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76137B" w14:textId="6451BFD9" w:rsidR="00DB201D" w:rsidRPr="001455DC" w:rsidRDefault="00DB201D" w:rsidP="00DB201D">
      <w:pPr>
        <w:pStyle w:val="zzCover"/>
        <w:rPr>
          <w:noProof/>
          <w:color w:val="auto"/>
          <w:sz w:val="54"/>
        </w:rPr>
      </w:pPr>
      <w:r w:rsidRPr="001455DC">
        <w:rPr>
          <w:noProof/>
          <w:color w:val="auto"/>
        </w:rPr>
        <w:t>CEN/TC </w:t>
      </w:r>
      <w:r w:rsidR="00EF241D" w:rsidRPr="001455DC">
        <w:rPr>
          <w:noProof/>
          <w:color w:val="auto"/>
        </w:rPr>
        <w:t>250</w:t>
      </w:r>
    </w:p>
    <w:p w14:paraId="40D60BC9" w14:textId="4F54B3B5" w:rsidR="00DB201D" w:rsidRPr="001455DC" w:rsidRDefault="00DB201D" w:rsidP="00DB201D">
      <w:pPr>
        <w:pStyle w:val="zzCover"/>
        <w:rPr>
          <w:b w:val="0"/>
          <w:noProof/>
          <w:color w:val="auto"/>
          <w:sz w:val="22"/>
        </w:rPr>
      </w:pPr>
      <w:r w:rsidRPr="001455DC">
        <w:rPr>
          <w:b w:val="0"/>
          <w:noProof/>
          <w:color w:val="auto"/>
          <w:sz w:val="22"/>
        </w:rPr>
        <w:t>Date:  20</w:t>
      </w:r>
      <w:r w:rsidR="00EF241D" w:rsidRPr="001455DC">
        <w:rPr>
          <w:b w:val="0"/>
          <w:noProof/>
          <w:color w:val="auto"/>
          <w:sz w:val="22"/>
        </w:rPr>
        <w:t>2</w:t>
      </w:r>
      <w:r w:rsidR="000E016F">
        <w:rPr>
          <w:b w:val="0"/>
          <w:noProof/>
          <w:color w:val="auto"/>
          <w:sz w:val="22"/>
        </w:rPr>
        <w:t>1</w:t>
      </w:r>
      <w:r w:rsidRPr="001455DC">
        <w:rPr>
          <w:b w:val="0"/>
          <w:noProof/>
          <w:color w:val="auto"/>
          <w:sz w:val="22"/>
        </w:rPr>
        <w:t>-</w:t>
      </w:r>
      <w:r w:rsidR="000E016F">
        <w:rPr>
          <w:b w:val="0"/>
          <w:noProof/>
          <w:color w:val="auto"/>
          <w:sz w:val="22"/>
        </w:rPr>
        <w:t>0</w:t>
      </w:r>
      <w:r w:rsidR="00EF241D" w:rsidRPr="001455DC">
        <w:rPr>
          <w:b w:val="0"/>
          <w:noProof/>
          <w:color w:val="auto"/>
          <w:sz w:val="22"/>
        </w:rPr>
        <w:t>1</w:t>
      </w:r>
    </w:p>
    <w:p w14:paraId="6E8EE289" w14:textId="7F7F11D3" w:rsidR="00DB201D" w:rsidRPr="001455DC" w:rsidRDefault="00DB201D" w:rsidP="00DB201D">
      <w:pPr>
        <w:pStyle w:val="zzCover"/>
        <w:spacing w:before="220"/>
        <w:rPr>
          <w:color w:val="auto"/>
        </w:rPr>
      </w:pPr>
      <w:r w:rsidRPr="001455DC">
        <w:rPr>
          <w:color w:val="auto"/>
        </w:rPr>
        <w:t>prEN</w:t>
      </w:r>
      <w:r w:rsidR="005352C2" w:rsidRPr="001455DC">
        <w:rPr>
          <w:color w:val="auto"/>
        </w:rPr>
        <w:t> </w:t>
      </w:r>
      <w:r w:rsidR="00EF241D" w:rsidRPr="001455DC">
        <w:rPr>
          <w:color w:val="auto"/>
        </w:rPr>
        <w:t>1992</w:t>
      </w:r>
      <w:r w:rsidR="00EF241D" w:rsidRPr="001455DC">
        <w:rPr>
          <w:color w:val="auto"/>
        </w:rPr>
        <w:noBreakHyphen/>
        <w:t>1</w:t>
      </w:r>
      <w:r w:rsidR="00EF241D" w:rsidRPr="001455DC">
        <w:rPr>
          <w:color w:val="auto"/>
        </w:rPr>
        <w:noBreakHyphen/>
        <w:t>1</w:t>
      </w:r>
      <w:r w:rsidRPr="001455DC">
        <w:rPr>
          <w:color w:val="auto"/>
        </w:rPr>
        <w:t>:</w:t>
      </w:r>
      <w:r w:rsidR="00EF241D" w:rsidRPr="001455DC">
        <w:rPr>
          <w:color w:val="auto"/>
        </w:rPr>
        <w:t>202</w:t>
      </w:r>
      <w:r w:rsidR="000E016F">
        <w:rPr>
          <w:color w:val="auto"/>
        </w:rPr>
        <w:t>1</w:t>
      </w:r>
    </w:p>
    <w:p w14:paraId="7A958B6A" w14:textId="52762BAF" w:rsidR="00DB201D" w:rsidRPr="001455DC" w:rsidRDefault="00DB201D" w:rsidP="00DB201D">
      <w:pPr>
        <w:pStyle w:val="zzCover"/>
        <w:spacing w:after="2000"/>
        <w:rPr>
          <w:b w:val="0"/>
          <w:noProof/>
          <w:color w:val="auto"/>
        </w:rPr>
      </w:pPr>
      <w:r w:rsidRPr="001455DC">
        <w:rPr>
          <w:b w:val="0"/>
          <w:noProof/>
          <w:color w:val="auto"/>
          <w:sz w:val="22"/>
        </w:rPr>
        <w:t>Secretariat: </w:t>
      </w:r>
      <w:r w:rsidR="00EF241D" w:rsidRPr="001455DC">
        <w:rPr>
          <w:b w:val="0"/>
          <w:noProof/>
          <w:color w:val="auto"/>
          <w:sz w:val="22"/>
        </w:rPr>
        <w:t>BSI</w:t>
      </w:r>
    </w:p>
    <w:p w14:paraId="56126634" w14:textId="675B2F8D" w:rsidR="00DB201D" w:rsidRPr="001455DC" w:rsidRDefault="00EF241D" w:rsidP="00DB201D">
      <w:pPr>
        <w:pStyle w:val="zzCover"/>
        <w:rPr>
          <w:b w:val="0"/>
          <w:color w:val="auto"/>
        </w:rPr>
      </w:pPr>
      <w:r w:rsidRPr="001455DC">
        <w:rPr>
          <w:color w:val="auto"/>
          <w:sz w:val="30"/>
        </w:rPr>
        <w:t>Eurocode 2: Design of concrete structures</w:t>
      </w:r>
      <w:r w:rsidR="00CE644A" w:rsidRPr="001455DC">
        <w:rPr>
          <w:color w:val="auto"/>
          <w:sz w:val="30"/>
        </w:rPr>
        <w:t> —</w:t>
      </w:r>
      <w:r w:rsidRPr="001455DC">
        <w:rPr>
          <w:color w:val="auto"/>
          <w:sz w:val="30"/>
        </w:rPr>
        <w:t xml:space="preserve"> Part</w:t>
      </w:r>
      <w:r w:rsidR="00CE644A" w:rsidRPr="001455DC">
        <w:rPr>
          <w:color w:val="auto"/>
          <w:sz w:val="30"/>
        </w:rPr>
        <w:t> </w:t>
      </w:r>
      <w:r w:rsidRPr="001455DC">
        <w:rPr>
          <w:color w:val="auto"/>
          <w:sz w:val="30"/>
        </w:rPr>
        <w:t>1</w:t>
      </w:r>
      <w:r w:rsidR="00CE644A" w:rsidRPr="001455DC">
        <w:rPr>
          <w:color w:val="auto"/>
          <w:sz w:val="30"/>
        </w:rPr>
        <w:noBreakHyphen/>
      </w:r>
      <w:r w:rsidRPr="001455DC">
        <w:rPr>
          <w:color w:val="auto"/>
          <w:sz w:val="30"/>
        </w:rPr>
        <w:t>1: General rules</w:t>
      </w:r>
      <w:r w:rsidR="00CE644A" w:rsidRPr="001455DC">
        <w:rPr>
          <w:color w:val="auto"/>
          <w:sz w:val="30"/>
        </w:rPr>
        <w:t> </w:t>
      </w:r>
      <w:r w:rsidRPr="001455DC">
        <w:rPr>
          <w:color w:val="auto"/>
          <w:sz w:val="30"/>
        </w:rPr>
        <w:t>— Rules for buildings, bridges and civil engineering structures</w:t>
      </w:r>
    </w:p>
    <w:p w14:paraId="1AE7CD1B" w14:textId="7995E6EB" w:rsidR="00DB201D" w:rsidRPr="001455DC" w:rsidRDefault="00EF241D" w:rsidP="00DB201D">
      <w:pPr>
        <w:pStyle w:val="zzCover"/>
        <w:rPr>
          <w:color w:val="auto"/>
          <w:lang w:val="de-DE"/>
        </w:rPr>
      </w:pPr>
      <w:r w:rsidRPr="001455DC">
        <w:rPr>
          <w:color w:val="auto"/>
          <w:lang w:val="de-DE"/>
        </w:rPr>
        <w:t>Eurocode 2: Bemessung und Konstruktion von Stahlbeton- und Spannbetontragwerken</w:t>
      </w:r>
      <w:r w:rsidR="00CE644A" w:rsidRPr="001455DC">
        <w:rPr>
          <w:color w:val="auto"/>
          <w:lang w:val="de-DE"/>
        </w:rPr>
        <w:t> —</w:t>
      </w:r>
      <w:r w:rsidRPr="001455DC">
        <w:rPr>
          <w:color w:val="auto"/>
          <w:lang w:val="de-DE"/>
        </w:rPr>
        <w:t xml:space="preserve"> Teil</w:t>
      </w:r>
      <w:r w:rsidR="00CE644A" w:rsidRPr="001455DC">
        <w:rPr>
          <w:color w:val="auto"/>
          <w:lang w:val="de-DE"/>
        </w:rPr>
        <w:t> </w:t>
      </w:r>
      <w:r w:rsidRPr="001455DC">
        <w:rPr>
          <w:color w:val="auto"/>
          <w:lang w:val="de-DE"/>
        </w:rPr>
        <w:t>1</w:t>
      </w:r>
      <w:r w:rsidR="00CE644A" w:rsidRPr="001455DC">
        <w:rPr>
          <w:color w:val="auto"/>
          <w:lang w:val="de-DE"/>
        </w:rPr>
        <w:noBreakHyphen/>
      </w:r>
      <w:r w:rsidRPr="001455DC">
        <w:rPr>
          <w:color w:val="auto"/>
          <w:lang w:val="de-DE"/>
        </w:rPr>
        <w:t>1: Allgemeine Regeln</w:t>
      </w:r>
      <w:r w:rsidR="00CE644A" w:rsidRPr="001455DC">
        <w:rPr>
          <w:color w:val="auto"/>
          <w:lang w:val="de-DE"/>
        </w:rPr>
        <w:t> </w:t>
      </w:r>
      <w:r w:rsidRPr="001455DC">
        <w:rPr>
          <w:color w:val="auto"/>
          <w:lang w:val="de-DE"/>
        </w:rPr>
        <w:t>— Regeln für Hochbauten, Brücken und Ingenieurbauwerke</w:t>
      </w:r>
    </w:p>
    <w:p w14:paraId="49B45415" w14:textId="3D93FEE4" w:rsidR="00DB201D" w:rsidRPr="001455DC" w:rsidRDefault="00EF241D" w:rsidP="00DB201D">
      <w:pPr>
        <w:pStyle w:val="zzCover"/>
        <w:rPr>
          <w:color w:val="auto"/>
          <w:lang w:val="fr-FR"/>
        </w:rPr>
      </w:pPr>
      <w:r w:rsidRPr="001455DC">
        <w:rPr>
          <w:color w:val="auto"/>
          <w:lang w:val="fr-FR"/>
        </w:rPr>
        <w:t>Eurocode 2: Calcul des structures en béton</w:t>
      </w:r>
      <w:r w:rsidR="00CE644A" w:rsidRPr="001455DC">
        <w:rPr>
          <w:color w:val="auto"/>
          <w:lang w:val="fr-FR"/>
        </w:rPr>
        <w:t> —</w:t>
      </w:r>
      <w:r w:rsidRPr="001455DC">
        <w:rPr>
          <w:color w:val="auto"/>
          <w:lang w:val="fr-FR"/>
        </w:rPr>
        <w:t xml:space="preserve"> Partie</w:t>
      </w:r>
      <w:r w:rsidR="00CE644A" w:rsidRPr="001455DC">
        <w:rPr>
          <w:color w:val="auto"/>
          <w:lang w:val="fr-FR"/>
        </w:rPr>
        <w:t> </w:t>
      </w:r>
      <w:r w:rsidRPr="001455DC">
        <w:rPr>
          <w:color w:val="auto"/>
          <w:lang w:val="fr-FR"/>
        </w:rPr>
        <w:t>1</w:t>
      </w:r>
      <w:r w:rsidR="00CE644A" w:rsidRPr="001455DC">
        <w:rPr>
          <w:color w:val="auto"/>
          <w:lang w:val="fr-FR"/>
        </w:rPr>
        <w:noBreakHyphen/>
      </w:r>
      <w:r w:rsidRPr="001455DC">
        <w:rPr>
          <w:color w:val="auto"/>
          <w:lang w:val="fr-FR"/>
        </w:rPr>
        <w:t>1: Règles générales</w:t>
      </w:r>
      <w:r w:rsidR="00CE644A" w:rsidRPr="001455DC">
        <w:rPr>
          <w:color w:val="auto"/>
          <w:lang w:val="fr-FR"/>
        </w:rPr>
        <w:t> </w:t>
      </w:r>
      <w:r w:rsidRPr="001455DC">
        <w:rPr>
          <w:color w:val="auto"/>
          <w:lang w:val="fr-FR"/>
        </w:rPr>
        <w:t>— Règles pour les bâtiments, règles pour les bâtiments, les ponts et les ouvrages de génie civil</w:t>
      </w:r>
    </w:p>
    <w:p w14:paraId="260A8A37" w14:textId="77777777" w:rsidR="00DB201D" w:rsidRPr="009D3012" w:rsidRDefault="00DB201D" w:rsidP="00DB201D">
      <w:pPr>
        <w:pStyle w:val="zzCover"/>
        <w:rPr>
          <w:color w:val="auto"/>
          <w:lang w:val="fr-FR"/>
        </w:rPr>
      </w:pPr>
    </w:p>
    <w:p w14:paraId="7D65189F" w14:textId="77777777" w:rsidR="00DB201D" w:rsidRPr="009D3012" w:rsidRDefault="00DB201D" w:rsidP="00DB201D">
      <w:pPr>
        <w:pStyle w:val="zzCover"/>
        <w:rPr>
          <w:color w:val="auto"/>
        </w:rPr>
      </w:pPr>
      <w:r w:rsidRPr="009D3012">
        <w:rPr>
          <w:color w:val="auto"/>
        </w:rPr>
        <w:t>ICS: </w:t>
      </w:r>
    </w:p>
    <w:p w14:paraId="2A6E9841" w14:textId="77777777" w:rsidR="00DB201D" w:rsidRPr="009D3012" w:rsidRDefault="00DB201D" w:rsidP="00DB201D">
      <w:pPr>
        <w:pStyle w:val="zzCover"/>
        <w:rPr>
          <w:color w:val="auto"/>
        </w:rPr>
      </w:pPr>
    </w:p>
    <w:p w14:paraId="6FD3BF44" w14:textId="77777777" w:rsidR="00DB201D" w:rsidRPr="009D3012" w:rsidRDefault="00DB201D" w:rsidP="00DB201D">
      <w:pPr>
        <w:pStyle w:val="zzCover"/>
        <w:rPr>
          <w:color w:val="auto"/>
        </w:rPr>
      </w:pPr>
    </w:p>
    <w:p w14:paraId="295D82C0" w14:textId="77777777" w:rsidR="00DB201D" w:rsidRPr="009D3012" w:rsidRDefault="00DB201D" w:rsidP="00DB201D">
      <w:pPr>
        <w:pStyle w:val="zzCover"/>
        <w:rPr>
          <w:color w:val="auto"/>
        </w:rPr>
      </w:pPr>
    </w:p>
    <w:p w14:paraId="036DBAB9" w14:textId="77777777" w:rsidR="00DB201D" w:rsidRPr="009D3012" w:rsidRDefault="00DB201D" w:rsidP="002A179A">
      <w:pPr>
        <w:pStyle w:val="zzCover"/>
        <w:jc w:val="center"/>
        <w:rPr>
          <w:color w:val="auto"/>
        </w:rPr>
      </w:pPr>
    </w:p>
    <w:p w14:paraId="23A0FCD0" w14:textId="77777777" w:rsidR="00DB201D" w:rsidRPr="009D3012" w:rsidRDefault="00DB201D" w:rsidP="00DB201D">
      <w:pPr>
        <w:pStyle w:val="zzCover"/>
        <w:rPr>
          <w:color w:val="auto"/>
        </w:rPr>
      </w:pPr>
    </w:p>
    <w:p w14:paraId="1B1417F4" w14:textId="77777777" w:rsidR="00DB201D" w:rsidRPr="009D3012" w:rsidRDefault="00DB201D" w:rsidP="00DB201D">
      <w:pPr>
        <w:pStyle w:val="zzCover"/>
        <w:jc w:val="center"/>
        <w:rPr>
          <w:color w:val="auto"/>
        </w:rPr>
      </w:pPr>
    </w:p>
    <w:p w14:paraId="6CE79C57" w14:textId="77777777" w:rsidR="00DB201D" w:rsidRPr="009D3012" w:rsidRDefault="00DB201D" w:rsidP="00DB201D">
      <w:pPr>
        <w:pStyle w:val="zzCover"/>
        <w:rPr>
          <w:color w:val="auto"/>
        </w:rPr>
        <w:sectPr w:rsidR="00DB201D" w:rsidRPr="009D3012" w:rsidSect="00B732D2">
          <w:headerReference w:type="even" r:id="rId11"/>
          <w:footerReference w:type="even" r:id="rId12"/>
          <w:footerReference w:type="default" r:id="rId13"/>
          <w:headerReference w:type="first" r:id="rId14"/>
          <w:footerReference w:type="first" r:id="rId15"/>
          <w:pgSz w:w="11906" w:h="16838"/>
          <w:pgMar w:top="851" w:right="737" w:bottom="567" w:left="397" w:header="709" w:footer="567" w:gutter="567"/>
          <w:cols w:space="708"/>
          <w:docGrid w:linePitch="360"/>
        </w:sectPr>
      </w:pPr>
    </w:p>
    <w:p w14:paraId="0C65B85C" w14:textId="33BA4A07" w:rsidR="00DB201D" w:rsidRPr="001455DC" w:rsidRDefault="00DB201D" w:rsidP="001E15FB">
      <w:pPr>
        <w:pStyle w:val="zzContents"/>
        <w:tabs>
          <w:tab w:val="right" w:pos="9270"/>
        </w:tabs>
        <w:rPr>
          <w:b w:val="0"/>
          <w:sz w:val="22"/>
          <w:szCs w:val="22"/>
        </w:rPr>
      </w:pPr>
      <w:r w:rsidRPr="001455DC">
        <w:rPr>
          <w:sz w:val="28"/>
          <w:szCs w:val="28"/>
        </w:rPr>
        <w:lastRenderedPageBreak/>
        <w:t>Contents</w:t>
      </w:r>
      <w:r w:rsidRPr="001455DC">
        <w:tab/>
      </w:r>
      <w:r w:rsidRPr="001455DC">
        <w:rPr>
          <w:b w:val="0"/>
          <w:sz w:val="22"/>
          <w:szCs w:val="22"/>
        </w:rPr>
        <w:t>Page</w:t>
      </w:r>
    </w:p>
    <w:p w14:paraId="41E00DEC" w14:textId="77777777" w:rsidR="001353E5" w:rsidRDefault="001353E5">
      <w:pPr>
        <w:pStyle w:val="10"/>
        <w:rPr>
          <w:rFonts w:asciiTheme="minorHAnsi" w:eastAsiaTheme="minorEastAsia" w:hAnsiTheme="minorHAnsi" w:cstheme="minorBidi"/>
          <w:b w:val="0"/>
          <w:noProof/>
          <w:szCs w:val="22"/>
          <w:lang w:eastAsia="en-GB"/>
        </w:rPr>
      </w:pPr>
      <w:r>
        <w:rPr>
          <w:b w:val="0"/>
        </w:rPr>
        <w:fldChar w:fldCharType="begin"/>
      </w:r>
      <w:r>
        <w:rPr>
          <w:b w:val="0"/>
        </w:rPr>
        <w:instrText xml:space="preserve"> TOC \h \z \t "Heading 1;1;Heading 2;2;Heading 3;3;a2;1;ANNEX;1;Foreword Title;1;Intro Title;1;Biblio Title;1" </w:instrText>
      </w:r>
      <w:r>
        <w:rPr>
          <w:b w:val="0"/>
        </w:rPr>
        <w:fldChar w:fldCharType="separate"/>
      </w:r>
      <w:hyperlink w:anchor="_Toc67565266" w:history="1">
        <w:r w:rsidRPr="00EB7E77">
          <w:rPr>
            <w:rStyle w:val="-"/>
            <w:noProof/>
          </w:rPr>
          <w:t>European foreword</w:t>
        </w:r>
        <w:r>
          <w:rPr>
            <w:noProof/>
            <w:webHidden/>
          </w:rPr>
          <w:tab/>
        </w:r>
        <w:r>
          <w:rPr>
            <w:noProof/>
            <w:webHidden/>
          </w:rPr>
          <w:fldChar w:fldCharType="begin"/>
        </w:r>
        <w:r>
          <w:rPr>
            <w:noProof/>
            <w:webHidden/>
          </w:rPr>
          <w:instrText xml:space="preserve"> PAGEREF _Toc67565266 \h </w:instrText>
        </w:r>
        <w:r>
          <w:rPr>
            <w:noProof/>
            <w:webHidden/>
          </w:rPr>
        </w:r>
        <w:r>
          <w:rPr>
            <w:noProof/>
            <w:webHidden/>
          </w:rPr>
          <w:fldChar w:fldCharType="separate"/>
        </w:r>
        <w:r w:rsidR="000250B6">
          <w:rPr>
            <w:noProof/>
            <w:webHidden/>
          </w:rPr>
          <w:t>11</w:t>
        </w:r>
        <w:r>
          <w:rPr>
            <w:noProof/>
            <w:webHidden/>
          </w:rPr>
          <w:fldChar w:fldCharType="end"/>
        </w:r>
      </w:hyperlink>
    </w:p>
    <w:p w14:paraId="4B82F1C6" w14:textId="77777777" w:rsidR="001353E5" w:rsidRDefault="00231E33">
      <w:pPr>
        <w:pStyle w:val="10"/>
        <w:rPr>
          <w:rFonts w:asciiTheme="minorHAnsi" w:eastAsiaTheme="minorEastAsia" w:hAnsiTheme="minorHAnsi" w:cstheme="minorBidi"/>
          <w:b w:val="0"/>
          <w:noProof/>
          <w:szCs w:val="22"/>
          <w:lang w:eastAsia="en-GB"/>
        </w:rPr>
      </w:pPr>
      <w:hyperlink w:anchor="_Toc67565267" w:history="1">
        <w:r w:rsidR="001353E5" w:rsidRPr="00EB7E77">
          <w:rPr>
            <w:rStyle w:val="-"/>
            <w:noProof/>
          </w:rPr>
          <w:t>0 Introduction</w:t>
        </w:r>
        <w:r w:rsidR="001353E5">
          <w:rPr>
            <w:noProof/>
            <w:webHidden/>
          </w:rPr>
          <w:tab/>
        </w:r>
        <w:r w:rsidR="001353E5">
          <w:rPr>
            <w:noProof/>
            <w:webHidden/>
          </w:rPr>
          <w:fldChar w:fldCharType="begin"/>
        </w:r>
        <w:r w:rsidR="001353E5">
          <w:rPr>
            <w:noProof/>
            <w:webHidden/>
          </w:rPr>
          <w:instrText xml:space="preserve"> PAGEREF _Toc67565267 \h </w:instrText>
        </w:r>
        <w:r w:rsidR="001353E5">
          <w:rPr>
            <w:noProof/>
            <w:webHidden/>
          </w:rPr>
        </w:r>
        <w:r w:rsidR="001353E5">
          <w:rPr>
            <w:noProof/>
            <w:webHidden/>
          </w:rPr>
          <w:fldChar w:fldCharType="separate"/>
        </w:r>
        <w:r w:rsidR="000250B6">
          <w:rPr>
            <w:noProof/>
            <w:webHidden/>
          </w:rPr>
          <w:t>12</w:t>
        </w:r>
        <w:r w:rsidR="001353E5">
          <w:rPr>
            <w:noProof/>
            <w:webHidden/>
          </w:rPr>
          <w:fldChar w:fldCharType="end"/>
        </w:r>
      </w:hyperlink>
    </w:p>
    <w:p w14:paraId="440B4947" w14:textId="77777777" w:rsidR="001353E5" w:rsidRDefault="00231E33">
      <w:pPr>
        <w:pStyle w:val="10"/>
        <w:rPr>
          <w:rFonts w:asciiTheme="minorHAnsi" w:eastAsiaTheme="minorEastAsia" w:hAnsiTheme="minorHAnsi" w:cstheme="minorBidi"/>
          <w:b w:val="0"/>
          <w:noProof/>
          <w:szCs w:val="22"/>
          <w:lang w:eastAsia="en-GB"/>
        </w:rPr>
      </w:pPr>
      <w:hyperlink w:anchor="_Toc67565273" w:history="1">
        <w:r w:rsidR="001353E5" w:rsidRPr="00EB7E77">
          <w:rPr>
            <w:rStyle w:val="-"/>
            <w:noProof/>
          </w:rPr>
          <w:t>1</w:t>
        </w:r>
        <w:r w:rsidR="001353E5">
          <w:rPr>
            <w:rFonts w:asciiTheme="minorHAnsi" w:eastAsiaTheme="minorEastAsia" w:hAnsiTheme="minorHAnsi" w:cstheme="minorBidi"/>
            <w:b w:val="0"/>
            <w:noProof/>
            <w:szCs w:val="22"/>
            <w:lang w:eastAsia="en-GB"/>
          </w:rPr>
          <w:tab/>
        </w:r>
        <w:r w:rsidR="001353E5" w:rsidRPr="00EB7E77">
          <w:rPr>
            <w:rStyle w:val="-"/>
            <w:noProof/>
          </w:rPr>
          <w:t>Scope</w:t>
        </w:r>
        <w:r w:rsidR="001353E5">
          <w:rPr>
            <w:noProof/>
            <w:webHidden/>
          </w:rPr>
          <w:tab/>
        </w:r>
        <w:r w:rsidR="001353E5">
          <w:rPr>
            <w:noProof/>
            <w:webHidden/>
          </w:rPr>
          <w:fldChar w:fldCharType="begin"/>
        </w:r>
        <w:r w:rsidR="001353E5">
          <w:rPr>
            <w:noProof/>
            <w:webHidden/>
          </w:rPr>
          <w:instrText xml:space="preserve"> PAGEREF _Toc67565273 \h </w:instrText>
        </w:r>
        <w:r w:rsidR="001353E5">
          <w:rPr>
            <w:noProof/>
            <w:webHidden/>
          </w:rPr>
        </w:r>
        <w:r w:rsidR="001353E5">
          <w:rPr>
            <w:noProof/>
            <w:webHidden/>
          </w:rPr>
          <w:fldChar w:fldCharType="separate"/>
        </w:r>
        <w:r w:rsidR="000250B6">
          <w:rPr>
            <w:noProof/>
            <w:webHidden/>
          </w:rPr>
          <w:t>15</w:t>
        </w:r>
        <w:r w:rsidR="001353E5">
          <w:rPr>
            <w:noProof/>
            <w:webHidden/>
          </w:rPr>
          <w:fldChar w:fldCharType="end"/>
        </w:r>
      </w:hyperlink>
    </w:p>
    <w:p w14:paraId="0007039C" w14:textId="77777777" w:rsidR="001353E5" w:rsidRDefault="00231E33">
      <w:pPr>
        <w:pStyle w:val="22"/>
        <w:rPr>
          <w:rFonts w:asciiTheme="minorHAnsi" w:eastAsiaTheme="minorEastAsia" w:hAnsiTheme="minorHAnsi" w:cstheme="minorBidi"/>
          <w:b w:val="0"/>
          <w:noProof/>
          <w:szCs w:val="22"/>
          <w:lang w:eastAsia="en-GB"/>
        </w:rPr>
      </w:pPr>
      <w:hyperlink w:anchor="_Toc67565274" w:history="1">
        <w:r w:rsidR="001353E5" w:rsidRPr="00EB7E77">
          <w:rPr>
            <w:rStyle w:val="-"/>
            <w:noProof/>
          </w:rPr>
          <w:t>1.1</w:t>
        </w:r>
        <w:r w:rsidR="001353E5">
          <w:rPr>
            <w:rFonts w:asciiTheme="minorHAnsi" w:eastAsiaTheme="minorEastAsia" w:hAnsiTheme="minorHAnsi" w:cstheme="minorBidi"/>
            <w:b w:val="0"/>
            <w:noProof/>
            <w:szCs w:val="22"/>
            <w:lang w:eastAsia="en-GB"/>
          </w:rPr>
          <w:tab/>
        </w:r>
        <w:r w:rsidR="001353E5" w:rsidRPr="00EB7E77">
          <w:rPr>
            <w:rStyle w:val="-"/>
            <w:noProof/>
          </w:rPr>
          <w:t>Scope of Part 1</w:t>
        </w:r>
        <w:r w:rsidR="001353E5" w:rsidRPr="00EB7E77">
          <w:rPr>
            <w:rStyle w:val="-"/>
            <w:noProof/>
          </w:rPr>
          <w:noBreakHyphen/>
          <w:t>1 of EN 1992</w:t>
        </w:r>
        <w:r w:rsidR="001353E5">
          <w:rPr>
            <w:noProof/>
            <w:webHidden/>
          </w:rPr>
          <w:tab/>
        </w:r>
        <w:r w:rsidR="001353E5">
          <w:rPr>
            <w:noProof/>
            <w:webHidden/>
          </w:rPr>
          <w:fldChar w:fldCharType="begin"/>
        </w:r>
        <w:r w:rsidR="001353E5">
          <w:rPr>
            <w:noProof/>
            <w:webHidden/>
          </w:rPr>
          <w:instrText xml:space="preserve"> PAGEREF _Toc67565274 \h </w:instrText>
        </w:r>
        <w:r w:rsidR="001353E5">
          <w:rPr>
            <w:noProof/>
            <w:webHidden/>
          </w:rPr>
        </w:r>
        <w:r w:rsidR="001353E5">
          <w:rPr>
            <w:noProof/>
            <w:webHidden/>
          </w:rPr>
          <w:fldChar w:fldCharType="separate"/>
        </w:r>
        <w:r w:rsidR="000250B6">
          <w:rPr>
            <w:noProof/>
            <w:webHidden/>
          </w:rPr>
          <w:t>15</w:t>
        </w:r>
        <w:r w:rsidR="001353E5">
          <w:rPr>
            <w:noProof/>
            <w:webHidden/>
          </w:rPr>
          <w:fldChar w:fldCharType="end"/>
        </w:r>
      </w:hyperlink>
    </w:p>
    <w:p w14:paraId="282230D8" w14:textId="77777777" w:rsidR="001353E5" w:rsidRDefault="00231E33">
      <w:pPr>
        <w:pStyle w:val="22"/>
        <w:rPr>
          <w:rFonts w:asciiTheme="minorHAnsi" w:eastAsiaTheme="minorEastAsia" w:hAnsiTheme="minorHAnsi" w:cstheme="minorBidi"/>
          <w:b w:val="0"/>
          <w:noProof/>
          <w:szCs w:val="22"/>
          <w:lang w:eastAsia="en-GB"/>
        </w:rPr>
      </w:pPr>
      <w:hyperlink w:anchor="_Toc67565275" w:history="1">
        <w:r w:rsidR="001353E5" w:rsidRPr="00EB7E77">
          <w:rPr>
            <w:rStyle w:val="-"/>
            <w:noProof/>
          </w:rPr>
          <w:t>1.2</w:t>
        </w:r>
        <w:r w:rsidR="001353E5">
          <w:rPr>
            <w:rFonts w:asciiTheme="minorHAnsi" w:eastAsiaTheme="minorEastAsia" w:hAnsiTheme="minorHAnsi" w:cstheme="minorBidi"/>
            <w:b w:val="0"/>
            <w:noProof/>
            <w:szCs w:val="22"/>
            <w:lang w:eastAsia="en-GB"/>
          </w:rPr>
          <w:tab/>
        </w:r>
        <w:r w:rsidR="001353E5" w:rsidRPr="00EB7E77">
          <w:rPr>
            <w:rStyle w:val="-"/>
            <w:noProof/>
          </w:rPr>
          <w:t>Assumptions</w:t>
        </w:r>
        <w:r w:rsidR="001353E5">
          <w:rPr>
            <w:noProof/>
            <w:webHidden/>
          </w:rPr>
          <w:tab/>
        </w:r>
        <w:r w:rsidR="001353E5">
          <w:rPr>
            <w:noProof/>
            <w:webHidden/>
          </w:rPr>
          <w:fldChar w:fldCharType="begin"/>
        </w:r>
        <w:r w:rsidR="001353E5">
          <w:rPr>
            <w:noProof/>
            <w:webHidden/>
          </w:rPr>
          <w:instrText xml:space="preserve"> PAGEREF _Toc67565275 \h </w:instrText>
        </w:r>
        <w:r w:rsidR="001353E5">
          <w:rPr>
            <w:noProof/>
            <w:webHidden/>
          </w:rPr>
        </w:r>
        <w:r w:rsidR="001353E5">
          <w:rPr>
            <w:noProof/>
            <w:webHidden/>
          </w:rPr>
          <w:fldChar w:fldCharType="separate"/>
        </w:r>
        <w:r w:rsidR="000250B6">
          <w:rPr>
            <w:noProof/>
            <w:webHidden/>
          </w:rPr>
          <w:t>15</w:t>
        </w:r>
        <w:r w:rsidR="001353E5">
          <w:rPr>
            <w:noProof/>
            <w:webHidden/>
          </w:rPr>
          <w:fldChar w:fldCharType="end"/>
        </w:r>
      </w:hyperlink>
    </w:p>
    <w:p w14:paraId="42B898A6" w14:textId="77777777" w:rsidR="001353E5" w:rsidRDefault="00231E33">
      <w:pPr>
        <w:pStyle w:val="10"/>
        <w:rPr>
          <w:rFonts w:asciiTheme="minorHAnsi" w:eastAsiaTheme="minorEastAsia" w:hAnsiTheme="minorHAnsi" w:cstheme="minorBidi"/>
          <w:b w:val="0"/>
          <w:noProof/>
          <w:szCs w:val="22"/>
          <w:lang w:eastAsia="en-GB"/>
        </w:rPr>
      </w:pPr>
      <w:hyperlink w:anchor="_Toc67565276" w:history="1">
        <w:r w:rsidR="001353E5" w:rsidRPr="00EB7E77">
          <w:rPr>
            <w:rStyle w:val="-"/>
            <w:noProof/>
          </w:rPr>
          <w:t>2</w:t>
        </w:r>
        <w:r w:rsidR="001353E5">
          <w:rPr>
            <w:rFonts w:asciiTheme="minorHAnsi" w:eastAsiaTheme="minorEastAsia" w:hAnsiTheme="minorHAnsi" w:cstheme="minorBidi"/>
            <w:b w:val="0"/>
            <w:noProof/>
            <w:szCs w:val="22"/>
            <w:lang w:eastAsia="en-GB"/>
          </w:rPr>
          <w:tab/>
        </w:r>
        <w:r w:rsidR="001353E5" w:rsidRPr="00EB7E77">
          <w:rPr>
            <w:rStyle w:val="-"/>
            <w:noProof/>
          </w:rPr>
          <w:t>Normative references</w:t>
        </w:r>
        <w:r w:rsidR="001353E5">
          <w:rPr>
            <w:noProof/>
            <w:webHidden/>
          </w:rPr>
          <w:tab/>
        </w:r>
        <w:r w:rsidR="001353E5">
          <w:rPr>
            <w:noProof/>
            <w:webHidden/>
          </w:rPr>
          <w:fldChar w:fldCharType="begin"/>
        </w:r>
        <w:r w:rsidR="001353E5">
          <w:rPr>
            <w:noProof/>
            <w:webHidden/>
          </w:rPr>
          <w:instrText xml:space="preserve"> PAGEREF _Toc67565276 \h </w:instrText>
        </w:r>
        <w:r w:rsidR="001353E5">
          <w:rPr>
            <w:noProof/>
            <w:webHidden/>
          </w:rPr>
        </w:r>
        <w:r w:rsidR="001353E5">
          <w:rPr>
            <w:noProof/>
            <w:webHidden/>
          </w:rPr>
          <w:fldChar w:fldCharType="separate"/>
        </w:r>
        <w:r w:rsidR="000250B6">
          <w:rPr>
            <w:noProof/>
            <w:webHidden/>
          </w:rPr>
          <w:t>16</w:t>
        </w:r>
        <w:r w:rsidR="001353E5">
          <w:rPr>
            <w:noProof/>
            <w:webHidden/>
          </w:rPr>
          <w:fldChar w:fldCharType="end"/>
        </w:r>
      </w:hyperlink>
    </w:p>
    <w:p w14:paraId="3EC4F90A" w14:textId="77777777" w:rsidR="001353E5" w:rsidRDefault="00231E33">
      <w:pPr>
        <w:pStyle w:val="10"/>
        <w:rPr>
          <w:rFonts w:asciiTheme="minorHAnsi" w:eastAsiaTheme="minorEastAsia" w:hAnsiTheme="minorHAnsi" w:cstheme="minorBidi"/>
          <w:b w:val="0"/>
          <w:noProof/>
          <w:szCs w:val="22"/>
          <w:lang w:eastAsia="en-GB"/>
        </w:rPr>
      </w:pPr>
      <w:hyperlink w:anchor="_Toc67565277" w:history="1">
        <w:r w:rsidR="001353E5" w:rsidRPr="00EB7E77">
          <w:rPr>
            <w:rStyle w:val="-"/>
            <w:noProof/>
          </w:rPr>
          <w:t>3</w:t>
        </w:r>
        <w:r w:rsidR="001353E5">
          <w:rPr>
            <w:rFonts w:asciiTheme="minorHAnsi" w:eastAsiaTheme="minorEastAsia" w:hAnsiTheme="minorHAnsi" w:cstheme="minorBidi"/>
            <w:b w:val="0"/>
            <w:noProof/>
            <w:szCs w:val="22"/>
            <w:lang w:eastAsia="en-GB"/>
          </w:rPr>
          <w:tab/>
        </w:r>
        <w:r w:rsidR="001353E5" w:rsidRPr="00EB7E77">
          <w:rPr>
            <w:rStyle w:val="-"/>
            <w:noProof/>
          </w:rPr>
          <w:t>Terms, definitions and symbols</w:t>
        </w:r>
        <w:r w:rsidR="001353E5">
          <w:rPr>
            <w:noProof/>
            <w:webHidden/>
          </w:rPr>
          <w:tab/>
        </w:r>
        <w:r w:rsidR="001353E5">
          <w:rPr>
            <w:noProof/>
            <w:webHidden/>
          </w:rPr>
          <w:fldChar w:fldCharType="begin"/>
        </w:r>
        <w:r w:rsidR="001353E5">
          <w:rPr>
            <w:noProof/>
            <w:webHidden/>
          </w:rPr>
          <w:instrText xml:space="preserve"> PAGEREF _Toc67565277 \h </w:instrText>
        </w:r>
        <w:r w:rsidR="001353E5">
          <w:rPr>
            <w:noProof/>
            <w:webHidden/>
          </w:rPr>
        </w:r>
        <w:r w:rsidR="001353E5">
          <w:rPr>
            <w:noProof/>
            <w:webHidden/>
          </w:rPr>
          <w:fldChar w:fldCharType="separate"/>
        </w:r>
        <w:r w:rsidR="000250B6">
          <w:rPr>
            <w:noProof/>
            <w:webHidden/>
          </w:rPr>
          <w:t>17</w:t>
        </w:r>
        <w:r w:rsidR="001353E5">
          <w:rPr>
            <w:noProof/>
            <w:webHidden/>
          </w:rPr>
          <w:fldChar w:fldCharType="end"/>
        </w:r>
      </w:hyperlink>
    </w:p>
    <w:p w14:paraId="2592BB38" w14:textId="77777777" w:rsidR="001353E5" w:rsidRDefault="00231E33">
      <w:pPr>
        <w:pStyle w:val="22"/>
        <w:rPr>
          <w:rFonts w:asciiTheme="minorHAnsi" w:eastAsiaTheme="minorEastAsia" w:hAnsiTheme="minorHAnsi" w:cstheme="minorBidi"/>
          <w:b w:val="0"/>
          <w:noProof/>
          <w:szCs w:val="22"/>
          <w:lang w:eastAsia="en-GB"/>
        </w:rPr>
      </w:pPr>
      <w:hyperlink w:anchor="_Toc67565278" w:history="1">
        <w:r w:rsidR="001353E5" w:rsidRPr="00EB7E77">
          <w:rPr>
            <w:rStyle w:val="-"/>
            <w:noProof/>
          </w:rPr>
          <w:t>3.1</w:t>
        </w:r>
        <w:r w:rsidR="001353E5">
          <w:rPr>
            <w:rFonts w:asciiTheme="minorHAnsi" w:eastAsiaTheme="minorEastAsia" w:hAnsiTheme="minorHAnsi" w:cstheme="minorBidi"/>
            <w:b w:val="0"/>
            <w:noProof/>
            <w:szCs w:val="22"/>
            <w:lang w:eastAsia="en-GB"/>
          </w:rPr>
          <w:tab/>
        </w:r>
        <w:r w:rsidR="001353E5" w:rsidRPr="00EB7E77">
          <w:rPr>
            <w:rStyle w:val="-"/>
            <w:noProof/>
          </w:rPr>
          <w:t>Terms and definitions</w:t>
        </w:r>
        <w:r w:rsidR="001353E5">
          <w:rPr>
            <w:noProof/>
            <w:webHidden/>
          </w:rPr>
          <w:tab/>
        </w:r>
        <w:r w:rsidR="001353E5">
          <w:rPr>
            <w:noProof/>
            <w:webHidden/>
          </w:rPr>
          <w:fldChar w:fldCharType="begin"/>
        </w:r>
        <w:r w:rsidR="001353E5">
          <w:rPr>
            <w:noProof/>
            <w:webHidden/>
          </w:rPr>
          <w:instrText xml:space="preserve"> PAGEREF _Toc67565278 \h </w:instrText>
        </w:r>
        <w:r w:rsidR="001353E5">
          <w:rPr>
            <w:noProof/>
            <w:webHidden/>
          </w:rPr>
        </w:r>
        <w:r w:rsidR="001353E5">
          <w:rPr>
            <w:noProof/>
            <w:webHidden/>
          </w:rPr>
          <w:fldChar w:fldCharType="separate"/>
        </w:r>
        <w:r w:rsidR="000250B6">
          <w:rPr>
            <w:noProof/>
            <w:webHidden/>
          </w:rPr>
          <w:t>17</w:t>
        </w:r>
        <w:r w:rsidR="001353E5">
          <w:rPr>
            <w:noProof/>
            <w:webHidden/>
          </w:rPr>
          <w:fldChar w:fldCharType="end"/>
        </w:r>
      </w:hyperlink>
    </w:p>
    <w:p w14:paraId="09250ADF" w14:textId="77777777" w:rsidR="001353E5" w:rsidRDefault="00231E33">
      <w:pPr>
        <w:pStyle w:val="22"/>
        <w:rPr>
          <w:rFonts w:asciiTheme="minorHAnsi" w:eastAsiaTheme="minorEastAsia" w:hAnsiTheme="minorHAnsi" w:cstheme="minorBidi"/>
          <w:b w:val="0"/>
          <w:noProof/>
          <w:szCs w:val="22"/>
          <w:lang w:eastAsia="en-GB"/>
        </w:rPr>
      </w:pPr>
      <w:hyperlink w:anchor="_Toc67565279" w:history="1">
        <w:r w:rsidR="001353E5" w:rsidRPr="00EB7E77">
          <w:rPr>
            <w:rStyle w:val="-"/>
            <w:noProof/>
          </w:rPr>
          <w:t>3.2</w:t>
        </w:r>
        <w:r w:rsidR="001353E5">
          <w:rPr>
            <w:rFonts w:asciiTheme="minorHAnsi" w:eastAsiaTheme="minorEastAsia" w:hAnsiTheme="minorHAnsi" w:cstheme="minorBidi"/>
            <w:b w:val="0"/>
            <w:noProof/>
            <w:szCs w:val="22"/>
            <w:lang w:eastAsia="en-GB"/>
          </w:rPr>
          <w:tab/>
        </w:r>
        <w:r w:rsidR="001353E5" w:rsidRPr="00EB7E77">
          <w:rPr>
            <w:rStyle w:val="-"/>
            <w:noProof/>
          </w:rPr>
          <w:t>Symbols and abbreviations</w:t>
        </w:r>
        <w:r w:rsidR="001353E5">
          <w:rPr>
            <w:noProof/>
            <w:webHidden/>
          </w:rPr>
          <w:tab/>
        </w:r>
        <w:r w:rsidR="001353E5">
          <w:rPr>
            <w:noProof/>
            <w:webHidden/>
          </w:rPr>
          <w:fldChar w:fldCharType="begin"/>
        </w:r>
        <w:r w:rsidR="001353E5">
          <w:rPr>
            <w:noProof/>
            <w:webHidden/>
          </w:rPr>
          <w:instrText xml:space="preserve"> PAGEREF _Toc67565279 \h </w:instrText>
        </w:r>
        <w:r w:rsidR="001353E5">
          <w:rPr>
            <w:noProof/>
            <w:webHidden/>
          </w:rPr>
        </w:r>
        <w:r w:rsidR="001353E5">
          <w:rPr>
            <w:noProof/>
            <w:webHidden/>
          </w:rPr>
          <w:fldChar w:fldCharType="separate"/>
        </w:r>
        <w:r w:rsidR="000250B6">
          <w:rPr>
            <w:noProof/>
            <w:webHidden/>
          </w:rPr>
          <w:t>29</w:t>
        </w:r>
        <w:r w:rsidR="001353E5">
          <w:rPr>
            <w:noProof/>
            <w:webHidden/>
          </w:rPr>
          <w:fldChar w:fldCharType="end"/>
        </w:r>
      </w:hyperlink>
    </w:p>
    <w:p w14:paraId="567DABF0" w14:textId="77777777" w:rsidR="001353E5" w:rsidRDefault="00231E33">
      <w:pPr>
        <w:pStyle w:val="22"/>
        <w:rPr>
          <w:rFonts w:asciiTheme="minorHAnsi" w:eastAsiaTheme="minorEastAsia" w:hAnsiTheme="minorHAnsi" w:cstheme="minorBidi"/>
          <w:b w:val="0"/>
          <w:noProof/>
          <w:szCs w:val="22"/>
          <w:lang w:eastAsia="en-GB"/>
        </w:rPr>
      </w:pPr>
      <w:hyperlink w:anchor="_Toc67565283" w:history="1">
        <w:r w:rsidR="001353E5" w:rsidRPr="00EB7E77">
          <w:rPr>
            <w:rStyle w:val="-"/>
            <w:noProof/>
          </w:rPr>
          <w:t>3.3</w:t>
        </w:r>
        <w:r w:rsidR="001353E5">
          <w:rPr>
            <w:rFonts w:asciiTheme="minorHAnsi" w:eastAsiaTheme="minorEastAsia" w:hAnsiTheme="minorHAnsi" w:cstheme="minorBidi"/>
            <w:b w:val="0"/>
            <w:noProof/>
            <w:szCs w:val="22"/>
            <w:lang w:eastAsia="en-GB"/>
          </w:rPr>
          <w:tab/>
        </w:r>
        <w:r w:rsidR="001353E5" w:rsidRPr="00EB7E77">
          <w:rPr>
            <w:rStyle w:val="-"/>
            <w:noProof/>
          </w:rPr>
          <w:t>Symbols in Annex A</w:t>
        </w:r>
        <w:r w:rsidR="001353E5">
          <w:rPr>
            <w:noProof/>
            <w:webHidden/>
          </w:rPr>
          <w:tab/>
        </w:r>
        <w:r w:rsidR="001353E5">
          <w:rPr>
            <w:noProof/>
            <w:webHidden/>
          </w:rPr>
          <w:fldChar w:fldCharType="begin"/>
        </w:r>
        <w:r w:rsidR="001353E5">
          <w:rPr>
            <w:noProof/>
            <w:webHidden/>
          </w:rPr>
          <w:instrText xml:space="preserve"> PAGEREF _Toc67565283 \h </w:instrText>
        </w:r>
        <w:r w:rsidR="001353E5">
          <w:rPr>
            <w:noProof/>
            <w:webHidden/>
          </w:rPr>
        </w:r>
        <w:r w:rsidR="001353E5">
          <w:rPr>
            <w:noProof/>
            <w:webHidden/>
          </w:rPr>
          <w:fldChar w:fldCharType="separate"/>
        </w:r>
        <w:r w:rsidR="000250B6">
          <w:rPr>
            <w:noProof/>
            <w:webHidden/>
          </w:rPr>
          <w:t>49</w:t>
        </w:r>
        <w:r w:rsidR="001353E5">
          <w:rPr>
            <w:noProof/>
            <w:webHidden/>
          </w:rPr>
          <w:fldChar w:fldCharType="end"/>
        </w:r>
      </w:hyperlink>
    </w:p>
    <w:p w14:paraId="2515FA7D" w14:textId="77777777" w:rsidR="001353E5" w:rsidRDefault="00231E33">
      <w:pPr>
        <w:pStyle w:val="22"/>
        <w:rPr>
          <w:rFonts w:asciiTheme="minorHAnsi" w:eastAsiaTheme="minorEastAsia" w:hAnsiTheme="minorHAnsi" w:cstheme="minorBidi"/>
          <w:b w:val="0"/>
          <w:noProof/>
          <w:szCs w:val="22"/>
          <w:lang w:eastAsia="en-GB"/>
        </w:rPr>
      </w:pPr>
      <w:hyperlink w:anchor="_Toc67565287" w:history="1">
        <w:r w:rsidR="001353E5" w:rsidRPr="00EB7E77">
          <w:rPr>
            <w:rStyle w:val="-"/>
            <w:noProof/>
          </w:rPr>
          <w:t>3.4</w:t>
        </w:r>
        <w:r w:rsidR="001353E5">
          <w:rPr>
            <w:rFonts w:asciiTheme="minorHAnsi" w:eastAsiaTheme="minorEastAsia" w:hAnsiTheme="minorHAnsi" w:cstheme="minorBidi"/>
            <w:b w:val="0"/>
            <w:noProof/>
            <w:szCs w:val="22"/>
            <w:lang w:eastAsia="en-GB"/>
          </w:rPr>
          <w:tab/>
        </w:r>
        <w:r w:rsidR="001353E5" w:rsidRPr="00EB7E77">
          <w:rPr>
            <w:rStyle w:val="-"/>
            <w:noProof/>
          </w:rPr>
          <w:t>Symbols in Annex I</w:t>
        </w:r>
        <w:r w:rsidR="001353E5">
          <w:rPr>
            <w:noProof/>
            <w:webHidden/>
          </w:rPr>
          <w:tab/>
        </w:r>
        <w:r w:rsidR="001353E5">
          <w:rPr>
            <w:noProof/>
            <w:webHidden/>
          </w:rPr>
          <w:fldChar w:fldCharType="begin"/>
        </w:r>
        <w:r w:rsidR="001353E5">
          <w:rPr>
            <w:noProof/>
            <w:webHidden/>
          </w:rPr>
          <w:instrText xml:space="preserve"> PAGEREF _Toc67565287 \h </w:instrText>
        </w:r>
        <w:r w:rsidR="001353E5">
          <w:rPr>
            <w:noProof/>
            <w:webHidden/>
          </w:rPr>
        </w:r>
        <w:r w:rsidR="001353E5">
          <w:rPr>
            <w:noProof/>
            <w:webHidden/>
          </w:rPr>
          <w:fldChar w:fldCharType="separate"/>
        </w:r>
        <w:r w:rsidR="000250B6">
          <w:rPr>
            <w:noProof/>
            <w:webHidden/>
          </w:rPr>
          <w:t>50</w:t>
        </w:r>
        <w:r w:rsidR="001353E5">
          <w:rPr>
            <w:noProof/>
            <w:webHidden/>
          </w:rPr>
          <w:fldChar w:fldCharType="end"/>
        </w:r>
      </w:hyperlink>
    </w:p>
    <w:p w14:paraId="4A9BE6AC" w14:textId="77777777" w:rsidR="001353E5" w:rsidRDefault="00231E33">
      <w:pPr>
        <w:pStyle w:val="22"/>
        <w:rPr>
          <w:rFonts w:asciiTheme="minorHAnsi" w:eastAsiaTheme="minorEastAsia" w:hAnsiTheme="minorHAnsi" w:cstheme="minorBidi"/>
          <w:b w:val="0"/>
          <w:noProof/>
          <w:szCs w:val="22"/>
          <w:lang w:eastAsia="en-GB"/>
        </w:rPr>
      </w:pPr>
      <w:hyperlink w:anchor="_Toc67565291" w:history="1">
        <w:r w:rsidR="001353E5" w:rsidRPr="00EB7E77">
          <w:rPr>
            <w:rStyle w:val="-"/>
            <w:noProof/>
          </w:rPr>
          <w:t>3.5</w:t>
        </w:r>
        <w:r w:rsidR="001353E5">
          <w:rPr>
            <w:rFonts w:asciiTheme="minorHAnsi" w:eastAsiaTheme="minorEastAsia" w:hAnsiTheme="minorHAnsi" w:cstheme="minorBidi"/>
            <w:b w:val="0"/>
            <w:noProof/>
            <w:szCs w:val="22"/>
            <w:lang w:eastAsia="en-GB"/>
          </w:rPr>
          <w:tab/>
        </w:r>
        <w:r w:rsidR="001353E5" w:rsidRPr="00EB7E77">
          <w:rPr>
            <w:rStyle w:val="-"/>
            <w:noProof/>
          </w:rPr>
          <w:t>Symbols in Annex J</w:t>
        </w:r>
        <w:r w:rsidR="001353E5">
          <w:rPr>
            <w:noProof/>
            <w:webHidden/>
          </w:rPr>
          <w:tab/>
        </w:r>
        <w:r w:rsidR="001353E5">
          <w:rPr>
            <w:noProof/>
            <w:webHidden/>
          </w:rPr>
          <w:fldChar w:fldCharType="begin"/>
        </w:r>
        <w:r w:rsidR="001353E5">
          <w:rPr>
            <w:noProof/>
            <w:webHidden/>
          </w:rPr>
          <w:instrText xml:space="preserve"> PAGEREF _Toc67565291 \h </w:instrText>
        </w:r>
        <w:r w:rsidR="001353E5">
          <w:rPr>
            <w:noProof/>
            <w:webHidden/>
          </w:rPr>
        </w:r>
        <w:r w:rsidR="001353E5">
          <w:rPr>
            <w:noProof/>
            <w:webHidden/>
          </w:rPr>
          <w:fldChar w:fldCharType="separate"/>
        </w:r>
        <w:r w:rsidR="000250B6">
          <w:rPr>
            <w:noProof/>
            <w:webHidden/>
          </w:rPr>
          <w:t>51</w:t>
        </w:r>
        <w:r w:rsidR="001353E5">
          <w:rPr>
            <w:noProof/>
            <w:webHidden/>
          </w:rPr>
          <w:fldChar w:fldCharType="end"/>
        </w:r>
      </w:hyperlink>
    </w:p>
    <w:p w14:paraId="4A8C1E9D" w14:textId="77777777" w:rsidR="001353E5" w:rsidRDefault="00231E33">
      <w:pPr>
        <w:pStyle w:val="22"/>
        <w:rPr>
          <w:rFonts w:asciiTheme="minorHAnsi" w:eastAsiaTheme="minorEastAsia" w:hAnsiTheme="minorHAnsi" w:cstheme="minorBidi"/>
          <w:b w:val="0"/>
          <w:noProof/>
          <w:szCs w:val="22"/>
          <w:lang w:eastAsia="en-GB"/>
        </w:rPr>
      </w:pPr>
      <w:hyperlink w:anchor="_Toc67565295" w:history="1">
        <w:r w:rsidR="001353E5" w:rsidRPr="00EB7E77">
          <w:rPr>
            <w:rStyle w:val="-"/>
            <w:noProof/>
          </w:rPr>
          <w:t>3.6</w:t>
        </w:r>
        <w:r w:rsidR="001353E5">
          <w:rPr>
            <w:rFonts w:asciiTheme="minorHAnsi" w:eastAsiaTheme="minorEastAsia" w:hAnsiTheme="minorHAnsi" w:cstheme="minorBidi"/>
            <w:b w:val="0"/>
            <w:noProof/>
            <w:szCs w:val="22"/>
            <w:lang w:eastAsia="en-GB"/>
          </w:rPr>
          <w:tab/>
        </w:r>
        <w:r w:rsidR="001353E5" w:rsidRPr="00EB7E77">
          <w:rPr>
            <w:rStyle w:val="-"/>
            <w:noProof/>
          </w:rPr>
          <w:t>Symbols in Annex JA</w:t>
        </w:r>
        <w:r w:rsidR="001353E5">
          <w:rPr>
            <w:noProof/>
            <w:webHidden/>
          </w:rPr>
          <w:tab/>
        </w:r>
        <w:r w:rsidR="001353E5">
          <w:rPr>
            <w:noProof/>
            <w:webHidden/>
          </w:rPr>
          <w:fldChar w:fldCharType="begin"/>
        </w:r>
        <w:r w:rsidR="001353E5">
          <w:rPr>
            <w:noProof/>
            <w:webHidden/>
          </w:rPr>
          <w:instrText xml:space="preserve"> PAGEREF _Toc67565295 \h </w:instrText>
        </w:r>
        <w:r w:rsidR="001353E5">
          <w:rPr>
            <w:noProof/>
            <w:webHidden/>
          </w:rPr>
        </w:r>
        <w:r w:rsidR="001353E5">
          <w:rPr>
            <w:noProof/>
            <w:webHidden/>
          </w:rPr>
          <w:fldChar w:fldCharType="separate"/>
        </w:r>
        <w:r w:rsidR="000250B6">
          <w:rPr>
            <w:noProof/>
            <w:webHidden/>
          </w:rPr>
          <w:t>54</w:t>
        </w:r>
        <w:r w:rsidR="001353E5">
          <w:rPr>
            <w:noProof/>
            <w:webHidden/>
          </w:rPr>
          <w:fldChar w:fldCharType="end"/>
        </w:r>
      </w:hyperlink>
    </w:p>
    <w:p w14:paraId="29FC16EF" w14:textId="77777777" w:rsidR="001353E5" w:rsidRDefault="00231E33">
      <w:pPr>
        <w:pStyle w:val="22"/>
        <w:rPr>
          <w:rFonts w:asciiTheme="minorHAnsi" w:eastAsiaTheme="minorEastAsia" w:hAnsiTheme="minorHAnsi" w:cstheme="minorBidi"/>
          <w:b w:val="0"/>
          <w:noProof/>
          <w:szCs w:val="22"/>
          <w:lang w:eastAsia="en-GB"/>
        </w:rPr>
      </w:pPr>
      <w:hyperlink w:anchor="_Toc67565299" w:history="1">
        <w:r w:rsidR="001353E5" w:rsidRPr="00EB7E77">
          <w:rPr>
            <w:rStyle w:val="-"/>
            <w:noProof/>
          </w:rPr>
          <w:t>3.7</w:t>
        </w:r>
        <w:r w:rsidR="001353E5">
          <w:rPr>
            <w:rFonts w:asciiTheme="minorHAnsi" w:eastAsiaTheme="minorEastAsia" w:hAnsiTheme="minorHAnsi" w:cstheme="minorBidi"/>
            <w:b w:val="0"/>
            <w:noProof/>
            <w:szCs w:val="22"/>
            <w:lang w:eastAsia="en-GB"/>
          </w:rPr>
          <w:tab/>
        </w:r>
        <w:r w:rsidR="001353E5" w:rsidRPr="00EB7E77">
          <w:rPr>
            <w:rStyle w:val="-"/>
            <w:noProof/>
          </w:rPr>
          <w:t>Symbols in Annex L</w:t>
        </w:r>
        <w:r w:rsidR="001353E5">
          <w:rPr>
            <w:noProof/>
            <w:webHidden/>
          </w:rPr>
          <w:tab/>
        </w:r>
        <w:r w:rsidR="001353E5">
          <w:rPr>
            <w:noProof/>
            <w:webHidden/>
          </w:rPr>
          <w:fldChar w:fldCharType="begin"/>
        </w:r>
        <w:r w:rsidR="001353E5">
          <w:rPr>
            <w:noProof/>
            <w:webHidden/>
          </w:rPr>
          <w:instrText xml:space="preserve"> PAGEREF _Toc67565299 \h </w:instrText>
        </w:r>
        <w:r w:rsidR="001353E5">
          <w:rPr>
            <w:noProof/>
            <w:webHidden/>
          </w:rPr>
        </w:r>
        <w:r w:rsidR="001353E5">
          <w:rPr>
            <w:noProof/>
            <w:webHidden/>
          </w:rPr>
          <w:fldChar w:fldCharType="separate"/>
        </w:r>
        <w:r w:rsidR="000250B6">
          <w:rPr>
            <w:noProof/>
            <w:webHidden/>
          </w:rPr>
          <w:t>55</w:t>
        </w:r>
        <w:r w:rsidR="001353E5">
          <w:rPr>
            <w:noProof/>
            <w:webHidden/>
          </w:rPr>
          <w:fldChar w:fldCharType="end"/>
        </w:r>
      </w:hyperlink>
    </w:p>
    <w:p w14:paraId="4DBB0C60" w14:textId="77777777" w:rsidR="001353E5" w:rsidRDefault="00231E33">
      <w:pPr>
        <w:pStyle w:val="22"/>
        <w:rPr>
          <w:rFonts w:asciiTheme="minorHAnsi" w:eastAsiaTheme="minorEastAsia" w:hAnsiTheme="minorHAnsi" w:cstheme="minorBidi"/>
          <w:b w:val="0"/>
          <w:noProof/>
          <w:szCs w:val="22"/>
          <w:lang w:eastAsia="en-GB"/>
        </w:rPr>
      </w:pPr>
      <w:hyperlink w:anchor="_Toc67565303" w:history="1">
        <w:r w:rsidR="001353E5" w:rsidRPr="00EB7E77">
          <w:rPr>
            <w:rStyle w:val="-"/>
            <w:noProof/>
          </w:rPr>
          <w:t>3.8</w:t>
        </w:r>
        <w:r w:rsidR="001353E5">
          <w:rPr>
            <w:rFonts w:asciiTheme="minorHAnsi" w:eastAsiaTheme="minorEastAsia" w:hAnsiTheme="minorHAnsi" w:cstheme="minorBidi"/>
            <w:b w:val="0"/>
            <w:noProof/>
            <w:szCs w:val="22"/>
            <w:lang w:eastAsia="en-GB"/>
          </w:rPr>
          <w:tab/>
        </w:r>
        <w:r w:rsidR="001353E5" w:rsidRPr="00EB7E77">
          <w:rPr>
            <w:rStyle w:val="-"/>
            <w:noProof/>
          </w:rPr>
          <w:t>Abbreviations</w:t>
        </w:r>
        <w:r w:rsidR="001353E5">
          <w:rPr>
            <w:noProof/>
            <w:webHidden/>
          </w:rPr>
          <w:tab/>
        </w:r>
        <w:r w:rsidR="001353E5">
          <w:rPr>
            <w:noProof/>
            <w:webHidden/>
          </w:rPr>
          <w:fldChar w:fldCharType="begin"/>
        </w:r>
        <w:r w:rsidR="001353E5">
          <w:rPr>
            <w:noProof/>
            <w:webHidden/>
          </w:rPr>
          <w:instrText xml:space="preserve"> PAGEREF _Toc67565303 \h </w:instrText>
        </w:r>
        <w:r w:rsidR="001353E5">
          <w:rPr>
            <w:noProof/>
            <w:webHidden/>
          </w:rPr>
        </w:r>
        <w:r w:rsidR="001353E5">
          <w:rPr>
            <w:noProof/>
            <w:webHidden/>
          </w:rPr>
          <w:fldChar w:fldCharType="separate"/>
        </w:r>
        <w:r w:rsidR="000250B6">
          <w:rPr>
            <w:noProof/>
            <w:webHidden/>
          </w:rPr>
          <w:t>56</w:t>
        </w:r>
        <w:r w:rsidR="001353E5">
          <w:rPr>
            <w:noProof/>
            <w:webHidden/>
          </w:rPr>
          <w:fldChar w:fldCharType="end"/>
        </w:r>
      </w:hyperlink>
    </w:p>
    <w:p w14:paraId="1BD6A84D" w14:textId="77777777" w:rsidR="001353E5" w:rsidRDefault="00231E33">
      <w:pPr>
        <w:pStyle w:val="22"/>
        <w:rPr>
          <w:rFonts w:asciiTheme="minorHAnsi" w:eastAsiaTheme="minorEastAsia" w:hAnsiTheme="minorHAnsi" w:cstheme="minorBidi"/>
          <w:b w:val="0"/>
          <w:noProof/>
          <w:szCs w:val="22"/>
          <w:lang w:eastAsia="en-GB"/>
        </w:rPr>
      </w:pPr>
      <w:hyperlink w:anchor="_Toc67565304" w:history="1">
        <w:r w:rsidR="001353E5" w:rsidRPr="00EB7E77">
          <w:rPr>
            <w:rStyle w:val="-"/>
            <w:noProof/>
          </w:rPr>
          <w:t>3.9</w:t>
        </w:r>
        <w:r w:rsidR="001353E5">
          <w:rPr>
            <w:rFonts w:asciiTheme="minorHAnsi" w:eastAsiaTheme="minorEastAsia" w:hAnsiTheme="minorHAnsi" w:cstheme="minorBidi"/>
            <w:b w:val="0"/>
            <w:noProof/>
            <w:szCs w:val="22"/>
            <w:lang w:eastAsia="en-GB"/>
          </w:rPr>
          <w:tab/>
        </w:r>
        <w:r w:rsidR="001353E5" w:rsidRPr="00EB7E77">
          <w:rPr>
            <w:rStyle w:val="-"/>
            <w:noProof/>
          </w:rPr>
          <w:t>Units</w:t>
        </w:r>
        <w:r w:rsidR="001353E5">
          <w:rPr>
            <w:noProof/>
            <w:webHidden/>
          </w:rPr>
          <w:tab/>
        </w:r>
        <w:r w:rsidR="001353E5">
          <w:rPr>
            <w:noProof/>
            <w:webHidden/>
          </w:rPr>
          <w:fldChar w:fldCharType="begin"/>
        </w:r>
        <w:r w:rsidR="001353E5">
          <w:rPr>
            <w:noProof/>
            <w:webHidden/>
          </w:rPr>
          <w:instrText xml:space="preserve"> PAGEREF _Toc67565304 \h </w:instrText>
        </w:r>
        <w:r w:rsidR="001353E5">
          <w:rPr>
            <w:noProof/>
            <w:webHidden/>
          </w:rPr>
        </w:r>
        <w:r w:rsidR="001353E5">
          <w:rPr>
            <w:noProof/>
            <w:webHidden/>
          </w:rPr>
          <w:fldChar w:fldCharType="separate"/>
        </w:r>
        <w:r w:rsidR="000250B6">
          <w:rPr>
            <w:noProof/>
            <w:webHidden/>
          </w:rPr>
          <w:t>57</w:t>
        </w:r>
        <w:r w:rsidR="001353E5">
          <w:rPr>
            <w:noProof/>
            <w:webHidden/>
          </w:rPr>
          <w:fldChar w:fldCharType="end"/>
        </w:r>
      </w:hyperlink>
    </w:p>
    <w:p w14:paraId="15035B41" w14:textId="77777777" w:rsidR="001353E5" w:rsidRDefault="00231E33">
      <w:pPr>
        <w:pStyle w:val="22"/>
        <w:rPr>
          <w:rFonts w:asciiTheme="minorHAnsi" w:eastAsiaTheme="minorEastAsia" w:hAnsiTheme="minorHAnsi" w:cstheme="minorBidi"/>
          <w:b w:val="0"/>
          <w:noProof/>
          <w:szCs w:val="22"/>
          <w:lang w:eastAsia="en-GB"/>
        </w:rPr>
      </w:pPr>
      <w:hyperlink w:anchor="_Toc67565305" w:history="1">
        <w:r w:rsidR="001353E5" w:rsidRPr="00EB7E77">
          <w:rPr>
            <w:rStyle w:val="-"/>
            <w:noProof/>
          </w:rPr>
          <w:t>3.10</w:t>
        </w:r>
        <w:r w:rsidR="001353E5">
          <w:rPr>
            <w:rFonts w:asciiTheme="minorHAnsi" w:eastAsiaTheme="minorEastAsia" w:hAnsiTheme="minorHAnsi" w:cstheme="minorBidi"/>
            <w:b w:val="0"/>
            <w:noProof/>
            <w:szCs w:val="22"/>
            <w:lang w:eastAsia="en-GB"/>
          </w:rPr>
          <w:tab/>
        </w:r>
        <w:r w:rsidR="001353E5" w:rsidRPr="00EB7E77">
          <w:rPr>
            <w:rStyle w:val="-"/>
            <w:noProof/>
          </w:rPr>
          <w:t>Sign conventions</w:t>
        </w:r>
        <w:r w:rsidR="001353E5">
          <w:rPr>
            <w:noProof/>
            <w:webHidden/>
          </w:rPr>
          <w:tab/>
        </w:r>
        <w:r w:rsidR="001353E5">
          <w:rPr>
            <w:noProof/>
            <w:webHidden/>
          </w:rPr>
          <w:fldChar w:fldCharType="begin"/>
        </w:r>
        <w:r w:rsidR="001353E5">
          <w:rPr>
            <w:noProof/>
            <w:webHidden/>
          </w:rPr>
          <w:instrText xml:space="preserve"> PAGEREF _Toc67565305 \h </w:instrText>
        </w:r>
        <w:r w:rsidR="001353E5">
          <w:rPr>
            <w:noProof/>
            <w:webHidden/>
          </w:rPr>
        </w:r>
        <w:r w:rsidR="001353E5">
          <w:rPr>
            <w:noProof/>
            <w:webHidden/>
          </w:rPr>
          <w:fldChar w:fldCharType="separate"/>
        </w:r>
        <w:r w:rsidR="000250B6">
          <w:rPr>
            <w:noProof/>
            <w:webHidden/>
          </w:rPr>
          <w:t>57</w:t>
        </w:r>
        <w:r w:rsidR="001353E5">
          <w:rPr>
            <w:noProof/>
            <w:webHidden/>
          </w:rPr>
          <w:fldChar w:fldCharType="end"/>
        </w:r>
      </w:hyperlink>
    </w:p>
    <w:p w14:paraId="3CD098D1" w14:textId="77777777" w:rsidR="001353E5" w:rsidRDefault="00231E33">
      <w:pPr>
        <w:pStyle w:val="10"/>
        <w:rPr>
          <w:rFonts w:asciiTheme="minorHAnsi" w:eastAsiaTheme="minorEastAsia" w:hAnsiTheme="minorHAnsi" w:cstheme="minorBidi"/>
          <w:b w:val="0"/>
          <w:noProof/>
          <w:szCs w:val="22"/>
          <w:lang w:eastAsia="en-GB"/>
        </w:rPr>
      </w:pPr>
      <w:hyperlink w:anchor="_Toc67565306" w:history="1">
        <w:r w:rsidR="001353E5" w:rsidRPr="00EB7E77">
          <w:rPr>
            <w:rStyle w:val="-"/>
            <w:noProof/>
          </w:rPr>
          <w:t>4</w:t>
        </w:r>
        <w:r w:rsidR="001353E5">
          <w:rPr>
            <w:rFonts w:asciiTheme="minorHAnsi" w:eastAsiaTheme="minorEastAsia" w:hAnsiTheme="minorHAnsi" w:cstheme="minorBidi"/>
            <w:b w:val="0"/>
            <w:noProof/>
            <w:szCs w:val="22"/>
            <w:lang w:eastAsia="en-GB"/>
          </w:rPr>
          <w:tab/>
        </w:r>
        <w:r w:rsidR="001353E5" w:rsidRPr="00EB7E77">
          <w:rPr>
            <w:rStyle w:val="-"/>
            <w:noProof/>
          </w:rPr>
          <w:t>Basis of design</w:t>
        </w:r>
        <w:r w:rsidR="001353E5">
          <w:rPr>
            <w:noProof/>
            <w:webHidden/>
          </w:rPr>
          <w:tab/>
        </w:r>
        <w:r w:rsidR="001353E5">
          <w:rPr>
            <w:noProof/>
            <w:webHidden/>
          </w:rPr>
          <w:fldChar w:fldCharType="begin"/>
        </w:r>
        <w:r w:rsidR="001353E5">
          <w:rPr>
            <w:noProof/>
            <w:webHidden/>
          </w:rPr>
          <w:instrText xml:space="preserve"> PAGEREF _Toc67565306 \h </w:instrText>
        </w:r>
        <w:r w:rsidR="001353E5">
          <w:rPr>
            <w:noProof/>
            <w:webHidden/>
          </w:rPr>
        </w:r>
        <w:r w:rsidR="001353E5">
          <w:rPr>
            <w:noProof/>
            <w:webHidden/>
          </w:rPr>
          <w:fldChar w:fldCharType="separate"/>
        </w:r>
        <w:r w:rsidR="000250B6">
          <w:rPr>
            <w:noProof/>
            <w:webHidden/>
          </w:rPr>
          <w:t>57</w:t>
        </w:r>
        <w:r w:rsidR="001353E5">
          <w:rPr>
            <w:noProof/>
            <w:webHidden/>
          </w:rPr>
          <w:fldChar w:fldCharType="end"/>
        </w:r>
      </w:hyperlink>
    </w:p>
    <w:p w14:paraId="2983595A" w14:textId="77777777" w:rsidR="001353E5" w:rsidRDefault="00231E33">
      <w:pPr>
        <w:pStyle w:val="22"/>
        <w:rPr>
          <w:rFonts w:asciiTheme="minorHAnsi" w:eastAsiaTheme="minorEastAsia" w:hAnsiTheme="minorHAnsi" w:cstheme="minorBidi"/>
          <w:b w:val="0"/>
          <w:noProof/>
          <w:szCs w:val="22"/>
          <w:lang w:eastAsia="en-GB"/>
        </w:rPr>
      </w:pPr>
      <w:hyperlink w:anchor="_Toc67565307" w:history="1">
        <w:r w:rsidR="001353E5" w:rsidRPr="00EB7E77">
          <w:rPr>
            <w:rStyle w:val="-"/>
            <w:noProof/>
          </w:rPr>
          <w:t>4.1</w:t>
        </w:r>
        <w:r w:rsidR="001353E5">
          <w:rPr>
            <w:rFonts w:asciiTheme="minorHAnsi" w:eastAsiaTheme="minorEastAsia" w:hAnsiTheme="minorHAnsi" w:cstheme="minorBidi"/>
            <w:b w:val="0"/>
            <w:noProof/>
            <w:szCs w:val="22"/>
            <w:lang w:eastAsia="en-GB"/>
          </w:rPr>
          <w:tab/>
        </w:r>
        <w:r w:rsidR="001353E5" w:rsidRPr="00EB7E77">
          <w:rPr>
            <w:rStyle w:val="-"/>
            <w:noProof/>
          </w:rPr>
          <w:t>General rules</w:t>
        </w:r>
        <w:r w:rsidR="001353E5">
          <w:rPr>
            <w:noProof/>
            <w:webHidden/>
          </w:rPr>
          <w:tab/>
        </w:r>
        <w:r w:rsidR="001353E5">
          <w:rPr>
            <w:noProof/>
            <w:webHidden/>
          </w:rPr>
          <w:fldChar w:fldCharType="begin"/>
        </w:r>
        <w:r w:rsidR="001353E5">
          <w:rPr>
            <w:noProof/>
            <w:webHidden/>
          </w:rPr>
          <w:instrText xml:space="preserve"> PAGEREF _Toc67565307 \h </w:instrText>
        </w:r>
        <w:r w:rsidR="001353E5">
          <w:rPr>
            <w:noProof/>
            <w:webHidden/>
          </w:rPr>
        </w:r>
        <w:r w:rsidR="001353E5">
          <w:rPr>
            <w:noProof/>
            <w:webHidden/>
          </w:rPr>
          <w:fldChar w:fldCharType="separate"/>
        </w:r>
        <w:r w:rsidR="000250B6">
          <w:rPr>
            <w:noProof/>
            <w:webHidden/>
          </w:rPr>
          <w:t>57</w:t>
        </w:r>
        <w:r w:rsidR="001353E5">
          <w:rPr>
            <w:noProof/>
            <w:webHidden/>
          </w:rPr>
          <w:fldChar w:fldCharType="end"/>
        </w:r>
      </w:hyperlink>
    </w:p>
    <w:p w14:paraId="2F0799DA" w14:textId="77777777" w:rsidR="001353E5" w:rsidRDefault="00231E33">
      <w:pPr>
        <w:pStyle w:val="32"/>
        <w:rPr>
          <w:rFonts w:asciiTheme="minorHAnsi" w:eastAsiaTheme="minorEastAsia" w:hAnsiTheme="minorHAnsi" w:cstheme="minorBidi"/>
          <w:b w:val="0"/>
          <w:noProof/>
          <w:szCs w:val="22"/>
          <w:lang w:eastAsia="en-GB"/>
        </w:rPr>
      </w:pPr>
      <w:hyperlink w:anchor="_Toc67565308" w:history="1">
        <w:r w:rsidR="001353E5" w:rsidRPr="00EB7E77">
          <w:rPr>
            <w:rStyle w:val="-"/>
            <w:noProof/>
          </w:rPr>
          <w:t>4.1.1</w:t>
        </w:r>
        <w:r w:rsidR="001353E5">
          <w:rPr>
            <w:rFonts w:asciiTheme="minorHAnsi" w:eastAsiaTheme="minorEastAsia" w:hAnsiTheme="minorHAnsi" w:cstheme="minorBidi"/>
            <w:b w:val="0"/>
            <w:noProof/>
            <w:szCs w:val="22"/>
            <w:lang w:eastAsia="en-GB"/>
          </w:rPr>
          <w:tab/>
        </w:r>
        <w:r w:rsidR="001353E5" w:rsidRPr="00EB7E77">
          <w:rPr>
            <w:rStyle w:val="-"/>
            <w:noProof/>
          </w:rPr>
          <w:t>Basic requirements</w:t>
        </w:r>
        <w:r w:rsidR="001353E5">
          <w:rPr>
            <w:noProof/>
            <w:webHidden/>
          </w:rPr>
          <w:tab/>
        </w:r>
        <w:r w:rsidR="001353E5">
          <w:rPr>
            <w:noProof/>
            <w:webHidden/>
          </w:rPr>
          <w:fldChar w:fldCharType="begin"/>
        </w:r>
        <w:r w:rsidR="001353E5">
          <w:rPr>
            <w:noProof/>
            <w:webHidden/>
          </w:rPr>
          <w:instrText xml:space="preserve"> PAGEREF _Toc67565308 \h </w:instrText>
        </w:r>
        <w:r w:rsidR="001353E5">
          <w:rPr>
            <w:noProof/>
            <w:webHidden/>
          </w:rPr>
        </w:r>
        <w:r w:rsidR="001353E5">
          <w:rPr>
            <w:noProof/>
            <w:webHidden/>
          </w:rPr>
          <w:fldChar w:fldCharType="separate"/>
        </w:r>
        <w:r w:rsidR="000250B6">
          <w:rPr>
            <w:noProof/>
            <w:webHidden/>
          </w:rPr>
          <w:t>57</w:t>
        </w:r>
        <w:r w:rsidR="001353E5">
          <w:rPr>
            <w:noProof/>
            <w:webHidden/>
          </w:rPr>
          <w:fldChar w:fldCharType="end"/>
        </w:r>
      </w:hyperlink>
    </w:p>
    <w:p w14:paraId="51A616F6" w14:textId="77777777" w:rsidR="001353E5" w:rsidRDefault="00231E33">
      <w:pPr>
        <w:pStyle w:val="32"/>
        <w:rPr>
          <w:rFonts w:asciiTheme="minorHAnsi" w:eastAsiaTheme="minorEastAsia" w:hAnsiTheme="minorHAnsi" w:cstheme="minorBidi"/>
          <w:b w:val="0"/>
          <w:noProof/>
          <w:szCs w:val="22"/>
          <w:lang w:eastAsia="en-GB"/>
        </w:rPr>
      </w:pPr>
      <w:hyperlink w:anchor="_Toc67565309" w:history="1">
        <w:r w:rsidR="001353E5" w:rsidRPr="00EB7E77">
          <w:rPr>
            <w:rStyle w:val="-"/>
            <w:noProof/>
          </w:rPr>
          <w:t>4.1.2</w:t>
        </w:r>
        <w:r w:rsidR="001353E5">
          <w:rPr>
            <w:rFonts w:asciiTheme="minorHAnsi" w:eastAsiaTheme="minorEastAsia" w:hAnsiTheme="minorHAnsi" w:cstheme="minorBidi"/>
            <w:b w:val="0"/>
            <w:noProof/>
            <w:szCs w:val="22"/>
            <w:lang w:eastAsia="en-GB"/>
          </w:rPr>
          <w:tab/>
        </w:r>
        <w:r w:rsidR="001353E5" w:rsidRPr="00EB7E77">
          <w:rPr>
            <w:rStyle w:val="-"/>
            <w:noProof/>
          </w:rPr>
          <w:t>Structural reliability and quality management</w:t>
        </w:r>
        <w:r w:rsidR="001353E5">
          <w:rPr>
            <w:noProof/>
            <w:webHidden/>
          </w:rPr>
          <w:tab/>
        </w:r>
        <w:r w:rsidR="001353E5">
          <w:rPr>
            <w:noProof/>
            <w:webHidden/>
          </w:rPr>
          <w:fldChar w:fldCharType="begin"/>
        </w:r>
        <w:r w:rsidR="001353E5">
          <w:rPr>
            <w:noProof/>
            <w:webHidden/>
          </w:rPr>
          <w:instrText xml:space="preserve"> PAGEREF _Toc67565309 \h </w:instrText>
        </w:r>
        <w:r w:rsidR="001353E5">
          <w:rPr>
            <w:noProof/>
            <w:webHidden/>
          </w:rPr>
        </w:r>
        <w:r w:rsidR="001353E5">
          <w:rPr>
            <w:noProof/>
            <w:webHidden/>
          </w:rPr>
          <w:fldChar w:fldCharType="separate"/>
        </w:r>
        <w:r w:rsidR="000250B6">
          <w:rPr>
            <w:noProof/>
            <w:webHidden/>
          </w:rPr>
          <w:t>57</w:t>
        </w:r>
        <w:r w:rsidR="001353E5">
          <w:rPr>
            <w:noProof/>
            <w:webHidden/>
          </w:rPr>
          <w:fldChar w:fldCharType="end"/>
        </w:r>
      </w:hyperlink>
    </w:p>
    <w:p w14:paraId="6BCBC23E" w14:textId="77777777" w:rsidR="001353E5" w:rsidRDefault="00231E33">
      <w:pPr>
        <w:pStyle w:val="32"/>
        <w:rPr>
          <w:rFonts w:asciiTheme="minorHAnsi" w:eastAsiaTheme="minorEastAsia" w:hAnsiTheme="minorHAnsi" w:cstheme="minorBidi"/>
          <w:b w:val="0"/>
          <w:noProof/>
          <w:szCs w:val="22"/>
          <w:lang w:eastAsia="en-GB"/>
        </w:rPr>
      </w:pPr>
      <w:hyperlink w:anchor="_Toc67565310" w:history="1">
        <w:r w:rsidR="001353E5" w:rsidRPr="00EB7E77">
          <w:rPr>
            <w:rStyle w:val="-"/>
            <w:noProof/>
          </w:rPr>
          <w:t>4.1.3</w:t>
        </w:r>
        <w:r w:rsidR="001353E5">
          <w:rPr>
            <w:rFonts w:asciiTheme="minorHAnsi" w:eastAsiaTheme="minorEastAsia" w:hAnsiTheme="minorHAnsi" w:cstheme="minorBidi"/>
            <w:b w:val="0"/>
            <w:noProof/>
            <w:szCs w:val="22"/>
            <w:lang w:eastAsia="en-GB"/>
          </w:rPr>
          <w:tab/>
        </w:r>
        <w:r w:rsidR="001353E5" w:rsidRPr="00EB7E77">
          <w:rPr>
            <w:rStyle w:val="-"/>
            <w:noProof/>
          </w:rPr>
          <w:t>Design service life</w:t>
        </w:r>
        <w:r w:rsidR="001353E5">
          <w:rPr>
            <w:noProof/>
            <w:webHidden/>
          </w:rPr>
          <w:tab/>
        </w:r>
        <w:r w:rsidR="001353E5">
          <w:rPr>
            <w:noProof/>
            <w:webHidden/>
          </w:rPr>
          <w:fldChar w:fldCharType="begin"/>
        </w:r>
        <w:r w:rsidR="001353E5">
          <w:rPr>
            <w:noProof/>
            <w:webHidden/>
          </w:rPr>
          <w:instrText xml:space="preserve"> PAGEREF _Toc67565310 \h </w:instrText>
        </w:r>
        <w:r w:rsidR="001353E5">
          <w:rPr>
            <w:noProof/>
            <w:webHidden/>
          </w:rPr>
        </w:r>
        <w:r w:rsidR="001353E5">
          <w:rPr>
            <w:noProof/>
            <w:webHidden/>
          </w:rPr>
          <w:fldChar w:fldCharType="separate"/>
        </w:r>
        <w:r w:rsidR="000250B6">
          <w:rPr>
            <w:noProof/>
            <w:webHidden/>
          </w:rPr>
          <w:t>57</w:t>
        </w:r>
        <w:r w:rsidR="001353E5">
          <w:rPr>
            <w:noProof/>
            <w:webHidden/>
          </w:rPr>
          <w:fldChar w:fldCharType="end"/>
        </w:r>
      </w:hyperlink>
    </w:p>
    <w:p w14:paraId="02E7AD6D" w14:textId="77777777" w:rsidR="001353E5" w:rsidRDefault="00231E33">
      <w:pPr>
        <w:pStyle w:val="22"/>
        <w:rPr>
          <w:rFonts w:asciiTheme="minorHAnsi" w:eastAsiaTheme="minorEastAsia" w:hAnsiTheme="minorHAnsi" w:cstheme="minorBidi"/>
          <w:b w:val="0"/>
          <w:noProof/>
          <w:szCs w:val="22"/>
          <w:lang w:eastAsia="en-GB"/>
        </w:rPr>
      </w:pPr>
      <w:hyperlink w:anchor="_Toc67565311" w:history="1">
        <w:r w:rsidR="001353E5" w:rsidRPr="00EB7E77">
          <w:rPr>
            <w:rStyle w:val="-"/>
            <w:noProof/>
          </w:rPr>
          <w:t>4.2</w:t>
        </w:r>
        <w:r w:rsidR="001353E5">
          <w:rPr>
            <w:rFonts w:asciiTheme="minorHAnsi" w:eastAsiaTheme="minorEastAsia" w:hAnsiTheme="minorHAnsi" w:cstheme="minorBidi"/>
            <w:b w:val="0"/>
            <w:noProof/>
            <w:szCs w:val="22"/>
            <w:lang w:eastAsia="en-GB"/>
          </w:rPr>
          <w:tab/>
        </w:r>
        <w:r w:rsidR="001353E5" w:rsidRPr="00EB7E77">
          <w:rPr>
            <w:rStyle w:val="-"/>
            <w:noProof/>
          </w:rPr>
          <w:t>Basic variables</w:t>
        </w:r>
        <w:r w:rsidR="001353E5">
          <w:rPr>
            <w:noProof/>
            <w:webHidden/>
          </w:rPr>
          <w:tab/>
        </w:r>
        <w:r w:rsidR="001353E5">
          <w:rPr>
            <w:noProof/>
            <w:webHidden/>
          </w:rPr>
          <w:fldChar w:fldCharType="begin"/>
        </w:r>
        <w:r w:rsidR="001353E5">
          <w:rPr>
            <w:noProof/>
            <w:webHidden/>
          </w:rPr>
          <w:instrText xml:space="preserve"> PAGEREF _Toc67565311 \h </w:instrText>
        </w:r>
        <w:r w:rsidR="001353E5">
          <w:rPr>
            <w:noProof/>
            <w:webHidden/>
          </w:rPr>
        </w:r>
        <w:r w:rsidR="001353E5">
          <w:rPr>
            <w:noProof/>
            <w:webHidden/>
          </w:rPr>
          <w:fldChar w:fldCharType="separate"/>
        </w:r>
        <w:r w:rsidR="000250B6">
          <w:rPr>
            <w:noProof/>
            <w:webHidden/>
          </w:rPr>
          <w:t>58</w:t>
        </w:r>
        <w:r w:rsidR="001353E5">
          <w:rPr>
            <w:noProof/>
            <w:webHidden/>
          </w:rPr>
          <w:fldChar w:fldCharType="end"/>
        </w:r>
      </w:hyperlink>
    </w:p>
    <w:p w14:paraId="0CF4ED77" w14:textId="77777777" w:rsidR="001353E5" w:rsidRDefault="00231E33">
      <w:pPr>
        <w:pStyle w:val="32"/>
        <w:rPr>
          <w:rFonts w:asciiTheme="minorHAnsi" w:eastAsiaTheme="minorEastAsia" w:hAnsiTheme="minorHAnsi" w:cstheme="minorBidi"/>
          <w:b w:val="0"/>
          <w:noProof/>
          <w:szCs w:val="22"/>
          <w:lang w:eastAsia="en-GB"/>
        </w:rPr>
      </w:pPr>
      <w:hyperlink w:anchor="_Toc67565312" w:history="1">
        <w:r w:rsidR="001353E5" w:rsidRPr="00EB7E77">
          <w:rPr>
            <w:rStyle w:val="-"/>
            <w:noProof/>
          </w:rPr>
          <w:t>4.2.1</w:t>
        </w:r>
        <w:r w:rsidR="001353E5">
          <w:rPr>
            <w:rFonts w:asciiTheme="minorHAnsi" w:eastAsiaTheme="minorEastAsia" w:hAnsiTheme="minorHAnsi" w:cstheme="minorBidi"/>
            <w:b w:val="0"/>
            <w:noProof/>
            <w:szCs w:val="22"/>
            <w:lang w:eastAsia="en-GB"/>
          </w:rPr>
          <w:tab/>
        </w:r>
        <w:r w:rsidR="001353E5" w:rsidRPr="00EB7E77">
          <w:rPr>
            <w:rStyle w:val="-"/>
            <w:noProof/>
          </w:rPr>
          <w:t>Actions and time-dependent effects</w:t>
        </w:r>
        <w:r w:rsidR="001353E5">
          <w:rPr>
            <w:noProof/>
            <w:webHidden/>
          </w:rPr>
          <w:tab/>
        </w:r>
        <w:r w:rsidR="001353E5">
          <w:rPr>
            <w:noProof/>
            <w:webHidden/>
          </w:rPr>
          <w:fldChar w:fldCharType="begin"/>
        </w:r>
        <w:r w:rsidR="001353E5">
          <w:rPr>
            <w:noProof/>
            <w:webHidden/>
          </w:rPr>
          <w:instrText xml:space="preserve"> PAGEREF _Toc67565312 \h </w:instrText>
        </w:r>
        <w:r w:rsidR="001353E5">
          <w:rPr>
            <w:noProof/>
            <w:webHidden/>
          </w:rPr>
        </w:r>
        <w:r w:rsidR="001353E5">
          <w:rPr>
            <w:noProof/>
            <w:webHidden/>
          </w:rPr>
          <w:fldChar w:fldCharType="separate"/>
        </w:r>
        <w:r w:rsidR="000250B6">
          <w:rPr>
            <w:noProof/>
            <w:webHidden/>
          </w:rPr>
          <w:t>58</w:t>
        </w:r>
        <w:r w:rsidR="001353E5">
          <w:rPr>
            <w:noProof/>
            <w:webHidden/>
          </w:rPr>
          <w:fldChar w:fldCharType="end"/>
        </w:r>
      </w:hyperlink>
    </w:p>
    <w:p w14:paraId="2B46B0EC" w14:textId="77777777" w:rsidR="001353E5" w:rsidRDefault="00231E33">
      <w:pPr>
        <w:pStyle w:val="32"/>
        <w:rPr>
          <w:rFonts w:asciiTheme="minorHAnsi" w:eastAsiaTheme="minorEastAsia" w:hAnsiTheme="minorHAnsi" w:cstheme="minorBidi"/>
          <w:b w:val="0"/>
          <w:noProof/>
          <w:szCs w:val="22"/>
          <w:lang w:eastAsia="en-GB"/>
        </w:rPr>
      </w:pPr>
      <w:hyperlink w:anchor="_Toc67565313" w:history="1">
        <w:r w:rsidR="001353E5" w:rsidRPr="00EB7E77">
          <w:rPr>
            <w:rStyle w:val="-"/>
            <w:noProof/>
          </w:rPr>
          <w:t>4.2.2</w:t>
        </w:r>
        <w:r w:rsidR="001353E5">
          <w:rPr>
            <w:rFonts w:asciiTheme="minorHAnsi" w:eastAsiaTheme="minorEastAsia" w:hAnsiTheme="minorHAnsi" w:cstheme="minorBidi"/>
            <w:b w:val="0"/>
            <w:noProof/>
            <w:szCs w:val="22"/>
            <w:lang w:eastAsia="en-GB"/>
          </w:rPr>
          <w:tab/>
        </w:r>
        <w:r w:rsidR="001353E5" w:rsidRPr="00EB7E77">
          <w:rPr>
            <w:rStyle w:val="-"/>
            <w:noProof/>
          </w:rPr>
          <w:t>Geometric data</w:t>
        </w:r>
        <w:r w:rsidR="001353E5">
          <w:rPr>
            <w:noProof/>
            <w:webHidden/>
          </w:rPr>
          <w:tab/>
        </w:r>
        <w:r w:rsidR="001353E5">
          <w:rPr>
            <w:noProof/>
            <w:webHidden/>
          </w:rPr>
          <w:fldChar w:fldCharType="begin"/>
        </w:r>
        <w:r w:rsidR="001353E5">
          <w:rPr>
            <w:noProof/>
            <w:webHidden/>
          </w:rPr>
          <w:instrText xml:space="preserve"> PAGEREF _Toc67565313 \h </w:instrText>
        </w:r>
        <w:r w:rsidR="001353E5">
          <w:rPr>
            <w:noProof/>
            <w:webHidden/>
          </w:rPr>
        </w:r>
        <w:r w:rsidR="001353E5">
          <w:rPr>
            <w:noProof/>
            <w:webHidden/>
          </w:rPr>
          <w:fldChar w:fldCharType="separate"/>
        </w:r>
        <w:r w:rsidR="000250B6">
          <w:rPr>
            <w:noProof/>
            <w:webHidden/>
          </w:rPr>
          <w:t>59</w:t>
        </w:r>
        <w:r w:rsidR="001353E5">
          <w:rPr>
            <w:noProof/>
            <w:webHidden/>
          </w:rPr>
          <w:fldChar w:fldCharType="end"/>
        </w:r>
      </w:hyperlink>
    </w:p>
    <w:p w14:paraId="51FE0B2A" w14:textId="77777777" w:rsidR="001353E5" w:rsidRDefault="00231E33">
      <w:pPr>
        <w:pStyle w:val="22"/>
        <w:rPr>
          <w:rFonts w:asciiTheme="minorHAnsi" w:eastAsiaTheme="minorEastAsia" w:hAnsiTheme="minorHAnsi" w:cstheme="minorBidi"/>
          <w:b w:val="0"/>
          <w:noProof/>
          <w:szCs w:val="22"/>
          <w:lang w:eastAsia="en-GB"/>
        </w:rPr>
      </w:pPr>
      <w:hyperlink w:anchor="_Toc67565314" w:history="1">
        <w:r w:rsidR="001353E5" w:rsidRPr="00EB7E77">
          <w:rPr>
            <w:rStyle w:val="-"/>
            <w:noProof/>
          </w:rPr>
          <w:t>4.3</w:t>
        </w:r>
        <w:r w:rsidR="001353E5">
          <w:rPr>
            <w:rFonts w:asciiTheme="minorHAnsi" w:eastAsiaTheme="minorEastAsia" w:hAnsiTheme="minorHAnsi" w:cstheme="minorBidi"/>
            <w:b w:val="0"/>
            <w:noProof/>
            <w:szCs w:val="22"/>
            <w:lang w:eastAsia="en-GB"/>
          </w:rPr>
          <w:tab/>
        </w:r>
        <w:r w:rsidR="001353E5" w:rsidRPr="00EB7E77">
          <w:rPr>
            <w:rStyle w:val="-"/>
            <w:noProof/>
          </w:rPr>
          <w:t>Verification by the partial factor method</w:t>
        </w:r>
        <w:r w:rsidR="001353E5">
          <w:rPr>
            <w:noProof/>
            <w:webHidden/>
          </w:rPr>
          <w:tab/>
        </w:r>
        <w:r w:rsidR="001353E5">
          <w:rPr>
            <w:noProof/>
            <w:webHidden/>
          </w:rPr>
          <w:fldChar w:fldCharType="begin"/>
        </w:r>
        <w:r w:rsidR="001353E5">
          <w:rPr>
            <w:noProof/>
            <w:webHidden/>
          </w:rPr>
          <w:instrText xml:space="preserve"> PAGEREF _Toc67565314 \h </w:instrText>
        </w:r>
        <w:r w:rsidR="001353E5">
          <w:rPr>
            <w:noProof/>
            <w:webHidden/>
          </w:rPr>
        </w:r>
        <w:r w:rsidR="001353E5">
          <w:rPr>
            <w:noProof/>
            <w:webHidden/>
          </w:rPr>
          <w:fldChar w:fldCharType="separate"/>
        </w:r>
        <w:r w:rsidR="000250B6">
          <w:rPr>
            <w:noProof/>
            <w:webHidden/>
          </w:rPr>
          <w:t>60</w:t>
        </w:r>
        <w:r w:rsidR="001353E5">
          <w:rPr>
            <w:noProof/>
            <w:webHidden/>
          </w:rPr>
          <w:fldChar w:fldCharType="end"/>
        </w:r>
      </w:hyperlink>
    </w:p>
    <w:p w14:paraId="19FF391E" w14:textId="77777777" w:rsidR="001353E5" w:rsidRDefault="00231E33">
      <w:pPr>
        <w:pStyle w:val="32"/>
        <w:rPr>
          <w:rFonts w:asciiTheme="minorHAnsi" w:eastAsiaTheme="minorEastAsia" w:hAnsiTheme="minorHAnsi" w:cstheme="minorBidi"/>
          <w:b w:val="0"/>
          <w:noProof/>
          <w:szCs w:val="22"/>
          <w:lang w:eastAsia="en-GB"/>
        </w:rPr>
      </w:pPr>
      <w:hyperlink w:anchor="_Toc67565315" w:history="1">
        <w:r w:rsidR="001353E5" w:rsidRPr="00EB7E77">
          <w:rPr>
            <w:rStyle w:val="-"/>
            <w:noProof/>
          </w:rPr>
          <w:t>4.3.1</w:t>
        </w:r>
        <w:r w:rsidR="001353E5">
          <w:rPr>
            <w:rFonts w:asciiTheme="minorHAnsi" w:eastAsiaTheme="minorEastAsia" w:hAnsiTheme="minorHAnsi" w:cstheme="minorBidi"/>
            <w:b w:val="0"/>
            <w:noProof/>
            <w:szCs w:val="22"/>
            <w:lang w:eastAsia="en-GB"/>
          </w:rPr>
          <w:tab/>
        </w:r>
        <w:r w:rsidR="001353E5" w:rsidRPr="00EB7E77">
          <w:rPr>
            <w:rStyle w:val="-"/>
            <w:noProof/>
          </w:rPr>
          <w:t>Partial factor for shrinkage action</w:t>
        </w:r>
        <w:r w:rsidR="001353E5">
          <w:rPr>
            <w:noProof/>
            <w:webHidden/>
          </w:rPr>
          <w:tab/>
        </w:r>
        <w:r w:rsidR="001353E5">
          <w:rPr>
            <w:noProof/>
            <w:webHidden/>
          </w:rPr>
          <w:fldChar w:fldCharType="begin"/>
        </w:r>
        <w:r w:rsidR="001353E5">
          <w:rPr>
            <w:noProof/>
            <w:webHidden/>
          </w:rPr>
          <w:instrText xml:space="preserve"> PAGEREF _Toc67565315 \h </w:instrText>
        </w:r>
        <w:r w:rsidR="001353E5">
          <w:rPr>
            <w:noProof/>
            <w:webHidden/>
          </w:rPr>
        </w:r>
        <w:r w:rsidR="001353E5">
          <w:rPr>
            <w:noProof/>
            <w:webHidden/>
          </w:rPr>
          <w:fldChar w:fldCharType="separate"/>
        </w:r>
        <w:r w:rsidR="000250B6">
          <w:rPr>
            <w:noProof/>
            <w:webHidden/>
          </w:rPr>
          <w:t>60</w:t>
        </w:r>
        <w:r w:rsidR="001353E5">
          <w:rPr>
            <w:noProof/>
            <w:webHidden/>
          </w:rPr>
          <w:fldChar w:fldCharType="end"/>
        </w:r>
      </w:hyperlink>
    </w:p>
    <w:p w14:paraId="6F3EF070" w14:textId="77777777" w:rsidR="001353E5" w:rsidRDefault="00231E33">
      <w:pPr>
        <w:pStyle w:val="32"/>
        <w:rPr>
          <w:rFonts w:asciiTheme="minorHAnsi" w:eastAsiaTheme="minorEastAsia" w:hAnsiTheme="minorHAnsi" w:cstheme="minorBidi"/>
          <w:b w:val="0"/>
          <w:noProof/>
          <w:szCs w:val="22"/>
          <w:lang w:eastAsia="en-GB"/>
        </w:rPr>
      </w:pPr>
      <w:hyperlink w:anchor="_Toc67565316" w:history="1">
        <w:r w:rsidR="001353E5" w:rsidRPr="00EB7E77">
          <w:rPr>
            <w:rStyle w:val="-"/>
            <w:noProof/>
          </w:rPr>
          <w:t>4.3.2</w:t>
        </w:r>
        <w:r w:rsidR="001353E5">
          <w:rPr>
            <w:rFonts w:asciiTheme="minorHAnsi" w:eastAsiaTheme="minorEastAsia" w:hAnsiTheme="minorHAnsi" w:cstheme="minorBidi"/>
            <w:b w:val="0"/>
            <w:noProof/>
            <w:szCs w:val="22"/>
            <w:lang w:eastAsia="en-GB"/>
          </w:rPr>
          <w:tab/>
        </w:r>
        <w:r w:rsidR="001353E5" w:rsidRPr="00EB7E77">
          <w:rPr>
            <w:rStyle w:val="-"/>
            <w:noProof/>
          </w:rPr>
          <w:t>Partial factors for prestress action</w:t>
        </w:r>
        <w:r w:rsidR="001353E5">
          <w:rPr>
            <w:noProof/>
            <w:webHidden/>
          </w:rPr>
          <w:tab/>
        </w:r>
        <w:r w:rsidR="001353E5">
          <w:rPr>
            <w:noProof/>
            <w:webHidden/>
          </w:rPr>
          <w:fldChar w:fldCharType="begin"/>
        </w:r>
        <w:r w:rsidR="001353E5">
          <w:rPr>
            <w:noProof/>
            <w:webHidden/>
          </w:rPr>
          <w:instrText xml:space="preserve"> PAGEREF _Toc67565316 \h </w:instrText>
        </w:r>
        <w:r w:rsidR="001353E5">
          <w:rPr>
            <w:noProof/>
            <w:webHidden/>
          </w:rPr>
        </w:r>
        <w:r w:rsidR="001353E5">
          <w:rPr>
            <w:noProof/>
            <w:webHidden/>
          </w:rPr>
          <w:fldChar w:fldCharType="separate"/>
        </w:r>
        <w:r w:rsidR="000250B6">
          <w:rPr>
            <w:noProof/>
            <w:webHidden/>
          </w:rPr>
          <w:t>60</w:t>
        </w:r>
        <w:r w:rsidR="001353E5">
          <w:rPr>
            <w:noProof/>
            <w:webHidden/>
          </w:rPr>
          <w:fldChar w:fldCharType="end"/>
        </w:r>
      </w:hyperlink>
    </w:p>
    <w:p w14:paraId="5C9AEFE6" w14:textId="77777777" w:rsidR="001353E5" w:rsidRDefault="00231E33">
      <w:pPr>
        <w:pStyle w:val="32"/>
        <w:rPr>
          <w:rFonts w:asciiTheme="minorHAnsi" w:eastAsiaTheme="minorEastAsia" w:hAnsiTheme="minorHAnsi" w:cstheme="minorBidi"/>
          <w:b w:val="0"/>
          <w:noProof/>
          <w:szCs w:val="22"/>
          <w:lang w:eastAsia="en-GB"/>
        </w:rPr>
      </w:pPr>
      <w:hyperlink w:anchor="_Toc67565317" w:history="1">
        <w:r w:rsidR="001353E5" w:rsidRPr="00EB7E77">
          <w:rPr>
            <w:rStyle w:val="-"/>
            <w:noProof/>
          </w:rPr>
          <w:t>4.3.3</w:t>
        </w:r>
        <w:r w:rsidR="001353E5">
          <w:rPr>
            <w:rFonts w:asciiTheme="minorHAnsi" w:eastAsiaTheme="minorEastAsia" w:hAnsiTheme="minorHAnsi" w:cstheme="minorBidi"/>
            <w:b w:val="0"/>
            <w:noProof/>
            <w:szCs w:val="22"/>
            <w:lang w:eastAsia="en-GB"/>
          </w:rPr>
          <w:tab/>
        </w:r>
        <w:r w:rsidR="001353E5" w:rsidRPr="00EB7E77">
          <w:rPr>
            <w:rStyle w:val="-"/>
            <w:noProof/>
          </w:rPr>
          <w:t>Partial factors for materials</w:t>
        </w:r>
        <w:r w:rsidR="001353E5">
          <w:rPr>
            <w:noProof/>
            <w:webHidden/>
          </w:rPr>
          <w:tab/>
        </w:r>
        <w:r w:rsidR="001353E5">
          <w:rPr>
            <w:noProof/>
            <w:webHidden/>
          </w:rPr>
          <w:fldChar w:fldCharType="begin"/>
        </w:r>
        <w:r w:rsidR="001353E5">
          <w:rPr>
            <w:noProof/>
            <w:webHidden/>
          </w:rPr>
          <w:instrText xml:space="preserve"> PAGEREF _Toc67565317 \h </w:instrText>
        </w:r>
        <w:r w:rsidR="001353E5">
          <w:rPr>
            <w:noProof/>
            <w:webHidden/>
          </w:rPr>
        </w:r>
        <w:r w:rsidR="001353E5">
          <w:rPr>
            <w:noProof/>
            <w:webHidden/>
          </w:rPr>
          <w:fldChar w:fldCharType="separate"/>
        </w:r>
        <w:r w:rsidR="000250B6">
          <w:rPr>
            <w:noProof/>
            <w:webHidden/>
          </w:rPr>
          <w:t>60</w:t>
        </w:r>
        <w:r w:rsidR="001353E5">
          <w:rPr>
            <w:noProof/>
            <w:webHidden/>
          </w:rPr>
          <w:fldChar w:fldCharType="end"/>
        </w:r>
      </w:hyperlink>
    </w:p>
    <w:p w14:paraId="3EF22418" w14:textId="77777777" w:rsidR="001353E5" w:rsidRDefault="00231E33">
      <w:pPr>
        <w:pStyle w:val="22"/>
        <w:rPr>
          <w:rFonts w:asciiTheme="minorHAnsi" w:eastAsiaTheme="minorEastAsia" w:hAnsiTheme="minorHAnsi" w:cstheme="minorBidi"/>
          <w:b w:val="0"/>
          <w:noProof/>
          <w:szCs w:val="22"/>
          <w:lang w:eastAsia="en-GB"/>
        </w:rPr>
      </w:pPr>
      <w:hyperlink w:anchor="_Toc67565318" w:history="1">
        <w:r w:rsidR="001353E5" w:rsidRPr="00EB7E77">
          <w:rPr>
            <w:rStyle w:val="-"/>
            <w:noProof/>
          </w:rPr>
          <w:t>4.4</w:t>
        </w:r>
        <w:r w:rsidR="001353E5">
          <w:rPr>
            <w:rFonts w:asciiTheme="minorHAnsi" w:eastAsiaTheme="minorEastAsia" w:hAnsiTheme="minorHAnsi" w:cstheme="minorBidi"/>
            <w:b w:val="0"/>
            <w:noProof/>
            <w:szCs w:val="22"/>
            <w:lang w:eastAsia="en-GB"/>
          </w:rPr>
          <w:tab/>
        </w:r>
        <w:r w:rsidR="001353E5" w:rsidRPr="00EB7E77">
          <w:rPr>
            <w:rStyle w:val="-"/>
            <w:noProof/>
          </w:rPr>
          <w:t>Requirements for fastenings</w:t>
        </w:r>
        <w:r w:rsidR="001353E5" w:rsidRPr="00EB7E77">
          <w:rPr>
            <w:rStyle w:val="-"/>
            <w:rFonts w:eastAsiaTheme="minorHAnsi"/>
            <w:noProof/>
          </w:rPr>
          <w:t xml:space="preserve"> </w:t>
        </w:r>
        <w:r w:rsidR="001353E5" w:rsidRPr="00EB7E77">
          <w:rPr>
            <w:rStyle w:val="-"/>
            <w:noProof/>
          </w:rPr>
          <w:t>and post-installed reinforcing steel</w:t>
        </w:r>
        <w:r w:rsidR="001353E5">
          <w:rPr>
            <w:noProof/>
            <w:webHidden/>
          </w:rPr>
          <w:tab/>
        </w:r>
        <w:r w:rsidR="001353E5">
          <w:rPr>
            <w:noProof/>
            <w:webHidden/>
          </w:rPr>
          <w:fldChar w:fldCharType="begin"/>
        </w:r>
        <w:r w:rsidR="001353E5">
          <w:rPr>
            <w:noProof/>
            <w:webHidden/>
          </w:rPr>
          <w:instrText xml:space="preserve"> PAGEREF _Toc67565318 \h </w:instrText>
        </w:r>
        <w:r w:rsidR="001353E5">
          <w:rPr>
            <w:noProof/>
            <w:webHidden/>
          </w:rPr>
        </w:r>
        <w:r w:rsidR="001353E5">
          <w:rPr>
            <w:noProof/>
            <w:webHidden/>
          </w:rPr>
          <w:fldChar w:fldCharType="separate"/>
        </w:r>
        <w:r w:rsidR="000250B6">
          <w:rPr>
            <w:noProof/>
            <w:webHidden/>
          </w:rPr>
          <w:t>61</w:t>
        </w:r>
        <w:r w:rsidR="001353E5">
          <w:rPr>
            <w:noProof/>
            <w:webHidden/>
          </w:rPr>
          <w:fldChar w:fldCharType="end"/>
        </w:r>
      </w:hyperlink>
    </w:p>
    <w:p w14:paraId="6A5F88E1" w14:textId="77777777" w:rsidR="001353E5" w:rsidRDefault="00231E33">
      <w:pPr>
        <w:pStyle w:val="10"/>
        <w:rPr>
          <w:rFonts w:asciiTheme="minorHAnsi" w:eastAsiaTheme="minorEastAsia" w:hAnsiTheme="minorHAnsi" w:cstheme="minorBidi"/>
          <w:b w:val="0"/>
          <w:noProof/>
          <w:szCs w:val="22"/>
          <w:lang w:eastAsia="en-GB"/>
        </w:rPr>
      </w:pPr>
      <w:hyperlink w:anchor="_Toc67565319" w:history="1">
        <w:r w:rsidR="001353E5" w:rsidRPr="00EB7E77">
          <w:rPr>
            <w:rStyle w:val="-"/>
            <w:noProof/>
          </w:rPr>
          <w:t>5</w:t>
        </w:r>
        <w:r w:rsidR="001353E5">
          <w:rPr>
            <w:rFonts w:asciiTheme="minorHAnsi" w:eastAsiaTheme="minorEastAsia" w:hAnsiTheme="minorHAnsi" w:cstheme="minorBidi"/>
            <w:b w:val="0"/>
            <w:noProof/>
            <w:szCs w:val="22"/>
            <w:lang w:eastAsia="en-GB"/>
          </w:rPr>
          <w:tab/>
        </w:r>
        <w:r w:rsidR="001353E5" w:rsidRPr="00EB7E77">
          <w:rPr>
            <w:rStyle w:val="-"/>
            <w:noProof/>
          </w:rPr>
          <w:t>Materials</w:t>
        </w:r>
        <w:r w:rsidR="001353E5">
          <w:rPr>
            <w:noProof/>
            <w:webHidden/>
          </w:rPr>
          <w:tab/>
        </w:r>
        <w:r w:rsidR="001353E5">
          <w:rPr>
            <w:noProof/>
            <w:webHidden/>
          </w:rPr>
          <w:fldChar w:fldCharType="begin"/>
        </w:r>
        <w:r w:rsidR="001353E5">
          <w:rPr>
            <w:noProof/>
            <w:webHidden/>
          </w:rPr>
          <w:instrText xml:space="preserve"> PAGEREF _Toc67565319 \h </w:instrText>
        </w:r>
        <w:r w:rsidR="001353E5">
          <w:rPr>
            <w:noProof/>
            <w:webHidden/>
          </w:rPr>
        </w:r>
        <w:r w:rsidR="001353E5">
          <w:rPr>
            <w:noProof/>
            <w:webHidden/>
          </w:rPr>
          <w:fldChar w:fldCharType="separate"/>
        </w:r>
        <w:r w:rsidR="000250B6">
          <w:rPr>
            <w:noProof/>
            <w:webHidden/>
          </w:rPr>
          <w:t>62</w:t>
        </w:r>
        <w:r w:rsidR="001353E5">
          <w:rPr>
            <w:noProof/>
            <w:webHidden/>
          </w:rPr>
          <w:fldChar w:fldCharType="end"/>
        </w:r>
      </w:hyperlink>
    </w:p>
    <w:p w14:paraId="6E13099C" w14:textId="77777777" w:rsidR="001353E5" w:rsidRDefault="00231E33">
      <w:pPr>
        <w:pStyle w:val="22"/>
        <w:rPr>
          <w:rFonts w:asciiTheme="minorHAnsi" w:eastAsiaTheme="minorEastAsia" w:hAnsiTheme="minorHAnsi" w:cstheme="minorBidi"/>
          <w:b w:val="0"/>
          <w:noProof/>
          <w:szCs w:val="22"/>
          <w:lang w:eastAsia="en-GB"/>
        </w:rPr>
      </w:pPr>
      <w:hyperlink w:anchor="_Toc67565320" w:history="1">
        <w:r w:rsidR="001353E5" w:rsidRPr="00EB7E77">
          <w:rPr>
            <w:rStyle w:val="-"/>
            <w:noProof/>
          </w:rPr>
          <w:t>5.1</w:t>
        </w:r>
        <w:r w:rsidR="001353E5">
          <w:rPr>
            <w:rFonts w:asciiTheme="minorHAnsi" w:eastAsiaTheme="minorEastAsia" w:hAnsiTheme="minorHAnsi" w:cstheme="minorBidi"/>
            <w:b w:val="0"/>
            <w:noProof/>
            <w:szCs w:val="22"/>
            <w:lang w:eastAsia="en-GB"/>
          </w:rPr>
          <w:tab/>
        </w:r>
        <w:r w:rsidR="001353E5" w:rsidRPr="00EB7E77">
          <w:rPr>
            <w:rStyle w:val="-"/>
            <w:noProof/>
          </w:rPr>
          <w:t>Concrete</w:t>
        </w:r>
        <w:r w:rsidR="001353E5">
          <w:rPr>
            <w:noProof/>
            <w:webHidden/>
          </w:rPr>
          <w:tab/>
        </w:r>
        <w:r w:rsidR="001353E5">
          <w:rPr>
            <w:noProof/>
            <w:webHidden/>
          </w:rPr>
          <w:fldChar w:fldCharType="begin"/>
        </w:r>
        <w:r w:rsidR="001353E5">
          <w:rPr>
            <w:noProof/>
            <w:webHidden/>
          </w:rPr>
          <w:instrText xml:space="preserve"> PAGEREF _Toc67565320 \h </w:instrText>
        </w:r>
        <w:r w:rsidR="001353E5">
          <w:rPr>
            <w:noProof/>
            <w:webHidden/>
          </w:rPr>
        </w:r>
        <w:r w:rsidR="001353E5">
          <w:rPr>
            <w:noProof/>
            <w:webHidden/>
          </w:rPr>
          <w:fldChar w:fldCharType="separate"/>
        </w:r>
        <w:r w:rsidR="000250B6">
          <w:rPr>
            <w:noProof/>
            <w:webHidden/>
          </w:rPr>
          <w:t>62</w:t>
        </w:r>
        <w:r w:rsidR="001353E5">
          <w:rPr>
            <w:noProof/>
            <w:webHidden/>
          </w:rPr>
          <w:fldChar w:fldCharType="end"/>
        </w:r>
      </w:hyperlink>
    </w:p>
    <w:p w14:paraId="6B6498C2" w14:textId="77777777" w:rsidR="001353E5" w:rsidRDefault="00231E33">
      <w:pPr>
        <w:pStyle w:val="32"/>
        <w:rPr>
          <w:rFonts w:asciiTheme="minorHAnsi" w:eastAsiaTheme="minorEastAsia" w:hAnsiTheme="minorHAnsi" w:cstheme="minorBidi"/>
          <w:b w:val="0"/>
          <w:noProof/>
          <w:szCs w:val="22"/>
          <w:lang w:eastAsia="en-GB"/>
        </w:rPr>
      </w:pPr>
      <w:hyperlink w:anchor="_Toc67565321" w:history="1">
        <w:r w:rsidR="001353E5" w:rsidRPr="00EB7E77">
          <w:rPr>
            <w:rStyle w:val="-"/>
            <w:noProof/>
          </w:rPr>
          <w:t>5.1.1</w:t>
        </w:r>
        <w:r w:rsidR="001353E5">
          <w:rPr>
            <w:rFonts w:asciiTheme="minorHAnsi" w:eastAsiaTheme="minorEastAsia" w:hAnsiTheme="minorHAnsi" w:cstheme="minorBidi"/>
            <w:b w:val="0"/>
            <w:noProof/>
            <w:szCs w:val="22"/>
            <w:lang w:eastAsia="en-GB"/>
          </w:rPr>
          <w:tab/>
        </w:r>
        <w:r w:rsidR="001353E5" w:rsidRPr="00EB7E77">
          <w:rPr>
            <w:rStyle w:val="-"/>
            <w:noProof/>
          </w:rPr>
          <w:t>General</w:t>
        </w:r>
        <w:r w:rsidR="001353E5">
          <w:rPr>
            <w:noProof/>
            <w:webHidden/>
          </w:rPr>
          <w:tab/>
        </w:r>
        <w:r w:rsidR="001353E5">
          <w:rPr>
            <w:noProof/>
            <w:webHidden/>
          </w:rPr>
          <w:fldChar w:fldCharType="begin"/>
        </w:r>
        <w:r w:rsidR="001353E5">
          <w:rPr>
            <w:noProof/>
            <w:webHidden/>
          </w:rPr>
          <w:instrText xml:space="preserve"> PAGEREF _Toc67565321 \h </w:instrText>
        </w:r>
        <w:r w:rsidR="001353E5">
          <w:rPr>
            <w:noProof/>
            <w:webHidden/>
          </w:rPr>
        </w:r>
        <w:r w:rsidR="001353E5">
          <w:rPr>
            <w:noProof/>
            <w:webHidden/>
          </w:rPr>
          <w:fldChar w:fldCharType="separate"/>
        </w:r>
        <w:r w:rsidR="000250B6">
          <w:rPr>
            <w:noProof/>
            <w:webHidden/>
          </w:rPr>
          <w:t>62</w:t>
        </w:r>
        <w:r w:rsidR="001353E5">
          <w:rPr>
            <w:noProof/>
            <w:webHidden/>
          </w:rPr>
          <w:fldChar w:fldCharType="end"/>
        </w:r>
      </w:hyperlink>
    </w:p>
    <w:p w14:paraId="0D454AAF" w14:textId="77777777" w:rsidR="001353E5" w:rsidRDefault="00231E33">
      <w:pPr>
        <w:pStyle w:val="32"/>
        <w:rPr>
          <w:rFonts w:asciiTheme="minorHAnsi" w:eastAsiaTheme="minorEastAsia" w:hAnsiTheme="minorHAnsi" w:cstheme="minorBidi"/>
          <w:b w:val="0"/>
          <w:noProof/>
          <w:szCs w:val="22"/>
          <w:lang w:eastAsia="en-GB"/>
        </w:rPr>
      </w:pPr>
      <w:hyperlink w:anchor="_Toc67565322" w:history="1">
        <w:r w:rsidR="001353E5" w:rsidRPr="00EB7E77">
          <w:rPr>
            <w:rStyle w:val="-"/>
            <w:noProof/>
          </w:rPr>
          <w:t>5.1.2</w:t>
        </w:r>
        <w:r w:rsidR="001353E5">
          <w:rPr>
            <w:rFonts w:asciiTheme="minorHAnsi" w:eastAsiaTheme="minorEastAsia" w:hAnsiTheme="minorHAnsi" w:cstheme="minorBidi"/>
            <w:b w:val="0"/>
            <w:noProof/>
            <w:szCs w:val="22"/>
            <w:lang w:eastAsia="en-GB"/>
          </w:rPr>
          <w:tab/>
        </w:r>
        <w:r w:rsidR="001353E5" w:rsidRPr="00EB7E77">
          <w:rPr>
            <w:rStyle w:val="-"/>
            <w:noProof/>
          </w:rPr>
          <w:t>Properties and related conditions</w:t>
        </w:r>
        <w:r w:rsidR="001353E5">
          <w:rPr>
            <w:noProof/>
            <w:webHidden/>
          </w:rPr>
          <w:tab/>
        </w:r>
        <w:r w:rsidR="001353E5">
          <w:rPr>
            <w:noProof/>
            <w:webHidden/>
          </w:rPr>
          <w:fldChar w:fldCharType="begin"/>
        </w:r>
        <w:r w:rsidR="001353E5">
          <w:rPr>
            <w:noProof/>
            <w:webHidden/>
          </w:rPr>
          <w:instrText xml:space="preserve"> PAGEREF _Toc67565322 \h </w:instrText>
        </w:r>
        <w:r w:rsidR="001353E5">
          <w:rPr>
            <w:noProof/>
            <w:webHidden/>
          </w:rPr>
        </w:r>
        <w:r w:rsidR="001353E5">
          <w:rPr>
            <w:noProof/>
            <w:webHidden/>
          </w:rPr>
          <w:fldChar w:fldCharType="separate"/>
        </w:r>
        <w:r w:rsidR="000250B6">
          <w:rPr>
            <w:noProof/>
            <w:webHidden/>
          </w:rPr>
          <w:t>62</w:t>
        </w:r>
        <w:r w:rsidR="001353E5">
          <w:rPr>
            <w:noProof/>
            <w:webHidden/>
          </w:rPr>
          <w:fldChar w:fldCharType="end"/>
        </w:r>
      </w:hyperlink>
    </w:p>
    <w:p w14:paraId="364EC6F5" w14:textId="77777777" w:rsidR="001353E5" w:rsidRDefault="00231E33">
      <w:pPr>
        <w:pStyle w:val="32"/>
        <w:rPr>
          <w:rFonts w:asciiTheme="minorHAnsi" w:eastAsiaTheme="minorEastAsia" w:hAnsiTheme="minorHAnsi" w:cstheme="minorBidi"/>
          <w:b w:val="0"/>
          <w:noProof/>
          <w:szCs w:val="22"/>
          <w:lang w:eastAsia="en-GB"/>
        </w:rPr>
      </w:pPr>
      <w:hyperlink w:anchor="_Toc67565323" w:history="1">
        <w:r w:rsidR="001353E5" w:rsidRPr="00EB7E77">
          <w:rPr>
            <w:rStyle w:val="-"/>
            <w:noProof/>
          </w:rPr>
          <w:t>5.1.3</w:t>
        </w:r>
        <w:r w:rsidR="001353E5">
          <w:rPr>
            <w:rFonts w:asciiTheme="minorHAnsi" w:eastAsiaTheme="minorEastAsia" w:hAnsiTheme="minorHAnsi" w:cstheme="minorBidi"/>
            <w:b w:val="0"/>
            <w:noProof/>
            <w:szCs w:val="22"/>
            <w:lang w:eastAsia="en-GB"/>
          </w:rPr>
          <w:tab/>
        </w:r>
        <w:r w:rsidR="001353E5" w:rsidRPr="00EB7E77">
          <w:rPr>
            <w:rStyle w:val="-"/>
            <w:noProof/>
          </w:rPr>
          <w:t>Strength</w:t>
        </w:r>
        <w:r w:rsidR="001353E5">
          <w:rPr>
            <w:noProof/>
            <w:webHidden/>
          </w:rPr>
          <w:tab/>
        </w:r>
        <w:r w:rsidR="001353E5">
          <w:rPr>
            <w:noProof/>
            <w:webHidden/>
          </w:rPr>
          <w:fldChar w:fldCharType="begin"/>
        </w:r>
        <w:r w:rsidR="001353E5">
          <w:rPr>
            <w:noProof/>
            <w:webHidden/>
          </w:rPr>
          <w:instrText xml:space="preserve"> PAGEREF _Toc67565323 \h </w:instrText>
        </w:r>
        <w:r w:rsidR="001353E5">
          <w:rPr>
            <w:noProof/>
            <w:webHidden/>
          </w:rPr>
        </w:r>
        <w:r w:rsidR="001353E5">
          <w:rPr>
            <w:noProof/>
            <w:webHidden/>
          </w:rPr>
          <w:fldChar w:fldCharType="separate"/>
        </w:r>
        <w:r w:rsidR="000250B6">
          <w:rPr>
            <w:noProof/>
            <w:webHidden/>
          </w:rPr>
          <w:t>62</w:t>
        </w:r>
        <w:r w:rsidR="001353E5">
          <w:rPr>
            <w:noProof/>
            <w:webHidden/>
          </w:rPr>
          <w:fldChar w:fldCharType="end"/>
        </w:r>
      </w:hyperlink>
    </w:p>
    <w:p w14:paraId="0733855E" w14:textId="77777777" w:rsidR="001353E5" w:rsidRDefault="00231E33">
      <w:pPr>
        <w:pStyle w:val="32"/>
        <w:rPr>
          <w:rFonts w:asciiTheme="minorHAnsi" w:eastAsiaTheme="minorEastAsia" w:hAnsiTheme="minorHAnsi" w:cstheme="minorBidi"/>
          <w:b w:val="0"/>
          <w:noProof/>
          <w:szCs w:val="22"/>
          <w:lang w:eastAsia="en-GB"/>
        </w:rPr>
      </w:pPr>
      <w:hyperlink w:anchor="_Toc67565324" w:history="1">
        <w:r w:rsidR="001353E5" w:rsidRPr="00EB7E77">
          <w:rPr>
            <w:rStyle w:val="-"/>
            <w:noProof/>
          </w:rPr>
          <w:t>5.1.4</w:t>
        </w:r>
        <w:r w:rsidR="001353E5">
          <w:rPr>
            <w:rFonts w:asciiTheme="minorHAnsi" w:eastAsiaTheme="minorEastAsia" w:hAnsiTheme="minorHAnsi" w:cstheme="minorBidi"/>
            <w:b w:val="0"/>
            <w:noProof/>
            <w:szCs w:val="22"/>
            <w:lang w:eastAsia="en-GB"/>
          </w:rPr>
          <w:tab/>
        </w:r>
        <w:r w:rsidR="001353E5" w:rsidRPr="00EB7E77">
          <w:rPr>
            <w:rStyle w:val="-"/>
            <w:noProof/>
          </w:rPr>
          <w:t>Elastic deformation</w:t>
        </w:r>
        <w:r w:rsidR="001353E5">
          <w:rPr>
            <w:noProof/>
            <w:webHidden/>
          </w:rPr>
          <w:tab/>
        </w:r>
        <w:r w:rsidR="001353E5">
          <w:rPr>
            <w:noProof/>
            <w:webHidden/>
          </w:rPr>
          <w:fldChar w:fldCharType="begin"/>
        </w:r>
        <w:r w:rsidR="001353E5">
          <w:rPr>
            <w:noProof/>
            <w:webHidden/>
          </w:rPr>
          <w:instrText xml:space="preserve"> PAGEREF _Toc67565324 \h </w:instrText>
        </w:r>
        <w:r w:rsidR="001353E5">
          <w:rPr>
            <w:noProof/>
            <w:webHidden/>
          </w:rPr>
        </w:r>
        <w:r w:rsidR="001353E5">
          <w:rPr>
            <w:noProof/>
            <w:webHidden/>
          </w:rPr>
          <w:fldChar w:fldCharType="separate"/>
        </w:r>
        <w:r w:rsidR="000250B6">
          <w:rPr>
            <w:noProof/>
            <w:webHidden/>
          </w:rPr>
          <w:t>63</w:t>
        </w:r>
        <w:r w:rsidR="001353E5">
          <w:rPr>
            <w:noProof/>
            <w:webHidden/>
          </w:rPr>
          <w:fldChar w:fldCharType="end"/>
        </w:r>
      </w:hyperlink>
    </w:p>
    <w:p w14:paraId="5E900AE3" w14:textId="77777777" w:rsidR="001353E5" w:rsidRDefault="00231E33">
      <w:pPr>
        <w:pStyle w:val="32"/>
        <w:rPr>
          <w:rFonts w:asciiTheme="minorHAnsi" w:eastAsiaTheme="minorEastAsia" w:hAnsiTheme="minorHAnsi" w:cstheme="minorBidi"/>
          <w:b w:val="0"/>
          <w:noProof/>
          <w:szCs w:val="22"/>
          <w:lang w:eastAsia="en-GB"/>
        </w:rPr>
      </w:pPr>
      <w:hyperlink w:anchor="_Toc67565325" w:history="1">
        <w:r w:rsidR="001353E5" w:rsidRPr="00EB7E77">
          <w:rPr>
            <w:rStyle w:val="-"/>
            <w:noProof/>
          </w:rPr>
          <w:t>5.1.5</w:t>
        </w:r>
        <w:r w:rsidR="001353E5">
          <w:rPr>
            <w:rFonts w:asciiTheme="minorHAnsi" w:eastAsiaTheme="minorEastAsia" w:hAnsiTheme="minorHAnsi" w:cstheme="minorBidi"/>
            <w:b w:val="0"/>
            <w:noProof/>
            <w:szCs w:val="22"/>
            <w:lang w:eastAsia="en-GB"/>
          </w:rPr>
          <w:tab/>
        </w:r>
        <w:r w:rsidR="001353E5" w:rsidRPr="00EB7E77">
          <w:rPr>
            <w:rStyle w:val="-"/>
            <w:noProof/>
          </w:rPr>
          <w:t>Creep and shrinkage</w:t>
        </w:r>
        <w:r w:rsidR="001353E5">
          <w:rPr>
            <w:noProof/>
            <w:webHidden/>
          </w:rPr>
          <w:tab/>
        </w:r>
        <w:r w:rsidR="001353E5">
          <w:rPr>
            <w:noProof/>
            <w:webHidden/>
          </w:rPr>
          <w:fldChar w:fldCharType="begin"/>
        </w:r>
        <w:r w:rsidR="001353E5">
          <w:rPr>
            <w:noProof/>
            <w:webHidden/>
          </w:rPr>
          <w:instrText xml:space="preserve"> PAGEREF _Toc67565325 \h </w:instrText>
        </w:r>
        <w:r w:rsidR="001353E5">
          <w:rPr>
            <w:noProof/>
            <w:webHidden/>
          </w:rPr>
        </w:r>
        <w:r w:rsidR="001353E5">
          <w:rPr>
            <w:noProof/>
            <w:webHidden/>
          </w:rPr>
          <w:fldChar w:fldCharType="separate"/>
        </w:r>
        <w:r w:rsidR="000250B6">
          <w:rPr>
            <w:noProof/>
            <w:webHidden/>
          </w:rPr>
          <w:t>64</w:t>
        </w:r>
        <w:r w:rsidR="001353E5">
          <w:rPr>
            <w:noProof/>
            <w:webHidden/>
          </w:rPr>
          <w:fldChar w:fldCharType="end"/>
        </w:r>
      </w:hyperlink>
    </w:p>
    <w:p w14:paraId="56FE98F4" w14:textId="77777777" w:rsidR="001353E5" w:rsidRDefault="00231E33">
      <w:pPr>
        <w:pStyle w:val="32"/>
        <w:rPr>
          <w:rFonts w:asciiTheme="minorHAnsi" w:eastAsiaTheme="minorEastAsia" w:hAnsiTheme="minorHAnsi" w:cstheme="minorBidi"/>
          <w:b w:val="0"/>
          <w:noProof/>
          <w:szCs w:val="22"/>
          <w:lang w:eastAsia="en-GB"/>
        </w:rPr>
      </w:pPr>
      <w:hyperlink w:anchor="_Toc67565326" w:history="1">
        <w:r w:rsidR="001353E5" w:rsidRPr="00EB7E77">
          <w:rPr>
            <w:rStyle w:val="-"/>
            <w:noProof/>
          </w:rPr>
          <w:t>5.1.6</w:t>
        </w:r>
        <w:r w:rsidR="001353E5">
          <w:rPr>
            <w:rFonts w:asciiTheme="minorHAnsi" w:eastAsiaTheme="minorEastAsia" w:hAnsiTheme="minorHAnsi" w:cstheme="minorBidi"/>
            <w:b w:val="0"/>
            <w:noProof/>
            <w:szCs w:val="22"/>
            <w:lang w:eastAsia="en-GB"/>
          </w:rPr>
          <w:tab/>
        </w:r>
        <w:r w:rsidR="001353E5" w:rsidRPr="00EB7E77">
          <w:rPr>
            <w:rStyle w:val="-"/>
            <w:noProof/>
          </w:rPr>
          <w:t>Design assumptions</w:t>
        </w:r>
        <w:r w:rsidR="001353E5">
          <w:rPr>
            <w:noProof/>
            <w:webHidden/>
          </w:rPr>
          <w:tab/>
        </w:r>
        <w:r w:rsidR="001353E5">
          <w:rPr>
            <w:noProof/>
            <w:webHidden/>
          </w:rPr>
          <w:fldChar w:fldCharType="begin"/>
        </w:r>
        <w:r w:rsidR="001353E5">
          <w:rPr>
            <w:noProof/>
            <w:webHidden/>
          </w:rPr>
          <w:instrText xml:space="preserve"> PAGEREF _Toc67565326 \h </w:instrText>
        </w:r>
        <w:r w:rsidR="001353E5">
          <w:rPr>
            <w:noProof/>
            <w:webHidden/>
          </w:rPr>
        </w:r>
        <w:r w:rsidR="001353E5">
          <w:rPr>
            <w:noProof/>
            <w:webHidden/>
          </w:rPr>
          <w:fldChar w:fldCharType="separate"/>
        </w:r>
        <w:r w:rsidR="000250B6">
          <w:rPr>
            <w:noProof/>
            <w:webHidden/>
          </w:rPr>
          <w:t>66</w:t>
        </w:r>
        <w:r w:rsidR="001353E5">
          <w:rPr>
            <w:noProof/>
            <w:webHidden/>
          </w:rPr>
          <w:fldChar w:fldCharType="end"/>
        </w:r>
      </w:hyperlink>
    </w:p>
    <w:p w14:paraId="003EB777" w14:textId="77777777" w:rsidR="001353E5" w:rsidRDefault="00231E33">
      <w:pPr>
        <w:pStyle w:val="22"/>
        <w:rPr>
          <w:rFonts w:asciiTheme="minorHAnsi" w:eastAsiaTheme="minorEastAsia" w:hAnsiTheme="minorHAnsi" w:cstheme="minorBidi"/>
          <w:b w:val="0"/>
          <w:noProof/>
          <w:szCs w:val="22"/>
          <w:lang w:eastAsia="en-GB"/>
        </w:rPr>
      </w:pPr>
      <w:hyperlink w:anchor="_Toc67565327" w:history="1">
        <w:r w:rsidR="001353E5" w:rsidRPr="00EB7E77">
          <w:rPr>
            <w:rStyle w:val="-"/>
            <w:noProof/>
          </w:rPr>
          <w:t>5.2</w:t>
        </w:r>
        <w:r w:rsidR="001353E5">
          <w:rPr>
            <w:rFonts w:asciiTheme="minorHAnsi" w:eastAsiaTheme="minorEastAsia" w:hAnsiTheme="minorHAnsi" w:cstheme="minorBidi"/>
            <w:b w:val="0"/>
            <w:noProof/>
            <w:szCs w:val="22"/>
            <w:lang w:eastAsia="en-GB"/>
          </w:rPr>
          <w:tab/>
        </w:r>
        <w:r w:rsidR="001353E5" w:rsidRPr="00EB7E77">
          <w:rPr>
            <w:rStyle w:val="-"/>
            <w:noProof/>
          </w:rPr>
          <w:t>Reinforcing steel</w:t>
        </w:r>
        <w:r w:rsidR="001353E5">
          <w:rPr>
            <w:noProof/>
            <w:webHidden/>
          </w:rPr>
          <w:tab/>
        </w:r>
        <w:r w:rsidR="001353E5">
          <w:rPr>
            <w:noProof/>
            <w:webHidden/>
          </w:rPr>
          <w:fldChar w:fldCharType="begin"/>
        </w:r>
        <w:r w:rsidR="001353E5">
          <w:rPr>
            <w:noProof/>
            <w:webHidden/>
          </w:rPr>
          <w:instrText xml:space="preserve"> PAGEREF _Toc67565327 \h </w:instrText>
        </w:r>
        <w:r w:rsidR="001353E5">
          <w:rPr>
            <w:noProof/>
            <w:webHidden/>
          </w:rPr>
        </w:r>
        <w:r w:rsidR="001353E5">
          <w:rPr>
            <w:noProof/>
            <w:webHidden/>
          </w:rPr>
          <w:fldChar w:fldCharType="separate"/>
        </w:r>
        <w:r w:rsidR="000250B6">
          <w:rPr>
            <w:noProof/>
            <w:webHidden/>
          </w:rPr>
          <w:t>68</w:t>
        </w:r>
        <w:r w:rsidR="001353E5">
          <w:rPr>
            <w:noProof/>
            <w:webHidden/>
          </w:rPr>
          <w:fldChar w:fldCharType="end"/>
        </w:r>
      </w:hyperlink>
    </w:p>
    <w:p w14:paraId="0110F626" w14:textId="77777777" w:rsidR="001353E5" w:rsidRDefault="00231E33">
      <w:pPr>
        <w:pStyle w:val="32"/>
        <w:rPr>
          <w:rFonts w:asciiTheme="minorHAnsi" w:eastAsiaTheme="minorEastAsia" w:hAnsiTheme="minorHAnsi" w:cstheme="minorBidi"/>
          <w:b w:val="0"/>
          <w:noProof/>
          <w:szCs w:val="22"/>
          <w:lang w:eastAsia="en-GB"/>
        </w:rPr>
      </w:pPr>
      <w:hyperlink w:anchor="_Toc67565328" w:history="1">
        <w:r w:rsidR="001353E5" w:rsidRPr="00EB7E77">
          <w:rPr>
            <w:rStyle w:val="-"/>
            <w:noProof/>
          </w:rPr>
          <w:t>5.2.1</w:t>
        </w:r>
        <w:r w:rsidR="001353E5">
          <w:rPr>
            <w:rFonts w:asciiTheme="minorHAnsi" w:eastAsiaTheme="minorEastAsia" w:hAnsiTheme="minorHAnsi" w:cstheme="minorBidi"/>
            <w:b w:val="0"/>
            <w:noProof/>
            <w:szCs w:val="22"/>
            <w:lang w:eastAsia="en-GB"/>
          </w:rPr>
          <w:tab/>
        </w:r>
        <w:r w:rsidR="001353E5" w:rsidRPr="00EB7E77">
          <w:rPr>
            <w:rStyle w:val="-"/>
            <w:noProof/>
          </w:rPr>
          <w:t>General</w:t>
        </w:r>
        <w:r w:rsidR="001353E5">
          <w:rPr>
            <w:noProof/>
            <w:webHidden/>
          </w:rPr>
          <w:tab/>
        </w:r>
        <w:r w:rsidR="001353E5">
          <w:rPr>
            <w:noProof/>
            <w:webHidden/>
          </w:rPr>
          <w:fldChar w:fldCharType="begin"/>
        </w:r>
        <w:r w:rsidR="001353E5">
          <w:rPr>
            <w:noProof/>
            <w:webHidden/>
          </w:rPr>
          <w:instrText xml:space="preserve"> PAGEREF _Toc67565328 \h </w:instrText>
        </w:r>
        <w:r w:rsidR="001353E5">
          <w:rPr>
            <w:noProof/>
            <w:webHidden/>
          </w:rPr>
        </w:r>
        <w:r w:rsidR="001353E5">
          <w:rPr>
            <w:noProof/>
            <w:webHidden/>
          </w:rPr>
          <w:fldChar w:fldCharType="separate"/>
        </w:r>
        <w:r w:rsidR="000250B6">
          <w:rPr>
            <w:noProof/>
            <w:webHidden/>
          </w:rPr>
          <w:t>68</w:t>
        </w:r>
        <w:r w:rsidR="001353E5">
          <w:rPr>
            <w:noProof/>
            <w:webHidden/>
          </w:rPr>
          <w:fldChar w:fldCharType="end"/>
        </w:r>
      </w:hyperlink>
    </w:p>
    <w:p w14:paraId="02BFBFD7" w14:textId="77777777" w:rsidR="001353E5" w:rsidRDefault="00231E33">
      <w:pPr>
        <w:pStyle w:val="32"/>
        <w:rPr>
          <w:rFonts w:asciiTheme="minorHAnsi" w:eastAsiaTheme="minorEastAsia" w:hAnsiTheme="minorHAnsi" w:cstheme="minorBidi"/>
          <w:b w:val="0"/>
          <w:noProof/>
          <w:szCs w:val="22"/>
          <w:lang w:eastAsia="en-GB"/>
        </w:rPr>
      </w:pPr>
      <w:hyperlink w:anchor="_Toc67565329" w:history="1">
        <w:r w:rsidR="001353E5" w:rsidRPr="00EB7E77">
          <w:rPr>
            <w:rStyle w:val="-"/>
            <w:noProof/>
          </w:rPr>
          <w:t>5.2.2</w:t>
        </w:r>
        <w:r w:rsidR="001353E5">
          <w:rPr>
            <w:rFonts w:asciiTheme="minorHAnsi" w:eastAsiaTheme="minorEastAsia" w:hAnsiTheme="minorHAnsi" w:cstheme="minorBidi"/>
            <w:b w:val="0"/>
            <w:noProof/>
            <w:szCs w:val="22"/>
            <w:lang w:eastAsia="en-GB"/>
          </w:rPr>
          <w:tab/>
        </w:r>
        <w:r w:rsidR="001353E5" w:rsidRPr="00EB7E77">
          <w:rPr>
            <w:rStyle w:val="-"/>
            <w:noProof/>
          </w:rPr>
          <w:t>Properties</w:t>
        </w:r>
        <w:r w:rsidR="001353E5">
          <w:rPr>
            <w:noProof/>
            <w:webHidden/>
          </w:rPr>
          <w:tab/>
        </w:r>
        <w:r w:rsidR="001353E5">
          <w:rPr>
            <w:noProof/>
            <w:webHidden/>
          </w:rPr>
          <w:fldChar w:fldCharType="begin"/>
        </w:r>
        <w:r w:rsidR="001353E5">
          <w:rPr>
            <w:noProof/>
            <w:webHidden/>
          </w:rPr>
          <w:instrText xml:space="preserve"> PAGEREF _Toc67565329 \h </w:instrText>
        </w:r>
        <w:r w:rsidR="001353E5">
          <w:rPr>
            <w:noProof/>
            <w:webHidden/>
          </w:rPr>
        </w:r>
        <w:r w:rsidR="001353E5">
          <w:rPr>
            <w:noProof/>
            <w:webHidden/>
          </w:rPr>
          <w:fldChar w:fldCharType="separate"/>
        </w:r>
        <w:r w:rsidR="000250B6">
          <w:rPr>
            <w:noProof/>
            <w:webHidden/>
          </w:rPr>
          <w:t>68</w:t>
        </w:r>
        <w:r w:rsidR="001353E5">
          <w:rPr>
            <w:noProof/>
            <w:webHidden/>
          </w:rPr>
          <w:fldChar w:fldCharType="end"/>
        </w:r>
      </w:hyperlink>
    </w:p>
    <w:p w14:paraId="112F4727" w14:textId="77777777" w:rsidR="001353E5" w:rsidRDefault="00231E33">
      <w:pPr>
        <w:pStyle w:val="32"/>
        <w:rPr>
          <w:rFonts w:asciiTheme="minorHAnsi" w:eastAsiaTheme="minorEastAsia" w:hAnsiTheme="minorHAnsi" w:cstheme="minorBidi"/>
          <w:b w:val="0"/>
          <w:noProof/>
          <w:szCs w:val="22"/>
          <w:lang w:eastAsia="en-GB"/>
        </w:rPr>
      </w:pPr>
      <w:hyperlink w:anchor="_Toc67565330" w:history="1">
        <w:r w:rsidR="001353E5" w:rsidRPr="00EB7E77">
          <w:rPr>
            <w:rStyle w:val="-"/>
            <w:noProof/>
          </w:rPr>
          <w:t>5.2.3</w:t>
        </w:r>
        <w:r w:rsidR="001353E5">
          <w:rPr>
            <w:rFonts w:asciiTheme="minorHAnsi" w:eastAsiaTheme="minorEastAsia" w:hAnsiTheme="minorHAnsi" w:cstheme="minorBidi"/>
            <w:b w:val="0"/>
            <w:noProof/>
            <w:szCs w:val="22"/>
            <w:lang w:eastAsia="en-GB"/>
          </w:rPr>
          <w:tab/>
        </w:r>
        <w:r w:rsidR="001353E5" w:rsidRPr="00EB7E77">
          <w:rPr>
            <w:rStyle w:val="-"/>
            <w:noProof/>
          </w:rPr>
          <w:t>Welding of reinforcing bars</w:t>
        </w:r>
        <w:r w:rsidR="001353E5">
          <w:rPr>
            <w:noProof/>
            <w:webHidden/>
          </w:rPr>
          <w:tab/>
        </w:r>
        <w:r w:rsidR="001353E5">
          <w:rPr>
            <w:noProof/>
            <w:webHidden/>
          </w:rPr>
          <w:fldChar w:fldCharType="begin"/>
        </w:r>
        <w:r w:rsidR="001353E5">
          <w:rPr>
            <w:noProof/>
            <w:webHidden/>
          </w:rPr>
          <w:instrText xml:space="preserve"> PAGEREF _Toc67565330 \h </w:instrText>
        </w:r>
        <w:r w:rsidR="001353E5">
          <w:rPr>
            <w:noProof/>
            <w:webHidden/>
          </w:rPr>
        </w:r>
        <w:r w:rsidR="001353E5">
          <w:rPr>
            <w:noProof/>
            <w:webHidden/>
          </w:rPr>
          <w:fldChar w:fldCharType="separate"/>
        </w:r>
        <w:r w:rsidR="000250B6">
          <w:rPr>
            <w:noProof/>
            <w:webHidden/>
          </w:rPr>
          <w:t>69</w:t>
        </w:r>
        <w:r w:rsidR="001353E5">
          <w:rPr>
            <w:noProof/>
            <w:webHidden/>
          </w:rPr>
          <w:fldChar w:fldCharType="end"/>
        </w:r>
      </w:hyperlink>
    </w:p>
    <w:p w14:paraId="5DC96A20" w14:textId="77777777" w:rsidR="001353E5" w:rsidRDefault="00231E33">
      <w:pPr>
        <w:pStyle w:val="32"/>
        <w:rPr>
          <w:rFonts w:asciiTheme="minorHAnsi" w:eastAsiaTheme="minorEastAsia" w:hAnsiTheme="minorHAnsi" w:cstheme="minorBidi"/>
          <w:b w:val="0"/>
          <w:noProof/>
          <w:szCs w:val="22"/>
          <w:lang w:eastAsia="en-GB"/>
        </w:rPr>
      </w:pPr>
      <w:hyperlink w:anchor="_Toc67565331" w:history="1">
        <w:r w:rsidR="001353E5" w:rsidRPr="00EB7E77">
          <w:rPr>
            <w:rStyle w:val="-"/>
            <w:noProof/>
          </w:rPr>
          <w:t>5.2.4</w:t>
        </w:r>
        <w:r w:rsidR="001353E5">
          <w:rPr>
            <w:rFonts w:asciiTheme="minorHAnsi" w:eastAsiaTheme="minorEastAsia" w:hAnsiTheme="minorHAnsi" w:cstheme="minorBidi"/>
            <w:b w:val="0"/>
            <w:noProof/>
            <w:szCs w:val="22"/>
            <w:lang w:eastAsia="en-GB"/>
          </w:rPr>
          <w:tab/>
        </w:r>
        <w:r w:rsidR="001353E5" w:rsidRPr="00EB7E77">
          <w:rPr>
            <w:rStyle w:val="-"/>
            <w:noProof/>
          </w:rPr>
          <w:t>Design assumptions</w:t>
        </w:r>
        <w:r w:rsidR="001353E5">
          <w:rPr>
            <w:noProof/>
            <w:webHidden/>
          </w:rPr>
          <w:tab/>
        </w:r>
        <w:r w:rsidR="001353E5">
          <w:rPr>
            <w:noProof/>
            <w:webHidden/>
          </w:rPr>
          <w:fldChar w:fldCharType="begin"/>
        </w:r>
        <w:r w:rsidR="001353E5">
          <w:rPr>
            <w:noProof/>
            <w:webHidden/>
          </w:rPr>
          <w:instrText xml:space="preserve"> PAGEREF _Toc67565331 \h </w:instrText>
        </w:r>
        <w:r w:rsidR="001353E5">
          <w:rPr>
            <w:noProof/>
            <w:webHidden/>
          </w:rPr>
        </w:r>
        <w:r w:rsidR="001353E5">
          <w:rPr>
            <w:noProof/>
            <w:webHidden/>
          </w:rPr>
          <w:fldChar w:fldCharType="separate"/>
        </w:r>
        <w:r w:rsidR="000250B6">
          <w:rPr>
            <w:noProof/>
            <w:webHidden/>
          </w:rPr>
          <w:t>69</w:t>
        </w:r>
        <w:r w:rsidR="001353E5">
          <w:rPr>
            <w:noProof/>
            <w:webHidden/>
          </w:rPr>
          <w:fldChar w:fldCharType="end"/>
        </w:r>
      </w:hyperlink>
    </w:p>
    <w:p w14:paraId="12F93EFF" w14:textId="77777777" w:rsidR="001353E5" w:rsidRDefault="00231E33">
      <w:pPr>
        <w:pStyle w:val="32"/>
        <w:rPr>
          <w:rFonts w:asciiTheme="minorHAnsi" w:eastAsiaTheme="minorEastAsia" w:hAnsiTheme="minorHAnsi" w:cstheme="minorBidi"/>
          <w:b w:val="0"/>
          <w:noProof/>
          <w:szCs w:val="22"/>
          <w:lang w:eastAsia="en-GB"/>
        </w:rPr>
      </w:pPr>
      <w:hyperlink w:anchor="_Toc67565332" w:history="1">
        <w:r w:rsidR="001353E5" w:rsidRPr="00EB7E77">
          <w:rPr>
            <w:rStyle w:val="-"/>
            <w:noProof/>
          </w:rPr>
          <w:t>5.2.5</w:t>
        </w:r>
        <w:r w:rsidR="001353E5">
          <w:rPr>
            <w:rFonts w:asciiTheme="minorHAnsi" w:eastAsiaTheme="minorEastAsia" w:hAnsiTheme="minorHAnsi" w:cstheme="minorBidi"/>
            <w:b w:val="0"/>
            <w:noProof/>
            <w:szCs w:val="22"/>
            <w:lang w:eastAsia="en-GB"/>
          </w:rPr>
          <w:tab/>
        </w:r>
        <w:r w:rsidR="001353E5" w:rsidRPr="00EB7E77">
          <w:rPr>
            <w:rStyle w:val="-"/>
            <w:noProof/>
          </w:rPr>
          <w:t>Reinforcement bar couplers</w:t>
        </w:r>
        <w:r w:rsidR="001353E5">
          <w:rPr>
            <w:noProof/>
            <w:webHidden/>
          </w:rPr>
          <w:tab/>
        </w:r>
        <w:r w:rsidR="001353E5">
          <w:rPr>
            <w:noProof/>
            <w:webHidden/>
          </w:rPr>
          <w:fldChar w:fldCharType="begin"/>
        </w:r>
        <w:r w:rsidR="001353E5">
          <w:rPr>
            <w:noProof/>
            <w:webHidden/>
          </w:rPr>
          <w:instrText xml:space="preserve"> PAGEREF _Toc67565332 \h </w:instrText>
        </w:r>
        <w:r w:rsidR="001353E5">
          <w:rPr>
            <w:noProof/>
            <w:webHidden/>
          </w:rPr>
        </w:r>
        <w:r w:rsidR="001353E5">
          <w:rPr>
            <w:noProof/>
            <w:webHidden/>
          </w:rPr>
          <w:fldChar w:fldCharType="separate"/>
        </w:r>
        <w:r w:rsidR="000250B6">
          <w:rPr>
            <w:noProof/>
            <w:webHidden/>
          </w:rPr>
          <w:t>70</w:t>
        </w:r>
        <w:r w:rsidR="001353E5">
          <w:rPr>
            <w:noProof/>
            <w:webHidden/>
          </w:rPr>
          <w:fldChar w:fldCharType="end"/>
        </w:r>
      </w:hyperlink>
    </w:p>
    <w:p w14:paraId="7EF2694A" w14:textId="77777777" w:rsidR="001353E5" w:rsidRDefault="00231E33">
      <w:pPr>
        <w:pStyle w:val="32"/>
        <w:rPr>
          <w:rFonts w:asciiTheme="minorHAnsi" w:eastAsiaTheme="minorEastAsia" w:hAnsiTheme="minorHAnsi" w:cstheme="minorBidi"/>
          <w:b w:val="0"/>
          <w:noProof/>
          <w:szCs w:val="22"/>
          <w:lang w:eastAsia="en-GB"/>
        </w:rPr>
      </w:pPr>
      <w:hyperlink w:anchor="_Toc67565333" w:history="1">
        <w:r w:rsidR="001353E5" w:rsidRPr="00EB7E77">
          <w:rPr>
            <w:rStyle w:val="-"/>
            <w:noProof/>
          </w:rPr>
          <w:t>5.2.6</w:t>
        </w:r>
        <w:r w:rsidR="001353E5">
          <w:rPr>
            <w:rFonts w:asciiTheme="minorHAnsi" w:eastAsiaTheme="minorEastAsia" w:hAnsiTheme="minorHAnsi" w:cstheme="minorBidi"/>
            <w:b w:val="0"/>
            <w:noProof/>
            <w:szCs w:val="22"/>
            <w:lang w:eastAsia="en-GB"/>
          </w:rPr>
          <w:tab/>
        </w:r>
        <w:r w:rsidR="001353E5" w:rsidRPr="00EB7E77">
          <w:rPr>
            <w:rStyle w:val="-"/>
            <w:noProof/>
          </w:rPr>
          <w:t>Headed bars for reinforcement</w:t>
        </w:r>
        <w:r w:rsidR="001353E5">
          <w:rPr>
            <w:noProof/>
            <w:webHidden/>
          </w:rPr>
          <w:tab/>
        </w:r>
        <w:r w:rsidR="001353E5">
          <w:rPr>
            <w:noProof/>
            <w:webHidden/>
          </w:rPr>
          <w:fldChar w:fldCharType="begin"/>
        </w:r>
        <w:r w:rsidR="001353E5">
          <w:rPr>
            <w:noProof/>
            <w:webHidden/>
          </w:rPr>
          <w:instrText xml:space="preserve"> PAGEREF _Toc67565333 \h </w:instrText>
        </w:r>
        <w:r w:rsidR="001353E5">
          <w:rPr>
            <w:noProof/>
            <w:webHidden/>
          </w:rPr>
        </w:r>
        <w:r w:rsidR="001353E5">
          <w:rPr>
            <w:noProof/>
            <w:webHidden/>
          </w:rPr>
          <w:fldChar w:fldCharType="separate"/>
        </w:r>
        <w:r w:rsidR="000250B6">
          <w:rPr>
            <w:noProof/>
            <w:webHidden/>
          </w:rPr>
          <w:t>70</w:t>
        </w:r>
        <w:r w:rsidR="001353E5">
          <w:rPr>
            <w:noProof/>
            <w:webHidden/>
          </w:rPr>
          <w:fldChar w:fldCharType="end"/>
        </w:r>
      </w:hyperlink>
    </w:p>
    <w:p w14:paraId="34BE45FA" w14:textId="77777777" w:rsidR="001353E5" w:rsidRDefault="00231E33">
      <w:pPr>
        <w:pStyle w:val="22"/>
        <w:rPr>
          <w:rFonts w:asciiTheme="minorHAnsi" w:eastAsiaTheme="minorEastAsia" w:hAnsiTheme="minorHAnsi" w:cstheme="minorBidi"/>
          <w:b w:val="0"/>
          <w:noProof/>
          <w:szCs w:val="22"/>
          <w:lang w:eastAsia="en-GB"/>
        </w:rPr>
      </w:pPr>
      <w:hyperlink w:anchor="_Toc67565334" w:history="1">
        <w:r w:rsidR="001353E5" w:rsidRPr="00EB7E77">
          <w:rPr>
            <w:rStyle w:val="-"/>
            <w:noProof/>
          </w:rPr>
          <w:t>5.3</w:t>
        </w:r>
        <w:r w:rsidR="001353E5">
          <w:rPr>
            <w:rFonts w:asciiTheme="minorHAnsi" w:eastAsiaTheme="minorEastAsia" w:hAnsiTheme="minorHAnsi" w:cstheme="minorBidi"/>
            <w:b w:val="0"/>
            <w:noProof/>
            <w:szCs w:val="22"/>
            <w:lang w:eastAsia="en-GB"/>
          </w:rPr>
          <w:tab/>
        </w:r>
        <w:r w:rsidR="001353E5" w:rsidRPr="00EB7E77">
          <w:rPr>
            <w:rStyle w:val="-"/>
            <w:noProof/>
          </w:rPr>
          <w:t>Prestressing steel</w:t>
        </w:r>
        <w:r w:rsidR="001353E5">
          <w:rPr>
            <w:noProof/>
            <w:webHidden/>
          </w:rPr>
          <w:tab/>
        </w:r>
        <w:r w:rsidR="001353E5">
          <w:rPr>
            <w:noProof/>
            <w:webHidden/>
          </w:rPr>
          <w:fldChar w:fldCharType="begin"/>
        </w:r>
        <w:r w:rsidR="001353E5">
          <w:rPr>
            <w:noProof/>
            <w:webHidden/>
          </w:rPr>
          <w:instrText xml:space="preserve"> PAGEREF _Toc67565334 \h </w:instrText>
        </w:r>
        <w:r w:rsidR="001353E5">
          <w:rPr>
            <w:noProof/>
            <w:webHidden/>
          </w:rPr>
        </w:r>
        <w:r w:rsidR="001353E5">
          <w:rPr>
            <w:noProof/>
            <w:webHidden/>
          </w:rPr>
          <w:fldChar w:fldCharType="separate"/>
        </w:r>
        <w:r w:rsidR="000250B6">
          <w:rPr>
            <w:noProof/>
            <w:webHidden/>
          </w:rPr>
          <w:t>70</w:t>
        </w:r>
        <w:r w:rsidR="001353E5">
          <w:rPr>
            <w:noProof/>
            <w:webHidden/>
          </w:rPr>
          <w:fldChar w:fldCharType="end"/>
        </w:r>
      </w:hyperlink>
    </w:p>
    <w:p w14:paraId="028F58AC" w14:textId="77777777" w:rsidR="001353E5" w:rsidRDefault="00231E33">
      <w:pPr>
        <w:pStyle w:val="32"/>
        <w:rPr>
          <w:rFonts w:asciiTheme="minorHAnsi" w:eastAsiaTheme="minorEastAsia" w:hAnsiTheme="minorHAnsi" w:cstheme="minorBidi"/>
          <w:b w:val="0"/>
          <w:noProof/>
          <w:szCs w:val="22"/>
          <w:lang w:eastAsia="en-GB"/>
        </w:rPr>
      </w:pPr>
      <w:hyperlink w:anchor="_Toc67565335" w:history="1">
        <w:r w:rsidR="001353E5" w:rsidRPr="00EB7E77">
          <w:rPr>
            <w:rStyle w:val="-"/>
            <w:noProof/>
          </w:rPr>
          <w:t>5.3.1</w:t>
        </w:r>
        <w:r w:rsidR="001353E5">
          <w:rPr>
            <w:rFonts w:asciiTheme="minorHAnsi" w:eastAsiaTheme="minorEastAsia" w:hAnsiTheme="minorHAnsi" w:cstheme="minorBidi"/>
            <w:b w:val="0"/>
            <w:noProof/>
            <w:szCs w:val="22"/>
            <w:lang w:eastAsia="en-GB"/>
          </w:rPr>
          <w:tab/>
        </w:r>
        <w:r w:rsidR="001353E5" w:rsidRPr="00EB7E77">
          <w:rPr>
            <w:rStyle w:val="-"/>
            <w:noProof/>
          </w:rPr>
          <w:t>General</w:t>
        </w:r>
        <w:r w:rsidR="001353E5">
          <w:rPr>
            <w:noProof/>
            <w:webHidden/>
          </w:rPr>
          <w:tab/>
        </w:r>
        <w:r w:rsidR="001353E5">
          <w:rPr>
            <w:noProof/>
            <w:webHidden/>
          </w:rPr>
          <w:fldChar w:fldCharType="begin"/>
        </w:r>
        <w:r w:rsidR="001353E5">
          <w:rPr>
            <w:noProof/>
            <w:webHidden/>
          </w:rPr>
          <w:instrText xml:space="preserve"> PAGEREF _Toc67565335 \h </w:instrText>
        </w:r>
        <w:r w:rsidR="001353E5">
          <w:rPr>
            <w:noProof/>
            <w:webHidden/>
          </w:rPr>
        </w:r>
        <w:r w:rsidR="001353E5">
          <w:rPr>
            <w:noProof/>
            <w:webHidden/>
          </w:rPr>
          <w:fldChar w:fldCharType="separate"/>
        </w:r>
        <w:r w:rsidR="000250B6">
          <w:rPr>
            <w:noProof/>
            <w:webHidden/>
          </w:rPr>
          <w:t>70</w:t>
        </w:r>
        <w:r w:rsidR="001353E5">
          <w:rPr>
            <w:noProof/>
            <w:webHidden/>
          </w:rPr>
          <w:fldChar w:fldCharType="end"/>
        </w:r>
      </w:hyperlink>
    </w:p>
    <w:p w14:paraId="50497196" w14:textId="77777777" w:rsidR="001353E5" w:rsidRDefault="00231E33">
      <w:pPr>
        <w:pStyle w:val="32"/>
        <w:rPr>
          <w:rFonts w:asciiTheme="minorHAnsi" w:eastAsiaTheme="minorEastAsia" w:hAnsiTheme="minorHAnsi" w:cstheme="minorBidi"/>
          <w:b w:val="0"/>
          <w:noProof/>
          <w:szCs w:val="22"/>
          <w:lang w:eastAsia="en-GB"/>
        </w:rPr>
      </w:pPr>
      <w:hyperlink w:anchor="_Toc67565336" w:history="1">
        <w:r w:rsidR="001353E5" w:rsidRPr="00EB7E77">
          <w:rPr>
            <w:rStyle w:val="-"/>
            <w:noProof/>
          </w:rPr>
          <w:t>5.3.2</w:t>
        </w:r>
        <w:r w:rsidR="001353E5">
          <w:rPr>
            <w:rFonts w:asciiTheme="minorHAnsi" w:eastAsiaTheme="minorEastAsia" w:hAnsiTheme="minorHAnsi" w:cstheme="minorBidi"/>
            <w:b w:val="0"/>
            <w:noProof/>
            <w:szCs w:val="22"/>
            <w:lang w:eastAsia="en-GB"/>
          </w:rPr>
          <w:tab/>
        </w:r>
        <w:r w:rsidR="001353E5" w:rsidRPr="00EB7E77">
          <w:rPr>
            <w:rStyle w:val="-"/>
            <w:noProof/>
          </w:rPr>
          <w:t>Properties</w:t>
        </w:r>
        <w:r w:rsidR="001353E5">
          <w:rPr>
            <w:noProof/>
            <w:webHidden/>
          </w:rPr>
          <w:tab/>
        </w:r>
        <w:r w:rsidR="001353E5">
          <w:rPr>
            <w:noProof/>
            <w:webHidden/>
          </w:rPr>
          <w:fldChar w:fldCharType="begin"/>
        </w:r>
        <w:r w:rsidR="001353E5">
          <w:rPr>
            <w:noProof/>
            <w:webHidden/>
          </w:rPr>
          <w:instrText xml:space="preserve"> PAGEREF _Toc67565336 \h </w:instrText>
        </w:r>
        <w:r w:rsidR="001353E5">
          <w:rPr>
            <w:noProof/>
            <w:webHidden/>
          </w:rPr>
        </w:r>
        <w:r w:rsidR="001353E5">
          <w:rPr>
            <w:noProof/>
            <w:webHidden/>
          </w:rPr>
          <w:fldChar w:fldCharType="separate"/>
        </w:r>
        <w:r w:rsidR="000250B6">
          <w:rPr>
            <w:noProof/>
            <w:webHidden/>
          </w:rPr>
          <w:t>71</w:t>
        </w:r>
        <w:r w:rsidR="001353E5">
          <w:rPr>
            <w:noProof/>
            <w:webHidden/>
          </w:rPr>
          <w:fldChar w:fldCharType="end"/>
        </w:r>
      </w:hyperlink>
    </w:p>
    <w:p w14:paraId="2C975CB1" w14:textId="77777777" w:rsidR="001353E5" w:rsidRDefault="00231E33">
      <w:pPr>
        <w:pStyle w:val="32"/>
        <w:rPr>
          <w:rFonts w:asciiTheme="minorHAnsi" w:eastAsiaTheme="minorEastAsia" w:hAnsiTheme="minorHAnsi" w:cstheme="minorBidi"/>
          <w:b w:val="0"/>
          <w:noProof/>
          <w:szCs w:val="22"/>
          <w:lang w:eastAsia="en-GB"/>
        </w:rPr>
      </w:pPr>
      <w:hyperlink w:anchor="_Toc67565337" w:history="1">
        <w:r w:rsidR="001353E5" w:rsidRPr="00EB7E77">
          <w:rPr>
            <w:rStyle w:val="-"/>
            <w:noProof/>
          </w:rPr>
          <w:t>5.3.3</w:t>
        </w:r>
        <w:r w:rsidR="001353E5">
          <w:rPr>
            <w:rFonts w:asciiTheme="minorHAnsi" w:eastAsiaTheme="minorEastAsia" w:hAnsiTheme="minorHAnsi" w:cstheme="minorBidi"/>
            <w:b w:val="0"/>
            <w:noProof/>
            <w:szCs w:val="22"/>
            <w:lang w:eastAsia="en-GB"/>
          </w:rPr>
          <w:tab/>
        </w:r>
        <w:r w:rsidR="001353E5" w:rsidRPr="00EB7E77">
          <w:rPr>
            <w:rStyle w:val="-"/>
            <w:noProof/>
          </w:rPr>
          <w:t>Design assumptions</w:t>
        </w:r>
        <w:r w:rsidR="001353E5">
          <w:rPr>
            <w:noProof/>
            <w:webHidden/>
          </w:rPr>
          <w:tab/>
        </w:r>
        <w:r w:rsidR="001353E5">
          <w:rPr>
            <w:noProof/>
            <w:webHidden/>
          </w:rPr>
          <w:fldChar w:fldCharType="begin"/>
        </w:r>
        <w:r w:rsidR="001353E5">
          <w:rPr>
            <w:noProof/>
            <w:webHidden/>
          </w:rPr>
          <w:instrText xml:space="preserve"> PAGEREF _Toc67565337 \h </w:instrText>
        </w:r>
        <w:r w:rsidR="001353E5">
          <w:rPr>
            <w:noProof/>
            <w:webHidden/>
          </w:rPr>
        </w:r>
        <w:r w:rsidR="001353E5">
          <w:rPr>
            <w:noProof/>
            <w:webHidden/>
          </w:rPr>
          <w:fldChar w:fldCharType="separate"/>
        </w:r>
        <w:r w:rsidR="000250B6">
          <w:rPr>
            <w:noProof/>
            <w:webHidden/>
          </w:rPr>
          <w:t>72</w:t>
        </w:r>
        <w:r w:rsidR="001353E5">
          <w:rPr>
            <w:noProof/>
            <w:webHidden/>
          </w:rPr>
          <w:fldChar w:fldCharType="end"/>
        </w:r>
      </w:hyperlink>
    </w:p>
    <w:p w14:paraId="45CBAA92" w14:textId="77777777" w:rsidR="001353E5" w:rsidRDefault="00231E33">
      <w:pPr>
        <w:pStyle w:val="22"/>
        <w:rPr>
          <w:rFonts w:asciiTheme="minorHAnsi" w:eastAsiaTheme="minorEastAsia" w:hAnsiTheme="minorHAnsi" w:cstheme="minorBidi"/>
          <w:b w:val="0"/>
          <w:noProof/>
          <w:szCs w:val="22"/>
          <w:lang w:eastAsia="en-GB"/>
        </w:rPr>
      </w:pPr>
      <w:hyperlink w:anchor="_Toc67565338" w:history="1">
        <w:r w:rsidR="001353E5" w:rsidRPr="00EB7E77">
          <w:rPr>
            <w:rStyle w:val="-"/>
            <w:noProof/>
          </w:rPr>
          <w:t>5.4</w:t>
        </w:r>
        <w:r w:rsidR="001353E5">
          <w:rPr>
            <w:rFonts w:asciiTheme="minorHAnsi" w:eastAsiaTheme="minorEastAsia" w:hAnsiTheme="minorHAnsi" w:cstheme="minorBidi"/>
            <w:b w:val="0"/>
            <w:noProof/>
            <w:szCs w:val="22"/>
            <w:lang w:eastAsia="en-GB"/>
          </w:rPr>
          <w:tab/>
        </w:r>
        <w:r w:rsidR="001353E5" w:rsidRPr="00EB7E77">
          <w:rPr>
            <w:rStyle w:val="-"/>
            <w:noProof/>
          </w:rPr>
          <w:t>Prestressing systems</w:t>
        </w:r>
        <w:r w:rsidR="001353E5">
          <w:rPr>
            <w:noProof/>
            <w:webHidden/>
          </w:rPr>
          <w:tab/>
        </w:r>
        <w:r w:rsidR="001353E5">
          <w:rPr>
            <w:noProof/>
            <w:webHidden/>
          </w:rPr>
          <w:fldChar w:fldCharType="begin"/>
        </w:r>
        <w:r w:rsidR="001353E5">
          <w:rPr>
            <w:noProof/>
            <w:webHidden/>
          </w:rPr>
          <w:instrText xml:space="preserve"> PAGEREF _Toc67565338 \h </w:instrText>
        </w:r>
        <w:r w:rsidR="001353E5">
          <w:rPr>
            <w:noProof/>
            <w:webHidden/>
          </w:rPr>
        </w:r>
        <w:r w:rsidR="001353E5">
          <w:rPr>
            <w:noProof/>
            <w:webHidden/>
          </w:rPr>
          <w:fldChar w:fldCharType="separate"/>
        </w:r>
        <w:r w:rsidR="000250B6">
          <w:rPr>
            <w:noProof/>
            <w:webHidden/>
          </w:rPr>
          <w:t>72</w:t>
        </w:r>
        <w:r w:rsidR="001353E5">
          <w:rPr>
            <w:noProof/>
            <w:webHidden/>
          </w:rPr>
          <w:fldChar w:fldCharType="end"/>
        </w:r>
      </w:hyperlink>
    </w:p>
    <w:p w14:paraId="315B8CB0" w14:textId="77777777" w:rsidR="001353E5" w:rsidRDefault="00231E33">
      <w:pPr>
        <w:pStyle w:val="32"/>
        <w:rPr>
          <w:rFonts w:asciiTheme="minorHAnsi" w:eastAsiaTheme="minorEastAsia" w:hAnsiTheme="minorHAnsi" w:cstheme="minorBidi"/>
          <w:b w:val="0"/>
          <w:noProof/>
          <w:szCs w:val="22"/>
          <w:lang w:eastAsia="en-GB"/>
        </w:rPr>
      </w:pPr>
      <w:hyperlink w:anchor="_Toc67565339" w:history="1">
        <w:r w:rsidR="001353E5" w:rsidRPr="00EB7E77">
          <w:rPr>
            <w:rStyle w:val="-"/>
            <w:noProof/>
          </w:rPr>
          <w:t>5.4.1</w:t>
        </w:r>
        <w:r w:rsidR="001353E5">
          <w:rPr>
            <w:rFonts w:asciiTheme="minorHAnsi" w:eastAsiaTheme="minorEastAsia" w:hAnsiTheme="minorHAnsi" w:cstheme="minorBidi"/>
            <w:b w:val="0"/>
            <w:noProof/>
            <w:szCs w:val="22"/>
            <w:lang w:eastAsia="en-GB"/>
          </w:rPr>
          <w:tab/>
        </w:r>
        <w:r w:rsidR="001353E5" w:rsidRPr="00EB7E77">
          <w:rPr>
            <w:rStyle w:val="-"/>
            <w:noProof/>
          </w:rPr>
          <w:t>General</w:t>
        </w:r>
        <w:r w:rsidR="001353E5">
          <w:rPr>
            <w:noProof/>
            <w:webHidden/>
          </w:rPr>
          <w:tab/>
        </w:r>
        <w:r w:rsidR="001353E5">
          <w:rPr>
            <w:noProof/>
            <w:webHidden/>
          </w:rPr>
          <w:fldChar w:fldCharType="begin"/>
        </w:r>
        <w:r w:rsidR="001353E5">
          <w:rPr>
            <w:noProof/>
            <w:webHidden/>
          </w:rPr>
          <w:instrText xml:space="preserve"> PAGEREF _Toc67565339 \h </w:instrText>
        </w:r>
        <w:r w:rsidR="001353E5">
          <w:rPr>
            <w:noProof/>
            <w:webHidden/>
          </w:rPr>
        </w:r>
        <w:r w:rsidR="001353E5">
          <w:rPr>
            <w:noProof/>
            <w:webHidden/>
          </w:rPr>
          <w:fldChar w:fldCharType="separate"/>
        </w:r>
        <w:r w:rsidR="000250B6">
          <w:rPr>
            <w:noProof/>
            <w:webHidden/>
          </w:rPr>
          <w:t>72</w:t>
        </w:r>
        <w:r w:rsidR="001353E5">
          <w:rPr>
            <w:noProof/>
            <w:webHidden/>
          </w:rPr>
          <w:fldChar w:fldCharType="end"/>
        </w:r>
      </w:hyperlink>
    </w:p>
    <w:p w14:paraId="20311A20" w14:textId="77777777" w:rsidR="001353E5" w:rsidRDefault="00231E33">
      <w:pPr>
        <w:pStyle w:val="32"/>
        <w:rPr>
          <w:rFonts w:asciiTheme="minorHAnsi" w:eastAsiaTheme="minorEastAsia" w:hAnsiTheme="minorHAnsi" w:cstheme="minorBidi"/>
          <w:b w:val="0"/>
          <w:noProof/>
          <w:szCs w:val="22"/>
          <w:lang w:eastAsia="en-GB"/>
        </w:rPr>
      </w:pPr>
      <w:hyperlink w:anchor="_Toc67565340" w:history="1">
        <w:r w:rsidR="001353E5" w:rsidRPr="00EB7E77">
          <w:rPr>
            <w:rStyle w:val="-"/>
            <w:noProof/>
          </w:rPr>
          <w:t>5.4.2</w:t>
        </w:r>
        <w:r w:rsidR="001353E5">
          <w:rPr>
            <w:rFonts w:asciiTheme="minorHAnsi" w:eastAsiaTheme="minorEastAsia" w:hAnsiTheme="minorHAnsi" w:cstheme="minorBidi"/>
            <w:b w:val="0"/>
            <w:noProof/>
            <w:szCs w:val="22"/>
            <w:lang w:eastAsia="en-GB"/>
          </w:rPr>
          <w:tab/>
        </w:r>
        <w:r w:rsidR="001353E5" w:rsidRPr="00EB7E77">
          <w:rPr>
            <w:rStyle w:val="-"/>
            <w:noProof/>
          </w:rPr>
          <w:t>Anchorage zones</w:t>
        </w:r>
        <w:r w:rsidR="001353E5">
          <w:rPr>
            <w:noProof/>
            <w:webHidden/>
          </w:rPr>
          <w:tab/>
        </w:r>
        <w:r w:rsidR="001353E5">
          <w:rPr>
            <w:noProof/>
            <w:webHidden/>
          </w:rPr>
          <w:fldChar w:fldCharType="begin"/>
        </w:r>
        <w:r w:rsidR="001353E5">
          <w:rPr>
            <w:noProof/>
            <w:webHidden/>
          </w:rPr>
          <w:instrText xml:space="preserve"> PAGEREF _Toc67565340 \h </w:instrText>
        </w:r>
        <w:r w:rsidR="001353E5">
          <w:rPr>
            <w:noProof/>
            <w:webHidden/>
          </w:rPr>
        </w:r>
        <w:r w:rsidR="001353E5">
          <w:rPr>
            <w:noProof/>
            <w:webHidden/>
          </w:rPr>
          <w:fldChar w:fldCharType="separate"/>
        </w:r>
        <w:r w:rsidR="000250B6">
          <w:rPr>
            <w:noProof/>
            <w:webHidden/>
          </w:rPr>
          <w:t>73</w:t>
        </w:r>
        <w:r w:rsidR="001353E5">
          <w:rPr>
            <w:noProof/>
            <w:webHidden/>
          </w:rPr>
          <w:fldChar w:fldCharType="end"/>
        </w:r>
      </w:hyperlink>
    </w:p>
    <w:p w14:paraId="16C3FD77" w14:textId="77777777" w:rsidR="001353E5" w:rsidRDefault="00231E33">
      <w:pPr>
        <w:pStyle w:val="10"/>
        <w:rPr>
          <w:rFonts w:asciiTheme="minorHAnsi" w:eastAsiaTheme="minorEastAsia" w:hAnsiTheme="minorHAnsi" w:cstheme="minorBidi"/>
          <w:b w:val="0"/>
          <w:noProof/>
          <w:szCs w:val="22"/>
          <w:lang w:eastAsia="en-GB"/>
        </w:rPr>
      </w:pPr>
      <w:hyperlink w:anchor="_Toc67565341" w:history="1">
        <w:r w:rsidR="001353E5" w:rsidRPr="00EB7E77">
          <w:rPr>
            <w:rStyle w:val="-"/>
            <w:noProof/>
          </w:rPr>
          <w:t>6</w:t>
        </w:r>
        <w:r w:rsidR="001353E5">
          <w:rPr>
            <w:rFonts w:asciiTheme="minorHAnsi" w:eastAsiaTheme="minorEastAsia" w:hAnsiTheme="minorHAnsi" w:cstheme="minorBidi"/>
            <w:b w:val="0"/>
            <w:noProof/>
            <w:szCs w:val="22"/>
            <w:lang w:eastAsia="en-GB"/>
          </w:rPr>
          <w:tab/>
        </w:r>
        <w:r w:rsidR="001353E5" w:rsidRPr="00EB7E77">
          <w:rPr>
            <w:rStyle w:val="-"/>
            <w:noProof/>
          </w:rPr>
          <w:t>Durability</w:t>
        </w:r>
        <w:r w:rsidR="001353E5">
          <w:rPr>
            <w:noProof/>
            <w:webHidden/>
          </w:rPr>
          <w:tab/>
        </w:r>
        <w:r w:rsidR="001353E5">
          <w:rPr>
            <w:noProof/>
            <w:webHidden/>
          </w:rPr>
          <w:fldChar w:fldCharType="begin"/>
        </w:r>
        <w:r w:rsidR="001353E5">
          <w:rPr>
            <w:noProof/>
            <w:webHidden/>
          </w:rPr>
          <w:instrText xml:space="preserve"> PAGEREF _Toc67565341 \h </w:instrText>
        </w:r>
        <w:r w:rsidR="001353E5">
          <w:rPr>
            <w:noProof/>
            <w:webHidden/>
          </w:rPr>
        </w:r>
        <w:r w:rsidR="001353E5">
          <w:rPr>
            <w:noProof/>
            <w:webHidden/>
          </w:rPr>
          <w:fldChar w:fldCharType="separate"/>
        </w:r>
        <w:r w:rsidR="000250B6">
          <w:rPr>
            <w:noProof/>
            <w:webHidden/>
          </w:rPr>
          <w:t>74</w:t>
        </w:r>
        <w:r w:rsidR="001353E5">
          <w:rPr>
            <w:noProof/>
            <w:webHidden/>
          </w:rPr>
          <w:fldChar w:fldCharType="end"/>
        </w:r>
      </w:hyperlink>
    </w:p>
    <w:p w14:paraId="77DF8EC6" w14:textId="77777777" w:rsidR="001353E5" w:rsidRDefault="00231E33">
      <w:pPr>
        <w:pStyle w:val="22"/>
        <w:rPr>
          <w:rFonts w:asciiTheme="minorHAnsi" w:eastAsiaTheme="minorEastAsia" w:hAnsiTheme="minorHAnsi" w:cstheme="minorBidi"/>
          <w:b w:val="0"/>
          <w:noProof/>
          <w:szCs w:val="22"/>
          <w:lang w:eastAsia="en-GB"/>
        </w:rPr>
      </w:pPr>
      <w:hyperlink w:anchor="_Toc67565342" w:history="1">
        <w:r w:rsidR="001353E5" w:rsidRPr="00EB7E77">
          <w:rPr>
            <w:rStyle w:val="-"/>
            <w:noProof/>
          </w:rPr>
          <w:t>6.1</w:t>
        </w:r>
        <w:r w:rsidR="001353E5">
          <w:rPr>
            <w:rFonts w:asciiTheme="minorHAnsi" w:eastAsiaTheme="minorEastAsia" w:hAnsiTheme="minorHAnsi" w:cstheme="minorBidi"/>
            <w:b w:val="0"/>
            <w:noProof/>
            <w:szCs w:val="22"/>
            <w:lang w:eastAsia="en-GB"/>
          </w:rPr>
          <w:tab/>
        </w:r>
        <w:r w:rsidR="001353E5" w:rsidRPr="00EB7E77">
          <w:rPr>
            <w:rStyle w:val="-"/>
            <w:noProof/>
          </w:rPr>
          <w:t>General</w:t>
        </w:r>
        <w:r w:rsidR="001353E5">
          <w:rPr>
            <w:noProof/>
            <w:webHidden/>
          </w:rPr>
          <w:tab/>
        </w:r>
        <w:r w:rsidR="001353E5">
          <w:rPr>
            <w:noProof/>
            <w:webHidden/>
          </w:rPr>
          <w:fldChar w:fldCharType="begin"/>
        </w:r>
        <w:r w:rsidR="001353E5">
          <w:rPr>
            <w:noProof/>
            <w:webHidden/>
          </w:rPr>
          <w:instrText xml:space="preserve"> PAGEREF _Toc67565342 \h </w:instrText>
        </w:r>
        <w:r w:rsidR="001353E5">
          <w:rPr>
            <w:noProof/>
            <w:webHidden/>
          </w:rPr>
        </w:r>
        <w:r w:rsidR="001353E5">
          <w:rPr>
            <w:noProof/>
            <w:webHidden/>
          </w:rPr>
          <w:fldChar w:fldCharType="separate"/>
        </w:r>
        <w:r w:rsidR="000250B6">
          <w:rPr>
            <w:noProof/>
            <w:webHidden/>
          </w:rPr>
          <w:t>74</w:t>
        </w:r>
        <w:r w:rsidR="001353E5">
          <w:rPr>
            <w:noProof/>
            <w:webHidden/>
          </w:rPr>
          <w:fldChar w:fldCharType="end"/>
        </w:r>
      </w:hyperlink>
    </w:p>
    <w:p w14:paraId="56754C3F" w14:textId="77777777" w:rsidR="001353E5" w:rsidRDefault="00231E33">
      <w:pPr>
        <w:pStyle w:val="22"/>
        <w:rPr>
          <w:rFonts w:asciiTheme="minorHAnsi" w:eastAsiaTheme="minorEastAsia" w:hAnsiTheme="minorHAnsi" w:cstheme="minorBidi"/>
          <w:b w:val="0"/>
          <w:noProof/>
          <w:szCs w:val="22"/>
          <w:lang w:eastAsia="en-GB"/>
        </w:rPr>
      </w:pPr>
      <w:hyperlink w:anchor="_Toc67565343" w:history="1">
        <w:r w:rsidR="001353E5" w:rsidRPr="00EB7E77">
          <w:rPr>
            <w:rStyle w:val="-"/>
            <w:noProof/>
          </w:rPr>
          <w:t>6.2</w:t>
        </w:r>
        <w:r w:rsidR="001353E5">
          <w:rPr>
            <w:rFonts w:asciiTheme="minorHAnsi" w:eastAsiaTheme="minorEastAsia" w:hAnsiTheme="minorHAnsi" w:cstheme="minorBidi"/>
            <w:b w:val="0"/>
            <w:noProof/>
            <w:szCs w:val="22"/>
            <w:lang w:eastAsia="en-GB"/>
          </w:rPr>
          <w:tab/>
        </w:r>
        <w:r w:rsidR="001353E5" w:rsidRPr="00EB7E77">
          <w:rPr>
            <w:rStyle w:val="-"/>
            <w:noProof/>
          </w:rPr>
          <w:t>Requirements for durability</w:t>
        </w:r>
        <w:r w:rsidR="001353E5">
          <w:rPr>
            <w:noProof/>
            <w:webHidden/>
          </w:rPr>
          <w:tab/>
        </w:r>
        <w:r w:rsidR="001353E5">
          <w:rPr>
            <w:noProof/>
            <w:webHidden/>
          </w:rPr>
          <w:fldChar w:fldCharType="begin"/>
        </w:r>
        <w:r w:rsidR="001353E5">
          <w:rPr>
            <w:noProof/>
            <w:webHidden/>
          </w:rPr>
          <w:instrText xml:space="preserve"> PAGEREF _Toc67565343 \h </w:instrText>
        </w:r>
        <w:r w:rsidR="001353E5">
          <w:rPr>
            <w:noProof/>
            <w:webHidden/>
          </w:rPr>
        </w:r>
        <w:r w:rsidR="001353E5">
          <w:rPr>
            <w:noProof/>
            <w:webHidden/>
          </w:rPr>
          <w:fldChar w:fldCharType="separate"/>
        </w:r>
        <w:r w:rsidR="000250B6">
          <w:rPr>
            <w:noProof/>
            <w:webHidden/>
          </w:rPr>
          <w:t>74</w:t>
        </w:r>
        <w:r w:rsidR="001353E5">
          <w:rPr>
            <w:noProof/>
            <w:webHidden/>
          </w:rPr>
          <w:fldChar w:fldCharType="end"/>
        </w:r>
      </w:hyperlink>
    </w:p>
    <w:p w14:paraId="6CFAF2B6" w14:textId="77777777" w:rsidR="001353E5" w:rsidRDefault="00231E33">
      <w:pPr>
        <w:pStyle w:val="22"/>
        <w:rPr>
          <w:rFonts w:asciiTheme="minorHAnsi" w:eastAsiaTheme="minorEastAsia" w:hAnsiTheme="minorHAnsi" w:cstheme="minorBidi"/>
          <w:b w:val="0"/>
          <w:noProof/>
          <w:szCs w:val="22"/>
          <w:lang w:eastAsia="en-GB"/>
        </w:rPr>
      </w:pPr>
      <w:hyperlink w:anchor="_Toc67565344" w:history="1">
        <w:r w:rsidR="001353E5" w:rsidRPr="00EB7E77">
          <w:rPr>
            <w:rStyle w:val="-"/>
            <w:noProof/>
          </w:rPr>
          <w:t>6.3</w:t>
        </w:r>
        <w:r w:rsidR="001353E5">
          <w:rPr>
            <w:rFonts w:asciiTheme="minorHAnsi" w:eastAsiaTheme="minorEastAsia" w:hAnsiTheme="minorHAnsi" w:cstheme="minorBidi"/>
            <w:b w:val="0"/>
            <w:noProof/>
            <w:szCs w:val="22"/>
            <w:lang w:eastAsia="en-GB"/>
          </w:rPr>
          <w:tab/>
        </w:r>
        <w:r w:rsidR="001353E5" w:rsidRPr="00EB7E77">
          <w:rPr>
            <w:rStyle w:val="-"/>
            <w:noProof/>
          </w:rPr>
          <w:t>Environmental exposure conditions</w:t>
        </w:r>
        <w:r w:rsidR="001353E5">
          <w:rPr>
            <w:noProof/>
            <w:webHidden/>
          </w:rPr>
          <w:tab/>
        </w:r>
        <w:r w:rsidR="001353E5">
          <w:rPr>
            <w:noProof/>
            <w:webHidden/>
          </w:rPr>
          <w:fldChar w:fldCharType="begin"/>
        </w:r>
        <w:r w:rsidR="001353E5">
          <w:rPr>
            <w:noProof/>
            <w:webHidden/>
          </w:rPr>
          <w:instrText xml:space="preserve"> PAGEREF _Toc67565344 \h </w:instrText>
        </w:r>
        <w:r w:rsidR="001353E5">
          <w:rPr>
            <w:noProof/>
            <w:webHidden/>
          </w:rPr>
        </w:r>
        <w:r w:rsidR="001353E5">
          <w:rPr>
            <w:noProof/>
            <w:webHidden/>
          </w:rPr>
          <w:fldChar w:fldCharType="separate"/>
        </w:r>
        <w:r w:rsidR="000250B6">
          <w:rPr>
            <w:noProof/>
            <w:webHidden/>
          </w:rPr>
          <w:t>75</w:t>
        </w:r>
        <w:r w:rsidR="001353E5">
          <w:rPr>
            <w:noProof/>
            <w:webHidden/>
          </w:rPr>
          <w:fldChar w:fldCharType="end"/>
        </w:r>
      </w:hyperlink>
    </w:p>
    <w:p w14:paraId="723E2A8C" w14:textId="77777777" w:rsidR="001353E5" w:rsidRDefault="00231E33">
      <w:pPr>
        <w:pStyle w:val="22"/>
        <w:rPr>
          <w:rFonts w:asciiTheme="minorHAnsi" w:eastAsiaTheme="minorEastAsia" w:hAnsiTheme="minorHAnsi" w:cstheme="minorBidi"/>
          <w:b w:val="0"/>
          <w:noProof/>
          <w:szCs w:val="22"/>
          <w:lang w:eastAsia="en-GB"/>
        </w:rPr>
      </w:pPr>
      <w:hyperlink w:anchor="_Toc67565345" w:history="1">
        <w:r w:rsidR="001353E5" w:rsidRPr="00EB7E77">
          <w:rPr>
            <w:rStyle w:val="-"/>
            <w:noProof/>
          </w:rPr>
          <w:t>6.4</w:t>
        </w:r>
        <w:r w:rsidR="001353E5">
          <w:rPr>
            <w:rFonts w:asciiTheme="minorHAnsi" w:eastAsiaTheme="minorEastAsia" w:hAnsiTheme="minorHAnsi" w:cstheme="minorBidi"/>
            <w:b w:val="0"/>
            <w:noProof/>
            <w:szCs w:val="22"/>
            <w:lang w:eastAsia="en-GB"/>
          </w:rPr>
          <w:tab/>
        </w:r>
        <w:r w:rsidR="001353E5" w:rsidRPr="00EB7E77">
          <w:rPr>
            <w:rStyle w:val="-"/>
            <w:noProof/>
          </w:rPr>
          <w:t>Exposure resistance classes</w:t>
        </w:r>
        <w:r w:rsidR="001353E5">
          <w:rPr>
            <w:noProof/>
            <w:webHidden/>
          </w:rPr>
          <w:tab/>
        </w:r>
        <w:r w:rsidR="001353E5">
          <w:rPr>
            <w:noProof/>
            <w:webHidden/>
          </w:rPr>
          <w:fldChar w:fldCharType="begin"/>
        </w:r>
        <w:r w:rsidR="001353E5">
          <w:rPr>
            <w:noProof/>
            <w:webHidden/>
          </w:rPr>
          <w:instrText xml:space="preserve"> PAGEREF _Toc67565345 \h </w:instrText>
        </w:r>
        <w:r w:rsidR="001353E5">
          <w:rPr>
            <w:noProof/>
            <w:webHidden/>
          </w:rPr>
        </w:r>
        <w:r w:rsidR="001353E5">
          <w:rPr>
            <w:noProof/>
            <w:webHidden/>
          </w:rPr>
          <w:fldChar w:fldCharType="separate"/>
        </w:r>
        <w:r w:rsidR="000250B6">
          <w:rPr>
            <w:noProof/>
            <w:webHidden/>
          </w:rPr>
          <w:t>79</w:t>
        </w:r>
        <w:r w:rsidR="001353E5">
          <w:rPr>
            <w:noProof/>
            <w:webHidden/>
          </w:rPr>
          <w:fldChar w:fldCharType="end"/>
        </w:r>
      </w:hyperlink>
    </w:p>
    <w:p w14:paraId="55F33591" w14:textId="77777777" w:rsidR="001353E5" w:rsidRDefault="00231E33">
      <w:pPr>
        <w:pStyle w:val="22"/>
        <w:rPr>
          <w:rFonts w:asciiTheme="minorHAnsi" w:eastAsiaTheme="minorEastAsia" w:hAnsiTheme="minorHAnsi" w:cstheme="minorBidi"/>
          <w:b w:val="0"/>
          <w:noProof/>
          <w:szCs w:val="22"/>
          <w:lang w:eastAsia="en-GB"/>
        </w:rPr>
      </w:pPr>
      <w:hyperlink w:anchor="_Toc67565346" w:history="1">
        <w:r w:rsidR="001353E5" w:rsidRPr="00EB7E77">
          <w:rPr>
            <w:rStyle w:val="-"/>
            <w:noProof/>
          </w:rPr>
          <w:t>6.5</w:t>
        </w:r>
        <w:r w:rsidR="001353E5">
          <w:rPr>
            <w:rFonts w:asciiTheme="minorHAnsi" w:eastAsiaTheme="minorEastAsia" w:hAnsiTheme="minorHAnsi" w:cstheme="minorBidi"/>
            <w:b w:val="0"/>
            <w:noProof/>
            <w:szCs w:val="22"/>
            <w:lang w:eastAsia="en-GB"/>
          </w:rPr>
          <w:tab/>
        </w:r>
        <w:r w:rsidR="001353E5" w:rsidRPr="00EB7E77">
          <w:rPr>
            <w:rStyle w:val="-"/>
            <w:noProof/>
          </w:rPr>
          <w:t>Concrete cover</w:t>
        </w:r>
        <w:r w:rsidR="001353E5">
          <w:rPr>
            <w:noProof/>
            <w:webHidden/>
          </w:rPr>
          <w:tab/>
        </w:r>
        <w:r w:rsidR="001353E5">
          <w:rPr>
            <w:noProof/>
            <w:webHidden/>
          </w:rPr>
          <w:fldChar w:fldCharType="begin"/>
        </w:r>
        <w:r w:rsidR="001353E5">
          <w:rPr>
            <w:noProof/>
            <w:webHidden/>
          </w:rPr>
          <w:instrText xml:space="preserve"> PAGEREF _Toc67565346 \h </w:instrText>
        </w:r>
        <w:r w:rsidR="001353E5">
          <w:rPr>
            <w:noProof/>
            <w:webHidden/>
          </w:rPr>
        </w:r>
        <w:r w:rsidR="001353E5">
          <w:rPr>
            <w:noProof/>
            <w:webHidden/>
          </w:rPr>
          <w:fldChar w:fldCharType="separate"/>
        </w:r>
        <w:r w:rsidR="000250B6">
          <w:rPr>
            <w:noProof/>
            <w:webHidden/>
          </w:rPr>
          <w:t>79</w:t>
        </w:r>
        <w:r w:rsidR="001353E5">
          <w:rPr>
            <w:noProof/>
            <w:webHidden/>
          </w:rPr>
          <w:fldChar w:fldCharType="end"/>
        </w:r>
      </w:hyperlink>
    </w:p>
    <w:p w14:paraId="6E5AED7D" w14:textId="77777777" w:rsidR="001353E5" w:rsidRDefault="00231E33">
      <w:pPr>
        <w:pStyle w:val="32"/>
        <w:rPr>
          <w:rFonts w:asciiTheme="minorHAnsi" w:eastAsiaTheme="minorEastAsia" w:hAnsiTheme="minorHAnsi" w:cstheme="minorBidi"/>
          <w:b w:val="0"/>
          <w:noProof/>
          <w:szCs w:val="22"/>
          <w:lang w:eastAsia="en-GB"/>
        </w:rPr>
      </w:pPr>
      <w:hyperlink w:anchor="_Toc67565347" w:history="1">
        <w:r w:rsidR="001353E5" w:rsidRPr="00EB7E77">
          <w:rPr>
            <w:rStyle w:val="-"/>
            <w:noProof/>
          </w:rPr>
          <w:t>6.5.1</w:t>
        </w:r>
        <w:r w:rsidR="001353E5">
          <w:rPr>
            <w:rFonts w:asciiTheme="minorHAnsi" w:eastAsiaTheme="minorEastAsia" w:hAnsiTheme="minorHAnsi" w:cstheme="minorBidi"/>
            <w:b w:val="0"/>
            <w:noProof/>
            <w:szCs w:val="22"/>
            <w:lang w:eastAsia="en-GB"/>
          </w:rPr>
          <w:tab/>
        </w:r>
        <w:r w:rsidR="001353E5" w:rsidRPr="00EB7E77">
          <w:rPr>
            <w:rStyle w:val="-"/>
            <w:noProof/>
          </w:rPr>
          <w:t>Nominal cover</w:t>
        </w:r>
        <w:r w:rsidR="001353E5">
          <w:rPr>
            <w:noProof/>
            <w:webHidden/>
          </w:rPr>
          <w:tab/>
        </w:r>
        <w:r w:rsidR="001353E5">
          <w:rPr>
            <w:noProof/>
            <w:webHidden/>
          </w:rPr>
          <w:fldChar w:fldCharType="begin"/>
        </w:r>
        <w:r w:rsidR="001353E5">
          <w:rPr>
            <w:noProof/>
            <w:webHidden/>
          </w:rPr>
          <w:instrText xml:space="preserve"> PAGEREF _Toc67565347 \h </w:instrText>
        </w:r>
        <w:r w:rsidR="001353E5">
          <w:rPr>
            <w:noProof/>
            <w:webHidden/>
          </w:rPr>
        </w:r>
        <w:r w:rsidR="001353E5">
          <w:rPr>
            <w:noProof/>
            <w:webHidden/>
          </w:rPr>
          <w:fldChar w:fldCharType="separate"/>
        </w:r>
        <w:r w:rsidR="000250B6">
          <w:rPr>
            <w:noProof/>
            <w:webHidden/>
          </w:rPr>
          <w:t>79</w:t>
        </w:r>
        <w:r w:rsidR="001353E5">
          <w:rPr>
            <w:noProof/>
            <w:webHidden/>
          </w:rPr>
          <w:fldChar w:fldCharType="end"/>
        </w:r>
      </w:hyperlink>
    </w:p>
    <w:p w14:paraId="3155D13E" w14:textId="77777777" w:rsidR="001353E5" w:rsidRDefault="00231E33">
      <w:pPr>
        <w:pStyle w:val="32"/>
        <w:rPr>
          <w:rFonts w:asciiTheme="minorHAnsi" w:eastAsiaTheme="minorEastAsia" w:hAnsiTheme="minorHAnsi" w:cstheme="minorBidi"/>
          <w:b w:val="0"/>
          <w:noProof/>
          <w:szCs w:val="22"/>
          <w:lang w:eastAsia="en-GB"/>
        </w:rPr>
      </w:pPr>
      <w:hyperlink w:anchor="_Toc67565348" w:history="1">
        <w:r w:rsidR="001353E5" w:rsidRPr="00EB7E77">
          <w:rPr>
            <w:rStyle w:val="-"/>
            <w:noProof/>
          </w:rPr>
          <w:t>6.5.2</w:t>
        </w:r>
        <w:r w:rsidR="001353E5">
          <w:rPr>
            <w:rFonts w:asciiTheme="minorHAnsi" w:eastAsiaTheme="minorEastAsia" w:hAnsiTheme="minorHAnsi" w:cstheme="minorBidi"/>
            <w:b w:val="0"/>
            <w:noProof/>
            <w:szCs w:val="22"/>
            <w:lang w:eastAsia="en-GB"/>
          </w:rPr>
          <w:tab/>
        </w:r>
        <w:r w:rsidR="001353E5" w:rsidRPr="00EB7E77">
          <w:rPr>
            <w:rStyle w:val="-"/>
            <w:noProof/>
          </w:rPr>
          <w:t>Minimum cover</w:t>
        </w:r>
        <w:r w:rsidR="001353E5">
          <w:rPr>
            <w:noProof/>
            <w:webHidden/>
          </w:rPr>
          <w:tab/>
        </w:r>
        <w:r w:rsidR="001353E5">
          <w:rPr>
            <w:noProof/>
            <w:webHidden/>
          </w:rPr>
          <w:fldChar w:fldCharType="begin"/>
        </w:r>
        <w:r w:rsidR="001353E5">
          <w:rPr>
            <w:noProof/>
            <w:webHidden/>
          </w:rPr>
          <w:instrText xml:space="preserve"> PAGEREF _Toc67565348 \h </w:instrText>
        </w:r>
        <w:r w:rsidR="001353E5">
          <w:rPr>
            <w:noProof/>
            <w:webHidden/>
          </w:rPr>
        </w:r>
        <w:r w:rsidR="001353E5">
          <w:rPr>
            <w:noProof/>
            <w:webHidden/>
          </w:rPr>
          <w:fldChar w:fldCharType="separate"/>
        </w:r>
        <w:r w:rsidR="000250B6">
          <w:rPr>
            <w:noProof/>
            <w:webHidden/>
          </w:rPr>
          <w:t>80</w:t>
        </w:r>
        <w:r w:rsidR="001353E5">
          <w:rPr>
            <w:noProof/>
            <w:webHidden/>
          </w:rPr>
          <w:fldChar w:fldCharType="end"/>
        </w:r>
      </w:hyperlink>
    </w:p>
    <w:p w14:paraId="444902AD" w14:textId="77777777" w:rsidR="001353E5" w:rsidRDefault="00231E33">
      <w:pPr>
        <w:pStyle w:val="32"/>
        <w:rPr>
          <w:rFonts w:asciiTheme="minorHAnsi" w:eastAsiaTheme="minorEastAsia" w:hAnsiTheme="minorHAnsi" w:cstheme="minorBidi"/>
          <w:b w:val="0"/>
          <w:noProof/>
          <w:szCs w:val="22"/>
          <w:lang w:eastAsia="en-GB"/>
        </w:rPr>
      </w:pPr>
      <w:hyperlink w:anchor="_Toc67565349" w:history="1">
        <w:r w:rsidR="001353E5" w:rsidRPr="00EB7E77">
          <w:rPr>
            <w:rStyle w:val="-"/>
            <w:noProof/>
          </w:rPr>
          <w:t>6.5.3</w:t>
        </w:r>
        <w:r w:rsidR="001353E5">
          <w:rPr>
            <w:rFonts w:asciiTheme="minorHAnsi" w:eastAsiaTheme="minorEastAsia" w:hAnsiTheme="minorHAnsi" w:cstheme="minorBidi"/>
            <w:b w:val="0"/>
            <w:noProof/>
            <w:szCs w:val="22"/>
            <w:lang w:eastAsia="en-GB"/>
          </w:rPr>
          <w:tab/>
        </w:r>
        <w:r w:rsidR="001353E5" w:rsidRPr="00EB7E77">
          <w:rPr>
            <w:rStyle w:val="-"/>
            <w:noProof/>
          </w:rPr>
          <w:t>Allowance in design for deviation</w:t>
        </w:r>
        <w:r w:rsidR="001353E5">
          <w:rPr>
            <w:noProof/>
            <w:webHidden/>
          </w:rPr>
          <w:tab/>
        </w:r>
        <w:r w:rsidR="001353E5">
          <w:rPr>
            <w:noProof/>
            <w:webHidden/>
          </w:rPr>
          <w:fldChar w:fldCharType="begin"/>
        </w:r>
        <w:r w:rsidR="001353E5">
          <w:rPr>
            <w:noProof/>
            <w:webHidden/>
          </w:rPr>
          <w:instrText xml:space="preserve"> PAGEREF _Toc67565349 \h </w:instrText>
        </w:r>
        <w:r w:rsidR="001353E5">
          <w:rPr>
            <w:noProof/>
            <w:webHidden/>
          </w:rPr>
        </w:r>
        <w:r w:rsidR="001353E5">
          <w:rPr>
            <w:noProof/>
            <w:webHidden/>
          </w:rPr>
          <w:fldChar w:fldCharType="separate"/>
        </w:r>
        <w:r w:rsidR="000250B6">
          <w:rPr>
            <w:noProof/>
            <w:webHidden/>
          </w:rPr>
          <w:t>84</w:t>
        </w:r>
        <w:r w:rsidR="001353E5">
          <w:rPr>
            <w:noProof/>
            <w:webHidden/>
          </w:rPr>
          <w:fldChar w:fldCharType="end"/>
        </w:r>
      </w:hyperlink>
    </w:p>
    <w:p w14:paraId="3FF887CE" w14:textId="77777777" w:rsidR="001353E5" w:rsidRDefault="00231E33">
      <w:pPr>
        <w:pStyle w:val="10"/>
        <w:rPr>
          <w:rFonts w:asciiTheme="minorHAnsi" w:eastAsiaTheme="minorEastAsia" w:hAnsiTheme="minorHAnsi" w:cstheme="minorBidi"/>
          <w:b w:val="0"/>
          <w:noProof/>
          <w:szCs w:val="22"/>
          <w:lang w:eastAsia="en-GB"/>
        </w:rPr>
      </w:pPr>
      <w:hyperlink w:anchor="_Toc67565350" w:history="1">
        <w:r w:rsidR="001353E5" w:rsidRPr="00EB7E77">
          <w:rPr>
            <w:rStyle w:val="-"/>
            <w:noProof/>
          </w:rPr>
          <w:t>7</w:t>
        </w:r>
        <w:r w:rsidR="001353E5">
          <w:rPr>
            <w:rFonts w:asciiTheme="minorHAnsi" w:eastAsiaTheme="minorEastAsia" w:hAnsiTheme="minorHAnsi" w:cstheme="minorBidi"/>
            <w:b w:val="0"/>
            <w:noProof/>
            <w:szCs w:val="22"/>
            <w:lang w:eastAsia="en-GB"/>
          </w:rPr>
          <w:tab/>
        </w:r>
        <w:r w:rsidR="001353E5" w:rsidRPr="00EB7E77">
          <w:rPr>
            <w:rStyle w:val="-"/>
            <w:noProof/>
          </w:rPr>
          <w:t>Structural analysis</w:t>
        </w:r>
        <w:r w:rsidR="001353E5">
          <w:rPr>
            <w:noProof/>
            <w:webHidden/>
          </w:rPr>
          <w:tab/>
        </w:r>
        <w:r w:rsidR="001353E5">
          <w:rPr>
            <w:noProof/>
            <w:webHidden/>
          </w:rPr>
          <w:fldChar w:fldCharType="begin"/>
        </w:r>
        <w:r w:rsidR="001353E5">
          <w:rPr>
            <w:noProof/>
            <w:webHidden/>
          </w:rPr>
          <w:instrText xml:space="preserve"> PAGEREF _Toc67565350 \h </w:instrText>
        </w:r>
        <w:r w:rsidR="001353E5">
          <w:rPr>
            <w:noProof/>
            <w:webHidden/>
          </w:rPr>
        </w:r>
        <w:r w:rsidR="001353E5">
          <w:rPr>
            <w:noProof/>
            <w:webHidden/>
          </w:rPr>
          <w:fldChar w:fldCharType="separate"/>
        </w:r>
        <w:r w:rsidR="000250B6">
          <w:rPr>
            <w:noProof/>
            <w:webHidden/>
          </w:rPr>
          <w:t>86</w:t>
        </w:r>
        <w:r w:rsidR="001353E5">
          <w:rPr>
            <w:noProof/>
            <w:webHidden/>
          </w:rPr>
          <w:fldChar w:fldCharType="end"/>
        </w:r>
      </w:hyperlink>
    </w:p>
    <w:p w14:paraId="3C7EC553" w14:textId="77777777" w:rsidR="001353E5" w:rsidRDefault="00231E33">
      <w:pPr>
        <w:pStyle w:val="22"/>
        <w:rPr>
          <w:rFonts w:asciiTheme="minorHAnsi" w:eastAsiaTheme="minorEastAsia" w:hAnsiTheme="minorHAnsi" w:cstheme="minorBidi"/>
          <w:b w:val="0"/>
          <w:noProof/>
          <w:szCs w:val="22"/>
          <w:lang w:eastAsia="en-GB"/>
        </w:rPr>
      </w:pPr>
      <w:hyperlink w:anchor="_Toc67565351" w:history="1">
        <w:r w:rsidR="001353E5" w:rsidRPr="00EB7E77">
          <w:rPr>
            <w:rStyle w:val="-"/>
            <w:noProof/>
          </w:rPr>
          <w:t>7.1</w:t>
        </w:r>
        <w:r w:rsidR="001353E5">
          <w:rPr>
            <w:rFonts w:asciiTheme="minorHAnsi" w:eastAsiaTheme="minorEastAsia" w:hAnsiTheme="minorHAnsi" w:cstheme="minorBidi"/>
            <w:b w:val="0"/>
            <w:noProof/>
            <w:szCs w:val="22"/>
            <w:lang w:eastAsia="en-GB"/>
          </w:rPr>
          <w:tab/>
        </w:r>
        <w:r w:rsidR="001353E5" w:rsidRPr="00EB7E77">
          <w:rPr>
            <w:rStyle w:val="-"/>
            <w:noProof/>
          </w:rPr>
          <w:t>General</w:t>
        </w:r>
        <w:r w:rsidR="001353E5">
          <w:rPr>
            <w:noProof/>
            <w:webHidden/>
          </w:rPr>
          <w:tab/>
        </w:r>
        <w:r w:rsidR="001353E5">
          <w:rPr>
            <w:noProof/>
            <w:webHidden/>
          </w:rPr>
          <w:fldChar w:fldCharType="begin"/>
        </w:r>
        <w:r w:rsidR="001353E5">
          <w:rPr>
            <w:noProof/>
            <w:webHidden/>
          </w:rPr>
          <w:instrText xml:space="preserve"> PAGEREF _Toc67565351 \h </w:instrText>
        </w:r>
        <w:r w:rsidR="001353E5">
          <w:rPr>
            <w:noProof/>
            <w:webHidden/>
          </w:rPr>
        </w:r>
        <w:r w:rsidR="001353E5">
          <w:rPr>
            <w:noProof/>
            <w:webHidden/>
          </w:rPr>
          <w:fldChar w:fldCharType="separate"/>
        </w:r>
        <w:r w:rsidR="000250B6">
          <w:rPr>
            <w:noProof/>
            <w:webHidden/>
          </w:rPr>
          <w:t>86</w:t>
        </w:r>
        <w:r w:rsidR="001353E5">
          <w:rPr>
            <w:noProof/>
            <w:webHidden/>
          </w:rPr>
          <w:fldChar w:fldCharType="end"/>
        </w:r>
      </w:hyperlink>
    </w:p>
    <w:p w14:paraId="6664D2AC" w14:textId="77777777" w:rsidR="001353E5" w:rsidRDefault="00231E33">
      <w:pPr>
        <w:pStyle w:val="22"/>
        <w:rPr>
          <w:rFonts w:asciiTheme="minorHAnsi" w:eastAsiaTheme="minorEastAsia" w:hAnsiTheme="minorHAnsi" w:cstheme="minorBidi"/>
          <w:b w:val="0"/>
          <w:noProof/>
          <w:szCs w:val="22"/>
          <w:lang w:eastAsia="en-GB"/>
        </w:rPr>
      </w:pPr>
      <w:hyperlink w:anchor="_Toc67565352" w:history="1">
        <w:r w:rsidR="001353E5" w:rsidRPr="00EB7E77">
          <w:rPr>
            <w:rStyle w:val="-"/>
            <w:noProof/>
          </w:rPr>
          <w:t>7.2</w:t>
        </w:r>
        <w:r w:rsidR="001353E5">
          <w:rPr>
            <w:rFonts w:asciiTheme="minorHAnsi" w:eastAsiaTheme="minorEastAsia" w:hAnsiTheme="minorHAnsi" w:cstheme="minorBidi"/>
            <w:b w:val="0"/>
            <w:noProof/>
            <w:szCs w:val="22"/>
            <w:lang w:eastAsia="en-GB"/>
          </w:rPr>
          <w:tab/>
        </w:r>
        <w:r w:rsidR="001353E5" w:rsidRPr="00EB7E77">
          <w:rPr>
            <w:rStyle w:val="-"/>
            <w:noProof/>
          </w:rPr>
          <w:t>Structural modelling for analysis</w:t>
        </w:r>
        <w:r w:rsidR="001353E5">
          <w:rPr>
            <w:noProof/>
            <w:webHidden/>
          </w:rPr>
          <w:tab/>
        </w:r>
        <w:r w:rsidR="001353E5">
          <w:rPr>
            <w:noProof/>
            <w:webHidden/>
          </w:rPr>
          <w:fldChar w:fldCharType="begin"/>
        </w:r>
        <w:r w:rsidR="001353E5">
          <w:rPr>
            <w:noProof/>
            <w:webHidden/>
          </w:rPr>
          <w:instrText xml:space="preserve"> PAGEREF _Toc67565352 \h </w:instrText>
        </w:r>
        <w:r w:rsidR="001353E5">
          <w:rPr>
            <w:noProof/>
            <w:webHidden/>
          </w:rPr>
        </w:r>
        <w:r w:rsidR="001353E5">
          <w:rPr>
            <w:noProof/>
            <w:webHidden/>
          </w:rPr>
          <w:fldChar w:fldCharType="separate"/>
        </w:r>
        <w:r w:rsidR="000250B6">
          <w:rPr>
            <w:noProof/>
            <w:webHidden/>
          </w:rPr>
          <w:t>86</w:t>
        </w:r>
        <w:r w:rsidR="001353E5">
          <w:rPr>
            <w:noProof/>
            <w:webHidden/>
          </w:rPr>
          <w:fldChar w:fldCharType="end"/>
        </w:r>
      </w:hyperlink>
    </w:p>
    <w:p w14:paraId="44F3024D" w14:textId="77777777" w:rsidR="001353E5" w:rsidRDefault="00231E33">
      <w:pPr>
        <w:pStyle w:val="32"/>
        <w:rPr>
          <w:rFonts w:asciiTheme="minorHAnsi" w:eastAsiaTheme="minorEastAsia" w:hAnsiTheme="minorHAnsi" w:cstheme="minorBidi"/>
          <w:b w:val="0"/>
          <w:noProof/>
          <w:szCs w:val="22"/>
          <w:lang w:eastAsia="en-GB"/>
        </w:rPr>
      </w:pPr>
      <w:hyperlink w:anchor="_Toc67565353" w:history="1">
        <w:r w:rsidR="001353E5" w:rsidRPr="00EB7E77">
          <w:rPr>
            <w:rStyle w:val="-"/>
            <w:noProof/>
          </w:rPr>
          <w:t>7.2.1</w:t>
        </w:r>
        <w:r w:rsidR="001353E5">
          <w:rPr>
            <w:rFonts w:asciiTheme="minorHAnsi" w:eastAsiaTheme="minorEastAsia" w:hAnsiTheme="minorHAnsi" w:cstheme="minorBidi"/>
            <w:b w:val="0"/>
            <w:noProof/>
            <w:szCs w:val="22"/>
            <w:lang w:eastAsia="en-GB"/>
          </w:rPr>
          <w:tab/>
        </w:r>
        <w:r w:rsidR="001353E5" w:rsidRPr="00EB7E77">
          <w:rPr>
            <w:rStyle w:val="-"/>
            <w:noProof/>
          </w:rPr>
          <w:t>Geometric imperfections</w:t>
        </w:r>
        <w:r w:rsidR="001353E5">
          <w:rPr>
            <w:noProof/>
            <w:webHidden/>
          </w:rPr>
          <w:tab/>
        </w:r>
        <w:r w:rsidR="001353E5">
          <w:rPr>
            <w:noProof/>
            <w:webHidden/>
          </w:rPr>
          <w:fldChar w:fldCharType="begin"/>
        </w:r>
        <w:r w:rsidR="001353E5">
          <w:rPr>
            <w:noProof/>
            <w:webHidden/>
          </w:rPr>
          <w:instrText xml:space="preserve"> PAGEREF _Toc67565353 \h </w:instrText>
        </w:r>
        <w:r w:rsidR="001353E5">
          <w:rPr>
            <w:noProof/>
            <w:webHidden/>
          </w:rPr>
        </w:r>
        <w:r w:rsidR="001353E5">
          <w:rPr>
            <w:noProof/>
            <w:webHidden/>
          </w:rPr>
          <w:fldChar w:fldCharType="separate"/>
        </w:r>
        <w:r w:rsidR="000250B6">
          <w:rPr>
            <w:noProof/>
            <w:webHidden/>
          </w:rPr>
          <w:t>86</w:t>
        </w:r>
        <w:r w:rsidR="001353E5">
          <w:rPr>
            <w:noProof/>
            <w:webHidden/>
          </w:rPr>
          <w:fldChar w:fldCharType="end"/>
        </w:r>
      </w:hyperlink>
    </w:p>
    <w:p w14:paraId="39AC1A71" w14:textId="77777777" w:rsidR="001353E5" w:rsidRDefault="00231E33">
      <w:pPr>
        <w:pStyle w:val="32"/>
        <w:rPr>
          <w:rFonts w:asciiTheme="minorHAnsi" w:eastAsiaTheme="minorEastAsia" w:hAnsiTheme="minorHAnsi" w:cstheme="minorBidi"/>
          <w:b w:val="0"/>
          <w:noProof/>
          <w:szCs w:val="22"/>
          <w:lang w:eastAsia="en-GB"/>
        </w:rPr>
      </w:pPr>
      <w:hyperlink w:anchor="_Toc67565354" w:history="1">
        <w:r w:rsidR="001353E5" w:rsidRPr="00EB7E77">
          <w:rPr>
            <w:rStyle w:val="-"/>
            <w:noProof/>
          </w:rPr>
          <w:t>7.2.2</w:t>
        </w:r>
        <w:r w:rsidR="001353E5">
          <w:rPr>
            <w:rFonts w:asciiTheme="minorHAnsi" w:eastAsiaTheme="minorEastAsia" w:hAnsiTheme="minorHAnsi" w:cstheme="minorBidi"/>
            <w:b w:val="0"/>
            <w:noProof/>
            <w:szCs w:val="22"/>
            <w:lang w:eastAsia="en-GB"/>
          </w:rPr>
          <w:tab/>
        </w:r>
        <w:r w:rsidR="001353E5" w:rsidRPr="00EB7E77">
          <w:rPr>
            <w:rStyle w:val="-"/>
            <w:noProof/>
          </w:rPr>
          <w:t>Idealisation of the structure</w:t>
        </w:r>
        <w:r w:rsidR="001353E5">
          <w:rPr>
            <w:noProof/>
            <w:webHidden/>
          </w:rPr>
          <w:tab/>
        </w:r>
        <w:r w:rsidR="001353E5">
          <w:rPr>
            <w:noProof/>
            <w:webHidden/>
          </w:rPr>
          <w:fldChar w:fldCharType="begin"/>
        </w:r>
        <w:r w:rsidR="001353E5">
          <w:rPr>
            <w:noProof/>
            <w:webHidden/>
          </w:rPr>
          <w:instrText xml:space="preserve"> PAGEREF _Toc67565354 \h </w:instrText>
        </w:r>
        <w:r w:rsidR="001353E5">
          <w:rPr>
            <w:noProof/>
            <w:webHidden/>
          </w:rPr>
        </w:r>
        <w:r w:rsidR="001353E5">
          <w:rPr>
            <w:noProof/>
            <w:webHidden/>
          </w:rPr>
          <w:fldChar w:fldCharType="separate"/>
        </w:r>
        <w:r w:rsidR="000250B6">
          <w:rPr>
            <w:noProof/>
            <w:webHidden/>
          </w:rPr>
          <w:t>90</w:t>
        </w:r>
        <w:r w:rsidR="001353E5">
          <w:rPr>
            <w:noProof/>
            <w:webHidden/>
          </w:rPr>
          <w:fldChar w:fldCharType="end"/>
        </w:r>
      </w:hyperlink>
    </w:p>
    <w:p w14:paraId="1A7F2C0E" w14:textId="77777777" w:rsidR="001353E5" w:rsidRDefault="00231E33">
      <w:pPr>
        <w:pStyle w:val="32"/>
        <w:rPr>
          <w:rFonts w:asciiTheme="minorHAnsi" w:eastAsiaTheme="minorEastAsia" w:hAnsiTheme="minorHAnsi" w:cstheme="minorBidi"/>
          <w:b w:val="0"/>
          <w:noProof/>
          <w:szCs w:val="22"/>
          <w:lang w:eastAsia="en-GB"/>
        </w:rPr>
      </w:pPr>
      <w:hyperlink w:anchor="_Toc67565355" w:history="1">
        <w:r w:rsidR="001353E5" w:rsidRPr="00EB7E77">
          <w:rPr>
            <w:rStyle w:val="-"/>
            <w:noProof/>
          </w:rPr>
          <w:t>7.2.3</w:t>
        </w:r>
        <w:r w:rsidR="001353E5">
          <w:rPr>
            <w:rFonts w:asciiTheme="minorHAnsi" w:eastAsiaTheme="minorEastAsia" w:hAnsiTheme="minorHAnsi" w:cstheme="minorBidi"/>
            <w:b w:val="0"/>
            <w:noProof/>
            <w:szCs w:val="22"/>
            <w:lang w:eastAsia="en-GB"/>
          </w:rPr>
          <w:tab/>
        </w:r>
        <w:r w:rsidR="001353E5" w:rsidRPr="00EB7E77">
          <w:rPr>
            <w:rStyle w:val="-"/>
            <w:noProof/>
          </w:rPr>
          <w:t>Geometric data</w:t>
        </w:r>
        <w:r w:rsidR="001353E5">
          <w:rPr>
            <w:noProof/>
            <w:webHidden/>
          </w:rPr>
          <w:tab/>
        </w:r>
        <w:r w:rsidR="001353E5">
          <w:rPr>
            <w:noProof/>
            <w:webHidden/>
          </w:rPr>
          <w:fldChar w:fldCharType="begin"/>
        </w:r>
        <w:r w:rsidR="001353E5">
          <w:rPr>
            <w:noProof/>
            <w:webHidden/>
          </w:rPr>
          <w:instrText xml:space="preserve"> PAGEREF _Toc67565355 \h </w:instrText>
        </w:r>
        <w:r w:rsidR="001353E5">
          <w:rPr>
            <w:noProof/>
            <w:webHidden/>
          </w:rPr>
        </w:r>
        <w:r w:rsidR="001353E5">
          <w:rPr>
            <w:noProof/>
            <w:webHidden/>
          </w:rPr>
          <w:fldChar w:fldCharType="separate"/>
        </w:r>
        <w:r w:rsidR="000250B6">
          <w:rPr>
            <w:noProof/>
            <w:webHidden/>
          </w:rPr>
          <w:t>90</w:t>
        </w:r>
        <w:r w:rsidR="001353E5">
          <w:rPr>
            <w:noProof/>
            <w:webHidden/>
          </w:rPr>
          <w:fldChar w:fldCharType="end"/>
        </w:r>
      </w:hyperlink>
    </w:p>
    <w:p w14:paraId="1BC9E81C" w14:textId="77777777" w:rsidR="001353E5" w:rsidRDefault="00231E33">
      <w:pPr>
        <w:pStyle w:val="22"/>
        <w:rPr>
          <w:rFonts w:asciiTheme="minorHAnsi" w:eastAsiaTheme="minorEastAsia" w:hAnsiTheme="minorHAnsi" w:cstheme="minorBidi"/>
          <w:b w:val="0"/>
          <w:noProof/>
          <w:szCs w:val="22"/>
          <w:lang w:eastAsia="en-GB"/>
        </w:rPr>
      </w:pPr>
      <w:hyperlink w:anchor="_Toc67565356" w:history="1">
        <w:r w:rsidR="001353E5" w:rsidRPr="00EB7E77">
          <w:rPr>
            <w:rStyle w:val="-"/>
            <w:noProof/>
          </w:rPr>
          <w:t>7.3</w:t>
        </w:r>
        <w:r w:rsidR="001353E5">
          <w:rPr>
            <w:rFonts w:asciiTheme="minorHAnsi" w:eastAsiaTheme="minorEastAsia" w:hAnsiTheme="minorHAnsi" w:cstheme="minorBidi"/>
            <w:b w:val="0"/>
            <w:noProof/>
            <w:szCs w:val="22"/>
            <w:lang w:eastAsia="en-GB"/>
          </w:rPr>
          <w:tab/>
        </w:r>
        <w:r w:rsidR="001353E5" w:rsidRPr="00EB7E77">
          <w:rPr>
            <w:rStyle w:val="-"/>
            <w:noProof/>
          </w:rPr>
          <w:t>Methods of analysis</w:t>
        </w:r>
        <w:r w:rsidR="001353E5">
          <w:rPr>
            <w:noProof/>
            <w:webHidden/>
          </w:rPr>
          <w:tab/>
        </w:r>
        <w:r w:rsidR="001353E5">
          <w:rPr>
            <w:noProof/>
            <w:webHidden/>
          </w:rPr>
          <w:fldChar w:fldCharType="begin"/>
        </w:r>
        <w:r w:rsidR="001353E5">
          <w:rPr>
            <w:noProof/>
            <w:webHidden/>
          </w:rPr>
          <w:instrText xml:space="preserve"> PAGEREF _Toc67565356 \h </w:instrText>
        </w:r>
        <w:r w:rsidR="001353E5">
          <w:rPr>
            <w:noProof/>
            <w:webHidden/>
          </w:rPr>
        </w:r>
        <w:r w:rsidR="001353E5">
          <w:rPr>
            <w:noProof/>
            <w:webHidden/>
          </w:rPr>
          <w:fldChar w:fldCharType="separate"/>
        </w:r>
        <w:r w:rsidR="000250B6">
          <w:rPr>
            <w:noProof/>
            <w:webHidden/>
          </w:rPr>
          <w:t>92</w:t>
        </w:r>
        <w:r w:rsidR="001353E5">
          <w:rPr>
            <w:noProof/>
            <w:webHidden/>
          </w:rPr>
          <w:fldChar w:fldCharType="end"/>
        </w:r>
      </w:hyperlink>
    </w:p>
    <w:p w14:paraId="2BDA378A" w14:textId="77777777" w:rsidR="001353E5" w:rsidRDefault="00231E33">
      <w:pPr>
        <w:pStyle w:val="32"/>
        <w:rPr>
          <w:rFonts w:asciiTheme="minorHAnsi" w:eastAsiaTheme="minorEastAsia" w:hAnsiTheme="minorHAnsi" w:cstheme="minorBidi"/>
          <w:b w:val="0"/>
          <w:noProof/>
          <w:szCs w:val="22"/>
          <w:lang w:eastAsia="en-GB"/>
        </w:rPr>
      </w:pPr>
      <w:hyperlink w:anchor="_Toc67565357" w:history="1">
        <w:r w:rsidR="001353E5" w:rsidRPr="00EB7E77">
          <w:rPr>
            <w:rStyle w:val="-"/>
            <w:noProof/>
          </w:rPr>
          <w:t>7.3.1</w:t>
        </w:r>
        <w:r w:rsidR="001353E5">
          <w:rPr>
            <w:rFonts w:asciiTheme="minorHAnsi" w:eastAsiaTheme="minorEastAsia" w:hAnsiTheme="minorHAnsi" w:cstheme="minorBidi"/>
            <w:b w:val="0"/>
            <w:noProof/>
            <w:szCs w:val="22"/>
            <w:lang w:eastAsia="en-GB"/>
          </w:rPr>
          <w:tab/>
        </w:r>
        <w:r w:rsidR="001353E5" w:rsidRPr="00EB7E77">
          <w:rPr>
            <w:rStyle w:val="-"/>
            <w:noProof/>
          </w:rPr>
          <w:t>Linear elastic analysis</w:t>
        </w:r>
        <w:r w:rsidR="001353E5">
          <w:rPr>
            <w:noProof/>
            <w:webHidden/>
          </w:rPr>
          <w:tab/>
        </w:r>
        <w:r w:rsidR="001353E5">
          <w:rPr>
            <w:noProof/>
            <w:webHidden/>
          </w:rPr>
          <w:fldChar w:fldCharType="begin"/>
        </w:r>
        <w:r w:rsidR="001353E5">
          <w:rPr>
            <w:noProof/>
            <w:webHidden/>
          </w:rPr>
          <w:instrText xml:space="preserve"> PAGEREF _Toc67565357 \h </w:instrText>
        </w:r>
        <w:r w:rsidR="001353E5">
          <w:rPr>
            <w:noProof/>
            <w:webHidden/>
          </w:rPr>
        </w:r>
        <w:r w:rsidR="001353E5">
          <w:rPr>
            <w:noProof/>
            <w:webHidden/>
          </w:rPr>
          <w:fldChar w:fldCharType="separate"/>
        </w:r>
        <w:r w:rsidR="000250B6">
          <w:rPr>
            <w:noProof/>
            <w:webHidden/>
          </w:rPr>
          <w:t>92</w:t>
        </w:r>
        <w:r w:rsidR="001353E5">
          <w:rPr>
            <w:noProof/>
            <w:webHidden/>
          </w:rPr>
          <w:fldChar w:fldCharType="end"/>
        </w:r>
      </w:hyperlink>
    </w:p>
    <w:p w14:paraId="6D9179E7" w14:textId="77777777" w:rsidR="001353E5" w:rsidRDefault="00231E33">
      <w:pPr>
        <w:pStyle w:val="32"/>
        <w:rPr>
          <w:rFonts w:asciiTheme="minorHAnsi" w:eastAsiaTheme="minorEastAsia" w:hAnsiTheme="minorHAnsi" w:cstheme="minorBidi"/>
          <w:b w:val="0"/>
          <w:noProof/>
          <w:szCs w:val="22"/>
          <w:lang w:eastAsia="en-GB"/>
        </w:rPr>
      </w:pPr>
      <w:hyperlink w:anchor="_Toc67565358" w:history="1">
        <w:r w:rsidR="001353E5" w:rsidRPr="00EB7E77">
          <w:rPr>
            <w:rStyle w:val="-"/>
            <w:noProof/>
          </w:rPr>
          <w:t>7.3.2</w:t>
        </w:r>
        <w:r w:rsidR="001353E5">
          <w:rPr>
            <w:rFonts w:asciiTheme="minorHAnsi" w:eastAsiaTheme="minorEastAsia" w:hAnsiTheme="minorHAnsi" w:cstheme="minorBidi"/>
            <w:b w:val="0"/>
            <w:noProof/>
            <w:szCs w:val="22"/>
            <w:lang w:eastAsia="en-GB"/>
          </w:rPr>
          <w:tab/>
        </w:r>
        <w:r w:rsidR="001353E5" w:rsidRPr="00EB7E77">
          <w:rPr>
            <w:rStyle w:val="-"/>
            <w:noProof/>
          </w:rPr>
          <w:t>Linear elastic analysis with redistribution</w:t>
        </w:r>
        <w:r w:rsidR="001353E5">
          <w:rPr>
            <w:noProof/>
            <w:webHidden/>
          </w:rPr>
          <w:tab/>
        </w:r>
        <w:r w:rsidR="001353E5">
          <w:rPr>
            <w:noProof/>
            <w:webHidden/>
          </w:rPr>
          <w:fldChar w:fldCharType="begin"/>
        </w:r>
        <w:r w:rsidR="001353E5">
          <w:rPr>
            <w:noProof/>
            <w:webHidden/>
          </w:rPr>
          <w:instrText xml:space="preserve"> PAGEREF _Toc67565358 \h </w:instrText>
        </w:r>
        <w:r w:rsidR="001353E5">
          <w:rPr>
            <w:noProof/>
            <w:webHidden/>
          </w:rPr>
        </w:r>
        <w:r w:rsidR="001353E5">
          <w:rPr>
            <w:noProof/>
            <w:webHidden/>
          </w:rPr>
          <w:fldChar w:fldCharType="separate"/>
        </w:r>
        <w:r w:rsidR="000250B6">
          <w:rPr>
            <w:noProof/>
            <w:webHidden/>
          </w:rPr>
          <w:t>93</w:t>
        </w:r>
        <w:r w:rsidR="001353E5">
          <w:rPr>
            <w:noProof/>
            <w:webHidden/>
          </w:rPr>
          <w:fldChar w:fldCharType="end"/>
        </w:r>
      </w:hyperlink>
    </w:p>
    <w:p w14:paraId="00FE8BC8" w14:textId="77777777" w:rsidR="001353E5" w:rsidRDefault="00231E33">
      <w:pPr>
        <w:pStyle w:val="32"/>
        <w:rPr>
          <w:rFonts w:asciiTheme="minorHAnsi" w:eastAsiaTheme="minorEastAsia" w:hAnsiTheme="minorHAnsi" w:cstheme="minorBidi"/>
          <w:b w:val="0"/>
          <w:noProof/>
          <w:szCs w:val="22"/>
          <w:lang w:eastAsia="en-GB"/>
        </w:rPr>
      </w:pPr>
      <w:hyperlink w:anchor="_Toc67565359" w:history="1">
        <w:r w:rsidR="001353E5" w:rsidRPr="00EB7E77">
          <w:rPr>
            <w:rStyle w:val="-"/>
            <w:noProof/>
          </w:rPr>
          <w:t>7.3.3</w:t>
        </w:r>
        <w:r w:rsidR="001353E5">
          <w:rPr>
            <w:rFonts w:asciiTheme="minorHAnsi" w:eastAsiaTheme="minorEastAsia" w:hAnsiTheme="minorHAnsi" w:cstheme="minorBidi"/>
            <w:b w:val="0"/>
            <w:noProof/>
            <w:szCs w:val="22"/>
            <w:lang w:eastAsia="en-GB"/>
          </w:rPr>
          <w:tab/>
        </w:r>
        <w:r w:rsidR="001353E5" w:rsidRPr="00EB7E77">
          <w:rPr>
            <w:rStyle w:val="-"/>
            <w:noProof/>
          </w:rPr>
          <w:t>Plastic analysis</w:t>
        </w:r>
        <w:r w:rsidR="001353E5">
          <w:rPr>
            <w:noProof/>
            <w:webHidden/>
          </w:rPr>
          <w:tab/>
        </w:r>
        <w:r w:rsidR="001353E5">
          <w:rPr>
            <w:noProof/>
            <w:webHidden/>
          </w:rPr>
          <w:fldChar w:fldCharType="begin"/>
        </w:r>
        <w:r w:rsidR="001353E5">
          <w:rPr>
            <w:noProof/>
            <w:webHidden/>
          </w:rPr>
          <w:instrText xml:space="preserve"> PAGEREF _Toc67565359 \h </w:instrText>
        </w:r>
        <w:r w:rsidR="001353E5">
          <w:rPr>
            <w:noProof/>
            <w:webHidden/>
          </w:rPr>
        </w:r>
        <w:r w:rsidR="001353E5">
          <w:rPr>
            <w:noProof/>
            <w:webHidden/>
          </w:rPr>
          <w:fldChar w:fldCharType="separate"/>
        </w:r>
        <w:r w:rsidR="000250B6">
          <w:rPr>
            <w:noProof/>
            <w:webHidden/>
          </w:rPr>
          <w:t>95</w:t>
        </w:r>
        <w:r w:rsidR="001353E5">
          <w:rPr>
            <w:noProof/>
            <w:webHidden/>
          </w:rPr>
          <w:fldChar w:fldCharType="end"/>
        </w:r>
      </w:hyperlink>
    </w:p>
    <w:p w14:paraId="40452AAF" w14:textId="77777777" w:rsidR="001353E5" w:rsidRDefault="00231E33">
      <w:pPr>
        <w:pStyle w:val="32"/>
        <w:rPr>
          <w:rFonts w:asciiTheme="minorHAnsi" w:eastAsiaTheme="minorEastAsia" w:hAnsiTheme="minorHAnsi" w:cstheme="minorBidi"/>
          <w:b w:val="0"/>
          <w:noProof/>
          <w:szCs w:val="22"/>
          <w:lang w:eastAsia="en-GB"/>
        </w:rPr>
      </w:pPr>
      <w:hyperlink w:anchor="_Toc67565360" w:history="1">
        <w:r w:rsidR="001353E5" w:rsidRPr="00EB7E77">
          <w:rPr>
            <w:rStyle w:val="-"/>
            <w:noProof/>
          </w:rPr>
          <w:t>7.3.4</w:t>
        </w:r>
        <w:r w:rsidR="001353E5">
          <w:rPr>
            <w:rFonts w:asciiTheme="minorHAnsi" w:eastAsiaTheme="minorEastAsia" w:hAnsiTheme="minorHAnsi" w:cstheme="minorBidi"/>
            <w:b w:val="0"/>
            <w:noProof/>
            <w:szCs w:val="22"/>
            <w:lang w:eastAsia="en-GB"/>
          </w:rPr>
          <w:tab/>
        </w:r>
        <w:r w:rsidR="001353E5" w:rsidRPr="00EB7E77">
          <w:rPr>
            <w:rStyle w:val="-"/>
            <w:noProof/>
          </w:rPr>
          <w:t>Non-linear analysis</w:t>
        </w:r>
        <w:r w:rsidR="001353E5">
          <w:rPr>
            <w:noProof/>
            <w:webHidden/>
          </w:rPr>
          <w:tab/>
        </w:r>
        <w:r w:rsidR="001353E5">
          <w:rPr>
            <w:noProof/>
            <w:webHidden/>
          </w:rPr>
          <w:fldChar w:fldCharType="begin"/>
        </w:r>
        <w:r w:rsidR="001353E5">
          <w:rPr>
            <w:noProof/>
            <w:webHidden/>
          </w:rPr>
          <w:instrText xml:space="preserve"> PAGEREF _Toc67565360 \h </w:instrText>
        </w:r>
        <w:r w:rsidR="001353E5">
          <w:rPr>
            <w:noProof/>
            <w:webHidden/>
          </w:rPr>
        </w:r>
        <w:r w:rsidR="001353E5">
          <w:rPr>
            <w:noProof/>
            <w:webHidden/>
          </w:rPr>
          <w:fldChar w:fldCharType="separate"/>
        </w:r>
        <w:r w:rsidR="000250B6">
          <w:rPr>
            <w:noProof/>
            <w:webHidden/>
          </w:rPr>
          <w:t>95</w:t>
        </w:r>
        <w:r w:rsidR="001353E5">
          <w:rPr>
            <w:noProof/>
            <w:webHidden/>
          </w:rPr>
          <w:fldChar w:fldCharType="end"/>
        </w:r>
      </w:hyperlink>
    </w:p>
    <w:p w14:paraId="388349CD" w14:textId="77777777" w:rsidR="001353E5" w:rsidRDefault="00231E33">
      <w:pPr>
        <w:pStyle w:val="22"/>
        <w:rPr>
          <w:rFonts w:asciiTheme="minorHAnsi" w:eastAsiaTheme="minorEastAsia" w:hAnsiTheme="minorHAnsi" w:cstheme="minorBidi"/>
          <w:b w:val="0"/>
          <w:noProof/>
          <w:szCs w:val="22"/>
          <w:lang w:eastAsia="en-GB"/>
        </w:rPr>
      </w:pPr>
      <w:hyperlink w:anchor="_Toc67565361" w:history="1">
        <w:r w:rsidR="001353E5" w:rsidRPr="00EB7E77">
          <w:rPr>
            <w:rStyle w:val="-"/>
            <w:noProof/>
          </w:rPr>
          <w:t>7.4</w:t>
        </w:r>
        <w:r w:rsidR="001353E5">
          <w:rPr>
            <w:rFonts w:asciiTheme="minorHAnsi" w:eastAsiaTheme="minorEastAsia" w:hAnsiTheme="minorHAnsi" w:cstheme="minorBidi"/>
            <w:b w:val="0"/>
            <w:noProof/>
            <w:szCs w:val="22"/>
            <w:lang w:eastAsia="en-GB"/>
          </w:rPr>
          <w:tab/>
        </w:r>
        <w:r w:rsidR="001353E5" w:rsidRPr="00EB7E77">
          <w:rPr>
            <w:rStyle w:val="-"/>
            <w:noProof/>
          </w:rPr>
          <w:t>Second order structural analysis of members and systems with axial force</w:t>
        </w:r>
        <w:r w:rsidR="001353E5">
          <w:rPr>
            <w:noProof/>
            <w:webHidden/>
          </w:rPr>
          <w:tab/>
        </w:r>
        <w:r w:rsidR="001353E5">
          <w:rPr>
            <w:noProof/>
            <w:webHidden/>
          </w:rPr>
          <w:fldChar w:fldCharType="begin"/>
        </w:r>
        <w:r w:rsidR="001353E5">
          <w:rPr>
            <w:noProof/>
            <w:webHidden/>
          </w:rPr>
          <w:instrText xml:space="preserve"> PAGEREF _Toc67565361 \h </w:instrText>
        </w:r>
        <w:r w:rsidR="001353E5">
          <w:rPr>
            <w:noProof/>
            <w:webHidden/>
          </w:rPr>
        </w:r>
        <w:r w:rsidR="001353E5">
          <w:rPr>
            <w:noProof/>
            <w:webHidden/>
          </w:rPr>
          <w:fldChar w:fldCharType="separate"/>
        </w:r>
        <w:r w:rsidR="000250B6">
          <w:rPr>
            <w:noProof/>
            <w:webHidden/>
          </w:rPr>
          <w:t>96</w:t>
        </w:r>
        <w:r w:rsidR="001353E5">
          <w:rPr>
            <w:noProof/>
            <w:webHidden/>
          </w:rPr>
          <w:fldChar w:fldCharType="end"/>
        </w:r>
      </w:hyperlink>
    </w:p>
    <w:p w14:paraId="1FB314B1" w14:textId="77777777" w:rsidR="001353E5" w:rsidRDefault="00231E33">
      <w:pPr>
        <w:pStyle w:val="32"/>
        <w:rPr>
          <w:rFonts w:asciiTheme="minorHAnsi" w:eastAsiaTheme="minorEastAsia" w:hAnsiTheme="minorHAnsi" w:cstheme="minorBidi"/>
          <w:b w:val="0"/>
          <w:noProof/>
          <w:szCs w:val="22"/>
          <w:lang w:eastAsia="en-GB"/>
        </w:rPr>
      </w:pPr>
      <w:hyperlink w:anchor="_Toc67565362" w:history="1">
        <w:r w:rsidR="001353E5" w:rsidRPr="00EB7E77">
          <w:rPr>
            <w:rStyle w:val="-"/>
            <w:noProof/>
          </w:rPr>
          <w:t>7.4.1</w:t>
        </w:r>
        <w:r w:rsidR="001353E5">
          <w:rPr>
            <w:rFonts w:asciiTheme="minorHAnsi" w:eastAsiaTheme="minorEastAsia" w:hAnsiTheme="minorHAnsi" w:cstheme="minorBidi"/>
            <w:b w:val="0"/>
            <w:noProof/>
            <w:szCs w:val="22"/>
            <w:lang w:eastAsia="en-GB"/>
          </w:rPr>
          <w:tab/>
        </w:r>
        <w:r w:rsidR="001353E5" w:rsidRPr="00EB7E77">
          <w:rPr>
            <w:rStyle w:val="-"/>
            <w:noProof/>
          </w:rPr>
          <w:t>General</w:t>
        </w:r>
        <w:r w:rsidR="001353E5">
          <w:rPr>
            <w:noProof/>
            <w:webHidden/>
          </w:rPr>
          <w:tab/>
        </w:r>
        <w:r w:rsidR="001353E5">
          <w:rPr>
            <w:noProof/>
            <w:webHidden/>
          </w:rPr>
          <w:fldChar w:fldCharType="begin"/>
        </w:r>
        <w:r w:rsidR="001353E5">
          <w:rPr>
            <w:noProof/>
            <w:webHidden/>
          </w:rPr>
          <w:instrText xml:space="preserve"> PAGEREF _Toc67565362 \h </w:instrText>
        </w:r>
        <w:r w:rsidR="001353E5">
          <w:rPr>
            <w:noProof/>
            <w:webHidden/>
          </w:rPr>
        </w:r>
        <w:r w:rsidR="001353E5">
          <w:rPr>
            <w:noProof/>
            <w:webHidden/>
          </w:rPr>
          <w:fldChar w:fldCharType="separate"/>
        </w:r>
        <w:r w:rsidR="000250B6">
          <w:rPr>
            <w:noProof/>
            <w:webHidden/>
          </w:rPr>
          <w:t>96</w:t>
        </w:r>
        <w:r w:rsidR="001353E5">
          <w:rPr>
            <w:noProof/>
            <w:webHidden/>
          </w:rPr>
          <w:fldChar w:fldCharType="end"/>
        </w:r>
      </w:hyperlink>
    </w:p>
    <w:p w14:paraId="342D8E43" w14:textId="77777777" w:rsidR="001353E5" w:rsidRDefault="00231E33">
      <w:pPr>
        <w:pStyle w:val="32"/>
        <w:rPr>
          <w:rFonts w:asciiTheme="minorHAnsi" w:eastAsiaTheme="minorEastAsia" w:hAnsiTheme="minorHAnsi" w:cstheme="minorBidi"/>
          <w:b w:val="0"/>
          <w:noProof/>
          <w:szCs w:val="22"/>
          <w:lang w:eastAsia="en-GB"/>
        </w:rPr>
      </w:pPr>
      <w:hyperlink w:anchor="_Toc67565363" w:history="1">
        <w:r w:rsidR="001353E5" w:rsidRPr="00EB7E77">
          <w:rPr>
            <w:rStyle w:val="-"/>
            <w:noProof/>
          </w:rPr>
          <w:t>7.4.2</w:t>
        </w:r>
        <w:r w:rsidR="001353E5">
          <w:rPr>
            <w:rFonts w:asciiTheme="minorHAnsi" w:eastAsiaTheme="minorEastAsia" w:hAnsiTheme="minorHAnsi" w:cstheme="minorBidi"/>
            <w:b w:val="0"/>
            <w:noProof/>
            <w:szCs w:val="22"/>
            <w:lang w:eastAsia="en-GB"/>
          </w:rPr>
          <w:tab/>
        </w:r>
        <w:r w:rsidR="001353E5" w:rsidRPr="00EB7E77">
          <w:rPr>
            <w:rStyle w:val="-"/>
            <w:noProof/>
          </w:rPr>
          <w:t>Creep</w:t>
        </w:r>
        <w:r w:rsidR="001353E5">
          <w:rPr>
            <w:noProof/>
            <w:webHidden/>
          </w:rPr>
          <w:tab/>
        </w:r>
        <w:r w:rsidR="001353E5">
          <w:rPr>
            <w:noProof/>
            <w:webHidden/>
          </w:rPr>
          <w:fldChar w:fldCharType="begin"/>
        </w:r>
        <w:r w:rsidR="001353E5">
          <w:rPr>
            <w:noProof/>
            <w:webHidden/>
          </w:rPr>
          <w:instrText xml:space="preserve"> PAGEREF _Toc67565363 \h </w:instrText>
        </w:r>
        <w:r w:rsidR="001353E5">
          <w:rPr>
            <w:noProof/>
            <w:webHidden/>
          </w:rPr>
        </w:r>
        <w:r w:rsidR="001353E5">
          <w:rPr>
            <w:noProof/>
            <w:webHidden/>
          </w:rPr>
          <w:fldChar w:fldCharType="separate"/>
        </w:r>
        <w:r w:rsidR="000250B6">
          <w:rPr>
            <w:noProof/>
            <w:webHidden/>
          </w:rPr>
          <w:t>96</w:t>
        </w:r>
        <w:r w:rsidR="001353E5">
          <w:rPr>
            <w:noProof/>
            <w:webHidden/>
          </w:rPr>
          <w:fldChar w:fldCharType="end"/>
        </w:r>
      </w:hyperlink>
    </w:p>
    <w:p w14:paraId="52B77083" w14:textId="77777777" w:rsidR="001353E5" w:rsidRDefault="00231E33">
      <w:pPr>
        <w:pStyle w:val="32"/>
        <w:rPr>
          <w:rFonts w:asciiTheme="minorHAnsi" w:eastAsiaTheme="minorEastAsia" w:hAnsiTheme="minorHAnsi" w:cstheme="minorBidi"/>
          <w:b w:val="0"/>
          <w:noProof/>
          <w:szCs w:val="22"/>
          <w:lang w:eastAsia="en-GB"/>
        </w:rPr>
      </w:pPr>
      <w:hyperlink w:anchor="_Toc67565364" w:history="1">
        <w:r w:rsidR="001353E5" w:rsidRPr="00EB7E77">
          <w:rPr>
            <w:rStyle w:val="-"/>
            <w:noProof/>
          </w:rPr>
          <w:t>7.4.3</w:t>
        </w:r>
        <w:r w:rsidR="001353E5">
          <w:rPr>
            <w:rFonts w:asciiTheme="minorHAnsi" w:eastAsiaTheme="minorEastAsia" w:hAnsiTheme="minorHAnsi" w:cstheme="minorBidi"/>
            <w:b w:val="0"/>
            <w:noProof/>
            <w:szCs w:val="22"/>
            <w:lang w:eastAsia="en-GB"/>
          </w:rPr>
          <w:tab/>
        </w:r>
        <w:r w:rsidR="001353E5" w:rsidRPr="00EB7E77">
          <w:rPr>
            <w:rStyle w:val="-"/>
            <w:noProof/>
          </w:rPr>
          <w:t>Methods of analysis</w:t>
        </w:r>
        <w:r w:rsidR="001353E5">
          <w:rPr>
            <w:noProof/>
            <w:webHidden/>
          </w:rPr>
          <w:tab/>
        </w:r>
        <w:r w:rsidR="001353E5">
          <w:rPr>
            <w:noProof/>
            <w:webHidden/>
          </w:rPr>
          <w:fldChar w:fldCharType="begin"/>
        </w:r>
        <w:r w:rsidR="001353E5">
          <w:rPr>
            <w:noProof/>
            <w:webHidden/>
          </w:rPr>
          <w:instrText xml:space="preserve"> PAGEREF _Toc67565364 \h </w:instrText>
        </w:r>
        <w:r w:rsidR="001353E5">
          <w:rPr>
            <w:noProof/>
            <w:webHidden/>
          </w:rPr>
        </w:r>
        <w:r w:rsidR="001353E5">
          <w:rPr>
            <w:noProof/>
            <w:webHidden/>
          </w:rPr>
          <w:fldChar w:fldCharType="separate"/>
        </w:r>
        <w:r w:rsidR="000250B6">
          <w:rPr>
            <w:noProof/>
            <w:webHidden/>
          </w:rPr>
          <w:t>97</w:t>
        </w:r>
        <w:r w:rsidR="001353E5">
          <w:rPr>
            <w:noProof/>
            <w:webHidden/>
          </w:rPr>
          <w:fldChar w:fldCharType="end"/>
        </w:r>
      </w:hyperlink>
    </w:p>
    <w:p w14:paraId="62643910" w14:textId="77777777" w:rsidR="001353E5" w:rsidRDefault="00231E33">
      <w:pPr>
        <w:pStyle w:val="32"/>
        <w:rPr>
          <w:rFonts w:asciiTheme="minorHAnsi" w:eastAsiaTheme="minorEastAsia" w:hAnsiTheme="minorHAnsi" w:cstheme="minorBidi"/>
          <w:b w:val="0"/>
          <w:noProof/>
          <w:szCs w:val="22"/>
          <w:lang w:eastAsia="en-GB"/>
        </w:rPr>
      </w:pPr>
      <w:hyperlink w:anchor="_Toc67565365" w:history="1">
        <w:r w:rsidR="001353E5" w:rsidRPr="00EB7E77">
          <w:rPr>
            <w:rStyle w:val="-"/>
            <w:noProof/>
          </w:rPr>
          <w:t>7.4.4</w:t>
        </w:r>
        <w:r w:rsidR="001353E5">
          <w:rPr>
            <w:rFonts w:asciiTheme="minorHAnsi" w:eastAsiaTheme="minorEastAsia" w:hAnsiTheme="minorHAnsi" w:cstheme="minorBidi"/>
            <w:b w:val="0"/>
            <w:noProof/>
            <w:szCs w:val="22"/>
            <w:lang w:eastAsia="en-GB"/>
          </w:rPr>
          <w:tab/>
        </w:r>
        <w:r w:rsidR="001353E5" w:rsidRPr="00EB7E77">
          <w:rPr>
            <w:rStyle w:val="-"/>
            <w:noProof/>
          </w:rPr>
          <w:t>Compression member with biaxial bending</w:t>
        </w:r>
        <w:r w:rsidR="001353E5">
          <w:rPr>
            <w:noProof/>
            <w:webHidden/>
          </w:rPr>
          <w:tab/>
        </w:r>
        <w:r w:rsidR="001353E5">
          <w:rPr>
            <w:noProof/>
            <w:webHidden/>
          </w:rPr>
          <w:fldChar w:fldCharType="begin"/>
        </w:r>
        <w:r w:rsidR="001353E5">
          <w:rPr>
            <w:noProof/>
            <w:webHidden/>
          </w:rPr>
          <w:instrText xml:space="preserve"> PAGEREF _Toc67565365 \h </w:instrText>
        </w:r>
        <w:r w:rsidR="001353E5">
          <w:rPr>
            <w:noProof/>
            <w:webHidden/>
          </w:rPr>
        </w:r>
        <w:r w:rsidR="001353E5">
          <w:rPr>
            <w:noProof/>
            <w:webHidden/>
          </w:rPr>
          <w:fldChar w:fldCharType="separate"/>
        </w:r>
        <w:r w:rsidR="000250B6">
          <w:rPr>
            <w:noProof/>
            <w:webHidden/>
          </w:rPr>
          <w:t>98</w:t>
        </w:r>
        <w:r w:rsidR="001353E5">
          <w:rPr>
            <w:noProof/>
            <w:webHidden/>
          </w:rPr>
          <w:fldChar w:fldCharType="end"/>
        </w:r>
      </w:hyperlink>
    </w:p>
    <w:p w14:paraId="39EE1519" w14:textId="77777777" w:rsidR="001353E5" w:rsidRDefault="00231E33">
      <w:pPr>
        <w:pStyle w:val="22"/>
        <w:rPr>
          <w:rFonts w:asciiTheme="minorHAnsi" w:eastAsiaTheme="minorEastAsia" w:hAnsiTheme="minorHAnsi" w:cstheme="minorBidi"/>
          <w:b w:val="0"/>
          <w:noProof/>
          <w:szCs w:val="22"/>
          <w:lang w:eastAsia="en-GB"/>
        </w:rPr>
      </w:pPr>
      <w:hyperlink w:anchor="_Toc67565366" w:history="1">
        <w:r w:rsidR="001353E5" w:rsidRPr="00EB7E77">
          <w:rPr>
            <w:rStyle w:val="-"/>
            <w:noProof/>
          </w:rPr>
          <w:t>7.5</w:t>
        </w:r>
        <w:r w:rsidR="001353E5">
          <w:rPr>
            <w:rFonts w:asciiTheme="minorHAnsi" w:eastAsiaTheme="minorEastAsia" w:hAnsiTheme="minorHAnsi" w:cstheme="minorBidi"/>
            <w:b w:val="0"/>
            <w:noProof/>
            <w:szCs w:val="22"/>
            <w:lang w:eastAsia="en-GB"/>
          </w:rPr>
          <w:tab/>
        </w:r>
        <w:r w:rsidR="001353E5" w:rsidRPr="00EB7E77">
          <w:rPr>
            <w:rStyle w:val="-"/>
            <w:noProof/>
          </w:rPr>
          <w:t>Lateral instability of slender beams</w:t>
        </w:r>
        <w:r w:rsidR="001353E5">
          <w:rPr>
            <w:noProof/>
            <w:webHidden/>
          </w:rPr>
          <w:tab/>
        </w:r>
        <w:r w:rsidR="001353E5">
          <w:rPr>
            <w:noProof/>
            <w:webHidden/>
          </w:rPr>
          <w:fldChar w:fldCharType="begin"/>
        </w:r>
        <w:r w:rsidR="001353E5">
          <w:rPr>
            <w:noProof/>
            <w:webHidden/>
          </w:rPr>
          <w:instrText xml:space="preserve"> PAGEREF _Toc67565366 \h </w:instrText>
        </w:r>
        <w:r w:rsidR="001353E5">
          <w:rPr>
            <w:noProof/>
            <w:webHidden/>
          </w:rPr>
        </w:r>
        <w:r w:rsidR="001353E5">
          <w:rPr>
            <w:noProof/>
            <w:webHidden/>
          </w:rPr>
          <w:fldChar w:fldCharType="separate"/>
        </w:r>
        <w:r w:rsidR="000250B6">
          <w:rPr>
            <w:noProof/>
            <w:webHidden/>
          </w:rPr>
          <w:t>99</w:t>
        </w:r>
        <w:r w:rsidR="001353E5">
          <w:rPr>
            <w:noProof/>
            <w:webHidden/>
          </w:rPr>
          <w:fldChar w:fldCharType="end"/>
        </w:r>
      </w:hyperlink>
    </w:p>
    <w:p w14:paraId="7DAC2457" w14:textId="77777777" w:rsidR="001353E5" w:rsidRDefault="00231E33">
      <w:pPr>
        <w:pStyle w:val="22"/>
        <w:rPr>
          <w:rFonts w:asciiTheme="minorHAnsi" w:eastAsiaTheme="minorEastAsia" w:hAnsiTheme="minorHAnsi" w:cstheme="minorBidi"/>
          <w:b w:val="0"/>
          <w:noProof/>
          <w:szCs w:val="22"/>
          <w:lang w:eastAsia="en-GB"/>
        </w:rPr>
      </w:pPr>
      <w:hyperlink w:anchor="_Toc67565367" w:history="1">
        <w:r w:rsidR="001353E5" w:rsidRPr="00EB7E77">
          <w:rPr>
            <w:rStyle w:val="-"/>
            <w:noProof/>
          </w:rPr>
          <w:t>7.6</w:t>
        </w:r>
        <w:r w:rsidR="001353E5">
          <w:rPr>
            <w:rFonts w:asciiTheme="minorHAnsi" w:eastAsiaTheme="minorEastAsia" w:hAnsiTheme="minorHAnsi" w:cstheme="minorBidi"/>
            <w:b w:val="0"/>
            <w:noProof/>
            <w:szCs w:val="22"/>
            <w:lang w:eastAsia="en-GB"/>
          </w:rPr>
          <w:tab/>
        </w:r>
        <w:r w:rsidR="001353E5" w:rsidRPr="00EB7E77">
          <w:rPr>
            <w:rStyle w:val="-"/>
            <w:noProof/>
          </w:rPr>
          <w:t>Prestressed members and structures</w:t>
        </w:r>
        <w:r w:rsidR="001353E5">
          <w:rPr>
            <w:noProof/>
            <w:webHidden/>
          </w:rPr>
          <w:tab/>
        </w:r>
        <w:r w:rsidR="001353E5">
          <w:rPr>
            <w:noProof/>
            <w:webHidden/>
          </w:rPr>
          <w:fldChar w:fldCharType="begin"/>
        </w:r>
        <w:r w:rsidR="001353E5">
          <w:rPr>
            <w:noProof/>
            <w:webHidden/>
          </w:rPr>
          <w:instrText xml:space="preserve"> PAGEREF _Toc67565367 \h </w:instrText>
        </w:r>
        <w:r w:rsidR="001353E5">
          <w:rPr>
            <w:noProof/>
            <w:webHidden/>
          </w:rPr>
        </w:r>
        <w:r w:rsidR="001353E5">
          <w:rPr>
            <w:noProof/>
            <w:webHidden/>
          </w:rPr>
          <w:fldChar w:fldCharType="separate"/>
        </w:r>
        <w:r w:rsidR="000250B6">
          <w:rPr>
            <w:noProof/>
            <w:webHidden/>
          </w:rPr>
          <w:t>100</w:t>
        </w:r>
        <w:r w:rsidR="001353E5">
          <w:rPr>
            <w:noProof/>
            <w:webHidden/>
          </w:rPr>
          <w:fldChar w:fldCharType="end"/>
        </w:r>
      </w:hyperlink>
    </w:p>
    <w:p w14:paraId="4FFB09A7" w14:textId="77777777" w:rsidR="001353E5" w:rsidRDefault="00231E33">
      <w:pPr>
        <w:pStyle w:val="32"/>
        <w:rPr>
          <w:rFonts w:asciiTheme="minorHAnsi" w:eastAsiaTheme="minorEastAsia" w:hAnsiTheme="minorHAnsi" w:cstheme="minorBidi"/>
          <w:b w:val="0"/>
          <w:noProof/>
          <w:szCs w:val="22"/>
          <w:lang w:eastAsia="en-GB"/>
        </w:rPr>
      </w:pPr>
      <w:hyperlink w:anchor="_Toc67565368" w:history="1">
        <w:r w:rsidR="001353E5" w:rsidRPr="00EB7E77">
          <w:rPr>
            <w:rStyle w:val="-"/>
            <w:noProof/>
          </w:rPr>
          <w:t>7.6.1</w:t>
        </w:r>
        <w:r w:rsidR="001353E5">
          <w:rPr>
            <w:rFonts w:asciiTheme="minorHAnsi" w:eastAsiaTheme="minorEastAsia" w:hAnsiTheme="minorHAnsi" w:cstheme="minorBidi"/>
            <w:b w:val="0"/>
            <w:noProof/>
            <w:szCs w:val="22"/>
            <w:lang w:eastAsia="en-GB"/>
          </w:rPr>
          <w:tab/>
        </w:r>
        <w:r w:rsidR="001353E5" w:rsidRPr="00EB7E77">
          <w:rPr>
            <w:rStyle w:val="-"/>
            <w:noProof/>
          </w:rPr>
          <w:t>General</w:t>
        </w:r>
        <w:r w:rsidR="001353E5">
          <w:rPr>
            <w:noProof/>
            <w:webHidden/>
          </w:rPr>
          <w:tab/>
        </w:r>
        <w:r w:rsidR="001353E5">
          <w:rPr>
            <w:noProof/>
            <w:webHidden/>
          </w:rPr>
          <w:fldChar w:fldCharType="begin"/>
        </w:r>
        <w:r w:rsidR="001353E5">
          <w:rPr>
            <w:noProof/>
            <w:webHidden/>
          </w:rPr>
          <w:instrText xml:space="preserve"> PAGEREF _Toc67565368 \h </w:instrText>
        </w:r>
        <w:r w:rsidR="001353E5">
          <w:rPr>
            <w:noProof/>
            <w:webHidden/>
          </w:rPr>
        </w:r>
        <w:r w:rsidR="001353E5">
          <w:rPr>
            <w:noProof/>
            <w:webHidden/>
          </w:rPr>
          <w:fldChar w:fldCharType="separate"/>
        </w:r>
        <w:r w:rsidR="000250B6">
          <w:rPr>
            <w:noProof/>
            <w:webHidden/>
          </w:rPr>
          <w:t>100</w:t>
        </w:r>
        <w:r w:rsidR="001353E5">
          <w:rPr>
            <w:noProof/>
            <w:webHidden/>
          </w:rPr>
          <w:fldChar w:fldCharType="end"/>
        </w:r>
      </w:hyperlink>
    </w:p>
    <w:p w14:paraId="6CAE22CF" w14:textId="77777777" w:rsidR="001353E5" w:rsidRDefault="00231E33">
      <w:pPr>
        <w:pStyle w:val="32"/>
        <w:rPr>
          <w:rFonts w:asciiTheme="minorHAnsi" w:eastAsiaTheme="minorEastAsia" w:hAnsiTheme="minorHAnsi" w:cstheme="minorBidi"/>
          <w:b w:val="0"/>
          <w:noProof/>
          <w:szCs w:val="22"/>
          <w:lang w:eastAsia="en-GB"/>
        </w:rPr>
      </w:pPr>
      <w:hyperlink w:anchor="_Toc67565369" w:history="1">
        <w:r w:rsidR="001353E5" w:rsidRPr="00EB7E77">
          <w:rPr>
            <w:rStyle w:val="-"/>
            <w:noProof/>
          </w:rPr>
          <w:t>7.6.2</w:t>
        </w:r>
        <w:r w:rsidR="001353E5">
          <w:rPr>
            <w:rFonts w:asciiTheme="minorHAnsi" w:eastAsiaTheme="minorEastAsia" w:hAnsiTheme="minorHAnsi" w:cstheme="minorBidi"/>
            <w:b w:val="0"/>
            <w:noProof/>
            <w:szCs w:val="22"/>
            <w:lang w:eastAsia="en-GB"/>
          </w:rPr>
          <w:tab/>
        </w:r>
        <w:r w:rsidR="001353E5" w:rsidRPr="00EB7E77">
          <w:rPr>
            <w:rStyle w:val="-"/>
            <w:noProof/>
          </w:rPr>
          <w:t>Prestressing force</w:t>
        </w:r>
        <w:r w:rsidR="001353E5">
          <w:rPr>
            <w:noProof/>
            <w:webHidden/>
          </w:rPr>
          <w:tab/>
        </w:r>
        <w:r w:rsidR="001353E5">
          <w:rPr>
            <w:noProof/>
            <w:webHidden/>
          </w:rPr>
          <w:fldChar w:fldCharType="begin"/>
        </w:r>
        <w:r w:rsidR="001353E5">
          <w:rPr>
            <w:noProof/>
            <w:webHidden/>
          </w:rPr>
          <w:instrText xml:space="preserve"> PAGEREF _Toc67565369 \h </w:instrText>
        </w:r>
        <w:r w:rsidR="001353E5">
          <w:rPr>
            <w:noProof/>
            <w:webHidden/>
          </w:rPr>
        </w:r>
        <w:r w:rsidR="001353E5">
          <w:rPr>
            <w:noProof/>
            <w:webHidden/>
          </w:rPr>
          <w:fldChar w:fldCharType="separate"/>
        </w:r>
        <w:r w:rsidR="000250B6">
          <w:rPr>
            <w:noProof/>
            <w:webHidden/>
          </w:rPr>
          <w:t>100</w:t>
        </w:r>
        <w:r w:rsidR="001353E5">
          <w:rPr>
            <w:noProof/>
            <w:webHidden/>
          </w:rPr>
          <w:fldChar w:fldCharType="end"/>
        </w:r>
      </w:hyperlink>
    </w:p>
    <w:p w14:paraId="6F7A428D" w14:textId="77777777" w:rsidR="001353E5" w:rsidRDefault="00231E33">
      <w:pPr>
        <w:pStyle w:val="32"/>
        <w:rPr>
          <w:rFonts w:asciiTheme="minorHAnsi" w:eastAsiaTheme="minorEastAsia" w:hAnsiTheme="minorHAnsi" w:cstheme="minorBidi"/>
          <w:b w:val="0"/>
          <w:noProof/>
          <w:szCs w:val="22"/>
          <w:lang w:eastAsia="en-GB"/>
        </w:rPr>
      </w:pPr>
      <w:hyperlink w:anchor="_Toc67565370" w:history="1">
        <w:r w:rsidR="001353E5" w:rsidRPr="00EB7E77">
          <w:rPr>
            <w:rStyle w:val="-"/>
            <w:noProof/>
          </w:rPr>
          <w:t>7.6.3</w:t>
        </w:r>
        <w:r w:rsidR="001353E5">
          <w:rPr>
            <w:rFonts w:asciiTheme="minorHAnsi" w:eastAsiaTheme="minorEastAsia" w:hAnsiTheme="minorHAnsi" w:cstheme="minorBidi"/>
            <w:b w:val="0"/>
            <w:noProof/>
            <w:szCs w:val="22"/>
            <w:lang w:eastAsia="en-GB"/>
          </w:rPr>
          <w:tab/>
        </w:r>
        <w:r w:rsidR="001353E5" w:rsidRPr="00EB7E77">
          <w:rPr>
            <w:rStyle w:val="-"/>
            <w:noProof/>
          </w:rPr>
          <w:t>Immediate losses of prestress</w:t>
        </w:r>
        <w:r w:rsidR="001353E5">
          <w:rPr>
            <w:noProof/>
            <w:webHidden/>
          </w:rPr>
          <w:tab/>
        </w:r>
        <w:r w:rsidR="001353E5">
          <w:rPr>
            <w:noProof/>
            <w:webHidden/>
          </w:rPr>
          <w:fldChar w:fldCharType="begin"/>
        </w:r>
        <w:r w:rsidR="001353E5">
          <w:rPr>
            <w:noProof/>
            <w:webHidden/>
          </w:rPr>
          <w:instrText xml:space="preserve"> PAGEREF _Toc67565370 \h </w:instrText>
        </w:r>
        <w:r w:rsidR="001353E5">
          <w:rPr>
            <w:noProof/>
            <w:webHidden/>
          </w:rPr>
        </w:r>
        <w:r w:rsidR="001353E5">
          <w:rPr>
            <w:noProof/>
            <w:webHidden/>
          </w:rPr>
          <w:fldChar w:fldCharType="separate"/>
        </w:r>
        <w:r w:rsidR="000250B6">
          <w:rPr>
            <w:noProof/>
            <w:webHidden/>
          </w:rPr>
          <w:t>101</w:t>
        </w:r>
        <w:r w:rsidR="001353E5">
          <w:rPr>
            <w:noProof/>
            <w:webHidden/>
          </w:rPr>
          <w:fldChar w:fldCharType="end"/>
        </w:r>
      </w:hyperlink>
    </w:p>
    <w:p w14:paraId="40581608" w14:textId="77777777" w:rsidR="001353E5" w:rsidRDefault="00231E33">
      <w:pPr>
        <w:pStyle w:val="32"/>
        <w:rPr>
          <w:rFonts w:asciiTheme="minorHAnsi" w:eastAsiaTheme="minorEastAsia" w:hAnsiTheme="minorHAnsi" w:cstheme="minorBidi"/>
          <w:b w:val="0"/>
          <w:noProof/>
          <w:szCs w:val="22"/>
          <w:lang w:eastAsia="en-GB"/>
        </w:rPr>
      </w:pPr>
      <w:hyperlink w:anchor="_Toc67565371" w:history="1">
        <w:r w:rsidR="001353E5" w:rsidRPr="00EB7E77">
          <w:rPr>
            <w:rStyle w:val="-"/>
            <w:noProof/>
          </w:rPr>
          <w:t>7.6.4</w:t>
        </w:r>
        <w:r w:rsidR="001353E5">
          <w:rPr>
            <w:rFonts w:asciiTheme="minorHAnsi" w:eastAsiaTheme="minorEastAsia" w:hAnsiTheme="minorHAnsi" w:cstheme="minorBidi"/>
            <w:b w:val="0"/>
            <w:noProof/>
            <w:szCs w:val="22"/>
            <w:lang w:eastAsia="en-GB"/>
          </w:rPr>
          <w:tab/>
        </w:r>
        <w:r w:rsidR="001353E5" w:rsidRPr="00EB7E77">
          <w:rPr>
            <w:rStyle w:val="-"/>
            <w:noProof/>
          </w:rPr>
          <w:t>Time dependent losses of prestress</w:t>
        </w:r>
        <w:r w:rsidR="001353E5">
          <w:rPr>
            <w:noProof/>
            <w:webHidden/>
          </w:rPr>
          <w:tab/>
        </w:r>
        <w:r w:rsidR="001353E5">
          <w:rPr>
            <w:noProof/>
            <w:webHidden/>
          </w:rPr>
          <w:fldChar w:fldCharType="begin"/>
        </w:r>
        <w:r w:rsidR="001353E5">
          <w:rPr>
            <w:noProof/>
            <w:webHidden/>
          </w:rPr>
          <w:instrText xml:space="preserve"> PAGEREF _Toc67565371 \h </w:instrText>
        </w:r>
        <w:r w:rsidR="001353E5">
          <w:rPr>
            <w:noProof/>
            <w:webHidden/>
          </w:rPr>
        </w:r>
        <w:r w:rsidR="001353E5">
          <w:rPr>
            <w:noProof/>
            <w:webHidden/>
          </w:rPr>
          <w:fldChar w:fldCharType="separate"/>
        </w:r>
        <w:r w:rsidR="000250B6">
          <w:rPr>
            <w:noProof/>
            <w:webHidden/>
          </w:rPr>
          <w:t>103</w:t>
        </w:r>
        <w:r w:rsidR="001353E5">
          <w:rPr>
            <w:noProof/>
            <w:webHidden/>
          </w:rPr>
          <w:fldChar w:fldCharType="end"/>
        </w:r>
      </w:hyperlink>
    </w:p>
    <w:p w14:paraId="0E51FFA9" w14:textId="77777777" w:rsidR="001353E5" w:rsidRDefault="00231E33">
      <w:pPr>
        <w:pStyle w:val="32"/>
        <w:rPr>
          <w:rFonts w:asciiTheme="minorHAnsi" w:eastAsiaTheme="minorEastAsia" w:hAnsiTheme="minorHAnsi" w:cstheme="minorBidi"/>
          <w:b w:val="0"/>
          <w:noProof/>
          <w:szCs w:val="22"/>
          <w:lang w:eastAsia="en-GB"/>
        </w:rPr>
      </w:pPr>
      <w:hyperlink w:anchor="_Toc67565372" w:history="1">
        <w:r w:rsidR="001353E5" w:rsidRPr="00EB7E77">
          <w:rPr>
            <w:rStyle w:val="-"/>
            <w:noProof/>
          </w:rPr>
          <w:t>7.6.5</w:t>
        </w:r>
        <w:r w:rsidR="001353E5">
          <w:rPr>
            <w:rFonts w:asciiTheme="minorHAnsi" w:eastAsiaTheme="minorEastAsia" w:hAnsiTheme="minorHAnsi" w:cstheme="minorBidi"/>
            <w:b w:val="0"/>
            <w:noProof/>
            <w:szCs w:val="22"/>
            <w:lang w:eastAsia="en-GB"/>
          </w:rPr>
          <w:tab/>
        </w:r>
        <w:r w:rsidR="001353E5" w:rsidRPr="00EB7E77">
          <w:rPr>
            <w:rStyle w:val="-"/>
            <w:noProof/>
          </w:rPr>
          <w:t>Effects of prestressing at ultimate limit state</w:t>
        </w:r>
        <w:r w:rsidR="001353E5">
          <w:rPr>
            <w:noProof/>
            <w:webHidden/>
          </w:rPr>
          <w:tab/>
        </w:r>
        <w:r w:rsidR="001353E5">
          <w:rPr>
            <w:noProof/>
            <w:webHidden/>
          </w:rPr>
          <w:fldChar w:fldCharType="begin"/>
        </w:r>
        <w:r w:rsidR="001353E5">
          <w:rPr>
            <w:noProof/>
            <w:webHidden/>
          </w:rPr>
          <w:instrText xml:space="preserve"> PAGEREF _Toc67565372 \h </w:instrText>
        </w:r>
        <w:r w:rsidR="001353E5">
          <w:rPr>
            <w:noProof/>
            <w:webHidden/>
          </w:rPr>
        </w:r>
        <w:r w:rsidR="001353E5">
          <w:rPr>
            <w:noProof/>
            <w:webHidden/>
          </w:rPr>
          <w:fldChar w:fldCharType="separate"/>
        </w:r>
        <w:r w:rsidR="000250B6">
          <w:rPr>
            <w:noProof/>
            <w:webHidden/>
          </w:rPr>
          <w:t>104</w:t>
        </w:r>
        <w:r w:rsidR="001353E5">
          <w:rPr>
            <w:noProof/>
            <w:webHidden/>
          </w:rPr>
          <w:fldChar w:fldCharType="end"/>
        </w:r>
      </w:hyperlink>
    </w:p>
    <w:p w14:paraId="7AC9A632" w14:textId="77777777" w:rsidR="001353E5" w:rsidRDefault="00231E33">
      <w:pPr>
        <w:pStyle w:val="10"/>
        <w:rPr>
          <w:rFonts w:asciiTheme="minorHAnsi" w:eastAsiaTheme="minorEastAsia" w:hAnsiTheme="minorHAnsi" w:cstheme="minorBidi"/>
          <w:b w:val="0"/>
          <w:noProof/>
          <w:szCs w:val="22"/>
          <w:lang w:eastAsia="en-GB"/>
        </w:rPr>
      </w:pPr>
      <w:hyperlink w:anchor="_Toc67565373" w:history="1">
        <w:r w:rsidR="001353E5" w:rsidRPr="00EB7E77">
          <w:rPr>
            <w:rStyle w:val="-"/>
            <w:noProof/>
          </w:rPr>
          <w:t>8</w:t>
        </w:r>
        <w:r w:rsidR="001353E5">
          <w:rPr>
            <w:rFonts w:asciiTheme="minorHAnsi" w:eastAsiaTheme="minorEastAsia" w:hAnsiTheme="minorHAnsi" w:cstheme="minorBidi"/>
            <w:b w:val="0"/>
            <w:noProof/>
            <w:szCs w:val="22"/>
            <w:lang w:eastAsia="en-GB"/>
          </w:rPr>
          <w:tab/>
        </w:r>
        <w:r w:rsidR="001353E5" w:rsidRPr="00EB7E77">
          <w:rPr>
            <w:rStyle w:val="-"/>
            <w:noProof/>
          </w:rPr>
          <w:t>Ultimate Limit States (ULS)</w:t>
        </w:r>
        <w:r w:rsidR="001353E5">
          <w:rPr>
            <w:noProof/>
            <w:webHidden/>
          </w:rPr>
          <w:tab/>
        </w:r>
        <w:r w:rsidR="001353E5">
          <w:rPr>
            <w:noProof/>
            <w:webHidden/>
          </w:rPr>
          <w:fldChar w:fldCharType="begin"/>
        </w:r>
        <w:r w:rsidR="001353E5">
          <w:rPr>
            <w:noProof/>
            <w:webHidden/>
          </w:rPr>
          <w:instrText xml:space="preserve"> PAGEREF _Toc67565373 \h </w:instrText>
        </w:r>
        <w:r w:rsidR="001353E5">
          <w:rPr>
            <w:noProof/>
            <w:webHidden/>
          </w:rPr>
        </w:r>
        <w:r w:rsidR="001353E5">
          <w:rPr>
            <w:noProof/>
            <w:webHidden/>
          </w:rPr>
          <w:fldChar w:fldCharType="separate"/>
        </w:r>
        <w:r w:rsidR="000250B6">
          <w:rPr>
            <w:noProof/>
            <w:webHidden/>
          </w:rPr>
          <w:t>105</w:t>
        </w:r>
        <w:r w:rsidR="001353E5">
          <w:rPr>
            <w:noProof/>
            <w:webHidden/>
          </w:rPr>
          <w:fldChar w:fldCharType="end"/>
        </w:r>
      </w:hyperlink>
    </w:p>
    <w:p w14:paraId="24F9C806" w14:textId="77777777" w:rsidR="001353E5" w:rsidRDefault="00231E33">
      <w:pPr>
        <w:pStyle w:val="22"/>
        <w:rPr>
          <w:rFonts w:asciiTheme="minorHAnsi" w:eastAsiaTheme="minorEastAsia" w:hAnsiTheme="minorHAnsi" w:cstheme="minorBidi"/>
          <w:b w:val="0"/>
          <w:noProof/>
          <w:szCs w:val="22"/>
          <w:lang w:eastAsia="en-GB"/>
        </w:rPr>
      </w:pPr>
      <w:hyperlink w:anchor="_Toc67565374" w:history="1">
        <w:r w:rsidR="001353E5" w:rsidRPr="00EB7E77">
          <w:rPr>
            <w:rStyle w:val="-"/>
            <w:noProof/>
          </w:rPr>
          <w:t>8.1</w:t>
        </w:r>
        <w:r w:rsidR="001353E5">
          <w:rPr>
            <w:rFonts w:asciiTheme="minorHAnsi" w:eastAsiaTheme="minorEastAsia" w:hAnsiTheme="minorHAnsi" w:cstheme="minorBidi"/>
            <w:b w:val="0"/>
            <w:noProof/>
            <w:szCs w:val="22"/>
            <w:lang w:eastAsia="en-GB"/>
          </w:rPr>
          <w:tab/>
        </w:r>
        <w:r w:rsidR="001353E5" w:rsidRPr="00EB7E77">
          <w:rPr>
            <w:rStyle w:val="-"/>
            <w:noProof/>
          </w:rPr>
          <w:t>Bending with or without axial force</w:t>
        </w:r>
        <w:r w:rsidR="001353E5">
          <w:rPr>
            <w:noProof/>
            <w:webHidden/>
          </w:rPr>
          <w:tab/>
        </w:r>
        <w:r w:rsidR="001353E5">
          <w:rPr>
            <w:noProof/>
            <w:webHidden/>
          </w:rPr>
          <w:fldChar w:fldCharType="begin"/>
        </w:r>
        <w:r w:rsidR="001353E5">
          <w:rPr>
            <w:noProof/>
            <w:webHidden/>
          </w:rPr>
          <w:instrText xml:space="preserve"> PAGEREF _Toc67565374 \h </w:instrText>
        </w:r>
        <w:r w:rsidR="001353E5">
          <w:rPr>
            <w:noProof/>
            <w:webHidden/>
          </w:rPr>
        </w:r>
        <w:r w:rsidR="001353E5">
          <w:rPr>
            <w:noProof/>
            <w:webHidden/>
          </w:rPr>
          <w:fldChar w:fldCharType="separate"/>
        </w:r>
        <w:r w:rsidR="000250B6">
          <w:rPr>
            <w:noProof/>
            <w:webHidden/>
          </w:rPr>
          <w:t>105</w:t>
        </w:r>
        <w:r w:rsidR="001353E5">
          <w:rPr>
            <w:noProof/>
            <w:webHidden/>
          </w:rPr>
          <w:fldChar w:fldCharType="end"/>
        </w:r>
      </w:hyperlink>
    </w:p>
    <w:p w14:paraId="1D7B4B66" w14:textId="77777777" w:rsidR="001353E5" w:rsidRDefault="00231E33">
      <w:pPr>
        <w:pStyle w:val="32"/>
        <w:rPr>
          <w:rFonts w:asciiTheme="minorHAnsi" w:eastAsiaTheme="minorEastAsia" w:hAnsiTheme="minorHAnsi" w:cstheme="minorBidi"/>
          <w:b w:val="0"/>
          <w:noProof/>
          <w:szCs w:val="22"/>
          <w:lang w:eastAsia="en-GB"/>
        </w:rPr>
      </w:pPr>
      <w:hyperlink w:anchor="_Toc67565375" w:history="1">
        <w:r w:rsidR="001353E5" w:rsidRPr="00EB7E77">
          <w:rPr>
            <w:rStyle w:val="-"/>
            <w:noProof/>
          </w:rPr>
          <w:t>8.1.1</w:t>
        </w:r>
        <w:r w:rsidR="001353E5">
          <w:rPr>
            <w:rFonts w:asciiTheme="minorHAnsi" w:eastAsiaTheme="minorEastAsia" w:hAnsiTheme="minorHAnsi" w:cstheme="minorBidi"/>
            <w:b w:val="0"/>
            <w:noProof/>
            <w:szCs w:val="22"/>
            <w:lang w:eastAsia="en-GB"/>
          </w:rPr>
          <w:tab/>
        </w:r>
        <w:r w:rsidR="001353E5" w:rsidRPr="00EB7E77">
          <w:rPr>
            <w:rStyle w:val="-"/>
            <w:noProof/>
          </w:rPr>
          <w:t>General</w:t>
        </w:r>
        <w:r w:rsidR="001353E5">
          <w:rPr>
            <w:noProof/>
            <w:webHidden/>
          </w:rPr>
          <w:tab/>
        </w:r>
        <w:r w:rsidR="001353E5">
          <w:rPr>
            <w:noProof/>
            <w:webHidden/>
          </w:rPr>
          <w:fldChar w:fldCharType="begin"/>
        </w:r>
        <w:r w:rsidR="001353E5">
          <w:rPr>
            <w:noProof/>
            <w:webHidden/>
          </w:rPr>
          <w:instrText xml:space="preserve"> PAGEREF _Toc67565375 \h </w:instrText>
        </w:r>
        <w:r w:rsidR="001353E5">
          <w:rPr>
            <w:noProof/>
            <w:webHidden/>
          </w:rPr>
        </w:r>
        <w:r w:rsidR="001353E5">
          <w:rPr>
            <w:noProof/>
            <w:webHidden/>
          </w:rPr>
          <w:fldChar w:fldCharType="separate"/>
        </w:r>
        <w:r w:rsidR="000250B6">
          <w:rPr>
            <w:noProof/>
            <w:webHidden/>
          </w:rPr>
          <w:t>105</w:t>
        </w:r>
        <w:r w:rsidR="001353E5">
          <w:rPr>
            <w:noProof/>
            <w:webHidden/>
          </w:rPr>
          <w:fldChar w:fldCharType="end"/>
        </w:r>
      </w:hyperlink>
    </w:p>
    <w:p w14:paraId="1E084AE5" w14:textId="77777777" w:rsidR="001353E5" w:rsidRDefault="00231E33">
      <w:pPr>
        <w:pStyle w:val="32"/>
        <w:rPr>
          <w:rFonts w:asciiTheme="minorHAnsi" w:eastAsiaTheme="minorEastAsia" w:hAnsiTheme="minorHAnsi" w:cstheme="minorBidi"/>
          <w:b w:val="0"/>
          <w:noProof/>
          <w:szCs w:val="22"/>
          <w:lang w:eastAsia="en-GB"/>
        </w:rPr>
      </w:pPr>
      <w:hyperlink w:anchor="_Toc67565376" w:history="1">
        <w:r w:rsidR="001353E5" w:rsidRPr="00EB7E77">
          <w:rPr>
            <w:rStyle w:val="-"/>
            <w:noProof/>
          </w:rPr>
          <w:t>8.1.2</w:t>
        </w:r>
        <w:r w:rsidR="001353E5">
          <w:rPr>
            <w:rFonts w:asciiTheme="minorHAnsi" w:eastAsiaTheme="minorEastAsia" w:hAnsiTheme="minorHAnsi" w:cstheme="minorBidi"/>
            <w:b w:val="0"/>
            <w:noProof/>
            <w:szCs w:val="22"/>
            <w:lang w:eastAsia="en-GB"/>
          </w:rPr>
          <w:tab/>
        </w:r>
        <w:r w:rsidR="001353E5" w:rsidRPr="00EB7E77">
          <w:rPr>
            <w:rStyle w:val="-"/>
            <w:noProof/>
          </w:rPr>
          <w:t>Stress distribution in the compression zones</w:t>
        </w:r>
        <w:r w:rsidR="001353E5">
          <w:rPr>
            <w:noProof/>
            <w:webHidden/>
          </w:rPr>
          <w:tab/>
        </w:r>
        <w:r w:rsidR="001353E5">
          <w:rPr>
            <w:noProof/>
            <w:webHidden/>
          </w:rPr>
          <w:fldChar w:fldCharType="begin"/>
        </w:r>
        <w:r w:rsidR="001353E5">
          <w:rPr>
            <w:noProof/>
            <w:webHidden/>
          </w:rPr>
          <w:instrText xml:space="preserve"> PAGEREF _Toc67565376 \h </w:instrText>
        </w:r>
        <w:r w:rsidR="001353E5">
          <w:rPr>
            <w:noProof/>
            <w:webHidden/>
          </w:rPr>
        </w:r>
        <w:r w:rsidR="001353E5">
          <w:rPr>
            <w:noProof/>
            <w:webHidden/>
          </w:rPr>
          <w:fldChar w:fldCharType="separate"/>
        </w:r>
        <w:r w:rsidR="000250B6">
          <w:rPr>
            <w:noProof/>
            <w:webHidden/>
          </w:rPr>
          <w:t>106</w:t>
        </w:r>
        <w:r w:rsidR="001353E5">
          <w:rPr>
            <w:noProof/>
            <w:webHidden/>
          </w:rPr>
          <w:fldChar w:fldCharType="end"/>
        </w:r>
      </w:hyperlink>
    </w:p>
    <w:p w14:paraId="3F2DE791" w14:textId="77777777" w:rsidR="001353E5" w:rsidRDefault="00231E33">
      <w:pPr>
        <w:pStyle w:val="32"/>
        <w:rPr>
          <w:rFonts w:asciiTheme="minorHAnsi" w:eastAsiaTheme="minorEastAsia" w:hAnsiTheme="minorHAnsi" w:cstheme="minorBidi"/>
          <w:b w:val="0"/>
          <w:noProof/>
          <w:szCs w:val="22"/>
          <w:lang w:eastAsia="en-GB"/>
        </w:rPr>
      </w:pPr>
      <w:hyperlink w:anchor="_Toc67565377" w:history="1">
        <w:r w:rsidR="001353E5" w:rsidRPr="00EB7E77">
          <w:rPr>
            <w:rStyle w:val="-"/>
            <w:noProof/>
          </w:rPr>
          <w:t>8.1.3</w:t>
        </w:r>
        <w:r w:rsidR="001353E5">
          <w:rPr>
            <w:rFonts w:asciiTheme="minorHAnsi" w:eastAsiaTheme="minorEastAsia" w:hAnsiTheme="minorHAnsi" w:cstheme="minorBidi"/>
            <w:b w:val="0"/>
            <w:noProof/>
            <w:szCs w:val="22"/>
            <w:lang w:eastAsia="en-GB"/>
          </w:rPr>
          <w:tab/>
        </w:r>
        <w:r w:rsidR="001353E5" w:rsidRPr="00EB7E77">
          <w:rPr>
            <w:rStyle w:val="-"/>
            <w:noProof/>
          </w:rPr>
          <w:t>Bending in slabs</w:t>
        </w:r>
        <w:r w:rsidR="001353E5">
          <w:rPr>
            <w:noProof/>
            <w:webHidden/>
          </w:rPr>
          <w:tab/>
        </w:r>
        <w:r w:rsidR="001353E5">
          <w:rPr>
            <w:noProof/>
            <w:webHidden/>
          </w:rPr>
          <w:fldChar w:fldCharType="begin"/>
        </w:r>
        <w:r w:rsidR="001353E5">
          <w:rPr>
            <w:noProof/>
            <w:webHidden/>
          </w:rPr>
          <w:instrText xml:space="preserve"> PAGEREF _Toc67565377 \h </w:instrText>
        </w:r>
        <w:r w:rsidR="001353E5">
          <w:rPr>
            <w:noProof/>
            <w:webHidden/>
          </w:rPr>
        </w:r>
        <w:r w:rsidR="001353E5">
          <w:rPr>
            <w:noProof/>
            <w:webHidden/>
          </w:rPr>
          <w:fldChar w:fldCharType="separate"/>
        </w:r>
        <w:r w:rsidR="000250B6">
          <w:rPr>
            <w:noProof/>
            <w:webHidden/>
          </w:rPr>
          <w:t>107</w:t>
        </w:r>
        <w:r w:rsidR="001353E5">
          <w:rPr>
            <w:noProof/>
            <w:webHidden/>
          </w:rPr>
          <w:fldChar w:fldCharType="end"/>
        </w:r>
      </w:hyperlink>
    </w:p>
    <w:p w14:paraId="5F197E3D" w14:textId="77777777" w:rsidR="001353E5" w:rsidRDefault="00231E33">
      <w:pPr>
        <w:pStyle w:val="32"/>
        <w:rPr>
          <w:rFonts w:asciiTheme="minorHAnsi" w:eastAsiaTheme="minorEastAsia" w:hAnsiTheme="minorHAnsi" w:cstheme="minorBidi"/>
          <w:b w:val="0"/>
          <w:noProof/>
          <w:szCs w:val="22"/>
          <w:lang w:eastAsia="en-GB"/>
        </w:rPr>
      </w:pPr>
      <w:hyperlink w:anchor="_Toc67565378" w:history="1">
        <w:r w:rsidR="001353E5" w:rsidRPr="00EB7E77">
          <w:rPr>
            <w:rStyle w:val="-"/>
            <w:noProof/>
          </w:rPr>
          <w:t>8.1.4</w:t>
        </w:r>
        <w:r w:rsidR="001353E5">
          <w:rPr>
            <w:rFonts w:asciiTheme="minorHAnsi" w:eastAsiaTheme="minorEastAsia" w:hAnsiTheme="minorHAnsi" w:cstheme="minorBidi"/>
            <w:b w:val="0"/>
            <w:noProof/>
            <w:szCs w:val="22"/>
            <w:lang w:eastAsia="en-GB"/>
          </w:rPr>
          <w:tab/>
        </w:r>
        <w:r w:rsidR="001353E5" w:rsidRPr="00EB7E77">
          <w:rPr>
            <w:rStyle w:val="-"/>
            <w:noProof/>
          </w:rPr>
          <w:t>Confined concrete</w:t>
        </w:r>
        <w:r w:rsidR="001353E5">
          <w:rPr>
            <w:noProof/>
            <w:webHidden/>
          </w:rPr>
          <w:tab/>
        </w:r>
        <w:r w:rsidR="001353E5">
          <w:rPr>
            <w:noProof/>
            <w:webHidden/>
          </w:rPr>
          <w:fldChar w:fldCharType="begin"/>
        </w:r>
        <w:r w:rsidR="001353E5">
          <w:rPr>
            <w:noProof/>
            <w:webHidden/>
          </w:rPr>
          <w:instrText xml:space="preserve"> PAGEREF _Toc67565378 \h </w:instrText>
        </w:r>
        <w:r w:rsidR="001353E5">
          <w:rPr>
            <w:noProof/>
            <w:webHidden/>
          </w:rPr>
        </w:r>
        <w:r w:rsidR="001353E5">
          <w:rPr>
            <w:noProof/>
            <w:webHidden/>
          </w:rPr>
          <w:fldChar w:fldCharType="separate"/>
        </w:r>
        <w:r w:rsidR="000250B6">
          <w:rPr>
            <w:noProof/>
            <w:webHidden/>
          </w:rPr>
          <w:t>107</w:t>
        </w:r>
        <w:r w:rsidR="001353E5">
          <w:rPr>
            <w:noProof/>
            <w:webHidden/>
          </w:rPr>
          <w:fldChar w:fldCharType="end"/>
        </w:r>
      </w:hyperlink>
    </w:p>
    <w:p w14:paraId="700CDED2" w14:textId="77777777" w:rsidR="001353E5" w:rsidRDefault="00231E33">
      <w:pPr>
        <w:pStyle w:val="22"/>
        <w:rPr>
          <w:rFonts w:asciiTheme="minorHAnsi" w:eastAsiaTheme="minorEastAsia" w:hAnsiTheme="minorHAnsi" w:cstheme="minorBidi"/>
          <w:b w:val="0"/>
          <w:noProof/>
          <w:szCs w:val="22"/>
          <w:lang w:eastAsia="en-GB"/>
        </w:rPr>
      </w:pPr>
      <w:hyperlink w:anchor="_Toc67565379" w:history="1">
        <w:r w:rsidR="001353E5" w:rsidRPr="00EB7E77">
          <w:rPr>
            <w:rStyle w:val="-"/>
            <w:noProof/>
            <w:lang w:eastAsia="de-CH"/>
          </w:rPr>
          <w:t>8.2</w:t>
        </w:r>
        <w:r w:rsidR="001353E5">
          <w:rPr>
            <w:rFonts w:asciiTheme="minorHAnsi" w:eastAsiaTheme="minorEastAsia" w:hAnsiTheme="minorHAnsi" w:cstheme="minorBidi"/>
            <w:b w:val="0"/>
            <w:noProof/>
            <w:szCs w:val="22"/>
            <w:lang w:eastAsia="en-GB"/>
          </w:rPr>
          <w:tab/>
        </w:r>
        <w:r w:rsidR="001353E5" w:rsidRPr="00EB7E77">
          <w:rPr>
            <w:rStyle w:val="-"/>
            <w:noProof/>
          </w:rPr>
          <w:t>Shear</w:t>
        </w:r>
        <w:r w:rsidR="001353E5">
          <w:rPr>
            <w:noProof/>
            <w:webHidden/>
          </w:rPr>
          <w:tab/>
        </w:r>
        <w:r w:rsidR="001353E5">
          <w:rPr>
            <w:noProof/>
            <w:webHidden/>
          </w:rPr>
          <w:fldChar w:fldCharType="begin"/>
        </w:r>
        <w:r w:rsidR="001353E5">
          <w:rPr>
            <w:noProof/>
            <w:webHidden/>
          </w:rPr>
          <w:instrText xml:space="preserve"> PAGEREF _Toc67565379 \h </w:instrText>
        </w:r>
        <w:r w:rsidR="001353E5">
          <w:rPr>
            <w:noProof/>
            <w:webHidden/>
          </w:rPr>
        </w:r>
        <w:r w:rsidR="001353E5">
          <w:rPr>
            <w:noProof/>
            <w:webHidden/>
          </w:rPr>
          <w:fldChar w:fldCharType="separate"/>
        </w:r>
        <w:r w:rsidR="000250B6">
          <w:rPr>
            <w:noProof/>
            <w:webHidden/>
          </w:rPr>
          <w:t>110</w:t>
        </w:r>
        <w:r w:rsidR="001353E5">
          <w:rPr>
            <w:noProof/>
            <w:webHidden/>
          </w:rPr>
          <w:fldChar w:fldCharType="end"/>
        </w:r>
      </w:hyperlink>
    </w:p>
    <w:p w14:paraId="38CD1760" w14:textId="77777777" w:rsidR="001353E5" w:rsidRDefault="00231E33">
      <w:pPr>
        <w:pStyle w:val="32"/>
        <w:rPr>
          <w:rFonts w:asciiTheme="minorHAnsi" w:eastAsiaTheme="minorEastAsia" w:hAnsiTheme="minorHAnsi" w:cstheme="minorBidi"/>
          <w:b w:val="0"/>
          <w:noProof/>
          <w:szCs w:val="22"/>
          <w:lang w:eastAsia="en-GB"/>
        </w:rPr>
      </w:pPr>
      <w:hyperlink w:anchor="_Toc67565380" w:history="1">
        <w:r w:rsidR="001353E5" w:rsidRPr="00EB7E77">
          <w:rPr>
            <w:rStyle w:val="-"/>
            <w:noProof/>
            <w:lang w:eastAsia="de-CH"/>
          </w:rPr>
          <w:t>8.2.1</w:t>
        </w:r>
        <w:r w:rsidR="001353E5">
          <w:rPr>
            <w:rFonts w:asciiTheme="minorHAnsi" w:eastAsiaTheme="minorEastAsia" w:hAnsiTheme="minorHAnsi" w:cstheme="minorBidi"/>
            <w:b w:val="0"/>
            <w:noProof/>
            <w:szCs w:val="22"/>
            <w:lang w:eastAsia="en-GB"/>
          </w:rPr>
          <w:tab/>
        </w:r>
        <w:r w:rsidR="001353E5" w:rsidRPr="00EB7E77">
          <w:rPr>
            <w:rStyle w:val="-"/>
            <w:noProof/>
          </w:rPr>
          <w:t>General verification procedure</w:t>
        </w:r>
        <w:r w:rsidR="001353E5">
          <w:rPr>
            <w:noProof/>
            <w:webHidden/>
          </w:rPr>
          <w:tab/>
        </w:r>
        <w:r w:rsidR="001353E5">
          <w:rPr>
            <w:noProof/>
            <w:webHidden/>
          </w:rPr>
          <w:fldChar w:fldCharType="begin"/>
        </w:r>
        <w:r w:rsidR="001353E5">
          <w:rPr>
            <w:noProof/>
            <w:webHidden/>
          </w:rPr>
          <w:instrText xml:space="preserve"> PAGEREF _Toc67565380 \h </w:instrText>
        </w:r>
        <w:r w:rsidR="001353E5">
          <w:rPr>
            <w:noProof/>
            <w:webHidden/>
          </w:rPr>
        </w:r>
        <w:r w:rsidR="001353E5">
          <w:rPr>
            <w:noProof/>
            <w:webHidden/>
          </w:rPr>
          <w:fldChar w:fldCharType="separate"/>
        </w:r>
        <w:r w:rsidR="000250B6">
          <w:rPr>
            <w:noProof/>
            <w:webHidden/>
          </w:rPr>
          <w:t>110</w:t>
        </w:r>
        <w:r w:rsidR="001353E5">
          <w:rPr>
            <w:noProof/>
            <w:webHidden/>
          </w:rPr>
          <w:fldChar w:fldCharType="end"/>
        </w:r>
      </w:hyperlink>
    </w:p>
    <w:p w14:paraId="2F0685BC" w14:textId="77777777" w:rsidR="001353E5" w:rsidRDefault="00231E33">
      <w:pPr>
        <w:pStyle w:val="32"/>
        <w:rPr>
          <w:rFonts w:asciiTheme="minorHAnsi" w:eastAsiaTheme="minorEastAsia" w:hAnsiTheme="minorHAnsi" w:cstheme="minorBidi"/>
          <w:b w:val="0"/>
          <w:noProof/>
          <w:szCs w:val="22"/>
          <w:lang w:eastAsia="en-GB"/>
        </w:rPr>
      </w:pPr>
      <w:hyperlink w:anchor="_Toc67565381" w:history="1">
        <w:r w:rsidR="001353E5" w:rsidRPr="00EB7E77">
          <w:rPr>
            <w:rStyle w:val="-"/>
            <w:noProof/>
          </w:rPr>
          <w:t>8.2.2</w:t>
        </w:r>
        <w:r w:rsidR="001353E5">
          <w:rPr>
            <w:rFonts w:asciiTheme="minorHAnsi" w:eastAsiaTheme="minorEastAsia" w:hAnsiTheme="minorHAnsi" w:cstheme="minorBidi"/>
            <w:b w:val="0"/>
            <w:noProof/>
            <w:szCs w:val="22"/>
            <w:lang w:eastAsia="en-GB"/>
          </w:rPr>
          <w:tab/>
        </w:r>
        <w:r w:rsidR="001353E5" w:rsidRPr="00EB7E77">
          <w:rPr>
            <w:rStyle w:val="-"/>
            <w:noProof/>
          </w:rPr>
          <w:t>Detailed verification for members not requiring design shear reinforcement</w:t>
        </w:r>
        <w:r w:rsidR="001353E5">
          <w:rPr>
            <w:noProof/>
            <w:webHidden/>
          </w:rPr>
          <w:tab/>
        </w:r>
        <w:r w:rsidR="001353E5">
          <w:rPr>
            <w:noProof/>
            <w:webHidden/>
          </w:rPr>
          <w:fldChar w:fldCharType="begin"/>
        </w:r>
        <w:r w:rsidR="001353E5">
          <w:rPr>
            <w:noProof/>
            <w:webHidden/>
          </w:rPr>
          <w:instrText xml:space="preserve"> PAGEREF _Toc67565381 \h </w:instrText>
        </w:r>
        <w:r w:rsidR="001353E5">
          <w:rPr>
            <w:noProof/>
            <w:webHidden/>
          </w:rPr>
        </w:r>
        <w:r w:rsidR="001353E5">
          <w:rPr>
            <w:noProof/>
            <w:webHidden/>
          </w:rPr>
          <w:fldChar w:fldCharType="separate"/>
        </w:r>
        <w:r w:rsidR="000250B6">
          <w:rPr>
            <w:noProof/>
            <w:webHidden/>
          </w:rPr>
          <w:t>113</w:t>
        </w:r>
        <w:r w:rsidR="001353E5">
          <w:rPr>
            <w:noProof/>
            <w:webHidden/>
          </w:rPr>
          <w:fldChar w:fldCharType="end"/>
        </w:r>
      </w:hyperlink>
    </w:p>
    <w:p w14:paraId="28453831" w14:textId="77777777" w:rsidR="001353E5" w:rsidRDefault="00231E33">
      <w:pPr>
        <w:pStyle w:val="32"/>
        <w:rPr>
          <w:rFonts w:asciiTheme="minorHAnsi" w:eastAsiaTheme="minorEastAsia" w:hAnsiTheme="minorHAnsi" w:cstheme="minorBidi"/>
          <w:b w:val="0"/>
          <w:noProof/>
          <w:szCs w:val="22"/>
          <w:lang w:eastAsia="en-GB"/>
        </w:rPr>
      </w:pPr>
      <w:hyperlink w:anchor="_Toc67565382" w:history="1">
        <w:r w:rsidR="001353E5" w:rsidRPr="00EB7E77">
          <w:rPr>
            <w:rStyle w:val="-"/>
            <w:noProof/>
          </w:rPr>
          <w:t>8.2.3</w:t>
        </w:r>
        <w:r w:rsidR="001353E5">
          <w:rPr>
            <w:rFonts w:asciiTheme="minorHAnsi" w:eastAsiaTheme="minorEastAsia" w:hAnsiTheme="minorHAnsi" w:cstheme="minorBidi"/>
            <w:b w:val="0"/>
            <w:noProof/>
            <w:szCs w:val="22"/>
            <w:lang w:eastAsia="en-GB"/>
          </w:rPr>
          <w:tab/>
        </w:r>
        <w:r w:rsidR="001353E5" w:rsidRPr="00EB7E77">
          <w:rPr>
            <w:rStyle w:val="-"/>
            <w:noProof/>
          </w:rPr>
          <w:t>Members requiring design shear reinforcement</w:t>
        </w:r>
        <w:r w:rsidR="001353E5">
          <w:rPr>
            <w:noProof/>
            <w:webHidden/>
          </w:rPr>
          <w:tab/>
        </w:r>
        <w:r w:rsidR="001353E5">
          <w:rPr>
            <w:noProof/>
            <w:webHidden/>
          </w:rPr>
          <w:fldChar w:fldCharType="begin"/>
        </w:r>
        <w:r w:rsidR="001353E5">
          <w:rPr>
            <w:noProof/>
            <w:webHidden/>
          </w:rPr>
          <w:instrText xml:space="preserve"> PAGEREF _Toc67565382 \h </w:instrText>
        </w:r>
        <w:r w:rsidR="001353E5">
          <w:rPr>
            <w:noProof/>
            <w:webHidden/>
          </w:rPr>
        </w:r>
        <w:r w:rsidR="001353E5">
          <w:rPr>
            <w:noProof/>
            <w:webHidden/>
          </w:rPr>
          <w:fldChar w:fldCharType="separate"/>
        </w:r>
        <w:r w:rsidR="000250B6">
          <w:rPr>
            <w:noProof/>
            <w:webHidden/>
          </w:rPr>
          <w:t>116</w:t>
        </w:r>
        <w:r w:rsidR="001353E5">
          <w:rPr>
            <w:noProof/>
            <w:webHidden/>
          </w:rPr>
          <w:fldChar w:fldCharType="end"/>
        </w:r>
      </w:hyperlink>
    </w:p>
    <w:p w14:paraId="028980CD" w14:textId="77777777" w:rsidR="001353E5" w:rsidRDefault="00231E33">
      <w:pPr>
        <w:pStyle w:val="32"/>
        <w:rPr>
          <w:rFonts w:asciiTheme="minorHAnsi" w:eastAsiaTheme="minorEastAsia" w:hAnsiTheme="minorHAnsi" w:cstheme="minorBidi"/>
          <w:b w:val="0"/>
          <w:noProof/>
          <w:szCs w:val="22"/>
          <w:lang w:eastAsia="en-GB"/>
        </w:rPr>
      </w:pPr>
      <w:hyperlink w:anchor="_Toc67565383" w:history="1">
        <w:r w:rsidR="001353E5" w:rsidRPr="00EB7E77">
          <w:rPr>
            <w:rStyle w:val="-"/>
            <w:noProof/>
          </w:rPr>
          <w:t>8.2.4</w:t>
        </w:r>
        <w:r w:rsidR="001353E5">
          <w:rPr>
            <w:rFonts w:asciiTheme="minorHAnsi" w:eastAsiaTheme="minorEastAsia" w:hAnsiTheme="minorHAnsi" w:cstheme="minorBidi"/>
            <w:b w:val="0"/>
            <w:noProof/>
            <w:szCs w:val="22"/>
            <w:lang w:eastAsia="en-GB"/>
          </w:rPr>
          <w:tab/>
        </w:r>
        <w:r w:rsidR="001353E5" w:rsidRPr="00EB7E77">
          <w:rPr>
            <w:rStyle w:val="-"/>
            <w:noProof/>
          </w:rPr>
          <w:t>In-plane shear and transverse bending</w:t>
        </w:r>
        <w:r w:rsidR="001353E5">
          <w:rPr>
            <w:noProof/>
            <w:webHidden/>
          </w:rPr>
          <w:tab/>
        </w:r>
        <w:r w:rsidR="001353E5">
          <w:rPr>
            <w:noProof/>
            <w:webHidden/>
          </w:rPr>
          <w:fldChar w:fldCharType="begin"/>
        </w:r>
        <w:r w:rsidR="001353E5">
          <w:rPr>
            <w:noProof/>
            <w:webHidden/>
          </w:rPr>
          <w:instrText xml:space="preserve"> PAGEREF _Toc67565383 \h </w:instrText>
        </w:r>
        <w:r w:rsidR="001353E5">
          <w:rPr>
            <w:noProof/>
            <w:webHidden/>
          </w:rPr>
        </w:r>
        <w:r w:rsidR="001353E5">
          <w:rPr>
            <w:noProof/>
            <w:webHidden/>
          </w:rPr>
          <w:fldChar w:fldCharType="separate"/>
        </w:r>
        <w:r w:rsidR="000250B6">
          <w:rPr>
            <w:noProof/>
            <w:webHidden/>
          </w:rPr>
          <w:t>122</w:t>
        </w:r>
        <w:r w:rsidR="001353E5">
          <w:rPr>
            <w:noProof/>
            <w:webHidden/>
          </w:rPr>
          <w:fldChar w:fldCharType="end"/>
        </w:r>
      </w:hyperlink>
    </w:p>
    <w:p w14:paraId="701EF982" w14:textId="77777777" w:rsidR="001353E5" w:rsidRDefault="00231E33">
      <w:pPr>
        <w:pStyle w:val="32"/>
        <w:rPr>
          <w:rFonts w:asciiTheme="minorHAnsi" w:eastAsiaTheme="minorEastAsia" w:hAnsiTheme="minorHAnsi" w:cstheme="minorBidi"/>
          <w:b w:val="0"/>
          <w:noProof/>
          <w:szCs w:val="22"/>
          <w:lang w:eastAsia="en-GB"/>
        </w:rPr>
      </w:pPr>
      <w:hyperlink w:anchor="_Toc67565384" w:history="1">
        <w:r w:rsidR="001353E5" w:rsidRPr="00EB7E77">
          <w:rPr>
            <w:rStyle w:val="-"/>
            <w:noProof/>
          </w:rPr>
          <w:t>8.2.5</w:t>
        </w:r>
        <w:r w:rsidR="001353E5">
          <w:rPr>
            <w:rFonts w:asciiTheme="minorHAnsi" w:eastAsiaTheme="minorEastAsia" w:hAnsiTheme="minorHAnsi" w:cstheme="minorBidi"/>
            <w:b w:val="0"/>
            <w:noProof/>
            <w:szCs w:val="22"/>
            <w:lang w:eastAsia="en-GB"/>
          </w:rPr>
          <w:tab/>
        </w:r>
        <w:r w:rsidR="001353E5" w:rsidRPr="00EB7E77">
          <w:rPr>
            <w:rStyle w:val="-"/>
            <w:noProof/>
          </w:rPr>
          <w:t>Shear between web and flanges</w:t>
        </w:r>
        <w:r w:rsidR="001353E5">
          <w:rPr>
            <w:noProof/>
            <w:webHidden/>
          </w:rPr>
          <w:tab/>
        </w:r>
        <w:r w:rsidR="001353E5">
          <w:rPr>
            <w:noProof/>
            <w:webHidden/>
          </w:rPr>
          <w:fldChar w:fldCharType="begin"/>
        </w:r>
        <w:r w:rsidR="001353E5">
          <w:rPr>
            <w:noProof/>
            <w:webHidden/>
          </w:rPr>
          <w:instrText xml:space="preserve"> PAGEREF _Toc67565384 \h </w:instrText>
        </w:r>
        <w:r w:rsidR="001353E5">
          <w:rPr>
            <w:noProof/>
            <w:webHidden/>
          </w:rPr>
        </w:r>
        <w:r w:rsidR="001353E5">
          <w:rPr>
            <w:noProof/>
            <w:webHidden/>
          </w:rPr>
          <w:fldChar w:fldCharType="separate"/>
        </w:r>
        <w:r w:rsidR="000250B6">
          <w:rPr>
            <w:noProof/>
            <w:webHidden/>
          </w:rPr>
          <w:t>122</w:t>
        </w:r>
        <w:r w:rsidR="001353E5">
          <w:rPr>
            <w:noProof/>
            <w:webHidden/>
          </w:rPr>
          <w:fldChar w:fldCharType="end"/>
        </w:r>
      </w:hyperlink>
    </w:p>
    <w:p w14:paraId="6F56E38A" w14:textId="77777777" w:rsidR="001353E5" w:rsidRDefault="00231E33">
      <w:pPr>
        <w:pStyle w:val="32"/>
        <w:rPr>
          <w:rFonts w:asciiTheme="minorHAnsi" w:eastAsiaTheme="minorEastAsia" w:hAnsiTheme="minorHAnsi" w:cstheme="minorBidi"/>
          <w:b w:val="0"/>
          <w:noProof/>
          <w:szCs w:val="22"/>
          <w:lang w:eastAsia="en-GB"/>
        </w:rPr>
      </w:pPr>
      <w:hyperlink w:anchor="_Toc67565385" w:history="1">
        <w:r w:rsidR="001353E5" w:rsidRPr="00EB7E77">
          <w:rPr>
            <w:rStyle w:val="-"/>
            <w:noProof/>
          </w:rPr>
          <w:t>8.2.6</w:t>
        </w:r>
        <w:r w:rsidR="001353E5">
          <w:rPr>
            <w:rFonts w:asciiTheme="minorHAnsi" w:eastAsiaTheme="minorEastAsia" w:hAnsiTheme="minorHAnsi" w:cstheme="minorBidi"/>
            <w:b w:val="0"/>
            <w:noProof/>
            <w:szCs w:val="22"/>
            <w:lang w:eastAsia="en-GB"/>
          </w:rPr>
          <w:tab/>
        </w:r>
        <w:r w:rsidR="001353E5" w:rsidRPr="00EB7E77">
          <w:rPr>
            <w:rStyle w:val="-"/>
            <w:noProof/>
          </w:rPr>
          <w:t>Shear at interfaces</w:t>
        </w:r>
        <w:r w:rsidR="001353E5">
          <w:rPr>
            <w:noProof/>
            <w:webHidden/>
          </w:rPr>
          <w:tab/>
        </w:r>
        <w:r w:rsidR="001353E5">
          <w:rPr>
            <w:noProof/>
            <w:webHidden/>
          </w:rPr>
          <w:fldChar w:fldCharType="begin"/>
        </w:r>
        <w:r w:rsidR="001353E5">
          <w:rPr>
            <w:noProof/>
            <w:webHidden/>
          </w:rPr>
          <w:instrText xml:space="preserve"> PAGEREF _Toc67565385 \h </w:instrText>
        </w:r>
        <w:r w:rsidR="001353E5">
          <w:rPr>
            <w:noProof/>
            <w:webHidden/>
          </w:rPr>
        </w:r>
        <w:r w:rsidR="001353E5">
          <w:rPr>
            <w:noProof/>
            <w:webHidden/>
          </w:rPr>
          <w:fldChar w:fldCharType="separate"/>
        </w:r>
        <w:r w:rsidR="000250B6">
          <w:rPr>
            <w:noProof/>
            <w:webHidden/>
          </w:rPr>
          <w:t>124</w:t>
        </w:r>
        <w:r w:rsidR="001353E5">
          <w:rPr>
            <w:noProof/>
            <w:webHidden/>
          </w:rPr>
          <w:fldChar w:fldCharType="end"/>
        </w:r>
      </w:hyperlink>
    </w:p>
    <w:p w14:paraId="73642AE1" w14:textId="77777777" w:rsidR="001353E5" w:rsidRDefault="00231E33">
      <w:pPr>
        <w:pStyle w:val="22"/>
        <w:rPr>
          <w:rFonts w:asciiTheme="minorHAnsi" w:eastAsiaTheme="minorEastAsia" w:hAnsiTheme="minorHAnsi" w:cstheme="minorBidi"/>
          <w:b w:val="0"/>
          <w:noProof/>
          <w:szCs w:val="22"/>
          <w:lang w:eastAsia="en-GB"/>
        </w:rPr>
      </w:pPr>
      <w:hyperlink w:anchor="_Toc67565386" w:history="1">
        <w:r w:rsidR="001353E5" w:rsidRPr="00EB7E77">
          <w:rPr>
            <w:rStyle w:val="-"/>
            <w:noProof/>
          </w:rPr>
          <w:t>8.3</w:t>
        </w:r>
        <w:r w:rsidR="001353E5">
          <w:rPr>
            <w:rFonts w:asciiTheme="minorHAnsi" w:eastAsiaTheme="minorEastAsia" w:hAnsiTheme="minorHAnsi" w:cstheme="minorBidi"/>
            <w:b w:val="0"/>
            <w:noProof/>
            <w:szCs w:val="22"/>
            <w:lang w:eastAsia="en-GB"/>
          </w:rPr>
          <w:tab/>
        </w:r>
        <w:r w:rsidR="001353E5" w:rsidRPr="00EB7E77">
          <w:rPr>
            <w:rStyle w:val="-"/>
            <w:noProof/>
          </w:rPr>
          <w:t>Torsion and combined actions</w:t>
        </w:r>
        <w:r w:rsidR="001353E5">
          <w:rPr>
            <w:noProof/>
            <w:webHidden/>
          </w:rPr>
          <w:tab/>
        </w:r>
        <w:r w:rsidR="001353E5">
          <w:rPr>
            <w:noProof/>
            <w:webHidden/>
          </w:rPr>
          <w:fldChar w:fldCharType="begin"/>
        </w:r>
        <w:r w:rsidR="001353E5">
          <w:rPr>
            <w:noProof/>
            <w:webHidden/>
          </w:rPr>
          <w:instrText xml:space="preserve"> PAGEREF _Toc67565386 \h </w:instrText>
        </w:r>
        <w:r w:rsidR="001353E5">
          <w:rPr>
            <w:noProof/>
            <w:webHidden/>
          </w:rPr>
        </w:r>
        <w:r w:rsidR="001353E5">
          <w:rPr>
            <w:noProof/>
            <w:webHidden/>
          </w:rPr>
          <w:fldChar w:fldCharType="separate"/>
        </w:r>
        <w:r w:rsidR="000250B6">
          <w:rPr>
            <w:noProof/>
            <w:webHidden/>
          </w:rPr>
          <w:t>128</w:t>
        </w:r>
        <w:r w:rsidR="001353E5">
          <w:rPr>
            <w:noProof/>
            <w:webHidden/>
          </w:rPr>
          <w:fldChar w:fldCharType="end"/>
        </w:r>
      </w:hyperlink>
    </w:p>
    <w:p w14:paraId="64CDDC6B" w14:textId="77777777" w:rsidR="001353E5" w:rsidRDefault="00231E33">
      <w:pPr>
        <w:pStyle w:val="32"/>
        <w:rPr>
          <w:rFonts w:asciiTheme="minorHAnsi" w:eastAsiaTheme="minorEastAsia" w:hAnsiTheme="minorHAnsi" w:cstheme="minorBidi"/>
          <w:b w:val="0"/>
          <w:noProof/>
          <w:szCs w:val="22"/>
          <w:lang w:eastAsia="en-GB"/>
        </w:rPr>
      </w:pPr>
      <w:hyperlink w:anchor="_Toc67565387" w:history="1">
        <w:r w:rsidR="001353E5" w:rsidRPr="00EB7E77">
          <w:rPr>
            <w:rStyle w:val="-"/>
            <w:noProof/>
          </w:rPr>
          <w:t>8.3.1</w:t>
        </w:r>
        <w:r w:rsidR="001353E5">
          <w:rPr>
            <w:rFonts w:asciiTheme="minorHAnsi" w:eastAsiaTheme="minorEastAsia" w:hAnsiTheme="minorHAnsi" w:cstheme="minorBidi"/>
            <w:b w:val="0"/>
            <w:noProof/>
            <w:szCs w:val="22"/>
            <w:lang w:eastAsia="en-GB"/>
          </w:rPr>
          <w:tab/>
        </w:r>
        <w:r w:rsidR="001353E5" w:rsidRPr="00EB7E77">
          <w:rPr>
            <w:rStyle w:val="-"/>
            <w:noProof/>
          </w:rPr>
          <w:t>General considerations for torsion</w:t>
        </w:r>
        <w:r w:rsidR="001353E5">
          <w:rPr>
            <w:noProof/>
            <w:webHidden/>
          </w:rPr>
          <w:tab/>
        </w:r>
        <w:r w:rsidR="001353E5">
          <w:rPr>
            <w:noProof/>
            <w:webHidden/>
          </w:rPr>
          <w:fldChar w:fldCharType="begin"/>
        </w:r>
        <w:r w:rsidR="001353E5">
          <w:rPr>
            <w:noProof/>
            <w:webHidden/>
          </w:rPr>
          <w:instrText xml:space="preserve"> PAGEREF _Toc67565387 \h </w:instrText>
        </w:r>
        <w:r w:rsidR="001353E5">
          <w:rPr>
            <w:noProof/>
            <w:webHidden/>
          </w:rPr>
        </w:r>
        <w:r w:rsidR="001353E5">
          <w:rPr>
            <w:noProof/>
            <w:webHidden/>
          </w:rPr>
          <w:fldChar w:fldCharType="separate"/>
        </w:r>
        <w:r w:rsidR="000250B6">
          <w:rPr>
            <w:noProof/>
            <w:webHidden/>
          </w:rPr>
          <w:t>128</w:t>
        </w:r>
        <w:r w:rsidR="001353E5">
          <w:rPr>
            <w:noProof/>
            <w:webHidden/>
          </w:rPr>
          <w:fldChar w:fldCharType="end"/>
        </w:r>
      </w:hyperlink>
    </w:p>
    <w:p w14:paraId="488DD740" w14:textId="77777777" w:rsidR="001353E5" w:rsidRDefault="00231E33">
      <w:pPr>
        <w:pStyle w:val="32"/>
        <w:rPr>
          <w:rFonts w:asciiTheme="minorHAnsi" w:eastAsiaTheme="minorEastAsia" w:hAnsiTheme="minorHAnsi" w:cstheme="minorBidi"/>
          <w:b w:val="0"/>
          <w:noProof/>
          <w:szCs w:val="22"/>
          <w:lang w:eastAsia="en-GB"/>
        </w:rPr>
      </w:pPr>
      <w:hyperlink w:anchor="_Toc67565388" w:history="1">
        <w:r w:rsidR="001353E5" w:rsidRPr="00EB7E77">
          <w:rPr>
            <w:rStyle w:val="-"/>
            <w:noProof/>
          </w:rPr>
          <w:t>8.3.2</w:t>
        </w:r>
        <w:r w:rsidR="001353E5">
          <w:rPr>
            <w:rFonts w:asciiTheme="minorHAnsi" w:eastAsiaTheme="minorEastAsia" w:hAnsiTheme="minorHAnsi" w:cstheme="minorBidi"/>
            <w:b w:val="0"/>
            <w:noProof/>
            <w:szCs w:val="22"/>
            <w:lang w:eastAsia="en-GB"/>
          </w:rPr>
          <w:tab/>
        </w:r>
        <w:r w:rsidR="001353E5" w:rsidRPr="00EB7E77">
          <w:rPr>
            <w:rStyle w:val="-"/>
            <w:noProof/>
          </w:rPr>
          <w:t>Internal forces due to torsion in compact or closed sections</w:t>
        </w:r>
        <w:r w:rsidR="001353E5">
          <w:rPr>
            <w:noProof/>
            <w:webHidden/>
          </w:rPr>
          <w:tab/>
        </w:r>
        <w:r w:rsidR="001353E5">
          <w:rPr>
            <w:noProof/>
            <w:webHidden/>
          </w:rPr>
          <w:fldChar w:fldCharType="begin"/>
        </w:r>
        <w:r w:rsidR="001353E5">
          <w:rPr>
            <w:noProof/>
            <w:webHidden/>
          </w:rPr>
          <w:instrText xml:space="preserve"> PAGEREF _Toc67565388 \h </w:instrText>
        </w:r>
        <w:r w:rsidR="001353E5">
          <w:rPr>
            <w:noProof/>
            <w:webHidden/>
          </w:rPr>
        </w:r>
        <w:r w:rsidR="001353E5">
          <w:rPr>
            <w:noProof/>
            <w:webHidden/>
          </w:rPr>
          <w:fldChar w:fldCharType="separate"/>
        </w:r>
        <w:r w:rsidR="000250B6">
          <w:rPr>
            <w:noProof/>
            <w:webHidden/>
          </w:rPr>
          <w:t>128</w:t>
        </w:r>
        <w:r w:rsidR="001353E5">
          <w:rPr>
            <w:noProof/>
            <w:webHidden/>
          </w:rPr>
          <w:fldChar w:fldCharType="end"/>
        </w:r>
      </w:hyperlink>
    </w:p>
    <w:p w14:paraId="04879F0D" w14:textId="77777777" w:rsidR="001353E5" w:rsidRDefault="00231E33">
      <w:pPr>
        <w:pStyle w:val="32"/>
        <w:rPr>
          <w:rFonts w:asciiTheme="minorHAnsi" w:eastAsiaTheme="minorEastAsia" w:hAnsiTheme="minorHAnsi" w:cstheme="minorBidi"/>
          <w:b w:val="0"/>
          <w:noProof/>
          <w:szCs w:val="22"/>
          <w:lang w:eastAsia="en-GB"/>
        </w:rPr>
      </w:pPr>
      <w:hyperlink w:anchor="_Toc67565389" w:history="1">
        <w:r w:rsidR="001353E5" w:rsidRPr="00EB7E77">
          <w:rPr>
            <w:rStyle w:val="-"/>
            <w:noProof/>
          </w:rPr>
          <w:t>8.3.3</w:t>
        </w:r>
        <w:r w:rsidR="001353E5">
          <w:rPr>
            <w:rFonts w:asciiTheme="minorHAnsi" w:eastAsiaTheme="minorEastAsia" w:hAnsiTheme="minorHAnsi" w:cstheme="minorBidi"/>
            <w:b w:val="0"/>
            <w:noProof/>
            <w:szCs w:val="22"/>
            <w:lang w:eastAsia="en-GB"/>
          </w:rPr>
          <w:tab/>
        </w:r>
        <w:r w:rsidR="001353E5" w:rsidRPr="00EB7E77">
          <w:rPr>
            <w:rStyle w:val="-"/>
            <w:noProof/>
          </w:rPr>
          <w:t>Internal forces due to torsion in open sections</w:t>
        </w:r>
        <w:r w:rsidR="001353E5">
          <w:rPr>
            <w:noProof/>
            <w:webHidden/>
          </w:rPr>
          <w:tab/>
        </w:r>
        <w:r w:rsidR="001353E5">
          <w:rPr>
            <w:noProof/>
            <w:webHidden/>
          </w:rPr>
          <w:fldChar w:fldCharType="begin"/>
        </w:r>
        <w:r w:rsidR="001353E5">
          <w:rPr>
            <w:noProof/>
            <w:webHidden/>
          </w:rPr>
          <w:instrText xml:space="preserve"> PAGEREF _Toc67565389 \h </w:instrText>
        </w:r>
        <w:r w:rsidR="001353E5">
          <w:rPr>
            <w:noProof/>
            <w:webHidden/>
          </w:rPr>
        </w:r>
        <w:r w:rsidR="001353E5">
          <w:rPr>
            <w:noProof/>
            <w:webHidden/>
          </w:rPr>
          <w:fldChar w:fldCharType="separate"/>
        </w:r>
        <w:r w:rsidR="000250B6">
          <w:rPr>
            <w:noProof/>
            <w:webHidden/>
          </w:rPr>
          <w:t>129</w:t>
        </w:r>
        <w:r w:rsidR="001353E5">
          <w:rPr>
            <w:noProof/>
            <w:webHidden/>
          </w:rPr>
          <w:fldChar w:fldCharType="end"/>
        </w:r>
      </w:hyperlink>
    </w:p>
    <w:p w14:paraId="61ED5F4E" w14:textId="77777777" w:rsidR="001353E5" w:rsidRDefault="00231E33">
      <w:pPr>
        <w:pStyle w:val="32"/>
        <w:rPr>
          <w:rFonts w:asciiTheme="minorHAnsi" w:eastAsiaTheme="minorEastAsia" w:hAnsiTheme="minorHAnsi" w:cstheme="minorBidi"/>
          <w:b w:val="0"/>
          <w:noProof/>
          <w:szCs w:val="22"/>
          <w:lang w:eastAsia="en-GB"/>
        </w:rPr>
      </w:pPr>
      <w:hyperlink w:anchor="_Toc67565390" w:history="1">
        <w:r w:rsidR="001353E5" w:rsidRPr="00EB7E77">
          <w:rPr>
            <w:rStyle w:val="-"/>
            <w:noProof/>
          </w:rPr>
          <w:t>8.3.4</w:t>
        </w:r>
        <w:r w:rsidR="001353E5">
          <w:rPr>
            <w:rFonts w:asciiTheme="minorHAnsi" w:eastAsiaTheme="minorEastAsia" w:hAnsiTheme="minorHAnsi" w:cstheme="minorBidi"/>
            <w:b w:val="0"/>
            <w:noProof/>
            <w:szCs w:val="22"/>
            <w:lang w:eastAsia="en-GB"/>
          </w:rPr>
          <w:tab/>
        </w:r>
        <w:r w:rsidR="001353E5" w:rsidRPr="00EB7E77">
          <w:rPr>
            <w:rStyle w:val="-"/>
            <w:noProof/>
          </w:rPr>
          <w:t>Torsional resistance of compact or closed sections</w:t>
        </w:r>
        <w:r w:rsidR="001353E5">
          <w:rPr>
            <w:noProof/>
            <w:webHidden/>
          </w:rPr>
          <w:tab/>
        </w:r>
        <w:r w:rsidR="001353E5">
          <w:rPr>
            <w:noProof/>
            <w:webHidden/>
          </w:rPr>
          <w:fldChar w:fldCharType="begin"/>
        </w:r>
        <w:r w:rsidR="001353E5">
          <w:rPr>
            <w:noProof/>
            <w:webHidden/>
          </w:rPr>
          <w:instrText xml:space="preserve"> PAGEREF _Toc67565390 \h </w:instrText>
        </w:r>
        <w:r w:rsidR="001353E5">
          <w:rPr>
            <w:noProof/>
            <w:webHidden/>
          </w:rPr>
        </w:r>
        <w:r w:rsidR="001353E5">
          <w:rPr>
            <w:noProof/>
            <w:webHidden/>
          </w:rPr>
          <w:fldChar w:fldCharType="separate"/>
        </w:r>
        <w:r w:rsidR="000250B6">
          <w:rPr>
            <w:noProof/>
            <w:webHidden/>
          </w:rPr>
          <w:t>130</w:t>
        </w:r>
        <w:r w:rsidR="001353E5">
          <w:rPr>
            <w:noProof/>
            <w:webHidden/>
          </w:rPr>
          <w:fldChar w:fldCharType="end"/>
        </w:r>
      </w:hyperlink>
    </w:p>
    <w:p w14:paraId="6A6E2C45" w14:textId="77777777" w:rsidR="001353E5" w:rsidRDefault="00231E33">
      <w:pPr>
        <w:pStyle w:val="32"/>
        <w:rPr>
          <w:rFonts w:asciiTheme="minorHAnsi" w:eastAsiaTheme="minorEastAsia" w:hAnsiTheme="minorHAnsi" w:cstheme="minorBidi"/>
          <w:b w:val="0"/>
          <w:noProof/>
          <w:szCs w:val="22"/>
          <w:lang w:eastAsia="en-GB"/>
        </w:rPr>
      </w:pPr>
      <w:hyperlink w:anchor="_Toc67565391" w:history="1">
        <w:r w:rsidR="001353E5" w:rsidRPr="00EB7E77">
          <w:rPr>
            <w:rStyle w:val="-"/>
            <w:noProof/>
          </w:rPr>
          <w:t>8.3.5</w:t>
        </w:r>
        <w:r w:rsidR="001353E5">
          <w:rPr>
            <w:rFonts w:asciiTheme="minorHAnsi" w:eastAsiaTheme="minorEastAsia" w:hAnsiTheme="minorHAnsi" w:cstheme="minorBidi"/>
            <w:b w:val="0"/>
            <w:noProof/>
            <w:szCs w:val="22"/>
            <w:lang w:eastAsia="en-GB"/>
          </w:rPr>
          <w:tab/>
        </w:r>
        <w:r w:rsidR="001353E5" w:rsidRPr="00EB7E77">
          <w:rPr>
            <w:rStyle w:val="-"/>
            <w:noProof/>
          </w:rPr>
          <w:t>Design procedure for combination of actions</w:t>
        </w:r>
        <w:r w:rsidR="001353E5">
          <w:rPr>
            <w:noProof/>
            <w:webHidden/>
          </w:rPr>
          <w:tab/>
        </w:r>
        <w:r w:rsidR="001353E5">
          <w:rPr>
            <w:noProof/>
            <w:webHidden/>
          </w:rPr>
          <w:fldChar w:fldCharType="begin"/>
        </w:r>
        <w:r w:rsidR="001353E5">
          <w:rPr>
            <w:noProof/>
            <w:webHidden/>
          </w:rPr>
          <w:instrText xml:space="preserve"> PAGEREF _Toc67565391 \h </w:instrText>
        </w:r>
        <w:r w:rsidR="001353E5">
          <w:rPr>
            <w:noProof/>
            <w:webHidden/>
          </w:rPr>
        </w:r>
        <w:r w:rsidR="001353E5">
          <w:rPr>
            <w:noProof/>
            <w:webHidden/>
          </w:rPr>
          <w:fldChar w:fldCharType="separate"/>
        </w:r>
        <w:r w:rsidR="000250B6">
          <w:rPr>
            <w:noProof/>
            <w:webHidden/>
          </w:rPr>
          <w:t>131</w:t>
        </w:r>
        <w:r w:rsidR="001353E5">
          <w:rPr>
            <w:noProof/>
            <w:webHidden/>
          </w:rPr>
          <w:fldChar w:fldCharType="end"/>
        </w:r>
      </w:hyperlink>
    </w:p>
    <w:p w14:paraId="1FA5335A" w14:textId="77777777" w:rsidR="001353E5" w:rsidRDefault="00231E33">
      <w:pPr>
        <w:pStyle w:val="32"/>
        <w:rPr>
          <w:rFonts w:asciiTheme="minorHAnsi" w:eastAsiaTheme="minorEastAsia" w:hAnsiTheme="minorHAnsi" w:cstheme="minorBidi"/>
          <w:b w:val="0"/>
          <w:noProof/>
          <w:szCs w:val="22"/>
          <w:lang w:eastAsia="en-GB"/>
        </w:rPr>
      </w:pPr>
      <w:hyperlink w:anchor="_Toc67565392" w:history="1">
        <w:r w:rsidR="001353E5" w:rsidRPr="00EB7E77">
          <w:rPr>
            <w:rStyle w:val="-"/>
            <w:noProof/>
          </w:rPr>
          <w:t>8.3.6</w:t>
        </w:r>
        <w:r w:rsidR="001353E5">
          <w:rPr>
            <w:rFonts w:asciiTheme="minorHAnsi" w:eastAsiaTheme="minorEastAsia" w:hAnsiTheme="minorHAnsi" w:cstheme="minorBidi"/>
            <w:b w:val="0"/>
            <w:noProof/>
            <w:szCs w:val="22"/>
            <w:lang w:eastAsia="en-GB"/>
          </w:rPr>
          <w:tab/>
        </w:r>
        <w:r w:rsidR="001353E5" w:rsidRPr="00EB7E77">
          <w:rPr>
            <w:rStyle w:val="-"/>
            <w:noProof/>
          </w:rPr>
          <w:t>Interaction formula</w:t>
        </w:r>
        <w:r w:rsidR="001353E5">
          <w:rPr>
            <w:noProof/>
            <w:webHidden/>
          </w:rPr>
          <w:tab/>
        </w:r>
        <w:r w:rsidR="001353E5">
          <w:rPr>
            <w:noProof/>
            <w:webHidden/>
          </w:rPr>
          <w:fldChar w:fldCharType="begin"/>
        </w:r>
        <w:r w:rsidR="001353E5">
          <w:rPr>
            <w:noProof/>
            <w:webHidden/>
          </w:rPr>
          <w:instrText xml:space="preserve"> PAGEREF _Toc67565392 \h </w:instrText>
        </w:r>
        <w:r w:rsidR="001353E5">
          <w:rPr>
            <w:noProof/>
            <w:webHidden/>
          </w:rPr>
        </w:r>
        <w:r w:rsidR="001353E5">
          <w:rPr>
            <w:noProof/>
            <w:webHidden/>
          </w:rPr>
          <w:fldChar w:fldCharType="separate"/>
        </w:r>
        <w:r w:rsidR="000250B6">
          <w:rPr>
            <w:noProof/>
            <w:webHidden/>
          </w:rPr>
          <w:t>131</w:t>
        </w:r>
        <w:r w:rsidR="001353E5">
          <w:rPr>
            <w:noProof/>
            <w:webHidden/>
          </w:rPr>
          <w:fldChar w:fldCharType="end"/>
        </w:r>
      </w:hyperlink>
    </w:p>
    <w:p w14:paraId="1FAFC6D5" w14:textId="77777777" w:rsidR="001353E5" w:rsidRDefault="00231E33">
      <w:pPr>
        <w:pStyle w:val="22"/>
        <w:rPr>
          <w:rFonts w:asciiTheme="minorHAnsi" w:eastAsiaTheme="minorEastAsia" w:hAnsiTheme="minorHAnsi" w:cstheme="minorBidi"/>
          <w:b w:val="0"/>
          <w:noProof/>
          <w:szCs w:val="22"/>
          <w:lang w:eastAsia="en-GB"/>
        </w:rPr>
      </w:pPr>
      <w:hyperlink w:anchor="_Toc67565393" w:history="1">
        <w:r w:rsidR="001353E5" w:rsidRPr="00EB7E77">
          <w:rPr>
            <w:rStyle w:val="-"/>
            <w:noProof/>
          </w:rPr>
          <w:t>8.4</w:t>
        </w:r>
        <w:r w:rsidR="001353E5">
          <w:rPr>
            <w:rFonts w:asciiTheme="minorHAnsi" w:eastAsiaTheme="minorEastAsia" w:hAnsiTheme="minorHAnsi" w:cstheme="minorBidi"/>
            <w:b w:val="0"/>
            <w:noProof/>
            <w:szCs w:val="22"/>
            <w:lang w:eastAsia="en-GB"/>
          </w:rPr>
          <w:tab/>
        </w:r>
        <w:r w:rsidR="001353E5" w:rsidRPr="00EB7E77">
          <w:rPr>
            <w:rStyle w:val="-"/>
            <w:noProof/>
          </w:rPr>
          <w:t>Punching</w:t>
        </w:r>
        <w:r w:rsidR="001353E5">
          <w:rPr>
            <w:noProof/>
            <w:webHidden/>
          </w:rPr>
          <w:tab/>
        </w:r>
        <w:r w:rsidR="001353E5">
          <w:rPr>
            <w:noProof/>
            <w:webHidden/>
          </w:rPr>
          <w:fldChar w:fldCharType="begin"/>
        </w:r>
        <w:r w:rsidR="001353E5">
          <w:rPr>
            <w:noProof/>
            <w:webHidden/>
          </w:rPr>
          <w:instrText xml:space="preserve"> PAGEREF _Toc67565393 \h </w:instrText>
        </w:r>
        <w:r w:rsidR="001353E5">
          <w:rPr>
            <w:noProof/>
            <w:webHidden/>
          </w:rPr>
        </w:r>
        <w:r w:rsidR="001353E5">
          <w:rPr>
            <w:noProof/>
            <w:webHidden/>
          </w:rPr>
          <w:fldChar w:fldCharType="separate"/>
        </w:r>
        <w:r w:rsidR="000250B6">
          <w:rPr>
            <w:noProof/>
            <w:webHidden/>
          </w:rPr>
          <w:t>131</w:t>
        </w:r>
        <w:r w:rsidR="001353E5">
          <w:rPr>
            <w:noProof/>
            <w:webHidden/>
          </w:rPr>
          <w:fldChar w:fldCharType="end"/>
        </w:r>
      </w:hyperlink>
    </w:p>
    <w:p w14:paraId="356BA9A1" w14:textId="77777777" w:rsidR="001353E5" w:rsidRDefault="00231E33">
      <w:pPr>
        <w:pStyle w:val="32"/>
        <w:rPr>
          <w:rFonts w:asciiTheme="minorHAnsi" w:eastAsiaTheme="minorEastAsia" w:hAnsiTheme="minorHAnsi" w:cstheme="minorBidi"/>
          <w:b w:val="0"/>
          <w:noProof/>
          <w:szCs w:val="22"/>
          <w:lang w:eastAsia="en-GB"/>
        </w:rPr>
      </w:pPr>
      <w:hyperlink w:anchor="_Toc67565394" w:history="1">
        <w:r w:rsidR="001353E5" w:rsidRPr="00EB7E77">
          <w:rPr>
            <w:rStyle w:val="-"/>
            <w:noProof/>
            <w:lang w:eastAsia="de-CH"/>
          </w:rPr>
          <w:t>8.4.1</w:t>
        </w:r>
        <w:r w:rsidR="001353E5">
          <w:rPr>
            <w:rFonts w:asciiTheme="minorHAnsi" w:eastAsiaTheme="minorEastAsia" w:hAnsiTheme="minorHAnsi" w:cstheme="minorBidi"/>
            <w:b w:val="0"/>
            <w:noProof/>
            <w:szCs w:val="22"/>
            <w:lang w:eastAsia="en-GB"/>
          </w:rPr>
          <w:tab/>
        </w:r>
        <w:r w:rsidR="001353E5" w:rsidRPr="00EB7E77">
          <w:rPr>
            <w:rStyle w:val="-"/>
            <w:noProof/>
          </w:rPr>
          <w:t>General</w:t>
        </w:r>
        <w:r w:rsidR="001353E5">
          <w:rPr>
            <w:noProof/>
            <w:webHidden/>
          </w:rPr>
          <w:tab/>
        </w:r>
        <w:r w:rsidR="001353E5">
          <w:rPr>
            <w:noProof/>
            <w:webHidden/>
          </w:rPr>
          <w:fldChar w:fldCharType="begin"/>
        </w:r>
        <w:r w:rsidR="001353E5">
          <w:rPr>
            <w:noProof/>
            <w:webHidden/>
          </w:rPr>
          <w:instrText xml:space="preserve"> PAGEREF _Toc67565394 \h </w:instrText>
        </w:r>
        <w:r w:rsidR="001353E5">
          <w:rPr>
            <w:noProof/>
            <w:webHidden/>
          </w:rPr>
        </w:r>
        <w:r w:rsidR="001353E5">
          <w:rPr>
            <w:noProof/>
            <w:webHidden/>
          </w:rPr>
          <w:fldChar w:fldCharType="separate"/>
        </w:r>
        <w:r w:rsidR="000250B6">
          <w:rPr>
            <w:noProof/>
            <w:webHidden/>
          </w:rPr>
          <w:t>131</w:t>
        </w:r>
        <w:r w:rsidR="001353E5">
          <w:rPr>
            <w:noProof/>
            <w:webHidden/>
          </w:rPr>
          <w:fldChar w:fldCharType="end"/>
        </w:r>
      </w:hyperlink>
    </w:p>
    <w:p w14:paraId="7E574D91" w14:textId="77777777" w:rsidR="001353E5" w:rsidRDefault="00231E33">
      <w:pPr>
        <w:pStyle w:val="32"/>
        <w:rPr>
          <w:rFonts w:asciiTheme="minorHAnsi" w:eastAsiaTheme="minorEastAsia" w:hAnsiTheme="minorHAnsi" w:cstheme="minorBidi"/>
          <w:b w:val="0"/>
          <w:noProof/>
          <w:szCs w:val="22"/>
          <w:lang w:eastAsia="en-GB"/>
        </w:rPr>
      </w:pPr>
      <w:hyperlink w:anchor="_Toc67565395" w:history="1">
        <w:r w:rsidR="001353E5" w:rsidRPr="00EB7E77">
          <w:rPr>
            <w:rStyle w:val="-"/>
            <w:noProof/>
          </w:rPr>
          <w:t>8.4.2</w:t>
        </w:r>
        <w:r w:rsidR="001353E5">
          <w:rPr>
            <w:rFonts w:asciiTheme="minorHAnsi" w:eastAsiaTheme="minorEastAsia" w:hAnsiTheme="minorHAnsi" w:cstheme="minorBidi"/>
            <w:b w:val="0"/>
            <w:noProof/>
            <w:szCs w:val="22"/>
            <w:lang w:eastAsia="en-GB"/>
          </w:rPr>
          <w:tab/>
        </w:r>
        <w:r w:rsidR="001353E5" w:rsidRPr="00EB7E77">
          <w:rPr>
            <w:rStyle w:val="-"/>
            <w:noProof/>
          </w:rPr>
          <w:t>Shear-resisting effective depth, control perimeter and shear stress</w:t>
        </w:r>
        <w:r w:rsidR="001353E5">
          <w:rPr>
            <w:noProof/>
            <w:webHidden/>
          </w:rPr>
          <w:tab/>
        </w:r>
        <w:r w:rsidR="001353E5">
          <w:rPr>
            <w:noProof/>
            <w:webHidden/>
          </w:rPr>
          <w:fldChar w:fldCharType="begin"/>
        </w:r>
        <w:r w:rsidR="001353E5">
          <w:rPr>
            <w:noProof/>
            <w:webHidden/>
          </w:rPr>
          <w:instrText xml:space="preserve"> PAGEREF _Toc67565395 \h </w:instrText>
        </w:r>
        <w:r w:rsidR="001353E5">
          <w:rPr>
            <w:noProof/>
            <w:webHidden/>
          </w:rPr>
        </w:r>
        <w:r w:rsidR="001353E5">
          <w:rPr>
            <w:noProof/>
            <w:webHidden/>
          </w:rPr>
          <w:fldChar w:fldCharType="separate"/>
        </w:r>
        <w:r w:rsidR="000250B6">
          <w:rPr>
            <w:noProof/>
            <w:webHidden/>
          </w:rPr>
          <w:t>132</w:t>
        </w:r>
        <w:r w:rsidR="001353E5">
          <w:rPr>
            <w:noProof/>
            <w:webHidden/>
          </w:rPr>
          <w:fldChar w:fldCharType="end"/>
        </w:r>
      </w:hyperlink>
    </w:p>
    <w:p w14:paraId="7647A9D6" w14:textId="77777777" w:rsidR="001353E5" w:rsidRDefault="00231E33">
      <w:pPr>
        <w:pStyle w:val="32"/>
        <w:rPr>
          <w:rFonts w:asciiTheme="minorHAnsi" w:eastAsiaTheme="minorEastAsia" w:hAnsiTheme="minorHAnsi" w:cstheme="minorBidi"/>
          <w:b w:val="0"/>
          <w:noProof/>
          <w:szCs w:val="22"/>
          <w:lang w:eastAsia="en-GB"/>
        </w:rPr>
      </w:pPr>
      <w:hyperlink w:anchor="_Toc67565396" w:history="1">
        <w:r w:rsidR="001353E5" w:rsidRPr="00EB7E77">
          <w:rPr>
            <w:rStyle w:val="-"/>
            <w:noProof/>
          </w:rPr>
          <w:t>8.4.3</w:t>
        </w:r>
        <w:r w:rsidR="001353E5">
          <w:rPr>
            <w:rFonts w:asciiTheme="minorHAnsi" w:eastAsiaTheme="minorEastAsia" w:hAnsiTheme="minorHAnsi" w:cstheme="minorBidi"/>
            <w:b w:val="0"/>
            <w:noProof/>
            <w:szCs w:val="22"/>
            <w:lang w:eastAsia="en-GB"/>
          </w:rPr>
          <w:tab/>
        </w:r>
        <w:r w:rsidR="001353E5" w:rsidRPr="00EB7E77">
          <w:rPr>
            <w:rStyle w:val="-"/>
            <w:noProof/>
          </w:rPr>
          <w:t>Punching shear resistance of slabs without shear reinforcement</w:t>
        </w:r>
        <w:r w:rsidR="001353E5">
          <w:rPr>
            <w:noProof/>
            <w:webHidden/>
          </w:rPr>
          <w:tab/>
        </w:r>
        <w:r w:rsidR="001353E5">
          <w:rPr>
            <w:noProof/>
            <w:webHidden/>
          </w:rPr>
          <w:fldChar w:fldCharType="begin"/>
        </w:r>
        <w:r w:rsidR="001353E5">
          <w:rPr>
            <w:noProof/>
            <w:webHidden/>
          </w:rPr>
          <w:instrText xml:space="preserve"> PAGEREF _Toc67565396 \h </w:instrText>
        </w:r>
        <w:r w:rsidR="001353E5">
          <w:rPr>
            <w:noProof/>
            <w:webHidden/>
          </w:rPr>
        </w:r>
        <w:r w:rsidR="001353E5">
          <w:rPr>
            <w:noProof/>
            <w:webHidden/>
          </w:rPr>
          <w:fldChar w:fldCharType="separate"/>
        </w:r>
        <w:r w:rsidR="000250B6">
          <w:rPr>
            <w:noProof/>
            <w:webHidden/>
          </w:rPr>
          <w:t>136</w:t>
        </w:r>
        <w:r w:rsidR="001353E5">
          <w:rPr>
            <w:noProof/>
            <w:webHidden/>
          </w:rPr>
          <w:fldChar w:fldCharType="end"/>
        </w:r>
      </w:hyperlink>
    </w:p>
    <w:p w14:paraId="364B61D1" w14:textId="77777777" w:rsidR="001353E5" w:rsidRDefault="00231E33">
      <w:pPr>
        <w:pStyle w:val="32"/>
        <w:rPr>
          <w:rFonts w:asciiTheme="minorHAnsi" w:eastAsiaTheme="minorEastAsia" w:hAnsiTheme="minorHAnsi" w:cstheme="minorBidi"/>
          <w:b w:val="0"/>
          <w:noProof/>
          <w:szCs w:val="22"/>
          <w:lang w:eastAsia="en-GB"/>
        </w:rPr>
      </w:pPr>
      <w:hyperlink w:anchor="_Toc67565397" w:history="1">
        <w:r w:rsidR="001353E5" w:rsidRPr="00EB7E77">
          <w:rPr>
            <w:rStyle w:val="-"/>
            <w:noProof/>
          </w:rPr>
          <w:t>8.4.4</w:t>
        </w:r>
        <w:r w:rsidR="001353E5">
          <w:rPr>
            <w:rFonts w:asciiTheme="minorHAnsi" w:eastAsiaTheme="minorEastAsia" w:hAnsiTheme="minorHAnsi" w:cstheme="minorBidi"/>
            <w:b w:val="0"/>
            <w:noProof/>
            <w:szCs w:val="22"/>
            <w:lang w:eastAsia="en-GB"/>
          </w:rPr>
          <w:tab/>
        </w:r>
        <w:r w:rsidR="001353E5" w:rsidRPr="00EB7E77">
          <w:rPr>
            <w:rStyle w:val="-"/>
            <w:noProof/>
          </w:rPr>
          <w:t>Punching shear resistance of slabs with shear reinforcement</w:t>
        </w:r>
        <w:r w:rsidR="001353E5">
          <w:rPr>
            <w:noProof/>
            <w:webHidden/>
          </w:rPr>
          <w:tab/>
        </w:r>
        <w:r w:rsidR="001353E5">
          <w:rPr>
            <w:noProof/>
            <w:webHidden/>
          </w:rPr>
          <w:fldChar w:fldCharType="begin"/>
        </w:r>
        <w:r w:rsidR="001353E5">
          <w:rPr>
            <w:noProof/>
            <w:webHidden/>
          </w:rPr>
          <w:instrText xml:space="preserve"> PAGEREF _Toc67565397 \h </w:instrText>
        </w:r>
        <w:r w:rsidR="001353E5">
          <w:rPr>
            <w:noProof/>
            <w:webHidden/>
          </w:rPr>
        </w:r>
        <w:r w:rsidR="001353E5">
          <w:rPr>
            <w:noProof/>
            <w:webHidden/>
          </w:rPr>
          <w:fldChar w:fldCharType="separate"/>
        </w:r>
        <w:r w:rsidR="000250B6">
          <w:rPr>
            <w:noProof/>
            <w:webHidden/>
          </w:rPr>
          <w:t>138</w:t>
        </w:r>
        <w:r w:rsidR="001353E5">
          <w:rPr>
            <w:noProof/>
            <w:webHidden/>
          </w:rPr>
          <w:fldChar w:fldCharType="end"/>
        </w:r>
      </w:hyperlink>
    </w:p>
    <w:p w14:paraId="04F45822" w14:textId="77777777" w:rsidR="001353E5" w:rsidRDefault="00231E33">
      <w:pPr>
        <w:pStyle w:val="22"/>
        <w:rPr>
          <w:rFonts w:asciiTheme="minorHAnsi" w:eastAsiaTheme="minorEastAsia" w:hAnsiTheme="minorHAnsi" w:cstheme="minorBidi"/>
          <w:b w:val="0"/>
          <w:noProof/>
          <w:szCs w:val="22"/>
          <w:lang w:eastAsia="en-GB"/>
        </w:rPr>
      </w:pPr>
      <w:hyperlink w:anchor="_Toc67565398" w:history="1">
        <w:r w:rsidR="001353E5" w:rsidRPr="00EB7E77">
          <w:rPr>
            <w:rStyle w:val="-"/>
            <w:noProof/>
          </w:rPr>
          <w:t>8.5</w:t>
        </w:r>
        <w:r w:rsidR="001353E5">
          <w:rPr>
            <w:rFonts w:asciiTheme="minorHAnsi" w:eastAsiaTheme="minorEastAsia" w:hAnsiTheme="minorHAnsi" w:cstheme="minorBidi"/>
            <w:b w:val="0"/>
            <w:noProof/>
            <w:szCs w:val="22"/>
            <w:lang w:eastAsia="en-GB"/>
          </w:rPr>
          <w:tab/>
        </w:r>
        <w:r w:rsidR="001353E5" w:rsidRPr="00EB7E77">
          <w:rPr>
            <w:rStyle w:val="-"/>
            <w:noProof/>
          </w:rPr>
          <w:t>Design with strut-and-tie models and stress fields</w:t>
        </w:r>
        <w:r w:rsidR="001353E5">
          <w:rPr>
            <w:noProof/>
            <w:webHidden/>
          </w:rPr>
          <w:tab/>
        </w:r>
        <w:r w:rsidR="001353E5">
          <w:rPr>
            <w:noProof/>
            <w:webHidden/>
          </w:rPr>
          <w:fldChar w:fldCharType="begin"/>
        </w:r>
        <w:r w:rsidR="001353E5">
          <w:rPr>
            <w:noProof/>
            <w:webHidden/>
          </w:rPr>
          <w:instrText xml:space="preserve"> PAGEREF _Toc67565398 \h </w:instrText>
        </w:r>
        <w:r w:rsidR="001353E5">
          <w:rPr>
            <w:noProof/>
            <w:webHidden/>
          </w:rPr>
        </w:r>
        <w:r w:rsidR="001353E5">
          <w:rPr>
            <w:noProof/>
            <w:webHidden/>
          </w:rPr>
          <w:fldChar w:fldCharType="separate"/>
        </w:r>
        <w:r w:rsidR="000250B6">
          <w:rPr>
            <w:noProof/>
            <w:webHidden/>
          </w:rPr>
          <w:t>140</w:t>
        </w:r>
        <w:r w:rsidR="001353E5">
          <w:rPr>
            <w:noProof/>
            <w:webHidden/>
          </w:rPr>
          <w:fldChar w:fldCharType="end"/>
        </w:r>
      </w:hyperlink>
    </w:p>
    <w:p w14:paraId="2CE5D596" w14:textId="77777777" w:rsidR="001353E5" w:rsidRDefault="00231E33">
      <w:pPr>
        <w:pStyle w:val="32"/>
        <w:rPr>
          <w:rFonts w:asciiTheme="minorHAnsi" w:eastAsiaTheme="minorEastAsia" w:hAnsiTheme="minorHAnsi" w:cstheme="minorBidi"/>
          <w:b w:val="0"/>
          <w:noProof/>
          <w:szCs w:val="22"/>
          <w:lang w:eastAsia="en-GB"/>
        </w:rPr>
      </w:pPr>
      <w:hyperlink w:anchor="_Toc67565399" w:history="1">
        <w:r w:rsidR="001353E5" w:rsidRPr="00EB7E77">
          <w:rPr>
            <w:rStyle w:val="-"/>
            <w:noProof/>
          </w:rPr>
          <w:t>8.5.1</w:t>
        </w:r>
        <w:r w:rsidR="001353E5">
          <w:rPr>
            <w:rFonts w:asciiTheme="minorHAnsi" w:eastAsiaTheme="minorEastAsia" w:hAnsiTheme="minorHAnsi" w:cstheme="minorBidi"/>
            <w:b w:val="0"/>
            <w:noProof/>
            <w:szCs w:val="22"/>
            <w:lang w:eastAsia="en-GB"/>
          </w:rPr>
          <w:tab/>
        </w:r>
        <w:r w:rsidR="001353E5" w:rsidRPr="00EB7E77">
          <w:rPr>
            <w:rStyle w:val="-"/>
            <w:noProof/>
          </w:rPr>
          <w:t>General</w:t>
        </w:r>
        <w:r w:rsidR="001353E5">
          <w:rPr>
            <w:noProof/>
            <w:webHidden/>
          </w:rPr>
          <w:tab/>
        </w:r>
        <w:r w:rsidR="001353E5">
          <w:rPr>
            <w:noProof/>
            <w:webHidden/>
          </w:rPr>
          <w:fldChar w:fldCharType="begin"/>
        </w:r>
        <w:r w:rsidR="001353E5">
          <w:rPr>
            <w:noProof/>
            <w:webHidden/>
          </w:rPr>
          <w:instrText xml:space="preserve"> PAGEREF _Toc67565399 \h </w:instrText>
        </w:r>
        <w:r w:rsidR="001353E5">
          <w:rPr>
            <w:noProof/>
            <w:webHidden/>
          </w:rPr>
        </w:r>
        <w:r w:rsidR="001353E5">
          <w:rPr>
            <w:noProof/>
            <w:webHidden/>
          </w:rPr>
          <w:fldChar w:fldCharType="separate"/>
        </w:r>
        <w:r w:rsidR="000250B6">
          <w:rPr>
            <w:noProof/>
            <w:webHidden/>
          </w:rPr>
          <w:t>140</w:t>
        </w:r>
        <w:r w:rsidR="001353E5">
          <w:rPr>
            <w:noProof/>
            <w:webHidden/>
          </w:rPr>
          <w:fldChar w:fldCharType="end"/>
        </w:r>
      </w:hyperlink>
    </w:p>
    <w:p w14:paraId="083FAF0A" w14:textId="77777777" w:rsidR="001353E5" w:rsidRDefault="00231E33">
      <w:pPr>
        <w:pStyle w:val="32"/>
        <w:rPr>
          <w:rFonts w:asciiTheme="minorHAnsi" w:eastAsiaTheme="minorEastAsia" w:hAnsiTheme="minorHAnsi" w:cstheme="minorBidi"/>
          <w:b w:val="0"/>
          <w:noProof/>
          <w:szCs w:val="22"/>
          <w:lang w:eastAsia="en-GB"/>
        </w:rPr>
      </w:pPr>
      <w:hyperlink w:anchor="_Toc67565400" w:history="1">
        <w:r w:rsidR="001353E5" w:rsidRPr="00EB7E77">
          <w:rPr>
            <w:rStyle w:val="-"/>
            <w:noProof/>
          </w:rPr>
          <w:t>8.5.2</w:t>
        </w:r>
        <w:r w:rsidR="001353E5">
          <w:rPr>
            <w:rFonts w:asciiTheme="minorHAnsi" w:eastAsiaTheme="minorEastAsia" w:hAnsiTheme="minorHAnsi" w:cstheme="minorBidi"/>
            <w:b w:val="0"/>
            <w:noProof/>
            <w:szCs w:val="22"/>
            <w:lang w:eastAsia="en-GB"/>
          </w:rPr>
          <w:tab/>
        </w:r>
        <w:r w:rsidR="001353E5" w:rsidRPr="00EB7E77">
          <w:rPr>
            <w:rStyle w:val="-"/>
            <w:noProof/>
          </w:rPr>
          <w:t>Struts and compression fields</w:t>
        </w:r>
        <w:r w:rsidR="001353E5">
          <w:rPr>
            <w:noProof/>
            <w:webHidden/>
          </w:rPr>
          <w:tab/>
        </w:r>
        <w:r w:rsidR="001353E5">
          <w:rPr>
            <w:noProof/>
            <w:webHidden/>
          </w:rPr>
          <w:fldChar w:fldCharType="begin"/>
        </w:r>
        <w:r w:rsidR="001353E5">
          <w:rPr>
            <w:noProof/>
            <w:webHidden/>
          </w:rPr>
          <w:instrText xml:space="preserve"> PAGEREF _Toc67565400 \h </w:instrText>
        </w:r>
        <w:r w:rsidR="001353E5">
          <w:rPr>
            <w:noProof/>
            <w:webHidden/>
          </w:rPr>
        </w:r>
        <w:r w:rsidR="001353E5">
          <w:rPr>
            <w:noProof/>
            <w:webHidden/>
          </w:rPr>
          <w:fldChar w:fldCharType="separate"/>
        </w:r>
        <w:r w:rsidR="000250B6">
          <w:rPr>
            <w:noProof/>
            <w:webHidden/>
          </w:rPr>
          <w:t>142</w:t>
        </w:r>
        <w:r w:rsidR="001353E5">
          <w:rPr>
            <w:noProof/>
            <w:webHidden/>
          </w:rPr>
          <w:fldChar w:fldCharType="end"/>
        </w:r>
      </w:hyperlink>
    </w:p>
    <w:p w14:paraId="0E2ADA6B" w14:textId="77777777" w:rsidR="001353E5" w:rsidRDefault="00231E33">
      <w:pPr>
        <w:pStyle w:val="32"/>
        <w:rPr>
          <w:rFonts w:asciiTheme="minorHAnsi" w:eastAsiaTheme="minorEastAsia" w:hAnsiTheme="minorHAnsi" w:cstheme="minorBidi"/>
          <w:b w:val="0"/>
          <w:noProof/>
          <w:szCs w:val="22"/>
          <w:lang w:eastAsia="en-GB"/>
        </w:rPr>
      </w:pPr>
      <w:hyperlink w:anchor="_Toc67565401" w:history="1">
        <w:r w:rsidR="001353E5" w:rsidRPr="00EB7E77">
          <w:rPr>
            <w:rStyle w:val="-"/>
            <w:noProof/>
          </w:rPr>
          <w:t>8.5.3</w:t>
        </w:r>
        <w:r w:rsidR="001353E5">
          <w:rPr>
            <w:rFonts w:asciiTheme="minorHAnsi" w:eastAsiaTheme="minorEastAsia" w:hAnsiTheme="minorHAnsi" w:cstheme="minorBidi"/>
            <w:b w:val="0"/>
            <w:noProof/>
            <w:szCs w:val="22"/>
            <w:lang w:eastAsia="en-GB"/>
          </w:rPr>
          <w:tab/>
        </w:r>
        <w:r w:rsidR="001353E5" w:rsidRPr="00EB7E77">
          <w:rPr>
            <w:rStyle w:val="-"/>
            <w:noProof/>
          </w:rPr>
          <w:t>Ties</w:t>
        </w:r>
        <w:r w:rsidR="001353E5">
          <w:rPr>
            <w:noProof/>
            <w:webHidden/>
          </w:rPr>
          <w:tab/>
        </w:r>
        <w:r w:rsidR="001353E5">
          <w:rPr>
            <w:noProof/>
            <w:webHidden/>
          </w:rPr>
          <w:fldChar w:fldCharType="begin"/>
        </w:r>
        <w:r w:rsidR="001353E5">
          <w:rPr>
            <w:noProof/>
            <w:webHidden/>
          </w:rPr>
          <w:instrText xml:space="preserve"> PAGEREF _Toc67565401 \h </w:instrText>
        </w:r>
        <w:r w:rsidR="001353E5">
          <w:rPr>
            <w:noProof/>
            <w:webHidden/>
          </w:rPr>
        </w:r>
        <w:r w:rsidR="001353E5">
          <w:rPr>
            <w:noProof/>
            <w:webHidden/>
          </w:rPr>
          <w:fldChar w:fldCharType="separate"/>
        </w:r>
        <w:r w:rsidR="000250B6">
          <w:rPr>
            <w:noProof/>
            <w:webHidden/>
          </w:rPr>
          <w:t>144</w:t>
        </w:r>
        <w:r w:rsidR="001353E5">
          <w:rPr>
            <w:noProof/>
            <w:webHidden/>
          </w:rPr>
          <w:fldChar w:fldCharType="end"/>
        </w:r>
      </w:hyperlink>
    </w:p>
    <w:p w14:paraId="1D09EECD" w14:textId="77777777" w:rsidR="001353E5" w:rsidRDefault="00231E33">
      <w:pPr>
        <w:pStyle w:val="32"/>
        <w:rPr>
          <w:rFonts w:asciiTheme="minorHAnsi" w:eastAsiaTheme="minorEastAsia" w:hAnsiTheme="minorHAnsi" w:cstheme="minorBidi"/>
          <w:b w:val="0"/>
          <w:noProof/>
          <w:szCs w:val="22"/>
          <w:lang w:eastAsia="en-GB"/>
        </w:rPr>
      </w:pPr>
      <w:hyperlink w:anchor="_Toc67565402" w:history="1">
        <w:r w:rsidR="001353E5" w:rsidRPr="00EB7E77">
          <w:rPr>
            <w:rStyle w:val="-"/>
            <w:noProof/>
          </w:rPr>
          <w:t>8.5.4</w:t>
        </w:r>
        <w:r w:rsidR="001353E5">
          <w:rPr>
            <w:rFonts w:asciiTheme="minorHAnsi" w:eastAsiaTheme="minorEastAsia" w:hAnsiTheme="minorHAnsi" w:cstheme="minorBidi"/>
            <w:b w:val="0"/>
            <w:noProof/>
            <w:szCs w:val="22"/>
            <w:lang w:eastAsia="en-GB"/>
          </w:rPr>
          <w:tab/>
        </w:r>
        <w:r w:rsidR="001353E5" w:rsidRPr="00EB7E77">
          <w:rPr>
            <w:rStyle w:val="-"/>
            <w:noProof/>
          </w:rPr>
          <w:t>Nodes</w:t>
        </w:r>
        <w:r w:rsidR="001353E5">
          <w:rPr>
            <w:noProof/>
            <w:webHidden/>
          </w:rPr>
          <w:tab/>
        </w:r>
        <w:r w:rsidR="001353E5">
          <w:rPr>
            <w:noProof/>
            <w:webHidden/>
          </w:rPr>
          <w:fldChar w:fldCharType="begin"/>
        </w:r>
        <w:r w:rsidR="001353E5">
          <w:rPr>
            <w:noProof/>
            <w:webHidden/>
          </w:rPr>
          <w:instrText xml:space="preserve"> PAGEREF _Toc67565402 \h </w:instrText>
        </w:r>
        <w:r w:rsidR="001353E5">
          <w:rPr>
            <w:noProof/>
            <w:webHidden/>
          </w:rPr>
        </w:r>
        <w:r w:rsidR="001353E5">
          <w:rPr>
            <w:noProof/>
            <w:webHidden/>
          </w:rPr>
          <w:fldChar w:fldCharType="separate"/>
        </w:r>
        <w:r w:rsidR="000250B6">
          <w:rPr>
            <w:noProof/>
            <w:webHidden/>
          </w:rPr>
          <w:t>144</w:t>
        </w:r>
        <w:r w:rsidR="001353E5">
          <w:rPr>
            <w:noProof/>
            <w:webHidden/>
          </w:rPr>
          <w:fldChar w:fldCharType="end"/>
        </w:r>
      </w:hyperlink>
    </w:p>
    <w:p w14:paraId="211ADD3B" w14:textId="77777777" w:rsidR="001353E5" w:rsidRDefault="00231E33">
      <w:pPr>
        <w:pStyle w:val="32"/>
        <w:rPr>
          <w:rFonts w:asciiTheme="minorHAnsi" w:eastAsiaTheme="minorEastAsia" w:hAnsiTheme="minorHAnsi" w:cstheme="minorBidi"/>
          <w:b w:val="0"/>
          <w:noProof/>
          <w:szCs w:val="22"/>
          <w:lang w:eastAsia="en-GB"/>
        </w:rPr>
      </w:pPr>
      <w:hyperlink w:anchor="_Toc67565403" w:history="1">
        <w:r w:rsidR="001353E5" w:rsidRPr="00EB7E77">
          <w:rPr>
            <w:rStyle w:val="-"/>
            <w:noProof/>
          </w:rPr>
          <w:t>8.5.5</w:t>
        </w:r>
        <w:r w:rsidR="001353E5">
          <w:rPr>
            <w:rFonts w:asciiTheme="minorHAnsi" w:eastAsiaTheme="minorEastAsia" w:hAnsiTheme="minorHAnsi" w:cstheme="minorBidi"/>
            <w:b w:val="0"/>
            <w:noProof/>
            <w:szCs w:val="22"/>
            <w:lang w:eastAsia="en-GB"/>
          </w:rPr>
          <w:tab/>
        </w:r>
        <w:r w:rsidR="001353E5" w:rsidRPr="00EB7E77">
          <w:rPr>
            <w:rStyle w:val="-"/>
            <w:noProof/>
          </w:rPr>
          <w:t>Spreading of struts</w:t>
        </w:r>
        <w:r w:rsidR="001353E5">
          <w:rPr>
            <w:noProof/>
            <w:webHidden/>
          </w:rPr>
          <w:tab/>
        </w:r>
        <w:r w:rsidR="001353E5">
          <w:rPr>
            <w:noProof/>
            <w:webHidden/>
          </w:rPr>
          <w:fldChar w:fldCharType="begin"/>
        </w:r>
        <w:r w:rsidR="001353E5">
          <w:rPr>
            <w:noProof/>
            <w:webHidden/>
          </w:rPr>
          <w:instrText xml:space="preserve"> PAGEREF _Toc67565403 \h </w:instrText>
        </w:r>
        <w:r w:rsidR="001353E5">
          <w:rPr>
            <w:noProof/>
            <w:webHidden/>
          </w:rPr>
        </w:r>
        <w:r w:rsidR="001353E5">
          <w:rPr>
            <w:noProof/>
            <w:webHidden/>
          </w:rPr>
          <w:fldChar w:fldCharType="separate"/>
        </w:r>
        <w:r w:rsidR="000250B6">
          <w:rPr>
            <w:noProof/>
            <w:webHidden/>
          </w:rPr>
          <w:t>147</w:t>
        </w:r>
        <w:r w:rsidR="001353E5">
          <w:rPr>
            <w:noProof/>
            <w:webHidden/>
          </w:rPr>
          <w:fldChar w:fldCharType="end"/>
        </w:r>
      </w:hyperlink>
    </w:p>
    <w:p w14:paraId="1EA5E119" w14:textId="77777777" w:rsidR="001353E5" w:rsidRDefault="00231E33">
      <w:pPr>
        <w:pStyle w:val="22"/>
        <w:rPr>
          <w:rFonts w:asciiTheme="minorHAnsi" w:eastAsiaTheme="minorEastAsia" w:hAnsiTheme="minorHAnsi" w:cstheme="minorBidi"/>
          <w:b w:val="0"/>
          <w:noProof/>
          <w:szCs w:val="22"/>
          <w:lang w:eastAsia="en-GB"/>
        </w:rPr>
      </w:pPr>
      <w:hyperlink w:anchor="_Toc67565404" w:history="1">
        <w:r w:rsidR="001353E5" w:rsidRPr="00EB7E77">
          <w:rPr>
            <w:rStyle w:val="-"/>
            <w:noProof/>
          </w:rPr>
          <w:t>8.6</w:t>
        </w:r>
        <w:r w:rsidR="001353E5">
          <w:rPr>
            <w:rFonts w:asciiTheme="minorHAnsi" w:eastAsiaTheme="minorEastAsia" w:hAnsiTheme="minorHAnsi" w:cstheme="minorBidi"/>
            <w:b w:val="0"/>
            <w:noProof/>
            <w:szCs w:val="22"/>
            <w:lang w:eastAsia="en-GB"/>
          </w:rPr>
          <w:tab/>
        </w:r>
        <w:r w:rsidR="001353E5" w:rsidRPr="00EB7E77">
          <w:rPr>
            <w:rStyle w:val="-"/>
            <w:noProof/>
          </w:rPr>
          <w:t>Partially loaded areas</w:t>
        </w:r>
        <w:r w:rsidR="001353E5">
          <w:rPr>
            <w:noProof/>
            <w:webHidden/>
          </w:rPr>
          <w:tab/>
        </w:r>
        <w:r w:rsidR="001353E5">
          <w:rPr>
            <w:noProof/>
            <w:webHidden/>
          </w:rPr>
          <w:fldChar w:fldCharType="begin"/>
        </w:r>
        <w:r w:rsidR="001353E5">
          <w:rPr>
            <w:noProof/>
            <w:webHidden/>
          </w:rPr>
          <w:instrText xml:space="preserve"> PAGEREF _Toc67565404 \h </w:instrText>
        </w:r>
        <w:r w:rsidR="001353E5">
          <w:rPr>
            <w:noProof/>
            <w:webHidden/>
          </w:rPr>
        </w:r>
        <w:r w:rsidR="001353E5">
          <w:rPr>
            <w:noProof/>
            <w:webHidden/>
          </w:rPr>
          <w:fldChar w:fldCharType="separate"/>
        </w:r>
        <w:r w:rsidR="000250B6">
          <w:rPr>
            <w:noProof/>
            <w:webHidden/>
          </w:rPr>
          <w:t>149</w:t>
        </w:r>
        <w:r w:rsidR="001353E5">
          <w:rPr>
            <w:noProof/>
            <w:webHidden/>
          </w:rPr>
          <w:fldChar w:fldCharType="end"/>
        </w:r>
      </w:hyperlink>
    </w:p>
    <w:p w14:paraId="5CB94C8E" w14:textId="77777777" w:rsidR="001353E5" w:rsidRDefault="00231E33">
      <w:pPr>
        <w:pStyle w:val="10"/>
        <w:rPr>
          <w:rFonts w:asciiTheme="minorHAnsi" w:eastAsiaTheme="minorEastAsia" w:hAnsiTheme="minorHAnsi" w:cstheme="minorBidi"/>
          <w:b w:val="0"/>
          <w:noProof/>
          <w:szCs w:val="22"/>
          <w:lang w:eastAsia="en-GB"/>
        </w:rPr>
      </w:pPr>
      <w:hyperlink w:anchor="_Toc67565405" w:history="1">
        <w:r w:rsidR="001353E5" w:rsidRPr="00EB7E77">
          <w:rPr>
            <w:rStyle w:val="-"/>
            <w:noProof/>
          </w:rPr>
          <w:t>9</w:t>
        </w:r>
        <w:r w:rsidR="001353E5">
          <w:rPr>
            <w:rFonts w:asciiTheme="minorHAnsi" w:eastAsiaTheme="minorEastAsia" w:hAnsiTheme="minorHAnsi" w:cstheme="minorBidi"/>
            <w:b w:val="0"/>
            <w:noProof/>
            <w:szCs w:val="22"/>
            <w:lang w:eastAsia="en-GB"/>
          </w:rPr>
          <w:tab/>
        </w:r>
        <w:r w:rsidR="001353E5" w:rsidRPr="00EB7E77">
          <w:rPr>
            <w:rStyle w:val="-"/>
            <w:noProof/>
          </w:rPr>
          <w:t>Serviceability Limit States (SLS)</w:t>
        </w:r>
        <w:r w:rsidR="001353E5">
          <w:rPr>
            <w:noProof/>
            <w:webHidden/>
          </w:rPr>
          <w:tab/>
        </w:r>
        <w:r w:rsidR="001353E5">
          <w:rPr>
            <w:noProof/>
            <w:webHidden/>
          </w:rPr>
          <w:fldChar w:fldCharType="begin"/>
        </w:r>
        <w:r w:rsidR="001353E5">
          <w:rPr>
            <w:noProof/>
            <w:webHidden/>
          </w:rPr>
          <w:instrText xml:space="preserve"> PAGEREF _Toc67565405 \h </w:instrText>
        </w:r>
        <w:r w:rsidR="001353E5">
          <w:rPr>
            <w:noProof/>
            <w:webHidden/>
          </w:rPr>
        </w:r>
        <w:r w:rsidR="001353E5">
          <w:rPr>
            <w:noProof/>
            <w:webHidden/>
          </w:rPr>
          <w:fldChar w:fldCharType="separate"/>
        </w:r>
        <w:r w:rsidR="000250B6">
          <w:rPr>
            <w:noProof/>
            <w:webHidden/>
          </w:rPr>
          <w:t>152</w:t>
        </w:r>
        <w:r w:rsidR="001353E5">
          <w:rPr>
            <w:noProof/>
            <w:webHidden/>
          </w:rPr>
          <w:fldChar w:fldCharType="end"/>
        </w:r>
      </w:hyperlink>
    </w:p>
    <w:p w14:paraId="4BBAC092" w14:textId="77777777" w:rsidR="001353E5" w:rsidRDefault="00231E33">
      <w:pPr>
        <w:pStyle w:val="22"/>
        <w:rPr>
          <w:rFonts w:asciiTheme="minorHAnsi" w:eastAsiaTheme="minorEastAsia" w:hAnsiTheme="minorHAnsi" w:cstheme="minorBidi"/>
          <w:b w:val="0"/>
          <w:noProof/>
          <w:szCs w:val="22"/>
          <w:lang w:eastAsia="en-GB"/>
        </w:rPr>
      </w:pPr>
      <w:hyperlink w:anchor="_Toc67565406" w:history="1">
        <w:r w:rsidR="001353E5" w:rsidRPr="00EB7E77">
          <w:rPr>
            <w:rStyle w:val="-"/>
            <w:noProof/>
          </w:rPr>
          <w:t>9.1</w:t>
        </w:r>
        <w:r w:rsidR="001353E5">
          <w:rPr>
            <w:rFonts w:asciiTheme="minorHAnsi" w:eastAsiaTheme="minorEastAsia" w:hAnsiTheme="minorHAnsi" w:cstheme="minorBidi"/>
            <w:b w:val="0"/>
            <w:noProof/>
            <w:szCs w:val="22"/>
            <w:lang w:eastAsia="en-GB"/>
          </w:rPr>
          <w:tab/>
        </w:r>
        <w:r w:rsidR="001353E5" w:rsidRPr="00EB7E77">
          <w:rPr>
            <w:rStyle w:val="-"/>
            <w:noProof/>
          </w:rPr>
          <w:t>General</w:t>
        </w:r>
        <w:r w:rsidR="001353E5">
          <w:rPr>
            <w:noProof/>
            <w:webHidden/>
          </w:rPr>
          <w:tab/>
        </w:r>
        <w:r w:rsidR="001353E5">
          <w:rPr>
            <w:noProof/>
            <w:webHidden/>
          </w:rPr>
          <w:fldChar w:fldCharType="begin"/>
        </w:r>
        <w:r w:rsidR="001353E5">
          <w:rPr>
            <w:noProof/>
            <w:webHidden/>
          </w:rPr>
          <w:instrText xml:space="preserve"> PAGEREF _Toc67565406 \h </w:instrText>
        </w:r>
        <w:r w:rsidR="001353E5">
          <w:rPr>
            <w:noProof/>
            <w:webHidden/>
          </w:rPr>
        </w:r>
        <w:r w:rsidR="001353E5">
          <w:rPr>
            <w:noProof/>
            <w:webHidden/>
          </w:rPr>
          <w:fldChar w:fldCharType="separate"/>
        </w:r>
        <w:r w:rsidR="000250B6">
          <w:rPr>
            <w:noProof/>
            <w:webHidden/>
          </w:rPr>
          <w:t>152</w:t>
        </w:r>
        <w:r w:rsidR="001353E5">
          <w:rPr>
            <w:noProof/>
            <w:webHidden/>
          </w:rPr>
          <w:fldChar w:fldCharType="end"/>
        </w:r>
      </w:hyperlink>
    </w:p>
    <w:p w14:paraId="567A8AD6" w14:textId="77777777" w:rsidR="001353E5" w:rsidRDefault="00231E33">
      <w:pPr>
        <w:pStyle w:val="22"/>
        <w:rPr>
          <w:rFonts w:asciiTheme="minorHAnsi" w:eastAsiaTheme="minorEastAsia" w:hAnsiTheme="minorHAnsi" w:cstheme="minorBidi"/>
          <w:b w:val="0"/>
          <w:noProof/>
          <w:szCs w:val="22"/>
          <w:lang w:eastAsia="en-GB"/>
        </w:rPr>
      </w:pPr>
      <w:hyperlink w:anchor="_Toc67565407" w:history="1">
        <w:r w:rsidR="001353E5" w:rsidRPr="00EB7E77">
          <w:rPr>
            <w:rStyle w:val="-"/>
            <w:noProof/>
          </w:rPr>
          <w:t>9.2</w:t>
        </w:r>
        <w:r w:rsidR="001353E5">
          <w:rPr>
            <w:rFonts w:asciiTheme="minorHAnsi" w:eastAsiaTheme="minorEastAsia" w:hAnsiTheme="minorHAnsi" w:cstheme="minorBidi"/>
            <w:b w:val="0"/>
            <w:noProof/>
            <w:szCs w:val="22"/>
            <w:lang w:eastAsia="en-GB"/>
          </w:rPr>
          <w:tab/>
        </w:r>
        <w:r w:rsidR="001353E5" w:rsidRPr="00EB7E77">
          <w:rPr>
            <w:rStyle w:val="-"/>
            <w:noProof/>
          </w:rPr>
          <w:t>Crack control</w:t>
        </w:r>
        <w:r w:rsidR="001353E5">
          <w:rPr>
            <w:noProof/>
            <w:webHidden/>
          </w:rPr>
          <w:tab/>
        </w:r>
        <w:r w:rsidR="001353E5">
          <w:rPr>
            <w:noProof/>
            <w:webHidden/>
          </w:rPr>
          <w:fldChar w:fldCharType="begin"/>
        </w:r>
        <w:r w:rsidR="001353E5">
          <w:rPr>
            <w:noProof/>
            <w:webHidden/>
          </w:rPr>
          <w:instrText xml:space="preserve"> PAGEREF _Toc67565407 \h </w:instrText>
        </w:r>
        <w:r w:rsidR="001353E5">
          <w:rPr>
            <w:noProof/>
            <w:webHidden/>
          </w:rPr>
        </w:r>
        <w:r w:rsidR="001353E5">
          <w:rPr>
            <w:noProof/>
            <w:webHidden/>
          </w:rPr>
          <w:fldChar w:fldCharType="separate"/>
        </w:r>
        <w:r w:rsidR="000250B6">
          <w:rPr>
            <w:noProof/>
            <w:webHidden/>
          </w:rPr>
          <w:t>152</w:t>
        </w:r>
        <w:r w:rsidR="001353E5">
          <w:rPr>
            <w:noProof/>
            <w:webHidden/>
          </w:rPr>
          <w:fldChar w:fldCharType="end"/>
        </w:r>
      </w:hyperlink>
    </w:p>
    <w:p w14:paraId="362D1FDD" w14:textId="77777777" w:rsidR="001353E5" w:rsidRDefault="00231E33">
      <w:pPr>
        <w:pStyle w:val="32"/>
        <w:rPr>
          <w:rFonts w:asciiTheme="minorHAnsi" w:eastAsiaTheme="minorEastAsia" w:hAnsiTheme="minorHAnsi" w:cstheme="minorBidi"/>
          <w:b w:val="0"/>
          <w:noProof/>
          <w:szCs w:val="22"/>
          <w:lang w:eastAsia="en-GB"/>
        </w:rPr>
      </w:pPr>
      <w:hyperlink w:anchor="_Toc67565408" w:history="1">
        <w:r w:rsidR="001353E5" w:rsidRPr="00EB7E77">
          <w:rPr>
            <w:rStyle w:val="-"/>
            <w:noProof/>
          </w:rPr>
          <w:t>9.2.1</w:t>
        </w:r>
        <w:r w:rsidR="001353E5">
          <w:rPr>
            <w:rFonts w:asciiTheme="minorHAnsi" w:eastAsiaTheme="minorEastAsia" w:hAnsiTheme="minorHAnsi" w:cstheme="minorBidi"/>
            <w:b w:val="0"/>
            <w:noProof/>
            <w:szCs w:val="22"/>
            <w:lang w:eastAsia="en-GB"/>
          </w:rPr>
          <w:tab/>
        </w:r>
        <w:r w:rsidR="001353E5" w:rsidRPr="00EB7E77">
          <w:rPr>
            <w:rStyle w:val="-"/>
            <w:noProof/>
          </w:rPr>
          <w:t>General considerations</w:t>
        </w:r>
        <w:r w:rsidR="001353E5">
          <w:rPr>
            <w:noProof/>
            <w:webHidden/>
          </w:rPr>
          <w:tab/>
        </w:r>
        <w:r w:rsidR="001353E5">
          <w:rPr>
            <w:noProof/>
            <w:webHidden/>
          </w:rPr>
          <w:fldChar w:fldCharType="begin"/>
        </w:r>
        <w:r w:rsidR="001353E5">
          <w:rPr>
            <w:noProof/>
            <w:webHidden/>
          </w:rPr>
          <w:instrText xml:space="preserve"> PAGEREF _Toc67565408 \h </w:instrText>
        </w:r>
        <w:r w:rsidR="001353E5">
          <w:rPr>
            <w:noProof/>
            <w:webHidden/>
          </w:rPr>
        </w:r>
        <w:r w:rsidR="001353E5">
          <w:rPr>
            <w:noProof/>
            <w:webHidden/>
          </w:rPr>
          <w:fldChar w:fldCharType="separate"/>
        </w:r>
        <w:r w:rsidR="000250B6">
          <w:rPr>
            <w:noProof/>
            <w:webHidden/>
          </w:rPr>
          <w:t>152</w:t>
        </w:r>
        <w:r w:rsidR="001353E5">
          <w:rPr>
            <w:noProof/>
            <w:webHidden/>
          </w:rPr>
          <w:fldChar w:fldCharType="end"/>
        </w:r>
      </w:hyperlink>
    </w:p>
    <w:p w14:paraId="7C2C3F3E" w14:textId="77777777" w:rsidR="001353E5" w:rsidRDefault="00231E33">
      <w:pPr>
        <w:pStyle w:val="32"/>
        <w:rPr>
          <w:rFonts w:asciiTheme="minorHAnsi" w:eastAsiaTheme="minorEastAsia" w:hAnsiTheme="minorHAnsi" w:cstheme="minorBidi"/>
          <w:b w:val="0"/>
          <w:noProof/>
          <w:szCs w:val="22"/>
          <w:lang w:eastAsia="en-GB"/>
        </w:rPr>
      </w:pPr>
      <w:hyperlink w:anchor="_Toc67565409" w:history="1">
        <w:r w:rsidR="001353E5" w:rsidRPr="00EB7E77">
          <w:rPr>
            <w:rStyle w:val="-"/>
            <w:noProof/>
          </w:rPr>
          <w:t>9.2.2</w:t>
        </w:r>
        <w:r w:rsidR="001353E5">
          <w:rPr>
            <w:rFonts w:asciiTheme="minorHAnsi" w:eastAsiaTheme="minorEastAsia" w:hAnsiTheme="minorHAnsi" w:cstheme="minorBidi"/>
            <w:b w:val="0"/>
            <w:noProof/>
            <w:szCs w:val="22"/>
            <w:lang w:eastAsia="en-GB"/>
          </w:rPr>
          <w:tab/>
        </w:r>
        <w:r w:rsidR="001353E5" w:rsidRPr="00EB7E77">
          <w:rPr>
            <w:rStyle w:val="-"/>
            <w:noProof/>
          </w:rPr>
          <w:t>Minimum reinforcement areas for crack control</w:t>
        </w:r>
        <w:r w:rsidR="001353E5">
          <w:rPr>
            <w:noProof/>
            <w:webHidden/>
          </w:rPr>
          <w:tab/>
        </w:r>
        <w:r w:rsidR="001353E5">
          <w:rPr>
            <w:noProof/>
            <w:webHidden/>
          </w:rPr>
          <w:fldChar w:fldCharType="begin"/>
        </w:r>
        <w:r w:rsidR="001353E5">
          <w:rPr>
            <w:noProof/>
            <w:webHidden/>
          </w:rPr>
          <w:instrText xml:space="preserve"> PAGEREF _Toc67565409 \h </w:instrText>
        </w:r>
        <w:r w:rsidR="001353E5">
          <w:rPr>
            <w:noProof/>
            <w:webHidden/>
          </w:rPr>
        </w:r>
        <w:r w:rsidR="001353E5">
          <w:rPr>
            <w:noProof/>
            <w:webHidden/>
          </w:rPr>
          <w:fldChar w:fldCharType="separate"/>
        </w:r>
        <w:r w:rsidR="000250B6">
          <w:rPr>
            <w:noProof/>
            <w:webHidden/>
          </w:rPr>
          <w:t>157</w:t>
        </w:r>
        <w:r w:rsidR="001353E5">
          <w:rPr>
            <w:noProof/>
            <w:webHidden/>
          </w:rPr>
          <w:fldChar w:fldCharType="end"/>
        </w:r>
      </w:hyperlink>
    </w:p>
    <w:p w14:paraId="4883252F" w14:textId="77777777" w:rsidR="001353E5" w:rsidRDefault="00231E33">
      <w:pPr>
        <w:pStyle w:val="32"/>
        <w:rPr>
          <w:rFonts w:asciiTheme="minorHAnsi" w:eastAsiaTheme="minorEastAsia" w:hAnsiTheme="minorHAnsi" w:cstheme="minorBidi"/>
          <w:b w:val="0"/>
          <w:noProof/>
          <w:szCs w:val="22"/>
          <w:lang w:eastAsia="en-GB"/>
        </w:rPr>
      </w:pPr>
      <w:hyperlink w:anchor="_Toc67565410" w:history="1">
        <w:r w:rsidR="001353E5" w:rsidRPr="00EB7E77">
          <w:rPr>
            <w:rStyle w:val="-"/>
            <w:noProof/>
          </w:rPr>
          <w:t>9.2.3</w:t>
        </w:r>
        <w:r w:rsidR="001353E5">
          <w:rPr>
            <w:rFonts w:asciiTheme="minorHAnsi" w:eastAsiaTheme="minorEastAsia" w:hAnsiTheme="minorHAnsi" w:cstheme="minorBidi"/>
            <w:b w:val="0"/>
            <w:noProof/>
            <w:szCs w:val="22"/>
            <w:lang w:eastAsia="en-GB"/>
          </w:rPr>
          <w:tab/>
        </w:r>
        <w:r w:rsidR="001353E5" w:rsidRPr="00EB7E77">
          <w:rPr>
            <w:rStyle w:val="-"/>
            <w:noProof/>
          </w:rPr>
          <w:t>Simplified control of cracking</w:t>
        </w:r>
        <w:r w:rsidR="001353E5">
          <w:rPr>
            <w:noProof/>
            <w:webHidden/>
          </w:rPr>
          <w:tab/>
        </w:r>
        <w:r w:rsidR="001353E5">
          <w:rPr>
            <w:noProof/>
            <w:webHidden/>
          </w:rPr>
          <w:fldChar w:fldCharType="begin"/>
        </w:r>
        <w:r w:rsidR="001353E5">
          <w:rPr>
            <w:noProof/>
            <w:webHidden/>
          </w:rPr>
          <w:instrText xml:space="preserve"> PAGEREF _Toc67565410 \h </w:instrText>
        </w:r>
        <w:r w:rsidR="001353E5">
          <w:rPr>
            <w:noProof/>
            <w:webHidden/>
          </w:rPr>
        </w:r>
        <w:r w:rsidR="001353E5">
          <w:rPr>
            <w:noProof/>
            <w:webHidden/>
          </w:rPr>
          <w:fldChar w:fldCharType="separate"/>
        </w:r>
        <w:r w:rsidR="000250B6">
          <w:rPr>
            <w:noProof/>
            <w:webHidden/>
          </w:rPr>
          <w:t>159</w:t>
        </w:r>
        <w:r w:rsidR="001353E5">
          <w:rPr>
            <w:noProof/>
            <w:webHidden/>
          </w:rPr>
          <w:fldChar w:fldCharType="end"/>
        </w:r>
      </w:hyperlink>
    </w:p>
    <w:p w14:paraId="6A36590F" w14:textId="77777777" w:rsidR="001353E5" w:rsidRDefault="00231E33">
      <w:pPr>
        <w:pStyle w:val="32"/>
        <w:rPr>
          <w:rFonts w:asciiTheme="minorHAnsi" w:eastAsiaTheme="minorEastAsia" w:hAnsiTheme="minorHAnsi" w:cstheme="minorBidi"/>
          <w:b w:val="0"/>
          <w:noProof/>
          <w:szCs w:val="22"/>
          <w:lang w:eastAsia="en-GB"/>
        </w:rPr>
      </w:pPr>
      <w:hyperlink w:anchor="_Toc67565411" w:history="1">
        <w:r w:rsidR="001353E5" w:rsidRPr="00EB7E77">
          <w:rPr>
            <w:rStyle w:val="-"/>
            <w:noProof/>
          </w:rPr>
          <w:t>9.2.4</w:t>
        </w:r>
        <w:r w:rsidR="001353E5">
          <w:rPr>
            <w:rFonts w:asciiTheme="minorHAnsi" w:eastAsiaTheme="minorEastAsia" w:hAnsiTheme="minorHAnsi" w:cstheme="minorBidi"/>
            <w:b w:val="0"/>
            <w:noProof/>
            <w:szCs w:val="22"/>
            <w:lang w:eastAsia="en-GB"/>
          </w:rPr>
          <w:tab/>
        </w:r>
        <w:r w:rsidR="001353E5" w:rsidRPr="00EB7E77">
          <w:rPr>
            <w:rStyle w:val="-"/>
            <w:noProof/>
          </w:rPr>
          <w:t>Refined control of cracking</w:t>
        </w:r>
        <w:r w:rsidR="001353E5">
          <w:rPr>
            <w:noProof/>
            <w:webHidden/>
          </w:rPr>
          <w:tab/>
        </w:r>
        <w:r w:rsidR="001353E5">
          <w:rPr>
            <w:noProof/>
            <w:webHidden/>
          </w:rPr>
          <w:fldChar w:fldCharType="begin"/>
        </w:r>
        <w:r w:rsidR="001353E5">
          <w:rPr>
            <w:noProof/>
            <w:webHidden/>
          </w:rPr>
          <w:instrText xml:space="preserve"> PAGEREF _Toc67565411 \h </w:instrText>
        </w:r>
        <w:r w:rsidR="001353E5">
          <w:rPr>
            <w:noProof/>
            <w:webHidden/>
          </w:rPr>
        </w:r>
        <w:r w:rsidR="001353E5">
          <w:rPr>
            <w:noProof/>
            <w:webHidden/>
          </w:rPr>
          <w:fldChar w:fldCharType="separate"/>
        </w:r>
        <w:r w:rsidR="000250B6">
          <w:rPr>
            <w:noProof/>
            <w:webHidden/>
          </w:rPr>
          <w:t>160</w:t>
        </w:r>
        <w:r w:rsidR="001353E5">
          <w:rPr>
            <w:noProof/>
            <w:webHidden/>
          </w:rPr>
          <w:fldChar w:fldCharType="end"/>
        </w:r>
      </w:hyperlink>
    </w:p>
    <w:p w14:paraId="42037E40" w14:textId="77777777" w:rsidR="001353E5" w:rsidRDefault="00231E33">
      <w:pPr>
        <w:pStyle w:val="22"/>
        <w:rPr>
          <w:rFonts w:asciiTheme="minorHAnsi" w:eastAsiaTheme="minorEastAsia" w:hAnsiTheme="minorHAnsi" w:cstheme="minorBidi"/>
          <w:b w:val="0"/>
          <w:noProof/>
          <w:szCs w:val="22"/>
          <w:lang w:eastAsia="en-GB"/>
        </w:rPr>
      </w:pPr>
      <w:hyperlink w:anchor="_Toc67565412" w:history="1">
        <w:r w:rsidR="001353E5" w:rsidRPr="00EB7E77">
          <w:rPr>
            <w:rStyle w:val="-"/>
            <w:noProof/>
          </w:rPr>
          <w:t>9.3</w:t>
        </w:r>
        <w:r w:rsidR="001353E5">
          <w:rPr>
            <w:rFonts w:asciiTheme="minorHAnsi" w:eastAsiaTheme="minorEastAsia" w:hAnsiTheme="minorHAnsi" w:cstheme="minorBidi"/>
            <w:b w:val="0"/>
            <w:noProof/>
            <w:szCs w:val="22"/>
            <w:lang w:eastAsia="en-GB"/>
          </w:rPr>
          <w:tab/>
        </w:r>
        <w:r w:rsidR="001353E5" w:rsidRPr="00EB7E77">
          <w:rPr>
            <w:rStyle w:val="-"/>
            <w:noProof/>
          </w:rPr>
          <w:t>Deflection control</w:t>
        </w:r>
        <w:r w:rsidR="001353E5">
          <w:rPr>
            <w:noProof/>
            <w:webHidden/>
          </w:rPr>
          <w:tab/>
        </w:r>
        <w:r w:rsidR="001353E5">
          <w:rPr>
            <w:noProof/>
            <w:webHidden/>
          </w:rPr>
          <w:fldChar w:fldCharType="begin"/>
        </w:r>
        <w:r w:rsidR="001353E5">
          <w:rPr>
            <w:noProof/>
            <w:webHidden/>
          </w:rPr>
          <w:instrText xml:space="preserve"> PAGEREF _Toc67565412 \h </w:instrText>
        </w:r>
        <w:r w:rsidR="001353E5">
          <w:rPr>
            <w:noProof/>
            <w:webHidden/>
          </w:rPr>
        </w:r>
        <w:r w:rsidR="001353E5">
          <w:rPr>
            <w:noProof/>
            <w:webHidden/>
          </w:rPr>
          <w:fldChar w:fldCharType="separate"/>
        </w:r>
        <w:r w:rsidR="000250B6">
          <w:rPr>
            <w:noProof/>
            <w:webHidden/>
          </w:rPr>
          <w:t>164</w:t>
        </w:r>
        <w:r w:rsidR="001353E5">
          <w:rPr>
            <w:noProof/>
            <w:webHidden/>
          </w:rPr>
          <w:fldChar w:fldCharType="end"/>
        </w:r>
      </w:hyperlink>
    </w:p>
    <w:p w14:paraId="1B0F2303" w14:textId="77777777" w:rsidR="001353E5" w:rsidRDefault="00231E33">
      <w:pPr>
        <w:pStyle w:val="32"/>
        <w:rPr>
          <w:rFonts w:asciiTheme="minorHAnsi" w:eastAsiaTheme="minorEastAsia" w:hAnsiTheme="minorHAnsi" w:cstheme="minorBidi"/>
          <w:b w:val="0"/>
          <w:noProof/>
          <w:szCs w:val="22"/>
          <w:lang w:eastAsia="en-GB"/>
        </w:rPr>
      </w:pPr>
      <w:hyperlink w:anchor="_Toc67565413" w:history="1">
        <w:r w:rsidR="001353E5" w:rsidRPr="00EB7E77">
          <w:rPr>
            <w:rStyle w:val="-"/>
            <w:noProof/>
          </w:rPr>
          <w:t>9.3.1</w:t>
        </w:r>
        <w:r w:rsidR="001353E5">
          <w:rPr>
            <w:rFonts w:asciiTheme="minorHAnsi" w:eastAsiaTheme="minorEastAsia" w:hAnsiTheme="minorHAnsi" w:cstheme="minorBidi"/>
            <w:b w:val="0"/>
            <w:noProof/>
            <w:szCs w:val="22"/>
            <w:lang w:eastAsia="en-GB"/>
          </w:rPr>
          <w:tab/>
        </w:r>
        <w:r w:rsidR="001353E5" w:rsidRPr="00EB7E77">
          <w:rPr>
            <w:rStyle w:val="-"/>
            <w:noProof/>
          </w:rPr>
          <w:t>General consideration</w:t>
        </w:r>
        <w:r w:rsidR="001353E5">
          <w:rPr>
            <w:noProof/>
            <w:webHidden/>
          </w:rPr>
          <w:tab/>
        </w:r>
        <w:r w:rsidR="001353E5">
          <w:rPr>
            <w:noProof/>
            <w:webHidden/>
          </w:rPr>
          <w:fldChar w:fldCharType="begin"/>
        </w:r>
        <w:r w:rsidR="001353E5">
          <w:rPr>
            <w:noProof/>
            <w:webHidden/>
          </w:rPr>
          <w:instrText xml:space="preserve"> PAGEREF _Toc67565413 \h </w:instrText>
        </w:r>
        <w:r w:rsidR="001353E5">
          <w:rPr>
            <w:noProof/>
            <w:webHidden/>
          </w:rPr>
        </w:r>
        <w:r w:rsidR="001353E5">
          <w:rPr>
            <w:noProof/>
            <w:webHidden/>
          </w:rPr>
          <w:fldChar w:fldCharType="separate"/>
        </w:r>
        <w:r w:rsidR="000250B6">
          <w:rPr>
            <w:noProof/>
            <w:webHidden/>
          </w:rPr>
          <w:t>164</w:t>
        </w:r>
        <w:r w:rsidR="001353E5">
          <w:rPr>
            <w:noProof/>
            <w:webHidden/>
          </w:rPr>
          <w:fldChar w:fldCharType="end"/>
        </w:r>
      </w:hyperlink>
    </w:p>
    <w:p w14:paraId="2EBEE1B0" w14:textId="77777777" w:rsidR="001353E5" w:rsidRDefault="00231E33">
      <w:pPr>
        <w:pStyle w:val="32"/>
        <w:rPr>
          <w:rFonts w:asciiTheme="minorHAnsi" w:eastAsiaTheme="minorEastAsia" w:hAnsiTheme="minorHAnsi" w:cstheme="minorBidi"/>
          <w:b w:val="0"/>
          <w:noProof/>
          <w:szCs w:val="22"/>
          <w:lang w:eastAsia="en-GB"/>
        </w:rPr>
      </w:pPr>
      <w:hyperlink w:anchor="_Toc67565414" w:history="1">
        <w:r w:rsidR="001353E5" w:rsidRPr="00EB7E77">
          <w:rPr>
            <w:rStyle w:val="-"/>
            <w:noProof/>
          </w:rPr>
          <w:t>9.3.2</w:t>
        </w:r>
        <w:r w:rsidR="001353E5">
          <w:rPr>
            <w:rFonts w:asciiTheme="minorHAnsi" w:eastAsiaTheme="minorEastAsia" w:hAnsiTheme="minorHAnsi" w:cstheme="minorBidi"/>
            <w:b w:val="0"/>
            <w:noProof/>
            <w:szCs w:val="22"/>
            <w:lang w:eastAsia="en-GB"/>
          </w:rPr>
          <w:tab/>
        </w:r>
        <w:r w:rsidR="001353E5" w:rsidRPr="00EB7E77">
          <w:rPr>
            <w:rStyle w:val="-"/>
            <w:noProof/>
          </w:rPr>
          <w:t>Simplified deflection control by span/depth-ratio</w:t>
        </w:r>
        <w:r w:rsidR="001353E5">
          <w:rPr>
            <w:noProof/>
            <w:webHidden/>
          </w:rPr>
          <w:tab/>
        </w:r>
        <w:r w:rsidR="001353E5">
          <w:rPr>
            <w:noProof/>
            <w:webHidden/>
          </w:rPr>
          <w:fldChar w:fldCharType="begin"/>
        </w:r>
        <w:r w:rsidR="001353E5">
          <w:rPr>
            <w:noProof/>
            <w:webHidden/>
          </w:rPr>
          <w:instrText xml:space="preserve"> PAGEREF _Toc67565414 \h </w:instrText>
        </w:r>
        <w:r w:rsidR="001353E5">
          <w:rPr>
            <w:noProof/>
            <w:webHidden/>
          </w:rPr>
        </w:r>
        <w:r w:rsidR="001353E5">
          <w:rPr>
            <w:noProof/>
            <w:webHidden/>
          </w:rPr>
          <w:fldChar w:fldCharType="separate"/>
        </w:r>
        <w:r w:rsidR="000250B6">
          <w:rPr>
            <w:noProof/>
            <w:webHidden/>
          </w:rPr>
          <w:t>164</w:t>
        </w:r>
        <w:r w:rsidR="001353E5">
          <w:rPr>
            <w:noProof/>
            <w:webHidden/>
          </w:rPr>
          <w:fldChar w:fldCharType="end"/>
        </w:r>
      </w:hyperlink>
    </w:p>
    <w:p w14:paraId="6BE4EE3B" w14:textId="77777777" w:rsidR="001353E5" w:rsidRDefault="00231E33">
      <w:pPr>
        <w:pStyle w:val="32"/>
        <w:rPr>
          <w:rFonts w:asciiTheme="minorHAnsi" w:eastAsiaTheme="minorEastAsia" w:hAnsiTheme="minorHAnsi" w:cstheme="minorBidi"/>
          <w:b w:val="0"/>
          <w:noProof/>
          <w:szCs w:val="22"/>
          <w:lang w:eastAsia="en-GB"/>
        </w:rPr>
      </w:pPr>
      <w:hyperlink w:anchor="_Toc67565415" w:history="1">
        <w:r w:rsidR="001353E5" w:rsidRPr="00EB7E77">
          <w:rPr>
            <w:rStyle w:val="-"/>
            <w:noProof/>
          </w:rPr>
          <w:t>9.3.3</w:t>
        </w:r>
        <w:r w:rsidR="001353E5">
          <w:rPr>
            <w:rFonts w:asciiTheme="minorHAnsi" w:eastAsiaTheme="minorEastAsia" w:hAnsiTheme="minorHAnsi" w:cstheme="minorBidi"/>
            <w:b w:val="0"/>
            <w:noProof/>
            <w:szCs w:val="22"/>
            <w:lang w:eastAsia="en-GB"/>
          </w:rPr>
          <w:tab/>
        </w:r>
        <w:r w:rsidR="001353E5" w:rsidRPr="00EB7E77">
          <w:rPr>
            <w:rStyle w:val="-"/>
            <w:noProof/>
          </w:rPr>
          <w:t>Simplified calculation of long-term deflections for reinforced concrete building structures</w:t>
        </w:r>
        <w:r w:rsidR="001353E5">
          <w:rPr>
            <w:noProof/>
            <w:webHidden/>
          </w:rPr>
          <w:tab/>
        </w:r>
        <w:r w:rsidR="001353E5">
          <w:rPr>
            <w:noProof/>
            <w:webHidden/>
          </w:rPr>
          <w:fldChar w:fldCharType="begin"/>
        </w:r>
        <w:r w:rsidR="001353E5">
          <w:rPr>
            <w:noProof/>
            <w:webHidden/>
          </w:rPr>
          <w:instrText xml:space="preserve"> PAGEREF _Toc67565415 \h </w:instrText>
        </w:r>
        <w:r w:rsidR="001353E5">
          <w:rPr>
            <w:noProof/>
            <w:webHidden/>
          </w:rPr>
        </w:r>
        <w:r w:rsidR="001353E5">
          <w:rPr>
            <w:noProof/>
            <w:webHidden/>
          </w:rPr>
          <w:fldChar w:fldCharType="separate"/>
        </w:r>
        <w:r w:rsidR="000250B6">
          <w:rPr>
            <w:noProof/>
            <w:webHidden/>
          </w:rPr>
          <w:t>166</w:t>
        </w:r>
        <w:r w:rsidR="001353E5">
          <w:rPr>
            <w:noProof/>
            <w:webHidden/>
          </w:rPr>
          <w:fldChar w:fldCharType="end"/>
        </w:r>
      </w:hyperlink>
    </w:p>
    <w:p w14:paraId="489450B5" w14:textId="77777777" w:rsidR="001353E5" w:rsidRDefault="00231E33">
      <w:pPr>
        <w:pStyle w:val="32"/>
        <w:rPr>
          <w:rFonts w:asciiTheme="minorHAnsi" w:eastAsiaTheme="minorEastAsia" w:hAnsiTheme="minorHAnsi" w:cstheme="minorBidi"/>
          <w:b w:val="0"/>
          <w:noProof/>
          <w:szCs w:val="22"/>
          <w:lang w:eastAsia="en-GB"/>
        </w:rPr>
      </w:pPr>
      <w:hyperlink w:anchor="_Toc67565416" w:history="1">
        <w:r w:rsidR="001353E5" w:rsidRPr="00EB7E77">
          <w:rPr>
            <w:rStyle w:val="-"/>
            <w:noProof/>
          </w:rPr>
          <w:t>9.3.4</w:t>
        </w:r>
        <w:r w:rsidR="001353E5">
          <w:rPr>
            <w:rFonts w:asciiTheme="minorHAnsi" w:eastAsiaTheme="minorEastAsia" w:hAnsiTheme="minorHAnsi" w:cstheme="minorBidi"/>
            <w:b w:val="0"/>
            <w:noProof/>
            <w:szCs w:val="22"/>
            <w:lang w:eastAsia="en-GB"/>
          </w:rPr>
          <w:tab/>
        </w:r>
        <w:r w:rsidR="001353E5" w:rsidRPr="00EB7E77">
          <w:rPr>
            <w:rStyle w:val="-"/>
            <w:noProof/>
          </w:rPr>
          <w:t>General method for deflection calculations</w:t>
        </w:r>
        <w:r w:rsidR="001353E5">
          <w:rPr>
            <w:noProof/>
            <w:webHidden/>
          </w:rPr>
          <w:tab/>
        </w:r>
        <w:r w:rsidR="001353E5">
          <w:rPr>
            <w:noProof/>
            <w:webHidden/>
          </w:rPr>
          <w:fldChar w:fldCharType="begin"/>
        </w:r>
        <w:r w:rsidR="001353E5">
          <w:rPr>
            <w:noProof/>
            <w:webHidden/>
          </w:rPr>
          <w:instrText xml:space="preserve"> PAGEREF _Toc67565416 \h </w:instrText>
        </w:r>
        <w:r w:rsidR="001353E5">
          <w:rPr>
            <w:noProof/>
            <w:webHidden/>
          </w:rPr>
        </w:r>
        <w:r w:rsidR="001353E5">
          <w:rPr>
            <w:noProof/>
            <w:webHidden/>
          </w:rPr>
          <w:fldChar w:fldCharType="separate"/>
        </w:r>
        <w:r w:rsidR="000250B6">
          <w:rPr>
            <w:noProof/>
            <w:webHidden/>
          </w:rPr>
          <w:t>167</w:t>
        </w:r>
        <w:r w:rsidR="001353E5">
          <w:rPr>
            <w:noProof/>
            <w:webHidden/>
          </w:rPr>
          <w:fldChar w:fldCharType="end"/>
        </w:r>
      </w:hyperlink>
    </w:p>
    <w:p w14:paraId="7CE91295" w14:textId="77777777" w:rsidR="001353E5" w:rsidRDefault="00231E33">
      <w:pPr>
        <w:pStyle w:val="22"/>
        <w:rPr>
          <w:rFonts w:asciiTheme="minorHAnsi" w:eastAsiaTheme="minorEastAsia" w:hAnsiTheme="minorHAnsi" w:cstheme="minorBidi"/>
          <w:b w:val="0"/>
          <w:noProof/>
          <w:szCs w:val="22"/>
          <w:lang w:eastAsia="en-GB"/>
        </w:rPr>
      </w:pPr>
      <w:hyperlink w:anchor="_Toc67565417" w:history="1">
        <w:r w:rsidR="001353E5" w:rsidRPr="00EB7E77">
          <w:rPr>
            <w:rStyle w:val="-"/>
            <w:rFonts w:eastAsiaTheme="minorHAnsi"/>
            <w:noProof/>
          </w:rPr>
          <w:t>9.4</w:t>
        </w:r>
        <w:r w:rsidR="001353E5">
          <w:rPr>
            <w:rFonts w:asciiTheme="minorHAnsi" w:eastAsiaTheme="minorEastAsia" w:hAnsiTheme="minorHAnsi" w:cstheme="minorBidi"/>
            <w:b w:val="0"/>
            <w:noProof/>
            <w:szCs w:val="22"/>
            <w:lang w:eastAsia="en-GB"/>
          </w:rPr>
          <w:tab/>
        </w:r>
        <w:r w:rsidR="001353E5" w:rsidRPr="00EB7E77">
          <w:rPr>
            <w:rStyle w:val="-"/>
            <w:noProof/>
          </w:rPr>
          <w:t>Vibrations</w:t>
        </w:r>
        <w:r w:rsidR="001353E5">
          <w:rPr>
            <w:noProof/>
            <w:webHidden/>
          </w:rPr>
          <w:tab/>
        </w:r>
        <w:r w:rsidR="001353E5">
          <w:rPr>
            <w:noProof/>
            <w:webHidden/>
          </w:rPr>
          <w:fldChar w:fldCharType="begin"/>
        </w:r>
        <w:r w:rsidR="001353E5">
          <w:rPr>
            <w:noProof/>
            <w:webHidden/>
          </w:rPr>
          <w:instrText xml:space="preserve"> PAGEREF _Toc67565417 \h </w:instrText>
        </w:r>
        <w:r w:rsidR="001353E5">
          <w:rPr>
            <w:noProof/>
            <w:webHidden/>
          </w:rPr>
        </w:r>
        <w:r w:rsidR="001353E5">
          <w:rPr>
            <w:noProof/>
            <w:webHidden/>
          </w:rPr>
          <w:fldChar w:fldCharType="separate"/>
        </w:r>
        <w:r w:rsidR="000250B6">
          <w:rPr>
            <w:noProof/>
            <w:webHidden/>
          </w:rPr>
          <w:t>168</w:t>
        </w:r>
        <w:r w:rsidR="001353E5">
          <w:rPr>
            <w:noProof/>
            <w:webHidden/>
          </w:rPr>
          <w:fldChar w:fldCharType="end"/>
        </w:r>
      </w:hyperlink>
    </w:p>
    <w:p w14:paraId="147ACE60" w14:textId="77777777" w:rsidR="001353E5" w:rsidRDefault="00231E33">
      <w:pPr>
        <w:pStyle w:val="10"/>
        <w:rPr>
          <w:rFonts w:asciiTheme="minorHAnsi" w:eastAsiaTheme="minorEastAsia" w:hAnsiTheme="minorHAnsi" w:cstheme="minorBidi"/>
          <w:b w:val="0"/>
          <w:noProof/>
          <w:szCs w:val="22"/>
          <w:lang w:eastAsia="en-GB"/>
        </w:rPr>
      </w:pPr>
      <w:hyperlink w:anchor="_Toc67565418" w:history="1">
        <w:r w:rsidR="001353E5" w:rsidRPr="00EB7E77">
          <w:rPr>
            <w:rStyle w:val="-"/>
            <w:noProof/>
          </w:rPr>
          <w:t>10</w:t>
        </w:r>
        <w:r w:rsidR="001353E5">
          <w:rPr>
            <w:rFonts w:asciiTheme="minorHAnsi" w:eastAsiaTheme="minorEastAsia" w:hAnsiTheme="minorHAnsi" w:cstheme="minorBidi"/>
            <w:b w:val="0"/>
            <w:noProof/>
            <w:szCs w:val="22"/>
            <w:lang w:eastAsia="en-GB"/>
          </w:rPr>
          <w:tab/>
        </w:r>
        <w:r w:rsidR="001353E5" w:rsidRPr="00EB7E77">
          <w:rPr>
            <w:rStyle w:val="-"/>
            <w:noProof/>
          </w:rPr>
          <w:t>Fatigue</w:t>
        </w:r>
        <w:r w:rsidR="001353E5">
          <w:rPr>
            <w:noProof/>
            <w:webHidden/>
          </w:rPr>
          <w:tab/>
        </w:r>
        <w:r w:rsidR="001353E5">
          <w:rPr>
            <w:noProof/>
            <w:webHidden/>
          </w:rPr>
          <w:fldChar w:fldCharType="begin"/>
        </w:r>
        <w:r w:rsidR="001353E5">
          <w:rPr>
            <w:noProof/>
            <w:webHidden/>
          </w:rPr>
          <w:instrText xml:space="preserve"> PAGEREF _Toc67565418 \h </w:instrText>
        </w:r>
        <w:r w:rsidR="001353E5">
          <w:rPr>
            <w:noProof/>
            <w:webHidden/>
          </w:rPr>
        </w:r>
        <w:r w:rsidR="001353E5">
          <w:rPr>
            <w:noProof/>
            <w:webHidden/>
          </w:rPr>
          <w:fldChar w:fldCharType="separate"/>
        </w:r>
        <w:r w:rsidR="000250B6">
          <w:rPr>
            <w:noProof/>
            <w:webHidden/>
          </w:rPr>
          <w:t>169</w:t>
        </w:r>
        <w:r w:rsidR="001353E5">
          <w:rPr>
            <w:noProof/>
            <w:webHidden/>
          </w:rPr>
          <w:fldChar w:fldCharType="end"/>
        </w:r>
      </w:hyperlink>
    </w:p>
    <w:p w14:paraId="464BF03F" w14:textId="77777777" w:rsidR="001353E5" w:rsidRDefault="00231E33">
      <w:pPr>
        <w:pStyle w:val="22"/>
        <w:rPr>
          <w:rFonts w:asciiTheme="minorHAnsi" w:eastAsiaTheme="minorEastAsia" w:hAnsiTheme="minorHAnsi" w:cstheme="minorBidi"/>
          <w:b w:val="0"/>
          <w:noProof/>
          <w:szCs w:val="22"/>
          <w:lang w:eastAsia="en-GB"/>
        </w:rPr>
      </w:pPr>
      <w:hyperlink w:anchor="_Toc67565419" w:history="1">
        <w:r w:rsidR="001353E5" w:rsidRPr="00EB7E77">
          <w:rPr>
            <w:rStyle w:val="-"/>
            <w:noProof/>
          </w:rPr>
          <w:t>10.1</w:t>
        </w:r>
        <w:r w:rsidR="001353E5">
          <w:rPr>
            <w:rFonts w:asciiTheme="minorHAnsi" w:eastAsiaTheme="minorEastAsia" w:hAnsiTheme="minorHAnsi" w:cstheme="minorBidi"/>
            <w:b w:val="0"/>
            <w:noProof/>
            <w:szCs w:val="22"/>
            <w:lang w:eastAsia="en-GB"/>
          </w:rPr>
          <w:tab/>
        </w:r>
        <w:r w:rsidR="001353E5" w:rsidRPr="00EB7E77">
          <w:rPr>
            <w:rStyle w:val="-"/>
            <w:noProof/>
          </w:rPr>
          <w:t>General</w:t>
        </w:r>
        <w:r w:rsidR="001353E5">
          <w:rPr>
            <w:noProof/>
            <w:webHidden/>
          </w:rPr>
          <w:tab/>
        </w:r>
        <w:r w:rsidR="001353E5">
          <w:rPr>
            <w:noProof/>
            <w:webHidden/>
          </w:rPr>
          <w:fldChar w:fldCharType="begin"/>
        </w:r>
        <w:r w:rsidR="001353E5">
          <w:rPr>
            <w:noProof/>
            <w:webHidden/>
          </w:rPr>
          <w:instrText xml:space="preserve"> PAGEREF _Toc67565419 \h </w:instrText>
        </w:r>
        <w:r w:rsidR="001353E5">
          <w:rPr>
            <w:noProof/>
            <w:webHidden/>
          </w:rPr>
        </w:r>
        <w:r w:rsidR="001353E5">
          <w:rPr>
            <w:noProof/>
            <w:webHidden/>
          </w:rPr>
          <w:fldChar w:fldCharType="separate"/>
        </w:r>
        <w:r w:rsidR="000250B6">
          <w:rPr>
            <w:noProof/>
            <w:webHidden/>
          </w:rPr>
          <w:t>169</w:t>
        </w:r>
        <w:r w:rsidR="001353E5">
          <w:rPr>
            <w:noProof/>
            <w:webHidden/>
          </w:rPr>
          <w:fldChar w:fldCharType="end"/>
        </w:r>
      </w:hyperlink>
    </w:p>
    <w:p w14:paraId="6A4C83A4" w14:textId="77777777" w:rsidR="001353E5" w:rsidRDefault="00231E33">
      <w:pPr>
        <w:pStyle w:val="22"/>
        <w:rPr>
          <w:rFonts w:asciiTheme="minorHAnsi" w:eastAsiaTheme="minorEastAsia" w:hAnsiTheme="minorHAnsi" w:cstheme="minorBidi"/>
          <w:b w:val="0"/>
          <w:noProof/>
          <w:szCs w:val="22"/>
          <w:lang w:eastAsia="en-GB"/>
        </w:rPr>
      </w:pPr>
      <w:hyperlink w:anchor="_Toc67565420" w:history="1">
        <w:r w:rsidR="001353E5" w:rsidRPr="00EB7E77">
          <w:rPr>
            <w:rStyle w:val="-"/>
            <w:noProof/>
          </w:rPr>
          <w:t>10.2</w:t>
        </w:r>
        <w:r w:rsidR="001353E5">
          <w:rPr>
            <w:rFonts w:asciiTheme="minorHAnsi" w:eastAsiaTheme="minorEastAsia" w:hAnsiTheme="minorHAnsi" w:cstheme="minorBidi"/>
            <w:b w:val="0"/>
            <w:noProof/>
            <w:szCs w:val="22"/>
            <w:lang w:eastAsia="en-GB"/>
          </w:rPr>
          <w:tab/>
        </w:r>
        <w:r w:rsidR="001353E5" w:rsidRPr="00EB7E77">
          <w:rPr>
            <w:rStyle w:val="-"/>
            <w:noProof/>
          </w:rPr>
          <w:t>Combination of actions</w:t>
        </w:r>
        <w:r w:rsidR="001353E5">
          <w:rPr>
            <w:noProof/>
            <w:webHidden/>
          </w:rPr>
          <w:tab/>
        </w:r>
        <w:r w:rsidR="001353E5">
          <w:rPr>
            <w:noProof/>
            <w:webHidden/>
          </w:rPr>
          <w:fldChar w:fldCharType="begin"/>
        </w:r>
        <w:r w:rsidR="001353E5">
          <w:rPr>
            <w:noProof/>
            <w:webHidden/>
          </w:rPr>
          <w:instrText xml:space="preserve"> PAGEREF _Toc67565420 \h </w:instrText>
        </w:r>
        <w:r w:rsidR="001353E5">
          <w:rPr>
            <w:noProof/>
            <w:webHidden/>
          </w:rPr>
        </w:r>
        <w:r w:rsidR="001353E5">
          <w:rPr>
            <w:noProof/>
            <w:webHidden/>
          </w:rPr>
          <w:fldChar w:fldCharType="separate"/>
        </w:r>
        <w:r w:rsidR="000250B6">
          <w:rPr>
            <w:noProof/>
            <w:webHidden/>
          </w:rPr>
          <w:t>169</w:t>
        </w:r>
        <w:r w:rsidR="001353E5">
          <w:rPr>
            <w:noProof/>
            <w:webHidden/>
          </w:rPr>
          <w:fldChar w:fldCharType="end"/>
        </w:r>
      </w:hyperlink>
    </w:p>
    <w:p w14:paraId="146313DB" w14:textId="77777777" w:rsidR="001353E5" w:rsidRDefault="00231E33">
      <w:pPr>
        <w:pStyle w:val="22"/>
        <w:rPr>
          <w:rFonts w:asciiTheme="minorHAnsi" w:eastAsiaTheme="minorEastAsia" w:hAnsiTheme="minorHAnsi" w:cstheme="minorBidi"/>
          <w:b w:val="0"/>
          <w:noProof/>
          <w:szCs w:val="22"/>
          <w:lang w:eastAsia="en-GB"/>
        </w:rPr>
      </w:pPr>
      <w:hyperlink w:anchor="_Toc67565421" w:history="1">
        <w:r w:rsidR="001353E5" w:rsidRPr="00EB7E77">
          <w:rPr>
            <w:rStyle w:val="-"/>
            <w:noProof/>
          </w:rPr>
          <w:t>10.3</w:t>
        </w:r>
        <w:r w:rsidR="001353E5">
          <w:rPr>
            <w:rFonts w:asciiTheme="minorHAnsi" w:eastAsiaTheme="minorEastAsia" w:hAnsiTheme="minorHAnsi" w:cstheme="minorBidi"/>
            <w:b w:val="0"/>
            <w:noProof/>
            <w:szCs w:val="22"/>
            <w:lang w:eastAsia="en-GB"/>
          </w:rPr>
          <w:tab/>
        </w:r>
        <w:r w:rsidR="001353E5" w:rsidRPr="00EB7E77">
          <w:rPr>
            <w:rStyle w:val="-"/>
            <w:noProof/>
          </w:rPr>
          <w:t>Internal forces and stresses for fatigue verification</w:t>
        </w:r>
        <w:r w:rsidR="001353E5">
          <w:rPr>
            <w:noProof/>
            <w:webHidden/>
          </w:rPr>
          <w:tab/>
        </w:r>
        <w:r w:rsidR="001353E5">
          <w:rPr>
            <w:noProof/>
            <w:webHidden/>
          </w:rPr>
          <w:fldChar w:fldCharType="begin"/>
        </w:r>
        <w:r w:rsidR="001353E5">
          <w:rPr>
            <w:noProof/>
            <w:webHidden/>
          </w:rPr>
          <w:instrText xml:space="preserve"> PAGEREF _Toc67565421 \h </w:instrText>
        </w:r>
        <w:r w:rsidR="001353E5">
          <w:rPr>
            <w:noProof/>
            <w:webHidden/>
          </w:rPr>
        </w:r>
        <w:r w:rsidR="001353E5">
          <w:rPr>
            <w:noProof/>
            <w:webHidden/>
          </w:rPr>
          <w:fldChar w:fldCharType="separate"/>
        </w:r>
        <w:r w:rsidR="000250B6">
          <w:rPr>
            <w:noProof/>
            <w:webHidden/>
          </w:rPr>
          <w:t>169</w:t>
        </w:r>
        <w:r w:rsidR="001353E5">
          <w:rPr>
            <w:noProof/>
            <w:webHidden/>
          </w:rPr>
          <w:fldChar w:fldCharType="end"/>
        </w:r>
      </w:hyperlink>
    </w:p>
    <w:p w14:paraId="37FD73E7" w14:textId="77777777" w:rsidR="001353E5" w:rsidRDefault="00231E33">
      <w:pPr>
        <w:pStyle w:val="22"/>
        <w:rPr>
          <w:rFonts w:asciiTheme="minorHAnsi" w:eastAsiaTheme="minorEastAsia" w:hAnsiTheme="minorHAnsi" w:cstheme="minorBidi"/>
          <w:b w:val="0"/>
          <w:noProof/>
          <w:szCs w:val="22"/>
          <w:lang w:eastAsia="en-GB"/>
        </w:rPr>
      </w:pPr>
      <w:hyperlink w:anchor="_Toc67565422" w:history="1">
        <w:r w:rsidR="001353E5" w:rsidRPr="00EB7E77">
          <w:rPr>
            <w:rStyle w:val="-"/>
            <w:noProof/>
          </w:rPr>
          <w:t>10.4</w:t>
        </w:r>
        <w:r w:rsidR="001353E5">
          <w:rPr>
            <w:rFonts w:asciiTheme="minorHAnsi" w:eastAsiaTheme="minorEastAsia" w:hAnsiTheme="minorHAnsi" w:cstheme="minorBidi"/>
            <w:b w:val="0"/>
            <w:noProof/>
            <w:szCs w:val="22"/>
            <w:lang w:eastAsia="en-GB"/>
          </w:rPr>
          <w:tab/>
        </w:r>
        <w:r w:rsidR="001353E5" w:rsidRPr="00EB7E77">
          <w:rPr>
            <w:rStyle w:val="-"/>
            <w:noProof/>
          </w:rPr>
          <w:t>Simplified verification of reinforcing or prestressing steel</w:t>
        </w:r>
        <w:r w:rsidR="001353E5">
          <w:rPr>
            <w:noProof/>
            <w:webHidden/>
          </w:rPr>
          <w:tab/>
        </w:r>
        <w:r w:rsidR="001353E5">
          <w:rPr>
            <w:noProof/>
            <w:webHidden/>
          </w:rPr>
          <w:fldChar w:fldCharType="begin"/>
        </w:r>
        <w:r w:rsidR="001353E5">
          <w:rPr>
            <w:noProof/>
            <w:webHidden/>
          </w:rPr>
          <w:instrText xml:space="preserve"> PAGEREF _Toc67565422 \h </w:instrText>
        </w:r>
        <w:r w:rsidR="001353E5">
          <w:rPr>
            <w:noProof/>
            <w:webHidden/>
          </w:rPr>
        </w:r>
        <w:r w:rsidR="001353E5">
          <w:rPr>
            <w:noProof/>
            <w:webHidden/>
          </w:rPr>
          <w:fldChar w:fldCharType="separate"/>
        </w:r>
        <w:r w:rsidR="000250B6">
          <w:rPr>
            <w:noProof/>
            <w:webHidden/>
          </w:rPr>
          <w:t>171</w:t>
        </w:r>
        <w:r w:rsidR="001353E5">
          <w:rPr>
            <w:noProof/>
            <w:webHidden/>
          </w:rPr>
          <w:fldChar w:fldCharType="end"/>
        </w:r>
      </w:hyperlink>
    </w:p>
    <w:p w14:paraId="1154395E" w14:textId="77777777" w:rsidR="001353E5" w:rsidRDefault="00231E33">
      <w:pPr>
        <w:pStyle w:val="22"/>
        <w:rPr>
          <w:rFonts w:asciiTheme="minorHAnsi" w:eastAsiaTheme="minorEastAsia" w:hAnsiTheme="minorHAnsi" w:cstheme="minorBidi"/>
          <w:b w:val="0"/>
          <w:noProof/>
          <w:szCs w:val="22"/>
          <w:lang w:eastAsia="en-GB"/>
        </w:rPr>
      </w:pPr>
      <w:hyperlink w:anchor="_Toc67565423" w:history="1">
        <w:r w:rsidR="001353E5" w:rsidRPr="00EB7E77">
          <w:rPr>
            <w:rStyle w:val="-"/>
            <w:noProof/>
          </w:rPr>
          <w:t>10.5</w:t>
        </w:r>
        <w:r w:rsidR="001353E5">
          <w:rPr>
            <w:rFonts w:asciiTheme="minorHAnsi" w:eastAsiaTheme="minorEastAsia" w:hAnsiTheme="minorHAnsi" w:cstheme="minorBidi"/>
            <w:b w:val="0"/>
            <w:noProof/>
            <w:szCs w:val="22"/>
            <w:lang w:eastAsia="en-GB"/>
          </w:rPr>
          <w:tab/>
        </w:r>
        <w:r w:rsidR="001353E5" w:rsidRPr="00EB7E77">
          <w:rPr>
            <w:rStyle w:val="-"/>
            <w:noProof/>
          </w:rPr>
          <w:t>Simplified verification of concrete under compression or compression-tension</w:t>
        </w:r>
        <w:r w:rsidR="001353E5">
          <w:rPr>
            <w:noProof/>
            <w:webHidden/>
          </w:rPr>
          <w:tab/>
        </w:r>
        <w:r w:rsidR="001353E5">
          <w:rPr>
            <w:noProof/>
            <w:webHidden/>
          </w:rPr>
          <w:fldChar w:fldCharType="begin"/>
        </w:r>
        <w:r w:rsidR="001353E5">
          <w:rPr>
            <w:noProof/>
            <w:webHidden/>
          </w:rPr>
          <w:instrText xml:space="preserve"> PAGEREF _Toc67565423 \h </w:instrText>
        </w:r>
        <w:r w:rsidR="001353E5">
          <w:rPr>
            <w:noProof/>
            <w:webHidden/>
          </w:rPr>
        </w:r>
        <w:r w:rsidR="001353E5">
          <w:rPr>
            <w:noProof/>
            <w:webHidden/>
          </w:rPr>
          <w:fldChar w:fldCharType="separate"/>
        </w:r>
        <w:r w:rsidR="000250B6">
          <w:rPr>
            <w:noProof/>
            <w:webHidden/>
          </w:rPr>
          <w:t>171</w:t>
        </w:r>
        <w:r w:rsidR="001353E5">
          <w:rPr>
            <w:noProof/>
            <w:webHidden/>
          </w:rPr>
          <w:fldChar w:fldCharType="end"/>
        </w:r>
      </w:hyperlink>
    </w:p>
    <w:p w14:paraId="67297375" w14:textId="77777777" w:rsidR="001353E5" w:rsidRDefault="00231E33">
      <w:pPr>
        <w:pStyle w:val="22"/>
        <w:rPr>
          <w:rFonts w:asciiTheme="minorHAnsi" w:eastAsiaTheme="minorEastAsia" w:hAnsiTheme="minorHAnsi" w:cstheme="minorBidi"/>
          <w:b w:val="0"/>
          <w:noProof/>
          <w:szCs w:val="22"/>
          <w:lang w:eastAsia="en-GB"/>
        </w:rPr>
      </w:pPr>
      <w:hyperlink w:anchor="_Toc67565424" w:history="1">
        <w:r w:rsidR="001353E5" w:rsidRPr="00EB7E77">
          <w:rPr>
            <w:rStyle w:val="-"/>
            <w:noProof/>
          </w:rPr>
          <w:t>10.6</w:t>
        </w:r>
        <w:r w:rsidR="001353E5">
          <w:rPr>
            <w:rFonts w:asciiTheme="minorHAnsi" w:eastAsiaTheme="minorEastAsia" w:hAnsiTheme="minorHAnsi" w:cstheme="minorBidi"/>
            <w:b w:val="0"/>
            <w:noProof/>
            <w:szCs w:val="22"/>
            <w:lang w:eastAsia="en-GB"/>
          </w:rPr>
          <w:tab/>
        </w:r>
        <w:r w:rsidR="001353E5" w:rsidRPr="00EB7E77">
          <w:rPr>
            <w:rStyle w:val="-"/>
            <w:noProof/>
          </w:rPr>
          <w:t>Simplified verification of concrete under shear</w:t>
        </w:r>
        <w:r w:rsidR="001353E5">
          <w:rPr>
            <w:noProof/>
            <w:webHidden/>
          </w:rPr>
          <w:tab/>
        </w:r>
        <w:r w:rsidR="001353E5">
          <w:rPr>
            <w:noProof/>
            <w:webHidden/>
          </w:rPr>
          <w:fldChar w:fldCharType="begin"/>
        </w:r>
        <w:r w:rsidR="001353E5">
          <w:rPr>
            <w:noProof/>
            <w:webHidden/>
          </w:rPr>
          <w:instrText xml:space="preserve"> PAGEREF _Toc67565424 \h </w:instrText>
        </w:r>
        <w:r w:rsidR="001353E5">
          <w:rPr>
            <w:noProof/>
            <w:webHidden/>
          </w:rPr>
        </w:r>
        <w:r w:rsidR="001353E5">
          <w:rPr>
            <w:noProof/>
            <w:webHidden/>
          </w:rPr>
          <w:fldChar w:fldCharType="separate"/>
        </w:r>
        <w:r w:rsidR="000250B6">
          <w:rPr>
            <w:noProof/>
            <w:webHidden/>
          </w:rPr>
          <w:t>172</w:t>
        </w:r>
        <w:r w:rsidR="001353E5">
          <w:rPr>
            <w:noProof/>
            <w:webHidden/>
          </w:rPr>
          <w:fldChar w:fldCharType="end"/>
        </w:r>
      </w:hyperlink>
    </w:p>
    <w:p w14:paraId="3C3F4511" w14:textId="77777777" w:rsidR="001353E5" w:rsidRDefault="00231E33">
      <w:pPr>
        <w:pStyle w:val="22"/>
        <w:rPr>
          <w:rFonts w:asciiTheme="minorHAnsi" w:eastAsiaTheme="minorEastAsia" w:hAnsiTheme="minorHAnsi" w:cstheme="minorBidi"/>
          <w:b w:val="0"/>
          <w:noProof/>
          <w:szCs w:val="22"/>
          <w:lang w:eastAsia="en-GB"/>
        </w:rPr>
      </w:pPr>
      <w:hyperlink w:anchor="_Toc67565425" w:history="1">
        <w:r w:rsidR="001353E5" w:rsidRPr="00EB7E77">
          <w:rPr>
            <w:rStyle w:val="-"/>
            <w:noProof/>
          </w:rPr>
          <w:t>10.7</w:t>
        </w:r>
        <w:r w:rsidR="001353E5">
          <w:rPr>
            <w:rFonts w:asciiTheme="minorHAnsi" w:eastAsiaTheme="minorEastAsia" w:hAnsiTheme="minorHAnsi" w:cstheme="minorBidi"/>
            <w:b w:val="0"/>
            <w:noProof/>
            <w:szCs w:val="22"/>
            <w:lang w:eastAsia="en-GB"/>
          </w:rPr>
          <w:tab/>
        </w:r>
        <w:r w:rsidR="001353E5" w:rsidRPr="00EB7E77">
          <w:rPr>
            <w:rStyle w:val="-"/>
            <w:noProof/>
          </w:rPr>
          <w:t>Simplified verification of shear at interfaces</w:t>
        </w:r>
        <w:r w:rsidR="001353E5">
          <w:rPr>
            <w:noProof/>
            <w:webHidden/>
          </w:rPr>
          <w:tab/>
        </w:r>
        <w:r w:rsidR="001353E5">
          <w:rPr>
            <w:noProof/>
            <w:webHidden/>
          </w:rPr>
          <w:fldChar w:fldCharType="begin"/>
        </w:r>
        <w:r w:rsidR="001353E5">
          <w:rPr>
            <w:noProof/>
            <w:webHidden/>
          </w:rPr>
          <w:instrText xml:space="preserve"> PAGEREF _Toc67565425 \h </w:instrText>
        </w:r>
        <w:r w:rsidR="001353E5">
          <w:rPr>
            <w:noProof/>
            <w:webHidden/>
          </w:rPr>
        </w:r>
        <w:r w:rsidR="001353E5">
          <w:rPr>
            <w:noProof/>
            <w:webHidden/>
          </w:rPr>
          <w:fldChar w:fldCharType="separate"/>
        </w:r>
        <w:r w:rsidR="000250B6">
          <w:rPr>
            <w:noProof/>
            <w:webHidden/>
          </w:rPr>
          <w:t>172</w:t>
        </w:r>
        <w:r w:rsidR="001353E5">
          <w:rPr>
            <w:noProof/>
            <w:webHidden/>
          </w:rPr>
          <w:fldChar w:fldCharType="end"/>
        </w:r>
      </w:hyperlink>
    </w:p>
    <w:p w14:paraId="624976CA" w14:textId="77777777" w:rsidR="001353E5" w:rsidRDefault="00231E33">
      <w:pPr>
        <w:pStyle w:val="10"/>
        <w:rPr>
          <w:rFonts w:asciiTheme="minorHAnsi" w:eastAsiaTheme="minorEastAsia" w:hAnsiTheme="minorHAnsi" w:cstheme="minorBidi"/>
          <w:b w:val="0"/>
          <w:noProof/>
          <w:szCs w:val="22"/>
          <w:lang w:eastAsia="en-GB"/>
        </w:rPr>
      </w:pPr>
      <w:hyperlink w:anchor="_Toc67565426" w:history="1">
        <w:r w:rsidR="001353E5" w:rsidRPr="00EB7E77">
          <w:rPr>
            <w:rStyle w:val="-"/>
            <w:noProof/>
          </w:rPr>
          <w:t>11</w:t>
        </w:r>
        <w:r w:rsidR="001353E5">
          <w:rPr>
            <w:rFonts w:asciiTheme="minorHAnsi" w:eastAsiaTheme="minorEastAsia" w:hAnsiTheme="minorHAnsi" w:cstheme="minorBidi"/>
            <w:b w:val="0"/>
            <w:noProof/>
            <w:szCs w:val="22"/>
            <w:lang w:eastAsia="en-GB"/>
          </w:rPr>
          <w:tab/>
        </w:r>
        <w:r w:rsidR="001353E5" w:rsidRPr="00EB7E77">
          <w:rPr>
            <w:rStyle w:val="-"/>
            <w:noProof/>
          </w:rPr>
          <w:t>Detailing of reinforcement and post-tensioning tendons</w:t>
        </w:r>
        <w:r w:rsidR="001353E5">
          <w:rPr>
            <w:noProof/>
            <w:webHidden/>
          </w:rPr>
          <w:tab/>
        </w:r>
        <w:r w:rsidR="001353E5">
          <w:rPr>
            <w:noProof/>
            <w:webHidden/>
          </w:rPr>
          <w:fldChar w:fldCharType="begin"/>
        </w:r>
        <w:r w:rsidR="001353E5">
          <w:rPr>
            <w:noProof/>
            <w:webHidden/>
          </w:rPr>
          <w:instrText xml:space="preserve"> PAGEREF _Toc67565426 \h </w:instrText>
        </w:r>
        <w:r w:rsidR="001353E5">
          <w:rPr>
            <w:noProof/>
            <w:webHidden/>
          </w:rPr>
        </w:r>
        <w:r w:rsidR="001353E5">
          <w:rPr>
            <w:noProof/>
            <w:webHidden/>
          </w:rPr>
          <w:fldChar w:fldCharType="separate"/>
        </w:r>
        <w:r w:rsidR="000250B6">
          <w:rPr>
            <w:noProof/>
            <w:webHidden/>
          </w:rPr>
          <w:t>173</w:t>
        </w:r>
        <w:r w:rsidR="001353E5">
          <w:rPr>
            <w:noProof/>
            <w:webHidden/>
          </w:rPr>
          <w:fldChar w:fldCharType="end"/>
        </w:r>
      </w:hyperlink>
    </w:p>
    <w:p w14:paraId="375F0684" w14:textId="77777777" w:rsidR="001353E5" w:rsidRDefault="00231E33">
      <w:pPr>
        <w:pStyle w:val="22"/>
        <w:rPr>
          <w:rFonts w:asciiTheme="minorHAnsi" w:eastAsiaTheme="minorEastAsia" w:hAnsiTheme="minorHAnsi" w:cstheme="minorBidi"/>
          <w:b w:val="0"/>
          <w:noProof/>
          <w:szCs w:val="22"/>
          <w:lang w:eastAsia="en-GB"/>
        </w:rPr>
      </w:pPr>
      <w:hyperlink w:anchor="_Toc67565427" w:history="1">
        <w:r w:rsidR="001353E5" w:rsidRPr="00EB7E77">
          <w:rPr>
            <w:rStyle w:val="-"/>
            <w:noProof/>
          </w:rPr>
          <w:t>11.1</w:t>
        </w:r>
        <w:r w:rsidR="001353E5">
          <w:rPr>
            <w:rFonts w:asciiTheme="minorHAnsi" w:eastAsiaTheme="minorEastAsia" w:hAnsiTheme="minorHAnsi" w:cstheme="minorBidi"/>
            <w:b w:val="0"/>
            <w:noProof/>
            <w:szCs w:val="22"/>
            <w:lang w:eastAsia="en-GB"/>
          </w:rPr>
          <w:tab/>
        </w:r>
        <w:r w:rsidR="001353E5" w:rsidRPr="00EB7E77">
          <w:rPr>
            <w:rStyle w:val="-"/>
            <w:noProof/>
          </w:rPr>
          <w:t>General</w:t>
        </w:r>
        <w:r w:rsidR="001353E5">
          <w:rPr>
            <w:noProof/>
            <w:webHidden/>
          </w:rPr>
          <w:tab/>
        </w:r>
        <w:r w:rsidR="001353E5">
          <w:rPr>
            <w:noProof/>
            <w:webHidden/>
          </w:rPr>
          <w:fldChar w:fldCharType="begin"/>
        </w:r>
        <w:r w:rsidR="001353E5">
          <w:rPr>
            <w:noProof/>
            <w:webHidden/>
          </w:rPr>
          <w:instrText xml:space="preserve"> PAGEREF _Toc67565427 \h </w:instrText>
        </w:r>
        <w:r w:rsidR="001353E5">
          <w:rPr>
            <w:noProof/>
            <w:webHidden/>
          </w:rPr>
        </w:r>
        <w:r w:rsidR="001353E5">
          <w:rPr>
            <w:noProof/>
            <w:webHidden/>
          </w:rPr>
          <w:fldChar w:fldCharType="separate"/>
        </w:r>
        <w:r w:rsidR="000250B6">
          <w:rPr>
            <w:noProof/>
            <w:webHidden/>
          </w:rPr>
          <w:t>173</w:t>
        </w:r>
        <w:r w:rsidR="001353E5">
          <w:rPr>
            <w:noProof/>
            <w:webHidden/>
          </w:rPr>
          <w:fldChar w:fldCharType="end"/>
        </w:r>
      </w:hyperlink>
    </w:p>
    <w:p w14:paraId="5389B557" w14:textId="77777777" w:rsidR="001353E5" w:rsidRDefault="00231E33">
      <w:pPr>
        <w:pStyle w:val="22"/>
        <w:rPr>
          <w:rFonts w:asciiTheme="minorHAnsi" w:eastAsiaTheme="minorEastAsia" w:hAnsiTheme="minorHAnsi" w:cstheme="minorBidi"/>
          <w:b w:val="0"/>
          <w:noProof/>
          <w:szCs w:val="22"/>
          <w:lang w:eastAsia="en-GB"/>
        </w:rPr>
      </w:pPr>
      <w:hyperlink w:anchor="_Toc67565428" w:history="1">
        <w:r w:rsidR="001353E5" w:rsidRPr="00EB7E77">
          <w:rPr>
            <w:rStyle w:val="-"/>
            <w:noProof/>
          </w:rPr>
          <w:t>11.2</w:t>
        </w:r>
        <w:r w:rsidR="001353E5">
          <w:rPr>
            <w:rFonts w:asciiTheme="minorHAnsi" w:eastAsiaTheme="minorEastAsia" w:hAnsiTheme="minorHAnsi" w:cstheme="minorBidi"/>
            <w:b w:val="0"/>
            <w:noProof/>
            <w:szCs w:val="22"/>
            <w:lang w:eastAsia="en-GB"/>
          </w:rPr>
          <w:tab/>
        </w:r>
        <w:r w:rsidR="001353E5" w:rsidRPr="00EB7E77">
          <w:rPr>
            <w:rStyle w:val="-"/>
            <w:noProof/>
          </w:rPr>
          <w:t>Spacing of bars</w:t>
        </w:r>
        <w:r w:rsidR="001353E5">
          <w:rPr>
            <w:noProof/>
            <w:webHidden/>
          </w:rPr>
          <w:tab/>
        </w:r>
        <w:r w:rsidR="001353E5">
          <w:rPr>
            <w:noProof/>
            <w:webHidden/>
          </w:rPr>
          <w:fldChar w:fldCharType="begin"/>
        </w:r>
        <w:r w:rsidR="001353E5">
          <w:rPr>
            <w:noProof/>
            <w:webHidden/>
          </w:rPr>
          <w:instrText xml:space="preserve"> PAGEREF _Toc67565428 \h </w:instrText>
        </w:r>
        <w:r w:rsidR="001353E5">
          <w:rPr>
            <w:noProof/>
            <w:webHidden/>
          </w:rPr>
        </w:r>
        <w:r w:rsidR="001353E5">
          <w:rPr>
            <w:noProof/>
            <w:webHidden/>
          </w:rPr>
          <w:fldChar w:fldCharType="separate"/>
        </w:r>
        <w:r w:rsidR="000250B6">
          <w:rPr>
            <w:noProof/>
            <w:webHidden/>
          </w:rPr>
          <w:t>173</w:t>
        </w:r>
        <w:r w:rsidR="001353E5">
          <w:rPr>
            <w:noProof/>
            <w:webHidden/>
          </w:rPr>
          <w:fldChar w:fldCharType="end"/>
        </w:r>
      </w:hyperlink>
    </w:p>
    <w:p w14:paraId="64FEBE11" w14:textId="77777777" w:rsidR="001353E5" w:rsidRDefault="00231E33">
      <w:pPr>
        <w:pStyle w:val="22"/>
        <w:rPr>
          <w:rFonts w:asciiTheme="minorHAnsi" w:eastAsiaTheme="minorEastAsia" w:hAnsiTheme="minorHAnsi" w:cstheme="minorBidi"/>
          <w:b w:val="0"/>
          <w:noProof/>
          <w:szCs w:val="22"/>
          <w:lang w:eastAsia="en-GB"/>
        </w:rPr>
      </w:pPr>
      <w:hyperlink w:anchor="_Toc67565429" w:history="1">
        <w:r w:rsidR="001353E5" w:rsidRPr="00EB7E77">
          <w:rPr>
            <w:rStyle w:val="-"/>
            <w:noProof/>
          </w:rPr>
          <w:t>11.3</w:t>
        </w:r>
        <w:r w:rsidR="001353E5">
          <w:rPr>
            <w:rFonts w:asciiTheme="minorHAnsi" w:eastAsiaTheme="minorEastAsia" w:hAnsiTheme="minorHAnsi" w:cstheme="minorBidi"/>
            <w:b w:val="0"/>
            <w:noProof/>
            <w:szCs w:val="22"/>
            <w:lang w:eastAsia="en-GB"/>
          </w:rPr>
          <w:tab/>
        </w:r>
        <w:r w:rsidR="001353E5" w:rsidRPr="00EB7E77">
          <w:rPr>
            <w:rStyle w:val="-"/>
            <w:noProof/>
          </w:rPr>
          <w:t>Permissible mandrel diameters for bent bars</w:t>
        </w:r>
        <w:r w:rsidR="001353E5">
          <w:rPr>
            <w:noProof/>
            <w:webHidden/>
          </w:rPr>
          <w:tab/>
        </w:r>
        <w:r w:rsidR="001353E5">
          <w:rPr>
            <w:noProof/>
            <w:webHidden/>
          </w:rPr>
          <w:fldChar w:fldCharType="begin"/>
        </w:r>
        <w:r w:rsidR="001353E5">
          <w:rPr>
            <w:noProof/>
            <w:webHidden/>
          </w:rPr>
          <w:instrText xml:space="preserve"> PAGEREF _Toc67565429 \h </w:instrText>
        </w:r>
        <w:r w:rsidR="001353E5">
          <w:rPr>
            <w:noProof/>
            <w:webHidden/>
          </w:rPr>
        </w:r>
        <w:r w:rsidR="001353E5">
          <w:rPr>
            <w:noProof/>
            <w:webHidden/>
          </w:rPr>
          <w:fldChar w:fldCharType="separate"/>
        </w:r>
        <w:r w:rsidR="000250B6">
          <w:rPr>
            <w:noProof/>
            <w:webHidden/>
          </w:rPr>
          <w:t>173</w:t>
        </w:r>
        <w:r w:rsidR="001353E5">
          <w:rPr>
            <w:noProof/>
            <w:webHidden/>
          </w:rPr>
          <w:fldChar w:fldCharType="end"/>
        </w:r>
      </w:hyperlink>
    </w:p>
    <w:p w14:paraId="1BCE8EDC" w14:textId="77777777" w:rsidR="001353E5" w:rsidRDefault="00231E33">
      <w:pPr>
        <w:pStyle w:val="22"/>
        <w:rPr>
          <w:rFonts w:asciiTheme="minorHAnsi" w:eastAsiaTheme="minorEastAsia" w:hAnsiTheme="minorHAnsi" w:cstheme="minorBidi"/>
          <w:b w:val="0"/>
          <w:noProof/>
          <w:szCs w:val="22"/>
          <w:lang w:eastAsia="en-GB"/>
        </w:rPr>
      </w:pPr>
      <w:hyperlink w:anchor="_Toc67565430" w:history="1">
        <w:r w:rsidR="001353E5" w:rsidRPr="00EB7E77">
          <w:rPr>
            <w:rStyle w:val="-"/>
            <w:noProof/>
          </w:rPr>
          <w:t>11.4</w:t>
        </w:r>
        <w:r w:rsidR="001353E5">
          <w:rPr>
            <w:rFonts w:asciiTheme="minorHAnsi" w:eastAsiaTheme="minorEastAsia" w:hAnsiTheme="minorHAnsi" w:cstheme="minorBidi"/>
            <w:b w:val="0"/>
            <w:noProof/>
            <w:szCs w:val="22"/>
            <w:lang w:eastAsia="en-GB"/>
          </w:rPr>
          <w:tab/>
        </w:r>
        <w:r w:rsidR="001353E5" w:rsidRPr="00EB7E77">
          <w:rPr>
            <w:rStyle w:val="-"/>
            <w:noProof/>
          </w:rPr>
          <w:t>Anchorage of reinforcing steel in tension and compression</w:t>
        </w:r>
        <w:r w:rsidR="001353E5">
          <w:rPr>
            <w:noProof/>
            <w:webHidden/>
          </w:rPr>
          <w:tab/>
        </w:r>
        <w:r w:rsidR="001353E5">
          <w:rPr>
            <w:noProof/>
            <w:webHidden/>
          </w:rPr>
          <w:fldChar w:fldCharType="begin"/>
        </w:r>
        <w:r w:rsidR="001353E5">
          <w:rPr>
            <w:noProof/>
            <w:webHidden/>
          </w:rPr>
          <w:instrText xml:space="preserve"> PAGEREF _Toc67565430 \h </w:instrText>
        </w:r>
        <w:r w:rsidR="001353E5">
          <w:rPr>
            <w:noProof/>
            <w:webHidden/>
          </w:rPr>
        </w:r>
        <w:r w:rsidR="001353E5">
          <w:rPr>
            <w:noProof/>
            <w:webHidden/>
          </w:rPr>
          <w:fldChar w:fldCharType="separate"/>
        </w:r>
        <w:r w:rsidR="000250B6">
          <w:rPr>
            <w:noProof/>
            <w:webHidden/>
          </w:rPr>
          <w:t>175</w:t>
        </w:r>
        <w:r w:rsidR="001353E5">
          <w:rPr>
            <w:noProof/>
            <w:webHidden/>
          </w:rPr>
          <w:fldChar w:fldCharType="end"/>
        </w:r>
      </w:hyperlink>
    </w:p>
    <w:p w14:paraId="5E4B4AFD" w14:textId="77777777" w:rsidR="001353E5" w:rsidRDefault="00231E33">
      <w:pPr>
        <w:pStyle w:val="32"/>
        <w:rPr>
          <w:rFonts w:asciiTheme="minorHAnsi" w:eastAsiaTheme="minorEastAsia" w:hAnsiTheme="minorHAnsi" w:cstheme="minorBidi"/>
          <w:b w:val="0"/>
          <w:noProof/>
          <w:szCs w:val="22"/>
          <w:lang w:eastAsia="en-GB"/>
        </w:rPr>
      </w:pPr>
      <w:hyperlink w:anchor="_Toc67565431" w:history="1">
        <w:r w:rsidR="001353E5" w:rsidRPr="00EB7E77">
          <w:rPr>
            <w:rStyle w:val="-"/>
            <w:noProof/>
          </w:rPr>
          <w:t>11.4.1</w:t>
        </w:r>
        <w:r w:rsidR="001353E5">
          <w:rPr>
            <w:rFonts w:asciiTheme="minorHAnsi" w:eastAsiaTheme="minorEastAsia" w:hAnsiTheme="minorHAnsi" w:cstheme="minorBidi"/>
            <w:b w:val="0"/>
            <w:noProof/>
            <w:szCs w:val="22"/>
            <w:lang w:eastAsia="en-GB"/>
          </w:rPr>
          <w:tab/>
        </w:r>
        <w:r w:rsidR="001353E5" w:rsidRPr="00EB7E77">
          <w:rPr>
            <w:rStyle w:val="-"/>
            <w:noProof/>
          </w:rPr>
          <w:t>General</w:t>
        </w:r>
        <w:r w:rsidR="001353E5">
          <w:rPr>
            <w:noProof/>
            <w:webHidden/>
          </w:rPr>
          <w:tab/>
        </w:r>
        <w:r w:rsidR="001353E5">
          <w:rPr>
            <w:noProof/>
            <w:webHidden/>
          </w:rPr>
          <w:fldChar w:fldCharType="begin"/>
        </w:r>
        <w:r w:rsidR="001353E5">
          <w:rPr>
            <w:noProof/>
            <w:webHidden/>
          </w:rPr>
          <w:instrText xml:space="preserve"> PAGEREF _Toc67565431 \h </w:instrText>
        </w:r>
        <w:r w:rsidR="001353E5">
          <w:rPr>
            <w:noProof/>
            <w:webHidden/>
          </w:rPr>
        </w:r>
        <w:r w:rsidR="001353E5">
          <w:rPr>
            <w:noProof/>
            <w:webHidden/>
          </w:rPr>
          <w:fldChar w:fldCharType="separate"/>
        </w:r>
        <w:r w:rsidR="000250B6">
          <w:rPr>
            <w:noProof/>
            <w:webHidden/>
          </w:rPr>
          <w:t>175</w:t>
        </w:r>
        <w:r w:rsidR="001353E5">
          <w:rPr>
            <w:noProof/>
            <w:webHidden/>
          </w:rPr>
          <w:fldChar w:fldCharType="end"/>
        </w:r>
      </w:hyperlink>
    </w:p>
    <w:p w14:paraId="0988A72D" w14:textId="77777777" w:rsidR="001353E5" w:rsidRDefault="00231E33">
      <w:pPr>
        <w:pStyle w:val="32"/>
        <w:rPr>
          <w:rFonts w:asciiTheme="minorHAnsi" w:eastAsiaTheme="minorEastAsia" w:hAnsiTheme="minorHAnsi" w:cstheme="minorBidi"/>
          <w:b w:val="0"/>
          <w:noProof/>
          <w:szCs w:val="22"/>
          <w:lang w:eastAsia="en-GB"/>
        </w:rPr>
      </w:pPr>
      <w:hyperlink w:anchor="_Toc67565432" w:history="1">
        <w:r w:rsidR="001353E5" w:rsidRPr="00EB7E77">
          <w:rPr>
            <w:rStyle w:val="-"/>
            <w:noProof/>
          </w:rPr>
          <w:t>11.4.2</w:t>
        </w:r>
        <w:r w:rsidR="001353E5">
          <w:rPr>
            <w:rFonts w:asciiTheme="minorHAnsi" w:eastAsiaTheme="minorEastAsia" w:hAnsiTheme="minorHAnsi" w:cstheme="minorBidi"/>
            <w:b w:val="0"/>
            <w:noProof/>
            <w:szCs w:val="22"/>
            <w:lang w:eastAsia="en-GB"/>
          </w:rPr>
          <w:tab/>
        </w:r>
        <w:r w:rsidR="001353E5" w:rsidRPr="00EB7E77">
          <w:rPr>
            <w:rStyle w:val="-"/>
            <w:noProof/>
          </w:rPr>
          <w:t>Anchorage of straight bars</w:t>
        </w:r>
        <w:r w:rsidR="001353E5">
          <w:rPr>
            <w:noProof/>
            <w:webHidden/>
          </w:rPr>
          <w:tab/>
        </w:r>
        <w:r w:rsidR="001353E5">
          <w:rPr>
            <w:noProof/>
            <w:webHidden/>
          </w:rPr>
          <w:fldChar w:fldCharType="begin"/>
        </w:r>
        <w:r w:rsidR="001353E5">
          <w:rPr>
            <w:noProof/>
            <w:webHidden/>
          </w:rPr>
          <w:instrText xml:space="preserve"> PAGEREF _Toc67565432 \h </w:instrText>
        </w:r>
        <w:r w:rsidR="001353E5">
          <w:rPr>
            <w:noProof/>
            <w:webHidden/>
          </w:rPr>
        </w:r>
        <w:r w:rsidR="001353E5">
          <w:rPr>
            <w:noProof/>
            <w:webHidden/>
          </w:rPr>
          <w:fldChar w:fldCharType="separate"/>
        </w:r>
        <w:r w:rsidR="000250B6">
          <w:rPr>
            <w:noProof/>
            <w:webHidden/>
          </w:rPr>
          <w:t>176</w:t>
        </w:r>
        <w:r w:rsidR="001353E5">
          <w:rPr>
            <w:noProof/>
            <w:webHidden/>
          </w:rPr>
          <w:fldChar w:fldCharType="end"/>
        </w:r>
      </w:hyperlink>
    </w:p>
    <w:p w14:paraId="5A8225F7" w14:textId="77777777" w:rsidR="001353E5" w:rsidRDefault="00231E33">
      <w:pPr>
        <w:pStyle w:val="32"/>
        <w:rPr>
          <w:rFonts w:asciiTheme="minorHAnsi" w:eastAsiaTheme="minorEastAsia" w:hAnsiTheme="minorHAnsi" w:cstheme="minorBidi"/>
          <w:b w:val="0"/>
          <w:noProof/>
          <w:szCs w:val="22"/>
          <w:lang w:eastAsia="en-GB"/>
        </w:rPr>
      </w:pPr>
      <w:hyperlink w:anchor="_Toc67565433" w:history="1">
        <w:r w:rsidR="001353E5" w:rsidRPr="00EB7E77">
          <w:rPr>
            <w:rStyle w:val="-"/>
            <w:noProof/>
          </w:rPr>
          <w:t>11.4.3</w:t>
        </w:r>
        <w:r w:rsidR="001353E5">
          <w:rPr>
            <w:rFonts w:asciiTheme="minorHAnsi" w:eastAsiaTheme="minorEastAsia" w:hAnsiTheme="minorHAnsi" w:cstheme="minorBidi"/>
            <w:b w:val="0"/>
            <w:noProof/>
            <w:szCs w:val="22"/>
            <w:lang w:eastAsia="en-GB"/>
          </w:rPr>
          <w:tab/>
        </w:r>
        <w:r w:rsidR="001353E5" w:rsidRPr="00EB7E77">
          <w:rPr>
            <w:rStyle w:val="-"/>
            <w:noProof/>
          </w:rPr>
          <w:t>Anchorage of bundles</w:t>
        </w:r>
        <w:r w:rsidR="001353E5">
          <w:rPr>
            <w:noProof/>
            <w:webHidden/>
          </w:rPr>
          <w:tab/>
        </w:r>
        <w:r w:rsidR="001353E5">
          <w:rPr>
            <w:noProof/>
            <w:webHidden/>
          </w:rPr>
          <w:fldChar w:fldCharType="begin"/>
        </w:r>
        <w:r w:rsidR="001353E5">
          <w:rPr>
            <w:noProof/>
            <w:webHidden/>
          </w:rPr>
          <w:instrText xml:space="preserve"> PAGEREF _Toc67565433 \h </w:instrText>
        </w:r>
        <w:r w:rsidR="001353E5">
          <w:rPr>
            <w:noProof/>
            <w:webHidden/>
          </w:rPr>
        </w:r>
        <w:r w:rsidR="001353E5">
          <w:rPr>
            <w:noProof/>
            <w:webHidden/>
          </w:rPr>
          <w:fldChar w:fldCharType="separate"/>
        </w:r>
        <w:r w:rsidR="000250B6">
          <w:rPr>
            <w:noProof/>
            <w:webHidden/>
          </w:rPr>
          <w:t>179</w:t>
        </w:r>
        <w:r w:rsidR="001353E5">
          <w:rPr>
            <w:noProof/>
            <w:webHidden/>
          </w:rPr>
          <w:fldChar w:fldCharType="end"/>
        </w:r>
      </w:hyperlink>
    </w:p>
    <w:p w14:paraId="4DF74C8C" w14:textId="77777777" w:rsidR="001353E5" w:rsidRDefault="00231E33">
      <w:pPr>
        <w:pStyle w:val="32"/>
        <w:rPr>
          <w:rFonts w:asciiTheme="minorHAnsi" w:eastAsiaTheme="minorEastAsia" w:hAnsiTheme="minorHAnsi" w:cstheme="minorBidi"/>
          <w:b w:val="0"/>
          <w:noProof/>
          <w:szCs w:val="22"/>
          <w:lang w:eastAsia="en-GB"/>
        </w:rPr>
      </w:pPr>
      <w:hyperlink w:anchor="_Toc67565434" w:history="1">
        <w:r w:rsidR="001353E5" w:rsidRPr="00EB7E77">
          <w:rPr>
            <w:rStyle w:val="-"/>
            <w:noProof/>
          </w:rPr>
          <w:t>11.4.4</w:t>
        </w:r>
        <w:r w:rsidR="001353E5">
          <w:rPr>
            <w:rFonts w:asciiTheme="minorHAnsi" w:eastAsiaTheme="minorEastAsia" w:hAnsiTheme="minorHAnsi" w:cstheme="minorBidi"/>
            <w:b w:val="0"/>
            <w:noProof/>
            <w:szCs w:val="22"/>
            <w:lang w:eastAsia="en-GB"/>
          </w:rPr>
          <w:tab/>
        </w:r>
        <w:r w:rsidR="001353E5" w:rsidRPr="00EB7E77">
          <w:rPr>
            <w:rStyle w:val="-"/>
            <w:noProof/>
          </w:rPr>
          <w:t>Anchorage of bars with bends and hooks</w:t>
        </w:r>
        <w:r w:rsidR="001353E5">
          <w:rPr>
            <w:noProof/>
            <w:webHidden/>
          </w:rPr>
          <w:tab/>
        </w:r>
        <w:r w:rsidR="001353E5">
          <w:rPr>
            <w:noProof/>
            <w:webHidden/>
          </w:rPr>
          <w:fldChar w:fldCharType="begin"/>
        </w:r>
        <w:r w:rsidR="001353E5">
          <w:rPr>
            <w:noProof/>
            <w:webHidden/>
          </w:rPr>
          <w:instrText xml:space="preserve"> PAGEREF _Toc67565434 \h </w:instrText>
        </w:r>
        <w:r w:rsidR="001353E5">
          <w:rPr>
            <w:noProof/>
            <w:webHidden/>
          </w:rPr>
        </w:r>
        <w:r w:rsidR="001353E5">
          <w:rPr>
            <w:noProof/>
            <w:webHidden/>
          </w:rPr>
          <w:fldChar w:fldCharType="separate"/>
        </w:r>
        <w:r w:rsidR="000250B6">
          <w:rPr>
            <w:noProof/>
            <w:webHidden/>
          </w:rPr>
          <w:t>179</w:t>
        </w:r>
        <w:r w:rsidR="001353E5">
          <w:rPr>
            <w:noProof/>
            <w:webHidden/>
          </w:rPr>
          <w:fldChar w:fldCharType="end"/>
        </w:r>
      </w:hyperlink>
    </w:p>
    <w:p w14:paraId="23406C34" w14:textId="77777777" w:rsidR="001353E5" w:rsidRDefault="00231E33">
      <w:pPr>
        <w:pStyle w:val="32"/>
        <w:rPr>
          <w:rFonts w:asciiTheme="minorHAnsi" w:eastAsiaTheme="minorEastAsia" w:hAnsiTheme="minorHAnsi" w:cstheme="minorBidi"/>
          <w:b w:val="0"/>
          <w:noProof/>
          <w:szCs w:val="22"/>
          <w:lang w:eastAsia="en-GB"/>
        </w:rPr>
      </w:pPr>
      <w:hyperlink w:anchor="_Toc67565435" w:history="1">
        <w:r w:rsidR="001353E5" w:rsidRPr="00EB7E77">
          <w:rPr>
            <w:rStyle w:val="-"/>
            <w:noProof/>
          </w:rPr>
          <w:t>11.4.5</w:t>
        </w:r>
        <w:r w:rsidR="001353E5">
          <w:rPr>
            <w:rFonts w:asciiTheme="minorHAnsi" w:eastAsiaTheme="minorEastAsia" w:hAnsiTheme="minorHAnsi" w:cstheme="minorBidi"/>
            <w:b w:val="0"/>
            <w:noProof/>
            <w:szCs w:val="22"/>
            <w:lang w:eastAsia="en-GB"/>
          </w:rPr>
          <w:tab/>
        </w:r>
        <w:r w:rsidR="001353E5" w:rsidRPr="00EB7E77">
          <w:rPr>
            <w:rStyle w:val="-"/>
            <w:noProof/>
          </w:rPr>
          <w:t>Anchorage of bars with welded transverse reinforcement</w:t>
        </w:r>
        <w:r w:rsidR="001353E5">
          <w:rPr>
            <w:noProof/>
            <w:webHidden/>
          </w:rPr>
          <w:tab/>
        </w:r>
        <w:r w:rsidR="001353E5">
          <w:rPr>
            <w:noProof/>
            <w:webHidden/>
          </w:rPr>
          <w:fldChar w:fldCharType="begin"/>
        </w:r>
        <w:r w:rsidR="001353E5">
          <w:rPr>
            <w:noProof/>
            <w:webHidden/>
          </w:rPr>
          <w:instrText xml:space="preserve"> PAGEREF _Toc67565435 \h </w:instrText>
        </w:r>
        <w:r w:rsidR="001353E5">
          <w:rPr>
            <w:noProof/>
            <w:webHidden/>
          </w:rPr>
        </w:r>
        <w:r w:rsidR="001353E5">
          <w:rPr>
            <w:noProof/>
            <w:webHidden/>
          </w:rPr>
          <w:fldChar w:fldCharType="separate"/>
        </w:r>
        <w:r w:rsidR="000250B6">
          <w:rPr>
            <w:noProof/>
            <w:webHidden/>
          </w:rPr>
          <w:t>180</w:t>
        </w:r>
        <w:r w:rsidR="001353E5">
          <w:rPr>
            <w:noProof/>
            <w:webHidden/>
          </w:rPr>
          <w:fldChar w:fldCharType="end"/>
        </w:r>
      </w:hyperlink>
    </w:p>
    <w:p w14:paraId="7983DC75" w14:textId="77777777" w:rsidR="001353E5" w:rsidRDefault="00231E33">
      <w:pPr>
        <w:pStyle w:val="32"/>
        <w:rPr>
          <w:rFonts w:asciiTheme="minorHAnsi" w:eastAsiaTheme="minorEastAsia" w:hAnsiTheme="minorHAnsi" w:cstheme="minorBidi"/>
          <w:b w:val="0"/>
          <w:noProof/>
          <w:szCs w:val="22"/>
          <w:lang w:eastAsia="en-GB"/>
        </w:rPr>
      </w:pPr>
      <w:hyperlink w:anchor="_Toc67565436" w:history="1">
        <w:r w:rsidR="001353E5" w:rsidRPr="00EB7E77">
          <w:rPr>
            <w:rStyle w:val="-"/>
            <w:noProof/>
          </w:rPr>
          <w:t>11.4.6</w:t>
        </w:r>
        <w:r w:rsidR="001353E5">
          <w:rPr>
            <w:rFonts w:asciiTheme="minorHAnsi" w:eastAsiaTheme="minorEastAsia" w:hAnsiTheme="minorHAnsi" w:cstheme="minorBidi"/>
            <w:b w:val="0"/>
            <w:noProof/>
            <w:szCs w:val="22"/>
            <w:lang w:eastAsia="en-GB"/>
          </w:rPr>
          <w:tab/>
        </w:r>
        <w:r w:rsidR="001353E5" w:rsidRPr="00EB7E77">
          <w:rPr>
            <w:rStyle w:val="-"/>
            <w:noProof/>
          </w:rPr>
          <w:t>Anchorage of U-bar loops</w:t>
        </w:r>
        <w:r w:rsidR="001353E5">
          <w:rPr>
            <w:noProof/>
            <w:webHidden/>
          </w:rPr>
          <w:tab/>
        </w:r>
        <w:r w:rsidR="001353E5">
          <w:rPr>
            <w:noProof/>
            <w:webHidden/>
          </w:rPr>
          <w:fldChar w:fldCharType="begin"/>
        </w:r>
        <w:r w:rsidR="001353E5">
          <w:rPr>
            <w:noProof/>
            <w:webHidden/>
          </w:rPr>
          <w:instrText xml:space="preserve"> PAGEREF _Toc67565436 \h </w:instrText>
        </w:r>
        <w:r w:rsidR="001353E5">
          <w:rPr>
            <w:noProof/>
            <w:webHidden/>
          </w:rPr>
        </w:r>
        <w:r w:rsidR="001353E5">
          <w:rPr>
            <w:noProof/>
            <w:webHidden/>
          </w:rPr>
          <w:fldChar w:fldCharType="separate"/>
        </w:r>
        <w:r w:rsidR="000250B6">
          <w:rPr>
            <w:noProof/>
            <w:webHidden/>
          </w:rPr>
          <w:t>181</w:t>
        </w:r>
        <w:r w:rsidR="001353E5">
          <w:rPr>
            <w:noProof/>
            <w:webHidden/>
          </w:rPr>
          <w:fldChar w:fldCharType="end"/>
        </w:r>
      </w:hyperlink>
    </w:p>
    <w:p w14:paraId="52AD5EFA" w14:textId="77777777" w:rsidR="001353E5" w:rsidRDefault="00231E33">
      <w:pPr>
        <w:pStyle w:val="32"/>
        <w:rPr>
          <w:rFonts w:asciiTheme="minorHAnsi" w:eastAsiaTheme="minorEastAsia" w:hAnsiTheme="minorHAnsi" w:cstheme="minorBidi"/>
          <w:b w:val="0"/>
          <w:noProof/>
          <w:szCs w:val="22"/>
          <w:lang w:eastAsia="en-GB"/>
        </w:rPr>
      </w:pPr>
      <w:hyperlink w:anchor="_Toc67565437" w:history="1">
        <w:r w:rsidR="001353E5" w:rsidRPr="00EB7E77">
          <w:rPr>
            <w:rStyle w:val="-"/>
            <w:noProof/>
          </w:rPr>
          <w:t>11.4.7</w:t>
        </w:r>
        <w:r w:rsidR="001353E5">
          <w:rPr>
            <w:rFonts w:asciiTheme="minorHAnsi" w:eastAsiaTheme="minorEastAsia" w:hAnsiTheme="minorHAnsi" w:cstheme="minorBidi"/>
            <w:b w:val="0"/>
            <w:noProof/>
            <w:szCs w:val="22"/>
            <w:lang w:eastAsia="en-GB"/>
          </w:rPr>
          <w:tab/>
        </w:r>
        <w:r w:rsidR="001353E5" w:rsidRPr="00EB7E77">
          <w:rPr>
            <w:rStyle w:val="-"/>
            <w:noProof/>
          </w:rPr>
          <w:t>Anchorage of headed bars</w:t>
        </w:r>
        <w:r w:rsidR="001353E5">
          <w:rPr>
            <w:noProof/>
            <w:webHidden/>
          </w:rPr>
          <w:tab/>
        </w:r>
        <w:r w:rsidR="001353E5">
          <w:rPr>
            <w:noProof/>
            <w:webHidden/>
          </w:rPr>
          <w:fldChar w:fldCharType="begin"/>
        </w:r>
        <w:r w:rsidR="001353E5">
          <w:rPr>
            <w:noProof/>
            <w:webHidden/>
          </w:rPr>
          <w:instrText xml:space="preserve"> PAGEREF _Toc67565437 \h </w:instrText>
        </w:r>
        <w:r w:rsidR="001353E5">
          <w:rPr>
            <w:noProof/>
            <w:webHidden/>
          </w:rPr>
        </w:r>
        <w:r w:rsidR="001353E5">
          <w:rPr>
            <w:noProof/>
            <w:webHidden/>
          </w:rPr>
          <w:fldChar w:fldCharType="separate"/>
        </w:r>
        <w:r w:rsidR="000250B6">
          <w:rPr>
            <w:noProof/>
            <w:webHidden/>
          </w:rPr>
          <w:t>181</w:t>
        </w:r>
        <w:r w:rsidR="001353E5">
          <w:rPr>
            <w:noProof/>
            <w:webHidden/>
          </w:rPr>
          <w:fldChar w:fldCharType="end"/>
        </w:r>
      </w:hyperlink>
    </w:p>
    <w:p w14:paraId="60217B01" w14:textId="77777777" w:rsidR="001353E5" w:rsidRDefault="00231E33">
      <w:pPr>
        <w:pStyle w:val="32"/>
        <w:rPr>
          <w:rFonts w:asciiTheme="minorHAnsi" w:eastAsiaTheme="minorEastAsia" w:hAnsiTheme="minorHAnsi" w:cstheme="minorBidi"/>
          <w:b w:val="0"/>
          <w:noProof/>
          <w:szCs w:val="22"/>
          <w:lang w:eastAsia="en-GB"/>
        </w:rPr>
      </w:pPr>
      <w:hyperlink w:anchor="_Toc67565438" w:history="1">
        <w:r w:rsidR="001353E5" w:rsidRPr="00EB7E77">
          <w:rPr>
            <w:rStyle w:val="-"/>
            <w:noProof/>
          </w:rPr>
          <w:t>11.4.8</w:t>
        </w:r>
        <w:r w:rsidR="001353E5">
          <w:rPr>
            <w:rFonts w:asciiTheme="minorHAnsi" w:eastAsiaTheme="minorEastAsia" w:hAnsiTheme="minorHAnsi" w:cstheme="minorBidi"/>
            <w:b w:val="0"/>
            <w:noProof/>
            <w:szCs w:val="22"/>
            <w:lang w:eastAsia="en-GB"/>
          </w:rPr>
          <w:tab/>
        </w:r>
        <w:r w:rsidR="001353E5" w:rsidRPr="00EB7E77">
          <w:rPr>
            <w:rStyle w:val="-"/>
            <w:noProof/>
          </w:rPr>
          <w:t>Anchorage of bonded post-installed reinforcing steel</w:t>
        </w:r>
        <w:r w:rsidR="001353E5">
          <w:rPr>
            <w:noProof/>
            <w:webHidden/>
          </w:rPr>
          <w:tab/>
        </w:r>
        <w:r w:rsidR="001353E5">
          <w:rPr>
            <w:noProof/>
            <w:webHidden/>
          </w:rPr>
          <w:fldChar w:fldCharType="begin"/>
        </w:r>
        <w:r w:rsidR="001353E5">
          <w:rPr>
            <w:noProof/>
            <w:webHidden/>
          </w:rPr>
          <w:instrText xml:space="preserve"> PAGEREF _Toc67565438 \h </w:instrText>
        </w:r>
        <w:r w:rsidR="001353E5">
          <w:rPr>
            <w:noProof/>
            <w:webHidden/>
          </w:rPr>
        </w:r>
        <w:r w:rsidR="001353E5">
          <w:rPr>
            <w:noProof/>
            <w:webHidden/>
          </w:rPr>
          <w:fldChar w:fldCharType="separate"/>
        </w:r>
        <w:r w:rsidR="000250B6">
          <w:rPr>
            <w:noProof/>
            <w:webHidden/>
          </w:rPr>
          <w:t>182</w:t>
        </w:r>
        <w:r w:rsidR="001353E5">
          <w:rPr>
            <w:noProof/>
            <w:webHidden/>
          </w:rPr>
          <w:fldChar w:fldCharType="end"/>
        </w:r>
      </w:hyperlink>
    </w:p>
    <w:p w14:paraId="7F78BB90" w14:textId="77777777" w:rsidR="001353E5" w:rsidRDefault="00231E33">
      <w:pPr>
        <w:pStyle w:val="22"/>
        <w:rPr>
          <w:rFonts w:asciiTheme="minorHAnsi" w:eastAsiaTheme="minorEastAsia" w:hAnsiTheme="minorHAnsi" w:cstheme="minorBidi"/>
          <w:b w:val="0"/>
          <w:noProof/>
          <w:szCs w:val="22"/>
          <w:lang w:eastAsia="en-GB"/>
        </w:rPr>
      </w:pPr>
      <w:hyperlink w:anchor="_Toc67565439" w:history="1">
        <w:r w:rsidR="001353E5" w:rsidRPr="00EB7E77">
          <w:rPr>
            <w:rStyle w:val="-"/>
            <w:noProof/>
          </w:rPr>
          <w:t>11.5</w:t>
        </w:r>
        <w:r w:rsidR="001353E5">
          <w:rPr>
            <w:rFonts w:asciiTheme="minorHAnsi" w:eastAsiaTheme="minorEastAsia" w:hAnsiTheme="minorHAnsi" w:cstheme="minorBidi"/>
            <w:b w:val="0"/>
            <w:noProof/>
            <w:szCs w:val="22"/>
            <w:lang w:eastAsia="en-GB"/>
          </w:rPr>
          <w:tab/>
        </w:r>
        <w:r w:rsidR="001353E5" w:rsidRPr="00EB7E77">
          <w:rPr>
            <w:rStyle w:val="-"/>
            <w:noProof/>
          </w:rPr>
          <w:t>Laps of reinforcing steel in tension and compression and mechanical couplers</w:t>
        </w:r>
        <w:r w:rsidR="001353E5">
          <w:rPr>
            <w:noProof/>
            <w:webHidden/>
          </w:rPr>
          <w:tab/>
        </w:r>
        <w:r w:rsidR="001353E5">
          <w:rPr>
            <w:noProof/>
            <w:webHidden/>
          </w:rPr>
          <w:fldChar w:fldCharType="begin"/>
        </w:r>
        <w:r w:rsidR="001353E5">
          <w:rPr>
            <w:noProof/>
            <w:webHidden/>
          </w:rPr>
          <w:instrText xml:space="preserve"> PAGEREF _Toc67565439 \h </w:instrText>
        </w:r>
        <w:r w:rsidR="001353E5">
          <w:rPr>
            <w:noProof/>
            <w:webHidden/>
          </w:rPr>
        </w:r>
        <w:r w:rsidR="001353E5">
          <w:rPr>
            <w:noProof/>
            <w:webHidden/>
          </w:rPr>
          <w:fldChar w:fldCharType="separate"/>
        </w:r>
        <w:r w:rsidR="000250B6">
          <w:rPr>
            <w:noProof/>
            <w:webHidden/>
          </w:rPr>
          <w:t>184</w:t>
        </w:r>
        <w:r w:rsidR="001353E5">
          <w:rPr>
            <w:noProof/>
            <w:webHidden/>
          </w:rPr>
          <w:fldChar w:fldCharType="end"/>
        </w:r>
      </w:hyperlink>
    </w:p>
    <w:p w14:paraId="55C07A39" w14:textId="77777777" w:rsidR="001353E5" w:rsidRDefault="00231E33">
      <w:pPr>
        <w:pStyle w:val="32"/>
        <w:rPr>
          <w:rFonts w:asciiTheme="minorHAnsi" w:eastAsiaTheme="minorEastAsia" w:hAnsiTheme="minorHAnsi" w:cstheme="minorBidi"/>
          <w:b w:val="0"/>
          <w:noProof/>
          <w:szCs w:val="22"/>
          <w:lang w:eastAsia="en-GB"/>
        </w:rPr>
      </w:pPr>
      <w:hyperlink w:anchor="_Toc67565440" w:history="1">
        <w:r w:rsidR="001353E5" w:rsidRPr="00EB7E77">
          <w:rPr>
            <w:rStyle w:val="-"/>
            <w:noProof/>
          </w:rPr>
          <w:t>11.5.1</w:t>
        </w:r>
        <w:r w:rsidR="001353E5">
          <w:rPr>
            <w:rFonts w:asciiTheme="minorHAnsi" w:eastAsiaTheme="minorEastAsia" w:hAnsiTheme="minorHAnsi" w:cstheme="minorBidi"/>
            <w:b w:val="0"/>
            <w:noProof/>
            <w:szCs w:val="22"/>
            <w:lang w:eastAsia="en-GB"/>
          </w:rPr>
          <w:tab/>
        </w:r>
        <w:r w:rsidR="001353E5" w:rsidRPr="00EB7E77">
          <w:rPr>
            <w:rStyle w:val="-"/>
            <w:noProof/>
          </w:rPr>
          <w:t>General</w:t>
        </w:r>
        <w:r w:rsidR="001353E5">
          <w:rPr>
            <w:noProof/>
            <w:webHidden/>
          </w:rPr>
          <w:tab/>
        </w:r>
        <w:r w:rsidR="001353E5">
          <w:rPr>
            <w:noProof/>
            <w:webHidden/>
          </w:rPr>
          <w:fldChar w:fldCharType="begin"/>
        </w:r>
        <w:r w:rsidR="001353E5">
          <w:rPr>
            <w:noProof/>
            <w:webHidden/>
          </w:rPr>
          <w:instrText xml:space="preserve"> PAGEREF _Toc67565440 \h </w:instrText>
        </w:r>
        <w:r w:rsidR="001353E5">
          <w:rPr>
            <w:noProof/>
            <w:webHidden/>
          </w:rPr>
        </w:r>
        <w:r w:rsidR="001353E5">
          <w:rPr>
            <w:noProof/>
            <w:webHidden/>
          </w:rPr>
          <w:fldChar w:fldCharType="separate"/>
        </w:r>
        <w:r w:rsidR="000250B6">
          <w:rPr>
            <w:noProof/>
            <w:webHidden/>
          </w:rPr>
          <w:t>184</w:t>
        </w:r>
        <w:r w:rsidR="001353E5">
          <w:rPr>
            <w:noProof/>
            <w:webHidden/>
          </w:rPr>
          <w:fldChar w:fldCharType="end"/>
        </w:r>
      </w:hyperlink>
    </w:p>
    <w:p w14:paraId="541DC0BC" w14:textId="77777777" w:rsidR="001353E5" w:rsidRDefault="00231E33">
      <w:pPr>
        <w:pStyle w:val="32"/>
        <w:rPr>
          <w:rFonts w:asciiTheme="minorHAnsi" w:eastAsiaTheme="minorEastAsia" w:hAnsiTheme="minorHAnsi" w:cstheme="minorBidi"/>
          <w:b w:val="0"/>
          <w:noProof/>
          <w:szCs w:val="22"/>
          <w:lang w:eastAsia="en-GB"/>
        </w:rPr>
      </w:pPr>
      <w:hyperlink w:anchor="_Toc67565441" w:history="1">
        <w:r w:rsidR="001353E5" w:rsidRPr="00EB7E77">
          <w:rPr>
            <w:rStyle w:val="-"/>
            <w:noProof/>
          </w:rPr>
          <w:t>11.5.2</w:t>
        </w:r>
        <w:r w:rsidR="001353E5">
          <w:rPr>
            <w:rFonts w:asciiTheme="minorHAnsi" w:eastAsiaTheme="minorEastAsia" w:hAnsiTheme="minorHAnsi" w:cstheme="minorBidi"/>
            <w:b w:val="0"/>
            <w:noProof/>
            <w:szCs w:val="22"/>
            <w:lang w:eastAsia="en-GB"/>
          </w:rPr>
          <w:tab/>
        </w:r>
        <w:r w:rsidR="001353E5" w:rsidRPr="00EB7E77">
          <w:rPr>
            <w:rStyle w:val="-"/>
            <w:noProof/>
          </w:rPr>
          <w:t>All types of laps</w:t>
        </w:r>
        <w:r w:rsidR="001353E5">
          <w:rPr>
            <w:noProof/>
            <w:webHidden/>
          </w:rPr>
          <w:tab/>
        </w:r>
        <w:r w:rsidR="001353E5">
          <w:rPr>
            <w:noProof/>
            <w:webHidden/>
          </w:rPr>
          <w:fldChar w:fldCharType="begin"/>
        </w:r>
        <w:r w:rsidR="001353E5">
          <w:rPr>
            <w:noProof/>
            <w:webHidden/>
          </w:rPr>
          <w:instrText xml:space="preserve"> PAGEREF _Toc67565441 \h </w:instrText>
        </w:r>
        <w:r w:rsidR="001353E5">
          <w:rPr>
            <w:noProof/>
            <w:webHidden/>
          </w:rPr>
        </w:r>
        <w:r w:rsidR="001353E5">
          <w:rPr>
            <w:noProof/>
            <w:webHidden/>
          </w:rPr>
          <w:fldChar w:fldCharType="separate"/>
        </w:r>
        <w:r w:rsidR="000250B6">
          <w:rPr>
            <w:noProof/>
            <w:webHidden/>
          </w:rPr>
          <w:t>184</w:t>
        </w:r>
        <w:r w:rsidR="001353E5">
          <w:rPr>
            <w:noProof/>
            <w:webHidden/>
          </w:rPr>
          <w:fldChar w:fldCharType="end"/>
        </w:r>
      </w:hyperlink>
    </w:p>
    <w:p w14:paraId="1477D8F2" w14:textId="77777777" w:rsidR="001353E5" w:rsidRDefault="00231E33">
      <w:pPr>
        <w:pStyle w:val="32"/>
        <w:rPr>
          <w:rFonts w:asciiTheme="minorHAnsi" w:eastAsiaTheme="minorEastAsia" w:hAnsiTheme="minorHAnsi" w:cstheme="minorBidi"/>
          <w:b w:val="0"/>
          <w:noProof/>
          <w:szCs w:val="22"/>
          <w:lang w:eastAsia="en-GB"/>
        </w:rPr>
      </w:pPr>
      <w:hyperlink w:anchor="_Toc67565442" w:history="1">
        <w:r w:rsidR="001353E5" w:rsidRPr="00EB7E77">
          <w:rPr>
            <w:rStyle w:val="-"/>
            <w:noProof/>
          </w:rPr>
          <w:t>11.5.3</w:t>
        </w:r>
        <w:r w:rsidR="001353E5">
          <w:rPr>
            <w:rFonts w:asciiTheme="minorHAnsi" w:eastAsiaTheme="minorEastAsia" w:hAnsiTheme="minorHAnsi" w:cstheme="minorBidi"/>
            <w:b w:val="0"/>
            <w:noProof/>
            <w:szCs w:val="22"/>
            <w:lang w:eastAsia="en-GB"/>
          </w:rPr>
          <w:tab/>
        </w:r>
        <w:r w:rsidR="001353E5" w:rsidRPr="00EB7E77">
          <w:rPr>
            <w:rStyle w:val="-"/>
            <w:noProof/>
          </w:rPr>
          <w:t>Laps of bundles</w:t>
        </w:r>
        <w:r w:rsidR="001353E5">
          <w:rPr>
            <w:noProof/>
            <w:webHidden/>
          </w:rPr>
          <w:tab/>
        </w:r>
        <w:r w:rsidR="001353E5">
          <w:rPr>
            <w:noProof/>
            <w:webHidden/>
          </w:rPr>
          <w:fldChar w:fldCharType="begin"/>
        </w:r>
        <w:r w:rsidR="001353E5">
          <w:rPr>
            <w:noProof/>
            <w:webHidden/>
          </w:rPr>
          <w:instrText xml:space="preserve"> PAGEREF _Toc67565442 \h </w:instrText>
        </w:r>
        <w:r w:rsidR="001353E5">
          <w:rPr>
            <w:noProof/>
            <w:webHidden/>
          </w:rPr>
        </w:r>
        <w:r w:rsidR="001353E5">
          <w:rPr>
            <w:noProof/>
            <w:webHidden/>
          </w:rPr>
          <w:fldChar w:fldCharType="separate"/>
        </w:r>
        <w:r w:rsidR="000250B6">
          <w:rPr>
            <w:noProof/>
            <w:webHidden/>
          </w:rPr>
          <w:t>187</w:t>
        </w:r>
        <w:r w:rsidR="001353E5">
          <w:rPr>
            <w:noProof/>
            <w:webHidden/>
          </w:rPr>
          <w:fldChar w:fldCharType="end"/>
        </w:r>
      </w:hyperlink>
    </w:p>
    <w:p w14:paraId="54CA7DED" w14:textId="77777777" w:rsidR="001353E5" w:rsidRDefault="00231E33">
      <w:pPr>
        <w:pStyle w:val="32"/>
        <w:rPr>
          <w:rFonts w:asciiTheme="minorHAnsi" w:eastAsiaTheme="minorEastAsia" w:hAnsiTheme="minorHAnsi" w:cstheme="minorBidi"/>
          <w:b w:val="0"/>
          <w:noProof/>
          <w:szCs w:val="22"/>
          <w:lang w:eastAsia="en-GB"/>
        </w:rPr>
      </w:pPr>
      <w:hyperlink w:anchor="_Toc67565443" w:history="1">
        <w:r w:rsidR="001353E5" w:rsidRPr="00EB7E77">
          <w:rPr>
            <w:rStyle w:val="-"/>
            <w:noProof/>
          </w:rPr>
          <w:t>11.5.4</w:t>
        </w:r>
        <w:r w:rsidR="001353E5">
          <w:rPr>
            <w:rFonts w:asciiTheme="minorHAnsi" w:eastAsiaTheme="minorEastAsia" w:hAnsiTheme="minorHAnsi" w:cstheme="minorBidi"/>
            <w:b w:val="0"/>
            <w:noProof/>
            <w:szCs w:val="22"/>
            <w:lang w:eastAsia="en-GB"/>
          </w:rPr>
          <w:tab/>
        </w:r>
        <w:r w:rsidR="001353E5" w:rsidRPr="00EB7E77">
          <w:rPr>
            <w:rStyle w:val="-"/>
            <w:noProof/>
          </w:rPr>
          <w:t>Laps using U-bar loops</w:t>
        </w:r>
        <w:r w:rsidR="001353E5">
          <w:rPr>
            <w:noProof/>
            <w:webHidden/>
          </w:rPr>
          <w:tab/>
        </w:r>
        <w:r w:rsidR="001353E5">
          <w:rPr>
            <w:noProof/>
            <w:webHidden/>
          </w:rPr>
          <w:fldChar w:fldCharType="begin"/>
        </w:r>
        <w:r w:rsidR="001353E5">
          <w:rPr>
            <w:noProof/>
            <w:webHidden/>
          </w:rPr>
          <w:instrText xml:space="preserve"> PAGEREF _Toc67565443 \h </w:instrText>
        </w:r>
        <w:r w:rsidR="001353E5">
          <w:rPr>
            <w:noProof/>
            <w:webHidden/>
          </w:rPr>
        </w:r>
        <w:r w:rsidR="001353E5">
          <w:rPr>
            <w:noProof/>
            <w:webHidden/>
          </w:rPr>
          <w:fldChar w:fldCharType="separate"/>
        </w:r>
        <w:r w:rsidR="000250B6">
          <w:rPr>
            <w:noProof/>
            <w:webHidden/>
          </w:rPr>
          <w:t>188</w:t>
        </w:r>
        <w:r w:rsidR="001353E5">
          <w:rPr>
            <w:noProof/>
            <w:webHidden/>
          </w:rPr>
          <w:fldChar w:fldCharType="end"/>
        </w:r>
      </w:hyperlink>
    </w:p>
    <w:p w14:paraId="774DC7E8" w14:textId="77777777" w:rsidR="001353E5" w:rsidRDefault="00231E33">
      <w:pPr>
        <w:pStyle w:val="32"/>
        <w:rPr>
          <w:rFonts w:asciiTheme="minorHAnsi" w:eastAsiaTheme="minorEastAsia" w:hAnsiTheme="minorHAnsi" w:cstheme="minorBidi"/>
          <w:b w:val="0"/>
          <w:noProof/>
          <w:szCs w:val="22"/>
          <w:lang w:eastAsia="en-GB"/>
        </w:rPr>
      </w:pPr>
      <w:hyperlink w:anchor="_Toc67565444" w:history="1">
        <w:r w:rsidR="001353E5" w:rsidRPr="00EB7E77">
          <w:rPr>
            <w:rStyle w:val="-"/>
            <w:noProof/>
          </w:rPr>
          <w:t>11.5.5</w:t>
        </w:r>
        <w:r w:rsidR="001353E5">
          <w:rPr>
            <w:rFonts w:asciiTheme="minorHAnsi" w:eastAsiaTheme="minorEastAsia" w:hAnsiTheme="minorHAnsi" w:cstheme="minorBidi"/>
            <w:b w:val="0"/>
            <w:noProof/>
            <w:szCs w:val="22"/>
            <w:lang w:eastAsia="en-GB"/>
          </w:rPr>
          <w:tab/>
        </w:r>
        <w:r w:rsidR="001353E5" w:rsidRPr="00EB7E77">
          <w:rPr>
            <w:rStyle w:val="-"/>
            <w:noProof/>
          </w:rPr>
          <w:t>Laps using headed bars</w:t>
        </w:r>
        <w:r w:rsidR="001353E5">
          <w:rPr>
            <w:noProof/>
            <w:webHidden/>
          </w:rPr>
          <w:tab/>
        </w:r>
        <w:r w:rsidR="001353E5">
          <w:rPr>
            <w:noProof/>
            <w:webHidden/>
          </w:rPr>
          <w:fldChar w:fldCharType="begin"/>
        </w:r>
        <w:r w:rsidR="001353E5">
          <w:rPr>
            <w:noProof/>
            <w:webHidden/>
          </w:rPr>
          <w:instrText xml:space="preserve"> PAGEREF _Toc67565444 \h </w:instrText>
        </w:r>
        <w:r w:rsidR="001353E5">
          <w:rPr>
            <w:noProof/>
            <w:webHidden/>
          </w:rPr>
        </w:r>
        <w:r w:rsidR="001353E5">
          <w:rPr>
            <w:noProof/>
            <w:webHidden/>
          </w:rPr>
          <w:fldChar w:fldCharType="separate"/>
        </w:r>
        <w:r w:rsidR="000250B6">
          <w:rPr>
            <w:noProof/>
            <w:webHidden/>
          </w:rPr>
          <w:t>190</w:t>
        </w:r>
        <w:r w:rsidR="001353E5">
          <w:rPr>
            <w:noProof/>
            <w:webHidden/>
          </w:rPr>
          <w:fldChar w:fldCharType="end"/>
        </w:r>
      </w:hyperlink>
    </w:p>
    <w:p w14:paraId="7DFB152D" w14:textId="77777777" w:rsidR="001353E5" w:rsidRDefault="00231E33">
      <w:pPr>
        <w:pStyle w:val="32"/>
        <w:rPr>
          <w:rFonts w:asciiTheme="minorHAnsi" w:eastAsiaTheme="minorEastAsia" w:hAnsiTheme="minorHAnsi" w:cstheme="minorBidi"/>
          <w:b w:val="0"/>
          <w:noProof/>
          <w:szCs w:val="22"/>
          <w:lang w:eastAsia="en-GB"/>
        </w:rPr>
      </w:pPr>
      <w:hyperlink w:anchor="_Toc67565445" w:history="1">
        <w:r w:rsidR="001353E5" w:rsidRPr="00EB7E77">
          <w:rPr>
            <w:rStyle w:val="-"/>
            <w:noProof/>
          </w:rPr>
          <w:t>11.5.6</w:t>
        </w:r>
        <w:r w:rsidR="001353E5">
          <w:rPr>
            <w:rFonts w:asciiTheme="minorHAnsi" w:eastAsiaTheme="minorEastAsia" w:hAnsiTheme="minorHAnsi" w:cstheme="minorBidi"/>
            <w:b w:val="0"/>
            <w:noProof/>
            <w:szCs w:val="22"/>
            <w:lang w:eastAsia="en-GB"/>
          </w:rPr>
          <w:tab/>
        </w:r>
        <w:r w:rsidR="001353E5" w:rsidRPr="00EB7E77">
          <w:rPr>
            <w:rStyle w:val="-"/>
            <w:noProof/>
          </w:rPr>
          <w:t>Mechanical couplers</w:t>
        </w:r>
        <w:r w:rsidR="001353E5">
          <w:rPr>
            <w:noProof/>
            <w:webHidden/>
          </w:rPr>
          <w:tab/>
        </w:r>
        <w:r w:rsidR="001353E5">
          <w:rPr>
            <w:noProof/>
            <w:webHidden/>
          </w:rPr>
          <w:fldChar w:fldCharType="begin"/>
        </w:r>
        <w:r w:rsidR="001353E5">
          <w:rPr>
            <w:noProof/>
            <w:webHidden/>
          </w:rPr>
          <w:instrText xml:space="preserve"> PAGEREF _Toc67565445 \h </w:instrText>
        </w:r>
        <w:r w:rsidR="001353E5">
          <w:rPr>
            <w:noProof/>
            <w:webHidden/>
          </w:rPr>
        </w:r>
        <w:r w:rsidR="001353E5">
          <w:rPr>
            <w:noProof/>
            <w:webHidden/>
          </w:rPr>
          <w:fldChar w:fldCharType="separate"/>
        </w:r>
        <w:r w:rsidR="000250B6">
          <w:rPr>
            <w:noProof/>
            <w:webHidden/>
          </w:rPr>
          <w:t>192</w:t>
        </w:r>
        <w:r w:rsidR="001353E5">
          <w:rPr>
            <w:noProof/>
            <w:webHidden/>
          </w:rPr>
          <w:fldChar w:fldCharType="end"/>
        </w:r>
      </w:hyperlink>
    </w:p>
    <w:p w14:paraId="24684FF8" w14:textId="77777777" w:rsidR="001353E5" w:rsidRDefault="00231E33">
      <w:pPr>
        <w:pStyle w:val="32"/>
        <w:rPr>
          <w:rFonts w:asciiTheme="minorHAnsi" w:eastAsiaTheme="minorEastAsia" w:hAnsiTheme="minorHAnsi" w:cstheme="minorBidi"/>
          <w:b w:val="0"/>
          <w:noProof/>
          <w:szCs w:val="22"/>
          <w:lang w:eastAsia="en-GB"/>
        </w:rPr>
      </w:pPr>
      <w:hyperlink w:anchor="_Toc67565446" w:history="1">
        <w:r w:rsidR="001353E5" w:rsidRPr="00EB7E77">
          <w:rPr>
            <w:rStyle w:val="-"/>
            <w:noProof/>
          </w:rPr>
          <w:t>11.5.7</w:t>
        </w:r>
        <w:r w:rsidR="001353E5">
          <w:rPr>
            <w:rFonts w:asciiTheme="minorHAnsi" w:eastAsiaTheme="minorEastAsia" w:hAnsiTheme="minorHAnsi" w:cstheme="minorBidi"/>
            <w:b w:val="0"/>
            <w:noProof/>
            <w:szCs w:val="22"/>
            <w:lang w:eastAsia="en-GB"/>
          </w:rPr>
          <w:tab/>
        </w:r>
        <w:r w:rsidR="001353E5" w:rsidRPr="00EB7E77">
          <w:rPr>
            <w:rStyle w:val="-"/>
            <w:noProof/>
          </w:rPr>
          <w:t>Full penetration butt weld and fillet weld splices</w:t>
        </w:r>
        <w:r w:rsidR="001353E5">
          <w:rPr>
            <w:noProof/>
            <w:webHidden/>
          </w:rPr>
          <w:tab/>
        </w:r>
        <w:r w:rsidR="001353E5">
          <w:rPr>
            <w:noProof/>
            <w:webHidden/>
          </w:rPr>
          <w:fldChar w:fldCharType="begin"/>
        </w:r>
        <w:r w:rsidR="001353E5">
          <w:rPr>
            <w:noProof/>
            <w:webHidden/>
          </w:rPr>
          <w:instrText xml:space="preserve"> PAGEREF _Toc67565446 \h </w:instrText>
        </w:r>
        <w:r w:rsidR="001353E5">
          <w:rPr>
            <w:noProof/>
            <w:webHidden/>
          </w:rPr>
        </w:r>
        <w:r w:rsidR="001353E5">
          <w:rPr>
            <w:noProof/>
            <w:webHidden/>
          </w:rPr>
          <w:fldChar w:fldCharType="separate"/>
        </w:r>
        <w:r w:rsidR="000250B6">
          <w:rPr>
            <w:noProof/>
            <w:webHidden/>
          </w:rPr>
          <w:t>192</w:t>
        </w:r>
        <w:r w:rsidR="001353E5">
          <w:rPr>
            <w:noProof/>
            <w:webHidden/>
          </w:rPr>
          <w:fldChar w:fldCharType="end"/>
        </w:r>
      </w:hyperlink>
    </w:p>
    <w:p w14:paraId="50D090DE" w14:textId="77777777" w:rsidR="001353E5" w:rsidRDefault="00231E33">
      <w:pPr>
        <w:pStyle w:val="22"/>
        <w:rPr>
          <w:rFonts w:asciiTheme="minorHAnsi" w:eastAsiaTheme="minorEastAsia" w:hAnsiTheme="minorHAnsi" w:cstheme="minorBidi"/>
          <w:b w:val="0"/>
          <w:noProof/>
          <w:szCs w:val="22"/>
          <w:lang w:eastAsia="en-GB"/>
        </w:rPr>
      </w:pPr>
      <w:hyperlink w:anchor="_Toc67565447" w:history="1">
        <w:r w:rsidR="001353E5" w:rsidRPr="00EB7E77">
          <w:rPr>
            <w:rStyle w:val="-"/>
            <w:noProof/>
          </w:rPr>
          <w:t>11.6</w:t>
        </w:r>
        <w:r w:rsidR="001353E5">
          <w:rPr>
            <w:rFonts w:asciiTheme="minorHAnsi" w:eastAsiaTheme="minorEastAsia" w:hAnsiTheme="minorHAnsi" w:cstheme="minorBidi"/>
            <w:b w:val="0"/>
            <w:noProof/>
            <w:szCs w:val="22"/>
            <w:lang w:eastAsia="en-GB"/>
          </w:rPr>
          <w:tab/>
        </w:r>
        <w:r w:rsidR="001353E5" w:rsidRPr="00EB7E77">
          <w:rPr>
            <w:rStyle w:val="-"/>
            <w:noProof/>
          </w:rPr>
          <w:t>Post-tensioning tendons</w:t>
        </w:r>
        <w:r w:rsidR="001353E5">
          <w:rPr>
            <w:noProof/>
            <w:webHidden/>
          </w:rPr>
          <w:tab/>
        </w:r>
        <w:r w:rsidR="001353E5">
          <w:rPr>
            <w:noProof/>
            <w:webHidden/>
          </w:rPr>
          <w:fldChar w:fldCharType="begin"/>
        </w:r>
        <w:r w:rsidR="001353E5">
          <w:rPr>
            <w:noProof/>
            <w:webHidden/>
          </w:rPr>
          <w:instrText xml:space="preserve"> PAGEREF _Toc67565447 \h </w:instrText>
        </w:r>
        <w:r w:rsidR="001353E5">
          <w:rPr>
            <w:noProof/>
            <w:webHidden/>
          </w:rPr>
        </w:r>
        <w:r w:rsidR="001353E5">
          <w:rPr>
            <w:noProof/>
            <w:webHidden/>
          </w:rPr>
          <w:fldChar w:fldCharType="separate"/>
        </w:r>
        <w:r w:rsidR="000250B6">
          <w:rPr>
            <w:noProof/>
            <w:webHidden/>
          </w:rPr>
          <w:t>193</w:t>
        </w:r>
        <w:r w:rsidR="001353E5">
          <w:rPr>
            <w:noProof/>
            <w:webHidden/>
          </w:rPr>
          <w:fldChar w:fldCharType="end"/>
        </w:r>
      </w:hyperlink>
    </w:p>
    <w:p w14:paraId="6C528231" w14:textId="77777777" w:rsidR="001353E5" w:rsidRDefault="00231E33">
      <w:pPr>
        <w:pStyle w:val="32"/>
        <w:rPr>
          <w:rFonts w:asciiTheme="minorHAnsi" w:eastAsiaTheme="minorEastAsia" w:hAnsiTheme="minorHAnsi" w:cstheme="minorBidi"/>
          <w:b w:val="0"/>
          <w:noProof/>
          <w:szCs w:val="22"/>
          <w:lang w:eastAsia="en-GB"/>
        </w:rPr>
      </w:pPr>
      <w:hyperlink w:anchor="_Toc67565448" w:history="1">
        <w:r w:rsidR="001353E5" w:rsidRPr="00EB7E77">
          <w:rPr>
            <w:rStyle w:val="-"/>
            <w:noProof/>
          </w:rPr>
          <w:t>11.6.1</w:t>
        </w:r>
        <w:r w:rsidR="001353E5">
          <w:rPr>
            <w:rFonts w:asciiTheme="minorHAnsi" w:eastAsiaTheme="minorEastAsia" w:hAnsiTheme="minorHAnsi" w:cstheme="minorBidi"/>
            <w:b w:val="0"/>
            <w:noProof/>
            <w:szCs w:val="22"/>
            <w:lang w:eastAsia="en-GB"/>
          </w:rPr>
          <w:tab/>
        </w:r>
        <w:r w:rsidR="001353E5" w:rsidRPr="00EB7E77">
          <w:rPr>
            <w:rStyle w:val="-"/>
            <w:noProof/>
          </w:rPr>
          <w:t>General</w:t>
        </w:r>
        <w:r w:rsidR="001353E5">
          <w:rPr>
            <w:noProof/>
            <w:webHidden/>
          </w:rPr>
          <w:tab/>
        </w:r>
        <w:r w:rsidR="001353E5">
          <w:rPr>
            <w:noProof/>
            <w:webHidden/>
          </w:rPr>
          <w:fldChar w:fldCharType="begin"/>
        </w:r>
        <w:r w:rsidR="001353E5">
          <w:rPr>
            <w:noProof/>
            <w:webHidden/>
          </w:rPr>
          <w:instrText xml:space="preserve"> PAGEREF _Toc67565448 \h </w:instrText>
        </w:r>
        <w:r w:rsidR="001353E5">
          <w:rPr>
            <w:noProof/>
            <w:webHidden/>
          </w:rPr>
        </w:r>
        <w:r w:rsidR="001353E5">
          <w:rPr>
            <w:noProof/>
            <w:webHidden/>
          </w:rPr>
          <w:fldChar w:fldCharType="separate"/>
        </w:r>
        <w:r w:rsidR="000250B6">
          <w:rPr>
            <w:noProof/>
            <w:webHidden/>
          </w:rPr>
          <w:t>193</w:t>
        </w:r>
        <w:r w:rsidR="001353E5">
          <w:rPr>
            <w:noProof/>
            <w:webHidden/>
          </w:rPr>
          <w:fldChar w:fldCharType="end"/>
        </w:r>
      </w:hyperlink>
    </w:p>
    <w:p w14:paraId="34598112" w14:textId="77777777" w:rsidR="001353E5" w:rsidRDefault="00231E33">
      <w:pPr>
        <w:pStyle w:val="32"/>
        <w:rPr>
          <w:rFonts w:asciiTheme="minorHAnsi" w:eastAsiaTheme="minorEastAsia" w:hAnsiTheme="minorHAnsi" w:cstheme="minorBidi"/>
          <w:b w:val="0"/>
          <w:noProof/>
          <w:szCs w:val="22"/>
          <w:lang w:eastAsia="en-GB"/>
        </w:rPr>
      </w:pPr>
      <w:hyperlink w:anchor="_Toc67565449" w:history="1">
        <w:r w:rsidR="001353E5" w:rsidRPr="00EB7E77">
          <w:rPr>
            <w:rStyle w:val="-"/>
            <w:noProof/>
          </w:rPr>
          <w:t>11.6.2</w:t>
        </w:r>
        <w:r w:rsidR="001353E5">
          <w:rPr>
            <w:rFonts w:asciiTheme="minorHAnsi" w:eastAsiaTheme="minorEastAsia" w:hAnsiTheme="minorHAnsi" w:cstheme="minorBidi"/>
            <w:b w:val="0"/>
            <w:noProof/>
            <w:szCs w:val="22"/>
            <w:lang w:eastAsia="en-GB"/>
          </w:rPr>
          <w:tab/>
        </w:r>
        <w:r w:rsidR="001353E5" w:rsidRPr="00EB7E77">
          <w:rPr>
            <w:rStyle w:val="-"/>
            <w:noProof/>
          </w:rPr>
          <w:t>Minimum spacing of ducts</w:t>
        </w:r>
        <w:r w:rsidR="001353E5">
          <w:rPr>
            <w:noProof/>
            <w:webHidden/>
          </w:rPr>
          <w:tab/>
        </w:r>
        <w:r w:rsidR="001353E5">
          <w:rPr>
            <w:noProof/>
            <w:webHidden/>
          </w:rPr>
          <w:fldChar w:fldCharType="begin"/>
        </w:r>
        <w:r w:rsidR="001353E5">
          <w:rPr>
            <w:noProof/>
            <w:webHidden/>
          </w:rPr>
          <w:instrText xml:space="preserve"> PAGEREF _Toc67565449 \h </w:instrText>
        </w:r>
        <w:r w:rsidR="001353E5">
          <w:rPr>
            <w:noProof/>
            <w:webHidden/>
          </w:rPr>
        </w:r>
        <w:r w:rsidR="001353E5">
          <w:rPr>
            <w:noProof/>
            <w:webHidden/>
          </w:rPr>
          <w:fldChar w:fldCharType="separate"/>
        </w:r>
        <w:r w:rsidR="000250B6">
          <w:rPr>
            <w:noProof/>
            <w:webHidden/>
          </w:rPr>
          <w:t>193</w:t>
        </w:r>
        <w:r w:rsidR="001353E5">
          <w:rPr>
            <w:noProof/>
            <w:webHidden/>
          </w:rPr>
          <w:fldChar w:fldCharType="end"/>
        </w:r>
      </w:hyperlink>
    </w:p>
    <w:p w14:paraId="68B95F56" w14:textId="77777777" w:rsidR="001353E5" w:rsidRDefault="00231E33">
      <w:pPr>
        <w:pStyle w:val="32"/>
        <w:rPr>
          <w:rFonts w:asciiTheme="minorHAnsi" w:eastAsiaTheme="minorEastAsia" w:hAnsiTheme="minorHAnsi" w:cstheme="minorBidi"/>
          <w:b w:val="0"/>
          <w:noProof/>
          <w:szCs w:val="22"/>
          <w:lang w:eastAsia="en-GB"/>
        </w:rPr>
      </w:pPr>
      <w:hyperlink w:anchor="_Toc67565450" w:history="1">
        <w:r w:rsidR="001353E5" w:rsidRPr="00EB7E77">
          <w:rPr>
            <w:rStyle w:val="-"/>
            <w:noProof/>
          </w:rPr>
          <w:t>11.6.3</w:t>
        </w:r>
        <w:r w:rsidR="001353E5">
          <w:rPr>
            <w:rFonts w:asciiTheme="minorHAnsi" w:eastAsiaTheme="minorEastAsia" w:hAnsiTheme="minorHAnsi" w:cstheme="minorBidi"/>
            <w:b w:val="0"/>
            <w:noProof/>
            <w:szCs w:val="22"/>
            <w:lang w:eastAsia="en-GB"/>
          </w:rPr>
          <w:tab/>
        </w:r>
        <w:r w:rsidR="001353E5" w:rsidRPr="00EB7E77">
          <w:rPr>
            <w:rStyle w:val="-"/>
            <w:noProof/>
          </w:rPr>
          <w:t>Minimum radius of curvature and straight length of tendons adjacent to the anchorages</w:t>
        </w:r>
        <w:r w:rsidR="001353E5">
          <w:rPr>
            <w:noProof/>
            <w:webHidden/>
          </w:rPr>
          <w:tab/>
        </w:r>
        <w:r w:rsidR="001353E5">
          <w:rPr>
            <w:noProof/>
            <w:webHidden/>
          </w:rPr>
          <w:fldChar w:fldCharType="begin"/>
        </w:r>
        <w:r w:rsidR="001353E5">
          <w:rPr>
            <w:noProof/>
            <w:webHidden/>
          </w:rPr>
          <w:instrText xml:space="preserve"> PAGEREF _Toc67565450 \h </w:instrText>
        </w:r>
        <w:r w:rsidR="001353E5">
          <w:rPr>
            <w:noProof/>
            <w:webHidden/>
          </w:rPr>
        </w:r>
        <w:r w:rsidR="001353E5">
          <w:rPr>
            <w:noProof/>
            <w:webHidden/>
          </w:rPr>
          <w:fldChar w:fldCharType="separate"/>
        </w:r>
        <w:r w:rsidR="000250B6">
          <w:rPr>
            <w:noProof/>
            <w:webHidden/>
          </w:rPr>
          <w:t>193</w:t>
        </w:r>
        <w:r w:rsidR="001353E5">
          <w:rPr>
            <w:noProof/>
            <w:webHidden/>
          </w:rPr>
          <w:fldChar w:fldCharType="end"/>
        </w:r>
      </w:hyperlink>
    </w:p>
    <w:p w14:paraId="2A8B513E" w14:textId="77777777" w:rsidR="001353E5" w:rsidRDefault="00231E33">
      <w:pPr>
        <w:pStyle w:val="32"/>
        <w:rPr>
          <w:rFonts w:asciiTheme="minorHAnsi" w:eastAsiaTheme="minorEastAsia" w:hAnsiTheme="minorHAnsi" w:cstheme="minorBidi"/>
          <w:b w:val="0"/>
          <w:noProof/>
          <w:szCs w:val="22"/>
          <w:lang w:eastAsia="en-GB"/>
        </w:rPr>
      </w:pPr>
      <w:hyperlink w:anchor="_Toc67565451" w:history="1">
        <w:r w:rsidR="001353E5" w:rsidRPr="00EB7E77">
          <w:rPr>
            <w:rStyle w:val="-"/>
            <w:noProof/>
          </w:rPr>
          <w:t>11.6.4</w:t>
        </w:r>
        <w:r w:rsidR="001353E5">
          <w:rPr>
            <w:rFonts w:asciiTheme="minorHAnsi" w:eastAsiaTheme="minorEastAsia" w:hAnsiTheme="minorHAnsi" w:cstheme="minorBidi"/>
            <w:b w:val="0"/>
            <w:noProof/>
            <w:szCs w:val="22"/>
            <w:lang w:eastAsia="en-GB"/>
          </w:rPr>
          <w:tab/>
        </w:r>
        <w:r w:rsidR="001353E5" w:rsidRPr="00EB7E77">
          <w:rPr>
            <w:rStyle w:val="-"/>
            <w:noProof/>
          </w:rPr>
          <w:t>Anchorages, couplers and deviators of post-tensioning tendons</w:t>
        </w:r>
        <w:r w:rsidR="001353E5">
          <w:rPr>
            <w:noProof/>
            <w:webHidden/>
          </w:rPr>
          <w:tab/>
        </w:r>
        <w:r w:rsidR="001353E5">
          <w:rPr>
            <w:noProof/>
            <w:webHidden/>
          </w:rPr>
          <w:fldChar w:fldCharType="begin"/>
        </w:r>
        <w:r w:rsidR="001353E5">
          <w:rPr>
            <w:noProof/>
            <w:webHidden/>
          </w:rPr>
          <w:instrText xml:space="preserve"> PAGEREF _Toc67565451 \h </w:instrText>
        </w:r>
        <w:r w:rsidR="001353E5">
          <w:rPr>
            <w:noProof/>
            <w:webHidden/>
          </w:rPr>
        </w:r>
        <w:r w:rsidR="001353E5">
          <w:rPr>
            <w:noProof/>
            <w:webHidden/>
          </w:rPr>
          <w:fldChar w:fldCharType="separate"/>
        </w:r>
        <w:r w:rsidR="000250B6">
          <w:rPr>
            <w:noProof/>
            <w:webHidden/>
          </w:rPr>
          <w:t>194</w:t>
        </w:r>
        <w:r w:rsidR="001353E5">
          <w:rPr>
            <w:noProof/>
            <w:webHidden/>
          </w:rPr>
          <w:fldChar w:fldCharType="end"/>
        </w:r>
      </w:hyperlink>
    </w:p>
    <w:p w14:paraId="3DB879B0" w14:textId="77777777" w:rsidR="001353E5" w:rsidRDefault="00231E33">
      <w:pPr>
        <w:pStyle w:val="22"/>
        <w:rPr>
          <w:rFonts w:asciiTheme="minorHAnsi" w:eastAsiaTheme="minorEastAsia" w:hAnsiTheme="minorHAnsi" w:cstheme="minorBidi"/>
          <w:b w:val="0"/>
          <w:noProof/>
          <w:szCs w:val="22"/>
          <w:lang w:eastAsia="en-GB"/>
        </w:rPr>
      </w:pPr>
      <w:hyperlink w:anchor="_Toc67565452" w:history="1">
        <w:r w:rsidR="001353E5" w:rsidRPr="00EB7E77">
          <w:rPr>
            <w:rStyle w:val="-"/>
            <w:noProof/>
          </w:rPr>
          <w:t>11.7</w:t>
        </w:r>
        <w:r w:rsidR="001353E5">
          <w:rPr>
            <w:rFonts w:asciiTheme="minorHAnsi" w:eastAsiaTheme="minorEastAsia" w:hAnsiTheme="minorHAnsi" w:cstheme="minorBidi"/>
            <w:b w:val="0"/>
            <w:noProof/>
            <w:szCs w:val="22"/>
            <w:lang w:eastAsia="en-GB"/>
          </w:rPr>
          <w:tab/>
        </w:r>
        <w:r w:rsidR="001353E5" w:rsidRPr="00EB7E77">
          <w:rPr>
            <w:rStyle w:val="-"/>
            <w:noProof/>
          </w:rPr>
          <w:t>Deviation forces due to curved tensile and compressive chords</w:t>
        </w:r>
        <w:r w:rsidR="001353E5">
          <w:rPr>
            <w:noProof/>
            <w:webHidden/>
          </w:rPr>
          <w:tab/>
        </w:r>
        <w:r w:rsidR="001353E5">
          <w:rPr>
            <w:noProof/>
            <w:webHidden/>
          </w:rPr>
          <w:fldChar w:fldCharType="begin"/>
        </w:r>
        <w:r w:rsidR="001353E5">
          <w:rPr>
            <w:noProof/>
            <w:webHidden/>
          </w:rPr>
          <w:instrText xml:space="preserve"> PAGEREF _Toc67565452 \h </w:instrText>
        </w:r>
        <w:r w:rsidR="001353E5">
          <w:rPr>
            <w:noProof/>
            <w:webHidden/>
          </w:rPr>
        </w:r>
        <w:r w:rsidR="001353E5">
          <w:rPr>
            <w:noProof/>
            <w:webHidden/>
          </w:rPr>
          <w:fldChar w:fldCharType="separate"/>
        </w:r>
        <w:r w:rsidR="000250B6">
          <w:rPr>
            <w:noProof/>
            <w:webHidden/>
          </w:rPr>
          <w:t>195</w:t>
        </w:r>
        <w:r w:rsidR="001353E5">
          <w:rPr>
            <w:noProof/>
            <w:webHidden/>
          </w:rPr>
          <w:fldChar w:fldCharType="end"/>
        </w:r>
      </w:hyperlink>
    </w:p>
    <w:p w14:paraId="69211752" w14:textId="77777777" w:rsidR="001353E5" w:rsidRDefault="00231E33">
      <w:pPr>
        <w:pStyle w:val="10"/>
        <w:rPr>
          <w:rFonts w:asciiTheme="minorHAnsi" w:eastAsiaTheme="minorEastAsia" w:hAnsiTheme="minorHAnsi" w:cstheme="minorBidi"/>
          <w:b w:val="0"/>
          <w:noProof/>
          <w:szCs w:val="22"/>
          <w:lang w:eastAsia="en-GB"/>
        </w:rPr>
      </w:pPr>
      <w:hyperlink w:anchor="_Toc67565453" w:history="1">
        <w:r w:rsidR="001353E5" w:rsidRPr="00EB7E77">
          <w:rPr>
            <w:rStyle w:val="-"/>
            <w:noProof/>
          </w:rPr>
          <w:t>12</w:t>
        </w:r>
        <w:r w:rsidR="001353E5">
          <w:rPr>
            <w:rFonts w:asciiTheme="minorHAnsi" w:eastAsiaTheme="minorEastAsia" w:hAnsiTheme="minorHAnsi" w:cstheme="minorBidi"/>
            <w:b w:val="0"/>
            <w:noProof/>
            <w:szCs w:val="22"/>
            <w:lang w:eastAsia="en-GB"/>
          </w:rPr>
          <w:tab/>
        </w:r>
        <w:r w:rsidR="001353E5" w:rsidRPr="00EB7E77">
          <w:rPr>
            <w:rStyle w:val="-"/>
            <w:noProof/>
          </w:rPr>
          <w:t>Detailing of members and particular rules</w:t>
        </w:r>
        <w:r w:rsidR="001353E5">
          <w:rPr>
            <w:noProof/>
            <w:webHidden/>
          </w:rPr>
          <w:tab/>
        </w:r>
        <w:r w:rsidR="001353E5">
          <w:rPr>
            <w:noProof/>
            <w:webHidden/>
          </w:rPr>
          <w:fldChar w:fldCharType="begin"/>
        </w:r>
        <w:r w:rsidR="001353E5">
          <w:rPr>
            <w:noProof/>
            <w:webHidden/>
          </w:rPr>
          <w:instrText xml:space="preserve"> PAGEREF _Toc67565453 \h </w:instrText>
        </w:r>
        <w:r w:rsidR="001353E5">
          <w:rPr>
            <w:noProof/>
            <w:webHidden/>
          </w:rPr>
        </w:r>
        <w:r w:rsidR="001353E5">
          <w:rPr>
            <w:noProof/>
            <w:webHidden/>
          </w:rPr>
          <w:fldChar w:fldCharType="separate"/>
        </w:r>
        <w:r w:rsidR="000250B6">
          <w:rPr>
            <w:noProof/>
            <w:webHidden/>
          </w:rPr>
          <w:t>196</w:t>
        </w:r>
        <w:r w:rsidR="001353E5">
          <w:rPr>
            <w:noProof/>
            <w:webHidden/>
          </w:rPr>
          <w:fldChar w:fldCharType="end"/>
        </w:r>
      </w:hyperlink>
    </w:p>
    <w:p w14:paraId="3588A272" w14:textId="77777777" w:rsidR="001353E5" w:rsidRDefault="00231E33">
      <w:pPr>
        <w:pStyle w:val="22"/>
        <w:rPr>
          <w:rFonts w:asciiTheme="minorHAnsi" w:eastAsiaTheme="minorEastAsia" w:hAnsiTheme="minorHAnsi" w:cstheme="minorBidi"/>
          <w:b w:val="0"/>
          <w:noProof/>
          <w:szCs w:val="22"/>
          <w:lang w:eastAsia="en-GB"/>
        </w:rPr>
      </w:pPr>
      <w:hyperlink w:anchor="_Toc67565454" w:history="1">
        <w:r w:rsidR="001353E5" w:rsidRPr="00EB7E77">
          <w:rPr>
            <w:rStyle w:val="-"/>
            <w:noProof/>
          </w:rPr>
          <w:t>12.1</w:t>
        </w:r>
        <w:r w:rsidR="001353E5">
          <w:rPr>
            <w:rFonts w:asciiTheme="minorHAnsi" w:eastAsiaTheme="minorEastAsia" w:hAnsiTheme="minorHAnsi" w:cstheme="minorBidi"/>
            <w:b w:val="0"/>
            <w:noProof/>
            <w:szCs w:val="22"/>
            <w:lang w:eastAsia="en-GB"/>
          </w:rPr>
          <w:tab/>
        </w:r>
        <w:r w:rsidR="001353E5" w:rsidRPr="00EB7E77">
          <w:rPr>
            <w:rStyle w:val="-"/>
            <w:noProof/>
          </w:rPr>
          <w:t>General</w:t>
        </w:r>
        <w:r w:rsidR="001353E5">
          <w:rPr>
            <w:noProof/>
            <w:webHidden/>
          </w:rPr>
          <w:tab/>
        </w:r>
        <w:r w:rsidR="001353E5">
          <w:rPr>
            <w:noProof/>
            <w:webHidden/>
          </w:rPr>
          <w:fldChar w:fldCharType="begin"/>
        </w:r>
        <w:r w:rsidR="001353E5">
          <w:rPr>
            <w:noProof/>
            <w:webHidden/>
          </w:rPr>
          <w:instrText xml:space="preserve"> PAGEREF _Toc67565454 \h </w:instrText>
        </w:r>
        <w:r w:rsidR="001353E5">
          <w:rPr>
            <w:noProof/>
            <w:webHidden/>
          </w:rPr>
        </w:r>
        <w:r w:rsidR="001353E5">
          <w:rPr>
            <w:noProof/>
            <w:webHidden/>
          </w:rPr>
          <w:fldChar w:fldCharType="separate"/>
        </w:r>
        <w:r w:rsidR="000250B6">
          <w:rPr>
            <w:noProof/>
            <w:webHidden/>
          </w:rPr>
          <w:t>196</w:t>
        </w:r>
        <w:r w:rsidR="001353E5">
          <w:rPr>
            <w:noProof/>
            <w:webHidden/>
          </w:rPr>
          <w:fldChar w:fldCharType="end"/>
        </w:r>
      </w:hyperlink>
    </w:p>
    <w:p w14:paraId="55CCBA57" w14:textId="77777777" w:rsidR="001353E5" w:rsidRDefault="00231E33">
      <w:pPr>
        <w:pStyle w:val="22"/>
        <w:rPr>
          <w:rFonts w:asciiTheme="minorHAnsi" w:eastAsiaTheme="minorEastAsia" w:hAnsiTheme="minorHAnsi" w:cstheme="minorBidi"/>
          <w:b w:val="0"/>
          <w:noProof/>
          <w:szCs w:val="22"/>
          <w:lang w:eastAsia="en-GB"/>
        </w:rPr>
      </w:pPr>
      <w:hyperlink w:anchor="_Toc67565455" w:history="1">
        <w:r w:rsidR="001353E5" w:rsidRPr="00EB7E77">
          <w:rPr>
            <w:rStyle w:val="-"/>
            <w:noProof/>
          </w:rPr>
          <w:t>12.2</w:t>
        </w:r>
        <w:r w:rsidR="001353E5">
          <w:rPr>
            <w:rFonts w:asciiTheme="minorHAnsi" w:eastAsiaTheme="minorEastAsia" w:hAnsiTheme="minorHAnsi" w:cstheme="minorBidi"/>
            <w:b w:val="0"/>
            <w:noProof/>
            <w:szCs w:val="22"/>
            <w:lang w:eastAsia="en-GB"/>
          </w:rPr>
          <w:tab/>
        </w:r>
        <w:r w:rsidR="001353E5" w:rsidRPr="00EB7E77">
          <w:rPr>
            <w:rStyle w:val="-"/>
            <w:noProof/>
          </w:rPr>
          <w:t>Minimum reinforcement rules</w:t>
        </w:r>
        <w:r w:rsidR="001353E5">
          <w:rPr>
            <w:noProof/>
            <w:webHidden/>
          </w:rPr>
          <w:tab/>
        </w:r>
        <w:r w:rsidR="001353E5">
          <w:rPr>
            <w:noProof/>
            <w:webHidden/>
          </w:rPr>
          <w:fldChar w:fldCharType="begin"/>
        </w:r>
        <w:r w:rsidR="001353E5">
          <w:rPr>
            <w:noProof/>
            <w:webHidden/>
          </w:rPr>
          <w:instrText xml:space="preserve"> PAGEREF _Toc67565455 \h </w:instrText>
        </w:r>
        <w:r w:rsidR="001353E5">
          <w:rPr>
            <w:noProof/>
            <w:webHidden/>
          </w:rPr>
        </w:r>
        <w:r w:rsidR="001353E5">
          <w:rPr>
            <w:noProof/>
            <w:webHidden/>
          </w:rPr>
          <w:fldChar w:fldCharType="separate"/>
        </w:r>
        <w:r w:rsidR="000250B6">
          <w:rPr>
            <w:noProof/>
            <w:webHidden/>
          </w:rPr>
          <w:t>196</w:t>
        </w:r>
        <w:r w:rsidR="001353E5">
          <w:rPr>
            <w:noProof/>
            <w:webHidden/>
          </w:rPr>
          <w:fldChar w:fldCharType="end"/>
        </w:r>
      </w:hyperlink>
    </w:p>
    <w:p w14:paraId="2A158E06" w14:textId="77777777" w:rsidR="001353E5" w:rsidRDefault="00231E33">
      <w:pPr>
        <w:pStyle w:val="22"/>
        <w:rPr>
          <w:rFonts w:asciiTheme="minorHAnsi" w:eastAsiaTheme="minorEastAsia" w:hAnsiTheme="minorHAnsi" w:cstheme="minorBidi"/>
          <w:b w:val="0"/>
          <w:noProof/>
          <w:szCs w:val="22"/>
          <w:lang w:eastAsia="en-GB"/>
        </w:rPr>
      </w:pPr>
      <w:hyperlink w:anchor="_Toc67565456" w:history="1">
        <w:r w:rsidR="001353E5" w:rsidRPr="00EB7E77">
          <w:rPr>
            <w:rStyle w:val="-"/>
            <w:noProof/>
          </w:rPr>
          <w:t>12.3</w:t>
        </w:r>
        <w:r w:rsidR="001353E5">
          <w:rPr>
            <w:rFonts w:asciiTheme="minorHAnsi" w:eastAsiaTheme="minorEastAsia" w:hAnsiTheme="minorHAnsi" w:cstheme="minorBidi"/>
            <w:b w:val="0"/>
            <w:noProof/>
            <w:szCs w:val="22"/>
            <w:lang w:eastAsia="en-GB"/>
          </w:rPr>
          <w:tab/>
        </w:r>
        <w:r w:rsidR="001353E5" w:rsidRPr="00EB7E77">
          <w:rPr>
            <w:rStyle w:val="-"/>
            <w:noProof/>
          </w:rPr>
          <w:t>Beams</w:t>
        </w:r>
        <w:r w:rsidR="001353E5">
          <w:rPr>
            <w:noProof/>
            <w:webHidden/>
          </w:rPr>
          <w:tab/>
        </w:r>
        <w:r w:rsidR="001353E5">
          <w:rPr>
            <w:noProof/>
            <w:webHidden/>
          </w:rPr>
          <w:fldChar w:fldCharType="begin"/>
        </w:r>
        <w:r w:rsidR="001353E5">
          <w:rPr>
            <w:noProof/>
            <w:webHidden/>
          </w:rPr>
          <w:instrText xml:space="preserve"> PAGEREF _Toc67565456 \h </w:instrText>
        </w:r>
        <w:r w:rsidR="001353E5">
          <w:rPr>
            <w:noProof/>
            <w:webHidden/>
          </w:rPr>
        </w:r>
        <w:r w:rsidR="001353E5">
          <w:rPr>
            <w:noProof/>
            <w:webHidden/>
          </w:rPr>
          <w:fldChar w:fldCharType="separate"/>
        </w:r>
        <w:r w:rsidR="000250B6">
          <w:rPr>
            <w:noProof/>
            <w:webHidden/>
          </w:rPr>
          <w:t>198</w:t>
        </w:r>
        <w:r w:rsidR="001353E5">
          <w:rPr>
            <w:noProof/>
            <w:webHidden/>
          </w:rPr>
          <w:fldChar w:fldCharType="end"/>
        </w:r>
      </w:hyperlink>
    </w:p>
    <w:p w14:paraId="17F63DAB" w14:textId="77777777" w:rsidR="001353E5" w:rsidRDefault="00231E33">
      <w:pPr>
        <w:pStyle w:val="32"/>
        <w:rPr>
          <w:rFonts w:asciiTheme="minorHAnsi" w:eastAsiaTheme="minorEastAsia" w:hAnsiTheme="minorHAnsi" w:cstheme="minorBidi"/>
          <w:b w:val="0"/>
          <w:noProof/>
          <w:szCs w:val="22"/>
          <w:lang w:eastAsia="en-GB"/>
        </w:rPr>
      </w:pPr>
      <w:hyperlink w:anchor="_Toc67565457" w:history="1">
        <w:r w:rsidR="001353E5" w:rsidRPr="00EB7E77">
          <w:rPr>
            <w:rStyle w:val="-"/>
            <w:noProof/>
          </w:rPr>
          <w:t>12.3.1</w:t>
        </w:r>
        <w:r w:rsidR="001353E5">
          <w:rPr>
            <w:rFonts w:asciiTheme="minorHAnsi" w:eastAsiaTheme="minorEastAsia" w:hAnsiTheme="minorHAnsi" w:cstheme="minorBidi"/>
            <w:b w:val="0"/>
            <w:noProof/>
            <w:szCs w:val="22"/>
            <w:lang w:eastAsia="en-GB"/>
          </w:rPr>
          <w:tab/>
        </w:r>
        <w:r w:rsidR="001353E5" w:rsidRPr="00EB7E77">
          <w:rPr>
            <w:rStyle w:val="-"/>
            <w:noProof/>
          </w:rPr>
          <w:t>General</w:t>
        </w:r>
        <w:r w:rsidR="001353E5">
          <w:rPr>
            <w:noProof/>
            <w:webHidden/>
          </w:rPr>
          <w:tab/>
        </w:r>
        <w:r w:rsidR="001353E5">
          <w:rPr>
            <w:noProof/>
            <w:webHidden/>
          </w:rPr>
          <w:fldChar w:fldCharType="begin"/>
        </w:r>
        <w:r w:rsidR="001353E5">
          <w:rPr>
            <w:noProof/>
            <w:webHidden/>
          </w:rPr>
          <w:instrText xml:space="preserve"> PAGEREF _Toc67565457 \h </w:instrText>
        </w:r>
        <w:r w:rsidR="001353E5">
          <w:rPr>
            <w:noProof/>
            <w:webHidden/>
          </w:rPr>
        </w:r>
        <w:r w:rsidR="001353E5">
          <w:rPr>
            <w:noProof/>
            <w:webHidden/>
          </w:rPr>
          <w:fldChar w:fldCharType="separate"/>
        </w:r>
        <w:r w:rsidR="000250B6">
          <w:rPr>
            <w:noProof/>
            <w:webHidden/>
          </w:rPr>
          <w:t>198</w:t>
        </w:r>
        <w:r w:rsidR="001353E5">
          <w:rPr>
            <w:noProof/>
            <w:webHidden/>
          </w:rPr>
          <w:fldChar w:fldCharType="end"/>
        </w:r>
      </w:hyperlink>
    </w:p>
    <w:p w14:paraId="5CA89985" w14:textId="77777777" w:rsidR="001353E5" w:rsidRDefault="00231E33">
      <w:pPr>
        <w:pStyle w:val="32"/>
        <w:rPr>
          <w:rFonts w:asciiTheme="minorHAnsi" w:eastAsiaTheme="minorEastAsia" w:hAnsiTheme="minorHAnsi" w:cstheme="minorBidi"/>
          <w:b w:val="0"/>
          <w:noProof/>
          <w:szCs w:val="22"/>
          <w:lang w:eastAsia="en-GB"/>
        </w:rPr>
      </w:pPr>
      <w:hyperlink w:anchor="_Toc67565458" w:history="1">
        <w:r w:rsidR="001353E5" w:rsidRPr="00EB7E77">
          <w:rPr>
            <w:rStyle w:val="-"/>
            <w:noProof/>
          </w:rPr>
          <w:t>12.3.2</w:t>
        </w:r>
        <w:r w:rsidR="001353E5">
          <w:rPr>
            <w:rFonts w:asciiTheme="minorHAnsi" w:eastAsiaTheme="minorEastAsia" w:hAnsiTheme="minorHAnsi" w:cstheme="minorBidi"/>
            <w:b w:val="0"/>
            <w:noProof/>
            <w:szCs w:val="22"/>
            <w:lang w:eastAsia="en-GB"/>
          </w:rPr>
          <w:tab/>
        </w:r>
        <w:r w:rsidR="001353E5" w:rsidRPr="00EB7E77">
          <w:rPr>
            <w:rStyle w:val="-"/>
            <w:noProof/>
          </w:rPr>
          <w:t>Longitudinal reinforcement</w:t>
        </w:r>
        <w:r w:rsidR="001353E5">
          <w:rPr>
            <w:noProof/>
            <w:webHidden/>
          </w:rPr>
          <w:tab/>
        </w:r>
        <w:r w:rsidR="001353E5">
          <w:rPr>
            <w:noProof/>
            <w:webHidden/>
          </w:rPr>
          <w:fldChar w:fldCharType="begin"/>
        </w:r>
        <w:r w:rsidR="001353E5">
          <w:rPr>
            <w:noProof/>
            <w:webHidden/>
          </w:rPr>
          <w:instrText xml:space="preserve"> PAGEREF _Toc67565458 \h </w:instrText>
        </w:r>
        <w:r w:rsidR="001353E5">
          <w:rPr>
            <w:noProof/>
            <w:webHidden/>
          </w:rPr>
        </w:r>
        <w:r w:rsidR="001353E5">
          <w:rPr>
            <w:noProof/>
            <w:webHidden/>
          </w:rPr>
          <w:fldChar w:fldCharType="separate"/>
        </w:r>
        <w:r w:rsidR="000250B6">
          <w:rPr>
            <w:noProof/>
            <w:webHidden/>
          </w:rPr>
          <w:t>199</w:t>
        </w:r>
        <w:r w:rsidR="001353E5">
          <w:rPr>
            <w:noProof/>
            <w:webHidden/>
          </w:rPr>
          <w:fldChar w:fldCharType="end"/>
        </w:r>
      </w:hyperlink>
    </w:p>
    <w:p w14:paraId="4B165955" w14:textId="77777777" w:rsidR="001353E5" w:rsidRDefault="00231E33">
      <w:pPr>
        <w:pStyle w:val="32"/>
        <w:rPr>
          <w:rFonts w:asciiTheme="minorHAnsi" w:eastAsiaTheme="minorEastAsia" w:hAnsiTheme="minorHAnsi" w:cstheme="minorBidi"/>
          <w:b w:val="0"/>
          <w:noProof/>
          <w:szCs w:val="22"/>
          <w:lang w:eastAsia="en-GB"/>
        </w:rPr>
      </w:pPr>
      <w:hyperlink w:anchor="_Toc67565459" w:history="1">
        <w:r w:rsidR="001353E5" w:rsidRPr="00EB7E77">
          <w:rPr>
            <w:rStyle w:val="-"/>
            <w:noProof/>
          </w:rPr>
          <w:t>12.3.3</w:t>
        </w:r>
        <w:r w:rsidR="001353E5">
          <w:rPr>
            <w:rFonts w:asciiTheme="minorHAnsi" w:eastAsiaTheme="minorEastAsia" w:hAnsiTheme="minorHAnsi" w:cstheme="minorBidi"/>
            <w:b w:val="0"/>
            <w:noProof/>
            <w:szCs w:val="22"/>
            <w:lang w:eastAsia="en-GB"/>
          </w:rPr>
          <w:tab/>
        </w:r>
        <w:r w:rsidR="001353E5" w:rsidRPr="00EB7E77">
          <w:rPr>
            <w:rStyle w:val="-"/>
            <w:noProof/>
          </w:rPr>
          <w:t>Shear and torsion reinforcement</w:t>
        </w:r>
        <w:r w:rsidR="001353E5">
          <w:rPr>
            <w:noProof/>
            <w:webHidden/>
          </w:rPr>
          <w:tab/>
        </w:r>
        <w:r w:rsidR="001353E5">
          <w:rPr>
            <w:noProof/>
            <w:webHidden/>
          </w:rPr>
          <w:fldChar w:fldCharType="begin"/>
        </w:r>
        <w:r w:rsidR="001353E5">
          <w:rPr>
            <w:noProof/>
            <w:webHidden/>
          </w:rPr>
          <w:instrText xml:space="preserve"> PAGEREF _Toc67565459 \h </w:instrText>
        </w:r>
        <w:r w:rsidR="001353E5">
          <w:rPr>
            <w:noProof/>
            <w:webHidden/>
          </w:rPr>
        </w:r>
        <w:r w:rsidR="001353E5">
          <w:rPr>
            <w:noProof/>
            <w:webHidden/>
          </w:rPr>
          <w:fldChar w:fldCharType="separate"/>
        </w:r>
        <w:r w:rsidR="000250B6">
          <w:rPr>
            <w:noProof/>
            <w:webHidden/>
          </w:rPr>
          <w:t>200</w:t>
        </w:r>
        <w:r w:rsidR="001353E5">
          <w:rPr>
            <w:noProof/>
            <w:webHidden/>
          </w:rPr>
          <w:fldChar w:fldCharType="end"/>
        </w:r>
      </w:hyperlink>
    </w:p>
    <w:p w14:paraId="336DFFCD" w14:textId="77777777" w:rsidR="001353E5" w:rsidRDefault="00231E33">
      <w:pPr>
        <w:pStyle w:val="32"/>
        <w:rPr>
          <w:rFonts w:asciiTheme="minorHAnsi" w:eastAsiaTheme="minorEastAsia" w:hAnsiTheme="minorHAnsi" w:cstheme="minorBidi"/>
          <w:b w:val="0"/>
          <w:noProof/>
          <w:szCs w:val="22"/>
          <w:lang w:eastAsia="en-GB"/>
        </w:rPr>
      </w:pPr>
      <w:hyperlink w:anchor="_Toc67565460" w:history="1">
        <w:r w:rsidR="001353E5" w:rsidRPr="00EB7E77">
          <w:rPr>
            <w:rStyle w:val="-"/>
            <w:noProof/>
          </w:rPr>
          <w:t>12.3.4</w:t>
        </w:r>
        <w:r w:rsidR="001353E5">
          <w:rPr>
            <w:rFonts w:asciiTheme="minorHAnsi" w:eastAsiaTheme="minorEastAsia" w:hAnsiTheme="minorHAnsi" w:cstheme="minorBidi"/>
            <w:b w:val="0"/>
            <w:noProof/>
            <w:szCs w:val="22"/>
            <w:lang w:eastAsia="en-GB"/>
          </w:rPr>
          <w:tab/>
        </w:r>
        <w:r w:rsidR="001353E5" w:rsidRPr="00EB7E77">
          <w:rPr>
            <w:rStyle w:val="-"/>
            <w:noProof/>
          </w:rPr>
          <w:t>Suspension reinforcement for indirect support</w:t>
        </w:r>
        <w:r w:rsidR="001353E5">
          <w:rPr>
            <w:noProof/>
            <w:webHidden/>
          </w:rPr>
          <w:tab/>
        </w:r>
        <w:r w:rsidR="001353E5">
          <w:rPr>
            <w:noProof/>
            <w:webHidden/>
          </w:rPr>
          <w:fldChar w:fldCharType="begin"/>
        </w:r>
        <w:r w:rsidR="001353E5">
          <w:rPr>
            <w:noProof/>
            <w:webHidden/>
          </w:rPr>
          <w:instrText xml:space="preserve"> PAGEREF _Toc67565460 \h </w:instrText>
        </w:r>
        <w:r w:rsidR="001353E5">
          <w:rPr>
            <w:noProof/>
            <w:webHidden/>
          </w:rPr>
        </w:r>
        <w:r w:rsidR="001353E5">
          <w:rPr>
            <w:noProof/>
            <w:webHidden/>
          </w:rPr>
          <w:fldChar w:fldCharType="separate"/>
        </w:r>
        <w:r w:rsidR="000250B6">
          <w:rPr>
            <w:noProof/>
            <w:webHidden/>
          </w:rPr>
          <w:t>202</w:t>
        </w:r>
        <w:r w:rsidR="001353E5">
          <w:rPr>
            <w:noProof/>
            <w:webHidden/>
          </w:rPr>
          <w:fldChar w:fldCharType="end"/>
        </w:r>
      </w:hyperlink>
    </w:p>
    <w:p w14:paraId="1DFB20DC" w14:textId="77777777" w:rsidR="001353E5" w:rsidRDefault="00231E33">
      <w:pPr>
        <w:pStyle w:val="22"/>
        <w:rPr>
          <w:rFonts w:asciiTheme="minorHAnsi" w:eastAsiaTheme="minorEastAsia" w:hAnsiTheme="minorHAnsi" w:cstheme="minorBidi"/>
          <w:b w:val="0"/>
          <w:noProof/>
          <w:szCs w:val="22"/>
          <w:lang w:eastAsia="en-GB"/>
        </w:rPr>
      </w:pPr>
      <w:hyperlink w:anchor="_Toc67565461" w:history="1">
        <w:r w:rsidR="001353E5" w:rsidRPr="00EB7E77">
          <w:rPr>
            <w:rStyle w:val="-"/>
            <w:noProof/>
          </w:rPr>
          <w:t>12.4</w:t>
        </w:r>
        <w:r w:rsidR="001353E5">
          <w:rPr>
            <w:rFonts w:asciiTheme="minorHAnsi" w:eastAsiaTheme="minorEastAsia" w:hAnsiTheme="minorHAnsi" w:cstheme="minorBidi"/>
            <w:b w:val="0"/>
            <w:noProof/>
            <w:szCs w:val="22"/>
            <w:lang w:eastAsia="en-GB"/>
          </w:rPr>
          <w:tab/>
        </w:r>
        <w:r w:rsidR="001353E5" w:rsidRPr="00EB7E77">
          <w:rPr>
            <w:rStyle w:val="-"/>
            <w:noProof/>
          </w:rPr>
          <w:t>Slabs</w:t>
        </w:r>
        <w:r w:rsidR="001353E5">
          <w:rPr>
            <w:noProof/>
            <w:webHidden/>
          </w:rPr>
          <w:tab/>
        </w:r>
        <w:r w:rsidR="001353E5">
          <w:rPr>
            <w:noProof/>
            <w:webHidden/>
          </w:rPr>
          <w:fldChar w:fldCharType="begin"/>
        </w:r>
        <w:r w:rsidR="001353E5">
          <w:rPr>
            <w:noProof/>
            <w:webHidden/>
          </w:rPr>
          <w:instrText xml:space="preserve"> PAGEREF _Toc67565461 \h </w:instrText>
        </w:r>
        <w:r w:rsidR="001353E5">
          <w:rPr>
            <w:noProof/>
            <w:webHidden/>
          </w:rPr>
        </w:r>
        <w:r w:rsidR="001353E5">
          <w:rPr>
            <w:noProof/>
            <w:webHidden/>
          </w:rPr>
          <w:fldChar w:fldCharType="separate"/>
        </w:r>
        <w:r w:rsidR="000250B6">
          <w:rPr>
            <w:noProof/>
            <w:webHidden/>
          </w:rPr>
          <w:t>202</w:t>
        </w:r>
        <w:r w:rsidR="001353E5">
          <w:rPr>
            <w:noProof/>
            <w:webHidden/>
          </w:rPr>
          <w:fldChar w:fldCharType="end"/>
        </w:r>
      </w:hyperlink>
    </w:p>
    <w:p w14:paraId="4628530A" w14:textId="77777777" w:rsidR="001353E5" w:rsidRDefault="00231E33">
      <w:pPr>
        <w:pStyle w:val="32"/>
        <w:rPr>
          <w:rFonts w:asciiTheme="minorHAnsi" w:eastAsiaTheme="minorEastAsia" w:hAnsiTheme="minorHAnsi" w:cstheme="minorBidi"/>
          <w:b w:val="0"/>
          <w:noProof/>
          <w:szCs w:val="22"/>
          <w:lang w:eastAsia="en-GB"/>
        </w:rPr>
      </w:pPr>
      <w:hyperlink w:anchor="_Toc67565462" w:history="1">
        <w:r w:rsidR="001353E5" w:rsidRPr="00EB7E77">
          <w:rPr>
            <w:rStyle w:val="-"/>
            <w:noProof/>
          </w:rPr>
          <w:t>12.4.1</w:t>
        </w:r>
        <w:r w:rsidR="001353E5">
          <w:rPr>
            <w:rFonts w:asciiTheme="minorHAnsi" w:eastAsiaTheme="minorEastAsia" w:hAnsiTheme="minorHAnsi" w:cstheme="minorBidi"/>
            <w:b w:val="0"/>
            <w:noProof/>
            <w:szCs w:val="22"/>
            <w:lang w:eastAsia="en-GB"/>
          </w:rPr>
          <w:tab/>
        </w:r>
        <w:r w:rsidR="001353E5" w:rsidRPr="00EB7E77">
          <w:rPr>
            <w:rStyle w:val="-"/>
            <w:noProof/>
          </w:rPr>
          <w:t>General</w:t>
        </w:r>
        <w:r w:rsidR="001353E5">
          <w:rPr>
            <w:noProof/>
            <w:webHidden/>
          </w:rPr>
          <w:tab/>
        </w:r>
        <w:r w:rsidR="001353E5">
          <w:rPr>
            <w:noProof/>
            <w:webHidden/>
          </w:rPr>
          <w:fldChar w:fldCharType="begin"/>
        </w:r>
        <w:r w:rsidR="001353E5">
          <w:rPr>
            <w:noProof/>
            <w:webHidden/>
          </w:rPr>
          <w:instrText xml:space="preserve"> PAGEREF _Toc67565462 \h </w:instrText>
        </w:r>
        <w:r w:rsidR="001353E5">
          <w:rPr>
            <w:noProof/>
            <w:webHidden/>
          </w:rPr>
        </w:r>
        <w:r w:rsidR="001353E5">
          <w:rPr>
            <w:noProof/>
            <w:webHidden/>
          </w:rPr>
          <w:fldChar w:fldCharType="separate"/>
        </w:r>
        <w:r w:rsidR="000250B6">
          <w:rPr>
            <w:noProof/>
            <w:webHidden/>
          </w:rPr>
          <w:t>202</w:t>
        </w:r>
        <w:r w:rsidR="001353E5">
          <w:rPr>
            <w:noProof/>
            <w:webHidden/>
          </w:rPr>
          <w:fldChar w:fldCharType="end"/>
        </w:r>
      </w:hyperlink>
    </w:p>
    <w:p w14:paraId="14068C8A" w14:textId="77777777" w:rsidR="001353E5" w:rsidRDefault="00231E33">
      <w:pPr>
        <w:pStyle w:val="32"/>
        <w:rPr>
          <w:rFonts w:asciiTheme="minorHAnsi" w:eastAsiaTheme="minorEastAsia" w:hAnsiTheme="minorHAnsi" w:cstheme="minorBidi"/>
          <w:b w:val="0"/>
          <w:noProof/>
          <w:szCs w:val="22"/>
          <w:lang w:eastAsia="en-GB"/>
        </w:rPr>
      </w:pPr>
      <w:hyperlink w:anchor="_Toc67565463" w:history="1">
        <w:r w:rsidR="001353E5" w:rsidRPr="00EB7E77">
          <w:rPr>
            <w:rStyle w:val="-"/>
            <w:noProof/>
          </w:rPr>
          <w:t>12.4.2</w:t>
        </w:r>
        <w:r w:rsidR="001353E5">
          <w:rPr>
            <w:rFonts w:asciiTheme="minorHAnsi" w:eastAsiaTheme="minorEastAsia" w:hAnsiTheme="minorHAnsi" w:cstheme="minorBidi"/>
            <w:b w:val="0"/>
            <w:noProof/>
            <w:szCs w:val="22"/>
            <w:lang w:eastAsia="en-GB"/>
          </w:rPr>
          <w:tab/>
        </w:r>
        <w:r w:rsidR="001353E5" w:rsidRPr="00EB7E77">
          <w:rPr>
            <w:rStyle w:val="-"/>
            <w:noProof/>
          </w:rPr>
          <w:t>Shear reinforcement</w:t>
        </w:r>
        <w:r w:rsidR="001353E5">
          <w:rPr>
            <w:noProof/>
            <w:webHidden/>
          </w:rPr>
          <w:tab/>
        </w:r>
        <w:r w:rsidR="001353E5">
          <w:rPr>
            <w:noProof/>
            <w:webHidden/>
          </w:rPr>
          <w:fldChar w:fldCharType="begin"/>
        </w:r>
        <w:r w:rsidR="001353E5">
          <w:rPr>
            <w:noProof/>
            <w:webHidden/>
          </w:rPr>
          <w:instrText xml:space="preserve"> PAGEREF _Toc67565463 \h </w:instrText>
        </w:r>
        <w:r w:rsidR="001353E5">
          <w:rPr>
            <w:noProof/>
            <w:webHidden/>
          </w:rPr>
        </w:r>
        <w:r w:rsidR="001353E5">
          <w:rPr>
            <w:noProof/>
            <w:webHidden/>
          </w:rPr>
          <w:fldChar w:fldCharType="separate"/>
        </w:r>
        <w:r w:rsidR="000250B6">
          <w:rPr>
            <w:noProof/>
            <w:webHidden/>
          </w:rPr>
          <w:t>204</w:t>
        </w:r>
        <w:r w:rsidR="001353E5">
          <w:rPr>
            <w:noProof/>
            <w:webHidden/>
          </w:rPr>
          <w:fldChar w:fldCharType="end"/>
        </w:r>
      </w:hyperlink>
    </w:p>
    <w:p w14:paraId="5A4A3ECE" w14:textId="77777777" w:rsidR="001353E5" w:rsidRDefault="00231E33">
      <w:pPr>
        <w:pStyle w:val="22"/>
        <w:rPr>
          <w:rFonts w:asciiTheme="minorHAnsi" w:eastAsiaTheme="minorEastAsia" w:hAnsiTheme="minorHAnsi" w:cstheme="minorBidi"/>
          <w:b w:val="0"/>
          <w:noProof/>
          <w:szCs w:val="22"/>
          <w:lang w:eastAsia="en-GB"/>
        </w:rPr>
      </w:pPr>
      <w:hyperlink w:anchor="_Toc67565464" w:history="1">
        <w:r w:rsidR="001353E5" w:rsidRPr="00EB7E77">
          <w:rPr>
            <w:rStyle w:val="-"/>
            <w:noProof/>
          </w:rPr>
          <w:t>12.5</w:t>
        </w:r>
        <w:r w:rsidR="001353E5">
          <w:rPr>
            <w:rFonts w:asciiTheme="minorHAnsi" w:eastAsiaTheme="minorEastAsia" w:hAnsiTheme="minorHAnsi" w:cstheme="minorBidi"/>
            <w:b w:val="0"/>
            <w:noProof/>
            <w:szCs w:val="22"/>
            <w:lang w:eastAsia="en-GB"/>
          </w:rPr>
          <w:tab/>
        </w:r>
        <w:r w:rsidR="001353E5" w:rsidRPr="00EB7E77">
          <w:rPr>
            <w:rStyle w:val="-"/>
            <w:noProof/>
          </w:rPr>
          <w:t>Slab-column connections and column bases</w:t>
        </w:r>
        <w:r w:rsidR="001353E5">
          <w:rPr>
            <w:noProof/>
            <w:webHidden/>
          </w:rPr>
          <w:tab/>
        </w:r>
        <w:r w:rsidR="001353E5">
          <w:rPr>
            <w:noProof/>
            <w:webHidden/>
          </w:rPr>
          <w:fldChar w:fldCharType="begin"/>
        </w:r>
        <w:r w:rsidR="001353E5">
          <w:rPr>
            <w:noProof/>
            <w:webHidden/>
          </w:rPr>
          <w:instrText xml:space="preserve"> PAGEREF _Toc67565464 \h </w:instrText>
        </w:r>
        <w:r w:rsidR="001353E5">
          <w:rPr>
            <w:noProof/>
            <w:webHidden/>
          </w:rPr>
        </w:r>
        <w:r w:rsidR="001353E5">
          <w:rPr>
            <w:noProof/>
            <w:webHidden/>
          </w:rPr>
          <w:fldChar w:fldCharType="separate"/>
        </w:r>
        <w:r w:rsidR="000250B6">
          <w:rPr>
            <w:noProof/>
            <w:webHidden/>
          </w:rPr>
          <w:t>204</w:t>
        </w:r>
        <w:r w:rsidR="001353E5">
          <w:rPr>
            <w:noProof/>
            <w:webHidden/>
          </w:rPr>
          <w:fldChar w:fldCharType="end"/>
        </w:r>
      </w:hyperlink>
    </w:p>
    <w:p w14:paraId="6D585946" w14:textId="77777777" w:rsidR="001353E5" w:rsidRDefault="00231E33">
      <w:pPr>
        <w:pStyle w:val="32"/>
        <w:rPr>
          <w:rFonts w:asciiTheme="minorHAnsi" w:eastAsiaTheme="minorEastAsia" w:hAnsiTheme="minorHAnsi" w:cstheme="minorBidi"/>
          <w:b w:val="0"/>
          <w:noProof/>
          <w:szCs w:val="22"/>
          <w:lang w:eastAsia="en-GB"/>
        </w:rPr>
      </w:pPr>
      <w:hyperlink w:anchor="_Toc67565465" w:history="1">
        <w:r w:rsidR="001353E5" w:rsidRPr="00EB7E77">
          <w:rPr>
            <w:rStyle w:val="-"/>
            <w:noProof/>
          </w:rPr>
          <w:t>12.5.1</w:t>
        </w:r>
        <w:r w:rsidR="001353E5">
          <w:rPr>
            <w:rFonts w:asciiTheme="minorHAnsi" w:eastAsiaTheme="minorEastAsia" w:hAnsiTheme="minorHAnsi" w:cstheme="minorBidi"/>
            <w:b w:val="0"/>
            <w:noProof/>
            <w:szCs w:val="22"/>
            <w:lang w:eastAsia="en-GB"/>
          </w:rPr>
          <w:tab/>
        </w:r>
        <w:r w:rsidR="001353E5" w:rsidRPr="00EB7E77">
          <w:rPr>
            <w:rStyle w:val="-"/>
            <w:noProof/>
          </w:rPr>
          <w:t>Punching shear reinforcement</w:t>
        </w:r>
        <w:r w:rsidR="001353E5">
          <w:rPr>
            <w:noProof/>
            <w:webHidden/>
          </w:rPr>
          <w:tab/>
        </w:r>
        <w:r w:rsidR="001353E5">
          <w:rPr>
            <w:noProof/>
            <w:webHidden/>
          </w:rPr>
          <w:fldChar w:fldCharType="begin"/>
        </w:r>
        <w:r w:rsidR="001353E5">
          <w:rPr>
            <w:noProof/>
            <w:webHidden/>
          </w:rPr>
          <w:instrText xml:space="preserve"> PAGEREF _Toc67565465 \h </w:instrText>
        </w:r>
        <w:r w:rsidR="001353E5">
          <w:rPr>
            <w:noProof/>
            <w:webHidden/>
          </w:rPr>
        </w:r>
        <w:r w:rsidR="001353E5">
          <w:rPr>
            <w:noProof/>
            <w:webHidden/>
          </w:rPr>
          <w:fldChar w:fldCharType="separate"/>
        </w:r>
        <w:r w:rsidR="000250B6">
          <w:rPr>
            <w:noProof/>
            <w:webHidden/>
          </w:rPr>
          <w:t>204</w:t>
        </w:r>
        <w:r w:rsidR="001353E5">
          <w:rPr>
            <w:noProof/>
            <w:webHidden/>
          </w:rPr>
          <w:fldChar w:fldCharType="end"/>
        </w:r>
      </w:hyperlink>
    </w:p>
    <w:p w14:paraId="7165B69B" w14:textId="77777777" w:rsidR="001353E5" w:rsidRDefault="00231E33">
      <w:pPr>
        <w:pStyle w:val="32"/>
        <w:rPr>
          <w:rFonts w:asciiTheme="minorHAnsi" w:eastAsiaTheme="minorEastAsia" w:hAnsiTheme="minorHAnsi" w:cstheme="minorBidi"/>
          <w:b w:val="0"/>
          <w:noProof/>
          <w:szCs w:val="22"/>
          <w:lang w:eastAsia="en-GB"/>
        </w:rPr>
      </w:pPr>
      <w:hyperlink w:anchor="_Toc67565466" w:history="1">
        <w:r w:rsidR="001353E5" w:rsidRPr="00EB7E77">
          <w:rPr>
            <w:rStyle w:val="-"/>
            <w:noProof/>
          </w:rPr>
          <w:t>12.5.2</w:t>
        </w:r>
        <w:r w:rsidR="001353E5">
          <w:rPr>
            <w:rFonts w:asciiTheme="minorHAnsi" w:eastAsiaTheme="minorEastAsia" w:hAnsiTheme="minorHAnsi" w:cstheme="minorBidi"/>
            <w:b w:val="0"/>
            <w:noProof/>
            <w:szCs w:val="22"/>
            <w:lang w:eastAsia="en-GB"/>
          </w:rPr>
          <w:tab/>
        </w:r>
        <w:r w:rsidR="001353E5" w:rsidRPr="00EB7E77">
          <w:rPr>
            <w:rStyle w:val="-"/>
            <w:noProof/>
          </w:rPr>
          <w:t>Integrity reinforcement against progressive collapse of flat slabs</w:t>
        </w:r>
        <w:r w:rsidR="001353E5">
          <w:rPr>
            <w:noProof/>
            <w:webHidden/>
          </w:rPr>
          <w:tab/>
        </w:r>
        <w:r w:rsidR="001353E5">
          <w:rPr>
            <w:noProof/>
            <w:webHidden/>
          </w:rPr>
          <w:fldChar w:fldCharType="begin"/>
        </w:r>
        <w:r w:rsidR="001353E5">
          <w:rPr>
            <w:noProof/>
            <w:webHidden/>
          </w:rPr>
          <w:instrText xml:space="preserve"> PAGEREF _Toc67565466 \h </w:instrText>
        </w:r>
        <w:r w:rsidR="001353E5">
          <w:rPr>
            <w:noProof/>
            <w:webHidden/>
          </w:rPr>
        </w:r>
        <w:r w:rsidR="001353E5">
          <w:rPr>
            <w:noProof/>
            <w:webHidden/>
          </w:rPr>
          <w:fldChar w:fldCharType="separate"/>
        </w:r>
        <w:r w:rsidR="000250B6">
          <w:rPr>
            <w:noProof/>
            <w:webHidden/>
          </w:rPr>
          <w:t>207</w:t>
        </w:r>
        <w:r w:rsidR="001353E5">
          <w:rPr>
            <w:noProof/>
            <w:webHidden/>
          </w:rPr>
          <w:fldChar w:fldCharType="end"/>
        </w:r>
      </w:hyperlink>
    </w:p>
    <w:p w14:paraId="661B52F7" w14:textId="77777777" w:rsidR="001353E5" w:rsidRDefault="00231E33">
      <w:pPr>
        <w:pStyle w:val="22"/>
        <w:rPr>
          <w:rFonts w:asciiTheme="minorHAnsi" w:eastAsiaTheme="minorEastAsia" w:hAnsiTheme="minorHAnsi" w:cstheme="minorBidi"/>
          <w:b w:val="0"/>
          <w:noProof/>
          <w:szCs w:val="22"/>
          <w:lang w:eastAsia="en-GB"/>
        </w:rPr>
      </w:pPr>
      <w:hyperlink w:anchor="_Toc67565467" w:history="1">
        <w:r w:rsidR="001353E5" w:rsidRPr="00EB7E77">
          <w:rPr>
            <w:rStyle w:val="-"/>
            <w:noProof/>
          </w:rPr>
          <w:t>12.6</w:t>
        </w:r>
        <w:r w:rsidR="001353E5">
          <w:rPr>
            <w:rFonts w:asciiTheme="minorHAnsi" w:eastAsiaTheme="minorEastAsia" w:hAnsiTheme="minorHAnsi" w:cstheme="minorBidi"/>
            <w:b w:val="0"/>
            <w:noProof/>
            <w:szCs w:val="22"/>
            <w:lang w:eastAsia="en-GB"/>
          </w:rPr>
          <w:tab/>
        </w:r>
        <w:r w:rsidR="001353E5" w:rsidRPr="00EB7E77">
          <w:rPr>
            <w:rStyle w:val="-"/>
            <w:noProof/>
          </w:rPr>
          <w:t>Columns</w:t>
        </w:r>
        <w:r w:rsidR="001353E5">
          <w:rPr>
            <w:noProof/>
            <w:webHidden/>
          </w:rPr>
          <w:tab/>
        </w:r>
        <w:r w:rsidR="001353E5">
          <w:rPr>
            <w:noProof/>
            <w:webHidden/>
          </w:rPr>
          <w:fldChar w:fldCharType="begin"/>
        </w:r>
        <w:r w:rsidR="001353E5">
          <w:rPr>
            <w:noProof/>
            <w:webHidden/>
          </w:rPr>
          <w:instrText xml:space="preserve"> PAGEREF _Toc67565467 \h </w:instrText>
        </w:r>
        <w:r w:rsidR="001353E5">
          <w:rPr>
            <w:noProof/>
            <w:webHidden/>
          </w:rPr>
        </w:r>
        <w:r w:rsidR="001353E5">
          <w:rPr>
            <w:noProof/>
            <w:webHidden/>
          </w:rPr>
          <w:fldChar w:fldCharType="separate"/>
        </w:r>
        <w:r w:rsidR="000250B6">
          <w:rPr>
            <w:noProof/>
            <w:webHidden/>
          </w:rPr>
          <w:t>207</w:t>
        </w:r>
        <w:r w:rsidR="001353E5">
          <w:rPr>
            <w:noProof/>
            <w:webHidden/>
          </w:rPr>
          <w:fldChar w:fldCharType="end"/>
        </w:r>
      </w:hyperlink>
    </w:p>
    <w:p w14:paraId="414AB4E8" w14:textId="77777777" w:rsidR="001353E5" w:rsidRDefault="00231E33">
      <w:pPr>
        <w:pStyle w:val="22"/>
        <w:rPr>
          <w:rFonts w:asciiTheme="minorHAnsi" w:eastAsiaTheme="minorEastAsia" w:hAnsiTheme="minorHAnsi" w:cstheme="minorBidi"/>
          <w:b w:val="0"/>
          <w:noProof/>
          <w:szCs w:val="22"/>
          <w:lang w:eastAsia="en-GB"/>
        </w:rPr>
      </w:pPr>
      <w:hyperlink w:anchor="_Toc67565468" w:history="1">
        <w:r w:rsidR="001353E5" w:rsidRPr="00EB7E77">
          <w:rPr>
            <w:rStyle w:val="-"/>
            <w:noProof/>
          </w:rPr>
          <w:t>12.7</w:t>
        </w:r>
        <w:r w:rsidR="001353E5">
          <w:rPr>
            <w:rFonts w:asciiTheme="minorHAnsi" w:eastAsiaTheme="minorEastAsia" w:hAnsiTheme="minorHAnsi" w:cstheme="minorBidi"/>
            <w:b w:val="0"/>
            <w:noProof/>
            <w:szCs w:val="22"/>
            <w:lang w:eastAsia="en-GB"/>
          </w:rPr>
          <w:tab/>
        </w:r>
        <w:r w:rsidR="001353E5" w:rsidRPr="00EB7E77">
          <w:rPr>
            <w:rStyle w:val="-"/>
            <w:noProof/>
          </w:rPr>
          <w:t>Walls and deep beams</w:t>
        </w:r>
        <w:r w:rsidR="001353E5">
          <w:rPr>
            <w:noProof/>
            <w:webHidden/>
          </w:rPr>
          <w:tab/>
        </w:r>
        <w:r w:rsidR="001353E5">
          <w:rPr>
            <w:noProof/>
            <w:webHidden/>
          </w:rPr>
          <w:fldChar w:fldCharType="begin"/>
        </w:r>
        <w:r w:rsidR="001353E5">
          <w:rPr>
            <w:noProof/>
            <w:webHidden/>
          </w:rPr>
          <w:instrText xml:space="preserve"> PAGEREF _Toc67565468 \h </w:instrText>
        </w:r>
        <w:r w:rsidR="001353E5">
          <w:rPr>
            <w:noProof/>
            <w:webHidden/>
          </w:rPr>
        </w:r>
        <w:r w:rsidR="001353E5">
          <w:rPr>
            <w:noProof/>
            <w:webHidden/>
          </w:rPr>
          <w:fldChar w:fldCharType="separate"/>
        </w:r>
        <w:r w:rsidR="000250B6">
          <w:rPr>
            <w:noProof/>
            <w:webHidden/>
          </w:rPr>
          <w:t>209</w:t>
        </w:r>
        <w:r w:rsidR="001353E5">
          <w:rPr>
            <w:noProof/>
            <w:webHidden/>
          </w:rPr>
          <w:fldChar w:fldCharType="end"/>
        </w:r>
      </w:hyperlink>
    </w:p>
    <w:p w14:paraId="6A0B06B0" w14:textId="77777777" w:rsidR="001353E5" w:rsidRDefault="00231E33">
      <w:pPr>
        <w:pStyle w:val="22"/>
        <w:rPr>
          <w:rFonts w:asciiTheme="minorHAnsi" w:eastAsiaTheme="minorEastAsia" w:hAnsiTheme="minorHAnsi" w:cstheme="minorBidi"/>
          <w:b w:val="0"/>
          <w:noProof/>
          <w:szCs w:val="22"/>
          <w:lang w:eastAsia="en-GB"/>
        </w:rPr>
      </w:pPr>
      <w:hyperlink w:anchor="_Toc67565469" w:history="1">
        <w:r w:rsidR="001353E5" w:rsidRPr="00EB7E77">
          <w:rPr>
            <w:rStyle w:val="-"/>
            <w:noProof/>
          </w:rPr>
          <w:t>12.8</w:t>
        </w:r>
        <w:r w:rsidR="001353E5">
          <w:rPr>
            <w:rFonts w:asciiTheme="minorHAnsi" w:eastAsiaTheme="minorEastAsia" w:hAnsiTheme="minorHAnsi" w:cstheme="minorBidi"/>
            <w:b w:val="0"/>
            <w:noProof/>
            <w:szCs w:val="22"/>
            <w:lang w:eastAsia="en-GB"/>
          </w:rPr>
          <w:tab/>
        </w:r>
        <w:r w:rsidR="001353E5" w:rsidRPr="00EB7E77">
          <w:rPr>
            <w:rStyle w:val="-"/>
            <w:noProof/>
          </w:rPr>
          <w:t>Foundations</w:t>
        </w:r>
        <w:r w:rsidR="001353E5">
          <w:rPr>
            <w:noProof/>
            <w:webHidden/>
          </w:rPr>
          <w:tab/>
        </w:r>
        <w:r w:rsidR="001353E5">
          <w:rPr>
            <w:noProof/>
            <w:webHidden/>
          </w:rPr>
          <w:fldChar w:fldCharType="begin"/>
        </w:r>
        <w:r w:rsidR="001353E5">
          <w:rPr>
            <w:noProof/>
            <w:webHidden/>
          </w:rPr>
          <w:instrText xml:space="preserve"> PAGEREF _Toc67565469 \h </w:instrText>
        </w:r>
        <w:r w:rsidR="001353E5">
          <w:rPr>
            <w:noProof/>
            <w:webHidden/>
          </w:rPr>
        </w:r>
        <w:r w:rsidR="001353E5">
          <w:rPr>
            <w:noProof/>
            <w:webHidden/>
          </w:rPr>
          <w:fldChar w:fldCharType="separate"/>
        </w:r>
        <w:r w:rsidR="000250B6">
          <w:rPr>
            <w:noProof/>
            <w:webHidden/>
          </w:rPr>
          <w:t>209</w:t>
        </w:r>
        <w:r w:rsidR="001353E5">
          <w:rPr>
            <w:noProof/>
            <w:webHidden/>
          </w:rPr>
          <w:fldChar w:fldCharType="end"/>
        </w:r>
      </w:hyperlink>
    </w:p>
    <w:p w14:paraId="440C890B" w14:textId="77777777" w:rsidR="001353E5" w:rsidRDefault="00231E33">
      <w:pPr>
        <w:pStyle w:val="22"/>
        <w:rPr>
          <w:rFonts w:asciiTheme="minorHAnsi" w:eastAsiaTheme="minorEastAsia" w:hAnsiTheme="minorHAnsi" w:cstheme="minorBidi"/>
          <w:b w:val="0"/>
          <w:noProof/>
          <w:szCs w:val="22"/>
          <w:lang w:eastAsia="en-GB"/>
        </w:rPr>
      </w:pPr>
      <w:hyperlink w:anchor="_Toc67565470" w:history="1">
        <w:r w:rsidR="001353E5" w:rsidRPr="00EB7E77">
          <w:rPr>
            <w:rStyle w:val="-"/>
            <w:noProof/>
          </w:rPr>
          <w:t>12.9</w:t>
        </w:r>
        <w:r w:rsidR="001353E5">
          <w:rPr>
            <w:rFonts w:asciiTheme="minorHAnsi" w:eastAsiaTheme="minorEastAsia" w:hAnsiTheme="minorHAnsi" w:cstheme="minorBidi"/>
            <w:b w:val="0"/>
            <w:noProof/>
            <w:szCs w:val="22"/>
            <w:lang w:eastAsia="en-GB"/>
          </w:rPr>
          <w:tab/>
        </w:r>
        <w:r w:rsidR="001353E5" w:rsidRPr="00EB7E77">
          <w:rPr>
            <w:rStyle w:val="-"/>
            <w:noProof/>
          </w:rPr>
          <w:t>Tying systems for robustness of buildings</w:t>
        </w:r>
        <w:r w:rsidR="001353E5">
          <w:rPr>
            <w:noProof/>
            <w:webHidden/>
          </w:rPr>
          <w:tab/>
        </w:r>
        <w:r w:rsidR="001353E5">
          <w:rPr>
            <w:noProof/>
            <w:webHidden/>
          </w:rPr>
          <w:fldChar w:fldCharType="begin"/>
        </w:r>
        <w:r w:rsidR="001353E5">
          <w:rPr>
            <w:noProof/>
            <w:webHidden/>
          </w:rPr>
          <w:instrText xml:space="preserve"> PAGEREF _Toc67565470 \h </w:instrText>
        </w:r>
        <w:r w:rsidR="001353E5">
          <w:rPr>
            <w:noProof/>
            <w:webHidden/>
          </w:rPr>
        </w:r>
        <w:r w:rsidR="001353E5">
          <w:rPr>
            <w:noProof/>
            <w:webHidden/>
          </w:rPr>
          <w:fldChar w:fldCharType="separate"/>
        </w:r>
        <w:r w:rsidR="000250B6">
          <w:rPr>
            <w:noProof/>
            <w:webHidden/>
          </w:rPr>
          <w:t>211</w:t>
        </w:r>
        <w:r w:rsidR="001353E5">
          <w:rPr>
            <w:noProof/>
            <w:webHidden/>
          </w:rPr>
          <w:fldChar w:fldCharType="end"/>
        </w:r>
      </w:hyperlink>
    </w:p>
    <w:p w14:paraId="2FF2558C" w14:textId="77777777" w:rsidR="001353E5" w:rsidRDefault="00231E33">
      <w:pPr>
        <w:pStyle w:val="32"/>
        <w:rPr>
          <w:rFonts w:asciiTheme="minorHAnsi" w:eastAsiaTheme="minorEastAsia" w:hAnsiTheme="minorHAnsi" w:cstheme="minorBidi"/>
          <w:b w:val="0"/>
          <w:noProof/>
          <w:szCs w:val="22"/>
          <w:lang w:eastAsia="en-GB"/>
        </w:rPr>
      </w:pPr>
      <w:hyperlink w:anchor="_Toc67565471" w:history="1">
        <w:r w:rsidR="001353E5" w:rsidRPr="00EB7E77">
          <w:rPr>
            <w:rStyle w:val="-"/>
            <w:noProof/>
          </w:rPr>
          <w:t>12.9.1</w:t>
        </w:r>
        <w:r w:rsidR="001353E5">
          <w:rPr>
            <w:rFonts w:asciiTheme="minorHAnsi" w:eastAsiaTheme="minorEastAsia" w:hAnsiTheme="minorHAnsi" w:cstheme="minorBidi"/>
            <w:b w:val="0"/>
            <w:noProof/>
            <w:szCs w:val="22"/>
            <w:lang w:eastAsia="en-GB"/>
          </w:rPr>
          <w:tab/>
        </w:r>
        <w:r w:rsidR="001353E5" w:rsidRPr="00EB7E77">
          <w:rPr>
            <w:rStyle w:val="-"/>
            <w:noProof/>
          </w:rPr>
          <w:t>General</w:t>
        </w:r>
        <w:r w:rsidR="001353E5">
          <w:rPr>
            <w:noProof/>
            <w:webHidden/>
          </w:rPr>
          <w:tab/>
        </w:r>
        <w:r w:rsidR="001353E5">
          <w:rPr>
            <w:noProof/>
            <w:webHidden/>
          </w:rPr>
          <w:fldChar w:fldCharType="begin"/>
        </w:r>
        <w:r w:rsidR="001353E5">
          <w:rPr>
            <w:noProof/>
            <w:webHidden/>
          </w:rPr>
          <w:instrText xml:space="preserve"> PAGEREF _Toc67565471 \h </w:instrText>
        </w:r>
        <w:r w:rsidR="001353E5">
          <w:rPr>
            <w:noProof/>
            <w:webHidden/>
          </w:rPr>
        </w:r>
        <w:r w:rsidR="001353E5">
          <w:rPr>
            <w:noProof/>
            <w:webHidden/>
          </w:rPr>
          <w:fldChar w:fldCharType="separate"/>
        </w:r>
        <w:r w:rsidR="000250B6">
          <w:rPr>
            <w:noProof/>
            <w:webHidden/>
          </w:rPr>
          <w:t>211</w:t>
        </w:r>
        <w:r w:rsidR="001353E5">
          <w:rPr>
            <w:noProof/>
            <w:webHidden/>
          </w:rPr>
          <w:fldChar w:fldCharType="end"/>
        </w:r>
      </w:hyperlink>
    </w:p>
    <w:p w14:paraId="7EC89A92" w14:textId="77777777" w:rsidR="001353E5" w:rsidRDefault="00231E33">
      <w:pPr>
        <w:pStyle w:val="32"/>
        <w:rPr>
          <w:rFonts w:asciiTheme="minorHAnsi" w:eastAsiaTheme="minorEastAsia" w:hAnsiTheme="minorHAnsi" w:cstheme="minorBidi"/>
          <w:b w:val="0"/>
          <w:noProof/>
          <w:szCs w:val="22"/>
          <w:lang w:eastAsia="en-GB"/>
        </w:rPr>
      </w:pPr>
      <w:hyperlink w:anchor="_Toc67565472" w:history="1">
        <w:r w:rsidR="001353E5" w:rsidRPr="00EB7E77">
          <w:rPr>
            <w:rStyle w:val="-"/>
            <w:noProof/>
          </w:rPr>
          <w:t>12.9.2</w:t>
        </w:r>
        <w:r w:rsidR="001353E5">
          <w:rPr>
            <w:rFonts w:asciiTheme="minorHAnsi" w:eastAsiaTheme="minorEastAsia" w:hAnsiTheme="minorHAnsi" w:cstheme="minorBidi"/>
            <w:b w:val="0"/>
            <w:noProof/>
            <w:szCs w:val="22"/>
            <w:lang w:eastAsia="en-GB"/>
          </w:rPr>
          <w:tab/>
        </w:r>
        <w:r w:rsidR="001353E5" w:rsidRPr="00EB7E77">
          <w:rPr>
            <w:rStyle w:val="-"/>
            <w:noProof/>
          </w:rPr>
          <w:t>Dimensioning of ties</w:t>
        </w:r>
        <w:r w:rsidR="001353E5">
          <w:rPr>
            <w:noProof/>
            <w:webHidden/>
          </w:rPr>
          <w:tab/>
        </w:r>
        <w:r w:rsidR="001353E5">
          <w:rPr>
            <w:noProof/>
            <w:webHidden/>
          </w:rPr>
          <w:fldChar w:fldCharType="begin"/>
        </w:r>
        <w:r w:rsidR="001353E5">
          <w:rPr>
            <w:noProof/>
            <w:webHidden/>
          </w:rPr>
          <w:instrText xml:space="preserve"> PAGEREF _Toc67565472 \h </w:instrText>
        </w:r>
        <w:r w:rsidR="001353E5">
          <w:rPr>
            <w:noProof/>
            <w:webHidden/>
          </w:rPr>
        </w:r>
        <w:r w:rsidR="001353E5">
          <w:rPr>
            <w:noProof/>
            <w:webHidden/>
          </w:rPr>
          <w:fldChar w:fldCharType="separate"/>
        </w:r>
        <w:r w:rsidR="000250B6">
          <w:rPr>
            <w:noProof/>
            <w:webHidden/>
          </w:rPr>
          <w:t>211</w:t>
        </w:r>
        <w:r w:rsidR="001353E5">
          <w:rPr>
            <w:noProof/>
            <w:webHidden/>
          </w:rPr>
          <w:fldChar w:fldCharType="end"/>
        </w:r>
      </w:hyperlink>
    </w:p>
    <w:p w14:paraId="70DED483" w14:textId="77777777" w:rsidR="001353E5" w:rsidRDefault="00231E33">
      <w:pPr>
        <w:pStyle w:val="32"/>
        <w:rPr>
          <w:rFonts w:asciiTheme="minorHAnsi" w:eastAsiaTheme="minorEastAsia" w:hAnsiTheme="minorHAnsi" w:cstheme="minorBidi"/>
          <w:b w:val="0"/>
          <w:noProof/>
          <w:szCs w:val="22"/>
          <w:lang w:eastAsia="en-GB"/>
        </w:rPr>
      </w:pPr>
      <w:hyperlink w:anchor="_Toc67565473" w:history="1">
        <w:r w:rsidR="001353E5" w:rsidRPr="00EB7E77">
          <w:rPr>
            <w:rStyle w:val="-"/>
            <w:noProof/>
          </w:rPr>
          <w:t>12.9.3</w:t>
        </w:r>
        <w:r w:rsidR="001353E5">
          <w:rPr>
            <w:rFonts w:asciiTheme="minorHAnsi" w:eastAsiaTheme="minorEastAsia" w:hAnsiTheme="minorHAnsi" w:cstheme="minorBidi"/>
            <w:b w:val="0"/>
            <w:noProof/>
            <w:szCs w:val="22"/>
            <w:lang w:eastAsia="en-GB"/>
          </w:rPr>
          <w:tab/>
        </w:r>
        <w:r w:rsidR="001353E5" w:rsidRPr="00EB7E77">
          <w:rPr>
            <w:rStyle w:val="-"/>
            <w:noProof/>
          </w:rPr>
          <w:t>Required resistances for ties</w:t>
        </w:r>
        <w:r w:rsidR="001353E5">
          <w:rPr>
            <w:noProof/>
            <w:webHidden/>
          </w:rPr>
          <w:tab/>
        </w:r>
        <w:r w:rsidR="001353E5">
          <w:rPr>
            <w:noProof/>
            <w:webHidden/>
          </w:rPr>
          <w:fldChar w:fldCharType="begin"/>
        </w:r>
        <w:r w:rsidR="001353E5">
          <w:rPr>
            <w:noProof/>
            <w:webHidden/>
          </w:rPr>
          <w:instrText xml:space="preserve"> PAGEREF _Toc67565473 \h </w:instrText>
        </w:r>
        <w:r w:rsidR="001353E5">
          <w:rPr>
            <w:noProof/>
            <w:webHidden/>
          </w:rPr>
        </w:r>
        <w:r w:rsidR="001353E5">
          <w:rPr>
            <w:noProof/>
            <w:webHidden/>
          </w:rPr>
          <w:fldChar w:fldCharType="separate"/>
        </w:r>
        <w:r w:rsidR="000250B6">
          <w:rPr>
            <w:noProof/>
            <w:webHidden/>
          </w:rPr>
          <w:t>212</w:t>
        </w:r>
        <w:r w:rsidR="001353E5">
          <w:rPr>
            <w:noProof/>
            <w:webHidden/>
          </w:rPr>
          <w:fldChar w:fldCharType="end"/>
        </w:r>
      </w:hyperlink>
    </w:p>
    <w:p w14:paraId="2F8BA100" w14:textId="77777777" w:rsidR="001353E5" w:rsidRDefault="00231E33">
      <w:pPr>
        <w:pStyle w:val="22"/>
        <w:rPr>
          <w:rFonts w:asciiTheme="minorHAnsi" w:eastAsiaTheme="minorEastAsia" w:hAnsiTheme="minorHAnsi" w:cstheme="minorBidi"/>
          <w:b w:val="0"/>
          <w:noProof/>
          <w:szCs w:val="22"/>
          <w:lang w:eastAsia="en-GB"/>
        </w:rPr>
      </w:pPr>
      <w:hyperlink w:anchor="_Toc67565474" w:history="1">
        <w:r w:rsidR="001353E5" w:rsidRPr="00EB7E77">
          <w:rPr>
            <w:rStyle w:val="-"/>
            <w:noProof/>
          </w:rPr>
          <w:t>12.10</w:t>
        </w:r>
        <w:r w:rsidR="001353E5">
          <w:rPr>
            <w:rFonts w:asciiTheme="minorHAnsi" w:eastAsiaTheme="minorEastAsia" w:hAnsiTheme="minorHAnsi" w:cstheme="minorBidi"/>
            <w:b w:val="0"/>
            <w:noProof/>
            <w:szCs w:val="22"/>
            <w:lang w:eastAsia="en-GB"/>
          </w:rPr>
          <w:tab/>
        </w:r>
        <w:r w:rsidR="001353E5" w:rsidRPr="00EB7E77">
          <w:rPr>
            <w:rStyle w:val="-"/>
            <w:noProof/>
          </w:rPr>
          <w:t>Supports, bearings and expansion joints</w:t>
        </w:r>
        <w:r w:rsidR="001353E5">
          <w:rPr>
            <w:noProof/>
            <w:webHidden/>
          </w:rPr>
          <w:tab/>
        </w:r>
        <w:r w:rsidR="001353E5">
          <w:rPr>
            <w:noProof/>
            <w:webHidden/>
          </w:rPr>
          <w:fldChar w:fldCharType="begin"/>
        </w:r>
        <w:r w:rsidR="001353E5">
          <w:rPr>
            <w:noProof/>
            <w:webHidden/>
          </w:rPr>
          <w:instrText xml:space="preserve"> PAGEREF _Toc67565474 \h </w:instrText>
        </w:r>
        <w:r w:rsidR="001353E5">
          <w:rPr>
            <w:noProof/>
            <w:webHidden/>
          </w:rPr>
        </w:r>
        <w:r w:rsidR="001353E5">
          <w:rPr>
            <w:noProof/>
            <w:webHidden/>
          </w:rPr>
          <w:fldChar w:fldCharType="separate"/>
        </w:r>
        <w:r w:rsidR="000250B6">
          <w:rPr>
            <w:noProof/>
            <w:webHidden/>
          </w:rPr>
          <w:t>213</w:t>
        </w:r>
        <w:r w:rsidR="001353E5">
          <w:rPr>
            <w:noProof/>
            <w:webHidden/>
          </w:rPr>
          <w:fldChar w:fldCharType="end"/>
        </w:r>
      </w:hyperlink>
    </w:p>
    <w:p w14:paraId="1AAC36C6" w14:textId="77777777" w:rsidR="001353E5" w:rsidRDefault="00231E33">
      <w:pPr>
        <w:pStyle w:val="22"/>
        <w:rPr>
          <w:rFonts w:asciiTheme="minorHAnsi" w:eastAsiaTheme="minorEastAsia" w:hAnsiTheme="minorHAnsi" w:cstheme="minorBidi"/>
          <w:b w:val="0"/>
          <w:noProof/>
          <w:szCs w:val="22"/>
          <w:lang w:eastAsia="en-GB"/>
        </w:rPr>
      </w:pPr>
      <w:hyperlink w:anchor="_Toc67565475" w:history="1">
        <w:r w:rsidR="001353E5" w:rsidRPr="00EB7E77">
          <w:rPr>
            <w:rStyle w:val="-"/>
            <w:noProof/>
          </w:rPr>
          <w:t>12.11</w:t>
        </w:r>
        <w:r w:rsidR="001353E5">
          <w:rPr>
            <w:rFonts w:asciiTheme="minorHAnsi" w:eastAsiaTheme="minorEastAsia" w:hAnsiTheme="minorHAnsi" w:cstheme="minorBidi"/>
            <w:b w:val="0"/>
            <w:noProof/>
            <w:szCs w:val="22"/>
            <w:lang w:eastAsia="en-GB"/>
          </w:rPr>
          <w:tab/>
        </w:r>
        <w:r w:rsidR="001353E5" w:rsidRPr="00EB7E77">
          <w:rPr>
            <w:rStyle w:val="-"/>
            <w:noProof/>
          </w:rPr>
          <w:t>Surface reinforcement for large diameter bars</w:t>
        </w:r>
        <w:r w:rsidR="001353E5">
          <w:rPr>
            <w:noProof/>
            <w:webHidden/>
          </w:rPr>
          <w:tab/>
        </w:r>
        <w:r w:rsidR="001353E5">
          <w:rPr>
            <w:noProof/>
            <w:webHidden/>
          </w:rPr>
          <w:fldChar w:fldCharType="begin"/>
        </w:r>
        <w:r w:rsidR="001353E5">
          <w:rPr>
            <w:noProof/>
            <w:webHidden/>
          </w:rPr>
          <w:instrText xml:space="preserve"> PAGEREF _Toc67565475 \h </w:instrText>
        </w:r>
        <w:r w:rsidR="001353E5">
          <w:rPr>
            <w:noProof/>
            <w:webHidden/>
          </w:rPr>
        </w:r>
        <w:r w:rsidR="001353E5">
          <w:rPr>
            <w:noProof/>
            <w:webHidden/>
          </w:rPr>
          <w:fldChar w:fldCharType="separate"/>
        </w:r>
        <w:r w:rsidR="000250B6">
          <w:rPr>
            <w:noProof/>
            <w:webHidden/>
          </w:rPr>
          <w:t>214</w:t>
        </w:r>
        <w:r w:rsidR="001353E5">
          <w:rPr>
            <w:noProof/>
            <w:webHidden/>
          </w:rPr>
          <w:fldChar w:fldCharType="end"/>
        </w:r>
      </w:hyperlink>
    </w:p>
    <w:p w14:paraId="5BBDFF21" w14:textId="77777777" w:rsidR="001353E5" w:rsidRDefault="00231E33">
      <w:pPr>
        <w:pStyle w:val="10"/>
        <w:rPr>
          <w:rFonts w:asciiTheme="minorHAnsi" w:eastAsiaTheme="minorEastAsia" w:hAnsiTheme="minorHAnsi" w:cstheme="minorBidi"/>
          <w:b w:val="0"/>
          <w:noProof/>
          <w:szCs w:val="22"/>
          <w:lang w:eastAsia="en-GB"/>
        </w:rPr>
      </w:pPr>
      <w:hyperlink w:anchor="_Toc67565476" w:history="1">
        <w:r w:rsidR="001353E5" w:rsidRPr="00EB7E77">
          <w:rPr>
            <w:rStyle w:val="-"/>
            <w:noProof/>
          </w:rPr>
          <w:t>13</w:t>
        </w:r>
        <w:r w:rsidR="001353E5">
          <w:rPr>
            <w:rFonts w:asciiTheme="minorHAnsi" w:eastAsiaTheme="minorEastAsia" w:hAnsiTheme="minorHAnsi" w:cstheme="minorBidi"/>
            <w:b w:val="0"/>
            <w:noProof/>
            <w:szCs w:val="22"/>
            <w:lang w:eastAsia="en-GB"/>
          </w:rPr>
          <w:tab/>
        </w:r>
        <w:r w:rsidR="001353E5" w:rsidRPr="00EB7E77">
          <w:rPr>
            <w:rStyle w:val="-"/>
            <w:noProof/>
          </w:rPr>
          <w:t>Additional rules for precast concrete elements and structures</w:t>
        </w:r>
        <w:r w:rsidR="001353E5">
          <w:rPr>
            <w:noProof/>
            <w:webHidden/>
          </w:rPr>
          <w:tab/>
        </w:r>
        <w:r w:rsidR="001353E5">
          <w:rPr>
            <w:noProof/>
            <w:webHidden/>
          </w:rPr>
          <w:fldChar w:fldCharType="begin"/>
        </w:r>
        <w:r w:rsidR="001353E5">
          <w:rPr>
            <w:noProof/>
            <w:webHidden/>
          </w:rPr>
          <w:instrText xml:space="preserve"> PAGEREF _Toc67565476 \h </w:instrText>
        </w:r>
        <w:r w:rsidR="001353E5">
          <w:rPr>
            <w:noProof/>
            <w:webHidden/>
          </w:rPr>
        </w:r>
        <w:r w:rsidR="001353E5">
          <w:rPr>
            <w:noProof/>
            <w:webHidden/>
          </w:rPr>
          <w:fldChar w:fldCharType="separate"/>
        </w:r>
        <w:r w:rsidR="000250B6">
          <w:rPr>
            <w:noProof/>
            <w:webHidden/>
          </w:rPr>
          <w:t>216</w:t>
        </w:r>
        <w:r w:rsidR="001353E5">
          <w:rPr>
            <w:noProof/>
            <w:webHidden/>
          </w:rPr>
          <w:fldChar w:fldCharType="end"/>
        </w:r>
      </w:hyperlink>
    </w:p>
    <w:p w14:paraId="22F16D7B" w14:textId="77777777" w:rsidR="001353E5" w:rsidRDefault="00231E33">
      <w:pPr>
        <w:pStyle w:val="22"/>
        <w:rPr>
          <w:rFonts w:asciiTheme="minorHAnsi" w:eastAsiaTheme="minorEastAsia" w:hAnsiTheme="minorHAnsi" w:cstheme="minorBidi"/>
          <w:b w:val="0"/>
          <w:noProof/>
          <w:szCs w:val="22"/>
          <w:lang w:eastAsia="en-GB"/>
        </w:rPr>
      </w:pPr>
      <w:hyperlink w:anchor="_Toc67565477" w:history="1">
        <w:r w:rsidR="001353E5" w:rsidRPr="00EB7E77">
          <w:rPr>
            <w:rStyle w:val="-"/>
            <w:noProof/>
          </w:rPr>
          <w:t>13.1</w:t>
        </w:r>
        <w:r w:rsidR="001353E5">
          <w:rPr>
            <w:rFonts w:asciiTheme="minorHAnsi" w:eastAsiaTheme="minorEastAsia" w:hAnsiTheme="minorHAnsi" w:cstheme="minorBidi"/>
            <w:b w:val="0"/>
            <w:noProof/>
            <w:szCs w:val="22"/>
            <w:lang w:eastAsia="en-GB"/>
          </w:rPr>
          <w:tab/>
        </w:r>
        <w:r w:rsidR="001353E5" w:rsidRPr="00EB7E77">
          <w:rPr>
            <w:rStyle w:val="-"/>
            <w:noProof/>
          </w:rPr>
          <w:t>General</w:t>
        </w:r>
        <w:r w:rsidR="001353E5">
          <w:rPr>
            <w:noProof/>
            <w:webHidden/>
          </w:rPr>
          <w:tab/>
        </w:r>
        <w:r w:rsidR="001353E5">
          <w:rPr>
            <w:noProof/>
            <w:webHidden/>
          </w:rPr>
          <w:fldChar w:fldCharType="begin"/>
        </w:r>
        <w:r w:rsidR="001353E5">
          <w:rPr>
            <w:noProof/>
            <w:webHidden/>
          </w:rPr>
          <w:instrText xml:space="preserve"> PAGEREF _Toc67565477 \h </w:instrText>
        </w:r>
        <w:r w:rsidR="001353E5">
          <w:rPr>
            <w:noProof/>
            <w:webHidden/>
          </w:rPr>
        </w:r>
        <w:r w:rsidR="001353E5">
          <w:rPr>
            <w:noProof/>
            <w:webHidden/>
          </w:rPr>
          <w:fldChar w:fldCharType="separate"/>
        </w:r>
        <w:r w:rsidR="000250B6">
          <w:rPr>
            <w:noProof/>
            <w:webHidden/>
          </w:rPr>
          <w:t>216</w:t>
        </w:r>
        <w:r w:rsidR="001353E5">
          <w:rPr>
            <w:noProof/>
            <w:webHidden/>
          </w:rPr>
          <w:fldChar w:fldCharType="end"/>
        </w:r>
      </w:hyperlink>
    </w:p>
    <w:p w14:paraId="2301CF04" w14:textId="77777777" w:rsidR="001353E5" w:rsidRDefault="00231E33">
      <w:pPr>
        <w:pStyle w:val="22"/>
        <w:rPr>
          <w:rFonts w:asciiTheme="minorHAnsi" w:eastAsiaTheme="minorEastAsia" w:hAnsiTheme="minorHAnsi" w:cstheme="minorBidi"/>
          <w:b w:val="0"/>
          <w:noProof/>
          <w:szCs w:val="22"/>
          <w:lang w:eastAsia="en-GB"/>
        </w:rPr>
      </w:pPr>
      <w:hyperlink w:anchor="_Toc67565478" w:history="1">
        <w:r w:rsidR="001353E5" w:rsidRPr="00EB7E77">
          <w:rPr>
            <w:rStyle w:val="-"/>
            <w:noProof/>
          </w:rPr>
          <w:t>13.2</w:t>
        </w:r>
        <w:r w:rsidR="001353E5">
          <w:rPr>
            <w:rFonts w:asciiTheme="minorHAnsi" w:eastAsiaTheme="minorEastAsia" w:hAnsiTheme="minorHAnsi" w:cstheme="minorBidi"/>
            <w:b w:val="0"/>
            <w:noProof/>
            <w:szCs w:val="22"/>
            <w:lang w:eastAsia="en-GB"/>
          </w:rPr>
          <w:tab/>
        </w:r>
        <w:r w:rsidR="001353E5" w:rsidRPr="00EB7E77">
          <w:rPr>
            <w:rStyle w:val="-"/>
            <w:noProof/>
          </w:rPr>
          <w:t>Specific requirements</w:t>
        </w:r>
        <w:r w:rsidR="001353E5">
          <w:rPr>
            <w:noProof/>
            <w:webHidden/>
          </w:rPr>
          <w:tab/>
        </w:r>
        <w:r w:rsidR="001353E5">
          <w:rPr>
            <w:noProof/>
            <w:webHidden/>
          </w:rPr>
          <w:fldChar w:fldCharType="begin"/>
        </w:r>
        <w:r w:rsidR="001353E5">
          <w:rPr>
            <w:noProof/>
            <w:webHidden/>
          </w:rPr>
          <w:instrText xml:space="preserve"> PAGEREF _Toc67565478 \h </w:instrText>
        </w:r>
        <w:r w:rsidR="001353E5">
          <w:rPr>
            <w:noProof/>
            <w:webHidden/>
          </w:rPr>
        </w:r>
        <w:r w:rsidR="001353E5">
          <w:rPr>
            <w:noProof/>
            <w:webHidden/>
          </w:rPr>
          <w:fldChar w:fldCharType="separate"/>
        </w:r>
        <w:r w:rsidR="000250B6">
          <w:rPr>
            <w:noProof/>
            <w:webHidden/>
          </w:rPr>
          <w:t>216</w:t>
        </w:r>
        <w:r w:rsidR="001353E5">
          <w:rPr>
            <w:noProof/>
            <w:webHidden/>
          </w:rPr>
          <w:fldChar w:fldCharType="end"/>
        </w:r>
      </w:hyperlink>
    </w:p>
    <w:p w14:paraId="176FA34C" w14:textId="77777777" w:rsidR="001353E5" w:rsidRDefault="00231E33">
      <w:pPr>
        <w:pStyle w:val="22"/>
        <w:rPr>
          <w:rFonts w:asciiTheme="minorHAnsi" w:eastAsiaTheme="minorEastAsia" w:hAnsiTheme="minorHAnsi" w:cstheme="minorBidi"/>
          <w:b w:val="0"/>
          <w:noProof/>
          <w:szCs w:val="22"/>
          <w:lang w:eastAsia="en-GB"/>
        </w:rPr>
      </w:pPr>
      <w:hyperlink w:anchor="_Toc67565479" w:history="1">
        <w:r w:rsidR="001353E5" w:rsidRPr="00EB7E77">
          <w:rPr>
            <w:rStyle w:val="-"/>
            <w:noProof/>
          </w:rPr>
          <w:t>13.3</w:t>
        </w:r>
        <w:r w:rsidR="001353E5">
          <w:rPr>
            <w:rFonts w:asciiTheme="minorHAnsi" w:eastAsiaTheme="minorEastAsia" w:hAnsiTheme="minorHAnsi" w:cstheme="minorBidi"/>
            <w:b w:val="0"/>
            <w:noProof/>
            <w:szCs w:val="22"/>
            <w:lang w:eastAsia="en-GB"/>
          </w:rPr>
          <w:tab/>
        </w:r>
        <w:r w:rsidR="001353E5" w:rsidRPr="00EB7E77">
          <w:rPr>
            <w:rStyle w:val="-"/>
            <w:noProof/>
          </w:rPr>
          <w:t>Concrete</w:t>
        </w:r>
        <w:r w:rsidR="001353E5">
          <w:rPr>
            <w:noProof/>
            <w:webHidden/>
          </w:rPr>
          <w:tab/>
        </w:r>
        <w:r w:rsidR="001353E5">
          <w:rPr>
            <w:noProof/>
            <w:webHidden/>
          </w:rPr>
          <w:fldChar w:fldCharType="begin"/>
        </w:r>
        <w:r w:rsidR="001353E5">
          <w:rPr>
            <w:noProof/>
            <w:webHidden/>
          </w:rPr>
          <w:instrText xml:space="preserve"> PAGEREF _Toc67565479 \h </w:instrText>
        </w:r>
        <w:r w:rsidR="001353E5">
          <w:rPr>
            <w:noProof/>
            <w:webHidden/>
          </w:rPr>
        </w:r>
        <w:r w:rsidR="001353E5">
          <w:rPr>
            <w:noProof/>
            <w:webHidden/>
          </w:rPr>
          <w:fldChar w:fldCharType="separate"/>
        </w:r>
        <w:r w:rsidR="000250B6">
          <w:rPr>
            <w:noProof/>
            <w:webHidden/>
          </w:rPr>
          <w:t>216</w:t>
        </w:r>
        <w:r w:rsidR="001353E5">
          <w:rPr>
            <w:noProof/>
            <w:webHidden/>
          </w:rPr>
          <w:fldChar w:fldCharType="end"/>
        </w:r>
      </w:hyperlink>
    </w:p>
    <w:p w14:paraId="30D86218" w14:textId="77777777" w:rsidR="001353E5" w:rsidRDefault="00231E33">
      <w:pPr>
        <w:pStyle w:val="32"/>
        <w:rPr>
          <w:rFonts w:asciiTheme="minorHAnsi" w:eastAsiaTheme="minorEastAsia" w:hAnsiTheme="minorHAnsi" w:cstheme="minorBidi"/>
          <w:b w:val="0"/>
          <w:noProof/>
          <w:szCs w:val="22"/>
          <w:lang w:eastAsia="en-GB"/>
        </w:rPr>
      </w:pPr>
      <w:hyperlink w:anchor="_Toc67565480" w:history="1">
        <w:r w:rsidR="001353E5" w:rsidRPr="00EB7E77">
          <w:rPr>
            <w:rStyle w:val="-"/>
            <w:noProof/>
          </w:rPr>
          <w:t>13.3.1</w:t>
        </w:r>
        <w:r w:rsidR="001353E5">
          <w:rPr>
            <w:rFonts w:asciiTheme="minorHAnsi" w:eastAsiaTheme="minorEastAsia" w:hAnsiTheme="minorHAnsi" w:cstheme="minorBidi"/>
            <w:b w:val="0"/>
            <w:noProof/>
            <w:szCs w:val="22"/>
            <w:lang w:eastAsia="en-GB"/>
          </w:rPr>
          <w:tab/>
        </w:r>
        <w:r w:rsidR="001353E5" w:rsidRPr="00EB7E77">
          <w:rPr>
            <w:rStyle w:val="-"/>
            <w:noProof/>
          </w:rPr>
          <w:t>Strength for heat curing</w:t>
        </w:r>
        <w:r w:rsidR="001353E5">
          <w:rPr>
            <w:noProof/>
            <w:webHidden/>
          </w:rPr>
          <w:tab/>
        </w:r>
        <w:r w:rsidR="001353E5">
          <w:rPr>
            <w:noProof/>
            <w:webHidden/>
          </w:rPr>
          <w:fldChar w:fldCharType="begin"/>
        </w:r>
        <w:r w:rsidR="001353E5">
          <w:rPr>
            <w:noProof/>
            <w:webHidden/>
          </w:rPr>
          <w:instrText xml:space="preserve"> PAGEREF _Toc67565480 \h </w:instrText>
        </w:r>
        <w:r w:rsidR="001353E5">
          <w:rPr>
            <w:noProof/>
            <w:webHidden/>
          </w:rPr>
        </w:r>
        <w:r w:rsidR="001353E5">
          <w:rPr>
            <w:noProof/>
            <w:webHidden/>
          </w:rPr>
          <w:fldChar w:fldCharType="separate"/>
        </w:r>
        <w:r w:rsidR="000250B6">
          <w:rPr>
            <w:noProof/>
            <w:webHidden/>
          </w:rPr>
          <w:t>216</w:t>
        </w:r>
        <w:r w:rsidR="001353E5">
          <w:rPr>
            <w:noProof/>
            <w:webHidden/>
          </w:rPr>
          <w:fldChar w:fldCharType="end"/>
        </w:r>
      </w:hyperlink>
    </w:p>
    <w:p w14:paraId="7837F122" w14:textId="77777777" w:rsidR="001353E5" w:rsidRDefault="00231E33">
      <w:pPr>
        <w:pStyle w:val="32"/>
        <w:rPr>
          <w:rFonts w:asciiTheme="minorHAnsi" w:eastAsiaTheme="minorEastAsia" w:hAnsiTheme="minorHAnsi" w:cstheme="minorBidi"/>
          <w:b w:val="0"/>
          <w:noProof/>
          <w:szCs w:val="22"/>
          <w:lang w:eastAsia="en-GB"/>
        </w:rPr>
      </w:pPr>
      <w:hyperlink w:anchor="_Toc67565481" w:history="1">
        <w:r w:rsidR="001353E5" w:rsidRPr="00EB7E77">
          <w:rPr>
            <w:rStyle w:val="-"/>
            <w:noProof/>
          </w:rPr>
          <w:t>13.3.2</w:t>
        </w:r>
        <w:r w:rsidR="001353E5">
          <w:rPr>
            <w:rFonts w:asciiTheme="minorHAnsi" w:eastAsiaTheme="minorEastAsia" w:hAnsiTheme="minorHAnsi" w:cstheme="minorBidi"/>
            <w:b w:val="0"/>
            <w:noProof/>
            <w:szCs w:val="22"/>
            <w:lang w:eastAsia="en-GB"/>
          </w:rPr>
          <w:tab/>
        </w:r>
        <w:r w:rsidR="001353E5" w:rsidRPr="00EB7E77">
          <w:rPr>
            <w:rStyle w:val="-"/>
            <w:noProof/>
          </w:rPr>
          <w:t>Creep and shrinkage</w:t>
        </w:r>
        <w:r w:rsidR="001353E5">
          <w:rPr>
            <w:noProof/>
            <w:webHidden/>
          </w:rPr>
          <w:tab/>
        </w:r>
        <w:r w:rsidR="001353E5">
          <w:rPr>
            <w:noProof/>
            <w:webHidden/>
          </w:rPr>
          <w:fldChar w:fldCharType="begin"/>
        </w:r>
        <w:r w:rsidR="001353E5">
          <w:rPr>
            <w:noProof/>
            <w:webHidden/>
          </w:rPr>
          <w:instrText xml:space="preserve"> PAGEREF _Toc67565481 \h </w:instrText>
        </w:r>
        <w:r w:rsidR="001353E5">
          <w:rPr>
            <w:noProof/>
            <w:webHidden/>
          </w:rPr>
        </w:r>
        <w:r w:rsidR="001353E5">
          <w:rPr>
            <w:noProof/>
            <w:webHidden/>
          </w:rPr>
          <w:fldChar w:fldCharType="separate"/>
        </w:r>
        <w:r w:rsidR="000250B6">
          <w:rPr>
            <w:noProof/>
            <w:webHidden/>
          </w:rPr>
          <w:t>216</w:t>
        </w:r>
        <w:r w:rsidR="001353E5">
          <w:rPr>
            <w:noProof/>
            <w:webHidden/>
          </w:rPr>
          <w:fldChar w:fldCharType="end"/>
        </w:r>
      </w:hyperlink>
    </w:p>
    <w:p w14:paraId="152A8AF5" w14:textId="77777777" w:rsidR="001353E5" w:rsidRDefault="00231E33">
      <w:pPr>
        <w:pStyle w:val="22"/>
        <w:rPr>
          <w:rFonts w:asciiTheme="minorHAnsi" w:eastAsiaTheme="minorEastAsia" w:hAnsiTheme="minorHAnsi" w:cstheme="minorBidi"/>
          <w:b w:val="0"/>
          <w:noProof/>
          <w:szCs w:val="22"/>
          <w:lang w:eastAsia="en-GB"/>
        </w:rPr>
      </w:pPr>
      <w:hyperlink w:anchor="_Toc67565482" w:history="1">
        <w:r w:rsidR="001353E5" w:rsidRPr="00EB7E77">
          <w:rPr>
            <w:rStyle w:val="-"/>
            <w:noProof/>
          </w:rPr>
          <w:t>13.4</w:t>
        </w:r>
        <w:r w:rsidR="001353E5">
          <w:rPr>
            <w:rFonts w:asciiTheme="minorHAnsi" w:eastAsiaTheme="minorEastAsia" w:hAnsiTheme="minorHAnsi" w:cstheme="minorBidi"/>
            <w:b w:val="0"/>
            <w:noProof/>
            <w:szCs w:val="22"/>
            <w:lang w:eastAsia="en-GB"/>
          </w:rPr>
          <w:tab/>
        </w:r>
        <w:r w:rsidR="001353E5" w:rsidRPr="00EB7E77">
          <w:rPr>
            <w:rStyle w:val="-"/>
            <w:noProof/>
          </w:rPr>
          <w:t>Structural analysis</w:t>
        </w:r>
        <w:r w:rsidR="001353E5">
          <w:rPr>
            <w:noProof/>
            <w:webHidden/>
          </w:rPr>
          <w:tab/>
        </w:r>
        <w:r w:rsidR="001353E5">
          <w:rPr>
            <w:noProof/>
            <w:webHidden/>
          </w:rPr>
          <w:fldChar w:fldCharType="begin"/>
        </w:r>
        <w:r w:rsidR="001353E5">
          <w:rPr>
            <w:noProof/>
            <w:webHidden/>
          </w:rPr>
          <w:instrText xml:space="preserve"> PAGEREF _Toc67565482 \h </w:instrText>
        </w:r>
        <w:r w:rsidR="001353E5">
          <w:rPr>
            <w:noProof/>
            <w:webHidden/>
          </w:rPr>
        </w:r>
        <w:r w:rsidR="001353E5">
          <w:rPr>
            <w:noProof/>
            <w:webHidden/>
          </w:rPr>
          <w:fldChar w:fldCharType="separate"/>
        </w:r>
        <w:r w:rsidR="000250B6">
          <w:rPr>
            <w:noProof/>
            <w:webHidden/>
          </w:rPr>
          <w:t>217</w:t>
        </w:r>
        <w:r w:rsidR="001353E5">
          <w:rPr>
            <w:noProof/>
            <w:webHidden/>
          </w:rPr>
          <w:fldChar w:fldCharType="end"/>
        </w:r>
      </w:hyperlink>
    </w:p>
    <w:p w14:paraId="1C21982C" w14:textId="77777777" w:rsidR="001353E5" w:rsidRDefault="00231E33">
      <w:pPr>
        <w:pStyle w:val="32"/>
        <w:rPr>
          <w:rFonts w:asciiTheme="minorHAnsi" w:eastAsiaTheme="minorEastAsia" w:hAnsiTheme="minorHAnsi" w:cstheme="minorBidi"/>
          <w:b w:val="0"/>
          <w:noProof/>
          <w:szCs w:val="22"/>
          <w:lang w:eastAsia="en-GB"/>
        </w:rPr>
      </w:pPr>
      <w:hyperlink w:anchor="_Toc67565483" w:history="1">
        <w:r w:rsidR="001353E5" w:rsidRPr="00EB7E77">
          <w:rPr>
            <w:rStyle w:val="-"/>
            <w:noProof/>
          </w:rPr>
          <w:t>13.4.1</w:t>
        </w:r>
        <w:r w:rsidR="001353E5">
          <w:rPr>
            <w:rFonts w:asciiTheme="minorHAnsi" w:eastAsiaTheme="minorEastAsia" w:hAnsiTheme="minorHAnsi" w:cstheme="minorBidi"/>
            <w:b w:val="0"/>
            <w:noProof/>
            <w:szCs w:val="22"/>
            <w:lang w:eastAsia="en-GB"/>
          </w:rPr>
          <w:tab/>
        </w:r>
        <w:r w:rsidR="001353E5" w:rsidRPr="00EB7E77">
          <w:rPr>
            <w:rStyle w:val="-"/>
            <w:noProof/>
          </w:rPr>
          <w:t>General</w:t>
        </w:r>
        <w:r w:rsidR="001353E5">
          <w:rPr>
            <w:noProof/>
            <w:webHidden/>
          </w:rPr>
          <w:tab/>
        </w:r>
        <w:r w:rsidR="001353E5">
          <w:rPr>
            <w:noProof/>
            <w:webHidden/>
          </w:rPr>
          <w:fldChar w:fldCharType="begin"/>
        </w:r>
        <w:r w:rsidR="001353E5">
          <w:rPr>
            <w:noProof/>
            <w:webHidden/>
          </w:rPr>
          <w:instrText xml:space="preserve"> PAGEREF _Toc67565483 \h </w:instrText>
        </w:r>
        <w:r w:rsidR="001353E5">
          <w:rPr>
            <w:noProof/>
            <w:webHidden/>
          </w:rPr>
        </w:r>
        <w:r w:rsidR="001353E5">
          <w:rPr>
            <w:noProof/>
            <w:webHidden/>
          </w:rPr>
          <w:fldChar w:fldCharType="separate"/>
        </w:r>
        <w:r w:rsidR="000250B6">
          <w:rPr>
            <w:noProof/>
            <w:webHidden/>
          </w:rPr>
          <w:t>217</w:t>
        </w:r>
        <w:r w:rsidR="001353E5">
          <w:rPr>
            <w:noProof/>
            <w:webHidden/>
          </w:rPr>
          <w:fldChar w:fldCharType="end"/>
        </w:r>
      </w:hyperlink>
    </w:p>
    <w:p w14:paraId="4FD7882E" w14:textId="77777777" w:rsidR="001353E5" w:rsidRDefault="00231E33">
      <w:pPr>
        <w:pStyle w:val="32"/>
        <w:rPr>
          <w:rFonts w:asciiTheme="minorHAnsi" w:eastAsiaTheme="minorEastAsia" w:hAnsiTheme="minorHAnsi" w:cstheme="minorBidi"/>
          <w:b w:val="0"/>
          <w:noProof/>
          <w:szCs w:val="22"/>
          <w:lang w:eastAsia="en-GB"/>
        </w:rPr>
      </w:pPr>
      <w:hyperlink w:anchor="_Toc67565484" w:history="1">
        <w:r w:rsidR="001353E5" w:rsidRPr="00EB7E77">
          <w:rPr>
            <w:rStyle w:val="-"/>
            <w:noProof/>
          </w:rPr>
          <w:t>13.4.2</w:t>
        </w:r>
        <w:r w:rsidR="001353E5">
          <w:rPr>
            <w:rFonts w:asciiTheme="minorHAnsi" w:eastAsiaTheme="minorEastAsia" w:hAnsiTheme="minorHAnsi" w:cstheme="minorBidi"/>
            <w:b w:val="0"/>
            <w:noProof/>
            <w:szCs w:val="22"/>
            <w:lang w:eastAsia="en-GB"/>
          </w:rPr>
          <w:tab/>
        </w:r>
        <w:r w:rsidR="001353E5" w:rsidRPr="00EB7E77">
          <w:rPr>
            <w:rStyle w:val="-"/>
            <w:noProof/>
          </w:rPr>
          <w:t>Losses of prestress during heat curing</w:t>
        </w:r>
        <w:r w:rsidR="001353E5">
          <w:rPr>
            <w:noProof/>
            <w:webHidden/>
          </w:rPr>
          <w:tab/>
        </w:r>
        <w:r w:rsidR="001353E5">
          <w:rPr>
            <w:noProof/>
            <w:webHidden/>
          </w:rPr>
          <w:fldChar w:fldCharType="begin"/>
        </w:r>
        <w:r w:rsidR="001353E5">
          <w:rPr>
            <w:noProof/>
            <w:webHidden/>
          </w:rPr>
          <w:instrText xml:space="preserve"> PAGEREF _Toc67565484 \h </w:instrText>
        </w:r>
        <w:r w:rsidR="001353E5">
          <w:rPr>
            <w:noProof/>
            <w:webHidden/>
          </w:rPr>
        </w:r>
        <w:r w:rsidR="001353E5">
          <w:rPr>
            <w:noProof/>
            <w:webHidden/>
          </w:rPr>
          <w:fldChar w:fldCharType="separate"/>
        </w:r>
        <w:r w:rsidR="000250B6">
          <w:rPr>
            <w:noProof/>
            <w:webHidden/>
          </w:rPr>
          <w:t>217</w:t>
        </w:r>
        <w:r w:rsidR="001353E5">
          <w:rPr>
            <w:noProof/>
            <w:webHidden/>
          </w:rPr>
          <w:fldChar w:fldCharType="end"/>
        </w:r>
      </w:hyperlink>
    </w:p>
    <w:p w14:paraId="1A902F65" w14:textId="77777777" w:rsidR="001353E5" w:rsidRDefault="00231E33">
      <w:pPr>
        <w:pStyle w:val="22"/>
        <w:rPr>
          <w:rFonts w:asciiTheme="minorHAnsi" w:eastAsiaTheme="minorEastAsia" w:hAnsiTheme="minorHAnsi" w:cstheme="minorBidi"/>
          <w:b w:val="0"/>
          <w:noProof/>
          <w:szCs w:val="22"/>
          <w:lang w:eastAsia="en-GB"/>
        </w:rPr>
      </w:pPr>
      <w:hyperlink w:anchor="_Toc67565485" w:history="1">
        <w:r w:rsidR="001353E5" w:rsidRPr="00EB7E77">
          <w:rPr>
            <w:rStyle w:val="-"/>
            <w:noProof/>
          </w:rPr>
          <w:t>13.5</w:t>
        </w:r>
        <w:r w:rsidR="001353E5">
          <w:rPr>
            <w:rFonts w:asciiTheme="minorHAnsi" w:eastAsiaTheme="minorEastAsia" w:hAnsiTheme="minorHAnsi" w:cstheme="minorBidi"/>
            <w:b w:val="0"/>
            <w:noProof/>
            <w:szCs w:val="22"/>
            <w:lang w:eastAsia="en-GB"/>
          </w:rPr>
          <w:tab/>
        </w:r>
        <w:r w:rsidR="001353E5" w:rsidRPr="00EB7E77">
          <w:rPr>
            <w:rStyle w:val="-"/>
            <w:noProof/>
          </w:rPr>
          <w:t>Design and detailing of pre-tensioning tendons</w:t>
        </w:r>
        <w:r w:rsidR="001353E5">
          <w:rPr>
            <w:noProof/>
            <w:webHidden/>
          </w:rPr>
          <w:tab/>
        </w:r>
        <w:r w:rsidR="001353E5">
          <w:rPr>
            <w:noProof/>
            <w:webHidden/>
          </w:rPr>
          <w:fldChar w:fldCharType="begin"/>
        </w:r>
        <w:r w:rsidR="001353E5">
          <w:rPr>
            <w:noProof/>
            <w:webHidden/>
          </w:rPr>
          <w:instrText xml:space="preserve"> PAGEREF _Toc67565485 \h </w:instrText>
        </w:r>
        <w:r w:rsidR="001353E5">
          <w:rPr>
            <w:noProof/>
            <w:webHidden/>
          </w:rPr>
        </w:r>
        <w:r w:rsidR="001353E5">
          <w:rPr>
            <w:noProof/>
            <w:webHidden/>
          </w:rPr>
          <w:fldChar w:fldCharType="separate"/>
        </w:r>
        <w:r w:rsidR="000250B6">
          <w:rPr>
            <w:noProof/>
            <w:webHidden/>
          </w:rPr>
          <w:t>218</w:t>
        </w:r>
        <w:r w:rsidR="001353E5">
          <w:rPr>
            <w:noProof/>
            <w:webHidden/>
          </w:rPr>
          <w:fldChar w:fldCharType="end"/>
        </w:r>
      </w:hyperlink>
    </w:p>
    <w:p w14:paraId="2876F1A3" w14:textId="77777777" w:rsidR="001353E5" w:rsidRDefault="00231E33">
      <w:pPr>
        <w:pStyle w:val="32"/>
        <w:rPr>
          <w:rFonts w:asciiTheme="minorHAnsi" w:eastAsiaTheme="minorEastAsia" w:hAnsiTheme="minorHAnsi" w:cstheme="minorBidi"/>
          <w:b w:val="0"/>
          <w:noProof/>
          <w:szCs w:val="22"/>
          <w:lang w:eastAsia="en-GB"/>
        </w:rPr>
      </w:pPr>
      <w:hyperlink w:anchor="_Toc67565486" w:history="1">
        <w:r w:rsidR="001353E5" w:rsidRPr="00EB7E77">
          <w:rPr>
            <w:rStyle w:val="-"/>
            <w:noProof/>
          </w:rPr>
          <w:t>13.5.1</w:t>
        </w:r>
        <w:r w:rsidR="001353E5">
          <w:rPr>
            <w:rFonts w:asciiTheme="minorHAnsi" w:eastAsiaTheme="minorEastAsia" w:hAnsiTheme="minorHAnsi" w:cstheme="minorBidi"/>
            <w:b w:val="0"/>
            <w:noProof/>
            <w:szCs w:val="22"/>
            <w:lang w:eastAsia="en-GB"/>
          </w:rPr>
          <w:tab/>
        </w:r>
        <w:r w:rsidR="001353E5" w:rsidRPr="00EB7E77">
          <w:rPr>
            <w:rStyle w:val="-"/>
            <w:noProof/>
          </w:rPr>
          <w:t>Arrangement of tendons</w:t>
        </w:r>
        <w:r w:rsidR="001353E5">
          <w:rPr>
            <w:noProof/>
            <w:webHidden/>
          </w:rPr>
          <w:tab/>
        </w:r>
        <w:r w:rsidR="001353E5">
          <w:rPr>
            <w:noProof/>
            <w:webHidden/>
          </w:rPr>
          <w:fldChar w:fldCharType="begin"/>
        </w:r>
        <w:r w:rsidR="001353E5">
          <w:rPr>
            <w:noProof/>
            <w:webHidden/>
          </w:rPr>
          <w:instrText xml:space="preserve"> PAGEREF _Toc67565486 \h </w:instrText>
        </w:r>
        <w:r w:rsidR="001353E5">
          <w:rPr>
            <w:noProof/>
            <w:webHidden/>
          </w:rPr>
        </w:r>
        <w:r w:rsidR="001353E5">
          <w:rPr>
            <w:noProof/>
            <w:webHidden/>
          </w:rPr>
          <w:fldChar w:fldCharType="separate"/>
        </w:r>
        <w:r w:rsidR="000250B6">
          <w:rPr>
            <w:noProof/>
            <w:webHidden/>
          </w:rPr>
          <w:t>218</w:t>
        </w:r>
        <w:r w:rsidR="001353E5">
          <w:rPr>
            <w:noProof/>
            <w:webHidden/>
          </w:rPr>
          <w:fldChar w:fldCharType="end"/>
        </w:r>
      </w:hyperlink>
    </w:p>
    <w:p w14:paraId="7620B9AD" w14:textId="77777777" w:rsidR="001353E5" w:rsidRDefault="00231E33">
      <w:pPr>
        <w:pStyle w:val="32"/>
        <w:rPr>
          <w:rFonts w:asciiTheme="minorHAnsi" w:eastAsiaTheme="minorEastAsia" w:hAnsiTheme="minorHAnsi" w:cstheme="minorBidi"/>
          <w:b w:val="0"/>
          <w:noProof/>
          <w:szCs w:val="22"/>
          <w:lang w:eastAsia="en-GB"/>
        </w:rPr>
      </w:pPr>
      <w:hyperlink w:anchor="_Toc67565487" w:history="1">
        <w:r w:rsidR="001353E5" w:rsidRPr="00EB7E77">
          <w:rPr>
            <w:rStyle w:val="-"/>
            <w:noProof/>
          </w:rPr>
          <w:t>13.5.2</w:t>
        </w:r>
        <w:r w:rsidR="001353E5">
          <w:rPr>
            <w:rFonts w:asciiTheme="minorHAnsi" w:eastAsiaTheme="minorEastAsia" w:hAnsiTheme="minorHAnsi" w:cstheme="minorBidi"/>
            <w:b w:val="0"/>
            <w:noProof/>
            <w:szCs w:val="22"/>
            <w:lang w:eastAsia="en-GB"/>
          </w:rPr>
          <w:tab/>
        </w:r>
        <w:r w:rsidR="001353E5" w:rsidRPr="00EB7E77">
          <w:rPr>
            <w:rStyle w:val="-"/>
            <w:noProof/>
          </w:rPr>
          <w:t>Anchorage zones</w:t>
        </w:r>
        <w:r w:rsidR="001353E5">
          <w:rPr>
            <w:noProof/>
            <w:webHidden/>
          </w:rPr>
          <w:tab/>
        </w:r>
        <w:r w:rsidR="001353E5">
          <w:rPr>
            <w:noProof/>
            <w:webHidden/>
          </w:rPr>
          <w:fldChar w:fldCharType="begin"/>
        </w:r>
        <w:r w:rsidR="001353E5">
          <w:rPr>
            <w:noProof/>
            <w:webHidden/>
          </w:rPr>
          <w:instrText xml:space="preserve"> PAGEREF _Toc67565487 \h </w:instrText>
        </w:r>
        <w:r w:rsidR="001353E5">
          <w:rPr>
            <w:noProof/>
            <w:webHidden/>
          </w:rPr>
        </w:r>
        <w:r w:rsidR="001353E5">
          <w:rPr>
            <w:noProof/>
            <w:webHidden/>
          </w:rPr>
          <w:fldChar w:fldCharType="separate"/>
        </w:r>
        <w:r w:rsidR="000250B6">
          <w:rPr>
            <w:noProof/>
            <w:webHidden/>
          </w:rPr>
          <w:t>219</w:t>
        </w:r>
        <w:r w:rsidR="001353E5">
          <w:rPr>
            <w:noProof/>
            <w:webHidden/>
          </w:rPr>
          <w:fldChar w:fldCharType="end"/>
        </w:r>
      </w:hyperlink>
    </w:p>
    <w:p w14:paraId="60801C47" w14:textId="77777777" w:rsidR="001353E5" w:rsidRDefault="00231E33">
      <w:pPr>
        <w:pStyle w:val="32"/>
        <w:rPr>
          <w:rFonts w:asciiTheme="minorHAnsi" w:eastAsiaTheme="minorEastAsia" w:hAnsiTheme="minorHAnsi" w:cstheme="minorBidi"/>
          <w:b w:val="0"/>
          <w:noProof/>
          <w:szCs w:val="22"/>
          <w:lang w:eastAsia="en-GB"/>
        </w:rPr>
      </w:pPr>
      <w:hyperlink w:anchor="_Toc67565488" w:history="1">
        <w:r w:rsidR="001353E5" w:rsidRPr="00EB7E77">
          <w:rPr>
            <w:rStyle w:val="-"/>
            <w:noProof/>
          </w:rPr>
          <w:t>13.5.3</w:t>
        </w:r>
        <w:r w:rsidR="001353E5">
          <w:rPr>
            <w:rFonts w:asciiTheme="minorHAnsi" w:eastAsiaTheme="minorEastAsia" w:hAnsiTheme="minorHAnsi" w:cstheme="minorBidi"/>
            <w:b w:val="0"/>
            <w:noProof/>
            <w:szCs w:val="22"/>
            <w:lang w:eastAsia="en-GB"/>
          </w:rPr>
          <w:tab/>
        </w:r>
        <w:r w:rsidR="001353E5" w:rsidRPr="00EB7E77">
          <w:rPr>
            <w:rStyle w:val="-"/>
            <w:noProof/>
          </w:rPr>
          <w:t>Transfer of prestress</w:t>
        </w:r>
        <w:r w:rsidR="001353E5">
          <w:rPr>
            <w:noProof/>
            <w:webHidden/>
          </w:rPr>
          <w:tab/>
        </w:r>
        <w:r w:rsidR="001353E5">
          <w:rPr>
            <w:noProof/>
            <w:webHidden/>
          </w:rPr>
          <w:fldChar w:fldCharType="begin"/>
        </w:r>
        <w:r w:rsidR="001353E5">
          <w:rPr>
            <w:noProof/>
            <w:webHidden/>
          </w:rPr>
          <w:instrText xml:space="preserve"> PAGEREF _Toc67565488 \h </w:instrText>
        </w:r>
        <w:r w:rsidR="001353E5">
          <w:rPr>
            <w:noProof/>
            <w:webHidden/>
          </w:rPr>
        </w:r>
        <w:r w:rsidR="001353E5">
          <w:rPr>
            <w:noProof/>
            <w:webHidden/>
          </w:rPr>
          <w:fldChar w:fldCharType="separate"/>
        </w:r>
        <w:r w:rsidR="000250B6">
          <w:rPr>
            <w:noProof/>
            <w:webHidden/>
          </w:rPr>
          <w:t>219</w:t>
        </w:r>
        <w:r w:rsidR="001353E5">
          <w:rPr>
            <w:noProof/>
            <w:webHidden/>
          </w:rPr>
          <w:fldChar w:fldCharType="end"/>
        </w:r>
      </w:hyperlink>
    </w:p>
    <w:p w14:paraId="2DC9C881" w14:textId="77777777" w:rsidR="001353E5" w:rsidRDefault="00231E33">
      <w:pPr>
        <w:pStyle w:val="32"/>
        <w:rPr>
          <w:rFonts w:asciiTheme="minorHAnsi" w:eastAsiaTheme="minorEastAsia" w:hAnsiTheme="minorHAnsi" w:cstheme="minorBidi"/>
          <w:b w:val="0"/>
          <w:noProof/>
          <w:szCs w:val="22"/>
          <w:lang w:eastAsia="en-GB"/>
        </w:rPr>
      </w:pPr>
      <w:hyperlink w:anchor="_Toc67565489" w:history="1">
        <w:r w:rsidR="001353E5" w:rsidRPr="00EB7E77">
          <w:rPr>
            <w:rStyle w:val="-"/>
            <w:noProof/>
          </w:rPr>
          <w:t>13.5.4</w:t>
        </w:r>
        <w:r w:rsidR="001353E5">
          <w:rPr>
            <w:rFonts w:asciiTheme="minorHAnsi" w:eastAsiaTheme="minorEastAsia" w:hAnsiTheme="minorHAnsi" w:cstheme="minorBidi"/>
            <w:b w:val="0"/>
            <w:noProof/>
            <w:szCs w:val="22"/>
            <w:lang w:eastAsia="en-GB"/>
          </w:rPr>
          <w:tab/>
        </w:r>
        <w:r w:rsidR="001353E5" w:rsidRPr="00EB7E77">
          <w:rPr>
            <w:rStyle w:val="-"/>
            <w:noProof/>
          </w:rPr>
          <w:t>Anchorage of tensile force at ULS</w:t>
        </w:r>
        <w:r w:rsidR="001353E5">
          <w:rPr>
            <w:noProof/>
            <w:webHidden/>
          </w:rPr>
          <w:tab/>
        </w:r>
        <w:r w:rsidR="001353E5">
          <w:rPr>
            <w:noProof/>
            <w:webHidden/>
          </w:rPr>
          <w:fldChar w:fldCharType="begin"/>
        </w:r>
        <w:r w:rsidR="001353E5">
          <w:rPr>
            <w:noProof/>
            <w:webHidden/>
          </w:rPr>
          <w:instrText xml:space="preserve"> PAGEREF _Toc67565489 \h </w:instrText>
        </w:r>
        <w:r w:rsidR="001353E5">
          <w:rPr>
            <w:noProof/>
            <w:webHidden/>
          </w:rPr>
        </w:r>
        <w:r w:rsidR="001353E5">
          <w:rPr>
            <w:noProof/>
            <w:webHidden/>
          </w:rPr>
          <w:fldChar w:fldCharType="separate"/>
        </w:r>
        <w:r w:rsidR="000250B6">
          <w:rPr>
            <w:noProof/>
            <w:webHidden/>
          </w:rPr>
          <w:t>220</w:t>
        </w:r>
        <w:r w:rsidR="001353E5">
          <w:rPr>
            <w:noProof/>
            <w:webHidden/>
          </w:rPr>
          <w:fldChar w:fldCharType="end"/>
        </w:r>
      </w:hyperlink>
    </w:p>
    <w:p w14:paraId="311DC83E" w14:textId="77777777" w:rsidR="001353E5" w:rsidRDefault="00231E33">
      <w:pPr>
        <w:pStyle w:val="32"/>
        <w:rPr>
          <w:rFonts w:asciiTheme="minorHAnsi" w:eastAsiaTheme="minorEastAsia" w:hAnsiTheme="minorHAnsi" w:cstheme="minorBidi"/>
          <w:b w:val="0"/>
          <w:noProof/>
          <w:szCs w:val="22"/>
          <w:lang w:eastAsia="en-GB"/>
        </w:rPr>
      </w:pPr>
      <w:hyperlink w:anchor="_Toc67565490" w:history="1">
        <w:r w:rsidR="001353E5" w:rsidRPr="00EB7E77">
          <w:rPr>
            <w:rStyle w:val="-"/>
            <w:noProof/>
          </w:rPr>
          <w:t>13.5.5</w:t>
        </w:r>
        <w:r w:rsidR="001353E5">
          <w:rPr>
            <w:rFonts w:asciiTheme="minorHAnsi" w:eastAsiaTheme="minorEastAsia" w:hAnsiTheme="minorHAnsi" w:cstheme="minorBidi"/>
            <w:b w:val="0"/>
            <w:noProof/>
            <w:szCs w:val="22"/>
            <w:lang w:eastAsia="en-GB"/>
          </w:rPr>
          <w:tab/>
        </w:r>
        <w:r w:rsidR="001353E5" w:rsidRPr="00EB7E77">
          <w:rPr>
            <w:rStyle w:val="-"/>
            <w:noProof/>
          </w:rPr>
          <w:t>Shear resistance of precast members without shear reinforcement</w:t>
        </w:r>
        <w:r w:rsidR="001353E5">
          <w:rPr>
            <w:noProof/>
            <w:webHidden/>
          </w:rPr>
          <w:tab/>
        </w:r>
        <w:r w:rsidR="001353E5">
          <w:rPr>
            <w:noProof/>
            <w:webHidden/>
          </w:rPr>
          <w:fldChar w:fldCharType="begin"/>
        </w:r>
        <w:r w:rsidR="001353E5">
          <w:rPr>
            <w:noProof/>
            <w:webHidden/>
          </w:rPr>
          <w:instrText xml:space="preserve"> PAGEREF _Toc67565490 \h </w:instrText>
        </w:r>
        <w:r w:rsidR="001353E5">
          <w:rPr>
            <w:noProof/>
            <w:webHidden/>
          </w:rPr>
        </w:r>
        <w:r w:rsidR="001353E5">
          <w:rPr>
            <w:noProof/>
            <w:webHidden/>
          </w:rPr>
          <w:fldChar w:fldCharType="separate"/>
        </w:r>
        <w:r w:rsidR="000250B6">
          <w:rPr>
            <w:noProof/>
            <w:webHidden/>
          </w:rPr>
          <w:t>221</w:t>
        </w:r>
        <w:r w:rsidR="001353E5">
          <w:rPr>
            <w:noProof/>
            <w:webHidden/>
          </w:rPr>
          <w:fldChar w:fldCharType="end"/>
        </w:r>
      </w:hyperlink>
    </w:p>
    <w:p w14:paraId="5E97C205" w14:textId="77777777" w:rsidR="001353E5" w:rsidRDefault="00231E33">
      <w:pPr>
        <w:pStyle w:val="22"/>
        <w:rPr>
          <w:rFonts w:asciiTheme="minorHAnsi" w:eastAsiaTheme="minorEastAsia" w:hAnsiTheme="minorHAnsi" w:cstheme="minorBidi"/>
          <w:b w:val="0"/>
          <w:noProof/>
          <w:szCs w:val="22"/>
          <w:lang w:eastAsia="en-GB"/>
        </w:rPr>
      </w:pPr>
      <w:hyperlink w:anchor="_Toc67565491" w:history="1">
        <w:r w:rsidR="001353E5" w:rsidRPr="00EB7E77">
          <w:rPr>
            <w:rStyle w:val="-"/>
            <w:noProof/>
          </w:rPr>
          <w:t>13.6</w:t>
        </w:r>
        <w:r w:rsidR="001353E5">
          <w:rPr>
            <w:rFonts w:asciiTheme="minorHAnsi" w:eastAsiaTheme="minorEastAsia" w:hAnsiTheme="minorHAnsi" w:cstheme="minorBidi"/>
            <w:b w:val="0"/>
            <w:noProof/>
            <w:szCs w:val="22"/>
            <w:lang w:eastAsia="en-GB"/>
          </w:rPr>
          <w:tab/>
        </w:r>
        <w:r w:rsidR="001353E5" w:rsidRPr="00EB7E77">
          <w:rPr>
            <w:rStyle w:val="-"/>
            <w:noProof/>
          </w:rPr>
          <w:t>Floor systems for buildings</w:t>
        </w:r>
        <w:r w:rsidR="001353E5">
          <w:rPr>
            <w:noProof/>
            <w:webHidden/>
          </w:rPr>
          <w:tab/>
        </w:r>
        <w:r w:rsidR="001353E5">
          <w:rPr>
            <w:noProof/>
            <w:webHidden/>
          </w:rPr>
          <w:fldChar w:fldCharType="begin"/>
        </w:r>
        <w:r w:rsidR="001353E5">
          <w:rPr>
            <w:noProof/>
            <w:webHidden/>
          </w:rPr>
          <w:instrText xml:space="preserve"> PAGEREF _Toc67565491 \h </w:instrText>
        </w:r>
        <w:r w:rsidR="001353E5">
          <w:rPr>
            <w:noProof/>
            <w:webHidden/>
          </w:rPr>
        </w:r>
        <w:r w:rsidR="001353E5">
          <w:rPr>
            <w:noProof/>
            <w:webHidden/>
          </w:rPr>
          <w:fldChar w:fldCharType="separate"/>
        </w:r>
        <w:r w:rsidR="000250B6">
          <w:rPr>
            <w:noProof/>
            <w:webHidden/>
          </w:rPr>
          <w:t>222</w:t>
        </w:r>
        <w:r w:rsidR="001353E5">
          <w:rPr>
            <w:noProof/>
            <w:webHidden/>
          </w:rPr>
          <w:fldChar w:fldCharType="end"/>
        </w:r>
      </w:hyperlink>
    </w:p>
    <w:p w14:paraId="7EFB2F4D" w14:textId="77777777" w:rsidR="001353E5" w:rsidRDefault="00231E33">
      <w:pPr>
        <w:pStyle w:val="32"/>
        <w:rPr>
          <w:rFonts w:asciiTheme="minorHAnsi" w:eastAsiaTheme="minorEastAsia" w:hAnsiTheme="minorHAnsi" w:cstheme="minorBidi"/>
          <w:b w:val="0"/>
          <w:noProof/>
          <w:szCs w:val="22"/>
          <w:lang w:eastAsia="en-GB"/>
        </w:rPr>
      </w:pPr>
      <w:hyperlink w:anchor="_Toc67565492" w:history="1">
        <w:r w:rsidR="001353E5" w:rsidRPr="00EB7E77">
          <w:rPr>
            <w:rStyle w:val="-"/>
            <w:noProof/>
          </w:rPr>
          <w:t>13.6.1</w:t>
        </w:r>
        <w:r w:rsidR="001353E5">
          <w:rPr>
            <w:rFonts w:asciiTheme="minorHAnsi" w:eastAsiaTheme="minorEastAsia" w:hAnsiTheme="minorHAnsi" w:cstheme="minorBidi"/>
            <w:b w:val="0"/>
            <w:noProof/>
            <w:szCs w:val="22"/>
            <w:lang w:eastAsia="en-GB"/>
          </w:rPr>
          <w:tab/>
        </w:r>
        <w:r w:rsidR="001353E5" w:rsidRPr="00EB7E77">
          <w:rPr>
            <w:rStyle w:val="-"/>
            <w:noProof/>
          </w:rPr>
          <w:t>Transverse distribution of loads</w:t>
        </w:r>
        <w:r w:rsidR="001353E5">
          <w:rPr>
            <w:noProof/>
            <w:webHidden/>
          </w:rPr>
          <w:tab/>
        </w:r>
        <w:r w:rsidR="001353E5">
          <w:rPr>
            <w:noProof/>
            <w:webHidden/>
          </w:rPr>
          <w:fldChar w:fldCharType="begin"/>
        </w:r>
        <w:r w:rsidR="001353E5">
          <w:rPr>
            <w:noProof/>
            <w:webHidden/>
          </w:rPr>
          <w:instrText xml:space="preserve"> PAGEREF _Toc67565492 \h </w:instrText>
        </w:r>
        <w:r w:rsidR="001353E5">
          <w:rPr>
            <w:noProof/>
            <w:webHidden/>
          </w:rPr>
        </w:r>
        <w:r w:rsidR="001353E5">
          <w:rPr>
            <w:noProof/>
            <w:webHidden/>
          </w:rPr>
          <w:fldChar w:fldCharType="separate"/>
        </w:r>
        <w:r w:rsidR="000250B6">
          <w:rPr>
            <w:noProof/>
            <w:webHidden/>
          </w:rPr>
          <w:t>222</w:t>
        </w:r>
        <w:r w:rsidR="001353E5">
          <w:rPr>
            <w:noProof/>
            <w:webHidden/>
          </w:rPr>
          <w:fldChar w:fldCharType="end"/>
        </w:r>
      </w:hyperlink>
    </w:p>
    <w:p w14:paraId="055295FC" w14:textId="77777777" w:rsidR="001353E5" w:rsidRDefault="00231E33">
      <w:pPr>
        <w:pStyle w:val="32"/>
        <w:rPr>
          <w:rFonts w:asciiTheme="minorHAnsi" w:eastAsiaTheme="minorEastAsia" w:hAnsiTheme="minorHAnsi" w:cstheme="minorBidi"/>
          <w:b w:val="0"/>
          <w:noProof/>
          <w:szCs w:val="22"/>
          <w:lang w:eastAsia="en-GB"/>
        </w:rPr>
      </w:pPr>
      <w:hyperlink w:anchor="_Toc67565493" w:history="1">
        <w:r w:rsidR="001353E5" w:rsidRPr="00EB7E77">
          <w:rPr>
            <w:rStyle w:val="-"/>
            <w:noProof/>
          </w:rPr>
          <w:t>13.6.2</w:t>
        </w:r>
        <w:r w:rsidR="001353E5">
          <w:rPr>
            <w:rFonts w:asciiTheme="minorHAnsi" w:eastAsiaTheme="minorEastAsia" w:hAnsiTheme="minorHAnsi" w:cstheme="minorBidi"/>
            <w:b w:val="0"/>
            <w:noProof/>
            <w:szCs w:val="22"/>
            <w:lang w:eastAsia="en-GB"/>
          </w:rPr>
          <w:tab/>
        </w:r>
        <w:r w:rsidR="001353E5" w:rsidRPr="00EB7E77">
          <w:rPr>
            <w:rStyle w:val="-"/>
            <w:noProof/>
          </w:rPr>
          <w:t>Diaphragm action</w:t>
        </w:r>
        <w:r w:rsidR="001353E5">
          <w:rPr>
            <w:noProof/>
            <w:webHidden/>
          </w:rPr>
          <w:tab/>
        </w:r>
        <w:r w:rsidR="001353E5">
          <w:rPr>
            <w:noProof/>
            <w:webHidden/>
          </w:rPr>
          <w:fldChar w:fldCharType="begin"/>
        </w:r>
        <w:r w:rsidR="001353E5">
          <w:rPr>
            <w:noProof/>
            <w:webHidden/>
          </w:rPr>
          <w:instrText xml:space="preserve"> PAGEREF _Toc67565493 \h </w:instrText>
        </w:r>
        <w:r w:rsidR="001353E5">
          <w:rPr>
            <w:noProof/>
            <w:webHidden/>
          </w:rPr>
        </w:r>
        <w:r w:rsidR="001353E5">
          <w:rPr>
            <w:noProof/>
            <w:webHidden/>
          </w:rPr>
          <w:fldChar w:fldCharType="separate"/>
        </w:r>
        <w:r w:rsidR="000250B6">
          <w:rPr>
            <w:noProof/>
            <w:webHidden/>
          </w:rPr>
          <w:t>223</w:t>
        </w:r>
        <w:r w:rsidR="001353E5">
          <w:rPr>
            <w:noProof/>
            <w:webHidden/>
          </w:rPr>
          <w:fldChar w:fldCharType="end"/>
        </w:r>
      </w:hyperlink>
    </w:p>
    <w:p w14:paraId="4C50A582" w14:textId="77777777" w:rsidR="001353E5" w:rsidRDefault="00231E33">
      <w:pPr>
        <w:pStyle w:val="22"/>
        <w:rPr>
          <w:rFonts w:asciiTheme="minorHAnsi" w:eastAsiaTheme="minorEastAsia" w:hAnsiTheme="minorHAnsi" w:cstheme="minorBidi"/>
          <w:b w:val="0"/>
          <w:noProof/>
          <w:szCs w:val="22"/>
          <w:lang w:eastAsia="en-GB"/>
        </w:rPr>
      </w:pPr>
      <w:hyperlink w:anchor="_Toc67565494" w:history="1">
        <w:r w:rsidR="001353E5" w:rsidRPr="00EB7E77">
          <w:rPr>
            <w:rStyle w:val="-"/>
            <w:noProof/>
          </w:rPr>
          <w:t>13.7</w:t>
        </w:r>
        <w:r w:rsidR="001353E5">
          <w:rPr>
            <w:rFonts w:asciiTheme="minorHAnsi" w:eastAsiaTheme="minorEastAsia" w:hAnsiTheme="minorHAnsi" w:cstheme="minorBidi"/>
            <w:b w:val="0"/>
            <w:noProof/>
            <w:szCs w:val="22"/>
            <w:lang w:eastAsia="en-GB"/>
          </w:rPr>
          <w:tab/>
        </w:r>
        <w:r w:rsidR="001353E5" w:rsidRPr="00EB7E77">
          <w:rPr>
            <w:rStyle w:val="-"/>
            <w:noProof/>
          </w:rPr>
          <w:t>Connections and supports</w:t>
        </w:r>
        <w:r w:rsidR="001353E5">
          <w:rPr>
            <w:noProof/>
            <w:webHidden/>
          </w:rPr>
          <w:tab/>
        </w:r>
        <w:r w:rsidR="001353E5">
          <w:rPr>
            <w:noProof/>
            <w:webHidden/>
          </w:rPr>
          <w:fldChar w:fldCharType="begin"/>
        </w:r>
        <w:r w:rsidR="001353E5">
          <w:rPr>
            <w:noProof/>
            <w:webHidden/>
          </w:rPr>
          <w:instrText xml:space="preserve"> PAGEREF _Toc67565494 \h </w:instrText>
        </w:r>
        <w:r w:rsidR="001353E5">
          <w:rPr>
            <w:noProof/>
            <w:webHidden/>
          </w:rPr>
        </w:r>
        <w:r w:rsidR="001353E5">
          <w:rPr>
            <w:noProof/>
            <w:webHidden/>
          </w:rPr>
          <w:fldChar w:fldCharType="separate"/>
        </w:r>
        <w:r w:rsidR="000250B6">
          <w:rPr>
            <w:noProof/>
            <w:webHidden/>
          </w:rPr>
          <w:t>223</w:t>
        </w:r>
        <w:r w:rsidR="001353E5">
          <w:rPr>
            <w:noProof/>
            <w:webHidden/>
          </w:rPr>
          <w:fldChar w:fldCharType="end"/>
        </w:r>
      </w:hyperlink>
    </w:p>
    <w:p w14:paraId="4CEA5893" w14:textId="77777777" w:rsidR="001353E5" w:rsidRDefault="00231E33">
      <w:pPr>
        <w:pStyle w:val="32"/>
        <w:rPr>
          <w:rFonts w:asciiTheme="minorHAnsi" w:eastAsiaTheme="minorEastAsia" w:hAnsiTheme="minorHAnsi" w:cstheme="minorBidi"/>
          <w:b w:val="0"/>
          <w:noProof/>
          <w:szCs w:val="22"/>
          <w:lang w:eastAsia="en-GB"/>
        </w:rPr>
      </w:pPr>
      <w:hyperlink w:anchor="_Toc67565495" w:history="1">
        <w:r w:rsidR="001353E5" w:rsidRPr="00EB7E77">
          <w:rPr>
            <w:rStyle w:val="-"/>
            <w:noProof/>
          </w:rPr>
          <w:t>13.7.1</w:t>
        </w:r>
        <w:r w:rsidR="001353E5">
          <w:rPr>
            <w:rFonts w:asciiTheme="minorHAnsi" w:eastAsiaTheme="minorEastAsia" w:hAnsiTheme="minorHAnsi" w:cstheme="minorBidi"/>
            <w:b w:val="0"/>
            <w:noProof/>
            <w:szCs w:val="22"/>
            <w:lang w:eastAsia="en-GB"/>
          </w:rPr>
          <w:tab/>
        </w:r>
        <w:r w:rsidR="001353E5" w:rsidRPr="00EB7E77">
          <w:rPr>
            <w:rStyle w:val="-"/>
            <w:noProof/>
          </w:rPr>
          <w:t>General</w:t>
        </w:r>
        <w:r w:rsidR="001353E5">
          <w:rPr>
            <w:noProof/>
            <w:webHidden/>
          </w:rPr>
          <w:tab/>
        </w:r>
        <w:r w:rsidR="001353E5">
          <w:rPr>
            <w:noProof/>
            <w:webHidden/>
          </w:rPr>
          <w:fldChar w:fldCharType="begin"/>
        </w:r>
        <w:r w:rsidR="001353E5">
          <w:rPr>
            <w:noProof/>
            <w:webHidden/>
          </w:rPr>
          <w:instrText xml:space="preserve"> PAGEREF _Toc67565495 \h </w:instrText>
        </w:r>
        <w:r w:rsidR="001353E5">
          <w:rPr>
            <w:noProof/>
            <w:webHidden/>
          </w:rPr>
        </w:r>
        <w:r w:rsidR="001353E5">
          <w:rPr>
            <w:noProof/>
            <w:webHidden/>
          </w:rPr>
          <w:fldChar w:fldCharType="separate"/>
        </w:r>
        <w:r w:rsidR="000250B6">
          <w:rPr>
            <w:noProof/>
            <w:webHidden/>
          </w:rPr>
          <w:t>223</w:t>
        </w:r>
        <w:r w:rsidR="001353E5">
          <w:rPr>
            <w:noProof/>
            <w:webHidden/>
          </w:rPr>
          <w:fldChar w:fldCharType="end"/>
        </w:r>
      </w:hyperlink>
    </w:p>
    <w:p w14:paraId="5554CBE7" w14:textId="77777777" w:rsidR="001353E5" w:rsidRDefault="00231E33">
      <w:pPr>
        <w:pStyle w:val="32"/>
        <w:rPr>
          <w:rFonts w:asciiTheme="minorHAnsi" w:eastAsiaTheme="minorEastAsia" w:hAnsiTheme="minorHAnsi" w:cstheme="minorBidi"/>
          <w:b w:val="0"/>
          <w:noProof/>
          <w:szCs w:val="22"/>
          <w:lang w:eastAsia="en-GB"/>
        </w:rPr>
      </w:pPr>
      <w:hyperlink w:anchor="_Toc67565496" w:history="1">
        <w:r w:rsidR="001353E5" w:rsidRPr="00EB7E77">
          <w:rPr>
            <w:rStyle w:val="-"/>
            <w:noProof/>
          </w:rPr>
          <w:t>13.7.2</w:t>
        </w:r>
        <w:r w:rsidR="001353E5">
          <w:rPr>
            <w:rFonts w:asciiTheme="minorHAnsi" w:eastAsiaTheme="minorEastAsia" w:hAnsiTheme="minorHAnsi" w:cstheme="minorBidi"/>
            <w:b w:val="0"/>
            <w:noProof/>
            <w:szCs w:val="22"/>
            <w:lang w:eastAsia="en-GB"/>
          </w:rPr>
          <w:tab/>
        </w:r>
        <w:r w:rsidR="001353E5" w:rsidRPr="00EB7E77">
          <w:rPr>
            <w:rStyle w:val="-"/>
            <w:noProof/>
          </w:rPr>
          <w:t>Supports</w:t>
        </w:r>
        <w:r w:rsidR="001353E5">
          <w:rPr>
            <w:noProof/>
            <w:webHidden/>
          </w:rPr>
          <w:tab/>
        </w:r>
        <w:r w:rsidR="001353E5">
          <w:rPr>
            <w:noProof/>
            <w:webHidden/>
          </w:rPr>
          <w:fldChar w:fldCharType="begin"/>
        </w:r>
        <w:r w:rsidR="001353E5">
          <w:rPr>
            <w:noProof/>
            <w:webHidden/>
          </w:rPr>
          <w:instrText xml:space="preserve"> PAGEREF _Toc67565496 \h </w:instrText>
        </w:r>
        <w:r w:rsidR="001353E5">
          <w:rPr>
            <w:noProof/>
            <w:webHidden/>
          </w:rPr>
        </w:r>
        <w:r w:rsidR="001353E5">
          <w:rPr>
            <w:noProof/>
            <w:webHidden/>
          </w:rPr>
          <w:fldChar w:fldCharType="separate"/>
        </w:r>
        <w:r w:rsidR="000250B6">
          <w:rPr>
            <w:noProof/>
            <w:webHidden/>
          </w:rPr>
          <w:t>226</w:t>
        </w:r>
        <w:r w:rsidR="001353E5">
          <w:rPr>
            <w:noProof/>
            <w:webHidden/>
          </w:rPr>
          <w:fldChar w:fldCharType="end"/>
        </w:r>
      </w:hyperlink>
    </w:p>
    <w:p w14:paraId="311F4837" w14:textId="77777777" w:rsidR="001353E5" w:rsidRDefault="00231E33">
      <w:pPr>
        <w:pStyle w:val="32"/>
        <w:rPr>
          <w:rFonts w:asciiTheme="minorHAnsi" w:eastAsiaTheme="minorEastAsia" w:hAnsiTheme="minorHAnsi" w:cstheme="minorBidi"/>
          <w:b w:val="0"/>
          <w:noProof/>
          <w:szCs w:val="22"/>
          <w:lang w:eastAsia="en-GB"/>
        </w:rPr>
      </w:pPr>
      <w:hyperlink w:anchor="_Toc67565497" w:history="1">
        <w:r w:rsidR="001353E5" w:rsidRPr="00EB7E77">
          <w:rPr>
            <w:rStyle w:val="-"/>
            <w:noProof/>
          </w:rPr>
          <w:t>13.7.3</w:t>
        </w:r>
        <w:r w:rsidR="001353E5">
          <w:rPr>
            <w:rFonts w:asciiTheme="minorHAnsi" w:eastAsiaTheme="minorEastAsia" w:hAnsiTheme="minorHAnsi" w:cstheme="minorBidi"/>
            <w:b w:val="0"/>
            <w:noProof/>
            <w:szCs w:val="22"/>
            <w:lang w:eastAsia="en-GB"/>
          </w:rPr>
          <w:tab/>
        </w:r>
        <w:r w:rsidR="001353E5" w:rsidRPr="00EB7E77">
          <w:rPr>
            <w:rStyle w:val="-"/>
            <w:noProof/>
          </w:rPr>
          <w:t>Pocket foundations for buildings</w:t>
        </w:r>
        <w:r w:rsidR="001353E5">
          <w:rPr>
            <w:noProof/>
            <w:webHidden/>
          </w:rPr>
          <w:tab/>
        </w:r>
        <w:r w:rsidR="001353E5">
          <w:rPr>
            <w:noProof/>
            <w:webHidden/>
          </w:rPr>
          <w:fldChar w:fldCharType="begin"/>
        </w:r>
        <w:r w:rsidR="001353E5">
          <w:rPr>
            <w:noProof/>
            <w:webHidden/>
          </w:rPr>
          <w:instrText xml:space="preserve"> PAGEREF _Toc67565497 \h </w:instrText>
        </w:r>
        <w:r w:rsidR="001353E5">
          <w:rPr>
            <w:noProof/>
            <w:webHidden/>
          </w:rPr>
        </w:r>
        <w:r w:rsidR="001353E5">
          <w:rPr>
            <w:noProof/>
            <w:webHidden/>
          </w:rPr>
          <w:fldChar w:fldCharType="separate"/>
        </w:r>
        <w:r w:rsidR="000250B6">
          <w:rPr>
            <w:noProof/>
            <w:webHidden/>
          </w:rPr>
          <w:t>227</w:t>
        </w:r>
        <w:r w:rsidR="001353E5">
          <w:rPr>
            <w:noProof/>
            <w:webHidden/>
          </w:rPr>
          <w:fldChar w:fldCharType="end"/>
        </w:r>
      </w:hyperlink>
    </w:p>
    <w:p w14:paraId="18224405" w14:textId="77777777" w:rsidR="001353E5" w:rsidRDefault="00231E33">
      <w:pPr>
        <w:pStyle w:val="32"/>
        <w:rPr>
          <w:rFonts w:asciiTheme="minorHAnsi" w:eastAsiaTheme="minorEastAsia" w:hAnsiTheme="minorHAnsi" w:cstheme="minorBidi"/>
          <w:b w:val="0"/>
          <w:noProof/>
          <w:szCs w:val="22"/>
          <w:lang w:eastAsia="en-GB"/>
        </w:rPr>
      </w:pPr>
      <w:hyperlink w:anchor="_Toc67565498" w:history="1">
        <w:r w:rsidR="001353E5" w:rsidRPr="00EB7E77">
          <w:rPr>
            <w:rStyle w:val="-"/>
            <w:noProof/>
          </w:rPr>
          <w:t>13.7.4</w:t>
        </w:r>
        <w:r w:rsidR="001353E5">
          <w:rPr>
            <w:rFonts w:asciiTheme="minorHAnsi" w:eastAsiaTheme="minorEastAsia" w:hAnsiTheme="minorHAnsi" w:cstheme="minorBidi"/>
            <w:b w:val="0"/>
            <w:noProof/>
            <w:szCs w:val="22"/>
            <w:lang w:eastAsia="en-GB"/>
          </w:rPr>
          <w:tab/>
        </w:r>
        <w:r w:rsidR="001353E5" w:rsidRPr="00EB7E77">
          <w:rPr>
            <w:rStyle w:val="-"/>
            <w:noProof/>
          </w:rPr>
          <w:t>Tying systems for buildings</w:t>
        </w:r>
        <w:r w:rsidR="001353E5">
          <w:rPr>
            <w:noProof/>
            <w:webHidden/>
          </w:rPr>
          <w:tab/>
        </w:r>
        <w:r w:rsidR="001353E5">
          <w:rPr>
            <w:noProof/>
            <w:webHidden/>
          </w:rPr>
          <w:fldChar w:fldCharType="begin"/>
        </w:r>
        <w:r w:rsidR="001353E5">
          <w:rPr>
            <w:noProof/>
            <w:webHidden/>
          </w:rPr>
          <w:instrText xml:space="preserve"> PAGEREF _Toc67565498 \h </w:instrText>
        </w:r>
        <w:r w:rsidR="001353E5">
          <w:rPr>
            <w:noProof/>
            <w:webHidden/>
          </w:rPr>
        </w:r>
        <w:r w:rsidR="001353E5">
          <w:rPr>
            <w:noProof/>
            <w:webHidden/>
          </w:rPr>
          <w:fldChar w:fldCharType="separate"/>
        </w:r>
        <w:r w:rsidR="000250B6">
          <w:rPr>
            <w:noProof/>
            <w:webHidden/>
          </w:rPr>
          <w:t>228</w:t>
        </w:r>
        <w:r w:rsidR="001353E5">
          <w:rPr>
            <w:noProof/>
            <w:webHidden/>
          </w:rPr>
          <w:fldChar w:fldCharType="end"/>
        </w:r>
      </w:hyperlink>
    </w:p>
    <w:p w14:paraId="759825B7" w14:textId="77777777" w:rsidR="001353E5" w:rsidRDefault="00231E33">
      <w:pPr>
        <w:pStyle w:val="10"/>
        <w:rPr>
          <w:rFonts w:asciiTheme="minorHAnsi" w:eastAsiaTheme="minorEastAsia" w:hAnsiTheme="minorHAnsi" w:cstheme="minorBidi"/>
          <w:b w:val="0"/>
          <w:noProof/>
          <w:szCs w:val="22"/>
          <w:lang w:eastAsia="en-GB"/>
        </w:rPr>
      </w:pPr>
      <w:hyperlink w:anchor="_Toc67565499" w:history="1">
        <w:r w:rsidR="001353E5" w:rsidRPr="00EB7E77">
          <w:rPr>
            <w:rStyle w:val="-"/>
            <w:noProof/>
          </w:rPr>
          <w:t>14</w:t>
        </w:r>
        <w:r w:rsidR="001353E5">
          <w:rPr>
            <w:rFonts w:asciiTheme="minorHAnsi" w:eastAsiaTheme="minorEastAsia" w:hAnsiTheme="minorHAnsi" w:cstheme="minorBidi"/>
            <w:b w:val="0"/>
            <w:noProof/>
            <w:szCs w:val="22"/>
            <w:lang w:eastAsia="en-GB"/>
          </w:rPr>
          <w:tab/>
        </w:r>
        <w:r w:rsidR="001353E5" w:rsidRPr="00EB7E77">
          <w:rPr>
            <w:rStyle w:val="-"/>
            <w:noProof/>
          </w:rPr>
          <w:t>Plain and lightly reinforced concrete structures</w:t>
        </w:r>
        <w:r w:rsidR="001353E5">
          <w:rPr>
            <w:noProof/>
            <w:webHidden/>
          </w:rPr>
          <w:tab/>
        </w:r>
        <w:r w:rsidR="001353E5">
          <w:rPr>
            <w:noProof/>
            <w:webHidden/>
          </w:rPr>
          <w:fldChar w:fldCharType="begin"/>
        </w:r>
        <w:r w:rsidR="001353E5">
          <w:rPr>
            <w:noProof/>
            <w:webHidden/>
          </w:rPr>
          <w:instrText xml:space="preserve"> PAGEREF _Toc67565499 \h </w:instrText>
        </w:r>
        <w:r w:rsidR="001353E5">
          <w:rPr>
            <w:noProof/>
            <w:webHidden/>
          </w:rPr>
        </w:r>
        <w:r w:rsidR="001353E5">
          <w:rPr>
            <w:noProof/>
            <w:webHidden/>
          </w:rPr>
          <w:fldChar w:fldCharType="separate"/>
        </w:r>
        <w:r w:rsidR="000250B6">
          <w:rPr>
            <w:noProof/>
            <w:webHidden/>
          </w:rPr>
          <w:t>229</w:t>
        </w:r>
        <w:r w:rsidR="001353E5">
          <w:rPr>
            <w:noProof/>
            <w:webHidden/>
          </w:rPr>
          <w:fldChar w:fldCharType="end"/>
        </w:r>
      </w:hyperlink>
    </w:p>
    <w:p w14:paraId="68EBDCA2" w14:textId="77777777" w:rsidR="001353E5" w:rsidRDefault="00231E33">
      <w:pPr>
        <w:pStyle w:val="22"/>
        <w:rPr>
          <w:rFonts w:asciiTheme="minorHAnsi" w:eastAsiaTheme="minorEastAsia" w:hAnsiTheme="minorHAnsi" w:cstheme="minorBidi"/>
          <w:b w:val="0"/>
          <w:noProof/>
          <w:szCs w:val="22"/>
          <w:lang w:eastAsia="en-GB"/>
        </w:rPr>
      </w:pPr>
      <w:hyperlink w:anchor="_Toc67565500" w:history="1">
        <w:r w:rsidR="001353E5" w:rsidRPr="00EB7E77">
          <w:rPr>
            <w:rStyle w:val="-"/>
            <w:noProof/>
          </w:rPr>
          <w:t>14.1</w:t>
        </w:r>
        <w:r w:rsidR="001353E5">
          <w:rPr>
            <w:rFonts w:asciiTheme="minorHAnsi" w:eastAsiaTheme="minorEastAsia" w:hAnsiTheme="minorHAnsi" w:cstheme="minorBidi"/>
            <w:b w:val="0"/>
            <w:noProof/>
            <w:szCs w:val="22"/>
            <w:lang w:eastAsia="en-GB"/>
          </w:rPr>
          <w:tab/>
        </w:r>
        <w:r w:rsidR="001353E5" w:rsidRPr="00EB7E77">
          <w:rPr>
            <w:rStyle w:val="-"/>
            <w:noProof/>
          </w:rPr>
          <w:t>General</w:t>
        </w:r>
        <w:r w:rsidR="001353E5">
          <w:rPr>
            <w:noProof/>
            <w:webHidden/>
          </w:rPr>
          <w:tab/>
        </w:r>
        <w:r w:rsidR="001353E5">
          <w:rPr>
            <w:noProof/>
            <w:webHidden/>
          </w:rPr>
          <w:fldChar w:fldCharType="begin"/>
        </w:r>
        <w:r w:rsidR="001353E5">
          <w:rPr>
            <w:noProof/>
            <w:webHidden/>
          </w:rPr>
          <w:instrText xml:space="preserve"> PAGEREF _Toc67565500 \h </w:instrText>
        </w:r>
        <w:r w:rsidR="001353E5">
          <w:rPr>
            <w:noProof/>
            <w:webHidden/>
          </w:rPr>
        </w:r>
        <w:r w:rsidR="001353E5">
          <w:rPr>
            <w:noProof/>
            <w:webHidden/>
          </w:rPr>
          <w:fldChar w:fldCharType="separate"/>
        </w:r>
        <w:r w:rsidR="000250B6">
          <w:rPr>
            <w:noProof/>
            <w:webHidden/>
          </w:rPr>
          <w:t>229</w:t>
        </w:r>
        <w:r w:rsidR="001353E5">
          <w:rPr>
            <w:noProof/>
            <w:webHidden/>
          </w:rPr>
          <w:fldChar w:fldCharType="end"/>
        </w:r>
      </w:hyperlink>
    </w:p>
    <w:p w14:paraId="3B7C1622" w14:textId="77777777" w:rsidR="001353E5" w:rsidRDefault="00231E33">
      <w:pPr>
        <w:pStyle w:val="22"/>
        <w:rPr>
          <w:rFonts w:asciiTheme="minorHAnsi" w:eastAsiaTheme="minorEastAsia" w:hAnsiTheme="minorHAnsi" w:cstheme="minorBidi"/>
          <w:b w:val="0"/>
          <w:noProof/>
          <w:szCs w:val="22"/>
          <w:lang w:eastAsia="en-GB"/>
        </w:rPr>
      </w:pPr>
      <w:hyperlink w:anchor="_Toc67565501" w:history="1">
        <w:r w:rsidR="001353E5" w:rsidRPr="00EB7E77">
          <w:rPr>
            <w:rStyle w:val="-"/>
            <w:noProof/>
          </w:rPr>
          <w:t>14.2</w:t>
        </w:r>
        <w:r w:rsidR="001353E5">
          <w:rPr>
            <w:rFonts w:asciiTheme="minorHAnsi" w:eastAsiaTheme="minorEastAsia" w:hAnsiTheme="minorHAnsi" w:cstheme="minorBidi"/>
            <w:b w:val="0"/>
            <w:noProof/>
            <w:szCs w:val="22"/>
            <w:lang w:eastAsia="en-GB"/>
          </w:rPr>
          <w:tab/>
        </w:r>
        <w:r w:rsidR="001353E5" w:rsidRPr="00EB7E77">
          <w:rPr>
            <w:rStyle w:val="-"/>
            <w:noProof/>
          </w:rPr>
          <w:t>Concrete</w:t>
        </w:r>
        <w:r w:rsidR="001353E5">
          <w:rPr>
            <w:noProof/>
            <w:webHidden/>
          </w:rPr>
          <w:tab/>
        </w:r>
        <w:r w:rsidR="001353E5">
          <w:rPr>
            <w:noProof/>
            <w:webHidden/>
          </w:rPr>
          <w:fldChar w:fldCharType="begin"/>
        </w:r>
        <w:r w:rsidR="001353E5">
          <w:rPr>
            <w:noProof/>
            <w:webHidden/>
          </w:rPr>
          <w:instrText xml:space="preserve"> PAGEREF _Toc67565501 \h </w:instrText>
        </w:r>
        <w:r w:rsidR="001353E5">
          <w:rPr>
            <w:noProof/>
            <w:webHidden/>
          </w:rPr>
        </w:r>
        <w:r w:rsidR="001353E5">
          <w:rPr>
            <w:noProof/>
            <w:webHidden/>
          </w:rPr>
          <w:fldChar w:fldCharType="separate"/>
        </w:r>
        <w:r w:rsidR="000250B6">
          <w:rPr>
            <w:noProof/>
            <w:webHidden/>
          </w:rPr>
          <w:t>229</w:t>
        </w:r>
        <w:r w:rsidR="001353E5">
          <w:rPr>
            <w:noProof/>
            <w:webHidden/>
          </w:rPr>
          <w:fldChar w:fldCharType="end"/>
        </w:r>
      </w:hyperlink>
    </w:p>
    <w:p w14:paraId="2269E3AE" w14:textId="77777777" w:rsidR="001353E5" w:rsidRDefault="00231E33">
      <w:pPr>
        <w:pStyle w:val="22"/>
        <w:rPr>
          <w:rFonts w:asciiTheme="minorHAnsi" w:eastAsiaTheme="minorEastAsia" w:hAnsiTheme="minorHAnsi" w:cstheme="minorBidi"/>
          <w:b w:val="0"/>
          <w:noProof/>
          <w:szCs w:val="22"/>
          <w:lang w:eastAsia="en-GB"/>
        </w:rPr>
      </w:pPr>
      <w:hyperlink w:anchor="_Toc67565502" w:history="1">
        <w:r w:rsidR="001353E5" w:rsidRPr="00EB7E77">
          <w:rPr>
            <w:rStyle w:val="-"/>
            <w:noProof/>
          </w:rPr>
          <w:t>14.3</w:t>
        </w:r>
        <w:r w:rsidR="001353E5">
          <w:rPr>
            <w:rFonts w:asciiTheme="minorHAnsi" w:eastAsiaTheme="minorEastAsia" w:hAnsiTheme="minorHAnsi" w:cstheme="minorBidi"/>
            <w:b w:val="0"/>
            <w:noProof/>
            <w:szCs w:val="22"/>
            <w:lang w:eastAsia="en-GB"/>
          </w:rPr>
          <w:tab/>
        </w:r>
        <w:r w:rsidR="001353E5" w:rsidRPr="00EB7E77">
          <w:rPr>
            <w:rStyle w:val="-"/>
            <w:noProof/>
          </w:rPr>
          <w:t>Structural analysis</w:t>
        </w:r>
        <w:r w:rsidR="001353E5">
          <w:rPr>
            <w:noProof/>
            <w:webHidden/>
          </w:rPr>
          <w:tab/>
        </w:r>
        <w:r w:rsidR="001353E5">
          <w:rPr>
            <w:noProof/>
            <w:webHidden/>
          </w:rPr>
          <w:fldChar w:fldCharType="begin"/>
        </w:r>
        <w:r w:rsidR="001353E5">
          <w:rPr>
            <w:noProof/>
            <w:webHidden/>
          </w:rPr>
          <w:instrText xml:space="preserve"> PAGEREF _Toc67565502 \h </w:instrText>
        </w:r>
        <w:r w:rsidR="001353E5">
          <w:rPr>
            <w:noProof/>
            <w:webHidden/>
          </w:rPr>
        </w:r>
        <w:r w:rsidR="001353E5">
          <w:rPr>
            <w:noProof/>
            <w:webHidden/>
          </w:rPr>
          <w:fldChar w:fldCharType="separate"/>
        </w:r>
        <w:r w:rsidR="000250B6">
          <w:rPr>
            <w:noProof/>
            <w:webHidden/>
          </w:rPr>
          <w:t>229</w:t>
        </w:r>
        <w:r w:rsidR="001353E5">
          <w:rPr>
            <w:noProof/>
            <w:webHidden/>
          </w:rPr>
          <w:fldChar w:fldCharType="end"/>
        </w:r>
      </w:hyperlink>
    </w:p>
    <w:p w14:paraId="53504F12" w14:textId="77777777" w:rsidR="001353E5" w:rsidRDefault="00231E33">
      <w:pPr>
        <w:pStyle w:val="22"/>
        <w:rPr>
          <w:rFonts w:asciiTheme="minorHAnsi" w:eastAsiaTheme="minorEastAsia" w:hAnsiTheme="minorHAnsi" w:cstheme="minorBidi"/>
          <w:b w:val="0"/>
          <w:noProof/>
          <w:szCs w:val="22"/>
          <w:lang w:eastAsia="en-GB"/>
        </w:rPr>
      </w:pPr>
      <w:hyperlink w:anchor="_Toc67565503" w:history="1">
        <w:r w:rsidR="001353E5" w:rsidRPr="00EB7E77">
          <w:rPr>
            <w:rStyle w:val="-"/>
            <w:noProof/>
          </w:rPr>
          <w:t>14.4</w:t>
        </w:r>
        <w:r w:rsidR="001353E5">
          <w:rPr>
            <w:rFonts w:asciiTheme="minorHAnsi" w:eastAsiaTheme="minorEastAsia" w:hAnsiTheme="minorHAnsi" w:cstheme="minorBidi"/>
            <w:b w:val="0"/>
            <w:noProof/>
            <w:szCs w:val="22"/>
            <w:lang w:eastAsia="en-GB"/>
          </w:rPr>
          <w:tab/>
        </w:r>
        <w:r w:rsidR="001353E5" w:rsidRPr="00EB7E77">
          <w:rPr>
            <w:rStyle w:val="-"/>
            <w:noProof/>
          </w:rPr>
          <w:t>Ultimate limit states</w:t>
        </w:r>
        <w:r w:rsidR="001353E5">
          <w:rPr>
            <w:noProof/>
            <w:webHidden/>
          </w:rPr>
          <w:tab/>
        </w:r>
        <w:r w:rsidR="001353E5">
          <w:rPr>
            <w:noProof/>
            <w:webHidden/>
          </w:rPr>
          <w:fldChar w:fldCharType="begin"/>
        </w:r>
        <w:r w:rsidR="001353E5">
          <w:rPr>
            <w:noProof/>
            <w:webHidden/>
          </w:rPr>
          <w:instrText xml:space="preserve"> PAGEREF _Toc67565503 \h </w:instrText>
        </w:r>
        <w:r w:rsidR="001353E5">
          <w:rPr>
            <w:noProof/>
            <w:webHidden/>
          </w:rPr>
        </w:r>
        <w:r w:rsidR="001353E5">
          <w:rPr>
            <w:noProof/>
            <w:webHidden/>
          </w:rPr>
          <w:fldChar w:fldCharType="separate"/>
        </w:r>
        <w:r w:rsidR="000250B6">
          <w:rPr>
            <w:noProof/>
            <w:webHidden/>
          </w:rPr>
          <w:t>229</w:t>
        </w:r>
        <w:r w:rsidR="001353E5">
          <w:rPr>
            <w:noProof/>
            <w:webHidden/>
          </w:rPr>
          <w:fldChar w:fldCharType="end"/>
        </w:r>
      </w:hyperlink>
    </w:p>
    <w:p w14:paraId="4AF63C9B" w14:textId="77777777" w:rsidR="001353E5" w:rsidRDefault="00231E33">
      <w:pPr>
        <w:pStyle w:val="32"/>
        <w:rPr>
          <w:rFonts w:asciiTheme="minorHAnsi" w:eastAsiaTheme="minorEastAsia" w:hAnsiTheme="minorHAnsi" w:cstheme="minorBidi"/>
          <w:b w:val="0"/>
          <w:noProof/>
          <w:szCs w:val="22"/>
          <w:lang w:eastAsia="en-GB"/>
        </w:rPr>
      </w:pPr>
      <w:hyperlink w:anchor="_Toc67565504" w:history="1">
        <w:r w:rsidR="001353E5" w:rsidRPr="00EB7E77">
          <w:rPr>
            <w:rStyle w:val="-"/>
            <w:noProof/>
          </w:rPr>
          <w:t>14.4.1</w:t>
        </w:r>
        <w:r w:rsidR="001353E5">
          <w:rPr>
            <w:rFonts w:asciiTheme="minorHAnsi" w:eastAsiaTheme="minorEastAsia" w:hAnsiTheme="minorHAnsi" w:cstheme="minorBidi"/>
            <w:b w:val="0"/>
            <w:noProof/>
            <w:szCs w:val="22"/>
            <w:lang w:eastAsia="en-GB"/>
          </w:rPr>
          <w:tab/>
        </w:r>
        <w:r w:rsidR="001353E5" w:rsidRPr="00EB7E77">
          <w:rPr>
            <w:rStyle w:val="-"/>
            <w:noProof/>
          </w:rPr>
          <w:t>General</w:t>
        </w:r>
        <w:r w:rsidR="001353E5">
          <w:rPr>
            <w:noProof/>
            <w:webHidden/>
          </w:rPr>
          <w:tab/>
        </w:r>
        <w:r w:rsidR="001353E5">
          <w:rPr>
            <w:noProof/>
            <w:webHidden/>
          </w:rPr>
          <w:fldChar w:fldCharType="begin"/>
        </w:r>
        <w:r w:rsidR="001353E5">
          <w:rPr>
            <w:noProof/>
            <w:webHidden/>
          </w:rPr>
          <w:instrText xml:space="preserve"> PAGEREF _Toc67565504 \h </w:instrText>
        </w:r>
        <w:r w:rsidR="001353E5">
          <w:rPr>
            <w:noProof/>
            <w:webHidden/>
          </w:rPr>
        </w:r>
        <w:r w:rsidR="001353E5">
          <w:rPr>
            <w:noProof/>
            <w:webHidden/>
          </w:rPr>
          <w:fldChar w:fldCharType="separate"/>
        </w:r>
        <w:r w:rsidR="000250B6">
          <w:rPr>
            <w:noProof/>
            <w:webHidden/>
          </w:rPr>
          <w:t>229</w:t>
        </w:r>
        <w:r w:rsidR="001353E5">
          <w:rPr>
            <w:noProof/>
            <w:webHidden/>
          </w:rPr>
          <w:fldChar w:fldCharType="end"/>
        </w:r>
      </w:hyperlink>
    </w:p>
    <w:p w14:paraId="637FE2B1" w14:textId="77777777" w:rsidR="001353E5" w:rsidRDefault="00231E33">
      <w:pPr>
        <w:pStyle w:val="32"/>
        <w:rPr>
          <w:rFonts w:asciiTheme="minorHAnsi" w:eastAsiaTheme="minorEastAsia" w:hAnsiTheme="minorHAnsi" w:cstheme="minorBidi"/>
          <w:b w:val="0"/>
          <w:noProof/>
          <w:szCs w:val="22"/>
          <w:lang w:eastAsia="en-GB"/>
        </w:rPr>
      </w:pPr>
      <w:hyperlink w:anchor="_Toc67565505" w:history="1">
        <w:r w:rsidR="001353E5" w:rsidRPr="00EB7E77">
          <w:rPr>
            <w:rStyle w:val="-"/>
            <w:noProof/>
          </w:rPr>
          <w:t>14.4.2</w:t>
        </w:r>
        <w:r w:rsidR="001353E5">
          <w:rPr>
            <w:rFonts w:asciiTheme="minorHAnsi" w:eastAsiaTheme="minorEastAsia" w:hAnsiTheme="minorHAnsi" w:cstheme="minorBidi"/>
            <w:b w:val="0"/>
            <w:noProof/>
            <w:szCs w:val="22"/>
            <w:lang w:eastAsia="en-GB"/>
          </w:rPr>
          <w:tab/>
        </w:r>
        <w:r w:rsidR="001353E5" w:rsidRPr="00EB7E77">
          <w:rPr>
            <w:rStyle w:val="-"/>
            <w:noProof/>
          </w:rPr>
          <w:t>Design resistance to bending with axial force</w:t>
        </w:r>
        <w:r w:rsidR="001353E5">
          <w:rPr>
            <w:noProof/>
            <w:webHidden/>
          </w:rPr>
          <w:tab/>
        </w:r>
        <w:r w:rsidR="001353E5">
          <w:rPr>
            <w:noProof/>
            <w:webHidden/>
          </w:rPr>
          <w:fldChar w:fldCharType="begin"/>
        </w:r>
        <w:r w:rsidR="001353E5">
          <w:rPr>
            <w:noProof/>
            <w:webHidden/>
          </w:rPr>
          <w:instrText xml:space="preserve"> PAGEREF _Toc67565505 \h </w:instrText>
        </w:r>
        <w:r w:rsidR="001353E5">
          <w:rPr>
            <w:noProof/>
            <w:webHidden/>
          </w:rPr>
        </w:r>
        <w:r w:rsidR="001353E5">
          <w:rPr>
            <w:noProof/>
            <w:webHidden/>
          </w:rPr>
          <w:fldChar w:fldCharType="separate"/>
        </w:r>
        <w:r w:rsidR="000250B6">
          <w:rPr>
            <w:noProof/>
            <w:webHidden/>
          </w:rPr>
          <w:t>230</w:t>
        </w:r>
        <w:r w:rsidR="001353E5">
          <w:rPr>
            <w:noProof/>
            <w:webHidden/>
          </w:rPr>
          <w:fldChar w:fldCharType="end"/>
        </w:r>
      </w:hyperlink>
    </w:p>
    <w:p w14:paraId="3C289F14" w14:textId="77777777" w:rsidR="001353E5" w:rsidRDefault="00231E33">
      <w:pPr>
        <w:pStyle w:val="32"/>
        <w:rPr>
          <w:rFonts w:asciiTheme="minorHAnsi" w:eastAsiaTheme="minorEastAsia" w:hAnsiTheme="minorHAnsi" w:cstheme="minorBidi"/>
          <w:b w:val="0"/>
          <w:noProof/>
          <w:szCs w:val="22"/>
          <w:lang w:eastAsia="en-GB"/>
        </w:rPr>
      </w:pPr>
      <w:hyperlink w:anchor="_Toc67565506" w:history="1">
        <w:r w:rsidR="001353E5" w:rsidRPr="00EB7E77">
          <w:rPr>
            <w:rStyle w:val="-"/>
            <w:noProof/>
          </w:rPr>
          <w:t>14.4.3</w:t>
        </w:r>
        <w:r w:rsidR="001353E5">
          <w:rPr>
            <w:rFonts w:asciiTheme="minorHAnsi" w:eastAsiaTheme="minorEastAsia" w:hAnsiTheme="minorHAnsi" w:cstheme="minorBidi"/>
            <w:b w:val="0"/>
            <w:noProof/>
            <w:szCs w:val="22"/>
            <w:lang w:eastAsia="en-GB"/>
          </w:rPr>
          <w:tab/>
        </w:r>
        <w:r w:rsidR="001353E5" w:rsidRPr="00EB7E77">
          <w:rPr>
            <w:rStyle w:val="-"/>
            <w:noProof/>
          </w:rPr>
          <w:t>Shear</w:t>
        </w:r>
        <w:r w:rsidR="001353E5">
          <w:rPr>
            <w:noProof/>
            <w:webHidden/>
          </w:rPr>
          <w:tab/>
        </w:r>
        <w:r w:rsidR="001353E5">
          <w:rPr>
            <w:noProof/>
            <w:webHidden/>
          </w:rPr>
          <w:fldChar w:fldCharType="begin"/>
        </w:r>
        <w:r w:rsidR="001353E5">
          <w:rPr>
            <w:noProof/>
            <w:webHidden/>
          </w:rPr>
          <w:instrText xml:space="preserve"> PAGEREF _Toc67565506 \h </w:instrText>
        </w:r>
        <w:r w:rsidR="001353E5">
          <w:rPr>
            <w:noProof/>
            <w:webHidden/>
          </w:rPr>
        </w:r>
        <w:r w:rsidR="001353E5">
          <w:rPr>
            <w:noProof/>
            <w:webHidden/>
          </w:rPr>
          <w:fldChar w:fldCharType="separate"/>
        </w:r>
        <w:r w:rsidR="000250B6">
          <w:rPr>
            <w:noProof/>
            <w:webHidden/>
          </w:rPr>
          <w:t>230</w:t>
        </w:r>
        <w:r w:rsidR="001353E5">
          <w:rPr>
            <w:noProof/>
            <w:webHidden/>
          </w:rPr>
          <w:fldChar w:fldCharType="end"/>
        </w:r>
      </w:hyperlink>
    </w:p>
    <w:p w14:paraId="7D6BA8FD" w14:textId="77777777" w:rsidR="001353E5" w:rsidRDefault="00231E33">
      <w:pPr>
        <w:pStyle w:val="32"/>
        <w:rPr>
          <w:rFonts w:asciiTheme="minorHAnsi" w:eastAsiaTheme="minorEastAsia" w:hAnsiTheme="minorHAnsi" w:cstheme="minorBidi"/>
          <w:b w:val="0"/>
          <w:noProof/>
          <w:szCs w:val="22"/>
          <w:lang w:eastAsia="en-GB"/>
        </w:rPr>
      </w:pPr>
      <w:hyperlink w:anchor="_Toc67565507" w:history="1">
        <w:r w:rsidR="001353E5" w:rsidRPr="00EB7E77">
          <w:rPr>
            <w:rStyle w:val="-"/>
            <w:noProof/>
          </w:rPr>
          <w:t>14.4.4</w:t>
        </w:r>
        <w:r w:rsidR="001353E5">
          <w:rPr>
            <w:rFonts w:asciiTheme="minorHAnsi" w:eastAsiaTheme="minorEastAsia" w:hAnsiTheme="minorHAnsi" w:cstheme="minorBidi"/>
            <w:b w:val="0"/>
            <w:noProof/>
            <w:szCs w:val="22"/>
            <w:lang w:eastAsia="en-GB"/>
          </w:rPr>
          <w:tab/>
        </w:r>
        <w:r w:rsidR="001353E5" w:rsidRPr="00EB7E77">
          <w:rPr>
            <w:rStyle w:val="-"/>
            <w:noProof/>
          </w:rPr>
          <w:t>Torsion</w:t>
        </w:r>
        <w:r w:rsidR="001353E5">
          <w:rPr>
            <w:noProof/>
            <w:webHidden/>
          </w:rPr>
          <w:tab/>
        </w:r>
        <w:r w:rsidR="001353E5">
          <w:rPr>
            <w:noProof/>
            <w:webHidden/>
          </w:rPr>
          <w:fldChar w:fldCharType="begin"/>
        </w:r>
        <w:r w:rsidR="001353E5">
          <w:rPr>
            <w:noProof/>
            <w:webHidden/>
          </w:rPr>
          <w:instrText xml:space="preserve"> PAGEREF _Toc67565507 \h </w:instrText>
        </w:r>
        <w:r w:rsidR="001353E5">
          <w:rPr>
            <w:noProof/>
            <w:webHidden/>
          </w:rPr>
        </w:r>
        <w:r w:rsidR="001353E5">
          <w:rPr>
            <w:noProof/>
            <w:webHidden/>
          </w:rPr>
          <w:fldChar w:fldCharType="separate"/>
        </w:r>
        <w:r w:rsidR="000250B6">
          <w:rPr>
            <w:noProof/>
            <w:webHidden/>
          </w:rPr>
          <w:t>231</w:t>
        </w:r>
        <w:r w:rsidR="001353E5">
          <w:rPr>
            <w:noProof/>
            <w:webHidden/>
          </w:rPr>
          <w:fldChar w:fldCharType="end"/>
        </w:r>
      </w:hyperlink>
    </w:p>
    <w:p w14:paraId="263EF33D" w14:textId="77777777" w:rsidR="001353E5" w:rsidRDefault="00231E33">
      <w:pPr>
        <w:pStyle w:val="32"/>
        <w:rPr>
          <w:rFonts w:asciiTheme="minorHAnsi" w:eastAsiaTheme="minorEastAsia" w:hAnsiTheme="minorHAnsi" w:cstheme="minorBidi"/>
          <w:b w:val="0"/>
          <w:noProof/>
          <w:szCs w:val="22"/>
          <w:lang w:eastAsia="en-GB"/>
        </w:rPr>
      </w:pPr>
      <w:hyperlink w:anchor="_Toc67565508" w:history="1">
        <w:r w:rsidR="001353E5" w:rsidRPr="00EB7E77">
          <w:rPr>
            <w:rStyle w:val="-"/>
            <w:noProof/>
          </w:rPr>
          <w:t>14.4.5</w:t>
        </w:r>
        <w:r w:rsidR="001353E5">
          <w:rPr>
            <w:rFonts w:asciiTheme="minorHAnsi" w:eastAsiaTheme="minorEastAsia" w:hAnsiTheme="minorHAnsi" w:cstheme="minorBidi"/>
            <w:b w:val="0"/>
            <w:noProof/>
            <w:szCs w:val="22"/>
            <w:lang w:eastAsia="en-GB"/>
          </w:rPr>
          <w:tab/>
        </w:r>
        <w:r w:rsidR="001353E5" w:rsidRPr="00EB7E77">
          <w:rPr>
            <w:rStyle w:val="-"/>
            <w:noProof/>
          </w:rPr>
          <w:t>Ultimate limit states induced by structural deformation (buckling)</w:t>
        </w:r>
        <w:r w:rsidR="001353E5">
          <w:rPr>
            <w:noProof/>
            <w:webHidden/>
          </w:rPr>
          <w:tab/>
        </w:r>
        <w:r w:rsidR="001353E5">
          <w:rPr>
            <w:noProof/>
            <w:webHidden/>
          </w:rPr>
          <w:fldChar w:fldCharType="begin"/>
        </w:r>
        <w:r w:rsidR="001353E5">
          <w:rPr>
            <w:noProof/>
            <w:webHidden/>
          </w:rPr>
          <w:instrText xml:space="preserve"> PAGEREF _Toc67565508 \h </w:instrText>
        </w:r>
        <w:r w:rsidR="001353E5">
          <w:rPr>
            <w:noProof/>
            <w:webHidden/>
          </w:rPr>
        </w:r>
        <w:r w:rsidR="001353E5">
          <w:rPr>
            <w:noProof/>
            <w:webHidden/>
          </w:rPr>
          <w:fldChar w:fldCharType="separate"/>
        </w:r>
        <w:r w:rsidR="000250B6">
          <w:rPr>
            <w:noProof/>
            <w:webHidden/>
          </w:rPr>
          <w:t>231</w:t>
        </w:r>
        <w:r w:rsidR="001353E5">
          <w:rPr>
            <w:noProof/>
            <w:webHidden/>
          </w:rPr>
          <w:fldChar w:fldCharType="end"/>
        </w:r>
      </w:hyperlink>
    </w:p>
    <w:p w14:paraId="5806326A" w14:textId="77777777" w:rsidR="001353E5" w:rsidRDefault="00231E33">
      <w:pPr>
        <w:pStyle w:val="22"/>
        <w:rPr>
          <w:rFonts w:asciiTheme="minorHAnsi" w:eastAsiaTheme="minorEastAsia" w:hAnsiTheme="minorHAnsi" w:cstheme="minorBidi"/>
          <w:b w:val="0"/>
          <w:noProof/>
          <w:szCs w:val="22"/>
          <w:lang w:eastAsia="en-GB"/>
        </w:rPr>
      </w:pPr>
      <w:hyperlink w:anchor="_Toc67565509" w:history="1">
        <w:r w:rsidR="001353E5" w:rsidRPr="00EB7E77">
          <w:rPr>
            <w:rStyle w:val="-"/>
            <w:noProof/>
          </w:rPr>
          <w:t>14.5</w:t>
        </w:r>
        <w:r w:rsidR="001353E5">
          <w:rPr>
            <w:rFonts w:asciiTheme="minorHAnsi" w:eastAsiaTheme="minorEastAsia" w:hAnsiTheme="minorHAnsi" w:cstheme="minorBidi"/>
            <w:b w:val="0"/>
            <w:noProof/>
            <w:szCs w:val="22"/>
            <w:lang w:eastAsia="en-GB"/>
          </w:rPr>
          <w:tab/>
        </w:r>
        <w:r w:rsidR="001353E5" w:rsidRPr="00EB7E77">
          <w:rPr>
            <w:rStyle w:val="-"/>
            <w:noProof/>
          </w:rPr>
          <w:t>Serviceability limit states</w:t>
        </w:r>
        <w:r w:rsidR="001353E5">
          <w:rPr>
            <w:noProof/>
            <w:webHidden/>
          </w:rPr>
          <w:tab/>
        </w:r>
        <w:r w:rsidR="001353E5">
          <w:rPr>
            <w:noProof/>
            <w:webHidden/>
          </w:rPr>
          <w:fldChar w:fldCharType="begin"/>
        </w:r>
        <w:r w:rsidR="001353E5">
          <w:rPr>
            <w:noProof/>
            <w:webHidden/>
          </w:rPr>
          <w:instrText xml:space="preserve"> PAGEREF _Toc67565509 \h </w:instrText>
        </w:r>
        <w:r w:rsidR="001353E5">
          <w:rPr>
            <w:noProof/>
            <w:webHidden/>
          </w:rPr>
        </w:r>
        <w:r w:rsidR="001353E5">
          <w:rPr>
            <w:noProof/>
            <w:webHidden/>
          </w:rPr>
          <w:fldChar w:fldCharType="separate"/>
        </w:r>
        <w:r w:rsidR="000250B6">
          <w:rPr>
            <w:noProof/>
            <w:webHidden/>
          </w:rPr>
          <w:t>233</w:t>
        </w:r>
        <w:r w:rsidR="001353E5">
          <w:rPr>
            <w:noProof/>
            <w:webHidden/>
          </w:rPr>
          <w:fldChar w:fldCharType="end"/>
        </w:r>
      </w:hyperlink>
    </w:p>
    <w:p w14:paraId="00C902C0" w14:textId="77777777" w:rsidR="001353E5" w:rsidRDefault="00231E33">
      <w:pPr>
        <w:pStyle w:val="22"/>
        <w:rPr>
          <w:rFonts w:asciiTheme="minorHAnsi" w:eastAsiaTheme="minorEastAsia" w:hAnsiTheme="minorHAnsi" w:cstheme="minorBidi"/>
          <w:b w:val="0"/>
          <w:noProof/>
          <w:szCs w:val="22"/>
          <w:lang w:eastAsia="en-GB"/>
        </w:rPr>
      </w:pPr>
      <w:hyperlink w:anchor="_Toc67565510" w:history="1">
        <w:r w:rsidR="001353E5" w:rsidRPr="00EB7E77">
          <w:rPr>
            <w:rStyle w:val="-"/>
            <w:noProof/>
          </w:rPr>
          <w:t>14.6</w:t>
        </w:r>
        <w:r w:rsidR="001353E5">
          <w:rPr>
            <w:rFonts w:asciiTheme="minorHAnsi" w:eastAsiaTheme="minorEastAsia" w:hAnsiTheme="minorHAnsi" w:cstheme="minorBidi"/>
            <w:b w:val="0"/>
            <w:noProof/>
            <w:szCs w:val="22"/>
            <w:lang w:eastAsia="en-GB"/>
          </w:rPr>
          <w:tab/>
        </w:r>
        <w:r w:rsidR="001353E5" w:rsidRPr="00EB7E77">
          <w:rPr>
            <w:rStyle w:val="-"/>
            <w:noProof/>
          </w:rPr>
          <w:t>Detailing of members and particular rules</w:t>
        </w:r>
        <w:r w:rsidR="001353E5">
          <w:rPr>
            <w:noProof/>
            <w:webHidden/>
          </w:rPr>
          <w:tab/>
        </w:r>
        <w:r w:rsidR="001353E5">
          <w:rPr>
            <w:noProof/>
            <w:webHidden/>
          </w:rPr>
          <w:fldChar w:fldCharType="begin"/>
        </w:r>
        <w:r w:rsidR="001353E5">
          <w:rPr>
            <w:noProof/>
            <w:webHidden/>
          </w:rPr>
          <w:instrText xml:space="preserve"> PAGEREF _Toc67565510 \h </w:instrText>
        </w:r>
        <w:r w:rsidR="001353E5">
          <w:rPr>
            <w:noProof/>
            <w:webHidden/>
          </w:rPr>
        </w:r>
        <w:r w:rsidR="001353E5">
          <w:rPr>
            <w:noProof/>
            <w:webHidden/>
          </w:rPr>
          <w:fldChar w:fldCharType="separate"/>
        </w:r>
        <w:r w:rsidR="000250B6">
          <w:rPr>
            <w:noProof/>
            <w:webHidden/>
          </w:rPr>
          <w:t>234</w:t>
        </w:r>
        <w:r w:rsidR="001353E5">
          <w:rPr>
            <w:noProof/>
            <w:webHidden/>
          </w:rPr>
          <w:fldChar w:fldCharType="end"/>
        </w:r>
      </w:hyperlink>
    </w:p>
    <w:p w14:paraId="3A7B24FD" w14:textId="77777777" w:rsidR="001353E5" w:rsidRDefault="00231E33">
      <w:pPr>
        <w:pStyle w:val="32"/>
        <w:rPr>
          <w:rFonts w:asciiTheme="minorHAnsi" w:eastAsiaTheme="minorEastAsia" w:hAnsiTheme="minorHAnsi" w:cstheme="minorBidi"/>
          <w:b w:val="0"/>
          <w:noProof/>
          <w:szCs w:val="22"/>
          <w:lang w:eastAsia="en-GB"/>
        </w:rPr>
      </w:pPr>
      <w:hyperlink w:anchor="_Toc67565511" w:history="1">
        <w:r w:rsidR="001353E5" w:rsidRPr="00EB7E77">
          <w:rPr>
            <w:rStyle w:val="-"/>
            <w:noProof/>
          </w:rPr>
          <w:t>14.6.1</w:t>
        </w:r>
        <w:r w:rsidR="001353E5">
          <w:rPr>
            <w:rFonts w:asciiTheme="minorHAnsi" w:eastAsiaTheme="minorEastAsia" w:hAnsiTheme="minorHAnsi" w:cstheme="minorBidi"/>
            <w:b w:val="0"/>
            <w:noProof/>
            <w:szCs w:val="22"/>
            <w:lang w:eastAsia="en-GB"/>
          </w:rPr>
          <w:tab/>
        </w:r>
        <w:r w:rsidR="001353E5" w:rsidRPr="00EB7E77">
          <w:rPr>
            <w:rStyle w:val="-"/>
            <w:noProof/>
          </w:rPr>
          <w:t>Structural members</w:t>
        </w:r>
        <w:r w:rsidR="001353E5">
          <w:rPr>
            <w:noProof/>
            <w:webHidden/>
          </w:rPr>
          <w:tab/>
        </w:r>
        <w:r w:rsidR="001353E5">
          <w:rPr>
            <w:noProof/>
            <w:webHidden/>
          </w:rPr>
          <w:fldChar w:fldCharType="begin"/>
        </w:r>
        <w:r w:rsidR="001353E5">
          <w:rPr>
            <w:noProof/>
            <w:webHidden/>
          </w:rPr>
          <w:instrText xml:space="preserve"> PAGEREF _Toc67565511 \h </w:instrText>
        </w:r>
        <w:r w:rsidR="001353E5">
          <w:rPr>
            <w:noProof/>
            <w:webHidden/>
          </w:rPr>
        </w:r>
        <w:r w:rsidR="001353E5">
          <w:rPr>
            <w:noProof/>
            <w:webHidden/>
          </w:rPr>
          <w:fldChar w:fldCharType="separate"/>
        </w:r>
        <w:r w:rsidR="000250B6">
          <w:rPr>
            <w:noProof/>
            <w:webHidden/>
          </w:rPr>
          <w:t>234</w:t>
        </w:r>
        <w:r w:rsidR="001353E5">
          <w:rPr>
            <w:noProof/>
            <w:webHidden/>
          </w:rPr>
          <w:fldChar w:fldCharType="end"/>
        </w:r>
      </w:hyperlink>
    </w:p>
    <w:p w14:paraId="2146E251" w14:textId="77777777" w:rsidR="001353E5" w:rsidRDefault="00231E33">
      <w:pPr>
        <w:pStyle w:val="32"/>
        <w:rPr>
          <w:rFonts w:asciiTheme="minorHAnsi" w:eastAsiaTheme="minorEastAsia" w:hAnsiTheme="minorHAnsi" w:cstheme="minorBidi"/>
          <w:b w:val="0"/>
          <w:noProof/>
          <w:szCs w:val="22"/>
          <w:lang w:eastAsia="en-GB"/>
        </w:rPr>
      </w:pPr>
      <w:hyperlink w:anchor="_Toc67565512" w:history="1">
        <w:r w:rsidR="001353E5" w:rsidRPr="00EB7E77">
          <w:rPr>
            <w:rStyle w:val="-"/>
            <w:noProof/>
          </w:rPr>
          <w:t>14.6.2</w:t>
        </w:r>
        <w:r w:rsidR="001353E5">
          <w:rPr>
            <w:rFonts w:asciiTheme="minorHAnsi" w:eastAsiaTheme="minorEastAsia" w:hAnsiTheme="minorHAnsi" w:cstheme="minorBidi"/>
            <w:b w:val="0"/>
            <w:noProof/>
            <w:szCs w:val="22"/>
            <w:lang w:eastAsia="en-GB"/>
          </w:rPr>
          <w:tab/>
        </w:r>
        <w:r w:rsidR="001353E5" w:rsidRPr="00EB7E77">
          <w:rPr>
            <w:rStyle w:val="-"/>
            <w:noProof/>
          </w:rPr>
          <w:t>Construction joints</w:t>
        </w:r>
        <w:r w:rsidR="001353E5">
          <w:rPr>
            <w:noProof/>
            <w:webHidden/>
          </w:rPr>
          <w:tab/>
        </w:r>
        <w:r w:rsidR="001353E5">
          <w:rPr>
            <w:noProof/>
            <w:webHidden/>
          </w:rPr>
          <w:fldChar w:fldCharType="begin"/>
        </w:r>
        <w:r w:rsidR="001353E5">
          <w:rPr>
            <w:noProof/>
            <w:webHidden/>
          </w:rPr>
          <w:instrText xml:space="preserve"> PAGEREF _Toc67565512 \h </w:instrText>
        </w:r>
        <w:r w:rsidR="001353E5">
          <w:rPr>
            <w:noProof/>
            <w:webHidden/>
          </w:rPr>
        </w:r>
        <w:r w:rsidR="001353E5">
          <w:rPr>
            <w:noProof/>
            <w:webHidden/>
          </w:rPr>
          <w:fldChar w:fldCharType="separate"/>
        </w:r>
        <w:r w:rsidR="000250B6">
          <w:rPr>
            <w:noProof/>
            <w:webHidden/>
          </w:rPr>
          <w:t>234</w:t>
        </w:r>
        <w:r w:rsidR="001353E5">
          <w:rPr>
            <w:noProof/>
            <w:webHidden/>
          </w:rPr>
          <w:fldChar w:fldCharType="end"/>
        </w:r>
      </w:hyperlink>
    </w:p>
    <w:p w14:paraId="37650BA7" w14:textId="77777777" w:rsidR="001353E5" w:rsidRDefault="00231E33">
      <w:pPr>
        <w:pStyle w:val="32"/>
        <w:rPr>
          <w:rFonts w:asciiTheme="minorHAnsi" w:eastAsiaTheme="minorEastAsia" w:hAnsiTheme="minorHAnsi" w:cstheme="minorBidi"/>
          <w:b w:val="0"/>
          <w:noProof/>
          <w:szCs w:val="22"/>
          <w:lang w:eastAsia="en-GB"/>
        </w:rPr>
      </w:pPr>
      <w:hyperlink w:anchor="_Toc67565513" w:history="1">
        <w:r w:rsidR="001353E5" w:rsidRPr="00EB7E77">
          <w:rPr>
            <w:rStyle w:val="-"/>
            <w:noProof/>
          </w:rPr>
          <w:t>14.6.3</w:t>
        </w:r>
        <w:r w:rsidR="001353E5">
          <w:rPr>
            <w:rFonts w:asciiTheme="minorHAnsi" w:eastAsiaTheme="minorEastAsia" w:hAnsiTheme="minorHAnsi" w:cstheme="minorBidi"/>
            <w:b w:val="0"/>
            <w:noProof/>
            <w:szCs w:val="22"/>
            <w:lang w:eastAsia="en-GB"/>
          </w:rPr>
          <w:tab/>
        </w:r>
        <w:r w:rsidR="001353E5" w:rsidRPr="00EB7E77">
          <w:rPr>
            <w:rStyle w:val="-"/>
            <w:noProof/>
          </w:rPr>
          <w:t>Strip and pad footings</w:t>
        </w:r>
        <w:r w:rsidR="001353E5">
          <w:rPr>
            <w:noProof/>
            <w:webHidden/>
          </w:rPr>
          <w:tab/>
        </w:r>
        <w:r w:rsidR="001353E5">
          <w:rPr>
            <w:noProof/>
            <w:webHidden/>
          </w:rPr>
          <w:fldChar w:fldCharType="begin"/>
        </w:r>
        <w:r w:rsidR="001353E5">
          <w:rPr>
            <w:noProof/>
            <w:webHidden/>
          </w:rPr>
          <w:instrText xml:space="preserve"> PAGEREF _Toc67565513 \h </w:instrText>
        </w:r>
        <w:r w:rsidR="001353E5">
          <w:rPr>
            <w:noProof/>
            <w:webHidden/>
          </w:rPr>
        </w:r>
        <w:r w:rsidR="001353E5">
          <w:rPr>
            <w:noProof/>
            <w:webHidden/>
          </w:rPr>
          <w:fldChar w:fldCharType="separate"/>
        </w:r>
        <w:r w:rsidR="000250B6">
          <w:rPr>
            <w:noProof/>
            <w:webHidden/>
          </w:rPr>
          <w:t>234</w:t>
        </w:r>
        <w:r w:rsidR="001353E5">
          <w:rPr>
            <w:noProof/>
            <w:webHidden/>
          </w:rPr>
          <w:fldChar w:fldCharType="end"/>
        </w:r>
      </w:hyperlink>
    </w:p>
    <w:p w14:paraId="3A7CD16C" w14:textId="77777777" w:rsidR="001353E5" w:rsidRDefault="00231E33">
      <w:pPr>
        <w:pStyle w:val="10"/>
        <w:rPr>
          <w:rFonts w:asciiTheme="minorHAnsi" w:eastAsiaTheme="minorEastAsia" w:hAnsiTheme="minorHAnsi" w:cstheme="minorBidi"/>
          <w:b w:val="0"/>
          <w:noProof/>
          <w:szCs w:val="22"/>
          <w:lang w:eastAsia="en-GB"/>
        </w:rPr>
      </w:pPr>
      <w:hyperlink w:anchor="_Toc67565514" w:history="1">
        <w:r w:rsidR="001353E5" w:rsidRPr="00EB7E77">
          <w:rPr>
            <w:rStyle w:val="-"/>
            <w:noProof/>
          </w:rPr>
          <w:t>Annex A (normative)  Adjustment of partial factors for materials</w:t>
        </w:r>
        <w:r w:rsidR="001353E5">
          <w:rPr>
            <w:noProof/>
            <w:webHidden/>
          </w:rPr>
          <w:tab/>
        </w:r>
        <w:r w:rsidR="001353E5">
          <w:rPr>
            <w:noProof/>
            <w:webHidden/>
          </w:rPr>
          <w:fldChar w:fldCharType="begin"/>
        </w:r>
        <w:r w:rsidR="001353E5">
          <w:rPr>
            <w:noProof/>
            <w:webHidden/>
          </w:rPr>
          <w:instrText xml:space="preserve"> PAGEREF _Toc67565514 \h </w:instrText>
        </w:r>
        <w:r w:rsidR="001353E5">
          <w:rPr>
            <w:noProof/>
            <w:webHidden/>
          </w:rPr>
        </w:r>
        <w:r w:rsidR="001353E5">
          <w:rPr>
            <w:noProof/>
            <w:webHidden/>
          </w:rPr>
          <w:fldChar w:fldCharType="separate"/>
        </w:r>
        <w:r w:rsidR="000250B6">
          <w:rPr>
            <w:noProof/>
            <w:webHidden/>
          </w:rPr>
          <w:t>235</w:t>
        </w:r>
        <w:r w:rsidR="001353E5">
          <w:rPr>
            <w:noProof/>
            <w:webHidden/>
          </w:rPr>
          <w:fldChar w:fldCharType="end"/>
        </w:r>
      </w:hyperlink>
    </w:p>
    <w:p w14:paraId="617AE836"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15" w:history="1">
        <w:r w:rsidR="001353E5" w:rsidRPr="00EB7E77">
          <w:rPr>
            <w:rStyle w:val="-"/>
            <w:noProof/>
          </w:rPr>
          <w:t>A.1</w:t>
        </w:r>
        <w:r w:rsidR="001353E5">
          <w:rPr>
            <w:rFonts w:asciiTheme="minorHAnsi" w:eastAsiaTheme="minorEastAsia" w:hAnsiTheme="minorHAnsi" w:cstheme="minorBidi"/>
            <w:b w:val="0"/>
            <w:noProof/>
            <w:szCs w:val="22"/>
            <w:lang w:eastAsia="en-GB"/>
          </w:rPr>
          <w:tab/>
        </w:r>
        <w:r w:rsidR="001353E5" w:rsidRPr="00EB7E77">
          <w:rPr>
            <w:rStyle w:val="-"/>
            <w:noProof/>
          </w:rPr>
          <w:t>Use of this annex</w:t>
        </w:r>
        <w:r w:rsidR="001353E5">
          <w:rPr>
            <w:noProof/>
            <w:webHidden/>
          </w:rPr>
          <w:tab/>
        </w:r>
        <w:r w:rsidR="001353E5">
          <w:rPr>
            <w:noProof/>
            <w:webHidden/>
          </w:rPr>
          <w:fldChar w:fldCharType="begin"/>
        </w:r>
        <w:r w:rsidR="001353E5">
          <w:rPr>
            <w:noProof/>
            <w:webHidden/>
          </w:rPr>
          <w:instrText xml:space="preserve"> PAGEREF _Toc67565515 \h </w:instrText>
        </w:r>
        <w:r w:rsidR="001353E5">
          <w:rPr>
            <w:noProof/>
            <w:webHidden/>
          </w:rPr>
        </w:r>
        <w:r w:rsidR="001353E5">
          <w:rPr>
            <w:noProof/>
            <w:webHidden/>
          </w:rPr>
          <w:fldChar w:fldCharType="separate"/>
        </w:r>
        <w:r w:rsidR="000250B6">
          <w:rPr>
            <w:noProof/>
            <w:webHidden/>
          </w:rPr>
          <w:t>235</w:t>
        </w:r>
        <w:r w:rsidR="001353E5">
          <w:rPr>
            <w:noProof/>
            <w:webHidden/>
          </w:rPr>
          <w:fldChar w:fldCharType="end"/>
        </w:r>
      </w:hyperlink>
    </w:p>
    <w:p w14:paraId="432B4080"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16" w:history="1">
        <w:r w:rsidR="001353E5" w:rsidRPr="00EB7E77">
          <w:rPr>
            <w:rStyle w:val="-"/>
            <w:noProof/>
          </w:rPr>
          <w:t>A.2</w:t>
        </w:r>
        <w:r w:rsidR="001353E5">
          <w:rPr>
            <w:rFonts w:asciiTheme="minorHAnsi" w:eastAsiaTheme="minorEastAsia" w:hAnsiTheme="minorHAnsi" w:cstheme="minorBidi"/>
            <w:b w:val="0"/>
            <w:noProof/>
            <w:szCs w:val="22"/>
            <w:lang w:eastAsia="en-GB"/>
          </w:rPr>
          <w:tab/>
        </w:r>
        <w:r w:rsidR="001353E5" w:rsidRPr="00EB7E77">
          <w:rPr>
            <w:rStyle w:val="-"/>
            <w:noProof/>
          </w:rPr>
          <w:t>Scope and fields of application</w:t>
        </w:r>
        <w:r w:rsidR="001353E5">
          <w:rPr>
            <w:noProof/>
            <w:webHidden/>
          </w:rPr>
          <w:tab/>
        </w:r>
        <w:r w:rsidR="001353E5">
          <w:rPr>
            <w:noProof/>
            <w:webHidden/>
          </w:rPr>
          <w:fldChar w:fldCharType="begin"/>
        </w:r>
        <w:r w:rsidR="001353E5">
          <w:rPr>
            <w:noProof/>
            <w:webHidden/>
          </w:rPr>
          <w:instrText xml:space="preserve"> PAGEREF _Toc67565516 \h </w:instrText>
        </w:r>
        <w:r w:rsidR="001353E5">
          <w:rPr>
            <w:noProof/>
            <w:webHidden/>
          </w:rPr>
        </w:r>
        <w:r w:rsidR="001353E5">
          <w:rPr>
            <w:noProof/>
            <w:webHidden/>
          </w:rPr>
          <w:fldChar w:fldCharType="separate"/>
        </w:r>
        <w:r w:rsidR="000250B6">
          <w:rPr>
            <w:noProof/>
            <w:webHidden/>
          </w:rPr>
          <w:t>235</w:t>
        </w:r>
        <w:r w:rsidR="001353E5">
          <w:rPr>
            <w:noProof/>
            <w:webHidden/>
          </w:rPr>
          <w:fldChar w:fldCharType="end"/>
        </w:r>
      </w:hyperlink>
    </w:p>
    <w:p w14:paraId="6D564304"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17" w:history="1">
        <w:r w:rsidR="001353E5" w:rsidRPr="00EB7E77">
          <w:rPr>
            <w:rStyle w:val="-"/>
            <w:noProof/>
          </w:rPr>
          <w:t>A.3</w:t>
        </w:r>
        <w:r w:rsidR="001353E5">
          <w:rPr>
            <w:rFonts w:asciiTheme="minorHAnsi" w:eastAsiaTheme="minorEastAsia" w:hAnsiTheme="minorHAnsi" w:cstheme="minorBidi"/>
            <w:b w:val="0"/>
            <w:noProof/>
            <w:szCs w:val="22"/>
            <w:lang w:eastAsia="en-GB"/>
          </w:rPr>
          <w:tab/>
        </w:r>
        <w:r w:rsidR="001353E5" w:rsidRPr="00EB7E77">
          <w:rPr>
            <w:rStyle w:val="-"/>
            <w:noProof/>
          </w:rPr>
          <w:t>General</w:t>
        </w:r>
        <w:r w:rsidR="001353E5">
          <w:rPr>
            <w:noProof/>
            <w:webHidden/>
          </w:rPr>
          <w:tab/>
        </w:r>
        <w:r w:rsidR="001353E5">
          <w:rPr>
            <w:noProof/>
            <w:webHidden/>
          </w:rPr>
          <w:fldChar w:fldCharType="begin"/>
        </w:r>
        <w:r w:rsidR="001353E5">
          <w:rPr>
            <w:noProof/>
            <w:webHidden/>
          </w:rPr>
          <w:instrText xml:space="preserve"> PAGEREF _Toc67565517 \h </w:instrText>
        </w:r>
        <w:r w:rsidR="001353E5">
          <w:rPr>
            <w:noProof/>
            <w:webHidden/>
          </w:rPr>
        </w:r>
        <w:r w:rsidR="001353E5">
          <w:rPr>
            <w:noProof/>
            <w:webHidden/>
          </w:rPr>
          <w:fldChar w:fldCharType="separate"/>
        </w:r>
        <w:r w:rsidR="000250B6">
          <w:rPr>
            <w:noProof/>
            <w:webHidden/>
          </w:rPr>
          <w:t>235</w:t>
        </w:r>
        <w:r w:rsidR="001353E5">
          <w:rPr>
            <w:noProof/>
            <w:webHidden/>
          </w:rPr>
          <w:fldChar w:fldCharType="end"/>
        </w:r>
      </w:hyperlink>
    </w:p>
    <w:p w14:paraId="2155EC76" w14:textId="77777777" w:rsidR="001353E5" w:rsidRDefault="00231E33">
      <w:pPr>
        <w:pStyle w:val="10"/>
        <w:rPr>
          <w:rFonts w:asciiTheme="minorHAnsi" w:eastAsiaTheme="minorEastAsia" w:hAnsiTheme="minorHAnsi" w:cstheme="minorBidi"/>
          <w:b w:val="0"/>
          <w:noProof/>
          <w:szCs w:val="22"/>
          <w:lang w:eastAsia="en-GB"/>
        </w:rPr>
      </w:pPr>
      <w:hyperlink w:anchor="_Toc67565518" w:history="1">
        <w:r w:rsidR="001353E5" w:rsidRPr="00EB7E77">
          <w:rPr>
            <w:rStyle w:val="-"/>
            <w:noProof/>
          </w:rPr>
          <w:t>Annex B (normative)  Time dependent behaviour of materials: Creep, shrinkage and elastic strain of concrete and relaxation of prestressing steel</w:t>
        </w:r>
        <w:r w:rsidR="001353E5">
          <w:rPr>
            <w:noProof/>
            <w:webHidden/>
          </w:rPr>
          <w:tab/>
        </w:r>
        <w:r w:rsidR="001353E5">
          <w:rPr>
            <w:noProof/>
            <w:webHidden/>
          </w:rPr>
          <w:fldChar w:fldCharType="begin"/>
        </w:r>
        <w:r w:rsidR="001353E5">
          <w:rPr>
            <w:noProof/>
            <w:webHidden/>
          </w:rPr>
          <w:instrText xml:space="preserve"> PAGEREF _Toc67565518 \h </w:instrText>
        </w:r>
        <w:r w:rsidR="001353E5">
          <w:rPr>
            <w:noProof/>
            <w:webHidden/>
          </w:rPr>
        </w:r>
        <w:r w:rsidR="001353E5">
          <w:rPr>
            <w:noProof/>
            <w:webHidden/>
          </w:rPr>
          <w:fldChar w:fldCharType="separate"/>
        </w:r>
        <w:r w:rsidR="000250B6">
          <w:rPr>
            <w:noProof/>
            <w:webHidden/>
          </w:rPr>
          <w:t>243</w:t>
        </w:r>
        <w:r w:rsidR="001353E5">
          <w:rPr>
            <w:noProof/>
            <w:webHidden/>
          </w:rPr>
          <w:fldChar w:fldCharType="end"/>
        </w:r>
      </w:hyperlink>
    </w:p>
    <w:p w14:paraId="785D3604"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19" w:history="1">
        <w:r w:rsidR="001353E5" w:rsidRPr="00EB7E77">
          <w:rPr>
            <w:rStyle w:val="-"/>
            <w:noProof/>
          </w:rPr>
          <w:t>B.1</w:t>
        </w:r>
        <w:r w:rsidR="001353E5">
          <w:rPr>
            <w:rFonts w:asciiTheme="minorHAnsi" w:eastAsiaTheme="minorEastAsia" w:hAnsiTheme="minorHAnsi" w:cstheme="minorBidi"/>
            <w:b w:val="0"/>
            <w:noProof/>
            <w:szCs w:val="22"/>
            <w:lang w:eastAsia="en-GB"/>
          </w:rPr>
          <w:tab/>
        </w:r>
        <w:r w:rsidR="001353E5" w:rsidRPr="00EB7E77">
          <w:rPr>
            <w:rStyle w:val="-"/>
            <w:noProof/>
          </w:rPr>
          <w:t>Use of this annex</w:t>
        </w:r>
        <w:r w:rsidR="001353E5">
          <w:rPr>
            <w:noProof/>
            <w:webHidden/>
          </w:rPr>
          <w:tab/>
        </w:r>
        <w:r w:rsidR="001353E5">
          <w:rPr>
            <w:noProof/>
            <w:webHidden/>
          </w:rPr>
          <w:fldChar w:fldCharType="begin"/>
        </w:r>
        <w:r w:rsidR="001353E5">
          <w:rPr>
            <w:noProof/>
            <w:webHidden/>
          </w:rPr>
          <w:instrText xml:space="preserve"> PAGEREF _Toc67565519 \h </w:instrText>
        </w:r>
        <w:r w:rsidR="001353E5">
          <w:rPr>
            <w:noProof/>
            <w:webHidden/>
          </w:rPr>
        </w:r>
        <w:r w:rsidR="001353E5">
          <w:rPr>
            <w:noProof/>
            <w:webHidden/>
          </w:rPr>
          <w:fldChar w:fldCharType="separate"/>
        </w:r>
        <w:r w:rsidR="000250B6">
          <w:rPr>
            <w:noProof/>
            <w:webHidden/>
          </w:rPr>
          <w:t>243</w:t>
        </w:r>
        <w:r w:rsidR="001353E5">
          <w:rPr>
            <w:noProof/>
            <w:webHidden/>
          </w:rPr>
          <w:fldChar w:fldCharType="end"/>
        </w:r>
      </w:hyperlink>
    </w:p>
    <w:p w14:paraId="2AEE3EC6"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20" w:history="1">
        <w:r w:rsidR="001353E5" w:rsidRPr="00EB7E77">
          <w:rPr>
            <w:rStyle w:val="-"/>
            <w:noProof/>
          </w:rPr>
          <w:t>B.2</w:t>
        </w:r>
        <w:r w:rsidR="001353E5">
          <w:rPr>
            <w:rFonts w:asciiTheme="minorHAnsi" w:eastAsiaTheme="minorEastAsia" w:hAnsiTheme="minorHAnsi" w:cstheme="minorBidi"/>
            <w:b w:val="0"/>
            <w:noProof/>
            <w:szCs w:val="22"/>
            <w:lang w:eastAsia="en-GB"/>
          </w:rPr>
          <w:tab/>
        </w:r>
        <w:r w:rsidR="001353E5" w:rsidRPr="00EB7E77">
          <w:rPr>
            <w:rStyle w:val="-"/>
            <w:noProof/>
          </w:rPr>
          <w:t>Scope and field of application</w:t>
        </w:r>
        <w:r w:rsidR="001353E5">
          <w:rPr>
            <w:noProof/>
            <w:webHidden/>
          </w:rPr>
          <w:tab/>
        </w:r>
        <w:r w:rsidR="001353E5">
          <w:rPr>
            <w:noProof/>
            <w:webHidden/>
          </w:rPr>
          <w:fldChar w:fldCharType="begin"/>
        </w:r>
        <w:r w:rsidR="001353E5">
          <w:rPr>
            <w:noProof/>
            <w:webHidden/>
          </w:rPr>
          <w:instrText xml:space="preserve"> PAGEREF _Toc67565520 \h </w:instrText>
        </w:r>
        <w:r w:rsidR="001353E5">
          <w:rPr>
            <w:noProof/>
            <w:webHidden/>
          </w:rPr>
        </w:r>
        <w:r w:rsidR="001353E5">
          <w:rPr>
            <w:noProof/>
            <w:webHidden/>
          </w:rPr>
          <w:fldChar w:fldCharType="separate"/>
        </w:r>
        <w:r w:rsidR="000250B6">
          <w:rPr>
            <w:noProof/>
            <w:webHidden/>
          </w:rPr>
          <w:t>243</w:t>
        </w:r>
        <w:r w:rsidR="001353E5">
          <w:rPr>
            <w:noProof/>
            <w:webHidden/>
          </w:rPr>
          <w:fldChar w:fldCharType="end"/>
        </w:r>
      </w:hyperlink>
    </w:p>
    <w:p w14:paraId="10EB0D92"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21" w:history="1">
        <w:r w:rsidR="001353E5" w:rsidRPr="00EB7E77">
          <w:rPr>
            <w:rStyle w:val="-"/>
            <w:noProof/>
          </w:rPr>
          <w:t>B.3</w:t>
        </w:r>
        <w:r w:rsidR="001353E5">
          <w:rPr>
            <w:rFonts w:asciiTheme="minorHAnsi" w:eastAsiaTheme="minorEastAsia" w:hAnsiTheme="minorHAnsi" w:cstheme="minorBidi"/>
            <w:b w:val="0"/>
            <w:noProof/>
            <w:szCs w:val="22"/>
            <w:lang w:eastAsia="en-GB"/>
          </w:rPr>
          <w:tab/>
        </w:r>
        <w:r w:rsidR="001353E5" w:rsidRPr="00EB7E77">
          <w:rPr>
            <w:rStyle w:val="-"/>
            <w:noProof/>
          </w:rPr>
          <w:t>General</w:t>
        </w:r>
        <w:r w:rsidR="001353E5">
          <w:rPr>
            <w:noProof/>
            <w:webHidden/>
          </w:rPr>
          <w:tab/>
        </w:r>
        <w:r w:rsidR="001353E5">
          <w:rPr>
            <w:noProof/>
            <w:webHidden/>
          </w:rPr>
          <w:fldChar w:fldCharType="begin"/>
        </w:r>
        <w:r w:rsidR="001353E5">
          <w:rPr>
            <w:noProof/>
            <w:webHidden/>
          </w:rPr>
          <w:instrText xml:space="preserve"> PAGEREF _Toc67565521 \h </w:instrText>
        </w:r>
        <w:r w:rsidR="001353E5">
          <w:rPr>
            <w:noProof/>
            <w:webHidden/>
          </w:rPr>
        </w:r>
        <w:r w:rsidR="001353E5">
          <w:rPr>
            <w:noProof/>
            <w:webHidden/>
          </w:rPr>
          <w:fldChar w:fldCharType="separate"/>
        </w:r>
        <w:r w:rsidR="000250B6">
          <w:rPr>
            <w:noProof/>
            <w:webHidden/>
          </w:rPr>
          <w:t>243</w:t>
        </w:r>
        <w:r w:rsidR="001353E5">
          <w:rPr>
            <w:noProof/>
            <w:webHidden/>
          </w:rPr>
          <w:fldChar w:fldCharType="end"/>
        </w:r>
      </w:hyperlink>
    </w:p>
    <w:p w14:paraId="24745323"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22" w:history="1">
        <w:r w:rsidR="001353E5" w:rsidRPr="00EB7E77">
          <w:rPr>
            <w:rStyle w:val="-"/>
            <w:noProof/>
          </w:rPr>
          <w:t>B.4</w:t>
        </w:r>
        <w:r w:rsidR="001353E5">
          <w:rPr>
            <w:rFonts w:asciiTheme="minorHAnsi" w:eastAsiaTheme="minorEastAsia" w:hAnsiTheme="minorHAnsi" w:cstheme="minorBidi"/>
            <w:b w:val="0"/>
            <w:noProof/>
            <w:szCs w:val="22"/>
            <w:lang w:eastAsia="en-GB"/>
          </w:rPr>
          <w:tab/>
        </w:r>
        <w:r w:rsidR="001353E5" w:rsidRPr="00EB7E77">
          <w:rPr>
            <w:rStyle w:val="-"/>
            <w:noProof/>
          </w:rPr>
          <w:t>Development of concrete strength and stiffness with time</w:t>
        </w:r>
        <w:r w:rsidR="001353E5">
          <w:rPr>
            <w:noProof/>
            <w:webHidden/>
          </w:rPr>
          <w:tab/>
        </w:r>
        <w:r w:rsidR="001353E5">
          <w:rPr>
            <w:noProof/>
            <w:webHidden/>
          </w:rPr>
          <w:fldChar w:fldCharType="begin"/>
        </w:r>
        <w:r w:rsidR="001353E5">
          <w:rPr>
            <w:noProof/>
            <w:webHidden/>
          </w:rPr>
          <w:instrText xml:space="preserve"> PAGEREF _Toc67565522 \h </w:instrText>
        </w:r>
        <w:r w:rsidR="001353E5">
          <w:rPr>
            <w:noProof/>
            <w:webHidden/>
          </w:rPr>
        </w:r>
        <w:r w:rsidR="001353E5">
          <w:rPr>
            <w:noProof/>
            <w:webHidden/>
          </w:rPr>
          <w:fldChar w:fldCharType="separate"/>
        </w:r>
        <w:r w:rsidR="000250B6">
          <w:rPr>
            <w:noProof/>
            <w:webHidden/>
          </w:rPr>
          <w:t>244</w:t>
        </w:r>
        <w:r w:rsidR="001353E5">
          <w:rPr>
            <w:noProof/>
            <w:webHidden/>
          </w:rPr>
          <w:fldChar w:fldCharType="end"/>
        </w:r>
      </w:hyperlink>
    </w:p>
    <w:p w14:paraId="1DA628EE"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23" w:history="1">
        <w:r w:rsidR="001353E5" w:rsidRPr="00EB7E77">
          <w:rPr>
            <w:rStyle w:val="-"/>
            <w:noProof/>
          </w:rPr>
          <w:t>B.5</w:t>
        </w:r>
        <w:r w:rsidR="001353E5">
          <w:rPr>
            <w:rFonts w:asciiTheme="minorHAnsi" w:eastAsiaTheme="minorEastAsia" w:hAnsiTheme="minorHAnsi" w:cstheme="minorBidi"/>
            <w:b w:val="0"/>
            <w:noProof/>
            <w:szCs w:val="22"/>
            <w:lang w:eastAsia="en-GB"/>
          </w:rPr>
          <w:tab/>
        </w:r>
        <w:r w:rsidR="001353E5" w:rsidRPr="00EB7E77">
          <w:rPr>
            <w:rStyle w:val="-"/>
            <w:noProof/>
          </w:rPr>
          <w:t>Basic formulae for determining the creep coefficient</w:t>
        </w:r>
        <w:r w:rsidR="001353E5">
          <w:rPr>
            <w:noProof/>
            <w:webHidden/>
          </w:rPr>
          <w:tab/>
        </w:r>
        <w:r w:rsidR="001353E5">
          <w:rPr>
            <w:noProof/>
            <w:webHidden/>
          </w:rPr>
          <w:fldChar w:fldCharType="begin"/>
        </w:r>
        <w:r w:rsidR="001353E5">
          <w:rPr>
            <w:noProof/>
            <w:webHidden/>
          </w:rPr>
          <w:instrText xml:space="preserve"> PAGEREF _Toc67565523 \h </w:instrText>
        </w:r>
        <w:r w:rsidR="001353E5">
          <w:rPr>
            <w:noProof/>
            <w:webHidden/>
          </w:rPr>
        </w:r>
        <w:r w:rsidR="001353E5">
          <w:rPr>
            <w:noProof/>
            <w:webHidden/>
          </w:rPr>
          <w:fldChar w:fldCharType="separate"/>
        </w:r>
        <w:r w:rsidR="000250B6">
          <w:rPr>
            <w:noProof/>
            <w:webHidden/>
          </w:rPr>
          <w:t>245</w:t>
        </w:r>
        <w:r w:rsidR="001353E5">
          <w:rPr>
            <w:noProof/>
            <w:webHidden/>
          </w:rPr>
          <w:fldChar w:fldCharType="end"/>
        </w:r>
      </w:hyperlink>
    </w:p>
    <w:p w14:paraId="0A7CE351"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24" w:history="1">
        <w:r w:rsidR="001353E5" w:rsidRPr="00EB7E77">
          <w:rPr>
            <w:rStyle w:val="-"/>
            <w:noProof/>
          </w:rPr>
          <w:t>B.6</w:t>
        </w:r>
        <w:r w:rsidR="001353E5">
          <w:rPr>
            <w:rFonts w:asciiTheme="minorHAnsi" w:eastAsiaTheme="minorEastAsia" w:hAnsiTheme="minorHAnsi" w:cstheme="minorBidi"/>
            <w:b w:val="0"/>
            <w:noProof/>
            <w:szCs w:val="22"/>
            <w:lang w:eastAsia="en-GB"/>
          </w:rPr>
          <w:tab/>
        </w:r>
        <w:r w:rsidR="001353E5" w:rsidRPr="00EB7E77">
          <w:rPr>
            <w:rStyle w:val="-"/>
            <w:noProof/>
          </w:rPr>
          <w:t>Basic formulae for determining the shrinkage strain</w:t>
        </w:r>
        <w:r w:rsidR="001353E5">
          <w:rPr>
            <w:noProof/>
            <w:webHidden/>
          </w:rPr>
          <w:tab/>
        </w:r>
        <w:r w:rsidR="001353E5">
          <w:rPr>
            <w:noProof/>
            <w:webHidden/>
          </w:rPr>
          <w:fldChar w:fldCharType="begin"/>
        </w:r>
        <w:r w:rsidR="001353E5">
          <w:rPr>
            <w:noProof/>
            <w:webHidden/>
          </w:rPr>
          <w:instrText xml:space="preserve"> PAGEREF _Toc67565524 \h </w:instrText>
        </w:r>
        <w:r w:rsidR="001353E5">
          <w:rPr>
            <w:noProof/>
            <w:webHidden/>
          </w:rPr>
        </w:r>
        <w:r w:rsidR="001353E5">
          <w:rPr>
            <w:noProof/>
            <w:webHidden/>
          </w:rPr>
          <w:fldChar w:fldCharType="separate"/>
        </w:r>
        <w:r w:rsidR="000250B6">
          <w:rPr>
            <w:noProof/>
            <w:webHidden/>
          </w:rPr>
          <w:t>248</w:t>
        </w:r>
        <w:r w:rsidR="001353E5">
          <w:rPr>
            <w:noProof/>
            <w:webHidden/>
          </w:rPr>
          <w:fldChar w:fldCharType="end"/>
        </w:r>
      </w:hyperlink>
    </w:p>
    <w:p w14:paraId="74295E62"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25" w:history="1">
        <w:r w:rsidR="001353E5" w:rsidRPr="00EB7E77">
          <w:rPr>
            <w:rStyle w:val="-"/>
            <w:noProof/>
          </w:rPr>
          <w:t>B.7</w:t>
        </w:r>
        <w:r w:rsidR="001353E5">
          <w:rPr>
            <w:rFonts w:asciiTheme="minorHAnsi" w:eastAsiaTheme="minorEastAsia" w:hAnsiTheme="minorHAnsi" w:cstheme="minorBidi"/>
            <w:b w:val="0"/>
            <w:noProof/>
            <w:szCs w:val="22"/>
            <w:lang w:eastAsia="en-GB"/>
          </w:rPr>
          <w:tab/>
        </w:r>
        <w:r w:rsidR="001353E5" w:rsidRPr="00EB7E77">
          <w:rPr>
            <w:rStyle w:val="-"/>
            <w:noProof/>
          </w:rPr>
          <w:t>Tests on elastic deformations, creep and shrinkage</w:t>
        </w:r>
        <w:r w:rsidR="001353E5">
          <w:rPr>
            <w:noProof/>
            <w:webHidden/>
          </w:rPr>
          <w:tab/>
        </w:r>
        <w:r w:rsidR="001353E5">
          <w:rPr>
            <w:noProof/>
            <w:webHidden/>
          </w:rPr>
          <w:fldChar w:fldCharType="begin"/>
        </w:r>
        <w:r w:rsidR="001353E5">
          <w:rPr>
            <w:noProof/>
            <w:webHidden/>
          </w:rPr>
          <w:instrText xml:space="preserve"> PAGEREF _Toc67565525 \h </w:instrText>
        </w:r>
        <w:r w:rsidR="001353E5">
          <w:rPr>
            <w:noProof/>
            <w:webHidden/>
          </w:rPr>
        </w:r>
        <w:r w:rsidR="001353E5">
          <w:rPr>
            <w:noProof/>
            <w:webHidden/>
          </w:rPr>
          <w:fldChar w:fldCharType="separate"/>
        </w:r>
        <w:r w:rsidR="000250B6">
          <w:rPr>
            <w:noProof/>
            <w:webHidden/>
          </w:rPr>
          <w:t>249</w:t>
        </w:r>
        <w:r w:rsidR="001353E5">
          <w:rPr>
            <w:noProof/>
            <w:webHidden/>
          </w:rPr>
          <w:fldChar w:fldCharType="end"/>
        </w:r>
      </w:hyperlink>
    </w:p>
    <w:p w14:paraId="7216CC23"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26" w:history="1">
        <w:r w:rsidR="001353E5" w:rsidRPr="00EB7E77">
          <w:rPr>
            <w:rStyle w:val="-"/>
            <w:noProof/>
          </w:rPr>
          <w:t>B.8</w:t>
        </w:r>
        <w:r w:rsidR="001353E5">
          <w:rPr>
            <w:rFonts w:asciiTheme="minorHAnsi" w:eastAsiaTheme="minorEastAsia" w:hAnsiTheme="minorHAnsi" w:cstheme="minorBidi"/>
            <w:b w:val="0"/>
            <w:noProof/>
            <w:szCs w:val="22"/>
            <w:lang w:eastAsia="en-GB"/>
          </w:rPr>
          <w:tab/>
        </w:r>
        <w:r w:rsidR="001353E5" w:rsidRPr="00EB7E77">
          <w:rPr>
            <w:rStyle w:val="-"/>
            <w:noProof/>
          </w:rPr>
          <w:t>Detailed analysis for creep at variable loading</w:t>
        </w:r>
        <w:r w:rsidR="001353E5">
          <w:rPr>
            <w:noProof/>
            <w:webHidden/>
          </w:rPr>
          <w:tab/>
        </w:r>
        <w:r w:rsidR="001353E5">
          <w:rPr>
            <w:noProof/>
            <w:webHidden/>
          </w:rPr>
          <w:fldChar w:fldCharType="begin"/>
        </w:r>
        <w:r w:rsidR="001353E5">
          <w:rPr>
            <w:noProof/>
            <w:webHidden/>
          </w:rPr>
          <w:instrText xml:space="preserve"> PAGEREF _Toc67565526 \h </w:instrText>
        </w:r>
        <w:r w:rsidR="001353E5">
          <w:rPr>
            <w:noProof/>
            <w:webHidden/>
          </w:rPr>
        </w:r>
        <w:r w:rsidR="001353E5">
          <w:rPr>
            <w:noProof/>
            <w:webHidden/>
          </w:rPr>
          <w:fldChar w:fldCharType="separate"/>
        </w:r>
        <w:r w:rsidR="000250B6">
          <w:rPr>
            <w:noProof/>
            <w:webHidden/>
          </w:rPr>
          <w:t>251</w:t>
        </w:r>
        <w:r w:rsidR="001353E5">
          <w:rPr>
            <w:noProof/>
            <w:webHidden/>
          </w:rPr>
          <w:fldChar w:fldCharType="end"/>
        </w:r>
      </w:hyperlink>
    </w:p>
    <w:p w14:paraId="6FA24257"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27" w:history="1">
        <w:r w:rsidR="001353E5" w:rsidRPr="00EB7E77">
          <w:rPr>
            <w:rStyle w:val="-"/>
            <w:noProof/>
          </w:rPr>
          <w:t>B.9</w:t>
        </w:r>
        <w:r w:rsidR="001353E5">
          <w:rPr>
            <w:rFonts w:asciiTheme="minorHAnsi" w:eastAsiaTheme="minorEastAsia" w:hAnsiTheme="minorHAnsi" w:cstheme="minorBidi"/>
            <w:b w:val="0"/>
            <w:noProof/>
            <w:szCs w:val="22"/>
            <w:lang w:eastAsia="en-GB"/>
          </w:rPr>
          <w:tab/>
        </w:r>
        <w:r w:rsidR="001353E5" w:rsidRPr="00EB7E77">
          <w:rPr>
            <w:rStyle w:val="-"/>
            <w:noProof/>
          </w:rPr>
          <w:t>Relaxation of prestressing steel</w:t>
        </w:r>
        <w:r w:rsidR="001353E5">
          <w:rPr>
            <w:noProof/>
            <w:webHidden/>
          </w:rPr>
          <w:tab/>
        </w:r>
        <w:r w:rsidR="001353E5">
          <w:rPr>
            <w:noProof/>
            <w:webHidden/>
          </w:rPr>
          <w:fldChar w:fldCharType="begin"/>
        </w:r>
        <w:r w:rsidR="001353E5">
          <w:rPr>
            <w:noProof/>
            <w:webHidden/>
          </w:rPr>
          <w:instrText xml:space="preserve"> PAGEREF _Toc67565527 \h </w:instrText>
        </w:r>
        <w:r w:rsidR="001353E5">
          <w:rPr>
            <w:noProof/>
            <w:webHidden/>
          </w:rPr>
        </w:r>
        <w:r w:rsidR="001353E5">
          <w:rPr>
            <w:noProof/>
            <w:webHidden/>
          </w:rPr>
          <w:fldChar w:fldCharType="separate"/>
        </w:r>
        <w:r w:rsidR="000250B6">
          <w:rPr>
            <w:noProof/>
            <w:webHidden/>
          </w:rPr>
          <w:t>251</w:t>
        </w:r>
        <w:r w:rsidR="001353E5">
          <w:rPr>
            <w:noProof/>
            <w:webHidden/>
          </w:rPr>
          <w:fldChar w:fldCharType="end"/>
        </w:r>
      </w:hyperlink>
    </w:p>
    <w:p w14:paraId="3ED7E58A" w14:textId="77777777" w:rsidR="001353E5" w:rsidRDefault="00231E33">
      <w:pPr>
        <w:pStyle w:val="10"/>
        <w:rPr>
          <w:rFonts w:asciiTheme="minorHAnsi" w:eastAsiaTheme="minorEastAsia" w:hAnsiTheme="minorHAnsi" w:cstheme="minorBidi"/>
          <w:b w:val="0"/>
          <w:noProof/>
          <w:szCs w:val="22"/>
          <w:lang w:eastAsia="en-GB"/>
        </w:rPr>
      </w:pPr>
      <w:hyperlink w:anchor="_Toc67565528" w:history="1">
        <w:r w:rsidR="001353E5" w:rsidRPr="00EB7E77">
          <w:rPr>
            <w:rStyle w:val="-"/>
            <w:noProof/>
          </w:rPr>
          <w:t>Annex C</w:t>
        </w:r>
        <w:r w:rsidR="001353E5" w:rsidRPr="00EB7E77">
          <w:rPr>
            <w:rStyle w:val="-"/>
            <w:bCs/>
            <w:noProof/>
          </w:rPr>
          <w:t xml:space="preserve"> (normative) </w:t>
        </w:r>
        <w:r w:rsidR="001353E5" w:rsidRPr="00EB7E77">
          <w:rPr>
            <w:rStyle w:val="-"/>
            <w:noProof/>
          </w:rPr>
          <w:t xml:space="preserve"> Requirements to materials</w:t>
        </w:r>
        <w:r w:rsidR="001353E5">
          <w:rPr>
            <w:noProof/>
            <w:webHidden/>
          </w:rPr>
          <w:tab/>
        </w:r>
        <w:r w:rsidR="001353E5">
          <w:rPr>
            <w:noProof/>
            <w:webHidden/>
          </w:rPr>
          <w:fldChar w:fldCharType="begin"/>
        </w:r>
        <w:r w:rsidR="001353E5">
          <w:rPr>
            <w:noProof/>
            <w:webHidden/>
          </w:rPr>
          <w:instrText xml:space="preserve"> PAGEREF _Toc67565528 \h </w:instrText>
        </w:r>
        <w:r w:rsidR="001353E5">
          <w:rPr>
            <w:noProof/>
            <w:webHidden/>
          </w:rPr>
        </w:r>
        <w:r w:rsidR="001353E5">
          <w:rPr>
            <w:noProof/>
            <w:webHidden/>
          </w:rPr>
          <w:fldChar w:fldCharType="separate"/>
        </w:r>
        <w:r w:rsidR="000250B6">
          <w:rPr>
            <w:noProof/>
            <w:webHidden/>
          </w:rPr>
          <w:t>253</w:t>
        </w:r>
        <w:r w:rsidR="001353E5">
          <w:rPr>
            <w:noProof/>
            <w:webHidden/>
          </w:rPr>
          <w:fldChar w:fldCharType="end"/>
        </w:r>
      </w:hyperlink>
    </w:p>
    <w:p w14:paraId="7B8DA231"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29" w:history="1">
        <w:r w:rsidR="001353E5" w:rsidRPr="00EB7E77">
          <w:rPr>
            <w:rStyle w:val="-"/>
            <w:noProof/>
          </w:rPr>
          <w:t>C.1</w:t>
        </w:r>
        <w:r w:rsidR="001353E5">
          <w:rPr>
            <w:rFonts w:asciiTheme="minorHAnsi" w:eastAsiaTheme="minorEastAsia" w:hAnsiTheme="minorHAnsi" w:cstheme="minorBidi"/>
            <w:b w:val="0"/>
            <w:noProof/>
            <w:szCs w:val="22"/>
            <w:lang w:eastAsia="en-GB"/>
          </w:rPr>
          <w:tab/>
        </w:r>
        <w:r w:rsidR="001353E5" w:rsidRPr="00EB7E77">
          <w:rPr>
            <w:rStyle w:val="-"/>
            <w:noProof/>
          </w:rPr>
          <w:t>Use of this annex</w:t>
        </w:r>
        <w:r w:rsidR="001353E5">
          <w:rPr>
            <w:noProof/>
            <w:webHidden/>
          </w:rPr>
          <w:tab/>
        </w:r>
        <w:r w:rsidR="001353E5">
          <w:rPr>
            <w:noProof/>
            <w:webHidden/>
          </w:rPr>
          <w:fldChar w:fldCharType="begin"/>
        </w:r>
        <w:r w:rsidR="001353E5">
          <w:rPr>
            <w:noProof/>
            <w:webHidden/>
          </w:rPr>
          <w:instrText xml:space="preserve"> PAGEREF _Toc67565529 \h </w:instrText>
        </w:r>
        <w:r w:rsidR="001353E5">
          <w:rPr>
            <w:noProof/>
            <w:webHidden/>
          </w:rPr>
        </w:r>
        <w:r w:rsidR="001353E5">
          <w:rPr>
            <w:noProof/>
            <w:webHidden/>
          </w:rPr>
          <w:fldChar w:fldCharType="separate"/>
        </w:r>
        <w:r w:rsidR="000250B6">
          <w:rPr>
            <w:noProof/>
            <w:webHidden/>
          </w:rPr>
          <w:t>253</w:t>
        </w:r>
        <w:r w:rsidR="001353E5">
          <w:rPr>
            <w:noProof/>
            <w:webHidden/>
          </w:rPr>
          <w:fldChar w:fldCharType="end"/>
        </w:r>
      </w:hyperlink>
    </w:p>
    <w:p w14:paraId="03942173"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30" w:history="1">
        <w:r w:rsidR="001353E5" w:rsidRPr="00EB7E77">
          <w:rPr>
            <w:rStyle w:val="-"/>
            <w:noProof/>
          </w:rPr>
          <w:t>C.2</w:t>
        </w:r>
        <w:r w:rsidR="001353E5">
          <w:rPr>
            <w:rFonts w:asciiTheme="minorHAnsi" w:eastAsiaTheme="minorEastAsia" w:hAnsiTheme="minorHAnsi" w:cstheme="minorBidi"/>
            <w:b w:val="0"/>
            <w:noProof/>
            <w:szCs w:val="22"/>
            <w:lang w:eastAsia="en-GB"/>
          </w:rPr>
          <w:tab/>
        </w:r>
        <w:r w:rsidR="001353E5" w:rsidRPr="00EB7E77">
          <w:rPr>
            <w:rStyle w:val="-"/>
            <w:noProof/>
          </w:rPr>
          <w:t>Scope and field of application</w:t>
        </w:r>
        <w:r w:rsidR="001353E5">
          <w:rPr>
            <w:noProof/>
            <w:webHidden/>
          </w:rPr>
          <w:tab/>
        </w:r>
        <w:r w:rsidR="001353E5">
          <w:rPr>
            <w:noProof/>
            <w:webHidden/>
          </w:rPr>
          <w:fldChar w:fldCharType="begin"/>
        </w:r>
        <w:r w:rsidR="001353E5">
          <w:rPr>
            <w:noProof/>
            <w:webHidden/>
          </w:rPr>
          <w:instrText xml:space="preserve"> PAGEREF _Toc67565530 \h </w:instrText>
        </w:r>
        <w:r w:rsidR="001353E5">
          <w:rPr>
            <w:noProof/>
            <w:webHidden/>
          </w:rPr>
        </w:r>
        <w:r w:rsidR="001353E5">
          <w:rPr>
            <w:noProof/>
            <w:webHidden/>
          </w:rPr>
          <w:fldChar w:fldCharType="separate"/>
        </w:r>
        <w:r w:rsidR="000250B6">
          <w:rPr>
            <w:noProof/>
            <w:webHidden/>
          </w:rPr>
          <w:t>253</w:t>
        </w:r>
        <w:r w:rsidR="001353E5">
          <w:rPr>
            <w:noProof/>
            <w:webHidden/>
          </w:rPr>
          <w:fldChar w:fldCharType="end"/>
        </w:r>
      </w:hyperlink>
    </w:p>
    <w:p w14:paraId="64D3DEC4"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31" w:history="1">
        <w:r w:rsidR="001353E5" w:rsidRPr="00EB7E77">
          <w:rPr>
            <w:rStyle w:val="-"/>
            <w:noProof/>
          </w:rPr>
          <w:t>C.3</w:t>
        </w:r>
        <w:r w:rsidR="001353E5">
          <w:rPr>
            <w:rFonts w:asciiTheme="minorHAnsi" w:eastAsiaTheme="minorEastAsia" w:hAnsiTheme="minorHAnsi" w:cstheme="minorBidi"/>
            <w:b w:val="0"/>
            <w:noProof/>
            <w:szCs w:val="22"/>
            <w:lang w:eastAsia="en-GB"/>
          </w:rPr>
          <w:tab/>
        </w:r>
        <w:r w:rsidR="001353E5" w:rsidRPr="00EB7E77">
          <w:rPr>
            <w:rStyle w:val="-"/>
            <w:noProof/>
          </w:rPr>
          <w:t>Concrete</w:t>
        </w:r>
        <w:r w:rsidR="001353E5">
          <w:rPr>
            <w:noProof/>
            <w:webHidden/>
          </w:rPr>
          <w:tab/>
        </w:r>
        <w:r w:rsidR="001353E5">
          <w:rPr>
            <w:noProof/>
            <w:webHidden/>
          </w:rPr>
          <w:fldChar w:fldCharType="begin"/>
        </w:r>
        <w:r w:rsidR="001353E5">
          <w:rPr>
            <w:noProof/>
            <w:webHidden/>
          </w:rPr>
          <w:instrText xml:space="preserve"> PAGEREF _Toc67565531 \h </w:instrText>
        </w:r>
        <w:r w:rsidR="001353E5">
          <w:rPr>
            <w:noProof/>
            <w:webHidden/>
          </w:rPr>
        </w:r>
        <w:r w:rsidR="001353E5">
          <w:rPr>
            <w:noProof/>
            <w:webHidden/>
          </w:rPr>
          <w:fldChar w:fldCharType="separate"/>
        </w:r>
        <w:r w:rsidR="000250B6">
          <w:rPr>
            <w:noProof/>
            <w:webHidden/>
          </w:rPr>
          <w:t>253</w:t>
        </w:r>
        <w:r w:rsidR="001353E5">
          <w:rPr>
            <w:noProof/>
            <w:webHidden/>
          </w:rPr>
          <w:fldChar w:fldCharType="end"/>
        </w:r>
      </w:hyperlink>
    </w:p>
    <w:p w14:paraId="2F15E291"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32" w:history="1">
        <w:r w:rsidR="001353E5" w:rsidRPr="00EB7E77">
          <w:rPr>
            <w:rStyle w:val="-"/>
            <w:noProof/>
          </w:rPr>
          <w:t>C.4</w:t>
        </w:r>
        <w:r w:rsidR="001353E5">
          <w:rPr>
            <w:rFonts w:asciiTheme="minorHAnsi" w:eastAsiaTheme="minorEastAsia" w:hAnsiTheme="minorHAnsi" w:cstheme="minorBidi"/>
            <w:b w:val="0"/>
            <w:noProof/>
            <w:szCs w:val="22"/>
            <w:lang w:eastAsia="en-GB"/>
          </w:rPr>
          <w:tab/>
        </w:r>
        <w:r w:rsidR="001353E5" w:rsidRPr="00EB7E77">
          <w:rPr>
            <w:rStyle w:val="-"/>
            <w:noProof/>
          </w:rPr>
          <w:t>Reinforcing Steel</w:t>
        </w:r>
        <w:r w:rsidR="001353E5">
          <w:rPr>
            <w:noProof/>
            <w:webHidden/>
          </w:rPr>
          <w:tab/>
        </w:r>
        <w:r w:rsidR="001353E5">
          <w:rPr>
            <w:noProof/>
            <w:webHidden/>
          </w:rPr>
          <w:fldChar w:fldCharType="begin"/>
        </w:r>
        <w:r w:rsidR="001353E5">
          <w:rPr>
            <w:noProof/>
            <w:webHidden/>
          </w:rPr>
          <w:instrText xml:space="preserve"> PAGEREF _Toc67565532 \h </w:instrText>
        </w:r>
        <w:r w:rsidR="001353E5">
          <w:rPr>
            <w:noProof/>
            <w:webHidden/>
          </w:rPr>
        </w:r>
        <w:r w:rsidR="001353E5">
          <w:rPr>
            <w:noProof/>
            <w:webHidden/>
          </w:rPr>
          <w:fldChar w:fldCharType="separate"/>
        </w:r>
        <w:r w:rsidR="000250B6">
          <w:rPr>
            <w:noProof/>
            <w:webHidden/>
          </w:rPr>
          <w:t>254</w:t>
        </w:r>
        <w:r w:rsidR="001353E5">
          <w:rPr>
            <w:noProof/>
            <w:webHidden/>
          </w:rPr>
          <w:fldChar w:fldCharType="end"/>
        </w:r>
      </w:hyperlink>
    </w:p>
    <w:p w14:paraId="75A19496"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33" w:history="1">
        <w:r w:rsidR="001353E5" w:rsidRPr="00EB7E77">
          <w:rPr>
            <w:rStyle w:val="-"/>
            <w:noProof/>
          </w:rPr>
          <w:t>C.5</w:t>
        </w:r>
        <w:r w:rsidR="001353E5">
          <w:rPr>
            <w:rFonts w:asciiTheme="minorHAnsi" w:eastAsiaTheme="minorEastAsia" w:hAnsiTheme="minorHAnsi" w:cstheme="minorBidi"/>
            <w:b w:val="0"/>
            <w:noProof/>
            <w:szCs w:val="22"/>
            <w:lang w:eastAsia="en-GB"/>
          </w:rPr>
          <w:tab/>
        </w:r>
        <w:r w:rsidR="001353E5" w:rsidRPr="00EB7E77">
          <w:rPr>
            <w:rStyle w:val="-"/>
            <w:noProof/>
          </w:rPr>
          <w:t>Prestressing steel</w:t>
        </w:r>
        <w:r w:rsidR="001353E5">
          <w:rPr>
            <w:noProof/>
            <w:webHidden/>
          </w:rPr>
          <w:tab/>
        </w:r>
        <w:r w:rsidR="001353E5">
          <w:rPr>
            <w:noProof/>
            <w:webHidden/>
          </w:rPr>
          <w:fldChar w:fldCharType="begin"/>
        </w:r>
        <w:r w:rsidR="001353E5">
          <w:rPr>
            <w:noProof/>
            <w:webHidden/>
          </w:rPr>
          <w:instrText xml:space="preserve"> PAGEREF _Toc67565533 \h </w:instrText>
        </w:r>
        <w:r w:rsidR="001353E5">
          <w:rPr>
            <w:noProof/>
            <w:webHidden/>
          </w:rPr>
        </w:r>
        <w:r w:rsidR="001353E5">
          <w:rPr>
            <w:noProof/>
            <w:webHidden/>
          </w:rPr>
          <w:fldChar w:fldCharType="separate"/>
        </w:r>
        <w:r w:rsidR="000250B6">
          <w:rPr>
            <w:noProof/>
            <w:webHidden/>
          </w:rPr>
          <w:t>256</w:t>
        </w:r>
        <w:r w:rsidR="001353E5">
          <w:rPr>
            <w:noProof/>
            <w:webHidden/>
          </w:rPr>
          <w:fldChar w:fldCharType="end"/>
        </w:r>
      </w:hyperlink>
    </w:p>
    <w:p w14:paraId="52CE3C5F"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34" w:history="1">
        <w:r w:rsidR="001353E5" w:rsidRPr="00EB7E77">
          <w:rPr>
            <w:rStyle w:val="-"/>
            <w:noProof/>
          </w:rPr>
          <w:t>C.6</w:t>
        </w:r>
        <w:r w:rsidR="001353E5">
          <w:rPr>
            <w:rFonts w:asciiTheme="minorHAnsi" w:eastAsiaTheme="minorEastAsia" w:hAnsiTheme="minorHAnsi" w:cstheme="minorBidi"/>
            <w:b w:val="0"/>
            <w:noProof/>
            <w:szCs w:val="22"/>
            <w:lang w:eastAsia="en-GB"/>
          </w:rPr>
          <w:tab/>
        </w:r>
        <w:r w:rsidR="001353E5" w:rsidRPr="00EB7E77">
          <w:rPr>
            <w:rStyle w:val="-"/>
            <w:noProof/>
          </w:rPr>
          <w:t>Couplers</w:t>
        </w:r>
        <w:r w:rsidR="001353E5">
          <w:rPr>
            <w:noProof/>
            <w:webHidden/>
          </w:rPr>
          <w:tab/>
        </w:r>
        <w:r w:rsidR="001353E5">
          <w:rPr>
            <w:noProof/>
            <w:webHidden/>
          </w:rPr>
          <w:fldChar w:fldCharType="begin"/>
        </w:r>
        <w:r w:rsidR="001353E5">
          <w:rPr>
            <w:noProof/>
            <w:webHidden/>
          </w:rPr>
          <w:instrText xml:space="preserve"> PAGEREF _Toc67565534 \h </w:instrText>
        </w:r>
        <w:r w:rsidR="001353E5">
          <w:rPr>
            <w:noProof/>
            <w:webHidden/>
          </w:rPr>
        </w:r>
        <w:r w:rsidR="001353E5">
          <w:rPr>
            <w:noProof/>
            <w:webHidden/>
          </w:rPr>
          <w:fldChar w:fldCharType="separate"/>
        </w:r>
        <w:r w:rsidR="000250B6">
          <w:rPr>
            <w:noProof/>
            <w:webHidden/>
          </w:rPr>
          <w:t>259</w:t>
        </w:r>
        <w:r w:rsidR="001353E5">
          <w:rPr>
            <w:noProof/>
            <w:webHidden/>
          </w:rPr>
          <w:fldChar w:fldCharType="end"/>
        </w:r>
      </w:hyperlink>
    </w:p>
    <w:p w14:paraId="4CEEE858"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35" w:history="1">
        <w:r w:rsidR="001353E5" w:rsidRPr="00EB7E77">
          <w:rPr>
            <w:rStyle w:val="-"/>
            <w:noProof/>
          </w:rPr>
          <w:t>C.7</w:t>
        </w:r>
        <w:r w:rsidR="001353E5">
          <w:rPr>
            <w:rFonts w:asciiTheme="minorHAnsi" w:eastAsiaTheme="minorEastAsia" w:hAnsiTheme="minorHAnsi" w:cstheme="minorBidi"/>
            <w:b w:val="0"/>
            <w:noProof/>
            <w:szCs w:val="22"/>
            <w:lang w:eastAsia="en-GB"/>
          </w:rPr>
          <w:tab/>
        </w:r>
        <w:r w:rsidR="001353E5" w:rsidRPr="00EB7E77">
          <w:rPr>
            <w:rStyle w:val="-"/>
            <w:noProof/>
          </w:rPr>
          <w:t>Headed bars</w:t>
        </w:r>
        <w:r w:rsidR="001353E5">
          <w:rPr>
            <w:noProof/>
            <w:webHidden/>
          </w:rPr>
          <w:tab/>
        </w:r>
        <w:r w:rsidR="001353E5">
          <w:rPr>
            <w:noProof/>
            <w:webHidden/>
          </w:rPr>
          <w:fldChar w:fldCharType="begin"/>
        </w:r>
        <w:r w:rsidR="001353E5">
          <w:rPr>
            <w:noProof/>
            <w:webHidden/>
          </w:rPr>
          <w:instrText xml:space="preserve"> PAGEREF _Toc67565535 \h </w:instrText>
        </w:r>
        <w:r w:rsidR="001353E5">
          <w:rPr>
            <w:noProof/>
            <w:webHidden/>
          </w:rPr>
        </w:r>
        <w:r w:rsidR="001353E5">
          <w:rPr>
            <w:noProof/>
            <w:webHidden/>
          </w:rPr>
          <w:fldChar w:fldCharType="separate"/>
        </w:r>
        <w:r w:rsidR="000250B6">
          <w:rPr>
            <w:noProof/>
            <w:webHidden/>
          </w:rPr>
          <w:t>260</w:t>
        </w:r>
        <w:r w:rsidR="001353E5">
          <w:rPr>
            <w:noProof/>
            <w:webHidden/>
          </w:rPr>
          <w:fldChar w:fldCharType="end"/>
        </w:r>
      </w:hyperlink>
    </w:p>
    <w:p w14:paraId="04545E06"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36" w:history="1">
        <w:r w:rsidR="001353E5" w:rsidRPr="00EB7E77">
          <w:rPr>
            <w:rStyle w:val="-"/>
            <w:noProof/>
          </w:rPr>
          <w:t>C.8</w:t>
        </w:r>
        <w:r w:rsidR="001353E5">
          <w:rPr>
            <w:rFonts w:asciiTheme="minorHAnsi" w:eastAsiaTheme="minorEastAsia" w:hAnsiTheme="minorHAnsi" w:cstheme="minorBidi"/>
            <w:b w:val="0"/>
            <w:noProof/>
            <w:szCs w:val="22"/>
            <w:lang w:eastAsia="en-GB"/>
          </w:rPr>
          <w:tab/>
        </w:r>
        <w:r w:rsidR="001353E5" w:rsidRPr="00EB7E77">
          <w:rPr>
            <w:rStyle w:val="-"/>
            <w:noProof/>
          </w:rPr>
          <w:t>Post-installed reinforcing steel systems</w:t>
        </w:r>
        <w:r w:rsidR="001353E5">
          <w:rPr>
            <w:noProof/>
            <w:webHidden/>
          </w:rPr>
          <w:tab/>
        </w:r>
        <w:r w:rsidR="001353E5">
          <w:rPr>
            <w:noProof/>
            <w:webHidden/>
          </w:rPr>
          <w:fldChar w:fldCharType="begin"/>
        </w:r>
        <w:r w:rsidR="001353E5">
          <w:rPr>
            <w:noProof/>
            <w:webHidden/>
          </w:rPr>
          <w:instrText xml:space="preserve"> PAGEREF _Toc67565536 \h </w:instrText>
        </w:r>
        <w:r w:rsidR="001353E5">
          <w:rPr>
            <w:noProof/>
            <w:webHidden/>
          </w:rPr>
        </w:r>
        <w:r w:rsidR="001353E5">
          <w:rPr>
            <w:noProof/>
            <w:webHidden/>
          </w:rPr>
          <w:fldChar w:fldCharType="separate"/>
        </w:r>
        <w:r w:rsidR="000250B6">
          <w:rPr>
            <w:noProof/>
            <w:webHidden/>
          </w:rPr>
          <w:t>260</w:t>
        </w:r>
        <w:r w:rsidR="001353E5">
          <w:rPr>
            <w:noProof/>
            <w:webHidden/>
          </w:rPr>
          <w:fldChar w:fldCharType="end"/>
        </w:r>
      </w:hyperlink>
    </w:p>
    <w:p w14:paraId="33A7CECB"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37" w:history="1">
        <w:r w:rsidR="001353E5" w:rsidRPr="00EB7E77">
          <w:rPr>
            <w:rStyle w:val="-"/>
            <w:noProof/>
          </w:rPr>
          <w:t>C.9</w:t>
        </w:r>
        <w:r w:rsidR="001353E5">
          <w:rPr>
            <w:rFonts w:asciiTheme="minorHAnsi" w:eastAsiaTheme="minorEastAsia" w:hAnsiTheme="minorHAnsi" w:cstheme="minorBidi"/>
            <w:b w:val="0"/>
            <w:noProof/>
            <w:szCs w:val="22"/>
            <w:lang w:eastAsia="en-GB"/>
          </w:rPr>
          <w:tab/>
        </w:r>
        <w:r w:rsidR="001353E5" w:rsidRPr="00EB7E77">
          <w:rPr>
            <w:rStyle w:val="-"/>
            <w:noProof/>
          </w:rPr>
          <w:t>Fibre Reinforced Polymer Reinforcement</w:t>
        </w:r>
        <w:r w:rsidR="001353E5">
          <w:rPr>
            <w:noProof/>
            <w:webHidden/>
          </w:rPr>
          <w:tab/>
        </w:r>
        <w:r w:rsidR="001353E5">
          <w:rPr>
            <w:noProof/>
            <w:webHidden/>
          </w:rPr>
          <w:fldChar w:fldCharType="begin"/>
        </w:r>
        <w:r w:rsidR="001353E5">
          <w:rPr>
            <w:noProof/>
            <w:webHidden/>
          </w:rPr>
          <w:instrText xml:space="preserve"> PAGEREF _Toc67565537 \h </w:instrText>
        </w:r>
        <w:r w:rsidR="001353E5">
          <w:rPr>
            <w:noProof/>
            <w:webHidden/>
          </w:rPr>
        </w:r>
        <w:r w:rsidR="001353E5">
          <w:rPr>
            <w:noProof/>
            <w:webHidden/>
          </w:rPr>
          <w:fldChar w:fldCharType="separate"/>
        </w:r>
        <w:r w:rsidR="000250B6">
          <w:rPr>
            <w:noProof/>
            <w:webHidden/>
          </w:rPr>
          <w:t>261</w:t>
        </w:r>
        <w:r w:rsidR="001353E5">
          <w:rPr>
            <w:noProof/>
            <w:webHidden/>
          </w:rPr>
          <w:fldChar w:fldCharType="end"/>
        </w:r>
      </w:hyperlink>
    </w:p>
    <w:p w14:paraId="47B50794" w14:textId="77777777" w:rsidR="001353E5" w:rsidRDefault="00231E33">
      <w:pPr>
        <w:pStyle w:val="10"/>
        <w:rPr>
          <w:rFonts w:asciiTheme="minorHAnsi" w:eastAsiaTheme="minorEastAsia" w:hAnsiTheme="minorHAnsi" w:cstheme="minorBidi"/>
          <w:b w:val="0"/>
          <w:noProof/>
          <w:szCs w:val="22"/>
          <w:lang w:eastAsia="en-GB"/>
        </w:rPr>
      </w:pPr>
      <w:hyperlink w:anchor="_Toc67565538" w:history="1">
        <w:r w:rsidR="001353E5" w:rsidRPr="00EB7E77">
          <w:rPr>
            <w:rStyle w:val="-"/>
            <w:noProof/>
          </w:rPr>
          <w:t>Annex D (informative)  Evaluation of early-age and long-term cracking due to restraint</w:t>
        </w:r>
        <w:r w:rsidR="001353E5">
          <w:rPr>
            <w:noProof/>
            <w:webHidden/>
          </w:rPr>
          <w:tab/>
        </w:r>
        <w:r w:rsidR="001353E5">
          <w:rPr>
            <w:noProof/>
            <w:webHidden/>
          </w:rPr>
          <w:fldChar w:fldCharType="begin"/>
        </w:r>
        <w:r w:rsidR="001353E5">
          <w:rPr>
            <w:noProof/>
            <w:webHidden/>
          </w:rPr>
          <w:instrText xml:space="preserve"> PAGEREF _Toc67565538 \h </w:instrText>
        </w:r>
        <w:r w:rsidR="001353E5">
          <w:rPr>
            <w:noProof/>
            <w:webHidden/>
          </w:rPr>
        </w:r>
        <w:r w:rsidR="001353E5">
          <w:rPr>
            <w:noProof/>
            <w:webHidden/>
          </w:rPr>
          <w:fldChar w:fldCharType="separate"/>
        </w:r>
        <w:r w:rsidR="000250B6">
          <w:rPr>
            <w:noProof/>
            <w:webHidden/>
          </w:rPr>
          <w:t>263</w:t>
        </w:r>
        <w:r w:rsidR="001353E5">
          <w:rPr>
            <w:noProof/>
            <w:webHidden/>
          </w:rPr>
          <w:fldChar w:fldCharType="end"/>
        </w:r>
      </w:hyperlink>
    </w:p>
    <w:p w14:paraId="06F09DB3"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39" w:history="1">
        <w:r w:rsidR="001353E5" w:rsidRPr="00EB7E77">
          <w:rPr>
            <w:rStyle w:val="-"/>
            <w:noProof/>
          </w:rPr>
          <w:t>D.1</w:t>
        </w:r>
        <w:r w:rsidR="001353E5">
          <w:rPr>
            <w:rFonts w:asciiTheme="minorHAnsi" w:eastAsiaTheme="minorEastAsia" w:hAnsiTheme="minorHAnsi" w:cstheme="minorBidi"/>
            <w:b w:val="0"/>
            <w:noProof/>
            <w:szCs w:val="22"/>
            <w:lang w:eastAsia="en-GB"/>
          </w:rPr>
          <w:tab/>
        </w:r>
        <w:r w:rsidR="001353E5" w:rsidRPr="00EB7E77">
          <w:rPr>
            <w:rStyle w:val="-"/>
            <w:noProof/>
          </w:rPr>
          <w:t>Use of this annex</w:t>
        </w:r>
        <w:r w:rsidR="001353E5">
          <w:rPr>
            <w:noProof/>
            <w:webHidden/>
          </w:rPr>
          <w:tab/>
        </w:r>
        <w:r w:rsidR="001353E5">
          <w:rPr>
            <w:noProof/>
            <w:webHidden/>
          </w:rPr>
          <w:fldChar w:fldCharType="begin"/>
        </w:r>
        <w:r w:rsidR="001353E5">
          <w:rPr>
            <w:noProof/>
            <w:webHidden/>
          </w:rPr>
          <w:instrText xml:space="preserve"> PAGEREF _Toc67565539 \h </w:instrText>
        </w:r>
        <w:r w:rsidR="001353E5">
          <w:rPr>
            <w:noProof/>
            <w:webHidden/>
          </w:rPr>
        </w:r>
        <w:r w:rsidR="001353E5">
          <w:rPr>
            <w:noProof/>
            <w:webHidden/>
          </w:rPr>
          <w:fldChar w:fldCharType="separate"/>
        </w:r>
        <w:r w:rsidR="000250B6">
          <w:rPr>
            <w:noProof/>
            <w:webHidden/>
          </w:rPr>
          <w:t>263</w:t>
        </w:r>
        <w:r w:rsidR="001353E5">
          <w:rPr>
            <w:noProof/>
            <w:webHidden/>
          </w:rPr>
          <w:fldChar w:fldCharType="end"/>
        </w:r>
      </w:hyperlink>
    </w:p>
    <w:p w14:paraId="57DE82D7"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40" w:history="1">
        <w:r w:rsidR="001353E5" w:rsidRPr="00EB7E77">
          <w:rPr>
            <w:rStyle w:val="-"/>
            <w:noProof/>
          </w:rPr>
          <w:t>D.2</w:t>
        </w:r>
        <w:r w:rsidR="001353E5">
          <w:rPr>
            <w:rFonts w:asciiTheme="minorHAnsi" w:eastAsiaTheme="minorEastAsia" w:hAnsiTheme="minorHAnsi" w:cstheme="minorBidi"/>
            <w:b w:val="0"/>
            <w:noProof/>
            <w:szCs w:val="22"/>
            <w:lang w:eastAsia="en-GB"/>
          </w:rPr>
          <w:tab/>
        </w:r>
        <w:r w:rsidR="001353E5" w:rsidRPr="00EB7E77">
          <w:rPr>
            <w:rStyle w:val="-"/>
            <w:noProof/>
          </w:rPr>
          <w:t>Scope and field of application</w:t>
        </w:r>
        <w:r w:rsidR="001353E5">
          <w:rPr>
            <w:noProof/>
            <w:webHidden/>
          </w:rPr>
          <w:tab/>
        </w:r>
        <w:r w:rsidR="001353E5">
          <w:rPr>
            <w:noProof/>
            <w:webHidden/>
          </w:rPr>
          <w:fldChar w:fldCharType="begin"/>
        </w:r>
        <w:r w:rsidR="001353E5">
          <w:rPr>
            <w:noProof/>
            <w:webHidden/>
          </w:rPr>
          <w:instrText xml:space="preserve"> PAGEREF _Toc67565540 \h </w:instrText>
        </w:r>
        <w:r w:rsidR="001353E5">
          <w:rPr>
            <w:noProof/>
            <w:webHidden/>
          </w:rPr>
        </w:r>
        <w:r w:rsidR="001353E5">
          <w:rPr>
            <w:noProof/>
            <w:webHidden/>
          </w:rPr>
          <w:fldChar w:fldCharType="separate"/>
        </w:r>
        <w:r w:rsidR="000250B6">
          <w:rPr>
            <w:noProof/>
            <w:webHidden/>
          </w:rPr>
          <w:t>263</w:t>
        </w:r>
        <w:r w:rsidR="001353E5">
          <w:rPr>
            <w:noProof/>
            <w:webHidden/>
          </w:rPr>
          <w:fldChar w:fldCharType="end"/>
        </w:r>
      </w:hyperlink>
    </w:p>
    <w:p w14:paraId="0E4E4F65"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41" w:history="1">
        <w:r w:rsidR="001353E5" w:rsidRPr="00EB7E77">
          <w:rPr>
            <w:rStyle w:val="-"/>
            <w:noProof/>
          </w:rPr>
          <w:t>D.3</w:t>
        </w:r>
        <w:r w:rsidR="001353E5">
          <w:rPr>
            <w:rFonts w:asciiTheme="minorHAnsi" w:eastAsiaTheme="minorEastAsia" w:hAnsiTheme="minorHAnsi" w:cstheme="minorBidi"/>
            <w:b w:val="0"/>
            <w:noProof/>
            <w:szCs w:val="22"/>
            <w:lang w:eastAsia="en-GB"/>
          </w:rPr>
          <w:tab/>
        </w:r>
        <w:r w:rsidR="001353E5" w:rsidRPr="00EB7E77">
          <w:rPr>
            <w:rStyle w:val="-"/>
            <w:noProof/>
          </w:rPr>
          <w:t>General</w:t>
        </w:r>
        <w:r w:rsidR="001353E5">
          <w:rPr>
            <w:noProof/>
            <w:webHidden/>
          </w:rPr>
          <w:tab/>
        </w:r>
        <w:r w:rsidR="001353E5">
          <w:rPr>
            <w:noProof/>
            <w:webHidden/>
          </w:rPr>
          <w:fldChar w:fldCharType="begin"/>
        </w:r>
        <w:r w:rsidR="001353E5">
          <w:rPr>
            <w:noProof/>
            <w:webHidden/>
          </w:rPr>
          <w:instrText xml:space="preserve"> PAGEREF _Toc67565541 \h </w:instrText>
        </w:r>
        <w:r w:rsidR="001353E5">
          <w:rPr>
            <w:noProof/>
            <w:webHidden/>
          </w:rPr>
        </w:r>
        <w:r w:rsidR="001353E5">
          <w:rPr>
            <w:noProof/>
            <w:webHidden/>
          </w:rPr>
          <w:fldChar w:fldCharType="separate"/>
        </w:r>
        <w:r w:rsidR="000250B6">
          <w:rPr>
            <w:noProof/>
            <w:webHidden/>
          </w:rPr>
          <w:t>263</w:t>
        </w:r>
        <w:r w:rsidR="001353E5">
          <w:rPr>
            <w:noProof/>
            <w:webHidden/>
          </w:rPr>
          <w:fldChar w:fldCharType="end"/>
        </w:r>
      </w:hyperlink>
    </w:p>
    <w:p w14:paraId="6D488EA2"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42" w:history="1">
        <w:r w:rsidR="001353E5" w:rsidRPr="00EB7E77">
          <w:rPr>
            <w:rStyle w:val="-"/>
            <w:noProof/>
          </w:rPr>
          <w:t>D.4</w:t>
        </w:r>
        <w:r w:rsidR="001353E5">
          <w:rPr>
            <w:rFonts w:asciiTheme="minorHAnsi" w:eastAsiaTheme="minorEastAsia" w:hAnsiTheme="minorHAnsi" w:cstheme="minorBidi"/>
            <w:b w:val="0"/>
            <w:noProof/>
            <w:szCs w:val="22"/>
            <w:lang w:eastAsia="en-GB"/>
          </w:rPr>
          <w:tab/>
        </w:r>
        <w:r w:rsidR="001353E5" w:rsidRPr="00EB7E77">
          <w:rPr>
            <w:rStyle w:val="-"/>
            <w:noProof/>
          </w:rPr>
          <w:t>Assessment of temperature history</w:t>
        </w:r>
        <w:r w:rsidR="001353E5">
          <w:rPr>
            <w:noProof/>
            <w:webHidden/>
          </w:rPr>
          <w:tab/>
        </w:r>
        <w:r w:rsidR="001353E5">
          <w:rPr>
            <w:noProof/>
            <w:webHidden/>
          </w:rPr>
          <w:fldChar w:fldCharType="begin"/>
        </w:r>
        <w:r w:rsidR="001353E5">
          <w:rPr>
            <w:noProof/>
            <w:webHidden/>
          </w:rPr>
          <w:instrText xml:space="preserve"> PAGEREF _Toc67565542 \h </w:instrText>
        </w:r>
        <w:r w:rsidR="001353E5">
          <w:rPr>
            <w:noProof/>
            <w:webHidden/>
          </w:rPr>
        </w:r>
        <w:r w:rsidR="001353E5">
          <w:rPr>
            <w:noProof/>
            <w:webHidden/>
          </w:rPr>
          <w:fldChar w:fldCharType="separate"/>
        </w:r>
        <w:r w:rsidR="000250B6">
          <w:rPr>
            <w:noProof/>
            <w:webHidden/>
          </w:rPr>
          <w:t>264</w:t>
        </w:r>
        <w:r w:rsidR="001353E5">
          <w:rPr>
            <w:noProof/>
            <w:webHidden/>
          </w:rPr>
          <w:fldChar w:fldCharType="end"/>
        </w:r>
      </w:hyperlink>
    </w:p>
    <w:p w14:paraId="1394DEDB"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43" w:history="1">
        <w:r w:rsidR="001353E5" w:rsidRPr="00EB7E77">
          <w:rPr>
            <w:rStyle w:val="-"/>
            <w:noProof/>
          </w:rPr>
          <w:t>D.5</w:t>
        </w:r>
        <w:r w:rsidR="001353E5">
          <w:rPr>
            <w:rFonts w:asciiTheme="minorHAnsi" w:eastAsiaTheme="minorEastAsia" w:hAnsiTheme="minorHAnsi" w:cstheme="minorBidi"/>
            <w:b w:val="0"/>
            <w:noProof/>
            <w:szCs w:val="22"/>
            <w:lang w:eastAsia="en-GB"/>
          </w:rPr>
          <w:tab/>
        </w:r>
        <w:r w:rsidR="001353E5" w:rsidRPr="00EB7E77">
          <w:rPr>
            <w:rStyle w:val="-"/>
            <w:noProof/>
          </w:rPr>
          <w:t>Stress calculations</w:t>
        </w:r>
        <w:r w:rsidR="001353E5">
          <w:rPr>
            <w:noProof/>
            <w:webHidden/>
          </w:rPr>
          <w:tab/>
        </w:r>
        <w:r w:rsidR="001353E5">
          <w:rPr>
            <w:noProof/>
            <w:webHidden/>
          </w:rPr>
          <w:fldChar w:fldCharType="begin"/>
        </w:r>
        <w:r w:rsidR="001353E5">
          <w:rPr>
            <w:noProof/>
            <w:webHidden/>
          </w:rPr>
          <w:instrText xml:space="preserve"> PAGEREF _Toc67565543 \h </w:instrText>
        </w:r>
        <w:r w:rsidR="001353E5">
          <w:rPr>
            <w:noProof/>
            <w:webHidden/>
          </w:rPr>
        </w:r>
        <w:r w:rsidR="001353E5">
          <w:rPr>
            <w:noProof/>
            <w:webHidden/>
          </w:rPr>
          <w:fldChar w:fldCharType="separate"/>
        </w:r>
        <w:r w:rsidR="000250B6">
          <w:rPr>
            <w:noProof/>
            <w:webHidden/>
          </w:rPr>
          <w:t>266</w:t>
        </w:r>
        <w:r w:rsidR="001353E5">
          <w:rPr>
            <w:noProof/>
            <w:webHidden/>
          </w:rPr>
          <w:fldChar w:fldCharType="end"/>
        </w:r>
      </w:hyperlink>
    </w:p>
    <w:p w14:paraId="513630BA"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44" w:history="1">
        <w:r w:rsidR="001353E5" w:rsidRPr="00EB7E77">
          <w:rPr>
            <w:rStyle w:val="-"/>
            <w:noProof/>
          </w:rPr>
          <w:t>D.6</w:t>
        </w:r>
        <w:r w:rsidR="001353E5">
          <w:rPr>
            <w:rFonts w:asciiTheme="minorHAnsi" w:eastAsiaTheme="minorEastAsia" w:hAnsiTheme="minorHAnsi" w:cstheme="minorBidi"/>
            <w:b w:val="0"/>
            <w:noProof/>
            <w:szCs w:val="22"/>
            <w:lang w:eastAsia="en-GB"/>
          </w:rPr>
          <w:tab/>
        </w:r>
        <w:r w:rsidR="001353E5" w:rsidRPr="00EB7E77">
          <w:rPr>
            <w:rStyle w:val="-"/>
            <w:noProof/>
          </w:rPr>
          <w:t>Crack width calculations</w:t>
        </w:r>
        <w:r w:rsidR="001353E5">
          <w:rPr>
            <w:noProof/>
            <w:webHidden/>
          </w:rPr>
          <w:tab/>
        </w:r>
        <w:r w:rsidR="001353E5">
          <w:rPr>
            <w:noProof/>
            <w:webHidden/>
          </w:rPr>
          <w:fldChar w:fldCharType="begin"/>
        </w:r>
        <w:r w:rsidR="001353E5">
          <w:rPr>
            <w:noProof/>
            <w:webHidden/>
          </w:rPr>
          <w:instrText xml:space="preserve"> PAGEREF _Toc67565544 \h </w:instrText>
        </w:r>
        <w:r w:rsidR="001353E5">
          <w:rPr>
            <w:noProof/>
            <w:webHidden/>
          </w:rPr>
        </w:r>
        <w:r w:rsidR="001353E5">
          <w:rPr>
            <w:noProof/>
            <w:webHidden/>
          </w:rPr>
          <w:fldChar w:fldCharType="separate"/>
        </w:r>
        <w:r w:rsidR="000250B6">
          <w:rPr>
            <w:noProof/>
            <w:webHidden/>
          </w:rPr>
          <w:t>267</w:t>
        </w:r>
        <w:r w:rsidR="001353E5">
          <w:rPr>
            <w:noProof/>
            <w:webHidden/>
          </w:rPr>
          <w:fldChar w:fldCharType="end"/>
        </w:r>
      </w:hyperlink>
    </w:p>
    <w:p w14:paraId="26F8401D" w14:textId="77777777" w:rsidR="001353E5" w:rsidRDefault="00231E33">
      <w:pPr>
        <w:pStyle w:val="10"/>
        <w:rPr>
          <w:rFonts w:asciiTheme="minorHAnsi" w:eastAsiaTheme="minorEastAsia" w:hAnsiTheme="minorHAnsi" w:cstheme="minorBidi"/>
          <w:b w:val="0"/>
          <w:noProof/>
          <w:szCs w:val="22"/>
          <w:lang w:eastAsia="en-GB"/>
        </w:rPr>
      </w:pPr>
      <w:hyperlink w:anchor="_Toc67565545" w:history="1">
        <w:r w:rsidR="001353E5" w:rsidRPr="00EB7E77">
          <w:rPr>
            <w:rStyle w:val="-"/>
            <w:noProof/>
          </w:rPr>
          <w:t>Annex E (normative)  Additional rules for fatigue verification</w:t>
        </w:r>
        <w:r w:rsidR="001353E5">
          <w:rPr>
            <w:noProof/>
            <w:webHidden/>
          </w:rPr>
          <w:tab/>
        </w:r>
        <w:r w:rsidR="001353E5">
          <w:rPr>
            <w:noProof/>
            <w:webHidden/>
          </w:rPr>
          <w:fldChar w:fldCharType="begin"/>
        </w:r>
        <w:r w:rsidR="001353E5">
          <w:rPr>
            <w:noProof/>
            <w:webHidden/>
          </w:rPr>
          <w:instrText xml:space="preserve"> PAGEREF _Toc67565545 \h </w:instrText>
        </w:r>
        <w:r w:rsidR="001353E5">
          <w:rPr>
            <w:noProof/>
            <w:webHidden/>
          </w:rPr>
        </w:r>
        <w:r w:rsidR="001353E5">
          <w:rPr>
            <w:noProof/>
            <w:webHidden/>
          </w:rPr>
          <w:fldChar w:fldCharType="separate"/>
        </w:r>
        <w:r w:rsidR="000250B6">
          <w:rPr>
            <w:noProof/>
            <w:webHidden/>
          </w:rPr>
          <w:t>268</w:t>
        </w:r>
        <w:r w:rsidR="001353E5">
          <w:rPr>
            <w:noProof/>
            <w:webHidden/>
          </w:rPr>
          <w:fldChar w:fldCharType="end"/>
        </w:r>
      </w:hyperlink>
    </w:p>
    <w:p w14:paraId="1CC06BA2"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46" w:history="1">
        <w:r w:rsidR="001353E5" w:rsidRPr="00EB7E77">
          <w:rPr>
            <w:rStyle w:val="-"/>
            <w:noProof/>
          </w:rPr>
          <w:t>E.1</w:t>
        </w:r>
        <w:r w:rsidR="001353E5">
          <w:rPr>
            <w:rFonts w:asciiTheme="minorHAnsi" w:eastAsiaTheme="minorEastAsia" w:hAnsiTheme="minorHAnsi" w:cstheme="minorBidi"/>
            <w:b w:val="0"/>
            <w:noProof/>
            <w:szCs w:val="22"/>
            <w:lang w:eastAsia="en-GB"/>
          </w:rPr>
          <w:tab/>
        </w:r>
        <w:r w:rsidR="001353E5" w:rsidRPr="00EB7E77">
          <w:rPr>
            <w:rStyle w:val="-"/>
            <w:noProof/>
          </w:rPr>
          <w:t>Use of this annex</w:t>
        </w:r>
        <w:r w:rsidR="001353E5">
          <w:rPr>
            <w:noProof/>
            <w:webHidden/>
          </w:rPr>
          <w:tab/>
        </w:r>
        <w:r w:rsidR="001353E5">
          <w:rPr>
            <w:noProof/>
            <w:webHidden/>
          </w:rPr>
          <w:fldChar w:fldCharType="begin"/>
        </w:r>
        <w:r w:rsidR="001353E5">
          <w:rPr>
            <w:noProof/>
            <w:webHidden/>
          </w:rPr>
          <w:instrText xml:space="preserve"> PAGEREF _Toc67565546 \h </w:instrText>
        </w:r>
        <w:r w:rsidR="001353E5">
          <w:rPr>
            <w:noProof/>
            <w:webHidden/>
          </w:rPr>
        </w:r>
        <w:r w:rsidR="001353E5">
          <w:rPr>
            <w:noProof/>
            <w:webHidden/>
          </w:rPr>
          <w:fldChar w:fldCharType="separate"/>
        </w:r>
        <w:r w:rsidR="000250B6">
          <w:rPr>
            <w:noProof/>
            <w:webHidden/>
          </w:rPr>
          <w:t>268</w:t>
        </w:r>
        <w:r w:rsidR="001353E5">
          <w:rPr>
            <w:noProof/>
            <w:webHidden/>
          </w:rPr>
          <w:fldChar w:fldCharType="end"/>
        </w:r>
      </w:hyperlink>
    </w:p>
    <w:p w14:paraId="1CEDEA30"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47" w:history="1">
        <w:r w:rsidR="001353E5" w:rsidRPr="00EB7E77">
          <w:rPr>
            <w:rStyle w:val="-"/>
            <w:noProof/>
          </w:rPr>
          <w:t>E.2</w:t>
        </w:r>
        <w:r w:rsidR="001353E5">
          <w:rPr>
            <w:rFonts w:asciiTheme="minorHAnsi" w:eastAsiaTheme="minorEastAsia" w:hAnsiTheme="minorHAnsi" w:cstheme="minorBidi"/>
            <w:b w:val="0"/>
            <w:noProof/>
            <w:szCs w:val="22"/>
            <w:lang w:eastAsia="en-GB"/>
          </w:rPr>
          <w:tab/>
        </w:r>
        <w:r w:rsidR="001353E5" w:rsidRPr="00EB7E77">
          <w:rPr>
            <w:rStyle w:val="-"/>
            <w:noProof/>
          </w:rPr>
          <w:t>Scope and field of application</w:t>
        </w:r>
        <w:r w:rsidR="001353E5">
          <w:rPr>
            <w:noProof/>
            <w:webHidden/>
          </w:rPr>
          <w:tab/>
        </w:r>
        <w:r w:rsidR="001353E5">
          <w:rPr>
            <w:noProof/>
            <w:webHidden/>
          </w:rPr>
          <w:fldChar w:fldCharType="begin"/>
        </w:r>
        <w:r w:rsidR="001353E5">
          <w:rPr>
            <w:noProof/>
            <w:webHidden/>
          </w:rPr>
          <w:instrText xml:space="preserve"> PAGEREF _Toc67565547 \h </w:instrText>
        </w:r>
        <w:r w:rsidR="001353E5">
          <w:rPr>
            <w:noProof/>
            <w:webHidden/>
          </w:rPr>
        </w:r>
        <w:r w:rsidR="001353E5">
          <w:rPr>
            <w:noProof/>
            <w:webHidden/>
          </w:rPr>
          <w:fldChar w:fldCharType="separate"/>
        </w:r>
        <w:r w:rsidR="000250B6">
          <w:rPr>
            <w:noProof/>
            <w:webHidden/>
          </w:rPr>
          <w:t>268</w:t>
        </w:r>
        <w:r w:rsidR="001353E5">
          <w:rPr>
            <w:noProof/>
            <w:webHidden/>
          </w:rPr>
          <w:fldChar w:fldCharType="end"/>
        </w:r>
      </w:hyperlink>
    </w:p>
    <w:p w14:paraId="6E3E0016"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48" w:history="1">
        <w:r w:rsidR="001353E5" w:rsidRPr="00EB7E77">
          <w:rPr>
            <w:rStyle w:val="-"/>
            <w:noProof/>
          </w:rPr>
          <w:t>E.3</w:t>
        </w:r>
        <w:r w:rsidR="001353E5">
          <w:rPr>
            <w:rFonts w:asciiTheme="minorHAnsi" w:eastAsiaTheme="minorEastAsia" w:hAnsiTheme="minorHAnsi" w:cstheme="minorBidi"/>
            <w:b w:val="0"/>
            <w:noProof/>
            <w:szCs w:val="22"/>
            <w:lang w:eastAsia="en-GB"/>
          </w:rPr>
          <w:tab/>
        </w:r>
        <w:r w:rsidR="001353E5" w:rsidRPr="00EB7E77">
          <w:rPr>
            <w:rStyle w:val="-"/>
            <w:noProof/>
          </w:rPr>
          <w:t>General</w:t>
        </w:r>
        <w:r w:rsidR="001353E5">
          <w:rPr>
            <w:noProof/>
            <w:webHidden/>
          </w:rPr>
          <w:tab/>
        </w:r>
        <w:r w:rsidR="001353E5">
          <w:rPr>
            <w:noProof/>
            <w:webHidden/>
          </w:rPr>
          <w:fldChar w:fldCharType="begin"/>
        </w:r>
        <w:r w:rsidR="001353E5">
          <w:rPr>
            <w:noProof/>
            <w:webHidden/>
          </w:rPr>
          <w:instrText xml:space="preserve"> PAGEREF _Toc67565548 \h </w:instrText>
        </w:r>
        <w:r w:rsidR="001353E5">
          <w:rPr>
            <w:noProof/>
            <w:webHidden/>
          </w:rPr>
        </w:r>
        <w:r w:rsidR="001353E5">
          <w:rPr>
            <w:noProof/>
            <w:webHidden/>
          </w:rPr>
          <w:fldChar w:fldCharType="separate"/>
        </w:r>
        <w:r w:rsidR="000250B6">
          <w:rPr>
            <w:noProof/>
            <w:webHidden/>
          </w:rPr>
          <w:t>268</w:t>
        </w:r>
        <w:r w:rsidR="001353E5">
          <w:rPr>
            <w:noProof/>
            <w:webHidden/>
          </w:rPr>
          <w:fldChar w:fldCharType="end"/>
        </w:r>
      </w:hyperlink>
    </w:p>
    <w:p w14:paraId="5B96453A"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49" w:history="1">
        <w:r w:rsidR="001353E5" w:rsidRPr="00EB7E77">
          <w:rPr>
            <w:rStyle w:val="-"/>
            <w:noProof/>
          </w:rPr>
          <w:t>E.4</w:t>
        </w:r>
        <w:r w:rsidR="001353E5">
          <w:rPr>
            <w:rFonts w:asciiTheme="minorHAnsi" w:eastAsiaTheme="minorEastAsia" w:hAnsiTheme="minorHAnsi" w:cstheme="minorBidi"/>
            <w:b w:val="0"/>
            <w:noProof/>
            <w:szCs w:val="22"/>
            <w:lang w:eastAsia="en-GB"/>
          </w:rPr>
          <w:tab/>
        </w:r>
        <w:r w:rsidR="001353E5" w:rsidRPr="00EB7E77">
          <w:rPr>
            <w:rStyle w:val="-"/>
            <w:noProof/>
          </w:rPr>
          <w:t>Verification using damage equivalent stress range</w:t>
        </w:r>
        <w:r w:rsidR="001353E5">
          <w:rPr>
            <w:noProof/>
            <w:webHidden/>
          </w:rPr>
          <w:tab/>
        </w:r>
        <w:r w:rsidR="001353E5">
          <w:rPr>
            <w:noProof/>
            <w:webHidden/>
          </w:rPr>
          <w:fldChar w:fldCharType="begin"/>
        </w:r>
        <w:r w:rsidR="001353E5">
          <w:rPr>
            <w:noProof/>
            <w:webHidden/>
          </w:rPr>
          <w:instrText xml:space="preserve"> PAGEREF _Toc67565549 \h </w:instrText>
        </w:r>
        <w:r w:rsidR="001353E5">
          <w:rPr>
            <w:noProof/>
            <w:webHidden/>
          </w:rPr>
        </w:r>
        <w:r w:rsidR="001353E5">
          <w:rPr>
            <w:noProof/>
            <w:webHidden/>
          </w:rPr>
          <w:fldChar w:fldCharType="separate"/>
        </w:r>
        <w:r w:rsidR="000250B6">
          <w:rPr>
            <w:noProof/>
            <w:webHidden/>
          </w:rPr>
          <w:t>268</w:t>
        </w:r>
        <w:r w:rsidR="001353E5">
          <w:rPr>
            <w:noProof/>
            <w:webHidden/>
          </w:rPr>
          <w:fldChar w:fldCharType="end"/>
        </w:r>
      </w:hyperlink>
    </w:p>
    <w:p w14:paraId="2EEA9804"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50" w:history="1">
        <w:r w:rsidR="001353E5" w:rsidRPr="00EB7E77">
          <w:rPr>
            <w:rStyle w:val="-"/>
            <w:noProof/>
          </w:rPr>
          <w:t>E.5</w:t>
        </w:r>
        <w:r w:rsidR="001353E5">
          <w:rPr>
            <w:rFonts w:asciiTheme="minorHAnsi" w:eastAsiaTheme="minorEastAsia" w:hAnsiTheme="minorHAnsi" w:cstheme="minorBidi"/>
            <w:b w:val="0"/>
            <w:noProof/>
            <w:szCs w:val="22"/>
            <w:lang w:eastAsia="en-GB"/>
          </w:rPr>
          <w:tab/>
        </w:r>
        <w:r w:rsidR="001353E5" w:rsidRPr="00EB7E77">
          <w:rPr>
            <w:rStyle w:val="-"/>
            <w:noProof/>
          </w:rPr>
          <w:t xml:space="preserve">Explicit verifications using </w:t>
        </w:r>
        <w:r w:rsidR="001353E5" w:rsidRPr="00EB7E77">
          <w:rPr>
            <w:rStyle w:val="-"/>
            <w:i/>
            <w:iCs/>
            <w:noProof/>
          </w:rPr>
          <w:t>Palmgren-Miner</w:t>
        </w:r>
        <w:r w:rsidR="001353E5" w:rsidRPr="00EB7E77">
          <w:rPr>
            <w:rStyle w:val="-"/>
            <w:noProof/>
          </w:rPr>
          <w:t xml:space="preserve"> Rule</w:t>
        </w:r>
        <w:r w:rsidR="001353E5">
          <w:rPr>
            <w:noProof/>
            <w:webHidden/>
          </w:rPr>
          <w:tab/>
        </w:r>
        <w:r w:rsidR="001353E5">
          <w:rPr>
            <w:noProof/>
            <w:webHidden/>
          </w:rPr>
          <w:fldChar w:fldCharType="begin"/>
        </w:r>
        <w:r w:rsidR="001353E5">
          <w:rPr>
            <w:noProof/>
            <w:webHidden/>
          </w:rPr>
          <w:instrText xml:space="preserve"> PAGEREF _Toc67565550 \h </w:instrText>
        </w:r>
        <w:r w:rsidR="001353E5">
          <w:rPr>
            <w:noProof/>
            <w:webHidden/>
          </w:rPr>
        </w:r>
        <w:r w:rsidR="001353E5">
          <w:rPr>
            <w:noProof/>
            <w:webHidden/>
          </w:rPr>
          <w:fldChar w:fldCharType="separate"/>
        </w:r>
        <w:r w:rsidR="000250B6">
          <w:rPr>
            <w:noProof/>
            <w:webHidden/>
          </w:rPr>
          <w:t>270</w:t>
        </w:r>
        <w:r w:rsidR="001353E5">
          <w:rPr>
            <w:noProof/>
            <w:webHidden/>
          </w:rPr>
          <w:fldChar w:fldCharType="end"/>
        </w:r>
      </w:hyperlink>
    </w:p>
    <w:p w14:paraId="78D6920A" w14:textId="77777777" w:rsidR="001353E5" w:rsidRDefault="00231E33">
      <w:pPr>
        <w:pStyle w:val="10"/>
        <w:rPr>
          <w:rFonts w:asciiTheme="minorHAnsi" w:eastAsiaTheme="minorEastAsia" w:hAnsiTheme="minorHAnsi" w:cstheme="minorBidi"/>
          <w:b w:val="0"/>
          <w:noProof/>
          <w:szCs w:val="22"/>
          <w:lang w:eastAsia="en-GB"/>
        </w:rPr>
      </w:pPr>
      <w:hyperlink w:anchor="_Toc67565551" w:history="1">
        <w:r w:rsidR="001353E5" w:rsidRPr="00EB7E77">
          <w:rPr>
            <w:rStyle w:val="-"/>
            <w:noProof/>
          </w:rPr>
          <w:t>Annex F (informative)  Non-linear analyses procedures</w:t>
        </w:r>
        <w:r w:rsidR="001353E5">
          <w:rPr>
            <w:noProof/>
            <w:webHidden/>
          </w:rPr>
          <w:tab/>
        </w:r>
        <w:r w:rsidR="001353E5">
          <w:rPr>
            <w:noProof/>
            <w:webHidden/>
          </w:rPr>
          <w:fldChar w:fldCharType="begin"/>
        </w:r>
        <w:r w:rsidR="001353E5">
          <w:rPr>
            <w:noProof/>
            <w:webHidden/>
          </w:rPr>
          <w:instrText xml:space="preserve"> PAGEREF _Toc67565551 \h </w:instrText>
        </w:r>
        <w:r w:rsidR="001353E5">
          <w:rPr>
            <w:noProof/>
            <w:webHidden/>
          </w:rPr>
        </w:r>
        <w:r w:rsidR="001353E5">
          <w:rPr>
            <w:noProof/>
            <w:webHidden/>
          </w:rPr>
          <w:fldChar w:fldCharType="separate"/>
        </w:r>
        <w:r w:rsidR="000250B6">
          <w:rPr>
            <w:noProof/>
            <w:webHidden/>
          </w:rPr>
          <w:t>273</w:t>
        </w:r>
        <w:r w:rsidR="001353E5">
          <w:rPr>
            <w:noProof/>
            <w:webHidden/>
          </w:rPr>
          <w:fldChar w:fldCharType="end"/>
        </w:r>
      </w:hyperlink>
    </w:p>
    <w:p w14:paraId="5AAD7980" w14:textId="77777777" w:rsidR="001353E5" w:rsidRDefault="00231E33">
      <w:pPr>
        <w:pStyle w:val="10"/>
        <w:rPr>
          <w:rFonts w:asciiTheme="minorHAnsi" w:eastAsiaTheme="minorEastAsia" w:hAnsiTheme="minorHAnsi" w:cstheme="minorBidi"/>
          <w:b w:val="0"/>
          <w:noProof/>
          <w:szCs w:val="22"/>
          <w:lang w:eastAsia="en-GB"/>
        </w:rPr>
      </w:pPr>
      <w:hyperlink w:anchor="_Toc67565552" w:history="1">
        <w:r w:rsidR="001353E5" w:rsidRPr="00EB7E77">
          <w:rPr>
            <w:rStyle w:val="-"/>
            <w:noProof/>
          </w:rPr>
          <w:t>F.1</w:t>
        </w:r>
        <w:r w:rsidR="001353E5">
          <w:rPr>
            <w:rFonts w:asciiTheme="minorHAnsi" w:eastAsiaTheme="minorEastAsia" w:hAnsiTheme="minorHAnsi" w:cstheme="minorBidi"/>
            <w:b w:val="0"/>
            <w:noProof/>
            <w:szCs w:val="22"/>
            <w:lang w:eastAsia="en-GB"/>
          </w:rPr>
          <w:tab/>
        </w:r>
        <w:r w:rsidR="001353E5" w:rsidRPr="00EB7E77">
          <w:rPr>
            <w:rStyle w:val="-"/>
            <w:noProof/>
          </w:rPr>
          <w:t>Use of this annex</w:t>
        </w:r>
        <w:r w:rsidR="001353E5">
          <w:rPr>
            <w:noProof/>
            <w:webHidden/>
          </w:rPr>
          <w:tab/>
        </w:r>
        <w:r w:rsidR="001353E5">
          <w:rPr>
            <w:noProof/>
            <w:webHidden/>
          </w:rPr>
          <w:fldChar w:fldCharType="begin"/>
        </w:r>
        <w:r w:rsidR="001353E5">
          <w:rPr>
            <w:noProof/>
            <w:webHidden/>
          </w:rPr>
          <w:instrText xml:space="preserve"> PAGEREF _Toc67565552 \h </w:instrText>
        </w:r>
        <w:r w:rsidR="001353E5">
          <w:rPr>
            <w:noProof/>
            <w:webHidden/>
          </w:rPr>
        </w:r>
        <w:r w:rsidR="001353E5">
          <w:rPr>
            <w:noProof/>
            <w:webHidden/>
          </w:rPr>
          <w:fldChar w:fldCharType="separate"/>
        </w:r>
        <w:r w:rsidR="000250B6">
          <w:rPr>
            <w:noProof/>
            <w:webHidden/>
          </w:rPr>
          <w:t>273</w:t>
        </w:r>
        <w:r w:rsidR="001353E5">
          <w:rPr>
            <w:noProof/>
            <w:webHidden/>
          </w:rPr>
          <w:fldChar w:fldCharType="end"/>
        </w:r>
      </w:hyperlink>
    </w:p>
    <w:p w14:paraId="4C1B04AE" w14:textId="77777777" w:rsidR="001353E5" w:rsidRDefault="00231E33">
      <w:pPr>
        <w:pStyle w:val="10"/>
        <w:rPr>
          <w:rFonts w:asciiTheme="minorHAnsi" w:eastAsiaTheme="minorEastAsia" w:hAnsiTheme="minorHAnsi" w:cstheme="minorBidi"/>
          <w:b w:val="0"/>
          <w:noProof/>
          <w:szCs w:val="22"/>
          <w:lang w:eastAsia="en-GB"/>
        </w:rPr>
      </w:pPr>
      <w:hyperlink w:anchor="_Toc67565553" w:history="1">
        <w:r w:rsidR="001353E5" w:rsidRPr="00EB7E77">
          <w:rPr>
            <w:rStyle w:val="-"/>
            <w:noProof/>
          </w:rPr>
          <w:t>F.2</w:t>
        </w:r>
        <w:r w:rsidR="001353E5">
          <w:rPr>
            <w:rFonts w:asciiTheme="minorHAnsi" w:eastAsiaTheme="minorEastAsia" w:hAnsiTheme="minorHAnsi" w:cstheme="minorBidi"/>
            <w:b w:val="0"/>
            <w:noProof/>
            <w:szCs w:val="22"/>
            <w:lang w:eastAsia="en-GB"/>
          </w:rPr>
          <w:tab/>
        </w:r>
        <w:r w:rsidR="001353E5" w:rsidRPr="00EB7E77">
          <w:rPr>
            <w:rStyle w:val="-"/>
            <w:noProof/>
          </w:rPr>
          <w:t>Scope and field of application</w:t>
        </w:r>
        <w:r w:rsidR="001353E5">
          <w:rPr>
            <w:noProof/>
            <w:webHidden/>
          </w:rPr>
          <w:tab/>
        </w:r>
        <w:r w:rsidR="001353E5">
          <w:rPr>
            <w:noProof/>
            <w:webHidden/>
          </w:rPr>
          <w:fldChar w:fldCharType="begin"/>
        </w:r>
        <w:r w:rsidR="001353E5">
          <w:rPr>
            <w:noProof/>
            <w:webHidden/>
          </w:rPr>
          <w:instrText xml:space="preserve"> PAGEREF _Toc67565553 \h </w:instrText>
        </w:r>
        <w:r w:rsidR="001353E5">
          <w:rPr>
            <w:noProof/>
            <w:webHidden/>
          </w:rPr>
        </w:r>
        <w:r w:rsidR="001353E5">
          <w:rPr>
            <w:noProof/>
            <w:webHidden/>
          </w:rPr>
          <w:fldChar w:fldCharType="separate"/>
        </w:r>
        <w:r w:rsidR="000250B6">
          <w:rPr>
            <w:noProof/>
            <w:webHidden/>
          </w:rPr>
          <w:t>273</w:t>
        </w:r>
        <w:r w:rsidR="001353E5">
          <w:rPr>
            <w:noProof/>
            <w:webHidden/>
          </w:rPr>
          <w:fldChar w:fldCharType="end"/>
        </w:r>
      </w:hyperlink>
    </w:p>
    <w:p w14:paraId="438F779A" w14:textId="77777777" w:rsidR="001353E5" w:rsidRDefault="00231E33">
      <w:pPr>
        <w:pStyle w:val="10"/>
        <w:rPr>
          <w:rFonts w:asciiTheme="minorHAnsi" w:eastAsiaTheme="minorEastAsia" w:hAnsiTheme="minorHAnsi" w:cstheme="minorBidi"/>
          <w:b w:val="0"/>
          <w:noProof/>
          <w:szCs w:val="22"/>
          <w:lang w:eastAsia="en-GB"/>
        </w:rPr>
      </w:pPr>
      <w:hyperlink w:anchor="_Toc67565554" w:history="1">
        <w:r w:rsidR="001353E5" w:rsidRPr="00EB7E77">
          <w:rPr>
            <w:rStyle w:val="-"/>
            <w:noProof/>
          </w:rPr>
          <w:t>F.3</w:t>
        </w:r>
        <w:r w:rsidR="001353E5">
          <w:rPr>
            <w:rFonts w:asciiTheme="minorHAnsi" w:eastAsiaTheme="minorEastAsia" w:hAnsiTheme="minorHAnsi" w:cstheme="minorBidi"/>
            <w:b w:val="0"/>
            <w:noProof/>
            <w:szCs w:val="22"/>
            <w:lang w:eastAsia="en-GB"/>
          </w:rPr>
          <w:tab/>
        </w:r>
        <w:r w:rsidR="001353E5" w:rsidRPr="00EB7E77">
          <w:rPr>
            <w:rStyle w:val="-"/>
            <w:noProof/>
          </w:rPr>
          <w:t>General</w:t>
        </w:r>
        <w:r w:rsidR="001353E5">
          <w:rPr>
            <w:noProof/>
            <w:webHidden/>
          </w:rPr>
          <w:tab/>
        </w:r>
        <w:r w:rsidR="001353E5">
          <w:rPr>
            <w:noProof/>
            <w:webHidden/>
          </w:rPr>
          <w:fldChar w:fldCharType="begin"/>
        </w:r>
        <w:r w:rsidR="001353E5">
          <w:rPr>
            <w:noProof/>
            <w:webHidden/>
          </w:rPr>
          <w:instrText xml:space="preserve"> PAGEREF _Toc67565554 \h </w:instrText>
        </w:r>
        <w:r w:rsidR="001353E5">
          <w:rPr>
            <w:noProof/>
            <w:webHidden/>
          </w:rPr>
        </w:r>
        <w:r w:rsidR="001353E5">
          <w:rPr>
            <w:noProof/>
            <w:webHidden/>
          </w:rPr>
          <w:fldChar w:fldCharType="separate"/>
        </w:r>
        <w:r w:rsidR="000250B6">
          <w:rPr>
            <w:noProof/>
            <w:webHidden/>
          </w:rPr>
          <w:t>273</w:t>
        </w:r>
        <w:r w:rsidR="001353E5">
          <w:rPr>
            <w:noProof/>
            <w:webHidden/>
          </w:rPr>
          <w:fldChar w:fldCharType="end"/>
        </w:r>
      </w:hyperlink>
    </w:p>
    <w:p w14:paraId="71EC3A77" w14:textId="77777777" w:rsidR="001353E5" w:rsidRDefault="00231E33">
      <w:pPr>
        <w:pStyle w:val="10"/>
        <w:rPr>
          <w:rFonts w:asciiTheme="minorHAnsi" w:eastAsiaTheme="minorEastAsia" w:hAnsiTheme="minorHAnsi" w:cstheme="minorBidi"/>
          <w:b w:val="0"/>
          <w:noProof/>
          <w:szCs w:val="22"/>
          <w:lang w:eastAsia="en-GB"/>
        </w:rPr>
      </w:pPr>
      <w:hyperlink w:anchor="_Toc67565555" w:history="1">
        <w:r w:rsidR="001353E5" w:rsidRPr="00EB7E77">
          <w:rPr>
            <w:rStyle w:val="-"/>
            <w:noProof/>
          </w:rPr>
          <w:t>F.4</w:t>
        </w:r>
        <w:r w:rsidR="001353E5">
          <w:rPr>
            <w:rFonts w:asciiTheme="minorHAnsi" w:eastAsiaTheme="minorEastAsia" w:hAnsiTheme="minorHAnsi" w:cstheme="minorBidi"/>
            <w:b w:val="0"/>
            <w:noProof/>
            <w:szCs w:val="22"/>
            <w:lang w:eastAsia="en-GB"/>
          </w:rPr>
          <w:tab/>
        </w:r>
        <w:r w:rsidR="001353E5" w:rsidRPr="00EB7E77">
          <w:rPr>
            <w:rStyle w:val="-"/>
            <w:noProof/>
          </w:rPr>
          <w:t>Partial factor method (PFM)</w:t>
        </w:r>
        <w:r w:rsidR="001353E5">
          <w:rPr>
            <w:noProof/>
            <w:webHidden/>
          </w:rPr>
          <w:tab/>
        </w:r>
        <w:r w:rsidR="001353E5">
          <w:rPr>
            <w:noProof/>
            <w:webHidden/>
          </w:rPr>
          <w:fldChar w:fldCharType="begin"/>
        </w:r>
        <w:r w:rsidR="001353E5">
          <w:rPr>
            <w:noProof/>
            <w:webHidden/>
          </w:rPr>
          <w:instrText xml:space="preserve"> PAGEREF _Toc67565555 \h </w:instrText>
        </w:r>
        <w:r w:rsidR="001353E5">
          <w:rPr>
            <w:noProof/>
            <w:webHidden/>
          </w:rPr>
        </w:r>
        <w:r w:rsidR="001353E5">
          <w:rPr>
            <w:noProof/>
            <w:webHidden/>
          </w:rPr>
          <w:fldChar w:fldCharType="separate"/>
        </w:r>
        <w:r w:rsidR="000250B6">
          <w:rPr>
            <w:noProof/>
            <w:webHidden/>
          </w:rPr>
          <w:t>274</w:t>
        </w:r>
        <w:r w:rsidR="001353E5">
          <w:rPr>
            <w:noProof/>
            <w:webHidden/>
          </w:rPr>
          <w:fldChar w:fldCharType="end"/>
        </w:r>
      </w:hyperlink>
    </w:p>
    <w:p w14:paraId="0E8BDA2C" w14:textId="77777777" w:rsidR="001353E5" w:rsidRDefault="00231E33">
      <w:pPr>
        <w:pStyle w:val="10"/>
        <w:rPr>
          <w:rFonts w:asciiTheme="minorHAnsi" w:eastAsiaTheme="minorEastAsia" w:hAnsiTheme="minorHAnsi" w:cstheme="minorBidi"/>
          <w:b w:val="0"/>
          <w:noProof/>
          <w:szCs w:val="22"/>
          <w:lang w:eastAsia="en-GB"/>
        </w:rPr>
      </w:pPr>
      <w:hyperlink w:anchor="_Toc67565556" w:history="1">
        <w:r w:rsidR="001353E5" w:rsidRPr="00EB7E77">
          <w:rPr>
            <w:rStyle w:val="-"/>
            <w:noProof/>
          </w:rPr>
          <w:t>F.5</w:t>
        </w:r>
        <w:r w:rsidR="001353E5">
          <w:rPr>
            <w:rFonts w:asciiTheme="minorHAnsi" w:eastAsiaTheme="minorEastAsia" w:hAnsiTheme="minorHAnsi" w:cstheme="minorBidi"/>
            <w:b w:val="0"/>
            <w:noProof/>
            <w:szCs w:val="22"/>
            <w:lang w:eastAsia="en-GB"/>
          </w:rPr>
          <w:tab/>
        </w:r>
        <w:r w:rsidR="001353E5" w:rsidRPr="00EB7E77">
          <w:rPr>
            <w:rStyle w:val="-"/>
            <w:noProof/>
          </w:rPr>
          <w:t>Global factor method (GFM)</w:t>
        </w:r>
        <w:r w:rsidR="001353E5">
          <w:rPr>
            <w:noProof/>
            <w:webHidden/>
          </w:rPr>
          <w:tab/>
        </w:r>
        <w:r w:rsidR="001353E5">
          <w:rPr>
            <w:noProof/>
            <w:webHidden/>
          </w:rPr>
          <w:fldChar w:fldCharType="begin"/>
        </w:r>
        <w:r w:rsidR="001353E5">
          <w:rPr>
            <w:noProof/>
            <w:webHidden/>
          </w:rPr>
          <w:instrText xml:space="preserve"> PAGEREF _Toc67565556 \h </w:instrText>
        </w:r>
        <w:r w:rsidR="001353E5">
          <w:rPr>
            <w:noProof/>
            <w:webHidden/>
          </w:rPr>
        </w:r>
        <w:r w:rsidR="001353E5">
          <w:rPr>
            <w:noProof/>
            <w:webHidden/>
          </w:rPr>
          <w:fldChar w:fldCharType="separate"/>
        </w:r>
        <w:r w:rsidR="000250B6">
          <w:rPr>
            <w:noProof/>
            <w:webHidden/>
          </w:rPr>
          <w:t>274</w:t>
        </w:r>
        <w:r w:rsidR="001353E5">
          <w:rPr>
            <w:noProof/>
            <w:webHidden/>
          </w:rPr>
          <w:fldChar w:fldCharType="end"/>
        </w:r>
      </w:hyperlink>
    </w:p>
    <w:p w14:paraId="263D960A" w14:textId="77777777" w:rsidR="001353E5" w:rsidRDefault="00231E33">
      <w:pPr>
        <w:pStyle w:val="10"/>
        <w:rPr>
          <w:rFonts w:asciiTheme="minorHAnsi" w:eastAsiaTheme="minorEastAsia" w:hAnsiTheme="minorHAnsi" w:cstheme="minorBidi"/>
          <w:b w:val="0"/>
          <w:noProof/>
          <w:szCs w:val="22"/>
          <w:lang w:eastAsia="en-GB"/>
        </w:rPr>
      </w:pPr>
      <w:hyperlink w:anchor="_Toc67565557" w:history="1">
        <w:r w:rsidR="001353E5" w:rsidRPr="00EB7E77">
          <w:rPr>
            <w:rStyle w:val="-"/>
            <w:noProof/>
          </w:rPr>
          <w:t>F.6</w:t>
        </w:r>
        <w:r w:rsidR="001353E5">
          <w:rPr>
            <w:rFonts w:asciiTheme="minorHAnsi" w:eastAsiaTheme="minorEastAsia" w:hAnsiTheme="minorHAnsi" w:cstheme="minorBidi"/>
            <w:b w:val="0"/>
            <w:noProof/>
            <w:szCs w:val="22"/>
            <w:lang w:eastAsia="en-GB"/>
          </w:rPr>
          <w:tab/>
        </w:r>
        <w:r w:rsidR="001353E5" w:rsidRPr="00EB7E77">
          <w:rPr>
            <w:rStyle w:val="-"/>
            <w:noProof/>
          </w:rPr>
          <w:t>Full probabilistic method</w:t>
        </w:r>
        <w:r w:rsidR="001353E5">
          <w:rPr>
            <w:noProof/>
            <w:webHidden/>
          </w:rPr>
          <w:tab/>
        </w:r>
        <w:r w:rsidR="001353E5">
          <w:rPr>
            <w:noProof/>
            <w:webHidden/>
          </w:rPr>
          <w:fldChar w:fldCharType="begin"/>
        </w:r>
        <w:r w:rsidR="001353E5">
          <w:rPr>
            <w:noProof/>
            <w:webHidden/>
          </w:rPr>
          <w:instrText xml:space="preserve"> PAGEREF _Toc67565557 \h </w:instrText>
        </w:r>
        <w:r w:rsidR="001353E5">
          <w:rPr>
            <w:noProof/>
            <w:webHidden/>
          </w:rPr>
        </w:r>
        <w:r w:rsidR="001353E5">
          <w:rPr>
            <w:noProof/>
            <w:webHidden/>
          </w:rPr>
          <w:fldChar w:fldCharType="separate"/>
        </w:r>
        <w:r w:rsidR="000250B6">
          <w:rPr>
            <w:noProof/>
            <w:webHidden/>
          </w:rPr>
          <w:t>276</w:t>
        </w:r>
        <w:r w:rsidR="001353E5">
          <w:rPr>
            <w:noProof/>
            <w:webHidden/>
          </w:rPr>
          <w:fldChar w:fldCharType="end"/>
        </w:r>
      </w:hyperlink>
    </w:p>
    <w:p w14:paraId="23B1BF1F" w14:textId="77777777" w:rsidR="001353E5" w:rsidRDefault="00231E33">
      <w:pPr>
        <w:pStyle w:val="10"/>
        <w:rPr>
          <w:rFonts w:asciiTheme="minorHAnsi" w:eastAsiaTheme="minorEastAsia" w:hAnsiTheme="minorHAnsi" w:cstheme="minorBidi"/>
          <w:b w:val="0"/>
          <w:noProof/>
          <w:szCs w:val="22"/>
          <w:lang w:eastAsia="en-GB"/>
        </w:rPr>
      </w:pPr>
      <w:hyperlink w:anchor="_Toc67565558" w:history="1">
        <w:r w:rsidR="001353E5" w:rsidRPr="00EB7E77">
          <w:rPr>
            <w:rStyle w:val="-"/>
            <w:noProof/>
          </w:rPr>
          <w:t>F.7</w:t>
        </w:r>
        <w:r w:rsidR="001353E5">
          <w:rPr>
            <w:rFonts w:asciiTheme="minorHAnsi" w:eastAsiaTheme="minorEastAsia" w:hAnsiTheme="minorHAnsi" w:cstheme="minorBidi"/>
            <w:b w:val="0"/>
            <w:noProof/>
            <w:szCs w:val="22"/>
            <w:lang w:eastAsia="en-GB"/>
          </w:rPr>
          <w:tab/>
        </w:r>
        <w:r w:rsidR="001353E5" w:rsidRPr="00EB7E77">
          <w:rPr>
            <w:rStyle w:val="-"/>
            <w:noProof/>
          </w:rPr>
          <w:t>Model uncertainty</w:t>
        </w:r>
        <w:r w:rsidR="001353E5">
          <w:rPr>
            <w:noProof/>
            <w:webHidden/>
          </w:rPr>
          <w:tab/>
        </w:r>
        <w:r w:rsidR="001353E5">
          <w:rPr>
            <w:noProof/>
            <w:webHidden/>
          </w:rPr>
          <w:fldChar w:fldCharType="begin"/>
        </w:r>
        <w:r w:rsidR="001353E5">
          <w:rPr>
            <w:noProof/>
            <w:webHidden/>
          </w:rPr>
          <w:instrText xml:space="preserve"> PAGEREF _Toc67565558 \h </w:instrText>
        </w:r>
        <w:r w:rsidR="001353E5">
          <w:rPr>
            <w:noProof/>
            <w:webHidden/>
          </w:rPr>
        </w:r>
        <w:r w:rsidR="001353E5">
          <w:rPr>
            <w:noProof/>
            <w:webHidden/>
          </w:rPr>
          <w:fldChar w:fldCharType="separate"/>
        </w:r>
        <w:r w:rsidR="000250B6">
          <w:rPr>
            <w:noProof/>
            <w:webHidden/>
          </w:rPr>
          <w:t>276</w:t>
        </w:r>
        <w:r w:rsidR="001353E5">
          <w:rPr>
            <w:noProof/>
            <w:webHidden/>
          </w:rPr>
          <w:fldChar w:fldCharType="end"/>
        </w:r>
      </w:hyperlink>
    </w:p>
    <w:p w14:paraId="74FDD8A8" w14:textId="77777777" w:rsidR="001353E5" w:rsidRDefault="00231E33">
      <w:pPr>
        <w:pStyle w:val="10"/>
        <w:rPr>
          <w:rFonts w:asciiTheme="minorHAnsi" w:eastAsiaTheme="minorEastAsia" w:hAnsiTheme="minorHAnsi" w:cstheme="minorBidi"/>
          <w:b w:val="0"/>
          <w:noProof/>
          <w:szCs w:val="22"/>
          <w:lang w:eastAsia="en-GB"/>
        </w:rPr>
      </w:pPr>
      <w:hyperlink w:anchor="_Toc67565559" w:history="1">
        <w:r w:rsidR="001353E5" w:rsidRPr="00EB7E77">
          <w:rPr>
            <w:rStyle w:val="-"/>
            <w:noProof/>
          </w:rPr>
          <w:t>Annex G (normative)  Design of membrane-, shell- and slab elements</w:t>
        </w:r>
        <w:r w:rsidR="001353E5">
          <w:rPr>
            <w:noProof/>
            <w:webHidden/>
          </w:rPr>
          <w:tab/>
        </w:r>
        <w:r w:rsidR="001353E5">
          <w:rPr>
            <w:noProof/>
            <w:webHidden/>
          </w:rPr>
          <w:fldChar w:fldCharType="begin"/>
        </w:r>
        <w:r w:rsidR="001353E5">
          <w:rPr>
            <w:noProof/>
            <w:webHidden/>
          </w:rPr>
          <w:instrText xml:space="preserve"> PAGEREF _Toc67565559 \h </w:instrText>
        </w:r>
        <w:r w:rsidR="001353E5">
          <w:rPr>
            <w:noProof/>
            <w:webHidden/>
          </w:rPr>
        </w:r>
        <w:r w:rsidR="001353E5">
          <w:rPr>
            <w:noProof/>
            <w:webHidden/>
          </w:rPr>
          <w:fldChar w:fldCharType="separate"/>
        </w:r>
        <w:r w:rsidR="000250B6">
          <w:rPr>
            <w:noProof/>
            <w:webHidden/>
          </w:rPr>
          <w:t>278</w:t>
        </w:r>
        <w:r w:rsidR="001353E5">
          <w:rPr>
            <w:noProof/>
            <w:webHidden/>
          </w:rPr>
          <w:fldChar w:fldCharType="end"/>
        </w:r>
      </w:hyperlink>
    </w:p>
    <w:p w14:paraId="496DA169"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60" w:history="1">
        <w:r w:rsidR="001353E5" w:rsidRPr="00EB7E77">
          <w:rPr>
            <w:rStyle w:val="-"/>
            <w:noProof/>
          </w:rPr>
          <w:t>G.1</w:t>
        </w:r>
        <w:r w:rsidR="001353E5">
          <w:rPr>
            <w:rFonts w:asciiTheme="minorHAnsi" w:eastAsiaTheme="minorEastAsia" w:hAnsiTheme="minorHAnsi" w:cstheme="minorBidi"/>
            <w:b w:val="0"/>
            <w:noProof/>
            <w:szCs w:val="22"/>
            <w:lang w:eastAsia="en-GB"/>
          </w:rPr>
          <w:tab/>
        </w:r>
        <w:r w:rsidR="001353E5" w:rsidRPr="00EB7E77">
          <w:rPr>
            <w:rStyle w:val="-"/>
            <w:noProof/>
          </w:rPr>
          <w:t>Use of this annex</w:t>
        </w:r>
        <w:r w:rsidR="001353E5">
          <w:rPr>
            <w:noProof/>
            <w:webHidden/>
          </w:rPr>
          <w:tab/>
        </w:r>
        <w:r w:rsidR="001353E5">
          <w:rPr>
            <w:noProof/>
            <w:webHidden/>
          </w:rPr>
          <w:fldChar w:fldCharType="begin"/>
        </w:r>
        <w:r w:rsidR="001353E5">
          <w:rPr>
            <w:noProof/>
            <w:webHidden/>
          </w:rPr>
          <w:instrText xml:space="preserve"> PAGEREF _Toc67565560 \h </w:instrText>
        </w:r>
        <w:r w:rsidR="001353E5">
          <w:rPr>
            <w:noProof/>
            <w:webHidden/>
          </w:rPr>
        </w:r>
        <w:r w:rsidR="001353E5">
          <w:rPr>
            <w:noProof/>
            <w:webHidden/>
          </w:rPr>
          <w:fldChar w:fldCharType="separate"/>
        </w:r>
        <w:r w:rsidR="000250B6">
          <w:rPr>
            <w:noProof/>
            <w:webHidden/>
          </w:rPr>
          <w:t>278</w:t>
        </w:r>
        <w:r w:rsidR="001353E5">
          <w:rPr>
            <w:noProof/>
            <w:webHidden/>
          </w:rPr>
          <w:fldChar w:fldCharType="end"/>
        </w:r>
      </w:hyperlink>
    </w:p>
    <w:p w14:paraId="0DD62711"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61" w:history="1">
        <w:r w:rsidR="001353E5" w:rsidRPr="00EB7E77">
          <w:rPr>
            <w:rStyle w:val="-"/>
            <w:noProof/>
          </w:rPr>
          <w:t>G.2</w:t>
        </w:r>
        <w:r w:rsidR="001353E5">
          <w:rPr>
            <w:rFonts w:asciiTheme="minorHAnsi" w:eastAsiaTheme="minorEastAsia" w:hAnsiTheme="minorHAnsi" w:cstheme="minorBidi"/>
            <w:b w:val="0"/>
            <w:noProof/>
            <w:szCs w:val="22"/>
            <w:lang w:eastAsia="en-GB"/>
          </w:rPr>
          <w:tab/>
        </w:r>
        <w:r w:rsidR="001353E5" w:rsidRPr="00EB7E77">
          <w:rPr>
            <w:rStyle w:val="-"/>
            <w:noProof/>
          </w:rPr>
          <w:t>Scope and field of application</w:t>
        </w:r>
        <w:r w:rsidR="001353E5">
          <w:rPr>
            <w:noProof/>
            <w:webHidden/>
          </w:rPr>
          <w:tab/>
        </w:r>
        <w:r w:rsidR="001353E5">
          <w:rPr>
            <w:noProof/>
            <w:webHidden/>
          </w:rPr>
          <w:fldChar w:fldCharType="begin"/>
        </w:r>
        <w:r w:rsidR="001353E5">
          <w:rPr>
            <w:noProof/>
            <w:webHidden/>
          </w:rPr>
          <w:instrText xml:space="preserve"> PAGEREF _Toc67565561 \h </w:instrText>
        </w:r>
        <w:r w:rsidR="001353E5">
          <w:rPr>
            <w:noProof/>
            <w:webHidden/>
          </w:rPr>
        </w:r>
        <w:r w:rsidR="001353E5">
          <w:rPr>
            <w:noProof/>
            <w:webHidden/>
          </w:rPr>
          <w:fldChar w:fldCharType="separate"/>
        </w:r>
        <w:r w:rsidR="000250B6">
          <w:rPr>
            <w:noProof/>
            <w:webHidden/>
          </w:rPr>
          <w:t>278</w:t>
        </w:r>
        <w:r w:rsidR="001353E5">
          <w:rPr>
            <w:noProof/>
            <w:webHidden/>
          </w:rPr>
          <w:fldChar w:fldCharType="end"/>
        </w:r>
      </w:hyperlink>
    </w:p>
    <w:p w14:paraId="6BA57C8F"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62" w:history="1">
        <w:r w:rsidR="001353E5" w:rsidRPr="00EB7E77">
          <w:rPr>
            <w:rStyle w:val="-"/>
            <w:noProof/>
          </w:rPr>
          <w:t>G.3</w:t>
        </w:r>
        <w:r w:rsidR="001353E5">
          <w:rPr>
            <w:rFonts w:asciiTheme="minorHAnsi" w:eastAsiaTheme="minorEastAsia" w:hAnsiTheme="minorHAnsi" w:cstheme="minorBidi"/>
            <w:b w:val="0"/>
            <w:noProof/>
            <w:szCs w:val="22"/>
            <w:lang w:eastAsia="en-GB"/>
          </w:rPr>
          <w:tab/>
        </w:r>
        <w:r w:rsidR="001353E5" w:rsidRPr="00EB7E77">
          <w:rPr>
            <w:rStyle w:val="-"/>
            <w:noProof/>
          </w:rPr>
          <w:t>Design of membrane elements in ULS</w:t>
        </w:r>
        <w:r w:rsidR="001353E5">
          <w:rPr>
            <w:noProof/>
            <w:webHidden/>
          </w:rPr>
          <w:tab/>
        </w:r>
        <w:r w:rsidR="001353E5">
          <w:rPr>
            <w:noProof/>
            <w:webHidden/>
          </w:rPr>
          <w:fldChar w:fldCharType="begin"/>
        </w:r>
        <w:r w:rsidR="001353E5">
          <w:rPr>
            <w:noProof/>
            <w:webHidden/>
          </w:rPr>
          <w:instrText xml:space="preserve"> PAGEREF _Toc67565562 \h </w:instrText>
        </w:r>
        <w:r w:rsidR="001353E5">
          <w:rPr>
            <w:noProof/>
            <w:webHidden/>
          </w:rPr>
        </w:r>
        <w:r w:rsidR="001353E5">
          <w:rPr>
            <w:noProof/>
            <w:webHidden/>
          </w:rPr>
          <w:fldChar w:fldCharType="separate"/>
        </w:r>
        <w:r w:rsidR="000250B6">
          <w:rPr>
            <w:noProof/>
            <w:webHidden/>
          </w:rPr>
          <w:t>278</w:t>
        </w:r>
        <w:r w:rsidR="001353E5">
          <w:rPr>
            <w:noProof/>
            <w:webHidden/>
          </w:rPr>
          <w:fldChar w:fldCharType="end"/>
        </w:r>
      </w:hyperlink>
    </w:p>
    <w:p w14:paraId="46A85B6E"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63" w:history="1">
        <w:r w:rsidR="001353E5" w:rsidRPr="00EB7E77">
          <w:rPr>
            <w:rStyle w:val="-"/>
            <w:noProof/>
          </w:rPr>
          <w:t>G.4</w:t>
        </w:r>
        <w:r w:rsidR="001353E5">
          <w:rPr>
            <w:rFonts w:asciiTheme="minorHAnsi" w:eastAsiaTheme="minorEastAsia" w:hAnsiTheme="minorHAnsi" w:cstheme="minorBidi"/>
            <w:b w:val="0"/>
            <w:noProof/>
            <w:szCs w:val="22"/>
            <w:lang w:eastAsia="en-GB"/>
          </w:rPr>
          <w:tab/>
        </w:r>
        <w:r w:rsidR="001353E5" w:rsidRPr="00EB7E77">
          <w:rPr>
            <w:rStyle w:val="-"/>
            <w:noProof/>
          </w:rPr>
          <w:t>Design of shell- and slab elements in ULS</w:t>
        </w:r>
        <w:r w:rsidR="001353E5">
          <w:rPr>
            <w:noProof/>
            <w:webHidden/>
          </w:rPr>
          <w:tab/>
        </w:r>
        <w:r w:rsidR="001353E5">
          <w:rPr>
            <w:noProof/>
            <w:webHidden/>
          </w:rPr>
          <w:fldChar w:fldCharType="begin"/>
        </w:r>
        <w:r w:rsidR="001353E5">
          <w:rPr>
            <w:noProof/>
            <w:webHidden/>
          </w:rPr>
          <w:instrText xml:space="preserve"> PAGEREF _Toc67565563 \h </w:instrText>
        </w:r>
        <w:r w:rsidR="001353E5">
          <w:rPr>
            <w:noProof/>
            <w:webHidden/>
          </w:rPr>
        </w:r>
        <w:r w:rsidR="001353E5">
          <w:rPr>
            <w:noProof/>
            <w:webHidden/>
          </w:rPr>
          <w:fldChar w:fldCharType="separate"/>
        </w:r>
        <w:r w:rsidR="000250B6">
          <w:rPr>
            <w:noProof/>
            <w:webHidden/>
          </w:rPr>
          <w:t>280</w:t>
        </w:r>
        <w:r w:rsidR="001353E5">
          <w:rPr>
            <w:noProof/>
            <w:webHidden/>
          </w:rPr>
          <w:fldChar w:fldCharType="end"/>
        </w:r>
      </w:hyperlink>
    </w:p>
    <w:p w14:paraId="43C870F0"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64" w:history="1">
        <w:r w:rsidR="001353E5" w:rsidRPr="00EB7E77">
          <w:rPr>
            <w:rStyle w:val="-"/>
            <w:noProof/>
          </w:rPr>
          <w:t>G.5</w:t>
        </w:r>
        <w:r w:rsidR="001353E5">
          <w:rPr>
            <w:rFonts w:asciiTheme="minorHAnsi" w:eastAsiaTheme="minorEastAsia" w:hAnsiTheme="minorHAnsi" w:cstheme="minorBidi"/>
            <w:b w:val="0"/>
            <w:noProof/>
            <w:szCs w:val="22"/>
            <w:lang w:eastAsia="en-GB"/>
          </w:rPr>
          <w:tab/>
        </w:r>
        <w:r w:rsidR="001353E5" w:rsidRPr="00EB7E77">
          <w:rPr>
            <w:rStyle w:val="-"/>
            <w:noProof/>
          </w:rPr>
          <w:t>Refined control of cracking in membrane elements in SLS</w:t>
        </w:r>
        <w:r w:rsidR="001353E5">
          <w:rPr>
            <w:noProof/>
            <w:webHidden/>
          </w:rPr>
          <w:tab/>
        </w:r>
        <w:r w:rsidR="001353E5">
          <w:rPr>
            <w:noProof/>
            <w:webHidden/>
          </w:rPr>
          <w:fldChar w:fldCharType="begin"/>
        </w:r>
        <w:r w:rsidR="001353E5">
          <w:rPr>
            <w:noProof/>
            <w:webHidden/>
          </w:rPr>
          <w:instrText xml:space="preserve"> PAGEREF _Toc67565564 \h </w:instrText>
        </w:r>
        <w:r w:rsidR="001353E5">
          <w:rPr>
            <w:noProof/>
            <w:webHidden/>
          </w:rPr>
        </w:r>
        <w:r w:rsidR="001353E5">
          <w:rPr>
            <w:noProof/>
            <w:webHidden/>
          </w:rPr>
          <w:fldChar w:fldCharType="separate"/>
        </w:r>
        <w:r w:rsidR="000250B6">
          <w:rPr>
            <w:noProof/>
            <w:webHidden/>
          </w:rPr>
          <w:t>283</w:t>
        </w:r>
        <w:r w:rsidR="001353E5">
          <w:rPr>
            <w:noProof/>
            <w:webHidden/>
          </w:rPr>
          <w:fldChar w:fldCharType="end"/>
        </w:r>
      </w:hyperlink>
    </w:p>
    <w:p w14:paraId="7BA18931" w14:textId="77777777" w:rsidR="001353E5" w:rsidRDefault="00231E33">
      <w:pPr>
        <w:pStyle w:val="10"/>
        <w:rPr>
          <w:rFonts w:asciiTheme="minorHAnsi" w:eastAsiaTheme="minorEastAsia" w:hAnsiTheme="minorHAnsi" w:cstheme="minorBidi"/>
          <w:b w:val="0"/>
          <w:noProof/>
          <w:szCs w:val="22"/>
          <w:lang w:eastAsia="en-GB"/>
        </w:rPr>
      </w:pPr>
      <w:hyperlink w:anchor="_Toc67565565" w:history="1">
        <w:r w:rsidR="001353E5" w:rsidRPr="00EB7E77">
          <w:rPr>
            <w:rStyle w:val="-"/>
            <w:noProof/>
          </w:rPr>
          <w:t>Annex H (informative)  Guidance on design of concrete structures for water-tightness</w:t>
        </w:r>
        <w:r w:rsidR="001353E5">
          <w:rPr>
            <w:noProof/>
            <w:webHidden/>
          </w:rPr>
          <w:tab/>
        </w:r>
        <w:r w:rsidR="001353E5">
          <w:rPr>
            <w:noProof/>
            <w:webHidden/>
          </w:rPr>
          <w:fldChar w:fldCharType="begin"/>
        </w:r>
        <w:r w:rsidR="001353E5">
          <w:rPr>
            <w:noProof/>
            <w:webHidden/>
          </w:rPr>
          <w:instrText xml:space="preserve"> PAGEREF _Toc67565565 \h </w:instrText>
        </w:r>
        <w:r w:rsidR="001353E5">
          <w:rPr>
            <w:noProof/>
            <w:webHidden/>
          </w:rPr>
        </w:r>
        <w:r w:rsidR="001353E5">
          <w:rPr>
            <w:noProof/>
            <w:webHidden/>
          </w:rPr>
          <w:fldChar w:fldCharType="separate"/>
        </w:r>
        <w:r w:rsidR="000250B6">
          <w:rPr>
            <w:noProof/>
            <w:webHidden/>
          </w:rPr>
          <w:t>285</w:t>
        </w:r>
        <w:r w:rsidR="001353E5">
          <w:rPr>
            <w:noProof/>
            <w:webHidden/>
          </w:rPr>
          <w:fldChar w:fldCharType="end"/>
        </w:r>
      </w:hyperlink>
    </w:p>
    <w:p w14:paraId="7F190D1D"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66" w:history="1">
        <w:r w:rsidR="001353E5" w:rsidRPr="00EB7E77">
          <w:rPr>
            <w:rStyle w:val="-"/>
            <w:noProof/>
          </w:rPr>
          <w:t>H.1</w:t>
        </w:r>
        <w:r w:rsidR="001353E5">
          <w:rPr>
            <w:rFonts w:asciiTheme="minorHAnsi" w:eastAsiaTheme="minorEastAsia" w:hAnsiTheme="minorHAnsi" w:cstheme="minorBidi"/>
            <w:b w:val="0"/>
            <w:noProof/>
            <w:szCs w:val="22"/>
            <w:lang w:eastAsia="en-GB"/>
          </w:rPr>
          <w:tab/>
        </w:r>
        <w:r w:rsidR="001353E5" w:rsidRPr="00EB7E77">
          <w:rPr>
            <w:rStyle w:val="-"/>
            <w:noProof/>
          </w:rPr>
          <w:t>Use of this annex</w:t>
        </w:r>
        <w:r w:rsidR="001353E5">
          <w:rPr>
            <w:noProof/>
            <w:webHidden/>
          </w:rPr>
          <w:tab/>
        </w:r>
        <w:r w:rsidR="001353E5">
          <w:rPr>
            <w:noProof/>
            <w:webHidden/>
          </w:rPr>
          <w:fldChar w:fldCharType="begin"/>
        </w:r>
        <w:r w:rsidR="001353E5">
          <w:rPr>
            <w:noProof/>
            <w:webHidden/>
          </w:rPr>
          <w:instrText xml:space="preserve"> PAGEREF _Toc67565566 \h </w:instrText>
        </w:r>
        <w:r w:rsidR="001353E5">
          <w:rPr>
            <w:noProof/>
            <w:webHidden/>
          </w:rPr>
        </w:r>
        <w:r w:rsidR="001353E5">
          <w:rPr>
            <w:noProof/>
            <w:webHidden/>
          </w:rPr>
          <w:fldChar w:fldCharType="separate"/>
        </w:r>
        <w:r w:rsidR="000250B6">
          <w:rPr>
            <w:noProof/>
            <w:webHidden/>
          </w:rPr>
          <w:t>285</w:t>
        </w:r>
        <w:r w:rsidR="001353E5">
          <w:rPr>
            <w:noProof/>
            <w:webHidden/>
          </w:rPr>
          <w:fldChar w:fldCharType="end"/>
        </w:r>
      </w:hyperlink>
    </w:p>
    <w:p w14:paraId="7F191C86"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67" w:history="1">
        <w:r w:rsidR="001353E5" w:rsidRPr="00EB7E77">
          <w:rPr>
            <w:rStyle w:val="-"/>
            <w:noProof/>
          </w:rPr>
          <w:t>H.2</w:t>
        </w:r>
        <w:r w:rsidR="001353E5">
          <w:rPr>
            <w:rFonts w:asciiTheme="minorHAnsi" w:eastAsiaTheme="minorEastAsia" w:hAnsiTheme="minorHAnsi" w:cstheme="minorBidi"/>
            <w:b w:val="0"/>
            <w:noProof/>
            <w:szCs w:val="22"/>
            <w:lang w:eastAsia="en-GB"/>
          </w:rPr>
          <w:tab/>
        </w:r>
        <w:r w:rsidR="001353E5" w:rsidRPr="00EB7E77">
          <w:rPr>
            <w:rStyle w:val="-"/>
            <w:noProof/>
          </w:rPr>
          <w:t>Scope and field of application</w:t>
        </w:r>
        <w:r w:rsidR="001353E5">
          <w:rPr>
            <w:noProof/>
            <w:webHidden/>
          </w:rPr>
          <w:tab/>
        </w:r>
        <w:r w:rsidR="001353E5">
          <w:rPr>
            <w:noProof/>
            <w:webHidden/>
          </w:rPr>
          <w:fldChar w:fldCharType="begin"/>
        </w:r>
        <w:r w:rsidR="001353E5">
          <w:rPr>
            <w:noProof/>
            <w:webHidden/>
          </w:rPr>
          <w:instrText xml:space="preserve"> PAGEREF _Toc67565567 \h </w:instrText>
        </w:r>
        <w:r w:rsidR="001353E5">
          <w:rPr>
            <w:noProof/>
            <w:webHidden/>
          </w:rPr>
        </w:r>
        <w:r w:rsidR="001353E5">
          <w:rPr>
            <w:noProof/>
            <w:webHidden/>
          </w:rPr>
          <w:fldChar w:fldCharType="separate"/>
        </w:r>
        <w:r w:rsidR="000250B6">
          <w:rPr>
            <w:noProof/>
            <w:webHidden/>
          </w:rPr>
          <w:t>285</w:t>
        </w:r>
        <w:r w:rsidR="001353E5">
          <w:rPr>
            <w:noProof/>
            <w:webHidden/>
          </w:rPr>
          <w:fldChar w:fldCharType="end"/>
        </w:r>
      </w:hyperlink>
    </w:p>
    <w:p w14:paraId="01683ECA"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68" w:history="1">
        <w:r w:rsidR="001353E5" w:rsidRPr="00EB7E77">
          <w:rPr>
            <w:rStyle w:val="-"/>
            <w:noProof/>
          </w:rPr>
          <w:t>H.3</w:t>
        </w:r>
        <w:r w:rsidR="001353E5">
          <w:rPr>
            <w:rFonts w:asciiTheme="minorHAnsi" w:eastAsiaTheme="minorEastAsia" w:hAnsiTheme="minorHAnsi" w:cstheme="minorBidi"/>
            <w:b w:val="0"/>
            <w:noProof/>
            <w:szCs w:val="22"/>
            <w:lang w:eastAsia="en-GB"/>
          </w:rPr>
          <w:tab/>
        </w:r>
        <w:r w:rsidR="001353E5" w:rsidRPr="00EB7E77">
          <w:rPr>
            <w:rStyle w:val="-"/>
            <w:noProof/>
          </w:rPr>
          <w:t>General</w:t>
        </w:r>
        <w:r w:rsidR="001353E5">
          <w:rPr>
            <w:noProof/>
            <w:webHidden/>
          </w:rPr>
          <w:tab/>
        </w:r>
        <w:r w:rsidR="001353E5">
          <w:rPr>
            <w:noProof/>
            <w:webHidden/>
          </w:rPr>
          <w:fldChar w:fldCharType="begin"/>
        </w:r>
        <w:r w:rsidR="001353E5">
          <w:rPr>
            <w:noProof/>
            <w:webHidden/>
          </w:rPr>
          <w:instrText xml:space="preserve"> PAGEREF _Toc67565568 \h </w:instrText>
        </w:r>
        <w:r w:rsidR="001353E5">
          <w:rPr>
            <w:noProof/>
            <w:webHidden/>
          </w:rPr>
        </w:r>
        <w:r w:rsidR="001353E5">
          <w:rPr>
            <w:noProof/>
            <w:webHidden/>
          </w:rPr>
          <w:fldChar w:fldCharType="separate"/>
        </w:r>
        <w:r w:rsidR="000250B6">
          <w:rPr>
            <w:noProof/>
            <w:webHidden/>
          </w:rPr>
          <w:t>285</w:t>
        </w:r>
        <w:r w:rsidR="001353E5">
          <w:rPr>
            <w:noProof/>
            <w:webHidden/>
          </w:rPr>
          <w:fldChar w:fldCharType="end"/>
        </w:r>
      </w:hyperlink>
    </w:p>
    <w:p w14:paraId="173D7379"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69" w:history="1">
        <w:r w:rsidR="001353E5" w:rsidRPr="00EB7E77">
          <w:rPr>
            <w:rStyle w:val="-"/>
            <w:noProof/>
          </w:rPr>
          <w:t>H.4</w:t>
        </w:r>
        <w:r w:rsidR="001353E5">
          <w:rPr>
            <w:rFonts w:asciiTheme="minorHAnsi" w:eastAsiaTheme="minorEastAsia" w:hAnsiTheme="minorHAnsi" w:cstheme="minorBidi"/>
            <w:b w:val="0"/>
            <w:noProof/>
            <w:szCs w:val="22"/>
            <w:lang w:eastAsia="en-GB"/>
          </w:rPr>
          <w:tab/>
        </w:r>
        <w:r w:rsidR="001353E5" w:rsidRPr="00EB7E77">
          <w:rPr>
            <w:rStyle w:val="-"/>
            <w:noProof/>
          </w:rPr>
          <w:t>Tightness classes</w:t>
        </w:r>
        <w:r w:rsidR="001353E5">
          <w:rPr>
            <w:noProof/>
            <w:webHidden/>
          </w:rPr>
          <w:tab/>
        </w:r>
        <w:r w:rsidR="001353E5">
          <w:rPr>
            <w:noProof/>
            <w:webHidden/>
          </w:rPr>
          <w:fldChar w:fldCharType="begin"/>
        </w:r>
        <w:r w:rsidR="001353E5">
          <w:rPr>
            <w:noProof/>
            <w:webHidden/>
          </w:rPr>
          <w:instrText xml:space="preserve"> PAGEREF _Toc67565569 \h </w:instrText>
        </w:r>
        <w:r w:rsidR="001353E5">
          <w:rPr>
            <w:noProof/>
            <w:webHidden/>
          </w:rPr>
        </w:r>
        <w:r w:rsidR="001353E5">
          <w:rPr>
            <w:noProof/>
            <w:webHidden/>
          </w:rPr>
          <w:fldChar w:fldCharType="separate"/>
        </w:r>
        <w:r w:rsidR="000250B6">
          <w:rPr>
            <w:noProof/>
            <w:webHidden/>
          </w:rPr>
          <w:t>285</w:t>
        </w:r>
        <w:r w:rsidR="001353E5">
          <w:rPr>
            <w:noProof/>
            <w:webHidden/>
          </w:rPr>
          <w:fldChar w:fldCharType="end"/>
        </w:r>
      </w:hyperlink>
    </w:p>
    <w:p w14:paraId="2B83A341" w14:textId="77777777" w:rsidR="001353E5" w:rsidRDefault="00231E33">
      <w:pPr>
        <w:pStyle w:val="10"/>
        <w:rPr>
          <w:rFonts w:asciiTheme="minorHAnsi" w:eastAsiaTheme="minorEastAsia" w:hAnsiTheme="minorHAnsi" w:cstheme="minorBidi"/>
          <w:b w:val="0"/>
          <w:noProof/>
          <w:szCs w:val="22"/>
          <w:lang w:eastAsia="en-GB"/>
        </w:rPr>
      </w:pPr>
      <w:hyperlink w:anchor="_Toc67565570" w:history="1">
        <w:r w:rsidR="001353E5" w:rsidRPr="00EB7E77">
          <w:rPr>
            <w:rStyle w:val="-"/>
            <w:noProof/>
          </w:rPr>
          <w:t>Annex I (informative)  Assessment of Existing Structures</w:t>
        </w:r>
        <w:r w:rsidR="001353E5">
          <w:rPr>
            <w:noProof/>
            <w:webHidden/>
          </w:rPr>
          <w:tab/>
        </w:r>
        <w:r w:rsidR="001353E5">
          <w:rPr>
            <w:noProof/>
            <w:webHidden/>
          </w:rPr>
          <w:fldChar w:fldCharType="begin"/>
        </w:r>
        <w:r w:rsidR="001353E5">
          <w:rPr>
            <w:noProof/>
            <w:webHidden/>
          </w:rPr>
          <w:instrText xml:space="preserve"> PAGEREF _Toc67565570 \h </w:instrText>
        </w:r>
        <w:r w:rsidR="001353E5">
          <w:rPr>
            <w:noProof/>
            <w:webHidden/>
          </w:rPr>
        </w:r>
        <w:r w:rsidR="001353E5">
          <w:rPr>
            <w:noProof/>
            <w:webHidden/>
          </w:rPr>
          <w:fldChar w:fldCharType="separate"/>
        </w:r>
        <w:r w:rsidR="000250B6">
          <w:rPr>
            <w:noProof/>
            <w:webHidden/>
          </w:rPr>
          <w:t>288</w:t>
        </w:r>
        <w:r w:rsidR="001353E5">
          <w:rPr>
            <w:noProof/>
            <w:webHidden/>
          </w:rPr>
          <w:fldChar w:fldCharType="end"/>
        </w:r>
      </w:hyperlink>
    </w:p>
    <w:p w14:paraId="741ABFBA"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71" w:history="1">
        <w:r w:rsidR="001353E5" w:rsidRPr="00EB7E77">
          <w:rPr>
            <w:rStyle w:val="-"/>
            <w:noProof/>
          </w:rPr>
          <w:t>I.1</w:t>
        </w:r>
        <w:r w:rsidR="001353E5">
          <w:rPr>
            <w:rFonts w:asciiTheme="minorHAnsi" w:eastAsiaTheme="minorEastAsia" w:hAnsiTheme="minorHAnsi" w:cstheme="minorBidi"/>
            <w:b w:val="0"/>
            <w:noProof/>
            <w:szCs w:val="22"/>
            <w:lang w:eastAsia="en-GB"/>
          </w:rPr>
          <w:tab/>
        </w:r>
        <w:r w:rsidR="001353E5" w:rsidRPr="00EB7E77">
          <w:rPr>
            <w:rStyle w:val="-"/>
            <w:noProof/>
          </w:rPr>
          <w:t>Use of this annex</w:t>
        </w:r>
        <w:r w:rsidR="001353E5">
          <w:rPr>
            <w:noProof/>
            <w:webHidden/>
          </w:rPr>
          <w:tab/>
        </w:r>
        <w:r w:rsidR="001353E5">
          <w:rPr>
            <w:noProof/>
            <w:webHidden/>
          </w:rPr>
          <w:fldChar w:fldCharType="begin"/>
        </w:r>
        <w:r w:rsidR="001353E5">
          <w:rPr>
            <w:noProof/>
            <w:webHidden/>
          </w:rPr>
          <w:instrText xml:space="preserve"> PAGEREF _Toc67565571 \h </w:instrText>
        </w:r>
        <w:r w:rsidR="001353E5">
          <w:rPr>
            <w:noProof/>
            <w:webHidden/>
          </w:rPr>
        </w:r>
        <w:r w:rsidR="001353E5">
          <w:rPr>
            <w:noProof/>
            <w:webHidden/>
          </w:rPr>
          <w:fldChar w:fldCharType="separate"/>
        </w:r>
        <w:r w:rsidR="000250B6">
          <w:rPr>
            <w:noProof/>
            <w:webHidden/>
          </w:rPr>
          <w:t>288</w:t>
        </w:r>
        <w:r w:rsidR="001353E5">
          <w:rPr>
            <w:noProof/>
            <w:webHidden/>
          </w:rPr>
          <w:fldChar w:fldCharType="end"/>
        </w:r>
      </w:hyperlink>
    </w:p>
    <w:p w14:paraId="413A333A"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72" w:history="1">
        <w:r w:rsidR="001353E5" w:rsidRPr="00EB7E77">
          <w:rPr>
            <w:rStyle w:val="-"/>
            <w:noProof/>
          </w:rPr>
          <w:t>I.2</w:t>
        </w:r>
        <w:r w:rsidR="001353E5">
          <w:rPr>
            <w:rFonts w:asciiTheme="minorHAnsi" w:eastAsiaTheme="minorEastAsia" w:hAnsiTheme="minorHAnsi" w:cstheme="minorBidi"/>
            <w:b w:val="0"/>
            <w:noProof/>
            <w:szCs w:val="22"/>
            <w:lang w:eastAsia="en-GB"/>
          </w:rPr>
          <w:tab/>
        </w:r>
        <w:r w:rsidR="001353E5" w:rsidRPr="00EB7E77">
          <w:rPr>
            <w:rStyle w:val="-"/>
            <w:noProof/>
          </w:rPr>
          <w:t>Scope and field of application</w:t>
        </w:r>
        <w:r w:rsidR="001353E5">
          <w:rPr>
            <w:noProof/>
            <w:webHidden/>
          </w:rPr>
          <w:tab/>
        </w:r>
        <w:r w:rsidR="001353E5">
          <w:rPr>
            <w:noProof/>
            <w:webHidden/>
          </w:rPr>
          <w:fldChar w:fldCharType="begin"/>
        </w:r>
        <w:r w:rsidR="001353E5">
          <w:rPr>
            <w:noProof/>
            <w:webHidden/>
          </w:rPr>
          <w:instrText xml:space="preserve"> PAGEREF _Toc67565572 \h </w:instrText>
        </w:r>
        <w:r w:rsidR="001353E5">
          <w:rPr>
            <w:noProof/>
            <w:webHidden/>
          </w:rPr>
        </w:r>
        <w:r w:rsidR="001353E5">
          <w:rPr>
            <w:noProof/>
            <w:webHidden/>
          </w:rPr>
          <w:fldChar w:fldCharType="separate"/>
        </w:r>
        <w:r w:rsidR="000250B6">
          <w:rPr>
            <w:noProof/>
            <w:webHidden/>
          </w:rPr>
          <w:t>288</w:t>
        </w:r>
        <w:r w:rsidR="001353E5">
          <w:rPr>
            <w:noProof/>
            <w:webHidden/>
          </w:rPr>
          <w:fldChar w:fldCharType="end"/>
        </w:r>
      </w:hyperlink>
    </w:p>
    <w:p w14:paraId="70CC0279"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73" w:history="1">
        <w:r w:rsidR="001353E5" w:rsidRPr="00EB7E77">
          <w:rPr>
            <w:rStyle w:val="-"/>
            <w:noProof/>
          </w:rPr>
          <w:t>I.3</w:t>
        </w:r>
        <w:r w:rsidR="001353E5">
          <w:rPr>
            <w:rFonts w:asciiTheme="minorHAnsi" w:eastAsiaTheme="minorEastAsia" w:hAnsiTheme="minorHAnsi" w:cstheme="minorBidi"/>
            <w:b w:val="0"/>
            <w:noProof/>
            <w:szCs w:val="22"/>
            <w:lang w:eastAsia="en-GB"/>
          </w:rPr>
          <w:tab/>
        </w:r>
        <w:r w:rsidR="001353E5" w:rsidRPr="00EB7E77">
          <w:rPr>
            <w:rStyle w:val="-"/>
            <w:noProof/>
          </w:rPr>
          <w:t>General</w:t>
        </w:r>
        <w:r w:rsidR="001353E5">
          <w:rPr>
            <w:noProof/>
            <w:webHidden/>
          </w:rPr>
          <w:tab/>
        </w:r>
        <w:r w:rsidR="001353E5">
          <w:rPr>
            <w:noProof/>
            <w:webHidden/>
          </w:rPr>
          <w:fldChar w:fldCharType="begin"/>
        </w:r>
        <w:r w:rsidR="001353E5">
          <w:rPr>
            <w:noProof/>
            <w:webHidden/>
          </w:rPr>
          <w:instrText xml:space="preserve"> PAGEREF _Toc67565573 \h </w:instrText>
        </w:r>
        <w:r w:rsidR="001353E5">
          <w:rPr>
            <w:noProof/>
            <w:webHidden/>
          </w:rPr>
        </w:r>
        <w:r w:rsidR="001353E5">
          <w:rPr>
            <w:noProof/>
            <w:webHidden/>
          </w:rPr>
          <w:fldChar w:fldCharType="separate"/>
        </w:r>
        <w:r w:rsidR="000250B6">
          <w:rPr>
            <w:noProof/>
            <w:webHidden/>
          </w:rPr>
          <w:t>288</w:t>
        </w:r>
        <w:r w:rsidR="001353E5">
          <w:rPr>
            <w:noProof/>
            <w:webHidden/>
          </w:rPr>
          <w:fldChar w:fldCharType="end"/>
        </w:r>
      </w:hyperlink>
    </w:p>
    <w:p w14:paraId="5D87C3F5"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74" w:history="1">
        <w:r w:rsidR="001353E5" w:rsidRPr="00EB7E77">
          <w:rPr>
            <w:rStyle w:val="-"/>
            <w:noProof/>
          </w:rPr>
          <w:t>I.4</w:t>
        </w:r>
        <w:r w:rsidR="001353E5">
          <w:rPr>
            <w:rFonts w:asciiTheme="minorHAnsi" w:eastAsiaTheme="minorEastAsia" w:hAnsiTheme="minorHAnsi" w:cstheme="minorBidi"/>
            <w:b w:val="0"/>
            <w:noProof/>
            <w:szCs w:val="22"/>
            <w:lang w:eastAsia="en-GB"/>
          </w:rPr>
          <w:tab/>
        </w:r>
        <w:r w:rsidR="001353E5" w:rsidRPr="00EB7E77">
          <w:rPr>
            <w:rStyle w:val="-"/>
            <w:noProof/>
          </w:rPr>
          <w:t>Basis of assessment</w:t>
        </w:r>
        <w:r w:rsidR="001353E5">
          <w:rPr>
            <w:noProof/>
            <w:webHidden/>
          </w:rPr>
          <w:tab/>
        </w:r>
        <w:r w:rsidR="001353E5">
          <w:rPr>
            <w:noProof/>
            <w:webHidden/>
          </w:rPr>
          <w:fldChar w:fldCharType="begin"/>
        </w:r>
        <w:r w:rsidR="001353E5">
          <w:rPr>
            <w:noProof/>
            <w:webHidden/>
          </w:rPr>
          <w:instrText xml:space="preserve"> PAGEREF _Toc67565574 \h </w:instrText>
        </w:r>
        <w:r w:rsidR="001353E5">
          <w:rPr>
            <w:noProof/>
            <w:webHidden/>
          </w:rPr>
        </w:r>
        <w:r w:rsidR="001353E5">
          <w:rPr>
            <w:noProof/>
            <w:webHidden/>
          </w:rPr>
          <w:fldChar w:fldCharType="separate"/>
        </w:r>
        <w:r w:rsidR="000250B6">
          <w:rPr>
            <w:noProof/>
            <w:webHidden/>
          </w:rPr>
          <w:t>289</w:t>
        </w:r>
        <w:r w:rsidR="001353E5">
          <w:rPr>
            <w:noProof/>
            <w:webHidden/>
          </w:rPr>
          <w:fldChar w:fldCharType="end"/>
        </w:r>
      </w:hyperlink>
    </w:p>
    <w:p w14:paraId="3C756C57"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75" w:history="1">
        <w:r w:rsidR="001353E5" w:rsidRPr="00EB7E77">
          <w:rPr>
            <w:rStyle w:val="-"/>
            <w:noProof/>
          </w:rPr>
          <w:t>I.5</w:t>
        </w:r>
        <w:r w:rsidR="001353E5">
          <w:rPr>
            <w:rFonts w:asciiTheme="minorHAnsi" w:eastAsiaTheme="minorEastAsia" w:hAnsiTheme="minorHAnsi" w:cstheme="minorBidi"/>
            <w:b w:val="0"/>
            <w:noProof/>
            <w:szCs w:val="22"/>
            <w:lang w:eastAsia="en-GB"/>
          </w:rPr>
          <w:tab/>
        </w:r>
        <w:r w:rsidR="001353E5" w:rsidRPr="00EB7E77">
          <w:rPr>
            <w:rStyle w:val="-"/>
            <w:noProof/>
          </w:rPr>
          <w:t>Materials</w:t>
        </w:r>
        <w:r w:rsidR="001353E5">
          <w:rPr>
            <w:noProof/>
            <w:webHidden/>
          </w:rPr>
          <w:tab/>
        </w:r>
        <w:r w:rsidR="001353E5">
          <w:rPr>
            <w:noProof/>
            <w:webHidden/>
          </w:rPr>
          <w:fldChar w:fldCharType="begin"/>
        </w:r>
        <w:r w:rsidR="001353E5">
          <w:rPr>
            <w:noProof/>
            <w:webHidden/>
          </w:rPr>
          <w:instrText xml:space="preserve"> PAGEREF _Toc67565575 \h </w:instrText>
        </w:r>
        <w:r w:rsidR="001353E5">
          <w:rPr>
            <w:noProof/>
            <w:webHidden/>
          </w:rPr>
        </w:r>
        <w:r w:rsidR="001353E5">
          <w:rPr>
            <w:noProof/>
            <w:webHidden/>
          </w:rPr>
          <w:fldChar w:fldCharType="separate"/>
        </w:r>
        <w:r w:rsidR="000250B6">
          <w:rPr>
            <w:noProof/>
            <w:webHidden/>
          </w:rPr>
          <w:t>290</w:t>
        </w:r>
        <w:r w:rsidR="001353E5">
          <w:rPr>
            <w:noProof/>
            <w:webHidden/>
          </w:rPr>
          <w:fldChar w:fldCharType="end"/>
        </w:r>
      </w:hyperlink>
    </w:p>
    <w:p w14:paraId="7FCA1361"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76" w:history="1">
        <w:r w:rsidR="001353E5" w:rsidRPr="00EB7E77">
          <w:rPr>
            <w:rStyle w:val="-"/>
            <w:noProof/>
          </w:rPr>
          <w:t>I.6</w:t>
        </w:r>
        <w:r w:rsidR="001353E5">
          <w:rPr>
            <w:rFonts w:asciiTheme="minorHAnsi" w:eastAsiaTheme="minorEastAsia" w:hAnsiTheme="minorHAnsi" w:cstheme="minorBidi"/>
            <w:b w:val="0"/>
            <w:noProof/>
            <w:szCs w:val="22"/>
            <w:lang w:eastAsia="en-GB"/>
          </w:rPr>
          <w:tab/>
        </w:r>
        <w:r w:rsidR="001353E5" w:rsidRPr="00EB7E77">
          <w:rPr>
            <w:rStyle w:val="-"/>
            <w:noProof/>
          </w:rPr>
          <w:t>Durability - Minimum cover for bond</w:t>
        </w:r>
        <w:r w:rsidR="001353E5">
          <w:rPr>
            <w:noProof/>
            <w:webHidden/>
          </w:rPr>
          <w:tab/>
        </w:r>
        <w:r w:rsidR="001353E5">
          <w:rPr>
            <w:noProof/>
            <w:webHidden/>
          </w:rPr>
          <w:fldChar w:fldCharType="begin"/>
        </w:r>
        <w:r w:rsidR="001353E5">
          <w:rPr>
            <w:noProof/>
            <w:webHidden/>
          </w:rPr>
          <w:instrText xml:space="preserve"> PAGEREF _Toc67565576 \h </w:instrText>
        </w:r>
        <w:r w:rsidR="001353E5">
          <w:rPr>
            <w:noProof/>
            <w:webHidden/>
          </w:rPr>
        </w:r>
        <w:r w:rsidR="001353E5">
          <w:rPr>
            <w:noProof/>
            <w:webHidden/>
          </w:rPr>
          <w:fldChar w:fldCharType="separate"/>
        </w:r>
        <w:r w:rsidR="000250B6">
          <w:rPr>
            <w:noProof/>
            <w:webHidden/>
          </w:rPr>
          <w:t>293</w:t>
        </w:r>
        <w:r w:rsidR="001353E5">
          <w:rPr>
            <w:noProof/>
            <w:webHidden/>
          </w:rPr>
          <w:fldChar w:fldCharType="end"/>
        </w:r>
      </w:hyperlink>
    </w:p>
    <w:p w14:paraId="06565EE9"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77" w:history="1">
        <w:r w:rsidR="001353E5" w:rsidRPr="00EB7E77">
          <w:rPr>
            <w:rStyle w:val="-"/>
            <w:noProof/>
          </w:rPr>
          <w:t>I.7</w:t>
        </w:r>
        <w:r w:rsidR="001353E5">
          <w:rPr>
            <w:rFonts w:asciiTheme="minorHAnsi" w:eastAsiaTheme="minorEastAsia" w:hAnsiTheme="minorHAnsi" w:cstheme="minorBidi"/>
            <w:b w:val="0"/>
            <w:noProof/>
            <w:szCs w:val="22"/>
            <w:lang w:eastAsia="en-GB"/>
          </w:rPr>
          <w:tab/>
        </w:r>
        <w:r w:rsidR="001353E5" w:rsidRPr="00EB7E77">
          <w:rPr>
            <w:rStyle w:val="-"/>
            <w:noProof/>
          </w:rPr>
          <w:t>Structural analysis</w:t>
        </w:r>
        <w:r w:rsidR="001353E5">
          <w:rPr>
            <w:noProof/>
            <w:webHidden/>
          </w:rPr>
          <w:tab/>
        </w:r>
        <w:r w:rsidR="001353E5">
          <w:rPr>
            <w:noProof/>
            <w:webHidden/>
          </w:rPr>
          <w:fldChar w:fldCharType="begin"/>
        </w:r>
        <w:r w:rsidR="001353E5">
          <w:rPr>
            <w:noProof/>
            <w:webHidden/>
          </w:rPr>
          <w:instrText xml:space="preserve"> PAGEREF _Toc67565577 \h </w:instrText>
        </w:r>
        <w:r w:rsidR="001353E5">
          <w:rPr>
            <w:noProof/>
            <w:webHidden/>
          </w:rPr>
        </w:r>
        <w:r w:rsidR="001353E5">
          <w:rPr>
            <w:noProof/>
            <w:webHidden/>
          </w:rPr>
          <w:fldChar w:fldCharType="separate"/>
        </w:r>
        <w:r w:rsidR="000250B6">
          <w:rPr>
            <w:noProof/>
            <w:webHidden/>
          </w:rPr>
          <w:t>293</w:t>
        </w:r>
        <w:r w:rsidR="001353E5">
          <w:rPr>
            <w:noProof/>
            <w:webHidden/>
          </w:rPr>
          <w:fldChar w:fldCharType="end"/>
        </w:r>
      </w:hyperlink>
    </w:p>
    <w:p w14:paraId="3A83CF0F"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78" w:history="1">
        <w:r w:rsidR="001353E5" w:rsidRPr="00EB7E77">
          <w:rPr>
            <w:rStyle w:val="-"/>
            <w:noProof/>
          </w:rPr>
          <w:t>I.8</w:t>
        </w:r>
        <w:r w:rsidR="001353E5">
          <w:rPr>
            <w:rFonts w:asciiTheme="minorHAnsi" w:eastAsiaTheme="minorEastAsia" w:hAnsiTheme="minorHAnsi" w:cstheme="minorBidi"/>
            <w:b w:val="0"/>
            <w:noProof/>
            <w:szCs w:val="22"/>
            <w:lang w:eastAsia="en-GB"/>
          </w:rPr>
          <w:tab/>
        </w:r>
        <w:r w:rsidR="001353E5" w:rsidRPr="00EB7E77">
          <w:rPr>
            <w:rStyle w:val="-"/>
            <w:noProof/>
          </w:rPr>
          <w:t>Ultimate Limit States (ULS)</w:t>
        </w:r>
        <w:r w:rsidR="001353E5">
          <w:rPr>
            <w:noProof/>
            <w:webHidden/>
          </w:rPr>
          <w:tab/>
        </w:r>
        <w:r w:rsidR="001353E5">
          <w:rPr>
            <w:noProof/>
            <w:webHidden/>
          </w:rPr>
          <w:fldChar w:fldCharType="begin"/>
        </w:r>
        <w:r w:rsidR="001353E5">
          <w:rPr>
            <w:noProof/>
            <w:webHidden/>
          </w:rPr>
          <w:instrText xml:space="preserve"> PAGEREF _Toc67565578 \h </w:instrText>
        </w:r>
        <w:r w:rsidR="001353E5">
          <w:rPr>
            <w:noProof/>
            <w:webHidden/>
          </w:rPr>
        </w:r>
        <w:r w:rsidR="001353E5">
          <w:rPr>
            <w:noProof/>
            <w:webHidden/>
          </w:rPr>
          <w:fldChar w:fldCharType="separate"/>
        </w:r>
        <w:r w:rsidR="000250B6">
          <w:rPr>
            <w:noProof/>
            <w:webHidden/>
          </w:rPr>
          <w:t>294</w:t>
        </w:r>
        <w:r w:rsidR="001353E5">
          <w:rPr>
            <w:noProof/>
            <w:webHidden/>
          </w:rPr>
          <w:fldChar w:fldCharType="end"/>
        </w:r>
      </w:hyperlink>
    </w:p>
    <w:p w14:paraId="6DAB580D"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79" w:history="1">
        <w:r w:rsidR="001353E5" w:rsidRPr="00EB7E77">
          <w:rPr>
            <w:rStyle w:val="-"/>
            <w:noProof/>
          </w:rPr>
          <w:t>I.9</w:t>
        </w:r>
        <w:r w:rsidR="001353E5">
          <w:rPr>
            <w:rFonts w:asciiTheme="minorHAnsi" w:eastAsiaTheme="minorEastAsia" w:hAnsiTheme="minorHAnsi" w:cstheme="minorBidi"/>
            <w:b w:val="0"/>
            <w:noProof/>
            <w:szCs w:val="22"/>
            <w:lang w:eastAsia="en-GB"/>
          </w:rPr>
          <w:tab/>
        </w:r>
        <w:r w:rsidR="001353E5" w:rsidRPr="00EB7E77">
          <w:rPr>
            <w:rStyle w:val="-"/>
            <w:noProof/>
          </w:rPr>
          <w:t>Serviceability Limit States (SLS)</w:t>
        </w:r>
        <w:r w:rsidR="001353E5">
          <w:rPr>
            <w:noProof/>
            <w:webHidden/>
          </w:rPr>
          <w:tab/>
        </w:r>
        <w:r w:rsidR="001353E5">
          <w:rPr>
            <w:noProof/>
            <w:webHidden/>
          </w:rPr>
          <w:fldChar w:fldCharType="begin"/>
        </w:r>
        <w:r w:rsidR="001353E5">
          <w:rPr>
            <w:noProof/>
            <w:webHidden/>
          </w:rPr>
          <w:instrText xml:space="preserve"> PAGEREF _Toc67565579 \h </w:instrText>
        </w:r>
        <w:r w:rsidR="001353E5">
          <w:rPr>
            <w:noProof/>
            <w:webHidden/>
          </w:rPr>
        </w:r>
        <w:r w:rsidR="001353E5">
          <w:rPr>
            <w:noProof/>
            <w:webHidden/>
          </w:rPr>
          <w:fldChar w:fldCharType="separate"/>
        </w:r>
        <w:r w:rsidR="000250B6">
          <w:rPr>
            <w:noProof/>
            <w:webHidden/>
          </w:rPr>
          <w:t>299</w:t>
        </w:r>
        <w:r w:rsidR="001353E5">
          <w:rPr>
            <w:noProof/>
            <w:webHidden/>
          </w:rPr>
          <w:fldChar w:fldCharType="end"/>
        </w:r>
      </w:hyperlink>
    </w:p>
    <w:p w14:paraId="615DD040"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80" w:history="1">
        <w:r w:rsidR="001353E5" w:rsidRPr="00EB7E77">
          <w:rPr>
            <w:rStyle w:val="-"/>
            <w:noProof/>
          </w:rPr>
          <w:t>I.10</w:t>
        </w:r>
        <w:r w:rsidR="001353E5">
          <w:rPr>
            <w:rFonts w:asciiTheme="minorHAnsi" w:eastAsiaTheme="minorEastAsia" w:hAnsiTheme="minorHAnsi" w:cstheme="minorBidi"/>
            <w:b w:val="0"/>
            <w:noProof/>
            <w:szCs w:val="22"/>
            <w:lang w:eastAsia="en-GB"/>
          </w:rPr>
          <w:tab/>
        </w:r>
        <w:r w:rsidR="001353E5" w:rsidRPr="00EB7E77">
          <w:rPr>
            <w:rStyle w:val="-"/>
            <w:noProof/>
          </w:rPr>
          <w:t>Fatigue</w:t>
        </w:r>
        <w:r w:rsidR="001353E5">
          <w:rPr>
            <w:noProof/>
            <w:webHidden/>
          </w:rPr>
          <w:tab/>
        </w:r>
        <w:r w:rsidR="001353E5">
          <w:rPr>
            <w:noProof/>
            <w:webHidden/>
          </w:rPr>
          <w:fldChar w:fldCharType="begin"/>
        </w:r>
        <w:r w:rsidR="001353E5">
          <w:rPr>
            <w:noProof/>
            <w:webHidden/>
          </w:rPr>
          <w:instrText xml:space="preserve"> PAGEREF _Toc67565580 \h </w:instrText>
        </w:r>
        <w:r w:rsidR="001353E5">
          <w:rPr>
            <w:noProof/>
            <w:webHidden/>
          </w:rPr>
        </w:r>
        <w:r w:rsidR="001353E5">
          <w:rPr>
            <w:noProof/>
            <w:webHidden/>
          </w:rPr>
          <w:fldChar w:fldCharType="separate"/>
        </w:r>
        <w:r w:rsidR="000250B6">
          <w:rPr>
            <w:noProof/>
            <w:webHidden/>
          </w:rPr>
          <w:t>300</w:t>
        </w:r>
        <w:r w:rsidR="001353E5">
          <w:rPr>
            <w:noProof/>
            <w:webHidden/>
          </w:rPr>
          <w:fldChar w:fldCharType="end"/>
        </w:r>
      </w:hyperlink>
    </w:p>
    <w:p w14:paraId="670B05E2"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81" w:history="1">
        <w:r w:rsidR="001353E5" w:rsidRPr="00EB7E77">
          <w:rPr>
            <w:rStyle w:val="-"/>
            <w:noProof/>
          </w:rPr>
          <w:t>I.11</w:t>
        </w:r>
        <w:r w:rsidR="001353E5">
          <w:rPr>
            <w:rFonts w:asciiTheme="minorHAnsi" w:eastAsiaTheme="minorEastAsia" w:hAnsiTheme="minorHAnsi" w:cstheme="minorBidi"/>
            <w:b w:val="0"/>
            <w:noProof/>
            <w:szCs w:val="22"/>
            <w:lang w:eastAsia="en-GB"/>
          </w:rPr>
          <w:tab/>
        </w:r>
        <w:r w:rsidR="001353E5" w:rsidRPr="00EB7E77">
          <w:rPr>
            <w:rStyle w:val="-"/>
            <w:noProof/>
          </w:rPr>
          <w:t>Detailing of reinforcement and post-tensioning tendons</w:t>
        </w:r>
        <w:r w:rsidR="001353E5">
          <w:rPr>
            <w:noProof/>
            <w:webHidden/>
          </w:rPr>
          <w:tab/>
        </w:r>
        <w:r w:rsidR="001353E5">
          <w:rPr>
            <w:noProof/>
            <w:webHidden/>
          </w:rPr>
          <w:fldChar w:fldCharType="begin"/>
        </w:r>
        <w:r w:rsidR="001353E5">
          <w:rPr>
            <w:noProof/>
            <w:webHidden/>
          </w:rPr>
          <w:instrText xml:space="preserve"> PAGEREF _Toc67565581 \h </w:instrText>
        </w:r>
        <w:r w:rsidR="001353E5">
          <w:rPr>
            <w:noProof/>
            <w:webHidden/>
          </w:rPr>
        </w:r>
        <w:r w:rsidR="001353E5">
          <w:rPr>
            <w:noProof/>
            <w:webHidden/>
          </w:rPr>
          <w:fldChar w:fldCharType="separate"/>
        </w:r>
        <w:r w:rsidR="000250B6">
          <w:rPr>
            <w:noProof/>
            <w:webHidden/>
          </w:rPr>
          <w:t>300</w:t>
        </w:r>
        <w:r w:rsidR="001353E5">
          <w:rPr>
            <w:noProof/>
            <w:webHidden/>
          </w:rPr>
          <w:fldChar w:fldCharType="end"/>
        </w:r>
      </w:hyperlink>
    </w:p>
    <w:p w14:paraId="2CED98C0"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82" w:history="1">
        <w:r w:rsidR="001353E5" w:rsidRPr="00EB7E77">
          <w:rPr>
            <w:rStyle w:val="-"/>
            <w:noProof/>
          </w:rPr>
          <w:t>I.12</w:t>
        </w:r>
        <w:r w:rsidR="001353E5">
          <w:rPr>
            <w:rFonts w:asciiTheme="minorHAnsi" w:eastAsiaTheme="minorEastAsia" w:hAnsiTheme="minorHAnsi" w:cstheme="minorBidi"/>
            <w:b w:val="0"/>
            <w:noProof/>
            <w:szCs w:val="22"/>
            <w:lang w:eastAsia="en-GB"/>
          </w:rPr>
          <w:tab/>
        </w:r>
        <w:r w:rsidR="001353E5" w:rsidRPr="00EB7E77">
          <w:rPr>
            <w:rStyle w:val="-"/>
            <w:noProof/>
          </w:rPr>
          <w:t>Detailing of members and particular rules - Minimum reinforcement rules</w:t>
        </w:r>
        <w:r w:rsidR="001353E5">
          <w:rPr>
            <w:noProof/>
            <w:webHidden/>
          </w:rPr>
          <w:tab/>
        </w:r>
        <w:r w:rsidR="001353E5">
          <w:rPr>
            <w:noProof/>
            <w:webHidden/>
          </w:rPr>
          <w:fldChar w:fldCharType="begin"/>
        </w:r>
        <w:r w:rsidR="001353E5">
          <w:rPr>
            <w:noProof/>
            <w:webHidden/>
          </w:rPr>
          <w:instrText xml:space="preserve"> PAGEREF _Toc67565582 \h </w:instrText>
        </w:r>
        <w:r w:rsidR="001353E5">
          <w:rPr>
            <w:noProof/>
            <w:webHidden/>
          </w:rPr>
        </w:r>
        <w:r w:rsidR="001353E5">
          <w:rPr>
            <w:noProof/>
            <w:webHidden/>
          </w:rPr>
          <w:fldChar w:fldCharType="separate"/>
        </w:r>
        <w:r w:rsidR="000250B6">
          <w:rPr>
            <w:noProof/>
            <w:webHidden/>
          </w:rPr>
          <w:t>303</w:t>
        </w:r>
        <w:r w:rsidR="001353E5">
          <w:rPr>
            <w:noProof/>
            <w:webHidden/>
          </w:rPr>
          <w:fldChar w:fldCharType="end"/>
        </w:r>
      </w:hyperlink>
    </w:p>
    <w:p w14:paraId="3209DBF0" w14:textId="77777777" w:rsidR="001353E5" w:rsidRDefault="00231E33">
      <w:pPr>
        <w:pStyle w:val="10"/>
        <w:rPr>
          <w:rFonts w:asciiTheme="minorHAnsi" w:eastAsiaTheme="minorEastAsia" w:hAnsiTheme="minorHAnsi" w:cstheme="minorBidi"/>
          <w:b w:val="0"/>
          <w:noProof/>
          <w:szCs w:val="22"/>
          <w:lang w:eastAsia="en-GB"/>
        </w:rPr>
      </w:pPr>
      <w:hyperlink w:anchor="_Toc67565583" w:history="1">
        <w:r w:rsidR="001353E5" w:rsidRPr="00EB7E77">
          <w:rPr>
            <w:rStyle w:val="-"/>
            <w:noProof/>
          </w:rPr>
          <w:t>Annex J (informative)  Strengthening of Existing Concrete Structures with CFRP</w:t>
        </w:r>
        <w:r w:rsidR="001353E5">
          <w:rPr>
            <w:noProof/>
            <w:webHidden/>
          </w:rPr>
          <w:tab/>
        </w:r>
        <w:r w:rsidR="001353E5">
          <w:rPr>
            <w:noProof/>
            <w:webHidden/>
          </w:rPr>
          <w:fldChar w:fldCharType="begin"/>
        </w:r>
        <w:r w:rsidR="001353E5">
          <w:rPr>
            <w:noProof/>
            <w:webHidden/>
          </w:rPr>
          <w:instrText xml:space="preserve"> PAGEREF _Toc67565583 \h </w:instrText>
        </w:r>
        <w:r w:rsidR="001353E5">
          <w:rPr>
            <w:noProof/>
            <w:webHidden/>
          </w:rPr>
        </w:r>
        <w:r w:rsidR="001353E5">
          <w:rPr>
            <w:noProof/>
            <w:webHidden/>
          </w:rPr>
          <w:fldChar w:fldCharType="separate"/>
        </w:r>
        <w:r w:rsidR="000250B6">
          <w:rPr>
            <w:noProof/>
            <w:webHidden/>
          </w:rPr>
          <w:t>304</w:t>
        </w:r>
        <w:r w:rsidR="001353E5">
          <w:rPr>
            <w:noProof/>
            <w:webHidden/>
          </w:rPr>
          <w:fldChar w:fldCharType="end"/>
        </w:r>
      </w:hyperlink>
    </w:p>
    <w:p w14:paraId="3F474607"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84" w:history="1">
        <w:r w:rsidR="001353E5" w:rsidRPr="00EB7E77">
          <w:rPr>
            <w:rStyle w:val="-"/>
            <w:noProof/>
          </w:rPr>
          <w:t>J.1</w:t>
        </w:r>
        <w:r w:rsidR="001353E5">
          <w:rPr>
            <w:rFonts w:asciiTheme="minorHAnsi" w:eastAsiaTheme="minorEastAsia" w:hAnsiTheme="minorHAnsi" w:cstheme="minorBidi"/>
            <w:b w:val="0"/>
            <w:noProof/>
            <w:szCs w:val="22"/>
            <w:lang w:eastAsia="en-GB"/>
          </w:rPr>
          <w:tab/>
        </w:r>
        <w:r w:rsidR="001353E5" w:rsidRPr="00EB7E77">
          <w:rPr>
            <w:rStyle w:val="-"/>
            <w:noProof/>
          </w:rPr>
          <w:t>Use of this annex</w:t>
        </w:r>
        <w:r w:rsidR="001353E5">
          <w:rPr>
            <w:noProof/>
            <w:webHidden/>
          </w:rPr>
          <w:tab/>
        </w:r>
        <w:r w:rsidR="001353E5">
          <w:rPr>
            <w:noProof/>
            <w:webHidden/>
          </w:rPr>
          <w:fldChar w:fldCharType="begin"/>
        </w:r>
        <w:r w:rsidR="001353E5">
          <w:rPr>
            <w:noProof/>
            <w:webHidden/>
          </w:rPr>
          <w:instrText xml:space="preserve"> PAGEREF _Toc67565584 \h </w:instrText>
        </w:r>
        <w:r w:rsidR="001353E5">
          <w:rPr>
            <w:noProof/>
            <w:webHidden/>
          </w:rPr>
        </w:r>
        <w:r w:rsidR="001353E5">
          <w:rPr>
            <w:noProof/>
            <w:webHidden/>
          </w:rPr>
          <w:fldChar w:fldCharType="separate"/>
        </w:r>
        <w:r w:rsidR="000250B6">
          <w:rPr>
            <w:noProof/>
            <w:webHidden/>
          </w:rPr>
          <w:t>304</w:t>
        </w:r>
        <w:r w:rsidR="001353E5">
          <w:rPr>
            <w:noProof/>
            <w:webHidden/>
          </w:rPr>
          <w:fldChar w:fldCharType="end"/>
        </w:r>
      </w:hyperlink>
    </w:p>
    <w:p w14:paraId="2C564B18"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85" w:history="1">
        <w:r w:rsidR="001353E5" w:rsidRPr="00EB7E77">
          <w:rPr>
            <w:rStyle w:val="-"/>
            <w:noProof/>
          </w:rPr>
          <w:t>J.2</w:t>
        </w:r>
        <w:r w:rsidR="001353E5">
          <w:rPr>
            <w:rFonts w:asciiTheme="minorHAnsi" w:eastAsiaTheme="minorEastAsia" w:hAnsiTheme="minorHAnsi" w:cstheme="minorBidi"/>
            <w:b w:val="0"/>
            <w:noProof/>
            <w:szCs w:val="22"/>
            <w:lang w:eastAsia="en-GB"/>
          </w:rPr>
          <w:tab/>
        </w:r>
        <w:r w:rsidR="001353E5" w:rsidRPr="00EB7E77">
          <w:rPr>
            <w:rStyle w:val="-"/>
            <w:noProof/>
          </w:rPr>
          <w:t>Scope and field of application</w:t>
        </w:r>
        <w:r w:rsidR="001353E5">
          <w:rPr>
            <w:noProof/>
            <w:webHidden/>
          </w:rPr>
          <w:tab/>
        </w:r>
        <w:r w:rsidR="001353E5">
          <w:rPr>
            <w:noProof/>
            <w:webHidden/>
          </w:rPr>
          <w:fldChar w:fldCharType="begin"/>
        </w:r>
        <w:r w:rsidR="001353E5">
          <w:rPr>
            <w:noProof/>
            <w:webHidden/>
          </w:rPr>
          <w:instrText xml:space="preserve"> PAGEREF _Toc67565585 \h </w:instrText>
        </w:r>
        <w:r w:rsidR="001353E5">
          <w:rPr>
            <w:noProof/>
            <w:webHidden/>
          </w:rPr>
        </w:r>
        <w:r w:rsidR="001353E5">
          <w:rPr>
            <w:noProof/>
            <w:webHidden/>
          </w:rPr>
          <w:fldChar w:fldCharType="separate"/>
        </w:r>
        <w:r w:rsidR="000250B6">
          <w:rPr>
            <w:noProof/>
            <w:webHidden/>
          </w:rPr>
          <w:t>304</w:t>
        </w:r>
        <w:r w:rsidR="001353E5">
          <w:rPr>
            <w:noProof/>
            <w:webHidden/>
          </w:rPr>
          <w:fldChar w:fldCharType="end"/>
        </w:r>
      </w:hyperlink>
    </w:p>
    <w:p w14:paraId="058B9550"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86" w:history="1">
        <w:r w:rsidR="001353E5" w:rsidRPr="00EB7E77">
          <w:rPr>
            <w:rStyle w:val="-"/>
            <w:noProof/>
          </w:rPr>
          <w:t>J.3</w:t>
        </w:r>
        <w:r w:rsidR="001353E5">
          <w:rPr>
            <w:rFonts w:asciiTheme="minorHAnsi" w:eastAsiaTheme="minorEastAsia" w:hAnsiTheme="minorHAnsi" w:cstheme="minorBidi"/>
            <w:b w:val="0"/>
            <w:noProof/>
            <w:szCs w:val="22"/>
            <w:lang w:eastAsia="en-GB"/>
          </w:rPr>
          <w:tab/>
        </w:r>
        <w:r w:rsidR="001353E5" w:rsidRPr="00EB7E77">
          <w:rPr>
            <w:rStyle w:val="-"/>
            <w:noProof/>
          </w:rPr>
          <w:t>General</w:t>
        </w:r>
        <w:r w:rsidR="001353E5">
          <w:rPr>
            <w:noProof/>
            <w:webHidden/>
          </w:rPr>
          <w:tab/>
        </w:r>
        <w:r w:rsidR="001353E5">
          <w:rPr>
            <w:noProof/>
            <w:webHidden/>
          </w:rPr>
          <w:fldChar w:fldCharType="begin"/>
        </w:r>
        <w:r w:rsidR="001353E5">
          <w:rPr>
            <w:noProof/>
            <w:webHidden/>
          </w:rPr>
          <w:instrText xml:space="preserve"> PAGEREF _Toc67565586 \h </w:instrText>
        </w:r>
        <w:r w:rsidR="001353E5">
          <w:rPr>
            <w:noProof/>
            <w:webHidden/>
          </w:rPr>
        </w:r>
        <w:r w:rsidR="001353E5">
          <w:rPr>
            <w:noProof/>
            <w:webHidden/>
          </w:rPr>
          <w:fldChar w:fldCharType="separate"/>
        </w:r>
        <w:r w:rsidR="000250B6">
          <w:rPr>
            <w:noProof/>
            <w:webHidden/>
          </w:rPr>
          <w:t>304</w:t>
        </w:r>
        <w:r w:rsidR="001353E5">
          <w:rPr>
            <w:noProof/>
            <w:webHidden/>
          </w:rPr>
          <w:fldChar w:fldCharType="end"/>
        </w:r>
      </w:hyperlink>
    </w:p>
    <w:p w14:paraId="56EBDD60"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87" w:history="1">
        <w:r w:rsidR="001353E5" w:rsidRPr="00EB7E77">
          <w:rPr>
            <w:rStyle w:val="-"/>
            <w:noProof/>
          </w:rPr>
          <w:t>J.4</w:t>
        </w:r>
        <w:r w:rsidR="001353E5">
          <w:rPr>
            <w:rFonts w:asciiTheme="minorHAnsi" w:eastAsiaTheme="minorEastAsia" w:hAnsiTheme="minorHAnsi" w:cstheme="minorBidi"/>
            <w:b w:val="0"/>
            <w:noProof/>
            <w:szCs w:val="22"/>
            <w:lang w:eastAsia="en-GB"/>
          </w:rPr>
          <w:tab/>
        </w:r>
        <w:r w:rsidR="001353E5" w:rsidRPr="00EB7E77">
          <w:rPr>
            <w:rStyle w:val="-"/>
            <w:noProof/>
          </w:rPr>
          <w:t>Basis of design - Partial factors for materials</w:t>
        </w:r>
        <w:r w:rsidR="001353E5">
          <w:rPr>
            <w:noProof/>
            <w:webHidden/>
          </w:rPr>
          <w:tab/>
        </w:r>
        <w:r w:rsidR="001353E5">
          <w:rPr>
            <w:noProof/>
            <w:webHidden/>
          </w:rPr>
          <w:fldChar w:fldCharType="begin"/>
        </w:r>
        <w:r w:rsidR="001353E5">
          <w:rPr>
            <w:noProof/>
            <w:webHidden/>
          </w:rPr>
          <w:instrText xml:space="preserve"> PAGEREF _Toc67565587 \h </w:instrText>
        </w:r>
        <w:r w:rsidR="001353E5">
          <w:rPr>
            <w:noProof/>
            <w:webHidden/>
          </w:rPr>
        </w:r>
        <w:r w:rsidR="001353E5">
          <w:rPr>
            <w:noProof/>
            <w:webHidden/>
          </w:rPr>
          <w:fldChar w:fldCharType="separate"/>
        </w:r>
        <w:r w:rsidR="000250B6">
          <w:rPr>
            <w:noProof/>
            <w:webHidden/>
          </w:rPr>
          <w:t>304</w:t>
        </w:r>
        <w:r w:rsidR="001353E5">
          <w:rPr>
            <w:noProof/>
            <w:webHidden/>
          </w:rPr>
          <w:fldChar w:fldCharType="end"/>
        </w:r>
      </w:hyperlink>
    </w:p>
    <w:p w14:paraId="3198985F"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88" w:history="1">
        <w:r w:rsidR="001353E5" w:rsidRPr="00EB7E77">
          <w:rPr>
            <w:rStyle w:val="-"/>
            <w:noProof/>
          </w:rPr>
          <w:t>J.5</w:t>
        </w:r>
        <w:r w:rsidR="001353E5">
          <w:rPr>
            <w:rFonts w:asciiTheme="minorHAnsi" w:eastAsiaTheme="minorEastAsia" w:hAnsiTheme="minorHAnsi" w:cstheme="minorBidi"/>
            <w:b w:val="0"/>
            <w:noProof/>
            <w:szCs w:val="22"/>
            <w:lang w:eastAsia="en-GB"/>
          </w:rPr>
          <w:tab/>
        </w:r>
        <w:r w:rsidR="001353E5" w:rsidRPr="00EB7E77">
          <w:rPr>
            <w:rStyle w:val="-"/>
            <w:noProof/>
          </w:rPr>
          <w:t>Materials - Properties and related conditions</w:t>
        </w:r>
        <w:r w:rsidR="001353E5">
          <w:rPr>
            <w:noProof/>
            <w:webHidden/>
          </w:rPr>
          <w:tab/>
        </w:r>
        <w:r w:rsidR="001353E5">
          <w:rPr>
            <w:noProof/>
            <w:webHidden/>
          </w:rPr>
          <w:fldChar w:fldCharType="begin"/>
        </w:r>
        <w:r w:rsidR="001353E5">
          <w:rPr>
            <w:noProof/>
            <w:webHidden/>
          </w:rPr>
          <w:instrText xml:space="preserve"> PAGEREF _Toc67565588 \h </w:instrText>
        </w:r>
        <w:r w:rsidR="001353E5">
          <w:rPr>
            <w:noProof/>
            <w:webHidden/>
          </w:rPr>
        </w:r>
        <w:r w:rsidR="001353E5">
          <w:rPr>
            <w:noProof/>
            <w:webHidden/>
          </w:rPr>
          <w:fldChar w:fldCharType="separate"/>
        </w:r>
        <w:r w:rsidR="000250B6">
          <w:rPr>
            <w:noProof/>
            <w:webHidden/>
          </w:rPr>
          <w:t>305</w:t>
        </w:r>
        <w:r w:rsidR="001353E5">
          <w:rPr>
            <w:noProof/>
            <w:webHidden/>
          </w:rPr>
          <w:fldChar w:fldCharType="end"/>
        </w:r>
      </w:hyperlink>
    </w:p>
    <w:p w14:paraId="461A4EF3"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89" w:history="1">
        <w:r w:rsidR="001353E5" w:rsidRPr="00EB7E77">
          <w:rPr>
            <w:rStyle w:val="-"/>
            <w:noProof/>
          </w:rPr>
          <w:t>J.6</w:t>
        </w:r>
        <w:r w:rsidR="001353E5">
          <w:rPr>
            <w:rFonts w:asciiTheme="minorHAnsi" w:eastAsiaTheme="minorEastAsia" w:hAnsiTheme="minorHAnsi" w:cstheme="minorBidi"/>
            <w:b w:val="0"/>
            <w:noProof/>
            <w:szCs w:val="22"/>
            <w:lang w:eastAsia="en-GB"/>
          </w:rPr>
          <w:tab/>
        </w:r>
        <w:r w:rsidR="001353E5" w:rsidRPr="00EB7E77">
          <w:rPr>
            <w:rStyle w:val="-"/>
            <w:noProof/>
            <w:lang w:val="fr-FR"/>
          </w:rPr>
          <w:t>Durability - Environmental exposure conditions</w:t>
        </w:r>
        <w:r w:rsidR="001353E5">
          <w:rPr>
            <w:noProof/>
            <w:webHidden/>
          </w:rPr>
          <w:tab/>
        </w:r>
        <w:r w:rsidR="001353E5">
          <w:rPr>
            <w:noProof/>
            <w:webHidden/>
          </w:rPr>
          <w:fldChar w:fldCharType="begin"/>
        </w:r>
        <w:r w:rsidR="001353E5">
          <w:rPr>
            <w:noProof/>
            <w:webHidden/>
          </w:rPr>
          <w:instrText xml:space="preserve"> PAGEREF _Toc67565589 \h </w:instrText>
        </w:r>
        <w:r w:rsidR="001353E5">
          <w:rPr>
            <w:noProof/>
            <w:webHidden/>
          </w:rPr>
        </w:r>
        <w:r w:rsidR="001353E5">
          <w:rPr>
            <w:noProof/>
            <w:webHidden/>
          </w:rPr>
          <w:fldChar w:fldCharType="separate"/>
        </w:r>
        <w:r w:rsidR="000250B6">
          <w:rPr>
            <w:noProof/>
            <w:webHidden/>
          </w:rPr>
          <w:t>306</w:t>
        </w:r>
        <w:r w:rsidR="001353E5">
          <w:rPr>
            <w:noProof/>
            <w:webHidden/>
          </w:rPr>
          <w:fldChar w:fldCharType="end"/>
        </w:r>
      </w:hyperlink>
    </w:p>
    <w:p w14:paraId="7A53A354"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90" w:history="1">
        <w:r w:rsidR="001353E5" w:rsidRPr="00EB7E77">
          <w:rPr>
            <w:rStyle w:val="-"/>
            <w:noProof/>
          </w:rPr>
          <w:t>J.7</w:t>
        </w:r>
        <w:r w:rsidR="001353E5">
          <w:rPr>
            <w:rFonts w:asciiTheme="minorHAnsi" w:eastAsiaTheme="minorEastAsia" w:hAnsiTheme="minorHAnsi" w:cstheme="minorBidi"/>
            <w:b w:val="0"/>
            <w:noProof/>
            <w:szCs w:val="22"/>
            <w:lang w:eastAsia="en-GB"/>
          </w:rPr>
          <w:tab/>
        </w:r>
        <w:r w:rsidR="001353E5" w:rsidRPr="00EB7E77">
          <w:rPr>
            <w:rStyle w:val="-"/>
            <w:noProof/>
          </w:rPr>
          <w:t>Structural analysis</w:t>
        </w:r>
        <w:r w:rsidR="001353E5">
          <w:rPr>
            <w:noProof/>
            <w:webHidden/>
          </w:rPr>
          <w:tab/>
        </w:r>
        <w:r w:rsidR="001353E5">
          <w:rPr>
            <w:noProof/>
            <w:webHidden/>
          </w:rPr>
          <w:fldChar w:fldCharType="begin"/>
        </w:r>
        <w:r w:rsidR="001353E5">
          <w:rPr>
            <w:noProof/>
            <w:webHidden/>
          </w:rPr>
          <w:instrText xml:space="preserve"> PAGEREF _Toc67565590 \h </w:instrText>
        </w:r>
        <w:r w:rsidR="001353E5">
          <w:rPr>
            <w:noProof/>
            <w:webHidden/>
          </w:rPr>
        </w:r>
        <w:r w:rsidR="001353E5">
          <w:rPr>
            <w:noProof/>
            <w:webHidden/>
          </w:rPr>
          <w:fldChar w:fldCharType="separate"/>
        </w:r>
        <w:r w:rsidR="000250B6">
          <w:rPr>
            <w:noProof/>
            <w:webHidden/>
          </w:rPr>
          <w:t>306</w:t>
        </w:r>
        <w:r w:rsidR="001353E5">
          <w:rPr>
            <w:noProof/>
            <w:webHidden/>
          </w:rPr>
          <w:fldChar w:fldCharType="end"/>
        </w:r>
      </w:hyperlink>
    </w:p>
    <w:p w14:paraId="75ADD2A9"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91" w:history="1">
        <w:r w:rsidR="001353E5" w:rsidRPr="00EB7E77">
          <w:rPr>
            <w:rStyle w:val="-"/>
            <w:noProof/>
          </w:rPr>
          <w:t>J.8</w:t>
        </w:r>
        <w:r w:rsidR="001353E5">
          <w:rPr>
            <w:rFonts w:asciiTheme="minorHAnsi" w:eastAsiaTheme="minorEastAsia" w:hAnsiTheme="minorHAnsi" w:cstheme="minorBidi"/>
            <w:b w:val="0"/>
            <w:noProof/>
            <w:szCs w:val="22"/>
            <w:lang w:eastAsia="en-GB"/>
          </w:rPr>
          <w:tab/>
        </w:r>
        <w:r w:rsidR="001353E5" w:rsidRPr="00EB7E77">
          <w:rPr>
            <w:rStyle w:val="-"/>
            <w:noProof/>
          </w:rPr>
          <w:t>Ultimate limit states (ULS)</w:t>
        </w:r>
        <w:r w:rsidR="001353E5">
          <w:rPr>
            <w:noProof/>
            <w:webHidden/>
          </w:rPr>
          <w:tab/>
        </w:r>
        <w:r w:rsidR="001353E5">
          <w:rPr>
            <w:noProof/>
            <w:webHidden/>
          </w:rPr>
          <w:fldChar w:fldCharType="begin"/>
        </w:r>
        <w:r w:rsidR="001353E5">
          <w:rPr>
            <w:noProof/>
            <w:webHidden/>
          </w:rPr>
          <w:instrText xml:space="preserve"> PAGEREF _Toc67565591 \h </w:instrText>
        </w:r>
        <w:r w:rsidR="001353E5">
          <w:rPr>
            <w:noProof/>
            <w:webHidden/>
          </w:rPr>
        </w:r>
        <w:r w:rsidR="001353E5">
          <w:rPr>
            <w:noProof/>
            <w:webHidden/>
          </w:rPr>
          <w:fldChar w:fldCharType="separate"/>
        </w:r>
        <w:r w:rsidR="000250B6">
          <w:rPr>
            <w:noProof/>
            <w:webHidden/>
          </w:rPr>
          <w:t>307</w:t>
        </w:r>
        <w:r w:rsidR="001353E5">
          <w:rPr>
            <w:noProof/>
            <w:webHidden/>
          </w:rPr>
          <w:fldChar w:fldCharType="end"/>
        </w:r>
      </w:hyperlink>
    </w:p>
    <w:p w14:paraId="2877950F"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92" w:history="1">
        <w:r w:rsidR="001353E5" w:rsidRPr="00EB7E77">
          <w:rPr>
            <w:rStyle w:val="-"/>
            <w:noProof/>
          </w:rPr>
          <w:t>J.9</w:t>
        </w:r>
        <w:r w:rsidR="001353E5">
          <w:rPr>
            <w:rFonts w:asciiTheme="minorHAnsi" w:eastAsiaTheme="minorEastAsia" w:hAnsiTheme="minorHAnsi" w:cstheme="minorBidi"/>
            <w:b w:val="0"/>
            <w:noProof/>
            <w:szCs w:val="22"/>
            <w:lang w:eastAsia="en-GB"/>
          </w:rPr>
          <w:tab/>
        </w:r>
        <w:r w:rsidR="001353E5" w:rsidRPr="00EB7E77">
          <w:rPr>
            <w:rStyle w:val="-"/>
            <w:noProof/>
          </w:rPr>
          <w:t>Serviceability limit stateS (SLS)</w:t>
        </w:r>
        <w:r w:rsidR="001353E5">
          <w:rPr>
            <w:noProof/>
            <w:webHidden/>
          </w:rPr>
          <w:tab/>
        </w:r>
        <w:r w:rsidR="001353E5">
          <w:rPr>
            <w:noProof/>
            <w:webHidden/>
          </w:rPr>
          <w:fldChar w:fldCharType="begin"/>
        </w:r>
        <w:r w:rsidR="001353E5">
          <w:rPr>
            <w:noProof/>
            <w:webHidden/>
          </w:rPr>
          <w:instrText xml:space="preserve"> PAGEREF _Toc67565592 \h </w:instrText>
        </w:r>
        <w:r w:rsidR="001353E5">
          <w:rPr>
            <w:noProof/>
            <w:webHidden/>
          </w:rPr>
        </w:r>
        <w:r w:rsidR="001353E5">
          <w:rPr>
            <w:noProof/>
            <w:webHidden/>
          </w:rPr>
          <w:fldChar w:fldCharType="separate"/>
        </w:r>
        <w:r w:rsidR="000250B6">
          <w:rPr>
            <w:noProof/>
            <w:webHidden/>
          </w:rPr>
          <w:t>311</w:t>
        </w:r>
        <w:r w:rsidR="001353E5">
          <w:rPr>
            <w:noProof/>
            <w:webHidden/>
          </w:rPr>
          <w:fldChar w:fldCharType="end"/>
        </w:r>
      </w:hyperlink>
    </w:p>
    <w:p w14:paraId="0E9E1713"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93" w:history="1">
        <w:r w:rsidR="001353E5" w:rsidRPr="00EB7E77">
          <w:rPr>
            <w:rStyle w:val="-"/>
            <w:noProof/>
          </w:rPr>
          <w:t>J.10</w:t>
        </w:r>
        <w:r w:rsidR="001353E5">
          <w:rPr>
            <w:rFonts w:asciiTheme="minorHAnsi" w:eastAsiaTheme="minorEastAsia" w:hAnsiTheme="minorHAnsi" w:cstheme="minorBidi"/>
            <w:b w:val="0"/>
            <w:noProof/>
            <w:szCs w:val="22"/>
            <w:lang w:eastAsia="en-GB"/>
          </w:rPr>
          <w:tab/>
        </w:r>
        <w:r w:rsidR="001353E5" w:rsidRPr="00EB7E77">
          <w:rPr>
            <w:rStyle w:val="-"/>
            <w:noProof/>
          </w:rPr>
          <w:t>Fatigue</w:t>
        </w:r>
        <w:r w:rsidR="001353E5">
          <w:rPr>
            <w:noProof/>
            <w:webHidden/>
          </w:rPr>
          <w:tab/>
        </w:r>
        <w:r w:rsidR="001353E5">
          <w:rPr>
            <w:noProof/>
            <w:webHidden/>
          </w:rPr>
          <w:fldChar w:fldCharType="begin"/>
        </w:r>
        <w:r w:rsidR="001353E5">
          <w:rPr>
            <w:noProof/>
            <w:webHidden/>
          </w:rPr>
          <w:instrText xml:space="preserve"> PAGEREF _Toc67565593 \h </w:instrText>
        </w:r>
        <w:r w:rsidR="001353E5">
          <w:rPr>
            <w:noProof/>
            <w:webHidden/>
          </w:rPr>
        </w:r>
        <w:r w:rsidR="001353E5">
          <w:rPr>
            <w:noProof/>
            <w:webHidden/>
          </w:rPr>
          <w:fldChar w:fldCharType="separate"/>
        </w:r>
        <w:r w:rsidR="000250B6">
          <w:rPr>
            <w:noProof/>
            <w:webHidden/>
          </w:rPr>
          <w:t>311</w:t>
        </w:r>
        <w:r w:rsidR="001353E5">
          <w:rPr>
            <w:noProof/>
            <w:webHidden/>
          </w:rPr>
          <w:fldChar w:fldCharType="end"/>
        </w:r>
      </w:hyperlink>
    </w:p>
    <w:p w14:paraId="61E7F756"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94" w:history="1">
        <w:r w:rsidR="001353E5" w:rsidRPr="00EB7E77">
          <w:rPr>
            <w:rStyle w:val="-"/>
            <w:noProof/>
          </w:rPr>
          <w:t>J.11</w:t>
        </w:r>
        <w:r w:rsidR="001353E5">
          <w:rPr>
            <w:rFonts w:asciiTheme="minorHAnsi" w:eastAsiaTheme="minorEastAsia" w:hAnsiTheme="minorHAnsi" w:cstheme="minorBidi"/>
            <w:b w:val="0"/>
            <w:noProof/>
            <w:szCs w:val="22"/>
            <w:lang w:eastAsia="en-GB"/>
          </w:rPr>
          <w:tab/>
        </w:r>
        <w:r w:rsidR="001353E5" w:rsidRPr="00EB7E77">
          <w:rPr>
            <w:rStyle w:val="-"/>
            <w:noProof/>
          </w:rPr>
          <w:t>Bond and anchorage of CFRP systems</w:t>
        </w:r>
        <w:r w:rsidR="001353E5">
          <w:rPr>
            <w:noProof/>
            <w:webHidden/>
          </w:rPr>
          <w:tab/>
        </w:r>
        <w:r w:rsidR="001353E5">
          <w:rPr>
            <w:noProof/>
            <w:webHidden/>
          </w:rPr>
          <w:fldChar w:fldCharType="begin"/>
        </w:r>
        <w:r w:rsidR="001353E5">
          <w:rPr>
            <w:noProof/>
            <w:webHidden/>
          </w:rPr>
          <w:instrText xml:space="preserve"> PAGEREF _Toc67565594 \h </w:instrText>
        </w:r>
        <w:r w:rsidR="001353E5">
          <w:rPr>
            <w:noProof/>
            <w:webHidden/>
          </w:rPr>
        </w:r>
        <w:r w:rsidR="001353E5">
          <w:rPr>
            <w:noProof/>
            <w:webHidden/>
          </w:rPr>
          <w:fldChar w:fldCharType="separate"/>
        </w:r>
        <w:r w:rsidR="000250B6">
          <w:rPr>
            <w:noProof/>
            <w:webHidden/>
          </w:rPr>
          <w:t>312</w:t>
        </w:r>
        <w:r w:rsidR="001353E5">
          <w:rPr>
            <w:noProof/>
            <w:webHidden/>
          </w:rPr>
          <w:fldChar w:fldCharType="end"/>
        </w:r>
      </w:hyperlink>
    </w:p>
    <w:p w14:paraId="1B088A5E"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95" w:history="1">
        <w:r w:rsidR="001353E5" w:rsidRPr="00EB7E77">
          <w:rPr>
            <w:rStyle w:val="-"/>
            <w:noProof/>
          </w:rPr>
          <w:t>J.12</w:t>
        </w:r>
        <w:r w:rsidR="001353E5">
          <w:rPr>
            <w:rFonts w:asciiTheme="minorHAnsi" w:eastAsiaTheme="minorEastAsia" w:hAnsiTheme="minorHAnsi" w:cstheme="minorBidi"/>
            <w:b w:val="0"/>
            <w:noProof/>
            <w:szCs w:val="22"/>
            <w:lang w:eastAsia="en-GB"/>
          </w:rPr>
          <w:tab/>
        </w:r>
        <w:r w:rsidR="001353E5" w:rsidRPr="00EB7E77">
          <w:rPr>
            <w:rStyle w:val="-"/>
            <w:noProof/>
          </w:rPr>
          <w:t>Detailing of Members and Particular rules – Detailing of CFRP</w:t>
        </w:r>
        <w:r w:rsidR="001353E5">
          <w:rPr>
            <w:noProof/>
            <w:webHidden/>
          </w:rPr>
          <w:tab/>
        </w:r>
        <w:r w:rsidR="001353E5">
          <w:rPr>
            <w:noProof/>
            <w:webHidden/>
          </w:rPr>
          <w:fldChar w:fldCharType="begin"/>
        </w:r>
        <w:r w:rsidR="001353E5">
          <w:rPr>
            <w:noProof/>
            <w:webHidden/>
          </w:rPr>
          <w:instrText xml:space="preserve"> PAGEREF _Toc67565595 \h </w:instrText>
        </w:r>
        <w:r w:rsidR="001353E5">
          <w:rPr>
            <w:noProof/>
            <w:webHidden/>
          </w:rPr>
        </w:r>
        <w:r w:rsidR="001353E5">
          <w:rPr>
            <w:noProof/>
            <w:webHidden/>
          </w:rPr>
          <w:fldChar w:fldCharType="separate"/>
        </w:r>
        <w:r w:rsidR="000250B6">
          <w:rPr>
            <w:noProof/>
            <w:webHidden/>
          </w:rPr>
          <w:t>317</w:t>
        </w:r>
        <w:r w:rsidR="001353E5">
          <w:rPr>
            <w:noProof/>
            <w:webHidden/>
          </w:rPr>
          <w:fldChar w:fldCharType="end"/>
        </w:r>
      </w:hyperlink>
    </w:p>
    <w:p w14:paraId="31B0EFBF" w14:textId="77777777" w:rsidR="001353E5" w:rsidRDefault="00231E33">
      <w:pPr>
        <w:pStyle w:val="10"/>
        <w:rPr>
          <w:rFonts w:asciiTheme="minorHAnsi" w:eastAsiaTheme="minorEastAsia" w:hAnsiTheme="minorHAnsi" w:cstheme="minorBidi"/>
          <w:b w:val="0"/>
          <w:noProof/>
          <w:szCs w:val="22"/>
          <w:lang w:eastAsia="en-GB"/>
        </w:rPr>
      </w:pPr>
      <w:hyperlink w:anchor="_Toc67565596" w:history="1">
        <w:r w:rsidR="001353E5" w:rsidRPr="00EB7E77">
          <w:rPr>
            <w:rStyle w:val="-"/>
            <w:noProof/>
          </w:rPr>
          <w:t>Annex JA (informative)  Embedded FRP Reinforcement</w:t>
        </w:r>
        <w:r w:rsidR="001353E5">
          <w:rPr>
            <w:noProof/>
            <w:webHidden/>
          </w:rPr>
          <w:tab/>
        </w:r>
        <w:r w:rsidR="001353E5">
          <w:rPr>
            <w:noProof/>
            <w:webHidden/>
          </w:rPr>
          <w:fldChar w:fldCharType="begin"/>
        </w:r>
        <w:r w:rsidR="001353E5">
          <w:rPr>
            <w:noProof/>
            <w:webHidden/>
          </w:rPr>
          <w:instrText xml:space="preserve"> PAGEREF _Toc67565596 \h </w:instrText>
        </w:r>
        <w:r w:rsidR="001353E5">
          <w:rPr>
            <w:noProof/>
            <w:webHidden/>
          </w:rPr>
        </w:r>
        <w:r w:rsidR="001353E5">
          <w:rPr>
            <w:noProof/>
            <w:webHidden/>
          </w:rPr>
          <w:fldChar w:fldCharType="separate"/>
        </w:r>
        <w:r w:rsidR="000250B6">
          <w:rPr>
            <w:noProof/>
            <w:webHidden/>
          </w:rPr>
          <w:t>320</w:t>
        </w:r>
        <w:r w:rsidR="001353E5">
          <w:rPr>
            <w:noProof/>
            <w:webHidden/>
          </w:rPr>
          <w:fldChar w:fldCharType="end"/>
        </w:r>
      </w:hyperlink>
    </w:p>
    <w:p w14:paraId="6BEA43AE"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97" w:history="1">
        <w:r w:rsidR="001353E5" w:rsidRPr="00EB7E77">
          <w:rPr>
            <w:rStyle w:val="-"/>
            <w:noProof/>
          </w:rPr>
          <w:t>JA.1</w:t>
        </w:r>
        <w:r w:rsidR="001353E5">
          <w:rPr>
            <w:rFonts w:asciiTheme="minorHAnsi" w:eastAsiaTheme="minorEastAsia" w:hAnsiTheme="minorHAnsi" w:cstheme="minorBidi"/>
            <w:b w:val="0"/>
            <w:noProof/>
            <w:szCs w:val="22"/>
            <w:lang w:eastAsia="en-GB"/>
          </w:rPr>
          <w:tab/>
        </w:r>
        <w:r w:rsidR="001353E5" w:rsidRPr="00EB7E77">
          <w:rPr>
            <w:rStyle w:val="-"/>
            <w:noProof/>
          </w:rPr>
          <w:t>Use of this annex</w:t>
        </w:r>
        <w:r w:rsidR="001353E5">
          <w:rPr>
            <w:noProof/>
            <w:webHidden/>
          </w:rPr>
          <w:tab/>
        </w:r>
        <w:r w:rsidR="001353E5">
          <w:rPr>
            <w:noProof/>
            <w:webHidden/>
          </w:rPr>
          <w:fldChar w:fldCharType="begin"/>
        </w:r>
        <w:r w:rsidR="001353E5">
          <w:rPr>
            <w:noProof/>
            <w:webHidden/>
          </w:rPr>
          <w:instrText xml:space="preserve"> PAGEREF _Toc67565597 \h </w:instrText>
        </w:r>
        <w:r w:rsidR="001353E5">
          <w:rPr>
            <w:noProof/>
            <w:webHidden/>
          </w:rPr>
        </w:r>
        <w:r w:rsidR="001353E5">
          <w:rPr>
            <w:noProof/>
            <w:webHidden/>
          </w:rPr>
          <w:fldChar w:fldCharType="separate"/>
        </w:r>
        <w:r w:rsidR="000250B6">
          <w:rPr>
            <w:noProof/>
            <w:webHidden/>
          </w:rPr>
          <w:t>320</w:t>
        </w:r>
        <w:r w:rsidR="001353E5">
          <w:rPr>
            <w:noProof/>
            <w:webHidden/>
          </w:rPr>
          <w:fldChar w:fldCharType="end"/>
        </w:r>
      </w:hyperlink>
    </w:p>
    <w:p w14:paraId="15336D7D"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98" w:history="1">
        <w:r w:rsidR="001353E5" w:rsidRPr="00EB7E77">
          <w:rPr>
            <w:rStyle w:val="-"/>
            <w:noProof/>
          </w:rPr>
          <w:t>JA.2 Scope and field of application</w:t>
        </w:r>
        <w:r w:rsidR="001353E5">
          <w:rPr>
            <w:noProof/>
            <w:webHidden/>
          </w:rPr>
          <w:tab/>
        </w:r>
        <w:r w:rsidR="001353E5">
          <w:rPr>
            <w:noProof/>
            <w:webHidden/>
          </w:rPr>
          <w:fldChar w:fldCharType="begin"/>
        </w:r>
        <w:r w:rsidR="001353E5">
          <w:rPr>
            <w:noProof/>
            <w:webHidden/>
          </w:rPr>
          <w:instrText xml:space="preserve"> PAGEREF _Toc67565598 \h </w:instrText>
        </w:r>
        <w:r w:rsidR="001353E5">
          <w:rPr>
            <w:noProof/>
            <w:webHidden/>
          </w:rPr>
        </w:r>
        <w:r w:rsidR="001353E5">
          <w:rPr>
            <w:noProof/>
            <w:webHidden/>
          </w:rPr>
          <w:fldChar w:fldCharType="separate"/>
        </w:r>
        <w:r w:rsidR="000250B6">
          <w:rPr>
            <w:noProof/>
            <w:webHidden/>
          </w:rPr>
          <w:t>320</w:t>
        </w:r>
        <w:r w:rsidR="001353E5">
          <w:rPr>
            <w:noProof/>
            <w:webHidden/>
          </w:rPr>
          <w:fldChar w:fldCharType="end"/>
        </w:r>
      </w:hyperlink>
    </w:p>
    <w:p w14:paraId="70FC10E0"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599" w:history="1">
        <w:r w:rsidR="001353E5" w:rsidRPr="00EB7E77">
          <w:rPr>
            <w:rStyle w:val="-"/>
            <w:noProof/>
          </w:rPr>
          <w:t>JA.3</w:t>
        </w:r>
        <w:r w:rsidR="001353E5">
          <w:rPr>
            <w:rFonts w:asciiTheme="minorHAnsi" w:eastAsiaTheme="minorEastAsia" w:hAnsiTheme="minorHAnsi" w:cstheme="minorBidi"/>
            <w:b w:val="0"/>
            <w:noProof/>
            <w:szCs w:val="22"/>
            <w:lang w:eastAsia="en-GB"/>
          </w:rPr>
          <w:tab/>
        </w:r>
        <w:r w:rsidR="001353E5" w:rsidRPr="00EB7E77">
          <w:rPr>
            <w:rStyle w:val="-"/>
            <w:noProof/>
          </w:rPr>
          <w:t>General</w:t>
        </w:r>
        <w:r w:rsidR="001353E5">
          <w:rPr>
            <w:noProof/>
            <w:webHidden/>
          </w:rPr>
          <w:tab/>
        </w:r>
        <w:r w:rsidR="001353E5">
          <w:rPr>
            <w:noProof/>
            <w:webHidden/>
          </w:rPr>
          <w:fldChar w:fldCharType="begin"/>
        </w:r>
        <w:r w:rsidR="001353E5">
          <w:rPr>
            <w:noProof/>
            <w:webHidden/>
          </w:rPr>
          <w:instrText xml:space="preserve"> PAGEREF _Toc67565599 \h </w:instrText>
        </w:r>
        <w:r w:rsidR="001353E5">
          <w:rPr>
            <w:noProof/>
            <w:webHidden/>
          </w:rPr>
        </w:r>
        <w:r w:rsidR="001353E5">
          <w:rPr>
            <w:noProof/>
            <w:webHidden/>
          </w:rPr>
          <w:fldChar w:fldCharType="separate"/>
        </w:r>
        <w:r w:rsidR="000250B6">
          <w:rPr>
            <w:noProof/>
            <w:webHidden/>
          </w:rPr>
          <w:t>320</w:t>
        </w:r>
        <w:r w:rsidR="001353E5">
          <w:rPr>
            <w:noProof/>
            <w:webHidden/>
          </w:rPr>
          <w:fldChar w:fldCharType="end"/>
        </w:r>
      </w:hyperlink>
    </w:p>
    <w:p w14:paraId="1120519F"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00" w:history="1">
        <w:r w:rsidR="001353E5" w:rsidRPr="00EB7E77">
          <w:rPr>
            <w:rStyle w:val="-"/>
            <w:noProof/>
          </w:rPr>
          <w:t>JA.4</w:t>
        </w:r>
        <w:r w:rsidR="001353E5">
          <w:rPr>
            <w:rFonts w:asciiTheme="minorHAnsi" w:eastAsiaTheme="minorEastAsia" w:hAnsiTheme="minorHAnsi" w:cstheme="minorBidi"/>
            <w:b w:val="0"/>
            <w:noProof/>
            <w:szCs w:val="22"/>
            <w:lang w:eastAsia="en-GB"/>
          </w:rPr>
          <w:tab/>
        </w:r>
        <w:r w:rsidR="001353E5" w:rsidRPr="00EB7E77">
          <w:rPr>
            <w:rStyle w:val="-"/>
            <w:noProof/>
          </w:rPr>
          <w:t>Verification- Partial Factors for FRP reinforcement</w:t>
        </w:r>
        <w:r w:rsidR="001353E5">
          <w:rPr>
            <w:noProof/>
            <w:webHidden/>
          </w:rPr>
          <w:tab/>
        </w:r>
        <w:r w:rsidR="001353E5">
          <w:rPr>
            <w:noProof/>
            <w:webHidden/>
          </w:rPr>
          <w:fldChar w:fldCharType="begin"/>
        </w:r>
        <w:r w:rsidR="001353E5">
          <w:rPr>
            <w:noProof/>
            <w:webHidden/>
          </w:rPr>
          <w:instrText xml:space="preserve"> PAGEREF _Toc67565600 \h </w:instrText>
        </w:r>
        <w:r w:rsidR="001353E5">
          <w:rPr>
            <w:noProof/>
            <w:webHidden/>
          </w:rPr>
        </w:r>
        <w:r w:rsidR="001353E5">
          <w:rPr>
            <w:noProof/>
            <w:webHidden/>
          </w:rPr>
          <w:fldChar w:fldCharType="separate"/>
        </w:r>
        <w:r w:rsidR="000250B6">
          <w:rPr>
            <w:noProof/>
            <w:webHidden/>
          </w:rPr>
          <w:t>320</w:t>
        </w:r>
        <w:r w:rsidR="001353E5">
          <w:rPr>
            <w:noProof/>
            <w:webHidden/>
          </w:rPr>
          <w:fldChar w:fldCharType="end"/>
        </w:r>
      </w:hyperlink>
    </w:p>
    <w:p w14:paraId="1FE7F823"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01" w:history="1">
        <w:r w:rsidR="001353E5" w:rsidRPr="00EB7E77">
          <w:rPr>
            <w:rStyle w:val="-"/>
            <w:noProof/>
          </w:rPr>
          <w:t>JA.5</w:t>
        </w:r>
        <w:r w:rsidR="001353E5">
          <w:rPr>
            <w:rFonts w:asciiTheme="minorHAnsi" w:eastAsiaTheme="minorEastAsia" w:hAnsiTheme="minorHAnsi" w:cstheme="minorBidi"/>
            <w:b w:val="0"/>
            <w:noProof/>
            <w:szCs w:val="22"/>
            <w:lang w:eastAsia="en-GB"/>
          </w:rPr>
          <w:tab/>
        </w:r>
        <w:r w:rsidR="001353E5" w:rsidRPr="00EB7E77">
          <w:rPr>
            <w:rStyle w:val="-"/>
            <w:noProof/>
          </w:rPr>
          <w:t>Materials - FRP reinforcement</w:t>
        </w:r>
        <w:r w:rsidR="001353E5">
          <w:rPr>
            <w:noProof/>
            <w:webHidden/>
          </w:rPr>
          <w:tab/>
        </w:r>
        <w:r w:rsidR="001353E5">
          <w:rPr>
            <w:noProof/>
            <w:webHidden/>
          </w:rPr>
          <w:fldChar w:fldCharType="begin"/>
        </w:r>
        <w:r w:rsidR="001353E5">
          <w:rPr>
            <w:noProof/>
            <w:webHidden/>
          </w:rPr>
          <w:instrText xml:space="preserve"> PAGEREF _Toc67565601 \h </w:instrText>
        </w:r>
        <w:r w:rsidR="001353E5">
          <w:rPr>
            <w:noProof/>
            <w:webHidden/>
          </w:rPr>
        </w:r>
        <w:r w:rsidR="001353E5">
          <w:rPr>
            <w:noProof/>
            <w:webHidden/>
          </w:rPr>
          <w:fldChar w:fldCharType="separate"/>
        </w:r>
        <w:r w:rsidR="000250B6">
          <w:rPr>
            <w:noProof/>
            <w:webHidden/>
          </w:rPr>
          <w:t>321</w:t>
        </w:r>
        <w:r w:rsidR="001353E5">
          <w:rPr>
            <w:noProof/>
            <w:webHidden/>
          </w:rPr>
          <w:fldChar w:fldCharType="end"/>
        </w:r>
      </w:hyperlink>
    </w:p>
    <w:p w14:paraId="2127131C"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02" w:history="1">
        <w:r w:rsidR="001353E5" w:rsidRPr="00EB7E77">
          <w:rPr>
            <w:rStyle w:val="-"/>
            <w:noProof/>
          </w:rPr>
          <w:t>JA.6</w:t>
        </w:r>
        <w:r w:rsidR="001353E5">
          <w:rPr>
            <w:rFonts w:asciiTheme="minorHAnsi" w:eastAsiaTheme="minorEastAsia" w:hAnsiTheme="minorHAnsi" w:cstheme="minorBidi"/>
            <w:b w:val="0"/>
            <w:noProof/>
            <w:szCs w:val="22"/>
            <w:lang w:eastAsia="en-GB"/>
          </w:rPr>
          <w:tab/>
        </w:r>
        <w:r w:rsidR="001353E5" w:rsidRPr="00EB7E77">
          <w:rPr>
            <w:rStyle w:val="-"/>
            <w:noProof/>
          </w:rPr>
          <w:t>Durability - Concrete cover - Special rules for FRP reinforcement</w:t>
        </w:r>
        <w:r w:rsidR="001353E5">
          <w:rPr>
            <w:noProof/>
            <w:webHidden/>
          </w:rPr>
          <w:tab/>
        </w:r>
        <w:r w:rsidR="001353E5">
          <w:rPr>
            <w:noProof/>
            <w:webHidden/>
          </w:rPr>
          <w:fldChar w:fldCharType="begin"/>
        </w:r>
        <w:r w:rsidR="001353E5">
          <w:rPr>
            <w:noProof/>
            <w:webHidden/>
          </w:rPr>
          <w:instrText xml:space="preserve"> PAGEREF _Toc67565602 \h </w:instrText>
        </w:r>
        <w:r w:rsidR="001353E5">
          <w:rPr>
            <w:noProof/>
            <w:webHidden/>
          </w:rPr>
        </w:r>
        <w:r w:rsidR="001353E5">
          <w:rPr>
            <w:noProof/>
            <w:webHidden/>
          </w:rPr>
          <w:fldChar w:fldCharType="separate"/>
        </w:r>
        <w:r w:rsidR="000250B6">
          <w:rPr>
            <w:noProof/>
            <w:webHidden/>
          </w:rPr>
          <w:t>322</w:t>
        </w:r>
        <w:r w:rsidR="001353E5">
          <w:rPr>
            <w:noProof/>
            <w:webHidden/>
          </w:rPr>
          <w:fldChar w:fldCharType="end"/>
        </w:r>
      </w:hyperlink>
    </w:p>
    <w:p w14:paraId="7314DC14"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03" w:history="1">
        <w:r w:rsidR="001353E5" w:rsidRPr="00EB7E77">
          <w:rPr>
            <w:rStyle w:val="-"/>
            <w:noProof/>
          </w:rPr>
          <w:t>JA.7</w:t>
        </w:r>
        <w:r w:rsidR="001353E5">
          <w:rPr>
            <w:rFonts w:asciiTheme="minorHAnsi" w:eastAsiaTheme="minorEastAsia" w:hAnsiTheme="minorHAnsi" w:cstheme="minorBidi"/>
            <w:b w:val="0"/>
            <w:noProof/>
            <w:szCs w:val="22"/>
            <w:lang w:eastAsia="en-GB"/>
          </w:rPr>
          <w:tab/>
        </w:r>
        <w:r w:rsidR="001353E5" w:rsidRPr="00EB7E77">
          <w:rPr>
            <w:rStyle w:val="-"/>
            <w:noProof/>
          </w:rPr>
          <w:t>Structural analysis - Special rules for FRP reinforcement</w:t>
        </w:r>
        <w:r w:rsidR="001353E5">
          <w:rPr>
            <w:noProof/>
            <w:webHidden/>
          </w:rPr>
          <w:tab/>
        </w:r>
        <w:r w:rsidR="001353E5">
          <w:rPr>
            <w:noProof/>
            <w:webHidden/>
          </w:rPr>
          <w:fldChar w:fldCharType="begin"/>
        </w:r>
        <w:r w:rsidR="001353E5">
          <w:rPr>
            <w:noProof/>
            <w:webHidden/>
          </w:rPr>
          <w:instrText xml:space="preserve"> PAGEREF _Toc67565603 \h </w:instrText>
        </w:r>
        <w:r w:rsidR="001353E5">
          <w:rPr>
            <w:noProof/>
            <w:webHidden/>
          </w:rPr>
        </w:r>
        <w:r w:rsidR="001353E5">
          <w:rPr>
            <w:noProof/>
            <w:webHidden/>
          </w:rPr>
          <w:fldChar w:fldCharType="separate"/>
        </w:r>
        <w:r w:rsidR="000250B6">
          <w:rPr>
            <w:noProof/>
            <w:webHidden/>
          </w:rPr>
          <w:t>322</w:t>
        </w:r>
        <w:r w:rsidR="001353E5">
          <w:rPr>
            <w:noProof/>
            <w:webHidden/>
          </w:rPr>
          <w:fldChar w:fldCharType="end"/>
        </w:r>
      </w:hyperlink>
    </w:p>
    <w:p w14:paraId="024BF357"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04" w:history="1">
        <w:r w:rsidR="001353E5" w:rsidRPr="00EB7E77">
          <w:rPr>
            <w:rStyle w:val="-"/>
            <w:noProof/>
          </w:rPr>
          <w:t>JA.8</w:t>
        </w:r>
        <w:r w:rsidR="001353E5">
          <w:rPr>
            <w:rFonts w:asciiTheme="minorHAnsi" w:eastAsiaTheme="minorEastAsia" w:hAnsiTheme="minorHAnsi" w:cstheme="minorBidi"/>
            <w:b w:val="0"/>
            <w:noProof/>
            <w:szCs w:val="22"/>
            <w:lang w:eastAsia="en-GB"/>
          </w:rPr>
          <w:tab/>
        </w:r>
        <w:r w:rsidR="001353E5" w:rsidRPr="00EB7E77">
          <w:rPr>
            <w:rStyle w:val="-"/>
            <w:noProof/>
          </w:rPr>
          <w:t>Ultimate Limit States (ULS) - Special rules for FRP reinforcement</w:t>
        </w:r>
        <w:r w:rsidR="001353E5">
          <w:rPr>
            <w:noProof/>
            <w:webHidden/>
          </w:rPr>
          <w:tab/>
        </w:r>
        <w:r w:rsidR="001353E5">
          <w:rPr>
            <w:noProof/>
            <w:webHidden/>
          </w:rPr>
          <w:fldChar w:fldCharType="begin"/>
        </w:r>
        <w:r w:rsidR="001353E5">
          <w:rPr>
            <w:noProof/>
            <w:webHidden/>
          </w:rPr>
          <w:instrText xml:space="preserve"> PAGEREF _Toc67565604 \h </w:instrText>
        </w:r>
        <w:r w:rsidR="001353E5">
          <w:rPr>
            <w:noProof/>
            <w:webHidden/>
          </w:rPr>
        </w:r>
        <w:r w:rsidR="001353E5">
          <w:rPr>
            <w:noProof/>
            <w:webHidden/>
          </w:rPr>
          <w:fldChar w:fldCharType="separate"/>
        </w:r>
        <w:r w:rsidR="000250B6">
          <w:rPr>
            <w:noProof/>
            <w:webHidden/>
          </w:rPr>
          <w:t>323</w:t>
        </w:r>
        <w:r w:rsidR="001353E5">
          <w:rPr>
            <w:noProof/>
            <w:webHidden/>
          </w:rPr>
          <w:fldChar w:fldCharType="end"/>
        </w:r>
      </w:hyperlink>
    </w:p>
    <w:p w14:paraId="36C2FEB0"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05" w:history="1">
        <w:r w:rsidR="001353E5" w:rsidRPr="00EB7E77">
          <w:rPr>
            <w:rStyle w:val="-"/>
            <w:noProof/>
          </w:rPr>
          <w:t>JA.9</w:t>
        </w:r>
        <w:r w:rsidR="001353E5">
          <w:rPr>
            <w:rFonts w:asciiTheme="minorHAnsi" w:eastAsiaTheme="minorEastAsia" w:hAnsiTheme="minorHAnsi" w:cstheme="minorBidi"/>
            <w:b w:val="0"/>
            <w:noProof/>
            <w:szCs w:val="22"/>
            <w:lang w:eastAsia="en-GB"/>
          </w:rPr>
          <w:tab/>
        </w:r>
        <w:r w:rsidR="001353E5" w:rsidRPr="00EB7E77">
          <w:rPr>
            <w:rStyle w:val="-"/>
            <w:noProof/>
          </w:rPr>
          <w:t>Serviceability Limit States (SLS) - Special rules for FRP reinforcement</w:t>
        </w:r>
        <w:r w:rsidR="001353E5">
          <w:rPr>
            <w:noProof/>
            <w:webHidden/>
          </w:rPr>
          <w:tab/>
        </w:r>
        <w:r w:rsidR="001353E5">
          <w:rPr>
            <w:noProof/>
            <w:webHidden/>
          </w:rPr>
          <w:fldChar w:fldCharType="begin"/>
        </w:r>
        <w:r w:rsidR="001353E5">
          <w:rPr>
            <w:noProof/>
            <w:webHidden/>
          </w:rPr>
          <w:instrText xml:space="preserve"> PAGEREF _Toc67565605 \h </w:instrText>
        </w:r>
        <w:r w:rsidR="001353E5">
          <w:rPr>
            <w:noProof/>
            <w:webHidden/>
          </w:rPr>
        </w:r>
        <w:r w:rsidR="001353E5">
          <w:rPr>
            <w:noProof/>
            <w:webHidden/>
          </w:rPr>
          <w:fldChar w:fldCharType="separate"/>
        </w:r>
        <w:r w:rsidR="000250B6">
          <w:rPr>
            <w:noProof/>
            <w:webHidden/>
          </w:rPr>
          <w:t>324</w:t>
        </w:r>
        <w:r w:rsidR="001353E5">
          <w:rPr>
            <w:noProof/>
            <w:webHidden/>
          </w:rPr>
          <w:fldChar w:fldCharType="end"/>
        </w:r>
      </w:hyperlink>
    </w:p>
    <w:p w14:paraId="71B1749D"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06" w:history="1">
        <w:r w:rsidR="001353E5" w:rsidRPr="00EB7E77">
          <w:rPr>
            <w:rStyle w:val="-"/>
            <w:noProof/>
          </w:rPr>
          <w:t>JA.10</w:t>
        </w:r>
        <w:r w:rsidR="001353E5">
          <w:rPr>
            <w:rFonts w:asciiTheme="minorHAnsi" w:eastAsiaTheme="minorEastAsia" w:hAnsiTheme="minorHAnsi" w:cstheme="minorBidi"/>
            <w:b w:val="0"/>
            <w:noProof/>
            <w:szCs w:val="22"/>
            <w:lang w:eastAsia="en-GB"/>
          </w:rPr>
          <w:tab/>
        </w:r>
        <w:r w:rsidR="001353E5" w:rsidRPr="00EB7E77">
          <w:rPr>
            <w:rStyle w:val="-"/>
            <w:noProof/>
          </w:rPr>
          <w:t>Fatigue</w:t>
        </w:r>
        <w:r w:rsidR="001353E5">
          <w:rPr>
            <w:noProof/>
            <w:webHidden/>
          </w:rPr>
          <w:tab/>
        </w:r>
        <w:r w:rsidR="001353E5">
          <w:rPr>
            <w:noProof/>
            <w:webHidden/>
          </w:rPr>
          <w:fldChar w:fldCharType="begin"/>
        </w:r>
        <w:r w:rsidR="001353E5">
          <w:rPr>
            <w:noProof/>
            <w:webHidden/>
          </w:rPr>
          <w:instrText xml:space="preserve"> PAGEREF _Toc67565606 \h </w:instrText>
        </w:r>
        <w:r w:rsidR="001353E5">
          <w:rPr>
            <w:noProof/>
            <w:webHidden/>
          </w:rPr>
        </w:r>
        <w:r w:rsidR="001353E5">
          <w:rPr>
            <w:noProof/>
            <w:webHidden/>
          </w:rPr>
          <w:fldChar w:fldCharType="separate"/>
        </w:r>
        <w:r w:rsidR="000250B6">
          <w:rPr>
            <w:noProof/>
            <w:webHidden/>
          </w:rPr>
          <w:t>324</w:t>
        </w:r>
        <w:r w:rsidR="001353E5">
          <w:rPr>
            <w:noProof/>
            <w:webHidden/>
          </w:rPr>
          <w:fldChar w:fldCharType="end"/>
        </w:r>
      </w:hyperlink>
    </w:p>
    <w:p w14:paraId="3FD3913D"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07" w:history="1">
        <w:r w:rsidR="001353E5" w:rsidRPr="00EB7E77">
          <w:rPr>
            <w:rStyle w:val="-"/>
            <w:noProof/>
          </w:rPr>
          <w:t>JA.11</w:t>
        </w:r>
        <w:r w:rsidR="001353E5">
          <w:rPr>
            <w:rFonts w:asciiTheme="minorHAnsi" w:eastAsiaTheme="minorEastAsia" w:hAnsiTheme="minorHAnsi" w:cstheme="minorBidi"/>
            <w:b w:val="0"/>
            <w:noProof/>
            <w:szCs w:val="22"/>
            <w:lang w:eastAsia="en-GB"/>
          </w:rPr>
          <w:tab/>
        </w:r>
        <w:r w:rsidR="001353E5" w:rsidRPr="00EB7E77">
          <w:rPr>
            <w:rStyle w:val="-"/>
            <w:noProof/>
          </w:rPr>
          <w:t>Detailing of FRP reinforcement</w:t>
        </w:r>
        <w:r w:rsidR="001353E5">
          <w:rPr>
            <w:noProof/>
            <w:webHidden/>
          </w:rPr>
          <w:tab/>
        </w:r>
        <w:r w:rsidR="001353E5">
          <w:rPr>
            <w:noProof/>
            <w:webHidden/>
          </w:rPr>
          <w:fldChar w:fldCharType="begin"/>
        </w:r>
        <w:r w:rsidR="001353E5">
          <w:rPr>
            <w:noProof/>
            <w:webHidden/>
          </w:rPr>
          <w:instrText xml:space="preserve"> PAGEREF _Toc67565607 \h </w:instrText>
        </w:r>
        <w:r w:rsidR="001353E5">
          <w:rPr>
            <w:noProof/>
            <w:webHidden/>
          </w:rPr>
        </w:r>
        <w:r w:rsidR="001353E5">
          <w:rPr>
            <w:noProof/>
            <w:webHidden/>
          </w:rPr>
          <w:fldChar w:fldCharType="separate"/>
        </w:r>
        <w:r w:rsidR="000250B6">
          <w:rPr>
            <w:noProof/>
            <w:webHidden/>
          </w:rPr>
          <w:t>324</w:t>
        </w:r>
        <w:r w:rsidR="001353E5">
          <w:rPr>
            <w:noProof/>
            <w:webHidden/>
          </w:rPr>
          <w:fldChar w:fldCharType="end"/>
        </w:r>
      </w:hyperlink>
    </w:p>
    <w:p w14:paraId="3277A1B6"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08" w:history="1">
        <w:r w:rsidR="001353E5" w:rsidRPr="00EB7E77">
          <w:rPr>
            <w:rStyle w:val="-"/>
            <w:noProof/>
          </w:rPr>
          <w:t>JA.12</w:t>
        </w:r>
        <w:r w:rsidR="001353E5">
          <w:rPr>
            <w:rFonts w:asciiTheme="minorHAnsi" w:eastAsiaTheme="minorEastAsia" w:hAnsiTheme="minorHAnsi" w:cstheme="minorBidi"/>
            <w:b w:val="0"/>
            <w:noProof/>
            <w:szCs w:val="22"/>
            <w:lang w:eastAsia="en-GB"/>
          </w:rPr>
          <w:tab/>
        </w:r>
        <w:r w:rsidR="001353E5" w:rsidRPr="00EB7E77">
          <w:rPr>
            <w:rStyle w:val="-"/>
            <w:noProof/>
          </w:rPr>
          <w:t>Additional rules for precast concrete elements and structures</w:t>
        </w:r>
        <w:r w:rsidR="001353E5">
          <w:rPr>
            <w:noProof/>
            <w:webHidden/>
          </w:rPr>
          <w:tab/>
        </w:r>
        <w:r w:rsidR="001353E5">
          <w:rPr>
            <w:noProof/>
            <w:webHidden/>
          </w:rPr>
          <w:fldChar w:fldCharType="begin"/>
        </w:r>
        <w:r w:rsidR="001353E5">
          <w:rPr>
            <w:noProof/>
            <w:webHidden/>
          </w:rPr>
          <w:instrText xml:space="preserve"> PAGEREF _Toc67565608 \h </w:instrText>
        </w:r>
        <w:r w:rsidR="001353E5">
          <w:rPr>
            <w:noProof/>
            <w:webHidden/>
          </w:rPr>
        </w:r>
        <w:r w:rsidR="001353E5">
          <w:rPr>
            <w:noProof/>
            <w:webHidden/>
          </w:rPr>
          <w:fldChar w:fldCharType="separate"/>
        </w:r>
        <w:r w:rsidR="000250B6">
          <w:rPr>
            <w:noProof/>
            <w:webHidden/>
          </w:rPr>
          <w:t>326</w:t>
        </w:r>
        <w:r w:rsidR="001353E5">
          <w:rPr>
            <w:noProof/>
            <w:webHidden/>
          </w:rPr>
          <w:fldChar w:fldCharType="end"/>
        </w:r>
      </w:hyperlink>
    </w:p>
    <w:p w14:paraId="328380B6"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09" w:history="1">
        <w:r w:rsidR="001353E5" w:rsidRPr="00EB7E77">
          <w:rPr>
            <w:rStyle w:val="-"/>
            <w:noProof/>
          </w:rPr>
          <w:t>JA.13</w:t>
        </w:r>
        <w:r w:rsidR="001353E5">
          <w:rPr>
            <w:rFonts w:asciiTheme="minorHAnsi" w:eastAsiaTheme="minorEastAsia" w:hAnsiTheme="minorHAnsi" w:cstheme="minorBidi"/>
            <w:b w:val="0"/>
            <w:noProof/>
            <w:szCs w:val="22"/>
            <w:lang w:eastAsia="en-GB"/>
          </w:rPr>
          <w:tab/>
        </w:r>
        <w:r w:rsidR="001353E5" w:rsidRPr="00EB7E77">
          <w:rPr>
            <w:rStyle w:val="-"/>
            <w:noProof/>
          </w:rPr>
          <w:t>Lightly reinforced concrete structures</w:t>
        </w:r>
        <w:r w:rsidR="001353E5">
          <w:rPr>
            <w:noProof/>
            <w:webHidden/>
          </w:rPr>
          <w:tab/>
        </w:r>
        <w:r w:rsidR="001353E5">
          <w:rPr>
            <w:noProof/>
            <w:webHidden/>
          </w:rPr>
          <w:fldChar w:fldCharType="begin"/>
        </w:r>
        <w:r w:rsidR="001353E5">
          <w:rPr>
            <w:noProof/>
            <w:webHidden/>
          </w:rPr>
          <w:instrText xml:space="preserve"> PAGEREF _Toc67565609 \h </w:instrText>
        </w:r>
        <w:r w:rsidR="001353E5">
          <w:rPr>
            <w:noProof/>
            <w:webHidden/>
          </w:rPr>
        </w:r>
        <w:r w:rsidR="001353E5">
          <w:rPr>
            <w:noProof/>
            <w:webHidden/>
          </w:rPr>
          <w:fldChar w:fldCharType="separate"/>
        </w:r>
        <w:r w:rsidR="000250B6">
          <w:rPr>
            <w:noProof/>
            <w:webHidden/>
          </w:rPr>
          <w:t>326</w:t>
        </w:r>
        <w:r w:rsidR="001353E5">
          <w:rPr>
            <w:noProof/>
            <w:webHidden/>
          </w:rPr>
          <w:fldChar w:fldCharType="end"/>
        </w:r>
      </w:hyperlink>
    </w:p>
    <w:p w14:paraId="79ED856E" w14:textId="77777777" w:rsidR="001353E5" w:rsidRDefault="00231E33">
      <w:pPr>
        <w:pStyle w:val="10"/>
        <w:rPr>
          <w:rFonts w:asciiTheme="minorHAnsi" w:eastAsiaTheme="minorEastAsia" w:hAnsiTheme="minorHAnsi" w:cstheme="minorBidi"/>
          <w:b w:val="0"/>
          <w:noProof/>
          <w:szCs w:val="22"/>
          <w:lang w:eastAsia="en-GB"/>
        </w:rPr>
      </w:pPr>
      <w:hyperlink w:anchor="_Toc67565610" w:history="1">
        <w:r w:rsidR="001353E5" w:rsidRPr="00EB7E77">
          <w:rPr>
            <w:rStyle w:val="-"/>
            <w:noProof/>
          </w:rPr>
          <w:t>Annex K (normative)  Bridges</w:t>
        </w:r>
        <w:r w:rsidR="001353E5">
          <w:rPr>
            <w:noProof/>
            <w:webHidden/>
          </w:rPr>
          <w:tab/>
        </w:r>
        <w:r w:rsidR="001353E5">
          <w:rPr>
            <w:noProof/>
            <w:webHidden/>
          </w:rPr>
          <w:fldChar w:fldCharType="begin"/>
        </w:r>
        <w:r w:rsidR="001353E5">
          <w:rPr>
            <w:noProof/>
            <w:webHidden/>
          </w:rPr>
          <w:instrText xml:space="preserve"> PAGEREF _Toc67565610 \h </w:instrText>
        </w:r>
        <w:r w:rsidR="001353E5">
          <w:rPr>
            <w:noProof/>
            <w:webHidden/>
          </w:rPr>
        </w:r>
        <w:r w:rsidR="001353E5">
          <w:rPr>
            <w:noProof/>
            <w:webHidden/>
          </w:rPr>
          <w:fldChar w:fldCharType="separate"/>
        </w:r>
        <w:r w:rsidR="000250B6">
          <w:rPr>
            <w:noProof/>
            <w:webHidden/>
          </w:rPr>
          <w:t>327</w:t>
        </w:r>
        <w:r w:rsidR="001353E5">
          <w:rPr>
            <w:noProof/>
            <w:webHidden/>
          </w:rPr>
          <w:fldChar w:fldCharType="end"/>
        </w:r>
      </w:hyperlink>
    </w:p>
    <w:p w14:paraId="2824B975"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11" w:history="1">
        <w:r w:rsidR="001353E5" w:rsidRPr="00EB7E77">
          <w:rPr>
            <w:rStyle w:val="-"/>
            <w:noProof/>
          </w:rPr>
          <w:t>K.1</w:t>
        </w:r>
        <w:r w:rsidR="001353E5">
          <w:rPr>
            <w:rFonts w:asciiTheme="minorHAnsi" w:eastAsiaTheme="minorEastAsia" w:hAnsiTheme="minorHAnsi" w:cstheme="minorBidi"/>
            <w:b w:val="0"/>
            <w:noProof/>
            <w:szCs w:val="22"/>
            <w:lang w:eastAsia="en-GB"/>
          </w:rPr>
          <w:tab/>
        </w:r>
        <w:r w:rsidR="001353E5" w:rsidRPr="00EB7E77">
          <w:rPr>
            <w:rStyle w:val="-"/>
            <w:noProof/>
          </w:rPr>
          <w:t>Use of this annex</w:t>
        </w:r>
        <w:r w:rsidR="001353E5">
          <w:rPr>
            <w:noProof/>
            <w:webHidden/>
          </w:rPr>
          <w:tab/>
        </w:r>
        <w:r w:rsidR="001353E5">
          <w:rPr>
            <w:noProof/>
            <w:webHidden/>
          </w:rPr>
          <w:fldChar w:fldCharType="begin"/>
        </w:r>
        <w:r w:rsidR="001353E5">
          <w:rPr>
            <w:noProof/>
            <w:webHidden/>
          </w:rPr>
          <w:instrText xml:space="preserve"> PAGEREF _Toc67565611 \h </w:instrText>
        </w:r>
        <w:r w:rsidR="001353E5">
          <w:rPr>
            <w:noProof/>
            <w:webHidden/>
          </w:rPr>
        </w:r>
        <w:r w:rsidR="001353E5">
          <w:rPr>
            <w:noProof/>
            <w:webHidden/>
          </w:rPr>
          <w:fldChar w:fldCharType="separate"/>
        </w:r>
        <w:r w:rsidR="000250B6">
          <w:rPr>
            <w:noProof/>
            <w:webHidden/>
          </w:rPr>
          <w:t>327</w:t>
        </w:r>
        <w:r w:rsidR="001353E5">
          <w:rPr>
            <w:noProof/>
            <w:webHidden/>
          </w:rPr>
          <w:fldChar w:fldCharType="end"/>
        </w:r>
      </w:hyperlink>
    </w:p>
    <w:p w14:paraId="23EB97F2"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12" w:history="1">
        <w:r w:rsidR="001353E5" w:rsidRPr="00EB7E77">
          <w:rPr>
            <w:rStyle w:val="-"/>
            <w:noProof/>
          </w:rPr>
          <w:t>K.2</w:t>
        </w:r>
        <w:r w:rsidR="001353E5">
          <w:rPr>
            <w:rFonts w:asciiTheme="minorHAnsi" w:eastAsiaTheme="minorEastAsia" w:hAnsiTheme="minorHAnsi" w:cstheme="minorBidi"/>
            <w:b w:val="0"/>
            <w:noProof/>
            <w:szCs w:val="22"/>
            <w:lang w:eastAsia="en-GB"/>
          </w:rPr>
          <w:tab/>
        </w:r>
        <w:r w:rsidR="001353E5" w:rsidRPr="00EB7E77">
          <w:rPr>
            <w:rStyle w:val="-"/>
            <w:noProof/>
          </w:rPr>
          <w:t>Scope and field of application</w:t>
        </w:r>
        <w:r w:rsidR="001353E5">
          <w:rPr>
            <w:noProof/>
            <w:webHidden/>
          </w:rPr>
          <w:tab/>
        </w:r>
        <w:r w:rsidR="001353E5">
          <w:rPr>
            <w:noProof/>
            <w:webHidden/>
          </w:rPr>
          <w:fldChar w:fldCharType="begin"/>
        </w:r>
        <w:r w:rsidR="001353E5">
          <w:rPr>
            <w:noProof/>
            <w:webHidden/>
          </w:rPr>
          <w:instrText xml:space="preserve"> PAGEREF _Toc67565612 \h </w:instrText>
        </w:r>
        <w:r w:rsidR="001353E5">
          <w:rPr>
            <w:noProof/>
            <w:webHidden/>
          </w:rPr>
        </w:r>
        <w:r w:rsidR="001353E5">
          <w:rPr>
            <w:noProof/>
            <w:webHidden/>
          </w:rPr>
          <w:fldChar w:fldCharType="separate"/>
        </w:r>
        <w:r w:rsidR="000250B6">
          <w:rPr>
            <w:noProof/>
            <w:webHidden/>
          </w:rPr>
          <w:t>327</w:t>
        </w:r>
        <w:r w:rsidR="001353E5">
          <w:rPr>
            <w:noProof/>
            <w:webHidden/>
          </w:rPr>
          <w:fldChar w:fldCharType="end"/>
        </w:r>
      </w:hyperlink>
    </w:p>
    <w:p w14:paraId="2030DB9C"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13" w:history="1">
        <w:r w:rsidR="001353E5" w:rsidRPr="00EB7E77">
          <w:rPr>
            <w:rStyle w:val="-"/>
            <w:noProof/>
          </w:rPr>
          <w:t>K.3</w:t>
        </w:r>
        <w:r w:rsidR="001353E5">
          <w:rPr>
            <w:rFonts w:asciiTheme="minorHAnsi" w:eastAsiaTheme="minorEastAsia" w:hAnsiTheme="minorHAnsi" w:cstheme="minorBidi"/>
            <w:b w:val="0"/>
            <w:noProof/>
            <w:szCs w:val="22"/>
            <w:lang w:eastAsia="en-GB"/>
          </w:rPr>
          <w:tab/>
        </w:r>
        <w:r w:rsidR="001353E5" w:rsidRPr="00EB7E77">
          <w:rPr>
            <w:rStyle w:val="-"/>
            <w:noProof/>
          </w:rPr>
          <w:t>Normative References</w:t>
        </w:r>
        <w:r w:rsidR="001353E5">
          <w:rPr>
            <w:noProof/>
            <w:webHidden/>
          </w:rPr>
          <w:tab/>
        </w:r>
        <w:r w:rsidR="001353E5">
          <w:rPr>
            <w:noProof/>
            <w:webHidden/>
          </w:rPr>
          <w:fldChar w:fldCharType="begin"/>
        </w:r>
        <w:r w:rsidR="001353E5">
          <w:rPr>
            <w:noProof/>
            <w:webHidden/>
          </w:rPr>
          <w:instrText xml:space="preserve"> PAGEREF _Toc67565613 \h </w:instrText>
        </w:r>
        <w:r w:rsidR="001353E5">
          <w:rPr>
            <w:noProof/>
            <w:webHidden/>
          </w:rPr>
        </w:r>
        <w:r w:rsidR="001353E5">
          <w:rPr>
            <w:noProof/>
            <w:webHidden/>
          </w:rPr>
          <w:fldChar w:fldCharType="separate"/>
        </w:r>
        <w:r w:rsidR="000250B6">
          <w:rPr>
            <w:noProof/>
            <w:webHidden/>
          </w:rPr>
          <w:t>327</w:t>
        </w:r>
        <w:r w:rsidR="001353E5">
          <w:rPr>
            <w:noProof/>
            <w:webHidden/>
          </w:rPr>
          <w:fldChar w:fldCharType="end"/>
        </w:r>
      </w:hyperlink>
    </w:p>
    <w:p w14:paraId="0D65A819"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14" w:history="1">
        <w:r w:rsidR="001353E5" w:rsidRPr="00EB7E77">
          <w:rPr>
            <w:rStyle w:val="-"/>
            <w:noProof/>
          </w:rPr>
          <w:t>K.4</w:t>
        </w:r>
        <w:r w:rsidR="001353E5">
          <w:rPr>
            <w:rFonts w:asciiTheme="minorHAnsi" w:eastAsiaTheme="minorEastAsia" w:hAnsiTheme="minorHAnsi" w:cstheme="minorBidi"/>
            <w:b w:val="0"/>
            <w:noProof/>
            <w:szCs w:val="22"/>
            <w:lang w:eastAsia="en-GB"/>
          </w:rPr>
          <w:tab/>
        </w:r>
        <w:r w:rsidR="001353E5" w:rsidRPr="00EB7E77">
          <w:rPr>
            <w:rStyle w:val="-"/>
            <w:noProof/>
          </w:rPr>
          <w:t>Terms, definitions and symbols</w:t>
        </w:r>
        <w:r w:rsidR="001353E5">
          <w:rPr>
            <w:noProof/>
            <w:webHidden/>
          </w:rPr>
          <w:tab/>
        </w:r>
        <w:r w:rsidR="001353E5">
          <w:rPr>
            <w:noProof/>
            <w:webHidden/>
          </w:rPr>
          <w:fldChar w:fldCharType="begin"/>
        </w:r>
        <w:r w:rsidR="001353E5">
          <w:rPr>
            <w:noProof/>
            <w:webHidden/>
          </w:rPr>
          <w:instrText xml:space="preserve"> PAGEREF _Toc67565614 \h </w:instrText>
        </w:r>
        <w:r w:rsidR="001353E5">
          <w:rPr>
            <w:noProof/>
            <w:webHidden/>
          </w:rPr>
        </w:r>
        <w:r w:rsidR="001353E5">
          <w:rPr>
            <w:noProof/>
            <w:webHidden/>
          </w:rPr>
          <w:fldChar w:fldCharType="separate"/>
        </w:r>
        <w:r w:rsidR="000250B6">
          <w:rPr>
            <w:noProof/>
            <w:webHidden/>
          </w:rPr>
          <w:t>327</w:t>
        </w:r>
        <w:r w:rsidR="001353E5">
          <w:rPr>
            <w:noProof/>
            <w:webHidden/>
          </w:rPr>
          <w:fldChar w:fldCharType="end"/>
        </w:r>
      </w:hyperlink>
    </w:p>
    <w:p w14:paraId="0FEE71F2"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15" w:history="1">
        <w:r w:rsidR="001353E5" w:rsidRPr="00EB7E77">
          <w:rPr>
            <w:rStyle w:val="-"/>
            <w:noProof/>
          </w:rPr>
          <w:t>K.5</w:t>
        </w:r>
        <w:r w:rsidR="001353E5">
          <w:rPr>
            <w:rFonts w:asciiTheme="minorHAnsi" w:eastAsiaTheme="minorEastAsia" w:hAnsiTheme="minorHAnsi" w:cstheme="minorBidi"/>
            <w:b w:val="0"/>
            <w:noProof/>
            <w:szCs w:val="22"/>
            <w:lang w:eastAsia="en-GB"/>
          </w:rPr>
          <w:tab/>
        </w:r>
        <w:r w:rsidR="001353E5" w:rsidRPr="00EB7E77">
          <w:rPr>
            <w:rStyle w:val="-"/>
            <w:noProof/>
          </w:rPr>
          <w:t>Basis of design</w:t>
        </w:r>
        <w:r w:rsidR="001353E5">
          <w:rPr>
            <w:noProof/>
            <w:webHidden/>
          </w:rPr>
          <w:tab/>
        </w:r>
        <w:r w:rsidR="001353E5">
          <w:rPr>
            <w:noProof/>
            <w:webHidden/>
          </w:rPr>
          <w:fldChar w:fldCharType="begin"/>
        </w:r>
        <w:r w:rsidR="001353E5">
          <w:rPr>
            <w:noProof/>
            <w:webHidden/>
          </w:rPr>
          <w:instrText xml:space="preserve"> PAGEREF _Toc67565615 \h </w:instrText>
        </w:r>
        <w:r w:rsidR="001353E5">
          <w:rPr>
            <w:noProof/>
            <w:webHidden/>
          </w:rPr>
        </w:r>
        <w:r w:rsidR="001353E5">
          <w:rPr>
            <w:noProof/>
            <w:webHidden/>
          </w:rPr>
          <w:fldChar w:fldCharType="separate"/>
        </w:r>
        <w:r w:rsidR="000250B6">
          <w:rPr>
            <w:noProof/>
            <w:webHidden/>
          </w:rPr>
          <w:t>327</w:t>
        </w:r>
        <w:r w:rsidR="001353E5">
          <w:rPr>
            <w:noProof/>
            <w:webHidden/>
          </w:rPr>
          <w:fldChar w:fldCharType="end"/>
        </w:r>
      </w:hyperlink>
    </w:p>
    <w:p w14:paraId="4996007E"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16" w:history="1">
        <w:r w:rsidR="001353E5" w:rsidRPr="00EB7E77">
          <w:rPr>
            <w:rStyle w:val="-"/>
            <w:noProof/>
          </w:rPr>
          <w:t>K.6</w:t>
        </w:r>
        <w:r w:rsidR="001353E5">
          <w:rPr>
            <w:rFonts w:asciiTheme="minorHAnsi" w:eastAsiaTheme="minorEastAsia" w:hAnsiTheme="minorHAnsi" w:cstheme="minorBidi"/>
            <w:b w:val="0"/>
            <w:noProof/>
            <w:szCs w:val="22"/>
            <w:lang w:eastAsia="en-GB"/>
          </w:rPr>
          <w:tab/>
        </w:r>
        <w:r w:rsidR="001353E5" w:rsidRPr="00EB7E77">
          <w:rPr>
            <w:rStyle w:val="-"/>
            <w:noProof/>
          </w:rPr>
          <w:t>Materials</w:t>
        </w:r>
        <w:r w:rsidR="001353E5">
          <w:rPr>
            <w:noProof/>
            <w:webHidden/>
          </w:rPr>
          <w:tab/>
        </w:r>
        <w:r w:rsidR="001353E5">
          <w:rPr>
            <w:noProof/>
            <w:webHidden/>
          </w:rPr>
          <w:fldChar w:fldCharType="begin"/>
        </w:r>
        <w:r w:rsidR="001353E5">
          <w:rPr>
            <w:noProof/>
            <w:webHidden/>
          </w:rPr>
          <w:instrText xml:space="preserve"> PAGEREF _Toc67565616 \h </w:instrText>
        </w:r>
        <w:r w:rsidR="001353E5">
          <w:rPr>
            <w:noProof/>
            <w:webHidden/>
          </w:rPr>
        </w:r>
        <w:r w:rsidR="001353E5">
          <w:rPr>
            <w:noProof/>
            <w:webHidden/>
          </w:rPr>
          <w:fldChar w:fldCharType="separate"/>
        </w:r>
        <w:r w:rsidR="000250B6">
          <w:rPr>
            <w:noProof/>
            <w:webHidden/>
          </w:rPr>
          <w:t>327</w:t>
        </w:r>
        <w:r w:rsidR="001353E5">
          <w:rPr>
            <w:noProof/>
            <w:webHidden/>
          </w:rPr>
          <w:fldChar w:fldCharType="end"/>
        </w:r>
      </w:hyperlink>
    </w:p>
    <w:p w14:paraId="1A9DC8BA"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17" w:history="1">
        <w:r w:rsidR="001353E5" w:rsidRPr="00EB7E77">
          <w:rPr>
            <w:rStyle w:val="-"/>
            <w:noProof/>
          </w:rPr>
          <w:t>K.7</w:t>
        </w:r>
        <w:r w:rsidR="001353E5">
          <w:rPr>
            <w:rFonts w:asciiTheme="minorHAnsi" w:eastAsiaTheme="minorEastAsia" w:hAnsiTheme="minorHAnsi" w:cstheme="minorBidi"/>
            <w:b w:val="0"/>
            <w:noProof/>
            <w:szCs w:val="22"/>
            <w:lang w:eastAsia="en-GB"/>
          </w:rPr>
          <w:tab/>
        </w:r>
        <w:r w:rsidR="001353E5" w:rsidRPr="00EB7E77">
          <w:rPr>
            <w:rStyle w:val="-"/>
            <w:noProof/>
          </w:rPr>
          <w:t>Durability</w:t>
        </w:r>
        <w:r w:rsidR="001353E5">
          <w:rPr>
            <w:noProof/>
            <w:webHidden/>
          </w:rPr>
          <w:tab/>
        </w:r>
        <w:r w:rsidR="001353E5">
          <w:rPr>
            <w:noProof/>
            <w:webHidden/>
          </w:rPr>
          <w:fldChar w:fldCharType="begin"/>
        </w:r>
        <w:r w:rsidR="001353E5">
          <w:rPr>
            <w:noProof/>
            <w:webHidden/>
          </w:rPr>
          <w:instrText xml:space="preserve"> PAGEREF _Toc67565617 \h </w:instrText>
        </w:r>
        <w:r w:rsidR="001353E5">
          <w:rPr>
            <w:noProof/>
            <w:webHidden/>
          </w:rPr>
        </w:r>
        <w:r w:rsidR="001353E5">
          <w:rPr>
            <w:noProof/>
            <w:webHidden/>
          </w:rPr>
          <w:fldChar w:fldCharType="separate"/>
        </w:r>
        <w:r w:rsidR="000250B6">
          <w:rPr>
            <w:noProof/>
            <w:webHidden/>
          </w:rPr>
          <w:t>327</w:t>
        </w:r>
        <w:r w:rsidR="001353E5">
          <w:rPr>
            <w:noProof/>
            <w:webHidden/>
          </w:rPr>
          <w:fldChar w:fldCharType="end"/>
        </w:r>
      </w:hyperlink>
    </w:p>
    <w:p w14:paraId="322A5113"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18" w:history="1">
        <w:r w:rsidR="001353E5" w:rsidRPr="00EB7E77">
          <w:rPr>
            <w:rStyle w:val="-"/>
            <w:noProof/>
          </w:rPr>
          <w:t>K.8</w:t>
        </w:r>
        <w:r w:rsidR="001353E5">
          <w:rPr>
            <w:rFonts w:asciiTheme="minorHAnsi" w:eastAsiaTheme="minorEastAsia" w:hAnsiTheme="minorHAnsi" w:cstheme="minorBidi"/>
            <w:b w:val="0"/>
            <w:noProof/>
            <w:szCs w:val="22"/>
            <w:lang w:eastAsia="en-GB"/>
          </w:rPr>
          <w:tab/>
        </w:r>
        <w:r w:rsidR="001353E5" w:rsidRPr="00EB7E77">
          <w:rPr>
            <w:rStyle w:val="-"/>
            <w:noProof/>
          </w:rPr>
          <w:t>Structural analysis</w:t>
        </w:r>
        <w:r w:rsidR="001353E5">
          <w:rPr>
            <w:noProof/>
            <w:webHidden/>
          </w:rPr>
          <w:tab/>
        </w:r>
        <w:r w:rsidR="001353E5">
          <w:rPr>
            <w:noProof/>
            <w:webHidden/>
          </w:rPr>
          <w:fldChar w:fldCharType="begin"/>
        </w:r>
        <w:r w:rsidR="001353E5">
          <w:rPr>
            <w:noProof/>
            <w:webHidden/>
          </w:rPr>
          <w:instrText xml:space="preserve"> PAGEREF _Toc67565618 \h </w:instrText>
        </w:r>
        <w:r w:rsidR="001353E5">
          <w:rPr>
            <w:noProof/>
            <w:webHidden/>
          </w:rPr>
        </w:r>
        <w:r w:rsidR="001353E5">
          <w:rPr>
            <w:noProof/>
            <w:webHidden/>
          </w:rPr>
          <w:fldChar w:fldCharType="separate"/>
        </w:r>
        <w:r w:rsidR="000250B6">
          <w:rPr>
            <w:noProof/>
            <w:webHidden/>
          </w:rPr>
          <w:t>329</w:t>
        </w:r>
        <w:r w:rsidR="001353E5">
          <w:rPr>
            <w:noProof/>
            <w:webHidden/>
          </w:rPr>
          <w:fldChar w:fldCharType="end"/>
        </w:r>
      </w:hyperlink>
    </w:p>
    <w:p w14:paraId="1C752703"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19" w:history="1">
        <w:r w:rsidR="001353E5" w:rsidRPr="00EB7E77">
          <w:rPr>
            <w:rStyle w:val="-"/>
            <w:noProof/>
          </w:rPr>
          <w:t>K.9</w:t>
        </w:r>
        <w:r w:rsidR="001353E5">
          <w:rPr>
            <w:rFonts w:asciiTheme="minorHAnsi" w:eastAsiaTheme="minorEastAsia" w:hAnsiTheme="minorHAnsi" w:cstheme="minorBidi"/>
            <w:b w:val="0"/>
            <w:noProof/>
            <w:szCs w:val="22"/>
            <w:lang w:eastAsia="en-GB"/>
          </w:rPr>
          <w:tab/>
        </w:r>
        <w:r w:rsidR="001353E5" w:rsidRPr="00EB7E77">
          <w:rPr>
            <w:rStyle w:val="-"/>
            <w:noProof/>
          </w:rPr>
          <w:t>Ultimate limit states (ULS)</w:t>
        </w:r>
        <w:r w:rsidR="001353E5">
          <w:rPr>
            <w:noProof/>
            <w:webHidden/>
          </w:rPr>
          <w:tab/>
        </w:r>
        <w:r w:rsidR="001353E5">
          <w:rPr>
            <w:noProof/>
            <w:webHidden/>
          </w:rPr>
          <w:fldChar w:fldCharType="begin"/>
        </w:r>
        <w:r w:rsidR="001353E5">
          <w:rPr>
            <w:noProof/>
            <w:webHidden/>
          </w:rPr>
          <w:instrText xml:space="preserve"> PAGEREF _Toc67565619 \h </w:instrText>
        </w:r>
        <w:r w:rsidR="001353E5">
          <w:rPr>
            <w:noProof/>
            <w:webHidden/>
          </w:rPr>
        </w:r>
        <w:r w:rsidR="001353E5">
          <w:rPr>
            <w:noProof/>
            <w:webHidden/>
          </w:rPr>
          <w:fldChar w:fldCharType="separate"/>
        </w:r>
        <w:r w:rsidR="000250B6">
          <w:rPr>
            <w:noProof/>
            <w:webHidden/>
          </w:rPr>
          <w:t>329</w:t>
        </w:r>
        <w:r w:rsidR="001353E5">
          <w:rPr>
            <w:noProof/>
            <w:webHidden/>
          </w:rPr>
          <w:fldChar w:fldCharType="end"/>
        </w:r>
      </w:hyperlink>
    </w:p>
    <w:p w14:paraId="55666126"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20" w:history="1">
        <w:r w:rsidR="001353E5" w:rsidRPr="00EB7E77">
          <w:rPr>
            <w:rStyle w:val="-"/>
            <w:noProof/>
          </w:rPr>
          <w:t>K.10</w:t>
        </w:r>
        <w:r w:rsidR="001353E5">
          <w:rPr>
            <w:rFonts w:asciiTheme="minorHAnsi" w:eastAsiaTheme="minorEastAsia" w:hAnsiTheme="minorHAnsi" w:cstheme="minorBidi"/>
            <w:b w:val="0"/>
            <w:noProof/>
            <w:szCs w:val="22"/>
            <w:lang w:eastAsia="en-GB"/>
          </w:rPr>
          <w:tab/>
        </w:r>
        <w:r w:rsidR="001353E5" w:rsidRPr="00EB7E77">
          <w:rPr>
            <w:rStyle w:val="-"/>
            <w:noProof/>
          </w:rPr>
          <w:t>Serviceability limit states (SLS)</w:t>
        </w:r>
        <w:r w:rsidR="001353E5">
          <w:rPr>
            <w:noProof/>
            <w:webHidden/>
          </w:rPr>
          <w:tab/>
        </w:r>
        <w:r w:rsidR="001353E5">
          <w:rPr>
            <w:noProof/>
            <w:webHidden/>
          </w:rPr>
          <w:fldChar w:fldCharType="begin"/>
        </w:r>
        <w:r w:rsidR="001353E5">
          <w:rPr>
            <w:noProof/>
            <w:webHidden/>
          </w:rPr>
          <w:instrText xml:space="preserve"> PAGEREF _Toc67565620 \h </w:instrText>
        </w:r>
        <w:r w:rsidR="001353E5">
          <w:rPr>
            <w:noProof/>
            <w:webHidden/>
          </w:rPr>
        </w:r>
        <w:r w:rsidR="001353E5">
          <w:rPr>
            <w:noProof/>
            <w:webHidden/>
          </w:rPr>
          <w:fldChar w:fldCharType="separate"/>
        </w:r>
        <w:r w:rsidR="000250B6">
          <w:rPr>
            <w:noProof/>
            <w:webHidden/>
          </w:rPr>
          <w:t>329</w:t>
        </w:r>
        <w:r w:rsidR="001353E5">
          <w:rPr>
            <w:noProof/>
            <w:webHidden/>
          </w:rPr>
          <w:fldChar w:fldCharType="end"/>
        </w:r>
      </w:hyperlink>
    </w:p>
    <w:p w14:paraId="53A9DE72"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21" w:history="1">
        <w:r w:rsidR="001353E5" w:rsidRPr="00EB7E77">
          <w:rPr>
            <w:rStyle w:val="-"/>
            <w:noProof/>
          </w:rPr>
          <w:t>K.11</w:t>
        </w:r>
        <w:r w:rsidR="001353E5">
          <w:rPr>
            <w:rFonts w:asciiTheme="minorHAnsi" w:eastAsiaTheme="minorEastAsia" w:hAnsiTheme="minorHAnsi" w:cstheme="minorBidi"/>
            <w:b w:val="0"/>
            <w:noProof/>
            <w:szCs w:val="22"/>
            <w:lang w:eastAsia="en-GB"/>
          </w:rPr>
          <w:tab/>
        </w:r>
        <w:r w:rsidR="001353E5" w:rsidRPr="00EB7E77">
          <w:rPr>
            <w:rStyle w:val="-"/>
            <w:noProof/>
          </w:rPr>
          <w:t>Fatigue verification using damage equivalent stress range</w:t>
        </w:r>
        <w:r w:rsidR="001353E5">
          <w:rPr>
            <w:noProof/>
            <w:webHidden/>
          </w:rPr>
          <w:tab/>
        </w:r>
        <w:r w:rsidR="001353E5">
          <w:rPr>
            <w:noProof/>
            <w:webHidden/>
          </w:rPr>
          <w:fldChar w:fldCharType="begin"/>
        </w:r>
        <w:r w:rsidR="001353E5">
          <w:rPr>
            <w:noProof/>
            <w:webHidden/>
          </w:rPr>
          <w:instrText xml:space="preserve"> PAGEREF _Toc67565621 \h </w:instrText>
        </w:r>
        <w:r w:rsidR="001353E5">
          <w:rPr>
            <w:noProof/>
            <w:webHidden/>
          </w:rPr>
        </w:r>
        <w:r w:rsidR="001353E5">
          <w:rPr>
            <w:noProof/>
            <w:webHidden/>
          </w:rPr>
          <w:fldChar w:fldCharType="separate"/>
        </w:r>
        <w:r w:rsidR="000250B6">
          <w:rPr>
            <w:noProof/>
            <w:webHidden/>
          </w:rPr>
          <w:t>329</w:t>
        </w:r>
        <w:r w:rsidR="001353E5">
          <w:rPr>
            <w:noProof/>
            <w:webHidden/>
          </w:rPr>
          <w:fldChar w:fldCharType="end"/>
        </w:r>
      </w:hyperlink>
    </w:p>
    <w:p w14:paraId="36C7ADFB"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22" w:history="1">
        <w:r w:rsidR="001353E5" w:rsidRPr="00EB7E77">
          <w:rPr>
            <w:rStyle w:val="-"/>
            <w:noProof/>
          </w:rPr>
          <w:t>K.12</w:t>
        </w:r>
        <w:r w:rsidR="001353E5">
          <w:rPr>
            <w:rFonts w:asciiTheme="minorHAnsi" w:eastAsiaTheme="minorEastAsia" w:hAnsiTheme="minorHAnsi" w:cstheme="minorBidi"/>
            <w:b w:val="0"/>
            <w:noProof/>
            <w:szCs w:val="22"/>
            <w:lang w:eastAsia="en-GB"/>
          </w:rPr>
          <w:tab/>
        </w:r>
        <w:r w:rsidR="001353E5" w:rsidRPr="00EB7E77">
          <w:rPr>
            <w:rStyle w:val="-"/>
            <w:noProof/>
          </w:rPr>
          <w:t>Detailing of reinforcement and post-tensioning tendons</w:t>
        </w:r>
        <w:r w:rsidR="001353E5">
          <w:rPr>
            <w:noProof/>
            <w:webHidden/>
          </w:rPr>
          <w:tab/>
        </w:r>
        <w:r w:rsidR="001353E5">
          <w:rPr>
            <w:noProof/>
            <w:webHidden/>
          </w:rPr>
          <w:fldChar w:fldCharType="begin"/>
        </w:r>
        <w:r w:rsidR="001353E5">
          <w:rPr>
            <w:noProof/>
            <w:webHidden/>
          </w:rPr>
          <w:instrText xml:space="preserve"> PAGEREF _Toc67565622 \h </w:instrText>
        </w:r>
        <w:r w:rsidR="001353E5">
          <w:rPr>
            <w:noProof/>
            <w:webHidden/>
          </w:rPr>
        </w:r>
        <w:r w:rsidR="001353E5">
          <w:rPr>
            <w:noProof/>
            <w:webHidden/>
          </w:rPr>
          <w:fldChar w:fldCharType="separate"/>
        </w:r>
        <w:r w:rsidR="000250B6">
          <w:rPr>
            <w:noProof/>
            <w:webHidden/>
          </w:rPr>
          <w:t>336</w:t>
        </w:r>
        <w:r w:rsidR="001353E5">
          <w:rPr>
            <w:noProof/>
            <w:webHidden/>
          </w:rPr>
          <w:fldChar w:fldCharType="end"/>
        </w:r>
      </w:hyperlink>
    </w:p>
    <w:p w14:paraId="256A459C"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23" w:history="1">
        <w:r w:rsidR="001353E5" w:rsidRPr="00EB7E77">
          <w:rPr>
            <w:rStyle w:val="-"/>
            <w:noProof/>
          </w:rPr>
          <w:t>K.13</w:t>
        </w:r>
        <w:r w:rsidR="001353E5">
          <w:rPr>
            <w:rFonts w:asciiTheme="minorHAnsi" w:eastAsiaTheme="minorEastAsia" w:hAnsiTheme="minorHAnsi" w:cstheme="minorBidi"/>
            <w:b w:val="0"/>
            <w:noProof/>
            <w:szCs w:val="22"/>
            <w:lang w:eastAsia="en-GB"/>
          </w:rPr>
          <w:tab/>
        </w:r>
        <w:r w:rsidR="001353E5" w:rsidRPr="00EB7E77">
          <w:rPr>
            <w:rStyle w:val="-"/>
            <w:noProof/>
          </w:rPr>
          <w:t>Detailing of members and particular rules</w:t>
        </w:r>
        <w:r w:rsidR="001353E5">
          <w:rPr>
            <w:noProof/>
            <w:webHidden/>
          </w:rPr>
          <w:tab/>
        </w:r>
        <w:r w:rsidR="001353E5">
          <w:rPr>
            <w:noProof/>
            <w:webHidden/>
          </w:rPr>
          <w:fldChar w:fldCharType="begin"/>
        </w:r>
        <w:r w:rsidR="001353E5">
          <w:rPr>
            <w:noProof/>
            <w:webHidden/>
          </w:rPr>
          <w:instrText xml:space="preserve"> PAGEREF _Toc67565623 \h </w:instrText>
        </w:r>
        <w:r w:rsidR="001353E5">
          <w:rPr>
            <w:noProof/>
            <w:webHidden/>
          </w:rPr>
        </w:r>
        <w:r w:rsidR="001353E5">
          <w:rPr>
            <w:noProof/>
            <w:webHidden/>
          </w:rPr>
          <w:fldChar w:fldCharType="separate"/>
        </w:r>
        <w:r w:rsidR="000250B6">
          <w:rPr>
            <w:noProof/>
            <w:webHidden/>
          </w:rPr>
          <w:t>336</w:t>
        </w:r>
        <w:r w:rsidR="001353E5">
          <w:rPr>
            <w:noProof/>
            <w:webHidden/>
          </w:rPr>
          <w:fldChar w:fldCharType="end"/>
        </w:r>
      </w:hyperlink>
    </w:p>
    <w:p w14:paraId="78FD39D3"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24" w:history="1">
        <w:r w:rsidR="001353E5" w:rsidRPr="00EB7E77">
          <w:rPr>
            <w:rStyle w:val="-"/>
            <w:noProof/>
          </w:rPr>
          <w:t>K.14</w:t>
        </w:r>
        <w:r w:rsidR="001353E5">
          <w:rPr>
            <w:rFonts w:asciiTheme="minorHAnsi" w:eastAsiaTheme="minorEastAsia" w:hAnsiTheme="minorHAnsi" w:cstheme="minorBidi"/>
            <w:b w:val="0"/>
            <w:noProof/>
            <w:szCs w:val="22"/>
            <w:lang w:eastAsia="en-GB"/>
          </w:rPr>
          <w:tab/>
        </w:r>
        <w:r w:rsidR="001353E5" w:rsidRPr="00EB7E77">
          <w:rPr>
            <w:rStyle w:val="-"/>
            <w:noProof/>
          </w:rPr>
          <w:t>Additional rules for precast concrete elements and structures</w:t>
        </w:r>
        <w:r w:rsidR="001353E5">
          <w:rPr>
            <w:noProof/>
            <w:webHidden/>
          </w:rPr>
          <w:tab/>
        </w:r>
        <w:r w:rsidR="001353E5">
          <w:rPr>
            <w:noProof/>
            <w:webHidden/>
          </w:rPr>
          <w:fldChar w:fldCharType="begin"/>
        </w:r>
        <w:r w:rsidR="001353E5">
          <w:rPr>
            <w:noProof/>
            <w:webHidden/>
          </w:rPr>
          <w:instrText xml:space="preserve"> PAGEREF _Toc67565624 \h </w:instrText>
        </w:r>
        <w:r w:rsidR="001353E5">
          <w:rPr>
            <w:noProof/>
            <w:webHidden/>
          </w:rPr>
        </w:r>
        <w:r w:rsidR="001353E5">
          <w:rPr>
            <w:noProof/>
            <w:webHidden/>
          </w:rPr>
          <w:fldChar w:fldCharType="separate"/>
        </w:r>
        <w:r w:rsidR="000250B6">
          <w:rPr>
            <w:noProof/>
            <w:webHidden/>
          </w:rPr>
          <w:t>338</w:t>
        </w:r>
        <w:r w:rsidR="001353E5">
          <w:rPr>
            <w:noProof/>
            <w:webHidden/>
          </w:rPr>
          <w:fldChar w:fldCharType="end"/>
        </w:r>
      </w:hyperlink>
    </w:p>
    <w:p w14:paraId="25A050C9"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25" w:history="1">
        <w:r w:rsidR="001353E5" w:rsidRPr="00EB7E77">
          <w:rPr>
            <w:rStyle w:val="-"/>
            <w:noProof/>
          </w:rPr>
          <w:t>K.15</w:t>
        </w:r>
        <w:r w:rsidR="001353E5">
          <w:rPr>
            <w:rFonts w:asciiTheme="minorHAnsi" w:eastAsiaTheme="minorEastAsia" w:hAnsiTheme="minorHAnsi" w:cstheme="minorBidi"/>
            <w:b w:val="0"/>
            <w:noProof/>
            <w:szCs w:val="22"/>
            <w:lang w:eastAsia="en-GB"/>
          </w:rPr>
          <w:tab/>
        </w:r>
        <w:r w:rsidR="001353E5" w:rsidRPr="00EB7E77">
          <w:rPr>
            <w:rStyle w:val="-"/>
            <w:noProof/>
          </w:rPr>
          <w:t>Plain and lightly reinforced concrete structures</w:t>
        </w:r>
        <w:r w:rsidR="001353E5">
          <w:rPr>
            <w:noProof/>
            <w:webHidden/>
          </w:rPr>
          <w:tab/>
        </w:r>
        <w:r w:rsidR="001353E5">
          <w:rPr>
            <w:noProof/>
            <w:webHidden/>
          </w:rPr>
          <w:fldChar w:fldCharType="begin"/>
        </w:r>
        <w:r w:rsidR="001353E5">
          <w:rPr>
            <w:noProof/>
            <w:webHidden/>
          </w:rPr>
          <w:instrText xml:space="preserve"> PAGEREF _Toc67565625 \h </w:instrText>
        </w:r>
        <w:r w:rsidR="001353E5">
          <w:rPr>
            <w:noProof/>
            <w:webHidden/>
          </w:rPr>
        </w:r>
        <w:r w:rsidR="001353E5">
          <w:rPr>
            <w:noProof/>
            <w:webHidden/>
          </w:rPr>
          <w:fldChar w:fldCharType="separate"/>
        </w:r>
        <w:r w:rsidR="000250B6">
          <w:rPr>
            <w:noProof/>
            <w:webHidden/>
          </w:rPr>
          <w:t>339</w:t>
        </w:r>
        <w:r w:rsidR="001353E5">
          <w:rPr>
            <w:noProof/>
            <w:webHidden/>
          </w:rPr>
          <w:fldChar w:fldCharType="end"/>
        </w:r>
      </w:hyperlink>
    </w:p>
    <w:p w14:paraId="1247EFB0"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26" w:history="1">
        <w:r w:rsidR="001353E5" w:rsidRPr="00EB7E77">
          <w:rPr>
            <w:rStyle w:val="-"/>
            <w:noProof/>
          </w:rPr>
          <w:t>K.16</w:t>
        </w:r>
        <w:r w:rsidR="001353E5">
          <w:rPr>
            <w:rFonts w:asciiTheme="minorHAnsi" w:eastAsiaTheme="minorEastAsia" w:hAnsiTheme="minorHAnsi" w:cstheme="minorBidi"/>
            <w:b w:val="0"/>
            <w:noProof/>
            <w:szCs w:val="22"/>
            <w:lang w:eastAsia="en-GB"/>
          </w:rPr>
          <w:tab/>
        </w:r>
        <w:r w:rsidR="001353E5" w:rsidRPr="00EB7E77">
          <w:rPr>
            <w:rStyle w:val="-"/>
            <w:noProof/>
          </w:rPr>
          <w:t>Annexes A to O</w:t>
        </w:r>
        <w:r w:rsidR="001353E5">
          <w:rPr>
            <w:noProof/>
            <w:webHidden/>
          </w:rPr>
          <w:tab/>
        </w:r>
        <w:r w:rsidR="001353E5">
          <w:rPr>
            <w:noProof/>
            <w:webHidden/>
          </w:rPr>
          <w:fldChar w:fldCharType="begin"/>
        </w:r>
        <w:r w:rsidR="001353E5">
          <w:rPr>
            <w:noProof/>
            <w:webHidden/>
          </w:rPr>
          <w:instrText xml:space="preserve"> PAGEREF _Toc67565626 \h </w:instrText>
        </w:r>
        <w:r w:rsidR="001353E5">
          <w:rPr>
            <w:noProof/>
            <w:webHidden/>
          </w:rPr>
        </w:r>
        <w:r w:rsidR="001353E5">
          <w:rPr>
            <w:noProof/>
            <w:webHidden/>
          </w:rPr>
          <w:fldChar w:fldCharType="separate"/>
        </w:r>
        <w:r w:rsidR="000250B6">
          <w:rPr>
            <w:noProof/>
            <w:webHidden/>
          </w:rPr>
          <w:t>339</w:t>
        </w:r>
        <w:r w:rsidR="001353E5">
          <w:rPr>
            <w:noProof/>
            <w:webHidden/>
          </w:rPr>
          <w:fldChar w:fldCharType="end"/>
        </w:r>
      </w:hyperlink>
    </w:p>
    <w:p w14:paraId="6CC2DD0B" w14:textId="77777777" w:rsidR="001353E5" w:rsidRDefault="00231E33">
      <w:pPr>
        <w:pStyle w:val="10"/>
        <w:rPr>
          <w:rFonts w:asciiTheme="minorHAnsi" w:eastAsiaTheme="minorEastAsia" w:hAnsiTheme="minorHAnsi" w:cstheme="minorBidi"/>
          <w:b w:val="0"/>
          <w:noProof/>
          <w:szCs w:val="22"/>
          <w:lang w:eastAsia="en-GB"/>
        </w:rPr>
      </w:pPr>
      <w:hyperlink w:anchor="_Toc67565627" w:history="1">
        <w:r w:rsidR="001353E5" w:rsidRPr="00EB7E77">
          <w:rPr>
            <w:rStyle w:val="-"/>
            <w:noProof/>
          </w:rPr>
          <w:t>Annex L</w:t>
        </w:r>
        <w:r w:rsidR="001353E5" w:rsidRPr="00EB7E77">
          <w:rPr>
            <w:rStyle w:val="-"/>
            <w:bCs/>
            <w:noProof/>
          </w:rPr>
          <w:t xml:space="preserve"> (informative) </w:t>
        </w:r>
        <w:r w:rsidR="001353E5" w:rsidRPr="00EB7E77">
          <w:rPr>
            <w:rStyle w:val="-"/>
            <w:noProof/>
          </w:rPr>
          <w:t xml:space="preserve"> Steel Fibre Reinforced Concrete Structures</w:t>
        </w:r>
        <w:r w:rsidR="001353E5">
          <w:rPr>
            <w:noProof/>
            <w:webHidden/>
          </w:rPr>
          <w:tab/>
        </w:r>
        <w:r w:rsidR="001353E5">
          <w:rPr>
            <w:noProof/>
            <w:webHidden/>
          </w:rPr>
          <w:fldChar w:fldCharType="begin"/>
        </w:r>
        <w:r w:rsidR="001353E5">
          <w:rPr>
            <w:noProof/>
            <w:webHidden/>
          </w:rPr>
          <w:instrText xml:space="preserve"> PAGEREF _Toc67565627 \h </w:instrText>
        </w:r>
        <w:r w:rsidR="001353E5">
          <w:rPr>
            <w:noProof/>
            <w:webHidden/>
          </w:rPr>
        </w:r>
        <w:r w:rsidR="001353E5">
          <w:rPr>
            <w:noProof/>
            <w:webHidden/>
          </w:rPr>
          <w:fldChar w:fldCharType="separate"/>
        </w:r>
        <w:r w:rsidR="000250B6">
          <w:rPr>
            <w:noProof/>
            <w:webHidden/>
          </w:rPr>
          <w:t>340</w:t>
        </w:r>
        <w:r w:rsidR="001353E5">
          <w:rPr>
            <w:noProof/>
            <w:webHidden/>
          </w:rPr>
          <w:fldChar w:fldCharType="end"/>
        </w:r>
      </w:hyperlink>
    </w:p>
    <w:p w14:paraId="0AA6F259"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28" w:history="1">
        <w:r w:rsidR="001353E5" w:rsidRPr="00EB7E77">
          <w:rPr>
            <w:rStyle w:val="-"/>
            <w:noProof/>
          </w:rPr>
          <w:t>L.1</w:t>
        </w:r>
        <w:r w:rsidR="001353E5">
          <w:rPr>
            <w:rFonts w:asciiTheme="minorHAnsi" w:eastAsiaTheme="minorEastAsia" w:hAnsiTheme="minorHAnsi" w:cstheme="minorBidi"/>
            <w:b w:val="0"/>
            <w:noProof/>
            <w:szCs w:val="22"/>
            <w:lang w:eastAsia="en-GB"/>
          </w:rPr>
          <w:tab/>
        </w:r>
        <w:r w:rsidR="001353E5" w:rsidRPr="00EB7E77">
          <w:rPr>
            <w:rStyle w:val="-"/>
            <w:noProof/>
          </w:rPr>
          <w:t>Use of this annex</w:t>
        </w:r>
        <w:r w:rsidR="001353E5">
          <w:rPr>
            <w:noProof/>
            <w:webHidden/>
          </w:rPr>
          <w:tab/>
        </w:r>
        <w:r w:rsidR="001353E5">
          <w:rPr>
            <w:noProof/>
            <w:webHidden/>
          </w:rPr>
          <w:fldChar w:fldCharType="begin"/>
        </w:r>
        <w:r w:rsidR="001353E5">
          <w:rPr>
            <w:noProof/>
            <w:webHidden/>
          </w:rPr>
          <w:instrText xml:space="preserve"> PAGEREF _Toc67565628 \h </w:instrText>
        </w:r>
        <w:r w:rsidR="001353E5">
          <w:rPr>
            <w:noProof/>
            <w:webHidden/>
          </w:rPr>
        </w:r>
        <w:r w:rsidR="001353E5">
          <w:rPr>
            <w:noProof/>
            <w:webHidden/>
          </w:rPr>
          <w:fldChar w:fldCharType="separate"/>
        </w:r>
        <w:r w:rsidR="000250B6">
          <w:rPr>
            <w:noProof/>
            <w:webHidden/>
          </w:rPr>
          <w:t>340</w:t>
        </w:r>
        <w:r w:rsidR="001353E5">
          <w:rPr>
            <w:noProof/>
            <w:webHidden/>
          </w:rPr>
          <w:fldChar w:fldCharType="end"/>
        </w:r>
      </w:hyperlink>
    </w:p>
    <w:p w14:paraId="41AC03D8"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29" w:history="1">
        <w:r w:rsidR="001353E5" w:rsidRPr="00EB7E77">
          <w:rPr>
            <w:rStyle w:val="-"/>
            <w:noProof/>
          </w:rPr>
          <w:t>L.2</w:t>
        </w:r>
        <w:r w:rsidR="001353E5">
          <w:rPr>
            <w:rFonts w:asciiTheme="minorHAnsi" w:eastAsiaTheme="minorEastAsia" w:hAnsiTheme="minorHAnsi" w:cstheme="minorBidi"/>
            <w:b w:val="0"/>
            <w:noProof/>
            <w:szCs w:val="22"/>
            <w:lang w:eastAsia="en-GB"/>
          </w:rPr>
          <w:tab/>
        </w:r>
        <w:r w:rsidR="001353E5" w:rsidRPr="00EB7E77">
          <w:rPr>
            <w:rStyle w:val="-"/>
            <w:noProof/>
          </w:rPr>
          <w:t>Scope and field of application</w:t>
        </w:r>
        <w:r w:rsidR="001353E5">
          <w:rPr>
            <w:noProof/>
            <w:webHidden/>
          </w:rPr>
          <w:tab/>
        </w:r>
        <w:r w:rsidR="001353E5">
          <w:rPr>
            <w:noProof/>
            <w:webHidden/>
          </w:rPr>
          <w:fldChar w:fldCharType="begin"/>
        </w:r>
        <w:r w:rsidR="001353E5">
          <w:rPr>
            <w:noProof/>
            <w:webHidden/>
          </w:rPr>
          <w:instrText xml:space="preserve"> PAGEREF _Toc67565629 \h </w:instrText>
        </w:r>
        <w:r w:rsidR="001353E5">
          <w:rPr>
            <w:noProof/>
            <w:webHidden/>
          </w:rPr>
        </w:r>
        <w:r w:rsidR="001353E5">
          <w:rPr>
            <w:noProof/>
            <w:webHidden/>
          </w:rPr>
          <w:fldChar w:fldCharType="separate"/>
        </w:r>
        <w:r w:rsidR="000250B6">
          <w:rPr>
            <w:noProof/>
            <w:webHidden/>
          </w:rPr>
          <w:t>340</w:t>
        </w:r>
        <w:r w:rsidR="001353E5">
          <w:rPr>
            <w:noProof/>
            <w:webHidden/>
          </w:rPr>
          <w:fldChar w:fldCharType="end"/>
        </w:r>
      </w:hyperlink>
    </w:p>
    <w:p w14:paraId="7F1C4231"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30" w:history="1">
        <w:r w:rsidR="001353E5" w:rsidRPr="00EB7E77">
          <w:rPr>
            <w:rStyle w:val="-"/>
            <w:noProof/>
          </w:rPr>
          <w:t>L.3</w:t>
        </w:r>
        <w:r w:rsidR="001353E5">
          <w:rPr>
            <w:rFonts w:asciiTheme="minorHAnsi" w:eastAsiaTheme="minorEastAsia" w:hAnsiTheme="minorHAnsi" w:cstheme="minorBidi"/>
            <w:b w:val="0"/>
            <w:noProof/>
            <w:szCs w:val="22"/>
            <w:lang w:eastAsia="en-GB"/>
          </w:rPr>
          <w:tab/>
        </w:r>
        <w:r w:rsidR="001353E5" w:rsidRPr="00EB7E77">
          <w:rPr>
            <w:rStyle w:val="-"/>
            <w:noProof/>
          </w:rPr>
          <w:t>General</w:t>
        </w:r>
        <w:r w:rsidR="001353E5">
          <w:rPr>
            <w:noProof/>
            <w:webHidden/>
          </w:rPr>
          <w:tab/>
        </w:r>
        <w:r w:rsidR="001353E5">
          <w:rPr>
            <w:noProof/>
            <w:webHidden/>
          </w:rPr>
          <w:fldChar w:fldCharType="begin"/>
        </w:r>
        <w:r w:rsidR="001353E5">
          <w:rPr>
            <w:noProof/>
            <w:webHidden/>
          </w:rPr>
          <w:instrText xml:space="preserve"> PAGEREF _Toc67565630 \h </w:instrText>
        </w:r>
        <w:r w:rsidR="001353E5">
          <w:rPr>
            <w:noProof/>
            <w:webHidden/>
          </w:rPr>
        </w:r>
        <w:r w:rsidR="001353E5">
          <w:rPr>
            <w:noProof/>
            <w:webHidden/>
          </w:rPr>
          <w:fldChar w:fldCharType="separate"/>
        </w:r>
        <w:r w:rsidR="000250B6">
          <w:rPr>
            <w:noProof/>
            <w:webHidden/>
          </w:rPr>
          <w:t>340</w:t>
        </w:r>
        <w:r w:rsidR="001353E5">
          <w:rPr>
            <w:noProof/>
            <w:webHidden/>
          </w:rPr>
          <w:fldChar w:fldCharType="end"/>
        </w:r>
      </w:hyperlink>
    </w:p>
    <w:p w14:paraId="7A245200"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31" w:history="1">
        <w:r w:rsidR="001353E5" w:rsidRPr="00EB7E77">
          <w:rPr>
            <w:rStyle w:val="-"/>
            <w:noProof/>
          </w:rPr>
          <w:t>L.4</w:t>
        </w:r>
        <w:r w:rsidR="001353E5">
          <w:rPr>
            <w:rFonts w:asciiTheme="minorHAnsi" w:eastAsiaTheme="minorEastAsia" w:hAnsiTheme="minorHAnsi" w:cstheme="minorBidi"/>
            <w:b w:val="0"/>
            <w:noProof/>
            <w:szCs w:val="22"/>
            <w:lang w:eastAsia="en-GB"/>
          </w:rPr>
          <w:tab/>
        </w:r>
        <w:r w:rsidR="001353E5" w:rsidRPr="00EB7E77">
          <w:rPr>
            <w:rStyle w:val="-"/>
            <w:noProof/>
          </w:rPr>
          <w:t>Basis of design - Verification by the partial factor method - Partial factors for materials</w:t>
        </w:r>
        <w:r w:rsidR="001353E5">
          <w:rPr>
            <w:noProof/>
            <w:webHidden/>
          </w:rPr>
          <w:tab/>
        </w:r>
        <w:r w:rsidR="001353E5">
          <w:rPr>
            <w:noProof/>
            <w:webHidden/>
          </w:rPr>
          <w:fldChar w:fldCharType="begin"/>
        </w:r>
        <w:r w:rsidR="001353E5">
          <w:rPr>
            <w:noProof/>
            <w:webHidden/>
          </w:rPr>
          <w:instrText xml:space="preserve"> PAGEREF _Toc67565631 \h </w:instrText>
        </w:r>
        <w:r w:rsidR="001353E5">
          <w:rPr>
            <w:noProof/>
            <w:webHidden/>
          </w:rPr>
        </w:r>
        <w:r w:rsidR="001353E5">
          <w:rPr>
            <w:noProof/>
            <w:webHidden/>
          </w:rPr>
          <w:fldChar w:fldCharType="separate"/>
        </w:r>
        <w:r w:rsidR="000250B6">
          <w:rPr>
            <w:noProof/>
            <w:webHidden/>
          </w:rPr>
          <w:t>340</w:t>
        </w:r>
        <w:r w:rsidR="001353E5">
          <w:rPr>
            <w:noProof/>
            <w:webHidden/>
          </w:rPr>
          <w:fldChar w:fldCharType="end"/>
        </w:r>
      </w:hyperlink>
    </w:p>
    <w:p w14:paraId="5E6AC21C"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32" w:history="1">
        <w:r w:rsidR="001353E5" w:rsidRPr="00EB7E77">
          <w:rPr>
            <w:rStyle w:val="-"/>
            <w:noProof/>
          </w:rPr>
          <w:t>L.5</w:t>
        </w:r>
        <w:r w:rsidR="001353E5">
          <w:rPr>
            <w:rFonts w:asciiTheme="minorHAnsi" w:eastAsiaTheme="minorEastAsia" w:hAnsiTheme="minorHAnsi" w:cstheme="minorBidi"/>
            <w:b w:val="0"/>
            <w:noProof/>
            <w:szCs w:val="22"/>
            <w:lang w:eastAsia="en-GB"/>
          </w:rPr>
          <w:tab/>
        </w:r>
        <w:r w:rsidR="001353E5" w:rsidRPr="00EB7E77">
          <w:rPr>
            <w:rStyle w:val="-"/>
            <w:noProof/>
          </w:rPr>
          <w:t>Materials - Steel Fibre Reinforced Concrete</w:t>
        </w:r>
        <w:r w:rsidR="001353E5">
          <w:rPr>
            <w:noProof/>
            <w:webHidden/>
          </w:rPr>
          <w:tab/>
        </w:r>
        <w:r w:rsidR="001353E5">
          <w:rPr>
            <w:noProof/>
            <w:webHidden/>
          </w:rPr>
          <w:fldChar w:fldCharType="begin"/>
        </w:r>
        <w:r w:rsidR="001353E5">
          <w:rPr>
            <w:noProof/>
            <w:webHidden/>
          </w:rPr>
          <w:instrText xml:space="preserve"> PAGEREF _Toc67565632 \h </w:instrText>
        </w:r>
        <w:r w:rsidR="001353E5">
          <w:rPr>
            <w:noProof/>
            <w:webHidden/>
          </w:rPr>
        </w:r>
        <w:r w:rsidR="001353E5">
          <w:rPr>
            <w:noProof/>
            <w:webHidden/>
          </w:rPr>
          <w:fldChar w:fldCharType="separate"/>
        </w:r>
        <w:r w:rsidR="000250B6">
          <w:rPr>
            <w:noProof/>
            <w:webHidden/>
          </w:rPr>
          <w:t>341</w:t>
        </w:r>
        <w:r w:rsidR="001353E5">
          <w:rPr>
            <w:noProof/>
            <w:webHidden/>
          </w:rPr>
          <w:fldChar w:fldCharType="end"/>
        </w:r>
      </w:hyperlink>
    </w:p>
    <w:p w14:paraId="40A58C9B"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33" w:history="1">
        <w:r w:rsidR="001353E5" w:rsidRPr="00EB7E77">
          <w:rPr>
            <w:rStyle w:val="-"/>
            <w:noProof/>
          </w:rPr>
          <w:t>L.6</w:t>
        </w:r>
        <w:r w:rsidR="001353E5">
          <w:rPr>
            <w:rFonts w:asciiTheme="minorHAnsi" w:eastAsiaTheme="minorEastAsia" w:hAnsiTheme="minorHAnsi" w:cstheme="minorBidi"/>
            <w:b w:val="0"/>
            <w:noProof/>
            <w:szCs w:val="22"/>
            <w:lang w:eastAsia="en-GB"/>
          </w:rPr>
          <w:tab/>
        </w:r>
        <w:r w:rsidR="001353E5" w:rsidRPr="00EB7E77">
          <w:rPr>
            <w:rStyle w:val="-"/>
            <w:noProof/>
          </w:rPr>
          <w:t>Durability - Concrete cover - Minimum cover</w:t>
        </w:r>
        <w:r w:rsidR="001353E5">
          <w:rPr>
            <w:noProof/>
            <w:webHidden/>
          </w:rPr>
          <w:tab/>
        </w:r>
        <w:r w:rsidR="001353E5">
          <w:rPr>
            <w:noProof/>
            <w:webHidden/>
          </w:rPr>
          <w:fldChar w:fldCharType="begin"/>
        </w:r>
        <w:r w:rsidR="001353E5">
          <w:rPr>
            <w:noProof/>
            <w:webHidden/>
          </w:rPr>
          <w:instrText xml:space="preserve"> PAGEREF _Toc67565633 \h </w:instrText>
        </w:r>
        <w:r w:rsidR="001353E5">
          <w:rPr>
            <w:noProof/>
            <w:webHidden/>
          </w:rPr>
        </w:r>
        <w:r w:rsidR="001353E5">
          <w:rPr>
            <w:noProof/>
            <w:webHidden/>
          </w:rPr>
          <w:fldChar w:fldCharType="separate"/>
        </w:r>
        <w:r w:rsidR="000250B6">
          <w:rPr>
            <w:noProof/>
            <w:webHidden/>
          </w:rPr>
          <w:t>344</w:t>
        </w:r>
        <w:r w:rsidR="001353E5">
          <w:rPr>
            <w:noProof/>
            <w:webHidden/>
          </w:rPr>
          <w:fldChar w:fldCharType="end"/>
        </w:r>
      </w:hyperlink>
    </w:p>
    <w:p w14:paraId="2A0FE762"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34" w:history="1">
        <w:r w:rsidR="001353E5" w:rsidRPr="00EB7E77">
          <w:rPr>
            <w:rStyle w:val="-"/>
            <w:noProof/>
          </w:rPr>
          <w:t>L.7</w:t>
        </w:r>
        <w:r w:rsidR="001353E5">
          <w:rPr>
            <w:rFonts w:asciiTheme="minorHAnsi" w:eastAsiaTheme="minorEastAsia" w:hAnsiTheme="minorHAnsi" w:cstheme="minorBidi"/>
            <w:b w:val="0"/>
            <w:noProof/>
            <w:szCs w:val="22"/>
            <w:lang w:eastAsia="en-GB"/>
          </w:rPr>
          <w:tab/>
        </w:r>
        <w:r w:rsidR="001353E5" w:rsidRPr="00EB7E77">
          <w:rPr>
            <w:rStyle w:val="-"/>
            <w:noProof/>
          </w:rPr>
          <w:t>Structural analysis - Plastic analysis - Special rules for SFRC structures</w:t>
        </w:r>
        <w:r w:rsidR="001353E5">
          <w:rPr>
            <w:noProof/>
            <w:webHidden/>
          </w:rPr>
          <w:tab/>
        </w:r>
        <w:r w:rsidR="001353E5">
          <w:rPr>
            <w:noProof/>
            <w:webHidden/>
          </w:rPr>
          <w:fldChar w:fldCharType="begin"/>
        </w:r>
        <w:r w:rsidR="001353E5">
          <w:rPr>
            <w:noProof/>
            <w:webHidden/>
          </w:rPr>
          <w:instrText xml:space="preserve"> PAGEREF _Toc67565634 \h </w:instrText>
        </w:r>
        <w:r w:rsidR="001353E5">
          <w:rPr>
            <w:noProof/>
            <w:webHidden/>
          </w:rPr>
        </w:r>
        <w:r w:rsidR="001353E5">
          <w:rPr>
            <w:noProof/>
            <w:webHidden/>
          </w:rPr>
          <w:fldChar w:fldCharType="separate"/>
        </w:r>
        <w:r w:rsidR="000250B6">
          <w:rPr>
            <w:noProof/>
            <w:webHidden/>
          </w:rPr>
          <w:t>344</w:t>
        </w:r>
        <w:r w:rsidR="001353E5">
          <w:rPr>
            <w:noProof/>
            <w:webHidden/>
          </w:rPr>
          <w:fldChar w:fldCharType="end"/>
        </w:r>
      </w:hyperlink>
    </w:p>
    <w:p w14:paraId="3F2C629C"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35" w:history="1">
        <w:r w:rsidR="001353E5" w:rsidRPr="00EB7E77">
          <w:rPr>
            <w:rStyle w:val="-"/>
            <w:noProof/>
          </w:rPr>
          <w:t>L.8</w:t>
        </w:r>
        <w:r w:rsidR="001353E5">
          <w:rPr>
            <w:rFonts w:asciiTheme="minorHAnsi" w:eastAsiaTheme="minorEastAsia" w:hAnsiTheme="minorHAnsi" w:cstheme="minorBidi"/>
            <w:b w:val="0"/>
            <w:noProof/>
            <w:szCs w:val="22"/>
            <w:lang w:eastAsia="en-GB"/>
          </w:rPr>
          <w:tab/>
        </w:r>
        <w:r w:rsidR="001353E5" w:rsidRPr="00EB7E77">
          <w:rPr>
            <w:rStyle w:val="-"/>
            <w:noProof/>
          </w:rPr>
          <w:t>Ultimate Limit States (ULS)</w:t>
        </w:r>
        <w:r w:rsidR="001353E5">
          <w:rPr>
            <w:noProof/>
            <w:webHidden/>
          </w:rPr>
          <w:tab/>
        </w:r>
        <w:r w:rsidR="001353E5">
          <w:rPr>
            <w:noProof/>
            <w:webHidden/>
          </w:rPr>
          <w:fldChar w:fldCharType="begin"/>
        </w:r>
        <w:r w:rsidR="001353E5">
          <w:rPr>
            <w:noProof/>
            <w:webHidden/>
          </w:rPr>
          <w:instrText xml:space="preserve"> PAGEREF _Toc67565635 \h </w:instrText>
        </w:r>
        <w:r w:rsidR="001353E5">
          <w:rPr>
            <w:noProof/>
            <w:webHidden/>
          </w:rPr>
        </w:r>
        <w:r w:rsidR="001353E5">
          <w:rPr>
            <w:noProof/>
            <w:webHidden/>
          </w:rPr>
          <w:fldChar w:fldCharType="separate"/>
        </w:r>
        <w:r w:rsidR="000250B6">
          <w:rPr>
            <w:noProof/>
            <w:webHidden/>
          </w:rPr>
          <w:t>345</w:t>
        </w:r>
        <w:r w:rsidR="001353E5">
          <w:rPr>
            <w:noProof/>
            <w:webHidden/>
          </w:rPr>
          <w:fldChar w:fldCharType="end"/>
        </w:r>
      </w:hyperlink>
    </w:p>
    <w:p w14:paraId="24CFC381"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36" w:history="1">
        <w:r w:rsidR="001353E5" w:rsidRPr="00EB7E77">
          <w:rPr>
            <w:rStyle w:val="-"/>
            <w:noProof/>
          </w:rPr>
          <w:t>L.9</w:t>
        </w:r>
        <w:r w:rsidR="001353E5">
          <w:rPr>
            <w:rFonts w:asciiTheme="minorHAnsi" w:eastAsiaTheme="minorEastAsia" w:hAnsiTheme="minorHAnsi" w:cstheme="minorBidi"/>
            <w:b w:val="0"/>
            <w:noProof/>
            <w:szCs w:val="22"/>
            <w:lang w:eastAsia="en-GB"/>
          </w:rPr>
          <w:tab/>
        </w:r>
        <w:r w:rsidR="001353E5" w:rsidRPr="00EB7E77">
          <w:rPr>
            <w:rStyle w:val="-"/>
            <w:noProof/>
          </w:rPr>
          <w:t>Serviceability Limit States (SLS) - Crack control</w:t>
        </w:r>
        <w:r w:rsidR="001353E5">
          <w:rPr>
            <w:noProof/>
            <w:webHidden/>
          </w:rPr>
          <w:tab/>
        </w:r>
        <w:r w:rsidR="001353E5">
          <w:rPr>
            <w:noProof/>
            <w:webHidden/>
          </w:rPr>
          <w:fldChar w:fldCharType="begin"/>
        </w:r>
        <w:r w:rsidR="001353E5">
          <w:rPr>
            <w:noProof/>
            <w:webHidden/>
          </w:rPr>
          <w:instrText xml:space="preserve"> PAGEREF _Toc67565636 \h </w:instrText>
        </w:r>
        <w:r w:rsidR="001353E5">
          <w:rPr>
            <w:noProof/>
            <w:webHidden/>
          </w:rPr>
        </w:r>
        <w:r w:rsidR="001353E5">
          <w:rPr>
            <w:noProof/>
            <w:webHidden/>
          </w:rPr>
          <w:fldChar w:fldCharType="separate"/>
        </w:r>
        <w:r w:rsidR="000250B6">
          <w:rPr>
            <w:noProof/>
            <w:webHidden/>
          </w:rPr>
          <w:t>348</w:t>
        </w:r>
        <w:r w:rsidR="001353E5">
          <w:rPr>
            <w:noProof/>
            <w:webHidden/>
          </w:rPr>
          <w:fldChar w:fldCharType="end"/>
        </w:r>
      </w:hyperlink>
    </w:p>
    <w:p w14:paraId="518BF49E"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37" w:history="1">
        <w:r w:rsidR="001353E5" w:rsidRPr="00EB7E77">
          <w:rPr>
            <w:rStyle w:val="-"/>
            <w:noProof/>
          </w:rPr>
          <w:t>L.10</w:t>
        </w:r>
        <w:r w:rsidR="001353E5">
          <w:rPr>
            <w:rFonts w:asciiTheme="minorHAnsi" w:eastAsiaTheme="minorEastAsia" w:hAnsiTheme="minorHAnsi" w:cstheme="minorBidi"/>
            <w:b w:val="0"/>
            <w:noProof/>
            <w:szCs w:val="22"/>
            <w:lang w:eastAsia="en-GB"/>
          </w:rPr>
          <w:tab/>
        </w:r>
        <w:r w:rsidR="001353E5" w:rsidRPr="00EB7E77">
          <w:rPr>
            <w:rStyle w:val="-"/>
            <w:noProof/>
          </w:rPr>
          <w:t>Fatigue</w:t>
        </w:r>
        <w:r w:rsidR="001353E5">
          <w:rPr>
            <w:noProof/>
            <w:webHidden/>
          </w:rPr>
          <w:tab/>
        </w:r>
        <w:r w:rsidR="001353E5">
          <w:rPr>
            <w:noProof/>
            <w:webHidden/>
          </w:rPr>
          <w:fldChar w:fldCharType="begin"/>
        </w:r>
        <w:r w:rsidR="001353E5">
          <w:rPr>
            <w:noProof/>
            <w:webHidden/>
          </w:rPr>
          <w:instrText xml:space="preserve"> PAGEREF _Toc67565637 \h </w:instrText>
        </w:r>
        <w:r w:rsidR="001353E5">
          <w:rPr>
            <w:noProof/>
            <w:webHidden/>
          </w:rPr>
        </w:r>
        <w:r w:rsidR="001353E5">
          <w:rPr>
            <w:noProof/>
            <w:webHidden/>
          </w:rPr>
          <w:fldChar w:fldCharType="separate"/>
        </w:r>
        <w:r w:rsidR="000250B6">
          <w:rPr>
            <w:noProof/>
            <w:webHidden/>
          </w:rPr>
          <w:t>349</w:t>
        </w:r>
        <w:r w:rsidR="001353E5">
          <w:rPr>
            <w:noProof/>
            <w:webHidden/>
          </w:rPr>
          <w:fldChar w:fldCharType="end"/>
        </w:r>
      </w:hyperlink>
    </w:p>
    <w:p w14:paraId="0134398E"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38" w:history="1">
        <w:r w:rsidR="001353E5" w:rsidRPr="00EB7E77">
          <w:rPr>
            <w:rStyle w:val="-"/>
            <w:noProof/>
          </w:rPr>
          <w:t>L.11</w:t>
        </w:r>
        <w:r w:rsidR="001353E5">
          <w:rPr>
            <w:rFonts w:asciiTheme="minorHAnsi" w:eastAsiaTheme="minorEastAsia" w:hAnsiTheme="minorHAnsi" w:cstheme="minorBidi"/>
            <w:b w:val="0"/>
            <w:noProof/>
            <w:szCs w:val="22"/>
            <w:lang w:eastAsia="en-GB"/>
          </w:rPr>
          <w:tab/>
        </w:r>
        <w:r w:rsidR="001353E5" w:rsidRPr="00EB7E77">
          <w:rPr>
            <w:rStyle w:val="-"/>
            <w:noProof/>
          </w:rPr>
          <w:t>Detailing of reinforcement and post-tensioning tendons</w:t>
        </w:r>
        <w:r w:rsidR="001353E5">
          <w:rPr>
            <w:noProof/>
            <w:webHidden/>
          </w:rPr>
          <w:tab/>
        </w:r>
        <w:r w:rsidR="001353E5">
          <w:rPr>
            <w:noProof/>
            <w:webHidden/>
          </w:rPr>
          <w:fldChar w:fldCharType="begin"/>
        </w:r>
        <w:r w:rsidR="001353E5">
          <w:rPr>
            <w:noProof/>
            <w:webHidden/>
          </w:rPr>
          <w:instrText xml:space="preserve"> PAGEREF _Toc67565638 \h </w:instrText>
        </w:r>
        <w:r w:rsidR="001353E5">
          <w:rPr>
            <w:noProof/>
            <w:webHidden/>
          </w:rPr>
        </w:r>
        <w:r w:rsidR="001353E5">
          <w:rPr>
            <w:noProof/>
            <w:webHidden/>
          </w:rPr>
          <w:fldChar w:fldCharType="separate"/>
        </w:r>
        <w:r w:rsidR="000250B6">
          <w:rPr>
            <w:noProof/>
            <w:webHidden/>
          </w:rPr>
          <w:t>349</w:t>
        </w:r>
        <w:r w:rsidR="001353E5">
          <w:rPr>
            <w:noProof/>
            <w:webHidden/>
          </w:rPr>
          <w:fldChar w:fldCharType="end"/>
        </w:r>
      </w:hyperlink>
    </w:p>
    <w:p w14:paraId="4B909C21"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39" w:history="1">
        <w:r w:rsidR="001353E5" w:rsidRPr="00EB7E77">
          <w:rPr>
            <w:rStyle w:val="-"/>
            <w:noProof/>
          </w:rPr>
          <w:t>L.12</w:t>
        </w:r>
        <w:r w:rsidR="001353E5">
          <w:rPr>
            <w:rFonts w:asciiTheme="minorHAnsi" w:eastAsiaTheme="minorEastAsia" w:hAnsiTheme="minorHAnsi" w:cstheme="minorBidi"/>
            <w:b w:val="0"/>
            <w:noProof/>
            <w:szCs w:val="22"/>
            <w:lang w:eastAsia="en-GB"/>
          </w:rPr>
          <w:tab/>
        </w:r>
        <w:r w:rsidR="001353E5" w:rsidRPr="00EB7E77">
          <w:rPr>
            <w:rStyle w:val="-"/>
            <w:noProof/>
          </w:rPr>
          <w:t>Detailing of members and particular rules</w:t>
        </w:r>
        <w:r w:rsidR="001353E5">
          <w:rPr>
            <w:noProof/>
            <w:webHidden/>
          </w:rPr>
          <w:tab/>
        </w:r>
        <w:r w:rsidR="001353E5">
          <w:rPr>
            <w:noProof/>
            <w:webHidden/>
          </w:rPr>
          <w:fldChar w:fldCharType="begin"/>
        </w:r>
        <w:r w:rsidR="001353E5">
          <w:rPr>
            <w:noProof/>
            <w:webHidden/>
          </w:rPr>
          <w:instrText xml:space="preserve"> PAGEREF _Toc67565639 \h </w:instrText>
        </w:r>
        <w:r w:rsidR="001353E5">
          <w:rPr>
            <w:noProof/>
            <w:webHidden/>
          </w:rPr>
        </w:r>
        <w:r w:rsidR="001353E5">
          <w:rPr>
            <w:noProof/>
            <w:webHidden/>
          </w:rPr>
          <w:fldChar w:fldCharType="separate"/>
        </w:r>
        <w:r w:rsidR="000250B6">
          <w:rPr>
            <w:noProof/>
            <w:webHidden/>
          </w:rPr>
          <w:t>349</w:t>
        </w:r>
        <w:r w:rsidR="001353E5">
          <w:rPr>
            <w:noProof/>
            <w:webHidden/>
          </w:rPr>
          <w:fldChar w:fldCharType="end"/>
        </w:r>
      </w:hyperlink>
    </w:p>
    <w:p w14:paraId="05C289E4"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40" w:history="1">
        <w:r w:rsidR="001353E5" w:rsidRPr="00EB7E77">
          <w:rPr>
            <w:rStyle w:val="-"/>
            <w:noProof/>
          </w:rPr>
          <w:t>L.13</w:t>
        </w:r>
        <w:r w:rsidR="001353E5">
          <w:rPr>
            <w:rFonts w:asciiTheme="minorHAnsi" w:eastAsiaTheme="minorEastAsia" w:hAnsiTheme="minorHAnsi" w:cstheme="minorBidi"/>
            <w:b w:val="0"/>
            <w:noProof/>
            <w:szCs w:val="22"/>
            <w:lang w:eastAsia="en-GB"/>
          </w:rPr>
          <w:tab/>
        </w:r>
        <w:r w:rsidR="001353E5" w:rsidRPr="00EB7E77">
          <w:rPr>
            <w:rStyle w:val="-"/>
            <w:noProof/>
          </w:rPr>
          <w:t>Additional rules for precast concrete elements and structures</w:t>
        </w:r>
        <w:r w:rsidR="001353E5">
          <w:rPr>
            <w:noProof/>
            <w:webHidden/>
          </w:rPr>
          <w:tab/>
        </w:r>
        <w:r w:rsidR="001353E5">
          <w:rPr>
            <w:noProof/>
            <w:webHidden/>
          </w:rPr>
          <w:fldChar w:fldCharType="begin"/>
        </w:r>
        <w:r w:rsidR="001353E5">
          <w:rPr>
            <w:noProof/>
            <w:webHidden/>
          </w:rPr>
          <w:instrText xml:space="preserve"> PAGEREF _Toc67565640 \h </w:instrText>
        </w:r>
        <w:r w:rsidR="001353E5">
          <w:rPr>
            <w:noProof/>
            <w:webHidden/>
          </w:rPr>
        </w:r>
        <w:r w:rsidR="001353E5">
          <w:rPr>
            <w:noProof/>
            <w:webHidden/>
          </w:rPr>
          <w:fldChar w:fldCharType="separate"/>
        </w:r>
        <w:r w:rsidR="000250B6">
          <w:rPr>
            <w:noProof/>
            <w:webHidden/>
          </w:rPr>
          <w:t>350</w:t>
        </w:r>
        <w:r w:rsidR="001353E5">
          <w:rPr>
            <w:noProof/>
            <w:webHidden/>
          </w:rPr>
          <w:fldChar w:fldCharType="end"/>
        </w:r>
      </w:hyperlink>
    </w:p>
    <w:p w14:paraId="13309DFD"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41" w:history="1">
        <w:r w:rsidR="001353E5" w:rsidRPr="00EB7E77">
          <w:rPr>
            <w:rStyle w:val="-"/>
            <w:noProof/>
          </w:rPr>
          <w:t>L.14</w:t>
        </w:r>
        <w:r w:rsidR="001353E5">
          <w:rPr>
            <w:rFonts w:asciiTheme="minorHAnsi" w:eastAsiaTheme="minorEastAsia" w:hAnsiTheme="minorHAnsi" w:cstheme="minorBidi"/>
            <w:b w:val="0"/>
            <w:noProof/>
            <w:szCs w:val="22"/>
            <w:lang w:eastAsia="en-GB"/>
          </w:rPr>
          <w:tab/>
        </w:r>
        <w:r w:rsidR="001353E5" w:rsidRPr="00EB7E77">
          <w:rPr>
            <w:rStyle w:val="-"/>
            <w:noProof/>
          </w:rPr>
          <w:t>Lightly reinforced SFRC structures</w:t>
        </w:r>
        <w:r w:rsidR="001353E5">
          <w:rPr>
            <w:noProof/>
            <w:webHidden/>
          </w:rPr>
          <w:tab/>
        </w:r>
        <w:r w:rsidR="001353E5">
          <w:rPr>
            <w:noProof/>
            <w:webHidden/>
          </w:rPr>
          <w:fldChar w:fldCharType="begin"/>
        </w:r>
        <w:r w:rsidR="001353E5">
          <w:rPr>
            <w:noProof/>
            <w:webHidden/>
          </w:rPr>
          <w:instrText xml:space="preserve"> PAGEREF _Toc67565641 \h </w:instrText>
        </w:r>
        <w:r w:rsidR="001353E5">
          <w:rPr>
            <w:noProof/>
            <w:webHidden/>
          </w:rPr>
        </w:r>
        <w:r w:rsidR="001353E5">
          <w:rPr>
            <w:noProof/>
            <w:webHidden/>
          </w:rPr>
          <w:fldChar w:fldCharType="separate"/>
        </w:r>
        <w:r w:rsidR="000250B6">
          <w:rPr>
            <w:noProof/>
            <w:webHidden/>
          </w:rPr>
          <w:t>351</w:t>
        </w:r>
        <w:r w:rsidR="001353E5">
          <w:rPr>
            <w:noProof/>
            <w:webHidden/>
          </w:rPr>
          <w:fldChar w:fldCharType="end"/>
        </w:r>
      </w:hyperlink>
    </w:p>
    <w:p w14:paraId="4B29A231" w14:textId="77777777" w:rsidR="001353E5" w:rsidRDefault="00231E33">
      <w:pPr>
        <w:pStyle w:val="10"/>
        <w:rPr>
          <w:rFonts w:asciiTheme="minorHAnsi" w:eastAsiaTheme="minorEastAsia" w:hAnsiTheme="minorHAnsi" w:cstheme="minorBidi"/>
          <w:b w:val="0"/>
          <w:noProof/>
          <w:szCs w:val="22"/>
          <w:lang w:eastAsia="en-GB"/>
        </w:rPr>
      </w:pPr>
      <w:hyperlink w:anchor="_Toc67565642" w:history="1">
        <w:r w:rsidR="001353E5" w:rsidRPr="00EB7E77">
          <w:rPr>
            <w:rStyle w:val="-"/>
            <w:noProof/>
          </w:rPr>
          <w:t>Annex M (normative)  Lightweight aggregate concrete structures</w:t>
        </w:r>
        <w:r w:rsidR="001353E5">
          <w:rPr>
            <w:noProof/>
            <w:webHidden/>
          </w:rPr>
          <w:tab/>
        </w:r>
        <w:r w:rsidR="001353E5">
          <w:rPr>
            <w:noProof/>
            <w:webHidden/>
          </w:rPr>
          <w:fldChar w:fldCharType="begin"/>
        </w:r>
        <w:r w:rsidR="001353E5">
          <w:rPr>
            <w:noProof/>
            <w:webHidden/>
          </w:rPr>
          <w:instrText xml:space="preserve"> PAGEREF _Toc67565642 \h </w:instrText>
        </w:r>
        <w:r w:rsidR="001353E5">
          <w:rPr>
            <w:noProof/>
            <w:webHidden/>
          </w:rPr>
        </w:r>
        <w:r w:rsidR="001353E5">
          <w:rPr>
            <w:noProof/>
            <w:webHidden/>
          </w:rPr>
          <w:fldChar w:fldCharType="separate"/>
        </w:r>
        <w:r w:rsidR="000250B6">
          <w:rPr>
            <w:noProof/>
            <w:webHidden/>
          </w:rPr>
          <w:t>353</w:t>
        </w:r>
        <w:r w:rsidR="001353E5">
          <w:rPr>
            <w:noProof/>
            <w:webHidden/>
          </w:rPr>
          <w:fldChar w:fldCharType="end"/>
        </w:r>
      </w:hyperlink>
    </w:p>
    <w:p w14:paraId="173FFCE2"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43" w:history="1">
        <w:r w:rsidR="001353E5" w:rsidRPr="00EB7E77">
          <w:rPr>
            <w:rStyle w:val="-"/>
            <w:noProof/>
          </w:rPr>
          <w:t>M.1</w:t>
        </w:r>
        <w:r w:rsidR="001353E5">
          <w:rPr>
            <w:rFonts w:asciiTheme="minorHAnsi" w:eastAsiaTheme="minorEastAsia" w:hAnsiTheme="minorHAnsi" w:cstheme="minorBidi"/>
            <w:b w:val="0"/>
            <w:noProof/>
            <w:szCs w:val="22"/>
            <w:lang w:eastAsia="en-GB"/>
          </w:rPr>
          <w:tab/>
        </w:r>
        <w:r w:rsidR="001353E5" w:rsidRPr="00EB7E77">
          <w:rPr>
            <w:rStyle w:val="-"/>
            <w:noProof/>
          </w:rPr>
          <w:t>Use of this annex</w:t>
        </w:r>
        <w:r w:rsidR="001353E5">
          <w:rPr>
            <w:noProof/>
            <w:webHidden/>
          </w:rPr>
          <w:tab/>
        </w:r>
        <w:r w:rsidR="001353E5">
          <w:rPr>
            <w:noProof/>
            <w:webHidden/>
          </w:rPr>
          <w:fldChar w:fldCharType="begin"/>
        </w:r>
        <w:r w:rsidR="001353E5">
          <w:rPr>
            <w:noProof/>
            <w:webHidden/>
          </w:rPr>
          <w:instrText xml:space="preserve"> PAGEREF _Toc67565643 \h </w:instrText>
        </w:r>
        <w:r w:rsidR="001353E5">
          <w:rPr>
            <w:noProof/>
            <w:webHidden/>
          </w:rPr>
        </w:r>
        <w:r w:rsidR="001353E5">
          <w:rPr>
            <w:noProof/>
            <w:webHidden/>
          </w:rPr>
          <w:fldChar w:fldCharType="separate"/>
        </w:r>
        <w:r w:rsidR="000250B6">
          <w:rPr>
            <w:noProof/>
            <w:webHidden/>
          </w:rPr>
          <w:t>353</w:t>
        </w:r>
        <w:r w:rsidR="001353E5">
          <w:rPr>
            <w:noProof/>
            <w:webHidden/>
          </w:rPr>
          <w:fldChar w:fldCharType="end"/>
        </w:r>
      </w:hyperlink>
    </w:p>
    <w:p w14:paraId="0CD51DBB"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44" w:history="1">
        <w:r w:rsidR="001353E5" w:rsidRPr="00EB7E77">
          <w:rPr>
            <w:rStyle w:val="-"/>
            <w:noProof/>
          </w:rPr>
          <w:t>M.2</w:t>
        </w:r>
        <w:r w:rsidR="001353E5">
          <w:rPr>
            <w:rFonts w:asciiTheme="minorHAnsi" w:eastAsiaTheme="minorEastAsia" w:hAnsiTheme="minorHAnsi" w:cstheme="minorBidi"/>
            <w:b w:val="0"/>
            <w:noProof/>
            <w:szCs w:val="22"/>
            <w:lang w:eastAsia="en-GB"/>
          </w:rPr>
          <w:tab/>
        </w:r>
        <w:r w:rsidR="001353E5" w:rsidRPr="00EB7E77">
          <w:rPr>
            <w:rStyle w:val="-"/>
            <w:noProof/>
          </w:rPr>
          <w:t>Scope and field of application</w:t>
        </w:r>
        <w:r w:rsidR="001353E5">
          <w:rPr>
            <w:noProof/>
            <w:webHidden/>
          </w:rPr>
          <w:tab/>
        </w:r>
        <w:r w:rsidR="001353E5">
          <w:rPr>
            <w:noProof/>
            <w:webHidden/>
          </w:rPr>
          <w:fldChar w:fldCharType="begin"/>
        </w:r>
        <w:r w:rsidR="001353E5">
          <w:rPr>
            <w:noProof/>
            <w:webHidden/>
          </w:rPr>
          <w:instrText xml:space="preserve"> PAGEREF _Toc67565644 \h </w:instrText>
        </w:r>
        <w:r w:rsidR="001353E5">
          <w:rPr>
            <w:noProof/>
            <w:webHidden/>
          </w:rPr>
        </w:r>
        <w:r w:rsidR="001353E5">
          <w:rPr>
            <w:noProof/>
            <w:webHidden/>
          </w:rPr>
          <w:fldChar w:fldCharType="separate"/>
        </w:r>
        <w:r w:rsidR="000250B6">
          <w:rPr>
            <w:noProof/>
            <w:webHidden/>
          </w:rPr>
          <w:t>353</w:t>
        </w:r>
        <w:r w:rsidR="001353E5">
          <w:rPr>
            <w:noProof/>
            <w:webHidden/>
          </w:rPr>
          <w:fldChar w:fldCharType="end"/>
        </w:r>
      </w:hyperlink>
    </w:p>
    <w:p w14:paraId="66E2482D"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45" w:history="1">
        <w:r w:rsidR="001353E5" w:rsidRPr="00EB7E77">
          <w:rPr>
            <w:rStyle w:val="-"/>
            <w:noProof/>
          </w:rPr>
          <w:t>M.3</w:t>
        </w:r>
        <w:r w:rsidR="001353E5">
          <w:rPr>
            <w:rFonts w:asciiTheme="minorHAnsi" w:eastAsiaTheme="minorEastAsia" w:hAnsiTheme="minorHAnsi" w:cstheme="minorBidi"/>
            <w:b w:val="0"/>
            <w:noProof/>
            <w:szCs w:val="22"/>
            <w:lang w:eastAsia="en-GB"/>
          </w:rPr>
          <w:tab/>
        </w:r>
        <w:r w:rsidR="001353E5" w:rsidRPr="00EB7E77">
          <w:rPr>
            <w:rStyle w:val="-"/>
            <w:noProof/>
          </w:rPr>
          <w:t>General</w:t>
        </w:r>
        <w:r w:rsidR="001353E5">
          <w:rPr>
            <w:noProof/>
            <w:webHidden/>
          </w:rPr>
          <w:tab/>
        </w:r>
        <w:r w:rsidR="001353E5">
          <w:rPr>
            <w:noProof/>
            <w:webHidden/>
          </w:rPr>
          <w:fldChar w:fldCharType="begin"/>
        </w:r>
        <w:r w:rsidR="001353E5">
          <w:rPr>
            <w:noProof/>
            <w:webHidden/>
          </w:rPr>
          <w:instrText xml:space="preserve"> PAGEREF _Toc67565645 \h </w:instrText>
        </w:r>
        <w:r w:rsidR="001353E5">
          <w:rPr>
            <w:noProof/>
            <w:webHidden/>
          </w:rPr>
        </w:r>
        <w:r w:rsidR="001353E5">
          <w:rPr>
            <w:noProof/>
            <w:webHidden/>
          </w:rPr>
          <w:fldChar w:fldCharType="separate"/>
        </w:r>
        <w:r w:rsidR="000250B6">
          <w:rPr>
            <w:noProof/>
            <w:webHidden/>
          </w:rPr>
          <w:t>353</w:t>
        </w:r>
        <w:r w:rsidR="001353E5">
          <w:rPr>
            <w:noProof/>
            <w:webHidden/>
          </w:rPr>
          <w:fldChar w:fldCharType="end"/>
        </w:r>
      </w:hyperlink>
    </w:p>
    <w:p w14:paraId="11F7DDDD" w14:textId="77777777" w:rsidR="001353E5" w:rsidRDefault="00231E33">
      <w:pPr>
        <w:pStyle w:val="10"/>
        <w:rPr>
          <w:rFonts w:asciiTheme="minorHAnsi" w:eastAsiaTheme="minorEastAsia" w:hAnsiTheme="minorHAnsi" w:cstheme="minorBidi"/>
          <w:b w:val="0"/>
          <w:noProof/>
          <w:szCs w:val="22"/>
          <w:lang w:eastAsia="en-GB"/>
        </w:rPr>
      </w:pPr>
      <w:hyperlink w:anchor="_Toc67565646" w:history="1">
        <w:r w:rsidR="001353E5" w:rsidRPr="00EB7E77">
          <w:rPr>
            <w:rStyle w:val="-"/>
            <w:noProof/>
          </w:rPr>
          <w:t>Annex N (informative)  Recycled aggregates concrete structures</w:t>
        </w:r>
        <w:r w:rsidR="001353E5">
          <w:rPr>
            <w:noProof/>
            <w:webHidden/>
          </w:rPr>
          <w:tab/>
        </w:r>
        <w:r w:rsidR="001353E5">
          <w:rPr>
            <w:noProof/>
            <w:webHidden/>
          </w:rPr>
          <w:fldChar w:fldCharType="begin"/>
        </w:r>
        <w:r w:rsidR="001353E5">
          <w:rPr>
            <w:noProof/>
            <w:webHidden/>
          </w:rPr>
          <w:instrText xml:space="preserve"> PAGEREF _Toc67565646 \h </w:instrText>
        </w:r>
        <w:r w:rsidR="001353E5">
          <w:rPr>
            <w:noProof/>
            <w:webHidden/>
          </w:rPr>
        </w:r>
        <w:r w:rsidR="001353E5">
          <w:rPr>
            <w:noProof/>
            <w:webHidden/>
          </w:rPr>
          <w:fldChar w:fldCharType="separate"/>
        </w:r>
        <w:r w:rsidR="000250B6">
          <w:rPr>
            <w:noProof/>
            <w:webHidden/>
          </w:rPr>
          <w:t>356</w:t>
        </w:r>
        <w:r w:rsidR="001353E5">
          <w:rPr>
            <w:noProof/>
            <w:webHidden/>
          </w:rPr>
          <w:fldChar w:fldCharType="end"/>
        </w:r>
      </w:hyperlink>
    </w:p>
    <w:p w14:paraId="6D070FE5"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47" w:history="1">
        <w:r w:rsidR="001353E5" w:rsidRPr="00EB7E77">
          <w:rPr>
            <w:rStyle w:val="-"/>
            <w:noProof/>
          </w:rPr>
          <w:t>N.1</w:t>
        </w:r>
        <w:r w:rsidR="001353E5">
          <w:rPr>
            <w:rFonts w:asciiTheme="minorHAnsi" w:eastAsiaTheme="minorEastAsia" w:hAnsiTheme="minorHAnsi" w:cstheme="minorBidi"/>
            <w:b w:val="0"/>
            <w:noProof/>
            <w:szCs w:val="22"/>
            <w:lang w:eastAsia="en-GB"/>
          </w:rPr>
          <w:tab/>
        </w:r>
        <w:r w:rsidR="001353E5" w:rsidRPr="00EB7E77">
          <w:rPr>
            <w:rStyle w:val="-"/>
            <w:noProof/>
          </w:rPr>
          <w:t>Use of this annex</w:t>
        </w:r>
        <w:r w:rsidR="001353E5">
          <w:rPr>
            <w:noProof/>
            <w:webHidden/>
          </w:rPr>
          <w:tab/>
        </w:r>
        <w:r w:rsidR="001353E5">
          <w:rPr>
            <w:noProof/>
            <w:webHidden/>
          </w:rPr>
          <w:fldChar w:fldCharType="begin"/>
        </w:r>
        <w:r w:rsidR="001353E5">
          <w:rPr>
            <w:noProof/>
            <w:webHidden/>
          </w:rPr>
          <w:instrText xml:space="preserve"> PAGEREF _Toc67565647 \h </w:instrText>
        </w:r>
        <w:r w:rsidR="001353E5">
          <w:rPr>
            <w:noProof/>
            <w:webHidden/>
          </w:rPr>
        </w:r>
        <w:r w:rsidR="001353E5">
          <w:rPr>
            <w:noProof/>
            <w:webHidden/>
          </w:rPr>
          <w:fldChar w:fldCharType="separate"/>
        </w:r>
        <w:r w:rsidR="000250B6">
          <w:rPr>
            <w:noProof/>
            <w:webHidden/>
          </w:rPr>
          <w:t>356</w:t>
        </w:r>
        <w:r w:rsidR="001353E5">
          <w:rPr>
            <w:noProof/>
            <w:webHidden/>
          </w:rPr>
          <w:fldChar w:fldCharType="end"/>
        </w:r>
      </w:hyperlink>
    </w:p>
    <w:p w14:paraId="42F9AF44"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48" w:history="1">
        <w:r w:rsidR="001353E5" w:rsidRPr="00EB7E77">
          <w:rPr>
            <w:rStyle w:val="-"/>
            <w:noProof/>
          </w:rPr>
          <w:t>N.2</w:t>
        </w:r>
        <w:r w:rsidR="001353E5">
          <w:rPr>
            <w:rFonts w:asciiTheme="minorHAnsi" w:eastAsiaTheme="minorEastAsia" w:hAnsiTheme="minorHAnsi" w:cstheme="minorBidi"/>
            <w:b w:val="0"/>
            <w:noProof/>
            <w:szCs w:val="22"/>
            <w:lang w:eastAsia="en-GB"/>
          </w:rPr>
          <w:tab/>
        </w:r>
        <w:r w:rsidR="001353E5" w:rsidRPr="00EB7E77">
          <w:rPr>
            <w:rStyle w:val="-"/>
            <w:noProof/>
          </w:rPr>
          <w:t>Scope and field of application</w:t>
        </w:r>
        <w:r w:rsidR="001353E5">
          <w:rPr>
            <w:noProof/>
            <w:webHidden/>
          </w:rPr>
          <w:tab/>
        </w:r>
        <w:r w:rsidR="001353E5">
          <w:rPr>
            <w:noProof/>
            <w:webHidden/>
          </w:rPr>
          <w:fldChar w:fldCharType="begin"/>
        </w:r>
        <w:r w:rsidR="001353E5">
          <w:rPr>
            <w:noProof/>
            <w:webHidden/>
          </w:rPr>
          <w:instrText xml:space="preserve"> PAGEREF _Toc67565648 \h </w:instrText>
        </w:r>
        <w:r w:rsidR="001353E5">
          <w:rPr>
            <w:noProof/>
            <w:webHidden/>
          </w:rPr>
        </w:r>
        <w:r w:rsidR="001353E5">
          <w:rPr>
            <w:noProof/>
            <w:webHidden/>
          </w:rPr>
          <w:fldChar w:fldCharType="separate"/>
        </w:r>
        <w:r w:rsidR="000250B6">
          <w:rPr>
            <w:noProof/>
            <w:webHidden/>
          </w:rPr>
          <w:t>356</w:t>
        </w:r>
        <w:r w:rsidR="001353E5">
          <w:rPr>
            <w:noProof/>
            <w:webHidden/>
          </w:rPr>
          <w:fldChar w:fldCharType="end"/>
        </w:r>
      </w:hyperlink>
    </w:p>
    <w:p w14:paraId="7FC58CE8"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49" w:history="1">
        <w:r w:rsidR="001353E5" w:rsidRPr="00EB7E77">
          <w:rPr>
            <w:rStyle w:val="-"/>
            <w:noProof/>
          </w:rPr>
          <w:t>N.3</w:t>
        </w:r>
        <w:r w:rsidR="001353E5">
          <w:rPr>
            <w:rFonts w:asciiTheme="minorHAnsi" w:eastAsiaTheme="minorEastAsia" w:hAnsiTheme="minorHAnsi" w:cstheme="minorBidi"/>
            <w:b w:val="0"/>
            <w:noProof/>
            <w:szCs w:val="22"/>
            <w:lang w:eastAsia="en-GB"/>
          </w:rPr>
          <w:tab/>
        </w:r>
        <w:r w:rsidR="001353E5" w:rsidRPr="00EB7E77">
          <w:rPr>
            <w:rStyle w:val="-"/>
            <w:noProof/>
          </w:rPr>
          <w:t>General</w:t>
        </w:r>
        <w:r w:rsidR="001353E5">
          <w:rPr>
            <w:noProof/>
            <w:webHidden/>
          </w:rPr>
          <w:tab/>
        </w:r>
        <w:r w:rsidR="001353E5">
          <w:rPr>
            <w:noProof/>
            <w:webHidden/>
          </w:rPr>
          <w:fldChar w:fldCharType="begin"/>
        </w:r>
        <w:r w:rsidR="001353E5">
          <w:rPr>
            <w:noProof/>
            <w:webHidden/>
          </w:rPr>
          <w:instrText xml:space="preserve"> PAGEREF _Toc67565649 \h </w:instrText>
        </w:r>
        <w:r w:rsidR="001353E5">
          <w:rPr>
            <w:noProof/>
            <w:webHidden/>
          </w:rPr>
        </w:r>
        <w:r w:rsidR="001353E5">
          <w:rPr>
            <w:noProof/>
            <w:webHidden/>
          </w:rPr>
          <w:fldChar w:fldCharType="separate"/>
        </w:r>
        <w:r w:rsidR="000250B6">
          <w:rPr>
            <w:noProof/>
            <w:webHidden/>
          </w:rPr>
          <w:t>356</w:t>
        </w:r>
        <w:r w:rsidR="001353E5">
          <w:rPr>
            <w:noProof/>
            <w:webHidden/>
          </w:rPr>
          <w:fldChar w:fldCharType="end"/>
        </w:r>
      </w:hyperlink>
    </w:p>
    <w:p w14:paraId="58BB8BE1" w14:textId="77777777" w:rsidR="001353E5" w:rsidRDefault="00231E33">
      <w:pPr>
        <w:pStyle w:val="10"/>
        <w:rPr>
          <w:rFonts w:asciiTheme="minorHAnsi" w:eastAsiaTheme="minorEastAsia" w:hAnsiTheme="minorHAnsi" w:cstheme="minorBidi"/>
          <w:b w:val="0"/>
          <w:noProof/>
          <w:szCs w:val="22"/>
          <w:lang w:eastAsia="en-GB"/>
        </w:rPr>
      </w:pPr>
      <w:hyperlink w:anchor="_Toc67565650" w:history="1">
        <w:r w:rsidR="001353E5" w:rsidRPr="00EB7E77">
          <w:rPr>
            <w:rStyle w:val="-"/>
            <w:noProof/>
          </w:rPr>
          <w:t>Annex O (informative)  Simplified approaches for second order effects</w:t>
        </w:r>
        <w:r w:rsidR="001353E5">
          <w:rPr>
            <w:noProof/>
            <w:webHidden/>
          </w:rPr>
          <w:tab/>
        </w:r>
        <w:r w:rsidR="001353E5">
          <w:rPr>
            <w:noProof/>
            <w:webHidden/>
          </w:rPr>
          <w:fldChar w:fldCharType="begin"/>
        </w:r>
        <w:r w:rsidR="001353E5">
          <w:rPr>
            <w:noProof/>
            <w:webHidden/>
          </w:rPr>
          <w:instrText xml:space="preserve"> PAGEREF _Toc67565650 \h </w:instrText>
        </w:r>
        <w:r w:rsidR="001353E5">
          <w:rPr>
            <w:noProof/>
            <w:webHidden/>
          </w:rPr>
        </w:r>
        <w:r w:rsidR="001353E5">
          <w:rPr>
            <w:noProof/>
            <w:webHidden/>
          </w:rPr>
          <w:fldChar w:fldCharType="separate"/>
        </w:r>
        <w:r w:rsidR="000250B6">
          <w:rPr>
            <w:noProof/>
            <w:webHidden/>
          </w:rPr>
          <w:t>359</w:t>
        </w:r>
        <w:r w:rsidR="001353E5">
          <w:rPr>
            <w:noProof/>
            <w:webHidden/>
          </w:rPr>
          <w:fldChar w:fldCharType="end"/>
        </w:r>
      </w:hyperlink>
    </w:p>
    <w:p w14:paraId="2DF20A49"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51" w:history="1">
        <w:r w:rsidR="001353E5" w:rsidRPr="00EB7E77">
          <w:rPr>
            <w:rStyle w:val="-"/>
            <w:noProof/>
          </w:rPr>
          <w:t>O.1</w:t>
        </w:r>
        <w:r w:rsidR="001353E5">
          <w:rPr>
            <w:rFonts w:asciiTheme="minorHAnsi" w:eastAsiaTheme="minorEastAsia" w:hAnsiTheme="minorHAnsi" w:cstheme="minorBidi"/>
            <w:b w:val="0"/>
            <w:noProof/>
            <w:szCs w:val="22"/>
            <w:lang w:eastAsia="en-GB"/>
          </w:rPr>
          <w:tab/>
        </w:r>
        <w:r w:rsidR="001353E5" w:rsidRPr="00EB7E77">
          <w:rPr>
            <w:rStyle w:val="-"/>
            <w:noProof/>
          </w:rPr>
          <w:t>Use of this Informative Annex</w:t>
        </w:r>
        <w:r w:rsidR="001353E5">
          <w:rPr>
            <w:noProof/>
            <w:webHidden/>
          </w:rPr>
          <w:tab/>
        </w:r>
        <w:r w:rsidR="001353E5">
          <w:rPr>
            <w:noProof/>
            <w:webHidden/>
          </w:rPr>
          <w:fldChar w:fldCharType="begin"/>
        </w:r>
        <w:r w:rsidR="001353E5">
          <w:rPr>
            <w:noProof/>
            <w:webHidden/>
          </w:rPr>
          <w:instrText xml:space="preserve"> PAGEREF _Toc67565651 \h </w:instrText>
        </w:r>
        <w:r w:rsidR="001353E5">
          <w:rPr>
            <w:noProof/>
            <w:webHidden/>
          </w:rPr>
        </w:r>
        <w:r w:rsidR="001353E5">
          <w:rPr>
            <w:noProof/>
            <w:webHidden/>
          </w:rPr>
          <w:fldChar w:fldCharType="separate"/>
        </w:r>
        <w:r w:rsidR="000250B6">
          <w:rPr>
            <w:noProof/>
            <w:webHidden/>
          </w:rPr>
          <w:t>359</w:t>
        </w:r>
        <w:r w:rsidR="001353E5">
          <w:rPr>
            <w:noProof/>
            <w:webHidden/>
          </w:rPr>
          <w:fldChar w:fldCharType="end"/>
        </w:r>
      </w:hyperlink>
    </w:p>
    <w:p w14:paraId="39815A4D"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52" w:history="1">
        <w:r w:rsidR="001353E5" w:rsidRPr="00EB7E77">
          <w:rPr>
            <w:rStyle w:val="-"/>
            <w:noProof/>
          </w:rPr>
          <w:t>O.2</w:t>
        </w:r>
        <w:r w:rsidR="001353E5">
          <w:rPr>
            <w:rFonts w:asciiTheme="minorHAnsi" w:eastAsiaTheme="minorEastAsia" w:hAnsiTheme="minorHAnsi" w:cstheme="minorBidi"/>
            <w:b w:val="0"/>
            <w:noProof/>
            <w:szCs w:val="22"/>
            <w:lang w:eastAsia="en-GB"/>
          </w:rPr>
          <w:tab/>
        </w:r>
        <w:r w:rsidR="001353E5" w:rsidRPr="00EB7E77">
          <w:rPr>
            <w:rStyle w:val="-"/>
            <w:noProof/>
          </w:rPr>
          <w:t>Scope and field of application</w:t>
        </w:r>
        <w:r w:rsidR="001353E5">
          <w:rPr>
            <w:noProof/>
            <w:webHidden/>
          </w:rPr>
          <w:tab/>
        </w:r>
        <w:r w:rsidR="001353E5">
          <w:rPr>
            <w:noProof/>
            <w:webHidden/>
          </w:rPr>
          <w:fldChar w:fldCharType="begin"/>
        </w:r>
        <w:r w:rsidR="001353E5">
          <w:rPr>
            <w:noProof/>
            <w:webHidden/>
          </w:rPr>
          <w:instrText xml:space="preserve"> PAGEREF _Toc67565652 \h </w:instrText>
        </w:r>
        <w:r w:rsidR="001353E5">
          <w:rPr>
            <w:noProof/>
            <w:webHidden/>
          </w:rPr>
        </w:r>
        <w:r w:rsidR="001353E5">
          <w:rPr>
            <w:noProof/>
            <w:webHidden/>
          </w:rPr>
          <w:fldChar w:fldCharType="separate"/>
        </w:r>
        <w:r w:rsidR="000250B6">
          <w:rPr>
            <w:noProof/>
            <w:webHidden/>
          </w:rPr>
          <w:t>359</w:t>
        </w:r>
        <w:r w:rsidR="001353E5">
          <w:rPr>
            <w:noProof/>
            <w:webHidden/>
          </w:rPr>
          <w:fldChar w:fldCharType="end"/>
        </w:r>
      </w:hyperlink>
    </w:p>
    <w:p w14:paraId="32721643"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53" w:history="1">
        <w:r w:rsidR="001353E5" w:rsidRPr="00EB7E77">
          <w:rPr>
            <w:rStyle w:val="-"/>
            <w:noProof/>
          </w:rPr>
          <w:t>O.3</w:t>
        </w:r>
        <w:r w:rsidR="001353E5">
          <w:rPr>
            <w:rFonts w:asciiTheme="minorHAnsi" w:eastAsiaTheme="minorEastAsia" w:hAnsiTheme="minorHAnsi" w:cstheme="minorBidi"/>
            <w:b w:val="0"/>
            <w:noProof/>
            <w:szCs w:val="22"/>
            <w:lang w:eastAsia="en-GB"/>
          </w:rPr>
          <w:tab/>
        </w:r>
        <w:r w:rsidR="001353E5" w:rsidRPr="00EB7E77">
          <w:rPr>
            <w:rStyle w:val="-"/>
            <w:noProof/>
          </w:rPr>
          <w:t>Critical load of building structures</w:t>
        </w:r>
        <w:r w:rsidR="001353E5">
          <w:rPr>
            <w:noProof/>
            <w:webHidden/>
          </w:rPr>
          <w:tab/>
        </w:r>
        <w:r w:rsidR="001353E5">
          <w:rPr>
            <w:noProof/>
            <w:webHidden/>
          </w:rPr>
          <w:fldChar w:fldCharType="begin"/>
        </w:r>
        <w:r w:rsidR="001353E5">
          <w:rPr>
            <w:noProof/>
            <w:webHidden/>
          </w:rPr>
          <w:instrText xml:space="preserve"> PAGEREF _Toc67565653 \h </w:instrText>
        </w:r>
        <w:r w:rsidR="001353E5">
          <w:rPr>
            <w:noProof/>
            <w:webHidden/>
          </w:rPr>
        </w:r>
        <w:r w:rsidR="001353E5">
          <w:rPr>
            <w:noProof/>
            <w:webHidden/>
          </w:rPr>
          <w:fldChar w:fldCharType="separate"/>
        </w:r>
        <w:r w:rsidR="000250B6">
          <w:rPr>
            <w:noProof/>
            <w:webHidden/>
          </w:rPr>
          <w:t>359</w:t>
        </w:r>
        <w:r w:rsidR="001353E5">
          <w:rPr>
            <w:noProof/>
            <w:webHidden/>
          </w:rPr>
          <w:fldChar w:fldCharType="end"/>
        </w:r>
      </w:hyperlink>
    </w:p>
    <w:p w14:paraId="5DCCDD75"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54" w:history="1">
        <w:r w:rsidR="001353E5" w:rsidRPr="00EB7E77">
          <w:rPr>
            <w:rStyle w:val="-"/>
            <w:noProof/>
          </w:rPr>
          <w:t>O.4</w:t>
        </w:r>
        <w:r w:rsidR="001353E5">
          <w:rPr>
            <w:rFonts w:asciiTheme="minorHAnsi" w:eastAsiaTheme="minorEastAsia" w:hAnsiTheme="minorHAnsi" w:cstheme="minorBidi"/>
            <w:b w:val="0"/>
            <w:noProof/>
            <w:szCs w:val="22"/>
            <w:lang w:eastAsia="en-GB"/>
          </w:rPr>
          <w:tab/>
        </w:r>
        <w:r w:rsidR="001353E5" w:rsidRPr="00EB7E77">
          <w:rPr>
            <w:rStyle w:val="-"/>
            <w:noProof/>
          </w:rPr>
          <w:t>Critical load of isolated members</w:t>
        </w:r>
        <w:r w:rsidR="001353E5">
          <w:rPr>
            <w:noProof/>
            <w:webHidden/>
          </w:rPr>
          <w:tab/>
        </w:r>
        <w:r w:rsidR="001353E5">
          <w:rPr>
            <w:noProof/>
            <w:webHidden/>
          </w:rPr>
          <w:fldChar w:fldCharType="begin"/>
        </w:r>
        <w:r w:rsidR="001353E5">
          <w:rPr>
            <w:noProof/>
            <w:webHidden/>
          </w:rPr>
          <w:instrText xml:space="preserve"> PAGEREF _Toc67565654 \h </w:instrText>
        </w:r>
        <w:r w:rsidR="001353E5">
          <w:rPr>
            <w:noProof/>
            <w:webHidden/>
          </w:rPr>
        </w:r>
        <w:r w:rsidR="001353E5">
          <w:rPr>
            <w:noProof/>
            <w:webHidden/>
          </w:rPr>
          <w:fldChar w:fldCharType="separate"/>
        </w:r>
        <w:r w:rsidR="000250B6">
          <w:rPr>
            <w:noProof/>
            <w:webHidden/>
          </w:rPr>
          <w:t>360</w:t>
        </w:r>
        <w:r w:rsidR="001353E5">
          <w:rPr>
            <w:noProof/>
            <w:webHidden/>
          </w:rPr>
          <w:fldChar w:fldCharType="end"/>
        </w:r>
      </w:hyperlink>
    </w:p>
    <w:p w14:paraId="1758B888"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55" w:history="1">
        <w:r w:rsidR="001353E5" w:rsidRPr="00EB7E77">
          <w:rPr>
            <w:rStyle w:val="-"/>
            <w:noProof/>
          </w:rPr>
          <w:t>O.5</w:t>
        </w:r>
        <w:r w:rsidR="001353E5">
          <w:rPr>
            <w:rFonts w:asciiTheme="minorHAnsi" w:eastAsiaTheme="minorEastAsia" w:hAnsiTheme="minorHAnsi" w:cstheme="minorBidi"/>
            <w:b w:val="0"/>
            <w:noProof/>
            <w:szCs w:val="22"/>
            <w:lang w:eastAsia="en-GB"/>
          </w:rPr>
          <w:tab/>
        </w:r>
        <w:r w:rsidR="001353E5" w:rsidRPr="00EB7E77">
          <w:rPr>
            <w:rStyle w:val="-"/>
            <w:noProof/>
          </w:rPr>
          <w:t>Slenderness ratio and effective length of isolated members</w:t>
        </w:r>
        <w:r w:rsidR="001353E5">
          <w:rPr>
            <w:noProof/>
            <w:webHidden/>
          </w:rPr>
          <w:tab/>
        </w:r>
        <w:r w:rsidR="001353E5">
          <w:rPr>
            <w:noProof/>
            <w:webHidden/>
          </w:rPr>
          <w:fldChar w:fldCharType="begin"/>
        </w:r>
        <w:r w:rsidR="001353E5">
          <w:rPr>
            <w:noProof/>
            <w:webHidden/>
          </w:rPr>
          <w:instrText xml:space="preserve"> PAGEREF _Toc67565655 \h </w:instrText>
        </w:r>
        <w:r w:rsidR="001353E5">
          <w:rPr>
            <w:noProof/>
            <w:webHidden/>
          </w:rPr>
        </w:r>
        <w:r w:rsidR="001353E5">
          <w:rPr>
            <w:noProof/>
            <w:webHidden/>
          </w:rPr>
          <w:fldChar w:fldCharType="separate"/>
        </w:r>
        <w:r w:rsidR="000250B6">
          <w:rPr>
            <w:noProof/>
            <w:webHidden/>
          </w:rPr>
          <w:t>361</w:t>
        </w:r>
        <w:r w:rsidR="001353E5">
          <w:rPr>
            <w:noProof/>
            <w:webHidden/>
          </w:rPr>
          <w:fldChar w:fldCharType="end"/>
        </w:r>
      </w:hyperlink>
    </w:p>
    <w:p w14:paraId="41AC09E1"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56" w:history="1">
        <w:r w:rsidR="001353E5" w:rsidRPr="00EB7E77">
          <w:rPr>
            <w:rStyle w:val="-"/>
            <w:noProof/>
          </w:rPr>
          <w:t>O.6</w:t>
        </w:r>
        <w:r w:rsidR="001353E5">
          <w:rPr>
            <w:rFonts w:asciiTheme="minorHAnsi" w:eastAsiaTheme="minorEastAsia" w:hAnsiTheme="minorHAnsi" w:cstheme="minorBidi"/>
            <w:b w:val="0"/>
            <w:noProof/>
            <w:szCs w:val="22"/>
            <w:lang w:eastAsia="en-GB"/>
          </w:rPr>
          <w:tab/>
        </w:r>
        <w:r w:rsidR="001353E5" w:rsidRPr="00EB7E77">
          <w:rPr>
            <w:rStyle w:val="-"/>
            <w:noProof/>
          </w:rPr>
          <w:t>Slenderness criteria for isolated members</w:t>
        </w:r>
        <w:r w:rsidR="001353E5">
          <w:rPr>
            <w:noProof/>
            <w:webHidden/>
          </w:rPr>
          <w:tab/>
        </w:r>
        <w:r w:rsidR="001353E5">
          <w:rPr>
            <w:noProof/>
            <w:webHidden/>
          </w:rPr>
          <w:fldChar w:fldCharType="begin"/>
        </w:r>
        <w:r w:rsidR="001353E5">
          <w:rPr>
            <w:noProof/>
            <w:webHidden/>
          </w:rPr>
          <w:instrText xml:space="preserve"> PAGEREF _Toc67565656 \h </w:instrText>
        </w:r>
        <w:r w:rsidR="001353E5">
          <w:rPr>
            <w:noProof/>
            <w:webHidden/>
          </w:rPr>
        </w:r>
        <w:r w:rsidR="001353E5">
          <w:rPr>
            <w:noProof/>
            <w:webHidden/>
          </w:rPr>
          <w:fldChar w:fldCharType="separate"/>
        </w:r>
        <w:r w:rsidR="000250B6">
          <w:rPr>
            <w:noProof/>
            <w:webHidden/>
          </w:rPr>
          <w:t>361</w:t>
        </w:r>
        <w:r w:rsidR="001353E5">
          <w:rPr>
            <w:noProof/>
            <w:webHidden/>
          </w:rPr>
          <w:fldChar w:fldCharType="end"/>
        </w:r>
      </w:hyperlink>
    </w:p>
    <w:p w14:paraId="0003D9BB"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57" w:history="1">
        <w:r w:rsidR="001353E5" w:rsidRPr="00EB7E77">
          <w:rPr>
            <w:rStyle w:val="-"/>
            <w:noProof/>
          </w:rPr>
          <w:t>O.7</w:t>
        </w:r>
        <w:r w:rsidR="001353E5">
          <w:rPr>
            <w:rFonts w:asciiTheme="minorHAnsi" w:eastAsiaTheme="minorEastAsia" w:hAnsiTheme="minorHAnsi" w:cstheme="minorBidi"/>
            <w:b w:val="0"/>
            <w:noProof/>
            <w:szCs w:val="22"/>
            <w:lang w:eastAsia="en-GB"/>
          </w:rPr>
          <w:tab/>
        </w:r>
        <w:r w:rsidR="001353E5" w:rsidRPr="00EB7E77">
          <w:rPr>
            <w:rStyle w:val="-"/>
            <w:noProof/>
          </w:rPr>
          <w:t>Simplified analysis of isolated members based on nominal curvature</w:t>
        </w:r>
        <w:r w:rsidR="001353E5">
          <w:rPr>
            <w:noProof/>
            <w:webHidden/>
          </w:rPr>
          <w:tab/>
        </w:r>
        <w:r w:rsidR="001353E5">
          <w:rPr>
            <w:noProof/>
            <w:webHidden/>
          </w:rPr>
          <w:fldChar w:fldCharType="begin"/>
        </w:r>
        <w:r w:rsidR="001353E5">
          <w:rPr>
            <w:noProof/>
            <w:webHidden/>
          </w:rPr>
          <w:instrText xml:space="preserve"> PAGEREF _Toc67565657 \h </w:instrText>
        </w:r>
        <w:r w:rsidR="001353E5">
          <w:rPr>
            <w:noProof/>
            <w:webHidden/>
          </w:rPr>
        </w:r>
        <w:r w:rsidR="001353E5">
          <w:rPr>
            <w:noProof/>
            <w:webHidden/>
          </w:rPr>
          <w:fldChar w:fldCharType="separate"/>
        </w:r>
        <w:r w:rsidR="000250B6">
          <w:rPr>
            <w:noProof/>
            <w:webHidden/>
          </w:rPr>
          <w:t>362</w:t>
        </w:r>
        <w:r w:rsidR="001353E5">
          <w:rPr>
            <w:noProof/>
            <w:webHidden/>
          </w:rPr>
          <w:fldChar w:fldCharType="end"/>
        </w:r>
      </w:hyperlink>
    </w:p>
    <w:p w14:paraId="2EC47802"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58" w:history="1">
        <w:r w:rsidR="001353E5" w:rsidRPr="00EB7E77">
          <w:rPr>
            <w:rStyle w:val="-"/>
            <w:noProof/>
          </w:rPr>
          <w:t>O.8</w:t>
        </w:r>
        <w:r w:rsidR="001353E5">
          <w:rPr>
            <w:rFonts w:asciiTheme="minorHAnsi" w:eastAsiaTheme="minorEastAsia" w:hAnsiTheme="minorHAnsi" w:cstheme="minorBidi"/>
            <w:b w:val="0"/>
            <w:noProof/>
            <w:szCs w:val="22"/>
            <w:lang w:eastAsia="en-GB"/>
          </w:rPr>
          <w:tab/>
        </w:r>
        <w:r w:rsidR="001353E5" w:rsidRPr="00EB7E77">
          <w:rPr>
            <w:rStyle w:val="-"/>
            <w:noProof/>
          </w:rPr>
          <w:t>Second order elastic method</w:t>
        </w:r>
        <w:r w:rsidR="001353E5">
          <w:rPr>
            <w:noProof/>
            <w:webHidden/>
          </w:rPr>
          <w:tab/>
        </w:r>
        <w:r w:rsidR="001353E5">
          <w:rPr>
            <w:noProof/>
            <w:webHidden/>
          </w:rPr>
          <w:fldChar w:fldCharType="begin"/>
        </w:r>
        <w:r w:rsidR="001353E5">
          <w:rPr>
            <w:noProof/>
            <w:webHidden/>
          </w:rPr>
          <w:instrText xml:space="preserve"> PAGEREF _Toc67565658 \h </w:instrText>
        </w:r>
        <w:r w:rsidR="001353E5">
          <w:rPr>
            <w:noProof/>
            <w:webHidden/>
          </w:rPr>
        </w:r>
        <w:r w:rsidR="001353E5">
          <w:rPr>
            <w:noProof/>
            <w:webHidden/>
          </w:rPr>
          <w:fldChar w:fldCharType="separate"/>
        </w:r>
        <w:r w:rsidR="000250B6">
          <w:rPr>
            <w:noProof/>
            <w:webHidden/>
          </w:rPr>
          <w:t>365</w:t>
        </w:r>
        <w:r w:rsidR="001353E5">
          <w:rPr>
            <w:noProof/>
            <w:webHidden/>
          </w:rPr>
          <w:fldChar w:fldCharType="end"/>
        </w:r>
      </w:hyperlink>
    </w:p>
    <w:p w14:paraId="423CAA7D" w14:textId="77777777" w:rsidR="001353E5" w:rsidRDefault="00231E33">
      <w:pPr>
        <w:pStyle w:val="10"/>
        <w:rPr>
          <w:rFonts w:asciiTheme="minorHAnsi" w:eastAsiaTheme="minorEastAsia" w:hAnsiTheme="minorHAnsi" w:cstheme="minorBidi"/>
          <w:b w:val="0"/>
          <w:noProof/>
          <w:szCs w:val="22"/>
          <w:lang w:eastAsia="en-GB"/>
        </w:rPr>
      </w:pPr>
      <w:hyperlink w:anchor="_Toc67565659" w:history="1">
        <w:r w:rsidR="001353E5" w:rsidRPr="00EB7E77">
          <w:rPr>
            <w:rStyle w:val="-"/>
            <w:noProof/>
          </w:rPr>
          <w:t>Annex P</w:t>
        </w:r>
        <w:r w:rsidR="001353E5" w:rsidRPr="00EB7E77">
          <w:rPr>
            <w:rStyle w:val="-"/>
            <w:bCs/>
            <w:noProof/>
          </w:rPr>
          <w:t xml:space="preserve"> (informative) </w:t>
        </w:r>
        <w:r w:rsidR="001353E5" w:rsidRPr="00EB7E77">
          <w:rPr>
            <w:rStyle w:val="-"/>
            <w:noProof/>
          </w:rPr>
          <w:t xml:space="preserve"> Alternative cover approach for durability</w:t>
        </w:r>
        <w:r w:rsidR="001353E5">
          <w:rPr>
            <w:noProof/>
            <w:webHidden/>
          </w:rPr>
          <w:tab/>
        </w:r>
        <w:r w:rsidR="001353E5">
          <w:rPr>
            <w:noProof/>
            <w:webHidden/>
          </w:rPr>
          <w:fldChar w:fldCharType="begin"/>
        </w:r>
        <w:r w:rsidR="001353E5">
          <w:rPr>
            <w:noProof/>
            <w:webHidden/>
          </w:rPr>
          <w:instrText xml:space="preserve"> PAGEREF _Toc67565659 \h </w:instrText>
        </w:r>
        <w:r w:rsidR="001353E5">
          <w:rPr>
            <w:noProof/>
            <w:webHidden/>
          </w:rPr>
        </w:r>
        <w:r w:rsidR="001353E5">
          <w:rPr>
            <w:noProof/>
            <w:webHidden/>
          </w:rPr>
          <w:fldChar w:fldCharType="separate"/>
        </w:r>
        <w:r w:rsidR="000250B6">
          <w:rPr>
            <w:noProof/>
            <w:webHidden/>
          </w:rPr>
          <w:t>367</w:t>
        </w:r>
        <w:r w:rsidR="001353E5">
          <w:rPr>
            <w:noProof/>
            <w:webHidden/>
          </w:rPr>
          <w:fldChar w:fldCharType="end"/>
        </w:r>
      </w:hyperlink>
    </w:p>
    <w:p w14:paraId="2C6542D5"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60" w:history="1">
        <w:r w:rsidR="001353E5" w:rsidRPr="00EB7E77">
          <w:rPr>
            <w:rStyle w:val="-"/>
            <w:noProof/>
          </w:rPr>
          <w:t>P.1</w:t>
        </w:r>
        <w:r w:rsidR="001353E5">
          <w:rPr>
            <w:rFonts w:asciiTheme="minorHAnsi" w:eastAsiaTheme="minorEastAsia" w:hAnsiTheme="minorHAnsi" w:cstheme="minorBidi"/>
            <w:b w:val="0"/>
            <w:noProof/>
            <w:szCs w:val="22"/>
            <w:lang w:eastAsia="en-GB"/>
          </w:rPr>
          <w:tab/>
        </w:r>
        <w:r w:rsidR="001353E5" w:rsidRPr="00EB7E77">
          <w:rPr>
            <w:rStyle w:val="-"/>
            <w:noProof/>
          </w:rPr>
          <w:t>Use of this Informative Annex</w:t>
        </w:r>
        <w:r w:rsidR="001353E5">
          <w:rPr>
            <w:noProof/>
            <w:webHidden/>
          </w:rPr>
          <w:tab/>
        </w:r>
        <w:r w:rsidR="001353E5">
          <w:rPr>
            <w:noProof/>
            <w:webHidden/>
          </w:rPr>
          <w:fldChar w:fldCharType="begin"/>
        </w:r>
        <w:r w:rsidR="001353E5">
          <w:rPr>
            <w:noProof/>
            <w:webHidden/>
          </w:rPr>
          <w:instrText xml:space="preserve"> PAGEREF _Toc67565660 \h </w:instrText>
        </w:r>
        <w:r w:rsidR="001353E5">
          <w:rPr>
            <w:noProof/>
            <w:webHidden/>
          </w:rPr>
        </w:r>
        <w:r w:rsidR="001353E5">
          <w:rPr>
            <w:noProof/>
            <w:webHidden/>
          </w:rPr>
          <w:fldChar w:fldCharType="separate"/>
        </w:r>
        <w:r w:rsidR="000250B6">
          <w:rPr>
            <w:noProof/>
            <w:webHidden/>
          </w:rPr>
          <w:t>367</w:t>
        </w:r>
        <w:r w:rsidR="001353E5">
          <w:rPr>
            <w:noProof/>
            <w:webHidden/>
          </w:rPr>
          <w:fldChar w:fldCharType="end"/>
        </w:r>
      </w:hyperlink>
    </w:p>
    <w:p w14:paraId="43C1B733"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61" w:history="1">
        <w:r w:rsidR="001353E5" w:rsidRPr="00EB7E77">
          <w:rPr>
            <w:rStyle w:val="-"/>
            <w:noProof/>
          </w:rPr>
          <w:t>P.2</w:t>
        </w:r>
        <w:r w:rsidR="001353E5">
          <w:rPr>
            <w:rFonts w:asciiTheme="minorHAnsi" w:eastAsiaTheme="minorEastAsia" w:hAnsiTheme="minorHAnsi" w:cstheme="minorBidi"/>
            <w:b w:val="0"/>
            <w:noProof/>
            <w:szCs w:val="22"/>
            <w:lang w:eastAsia="en-GB"/>
          </w:rPr>
          <w:tab/>
        </w:r>
        <w:r w:rsidR="001353E5" w:rsidRPr="00EB7E77">
          <w:rPr>
            <w:rStyle w:val="-"/>
            <w:noProof/>
          </w:rPr>
          <w:t>Scope and field of application</w:t>
        </w:r>
        <w:r w:rsidR="001353E5">
          <w:rPr>
            <w:noProof/>
            <w:webHidden/>
          </w:rPr>
          <w:tab/>
        </w:r>
        <w:r w:rsidR="001353E5">
          <w:rPr>
            <w:noProof/>
            <w:webHidden/>
          </w:rPr>
          <w:fldChar w:fldCharType="begin"/>
        </w:r>
        <w:r w:rsidR="001353E5">
          <w:rPr>
            <w:noProof/>
            <w:webHidden/>
          </w:rPr>
          <w:instrText xml:space="preserve"> PAGEREF _Toc67565661 \h </w:instrText>
        </w:r>
        <w:r w:rsidR="001353E5">
          <w:rPr>
            <w:noProof/>
            <w:webHidden/>
          </w:rPr>
        </w:r>
        <w:r w:rsidR="001353E5">
          <w:rPr>
            <w:noProof/>
            <w:webHidden/>
          </w:rPr>
          <w:fldChar w:fldCharType="separate"/>
        </w:r>
        <w:r w:rsidR="000250B6">
          <w:rPr>
            <w:noProof/>
            <w:webHidden/>
          </w:rPr>
          <w:t>367</w:t>
        </w:r>
        <w:r w:rsidR="001353E5">
          <w:rPr>
            <w:noProof/>
            <w:webHidden/>
          </w:rPr>
          <w:fldChar w:fldCharType="end"/>
        </w:r>
      </w:hyperlink>
    </w:p>
    <w:p w14:paraId="799E06DA"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62" w:history="1">
        <w:r w:rsidR="001353E5" w:rsidRPr="00EB7E77">
          <w:rPr>
            <w:rStyle w:val="-"/>
            <w:noProof/>
          </w:rPr>
          <w:t>P.3</w:t>
        </w:r>
        <w:r w:rsidR="001353E5">
          <w:rPr>
            <w:rFonts w:asciiTheme="minorHAnsi" w:eastAsiaTheme="minorEastAsia" w:hAnsiTheme="minorHAnsi" w:cstheme="minorBidi"/>
            <w:b w:val="0"/>
            <w:noProof/>
            <w:szCs w:val="22"/>
            <w:lang w:eastAsia="en-GB"/>
          </w:rPr>
          <w:tab/>
        </w:r>
        <w:r w:rsidR="001353E5" w:rsidRPr="00EB7E77">
          <w:rPr>
            <w:rStyle w:val="-"/>
            <w:noProof/>
          </w:rPr>
          <w:t>Minimum cover for durability</w:t>
        </w:r>
        <w:r w:rsidR="001353E5">
          <w:rPr>
            <w:noProof/>
            <w:webHidden/>
          </w:rPr>
          <w:tab/>
        </w:r>
        <w:r w:rsidR="001353E5">
          <w:rPr>
            <w:noProof/>
            <w:webHidden/>
          </w:rPr>
          <w:fldChar w:fldCharType="begin"/>
        </w:r>
        <w:r w:rsidR="001353E5">
          <w:rPr>
            <w:noProof/>
            <w:webHidden/>
          </w:rPr>
          <w:instrText xml:space="preserve"> PAGEREF _Toc67565662 \h </w:instrText>
        </w:r>
        <w:r w:rsidR="001353E5">
          <w:rPr>
            <w:noProof/>
            <w:webHidden/>
          </w:rPr>
        </w:r>
        <w:r w:rsidR="001353E5">
          <w:rPr>
            <w:noProof/>
            <w:webHidden/>
          </w:rPr>
          <w:fldChar w:fldCharType="separate"/>
        </w:r>
        <w:r w:rsidR="000250B6">
          <w:rPr>
            <w:noProof/>
            <w:webHidden/>
          </w:rPr>
          <w:t>367</w:t>
        </w:r>
        <w:r w:rsidR="001353E5">
          <w:rPr>
            <w:noProof/>
            <w:webHidden/>
          </w:rPr>
          <w:fldChar w:fldCharType="end"/>
        </w:r>
      </w:hyperlink>
    </w:p>
    <w:p w14:paraId="3E79C58B"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63" w:history="1">
        <w:r w:rsidR="001353E5" w:rsidRPr="00EB7E77">
          <w:rPr>
            <w:rStyle w:val="-"/>
            <w:noProof/>
          </w:rPr>
          <w:t>P.4</w:t>
        </w:r>
        <w:r w:rsidR="001353E5">
          <w:rPr>
            <w:rFonts w:asciiTheme="minorHAnsi" w:eastAsiaTheme="minorEastAsia" w:hAnsiTheme="minorHAnsi" w:cstheme="minorBidi"/>
            <w:b w:val="0"/>
            <w:noProof/>
            <w:szCs w:val="22"/>
            <w:lang w:eastAsia="en-GB"/>
          </w:rPr>
          <w:tab/>
        </w:r>
        <w:r w:rsidR="001353E5" w:rsidRPr="00EB7E77">
          <w:rPr>
            <w:rStyle w:val="-"/>
            <w:noProof/>
          </w:rPr>
          <w:t>Indicative strength classes for durability</w:t>
        </w:r>
        <w:r w:rsidR="001353E5">
          <w:rPr>
            <w:noProof/>
            <w:webHidden/>
          </w:rPr>
          <w:tab/>
        </w:r>
        <w:r w:rsidR="001353E5">
          <w:rPr>
            <w:noProof/>
            <w:webHidden/>
          </w:rPr>
          <w:fldChar w:fldCharType="begin"/>
        </w:r>
        <w:r w:rsidR="001353E5">
          <w:rPr>
            <w:noProof/>
            <w:webHidden/>
          </w:rPr>
          <w:instrText xml:space="preserve"> PAGEREF _Toc67565663 \h </w:instrText>
        </w:r>
        <w:r w:rsidR="001353E5">
          <w:rPr>
            <w:noProof/>
            <w:webHidden/>
          </w:rPr>
        </w:r>
        <w:r w:rsidR="001353E5">
          <w:rPr>
            <w:noProof/>
            <w:webHidden/>
          </w:rPr>
          <w:fldChar w:fldCharType="separate"/>
        </w:r>
        <w:r w:rsidR="000250B6">
          <w:rPr>
            <w:noProof/>
            <w:webHidden/>
          </w:rPr>
          <w:t>369</w:t>
        </w:r>
        <w:r w:rsidR="001353E5">
          <w:rPr>
            <w:noProof/>
            <w:webHidden/>
          </w:rPr>
          <w:fldChar w:fldCharType="end"/>
        </w:r>
      </w:hyperlink>
    </w:p>
    <w:p w14:paraId="609C3225" w14:textId="77777777" w:rsidR="001353E5" w:rsidRDefault="00231E33">
      <w:pPr>
        <w:pStyle w:val="10"/>
        <w:rPr>
          <w:rFonts w:asciiTheme="minorHAnsi" w:eastAsiaTheme="minorEastAsia" w:hAnsiTheme="minorHAnsi" w:cstheme="minorBidi"/>
          <w:b w:val="0"/>
          <w:noProof/>
          <w:szCs w:val="22"/>
          <w:lang w:eastAsia="en-GB"/>
        </w:rPr>
      </w:pPr>
      <w:hyperlink w:anchor="_Toc67565664" w:history="1">
        <w:r w:rsidR="001353E5" w:rsidRPr="00EB7E77">
          <w:rPr>
            <w:rStyle w:val="-"/>
            <w:noProof/>
          </w:rPr>
          <w:t>Annex Q (normative)  Stainless reinforcing steel</w:t>
        </w:r>
        <w:r w:rsidR="001353E5">
          <w:rPr>
            <w:noProof/>
            <w:webHidden/>
          </w:rPr>
          <w:tab/>
        </w:r>
        <w:r w:rsidR="001353E5">
          <w:rPr>
            <w:noProof/>
            <w:webHidden/>
          </w:rPr>
          <w:fldChar w:fldCharType="begin"/>
        </w:r>
        <w:r w:rsidR="001353E5">
          <w:rPr>
            <w:noProof/>
            <w:webHidden/>
          </w:rPr>
          <w:instrText xml:space="preserve"> PAGEREF _Toc67565664 \h </w:instrText>
        </w:r>
        <w:r w:rsidR="001353E5">
          <w:rPr>
            <w:noProof/>
            <w:webHidden/>
          </w:rPr>
        </w:r>
        <w:r w:rsidR="001353E5">
          <w:rPr>
            <w:noProof/>
            <w:webHidden/>
          </w:rPr>
          <w:fldChar w:fldCharType="separate"/>
        </w:r>
        <w:r w:rsidR="000250B6">
          <w:rPr>
            <w:noProof/>
            <w:webHidden/>
          </w:rPr>
          <w:t>371</w:t>
        </w:r>
        <w:r w:rsidR="001353E5">
          <w:rPr>
            <w:noProof/>
            <w:webHidden/>
          </w:rPr>
          <w:fldChar w:fldCharType="end"/>
        </w:r>
      </w:hyperlink>
    </w:p>
    <w:p w14:paraId="633CAEAC"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65" w:history="1">
        <w:r w:rsidR="001353E5" w:rsidRPr="00EB7E77">
          <w:rPr>
            <w:rStyle w:val="-"/>
            <w:noProof/>
          </w:rPr>
          <w:t>Q.1</w:t>
        </w:r>
        <w:r w:rsidR="001353E5">
          <w:rPr>
            <w:rFonts w:asciiTheme="minorHAnsi" w:eastAsiaTheme="minorEastAsia" w:hAnsiTheme="minorHAnsi" w:cstheme="minorBidi"/>
            <w:b w:val="0"/>
            <w:noProof/>
            <w:szCs w:val="22"/>
            <w:lang w:eastAsia="en-GB"/>
          </w:rPr>
          <w:tab/>
        </w:r>
        <w:r w:rsidR="001353E5" w:rsidRPr="00EB7E77">
          <w:rPr>
            <w:rStyle w:val="-"/>
            <w:noProof/>
          </w:rPr>
          <w:t>Use of this annex</w:t>
        </w:r>
        <w:r w:rsidR="001353E5">
          <w:rPr>
            <w:noProof/>
            <w:webHidden/>
          </w:rPr>
          <w:tab/>
        </w:r>
        <w:r w:rsidR="001353E5">
          <w:rPr>
            <w:noProof/>
            <w:webHidden/>
          </w:rPr>
          <w:fldChar w:fldCharType="begin"/>
        </w:r>
        <w:r w:rsidR="001353E5">
          <w:rPr>
            <w:noProof/>
            <w:webHidden/>
          </w:rPr>
          <w:instrText xml:space="preserve"> PAGEREF _Toc67565665 \h </w:instrText>
        </w:r>
        <w:r w:rsidR="001353E5">
          <w:rPr>
            <w:noProof/>
            <w:webHidden/>
          </w:rPr>
        </w:r>
        <w:r w:rsidR="001353E5">
          <w:rPr>
            <w:noProof/>
            <w:webHidden/>
          </w:rPr>
          <w:fldChar w:fldCharType="separate"/>
        </w:r>
        <w:r w:rsidR="000250B6">
          <w:rPr>
            <w:noProof/>
            <w:webHidden/>
          </w:rPr>
          <w:t>371</w:t>
        </w:r>
        <w:r w:rsidR="001353E5">
          <w:rPr>
            <w:noProof/>
            <w:webHidden/>
          </w:rPr>
          <w:fldChar w:fldCharType="end"/>
        </w:r>
      </w:hyperlink>
    </w:p>
    <w:p w14:paraId="2A05F8A4"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66" w:history="1">
        <w:r w:rsidR="001353E5" w:rsidRPr="00EB7E77">
          <w:rPr>
            <w:rStyle w:val="-"/>
            <w:noProof/>
          </w:rPr>
          <w:t>Q.2</w:t>
        </w:r>
        <w:r w:rsidR="001353E5">
          <w:rPr>
            <w:rFonts w:asciiTheme="minorHAnsi" w:eastAsiaTheme="minorEastAsia" w:hAnsiTheme="minorHAnsi" w:cstheme="minorBidi"/>
            <w:b w:val="0"/>
            <w:noProof/>
            <w:szCs w:val="22"/>
            <w:lang w:eastAsia="en-GB"/>
          </w:rPr>
          <w:tab/>
        </w:r>
        <w:r w:rsidR="001353E5" w:rsidRPr="00EB7E77">
          <w:rPr>
            <w:rStyle w:val="-"/>
            <w:noProof/>
          </w:rPr>
          <w:t>Scope and field of application</w:t>
        </w:r>
        <w:r w:rsidR="001353E5">
          <w:rPr>
            <w:noProof/>
            <w:webHidden/>
          </w:rPr>
          <w:tab/>
        </w:r>
        <w:r w:rsidR="001353E5">
          <w:rPr>
            <w:noProof/>
            <w:webHidden/>
          </w:rPr>
          <w:fldChar w:fldCharType="begin"/>
        </w:r>
        <w:r w:rsidR="001353E5">
          <w:rPr>
            <w:noProof/>
            <w:webHidden/>
          </w:rPr>
          <w:instrText xml:space="preserve"> PAGEREF _Toc67565666 \h </w:instrText>
        </w:r>
        <w:r w:rsidR="001353E5">
          <w:rPr>
            <w:noProof/>
            <w:webHidden/>
          </w:rPr>
        </w:r>
        <w:r w:rsidR="001353E5">
          <w:rPr>
            <w:noProof/>
            <w:webHidden/>
          </w:rPr>
          <w:fldChar w:fldCharType="separate"/>
        </w:r>
        <w:r w:rsidR="000250B6">
          <w:rPr>
            <w:noProof/>
            <w:webHidden/>
          </w:rPr>
          <w:t>371</w:t>
        </w:r>
        <w:r w:rsidR="001353E5">
          <w:rPr>
            <w:noProof/>
            <w:webHidden/>
          </w:rPr>
          <w:fldChar w:fldCharType="end"/>
        </w:r>
      </w:hyperlink>
    </w:p>
    <w:p w14:paraId="42208498"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67" w:history="1">
        <w:r w:rsidR="001353E5" w:rsidRPr="00EB7E77">
          <w:rPr>
            <w:rStyle w:val="-"/>
            <w:noProof/>
          </w:rPr>
          <w:t>Q.3</w:t>
        </w:r>
        <w:r w:rsidR="001353E5">
          <w:rPr>
            <w:rFonts w:asciiTheme="minorHAnsi" w:eastAsiaTheme="minorEastAsia" w:hAnsiTheme="minorHAnsi" w:cstheme="minorBidi"/>
            <w:b w:val="0"/>
            <w:noProof/>
            <w:szCs w:val="22"/>
            <w:lang w:eastAsia="en-GB"/>
          </w:rPr>
          <w:tab/>
        </w:r>
        <w:r w:rsidR="001353E5" w:rsidRPr="00EB7E77">
          <w:rPr>
            <w:rStyle w:val="-"/>
            <w:noProof/>
          </w:rPr>
          <w:t>General</w:t>
        </w:r>
        <w:r w:rsidR="001353E5">
          <w:rPr>
            <w:noProof/>
            <w:webHidden/>
          </w:rPr>
          <w:tab/>
        </w:r>
        <w:r w:rsidR="001353E5">
          <w:rPr>
            <w:noProof/>
            <w:webHidden/>
          </w:rPr>
          <w:fldChar w:fldCharType="begin"/>
        </w:r>
        <w:r w:rsidR="001353E5">
          <w:rPr>
            <w:noProof/>
            <w:webHidden/>
          </w:rPr>
          <w:instrText xml:space="preserve"> PAGEREF _Toc67565667 \h </w:instrText>
        </w:r>
        <w:r w:rsidR="001353E5">
          <w:rPr>
            <w:noProof/>
            <w:webHidden/>
          </w:rPr>
        </w:r>
        <w:r w:rsidR="001353E5">
          <w:rPr>
            <w:noProof/>
            <w:webHidden/>
          </w:rPr>
          <w:fldChar w:fldCharType="separate"/>
        </w:r>
        <w:r w:rsidR="000250B6">
          <w:rPr>
            <w:noProof/>
            <w:webHidden/>
          </w:rPr>
          <w:t>371</w:t>
        </w:r>
        <w:r w:rsidR="001353E5">
          <w:rPr>
            <w:noProof/>
            <w:webHidden/>
          </w:rPr>
          <w:fldChar w:fldCharType="end"/>
        </w:r>
      </w:hyperlink>
    </w:p>
    <w:p w14:paraId="748B8CF6"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68" w:history="1">
        <w:r w:rsidR="001353E5" w:rsidRPr="00EB7E77">
          <w:rPr>
            <w:rStyle w:val="-"/>
            <w:noProof/>
          </w:rPr>
          <w:t>Q.4</w:t>
        </w:r>
        <w:r w:rsidR="001353E5">
          <w:rPr>
            <w:rFonts w:asciiTheme="minorHAnsi" w:eastAsiaTheme="minorEastAsia" w:hAnsiTheme="minorHAnsi" w:cstheme="minorBidi"/>
            <w:b w:val="0"/>
            <w:noProof/>
            <w:szCs w:val="22"/>
            <w:lang w:eastAsia="en-GB"/>
          </w:rPr>
          <w:tab/>
        </w:r>
        <w:r w:rsidR="001353E5" w:rsidRPr="00EB7E77">
          <w:rPr>
            <w:rStyle w:val="-"/>
            <w:noProof/>
          </w:rPr>
          <w:t>Minimum cover for durability</w:t>
        </w:r>
        <w:r w:rsidR="001353E5">
          <w:rPr>
            <w:noProof/>
            <w:webHidden/>
          </w:rPr>
          <w:tab/>
        </w:r>
        <w:r w:rsidR="001353E5">
          <w:rPr>
            <w:noProof/>
            <w:webHidden/>
          </w:rPr>
          <w:fldChar w:fldCharType="begin"/>
        </w:r>
        <w:r w:rsidR="001353E5">
          <w:rPr>
            <w:noProof/>
            <w:webHidden/>
          </w:rPr>
          <w:instrText xml:space="preserve"> PAGEREF _Toc67565668 \h </w:instrText>
        </w:r>
        <w:r w:rsidR="001353E5">
          <w:rPr>
            <w:noProof/>
            <w:webHidden/>
          </w:rPr>
        </w:r>
        <w:r w:rsidR="001353E5">
          <w:rPr>
            <w:noProof/>
            <w:webHidden/>
          </w:rPr>
          <w:fldChar w:fldCharType="separate"/>
        </w:r>
        <w:r w:rsidR="000250B6">
          <w:rPr>
            <w:noProof/>
            <w:webHidden/>
          </w:rPr>
          <w:t>372</w:t>
        </w:r>
        <w:r w:rsidR="001353E5">
          <w:rPr>
            <w:noProof/>
            <w:webHidden/>
          </w:rPr>
          <w:fldChar w:fldCharType="end"/>
        </w:r>
      </w:hyperlink>
    </w:p>
    <w:p w14:paraId="28ABC017" w14:textId="77777777" w:rsidR="001353E5" w:rsidRDefault="00231E33" w:rsidP="001353E5">
      <w:pPr>
        <w:pStyle w:val="10"/>
        <w:spacing w:before="60"/>
        <w:rPr>
          <w:rFonts w:asciiTheme="minorHAnsi" w:eastAsiaTheme="minorEastAsia" w:hAnsiTheme="minorHAnsi" w:cstheme="minorBidi"/>
          <w:b w:val="0"/>
          <w:noProof/>
          <w:szCs w:val="22"/>
          <w:lang w:eastAsia="en-GB"/>
        </w:rPr>
      </w:pPr>
      <w:hyperlink w:anchor="_Toc67565669" w:history="1">
        <w:r w:rsidR="001353E5" w:rsidRPr="00EB7E77">
          <w:rPr>
            <w:rStyle w:val="-"/>
            <w:noProof/>
          </w:rPr>
          <w:t>Q.5</w:t>
        </w:r>
        <w:r w:rsidR="001353E5">
          <w:rPr>
            <w:rFonts w:asciiTheme="minorHAnsi" w:eastAsiaTheme="minorEastAsia" w:hAnsiTheme="minorHAnsi" w:cstheme="minorBidi"/>
            <w:b w:val="0"/>
            <w:noProof/>
            <w:szCs w:val="22"/>
            <w:lang w:eastAsia="en-GB"/>
          </w:rPr>
          <w:tab/>
        </w:r>
        <w:r w:rsidR="001353E5" w:rsidRPr="00EB7E77">
          <w:rPr>
            <w:rStyle w:val="-"/>
            <w:noProof/>
          </w:rPr>
          <w:t>Fatigue verification</w:t>
        </w:r>
        <w:r w:rsidR="001353E5">
          <w:rPr>
            <w:noProof/>
            <w:webHidden/>
          </w:rPr>
          <w:tab/>
        </w:r>
        <w:r w:rsidR="001353E5">
          <w:rPr>
            <w:noProof/>
            <w:webHidden/>
          </w:rPr>
          <w:fldChar w:fldCharType="begin"/>
        </w:r>
        <w:r w:rsidR="001353E5">
          <w:rPr>
            <w:noProof/>
            <w:webHidden/>
          </w:rPr>
          <w:instrText xml:space="preserve"> PAGEREF _Toc67565669 \h </w:instrText>
        </w:r>
        <w:r w:rsidR="001353E5">
          <w:rPr>
            <w:noProof/>
            <w:webHidden/>
          </w:rPr>
        </w:r>
        <w:r w:rsidR="001353E5">
          <w:rPr>
            <w:noProof/>
            <w:webHidden/>
          </w:rPr>
          <w:fldChar w:fldCharType="separate"/>
        </w:r>
        <w:r w:rsidR="000250B6">
          <w:rPr>
            <w:noProof/>
            <w:webHidden/>
          </w:rPr>
          <w:t>373</w:t>
        </w:r>
        <w:r w:rsidR="001353E5">
          <w:rPr>
            <w:noProof/>
            <w:webHidden/>
          </w:rPr>
          <w:fldChar w:fldCharType="end"/>
        </w:r>
      </w:hyperlink>
    </w:p>
    <w:p w14:paraId="5FF4FC9C" w14:textId="77777777" w:rsidR="001353E5" w:rsidRDefault="00231E33">
      <w:pPr>
        <w:pStyle w:val="10"/>
        <w:rPr>
          <w:rFonts w:asciiTheme="minorHAnsi" w:eastAsiaTheme="minorEastAsia" w:hAnsiTheme="minorHAnsi" w:cstheme="minorBidi"/>
          <w:b w:val="0"/>
          <w:noProof/>
          <w:szCs w:val="22"/>
          <w:lang w:eastAsia="en-GB"/>
        </w:rPr>
      </w:pPr>
      <w:hyperlink w:anchor="_Toc67565670" w:history="1">
        <w:r w:rsidR="001353E5" w:rsidRPr="00EB7E77">
          <w:rPr>
            <w:rStyle w:val="-"/>
            <w:noProof/>
          </w:rPr>
          <w:t>Bibliography</w:t>
        </w:r>
        <w:r w:rsidR="001353E5">
          <w:rPr>
            <w:noProof/>
            <w:webHidden/>
          </w:rPr>
          <w:tab/>
        </w:r>
        <w:r w:rsidR="001353E5">
          <w:rPr>
            <w:noProof/>
            <w:webHidden/>
          </w:rPr>
          <w:fldChar w:fldCharType="begin"/>
        </w:r>
        <w:r w:rsidR="001353E5">
          <w:rPr>
            <w:noProof/>
            <w:webHidden/>
          </w:rPr>
          <w:instrText xml:space="preserve"> PAGEREF _Toc67565670 \h </w:instrText>
        </w:r>
        <w:r w:rsidR="001353E5">
          <w:rPr>
            <w:noProof/>
            <w:webHidden/>
          </w:rPr>
        </w:r>
        <w:r w:rsidR="001353E5">
          <w:rPr>
            <w:noProof/>
            <w:webHidden/>
          </w:rPr>
          <w:fldChar w:fldCharType="separate"/>
        </w:r>
        <w:r w:rsidR="000250B6">
          <w:rPr>
            <w:noProof/>
            <w:webHidden/>
          </w:rPr>
          <w:t>374</w:t>
        </w:r>
        <w:r w:rsidR="001353E5">
          <w:rPr>
            <w:noProof/>
            <w:webHidden/>
          </w:rPr>
          <w:fldChar w:fldCharType="end"/>
        </w:r>
      </w:hyperlink>
    </w:p>
    <w:p w14:paraId="0CB6B55B" w14:textId="3215EDF2" w:rsidR="00062F3A" w:rsidRPr="001455DC" w:rsidRDefault="001353E5" w:rsidP="005965D6">
      <w:pPr>
        <w:pStyle w:val="a7"/>
      </w:pPr>
      <w:r>
        <w:rPr>
          <w:b/>
        </w:rPr>
        <w:fldChar w:fldCharType="end"/>
      </w:r>
    </w:p>
    <w:p w14:paraId="3AAD373E" w14:textId="77777777" w:rsidR="00DB201D" w:rsidRPr="001455DC" w:rsidRDefault="00DB201D" w:rsidP="00A41266">
      <w:pPr>
        <w:pStyle w:val="ForewordTitle"/>
        <w:rPr>
          <w:rFonts w:eastAsia="MS Mincho"/>
        </w:rPr>
      </w:pPr>
      <w:bookmarkStart w:id="0" w:name="_Toc445729939"/>
      <w:bookmarkStart w:id="1" w:name="_Toc54337116"/>
      <w:bookmarkStart w:id="2" w:name="_Toc54337256"/>
      <w:bookmarkStart w:id="3" w:name="_Toc54337917"/>
      <w:bookmarkStart w:id="4" w:name="_Toc67565266"/>
      <w:r w:rsidRPr="001455DC">
        <w:rPr>
          <w:rFonts w:eastAsia="MS Mincho"/>
        </w:rPr>
        <w:t>European foreword</w:t>
      </w:r>
      <w:bookmarkEnd w:id="0"/>
      <w:bookmarkEnd w:id="1"/>
      <w:bookmarkEnd w:id="2"/>
      <w:bookmarkEnd w:id="3"/>
      <w:bookmarkEnd w:id="4"/>
    </w:p>
    <w:p w14:paraId="3B7188D9" w14:textId="1FF70D35" w:rsidR="00EF241D" w:rsidRPr="001455DC" w:rsidRDefault="00EF241D" w:rsidP="00EF241D">
      <w:pPr>
        <w:pStyle w:val="ForewordText"/>
        <w:rPr>
          <w:lang w:eastAsia="en-US"/>
        </w:rPr>
      </w:pPr>
      <w:r w:rsidRPr="001455DC">
        <w:rPr>
          <w:lang w:eastAsia="en-US"/>
        </w:rPr>
        <w:t>This document (prEN 1992</w:t>
      </w:r>
      <w:r w:rsidRPr="001455DC">
        <w:rPr>
          <w:lang w:eastAsia="en-US"/>
        </w:rPr>
        <w:noBreakHyphen/>
        <w:t>1</w:t>
      </w:r>
      <w:r w:rsidRPr="001455DC">
        <w:rPr>
          <w:lang w:eastAsia="en-US"/>
        </w:rPr>
        <w:noBreakHyphen/>
        <w:t>1:202</w:t>
      </w:r>
      <w:r w:rsidR="000E016F">
        <w:rPr>
          <w:lang w:eastAsia="en-US"/>
        </w:rPr>
        <w:t>1</w:t>
      </w:r>
      <w:r w:rsidRPr="001455DC">
        <w:rPr>
          <w:lang w:eastAsia="en-US"/>
        </w:rPr>
        <w:t>) has been prepared by Technical Committee CEN/TC 250 “Structural Eurocodes”, the secretariat of which is held by BSI. CEN/TC 250 is responsible for all Structural Eurocodes and has been assigned responsibility for structural and geotechnical design matters by CEN.</w:t>
      </w:r>
    </w:p>
    <w:p w14:paraId="36F99164" w14:textId="77777777" w:rsidR="00DB201D" w:rsidRPr="001455DC" w:rsidRDefault="00DB201D" w:rsidP="00860240">
      <w:pPr>
        <w:pStyle w:val="ForewordText"/>
      </w:pPr>
      <w:r w:rsidRPr="001455DC">
        <w:t>This document is currently submitted to the CEN Enquiry.</w:t>
      </w:r>
    </w:p>
    <w:p w14:paraId="19C3D970" w14:textId="70824A17" w:rsidR="00EF241D" w:rsidRPr="00FA575F" w:rsidRDefault="00EF241D" w:rsidP="00FA575F">
      <w:pPr>
        <w:pStyle w:val="ForewordText"/>
        <w:keepNext/>
        <w:spacing w:after="120"/>
        <w:rPr>
          <w:lang w:eastAsia="en-US"/>
        </w:rPr>
      </w:pPr>
      <w:r w:rsidRPr="00FA575F">
        <w:rPr>
          <w:lang w:eastAsia="en-US"/>
        </w:rPr>
        <w:t xml:space="preserve">This </w:t>
      </w:r>
      <w:r w:rsidRPr="00FA575F">
        <w:t>document</w:t>
      </w:r>
      <w:r w:rsidRPr="00FA575F">
        <w:rPr>
          <w:lang w:eastAsia="en-US"/>
        </w:rPr>
        <w:t xml:space="preserve"> </w:t>
      </w:r>
      <w:r w:rsidR="00FA575F" w:rsidRPr="00FA575F">
        <w:rPr>
          <w:lang w:eastAsia="en-US"/>
        </w:rPr>
        <w:t xml:space="preserve">will supersede </w:t>
      </w:r>
      <w:r w:rsidRPr="00FA575F">
        <w:t>EN 1992</w:t>
      </w:r>
      <w:r w:rsidRPr="00FA575F">
        <w:noBreakHyphen/>
        <w:t>1</w:t>
      </w:r>
      <w:r w:rsidRPr="00FA575F">
        <w:noBreakHyphen/>
        <w:t>1:2004,</w:t>
      </w:r>
      <w:r w:rsidR="000E016F" w:rsidRPr="00FA575F">
        <w:t xml:space="preserve"> </w:t>
      </w:r>
      <w:r w:rsidR="00FA575F" w:rsidRPr="00FA575F">
        <w:t>EN 1992</w:t>
      </w:r>
      <w:r w:rsidR="00FA575F" w:rsidRPr="00FA575F">
        <w:noBreakHyphen/>
        <w:t>2:2005</w:t>
      </w:r>
      <w:r w:rsidRPr="00FA575F">
        <w:t xml:space="preserve"> and</w:t>
      </w:r>
      <w:r w:rsidR="00FA575F" w:rsidRPr="00FA575F">
        <w:t xml:space="preserve"> EN 1992</w:t>
      </w:r>
      <w:r w:rsidR="00FA575F" w:rsidRPr="00FA575F">
        <w:noBreakHyphen/>
        <w:t>3:2006 and the</w:t>
      </w:r>
      <w:r w:rsidR="00FA575F">
        <w:t>ir amendments and corrigenda.</w:t>
      </w:r>
    </w:p>
    <w:p w14:paraId="097966AC" w14:textId="77777777" w:rsidR="00EF241D" w:rsidRPr="001455DC" w:rsidRDefault="00EF241D" w:rsidP="00EF241D">
      <w:pPr>
        <w:pStyle w:val="ForewordText"/>
        <w:rPr>
          <w:lang w:eastAsia="en-US"/>
        </w:rPr>
      </w:pPr>
      <w:r w:rsidRPr="001455DC">
        <w:rPr>
          <w:lang w:eastAsia="en-US"/>
        </w:rPr>
        <w:t xml:space="preserve">The first generation of EN Eurocodes was published between 2002 and 2007. This document forms part of the second generation of the </w:t>
      </w:r>
      <w:r w:rsidRPr="001455DC">
        <w:t>Eurocodes</w:t>
      </w:r>
      <w:r w:rsidRPr="001455DC">
        <w:rPr>
          <w:lang w:eastAsia="en-US"/>
        </w:rPr>
        <w:t>, which have been prepared under Mandate M/515 issued to CEN by the European Commission and the European Free Trade Association.</w:t>
      </w:r>
    </w:p>
    <w:p w14:paraId="116484D1" w14:textId="77777777" w:rsidR="00EF241D" w:rsidRPr="001455DC" w:rsidRDefault="00EF241D" w:rsidP="00EF241D">
      <w:pPr>
        <w:pStyle w:val="ForewordText"/>
        <w:rPr>
          <w:lang w:eastAsia="en-US"/>
        </w:rPr>
      </w:pPr>
      <w:r w:rsidRPr="001455DC">
        <w:rPr>
          <w:lang w:eastAsia="en-US"/>
        </w:rPr>
        <w:t xml:space="preserve">The Eurocodes have been drafted to be used in conjunction with relevant execution, material, product and test standards, and to </w:t>
      </w:r>
      <w:r w:rsidRPr="001455DC">
        <w:t>identify</w:t>
      </w:r>
      <w:r w:rsidRPr="001455DC">
        <w:rPr>
          <w:lang w:eastAsia="en-US"/>
        </w:rPr>
        <w:t xml:space="preserve"> requirements for execution, materials, products and testing that are relied upon by the Eurocodes.</w:t>
      </w:r>
    </w:p>
    <w:p w14:paraId="4323ECF7" w14:textId="198376E9" w:rsidR="00EF241D" w:rsidRPr="001455DC" w:rsidRDefault="00FA575F" w:rsidP="00860240">
      <w:pPr>
        <w:pStyle w:val="ForewordText"/>
        <w:rPr>
          <w:lang w:eastAsia="en-US"/>
        </w:rPr>
      </w:pPr>
      <w:r>
        <w:rPr>
          <w:lang w:eastAsia="en-US"/>
        </w:rPr>
        <w:t>The Eurocodes recogniz</w:t>
      </w:r>
      <w:r w:rsidR="00EF241D" w:rsidRPr="001455DC">
        <w:rPr>
          <w:lang w:eastAsia="en-US"/>
        </w:rPr>
        <w:t>e the responsibility of each Member State and have safeguarded their right to determine values related to regulatory safety matters at national level through the use of National Annexes.</w:t>
      </w:r>
    </w:p>
    <w:p w14:paraId="24ED3222" w14:textId="63759751" w:rsidR="00DB201D" w:rsidRPr="001455DC" w:rsidRDefault="00FA575F" w:rsidP="00A41266">
      <w:pPr>
        <w:pStyle w:val="IntroTitle"/>
        <w:rPr>
          <w:rFonts w:eastAsia="MS Mincho"/>
        </w:rPr>
      </w:pPr>
      <w:bookmarkStart w:id="5" w:name="_Toc445729940"/>
      <w:bookmarkStart w:id="6" w:name="_Toc54337117"/>
      <w:bookmarkStart w:id="7" w:name="_Toc54337257"/>
      <w:bookmarkStart w:id="8" w:name="_Toc54337918"/>
      <w:bookmarkStart w:id="9" w:name="_Toc67565267"/>
      <w:r>
        <w:rPr>
          <w:rFonts w:eastAsia="MS Mincho"/>
        </w:rPr>
        <w:t xml:space="preserve">0 </w:t>
      </w:r>
      <w:r w:rsidR="00DB201D" w:rsidRPr="001455DC">
        <w:rPr>
          <w:rFonts w:eastAsia="MS Mincho"/>
        </w:rPr>
        <w:t>Introduction</w:t>
      </w:r>
      <w:bookmarkEnd w:id="5"/>
      <w:bookmarkEnd w:id="6"/>
      <w:bookmarkEnd w:id="7"/>
      <w:bookmarkEnd w:id="8"/>
      <w:bookmarkEnd w:id="9"/>
    </w:p>
    <w:p w14:paraId="1E32007C" w14:textId="77C499CB" w:rsidR="009D5C74" w:rsidRPr="00E519AB" w:rsidRDefault="009D5C74" w:rsidP="00E519AB">
      <w:pPr>
        <w:pStyle w:val="p2"/>
        <w:rPr>
          <w:b/>
        </w:rPr>
      </w:pPr>
      <w:bookmarkStart w:id="10" w:name="_Toc52819861"/>
      <w:bookmarkStart w:id="11" w:name="_Toc54337258"/>
      <w:bookmarkStart w:id="12" w:name="_Toc54337919"/>
      <w:bookmarkStart w:id="13" w:name="_Toc67565268"/>
      <w:bookmarkStart w:id="14" w:name="_Toc445729941"/>
      <w:r w:rsidRPr="00E519AB">
        <w:rPr>
          <w:b/>
        </w:rPr>
        <w:t>0.1</w:t>
      </w:r>
      <w:r w:rsidRPr="00E519AB">
        <w:rPr>
          <w:b/>
        </w:rPr>
        <w:tab/>
        <w:t>Introduction to the Eurocodes</w:t>
      </w:r>
      <w:bookmarkEnd w:id="10"/>
      <w:bookmarkEnd w:id="11"/>
      <w:bookmarkEnd w:id="12"/>
      <w:bookmarkEnd w:id="13"/>
    </w:p>
    <w:p w14:paraId="7F49515C" w14:textId="77777777" w:rsidR="009D5C74" w:rsidRPr="001455DC" w:rsidRDefault="009D5C74" w:rsidP="009D5C74">
      <w:pPr>
        <w:pStyle w:val="a7"/>
      </w:pPr>
      <w:r w:rsidRPr="001455DC">
        <w:t>The Structural Eurocodes comprise the following standards generally consisting of a number of Parts:</w:t>
      </w:r>
    </w:p>
    <w:p w14:paraId="3AC33F17" w14:textId="313AF3FD" w:rsidR="009D5C74" w:rsidRPr="001455DC" w:rsidRDefault="009D5C74" w:rsidP="00353CE4">
      <w:pPr>
        <w:pStyle w:val="a0"/>
      </w:pPr>
      <w:r w:rsidRPr="001455DC">
        <w:t>EN 1990</w:t>
      </w:r>
      <w:r w:rsidR="00FA575F">
        <w:t>,</w:t>
      </w:r>
      <w:r w:rsidRPr="001455DC">
        <w:t xml:space="preserve"> </w:t>
      </w:r>
      <w:r w:rsidRPr="00FA575F">
        <w:rPr>
          <w:i/>
        </w:rPr>
        <w:t>Eurocode: Basis of structural and geotechnical design</w:t>
      </w:r>
    </w:p>
    <w:p w14:paraId="6F583B2E" w14:textId="3DAF0A86" w:rsidR="009D5C74" w:rsidRPr="00FA575F" w:rsidRDefault="009D5C74" w:rsidP="00353CE4">
      <w:pPr>
        <w:pStyle w:val="a0"/>
        <w:rPr>
          <w:lang w:val="fr-BE"/>
        </w:rPr>
      </w:pPr>
      <w:r w:rsidRPr="00FA575F">
        <w:rPr>
          <w:lang w:val="fr-BE"/>
        </w:rPr>
        <w:t>EN 1991</w:t>
      </w:r>
      <w:r w:rsidR="00FA575F" w:rsidRPr="00FA575F">
        <w:rPr>
          <w:lang w:val="fr-BE"/>
        </w:rPr>
        <w:t>,</w:t>
      </w:r>
      <w:r w:rsidRPr="00FA575F">
        <w:rPr>
          <w:lang w:val="fr-BE"/>
        </w:rPr>
        <w:t xml:space="preserve"> </w:t>
      </w:r>
      <w:r w:rsidRPr="00FA575F">
        <w:rPr>
          <w:i/>
          <w:lang w:val="fr-BE"/>
        </w:rPr>
        <w:t>Eurocode 1: Actions on structures</w:t>
      </w:r>
    </w:p>
    <w:p w14:paraId="26E34E25" w14:textId="7F3399CE" w:rsidR="009D5C74" w:rsidRPr="00FA575F" w:rsidRDefault="009D5C74" w:rsidP="00353CE4">
      <w:pPr>
        <w:pStyle w:val="a0"/>
        <w:rPr>
          <w:i/>
        </w:rPr>
      </w:pPr>
      <w:r w:rsidRPr="001455DC">
        <w:t>EN 1992</w:t>
      </w:r>
      <w:r w:rsidR="00FA575F">
        <w:t>,</w:t>
      </w:r>
      <w:r w:rsidRPr="001455DC">
        <w:t xml:space="preserve"> </w:t>
      </w:r>
      <w:r w:rsidRPr="00FA575F">
        <w:rPr>
          <w:i/>
        </w:rPr>
        <w:t>Eurocode 2: Design of concrete structures</w:t>
      </w:r>
    </w:p>
    <w:p w14:paraId="7939B3C9" w14:textId="79A07FF3" w:rsidR="009D5C74" w:rsidRPr="001455DC" w:rsidRDefault="009D5C74" w:rsidP="00353CE4">
      <w:pPr>
        <w:pStyle w:val="a0"/>
      </w:pPr>
      <w:r w:rsidRPr="001455DC">
        <w:t>EN 1993</w:t>
      </w:r>
      <w:r w:rsidR="00FA575F">
        <w:t>,</w:t>
      </w:r>
      <w:r w:rsidRPr="001455DC">
        <w:t xml:space="preserve"> </w:t>
      </w:r>
      <w:r w:rsidRPr="00FA575F">
        <w:rPr>
          <w:i/>
        </w:rPr>
        <w:t>Eurocode 3: Design of steel structures</w:t>
      </w:r>
    </w:p>
    <w:p w14:paraId="35B317C3" w14:textId="1D5980E5" w:rsidR="009D5C74" w:rsidRPr="00FA575F" w:rsidRDefault="009D5C74" w:rsidP="00353CE4">
      <w:pPr>
        <w:pStyle w:val="a0"/>
        <w:rPr>
          <w:i/>
        </w:rPr>
      </w:pPr>
      <w:r w:rsidRPr="001455DC">
        <w:t>EN 1994</w:t>
      </w:r>
      <w:r w:rsidR="00FA575F">
        <w:t>,</w:t>
      </w:r>
      <w:r w:rsidRPr="001455DC">
        <w:t xml:space="preserve"> </w:t>
      </w:r>
      <w:r w:rsidRPr="00FA575F">
        <w:rPr>
          <w:i/>
        </w:rPr>
        <w:t>Eurocode 4: Design of composite steel and concrete structures</w:t>
      </w:r>
    </w:p>
    <w:p w14:paraId="32A3637D" w14:textId="0DB28F29" w:rsidR="009D5C74" w:rsidRPr="001455DC" w:rsidRDefault="009D5C74" w:rsidP="00353CE4">
      <w:pPr>
        <w:pStyle w:val="a0"/>
      </w:pPr>
      <w:r w:rsidRPr="001455DC">
        <w:t>EN 1995</w:t>
      </w:r>
      <w:r w:rsidR="00FA575F">
        <w:t>,</w:t>
      </w:r>
      <w:r w:rsidRPr="001455DC">
        <w:t xml:space="preserve"> </w:t>
      </w:r>
      <w:r w:rsidRPr="00FA575F">
        <w:rPr>
          <w:i/>
        </w:rPr>
        <w:t>Eurocode 5: Design of timber structures</w:t>
      </w:r>
    </w:p>
    <w:p w14:paraId="412C8F79" w14:textId="162AD3B1" w:rsidR="009D5C74" w:rsidRPr="001455DC" w:rsidRDefault="009D5C74" w:rsidP="00353CE4">
      <w:pPr>
        <w:pStyle w:val="a0"/>
      </w:pPr>
      <w:r w:rsidRPr="001455DC">
        <w:t>EN 1996</w:t>
      </w:r>
      <w:r w:rsidR="00FA575F">
        <w:t>,</w:t>
      </w:r>
      <w:r w:rsidRPr="001455DC">
        <w:t xml:space="preserve"> </w:t>
      </w:r>
      <w:r w:rsidRPr="00FA575F">
        <w:rPr>
          <w:i/>
        </w:rPr>
        <w:t>Eurocode 6: Design of masonry structures</w:t>
      </w:r>
    </w:p>
    <w:p w14:paraId="6588DF5C" w14:textId="0407DED5" w:rsidR="009D5C74" w:rsidRPr="00FA575F" w:rsidRDefault="009D5C74" w:rsidP="00353CE4">
      <w:pPr>
        <w:pStyle w:val="a0"/>
        <w:rPr>
          <w:i/>
        </w:rPr>
      </w:pPr>
      <w:r w:rsidRPr="001455DC">
        <w:t>EN 1997</w:t>
      </w:r>
      <w:r w:rsidR="00FA575F">
        <w:t>,</w:t>
      </w:r>
      <w:r w:rsidRPr="001455DC">
        <w:t xml:space="preserve"> </w:t>
      </w:r>
      <w:r w:rsidRPr="00FA575F">
        <w:rPr>
          <w:i/>
        </w:rPr>
        <w:t>Eurocode 7: Geotechnical design</w:t>
      </w:r>
    </w:p>
    <w:p w14:paraId="4EEDB46C" w14:textId="3CFC4754" w:rsidR="009D5C74" w:rsidRPr="00FA575F" w:rsidRDefault="009D5C74" w:rsidP="00353CE4">
      <w:pPr>
        <w:pStyle w:val="a0"/>
        <w:rPr>
          <w:i/>
        </w:rPr>
      </w:pPr>
      <w:r w:rsidRPr="001455DC">
        <w:t>EN 1998</w:t>
      </w:r>
      <w:r w:rsidR="00FA575F">
        <w:t>,</w:t>
      </w:r>
      <w:r w:rsidRPr="001455DC">
        <w:t xml:space="preserve"> </w:t>
      </w:r>
      <w:r w:rsidRPr="00FA575F">
        <w:rPr>
          <w:i/>
        </w:rPr>
        <w:t>Eurocode 8: Design of structures for earthquake resistance</w:t>
      </w:r>
    </w:p>
    <w:p w14:paraId="102F7193" w14:textId="354932F7" w:rsidR="009D5C74" w:rsidRPr="001455DC" w:rsidRDefault="009D5C74" w:rsidP="00353CE4">
      <w:pPr>
        <w:pStyle w:val="a0"/>
      </w:pPr>
      <w:r w:rsidRPr="001455DC">
        <w:t>EN 1999</w:t>
      </w:r>
      <w:r w:rsidR="00FA575F">
        <w:t>,</w:t>
      </w:r>
      <w:r w:rsidRPr="001455DC">
        <w:t xml:space="preserve"> </w:t>
      </w:r>
      <w:r w:rsidRPr="00FA575F">
        <w:rPr>
          <w:i/>
        </w:rPr>
        <w:t>Eurocode 9: Design of aluminium structures</w:t>
      </w:r>
    </w:p>
    <w:p w14:paraId="05930A27" w14:textId="77777777" w:rsidR="000E016F" w:rsidRDefault="000E016F" w:rsidP="000E016F">
      <w:pPr>
        <w:pStyle w:val="a0"/>
      </w:pPr>
      <w:r>
        <w:t xml:space="preserve">&lt;New parts&gt; </w:t>
      </w:r>
    </w:p>
    <w:p w14:paraId="2746093C" w14:textId="77777777" w:rsidR="009D5C74" w:rsidRPr="001455DC" w:rsidRDefault="009D5C74" w:rsidP="009D5C74">
      <w:pPr>
        <w:pStyle w:val="a7"/>
        <w:rPr>
          <w:bCs/>
        </w:rPr>
      </w:pPr>
      <w:r w:rsidRPr="001455DC">
        <w:rPr>
          <w:bCs/>
        </w:rPr>
        <w:t>The Eurocodes are intended for use by designers, clients, manufacturers, constructors, relevant authorities (in exercising their duties in accordance with national or international regulations), educators, software developers, and committees drafting standards for related product, testing and execution standards.</w:t>
      </w:r>
    </w:p>
    <w:p w14:paraId="44DD0123" w14:textId="77777777" w:rsidR="009D5C74" w:rsidRPr="001455DC" w:rsidRDefault="009D5C74" w:rsidP="009D5C74">
      <w:pPr>
        <w:pStyle w:val="Note"/>
        <w:rPr>
          <w:lang w:eastAsia="sv-SE"/>
        </w:rPr>
      </w:pPr>
      <w:r w:rsidRPr="001455DC">
        <w:t>NOTE</w:t>
      </w:r>
      <w:r w:rsidRPr="001455DC">
        <w:tab/>
        <w:t>Some aspects of design are most appropriately specified by relevant authorities or, where not specified, can be agreed on a project-specific basis between relevant parties such as designers and clients. The Eurocodes identify such aspects making explicit reference to relevant authorities and relevant parties.</w:t>
      </w:r>
    </w:p>
    <w:p w14:paraId="6D817A59" w14:textId="62FBFA77" w:rsidR="009D5C74" w:rsidRPr="00E519AB" w:rsidRDefault="009D5C74" w:rsidP="00E519AB">
      <w:pPr>
        <w:pStyle w:val="p2"/>
        <w:rPr>
          <w:b/>
        </w:rPr>
      </w:pPr>
      <w:bookmarkStart w:id="15" w:name="_Toc52819862"/>
      <w:bookmarkStart w:id="16" w:name="_Toc54337259"/>
      <w:bookmarkStart w:id="17" w:name="_Toc54337920"/>
      <w:bookmarkStart w:id="18" w:name="_Toc67565269"/>
      <w:r w:rsidRPr="00E519AB">
        <w:rPr>
          <w:b/>
        </w:rPr>
        <w:t>0.2</w:t>
      </w:r>
      <w:r w:rsidRPr="00E519AB">
        <w:rPr>
          <w:b/>
        </w:rPr>
        <w:tab/>
        <w:t>Introduction to EN 1992 Eurocode 2</w:t>
      </w:r>
      <w:bookmarkEnd w:id="15"/>
      <w:bookmarkEnd w:id="16"/>
      <w:bookmarkEnd w:id="17"/>
      <w:bookmarkEnd w:id="18"/>
    </w:p>
    <w:p w14:paraId="1B3F91FC" w14:textId="0E3D0292" w:rsidR="009D5C74" w:rsidRPr="001455DC" w:rsidRDefault="009D5C74" w:rsidP="009D5C74">
      <w:pPr>
        <w:pStyle w:val="a7"/>
      </w:pPr>
      <w:r w:rsidRPr="001455DC">
        <w:rPr>
          <w:lang w:eastAsia="sv-SE"/>
        </w:rPr>
        <w:t>(1)</w:t>
      </w:r>
      <w:r w:rsidRPr="001455DC">
        <w:rPr>
          <w:lang w:eastAsia="sv-SE"/>
        </w:rPr>
        <w:tab/>
      </w:r>
      <w:r w:rsidRPr="001455DC">
        <w:t xml:space="preserve">EN 1992 applies to the design of buildings, bridges and civil engineering structures in plain, reinforced and prestressed concrete. It complies with the principles and requirements for the safety and serviceability of structures, the basis of their design and verification that are given in </w:t>
      </w:r>
      <w:r w:rsidR="00D35CC0">
        <w:t>pr</w:t>
      </w:r>
      <w:r w:rsidR="00FA575F">
        <w:t>EN 1990,</w:t>
      </w:r>
      <w:r w:rsidRPr="001455DC">
        <w:t xml:space="preserve"> </w:t>
      </w:r>
      <w:r w:rsidRPr="00FA575F">
        <w:rPr>
          <w:i/>
        </w:rPr>
        <w:t xml:space="preserve">Basis of structural </w:t>
      </w:r>
      <w:r w:rsidR="00D35CC0" w:rsidRPr="00FA575F">
        <w:rPr>
          <w:i/>
        </w:rPr>
        <w:t xml:space="preserve">and geotechnical </w:t>
      </w:r>
      <w:r w:rsidRPr="00FA575F">
        <w:rPr>
          <w:i/>
        </w:rPr>
        <w:t>design</w:t>
      </w:r>
      <w:r w:rsidRPr="001455DC">
        <w:t>.</w:t>
      </w:r>
    </w:p>
    <w:p w14:paraId="70D02884" w14:textId="77777777" w:rsidR="009D5C74" w:rsidRPr="001455DC" w:rsidRDefault="009D5C74" w:rsidP="009D5C74">
      <w:pPr>
        <w:pStyle w:val="a7"/>
      </w:pPr>
      <w:r w:rsidRPr="001455DC">
        <w:t>(2)</w:t>
      </w:r>
      <w:r w:rsidRPr="001455DC">
        <w:tab/>
        <w:t>EN 1992 is only concerned with the requirements for resistance, serviceability, durability and fire resistance of concrete structures. Other requirements, e.g. concerning thermal or sound insulation, are not considered.</w:t>
      </w:r>
    </w:p>
    <w:p w14:paraId="7CAF4417" w14:textId="77777777" w:rsidR="009D5C74" w:rsidRPr="001455DC" w:rsidRDefault="009D5C74" w:rsidP="008C1358">
      <w:pPr>
        <w:pStyle w:val="a7"/>
        <w:keepNext/>
      </w:pPr>
      <w:r w:rsidRPr="001455DC">
        <w:t>(3)</w:t>
      </w:r>
      <w:r w:rsidRPr="001455DC">
        <w:tab/>
        <w:t>EN 1992 is subdivided into the following parts:</w:t>
      </w:r>
    </w:p>
    <w:p w14:paraId="6AD4152C" w14:textId="77777777" w:rsidR="009D5C74" w:rsidRPr="001455DC" w:rsidRDefault="009D5C74" w:rsidP="008C1358">
      <w:pPr>
        <w:pStyle w:val="a0"/>
      </w:pPr>
      <w:r w:rsidRPr="001455DC">
        <w:rPr>
          <w:i/>
          <w:iCs/>
        </w:rPr>
        <w:t>Part 1</w:t>
      </w:r>
      <w:r w:rsidRPr="001455DC">
        <w:rPr>
          <w:i/>
          <w:iCs/>
        </w:rPr>
        <w:noBreakHyphen/>
        <w:t>1: General rules — Rules for buildings, bridges and civil engineering structures</w:t>
      </w:r>
      <w:r w:rsidRPr="001455DC">
        <w:t>,</w:t>
      </w:r>
    </w:p>
    <w:p w14:paraId="653D2BB3" w14:textId="77777777" w:rsidR="009D5C74" w:rsidRPr="001455DC" w:rsidRDefault="009D5C74" w:rsidP="008C1358">
      <w:pPr>
        <w:pStyle w:val="a0"/>
      </w:pPr>
      <w:r w:rsidRPr="001455DC">
        <w:rPr>
          <w:i/>
          <w:iCs/>
        </w:rPr>
        <w:t>Part 1</w:t>
      </w:r>
      <w:r w:rsidRPr="001455DC">
        <w:rPr>
          <w:i/>
          <w:iCs/>
        </w:rPr>
        <w:noBreakHyphen/>
        <w:t>2: General rules — Structural fire design</w:t>
      </w:r>
      <w:r w:rsidRPr="001455DC">
        <w:t>,</w:t>
      </w:r>
    </w:p>
    <w:p w14:paraId="76C24F76" w14:textId="77777777" w:rsidR="009D5C74" w:rsidRPr="001455DC" w:rsidRDefault="009D5C74" w:rsidP="008C1358">
      <w:pPr>
        <w:pStyle w:val="a0"/>
      </w:pPr>
      <w:r w:rsidRPr="001455DC">
        <w:rPr>
          <w:i/>
          <w:iCs/>
        </w:rPr>
        <w:t>Part 4: Design of fastenings for use in concrete</w:t>
      </w:r>
      <w:r w:rsidRPr="001455DC">
        <w:t>.</w:t>
      </w:r>
    </w:p>
    <w:p w14:paraId="176F4F1E" w14:textId="774FB335" w:rsidR="009D5C74" w:rsidRPr="00E519AB" w:rsidRDefault="009D5C74" w:rsidP="00E519AB">
      <w:pPr>
        <w:pStyle w:val="p2"/>
        <w:keepNext/>
        <w:keepLines/>
        <w:rPr>
          <w:b/>
        </w:rPr>
      </w:pPr>
      <w:bookmarkStart w:id="19" w:name="_Toc52819863"/>
      <w:bookmarkStart w:id="20" w:name="_Toc54337260"/>
      <w:bookmarkStart w:id="21" w:name="_Toc54337921"/>
      <w:bookmarkStart w:id="22" w:name="_Toc67565270"/>
      <w:r w:rsidRPr="00E519AB">
        <w:rPr>
          <w:b/>
        </w:rPr>
        <w:t>0.3</w:t>
      </w:r>
      <w:r w:rsidRPr="00E519AB">
        <w:rPr>
          <w:b/>
        </w:rPr>
        <w:tab/>
        <w:t xml:space="preserve">Introduction to </w:t>
      </w:r>
      <w:r w:rsidR="00FA575F" w:rsidRPr="00E519AB">
        <w:rPr>
          <w:b/>
        </w:rPr>
        <w:t>pr</w:t>
      </w:r>
      <w:r w:rsidRPr="00E519AB">
        <w:rPr>
          <w:b/>
        </w:rPr>
        <w:t>EN 1992</w:t>
      </w:r>
      <w:r w:rsidRPr="00E519AB">
        <w:rPr>
          <w:b/>
        </w:rPr>
        <w:noBreakHyphen/>
        <w:t>1</w:t>
      </w:r>
      <w:r w:rsidRPr="00E519AB">
        <w:rPr>
          <w:b/>
        </w:rPr>
        <w:noBreakHyphen/>
        <w:t>1</w:t>
      </w:r>
      <w:bookmarkEnd w:id="19"/>
      <w:bookmarkEnd w:id="20"/>
      <w:bookmarkEnd w:id="21"/>
      <w:bookmarkEnd w:id="22"/>
    </w:p>
    <w:p w14:paraId="243ADF15" w14:textId="528127AA" w:rsidR="009D5C74" w:rsidRPr="001455DC" w:rsidRDefault="009D5C74" w:rsidP="000F2592">
      <w:pPr>
        <w:pStyle w:val="a7"/>
        <w:keepNext/>
        <w:rPr>
          <w:lang w:eastAsia="sv-SE"/>
        </w:rPr>
      </w:pPr>
      <w:r w:rsidRPr="001455DC">
        <w:rPr>
          <w:lang w:eastAsia="sv-SE"/>
        </w:rPr>
        <w:t>(1)</w:t>
      </w:r>
      <w:r w:rsidRPr="001455DC">
        <w:rPr>
          <w:lang w:eastAsia="sv-SE"/>
        </w:rPr>
        <w:tab/>
      </w:r>
      <w:r w:rsidR="00FA575F">
        <w:rPr>
          <w:lang w:eastAsia="sv-SE"/>
        </w:rPr>
        <w:t>pr</w:t>
      </w:r>
      <w:r w:rsidRPr="001455DC">
        <w:rPr>
          <w:lang w:eastAsia="sv-SE"/>
        </w:rPr>
        <w:t>EN 1992</w:t>
      </w:r>
      <w:r w:rsidRPr="001455DC">
        <w:rPr>
          <w:lang w:eastAsia="sv-SE"/>
        </w:rPr>
        <w:noBreakHyphen/>
        <w:t>1</w:t>
      </w:r>
      <w:r w:rsidRPr="001455DC">
        <w:rPr>
          <w:lang w:eastAsia="sv-SE"/>
        </w:rPr>
        <w:noBreakHyphen/>
        <w:t>1 describes the principles and requirements for safety, serviceability and durability of concrete structures. It is based on the limit state concept used in conjunction with a partial factor method.</w:t>
      </w:r>
    </w:p>
    <w:p w14:paraId="018CF06A" w14:textId="3FDB76BB" w:rsidR="009D5C74" w:rsidRPr="001455DC" w:rsidRDefault="009D5C74" w:rsidP="009D5C74">
      <w:pPr>
        <w:pStyle w:val="a7"/>
        <w:rPr>
          <w:lang w:eastAsia="sv-SE"/>
        </w:rPr>
      </w:pPr>
      <w:r w:rsidRPr="001455DC">
        <w:rPr>
          <w:lang w:eastAsia="sv-SE"/>
        </w:rPr>
        <w:t>(2)</w:t>
      </w:r>
      <w:r w:rsidRPr="001455DC">
        <w:rPr>
          <w:lang w:eastAsia="sv-SE"/>
        </w:rPr>
        <w:tab/>
      </w:r>
      <w:r w:rsidR="00FA575F">
        <w:rPr>
          <w:lang w:eastAsia="sv-SE"/>
        </w:rPr>
        <w:t>pr</w:t>
      </w:r>
      <w:r w:rsidRPr="001455DC">
        <w:rPr>
          <w:lang w:eastAsia="sv-SE"/>
        </w:rPr>
        <w:t>EN 1992</w:t>
      </w:r>
      <w:r w:rsidRPr="001455DC">
        <w:rPr>
          <w:lang w:eastAsia="sv-SE"/>
        </w:rPr>
        <w:noBreakHyphen/>
        <w:t>1</w:t>
      </w:r>
      <w:r w:rsidRPr="001455DC">
        <w:rPr>
          <w:lang w:eastAsia="sv-SE"/>
        </w:rPr>
        <w:noBreakHyphen/>
        <w:t>1 also serves as a reference document for other CEN TCs concerning structural matters.</w:t>
      </w:r>
    </w:p>
    <w:p w14:paraId="16EFC670" w14:textId="6166B2D5" w:rsidR="009D5C74" w:rsidRPr="001455DC" w:rsidRDefault="009D5C74" w:rsidP="009D5C74">
      <w:pPr>
        <w:pStyle w:val="a7"/>
        <w:rPr>
          <w:lang w:eastAsia="sv-SE"/>
        </w:rPr>
      </w:pPr>
      <w:r w:rsidRPr="001455DC">
        <w:rPr>
          <w:lang w:eastAsia="sv-SE"/>
        </w:rPr>
        <w:t>(3)</w:t>
      </w:r>
      <w:r w:rsidRPr="001455DC">
        <w:rPr>
          <w:lang w:eastAsia="sv-SE"/>
        </w:rPr>
        <w:tab/>
        <w:t xml:space="preserve">Numerical values for partial factors and other reliability parameters are recommended as basic values that provide an acceptable level of reliability. They have been selected assuming that an appropriate level of workmanship and of quality management applies. When </w:t>
      </w:r>
      <w:r w:rsidR="00FA575F">
        <w:rPr>
          <w:lang w:eastAsia="sv-SE"/>
        </w:rPr>
        <w:t>pr</w:t>
      </w:r>
      <w:r w:rsidRPr="001455DC">
        <w:rPr>
          <w:lang w:eastAsia="sv-SE"/>
        </w:rPr>
        <w:t>EN 1992</w:t>
      </w:r>
      <w:r w:rsidRPr="001455DC">
        <w:rPr>
          <w:lang w:eastAsia="sv-SE"/>
        </w:rPr>
        <w:noBreakHyphen/>
        <w:t>1</w:t>
      </w:r>
      <w:r w:rsidRPr="001455DC">
        <w:rPr>
          <w:lang w:eastAsia="sv-SE"/>
        </w:rPr>
        <w:noBreakHyphen/>
        <w:t>1 is used as a base document by other CEN/TCs the same values need to be taken.</w:t>
      </w:r>
    </w:p>
    <w:p w14:paraId="079C6573" w14:textId="2C7A9FC2" w:rsidR="009D5C74" w:rsidRPr="00E519AB" w:rsidRDefault="009D5C74" w:rsidP="00E519AB">
      <w:pPr>
        <w:pStyle w:val="p2"/>
        <w:rPr>
          <w:b/>
        </w:rPr>
      </w:pPr>
      <w:bookmarkStart w:id="23" w:name="_Toc39255448"/>
      <w:bookmarkStart w:id="24" w:name="_Toc52819864"/>
      <w:bookmarkStart w:id="25" w:name="_Toc54337261"/>
      <w:bookmarkStart w:id="26" w:name="_Toc54337922"/>
      <w:bookmarkStart w:id="27" w:name="_Toc67565271"/>
      <w:r w:rsidRPr="00E519AB">
        <w:rPr>
          <w:b/>
        </w:rPr>
        <w:t>0.4</w:t>
      </w:r>
      <w:r w:rsidRPr="00E519AB">
        <w:rPr>
          <w:b/>
        </w:rPr>
        <w:tab/>
        <w:t>Verbal forms used in the Eurocodes</w:t>
      </w:r>
      <w:bookmarkEnd w:id="23"/>
      <w:bookmarkEnd w:id="24"/>
      <w:bookmarkEnd w:id="25"/>
      <w:bookmarkEnd w:id="26"/>
      <w:bookmarkEnd w:id="27"/>
    </w:p>
    <w:p w14:paraId="15EC9295" w14:textId="77777777" w:rsidR="009D5C74" w:rsidRPr="001455DC" w:rsidRDefault="009D5C74" w:rsidP="009D5C74">
      <w:pPr>
        <w:pStyle w:val="a7"/>
        <w:rPr>
          <w:lang w:eastAsia="en-US"/>
        </w:rPr>
      </w:pPr>
      <w:r w:rsidRPr="001455DC">
        <w:rPr>
          <w:lang w:eastAsia="en-US"/>
        </w:rPr>
        <w:t>The verb “shall" expresses a requirement strictly to be followed and from which no deviation is permitted in order to comply with the Eurocodes.</w:t>
      </w:r>
    </w:p>
    <w:p w14:paraId="2FC016E3" w14:textId="77777777" w:rsidR="009D5C74" w:rsidRPr="001455DC" w:rsidRDefault="009D5C74" w:rsidP="009D5C74">
      <w:pPr>
        <w:pStyle w:val="a7"/>
        <w:rPr>
          <w:lang w:eastAsia="en-US"/>
        </w:rPr>
      </w:pPr>
      <w:r w:rsidRPr="001455DC">
        <w:rPr>
          <w:lang w:eastAsia="en-US"/>
        </w:rPr>
        <w:t>The verb “should” expresses a highly recommended choice or course of action. Subject to national regulation and/or any relevant contractual provisions, alternative approaches could be used/adopted where technically justified.</w:t>
      </w:r>
    </w:p>
    <w:p w14:paraId="773ADFDC" w14:textId="77777777" w:rsidR="009D5C74" w:rsidRPr="001455DC" w:rsidRDefault="009D5C74" w:rsidP="009D5C74">
      <w:pPr>
        <w:pStyle w:val="a7"/>
        <w:rPr>
          <w:lang w:eastAsia="en-US"/>
        </w:rPr>
      </w:pPr>
      <w:r w:rsidRPr="001455DC">
        <w:rPr>
          <w:lang w:eastAsia="en-US"/>
        </w:rPr>
        <w:t>The verb “may" expresses a course of action permissible within the limits of the Eurocodes.</w:t>
      </w:r>
    </w:p>
    <w:p w14:paraId="28AAF7DE" w14:textId="77777777" w:rsidR="009D5C74" w:rsidRPr="001455DC" w:rsidRDefault="009D5C74" w:rsidP="009D5C74">
      <w:pPr>
        <w:pStyle w:val="a7"/>
        <w:rPr>
          <w:bCs/>
          <w:lang w:eastAsia="en-US"/>
        </w:rPr>
      </w:pPr>
      <w:r w:rsidRPr="001455DC">
        <w:rPr>
          <w:lang w:eastAsia="en-US"/>
        </w:rPr>
        <w:t>The verb “can" expresses possibility and capability; it is used for statements of fact and clarification of concepts.</w:t>
      </w:r>
    </w:p>
    <w:p w14:paraId="41F3C1F6" w14:textId="2075871A" w:rsidR="009D5C74" w:rsidRPr="00E519AB" w:rsidRDefault="00E519AB" w:rsidP="00E519AB">
      <w:pPr>
        <w:pStyle w:val="p2"/>
        <w:rPr>
          <w:b/>
        </w:rPr>
      </w:pPr>
      <w:bookmarkStart w:id="28" w:name="_Toc42685447"/>
      <w:bookmarkStart w:id="29" w:name="_Toc45026622"/>
      <w:bookmarkStart w:id="30" w:name="_Toc52819865"/>
      <w:bookmarkStart w:id="31" w:name="_Toc54337262"/>
      <w:bookmarkStart w:id="32" w:name="_Toc54337923"/>
      <w:bookmarkStart w:id="33" w:name="_Toc67565272"/>
      <w:r w:rsidRPr="00E519AB">
        <w:rPr>
          <w:b/>
        </w:rPr>
        <w:t>0.5</w:t>
      </w:r>
      <w:r w:rsidRPr="00E519AB">
        <w:rPr>
          <w:b/>
        </w:rPr>
        <w:tab/>
      </w:r>
      <w:r w:rsidR="009D5C74" w:rsidRPr="00E519AB">
        <w:rPr>
          <w:b/>
        </w:rPr>
        <w:t xml:space="preserve">National Annex for </w:t>
      </w:r>
      <w:r w:rsidR="00FA575F" w:rsidRPr="00E519AB">
        <w:rPr>
          <w:b/>
        </w:rPr>
        <w:t>pr</w:t>
      </w:r>
      <w:r w:rsidR="009D5C74" w:rsidRPr="00E519AB">
        <w:rPr>
          <w:b/>
        </w:rPr>
        <w:t>EN 1992</w:t>
      </w:r>
      <w:r w:rsidR="009D5C74" w:rsidRPr="00E519AB">
        <w:rPr>
          <w:b/>
        </w:rPr>
        <w:noBreakHyphen/>
        <w:t>1</w:t>
      </w:r>
      <w:r w:rsidR="009D5C74" w:rsidRPr="00E519AB">
        <w:rPr>
          <w:b/>
        </w:rPr>
        <w:noBreakHyphen/>
        <w:t>1</w:t>
      </w:r>
      <w:bookmarkEnd w:id="28"/>
      <w:bookmarkEnd w:id="29"/>
      <w:bookmarkEnd w:id="30"/>
      <w:bookmarkEnd w:id="31"/>
      <w:bookmarkEnd w:id="32"/>
      <w:bookmarkEnd w:id="33"/>
    </w:p>
    <w:p w14:paraId="3F64CAB1" w14:textId="3A2C574C" w:rsidR="009D5C74" w:rsidRPr="001455DC" w:rsidRDefault="009D5C74" w:rsidP="009D5C74">
      <w:pPr>
        <w:pStyle w:val="a7"/>
        <w:rPr>
          <w:lang w:eastAsia="en-US"/>
        </w:rPr>
      </w:pPr>
      <w:r w:rsidRPr="001455DC">
        <w:rPr>
          <w:lang w:eastAsia="en-US"/>
        </w:rPr>
        <w:t xml:space="preserve">This Eurocode gives values with notes indicating where national choices may be made. Therefore, the national standard implementing </w:t>
      </w:r>
      <w:r w:rsidR="00FA575F">
        <w:rPr>
          <w:lang w:eastAsia="en-US"/>
        </w:rPr>
        <w:t>pr</w:t>
      </w:r>
      <w:r w:rsidRPr="001455DC">
        <w:rPr>
          <w:lang w:eastAsia="en-US"/>
        </w:rPr>
        <w:t>EN 1992</w:t>
      </w:r>
      <w:r w:rsidRPr="001455DC">
        <w:rPr>
          <w:lang w:eastAsia="en-US"/>
        </w:rPr>
        <w:noBreakHyphen/>
        <w:t>1</w:t>
      </w:r>
      <w:r w:rsidRPr="001455DC">
        <w:rPr>
          <w:lang w:eastAsia="en-US"/>
        </w:rPr>
        <w:noBreakHyphen/>
        <w:t>1 should have a National Annex containing all Nationally Determined Parameters to be used for the design of buildings and civil engineering works to be constructed in the relevant country.</w:t>
      </w:r>
    </w:p>
    <w:p w14:paraId="18C0B75A" w14:textId="77777777" w:rsidR="009D5C74" w:rsidRPr="001455DC" w:rsidRDefault="009D5C74" w:rsidP="009D5C74">
      <w:pPr>
        <w:pStyle w:val="a7"/>
        <w:rPr>
          <w:lang w:eastAsia="en-US"/>
        </w:rPr>
      </w:pPr>
      <w:r w:rsidRPr="001455DC">
        <w:rPr>
          <w:lang w:eastAsia="en-US"/>
        </w:rPr>
        <w:t>A National Annex can contain, directly or by reference, non-contradictory complementary information (NCCI). To assist the user in applying the Eurocode, provided it does not alter any provisions of the Eurocodes.</w:t>
      </w:r>
    </w:p>
    <w:p w14:paraId="3446C360" w14:textId="55FD39F3" w:rsidR="009D5C74" w:rsidRPr="001455DC" w:rsidRDefault="009D5C74" w:rsidP="00FA575F">
      <w:pPr>
        <w:pStyle w:val="a7"/>
      </w:pPr>
      <w:r w:rsidRPr="001455DC">
        <w:t xml:space="preserve">National choice is allowed in </w:t>
      </w:r>
      <w:r w:rsidR="00FA575F">
        <w:t>pr</w:t>
      </w:r>
      <w:r w:rsidRPr="001455DC">
        <w:t>EN 1992</w:t>
      </w:r>
      <w:r w:rsidRPr="001455DC">
        <w:noBreakHyphen/>
        <w:t>1</w:t>
      </w:r>
      <w:r w:rsidRPr="001455DC">
        <w:noBreakHyphen/>
        <w:t>1 through the following clauses:</w:t>
      </w:r>
    </w:p>
    <w:p w14:paraId="30618422" w14:textId="77777777" w:rsidR="004E22C1" w:rsidRPr="001455DC" w:rsidRDefault="004E22C1" w:rsidP="009D5C74">
      <w:pPr>
        <w:pStyle w:val="a7"/>
        <w:sectPr w:rsidR="004E22C1" w:rsidRPr="001455DC" w:rsidSect="00860240">
          <w:headerReference w:type="even" r:id="rId16"/>
          <w:headerReference w:type="default" r:id="rId17"/>
          <w:footerReference w:type="even" r:id="rId18"/>
          <w:footerReference w:type="default" r:id="rId19"/>
          <w:pgSz w:w="11906" w:h="16838" w:code="9"/>
          <w:pgMar w:top="1644" w:right="737" w:bottom="1418" w:left="851" w:header="709" w:footer="284" w:gutter="567"/>
          <w:cols w:space="708"/>
          <w:docGrid w:linePitch="360"/>
        </w:sectPr>
      </w:pPr>
    </w:p>
    <w:p w14:paraId="1BC05E6B" w14:textId="77777777" w:rsidR="004E22C1" w:rsidRPr="001455DC" w:rsidRDefault="004E22C1" w:rsidP="004E22C1">
      <w:pPr>
        <w:pStyle w:val="a7"/>
        <w:rPr>
          <w:szCs w:val="22"/>
        </w:rPr>
      </w:pPr>
      <w:r w:rsidRPr="001455DC">
        <w:rPr>
          <w:szCs w:val="22"/>
        </w:rPr>
        <w:t>4.2.1.5(3)</w:t>
      </w:r>
    </w:p>
    <w:p w14:paraId="3DF2EC03" w14:textId="77777777" w:rsidR="004E22C1" w:rsidRPr="001455DC" w:rsidRDefault="004E22C1" w:rsidP="004E22C1">
      <w:pPr>
        <w:pStyle w:val="a7"/>
        <w:rPr>
          <w:szCs w:val="22"/>
        </w:rPr>
      </w:pPr>
      <w:r w:rsidRPr="001455DC">
        <w:rPr>
          <w:szCs w:val="22"/>
        </w:rPr>
        <w:t>4.2.2(1)</w:t>
      </w:r>
    </w:p>
    <w:p w14:paraId="2B551153" w14:textId="77777777" w:rsidR="004E22C1" w:rsidRPr="001455DC" w:rsidRDefault="004E22C1" w:rsidP="004E22C1">
      <w:pPr>
        <w:pStyle w:val="a7"/>
        <w:rPr>
          <w:szCs w:val="22"/>
        </w:rPr>
      </w:pPr>
      <w:r w:rsidRPr="001455DC">
        <w:rPr>
          <w:szCs w:val="22"/>
        </w:rPr>
        <w:t>4.3.1.1(1)</w:t>
      </w:r>
    </w:p>
    <w:p w14:paraId="798655A5" w14:textId="77777777" w:rsidR="004E22C1" w:rsidRPr="001455DC" w:rsidRDefault="004E22C1" w:rsidP="004E22C1">
      <w:pPr>
        <w:pStyle w:val="a7"/>
        <w:rPr>
          <w:szCs w:val="22"/>
        </w:rPr>
      </w:pPr>
      <w:r w:rsidRPr="001455DC">
        <w:rPr>
          <w:szCs w:val="22"/>
        </w:rPr>
        <w:t>4.3.1.2(1)</w:t>
      </w:r>
    </w:p>
    <w:p w14:paraId="3190997F" w14:textId="77777777" w:rsidR="004E22C1" w:rsidRPr="001455DC" w:rsidRDefault="004E22C1" w:rsidP="004E22C1">
      <w:pPr>
        <w:pStyle w:val="a7"/>
        <w:rPr>
          <w:szCs w:val="22"/>
        </w:rPr>
      </w:pPr>
      <w:r w:rsidRPr="001455DC">
        <w:rPr>
          <w:szCs w:val="22"/>
        </w:rPr>
        <w:t>4.3.1.2(2)</w:t>
      </w:r>
    </w:p>
    <w:p w14:paraId="135D6F09" w14:textId="77777777" w:rsidR="004E22C1" w:rsidRPr="001455DC" w:rsidRDefault="004E22C1" w:rsidP="004E22C1">
      <w:pPr>
        <w:pStyle w:val="a7"/>
        <w:rPr>
          <w:szCs w:val="22"/>
        </w:rPr>
      </w:pPr>
      <w:r w:rsidRPr="001455DC">
        <w:rPr>
          <w:szCs w:val="22"/>
        </w:rPr>
        <w:t>4.3.1.3(1)</w:t>
      </w:r>
    </w:p>
    <w:p w14:paraId="02797434" w14:textId="77777777" w:rsidR="004E22C1" w:rsidRPr="001455DC" w:rsidRDefault="004E22C1" w:rsidP="004E22C1">
      <w:pPr>
        <w:pStyle w:val="a7"/>
        <w:rPr>
          <w:szCs w:val="22"/>
        </w:rPr>
      </w:pPr>
      <w:r w:rsidRPr="001455DC">
        <w:rPr>
          <w:szCs w:val="22"/>
        </w:rPr>
        <w:t>4.3.3(3)</w:t>
      </w:r>
    </w:p>
    <w:p w14:paraId="086BB0C2" w14:textId="77777777" w:rsidR="004E22C1" w:rsidRPr="001455DC" w:rsidRDefault="004E22C1" w:rsidP="004E22C1">
      <w:pPr>
        <w:pStyle w:val="a7"/>
        <w:rPr>
          <w:szCs w:val="22"/>
        </w:rPr>
      </w:pPr>
      <w:r w:rsidRPr="001455DC">
        <w:rPr>
          <w:szCs w:val="22"/>
        </w:rPr>
        <w:t>5.1.3(3)</w:t>
      </w:r>
    </w:p>
    <w:p w14:paraId="2668A8FE" w14:textId="77777777" w:rsidR="004E22C1" w:rsidRPr="001455DC" w:rsidRDefault="004E22C1" w:rsidP="004E22C1">
      <w:pPr>
        <w:pStyle w:val="a7"/>
        <w:rPr>
          <w:szCs w:val="22"/>
        </w:rPr>
      </w:pPr>
      <w:r w:rsidRPr="001455DC">
        <w:rPr>
          <w:szCs w:val="22"/>
        </w:rPr>
        <w:t>5.1.4(2)</w:t>
      </w:r>
    </w:p>
    <w:p w14:paraId="1827F0AF" w14:textId="77777777" w:rsidR="004E22C1" w:rsidRPr="001455DC" w:rsidRDefault="004E22C1" w:rsidP="004E22C1">
      <w:pPr>
        <w:pStyle w:val="a7"/>
        <w:rPr>
          <w:szCs w:val="22"/>
        </w:rPr>
      </w:pPr>
      <w:r w:rsidRPr="001455DC">
        <w:rPr>
          <w:szCs w:val="22"/>
        </w:rPr>
        <w:t>5.1.5(4)</w:t>
      </w:r>
    </w:p>
    <w:p w14:paraId="4F491AB0" w14:textId="77777777" w:rsidR="004E22C1" w:rsidRPr="001455DC" w:rsidRDefault="004E22C1" w:rsidP="004E22C1">
      <w:pPr>
        <w:pStyle w:val="a7"/>
        <w:rPr>
          <w:szCs w:val="22"/>
        </w:rPr>
      </w:pPr>
      <w:r w:rsidRPr="001455DC">
        <w:rPr>
          <w:szCs w:val="22"/>
        </w:rPr>
        <w:t>5.1.6(1)</w:t>
      </w:r>
    </w:p>
    <w:p w14:paraId="4291C178" w14:textId="77777777" w:rsidR="004E22C1" w:rsidRPr="001455DC" w:rsidRDefault="004E22C1" w:rsidP="004E22C1">
      <w:pPr>
        <w:pStyle w:val="a7"/>
        <w:rPr>
          <w:szCs w:val="22"/>
        </w:rPr>
      </w:pPr>
      <w:r w:rsidRPr="001455DC">
        <w:rPr>
          <w:szCs w:val="22"/>
        </w:rPr>
        <w:t>5.1.6(2)</w:t>
      </w:r>
    </w:p>
    <w:p w14:paraId="6CB7ED8F" w14:textId="289740FC" w:rsidR="004E22C1" w:rsidRPr="001455DC" w:rsidRDefault="004E22C1" w:rsidP="004E22C1">
      <w:pPr>
        <w:pStyle w:val="a7"/>
        <w:rPr>
          <w:szCs w:val="22"/>
        </w:rPr>
      </w:pPr>
      <w:r w:rsidRPr="001455DC">
        <w:rPr>
          <w:szCs w:val="22"/>
        </w:rPr>
        <w:t>5.2.1(</w:t>
      </w:r>
      <w:r w:rsidR="001B40CD" w:rsidRPr="001455DC">
        <w:rPr>
          <w:szCs w:val="22"/>
        </w:rPr>
        <w:t>4</w:t>
      </w:r>
      <w:r w:rsidRPr="001455DC">
        <w:rPr>
          <w:szCs w:val="22"/>
        </w:rPr>
        <w:t>)</w:t>
      </w:r>
    </w:p>
    <w:p w14:paraId="67218666" w14:textId="77777777" w:rsidR="004E22C1" w:rsidRPr="001455DC" w:rsidRDefault="004E22C1" w:rsidP="004E22C1">
      <w:pPr>
        <w:pStyle w:val="a7"/>
        <w:rPr>
          <w:szCs w:val="22"/>
        </w:rPr>
      </w:pPr>
      <w:r w:rsidRPr="001455DC">
        <w:rPr>
          <w:szCs w:val="22"/>
        </w:rPr>
        <w:t>5.2.2(4)</w:t>
      </w:r>
    </w:p>
    <w:p w14:paraId="0C2DF636" w14:textId="77777777" w:rsidR="004E22C1" w:rsidRPr="001455DC" w:rsidRDefault="004E22C1" w:rsidP="004E22C1">
      <w:pPr>
        <w:pStyle w:val="a7"/>
        <w:rPr>
          <w:szCs w:val="22"/>
        </w:rPr>
      </w:pPr>
      <w:r w:rsidRPr="001455DC">
        <w:rPr>
          <w:szCs w:val="22"/>
        </w:rPr>
        <w:t>5.3.1(3)</w:t>
      </w:r>
    </w:p>
    <w:p w14:paraId="5A4B3275" w14:textId="78EA0DFE" w:rsidR="004E22C1" w:rsidRPr="001455DC" w:rsidRDefault="004E22C1" w:rsidP="004E22C1">
      <w:pPr>
        <w:pStyle w:val="a7"/>
        <w:rPr>
          <w:rFonts w:eastAsia="Calibri" w:cs="Times New Roman"/>
          <w:szCs w:val="22"/>
        </w:rPr>
      </w:pPr>
      <w:r w:rsidRPr="001455DC">
        <w:rPr>
          <w:szCs w:val="22"/>
        </w:rPr>
        <w:t>5.3.2(2)</w:t>
      </w:r>
    </w:p>
    <w:p w14:paraId="11DB9F3A" w14:textId="77777777" w:rsidR="004E22C1" w:rsidRPr="001455DC" w:rsidRDefault="004E22C1" w:rsidP="004E22C1">
      <w:pPr>
        <w:pStyle w:val="a7"/>
        <w:rPr>
          <w:szCs w:val="22"/>
        </w:rPr>
      </w:pPr>
      <w:r w:rsidRPr="001455DC">
        <w:rPr>
          <w:szCs w:val="22"/>
        </w:rPr>
        <w:t>6.3(3)</w:t>
      </w:r>
    </w:p>
    <w:p w14:paraId="31783D0D" w14:textId="77777777" w:rsidR="004E22C1" w:rsidRPr="001455DC" w:rsidRDefault="004E22C1" w:rsidP="004E22C1">
      <w:pPr>
        <w:pStyle w:val="a7"/>
        <w:rPr>
          <w:szCs w:val="22"/>
        </w:rPr>
      </w:pPr>
      <w:r w:rsidRPr="001455DC">
        <w:rPr>
          <w:szCs w:val="22"/>
        </w:rPr>
        <w:t>6.4(1)</w:t>
      </w:r>
    </w:p>
    <w:p w14:paraId="6CCAF26A" w14:textId="77777777" w:rsidR="004E22C1" w:rsidRPr="001455DC" w:rsidRDefault="004E22C1" w:rsidP="004E22C1">
      <w:pPr>
        <w:pStyle w:val="a7"/>
        <w:rPr>
          <w:szCs w:val="22"/>
        </w:rPr>
      </w:pPr>
      <w:r w:rsidRPr="001455DC">
        <w:rPr>
          <w:szCs w:val="22"/>
        </w:rPr>
        <w:t>6.5.2.1(2)</w:t>
      </w:r>
    </w:p>
    <w:p w14:paraId="40C2AC6B" w14:textId="77777777" w:rsidR="004E22C1" w:rsidRPr="001455DC" w:rsidRDefault="004E22C1" w:rsidP="004E22C1">
      <w:pPr>
        <w:pStyle w:val="a7"/>
        <w:rPr>
          <w:szCs w:val="22"/>
        </w:rPr>
      </w:pPr>
      <w:r w:rsidRPr="001455DC">
        <w:rPr>
          <w:szCs w:val="22"/>
        </w:rPr>
        <w:t>6.5.2.2(1)</w:t>
      </w:r>
    </w:p>
    <w:p w14:paraId="075D4B88" w14:textId="77777777" w:rsidR="004E22C1" w:rsidRPr="001455DC" w:rsidRDefault="004E22C1" w:rsidP="004E22C1">
      <w:pPr>
        <w:pStyle w:val="a7"/>
        <w:rPr>
          <w:szCs w:val="22"/>
        </w:rPr>
      </w:pPr>
      <w:r w:rsidRPr="001455DC">
        <w:rPr>
          <w:szCs w:val="22"/>
        </w:rPr>
        <w:t>6.5.2.2(2)</w:t>
      </w:r>
    </w:p>
    <w:p w14:paraId="21275EE6" w14:textId="77777777" w:rsidR="004E22C1" w:rsidRPr="001455DC" w:rsidRDefault="004E22C1" w:rsidP="004E22C1">
      <w:pPr>
        <w:pStyle w:val="a7"/>
        <w:rPr>
          <w:szCs w:val="22"/>
        </w:rPr>
      </w:pPr>
      <w:r w:rsidRPr="001455DC">
        <w:rPr>
          <w:szCs w:val="22"/>
        </w:rPr>
        <w:t>6.5.2.2(3)</w:t>
      </w:r>
    </w:p>
    <w:p w14:paraId="7E7063C2" w14:textId="77777777" w:rsidR="004E22C1" w:rsidRPr="001455DC" w:rsidRDefault="004E22C1" w:rsidP="004E22C1">
      <w:pPr>
        <w:pStyle w:val="a7"/>
        <w:rPr>
          <w:szCs w:val="22"/>
        </w:rPr>
      </w:pPr>
      <w:r w:rsidRPr="001455DC">
        <w:rPr>
          <w:szCs w:val="22"/>
        </w:rPr>
        <w:t>6.5.2.2(7)</w:t>
      </w:r>
    </w:p>
    <w:p w14:paraId="38B0113F" w14:textId="77777777" w:rsidR="004E22C1" w:rsidRPr="001455DC" w:rsidRDefault="004E22C1" w:rsidP="004E22C1">
      <w:pPr>
        <w:pStyle w:val="a7"/>
        <w:rPr>
          <w:szCs w:val="22"/>
        </w:rPr>
      </w:pPr>
      <w:r w:rsidRPr="001455DC">
        <w:rPr>
          <w:szCs w:val="22"/>
        </w:rPr>
        <w:t>6.5.2.2(8)</w:t>
      </w:r>
    </w:p>
    <w:p w14:paraId="55927CD2" w14:textId="77777777" w:rsidR="004E22C1" w:rsidRPr="001455DC" w:rsidRDefault="004E22C1" w:rsidP="004E22C1">
      <w:pPr>
        <w:pStyle w:val="a7"/>
        <w:rPr>
          <w:szCs w:val="22"/>
        </w:rPr>
      </w:pPr>
      <w:r w:rsidRPr="001455DC">
        <w:rPr>
          <w:szCs w:val="22"/>
        </w:rPr>
        <w:t>6.5.2.2(9)</w:t>
      </w:r>
    </w:p>
    <w:p w14:paraId="6FCB6372" w14:textId="77777777" w:rsidR="004E22C1" w:rsidRPr="001455DC" w:rsidRDefault="004E22C1" w:rsidP="004E22C1">
      <w:pPr>
        <w:pStyle w:val="a7"/>
        <w:rPr>
          <w:szCs w:val="22"/>
        </w:rPr>
      </w:pPr>
      <w:r w:rsidRPr="001455DC">
        <w:rPr>
          <w:szCs w:val="22"/>
        </w:rPr>
        <w:t>6.5.2.2(10)</w:t>
      </w:r>
    </w:p>
    <w:p w14:paraId="68B3007A" w14:textId="309D8B4F" w:rsidR="004E22C1" w:rsidRPr="001455DC" w:rsidRDefault="004E22C1" w:rsidP="004E22C1">
      <w:pPr>
        <w:pStyle w:val="a7"/>
        <w:rPr>
          <w:szCs w:val="22"/>
        </w:rPr>
      </w:pPr>
      <w:r w:rsidRPr="001455DC">
        <w:rPr>
          <w:szCs w:val="22"/>
        </w:rPr>
        <w:t>6.5.3(1)</w:t>
      </w:r>
    </w:p>
    <w:p w14:paraId="26F624FA" w14:textId="3289E919" w:rsidR="001B40CD" w:rsidRPr="001455DC" w:rsidRDefault="001B40CD" w:rsidP="004E22C1">
      <w:pPr>
        <w:pStyle w:val="a7"/>
        <w:rPr>
          <w:szCs w:val="22"/>
        </w:rPr>
      </w:pPr>
      <w:r w:rsidRPr="001455DC">
        <w:rPr>
          <w:szCs w:val="22"/>
        </w:rPr>
        <w:t>7.3.2(4)</w:t>
      </w:r>
    </w:p>
    <w:p w14:paraId="36263019" w14:textId="77777777" w:rsidR="004E22C1" w:rsidRPr="001455DC" w:rsidRDefault="004E22C1" w:rsidP="004E22C1">
      <w:pPr>
        <w:pStyle w:val="a7"/>
        <w:rPr>
          <w:szCs w:val="22"/>
        </w:rPr>
      </w:pPr>
      <w:r w:rsidRPr="001455DC">
        <w:rPr>
          <w:szCs w:val="22"/>
        </w:rPr>
        <w:t>7.8.3(3)</w:t>
      </w:r>
    </w:p>
    <w:p w14:paraId="720FF882" w14:textId="570FF3C1" w:rsidR="004E22C1" w:rsidRPr="001455DC" w:rsidRDefault="004E22C1" w:rsidP="004E22C1">
      <w:pPr>
        <w:pStyle w:val="a7"/>
        <w:rPr>
          <w:szCs w:val="22"/>
        </w:rPr>
      </w:pPr>
      <w:r w:rsidRPr="001455DC">
        <w:rPr>
          <w:szCs w:val="22"/>
        </w:rPr>
        <w:t>8.2.1(3)</w:t>
      </w:r>
    </w:p>
    <w:p w14:paraId="1A0728D4" w14:textId="4386BA8F" w:rsidR="001B40CD" w:rsidRPr="001455DC" w:rsidRDefault="001B40CD" w:rsidP="004E22C1">
      <w:pPr>
        <w:pStyle w:val="a7"/>
        <w:rPr>
          <w:szCs w:val="22"/>
        </w:rPr>
      </w:pPr>
      <w:r w:rsidRPr="001455DC">
        <w:rPr>
          <w:szCs w:val="22"/>
        </w:rPr>
        <w:t>8.2.1(4)</w:t>
      </w:r>
    </w:p>
    <w:p w14:paraId="22AFE3C1" w14:textId="2BE589A9" w:rsidR="001B40CD" w:rsidRPr="001455DC" w:rsidRDefault="001B40CD" w:rsidP="004E22C1">
      <w:pPr>
        <w:pStyle w:val="a7"/>
        <w:rPr>
          <w:szCs w:val="22"/>
        </w:rPr>
      </w:pPr>
      <w:r w:rsidRPr="001455DC">
        <w:rPr>
          <w:szCs w:val="22"/>
        </w:rPr>
        <w:t>8.2.2(5)</w:t>
      </w:r>
    </w:p>
    <w:p w14:paraId="69BD93BA" w14:textId="7354789C" w:rsidR="004E22C1" w:rsidRPr="001455DC" w:rsidRDefault="004E22C1" w:rsidP="004E22C1">
      <w:pPr>
        <w:pStyle w:val="a7"/>
        <w:rPr>
          <w:szCs w:val="22"/>
        </w:rPr>
      </w:pPr>
      <w:r w:rsidRPr="001455DC">
        <w:rPr>
          <w:szCs w:val="22"/>
        </w:rPr>
        <w:t>8.4.2(1)</w:t>
      </w:r>
    </w:p>
    <w:p w14:paraId="0AA3F92D" w14:textId="0786A576" w:rsidR="008C5B10" w:rsidRPr="001455DC" w:rsidRDefault="008C5B10" w:rsidP="004E22C1">
      <w:pPr>
        <w:pStyle w:val="a7"/>
        <w:rPr>
          <w:rFonts w:eastAsia="Calibri" w:cs="Times New Roman"/>
          <w:szCs w:val="22"/>
        </w:rPr>
      </w:pPr>
      <w:r w:rsidRPr="001455DC">
        <w:rPr>
          <w:szCs w:val="22"/>
        </w:rPr>
        <w:t>8.4.4(3)</w:t>
      </w:r>
    </w:p>
    <w:p w14:paraId="28D93431" w14:textId="77777777" w:rsidR="004E22C1" w:rsidRPr="001455DC" w:rsidRDefault="004E22C1" w:rsidP="004E22C1">
      <w:pPr>
        <w:pStyle w:val="a7"/>
        <w:rPr>
          <w:szCs w:val="22"/>
        </w:rPr>
      </w:pPr>
      <w:r w:rsidRPr="001455DC">
        <w:rPr>
          <w:szCs w:val="22"/>
        </w:rPr>
        <w:t>9.2.1(5)</w:t>
      </w:r>
    </w:p>
    <w:p w14:paraId="2FB40BAD" w14:textId="77777777" w:rsidR="004E22C1" w:rsidRPr="001455DC" w:rsidRDefault="004E22C1" w:rsidP="004E22C1">
      <w:pPr>
        <w:pStyle w:val="a7"/>
        <w:rPr>
          <w:szCs w:val="22"/>
        </w:rPr>
      </w:pPr>
      <w:r w:rsidRPr="001455DC">
        <w:rPr>
          <w:szCs w:val="22"/>
        </w:rPr>
        <w:t>9.2.4(2)</w:t>
      </w:r>
    </w:p>
    <w:p w14:paraId="2930B774" w14:textId="77777777" w:rsidR="004E22C1" w:rsidRPr="001455DC" w:rsidRDefault="004E22C1" w:rsidP="004E22C1">
      <w:pPr>
        <w:pStyle w:val="a7"/>
        <w:rPr>
          <w:szCs w:val="22"/>
        </w:rPr>
      </w:pPr>
      <w:r w:rsidRPr="001455DC">
        <w:rPr>
          <w:szCs w:val="22"/>
        </w:rPr>
        <w:t>11.4.2(2)</w:t>
      </w:r>
    </w:p>
    <w:p w14:paraId="4CFA9B2E" w14:textId="77777777" w:rsidR="004E22C1" w:rsidRPr="001455DC" w:rsidRDefault="004E22C1" w:rsidP="004E22C1">
      <w:pPr>
        <w:pStyle w:val="a7"/>
        <w:rPr>
          <w:szCs w:val="22"/>
        </w:rPr>
      </w:pPr>
      <w:r w:rsidRPr="001455DC">
        <w:rPr>
          <w:szCs w:val="22"/>
        </w:rPr>
        <w:t>11.4.2(3)</w:t>
      </w:r>
    </w:p>
    <w:p w14:paraId="45201CD6" w14:textId="77777777" w:rsidR="004E22C1" w:rsidRPr="001455DC" w:rsidRDefault="004E22C1" w:rsidP="004E22C1">
      <w:pPr>
        <w:pStyle w:val="a7"/>
        <w:rPr>
          <w:szCs w:val="22"/>
        </w:rPr>
      </w:pPr>
      <w:r w:rsidRPr="001455DC">
        <w:rPr>
          <w:szCs w:val="22"/>
        </w:rPr>
        <w:t>12.3.1(1)</w:t>
      </w:r>
    </w:p>
    <w:p w14:paraId="7BFF1182" w14:textId="77777777" w:rsidR="004E22C1" w:rsidRPr="001455DC" w:rsidRDefault="004E22C1" w:rsidP="004E22C1">
      <w:pPr>
        <w:pStyle w:val="a7"/>
        <w:rPr>
          <w:szCs w:val="22"/>
        </w:rPr>
      </w:pPr>
      <w:r w:rsidRPr="001455DC">
        <w:rPr>
          <w:szCs w:val="22"/>
        </w:rPr>
        <w:t>12.4.1(1)</w:t>
      </w:r>
    </w:p>
    <w:p w14:paraId="034FAB48" w14:textId="77777777" w:rsidR="004E22C1" w:rsidRPr="001455DC" w:rsidRDefault="004E22C1" w:rsidP="004E22C1">
      <w:pPr>
        <w:pStyle w:val="a7"/>
        <w:rPr>
          <w:szCs w:val="22"/>
        </w:rPr>
      </w:pPr>
      <w:r w:rsidRPr="001455DC">
        <w:rPr>
          <w:szCs w:val="22"/>
        </w:rPr>
        <w:t>12.6.1(1)</w:t>
      </w:r>
    </w:p>
    <w:p w14:paraId="226A90CC" w14:textId="77777777" w:rsidR="004E22C1" w:rsidRPr="001455DC" w:rsidRDefault="004E22C1" w:rsidP="004E22C1">
      <w:pPr>
        <w:pStyle w:val="a7"/>
        <w:rPr>
          <w:szCs w:val="22"/>
        </w:rPr>
      </w:pPr>
      <w:r w:rsidRPr="001455DC">
        <w:rPr>
          <w:szCs w:val="22"/>
        </w:rPr>
        <w:t>12.7.1(2)</w:t>
      </w:r>
    </w:p>
    <w:p w14:paraId="6D4198F5" w14:textId="77777777" w:rsidR="004E22C1" w:rsidRPr="001455DC" w:rsidRDefault="004E22C1" w:rsidP="004E22C1">
      <w:pPr>
        <w:pStyle w:val="a7"/>
        <w:rPr>
          <w:szCs w:val="22"/>
        </w:rPr>
      </w:pPr>
      <w:r w:rsidRPr="001455DC">
        <w:rPr>
          <w:szCs w:val="22"/>
        </w:rPr>
        <w:t>12.9.3(1)</w:t>
      </w:r>
    </w:p>
    <w:p w14:paraId="0895DE5A" w14:textId="77777777" w:rsidR="004E22C1" w:rsidRPr="001455DC" w:rsidRDefault="004E22C1" w:rsidP="004E22C1">
      <w:pPr>
        <w:pStyle w:val="a7"/>
        <w:rPr>
          <w:szCs w:val="22"/>
        </w:rPr>
      </w:pPr>
      <w:r w:rsidRPr="001455DC">
        <w:rPr>
          <w:szCs w:val="22"/>
        </w:rPr>
        <w:t>14.2(1)</w:t>
      </w:r>
    </w:p>
    <w:p w14:paraId="787FD32C" w14:textId="77777777" w:rsidR="004E22C1" w:rsidRPr="001455DC" w:rsidRDefault="004E22C1" w:rsidP="004E22C1">
      <w:pPr>
        <w:pStyle w:val="a7"/>
        <w:rPr>
          <w:szCs w:val="22"/>
        </w:rPr>
      </w:pPr>
      <w:r w:rsidRPr="001455DC">
        <w:rPr>
          <w:szCs w:val="22"/>
        </w:rPr>
        <w:t>14.4.5.2(1)</w:t>
      </w:r>
    </w:p>
    <w:p w14:paraId="5AD52CD4" w14:textId="4DA4D1C6" w:rsidR="004E22C1" w:rsidRPr="001455DC" w:rsidRDefault="004E22C1" w:rsidP="004E22C1">
      <w:pPr>
        <w:pStyle w:val="a7"/>
        <w:rPr>
          <w:szCs w:val="22"/>
        </w:rPr>
      </w:pPr>
      <w:r w:rsidRPr="001455DC">
        <w:rPr>
          <w:szCs w:val="22"/>
        </w:rPr>
        <w:t>A(</w:t>
      </w:r>
      <w:r w:rsidR="008C5B10" w:rsidRPr="001455DC">
        <w:rPr>
          <w:szCs w:val="22"/>
        </w:rPr>
        <w:t>1</w:t>
      </w:r>
      <w:r w:rsidRPr="001455DC">
        <w:rPr>
          <w:szCs w:val="22"/>
        </w:rPr>
        <w:t>)</w:t>
      </w:r>
    </w:p>
    <w:p w14:paraId="3F25A5F2" w14:textId="471064AF" w:rsidR="004E22C1" w:rsidRPr="001455DC" w:rsidRDefault="004E22C1" w:rsidP="004E22C1">
      <w:pPr>
        <w:pStyle w:val="a7"/>
        <w:rPr>
          <w:szCs w:val="22"/>
        </w:rPr>
      </w:pPr>
      <w:r w:rsidRPr="001455DC">
        <w:rPr>
          <w:szCs w:val="22"/>
        </w:rPr>
        <w:t>A(</w:t>
      </w:r>
      <w:r w:rsidR="008C5B10" w:rsidRPr="001455DC">
        <w:rPr>
          <w:szCs w:val="22"/>
        </w:rPr>
        <w:t>3</w:t>
      </w:r>
      <w:r w:rsidRPr="001455DC">
        <w:rPr>
          <w:szCs w:val="22"/>
        </w:rPr>
        <w:t>)</w:t>
      </w:r>
    </w:p>
    <w:p w14:paraId="225C0218" w14:textId="5AF3598D" w:rsidR="004E22C1" w:rsidRPr="001455DC" w:rsidRDefault="004E22C1" w:rsidP="004E22C1">
      <w:pPr>
        <w:pStyle w:val="a7"/>
        <w:rPr>
          <w:szCs w:val="22"/>
        </w:rPr>
      </w:pPr>
      <w:r w:rsidRPr="001455DC">
        <w:rPr>
          <w:szCs w:val="22"/>
        </w:rPr>
        <w:t>A(</w:t>
      </w:r>
      <w:r w:rsidR="008C5B10" w:rsidRPr="001455DC">
        <w:rPr>
          <w:szCs w:val="22"/>
        </w:rPr>
        <w:t>6</w:t>
      </w:r>
      <w:r w:rsidRPr="001455DC">
        <w:rPr>
          <w:szCs w:val="22"/>
        </w:rPr>
        <w:t>)</w:t>
      </w:r>
    </w:p>
    <w:p w14:paraId="4183B7E3" w14:textId="3ADE6A65" w:rsidR="004E22C1" w:rsidRPr="001455DC" w:rsidRDefault="004E22C1" w:rsidP="004E22C1">
      <w:pPr>
        <w:pStyle w:val="a7"/>
        <w:rPr>
          <w:rFonts w:eastAsia="Calibri" w:cs="Times New Roman"/>
          <w:szCs w:val="22"/>
        </w:rPr>
      </w:pPr>
      <w:r w:rsidRPr="001455DC">
        <w:rPr>
          <w:szCs w:val="22"/>
        </w:rPr>
        <w:t>B.</w:t>
      </w:r>
      <w:r w:rsidR="0066200C" w:rsidRPr="001455DC">
        <w:rPr>
          <w:szCs w:val="22"/>
        </w:rPr>
        <w:t>6</w:t>
      </w:r>
      <w:r w:rsidRPr="001455DC">
        <w:rPr>
          <w:szCs w:val="22"/>
        </w:rPr>
        <w:t>(1)</w:t>
      </w:r>
    </w:p>
    <w:p w14:paraId="75325B19" w14:textId="7B7D7B53" w:rsidR="004E22C1" w:rsidRPr="001455DC" w:rsidRDefault="004E22C1" w:rsidP="004E22C1">
      <w:pPr>
        <w:pStyle w:val="a7"/>
        <w:rPr>
          <w:szCs w:val="22"/>
        </w:rPr>
      </w:pPr>
      <w:r w:rsidRPr="001455DC">
        <w:rPr>
          <w:szCs w:val="22"/>
        </w:rPr>
        <w:t>C.</w:t>
      </w:r>
      <w:r w:rsidR="00DC0EB4" w:rsidRPr="001455DC">
        <w:rPr>
          <w:szCs w:val="22"/>
        </w:rPr>
        <w:t>4</w:t>
      </w:r>
      <w:r w:rsidRPr="001455DC">
        <w:rPr>
          <w:szCs w:val="22"/>
        </w:rPr>
        <w:t>(1)</w:t>
      </w:r>
    </w:p>
    <w:p w14:paraId="27DDD3E8" w14:textId="17F11B29" w:rsidR="004E22C1" w:rsidRPr="001455DC" w:rsidRDefault="004E22C1" w:rsidP="004E22C1">
      <w:pPr>
        <w:pStyle w:val="a7"/>
        <w:rPr>
          <w:szCs w:val="22"/>
        </w:rPr>
      </w:pPr>
      <w:r w:rsidRPr="001455DC">
        <w:rPr>
          <w:szCs w:val="22"/>
        </w:rPr>
        <w:t>C.</w:t>
      </w:r>
      <w:r w:rsidR="00DD481D" w:rsidRPr="001455DC">
        <w:rPr>
          <w:szCs w:val="22"/>
        </w:rPr>
        <w:t>6</w:t>
      </w:r>
      <w:r w:rsidRPr="001455DC">
        <w:rPr>
          <w:szCs w:val="22"/>
        </w:rPr>
        <w:t>(3)</w:t>
      </w:r>
    </w:p>
    <w:p w14:paraId="04172EA5" w14:textId="17ABBF0D" w:rsidR="004E22C1" w:rsidRPr="001455DC" w:rsidRDefault="004E22C1" w:rsidP="004E22C1">
      <w:pPr>
        <w:pStyle w:val="a7"/>
        <w:rPr>
          <w:szCs w:val="22"/>
        </w:rPr>
      </w:pPr>
      <w:r w:rsidRPr="001455DC">
        <w:rPr>
          <w:szCs w:val="22"/>
        </w:rPr>
        <w:t>C.</w:t>
      </w:r>
      <w:r w:rsidR="00DD481D" w:rsidRPr="001455DC">
        <w:rPr>
          <w:szCs w:val="22"/>
        </w:rPr>
        <w:t>7</w:t>
      </w:r>
      <w:r w:rsidRPr="001455DC">
        <w:rPr>
          <w:szCs w:val="22"/>
        </w:rPr>
        <w:t>(2)</w:t>
      </w:r>
    </w:p>
    <w:p w14:paraId="08652EBC" w14:textId="32CD1051" w:rsidR="004E22C1" w:rsidRPr="001455DC" w:rsidRDefault="004E22C1" w:rsidP="004E22C1">
      <w:pPr>
        <w:pStyle w:val="a7"/>
        <w:rPr>
          <w:szCs w:val="22"/>
        </w:rPr>
      </w:pPr>
      <w:r w:rsidRPr="001455DC">
        <w:rPr>
          <w:szCs w:val="22"/>
        </w:rPr>
        <w:t>C.</w:t>
      </w:r>
      <w:r w:rsidR="00DD481D" w:rsidRPr="001455DC">
        <w:rPr>
          <w:szCs w:val="22"/>
        </w:rPr>
        <w:t>8</w:t>
      </w:r>
      <w:r w:rsidRPr="001455DC">
        <w:rPr>
          <w:szCs w:val="22"/>
        </w:rPr>
        <w:t>(2)</w:t>
      </w:r>
    </w:p>
    <w:p w14:paraId="2CBE9E04" w14:textId="7FF7CEE9" w:rsidR="004E22C1" w:rsidRPr="001455DC" w:rsidRDefault="004E22C1" w:rsidP="004E22C1">
      <w:pPr>
        <w:pStyle w:val="a7"/>
        <w:rPr>
          <w:szCs w:val="22"/>
        </w:rPr>
      </w:pPr>
      <w:r w:rsidRPr="001455DC">
        <w:rPr>
          <w:szCs w:val="22"/>
        </w:rPr>
        <w:t>E.</w:t>
      </w:r>
      <w:r w:rsidR="00E51CFA" w:rsidRPr="001455DC">
        <w:rPr>
          <w:szCs w:val="22"/>
        </w:rPr>
        <w:t>4</w:t>
      </w:r>
      <w:r w:rsidRPr="001455DC">
        <w:rPr>
          <w:szCs w:val="22"/>
        </w:rPr>
        <w:t>.2(1)</w:t>
      </w:r>
    </w:p>
    <w:p w14:paraId="27C0D061" w14:textId="60C9B887" w:rsidR="004E22C1" w:rsidRPr="001455DC" w:rsidRDefault="004E22C1" w:rsidP="004E22C1">
      <w:pPr>
        <w:pStyle w:val="a7"/>
        <w:rPr>
          <w:szCs w:val="22"/>
        </w:rPr>
      </w:pPr>
      <w:r w:rsidRPr="001455DC">
        <w:rPr>
          <w:szCs w:val="22"/>
        </w:rPr>
        <w:t>F.</w:t>
      </w:r>
      <w:r w:rsidR="00B603A5" w:rsidRPr="001455DC">
        <w:rPr>
          <w:szCs w:val="22"/>
        </w:rPr>
        <w:t>5</w:t>
      </w:r>
      <w:r w:rsidRPr="001455DC">
        <w:rPr>
          <w:szCs w:val="22"/>
        </w:rPr>
        <w:t>.2(1)</w:t>
      </w:r>
    </w:p>
    <w:p w14:paraId="3FE54EC6" w14:textId="35B904DC" w:rsidR="004E22C1" w:rsidRPr="00FA575F" w:rsidRDefault="004E22C1" w:rsidP="004E22C1">
      <w:pPr>
        <w:pStyle w:val="a7"/>
        <w:rPr>
          <w:szCs w:val="22"/>
        </w:rPr>
      </w:pPr>
      <w:r w:rsidRPr="00FA575F">
        <w:rPr>
          <w:szCs w:val="22"/>
        </w:rPr>
        <w:t>F.</w:t>
      </w:r>
      <w:r w:rsidR="00B603A5" w:rsidRPr="00FA575F">
        <w:rPr>
          <w:szCs w:val="22"/>
        </w:rPr>
        <w:t>7</w:t>
      </w:r>
      <w:r w:rsidRPr="00FA575F">
        <w:rPr>
          <w:szCs w:val="22"/>
        </w:rPr>
        <w:t>(2)</w:t>
      </w:r>
    </w:p>
    <w:p w14:paraId="5B0BC9EF" w14:textId="15FC4264" w:rsidR="004E22C1" w:rsidRPr="00FA575F" w:rsidRDefault="004E22C1" w:rsidP="004E22C1">
      <w:pPr>
        <w:pStyle w:val="a7"/>
        <w:rPr>
          <w:szCs w:val="22"/>
        </w:rPr>
      </w:pPr>
      <w:r w:rsidRPr="00FA575F">
        <w:rPr>
          <w:szCs w:val="22"/>
        </w:rPr>
        <w:t>F.</w:t>
      </w:r>
      <w:r w:rsidR="00B603A5" w:rsidRPr="00FA575F">
        <w:rPr>
          <w:szCs w:val="22"/>
        </w:rPr>
        <w:t>7</w:t>
      </w:r>
      <w:r w:rsidRPr="00FA575F">
        <w:rPr>
          <w:szCs w:val="22"/>
        </w:rPr>
        <w:t>(8)</w:t>
      </w:r>
    </w:p>
    <w:p w14:paraId="6E4EC504" w14:textId="098BC156" w:rsidR="004E22C1" w:rsidRPr="00FA575F" w:rsidRDefault="004E22C1" w:rsidP="004E22C1">
      <w:pPr>
        <w:pStyle w:val="a7"/>
        <w:rPr>
          <w:szCs w:val="22"/>
        </w:rPr>
      </w:pPr>
      <w:r w:rsidRPr="00FA575F">
        <w:rPr>
          <w:szCs w:val="22"/>
        </w:rPr>
        <w:t>H.</w:t>
      </w:r>
      <w:r w:rsidR="006E0B24" w:rsidRPr="00FA575F">
        <w:rPr>
          <w:szCs w:val="22"/>
        </w:rPr>
        <w:t>4</w:t>
      </w:r>
      <w:r w:rsidRPr="00FA575F">
        <w:rPr>
          <w:szCs w:val="22"/>
        </w:rPr>
        <w:t>.2(4)</w:t>
      </w:r>
    </w:p>
    <w:p w14:paraId="5EE91992" w14:textId="69E9D748" w:rsidR="004E22C1" w:rsidRPr="00FA575F" w:rsidRDefault="004E22C1" w:rsidP="004E22C1">
      <w:pPr>
        <w:pStyle w:val="a7"/>
        <w:rPr>
          <w:szCs w:val="22"/>
        </w:rPr>
      </w:pPr>
      <w:r w:rsidRPr="00FA575F">
        <w:rPr>
          <w:szCs w:val="22"/>
        </w:rPr>
        <w:t>I.4.</w:t>
      </w:r>
      <w:r w:rsidR="00740DB2" w:rsidRPr="00FA575F">
        <w:rPr>
          <w:szCs w:val="22"/>
        </w:rPr>
        <w:t>2</w:t>
      </w:r>
      <w:r w:rsidRPr="00FA575F">
        <w:rPr>
          <w:szCs w:val="22"/>
        </w:rPr>
        <w:t>.</w:t>
      </w:r>
      <w:r w:rsidR="00740DB2" w:rsidRPr="00FA575F">
        <w:rPr>
          <w:szCs w:val="22"/>
        </w:rPr>
        <w:t>1</w:t>
      </w:r>
      <w:r w:rsidRPr="00FA575F">
        <w:rPr>
          <w:szCs w:val="22"/>
        </w:rPr>
        <w:t>(2)</w:t>
      </w:r>
    </w:p>
    <w:p w14:paraId="2F86DE44" w14:textId="4AF4DC4B" w:rsidR="004E22C1" w:rsidRPr="00FA575F" w:rsidRDefault="004E22C1" w:rsidP="004E22C1">
      <w:pPr>
        <w:pStyle w:val="a7"/>
        <w:rPr>
          <w:szCs w:val="22"/>
        </w:rPr>
      </w:pPr>
      <w:r w:rsidRPr="00FA575F">
        <w:rPr>
          <w:szCs w:val="22"/>
        </w:rPr>
        <w:t>I.5.</w:t>
      </w:r>
      <w:r w:rsidR="00744C0A" w:rsidRPr="00FA575F">
        <w:rPr>
          <w:szCs w:val="22"/>
        </w:rPr>
        <w:t>2</w:t>
      </w:r>
      <w:r w:rsidRPr="00FA575F">
        <w:rPr>
          <w:szCs w:val="22"/>
        </w:rPr>
        <w:t>.1(3)</w:t>
      </w:r>
    </w:p>
    <w:p w14:paraId="6409A394" w14:textId="49CD8156" w:rsidR="004E22C1" w:rsidRPr="00FA575F" w:rsidRDefault="004E22C1" w:rsidP="004E22C1">
      <w:pPr>
        <w:pStyle w:val="a7"/>
        <w:rPr>
          <w:szCs w:val="22"/>
        </w:rPr>
      </w:pPr>
      <w:r w:rsidRPr="00FA575F">
        <w:rPr>
          <w:szCs w:val="22"/>
        </w:rPr>
        <w:t>I.5.</w:t>
      </w:r>
      <w:r w:rsidR="00744C0A" w:rsidRPr="00FA575F">
        <w:rPr>
          <w:szCs w:val="22"/>
        </w:rPr>
        <w:t>2</w:t>
      </w:r>
      <w:r w:rsidRPr="00FA575F">
        <w:rPr>
          <w:szCs w:val="22"/>
        </w:rPr>
        <w:t>.</w:t>
      </w:r>
      <w:r w:rsidR="00744C0A" w:rsidRPr="00FA575F">
        <w:rPr>
          <w:szCs w:val="22"/>
        </w:rPr>
        <w:t>2</w:t>
      </w:r>
      <w:r w:rsidRPr="00FA575F">
        <w:rPr>
          <w:szCs w:val="22"/>
        </w:rPr>
        <w:t>(1)</w:t>
      </w:r>
    </w:p>
    <w:p w14:paraId="60D54C8A" w14:textId="3205C729" w:rsidR="004E22C1" w:rsidRPr="00FA575F" w:rsidRDefault="004E22C1" w:rsidP="004E22C1">
      <w:pPr>
        <w:pStyle w:val="a7"/>
        <w:rPr>
          <w:szCs w:val="22"/>
        </w:rPr>
      </w:pPr>
      <w:r w:rsidRPr="00FA575F">
        <w:rPr>
          <w:szCs w:val="22"/>
        </w:rPr>
        <w:t>I.8.</w:t>
      </w:r>
      <w:r w:rsidR="00373D4E" w:rsidRPr="00FA575F">
        <w:rPr>
          <w:szCs w:val="22"/>
        </w:rPr>
        <w:t>3</w:t>
      </w:r>
      <w:r w:rsidRPr="00FA575F">
        <w:rPr>
          <w:szCs w:val="22"/>
        </w:rPr>
        <w:t>.</w:t>
      </w:r>
      <w:r w:rsidR="00373D4E" w:rsidRPr="00FA575F">
        <w:rPr>
          <w:szCs w:val="22"/>
        </w:rPr>
        <w:t>1</w:t>
      </w:r>
      <w:r w:rsidRPr="00FA575F">
        <w:rPr>
          <w:szCs w:val="22"/>
        </w:rPr>
        <w:t>(1)</w:t>
      </w:r>
    </w:p>
    <w:p w14:paraId="71E639EC" w14:textId="77777777" w:rsidR="004E22C1" w:rsidRPr="00FA575F" w:rsidRDefault="004E22C1" w:rsidP="004E22C1">
      <w:pPr>
        <w:pStyle w:val="a7"/>
        <w:rPr>
          <w:rFonts w:eastAsia="Calibri" w:cs="Times New Roman"/>
          <w:szCs w:val="22"/>
        </w:rPr>
      </w:pPr>
      <w:r w:rsidRPr="00FA575F">
        <w:rPr>
          <w:szCs w:val="22"/>
        </w:rPr>
        <w:t>I.9.1(2)</w:t>
      </w:r>
    </w:p>
    <w:p w14:paraId="2849133D" w14:textId="22B63BA6" w:rsidR="004E22C1" w:rsidRPr="00FA575F" w:rsidRDefault="004E22C1" w:rsidP="004E22C1">
      <w:pPr>
        <w:pStyle w:val="a7"/>
        <w:rPr>
          <w:szCs w:val="22"/>
        </w:rPr>
      </w:pPr>
      <w:r w:rsidRPr="00FA575F">
        <w:rPr>
          <w:szCs w:val="22"/>
        </w:rPr>
        <w:t>J.4(1)</w:t>
      </w:r>
    </w:p>
    <w:p w14:paraId="1673D26B" w14:textId="441B1B48" w:rsidR="004E22C1" w:rsidRPr="00FA575F" w:rsidRDefault="004E22C1" w:rsidP="004E22C1">
      <w:pPr>
        <w:pStyle w:val="a7"/>
        <w:rPr>
          <w:szCs w:val="22"/>
        </w:rPr>
      </w:pPr>
      <w:r w:rsidRPr="00FA575F">
        <w:rPr>
          <w:szCs w:val="22"/>
        </w:rPr>
        <w:t>JA.4(1)</w:t>
      </w:r>
    </w:p>
    <w:p w14:paraId="745C22BE" w14:textId="5EF27A09" w:rsidR="004E22C1" w:rsidRPr="00FA575F" w:rsidRDefault="004E22C1" w:rsidP="004E22C1">
      <w:pPr>
        <w:pStyle w:val="a7"/>
        <w:rPr>
          <w:szCs w:val="22"/>
        </w:rPr>
      </w:pPr>
      <w:r w:rsidRPr="00FA575F">
        <w:rPr>
          <w:szCs w:val="22"/>
        </w:rPr>
        <w:t>K.</w:t>
      </w:r>
      <w:r w:rsidR="000203DC" w:rsidRPr="00FA575F">
        <w:rPr>
          <w:szCs w:val="22"/>
        </w:rPr>
        <w:t>7</w:t>
      </w:r>
      <w:r w:rsidRPr="00FA575F">
        <w:rPr>
          <w:szCs w:val="22"/>
        </w:rPr>
        <w:t>(2)</w:t>
      </w:r>
    </w:p>
    <w:p w14:paraId="0DADC4FE" w14:textId="1740A628" w:rsidR="004E22C1" w:rsidRPr="00FA575F" w:rsidRDefault="004E22C1" w:rsidP="004E22C1">
      <w:pPr>
        <w:pStyle w:val="a7"/>
        <w:rPr>
          <w:szCs w:val="22"/>
        </w:rPr>
      </w:pPr>
      <w:r w:rsidRPr="00FA575F">
        <w:rPr>
          <w:szCs w:val="22"/>
        </w:rPr>
        <w:t>K.</w:t>
      </w:r>
      <w:r w:rsidR="000203DC" w:rsidRPr="00FA575F">
        <w:rPr>
          <w:szCs w:val="22"/>
        </w:rPr>
        <w:t>7</w:t>
      </w:r>
      <w:r w:rsidRPr="00FA575F">
        <w:rPr>
          <w:szCs w:val="22"/>
        </w:rPr>
        <w:t>(3)</w:t>
      </w:r>
    </w:p>
    <w:p w14:paraId="5E6B0263" w14:textId="2632FBD0" w:rsidR="004E22C1" w:rsidRPr="00FA575F" w:rsidRDefault="004E22C1" w:rsidP="004E22C1">
      <w:pPr>
        <w:pStyle w:val="a7"/>
        <w:rPr>
          <w:szCs w:val="22"/>
        </w:rPr>
      </w:pPr>
      <w:r w:rsidRPr="00FA575F">
        <w:rPr>
          <w:szCs w:val="22"/>
        </w:rPr>
        <w:t>K.</w:t>
      </w:r>
      <w:r w:rsidR="003A1958" w:rsidRPr="00FA575F">
        <w:rPr>
          <w:szCs w:val="22"/>
        </w:rPr>
        <w:t>14</w:t>
      </w:r>
      <w:r w:rsidRPr="00FA575F">
        <w:rPr>
          <w:szCs w:val="22"/>
        </w:rPr>
        <w:t>(2)</w:t>
      </w:r>
    </w:p>
    <w:p w14:paraId="4A47800F" w14:textId="66F7DE91" w:rsidR="004E22C1" w:rsidRPr="00FA575F" w:rsidRDefault="004E22C1" w:rsidP="004E22C1">
      <w:pPr>
        <w:pStyle w:val="a7"/>
        <w:rPr>
          <w:szCs w:val="22"/>
        </w:rPr>
      </w:pPr>
      <w:r w:rsidRPr="00FA575F">
        <w:rPr>
          <w:szCs w:val="22"/>
        </w:rPr>
        <w:t>L.4</w:t>
      </w:r>
      <w:r w:rsidR="00BA012D" w:rsidRPr="00FA575F" w:rsidDel="00BA012D">
        <w:rPr>
          <w:szCs w:val="22"/>
        </w:rPr>
        <w:t xml:space="preserve"> </w:t>
      </w:r>
      <w:r w:rsidRPr="00FA575F">
        <w:rPr>
          <w:szCs w:val="22"/>
        </w:rPr>
        <w:t>(1)</w:t>
      </w:r>
    </w:p>
    <w:p w14:paraId="34088F19" w14:textId="4E224049" w:rsidR="004E22C1" w:rsidRPr="00FA575F" w:rsidRDefault="004E22C1" w:rsidP="004E22C1">
      <w:pPr>
        <w:pStyle w:val="a7"/>
        <w:rPr>
          <w:szCs w:val="22"/>
        </w:rPr>
      </w:pPr>
      <w:r w:rsidRPr="00FA575F">
        <w:rPr>
          <w:szCs w:val="22"/>
        </w:rPr>
        <w:t>L.5.</w:t>
      </w:r>
      <w:r w:rsidR="00BA012D" w:rsidRPr="00FA575F">
        <w:rPr>
          <w:szCs w:val="22"/>
        </w:rPr>
        <w:t>2</w:t>
      </w:r>
      <w:r w:rsidRPr="00FA575F">
        <w:rPr>
          <w:szCs w:val="22"/>
        </w:rPr>
        <w:t>(2)</w:t>
      </w:r>
    </w:p>
    <w:p w14:paraId="47668F25" w14:textId="130901AC" w:rsidR="004E22C1" w:rsidRPr="00FA575F" w:rsidRDefault="004E22C1" w:rsidP="004E22C1">
      <w:pPr>
        <w:pStyle w:val="a7"/>
        <w:rPr>
          <w:szCs w:val="22"/>
        </w:rPr>
      </w:pPr>
      <w:r w:rsidRPr="00FA575F">
        <w:rPr>
          <w:szCs w:val="22"/>
        </w:rPr>
        <w:t>L.5.</w:t>
      </w:r>
      <w:r w:rsidR="00BA012D" w:rsidRPr="00FA575F">
        <w:rPr>
          <w:szCs w:val="22"/>
        </w:rPr>
        <w:t>5.2</w:t>
      </w:r>
      <w:r w:rsidRPr="00FA575F">
        <w:rPr>
          <w:szCs w:val="22"/>
        </w:rPr>
        <w:t>(1)</w:t>
      </w:r>
    </w:p>
    <w:p w14:paraId="448E48D8" w14:textId="77777777" w:rsidR="004E22C1" w:rsidRPr="00FA575F" w:rsidRDefault="004E22C1" w:rsidP="004E22C1">
      <w:pPr>
        <w:pStyle w:val="a7"/>
        <w:rPr>
          <w:szCs w:val="22"/>
        </w:rPr>
      </w:pPr>
      <w:r w:rsidRPr="00FA575F">
        <w:rPr>
          <w:szCs w:val="22"/>
        </w:rPr>
        <w:t>L.11.2(1)</w:t>
      </w:r>
    </w:p>
    <w:p w14:paraId="218D6E79" w14:textId="034F9FCC" w:rsidR="004E22C1" w:rsidRPr="00FA575F" w:rsidRDefault="004E22C1" w:rsidP="004E22C1">
      <w:pPr>
        <w:pStyle w:val="a7"/>
        <w:rPr>
          <w:szCs w:val="22"/>
        </w:rPr>
      </w:pPr>
      <w:r w:rsidRPr="00FA575F">
        <w:rPr>
          <w:szCs w:val="22"/>
        </w:rPr>
        <w:t>L.12.</w:t>
      </w:r>
      <w:r w:rsidR="00FD0030" w:rsidRPr="00FA575F">
        <w:rPr>
          <w:szCs w:val="22"/>
        </w:rPr>
        <w:t>3</w:t>
      </w:r>
      <w:r w:rsidRPr="00FA575F">
        <w:rPr>
          <w:szCs w:val="22"/>
        </w:rPr>
        <w:t>.1(</w:t>
      </w:r>
      <w:r w:rsidR="00FD0030" w:rsidRPr="00FA575F">
        <w:rPr>
          <w:szCs w:val="22"/>
        </w:rPr>
        <w:t>2</w:t>
      </w:r>
      <w:r w:rsidRPr="00FA575F">
        <w:rPr>
          <w:szCs w:val="22"/>
        </w:rPr>
        <w:t>)</w:t>
      </w:r>
    </w:p>
    <w:p w14:paraId="49D3CFEE" w14:textId="77777777" w:rsidR="004E22C1" w:rsidRPr="00FA575F" w:rsidRDefault="004E22C1" w:rsidP="004E22C1">
      <w:pPr>
        <w:pStyle w:val="a7"/>
        <w:rPr>
          <w:szCs w:val="22"/>
        </w:rPr>
      </w:pPr>
      <w:r w:rsidRPr="00FA575F">
        <w:rPr>
          <w:szCs w:val="22"/>
        </w:rPr>
        <w:t>O.1(1)</w:t>
      </w:r>
    </w:p>
    <w:p w14:paraId="5DDCAB3C" w14:textId="77777777" w:rsidR="004E22C1" w:rsidRPr="00FA575F" w:rsidRDefault="004E22C1" w:rsidP="004E22C1">
      <w:pPr>
        <w:pStyle w:val="a7"/>
        <w:rPr>
          <w:szCs w:val="22"/>
        </w:rPr>
      </w:pPr>
      <w:r w:rsidRPr="00FA575F">
        <w:rPr>
          <w:szCs w:val="22"/>
        </w:rPr>
        <w:t>P.1(3)</w:t>
      </w:r>
    </w:p>
    <w:p w14:paraId="75A20B77" w14:textId="77777777" w:rsidR="004E22C1" w:rsidRPr="00FA575F" w:rsidRDefault="004E22C1" w:rsidP="004E22C1">
      <w:pPr>
        <w:pStyle w:val="a7"/>
        <w:rPr>
          <w:szCs w:val="22"/>
        </w:rPr>
      </w:pPr>
      <w:r w:rsidRPr="00FA575F">
        <w:rPr>
          <w:szCs w:val="22"/>
        </w:rPr>
        <w:t>P.2(1)</w:t>
      </w:r>
    </w:p>
    <w:p w14:paraId="649EB8EF" w14:textId="77777777" w:rsidR="004E22C1" w:rsidRPr="009D3012" w:rsidRDefault="004E22C1" w:rsidP="004E22C1">
      <w:pPr>
        <w:pStyle w:val="a7"/>
        <w:rPr>
          <w:szCs w:val="22"/>
          <w:lang w:val="en-US"/>
        </w:rPr>
      </w:pPr>
      <w:r w:rsidRPr="009D3012">
        <w:rPr>
          <w:szCs w:val="22"/>
          <w:lang w:val="en-US"/>
        </w:rPr>
        <w:t>P.2(2)</w:t>
      </w:r>
    </w:p>
    <w:p w14:paraId="38298776" w14:textId="77777777" w:rsidR="004E22C1" w:rsidRPr="001455DC" w:rsidRDefault="004E22C1" w:rsidP="004E22C1">
      <w:pPr>
        <w:pStyle w:val="a7"/>
        <w:rPr>
          <w:szCs w:val="22"/>
        </w:rPr>
      </w:pPr>
      <w:r w:rsidRPr="001455DC">
        <w:rPr>
          <w:szCs w:val="22"/>
        </w:rPr>
        <w:t>P.2(3)</w:t>
      </w:r>
    </w:p>
    <w:p w14:paraId="2C3E7D28" w14:textId="77777777" w:rsidR="004E22C1" w:rsidRPr="001455DC" w:rsidRDefault="004E22C1" w:rsidP="004E22C1">
      <w:pPr>
        <w:pStyle w:val="a7"/>
        <w:rPr>
          <w:szCs w:val="22"/>
        </w:rPr>
      </w:pPr>
      <w:r w:rsidRPr="001455DC">
        <w:rPr>
          <w:szCs w:val="22"/>
        </w:rPr>
        <w:t>P.3(1)</w:t>
      </w:r>
    </w:p>
    <w:p w14:paraId="3210372E" w14:textId="20B1F7E1" w:rsidR="009D5C74" w:rsidRPr="001455DC" w:rsidRDefault="004E22C1" w:rsidP="009D5C74">
      <w:pPr>
        <w:pStyle w:val="a7"/>
      </w:pPr>
      <w:r w:rsidRPr="001455DC">
        <w:rPr>
          <w:szCs w:val="22"/>
        </w:rPr>
        <w:t>Q.</w:t>
      </w:r>
      <w:r w:rsidR="00591324" w:rsidRPr="001455DC">
        <w:rPr>
          <w:szCs w:val="22"/>
        </w:rPr>
        <w:t>4</w:t>
      </w:r>
      <w:r w:rsidRPr="001455DC">
        <w:rPr>
          <w:szCs w:val="22"/>
        </w:rPr>
        <w:t>(2)</w:t>
      </w:r>
    </w:p>
    <w:p w14:paraId="0DBE2330" w14:textId="77777777" w:rsidR="004E22C1" w:rsidRPr="001455DC" w:rsidRDefault="004E22C1" w:rsidP="009D5C74">
      <w:pPr>
        <w:pStyle w:val="a7"/>
        <w:sectPr w:rsidR="004E22C1" w:rsidRPr="001455DC" w:rsidSect="004E22C1">
          <w:type w:val="continuous"/>
          <w:pgSz w:w="11906" w:h="16838" w:code="9"/>
          <w:pgMar w:top="1644" w:right="737" w:bottom="1418" w:left="851" w:header="709" w:footer="284" w:gutter="567"/>
          <w:cols w:num="5" w:space="709"/>
          <w:docGrid w:linePitch="360"/>
        </w:sectPr>
      </w:pPr>
    </w:p>
    <w:p w14:paraId="2DCA3691" w14:textId="2816CCDE" w:rsidR="009D5C74" w:rsidRPr="001455DC" w:rsidRDefault="009D5C74" w:rsidP="009D5C74">
      <w:pPr>
        <w:pStyle w:val="a7"/>
      </w:pPr>
    </w:p>
    <w:p w14:paraId="0EDFB258" w14:textId="6EA4FF55" w:rsidR="009D5C74" w:rsidRPr="001455DC" w:rsidRDefault="009D5C74" w:rsidP="008C1358">
      <w:pPr>
        <w:pStyle w:val="a7"/>
        <w:keepNext/>
      </w:pPr>
      <w:r w:rsidRPr="001455DC">
        <w:t xml:space="preserve">National choice is allowed in </w:t>
      </w:r>
      <w:r w:rsidR="00FA575F">
        <w:t>pr</w:t>
      </w:r>
      <w:r w:rsidRPr="001455DC">
        <w:t>EN 1992</w:t>
      </w:r>
      <w:r w:rsidRPr="001455DC">
        <w:noBreakHyphen/>
        <w:t>1</w:t>
      </w:r>
      <w:r w:rsidRPr="001455DC">
        <w:noBreakHyphen/>
        <w:t>1 on the application of the following informative annexes:</w:t>
      </w:r>
    </w:p>
    <w:p w14:paraId="53D3307A" w14:textId="77777777" w:rsidR="00374B5C" w:rsidRPr="009D3012" w:rsidRDefault="00374B5C" w:rsidP="009D3012">
      <w:pPr>
        <w:pStyle w:val="a0"/>
      </w:pPr>
      <w:r w:rsidRPr="009D3012">
        <w:t>Annex D (informative) Evaluation of early-age and long-term cracking due to restraint</w:t>
      </w:r>
    </w:p>
    <w:p w14:paraId="67F7A2A4" w14:textId="77777777" w:rsidR="00374B5C" w:rsidRPr="009D3012" w:rsidRDefault="00374B5C" w:rsidP="009D3012">
      <w:pPr>
        <w:pStyle w:val="a0"/>
      </w:pPr>
      <w:r w:rsidRPr="009D3012">
        <w:t>Annex F (informative) Non-linear analyses procedures</w:t>
      </w:r>
    </w:p>
    <w:p w14:paraId="2227641E" w14:textId="77777777" w:rsidR="00374B5C" w:rsidRPr="009D3012" w:rsidRDefault="00374B5C" w:rsidP="009D3012">
      <w:pPr>
        <w:pStyle w:val="a0"/>
      </w:pPr>
      <w:r w:rsidRPr="009D3012">
        <w:t>Annex H (informative) Guidance on design of concrete structures for water-tightness</w:t>
      </w:r>
    </w:p>
    <w:p w14:paraId="5C389402" w14:textId="77777777" w:rsidR="00374B5C" w:rsidRPr="009D3012" w:rsidRDefault="00374B5C" w:rsidP="009D3012">
      <w:pPr>
        <w:pStyle w:val="a0"/>
      </w:pPr>
      <w:r w:rsidRPr="009D3012">
        <w:t>Annex I (informative) Assessment of existing concrete structures</w:t>
      </w:r>
    </w:p>
    <w:p w14:paraId="01930B03" w14:textId="77777777" w:rsidR="00374B5C" w:rsidRPr="009D3012" w:rsidRDefault="00374B5C" w:rsidP="009D3012">
      <w:pPr>
        <w:pStyle w:val="a0"/>
      </w:pPr>
      <w:r w:rsidRPr="009D3012">
        <w:t>Annex J (informative) Strengthening of existing concrete structures with CFRP</w:t>
      </w:r>
    </w:p>
    <w:p w14:paraId="011A365B" w14:textId="77777777" w:rsidR="00374B5C" w:rsidRPr="009D3012" w:rsidRDefault="00374B5C" w:rsidP="009D3012">
      <w:pPr>
        <w:pStyle w:val="a0"/>
      </w:pPr>
      <w:r w:rsidRPr="009D3012">
        <w:t>Annex JA (informative) Embedded FRP-reinforcement</w:t>
      </w:r>
    </w:p>
    <w:p w14:paraId="65A3E061" w14:textId="77777777" w:rsidR="00374B5C" w:rsidRPr="009D3012" w:rsidRDefault="00374B5C" w:rsidP="009D3012">
      <w:pPr>
        <w:pStyle w:val="a0"/>
      </w:pPr>
      <w:r w:rsidRPr="009D3012">
        <w:t>Annex L (informative) Steel fibre reinforced concrete structures</w:t>
      </w:r>
    </w:p>
    <w:p w14:paraId="0B55A6A8" w14:textId="4CD863AA" w:rsidR="00374B5C" w:rsidRPr="001455DC" w:rsidRDefault="00374B5C" w:rsidP="009D3012">
      <w:pPr>
        <w:pStyle w:val="a0"/>
      </w:pPr>
      <w:r w:rsidRPr="009D3012">
        <w:t>Annex N (informative) Recycled aggregate concrete structures</w:t>
      </w:r>
    </w:p>
    <w:p w14:paraId="36C99683" w14:textId="45C6D0A5" w:rsidR="009D5C74" w:rsidRPr="001455DC" w:rsidRDefault="009D5C74" w:rsidP="00353CE4">
      <w:pPr>
        <w:pStyle w:val="a0"/>
      </w:pPr>
      <w:r w:rsidRPr="001455DC">
        <w:t>Annex O (informative) Simplified approaches for second order effects,</w:t>
      </w:r>
    </w:p>
    <w:p w14:paraId="6E9FF06F" w14:textId="4E4F0A2E" w:rsidR="009D5C74" w:rsidRPr="001455DC" w:rsidRDefault="009D5C74" w:rsidP="00353CE4">
      <w:pPr>
        <w:pStyle w:val="a0"/>
      </w:pPr>
      <w:r w:rsidRPr="001455DC">
        <w:t>Annex P (informative) Alternative cover approach for durability.</w:t>
      </w:r>
    </w:p>
    <w:p w14:paraId="0013AA5F" w14:textId="1A9E634A" w:rsidR="00F5318C" w:rsidRPr="001455DC" w:rsidRDefault="009D5C74" w:rsidP="009D5C74">
      <w:pPr>
        <w:pStyle w:val="Note"/>
      </w:pPr>
      <w:r w:rsidRPr="001455DC">
        <w:t>NOTE</w:t>
      </w:r>
      <w:r w:rsidRPr="001455DC">
        <w:tab/>
        <w:t>A country can permit the use of an Informative Annex, can prohibit its use or can make use of it as a national requirement.</w:t>
      </w:r>
    </w:p>
    <w:p w14:paraId="0D7BAF12" w14:textId="77777777" w:rsidR="00DB201D" w:rsidRPr="001455DC" w:rsidRDefault="00DB201D" w:rsidP="002E5D61">
      <w:pPr>
        <w:pStyle w:val="1"/>
        <w:pageBreakBefore/>
      </w:pPr>
      <w:bookmarkStart w:id="34" w:name="_Toc54337118"/>
      <w:bookmarkStart w:id="35" w:name="_Toc54337263"/>
      <w:bookmarkStart w:id="36" w:name="_Toc54337924"/>
      <w:bookmarkStart w:id="37" w:name="_Toc67565273"/>
      <w:r w:rsidRPr="001455DC">
        <w:t>Scope</w:t>
      </w:r>
      <w:bookmarkEnd w:id="14"/>
      <w:bookmarkEnd w:id="34"/>
      <w:bookmarkEnd w:id="35"/>
      <w:bookmarkEnd w:id="36"/>
      <w:bookmarkEnd w:id="37"/>
    </w:p>
    <w:p w14:paraId="212476D1" w14:textId="4AE45AD6" w:rsidR="004E22C1" w:rsidRPr="001455DC" w:rsidRDefault="00FA575F" w:rsidP="006D682B">
      <w:pPr>
        <w:pStyle w:val="21"/>
      </w:pPr>
      <w:bookmarkStart w:id="38" w:name="_Toc438630238"/>
      <w:bookmarkStart w:id="39" w:name="_Toc52819867"/>
      <w:bookmarkStart w:id="40" w:name="_Toc54337264"/>
      <w:bookmarkStart w:id="41" w:name="_Toc54337925"/>
      <w:r>
        <w:t xml:space="preserve"> </w:t>
      </w:r>
      <w:bookmarkStart w:id="42" w:name="_Toc67565274"/>
      <w:r w:rsidR="004E22C1" w:rsidRPr="001455DC">
        <w:t>Scope of Part 1</w:t>
      </w:r>
      <w:r w:rsidR="004E22C1" w:rsidRPr="001455DC">
        <w:noBreakHyphen/>
        <w:t xml:space="preserve">1 of </w:t>
      </w:r>
      <w:bookmarkEnd w:id="38"/>
      <w:r w:rsidR="004E22C1" w:rsidRPr="001455DC">
        <w:t>EN 1992</w:t>
      </w:r>
      <w:bookmarkEnd w:id="39"/>
      <w:bookmarkEnd w:id="40"/>
      <w:bookmarkEnd w:id="41"/>
      <w:bookmarkEnd w:id="42"/>
    </w:p>
    <w:p w14:paraId="0EEEE4FA" w14:textId="4748E084" w:rsidR="004E22C1" w:rsidRPr="001455DC" w:rsidRDefault="004E22C1" w:rsidP="004E22C1">
      <w:pPr>
        <w:pStyle w:val="a7"/>
      </w:pPr>
      <w:r w:rsidRPr="001455DC">
        <w:t>(1)</w:t>
      </w:r>
      <w:r w:rsidRPr="001455DC">
        <w:tab/>
        <w:t xml:space="preserve">This </w:t>
      </w:r>
      <w:r w:rsidR="00FA575F">
        <w:t>document</w:t>
      </w:r>
      <w:r w:rsidRPr="001455DC">
        <w:t xml:space="preserve"> gives the general basis for the design of structures in plain, reinforced and prestressed concrete made with normal weight, lightweight and heavyweight aggregates together with specific rules for buildings, bridges and civil engineering structures, including temporary structures, under temperature conditions between </w:t>
      </w:r>
      <w:r w:rsidRPr="001455DC">
        <w:rPr>
          <w:rFonts w:ascii="Cambria Math" w:hAnsi="Cambria Math"/>
        </w:rPr>
        <w:t>−</w:t>
      </w:r>
      <w:r w:rsidRPr="001455DC">
        <w:t xml:space="preserve">40 °C and </w:t>
      </w:r>
      <w:r w:rsidR="00EC27D2" w:rsidRPr="001455DC">
        <w:rPr>
          <w:rFonts w:ascii="Cambria Math" w:hAnsi="Cambria Math"/>
        </w:rPr>
        <w:t>+</w:t>
      </w:r>
      <w:r w:rsidRPr="001455DC">
        <w:t xml:space="preserve">100 °C generally. It complies with the principles and requirements for the safety, serviceability, durability and robustness of structures, the basis of their design and verification that are given in </w:t>
      </w:r>
      <w:r w:rsidR="00D35CC0">
        <w:t>pr</w:t>
      </w:r>
      <w:r w:rsidRPr="001455DC">
        <w:t>EN 1990:</w:t>
      </w:r>
      <w:r w:rsidR="00FA575F">
        <w:t>2021</w:t>
      </w:r>
      <w:r w:rsidRPr="001455DC">
        <w:t xml:space="preserve"> Basis of structural and geotechnical design.</w:t>
      </w:r>
    </w:p>
    <w:p w14:paraId="7DD3155F" w14:textId="51D9F222" w:rsidR="004E22C1" w:rsidRPr="001455DC" w:rsidRDefault="004E22C1" w:rsidP="004E22C1">
      <w:pPr>
        <w:pStyle w:val="a7"/>
      </w:pPr>
      <w:r w:rsidRPr="001455DC">
        <w:t>(2)</w:t>
      </w:r>
      <w:r w:rsidRPr="001455DC">
        <w:tab/>
      </w:r>
      <w:r w:rsidR="00FA575F">
        <w:t>pr</w:t>
      </w:r>
      <w:r w:rsidRPr="001455DC">
        <w:t>EN 1992 is only concerned with the requirements for resistance, serviceability, durability, robustness and fire resistance of concrete structures. Other requirements, e.g. concerning thermal or sound insulation, are not considered.</w:t>
      </w:r>
    </w:p>
    <w:p w14:paraId="25E7D373" w14:textId="477FAB96" w:rsidR="004E22C1" w:rsidRPr="001455DC" w:rsidRDefault="004E22C1" w:rsidP="008C1358">
      <w:pPr>
        <w:pStyle w:val="a7"/>
        <w:keepNext/>
      </w:pPr>
      <w:r w:rsidRPr="001455DC">
        <w:t>(3)</w:t>
      </w:r>
      <w:r w:rsidRPr="001455DC">
        <w:tab/>
        <w:t xml:space="preserve">Specific rules </w:t>
      </w:r>
      <w:r w:rsidR="00C77874" w:rsidRPr="001455DC">
        <w:t>or information</w:t>
      </w:r>
      <w:r w:rsidR="004364DA" w:rsidRPr="001455DC">
        <w:t xml:space="preserve"> </w:t>
      </w:r>
      <w:r w:rsidRPr="001455DC">
        <w:t>are covered in Annexes:</w:t>
      </w:r>
    </w:p>
    <w:p w14:paraId="49A7B905" w14:textId="56EE727A" w:rsidR="004E22C1" w:rsidRPr="001455DC" w:rsidRDefault="004E22C1" w:rsidP="00082680">
      <w:pPr>
        <w:pStyle w:val="a0"/>
        <w:numPr>
          <w:ilvl w:val="0"/>
          <w:numId w:val="14"/>
        </w:numPr>
      </w:pPr>
      <w:r w:rsidRPr="001455DC">
        <w:t>for Assessment of Existing Structures in Annex I,</w:t>
      </w:r>
    </w:p>
    <w:p w14:paraId="4271D147" w14:textId="6F931E42" w:rsidR="004E22C1" w:rsidRPr="001455DC" w:rsidRDefault="004E22C1" w:rsidP="00082680">
      <w:pPr>
        <w:pStyle w:val="a0"/>
        <w:numPr>
          <w:ilvl w:val="0"/>
          <w:numId w:val="14"/>
        </w:numPr>
      </w:pPr>
      <w:r w:rsidRPr="001455DC">
        <w:t>for Strengthening of Existing Concrete Structures with CFRP in Annex J and Annex C.</w:t>
      </w:r>
    </w:p>
    <w:p w14:paraId="2376702E" w14:textId="729A3062" w:rsidR="004E22C1" w:rsidRPr="001455DC" w:rsidRDefault="004E22C1" w:rsidP="00082680">
      <w:pPr>
        <w:pStyle w:val="a0"/>
        <w:numPr>
          <w:ilvl w:val="0"/>
          <w:numId w:val="14"/>
        </w:numPr>
      </w:pPr>
      <w:r w:rsidRPr="001455DC">
        <w:t>for embedded FRP reinforcement in Annex JA and Annex C.</w:t>
      </w:r>
    </w:p>
    <w:p w14:paraId="11BA50F5" w14:textId="2E528F00" w:rsidR="004E22C1" w:rsidRPr="001455DC" w:rsidRDefault="004E22C1" w:rsidP="00082680">
      <w:pPr>
        <w:pStyle w:val="a0"/>
        <w:numPr>
          <w:ilvl w:val="0"/>
          <w:numId w:val="14"/>
        </w:numPr>
      </w:pPr>
      <w:r w:rsidRPr="001455DC">
        <w:t>for Steel Fibres Reinforced Concrete in Annex L and Annex C.</w:t>
      </w:r>
    </w:p>
    <w:p w14:paraId="33C07BFB" w14:textId="5A1FC987" w:rsidR="004E22C1" w:rsidRPr="001455DC" w:rsidRDefault="004E22C1" w:rsidP="00082680">
      <w:pPr>
        <w:pStyle w:val="a0"/>
        <w:numPr>
          <w:ilvl w:val="0"/>
          <w:numId w:val="14"/>
        </w:numPr>
      </w:pPr>
      <w:r w:rsidRPr="001455DC">
        <w:t>for Stainless Steel Reinforcement in Annex Q and Annex C.</w:t>
      </w:r>
    </w:p>
    <w:p w14:paraId="7A610FC4" w14:textId="77777777" w:rsidR="004E22C1" w:rsidRPr="001455DC" w:rsidRDefault="004E22C1" w:rsidP="008C1358">
      <w:pPr>
        <w:pStyle w:val="a7"/>
      </w:pPr>
      <w:r w:rsidRPr="001455DC">
        <w:t>(4)</w:t>
      </w:r>
      <w:r w:rsidRPr="001455DC">
        <w:tab/>
        <w:t>This Part 1</w:t>
      </w:r>
      <w:r w:rsidRPr="001455DC">
        <w:noBreakHyphen/>
        <w:t>1 does not cover:</w:t>
      </w:r>
    </w:p>
    <w:p w14:paraId="78A6CC42" w14:textId="62CB2212" w:rsidR="004E22C1" w:rsidRPr="001455DC" w:rsidRDefault="004E22C1" w:rsidP="00353CE4">
      <w:pPr>
        <w:pStyle w:val="a0"/>
      </w:pPr>
      <w:r w:rsidRPr="001455DC">
        <w:t>resistance to fire (see EN 1992</w:t>
      </w:r>
      <w:r w:rsidRPr="001455DC">
        <w:noBreakHyphen/>
        <w:t>1</w:t>
      </w:r>
      <w:r w:rsidRPr="001455DC">
        <w:noBreakHyphen/>
        <w:t>2),</w:t>
      </w:r>
    </w:p>
    <w:p w14:paraId="31F6FC22" w14:textId="2AFAB10B" w:rsidR="004E22C1" w:rsidRPr="001455DC" w:rsidRDefault="004E22C1" w:rsidP="00353CE4">
      <w:pPr>
        <w:pStyle w:val="a0"/>
      </w:pPr>
      <w:r w:rsidRPr="001455DC">
        <w:t>fastenings in concrete (see EN 1992</w:t>
      </w:r>
      <w:r w:rsidRPr="001455DC">
        <w:noBreakHyphen/>
        <w:t>4),</w:t>
      </w:r>
    </w:p>
    <w:p w14:paraId="6B337D70" w14:textId="24A4543A" w:rsidR="004E22C1" w:rsidRPr="001455DC" w:rsidRDefault="004E22C1" w:rsidP="00353CE4">
      <w:pPr>
        <w:pStyle w:val="a0"/>
      </w:pPr>
      <w:r w:rsidRPr="001455DC">
        <w:t>seismic design (see EN 1998</w:t>
      </w:r>
      <w:r w:rsidR="00C77874" w:rsidRPr="001455DC">
        <w:t xml:space="preserve"> (all parts)</w:t>
      </w:r>
      <w:r w:rsidRPr="001455DC">
        <w:t>),</w:t>
      </w:r>
    </w:p>
    <w:p w14:paraId="316030C4" w14:textId="68CD6076" w:rsidR="004E22C1" w:rsidRPr="001455DC" w:rsidRDefault="004E22C1" w:rsidP="00353CE4">
      <w:pPr>
        <w:pStyle w:val="a0"/>
      </w:pPr>
      <w:r w:rsidRPr="001455DC">
        <w:t>particular aspects of special types of civil engineering works (such as dams, pressure vessels),</w:t>
      </w:r>
    </w:p>
    <w:p w14:paraId="562CD887" w14:textId="09333B0A" w:rsidR="004E22C1" w:rsidRPr="001455DC" w:rsidRDefault="004E22C1" w:rsidP="00353CE4">
      <w:pPr>
        <w:pStyle w:val="a0"/>
      </w:pPr>
      <w:r w:rsidRPr="001455DC">
        <w:t>structures made with no-fines concrete, aerated or cellular concrete, lightweight aggregate concrete with open structure components,</w:t>
      </w:r>
    </w:p>
    <w:p w14:paraId="117BA204" w14:textId="5C7FC10A" w:rsidR="004E22C1" w:rsidRPr="001455DC" w:rsidRDefault="004E22C1" w:rsidP="00353CE4">
      <w:pPr>
        <w:pStyle w:val="a0"/>
      </w:pPr>
      <w:r w:rsidRPr="001455DC">
        <w:t>structures containing structural steel sections (see EN 1994</w:t>
      </w:r>
      <w:r w:rsidR="001977FF" w:rsidRPr="001455DC">
        <w:t xml:space="preserve"> (all parts))</w:t>
      </w:r>
      <w:r w:rsidRPr="001455DC">
        <w:t xml:space="preserve"> for composite steel-concrete structures),</w:t>
      </w:r>
    </w:p>
    <w:p w14:paraId="4F03274E" w14:textId="18E73CAB" w:rsidR="004E22C1" w:rsidRPr="001455DC" w:rsidRDefault="004E22C1" w:rsidP="00353CE4">
      <w:pPr>
        <w:pStyle w:val="a0"/>
      </w:pPr>
      <w:r w:rsidRPr="001455DC">
        <w:t xml:space="preserve">Structural parts made of concrete with a smallest value of the upper sieve aggregate size </w:t>
      </w:r>
      <w:r w:rsidRPr="001455DC">
        <w:rPr>
          <w:i/>
        </w:rPr>
        <w:t>D</w:t>
      </w:r>
      <w:r w:rsidRPr="001455DC">
        <w:rPr>
          <w:vertAlign w:val="subscript"/>
        </w:rPr>
        <w:t>lower</w:t>
      </w:r>
      <w:r w:rsidRPr="001455DC">
        <w:t> </w:t>
      </w:r>
      <w:r w:rsidR="00650035" w:rsidRPr="001455DC">
        <w:rPr>
          <w:rFonts w:ascii="Cambria Math" w:hAnsi="Cambria Math"/>
        </w:rPr>
        <w:t>&lt;</w:t>
      </w:r>
      <w:r w:rsidRPr="001455DC">
        <w:t> 8 mm, unless otherwise stated in the code.</w:t>
      </w:r>
    </w:p>
    <w:p w14:paraId="4707A97C" w14:textId="301CE8D8" w:rsidR="004E22C1" w:rsidRPr="001455DC" w:rsidRDefault="004E22C1" w:rsidP="006D682B">
      <w:pPr>
        <w:pStyle w:val="21"/>
      </w:pPr>
      <w:bookmarkStart w:id="43" w:name="_Toc52819868"/>
      <w:bookmarkStart w:id="44" w:name="_Toc54337265"/>
      <w:bookmarkStart w:id="45" w:name="_Toc54337926"/>
      <w:bookmarkStart w:id="46" w:name="_Toc67565275"/>
      <w:r w:rsidRPr="001455DC">
        <w:t>Assumptions</w:t>
      </w:r>
      <w:bookmarkEnd w:id="43"/>
      <w:bookmarkEnd w:id="44"/>
      <w:bookmarkEnd w:id="45"/>
      <w:bookmarkEnd w:id="46"/>
    </w:p>
    <w:p w14:paraId="0BFDE533" w14:textId="77777777" w:rsidR="004E22C1" w:rsidRPr="001455DC" w:rsidRDefault="004E22C1" w:rsidP="008C1358">
      <w:pPr>
        <w:pStyle w:val="a7"/>
        <w:keepNext/>
        <w:rPr>
          <w:bCs/>
        </w:rPr>
      </w:pPr>
      <w:r w:rsidRPr="001455DC">
        <w:t>(1)</w:t>
      </w:r>
      <w:r w:rsidRPr="001455DC">
        <w:tab/>
      </w:r>
      <w:r w:rsidRPr="001455DC">
        <w:rPr>
          <w:bCs/>
        </w:rPr>
        <w:t xml:space="preserve">The </w:t>
      </w:r>
      <w:r w:rsidRPr="001455DC">
        <w:t>following</w:t>
      </w:r>
      <w:r w:rsidRPr="001455DC">
        <w:rPr>
          <w:bCs/>
        </w:rPr>
        <w:t xml:space="preserve"> assumptions apply:</w:t>
      </w:r>
    </w:p>
    <w:p w14:paraId="264E7F44" w14:textId="1577816B" w:rsidR="004E22C1" w:rsidRPr="001455DC" w:rsidRDefault="004E22C1" w:rsidP="00353CE4">
      <w:pPr>
        <w:pStyle w:val="a0"/>
      </w:pPr>
      <w:r w:rsidRPr="001455DC">
        <w:t>Structures are designed by appropriately qualified and experienced personnel.</w:t>
      </w:r>
    </w:p>
    <w:p w14:paraId="2C750DD9" w14:textId="0F77BAFF" w:rsidR="004E22C1" w:rsidRPr="001455DC" w:rsidRDefault="004E22C1" w:rsidP="00353CE4">
      <w:pPr>
        <w:pStyle w:val="a0"/>
      </w:pPr>
      <w:r w:rsidRPr="001455DC">
        <w:t>Construction materials and products are used as specified in this Eurocode or in the relevant material or product specifications.</w:t>
      </w:r>
    </w:p>
    <w:p w14:paraId="21A115E0" w14:textId="591B27AA" w:rsidR="004E22C1" w:rsidRPr="001455DC" w:rsidRDefault="004E22C1" w:rsidP="00353CE4">
      <w:pPr>
        <w:pStyle w:val="a0"/>
      </w:pPr>
      <w:r w:rsidRPr="001455DC">
        <w:t>Structures are built by appropriately qualified and experienced personnel and construction is inspected by appropriately qualified and experienced inspectors.</w:t>
      </w:r>
    </w:p>
    <w:p w14:paraId="3BD0F643" w14:textId="4652E4AA" w:rsidR="004E22C1" w:rsidRPr="001455DC" w:rsidRDefault="004E22C1" w:rsidP="00353CE4">
      <w:pPr>
        <w:pStyle w:val="a0"/>
      </w:pPr>
      <w:r w:rsidRPr="001455DC">
        <w:t>Structures will be adequately maintained.</w:t>
      </w:r>
    </w:p>
    <w:p w14:paraId="5A84318B" w14:textId="2D5246B1" w:rsidR="004E22C1" w:rsidRPr="001455DC" w:rsidRDefault="004E22C1" w:rsidP="00353CE4">
      <w:pPr>
        <w:pStyle w:val="a0"/>
      </w:pPr>
      <w:r w:rsidRPr="001455DC">
        <w:t>Structures will be used in accordance with the design assumptions.</w:t>
      </w:r>
    </w:p>
    <w:p w14:paraId="1C6D8D18" w14:textId="59AE3D60" w:rsidR="004E22C1" w:rsidRPr="001455DC" w:rsidRDefault="004E22C1" w:rsidP="00353CE4">
      <w:pPr>
        <w:pStyle w:val="a0"/>
      </w:pPr>
      <w:r w:rsidRPr="001455DC">
        <w:t>Requirements for execution and workmanship given in EN 13670 are complied with.</w:t>
      </w:r>
    </w:p>
    <w:p w14:paraId="2E640171" w14:textId="77777777" w:rsidR="00DB201D" w:rsidRPr="001455DC" w:rsidRDefault="00DB201D" w:rsidP="002E5D61">
      <w:pPr>
        <w:pStyle w:val="1"/>
      </w:pPr>
      <w:bookmarkStart w:id="47" w:name="_Toc54337119"/>
      <w:bookmarkStart w:id="48" w:name="_Toc54337266"/>
      <w:bookmarkStart w:id="49" w:name="_Toc54337927"/>
      <w:bookmarkStart w:id="50" w:name="_Toc67565276"/>
      <w:r w:rsidRPr="001455DC">
        <w:t>Normative references</w:t>
      </w:r>
      <w:bookmarkEnd w:id="47"/>
      <w:bookmarkEnd w:id="48"/>
      <w:bookmarkEnd w:id="49"/>
      <w:bookmarkEnd w:id="50"/>
    </w:p>
    <w:p w14:paraId="4D98060B" w14:textId="77777777" w:rsidR="002D1280" w:rsidRPr="001455DC" w:rsidRDefault="002D1280" w:rsidP="002D1280">
      <w:pPr>
        <w:pStyle w:val="a7"/>
      </w:pPr>
      <w:r w:rsidRPr="001455DC">
        <w:t>The following documents are referred to in the text in such a way that some or all of their content constitutes requirements of this document. For dated references, only the edition cited applies. For undated references, the latest edition of the referenced document (including any amendments) applies.</w:t>
      </w:r>
    </w:p>
    <w:p w14:paraId="093376DA" w14:textId="2B10667D" w:rsidR="000E016F" w:rsidRDefault="00C54E80" w:rsidP="00AD6474">
      <w:pPr>
        <w:pStyle w:val="Note"/>
      </w:pPr>
      <w:r>
        <w:t>NOTE</w:t>
      </w:r>
      <w:r>
        <w:tab/>
      </w:r>
      <w:r w:rsidR="000E016F" w:rsidRPr="000E016F">
        <w:t>See the Bibliography for a list of other documents cited that are not normative references, including those referenced as recommendations (i.e. in ‘should’ clauses), permissions (‘may’ clauses), possibilities ('can' clauses), and in notes.</w:t>
      </w:r>
    </w:p>
    <w:p w14:paraId="5EC38DA9" w14:textId="41FFB0EE" w:rsidR="00F27225" w:rsidRPr="001455DC" w:rsidRDefault="00F27225" w:rsidP="00F27225">
      <w:pPr>
        <w:pStyle w:val="RefNorm"/>
      </w:pPr>
      <w:bookmarkStart w:id="51" w:name="_Hlk60998735"/>
      <w:r w:rsidRPr="001455DC">
        <w:t>EN 197</w:t>
      </w:r>
      <w:r w:rsidRPr="001455DC">
        <w:noBreakHyphen/>
        <w:t xml:space="preserve">1, </w:t>
      </w:r>
      <w:r w:rsidRPr="001455DC">
        <w:rPr>
          <w:i/>
        </w:rPr>
        <w:t>Cement: Composition, specification and conformity criteria for common cements</w:t>
      </w:r>
    </w:p>
    <w:p w14:paraId="0F1E69C2" w14:textId="03D6F728" w:rsidR="00F27225" w:rsidRPr="001455DC" w:rsidRDefault="00F27225" w:rsidP="00F27225">
      <w:pPr>
        <w:pStyle w:val="RefNorm"/>
      </w:pPr>
      <w:bookmarkStart w:id="52" w:name="_Hlk61442956"/>
      <w:bookmarkStart w:id="53" w:name="_Hlk60998250"/>
      <w:bookmarkEnd w:id="51"/>
      <w:r w:rsidRPr="001455DC">
        <w:t>EN 206,</w:t>
      </w:r>
      <w:bookmarkEnd w:id="52"/>
      <w:r w:rsidRPr="001455DC">
        <w:t xml:space="preserve"> </w:t>
      </w:r>
      <w:r w:rsidRPr="001455DC">
        <w:rPr>
          <w:i/>
        </w:rPr>
        <w:t>Concrete: Specification, performance, production and conformity</w:t>
      </w:r>
    </w:p>
    <w:p w14:paraId="57DE8ED8" w14:textId="0F73CF37" w:rsidR="00F27225" w:rsidRPr="001455DC" w:rsidRDefault="00F27225" w:rsidP="00F27225">
      <w:pPr>
        <w:pStyle w:val="RefNorm"/>
        <w:rPr>
          <w:i/>
        </w:rPr>
      </w:pPr>
      <w:r w:rsidRPr="001455DC">
        <w:t>EN 1504</w:t>
      </w:r>
      <w:r w:rsidRPr="001455DC">
        <w:noBreakHyphen/>
        <w:t xml:space="preserve">4, </w:t>
      </w:r>
      <w:r w:rsidRPr="001455DC">
        <w:rPr>
          <w:i/>
        </w:rPr>
        <w:t>Products and systems for the protection and repair of concrete structures — Definitions, requirements, quality control and evaluation of conformity — Part 4: Structural bonding</w:t>
      </w:r>
    </w:p>
    <w:p w14:paraId="4604A48C" w14:textId="6CC6463E" w:rsidR="00ED7952" w:rsidRDefault="00A52A59" w:rsidP="004E22C1">
      <w:pPr>
        <w:pStyle w:val="RefNorm"/>
        <w:rPr>
          <w:i/>
        </w:rPr>
      </w:pPr>
      <w:bookmarkStart w:id="54" w:name="_Hlk61443089"/>
      <w:r>
        <w:t>pr</w:t>
      </w:r>
      <w:r w:rsidR="00AD6474">
        <w:t>EN 1991</w:t>
      </w:r>
      <w:r w:rsidR="00206D6A" w:rsidRPr="001455DC">
        <w:t>:20</w:t>
      </w:r>
      <w:r w:rsidR="00AD6474">
        <w:t>21</w:t>
      </w:r>
      <w:r w:rsidR="00C54E80">
        <w:t>,</w:t>
      </w:r>
      <w:r w:rsidR="00206D6A" w:rsidRPr="001455DC">
        <w:t xml:space="preserve"> </w:t>
      </w:r>
      <w:r w:rsidR="004E22C1" w:rsidRPr="001455DC">
        <w:rPr>
          <w:i/>
        </w:rPr>
        <w:t>Basis of structural</w:t>
      </w:r>
      <w:r>
        <w:rPr>
          <w:i/>
        </w:rPr>
        <w:t xml:space="preserve"> and geotechnical</w:t>
      </w:r>
      <w:r w:rsidR="004E22C1" w:rsidRPr="001455DC">
        <w:rPr>
          <w:i/>
        </w:rPr>
        <w:t xml:space="preserve"> design</w:t>
      </w:r>
      <w:bookmarkEnd w:id="54"/>
    </w:p>
    <w:p w14:paraId="7BB90D10" w14:textId="627BE4C7" w:rsidR="004E22C1" w:rsidRPr="001455DC" w:rsidRDefault="003A369F" w:rsidP="004E22C1">
      <w:pPr>
        <w:pStyle w:val="RefNorm"/>
      </w:pPr>
      <w:r>
        <w:t>pr</w:t>
      </w:r>
      <w:r w:rsidR="004E22C1" w:rsidRPr="001455DC">
        <w:t>EN 1991</w:t>
      </w:r>
      <w:r w:rsidR="002F55E4" w:rsidRPr="001455DC">
        <w:t xml:space="preserve"> (all parts)</w:t>
      </w:r>
      <w:r w:rsidR="004E22C1" w:rsidRPr="001455DC">
        <w:t xml:space="preserve">, </w:t>
      </w:r>
      <w:r w:rsidR="004E22C1" w:rsidRPr="001455DC">
        <w:rPr>
          <w:i/>
        </w:rPr>
        <w:t>Actions on structures</w:t>
      </w:r>
    </w:p>
    <w:p w14:paraId="05372011" w14:textId="69C9A7B6" w:rsidR="004E22C1" w:rsidRPr="001455DC" w:rsidRDefault="00092A36" w:rsidP="004E22C1">
      <w:pPr>
        <w:pStyle w:val="RefNorm"/>
      </w:pPr>
      <w:r>
        <w:t>pr</w:t>
      </w:r>
      <w:r w:rsidR="004E22C1" w:rsidRPr="001455DC">
        <w:t>EN 1992</w:t>
      </w:r>
      <w:r w:rsidR="004E22C1" w:rsidRPr="001455DC">
        <w:noBreakHyphen/>
        <w:t>1</w:t>
      </w:r>
      <w:r w:rsidR="004E22C1" w:rsidRPr="001455DC">
        <w:noBreakHyphen/>
        <w:t>2</w:t>
      </w:r>
      <w:r>
        <w:t>:2021</w:t>
      </w:r>
      <w:r w:rsidR="004E22C1" w:rsidRPr="001455DC">
        <w:t xml:space="preserve">, </w:t>
      </w:r>
      <w:r w:rsidR="004E22C1" w:rsidRPr="001455DC">
        <w:rPr>
          <w:i/>
        </w:rPr>
        <w:t>Eurocode 2: Design of concrete structures — Part 1</w:t>
      </w:r>
      <w:r w:rsidR="004E22C1" w:rsidRPr="001455DC">
        <w:rPr>
          <w:i/>
        </w:rPr>
        <w:noBreakHyphen/>
        <w:t>2: General rules — Structural fire design</w:t>
      </w:r>
    </w:p>
    <w:p w14:paraId="2ED5EC64" w14:textId="77777777" w:rsidR="004E22C1" w:rsidRPr="001455DC" w:rsidRDefault="004E22C1" w:rsidP="004E22C1">
      <w:pPr>
        <w:pStyle w:val="RefNorm"/>
      </w:pPr>
      <w:r w:rsidRPr="001455DC">
        <w:t>EN 1992</w:t>
      </w:r>
      <w:r w:rsidRPr="001455DC">
        <w:noBreakHyphen/>
        <w:t xml:space="preserve">4, </w:t>
      </w:r>
      <w:r w:rsidRPr="001455DC">
        <w:rPr>
          <w:i/>
        </w:rPr>
        <w:t>Eurocode 2: Design of concrete structures — Part 4: Design of fastenings for use in concrete</w:t>
      </w:r>
    </w:p>
    <w:p w14:paraId="5FDA855A" w14:textId="0E83625A" w:rsidR="004E22C1" w:rsidRPr="001455DC" w:rsidRDefault="003A369F" w:rsidP="004E22C1">
      <w:pPr>
        <w:pStyle w:val="RefNorm"/>
      </w:pPr>
      <w:r>
        <w:t>pr</w:t>
      </w:r>
      <w:r w:rsidR="004E22C1" w:rsidRPr="001455DC">
        <w:t>EN 1993</w:t>
      </w:r>
      <w:r w:rsidR="00F9708F" w:rsidRPr="001455DC">
        <w:t xml:space="preserve"> (all parts)</w:t>
      </w:r>
      <w:r w:rsidR="004E22C1" w:rsidRPr="001455DC">
        <w:t xml:space="preserve">, </w:t>
      </w:r>
      <w:r w:rsidR="004E22C1" w:rsidRPr="001455DC">
        <w:rPr>
          <w:i/>
        </w:rPr>
        <w:t>Eurocode 3: Design of steel structures</w:t>
      </w:r>
    </w:p>
    <w:p w14:paraId="5D3AC368" w14:textId="5A35C046" w:rsidR="004E22C1" w:rsidRPr="001455DC" w:rsidRDefault="003A369F" w:rsidP="004E22C1">
      <w:pPr>
        <w:pStyle w:val="RefNorm"/>
      </w:pPr>
      <w:r>
        <w:t>pr</w:t>
      </w:r>
      <w:r w:rsidR="004E22C1" w:rsidRPr="001455DC">
        <w:t>EN 1997</w:t>
      </w:r>
      <w:r w:rsidR="00F9708F" w:rsidRPr="001455DC">
        <w:t xml:space="preserve"> (all parts)</w:t>
      </w:r>
      <w:r w:rsidR="004E22C1" w:rsidRPr="001455DC">
        <w:t xml:space="preserve">, </w:t>
      </w:r>
      <w:r w:rsidR="004E22C1" w:rsidRPr="001455DC">
        <w:rPr>
          <w:i/>
        </w:rPr>
        <w:t>Geotechnical design</w:t>
      </w:r>
    </w:p>
    <w:p w14:paraId="61BA7A09" w14:textId="77777777" w:rsidR="004E22C1" w:rsidRPr="001455DC" w:rsidRDefault="004E22C1" w:rsidP="004E22C1">
      <w:pPr>
        <w:pStyle w:val="RefNorm"/>
      </w:pPr>
      <w:r w:rsidRPr="001455DC">
        <w:t xml:space="preserve">EN 10080, </w:t>
      </w:r>
      <w:r w:rsidRPr="001455DC">
        <w:rPr>
          <w:i/>
        </w:rPr>
        <w:t>Steel for the reinforcement of concrete — Weldable reinforcing steel — General</w:t>
      </w:r>
    </w:p>
    <w:p w14:paraId="7D439B6B" w14:textId="2BFFC698" w:rsidR="004E22C1" w:rsidRPr="001455DC" w:rsidRDefault="000D2A45" w:rsidP="004E22C1">
      <w:pPr>
        <w:pStyle w:val="RefNorm"/>
      </w:pPr>
      <w:r w:rsidRPr="001455DC">
        <w:t>pr</w:t>
      </w:r>
      <w:r w:rsidR="004E22C1" w:rsidRPr="001455DC">
        <w:t>EN 10138</w:t>
      </w:r>
      <w:r w:rsidRPr="001455DC">
        <w:t xml:space="preserve"> (all parts)</w:t>
      </w:r>
      <w:r w:rsidR="004E22C1" w:rsidRPr="001455DC">
        <w:t xml:space="preserve">, </w:t>
      </w:r>
      <w:r w:rsidR="004E22C1" w:rsidRPr="001455DC">
        <w:rPr>
          <w:i/>
        </w:rPr>
        <w:t>Steel for the prestressing of concrete</w:t>
      </w:r>
    </w:p>
    <w:p w14:paraId="25AE6351" w14:textId="6D272330" w:rsidR="004E22C1" w:rsidRPr="001455DC" w:rsidRDefault="000D2A45" w:rsidP="004E22C1">
      <w:pPr>
        <w:pStyle w:val="RefNorm"/>
      </w:pPr>
      <w:r w:rsidRPr="001455DC">
        <w:t>pr</w:t>
      </w:r>
      <w:r w:rsidR="004E22C1" w:rsidRPr="001455DC">
        <w:t xml:space="preserve">EN 10370, </w:t>
      </w:r>
      <w:r w:rsidR="004E22C1" w:rsidRPr="001455DC">
        <w:rPr>
          <w:i/>
        </w:rPr>
        <w:t>S</w:t>
      </w:r>
      <w:r w:rsidR="004E22C1" w:rsidRPr="001455DC">
        <w:rPr>
          <w:i/>
          <w:iCs/>
        </w:rPr>
        <w:t>teel for the reinforcement of concrete — Stainless steel</w:t>
      </w:r>
    </w:p>
    <w:p w14:paraId="42845CC3" w14:textId="77777777" w:rsidR="004E22C1" w:rsidRPr="001455DC" w:rsidRDefault="004E22C1" w:rsidP="004E22C1">
      <w:pPr>
        <w:pStyle w:val="RefNorm"/>
      </w:pPr>
      <w:r w:rsidRPr="001455DC">
        <w:t xml:space="preserve">EN 13670, </w:t>
      </w:r>
      <w:r w:rsidRPr="001455DC">
        <w:rPr>
          <w:i/>
        </w:rPr>
        <w:t>Execution of concrete structures</w:t>
      </w:r>
    </w:p>
    <w:p w14:paraId="6AE77DED" w14:textId="4D1AE798" w:rsidR="004E22C1" w:rsidRPr="001455DC" w:rsidRDefault="004E22C1" w:rsidP="004E22C1">
      <w:pPr>
        <w:pStyle w:val="RefNorm"/>
      </w:pPr>
      <w:r w:rsidRPr="001455DC">
        <w:t>EN 13791</w:t>
      </w:r>
      <w:r w:rsidR="00C82552" w:rsidRPr="001455DC">
        <w:t>:2019</w:t>
      </w:r>
      <w:r w:rsidRPr="001455DC">
        <w:t xml:space="preserve">, </w:t>
      </w:r>
      <w:r w:rsidRPr="001455DC">
        <w:rPr>
          <w:i/>
        </w:rPr>
        <w:t>Assessment of in-situ compressive strength in structures and pre-cast concrete components</w:t>
      </w:r>
    </w:p>
    <w:p w14:paraId="4DD6EC2D" w14:textId="77777777" w:rsidR="004E22C1" w:rsidRPr="001455DC" w:rsidRDefault="004E22C1" w:rsidP="004E22C1">
      <w:pPr>
        <w:pStyle w:val="RefNorm"/>
      </w:pPr>
      <w:r w:rsidRPr="001455DC">
        <w:t xml:space="preserve">EN 14651, </w:t>
      </w:r>
      <w:r w:rsidRPr="001455DC">
        <w:rPr>
          <w:i/>
        </w:rPr>
        <w:t>Test method for metallic fibre concrete — Measuring the flexural tensile strength (limit or proportionality (LOP), residual)</w:t>
      </w:r>
    </w:p>
    <w:p w14:paraId="492F5696" w14:textId="77777777" w:rsidR="004E22C1" w:rsidRPr="001455DC" w:rsidRDefault="004E22C1" w:rsidP="004E22C1">
      <w:pPr>
        <w:pStyle w:val="RefNorm"/>
      </w:pPr>
      <w:r w:rsidRPr="001455DC">
        <w:t>EN 14889</w:t>
      </w:r>
      <w:r w:rsidRPr="001455DC">
        <w:noBreakHyphen/>
        <w:t xml:space="preserve">1, </w:t>
      </w:r>
      <w:r w:rsidRPr="001455DC">
        <w:rPr>
          <w:i/>
        </w:rPr>
        <w:t>Fibres for concrete — Steel fibres — Definitions, specifications and conformity</w:t>
      </w:r>
    </w:p>
    <w:p w14:paraId="45C25310" w14:textId="77777777" w:rsidR="004E22C1" w:rsidRPr="001455DC" w:rsidRDefault="004E22C1" w:rsidP="004E22C1">
      <w:pPr>
        <w:pStyle w:val="RefNorm"/>
      </w:pPr>
      <w:r w:rsidRPr="001455DC">
        <w:t xml:space="preserve">EN ISO 17660, </w:t>
      </w:r>
      <w:r w:rsidRPr="001455DC">
        <w:rPr>
          <w:i/>
          <w:iCs/>
        </w:rPr>
        <w:t>Welding — Welding of reinforcing steel</w:t>
      </w:r>
    </w:p>
    <w:p w14:paraId="226D029B" w14:textId="54EA3968" w:rsidR="000466D1" w:rsidRPr="001455DC" w:rsidRDefault="004E22C1" w:rsidP="004E22C1">
      <w:pPr>
        <w:pStyle w:val="RefNorm"/>
        <w:rPr>
          <w:i/>
          <w:iCs/>
        </w:rPr>
      </w:pPr>
      <w:r w:rsidRPr="001455DC">
        <w:t>ISO 10406</w:t>
      </w:r>
      <w:r w:rsidR="00740478" w:rsidRPr="001455DC">
        <w:t xml:space="preserve"> (all parts)</w:t>
      </w:r>
      <w:r w:rsidRPr="001455DC">
        <w:t xml:space="preserve">, </w:t>
      </w:r>
      <w:r w:rsidRPr="001455DC">
        <w:rPr>
          <w:i/>
          <w:iCs/>
        </w:rPr>
        <w:t xml:space="preserve">Fibre-reinforced polymer (FRP) reinforcement of concrete — Test methods </w:t>
      </w:r>
    </w:p>
    <w:p w14:paraId="3E446E04" w14:textId="31D7624A" w:rsidR="00727FC2" w:rsidRPr="001455DC" w:rsidRDefault="00DB201D" w:rsidP="000F2592">
      <w:pPr>
        <w:pStyle w:val="1"/>
        <w:pageBreakBefore/>
      </w:pPr>
      <w:bookmarkStart w:id="55" w:name="_Toc56582359"/>
      <w:bookmarkStart w:id="56" w:name="_Toc56595410"/>
      <w:bookmarkStart w:id="57" w:name="_Toc56582360"/>
      <w:bookmarkStart w:id="58" w:name="_Toc56595411"/>
      <w:bookmarkStart w:id="59" w:name="_Toc54337120"/>
      <w:bookmarkStart w:id="60" w:name="_Toc54337267"/>
      <w:bookmarkStart w:id="61" w:name="_Toc54337928"/>
      <w:bookmarkStart w:id="62" w:name="_Toc67565277"/>
      <w:bookmarkEnd w:id="53"/>
      <w:bookmarkEnd w:id="55"/>
      <w:bookmarkEnd w:id="56"/>
      <w:bookmarkEnd w:id="57"/>
      <w:bookmarkEnd w:id="58"/>
      <w:r w:rsidRPr="001455DC">
        <w:t>Terms</w:t>
      </w:r>
      <w:r w:rsidR="00DD2588" w:rsidRPr="001455DC">
        <w:t>, definitions and symbols</w:t>
      </w:r>
      <w:bookmarkEnd w:id="59"/>
      <w:bookmarkEnd w:id="60"/>
      <w:bookmarkEnd w:id="61"/>
      <w:bookmarkEnd w:id="62"/>
    </w:p>
    <w:p w14:paraId="3D189F59" w14:textId="74A5EE99" w:rsidR="00DD2588" w:rsidRPr="001455DC" w:rsidRDefault="00DD2588" w:rsidP="006D682B">
      <w:pPr>
        <w:pStyle w:val="21"/>
      </w:pPr>
      <w:bookmarkStart w:id="63" w:name="_Toc52819871"/>
      <w:bookmarkStart w:id="64" w:name="_Toc54337268"/>
      <w:bookmarkStart w:id="65" w:name="_Toc54337929"/>
      <w:bookmarkStart w:id="66" w:name="_Toc67565278"/>
      <w:r w:rsidRPr="001455DC">
        <w:t>Terms and definitions</w:t>
      </w:r>
      <w:bookmarkEnd w:id="63"/>
      <w:bookmarkEnd w:id="64"/>
      <w:bookmarkEnd w:id="65"/>
      <w:bookmarkEnd w:id="66"/>
    </w:p>
    <w:p w14:paraId="623D65D8" w14:textId="5B26C66D" w:rsidR="00515DAA" w:rsidRPr="001455DC" w:rsidRDefault="00DB201D" w:rsidP="00DB201D">
      <w:pPr>
        <w:pStyle w:val="a7"/>
        <w:autoSpaceDE w:val="0"/>
        <w:autoSpaceDN w:val="0"/>
        <w:adjustRightInd w:val="0"/>
        <w:spacing w:before="0"/>
        <w:rPr>
          <w:szCs w:val="22"/>
        </w:rPr>
      </w:pPr>
      <w:r w:rsidRPr="001455DC">
        <w:rPr>
          <w:szCs w:val="22"/>
        </w:rPr>
        <w:t>For the purposes of this document, the terms and definiti</w:t>
      </w:r>
      <w:r w:rsidR="00727FC2" w:rsidRPr="001455DC">
        <w:rPr>
          <w:szCs w:val="22"/>
        </w:rPr>
        <w:t>ons given in</w:t>
      </w:r>
      <w:r w:rsidR="00DD2588" w:rsidRPr="001455DC">
        <w:rPr>
          <w:szCs w:val="22"/>
        </w:rPr>
        <w:t xml:space="preserve"> </w:t>
      </w:r>
      <w:r w:rsidR="00A52A59">
        <w:rPr>
          <w:szCs w:val="22"/>
        </w:rPr>
        <w:t>pr</w:t>
      </w:r>
      <w:r w:rsidR="00DD2588" w:rsidRPr="001455DC">
        <w:t>EN 1990</w:t>
      </w:r>
      <w:r w:rsidR="00A52A59">
        <w:t>:202</w:t>
      </w:r>
      <w:r w:rsidR="00AD6474">
        <w:t>1</w:t>
      </w:r>
      <w:r w:rsidRPr="001455DC">
        <w:rPr>
          <w:szCs w:val="22"/>
        </w:rPr>
        <w:t xml:space="preserve"> and the following apply.</w:t>
      </w:r>
    </w:p>
    <w:p w14:paraId="15B0599A" w14:textId="77777777" w:rsidR="004E22C1" w:rsidRPr="001455DC" w:rsidRDefault="004E22C1" w:rsidP="00DD2588">
      <w:pPr>
        <w:pStyle w:val="TermNum"/>
      </w:pPr>
      <w:r w:rsidRPr="001455DC">
        <w:t>3.1.1</w:t>
      </w:r>
    </w:p>
    <w:p w14:paraId="296A3719" w14:textId="1A67BF2F" w:rsidR="004E22C1" w:rsidRPr="001455DC" w:rsidRDefault="008C1358" w:rsidP="00DD2588">
      <w:pPr>
        <w:pStyle w:val="Terms"/>
      </w:pPr>
      <w:r w:rsidRPr="001455DC">
        <w:t>a</w:t>
      </w:r>
      <w:r w:rsidR="004E22C1" w:rsidRPr="001455DC">
        <w:t>nchoring mortar</w:t>
      </w:r>
    </w:p>
    <w:p w14:paraId="6AD07EDD" w14:textId="0C9531F2" w:rsidR="004E22C1" w:rsidRPr="001455DC" w:rsidRDefault="008C1358" w:rsidP="002951BB">
      <w:pPr>
        <w:pStyle w:val="Definition"/>
      </w:pPr>
      <w:r w:rsidRPr="001455DC">
        <w:t>m</w:t>
      </w:r>
      <w:r w:rsidR="004E22C1" w:rsidRPr="001455DC">
        <w:t>ortar based on organic or inorganic binder, or a mixture of these, installed at a fluid or paste consistency with the aim to anchor reinforcing steel bars in a drilled hole in concrete structures and to transfer the axial forces in the reinforcing steel bar to the concrete structure</w:t>
      </w:r>
    </w:p>
    <w:p w14:paraId="5B9FDABF" w14:textId="77777777" w:rsidR="004E22C1" w:rsidRPr="001455DC" w:rsidRDefault="004E22C1" w:rsidP="00281787">
      <w:pPr>
        <w:pStyle w:val="TermNum"/>
      </w:pPr>
      <w:r w:rsidRPr="001455DC">
        <w:t>3.1.2</w:t>
      </w:r>
    </w:p>
    <w:p w14:paraId="1E97B1F9" w14:textId="772E92D1" w:rsidR="004E22C1" w:rsidRPr="001455DC" w:rsidRDefault="008C1358" w:rsidP="00281787">
      <w:pPr>
        <w:pStyle w:val="Terms"/>
        <w:rPr>
          <w:iCs/>
        </w:rPr>
      </w:pPr>
      <w:r w:rsidRPr="001455DC">
        <w:t>b</w:t>
      </w:r>
      <w:r w:rsidR="004E22C1" w:rsidRPr="001455DC">
        <w:t>eam</w:t>
      </w:r>
    </w:p>
    <w:p w14:paraId="3C93561A" w14:textId="1D2F9DD9" w:rsidR="004E22C1" w:rsidRPr="001455DC" w:rsidRDefault="008C1358" w:rsidP="00281787">
      <w:pPr>
        <w:pStyle w:val="Definition"/>
      </w:pPr>
      <w:r w:rsidRPr="001455DC">
        <w:t>l</w:t>
      </w:r>
      <w:r w:rsidR="004E22C1" w:rsidRPr="001455DC">
        <w:t>inear member subject primarily to flexure and shear with cross</w:t>
      </w:r>
      <w:r w:rsidR="00B10711" w:rsidRPr="001455DC">
        <w:t xml:space="preserve"> </w:t>
      </w:r>
      <w:r w:rsidR="004E22C1" w:rsidRPr="001455DC">
        <w:t>section width not exceeding 4 times its thickness (otherwise it should be considered as a slab) and an effective span of not less than 3 times the overall depth</w:t>
      </w:r>
    </w:p>
    <w:p w14:paraId="7B5B0992" w14:textId="77777777" w:rsidR="004E22C1" w:rsidRPr="001455DC" w:rsidRDefault="004E22C1" w:rsidP="00281787">
      <w:pPr>
        <w:pStyle w:val="TermNum"/>
      </w:pPr>
      <w:r w:rsidRPr="001455DC">
        <w:t>3.1.3</w:t>
      </w:r>
    </w:p>
    <w:p w14:paraId="6E8B15FB" w14:textId="6F7069CD" w:rsidR="004E22C1" w:rsidRPr="001455DC" w:rsidRDefault="008C1358" w:rsidP="00281787">
      <w:pPr>
        <w:pStyle w:val="Terms"/>
        <w:rPr>
          <w:iCs/>
        </w:rPr>
      </w:pPr>
      <w:r w:rsidRPr="001455DC">
        <w:t>b</w:t>
      </w:r>
      <w:r w:rsidR="004E22C1" w:rsidRPr="001455DC">
        <w:t>iaxial bending</w:t>
      </w:r>
    </w:p>
    <w:p w14:paraId="68D72668" w14:textId="28D9139F" w:rsidR="004E22C1" w:rsidRPr="001455DC" w:rsidRDefault="008C1358" w:rsidP="00281787">
      <w:pPr>
        <w:pStyle w:val="Definition"/>
      </w:pPr>
      <w:r w:rsidRPr="001455DC">
        <w:t>s</w:t>
      </w:r>
      <w:r w:rsidR="004E22C1" w:rsidRPr="001455DC">
        <w:t>imultaneous bending about two principal axis</w:t>
      </w:r>
    </w:p>
    <w:p w14:paraId="20E95719" w14:textId="77777777" w:rsidR="004E22C1" w:rsidRPr="001455DC" w:rsidRDefault="004E22C1" w:rsidP="00281787">
      <w:pPr>
        <w:pStyle w:val="TermNum"/>
      </w:pPr>
      <w:r w:rsidRPr="001455DC">
        <w:t>3.1.4</w:t>
      </w:r>
    </w:p>
    <w:p w14:paraId="32BF2277" w14:textId="67011EA4" w:rsidR="004E22C1" w:rsidRPr="001455DC" w:rsidRDefault="008C1358" w:rsidP="00281787">
      <w:pPr>
        <w:pStyle w:val="Terms"/>
        <w:rPr>
          <w:iCs/>
        </w:rPr>
      </w:pPr>
      <w:r w:rsidRPr="001455DC">
        <w:t>b</w:t>
      </w:r>
      <w:r w:rsidR="004E22C1" w:rsidRPr="001455DC">
        <w:t>raced members or systems</w:t>
      </w:r>
    </w:p>
    <w:p w14:paraId="6999F489" w14:textId="02B0A924" w:rsidR="004E22C1" w:rsidRPr="001455DC" w:rsidRDefault="008C1358" w:rsidP="00281787">
      <w:pPr>
        <w:pStyle w:val="Definition"/>
      </w:pPr>
      <w:r w:rsidRPr="001455DC">
        <w:t>s</w:t>
      </w:r>
      <w:r w:rsidR="004E22C1" w:rsidRPr="001455DC">
        <w:t xml:space="preserve">tructural members or subsystems, which in analysis and design are assumed </w:t>
      </w:r>
      <w:r w:rsidR="004E22C1" w:rsidRPr="001455DC">
        <w:rPr>
          <w:i/>
        </w:rPr>
        <w:t>not</w:t>
      </w:r>
      <w:r w:rsidR="004E22C1" w:rsidRPr="001455DC">
        <w:t xml:space="preserve"> to contribute to the overall horizontal stability of a structure</w:t>
      </w:r>
    </w:p>
    <w:p w14:paraId="52472CA5" w14:textId="77777777" w:rsidR="004E22C1" w:rsidRPr="001455DC" w:rsidRDefault="004E22C1" w:rsidP="00281787">
      <w:pPr>
        <w:pStyle w:val="TermNum"/>
      </w:pPr>
      <w:r w:rsidRPr="001455DC">
        <w:t>3.1.5</w:t>
      </w:r>
    </w:p>
    <w:p w14:paraId="0F889FF8" w14:textId="3FE6EBF6" w:rsidR="004E22C1" w:rsidRPr="001455DC" w:rsidRDefault="008C1358" w:rsidP="00281787">
      <w:pPr>
        <w:pStyle w:val="Terms"/>
        <w:rPr>
          <w:iCs/>
        </w:rPr>
      </w:pPr>
      <w:r w:rsidRPr="001455DC">
        <w:t>b</w:t>
      </w:r>
      <w:r w:rsidR="004E22C1" w:rsidRPr="001455DC">
        <w:t>racing members or systems</w:t>
      </w:r>
    </w:p>
    <w:p w14:paraId="076DA166" w14:textId="0FB5D564" w:rsidR="004E22C1" w:rsidRPr="001455DC" w:rsidRDefault="008C1358" w:rsidP="00281787">
      <w:pPr>
        <w:pStyle w:val="Definition"/>
      </w:pPr>
      <w:r w:rsidRPr="001455DC">
        <w:t>s</w:t>
      </w:r>
      <w:r w:rsidR="004E22C1" w:rsidRPr="001455DC">
        <w:t xml:space="preserve">tructural members or subsystems, which in analysis and design are assumed to </w:t>
      </w:r>
      <w:r w:rsidR="004E22C1" w:rsidRPr="001455DC">
        <w:rPr>
          <w:iCs/>
        </w:rPr>
        <w:t>contribute</w:t>
      </w:r>
      <w:r w:rsidR="004E22C1" w:rsidRPr="001455DC">
        <w:t xml:space="preserve"> to the overall horizontal stability of a structure</w:t>
      </w:r>
    </w:p>
    <w:p w14:paraId="13D5714B" w14:textId="77777777" w:rsidR="004E22C1" w:rsidRPr="001455DC" w:rsidRDefault="004E22C1" w:rsidP="00281787">
      <w:pPr>
        <w:pStyle w:val="TermNum"/>
      </w:pPr>
      <w:r w:rsidRPr="001455DC">
        <w:t>3.1.6</w:t>
      </w:r>
    </w:p>
    <w:p w14:paraId="7E67F64D" w14:textId="0EC3A5D0" w:rsidR="004E22C1" w:rsidRPr="001455DC" w:rsidRDefault="008C1358" w:rsidP="00281787">
      <w:pPr>
        <w:pStyle w:val="Terms"/>
        <w:rPr>
          <w:iCs/>
        </w:rPr>
      </w:pPr>
      <w:r w:rsidRPr="001455DC">
        <w:t>b</w:t>
      </w:r>
      <w:r w:rsidR="004E22C1" w:rsidRPr="001455DC">
        <w:t>uckling</w:t>
      </w:r>
    </w:p>
    <w:p w14:paraId="7560E0AE" w14:textId="606A6AC0" w:rsidR="004E22C1" w:rsidRPr="001455DC" w:rsidRDefault="008C1358" w:rsidP="00281787">
      <w:pPr>
        <w:pStyle w:val="Definition"/>
      </w:pPr>
      <w:r w:rsidRPr="001455DC">
        <w:t>f</w:t>
      </w:r>
      <w:r w:rsidR="004E22C1" w:rsidRPr="001455DC">
        <w:t>ailure due to instability of a member or structure under perfectly axial compression and without transverse load</w:t>
      </w:r>
    </w:p>
    <w:p w14:paraId="20986507" w14:textId="77777777" w:rsidR="004E22C1" w:rsidRPr="001455DC" w:rsidRDefault="004E22C1" w:rsidP="00281787">
      <w:pPr>
        <w:pStyle w:val="TermNum"/>
      </w:pPr>
      <w:r w:rsidRPr="001455DC">
        <w:t>3.1.7</w:t>
      </w:r>
    </w:p>
    <w:p w14:paraId="11689417" w14:textId="0229BE55" w:rsidR="004E22C1" w:rsidRPr="001455DC" w:rsidRDefault="008C1358" w:rsidP="00281787">
      <w:pPr>
        <w:pStyle w:val="Terms"/>
        <w:rPr>
          <w:iCs/>
        </w:rPr>
      </w:pPr>
      <w:r w:rsidRPr="001455DC">
        <w:t>b</w:t>
      </w:r>
      <w:r w:rsidR="004E22C1" w:rsidRPr="001455DC">
        <w:t>uckling load</w:t>
      </w:r>
    </w:p>
    <w:p w14:paraId="7405E1F6" w14:textId="38452159" w:rsidR="004E22C1" w:rsidRPr="001455DC" w:rsidRDefault="004E22C1" w:rsidP="00281787">
      <w:pPr>
        <w:pStyle w:val="Definition"/>
      </w:pPr>
      <w:r w:rsidRPr="001455DC">
        <w:t>load at which buckling occurs; for isolated elastic members</w:t>
      </w:r>
      <w:r w:rsidR="00AD6474">
        <w:t>,</w:t>
      </w:r>
      <w:r w:rsidRPr="001455DC">
        <w:t xml:space="preserve"> it is synonymous with the Euler load</w:t>
      </w:r>
    </w:p>
    <w:p w14:paraId="4808E5D7" w14:textId="77777777" w:rsidR="00157CE4" w:rsidRPr="001455DC" w:rsidRDefault="00157CE4" w:rsidP="00281787">
      <w:pPr>
        <w:pStyle w:val="TermNum"/>
      </w:pPr>
    </w:p>
    <w:p w14:paraId="248C24F6" w14:textId="77777777" w:rsidR="00157CE4" w:rsidRPr="001455DC" w:rsidRDefault="00157CE4" w:rsidP="00157CE4">
      <w:pPr>
        <w:pStyle w:val="TermNum"/>
      </w:pPr>
      <w:r w:rsidRPr="001455DC">
        <w:t>3.1.8</w:t>
      </w:r>
    </w:p>
    <w:p w14:paraId="2F72C12B" w14:textId="5508887B" w:rsidR="00157CE4" w:rsidRPr="001455DC" w:rsidRDefault="00157CE4" w:rsidP="00157CE4">
      <w:pPr>
        <w:pStyle w:val="Terms"/>
        <w:rPr>
          <w:iCs/>
        </w:rPr>
      </w:pPr>
      <w:r w:rsidRPr="001455DC">
        <w:t>Carbon steel</w:t>
      </w:r>
    </w:p>
    <w:p w14:paraId="60695341" w14:textId="3C699DBC" w:rsidR="00157CE4" w:rsidRPr="001455DC" w:rsidRDefault="00157CE4" w:rsidP="00157CE4">
      <w:pPr>
        <w:pStyle w:val="Definition"/>
      </w:pPr>
      <w:r w:rsidRPr="001455DC">
        <w:t>weldable steel reinforcement in accordance with EN 10080</w:t>
      </w:r>
    </w:p>
    <w:p w14:paraId="2330C3BC" w14:textId="77777777" w:rsidR="00157CE4" w:rsidRPr="001455DC" w:rsidRDefault="00157CE4" w:rsidP="00281787">
      <w:pPr>
        <w:pStyle w:val="TermNum"/>
      </w:pPr>
    </w:p>
    <w:p w14:paraId="20BA8FA2" w14:textId="46C74774" w:rsidR="004E22C1" w:rsidRPr="001455DC" w:rsidRDefault="004E22C1" w:rsidP="00281787">
      <w:pPr>
        <w:pStyle w:val="TermNum"/>
      </w:pPr>
      <w:r w:rsidRPr="001455DC">
        <w:t>3.1.</w:t>
      </w:r>
      <w:r w:rsidR="00157CE4" w:rsidRPr="001455DC">
        <w:t>9</w:t>
      </w:r>
    </w:p>
    <w:p w14:paraId="3024F7AB" w14:textId="584BA856" w:rsidR="004E22C1" w:rsidRPr="001455DC" w:rsidRDefault="008C1358" w:rsidP="00281787">
      <w:pPr>
        <w:pStyle w:val="Terms"/>
        <w:rPr>
          <w:iCs/>
        </w:rPr>
      </w:pPr>
      <w:r w:rsidRPr="001455DC">
        <w:t>c</w:t>
      </w:r>
      <w:r w:rsidR="004E22C1" w:rsidRPr="001455DC">
        <w:t>hord</w:t>
      </w:r>
    </w:p>
    <w:p w14:paraId="153E2F58" w14:textId="6DA35B9D" w:rsidR="004E22C1" w:rsidRPr="001455DC" w:rsidRDefault="008C1358" w:rsidP="00281787">
      <w:pPr>
        <w:pStyle w:val="Definition"/>
      </w:pPr>
      <w:r w:rsidRPr="001455DC">
        <w:t>c</w:t>
      </w:r>
      <w:r w:rsidR="004E22C1" w:rsidRPr="001455DC">
        <w:t>ompression or tension part of a member idealised as having a narrow width and which interacts with adjacent membrane elements through longitudinal shear</w:t>
      </w:r>
    </w:p>
    <w:p w14:paraId="0DAAFCBE" w14:textId="660CFAC4" w:rsidR="004E22C1" w:rsidRPr="001455DC" w:rsidRDefault="004E22C1" w:rsidP="00281787">
      <w:pPr>
        <w:pStyle w:val="TermNum"/>
      </w:pPr>
      <w:r w:rsidRPr="001455DC">
        <w:t>3.1.</w:t>
      </w:r>
      <w:r w:rsidR="00157CE4" w:rsidRPr="001455DC">
        <w:t>10</w:t>
      </w:r>
    </w:p>
    <w:p w14:paraId="73AEBA38" w14:textId="786ECCF9" w:rsidR="004E22C1" w:rsidRPr="001455DC" w:rsidRDefault="008C1358" w:rsidP="00281787">
      <w:pPr>
        <w:pStyle w:val="Terms"/>
        <w:rPr>
          <w:iCs/>
        </w:rPr>
      </w:pPr>
      <w:r w:rsidRPr="001455DC">
        <w:t>c</w:t>
      </w:r>
      <w:r w:rsidR="004E22C1" w:rsidRPr="001455DC">
        <w:t>olumn</w:t>
      </w:r>
    </w:p>
    <w:p w14:paraId="112AF533" w14:textId="1AFD11F0" w:rsidR="004E22C1" w:rsidRPr="001455DC" w:rsidRDefault="008C1358" w:rsidP="00281787">
      <w:pPr>
        <w:pStyle w:val="Definition"/>
      </w:pPr>
      <w:r w:rsidRPr="001455DC">
        <w:t>l</w:t>
      </w:r>
      <w:r w:rsidR="004E22C1" w:rsidRPr="001455DC">
        <w:t>inear member subjected primarily to axial compression forces, with cross</w:t>
      </w:r>
      <w:r w:rsidR="00B10711" w:rsidRPr="001455DC">
        <w:t xml:space="preserve"> </w:t>
      </w:r>
      <w:r w:rsidR="004E22C1" w:rsidRPr="001455DC">
        <w:t>section depth not exceeding 4</w:t>
      </w:r>
      <w:r w:rsidR="004945D3" w:rsidRPr="001455DC">
        <w:t> </w:t>
      </w:r>
      <w:r w:rsidR="004E22C1" w:rsidRPr="001455DC">
        <w:t>times its width (otherwise it should be considered as a wall) and the length is at least 3</w:t>
      </w:r>
      <w:r w:rsidR="004945D3" w:rsidRPr="001455DC">
        <w:t> </w:t>
      </w:r>
      <w:r w:rsidR="004E22C1" w:rsidRPr="001455DC">
        <w:t>times the section depth</w:t>
      </w:r>
    </w:p>
    <w:p w14:paraId="380D6CEF" w14:textId="79A5EAC4" w:rsidR="004E22C1" w:rsidRPr="001455DC" w:rsidRDefault="004E22C1" w:rsidP="00281787">
      <w:pPr>
        <w:pStyle w:val="TermNum"/>
      </w:pPr>
      <w:r w:rsidRPr="001455DC">
        <w:t>3.1.1</w:t>
      </w:r>
      <w:r w:rsidR="00157CE4" w:rsidRPr="001455DC">
        <w:t>1</w:t>
      </w:r>
    </w:p>
    <w:p w14:paraId="7618EAA2" w14:textId="4856ACCB" w:rsidR="004E22C1" w:rsidRPr="001455DC" w:rsidRDefault="008C1358" w:rsidP="00281787">
      <w:pPr>
        <w:pStyle w:val="Terms"/>
        <w:rPr>
          <w:iCs/>
        </w:rPr>
      </w:pPr>
      <w:r w:rsidRPr="001455DC">
        <w:t>c</w:t>
      </w:r>
      <w:r w:rsidR="004E22C1" w:rsidRPr="001455DC">
        <w:t>ompression field</w:t>
      </w:r>
    </w:p>
    <w:p w14:paraId="34EE3294" w14:textId="63ABBDF7" w:rsidR="004E22C1" w:rsidRPr="001455DC" w:rsidRDefault="008C1358" w:rsidP="00281787">
      <w:pPr>
        <w:pStyle w:val="Definition"/>
      </w:pPr>
      <w:r w:rsidRPr="001455DC">
        <w:t>r</w:t>
      </w:r>
      <w:r w:rsidR="004E22C1" w:rsidRPr="001455DC">
        <w:t>egion of a stress field where concrete is subjected to uniaxial compressive stresses</w:t>
      </w:r>
    </w:p>
    <w:p w14:paraId="311716A2" w14:textId="6D2C6573" w:rsidR="004E22C1" w:rsidRPr="001455DC" w:rsidRDefault="004E22C1" w:rsidP="00281787">
      <w:pPr>
        <w:pStyle w:val="TermNum"/>
      </w:pPr>
      <w:r w:rsidRPr="001455DC">
        <w:t>3.1.1</w:t>
      </w:r>
      <w:r w:rsidR="00157CE4" w:rsidRPr="001455DC">
        <w:t>2</w:t>
      </w:r>
    </w:p>
    <w:p w14:paraId="5DCC0789" w14:textId="750C2293" w:rsidR="004E22C1" w:rsidRPr="001455DC" w:rsidRDefault="008C1358" w:rsidP="00281787">
      <w:pPr>
        <w:pStyle w:val="Terms"/>
        <w:rPr>
          <w:iCs/>
        </w:rPr>
      </w:pPr>
      <w:r w:rsidRPr="001455DC">
        <w:t>c</w:t>
      </w:r>
      <w:r w:rsidR="004E22C1" w:rsidRPr="001455DC">
        <w:t>onfinement reinforcement</w:t>
      </w:r>
    </w:p>
    <w:p w14:paraId="774A05EE" w14:textId="72A3AEAF" w:rsidR="004E22C1" w:rsidRPr="001455DC" w:rsidRDefault="008C1358" w:rsidP="00281787">
      <w:pPr>
        <w:pStyle w:val="Definition"/>
      </w:pPr>
      <w:r w:rsidRPr="001455DC">
        <w:t>r</w:t>
      </w:r>
      <w:r w:rsidR="004E22C1" w:rsidRPr="001455DC">
        <w:t>einforcement which can increase the uniaxial concrete compressive strength and the deformation capacity through the favourable effect of transverse compressive stresses (8.1.4) or can reduce the required anchorage length by preventing cover spalling (11.4.2(6))</w:t>
      </w:r>
    </w:p>
    <w:p w14:paraId="6DD282A1" w14:textId="6B0F7F4C" w:rsidR="004E22C1" w:rsidRPr="001455DC" w:rsidRDefault="004945D3" w:rsidP="004945D3">
      <w:pPr>
        <w:pStyle w:val="Note"/>
      </w:pPr>
      <w:r w:rsidRPr="001455DC">
        <w:t>Note 1 to entry:</w:t>
      </w:r>
      <w:r w:rsidRPr="001455DC">
        <w:tab/>
      </w:r>
      <w:r w:rsidR="004E22C1" w:rsidRPr="001455DC">
        <w:t>It can consist of stirrups, links, U-bars, headed bars or hoops placed perpendicular or at an angle to the axis of the member.</w:t>
      </w:r>
    </w:p>
    <w:p w14:paraId="3FEA4E67" w14:textId="0CB3FB65" w:rsidR="004E22C1" w:rsidRPr="001455DC" w:rsidRDefault="004945D3" w:rsidP="004945D3">
      <w:pPr>
        <w:pStyle w:val="Note"/>
      </w:pPr>
      <w:r w:rsidRPr="001455DC">
        <w:t>Note 2 to entry:</w:t>
      </w:r>
      <w:r w:rsidRPr="001455DC">
        <w:tab/>
      </w:r>
      <w:r w:rsidR="004E22C1" w:rsidRPr="001455DC">
        <w:t>Confinement reinforcement can reduce the design anchorage length if it is perpendicular to the free surface and anchored into the body of the section.</w:t>
      </w:r>
    </w:p>
    <w:p w14:paraId="1ACE9F42" w14:textId="5B3CDD8B" w:rsidR="004E22C1" w:rsidRPr="001455DC" w:rsidRDefault="004E22C1" w:rsidP="00281787">
      <w:pPr>
        <w:pStyle w:val="TermNum"/>
      </w:pPr>
      <w:r w:rsidRPr="001455DC">
        <w:t>3.1.1</w:t>
      </w:r>
      <w:r w:rsidR="00157CE4" w:rsidRPr="001455DC">
        <w:t>3</w:t>
      </w:r>
    </w:p>
    <w:p w14:paraId="03C078A7" w14:textId="73BDBAEF" w:rsidR="004E22C1" w:rsidRPr="001455DC" w:rsidRDefault="008C1358" w:rsidP="00281787">
      <w:pPr>
        <w:pStyle w:val="Terms"/>
      </w:pPr>
      <w:r w:rsidRPr="001455DC">
        <w:t>c</w:t>
      </w:r>
      <w:r w:rsidR="004E22C1" w:rsidRPr="001455DC">
        <w:t>ouplers</w:t>
      </w:r>
    </w:p>
    <w:p w14:paraId="09E151B3" w14:textId="4BDEF819" w:rsidR="004E22C1" w:rsidRPr="001455DC" w:rsidRDefault="008C1358" w:rsidP="00281787">
      <w:pPr>
        <w:pStyle w:val="Definition"/>
      </w:pPr>
      <w:r w:rsidRPr="001455DC">
        <w:t>s</w:t>
      </w:r>
      <w:r w:rsidR="004E22C1" w:rsidRPr="001455DC">
        <w:t>teel reinforcement products used for the mechanical splicing of steel reinforcing bars</w:t>
      </w:r>
    </w:p>
    <w:p w14:paraId="2407E7E4" w14:textId="490C0592" w:rsidR="004E22C1" w:rsidRPr="001455DC" w:rsidRDefault="004E22C1" w:rsidP="00281787">
      <w:pPr>
        <w:pStyle w:val="TermNum"/>
      </w:pPr>
      <w:r w:rsidRPr="001455DC">
        <w:t>3.1.1</w:t>
      </w:r>
      <w:r w:rsidR="00157CE4" w:rsidRPr="001455DC">
        <w:t>4</w:t>
      </w:r>
    </w:p>
    <w:p w14:paraId="5E57E194" w14:textId="676A0714" w:rsidR="004E22C1" w:rsidRPr="001455DC" w:rsidRDefault="008C1358" w:rsidP="00281787">
      <w:pPr>
        <w:pStyle w:val="Terms"/>
        <w:rPr>
          <w:iCs/>
        </w:rPr>
      </w:pPr>
      <w:r w:rsidRPr="001455DC">
        <w:t>c</w:t>
      </w:r>
      <w:r w:rsidR="004E22C1" w:rsidRPr="001455DC">
        <w:t>over</w:t>
      </w:r>
      <w:r w:rsidRPr="001455DC">
        <w:t xml:space="preserve">, </w:t>
      </w:r>
      <w:r w:rsidR="004E22C1" w:rsidRPr="001455DC">
        <w:t>concrete</w:t>
      </w:r>
    </w:p>
    <w:p w14:paraId="6C75DD1B" w14:textId="4A94C233" w:rsidR="004E22C1" w:rsidRPr="001455DC" w:rsidRDefault="008C1358" w:rsidP="002951BB">
      <w:pPr>
        <w:pStyle w:val="Definition"/>
      </w:pPr>
      <w:r w:rsidRPr="001455DC">
        <w:t>d</w:t>
      </w:r>
      <w:r w:rsidR="004E22C1" w:rsidRPr="001455DC">
        <w:t>istance between the surface of a reinforcement bar or tendon (including links and stirrups and surface reinforcement where relevant) and the nearest concrete surface</w:t>
      </w:r>
    </w:p>
    <w:p w14:paraId="00B035B2" w14:textId="6D3E9757" w:rsidR="004E22C1" w:rsidRPr="001455DC" w:rsidRDefault="004E22C1" w:rsidP="00281787">
      <w:pPr>
        <w:pStyle w:val="TermNum"/>
      </w:pPr>
      <w:r w:rsidRPr="001455DC">
        <w:t>3.1.1</w:t>
      </w:r>
      <w:r w:rsidR="00157CE4" w:rsidRPr="001455DC">
        <w:t>5</w:t>
      </w:r>
    </w:p>
    <w:p w14:paraId="03089BE6" w14:textId="1F85BA73" w:rsidR="004E22C1" w:rsidRPr="001455DC" w:rsidRDefault="008C1358" w:rsidP="00281787">
      <w:pPr>
        <w:pStyle w:val="Terms"/>
        <w:rPr>
          <w:iCs/>
        </w:rPr>
      </w:pPr>
      <w:r w:rsidRPr="001455DC">
        <w:t>c</w:t>
      </w:r>
      <w:r w:rsidR="004E22C1" w:rsidRPr="001455DC">
        <w:t>over, minimum</w:t>
      </w:r>
    </w:p>
    <w:p w14:paraId="7C517CCD" w14:textId="25EDB331" w:rsidR="004E22C1" w:rsidRPr="001455DC" w:rsidRDefault="008C1358" w:rsidP="00281787">
      <w:pPr>
        <w:pStyle w:val="Definition"/>
      </w:pPr>
      <w:r w:rsidRPr="001455DC">
        <w:t>m</w:t>
      </w:r>
      <w:r w:rsidR="004E22C1" w:rsidRPr="001455DC">
        <w:t>inimum value of the concrete cover provided in order to ensure (i) safe transmission of bond forces, (ii) protection of the steel against corrosion (durability)</w:t>
      </w:r>
    </w:p>
    <w:p w14:paraId="5D2DBD4A" w14:textId="1540D4A0" w:rsidR="004E22C1" w:rsidRPr="001455DC" w:rsidRDefault="004E22C1" w:rsidP="00281787">
      <w:pPr>
        <w:pStyle w:val="TermNum"/>
      </w:pPr>
      <w:r w:rsidRPr="001455DC">
        <w:t>3.1.1</w:t>
      </w:r>
      <w:r w:rsidR="00157CE4" w:rsidRPr="001455DC">
        <w:t>6</w:t>
      </w:r>
    </w:p>
    <w:p w14:paraId="3EC3B84B" w14:textId="7ED4960F" w:rsidR="004E22C1" w:rsidRPr="001455DC" w:rsidRDefault="008C1358" w:rsidP="00281787">
      <w:pPr>
        <w:pStyle w:val="Terms"/>
        <w:rPr>
          <w:iCs/>
        </w:rPr>
      </w:pPr>
      <w:r w:rsidRPr="001455DC">
        <w:t>c</w:t>
      </w:r>
      <w:r w:rsidR="004E22C1" w:rsidRPr="001455DC">
        <w:t>over, nominal</w:t>
      </w:r>
    </w:p>
    <w:p w14:paraId="7581EB1C" w14:textId="24232FD5" w:rsidR="004E22C1" w:rsidRPr="001455DC" w:rsidRDefault="008C1358" w:rsidP="00281787">
      <w:pPr>
        <w:pStyle w:val="Definition"/>
      </w:pPr>
      <w:r w:rsidRPr="001455DC">
        <w:t>s</w:t>
      </w:r>
      <w:r w:rsidR="004E22C1" w:rsidRPr="001455DC">
        <w:t>pecified value of the concrete cover defined as a minimum cover plus an allowance in design for deviation</w:t>
      </w:r>
    </w:p>
    <w:p w14:paraId="14259785" w14:textId="7329C6E1" w:rsidR="004E22C1" w:rsidRPr="001455DC" w:rsidRDefault="004E22C1" w:rsidP="00281787">
      <w:pPr>
        <w:pStyle w:val="TermNum"/>
      </w:pPr>
      <w:r w:rsidRPr="001455DC">
        <w:t>3.1.1</w:t>
      </w:r>
      <w:r w:rsidR="00157CE4" w:rsidRPr="001455DC">
        <w:t>7</w:t>
      </w:r>
    </w:p>
    <w:p w14:paraId="2F4EF609" w14:textId="5FB5FB64" w:rsidR="004E22C1" w:rsidRPr="001455DC" w:rsidRDefault="008C1358" w:rsidP="00281787">
      <w:pPr>
        <w:pStyle w:val="Terms"/>
        <w:rPr>
          <w:iCs/>
        </w:rPr>
      </w:pPr>
      <w:r w:rsidRPr="001455DC">
        <w:t>c</w:t>
      </w:r>
      <w:r w:rsidR="004E22C1" w:rsidRPr="001455DC">
        <w:t>rack formation phase</w:t>
      </w:r>
    </w:p>
    <w:p w14:paraId="03418CB1" w14:textId="22464DC2" w:rsidR="004E22C1" w:rsidRPr="001455DC" w:rsidRDefault="008C1358" w:rsidP="008C1358">
      <w:pPr>
        <w:pStyle w:val="Definition"/>
        <w:keepLines/>
      </w:pPr>
      <w:r w:rsidRPr="001455DC">
        <w:t>p</w:t>
      </w:r>
      <w:r w:rsidR="004E22C1" w:rsidRPr="001455DC">
        <w:t>hase of the cracking process which occurs when forces are close to the cracking forces and in which the full crack pattern is not yet developed. It is typical of the type of cracking due to imposed deformations with large crack spacings. An increase in the imposed strain will not increase cracks width. Instead it will form new cracks</w:t>
      </w:r>
    </w:p>
    <w:p w14:paraId="04BF187A" w14:textId="65A10AE7" w:rsidR="004E22C1" w:rsidRPr="001455DC" w:rsidRDefault="004E22C1" w:rsidP="00281787">
      <w:pPr>
        <w:pStyle w:val="TermNum"/>
      </w:pPr>
      <w:r w:rsidRPr="001455DC">
        <w:t>3.1.1</w:t>
      </w:r>
      <w:r w:rsidR="00157CE4" w:rsidRPr="001455DC">
        <w:t>8</w:t>
      </w:r>
    </w:p>
    <w:p w14:paraId="321AC050" w14:textId="74533283" w:rsidR="004E22C1" w:rsidRPr="001455DC" w:rsidRDefault="008C1358" w:rsidP="00281787">
      <w:pPr>
        <w:pStyle w:val="Terms"/>
        <w:rPr>
          <w:iCs/>
        </w:rPr>
      </w:pPr>
      <w:r w:rsidRPr="001455DC">
        <w:t>c</w:t>
      </w:r>
      <w:r w:rsidR="004E22C1" w:rsidRPr="001455DC">
        <w:t>rack width, calculated</w:t>
      </w:r>
    </w:p>
    <w:p w14:paraId="47508C2D" w14:textId="08230D0F" w:rsidR="004E22C1" w:rsidRPr="001455DC" w:rsidRDefault="008C1358" w:rsidP="00281787">
      <w:pPr>
        <w:pStyle w:val="Definition"/>
      </w:pPr>
      <w:r w:rsidRPr="001455DC">
        <w:t>c</w:t>
      </w:r>
      <w:r w:rsidR="004E22C1" w:rsidRPr="001455DC">
        <w:t>alculated crack width at surface of member</w:t>
      </w:r>
    </w:p>
    <w:p w14:paraId="781E841B" w14:textId="77777777" w:rsidR="004E22C1" w:rsidRPr="001455DC" w:rsidRDefault="004E22C1" w:rsidP="00281787">
      <w:pPr>
        <w:pStyle w:val="TermNum"/>
      </w:pPr>
      <w:r w:rsidRPr="001455DC">
        <w:t>3.1.19</w:t>
      </w:r>
    </w:p>
    <w:p w14:paraId="45BEFB97" w14:textId="1F4F2D45" w:rsidR="004E22C1" w:rsidRPr="001455DC" w:rsidRDefault="008C1358" w:rsidP="00281787">
      <w:pPr>
        <w:pStyle w:val="Terms"/>
        <w:rPr>
          <w:iCs/>
        </w:rPr>
      </w:pPr>
      <w:r w:rsidRPr="001455DC">
        <w:t>c</w:t>
      </w:r>
      <w:r w:rsidR="004E22C1" w:rsidRPr="001455DC">
        <w:t>reep, basic</w:t>
      </w:r>
    </w:p>
    <w:p w14:paraId="4AC6AC64" w14:textId="63D5D196" w:rsidR="004E22C1" w:rsidRPr="001455DC" w:rsidRDefault="008C1358" w:rsidP="00281787">
      <w:pPr>
        <w:pStyle w:val="Definition"/>
      </w:pPr>
      <w:r w:rsidRPr="001455DC">
        <w:t>c</w:t>
      </w:r>
      <w:r w:rsidR="004E22C1" w:rsidRPr="001455DC">
        <w:t>reep occurring in concrete when there is no moisture transfer with the surrounding environment</w:t>
      </w:r>
    </w:p>
    <w:p w14:paraId="42D05EAE" w14:textId="77777777" w:rsidR="004E22C1" w:rsidRPr="001455DC" w:rsidRDefault="004E22C1" w:rsidP="00281787">
      <w:pPr>
        <w:pStyle w:val="TermNum"/>
      </w:pPr>
      <w:r w:rsidRPr="001455DC">
        <w:t>3.1.20</w:t>
      </w:r>
    </w:p>
    <w:p w14:paraId="4ECD17B2" w14:textId="6563CB38" w:rsidR="004E22C1" w:rsidRPr="001455DC" w:rsidRDefault="008C1358" w:rsidP="00281787">
      <w:pPr>
        <w:pStyle w:val="Terms"/>
        <w:rPr>
          <w:iCs/>
        </w:rPr>
      </w:pPr>
      <w:r w:rsidRPr="001455DC">
        <w:t>c</w:t>
      </w:r>
      <w:r w:rsidR="004E22C1" w:rsidRPr="001455DC">
        <w:t>reep, drying</w:t>
      </w:r>
    </w:p>
    <w:p w14:paraId="2D12E361" w14:textId="25BB2A58" w:rsidR="004E22C1" w:rsidRPr="001455DC" w:rsidRDefault="008C1358" w:rsidP="00281787">
      <w:pPr>
        <w:pStyle w:val="Definition"/>
      </w:pPr>
      <w:r w:rsidRPr="001455DC">
        <w:t>c</w:t>
      </w:r>
      <w:r w:rsidR="004E22C1" w:rsidRPr="001455DC">
        <w:t>reep, additional to basic creep, occurring in concrete when there is moisture transfer with the surrounding environment. The total creep is the sum of basic and drying creep</w:t>
      </w:r>
    </w:p>
    <w:p w14:paraId="48A9C04D" w14:textId="77777777" w:rsidR="004E22C1" w:rsidRPr="001455DC" w:rsidRDefault="004E22C1" w:rsidP="00281787">
      <w:pPr>
        <w:pStyle w:val="TermNum"/>
      </w:pPr>
      <w:r w:rsidRPr="001455DC">
        <w:t>3.1.21</w:t>
      </w:r>
    </w:p>
    <w:p w14:paraId="33432F6D" w14:textId="71412028" w:rsidR="004E22C1" w:rsidRPr="001455DC" w:rsidRDefault="008C1358" w:rsidP="00281787">
      <w:pPr>
        <w:pStyle w:val="Terms"/>
        <w:rPr>
          <w:iCs/>
        </w:rPr>
      </w:pPr>
      <w:r w:rsidRPr="001455DC">
        <w:t>d</w:t>
      </w:r>
      <w:r w:rsidR="004E22C1" w:rsidRPr="001455DC">
        <w:t>eep beam</w:t>
      </w:r>
    </w:p>
    <w:p w14:paraId="337F4031" w14:textId="3F51653D" w:rsidR="004E22C1" w:rsidRPr="001455DC" w:rsidRDefault="008C1358" w:rsidP="00281787">
      <w:pPr>
        <w:pStyle w:val="Definition"/>
        <w:rPr>
          <w:i/>
        </w:rPr>
      </w:pPr>
      <w:r w:rsidRPr="001455DC">
        <w:t>b</w:t>
      </w:r>
      <w:r w:rsidR="004E22C1" w:rsidRPr="001455DC">
        <w:t xml:space="preserve">eam for which the span </w:t>
      </w:r>
      <w:r w:rsidR="004E22C1" w:rsidRPr="001455DC">
        <w:rPr>
          <w:i/>
        </w:rPr>
        <w:t>l</w:t>
      </w:r>
      <w:r w:rsidR="004E22C1" w:rsidRPr="001455DC">
        <w:rPr>
          <w:vertAlign w:val="subscript"/>
        </w:rPr>
        <w:t>eff</w:t>
      </w:r>
      <w:r w:rsidR="004E22C1" w:rsidRPr="001455DC">
        <w:t xml:space="preserve"> is less than 3 times the overall section depth </w:t>
      </w:r>
      <w:r w:rsidR="004E22C1" w:rsidRPr="001455DC">
        <w:rPr>
          <w:i/>
        </w:rPr>
        <w:t>h</w:t>
      </w:r>
    </w:p>
    <w:p w14:paraId="3458E5D9" w14:textId="6837846B" w:rsidR="002677D5" w:rsidRPr="001455DC" w:rsidRDefault="002677D5" w:rsidP="002677D5">
      <w:pPr>
        <w:pStyle w:val="TermNum"/>
      </w:pPr>
      <w:r w:rsidRPr="001455DC">
        <w:t>3.1.22</w:t>
      </w:r>
    </w:p>
    <w:p w14:paraId="5B8565AF" w14:textId="77777777" w:rsidR="002677D5" w:rsidRPr="001455DC" w:rsidRDefault="002677D5" w:rsidP="002677D5">
      <w:pPr>
        <w:pStyle w:val="Terms"/>
        <w:rPr>
          <w:iCs/>
        </w:rPr>
      </w:pPr>
      <w:r w:rsidRPr="001455DC">
        <w:t>deformation capacity</w:t>
      </w:r>
    </w:p>
    <w:p w14:paraId="30A5B764" w14:textId="279ADE7D" w:rsidR="002677D5" w:rsidRPr="001455DC" w:rsidRDefault="002677D5" w:rsidP="002677D5">
      <w:pPr>
        <w:pStyle w:val="Definition"/>
        <w:rPr>
          <w:i/>
        </w:rPr>
      </w:pPr>
      <w:r w:rsidRPr="001455DC">
        <w:t>ability of a member or part of it or a structure to deform while maintaining its resistance</w:t>
      </w:r>
    </w:p>
    <w:p w14:paraId="33CE583D" w14:textId="6E2C255E" w:rsidR="004E22C1" w:rsidRPr="001455DC" w:rsidRDefault="004E22C1" w:rsidP="00281787">
      <w:pPr>
        <w:pStyle w:val="TermNum"/>
      </w:pPr>
      <w:r w:rsidRPr="001455DC">
        <w:t>3.1.2</w:t>
      </w:r>
      <w:r w:rsidR="002677D5" w:rsidRPr="001455DC">
        <w:t>3</w:t>
      </w:r>
    </w:p>
    <w:p w14:paraId="0E1BFE18" w14:textId="52642841" w:rsidR="004E22C1" w:rsidRPr="001455DC" w:rsidRDefault="008C1358" w:rsidP="00281787">
      <w:pPr>
        <w:pStyle w:val="Terms"/>
        <w:rPr>
          <w:iCs/>
        </w:rPr>
      </w:pPr>
      <w:r w:rsidRPr="001455DC">
        <w:t>d</w:t>
      </w:r>
      <w:r w:rsidR="004E22C1" w:rsidRPr="001455DC">
        <w:t xml:space="preserve">esign specification (or </w:t>
      </w:r>
      <w:r w:rsidRPr="001455DC">
        <w:t>p</w:t>
      </w:r>
      <w:r w:rsidR="004E22C1" w:rsidRPr="001455DC">
        <w:t xml:space="preserve">roject </w:t>
      </w:r>
      <w:r w:rsidRPr="001455DC">
        <w:t>b</w:t>
      </w:r>
      <w:r w:rsidR="004E22C1" w:rsidRPr="001455DC">
        <w:t>asis)</w:t>
      </w:r>
    </w:p>
    <w:p w14:paraId="62EFA1B4" w14:textId="78D69199" w:rsidR="004E22C1" w:rsidRPr="001455DC" w:rsidRDefault="008C1358" w:rsidP="00281787">
      <w:pPr>
        <w:pStyle w:val="Definition"/>
      </w:pPr>
      <w:r w:rsidRPr="001455DC">
        <w:t>d</w:t>
      </w:r>
      <w:r w:rsidR="004E22C1" w:rsidRPr="001455DC">
        <w:t>ocument which gives all assumptions taken for design of a particular project in particular including those for which Eurocodes leave options or which deviate from Eurocodes</w:t>
      </w:r>
    </w:p>
    <w:p w14:paraId="1E1B5F11" w14:textId="2EA2851B" w:rsidR="004E22C1" w:rsidRPr="001455DC" w:rsidRDefault="004E22C1" w:rsidP="00281787">
      <w:pPr>
        <w:pStyle w:val="TermNum"/>
      </w:pPr>
      <w:r w:rsidRPr="001455DC">
        <w:t>3.1.2</w:t>
      </w:r>
      <w:r w:rsidR="002677D5" w:rsidRPr="001455DC">
        <w:t>4</w:t>
      </w:r>
    </w:p>
    <w:p w14:paraId="1B1ADF80" w14:textId="468F5AD2" w:rsidR="004E22C1" w:rsidRPr="001455DC" w:rsidRDefault="008C1358" w:rsidP="00281787">
      <w:pPr>
        <w:pStyle w:val="Terms"/>
        <w:rPr>
          <w:iCs/>
        </w:rPr>
      </w:pPr>
      <w:r w:rsidRPr="001455DC">
        <w:t>d</w:t>
      </w:r>
      <w:r w:rsidR="004E22C1" w:rsidRPr="001455DC">
        <w:t>amp patch</w:t>
      </w:r>
    </w:p>
    <w:p w14:paraId="70FD008C" w14:textId="13D493F7" w:rsidR="004E22C1" w:rsidRPr="001455DC" w:rsidRDefault="008C1358" w:rsidP="00281787">
      <w:pPr>
        <w:pStyle w:val="Definition"/>
      </w:pPr>
      <w:r w:rsidRPr="001455DC">
        <w:t>a</w:t>
      </w:r>
      <w:r w:rsidR="004E22C1" w:rsidRPr="001455DC">
        <w:t>rea which, when touched, might leave a light film of moisture on the hand but no droplets of water (i.e. beading)</w:t>
      </w:r>
    </w:p>
    <w:p w14:paraId="350AECE7" w14:textId="2BD91D53" w:rsidR="004E22C1" w:rsidRPr="001455DC" w:rsidRDefault="004E22C1" w:rsidP="00281787">
      <w:pPr>
        <w:pStyle w:val="TermNum"/>
      </w:pPr>
      <w:r w:rsidRPr="001455DC">
        <w:t>3.1.2</w:t>
      </w:r>
      <w:r w:rsidR="002677D5" w:rsidRPr="001455DC">
        <w:t>5</w:t>
      </w:r>
    </w:p>
    <w:p w14:paraId="7F2F1F13" w14:textId="0E6615CA" w:rsidR="004E22C1" w:rsidRPr="001455DC" w:rsidRDefault="008C1358" w:rsidP="00281787">
      <w:pPr>
        <w:pStyle w:val="Terms"/>
        <w:rPr>
          <w:iCs/>
        </w:rPr>
      </w:pPr>
      <w:r w:rsidRPr="001455DC">
        <w:t>d</w:t>
      </w:r>
      <w:r w:rsidR="004E22C1" w:rsidRPr="001455DC">
        <w:t>iaphragm</w:t>
      </w:r>
    </w:p>
    <w:p w14:paraId="4DC80ED8" w14:textId="047DCD95" w:rsidR="004E22C1" w:rsidRPr="001455DC" w:rsidRDefault="008C1358" w:rsidP="00281787">
      <w:pPr>
        <w:pStyle w:val="Definition"/>
      </w:pPr>
      <w:r w:rsidRPr="001455DC">
        <w:t>p</w:t>
      </w:r>
      <w:r w:rsidR="004E22C1" w:rsidRPr="001455DC">
        <w:t>lanar member able to resist in-plane forces</w:t>
      </w:r>
    </w:p>
    <w:p w14:paraId="0EEE4086" w14:textId="4346BBB0" w:rsidR="004E22C1" w:rsidRPr="001455DC" w:rsidRDefault="004E22C1" w:rsidP="00281787">
      <w:pPr>
        <w:pStyle w:val="TermNum"/>
      </w:pPr>
      <w:r w:rsidRPr="001455DC">
        <w:t>3.1.2</w:t>
      </w:r>
      <w:r w:rsidR="002677D5" w:rsidRPr="001455DC">
        <w:t>6</w:t>
      </w:r>
    </w:p>
    <w:p w14:paraId="652E162A" w14:textId="04DE2249" w:rsidR="004E22C1" w:rsidRPr="001455DC" w:rsidRDefault="008C1358" w:rsidP="00281787">
      <w:pPr>
        <w:pStyle w:val="Terms"/>
        <w:rPr>
          <w:iCs/>
        </w:rPr>
      </w:pPr>
      <w:r w:rsidRPr="001455DC">
        <w:t>e</w:t>
      </w:r>
      <w:r w:rsidR="004E22C1" w:rsidRPr="001455DC">
        <w:t>ffective tension area</w:t>
      </w:r>
    </w:p>
    <w:p w14:paraId="34154005" w14:textId="7AFEC2EA" w:rsidR="004E22C1" w:rsidRPr="001455DC" w:rsidRDefault="008C1358" w:rsidP="00281787">
      <w:pPr>
        <w:pStyle w:val="Definition"/>
      </w:pPr>
      <w:r w:rsidRPr="001455DC">
        <w:t>c</w:t>
      </w:r>
      <w:r w:rsidR="004E22C1" w:rsidRPr="001455DC">
        <w:t>oncrete area in tension around reinforcement within which the crack opening is effectively controlled by the reinforcement (area of concrete that needs to be tensioned up to the tensile resistance of concrete to produce a new crack)</w:t>
      </w:r>
    </w:p>
    <w:p w14:paraId="2E45D5D6" w14:textId="0B9B342B" w:rsidR="004E22C1" w:rsidRPr="001455DC" w:rsidRDefault="004E22C1" w:rsidP="00281787">
      <w:pPr>
        <w:pStyle w:val="TermNum"/>
      </w:pPr>
      <w:r w:rsidRPr="001455DC">
        <w:t>3.1.2</w:t>
      </w:r>
      <w:r w:rsidR="002677D5" w:rsidRPr="001455DC">
        <w:t>7</w:t>
      </w:r>
    </w:p>
    <w:p w14:paraId="48293A4C" w14:textId="7F9CD30A" w:rsidR="004E22C1" w:rsidRPr="001455DC" w:rsidRDefault="008C1358" w:rsidP="00281787">
      <w:pPr>
        <w:pStyle w:val="Terms"/>
        <w:rPr>
          <w:iCs/>
        </w:rPr>
      </w:pPr>
      <w:r w:rsidRPr="001455DC">
        <w:t>e</w:t>
      </w:r>
      <w:r w:rsidR="004E22C1" w:rsidRPr="001455DC">
        <w:t>ffective depth</w:t>
      </w:r>
    </w:p>
    <w:p w14:paraId="70AE615B" w14:textId="43876038" w:rsidR="004E22C1" w:rsidRPr="001455DC" w:rsidRDefault="008C1358" w:rsidP="00281787">
      <w:pPr>
        <w:pStyle w:val="Definition"/>
      </w:pPr>
      <w:r w:rsidRPr="001455DC">
        <w:t>i</w:t>
      </w:r>
      <w:r w:rsidR="004E22C1" w:rsidRPr="001455DC">
        <w:t>n a cross section, distance from the extreme compression fibre to geometrical centroid of longitudinal tension reinforcement</w:t>
      </w:r>
    </w:p>
    <w:p w14:paraId="6CD9C18A" w14:textId="5C2D184E" w:rsidR="004E22C1" w:rsidRPr="001455DC" w:rsidRDefault="004E22C1" w:rsidP="00281787">
      <w:pPr>
        <w:pStyle w:val="TermNum"/>
      </w:pPr>
      <w:r w:rsidRPr="001455DC">
        <w:t>3.1.2</w:t>
      </w:r>
      <w:r w:rsidR="002677D5" w:rsidRPr="001455DC">
        <w:t>8</w:t>
      </w:r>
    </w:p>
    <w:p w14:paraId="78E2B11B" w14:textId="2EFED033" w:rsidR="004E22C1" w:rsidRPr="001455DC" w:rsidRDefault="008C1358" w:rsidP="00281787">
      <w:pPr>
        <w:pStyle w:val="Terms"/>
        <w:rPr>
          <w:iCs/>
        </w:rPr>
      </w:pPr>
      <w:r w:rsidRPr="001455DC">
        <w:t>e</w:t>
      </w:r>
      <w:r w:rsidR="004E22C1" w:rsidRPr="001455DC">
        <w:t>ffective length</w:t>
      </w:r>
    </w:p>
    <w:p w14:paraId="2BB16141" w14:textId="2D651E4F" w:rsidR="004E22C1" w:rsidRPr="001455DC" w:rsidRDefault="004E22C1" w:rsidP="00281787">
      <w:pPr>
        <w:pStyle w:val="Definition"/>
      </w:pPr>
      <w:r w:rsidRPr="001455DC">
        <w:t xml:space="preserve">length used to account for the shape of the deflection curve; it can also be defined as </w:t>
      </w:r>
      <w:r w:rsidRPr="001455DC">
        <w:rPr>
          <w:iCs/>
        </w:rPr>
        <w:t>buckling length</w:t>
      </w:r>
      <w:r w:rsidRPr="001455DC">
        <w:t>, i.e. the length of a pin-ended column with constant normal force, having the same cross section and buckling load as the actual member</w:t>
      </w:r>
    </w:p>
    <w:p w14:paraId="4EECCB9C" w14:textId="1B488A41" w:rsidR="004E22C1" w:rsidRPr="001455DC" w:rsidRDefault="004E22C1" w:rsidP="00281787">
      <w:pPr>
        <w:pStyle w:val="TermNum"/>
      </w:pPr>
      <w:r w:rsidRPr="001455DC">
        <w:t>3.1.2</w:t>
      </w:r>
      <w:r w:rsidR="002677D5" w:rsidRPr="001455DC">
        <w:t>9</w:t>
      </w:r>
    </w:p>
    <w:p w14:paraId="6D4C0712" w14:textId="77777777" w:rsidR="004E22C1" w:rsidRPr="001455DC" w:rsidRDefault="004E22C1" w:rsidP="00281787">
      <w:pPr>
        <w:pStyle w:val="Terms"/>
      </w:pPr>
      <w:r w:rsidRPr="001455DC">
        <w:t>European Technical Product Specification</w:t>
      </w:r>
    </w:p>
    <w:p w14:paraId="6D370A03" w14:textId="5D110D5D" w:rsidR="004E22C1" w:rsidRPr="001455DC" w:rsidRDefault="004945D3" w:rsidP="008C1358">
      <w:pPr>
        <w:pStyle w:val="Definition"/>
        <w:spacing w:after="120"/>
        <w:ind w:left="357" w:hanging="357"/>
      </w:pPr>
      <w:r w:rsidRPr="001455DC">
        <w:rPr>
          <w:rFonts w:eastAsiaTheme="minorHAnsi"/>
        </w:rPr>
        <w:t>—</w:t>
      </w:r>
      <w:r w:rsidR="004E22C1" w:rsidRPr="001455DC">
        <w:rPr>
          <w:rFonts w:eastAsiaTheme="minorHAnsi"/>
        </w:rPr>
        <w:tab/>
      </w:r>
      <w:r w:rsidR="004E22C1" w:rsidRPr="001455DC">
        <w:t>a European Product Standard (EN),</w:t>
      </w:r>
    </w:p>
    <w:p w14:paraId="738807BA" w14:textId="4E1E92D8" w:rsidR="004E22C1" w:rsidRPr="001455DC" w:rsidRDefault="004945D3" w:rsidP="008C1358">
      <w:pPr>
        <w:pStyle w:val="Definition"/>
        <w:spacing w:after="120"/>
        <w:ind w:left="357" w:hanging="357"/>
      </w:pPr>
      <w:r w:rsidRPr="001455DC">
        <w:rPr>
          <w:rFonts w:eastAsiaTheme="minorHAnsi"/>
        </w:rPr>
        <w:t>—</w:t>
      </w:r>
      <w:r w:rsidR="004E22C1" w:rsidRPr="001455DC">
        <w:rPr>
          <w:rFonts w:eastAsiaTheme="minorHAnsi"/>
        </w:rPr>
        <w:tab/>
      </w:r>
      <w:r w:rsidR="004E22C1" w:rsidRPr="001455DC">
        <w:t>or a European Technical Assessment (ETA) based on a European Assessment Document (EAD),</w:t>
      </w:r>
    </w:p>
    <w:p w14:paraId="449D677A" w14:textId="1C9E4059" w:rsidR="004E22C1" w:rsidRPr="001455DC" w:rsidRDefault="004945D3" w:rsidP="004945D3">
      <w:pPr>
        <w:pStyle w:val="Definition"/>
        <w:ind w:left="357" w:hanging="357"/>
      </w:pPr>
      <w:r w:rsidRPr="001455DC">
        <w:rPr>
          <w:rFonts w:eastAsiaTheme="minorHAnsi"/>
        </w:rPr>
        <w:t>—</w:t>
      </w:r>
      <w:r w:rsidR="004E22C1" w:rsidRPr="001455DC">
        <w:rPr>
          <w:rFonts w:eastAsiaTheme="minorHAnsi"/>
        </w:rPr>
        <w:tab/>
      </w:r>
      <w:r w:rsidR="004E22C1" w:rsidRPr="001455DC">
        <w:t>or a transparent and reproducible assessment that complies with all requirements of the relevant EAD</w:t>
      </w:r>
    </w:p>
    <w:p w14:paraId="6597855D" w14:textId="48EC9304" w:rsidR="004E22C1" w:rsidRPr="001455DC" w:rsidRDefault="004E22C1" w:rsidP="00281787">
      <w:pPr>
        <w:pStyle w:val="TermNum"/>
      </w:pPr>
      <w:r w:rsidRPr="001455DC">
        <w:t>3.1.</w:t>
      </w:r>
      <w:r w:rsidR="002677D5" w:rsidRPr="001455DC">
        <w:t>30</w:t>
      </w:r>
    </w:p>
    <w:p w14:paraId="00E43D05" w14:textId="5DFBCCEF" w:rsidR="004E22C1" w:rsidRPr="001455DC" w:rsidRDefault="008C1358" w:rsidP="00281787">
      <w:pPr>
        <w:pStyle w:val="Terms"/>
        <w:rPr>
          <w:iCs/>
        </w:rPr>
      </w:pPr>
      <w:r w:rsidRPr="001455DC">
        <w:t>e</w:t>
      </w:r>
      <w:r w:rsidR="004E22C1" w:rsidRPr="001455DC">
        <w:t>xecution specification</w:t>
      </w:r>
    </w:p>
    <w:p w14:paraId="4F05A270" w14:textId="36D0CB28" w:rsidR="004E22C1" w:rsidRPr="001455DC" w:rsidRDefault="008C1358" w:rsidP="00281787">
      <w:pPr>
        <w:pStyle w:val="Definition"/>
      </w:pPr>
      <w:r w:rsidRPr="001455DC">
        <w:t>d</w:t>
      </w:r>
      <w:r w:rsidR="004E22C1" w:rsidRPr="001455DC">
        <w:t>ocument covering all drawings, technical data and requirements necessary for the execution of a particular project</w:t>
      </w:r>
    </w:p>
    <w:p w14:paraId="26357051" w14:textId="030E9B0C" w:rsidR="004E22C1" w:rsidRPr="001455DC" w:rsidRDefault="004E22C1" w:rsidP="00281787">
      <w:pPr>
        <w:pStyle w:val="TermNum"/>
      </w:pPr>
      <w:r w:rsidRPr="001455DC">
        <w:t>3.1.3</w:t>
      </w:r>
      <w:r w:rsidR="002677D5" w:rsidRPr="001455DC">
        <w:t>1</w:t>
      </w:r>
    </w:p>
    <w:p w14:paraId="6B229942" w14:textId="7B628802" w:rsidR="004E22C1" w:rsidRPr="001455DC" w:rsidRDefault="008C1358" w:rsidP="00281787">
      <w:pPr>
        <w:pStyle w:val="Terms"/>
        <w:rPr>
          <w:iCs/>
        </w:rPr>
      </w:pPr>
      <w:r w:rsidRPr="001455DC">
        <w:t>e</w:t>
      </w:r>
      <w:r w:rsidR="004E22C1" w:rsidRPr="001455DC">
        <w:t>xternal tendon</w:t>
      </w:r>
    </w:p>
    <w:p w14:paraId="295E5DE8" w14:textId="7B4A93D3" w:rsidR="004E22C1" w:rsidRPr="001455DC" w:rsidRDefault="008C1358" w:rsidP="00281787">
      <w:pPr>
        <w:pStyle w:val="Definition"/>
      </w:pPr>
      <w:r w:rsidRPr="001455DC">
        <w:t>t</w:t>
      </w:r>
      <w:r w:rsidR="004E22C1" w:rsidRPr="001455DC">
        <w:t>endon external to the concrete, either within the depth of the cross section or on the surface of the cross section, encased inside protective sheath filled with suitable filler</w:t>
      </w:r>
    </w:p>
    <w:p w14:paraId="24455A89" w14:textId="625EC2D8" w:rsidR="004E22C1" w:rsidRPr="001455DC" w:rsidRDefault="004E22C1" w:rsidP="00281787">
      <w:pPr>
        <w:pStyle w:val="TermNum"/>
      </w:pPr>
      <w:r w:rsidRPr="001455DC">
        <w:t>3.1.3</w:t>
      </w:r>
      <w:r w:rsidR="002677D5" w:rsidRPr="001455DC">
        <w:t>2</w:t>
      </w:r>
    </w:p>
    <w:p w14:paraId="13AEF7AA" w14:textId="20509250" w:rsidR="004E22C1" w:rsidRPr="001455DC" w:rsidRDefault="008C1358" w:rsidP="00281787">
      <w:pPr>
        <w:pStyle w:val="Terms"/>
        <w:rPr>
          <w:iCs/>
        </w:rPr>
      </w:pPr>
      <w:r w:rsidRPr="001455DC">
        <w:t>f</w:t>
      </w:r>
      <w:r w:rsidR="004E22C1" w:rsidRPr="001455DC">
        <w:t>irst order effects</w:t>
      </w:r>
    </w:p>
    <w:p w14:paraId="3A5FE995" w14:textId="5659BFFA" w:rsidR="004E22C1" w:rsidRPr="001455DC" w:rsidRDefault="008C1358" w:rsidP="00281787">
      <w:pPr>
        <w:pStyle w:val="Definition"/>
      </w:pPr>
      <w:r w:rsidRPr="001455DC">
        <w:t>a</w:t>
      </w:r>
      <w:r w:rsidR="004E22C1" w:rsidRPr="001455DC">
        <w:t>ction effects calculated without consideration of the effect of structural deformations, but including geometric imperfections</w:t>
      </w:r>
    </w:p>
    <w:p w14:paraId="0C90D525" w14:textId="6865CE1B" w:rsidR="004E22C1" w:rsidRPr="001455DC" w:rsidRDefault="004E22C1" w:rsidP="00281787">
      <w:pPr>
        <w:pStyle w:val="TermNum"/>
      </w:pPr>
      <w:r w:rsidRPr="001455DC">
        <w:t>3.1.3</w:t>
      </w:r>
      <w:r w:rsidR="002677D5" w:rsidRPr="001455DC">
        <w:t>3</w:t>
      </w:r>
    </w:p>
    <w:p w14:paraId="2B4DA204" w14:textId="04BB8114" w:rsidR="004E22C1" w:rsidRPr="001455DC" w:rsidRDefault="008C1358" w:rsidP="00281787">
      <w:pPr>
        <w:pStyle w:val="Terms"/>
        <w:rPr>
          <w:iCs/>
        </w:rPr>
      </w:pPr>
      <w:r w:rsidRPr="001455DC">
        <w:t>f</w:t>
      </w:r>
      <w:r w:rsidR="004E22C1" w:rsidRPr="001455DC">
        <w:t>lat slab</w:t>
      </w:r>
    </w:p>
    <w:p w14:paraId="5C4D486C" w14:textId="333D7D09" w:rsidR="004E22C1" w:rsidRPr="001455DC" w:rsidRDefault="008C1358" w:rsidP="00281787">
      <w:pPr>
        <w:pStyle w:val="Definition"/>
      </w:pPr>
      <w:r w:rsidRPr="001455DC">
        <w:t>s</w:t>
      </w:r>
      <w:r w:rsidR="004E22C1" w:rsidRPr="001455DC">
        <w:t>lab supported directly by columns, may be solid, ribbed or waffle</w:t>
      </w:r>
    </w:p>
    <w:p w14:paraId="1BE03054" w14:textId="24A0D965" w:rsidR="004E22C1" w:rsidRPr="001455DC" w:rsidRDefault="004E22C1" w:rsidP="00281787">
      <w:pPr>
        <w:pStyle w:val="TermNum"/>
      </w:pPr>
      <w:r w:rsidRPr="001455DC">
        <w:t>3.1.3</w:t>
      </w:r>
      <w:r w:rsidR="002677D5" w:rsidRPr="001455DC">
        <w:t>4</w:t>
      </w:r>
    </w:p>
    <w:p w14:paraId="02AAB8DF" w14:textId="6E44B0E0" w:rsidR="004E22C1" w:rsidRPr="001455DC" w:rsidRDefault="008C1358" w:rsidP="00281787">
      <w:pPr>
        <w:pStyle w:val="Terms"/>
        <w:rPr>
          <w:iCs/>
        </w:rPr>
      </w:pPr>
      <w:r w:rsidRPr="001455DC">
        <w:t>g</w:t>
      </w:r>
      <w:r w:rsidR="004E22C1" w:rsidRPr="001455DC">
        <w:t>eneral anchorage zone</w:t>
      </w:r>
    </w:p>
    <w:p w14:paraId="6A82F8E2" w14:textId="7D91A699" w:rsidR="004E22C1" w:rsidRPr="001455DC" w:rsidRDefault="008C1358" w:rsidP="00281787">
      <w:pPr>
        <w:pStyle w:val="Definition"/>
      </w:pPr>
      <w:r w:rsidRPr="001455DC">
        <w:t>z</w:t>
      </w:r>
      <w:r w:rsidR="004E22C1" w:rsidRPr="001455DC">
        <w:t>one in which the tendon force is dispersed over the member cross section until a linear stress distribution may be assumed</w:t>
      </w:r>
    </w:p>
    <w:p w14:paraId="3D92E6F2" w14:textId="49C0CDA2" w:rsidR="004E22C1" w:rsidRPr="001455DC" w:rsidRDefault="004E22C1" w:rsidP="00281787">
      <w:pPr>
        <w:pStyle w:val="TermNum"/>
      </w:pPr>
      <w:r w:rsidRPr="001455DC">
        <w:t>3.1.3</w:t>
      </w:r>
      <w:r w:rsidR="002677D5" w:rsidRPr="001455DC">
        <w:t>5</w:t>
      </w:r>
    </w:p>
    <w:p w14:paraId="47B2B186" w14:textId="42B75D91" w:rsidR="004E22C1" w:rsidRPr="001455DC" w:rsidRDefault="008C1358" w:rsidP="00281787">
      <w:pPr>
        <w:pStyle w:val="Terms"/>
        <w:rPr>
          <w:iCs/>
        </w:rPr>
      </w:pPr>
      <w:r w:rsidRPr="001455DC">
        <w:t>h</w:t>
      </w:r>
      <w:r w:rsidR="004E22C1" w:rsidRPr="001455DC">
        <w:t>eaded bar</w:t>
      </w:r>
    </w:p>
    <w:p w14:paraId="2D5132D4" w14:textId="4191A68F" w:rsidR="004E22C1" w:rsidRPr="001455DC" w:rsidRDefault="008C1358" w:rsidP="00281787">
      <w:pPr>
        <w:pStyle w:val="Definition"/>
      </w:pPr>
      <w:r w:rsidRPr="001455DC">
        <w:t>r</w:t>
      </w:r>
      <w:r w:rsidR="004E22C1" w:rsidRPr="001455DC">
        <w:t>einforcing bar with head attached at one or both ends</w:t>
      </w:r>
    </w:p>
    <w:p w14:paraId="7B4DF5AC" w14:textId="049DA6CF" w:rsidR="004E22C1" w:rsidRPr="001455DC" w:rsidRDefault="004E22C1" w:rsidP="00281787">
      <w:pPr>
        <w:pStyle w:val="TermNum"/>
      </w:pPr>
      <w:r w:rsidRPr="001455DC">
        <w:t>3.1.3</w:t>
      </w:r>
      <w:r w:rsidR="002677D5" w:rsidRPr="001455DC">
        <w:t>6</w:t>
      </w:r>
    </w:p>
    <w:p w14:paraId="78D6D279" w14:textId="43009A89" w:rsidR="004E22C1" w:rsidRPr="001455DC" w:rsidRDefault="008C1358" w:rsidP="00281787">
      <w:pPr>
        <w:pStyle w:val="Terms"/>
        <w:rPr>
          <w:iCs/>
        </w:rPr>
      </w:pPr>
      <w:r w:rsidRPr="001455DC">
        <w:t>h</w:t>
      </w:r>
      <w:r w:rsidR="004E22C1" w:rsidRPr="001455DC">
        <w:t>ook</w:t>
      </w:r>
    </w:p>
    <w:p w14:paraId="64556A0F" w14:textId="6868CB31" w:rsidR="004E22C1" w:rsidRPr="001455DC" w:rsidRDefault="008C1358" w:rsidP="00281787">
      <w:pPr>
        <w:pStyle w:val="Definition"/>
      </w:pPr>
      <w:r w:rsidRPr="001455DC">
        <w:t>e</w:t>
      </w:r>
      <w:r w:rsidR="004E22C1" w:rsidRPr="001455DC">
        <w:t>nd part of a reinforcement bar, bent at not less than 135°</w:t>
      </w:r>
    </w:p>
    <w:p w14:paraId="3BD2B643" w14:textId="2F14F658" w:rsidR="004E22C1" w:rsidRPr="001455DC" w:rsidRDefault="004E22C1" w:rsidP="00281787">
      <w:pPr>
        <w:pStyle w:val="TermNum"/>
      </w:pPr>
      <w:r w:rsidRPr="001455DC">
        <w:t>3.1.3</w:t>
      </w:r>
      <w:r w:rsidR="002677D5" w:rsidRPr="001455DC">
        <w:t>7</w:t>
      </w:r>
    </w:p>
    <w:p w14:paraId="1DA70900" w14:textId="5F174ADC" w:rsidR="004E22C1" w:rsidRPr="001455DC" w:rsidRDefault="008C1358" w:rsidP="00281787">
      <w:pPr>
        <w:pStyle w:val="Terms"/>
        <w:rPr>
          <w:iCs/>
        </w:rPr>
      </w:pPr>
      <w:r w:rsidRPr="001455DC">
        <w:t>h</w:t>
      </w:r>
      <w:r w:rsidR="004E22C1" w:rsidRPr="001455DC">
        <w:t>oop</w:t>
      </w:r>
    </w:p>
    <w:p w14:paraId="2C11049E" w14:textId="615F8E62" w:rsidR="004E22C1" w:rsidRPr="001455DC" w:rsidRDefault="008C1358" w:rsidP="00281787">
      <w:pPr>
        <w:pStyle w:val="Definition"/>
      </w:pPr>
      <w:r w:rsidRPr="001455DC">
        <w:t>c</w:t>
      </w:r>
      <w:r w:rsidR="004E22C1" w:rsidRPr="001455DC">
        <w:t>losed reinforcement bar or spiral reinforcement enclosing longitudinal reinforcement in compression members</w:t>
      </w:r>
    </w:p>
    <w:p w14:paraId="23EADD0B" w14:textId="523B48B6" w:rsidR="004E22C1" w:rsidRPr="001455DC" w:rsidRDefault="004E22C1" w:rsidP="00281787">
      <w:pPr>
        <w:pStyle w:val="TermNum"/>
      </w:pPr>
      <w:r w:rsidRPr="001455DC">
        <w:t>3.1.3</w:t>
      </w:r>
      <w:r w:rsidR="002677D5" w:rsidRPr="001455DC">
        <w:t>8</w:t>
      </w:r>
    </w:p>
    <w:p w14:paraId="042EB8F4" w14:textId="7F1703C7" w:rsidR="004E22C1" w:rsidRPr="001455DC" w:rsidRDefault="008C1358" w:rsidP="00281787">
      <w:pPr>
        <w:pStyle w:val="Terms"/>
        <w:rPr>
          <w:iCs/>
        </w:rPr>
      </w:pPr>
      <w:r w:rsidRPr="001455DC">
        <w:t>i</w:t>
      </w:r>
      <w:r w:rsidR="004E22C1" w:rsidRPr="001455DC">
        <w:t>ndented reinforcement</w:t>
      </w:r>
    </w:p>
    <w:p w14:paraId="0F7A26D6" w14:textId="7C6838C6" w:rsidR="004E22C1" w:rsidRPr="001455DC" w:rsidRDefault="008C1358" w:rsidP="00281787">
      <w:pPr>
        <w:pStyle w:val="Definition"/>
      </w:pPr>
      <w:r w:rsidRPr="001455DC">
        <w:t>r</w:t>
      </w:r>
      <w:r w:rsidR="004E22C1" w:rsidRPr="001455DC">
        <w:t xml:space="preserve">einforcing steel with at least two rows of indentations, which are uniformly distributed over the entire length </w:t>
      </w:r>
      <w:r w:rsidR="00572250" w:rsidRPr="001455DC">
        <w:t xml:space="preserve">according to </w:t>
      </w:r>
      <w:r w:rsidR="004E22C1" w:rsidRPr="001455DC">
        <w:t>EN 10080</w:t>
      </w:r>
    </w:p>
    <w:p w14:paraId="5C308A13" w14:textId="4556F67F" w:rsidR="004E22C1" w:rsidRPr="001455DC" w:rsidRDefault="004E22C1" w:rsidP="00281787">
      <w:pPr>
        <w:pStyle w:val="TermNum"/>
      </w:pPr>
      <w:r w:rsidRPr="001455DC">
        <w:t>3.1.3</w:t>
      </w:r>
      <w:r w:rsidR="002677D5" w:rsidRPr="001455DC">
        <w:t>9</w:t>
      </w:r>
    </w:p>
    <w:p w14:paraId="4D2DECCB" w14:textId="5F92506E" w:rsidR="004E22C1" w:rsidRPr="001455DC" w:rsidRDefault="008C1358" w:rsidP="00281787">
      <w:pPr>
        <w:pStyle w:val="Terms"/>
        <w:rPr>
          <w:iCs/>
        </w:rPr>
      </w:pPr>
      <w:r w:rsidRPr="001455DC">
        <w:t>i</w:t>
      </w:r>
      <w:r w:rsidR="004E22C1" w:rsidRPr="001455DC">
        <w:t>nternal forces</w:t>
      </w:r>
    </w:p>
    <w:p w14:paraId="75E2052E" w14:textId="76D41046" w:rsidR="004E22C1" w:rsidRPr="001455DC" w:rsidRDefault="008C1358" w:rsidP="00281787">
      <w:pPr>
        <w:pStyle w:val="Definition"/>
      </w:pPr>
      <w:r w:rsidRPr="001455DC">
        <w:t>r</w:t>
      </w:r>
      <w:r w:rsidR="004E22C1" w:rsidRPr="001455DC">
        <w:t>esultant of stresses in cross section of a member (axial force, shear force, bending moment, torsion)</w:t>
      </w:r>
    </w:p>
    <w:p w14:paraId="7AEDA2F4" w14:textId="343B35A3" w:rsidR="004E22C1" w:rsidRPr="001455DC" w:rsidRDefault="004E22C1" w:rsidP="00281787">
      <w:pPr>
        <w:pStyle w:val="TermNum"/>
      </w:pPr>
      <w:r w:rsidRPr="001455DC">
        <w:t>3.1.</w:t>
      </w:r>
      <w:r w:rsidR="002677D5" w:rsidRPr="001455DC">
        <w:t>40</w:t>
      </w:r>
    </w:p>
    <w:p w14:paraId="0991648D" w14:textId="3C74E70C" w:rsidR="004E22C1" w:rsidRPr="001455DC" w:rsidRDefault="008C1358" w:rsidP="00281787">
      <w:pPr>
        <w:pStyle w:val="Terms"/>
        <w:rPr>
          <w:iCs/>
        </w:rPr>
      </w:pPr>
      <w:r w:rsidRPr="001455DC">
        <w:t>i</w:t>
      </w:r>
      <w:r w:rsidR="004E22C1" w:rsidRPr="001455DC">
        <w:t>nternal tendon</w:t>
      </w:r>
    </w:p>
    <w:p w14:paraId="29CB3D15" w14:textId="1E4502EC" w:rsidR="004E22C1" w:rsidRPr="001455DC" w:rsidRDefault="008C1358" w:rsidP="00281787">
      <w:pPr>
        <w:pStyle w:val="Definition"/>
      </w:pPr>
      <w:r w:rsidRPr="001455DC">
        <w:t>t</w:t>
      </w:r>
      <w:r w:rsidR="004E22C1" w:rsidRPr="001455DC">
        <w:t>endon which is placed inside the concrete either with bond or without bond to the concrete</w:t>
      </w:r>
    </w:p>
    <w:p w14:paraId="74F30985" w14:textId="5E857D56" w:rsidR="004E22C1" w:rsidRPr="001455DC" w:rsidRDefault="004E22C1" w:rsidP="00281787">
      <w:pPr>
        <w:pStyle w:val="TermNum"/>
      </w:pPr>
      <w:r w:rsidRPr="001455DC">
        <w:t>3.1.4</w:t>
      </w:r>
      <w:r w:rsidR="002677D5" w:rsidRPr="001455DC">
        <w:t>1</w:t>
      </w:r>
    </w:p>
    <w:p w14:paraId="2AC12AAE" w14:textId="54887377" w:rsidR="004E22C1" w:rsidRPr="001455DC" w:rsidRDefault="008C1358" w:rsidP="00281787">
      <w:pPr>
        <w:pStyle w:val="Terms"/>
        <w:rPr>
          <w:iCs/>
        </w:rPr>
      </w:pPr>
      <w:r w:rsidRPr="001455DC">
        <w:t>i</w:t>
      </w:r>
      <w:r w:rsidR="004E22C1" w:rsidRPr="001455DC">
        <w:t>solated member</w:t>
      </w:r>
    </w:p>
    <w:p w14:paraId="4F8F1653" w14:textId="35C16231" w:rsidR="004E22C1" w:rsidRPr="001455DC" w:rsidRDefault="008C1358" w:rsidP="00281787">
      <w:pPr>
        <w:pStyle w:val="Definition"/>
      </w:pPr>
      <w:r w:rsidRPr="001455DC">
        <w:t>m</w:t>
      </w:r>
      <w:r w:rsidR="004E22C1" w:rsidRPr="001455DC">
        <w:t>ember for which no load redistribution to adjacent members is possible</w:t>
      </w:r>
    </w:p>
    <w:p w14:paraId="3F584213" w14:textId="42264540" w:rsidR="004E22C1" w:rsidRPr="001455DC" w:rsidRDefault="004E22C1" w:rsidP="00281787">
      <w:pPr>
        <w:pStyle w:val="TermNum"/>
      </w:pPr>
      <w:r w:rsidRPr="001455DC">
        <w:t>3.1.4</w:t>
      </w:r>
      <w:r w:rsidR="002677D5" w:rsidRPr="001455DC">
        <w:t>2</w:t>
      </w:r>
    </w:p>
    <w:p w14:paraId="37EB972A" w14:textId="09E29964" w:rsidR="004E22C1" w:rsidRPr="001455DC" w:rsidRDefault="008C1358" w:rsidP="00281787">
      <w:pPr>
        <w:pStyle w:val="Terms"/>
        <w:rPr>
          <w:iCs/>
        </w:rPr>
      </w:pPr>
      <w:r w:rsidRPr="001455DC">
        <w:t>i</w:t>
      </w:r>
      <w:r w:rsidR="004E22C1" w:rsidRPr="001455DC">
        <w:t>solated precast element</w:t>
      </w:r>
    </w:p>
    <w:p w14:paraId="6412EBF0" w14:textId="53103695" w:rsidR="004E22C1" w:rsidRPr="001455DC" w:rsidRDefault="008C1358" w:rsidP="00281787">
      <w:pPr>
        <w:pStyle w:val="Definition"/>
      </w:pPr>
      <w:r w:rsidRPr="001455DC">
        <w:t>p</w:t>
      </w:r>
      <w:r w:rsidR="004E22C1" w:rsidRPr="001455DC">
        <w:t>recast element for which no load redistribution to adjacent members is possible</w:t>
      </w:r>
    </w:p>
    <w:p w14:paraId="44F2538B" w14:textId="513B8F80" w:rsidR="004E22C1" w:rsidRPr="001455DC" w:rsidRDefault="004E22C1" w:rsidP="00281787">
      <w:pPr>
        <w:pStyle w:val="TermNum"/>
      </w:pPr>
      <w:r w:rsidRPr="001455DC">
        <w:t>3.1.4</w:t>
      </w:r>
      <w:r w:rsidR="002677D5" w:rsidRPr="001455DC">
        <w:t>3</w:t>
      </w:r>
    </w:p>
    <w:p w14:paraId="1F7BD0EB" w14:textId="2C3F383D" w:rsidR="004E22C1" w:rsidRPr="001455DC" w:rsidRDefault="008C1358" w:rsidP="00281787">
      <w:pPr>
        <w:pStyle w:val="Terms"/>
        <w:rPr>
          <w:iCs/>
        </w:rPr>
      </w:pPr>
      <w:r w:rsidRPr="001455DC">
        <w:t>l</w:t>
      </w:r>
      <w:r w:rsidR="004E22C1" w:rsidRPr="001455DC">
        <w:t>ightweight aggregate concrete</w:t>
      </w:r>
    </w:p>
    <w:p w14:paraId="6C0A7D8B" w14:textId="55F63BB0" w:rsidR="004E22C1" w:rsidRPr="001455DC" w:rsidRDefault="008C1358" w:rsidP="00281787">
      <w:pPr>
        <w:pStyle w:val="Definition"/>
      </w:pPr>
      <w:r w:rsidRPr="001455DC">
        <w:t>c</w:t>
      </w:r>
      <w:r w:rsidR="004E22C1" w:rsidRPr="001455DC">
        <w:t>oncrete having a closed structure and a density of not more than 2</w:t>
      </w:r>
      <w:r w:rsidR="004945D3" w:rsidRPr="001455DC">
        <w:t> </w:t>
      </w:r>
      <w:r w:rsidR="004E22C1" w:rsidRPr="001455DC">
        <w:t>200 kg/m</w:t>
      </w:r>
      <w:r w:rsidR="004E22C1" w:rsidRPr="001455DC">
        <w:rPr>
          <w:vertAlign w:val="superscript"/>
        </w:rPr>
        <w:t>3</w:t>
      </w:r>
      <w:r w:rsidR="004E22C1" w:rsidRPr="001455DC">
        <w:t>, consisting of or containing a proportion of artificial or natural lightweight aggregates having a particle dry density of less than 2</w:t>
      </w:r>
      <w:r w:rsidR="004945D3" w:rsidRPr="001455DC">
        <w:t> </w:t>
      </w:r>
      <w:r w:rsidR="004E22C1" w:rsidRPr="001455DC">
        <w:t>000 kg/m</w:t>
      </w:r>
      <w:r w:rsidR="004E22C1" w:rsidRPr="001455DC">
        <w:rPr>
          <w:vertAlign w:val="superscript"/>
        </w:rPr>
        <w:t>3</w:t>
      </w:r>
    </w:p>
    <w:p w14:paraId="697F23D9" w14:textId="74FD06E0" w:rsidR="004E22C1" w:rsidRPr="001455DC" w:rsidRDefault="004E22C1" w:rsidP="00281787">
      <w:pPr>
        <w:pStyle w:val="TermNum"/>
      </w:pPr>
      <w:r w:rsidRPr="001455DC">
        <w:t>3.1.4</w:t>
      </w:r>
      <w:r w:rsidR="002677D5" w:rsidRPr="001455DC">
        <w:t>4</w:t>
      </w:r>
    </w:p>
    <w:p w14:paraId="4D8F1A77" w14:textId="1916DCB5" w:rsidR="004E22C1" w:rsidRPr="001455DC" w:rsidRDefault="008C1358" w:rsidP="00281787">
      <w:pPr>
        <w:pStyle w:val="Terms"/>
        <w:rPr>
          <w:iCs/>
        </w:rPr>
      </w:pPr>
      <w:r w:rsidRPr="001455DC">
        <w:t>l</w:t>
      </w:r>
      <w:r w:rsidR="004E22C1" w:rsidRPr="001455DC">
        <w:t>inear member</w:t>
      </w:r>
    </w:p>
    <w:p w14:paraId="05F730E2" w14:textId="68656FB4" w:rsidR="004E22C1" w:rsidRPr="001455DC" w:rsidRDefault="008C1358" w:rsidP="00281787">
      <w:pPr>
        <w:pStyle w:val="Definition"/>
      </w:pPr>
      <w:r w:rsidRPr="001455DC">
        <w:t>s</w:t>
      </w:r>
      <w:r w:rsidR="004E22C1" w:rsidRPr="001455DC">
        <w:t>tructural element, straight or curved, with one dimension significantly larger than the others (such as beams and columns)</w:t>
      </w:r>
    </w:p>
    <w:p w14:paraId="771B05EC" w14:textId="29FDB65D" w:rsidR="004E22C1" w:rsidRPr="001455DC" w:rsidRDefault="004E22C1" w:rsidP="00281787">
      <w:pPr>
        <w:pStyle w:val="TermNum"/>
      </w:pPr>
      <w:r w:rsidRPr="001455DC">
        <w:t>3.1.4</w:t>
      </w:r>
      <w:r w:rsidR="002677D5" w:rsidRPr="001455DC">
        <w:t>5</w:t>
      </w:r>
    </w:p>
    <w:p w14:paraId="62BF14EF" w14:textId="0EF4C5E9" w:rsidR="004E22C1" w:rsidRPr="001455DC" w:rsidRDefault="008C1358" w:rsidP="00281787">
      <w:pPr>
        <w:pStyle w:val="Terms"/>
        <w:rPr>
          <w:iCs/>
        </w:rPr>
      </w:pPr>
      <w:r w:rsidRPr="001455DC">
        <w:t>l</w:t>
      </w:r>
      <w:r w:rsidR="004E22C1" w:rsidRPr="001455DC">
        <w:t>ink</w:t>
      </w:r>
    </w:p>
    <w:p w14:paraId="57930BBC" w14:textId="65B025F1" w:rsidR="004E22C1" w:rsidRPr="001455DC" w:rsidRDefault="008C1358" w:rsidP="00281787">
      <w:pPr>
        <w:pStyle w:val="Definition"/>
      </w:pPr>
      <w:r w:rsidRPr="001455DC">
        <w:t>r</w:t>
      </w:r>
      <w:r w:rsidR="004E22C1" w:rsidRPr="001455DC">
        <w:t>einforcement bent to form single or multiple legs that surrounds longitudinal reinforcement. Links may be closed or open with sufficient anchorage at their ends</w:t>
      </w:r>
    </w:p>
    <w:p w14:paraId="3F360F40" w14:textId="6B967A9B" w:rsidR="004E22C1" w:rsidRPr="009D3012" w:rsidRDefault="00572250" w:rsidP="009D3012">
      <w:pPr>
        <w:pStyle w:val="Note"/>
      </w:pPr>
      <w:r w:rsidRPr="009D3012">
        <w:t>Note 1 to entry:</w:t>
      </w:r>
      <w:r w:rsidRPr="009D3012">
        <w:tab/>
      </w:r>
      <w:r w:rsidR="004E22C1" w:rsidRPr="009D3012">
        <w:t>See also “Stirrup” which has a similar definition as “Link”, but does not include single leg Z</w:t>
      </w:r>
      <w:r w:rsidR="004945D3" w:rsidRPr="009D3012">
        <w:noBreakHyphen/>
      </w:r>
      <w:r w:rsidR="004E22C1" w:rsidRPr="009D3012">
        <w:t xml:space="preserve"> or C</w:t>
      </w:r>
      <w:r w:rsidR="004945D3" w:rsidRPr="009D3012">
        <w:noBreakHyphen/>
      </w:r>
      <w:r w:rsidR="004E22C1" w:rsidRPr="009D3012">
        <w:t>shaped reinforcement.</w:t>
      </w:r>
    </w:p>
    <w:p w14:paraId="17F3EFEE" w14:textId="0549D259" w:rsidR="004E22C1" w:rsidRPr="001455DC" w:rsidRDefault="004E22C1" w:rsidP="00281787">
      <w:pPr>
        <w:pStyle w:val="TermNum"/>
      </w:pPr>
      <w:r w:rsidRPr="001455DC">
        <w:t>3.1.4</w:t>
      </w:r>
      <w:r w:rsidR="002677D5" w:rsidRPr="001455DC">
        <w:t>6</w:t>
      </w:r>
    </w:p>
    <w:p w14:paraId="04484399" w14:textId="3F58888D" w:rsidR="004E22C1" w:rsidRPr="001455DC" w:rsidRDefault="008C1358" w:rsidP="00281787">
      <w:pPr>
        <w:pStyle w:val="Terms"/>
        <w:rPr>
          <w:iCs/>
        </w:rPr>
      </w:pPr>
      <w:r w:rsidRPr="001455DC">
        <w:t>l</w:t>
      </w:r>
      <w:r w:rsidR="004E22C1" w:rsidRPr="001455DC">
        <w:t>ocal anchorage zone</w:t>
      </w:r>
    </w:p>
    <w:p w14:paraId="6355F8A8" w14:textId="5BED42B6" w:rsidR="004E22C1" w:rsidRPr="001455DC" w:rsidRDefault="008C1358" w:rsidP="00281787">
      <w:pPr>
        <w:pStyle w:val="Definition"/>
      </w:pPr>
      <w:r w:rsidRPr="001455DC">
        <w:t>z</w:t>
      </w:r>
      <w:r w:rsidR="004E22C1" w:rsidRPr="001455DC">
        <w:t>one in the immediate vicinity of the tendon anchorage or coupling device in which the tendon force is transmitted from the anchorage or coupling device to the concrete</w:t>
      </w:r>
    </w:p>
    <w:p w14:paraId="74312815" w14:textId="7C175B86" w:rsidR="004E22C1" w:rsidRPr="001455DC" w:rsidRDefault="004E22C1" w:rsidP="00281787">
      <w:pPr>
        <w:pStyle w:val="TermNum"/>
      </w:pPr>
      <w:r w:rsidRPr="001455DC">
        <w:t>3.1.4</w:t>
      </w:r>
      <w:r w:rsidR="002677D5" w:rsidRPr="001455DC">
        <w:t>7</w:t>
      </w:r>
    </w:p>
    <w:p w14:paraId="1CDBB2C7" w14:textId="06DC8A14" w:rsidR="004E22C1" w:rsidRPr="001455DC" w:rsidRDefault="008C1358" w:rsidP="00281787">
      <w:pPr>
        <w:pStyle w:val="Terms"/>
        <w:rPr>
          <w:iCs/>
        </w:rPr>
      </w:pPr>
      <w:r w:rsidRPr="001455DC">
        <w:t>l</w:t>
      </w:r>
      <w:r w:rsidR="004E22C1" w:rsidRPr="001455DC">
        <w:t>oop</w:t>
      </w:r>
    </w:p>
    <w:p w14:paraId="33664D97" w14:textId="77777777" w:rsidR="004E22C1" w:rsidRPr="001455DC" w:rsidRDefault="004E22C1" w:rsidP="00281787">
      <w:pPr>
        <w:pStyle w:val="Definition"/>
      </w:pPr>
      <w:r w:rsidRPr="001455DC">
        <w:t>U-shaped reinforcement bar where both legs transmit their forces to other reinforcement or to concrete through bond</w:t>
      </w:r>
    </w:p>
    <w:p w14:paraId="76BB76C3" w14:textId="271F108D" w:rsidR="004E22C1" w:rsidRPr="001455DC" w:rsidRDefault="004E22C1" w:rsidP="00281787">
      <w:pPr>
        <w:pStyle w:val="TermNum"/>
      </w:pPr>
      <w:r w:rsidRPr="001455DC">
        <w:t>3.1.4</w:t>
      </w:r>
      <w:r w:rsidR="00C049A1" w:rsidRPr="001455DC">
        <w:t>8</w:t>
      </w:r>
    </w:p>
    <w:p w14:paraId="10C82009" w14:textId="700E2649" w:rsidR="004E22C1" w:rsidRPr="001455DC" w:rsidRDefault="008C1358" w:rsidP="00281787">
      <w:pPr>
        <w:pStyle w:val="Terms"/>
        <w:rPr>
          <w:iCs/>
        </w:rPr>
      </w:pPr>
      <w:r w:rsidRPr="001455DC">
        <w:t>m</w:t>
      </w:r>
      <w:r w:rsidR="004E22C1" w:rsidRPr="001455DC">
        <w:t>ain reinforcement</w:t>
      </w:r>
    </w:p>
    <w:p w14:paraId="6881C339" w14:textId="5A2FDE8A" w:rsidR="004E22C1" w:rsidRPr="001455DC" w:rsidRDefault="008C1358" w:rsidP="00281787">
      <w:pPr>
        <w:pStyle w:val="Definition"/>
      </w:pPr>
      <w:r w:rsidRPr="001455DC">
        <w:t>i</w:t>
      </w:r>
      <w:r w:rsidR="004E22C1" w:rsidRPr="001455DC">
        <w:t>n one-way slabs, the bending reinforcement placed in the direction perpendicular to the supports</w:t>
      </w:r>
    </w:p>
    <w:p w14:paraId="552B4643" w14:textId="6DCAC836" w:rsidR="004E22C1" w:rsidRPr="001455DC" w:rsidRDefault="004E22C1" w:rsidP="00281787">
      <w:pPr>
        <w:pStyle w:val="TermNum"/>
      </w:pPr>
      <w:r w:rsidRPr="001455DC">
        <w:t>3.1.4</w:t>
      </w:r>
      <w:r w:rsidR="00D97DB2" w:rsidRPr="001455DC">
        <w:t>9</w:t>
      </w:r>
    </w:p>
    <w:p w14:paraId="78334909" w14:textId="3BD6993F" w:rsidR="004E22C1" w:rsidRPr="001455DC" w:rsidRDefault="008C1358" w:rsidP="00281787">
      <w:pPr>
        <w:pStyle w:val="Terms"/>
      </w:pPr>
      <w:r w:rsidRPr="001455DC">
        <w:t>m</w:t>
      </w:r>
      <w:r w:rsidR="004E22C1" w:rsidRPr="001455DC">
        <w:t>embrane</w:t>
      </w:r>
    </w:p>
    <w:p w14:paraId="6285D029" w14:textId="69FE70A8" w:rsidR="004E22C1" w:rsidRPr="001455DC" w:rsidRDefault="008C1358" w:rsidP="00281787">
      <w:pPr>
        <w:pStyle w:val="Definition"/>
      </w:pPr>
      <w:r w:rsidRPr="001455DC">
        <w:t>p</w:t>
      </w:r>
      <w:r w:rsidR="004E22C1" w:rsidRPr="001455DC">
        <w:t>lanar member subjected primarily to in plane forces</w:t>
      </w:r>
    </w:p>
    <w:p w14:paraId="428F9255" w14:textId="176FBB67" w:rsidR="004E22C1" w:rsidRPr="001455DC" w:rsidRDefault="004E22C1" w:rsidP="00281787">
      <w:pPr>
        <w:pStyle w:val="TermNum"/>
      </w:pPr>
      <w:r w:rsidRPr="001455DC">
        <w:t>3.1.</w:t>
      </w:r>
      <w:r w:rsidR="00D97DB2" w:rsidRPr="001455DC">
        <w:t>50</w:t>
      </w:r>
    </w:p>
    <w:p w14:paraId="18ED8DC4" w14:textId="439C7E08" w:rsidR="004E22C1" w:rsidRPr="001455DC" w:rsidRDefault="008C1358" w:rsidP="00281787">
      <w:pPr>
        <w:pStyle w:val="Terms"/>
        <w:rPr>
          <w:iCs/>
        </w:rPr>
      </w:pPr>
      <w:r w:rsidRPr="001455DC">
        <w:t>n</w:t>
      </w:r>
      <w:r w:rsidR="004E22C1" w:rsidRPr="001455DC">
        <w:t>odal region</w:t>
      </w:r>
    </w:p>
    <w:p w14:paraId="6C64453C" w14:textId="09FBE3D2" w:rsidR="004E22C1" w:rsidRPr="001455DC" w:rsidRDefault="008C1358" w:rsidP="00281787">
      <w:pPr>
        <w:pStyle w:val="Definition"/>
      </w:pPr>
      <w:r w:rsidRPr="001455DC">
        <w:t>r</w:t>
      </w:r>
      <w:r w:rsidR="004E22C1" w:rsidRPr="001455DC">
        <w:t>egion of a stress field where the force is transferred amongst concurrent compression fields and/or ties</w:t>
      </w:r>
    </w:p>
    <w:p w14:paraId="5DC0EF01" w14:textId="34751498" w:rsidR="004E22C1" w:rsidRPr="001455DC" w:rsidRDefault="004E22C1" w:rsidP="00281787">
      <w:pPr>
        <w:pStyle w:val="TermNum"/>
      </w:pPr>
      <w:r w:rsidRPr="001455DC">
        <w:t>3.1.5</w:t>
      </w:r>
      <w:r w:rsidR="00D97DB2" w:rsidRPr="001455DC">
        <w:t>1</w:t>
      </w:r>
    </w:p>
    <w:p w14:paraId="4D9DDBE5" w14:textId="316D1C77" w:rsidR="004E22C1" w:rsidRPr="001455DC" w:rsidRDefault="008C1358" w:rsidP="00281787">
      <w:pPr>
        <w:pStyle w:val="Terms"/>
        <w:rPr>
          <w:iCs/>
        </w:rPr>
      </w:pPr>
      <w:r w:rsidRPr="001455DC">
        <w:t>n</w:t>
      </w:r>
      <w:r w:rsidR="004E22C1" w:rsidRPr="001455DC">
        <w:t>ode</w:t>
      </w:r>
    </w:p>
    <w:p w14:paraId="3C09B490" w14:textId="4CF2A288" w:rsidR="004E22C1" w:rsidRPr="001455DC" w:rsidRDefault="008C1358" w:rsidP="00281787">
      <w:pPr>
        <w:pStyle w:val="Definition"/>
      </w:pPr>
      <w:r w:rsidRPr="001455DC">
        <w:t>p</w:t>
      </w:r>
      <w:r w:rsidR="004E22C1" w:rsidRPr="001455DC">
        <w:t>oint of intersection of struts and/or ties transferring forces amongst them</w:t>
      </w:r>
    </w:p>
    <w:p w14:paraId="5B60C004" w14:textId="0AA3CB36" w:rsidR="004E22C1" w:rsidRPr="001455DC" w:rsidRDefault="004E22C1" w:rsidP="00281787">
      <w:pPr>
        <w:pStyle w:val="TermNum"/>
      </w:pPr>
      <w:r w:rsidRPr="001455DC">
        <w:t>3.1.5</w:t>
      </w:r>
      <w:r w:rsidR="00D97DB2" w:rsidRPr="001455DC">
        <w:t>2</w:t>
      </w:r>
    </w:p>
    <w:p w14:paraId="29B35323" w14:textId="4D371861" w:rsidR="004E22C1" w:rsidRPr="001455DC" w:rsidRDefault="008C1358" w:rsidP="00281787">
      <w:pPr>
        <w:pStyle w:val="Terms"/>
        <w:rPr>
          <w:iCs/>
        </w:rPr>
      </w:pPr>
      <w:r w:rsidRPr="001455DC">
        <w:t>n</w:t>
      </w:r>
      <w:r w:rsidR="004E22C1" w:rsidRPr="001455DC">
        <w:t>onlinear analysis</w:t>
      </w:r>
    </w:p>
    <w:p w14:paraId="5F893EF4" w14:textId="711C8DB8" w:rsidR="004E22C1" w:rsidRPr="001455DC" w:rsidRDefault="008C1358" w:rsidP="00281787">
      <w:pPr>
        <w:pStyle w:val="Definition"/>
      </w:pPr>
      <w:r w:rsidRPr="001455DC">
        <w:t>a</w:t>
      </w:r>
      <w:r w:rsidR="004E22C1" w:rsidRPr="001455DC">
        <w:t>nalysis method using models that account for mechanical and geometrical non-linear behaviour</w:t>
      </w:r>
    </w:p>
    <w:p w14:paraId="2F40FD4B" w14:textId="48B78EBD" w:rsidR="004E22C1" w:rsidRPr="001455DC" w:rsidRDefault="004E22C1" w:rsidP="00281787">
      <w:pPr>
        <w:pStyle w:val="TermNum"/>
      </w:pPr>
      <w:r w:rsidRPr="001455DC">
        <w:t>3.1.</w:t>
      </w:r>
      <w:r w:rsidR="005F4D95" w:rsidRPr="001455DC">
        <w:t>53</w:t>
      </w:r>
    </w:p>
    <w:p w14:paraId="6B41FA3D" w14:textId="15C8729C" w:rsidR="004E22C1" w:rsidRPr="001455DC" w:rsidRDefault="008C1358" w:rsidP="00281787">
      <w:pPr>
        <w:pStyle w:val="Terms"/>
        <w:rPr>
          <w:iCs/>
        </w:rPr>
      </w:pPr>
      <w:r w:rsidRPr="001455DC">
        <w:t>o</w:t>
      </w:r>
      <w:r w:rsidR="004E22C1" w:rsidRPr="001455DC">
        <w:t>rdinary reinforcement</w:t>
      </w:r>
    </w:p>
    <w:p w14:paraId="5D29E7C0" w14:textId="1E1C3DFE" w:rsidR="004E22C1" w:rsidRPr="001455DC" w:rsidRDefault="008C1358" w:rsidP="00281787">
      <w:pPr>
        <w:pStyle w:val="Definition"/>
      </w:pPr>
      <w:r w:rsidRPr="001455DC">
        <w:t>r</w:t>
      </w:r>
      <w:r w:rsidR="004E22C1" w:rsidRPr="001455DC">
        <w:t>einforcement which is not prestressed. Where not specified otherwise, it is made of reinforcement steel</w:t>
      </w:r>
    </w:p>
    <w:p w14:paraId="2BAC98AD" w14:textId="44EBC45F" w:rsidR="004E22C1" w:rsidRPr="001455DC" w:rsidRDefault="004E22C1" w:rsidP="00281787">
      <w:pPr>
        <w:pStyle w:val="TermNum"/>
      </w:pPr>
      <w:r w:rsidRPr="001455DC">
        <w:t>3.1.</w:t>
      </w:r>
      <w:r w:rsidR="005F4D95" w:rsidRPr="001455DC">
        <w:t>54</w:t>
      </w:r>
    </w:p>
    <w:p w14:paraId="1769FC38" w14:textId="08173887" w:rsidR="004E22C1" w:rsidRPr="001455DC" w:rsidRDefault="008C1358" w:rsidP="00281787">
      <w:pPr>
        <w:pStyle w:val="Terms"/>
        <w:rPr>
          <w:iCs/>
        </w:rPr>
      </w:pPr>
      <w:r w:rsidRPr="001455DC">
        <w:t>p</w:t>
      </w:r>
      <w:r w:rsidR="004E22C1" w:rsidRPr="001455DC">
        <w:t>lain reinforcement</w:t>
      </w:r>
    </w:p>
    <w:p w14:paraId="57FD9BE0" w14:textId="0F27D434" w:rsidR="004E22C1" w:rsidRPr="001455DC" w:rsidRDefault="008C1358" w:rsidP="00281787">
      <w:pPr>
        <w:pStyle w:val="Definition"/>
      </w:pPr>
      <w:r w:rsidRPr="001455DC">
        <w:t>r</w:t>
      </w:r>
      <w:r w:rsidR="004E22C1" w:rsidRPr="001455DC">
        <w:t>einforcement with a smooth surface</w:t>
      </w:r>
    </w:p>
    <w:p w14:paraId="3751CEAC" w14:textId="23D956F1" w:rsidR="004E22C1" w:rsidRPr="001455DC" w:rsidRDefault="004E22C1" w:rsidP="00281787">
      <w:pPr>
        <w:pStyle w:val="TermNum"/>
      </w:pPr>
      <w:r w:rsidRPr="001455DC">
        <w:t>3.1.</w:t>
      </w:r>
      <w:r w:rsidR="005F4D95" w:rsidRPr="001455DC">
        <w:t>55</w:t>
      </w:r>
    </w:p>
    <w:p w14:paraId="58725E58" w14:textId="7594471F" w:rsidR="004E22C1" w:rsidRPr="001455DC" w:rsidRDefault="008C1358" w:rsidP="00281787">
      <w:pPr>
        <w:pStyle w:val="Terms"/>
        <w:rPr>
          <w:iCs/>
        </w:rPr>
      </w:pPr>
      <w:r w:rsidRPr="001455DC">
        <w:t>p</w:t>
      </w:r>
      <w:r w:rsidR="004E22C1" w:rsidRPr="001455DC">
        <w:t>lain or lightly reinforced concrete members</w:t>
      </w:r>
    </w:p>
    <w:p w14:paraId="369A4936" w14:textId="221A603D" w:rsidR="004E22C1" w:rsidRPr="001455DC" w:rsidRDefault="008C1358" w:rsidP="00281787">
      <w:pPr>
        <w:pStyle w:val="Definition"/>
      </w:pPr>
      <w:r w:rsidRPr="001455DC">
        <w:t>s</w:t>
      </w:r>
      <w:r w:rsidR="004E22C1" w:rsidRPr="001455DC">
        <w:t xml:space="preserve">tructural concrete members having no reinforcement (plain concrete) or less reinforcement than the minimum amounts as defined in </w:t>
      </w:r>
      <w:r w:rsidR="001710FF" w:rsidRPr="001455DC">
        <w:t>Clause </w:t>
      </w:r>
      <w:r w:rsidR="004E22C1" w:rsidRPr="001455DC">
        <w:t>14</w:t>
      </w:r>
    </w:p>
    <w:p w14:paraId="57F75E07" w14:textId="63E91AA3" w:rsidR="004E22C1" w:rsidRPr="001455DC" w:rsidRDefault="004E22C1" w:rsidP="00281787">
      <w:pPr>
        <w:pStyle w:val="TermNum"/>
      </w:pPr>
      <w:r w:rsidRPr="001455DC">
        <w:t>3.1.</w:t>
      </w:r>
      <w:r w:rsidR="005F4D95" w:rsidRPr="001455DC">
        <w:t>56</w:t>
      </w:r>
    </w:p>
    <w:p w14:paraId="47DF2256" w14:textId="58B35D17" w:rsidR="004E22C1" w:rsidRPr="001455DC" w:rsidRDefault="008C1358" w:rsidP="00281787">
      <w:pPr>
        <w:pStyle w:val="Terms"/>
        <w:rPr>
          <w:iCs/>
        </w:rPr>
      </w:pPr>
      <w:r w:rsidRPr="001455DC">
        <w:t>p</w:t>
      </w:r>
      <w:r w:rsidR="004E22C1" w:rsidRPr="001455DC">
        <w:t>lanar member</w:t>
      </w:r>
    </w:p>
    <w:p w14:paraId="56351761" w14:textId="08A42AB3" w:rsidR="004E22C1" w:rsidRPr="001455DC" w:rsidRDefault="008C1358" w:rsidP="00281787">
      <w:pPr>
        <w:pStyle w:val="Definition"/>
      </w:pPr>
      <w:r w:rsidRPr="001455DC">
        <w:t>s</w:t>
      </w:r>
      <w:r w:rsidR="004E22C1" w:rsidRPr="001455DC">
        <w:t xml:space="preserve">tructural element with the dimension </w:t>
      </w:r>
      <w:r w:rsidR="004E22C1" w:rsidRPr="001455DC">
        <w:rPr>
          <w:i/>
        </w:rPr>
        <w:t>h</w:t>
      </w:r>
      <w:r w:rsidR="004E22C1" w:rsidRPr="001455DC">
        <w:t xml:space="preserve"> in one direction significantly smaller than those in the other directions </w:t>
      </w:r>
      <w:r w:rsidR="004E22C1" w:rsidRPr="001455DC">
        <w:rPr>
          <w:i/>
        </w:rPr>
        <w:t>b</w:t>
      </w:r>
      <w:r w:rsidR="004E22C1" w:rsidRPr="001455DC">
        <w:t xml:space="preserve"> with </w:t>
      </w:r>
      <w:r w:rsidR="004E22C1" w:rsidRPr="001455DC">
        <w:rPr>
          <w:i/>
        </w:rPr>
        <w:t>b</w:t>
      </w:r>
      <w:r w:rsidR="004E22C1" w:rsidRPr="001455DC">
        <w:t>/</w:t>
      </w:r>
      <w:r w:rsidR="004E22C1" w:rsidRPr="001455DC">
        <w:rPr>
          <w:i/>
        </w:rPr>
        <w:t>h</w:t>
      </w:r>
      <w:r w:rsidR="004E22C1" w:rsidRPr="001455DC">
        <w:t> </w:t>
      </w:r>
      <w:r w:rsidR="00650035" w:rsidRPr="001455DC">
        <w:rPr>
          <w:rFonts w:ascii="Cambria Math" w:hAnsi="Cambria Math"/>
        </w:rPr>
        <w:t>&gt;</w:t>
      </w:r>
      <w:r w:rsidR="00073FC6" w:rsidRPr="001455DC">
        <w:t> </w:t>
      </w:r>
      <w:r w:rsidR="004E22C1" w:rsidRPr="001455DC">
        <w:t>4 (such as slabs, walls and shells)</w:t>
      </w:r>
    </w:p>
    <w:p w14:paraId="4DCED1C8" w14:textId="00AFDD2C" w:rsidR="004E22C1" w:rsidRPr="001455DC" w:rsidRDefault="004E22C1" w:rsidP="00281787">
      <w:pPr>
        <w:pStyle w:val="TermNum"/>
      </w:pPr>
      <w:r w:rsidRPr="001455DC">
        <w:t>3.1.</w:t>
      </w:r>
      <w:r w:rsidR="005F4D95" w:rsidRPr="001455DC">
        <w:t>57</w:t>
      </w:r>
    </w:p>
    <w:p w14:paraId="1252D4EE" w14:textId="7A307E7D" w:rsidR="004E22C1" w:rsidRPr="001455DC" w:rsidRDefault="008C1358" w:rsidP="00281787">
      <w:pPr>
        <w:pStyle w:val="Terms"/>
        <w:rPr>
          <w:iCs/>
        </w:rPr>
      </w:pPr>
      <w:r w:rsidRPr="001455DC">
        <w:t>p</w:t>
      </w:r>
      <w:r w:rsidR="004E22C1" w:rsidRPr="001455DC">
        <w:t xml:space="preserve">ocket (or </w:t>
      </w:r>
      <w:r w:rsidRPr="001455DC">
        <w:t>s</w:t>
      </w:r>
      <w:r w:rsidR="004E22C1" w:rsidRPr="001455DC">
        <w:t>ocket) foundation</w:t>
      </w:r>
    </w:p>
    <w:p w14:paraId="0EBF57D3" w14:textId="07065FBD" w:rsidR="004E22C1" w:rsidRPr="001455DC" w:rsidRDefault="008C1358" w:rsidP="00281787">
      <w:pPr>
        <w:pStyle w:val="Definition"/>
      </w:pPr>
      <w:r w:rsidRPr="001455DC">
        <w:t>e</w:t>
      </w:r>
      <w:r w:rsidR="004E22C1" w:rsidRPr="001455DC">
        <w:t>lement (precast, cast-in-situ or partly precast) comprising a foundation slab and four ‘walls’ forming a tight pit for embedding the bottom of a precast column, fixed with infilled cast-in-situ concrete</w:t>
      </w:r>
    </w:p>
    <w:p w14:paraId="5D98F751" w14:textId="75C4A16B" w:rsidR="004E22C1" w:rsidRPr="001455DC" w:rsidRDefault="004E22C1" w:rsidP="00281787">
      <w:pPr>
        <w:pStyle w:val="TermNum"/>
      </w:pPr>
      <w:r w:rsidRPr="001455DC">
        <w:t>3.1.</w:t>
      </w:r>
      <w:r w:rsidR="005F4D95" w:rsidRPr="001455DC">
        <w:t>58</w:t>
      </w:r>
    </w:p>
    <w:p w14:paraId="5054CB12" w14:textId="29EC8AC9" w:rsidR="004E22C1" w:rsidRPr="001455DC" w:rsidRDefault="008C1358" w:rsidP="00281787">
      <w:pPr>
        <w:pStyle w:val="Terms"/>
      </w:pPr>
      <w:r w:rsidRPr="001455DC">
        <w:t>p</w:t>
      </w:r>
      <w:r w:rsidR="004E22C1" w:rsidRPr="001455DC">
        <w:t>ost-installed reinforcing steel system</w:t>
      </w:r>
    </w:p>
    <w:p w14:paraId="5FFF59EA" w14:textId="4C5955AE" w:rsidR="004E22C1" w:rsidRPr="001455DC" w:rsidRDefault="008C1358" w:rsidP="00281787">
      <w:pPr>
        <w:pStyle w:val="Definition"/>
      </w:pPr>
      <w:r w:rsidRPr="001455DC">
        <w:t>d</w:t>
      </w:r>
      <w:r w:rsidR="004E22C1" w:rsidRPr="001455DC">
        <w:t>eformed straight reinforcing steel bar and anchoring mortar installed using tools for drilling and preparing the hole (e.g. roughening and cleaning) as well as for injection of the mortar (e.g. dispenser, nozzles, piston plug, if applicable)</w:t>
      </w:r>
    </w:p>
    <w:p w14:paraId="622940D2" w14:textId="13718E2B" w:rsidR="004E22C1" w:rsidRPr="001455DC" w:rsidRDefault="004E22C1" w:rsidP="00281787">
      <w:pPr>
        <w:pStyle w:val="TermNum"/>
      </w:pPr>
      <w:r w:rsidRPr="001455DC">
        <w:t>3.1.</w:t>
      </w:r>
      <w:r w:rsidR="005F4D95" w:rsidRPr="001455DC">
        <w:t>59</w:t>
      </w:r>
    </w:p>
    <w:p w14:paraId="63A897D2" w14:textId="10093D1D" w:rsidR="004E22C1" w:rsidRPr="001455DC" w:rsidRDefault="008C1358" w:rsidP="00281787">
      <w:pPr>
        <w:pStyle w:val="Terms"/>
        <w:rPr>
          <w:iCs/>
        </w:rPr>
      </w:pPr>
      <w:r w:rsidRPr="001455DC">
        <w:t>p</w:t>
      </w:r>
      <w:r w:rsidR="004E22C1" w:rsidRPr="001455DC">
        <w:t>ost-tensioning</w:t>
      </w:r>
    </w:p>
    <w:p w14:paraId="55D543D5" w14:textId="588A1790" w:rsidR="004E22C1" w:rsidRPr="001455DC" w:rsidRDefault="008C1358" w:rsidP="00281787">
      <w:pPr>
        <w:pStyle w:val="Definition"/>
      </w:pPr>
      <w:r w:rsidRPr="001455DC">
        <w:t>p</w:t>
      </w:r>
      <w:r w:rsidR="004E22C1" w:rsidRPr="001455DC">
        <w:t>restress technique which consists in applying the prestress to tendons positioned in a hardened concrete member within a complete assembly of anchorages, sheathing with coating (for unbonded applications) or ducts to be grouted (for bonded applications)</w:t>
      </w:r>
    </w:p>
    <w:p w14:paraId="71981579" w14:textId="0667D63A" w:rsidR="004E22C1" w:rsidRPr="001455DC" w:rsidRDefault="004E22C1" w:rsidP="00281787">
      <w:pPr>
        <w:pStyle w:val="TermNum"/>
      </w:pPr>
      <w:r w:rsidRPr="001455DC">
        <w:t>3.1.</w:t>
      </w:r>
      <w:r w:rsidR="005F4D95" w:rsidRPr="001455DC">
        <w:t>60</w:t>
      </w:r>
    </w:p>
    <w:p w14:paraId="727CADA7" w14:textId="32D6F446" w:rsidR="004E22C1" w:rsidRPr="001455DC" w:rsidRDefault="008C1358" w:rsidP="00281787">
      <w:pPr>
        <w:pStyle w:val="Terms"/>
        <w:rPr>
          <w:iCs/>
        </w:rPr>
      </w:pPr>
      <w:r w:rsidRPr="001455DC">
        <w:t>p</w:t>
      </w:r>
      <w:r w:rsidR="004E22C1" w:rsidRPr="001455DC">
        <w:t>recast concrete element</w:t>
      </w:r>
    </w:p>
    <w:p w14:paraId="341ED2AF" w14:textId="0E79E331" w:rsidR="004E22C1" w:rsidRPr="001455DC" w:rsidRDefault="008C1358" w:rsidP="00281787">
      <w:pPr>
        <w:pStyle w:val="Definition"/>
      </w:pPr>
      <w:r w:rsidRPr="001455DC">
        <w:t>f</w:t>
      </w:r>
      <w:r w:rsidR="004E22C1" w:rsidRPr="001455DC">
        <w:t>actory produced or site manufactured element cast and cured in a place other than its final location in the structure</w:t>
      </w:r>
    </w:p>
    <w:p w14:paraId="1D855686" w14:textId="589210F0" w:rsidR="004E22C1" w:rsidRPr="001455DC" w:rsidRDefault="004E22C1" w:rsidP="00281787">
      <w:pPr>
        <w:pStyle w:val="TermNum"/>
      </w:pPr>
      <w:r w:rsidRPr="001455DC">
        <w:t>3.1.</w:t>
      </w:r>
      <w:r w:rsidR="005F4D95" w:rsidRPr="001455DC">
        <w:t>61</w:t>
      </w:r>
    </w:p>
    <w:p w14:paraId="1F550914" w14:textId="2584AA5A" w:rsidR="004E22C1" w:rsidRPr="001455DC" w:rsidRDefault="008C1358" w:rsidP="00281787">
      <w:pPr>
        <w:pStyle w:val="Terms"/>
        <w:rPr>
          <w:iCs/>
        </w:rPr>
      </w:pPr>
      <w:r w:rsidRPr="001455DC">
        <w:t>p</w:t>
      </w:r>
      <w:r w:rsidR="004E22C1" w:rsidRPr="001455DC">
        <w:t>recast concrete product</w:t>
      </w:r>
    </w:p>
    <w:p w14:paraId="1C4A1929" w14:textId="10BE1875" w:rsidR="004E22C1" w:rsidRPr="001455DC" w:rsidRDefault="008C1358" w:rsidP="00281787">
      <w:pPr>
        <w:pStyle w:val="Definition"/>
      </w:pPr>
      <w:r w:rsidRPr="001455DC">
        <w:t>c</w:t>
      </w:r>
      <w:r w:rsidR="004E22C1" w:rsidRPr="001455DC">
        <w:t>oncrete element manufactured in accordance with a product standard by an industrial process under a factory production control system and protected from weather conditions during production</w:t>
      </w:r>
    </w:p>
    <w:p w14:paraId="61B40C04" w14:textId="76A0A4EB" w:rsidR="004E22C1" w:rsidRPr="001455DC" w:rsidRDefault="004E22C1" w:rsidP="00281787">
      <w:pPr>
        <w:pStyle w:val="TermNum"/>
      </w:pPr>
      <w:r w:rsidRPr="001455DC">
        <w:t>3.1.</w:t>
      </w:r>
      <w:r w:rsidR="005F4D95" w:rsidRPr="001455DC">
        <w:t>62</w:t>
      </w:r>
    </w:p>
    <w:p w14:paraId="533DD24A" w14:textId="59C5B4E0" w:rsidR="004E22C1" w:rsidRPr="001455DC" w:rsidRDefault="008C1358" w:rsidP="00281787">
      <w:pPr>
        <w:pStyle w:val="Terms"/>
        <w:rPr>
          <w:iCs/>
        </w:rPr>
      </w:pPr>
      <w:r w:rsidRPr="001455DC">
        <w:t>p</w:t>
      </w:r>
      <w:r w:rsidR="004E22C1" w:rsidRPr="001455DC">
        <w:t>recast structure</w:t>
      </w:r>
    </w:p>
    <w:p w14:paraId="05B93CC0" w14:textId="76D802B5" w:rsidR="004E22C1" w:rsidRPr="001455DC" w:rsidRDefault="008C1358" w:rsidP="00281787">
      <w:pPr>
        <w:pStyle w:val="Definition"/>
      </w:pPr>
      <w:r w:rsidRPr="001455DC">
        <w:t>s</w:t>
      </w:r>
      <w:r w:rsidR="004E22C1" w:rsidRPr="001455DC">
        <w:t>tructure assembled from precast concrete elements, connected to ensure the required structural integrity</w:t>
      </w:r>
    </w:p>
    <w:p w14:paraId="2E5C3963" w14:textId="0BE3D47E" w:rsidR="004E22C1" w:rsidRPr="001455DC" w:rsidRDefault="004E22C1" w:rsidP="00281787">
      <w:pPr>
        <w:pStyle w:val="TermNum"/>
      </w:pPr>
      <w:r w:rsidRPr="001455DC">
        <w:t>3.1.</w:t>
      </w:r>
      <w:r w:rsidR="005F4D95" w:rsidRPr="001455DC">
        <w:t>63</w:t>
      </w:r>
    </w:p>
    <w:p w14:paraId="2312682D" w14:textId="32953338" w:rsidR="004E22C1" w:rsidRPr="001455DC" w:rsidRDefault="008C1358" w:rsidP="00281787">
      <w:pPr>
        <w:pStyle w:val="Terms"/>
        <w:rPr>
          <w:iCs/>
        </w:rPr>
      </w:pPr>
      <w:r w:rsidRPr="001455DC">
        <w:t>p</w:t>
      </w:r>
      <w:r w:rsidR="004E22C1" w:rsidRPr="001455DC">
        <w:t>restress</w:t>
      </w:r>
    </w:p>
    <w:p w14:paraId="14335EB1" w14:textId="1C847BAB" w:rsidR="004E22C1" w:rsidRPr="001455DC" w:rsidRDefault="008C1358" w:rsidP="00281787">
      <w:pPr>
        <w:pStyle w:val="Definition"/>
      </w:pPr>
      <w:r w:rsidRPr="001455DC">
        <w:t>e</w:t>
      </w:r>
      <w:r w:rsidR="004E22C1" w:rsidRPr="001455DC">
        <w:t>ffect of prestressing process, namely, internal forces in the sections and the deformations of the structure</w:t>
      </w:r>
    </w:p>
    <w:p w14:paraId="11C465B3" w14:textId="3E5BA8D6" w:rsidR="004E22C1" w:rsidRPr="001455DC" w:rsidRDefault="004E22C1" w:rsidP="00281787">
      <w:pPr>
        <w:pStyle w:val="TermNum"/>
      </w:pPr>
      <w:r w:rsidRPr="001455DC">
        <w:t>3.1.</w:t>
      </w:r>
      <w:r w:rsidR="005F4D95" w:rsidRPr="001455DC">
        <w:t>64</w:t>
      </w:r>
    </w:p>
    <w:p w14:paraId="367E3CC0" w14:textId="24460A71" w:rsidR="004E22C1" w:rsidRPr="001455DC" w:rsidRDefault="008C1358" w:rsidP="00281787">
      <w:pPr>
        <w:pStyle w:val="Terms"/>
        <w:rPr>
          <w:iCs/>
        </w:rPr>
      </w:pPr>
      <w:r w:rsidRPr="001455DC">
        <w:t>p</w:t>
      </w:r>
      <w:r w:rsidR="004E22C1" w:rsidRPr="001455DC">
        <w:t>restressing process</w:t>
      </w:r>
    </w:p>
    <w:p w14:paraId="23ED587C" w14:textId="784B882E" w:rsidR="004E22C1" w:rsidRPr="001455DC" w:rsidRDefault="008C1358" w:rsidP="00281787">
      <w:pPr>
        <w:pStyle w:val="Definition"/>
      </w:pPr>
      <w:r w:rsidRPr="001455DC">
        <w:t>t</w:t>
      </w:r>
      <w:r w:rsidR="004E22C1" w:rsidRPr="001455DC">
        <w:t>he process of prestressing consists in applying forces to the concrete structure and the tendons by stressing the latter against the former</w:t>
      </w:r>
    </w:p>
    <w:p w14:paraId="63685281" w14:textId="5D68E305" w:rsidR="004E22C1" w:rsidRPr="001455DC" w:rsidRDefault="004E22C1" w:rsidP="00281787">
      <w:pPr>
        <w:pStyle w:val="TermNum"/>
      </w:pPr>
      <w:r w:rsidRPr="001455DC">
        <w:t>3.1.</w:t>
      </w:r>
      <w:r w:rsidR="005F4D95" w:rsidRPr="001455DC">
        <w:t>65</w:t>
      </w:r>
    </w:p>
    <w:p w14:paraId="34320750" w14:textId="1525682E" w:rsidR="004E22C1" w:rsidRPr="001455DC" w:rsidRDefault="008C1358" w:rsidP="00281787">
      <w:pPr>
        <w:pStyle w:val="Terms"/>
        <w:rPr>
          <w:iCs/>
        </w:rPr>
      </w:pPr>
      <w:r w:rsidRPr="001455DC">
        <w:t>p</w:t>
      </w:r>
      <w:r w:rsidR="004E22C1" w:rsidRPr="001455DC">
        <w:t>restressed reinforcement</w:t>
      </w:r>
    </w:p>
    <w:p w14:paraId="7E4F69D7" w14:textId="1BDA2962" w:rsidR="004E22C1" w:rsidRPr="001455DC" w:rsidRDefault="008C1358" w:rsidP="00281787">
      <w:pPr>
        <w:pStyle w:val="Definition"/>
      </w:pPr>
      <w:r w:rsidRPr="001455DC">
        <w:t>r</w:t>
      </w:r>
      <w:r w:rsidR="004E22C1" w:rsidRPr="001455DC">
        <w:t xml:space="preserve">einforcement made of strands, wires or bars according to </w:t>
      </w:r>
      <w:r w:rsidR="000D2A45" w:rsidRPr="001455DC">
        <w:t>prEN 10138 (all parts)</w:t>
      </w:r>
      <w:r w:rsidR="004E22C1" w:rsidRPr="001455DC">
        <w:t xml:space="preserve"> subjected to a prestressing process. Where not specified otherwise, it is made of prestressing steel</w:t>
      </w:r>
    </w:p>
    <w:p w14:paraId="479C5EE2" w14:textId="1B726407" w:rsidR="004E22C1" w:rsidRPr="001455DC" w:rsidRDefault="004E22C1" w:rsidP="00281787">
      <w:pPr>
        <w:pStyle w:val="TermNum"/>
      </w:pPr>
      <w:r w:rsidRPr="001455DC">
        <w:t>3.1.</w:t>
      </w:r>
      <w:r w:rsidR="00980422" w:rsidRPr="001455DC">
        <w:t>66</w:t>
      </w:r>
    </w:p>
    <w:p w14:paraId="54F0CEA7" w14:textId="2409FA80" w:rsidR="004E22C1" w:rsidRPr="001455DC" w:rsidRDefault="008C1358" w:rsidP="00281787">
      <w:pPr>
        <w:pStyle w:val="Terms"/>
        <w:rPr>
          <w:iCs/>
        </w:rPr>
      </w:pPr>
      <w:r w:rsidRPr="001455DC">
        <w:t>p</w:t>
      </w:r>
      <w:r w:rsidR="004E22C1" w:rsidRPr="001455DC">
        <w:t>re-tensioning</w:t>
      </w:r>
    </w:p>
    <w:p w14:paraId="3534D29B" w14:textId="00D8FE5E" w:rsidR="004E22C1" w:rsidRPr="001455DC" w:rsidRDefault="008C1358" w:rsidP="00281787">
      <w:pPr>
        <w:pStyle w:val="Definition"/>
      </w:pPr>
      <w:r w:rsidRPr="001455DC">
        <w:t>p</w:t>
      </w:r>
      <w:r w:rsidR="004E22C1" w:rsidRPr="001455DC">
        <w:t>rocess by which tendons are stressed before and remain stressed during their embedment in cast concrete</w:t>
      </w:r>
    </w:p>
    <w:p w14:paraId="46805A67" w14:textId="0E7428B4" w:rsidR="004E22C1" w:rsidRPr="001455DC" w:rsidRDefault="004E22C1" w:rsidP="00281787">
      <w:pPr>
        <w:pStyle w:val="TermNum"/>
      </w:pPr>
      <w:r w:rsidRPr="001455DC">
        <w:t>3.1.6</w:t>
      </w:r>
      <w:r w:rsidR="00980422" w:rsidRPr="001455DC">
        <w:t>7</w:t>
      </w:r>
    </w:p>
    <w:p w14:paraId="4518EFF1" w14:textId="4F0E0E1D" w:rsidR="004E22C1" w:rsidRPr="001455DC" w:rsidRDefault="008C1358" w:rsidP="00281787">
      <w:pPr>
        <w:pStyle w:val="Terms"/>
        <w:rPr>
          <w:iCs/>
        </w:rPr>
      </w:pPr>
      <w:r w:rsidRPr="001455DC">
        <w:t>p</w:t>
      </w:r>
      <w:r w:rsidR="004E22C1" w:rsidRPr="001455DC">
        <w:t>re-tensioning tendon</w:t>
      </w:r>
    </w:p>
    <w:p w14:paraId="68B9D82D" w14:textId="4A010534" w:rsidR="004E22C1" w:rsidRPr="001455DC" w:rsidRDefault="008C1358" w:rsidP="00281787">
      <w:pPr>
        <w:pStyle w:val="Definition"/>
      </w:pPr>
      <w:r w:rsidRPr="001455DC">
        <w:t>t</w:t>
      </w:r>
      <w:r w:rsidR="004E22C1" w:rsidRPr="001455DC">
        <w:t>endon in which the prestressed reinforcement is embedded in and bonded directly to concrete</w:t>
      </w:r>
    </w:p>
    <w:p w14:paraId="3CA71834" w14:textId="194A31CC" w:rsidR="004E22C1" w:rsidRPr="001455DC" w:rsidRDefault="004E22C1" w:rsidP="00281787">
      <w:pPr>
        <w:pStyle w:val="TermNum"/>
      </w:pPr>
      <w:r w:rsidRPr="001455DC">
        <w:t>3.1.6</w:t>
      </w:r>
      <w:r w:rsidR="00980422" w:rsidRPr="001455DC">
        <w:t>8</w:t>
      </w:r>
    </w:p>
    <w:p w14:paraId="71586545" w14:textId="1AD15DD6" w:rsidR="004E22C1" w:rsidRPr="001455DC" w:rsidRDefault="008C1358" w:rsidP="00281787">
      <w:pPr>
        <w:pStyle w:val="Terms"/>
        <w:rPr>
          <w:iCs/>
        </w:rPr>
      </w:pPr>
      <w:r w:rsidRPr="001455DC">
        <w:t>r</w:t>
      </w:r>
      <w:r w:rsidR="004E22C1" w:rsidRPr="001455DC">
        <w:t>einforcement</w:t>
      </w:r>
    </w:p>
    <w:p w14:paraId="6731F4DC" w14:textId="0C01CED4" w:rsidR="004E22C1" w:rsidRPr="001455DC" w:rsidRDefault="008C1358" w:rsidP="00281787">
      <w:pPr>
        <w:pStyle w:val="Definition"/>
      </w:pPr>
      <w:r w:rsidRPr="001455DC">
        <w:t>a</w:t>
      </w:r>
      <w:r w:rsidR="004E22C1" w:rsidRPr="001455DC">
        <w:t>ssembly of bars and/or tendons, prestressed (prestressed reinforcement) or not (ordinary reinforcement), embedded in or connected to concrete members. Where not specified otherwise, it is made of steel and is bonded to the concrete</w:t>
      </w:r>
    </w:p>
    <w:p w14:paraId="028B923D" w14:textId="4E651F9F" w:rsidR="004E22C1" w:rsidRPr="001455DC" w:rsidRDefault="004E22C1" w:rsidP="00281787">
      <w:pPr>
        <w:pStyle w:val="TermNum"/>
      </w:pPr>
      <w:r w:rsidRPr="001455DC">
        <w:t>3.1.6</w:t>
      </w:r>
      <w:r w:rsidR="00980422" w:rsidRPr="001455DC">
        <w:t>9</w:t>
      </w:r>
    </w:p>
    <w:p w14:paraId="3F75DA5E" w14:textId="06844160" w:rsidR="004E22C1" w:rsidRPr="001455DC" w:rsidRDefault="008C1358" w:rsidP="00281787">
      <w:pPr>
        <w:pStyle w:val="Terms"/>
        <w:rPr>
          <w:iCs/>
        </w:rPr>
      </w:pPr>
      <w:r w:rsidRPr="001455DC">
        <w:t>r</w:t>
      </w:r>
      <w:r w:rsidR="004E22C1" w:rsidRPr="001455DC">
        <w:t>ibbed reinforcement</w:t>
      </w:r>
    </w:p>
    <w:p w14:paraId="2747286F" w14:textId="7D95724C" w:rsidR="004E22C1" w:rsidRPr="001455DC" w:rsidRDefault="008C1358" w:rsidP="00281787">
      <w:pPr>
        <w:pStyle w:val="Definition"/>
      </w:pPr>
      <w:r w:rsidRPr="001455DC">
        <w:t>r</w:t>
      </w:r>
      <w:r w:rsidR="004E22C1" w:rsidRPr="001455DC">
        <w:t>einforcement bars according to EN 10080 with at least two rows of ribs uniformly distributed over the entire length</w:t>
      </w:r>
    </w:p>
    <w:p w14:paraId="6FE70476" w14:textId="187AFFAA" w:rsidR="004E22C1" w:rsidRPr="001455DC" w:rsidRDefault="004E22C1" w:rsidP="00281787">
      <w:pPr>
        <w:pStyle w:val="TermNum"/>
      </w:pPr>
      <w:r w:rsidRPr="001455DC">
        <w:t>3.1.</w:t>
      </w:r>
      <w:r w:rsidR="00980422" w:rsidRPr="001455DC">
        <w:t>70</w:t>
      </w:r>
    </w:p>
    <w:p w14:paraId="0CA3106A" w14:textId="0F40360E" w:rsidR="004E22C1" w:rsidRPr="001455DC" w:rsidRDefault="008C1358" w:rsidP="00281787">
      <w:pPr>
        <w:pStyle w:val="Terms"/>
        <w:rPr>
          <w:iCs/>
        </w:rPr>
      </w:pPr>
      <w:r w:rsidRPr="001455DC">
        <w:t>r</w:t>
      </w:r>
      <w:r w:rsidR="004E22C1" w:rsidRPr="001455DC">
        <w:t>ibbed slab</w:t>
      </w:r>
    </w:p>
    <w:p w14:paraId="66B97B90" w14:textId="012BFB80" w:rsidR="004E22C1" w:rsidRPr="001455DC" w:rsidRDefault="008C1358" w:rsidP="00281787">
      <w:pPr>
        <w:pStyle w:val="Definition"/>
      </w:pPr>
      <w:r w:rsidRPr="001455DC">
        <w:t>s</w:t>
      </w:r>
      <w:r w:rsidR="004E22C1" w:rsidRPr="001455DC">
        <w:t>lab with narrow</w:t>
      </w:r>
      <w:r w:rsidR="00AD6474">
        <w:t xml:space="preserve"> ribs spanning in one direction</w:t>
      </w:r>
    </w:p>
    <w:p w14:paraId="74C620F8" w14:textId="41AEDB9F" w:rsidR="004E22C1" w:rsidRPr="001455DC" w:rsidRDefault="004E22C1" w:rsidP="00281787">
      <w:pPr>
        <w:pStyle w:val="TermNum"/>
      </w:pPr>
      <w:r w:rsidRPr="001455DC">
        <w:t>3.1.</w:t>
      </w:r>
      <w:r w:rsidR="00980422" w:rsidRPr="001455DC">
        <w:t>71</w:t>
      </w:r>
    </w:p>
    <w:p w14:paraId="6FEBCC3E" w14:textId="05429BC1" w:rsidR="004E22C1" w:rsidRPr="001455DC" w:rsidRDefault="008C1358" w:rsidP="00281787">
      <w:pPr>
        <w:pStyle w:val="Terms"/>
        <w:rPr>
          <w:iCs/>
        </w:rPr>
      </w:pPr>
      <w:r w:rsidRPr="001455DC">
        <w:t>s</w:t>
      </w:r>
      <w:r w:rsidR="004E22C1" w:rsidRPr="001455DC">
        <w:t>econd order effects</w:t>
      </w:r>
    </w:p>
    <w:p w14:paraId="440753FE" w14:textId="61143AEF" w:rsidR="004E22C1" w:rsidRPr="001455DC" w:rsidRDefault="008C1358" w:rsidP="00281787">
      <w:pPr>
        <w:pStyle w:val="Definition"/>
      </w:pPr>
      <w:r w:rsidRPr="001455DC">
        <w:t>a</w:t>
      </w:r>
      <w:r w:rsidR="004E22C1" w:rsidRPr="001455DC">
        <w:t>dditional action effects caused by structural deformations</w:t>
      </w:r>
    </w:p>
    <w:p w14:paraId="682E1FA5" w14:textId="6C2C4BCF" w:rsidR="004E22C1" w:rsidRPr="001455DC" w:rsidRDefault="004E22C1" w:rsidP="00281787">
      <w:pPr>
        <w:pStyle w:val="TermNum"/>
      </w:pPr>
      <w:r w:rsidRPr="001455DC">
        <w:t>3.1.</w:t>
      </w:r>
      <w:r w:rsidR="00980422" w:rsidRPr="001455DC">
        <w:t>72</w:t>
      </w:r>
    </w:p>
    <w:p w14:paraId="4C80FE1E" w14:textId="2597F6D7" w:rsidR="004E22C1" w:rsidRPr="001455DC" w:rsidRDefault="008C1358" w:rsidP="00281787">
      <w:pPr>
        <w:pStyle w:val="Terms"/>
        <w:rPr>
          <w:iCs/>
        </w:rPr>
      </w:pPr>
      <w:r w:rsidRPr="001455DC">
        <w:t>s</w:t>
      </w:r>
      <w:r w:rsidR="004E22C1" w:rsidRPr="001455DC">
        <w:t>econdary reinforcement</w:t>
      </w:r>
    </w:p>
    <w:p w14:paraId="0BA1A46F" w14:textId="2E9FBC7A" w:rsidR="004E22C1" w:rsidRPr="001455DC" w:rsidRDefault="008C1358" w:rsidP="00281787">
      <w:pPr>
        <w:pStyle w:val="Definition"/>
      </w:pPr>
      <w:r w:rsidRPr="001455DC">
        <w:t>i</w:t>
      </w:r>
      <w:r w:rsidR="004E22C1" w:rsidRPr="001455DC">
        <w:t>n one-way slabs, the bending reinforcement placed in the direction parallel to the supports</w:t>
      </w:r>
    </w:p>
    <w:p w14:paraId="532E0081" w14:textId="7A65375C" w:rsidR="004E22C1" w:rsidRPr="001455DC" w:rsidRDefault="004E22C1" w:rsidP="00281787">
      <w:pPr>
        <w:pStyle w:val="TermNum"/>
      </w:pPr>
      <w:r w:rsidRPr="001455DC">
        <w:t>3.1.</w:t>
      </w:r>
      <w:r w:rsidR="00980422" w:rsidRPr="001455DC">
        <w:t>73</w:t>
      </w:r>
    </w:p>
    <w:p w14:paraId="26D627F6" w14:textId="5D8BBBC5" w:rsidR="004E22C1" w:rsidRPr="001455DC" w:rsidRDefault="008C1358" w:rsidP="00281787">
      <w:pPr>
        <w:pStyle w:val="Terms"/>
        <w:rPr>
          <w:iCs/>
        </w:rPr>
      </w:pPr>
      <w:r w:rsidRPr="001455DC">
        <w:t>s</w:t>
      </w:r>
      <w:r w:rsidR="004E22C1" w:rsidRPr="001455DC">
        <w:t>hear reinforcement, shear assemblies</w:t>
      </w:r>
    </w:p>
    <w:p w14:paraId="00C7CCB5" w14:textId="49BBAB7D" w:rsidR="004E22C1" w:rsidRPr="001455DC" w:rsidRDefault="008C1358" w:rsidP="00281787">
      <w:pPr>
        <w:pStyle w:val="Definition"/>
      </w:pPr>
      <w:r w:rsidRPr="001455DC">
        <w:t>s</w:t>
      </w:r>
      <w:r w:rsidR="004E22C1" w:rsidRPr="001455DC">
        <w:t>tirrups, links, headed bars or bent-up bars specifically placed to resist action effects caused by shear and torsion</w:t>
      </w:r>
    </w:p>
    <w:p w14:paraId="0C04E20C" w14:textId="1809CBAC" w:rsidR="004E22C1" w:rsidRPr="001455DC" w:rsidRDefault="004E22C1" w:rsidP="00281787">
      <w:pPr>
        <w:pStyle w:val="TermNum"/>
      </w:pPr>
      <w:r w:rsidRPr="001455DC">
        <w:t>3.1.</w:t>
      </w:r>
      <w:r w:rsidR="00980422" w:rsidRPr="001455DC">
        <w:t>74</w:t>
      </w:r>
    </w:p>
    <w:p w14:paraId="326092DE" w14:textId="2A7421E0" w:rsidR="004E22C1" w:rsidRPr="001455DC" w:rsidRDefault="008C1358" w:rsidP="00281787">
      <w:pPr>
        <w:pStyle w:val="Terms"/>
      </w:pPr>
      <w:r w:rsidRPr="001455DC">
        <w:t>s</w:t>
      </w:r>
      <w:r w:rsidR="004E22C1" w:rsidRPr="001455DC">
        <w:t>hell</w:t>
      </w:r>
    </w:p>
    <w:p w14:paraId="3DEF2FF1" w14:textId="56F63BAB" w:rsidR="004E22C1" w:rsidRPr="001455DC" w:rsidRDefault="004E22C1" w:rsidP="00281787">
      <w:pPr>
        <w:pStyle w:val="Definition"/>
      </w:pPr>
      <w:r w:rsidRPr="001455DC">
        <w:t>planar member, either plane or curved, that carries both in-plane and out of plane forces. Cylindrical shells are simply curved, spherical shells are double curved</w:t>
      </w:r>
    </w:p>
    <w:p w14:paraId="1C0F1837" w14:textId="4AD733B7" w:rsidR="004E22C1" w:rsidRPr="001455DC" w:rsidRDefault="004E22C1" w:rsidP="00281787">
      <w:pPr>
        <w:pStyle w:val="TermNum"/>
      </w:pPr>
      <w:r w:rsidRPr="001455DC">
        <w:t>3.1.</w:t>
      </w:r>
      <w:r w:rsidR="00980422" w:rsidRPr="001455DC">
        <w:t>75</w:t>
      </w:r>
    </w:p>
    <w:p w14:paraId="0A20C81B" w14:textId="1875097A" w:rsidR="004E22C1" w:rsidRPr="001455DC" w:rsidRDefault="008C1358" w:rsidP="00281787">
      <w:pPr>
        <w:pStyle w:val="Terms"/>
        <w:rPr>
          <w:iCs/>
        </w:rPr>
      </w:pPr>
      <w:r w:rsidRPr="001455DC">
        <w:t>s</w:t>
      </w:r>
      <w:r w:rsidR="004E22C1" w:rsidRPr="001455DC">
        <w:t>hrinkage, basic</w:t>
      </w:r>
    </w:p>
    <w:p w14:paraId="26A96A49" w14:textId="7F1AF2E8" w:rsidR="004E22C1" w:rsidRPr="001455DC" w:rsidRDefault="008C1358" w:rsidP="00281787">
      <w:pPr>
        <w:pStyle w:val="Definition"/>
      </w:pPr>
      <w:r w:rsidRPr="001455DC">
        <w:t>s</w:t>
      </w:r>
      <w:r w:rsidR="004E22C1" w:rsidRPr="001455DC">
        <w:t>hrinkage occurring in concrete when there is no humidity transfer with the surrounding environment. Also known as autogenous shrinkage</w:t>
      </w:r>
    </w:p>
    <w:p w14:paraId="4C5F2805" w14:textId="3CE7D018" w:rsidR="004E22C1" w:rsidRPr="001455DC" w:rsidRDefault="004E22C1" w:rsidP="00281787">
      <w:pPr>
        <w:pStyle w:val="TermNum"/>
      </w:pPr>
      <w:r w:rsidRPr="001455DC">
        <w:t>3.1.</w:t>
      </w:r>
      <w:r w:rsidR="00980422" w:rsidRPr="001455DC">
        <w:t>76</w:t>
      </w:r>
    </w:p>
    <w:p w14:paraId="798F15D0" w14:textId="5021AB47" w:rsidR="004E22C1" w:rsidRPr="001455DC" w:rsidRDefault="008C1358" w:rsidP="00281787">
      <w:pPr>
        <w:pStyle w:val="Terms"/>
        <w:rPr>
          <w:iCs/>
        </w:rPr>
      </w:pPr>
      <w:r w:rsidRPr="001455DC">
        <w:t>s</w:t>
      </w:r>
      <w:r w:rsidR="004E22C1" w:rsidRPr="001455DC">
        <w:t>hrinkage, drying</w:t>
      </w:r>
    </w:p>
    <w:p w14:paraId="0144D024" w14:textId="0679BCD0" w:rsidR="004E22C1" w:rsidRPr="001455DC" w:rsidRDefault="008C1358" w:rsidP="00281787">
      <w:pPr>
        <w:pStyle w:val="Definition"/>
      </w:pPr>
      <w:r w:rsidRPr="001455DC">
        <w:t>s</w:t>
      </w:r>
      <w:r w:rsidR="004E22C1" w:rsidRPr="001455DC">
        <w:t>hrinkage, additional to basic shrinkage, occurring in concrete when there is humidity transfer with the surrounding environment. The total shrinkage is the sum of basic and drying shrinkage</w:t>
      </w:r>
    </w:p>
    <w:p w14:paraId="47F1A70E" w14:textId="2426EFAE" w:rsidR="004E22C1" w:rsidRPr="001455DC" w:rsidRDefault="004E22C1" w:rsidP="00281787">
      <w:pPr>
        <w:pStyle w:val="TermNum"/>
      </w:pPr>
      <w:r w:rsidRPr="001455DC">
        <w:t>3.1.</w:t>
      </w:r>
      <w:r w:rsidR="00980422" w:rsidRPr="001455DC">
        <w:t>77</w:t>
      </w:r>
    </w:p>
    <w:p w14:paraId="1CA2A3D9" w14:textId="34C403F7" w:rsidR="004E22C1" w:rsidRPr="001455DC" w:rsidRDefault="008C1358" w:rsidP="00281787">
      <w:pPr>
        <w:pStyle w:val="Terms"/>
        <w:rPr>
          <w:iCs/>
        </w:rPr>
      </w:pPr>
      <w:r w:rsidRPr="001455DC">
        <w:t>s</w:t>
      </w:r>
      <w:r w:rsidR="004E22C1" w:rsidRPr="001455DC">
        <w:t>lab</w:t>
      </w:r>
    </w:p>
    <w:p w14:paraId="26748005" w14:textId="096597C7" w:rsidR="004E22C1" w:rsidRPr="001455DC" w:rsidRDefault="008C1358" w:rsidP="00281787">
      <w:pPr>
        <w:pStyle w:val="Definition"/>
      </w:pPr>
      <w:r w:rsidRPr="001455DC">
        <w:t>p</w:t>
      </w:r>
      <w:r w:rsidR="004E22C1" w:rsidRPr="001455DC">
        <w:t>lanar member loaded primarily perpendicularly to its plane for which the minimum panel dimension is not less than 4</w:t>
      </w:r>
      <w:r w:rsidR="004945D3" w:rsidRPr="001455DC">
        <w:t> </w:t>
      </w:r>
      <w:r w:rsidR="004E22C1" w:rsidRPr="001455DC">
        <w:t>times the overall thickness, possibly acting also as diaphragm</w:t>
      </w:r>
    </w:p>
    <w:p w14:paraId="5E5FFE88" w14:textId="04C59A37" w:rsidR="004E22C1" w:rsidRPr="001455DC" w:rsidRDefault="004E22C1" w:rsidP="00281787">
      <w:pPr>
        <w:pStyle w:val="TermNum"/>
      </w:pPr>
      <w:r w:rsidRPr="001455DC">
        <w:t>3.1.</w:t>
      </w:r>
      <w:r w:rsidR="00980422" w:rsidRPr="001455DC">
        <w:t>78</w:t>
      </w:r>
    </w:p>
    <w:p w14:paraId="23B48285" w14:textId="553444BE" w:rsidR="004E22C1" w:rsidRPr="001455DC" w:rsidRDefault="008C1358" w:rsidP="00281787">
      <w:pPr>
        <w:pStyle w:val="Terms"/>
        <w:rPr>
          <w:iCs/>
        </w:rPr>
      </w:pPr>
      <w:r w:rsidRPr="001455DC">
        <w:t>s</w:t>
      </w:r>
      <w:r w:rsidR="004E22C1" w:rsidRPr="001455DC">
        <w:t>lab, solid</w:t>
      </w:r>
    </w:p>
    <w:p w14:paraId="5EFFFD5C" w14:textId="20C6E04C" w:rsidR="004E22C1" w:rsidRPr="001455DC" w:rsidRDefault="008C1358" w:rsidP="00281787">
      <w:pPr>
        <w:pStyle w:val="Definition"/>
      </w:pPr>
      <w:r w:rsidRPr="001455DC">
        <w:t>s</w:t>
      </w:r>
      <w:r w:rsidR="004E22C1" w:rsidRPr="001455DC">
        <w:t>lab without voids or ribs within its full depth</w:t>
      </w:r>
    </w:p>
    <w:p w14:paraId="1DA7927B" w14:textId="2BB9E5B5" w:rsidR="004E22C1" w:rsidRPr="001455DC" w:rsidRDefault="004E22C1" w:rsidP="00281787">
      <w:pPr>
        <w:pStyle w:val="TermNum"/>
      </w:pPr>
      <w:r w:rsidRPr="001455DC">
        <w:t>3.1.</w:t>
      </w:r>
      <w:r w:rsidR="00980422" w:rsidRPr="001455DC">
        <w:t>79</w:t>
      </w:r>
    </w:p>
    <w:p w14:paraId="40AB4D47" w14:textId="3A88E192" w:rsidR="004E22C1" w:rsidRPr="001455DC" w:rsidRDefault="008C1358" w:rsidP="00281787">
      <w:pPr>
        <w:pStyle w:val="Terms"/>
        <w:rPr>
          <w:iCs/>
        </w:rPr>
      </w:pPr>
      <w:r w:rsidRPr="001455DC">
        <w:t>s</w:t>
      </w:r>
      <w:r w:rsidR="004E22C1" w:rsidRPr="001455DC">
        <w:t>piral reinforcement</w:t>
      </w:r>
    </w:p>
    <w:p w14:paraId="06C07968" w14:textId="1A4CC4DB" w:rsidR="004E22C1" w:rsidRPr="001455DC" w:rsidRDefault="008C1358" w:rsidP="00281787">
      <w:pPr>
        <w:pStyle w:val="Definition"/>
      </w:pPr>
      <w:r w:rsidRPr="001455DC">
        <w:t>c</w:t>
      </w:r>
      <w:r w:rsidR="004E22C1" w:rsidRPr="001455DC">
        <w:t>ontinuously wound reinforcement in form of a helix, cylindrical or prismatic</w:t>
      </w:r>
    </w:p>
    <w:p w14:paraId="20FE51BE" w14:textId="15AE0D4D" w:rsidR="004E22C1" w:rsidRPr="001455DC" w:rsidRDefault="004E22C1" w:rsidP="00281787">
      <w:pPr>
        <w:pStyle w:val="TermNum"/>
      </w:pPr>
      <w:r w:rsidRPr="001455DC">
        <w:t>3.1.</w:t>
      </w:r>
      <w:r w:rsidR="00980422" w:rsidRPr="001455DC">
        <w:t>80</w:t>
      </w:r>
    </w:p>
    <w:p w14:paraId="57929A06" w14:textId="4A556232" w:rsidR="004E22C1" w:rsidRPr="001455DC" w:rsidRDefault="008C1358" w:rsidP="00281787">
      <w:pPr>
        <w:pStyle w:val="Terms"/>
        <w:rPr>
          <w:iCs/>
        </w:rPr>
      </w:pPr>
      <w:r w:rsidRPr="001455DC">
        <w:t>s</w:t>
      </w:r>
      <w:r w:rsidR="004E22C1" w:rsidRPr="001455DC">
        <w:t>tabilized cracking</w:t>
      </w:r>
    </w:p>
    <w:p w14:paraId="2E2BB445" w14:textId="5140ED75" w:rsidR="004E22C1" w:rsidRPr="001455DC" w:rsidRDefault="008C1358" w:rsidP="00281787">
      <w:pPr>
        <w:pStyle w:val="Definition"/>
      </w:pPr>
      <w:r w:rsidRPr="001455DC">
        <w:t>p</w:t>
      </w:r>
      <w:r w:rsidR="004E22C1" w:rsidRPr="001455DC">
        <w:t xml:space="preserve">hase of the cracking process in which the crack pattern is fully developed. An increase in the actions will normally result in an increase in the crack opening. This type of cracking </w:t>
      </w:r>
      <w:r w:rsidR="00980422" w:rsidRPr="001455DC">
        <w:t xml:space="preserve">is </w:t>
      </w:r>
      <w:r w:rsidR="004E22C1" w:rsidRPr="001455DC">
        <w:t>typically associated with applied external loads, when such loads are sensibly above the cracking loads</w:t>
      </w:r>
    </w:p>
    <w:p w14:paraId="5DAF779B" w14:textId="42E27AF8" w:rsidR="004E22C1" w:rsidRPr="001455DC" w:rsidRDefault="004E22C1" w:rsidP="00281787">
      <w:pPr>
        <w:pStyle w:val="TermNum"/>
      </w:pPr>
      <w:r w:rsidRPr="001455DC">
        <w:t>3.1.</w:t>
      </w:r>
      <w:r w:rsidR="00C07BCB" w:rsidRPr="001455DC">
        <w:t>81</w:t>
      </w:r>
    </w:p>
    <w:p w14:paraId="2F8C6C85" w14:textId="706938D5" w:rsidR="004E22C1" w:rsidRPr="001455DC" w:rsidRDefault="008C1358" w:rsidP="00281787">
      <w:pPr>
        <w:pStyle w:val="Terms"/>
      </w:pPr>
      <w:r w:rsidRPr="001455DC">
        <w:t>s</w:t>
      </w:r>
      <w:r w:rsidR="004E22C1" w:rsidRPr="001455DC">
        <w:t>tainless steel</w:t>
      </w:r>
    </w:p>
    <w:p w14:paraId="392C03C8" w14:textId="25FF4B84" w:rsidR="004E22C1" w:rsidRPr="001455DC" w:rsidRDefault="008C1358" w:rsidP="00281787">
      <w:pPr>
        <w:pStyle w:val="Definition"/>
      </w:pPr>
      <w:r w:rsidRPr="001455DC">
        <w:t>s</w:t>
      </w:r>
      <w:r w:rsidR="004E22C1" w:rsidRPr="001455DC">
        <w:t xml:space="preserve">tainless steel reinforcement in accordance with </w:t>
      </w:r>
      <w:r w:rsidR="008D32E2" w:rsidRPr="001455DC">
        <w:t>prEN 10370</w:t>
      </w:r>
    </w:p>
    <w:p w14:paraId="6899E4D9" w14:textId="4E00D34E" w:rsidR="004E22C1" w:rsidRPr="001455DC" w:rsidRDefault="004E22C1" w:rsidP="00281787">
      <w:pPr>
        <w:pStyle w:val="TermNum"/>
      </w:pPr>
      <w:r w:rsidRPr="001455DC">
        <w:t>3.1.</w:t>
      </w:r>
      <w:r w:rsidR="00C07BCB" w:rsidRPr="001455DC">
        <w:t>82</w:t>
      </w:r>
    </w:p>
    <w:p w14:paraId="72ED46D3" w14:textId="3573174B" w:rsidR="004E22C1" w:rsidRPr="001455DC" w:rsidRDefault="008C1358" w:rsidP="00281787">
      <w:pPr>
        <w:pStyle w:val="Terms"/>
        <w:rPr>
          <w:iCs/>
        </w:rPr>
      </w:pPr>
      <w:r w:rsidRPr="001455DC">
        <w:t>s</w:t>
      </w:r>
      <w:r w:rsidR="004E22C1" w:rsidRPr="001455DC">
        <w:t>tirrup</w:t>
      </w:r>
    </w:p>
    <w:p w14:paraId="13C2FF5F" w14:textId="1CE35B11" w:rsidR="004E22C1" w:rsidRPr="001455DC" w:rsidRDefault="008C1358" w:rsidP="00281787">
      <w:pPr>
        <w:pStyle w:val="Definition"/>
      </w:pPr>
      <w:r w:rsidRPr="001455DC">
        <w:t>r</w:t>
      </w:r>
      <w:r w:rsidR="004E22C1" w:rsidRPr="001455DC">
        <w:t>einforcement bent to form double or multiple legs that surrounds longitudinal reinforcement. Stirrups may be closed or open with sufficient anchorage at their ends</w:t>
      </w:r>
    </w:p>
    <w:p w14:paraId="3ACB9696" w14:textId="10B734B3" w:rsidR="004E22C1" w:rsidRPr="001455DC" w:rsidRDefault="004E22C1" w:rsidP="00281787">
      <w:pPr>
        <w:pStyle w:val="TermNum"/>
      </w:pPr>
      <w:r w:rsidRPr="001455DC">
        <w:t>3.1.</w:t>
      </w:r>
      <w:r w:rsidR="00C07BCB" w:rsidRPr="001455DC">
        <w:t>83</w:t>
      </w:r>
    </w:p>
    <w:p w14:paraId="2F5CBF60" w14:textId="2150A79E" w:rsidR="004E22C1" w:rsidRPr="001455DC" w:rsidRDefault="008C1358" w:rsidP="00281787">
      <w:pPr>
        <w:pStyle w:val="Terms"/>
        <w:rPr>
          <w:iCs/>
        </w:rPr>
      </w:pPr>
      <w:r w:rsidRPr="001455DC">
        <w:t>s</w:t>
      </w:r>
      <w:r w:rsidR="004E22C1" w:rsidRPr="001455DC">
        <w:t>tress field</w:t>
      </w:r>
    </w:p>
    <w:p w14:paraId="14269946" w14:textId="32BE753A" w:rsidR="004E22C1" w:rsidRPr="001455DC" w:rsidRDefault="008C1358" w:rsidP="00281787">
      <w:pPr>
        <w:pStyle w:val="Definition"/>
      </w:pPr>
      <w:r w:rsidRPr="001455DC">
        <w:t>s</w:t>
      </w:r>
      <w:r w:rsidR="004E22C1" w:rsidRPr="001455DC">
        <w:t>tress state in a structure equilibrating the external actions</w:t>
      </w:r>
    </w:p>
    <w:p w14:paraId="27D2CC47" w14:textId="5F6D76F1" w:rsidR="004E22C1" w:rsidRPr="001455DC" w:rsidRDefault="004E22C1" w:rsidP="00DD2588">
      <w:pPr>
        <w:pStyle w:val="TermNum"/>
      </w:pPr>
      <w:r w:rsidRPr="001455DC">
        <w:t>3.1.</w:t>
      </w:r>
      <w:r w:rsidR="00C07BCB" w:rsidRPr="001455DC">
        <w:t>84</w:t>
      </w:r>
    </w:p>
    <w:p w14:paraId="5CF37BF5" w14:textId="61BD6E96" w:rsidR="004E22C1" w:rsidRPr="001455DC" w:rsidRDefault="008C1358" w:rsidP="00DD2588">
      <w:pPr>
        <w:pStyle w:val="Terms"/>
        <w:rPr>
          <w:iCs/>
        </w:rPr>
      </w:pPr>
      <w:r w:rsidRPr="001455DC">
        <w:t>s</w:t>
      </w:r>
      <w:r w:rsidR="004E22C1" w:rsidRPr="001455DC">
        <w:t>trut</w:t>
      </w:r>
    </w:p>
    <w:p w14:paraId="03E760BE" w14:textId="2ED326A7" w:rsidR="004E22C1" w:rsidRPr="001455DC" w:rsidRDefault="008C1358" w:rsidP="00281787">
      <w:pPr>
        <w:pStyle w:val="Definition"/>
      </w:pPr>
      <w:r w:rsidRPr="001455DC">
        <w:t>r</w:t>
      </w:r>
      <w:r w:rsidR="004E22C1" w:rsidRPr="001455DC">
        <w:t>esultant of a compression field, part of a Strut-and-tie mode</w:t>
      </w:r>
      <w:r w:rsidRPr="001455DC">
        <w:t>l</w:t>
      </w:r>
    </w:p>
    <w:p w14:paraId="5E76FA5D" w14:textId="0578D312" w:rsidR="004E22C1" w:rsidRPr="001455DC" w:rsidRDefault="004E22C1" w:rsidP="00DD2588">
      <w:pPr>
        <w:pStyle w:val="TermNum"/>
      </w:pPr>
      <w:r w:rsidRPr="001455DC">
        <w:t>3.1.</w:t>
      </w:r>
      <w:r w:rsidR="00C07BCB" w:rsidRPr="001455DC">
        <w:t>85</w:t>
      </w:r>
    </w:p>
    <w:p w14:paraId="156FBB79" w14:textId="177268FB" w:rsidR="004E22C1" w:rsidRPr="001455DC" w:rsidRDefault="008C1358" w:rsidP="00DD2588">
      <w:pPr>
        <w:pStyle w:val="Terms"/>
        <w:rPr>
          <w:iCs/>
        </w:rPr>
      </w:pPr>
      <w:r w:rsidRPr="001455DC">
        <w:t>s</w:t>
      </w:r>
      <w:r w:rsidR="004E22C1" w:rsidRPr="001455DC">
        <w:t>trut-and-tie model</w:t>
      </w:r>
    </w:p>
    <w:p w14:paraId="7A77C3D5" w14:textId="7CF5F460" w:rsidR="004E22C1" w:rsidRPr="001455DC" w:rsidRDefault="008C1358" w:rsidP="00281787">
      <w:pPr>
        <w:pStyle w:val="Definition"/>
      </w:pPr>
      <w:r w:rsidRPr="001455DC">
        <w:t>m</w:t>
      </w:r>
      <w:r w:rsidR="004E22C1" w:rsidRPr="001455DC">
        <w:t>odel composed of the resultant forces of a stress field with struts for the compression fields and ties for the tension reinforcement</w:t>
      </w:r>
    </w:p>
    <w:p w14:paraId="5FA0A907" w14:textId="07461303" w:rsidR="004E22C1" w:rsidRPr="001455DC" w:rsidRDefault="004E22C1" w:rsidP="00DD2588">
      <w:pPr>
        <w:pStyle w:val="TermNum"/>
      </w:pPr>
      <w:r w:rsidRPr="001455DC">
        <w:t>3.1.</w:t>
      </w:r>
      <w:r w:rsidR="00C07BCB" w:rsidRPr="001455DC">
        <w:t>86</w:t>
      </w:r>
    </w:p>
    <w:p w14:paraId="31816C0D" w14:textId="425A22FF" w:rsidR="004E22C1" w:rsidRPr="001455DC" w:rsidRDefault="008C1358" w:rsidP="00DD2588">
      <w:pPr>
        <w:pStyle w:val="Terms"/>
      </w:pPr>
      <w:r w:rsidRPr="001455DC">
        <w:t>s</w:t>
      </w:r>
      <w:r w:rsidR="004E22C1" w:rsidRPr="001455DC">
        <w:t>upport, indirect</w:t>
      </w:r>
    </w:p>
    <w:p w14:paraId="4D1B07E3" w14:textId="5AC17C99" w:rsidR="004E22C1" w:rsidRPr="001455DC" w:rsidRDefault="008C1358" w:rsidP="00281787">
      <w:pPr>
        <w:pStyle w:val="Definition"/>
      </w:pPr>
      <w:r w:rsidRPr="001455DC">
        <w:t>s</w:t>
      </w:r>
      <w:r w:rsidR="004E22C1" w:rsidRPr="001455DC">
        <w:t>upport with local tensile stresses in the supporting member caused by applied loads</w:t>
      </w:r>
    </w:p>
    <w:p w14:paraId="210A6F27" w14:textId="265419C8" w:rsidR="004E22C1" w:rsidRPr="001455DC" w:rsidRDefault="004E22C1" w:rsidP="00DD2588">
      <w:pPr>
        <w:pStyle w:val="TermNum"/>
      </w:pPr>
      <w:r w:rsidRPr="001455DC">
        <w:t>3.1.</w:t>
      </w:r>
      <w:r w:rsidR="00C07BCB" w:rsidRPr="001455DC">
        <w:t>87</w:t>
      </w:r>
    </w:p>
    <w:p w14:paraId="2856DCEC" w14:textId="6866E203" w:rsidR="004E22C1" w:rsidRPr="001455DC" w:rsidRDefault="008C1358" w:rsidP="00DD2588">
      <w:pPr>
        <w:pStyle w:val="Terms"/>
        <w:rPr>
          <w:iCs/>
        </w:rPr>
      </w:pPr>
      <w:r w:rsidRPr="001455DC">
        <w:t>t</w:t>
      </w:r>
      <w:r w:rsidR="004E22C1" w:rsidRPr="001455DC">
        <w:t>echnical documentation of post-tensioning system</w:t>
      </w:r>
    </w:p>
    <w:p w14:paraId="27661497" w14:textId="6B8CDCFC" w:rsidR="004E22C1" w:rsidRPr="001455DC" w:rsidRDefault="008C1358" w:rsidP="00281787">
      <w:pPr>
        <w:pStyle w:val="Definition"/>
      </w:pPr>
      <w:r w:rsidRPr="001455DC">
        <w:t>d</w:t>
      </w:r>
      <w:r w:rsidR="004E22C1" w:rsidRPr="001455DC">
        <w:t>ocumentation containing all information relevant for design and construction of post-tensioned structures in accordance with this Eurocode. European Technical Assessment (ETA) documents are considered suitable</w:t>
      </w:r>
    </w:p>
    <w:p w14:paraId="1230A9F1" w14:textId="036DD046" w:rsidR="004E22C1" w:rsidRPr="001455DC" w:rsidRDefault="004E22C1" w:rsidP="00DD2588">
      <w:pPr>
        <w:pStyle w:val="TermNum"/>
      </w:pPr>
      <w:r w:rsidRPr="001455DC">
        <w:t>3.1.</w:t>
      </w:r>
      <w:r w:rsidR="00C07BCB" w:rsidRPr="001455DC">
        <w:t>88</w:t>
      </w:r>
    </w:p>
    <w:p w14:paraId="6FF44828" w14:textId="15585B20" w:rsidR="004E22C1" w:rsidRPr="001455DC" w:rsidRDefault="008C1358" w:rsidP="00DD2588">
      <w:pPr>
        <w:pStyle w:val="Terms"/>
        <w:rPr>
          <w:iCs/>
        </w:rPr>
      </w:pPr>
      <w:r w:rsidRPr="001455DC">
        <w:t>t</w:t>
      </w:r>
      <w:r w:rsidR="004E22C1" w:rsidRPr="001455DC">
        <w:t>endon</w:t>
      </w:r>
    </w:p>
    <w:p w14:paraId="09811CEC" w14:textId="6B9007FB" w:rsidR="004E22C1" w:rsidRPr="001455DC" w:rsidRDefault="008C1358" w:rsidP="00281787">
      <w:pPr>
        <w:pStyle w:val="Definition"/>
      </w:pPr>
      <w:r w:rsidRPr="001455DC">
        <w:t>i</w:t>
      </w:r>
      <w:r w:rsidR="004E22C1" w:rsidRPr="001455DC">
        <w:t>n post-tensioned applications, the tendon is a complete assembly consisting of anchorages, prestressing steel (strand, wire, bar), and sheathing with coating for unbonded applications or ducts with grout for bonded applications. In pre-tensioned applications, the tendon is an individual element of prestressed reinforcement</w:t>
      </w:r>
    </w:p>
    <w:p w14:paraId="393F3CE9" w14:textId="26DBACE7" w:rsidR="004E22C1" w:rsidRPr="001455DC" w:rsidRDefault="004E22C1" w:rsidP="00DD2588">
      <w:pPr>
        <w:pStyle w:val="TermNum"/>
      </w:pPr>
      <w:r w:rsidRPr="001455DC">
        <w:t>3.1.</w:t>
      </w:r>
      <w:r w:rsidR="00C07BCB" w:rsidRPr="001455DC">
        <w:t>89</w:t>
      </w:r>
    </w:p>
    <w:p w14:paraId="4A1092CE" w14:textId="5EFF44D2" w:rsidR="004E22C1" w:rsidRPr="001455DC" w:rsidRDefault="008C1358" w:rsidP="00DD2588">
      <w:pPr>
        <w:pStyle w:val="Terms"/>
        <w:rPr>
          <w:iCs/>
        </w:rPr>
      </w:pPr>
      <w:r w:rsidRPr="001455DC">
        <w:t>t</w:t>
      </w:r>
      <w:r w:rsidR="004E22C1" w:rsidRPr="001455DC">
        <w:t xml:space="preserve">endon </w:t>
      </w:r>
      <w:r w:rsidRPr="001455DC">
        <w:t>p</w:t>
      </w:r>
      <w:r w:rsidR="004E22C1" w:rsidRPr="001455DC">
        <w:t xml:space="preserve">rotection </w:t>
      </w:r>
      <w:r w:rsidRPr="001455DC">
        <w:t>l</w:t>
      </w:r>
      <w:r w:rsidR="004E22C1" w:rsidRPr="001455DC">
        <w:t>evel</w:t>
      </w:r>
    </w:p>
    <w:p w14:paraId="78DCD2B5" w14:textId="0771DA3A" w:rsidR="004E22C1" w:rsidRPr="001455DC" w:rsidRDefault="009E11EC" w:rsidP="00281787">
      <w:pPr>
        <w:pStyle w:val="Definition"/>
      </w:pPr>
      <w:r w:rsidRPr="001455DC">
        <w:t>d</w:t>
      </w:r>
      <w:r w:rsidR="004E22C1" w:rsidRPr="001455DC">
        <w:t>esignation of a class or level of corrosion protection provided to tendons</w:t>
      </w:r>
    </w:p>
    <w:p w14:paraId="4A8C5CD8" w14:textId="35CD99FE" w:rsidR="004E22C1" w:rsidRPr="001455DC" w:rsidRDefault="004E22C1" w:rsidP="00281787">
      <w:pPr>
        <w:pStyle w:val="TermNum"/>
      </w:pPr>
      <w:r w:rsidRPr="001455DC">
        <w:t>3.1.</w:t>
      </w:r>
      <w:r w:rsidR="00A14936" w:rsidRPr="001455DC">
        <w:t>90</w:t>
      </w:r>
    </w:p>
    <w:p w14:paraId="05D2A450" w14:textId="003B84AB" w:rsidR="004E22C1" w:rsidRPr="001455DC" w:rsidRDefault="008C1358" w:rsidP="00281787">
      <w:pPr>
        <w:pStyle w:val="Terms"/>
        <w:rPr>
          <w:iCs/>
        </w:rPr>
      </w:pPr>
      <w:r w:rsidRPr="001455DC">
        <w:t>t</w:t>
      </w:r>
      <w:r w:rsidR="004E22C1" w:rsidRPr="001455DC">
        <w:t>ie</w:t>
      </w:r>
    </w:p>
    <w:p w14:paraId="7CF63C5E" w14:textId="44D83152" w:rsidR="004E22C1" w:rsidRPr="001455DC" w:rsidRDefault="008C1358" w:rsidP="00281787">
      <w:pPr>
        <w:pStyle w:val="Definition"/>
      </w:pPr>
      <w:r w:rsidRPr="001455DC">
        <w:t>t</w:t>
      </w:r>
      <w:r w:rsidR="004E22C1" w:rsidRPr="001455DC">
        <w:t>ension member as part of a strut-and-tie model representing concentrated or distributed reinforcements</w:t>
      </w:r>
    </w:p>
    <w:p w14:paraId="0D76E1E8" w14:textId="2B998495" w:rsidR="004E22C1" w:rsidRPr="001455DC" w:rsidRDefault="004E22C1" w:rsidP="00DD2588">
      <w:pPr>
        <w:pStyle w:val="TermNum"/>
      </w:pPr>
      <w:r w:rsidRPr="001455DC">
        <w:t>3.1.9</w:t>
      </w:r>
      <w:r w:rsidR="00A14936" w:rsidRPr="001455DC">
        <w:t>1</w:t>
      </w:r>
    </w:p>
    <w:p w14:paraId="24C52938" w14:textId="56B888FF" w:rsidR="004E22C1" w:rsidRPr="001455DC" w:rsidRDefault="008C1358" w:rsidP="00DD2588">
      <w:pPr>
        <w:pStyle w:val="Terms"/>
        <w:rPr>
          <w:iCs/>
        </w:rPr>
      </w:pPr>
      <w:r w:rsidRPr="001455DC">
        <w:t>t</w:t>
      </w:r>
      <w:r w:rsidR="004E22C1" w:rsidRPr="001455DC">
        <w:t>ransverse reinforcement</w:t>
      </w:r>
    </w:p>
    <w:p w14:paraId="3ACB1C11" w14:textId="70FB6CA8" w:rsidR="004E22C1" w:rsidRPr="001455DC" w:rsidRDefault="008C1358" w:rsidP="00281787">
      <w:pPr>
        <w:pStyle w:val="Definition"/>
      </w:pPr>
      <w:r w:rsidRPr="001455DC">
        <w:t>r</w:t>
      </w:r>
      <w:r w:rsidR="004E22C1" w:rsidRPr="001455DC">
        <w:t>einforcement arranged perpendicular to the bar considered</w:t>
      </w:r>
    </w:p>
    <w:p w14:paraId="1D008009" w14:textId="21116511" w:rsidR="004E22C1" w:rsidRPr="001455DC" w:rsidRDefault="00281787" w:rsidP="005965D6">
      <w:pPr>
        <w:pStyle w:val="Note"/>
      </w:pPr>
      <w:r w:rsidRPr="001455DC">
        <w:t>Note 1 to entry:</w:t>
      </w:r>
      <w:r w:rsidRPr="001455DC">
        <w:tab/>
      </w:r>
      <w:r w:rsidR="004E22C1" w:rsidRPr="001455DC">
        <w:t>In linear members it can consists of stirrups, links or hoops enclosing the longitudinal reinforcement considered; in planar member it consists of straight reinforcement parallel to the free surface.</w:t>
      </w:r>
    </w:p>
    <w:p w14:paraId="373C942A" w14:textId="3B8023C4" w:rsidR="004E22C1" w:rsidRPr="001455DC" w:rsidRDefault="004E22C1" w:rsidP="00DD2588">
      <w:pPr>
        <w:pStyle w:val="TermNum"/>
      </w:pPr>
      <w:r w:rsidRPr="001455DC">
        <w:t>3.1.9</w:t>
      </w:r>
      <w:r w:rsidR="00A14936" w:rsidRPr="001455DC">
        <w:t>2</w:t>
      </w:r>
    </w:p>
    <w:p w14:paraId="2A0CE042" w14:textId="0A9DB65C" w:rsidR="004E22C1" w:rsidRPr="001455DC" w:rsidRDefault="008C1358" w:rsidP="00DD2588">
      <w:pPr>
        <w:pStyle w:val="Terms"/>
        <w:rPr>
          <w:iCs/>
        </w:rPr>
      </w:pPr>
      <w:r w:rsidRPr="001455DC">
        <w:t>u</w:t>
      </w:r>
      <w:r w:rsidR="004E22C1" w:rsidRPr="001455DC">
        <w:t>nbonded tendon</w:t>
      </w:r>
    </w:p>
    <w:p w14:paraId="4B040504" w14:textId="0DE50BCA" w:rsidR="004E22C1" w:rsidRPr="001455DC" w:rsidRDefault="008C1358" w:rsidP="00281787">
      <w:pPr>
        <w:pStyle w:val="Definition"/>
      </w:pPr>
      <w:r w:rsidRPr="001455DC">
        <w:t>t</w:t>
      </w:r>
      <w:r w:rsidR="004E22C1" w:rsidRPr="001455DC">
        <w:t xml:space="preserve">endon for post-tensioned members where bond of the prestressed reinforcement to the member is permanently prevented by encasing it in sheathing with soft filler or by placing the tendon outside the concrete section (see </w:t>
      </w:r>
      <w:r w:rsidR="00556A2B" w:rsidRPr="001455DC">
        <w:t>e</w:t>
      </w:r>
      <w:r w:rsidR="004E22C1" w:rsidRPr="001455DC">
        <w:t>xternal tendon)</w:t>
      </w:r>
    </w:p>
    <w:p w14:paraId="74413767" w14:textId="3DE8F5AA" w:rsidR="004E22C1" w:rsidRPr="001455DC" w:rsidRDefault="004E22C1" w:rsidP="00DD2588">
      <w:pPr>
        <w:pStyle w:val="TermNum"/>
      </w:pPr>
      <w:r w:rsidRPr="001455DC">
        <w:t>3.1.9</w:t>
      </w:r>
      <w:r w:rsidR="00A14936" w:rsidRPr="001455DC">
        <w:t>3</w:t>
      </w:r>
    </w:p>
    <w:p w14:paraId="04F7592A" w14:textId="3A467F8A" w:rsidR="004E22C1" w:rsidRPr="001455DC" w:rsidRDefault="00556A2B" w:rsidP="00DD2588">
      <w:pPr>
        <w:pStyle w:val="Terms"/>
        <w:rPr>
          <w:iCs/>
        </w:rPr>
      </w:pPr>
      <w:r w:rsidRPr="001455DC">
        <w:t>w</w:t>
      </w:r>
      <w:r w:rsidR="004E22C1" w:rsidRPr="001455DC">
        <w:t>affle slabs</w:t>
      </w:r>
    </w:p>
    <w:p w14:paraId="202465B8" w14:textId="3F2B93B9" w:rsidR="004E22C1" w:rsidRPr="001455DC" w:rsidRDefault="00556A2B" w:rsidP="00281787">
      <w:pPr>
        <w:pStyle w:val="Definition"/>
      </w:pPr>
      <w:r w:rsidRPr="001455DC">
        <w:t>s</w:t>
      </w:r>
      <w:r w:rsidR="004E22C1" w:rsidRPr="001455DC">
        <w:t>lab with narrow ribs spanning in both directions</w:t>
      </w:r>
    </w:p>
    <w:p w14:paraId="2F5F05EF" w14:textId="2D253DF8" w:rsidR="004E22C1" w:rsidRPr="001455DC" w:rsidRDefault="004E22C1" w:rsidP="00DD2588">
      <w:pPr>
        <w:pStyle w:val="TermNum"/>
      </w:pPr>
      <w:r w:rsidRPr="001455DC">
        <w:t>3.1.9</w:t>
      </w:r>
      <w:r w:rsidR="00A14936" w:rsidRPr="001455DC">
        <w:t>4</w:t>
      </w:r>
    </w:p>
    <w:p w14:paraId="6B735D3D" w14:textId="728ED6AE" w:rsidR="004E22C1" w:rsidRPr="001455DC" w:rsidRDefault="00556A2B" w:rsidP="00DD2588">
      <w:pPr>
        <w:pStyle w:val="Terms"/>
        <w:rPr>
          <w:iCs/>
        </w:rPr>
      </w:pPr>
      <w:r w:rsidRPr="001455DC">
        <w:t>w</w:t>
      </w:r>
      <w:r w:rsidR="004E22C1" w:rsidRPr="001455DC">
        <w:t>all</w:t>
      </w:r>
    </w:p>
    <w:p w14:paraId="43CCEEF0" w14:textId="08C72A50" w:rsidR="004E22C1" w:rsidRPr="001455DC" w:rsidRDefault="00556A2B" w:rsidP="00281787">
      <w:pPr>
        <w:pStyle w:val="Definition"/>
      </w:pPr>
      <w:r w:rsidRPr="001455DC">
        <w:t>p</w:t>
      </w:r>
      <w:r w:rsidR="004E22C1" w:rsidRPr="001455DC">
        <w:t>lanar member subjected primarily to in plane forces, with cross</w:t>
      </w:r>
      <w:r w:rsidR="00B10711" w:rsidRPr="001455DC">
        <w:t xml:space="preserve"> </w:t>
      </w:r>
      <w:r w:rsidR="004E22C1" w:rsidRPr="001455DC">
        <w:t>section width exceeding 4</w:t>
      </w:r>
      <w:r w:rsidR="004A20BC" w:rsidRPr="001455DC">
        <w:t> </w:t>
      </w:r>
      <w:r w:rsidR="004E22C1" w:rsidRPr="001455DC">
        <w:t xml:space="preserve">times its thickness (otherwise it should be considered as a column) and the </w:t>
      </w:r>
      <w:r w:rsidR="004A20BC" w:rsidRPr="001455DC">
        <w:t>height</w:t>
      </w:r>
      <w:r w:rsidR="004E22C1" w:rsidRPr="001455DC">
        <w:t xml:space="preserve"> is at least 3</w:t>
      </w:r>
      <w:r w:rsidR="004A20BC" w:rsidRPr="001455DC">
        <w:t> </w:t>
      </w:r>
      <w:r w:rsidR="004E22C1" w:rsidRPr="001455DC">
        <w:t>times the section thickness</w:t>
      </w:r>
    </w:p>
    <w:p w14:paraId="14F1A536" w14:textId="5AD65DF4" w:rsidR="00A14936" w:rsidRPr="009D3012" w:rsidRDefault="00A14936" w:rsidP="009D3012">
      <w:pPr>
        <w:pStyle w:val="TermNum"/>
      </w:pPr>
      <w:r w:rsidRPr="009D3012">
        <w:rPr>
          <w:bCs/>
        </w:rPr>
        <w:t>Terms and definitions in Annex I</w:t>
      </w:r>
    </w:p>
    <w:p w14:paraId="109E6090" w14:textId="5636F213" w:rsidR="00A14936" w:rsidRPr="009D3012" w:rsidRDefault="00A14936" w:rsidP="009D3012">
      <w:pPr>
        <w:pStyle w:val="TermNum"/>
      </w:pPr>
      <w:r w:rsidRPr="001455DC">
        <w:t>3.1.95</w:t>
      </w:r>
    </w:p>
    <w:p w14:paraId="74DCA2AE" w14:textId="44C6C546" w:rsidR="00A14936" w:rsidRPr="009D3012" w:rsidRDefault="00AD6474" w:rsidP="009D3012">
      <w:pPr>
        <w:pStyle w:val="Terms"/>
      </w:pPr>
      <w:r>
        <w:t>c</w:t>
      </w:r>
      <w:r w:rsidR="00A14936" w:rsidRPr="009D3012">
        <w:t>orrosion penetration depth</w:t>
      </w:r>
    </w:p>
    <w:p w14:paraId="48350A69" w14:textId="75CA1772" w:rsidR="00A14936" w:rsidRPr="001455DC" w:rsidRDefault="00212938" w:rsidP="00281787">
      <w:pPr>
        <w:pStyle w:val="Definition"/>
      </w:pPr>
      <w:r w:rsidRPr="009D3012">
        <w:rPr>
          <w:rFonts w:cs="Arial"/>
          <w:spacing w:val="-1"/>
          <w:lang w:eastAsia="en-US"/>
        </w:rPr>
        <w:t>l</w:t>
      </w:r>
      <w:r w:rsidR="00A14936" w:rsidRPr="009D3012">
        <w:rPr>
          <w:rFonts w:cs="Arial"/>
          <w:spacing w:val="-1"/>
          <w:lang w:eastAsia="en-US"/>
        </w:rPr>
        <w:t>oss in cross radius of a bar due to homogeneous corrosion</w:t>
      </w:r>
    </w:p>
    <w:p w14:paraId="5832F0E2" w14:textId="77777777" w:rsidR="00A14936" w:rsidRPr="009D3012" w:rsidRDefault="00A14936" w:rsidP="009D3012">
      <w:pPr>
        <w:pStyle w:val="TermNum"/>
      </w:pPr>
      <w:r w:rsidRPr="009D3012">
        <w:t>3.1.96</w:t>
      </w:r>
    </w:p>
    <w:p w14:paraId="354FECA9" w14:textId="23709714" w:rsidR="00A14936" w:rsidRPr="009D3012" w:rsidRDefault="00AD6474" w:rsidP="009D3012">
      <w:pPr>
        <w:pStyle w:val="Terms"/>
      </w:pPr>
      <w:r>
        <w:t>p</w:t>
      </w:r>
      <w:r w:rsidR="00A14936" w:rsidRPr="009D3012">
        <w:t xml:space="preserve">itting corrosion </w:t>
      </w:r>
    </w:p>
    <w:p w14:paraId="656D2F73" w14:textId="614C2838" w:rsidR="00A14936" w:rsidRPr="001455DC" w:rsidRDefault="00212938" w:rsidP="00281787">
      <w:pPr>
        <w:pStyle w:val="Definition"/>
      </w:pPr>
      <w:r w:rsidRPr="009D3012">
        <w:rPr>
          <w:rFonts w:cs="Arial"/>
          <w:spacing w:val="-1"/>
          <w:lang w:eastAsia="en-US"/>
        </w:rPr>
        <w:t>f</w:t>
      </w:r>
      <w:r w:rsidR="00A14936" w:rsidRPr="009D3012">
        <w:rPr>
          <w:rFonts w:cs="Arial"/>
          <w:spacing w:val="-1"/>
          <w:lang w:eastAsia="en-US"/>
        </w:rPr>
        <w:t>orm of localised corrosion that leads to the creation of cavities or holes in the metal</w:t>
      </w:r>
    </w:p>
    <w:p w14:paraId="3BBF8585" w14:textId="7C3E8900" w:rsidR="00A14936" w:rsidRPr="001455DC" w:rsidRDefault="00A14936" w:rsidP="00281787">
      <w:pPr>
        <w:pStyle w:val="Definition"/>
      </w:pPr>
      <w:r w:rsidRPr="009D3012">
        <w:rPr>
          <w:b/>
          <w:bCs/>
        </w:rPr>
        <w:t>Terms and definitions in Annex J</w:t>
      </w:r>
    </w:p>
    <w:p w14:paraId="1C4B26BF" w14:textId="77777777" w:rsidR="00A14936" w:rsidRPr="009D3012" w:rsidRDefault="00A14936" w:rsidP="009D3012">
      <w:pPr>
        <w:pStyle w:val="TermNum"/>
      </w:pPr>
      <w:r w:rsidRPr="009D3012">
        <w:t>3.1.97</w:t>
      </w:r>
      <w:r w:rsidRPr="001455DC">
        <w:t xml:space="preserve"> </w:t>
      </w:r>
    </w:p>
    <w:p w14:paraId="745FFB07" w14:textId="619D5303" w:rsidR="00A14936" w:rsidRPr="009D3012" w:rsidRDefault="00AD6474" w:rsidP="009D3012">
      <w:pPr>
        <w:pStyle w:val="Terms"/>
      </w:pPr>
      <w:r>
        <w:t>a</w:t>
      </w:r>
      <w:r w:rsidR="00A14936" w:rsidRPr="009D3012">
        <w:t>dhesive</w:t>
      </w:r>
      <w:r w:rsidR="00A14936" w:rsidRPr="001455DC">
        <w:t xml:space="preserve"> </w:t>
      </w:r>
    </w:p>
    <w:p w14:paraId="5B81391E" w14:textId="57951FDC" w:rsidR="00A14936" w:rsidRPr="001455DC" w:rsidRDefault="00212938" w:rsidP="00281787">
      <w:pPr>
        <w:pStyle w:val="Definition"/>
      </w:pPr>
      <w:r w:rsidRPr="001455DC">
        <w:t>m</w:t>
      </w:r>
      <w:r w:rsidR="00A14936" w:rsidRPr="001455DC">
        <w:t>aterial that possesses enough adhesive strength to join CFRP rein</w:t>
      </w:r>
      <w:r w:rsidR="009E11EC" w:rsidRPr="001455DC">
        <w:t>forcement to a concrete surface</w:t>
      </w:r>
    </w:p>
    <w:p w14:paraId="162E1E5E" w14:textId="77777777" w:rsidR="00E22E8E" w:rsidRPr="009D3012" w:rsidRDefault="00E22E8E" w:rsidP="009D3012">
      <w:pPr>
        <w:pStyle w:val="TermNum"/>
        <w:rPr>
          <w:b w:val="0"/>
        </w:rPr>
      </w:pPr>
      <w:r w:rsidRPr="009D3012">
        <w:t xml:space="preserve">3.1.98 </w:t>
      </w:r>
    </w:p>
    <w:p w14:paraId="4D1EBA28" w14:textId="20DADA78" w:rsidR="00A14936" w:rsidRPr="009D3012" w:rsidRDefault="00AD6474" w:rsidP="009D3012">
      <w:pPr>
        <w:pStyle w:val="Terms"/>
      </w:pPr>
      <w:r>
        <w:t>a</w:t>
      </w:r>
      <w:r w:rsidR="00E22E8E" w:rsidRPr="009D3012">
        <w:t>dhesively bonded CFRP reinforcement</w:t>
      </w:r>
      <w:r w:rsidR="00212938" w:rsidRPr="001455DC">
        <w:t xml:space="preserve"> </w:t>
      </w:r>
      <w:r w:rsidR="00212938" w:rsidRPr="001455DC">
        <w:rPr>
          <w:b w:val="0"/>
        </w:rPr>
        <w:t>(ABR CFRP)</w:t>
      </w:r>
    </w:p>
    <w:p w14:paraId="038099B1" w14:textId="5B2D8588" w:rsidR="00A14936" w:rsidRPr="001455DC" w:rsidRDefault="00212938" w:rsidP="00281787">
      <w:pPr>
        <w:pStyle w:val="Definition"/>
      </w:pPr>
      <w:r w:rsidRPr="001455DC">
        <w:t>e</w:t>
      </w:r>
      <w:r w:rsidR="00E22E8E" w:rsidRPr="001455DC">
        <w:t xml:space="preserve">xternally bonded or Near Surface Mounted CFRP reinforcement bonded to concrete using adhesive to provide </w:t>
      </w:r>
      <w:r w:rsidR="009E11EC" w:rsidRPr="001455DC">
        <w:t>a longitudinal shear connection</w:t>
      </w:r>
    </w:p>
    <w:p w14:paraId="421719AA" w14:textId="77777777" w:rsidR="00E22E8E" w:rsidRPr="009D3012" w:rsidRDefault="00E22E8E" w:rsidP="009D3012">
      <w:pPr>
        <w:pStyle w:val="TermNum"/>
        <w:rPr>
          <w:b w:val="0"/>
        </w:rPr>
      </w:pPr>
      <w:r w:rsidRPr="009D3012">
        <w:t xml:space="preserve">3.1.99 </w:t>
      </w:r>
    </w:p>
    <w:p w14:paraId="2001BA2B" w14:textId="2D80D278" w:rsidR="00A14936" w:rsidRPr="009D3012" w:rsidRDefault="00E22E8E" w:rsidP="009D3012">
      <w:pPr>
        <w:pStyle w:val="Terms"/>
      </w:pPr>
      <w:r w:rsidRPr="009D3012">
        <w:t>CFRP Bar</w:t>
      </w:r>
    </w:p>
    <w:p w14:paraId="7A6E9ADE" w14:textId="18DADC5E" w:rsidR="00A14936" w:rsidRPr="001455DC" w:rsidRDefault="00212938" w:rsidP="00281787">
      <w:pPr>
        <w:pStyle w:val="Definition"/>
      </w:pPr>
      <w:r w:rsidRPr="001455DC">
        <w:t>t</w:t>
      </w:r>
      <w:r w:rsidR="00E22E8E" w:rsidRPr="001455DC">
        <w:t>hermally hardened, unidirectional CFRP reinforcement prefabricated thro</w:t>
      </w:r>
      <w:r w:rsidR="00B10711" w:rsidRPr="001455DC">
        <w:t xml:space="preserve">ugh pultrusion in various cross </w:t>
      </w:r>
      <w:r w:rsidR="00E22E8E" w:rsidRPr="001455DC">
        <w:t>sectional s</w:t>
      </w:r>
      <w:r w:rsidR="009E11EC" w:rsidRPr="001455DC">
        <w:t>hapes used as NSM reinforcement</w:t>
      </w:r>
    </w:p>
    <w:p w14:paraId="3FD45472" w14:textId="77777777" w:rsidR="00E22E8E" w:rsidRPr="009D3012" w:rsidRDefault="00E22E8E" w:rsidP="009D3012">
      <w:pPr>
        <w:pStyle w:val="TermNum"/>
        <w:rPr>
          <w:b w:val="0"/>
        </w:rPr>
      </w:pPr>
      <w:r w:rsidRPr="009D3012">
        <w:t xml:space="preserve">3.1.100 </w:t>
      </w:r>
    </w:p>
    <w:p w14:paraId="4F041947" w14:textId="4D2C3AA0" w:rsidR="00E22E8E" w:rsidRPr="009D3012" w:rsidRDefault="00E22E8E" w:rsidP="009D3012">
      <w:pPr>
        <w:pStyle w:val="Terms"/>
      </w:pPr>
      <w:r w:rsidRPr="009D3012">
        <w:t>Carbon Fibre Reinforced Polymer</w:t>
      </w:r>
      <w:r w:rsidR="00212938" w:rsidRPr="001455DC">
        <w:t xml:space="preserve"> </w:t>
      </w:r>
      <w:r w:rsidR="00212938" w:rsidRPr="001455DC">
        <w:rPr>
          <w:b w:val="0"/>
        </w:rPr>
        <w:t>(CFRP)</w:t>
      </w:r>
    </w:p>
    <w:p w14:paraId="0410C3D0" w14:textId="4BCB03C9" w:rsidR="00A14936" w:rsidRPr="001455DC" w:rsidRDefault="00E22E8E" w:rsidP="00281787">
      <w:pPr>
        <w:pStyle w:val="Definition"/>
      </w:pPr>
      <w:r w:rsidRPr="001455DC">
        <w:t>fibre-polymer composite material comprising industrially manufactured carbon fibr</w:t>
      </w:r>
      <w:r w:rsidR="009E11EC" w:rsidRPr="001455DC">
        <w:t>es embedded in a polymer matrix</w:t>
      </w:r>
    </w:p>
    <w:p w14:paraId="353E4A79" w14:textId="77777777" w:rsidR="00E22E8E" w:rsidRPr="009D3012" w:rsidRDefault="00E22E8E" w:rsidP="009D3012">
      <w:pPr>
        <w:pStyle w:val="TermNum"/>
        <w:rPr>
          <w:b w:val="0"/>
        </w:rPr>
      </w:pPr>
      <w:r w:rsidRPr="009D3012">
        <w:t xml:space="preserve">3.1.101 </w:t>
      </w:r>
    </w:p>
    <w:p w14:paraId="0BE2160D" w14:textId="51DA0D55" w:rsidR="00A14936" w:rsidRPr="009D3012" w:rsidRDefault="00E22E8E" w:rsidP="009D3012">
      <w:pPr>
        <w:pStyle w:val="Terms"/>
      </w:pPr>
      <w:r w:rsidRPr="009D3012">
        <w:t>Carbon Fibre Reinforced Polymer (CFRP) System</w:t>
      </w:r>
    </w:p>
    <w:p w14:paraId="44631EEB" w14:textId="5E3D5C21" w:rsidR="00A14936" w:rsidRPr="001455DC" w:rsidRDefault="00E22E8E" w:rsidP="00281787">
      <w:pPr>
        <w:pStyle w:val="Definition"/>
      </w:pPr>
      <w:r w:rsidRPr="001455DC">
        <w:t xml:space="preserve">composite comprising a CFRP material with an accompanying adhesive material that is bonded to an adequately prepared concrete strata for the purpose of strengthening </w:t>
      </w:r>
      <w:r w:rsidR="009E11EC" w:rsidRPr="001455DC">
        <w:t>a structural concrete component</w:t>
      </w:r>
    </w:p>
    <w:p w14:paraId="603EBE29" w14:textId="77777777" w:rsidR="009E11EC" w:rsidRPr="009D3012" w:rsidRDefault="00B10F08" w:rsidP="009D3012">
      <w:pPr>
        <w:pStyle w:val="TermNum"/>
      </w:pPr>
      <w:r w:rsidRPr="009D3012">
        <w:t xml:space="preserve">3.1.102 </w:t>
      </w:r>
    </w:p>
    <w:p w14:paraId="61654921" w14:textId="0C854CB5" w:rsidR="00A14936" w:rsidRPr="009D3012" w:rsidRDefault="00AD6474" w:rsidP="009D3012">
      <w:pPr>
        <w:pStyle w:val="TermNum"/>
      </w:pPr>
      <w:r>
        <w:t>c</w:t>
      </w:r>
      <w:r w:rsidR="00B10F08" w:rsidRPr="009D3012">
        <w:t>oncrete cover separation</w:t>
      </w:r>
    </w:p>
    <w:p w14:paraId="754B9CDD" w14:textId="350E4BCF" w:rsidR="00E22E8E" w:rsidRPr="001455DC" w:rsidRDefault="00212938" w:rsidP="00281787">
      <w:pPr>
        <w:pStyle w:val="Definition"/>
      </w:pPr>
      <w:r w:rsidRPr="001455DC">
        <w:t>f</w:t>
      </w:r>
      <w:r w:rsidR="00B10F08" w:rsidRPr="001455DC">
        <w:t>ailure mode occurring at the end of adhesively bonded reinforcement, where a shift in tensile force may detach the concrete cover and the entire adhesively bon</w:t>
      </w:r>
      <w:r w:rsidR="009E11EC" w:rsidRPr="001455DC">
        <w:t>ded reinforcement</w:t>
      </w:r>
    </w:p>
    <w:p w14:paraId="691888C9" w14:textId="77777777" w:rsidR="009E11EC" w:rsidRPr="009D3012" w:rsidRDefault="00B10F08" w:rsidP="009D3012">
      <w:pPr>
        <w:pStyle w:val="TermNum"/>
        <w:rPr>
          <w:b w:val="0"/>
        </w:rPr>
      </w:pPr>
      <w:r w:rsidRPr="009D3012">
        <w:t xml:space="preserve">3.1.103 </w:t>
      </w:r>
    </w:p>
    <w:p w14:paraId="322D8DF8" w14:textId="261DA6B0" w:rsidR="00AD6474" w:rsidRDefault="00AD6474" w:rsidP="009D3012">
      <w:pPr>
        <w:pStyle w:val="Terms"/>
        <w:rPr>
          <w:b w:val="0"/>
        </w:rPr>
      </w:pPr>
      <w:r>
        <w:t>e</w:t>
      </w:r>
      <w:r w:rsidR="00B10F08" w:rsidRPr="009D3012">
        <w:t>xternally bonded reinforcement</w:t>
      </w:r>
      <w:r w:rsidR="00212938" w:rsidRPr="001455DC">
        <w:t xml:space="preserve"> </w:t>
      </w:r>
    </w:p>
    <w:p w14:paraId="201203DA" w14:textId="18AC23AF" w:rsidR="00E22E8E" w:rsidRPr="009D3012" w:rsidRDefault="00212938" w:rsidP="009D3012">
      <w:pPr>
        <w:pStyle w:val="Terms"/>
      </w:pPr>
      <w:r w:rsidRPr="001455DC">
        <w:rPr>
          <w:b w:val="0"/>
        </w:rPr>
        <w:t>EBR</w:t>
      </w:r>
    </w:p>
    <w:p w14:paraId="7002015C" w14:textId="54AC725F" w:rsidR="00E22E8E" w:rsidRPr="001455DC" w:rsidRDefault="00AD6474" w:rsidP="00281787">
      <w:pPr>
        <w:pStyle w:val="Definition"/>
      </w:pPr>
      <w:r>
        <w:t>a</w:t>
      </w:r>
      <w:r w:rsidR="00B10F08" w:rsidRPr="001455DC">
        <w:t>dhesively bonded CFRP reinforcement installed e</w:t>
      </w:r>
      <w:r w:rsidR="009E11EC" w:rsidRPr="001455DC">
        <w:t>xternally to a concrete surface</w:t>
      </w:r>
    </w:p>
    <w:p w14:paraId="293A1E4C" w14:textId="77777777" w:rsidR="009E11EC" w:rsidRPr="009D3012" w:rsidRDefault="00B10F08" w:rsidP="009D3012">
      <w:pPr>
        <w:pStyle w:val="TermNum"/>
        <w:rPr>
          <w:b w:val="0"/>
        </w:rPr>
      </w:pPr>
      <w:r w:rsidRPr="009D3012">
        <w:t xml:space="preserve">3.1.104 </w:t>
      </w:r>
    </w:p>
    <w:p w14:paraId="14934D16" w14:textId="551AB377" w:rsidR="00E22E8E" w:rsidRPr="009D3012" w:rsidRDefault="00AD6474" w:rsidP="009D3012">
      <w:pPr>
        <w:pStyle w:val="Terms"/>
      </w:pPr>
      <w:r>
        <w:t>e</w:t>
      </w:r>
      <w:r w:rsidR="00B10F08" w:rsidRPr="009D3012">
        <w:t>xternally bonded stirrups</w:t>
      </w:r>
    </w:p>
    <w:p w14:paraId="2E5C5652" w14:textId="624888D9" w:rsidR="00E22E8E" w:rsidRPr="001455DC" w:rsidRDefault="00212938" w:rsidP="00281787">
      <w:pPr>
        <w:pStyle w:val="Definition"/>
      </w:pPr>
      <w:r w:rsidRPr="001455DC">
        <w:t>e</w:t>
      </w:r>
      <w:r w:rsidR="00B10F08" w:rsidRPr="001455DC">
        <w:t>xternally bonded CFRP system, embracing the member in closed or U-shaped f</w:t>
      </w:r>
      <w:r w:rsidR="009E11EC" w:rsidRPr="001455DC">
        <w:t>orm</w:t>
      </w:r>
    </w:p>
    <w:p w14:paraId="50A4247C" w14:textId="77777777" w:rsidR="009E11EC" w:rsidRPr="009D3012" w:rsidRDefault="00B10F08" w:rsidP="009D3012">
      <w:pPr>
        <w:pStyle w:val="TermNum"/>
        <w:rPr>
          <w:b w:val="0"/>
        </w:rPr>
      </w:pPr>
      <w:r w:rsidRPr="009D3012">
        <w:t xml:space="preserve">3.1.105 </w:t>
      </w:r>
    </w:p>
    <w:p w14:paraId="5A319D03" w14:textId="77777777" w:rsidR="00AD6474" w:rsidRDefault="00B10F08" w:rsidP="009D3012">
      <w:pPr>
        <w:pStyle w:val="Terms"/>
      </w:pPr>
      <w:r w:rsidRPr="009D3012">
        <w:t>Fibre Reinforced Polymer</w:t>
      </w:r>
      <w:r w:rsidR="00AD6474">
        <w:t xml:space="preserve"> </w:t>
      </w:r>
    </w:p>
    <w:p w14:paraId="6A706F6B" w14:textId="3C6153AE" w:rsidR="00E22E8E" w:rsidRPr="00AD6474" w:rsidRDefault="00AD6474" w:rsidP="009D3012">
      <w:pPr>
        <w:pStyle w:val="Terms"/>
        <w:rPr>
          <w:b w:val="0"/>
        </w:rPr>
      </w:pPr>
      <w:r w:rsidRPr="00AD6474">
        <w:rPr>
          <w:b w:val="0"/>
        </w:rPr>
        <w:t>FRP</w:t>
      </w:r>
    </w:p>
    <w:p w14:paraId="7664E23C" w14:textId="4373322A" w:rsidR="00B10F08" w:rsidRPr="001455DC" w:rsidRDefault="00B10F08" w:rsidP="00281787">
      <w:pPr>
        <w:pStyle w:val="Definition"/>
      </w:pPr>
      <w:r w:rsidRPr="001455DC">
        <w:t>composite material comprising industrially manufactured fibr</w:t>
      </w:r>
      <w:r w:rsidR="009E11EC" w:rsidRPr="001455DC">
        <w:t>es embedded in a polymer matrix</w:t>
      </w:r>
    </w:p>
    <w:p w14:paraId="7E6D0D16" w14:textId="77777777" w:rsidR="009E11EC" w:rsidRPr="009D3012" w:rsidRDefault="00B10F08" w:rsidP="009D3012">
      <w:pPr>
        <w:pStyle w:val="TermNum"/>
        <w:rPr>
          <w:b w:val="0"/>
        </w:rPr>
      </w:pPr>
      <w:r w:rsidRPr="009D3012">
        <w:t xml:space="preserve">3.1.106 </w:t>
      </w:r>
    </w:p>
    <w:p w14:paraId="7CD42102" w14:textId="77777777" w:rsidR="00AD6474" w:rsidRDefault="00B10F08" w:rsidP="009D3012">
      <w:pPr>
        <w:pStyle w:val="Terms"/>
      </w:pPr>
      <w:r w:rsidRPr="009D3012">
        <w:t>Near Surface Mounted reinforcement</w:t>
      </w:r>
    </w:p>
    <w:p w14:paraId="3C10ECD4" w14:textId="06A4BCEA" w:rsidR="00B10F08" w:rsidRPr="00AD6474" w:rsidRDefault="00AD6474" w:rsidP="009D3012">
      <w:pPr>
        <w:pStyle w:val="Terms"/>
        <w:rPr>
          <w:b w:val="0"/>
        </w:rPr>
      </w:pPr>
      <w:r w:rsidRPr="00AD6474">
        <w:rPr>
          <w:b w:val="0"/>
        </w:rPr>
        <w:t>NSM</w:t>
      </w:r>
    </w:p>
    <w:p w14:paraId="537C4AD4" w14:textId="21A64793" w:rsidR="00B10F08" w:rsidRPr="001455DC" w:rsidRDefault="009E11EC" w:rsidP="00281787">
      <w:pPr>
        <w:pStyle w:val="Definition"/>
      </w:pPr>
      <w:r w:rsidRPr="001455DC">
        <w:t>a</w:t>
      </w:r>
      <w:r w:rsidR="00B10F08" w:rsidRPr="001455DC">
        <w:t>dhesively bonded CFRP bar installed in slots cut into t</w:t>
      </w:r>
      <w:r w:rsidRPr="001455DC">
        <w:t>he existing concrete cover zone</w:t>
      </w:r>
    </w:p>
    <w:p w14:paraId="53CB08FC" w14:textId="77777777" w:rsidR="009E11EC" w:rsidRPr="009D3012" w:rsidRDefault="00B10F08" w:rsidP="009D3012">
      <w:pPr>
        <w:pStyle w:val="TermNum"/>
        <w:rPr>
          <w:b w:val="0"/>
        </w:rPr>
      </w:pPr>
      <w:r w:rsidRPr="009D3012">
        <w:t xml:space="preserve">3.1.107 </w:t>
      </w:r>
    </w:p>
    <w:p w14:paraId="1EA7A7E3" w14:textId="5B2C6F56" w:rsidR="00B10F08" w:rsidRPr="009D3012" w:rsidRDefault="00AD6474" w:rsidP="009D3012">
      <w:pPr>
        <w:pStyle w:val="Terms"/>
      </w:pPr>
      <w:r>
        <w:t>s</w:t>
      </w:r>
      <w:r w:rsidR="00B10F08" w:rsidRPr="009D3012">
        <w:t>heets</w:t>
      </w:r>
    </w:p>
    <w:p w14:paraId="24974B57" w14:textId="7B563B66" w:rsidR="00E22E8E" w:rsidRPr="001455DC" w:rsidRDefault="009E11EC" w:rsidP="00281787">
      <w:pPr>
        <w:pStyle w:val="Definition"/>
      </w:pPr>
      <w:r w:rsidRPr="001455DC">
        <w:t>t</w:t>
      </w:r>
      <w:r w:rsidR="00B10F08" w:rsidRPr="001455DC">
        <w:t>extile surface structure comprising dry parallel fibre bundles arr</w:t>
      </w:r>
      <w:r w:rsidR="00AD6474">
        <w:t>anged in one or more directions</w:t>
      </w:r>
    </w:p>
    <w:p w14:paraId="25B6A8CE" w14:textId="77777777" w:rsidR="009E11EC" w:rsidRPr="009D3012" w:rsidRDefault="00B10F08" w:rsidP="009D3012">
      <w:pPr>
        <w:pStyle w:val="TermNum"/>
        <w:rPr>
          <w:b w:val="0"/>
        </w:rPr>
      </w:pPr>
      <w:r w:rsidRPr="009D3012">
        <w:t xml:space="preserve">3.1.108 </w:t>
      </w:r>
    </w:p>
    <w:p w14:paraId="441732CD" w14:textId="2D11C6BE" w:rsidR="00B10F08" w:rsidRPr="009D3012" w:rsidRDefault="00AD6474" w:rsidP="009D3012">
      <w:pPr>
        <w:pStyle w:val="Terms"/>
      </w:pPr>
      <w:r>
        <w:t>s</w:t>
      </w:r>
      <w:r w:rsidR="00B10F08" w:rsidRPr="009D3012">
        <w:t>lot</w:t>
      </w:r>
    </w:p>
    <w:p w14:paraId="55B07B1F" w14:textId="2F3A748A" w:rsidR="00B10F08" w:rsidRPr="001455DC" w:rsidRDefault="00212938" w:rsidP="00281787">
      <w:pPr>
        <w:pStyle w:val="Definition"/>
      </w:pPr>
      <w:r w:rsidRPr="001455DC">
        <w:t>s</w:t>
      </w:r>
      <w:r w:rsidR="00B10F08" w:rsidRPr="001455DC">
        <w:t>mall recesses cut into the concrete cover zone with predetermined dimensions along the member filled with adhesive in which adhesively bonded strips or bars (NSM) are embedded</w:t>
      </w:r>
    </w:p>
    <w:p w14:paraId="426F0530" w14:textId="77777777" w:rsidR="009E11EC" w:rsidRPr="009D3012" w:rsidRDefault="00B10F08" w:rsidP="009D3012">
      <w:pPr>
        <w:pStyle w:val="TermNum"/>
        <w:rPr>
          <w:b w:val="0"/>
        </w:rPr>
      </w:pPr>
      <w:r w:rsidRPr="009D3012">
        <w:t xml:space="preserve">3.1.109 </w:t>
      </w:r>
    </w:p>
    <w:p w14:paraId="0F21E734" w14:textId="53DEB9BA" w:rsidR="00B10F08" w:rsidRPr="009D3012" w:rsidRDefault="00AD6474" w:rsidP="009D3012">
      <w:pPr>
        <w:pStyle w:val="Terms"/>
      </w:pPr>
      <w:r>
        <w:t>s</w:t>
      </w:r>
      <w:r w:rsidR="00B10F08" w:rsidRPr="009D3012">
        <w:t>trip</w:t>
      </w:r>
    </w:p>
    <w:p w14:paraId="626E788D" w14:textId="1A81DB0E" w:rsidR="00B10F08" w:rsidRPr="001455DC" w:rsidRDefault="00212938" w:rsidP="00281787">
      <w:pPr>
        <w:pStyle w:val="Definition"/>
      </w:pPr>
      <w:r w:rsidRPr="001455DC">
        <w:t>t</w:t>
      </w:r>
      <w:r w:rsidR="00B10F08" w:rsidRPr="001455DC">
        <w:t>hermally hardened, unidirectional CFRP reinforcement industrially prefabricated in various rectangular flat shapes used as NSM or EBR reinforcement</w:t>
      </w:r>
    </w:p>
    <w:p w14:paraId="248D0582" w14:textId="06840968" w:rsidR="00B10F08" w:rsidRPr="001455DC" w:rsidRDefault="00B10F08" w:rsidP="00281787">
      <w:pPr>
        <w:pStyle w:val="Definition"/>
      </w:pPr>
      <w:r w:rsidRPr="009D3012">
        <w:rPr>
          <w:b/>
          <w:bCs/>
        </w:rPr>
        <w:t>Terms and definitions in Annex JA</w:t>
      </w:r>
    </w:p>
    <w:p w14:paraId="66392237" w14:textId="0B3D5671" w:rsidR="00B10F08" w:rsidRPr="009D3012" w:rsidRDefault="00B10F08" w:rsidP="009D3012">
      <w:pPr>
        <w:pStyle w:val="TermNum"/>
      </w:pPr>
      <w:r w:rsidRPr="009D3012">
        <w:t>3.1.110</w:t>
      </w:r>
    </w:p>
    <w:p w14:paraId="308877B6" w14:textId="77777777" w:rsidR="00B10F08" w:rsidRPr="009D3012" w:rsidRDefault="00B10F08" w:rsidP="009D3012">
      <w:pPr>
        <w:pStyle w:val="Terms"/>
      </w:pPr>
      <w:r w:rsidRPr="001455DC">
        <w:t xml:space="preserve">Fibre Reinforced Polymer (FRP) </w:t>
      </w:r>
    </w:p>
    <w:p w14:paraId="678D9966" w14:textId="4E11084E" w:rsidR="00B10F08" w:rsidRPr="001455DC" w:rsidRDefault="00B10F08" w:rsidP="00281787">
      <w:pPr>
        <w:pStyle w:val="Definition"/>
      </w:pPr>
      <w:r w:rsidRPr="001455DC">
        <w:t>fibre-polymer composite material comprising industrially manufactured fibr</w:t>
      </w:r>
      <w:r w:rsidR="009E11EC" w:rsidRPr="001455DC">
        <w:t>es embedded in a polymer matrix</w:t>
      </w:r>
    </w:p>
    <w:p w14:paraId="467E5A39" w14:textId="77777777" w:rsidR="009E11EC" w:rsidRPr="009D3012" w:rsidRDefault="00B10F08" w:rsidP="009D3012">
      <w:pPr>
        <w:pStyle w:val="TermNum"/>
      </w:pPr>
      <w:r w:rsidRPr="009D3012">
        <w:t xml:space="preserve">3.1.111 </w:t>
      </w:r>
    </w:p>
    <w:p w14:paraId="2580A538" w14:textId="7E9C51EC" w:rsidR="00B10F08" w:rsidRPr="009D3012" w:rsidRDefault="009E11EC" w:rsidP="009D3012">
      <w:pPr>
        <w:pStyle w:val="Terms"/>
      </w:pPr>
      <w:r w:rsidRPr="001455DC">
        <w:t>Fibre Reinforced Polymer</w:t>
      </w:r>
      <w:r w:rsidRPr="009D3012">
        <w:t xml:space="preserve"> </w:t>
      </w:r>
      <w:r w:rsidR="00B10F08" w:rsidRPr="009D3012">
        <w:t>Reinforcement</w:t>
      </w:r>
    </w:p>
    <w:p w14:paraId="1F75F3E3" w14:textId="57C2F66C" w:rsidR="00B10F08" w:rsidRPr="001455DC" w:rsidRDefault="00B10F08" w:rsidP="00281787">
      <w:pPr>
        <w:pStyle w:val="Definition"/>
      </w:pPr>
      <w:r w:rsidRPr="001455DC">
        <w:t>assembly of profiled or roughened fibre reinforced polymer reinforcement bars, embedded in or connected to concrete members</w:t>
      </w:r>
    </w:p>
    <w:p w14:paraId="01C8D909" w14:textId="5D360257" w:rsidR="00B10F08" w:rsidRPr="001455DC" w:rsidRDefault="00B10F08" w:rsidP="00281787">
      <w:pPr>
        <w:pStyle w:val="Definition"/>
      </w:pPr>
      <w:r w:rsidRPr="009D3012">
        <w:rPr>
          <w:b/>
          <w:bCs/>
        </w:rPr>
        <w:t>Terms and definitions in Annex L</w:t>
      </w:r>
    </w:p>
    <w:p w14:paraId="65FCEED5" w14:textId="77777777" w:rsidR="009E11EC" w:rsidRPr="009D3012" w:rsidRDefault="00B10F08" w:rsidP="009D3012">
      <w:pPr>
        <w:pStyle w:val="TermNum"/>
      </w:pPr>
      <w:r w:rsidRPr="009D3012">
        <w:t xml:space="preserve">3.1.112 </w:t>
      </w:r>
    </w:p>
    <w:p w14:paraId="187ACA84" w14:textId="4DFFB62E" w:rsidR="00B10F08" w:rsidRPr="009D3012" w:rsidRDefault="00B10F08" w:rsidP="009D3012">
      <w:pPr>
        <w:pStyle w:val="Terms"/>
      </w:pPr>
      <w:r w:rsidRPr="009D3012">
        <w:t>Steel Fibre Reinforced Concrete (SFRC)</w:t>
      </w:r>
    </w:p>
    <w:p w14:paraId="5D0F76EC" w14:textId="13686D2D" w:rsidR="00B10F08" w:rsidRPr="001455DC" w:rsidRDefault="002560E1" w:rsidP="00281787">
      <w:pPr>
        <w:pStyle w:val="Definition"/>
      </w:pPr>
      <w:r w:rsidRPr="009D3012">
        <w:rPr>
          <w:rFonts w:cs="Arial"/>
          <w:lang w:eastAsia="en-US"/>
        </w:rPr>
        <w:t>c</w:t>
      </w:r>
      <w:r w:rsidR="00B10F08" w:rsidRPr="009D3012">
        <w:rPr>
          <w:rFonts w:cs="Arial"/>
          <w:lang w:eastAsia="en-US"/>
        </w:rPr>
        <w:t>oncrete specified in accordance to EN 206, to which steel fibres are included into the concrete matrix to achieve post cracking residual strength, which is determined in accordance with EN 14651</w:t>
      </w:r>
    </w:p>
    <w:p w14:paraId="0181BDE8" w14:textId="77777777" w:rsidR="009E11EC" w:rsidRPr="009D3012" w:rsidRDefault="00B10F08" w:rsidP="009D3012">
      <w:pPr>
        <w:pStyle w:val="TermNum"/>
      </w:pPr>
      <w:r w:rsidRPr="009D3012">
        <w:t xml:space="preserve">3.1.113 </w:t>
      </w:r>
    </w:p>
    <w:p w14:paraId="2BFDD873" w14:textId="33633F57" w:rsidR="00B10F08" w:rsidRPr="009D3012" w:rsidRDefault="00B10F08" w:rsidP="009D3012">
      <w:pPr>
        <w:pStyle w:val="Terms"/>
      </w:pPr>
      <w:r w:rsidRPr="009D3012">
        <w:t>Residual Flexural Strength</w:t>
      </w:r>
    </w:p>
    <w:p w14:paraId="074CF432" w14:textId="0C127288" w:rsidR="00B10F08" w:rsidRPr="001455DC" w:rsidRDefault="002560E1" w:rsidP="00281787">
      <w:pPr>
        <w:pStyle w:val="Definition"/>
      </w:pPr>
      <w:r w:rsidRPr="009D3012">
        <w:rPr>
          <w:rFonts w:cs="Arial"/>
          <w:lang w:eastAsia="en-US"/>
        </w:rPr>
        <w:t>s</w:t>
      </w:r>
      <w:r w:rsidR="00B10F08" w:rsidRPr="009D3012">
        <w:rPr>
          <w:rFonts w:cs="Arial"/>
          <w:lang w:eastAsia="en-US"/>
        </w:rPr>
        <w:t>tress at the outer most tension layer of a SFRC cross section in bending corresponding to a certain crack width determined using linear elastic material behaviour and the assumption that plane sections remain plane during bending</w:t>
      </w:r>
    </w:p>
    <w:p w14:paraId="01EE5EDA" w14:textId="77777777" w:rsidR="009E11EC" w:rsidRPr="009D3012" w:rsidRDefault="009E11EC" w:rsidP="009D3012">
      <w:pPr>
        <w:pStyle w:val="TermNum"/>
      </w:pPr>
      <w:r w:rsidRPr="009D3012">
        <w:t xml:space="preserve">3.1.114 </w:t>
      </w:r>
    </w:p>
    <w:p w14:paraId="06F7D5C6" w14:textId="695F23D4" w:rsidR="00B10F08" w:rsidRPr="009D3012" w:rsidRDefault="009E11EC" w:rsidP="009D3012">
      <w:pPr>
        <w:pStyle w:val="Terms"/>
      </w:pPr>
      <w:r w:rsidRPr="009D3012">
        <w:t>Residual Tensile Strength</w:t>
      </w:r>
    </w:p>
    <w:p w14:paraId="1EBFEF79" w14:textId="138F8F76" w:rsidR="00B10F08" w:rsidRPr="001455DC" w:rsidRDefault="002560E1" w:rsidP="00281787">
      <w:pPr>
        <w:pStyle w:val="Definition"/>
      </w:pPr>
      <w:r w:rsidRPr="009D3012">
        <w:rPr>
          <w:rFonts w:cs="Arial"/>
          <w:lang w:eastAsia="en-US"/>
        </w:rPr>
        <w:t>u</w:t>
      </w:r>
      <w:r w:rsidR="009E11EC" w:rsidRPr="009D3012">
        <w:rPr>
          <w:rFonts w:cs="Arial"/>
          <w:lang w:eastAsia="en-US"/>
        </w:rPr>
        <w:t>niaxial tensile stress corresponding to a certain crack opening derived from the residual flexural strength using design rules provided in Annex L</w:t>
      </w:r>
    </w:p>
    <w:p w14:paraId="577713EB" w14:textId="77777777" w:rsidR="009E11EC" w:rsidRPr="009D3012" w:rsidRDefault="009E11EC" w:rsidP="009D3012">
      <w:pPr>
        <w:pStyle w:val="TermNum"/>
      </w:pPr>
      <w:r w:rsidRPr="009D3012">
        <w:t>3.1.115</w:t>
      </w:r>
      <w:r w:rsidRPr="001455DC">
        <w:t xml:space="preserve"> </w:t>
      </w:r>
    </w:p>
    <w:p w14:paraId="35CED110" w14:textId="30B9802D" w:rsidR="00B10F08" w:rsidRPr="009D3012" w:rsidRDefault="009E11EC" w:rsidP="009D3012">
      <w:pPr>
        <w:pStyle w:val="Terms"/>
      </w:pPr>
      <w:r w:rsidRPr="009D3012">
        <w:t>Residual Strength Class</w:t>
      </w:r>
    </w:p>
    <w:p w14:paraId="0DD64117" w14:textId="2B290C13" w:rsidR="00B10F08" w:rsidRPr="001455DC" w:rsidRDefault="002560E1" w:rsidP="00281787">
      <w:pPr>
        <w:pStyle w:val="Definition"/>
      </w:pPr>
      <w:r w:rsidRPr="009D3012">
        <w:rPr>
          <w:rFonts w:cs="Arial"/>
          <w:lang w:eastAsia="en-US"/>
        </w:rPr>
        <w:t>c</w:t>
      </w:r>
      <w:r w:rsidR="009E11EC" w:rsidRPr="009D3012">
        <w:rPr>
          <w:rFonts w:cs="Arial"/>
          <w:lang w:eastAsia="en-US"/>
        </w:rPr>
        <w:t>lassification that defines the response of a SFRC beyond the cracking strain of concrete. This class defines the strength of the SFRC concrete without additional</w:t>
      </w:r>
      <w:r w:rsidR="009E11EC" w:rsidRPr="001455DC">
        <w:t xml:space="preserve"> reinforcing </w:t>
      </w:r>
      <w:r w:rsidRPr="001455DC">
        <w:t>bars or prestressing</w:t>
      </w:r>
    </w:p>
    <w:p w14:paraId="60C6DF17" w14:textId="77777777" w:rsidR="009E11EC" w:rsidRPr="009D3012" w:rsidRDefault="009E11EC" w:rsidP="009D3012">
      <w:pPr>
        <w:pStyle w:val="TermNum"/>
      </w:pPr>
      <w:r w:rsidRPr="009D3012">
        <w:t>3.1.116</w:t>
      </w:r>
      <w:r w:rsidRPr="001455DC">
        <w:t xml:space="preserve"> </w:t>
      </w:r>
    </w:p>
    <w:p w14:paraId="60A42CB4" w14:textId="0E43F97D" w:rsidR="00B10F08" w:rsidRPr="009D3012" w:rsidRDefault="009E11EC" w:rsidP="009D3012">
      <w:pPr>
        <w:pStyle w:val="Terms"/>
      </w:pPr>
      <w:r w:rsidRPr="009D3012">
        <w:t>Ductility Class</w:t>
      </w:r>
    </w:p>
    <w:p w14:paraId="7FC7EFC0" w14:textId="349E9C43" w:rsidR="009E11EC" w:rsidRPr="001455DC" w:rsidRDefault="002560E1" w:rsidP="00281787">
      <w:pPr>
        <w:pStyle w:val="Definition"/>
      </w:pPr>
      <w:r w:rsidRPr="001455DC">
        <w:t>c</w:t>
      </w:r>
      <w:r w:rsidR="009E11EC" w:rsidRPr="001455DC">
        <w:t>lassification that is defined by the ratio between the residual flexural strengths at CMOD</w:t>
      </w:r>
      <w:r w:rsidR="009E11EC" w:rsidRPr="001455DC">
        <w:rPr>
          <w:vertAlign w:val="subscript"/>
        </w:rPr>
        <w:t>1</w:t>
      </w:r>
      <w:r w:rsidR="009E11EC" w:rsidRPr="001455DC">
        <w:t xml:space="preserve"> and CMOD</w:t>
      </w:r>
      <w:r w:rsidR="009E11EC" w:rsidRPr="001455DC">
        <w:rPr>
          <w:vertAlign w:val="subscript"/>
        </w:rPr>
        <w:t>3</w:t>
      </w:r>
    </w:p>
    <w:p w14:paraId="27F737BE" w14:textId="777D1EF5" w:rsidR="004E22C1" w:rsidRPr="001455DC" w:rsidRDefault="004E22C1" w:rsidP="006D682B">
      <w:pPr>
        <w:pStyle w:val="21"/>
      </w:pPr>
      <w:bookmarkStart w:id="67" w:name="_Toc438630247"/>
      <w:bookmarkStart w:id="68" w:name="_Toc52819872"/>
      <w:bookmarkStart w:id="69" w:name="_Toc54337269"/>
      <w:bookmarkStart w:id="70" w:name="_Toc54337930"/>
      <w:bookmarkStart w:id="71" w:name="_Toc67565279"/>
      <w:r w:rsidRPr="001455DC">
        <w:t>Symbols</w:t>
      </w:r>
      <w:bookmarkEnd w:id="67"/>
      <w:r w:rsidRPr="001455DC">
        <w:t xml:space="preserve"> and abbreviations</w:t>
      </w:r>
      <w:bookmarkEnd w:id="68"/>
      <w:bookmarkEnd w:id="69"/>
      <w:bookmarkEnd w:id="70"/>
      <w:bookmarkEnd w:id="71"/>
    </w:p>
    <w:p w14:paraId="52224399" w14:textId="14F94AFA" w:rsidR="004E22C1" w:rsidRPr="001455DC" w:rsidRDefault="004E22C1" w:rsidP="00353CE4">
      <w:pPr>
        <w:pStyle w:val="a7"/>
      </w:pPr>
      <w:r w:rsidRPr="001455DC">
        <w:t xml:space="preserve">For the purposes of this </w:t>
      </w:r>
      <w:r w:rsidR="00AD6474">
        <w:t>document</w:t>
      </w:r>
      <w:r w:rsidRPr="001455DC">
        <w:t>, the following symbols apply.</w:t>
      </w:r>
    </w:p>
    <w:p w14:paraId="07881AAE" w14:textId="4B1874A6" w:rsidR="004E22C1" w:rsidRPr="001353E5" w:rsidRDefault="001353E5" w:rsidP="001353E5">
      <w:pPr>
        <w:pStyle w:val="p3"/>
        <w:rPr>
          <w:b/>
          <w:snapToGrid w:val="0"/>
        </w:rPr>
      </w:pPr>
      <w:bookmarkStart w:id="72" w:name="_Toc52819873"/>
      <w:bookmarkStart w:id="73" w:name="_Toc54337270"/>
      <w:bookmarkStart w:id="74" w:name="_Toc54337931"/>
      <w:bookmarkStart w:id="75" w:name="_Toc67565280"/>
      <w:r w:rsidRPr="001353E5">
        <w:rPr>
          <w:b/>
          <w:snapToGrid w:val="0"/>
        </w:rPr>
        <w:t>3.2.1</w:t>
      </w:r>
      <w:r w:rsidRPr="001353E5">
        <w:rPr>
          <w:b/>
          <w:snapToGrid w:val="0"/>
        </w:rPr>
        <w:tab/>
      </w:r>
      <w:r w:rsidR="004E22C1" w:rsidRPr="001353E5">
        <w:rPr>
          <w:b/>
          <w:snapToGrid w:val="0"/>
        </w:rPr>
        <w:t>Latin upper case letters</w:t>
      </w:r>
      <w:bookmarkEnd w:id="72"/>
      <w:bookmarkEnd w:id="73"/>
      <w:bookmarkEnd w:id="74"/>
      <w:bookmarkEnd w:id="75"/>
    </w:p>
    <w:tbl>
      <w:tblPr>
        <w:tblStyle w:val="ad"/>
        <w:tblW w:w="99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1418"/>
        <w:gridCol w:w="6548"/>
        <w:gridCol w:w="1984"/>
      </w:tblGrid>
      <w:tr w:rsidR="00D34CF1" w:rsidRPr="001455DC" w14:paraId="51B68992" w14:textId="4BEE18A8" w:rsidTr="009D3012">
        <w:trPr>
          <w:cantSplit/>
        </w:trPr>
        <w:tc>
          <w:tcPr>
            <w:tcW w:w="1418" w:type="dxa"/>
            <w:shd w:val="clear" w:color="auto" w:fill="auto"/>
          </w:tcPr>
          <w:p w14:paraId="0B742D60" w14:textId="77777777" w:rsidR="00D34CF1" w:rsidRPr="009D3012" w:rsidRDefault="00D34CF1" w:rsidP="00D34CF1">
            <w:pPr>
              <w:pStyle w:val="Tablebody"/>
              <w:rPr>
                <w:rStyle w:val="CCMCvariableitalic"/>
              </w:rPr>
            </w:pPr>
            <w:r w:rsidRPr="001455DC">
              <w:rPr>
                <w:rStyle w:val="CCMCvariableitalic"/>
              </w:rPr>
              <w:t>A</w:t>
            </w:r>
          </w:p>
        </w:tc>
        <w:tc>
          <w:tcPr>
            <w:tcW w:w="6548" w:type="dxa"/>
            <w:shd w:val="clear" w:color="auto" w:fill="auto"/>
          </w:tcPr>
          <w:p w14:paraId="02FD7D24" w14:textId="77777777" w:rsidR="00D34CF1" w:rsidRPr="001455DC" w:rsidRDefault="00D34CF1" w:rsidP="000250B6">
            <w:pPr>
              <w:pStyle w:val="Tablebody"/>
              <w:jc w:val="left"/>
              <w:rPr>
                <w:rStyle w:val="CCMCvariableitalic"/>
              </w:rPr>
            </w:pPr>
            <w:r w:rsidRPr="009D3012">
              <w:rPr>
                <w:lang w:eastAsia="de-DE"/>
              </w:rPr>
              <w:t>Cross sectional area</w:t>
            </w:r>
          </w:p>
        </w:tc>
        <w:tc>
          <w:tcPr>
            <w:tcW w:w="1984" w:type="dxa"/>
          </w:tcPr>
          <w:p w14:paraId="0834C22C" w14:textId="6B9998D9" w:rsidR="00D34CF1" w:rsidRPr="001455DC" w:rsidRDefault="00D34CF1" w:rsidP="009D3012">
            <w:pPr>
              <w:pStyle w:val="Tablebody"/>
              <w:jc w:val="left"/>
              <w:rPr>
                <w:lang w:eastAsia="de-DE"/>
              </w:rPr>
            </w:pPr>
          </w:p>
        </w:tc>
      </w:tr>
      <w:tr w:rsidR="00F17916" w:rsidRPr="001455DC" w14:paraId="5856B15E" w14:textId="6B09BCFE" w:rsidTr="009D3012">
        <w:trPr>
          <w:cantSplit/>
        </w:trPr>
        <w:tc>
          <w:tcPr>
            <w:tcW w:w="1418" w:type="dxa"/>
            <w:shd w:val="clear" w:color="auto" w:fill="auto"/>
          </w:tcPr>
          <w:p w14:paraId="62C8886C" w14:textId="77777777" w:rsidR="00F17916" w:rsidRPr="009D3012" w:rsidRDefault="00F17916" w:rsidP="00F17916">
            <w:pPr>
              <w:pStyle w:val="Tablebody"/>
              <w:rPr>
                <w:rStyle w:val="CCMCvariableitalic"/>
              </w:rPr>
            </w:pPr>
            <w:r w:rsidRPr="001455DC">
              <w:rPr>
                <w:rStyle w:val="CCMCvariableitalic"/>
              </w:rPr>
              <w:t>A</w:t>
            </w:r>
            <w:r w:rsidRPr="001455DC">
              <w:rPr>
                <w:rStyle w:val="CCMCvariablesubscript"/>
              </w:rPr>
              <w:t>b0</w:t>
            </w:r>
          </w:p>
        </w:tc>
        <w:tc>
          <w:tcPr>
            <w:tcW w:w="6548" w:type="dxa"/>
            <w:shd w:val="clear" w:color="auto" w:fill="auto"/>
          </w:tcPr>
          <w:p w14:paraId="422674AC" w14:textId="77777777" w:rsidR="00F17916" w:rsidRPr="001455DC" w:rsidRDefault="00F17916" w:rsidP="000250B6">
            <w:pPr>
              <w:pStyle w:val="Tablebody"/>
              <w:jc w:val="left"/>
              <w:rPr>
                <w:lang w:eastAsia="de-DE"/>
              </w:rPr>
            </w:pPr>
            <w:r w:rsidRPr="001455DC">
              <w:rPr>
                <w:lang w:eastAsia="de-DE"/>
              </w:rPr>
              <w:t>Area inside the control perimeter for punching shear verification</w:t>
            </w:r>
          </w:p>
        </w:tc>
        <w:tc>
          <w:tcPr>
            <w:tcW w:w="1984" w:type="dxa"/>
          </w:tcPr>
          <w:p w14:paraId="6FA44026" w14:textId="0B47A41D" w:rsidR="00F17916" w:rsidRPr="001455DC" w:rsidRDefault="00F17916" w:rsidP="009D3012">
            <w:pPr>
              <w:pStyle w:val="Tablebody"/>
              <w:jc w:val="left"/>
              <w:rPr>
                <w:lang w:eastAsia="de-DE"/>
              </w:rPr>
            </w:pPr>
            <w:r w:rsidRPr="009D3012">
              <w:rPr>
                <w:lang w:eastAsia="de-DE"/>
              </w:rPr>
              <w:t>Figure 8.21</w:t>
            </w:r>
          </w:p>
        </w:tc>
      </w:tr>
      <w:tr w:rsidR="00F17916" w:rsidRPr="001455DC" w14:paraId="4B3DA5EC" w14:textId="0B3DF6F5" w:rsidTr="009D3012">
        <w:trPr>
          <w:cantSplit/>
        </w:trPr>
        <w:tc>
          <w:tcPr>
            <w:tcW w:w="1418" w:type="dxa"/>
            <w:shd w:val="clear" w:color="auto" w:fill="auto"/>
          </w:tcPr>
          <w:p w14:paraId="10DF368C" w14:textId="77777777" w:rsidR="00F17916" w:rsidRPr="009D3012" w:rsidRDefault="00F17916" w:rsidP="00F17916">
            <w:pPr>
              <w:pStyle w:val="Tablebody"/>
              <w:rPr>
                <w:rStyle w:val="CCMCvariableitalic"/>
              </w:rPr>
            </w:pPr>
            <w:r w:rsidRPr="001455DC">
              <w:rPr>
                <w:rStyle w:val="CCMCvariableitalic"/>
              </w:rPr>
              <w:t>A</w:t>
            </w:r>
            <w:r w:rsidRPr="001455DC">
              <w:rPr>
                <w:rStyle w:val="CCMCvariablesubscript"/>
              </w:rPr>
              <w:t>c</w:t>
            </w:r>
          </w:p>
        </w:tc>
        <w:tc>
          <w:tcPr>
            <w:tcW w:w="6548" w:type="dxa"/>
            <w:shd w:val="clear" w:color="auto" w:fill="auto"/>
          </w:tcPr>
          <w:p w14:paraId="5E3C52B4" w14:textId="77777777" w:rsidR="00F17916" w:rsidRPr="001455DC" w:rsidRDefault="00F17916" w:rsidP="000250B6">
            <w:pPr>
              <w:pStyle w:val="Tablebody"/>
              <w:jc w:val="left"/>
              <w:rPr>
                <w:rStyle w:val="CCMCvariableitalic"/>
              </w:rPr>
            </w:pPr>
            <w:r w:rsidRPr="009D3012">
              <w:rPr>
                <w:lang w:eastAsia="de-DE"/>
              </w:rPr>
              <w:t>Cross sectional area of concrete</w:t>
            </w:r>
          </w:p>
        </w:tc>
        <w:tc>
          <w:tcPr>
            <w:tcW w:w="1984" w:type="dxa"/>
          </w:tcPr>
          <w:p w14:paraId="6337BFF0" w14:textId="7E89B696" w:rsidR="00F17916" w:rsidRPr="001455DC" w:rsidRDefault="00F17916" w:rsidP="009D3012">
            <w:pPr>
              <w:pStyle w:val="Tablebody"/>
              <w:jc w:val="left"/>
              <w:rPr>
                <w:lang w:eastAsia="de-DE"/>
              </w:rPr>
            </w:pPr>
          </w:p>
        </w:tc>
      </w:tr>
      <w:tr w:rsidR="00F17916" w:rsidRPr="001455DC" w14:paraId="4B6CBD46" w14:textId="6CCB3719" w:rsidTr="009D3012">
        <w:trPr>
          <w:cantSplit/>
        </w:trPr>
        <w:tc>
          <w:tcPr>
            <w:tcW w:w="1418" w:type="dxa"/>
            <w:shd w:val="clear" w:color="auto" w:fill="auto"/>
          </w:tcPr>
          <w:p w14:paraId="1713231B" w14:textId="77777777" w:rsidR="00F17916" w:rsidRPr="009D3012" w:rsidRDefault="00F17916" w:rsidP="00F17916">
            <w:pPr>
              <w:pStyle w:val="Tablebody"/>
              <w:rPr>
                <w:rStyle w:val="CCMCvariablesubscript"/>
              </w:rPr>
            </w:pPr>
            <w:r w:rsidRPr="001455DC">
              <w:rPr>
                <w:rStyle w:val="CCMCvariableitalic"/>
              </w:rPr>
              <w:t>A</w:t>
            </w:r>
            <w:r w:rsidRPr="001455DC">
              <w:rPr>
                <w:rStyle w:val="CCMCvariablesubscript"/>
              </w:rPr>
              <w:t>cc</w:t>
            </w:r>
          </w:p>
        </w:tc>
        <w:tc>
          <w:tcPr>
            <w:tcW w:w="6548" w:type="dxa"/>
            <w:shd w:val="clear" w:color="auto" w:fill="auto"/>
          </w:tcPr>
          <w:p w14:paraId="54368A84" w14:textId="77777777" w:rsidR="00F17916" w:rsidRPr="001455DC" w:rsidRDefault="00F17916" w:rsidP="000250B6">
            <w:pPr>
              <w:pStyle w:val="Tablebody"/>
              <w:jc w:val="left"/>
              <w:rPr>
                <w:lang w:eastAsia="de-DE"/>
              </w:rPr>
            </w:pPr>
            <w:r w:rsidRPr="001455DC">
              <w:t>Compressive area</w:t>
            </w:r>
          </w:p>
        </w:tc>
        <w:tc>
          <w:tcPr>
            <w:tcW w:w="1984" w:type="dxa"/>
          </w:tcPr>
          <w:p w14:paraId="4B0D9CE9" w14:textId="566FAF25" w:rsidR="00F17916" w:rsidRPr="001455DC" w:rsidRDefault="00F17916" w:rsidP="009D3012">
            <w:pPr>
              <w:pStyle w:val="Tablebody"/>
              <w:jc w:val="left"/>
            </w:pPr>
            <w:r w:rsidRPr="009D3012">
              <w:rPr>
                <w:lang w:eastAsia="de-DE"/>
              </w:rPr>
              <w:t>14.4.2(3)</w:t>
            </w:r>
          </w:p>
        </w:tc>
      </w:tr>
      <w:tr w:rsidR="00F17916" w:rsidRPr="001455DC" w14:paraId="0DA564ED" w14:textId="644986F6" w:rsidTr="009D3012">
        <w:trPr>
          <w:cantSplit/>
        </w:trPr>
        <w:tc>
          <w:tcPr>
            <w:tcW w:w="1418" w:type="dxa"/>
            <w:shd w:val="clear" w:color="auto" w:fill="auto"/>
          </w:tcPr>
          <w:p w14:paraId="25A5FFAC" w14:textId="77777777" w:rsidR="00F17916" w:rsidRPr="009D3012" w:rsidRDefault="00F17916" w:rsidP="00F17916">
            <w:pPr>
              <w:pStyle w:val="Tablebody"/>
              <w:rPr>
                <w:rStyle w:val="CCMCvariableitalic"/>
              </w:rPr>
            </w:pPr>
            <w:r w:rsidRPr="001455DC">
              <w:rPr>
                <w:rStyle w:val="CCMCvariableitalic"/>
              </w:rPr>
              <w:t>A</w:t>
            </w:r>
            <w:r w:rsidRPr="001455DC">
              <w:rPr>
                <w:rStyle w:val="CCMCvariablesubscript"/>
              </w:rPr>
              <w:t>c,conf</w:t>
            </w:r>
          </w:p>
        </w:tc>
        <w:tc>
          <w:tcPr>
            <w:tcW w:w="6548" w:type="dxa"/>
            <w:shd w:val="clear" w:color="auto" w:fill="auto"/>
          </w:tcPr>
          <w:p w14:paraId="6C4E29C5" w14:textId="77777777" w:rsidR="00F17916" w:rsidRPr="001455DC" w:rsidRDefault="00F17916" w:rsidP="000250B6">
            <w:pPr>
              <w:pStyle w:val="Tablebody"/>
              <w:jc w:val="left"/>
            </w:pPr>
            <w:r w:rsidRPr="001455DC">
              <w:t>Area of the concrete confined zone</w:t>
            </w:r>
          </w:p>
        </w:tc>
        <w:tc>
          <w:tcPr>
            <w:tcW w:w="1984" w:type="dxa"/>
          </w:tcPr>
          <w:p w14:paraId="73CB6FEB" w14:textId="159F0AA4" w:rsidR="00F17916" w:rsidRPr="001455DC" w:rsidRDefault="00F17916" w:rsidP="009D3012">
            <w:pPr>
              <w:pStyle w:val="Tablebody"/>
              <w:jc w:val="left"/>
            </w:pPr>
            <w:r w:rsidRPr="009D3012">
              <w:rPr>
                <w:lang w:eastAsia="de-DE"/>
              </w:rPr>
              <w:t>8.1.4(4)</w:t>
            </w:r>
          </w:p>
        </w:tc>
      </w:tr>
      <w:tr w:rsidR="00F17916" w:rsidRPr="001455DC" w14:paraId="7F373385" w14:textId="5E91816E" w:rsidTr="009D3012">
        <w:trPr>
          <w:cantSplit/>
        </w:trPr>
        <w:tc>
          <w:tcPr>
            <w:tcW w:w="1418" w:type="dxa"/>
            <w:shd w:val="clear" w:color="auto" w:fill="auto"/>
          </w:tcPr>
          <w:p w14:paraId="1D1DA367" w14:textId="77777777" w:rsidR="00F17916" w:rsidRPr="009D3012" w:rsidRDefault="00F17916" w:rsidP="00F17916">
            <w:pPr>
              <w:pStyle w:val="Tablebody"/>
              <w:rPr>
                <w:rStyle w:val="CCMCvariableitalic"/>
              </w:rPr>
            </w:pPr>
            <w:r w:rsidRPr="001455DC">
              <w:rPr>
                <w:rStyle w:val="CCMCvariableitalic"/>
              </w:rPr>
              <w:t>A</w:t>
            </w:r>
            <w:r w:rsidRPr="001455DC">
              <w:rPr>
                <w:rStyle w:val="CCMCvariablesubscript"/>
              </w:rPr>
              <w:t>c,eff</w:t>
            </w:r>
          </w:p>
        </w:tc>
        <w:tc>
          <w:tcPr>
            <w:tcW w:w="6548" w:type="dxa"/>
            <w:shd w:val="clear" w:color="auto" w:fill="auto"/>
          </w:tcPr>
          <w:p w14:paraId="15126EF4" w14:textId="77777777" w:rsidR="00F17916" w:rsidRPr="001455DC" w:rsidRDefault="00F17916" w:rsidP="000250B6">
            <w:pPr>
              <w:pStyle w:val="Tablebody"/>
              <w:jc w:val="left"/>
            </w:pPr>
            <w:r w:rsidRPr="001455DC">
              <w:t>Effective concrete area</w:t>
            </w:r>
          </w:p>
        </w:tc>
        <w:tc>
          <w:tcPr>
            <w:tcW w:w="1984" w:type="dxa"/>
          </w:tcPr>
          <w:p w14:paraId="0F1F4AEE" w14:textId="1167F425" w:rsidR="00F17916" w:rsidRPr="001455DC" w:rsidRDefault="00F17916" w:rsidP="009D3012">
            <w:pPr>
              <w:pStyle w:val="Tablebody"/>
              <w:jc w:val="left"/>
            </w:pPr>
            <w:r w:rsidRPr="009D3012">
              <w:rPr>
                <w:lang w:eastAsia="de-DE"/>
              </w:rPr>
              <w:t>9.2.1 (7), 9.2.1 (8)</w:t>
            </w:r>
          </w:p>
        </w:tc>
      </w:tr>
      <w:tr w:rsidR="00F17916" w:rsidRPr="001455DC" w14:paraId="242CFC16" w14:textId="3E8A4A81" w:rsidTr="009D3012">
        <w:trPr>
          <w:cantSplit/>
        </w:trPr>
        <w:tc>
          <w:tcPr>
            <w:tcW w:w="1418" w:type="dxa"/>
            <w:shd w:val="clear" w:color="auto" w:fill="auto"/>
          </w:tcPr>
          <w:p w14:paraId="03C06DF4" w14:textId="77777777" w:rsidR="00F17916" w:rsidRPr="009D3012" w:rsidRDefault="00F17916" w:rsidP="00F17916">
            <w:pPr>
              <w:pStyle w:val="Tablebody"/>
              <w:rPr>
                <w:rStyle w:val="CCMCvariableitalic"/>
              </w:rPr>
            </w:pPr>
            <w:r w:rsidRPr="001455DC">
              <w:rPr>
                <w:rStyle w:val="CCMCvariableitalic"/>
              </w:rPr>
              <w:t>A</w:t>
            </w:r>
            <w:r w:rsidRPr="001455DC">
              <w:rPr>
                <w:rStyle w:val="CCMCvariablesubscript"/>
              </w:rPr>
              <w:t>p</w:t>
            </w:r>
          </w:p>
        </w:tc>
        <w:tc>
          <w:tcPr>
            <w:tcW w:w="6548" w:type="dxa"/>
            <w:shd w:val="clear" w:color="auto" w:fill="auto"/>
          </w:tcPr>
          <w:p w14:paraId="0846EE34" w14:textId="77777777" w:rsidR="00F17916" w:rsidRPr="001455DC" w:rsidRDefault="00F17916" w:rsidP="000250B6">
            <w:pPr>
              <w:pStyle w:val="Tablebody"/>
              <w:jc w:val="left"/>
              <w:rPr>
                <w:rStyle w:val="CCMCvariableitalic"/>
              </w:rPr>
            </w:pPr>
            <w:r w:rsidRPr="009D3012">
              <w:rPr>
                <w:lang w:eastAsia="de-DE"/>
              </w:rPr>
              <w:t>Cross sectional area of prestressed reinforcement</w:t>
            </w:r>
          </w:p>
        </w:tc>
        <w:tc>
          <w:tcPr>
            <w:tcW w:w="1984" w:type="dxa"/>
          </w:tcPr>
          <w:p w14:paraId="5A58F9A0" w14:textId="5C0DFC9E" w:rsidR="00F17916" w:rsidRPr="001455DC" w:rsidRDefault="00F17916" w:rsidP="009D3012">
            <w:pPr>
              <w:pStyle w:val="Tablebody"/>
              <w:jc w:val="left"/>
              <w:rPr>
                <w:lang w:eastAsia="de-DE"/>
              </w:rPr>
            </w:pPr>
            <w:r w:rsidRPr="009D3012">
              <w:rPr>
                <w:lang w:eastAsia="de-DE"/>
              </w:rPr>
              <w:t>7.5(2), 8.2.2(6), 9.2.3 (1), 9.2.4(3)</w:t>
            </w:r>
          </w:p>
        </w:tc>
      </w:tr>
      <w:tr w:rsidR="00F17916" w:rsidRPr="001455DC" w14:paraId="4F25B652" w14:textId="226D42E6" w:rsidTr="009D3012">
        <w:trPr>
          <w:cantSplit/>
        </w:trPr>
        <w:tc>
          <w:tcPr>
            <w:tcW w:w="1418" w:type="dxa"/>
            <w:shd w:val="clear" w:color="auto" w:fill="auto"/>
          </w:tcPr>
          <w:p w14:paraId="6CCF9E7F" w14:textId="77777777" w:rsidR="00F17916" w:rsidRPr="009D3012" w:rsidRDefault="00F17916" w:rsidP="00F17916">
            <w:pPr>
              <w:pStyle w:val="Tablebody"/>
              <w:rPr>
                <w:rStyle w:val="CCMCvariableitalic"/>
              </w:rPr>
            </w:pPr>
            <w:r w:rsidRPr="001455DC">
              <w:rPr>
                <w:rStyle w:val="CCMCvariableitalic"/>
              </w:rPr>
              <w:t>A</w:t>
            </w:r>
            <w:r w:rsidRPr="001455DC">
              <w:rPr>
                <w:rStyle w:val="CCMCvariablesubscript"/>
              </w:rPr>
              <w:t>s</w:t>
            </w:r>
          </w:p>
        </w:tc>
        <w:tc>
          <w:tcPr>
            <w:tcW w:w="6548" w:type="dxa"/>
            <w:shd w:val="clear" w:color="auto" w:fill="auto"/>
          </w:tcPr>
          <w:p w14:paraId="74006B6A" w14:textId="77777777" w:rsidR="00F17916" w:rsidRPr="001455DC" w:rsidRDefault="00F17916" w:rsidP="000250B6">
            <w:pPr>
              <w:pStyle w:val="Tablebody"/>
              <w:jc w:val="left"/>
              <w:rPr>
                <w:rStyle w:val="CCMCvariableitalic"/>
              </w:rPr>
            </w:pPr>
            <w:r w:rsidRPr="009D3012">
              <w:rPr>
                <w:lang w:eastAsia="de-DE"/>
              </w:rPr>
              <w:t>Cross sectional area of ordinary reinforcement</w:t>
            </w:r>
          </w:p>
        </w:tc>
        <w:tc>
          <w:tcPr>
            <w:tcW w:w="1984" w:type="dxa"/>
          </w:tcPr>
          <w:p w14:paraId="54AC27E0" w14:textId="1FA116B0" w:rsidR="00F17916" w:rsidRPr="001455DC" w:rsidRDefault="00F17916" w:rsidP="009D3012">
            <w:pPr>
              <w:pStyle w:val="Tablebody"/>
              <w:jc w:val="left"/>
              <w:rPr>
                <w:lang w:eastAsia="de-DE"/>
              </w:rPr>
            </w:pPr>
            <w:r w:rsidRPr="009D3012">
              <w:rPr>
                <w:lang w:eastAsia="de-DE"/>
              </w:rPr>
              <w:t>8.2.2(2), 8.5.3(1)</w:t>
            </w:r>
          </w:p>
        </w:tc>
      </w:tr>
      <w:tr w:rsidR="00F17916" w:rsidRPr="001455DC" w14:paraId="0B38FF61" w14:textId="6B82B0A9" w:rsidTr="009D3012">
        <w:trPr>
          <w:cantSplit/>
        </w:trPr>
        <w:tc>
          <w:tcPr>
            <w:tcW w:w="1418" w:type="dxa"/>
            <w:shd w:val="clear" w:color="auto" w:fill="auto"/>
          </w:tcPr>
          <w:p w14:paraId="74D04885" w14:textId="77777777" w:rsidR="00F17916" w:rsidRPr="009D3012" w:rsidRDefault="00F17916" w:rsidP="00F17916">
            <w:pPr>
              <w:pStyle w:val="Tablebody"/>
              <w:rPr>
                <w:rStyle w:val="CCMCvariableitalic"/>
              </w:rPr>
            </w:pPr>
            <w:r w:rsidRPr="001455DC">
              <w:rPr>
                <w:rStyle w:val="CCMCvariableitalic"/>
              </w:rPr>
              <w:t>A</w:t>
            </w:r>
            <w:r w:rsidRPr="001455DC">
              <w:rPr>
                <w:rStyle w:val="CCMCvariablesubscript"/>
              </w:rPr>
              <w:t>sc</w:t>
            </w:r>
          </w:p>
        </w:tc>
        <w:tc>
          <w:tcPr>
            <w:tcW w:w="6548" w:type="dxa"/>
            <w:shd w:val="clear" w:color="auto" w:fill="auto"/>
          </w:tcPr>
          <w:p w14:paraId="757B0342" w14:textId="77777777" w:rsidR="00F17916" w:rsidRPr="001455DC" w:rsidRDefault="00F17916" w:rsidP="000250B6">
            <w:pPr>
              <w:pStyle w:val="Tablebody"/>
              <w:jc w:val="left"/>
              <w:rPr>
                <w:lang w:eastAsia="de-DE"/>
              </w:rPr>
            </w:pPr>
            <w:r w:rsidRPr="001455DC">
              <w:rPr>
                <w:lang w:eastAsia="de-DE"/>
              </w:rPr>
              <w:t>Cross sectional area of longitudinal reinforcement in the compression chord</w:t>
            </w:r>
          </w:p>
        </w:tc>
        <w:tc>
          <w:tcPr>
            <w:tcW w:w="1984" w:type="dxa"/>
          </w:tcPr>
          <w:p w14:paraId="0FC04001" w14:textId="01F016E3" w:rsidR="00F17916" w:rsidRPr="001455DC" w:rsidRDefault="00F17916" w:rsidP="009D3012">
            <w:pPr>
              <w:pStyle w:val="Tablebody"/>
              <w:jc w:val="left"/>
              <w:rPr>
                <w:lang w:eastAsia="de-DE"/>
              </w:rPr>
            </w:pPr>
            <w:r w:rsidRPr="009D3012">
              <w:rPr>
                <w:lang w:eastAsia="de-DE"/>
              </w:rPr>
              <w:t>8.2.3(6)</w:t>
            </w:r>
          </w:p>
        </w:tc>
      </w:tr>
      <w:tr w:rsidR="00F17916" w:rsidRPr="001455DC" w14:paraId="686808BE" w14:textId="5D641C89" w:rsidTr="009D3012">
        <w:trPr>
          <w:cantSplit/>
        </w:trPr>
        <w:tc>
          <w:tcPr>
            <w:tcW w:w="1418" w:type="dxa"/>
            <w:shd w:val="clear" w:color="auto" w:fill="auto"/>
          </w:tcPr>
          <w:p w14:paraId="24A9DE38" w14:textId="77777777" w:rsidR="00F17916" w:rsidRPr="009D3012" w:rsidRDefault="00F17916" w:rsidP="00F17916">
            <w:pPr>
              <w:pStyle w:val="Tablebody"/>
              <w:rPr>
                <w:rStyle w:val="CCMCvariableitalic"/>
              </w:rPr>
            </w:pPr>
            <w:r w:rsidRPr="001455DC">
              <w:rPr>
                <w:rStyle w:val="CCMCvariableitalic"/>
              </w:rPr>
              <w:t>A</w:t>
            </w:r>
            <w:r w:rsidRPr="001455DC">
              <w:rPr>
                <w:rStyle w:val="CCMCvariablesubscript"/>
              </w:rPr>
              <w:t>s,conf</w:t>
            </w:r>
          </w:p>
        </w:tc>
        <w:tc>
          <w:tcPr>
            <w:tcW w:w="6548" w:type="dxa"/>
            <w:shd w:val="clear" w:color="auto" w:fill="auto"/>
          </w:tcPr>
          <w:p w14:paraId="23BEC3BE" w14:textId="77777777" w:rsidR="00F17916" w:rsidRPr="001455DC" w:rsidRDefault="00F17916" w:rsidP="000250B6">
            <w:pPr>
              <w:pStyle w:val="Tablebody"/>
              <w:jc w:val="left"/>
              <w:rPr>
                <w:lang w:eastAsia="de-DE"/>
              </w:rPr>
            </w:pPr>
            <w:r w:rsidRPr="001455DC">
              <w:rPr>
                <w:lang w:eastAsia="de-DE"/>
              </w:rPr>
              <w:t>Cross sectional area of one leg of confinement reinforcement</w:t>
            </w:r>
          </w:p>
        </w:tc>
        <w:tc>
          <w:tcPr>
            <w:tcW w:w="1984" w:type="dxa"/>
          </w:tcPr>
          <w:p w14:paraId="64A79A1F" w14:textId="72AAB7BC" w:rsidR="00F17916" w:rsidRPr="001455DC" w:rsidRDefault="00F17916" w:rsidP="009D3012">
            <w:pPr>
              <w:pStyle w:val="Tablebody"/>
              <w:jc w:val="left"/>
              <w:rPr>
                <w:lang w:eastAsia="de-DE"/>
              </w:rPr>
            </w:pPr>
            <w:r w:rsidRPr="009D3012">
              <w:rPr>
                <w:lang w:eastAsia="de-DE"/>
              </w:rPr>
              <w:t>8.1.4(3)</w:t>
            </w:r>
          </w:p>
        </w:tc>
      </w:tr>
      <w:tr w:rsidR="00F17916" w:rsidRPr="001455DC" w14:paraId="6C4F3B5E" w14:textId="0CD075C0" w:rsidTr="009D3012">
        <w:trPr>
          <w:cantSplit/>
        </w:trPr>
        <w:tc>
          <w:tcPr>
            <w:tcW w:w="1418" w:type="dxa"/>
            <w:shd w:val="clear" w:color="auto" w:fill="auto"/>
          </w:tcPr>
          <w:p w14:paraId="7A244E1E" w14:textId="77777777" w:rsidR="00F17916" w:rsidRPr="00FA575F" w:rsidRDefault="00F17916" w:rsidP="00F17916">
            <w:pPr>
              <w:pStyle w:val="Tablebody"/>
              <w:rPr>
                <w:rStyle w:val="CCMCvariableitalic"/>
                <w:lang w:val="es-ES"/>
              </w:rPr>
            </w:pPr>
            <w:r w:rsidRPr="00FA575F">
              <w:rPr>
                <w:rStyle w:val="CCMCvariableitalic"/>
                <w:lang w:val="es-ES"/>
              </w:rPr>
              <w:t>A</w:t>
            </w:r>
            <w:r w:rsidRPr="00FA575F">
              <w:rPr>
                <w:rStyle w:val="CCMCvariablesubscript"/>
                <w:lang w:val="es-ES"/>
              </w:rPr>
              <w:t>s,conf,x</w:t>
            </w:r>
            <w:r w:rsidRPr="00FA575F">
              <w:rPr>
                <w:iCs/>
                <w:lang w:val="es-ES" w:eastAsia="de-DE"/>
              </w:rPr>
              <w:t xml:space="preserve">, </w:t>
            </w:r>
            <w:r w:rsidRPr="00FA575F">
              <w:rPr>
                <w:rStyle w:val="CCMCvariableitalic"/>
                <w:lang w:val="es-ES"/>
              </w:rPr>
              <w:t>A</w:t>
            </w:r>
            <w:r w:rsidRPr="00FA575F">
              <w:rPr>
                <w:rStyle w:val="CCMCvariablesubscript"/>
                <w:lang w:val="es-ES"/>
              </w:rPr>
              <w:t>sconf,y</w:t>
            </w:r>
          </w:p>
        </w:tc>
        <w:tc>
          <w:tcPr>
            <w:tcW w:w="6548" w:type="dxa"/>
            <w:shd w:val="clear" w:color="auto" w:fill="auto"/>
          </w:tcPr>
          <w:p w14:paraId="5DD5C0B8" w14:textId="77777777" w:rsidR="00F17916" w:rsidRPr="001455DC" w:rsidRDefault="00F17916" w:rsidP="000250B6">
            <w:pPr>
              <w:pStyle w:val="Tablebody"/>
              <w:jc w:val="left"/>
              <w:rPr>
                <w:lang w:eastAsia="de-DE"/>
              </w:rPr>
            </w:pPr>
            <w:r w:rsidRPr="001455DC">
              <w:rPr>
                <w:lang w:eastAsia="de-DE"/>
              </w:rPr>
              <w:t xml:space="preserve">Value of </w:t>
            </w:r>
            <w:r w:rsidRPr="001455DC">
              <w:rPr>
                <w:rStyle w:val="CCMCvariableitalic"/>
              </w:rPr>
              <w:t>A</w:t>
            </w:r>
            <w:r w:rsidRPr="001455DC">
              <w:rPr>
                <w:rStyle w:val="CCMCvariablesubscript"/>
              </w:rPr>
              <w:t>s,conf</w:t>
            </w:r>
            <w:r w:rsidRPr="001455DC">
              <w:rPr>
                <w:lang w:eastAsia="de-DE"/>
              </w:rPr>
              <w:t xml:space="preserve"> in the </w:t>
            </w:r>
            <w:r w:rsidRPr="001455DC">
              <w:rPr>
                <w:rStyle w:val="CCMCvariableitalic"/>
              </w:rPr>
              <w:t>x</w:t>
            </w:r>
            <w:r w:rsidRPr="001455DC">
              <w:rPr>
                <w:lang w:eastAsia="de-DE"/>
              </w:rPr>
              <w:t xml:space="preserve"> and </w:t>
            </w:r>
            <w:r w:rsidRPr="001455DC">
              <w:rPr>
                <w:rStyle w:val="CCMCvariableitalic"/>
              </w:rPr>
              <w:t>y</w:t>
            </w:r>
            <w:r w:rsidRPr="001455DC">
              <w:rPr>
                <w:lang w:eastAsia="de-DE"/>
              </w:rPr>
              <w:t>-directions, respectively</w:t>
            </w:r>
          </w:p>
        </w:tc>
        <w:tc>
          <w:tcPr>
            <w:tcW w:w="1984" w:type="dxa"/>
          </w:tcPr>
          <w:p w14:paraId="3441FC1A" w14:textId="1A57AD20" w:rsidR="00F17916" w:rsidRPr="001455DC" w:rsidRDefault="00F17916" w:rsidP="009D3012">
            <w:pPr>
              <w:pStyle w:val="Tablebody"/>
              <w:jc w:val="left"/>
              <w:rPr>
                <w:lang w:eastAsia="de-DE"/>
              </w:rPr>
            </w:pPr>
            <w:r w:rsidRPr="009D3012">
              <w:rPr>
                <w:lang w:eastAsia="de-DE"/>
              </w:rPr>
              <w:t>8.1.4(3)</w:t>
            </w:r>
          </w:p>
        </w:tc>
      </w:tr>
      <w:tr w:rsidR="00F17916" w:rsidRPr="001455DC" w14:paraId="5D51FA80" w14:textId="62713182" w:rsidTr="009D3012">
        <w:trPr>
          <w:cantSplit/>
        </w:trPr>
        <w:tc>
          <w:tcPr>
            <w:tcW w:w="1418" w:type="dxa"/>
            <w:shd w:val="clear" w:color="auto" w:fill="auto"/>
          </w:tcPr>
          <w:p w14:paraId="36A56DE6" w14:textId="77777777" w:rsidR="00F17916" w:rsidRPr="009D3012" w:rsidRDefault="00F17916" w:rsidP="00F17916">
            <w:pPr>
              <w:pStyle w:val="Tablebody"/>
              <w:rPr>
                <w:rStyle w:val="CCMCvariableitalic"/>
              </w:rPr>
            </w:pPr>
            <w:r w:rsidRPr="001455DC">
              <w:rPr>
                <w:rStyle w:val="CCMCvariableitalic"/>
              </w:rPr>
              <w:t>A</w:t>
            </w:r>
            <w:r w:rsidRPr="001455DC">
              <w:rPr>
                <w:rStyle w:val="CCMCvariablesubscript"/>
              </w:rPr>
              <w:t>sf</w:t>
            </w:r>
          </w:p>
        </w:tc>
        <w:tc>
          <w:tcPr>
            <w:tcW w:w="6548" w:type="dxa"/>
            <w:shd w:val="clear" w:color="auto" w:fill="auto"/>
          </w:tcPr>
          <w:p w14:paraId="0375E800" w14:textId="77777777" w:rsidR="00F17916" w:rsidRPr="001455DC" w:rsidRDefault="00F17916" w:rsidP="000250B6">
            <w:pPr>
              <w:pStyle w:val="Tablebody"/>
              <w:jc w:val="left"/>
              <w:rPr>
                <w:lang w:eastAsia="de-DE"/>
              </w:rPr>
            </w:pPr>
            <w:r w:rsidRPr="001455DC">
              <w:rPr>
                <w:lang w:eastAsia="de-DE"/>
              </w:rPr>
              <w:t>Cross sectional area of the transverse reinforcement in a flange</w:t>
            </w:r>
          </w:p>
        </w:tc>
        <w:tc>
          <w:tcPr>
            <w:tcW w:w="1984" w:type="dxa"/>
          </w:tcPr>
          <w:p w14:paraId="2B852DAE" w14:textId="3099588D" w:rsidR="00F17916" w:rsidRPr="001455DC" w:rsidRDefault="00F17916" w:rsidP="009D3012">
            <w:pPr>
              <w:pStyle w:val="Tablebody"/>
              <w:jc w:val="left"/>
              <w:rPr>
                <w:lang w:eastAsia="de-DE"/>
              </w:rPr>
            </w:pPr>
            <w:r w:rsidRPr="009D3012">
              <w:rPr>
                <w:lang w:eastAsia="de-DE"/>
              </w:rPr>
              <w:t>8.2.5(4)</w:t>
            </w:r>
          </w:p>
        </w:tc>
      </w:tr>
      <w:tr w:rsidR="00F17916" w:rsidRPr="001455DC" w14:paraId="07EC625A" w14:textId="2F3643CE" w:rsidTr="009D3012">
        <w:trPr>
          <w:cantSplit/>
        </w:trPr>
        <w:tc>
          <w:tcPr>
            <w:tcW w:w="1418" w:type="dxa"/>
            <w:shd w:val="clear" w:color="auto" w:fill="auto"/>
          </w:tcPr>
          <w:p w14:paraId="2D03EAAD" w14:textId="77777777" w:rsidR="00F17916" w:rsidRPr="009D3012" w:rsidRDefault="00F17916" w:rsidP="00F17916">
            <w:pPr>
              <w:pStyle w:val="Tablebody"/>
              <w:rPr>
                <w:rStyle w:val="CCMCvariableitalic"/>
              </w:rPr>
            </w:pPr>
            <w:r w:rsidRPr="001455DC">
              <w:rPr>
                <w:rStyle w:val="CCMCvariableitalic"/>
              </w:rPr>
              <w:t>A</w:t>
            </w:r>
            <w:r w:rsidRPr="001455DC">
              <w:rPr>
                <w:rStyle w:val="CCMCvariablesubscript"/>
              </w:rPr>
              <w:t>s,min</w:t>
            </w:r>
          </w:p>
        </w:tc>
        <w:tc>
          <w:tcPr>
            <w:tcW w:w="6548" w:type="dxa"/>
            <w:shd w:val="clear" w:color="auto" w:fill="auto"/>
          </w:tcPr>
          <w:p w14:paraId="0A4EB116" w14:textId="77777777" w:rsidR="00F17916" w:rsidRPr="001455DC" w:rsidRDefault="00F17916" w:rsidP="000250B6">
            <w:pPr>
              <w:pStyle w:val="Tablebody"/>
              <w:jc w:val="left"/>
              <w:rPr>
                <w:rStyle w:val="CCMCvariableitalic"/>
              </w:rPr>
            </w:pPr>
            <w:r w:rsidRPr="009D3012">
              <w:rPr>
                <w:lang w:eastAsia="de-DE"/>
              </w:rPr>
              <w:t>Minimum cross sectional area of reinforcement</w:t>
            </w:r>
          </w:p>
        </w:tc>
        <w:tc>
          <w:tcPr>
            <w:tcW w:w="1984" w:type="dxa"/>
          </w:tcPr>
          <w:p w14:paraId="4FD3F646" w14:textId="05E6EE58" w:rsidR="00F17916" w:rsidRPr="001455DC" w:rsidRDefault="00F17916" w:rsidP="009D3012">
            <w:pPr>
              <w:pStyle w:val="Tablebody"/>
              <w:jc w:val="left"/>
              <w:rPr>
                <w:lang w:eastAsia="de-DE"/>
              </w:rPr>
            </w:pPr>
            <w:r w:rsidRPr="009D3012">
              <w:rPr>
                <w:lang w:eastAsia="de-DE"/>
              </w:rPr>
              <w:t>12.1.1(1),12.1.1(2), 12.5.2(1), 12.7(2)</w:t>
            </w:r>
          </w:p>
        </w:tc>
      </w:tr>
      <w:tr w:rsidR="00F17916" w:rsidRPr="001455DC" w14:paraId="037BF528" w14:textId="119BBD5D" w:rsidTr="009D3012">
        <w:trPr>
          <w:cantSplit/>
        </w:trPr>
        <w:tc>
          <w:tcPr>
            <w:tcW w:w="1418" w:type="dxa"/>
            <w:shd w:val="clear" w:color="auto" w:fill="auto"/>
          </w:tcPr>
          <w:p w14:paraId="1285C381" w14:textId="77777777" w:rsidR="00F17916" w:rsidRPr="009D3012" w:rsidRDefault="00F17916" w:rsidP="00F17916">
            <w:pPr>
              <w:pStyle w:val="Tablebody"/>
              <w:rPr>
                <w:rStyle w:val="CCMCvariableitalic"/>
              </w:rPr>
            </w:pPr>
            <w:r w:rsidRPr="001455DC">
              <w:rPr>
                <w:rStyle w:val="CCMCvariableitalic"/>
                <w:rFonts w:eastAsiaTheme="minorHAnsi"/>
              </w:rPr>
              <w:t>A</w:t>
            </w:r>
            <w:r w:rsidRPr="001455DC">
              <w:rPr>
                <w:rStyle w:val="CCMCvariablesubscript"/>
                <w:rFonts w:eastAsiaTheme="minorHAnsi"/>
              </w:rPr>
              <w:t>s,min,w1</w:t>
            </w:r>
          </w:p>
        </w:tc>
        <w:tc>
          <w:tcPr>
            <w:tcW w:w="6548" w:type="dxa"/>
            <w:shd w:val="clear" w:color="auto" w:fill="auto"/>
          </w:tcPr>
          <w:p w14:paraId="30A9F72B" w14:textId="77777777" w:rsidR="00F17916" w:rsidRPr="001455DC" w:rsidRDefault="00F17916" w:rsidP="000250B6">
            <w:pPr>
              <w:pStyle w:val="Tablebody"/>
              <w:jc w:val="left"/>
            </w:pPr>
            <w:r w:rsidRPr="001455DC">
              <w:t>Area of minimum reinforcement to be placed at the most tensioned face of the section part under consideration to control cracking;</w:t>
            </w:r>
          </w:p>
        </w:tc>
        <w:tc>
          <w:tcPr>
            <w:tcW w:w="1984" w:type="dxa"/>
          </w:tcPr>
          <w:p w14:paraId="1EBC5BC6" w14:textId="075266A3" w:rsidR="00F17916" w:rsidRPr="001455DC" w:rsidRDefault="00F17916" w:rsidP="009D3012">
            <w:pPr>
              <w:pStyle w:val="Tablebody"/>
              <w:jc w:val="left"/>
            </w:pPr>
            <w:r w:rsidRPr="009D3012">
              <w:rPr>
                <w:lang w:eastAsia="de-DE"/>
              </w:rPr>
              <w:t>9.2.2 (3)</w:t>
            </w:r>
          </w:p>
        </w:tc>
      </w:tr>
      <w:tr w:rsidR="00F17916" w:rsidRPr="001455DC" w14:paraId="2E0B2D11" w14:textId="3B197D3E" w:rsidTr="009D3012">
        <w:trPr>
          <w:cantSplit/>
        </w:trPr>
        <w:tc>
          <w:tcPr>
            <w:tcW w:w="1418" w:type="dxa"/>
            <w:shd w:val="clear" w:color="auto" w:fill="auto"/>
          </w:tcPr>
          <w:p w14:paraId="4578AC6A" w14:textId="77777777" w:rsidR="00F17916" w:rsidRPr="009D3012" w:rsidRDefault="00F17916" w:rsidP="00F17916">
            <w:pPr>
              <w:pStyle w:val="Tablebody"/>
              <w:rPr>
                <w:rStyle w:val="CCMCvariableitalic"/>
              </w:rPr>
            </w:pPr>
            <w:r w:rsidRPr="001455DC">
              <w:rPr>
                <w:rStyle w:val="CCMCvariableitalic"/>
                <w:rFonts w:eastAsiaTheme="minorHAnsi"/>
              </w:rPr>
              <w:t>A</w:t>
            </w:r>
            <w:r w:rsidRPr="001455DC">
              <w:rPr>
                <w:rStyle w:val="CCMCvariablesubscript"/>
                <w:rFonts w:eastAsiaTheme="minorHAnsi"/>
              </w:rPr>
              <w:t>s,min,w2</w:t>
            </w:r>
          </w:p>
        </w:tc>
        <w:tc>
          <w:tcPr>
            <w:tcW w:w="6548" w:type="dxa"/>
            <w:shd w:val="clear" w:color="auto" w:fill="auto"/>
          </w:tcPr>
          <w:p w14:paraId="417B30C8" w14:textId="77777777" w:rsidR="00F17916" w:rsidRPr="001455DC" w:rsidRDefault="00F17916" w:rsidP="000250B6">
            <w:pPr>
              <w:pStyle w:val="Tablebody"/>
              <w:jc w:val="left"/>
            </w:pPr>
            <w:r w:rsidRPr="001455DC">
              <w:t>Area of minimum reinforcement to be placed at the least tensioned face of the section part under consideration to control cracking;</w:t>
            </w:r>
          </w:p>
        </w:tc>
        <w:tc>
          <w:tcPr>
            <w:tcW w:w="1984" w:type="dxa"/>
          </w:tcPr>
          <w:p w14:paraId="5BE683D8" w14:textId="7F382552" w:rsidR="00F17916" w:rsidRPr="001455DC" w:rsidRDefault="00F17916" w:rsidP="009D3012">
            <w:pPr>
              <w:pStyle w:val="Tablebody"/>
              <w:jc w:val="left"/>
            </w:pPr>
            <w:r w:rsidRPr="009D3012">
              <w:rPr>
                <w:lang w:eastAsia="de-DE"/>
              </w:rPr>
              <w:t>9.2.2 (3)</w:t>
            </w:r>
          </w:p>
        </w:tc>
      </w:tr>
      <w:tr w:rsidR="00F17916" w:rsidRPr="001455DC" w14:paraId="1BC4262B" w14:textId="355CEAE2" w:rsidTr="009D3012">
        <w:trPr>
          <w:cantSplit/>
        </w:trPr>
        <w:tc>
          <w:tcPr>
            <w:tcW w:w="1418" w:type="dxa"/>
            <w:shd w:val="clear" w:color="auto" w:fill="auto"/>
          </w:tcPr>
          <w:p w14:paraId="7DCCB8CB" w14:textId="77777777" w:rsidR="00F17916" w:rsidRPr="009D3012" w:rsidRDefault="00F17916" w:rsidP="00F17916">
            <w:pPr>
              <w:pStyle w:val="Tablebody"/>
              <w:rPr>
                <w:rStyle w:val="CCMCvariableitalic"/>
              </w:rPr>
            </w:pPr>
            <w:r w:rsidRPr="001455DC">
              <w:rPr>
                <w:rStyle w:val="CCMCvariableitalic"/>
              </w:rPr>
              <w:t>A</w:t>
            </w:r>
            <w:r w:rsidRPr="001455DC">
              <w:rPr>
                <w:rStyle w:val="CCMCvariablesubscript"/>
              </w:rPr>
              <w:t>s,min,h</w:t>
            </w:r>
          </w:p>
        </w:tc>
        <w:tc>
          <w:tcPr>
            <w:tcW w:w="6548" w:type="dxa"/>
            <w:shd w:val="clear" w:color="auto" w:fill="auto"/>
          </w:tcPr>
          <w:p w14:paraId="31DA38DC" w14:textId="77777777" w:rsidR="00F17916" w:rsidRPr="001455DC" w:rsidRDefault="00F17916" w:rsidP="000250B6">
            <w:pPr>
              <w:pStyle w:val="Tablebody"/>
              <w:jc w:val="left"/>
              <w:rPr>
                <w:lang w:eastAsia="de-DE"/>
              </w:rPr>
            </w:pPr>
            <w:r w:rsidRPr="001455DC">
              <w:t>Minimum amount of horizontal reinforcement</w:t>
            </w:r>
          </w:p>
        </w:tc>
        <w:tc>
          <w:tcPr>
            <w:tcW w:w="1984" w:type="dxa"/>
          </w:tcPr>
          <w:p w14:paraId="48ABABC7" w14:textId="27FCBE24" w:rsidR="00F17916" w:rsidRPr="001455DC" w:rsidRDefault="00F17916" w:rsidP="009D3012">
            <w:pPr>
              <w:pStyle w:val="Tablebody"/>
              <w:jc w:val="left"/>
            </w:pPr>
            <w:r w:rsidRPr="009D3012">
              <w:rPr>
                <w:lang w:eastAsia="de-DE"/>
              </w:rPr>
              <w:t>12.6.2(1)</w:t>
            </w:r>
          </w:p>
        </w:tc>
      </w:tr>
      <w:tr w:rsidR="00F17916" w:rsidRPr="001455DC" w14:paraId="130C5AAE" w14:textId="7CE9DCA9" w:rsidTr="009D3012">
        <w:trPr>
          <w:cantSplit/>
        </w:trPr>
        <w:tc>
          <w:tcPr>
            <w:tcW w:w="1418" w:type="dxa"/>
            <w:shd w:val="clear" w:color="auto" w:fill="auto"/>
          </w:tcPr>
          <w:p w14:paraId="4EF8F5B8" w14:textId="77777777" w:rsidR="00F17916" w:rsidRPr="009D3012" w:rsidRDefault="00F17916" w:rsidP="00F17916">
            <w:pPr>
              <w:pStyle w:val="Tablebody"/>
              <w:rPr>
                <w:rStyle w:val="CCMCvariableitalic"/>
              </w:rPr>
            </w:pPr>
            <w:r w:rsidRPr="001455DC">
              <w:rPr>
                <w:rStyle w:val="CCMCvariableitalic"/>
              </w:rPr>
              <w:t>A</w:t>
            </w:r>
            <w:r w:rsidRPr="001455DC">
              <w:rPr>
                <w:rStyle w:val="CCMCvariablesubscript"/>
              </w:rPr>
              <w:t>s,min,v</w:t>
            </w:r>
          </w:p>
        </w:tc>
        <w:tc>
          <w:tcPr>
            <w:tcW w:w="6548" w:type="dxa"/>
            <w:shd w:val="clear" w:color="auto" w:fill="auto"/>
          </w:tcPr>
          <w:p w14:paraId="3FF7733A" w14:textId="77777777" w:rsidR="00F17916" w:rsidRPr="001455DC" w:rsidRDefault="00F17916" w:rsidP="000250B6">
            <w:pPr>
              <w:pStyle w:val="Tablebody"/>
              <w:jc w:val="left"/>
              <w:rPr>
                <w:lang w:eastAsia="de-DE"/>
              </w:rPr>
            </w:pPr>
            <w:r w:rsidRPr="001455DC">
              <w:t>Minimum amount of vertical reinforcement</w:t>
            </w:r>
          </w:p>
        </w:tc>
        <w:tc>
          <w:tcPr>
            <w:tcW w:w="1984" w:type="dxa"/>
          </w:tcPr>
          <w:p w14:paraId="32C34AC3" w14:textId="26172E97" w:rsidR="00F17916" w:rsidRPr="001455DC" w:rsidRDefault="00F17916" w:rsidP="009D3012">
            <w:pPr>
              <w:pStyle w:val="Tablebody"/>
              <w:jc w:val="left"/>
            </w:pPr>
            <w:r w:rsidRPr="009D3012">
              <w:rPr>
                <w:lang w:eastAsia="de-DE"/>
              </w:rPr>
              <w:t>12.6.2(1)</w:t>
            </w:r>
          </w:p>
        </w:tc>
      </w:tr>
      <w:tr w:rsidR="00F17916" w:rsidRPr="001455DC" w14:paraId="736393F5" w14:textId="0917EEFD" w:rsidTr="009D3012">
        <w:trPr>
          <w:cantSplit/>
        </w:trPr>
        <w:tc>
          <w:tcPr>
            <w:tcW w:w="1418" w:type="dxa"/>
            <w:shd w:val="clear" w:color="auto" w:fill="auto"/>
          </w:tcPr>
          <w:p w14:paraId="337A5B2B" w14:textId="77777777" w:rsidR="00F17916" w:rsidRPr="009D3012" w:rsidRDefault="00F17916" w:rsidP="00F17916">
            <w:pPr>
              <w:pStyle w:val="Tablebody"/>
              <w:rPr>
                <w:rStyle w:val="CCMCvariableitalic"/>
              </w:rPr>
            </w:pPr>
            <w:r w:rsidRPr="001455DC">
              <w:rPr>
                <w:rStyle w:val="CCMCvariableitalic"/>
              </w:rPr>
              <w:t>A</w:t>
            </w:r>
            <w:r w:rsidRPr="001455DC">
              <w:rPr>
                <w:rStyle w:val="CCMCvariablesubscript"/>
              </w:rPr>
              <w:t>s,skin</w:t>
            </w:r>
          </w:p>
        </w:tc>
        <w:tc>
          <w:tcPr>
            <w:tcW w:w="6548" w:type="dxa"/>
            <w:shd w:val="clear" w:color="auto" w:fill="auto"/>
          </w:tcPr>
          <w:p w14:paraId="780859A2" w14:textId="77777777" w:rsidR="00F17916" w:rsidRPr="001455DC" w:rsidRDefault="00F17916" w:rsidP="000250B6">
            <w:pPr>
              <w:pStyle w:val="Tablebody"/>
              <w:jc w:val="left"/>
            </w:pPr>
            <w:r w:rsidRPr="001455DC">
              <w:t>Reinforcement area to be provided in the web in a height limited by the neutral axis and d at a spacing not exceeding 300 mm, to control cracking.</w:t>
            </w:r>
          </w:p>
        </w:tc>
        <w:tc>
          <w:tcPr>
            <w:tcW w:w="1984" w:type="dxa"/>
          </w:tcPr>
          <w:p w14:paraId="763812B5" w14:textId="62632395" w:rsidR="00F17916" w:rsidRPr="001455DC" w:rsidRDefault="00F17916" w:rsidP="009D3012">
            <w:pPr>
              <w:pStyle w:val="Tablebody"/>
              <w:jc w:val="left"/>
            </w:pPr>
            <w:r w:rsidRPr="009D3012">
              <w:rPr>
                <w:lang w:eastAsia="de-DE"/>
              </w:rPr>
              <w:t>9.2.2(5)</w:t>
            </w:r>
          </w:p>
        </w:tc>
      </w:tr>
      <w:tr w:rsidR="00F17916" w:rsidRPr="001455DC" w14:paraId="3AABABBD" w14:textId="6032AFCD" w:rsidTr="009D3012">
        <w:trPr>
          <w:cantSplit/>
        </w:trPr>
        <w:tc>
          <w:tcPr>
            <w:tcW w:w="1418" w:type="dxa"/>
            <w:shd w:val="clear" w:color="auto" w:fill="auto"/>
          </w:tcPr>
          <w:p w14:paraId="4E3024CD" w14:textId="77777777" w:rsidR="00F17916" w:rsidRPr="009D3012" w:rsidRDefault="00F17916" w:rsidP="00F17916">
            <w:pPr>
              <w:pStyle w:val="Tablebody"/>
              <w:rPr>
                <w:rStyle w:val="CCMCvariableitalic"/>
              </w:rPr>
            </w:pPr>
            <w:r w:rsidRPr="001455DC">
              <w:rPr>
                <w:rStyle w:val="CCMCvariableitalic"/>
              </w:rPr>
              <w:t>A</w:t>
            </w:r>
            <w:r w:rsidRPr="001455DC">
              <w:rPr>
                <w:rStyle w:val="CCMCvariablesubscript"/>
              </w:rPr>
              <w:t>st</w:t>
            </w:r>
          </w:p>
        </w:tc>
        <w:tc>
          <w:tcPr>
            <w:tcW w:w="6548" w:type="dxa"/>
            <w:shd w:val="clear" w:color="auto" w:fill="auto"/>
          </w:tcPr>
          <w:p w14:paraId="28009D9F" w14:textId="77777777" w:rsidR="00F17916" w:rsidRPr="001455DC" w:rsidRDefault="00F17916" w:rsidP="000250B6">
            <w:pPr>
              <w:pStyle w:val="Tablebody"/>
              <w:jc w:val="left"/>
            </w:pPr>
            <w:r w:rsidRPr="001455DC">
              <w:rPr>
                <w:lang w:eastAsia="de-DE"/>
              </w:rPr>
              <w:t>Cross sectional area of longitudinal reinforcement in the tension chord</w:t>
            </w:r>
          </w:p>
        </w:tc>
        <w:tc>
          <w:tcPr>
            <w:tcW w:w="1984" w:type="dxa"/>
          </w:tcPr>
          <w:p w14:paraId="138F23AB" w14:textId="1058E4F9" w:rsidR="00F17916" w:rsidRPr="001455DC" w:rsidRDefault="00F17916" w:rsidP="009D3012">
            <w:pPr>
              <w:pStyle w:val="Tablebody"/>
              <w:jc w:val="left"/>
              <w:rPr>
                <w:lang w:eastAsia="de-DE"/>
              </w:rPr>
            </w:pPr>
            <w:r w:rsidRPr="009D3012">
              <w:rPr>
                <w:lang w:eastAsia="de-DE"/>
              </w:rPr>
              <w:t>8.2.3(6), 8.2.5(5)</w:t>
            </w:r>
          </w:p>
        </w:tc>
      </w:tr>
      <w:tr w:rsidR="00F17916" w:rsidRPr="001455DC" w14:paraId="7CE4AF34" w14:textId="75580294" w:rsidTr="009D3012">
        <w:trPr>
          <w:cantSplit/>
        </w:trPr>
        <w:tc>
          <w:tcPr>
            <w:tcW w:w="1418" w:type="dxa"/>
            <w:shd w:val="clear" w:color="auto" w:fill="auto"/>
          </w:tcPr>
          <w:p w14:paraId="66E8365E" w14:textId="77777777" w:rsidR="00F17916" w:rsidRPr="009D3012" w:rsidRDefault="00F17916" w:rsidP="00F17916">
            <w:pPr>
              <w:pStyle w:val="Tablebody"/>
              <w:rPr>
                <w:rStyle w:val="CCMCvariableitalic"/>
              </w:rPr>
            </w:pPr>
            <w:r w:rsidRPr="001455DC">
              <w:rPr>
                <w:rStyle w:val="CCMCvariableitalic"/>
              </w:rPr>
              <w:t>A</w:t>
            </w:r>
            <w:r w:rsidRPr="001455DC">
              <w:rPr>
                <w:rStyle w:val="CCMCvariablesubscript"/>
              </w:rPr>
              <w:t>sw</w:t>
            </w:r>
          </w:p>
        </w:tc>
        <w:tc>
          <w:tcPr>
            <w:tcW w:w="6548" w:type="dxa"/>
            <w:shd w:val="clear" w:color="auto" w:fill="auto"/>
          </w:tcPr>
          <w:p w14:paraId="757AA3A4" w14:textId="77777777" w:rsidR="00F17916" w:rsidRPr="001455DC" w:rsidRDefault="00F17916" w:rsidP="000250B6">
            <w:pPr>
              <w:pStyle w:val="Tablebody"/>
              <w:jc w:val="left"/>
              <w:rPr>
                <w:rStyle w:val="CCMCvariableitalic"/>
              </w:rPr>
            </w:pPr>
            <w:r w:rsidRPr="009D3012">
              <w:rPr>
                <w:lang w:eastAsia="de-DE"/>
              </w:rPr>
              <w:t xml:space="preserve">Cross sectional area of shear reinforcement </w:t>
            </w:r>
          </w:p>
        </w:tc>
        <w:tc>
          <w:tcPr>
            <w:tcW w:w="1984" w:type="dxa"/>
          </w:tcPr>
          <w:p w14:paraId="4C67CF17" w14:textId="3D54CFC4" w:rsidR="00F17916" w:rsidRPr="001455DC" w:rsidRDefault="00F17916" w:rsidP="009D3012">
            <w:pPr>
              <w:pStyle w:val="Tablebody"/>
              <w:jc w:val="left"/>
              <w:rPr>
                <w:lang w:eastAsia="de-DE"/>
              </w:rPr>
            </w:pPr>
            <w:r w:rsidRPr="009D3012">
              <w:rPr>
                <w:lang w:eastAsia="de-DE"/>
              </w:rPr>
              <w:t>8.2.3(4)</w:t>
            </w:r>
          </w:p>
        </w:tc>
      </w:tr>
      <w:tr w:rsidR="00F17916" w:rsidRPr="001455DC" w14:paraId="387F70BA" w14:textId="458091C7" w:rsidTr="009D3012">
        <w:trPr>
          <w:cantSplit/>
        </w:trPr>
        <w:tc>
          <w:tcPr>
            <w:tcW w:w="1418" w:type="dxa"/>
            <w:shd w:val="clear" w:color="auto" w:fill="auto"/>
          </w:tcPr>
          <w:p w14:paraId="6C225BFE" w14:textId="77777777" w:rsidR="00F17916" w:rsidRPr="009D3012" w:rsidRDefault="00F17916" w:rsidP="00F17916">
            <w:pPr>
              <w:pStyle w:val="Tablebody"/>
              <w:rPr>
                <w:rStyle w:val="CCMCvariableitalic"/>
              </w:rPr>
            </w:pPr>
            <w:r w:rsidRPr="001455DC">
              <w:rPr>
                <w:rStyle w:val="CCMCvariableitalic"/>
              </w:rPr>
              <w:t>A</w:t>
            </w:r>
            <w:r w:rsidRPr="001455DC">
              <w:rPr>
                <w:rStyle w:val="CCMCvariablesubscript"/>
              </w:rPr>
              <w:t>sw,min</w:t>
            </w:r>
          </w:p>
        </w:tc>
        <w:tc>
          <w:tcPr>
            <w:tcW w:w="6548" w:type="dxa"/>
            <w:shd w:val="clear" w:color="auto" w:fill="auto"/>
          </w:tcPr>
          <w:p w14:paraId="7D301415" w14:textId="77777777" w:rsidR="00F17916" w:rsidRPr="001455DC" w:rsidRDefault="00F17916" w:rsidP="000250B6">
            <w:pPr>
              <w:pStyle w:val="Tablebody"/>
              <w:jc w:val="left"/>
              <w:rPr>
                <w:lang w:eastAsia="de-DE"/>
              </w:rPr>
            </w:pPr>
            <w:r w:rsidRPr="001455DC">
              <w:rPr>
                <w:lang w:eastAsia="de-DE"/>
              </w:rPr>
              <w:t>Minimum cross sectional area of shear reinforcement</w:t>
            </w:r>
          </w:p>
        </w:tc>
        <w:tc>
          <w:tcPr>
            <w:tcW w:w="1984" w:type="dxa"/>
          </w:tcPr>
          <w:p w14:paraId="706552C3" w14:textId="6EB9C8D6" w:rsidR="00F17916" w:rsidRPr="001455DC" w:rsidRDefault="00F17916" w:rsidP="009D3012">
            <w:pPr>
              <w:pStyle w:val="Tablebody"/>
              <w:jc w:val="left"/>
              <w:rPr>
                <w:lang w:eastAsia="de-DE"/>
              </w:rPr>
            </w:pPr>
            <w:r w:rsidRPr="009D3012">
              <w:rPr>
                <w:lang w:eastAsia="de-DE"/>
              </w:rPr>
              <w:t>12.4.2(3)</w:t>
            </w:r>
          </w:p>
        </w:tc>
      </w:tr>
      <w:tr w:rsidR="00F17916" w:rsidRPr="001455DC" w14:paraId="4F9AF14E" w14:textId="7A24EA03" w:rsidTr="009D3012">
        <w:trPr>
          <w:cantSplit/>
        </w:trPr>
        <w:tc>
          <w:tcPr>
            <w:tcW w:w="1418" w:type="dxa"/>
            <w:shd w:val="clear" w:color="auto" w:fill="auto"/>
          </w:tcPr>
          <w:p w14:paraId="0C14563B" w14:textId="77777777" w:rsidR="00F17916" w:rsidRPr="009D3012" w:rsidRDefault="00F17916" w:rsidP="00F17916">
            <w:pPr>
              <w:pStyle w:val="Tablebody"/>
              <w:rPr>
                <w:rStyle w:val="CCMCvariableitalic"/>
              </w:rPr>
            </w:pPr>
            <w:r w:rsidRPr="001455DC">
              <w:rPr>
                <w:rStyle w:val="CCMCvariableitalic"/>
              </w:rPr>
              <w:t>A</w:t>
            </w:r>
            <w:r w:rsidRPr="001455DC">
              <w:rPr>
                <w:rStyle w:val="CCMCvariablesubscript"/>
              </w:rPr>
              <w:t>s,v</w:t>
            </w:r>
          </w:p>
        </w:tc>
        <w:tc>
          <w:tcPr>
            <w:tcW w:w="6548" w:type="dxa"/>
            <w:shd w:val="clear" w:color="auto" w:fill="auto"/>
          </w:tcPr>
          <w:p w14:paraId="033CD3EE" w14:textId="77777777" w:rsidR="00F17916" w:rsidRPr="001455DC" w:rsidRDefault="00F17916" w:rsidP="000250B6">
            <w:pPr>
              <w:pStyle w:val="Tablebody"/>
              <w:jc w:val="left"/>
              <w:rPr>
                <w:lang w:eastAsia="de-DE"/>
              </w:rPr>
            </w:pPr>
            <w:r w:rsidRPr="001455DC">
              <w:rPr>
                <w:lang w:eastAsia="de-DE"/>
              </w:rPr>
              <w:t>Amount of vertical reinforcement</w:t>
            </w:r>
          </w:p>
        </w:tc>
        <w:tc>
          <w:tcPr>
            <w:tcW w:w="1984" w:type="dxa"/>
          </w:tcPr>
          <w:p w14:paraId="753279EF" w14:textId="685AAB8E" w:rsidR="00F17916" w:rsidRPr="001455DC" w:rsidRDefault="00F17916" w:rsidP="009D3012">
            <w:pPr>
              <w:pStyle w:val="Tablebody"/>
              <w:jc w:val="left"/>
              <w:rPr>
                <w:lang w:eastAsia="de-DE"/>
              </w:rPr>
            </w:pPr>
            <w:r w:rsidRPr="009D3012">
              <w:rPr>
                <w:lang w:eastAsia="de-DE"/>
              </w:rPr>
              <w:t>12.6.2</w:t>
            </w:r>
          </w:p>
        </w:tc>
      </w:tr>
      <w:tr w:rsidR="00F17916" w:rsidRPr="001455DC" w14:paraId="75383775" w14:textId="2C7CC7FA" w:rsidTr="009D3012">
        <w:trPr>
          <w:cantSplit/>
        </w:trPr>
        <w:tc>
          <w:tcPr>
            <w:tcW w:w="1418" w:type="dxa"/>
            <w:shd w:val="clear" w:color="auto" w:fill="auto"/>
          </w:tcPr>
          <w:p w14:paraId="06281EC0" w14:textId="77777777" w:rsidR="00F17916" w:rsidRPr="009D3012" w:rsidRDefault="00F17916" w:rsidP="00F17916">
            <w:pPr>
              <w:pStyle w:val="Tablebody"/>
              <w:rPr>
                <w:rStyle w:val="CCMCvariableitalic"/>
              </w:rPr>
            </w:pPr>
            <w:r w:rsidRPr="001455DC">
              <w:rPr>
                <w:rStyle w:val="CCMCvariableitalic"/>
              </w:rPr>
              <w:t>A</w:t>
            </w:r>
            <w:r w:rsidRPr="001455DC">
              <w:rPr>
                <w:rStyle w:val="CCMCvariablesubscript"/>
              </w:rPr>
              <w:t>s,req,span</w:t>
            </w:r>
          </w:p>
        </w:tc>
        <w:tc>
          <w:tcPr>
            <w:tcW w:w="6548" w:type="dxa"/>
            <w:shd w:val="clear" w:color="auto" w:fill="auto"/>
          </w:tcPr>
          <w:p w14:paraId="4C3054F6" w14:textId="77777777" w:rsidR="00F17916" w:rsidRPr="001455DC" w:rsidRDefault="00F17916" w:rsidP="000250B6">
            <w:pPr>
              <w:pStyle w:val="Tablebody"/>
              <w:jc w:val="left"/>
              <w:rPr>
                <w:lang w:eastAsia="de-DE"/>
              </w:rPr>
            </w:pPr>
            <w:r w:rsidRPr="001455DC">
              <w:rPr>
                <w:lang w:eastAsia="de-DE"/>
              </w:rPr>
              <w:t xml:space="preserve">Amount of required flexural non-prestressed reinforcement </w:t>
            </w:r>
          </w:p>
        </w:tc>
        <w:tc>
          <w:tcPr>
            <w:tcW w:w="1984" w:type="dxa"/>
          </w:tcPr>
          <w:p w14:paraId="4A1088ED" w14:textId="7974637D" w:rsidR="00F17916" w:rsidRPr="001455DC" w:rsidRDefault="00F17916" w:rsidP="009D3012">
            <w:pPr>
              <w:pStyle w:val="Tablebody"/>
              <w:jc w:val="left"/>
              <w:rPr>
                <w:lang w:eastAsia="de-DE"/>
              </w:rPr>
            </w:pPr>
            <w:r w:rsidRPr="009D3012">
              <w:rPr>
                <w:lang w:eastAsia="de-DE"/>
              </w:rPr>
              <w:t>12.3.1</w:t>
            </w:r>
          </w:p>
        </w:tc>
      </w:tr>
      <w:tr w:rsidR="00F17916" w:rsidRPr="001455DC" w14:paraId="324F2180" w14:textId="7761D465" w:rsidTr="009D3012">
        <w:trPr>
          <w:cantSplit/>
        </w:trPr>
        <w:tc>
          <w:tcPr>
            <w:tcW w:w="1418" w:type="dxa"/>
            <w:shd w:val="clear" w:color="auto" w:fill="auto"/>
          </w:tcPr>
          <w:p w14:paraId="08B47865" w14:textId="77777777" w:rsidR="00F17916" w:rsidRPr="009D3012" w:rsidRDefault="00F17916" w:rsidP="00F17916">
            <w:pPr>
              <w:pStyle w:val="Tablebody"/>
              <w:rPr>
                <w:rStyle w:val="CCMCvariableitalic"/>
              </w:rPr>
            </w:pPr>
            <w:r w:rsidRPr="001455DC">
              <w:rPr>
                <w:rStyle w:val="CCMCvariableitalic"/>
              </w:rPr>
              <w:t>C</w:t>
            </w:r>
            <w:r w:rsidRPr="001455DC">
              <w:rPr>
                <w:rStyle w:val="CCMCvariablesubscript"/>
              </w:rPr>
              <w:t>m</w:t>
            </w:r>
          </w:p>
        </w:tc>
        <w:tc>
          <w:tcPr>
            <w:tcW w:w="6548" w:type="dxa"/>
            <w:shd w:val="clear" w:color="auto" w:fill="auto"/>
          </w:tcPr>
          <w:p w14:paraId="0E7B7BF5" w14:textId="77777777" w:rsidR="00F17916" w:rsidRPr="001455DC" w:rsidRDefault="00F17916" w:rsidP="000250B6">
            <w:pPr>
              <w:pStyle w:val="Tablebody"/>
              <w:jc w:val="left"/>
              <w:rPr>
                <w:lang w:eastAsia="de-DE"/>
              </w:rPr>
            </w:pPr>
            <w:r w:rsidRPr="001455DC">
              <w:rPr>
                <w:lang w:eastAsia="de-DE"/>
              </w:rPr>
              <w:t>Coefficient used to obtain an equivalent constant moment to calculate second order effects in elements with differing end moments.</w:t>
            </w:r>
          </w:p>
        </w:tc>
        <w:tc>
          <w:tcPr>
            <w:tcW w:w="1984" w:type="dxa"/>
          </w:tcPr>
          <w:p w14:paraId="7F1E20E5" w14:textId="0119AAC0" w:rsidR="00F17916" w:rsidRPr="001455DC" w:rsidRDefault="00F17916" w:rsidP="009D3012">
            <w:pPr>
              <w:pStyle w:val="Tablebody"/>
              <w:jc w:val="left"/>
              <w:rPr>
                <w:lang w:eastAsia="de-DE"/>
              </w:rPr>
            </w:pPr>
            <w:r w:rsidRPr="009D3012">
              <w:rPr>
                <w:lang w:eastAsia="de-DE"/>
              </w:rPr>
              <w:t>O.7.2(2)</w:t>
            </w:r>
          </w:p>
        </w:tc>
      </w:tr>
      <w:tr w:rsidR="00F17916" w:rsidRPr="001455DC" w14:paraId="42E758B3" w14:textId="41E0FB49" w:rsidTr="009D3012">
        <w:trPr>
          <w:cantSplit/>
        </w:trPr>
        <w:tc>
          <w:tcPr>
            <w:tcW w:w="1418" w:type="dxa"/>
            <w:shd w:val="clear" w:color="auto" w:fill="auto"/>
          </w:tcPr>
          <w:p w14:paraId="20C4E785" w14:textId="77777777" w:rsidR="00F17916" w:rsidRPr="009D3012" w:rsidRDefault="00F17916" w:rsidP="00F17916">
            <w:pPr>
              <w:pStyle w:val="Tablebody"/>
              <w:rPr>
                <w:rStyle w:val="CCMCvariableitalic"/>
              </w:rPr>
            </w:pPr>
            <w:r w:rsidRPr="001455DC">
              <w:rPr>
                <w:rStyle w:val="CCMCvariableitalic"/>
              </w:rPr>
              <w:t>D</w:t>
            </w:r>
            <w:r w:rsidRPr="001455DC">
              <w:rPr>
                <w:rStyle w:val="CCMCvariablesubscript"/>
              </w:rPr>
              <w:t>lower</w:t>
            </w:r>
          </w:p>
        </w:tc>
        <w:tc>
          <w:tcPr>
            <w:tcW w:w="6548" w:type="dxa"/>
            <w:shd w:val="clear" w:color="auto" w:fill="auto"/>
          </w:tcPr>
          <w:p w14:paraId="3CF29FC0" w14:textId="77777777" w:rsidR="00F17916" w:rsidRPr="001455DC" w:rsidRDefault="00F17916" w:rsidP="000250B6">
            <w:pPr>
              <w:pStyle w:val="Tablebody"/>
              <w:jc w:val="left"/>
              <w:rPr>
                <w:lang w:eastAsia="de-CH"/>
              </w:rPr>
            </w:pPr>
            <w:r w:rsidRPr="001455DC">
              <w:rPr>
                <w:lang w:eastAsia="de-CH"/>
              </w:rPr>
              <w:t xml:space="preserve">Smallest value of the upper sieve size </w:t>
            </w:r>
            <w:r w:rsidRPr="001455DC">
              <w:rPr>
                <w:rStyle w:val="CCMCvariableitalic"/>
              </w:rPr>
              <w:t>D</w:t>
            </w:r>
            <w:r w:rsidRPr="001455DC">
              <w:rPr>
                <w:lang w:eastAsia="de-CH"/>
              </w:rPr>
              <w:t xml:space="preserve"> in an aggregate for the coarsest fraction of aggregates </w:t>
            </w:r>
            <w:r w:rsidRPr="001455DC">
              <w:rPr>
                <w:lang w:eastAsia="de-DE"/>
              </w:rPr>
              <w:t>in the concrete</w:t>
            </w:r>
            <w:r w:rsidRPr="001455DC">
              <w:rPr>
                <w:lang w:eastAsia="de-CH"/>
              </w:rPr>
              <w:t xml:space="preserve"> permitted by the specification of concrete [EN 206]</w:t>
            </w:r>
          </w:p>
        </w:tc>
        <w:tc>
          <w:tcPr>
            <w:tcW w:w="1984" w:type="dxa"/>
          </w:tcPr>
          <w:p w14:paraId="6F14F05D" w14:textId="50B8306F" w:rsidR="00F17916" w:rsidRPr="001455DC" w:rsidRDefault="00F17916" w:rsidP="009D3012">
            <w:pPr>
              <w:pStyle w:val="Tablebody"/>
              <w:jc w:val="left"/>
              <w:rPr>
                <w:lang w:eastAsia="de-CH"/>
              </w:rPr>
            </w:pPr>
            <w:r w:rsidRPr="009D3012">
              <w:rPr>
                <w:rFonts w:cs="Arial"/>
                <w:lang w:eastAsia="de-CH"/>
              </w:rPr>
              <w:t>5.1.2</w:t>
            </w:r>
          </w:p>
        </w:tc>
      </w:tr>
      <w:tr w:rsidR="00F17916" w:rsidRPr="001455DC" w14:paraId="0CD3C5CA" w14:textId="11561F9E" w:rsidTr="009D3012">
        <w:trPr>
          <w:cantSplit/>
        </w:trPr>
        <w:tc>
          <w:tcPr>
            <w:tcW w:w="1418" w:type="dxa"/>
            <w:shd w:val="clear" w:color="auto" w:fill="auto"/>
          </w:tcPr>
          <w:p w14:paraId="40429D99" w14:textId="77777777" w:rsidR="00F17916" w:rsidRPr="009D3012" w:rsidRDefault="00F17916" w:rsidP="00F17916">
            <w:pPr>
              <w:pStyle w:val="Tablebody"/>
              <w:rPr>
                <w:rStyle w:val="CCMCvariableitalic"/>
              </w:rPr>
            </w:pPr>
            <w:r w:rsidRPr="001455DC">
              <w:rPr>
                <w:rStyle w:val="CCMCvariableitalic"/>
              </w:rPr>
              <w:t>D</w:t>
            </w:r>
            <w:r w:rsidRPr="001455DC">
              <w:rPr>
                <w:rStyle w:val="CCMCvariablesubscript"/>
              </w:rPr>
              <w:t>h</w:t>
            </w:r>
          </w:p>
        </w:tc>
        <w:tc>
          <w:tcPr>
            <w:tcW w:w="6548" w:type="dxa"/>
            <w:shd w:val="clear" w:color="auto" w:fill="auto"/>
          </w:tcPr>
          <w:p w14:paraId="56A4D6DD" w14:textId="77777777" w:rsidR="00F17916" w:rsidRPr="001455DC" w:rsidRDefault="00F17916" w:rsidP="000250B6">
            <w:pPr>
              <w:pStyle w:val="Tablebody"/>
              <w:jc w:val="left"/>
              <w:rPr>
                <w:lang w:eastAsia="de-CH"/>
              </w:rPr>
            </w:pPr>
            <w:r w:rsidRPr="001455DC">
              <w:rPr>
                <w:lang w:eastAsia="de-CH"/>
              </w:rPr>
              <w:t>Diameter of a circular hoop or spiral reinforcement (defined by the bar’s axis)</w:t>
            </w:r>
          </w:p>
        </w:tc>
        <w:tc>
          <w:tcPr>
            <w:tcW w:w="1984" w:type="dxa"/>
          </w:tcPr>
          <w:p w14:paraId="30079F61" w14:textId="4527045E" w:rsidR="00F17916" w:rsidRPr="001455DC" w:rsidRDefault="00F17916" w:rsidP="009D3012">
            <w:pPr>
              <w:pStyle w:val="Tablebody"/>
              <w:jc w:val="left"/>
              <w:rPr>
                <w:lang w:eastAsia="de-CH"/>
              </w:rPr>
            </w:pPr>
            <w:r w:rsidRPr="009D3012">
              <w:rPr>
                <w:rFonts w:cs="Arial"/>
                <w:lang w:eastAsia="de-CH"/>
              </w:rPr>
              <w:t>8.2.3(9)</w:t>
            </w:r>
          </w:p>
        </w:tc>
      </w:tr>
      <w:tr w:rsidR="00F17916" w:rsidRPr="001455DC" w14:paraId="4A46449A" w14:textId="2F7A21CF" w:rsidTr="009D3012">
        <w:trPr>
          <w:cantSplit/>
        </w:trPr>
        <w:tc>
          <w:tcPr>
            <w:tcW w:w="1418" w:type="dxa"/>
            <w:shd w:val="clear" w:color="auto" w:fill="auto"/>
          </w:tcPr>
          <w:p w14:paraId="33578045" w14:textId="77777777" w:rsidR="00F17916" w:rsidRPr="009D3012" w:rsidRDefault="00F17916" w:rsidP="00F17916">
            <w:pPr>
              <w:pStyle w:val="Tablebody"/>
              <w:rPr>
                <w:rStyle w:val="CCMCvariableitalic"/>
              </w:rPr>
            </w:pPr>
            <w:r w:rsidRPr="001455DC">
              <w:rPr>
                <w:rStyle w:val="CCMCvariableitalic"/>
              </w:rPr>
              <w:t>D</w:t>
            </w:r>
            <w:r w:rsidRPr="001455DC">
              <w:rPr>
                <w:rStyle w:val="CCMCvariablesubscript"/>
              </w:rPr>
              <w:t>max</w:t>
            </w:r>
          </w:p>
        </w:tc>
        <w:tc>
          <w:tcPr>
            <w:tcW w:w="6548" w:type="dxa"/>
            <w:shd w:val="clear" w:color="auto" w:fill="auto"/>
          </w:tcPr>
          <w:p w14:paraId="3EE09F26" w14:textId="77777777" w:rsidR="00F17916" w:rsidRPr="001455DC" w:rsidRDefault="00F17916" w:rsidP="000250B6">
            <w:pPr>
              <w:pStyle w:val="Tablebody"/>
              <w:jc w:val="left"/>
              <w:rPr>
                <w:lang w:eastAsia="de-CH"/>
              </w:rPr>
            </w:pPr>
            <w:r w:rsidRPr="001455DC">
              <w:rPr>
                <w:lang w:eastAsia="de-CH"/>
              </w:rPr>
              <w:t xml:space="preserve">Declared value of the upper sieve size </w:t>
            </w:r>
            <w:r w:rsidRPr="001455DC">
              <w:rPr>
                <w:rStyle w:val="CCMCvariableitalic"/>
              </w:rPr>
              <w:t>D</w:t>
            </w:r>
            <w:r w:rsidRPr="001455DC">
              <w:rPr>
                <w:lang w:eastAsia="de-CH"/>
              </w:rPr>
              <w:t xml:space="preserve"> of the coarsest fraction of aggregates actually used in the concrete [EN 206]</w:t>
            </w:r>
          </w:p>
        </w:tc>
        <w:tc>
          <w:tcPr>
            <w:tcW w:w="1984" w:type="dxa"/>
          </w:tcPr>
          <w:p w14:paraId="7B6FC64E" w14:textId="6FD0093E" w:rsidR="00F17916" w:rsidRPr="001455DC" w:rsidRDefault="00F17916" w:rsidP="009D3012">
            <w:pPr>
              <w:pStyle w:val="Tablebody"/>
              <w:jc w:val="left"/>
              <w:rPr>
                <w:lang w:eastAsia="de-CH"/>
              </w:rPr>
            </w:pPr>
          </w:p>
        </w:tc>
      </w:tr>
      <w:tr w:rsidR="00F17916" w:rsidRPr="001455DC" w14:paraId="0B0AB1A8" w14:textId="46E02D29" w:rsidTr="009D3012">
        <w:trPr>
          <w:cantSplit/>
        </w:trPr>
        <w:tc>
          <w:tcPr>
            <w:tcW w:w="1418" w:type="dxa"/>
            <w:shd w:val="clear" w:color="auto" w:fill="auto"/>
          </w:tcPr>
          <w:p w14:paraId="04C2B2F2" w14:textId="77777777" w:rsidR="00F17916" w:rsidRPr="009D3012" w:rsidRDefault="00F17916" w:rsidP="00F17916">
            <w:pPr>
              <w:pStyle w:val="Tablebody"/>
              <w:rPr>
                <w:rStyle w:val="CCMCvariableitalic"/>
              </w:rPr>
            </w:pPr>
            <w:r w:rsidRPr="001455DC">
              <w:rPr>
                <w:rStyle w:val="CCMCvariableitalic"/>
              </w:rPr>
              <w:t>D</w:t>
            </w:r>
            <w:r w:rsidRPr="001455DC">
              <w:rPr>
                <w:rStyle w:val="CCMCvariablesubscript"/>
              </w:rPr>
              <w:t>upper</w:t>
            </w:r>
          </w:p>
        </w:tc>
        <w:tc>
          <w:tcPr>
            <w:tcW w:w="6548" w:type="dxa"/>
            <w:shd w:val="clear" w:color="auto" w:fill="auto"/>
          </w:tcPr>
          <w:p w14:paraId="3C57B014" w14:textId="77777777" w:rsidR="00F17916" w:rsidRPr="001455DC" w:rsidRDefault="00F17916" w:rsidP="000250B6">
            <w:pPr>
              <w:pStyle w:val="Tablebody"/>
              <w:jc w:val="left"/>
              <w:rPr>
                <w:lang w:eastAsia="de-DE"/>
              </w:rPr>
            </w:pPr>
            <w:r w:rsidRPr="001455DC">
              <w:rPr>
                <w:lang w:eastAsia="de-CH"/>
              </w:rPr>
              <w:t xml:space="preserve">Largest value of the upper sieve size </w:t>
            </w:r>
            <w:r w:rsidRPr="001455DC">
              <w:rPr>
                <w:rStyle w:val="CCMCvariableitalic"/>
              </w:rPr>
              <w:t>D</w:t>
            </w:r>
            <w:r w:rsidRPr="001455DC">
              <w:rPr>
                <w:lang w:eastAsia="de-CH"/>
              </w:rPr>
              <w:t xml:space="preserve"> in an aggregate for the coarsest fraction of aggregates </w:t>
            </w:r>
            <w:r w:rsidRPr="001455DC">
              <w:rPr>
                <w:lang w:eastAsia="de-DE"/>
              </w:rPr>
              <w:t>in the concrete</w:t>
            </w:r>
            <w:r w:rsidRPr="001455DC">
              <w:rPr>
                <w:lang w:eastAsia="de-CH"/>
              </w:rPr>
              <w:t xml:space="preserve"> permitted by the specification of concrete [EN 206]</w:t>
            </w:r>
          </w:p>
        </w:tc>
        <w:tc>
          <w:tcPr>
            <w:tcW w:w="1984" w:type="dxa"/>
          </w:tcPr>
          <w:p w14:paraId="21314A79" w14:textId="04DF5AA0" w:rsidR="00F17916" w:rsidRPr="001455DC" w:rsidRDefault="00F17916">
            <w:pPr>
              <w:spacing w:before="0" w:after="0" w:line="240" w:lineRule="auto"/>
              <w:jc w:val="left"/>
              <w:rPr>
                <w:rFonts w:eastAsia="Times New Roman"/>
                <w:szCs w:val="20"/>
                <w:lang w:eastAsia="fr-FR"/>
              </w:rPr>
            </w:pPr>
            <w:r w:rsidRPr="009D3012">
              <w:rPr>
                <w:rFonts w:cs="Arial"/>
                <w:lang w:eastAsia="de-CH"/>
              </w:rPr>
              <w:t>5.1.2</w:t>
            </w:r>
          </w:p>
        </w:tc>
      </w:tr>
      <w:tr w:rsidR="00F17916" w:rsidRPr="001455DC" w14:paraId="777331A9" w14:textId="07A462C0" w:rsidTr="009D3012">
        <w:trPr>
          <w:cantSplit/>
        </w:trPr>
        <w:tc>
          <w:tcPr>
            <w:tcW w:w="1418" w:type="dxa"/>
            <w:shd w:val="clear" w:color="auto" w:fill="auto"/>
          </w:tcPr>
          <w:p w14:paraId="344E2AF6" w14:textId="77777777" w:rsidR="00F17916" w:rsidRPr="009D3012" w:rsidRDefault="00F17916" w:rsidP="00F17916">
            <w:pPr>
              <w:pStyle w:val="Tablebody"/>
              <w:rPr>
                <w:rStyle w:val="CCMCvariableitalic"/>
              </w:rPr>
            </w:pPr>
            <w:r w:rsidRPr="001455DC">
              <w:rPr>
                <w:rStyle w:val="CCMCvariableitalic"/>
              </w:rPr>
              <w:t>E</w:t>
            </w:r>
          </w:p>
        </w:tc>
        <w:tc>
          <w:tcPr>
            <w:tcW w:w="6548" w:type="dxa"/>
            <w:shd w:val="clear" w:color="auto" w:fill="auto"/>
          </w:tcPr>
          <w:p w14:paraId="35D2EA4C" w14:textId="77777777" w:rsidR="00F17916" w:rsidRPr="001455DC" w:rsidRDefault="00F17916" w:rsidP="000250B6">
            <w:pPr>
              <w:pStyle w:val="Tablebody"/>
              <w:jc w:val="left"/>
              <w:rPr>
                <w:rStyle w:val="CCMCvariableitalic"/>
              </w:rPr>
            </w:pPr>
            <w:r w:rsidRPr="009D3012">
              <w:rPr>
                <w:lang w:eastAsia="de-DE"/>
              </w:rPr>
              <w:t>Effect of action</w:t>
            </w:r>
          </w:p>
        </w:tc>
        <w:tc>
          <w:tcPr>
            <w:tcW w:w="1984" w:type="dxa"/>
          </w:tcPr>
          <w:p w14:paraId="486D232F" w14:textId="77777777" w:rsidR="00F17916" w:rsidRPr="001455DC" w:rsidRDefault="00F17916" w:rsidP="00F17916">
            <w:pPr>
              <w:spacing w:before="0" w:after="0" w:line="240" w:lineRule="auto"/>
              <w:jc w:val="left"/>
              <w:rPr>
                <w:rFonts w:eastAsia="Times New Roman"/>
                <w:szCs w:val="20"/>
                <w:lang w:eastAsia="fr-FR"/>
              </w:rPr>
            </w:pPr>
          </w:p>
        </w:tc>
      </w:tr>
      <w:tr w:rsidR="00F17916" w:rsidRPr="001455DC" w14:paraId="05F46B48" w14:textId="5E763765" w:rsidTr="009D3012">
        <w:trPr>
          <w:cantSplit/>
        </w:trPr>
        <w:tc>
          <w:tcPr>
            <w:tcW w:w="1418" w:type="dxa"/>
            <w:shd w:val="clear" w:color="auto" w:fill="auto"/>
          </w:tcPr>
          <w:p w14:paraId="1945083F" w14:textId="77777777" w:rsidR="00F17916" w:rsidRPr="009D3012" w:rsidRDefault="00F17916" w:rsidP="00F17916">
            <w:pPr>
              <w:pStyle w:val="Tablebody"/>
              <w:rPr>
                <w:rStyle w:val="CCMCvariableitalic"/>
              </w:rPr>
            </w:pPr>
            <w:r w:rsidRPr="001455DC">
              <w:rPr>
                <w:rStyle w:val="CCMCvariableitalic"/>
              </w:rPr>
              <w:t>E</w:t>
            </w:r>
            <w:r w:rsidRPr="001455DC">
              <w:rPr>
                <w:rStyle w:val="CCMCvariablesubscript"/>
              </w:rPr>
              <w:t>c,eff</w:t>
            </w:r>
          </w:p>
        </w:tc>
        <w:tc>
          <w:tcPr>
            <w:tcW w:w="6548" w:type="dxa"/>
            <w:shd w:val="clear" w:color="auto" w:fill="auto"/>
          </w:tcPr>
          <w:p w14:paraId="085A2970" w14:textId="77777777" w:rsidR="00F17916" w:rsidRPr="001455DC" w:rsidRDefault="00F17916" w:rsidP="000250B6">
            <w:pPr>
              <w:pStyle w:val="Tablebody"/>
              <w:jc w:val="left"/>
            </w:pPr>
            <w:r w:rsidRPr="001455DC">
              <w:t>Effective modulus of elasticity of concrete</w:t>
            </w:r>
            <w:r w:rsidRPr="001455DC">
              <w:rPr>
                <w:lang w:eastAsia="de-DE"/>
              </w:rPr>
              <w:t xml:space="preserve"> accounting for creep deformations</w:t>
            </w:r>
          </w:p>
        </w:tc>
        <w:tc>
          <w:tcPr>
            <w:tcW w:w="1984" w:type="dxa"/>
          </w:tcPr>
          <w:p w14:paraId="7837F86D" w14:textId="1DEBAE33" w:rsidR="00F17916" w:rsidRPr="001455DC" w:rsidRDefault="00F17916" w:rsidP="009D3012">
            <w:pPr>
              <w:pStyle w:val="Tablebody"/>
              <w:jc w:val="left"/>
            </w:pPr>
            <w:r w:rsidRPr="009D3012">
              <w:rPr>
                <w:lang w:eastAsia="de-DE"/>
              </w:rPr>
              <w:t>9.1 (3)</w:t>
            </w:r>
          </w:p>
        </w:tc>
      </w:tr>
      <w:tr w:rsidR="00F17916" w:rsidRPr="001455DC" w14:paraId="2AB83CCC" w14:textId="16426C87" w:rsidTr="009D3012">
        <w:trPr>
          <w:cantSplit/>
        </w:trPr>
        <w:tc>
          <w:tcPr>
            <w:tcW w:w="1418" w:type="dxa"/>
            <w:shd w:val="clear" w:color="auto" w:fill="auto"/>
          </w:tcPr>
          <w:p w14:paraId="0CC46879" w14:textId="77777777" w:rsidR="00F17916" w:rsidRPr="009D3012" w:rsidRDefault="00F17916" w:rsidP="00F17916">
            <w:pPr>
              <w:pStyle w:val="Tablebody"/>
              <w:rPr>
                <w:rStyle w:val="CCMCvariableitalic"/>
              </w:rPr>
            </w:pPr>
            <w:r w:rsidRPr="001455DC">
              <w:rPr>
                <w:rStyle w:val="CCMCvariableitalic"/>
              </w:rPr>
              <w:t>E</w:t>
            </w:r>
            <w:r w:rsidRPr="001455DC">
              <w:rPr>
                <w:rStyle w:val="CCMCvariablesubscript"/>
              </w:rPr>
              <w:t>cd</w:t>
            </w:r>
          </w:p>
        </w:tc>
        <w:tc>
          <w:tcPr>
            <w:tcW w:w="6548" w:type="dxa"/>
            <w:shd w:val="clear" w:color="auto" w:fill="auto"/>
          </w:tcPr>
          <w:p w14:paraId="65E8B017" w14:textId="77777777" w:rsidR="00F17916" w:rsidRPr="001455DC" w:rsidRDefault="00F17916" w:rsidP="000250B6">
            <w:pPr>
              <w:pStyle w:val="Tablebody"/>
              <w:jc w:val="left"/>
              <w:rPr>
                <w:lang w:eastAsia="de-DE"/>
              </w:rPr>
            </w:pPr>
            <w:r w:rsidRPr="001455DC">
              <w:rPr>
                <w:iCs/>
                <w:lang w:eastAsia="de-DE"/>
              </w:rPr>
              <w:t>Design value of m</w:t>
            </w:r>
            <w:r w:rsidRPr="001455DC">
              <w:rPr>
                <w:lang w:eastAsia="de-DE"/>
              </w:rPr>
              <w:t>odulus of elasticity of concrete</w:t>
            </w:r>
          </w:p>
        </w:tc>
        <w:tc>
          <w:tcPr>
            <w:tcW w:w="1984" w:type="dxa"/>
          </w:tcPr>
          <w:p w14:paraId="0D4A457F" w14:textId="7586921F" w:rsidR="00F17916" w:rsidRPr="001455DC" w:rsidRDefault="00F17916" w:rsidP="009D3012">
            <w:pPr>
              <w:pStyle w:val="Tablebody"/>
              <w:jc w:val="left"/>
              <w:rPr>
                <w:iCs/>
                <w:lang w:eastAsia="de-DE"/>
              </w:rPr>
            </w:pPr>
            <w:r w:rsidRPr="009D3012">
              <w:rPr>
                <w:lang w:eastAsia="de-DE"/>
              </w:rPr>
              <w:t>7.8.3.3(3)</w:t>
            </w:r>
          </w:p>
        </w:tc>
      </w:tr>
      <w:tr w:rsidR="00F17916" w:rsidRPr="001455DC" w14:paraId="2A65FA47" w14:textId="7558D36E" w:rsidTr="009D3012">
        <w:trPr>
          <w:cantSplit/>
        </w:trPr>
        <w:tc>
          <w:tcPr>
            <w:tcW w:w="1418" w:type="dxa"/>
            <w:shd w:val="clear" w:color="auto" w:fill="auto"/>
          </w:tcPr>
          <w:p w14:paraId="79011ACC" w14:textId="77777777" w:rsidR="00F17916" w:rsidRPr="009D3012" w:rsidRDefault="00F17916" w:rsidP="00F17916">
            <w:pPr>
              <w:pStyle w:val="Tablebody"/>
              <w:rPr>
                <w:rStyle w:val="CCMCvariableitalic"/>
              </w:rPr>
            </w:pPr>
            <w:r w:rsidRPr="001455DC">
              <w:rPr>
                <w:rStyle w:val="CCMCvariableitalic"/>
              </w:rPr>
              <w:t>E</w:t>
            </w:r>
            <w:r w:rsidRPr="001455DC">
              <w:rPr>
                <w:rStyle w:val="CCMCvariablesubscript"/>
              </w:rPr>
              <w:t>cm</w:t>
            </w:r>
          </w:p>
        </w:tc>
        <w:tc>
          <w:tcPr>
            <w:tcW w:w="6548" w:type="dxa"/>
            <w:shd w:val="clear" w:color="auto" w:fill="auto"/>
          </w:tcPr>
          <w:p w14:paraId="3A6E0942" w14:textId="77777777" w:rsidR="00F17916" w:rsidRPr="001455DC" w:rsidRDefault="00F17916" w:rsidP="000250B6">
            <w:pPr>
              <w:pStyle w:val="Tablebody"/>
              <w:jc w:val="left"/>
              <w:rPr>
                <w:lang w:eastAsia="de-DE"/>
              </w:rPr>
            </w:pPr>
            <w:r w:rsidRPr="001455DC">
              <w:rPr>
                <w:lang w:eastAsia="de-DE"/>
              </w:rPr>
              <w:t>Secant modulus of elasticity of concrete</w:t>
            </w:r>
          </w:p>
        </w:tc>
        <w:tc>
          <w:tcPr>
            <w:tcW w:w="1984" w:type="dxa"/>
          </w:tcPr>
          <w:p w14:paraId="6BB408F0" w14:textId="46A0A6EC" w:rsidR="00F17916" w:rsidRPr="001455DC" w:rsidRDefault="00F17916" w:rsidP="009D3012">
            <w:pPr>
              <w:pStyle w:val="Tablebody"/>
              <w:jc w:val="left"/>
              <w:rPr>
                <w:lang w:eastAsia="de-DE"/>
              </w:rPr>
            </w:pPr>
            <w:r w:rsidRPr="009D3012">
              <w:rPr>
                <w:lang w:eastAsia="de-DE"/>
              </w:rPr>
              <w:t>5.1.4(2)</w:t>
            </w:r>
          </w:p>
        </w:tc>
      </w:tr>
      <w:tr w:rsidR="00F17916" w:rsidRPr="001455DC" w14:paraId="02A5DA92" w14:textId="74C7C144" w:rsidTr="009D3012">
        <w:trPr>
          <w:cantSplit/>
        </w:trPr>
        <w:tc>
          <w:tcPr>
            <w:tcW w:w="1418" w:type="dxa"/>
            <w:shd w:val="clear" w:color="auto" w:fill="auto"/>
          </w:tcPr>
          <w:p w14:paraId="253F2C58" w14:textId="77777777" w:rsidR="00F17916" w:rsidRPr="009D3012" w:rsidRDefault="00F17916" w:rsidP="00F17916">
            <w:pPr>
              <w:pStyle w:val="Tablebody"/>
              <w:rPr>
                <w:rStyle w:val="CCMCvariableitalic"/>
              </w:rPr>
            </w:pPr>
            <w:r w:rsidRPr="001455DC">
              <w:rPr>
                <w:rStyle w:val="CCMCvariableitalic"/>
              </w:rPr>
              <w:t>E</w:t>
            </w:r>
            <w:r w:rsidRPr="001455DC">
              <w:rPr>
                <w:rStyle w:val="CCMCvariablesubscript"/>
              </w:rPr>
              <w:t>d</w:t>
            </w:r>
          </w:p>
        </w:tc>
        <w:tc>
          <w:tcPr>
            <w:tcW w:w="6548" w:type="dxa"/>
            <w:shd w:val="clear" w:color="auto" w:fill="auto"/>
          </w:tcPr>
          <w:p w14:paraId="0394E871" w14:textId="77777777" w:rsidR="00F17916" w:rsidRPr="001455DC" w:rsidRDefault="00F17916" w:rsidP="000250B6">
            <w:pPr>
              <w:pStyle w:val="Tablebody"/>
              <w:jc w:val="left"/>
              <w:rPr>
                <w:lang w:eastAsia="de-DE"/>
              </w:rPr>
            </w:pPr>
            <w:r w:rsidRPr="001455DC">
              <w:rPr>
                <w:lang w:eastAsia="de-DE"/>
              </w:rPr>
              <w:t>Design value of the action effect</w:t>
            </w:r>
          </w:p>
        </w:tc>
        <w:tc>
          <w:tcPr>
            <w:tcW w:w="1984" w:type="dxa"/>
          </w:tcPr>
          <w:p w14:paraId="2E4E4511" w14:textId="5BAF0305" w:rsidR="00F17916" w:rsidRPr="001455DC" w:rsidRDefault="00F17916" w:rsidP="009D3012">
            <w:pPr>
              <w:pStyle w:val="Tablebody"/>
              <w:jc w:val="left"/>
              <w:rPr>
                <w:lang w:eastAsia="de-DE"/>
              </w:rPr>
            </w:pPr>
            <w:r w:rsidRPr="009D3012">
              <w:rPr>
                <w:lang w:eastAsia="de-DE"/>
              </w:rPr>
              <w:t>F.</w:t>
            </w:r>
            <w:r w:rsidR="00B8288D" w:rsidRPr="009D3012">
              <w:rPr>
                <w:lang w:eastAsia="de-DE"/>
              </w:rPr>
              <w:t>3</w:t>
            </w:r>
            <w:r w:rsidRPr="009D3012">
              <w:rPr>
                <w:lang w:eastAsia="de-DE"/>
              </w:rPr>
              <w:t>(3)</w:t>
            </w:r>
          </w:p>
        </w:tc>
      </w:tr>
      <w:tr w:rsidR="00F17916" w:rsidRPr="001455DC" w14:paraId="656AA40C" w14:textId="0BBC5E4B" w:rsidTr="009D3012">
        <w:trPr>
          <w:cantSplit/>
        </w:trPr>
        <w:tc>
          <w:tcPr>
            <w:tcW w:w="1418" w:type="dxa"/>
            <w:shd w:val="clear" w:color="auto" w:fill="auto"/>
          </w:tcPr>
          <w:p w14:paraId="2FBECA43" w14:textId="77777777" w:rsidR="00F17916" w:rsidRPr="009D3012" w:rsidRDefault="00F17916" w:rsidP="00F17916">
            <w:pPr>
              <w:pStyle w:val="Tablebody"/>
              <w:rPr>
                <w:rStyle w:val="CCMCvariableitalic"/>
              </w:rPr>
            </w:pPr>
            <w:r w:rsidRPr="001455DC">
              <w:rPr>
                <w:rStyle w:val="CCMCvariableitalic"/>
              </w:rPr>
              <w:t>E</w:t>
            </w:r>
            <w:r w:rsidRPr="001455DC">
              <w:rPr>
                <w:rStyle w:val="CCMCvariablesubscript"/>
              </w:rPr>
              <w:t>p</w:t>
            </w:r>
          </w:p>
        </w:tc>
        <w:tc>
          <w:tcPr>
            <w:tcW w:w="6548" w:type="dxa"/>
            <w:shd w:val="clear" w:color="auto" w:fill="auto"/>
          </w:tcPr>
          <w:p w14:paraId="45624129" w14:textId="77777777" w:rsidR="00F17916" w:rsidRPr="001455DC" w:rsidRDefault="00F17916" w:rsidP="000250B6">
            <w:pPr>
              <w:pStyle w:val="Tablebody"/>
              <w:jc w:val="left"/>
              <w:rPr>
                <w:lang w:eastAsia="de-DE"/>
              </w:rPr>
            </w:pPr>
            <w:r w:rsidRPr="001455DC">
              <w:rPr>
                <w:lang w:eastAsia="de-DE"/>
              </w:rPr>
              <w:t>Design value of modulus of elasticity of prestressing steel</w:t>
            </w:r>
          </w:p>
        </w:tc>
        <w:tc>
          <w:tcPr>
            <w:tcW w:w="1984" w:type="dxa"/>
          </w:tcPr>
          <w:p w14:paraId="547A10CD" w14:textId="0CF9E4A5" w:rsidR="00F17916" w:rsidRPr="001455DC" w:rsidRDefault="00F17916" w:rsidP="009D3012">
            <w:pPr>
              <w:pStyle w:val="Tablebody"/>
              <w:jc w:val="left"/>
              <w:rPr>
                <w:lang w:eastAsia="de-DE"/>
              </w:rPr>
            </w:pPr>
            <w:r w:rsidRPr="009D3012">
              <w:rPr>
                <w:lang w:eastAsia="de-DE"/>
              </w:rPr>
              <w:t>5.3.3(3)</w:t>
            </w:r>
          </w:p>
        </w:tc>
      </w:tr>
      <w:tr w:rsidR="00F17916" w:rsidRPr="001455DC" w14:paraId="34F7ECC8" w14:textId="69E37318" w:rsidTr="009D3012">
        <w:trPr>
          <w:cantSplit/>
        </w:trPr>
        <w:tc>
          <w:tcPr>
            <w:tcW w:w="1418" w:type="dxa"/>
            <w:shd w:val="clear" w:color="auto" w:fill="auto"/>
          </w:tcPr>
          <w:p w14:paraId="47245E9D" w14:textId="77777777" w:rsidR="00F17916" w:rsidRPr="009D3012" w:rsidRDefault="00F17916" w:rsidP="00F17916">
            <w:pPr>
              <w:pStyle w:val="Tablebody"/>
              <w:rPr>
                <w:rStyle w:val="CCMCvariableitalic"/>
              </w:rPr>
            </w:pPr>
            <w:r w:rsidRPr="001455DC">
              <w:rPr>
                <w:rStyle w:val="CCMCvariableitalic"/>
              </w:rPr>
              <w:t>E</w:t>
            </w:r>
            <w:r w:rsidRPr="001455DC">
              <w:rPr>
                <w:rStyle w:val="CCMCvariablesubscript"/>
              </w:rPr>
              <w:t>s</w:t>
            </w:r>
          </w:p>
        </w:tc>
        <w:tc>
          <w:tcPr>
            <w:tcW w:w="6548" w:type="dxa"/>
            <w:shd w:val="clear" w:color="auto" w:fill="auto"/>
          </w:tcPr>
          <w:p w14:paraId="594E8958" w14:textId="77777777" w:rsidR="00F17916" w:rsidRPr="001455DC" w:rsidRDefault="00F17916" w:rsidP="000250B6">
            <w:pPr>
              <w:pStyle w:val="Tablebody"/>
              <w:jc w:val="left"/>
              <w:rPr>
                <w:lang w:eastAsia="de-DE"/>
              </w:rPr>
            </w:pPr>
            <w:r w:rsidRPr="001455DC">
              <w:rPr>
                <w:lang w:eastAsia="de-DE"/>
              </w:rPr>
              <w:t>Design value of modulus of elasticity of ordinary reinforcing steel</w:t>
            </w:r>
          </w:p>
        </w:tc>
        <w:tc>
          <w:tcPr>
            <w:tcW w:w="1984" w:type="dxa"/>
          </w:tcPr>
          <w:p w14:paraId="55C34BC4" w14:textId="69C553B3" w:rsidR="00F17916" w:rsidRPr="001455DC" w:rsidRDefault="00F17916" w:rsidP="009D3012">
            <w:pPr>
              <w:pStyle w:val="Tablebody"/>
              <w:jc w:val="left"/>
              <w:rPr>
                <w:lang w:eastAsia="de-DE"/>
              </w:rPr>
            </w:pPr>
            <w:r w:rsidRPr="009D3012">
              <w:rPr>
                <w:lang w:eastAsia="de-DE"/>
              </w:rPr>
              <w:t>5.2.4(3)</w:t>
            </w:r>
          </w:p>
        </w:tc>
      </w:tr>
      <w:tr w:rsidR="00F17916" w:rsidRPr="001455DC" w14:paraId="48704EC0" w14:textId="403E7532" w:rsidTr="009D3012">
        <w:trPr>
          <w:cantSplit/>
        </w:trPr>
        <w:tc>
          <w:tcPr>
            <w:tcW w:w="1418" w:type="dxa"/>
            <w:shd w:val="clear" w:color="auto" w:fill="auto"/>
          </w:tcPr>
          <w:p w14:paraId="26437925" w14:textId="77777777" w:rsidR="00F17916" w:rsidRPr="009D3012" w:rsidRDefault="00F17916" w:rsidP="00F17916">
            <w:pPr>
              <w:pStyle w:val="Tablebody"/>
              <w:rPr>
                <w:rStyle w:val="CCMCvariableitalic"/>
              </w:rPr>
            </w:pPr>
            <w:r w:rsidRPr="001455DC">
              <w:rPr>
                <w:rStyle w:val="CCMCvariableitalic"/>
              </w:rPr>
              <w:t>EΙ</w:t>
            </w:r>
          </w:p>
        </w:tc>
        <w:tc>
          <w:tcPr>
            <w:tcW w:w="6548" w:type="dxa"/>
            <w:shd w:val="clear" w:color="auto" w:fill="auto"/>
          </w:tcPr>
          <w:p w14:paraId="058B34AC" w14:textId="77777777" w:rsidR="00F17916" w:rsidRPr="001455DC" w:rsidRDefault="00F17916" w:rsidP="000250B6">
            <w:pPr>
              <w:pStyle w:val="Tablebody"/>
              <w:jc w:val="left"/>
              <w:rPr>
                <w:lang w:eastAsia="de-DE"/>
              </w:rPr>
            </w:pPr>
            <w:r w:rsidRPr="001455DC">
              <w:rPr>
                <w:lang w:eastAsia="de-DE"/>
              </w:rPr>
              <w:t>Bending stiffness</w:t>
            </w:r>
          </w:p>
        </w:tc>
        <w:tc>
          <w:tcPr>
            <w:tcW w:w="1984" w:type="dxa"/>
          </w:tcPr>
          <w:p w14:paraId="3722D495" w14:textId="5228D7FD" w:rsidR="00F17916" w:rsidRPr="001455DC" w:rsidRDefault="00F17916" w:rsidP="009D3012">
            <w:pPr>
              <w:pStyle w:val="Tablebody"/>
              <w:jc w:val="left"/>
              <w:rPr>
                <w:lang w:eastAsia="de-DE"/>
              </w:rPr>
            </w:pPr>
            <w:r w:rsidRPr="009D3012">
              <w:rPr>
                <w:lang w:eastAsia="de-DE"/>
              </w:rPr>
              <w:t>O.3(1)</w:t>
            </w:r>
          </w:p>
        </w:tc>
      </w:tr>
      <w:tr w:rsidR="00F17916" w:rsidRPr="001455DC" w14:paraId="6605A83E" w14:textId="4E4234AA" w:rsidTr="009D3012">
        <w:trPr>
          <w:cantSplit/>
        </w:trPr>
        <w:tc>
          <w:tcPr>
            <w:tcW w:w="1418" w:type="dxa"/>
            <w:shd w:val="clear" w:color="auto" w:fill="auto"/>
          </w:tcPr>
          <w:p w14:paraId="1789F24C" w14:textId="77777777" w:rsidR="00F17916" w:rsidRPr="009D3012" w:rsidRDefault="00F17916" w:rsidP="00F17916">
            <w:pPr>
              <w:pStyle w:val="Tablebody"/>
              <w:rPr>
                <w:rStyle w:val="CCMCvariableitalic"/>
              </w:rPr>
            </w:pPr>
            <w:r w:rsidRPr="001455DC">
              <w:rPr>
                <w:rStyle w:val="CCMCvariableitalic"/>
              </w:rPr>
              <w:t>F</w:t>
            </w:r>
            <w:r w:rsidRPr="001455DC">
              <w:rPr>
                <w:rStyle w:val="CCMCvariablesubscript"/>
              </w:rPr>
              <w:t>H,0Ed</w:t>
            </w:r>
          </w:p>
        </w:tc>
        <w:tc>
          <w:tcPr>
            <w:tcW w:w="6548" w:type="dxa"/>
            <w:shd w:val="clear" w:color="auto" w:fill="auto"/>
          </w:tcPr>
          <w:p w14:paraId="2220F938" w14:textId="77777777" w:rsidR="00F17916" w:rsidRPr="001455DC" w:rsidRDefault="00F17916" w:rsidP="000250B6">
            <w:pPr>
              <w:pStyle w:val="Tablebody"/>
              <w:jc w:val="left"/>
              <w:rPr>
                <w:lang w:eastAsia="de-DE"/>
              </w:rPr>
            </w:pPr>
            <w:r w:rsidRPr="001455DC">
              <w:rPr>
                <w:lang w:eastAsia="de-DE"/>
              </w:rPr>
              <w:t>First order horizontal force due to wind, imperfections etc.</w:t>
            </w:r>
          </w:p>
        </w:tc>
        <w:tc>
          <w:tcPr>
            <w:tcW w:w="1984" w:type="dxa"/>
          </w:tcPr>
          <w:p w14:paraId="5CEB441C" w14:textId="03F2D636" w:rsidR="00F17916" w:rsidRPr="001455DC" w:rsidRDefault="00F17916" w:rsidP="009D3012">
            <w:pPr>
              <w:pStyle w:val="Tablebody"/>
              <w:jc w:val="left"/>
              <w:rPr>
                <w:lang w:eastAsia="de-DE"/>
              </w:rPr>
            </w:pPr>
            <w:r w:rsidRPr="009D3012">
              <w:rPr>
                <w:lang w:eastAsia="de-DE"/>
              </w:rPr>
              <w:t>O.3(2), O.8.2(2)</w:t>
            </w:r>
          </w:p>
        </w:tc>
      </w:tr>
      <w:tr w:rsidR="00F17916" w:rsidRPr="001455DC" w14:paraId="4A7DB5EB" w14:textId="48A0C4A8" w:rsidTr="009D3012">
        <w:trPr>
          <w:cantSplit/>
        </w:trPr>
        <w:tc>
          <w:tcPr>
            <w:tcW w:w="1418" w:type="dxa"/>
            <w:shd w:val="clear" w:color="auto" w:fill="auto"/>
          </w:tcPr>
          <w:p w14:paraId="021436A2" w14:textId="77777777" w:rsidR="00F17916" w:rsidRPr="009D3012" w:rsidRDefault="00F17916" w:rsidP="00F17916">
            <w:pPr>
              <w:pStyle w:val="Tablebody"/>
              <w:rPr>
                <w:rStyle w:val="CCMCvariableitalic"/>
              </w:rPr>
            </w:pPr>
            <w:r w:rsidRPr="001455DC">
              <w:rPr>
                <w:rStyle w:val="CCMCvariableitalic"/>
              </w:rPr>
              <w:t>F</w:t>
            </w:r>
            <w:r w:rsidRPr="001455DC">
              <w:rPr>
                <w:rStyle w:val="CCMCvariablesubscript"/>
              </w:rPr>
              <w:t>cd</w:t>
            </w:r>
          </w:p>
        </w:tc>
        <w:tc>
          <w:tcPr>
            <w:tcW w:w="6548" w:type="dxa"/>
            <w:shd w:val="clear" w:color="auto" w:fill="auto"/>
          </w:tcPr>
          <w:p w14:paraId="5C808BBD" w14:textId="77777777" w:rsidR="00F17916" w:rsidRPr="001455DC" w:rsidRDefault="00F17916" w:rsidP="000250B6">
            <w:pPr>
              <w:pStyle w:val="Tablebody"/>
              <w:jc w:val="left"/>
              <w:rPr>
                <w:lang w:eastAsia="de-DE"/>
              </w:rPr>
            </w:pPr>
            <w:r w:rsidRPr="001455DC">
              <w:rPr>
                <w:lang w:eastAsia="de-DE"/>
              </w:rPr>
              <w:t>Design value of the compression force in a compression chord or in a strut (compression positive)</w:t>
            </w:r>
          </w:p>
        </w:tc>
        <w:tc>
          <w:tcPr>
            <w:tcW w:w="1984" w:type="dxa"/>
          </w:tcPr>
          <w:p w14:paraId="5AA53CBE" w14:textId="16108C2B" w:rsidR="00F17916" w:rsidRPr="001455DC" w:rsidRDefault="00F17916" w:rsidP="009D3012">
            <w:pPr>
              <w:pStyle w:val="Tablebody"/>
              <w:jc w:val="left"/>
              <w:rPr>
                <w:lang w:eastAsia="de-DE"/>
              </w:rPr>
            </w:pPr>
            <w:r w:rsidRPr="009D3012">
              <w:rPr>
                <w:lang w:eastAsia="de-DE"/>
              </w:rPr>
              <w:t>8.2.3(6), 8.2.3(8)</w:t>
            </w:r>
          </w:p>
        </w:tc>
      </w:tr>
      <w:tr w:rsidR="00F17916" w:rsidRPr="001455DC" w14:paraId="5BFE1DB8" w14:textId="10182B74" w:rsidTr="009D3012">
        <w:trPr>
          <w:cantSplit/>
        </w:trPr>
        <w:tc>
          <w:tcPr>
            <w:tcW w:w="1418" w:type="dxa"/>
            <w:shd w:val="clear" w:color="auto" w:fill="auto"/>
          </w:tcPr>
          <w:p w14:paraId="53B8C433" w14:textId="77777777" w:rsidR="00F17916" w:rsidRPr="009D3012" w:rsidRDefault="00F17916" w:rsidP="00F17916">
            <w:pPr>
              <w:pStyle w:val="Tablebody"/>
              <w:rPr>
                <w:rStyle w:val="CCMCvariableitalic"/>
              </w:rPr>
            </w:pPr>
            <w:r w:rsidRPr="001455DC">
              <w:rPr>
                <w:rStyle w:val="CCMCvariableitalic"/>
              </w:rPr>
              <w:t>F</w:t>
            </w:r>
            <w:r w:rsidRPr="001455DC">
              <w:rPr>
                <w:rStyle w:val="CCMCvariablesubscript"/>
              </w:rPr>
              <w:t>Ed,2</w:t>
            </w:r>
          </w:p>
        </w:tc>
        <w:tc>
          <w:tcPr>
            <w:tcW w:w="6548" w:type="dxa"/>
            <w:shd w:val="clear" w:color="auto" w:fill="auto"/>
          </w:tcPr>
          <w:p w14:paraId="724BAB78" w14:textId="77777777" w:rsidR="00F17916" w:rsidRPr="001455DC" w:rsidRDefault="00F17916" w:rsidP="000250B6">
            <w:pPr>
              <w:pStyle w:val="Tablebody"/>
              <w:jc w:val="left"/>
              <w:rPr>
                <w:lang w:eastAsia="de-DE"/>
              </w:rPr>
            </w:pPr>
            <w:r w:rsidRPr="001455DC">
              <w:rPr>
                <w:lang w:eastAsia="de-DE"/>
              </w:rPr>
              <w:t>Fictitious magnified horizontal force to account for global second order effects</w:t>
            </w:r>
          </w:p>
        </w:tc>
        <w:tc>
          <w:tcPr>
            <w:tcW w:w="1984" w:type="dxa"/>
          </w:tcPr>
          <w:p w14:paraId="0A47C03C" w14:textId="13DE0A17" w:rsidR="00F17916" w:rsidRPr="001455DC" w:rsidRDefault="00F17916" w:rsidP="009D3012">
            <w:pPr>
              <w:pStyle w:val="Tablebody"/>
              <w:jc w:val="left"/>
              <w:rPr>
                <w:lang w:eastAsia="de-DE"/>
              </w:rPr>
            </w:pPr>
            <w:r w:rsidRPr="009D3012">
              <w:rPr>
                <w:lang w:eastAsia="de-DE"/>
              </w:rPr>
              <w:t>O.8.2(2)</w:t>
            </w:r>
          </w:p>
        </w:tc>
      </w:tr>
      <w:tr w:rsidR="00F17916" w:rsidRPr="001455DC" w14:paraId="2A642D46" w14:textId="7DA66F05" w:rsidTr="009D3012">
        <w:trPr>
          <w:cantSplit/>
        </w:trPr>
        <w:tc>
          <w:tcPr>
            <w:tcW w:w="1418" w:type="dxa"/>
            <w:shd w:val="clear" w:color="auto" w:fill="auto"/>
          </w:tcPr>
          <w:p w14:paraId="3EC6F0E3" w14:textId="77777777" w:rsidR="00F17916" w:rsidRPr="009D3012" w:rsidRDefault="00F17916" w:rsidP="00F17916">
            <w:pPr>
              <w:pStyle w:val="Tablebody"/>
              <w:rPr>
                <w:rStyle w:val="CCMCvariableitalic"/>
              </w:rPr>
            </w:pPr>
            <w:r w:rsidRPr="001455DC">
              <w:rPr>
                <w:rStyle w:val="CCMCvariableitalic"/>
              </w:rPr>
              <w:t>F</w:t>
            </w:r>
            <w:r w:rsidRPr="001455DC">
              <w:rPr>
                <w:rStyle w:val="CCMCvariablesubscript"/>
              </w:rPr>
              <w:t>Ed,sup</w:t>
            </w:r>
          </w:p>
        </w:tc>
        <w:tc>
          <w:tcPr>
            <w:tcW w:w="6548" w:type="dxa"/>
            <w:shd w:val="clear" w:color="auto" w:fill="auto"/>
          </w:tcPr>
          <w:p w14:paraId="71141485" w14:textId="77777777" w:rsidR="00F17916" w:rsidRPr="001455DC" w:rsidRDefault="00F17916" w:rsidP="000250B6">
            <w:pPr>
              <w:pStyle w:val="Tablebody"/>
              <w:jc w:val="left"/>
              <w:rPr>
                <w:lang w:eastAsia="de-DE"/>
              </w:rPr>
            </w:pPr>
            <w:r w:rsidRPr="001455DC">
              <w:rPr>
                <w:lang w:eastAsia="de-DE"/>
              </w:rPr>
              <w:t>Design support reaction due to the loads applied on the beam or the slab</w:t>
            </w:r>
          </w:p>
        </w:tc>
        <w:tc>
          <w:tcPr>
            <w:tcW w:w="1984" w:type="dxa"/>
          </w:tcPr>
          <w:p w14:paraId="74FE1FFA" w14:textId="4835DE3C" w:rsidR="00F17916" w:rsidRPr="001455DC" w:rsidRDefault="00F17916" w:rsidP="009D3012">
            <w:pPr>
              <w:pStyle w:val="Tablebody"/>
              <w:jc w:val="left"/>
              <w:rPr>
                <w:lang w:eastAsia="de-DE"/>
              </w:rPr>
            </w:pPr>
            <w:r w:rsidRPr="009D3012">
              <w:rPr>
                <w:lang w:eastAsia="de-DE"/>
              </w:rPr>
              <w:t>7.3.2.2(3)</w:t>
            </w:r>
          </w:p>
        </w:tc>
      </w:tr>
      <w:tr w:rsidR="00F17916" w:rsidRPr="001455DC" w14:paraId="58A19BE5" w14:textId="541DC21D" w:rsidTr="009D3012">
        <w:trPr>
          <w:cantSplit/>
        </w:trPr>
        <w:tc>
          <w:tcPr>
            <w:tcW w:w="1418" w:type="dxa"/>
            <w:shd w:val="clear" w:color="auto" w:fill="auto"/>
          </w:tcPr>
          <w:p w14:paraId="6029B31D" w14:textId="77777777" w:rsidR="00F17916" w:rsidRPr="009D3012" w:rsidRDefault="00F17916" w:rsidP="00F17916">
            <w:pPr>
              <w:pStyle w:val="Tablebody"/>
              <w:rPr>
                <w:rStyle w:val="CCMCvariableitalic"/>
              </w:rPr>
            </w:pPr>
            <w:r w:rsidRPr="009D3012">
              <w:rPr>
                <w:lang w:eastAsia="de-DE"/>
              </w:rPr>
              <w:t>Δ</w:t>
            </w:r>
            <w:r w:rsidRPr="001455DC">
              <w:rPr>
                <w:rStyle w:val="CCMCvariableitalic"/>
              </w:rPr>
              <w:t>F</w:t>
            </w:r>
            <w:r w:rsidRPr="001455DC">
              <w:rPr>
                <w:rStyle w:val="CCMCvariablesubscript"/>
              </w:rPr>
              <w:t>d</w:t>
            </w:r>
          </w:p>
        </w:tc>
        <w:tc>
          <w:tcPr>
            <w:tcW w:w="6548" w:type="dxa"/>
            <w:shd w:val="clear" w:color="auto" w:fill="auto"/>
          </w:tcPr>
          <w:p w14:paraId="3AC953D3" w14:textId="77777777" w:rsidR="00F17916" w:rsidRPr="001455DC" w:rsidRDefault="00F17916" w:rsidP="000250B6">
            <w:pPr>
              <w:pStyle w:val="Tablebody"/>
              <w:jc w:val="left"/>
              <w:rPr>
                <w:lang w:eastAsia="de-DE"/>
              </w:rPr>
            </w:pPr>
            <w:r w:rsidRPr="001455DC">
              <w:rPr>
                <w:lang w:eastAsia="de-DE"/>
              </w:rPr>
              <w:t>Design value of the change of the normal force in the flange over the length Δ</w:t>
            </w:r>
            <w:r w:rsidRPr="001455DC">
              <w:rPr>
                <w:rStyle w:val="CCMCvariableitalic"/>
              </w:rPr>
              <w:t>x</w:t>
            </w:r>
          </w:p>
        </w:tc>
        <w:tc>
          <w:tcPr>
            <w:tcW w:w="1984" w:type="dxa"/>
          </w:tcPr>
          <w:p w14:paraId="14ACBBF6" w14:textId="559B8162" w:rsidR="00F17916" w:rsidRPr="001455DC" w:rsidRDefault="00F17916" w:rsidP="009D3012">
            <w:pPr>
              <w:pStyle w:val="Tablebody"/>
              <w:jc w:val="left"/>
              <w:rPr>
                <w:lang w:eastAsia="de-DE"/>
              </w:rPr>
            </w:pPr>
            <w:r w:rsidRPr="009D3012">
              <w:rPr>
                <w:lang w:eastAsia="de-DE"/>
              </w:rPr>
              <w:t>8.2.5(1)</w:t>
            </w:r>
          </w:p>
        </w:tc>
      </w:tr>
      <w:tr w:rsidR="00F17916" w:rsidRPr="001455DC" w14:paraId="147ABF55" w14:textId="41B395A6" w:rsidTr="009D3012">
        <w:trPr>
          <w:cantSplit/>
        </w:trPr>
        <w:tc>
          <w:tcPr>
            <w:tcW w:w="1418" w:type="dxa"/>
            <w:shd w:val="clear" w:color="auto" w:fill="auto"/>
          </w:tcPr>
          <w:p w14:paraId="4AE67CA7" w14:textId="77777777" w:rsidR="00F17916" w:rsidRPr="009D3012" w:rsidRDefault="00F17916" w:rsidP="00F17916">
            <w:pPr>
              <w:pStyle w:val="Tablebody"/>
              <w:rPr>
                <w:rStyle w:val="CCMCvariableitalic"/>
              </w:rPr>
            </w:pPr>
            <w:r w:rsidRPr="001455DC">
              <w:rPr>
                <w:rStyle w:val="CCMCvariableitalic"/>
              </w:rPr>
              <w:t>F</w:t>
            </w:r>
            <w:r w:rsidRPr="001455DC">
              <w:rPr>
                <w:rStyle w:val="CCMCvariablesubscript"/>
              </w:rPr>
              <w:t>td</w:t>
            </w:r>
          </w:p>
        </w:tc>
        <w:tc>
          <w:tcPr>
            <w:tcW w:w="6548" w:type="dxa"/>
            <w:shd w:val="clear" w:color="auto" w:fill="auto"/>
          </w:tcPr>
          <w:p w14:paraId="0748F20E" w14:textId="77777777" w:rsidR="00F17916" w:rsidRPr="001455DC" w:rsidRDefault="00F17916" w:rsidP="000250B6">
            <w:pPr>
              <w:pStyle w:val="Tablebody"/>
              <w:jc w:val="left"/>
              <w:rPr>
                <w:lang w:eastAsia="de-DE"/>
              </w:rPr>
            </w:pPr>
            <w:r w:rsidRPr="001455DC">
              <w:rPr>
                <w:lang w:eastAsia="de-DE"/>
              </w:rPr>
              <w:t xml:space="preserve">Design value of the tension force in a tie or in the transverse reinforcement </w:t>
            </w:r>
          </w:p>
        </w:tc>
        <w:tc>
          <w:tcPr>
            <w:tcW w:w="1984" w:type="dxa"/>
          </w:tcPr>
          <w:p w14:paraId="2180CD82" w14:textId="1026BB90" w:rsidR="00F17916" w:rsidRPr="001455DC" w:rsidRDefault="00F17916" w:rsidP="009D3012">
            <w:pPr>
              <w:pStyle w:val="Tablebody"/>
              <w:jc w:val="left"/>
              <w:rPr>
                <w:lang w:eastAsia="de-DE"/>
              </w:rPr>
            </w:pPr>
            <w:r w:rsidRPr="009D3012">
              <w:rPr>
                <w:lang w:eastAsia="de-DE"/>
              </w:rPr>
              <w:t>8.2.3(6), 8.2.3(8), 8.5.5(2-3)</w:t>
            </w:r>
          </w:p>
        </w:tc>
      </w:tr>
      <w:tr w:rsidR="00F17916" w:rsidRPr="001455DC" w14:paraId="55C3F423" w14:textId="6558C3A6" w:rsidTr="009D3012">
        <w:trPr>
          <w:cantSplit/>
        </w:trPr>
        <w:tc>
          <w:tcPr>
            <w:tcW w:w="1418" w:type="dxa"/>
            <w:shd w:val="clear" w:color="auto" w:fill="auto"/>
          </w:tcPr>
          <w:p w14:paraId="440AD4DA" w14:textId="77777777" w:rsidR="00F17916" w:rsidRPr="009D3012" w:rsidRDefault="00F17916" w:rsidP="00F17916">
            <w:pPr>
              <w:pStyle w:val="Tablebody"/>
              <w:rPr>
                <w:rStyle w:val="CCMCvariableitalic"/>
              </w:rPr>
            </w:pPr>
            <w:r w:rsidRPr="001455DC">
              <w:rPr>
                <w:rStyle w:val="CCMCvariableitalic"/>
              </w:rPr>
              <w:t>F</w:t>
            </w:r>
            <w:r w:rsidRPr="001455DC">
              <w:rPr>
                <w:rStyle w:val="CCMCvariablesubscript"/>
              </w:rPr>
              <w:t>tie,col</w:t>
            </w:r>
          </w:p>
        </w:tc>
        <w:tc>
          <w:tcPr>
            <w:tcW w:w="6548" w:type="dxa"/>
            <w:shd w:val="clear" w:color="auto" w:fill="auto"/>
          </w:tcPr>
          <w:p w14:paraId="6E949924" w14:textId="77777777" w:rsidR="00F17916" w:rsidRPr="001455DC" w:rsidRDefault="00F17916" w:rsidP="000250B6">
            <w:pPr>
              <w:pStyle w:val="Tablebody"/>
              <w:jc w:val="left"/>
              <w:rPr>
                <w:lang w:eastAsia="de-DE"/>
              </w:rPr>
            </w:pPr>
            <w:r w:rsidRPr="001455DC">
              <w:rPr>
                <w:lang w:eastAsia="de-DE"/>
              </w:rPr>
              <w:t>Force for vertical ties</w:t>
            </w:r>
          </w:p>
        </w:tc>
        <w:tc>
          <w:tcPr>
            <w:tcW w:w="1984" w:type="dxa"/>
          </w:tcPr>
          <w:p w14:paraId="1956A5D4" w14:textId="38F63E48" w:rsidR="00F17916" w:rsidRPr="001455DC" w:rsidRDefault="00F17916" w:rsidP="009D3012">
            <w:pPr>
              <w:pStyle w:val="Tablebody"/>
              <w:jc w:val="left"/>
              <w:rPr>
                <w:lang w:eastAsia="de-DE"/>
              </w:rPr>
            </w:pPr>
            <w:r w:rsidRPr="009D3012">
              <w:rPr>
                <w:lang w:eastAsia="de-DE"/>
              </w:rPr>
              <w:t>12.9.2.3, 12.9.3(1)</w:t>
            </w:r>
          </w:p>
        </w:tc>
      </w:tr>
      <w:tr w:rsidR="00F17916" w:rsidRPr="001455DC" w14:paraId="27B61846" w14:textId="2C24666C" w:rsidTr="009D3012">
        <w:trPr>
          <w:cantSplit/>
        </w:trPr>
        <w:tc>
          <w:tcPr>
            <w:tcW w:w="1418" w:type="dxa"/>
            <w:shd w:val="clear" w:color="auto" w:fill="auto"/>
          </w:tcPr>
          <w:p w14:paraId="5979B882" w14:textId="77777777" w:rsidR="00F17916" w:rsidRPr="009D3012" w:rsidRDefault="00F17916" w:rsidP="00F17916">
            <w:pPr>
              <w:pStyle w:val="Tablebody"/>
              <w:rPr>
                <w:rStyle w:val="CCMCvariablesubscript"/>
              </w:rPr>
            </w:pPr>
            <w:r w:rsidRPr="001455DC">
              <w:rPr>
                <w:rStyle w:val="CCMCvariableitalic"/>
              </w:rPr>
              <w:t>F</w:t>
            </w:r>
            <w:r w:rsidRPr="001455DC">
              <w:rPr>
                <w:rStyle w:val="CCMCvariablesubscript"/>
              </w:rPr>
              <w:t>tie,per</w:t>
            </w:r>
          </w:p>
        </w:tc>
        <w:tc>
          <w:tcPr>
            <w:tcW w:w="6548" w:type="dxa"/>
            <w:shd w:val="clear" w:color="auto" w:fill="auto"/>
          </w:tcPr>
          <w:p w14:paraId="2DA82C3E" w14:textId="77777777" w:rsidR="00F17916" w:rsidRPr="001455DC" w:rsidRDefault="00F17916" w:rsidP="000250B6">
            <w:pPr>
              <w:pStyle w:val="Tablebody"/>
              <w:jc w:val="left"/>
              <w:rPr>
                <w:lang w:eastAsia="de-DE"/>
              </w:rPr>
            </w:pPr>
            <w:r w:rsidRPr="001455DC">
              <w:rPr>
                <w:lang w:eastAsia="de-DE"/>
              </w:rPr>
              <w:t>Force for peripheral ties</w:t>
            </w:r>
          </w:p>
        </w:tc>
        <w:tc>
          <w:tcPr>
            <w:tcW w:w="1984" w:type="dxa"/>
          </w:tcPr>
          <w:p w14:paraId="0B79FDC0" w14:textId="59C0281F" w:rsidR="00F17916" w:rsidRPr="001455DC" w:rsidRDefault="00F17916" w:rsidP="009D3012">
            <w:pPr>
              <w:pStyle w:val="Tablebody"/>
              <w:jc w:val="left"/>
              <w:rPr>
                <w:lang w:eastAsia="de-DE"/>
              </w:rPr>
            </w:pPr>
            <w:r w:rsidRPr="009D3012">
              <w:rPr>
                <w:lang w:eastAsia="de-DE"/>
              </w:rPr>
              <w:t>12.9.3(1)</w:t>
            </w:r>
          </w:p>
        </w:tc>
      </w:tr>
      <w:tr w:rsidR="00F17916" w:rsidRPr="001455DC" w14:paraId="0A79AF85" w14:textId="62087149" w:rsidTr="009D3012">
        <w:trPr>
          <w:cantSplit/>
        </w:trPr>
        <w:tc>
          <w:tcPr>
            <w:tcW w:w="1418" w:type="dxa"/>
            <w:shd w:val="clear" w:color="auto" w:fill="auto"/>
          </w:tcPr>
          <w:p w14:paraId="0FCDEF6D" w14:textId="77777777" w:rsidR="00F17916" w:rsidRPr="009D3012" w:rsidRDefault="00F17916" w:rsidP="00F17916">
            <w:pPr>
              <w:pStyle w:val="Tablebody"/>
              <w:rPr>
                <w:rStyle w:val="CCMCvariablesubscript"/>
              </w:rPr>
            </w:pPr>
            <w:r w:rsidRPr="001455DC">
              <w:rPr>
                <w:rStyle w:val="CCMCvariableitalic"/>
              </w:rPr>
              <w:t>F</w:t>
            </w:r>
            <w:r w:rsidRPr="001455DC">
              <w:rPr>
                <w:rStyle w:val="CCMCvariablesubscript"/>
              </w:rPr>
              <w:t>tie,int</w:t>
            </w:r>
          </w:p>
        </w:tc>
        <w:tc>
          <w:tcPr>
            <w:tcW w:w="6548" w:type="dxa"/>
            <w:shd w:val="clear" w:color="auto" w:fill="auto"/>
          </w:tcPr>
          <w:p w14:paraId="6A66F2B3" w14:textId="77777777" w:rsidR="00F17916" w:rsidRPr="001455DC" w:rsidRDefault="00F17916" w:rsidP="000250B6">
            <w:pPr>
              <w:pStyle w:val="Tablebody"/>
              <w:jc w:val="left"/>
              <w:rPr>
                <w:lang w:eastAsia="de-DE"/>
              </w:rPr>
            </w:pPr>
            <w:r w:rsidRPr="001455DC">
              <w:rPr>
                <w:lang w:eastAsia="de-DE"/>
              </w:rPr>
              <w:t>Force for internal ties</w:t>
            </w:r>
          </w:p>
        </w:tc>
        <w:tc>
          <w:tcPr>
            <w:tcW w:w="1984" w:type="dxa"/>
          </w:tcPr>
          <w:p w14:paraId="78EEE2BF" w14:textId="3BD0108B" w:rsidR="00F17916" w:rsidRPr="001455DC" w:rsidRDefault="00F17916" w:rsidP="009D3012">
            <w:pPr>
              <w:pStyle w:val="Tablebody"/>
              <w:jc w:val="left"/>
              <w:rPr>
                <w:lang w:eastAsia="de-DE"/>
              </w:rPr>
            </w:pPr>
            <w:r w:rsidRPr="009D3012">
              <w:rPr>
                <w:lang w:eastAsia="de-DE"/>
              </w:rPr>
              <w:t>12.9.3(1)</w:t>
            </w:r>
          </w:p>
        </w:tc>
      </w:tr>
      <w:tr w:rsidR="00F17916" w:rsidRPr="001455DC" w14:paraId="0677B0CD" w14:textId="7F7DA26F" w:rsidTr="009D3012">
        <w:trPr>
          <w:cantSplit/>
        </w:trPr>
        <w:tc>
          <w:tcPr>
            <w:tcW w:w="1418" w:type="dxa"/>
            <w:shd w:val="clear" w:color="auto" w:fill="auto"/>
          </w:tcPr>
          <w:p w14:paraId="794F49C5" w14:textId="77777777" w:rsidR="00F17916" w:rsidRPr="009D3012" w:rsidRDefault="00F17916" w:rsidP="00F17916">
            <w:pPr>
              <w:pStyle w:val="Tablebody"/>
              <w:rPr>
                <w:rStyle w:val="CCMCvariableitalic"/>
              </w:rPr>
            </w:pPr>
            <w:r w:rsidRPr="001455DC">
              <w:rPr>
                <w:rStyle w:val="CCMCvariableitalic"/>
              </w:rPr>
              <w:t>F</w:t>
            </w:r>
            <w:r w:rsidRPr="001455DC">
              <w:rPr>
                <w:rStyle w:val="CCMCvariablesubscript"/>
              </w:rPr>
              <w:t>VB</w:t>
            </w:r>
          </w:p>
        </w:tc>
        <w:tc>
          <w:tcPr>
            <w:tcW w:w="6548" w:type="dxa"/>
            <w:shd w:val="clear" w:color="auto" w:fill="auto"/>
          </w:tcPr>
          <w:p w14:paraId="71CDFD34" w14:textId="77777777" w:rsidR="00F17916" w:rsidRPr="001455DC" w:rsidRDefault="00F17916" w:rsidP="000250B6">
            <w:pPr>
              <w:pStyle w:val="Tablebody"/>
              <w:jc w:val="left"/>
              <w:rPr>
                <w:lang w:eastAsia="de-DE"/>
              </w:rPr>
            </w:pPr>
            <w:r w:rsidRPr="001455DC">
              <w:rPr>
                <w:lang w:eastAsia="de-DE"/>
              </w:rPr>
              <w:t>Buckling load of the bracing structure</w:t>
            </w:r>
          </w:p>
        </w:tc>
        <w:tc>
          <w:tcPr>
            <w:tcW w:w="1984" w:type="dxa"/>
          </w:tcPr>
          <w:p w14:paraId="11CD6FA4" w14:textId="381771D3" w:rsidR="00F17916" w:rsidRPr="001455DC" w:rsidRDefault="00F17916" w:rsidP="009D3012">
            <w:pPr>
              <w:pStyle w:val="Tablebody"/>
              <w:jc w:val="left"/>
              <w:rPr>
                <w:lang w:eastAsia="de-DE"/>
              </w:rPr>
            </w:pPr>
            <w:r w:rsidRPr="009D3012">
              <w:rPr>
                <w:lang w:eastAsia="de-DE"/>
              </w:rPr>
              <w:t>7.8.1(3), O.3(1)</w:t>
            </w:r>
          </w:p>
        </w:tc>
      </w:tr>
      <w:tr w:rsidR="00F17916" w:rsidRPr="001455DC" w14:paraId="68272109" w14:textId="1140AF09" w:rsidTr="009D3012">
        <w:trPr>
          <w:cantSplit/>
        </w:trPr>
        <w:tc>
          <w:tcPr>
            <w:tcW w:w="1418" w:type="dxa"/>
            <w:shd w:val="clear" w:color="auto" w:fill="auto"/>
          </w:tcPr>
          <w:p w14:paraId="38C65428" w14:textId="77777777" w:rsidR="00F17916" w:rsidRPr="009D3012" w:rsidRDefault="00F17916" w:rsidP="00F17916">
            <w:pPr>
              <w:pStyle w:val="Tablebody"/>
              <w:rPr>
                <w:rStyle w:val="CCMCvariableitalic"/>
              </w:rPr>
            </w:pPr>
            <w:r w:rsidRPr="001455DC">
              <w:rPr>
                <w:rStyle w:val="CCMCvariableitalic"/>
              </w:rPr>
              <w:t>F</w:t>
            </w:r>
            <w:r w:rsidRPr="001455DC">
              <w:rPr>
                <w:rStyle w:val="CCMCvariablesubscript"/>
              </w:rPr>
              <w:t>VBB</w:t>
            </w:r>
          </w:p>
        </w:tc>
        <w:tc>
          <w:tcPr>
            <w:tcW w:w="6548" w:type="dxa"/>
            <w:shd w:val="clear" w:color="auto" w:fill="auto"/>
          </w:tcPr>
          <w:p w14:paraId="2B975867" w14:textId="77777777" w:rsidR="00F17916" w:rsidRPr="001455DC" w:rsidRDefault="00F17916" w:rsidP="000250B6">
            <w:pPr>
              <w:pStyle w:val="Tablebody"/>
              <w:jc w:val="left"/>
              <w:rPr>
                <w:lang w:eastAsia="de-DE"/>
              </w:rPr>
            </w:pPr>
            <w:r w:rsidRPr="001455DC">
              <w:rPr>
                <w:lang w:eastAsia="de-DE"/>
              </w:rPr>
              <w:t>Flexural buckling load of a cantilever, restricted by the floors, with base rotation</w:t>
            </w:r>
          </w:p>
        </w:tc>
        <w:tc>
          <w:tcPr>
            <w:tcW w:w="1984" w:type="dxa"/>
          </w:tcPr>
          <w:p w14:paraId="7987B88B" w14:textId="76767082" w:rsidR="00F17916" w:rsidRPr="001455DC" w:rsidRDefault="00F17916" w:rsidP="009D3012">
            <w:pPr>
              <w:pStyle w:val="Tablebody"/>
              <w:jc w:val="left"/>
              <w:rPr>
                <w:lang w:eastAsia="de-DE"/>
              </w:rPr>
            </w:pPr>
            <w:r w:rsidRPr="009D3012">
              <w:rPr>
                <w:lang w:eastAsia="de-DE"/>
              </w:rPr>
              <w:t>O.3(1)</w:t>
            </w:r>
          </w:p>
        </w:tc>
      </w:tr>
      <w:tr w:rsidR="00F17916" w:rsidRPr="001455DC" w14:paraId="61245AB3" w14:textId="66BFA940" w:rsidTr="009D3012">
        <w:trPr>
          <w:cantSplit/>
        </w:trPr>
        <w:tc>
          <w:tcPr>
            <w:tcW w:w="1418" w:type="dxa"/>
            <w:shd w:val="clear" w:color="auto" w:fill="auto"/>
          </w:tcPr>
          <w:p w14:paraId="402B4A42" w14:textId="77777777" w:rsidR="00F17916" w:rsidRPr="009D3012" w:rsidRDefault="00F17916" w:rsidP="00F17916">
            <w:pPr>
              <w:pStyle w:val="Tablebody"/>
              <w:rPr>
                <w:rStyle w:val="CCMCvariableitalic"/>
              </w:rPr>
            </w:pPr>
            <w:r w:rsidRPr="001455DC">
              <w:rPr>
                <w:rStyle w:val="CCMCvariableitalic"/>
              </w:rPr>
              <w:t>F</w:t>
            </w:r>
            <w:r w:rsidRPr="001455DC">
              <w:rPr>
                <w:rStyle w:val="CCMCvariablesubscript"/>
              </w:rPr>
              <w:t>VBS</w:t>
            </w:r>
          </w:p>
        </w:tc>
        <w:tc>
          <w:tcPr>
            <w:tcW w:w="6548" w:type="dxa"/>
            <w:shd w:val="clear" w:color="auto" w:fill="auto"/>
          </w:tcPr>
          <w:p w14:paraId="57CCA6B5" w14:textId="77777777" w:rsidR="00F17916" w:rsidRPr="001455DC" w:rsidRDefault="00F17916" w:rsidP="000250B6">
            <w:pPr>
              <w:pStyle w:val="Tablebody"/>
              <w:jc w:val="left"/>
              <w:rPr>
                <w:lang w:eastAsia="de-DE"/>
              </w:rPr>
            </w:pPr>
            <w:r w:rsidRPr="001455DC">
              <w:t>Buckling load due to localised lateral storey deformations</w:t>
            </w:r>
          </w:p>
        </w:tc>
        <w:tc>
          <w:tcPr>
            <w:tcW w:w="1984" w:type="dxa"/>
          </w:tcPr>
          <w:p w14:paraId="61CCE6B9" w14:textId="38C728A8" w:rsidR="00F17916" w:rsidRPr="001455DC" w:rsidRDefault="00F17916" w:rsidP="009D3012">
            <w:pPr>
              <w:pStyle w:val="Tablebody"/>
              <w:jc w:val="left"/>
            </w:pPr>
            <w:r w:rsidRPr="009D3012">
              <w:rPr>
                <w:lang w:eastAsia="de-DE"/>
              </w:rPr>
              <w:t>O.3(1)</w:t>
            </w:r>
          </w:p>
        </w:tc>
      </w:tr>
      <w:tr w:rsidR="00F17916" w:rsidRPr="001455DC" w14:paraId="7F1D4545" w14:textId="0CBC2552" w:rsidTr="009D3012">
        <w:trPr>
          <w:cantSplit/>
        </w:trPr>
        <w:tc>
          <w:tcPr>
            <w:tcW w:w="1418" w:type="dxa"/>
            <w:shd w:val="clear" w:color="auto" w:fill="auto"/>
          </w:tcPr>
          <w:p w14:paraId="4AB862EA" w14:textId="77777777" w:rsidR="00F17916" w:rsidRPr="009D3012" w:rsidRDefault="00F17916" w:rsidP="00F17916">
            <w:pPr>
              <w:pStyle w:val="Tablebody"/>
              <w:rPr>
                <w:rStyle w:val="CCMCvariableitalic"/>
              </w:rPr>
            </w:pPr>
            <w:r w:rsidRPr="001455DC">
              <w:rPr>
                <w:rStyle w:val="CCMCvariableitalic"/>
              </w:rPr>
              <w:t>F</w:t>
            </w:r>
            <w:r w:rsidRPr="001455DC">
              <w:rPr>
                <w:rStyle w:val="CCMCvariablesubscript"/>
              </w:rPr>
              <w:t>VEd</w:t>
            </w:r>
          </w:p>
        </w:tc>
        <w:tc>
          <w:tcPr>
            <w:tcW w:w="6548" w:type="dxa"/>
            <w:shd w:val="clear" w:color="auto" w:fill="auto"/>
          </w:tcPr>
          <w:p w14:paraId="1EB77557" w14:textId="77777777" w:rsidR="00F17916" w:rsidRPr="001455DC" w:rsidRDefault="00F17916" w:rsidP="000250B6">
            <w:pPr>
              <w:pStyle w:val="Tablebody"/>
              <w:jc w:val="left"/>
              <w:rPr>
                <w:lang w:eastAsia="de-DE"/>
              </w:rPr>
            </w:pPr>
            <w:r w:rsidRPr="001455DC">
              <w:rPr>
                <w:lang w:eastAsia="de-DE"/>
              </w:rPr>
              <w:t>Total design vertical load on the bracing structure and the members braced by it</w:t>
            </w:r>
          </w:p>
        </w:tc>
        <w:tc>
          <w:tcPr>
            <w:tcW w:w="1984" w:type="dxa"/>
          </w:tcPr>
          <w:p w14:paraId="28F073A9" w14:textId="4B6F9191" w:rsidR="00F17916" w:rsidRPr="001455DC" w:rsidRDefault="00F17916" w:rsidP="009D3012">
            <w:pPr>
              <w:pStyle w:val="Tablebody"/>
              <w:jc w:val="left"/>
              <w:rPr>
                <w:lang w:eastAsia="de-DE"/>
              </w:rPr>
            </w:pPr>
            <w:r w:rsidRPr="009D3012">
              <w:rPr>
                <w:lang w:eastAsia="de-DE"/>
              </w:rPr>
              <w:t>7.8.1(3)</w:t>
            </w:r>
          </w:p>
        </w:tc>
      </w:tr>
      <w:tr w:rsidR="00F17916" w:rsidRPr="001455DC" w14:paraId="0E32AD38" w14:textId="2B91EF11" w:rsidTr="009D3012">
        <w:trPr>
          <w:cantSplit/>
        </w:trPr>
        <w:tc>
          <w:tcPr>
            <w:tcW w:w="1418" w:type="dxa"/>
            <w:shd w:val="clear" w:color="auto" w:fill="auto"/>
          </w:tcPr>
          <w:p w14:paraId="20F770E3" w14:textId="77777777" w:rsidR="00F17916" w:rsidRPr="009D3012" w:rsidRDefault="00F17916" w:rsidP="00F17916">
            <w:pPr>
              <w:pStyle w:val="Tablebody"/>
              <w:rPr>
                <w:rStyle w:val="CCMCvariableitalic"/>
              </w:rPr>
            </w:pPr>
            <w:r w:rsidRPr="001455DC">
              <w:rPr>
                <w:rStyle w:val="CCMCvariableitalic"/>
              </w:rPr>
              <w:t>F</w:t>
            </w:r>
            <w:r w:rsidRPr="001455DC">
              <w:rPr>
                <w:rStyle w:val="CCMCvariablesubscript"/>
              </w:rPr>
              <w:t>Rd</w:t>
            </w:r>
          </w:p>
        </w:tc>
        <w:tc>
          <w:tcPr>
            <w:tcW w:w="6548" w:type="dxa"/>
            <w:shd w:val="clear" w:color="auto" w:fill="auto"/>
          </w:tcPr>
          <w:p w14:paraId="4FB28204" w14:textId="77777777" w:rsidR="00F17916" w:rsidRPr="001455DC" w:rsidRDefault="00F17916" w:rsidP="000250B6">
            <w:pPr>
              <w:pStyle w:val="Tablebody"/>
              <w:jc w:val="left"/>
              <w:rPr>
                <w:lang w:eastAsia="de-DE"/>
              </w:rPr>
            </w:pPr>
            <w:r w:rsidRPr="001455DC">
              <w:rPr>
                <w:lang w:eastAsia="de-DE"/>
              </w:rPr>
              <w:t>Design value of the resistance of a tie or of a tension chord</w:t>
            </w:r>
          </w:p>
        </w:tc>
        <w:tc>
          <w:tcPr>
            <w:tcW w:w="1984" w:type="dxa"/>
          </w:tcPr>
          <w:p w14:paraId="188D1C65" w14:textId="12304E08" w:rsidR="00F17916" w:rsidRPr="001455DC" w:rsidRDefault="00F17916" w:rsidP="009D3012">
            <w:pPr>
              <w:pStyle w:val="Tablebody"/>
              <w:jc w:val="left"/>
              <w:rPr>
                <w:lang w:eastAsia="de-DE"/>
              </w:rPr>
            </w:pPr>
            <w:r w:rsidRPr="009D3012">
              <w:rPr>
                <w:lang w:eastAsia="de-DE"/>
              </w:rPr>
              <w:t>8.5.3(1)</w:t>
            </w:r>
          </w:p>
        </w:tc>
      </w:tr>
      <w:tr w:rsidR="00F17916" w:rsidRPr="001455DC" w14:paraId="0A11E5DE" w14:textId="78871186" w:rsidTr="009D3012">
        <w:trPr>
          <w:cantSplit/>
        </w:trPr>
        <w:tc>
          <w:tcPr>
            <w:tcW w:w="1418" w:type="dxa"/>
            <w:shd w:val="clear" w:color="auto" w:fill="auto"/>
          </w:tcPr>
          <w:p w14:paraId="492C080C" w14:textId="77777777" w:rsidR="00F17916" w:rsidRPr="009D3012" w:rsidRDefault="00F17916" w:rsidP="00F17916">
            <w:pPr>
              <w:pStyle w:val="Tablebody"/>
              <w:rPr>
                <w:rStyle w:val="CCMCvariableitalic"/>
              </w:rPr>
            </w:pPr>
            <w:r w:rsidRPr="001455DC">
              <w:rPr>
                <w:rStyle w:val="CCMCvariableitalic"/>
              </w:rPr>
              <w:t>G</w:t>
            </w:r>
            <w:r w:rsidRPr="001455DC">
              <w:rPr>
                <w:rStyle w:val="CCMCvariablesubscript"/>
              </w:rPr>
              <w:t>cd</w:t>
            </w:r>
          </w:p>
        </w:tc>
        <w:tc>
          <w:tcPr>
            <w:tcW w:w="6548" w:type="dxa"/>
            <w:shd w:val="clear" w:color="auto" w:fill="auto"/>
          </w:tcPr>
          <w:p w14:paraId="393D91DF" w14:textId="77777777" w:rsidR="00F17916" w:rsidRPr="009D3012" w:rsidRDefault="00F17916" w:rsidP="000250B6">
            <w:pPr>
              <w:pStyle w:val="Tablebody"/>
              <w:jc w:val="left"/>
              <w:rPr>
                <w:lang w:eastAsia="de-DE"/>
              </w:rPr>
            </w:pPr>
            <w:r w:rsidRPr="001455DC">
              <w:t>Design value of the elastic shear modulus</w:t>
            </w:r>
          </w:p>
        </w:tc>
        <w:tc>
          <w:tcPr>
            <w:tcW w:w="1984" w:type="dxa"/>
          </w:tcPr>
          <w:p w14:paraId="70B842C7" w14:textId="622E4107" w:rsidR="00F17916" w:rsidRPr="001455DC" w:rsidRDefault="00F17916" w:rsidP="009D3012">
            <w:pPr>
              <w:pStyle w:val="Tablebody"/>
              <w:jc w:val="left"/>
            </w:pPr>
            <w:r w:rsidRPr="009D3012">
              <w:rPr>
                <w:lang w:eastAsia="de-DE"/>
              </w:rPr>
              <w:t>O.3(1)</w:t>
            </w:r>
          </w:p>
        </w:tc>
      </w:tr>
      <w:tr w:rsidR="00F17916" w:rsidRPr="001455DC" w14:paraId="0C75247E" w14:textId="67E6CB4B" w:rsidTr="009D3012">
        <w:trPr>
          <w:cantSplit/>
        </w:trPr>
        <w:tc>
          <w:tcPr>
            <w:tcW w:w="1418" w:type="dxa"/>
            <w:shd w:val="clear" w:color="auto" w:fill="auto"/>
          </w:tcPr>
          <w:p w14:paraId="6BAC1E8F" w14:textId="77777777" w:rsidR="00F17916" w:rsidRPr="009D3012" w:rsidRDefault="00F17916" w:rsidP="00F17916">
            <w:pPr>
              <w:pStyle w:val="Tablebody"/>
              <w:rPr>
                <w:rStyle w:val="CCMCvariableitalic"/>
              </w:rPr>
            </w:pPr>
            <w:r w:rsidRPr="001455DC">
              <w:rPr>
                <w:rStyle w:val="CCMCvariableitalic"/>
              </w:rPr>
              <w:t>H</w:t>
            </w:r>
            <w:r w:rsidRPr="001455DC">
              <w:rPr>
                <w:rStyle w:val="CCMCvariablesubscript"/>
              </w:rPr>
              <w:t>i</w:t>
            </w:r>
          </w:p>
        </w:tc>
        <w:tc>
          <w:tcPr>
            <w:tcW w:w="6548" w:type="dxa"/>
            <w:shd w:val="clear" w:color="auto" w:fill="auto"/>
          </w:tcPr>
          <w:p w14:paraId="451D3488" w14:textId="77777777" w:rsidR="00F17916" w:rsidRPr="001455DC" w:rsidRDefault="00F17916" w:rsidP="000250B6">
            <w:pPr>
              <w:pStyle w:val="Tablebody"/>
              <w:jc w:val="left"/>
              <w:rPr>
                <w:lang w:eastAsia="de-DE"/>
              </w:rPr>
            </w:pPr>
            <w:r w:rsidRPr="001455DC">
              <w:rPr>
                <w:lang w:eastAsia="de-DE"/>
              </w:rPr>
              <w:t>Transverse force representing a geometrical imperfection</w:t>
            </w:r>
          </w:p>
        </w:tc>
        <w:tc>
          <w:tcPr>
            <w:tcW w:w="1984" w:type="dxa"/>
          </w:tcPr>
          <w:p w14:paraId="1C11F7F5" w14:textId="23818542" w:rsidR="00F17916" w:rsidRPr="001455DC" w:rsidRDefault="00F17916" w:rsidP="009D3012">
            <w:pPr>
              <w:pStyle w:val="Tablebody"/>
              <w:jc w:val="left"/>
              <w:rPr>
                <w:lang w:eastAsia="de-DE"/>
              </w:rPr>
            </w:pPr>
            <w:r w:rsidRPr="009D3012">
              <w:rPr>
                <w:lang w:eastAsia="de-DE"/>
              </w:rPr>
              <w:t>7.2.2(5), 7.2.2(6)</w:t>
            </w:r>
          </w:p>
        </w:tc>
      </w:tr>
      <w:tr w:rsidR="00F17916" w:rsidRPr="001455DC" w14:paraId="30AAFE07" w14:textId="78622135" w:rsidTr="009D3012">
        <w:trPr>
          <w:cantSplit/>
        </w:trPr>
        <w:tc>
          <w:tcPr>
            <w:tcW w:w="1418" w:type="dxa"/>
            <w:shd w:val="clear" w:color="auto" w:fill="auto"/>
          </w:tcPr>
          <w:p w14:paraId="0505BC82" w14:textId="77777777" w:rsidR="00F17916" w:rsidRPr="009D3012" w:rsidRDefault="00F17916" w:rsidP="00F17916">
            <w:pPr>
              <w:pStyle w:val="Tablebody"/>
              <w:rPr>
                <w:rStyle w:val="CCMCvariableitalic"/>
              </w:rPr>
            </w:pPr>
            <w:r w:rsidRPr="001455DC">
              <w:rPr>
                <w:rStyle w:val="CCMCvariableitalic"/>
              </w:rPr>
              <w:t>H</w:t>
            </w:r>
          </w:p>
        </w:tc>
        <w:tc>
          <w:tcPr>
            <w:tcW w:w="6548" w:type="dxa"/>
            <w:shd w:val="clear" w:color="auto" w:fill="auto"/>
          </w:tcPr>
          <w:p w14:paraId="481D8CAF" w14:textId="77777777" w:rsidR="00F17916" w:rsidRPr="001455DC" w:rsidRDefault="00F17916" w:rsidP="000250B6">
            <w:pPr>
              <w:pStyle w:val="Tablebody"/>
              <w:jc w:val="left"/>
              <w:rPr>
                <w:lang w:eastAsia="de-DE"/>
              </w:rPr>
            </w:pPr>
            <w:r w:rsidRPr="001455DC">
              <w:rPr>
                <w:lang w:eastAsia="de-DE"/>
              </w:rPr>
              <w:t>Distance between the points of application of two aligned forces</w:t>
            </w:r>
          </w:p>
        </w:tc>
        <w:tc>
          <w:tcPr>
            <w:tcW w:w="1984" w:type="dxa"/>
          </w:tcPr>
          <w:p w14:paraId="67A0D8BA" w14:textId="3AE1F50A" w:rsidR="00F17916" w:rsidRPr="001455DC" w:rsidRDefault="00F17916" w:rsidP="009D3012">
            <w:pPr>
              <w:pStyle w:val="Tablebody"/>
              <w:jc w:val="left"/>
              <w:rPr>
                <w:lang w:eastAsia="de-DE"/>
              </w:rPr>
            </w:pPr>
            <w:r w:rsidRPr="009D3012">
              <w:rPr>
                <w:lang w:eastAsia="de-DE"/>
              </w:rPr>
              <w:t>8.5.5(2)</w:t>
            </w:r>
          </w:p>
        </w:tc>
      </w:tr>
      <w:tr w:rsidR="00F17916" w:rsidRPr="001455DC" w14:paraId="240DD036" w14:textId="20A735C2" w:rsidTr="009D3012">
        <w:trPr>
          <w:cantSplit/>
        </w:trPr>
        <w:tc>
          <w:tcPr>
            <w:tcW w:w="1418" w:type="dxa"/>
            <w:shd w:val="clear" w:color="auto" w:fill="auto"/>
          </w:tcPr>
          <w:p w14:paraId="2AE00DF6" w14:textId="77777777" w:rsidR="00F17916" w:rsidRPr="009D3012" w:rsidRDefault="00F17916" w:rsidP="00F17916">
            <w:pPr>
              <w:pStyle w:val="Tablebody"/>
              <w:rPr>
                <w:rStyle w:val="CCMCvariableitalic"/>
              </w:rPr>
            </w:pPr>
            <w:r w:rsidRPr="001455DC">
              <w:rPr>
                <w:rStyle w:val="CCMCvariableitalic"/>
              </w:rPr>
              <w:t>Ι</w:t>
            </w:r>
          </w:p>
        </w:tc>
        <w:tc>
          <w:tcPr>
            <w:tcW w:w="6548" w:type="dxa"/>
            <w:shd w:val="clear" w:color="auto" w:fill="auto"/>
          </w:tcPr>
          <w:p w14:paraId="708471C7" w14:textId="77777777" w:rsidR="00F17916" w:rsidRPr="001455DC" w:rsidRDefault="00F17916" w:rsidP="000250B6">
            <w:pPr>
              <w:pStyle w:val="Tablebody"/>
              <w:jc w:val="left"/>
              <w:rPr>
                <w:lang w:eastAsia="de-DE"/>
              </w:rPr>
            </w:pPr>
            <w:r w:rsidRPr="001455DC">
              <w:rPr>
                <w:lang w:eastAsia="de-DE"/>
              </w:rPr>
              <w:t>Second moment of area of concrete section</w:t>
            </w:r>
          </w:p>
        </w:tc>
        <w:tc>
          <w:tcPr>
            <w:tcW w:w="1984" w:type="dxa"/>
          </w:tcPr>
          <w:p w14:paraId="49C61351" w14:textId="09826617" w:rsidR="00F17916" w:rsidRPr="001455DC" w:rsidRDefault="00F17916" w:rsidP="009D3012">
            <w:pPr>
              <w:pStyle w:val="Tablebody"/>
              <w:jc w:val="left"/>
              <w:rPr>
                <w:lang w:eastAsia="de-DE"/>
              </w:rPr>
            </w:pPr>
            <w:r w:rsidRPr="009D3012">
              <w:rPr>
                <w:lang w:eastAsia="de-DE"/>
              </w:rPr>
              <w:t>13.5.5(2)</w:t>
            </w:r>
          </w:p>
        </w:tc>
      </w:tr>
      <w:tr w:rsidR="00F17916" w:rsidRPr="001455DC" w14:paraId="5831519B" w14:textId="4EDFDAF9" w:rsidTr="009D3012">
        <w:trPr>
          <w:cantSplit/>
        </w:trPr>
        <w:tc>
          <w:tcPr>
            <w:tcW w:w="1418" w:type="dxa"/>
            <w:shd w:val="clear" w:color="auto" w:fill="auto"/>
          </w:tcPr>
          <w:p w14:paraId="40F97744" w14:textId="77777777" w:rsidR="00F17916" w:rsidRPr="009D3012" w:rsidRDefault="00F17916" w:rsidP="00F17916">
            <w:pPr>
              <w:pStyle w:val="Tablebody"/>
              <w:rPr>
                <w:rStyle w:val="CCMCvariableitalic"/>
              </w:rPr>
            </w:pPr>
            <w:r w:rsidRPr="001455DC">
              <w:rPr>
                <w:rStyle w:val="CCMCvariableitalic"/>
              </w:rPr>
              <w:t>I</w:t>
            </w:r>
            <w:r w:rsidRPr="001455DC">
              <w:rPr>
                <w:rStyle w:val="CCMCvariablesubscript"/>
              </w:rPr>
              <w:t>g</w:t>
            </w:r>
          </w:p>
        </w:tc>
        <w:tc>
          <w:tcPr>
            <w:tcW w:w="6548" w:type="dxa"/>
            <w:shd w:val="clear" w:color="auto" w:fill="auto"/>
          </w:tcPr>
          <w:p w14:paraId="3D6148C4" w14:textId="77777777" w:rsidR="00F17916" w:rsidRPr="001455DC" w:rsidRDefault="00F17916" w:rsidP="000250B6">
            <w:pPr>
              <w:pStyle w:val="Tablebody"/>
              <w:jc w:val="left"/>
              <w:rPr>
                <w:lang w:eastAsia="de-DE"/>
              </w:rPr>
            </w:pPr>
            <w:r w:rsidRPr="001455DC">
              <w:rPr>
                <w:lang w:eastAsia="de-DE"/>
              </w:rPr>
              <w:t>Second moment of area of the gross concrete cross section</w:t>
            </w:r>
          </w:p>
        </w:tc>
        <w:tc>
          <w:tcPr>
            <w:tcW w:w="1984" w:type="dxa"/>
          </w:tcPr>
          <w:p w14:paraId="7CE06668" w14:textId="6A933195" w:rsidR="00F17916" w:rsidRPr="001455DC" w:rsidRDefault="00F17916" w:rsidP="009D3012">
            <w:pPr>
              <w:pStyle w:val="Tablebody"/>
              <w:jc w:val="left"/>
              <w:rPr>
                <w:lang w:eastAsia="de-DE"/>
              </w:rPr>
            </w:pPr>
            <w:r w:rsidRPr="009D3012">
              <w:rPr>
                <w:lang w:eastAsia="de-DE"/>
              </w:rPr>
              <w:t>9.3.3(2)</w:t>
            </w:r>
          </w:p>
        </w:tc>
      </w:tr>
      <w:tr w:rsidR="00F17916" w:rsidRPr="001455DC" w14:paraId="7B9D2F1E" w14:textId="47C5AFD2" w:rsidTr="009D3012">
        <w:trPr>
          <w:cantSplit/>
        </w:trPr>
        <w:tc>
          <w:tcPr>
            <w:tcW w:w="1418" w:type="dxa"/>
            <w:shd w:val="clear" w:color="auto" w:fill="auto"/>
          </w:tcPr>
          <w:p w14:paraId="77148F4E" w14:textId="77777777" w:rsidR="00F17916" w:rsidRPr="009D3012" w:rsidRDefault="00F17916" w:rsidP="00F17916">
            <w:pPr>
              <w:pStyle w:val="Tablebody"/>
              <w:rPr>
                <w:rStyle w:val="CCMCvariableitalic"/>
              </w:rPr>
            </w:pPr>
            <w:r w:rsidRPr="001455DC">
              <w:rPr>
                <w:rStyle w:val="CCMCvariableitalic"/>
              </w:rPr>
              <w:t>J</w:t>
            </w:r>
            <w:r w:rsidRPr="001455DC">
              <w:t>(</w:t>
            </w:r>
            <w:r w:rsidRPr="001455DC">
              <w:rPr>
                <w:rStyle w:val="CCMCvariableitalic"/>
              </w:rPr>
              <w:t>t</w:t>
            </w:r>
            <w:r w:rsidRPr="001455DC">
              <w:t>,</w:t>
            </w:r>
            <w:r w:rsidRPr="001455DC">
              <w:rPr>
                <w:rStyle w:val="CCMCvariableitalic"/>
              </w:rPr>
              <w:t>t</w:t>
            </w:r>
            <w:r w:rsidRPr="001455DC">
              <w:rPr>
                <w:rStyle w:val="CCMCvariablesubscript"/>
              </w:rPr>
              <w:t>0</w:t>
            </w:r>
            <w:r w:rsidRPr="001455DC">
              <w:t>)</w:t>
            </w:r>
          </w:p>
        </w:tc>
        <w:tc>
          <w:tcPr>
            <w:tcW w:w="6548" w:type="dxa"/>
            <w:shd w:val="clear" w:color="auto" w:fill="auto"/>
          </w:tcPr>
          <w:p w14:paraId="6ACAA808" w14:textId="77777777" w:rsidR="00F17916" w:rsidRPr="001455DC" w:rsidRDefault="00F17916" w:rsidP="000250B6">
            <w:pPr>
              <w:pStyle w:val="Tablebody"/>
              <w:jc w:val="left"/>
              <w:rPr>
                <w:lang w:eastAsia="de-DE"/>
              </w:rPr>
            </w:pPr>
            <w:r w:rsidRPr="001455DC">
              <w:t>Creep function or creep compliance, representing the total stress-dependent strain per unit stress</w:t>
            </w:r>
          </w:p>
        </w:tc>
        <w:tc>
          <w:tcPr>
            <w:tcW w:w="1984" w:type="dxa"/>
          </w:tcPr>
          <w:p w14:paraId="05F6F7DD" w14:textId="48CAF016" w:rsidR="00F17916" w:rsidRPr="001455DC" w:rsidRDefault="00F17916" w:rsidP="009D3012">
            <w:pPr>
              <w:pStyle w:val="Tablebody"/>
              <w:jc w:val="left"/>
            </w:pPr>
            <w:r w:rsidRPr="009D3012">
              <w:rPr>
                <w:lang w:eastAsia="de-DE"/>
              </w:rPr>
              <w:t>B.</w:t>
            </w:r>
            <w:r w:rsidR="00F35F4C" w:rsidRPr="009D3012">
              <w:rPr>
                <w:lang w:eastAsia="de-DE"/>
              </w:rPr>
              <w:t>7</w:t>
            </w:r>
            <w:r w:rsidRPr="009D3012">
              <w:rPr>
                <w:lang w:eastAsia="de-DE"/>
              </w:rPr>
              <w:t>(1)</w:t>
            </w:r>
          </w:p>
        </w:tc>
      </w:tr>
      <w:tr w:rsidR="00F17916" w:rsidRPr="001455DC" w14:paraId="7D186C76" w14:textId="6E8F9453" w:rsidTr="009D3012">
        <w:trPr>
          <w:cantSplit/>
        </w:trPr>
        <w:tc>
          <w:tcPr>
            <w:tcW w:w="1418" w:type="dxa"/>
            <w:shd w:val="clear" w:color="auto" w:fill="auto"/>
          </w:tcPr>
          <w:p w14:paraId="5825879C" w14:textId="77777777" w:rsidR="00F17916" w:rsidRPr="009D3012" w:rsidRDefault="00F17916" w:rsidP="00F17916">
            <w:pPr>
              <w:pStyle w:val="Tablebody"/>
              <w:rPr>
                <w:rStyle w:val="CCMCvariableitalic"/>
              </w:rPr>
            </w:pPr>
            <w:r w:rsidRPr="001455DC">
              <w:rPr>
                <w:rStyle w:val="CCMCvariableitalic"/>
              </w:rPr>
              <w:t>L</w:t>
            </w:r>
          </w:p>
        </w:tc>
        <w:tc>
          <w:tcPr>
            <w:tcW w:w="6548" w:type="dxa"/>
            <w:shd w:val="clear" w:color="auto" w:fill="auto"/>
          </w:tcPr>
          <w:p w14:paraId="32D0534D" w14:textId="77777777" w:rsidR="00F17916" w:rsidRPr="001455DC" w:rsidRDefault="00F17916" w:rsidP="000250B6">
            <w:pPr>
              <w:pStyle w:val="Tablebody"/>
              <w:jc w:val="left"/>
              <w:rPr>
                <w:lang w:eastAsia="de-DE"/>
              </w:rPr>
            </w:pPr>
            <w:r w:rsidRPr="001455DC">
              <w:t>Total height of the building above the base</w:t>
            </w:r>
          </w:p>
        </w:tc>
        <w:tc>
          <w:tcPr>
            <w:tcW w:w="1984" w:type="dxa"/>
          </w:tcPr>
          <w:p w14:paraId="153A3974" w14:textId="19571765" w:rsidR="00F17916" w:rsidRPr="001455DC" w:rsidRDefault="00F17916" w:rsidP="009D3012">
            <w:pPr>
              <w:pStyle w:val="Tablebody"/>
              <w:jc w:val="left"/>
            </w:pPr>
            <w:r w:rsidRPr="009D3012">
              <w:rPr>
                <w:lang w:eastAsia="de-DE"/>
              </w:rPr>
              <w:t>O.3(1)</w:t>
            </w:r>
          </w:p>
        </w:tc>
      </w:tr>
      <w:tr w:rsidR="00F17916" w:rsidRPr="001455DC" w14:paraId="65D26F69" w14:textId="75BAD002" w:rsidTr="009D3012">
        <w:trPr>
          <w:cantSplit/>
        </w:trPr>
        <w:tc>
          <w:tcPr>
            <w:tcW w:w="1418" w:type="dxa"/>
            <w:shd w:val="clear" w:color="auto" w:fill="auto"/>
          </w:tcPr>
          <w:p w14:paraId="2D05F39D" w14:textId="77777777" w:rsidR="00F17916" w:rsidRPr="009D3012" w:rsidRDefault="00F17916" w:rsidP="00F17916">
            <w:pPr>
              <w:pStyle w:val="Tablebody"/>
              <w:rPr>
                <w:rStyle w:val="CCMCvariableitalic"/>
              </w:rPr>
            </w:pPr>
            <w:r w:rsidRPr="001455DC">
              <w:rPr>
                <w:rStyle w:val="CCMCvariableitalic"/>
              </w:rPr>
              <w:t>M</w:t>
            </w:r>
          </w:p>
        </w:tc>
        <w:tc>
          <w:tcPr>
            <w:tcW w:w="6548" w:type="dxa"/>
            <w:shd w:val="clear" w:color="auto" w:fill="auto"/>
          </w:tcPr>
          <w:p w14:paraId="585F948B" w14:textId="77777777" w:rsidR="00F17916" w:rsidRPr="001455DC" w:rsidRDefault="00F17916" w:rsidP="000250B6">
            <w:pPr>
              <w:pStyle w:val="Tablebody"/>
              <w:jc w:val="left"/>
              <w:rPr>
                <w:lang w:eastAsia="de-DE"/>
              </w:rPr>
            </w:pPr>
            <w:r w:rsidRPr="001455DC">
              <w:rPr>
                <w:lang w:eastAsia="de-DE"/>
              </w:rPr>
              <w:t>Bending moment in linear members</w:t>
            </w:r>
          </w:p>
        </w:tc>
        <w:tc>
          <w:tcPr>
            <w:tcW w:w="1984" w:type="dxa"/>
          </w:tcPr>
          <w:p w14:paraId="1ACAD7C3" w14:textId="0C0150BC" w:rsidR="00F17916" w:rsidRPr="001455DC" w:rsidRDefault="00F17916" w:rsidP="009D3012">
            <w:pPr>
              <w:pStyle w:val="Tablebody"/>
              <w:jc w:val="left"/>
              <w:rPr>
                <w:lang w:eastAsia="de-DE"/>
              </w:rPr>
            </w:pPr>
          </w:p>
        </w:tc>
      </w:tr>
      <w:tr w:rsidR="00F17916" w:rsidRPr="001455DC" w14:paraId="00DE6F60" w14:textId="72C41134" w:rsidTr="009D3012">
        <w:trPr>
          <w:cantSplit/>
        </w:trPr>
        <w:tc>
          <w:tcPr>
            <w:tcW w:w="1418" w:type="dxa"/>
            <w:shd w:val="clear" w:color="auto" w:fill="auto"/>
          </w:tcPr>
          <w:p w14:paraId="550903F5" w14:textId="77777777" w:rsidR="00F17916" w:rsidRPr="009D3012" w:rsidRDefault="00F17916" w:rsidP="00F17916">
            <w:pPr>
              <w:pStyle w:val="Tablebody"/>
              <w:rPr>
                <w:rStyle w:val="CCMCvariableitalic"/>
              </w:rPr>
            </w:pPr>
            <w:r w:rsidRPr="001455DC">
              <w:rPr>
                <w:rStyle w:val="CCMCvariableitalic"/>
              </w:rPr>
              <w:t>M</w:t>
            </w:r>
            <w:r w:rsidRPr="001455DC">
              <w:rPr>
                <w:rStyle w:val="CCMCvariablesubscript"/>
              </w:rPr>
              <w:t>01,</w:t>
            </w:r>
            <w:r w:rsidRPr="001455DC">
              <w:rPr>
                <w:lang w:eastAsia="de-DE"/>
              </w:rPr>
              <w:t xml:space="preserve"> </w:t>
            </w:r>
            <w:r w:rsidRPr="001455DC">
              <w:rPr>
                <w:rStyle w:val="CCMCvariableitalic"/>
              </w:rPr>
              <w:t>M</w:t>
            </w:r>
            <w:r w:rsidRPr="001455DC">
              <w:rPr>
                <w:rStyle w:val="CCMCvariablesubscript"/>
              </w:rPr>
              <w:t>02</w:t>
            </w:r>
          </w:p>
        </w:tc>
        <w:tc>
          <w:tcPr>
            <w:tcW w:w="6548" w:type="dxa"/>
            <w:shd w:val="clear" w:color="auto" w:fill="auto"/>
          </w:tcPr>
          <w:p w14:paraId="55E9AEA9" w14:textId="6FF59720" w:rsidR="00F17916" w:rsidRPr="001455DC" w:rsidRDefault="00F17916" w:rsidP="000250B6">
            <w:pPr>
              <w:pStyle w:val="Tablebody"/>
              <w:jc w:val="left"/>
              <w:rPr>
                <w:lang w:eastAsia="de-DE"/>
              </w:rPr>
            </w:pPr>
            <w:r w:rsidRPr="001455DC">
              <w:t>first order end moments, including effect of imperfections such that |</w:t>
            </w:r>
            <w:r w:rsidRPr="001455DC">
              <w:rPr>
                <w:rStyle w:val="CCMCvariableitalic"/>
              </w:rPr>
              <w:t>M</w:t>
            </w:r>
            <w:r w:rsidRPr="001455DC">
              <w:rPr>
                <w:rStyle w:val="CCMCvariablesubscript"/>
              </w:rPr>
              <w:t>02</w:t>
            </w:r>
            <w:r w:rsidRPr="001455DC">
              <w:t>| </w:t>
            </w:r>
            <w:r w:rsidRPr="001455DC">
              <w:rPr>
                <w:rFonts w:ascii="Cambria Math" w:hAnsi="Cambria Math"/>
              </w:rPr>
              <w:t>≥</w:t>
            </w:r>
            <w:r w:rsidRPr="001455DC">
              <w:t> |</w:t>
            </w:r>
            <w:r w:rsidRPr="001455DC">
              <w:rPr>
                <w:rStyle w:val="CCMCvariableitalic"/>
              </w:rPr>
              <w:t>M</w:t>
            </w:r>
            <w:r w:rsidRPr="001455DC">
              <w:rPr>
                <w:rStyle w:val="CCMCvariablesubscript"/>
              </w:rPr>
              <w:t>01</w:t>
            </w:r>
            <w:r w:rsidRPr="001455DC">
              <w:t>|</w:t>
            </w:r>
          </w:p>
        </w:tc>
        <w:tc>
          <w:tcPr>
            <w:tcW w:w="1984" w:type="dxa"/>
          </w:tcPr>
          <w:p w14:paraId="66D4EF06" w14:textId="3D2940AE" w:rsidR="00F17916" w:rsidRPr="001455DC" w:rsidRDefault="00F17916" w:rsidP="009D3012">
            <w:pPr>
              <w:pStyle w:val="Tablebody"/>
              <w:jc w:val="left"/>
            </w:pPr>
            <w:r w:rsidRPr="009D3012">
              <w:rPr>
                <w:lang w:eastAsia="de-DE"/>
              </w:rPr>
              <w:t>O.6(1)</w:t>
            </w:r>
          </w:p>
        </w:tc>
      </w:tr>
      <w:tr w:rsidR="00F17916" w:rsidRPr="001455DC" w14:paraId="48CAD83C" w14:textId="11E2B231" w:rsidTr="009D3012">
        <w:trPr>
          <w:cantSplit/>
        </w:trPr>
        <w:tc>
          <w:tcPr>
            <w:tcW w:w="1418" w:type="dxa"/>
            <w:shd w:val="clear" w:color="auto" w:fill="auto"/>
          </w:tcPr>
          <w:p w14:paraId="70637184" w14:textId="77777777" w:rsidR="00F17916" w:rsidRPr="009D3012" w:rsidRDefault="00F17916" w:rsidP="00F17916">
            <w:pPr>
              <w:pStyle w:val="Tablebody"/>
              <w:rPr>
                <w:rStyle w:val="CCMCvariableitalic"/>
              </w:rPr>
            </w:pPr>
            <w:r w:rsidRPr="001455DC">
              <w:rPr>
                <w:rStyle w:val="CCMCvariableitalic"/>
              </w:rPr>
              <w:t>M</w:t>
            </w:r>
            <w:r w:rsidRPr="001455DC">
              <w:rPr>
                <w:rStyle w:val="CCMCvariablesubscript"/>
              </w:rPr>
              <w:t>0Ed</w:t>
            </w:r>
          </w:p>
        </w:tc>
        <w:tc>
          <w:tcPr>
            <w:tcW w:w="6548" w:type="dxa"/>
            <w:shd w:val="clear" w:color="auto" w:fill="auto"/>
          </w:tcPr>
          <w:p w14:paraId="3206C546" w14:textId="77777777" w:rsidR="00F17916" w:rsidRPr="001455DC" w:rsidRDefault="00F17916" w:rsidP="000250B6">
            <w:pPr>
              <w:pStyle w:val="Tablebody"/>
              <w:jc w:val="left"/>
              <w:rPr>
                <w:lang w:eastAsia="de-DE"/>
              </w:rPr>
            </w:pPr>
            <w:r w:rsidRPr="001455DC">
              <w:rPr>
                <w:lang w:eastAsia="de-DE"/>
              </w:rPr>
              <w:t>Maximum first order moment due to the fundamental load combination, including the effect of imperfections</w:t>
            </w:r>
          </w:p>
        </w:tc>
        <w:tc>
          <w:tcPr>
            <w:tcW w:w="1984" w:type="dxa"/>
          </w:tcPr>
          <w:p w14:paraId="40DAC2B0" w14:textId="72A31585" w:rsidR="00F17916" w:rsidRPr="001455DC" w:rsidRDefault="00F17916" w:rsidP="009D3012">
            <w:pPr>
              <w:pStyle w:val="Tablebody"/>
              <w:jc w:val="left"/>
              <w:rPr>
                <w:lang w:eastAsia="de-DE"/>
              </w:rPr>
            </w:pPr>
            <w:r w:rsidRPr="009D3012">
              <w:rPr>
                <w:lang w:eastAsia="de-DE"/>
              </w:rPr>
              <w:t>7.8.2(2)</w:t>
            </w:r>
          </w:p>
        </w:tc>
      </w:tr>
      <w:tr w:rsidR="00F17916" w:rsidRPr="001455DC" w14:paraId="32ADA18F" w14:textId="236BBF51" w:rsidTr="009D3012">
        <w:trPr>
          <w:cantSplit/>
        </w:trPr>
        <w:tc>
          <w:tcPr>
            <w:tcW w:w="1418" w:type="dxa"/>
            <w:shd w:val="clear" w:color="auto" w:fill="auto"/>
          </w:tcPr>
          <w:p w14:paraId="28D64C6A" w14:textId="77777777" w:rsidR="00F17916" w:rsidRPr="009D3012" w:rsidRDefault="00F17916" w:rsidP="00F17916">
            <w:pPr>
              <w:pStyle w:val="Tablebody"/>
              <w:rPr>
                <w:rStyle w:val="CCMCvariableitalic"/>
              </w:rPr>
            </w:pPr>
            <w:r w:rsidRPr="001455DC">
              <w:rPr>
                <w:rStyle w:val="CCMCvariableitalic"/>
              </w:rPr>
              <w:t>M</w:t>
            </w:r>
            <w:r w:rsidRPr="001455DC">
              <w:rPr>
                <w:rStyle w:val="CCMCvariablesubscript"/>
              </w:rPr>
              <w:t>0Eqp</w:t>
            </w:r>
          </w:p>
        </w:tc>
        <w:tc>
          <w:tcPr>
            <w:tcW w:w="6548" w:type="dxa"/>
            <w:shd w:val="clear" w:color="auto" w:fill="auto"/>
          </w:tcPr>
          <w:p w14:paraId="403E5773" w14:textId="77777777" w:rsidR="00F17916" w:rsidRPr="001455DC" w:rsidRDefault="00F17916" w:rsidP="000250B6">
            <w:pPr>
              <w:pStyle w:val="Tablebody"/>
              <w:jc w:val="left"/>
              <w:rPr>
                <w:lang w:eastAsia="de-DE"/>
              </w:rPr>
            </w:pPr>
            <w:r w:rsidRPr="001455DC">
              <w:rPr>
                <w:lang w:eastAsia="de-DE"/>
              </w:rPr>
              <w:t>Maximum first order moment due to the quasi-permanent load combination</w:t>
            </w:r>
          </w:p>
        </w:tc>
        <w:tc>
          <w:tcPr>
            <w:tcW w:w="1984" w:type="dxa"/>
          </w:tcPr>
          <w:p w14:paraId="7797570C" w14:textId="757D8600" w:rsidR="00F17916" w:rsidRPr="001455DC" w:rsidRDefault="00F17916" w:rsidP="009D3012">
            <w:pPr>
              <w:pStyle w:val="Tablebody"/>
              <w:jc w:val="left"/>
              <w:rPr>
                <w:lang w:eastAsia="de-DE"/>
              </w:rPr>
            </w:pPr>
            <w:r w:rsidRPr="009D3012">
              <w:rPr>
                <w:lang w:eastAsia="de-DE"/>
              </w:rPr>
              <w:t>7.8.2(2)</w:t>
            </w:r>
          </w:p>
        </w:tc>
      </w:tr>
      <w:tr w:rsidR="00F17916" w:rsidRPr="001455DC" w14:paraId="68DC25EE" w14:textId="03F35249" w:rsidTr="009D3012">
        <w:trPr>
          <w:cantSplit/>
        </w:trPr>
        <w:tc>
          <w:tcPr>
            <w:tcW w:w="1418" w:type="dxa"/>
            <w:shd w:val="clear" w:color="auto" w:fill="auto"/>
          </w:tcPr>
          <w:p w14:paraId="4A1BA911" w14:textId="77777777" w:rsidR="00F17916" w:rsidRPr="009D3012" w:rsidRDefault="00F17916" w:rsidP="00F17916">
            <w:pPr>
              <w:pStyle w:val="Tablebody"/>
              <w:rPr>
                <w:rStyle w:val="CCMCvariableitalic"/>
              </w:rPr>
            </w:pPr>
            <w:r w:rsidRPr="001455DC">
              <w:rPr>
                <w:rStyle w:val="CCMCvariableitalic"/>
              </w:rPr>
              <w:t>M</w:t>
            </w:r>
            <w:r w:rsidRPr="001455DC">
              <w:rPr>
                <w:rStyle w:val="CCMCvariablesubscript"/>
              </w:rPr>
              <w:t>2</w:t>
            </w:r>
          </w:p>
        </w:tc>
        <w:tc>
          <w:tcPr>
            <w:tcW w:w="6548" w:type="dxa"/>
            <w:shd w:val="clear" w:color="auto" w:fill="auto"/>
          </w:tcPr>
          <w:p w14:paraId="2231BAE8" w14:textId="77777777" w:rsidR="00F17916" w:rsidRPr="001455DC" w:rsidRDefault="00F17916" w:rsidP="000250B6">
            <w:pPr>
              <w:pStyle w:val="Tablebody"/>
              <w:jc w:val="left"/>
              <w:rPr>
                <w:lang w:eastAsia="de-DE"/>
              </w:rPr>
            </w:pPr>
            <w:r w:rsidRPr="001455DC">
              <w:t>Nominal 2</w:t>
            </w:r>
            <w:r w:rsidRPr="001455DC">
              <w:rPr>
                <w:rStyle w:val="CCMCvariablesuperscript"/>
              </w:rPr>
              <w:t>nd</w:t>
            </w:r>
            <w:r w:rsidRPr="001455DC">
              <w:t xml:space="preserve"> order moment</w:t>
            </w:r>
          </w:p>
        </w:tc>
        <w:tc>
          <w:tcPr>
            <w:tcW w:w="1984" w:type="dxa"/>
          </w:tcPr>
          <w:p w14:paraId="28A875CA" w14:textId="6B8AA369" w:rsidR="00F17916" w:rsidRPr="001455DC" w:rsidRDefault="00F17916" w:rsidP="009D3012">
            <w:pPr>
              <w:pStyle w:val="Tablebody"/>
              <w:jc w:val="left"/>
            </w:pPr>
            <w:r w:rsidRPr="009D3012">
              <w:rPr>
                <w:lang w:eastAsia="de-DE"/>
              </w:rPr>
              <w:t>O.7.2(1),O.7.2(3)</w:t>
            </w:r>
          </w:p>
        </w:tc>
      </w:tr>
      <w:tr w:rsidR="00F17916" w:rsidRPr="001455DC" w14:paraId="4514C8A1" w14:textId="0AE33150" w:rsidTr="009D3012">
        <w:trPr>
          <w:cantSplit/>
        </w:trPr>
        <w:tc>
          <w:tcPr>
            <w:tcW w:w="1418" w:type="dxa"/>
            <w:shd w:val="clear" w:color="auto" w:fill="auto"/>
          </w:tcPr>
          <w:p w14:paraId="60A7F885" w14:textId="77777777" w:rsidR="00F17916" w:rsidRPr="009D3012" w:rsidRDefault="00F17916" w:rsidP="00F17916">
            <w:pPr>
              <w:pStyle w:val="Tablebody"/>
              <w:rPr>
                <w:rStyle w:val="CCMCvariableitalic"/>
              </w:rPr>
            </w:pPr>
            <w:r w:rsidRPr="001455DC">
              <w:rPr>
                <w:rStyle w:val="CCMCvariableitalic"/>
              </w:rPr>
              <w:t>M</w:t>
            </w:r>
            <w:r w:rsidRPr="001455DC">
              <w:rPr>
                <w:rStyle w:val="CCMCvariablesubscript"/>
              </w:rPr>
              <w:t>cr</w:t>
            </w:r>
          </w:p>
        </w:tc>
        <w:tc>
          <w:tcPr>
            <w:tcW w:w="6548" w:type="dxa"/>
            <w:shd w:val="clear" w:color="auto" w:fill="auto"/>
          </w:tcPr>
          <w:p w14:paraId="26F5F716" w14:textId="77777777" w:rsidR="00F17916" w:rsidRPr="001455DC" w:rsidRDefault="00F17916" w:rsidP="000250B6">
            <w:pPr>
              <w:pStyle w:val="Tablebody"/>
              <w:jc w:val="left"/>
              <w:rPr>
                <w:lang w:eastAsia="de-DE"/>
              </w:rPr>
            </w:pPr>
            <w:r w:rsidRPr="001455DC">
              <w:t xml:space="preserve">Cracking moment of the section in presence of the simultaneous axial force </w:t>
            </w:r>
            <w:r w:rsidRPr="001455DC">
              <w:rPr>
                <w:rStyle w:val="CCMCvariableitalic"/>
              </w:rPr>
              <w:t>N</w:t>
            </w:r>
            <w:r w:rsidRPr="001455DC">
              <w:rPr>
                <w:rStyle w:val="CCMCvariablesubscript"/>
              </w:rPr>
              <w:t>Ed,</w:t>
            </w:r>
            <w:r w:rsidRPr="001455DC">
              <w:t xml:space="preserve"> which may be calculated on the basis of the concrete tensile strength </w:t>
            </w:r>
            <w:r w:rsidRPr="001455DC">
              <w:rPr>
                <w:rStyle w:val="CCMCvariableitalic"/>
              </w:rPr>
              <w:t>f</w:t>
            </w:r>
            <w:r w:rsidRPr="001455DC">
              <w:rPr>
                <w:rStyle w:val="CCMCvariablesubscript"/>
              </w:rPr>
              <w:t>ctm</w:t>
            </w:r>
          </w:p>
        </w:tc>
        <w:tc>
          <w:tcPr>
            <w:tcW w:w="1984" w:type="dxa"/>
          </w:tcPr>
          <w:p w14:paraId="40ABE543" w14:textId="77777777" w:rsidR="00F17916" w:rsidRPr="009D3012" w:rsidRDefault="00F17916" w:rsidP="00F17916">
            <w:pPr>
              <w:tabs>
                <w:tab w:val="left" w:pos="-720"/>
              </w:tabs>
              <w:suppressAutoHyphens/>
              <w:spacing w:before="40" w:after="40"/>
              <w:rPr>
                <w:lang w:eastAsia="de-DE"/>
              </w:rPr>
            </w:pPr>
            <w:r w:rsidRPr="009D3012">
              <w:rPr>
                <w:rFonts w:cs="Arial"/>
              </w:rPr>
              <w:t>7.3.2,</w:t>
            </w:r>
            <w:r w:rsidRPr="009D3012">
              <w:t xml:space="preserve"> </w:t>
            </w:r>
            <w:r w:rsidRPr="009D3012">
              <w:rPr>
                <w:lang w:eastAsia="de-DE"/>
              </w:rPr>
              <w:t>12.1.1</w:t>
            </w:r>
          </w:p>
          <w:p w14:paraId="48E7766B" w14:textId="1D870765" w:rsidR="00F17916" w:rsidRPr="001455DC" w:rsidRDefault="00F17916">
            <w:pPr>
              <w:spacing w:before="0" w:after="0" w:line="240" w:lineRule="auto"/>
              <w:jc w:val="left"/>
              <w:rPr>
                <w:rFonts w:eastAsia="Times New Roman"/>
                <w:szCs w:val="20"/>
                <w:lang w:eastAsia="fr-FR"/>
              </w:rPr>
            </w:pPr>
            <w:r w:rsidRPr="009D3012">
              <w:rPr>
                <w:lang w:eastAsia="de-DE"/>
              </w:rPr>
              <w:t>Tab. 5.1</w:t>
            </w:r>
          </w:p>
        </w:tc>
      </w:tr>
      <w:tr w:rsidR="00F17916" w:rsidRPr="001455DC" w14:paraId="2181D645" w14:textId="2B942EAB" w:rsidTr="009D3012">
        <w:trPr>
          <w:cantSplit/>
        </w:trPr>
        <w:tc>
          <w:tcPr>
            <w:tcW w:w="1418" w:type="dxa"/>
            <w:shd w:val="clear" w:color="auto" w:fill="auto"/>
          </w:tcPr>
          <w:p w14:paraId="4961A6D3" w14:textId="77777777" w:rsidR="00F17916" w:rsidRPr="009D3012" w:rsidRDefault="00F17916" w:rsidP="00F17916">
            <w:pPr>
              <w:pStyle w:val="Tablebody"/>
              <w:rPr>
                <w:rStyle w:val="CCMCvariableitalic"/>
              </w:rPr>
            </w:pPr>
            <w:r w:rsidRPr="001455DC">
              <w:rPr>
                <w:rStyle w:val="CCMCvariableitalic"/>
              </w:rPr>
              <w:t>M</w:t>
            </w:r>
            <w:r w:rsidRPr="001455DC">
              <w:rPr>
                <w:rStyle w:val="CCMCvariablesubscript"/>
              </w:rPr>
              <w:t>Ed</w:t>
            </w:r>
          </w:p>
        </w:tc>
        <w:tc>
          <w:tcPr>
            <w:tcW w:w="6548" w:type="dxa"/>
            <w:shd w:val="clear" w:color="auto" w:fill="auto"/>
          </w:tcPr>
          <w:p w14:paraId="4249BA6E" w14:textId="77777777" w:rsidR="00F17916" w:rsidRPr="001455DC" w:rsidRDefault="00F17916" w:rsidP="000250B6">
            <w:pPr>
              <w:pStyle w:val="Tablebody"/>
              <w:jc w:val="left"/>
              <w:rPr>
                <w:lang w:eastAsia="de-DE"/>
              </w:rPr>
            </w:pPr>
            <w:r w:rsidRPr="001455DC">
              <w:rPr>
                <w:lang w:eastAsia="de-DE"/>
              </w:rPr>
              <w:t>Design value of the applied internal bending moment</w:t>
            </w:r>
          </w:p>
        </w:tc>
        <w:tc>
          <w:tcPr>
            <w:tcW w:w="1984" w:type="dxa"/>
          </w:tcPr>
          <w:p w14:paraId="6ECF3341" w14:textId="298C25D0" w:rsidR="00F17916" w:rsidRPr="001455DC" w:rsidRDefault="00F17916" w:rsidP="009D3012">
            <w:pPr>
              <w:pStyle w:val="Tablebody"/>
              <w:jc w:val="left"/>
              <w:rPr>
                <w:lang w:eastAsia="de-DE"/>
              </w:rPr>
            </w:pPr>
          </w:p>
        </w:tc>
      </w:tr>
      <w:tr w:rsidR="00F17916" w:rsidRPr="001455DC" w14:paraId="21049B29" w14:textId="1DEE3C5A" w:rsidTr="009D3012">
        <w:trPr>
          <w:cantSplit/>
        </w:trPr>
        <w:tc>
          <w:tcPr>
            <w:tcW w:w="1418" w:type="dxa"/>
            <w:shd w:val="clear" w:color="auto" w:fill="auto"/>
          </w:tcPr>
          <w:p w14:paraId="0D05D369" w14:textId="77777777" w:rsidR="00F17916" w:rsidRPr="009D3012" w:rsidRDefault="00F17916" w:rsidP="00F17916">
            <w:pPr>
              <w:pStyle w:val="Tablebody"/>
              <w:rPr>
                <w:rStyle w:val="CCMCvariableitalic"/>
              </w:rPr>
            </w:pPr>
            <w:r w:rsidRPr="001455DC">
              <w:rPr>
                <w:rStyle w:val="CCMCvariableitalic"/>
              </w:rPr>
              <w:t>M</w:t>
            </w:r>
            <w:r w:rsidRPr="001455DC">
              <w:rPr>
                <w:rStyle w:val="CCMCvariablesubscript"/>
              </w:rPr>
              <w:t>Edy</w:t>
            </w:r>
          </w:p>
        </w:tc>
        <w:tc>
          <w:tcPr>
            <w:tcW w:w="6548" w:type="dxa"/>
            <w:shd w:val="clear" w:color="auto" w:fill="auto"/>
          </w:tcPr>
          <w:p w14:paraId="338C1B6B" w14:textId="77777777" w:rsidR="00F17916" w:rsidRPr="001455DC" w:rsidRDefault="00F17916" w:rsidP="000250B6">
            <w:pPr>
              <w:pStyle w:val="Tablebody"/>
              <w:jc w:val="left"/>
              <w:rPr>
                <w:lang w:eastAsia="de-DE"/>
              </w:rPr>
            </w:pPr>
            <w:r w:rsidRPr="001455DC">
              <w:rPr>
                <w:lang w:eastAsia="de-DE"/>
              </w:rPr>
              <w:t xml:space="preserve">Design moment about </w:t>
            </w:r>
            <w:r w:rsidRPr="001455DC">
              <w:rPr>
                <w:rStyle w:val="CCMCvariableitalic"/>
              </w:rPr>
              <w:t>y</w:t>
            </w:r>
            <w:r w:rsidRPr="001455DC">
              <w:rPr>
                <w:lang w:eastAsia="de-DE"/>
              </w:rPr>
              <w:t>-axis, including second order moment, where relevant</w:t>
            </w:r>
          </w:p>
        </w:tc>
        <w:tc>
          <w:tcPr>
            <w:tcW w:w="1984" w:type="dxa"/>
          </w:tcPr>
          <w:p w14:paraId="578E065C" w14:textId="305AEDE6" w:rsidR="00F17916" w:rsidRPr="001455DC" w:rsidRDefault="00F17916" w:rsidP="009D3012">
            <w:pPr>
              <w:pStyle w:val="Tablebody"/>
              <w:jc w:val="left"/>
              <w:rPr>
                <w:lang w:eastAsia="de-DE"/>
              </w:rPr>
            </w:pPr>
            <w:r w:rsidRPr="009D3012">
              <w:rPr>
                <w:lang w:eastAsia="de-DE"/>
              </w:rPr>
              <w:t>7.8.4(5)</w:t>
            </w:r>
          </w:p>
        </w:tc>
      </w:tr>
      <w:tr w:rsidR="00F17916" w:rsidRPr="001455DC" w14:paraId="4662971F" w14:textId="7E96E410" w:rsidTr="009D3012">
        <w:trPr>
          <w:cantSplit/>
        </w:trPr>
        <w:tc>
          <w:tcPr>
            <w:tcW w:w="1418" w:type="dxa"/>
            <w:shd w:val="clear" w:color="auto" w:fill="auto"/>
          </w:tcPr>
          <w:p w14:paraId="48C12BB7" w14:textId="77777777" w:rsidR="00F17916" w:rsidRPr="009D3012" w:rsidRDefault="00F17916" w:rsidP="00F17916">
            <w:pPr>
              <w:pStyle w:val="Tablebody"/>
              <w:rPr>
                <w:rStyle w:val="CCMCvariableitalic"/>
              </w:rPr>
            </w:pPr>
            <w:r w:rsidRPr="001455DC">
              <w:rPr>
                <w:rStyle w:val="CCMCvariableitalic"/>
              </w:rPr>
              <w:t>M</w:t>
            </w:r>
            <w:r w:rsidRPr="001455DC">
              <w:rPr>
                <w:rStyle w:val="CCMCvariablesubscript"/>
              </w:rPr>
              <w:t>Edz</w:t>
            </w:r>
          </w:p>
        </w:tc>
        <w:tc>
          <w:tcPr>
            <w:tcW w:w="6548" w:type="dxa"/>
            <w:shd w:val="clear" w:color="auto" w:fill="auto"/>
          </w:tcPr>
          <w:p w14:paraId="35B6F1AF" w14:textId="77777777" w:rsidR="00F17916" w:rsidRPr="001455DC" w:rsidRDefault="00F17916" w:rsidP="000250B6">
            <w:pPr>
              <w:pStyle w:val="Tablebody"/>
              <w:jc w:val="left"/>
              <w:rPr>
                <w:lang w:eastAsia="de-DE"/>
              </w:rPr>
            </w:pPr>
            <w:r w:rsidRPr="001455DC">
              <w:rPr>
                <w:lang w:eastAsia="de-DE"/>
              </w:rPr>
              <w:t xml:space="preserve">Design moment about </w:t>
            </w:r>
            <w:r w:rsidRPr="001455DC">
              <w:rPr>
                <w:rStyle w:val="CCMCvariableitalic"/>
              </w:rPr>
              <w:t>z</w:t>
            </w:r>
            <w:r w:rsidRPr="001455DC">
              <w:rPr>
                <w:lang w:eastAsia="de-DE"/>
              </w:rPr>
              <w:t>-axis, including second order moment, where relevant</w:t>
            </w:r>
          </w:p>
        </w:tc>
        <w:tc>
          <w:tcPr>
            <w:tcW w:w="1984" w:type="dxa"/>
          </w:tcPr>
          <w:p w14:paraId="7DB8488C" w14:textId="2B654FB9" w:rsidR="00F17916" w:rsidRPr="001455DC" w:rsidRDefault="00F17916" w:rsidP="009D3012">
            <w:pPr>
              <w:pStyle w:val="Tablebody"/>
              <w:jc w:val="left"/>
              <w:rPr>
                <w:lang w:eastAsia="de-DE"/>
              </w:rPr>
            </w:pPr>
            <w:r w:rsidRPr="009D3012">
              <w:rPr>
                <w:lang w:eastAsia="de-DE"/>
              </w:rPr>
              <w:t>7.8.4(5)</w:t>
            </w:r>
          </w:p>
        </w:tc>
      </w:tr>
      <w:tr w:rsidR="00F17916" w:rsidRPr="001455DC" w14:paraId="59D45487" w14:textId="21C4241D" w:rsidTr="009D3012">
        <w:trPr>
          <w:cantSplit/>
        </w:trPr>
        <w:tc>
          <w:tcPr>
            <w:tcW w:w="1418" w:type="dxa"/>
            <w:shd w:val="clear" w:color="auto" w:fill="auto"/>
          </w:tcPr>
          <w:p w14:paraId="4F4C6437" w14:textId="77777777" w:rsidR="00F17916" w:rsidRPr="009D3012" w:rsidRDefault="00F17916" w:rsidP="00F17916">
            <w:pPr>
              <w:pStyle w:val="Tablebody"/>
              <w:rPr>
                <w:rStyle w:val="CCMCvariableitalic"/>
              </w:rPr>
            </w:pPr>
            <w:r w:rsidRPr="001455DC">
              <w:rPr>
                <w:rStyle w:val="CCMCvariableitalic"/>
              </w:rPr>
              <w:t>M</w:t>
            </w:r>
            <w:r w:rsidRPr="001455DC">
              <w:rPr>
                <w:rStyle w:val="CCMCvariablesubscript"/>
              </w:rPr>
              <w:t>Rdy,N</w:t>
            </w:r>
          </w:p>
        </w:tc>
        <w:tc>
          <w:tcPr>
            <w:tcW w:w="6548" w:type="dxa"/>
            <w:shd w:val="clear" w:color="auto" w:fill="auto"/>
          </w:tcPr>
          <w:p w14:paraId="40AD77A9" w14:textId="77777777" w:rsidR="00F17916" w:rsidRPr="001455DC" w:rsidRDefault="00F17916" w:rsidP="000250B6">
            <w:pPr>
              <w:pStyle w:val="Tablebody"/>
              <w:jc w:val="left"/>
              <w:rPr>
                <w:lang w:eastAsia="de-DE"/>
              </w:rPr>
            </w:pPr>
            <w:r w:rsidRPr="001455DC">
              <w:rPr>
                <w:lang w:eastAsia="de-DE"/>
              </w:rPr>
              <w:t xml:space="preserve">Moment resistance about </w:t>
            </w:r>
            <w:r w:rsidRPr="001455DC">
              <w:rPr>
                <w:rStyle w:val="CCMCvariableitalic"/>
              </w:rPr>
              <w:t>y</w:t>
            </w:r>
            <w:r w:rsidRPr="001455DC">
              <w:rPr>
                <w:lang w:eastAsia="de-DE"/>
              </w:rPr>
              <w:t>-axis for the given axial load</w:t>
            </w:r>
          </w:p>
        </w:tc>
        <w:tc>
          <w:tcPr>
            <w:tcW w:w="1984" w:type="dxa"/>
          </w:tcPr>
          <w:p w14:paraId="7CAA2CBF" w14:textId="68B02467" w:rsidR="00F17916" w:rsidRPr="001455DC" w:rsidRDefault="00F17916" w:rsidP="009D3012">
            <w:pPr>
              <w:pStyle w:val="Tablebody"/>
              <w:jc w:val="left"/>
              <w:rPr>
                <w:lang w:eastAsia="de-DE"/>
              </w:rPr>
            </w:pPr>
            <w:r w:rsidRPr="009D3012">
              <w:rPr>
                <w:lang w:eastAsia="de-DE"/>
              </w:rPr>
              <w:t>7.8.4(5)</w:t>
            </w:r>
          </w:p>
        </w:tc>
      </w:tr>
      <w:tr w:rsidR="00F17916" w:rsidRPr="001455DC" w14:paraId="5ECFBF71" w14:textId="27838EC7" w:rsidTr="009D3012">
        <w:trPr>
          <w:cantSplit/>
        </w:trPr>
        <w:tc>
          <w:tcPr>
            <w:tcW w:w="1418" w:type="dxa"/>
            <w:shd w:val="clear" w:color="auto" w:fill="auto"/>
          </w:tcPr>
          <w:p w14:paraId="41BB997B" w14:textId="77777777" w:rsidR="00F17916" w:rsidRPr="009D3012" w:rsidRDefault="00F17916" w:rsidP="00F17916">
            <w:pPr>
              <w:pStyle w:val="Tablebody"/>
              <w:rPr>
                <w:rStyle w:val="CCMCvariableitalic"/>
              </w:rPr>
            </w:pPr>
            <w:r w:rsidRPr="001455DC">
              <w:rPr>
                <w:rStyle w:val="CCMCvariableitalic"/>
              </w:rPr>
              <w:t>M</w:t>
            </w:r>
            <w:r w:rsidRPr="001455DC">
              <w:rPr>
                <w:rStyle w:val="CCMCvariablesubscript"/>
              </w:rPr>
              <w:t>Rdz,N</w:t>
            </w:r>
          </w:p>
        </w:tc>
        <w:tc>
          <w:tcPr>
            <w:tcW w:w="6548" w:type="dxa"/>
            <w:shd w:val="clear" w:color="auto" w:fill="auto"/>
          </w:tcPr>
          <w:p w14:paraId="54FBE6BD" w14:textId="77777777" w:rsidR="00F17916" w:rsidRPr="001455DC" w:rsidRDefault="00F17916" w:rsidP="000250B6">
            <w:pPr>
              <w:pStyle w:val="Tablebody"/>
              <w:jc w:val="left"/>
              <w:rPr>
                <w:lang w:eastAsia="de-DE"/>
              </w:rPr>
            </w:pPr>
            <w:r w:rsidRPr="001455DC">
              <w:rPr>
                <w:lang w:eastAsia="de-DE"/>
              </w:rPr>
              <w:t xml:space="preserve">Moment resistance about </w:t>
            </w:r>
            <w:r w:rsidRPr="001455DC">
              <w:rPr>
                <w:rStyle w:val="CCMCvariableitalic"/>
              </w:rPr>
              <w:t>z</w:t>
            </w:r>
            <w:r w:rsidRPr="001455DC">
              <w:rPr>
                <w:lang w:eastAsia="de-DE"/>
              </w:rPr>
              <w:t>-axis for the given axial load</w:t>
            </w:r>
          </w:p>
        </w:tc>
        <w:tc>
          <w:tcPr>
            <w:tcW w:w="1984" w:type="dxa"/>
          </w:tcPr>
          <w:p w14:paraId="7D0937A3" w14:textId="48716619" w:rsidR="00F17916" w:rsidRPr="001455DC" w:rsidRDefault="00F17916" w:rsidP="009D3012">
            <w:pPr>
              <w:pStyle w:val="Tablebody"/>
              <w:jc w:val="left"/>
              <w:rPr>
                <w:lang w:eastAsia="de-DE"/>
              </w:rPr>
            </w:pPr>
            <w:r w:rsidRPr="009D3012">
              <w:rPr>
                <w:lang w:eastAsia="de-DE"/>
              </w:rPr>
              <w:t>7.8.4(5)</w:t>
            </w:r>
          </w:p>
        </w:tc>
      </w:tr>
      <w:tr w:rsidR="00F17916" w:rsidRPr="001455DC" w14:paraId="0B1C8D7C" w14:textId="65A87621" w:rsidTr="009D3012">
        <w:trPr>
          <w:cantSplit/>
        </w:trPr>
        <w:tc>
          <w:tcPr>
            <w:tcW w:w="1418" w:type="dxa"/>
            <w:shd w:val="clear" w:color="auto" w:fill="auto"/>
          </w:tcPr>
          <w:p w14:paraId="62F049A2" w14:textId="4A16D379" w:rsidR="00F17916" w:rsidRPr="009D3012" w:rsidRDefault="00F17916" w:rsidP="00F17916">
            <w:pPr>
              <w:pStyle w:val="Tablebody"/>
              <w:rPr>
                <w:rStyle w:val="CCMCvariableitalic"/>
              </w:rPr>
            </w:pPr>
            <w:r w:rsidRPr="001455DC">
              <w:rPr>
                <w:rStyle w:val="CCMCvariableitalic"/>
              </w:rPr>
              <w:t>M</w:t>
            </w:r>
            <w:r w:rsidRPr="001455DC">
              <w:rPr>
                <w:rStyle w:val="CCMCvariablesubscript"/>
              </w:rPr>
              <w:t>R,min</w:t>
            </w:r>
          </w:p>
        </w:tc>
        <w:tc>
          <w:tcPr>
            <w:tcW w:w="6548" w:type="dxa"/>
            <w:shd w:val="clear" w:color="auto" w:fill="auto"/>
          </w:tcPr>
          <w:p w14:paraId="3745C829" w14:textId="77777777" w:rsidR="00F17916" w:rsidRPr="001455DC" w:rsidRDefault="00F17916" w:rsidP="000250B6">
            <w:pPr>
              <w:pStyle w:val="Tablebody"/>
              <w:jc w:val="left"/>
              <w:rPr>
                <w:lang w:eastAsia="de-DE"/>
              </w:rPr>
            </w:pPr>
            <w:r w:rsidRPr="001455DC">
              <w:t xml:space="preserve">Bending strength of the section with </w:t>
            </w:r>
            <w:r w:rsidRPr="001455DC">
              <w:rPr>
                <w:rStyle w:val="CCMCvariableitalic"/>
              </w:rPr>
              <w:t>A</w:t>
            </w:r>
            <w:r w:rsidRPr="001455DC">
              <w:rPr>
                <w:rStyle w:val="CCMCvariablesubscript"/>
              </w:rPr>
              <w:t>s,min</w:t>
            </w:r>
            <w:r w:rsidRPr="001455DC">
              <w:t xml:space="preserve"> in presence of the simultaneous axial force </w:t>
            </w:r>
            <w:r w:rsidRPr="001455DC">
              <w:rPr>
                <w:rStyle w:val="CCMCvariableitalic"/>
              </w:rPr>
              <w:t>N</w:t>
            </w:r>
            <w:r w:rsidRPr="001455DC">
              <w:rPr>
                <w:rStyle w:val="CCMCvariablesubscript"/>
              </w:rPr>
              <w:t>Ed</w:t>
            </w:r>
          </w:p>
        </w:tc>
        <w:tc>
          <w:tcPr>
            <w:tcW w:w="1984" w:type="dxa"/>
          </w:tcPr>
          <w:p w14:paraId="0AC8AB08" w14:textId="4166AF63" w:rsidR="00F17916" w:rsidRPr="001455DC" w:rsidRDefault="00F17916" w:rsidP="009D3012">
            <w:pPr>
              <w:pStyle w:val="Tablebody"/>
              <w:jc w:val="left"/>
            </w:pPr>
            <w:r w:rsidRPr="009D3012">
              <w:rPr>
                <w:lang w:eastAsia="de-DE"/>
              </w:rPr>
              <w:t>12.1.1</w:t>
            </w:r>
          </w:p>
        </w:tc>
      </w:tr>
      <w:tr w:rsidR="00F17916" w:rsidRPr="001455DC" w14:paraId="557DC8F0" w14:textId="4F55F99E" w:rsidTr="009D3012">
        <w:trPr>
          <w:cantSplit/>
        </w:trPr>
        <w:tc>
          <w:tcPr>
            <w:tcW w:w="1418" w:type="dxa"/>
            <w:shd w:val="clear" w:color="auto" w:fill="auto"/>
          </w:tcPr>
          <w:p w14:paraId="616C978D" w14:textId="77777777" w:rsidR="00F17916" w:rsidRPr="009D3012" w:rsidRDefault="00F17916" w:rsidP="00F17916">
            <w:pPr>
              <w:pStyle w:val="Tablebody"/>
              <w:rPr>
                <w:rStyle w:val="CCMCvariableitalic"/>
              </w:rPr>
            </w:pPr>
            <w:r w:rsidRPr="009D3012">
              <w:rPr>
                <w:lang w:eastAsia="de-DE"/>
              </w:rPr>
              <w:t>Δ</w:t>
            </w:r>
            <w:r w:rsidRPr="001455DC">
              <w:rPr>
                <w:rStyle w:val="CCMCvariableitalic"/>
              </w:rPr>
              <w:t>M</w:t>
            </w:r>
            <w:r w:rsidRPr="001455DC">
              <w:rPr>
                <w:rStyle w:val="CCMCvariablesubscript"/>
              </w:rPr>
              <w:t>Ed</w:t>
            </w:r>
          </w:p>
        </w:tc>
        <w:tc>
          <w:tcPr>
            <w:tcW w:w="6548" w:type="dxa"/>
            <w:shd w:val="clear" w:color="auto" w:fill="auto"/>
          </w:tcPr>
          <w:p w14:paraId="1DFEDD55" w14:textId="77777777" w:rsidR="00F17916" w:rsidRPr="001455DC" w:rsidRDefault="00F17916" w:rsidP="000250B6">
            <w:pPr>
              <w:pStyle w:val="Tablebody"/>
              <w:jc w:val="left"/>
            </w:pPr>
            <w:r w:rsidRPr="001455DC">
              <w:t>Reduction in the design support moment for a beam or slab continuous over a support that can be considered to provide no restraint to rotation.</w:t>
            </w:r>
          </w:p>
        </w:tc>
        <w:tc>
          <w:tcPr>
            <w:tcW w:w="1984" w:type="dxa"/>
          </w:tcPr>
          <w:p w14:paraId="30560694" w14:textId="1B634ECC" w:rsidR="00F17916" w:rsidRPr="001455DC" w:rsidRDefault="00F17916" w:rsidP="009D3012">
            <w:pPr>
              <w:pStyle w:val="Tablebody"/>
              <w:jc w:val="left"/>
            </w:pPr>
            <w:r w:rsidRPr="009D3012">
              <w:rPr>
                <w:lang w:eastAsia="de-DE"/>
              </w:rPr>
              <w:t>7.3.2.2(3)</w:t>
            </w:r>
          </w:p>
        </w:tc>
      </w:tr>
      <w:tr w:rsidR="00F17916" w:rsidRPr="001455DC" w14:paraId="451B3BBE" w14:textId="6F472FFC" w:rsidTr="009D3012">
        <w:trPr>
          <w:cantSplit/>
        </w:trPr>
        <w:tc>
          <w:tcPr>
            <w:tcW w:w="1418" w:type="dxa"/>
            <w:shd w:val="clear" w:color="auto" w:fill="auto"/>
          </w:tcPr>
          <w:p w14:paraId="727E4D94" w14:textId="32A8E4A6" w:rsidR="00F17916" w:rsidRPr="001455DC" w:rsidRDefault="00F17916" w:rsidP="00F17916">
            <w:pPr>
              <w:pStyle w:val="Tablebody"/>
              <w:rPr>
                <w:lang w:eastAsia="de-DE"/>
              </w:rPr>
            </w:pPr>
            <w:r w:rsidRPr="001455DC">
              <w:rPr>
                <w:rStyle w:val="CCMCvariableitalic"/>
              </w:rPr>
              <w:t>N</w:t>
            </w:r>
          </w:p>
        </w:tc>
        <w:tc>
          <w:tcPr>
            <w:tcW w:w="6548" w:type="dxa"/>
            <w:shd w:val="clear" w:color="auto" w:fill="auto"/>
          </w:tcPr>
          <w:p w14:paraId="72731C8D" w14:textId="77777777" w:rsidR="00F17916" w:rsidRPr="001455DC" w:rsidRDefault="00F17916" w:rsidP="000250B6">
            <w:pPr>
              <w:pStyle w:val="Tablebody"/>
              <w:jc w:val="left"/>
              <w:rPr>
                <w:lang w:eastAsia="de-DE"/>
              </w:rPr>
            </w:pPr>
            <w:r w:rsidRPr="001455DC">
              <w:rPr>
                <w:lang w:eastAsia="de-DE"/>
              </w:rPr>
              <w:t>Axial force in linear members (tension positive and compression negative)</w:t>
            </w:r>
          </w:p>
        </w:tc>
        <w:tc>
          <w:tcPr>
            <w:tcW w:w="1984" w:type="dxa"/>
          </w:tcPr>
          <w:p w14:paraId="1908B6AF" w14:textId="4BD295D1" w:rsidR="00F17916" w:rsidRPr="001455DC" w:rsidRDefault="00F17916" w:rsidP="009D3012">
            <w:pPr>
              <w:pStyle w:val="Tablebody"/>
              <w:jc w:val="left"/>
              <w:rPr>
                <w:lang w:eastAsia="de-DE"/>
              </w:rPr>
            </w:pPr>
            <w:r w:rsidRPr="009D3012">
              <w:rPr>
                <w:lang w:eastAsia="de-DE"/>
              </w:rPr>
              <w:t>7.2.2(5)</w:t>
            </w:r>
          </w:p>
        </w:tc>
      </w:tr>
      <w:tr w:rsidR="00F17916" w:rsidRPr="001455DC" w14:paraId="54F660C4" w14:textId="7E550CD8" w:rsidTr="009D3012">
        <w:trPr>
          <w:cantSplit/>
        </w:trPr>
        <w:tc>
          <w:tcPr>
            <w:tcW w:w="1418" w:type="dxa"/>
            <w:shd w:val="clear" w:color="auto" w:fill="auto"/>
          </w:tcPr>
          <w:p w14:paraId="40CFBEDE" w14:textId="77777777" w:rsidR="00F17916" w:rsidRPr="009D3012" w:rsidRDefault="00F17916" w:rsidP="00F17916">
            <w:pPr>
              <w:pStyle w:val="Tablebody"/>
              <w:rPr>
                <w:rStyle w:val="CCMCvariableitalic"/>
              </w:rPr>
            </w:pPr>
            <w:r w:rsidRPr="001455DC">
              <w:rPr>
                <w:rStyle w:val="CCMCvariableitalic"/>
              </w:rPr>
              <w:t>N</w:t>
            </w:r>
            <w:r w:rsidRPr="001455DC">
              <w:rPr>
                <w:rStyle w:val="CCMCvariablesubscript"/>
              </w:rPr>
              <w:t>a</w:t>
            </w:r>
          </w:p>
        </w:tc>
        <w:tc>
          <w:tcPr>
            <w:tcW w:w="6548" w:type="dxa"/>
            <w:shd w:val="clear" w:color="auto" w:fill="auto"/>
          </w:tcPr>
          <w:p w14:paraId="7CDA1220" w14:textId="77777777" w:rsidR="00F17916" w:rsidRPr="001455DC" w:rsidRDefault="00F17916" w:rsidP="000250B6">
            <w:pPr>
              <w:pStyle w:val="Tablebody"/>
              <w:jc w:val="left"/>
              <w:rPr>
                <w:lang w:eastAsia="de-DE"/>
              </w:rPr>
            </w:pPr>
            <w:r w:rsidRPr="001455DC">
              <w:rPr>
                <w:lang w:eastAsia="de-DE"/>
              </w:rPr>
              <w:t>Axial force in column above floor or diaphragm</w:t>
            </w:r>
          </w:p>
        </w:tc>
        <w:tc>
          <w:tcPr>
            <w:tcW w:w="1984" w:type="dxa"/>
          </w:tcPr>
          <w:p w14:paraId="1FDAC04B" w14:textId="68CA451F" w:rsidR="00F17916" w:rsidRPr="001455DC" w:rsidRDefault="00F17916" w:rsidP="009D3012">
            <w:pPr>
              <w:pStyle w:val="Tablebody"/>
              <w:jc w:val="left"/>
              <w:rPr>
                <w:lang w:eastAsia="de-DE"/>
              </w:rPr>
            </w:pPr>
            <w:r w:rsidRPr="009D3012">
              <w:rPr>
                <w:lang w:eastAsia="de-DE"/>
              </w:rPr>
              <w:t>7.2.2(6)</w:t>
            </w:r>
          </w:p>
        </w:tc>
      </w:tr>
      <w:tr w:rsidR="00F17916" w:rsidRPr="001455DC" w14:paraId="6F92B03C" w14:textId="260FC09C" w:rsidTr="009D3012">
        <w:trPr>
          <w:cantSplit/>
        </w:trPr>
        <w:tc>
          <w:tcPr>
            <w:tcW w:w="1418" w:type="dxa"/>
            <w:shd w:val="clear" w:color="auto" w:fill="auto"/>
          </w:tcPr>
          <w:p w14:paraId="0AEB24E2" w14:textId="77777777" w:rsidR="00F17916" w:rsidRPr="009D3012" w:rsidRDefault="00F17916" w:rsidP="00F17916">
            <w:pPr>
              <w:pStyle w:val="Tablebody"/>
              <w:rPr>
                <w:rStyle w:val="CCMCvariableitalic"/>
              </w:rPr>
            </w:pPr>
            <w:r w:rsidRPr="001455DC">
              <w:rPr>
                <w:rStyle w:val="CCMCvariableitalic"/>
              </w:rPr>
              <w:t>N</w:t>
            </w:r>
            <w:r w:rsidRPr="001455DC">
              <w:rPr>
                <w:rStyle w:val="CCMCvariablesubscript"/>
              </w:rPr>
              <w:t>B</w:t>
            </w:r>
          </w:p>
        </w:tc>
        <w:tc>
          <w:tcPr>
            <w:tcW w:w="6548" w:type="dxa"/>
            <w:shd w:val="clear" w:color="auto" w:fill="auto"/>
          </w:tcPr>
          <w:p w14:paraId="79F2B83B" w14:textId="77777777" w:rsidR="00F17916" w:rsidRPr="001455DC" w:rsidRDefault="00F17916" w:rsidP="000250B6">
            <w:pPr>
              <w:pStyle w:val="Tablebody"/>
              <w:jc w:val="left"/>
              <w:rPr>
                <w:lang w:eastAsia="de-DE"/>
              </w:rPr>
            </w:pPr>
            <w:r w:rsidRPr="001455DC">
              <w:t>Elastic buckling load (</w:t>
            </w:r>
            <w:r w:rsidRPr="001455DC">
              <w:rPr>
                <w:rStyle w:val="CCMCvariableitalic"/>
              </w:rPr>
              <w:t>Euler</w:t>
            </w:r>
            <w:r w:rsidRPr="001455DC">
              <w:t>)</w:t>
            </w:r>
          </w:p>
        </w:tc>
        <w:tc>
          <w:tcPr>
            <w:tcW w:w="1984" w:type="dxa"/>
          </w:tcPr>
          <w:p w14:paraId="455CDF76" w14:textId="32CA9A11" w:rsidR="00F17916" w:rsidRPr="001455DC" w:rsidRDefault="00F17916" w:rsidP="009D3012">
            <w:pPr>
              <w:pStyle w:val="Tablebody"/>
              <w:jc w:val="left"/>
            </w:pPr>
            <w:r w:rsidRPr="009D3012">
              <w:rPr>
                <w:lang w:eastAsia="de-DE"/>
              </w:rPr>
              <w:t>O.4(1)</w:t>
            </w:r>
          </w:p>
        </w:tc>
      </w:tr>
      <w:tr w:rsidR="0032499B" w:rsidRPr="001455DC" w14:paraId="0D46CD2C" w14:textId="0AED2D4B" w:rsidTr="009D3012">
        <w:trPr>
          <w:cantSplit/>
        </w:trPr>
        <w:tc>
          <w:tcPr>
            <w:tcW w:w="1418" w:type="dxa"/>
            <w:shd w:val="clear" w:color="auto" w:fill="auto"/>
          </w:tcPr>
          <w:p w14:paraId="697FD0ED" w14:textId="77777777" w:rsidR="0032499B" w:rsidRPr="009D3012" w:rsidRDefault="0032499B" w:rsidP="00F17916">
            <w:pPr>
              <w:pStyle w:val="Tablebody"/>
              <w:rPr>
                <w:rStyle w:val="CCMCvariableitalic"/>
              </w:rPr>
            </w:pPr>
            <w:r w:rsidRPr="001455DC">
              <w:rPr>
                <w:rStyle w:val="CCMCvariableitalic"/>
              </w:rPr>
              <w:t>N</w:t>
            </w:r>
            <w:r w:rsidRPr="001455DC">
              <w:rPr>
                <w:rStyle w:val="CCMCvariablesubscript"/>
              </w:rPr>
              <w:t>b</w:t>
            </w:r>
          </w:p>
        </w:tc>
        <w:tc>
          <w:tcPr>
            <w:tcW w:w="6548" w:type="dxa"/>
            <w:shd w:val="clear" w:color="auto" w:fill="auto"/>
          </w:tcPr>
          <w:p w14:paraId="677EF9EC" w14:textId="77777777" w:rsidR="0032499B" w:rsidRPr="001455DC" w:rsidRDefault="0032499B" w:rsidP="000250B6">
            <w:pPr>
              <w:pStyle w:val="Tablebody"/>
              <w:jc w:val="left"/>
              <w:rPr>
                <w:lang w:eastAsia="de-DE"/>
              </w:rPr>
            </w:pPr>
            <w:r w:rsidRPr="001455DC">
              <w:rPr>
                <w:lang w:eastAsia="de-DE"/>
              </w:rPr>
              <w:t>Axial force in column below floor or diaphragm</w:t>
            </w:r>
          </w:p>
        </w:tc>
        <w:tc>
          <w:tcPr>
            <w:tcW w:w="1984" w:type="dxa"/>
          </w:tcPr>
          <w:p w14:paraId="47EF40A8" w14:textId="230DBD79" w:rsidR="0032499B" w:rsidRPr="001455DC" w:rsidRDefault="0032499B" w:rsidP="00F17916">
            <w:pPr>
              <w:spacing w:before="0" w:after="0" w:line="240" w:lineRule="auto"/>
              <w:jc w:val="left"/>
              <w:rPr>
                <w:rFonts w:eastAsia="Times New Roman"/>
                <w:szCs w:val="20"/>
                <w:lang w:eastAsia="fr-FR"/>
              </w:rPr>
            </w:pPr>
            <w:r w:rsidRPr="009D3012">
              <w:rPr>
                <w:lang w:eastAsia="de-DE"/>
              </w:rPr>
              <w:t>7.2.2(6)</w:t>
            </w:r>
          </w:p>
        </w:tc>
      </w:tr>
      <w:tr w:rsidR="00F17916" w:rsidRPr="001455DC" w14:paraId="0B36BAAE" w14:textId="4C105EF6" w:rsidTr="009D3012">
        <w:trPr>
          <w:cantSplit/>
        </w:trPr>
        <w:tc>
          <w:tcPr>
            <w:tcW w:w="1418" w:type="dxa"/>
            <w:shd w:val="clear" w:color="auto" w:fill="auto"/>
          </w:tcPr>
          <w:p w14:paraId="7039BCD1" w14:textId="77777777" w:rsidR="00F17916" w:rsidRPr="009D3012" w:rsidRDefault="00F17916" w:rsidP="00F17916">
            <w:pPr>
              <w:pStyle w:val="Tablebody"/>
              <w:rPr>
                <w:rStyle w:val="CCMCvariableitalic"/>
              </w:rPr>
            </w:pPr>
            <w:r w:rsidRPr="001455DC">
              <w:rPr>
                <w:rStyle w:val="CCMCvariableitalic"/>
              </w:rPr>
              <w:t>N</w:t>
            </w:r>
            <w:r w:rsidRPr="001455DC">
              <w:rPr>
                <w:rStyle w:val="CCMCvariablesubscript"/>
              </w:rPr>
              <w:t>Ed</w:t>
            </w:r>
          </w:p>
        </w:tc>
        <w:tc>
          <w:tcPr>
            <w:tcW w:w="6548" w:type="dxa"/>
            <w:shd w:val="clear" w:color="auto" w:fill="auto"/>
          </w:tcPr>
          <w:p w14:paraId="720D81BA" w14:textId="77777777" w:rsidR="00F17916" w:rsidRPr="001455DC" w:rsidRDefault="00F17916" w:rsidP="000250B6">
            <w:pPr>
              <w:pStyle w:val="Tablebody"/>
              <w:jc w:val="left"/>
              <w:rPr>
                <w:lang w:eastAsia="de-DE"/>
              </w:rPr>
            </w:pPr>
            <w:r w:rsidRPr="001455DC">
              <w:rPr>
                <w:lang w:eastAsia="de-DE"/>
              </w:rPr>
              <w:t>Design value of the applied axial force (tension positive and compression negative)</w:t>
            </w:r>
          </w:p>
        </w:tc>
        <w:tc>
          <w:tcPr>
            <w:tcW w:w="1984" w:type="dxa"/>
          </w:tcPr>
          <w:p w14:paraId="2B17D471" w14:textId="5F158C22" w:rsidR="00F17916" w:rsidRPr="001455DC" w:rsidRDefault="00F17916" w:rsidP="009D3012">
            <w:pPr>
              <w:pStyle w:val="Tablebody"/>
              <w:jc w:val="left"/>
              <w:rPr>
                <w:lang w:eastAsia="de-DE"/>
              </w:rPr>
            </w:pPr>
          </w:p>
        </w:tc>
      </w:tr>
      <w:tr w:rsidR="00F17916" w:rsidRPr="001455DC" w14:paraId="42D93FAE" w14:textId="4C3DBB0E" w:rsidTr="009D3012">
        <w:trPr>
          <w:cantSplit/>
        </w:trPr>
        <w:tc>
          <w:tcPr>
            <w:tcW w:w="1418" w:type="dxa"/>
            <w:shd w:val="clear" w:color="auto" w:fill="auto"/>
          </w:tcPr>
          <w:p w14:paraId="4DA44D4C" w14:textId="77777777" w:rsidR="00F17916" w:rsidRPr="009D3012" w:rsidRDefault="00F17916" w:rsidP="00F17916">
            <w:pPr>
              <w:pStyle w:val="Tablebody"/>
              <w:rPr>
                <w:rStyle w:val="CCMCvariableitalic"/>
              </w:rPr>
            </w:pPr>
            <w:r w:rsidRPr="001455DC">
              <w:rPr>
                <w:rStyle w:val="CCMCvariableitalic"/>
              </w:rPr>
              <w:t>N</w:t>
            </w:r>
            <w:r w:rsidRPr="001455DC">
              <w:rPr>
                <w:rStyle w:val="CCMCvariablesubscript"/>
              </w:rPr>
              <w:t>Edw</w:t>
            </w:r>
          </w:p>
        </w:tc>
        <w:tc>
          <w:tcPr>
            <w:tcW w:w="6548" w:type="dxa"/>
            <w:shd w:val="clear" w:color="auto" w:fill="auto"/>
          </w:tcPr>
          <w:p w14:paraId="33363D45" w14:textId="77777777" w:rsidR="00F17916" w:rsidRPr="001455DC" w:rsidRDefault="00F17916" w:rsidP="000250B6">
            <w:pPr>
              <w:pStyle w:val="Tablebody"/>
              <w:jc w:val="left"/>
              <w:rPr>
                <w:lang w:eastAsia="de-DE"/>
              </w:rPr>
            </w:pPr>
            <w:r w:rsidRPr="001455DC">
              <w:rPr>
                <w:lang w:eastAsia="de-DE"/>
              </w:rPr>
              <w:t>Design value of the axial force in the web</w:t>
            </w:r>
          </w:p>
        </w:tc>
        <w:tc>
          <w:tcPr>
            <w:tcW w:w="1984" w:type="dxa"/>
          </w:tcPr>
          <w:p w14:paraId="773DF747" w14:textId="6D926853" w:rsidR="00F17916" w:rsidRPr="001455DC" w:rsidRDefault="00F17916" w:rsidP="009D3012">
            <w:pPr>
              <w:pStyle w:val="Tablebody"/>
              <w:jc w:val="left"/>
              <w:rPr>
                <w:lang w:eastAsia="de-DE"/>
              </w:rPr>
            </w:pPr>
            <w:r w:rsidRPr="009D3012">
              <w:rPr>
                <w:lang w:eastAsia="de-DE"/>
              </w:rPr>
              <w:t>8.2.3(11)</w:t>
            </w:r>
          </w:p>
        </w:tc>
      </w:tr>
      <w:tr w:rsidR="00F17916" w:rsidRPr="001455DC" w14:paraId="6A8B9629" w14:textId="1F444DEA" w:rsidTr="009D3012">
        <w:trPr>
          <w:cantSplit/>
        </w:trPr>
        <w:tc>
          <w:tcPr>
            <w:tcW w:w="1418" w:type="dxa"/>
            <w:shd w:val="clear" w:color="auto" w:fill="auto"/>
          </w:tcPr>
          <w:p w14:paraId="236CD838" w14:textId="77777777" w:rsidR="00F17916" w:rsidRPr="009D3012" w:rsidRDefault="00F17916" w:rsidP="00F17916">
            <w:pPr>
              <w:pStyle w:val="Tablebody"/>
              <w:rPr>
                <w:rStyle w:val="CCMCvariableitalic"/>
              </w:rPr>
            </w:pPr>
            <w:r w:rsidRPr="001455DC">
              <w:rPr>
                <w:rStyle w:val="CCMCvariableitalic"/>
              </w:rPr>
              <w:t>N</w:t>
            </w:r>
            <w:r w:rsidRPr="001455DC">
              <w:rPr>
                <w:rStyle w:val="CCMCvariablesubscript"/>
              </w:rPr>
              <w:t>Vd</w:t>
            </w:r>
          </w:p>
        </w:tc>
        <w:tc>
          <w:tcPr>
            <w:tcW w:w="6548" w:type="dxa"/>
            <w:shd w:val="clear" w:color="auto" w:fill="auto"/>
          </w:tcPr>
          <w:p w14:paraId="21AFA64D" w14:textId="14588B4D" w:rsidR="00F17916" w:rsidRPr="001455DC" w:rsidRDefault="00F17916" w:rsidP="000250B6">
            <w:pPr>
              <w:pStyle w:val="Tablebody"/>
              <w:jc w:val="left"/>
              <w:rPr>
                <w:lang w:eastAsia="de-DE"/>
              </w:rPr>
            </w:pPr>
            <w:r w:rsidRPr="001455DC">
              <w:rPr>
                <w:lang w:eastAsia="de-DE"/>
              </w:rPr>
              <w:t>Design value of the sum of the additional axial forces in the tension and in the compression chords due to shear in a cross section</w:t>
            </w:r>
          </w:p>
        </w:tc>
        <w:tc>
          <w:tcPr>
            <w:tcW w:w="1984" w:type="dxa"/>
          </w:tcPr>
          <w:p w14:paraId="1A6DCBDF" w14:textId="24B9264D" w:rsidR="00F17916" w:rsidRPr="001455DC" w:rsidRDefault="00F17916" w:rsidP="009D3012">
            <w:pPr>
              <w:pStyle w:val="Tablebody"/>
              <w:jc w:val="left"/>
              <w:rPr>
                <w:lang w:eastAsia="de-DE"/>
              </w:rPr>
            </w:pPr>
            <w:r w:rsidRPr="009D3012">
              <w:rPr>
                <w:lang w:eastAsia="de-DE"/>
              </w:rPr>
              <w:t>8.2.3(8), 8.2.3(12) and 8.2.3(13), Figure 8.9</w:t>
            </w:r>
          </w:p>
        </w:tc>
      </w:tr>
      <w:tr w:rsidR="00F17916" w:rsidRPr="001455DC" w14:paraId="1B4299D8" w14:textId="0132F6E4" w:rsidTr="009D3012">
        <w:trPr>
          <w:cantSplit/>
        </w:trPr>
        <w:tc>
          <w:tcPr>
            <w:tcW w:w="1418" w:type="dxa"/>
            <w:shd w:val="clear" w:color="auto" w:fill="auto"/>
          </w:tcPr>
          <w:p w14:paraId="080C99F6" w14:textId="77777777" w:rsidR="00F17916" w:rsidRPr="009D3012" w:rsidRDefault="00F17916" w:rsidP="00F17916">
            <w:pPr>
              <w:pStyle w:val="Tablebody"/>
              <w:rPr>
                <w:rStyle w:val="CCMCvariablesubscript"/>
              </w:rPr>
            </w:pPr>
            <w:r w:rsidRPr="001455DC">
              <w:rPr>
                <w:rStyle w:val="CCMCvariableitalic"/>
              </w:rPr>
              <w:t>N</w:t>
            </w:r>
            <w:r w:rsidRPr="001455DC">
              <w:rPr>
                <w:rStyle w:val="CCMCvariablesubscript"/>
              </w:rPr>
              <w:t>Rd</w:t>
            </w:r>
          </w:p>
        </w:tc>
        <w:tc>
          <w:tcPr>
            <w:tcW w:w="6548" w:type="dxa"/>
            <w:shd w:val="clear" w:color="auto" w:fill="auto"/>
          </w:tcPr>
          <w:p w14:paraId="667B1788" w14:textId="77777777" w:rsidR="00F17916" w:rsidRPr="001455DC" w:rsidRDefault="00F17916" w:rsidP="000250B6">
            <w:pPr>
              <w:pStyle w:val="Tablebody"/>
              <w:jc w:val="left"/>
              <w:rPr>
                <w:lang w:eastAsia="de-DE"/>
              </w:rPr>
            </w:pPr>
            <w:r w:rsidRPr="001455DC">
              <w:rPr>
                <w:lang w:eastAsia="de-DE"/>
              </w:rPr>
              <w:t>Design value of axial resistance</w:t>
            </w:r>
          </w:p>
        </w:tc>
        <w:tc>
          <w:tcPr>
            <w:tcW w:w="1984" w:type="dxa"/>
          </w:tcPr>
          <w:p w14:paraId="1B364A3E" w14:textId="6DFF0C0C" w:rsidR="00F17916" w:rsidRPr="001455DC" w:rsidRDefault="00F17916" w:rsidP="009D3012">
            <w:pPr>
              <w:pStyle w:val="Tablebody"/>
              <w:jc w:val="left"/>
              <w:rPr>
                <w:lang w:eastAsia="de-DE"/>
              </w:rPr>
            </w:pPr>
            <w:r w:rsidRPr="009D3012">
              <w:rPr>
                <w:lang w:eastAsia="de-DE"/>
              </w:rPr>
              <w:t>14.4.1(3), 14.4.5.2(1)</w:t>
            </w:r>
          </w:p>
        </w:tc>
      </w:tr>
      <w:tr w:rsidR="00F17916" w:rsidRPr="001455DC" w14:paraId="4C176C90" w14:textId="0CCAF5F5" w:rsidTr="009D3012">
        <w:trPr>
          <w:cantSplit/>
        </w:trPr>
        <w:tc>
          <w:tcPr>
            <w:tcW w:w="1418" w:type="dxa"/>
            <w:shd w:val="clear" w:color="auto" w:fill="auto"/>
          </w:tcPr>
          <w:p w14:paraId="6514BA59" w14:textId="77777777" w:rsidR="00F17916" w:rsidRPr="009D3012" w:rsidRDefault="00F17916" w:rsidP="00F17916">
            <w:pPr>
              <w:pStyle w:val="Tablebody"/>
              <w:rPr>
                <w:rStyle w:val="CCMCvariableitalic"/>
              </w:rPr>
            </w:pPr>
            <w:r w:rsidRPr="001455DC">
              <w:rPr>
                <w:rStyle w:val="CCMCvariableitalic"/>
              </w:rPr>
              <w:t>N</w:t>
            </w:r>
            <w:r w:rsidRPr="001455DC">
              <w:rPr>
                <w:rStyle w:val="CCMCvariablesubscript"/>
              </w:rPr>
              <w:t>Rd,c</w:t>
            </w:r>
          </w:p>
        </w:tc>
        <w:tc>
          <w:tcPr>
            <w:tcW w:w="6548" w:type="dxa"/>
            <w:shd w:val="clear" w:color="auto" w:fill="auto"/>
          </w:tcPr>
          <w:p w14:paraId="673DE217" w14:textId="77777777" w:rsidR="00F17916" w:rsidRPr="001455DC" w:rsidRDefault="00F17916" w:rsidP="000250B6">
            <w:pPr>
              <w:pStyle w:val="Tablebody"/>
              <w:jc w:val="left"/>
              <w:rPr>
                <w:lang w:eastAsia="de-DE"/>
              </w:rPr>
            </w:pPr>
            <w:r w:rsidRPr="001455DC">
              <w:rPr>
                <w:lang w:eastAsia="de-DE"/>
              </w:rPr>
              <w:t>Design value of axial resistance related to concrete failure in laps using U-bar loops</w:t>
            </w:r>
          </w:p>
        </w:tc>
        <w:tc>
          <w:tcPr>
            <w:tcW w:w="1984" w:type="dxa"/>
          </w:tcPr>
          <w:p w14:paraId="614A7747" w14:textId="6C7E0B6A" w:rsidR="00F17916" w:rsidRPr="001455DC" w:rsidRDefault="00F17916" w:rsidP="009D3012">
            <w:pPr>
              <w:pStyle w:val="Tablebody"/>
              <w:jc w:val="left"/>
              <w:rPr>
                <w:lang w:eastAsia="de-DE"/>
              </w:rPr>
            </w:pPr>
            <w:r w:rsidRPr="009D3012">
              <w:rPr>
                <w:lang w:eastAsia="de-DE"/>
              </w:rPr>
              <w:t>11.5.4(2)</w:t>
            </w:r>
          </w:p>
        </w:tc>
      </w:tr>
      <w:tr w:rsidR="00F17916" w:rsidRPr="001455DC" w14:paraId="4605EBD0" w14:textId="00CEDAFE" w:rsidTr="009D3012">
        <w:trPr>
          <w:cantSplit/>
        </w:trPr>
        <w:tc>
          <w:tcPr>
            <w:tcW w:w="1418" w:type="dxa"/>
            <w:shd w:val="clear" w:color="auto" w:fill="auto"/>
          </w:tcPr>
          <w:p w14:paraId="39ACB2D8" w14:textId="77777777" w:rsidR="00F17916" w:rsidRPr="009D3012" w:rsidRDefault="00F17916" w:rsidP="00F17916">
            <w:pPr>
              <w:pStyle w:val="Tablebody"/>
              <w:rPr>
                <w:rStyle w:val="CCMCvariableitalic"/>
              </w:rPr>
            </w:pPr>
            <w:r w:rsidRPr="001455DC">
              <w:rPr>
                <w:rStyle w:val="CCMCvariableitalic"/>
              </w:rPr>
              <w:t>P</w:t>
            </w:r>
          </w:p>
        </w:tc>
        <w:tc>
          <w:tcPr>
            <w:tcW w:w="6548" w:type="dxa"/>
            <w:shd w:val="clear" w:color="auto" w:fill="auto"/>
          </w:tcPr>
          <w:p w14:paraId="3155DCD7" w14:textId="77777777" w:rsidR="00F17916" w:rsidRPr="001455DC" w:rsidRDefault="00F17916" w:rsidP="000250B6">
            <w:pPr>
              <w:pStyle w:val="Tablebody"/>
              <w:jc w:val="left"/>
              <w:rPr>
                <w:lang w:eastAsia="de-DE"/>
              </w:rPr>
            </w:pPr>
            <w:r w:rsidRPr="001455DC">
              <w:rPr>
                <w:lang w:eastAsia="de-DE"/>
              </w:rPr>
              <w:t>Prestressing force</w:t>
            </w:r>
          </w:p>
        </w:tc>
        <w:tc>
          <w:tcPr>
            <w:tcW w:w="1984" w:type="dxa"/>
          </w:tcPr>
          <w:p w14:paraId="1AB3E531" w14:textId="77777777" w:rsidR="00F17916" w:rsidRPr="001455DC" w:rsidRDefault="00F17916" w:rsidP="009D3012">
            <w:pPr>
              <w:pStyle w:val="Tablebody"/>
              <w:jc w:val="left"/>
              <w:rPr>
                <w:lang w:eastAsia="de-DE"/>
              </w:rPr>
            </w:pPr>
          </w:p>
        </w:tc>
      </w:tr>
      <w:tr w:rsidR="00F17916" w:rsidRPr="001455DC" w14:paraId="6B027054" w14:textId="026C5502" w:rsidTr="009D3012">
        <w:trPr>
          <w:cantSplit/>
        </w:trPr>
        <w:tc>
          <w:tcPr>
            <w:tcW w:w="1418" w:type="dxa"/>
            <w:shd w:val="clear" w:color="auto" w:fill="auto"/>
          </w:tcPr>
          <w:p w14:paraId="6C345DE1" w14:textId="77777777" w:rsidR="00F17916" w:rsidRPr="009D3012" w:rsidRDefault="00F17916" w:rsidP="00F17916">
            <w:pPr>
              <w:pStyle w:val="Tablebody"/>
              <w:rPr>
                <w:rStyle w:val="CCMCvariableitalic"/>
              </w:rPr>
            </w:pPr>
            <w:r w:rsidRPr="001455DC">
              <w:rPr>
                <w:rStyle w:val="CCMCvariableitalic"/>
              </w:rPr>
              <w:t>P</w:t>
            </w:r>
            <w:r w:rsidRPr="001455DC">
              <w:rPr>
                <w:rStyle w:val="CCMCvariablesubscript"/>
              </w:rPr>
              <w:t>0</w:t>
            </w:r>
          </w:p>
        </w:tc>
        <w:tc>
          <w:tcPr>
            <w:tcW w:w="6548" w:type="dxa"/>
            <w:shd w:val="clear" w:color="auto" w:fill="auto"/>
          </w:tcPr>
          <w:p w14:paraId="30028058" w14:textId="77777777" w:rsidR="00F17916" w:rsidRPr="001455DC" w:rsidRDefault="00F17916" w:rsidP="000250B6">
            <w:pPr>
              <w:pStyle w:val="Tablebody"/>
              <w:jc w:val="left"/>
              <w:rPr>
                <w:lang w:eastAsia="de-DE"/>
              </w:rPr>
            </w:pPr>
            <w:r w:rsidRPr="001455DC">
              <w:rPr>
                <w:lang w:eastAsia="de-DE"/>
              </w:rPr>
              <w:t>Initial force at the active end of the tendon immediately after stressing</w:t>
            </w:r>
          </w:p>
        </w:tc>
        <w:tc>
          <w:tcPr>
            <w:tcW w:w="1984" w:type="dxa"/>
          </w:tcPr>
          <w:p w14:paraId="1105E24B" w14:textId="76D437A0" w:rsidR="00F17916" w:rsidRPr="001455DC" w:rsidRDefault="00F17916" w:rsidP="009D3012">
            <w:pPr>
              <w:pStyle w:val="Tablebody"/>
              <w:jc w:val="left"/>
              <w:rPr>
                <w:lang w:eastAsia="de-DE"/>
              </w:rPr>
            </w:pPr>
            <w:r w:rsidRPr="009D3012">
              <w:rPr>
                <w:lang w:eastAsia="de-DE"/>
              </w:rPr>
              <w:t>13.5.2(1)</w:t>
            </w:r>
          </w:p>
        </w:tc>
      </w:tr>
      <w:tr w:rsidR="00F17916" w:rsidRPr="001455DC" w14:paraId="512BDF71" w14:textId="29C707B1" w:rsidTr="009D3012">
        <w:trPr>
          <w:cantSplit/>
        </w:trPr>
        <w:tc>
          <w:tcPr>
            <w:tcW w:w="1418" w:type="dxa"/>
            <w:shd w:val="clear" w:color="auto" w:fill="auto"/>
          </w:tcPr>
          <w:p w14:paraId="579C47D7" w14:textId="77777777" w:rsidR="00F17916" w:rsidRPr="009D3012" w:rsidRDefault="00F17916" w:rsidP="00F17916">
            <w:pPr>
              <w:pStyle w:val="Tablebody"/>
              <w:rPr>
                <w:rStyle w:val="CCMCvariableitalic"/>
              </w:rPr>
            </w:pPr>
            <w:r w:rsidRPr="001455DC">
              <w:rPr>
                <w:rStyle w:val="CCMCvariableitalic"/>
              </w:rPr>
              <w:t>P</w:t>
            </w:r>
            <w:r w:rsidRPr="001455DC">
              <w:rPr>
                <w:rStyle w:val="CCMCvariablesubscript"/>
              </w:rPr>
              <w:t>d</w:t>
            </w:r>
          </w:p>
        </w:tc>
        <w:tc>
          <w:tcPr>
            <w:tcW w:w="6548" w:type="dxa"/>
            <w:shd w:val="clear" w:color="auto" w:fill="auto"/>
          </w:tcPr>
          <w:p w14:paraId="217CF0BA" w14:textId="77777777" w:rsidR="00F17916" w:rsidRPr="001455DC" w:rsidRDefault="00F17916" w:rsidP="000250B6">
            <w:pPr>
              <w:pStyle w:val="Tablebody"/>
              <w:jc w:val="left"/>
              <w:rPr>
                <w:lang w:eastAsia="de-DE"/>
              </w:rPr>
            </w:pPr>
            <w:r w:rsidRPr="001455DC">
              <w:rPr>
                <w:lang w:eastAsia="de-DE"/>
              </w:rPr>
              <w:t>Design value of the prestressing force</w:t>
            </w:r>
          </w:p>
        </w:tc>
        <w:tc>
          <w:tcPr>
            <w:tcW w:w="1984" w:type="dxa"/>
          </w:tcPr>
          <w:p w14:paraId="537ED91E" w14:textId="4666E8F7" w:rsidR="00F17916" w:rsidRPr="001455DC" w:rsidRDefault="00F17916" w:rsidP="009D3012">
            <w:pPr>
              <w:pStyle w:val="Tablebody"/>
              <w:jc w:val="left"/>
              <w:rPr>
                <w:lang w:eastAsia="de-DE"/>
              </w:rPr>
            </w:pPr>
            <w:r w:rsidRPr="009D3012">
              <w:rPr>
                <w:lang w:eastAsia="de-DE"/>
              </w:rPr>
              <w:t>8.2.1(8), Figure 8.4</w:t>
            </w:r>
          </w:p>
        </w:tc>
      </w:tr>
      <w:tr w:rsidR="00F17916" w:rsidRPr="001455DC" w14:paraId="514827AF" w14:textId="445C44DA" w:rsidTr="009D3012">
        <w:trPr>
          <w:cantSplit/>
        </w:trPr>
        <w:tc>
          <w:tcPr>
            <w:tcW w:w="1418" w:type="dxa"/>
            <w:shd w:val="clear" w:color="auto" w:fill="auto"/>
          </w:tcPr>
          <w:p w14:paraId="1B27E405" w14:textId="77777777" w:rsidR="00F17916" w:rsidRPr="009D3012" w:rsidRDefault="00F17916" w:rsidP="00F17916">
            <w:pPr>
              <w:pStyle w:val="Tablebody"/>
              <w:rPr>
                <w:rStyle w:val="CCMCvariableitalic"/>
              </w:rPr>
            </w:pPr>
            <w:r w:rsidRPr="001455DC">
              <w:rPr>
                <w:rStyle w:val="CCMCvariableitalic"/>
              </w:rPr>
              <w:t>Q</w:t>
            </w:r>
            <w:r w:rsidRPr="001455DC">
              <w:rPr>
                <w:rStyle w:val="CCMCvariablesubscript"/>
              </w:rPr>
              <w:t>k</w:t>
            </w:r>
          </w:p>
        </w:tc>
        <w:tc>
          <w:tcPr>
            <w:tcW w:w="6548" w:type="dxa"/>
            <w:shd w:val="clear" w:color="auto" w:fill="auto"/>
          </w:tcPr>
          <w:p w14:paraId="646351DB" w14:textId="77777777" w:rsidR="00F17916" w:rsidRPr="001455DC" w:rsidRDefault="00F17916" w:rsidP="000250B6">
            <w:pPr>
              <w:pStyle w:val="Tablebody"/>
              <w:jc w:val="left"/>
              <w:rPr>
                <w:lang w:eastAsia="de-DE"/>
              </w:rPr>
            </w:pPr>
            <w:r w:rsidRPr="001455DC">
              <w:rPr>
                <w:lang w:eastAsia="de-DE"/>
              </w:rPr>
              <w:t>Characteristic variable action</w:t>
            </w:r>
          </w:p>
        </w:tc>
        <w:tc>
          <w:tcPr>
            <w:tcW w:w="1984" w:type="dxa"/>
          </w:tcPr>
          <w:p w14:paraId="22CA4566" w14:textId="75041EAC" w:rsidR="00F17916" w:rsidRPr="001455DC" w:rsidRDefault="00F17916" w:rsidP="009D3012">
            <w:pPr>
              <w:pStyle w:val="Tablebody"/>
              <w:jc w:val="left"/>
              <w:rPr>
                <w:lang w:eastAsia="de-DE"/>
              </w:rPr>
            </w:pPr>
            <w:r w:rsidRPr="009D3012">
              <w:rPr>
                <w:lang w:eastAsia="de-DE"/>
              </w:rPr>
              <w:t>10.2</w:t>
            </w:r>
          </w:p>
        </w:tc>
      </w:tr>
      <w:tr w:rsidR="00F17916" w:rsidRPr="001455DC" w14:paraId="44874EF5" w14:textId="44D52A9A" w:rsidTr="009D3012">
        <w:trPr>
          <w:cantSplit/>
        </w:trPr>
        <w:tc>
          <w:tcPr>
            <w:tcW w:w="1418" w:type="dxa"/>
            <w:shd w:val="clear" w:color="auto" w:fill="auto"/>
          </w:tcPr>
          <w:p w14:paraId="58273858" w14:textId="77777777" w:rsidR="00F17916" w:rsidRPr="009D3012" w:rsidRDefault="00F17916" w:rsidP="00F17916">
            <w:pPr>
              <w:pStyle w:val="Tablebody"/>
              <w:rPr>
                <w:rStyle w:val="CCMCvariableitalic"/>
              </w:rPr>
            </w:pPr>
            <w:r w:rsidRPr="001455DC">
              <w:rPr>
                <w:rStyle w:val="CCMCvariableitalic"/>
              </w:rPr>
              <w:t>Q</w:t>
            </w:r>
            <w:r w:rsidRPr="001455DC">
              <w:rPr>
                <w:rStyle w:val="CCMCvariablesubscript"/>
              </w:rPr>
              <w:t>fat</w:t>
            </w:r>
          </w:p>
        </w:tc>
        <w:tc>
          <w:tcPr>
            <w:tcW w:w="6548" w:type="dxa"/>
            <w:shd w:val="clear" w:color="auto" w:fill="auto"/>
          </w:tcPr>
          <w:p w14:paraId="73A964A7" w14:textId="0110C168" w:rsidR="00F17916" w:rsidRPr="001455DC" w:rsidRDefault="00F17916" w:rsidP="000250B6">
            <w:pPr>
              <w:pStyle w:val="Tablebody"/>
              <w:jc w:val="left"/>
              <w:rPr>
                <w:lang w:eastAsia="de-DE"/>
              </w:rPr>
            </w:pPr>
            <w:r w:rsidRPr="001455DC">
              <w:rPr>
                <w:lang w:eastAsia="de-DE"/>
              </w:rPr>
              <w:t>Characteristic relevant fatigue load (e.g. traffic load as defined in EN 1991 or other cyclic load)</w:t>
            </w:r>
          </w:p>
        </w:tc>
        <w:tc>
          <w:tcPr>
            <w:tcW w:w="1984" w:type="dxa"/>
          </w:tcPr>
          <w:p w14:paraId="40D039E6" w14:textId="5AE1C42A" w:rsidR="00F17916" w:rsidRPr="001455DC" w:rsidRDefault="00F17916" w:rsidP="009D3012">
            <w:pPr>
              <w:pStyle w:val="Tablebody"/>
              <w:jc w:val="left"/>
              <w:rPr>
                <w:lang w:eastAsia="de-DE"/>
              </w:rPr>
            </w:pPr>
            <w:r w:rsidRPr="009D3012">
              <w:rPr>
                <w:lang w:eastAsia="de-DE"/>
              </w:rPr>
              <w:t>10.2</w:t>
            </w:r>
          </w:p>
        </w:tc>
      </w:tr>
      <w:tr w:rsidR="00F17916" w:rsidRPr="001455DC" w14:paraId="393769B7" w14:textId="0F4A123C" w:rsidTr="009D3012">
        <w:trPr>
          <w:cantSplit/>
        </w:trPr>
        <w:tc>
          <w:tcPr>
            <w:tcW w:w="1418" w:type="dxa"/>
            <w:shd w:val="clear" w:color="auto" w:fill="auto"/>
          </w:tcPr>
          <w:p w14:paraId="15ECE340" w14:textId="77777777" w:rsidR="00F17916" w:rsidRPr="009D3012" w:rsidRDefault="00F17916" w:rsidP="00F17916">
            <w:pPr>
              <w:pStyle w:val="Tablebody"/>
              <w:rPr>
                <w:rStyle w:val="CCMCvariableitalic"/>
              </w:rPr>
            </w:pPr>
            <w:r w:rsidRPr="001455DC">
              <w:rPr>
                <w:rStyle w:val="CCMCvariableitalic"/>
              </w:rPr>
              <w:t>Q</w:t>
            </w:r>
            <w:r w:rsidRPr="001455DC">
              <w:rPr>
                <w:rStyle w:val="CCMCvariablesubscript"/>
              </w:rPr>
              <w:t>∞</w:t>
            </w:r>
          </w:p>
        </w:tc>
        <w:tc>
          <w:tcPr>
            <w:tcW w:w="6548" w:type="dxa"/>
            <w:shd w:val="clear" w:color="auto" w:fill="auto"/>
          </w:tcPr>
          <w:p w14:paraId="3BD6C459" w14:textId="77777777" w:rsidR="00F17916" w:rsidRPr="001455DC" w:rsidRDefault="00F17916" w:rsidP="000250B6">
            <w:pPr>
              <w:pStyle w:val="Tablebody"/>
              <w:jc w:val="left"/>
              <w:rPr>
                <w:lang w:eastAsia="de-DE"/>
              </w:rPr>
            </w:pPr>
            <w:r w:rsidRPr="001455DC">
              <w:t>Total amount of hydration heat</w:t>
            </w:r>
          </w:p>
        </w:tc>
        <w:tc>
          <w:tcPr>
            <w:tcW w:w="1984" w:type="dxa"/>
          </w:tcPr>
          <w:p w14:paraId="27AA4DEE" w14:textId="6413CD5A" w:rsidR="00F17916" w:rsidRPr="001455DC" w:rsidRDefault="00F17916" w:rsidP="009D3012">
            <w:pPr>
              <w:pStyle w:val="Tablebody"/>
              <w:jc w:val="left"/>
            </w:pPr>
            <w:r w:rsidRPr="009D3012">
              <w:rPr>
                <w:lang w:eastAsia="de-DE"/>
              </w:rPr>
              <w:t>D.</w:t>
            </w:r>
            <w:r w:rsidR="000632E7" w:rsidRPr="009D3012">
              <w:rPr>
                <w:lang w:eastAsia="de-DE"/>
              </w:rPr>
              <w:t>4</w:t>
            </w:r>
            <w:r w:rsidRPr="009D3012">
              <w:rPr>
                <w:lang w:eastAsia="de-DE"/>
              </w:rPr>
              <w:t>.2(1)</w:t>
            </w:r>
          </w:p>
        </w:tc>
      </w:tr>
      <w:tr w:rsidR="00F17916" w:rsidRPr="001455DC" w14:paraId="4ED7BF77" w14:textId="4B7C7DE6" w:rsidTr="009D3012">
        <w:trPr>
          <w:cantSplit/>
        </w:trPr>
        <w:tc>
          <w:tcPr>
            <w:tcW w:w="1418" w:type="dxa"/>
            <w:shd w:val="clear" w:color="auto" w:fill="auto"/>
          </w:tcPr>
          <w:p w14:paraId="1DDF7417" w14:textId="77777777" w:rsidR="00F17916" w:rsidRPr="009D3012" w:rsidRDefault="00F17916" w:rsidP="00F17916">
            <w:pPr>
              <w:pStyle w:val="Tablebody"/>
              <w:rPr>
                <w:rStyle w:val="CCMCvariableitalic"/>
              </w:rPr>
            </w:pPr>
            <w:r w:rsidRPr="001455DC">
              <w:rPr>
                <w:rStyle w:val="CCMCvariableitalic"/>
              </w:rPr>
              <w:t>R</w:t>
            </w:r>
          </w:p>
        </w:tc>
        <w:tc>
          <w:tcPr>
            <w:tcW w:w="6548" w:type="dxa"/>
            <w:shd w:val="clear" w:color="auto" w:fill="auto"/>
          </w:tcPr>
          <w:p w14:paraId="20754B55" w14:textId="77777777" w:rsidR="00F17916" w:rsidRPr="001455DC" w:rsidRDefault="00F17916" w:rsidP="000250B6">
            <w:pPr>
              <w:pStyle w:val="Tablebody"/>
              <w:jc w:val="left"/>
              <w:rPr>
                <w:lang w:eastAsia="de-DE"/>
              </w:rPr>
            </w:pPr>
            <w:r w:rsidRPr="001455DC">
              <w:rPr>
                <w:lang w:eastAsia="de-DE"/>
              </w:rPr>
              <w:t>Resistance</w:t>
            </w:r>
          </w:p>
        </w:tc>
        <w:tc>
          <w:tcPr>
            <w:tcW w:w="1984" w:type="dxa"/>
          </w:tcPr>
          <w:p w14:paraId="01F6C39D" w14:textId="77777777" w:rsidR="00F17916" w:rsidRPr="001455DC" w:rsidRDefault="00F17916" w:rsidP="009D3012">
            <w:pPr>
              <w:pStyle w:val="Tablebody"/>
              <w:jc w:val="left"/>
              <w:rPr>
                <w:lang w:eastAsia="de-DE"/>
              </w:rPr>
            </w:pPr>
          </w:p>
        </w:tc>
      </w:tr>
      <w:tr w:rsidR="00F17916" w:rsidRPr="001455DC" w14:paraId="727B1BF8" w14:textId="72BB1674" w:rsidTr="009D3012">
        <w:trPr>
          <w:cantSplit/>
        </w:trPr>
        <w:tc>
          <w:tcPr>
            <w:tcW w:w="1418" w:type="dxa"/>
            <w:shd w:val="clear" w:color="auto" w:fill="auto"/>
          </w:tcPr>
          <w:p w14:paraId="45D90BED" w14:textId="77777777" w:rsidR="00F17916" w:rsidRPr="009D3012" w:rsidRDefault="00F17916" w:rsidP="00F17916">
            <w:pPr>
              <w:pStyle w:val="Tablebody"/>
              <w:rPr>
                <w:rStyle w:val="CCMCvariableitalic"/>
              </w:rPr>
            </w:pPr>
            <w:r w:rsidRPr="001455DC">
              <w:rPr>
                <w:rStyle w:val="CCMCvariableitalic"/>
              </w:rPr>
              <w:t>R</w:t>
            </w:r>
            <w:r w:rsidRPr="001455DC">
              <w:rPr>
                <w:rStyle w:val="CCMCvariablesubscript"/>
              </w:rPr>
              <w:t>ax</w:t>
            </w:r>
          </w:p>
        </w:tc>
        <w:tc>
          <w:tcPr>
            <w:tcW w:w="6548" w:type="dxa"/>
            <w:shd w:val="clear" w:color="auto" w:fill="auto"/>
          </w:tcPr>
          <w:p w14:paraId="32AB58D1" w14:textId="77777777" w:rsidR="00F17916" w:rsidRPr="001455DC" w:rsidRDefault="00F17916" w:rsidP="000250B6">
            <w:pPr>
              <w:pStyle w:val="Tablebody"/>
              <w:jc w:val="left"/>
            </w:pPr>
            <w:r w:rsidRPr="001455DC">
              <w:rPr>
                <w:lang w:eastAsia="de-DE"/>
              </w:rPr>
              <w:t>Restraint factor</w:t>
            </w:r>
            <w:r w:rsidRPr="001455DC">
              <w:rPr>
                <w:rFonts w:eastAsiaTheme="minorHAnsi"/>
              </w:rPr>
              <w:t xml:space="preserve">, equal to 1,0 minus the ratio between the strain which develops in the restrained element and the value of the imposed strain. It may be estimated according to linear elastic analysis, and may account for staged construction, if relevant. At the base of a wall, </w:t>
            </w:r>
            <w:r w:rsidRPr="001455DC">
              <w:rPr>
                <w:rStyle w:val="CCMCvariableitalic"/>
                <w:rFonts w:eastAsiaTheme="minorHAnsi"/>
              </w:rPr>
              <w:t>R</w:t>
            </w:r>
            <w:r w:rsidRPr="001455DC">
              <w:rPr>
                <w:rStyle w:val="CCMCvariablesubscript"/>
                <w:rFonts w:eastAsiaTheme="minorHAnsi"/>
              </w:rPr>
              <w:t>ax</w:t>
            </w:r>
            <w:r w:rsidRPr="001455DC">
              <w:rPr>
                <w:rFonts w:eastAsiaTheme="minorHAnsi"/>
              </w:rPr>
              <w:t xml:space="preserve"> may normally be taken as 0,75.</w:t>
            </w:r>
          </w:p>
        </w:tc>
        <w:tc>
          <w:tcPr>
            <w:tcW w:w="1984" w:type="dxa"/>
          </w:tcPr>
          <w:p w14:paraId="0E5957BB" w14:textId="15D1510F" w:rsidR="00F17916" w:rsidRPr="001455DC" w:rsidRDefault="00F17916" w:rsidP="009D3012">
            <w:pPr>
              <w:pStyle w:val="Tablebody"/>
              <w:jc w:val="left"/>
              <w:rPr>
                <w:lang w:eastAsia="de-DE"/>
              </w:rPr>
            </w:pPr>
            <w:r w:rsidRPr="009D3012">
              <w:rPr>
                <w:lang w:eastAsia="de-DE"/>
              </w:rPr>
              <w:t>9.2.3(1), 9.2.4(3)</w:t>
            </w:r>
          </w:p>
        </w:tc>
      </w:tr>
      <w:tr w:rsidR="00F17916" w:rsidRPr="001455DC" w14:paraId="1A173929" w14:textId="14876798" w:rsidTr="009D3012">
        <w:trPr>
          <w:cantSplit/>
        </w:trPr>
        <w:tc>
          <w:tcPr>
            <w:tcW w:w="1418" w:type="dxa"/>
            <w:shd w:val="clear" w:color="auto" w:fill="auto"/>
          </w:tcPr>
          <w:p w14:paraId="77ECF552" w14:textId="77777777" w:rsidR="00F17916" w:rsidRPr="009D3012" w:rsidRDefault="00F17916" w:rsidP="00F17916">
            <w:pPr>
              <w:pStyle w:val="Tablebody"/>
              <w:rPr>
                <w:rStyle w:val="CCMCvariableitalic"/>
              </w:rPr>
            </w:pPr>
            <w:r w:rsidRPr="001455DC">
              <w:rPr>
                <w:rStyle w:val="CCMCvariableitalic"/>
              </w:rPr>
              <w:t>R</w:t>
            </w:r>
            <w:r w:rsidRPr="001455DC">
              <w:rPr>
                <w:rStyle w:val="CCMCvariablesubscript"/>
              </w:rPr>
              <w:t>ax,1</w:t>
            </w:r>
          </w:p>
        </w:tc>
        <w:tc>
          <w:tcPr>
            <w:tcW w:w="6548" w:type="dxa"/>
            <w:shd w:val="clear" w:color="auto" w:fill="auto"/>
          </w:tcPr>
          <w:p w14:paraId="588C5149" w14:textId="77777777" w:rsidR="00F17916" w:rsidRPr="001455DC" w:rsidRDefault="00F17916" w:rsidP="000250B6">
            <w:pPr>
              <w:pStyle w:val="Tablebody"/>
              <w:jc w:val="left"/>
              <w:rPr>
                <w:lang w:eastAsia="de-DE"/>
              </w:rPr>
            </w:pPr>
            <w:r w:rsidRPr="001455DC">
              <w:t>Restraint factor corresponding to the boundary conditions present after concreting</w:t>
            </w:r>
          </w:p>
        </w:tc>
        <w:tc>
          <w:tcPr>
            <w:tcW w:w="1984" w:type="dxa"/>
          </w:tcPr>
          <w:p w14:paraId="299DF0B6" w14:textId="0366B4E8" w:rsidR="00F17916" w:rsidRPr="001455DC" w:rsidRDefault="009D7EBE">
            <w:pPr>
              <w:pStyle w:val="Tablebody"/>
              <w:jc w:val="left"/>
            </w:pPr>
            <w:r w:rsidRPr="009D3012">
              <w:rPr>
                <w:lang w:eastAsia="de-DE"/>
              </w:rPr>
              <w:t>D.</w:t>
            </w:r>
            <w:r w:rsidR="00FF20F9" w:rsidRPr="001455DC">
              <w:rPr>
                <w:lang w:eastAsia="de-DE"/>
              </w:rPr>
              <w:t>5</w:t>
            </w:r>
            <w:r w:rsidRPr="009D3012">
              <w:rPr>
                <w:lang w:eastAsia="de-DE"/>
              </w:rPr>
              <w:t>(4), D.</w:t>
            </w:r>
            <w:r w:rsidR="00FF20F9" w:rsidRPr="001455DC">
              <w:rPr>
                <w:lang w:eastAsia="de-DE"/>
              </w:rPr>
              <w:t>6</w:t>
            </w:r>
            <w:r w:rsidRPr="009D3012">
              <w:rPr>
                <w:lang w:eastAsia="de-DE"/>
              </w:rPr>
              <w:t>(3)</w:t>
            </w:r>
          </w:p>
        </w:tc>
      </w:tr>
      <w:tr w:rsidR="009D7EBE" w:rsidRPr="001455DC" w14:paraId="3BDCB544" w14:textId="2B283C54" w:rsidTr="009D3012">
        <w:trPr>
          <w:cantSplit/>
        </w:trPr>
        <w:tc>
          <w:tcPr>
            <w:tcW w:w="1418" w:type="dxa"/>
            <w:shd w:val="clear" w:color="auto" w:fill="auto"/>
          </w:tcPr>
          <w:p w14:paraId="07F892FE" w14:textId="77777777" w:rsidR="009D7EBE" w:rsidRPr="009D3012" w:rsidRDefault="009D7EBE" w:rsidP="009D7EBE">
            <w:pPr>
              <w:pStyle w:val="Tablebody"/>
              <w:rPr>
                <w:rStyle w:val="CCMCvariableitalic"/>
              </w:rPr>
            </w:pPr>
            <w:r w:rsidRPr="001455DC">
              <w:rPr>
                <w:rStyle w:val="CCMCvariableitalic"/>
              </w:rPr>
              <w:t>R</w:t>
            </w:r>
            <w:r w:rsidRPr="001455DC">
              <w:rPr>
                <w:rStyle w:val="CCMCvariablesubscript"/>
              </w:rPr>
              <w:t>ax,2</w:t>
            </w:r>
          </w:p>
        </w:tc>
        <w:tc>
          <w:tcPr>
            <w:tcW w:w="6548" w:type="dxa"/>
            <w:shd w:val="clear" w:color="auto" w:fill="auto"/>
          </w:tcPr>
          <w:p w14:paraId="662BDD7B" w14:textId="77777777" w:rsidR="009D7EBE" w:rsidRPr="001455DC" w:rsidRDefault="009D7EBE" w:rsidP="000250B6">
            <w:pPr>
              <w:pStyle w:val="Tablebody"/>
              <w:jc w:val="left"/>
              <w:rPr>
                <w:lang w:eastAsia="de-DE"/>
              </w:rPr>
            </w:pPr>
            <w:r w:rsidRPr="001455DC">
              <w:rPr>
                <w:lang w:eastAsia="de-DE"/>
              </w:rPr>
              <w:t>Restraint factor corresponding to the boundary conditions present when the maximum temperature drop is expected to occur</w:t>
            </w:r>
          </w:p>
        </w:tc>
        <w:tc>
          <w:tcPr>
            <w:tcW w:w="1984" w:type="dxa"/>
          </w:tcPr>
          <w:p w14:paraId="419F1D8F" w14:textId="541D562E" w:rsidR="009D7EBE" w:rsidRPr="001455DC" w:rsidRDefault="009D7EBE" w:rsidP="009D3012">
            <w:pPr>
              <w:pStyle w:val="Tablebody"/>
              <w:jc w:val="left"/>
              <w:rPr>
                <w:lang w:eastAsia="de-DE"/>
              </w:rPr>
            </w:pPr>
            <w:r w:rsidRPr="009D3012">
              <w:rPr>
                <w:lang w:eastAsia="de-DE"/>
              </w:rPr>
              <w:t>D.</w:t>
            </w:r>
            <w:r w:rsidR="00FF20F9" w:rsidRPr="001455DC">
              <w:rPr>
                <w:lang w:eastAsia="de-DE"/>
              </w:rPr>
              <w:t>5</w:t>
            </w:r>
            <w:r w:rsidRPr="009D3012">
              <w:rPr>
                <w:lang w:eastAsia="de-DE"/>
              </w:rPr>
              <w:t>(4), D.</w:t>
            </w:r>
            <w:r w:rsidR="00FF20F9" w:rsidRPr="001455DC">
              <w:rPr>
                <w:lang w:eastAsia="de-DE"/>
              </w:rPr>
              <w:t>6</w:t>
            </w:r>
            <w:r w:rsidRPr="009D3012">
              <w:rPr>
                <w:lang w:eastAsia="de-DE"/>
              </w:rPr>
              <w:t>(3)</w:t>
            </w:r>
          </w:p>
        </w:tc>
      </w:tr>
      <w:tr w:rsidR="009D7EBE" w:rsidRPr="001455DC" w14:paraId="31D033F0" w14:textId="103DD5E3" w:rsidTr="009D3012">
        <w:trPr>
          <w:cantSplit/>
        </w:trPr>
        <w:tc>
          <w:tcPr>
            <w:tcW w:w="1418" w:type="dxa"/>
            <w:shd w:val="clear" w:color="auto" w:fill="auto"/>
          </w:tcPr>
          <w:p w14:paraId="1D22B5AA" w14:textId="77777777" w:rsidR="009D7EBE" w:rsidRPr="001455DC" w:rsidRDefault="009D7EBE" w:rsidP="009D7EBE">
            <w:pPr>
              <w:pStyle w:val="Tablebody"/>
            </w:pPr>
            <w:r w:rsidRPr="001455DC">
              <w:rPr>
                <w:rStyle w:val="CCMCvariableitalic"/>
              </w:rPr>
              <w:t>R</w:t>
            </w:r>
            <w:r w:rsidRPr="001455DC">
              <w:rPr>
                <w:rStyle w:val="CCMCvariablesubscript"/>
              </w:rPr>
              <w:t>ax,3</w:t>
            </w:r>
          </w:p>
        </w:tc>
        <w:tc>
          <w:tcPr>
            <w:tcW w:w="6548" w:type="dxa"/>
            <w:shd w:val="clear" w:color="auto" w:fill="auto"/>
          </w:tcPr>
          <w:p w14:paraId="57A00AEE" w14:textId="77777777" w:rsidR="009D7EBE" w:rsidRPr="001455DC" w:rsidRDefault="009D7EBE" w:rsidP="000250B6">
            <w:pPr>
              <w:pStyle w:val="Tablebody"/>
              <w:jc w:val="left"/>
              <w:rPr>
                <w:lang w:eastAsia="de-DE"/>
              </w:rPr>
            </w:pPr>
            <w:r w:rsidRPr="001455DC">
              <w:t>Restraint factor corresponding to the boundary conditions prevalent during the development of drying shrinkage</w:t>
            </w:r>
          </w:p>
        </w:tc>
        <w:tc>
          <w:tcPr>
            <w:tcW w:w="1984" w:type="dxa"/>
          </w:tcPr>
          <w:p w14:paraId="2F431E43" w14:textId="3C9B43CF" w:rsidR="009D7EBE" w:rsidRPr="001455DC" w:rsidRDefault="009D7EBE" w:rsidP="009D3012">
            <w:pPr>
              <w:pStyle w:val="Tablebody"/>
              <w:jc w:val="left"/>
            </w:pPr>
            <w:r w:rsidRPr="009D3012">
              <w:rPr>
                <w:lang w:eastAsia="de-DE"/>
              </w:rPr>
              <w:t>D.</w:t>
            </w:r>
            <w:r w:rsidR="00FF20F9" w:rsidRPr="001455DC">
              <w:rPr>
                <w:lang w:eastAsia="de-DE"/>
              </w:rPr>
              <w:t>5</w:t>
            </w:r>
            <w:r w:rsidRPr="009D3012">
              <w:rPr>
                <w:lang w:eastAsia="de-DE"/>
              </w:rPr>
              <w:t>(4), D.</w:t>
            </w:r>
            <w:r w:rsidR="00FF20F9" w:rsidRPr="001455DC">
              <w:rPr>
                <w:lang w:eastAsia="de-DE"/>
              </w:rPr>
              <w:t>6</w:t>
            </w:r>
            <w:r w:rsidRPr="009D3012">
              <w:rPr>
                <w:lang w:eastAsia="de-DE"/>
              </w:rPr>
              <w:t>(3)</w:t>
            </w:r>
          </w:p>
        </w:tc>
      </w:tr>
      <w:tr w:rsidR="009D7EBE" w:rsidRPr="001455DC" w14:paraId="72E22801" w14:textId="3CECBE0A" w:rsidTr="009D3012">
        <w:trPr>
          <w:cantSplit/>
        </w:trPr>
        <w:tc>
          <w:tcPr>
            <w:tcW w:w="1418" w:type="dxa"/>
            <w:shd w:val="clear" w:color="auto" w:fill="auto"/>
          </w:tcPr>
          <w:p w14:paraId="1B65521C" w14:textId="77777777" w:rsidR="009D7EBE" w:rsidRPr="009D3012" w:rsidRDefault="009D7EBE" w:rsidP="009D7EBE">
            <w:pPr>
              <w:pStyle w:val="Tablebody"/>
              <w:rPr>
                <w:rStyle w:val="CCMCvariableitalic"/>
              </w:rPr>
            </w:pPr>
            <w:r w:rsidRPr="001455DC">
              <w:rPr>
                <w:rStyle w:val="CCMCvariableitalic"/>
              </w:rPr>
              <w:t>R</w:t>
            </w:r>
            <w:r w:rsidRPr="001455DC">
              <w:rPr>
                <w:rStyle w:val="CCMCvariablesubscript"/>
              </w:rPr>
              <w:t>cr</w:t>
            </w:r>
          </w:p>
        </w:tc>
        <w:tc>
          <w:tcPr>
            <w:tcW w:w="6548" w:type="dxa"/>
            <w:shd w:val="clear" w:color="auto" w:fill="auto"/>
          </w:tcPr>
          <w:p w14:paraId="190BC06F" w14:textId="77777777" w:rsidR="009D7EBE" w:rsidRPr="001455DC" w:rsidRDefault="009D7EBE" w:rsidP="000250B6">
            <w:pPr>
              <w:pStyle w:val="Tablebody"/>
              <w:jc w:val="left"/>
              <w:rPr>
                <w:lang w:eastAsia="de-DE"/>
              </w:rPr>
            </w:pPr>
            <w:r w:rsidRPr="001455DC">
              <w:rPr>
                <w:lang w:eastAsia="de-DE"/>
              </w:rPr>
              <w:t>Cracking risk</w:t>
            </w:r>
          </w:p>
        </w:tc>
        <w:tc>
          <w:tcPr>
            <w:tcW w:w="1984" w:type="dxa"/>
          </w:tcPr>
          <w:p w14:paraId="61436D55" w14:textId="2B8538BD" w:rsidR="009D7EBE" w:rsidRPr="001455DC" w:rsidRDefault="009D7EBE" w:rsidP="009D3012">
            <w:pPr>
              <w:pStyle w:val="Tablebody"/>
              <w:jc w:val="left"/>
              <w:rPr>
                <w:lang w:eastAsia="de-DE"/>
              </w:rPr>
            </w:pPr>
            <w:r w:rsidRPr="009D3012">
              <w:rPr>
                <w:lang w:eastAsia="de-DE"/>
              </w:rPr>
              <w:t>D.</w:t>
            </w:r>
            <w:r w:rsidR="00FF20F9" w:rsidRPr="001455DC">
              <w:rPr>
                <w:lang w:eastAsia="de-DE"/>
              </w:rPr>
              <w:t>5</w:t>
            </w:r>
            <w:r w:rsidRPr="009D3012">
              <w:rPr>
                <w:lang w:eastAsia="de-DE"/>
              </w:rPr>
              <w:t>( 2)</w:t>
            </w:r>
          </w:p>
        </w:tc>
      </w:tr>
      <w:tr w:rsidR="009D7EBE" w:rsidRPr="001455DC" w14:paraId="6B09D1BF" w14:textId="72C63EB3" w:rsidTr="009D3012">
        <w:trPr>
          <w:cantSplit/>
        </w:trPr>
        <w:tc>
          <w:tcPr>
            <w:tcW w:w="1418" w:type="dxa"/>
            <w:shd w:val="clear" w:color="auto" w:fill="auto"/>
          </w:tcPr>
          <w:p w14:paraId="6925ABB7" w14:textId="77777777" w:rsidR="009D7EBE" w:rsidRPr="009D3012" w:rsidRDefault="009D7EBE" w:rsidP="009D7EBE">
            <w:pPr>
              <w:pStyle w:val="Tablebody"/>
              <w:rPr>
                <w:rStyle w:val="CCMCvariableitalic"/>
              </w:rPr>
            </w:pPr>
            <w:r w:rsidRPr="001455DC">
              <w:rPr>
                <w:rStyle w:val="CCMCvariableitalic"/>
              </w:rPr>
              <w:t>R</w:t>
            </w:r>
            <w:r w:rsidRPr="001455DC">
              <w:rPr>
                <w:rStyle w:val="CCMCvariablesubscript"/>
              </w:rPr>
              <w:t>ea,cr</w:t>
            </w:r>
          </w:p>
        </w:tc>
        <w:tc>
          <w:tcPr>
            <w:tcW w:w="6548" w:type="dxa"/>
            <w:shd w:val="clear" w:color="auto" w:fill="auto"/>
          </w:tcPr>
          <w:p w14:paraId="65398756" w14:textId="77777777" w:rsidR="009D7EBE" w:rsidRPr="001455DC" w:rsidRDefault="009D7EBE" w:rsidP="000250B6">
            <w:pPr>
              <w:pStyle w:val="Tablebody"/>
              <w:jc w:val="left"/>
              <w:rPr>
                <w:lang w:eastAsia="de-DE"/>
              </w:rPr>
            </w:pPr>
            <w:r w:rsidRPr="001455DC">
              <w:rPr>
                <w:lang w:eastAsia="de-DE"/>
              </w:rPr>
              <w:t>Project parameter related to the admissible risk of cracking</w:t>
            </w:r>
          </w:p>
        </w:tc>
        <w:tc>
          <w:tcPr>
            <w:tcW w:w="1984" w:type="dxa"/>
          </w:tcPr>
          <w:p w14:paraId="3A605DA7" w14:textId="30DE6AA6" w:rsidR="009D7EBE" w:rsidRPr="001455DC" w:rsidRDefault="009D7EBE" w:rsidP="009D3012">
            <w:pPr>
              <w:pStyle w:val="Tablebody"/>
              <w:jc w:val="left"/>
              <w:rPr>
                <w:lang w:eastAsia="de-DE"/>
              </w:rPr>
            </w:pPr>
            <w:r w:rsidRPr="009D3012">
              <w:rPr>
                <w:lang w:eastAsia="de-DE"/>
              </w:rPr>
              <w:t>D.</w:t>
            </w:r>
            <w:r w:rsidR="00FF20F9" w:rsidRPr="001455DC">
              <w:rPr>
                <w:lang w:eastAsia="de-DE"/>
              </w:rPr>
              <w:t>5</w:t>
            </w:r>
            <w:r w:rsidRPr="009D3012">
              <w:rPr>
                <w:lang w:eastAsia="de-DE"/>
              </w:rPr>
              <w:t>(2)</w:t>
            </w:r>
          </w:p>
        </w:tc>
      </w:tr>
      <w:tr w:rsidR="009D7EBE" w:rsidRPr="001455DC" w14:paraId="2074D61D" w14:textId="1DF596A1" w:rsidTr="009D3012">
        <w:trPr>
          <w:cantSplit/>
        </w:trPr>
        <w:tc>
          <w:tcPr>
            <w:tcW w:w="1418" w:type="dxa"/>
            <w:shd w:val="clear" w:color="auto" w:fill="auto"/>
          </w:tcPr>
          <w:p w14:paraId="72C06E9D" w14:textId="77777777" w:rsidR="009D7EBE" w:rsidRPr="009D3012" w:rsidRDefault="009D7EBE" w:rsidP="009D7EBE">
            <w:pPr>
              <w:pStyle w:val="Tablebody"/>
              <w:rPr>
                <w:rStyle w:val="CCMCvariableitalic"/>
              </w:rPr>
            </w:pPr>
            <w:r w:rsidRPr="001455DC">
              <w:rPr>
                <w:rStyle w:val="CCMCvariableitalic"/>
              </w:rPr>
              <w:t>R</w:t>
            </w:r>
            <w:r w:rsidRPr="001455DC">
              <w:rPr>
                <w:rStyle w:val="CCMCvariablesubscript"/>
              </w:rPr>
              <w:t>d</w:t>
            </w:r>
          </w:p>
        </w:tc>
        <w:tc>
          <w:tcPr>
            <w:tcW w:w="6548" w:type="dxa"/>
            <w:shd w:val="clear" w:color="auto" w:fill="auto"/>
          </w:tcPr>
          <w:p w14:paraId="5B608255" w14:textId="77777777" w:rsidR="009D7EBE" w:rsidRPr="001455DC" w:rsidRDefault="009D7EBE" w:rsidP="000250B6">
            <w:pPr>
              <w:pStyle w:val="Tablebody"/>
              <w:jc w:val="left"/>
              <w:rPr>
                <w:lang w:eastAsia="de-DE"/>
              </w:rPr>
            </w:pPr>
            <w:r w:rsidRPr="001455DC">
              <w:rPr>
                <w:lang w:eastAsia="de-DE"/>
              </w:rPr>
              <w:t xml:space="preserve">Design value of the resistance </w:t>
            </w:r>
          </w:p>
        </w:tc>
        <w:tc>
          <w:tcPr>
            <w:tcW w:w="1984" w:type="dxa"/>
          </w:tcPr>
          <w:p w14:paraId="71A0527C" w14:textId="5FAE40CA" w:rsidR="009D7EBE" w:rsidRPr="001455DC" w:rsidRDefault="009D7EBE" w:rsidP="009D3012">
            <w:pPr>
              <w:pStyle w:val="Tablebody"/>
              <w:jc w:val="left"/>
              <w:rPr>
                <w:lang w:eastAsia="de-DE"/>
              </w:rPr>
            </w:pPr>
            <w:r w:rsidRPr="009D3012">
              <w:rPr>
                <w:lang w:eastAsia="de-DE"/>
              </w:rPr>
              <w:t>F.</w:t>
            </w:r>
            <w:r w:rsidR="00B603A5" w:rsidRPr="001455DC">
              <w:rPr>
                <w:lang w:eastAsia="de-DE"/>
              </w:rPr>
              <w:t>3</w:t>
            </w:r>
            <w:r w:rsidRPr="009D3012">
              <w:rPr>
                <w:lang w:eastAsia="de-DE"/>
              </w:rPr>
              <w:t>.(3)</w:t>
            </w:r>
          </w:p>
        </w:tc>
      </w:tr>
      <w:tr w:rsidR="009D7EBE" w:rsidRPr="001455DC" w14:paraId="50A39DCB" w14:textId="2E896180" w:rsidTr="009D3012">
        <w:trPr>
          <w:cantSplit/>
        </w:trPr>
        <w:tc>
          <w:tcPr>
            <w:tcW w:w="1418" w:type="dxa"/>
            <w:shd w:val="clear" w:color="auto" w:fill="auto"/>
          </w:tcPr>
          <w:p w14:paraId="3D46EB34" w14:textId="77777777" w:rsidR="009D7EBE" w:rsidRPr="009D3012" w:rsidRDefault="009D7EBE" w:rsidP="009D7EBE">
            <w:pPr>
              <w:pStyle w:val="Tablebody"/>
              <w:rPr>
                <w:rStyle w:val="CCMCvariableitalic"/>
              </w:rPr>
            </w:pPr>
            <w:r w:rsidRPr="001455DC">
              <w:rPr>
                <w:rStyle w:val="CCMCvariableitalic"/>
              </w:rPr>
              <w:t>RH</w:t>
            </w:r>
            <w:r w:rsidRPr="001455DC">
              <w:rPr>
                <w:rStyle w:val="CCMCvariablesubscript"/>
              </w:rPr>
              <w:t>eq</w:t>
            </w:r>
          </w:p>
        </w:tc>
        <w:tc>
          <w:tcPr>
            <w:tcW w:w="6548" w:type="dxa"/>
            <w:shd w:val="clear" w:color="auto" w:fill="auto"/>
          </w:tcPr>
          <w:p w14:paraId="64BA0D78" w14:textId="77777777" w:rsidR="009D7EBE" w:rsidRPr="001455DC" w:rsidRDefault="009D7EBE" w:rsidP="000250B6">
            <w:pPr>
              <w:pStyle w:val="Tablebody"/>
              <w:jc w:val="left"/>
            </w:pPr>
            <w:r w:rsidRPr="001455DC">
              <w:t>Internal relative humidity of concrete at equilibrium, accounting for self-desiccation in high performance concrete</w:t>
            </w:r>
          </w:p>
        </w:tc>
        <w:tc>
          <w:tcPr>
            <w:tcW w:w="1984" w:type="dxa"/>
          </w:tcPr>
          <w:p w14:paraId="676E281D" w14:textId="629CFA84" w:rsidR="009D7EBE" w:rsidRPr="001455DC" w:rsidRDefault="009D7EBE" w:rsidP="009D3012">
            <w:pPr>
              <w:pStyle w:val="Tablebody"/>
              <w:jc w:val="left"/>
            </w:pPr>
            <w:r w:rsidRPr="009D3012">
              <w:rPr>
                <w:lang w:eastAsia="de-DE"/>
              </w:rPr>
              <w:t>B.</w:t>
            </w:r>
            <w:r w:rsidR="001A17A7" w:rsidRPr="009D3012">
              <w:rPr>
                <w:lang w:eastAsia="de-DE"/>
              </w:rPr>
              <w:t>5</w:t>
            </w:r>
            <w:r w:rsidRPr="009D3012">
              <w:rPr>
                <w:lang w:eastAsia="de-DE"/>
              </w:rPr>
              <w:t>(3)</w:t>
            </w:r>
          </w:p>
        </w:tc>
      </w:tr>
      <w:tr w:rsidR="009D7EBE" w:rsidRPr="001455DC" w14:paraId="6E3EF555" w14:textId="0805DEB8" w:rsidTr="009D3012">
        <w:trPr>
          <w:cantSplit/>
        </w:trPr>
        <w:tc>
          <w:tcPr>
            <w:tcW w:w="1418" w:type="dxa"/>
            <w:shd w:val="clear" w:color="auto" w:fill="auto"/>
          </w:tcPr>
          <w:p w14:paraId="2FE94F7C" w14:textId="77777777" w:rsidR="009D7EBE" w:rsidRPr="009D3012" w:rsidRDefault="009D7EBE" w:rsidP="009D7EBE">
            <w:pPr>
              <w:pStyle w:val="Tablebody"/>
              <w:rPr>
                <w:rStyle w:val="CCMCvariableitalic"/>
              </w:rPr>
            </w:pPr>
            <w:r w:rsidRPr="001455DC">
              <w:rPr>
                <w:rStyle w:val="CCMCvariableitalic"/>
              </w:rPr>
              <w:t>RH</w:t>
            </w:r>
          </w:p>
        </w:tc>
        <w:tc>
          <w:tcPr>
            <w:tcW w:w="6548" w:type="dxa"/>
            <w:shd w:val="clear" w:color="auto" w:fill="auto"/>
          </w:tcPr>
          <w:p w14:paraId="249B209D" w14:textId="77777777" w:rsidR="009D7EBE" w:rsidRPr="001455DC" w:rsidRDefault="009D7EBE" w:rsidP="000250B6">
            <w:pPr>
              <w:pStyle w:val="Tablebody"/>
              <w:jc w:val="left"/>
            </w:pPr>
            <w:r w:rsidRPr="001455DC">
              <w:t>Relative humidity of the ambient environment in %</w:t>
            </w:r>
          </w:p>
        </w:tc>
        <w:tc>
          <w:tcPr>
            <w:tcW w:w="1984" w:type="dxa"/>
          </w:tcPr>
          <w:p w14:paraId="643DE7D2" w14:textId="506CA521" w:rsidR="009D7EBE" w:rsidRPr="001455DC" w:rsidRDefault="009D7EBE" w:rsidP="009D3012">
            <w:pPr>
              <w:pStyle w:val="Tablebody"/>
              <w:jc w:val="left"/>
            </w:pPr>
            <w:r w:rsidRPr="009D3012">
              <w:rPr>
                <w:lang w:eastAsia="de-DE"/>
              </w:rPr>
              <w:t>B.</w:t>
            </w:r>
            <w:r w:rsidR="007D653E" w:rsidRPr="009D3012">
              <w:rPr>
                <w:lang w:eastAsia="de-DE"/>
              </w:rPr>
              <w:t>4</w:t>
            </w:r>
            <w:r w:rsidRPr="009D3012">
              <w:rPr>
                <w:lang w:eastAsia="de-DE"/>
              </w:rPr>
              <w:t>(3)</w:t>
            </w:r>
          </w:p>
        </w:tc>
      </w:tr>
      <w:tr w:rsidR="009D7EBE" w:rsidRPr="001455DC" w14:paraId="72CF00BF" w14:textId="35F35F39" w:rsidTr="009D3012">
        <w:trPr>
          <w:cantSplit/>
        </w:trPr>
        <w:tc>
          <w:tcPr>
            <w:tcW w:w="1418" w:type="dxa"/>
            <w:shd w:val="clear" w:color="auto" w:fill="auto"/>
          </w:tcPr>
          <w:p w14:paraId="0056B6F8" w14:textId="77777777" w:rsidR="009D7EBE" w:rsidRPr="009D3012" w:rsidRDefault="009D7EBE" w:rsidP="009D7EBE">
            <w:pPr>
              <w:pStyle w:val="Tablebody"/>
              <w:rPr>
                <w:rStyle w:val="CCMCvariableitalic"/>
              </w:rPr>
            </w:pPr>
            <w:r w:rsidRPr="001455DC">
              <w:rPr>
                <w:rStyle w:val="CCMCvariableitalic"/>
              </w:rPr>
              <w:t>R</w:t>
            </w:r>
            <w:r w:rsidRPr="001455DC">
              <w:rPr>
                <w:rStyle w:val="CCMCvariablesubscript"/>
              </w:rPr>
              <w:t>k</w:t>
            </w:r>
          </w:p>
        </w:tc>
        <w:tc>
          <w:tcPr>
            <w:tcW w:w="6548" w:type="dxa"/>
            <w:shd w:val="clear" w:color="auto" w:fill="auto"/>
          </w:tcPr>
          <w:p w14:paraId="19B5E997" w14:textId="77777777" w:rsidR="009D7EBE" w:rsidRPr="001455DC" w:rsidRDefault="009D7EBE" w:rsidP="000250B6">
            <w:pPr>
              <w:pStyle w:val="Tablebody"/>
              <w:jc w:val="left"/>
            </w:pPr>
            <w:r w:rsidRPr="001455DC">
              <w:t>Structural resistance based on a non-linear verification performed using the characteristic value of the material properties and the nominal geometrical data</w:t>
            </w:r>
          </w:p>
        </w:tc>
        <w:tc>
          <w:tcPr>
            <w:tcW w:w="1984" w:type="dxa"/>
          </w:tcPr>
          <w:p w14:paraId="5498D1D1" w14:textId="77777777" w:rsidR="009D7EBE" w:rsidRPr="001455DC" w:rsidRDefault="009D7EBE" w:rsidP="009D3012">
            <w:pPr>
              <w:pStyle w:val="Tablebody"/>
              <w:jc w:val="left"/>
            </w:pPr>
          </w:p>
        </w:tc>
      </w:tr>
      <w:tr w:rsidR="009D7EBE" w:rsidRPr="001455DC" w14:paraId="23D30ED7" w14:textId="05B61D0A" w:rsidTr="009D3012">
        <w:trPr>
          <w:cantSplit/>
        </w:trPr>
        <w:tc>
          <w:tcPr>
            <w:tcW w:w="1418" w:type="dxa"/>
            <w:shd w:val="clear" w:color="auto" w:fill="auto"/>
          </w:tcPr>
          <w:p w14:paraId="0A5CA51E" w14:textId="77777777" w:rsidR="009D7EBE" w:rsidRPr="009D3012" w:rsidRDefault="009D7EBE" w:rsidP="009D7EBE">
            <w:pPr>
              <w:pStyle w:val="Tablebody"/>
              <w:rPr>
                <w:rStyle w:val="CCMCvariableitalic"/>
              </w:rPr>
            </w:pPr>
            <w:r w:rsidRPr="001455DC">
              <w:rPr>
                <w:rStyle w:val="CCMCvariableitalic"/>
              </w:rPr>
              <w:t>R</w:t>
            </w:r>
            <w:r w:rsidRPr="001455DC">
              <w:rPr>
                <w:rStyle w:val="CCMCvariablesubscript"/>
              </w:rPr>
              <w:t>m</w:t>
            </w:r>
          </w:p>
        </w:tc>
        <w:tc>
          <w:tcPr>
            <w:tcW w:w="6548" w:type="dxa"/>
            <w:shd w:val="clear" w:color="auto" w:fill="auto"/>
          </w:tcPr>
          <w:p w14:paraId="1F373403" w14:textId="77777777" w:rsidR="009D7EBE" w:rsidRPr="001455DC" w:rsidRDefault="009D7EBE" w:rsidP="000250B6">
            <w:pPr>
              <w:pStyle w:val="Tablebody"/>
              <w:jc w:val="left"/>
              <w:rPr>
                <w:lang w:eastAsia="de-DE"/>
              </w:rPr>
            </w:pPr>
            <w:r w:rsidRPr="001455DC">
              <w:t>Structural resistance based on a non-linear verification performed using the mean values of the material properties and the nominal geometrical dimensions</w:t>
            </w:r>
          </w:p>
        </w:tc>
        <w:tc>
          <w:tcPr>
            <w:tcW w:w="1984" w:type="dxa"/>
          </w:tcPr>
          <w:p w14:paraId="3684C181" w14:textId="3AF86118" w:rsidR="009D7EBE" w:rsidRPr="001455DC" w:rsidRDefault="009D7EBE" w:rsidP="009D3012">
            <w:pPr>
              <w:pStyle w:val="Tablebody"/>
              <w:jc w:val="left"/>
            </w:pPr>
            <w:r w:rsidRPr="009D3012">
              <w:rPr>
                <w:lang w:eastAsia="de-DE"/>
              </w:rPr>
              <w:t>F.</w:t>
            </w:r>
            <w:r w:rsidR="00B603A5" w:rsidRPr="001455DC">
              <w:rPr>
                <w:lang w:eastAsia="de-DE"/>
              </w:rPr>
              <w:t>5</w:t>
            </w:r>
            <w:r w:rsidRPr="009D3012">
              <w:rPr>
                <w:lang w:eastAsia="de-DE"/>
              </w:rPr>
              <w:t>.1(1)</w:t>
            </w:r>
          </w:p>
        </w:tc>
      </w:tr>
      <w:tr w:rsidR="009D7EBE" w:rsidRPr="001455DC" w14:paraId="270E9424" w14:textId="1E004689" w:rsidTr="009D3012">
        <w:trPr>
          <w:cantSplit/>
        </w:trPr>
        <w:tc>
          <w:tcPr>
            <w:tcW w:w="1418" w:type="dxa"/>
            <w:shd w:val="clear" w:color="auto" w:fill="auto"/>
          </w:tcPr>
          <w:p w14:paraId="72ED06F9" w14:textId="77777777" w:rsidR="009D7EBE" w:rsidRPr="009D3012" w:rsidRDefault="009D7EBE" w:rsidP="009D7EBE">
            <w:pPr>
              <w:pStyle w:val="Tablebody"/>
              <w:rPr>
                <w:rStyle w:val="CCMCvariableitalic"/>
              </w:rPr>
            </w:pPr>
            <w:r w:rsidRPr="001455DC">
              <w:rPr>
                <w:rStyle w:val="CCMCvariableitalic"/>
              </w:rPr>
              <w:t>R</w:t>
            </w:r>
            <w:r w:rsidRPr="001455DC">
              <w:rPr>
                <w:rStyle w:val="CCMCvariablesubscript"/>
              </w:rPr>
              <w:t>min</w:t>
            </w:r>
          </w:p>
        </w:tc>
        <w:tc>
          <w:tcPr>
            <w:tcW w:w="6548" w:type="dxa"/>
            <w:shd w:val="clear" w:color="auto" w:fill="auto"/>
          </w:tcPr>
          <w:p w14:paraId="0A31797E" w14:textId="77777777" w:rsidR="009D7EBE" w:rsidRPr="001455DC" w:rsidRDefault="009D7EBE" w:rsidP="000250B6">
            <w:pPr>
              <w:pStyle w:val="Tablebody"/>
              <w:jc w:val="left"/>
            </w:pPr>
            <w:r w:rsidRPr="001455DC">
              <w:t>Minimum radius of curvature of tendons</w:t>
            </w:r>
          </w:p>
        </w:tc>
        <w:tc>
          <w:tcPr>
            <w:tcW w:w="1984" w:type="dxa"/>
          </w:tcPr>
          <w:p w14:paraId="0B9EB2FD" w14:textId="5D261165" w:rsidR="009D7EBE" w:rsidRPr="001455DC" w:rsidRDefault="009D7EBE" w:rsidP="009D3012">
            <w:pPr>
              <w:pStyle w:val="Tablebody"/>
              <w:jc w:val="left"/>
            </w:pPr>
            <w:r w:rsidRPr="009D3012">
              <w:rPr>
                <w:lang w:eastAsia="de-DE"/>
              </w:rPr>
              <w:t>11.6.3</w:t>
            </w:r>
          </w:p>
        </w:tc>
      </w:tr>
      <w:tr w:rsidR="009D7EBE" w:rsidRPr="001455DC" w14:paraId="1B9149B1" w14:textId="624556BF" w:rsidTr="009D3012">
        <w:trPr>
          <w:cantSplit/>
        </w:trPr>
        <w:tc>
          <w:tcPr>
            <w:tcW w:w="1418" w:type="dxa"/>
            <w:shd w:val="clear" w:color="auto" w:fill="auto"/>
          </w:tcPr>
          <w:p w14:paraId="7555F9D9" w14:textId="77777777" w:rsidR="009D7EBE" w:rsidRPr="009D3012" w:rsidRDefault="009D7EBE" w:rsidP="009D7EBE">
            <w:pPr>
              <w:pStyle w:val="Tablebody"/>
              <w:rPr>
                <w:rStyle w:val="CCMCvariableitalic"/>
              </w:rPr>
            </w:pPr>
            <w:r w:rsidRPr="001455DC">
              <w:rPr>
                <w:rStyle w:val="CCMCvariableitalic"/>
              </w:rPr>
              <w:t>S</w:t>
            </w:r>
          </w:p>
        </w:tc>
        <w:tc>
          <w:tcPr>
            <w:tcW w:w="6548" w:type="dxa"/>
            <w:shd w:val="clear" w:color="auto" w:fill="auto"/>
          </w:tcPr>
          <w:p w14:paraId="7E5EF2B0" w14:textId="77777777" w:rsidR="009D7EBE" w:rsidRPr="001455DC" w:rsidRDefault="009D7EBE" w:rsidP="000250B6">
            <w:pPr>
              <w:pStyle w:val="Tablebody"/>
              <w:jc w:val="left"/>
              <w:rPr>
                <w:lang w:eastAsia="de-DE"/>
              </w:rPr>
            </w:pPr>
            <w:r w:rsidRPr="001455DC">
              <w:rPr>
                <w:lang w:eastAsia="de-DE"/>
              </w:rPr>
              <w:t>First moment of area above and about the centroidal axis</w:t>
            </w:r>
          </w:p>
        </w:tc>
        <w:tc>
          <w:tcPr>
            <w:tcW w:w="1984" w:type="dxa"/>
          </w:tcPr>
          <w:p w14:paraId="191DB821" w14:textId="187632F9" w:rsidR="009D7EBE" w:rsidRPr="001455DC" w:rsidRDefault="009D7EBE" w:rsidP="009D3012">
            <w:pPr>
              <w:pStyle w:val="Tablebody"/>
              <w:jc w:val="left"/>
              <w:rPr>
                <w:lang w:eastAsia="de-DE"/>
              </w:rPr>
            </w:pPr>
            <w:r w:rsidRPr="009D3012">
              <w:rPr>
                <w:lang w:eastAsia="de-DE"/>
              </w:rPr>
              <w:t>13.5.5(2)</w:t>
            </w:r>
          </w:p>
        </w:tc>
      </w:tr>
      <w:tr w:rsidR="009D7EBE" w:rsidRPr="001455DC" w14:paraId="081856FB" w14:textId="242D7C31" w:rsidTr="009D3012">
        <w:trPr>
          <w:cantSplit/>
        </w:trPr>
        <w:tc>
          <w:tcPr>
            <w:tcW w:w="1418" w:type="dxa"/>
            <w:shd w:val="clear" w:color="auto" w:fill="auto"/>
          </w:tcPr>
          <w:p w14:paraId="2FC4D99A" w14:textId="77777777" w:rsidR="009D7EBE" w:rsidRPr="009D3012" w:rsidRDefault="009D7EBE" w:rsidP="009D7EBE">
            <w:pPr>
              <w:pStyle w:val="Tablebody"/>
              <w:rPr>
                <w:rStyle w:val="CCMCvariableitalic"/>
              </w:rPr>
            </w:pPr>
            <w:r w:rsidRPr="001455DC">
              <w:rPr>
                <w:rStyle w:val="CCMCvariableitalic"/>
              </w:rPr>
              <w:t>E</w:t>
            </w:r>
            <w:r w:rsidRPr="001455DC">
              <w:rPr>
                <w:rStyle w:val="CCMCvariablesubscript"/>
              </w:rPr>
              <w:t>wc</w:t>
            </w:r>
          </w:p>
        </w:tc>
        <w:tc>
          <w:tcPr>
            <w:tcW w:w="6548" w:type="dxa"/>
            <w:shd w:val="clear" w:color="auto" w:fill="auto"/>
          </w:tcPr>
          <w:p w14:paraId="2DDCBBAB" w14:textId="77777777" w:rsidR="009D7EBE" w:rsidRPr="001455DC" w:rsidRDefault="009D7EBE" w:rsidP="000250B6">
            <w:pPr>
              <w:pStyle w:val="Tablebody"/>
              <w:jc w:val="left"/>
              <w:rPr>
                <w:lang w:eastAsia="de-DE"/>
              </w:rPr>
            </w:pPr>
            <w:r w:rsidRPr="001455DC">
              <w:rPr>
                <w:lang w:eastAsia="de-DE"/>
              </w:rPr>
              <w:t>Force or stress assuming the structure was built without changes in the support conditions</w:t>
            </w:r>
          </w:p>
        </w:tc>
        <w:tc>
          <w:tcPr>
            <w:tcW w:w="1984" w:type="dxa"/>
          </w:tcPr>
          <w:p w14:paraId="0002321B" w14:textId="098E47C9" w:rsidR="009D7EBE" w:rsidRPr="001455DC" w:rsidRDefault="009D7EBE" w:rsidP="009D3012">
            <w:pPr>
              <w:pStyle w:val="Tablebody"/>
              <w:jc w:val="left"/>
              <w:rPr>
                <w:lang w:eastAsia="de-DE"/>
              </w:rPr>
            </w:pPr>
            <w:r w:rsidRPr="009D3012">
              <w:rPr>
                <w:lang w:eastAsia="de-DE"/>
              </w:rPr>
              <w:t>7.4(7)</w:t>
            </w:r>
          </w:p>
        </w:tc>
      </w:tr>
      <w:tr w:rsidR="009D7EBE" w:rsidRPr="001455DC" w14:paraId="03DE47BF" w14:textId="6F48E22A" w:rsidTr="009D3012">
        <w:trPr>
          <w:cantSplit/>
        </w:trPr>
        <w:tc>
          <w:tcPr>
            <w:tcW w:w="1418" w:type="dxa"/>
            <w:shd w:val="clear" w:color="auto" w:fill="auto"/>
          </w:tcPr>
          <w:p w14:paraId="28CD9614" w14:textId="6853BF8E" w:rsidR="009D7EBE" w:rsidRPr="009D3012" w:rsidRDefault="009D7EBE" w:rsidP="009D7EBE">
            <w:pPr>
              <w:pStyle w:val="Tablebody"/>
              <w:rPr>
                <w:rStyle w:val="CCMCvariableitalic"/>
              </w:rPr>
            </w:pPr>
            <w:r w:rsidRPr="001455DC">
              <w:rPr>
                <w:rStyle w:val="CCMCvariableitalic"/>
              </w:rPr>
              <w:t>E</w:t>
            </w:r>
            <w:r w:rsidRPr="001455DC">
              <w:rPr>
                <w:rStyle w:val="CCMCvariableitalicsubscript"/>
              </w:rPr>
              <w:t>t</w:t>
            </w:r>
            <w:r w:rsidRPr="001455DC">
              <w:rPr>
                <w:rStyle w:val="CCMCvariablesubscript"/>
                <w:rFonts w:ascii="Cambria Math" w:hAnsi="Cambria Math"/>
              </w:rPr>
              <w:t>=</w:t>
            </w:r>
            <w:r w:rsidRPr="001455DC">
              <w:rPr>
                <w:rStyle w:val="CCMCvariablesubscript"/>
              </w:rPr>
              <w:t>0</w:t>
            </w:r>
          </w:p>
        </w:tc>
        <w:tc>
          <w:tcPr>
            <w:tcW w:w="6548" w:type="dxa"/>
            <w:shd w:val="clear" w:color="auto" w:fill="auto"/>
          </w:tcPr>
          <w:p w14:paraId="72034E43" w14:textId="77777777" w:rsidR="009D7EBE" w:rsidRPr="001455DC" w:rsidRDefault="009D7EBE" w:rsidP="000250B6">
            <w:pPr>
              <w:pStyle w:val="Tablebody"/>
              <w:jc w:val="left"/>
              <w:rPr>
                <w:lang w:eastAsia="de-DE"/>
              </w:rPr>
            </w:pPr>
            <w:r w:rsidRPr="001455DC">
              <w:rPr>
                <w:lang w:eastAsia="de-DE"/>
              </w:rPr>
              <w:t xml:space="preserve">Force or stress at time </w:t>
            </w:r>
            <w:r w:rsidRPr="001455DC">
              <w:rPr>
                <w:rStyle w:val="CCMCvariableitalic"/>
              </w:rPr>
              <w:t>t</w:t>
            </w:r>
          </w:p>
        </w:tc>
        <w:tc>
          <w:tcPr>
            <w:tcW w:w="1984" w:type="dxa"/>
          </w:tcPr>
          <w:p w14:paraId="5A19537A" w14:textId="3264AEE1" w:rsidR="009D7EBE" w:rsidRPr="001455DC" w:rsidRDefault="009D7EBE" w:rsidP="009D3012">
            <w:pPr>
              <w:pStyle w:val="Tablebody"/>
              <w:jc w:val="left"/>
              <w:rPr>
                <w:lang w:eastAsia="de-DE"/>
              </w:rPr>
            </w:pPr>
            <w:r w:rsidRPr="009D3012">
              <w:rPr>
                <w:lang w:eastAsia="de-DE"/>
              </w:rPr>
              <w:t>7.4(7)</w:t>
            </w:r>
          </w:p>
        </w:tc>
      </w:tr>
      <w:tr w:rsidR="009D7EBE" w:rsidRPr="001455DC" w14:paraId="77D70333" w14:textId="18A45E71" w:rsidTr="009D3012">
        <w:trPr>
          <w:cantSplit/>
        </w:trPr>
        <w:tc>
          <w:tcPr>
            <w:tcW w:w="1418" w:type="dxa"/>
            <w:shd w:val="clear" w:color="auto" w:fill="auto"/>
          </w:tcPr>
          <w:p w14:paraId="017310FB" w14:textId="77777777" w:rsidR="009D7EBE" w:rsidRPr="009D3012" w:rsidRDefault="009D7EBE" w:rsidP="009D7EBE">
            <w:pPr>
              <w:pStyle w:val="Tablebody"/>
              <w:rPr>
                <w:rStyle w:val="CCMCvariableitalic"/>
              </w:rPr>
            </w:pPr>
            <w:r w:rsidRPr="001455DC">
              <w:rPr>
                <w:rStyle w:val="CCMCvariableitalic"/>
              </w:rPr>
              <w:t>E</w:t>
            </w:r>
            <w:r w:rsidRPr="001455DC">
              <w:rPr>
                <w:rStyle w:val="CCMCvariablesubscript"/>
              </w:rPr>
              <w:t>0</w:t>
            </w:r>
          </w:p>
        </w:tc>
        <w:tc>
          <w:tcPr>
            <w:tcW w:w="6548" w:type="dxa"/>
            <w:shd w:val="clear" w:color="auto" w:fill="auto"/>
          </w:tcPr>
          <w:p w14:paraId="365F0F34" w14:textId="77777777" w:rsidR="009D7EBE" w:rsidRPr="001455DC" w:rsidRDefault="009D7EBE" w:rsidP="000250B6">
            <w:pPr>
              <w:pStyle w:val="Tablebody"/>
              <w:jc w:val="left"/>
              <w:rPr>
                <w:lang w:eastAsia="de-DE"/>
              </w:rPr>
            </w:pPr>
            <w:r w:rsidRPr="001455DC">
              <w:rPr>
                <w:lang w:eastAsia="de-DE"/>
              </w:rPr>
              <w:t>Force or stress at the end of construction with no consideration for creep</w:t>
            </w:r>
          </w:p>
        </w:tc>
        <w:tc>
          <w:tcPr>
            <w:tcW w:w="1984" w:type="dxa"/>
          </w:tcPr>
          <w:p w14:paraId="74C7D6D6" w14:textId="5B95C4CE" w:rsidR="009D7EBE" w:rsidRPr="001455DC" w:rsidRDefault="009D7EBE" w:rsidP="009D3012">
            <w:pPr>
              <w:pStyle w:val="Tablebody"/>
              <w:jc w:val="left"/>
              <w:rPr>
                <w:lang w:eastAsia="de-DE"/>
              </w:rPr>
            </w:pPr>
            <w:r w:rsidRPr="009D3012">
              <w:rPr>
                <w:lang w:eastAsia="de-DE"/>
              </w:rPr>
              <w:t>7.4(7)</w:t>
            </w:r>
          </w:p>
        </w:tc>
      </w:tr>
      <w:tr w:rsidR="009D7EBE" w:rsidRPr="001455DC" w14:paraId="6B761BD6" w14:textId="3189BC04" w:rsidTr="009D3012">
        <w:trPr>
          <w:cantSplit/>
        </w:trPr>
        <w:tc>
          <w:tcPr>
            <w:tcW w:w="1418" w:type="dxa"/>
            <w:shd w:val="clear" w:color="auto" w:fill="auto"/>
          </w:tcPr>
          <w:p w14:paraId="0EA2A182" w14:textId="77777777" w:rsidR="009D7EBE" w:rsidRPr="009D3012" w:rsidRDefault="009D7EBE" w:rsidP="009D7EBE">
            <w:pPr>
              <w:pStyle w:val="Tablebody"/>
              <w:rPr>
                <w:rStyle w:val="CCMCvariableitalic"/>
              </w:rPr>
            </w:pPr>
            <w:r w:rsidRPr="001455DC">
              <w:rPr>
                <w:rStyle w:val="CCMCvariableitalic"/>
              </w:rPr>
              <w:t>S</w:t>
            </w:r>
            <w:r w:rsidRPr="001455DC">
              <w:rPr>
                <w:rStyle w:val="CCMCvariablesubscript"/>
              </w:rPr>
              <w:t>s</w:t>
            </w:r>
          </w:p>
        </w:tc>
        <w:tc>
          <w:tcPr>
            <w:tcW w:w="6548" w:type="dxa"/>
            <w:shd w:val="clear" w:color="auto" w:fill="auto"/>
          </w:tcPr>
          <w:p w14:paraId="101AB3F3" w14:textId="77777777" w:rsidR="009D7EBE" w:rsidRPr="001455DC" w:rsidRDefault="009D7EBE" w:rsidP="000250B6">
            <w:pPr>
              <w:pStyle w:val="Tablebody"/>
              <w:jc w:val="left"/>
              <w:rPr>
                <w:lang w:eastAsia="de-DE"/>
              </w:rPr>
            </w:pPr>
            <w:r w:rsidRPr="001455DC">
              <w:rPr>
                <w:lang w:eastAsia="de-DE"/>
              </w:rPr>
              <w:t>First order moment of area of the required tension and compression reinforcements with respect to the centroid of the gross cross section</w:t>
            </w:r>
          </w:p>
        </w:tc>
        <w:tc>
          <w:tcPr>
            <w:tcW w:w="1984" w:type="dxa"/>
          </w:tcPr>
          <w:p w14:paraId="0BFEAB11" w14:textId="1BABEF3A" w:rsidR="009D7EBE" w:rsidRPr="001455DC" w:rsidRDefault="009D7EBE" w:rsidP="009D3012">
            <w:pPr>
              <w:pStyle w:val="Tablebody"/>
              <w:jc w:val="left"/>
              <w:rPr>
                <w:lang w:eastAsia="de-DE"/>
              </w:rPr>
            </w:pPr>
            <w:r w:rsidRPr="009D3012">
              <w:rPr>
                <w:lang w:eastAsia="de-DE"/>
              </w:rPr>
              <w:t>9.3.3(2)</w:t>
            </w:r>
          </w:p>
        </w:tc>
      </w:tr>
      <w:tr w:rsidR="009D7EBE" w:rsidRPr="001455DC" w14:paraId="0ACF531D" w14:textId="43F554D6" w:rsidTr="009D3012">
        <w:trPr>
          <w:cantSplit/>
        </w:trPr>
        <w:tc>
          <w:tcPr>
            <w:tcW w:w="1418" w:type="dxa"/>
            <w:shd w:val="clear" w:color="auto" w:fill="auto"/>
          </w:tcPr>
          <w:p w14:paraId="2D16C12D" w14:textId="77777777" w:rsidR="009D7EBE" w:rsidRPr="009D3012" w:rsidRDefault="009D7EBE" w:rsidP="009D7EBE">
            <w:pPr>
              <w:pStyle w:val="Tablebody"/>
              <w:rPr>
                <w:rStyle w:val="CCMCvariableitalic"/>
              </w:rPr>
            </w:pPr>
            <w:r w:rsidRPr="001455DC">
              <w:rPr>
                <w:rStyle w:val="CCMCvariableitalic"/>
              </w:rPr>
              <w:t>T</w:t>
            </w:r>
          </w:p>
        </w:tc>
        <w:tc>
          <w:tcPr>
            <w:tcW w:w="6548" w:type="dxa"/>
            <w:shd w:val="clear" w:color="auto" w:fill="auto"/>
          </w:tcPr>
          <w:p w14:paraId="5CFDAC7E" w14:textId="77777777" w:rsidR="009D7EBE" w:rsidRPr="001455DC" w:rsidRDefault="009D7EBE" w:rsidP="000250B6">
            <w:pPr>
              <w:pStyle w:val="Tablebody"/>
              <w:jc w:val="left"/>
              <w:rPr>
                <w:lang w:eastAsia="de-DE"/>
              </w:rPr>
            </w:pPr>
            <w:r w:rsidRPr="001455DC">
              <w:rPr>
                <w:lang w:eastAsia="de-DE"/>
              </w:rPr>
              <w:t>Torsional moment</w:t>
            </w:r>
          </w:p>
        </w:tc>
        <w:tc>
          <w:tcPr>
            <w:tcW w:w="1984" w:type="dxa"/>
          </w:tcPr>
          <w:p w14:paraId="35C46F48" w14:textId="77777777" w:rsidR="009D7EBE" w:rsidRPr="001455DC" w:rsidRDefault="009D7EBE" w:rsidP="009D3012">
            <w:pPr>
              <w:pStyle w:val="Tablebody"/>
              <w:jc w:val="left"/>
              <w:rPr>
                <w:lang w:eastAsia="de-DE"/>
              </w:rPr>
            </w:pPr>
          </w:p>
        </w:tc>
      </w:tr>
      <w:tr w:rsidR="009D7EBE" w:rsidRPr="001455DC" w14:paraId="5C79F415" w14:textId="4BEDF951" w:rsidTr="009D3012">
        <w:trPr>
          <w:cantSplit/>
        </w:trPr>
        <w:tc>
          <w:tcPr>
            <w:tcW w:w="1418" w:type="dxa"/>
            <w:shd w:val="clear" w:color="auto" w:fill="auto"/>
          </w:tcPr>
          <w:p w14:paraId="4EB4443E" w14:textId="77777777" w:rsidR="009D7EBE" w:rsidRPr="009D3012" w:rsidRDefault="009D7EBE" w:rsidP="009D7EBE">
            <w:pPr>
              <w:pStyle w:val="Tablebody"/>
              <w:rPr>
                <w:rStyle w:val="CCMCvariableitalic"/>
              </w:rPr>
            </w:pPr>
            <w:r w:rsidRPr="001455DC">
              <w:rPr>
                <w:rStyle w:val="CCMCvariableitalic"/>
              </w:rPr>
              <w:t>T</w:t>
            </w:r>
            <w:r w:rsidRPr="001455DC">
              <w:rPr>
                <w:rStyle w:val="CCMCvariablesubscript"/>
              </w:rPr>
              <w:t>0</w:t>
            </w:r>
          </w:p>
        </w:tc>
        <w:tc>
          <w:tcPr>
            <w:tcW w:w="6548" w:type="dxa"/>
            <w:shd w:val="clear" w:color="auto" w:fill="auto"/>
          </w:tcPr>
          <w:p w14:paraId="74AAEE04" w14:textId="77777777" w:rsidR="009D7EBE" w:rsidRPr="001455DC" w:rsidRDefault="009D7EBE" w:rsidP="000250B6">
            <w:pPr>
              <w:pStyle w:val="Tablebody"/>
              <w:jc w:val="left"/>
            </w:pPr>
            <w:r w:rsidRPr="001455DC">
              <w:t>Temperature of the restraining structure</w:t>
            </w:r>
          </w:p>
        </w:tc>
        <w:tc>
          <w:tcPr>
            <w:tcW w:w="1984" w:type="dxa"/>
          </w:tcPr>
          <w:p w14:paraId="0382824E" w14:textId="65B1BC25" w:rsidR="009D7EBE" w:rsidRPr="001455DC" w:rsidRDefault="009D7EBE" w:rsidP="009D3012">
            <w:pPr>
              <w:pStyle w:val="Tablebody"/>
              <w:jc w:val="left"/>
            </w:pPr>
            <w:r w:rsidRPr="009D3012">
              <w:rPr>
                <w:lang w:eastAsia="de-DE"/>
              </w:rPr>
              <w:t>D.</w:t>
            </w:r>
            <w:r w:rsidR="008B0767" w:rsidRPr="001455DC">
              <w:rPr>
                <w:lang w:eastAsia="de-DE"/>
              </w:rPr>
              <w:t>3</w:t>
            </w:r>
            <w:r w:rsidRPr="009D3012">
              <w:rPr>
                <w:lang w:eastAsia="de-DE"/>
              </w:rPr>
              <w:t>(3)</w:t>
            </w:r>
          </w:p>
        </w:tc>
      </w:tr>
      <w:tr w:rsidR="009D7EBE" w:rsidRPr="001455DC" w14:paraId="78D5E927" w14:textId="40CD90B3" w:rsidTr="009D3012">
        <w:trPr>
          <w:cantSplit/>
        </w:trPr>
        <w:tc>
          <w:tcPr>
            <w:tcW w:w="1418" w:type="dxa"/>
            <w:shd w:val="clear" w:color="auto" w:fill="auto"/>
          </w:tcPr>
          <w:p w14:paraId="4D95A15F" w14:textId="77777777" w:rsidR="009D7EBE" w:rsidRPr="009D3012" w:rsidRDefault="009D7EBE" w:rsidP="009D7EBE">
            <w:pPr>
              <w:pStyle w:val="Tablebody"/>
              <w:rPr>
                <w:rStyle w:val="CCMCvariableitalic"/>
              </w:rPr>
            </w:pPr>
            <w:r w:rsidRPr="001455DC">
              <w:rPr>
                <w:rStyle w:val="CCMCvariableitalic"/>
              </w:rPr>
              <w:t>T</w:t>
            </w:r>
            <w:r w:rsidRPr="001455DC">
              <w:rPr>
                <w:rStyle w:val="CCMCvariablesubscript"/>
              </w:rPr>
              <w:t>ci</w:t>
            </w:r>
          </w:p>
        </w:tc>
        <w:tc>
          <w:tcPr>
            <w:tcW w:w="6548" w:type="dxa"/>
            <w:shd w:val="clear" w:color="auto" w:fill="auto"/>
          </w:tcPr>
          <w:p w14:paraId="005C87E4" w14:textId="77777777" w:rsidR="009D7EBE" w:rsidRPr="001455DC" w:rsidRDefault="009D7EBE" w:rsidP="000250B6">
            <w:pPr>
              <w:pStyle w:val="Tablebody"/>
              <w:jc w:val="left"/>
              <w:rPr>
                <w:lang w:eastAsia="de-DE"/>
              </w:rPr>
            </w:pPr>
            <w:r w:rsidRPr="001455DC">
              <w:t>Temperature of fresh concrete</w:t>
            </w:r>
          </w:p>
        </w:tc>
        <w:tc>
          <w:tcPr>
            <w:tcW w:w="1984" w:type="dxa"/>
          </w:tcPr>
          <w:p w14:paraId="2934FCDE" w14:textId="6E8BBCE4" w:rsidR="009D7EBE" w:rsidRPr="001455DC" w:rsidRDefault="009D7EBE" w:rsidP="009D3012">
            <w:pPr>
              <w:pStyle w:val="Tablebody"/>
              <w:jc w:val="left"/>
            </w:pPr>
            <w:r w:rsidRPr="009D3012">
              <w:rPr>
                <w:lang w:eastAsia="de-DE"/>
              </w:rPr>
              <w:t>D.</w:t>
            </w:r>
            <w:r w:rsidR="008B0767" w:rsidRPr="001455DC">
              <w:rPr>
                <w:lang w:eastAsia="de-DE"/>
              </w:rPr>
              <w:t>3</w:t>
            </w:r>
            <w:r w:rsidRPr="009D3012">
              <w:rPr>
                <w:lang w:eastAsia="de-DE"/>
              </w:rPr>
              <w:t>(3)</w:t>
            </w:r>
          </w:p>
        </w:tc>
      </w:tr>
      <w:tr w:rsidR="009D7EBE" w:rsidRPr="001455DC" w14:paraId="3F7900E3" w14:textId="70D5A251" w:rsidTr="009D3012">
        <w:trPr>
          <w:cantSplit/>
        </w:trPr>
        <w:tc>
          <w:tcPr>
            <w:tcW w:w="1418" w:type="dxa"/>
            <w:shd w:val="clear" w:color="auto" w:fill="auto"/>
          </w:tcPr>
          <w:p w14:paraId="415E6745" w14:textId="77777777" w:rsidR="009D7EBE" w:rsidRPr="009D3012" w:rsidRDefault="009D7EBE" w:rsidP="009D7EBE">
            <w:pPr>
              <w:pStyle w:val="Tablebody"/>
              <w:rPr>
                <w:rStyle w:val="CCMCvariableitalic"/>
              </w:rPr>
            </w:pPr>
            <w:r w:rsidRPr="001455DC">
              <w:rPr>
                <w:rStyle w:val="CCMCvariableitalic"/>
              </w:rPr>
              <w:t>T</w:t>
            </w:r>
            <w:r w:rsidRPr="001455DC">
              <w:rPr>
                <w:rStyle w:val="CCMCvariablesubscript"/>
              </w:rPr>
              <w:t>Ed</w:t>
            </w:r>
          </w:p>
        </w:tc>
        <w:tc>
          <w:tcPr>
            <w:tcW w:w="6548" w:type="dxa"/>
            <w:shd w:val="clear" w:color="auto" w:fill="auto"/>
          </w:tcPr>
          <w:p w14:paraId="5DAC8BB8" w14:textId="77777777" w:rsidR="009D7EBE" w:rsidRPr="001455DC" w:rsidRDefault="009D7EBE" w:rsidP="000250B6">
            <w:pPr>
              <w:pStyle w:val="Tablebody"/>
              <w:jc w:val="left"/>
              <w:rPr>
                <w:lang w:eastAsia="de-DE"/>
              </w:rPr>
            </w:pPr>
            <w:r w:rsidRPr="001455DC">
              <w:rPr>
                <w:lang w:eastAsia="de-DE"/>
              </w:rPr>
              <w:t>Design value of the applied torsional moment</w:t>
            </w:r>
          </w:p>
        </w:tc>
        <w:tc>
          <w:tcPr>
            <w:tcW w:w="1984" w:type="dxa"/>
          </w:tcPr>
          <w:p w14:paraId="4EC0FD2E" w14:textId="77777777" w:rsidR="009D7EBE" w:rsidRPr="001455DC" w:rsidRDefault="009D7EBE" w:rsidP="008B0767">
            <w:pPr>
              <w:pStyle w:val="Tablebody"/>
              <w:jc w:val="left"/>
              <w:rPr>
                <w:lang w:eastAsia="de-DE"/>
              </w:rPr>
            </w:pPr>
          </w:p>
        </w:tc>
      </w:tr>
      <w:tr w:rsidR="009D7EBE" w:rsidRPr="001455DC" w14:paraId="26443767" w14:textId="5CBD9C02" w:rsidTr="009D3012">
        <w:trPr>
          <w:cantSplit/>
        </w:trPr>
        <w:tc>
          <w:tcPr>
            <w:tcW w:w="1418" w:type="dxa"/>
            <w:shd w:val="clear" w:color="auto" w:fill="auto"/>
          </w:tcPr>
          <w:p w14:paraId="2023E5A6" w14:textId="77777777" w:rsidR="009D7EBE" w:rsidRPr="009D3012" w:rsidRDefault="009D7EBE" w:rsidP="009D7EBE">
            <w:pPr>
              <w:pStyle w:val="Tablebody"/>
              <w:rPr>
                <w:rStyle w:val="CCMCvariableitalic"/>
              </w:rPr>
            </w:pPr>
            <w:r w:rsidRPr="001455DC">
              <w:rPr>
                <w:rStyle w:val="CCMCvariableitalic"/>
              </w:rPr>
              <w:t>T</w:t>
            </w:r>
            <w:r w:rsidRPr="001455DC">
              <w:rPr>
                <w:rStyle w:val="CCMCvariablesubscript"/>
              </w:rPr>
              <w:t>c,max</w:t>
            </w:r>
          </w:p>
        </w:tc>
        <w:tc>
          <w:tcPr>
            <w:tcW w:w="6548" w:type="dxa"/>
            <w:shd w:val="clear" w:color="auto" w:fill="auto"/>
          </w:tcPr>
          <w:p w14:paraId="1C2DDB56" w14:textId="77777777" w:rsidR="009D7EBE" w:rsidRPr="009D3012" w:rsidRDefault="009D7EBE" w:rsidP="000250B6">
            <w:pPr>
              <w:pStyle w:val="Tablebody"/>
              <w:jc w:val="left"/>
              <w:rPr>
                <w:lang w:eastAsia="de-DE"/>
              </w:rPr>
            </w:pPr>
            <w:r w:rsidRPr="001455DC">
              <w:t>Maximum temperature in concrete due to hydration heat</w:t>
            </w:r>
          </w:p>
        </w:tc>
        <w:tc>
          <w:tcPr>
            <w:tcW w:w="1984" w:type="dxa"/>
          </w:tcPr>
          <w:p w14:paraId="7116F1CF" w14:textId="01DA74C9" w:rsidR="009D7EBE" w:rsidRPr="001455DC" w:rsidRDefault="009D7EBE" w:rsidP="009D3012">
            <w:pPr>
              <w:pStyle w:val="Tablebody"/>
              <w:jc w:val="left"/>
            </w:pPr>
            <w:r w:rsidRPr="009D3012">
              <w:rPr>
                <w:lang w:eastAsia="de-DE"/>
              </w:rPr>
              <w:t>D.</w:t>
            </w:r>
            <w:r w:rsidR="008B0767" w:rsidRPr="001455DC">
              <w:rPr>
                <w:lang w:eastAsia="de-DE"/>
              </w:rPr>
              <w:t>3</w:t>
            </w:r>
            <w:r w:rsidRPr="009D3012">
              <w:rPr>
                <w:lang w:eastAsia="de-DE"/>
              </w:rPr>
              <w:t>(3)</w:t>
            </w:r>
          </w:p>
        </w:tc>
      </w:tr>
      <w:tr w:rsidR="009D7EBE" w:rsidRPr="001455DC" w14:paraId="13FBA80D" w14:textId="1847806C" w:rsidTr="009D3012">
        <w:trPr>
          <w:cantSplit/>
        </w:trPr>
        <w:tc>
          <w:tcPr>
            <w:tcW w:w="1418" w:type="dxa"/>
            <w:shd w:val="clear" w:color="auto" w:fill="auto"/>
          </w:tcPr>
          <w:p w14:paraId="220E36FF" w14:textId="77777777" w:rsidR="009D7EBE" w:rsidRPr="009D3012" w:rsidRDefault="009D7EBE" w:rsidP="009D7EBE">
            <w:pPr>
              <w:pStyle w:val="Tablebody"/>
              <w:rPr>
                <w:rStyle w:val="CCMCvariableitalic"/>
              </w:rPr>
            </w:pPr>
            <w:r w:rsidRPr="009D3012">
              <w:t>Δ</w:t>
            </w:r>
            <w:r w:rsidRPr="001455DC">
              <w:rPr>
                <w:rStyle w:val="CCMCvariableitalic"/>
              </w:rPr>
              <w:t>T</w:t>
            </w:r>
            <w:r w:rsidRPr="001455DC">
              <w:rPr>
                <w:rStyle w:val="CCMCvariablesubscript"/>
              </w:rPr>
              <w:t>min</w:t>
            </w:r>
          </w:p>
        </w:tc>
        <w:tc>
          <w:tcPr>
            <w:tcW w:w="6548" w:type="dxa"/>
            <w:shd w:val="clear" w:color="auto" w:fill="auto"/>
          </w:tcPr>
          <w:p w14:paraId="1660A08B" w14:textId="77777777" w:rsidR="009D7EBE" w:rsidRPr="001455DC" w:rsidRDefault="009D7EBE" w:rsidP="000250B6">
            <w:pPr>
              <w:pStyle w:val="Tablebody"/>
              <w:jc w:val="left"/>
              <w:rPr>
                <w:lang w:eastAsia="de-DE"/>
              </w:rPr>
            </w:pPr>
            <w:r w:rsidRPr="001455DC">
              <w:t>Long term maximum temperature drop</w:t>
            </w:r>
          </w:p>
        </w:tc>
        <w:tc>
          <w:tcPr>
            <w:tcW w:w="1984" w:type="dxa"/>
          </w:tcPr>
          <w:p w14:paraId="0A166A35" w14:textId="34BF0389" w:rsidR="009D7EBE" w:rsidRPr="001455DC" w:rsidRDefault="009D7EBE">
            <w:pPr>
              <w:pStyle w:val="Tablebody"/>
              <w:jc w:val="left"/>
            </w:pPr>
            <w:r w:rsidRPr="009D3012">
              <w:rPr>
                <w:lang w:eastAsia="de-DE"/>
              </w:rPr>
              <w:t>D.</w:t>
            </w:r>
            <w:r w:rsidR="008B0767" w:rsidRPr="001455DC">
              <w:rPr>
                <w:lang w:eastAsia="de-DE"/>
              </w:rPr>
              <w:t>3</w:t>
            </w:r>
            <w:r w:rsidRPr="009D3012">
              <w:rPr>
                <w:lang w:eastAsia="de-DE"/>
              </w:rPr>
              <w:t>(4)</w:t>
            </w:r>
          </w:p>
        </w:tc>
      </w:tr>
      <w:tr w:rsidR="009D7EBE" w:rsidRPr="001455DC" w14:paraId="76D95BAA" w14:textId="18F524DC" w:rsidTr="009D3012">
        <w:trPr>
          <w:cantSplit/>
        </w:trPr>
        <w:tc>
          <w:tcPr>
            <w:tcW w:w="1418" w:type="dxa"/>
            <w:shd w:val="clear" w:color="auto" w:fill="auto"/>
          </w:tcPr>
          <w:p w14:paraId="386AAD00" w14:textId="77777777" w:rsidR="009D7EBE" w:rsidRPr="009D3012" w:rsidRDefault="009D7EBE" w:rsidP="009D7EBE">
            <w:pPr>
              <w:pStyle w:val="Tablebody"/>
              <w:rPr>
                <w:rStyle w:val="CCMCvariableitalic"/>
              </w:rPr>
            </w:pPr>
            <w:r w:rsidRPr="001455DC">
              <w:rPr>
                <w:rStyle w:val="CCMCvariableitalic"/>
              </w:rPr>
              <w:t>V</w:t>
            </w:r>
          </w:p>
        </w:tc>
        <w:tc>
          <w:tcPr>
            <w:tcW w:w="6548" w:type="dxa"/>
            <w:shd w:val="clear" w:color="auto" w:fill="auto"/>
          </w:tcPr>
          <w:p w14:paraId="6F7BAE44" w14:textId="77777777" w:rsidR="009D7EBE" w:rsidRPr="001455DC" w:rsidRDefault="009D7EBE" w:rsidP="000250B6">
            <w:pPr>
              <w:pStyle w:val="Tablebody"/>
              <w:jc w:val="left"/>
              <w:rPr>
                <w:lang w:eastAsia="de-DE"/>
              </w:rPr>
            </w:pPr>
            <w:r w:rsidRPr="001455DC">
              <w:rPr>
                <w:lang w:eastAsia="de-DE"/>
              </w:rPr>
              <w:t>Shear force in linear members</w:t>
            </w:r>
          </w:p>
        </w:tc>
        <w:tc>
          <w:tcPr>
            <w:tcW w:w="1984" w:type="dxa"/>
          </w:tcPr>
          <w:p w14:paraId="0F93C8D8" w14:textId="77777777" w:rsidR="009D7EBE" w:rsidRPr="001455DC" w:rsidRDefault="009D7EBE" w:rsidP="009D3012">
            <w:pPr>
              <w:pStyle w:val="Tablebody"/>
              <w:jc w:val="left"/>
              <w:rPr>
                <w:lang w:eastAsia="de-DE"/>
              </w:rPr>
            </w:pPr>
          </w:p>
        </w:tc>
      </w:tr>
      <w:tr w:rsidR="009D7EBE" w:rsidRPr="001455DC" w14:paraId="319BC97B" w14:textId="338CAD6F" w:rsidTr="009D3012">
        <w:trPr>
          <w:cantSplit/>
        </w:trPr>
        <w:tc>
          <w:tcPr>
            <w:tcW w:w="1418" w:type="dxa"/>
            <w:shd w:val="clear" w:color="auto" w:fill="auto"/>
          </w:tcPr>
          <w:p w14:paraId="0B9E776E" w14:textId="77777777" w:rsidR="009D7EBE" w:rsidRPr="009D3012" w:rsidRDefault="009D7EBE" w:rsidP="009D7EBE">
            <w:pPr>
              <w:pStyle w:val="Tablebody"/>
              <w:rPr>
                <w:rStyle w:val="CCMCvariableitalic"/>
              </w:rPr>
            </w:pPr>
            <w:r w:rsidRPr="001455DC">
              <w:rPr>
                <w:rStyle w:val="CCMCvariableitalic"/>
              </w:rPr>
              <w:t>V</w:t>
            </w:r>
            <w:r w:rsidRPr="001455DC">
              <w:rPr>
                <w:rStyle w:val="CCMCvariablesubscript"/>
              </w:rPr>
              <w:t>bcd</w:t>
            </w:r>
          </w:p>
        </w:tc>
        <w:tc>
          <w:tcPr>
            <w:tcW w:w="6548" w:type="dxa"/>
            <w:shd w:val="clear" w:color="auto" w:fill="auto"/>
          </w:tcPr>
          <w:p w14:paraId="59587560" w14:textId="77777777" w:rsidR="009D7EBE" w:rsidRPr="001455DC" w:rsidRDefault="009D7EBE" w:rsidP="000250B6">
            <w:pPr>
              <w:pStyle w:val="Tablebody"/>
              <w:jc w:val="left"/>
              <w:rPr>
                <w:lang w:eastAsia="de-DE"/>
              </w:rPr>
            </w:pPr>
            <w:r w:rsidRPr="001455DC">
              <w:rPr>
                <w:lang w:eastAsia="de-DE"/>
              </w:rPr>
              <w:t>Design shear force carried by the bottom chord</w:t>
            </w:r>
          </w:p>
        </w:tc>
        <w:tc>
          <w:tcPr>
            <w:tcW w:w="1984" w:type="dxa"/>
          </w:tcPr>
          <w:p w14:paraId="36E6402F" w14:textId="2A7B4C16" w:rsidR="009D7EBE" w:rsidRPr="001455DC" w:rsidRDefault="009D7EBE" w:rsidP="009D3012">
            <w:pPr>
              <w:pStyle w:val="Tablebody"/>
              <w:jc w:val="left"/>
              <w:rPr>
                <w:lang w:eastAsia="de-DE"/>
              </w:rPr>
            </w:pPr>
            <w:r w:rsidRPr="009D3012">
              <w:rPr>
                <w:lang w:eastAsia="de-DE"/>
              </w:rPr>
              <w:t>8.2.1(7)</w:t>
            </w:r>
          </w:p>
        </w:tc>
      </w:tr>
      <w:tr w:rsidR="009D7EBE" w:rsidRPr="001455DC" w14:paraId="72111802" w14:textId="3A392224" w:rsidTr="009D3012">
        <w:trPr>
          <w:cantSplit/>
        </w:trPr>
        <w:tc>
          <w:tcPr>
            <w:tcW w:w="1418" w:type="dxa"/>
            <w:shd w:val="clear" w:color="auto" w:fill="auto"/>
          </w:tcPr>
          <w:p w14:paraId="408D32D9" w14:textId="77777777" w:rsidR="009D7EBE" w:rsidRPr="009D3012" w:rsidRDefault="009D7EBE" w:rsidP="009D7EBE">
            <w:pPr>
              <w:pStyle w:val="Tablebody"/>
              <w:rPr>
                <w:rStyle w:val="CCMCvariableitalic"/>
              </w:rPr>
            </w:pPr>
            <w:r w:rsidRPr="001455DC">
              <w:rPr>
                <w:rStyle w:val="CCMCvariableitalic"/>
              </w:rPr>
              <w:t>V</w:t>
            </w:r>
            <w:r w:rsidRPr="001455DC">
              <w:rPr>
                <w:rStyle w:val="CCMCvariablesubscript"/>
              </w:rPr>
              <w:t>Ed</w:t>
            </w:r>
          </w:p>
        </w:tc>
        <w:tc>
          <w:tcPr>
            <w:tcW w:w="6548" w:type="dxa"/>
            <w:shd w:val="clear" w:color="auto" w:fill="auto"/>
          </w:tcPr>
          <w:p w14:paraId="03E48D65" w14:textId="77777777" w:rsidR="009D7EBE" w:rsidRPr="001455DC" w:rsidRDefault="009D7EBE" w:rsidP="000250B6">
            <w:pPr>
              <w:pStyle w:val="Tablebody"/>
              <w:jc w:val="left"/>
              <w:rPr>
                <w:lang w:eastAsia="de-DE"/>
              </w:rPr>
            </w:pPr>
            <w:r w:rsidRPr="001455DC">
              <w:rPr>
                <w:lang w:eastAsia="de-DE"/>
              </w:rPr>
              <w:t xml:space="preserve">Design shear force in the section considered </w:t>
            </w:r>
          </w:p>
        </w:tc>
        <w:tc>
          <w:tcPr>
            <w:tcW w:w="1984" w:type="dxa"/>
          </w:tcPr>
          <w:p w14:paraId="3CDF9B77" w14:textId="77777777" w:rsidR="009D7EBE" w:rsidRPr="001455DC" w:rsidRDefault="009D7EBE" w:rsidP="009D3012">
            <w:pPr>
              <w:pStyle w:val="Tablebody"/>
              <w:jc w:val="left"/>
              <w:rPr>
                <w:lang w:eastAsia="de-DE"/>
              </w:rPr>
            </w:pPr>
          </w:p>
        </w:tc>
      </w:tr>
      <w:tr w:rsidR="009D7EBE" w:rsidRPr="001455DC" w14:paraId="6DFA175D" w14:textId="695BFCA5" w:rsidTr="009D3012">
        <w:trPr>
          <w:cantSplit/>
        </w:trPr>
        <w:tc>
          <w:tcPr>
            <w:tcW w:w="1418" w:type="dxa"/>
            <w:shd w:val="clear" w:color="auto" w:fill="auto"/>
          </w:tcPr>
          <w:p w14:paraId="14D2E709" w14:textId="77777777" w:rsidR="009D7EBE" w:rsidRPr="009D3012" w:rsidRDefault="009D7EBE" w:rsidP="009D7EBE">
            <w:pPr>
              <w:pStyle w:val="Tablebody"/>
              <w:rPr>
                <w:rStyle w:val="CCMCvariableitalic"/>
              </w:rPr>
            </w:pPr>
            <w:r w:rsidRPr="009D3012">
              <w:rPr>
                <w:lang w:eastAsia="de-DE"/>
              </w:rPr>
              <w:t>Δ</w:t>
            </w:r>
            <w:r w:rsidRPr="001455DC">
              <w:rPr>
                <w:rStyle w:val="CCMCvariableitalic"/>
              </w:rPr>
              <w:t>V</w:t>
            </w:r>
            <w:r w:rsidRPr="001455DC">
              <w:rPr>
                <w:rStyle w:val="CCMCvariablesubscript"/>
              </w:rPr>
              <w:t>Ed</w:t>
            </w:r>
          </w:p>
        </w:tc>
        <w:tc>
          <w:tcPr>
            <w:tcW w:w="6548" w:type="dxa"/>
            <w:shd w:val="clear" w:color="auto" w:fill="auto"/>
          </w:tcPr>
          <w:p w14:paraId="79F603BB" w14:textId="77777777" w:rsidR="009D7EBE" w:rsidRPr="001455DC" w:rsidRDefault="009D7EBE" w:rsidP="000250B6">
            <w:pPr>
              <w:pStyle w:val="Tablebody"/>
              <w:jc w:val="left"/>
              <w:rPr>
                <w:lang w:eastAsia="de-DE"/>
              </w:rPr>
            </w:pPr>
            <w:r w:rsidRPr="001455DC">
              <w:rPr>
                <w:lang w:eastAsia="de-DE"/>
              </w:rPr>
              <w:t xml:space="preserve">Portion of shear force which may be subtracted from </w:t>
            </w:r>
            <w:r w:rsidRPr="001455DC">
              <w:rPr>
                <w:rStyle w:val="CCMCvariableitalic"/>
              </w:rPr>
              <w:t>V</w:t>
            </w:r>
            <w:r w:rsidRPr="001455DC">
              <w:rPr>
                <w:rStyle w:val="CCMCvariablesubscript"/>
              </w:rPr>
              <w:t>Ed</w:t>
            </w:r>
            <w:r w:rsidRPr="001455DC">
              <w:rPr>
                <w:lang w:eastAsia="de-DE"/>
              </w:rPr>
              <w:t xml:space="preserve"> due to favorable circumstances</w:t>
            </w:r>
          </w:p>
        </w:tc>
        <w:tc>
          <w:tcPr>
            <w:tcW w:w="1984" w:type="dxa"/>
          </w:tcPr>
          <w:p w14:paraId="08F82CAC" w14:textId="5722A069" w:rsidR="009D7EBE" w:rsidRPr="001455DC" w:rsidRDefault="009D7EBE" w:rsidP="009D3012">
            <w:pPr>
              <w:pStyle w:val="Tablebody"/>
              <w:jc w:val="left"/>
              <w:rPr>
                <w:lang w:eastAsia="de-DE"/>
              </w:rPr>
            </w:pPr>
            <w:r w:rsidRPr="009D3012">
              <w:rPr>
                <w:lang w:eastAsia="de-DE"/>
              </w:rPr>
              <w:t>8.2.2(8)</w:t>
            </w:r>
          </w:p>
        </w:tc>
      </w:tr>
      <w:tr w:rsidR="009D7EBE" w:rsidRPr="001455DC" w14:paraId="6947B952" w14:textId="33D67716" w:rsidTr="009D3012">
        <w:trPr>
          <w:cantSplit/>
        </w:trPr>
        <w:tc>
          <w:tcPr>
            <w:tcW w:w="1418" w:type="dxa"/>
            <w:shd w:val="clear" w:color="auto" w:fill="auto"/>
          </w:tcPr>
          <w:p w14:paraId="2E5F437F" w14:textId="77777777" w:rsidR="009D7EBE" w:rsidRPr="009D3012" w:rsidRDefault="009D7EBE" w:rsidP="009D7EBE">
            <w:pPr>
              <w:pStyle w:val="Tablebody"/>
              <w:rPr>
                <w:rStyle w:val="CCMCvariableitalic"/>
              </w:rPr>
            </w:pPr>
            <w:r w:rsidRPr="001455DC">
              <w:rPr>
                <w:rStyle w:val="CCMCvariableitalic"/>
              </w:rPr>
              <w:t>V</w:t>
            </w:r>
            <w:r w:rsidRPr="001455DC">
              <w:rPr>
                <w:rStyle w:val="CCMCvariablesubscript"/>
              </w:rPr>
              <w:t>Rd</w:t>
            </w:r>
          </w:p>
        </w:tc>
        <w:tc>
          <w:tcPr>
            <w:tcW w:w="6548" w:type="dxa"/>
            <w:shd w:val="clear" w:color="auto" w:fill="auto"/>
          </w:tcPr>
          <w:p w14:paraId="17AD2A98" w14:textId="77777777" w:rsidR="009D7EBE" w:rsidRPr="001455DC" w:rsidRDefault="009D7EBE" w:rsidP="000250B6">
            <w:pPr>
              <w:pStyle w:val="Tablebody"/>
              <w:jc w:val="left"/>
              <w:rPr>
                <w:lang w:eastAsia="de-DE"/>
              </w:rPr>
            </w:pPr>
            <w:r w:rsidRPr="001455DC">
              <w:rPr>
                <w:lang w:eastAsia="de-DE"/>
              </w:rPr>
              <w:t>Design value of the shear resistance</w:t>
            </w:r>
          </w:p>
        </w:tc>
        <w:tc>
          <w:tcPr>
            <w:tcW w:w="1984" w:type="dxa"/>
          </w:tcPr>
          <w:p w14:paraId="45A34E19" w14:textId="6670D3BA" w:rsidR="009D7EBE" w:rsidRPr="001455DC" w:rsidRDefault="009D7EBE" w:rsidP="009D3012">
            <w:pPr>
              <w:pStyle w:val="Tablebody"/>
              <w:jc w:val="left"/>
              <w:rPr>
                <w:lang w:eastAsia="de-DE"/>
              </w:rPr>
            </w:pPr>
            <w:r w:rsidRPr="009D3012">
              <w:rPr>
                <w:lang w:eastAsia="de-DE"/>
              </w:rPr>
              <w:t>8.2.3(4), 8.2.3(12), 8.2.3(13)</w:t>
            </w:r>
          </w:p>
        </w:tc>
      </w:tr>
      <w:tr w:rsidR="009D7EBE" w:rsidRPr="001455DC" w14:paraId="3A4AE1F4" w14:textId="24F7FD62" w:rsidTr="009D3012">
        <w:trPr>
          <w:cantSplit/>
        </w:trPr>
        <w:tc>
          <w:tcPr>
            <w:tcW w:w="1418" w:type="dxa"/>
            <w:shd w:val="clear" w:color="auto" w:fill="auto"/>
          </w:tcPr>
          <w:p w14:paraId="7F9D7027" w14:textId="77777777" w:rsidR="009D7EBE" w:rsidRPr="001455DC" w:rsidRDefault="009D7EBE" w:rsidP="009D7EBE">
            <w:pPr>
              <w:pStyle w:val="Tablebody"/>
              <w:rPr>
                <w:lang w:eastAsia="de-DE"/>
              </w:rPr>
            </w:pPr>
            <w:r w:rsidRPr="001455DC">
              <w:rPr>
                <w:lang w:eastAsia="de-DE"/>
              </w:rPr>
              <w:t>V</w:t>
            </w:r>
            <w:r w:rsidRPr="001455DC">
              <w:rPr>
                <w:rStyle w:val="CCMCvariablesubscript"/>
              </w:rPr>
              <w:t>Rdm</w:t>
            </w:r>
          </w:p>
        </w:tc>
        <w:tc>
          <w:tcPr>
            <w:tcW w:w="6548" w:type="dxa"/>
            <w:shd w:val="clear" w:color="auto" w:fill="auto"/>
          </w:tcPr>
          <w:p w14:paraId="55E4818D" w14:textId="77777777" w:rsidR="009D7EBE" w:rsidRPr="001455DC" w:rsidRDefault="009D7EBE" w:rsidP="000250B6">
            <w:pPr>
              <w:pStyle w:val="Tablebody"/>
              <w:jc w:val="left"/>
              <w:rPr>
                <w:lang w:eastAsia="de-DE"/>
              </w:rPr>
            </w:pPr>
            <w:r w:rsidRPr="001455DC">
              <w:rPr>
                <w:lang w:eastAsia="de-DE"/>
              </w:rPr>
              <w:t>Design value of the shear resistance in presence of transverse bending</w:t>
            </w:r>
          </w:p>
        </w:tc>
        <w:tc>
          <w:tcPr>
            <w:tcW w:w="1984" w:type="dxa"/>
          </w:tcPr>
          <w:p w14:paraId="58C06C72" w14:textId="117782E1" w:rsidR="009D7EBE" w:rsidRPr="001455DC" w:rsidRDefault="009D7EBE" w:rsidP="009D3012">
            <w:pPr>
              <w:pStyle w:val="Tablebody"/>
              <w:jc w:val="left"/>
              <w:rPr>
                <w:lang w:eastAsia="de-DE"/>
              </w:rPr>
            </w:pPr>
            <w:r w:rsidRPr="009D3012">
              <w:rPr>
                <w:lang w:eastAsia="de-DE"/>
              </w:rPr>
              <w:t>8.2.4(2)</w:t>
            </w:r>
          </w:p>
        </w:tc>
      </w:tr>
      <w:tr w:rsidR="009D7EBE" w:rsidRPr="001455DC" w14:paraId="7AF94EAD" w14:textId="690D3511" w:rsidTr="009D3012">
        <w:trPr>
          <w:cantSplit/>
        </w:trPr>
        <w:tc>
          <w:tcPr>
            <w:tcW w:w="1418" w:type="dxa"/>
            <w:shd w:val="clear" w:color="auto" w:fill="auto"/>
          </w:tcPr>
          <w:p w14:paraId="65CB1E69" w14:textId="77777777" w:rsidR="009D7EBE" w:rsidRPr="009D3012" w:rsidRDefault="009D7EBE" w:rsidP="009D7EBE">
            <w:pPr>
              <w:pStyle w:val="Tablebody"/>
              <w:rPr>
                <w:rStyle w:val="CCMCvariableitalic"/>
              </w:rPr>
            </w:pPr>
            <w:r w:rsidRPr="001455DC">
              <w:rPr>
                <w:rStyle w:val="CCMCvariableitalic"/>
              </w:rPr>
              <w:t>V</w:t>
            </w:r>
            <w:r w:rsidRPr="001455DC">
              <w:rPr>
                <w:rStyle w:val="CCMCvariablesubscript"/>
              </w:rPr>
              <w:t>tcd</w:t>
            </w:r>
          </w:p>
        </w:tc>
        <w:tc>
          <w:tcPr>
            <w:tcW w:w="6548" w:type="dxa"/>
            <w:shd w:val="clear" w:color="auto" w:fill="auto"/>
          </w:tcPr>
          <w:p w14:paraId="3C5A9B01" w14:textId="77777777" w:rsidR="009D7EBE" w:rsidRPr="001455DC" w:rsidRDefault="009D7EBE" w:rsidP="000250B6">
            <w:pPr>
              <w:pStyle w:val="Tablebody"/>
              <w:jc w:val="left"/>
              <w:rPr>
                <w:lang w:eastAsia="de-DE"/>
              </w:rPr>
            </w:pPr>
            <w:r w:rsidRPr="001455DC">
              <w:rPr>
                <w:lang w:eastAsia="de-DE"/>
              </w:rPr>
              <w:t>Design shear force carried by the top chord</w:t>
            </w:r>
          </w:p>
        </w:tc>
        <w:tc>
          <w:tcPr>
            <w:tcW w:w="1984" w:type="dxa"/>
          </w:tcPr>
          <w:p w14:paraId="3AB9BD58" w14:textId="30E4B254" w:rsidR="009D7EBE" w:rsidRPr="001455DC" w:rsidRDefault="009D7EBE" w:rsidP="009D3012">
            <w:pPr>
              <w:pStyle w:val="Tablebody"/>
              <w:jc w:val="left"/>
              <w:rPr>
                <w:lang w:eastAsia="de-DE"/>
              </w:rPr>
            </w:pPr>
            <w:r w:rsidRPr="009D3012">
              <w:rPr>
                <w:lang w:eastAsia="de-DE"/>
              </w:rPr>
              <w:t>8.2.1(7)</w:t>
            </w:r>
          </w:p>
        </w:tc>
      </w:tr>
    </w:tbl>
    <w:p w14:paraId="0AEC3B8C" w14:textId="20EF828C" w:rsidR="004E22C1" w:rsidRPr="00E519AB" w:rsidRDefault="00E519AB" w:rsidP="00E519AB">
      <w:pPr>
        <w:pStyle w:val="p3"/>
        <w:spacing w:before="240" w:after="120"/>
        <w:rPr>
          <w:b/>
          <w:snapToGrid w:val="0"/>
        </w:rPr>
      </w:pPr>
      <w:bookmarkStart w:id="76" w:name="_Toc52819874"/>
      <w:bookmarkStart w:id="77" w:name="_Toc54337271"/>
      <w:bookmarkStart w:id="78" w:name="_Toc54337932"/>
      <w:bookmarkStart w:id="79" w:name="_Toc67565281"/>
      <w:r>
        <w:rPr>
          <w:b/>
          <w:snapToGrid w:val="0"/>
        </w:rPr>
        <w:t xml:space="preserve">3.2.2 </w:t>
      </w:r>
      <w:r w:rsidR="004E22C1" w:rsidRPr="00E519AB">
        <w:rPr>
          <w:b/>
          <w:snapToGrid w:val="0"/>
        </w:rPr>
        <w:t>Latin lower case letters</w:t>
      </w:r>
      <w:bookmarkEnd w:id="76"/>
      <w:bookmarkEnd w:id="77"/>
      <w:bookmarkEnd w:id="78"/>
      <w:bookmarkEnd w:id="79"/>
    </w:p>
    <w:tbl>
      <w:tblPr>
        <w:tblStyle w:val="ad"/>
        <w:tblW w:w="99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1418"/>
        <w:gridCol w:w="6548"/>
        <w:gridCol w:w="1984"/>
      </w:tblGrid>
      <w:tr w:rsidR="009D7EBE" w:rsidRPr="001455DC" w14:paraId="5E2CF400" w14:textId="79F2A8FB" w:rsidTr="0066200C">
        <w:trPr>
          <w:cantSplit/>
        </w:trPr>
        <w:tc>
          <w:tcPr>
            <w:tcW w:w="1418" w:type="dxa"/>
            <w:shd w:val="clear" w:color="auto" w:fill="auto"/>
          </w:tcPr>
          <w:p w14:paraId="23B51612" w14:textId="77777777" w:rsidR="009D7EBE" w:rsidRPr="001455DC" w:rsidRDefault="009D7EBE" w:rsidP="009D7EBE">
            <w:pPr>
              <w:pStyle w:val="Tablebody"/>
              <w:keepNext/>
            </w:pPr>
            <w:r w:rsidRPr="001455DC">
              <w:rPr>
                <w:rStyle w:val="CCMCvariableitalic"/>
              </w:rPr>
              <w:t>a</w:t>
            </w:r>
          </w:p>
        </w:tc>
        <w:tc>
          <w:tcPr>
            <w:tcW w:w="6548" w:type="dxa"/>
            <w:shd w:val="clear" w:color="auto" w:fill="auto"/>
          </w:tcPr>
          <w:p w14:paraId="751C6A75" w14:textId="77777777" w:rsidR="009D7EBE" w:rsidRPr="001455DC" w:rsidRDefault="009D7EBE" w:rsidP="000250B6">
            <w:pPr>
              <w:pStyle w:val="Tablebody"/>
              <w:keepNext/>
              <w:jc w:val="left"/>
              <w:rPr>
                <w:rStyle w:val="CCMCvariableitalic"/>
              </w:rPr>
            </w:pPr>
            <w:r w:rsidRPr="009D3012">
              <w:rPr>
                <w:lang w:eastAsia="de-DE"/>
              </w:rPr>
              <w:t>Distance; geometrical data</w:t>
            </w:r>
          </w:p>
        </w:tc>
        <w:tc>
          <w:tcPr>
            <w:tcW w:w="1984" w:type="dxa"/>
          </w:tcPr>
          <w:p w14:paraId="6D49A130" w14:textId="5DC7B992" w:rsidR="009D7EBE" w:rsidRPr="001455DC" w:rsidRDefault="009D7EBE" w:rsidP="009D7EBE">
            <w:pPr>
              <w:pStyle w:val="Tablebody"/>
              <w:keepNext/>
              <w:rPr>
                <w:lang w:eastAsia="de-DE"/>
              </w:rPr>
            </w:pPr>
            <w:r w:rsidRPr="009D3012">
              <w:rPr>
                <w:lang w:eastAsia="de-DE"/>
              </w:rPr>
              <w:t>8.5.5(2)</w:t>
            </w:r>
          </w:p>
        </w:tc>
      </w:tr>
      <w:tr w:rsidR="009D7EBE" w:rsidRPr="001455DC" w14:paraId="4547EBD9" w14:textId="3CB99FF4" w:rsidTr="0066200C">
        <w:trPr>
          <w:cantSplit/>
        </w:trPr>
        <w:tc>
          <w:tcPr>
            <w:tcW w:w="1418" w:type="dxa"/>
            <w:shd w:val="clear" w:color="auto" w:fill="auto"/>
          </w:tcPr>
          <w:p w14:paraId="7D999A9C" w14:textId="77777777" w:rsidR="009D7EBE" w:rsidRPr="009D3012" w:rsidRDefault="009D7EBE" w:rsidP="009D7EBE">
            <w:pPr>
              <w:pStyle w:val="Tablebody"/>
              <w:rPr>
                <w:rStyle w:val="CCMCvariableitalic"/>
              </w:rPr>
            </w:pPr>
            <w:r w:rsidRPr="001455DC">
              <w:rPr>
                <w:rStyle w:val="CCMCvariableitalic"/>
              </w:rPr>
              <w:t>a</w:t>
            </w:r>
            <w:r w:rsidRPr="001455DC">
              <w:rPr>
                <w:rStyle w:val="CCMCvariablesubscript"/>
              </w:rPr>
              <w:t>cs</w:t>
            </w:r>
          </w:p>
        </w:tc>
        <w:tc>
          <w:tcPr>
            <w:tcW w:w="6548" w:type="dxa"/>
            <w:shd w:val="clear" w:color="auto" w:fill="auto"/>
          </w:tcPr>
          <w:p w14:paraId="08CD411F" w14:textId="77777777" w:rsidR="009D7EBE" w:rsidRPr="001455DC" w:rsidRDefault="009D7EBE" w:rsidP="000250B6">
            <w:pPr>
              <w:pStyle w:val="Tablebody"/>
              <w:jc w:val="left"/>
              <w:rPr>
                <w:lang w:eastAsia="de-DE"/>
              </w:rPr>
            </w:pPr>
            <w:r w:rsidRPr="001455DC">
              <w:rPr>
                <w:lang w:eastAsia="de-DE"/>
              </w:rPr>
              <w:t>Effective shear span with respect to the control section</w:t>
            </w:r>
          </w:p>
        </w:tc>
        <w:tc>
          <w:tcPr>
            <w:tcW w:w="1984" w:type="dxa"/>
          </w:tcPr>
          <w:p w14:paraId="383A34AC" w14:textId="5226F1C0" w:rsidR="009D7EBE" w:rsidRPr="001455DC" w:rsidRDefault="009D7EBE" w:rsidP="009D7EBE">
            <w:pPr>
              <w:pStyle w:val="Tablebody"/>
              <w:rPr>
                <w:lang w:eastAsia="de-DE"/>
              </w:rPr>
            </w:pPr>
            <w:r w:rsidRPr="009D3012">
              <w:rPr>
                <w:lang w:eastAsia="de-DE"/>
              </w:rPr>
              <w:t>8.2.2(3)</w:t>
            </w:r>
          </w:p>
        </w:tc>
      </w:tr>
      <w:tr w:rsidR="009D7EBE" w:rsidRPr="001455DC" w14:paraId="1BFE559B" w14:textId="2C038CF1" w:rsidTr="0066200C">
        <w:trPr>
          <w:cantSplit/>
        </w:trPr>
        <w:tc>
          <w:tcPr>
            <w:tcW w:w="1418" w:type="dxa"/>
            <w:shd w:val="clear" w:color="auto" w:fill="auto"/>
          </w:tcPr>
          <w:p w14:paraId="732FB666" w14:textId="77777777" w:rsidR="009D7EBE" w:rsidRPr="009D3012" w:rsidRDefault="009D7EBE" w:rsidP="009D7EBE">
            <w:pPr>
              <w:pStyle w:val="Tablebody"/>
              <w:rPr>
                <w:rStyle w:val="CCMCvariableitalic"/>
              </w:rPr>
            </w:pPr>
            <w:r w:rsidRPr="001455DC">
              <w:rPr>
                <w:rStyle w:val="CCMCvariableitalic"/>
              </w:rPr>
              <w:t>a</w:t>
            </w:r>
            <w:r w:rsidRPr="001455DC">
              <w:rPr>
                <w:rStyle w:val="CCMCvariablesubscript"/>
              </w:rPr>
              <w:t>F</w:t>
            </w:r>
          </w:p>
        </w:tc>
        <w:tc>
          <w:tcPr>
            <w:tcW w:w="6548" w:type="dxa"/>
            <w:shd w:val="clear" w:color="auto" w:fill="auto"/>
          </w:tcPr>
          <w:p w14:paraId="08756DB4" w14:textId="77777777" w:rsidR="009D7EBE" w:rsidRPr="001455DC" w:rsidRDefault="009D7EBE" w:rsidP="000250B6">
            <w:pPr>
              <w:pStyle w:val="Tablebody"/>
              <w:jc w:val="left"/>
              <w:rPr>
                <w:lang w:eastAsia="de-DE"/>
              </w:rPr>
            </w:pPr>
            <w:r w:rsidRPr="001455DC">
              <w:rPr>
                <w:lang w:eastAsia="de-DE"/>
              </w:rPr>
              <w:t>Projection of a foundation from the column face</w:t>
            </w:r>
          </w:p>
        </w:tc>
        <w:tc>
          <w:tcPr>
            <w:tcW w:w="1984" w:type="dxa"/>
          </w:tcPr>
          <w:p w14:paraId="1F42C6F4" w14:textId="3B15392D" w:rsidR="009D7EBE" w:rsidRPr="001455DC" w:rsidRDefault="009D7EBE" w:rsidP="009D7EBE">
            <w:pPr>
              <w:pStyle w:val="Tablebody"/>
              <w:rPr>
                <w:lang w:eastAsia="de-DE"/>
              </w:rPr>
            </w:pPr>
            <w:r w:rsidRPr="009D3012">
              <w:rPr>
                <w:lang w:eastAsia="de-DE"/>
              </w:rPr>
              <w:t>14.6.3(1)</w:t>
            </w:r>
          </w:p>
        </w:tc>
      </w:tr>
      <w:tr w:rsidR="009D7EBE" w:rsidRPr="001455DC" w14:paraId="3B4DD385" w14:textId="5FD74A77" w:rsidTr="0066200C">
        <w:trPr>
          <w:cantSplit/>
        </w:trPr>
        <w:tc>
          <w:tcPr>
            <w:tcW w:w="1418" w:type="dxa"/>
            <w:shd w:val="clear" w:color="auto" w:fill="auto"/>
          </w:tcPr>
          <w:p w14:paraId="0726CC2A" w14:textId="77777777" w:rsidR="009D7EBE" w:rsidRPr="009D3012" w:rsidRDefault="009D7EBE" w:rsidP="009D7EBE">
            <w:pPr>
              <w:pStyle w:val="Tablebody"/>
              <w:rPr>
                <w:rStyle w:val="CCMCvariableitalic"/>
              </w:rPr>
            </w:pPr>
            <w:r w:rsidRPr="001455DC">
              <w:rPr>
                <w:rStyle w:val="CCMCvariableitalic"/>
              </w:rPr>
              <w:t>a</w:t>
            </w:r>
            <w:r w:rsidRPr="001455DC">
              <w:rPr>
                <w:rStyle w:val="CCMCvariablesubscript"/>
              </w:rPr>
              <w:t>i</w:t>
            </w:r>
          </w:p>
        </w:tc>
        <w:tc>
          <w:tcPr>
            <w:tcW w:w="6548" w:type="dxa"/>
            <w:shd w:val="clear" w:color="auto" w:fill="auto"/>
          </w:tcPr>
          <w:p w14:paraId="76732B37" w14:textId="77777777" w:rsidR="009D7EBE" w:rsidRPr="001455DC" w:rsidRDefault="009D7EBE" w:rsidP="000250B6">
            <w:pPr>
              <w:pStyle w:val="Tablebody"/>
              <w:jc w:val="left"/>
              <w:rPr>
                <w:lang w:eastAsia="de-DE"/>
              </w:rPr>
            </w:pPr>
            <w:r w:rsidRPr="001455DC">
              <w:rPr>
                <w:lang w:eastAsia="de-DE"/>
              </w:rPr>
              <w:t>Amplitude of buckling shape to be considered as an imperfection for bucking analysis of arches</w:t>
            </w:r>
          </w:p>
        </w:tc>
        <w:tc>
          <w:tcPr>
            <w:tcW w:w="1984" w:type="dxa"/>
          </w:tcPr>
          <w:p w14:paraId="6150B08A" w14:textId="383F58CD" w:rsidR="009D7EBE" w:rsidRPr="001455DC" w:rsidRDefault="009D7EBE" w:rsidP="009D7EBE">
            <w:pPr>
              <w:pStyle w:val="Tablebody"/>
              <w:rPr>
                <w:lang w:eastAsia="de-DE"/>
              </w:rPr>
            </w:pPr>
            <w:r w:rsidRPr="009D3012">
              <w:rPr>
                <w:lang w:eastAsia="de-DE"/>
              </w:rPr>
              <w:t>7.2.2(4)</w:t>
            </w:r>
          </w:p>
        </w:tc>
      </w:tr>
      <w:tr w:rsidR="009D7EBE" w:rsidRPr="001455DC" w14:paraId="0854AF25" w14:textId="6F917AE4" w:rsidTr="0066200C">
        <w:trPr>
          <w:cantSplit/>
        </w:trPr>
        <w:tc>
          <w:tcPr>
            <w:tcW w:w="1418" w:type="dxa"/>
            <w:shd w:val="clear" w:color="auto" w:fill="auto"/>
          </w:tcPr>
          <w:p w14:paraId="33B85694" w14:textId="77777777" w:rsidR="009D7EBE" w:rsidRPr="009D3012" w:rsidRDefault="009D7EBE" w:rsidP="009D7EBE">
            <w:pPr>
              <w:pStyle w:val="Tablebody"/>
              <w:rPr>
                <w:rStyle w:val="CCMCvariableitalic"/>
              </w:rPr>
            </w:pPr>
            <w:r w:rsidRPr="001455DC">
              <w:rPr>
                <w:rStyle w:val="CCMCvariableitalic"/>
              </w:rPr>
              <w:t>a</w:t>
            </w:r>
            <w:r w:rsidRPr="001455DC">
              <w:rPr>
                <w:rStyle w:val="CCMCvariablesubscript"/>
              </w:rPr>
              <w:t>N</w:t>
            </w:r>
          </w:p>
        </w:tc>
        <w:tc>
          <w:tcPr>
            <w:tcW w:w="6548" w:type="dxa"/>
            <w:shd w:val="clear" w:color="auto" w:fill="auto"/>
          </w:tcPr>
          <w:p w14:paraId="41DE4D9F" w14:textId="77777777" w:rsidR="009D7EBE" w:rsidRPr="001455DC" w:rsidRDefault="009D7EBE" w:rsidP="000250B6">
            <w:pPr>
              <w:pStyle w:val="Tablebody"/>
              <w:jc w:val="left"/>
              <w:rPr>
                <w:lang w:eastAsia="de-DE"/>
              </w:rPr>
            </w:pPr>
            <w:r w:rsidRPr="001455DC">
              <w:rPr>
                <w:lang w:eastAsia="de-DE"/>
              </w:rPr>
              <w:t xml:space="preserve">Exponent governing the shape of the simplified skew bending interaction diagram </w:t>
            </w:r>
          </w:p>
        </w:tc>
        <w:tc>
          <w:tcPr>
            <w:tcW w:w="1984" w:type="dxa"/>
          </w:tcPr>
          <w:p w14:paraId="3B247816" w14:textId="713E8810" w:rsidR="009D7EBE" w:rsidRPr="001455DC" w:rsidRDefault="009D7EBE" w:rsidP="009D7EBE">
            <w:pPr>
              <w:pStyle w:val="Tablebody"/>
              <w:rPr>
                <w:lang w:eastAsia="de-DE"/>
              </w:rPr>
            </w:pPr>
            <w:r w:rsidRPr="009D3012">
              <w:rPr>
                <w:lang w:eastAsia="de-DE"/>
              </w:rPr>
              <w:t>7.8.4(5)</w:t>
            </w:r>
          </w:p>
        </w:tc>
      </w:tr>
      <w:tr w:rsidR="009D7EBE" w:rsidRPr="001455DC" w14:paraId="22E683BA" w14:textId="011FB631" w:rsidTr="0066200C">
        <w:trPr>
          <w:cantSplit/>
        </w:trPr>
        <w:tc>
          <w:tcPr>
            <w:tcW w:w="1418" w:type="dxa"/>
            <w:shd w:val="clear" w:color="auto" w:fill="auto"/>
          </w:tcPr>
          <w:p w14:paraId="33CFE4E0" w14:textId="77777777" w:rsidR="009D7EBE" w:rsidRPr="009D3012" w:rsidRDefault="009D7EBE" w:rsidP="009D7EBE">
            <w:pPr>
              <w:pStyle w:val="Tablebody"/>
              <w:rPr>
                <w:rStyle w:val="CCMCvariableitalic"/>
              </w:rPr>
            </w:pPr>
            <w:r w:rsidRPr="001455DC">
              <w:rPr>
                <w:rStyle w:val="CCMCvariableitalic"/>
              </w:rPr>
              <w:t>a</w:t>
            </w:r>
            <w:r w:rsidRPr="001455DC">
              <w:rPr>
                <w:rStyle w:val="CCMCvariablesubscript"/>
              </w:rPr>
              <w:t>p</w:t>
            </w:r>
          </w:p>
        </w:tc>
        <w:tc>
          <w:tcPr>
            <w:tcW w:w="6548" w:type="dxa"/>
            <w:shd w:val="clear" w:color="auto" w:fill="auto"/>
          </w:tcPr>
          <w:p w14:paraId="498C3553" w14:textId="77777777" w:rsidR="009D7EBE" w:rsidRPr="001455DC" w:rsidRDefault="009D7EBE" w:rsidP="000250B6">
            <w:pPr>
              <w:pStyle w:val="Tablebody"/>
              <w:jc w:val="left"/>
              <w:rPr>
                <w:lang w:eastAsia="de-DE"/>
              </w:rPr>
            </w:pPr>
            <w:r w:rsidRPr="001455DC">
              <w:rPr>
                <w:lang w:eastAsia="de-DE"/>
              </w:rPr>
              <w:t>Distances between the centre of the support area and the point of contraflexure in slabs under concentrated loads</w:t>
            </w:r>
          </w:p>
        </w:tc>
        <w:tc>
          <w:tcPr>
            <w:tcW w:w="1984" w:type="dxa"/>
          </w:tcPr>
          <w:p w14:paraId="389D333E" w14:textId="06F6B49E" w:rsidR="009D7EBE" w:rsidRPr="001455DC" w:rsidRDefault="009D7EBE" w:rsidP="009D7EBE">
            <w:pPr>
              <w:pStyle w:val="Tablebody"/>
              <w:rPr>
                <w:lang w:eastAsia="de-DE"/>
              </w:rPr>
            </w:pPr>
            <w:r w:rsidRPr="009D3012">
              <w:rPr>
                <w:lang w:eastAsia="de-DE"/>
              </w:rPr>
              <w:t>8.4.3(2)</w:t>
            </w:r>
          </w:p>
        </w:tc>
      </w:tr>
      <w:tr w:rsidR="009D7EBE" w:rsidRPr="001455DC" w14:paraId="58B3FEE5" w14:textId="01C3A945" w:rsidTr="0066200C">
        <w:trPr>
          <w:cantSplit/>
        </w:trPr>
        <w:tc>
          <w:tcPr>
            <w:tcW w:w="1418" w:type="dxa"/>
            <w:shd w:val="clear" w:color="auto" w:fill="auto"/>
          </w:tcPr>
          <w:p w14:paraId="0058307E" w14:textId="77777777" w:rsidR="009D7EBE" w:rsidRPr="009D3012" w:rsidRDefault="009D7EBE" w:rsidP="009D7EBE">
            <w:pPr>
              <w:pStyle w:val="Tablebody"/>
              <w:rPr>
                <w:rStyle w:val="CCMCvariableitalic"/>
              </w:rPr>
            </w:pPr>
            <w:r w:rsidRPr="001455DC">
              <w:rPr>
                <w:rStyle w:val="CCMCvariableitalic"/>
              </w:rPr>
              <w:t>a</w:t>
            </w:r>
            <w:r w:rsidRPr="001455DC">
              <w:rPr>
                <w:rStyle w:val="CCMCvariablesubscript"/>
              </w:rPr>
              <w:t>pd</w:t>
            </w:r>
          </w:p>
        </w:tc>
        <w:tc>
          <w:tcPr>
            <w:tcW w:w="6548" w:type="dxa"/>
            <w:shd w:val="clear" w:color="auto" w:fill="auto"/>
          </w:tcPr>
          <w:p w14:paraId="524914E9" w14:textId="77777777" w:rsidR="009D7EBE" w:rsidRPr="001455DC" w:rsidRDefault="009D7EBE" w:rsidP="000250B6">
            <w:pPr>
              <w:pStyle w:val="Tablebody"/>
              <w:jc w:val="left"/>
              <w:rPr>
                <w:lang w:eastAsia="de-DE"/>
              </w:rPr>
            </w:pPr>
            <w:r w:rsidRPr="001455DC">
              <w:rPr>
                <w:lang w:eastAsia="de-DE"/>
              </w:rPr>
              <w:t xml:space="preserve">Parameter for calculating the punching shear resistance based on </w:t>
            </w:r>
            <w:r w:rsidRPr="001455DC">
              <w:rPr>
                <w:rStyle w:val="CCMCvariableitalic"/>
              </w:rPr>
              <w:t>a</w:t>
            </w:r>
            <w:r w:rsidRPr="001455DC">
              <w:rPr>
                <w:rStyle w:val="CCMCvariablesubscript"/>
              </w:rPr>
              <w:t>p</w:t>
            </w:r>
          </w:p>
        </w:tc>
        <w:tc>
          <w:tcPr>
            <w:tcW w:w="1984" w:type="dxa"/>
          </w:tcPr>
          <w:p w14:paraId="4A416F8B" w14:textId="417BCCF7" w:rsidR="009D7EBE" w:rsidRPr="001455DC" w:rsidRDefault="009D7EBE" w:rsidP="009D7EBE">
            <w:pPr>
              <w:pStyle w:val="Tablebody"/>
              <w:rPr>
                <w:lang w:eastAsia="de-DE"/>
              </w:rPr>
            </w:pPr>
            <w:r w:rsidRPr="009D3012">
              <w:rPr>
                <w:lang w:eastAsia="de-DE"/>
              </w:rPr>
              <w:t>8.4.3(2)</w:t>
            </w:r>
          </w:p>
        </w:tc>
      </w:tr>
      <w:tr w:rsidR="009D7EBE" w:rsidRPr="001455DC" w14:paraId="152D9714" w14:textId="4B60F92B" w:rsidTr="0066200C">
        <w:trPr>
          <w:cantSplit/>
        </w:trPr>
        <w:tc>
          <w:tcPr>
            <w:tcW w:w="1418" w:type="dxa"/>
            <w:shd w:val="clear" w:color="auto" w:fill="auto"/>
          </w:tcPr>
          <w:p w14:paraId="0C466DAA" w14:textId="77777777" w:rsidR="009D7EBE" w:rsidRPr="009D3012" w:rsidRDefault="009D7EBE" w:rsidP="009D7EBE">
            <w:pPr>
              <w:pStyle w:val="Tablebody"/>
              <w:rPr>
                <w:rStyle w:val="CCMCvariableitalic"/>
              </w:rPr>
            </w:pPr>
            <w:r w:rsidRPr="001455DC">
              <w:rPr>
                <w:rStyle w:val="CCMCvariableitalic"/>
              </w:rPr>
              <w:t>a</w:t>
            </w:r>
            <w:r w:rsidRPr="001455DC">
              <w:rPr>
                <w:rStyle w:val="CCMCvariablesubscript"/>
              </w:rPr>
              <w:t>p,x</w:t>
            </w:r>
            <w:r w:rsidRPr="001455DC">
              <w:t xml:space="preserve">, </w:t>
            </w:r>
            <w:r w:rsidRPr="001455DC">
              <w:rPr>
                <w:rStyle w:val="CCMCvariableitalic"/>
              </w:rPr>
              <w:t>a</w:t>
            </w:r>
            <w:r w:rsidRPr="001455DC">
              <w:rPr>
                <w:rStyle w:val="CCMCvariablesubscript"/>
              </w:rPr>
              <w:t>p,y</w:t>
            </w:r>
          </w:p>
        </w:tc>
        <w:tc>
          <w:tcPr>
            <w:tcW w:w="6548" w:type="dxa"/>
            <w:shd w:val="clear" w:color="auto" w:fill="auto"/>
          </w:tcPr>
          <w:p w14:paraId="04E9B767" w14:textId="632330CF" w:rsidR="009D7EBE" w:rsidRPr="001455DC" w:rsidRDefault="009D7EBE" w:rsidP="000250B6">
            <w:pPr>
              <w:pStyle w:val="Tablebody"/>
              <w:jc w:val="left"/>
              <w:rPr>
                <w:lang w:eastAsia="de-DE"/>
              </w:rPr>
            </w:pPr>
            <w:r w:rsidRPr="001455DC">
              <w:rPr>
                <w:lang w:eastAsia="de-DE"/>
              </w:rPr>
              <w:t xml:space="preserve">Maximum distances from the centre of the support area to the two points (on the </w:t>
            </w:r>
            <w:r w:rsidRPr="001455DC">
              <w:rPr>
                <w:rStyle w:val="CCMCvariableitalic"/>
              </w:rPr>
              <w:t>x</w:t>
            </w:r>
            <w:r w:rsidRPr="001455DC">
              <w:rPr>
                <w:lang w:eastAsia="de-DE"/>
              </w:rPr>
              <w:noBreakHyphen/>
              <w:t xml:space="preserve"> and on the </w:t>
            </w:r>
            <w:r w:rsidRPr="001455DC">
              <w:rPr>
                <w:rStyle w:val="CCMCvariableitalic"/>
              </w:rPr>
              <w:t>y</w:t>
            </w:r>
            <w:r w:rsidRPr="001455DC">
              <w:rPr>
                <w:lang w:eastAsia="de-DE"/>
              </w:rPr>
              <w:noBreakHyphen/>
              <w:t xml:space="preserve">axis, respectively) where the bending moments </w:t>
            </w:r>
            <w:r w:rsidRPr="001455DC">
              <w:rPr>
                <w:rStyle w:val="CCMCvariableitalic"/>
              </w:rPr>
              <w:t>m</w:t>
            </w:r>
            <w:r w:rsidRPr="001455DC">
              <w:rPr>
                <w:rStyle w:val="CCMCvariablesubscript"/>
              </w:rPr>
              <w:t>Ed,x</w:t>
            </w:r>
            <w:r w:rsidRPr="001455DC">
              <w:rPr>
                <w:lang w:eastAsia="de-DE"/>
              </w:rPr>
              <w:t xml:space="preserve">, respectively </w:t>
            </w:r>
            <w:r w:rsidRPr="001455DC">
              <w:rPr>
                <w:rStyle w:val="CCMCvariableitalic"/>
              </w:rPr>
              <w:t>m</w:t>
            </w:r>
            <w:r w:rsidRPr="001455DC">
              <w:rPr>
                <w:rStyle w:val="CCMCvariablesubscript"/>
              </w:rPr>
              <w:t>Ed,y</w:t>
            </w:r>
            <w:r w:rsidRPr="001455DC">
              <w:rPr>
                <w:lang w:eastAsia="de-DE"/>
              </w:rPr>
              <w:t>, are zero</w:t>
            </w:r>
          </w:p>
        </w:tc>
        <w:tc>
          <w:tcPr>
            <w:tcW w:w="1984" w:type="dxa"/>
          </w:tcPr>
          <w:p w14:paraId="6243D703" w14:textId="45730914" w:rsidR="009D7EBE" w:rsidRPr="001455DC" w:rsidRDefault="009D7EBE" w:rsidP="009D7EBE">
            <w:pPr>
              <w:pStyle w:val="Tablebody"/>
              <w:rPr>
                <w:lang w:eastAsia="de-DE"/>
              </w:rPr>
            </w:pPr>
            <w:r w:rsidRPr="009D3012">
              <w:rPr>
                <w:lang w:eastAsia="de-DE"/>
              </w:rPr>
              <w:t>8.4.3(2)</w:t>
            </w:r>
          </w:p>
        </w:tc>
      </w:tr>
      <w:tr w:rsidR="009D7EBE" w:rsidRPr="001455DC" w14:paraId="170AB6A0" w14:textId="5F9C799C" w:rsidTr="0066200C">
        <w:trPr>
          <w:cantSplit/>
        </w:trPr>
        <w:tc>
          <w:tcPr>
            <w:tcW w:w="1418" w:type="dxa"/>
            <w:shd w:val="clear" w:color="auto" w:fill="auto"/>
          </w:tcPr>
          <w:p w14:paraId="110997A3" w14:textId="77777777" w:rsidR="009D7EBE" w:rsidRPr="009D3012" w:rsidRDefault="009D7EBE" w:rsidP="009D7EBE">
            <w:pPr>
              <w:pStyle w:val="Tablebody"/>
              <w:rPr>
                <w:rStyle w:val="CCMCvariableitalic"/>
              </w:rPr>
            </w:pPr>
            <w:r w:rsidRPr="001455DC">
              <w:rPr>
                <w:rStyle w:val="CCMCvariableitalic"/>
              </w:rPr>
              <w:t>a</w:t>
            </w:r>
            <w:r w:rsidRPr="001455DC">
              <w:rPr>
                <w:rStyle w:val="CCMCvariablesubscript"/>
              </w:rPr>
              <w:t>q</w:t>
            </w:r>
          </w:p>
        </w:tc>
        <w:tc>
          <w:tcPr>
            <w:tcW w:w="6548" w:type="dxa"/>
            <w:shd w:val="clear" w:color="auto" w:fill="auto"/>
          </w:tcPr>
          <w:p w14:paraId="380AF2A0" w14:textId="77777777" w:rsidR="009D7EBE" w:rsidRPr="001455DC" w:rsidRDefault="009D7EBE" w:rsidP="000250B6">
            <w:pPr>
              <w:pStyle w:val="Tablebody"/>
              <w:jc w:val="left"/>
              <w:rPr>
                <w:lang w:eastAsia="de-DE"/>
              </w:rPr>
            </w:pPr>
            <w:r w:rsidRPr="001455DC">
              <w:rPr>
                <w:lang w:eastAsia="de-DE"/>
              </w:rPr>
              <w:t xml:space="preserve">Distance between concentrated forces pushing against each other </w:t>
            </w:r>
          </w:p>
        </w:tc>
        <w:tc>
          <w:tcPr>
            <w:tcW w:w="1984" w:type="dxa"/>
          </w:tcPr>
          <w:p w14:paraId="10F2489D" w14:textId="69302CF0" w:rsidR="009D7EBE" w:rsidRPr="001455DC" w:rsidRDefault="009D7EBE" w:rsidP="009D7EBE">
            <w:pPr>
              <w:pStyle w:val="Tablebody"/>
              <w:rPr>
                <w:lang w:eastAsia="de-DE"/>
              </w:rPr>
            </w:pPr>
            <w:r w:rsidRPr="009D3012">
              <w:rPr>
                <w:lang w:eastAsia="de-DE"/>
              </w:rPr>
              <w:t>8.2.1(11); 8.2.2(9)</w:t>
            </w:r>
          </w:p>
        </w:tc>
      </w:tr>
      <w:tr w:rsidR="009D7EBE" w:rsidRPr="001455DC" w14:paraId="112A358E" w14:textId="39D87AF0" w:rsidTr="0066200C">
        <w:trPr>
          <w:cantSplit/>
        </w:trPr>
        <w:tc>
          <w:tcPr>
            <w:tcW w:w="1418" w:type="dxa"/>
            <w:shd w:val="clear" w:color="auto" w:fill="auto"/>
          </w:tcPr>
          <w:p w14:paraId="110CCB14" w14:textId="77777777" w:rsidR="009D7EBE" w:rsidRPr="009D3012" w:rsidRDefault="009D7EBE" w:rsidP="009D7EBE">
            <w:pPr>
              <w:pStyle w:val="Tablebody"/>
              <w:rPr>
                <w:rStyle w:val="CCMCvariableitalic"/>
              </w:rPr>
            </w:pPr>
            <w:r w:rsidRPr="001455DC">
              <w:rPr>
                <w:rStyle w:val="CCMCvariableitalic"/>
              </w:rPr>
              <w:t>a</w:t>
            </w:r>
            <w:r w:rsidRPr="001455DC">
              <w:rPr>
                <w:rStyle w:val="CCMCvariablesubscript"/>
              </w:rPr>
              <w:t>v</w:t>
            </w:r>
          </w:p>
        </w:tc>
        <w:tc>
          <w:tcPr>
            <w:tcW w:w="6548" w:type="dxa"/>
            <w:shd w:val="clear" w:color="auto" w:fill="auto"/>
          </w:tcPr>
          <w:p w14:paraId="32D78586" w14:textId="77777777" w:rsidR="009D7EBE" w:rsidRPr="001455DC" w:rsidRDefault="009D7EBE" w:rsidP="000250B6">
            <w:pPr>
              <w:pStyle w:val="Tablebody"/>
              <w:jc w:val="left"/>
              <w:rPr>
                <w:lang w:eastAsia="de-DE"/>
              </w:rPr>
            </w:pPr>
            <w:r w:rsidRPr="001455DC">
              <w:rPr>
                <w:lang w:eastAsia="de-DE"/>
              </w:rPr>
              <w:t>Mechanical shear span</w:t>
            </w:r>
          </w:p>
        </w:tc>
        <w:tc>
          <w:tcPr>
            <w:tcW w:w="1984" w:type="dxa"/>
          </w:tcPr>
          <w:p w14:paraId="40F1231A" w14:textId="7838E9DF" w:rsidR="009D7EBE" w:rsidRPr="001455DC" w:rsidRDefault="009D7EBE" w:rsidP="009D7EBE">
            <w:pPr>
              <w:pStyle w:val="Tablebody"/>
              <w:rPr>
                <w:lang w:eastAsia="de-DE"/>
              </w:rPr>
            </w:pPr>
            <w:r w:rsidRPr="009D3012">
              <w:rPr>
                <w:lang w:eastAsia="de-DE"/>
              </w:rPr>
              <w:t>8.2.2(3)</w:t>
            </w:r>
          </w:p>
        </w:tc>
      </w:tr>
      <w:tr w:rsidR="009D7EBE" w:rsidRPr="001455DC" w14:paraId="0D99B63C" w14:textId="7DDC7515" w:rsidTr="0066200C">
        <w:trPr>
          <w:cantSplit/>
        </w:trPr>
        <w:tc>
          <w:tcPr>
            <w:tcW w:w="1418" w:type="dxa"/>
            <w:shd w:val="clear" w:color="auto" w:fill="auto"/>
          </w:tcPr>
          <w:p w14:paraId="1B555431" w14:textId="77777777" w:rsidR="009D7EBE" w:rsidRPr="001455DC" w:rsidRDefault="009D7EBE" w:rsidP="009D7EBE">
            <w:pPr>
              <w:pStyle w:val="Tablebody"/>
            </w:pPr>
            <w:r w:rsidRPr="001455DC">
              <w:rPr>
                <w:rStyle w:val="CCMCvariableitalic"/>
              </w:rPr>
              <w:t>b</w:t>
            </w:r>
          </w:p>
        </w:tc>
        <w:tc>
          <w:tcPr>
            <w:tcW w:w="6548" w:type="dxa"/>
            <w:shd w:val="clear" w:color="auto" w:fill="auto"/>
          </w:tcPr>
          <w:p w14:paraId="338B99D8" w14:textId="1EF7614F" w:rsidR="009D7EBE" w:rsidRPr="001455DC" w:rsidRDefault="009D7EBE" w:rsidP="000250B6">
            <w:pPr>
              <w:pStyle w:val="Tablebody"/>
              <w:jc w:val="left"/>
              <w:rPr>
                <w:rStyle w:val="CCMCvariableitalic"/>
              </w:rPr>
            </w:pPr>
            <w:r w:rsidRPr="009D3012">
              <w:rPr>
                <w:lang w:eastAsia="de-DE"/>
              </w:rPr>
              <w:t>Overall width of a cross</w:t>
            </w:r>
            <w:r w:rsidR="00B10711" w:rsidRPr="001455DC">
              <w:rPr>
                <w:lang w:eastAsia="de-DE"/>
              </w:rPr>
              <w:t xml:space="preserve"> </w:t>
            </w:r>
            <w:r w:rsidRPr="001455DC">
              <w:rPr>
                <w:lang w:eastAsia="de-DE"/>
              </w:rPr>
              <w:t>section, or actual flange width in a T or L beam</w:t>
            </w:r>
          </w:p>
        </w:tc>
        <w:tc>
          <w:tcPr>
            <w:tcW w:w="1984" w:type="dxa"/>
          </w:tcPr>
          <w:p w14:paraId="0D84A244" w14:textId="05D675EE" w:rsidR="009D7EBE" w:rsidRPr="001455DC" w:rsidRDefault="009D7EBE" w:rsidP="009D7EBE">
            <w:pPr>
              <w:pStyle w:val="Tablebody"/>
              <w:rPr>
                <w:lang w:eastAsia="de-DE"/>
              </w:rPr>
            </w:pPr>
            <w:r w:rsidRPr="009D3012">
              <w:rPr>
                <w:lang w:eastAsia="de-DE"/>
              </w:rPr>
              <w:t>8.5.2(2)</w:t>
            </w:r>
          </w:p>
        </w:tc>
      </w:tr>
      <w:tr w:rsidR="009D7EBE" w:rsidRPr="001455DC" w14:paraId="36E077B1" w14:textId="3451B317" w:rsidTr="0066200C">
        <w:trPr>
          <w:cantSplit/>
        </w:trPr>
        <w:tc>
          <w:tcPr>
            <w:tcW w:w="1418" w:type="dxa"/>
            <w:shd w:val="clear" w:color="auto" w:fill="auto"/>
          </w:tcPr>
          <w:p w14:paraId="5CF0C934" w14:textId="77777777" w:rsidR="009D7EBE" w:rsidRPr="009D3012" w:rsidRDefault="009D7EBE" w:rsidP="009D7EBE">
            <w:pPr>
              <w:pStyle w:val="Tablebody"/>
              <w:rPr>
                <w:rStyle w:val="CCMCvariableitalic"/>
              </w:rPr>
            </w:pPr>
            <w:r w:rsidRPr="001455DC">
              <w:rPr>
                <w:rStyle w:val="CCMCvariableitalic"/>
              </w:rPr>
              <w:t>b</w:t>
            </w:r>
            <w:r w:rsidRPr="001455DC">
              <w:rPr>
                <w:rStyle w:val="CCMCvariablesubscript"/>
              </w:rPr>
              <w:t>0</w:t>
            </w:r>
          </w:p>
        </w:tc>
        <w:tc>
          <w:tcPr>
            <w:tcW w:w="6548" w:type="dxa"/>
            <w:shd w:val="clear" w:color="auto" w:fill="auto"/>
          </w:tcPr>
          <w:p w14:paraId="1C63AC94" w14:textId="77777777" w:rsidR="009D7EBE" w:rsidRPr="001455DC" w:rsidRDefault="009D7EBE" w:rsidP="000250B6">
            <w:pPr>
              <w:pStyle w:val="Tablebody"/>
              <w:jc w:val="left"/>
              <w:rPr>
                <w:lang w:eastAsia="de-DE"/>
              </w:rPr>
            </w:pPr>
            <w:r w:rsidRPr="001455DC">
              <w:rPr>
                <w:lang w:eastAsia="de-DE"/>
              </w:rPr>
              <w:t>Length of the control perimeter</w:t>
            </w:r>
          </w:p>
        </w:tc>
        <w:tc>
          <w:tcPr>
            <w:tcW w:w="1984" w:type="dxa"/>
          </w:tcPr>
          <w:p w14:paraId="3D504F86" w14:textId="0F76CDDB" w:rsidR="009D7EBE" w:rsidRPr="001455DC" w:rsidRDefault="009D7EBE" w:rsidP="009D7EBE">
            <w:pPr>
              <w:pStyle w:val="Tablebody"/>
              <w:rPr>
                <w:lang w:eastAsia="de-DE"/>
              </w:rPr>
            </w:pPr>
            <w:r w:rsidRPr="009D3012">
              <w:rPr>
                <w:lang w:eastAsia="de-DE"/>
              </w:rPr>
              <w:t>8.4.2(2)</w:t>
            </w:r>
          </w:p>
        </w:tc>
      </w:tr>
      <w:tr w:rsidR="009D7EBE" w:rsidRPr="001455DC" w14:paraId="7FBC1562" w14:textId="4D079D2C" w:rsidTr="0066200C">
        <w:trPr>
          <w:cantSplit/>
        </w:trPr>
        <w:tc>
          <w:tcPr>
            <w:tcW w:w="1418" w:type="dxa"/>
            <w:shd w:val="clear" w:color="auto" w:fill="auto"/>
          </w:tcPr>
          <w:p w14:paraId="5C5C978B" w14:textId="77777777" w:rsidR="009D7EBE" w:rsidRPr="001455DC" w:rsidRDefault="009D7EBE" w:rsidP="009D7EBE">
            <w:pPr>
              <w:pStyle w:val="Tablebody"/>
              <w:rPr>
                <w:lang w:eastAsia="de-DE"/>
              </w:rPr>
            </w:pPr>
            <w:r w:rsidRPr="001455DC">
              <w:rPr>
                <w:rStyle w:val="CCMCvariableitalic"/>
              </w:rPr>
              <w:t>b</w:t>
            </w:r>
            <w:r w:rsidRPr="001455DC">
              <w:rPr>
                <w:rStyle w:val="CCMCvariablesubscript"/>
              </w:rPr>
              <w:t>0,out</w:t>
            </w:r>
          </w:p>
        </w:tc>
        <w:tc>
          <w:tcPr>
            <w:tcW w:w="6548" w:type="dxa"/>
            <w:shd w:val="clear" w:color="auto" w:fill="auto"/>
          </w:tcPr>
          <w:p w14:paraId="672E8BF5" w14:textId="77777777" w:rsidR="009D7EBE" w:rsidRPr="001455DC" w:rsidRDefault="009D7EBE" w:rsidP="000250B6">
            <w:pPr>
              <w:pStyle w:val="Tablebody"/>
              <w:jc w:val="left"/>
              <w:rPr>
                <w:lang w:eastAsia="de-DE"/>
              </w:rPr>
            </w:pPr>
            <w:r w:rsidRPr="001455DC">
              <w:rPr>
                <w:rStyle w:val="CCMCvariableitalic"/>
              </w:rPr>
              <w:t>b</w:t>
            </w:r>
            <w:r w:rsidRPr="001455DC">
              <w:rPr>
                <w:rStyle w:val="CCMCvariablesubscript"/>
              </w:rPr>
              <w:t>0</w:t>
            </w:r>
            <w:r w:rsidRPr="001455DC">
              <w:rPr>
                <w:lang w:eastAsia="de-DE"/>
              </w:rPr>
              <w:t xml:space="preserve"> for the verification outside the shear reinforced area</w:t>
            </w:r>
          </w:p>
        </w:tc>
        <w:tc>
          <w:tcPr>
            <w:tcW w:w="1984" w:type="dxa"/>
          </w:tcPr>
          <w:p w14:paraId="3825847D" w14:textId="5BC40C58" w:rsidR="009D7EBE" w:rsidRPr="001455DC" w:rsidRDefault="009D7EBE" w:rsidP="009D7EBE">
            <w:pPr>
              <w:pStyle w:val="Tablebody"/>
              <w:rPr>
                <w:rStyle w:val="CCMCvariableitalic"/>
              </w:rPr>
            </w:pPr>
            <w:r w:rsidRPr="009D3012">
              <w:rPr>
                <w:lang w:eastAsia="de-DE"/>
              </w:rPr>
              <w:t>8.4.4(4), Fig 8.24</w:t>
            </w:r>
          </w:p>
        </w:tc>
      </w:tr>
      <w:tr w:rsidR="009D7EBE" w:rsidRPr="001455DC" w14:paraId="645179E6" w14:textId="125891A5" w:rsidTr="0066200C">
        <w:trPr>
          <w:cantSplit/>
        </w:trPr>
        <w:tc>
          <w:tcPr>
            <w:tcW w:w="1418" w:type="dxa"/>
            <w:shd w:val="clear" w:color="auto" w:fill="auto"/>
          </w:tcPr>
          <w:p w14:paraId="6D8D5991" w14:textId="77777777" w:rsidR="009D7EBE" w:rsidRPr="009D3012" w:rsidRDefault="009D7EBE" w:rsidP="009D7EBE">
            <w:pPr>
              <w:pStyle w:val="Tablebody"/>
              <w:rPr>
                <w:rStyle w:val="CCMCvariableitalic"/>
              </w:rPr>
            </w:pPr>
            <w:r w:rsidRPr="001455DC">
              <w:rPr>
                <w:rStyle w:val="CCMCvariableitalic"/>
              </w:rPr>
              <w:t>b</w:t>
            </w:r>
            <w:r w:rsidRPr="001455DC">
              <w:rPr>
                <w:rStyle w:val="CCMCvariablesubscript"/>
              </w:rPr>
              <w:t>b</w:t>
            </w:r>
          </w:p>
        </w:tc>
        <w:tc>
          <w:tcPr>
            <w:tcW w:w="6548" w:type="dxa"/>
            <w:shd w:val="clear" w:color="auto" w:fill="auto"/>
          </w:tcPr>
          <w:p w14:paraId="62B21160" w14:textId="77777777" w:rsidR="009D7EBE" w:rsidRPr="001455DC" w:rsidRDefault="009D7EBE" w:rsidP="000250B6">
            <w:pPr>
              <w:pStyle w:val="Tablebody"/>
              <w:jc w:val="left"/>
              <w:rPr>
                <w:lang w:eastAsia="de-DE"/>
              </w:rPr>
            </w:pPr>
            <w:r w:rsidRPr="001455DC">
              <w:rPr>
                <w:lang w:eastAsia="de-DE"/>
              </w:rPr>
              <w:t>Equivalent diameter of control perimeter which corresponds to the diameter of a circle with the same surface as the area inside the control perimeter</w:t>
            </w:r>
          </w:p>
        </w:tc>
        <w:tc>
          <w:tcPr>
            <w:tcW w:w="1984" w:type="dxa"/>
          </w:tcPr>
          <w:p w14:paraId="6AD81F6F" w14:textId="0B1A783E" w:rsidR="009D7EBE" w:rsidRPr="001455DC" w:rsidRDefault="009D7EBE" w:rsidP="009D7EBE">
            <w:pPr>
              <w:pStyle w:val="Tablebody"/>
              <w:rPr>
                <w:lang w:eastAsia="de-DE"/>
              </w:rPr>
            </w:pPr>
            <w:r w:rsidRPr="009D3012">
              <w:rPr>
                <w:lang w:eastAsia="de-DE"/>
              </w:rPr>
              <w:t>8.4.2(8), Fig 8.21</w:t>
            </w:r>
          </w:p>
        </w:tc>
      </w:tr>
      <w:tr w:rsidR="009D7EBE" w:rsidRPr="001455DC" w14:paraId="6493EFF8" w14:textId="003AE3E2" w:rsidTr="0066200C">
        <w:trPr>
          <w:cantSplit/>
        </w:trPr>
        <w:tc>
          <w:tcPr>
            <w:tcW w:w="1418" w:type="dxa"/>
            <w:shd w:val="clear" w:color="auto" w:fill="auto"/>
          </w:tcPr>
          <w:p w14:paraId="24BE4738" w14:textId="77777777" w:rsidR="009D7EBE" w:rsidRPr="009D3012" w:rsidRDefault="009D7EBE" w:rsidP="009D7EBE">
            <w:pPr>
              <w:pStyle w:val="Tablebody"/>
              <w:rPr>
                <w:rStyle w:val="CCMCvariableitalic"/>
              </w:rPr>
            </w:pPr>
            <w:r w:rsidRPr="001455DC">
              <w:rPr>
                <w:rStyle w:val="CCMCvariableitalic"/>
              </w:rPr>
              <w:t>b</w:t>
            </w:r>
            <w:r w:rsidRPr="001455DC">
              <w:rPr>
                <w:rStyle w:val="CCMCvariablesubscript"/>
              </w:rPr>
              <w:t>c</w:t>
            </w:r>
          </w:p>
        </w:tc>
        <w:tc>
          <w:tcPr>
            <w:tcW w:w="6548" w:type="dxa"/>
            <w:shd w:val="clear" w:color="auto" w:fill="auto"/>
          </w:tcPr>
          <w:p w14:paraId="32BF00F1" w14:textId="77777777" w:rsidR="009D7EBE" w:rsidRPr="001455DC" w:rsidRDefault="009D7EBE" w:rsidP="000250B6">
            <w:pPr>
              <w:pStyle w:val="Tablebody"/>
              <w:jc w:val="left"/>
              <w:rPr>
                <w:lang w:eastAsia="de-DE"/>
              </w:rPr>
            </w:pPr>
            <w:r w:rsidRPr="001455DC">
              <w:rPr>
                <w:lang w:eastAsia="de-DE"/>
              </w:rPr>
              <w:t>Width of a strut</w:t>
            </w:r>
          </w:p>
        </w:tc>
        <w:tc>
          <w:tcPr>
            <w:tcW w:w="1984" w:type="dxa"/>
          </w:tcPr>
          <w:p w14:paraId="6E4500A2" w14:textId="1183A80F" w:rsidR="009D7EBE" w:rsidRPr="001455DC" w:rsidRDefault="009D7EBE" w:rsidP="009D7EBE">
            <w:pPr>
              <w:pStyle w:val="Tablebody"/>
              <w:rPr>
                <w:lang w:eastAsia="de-DE"/>
              </w:rPr>
            </w:pPr>
            <w:r w:rsidRPr="009D3012">
              <w:rPr>
                <w:lang w:eastAsia="de-DE"/>
              </w:rPr>
              <w:t>8.5</w:t>
            </w:r>
          </w:p>
        </w:tc>
      </w:tr>
      <w:tr w:rsidR="009D7EBE" w:rsidRPr="001455DC" w14:paraId="37402C7B" w14:textId="68363525" w:rsidTr="0066200C">
        <w:trPr>
          <w:cantSplit/>
        </w:trPr>
        <w:tc>
          <w:tcPr>
            <w:tcW w:w="1418" w:type="dxa"/>
            <w:shd w:val="clear" w:color="auto" w:fill="auto"/>
          </w:tcPr>
          <w:p w14:paraId="1A69F5CE" w14:textId="77777777" w:rsidR="009D7EBE" w:rsidRPr="009D3012" w:rsidRDefault="009D7EBE" w:rsidP="009D7EBE">
            <w:pPr>
              <w:pStyle w:val="Tablebody"/>
              <w:rPr>
                <w:rStyle w:val="CCMCvariableitalic"/>
              </w:rPr>
            </w:pPr>
            <w:r w:rsidRPr="001455DC">
              <w:rPr>
                <w:rStyle w:val="CCMCvariableitalic"/>
              </w:rPr>
              <w:t>b</w:t>
            </w:r>
            <w:r w:rsidRPr="001455DC">
              <w:rPr>
                <w:rStyle w:val="CCMCvariablesubscript"/>
              </w:rPr>
              <w:t>cs</w:t>
            </w:r>
          </w:p>
        </w:tc>
        <w:tc>
          <w:tcPr>
            <w:tcW w:w="6548" w:type="dxa"/>
            <w:shd w:val="clear" w:color="auto" w:fill="auto"/>
          </w:tcPr>
          <w:p w14:paraId="6E07AB36" w14:textId="77777777" w:rsidR="009D7EBE" w:rsidRPr="001455DC" w:rsidRDefault="009D7EBE" w:rsidP="000250B6">
            <w:pPr>
              <w:pStyle w:val="Tablebody"/>
              <w:jc w:val="left"/>
              <w:rPr>
                <w:lang w:eastAsia="de-DE"/>
              </w:rPr>
            </w:pPr>
            <w:r w:rsidRPr="001455DC">
              <w:rPr>
                <w:lang w:eastAsia="de-DE"/>
              </w:rPr>
              <w:t>Maximum width of the confined concrete core at confinement reinforcement</w:t>
            </w:r>
          </w:p>
        </w:tc>
        <w:tc>
          <w:tcPr>
            <w:tcW w:w="1984" w:type="dxa"/>
          </w:tcPr>
          <w:p w14:paraId="02A1C30F" w14:textId="02D31082" w:rsidR="009D7EBE" w:rsidRPr="001455DC" w:rsidRDefault="009D7EBE" w:rsidP="009D7EBE">
            <w:pPr>
              <w:pStyle w:val="Tablebody"/>
              <w:rPr>
                <w:lang w:eastAsia="de-DE"/>
              </w:rPr>
            </w:pPr>
            <w:r w:rsidRPr="009D3012">
              <w:rPr>
                <w:lang w:eastAsia="de-DE"/>
              </w:rPr>
              <w:t>8.1.4(3)</w:t>
            </w:r>
          </w:p>
        </w:tc>
      </w:tr>
      <w:tr w:rsidR="009D7EBE" w:rsidRPr="001455DC" w14:paraId="437B8B9C" w14:textId="12C4B82C" w:rsidTr="0066200C">
        <w:trPr>
          <w:cantSplit/>
        </w:trPr>
        <w:tc>
          <w:tcPr>
            <w:tcW w:w="1418" w:type="dxa"/>
            <w:shd w:val="clear" w:color="auto" w:fill="auto"/>
          </w:tcPr>
          <w:p w14:paraId="33F739E2" w14:textId="77777777" w:rsidR="009D7EBE" w:rsidRPr="009D3012" w:rsidRDefault="009D7EBE" w:rsidP="009D7EBE">
            <w:pPr>
              <w:pStyle w:val="Tablebody"/>
              <w:rPr>
                <w:rStyle w:val="CCMCvariableitalic"/>
              </w:rPr>
            </w:pPr>
            <w:r w:rsidRPr="001455DC">
              <w:rPr>
                <w:rStyle w:val="CCMCvariableitalic"/>
              </w:rPr>
              <w:t>b</w:t>
            </w:r>
            <w:r w:rsidRPr="001455DC">
              <w:rPr>
                <w:rStyle w:val="CCMCvariablesubscript"/>
              </w:rPr>
              <w:t>csx</w:t>
            </w:r>
            <w:r w:rsidRPr="001455DC">
              <w:rPr>
                <w:lang w:eastAsia="de-DE"/>
              </w:rPr>
              <w:t xml:space="preserve">, </w:t>
            </w:r>
            <w:r w:rsidRPr="001455DC">
              <w:rPr>
                <w:rStyle w:val="CCMCvariableitalic"/>
              </w:rPr>
              <w:t>b</w:t>
            </w:r>
            <w:r w:rsidRPr="001455DC">
              <w:rPr>
                <w:rStyle w:val="CCMCvariablesubscript"/>
              </w:rPr>
              <w:t>csy</w:t>
            </w:r>
          </w:p>
        </w:tc>
        <w:tc>
          <w:tcPr>
            <w:tcW w:w="6548" w:type="dxa"/>
            <w:shd w:val="clear" w:color="auto" w:fill="auto"/>
          </w:tcPr>
          <w:p w14:paraId="2E746CB8" w14:textId="77777777" w:rsidR="009D7EBE" w:rsidRPr="001455DC" w:rsidRDefault="009D7EBE" w:rsidP="000250B6">
            <w:pPr>
              <w:pStyle w:val="Tablebody"/>
              <w:jc w:val="left"/>
              <w:rPr>
                <w:lang w:eastAsia="de-DE"/>
              </w:rPr>
            </w:pPr>
            <w:r w:rsidRPr="001455DC">
              <w:rPr>
                <w:lang w:eastAsia="de-DE"/>
              </w:rPr>
              <w:t xml:space="preserve">Value of </w:t>
            </w:r>
            <w:r w:rsidRPr="001455DC">
              <w:rPr>
                <w:rStyle w:val="CCMCvariableitalic"/>
              </w:rPr>
              <w:t>b</w:t>
            </w:r>
            <w:r w:rsidRPr="001455DC">
              <w:rPr>
                <w:rStyle w:val="CCMCvariablesubscript"/>
              </w:rPr>
              <w:t>cs</w:t>
            </w:r>
            <w:r w:rsidRPr="001455DC">
              <w:rPr>
                <w:lang w:eastAsia="de-DE"/>
              </w:rPr>
              <w:t xml:space="preserve"> in the </w:t>
            </w:r>
            <w:r w:rsidRPr="001455DC">
              <w:rPr>
                <w:rStyle w:val="CCMCvariableitalic"/>
              </w:rPr>
              <w:t>x</w:t>
            </w:r>
            <w:r w:rsidRPr="001455DC">
              <w:rPr>
                <w:lang w:eastAsia="de-DE"/>
              </w:rPr>
              <w:t xml:space="preserve"> and </w:t>
            </w:r>
            <w:r w:rsidRPr="001455DC">
              <w:rPr>
                <w:rStyle w:val="CCMCvariableitalic"/>
              </w:rPr>
              <w:t>y</w:t>
            </w:r>
            <w:r w:rsidRPr="001455DC">
              <w:rPr>
                <w:lang w:eastAsia="de-DE"/>
              </w:rPr>
              <w:t>-directions, respectively</w:t>
            </w:r>
          </w:p>
        </w:tc>
        <w:tc>
          <w:tcPr>
            <w:tcW w:w="1984" w:type="dxa"/>
          </w:tcPr>
          <w:p w14:paraId="1FDA196D" w14:textId="762D0285" w:rsidR="009D7EBE" w:rsidRPr="001455DC" w:rsidRDefault="009D7EBE" w:rsidP="009D7EBE">
            <w:pPr>
              <w:pStyle w:val="Tablebody"/>
              <w:rPr>
                <w:lang w:eastAsia="de-DE"/>
              </w:rPr>
            </w:pPr>
            <w:r w:rsidRPr="009D3012">
              <w:rPr>
                <w:lang w:eastAsia="de-DE"/>
              </w:rPr>
              <w:t>8.1.4(3)</w:t>
            </w:r>
          </w:p>
        </w:tc>
      </w:tr>
      <w:tr w:rsidR="009D7EBE" w:rsidRPr="001455DC" w14:paraId="7FF3B06B" w14:textId="0D0E1FE0" w:rsidTr="0066200C">
        <w:trPr>
          <w:cantSplit/>
        </w:trPr>
        <w:tc>
          <w:tcPr>
            <w:tcW w:w="1418" w:type="dxa"/>
            <w:shd w:val="clear" w:color="auto" w:fill="auto"/>
          </w:tcPr>
          <w:p w14:paraId="75A7C56C" w14:textId="77777777" w:rsidR="009D7EBE" w:rsidRPr="009D3012" w:rsidRDefault="009D7EBE" w:rsidP="009D7EBE">
            <w:pPr>
              <w:pStyle w:val="Tablebody"/>
              <w:rPr>
                <w:rStyle w:val="CCMCvariableitalic"/>
              </w:rPr>
            </w:pPr>
            <w:r w:rsidRPr="001455DC">
              <w:rPr>
                <w:rStyle w:val="CCMCvariableitalic"/>
              </w:rPr>
              <w:t>b</w:t>
            </w:r>
            <w:r w:rsidRPr="001455DC">
              <w:rPr>
                <w:rStyle w:val="CCMCvariablesubscript"/>
              </w:rPr>
              <w:t>eff</w:t>
            </w:r>
          </w:p>
        </w:tc>
        <w:tc>
          <w:tcPr>
            <w:tcW w:w="6548" w:type="dxa"/>
            <w:shd w:val="clear" w:color="auto" w:fill="auto"/>
          </w:tcPr>
          <w:p w14:paraId="404DB3B3" w14:textId="77777777" w:rsidR="009D7EBE" w:rsidRPr="001455DC" w:rsidRDefault="009D7EBE" w:rsidP="000250B6">
            <w:pPr>
              <w:pStyle w:val="Tablebody"/>
              <w:jc w:val="left"/>
              <w:rPr>
                <w:lang w:eastAsia="de-DE"/>
              </w:rPr>
            </w:pPr>
            <w:r w:rsidRPr="001455DC">
              <w:rPr>
                <w:lang w:eastAsia="de-DE"/>
              </w:rPr>
              <w:t>Effective width of flange in T, L or box sections</w:t>
            </w:r>
          </w:p>
        </w:tc>
        <w:tc>
          <w:tcPr>
            <w:tcW w:w="1984" w:type="dxa"/>
          </w:tcPr>
          <w:p w14:paraId="71E98D78" w14:textId="37C6AA78" w:rsidR="009D7EBE" w:rsidRPr="001455DC" w:rsidRDefault="009D7EBE" w:rsidP="009D7EBE">
            <w:pPr>
              <w:pStyle w:val="Tablebody"/>
              <w:rPr>
                <w:lang w:eastAsia="de-DE"/>
              </w:rPr>
            </w:pPr>
            <w:r w:rsidRPr="009D3012">
              <w:rPr>
                <w:lang w:eastAsia="de-DE"/>
              </w:rPr>
              <w:t>7.3.2.1(3)</w:t>
            </w:r>
          </w:p>
        </w:tc>
      </w:tr>
      <w:tr w:rsidR="009D7EBE" w:rsidRPr="001455DC" w14:paraId="4AB8C59C" w14:textId="27E51E2B" w:rsidTr="0066200C">
        <w:trPr>
          <w:cantSplit/>
        </w:trPr>
        <w:tc>
          <w:tcPr>
            <w:tcW w:w="1418" w:type="dxa"/>
            <w:shd w:val="clear" w:color="auto" w:fill="auto"/>
          </w:tcPr>
          <w:p w14:paraId="42C3E345" w14:textId="77777777" w:rsidR="009D7EBE" w:rsidRPr="009D3012" w:rsidRDefault="009D7EBE" w:rsidP="009D7EBE">
            <w:pPr>
              <w:pStyle w:val="Tablebody"/>
              <w:rPr>
                <w:rStyle w:val="CCMCvariableitalic"/>
              </w:rPr>
            </w:pPr>
            <w:r w:rsidRPr="001455DC">
              <w:rPr>
                <w:rStyle w:val="CCMCvariableitalic"/>
              </w:rPr>
              <w:t>b</w:t>
            </w:r>
            <w:r w:rsidRPr="001455DC">
              <w:rPr>
                <w:rStyle w:val="CCMCvariablesubscript"/>
              </w:rPr>
              <w:t>i</w:t>
            </w:r>
          </w:p>
        </w:tc>
        <w:tc>
          <w:tcPr>
            <w:tcW w:w="6548" w:type="dxa"/>
            <w:shd w:val="clear" w:color="auto" w:fill="auto"/>
          </w:tcPr>
          <w:p w14:paraId="6FF2A535" w14:textId="77777777" w:rsidR="009D7EBE" w:rsidRPr="001455DC" w:rsidRDefault="009D7EBE" w:rsidP="000250B6">
            <w:pPr>
              <w:pStyle w:val="Tablebody"/>
              <w:jc w:val="left"/>
              <w:rPr>
                <w:lang w:eastAsia="de-DE"/>
              </w:rPr>
            </w:pPr>
            <w:r w:rsidRPr="001455DC">
              <w:rPr>
                <w:lang w:eastAsia="de-DE"/>
              </w:rPr>
              <w:t>Distance between longitudinal reinforcement bars fixed by confinement reinforcement</w:t>
            </w:r>
          </w:p>
        </w:tc>
        <w:tc>
          <w:tcPr>
            <w:tcW w:w="1984" w:type="dxa"/>
          </w:tcPr>
          <w:p w14:paraId="1BC32EEA" w14:textId="5B869BA1" w:rsidR="009D7EBE" w:rsidRPr="001455DC" w:rsidRDefault="009D7EBE" w:rsidP="009D7EBE">
            <w:pPr>
              <w:pStyle w:val="Tablebody"/>
              <w:rPr>
                <w:lang w:eastAsia="de-DE"/>
              </w:rPr>
            </w:pPr>
            <w:r w:rsidRPr="009D3012">
              <w:rPr>
                <w:lang w:eastAsia="de-DE"/>
              </w:rPr>
              <w:t>8.1.4(4), Fig 8.3</w:t>
            </w:r>
          </w:p>
        </w:tc>
      </w:tr>
      <w:tr w:rsidR="009D7EBE" w:rsidRPr="001455DC" w14:paraId="45EC459A" w14:textId="29EB91F0" w:rsidTr="0066200C">
        <w:trPr>
          <w:cantSplit/>
        </w:trPr>
        <w:tc>
          <w:tcPr>
            <w:tcW w:w="1418" w:type="dxa"/>
            <w:shd w:val="clear" w:color="auto" w:fill="auto"/>
          </w:tcPr>
          <w:p w14:paraId="2D81C61E" w14:textId="77777777" w:rsidR="009D7EBE" w:rsidRPr="001455DC" w:rsidRDefault="009D7EBE" w:rsidP="009D7EBE">
            <w:pPr>
              <w:pStyle w:val="Tablebody"/>
            </w:pPr>
            <w:r w:rsidRPr="001455DC">
              <w:rPr>
                <w:rStyle w:val="CCMCvariableitalic"/>
              </w:rPr>
              <w:t>b</w:t>
            </w:r>
            <w:r w:rsidRPr="001455DC">
              <w:rPr>
                <w:rStyle w:val="CCMCvariablesubscript"/>
              </w:rPr>
              <w:t>w</w:t>
            </w:r>
          </w:p>
        </w:tc>
        <w:tc>
          <w:tcPr>
            <w:tcW w:w="6548" w:type="dxa"/>
            <w:shd w:val="clear" w:color="auto" w:fill="auto"/>
          </w:tcPr>
          <w:p w14:paraId="669A3B92" w14:textId="77777777" w:rsidR="009D7EBE" w:rsidRPr="001455DC" w:rsidRDefault="009D7EBE" w:rsidP="000250B6">
            <w:pPr>
              <w:pStyle w:val="Tablebody"/>
              <w:jc w:val="left"/>
              <w:rPr>
                <w:rStyle w:val="CCMCvariableitalic"/>
              </w:rPr>
            </w:pPr>
            <w:r w:rsidRPr="009D3012">
              <w:rPr>
                <w:lang w:eastAsia="de-DE"/>
              </w:rPr>
              <w:t>Minimum width of the cross section between tension and compression chords</w:t>
            </w:r>
          </w:p>
        </w:tc>
        <w:tc>
          <w:tcPr>
            <w:tcW w:w="1984" w:type="dxa"/>
          </w:tcPr>
          <w:p w14:paraId="4D4A703D" w14:textId="560D47C1" w:rsidR="009D7EBE" w:rsidRPr="001455DC" w:rsidRDefault="009D7EBE" w:rsidP="009D7EBE">
            <w:pPr>
              <w:pStyle w:val="Tablebody"/>
              <w:rPr>
                <w:lang w:eastAsia="de-DE"/>
              </w:rPr>
            </w:pPr>
            <w:r w:rsidRPr="009D3012">
              <w:rPr>
                <w:lang w:eastAsia="de-DE"/>
              </w:rPr>
              <w:t>Fig. 7.3 and 8.10</w:t>
            </w:r>
          </w:p>
        </w:tc>
      </w:tr>
      <w:tr w:rsidR="009D7EBE" w:rsidRPr="001455DC" w14:paraId="0940C006" w14:textId="3BC0BC03" w:rsidTr="0066200C">
        <w:trPr>
          <w:cantSplit/>
        </w:trPr>
        <w:tc>
          <w:tcPr>
            <w:tcW w:w="1418" w:type="dxa"/>
            <w:shd w:val="clear" w:color="auto" w:fill="auto"/>
          </w:tcPr>
          <w:p w14:paraId="1436FE90" w14:textId="77777777" w:rsidR="009D7EBE" w:rsidRPr="009D3012" w:rsidRDefault="009D7EBE" w:rsidP="009D7EBE">
            <w:pPr>
              <w:pStyle w:val="Tablebody"/>
              <w:rPr>
                <w:rStyle w:val="CCMCvariableitalic"/>
              </w:rPr>
            </w:pPr>
            <w:r w:rsidRPr="001455DC">
              <w:rPr>
                <w:rStyle w:val="CCMCvariableitalic"/>
              </w:rPr>
              <w:t>b</w:t>
            </w:r>
            <w:r w:rsidRPr="001455DC">
              <w:rPr>
                <w:rStyle w:val="CCMCvariablesubscript"/>
              </w:rPr>
              <w:t>w,nom</w:t>
            </w:r>
          </w:p>
        </w:tc>
        <w:tc>
          <w:tcPr>
            <w:tcW w:w="6548" w:type="dxa"/>
            <w:shd w:val="clear" w:color="auto" w:fill="auto"/>
          </w:tcPr>
          <w:p w14:paraId="1CD09715" w14:textId="77777777" w:rsidR="009D7EBE" w:rsidRPr="001455DC" w:rsidRDefault="009D7EBE" w:rsidP="000250B6">
            <w:pPr>
              <w:pStyle w:val="Tablebody"/>
              <w:jc w:val="left"/>
              <w:rPr>
                <w:lang w:eastAsia="de-DE"/>
              </w:rPr>
            </w:pPr>
            <w:r w:rsidRPr="001455DC">
              <w:rPr>
                <w:lang w:eastAsia="de-DE"/>
              </w:rPr>
              <w:t xml:space="preserve">Nominal web width due to the disturbance of ducts </w:t>
            </w:r>
          </w:p>
        </w:tc>
        <w:tc>
          <w:tcPr>
            <w:tcW w:w="1984" w:type="dxa"/>
          </w:tcPr>
          <w:p w14:paraId="6BF98F7C" w14:textId="56868FE7" w:rsidR="009D7EBE" w:rsidRPr="001455DC" w:rsidRDefault="009D7EBE" w:rsidP="009D7EBE">
            <w:pPr>
              <w:pStyle w:val="Tablebody"/>
              <w:rPr>
                <w:lang w:eastAsia="de-DE"/>
              </w:rPr>
            </w:pPr>
            <w:r w:rsidRPr="009D3012">
              <w:rPr>
                <w:lang w:eastAsia="de-DE"/>
              </w:rPr>
              <w:t>8.2.3(10)</w:t>
            </w:r>
          </w:p>
        </w:tc>
      </w:tr>
      <w:tr w:rsidR="009D7EBE" w:rsidRPr="001455DC" w14:paraId="53CCA85E" w14:textId="6002846D" w:rsidTr="0066200C">
        <w:trPr>
          <w:cantSplit/>
        </w:trPr>
        <w:tc>
          <w:tcPr>
            <w:tcW w:w="1418" w:type="dxa"/>
            <w:shd w:val="clear" w:color="auto" w:fill="auto"/>
          </w:tcPr>
          <w:p w14:paraId="14134CEC" w14:textId="77777777" w:rsidR="009D7EBE" w:rsidRPr="009D3012" w:rsidRDefault="009D7EBE" w:rsidP="009D7EBE">
            <w:pPr>
              <w:pStyle w:val="Tablebody"/>
              <w:rPr>
                <w:rStyle w:val="CCMCvariableitalic"/>
              </w:rPr>
            </w:pPr>
            <w:r w:rsidRPr="001455DC">
              <w:rPr>
                <w:rStyle w:val="CCMCvariableitalic"/>
              </w:rPr>
              <w:t>c</w:t>
            </w:r>
          </w:p>
        </w:tc>
        <w:tc>
          <w:tcPr>
            <w:tcW w:w="6548" w:type="dxa"/>
            <w:shd w:val="clear" w:color="auto" w:fill="auto"/>
          </w:tcPr>
          <w:p w14:paraId="437AA9B0" w14:textId="72D80A01" w:rsidR="009D7EBE" w:rsidRPr="001455DC" w:rsidRDefault="009D7EBE" w:rsidP="000250B6">
            <w:pPr>
              <w:pStyle w:val="Tablebody"/>
              <w:jc w:val="left"/>
              <w:rPr>
                <w:lang w:eastAsia="de-DE"/>
              </w:rPr>
            </w:pPr>
            <w:r w:rsidRPr="001455DC">
              <w:rPr>
                <w:lang w:eastAsia="de-DE"/>
              </w:rPr>
              <w:t xml:space="preserve">Concrete cover of reinforcement (to the surface of the bar, </w:t>
            </w:r>
            <w:r w:rsidRPr="001455DC">
              <w:rPr>
                <w:rFonts w:ascii="Cambria Math" w:hAnsi="Cambria Math"/>
                <w:lang w:eastAsia="de-DE"/>
              </w:rPr>
              <w:t>≥</w:t>
            </w:r>
            <w:r w:rsidRPr="001455DC">
              <w:rPr>
                <w:lang w:eastAsia="de-DE"/>
              </w:rPr>
              <w:t> </w:t>
            </w:r>
            <w:r w:rsidRPr="001455DC">
              <w:rPr>
                <w:rStyle w:val="CCMCvariableitalic"/>
              </w:rPr>
              <w:t>c</w:t>
            </w:r>
            <w:r w:rsidRPr="001455DC">
              <w:rPr>
                <w:rStyle w:val="CCMCvariablesubscript"/>
              </w:rPr>
              <w:t>nom</w:t>
            </w:r>
            <w:r w:rsidRPr="001455DC">
              <w:rPr>
                <w:lang w:eastAsia="de-DE"/>
              </w:rPr>
              <w:t>). In 9.2 it refers to the bar which is closest to the concrete surface</w:t>
            </w:r>
          </w:p>
        </w:tc>
        <w:tc>
          <w:tcPr>
            <w:tcW w:w="1984" w:type="dxa"/>
          </w:tcPr>
          <w:p w14:paraId="5B9F3784" w14:textId="034B7421" w:rsidR="009D7EBE" w:rsidRPr="001455DC" w:rsidRDefault="009D7EBE" w:rsidP="009D7EBE">
            <w:pPr>
              <w:pStyle w:val="Tablebody"/>
              <w:rPr>
                <w:lang w:eastAsia="de-DE"/>
              </w:rPr>
            </w:pPr>
            <w:r w:rsidRPr="009D3012">
              <w:rPr>
                <w:lang w:eastAsia="de-DE"/>
              </w:rPr>
              <w:t>6, 9.2.2(3), 9.2.4(5)</w:t>
            </w:r>
          </w:p>
        </w:tc>
      </w:tr>
      <w:tr w:rsidR="009D7EBE" w:rsidRPr="001455DC" w14:paraId="2D64E784" w14:textId="0621AEB4" w:rsidTr="0066200C">
        <w:trPr>
          <w:cantSplit/>
        </w:trPr>
        <w:tc>
          <w:tcPr>
            <w:tcW w:w="1418" w:type="dxa"/>
            <w:shd w:val="clear" w:color="auto" w:fill="auto"/>
          </w:tcPr>
          <w:p w14:paraId="6D63F969" w14:textId="77777777" w:rsidR="009D7EBE" w:rsidRPr="009D3012" w:rsidRDefault="009D7EBE" w:rsidP="009D7EBE">
            <w:pPr>
              <w:pStyle w:val="Tablebody"/>
              <w:rPr>
                <w:rStyle w:val="CCMCvariableitalic"/>
              </w:rPr>
            </w:pPr>
            <w:r w:rsidRPr="001455DC">
              <w:rPr>
                <w:rStyle w:val="CCMCvariableitalic"/>
              </w:rPr>
              <w:t>c</w:t>
            </w:r>
            <w:r w:rsidRPr="001455DC">
              <w:rPr>
                <w:rStyle w:val="CCMCvariablesubscript"/>
              </w:rPr>
              <w:t>d</w:t>
            </w:r>
          </w:p>
        </w:tc>
        <w:tc>
          <w:tcPr>
            <w:tcW w:w="6548" w:type="dxa"/>
            <w:shd w:val="clear" w:color="auto" w:fill="auto"/>
          </w:tcPr>
          <w:p w14:paraId="2F641420" w14:textId="77777777" w:rsidR="009D7EBE" w:rsidRPr="001455DC" w:rsidRDefault="009D7EBE" w:rsidP="000250B6">
            <w:pPr>
              <w:pStyle w:val="Tablebody"/>
              <w:jc w:val="left"/>
              <w:rPr>
                <w:lang w:eastAsia="de-DE"/>
              </w:rPr>
            </w:pPr>
            <w:r w:rsidRPr="001455DC">
              <w:rPr>
                <w:lang w:eastAsia="de-DE"/>
              </w:rPr>
              <w:t>Nominal value of the concrete cover for designing the anchorage length</w:t>
            </w:r>
          </w:p>
        </w:tc>
        <w:tc>
          <w:tcPr>
            <w:tcW w:w="1984" w:type="dxa"/>
          </w:tcPr>
          <w:p w14:paraId="5537EA82" w14:textId="00B2B5FD" w:rsidR="009D7EBE" w:rsidRPr="001455DC" w:rsidRDefault="009D7EBE" w:rsidP="009D7EBE">
            <w:pPr>
              <w:pStyle w:val="Tablebody"/>
              <w:rPr>
                <w:lang w:eastAsia="de-DE"/>
              </w:rPr>
            </w:pPr>
            <w:r w:rsidRPr="009D3012">
              <w:rPr>
                <w:lang w:eastAsia="de-DE"/>
              </w:rPr>
              <w:t>Figure 11.3c</w:t>
            </w:r>
          </w:p>
        </w:tc>
      </w:tr>
      <w:tr w:rsidR="009D7EBE" w:rsidRPr="001455DC" w14:paraId="3ADF9DA7" w14:textId="5D2C6321" w:rsidTr="0066200C">
        <w:trPr>
          <w:cantSplit/>
        </w:trPr>
        <w:tc>
          <w:tcPr>
            <w:tcW w:w="1418" w:type="dxa"/>
            <w:shd w:val="clear" w:color="auto" w:fill="auto"/>
          </w:tcPr>
          <w:p w14:paraId="13128F45" w14:textId="77777777" w:rsidR="009D7EBE" w:rsidRPr="009D3012" w:rsidRDefault="009D7EBE" w:rsidP="009D7EBE">
            <w:pPr>
              <w:pStyle w:val="Tablebody"/>
              <w:rPr>
                <w:rStyle w:val="CCMCvariableitalic"/>
              </w:rPr>
            </w:pPr>
            <w:r w:rsidRPr="001455DC">
              <w:rPr>
                <w:rStyle w:val="CCMCvariableitalic"/>
              </w:rPr>
              <w:t>c</w:t>
            </w:r>
            <w:r w:rsidRPr="001455DC">
              <w:rPr>
                <w:rStyle w:val="CCMCvariablesubscript"/>
              </w:rPr>
              <w:t>d,conf</w:t>
            </w:r>
          </w:p>
        </w:tc>
        <w:tc>
          <w:tcPr>
            <w:tcW w:w="6548" w:type="dxa"/>
            <w:shd w:val="clear" w:color="auto" w:fill="auto"/>
          </w:tcPr>
          <w:p w14:paraId="4A0EF526" w14:textId="77777777" w:rsidR="009D7EBE" w:rsidRPr="001455DC" w:rsidRDefault="009D7EBE" w:rsidP="000250B6">
            <w:pPr>
              <w:pStyle w:val="Tablebody"/>
              <w:jc w:val="left"/>
              <w:rPr>
                <w:lang w:eastAsia="de-DE"/>
              </w:rPr>
            </w:pPr>
            <w:r w:rsidRPr="001455DC">
              <w:rPr>
                <w:lang w:eastAsia="de-DE"/>
              </w:rPr>
              <w:t xml:space="preserve">Nominal value of </w:t>
            </w:r>
            <w:r w:rsidRPr="001455DC">
              <w:rPr>
                <w:rStyle w:val="CCMCvariableitalic"/>
              </w:rPr>
              <w:t>c</w:t>
            </w:r>
            <w:r w:rsidRPr="001455DC">
              <w:rPr>
                <w:rStyle w:val="CCMCvariablesubscript"/>
              </w:rPr>
              <w:t>d</w:t>
            </w:r>
            <w:r w:rsidRPr="001455DC">
              <w:rPr>
                <w:lang w:eastAsia="de-DE"/>
              </w:rPr>
              <w:t xml:space="preserve"> in presence of confinement</w:t>
            </w:r>
          </w:p>
        </w:tc>
        <w:tc>
          <w:tcPr>
            <w:tcW w:w="1984" w:type="dxa"/>
          </w:tcPr>
          <w:p w14:paraId="0AE3C408" w14:textId="62FC4D87" w:rsidR="009D7EBE" w:rsidRPr="001455DC" w:rsidRDefault="009D7EBE" w:rsidP="009D7EBE">
            <w:pPr>
              <w:pStyle w:val="Tablebody"/>
              <w:rPr>
                <w:lang w:eastAsia="de-DE"/>
              </w:rPr>
            </w:pPr>
            <w:r w:rsidRPr="009D3012">
              <w:rPr>
                <w:lang w:eastAsia="de-DE"/>
              </w:rPr>
              <w:t>11.4.2(5)</w:t>
            </w:r>
          </w:p>
        </w:tc>
      </w:tr>
      <w:tr w:rsidR="009D7EBE" w:rsidRPr="001455DC" w14:paraId="371600DA" w14:textId="5EE40E9E" w:rsidTr="0066200C">
        <w:trPr>
          <w:cantSplit/>
        </w:trPr>
        <w:tc>
          <w:tcPr>
            <w:tcW w:w="1418" w:type="dxa"/>
            <w:shd w:val="clear" w:color="auto" w:fill="auto"/>
          </w:tcPr>
          <w:p w14:paraId="2FAFEA42" w14:textId="77777777" w:rsidR="009D7EBE" w:rsidRPr="009D3012" w:rsidRDefault="009D7EBE" w:rsidP="009D7EBE">
            <w:pPr>
              <w:pStyle w:val="Tablebody"/>
              <w:rPr>
                <w:rStyle w:val="CCMCvariableitalic"/>
              </w:rPr>
            </w:pPr>
            <w:r w:rsidRPr="009D3012">
              <w:rPr>
                <w:lang w:eastAsia="de-DE"/>
              </w:rPr>
              <w:t>Δ</w:t>
            </w:r>
            <w:r w:rsidRPr="001455DC">
              <w:rPr>
                <w:rStyle w:val="CCMCvariableitalic"/>
              </w:rPr>
              <w:t>c</w:t>
            </w:r>
            <w:r w:rsidRPr="001455DC">
              <w:rPr>
                <w:rStyle w:val="CCMCvariablesubscript"/>
              </w:rPr>
              <w:t>dev</w:t>
            </w:r>
          </w:p>
        </w:tc>
        <w:tc>
          <w:tcPr>
            <w:tcW w:w="6548" w:type="dxa"/>
            <w:shd w:val="clear" w:color="auto" w:fill="auto"/>
          </w:tcPr>
          <w:p w14:paraId="0ABAB09C" w14:textId="77777777" w:rsidR="009D7EBE" w:rsidRPr="001455DC" w:rsidRDefault="009D7EBE" w:rsidP="000250B6">
            <w:pPr>
              <w:pStyle w:val="Tablebody"/>
              <w:jc w:val="left"/>
              <w:rPr>
                <w:lang w:eastAsia="de-DE"/>
              </w:rPr>
            </w:pPr>
            <w:r w:rsidRPr="001455DC">
              <w:rPr>
                <w:lang w:eastAsia="de-DE"/>
              </w:rPr>
              <w:t>Allowance in design for deviation of the concrete cover</w:t>
            </w:r>
          </w:p>
        </w:tc>
        <w:tc>
          <w:tcPr>
            <w:tcW w:w="1984" w:type="dxa"/>
          </w:tcPr>
          <w:p w14:paraId="6E11A793" w14:textId="043721BC" w:rsidR="009D7EBE" w:rsidRPr="001455DC" w:rsidRDefault="009D7EBE" w:rsidP="009D7EBE">
            <w:pPr>
              <w:pStyle w:val="Tablebody"/>
              <w:rPr>
                <w:lang w:eastAsia="de-DE"/>
              </w:rPr>
            </w:pPr>
            <w:r w:rsidRPr="009D3012">
              <w:rPr>
                <w:lang w:eastAsia="de-DE"/>
              </w:rPr>
              <w:t>6.4.3</w:t>
            </w:r>
          </w:p>
        </w:tc>
      </w:tr>
      <w:tr w:rsidR="009D7EBE" w:rsidRPr="001455DC" w14:paraId="3F0D376C" w14:textId="3656ACFC" w:rsidTr="0066200C">
        <w:trPr>
          <w:cantSplit/>
        </w:trPr>
        <w:tc>
          <w:tcPr>
            <w:tcW w:w="1418" w:type="dxa"/>
            <w:shd w:val="clear" w:color="auto" w:fill="auto"/>
          </w:tcPr>
          <w:p w14:paraId="622B7D2A" w14:textId="77777777" w:rsidR="009D7EBE" w:rsidRPr="009D3012" w:rsidRDefault="009D7EBE" w:rsidP="009D7EBE">
            <w:pPr>
              <w:pStyle w:val="Tablebody"/>
              <w:rPr>
                <w:rStyle w:val="CCMCvariableitalic"/>
              </w:rPr>
            </w:pPr>
            <w:r w:rsidRPr="001455DC">
              <w:rPr>
                <w:rStyle w:val="CCMCvariableitalic"/>
              </w:rPr>
              <w:t>c</w:t>
            </w:r>
            <w:r w:rsidRPr="001455DC">
              <w:rPr>
                <w:rStyle w:val="CCMCvariablesubscript"/>
              </w:rPr>
              <w:t>min</w:t>
            </w:r>
          </w:p>
        </w:tc>
        <w:tc>
          <w:tcPr>
            <w:tcW w:w="6548" w:type="dxa"/>
            <w:shd w:val="clear" w:color="auto" w:fill="auto"/>
          </w:tcPr>
          <w:p w14:paraId="396DA985" w14:textId="77777777" w:rsidR="009D7EBE" w:rsidRPr="001455DC" w:rsidRDefault="009D7EBE" w:rsidP="000250B6">
            <w:pPr>
              <w:pStyle w:val="Tablebody"/>
              <w:jc w:val="left"/>
              <w:rPr>
                <w:lang w:eastAsia="de-DE"/>
              </w:rPr>
            </w:pPr>
            <w:r w:rsidRPr="001455DC">
              <w:rPr>
                <w:lang w:eastAsia="de-DE"/>
              </w:rPr>
              <w:t xml:space="preserve">Minimum concrete cover </w:t>
            </w:r>
            <w:r w:rsidRPr="001455DC">
              <w:rPr>
                <w:rStyle w:val="CCMCvariableitalic"/>
              </w:rPr>
              <w:t>c</w:t>
            </w:r>
            <w:r w:rsidRPr="001455DC">
              <w:rPr>
                <w:lang w:eastAsia="de-DE"/>
              </w:rPr>
              <w:t xml:space="preserve"> provided to ensure sufficient bond strength, protection against corrosion and adequate fire resistance</w:t>
            </w:r>
          </w:p>
        </w:tc>
        <w:tc>
          <w:tcPr>
            <w:tcW w:w="1984" w:type="dxa"/>
          </w:tcPr>
          <w:p w14:paraId="36371FAE" w14:textId="5215ED08" w:rsidR="009D7EBE" w:rsidRPr="001455DC" w:rsidRDefault="009D7EBE" w:rsidP="009D7EBE">
            <w:pPr>
              <w:pStyle w:val="Tablebody"/>
              <w:rPr>
                <w:lang w:eastAsia="de-DE"/>
              </w:rPr>
            </w:pPr>
            <w:r w:rsidRPr="009D3012">
              <w:rPr>
                <w:lang w:eastAsia="de-DE"/>
              </w:rPr>
              <w:t>6.4.2</w:t>
            </w:r>
          </w:p>
        </w:tc>
      </w:tr>
      <w:tr w:rsidR="009D7EBE" w:rsidRPr="001455DC" w14:paraId="38854950" w14:textId="7BC731C5" w:rsidTr="0066200C">
        <w:trPr>
          <w:cantSplit/>
        </w:trPr>
        <w:tc>
          <w:tcPr>
            <w:tcW w:w="1418" w:type="dxa"/>
            <w:shd w:val="clear" w:color="auto" w:fill="auto"/>
          </w:tcPr>
          <w:p w14:paraId="7913F77B" w14:textId="77777777" w:rsidR="009D7EBE" w:rsidRPr="009D3012" w:rsidRDefault="009D7EBE" w:rsidP="009D7EBE">
            <w:pPr>
              <w:pStyle w:val="Tablebody"/>
              <w:rPr>
                <w:rStyle w:val="CCMCvariableitalic"/>
              </w:rPr>
            </w:pPr>
            <w:r w:rsidRPr="001455DC">
              <w:rPr>
                <w:rStyle w:val="CCMCvariableitalic"/>
              </w:rPr>
              <w:t>c</w:t>
            </w:r>
            <w:r w:rsidRPr="001455DC">
              <w:rPr>
                <w:rStyle w:val="CCMCvariablesubscript"/>
              </w:rPr>
              <w:t>min,b</w:t>
            </w:r>
          </w:p>
        </w:tc>
        <w:tc>
          <w:tcPr>
            <w:tcW w:w="6548" w:type="dxa"/>
            <w:shd w:val="clear" w:color="auto" w:fill="auto"/>
          </w:tcPr>
          <w:p w14:paraId="0E0A344E" w14:textId="77777777" w:rsidR="009D7EBE" w:rsidRPr="001455DC" w:rsidRDefault="009D7EBE" w:rsidP="000250B6">
            <w:pPr>
              <w:pStyle w:val="Tablebody"/>
              <w:jc w:val="left"/>
              <w:rPr>
                <w:lang w:eastAsia="de-DE"/>
              </w:rPr>
            </w:pPr>
            <w:r w:rsidRPr="001455DC">
              <w:rPr>
                <w:lang w:eastAsia="de-DE"/>
              </w:rPr>
              <w:t xml:space="preserve">Minimum concrete cover </w:t>
            </w:r>
            <w:r w:rsidRPr="001455DC">
              <w:rPr>
                <w:rStyle w:val="CCMCvariableitalic"/>
              </w:rPr>
              <w:t>c</w:t>
            </w:r>
            <w:r w:rsidRPr="001455DC">
              <w:rPr>
                <w:lang w:eastAsia="de-DE"/>
              </w:rPr>
              <w:t xml:space="preserve"> due to bond requirement</w:t>
            </w:r>
          </w:p>
        </w:tc>
        <w:tc>
          <w:tcPr>
            <w:tcW w:w="1984" w:type="dxa"/>
          </w:tcPr>
          <w:p w14:paraId="23CD516C" w14:textId="2E332D8A" w:rsidR="009D7EBE" w:rsidRPr="001455DC" w:rsidRDefault="009D7EBE" w:rsidP="009D7EBE">
            <w:pPr>
              <w:pStyle w:val="Tablebody"/>
              <w:rPr>
                <w:lang w:eastAsia="de-DE"/>
              </w:rPr>
            </w:pPr>
            <w:r w:rsidRPr="009D3012">
              <w:rPr>
                <w:lang w:eastAsia="de-DE"/>
              </w:rPr>
              <w:t>6.4.2(3)</w:t>
            </w:r>
          </w:p>
        </w:tc>
      </w:tr>
      <w:tr w:rsidR="009D7EBE" w:rsidRPr="001455DC" w14:paraId="434866CB" w14:textId="16B963A5" w:rsidTr="0066200C">
        <w:trPr>
          <w:cantSplit/>
        </w:trPr>
        <w:tc>
          <w:tcPr>
            <w:tcW w:w="1418" w:type="dxa"/>
            <w:shd w:val="clear" w:color="auto" w:fill="auto"/>
          </w:tcPr>
          <w:p w14:paraId="6C5A45A5" w14:textId="77777777" w:rsidR="009D7EBE" w:rsidRPr="009D3012" w:rsidRDefault="009D7EBE" w:rsidP="009D7EBE">
            <w:pPr>
              <w:pStyle w:val="Tablebody"/>
              <w:rPr>
                <w:rStyle w:val="CCMCvariableitalic"/>
              </w:rPr>
            </w:pPr>
            <w:r w:rsidRPr="001455DC">
              <w:rPr>
                <w:rStyle w:val="CCMCvariableitalic"/>
              </w:rPr>
              <w:t>c</w:t>
            </w:r>
            <w:r w:rsidRPr="001455DC">
              <w:rPr>
                <w:rStyle w:val="CCMCvariablesubscript"/>
              </w:rPr>
              <w:t>min,dur</w:t>
            </w:r>
          </w:p>
        </w:tc>
        <w:tc>
          <w:tcPr>
            <w:tcW w:w="6548" w:type="dxa"/>
            <w:shd w:val="clear" w:color="auto" w:fill="auto"/>
          </w:tcPr>
          <w:p w14:paraId="5E2EC500" w14:textId="77777777" w:rsidR="009D7EBE" w:rsidRPr="001455DC" w:rsidRDefault="009D7EBE" w:rsidP="000250B6">
            <w:pPr>
              <w:pStyle w:val="Tablebody"/>
              <w:jc w:val="left"/>
              <w:rPr>
                <w:lang w:eastAsia="de-DE"/>
              </w:rPr>
            </w:pPr>
            <w:r w:rsidRPr="001455DC">
              <w:rPr>
                <w:lang w:eastAsia="de-DE"/>
              </w:rPr>
              <w:t xml:space="preserve">Minimum concrete cover </w:t>
            </w:r>
            <w:r w:rsidRPr="001455DC">
              <w:rPr>
                <w:rStyle w:val="CCMCvariableitalic"/>
              </w:rPr>
              <w:t>c</w:t>
            </w:r>
            <w:r w:rsidRPr="001455DC">
              <w:rPr>
                <w:lang w:eastAsia="de-DE"/>
              </w:rPr>
              <w:t xml:space="preserve"> due to durability requirement</w:t>
            </w:r>
          </w:p>
        </w:tc>
        <w:tc>
          <w:tcPr>
            <w:tcW w:w="1984" w:type="dxa"/>
          </w:tcPr>
          <w:p w14:paraId="61306863" w14:textId="7C66D49B" w:rsidR="009D7EBE" w:rsidRPr="001455DC" w:rsidRDefault="009D7EBE" w:rsidP="009D7EBE">
            <w:pPr>
              <w:pStyle w:val="Tablebody"/>
              <w:rPr>
                <w:lang w:eastAsia="de-DE"/>
              </w:rPr>
            </w:pPr>
            <w:r w:rsidRPr="009D3012">
              <w:rPr>
                <w:lang w:eastAsia="de-DE"/>
              </w:rPr>
              <w:t>6.4.2(5)</w:t>
            </w:r>
          </w:p>
        </w:tc>
      </w:tr>
      <w:tr w:rsidR="009D7EBE" w:rsidRPr="001455DC" w14:paraId="2B2B5EDA" w14:textId="192187B1" w:rsidTr="0066200C">
        <w:trPr>
          <w:cantSplit/>
        </w:trPr>
        <w:tc>
          <w:tcPr>
            <w:tcW w:w="1418" w:type="dxa"/>
            <w:shd w:val="clear" w:color="auto" w:fill="auto"/>
          </w:tcPr>
          <w:p w14:paraId="4B9C52C3" w14:textId="77777777" w:rsidR="009D7EBE" w:rsidRPr="009D3012" w:rsidRDefault="009D7EBE" w:rsidP="009D7EBE">
            <w:pPr>
              <w:pStyle w:val="Tablebody"/>
              <w:rPr>
                <w:rStyle w:val="CCMCvariableitalic"/>
              </w:rPr>
            </w:pPr>
            <w:r w:rsidRPr="001455DC">
              <w:rPr>
                <w:rStyle w:val="CCMCvariableitalic"/>
              </w:rPr>
              <w:t>c</w:t>
            </w:r>
            <w:r w:rsidRPr="001455DC">
              <w:rPr>
                <w:rStyle w:val="CCMCvariablesubscript"/>
              </w:rPr>
              <w:t>nom</w:t>
            </w:r>
          </w:p>
        </w:tc>
        <w:tc>
          <w:tcPr>
            <w:tcW w:w="6548" w:type="dxa"/>
            <w:shd w:val="clear" w:color="auto" w:fill="auto"/>
          </w:tcPr>
          <w:p w14:paraId="471FD496" w14:textId="77777777" w:rsidR="009D7EBE" w:rsidRPr="001455DC" w:rsidRDefault="009D7EBE" w:rsidP="000250B6">
            <w:pPr>
              <w:pStyle w:val="Tablebody"/>
              <w:jc w:val="left"/>
              <w:rPr>
                <w:lang w:eastAsia="de-DE"/>
              </w:rPr>
            </w:pPr>
            <w:r w:rsidRPr="001455DC">
              <w:rPr>
                <w:lang w:eastAsia="de-DE"/>
              </w:rPr>
              <w:t xml:space="preserve">Nominal value of the concrete cover </w:t>
            </w:r>
            <w:r w:rsidRPr="001455DC">
              <w:rPr>
                <w:rStyle w:val="CCMCvariableitalic"/>
              </w:rPr>
              <w:t>c</w:t>
            </w:r>
            <w:r w:rsidRPr="001455DC">
              <w:rPr>
                <w:lang w:eastAsia="de-DE"/>
              </w:rPr>
              <w:t xml:space="preserve"> which shall be specified in drawings</w:t>
            </w:r>
          </w:p>
        </w:tc>
        <w:tc>
          <w:tcPr>
            <w:tcW w:w="1984" w:type="dxa"/>
          </w:tcPr>
          <w:p w14:paraId="365F5017" w14:textId="0FF73779" w:rsidR="009D7EBE" w:rsidRPr="001455DC" w:rsidRDefault="009D7EBE" w:rsidP="009D7EBE">
            <w:pPr>
              <w:pStyle w:val="Tablebody"/>
              <w:rPr>
                <w:lang w:eastAsia="de-DE"/>
              </w:rPr>
            </w:pPr>
            <w:r w:rsidRPr="009D3012">
              <w:rPr>
                <w:lang w:eastAsia="de-DE"/>
              </w:rPr>
              <w:t>6.4.1(1)</w:t>
            </w:r>
          </w:p>
        </w:tc>
      </w:tr>
      <w:tr w:rsidR="009D7EBE" w:rsidRPr="001455DC" w14:paraId="74069EE6" w14:textId="01906471" w:rsidTr="0066200C">
        <w:trPr>
          <w:cantSplit/>
        </w:trPr>
        <w:tc>
          <w:tcPr>
            <w:tcW w:w="1418" w:type="dxa"/>
            <w:shd w:val="clear" w:color="auto" w:fill="auto"/>
          </w:tcPr>
          <w:p w14:paraId="39E29B4D" w14:textId="77777777" w:rsidR="009D7EBE" w:rsidRPr="009D3012" w:rsidRDefault="009D7EBE" w:rsidP="009D7EBE">
            <w:pPr>
              <w:pStyle w:val="Tablebody"/>
              <w:rPr>
                <w:rStyle w:val="CCMCvariableitalic"/>
              </w:rPr>
            </w:pPr>
            <w:r w:rsidRPr="001455DC">
              <w:rPr>
                <w:rStyle w:val="CCMCvariableitalic"/>
              </w:rPr>
              <w:t>c</w:t>
            </w:r>
            <w:r w:rsidRPr="001455DC">
              <w:rPr>
                <w:rStyle w:val="CCMCvariablesubscript"/>
              </w:rPr>
              <w:t>s</w:t>
            </w:r>
          </w:p>
        </w:tc>
        <w:tc>
          <w:tcPr>
            <w:tcW w:w="6548" w:type="dxa"/>
            <w:shd w:val="clear" w:color="auto" w:fill="auto"/>
          </w:tcPr>
          <w:p w14:paraId="456CA51A" w14:textId="77777777" w:rsidR="009D7EBE" w:rsidRPr="001455DC" w:rsidRDefault="009D7EBE" w:rsidP="000250B6">
            <w:pPr>
              <w:pStyle w:val="Tablebody"/>
              <w:jc w:val="left"/>
              <w:rPr>
                <w:lang w:eastAsia="de-DE"/>
              </w:rPr>
            </w:pPr>
            <w:r w:rsidRPr="001455DC">
              <w:rPr>
                <w:lang w:eastAsia="de-DE"/>
              </w:rPr>
              <w:t xml:space="preserve">Clear distance between parallel reinforcement bars </w:t>
            </w:r>
          </w:p>
        </w:tc>
        <w:tc>
          <w:tcPr>
            <w:tcW w:w="1984" w:type="dxa"/>
          </w:tcPr>
          <w:p w14:paraId="1B69ED9D" w14:textId="1A17C57F" w:rsidR="009D7EBE" w:rsidRPr="001455DC" w:rsidRDefault="009D7EBE" w:rsidP="009D7EBE">
            <w:pPr>
              <w:pStyle w:val="Tablebody"/>
              <w:rPr>
                <w:lang w:eastAsia="de-DE"/>
              </w:rPr>
            </w:pPr>
            <w:r w:rsidRPr="009D3012">
              <w:rPr>
                <w:lang w:eastAsia="de-DE"/>
              </w:rPr>
              <w:t>11.2(2), Fig 11.3c</w:t>
            </w:r>
          </w:p>
        </w:tc>
      </w:tr>
      <w:tr w:rsidR="009D7EBE" w:rsidRPr="001455DC" w14:paraId="0F0FC5BB" w14:textId="49CD5A1B" w:rsidTr="0066200C">
        <w:trPr>
          <w:cantSplit/>
        </w:trPr>
        <w:tc>
          <w:tcPr>
            <w:tcW w:w="1418" w:type="dxa"/>
            <w:shd w:val="clear" w:color="auto" w:fill="auto"/>
          </w:tcPr>
          <w:p w14:paraId="3D0AD032" w14:textId="77777777" w:rsidR="009D7EBE" w:rsidRPr="009D3012" w:rsidRDefault="009D7EBE" w:rsidP="009D7EBE">
            <w:pPr>
              <w:pStyle w:val="Tablebody"/>
              <w:rPr>
                <w:rStyle w:val="CCMCvariableitalic"/>
              </w:rPr>
            </w:pPr>
            <w:r w:rsidRPr="001455DC">
              <w:rPr>
                <w:rStyle w:val="CCMCvariableitalic"/>
              </w:rPr>
              <w:t>c</w:t>
            </w:r>
            <w:r w:rsidRPr="001455DC">
              <w:rPr>
                <w:rStyle w:val="CCMCvariablesubscript"/>
              </w:rPr>
              <w:t>x</w:t>
            </w:r>
            <w:r w:rsidRPr="001455DC">
              <w:rPr>
                <w:rStyle w:val="CCMCvariableitalic"/>
              </w:rPr>
              <w:t>,</w:t>
            </w:r>
            <w:r w:rsidRPr="001455DC">
              <w:rPr>
                <w:lang w:eastAsia="de-DE"/>
              </w:rPr>
              <w:t xml:space="preserve"> </w:t>
            </w:r>
            <w:r w:rsidRPr="001455DC">
              <w:rPr>
                <w:rStyle w:val="CCMCvariableitalic"/>
              </w:rPr>
              <w:t>c</w:t>
            </w:r>
            <w:r w:rsidRPr="001455DC">
              <w:rPr>
                <w:rStyle w:val="CCMCvariablesubscript"/>
              </w:rPr>
              <w:t>y</w:t>
            </w:r>
          </w:p>
        </w:tc>
        <w:tc>
          <w:tcPr>
            <w:tcW w:w="6548" w:type="dxa"/>
            <w:shd w:val="clear" w:color="auto" w:fill="auto"/>
          </w:tcPr>
          <w:p w14:paraId="62E1E4B4" w14:textId="77777777" w:rsidR="009D7EBE" w:rsidRPr="001455DC" w:rsidRDefault="009D7EBE" w:rsidP="000250B6">
            <w:pPr>
              <w:pStyle w:val="Tablebody"/>
              <w:jc w:val="left"/>
              <w:rPr>
                <w:lang w:eastAsia="de-DE"/>
              </w:rPr>
            </w:pPr>
            <w:r w:rsidRPr="001455DC">
              <w:rPr>
                <w:lang w:eastAsia="de-DE"/>
              </w:rPr>
              <w:t xml:space="preserve">Concrete covers to reinforcement measured in </w:t>
            </w:r>
            <w:r w:rsidRPr="001455DC">
              <w:rPr>
                <w:rStyle w:val="CCMCvariableitalic"/>
              </w:rPr>
              <w:t>x</w:t>
            </w:r>
            <w:r w:rsidRPr="001455DC">
              <w:rPr>
                <w:lang w:eastAsia="de-DE"/>
              </w:rPr>
              <w:t xml:space="preserve"> and </w:t>
            </w:r>
            <w:r w:rsidRPr="001455DC">
              <w:rPr>
                <w:rStyle w:val="CCMCvariableitalic"/>
              </w:rPr>
              <w:t>y</w:t>
            </w:r>
            <w:r w:rsidRPr="001455DC">
              <w:rPr>
                <w:lang w:eastAsia="de-DE"/>
              </w:rPr>
              <w:t xml:space="preserve"> direction, respectively</w:t>
            </w:r>
          </w:p>
        </w:tc>
        <w:tc>
          <w:tcPr>
            <w:tcW w:w="1984" w:type="dxa"/>
          </w:tcPr>
          <w:p w14:paraId="66069A61" w14:textId="1D0056E1" w:rsidR="009D7EBE" w:rsidRPr="001455DC" w:rsidRDefault="009D7EBE" w:rsidP="009D7EBE">
            <w:pPr>
              <w:pStyle w:val="Tablebody"/>
              <w:rPr>
                <w:lang w:eastAsia="de-DE"/>
              </w:rPr>
            </w:pPr>
            <w:r w:rsidRPr="009D3012">
              <w:rPr>
                <w:lang w:eastAsia="de-DE"/>
              </w:rPr>
              <w:t>Figure 11.3c</w:t>
            </w:r>
          </w:p>
        </w:tc>
      </w:tr>
      <w:tr w:rsidR="009D7EBE" w:rsidRPr="001455DC" w14:paraId="34161A48" w14:textId="265D7838" w:rsidTr="0066200C">
        <w:trPr>
          <w:cantSplit/>
        </w:trPr>
        <w:tc>
          <w:tcPr>
            <w:tcW w:w="1418" w:type="dxa"/>
            <w:shd w:val="clear" w:color="auto" w:fill="auto"/>
          </w:tcPr>
          <w:p w14:paraId="6B213F78" w14:textId="77777777" w:rsidR="009D7EBE" w:rsidRPr="009D3012" w:rsidRDefault="009D7EBE" w:rsidP="009D7EBE">
            <w:pPr>
              <w:pStyle w:val="Tablebody"/>
              <w:rPr>
                <w:rStyle w:val="CCMCvariableitalic"/>
              </w:rPr>
            </w:pPr>
            <w:r w:rsidRPr="001455DC">
              <w:rPr>
                <w:rStyle w:val="CCMCvariableitalic"/>
              </w:rPr>
              <w:t>c</w:t>
            </w:r>
            <w:r w:rsidRPr="001455DC">
              <w:rPr>
                <w:rStyle w:val="CCMCvariablesubscript"/>
              </w:rPr>
              <w:t>u</w:t>
            </w:r>
          </w:p>
        </w:tc>
        <w:tc>
          <w:tcPr>
            <w:tcW w:w="6548" w:type="dxa"/>
            <w:shd w:val="clear" w:color="auto" w:fill="auto"/>
          </w:tcPr>
          <w:p w14:paraId="758CC2B2" w14:textId="77777777" w:rsidR="009D7EBE" w:rsidRPr="001455DC" w:rsidRDefault="009D7EBE" w:rsidP="000250B6">
            <w:pPr>
              <w:pStyle w:val="Tablebody"/>
              <w:jc w:val="left"/>
              <w:rPr>
                <w:lang w:eastAsia="de-DE"/>
              </w:rPr>
            </w:pPr>
            <w:r w:rsidRPr="001455DC">
              <w:rPr>
                <w:lang w:eastAsia="de-DE"/>
              </w:rPr>
              <w:t>Effective width of concrete area carrying tensile forces due to the deviation of curved chords</w:t>
            </w:r>
          </w:p>
        </w:tc>
        <w:tc>
          <w:tcPr>
            <w:tcW w:w="1984" w:type="dxa"/>
          </w:tcPr>
          <w:p w14:paraId="6AD9D548" w14:textId="3111C2FE" w:rsidR="009D7EBE" w:rsidRPr="001455DC" w:rsidRDefault="009D7EBE" w:rsidP="009D7EBE">
            <w:pPr>
              <w:pStyle w:val="Tablebody"/>
              <w:rPr>
                <w:lang w:eastAsia="de-DE"/>
              </w:rPr>
            </w:pPr>
            <w:r w:rsidRPr="009D3012">
              <w:rPr>
                <w:lang w:eastAsia="de-DE"/>
              </w:rPr>
              <w:t>11.7(3)</w:t>
            </w:r>
          </w:p>
        </w:tc>
      </w:tr>
      <w:tr w:rsidR="009D7EBE" w:rsidRPr="001455DC" w14:paraId="5E2535C3" w14:textId="41D81C4C" w:rsidTr="0066200C">
        <w:trPr>
          <w:cantSplit/>
        </w:trPr>
        <w:tc>
          <w:tcPr>
            <w:tcW w:w="1418" w:type="dxa"/>
            <w:shd w:val="clear" w:color="auto" w:fill="auto"/>
          </w:tcPr>
          <w:p w14:paraId="4EFAFA1F" w14:textId="77777777" w:rsidR="009D7EBE" w:rsidRPr="009D3012" w:rsidRDefault="009D7EBE" w:rsidP="009D7EBE">
            <w:pPr>
              <w:pStyle w:val="Tablebody"/>
              <w:rPr>
                <w:rStyle w:val="CCMCvariableitalic"/>
              </w:rPr>
            </w:pPr>
            <w:r w:rsidRPr="001455DC">
              <w:rPr>
                <w:rStyle w:val="CCMCvariableitalic"/>
              </w:rPr>
              <w:t>c</w:t>
            </w:r>
            <w:r w:rsidRPr="001455DC">
              <w:rPr>
                <w:rStyle w:val="CCMCvariablesubscript"/>
              </w:rPr>
              <w:t>v1</w:t>
            </w:r>
            <w:r w:rsidRPr="001455DC">
              <w:rPr>
                <w:rStyle w:val="CCMCvariableitalic"/>
              </w:rPr>
              <w:t>,</w:t>
            </w:r>
            <w:r w:rsidRPr="001455DC">
              <w:rPr>
                <w:lang w:eastAsia="de-DE"/>
              </w:rPr>
              <w:t xml:space="preserve"> </w:t>
            </w:r>
            <w:r w:rsidRPr="001455DC">
              <w:rPr>
                <w:rStyle w:val="CCMCvariableitalic"/>
              </w:rPr>
              <w:t>c</w:t>
            </w:r>
            <w:r w:rsidRPr="001455DC">
              <w:rPr>
                <w:rStyle w:val="CCMCvariablesubscript"/>
              </w:rPr>
              <w:t>v2</w:t>
            </w:r>
          </w:p>
        </w:tc>
        <w:tc>
          <w:tcPr>
            <w:tcW w:w="6548" w:type="dxa"/>
            <w:shd w:val="clear" w:color="auto" w:fill="auto"/>
          </w:tcPr>
          <w:p w14:paraId="0D5A596C" w14:textId="77777777" w:rsidR="009D7EBE" w:rsidRPr="001455DC" w:rsidRDefault="009D7EBE" w:rsidP="000250B6">
            <w:pPr>
              <w:pStyle w:val="Tablebody"/>
              <w:jc w:val="left"/>
              <w:rPr>
                <w:lang w:eastAsia="de-DE"/>
              </w:rPr>
            </w:pPr>
            <w:r w:rsidRPr="001455DC">
              <w:rPr>
                <w:lang w:eastAsia="de-DE"/>
              </w:rPr>
              <w:t>Coefficients for the shear resistance at interfaces</w:t>
            </w:r>
          </w:p>
        </w:tc>
        <w:tc>
          <w:tcPr>
            <w:tcW w:w="1984" w:type="dxa"/>
          </w:tcPr>
          <w:p w14:paraId="1AC2743E" w14:textId="1172482B" w:rsidR="009D7EBE" w:rsidRPr="001455DC" w:rsidRDefault="009D7EBE" w:rsidP="009D7EBE">
            <w:pPr>
              <w:pStyle w:val="Tablebody"/>
              <w:rPr>
                <w:lang w:eastAsia="de-DE"/>
              </w:rPr>
            </w:pPr>
            <w:r w:rsidRPr="009D3012">
              <w:rPr>
                <w:lang w:eastAsia="de-DE"/>
              </w:rPr>
              <w:t>8.2.6</w:t>
            </w:r>
          </w:p>
        </w:tc>
      </w:tr>
      <w:tr w:rsidR="009D7EBE" w:rsidRPr="001455DC" w14:paraId="5DAF5CE2" w14:textId="30F21FD4" w:rsidTr="0066200C">
        <w:trPr>
          <w:cantSplit/>
        </w:trPr>
        <w:tc>
          <w:tcPr>
            <w:tcW w:w="1418" w:type="dxa"/>
            <w:shd w:val="clear" w:color="auto" w:fill="auto"/>
          </w:tcPr>
          <w:p w14:paraId="548C5627" w14:textId="77777777" w:rsidR="009D7EBE" w:rsidRPr="001455DC" w:rsidRDefault="009D7EBE" w:rsidP="009D7EBE">
            <w:pPr>
              <w:pStyle w:val="Tablebody"/>
            </w:pPr>
            <w:r w:rsidRPr="001455DC">
              <w:rPr>
                <w:rStyle w:val="CCMCvariableitalic"/>
              </w:rPr>
              <w:t>d</w:t>
            </w:r>
          </w:p>
        </w:tc>
        <w:tc>
          <w:tcPr>
            <w:tcW w:w="6548" w:type="dxa"/>
            <w:shd w:val="clear" w:color="auto" w:fill="auto"/>
          </w:tcPr>
          <w:p w14:paraId="26D1E79E" w14:textId="135CE992" w:rsidR="009D7EBE" w:rsidRPr="001455DC" w:rsidRDefault="009D7EBE" w:rsidP="000250B6">
            <w:pPr>
              <w:pStyle w:val="Tablebody"/>
              <w:jc w:val="left"/>
              <w:rPr>
                <w:rStyle w:val="CCMCvariableitalic"/>
              </w:rPr>
            </w:pPr>
            <w:r w:rsidRPr="009D3012">
              <w:rPr>
                <w:lang w:eastAsia="de-DE"/>
              </w:rPr>
              <w:t>Effective depth of a cross</w:t>
            </w:r>
            <w:r w:rsidR="00B10711" w:rsidRPr="001455DC">
              <w:rPr>
                <w:lang w:eastAsia="de-DE"/>
              </w:rPr>
              <w:t xml:space="preserve"> </w:t>
            </w:r>
            <w:r w:rsidRPr="001455DC">
              <w:rPr>
                <w:lang w:eastAsia="de-DE"/>
              </w:rPr>
              <w:t>section</w:t>
            </w:r>
          </w:p>
        </w:tc>
        <w:tc>
          <w:tcPr>
            <w:tcW w:w="1984" w:type="dxa"/>
          </w:tcPr>
          <w:p w14:paraId="53BBCF6C" w14:textId="43B6EFD3" w:rsidR="009D7EBE" w:rsidRPr="001455DC" w:rsidRDefault="009D7EBE" w:rsidP="009D7EBE">
            <w:pPr>
              <w:pStyle w:val="Tablebody"/>
              <w:rPr>
                <w:lang w:eastAsia="de-DE"/>
              </w:rPr>
            </w:pPr>
          </w:p>
        </w:tc>
      </w:tr>
      <w:tr w:rsidR="00BD04C2" w:rsidRPr="001455DC" w14:paraId="710770C2" w14:textId="77777777" w:rsidTr="0066200C">
        <w:trPr>
          <w:cantSplit/>
        </w:trPr>
        <w:tc>
          <w:tcPr>
            <w:tcW w:w="1418" w:type="dxa"/>
            <w:shd w:val="clear" w:color="auto" w:fill="auto"/>
          </w:tcPr>
          <w:p w14:paraId="738A52B8" w14:textId="792103BC" w:rsidR="00BD04C2" w:rsidRPr="009D3012" w:rsidRDefault="00BD04C2" w:rsidP="00BD04C2">
            <w:pPr>
              <w:pStyle w:val="Tablebody"/>
              <w:rPr>
                <w:rStyle w:val="CCMCvariableitalic"/>
              </w:rPr>
            </w:pPr>
            <w:r w:rsidRPr="001455DC">
              <w:rPr>
                <w:rFonts w:eastAsia="Calibri" w:cs="Arial"/>
                <w:i/>
                <w:lang w:eastAsia="ja-JP"/>
              </w:rPr>
              <w:t>d</w:t>
            </w:r>
            <w:r w:rsidRPr="001455DC">
              <w:rPr>
                <w:rFonts w:eastAsia="Calibri" w:cs="Arial"/>
                <w:vertAlign w:val="subscript"/>
                <w:lang w:eastAsia="ja-JP"/>
              </w:rPr>
              <w:t>d</w:t>
            </w:r>
          </w:p>
        </w:tc>
        <w:tc>
          <w:tcPr>
            <w:tcW w:w="6548" w:type="dxa"/>
            <w:shd w:val="clear" w:color="auto" w:fill="auto"/>
          </w:tcPr>
          <w:p w14:paraId="1C945EB2" w14:textId="02994C1F" w:rsidR="00BD04C2" w:rsidRPr="001455DC" w:rsidRDefault="00BD04C2" w:rsidP="000250B6">
            <w:pPr>
              <w:pStyle w:val="Tablebody"/>
              <w:jc w:val="left"/>
              <w:rPr>
                <w:lang w:eastAsia="de-DE"/>
              </w:rPr>
            </w:pPr>
            <w:r w:rsidRPr="001455DC">
              <w:rPr>
                <w:rFonts w:eastAsia="Calibri" w:cs="Arial"/>
                <w:lang w:eastAsia="ja-JP"/>
              </w:rPr>
              <w:t xml:space="preserve">Design value of the effective depth </w:t>
            </w:r>
          </w:p>
        </w:tc>
        <w:tc>
          <w:tcPr>
            <w:tcW w:w="1984" w:type="dxa"/>
          </w:tcPr>
          <w:p w14:paraId="0301A444" w14:textId="4E09E873" w:rsidR="00BD04C2" w:rsidRPr="009D3012" w:rsidRDefault="00BD04C2" w:rsidP="00BD04C2">
            <w:pPr>
              <w:pStyle w:val="Tablebody"/>
              <w:rPr>
                <w:lang w:eastAsia="de-DE"/>
              </w:rPr>
            </w:pPr>
            <w:r w:rsidRPr="009D3012">
              <w:rPr>
                <w:lang w:eastAsia="de-DE"/>
              </w:rPr>
              <w:t>4.3.3(2), 8.2.1(4), 8.2.2(2), A(6)</w:t>
            </w:r>
          </w:p>
        </w:tc>
      </w:tr>
      <w:tr w:rsidR="00BD04C2" w:rsidRPr="001455DC" w14:paraId="142BD502" w14:textId="6711400B" w:rsidTr="0066200C">
        <w:trPr>
          <w:cantSplit/>
        </w:trPr>
        <w:tc>
          <w:tcPr>
            <w:tcW w:w="1418" w:type="dxa"/>
            <w:shd w:val="clear" w:color="auto" w:fill="auto"/>
          </w:tcPr>
          <w:p w14:paraId="2B8B24B1" w14:textId="77777777" w:rsidR="00BD04C2" w:rsidRPr="009D3012" w:rsidRDefault="00BD04C2" w:rsidP="00BD04C2">
            <w:pPr>
              <w:pStyle w:val="Tablebody"/>
              <w:rPr>
                <w:rStyle w:val="CCMCvariableitalic"/>
              </w:rPr>
            </w:pPr>
            <w:r w:rsidRPr="001455DC">
              <w:rPr>
                <w:rStyle w:val="CCMCvariableitalic"/>
              </w:rPr>
              <w:t>d</w:t>
            </w:r>
            <w:r w:rsidRPr="001455DC">
              <w:rPr>
                <w:rStyle w:val="CCMCvariablesubscript"/>
              </w:rPr>
              <w:t>dg</w:t>
            </w:r>
          </w:p>
        </w:tc>
        <w:tc>
          <w:tcPr>
            <w:tcW w:w="6548" w:type="dxa"/>
            <w:shd w:val="clear" w:color="auto" w:fill="auto"/>
          </w:tcPr>
          <w:p w14:paraId="140B64EF" w14:textId="77777777" w:rsidR="00BD04C2" w:rsidRPr="001455DC" w:rsidRDefault="00BD04C2" w:rsidP="000250B6">
            <w:pPr>
              <w:pStyle w:val="Tablebody"/>
              <w:jc w:val="left"/>
              <w:rPr>
                <w:lang w:eastAsia="de-DE"/>
              </w:rPr>
            </w:pPr>
            <w:r w:rsidRPr="001455DC">
              <w:rPr>
                <w:lang w:eastAsia="de-DE"/>
              </w:rPr>
              <w:t xml:space="preserve">Size parameter describing the crack and the failure zone roughness taking account of concrete type and its aggregate properties </w:t>
            </w:r>
          </w:p>
        </w:tc>
        <w:tc>
          <w:tcPr>
            <w:tcW w:w="1984" w:type="dxa"/>
          </w:tcPr>
          <w:p w14:paraId="1BD2CFB9" w14:textId="5C1B3B01" w:rsidR="00BD04C2" w:rsidRPr="001455DC" w:rsidRDefault="00BD04C2" w:rsidP="00BD04C2">
            <w:pPr>
              <w:pStyle w:val="Tablebody"/>
              <w:rPr>
                <w:lang w:eastAsia="de-DE"/>
              </w:rPr>
            </w:pPr>
            <w:r w:rsidRPr="009D3012">
              <w:rPr>
                <w:lang w:eastAsia="de-DE"/>
              </w:rPr>
              <w:t>8.2.1(4), 8.1.4(2), 8.2.1(4), 8.2.2(3), 8.4.3(1), 11.5.4(2)</w:t>
            </w:r>
          </w:p>
        </w:tc>
      </w:tr>
      <w:tr w:rsidR="00BD04C2" w:rsidRPr="001455DC" w14:paraId="15A416D9" w14:textId="77777777" w:rsidTr="0066200C">
        <w:trPr>
          <w:cantSplit/>
        </w:trPr>
        <w:tc>
          <w:tcPr>
            <w:tcW w:w="1418" w:type="dxa"/>
            <w:shd w:val="clear" w:color="auto" w:fill="auto"/>
          </w:tcPr>
          <w:p w14:paraId="246AD13E" w14:textId="0EF5CFA9" w:rsidR="00BD04C2" w:rsidRPr="009D3012" w:rsidRDefault="00BD04C2" w:rsidP="00BD04C2">
            <w:pPr>
              <w:pStyle w:val="Tablebody"/>
              <w:rPr>
                <w:rStyle w:val="CCMCvariableitalic"/>
              </w:rPr>
            </w:pPr>
            <w:r w:rsidRPr="001455DC">
              <w:rPr>
                <w:rFonts w:eastAsia="Calibri" w:cs="Arial"/>
                <w:i/>
                <w:lang w:eastAsia="ja-JP"/>
              </w:rPr>
              <w:t>d</w:t>
            </w:r>
            <w:r w:rsidRPr="001455DC">
              <w:rPr>
                <w:rFonts w:eastAsia="Calibri" w:cs="Arial"/>
                <w:vertAlign w:val="subscript"/>
                <w:lang w:eastAsia="ja-JP"/>
              </w:rPr>
              <w:t>nom</w:t>
            </w:r>
          </w:p>
        </w:tc>
        <w:tc>
          <w:tcPr>
            <w:tcW w:w="6548" w:type="dxa"/>
            <w:shd w:val="clear" w:color="auto" w:fill="auto"/>
          </w:tcPr>
          <w:p w14:paraId="30E9EE72" w14:textId="072C3873" w:rsidR="00BD04C2" w:rsidRPr="001455DC" w:rsidRDefault="00BD04C2" w:rsidP="000250B6">
            <w:pPr>
              <w:pStyle w:val="Tablebody"/>
              <w:jc w:val="left"/>
              <w:rPr>
                <w:lang w:eastAsia="de-DE"/>
              </w:rPr>
            </w:pPr>
            <w:r w:rsidRPr="001455DC">
              <w:rPr>
                <w:rFonts w:eastAsia="Calibri" w:cs="Arial"/>
                <w:lang w:eastAsia="ja-JP"/>
              </w:rPr>
              <w:t xml:space="preserve">Nominal value of the effective depth determined on the basis of </w:t>
            </w:r>
            <w:r w:rsidRPr="001455DC">
              <w:rPr>
                <w:rFonts w:eastAsia="Calibri" w:cs="Arial"/>
                <w:i/>
              </w:rPr>
              <w:t>c</w:t>
            </w:r>
            <w:r w:rsidRPr="001455DC">
              <w:rPr>
                <w:rFonts w:eastAsia="Calibri" w:cs="Arial"/>
                <w:vertAlign w:val="subscript"/>
              </w:rPr>
              <w:t>nom</w:t>
            </w:r>
          </w:p>
        </w:tc>
        <w:tc>
          <w:tcPr>
            <w:tcW w:w="1984" w:type="dxa"/>
          </w:tcPr>
          <w:p w14:paraId="196D6ABA" w14:textId="4A693BFD" w:rsidR="00BD04C2" w:rsidRPr="001455DC" w:rsidRDefault="00BD04C2" w:rsidP="00BD04C2">
            <w:pPr>
              <w:pStyle w:val="Tablebody"/>
              <w:rPr>
                <w:lang w:eastAsia="de-DE"/>
              </w:rPr>
            </w:pPr>
            <w:r w:rsidRPr="009D3012">
              <w:rPr>
                <w:lang w:eastAsia="de-DE"/>
              </w:rPr>
              <w:t>8.2.1(4), 8.2.2(2), 8.4.1(6), A(6)</w:t>
            </w:r>
          </w:p>
        </w:tc>
      </w:tr>
      <w:tr w:rsidR="00F95D07" w:rsidRPr="001455DC" w14:paraId="4E5DD442" w14:textId="0177AB00" w:rsidTr="0066200C">
        <w:trPr>
          <w:cantSplit/>
        </w:trPr>
        <w:tc>
          <w:tcPr>
            <w:tcW w:w="1418" w:type="dxa"/>
            <w:shd w:val="clear" w:color="auto" w:fill="auto"/>
          </w:tcPr>
          <w:p w14:paraId="70975955" w14:textId="77777777" w:rsidR="00F95D07" w:rsidRPr="009D3012" w:rsidRDefault="00F95D07" w:rsidP="00F95D07">
            <w:pPr>
              <w:pStyle w:val="Tablebody"/>
              <w:rPr>
                <w:rStyle w:val="CCMCvariableitalic"/>
              </w:rPr>
            </w:pPr>
            <w:r w:rsidRPr="001455DC">
              <w:rPr>
                <w:rStyle w:val="CCMCvariableitalic"/>
              </w:rPr>
              <w:t>d</w:t>
            </w:r>
            <w:r w:rsidRPr="001455DC">
              <w:rPr>
                <w:rStyle w:val="CCMCvariablesubscript"/>
              </w:rPr>
              <w:t>p</w:t>
            </w:r>
          </w:p>
        </w:tc>
        <w:tc>
          <w:tcPr>
            <w:tcW w:w="6548" w:type="dxa"/>
            <w:shd w:val="clear" w:color="auto" w:fill="auto"/>
          </w:tcPr>
          <w:p w14:paraId="794B0723" w14:textId="77777777" w:rsidR="00F95D07" w:rsidRPr="001455DC" w:rsidRDefault="00F95D07" w:rsidP="000250B6">
            <w:pPr>
              <w:pStyle w:val="Tablebody"/>
              <w:jc w:val="left"/>
              <w:rPr>
                <w:lang w:eastAsia="de-DE"/>
              </w:rPr>
            </w:pPr>
            <w:r w:rsidRPr="001455DC">
              <w:rPr>
                <w:lang w:eastAsia="de-DE"/>
              </w:rPr>
              <w:t xml:space="preserve">Effective depth of the prestressed reinforcement </w:t>
            </w:r>
          </w:p>
        </w:tc>
        <w:tc>
          <w:tcPr>
            <w:tcW w:w="1984" w:type="dxa"/>
          </w:tcPr>
          <w:p w14:paraId="66E7DAB7" w14:textId="6FC30182" w:rsidR="00F95D07" w:rsidRPr="001455DC" w:rsidRDefault="00F95D07" w:rsidP="00F95D07">
            <w:pPr>
              <w:pStyle w:val="Tablebody"/>
              <w:rPr>
                <w:lang w:eastAsia="de-DE"/>
              </w:rPr>
            </w:pPr>
            <w:r w:rsidRPr="009D3012">
              <w:rPr>
                <w:lang w:eastAsia="de-DE"/>
              </w:rPr>
              <w:t>8.2.2(6)</w:t>
            </w:r>
          </w:p>
        </w:tc>
      </w:tr>
      <w:tr w:rsidR="00F95D07" w:rsidRPr="001455DC" w14:paraId="49DC6B10" w14:textId="67BE95C4" w:rsidTr="0066200C">
        <w:trPr>
          <w:cantSplit/>
        </w:trPr>
        <w:tc>
          <w:tcPr>
            <w:tcW w:w="1418" w:type="dxa"/>
            <w:shd w:val="clear" w:color="auto" w:fill="auto"/>
          </w:tcPr>
          <w:p w14:paraId="00A4BC46" w14:textId="77777777" w:rsidR="00F95D07" w:rsidRPr="009D3012" w:rsidRDefault="00F95D07" w:rsidP="00F95D07">
            <w:pPr>
              <w:pStyle w:val="Tablebody"/>
              <w:rPr>
                <w:rStyle w:val="CCMCvariableitalic"/>
              </w:rPr>
            </w:pPr>
            <w:r w:rsidRPr="001455DC">
              <w:rPr>
                <w:rStyle w:val="CCMCvariableitalic"/>
              </w:rPr>
              <w:t>d</w:t>
            </w:r>
            <w:r w:rsidRPr="001455DC">
              <w:rPr>
                <w:rStyle w:val="CCMCvariablesubscript"/>
              </w:rPr>
              <w:t>s</w:t>
            </w:r>
          </w:p>
        </w:tc>
        <w:tc>
          <w:tcPr>
            <w:tcW w:w="6548" w:type="dxa"/>
            <w:shd w:val="clear" w:color="auto" w:fill="auto"/>
          </w:tcPr>
          <w:p w14:paraId="4AD78A2B" w14:textId="77777777" w:rsidR="00F95D07" w:rsidRPr="001455DC" w:rsidRDefault="00F95D07" w:rsidP="000250B6">
            <w:pPr>
              <w:pStyle w:val="Tablebody"/>
              <w:jc w:val="left"/>
              <w:rPr>
                <w:lang w:eastAsia="de-DE"/>
              </w:rPr>
            </w:pPr>
            <w:r w:rsidRPr="001455DC">
              <w:rPr>
                <w:lang w:eastAsia="de-DE"/>
              </w:rPr>
              <w:t xml:space="preserve">Effective depth of the ordinary reinforcement </w:t>
            </w:r>
          </w:p>
        </w:tc>
        <w:tc>
          <w:tcPr>
            <w:tcW w:w="1984" w:type="dxa"/>
          </w:tcPr>
          <w:p w14:paraId="15846C1A" w14:textId="271DDB81" w:rsidR="00F95D07" w:rsidRPr="001455DC" w:rsidRDefault="00F95D07" w:rsidP="00F95D07">
            <w:pPr>
              <w:pStyle w:val="Tablebody"/>
              <w:rPr>
                <w:lang w:eastAsia="de-DE"/>
              </w:rPr>
            </w:pPr>
            <w:r w:rsidRPr="009D3012">
              <w:rPr>
                <w:lang w:eastAsia="de-DE"/>
              </w:rPr>
              <w:t>8.2.2(6)</w:t>
            </w:r>
          </w:p>
        </w:tc>
      </w:tr>
      <w:tr w:rsidR="00F95D07" w:rsidRPr="001455DC" w14:paraId="3BCCD1B0" w14:textId="1433EA81" w:rsidTr="0066200C">
        <w:trPr>
          <w:cantSplit/>
        </w:trPr>
        <w:tc>
          <w:tcPr>
            <w:tcW w:w="1418" w:type="dxa"/>
            <w:shd w:val="clear" w:color="auto" w:fill="auto"/>
          </w:tcPr>
          <w:p w14:paraId="28042925" w14:textId="77777777" w:rsidR="00F95D07" w:rsidRPr="009D3012" w:rsidRDefault="00F95D07" w:rsidP="00F95D07">
            <w:pPr>
              <w:pStyle w:val="Tablebody"/>
              <w:rPr>
                <w:rStyle w:val="CCMCvariableitalic"/>
              </w:rPr>
            </w:pPr>
            <w:r w:rsidRPr="001455DC">
              <w:rPr>
                <w:rStyle w:val="CCMCvariableitalic"/>
              </w:rPr>
              <w:t>d</w:t>
            </w:r>
            <w:r w:rsidRPr="001455DC">
              <w:rPr>
                <w:rStyle w:val="CCMCvariablesubscript"/>
              </w:rPr>
              <w:t>v</w:t>
            </w:r>
          </w:p>
        </w:tc>
        <w:tc>
          <w:tcPr>
            <w:tcW w:w="6548" w:type="dxa"/>
            <w:shd w:val="clear" w:color="auto" w:fill="auto"/>
          </w:tcPr>
          <w:p w14:paraId="42AB2C3C" w14:textId="77777777" w:rsidR="00F95D07" w:rsidRPr="001455DC" w:rsidRDefault="00F95D07" w:rsidP="000250B6">
            <w:pPr>
              <w:pStyle w:val="Tablebody"/>
              <w:jc w:val="left"/>
              <w:rPr>
                <w:lang w:eastAsia="de-DE"/>
              </w:rPr>
            </w:pPr>
            <w:r w:rsidRPr="001455DC">
              <w:rPr>
                <w:lang w:eastAsia="de-DE"/>
              </w:rPr>
              <w:t>Shear-resisting effective depth of the reinforcement</w:t>
            </w:r>
          </w:p>
        </w:tc>
        <w:tc>
          <w:tcPr>
            <w:tcW w:w="1984" w:type="dxa"/>
          </w:tcPr>
          <w:p w14:paraId="26B80E2A" w14:textId="3F7AA055" w:rsidR="00F95D07" w:rsidRPr="001455DC" w:rsidRDefault="00F95D07" w:rsidP="00F95D07">
            <w:pPr>
              <w:pStyle w:val="Tablebody"/>
              <w:rPr>
                <w:lang w:eastAsia="de-DE"/>
              </w:rPr>
            </w:pPr>
            <w:r w:rsidRPr="009D3012">
              <w:rPr>
                <w:lang w:eastAsia="de-DE"/>
              </w:rPr>
              <w:t>8.4.2</w:t>
            </w:r>
          </w:p>
        </w:tc>
      </w:tr>
      <w:tr w:rsidR="00F95D07" w:rsidRPr="001455DC" w14:paraId="441D9083" w14:textId="7E0416AE" w:rsidTr="0066200C">
        <w:trPr>
          <w:cantSplit/>
        </w:trPr>
        <w:tc>
          <w:tcPr>
            <w:tcW w:w="1418" w:type="dxa"/>
            <w:shd w:val="clear" w:color="auto" w:fill="auto"/>
          </w:tcPr>
          <w:p w14:paraId="3B952940" w14:textId="77777777" w:rsidR="00F95D07" w:rsidRPr="009D3012" w:rsidRDefault="00F95D07" w:rsidP="00F95D07">
            <w:pPr>
              <w:pStyle w:val="Tablebody"/>
              <w:rPr>
                <w:rStyle w:val="CCMCvariableitalic"/>
              </w:rPr>
            </w:pPr>
            <w:r w:rsidRPr="001455DC">
              <w:rPr>
                <w:rStyle w:val="CCMCvariableitalic"/>
              </w:rPr>
              <w:t>d</w:t>
            </w:r>
            <w:r w:rsidRPr="001455DC">
              <w:rPr>
                <w:rStyle w:val="CCMCvariablesubscript"/>
              </w:rPr>
              <w:t>vx</w:t>
            </w:r>
            <w:r w:rsidRPr="001455DC">
              <w:rPr>
                <w:lang w:eastAsia="de-DE"/>
              </w:rPr>
              <w:t xml:space="preserve">, </w:t>
            </w:r>
            <w:r w:rsidRPr="001455DC">
              <w:rPr>
                <w:rStyle w:val="CCMCvariableitalic"/>
              </w:rPr>
              <w:t>d</w:t>
            </w:r>
            <w:r w:rsidRPr="001455DC">
              <w:rPr>
                <w:rStyle w:val="CCMCvariablesubscript"/>
              </w:rPr>
              <w:t>vy</w:t>
            </w:r>
          </w:p>
        </w:tc>
        <w:tc>
          <w:tcPr>
            <w:tcW w:w="6548" w:type="dxa"/>
            <w:shd w:val="clear" w:color="auto" w:fill="auto"/>
          </w:tcPr>
          <w:p w14:paraId="645C4DB2" w14:textId="77777777" w:rsidR="00F95D07" w:rsidRPr="001455DC" w:rsidRDefault="00F95D07" w:rsidP="000250B6">
            <w:pPr>
              <w:pStyle w:val="Tablebody"/>
              <w:jc w:val="left"/>
              <w:rPr>
                <w:lang w:eastAsia="de-DE"/>
              </w:rPr>
            </w:pPr>
            <w:r w:rsidRPr="001455DC">
              <w:rPr>
                <w:lang w:eastAsia="de-DE"/>
              </w:rPr>
              <w:t xml:space="preserve">Shear-resisting effective depth of the reinforcement in </w:t>
            </w:r>
            <w:r w:rsidRPr="001455DC">
              <w:rPr>
                <w:rStyle w:val="CCMCvariableitalic"/>
              </w:rPr>
              <w:t>x</w:t>
            </w:r>
            <w:r w:rsidRPr="001455DC">
              <w:rPr>
                <w:lang w:eastAsia="de-DE"/>
              </w:rPr>
              <w:t xml:space="preserve"> and </w:t>
            </w:r>
            <w:r w:rsidRPr="001455DC">
              <w:rPr>
                <w:rStyle w:val="CCMCvariableitalic"/>
              </w:rPr>
              <w:t>y</w:t>
            </w:r>
            <w:r w:rsidRPr="001455DC">
              <w:rPr>
                <w:lang w:eastAsia="de-DE"/>
              </w:rPr>
              <w:t xml:space="preserve"> direction, respectively</w:t>
            </w:r>
          </w:p>
        </w:tc>
        <w:tc>
          <w:tcPr>
            <w:tcW w:w="1984" w:type="dxa"/>
          </w:tcPr>
          <w:p w14:paraId="7DE6FE9A" w14:textId="5E65A6C2" w:rsidR="00F95D07" w:rsidRPr="001455DC" w:rsidRDefault="00F95D07" w:rsidP="00F95D07">
            <w:pPr>
              <w:pStyle w:val="Tablebody"/>
              <w:rPr>
                <w:lang w:eastAsia="de-DE"/>
              </w:rPr>
            </w:pPr>
            <w:r w:rsidRPr="009D3012">
              <w:rPr>
                <w:lang w:eastAsia="de-DE"/>
              </w:rPr>
              <w:t>8.4.2</w:t>
            </w:r>
          </w:p>
        </w:tc>
      </w:tr>
      <w:tr w:rsidR="00F95D07" w:rsidRPr="001455DC" w14:paraId="465B9F26" w14:textId="21C261A5" w:rsidTr="0066200C">
        <w:trPr>
          <w:cantSplit/>
        </w:trPr>
        <w:tc>
          <w:tcPr>
            <w:tcW w:w="1418" w:type="dxa"/>
            <w:shd w:val="clear" w:color="auto" w:fill="auto"/>
          </w:tcPr>
          <w:p w14:paraId="3D3DCC2E" w14:textId="77777777" w:rsidR="00F95D07" w:rsidRPr="001455DC" w:rsidRDefault="00F95D07" w:rsidP="00F95D07">
            <w:pPr>
              <w:pStyle w:val="Tablebody"/>
              <w:rPr>
                <w:lang w:eastAsia="de-DE"/>
              </w:rPr>
            </w:pPr>
            <w:r w:rsidRPr="001455DC">
              <w:rPr>
                <w:rStyle w:val="CCMCvariableitalic"/>
              </w:rPr>
              <w:t>d</w:t>
            </w:r>
            <w:r w:rsidRPr="001455DC">
              <w:rPr>
                <w:rStyle w:val="CCMCvariablesubscript"/>
              </w:rPr>
              <w:t>v,out</w:t>
            </w:r>
          </w:p>
        </w:tc>
        <w:tc>
          <w:tcPr>
            <w:tcW w:w="6548" w:type="dxa"/>
            <w:shd w:val="clear" w:color="auto" w:fill="auto"/>
          </w:tcPr>
          <w:p w14:paraId="06CECB58" w14:textId="77777777" w:rsidR="00F95D07" w:rsidRPr="001455DC" w:rsidRDefault="00F95D07" w:rsidP="000250B6">
            <w:pPr>
              <w:pStyle w:val="Tablebody"/>
              <w:jc w:val="left"/>
              <w:rPr>
                <w:lang w:eastAsia="de-DE"/>
              </w:rPr>
            </w:pPr>
            <w:r w:rsidRPr="001455DC">
              <w:rPr>
                <w:rStyle w:val="CCMCvariableitalic"/>
              </w:rPr>
              <w:t>d</w:t>
            </w:r>
            <w:r w:rsidRPr="001455DC">
              <w:rPr>
                <w:rStyle w:val="CCMCvariablesubscript"/>
              </w:rPr>
              <w:t>v</w:t>
            </w:r>
            <w:r w:rsidRPr="001455DC">
              <w:rPr>
                <w:lang w:eastAsia="de-DE"/>
              </w:rPr>
              <w:t xml:space="preserve"> outside the shear reinforced area</w:t>
            </w:r>
          </w:p>
        </w:tc>
        <w:tc>
          <w:tcPr>
            <w:tcW w:w="1984" w:type="dxa"/>
          </w:tcPr>
          <w:p w14:paraId="3928A89F" w14:textId="7CBB3E0F" w:rsidR="00F95D07" w:rsidRPr="001455DC" w:rsidRDefault="00F95D07" w:rsidP="00F95D07">
            <w:pPr>
              <w:pStyle w:val="Tablebody"/>
              <w:rPr>
                <w:rStyle w:val="CCMCvariableitalic"/>
              </w:rPr>
            </w:pPr>
            <w:r w:rsidRPr="009D3012">
              <w:rPr>
                <w:lang w:eastAsia="de-DE"/>
              </w:rPr>
              <w:t>8.4.2(1)</w:t>
            </w:r>
          </w:p>
        </w:tc>
      </w:tr>
      <w:tr w:rsidR="00F95D07" w:rsidRPr="001455DC" w14:paraId="77B8AEE7" w14:textId="67D99FA5" w:rsidTr="0066200C">
        <w:trPr>
          <w:cantSplit/>
        </w:trPr>
        <w:tc>
          <w:tcPr>
            <w:tcW w:w="1418" w:type="dxa"/>
            <w:shd w:val="clear" w:color="auto" w:fill="auto"/>
          </w:tcPr>
          <w:p w14:paraId="43F546C7" w14:textId="77777777" w:rsidR="00F95D07" w:rsidRPr="009D3012" w:rsidRDefault="00F95D07" w:rsidP="00F95D07">
            <w:pPr>
              <w:pStyle w:val="Tablebody"/>
              <w:rPr>
                <w:rStyle w:val="CCMCvariableitalic"/>
              </w:rPr>
            </w:pPr>
            <w:r w:rsidRPr="001455DC">
              <w:rPr>
                <w:rStyle w:val="CCMCvariableitalic"/>
              </w:rPr>
              <w:t>d</w:t>
            </w:r>
            <w:r w:rsidRPr="001455DC">
              <w:rPr>
                <w:rStyle w:val="CCMCvariablesubscript"/>
              </w:rPr>
              <w:t>x</w:t>
            </w:r>
            <w:r w:rsidRPr="001455DC">
              <w:rPr>
                <w:lang w:eastAsia="de-DE"/>
              </w:rPr>
              <w:t xml:space="preserve">, </w:t>
            </w:r>
            <w:r w:rsidRPr="001455DC">
              <w:rPr>
                <w:rStyle w:val="CCMCvariableitalic"/>
              </w:rPr>
              <w:t>d</w:t>
            </w:r>
            <w:r w:rsidRPr="001455DC">
              <w:rPr>
                <w:rStyle w:val="CCMCvariablesubscript"/>
              </w:rPr>
              <w:t>y</w:t>
            </w:r>
          </w:p>
        </w:tc>
        <w:tc>
          <w:tcPr>
            <w:tcW w:w="6548" w:type="dxa"/>
            <w:shd w:val="clear" w:color="auto" w:fill="auto"/>
          </w:tcPr>
          <w:p w14:paraId="33A90F32" w14:textId="77777777" w:rsidR="00F95D07" w:rsidRPr="001455DC" w:rsidRDefault="00F95D07" w:rsidP="000250B6">
            <w:pPr>
              <w:pStyle w:val="Tablebody"/>
              <w:jc w:val="left"/>
              <w:rPr>
                <w:rStyle w:val="CCMCvariableitalic"/>
              </w:rPr>
            </w:pPr>
            <w:r w:rsidRPr="009D3012">
              <w:rPr>
                <w:lang w:eastAsia="de-DE"/>
              </w:rPr>
              <w:t xml:space="preserve">Effective depth of the reinforcement in </w:t>
            </w:r>
            <w:r w:rsidRPr="001455DC">
              <w:rPr>
                <w:rStyle w:val="CCMCvariableitalic"/>
              </w:rPr>
              <w:t>x</w:t>
            </w:r>
            <w:r w:rsidRPr="001455DC">
              <w:rPr>
                <w:lang w:eastAsia="de-DE"/>
              </w:rPr>
              <w:t xml:space="preserve"> and </w:t>
            </w:r>
            <w:r w:rsidRPr="001455DC">
              <w:rPr>
                <w:rStyle w:val="CCMCvariableitalic"/>
              </w:rPr>
              <w:t>y</w:t>
            </w:r>
            <w:r w:rsidRPr="001455DC">
              <w:rPr>
                <w:lang w:eastAsia="de-DE"/>
              </w:rPr>
              <w:t xml:space="preserve"> direction, respectively</w:t>
            </w:r>
          </w:p>
        </w:tc>
        <w:tc>
          <w:tcPr>
            <w:tcW w:w="1984" w:type="dxa"/>
          </w:tcPr>
          <w:p w14:paraId="22CE6C83" w14:textId="3648C0A2" w:rsidR="00F95D07" w:rsidRPr="001455DC" w:rsidRDefault="00F95D07" w:rsidP="00F95D07">
            <w:pPr>
              <w:pStyle w:val="Tablebody"/>
              <w:rPr>
                <w:lang w:eastAsia="de-DE"/>
              </w:rPr>
            </w:pPr>
            <w:r w:rsidRPr="009D3012">
              <w:rPr>
                <w:lang w:eastAsia="de-DE"/>
              </w:rPr>
              <w:t>8.2.1(5)</w:t>
            </w:r>
          </w:p>
        </w:tc>
      </w:tr>
      <w:tr w:rsidR="00F95D07" w:rsidRPr="001455DC" w14:paraId="146E5E75" w14:textId="6425A2D2" w:rsidTr="0066200C">
        <w:trPr>
          <w:cantSplit/>
        </w:trPr>
        <w:tc>
          <w:tcPr>
            <w:tcW w:w="1418" w:type="dxa"/>
            <w:shd w:val="clear" w:color="auto" w:fill="auto"/>
          </w:tcPr>
          <w:p w14:paraId="031AC789" w14:textId="77777777" w:rsidR="00F95D07" w:rsidRPr="001455DC" w:rsidRDefault="00F95D07" w:rsidP="00F95D07">
            <w:pPr>
              <w:pStyle w:val="Tablebody"/>
            </w:pPr>
            <w:r w:rsidRPr="001455DC">
              <w:rPr>
                <w:rStyle w:val="CCMCvariableitalic"/>
              </w:rPr>
              <w:t>e</w:t>
            </w:r>
          </w:p>
        </w:tc>
        <w:tc>
          <w:tcPr>
            <w:tcW w:w="6548" w:type="dxa"/>
            <w:shd w:val="clear" w:color="auto" w:fill="auto"/>
          </w:tcPr>
          <w:p w14:paraId="356590BC" w14:textId="77777777" w:rsidR="00F95D07" w:rsidRPr="001455DC" w:rsidRDefault="00F95D07" w:rsidP="000250B6">
            <w:pPr>
              <w:pStyle w:val="Tablebody"/>
              <w:jc w:val="left"/>
              <w:rPr>
                <w:rStyle w:val="CCMCvariableitalic"/>
              </w:rPr>
            </w:pPr>
            <w:r w:rsidRPr="009D3012">
              <w:rPr>
                <w:lang w:eastAsia="de-DE"/>
              </w:rPr>
              <w:t>Eccentricity</w:t>
            </w:r>
          </w:p>
        </w:tc>
        <w:tc>
          <w:tcPr>
            <w:tcW w:w="1984" w:type="dxa"/>
          </w:tcPr>
          <w:p w14:paraId="12E44C33" w14:textId="77777777" w:rsidR="00F95D07" w:rsidRPr="001455DC" w:rsidRDefault="00F95D07" w:rsidP="00F95D07">
            <w:pPr>
              <w:pStyle w:val="Tablebody"/>
              <w:rPr>
                <w:lang w:eastAsia="de-DE"/>
              </w:rPr>
            </w:pPr>
          </w:p>
        </w:tc>
      </w:tr>
      <w:tr w:rsidR="00F95D07" w:rsidRPr="001455DC" w14:paraId="3F01053A" w14:textId="5B4C084F" w:rsidTr="0066200C">
        <w:trPr>
          <w:cantSplit/>
        </w:trPr>
        <w:tc>
          <w:tcPr>
            <w:tcW w:w="1418" w:type="dxa"/>
            <w:shd w:val="clear" w:color="auto" w:fill="auto"/>
          </w:tcPr>
          <w:p w14:paraId="692A7708" w14:textId="77777777" w:rsidR="00F95D07" w:rsidRPr="009D3012" w:rsidRDefault="00F95D07" w:rsidP="00F95D07">
            <w:pPr>
              <w:pStyle w:val="Tablebody"/>
              <w:rPr>
                <w:rStyle w:val="CCMCvariablesubscript"/>
              </w:rPr>
            </w:pPr>
            <w:r w:rsidRPr="001455DC">
              <w:rPr>
                <w:rStyle w:val="CCMCvariableitalic"/>
              </w:rPr>
              <w:t>e</w:t>
            </w:r>
            <w:r w:rsidRPr="001455DC">
              <w:rPr>
                <w:rStyle w:val="CCMCvariablesubscript"/>
              </w:rPr>
              <w:t>0</w:t>
            </w:r>
          </w:p>
        </w:tc>
        <w:tc>
          <w:tcPr>
            <w:tcW w:w="6548" w:type="dxa"/>
            <w:shd w:val="clear" w:color="auto" w:fill="auto"/>
          </w:tcPr>
          <w:p w14:paraId="1D256784" w14:textId="77777777" w:rsidR="00F95D07" w:rsidRPr="001455DC" w:rsidRDefault="00F95D07" w:rsidP="000250B6">
            <w:pPr>
              <w:pStyle w:val="Tablebody"/>
              <w:jc w:val="left"/>
              <w:rPr>
                <w:lang w:eastAsia="de-DE"/>
              </w:rPr>
            </w:pPr>
            <w:r w:rsidRPr="001455DC">
              <w:t>First order eccentricity</w:t>
            </w:r>
          </w:p>
        </w:tc>
        <w:tc>
          <w:tcPr>
            <w:tcW w:w="1984" w:type="dxa"/>
          </w:tcPr>
          <w:p w14:paraId="0EE798FE" w14:textId="2012D202" w:rsidR="00F95D07" w:rsidRPr="001455DC" w:rsidRDefault="00F95D07" w:rsidP="00F95D07">
            <w:pPr>
              <w:pStyle w:val="Tablebody"/>
            </w:pPr>
            <w:r w:rsidRPr="009D3012">
              <w:rPr>
                <w:lang w:eastAsia="de-DE"/>
              </w:rPr>
              <w:t>14.4.5.2(1)</w:t>
            </w:r>
          </w:p>
        </w:tc>
      </w:tr>
      <w:tr w:rsidR="00F95D07" w:rsidRPr="001455DC" w14:paraId="25666F16" w14:textId="65E4F707" w:rsidTr="0066200C">
        <w:trPr>
          <w:cantSplit/>
        </w:trPr>
        <w:tc>
          <w:tcPr>
            <w:tcW w:w="1418" w:type="dxa"/>
            <w:shd w:val="clear" w:color="auto" w:fill="auto"/>
          </w:tcPr>
          <w:p w14:paraId="2532467B" w14:textId="77777777" w:rsidR="00F95D07" w:rsidRPr="009D3012" w:rsidRDefault="00F95D07" w:rsidP="00F95D07">
            <w:pPr>
              <w:pStyle w:val="Tablebody"/>
              <w:rPr>
                <w:rStyle w:val="CCMCvariableitalic"/>
              </w:rPr>
            </w:pPr>
            <w:r w:rsidRPr="001455DC">
              <w:rPr>
                <w:rStyle w:val="CCMCvariableitalic"/>
              </w:rPr>
              <w:t>e</w:t>
            </w:r>
            <w:r w:rsidRPr="001455DC">
              <w:rPr>
                <w:rStyle w:val="CCMCvariablesubscript"/>
              </w:rPr>
              <w:t>2</w:t>
            </w:r>
          </w:p>
        </w:tc>
        <w:tc>
          <w:tcPr>
            <w:tcW w:w="6548" w:type="dxa"/>
            <w:shd w:val="clear" w:color="auto" w:fill="auto"/>
          </w:tcPr>
          <w:p w14:paraId="14C6B04E" w14:textId="77777777" w:rsidR="00F95D07" w:rsidRPr="001455DC" w:rsidRDefault="00F95D07" w:rsidP="000250B6">
            <w:pPr>
              <w:pStyle w:val="Tablebody"/>
              <w:jc w:val="left"/>
            </w:pPr>
            <w:r w:rsidRPr="001455DC">
              <w:t>Second order eccentricity</w:t>
            </w:r>
          </w:p>
        </w:tc>
        <w:tc>
          <w:tcPr>
            <w:tcW w:w="1984" w:type="dxa"/>
          </w:tcPr>
          <w:p w14:paraId="1BE5AE92" w14:textId="0D0F5153" w:rsidR="00F95D07" w:rsidRPr="001455DC" w:rsidRDefault="00F95D07" w:rsidP="00F95D07">
            <w:pPr>
              <w:pStyle w:val="Tablebody"/>
            </w:pPr>
            <w:r w:rsidRPr="009D3012">
              <w:rPr>
                <w:lang w:eastAsia="de-DE"/>
              </w:rPr>
              <w:t>O.7.2(3)</w:t>
            </w:r>
          </w:p>
        </w:tc>
      </w:tr>
      <w:tr w:rsidR="00F95D07" w:rsidRPr="001455DC" w14:paraId="07996879" w14:textId="5566E783" w:rsidTr="0066200C">
        <w:trPr>
          <w:cantSplit/>
        </w:trPr>
        <w:tc>
          <w:tcPr>
            <w:tcW w:w="1418" w:type="dxa"/>
            <w:shd w:val="clear" w:color="auto" w:fill="auto"/>
          </w:tcPr>
          <w:p w14:paraId="65C07528" w14:textId="77777777" w:rsidR="00F95D07" w:rsidRPr="009D3012" w:rsidRDefault="00F95D07" w:rsidP="00F95D07">
            <w:pPr>
              <w:pStyle w:val="Tablebody"/>
              <w:rPr>
                <w:rStyle w:val="CCMCvariableitalic"/>
              </w:rPr>
            </w:pPr>
            <w:r w:rsidRPr="001455DC">
              <w:rPr>
                <w:rStyle w:val="CCMCvariableitalic"/>
              </w:rPr>
              <w:t>e</w:t>
            </w:r>
            <w:r w:rsidRPr="001455DC">
              <w:rPr>
                <w:rStyle w:val="CCMCvariablesubscript"/>
              </w:rPr>
              <w:t>b</w:t>
            </w:r>
          </w:p>
        </w:tc>
        <w:tc>
          <w:tcPr>
            <w:tcW w:w="6548" w:type="dxa"/>
            <w:shd w:val="clear" w:color="auto" w:fill="auto"/>
          </w:tcPr>
          <w:p w14:paraId="235B7B64" w14:textId="77777777" w:rsidR="00F95D07" w:rsidRPr="001455DC" w:rsidRDefault="00F95D07" w:rsidP="000250B6">
            <w:pPr>
              <w:pStyle w:val="Tablebody"/>
              <w:jc w:val="left"/>
            </w:pPr>
            <w:r w:rsidRPr="001455DC">
              <w:t>Eccentricity of the resultant of shear forces with respect to the centroid of the control perimeter</w:t>
            </w:r>
          </w:p>
        </w:tc>
        <w:tc>
          <w:tcPr>
            <w:tcW w:w="1984" w:type="dxa"/>
          </w:tcPr>
          <w:p w14:paraId="67CC6993" w14:textId="1FAF9247" w:rsidR="00F95D07" w:rsidRPr="001455DC" w:rsidRDefault="00F95D07" w:rsidP="00F95D07">
            <w:pPr>
              <w:pStyle w:val="Tablebody"/>
            </w:pPr>
            <w:r w:rsidRPr="009D3012">
              <w:rPr>
                <w:lang w:eastAsia="de-DE"/>
              </w:rPr>
              <w:t>8.4.2(8), Figure 8.21</w:t>
            </w:r>
          </w:p>
        </w:tc>
      </w:tr>
      <w:tr w:rsidR="00F95D07" w:rsidRPr="001455DC" w14:paraId="437B6FC8" w14:textId="27FB1634" w:rsidTr="0066200C">
        <w:trPr>
          <w:cantSplit/>
        </w:trPr>
        <w:tc>
          <w:tcPr>
            <w:tcW w:w="1418" w:type="dxa"/>
            <w:shd w:val="clear" w:color="auto" w:fill="auto"/>
          </w:tcPr>
          <w:p w14:paraId="2349A5D4" w14:textId="77777777" w:rsidR="00F95D07" w:rsidRPr="009D3012" w:rsidRDefault="00F95D07" w:rsidP="00F95D07">
            <w:pPr>
              <w:pStyle w:val="Tablebody"/>
              <w:rPr>
                <w:rStyle w:val="CCMCvariableitalic"/>
              </w:rPr>
            </w:pPr>
            <w:r w:rsidRPr="001455DC">
              <w:rPr>
                <w:rStyle w:val="CCMCvariableitalic"/>
              </w:rPr>
              <w:t>e</w:t>
            </w:r>
            <w:r w:rsidRPr="001455DC">
              <w:rPr>
                <w:rStyle w:val="CCMCvariablesubscript"/>
              </w:rPr>
              <w:t>b,x</w:t>
            </w:r>
            <w:r w:rsidRPr="001455DC">
              <w:t xml:space="preserve">, </w:t>
            </w:r>
            <w:r w:rsidRPr="001455DC">
              <w:rPr>
                <w:rStyle w:val="CCMCvariableitalic"/>
              </w:rPr>
              <w:t>e</w:t>
            </w:r>
            <w:r w:rsidRPr="001455DC">
              <w:rPr>
                <w:rStyle w:val="CCMCvariablesubscript"/>
              </w:rPr>
              <w:t>b,y</w:t>
            </w:r>
          </w:p>
        </w:tc>
        <w:tc>
          <w:tcPr>
            <w:tcW w:w="6548" w:type="dxa"/>
            <w:shd w:val="clear" w:color="auto" w:fill="auto"/>
          </w:tcPr>
          <w:p w14:paraId="5B6B6E83" w14:textId="77777777" w:rsidR="00F95D07" w:rsidRPr="001455DC" w:rsidRDefault="00F95D07" w:rsidP="000250B6">
            <w:pPr>
              <w:pStyle w:val="Tablebody"/>
              <w:jc w:val="left"/>
            </w:pPr>
            <w:r w:rsidRPr="001455DC">
              <w:t xml:space="preserve">Components of </w:t>
            </w:r>
            <w:r w:rsidRPr="001455DC">
              <w:rPr>
                <w:rStyle w:val="CCMCvariableitalic"/>
              </w:rPr>
              <w:t>e</w:t>
            </w:r>
            <w:r w:rsidRPr="001455DC">
              <w:rPr>
                <w:rStyle w:val="CCMCvariablesubscript"/>
              </w:rPr>
              <w:t>b</w:t>
            </w:r>
            <w:r w:rsidRPr="001455DC">
              <w:t xml:space="preserve"> in </w:t>
            </w:r>
            <w:r w:rsidRPr="001455DC">
              <w:rPr>
                <w:rStyle w:val="CCMCvariableitalic"/>
              </w:rPr>
              <w:t>x</w:t>
            </w:r>
            <w:r w:rsidRPr="001455DC">
              <w:t xml:space="preserve"> and </w:t>
            </w:r>
            <w:r w:rsidRPr="001455DC">
              <w:rPr>
                <w:rStyle w:val="CCMCvariableitalic"/>
              </w:rPr>
              <w:t>y</w:t>
            </w:r>
            <w:r w:rsidRPr="001455DC">
              <w:t xml:space="preserve"> direction, respectively</w:t>
            </w:r>
          </w:p>
        </w:tc>
        <w:tc>
          <w:tcPr>
            <w:tcW w:w="1984" w:type="dxa"/>
          </w:tcPr>
          <w:p w14:paraId="668F8EA6" w14:textId="2D8B7F51" w:rsidR="00F95D07" w:rsidRPr="001455DC" w:rsidRDefault="00F95D07" w:rsidP="00F95D07">
            <w:pPr>
              <w:pStyle w:val="Tablebody"/>
            </w:pPr>
            <w:r w:rsidRPr="009D3012">
              <w:rPr>
                <w:lang w:eastAsia="de-DE"/>
              </w:rPr>
              <w:t>Figure 8.21</w:t>
            </w:r>
          </w:p>
        </w:tc>
      </w:tr>
      <w:tr w:rsidR="00F95D07" w:rsidRPr="001455DC" w14:paraId="754F7E5C" w14:textId="2C605444" w:rsidTr="0066200C">
        <w:trPr>
          <w:cantSplit/>
        </w:trPr>
        <w:tc>
          <w:tcPr>
            <w:tcW w:w="1418" w:type="dxa"/>
            <w:shd w:val="clear" w:color="auto" w:fill="auto"/>
          </w:tcPr>
          <w:p w14:paraId="717C1D7A" w14:textId="77777777" w:rsidR="00F95D07" w:rsidRPr="009D3012" w:rsidRDefault="00F95D07" w:rsidP="00F95D07">
            <w:pPr>
              <w:pStyle w:val="Tablebody"/>
              <w:rPr>
                <w:rStyle w:val="CCMCvariableitalic"/>
              </w:rPr>
            </w:pPr>
            <w:r w:rsidRPr="001455DC">
              <w:rPr>
                <w:rStyle w:val="CCMCvariableitalic"/>
              </w:rPr>
              <w:t>e</w:t>
            </w:r>
            <w:r w:rsidRPr="001455DC">
              <w:rPr>
                <w:rStyle w:val="CCMCvariablesubscript"/>
              </w:rPr>
              <w:t>d,min</w:t>
            </w:r>
          </w:p>
        </w:tc>
        <w:tc>
          <w:tcPr>
            <w:tcW w:w="6548" w:type="dxa"/>
            <w:shd w:val="clear" w:color="auto" w:fill="auto"/>
          </w:tcPr>
          <w:p w14:paraId="4183B8A6" w14:textId="77777777" w:rsidR="00F95D07" w:rsidRPr="001455DC" w:rsidRDefault="00F95D07" w:rsidP="000250B6">
            <w:pPr>
              <w:pStyle w:val="Tablebody"/>
              <w:jc w:val="left"/>
            </w:pPr>
            <w:r w:rsidRPr="001455DC">
              <w:t>Minimum eccentricity due to uncertainties related to modelling and analysis</w:t>
            </w:r>
          </w:p>
        </w:tc>
        <w:tc>
          <w:tcPr>
            <w:tcW w:w="1984" w:type="dxa"/>
          </w:tcPr>
          <w:p w14:paraId="068D8601" w14:textId="5BA011E1" w:rsidR="00F95D07" w:rsidRPr="001455DC" w:rsidRDefault="00F95D07" w:rsidP="00F95D07">
            <w:pPr>
              <w:pStyle w:val="Tablebody"/>
            </w:pPr>
            <w:r w:rsidRPr="009D3012">
              <w:rPr>
                <w:lang w:eastAsia="de-DE"/>
              </w:rPr>
              <w:t>8.1.1(5)</w:t>
            </w:r>
          </w:p>
        </w:tc>
      </w:tr>
      <w:tr w:rsidR="00F95D07" w:rsidRPr="001455DC" w14:paraId="14BA0889" w14:textId="7E5A8AE8" w:rsidTr="0066200C">
        <w:trPr>
          <w:cantSplit/>
        </w:trPr>
        <w:tc>
          <w:tcPr>
            <w:tcW w:w="1418" w:type="dxa"/>
            <w:shd w:val="clear" w:color="auto" w:fill="auto"/>
          </w:tcPr>
          <w:p w14:paraId="05AF8942" w14:textId="77777777" w:rsidR="00F95D07" w:rsidRPr="009D3012" w:rsidRDefault="00F95D07" w:rsidP="00F95D07">
            <w:pPr>
              <w:pStyle w:val="Tablebody"/>
              <w:rPr>
                <w:rStyle w:val="CCMCvariablesubscript"/>
              </w:rPr>
            </w:pPr>
            <w:r w:rsidRPr="001455DC">
              <w:rPr>
                <w:rStyle w:val="CCMCvariableitalic"/>
              </w:rPr>
              <w:t>e</w:t>
            </w:r>
            <w:r w:rsidRPr="001455DC">
              <w:rPr>
                <w:rStyle w:val="CCMCvariablesubscript"/>
              </w:rPr>
              <w:t>i</w:t>
            </w:r>
          </w:p>
        </w:tc>
        <w:tc>
          <w:tcPr>
            <w:tcW w:w="6548" w:type="dxa"/>
            <w:shd w:val="clear" w:color="auto" w:fill="auto"/>
          </w:tcPr>
          <w:p w14:paraId="3A3169F1" w14:textId="77777777" w:rsidR="00F95D07" w:rsidRPr="001455DC" w:rsidRDefault="00F95D07" w:rsidP="000250B6">
            <w:pPr>
              <w:pStyle w:val="Tablebody"/>
              <w:jc w:val="left"/>
            </w:pPr>
            <w:r w:rsidRPr="001455DC">
              <w:t>Additional eccentricity covering the effects of geometrical imperfections</w:t>
            </w:r>
          </w:p>
        </w:tc>
        <w:tc>
          <w:tcPr>
            <w:tcW w:w="1984" w:type="dxa"/>
          </w:tcPr>
          <w:p w14:paraId="728FEF79" w14:textId="26DABB35" w:rsidR="00F95D07" w:rsidRPr="001455DC" w:rsidRDefault="00F95D07" w:rsidP="00F95D07">
            <w:pPr>
              <w:pStyle w:val="Tablebody"/>
            </w:pPr>
            <w:r w:rsidRPr="009D3012">
              <w:rPr>
                <w:lang w:eastAsia="de-DE"/>
              </w:rPr>
              <w:t>14.4.5.2(1)</w:t>
            </w:r>
          </w:p>
        </w:tc>
      </w:tr>
      <w:tr w:rsidR="00F95D07" w:rsidRPr="001455DC" w14:paraId="506AE3D2" w14:textId="16E2E547" w:rsidTr="0066200C">
        <w:trPr>
          <w:cantSplit/>
        </w:trPr>
        <w:tc>
          <w:tcPr>
            <w:tcW w:w="1418" w:type="dxa"/>
            <w:shd w:val="clear" w:color="auto" w:fill="auto"/>
          </w:tcPr>
          <w:p w14:paraId="3FE63C46" w14:textId="77777777" w:rsidR="00F95D07" w:rsidRPr="009D3012" w:rsidRDefault="00F95D07" w:rsidP="00F95D07">
            <w:pPr>
              <w:pStyle w:val="Tablebody"/>
              <w:rPr>
                <w:rStyle w:val="CCMCvariableitalic"/>
              </w:rPr>
            </w:pPr>
            <w:r w:rsidRPr="001455DC">
              <w:rPr>
                <w:rStyle w:val="CCMCvariableitalic"/>
              </w:rPr>
              <w:t>e</w:t>
            </w:r>
            <w:r w:rsidRPr="001455DC">
              <w:rPr>
                <w:rStyle w:val="CCMCvariablesubscript"/>
              </w:rPr>
              <w:t>p</w:t>
            </w:r>
          </w:p>
        </w:tc>
        <w:tc>
          <w:tcPr>
            <w:tcW w:w="6548" w:type="dxa"/>
            <w:shd w:val="clear" w:color="auto" w:fill="auto"/>
          </w:tcPr>
          <w:p w14:paraId="7EA30E5C" w14:textId="77777777" w:rsidR="00F95D07" w:rsidRPr="001455DC" w:rsidRDefault="00F95D07" w:rsidP="000250B6">
            <w:pPr>
              <w:pStyle w:val="Tablebody"/>
              <w:jc w:val="left"/>
            </w:pPr>
            <w:r w:rsidRPr="001455DC">
              <w:t>Eccentricity of the normal forces related to the centroid of the section at control section, positive when the eccentricity is on the side of the flexural reinforcement in tension</w:t>
            </w:r>
          </w:p>
        </w:tc>
        <w:tc>
          <w:tcPr>
            <w:tcW w:w="1984" w:type="dxa"/>
          </w:tcPr>
          <w:p w14:paraId="304CAB42" w14:textId="77777777" w:rsidR="00F95D07" w:rsidRPr="009D3012" w:rsidRDefault="00F95D07" w:rsidP="00F95D07">
            <w:pPr>
              <w:tabs>
                <w:tab w:val="left" w:pos="-720"/>
              </w:tabs>
              <w:suppressAutoHyphens/>
              <w:spacing w:before="40" w:after="40"/>
              <w:rPr>
                <w:lang w:eastAsia="de-DE"/>
              </w:rPr>
            </w:pPr>
            <w:r w:rsidRPr="009D3012">
              <w:rPr>
                <w:lang w:eastAsia="de-DE"/>
              </w:rPr>
              <w:t>8.2.1(7)</w:t>
            </w:r>
          </w:p>
          <w:p w14:paraId="19829310" w14:textId="77777777" w:rsidR="00F95D07" w:rsidRPr="001455DC" w:rsidRDefault="00F95D07" w:rsidP="00F95D07">
            <w:pPr>
              <w:pStyle w:val="Tablebody"/>
            </w:pPr>
          </w:p>
        </w:tc>
      </w:tr>
      <w:tr w:rsidR="00F95D07" w:rsidRPr="001455DC" w14:paraId="5ED08EF8" w14:textId="41507E1E" w:rsidTr="0066200C">
        <w:trPr>
          <w:cantSplit/>
        </w:trPr>
        <w:tc>
          <w:tcPr>
            <w:tcW w:w="1418" w:type="dxa"/>
            <w:shd w:val="clear" w:color="auto" w:fill="auto"/>
          </w:tcPr>
          <w:p w14:paraId="2FB2C7A1" w14:textId="77777777" w:rsidR="00F95D07" w:rsidRPr="009D3012" w:rsidRDefault="00F95D07" w:rsidP="00F95D07">
            <w:pPr>
              <w:pStyle w:val="Tablebody"/>
              <w:rPr>
                <w:rStyle w:val="CCMCvariablesubscript"/>
              </w:rPr>
            </w:pPr>
            <w:r w:rsidRPr="001455DC">
              <w:rPr>
                <w:rStyle w:val="CCMCvariableitalic"/>
              </w:rPr>
              <w:t>e</w:t>
            </w:r>
            <w:r w:rsidRPr="001455DC">
              <w:rPr>
                <w:rStyle w:val="CCMCvariablesubscript"/>
              </w:rPr>
              <w:t>tot</w:t>
            </w:r>
          </w:p>
        </w:tc>
        <w:tc>
          <w:tcPr>
            <w:tcW w:w="6548" w:type="dxa"/>
            <w:shd w:val="clear" w:color="auto" w:fill="auto"/>
          </w:tcPr>
          <w:p w14:paraId="78A14B3E" w14:textId="77777777" w:rsidR="00F95D07" w:rsidRPr="001455DC" w:rsidRDefault="00F95D07" w:rsidP="000250B6">
            <w:pPr>
              <w:pStyle w:val="Tablebody"/>
              <w:jc w:val="left"/>
            </w:pPr>
            <w:r w:rsidRPr="001455DC">
              <w:t>Total eccentricity</w:t>
            </w:r>
          </w:p>
        </w:tc>
        <w:tc>
          <w:tcPr>
            <w:tcW w:w="1984" w:type="dxa"/>
          </w:tcPr>
          <w:p w14:paraId="48030C4E" w14:textId="0852D600" w:rsidR="00F95D07" w:rsidRPr="001455DC" w:rsidRDefault="00F95D07" w:rsidP="00F95D07">
            <w:pPr>
              <w:pStyle w:val="Tablebody"/>
            </w:pPr>
            <w:r w:rsidRPr="009D3012">
              <w:rPr>
                <w:lang w:eastAsia="de-DE"/>
              </w:rPr>
              <w:t>14.4.5.2(1)</w:t>
            </w:r>
          </w:p>
        </w:tc>
      </w:tr>
      <w:tr w:rsidR="00F95D07" w:rsidRPr="001455DC" w14:paraId="2D4B9452" w14:textId="37FBEA26" w:rsidTr="0066200C">
        <w:trPr>
          <w:cantSplit/>
        </w:trPr>
        <w:tc>
          <w:tcPr>
            <w:tcW w:w="1418" w:type="dxa"/>
            <w:shd w:val="clear" w:color="auto" w:fill="auto"/>
          </w:tcPr>
          <w:p w14:paraId="0209AD45" w14:textId="77777777" w:rsidR="00F95D07" w:rsidRPr="009D3012" w:rsidRDefault="00F95D07" w:rsidP="00F95D07">
            <w:pPr>
              <w:pStyle w:val="Tablebody"/>
              <w:rPr>
                <w:rStyle w:val="CCMCvariableitalic"/>
              </w:rPr>
            </w:pPr>
            <w:r w:rsidRPr="001455DC">
              <w:rPr>
                <w:rStyle w:val="CCMCvariableitalic"/>
              </w:rPr>
              <w:t>e</w:t>
            </w:r>
            <w:r w:rsidRPr="001455DC">
              <w:rPr>
                <w:rStyle w:val="CCMCvariablesubscript"/>
              </w:rPr>
              <w:t>y</w:t>
            </w:r>
          </w:p>
        </w:tc>
        <w:tc>
          <w:tcPr>
            <w:tcW w:w="6548" w:type="dxa"/>
            <w:shd w:val="clear" w:color="auto" w:fill="auto"/>
          </w:tcPr>
          <w:p w14:paraId="4848D621" w14:textId="77777777" w:rsidR="00F95D07" w:rsidRPr="001455DC" w:rsidRDefault="00F95D07" w:rsidP="000250B6">
            <w:pPr>
              <w:pStyle w:val="Tablebody"/>
              <w:jc w:val="left"/>
            </w:pPr>
            <w:r w:rsidRPr="001455DC">
              <w:t xml:space="preserve">Eccentricity along the </w:t>
            </w:r>
            <w:r w:rsidRPr="001455DC">
              <w:rPr>
                <w:rStyle w:val="CCMCvariableitalic"/>
              </w:rPr>
              <w:t>y</w:t>
            </w:r>
            <w:r w:rsidRPr="001455DC">
              <w:t>-axis</w:t>
            </w:r>
          </w:p>
        </w:tc>
        <w:tc>
          <w:tcPr>
            <w:tcW w:w="1984" w:type="dxa"/>
          </w:tcPr>
          <w:p w14:paraId="5652772A" w14:textId="6CE87B5D" w:rsidR="00F95D07" w:rsidRPr="001455DC" w:rsidRDefault="00F95D07" w:rsidP="00F95D07">
            <w:pPr>
              <w:pStyle w:val="Tablebody"/>
            </w:pPr>
            <w:r w:rsidRPr="009D3012">
              <w:rPr>
                <w:lang w:eastAsia="de-DE"/>
              </w:rPr>
              <w:t>7.8.4(4)</w:t>
            </w:r>
          </w:p>
        </w:tc>
      </w:tr>
      <w:tr w:rsidR="00F95D07" w:rsidRPr="001455DC" w14:paraId="523D6590" w14:textId="34B26B69" w:rsidTr="0066200C">
        <w:trPr>
          <w:cantSplit/>
        </w:trPr>
        <w:tc>
          <w:tcPr>
            <w:tcW w:w="1418" w:type="dxa"/>
            <w:shd w:val="clear" w:color="auto" w:fill="auto"/>
          </w:tcPr>
          <w:p w14:paraId="4785E096" w14:textId="77777777" w:rsidR="00F95D07" w:rsidRPr="009D3012" w:rsidRDefault="00F95D07" w:rsidP="00F95D07">
            <w:pPr>
              <w:pStyle w:val="Tablebody"/>
              <w:rPr>
                <w:rStyle w:val="CCMCvariableitalic"/>
              </w:rPr>
            </w:pPr>
            <w:r w:rsidRPr="001455DC">
              <w:rPr>
                <w:rStyle w:val="CCMCvariableitalic"/>
              </w:rPr>
              <w:t>e</w:t>
            </w:r>
            <w:r w:rsidRPr="001455DC">
              <w:rPr>
                <w:rStyle w:val="CCMCvariablesubscript"/>
              </w:rPr>
              <w:t>z</w:t>
            </w:r>
          </w:p>
        </w:tc>
        <w:tc>
          <w:tcPr>
            <w:tcW w:w="6548" w:type="dxa"/>
            <w:shd w:val="clear" w:color="auto" w:fill="auto"/>
          </w:tcPr>
          <w:p w14:paraId="7605A950" w14:textId="77777777" w:rsidR="00F95D07" w:rsidRPr="001455DC" w:rsidRDefault="00F95D07" w:rsidP="000250B6">
            <w:pPr>
              <w:pStyle w:val="Tablebody"/>
              <w:jc w:val="left"/>
            </w:pPr>
            <w:r w:rsidRPr="001455DC">
              <w:t xml:space="preserve">Eccentricity along the </w:t>
            </w:r>
            <w:r w:rsidRPr="001455DC">
              <w:rPr>
                <w:rStyle w:val="CCMCvariableitalic"/>
              </w:rPr>
              <w:t>z</w:t>
            </w:r>
            <w:r w:rsidRPr="001455DC">
              <w:t>-axis</w:t>
            </w:r>
          </w:p>
        </w:tc>
        <w:tc>
          <w:tcPr>
            <w:tcW w:w="1984" w:type="dxa"/>
          </w:tcPr>
          <w:p w14:paraId="3BCF7D3A" w14:textId="2DD195EC" w:rsidR="00F95D07" w:rsidRPr="001455DC" w:rsidRDefault="00F95D07" w:rsidP="00F95D07">
            <w:pPr>
              <w:pStyle w:val="Tablebody"/>
            </w:pPr>
            <w:r w:rsidRPr="009D3012">
              <w:rPr>
                <w:lang w:eastAsia="de-DE"/>
              </w:rPr>
              <w:t>7.8.4(4)</w:t>
            </w:r>
          </w:p>
        </w:tc>
      </w:tr>
      <w:tr w:rsidR="00F95D07" w:rsidRPr="001455DC" w14:paraId="139579BE" w14:textId="2203EAFF" w:rsidTr="0066200C">
        <w:trPr>
          <w:cantSplit/>
        </w:trPr>
        <w:tc>
          <w:tcPr>
            <w:tcW w:w="1418" w:type="dxa"/>
            <w:shd w:val="clear" w:color="auto" w:fill="auto"/>
          </w:tcPr>
          <w:p w14:paraId="186E16C3" w14:textId="77777777" w:rsidR="00F95D07" w:rsidRPr="009D3012" w:rsidRDefault="00F95D07" w:rsidP="00F95D07">
            <w:pPr>
              <w:pStyle w:val="Tablebody"/>
              <w:rPr>
                <w:rStyle w:val="CCMCvariableitalic"/>
              </w:rPr>
            </w:pPr>
            <w:r w:rsidRPr="001455DC">
              <w:rPr>
                <w:rStyle w:val="CCMCvariableitalic"/>
              </w:rPr>
              <w:t>e</w:t>
            </w:r>
            <w:r w:rsidRPr="001455DC">
              <w:rPr>
                <w:rStyle w:val="CCMCvariablesubscript"/>
              </w:rPr>
              <w:t>φ</w:t>
            </w:r>
          </w:p>
        </w:tc>
        <w:tc>
          <w:tcPr>
            <w:tcW w:w="6548" w:type="dxa"/>
            <w:shd w:val="clear" w:color="auto" w:fill="auto"/>
          </w:tcPr>
          <w:p w14:paraId="526BFB53" w14:textId="77777777" w:rsidR="00F95D07" w:rsidRPr="001455DC" w:rsidRDefault="00F95D07" w:rsidP="000250B6">
            <w:pPr>
              <w:pStyle w:val="Tablebody"/>
              <w:jc w:val="left"/>
            </w:pPr>
            <w:r w:rsidRPr="001455DC">
              <w:rPr>
                <w:bCs/>
              </w:rPr>
              <w:t>Eccentricity due to creep</w:t>
            </w:r>
          </w:p>
        </w:tc>
        <w:tc>
          <w:tcPr>
            <w:tcW w:w="1984" w:type="dxa"/>
          </w:tcPr>
          <w:p w14:paraId="0B5AF2B6" w14:textId="5C715161" w:rsidR="00F95D07" w:rsidRPr="001455DC" w:rsidRDefault="00F95D07" w:rsidP="00F95D07">
            <w:pPr>
              <w:pStyle w:val="Tablebody"/>
              <w:rPr>
                <w:bCs/>
              </w:rPr>
            </w:pPr>
            <w:r w:rsidRPr="009D3012">
              <w:rPr>
                <w:lang w:eastAsia="de-DE"/>
              </w:rPr>
              <w:t>14.4.5.2(1)</w:t>
            </w:r>
          </w:p>
        </w:tc>
      </w:tr>
      <w:tr w:rsidR="00F95D07" w:rsidRPr="001455DC" w14:paraId="40F42A97" w14:textId="3B1DDAD4" w:rsidTr="0066200C">
        <w:trPr>
          <w:cantSplit/>
        </w:trPr>
        <w:tc>
          <w:tcPr>
            <w:tcW w:w="1418" w:type="dxa"/>
            <w:shd w:val="clear" w:color="auto" w:fill="auto"/>
          </w:tcPr>
          <w:p w14:paraId="686C38A6" w14:textId="77777777" w:rsidR="00F95D07" w:rsidRPr="009D3012" w:rsidRDefault="00F95D07" w:rsidP="00F95D07">
            <w:pPr>
              <w:pStyle w:val="Tablebody"/>
              <w:rPr>
                <w:rStyle w:val="CCMCvariableitalic"/>
              </w:rPr>
            </w:pPr>
            <w:r w:rsidRPr="001455DC">
              <w:rPr>
                <w:rStyle w:val="CCMCvariableitalic"/>
              </w:rPr>
              <w:t>f</w:t>
            </w:r>
            <w:r w:rsidRPr="001455DC">
              <w:rPr>
                <w:rStyle w:val="CCMCvariablesubscript"/>
              </w:rPr>
              <w:t>c</w:t>
            </w:r>
          </w:p>
        </w:tc>
        <w:tc>
          <w:tcPr>
            <w:tcW w:w="6548" w:type="dxa"/>
            <w:shd w:val="clear" w:color="auto" w:fill="auto"/>
          </w:tcPr>
          <w:p w14:paraId="1AC63536" w14:textId="77777777" w:rsidR="00F95D07" w:rsidRPr="001455DC" w:rsidRDefault="00F95D07" w:rsidP="000250B6">
            <w:pPr>
              <w:pStyle w:val="Tablebody"/>
              <w:jc w:val="left"/>
              <w:rPr>
                <w:lang w:eastAsia="de-DE"/>
              </w:rPr>
            </w:pPr>
            <w:r w:rsidRPr="001455DC">
              <w:rPr>
                <w:lang w:eastAsia="de-DE"/>
              </w:rPr>
              <w:t>Compressive strength of concrete</w:t>
            </w:r>
          </w:p>
        </w:tc>
        <w:tc>
          <w:tcPr>
            <w:tcW w:w="1984" w:type="dxa"/>
          </w:tcPr>
          <w:p w14:paraId="0360BF07" w14:textId="77777777" w:rsidR="00F95D07" w:rsidRPr="001455DC" w:rsidRDefault="00F95D07" w:rsidP="00F95D07">
            <w:pPr>
              <w:pStyle w:val="Tablebody"/>
              <w:rPr>
                <w:lang w:eastAsia="de-DE"/>
              </w:rPr>
            </w:pPr>
          </w:p>
        </w:tc>
      </w:tr>
      <w:tr w:rsidR="00F95D07" w:rsidRPr="001455DC" w14:paraId="1A7FBA99" w14:textId="318D1203" w:rsidTr="0066200C">
        <w:trPr>
          <w:cantSplit/>
        </w:trPr>
        <w:tc>
          <w:tcPr>
            <w:tcW w:w="1418" w:type="dxa"/>
            <w:shd w:val="clear" w:color="auto" w:fill="auto"/>
          </w:tcPr>
          <w:p w14:paraId="7212B1C1" w14:textId="77777777" w:rsidR="00F95D07" w:rsidRPr="009D3012" w:rsidRDefault="00F95D07" w:rsidP="00F95D07">
            <w:pPr>
              <w:pStyle w:val="Tablebody"/>
              <w:rPr>
                <w:rStyle w:val="CCMCvariableitalic"/>
              </w:rPr>
            </w:pPr>
            <w:r w:rsidRPr="001455DC">
              <w:rPr>
                <w:rStyle w:val="CCMCvariableitalic"/>
              </w:rPr>
              <w:t>f</w:t>
            </w:r>
            <w:r w:rsidRPr="001455DC">
              <w:rPr>
                <w:rStyle w:val="CCMCvariablesubscript"/>
              </w:rPr>
              <w:t>cd</w:t>
            </w:r>
          </w:p>
        </w:tc>
        <w:tc>
          <w:tcPr>
            <w:tcW w:w="6548" w:type="dxa"/>
            <w:shd w:val="clear" w:color="auto" w:fill="auto"/>
          </w:tcPr>
          <w:p w14:paraId="523A1D37" w14:textId="77777777" w:rsidR="00F95D07" w:rsidRPr="001455DC" w:rsidRDefault="00F95D07" w:rsidP="000250B6">
            <w:pPr>
              <w:pStyle w:val="Tablebody"/>
              <w:jc w:val="left"/>
              <w:rPr>
                <w:lang w:eastAsia="de-DE"/>
              </w:rPr>
            </w:pPr>
            <w:r w:rsidRPr="001455DC">
              <w:rPr>
                <w:lang w:eastAsia="de-DE"/>
              </w:rPr>
              <w:t>Design value of concrete compressive strength</w:t>
            </w:r>
          </w:p>
        </w:tc>
        <w:tc>
          <w:tcPr>
            <w:tcW w:w="1984" w:type="dxa"/>
          </w:tcPr>
          <w:p w14:paraId="0BF8C5D9" w14:textId="024BDD7E" w:rsidR="00F95D07" w:rsidRPr="001455DC" w:rsidRDefault="00F95D07" w:rsidP="00F95D07">
            <w:pPr>
              <w:pStyle w:val="Tablebody"/>
              <w:rPr>
                <w:lang w:eastAsia="de-DE"/>
              </w:rPr>
            </w:pPr>
            <w:r w:rsidRPr="009D3012">
              <w:rPr>
                <w:lang w:eastAsia="de-DE"/>
              </w:rPr>
              <w:t>5.1.6(1)</w:t>
            </w:r>
          </w:p>
        </w:tc>
      </w:tr>
      <w:tr w:rsidR="00F95D07" w:rsidRPr="001455DC" w14:paraId="63F13574" w14:textId="61CAD79E" w:rsidTr="0066200C">
        <w:trPr>
          <w:cantSplit/>
        </w:trPr>
        <w:tc>
          <w:tcPr>
            <w:tcW w:w="1418" w:type="dxa"/>
            <w:shd w:val="clear" w:color="auto" w:fill="auto"/>
          </w:tcPr>
          <w:p w14:paraId="31263D79" w14:textId="77777777" w:rsidR="00F95D07" w:rsidRPr="009D3012" w:rsidRDefault="00F95D07" w:rsidP="00F95D07">
            <w:pPr>
              <w:pStyle w:val="Tablebody"/>
              <w:rPr>
                <w:rStyle w:val="CCMCvariableitalic"/>
              </w:rPr>
            </w:pPr>
            <w:r w:rsidRPr="001455DC">
              <w:rPr>
                <w:rStyle w:val="CCMCvariableitalic"/>
              </w:rPr>
              <w:t>f</w:t>
            </w:r>
            <w:r w:rsidRPr="001455DC">
              <w:rPr>
                <w:rStyle w:val="CCMCvariablesubscript"/>
              </w:rPr>
              <w:t>cd,fat</w:t>
            </w:r>
          </w:p>
        </w:tc>
        <w:tc>
          <w:tcPr>
            <w:tcW w:w="6548" w:type="dxa"/>
            <w:shd w:val="clear" w:color="auto" w:fill="auto"/>
          </w:tcPr>
          <w:p w14:paraId="23112626" w14:textId="77777777" w:rsidR="00F95D07" w:rsidRPr="001455DC" w:rsidRDefault="00F95D07" w:rsidP="000250B6">
            <w:pPr>
              <w:pStyle w:val="Tablebody"/>
              <w:jc w:val="left"/>
              <w:rPr>
                <w:lang w:eastAsia="de-DE"/>
              </w:rPr>
            </w:pPr>
            <w:r w:rsidRPr="001455DC">
              <w:rPr>
                <w:lang w:eastAsia="de-DE"/>
              </w:rPr>
              <w:t>Design value of concrete fatigue strength</w:t>
            </w:r>
          </w:p>
        </w:tc>
        <w:tc>
          <w:tcPr>
            <w:tcW w:w="1984" w:type="dxa"/>
          </w:tcPr>
          <w:p w14:paraId="3DBEB4AC" w14:textId="337CE9CA" w:rsidR="00F95D07" w:rsidRPr="001455DC" w:rsidRDefault="00F95D07" w:rsidP="00F95D07">
            <w:pPr>
              <w:pStyle w:val="Tablebody"/>
              <w:rPr>
                <w:lang w:eastAsia="de-DE"/>
              </w:rPr>
            </w:pPr>
            <w:r w:rsidRPr="009D3012">
              <w:rPr>
                <w:lang w:eastAsia="de-DE"/>
              </w:rPr>
              <w:t>10.4</w:t>
            </w:r>
          </w:p>
        </w:tc>
      </w:tr>
      <w:tr w:rsidR="00F95D07" w:rsidRPr="001455DC" w14:paraId="3DF091E3" w14:textId="5825F004" w:rsidTr="0066200C">
        <w:trPr>
          <w:cantSplit/>
        </w:trPr>
        <w:tc>
          <w:tcPr>
            <w:tcW w:w="1418" w:type="dxa"/>
            <w:shd w:val="clear" w:color="auto" w:fill="auto"/>
          </w:tcPr>
          <w:p w14:paraId="379C7F14" w14:textId="77777777" w:rsidR="00F95D07" w:rsidRPr="009D3012" w:rsidRDefault="00F95D07" w:rsidP="00F95D07">
            <w:pPr>
              <w:pStyle w:val="Tablebody"/>
              <w:rPr>
                <w:rStyle w:val="CCMCvariableitalic"/>
              </w:rPr>
            </w:pPr>
            <w:r w:rsidRPr="009D3012">
              <w:rPr>
                <w:lang w:eastAsia="de-DE"/>
              </w:rPr>
              <w:t>Δ</w:t>
            </w:r>
            <w:r w:rsidRPr="001455DC">
              <w:rPr>
                <w:rStyle w:val="CCMCvariableitalic"/>
              </w:rPr>
              <w:t>f</w:t>
            </w:r>
            <w:r w:rsidRPr="001455DC">
              <w:rPr>
                <w:rStyle w:val="CCMCvariablesubscript"/>
              </w:rPr>
              <w:t>cd</w:t>
            </w:r>
          </w:p>
        </w:tc>
        <w:tc>
          <w:tcPr>
            <w:tcW w:w="6548" w:type="dxa"/>
            <w:shd w:val="clear" w:color="auto" w:fill="auto"/>
          </w:tcPr>
          <w:p w14:paraId="09C3F73D" w14:textId="77777777" w:rsidR="00F95D07" w:rsidRPr="001455DC" w:rsidRDefault="00F95D07" w:rsidP="000250B6">
            <w:pPr>
              <w:pStyle w:val="Tablebody"/>
              <w:jc w:val="left"/>
              <w:rPr>
                <w:lang w:eastAsia="de-DE"/>
              </w:rPr>
            </w:pPr>
            <w:r w:rsidRPr="001455DC">
              <w:t>Design value of strength increase due to transverse compressive stress or confinement</w:t>
            </w:r>
          </w:p>
        </w:tc>
        <w:tc>
          <w:tcPr>
            <w:tcW w:w="1984" w:type="dxa"/>
          </w:tcPr>
          <w:p w14:paraId="4275B8DF" w14:textId="5A21BB02" w:rsidR="00F95D07" w:rsidRPr="001455DC" w:rsidRDefault="00F95D07" w:rsidP="00F95D07">
            <w:pPr>
              <w:pStyle w:val="Tablebody"/>
            </w:pPr>
            <w:r w:rsidRPr="009D3012">
              <w:rPr>
                <w:lang w:eastAsia="de-DE"/>
              </w:rPr>
              <w:t>8.1.4(2)</w:t>
            </w:r>
          </w:p>
        </w:tc>
      </w:tr>
      <w:tr w:rsidR="00F95D07" w:rsidRPr="001455DC" w14:paraId="5DCD4EC1" w14:textId="394220AC" w:rsidTr="0066200C">
        <w:trPr>
          <w:cantSplit/>
        </w:trPr>
        <w:tc>
          <w:tcPr>
            <w:tcW w:w="1418" w:type="dxa"/>
            <w:shd w:val="clear" w:color="auto" w:fill="auto"/>
          </w:tcPr>
          <w:p w14:paraId="51198A2E" w14:textId="77777777" w:rsidR="00F95D07" w:rsidRPr="009D3012" w:rsidRDefault="00F95D07" w:rsidP="00F95D07">
            <w:pPr>
              <w:pStyle w:val="Tablebody"/>
              <w:rPr>
                <w:rStyle w:val="CCMCvariableitalic"/>
              </w:rPr>
            </w:pPr>
            <w:r w:rsidRPr="001455DC">
              <w:rPr>
                <w:rStyle w:val="CCMCvariableitalic"/>
              </w:rPr>
              <w:t>f</w:t>
            </w:r>
            <w:r w:rsidRPr="001455DC">
              <w:rPr>
                <w:rStyle w:val="CCMCvariablesubscript"/>
              </w:rPr>
              <w:t>ck</w:t>
            </w:r>
          </w:p>
        </w:tc>
        <w:tc>
          <w:tcPr>
            <w:tcW w:w="6548" w:type="dxa"/>
            <w:shd w:val="clear" w:color="auto" w:fill="auto"/>
          </w:tcPr>
          <w:p w14:paraId="5BD6E2F2" w14:textId="77777777" w:rsidR="00F95D07" w:rsidRPr="001455DC" w:rsidRDefault="00F95D07" w:rsidP="000250B6">
            <w:pPr>
              <w:pStyle w:val="Tablebody"/>
              <w:jc w:val="left"/>
              <w:rPr>
                <w:lang w:eastAsia="de-DE"/>
              </w:rPr>
            </w:pPr>
            <w:r w:rsidRPr="001455DC">
              <w:rPr>
                <w:lang w:eastAsia="de-DE"/>
              </w:rPr>
              <w:t>Characteristic concrete cylinder compressive strength at age </w:t>
            </w:r>
            <w:r w:rsidRPr="001455DC">
              <w:rPr>
                <w:rStyle w:val="CCMCvariableitalic"/>
              </w:rPr>
              <w:t>t</w:t>
            </w:r>
            <w:r w:rsidRPr="001455DC">
              <w:rPr>
                <w:rStyle w:val="CCMCvariablesubscript"/>
              </w:rPr>
              <w:t>ref</w:t>
            </w:r>
          </w:p>
        </w:tc>
        <w:tc>
          <w:tcPr>
            <w:tcW w:w="1984" w:type="dxa"/>
          </w:tcPr>
          <w:p w14:paraId="38EC4246" w14:textId="5B10174A" w:rsidR="00F95D07" w:rsidRPr="001455DC" w:rsidRDefault="00F95D07" w:rsidP="00F95D07">
            <w:pPr>
              <w:pStyle w:val="Tablebody"/>
              <w:rPr>
                <w:lang w:eastAsia="de-DE"/>
              </w:rPr>
            </w:pPr>
            <w:r w:rsidRPr="009D3012">
              <w:rPr>
                <w:lang w:eastAsia="de-DE"/>
              </w:rPr>
              <w:t>EN 206, 5.1.3(3), 9.2.1 (5)</w:t>
            </w:r>
          </w:p>
        </w:tc>
      </w:tr>
      <w:tr w:rsidR="00F95D07" w:rsidRPr="001455DC" w14:paraId="7355489E" w14:textId="5AB73E76" w:rsidTr="0066200C">
        <w:trPr>
          <w:cantSplit/>
        </w:trPr>
        <w:tc>
          <w:tcPr>
            <w:tcW w:w="1418" w:type="dxa"/>
            <w:shd w:val="clear" w:color="auto" w:fill="auto"/>
          </w:tcPr>
          <w:p w14:paraId="28533115" w14:textId="77777777" w:rsidR="00F95D07" w:rsidRPr="009D3012" w:rsidRDefault="00F95D07" w:rsidP="00F95D07">
            <w:pPr>
              <w:pStyle w:val="Tablebody"/>
              <w:rPr>
                <w:rStyle w:val="CCMCvariableitalic"/>
              </w:rPr>
            </w:pPr>
            <w:r w:rsidRPr="001455DC">
              <w:rPr>
                <w:rStyle w:val="CCMCvariableitalic"/>
              </w:rPr>
              <w:t>f</w:t>
            </w:r>
            <w:r w:rsidRPr="001455DC">
              <w:rPr>
                <w:rStyle w:val="CCMCvariablesubscript"/>
              </w:rPr>
              <w:t>cm</w:t>
            </w:r>
          </w:p>
        </w:tc>
        <w:tc>
          <w:tcPr>
            <w:tcW w:w="6548" w:type="dxa"/>
            <w:shd w:val="clear" w:color="auto" w:fill="auto"/>
          </w:tcPr>
          <w:p w14:paraId="1A8ECCD8" w14:textId="77777777" w:rsidR="00F95D07" w:rsidRPr="001455DC" w:rsidRDefault="00F95D07" w:rsidP="000250B6">
            <w:pPr>
              <w:pStyle w:val="Tablebody"/>
              <w:jc w:val="left"/>
              <w:rPr>
                <w:lang w:eastAsia="de-DE"/>
              </w:rPr>
            </w:pPr>
            <w:r w:rsidRPr="001455DC">
              <w:rPr>
                <w:lang w:eastAsia="de-DE"/>
              </w:rPr>
              <w:t xml:space="preserve">Mean concrete cylinder compressive strength at age </w:t>
            </w:r>
            <w:r w:rsidRPr="001455DC">
              <w:rPr>
                <w:rStyle w:val="CCMCvariableitalic"/>
              </w:rPr>
              <w:t>t</w:t>
            </w:r>
            <w:r w:rsidRPr="001455DC">
              <w:rPr>
                <w:rStyle w:val="CCMCvariablesubscript"/>
              </w:rPr>
              <w:t>ref</w:t>
            </w:r>
            <w:r w:rsidRPr="001455DC">
              <w:rPr>
                <w:lang w:eastAsia="de-DE"/>
              </w:rPr>
              <w:t xml:space="preserve"> </w:t>
            </w:r>
          </w:p>
        </w:tc>
        <w:tc>
          <w:tcPr>
            <w:tcW w:w="1984" w:type="dxa"/>
          </w:tcPr>
          <w:p w14:paraId="42E41633" w14:textId="135A4A60" w:rsidR="00F95D07" w:rsidRPr="001455DC" w:rsidRDefault="00F95D07" w:rsidP="00F95D07">
            <w:pPr>
              <w:pStyle w:val="Tablebody"/>
              <w:rPr>
                <w:lang w:eastAsia="de-DE"/>
              </w:rPr>
            </w:pPr>
            <w:r w:rsidRPr="009D3012">
              <w:rPr>
                <w:lang w:eastAsia="de-DE"/>
              </w:rPr>
              <w:t>Table (5.1)</w:t>
            </w:r>
          </w:p>
        </w:tc>
      </w:tr>
      <w:tr w:rsidR="00F95D07" w:rsidRPr="001455DC" w14:paraId="6F577940" w14:textId="43347A7E" w:rsidTr="0066200C">
        <w:trPr>
          <w:cantSplit/>
        </w:trPr>
        <w:tc>
          <w:tcPr>
            <w:tcW w:w="1418" w:type="dxa"/>
            <w:shd w:val="clear" w:color="auto" w:fill="auto"/>
          </w:tcPr>
          <w:p w14:paraId="29CFC08C" w14:textId="77777777" w:rsidR="00F95D07" w:rsidRPr="009D3012" w:rsidRDefault="00F95D07" w:rsidP="00F95D07">
            <w:pPr>
              <w:pStyle w:val="Tablebody"/>
              <w:rPr>
                <w:rStyle w:val="CCMCvariableitalic"/>
              </w:rPr>
            </w:pPr>
            <w:r w:rsidRPr="001455DC">
              <w:rPr>
                <w:rStyle w:val="CCMCvariableitalic"/>
              </w:rPr>
              <w:t>f</w:t>
            </w:r>
            <w:r w:rsidRPr="001455DC">
              <w:rPr>
                <w:rStyle w:val="CCMCvariablesubscript"/>
              </w:rPr>
              <w:t>cm</w:t>
            </w:r>
            <w:r w:rsidRPr="001455DC">
              <w:t>(</w:t>
            </w:r>
            <w:r w:rsidRPr="001455DC">
              <w:rPr>
                <w:rStyle w:val="CCMCvariableitalic"/>
              </w:rPr>
              <w:t>t</w:t>
            </w:r>
            <w:r w:rsidRPr="001455DC">
              <w:t>)</w:t>
            </w:r>
          </w:p>
        </w:tc>
        <w:tc>
          <w:tcPr>
            <w:tcW w:w="6548" w:type="dxa"/>
            <w:shd w:val="clear" w:color="auto" w:fill="auto"/>
          </w:tcPr>
          <w:p w14:paraId="221A8B1C" w14:textId="77777777" w:rsidR="00F95D07" w:rsidRPr="001455DC" w:rsidRDefault="00F95D07" w:rsidP="000250B6">
            <w:pPr>
              <w:pStyle w:val="Tablebody"/>
              <w:jc w:val="left"/>
              <w:rPr>
                <w:lang w:eastAsia="de-DE"/>
              </w:rPr>
            </w:pPr>
            <w:r w:rsidRPr="001455DC">
              <w:t>Mean concrete cylinder compressive strength</w:t>
            </w:r>
            <w:r w:rsidRPr="001455DC">
              <w:rPr>
                <w:lang w:eastAsia="de-DE"/>
              </w:rPr>
              <w:t xml:space="preserve"> </w:t>
            </w:r>
            <w:r w:rsidRPr="001455DC">
              <w:t xml:space="preserve">at age </w:t>
            </w:r>
            <w:r w:rsidRPr="001455DC">
              <w:rPr>
                <w:rStyle w:val="CCMCvariableitalic"/>
              </w:rPr>
              <w:t>t</w:t>
            </w:r>
            <w:r w:rsidRPr="001455DC">
              <w:t xml:space="preserve"> </w:t>
            </w:r>
          </w:p>
        </w:tc>
        <w:tc>
          <w:tcPr>
            <w:tcW w:w="1984" w:type="dxa"/>
          </w:tcPr>
          <w:p w14:paraId="4F4C170E" w14:textId="2763B8FC" w:rsidR="00F95D07" w:rsidRPr="001455DC" w:rsidRDefault="00F95D07">
            <w:pPr>
              <w:pStyle w:val="Tablebody"/>
            </w:pPr>
            <w:r w:rsidRPr="009D3012">
              <w:rPr>
                <w:lang w:eastAsia="de-DE"/>
              </w:rPr>
              <w:t>B.</w:t>
            </w:r>
            <w:r w:rsidR="008970C2" w:rsidRPr="009D3012">
              <w:rPr>
                <w:lang w:eastAsia="de-DE"/>
              </w:rPr>
              <w:t>8</w:t>
            </w:r>
            <w:r w:rsidRPr="009D3012">
              <w:rPr>
                <w:lang w:eastAsia="de-DE"/>
              </w:rPr>
              <w:t>(1)</w:t>
            </w:r>
          </w:p>
        </w:tc>
      </w:tr>
      <w:tr w:rsidR="0032499B" w:rsidRPr="001455DC" w14:paraId="1152EA7A" w14:textId="0CB52419" w:rsidTr="0066200C">
        <w:trPr>
          <w:cantSplit/>
        </w:trPr>
        <w:tc>
          <w:tcPr>
            <w:tcW w:w="1418" w:type="dxa"/>
            <w:shd w:val="clear" w:color="auto" w:fill="auto"/>
          </w:tcPr>
          <w:p w14:paraId="09D3826A" w14:textId="77777777" w:rsidR="0032499B" w:rsidRPr="009D3012" w:rsidRDefault="0032499B" w:rsidP="00F95D07">
            <w:pPr>
              <w:pStyle w:val="Tablebody"/>
              <w:rPr>
                <w:rStyle w:val="CCMCvariableitalic"/>
              </w:rPr>
            </w:pPr>
            <w:r w:rsidRPr="001455DC">
              <w:rPr>
                <w:rStyle w:val="CCMCvariableitalic"/>
              </w:rPr>
              <w:t>f</w:t>
            </w:r>
            <w:r w:rsidRPr="001455DC">
              <w:rPr>
                <w:rStyle w:val="CCMCvariablesubscript"/>
              </w:rPr>
              <w:t>ct</w:t>
            </w:r>
          </w:p>
        </w:tc>
        <w:tc>
          <w:tcPr>
            <w:tcW w:w="6548" w:type="dxa"/>
            <w:shd w:val="clear" w:color="auto" w:fill="auto"/>
          </w:tcPr>
          <w:p w14:paraId="123EE138" w14:textId="77777777" w:rsidR="0032499B" w:rsidRPr="001455DC" w:rsidRDefault="0032499B" w:rsidP="000250B6">
            <w:pPr>
              <w:pStyle w:val="Tablebody"/>
              <w:jc w:val="left"/>
            </w:pPr>
            <w:r w:rsidRPr="001455DC">
              <w:t>Tensile strength, highest stress reached under concentric tensile loading</w:t>
            </w:r>
          </w:p>
        </w:tc>
        <w:tc>
          <w:tcPr>
            <w:tcW w:w="1984" w:type="dxa"/>
          </w:tcPr>
          <w:p w14:paraId="1C369A91" w14:textId="77777777" w:rsidR="0032499B" w:rsidRPr="001455DC" w:rsidRDefault="0032499B" w:rsidP="00F95D07">
            <w:pPr>
              <w:spacing w:before="0" w:after="0" w:line="240" w:lineRule="auto"/>
              <w:jc w:val="left"/>
              <w:rPr>
                <w:rFonts w:eastAsia="Times New Roman"/>
                <w:szCs w:val="20"/>
                <w:lang w:eastAsia="fr-FR"/>
              </w:rPr>
            </w:pPr>
          </w:p>
        </w:tc>
      </w:tr>
      <w:tr w:rsidR="00F95D07" w:rsidRPr="001455DC" w14:paraId="5D4BFE4D" w14:textId="0142A138" w:rsidTr="0066200C">
        <w:trPr>
          <w:cantSplit/>
        </w:trPr>
        <w:tc>
          <w:tcPr>
            <w:tcW w:w="1418" w:type="dxa"/>
            <w:shd w:val="clear" w:color="auto" w:fill="auto"/>
          </w:tcPr>
          <w:p w14:paraId="34FA0896" w14:textId="77777777" w:rsidR="00F95D07" w:rsidRPr="009D3012" w:rsidRDefault="00F95D07" w:rsidP="00F95D07">
            <w:pPr>
              <w:pStyle w:val="Tablebody"/>
              <w:rPr>
                <w:rStyle w:val="CCMCvariableitalic"/>
              </w:rPr>
            </w:pPr>
            <w:r w:rsidRPr="001455DC">
              <w:rPr>
                <w:rStyle w:val="CCMCvariableitalic"/>
              </w:rPr>
              <w:t>f</w:t>
            </w:r>
            <w:r w:rsidRPr="001455DC">
              <w:rPr>
                <w:rStyle w:val="CCMCvariablesubscript"/>
              </w:rPr>
              <w:t>cd,pl</w:t>
            </w:r>
          </w:p>
        </w:tc>
        <w:tc>
          <w:tcPr>
            <w:tcW w:w="6548" w:type="dxa"/>
            <w:shd w:val="clear" w:color="auto" w:fill="auto"/>
          </w:tcPr>
          <w:p w14:paraId="77283A28" w14:textId="77777777" w:rsidR="00F95D07" w:rsidRPr="001455DC" w:rsidRDefault="00F95D07" w:rsidP="000250B6">
            <w:pPr>
              <w:pStyle w:val="Tablebody"/>
              <w:jc w:val="left"/>
            </w:pPr>
            <w:r w:rsidRPr="001455DC">
              <w:t>Design value of plain concrete compressive strength</w:t>
            </w:r>
          </w:p>
        </w:tc>
        <w:tc>
          <w:tcPr>
            <w:tcW w:w="1984" w:type="dxa"/>
          </w:tcPr>
          <w:p w14:paraId="742F975D" w14:textId="75D46B17" w:rsidR="00F95D07" w:rsidRPr="001455DC" w:rsidRDefault="00F95D07" w:rsidP="00F95D07">
            <w:pPr>
              <w:pStyle w:val="Tablebody"/>
            </w:pPr>
            <w:r w:rsidRPr="009D3012">
              <w:rPr>
                <w:lang w:eastAsia="de-DE"/>
              </w:rPr>
              <w:t>14.2(1)</w:t>
            </w:r>
          </w:p>
        </w:tc>
      </w:tr>
      <w:tr w:rsidR="00F95D07" w:rsidRPr="001455DC" w14:paraId="73A1C748" w14:textId="60CEC990" w:rsidTr="0066200C">
        <w:trPr>
          <w:cantSplit/>
        </w:trPr>
        <w:tc>
          <w:tcPr>
            <w:tcW w:w="1418" w:type="dxa"/>
            <w:shd w:val="clear" w:color="auto" w:fill="auto"/>
          </w:tcPr>
          <w:p w14:paraId="4767ADDC" w14:textId="77777777" w:rsidR="00F95D07" w:rsidRPr="009D3012" w:rsidRDefault="00F95D07" w:rsidP="00F95D07">
            <w:pPr>
              <w:pStyle w:val="Tablebody"/>
              <w:rPr>
                <w:rStyle w:val="CCMCvariablesubscript"/>
              </w:rPr>
            </w:pPr>
            <w:r w:rsidRPr="001455DC">
              <w:rPr>
                <w:rStyle w:val="CCMCvariableitalic"/>
              </w:rPr>
              <w:t>f</w:t>
            </w:r>
            <w:r w:rsidRPr="001455DC">
              <w:rPr>
                <w:rStyle w:val="CCMCvariablesubscript"/>
              </w:rPr>
              <w:t>ctd,pl</w:t>
            </w:r>
          </w:p>
        </w:tc>
        <w:tc>
          <w:tcPr>
            <w:tcW w:w="6548" w:type="dxa"/>
            <w:shd w:val="clear" w:color="auto" w:fill="auto"/>
          </w:tcPr>
          <w:p w14:paraId="6F859B40" w14:textId="77777777" w:rsidR="00F95D07" w:rsidRPr="001455DC" w:rsidRDefault="00F95D07" w:rsidP="000250B6">
            <w:pPr>
              <w:pStyle w:val="Tablebody"/>
              <w:jc w:val="left"/>
            </w:pPr>
            <w:r w:rsidRPr="001455DC">
              <w:t>Design value of plain concrete tensile strength</w:t>
            </w:r>
          </w:p>
        </w:tc>
        <w:tc>
          <w:tcPr>
            <w:tcW w:w="1984" w:type="dxa"/>
          </w:tcPr>
          <w:p w14:paraId="78178B93" w14:textId="711D36F5" w:rsidR="00F95D07" w:rsidRPr="001455DC" w:rsidRDefault="00F95D07" w:rsidP="00F95D07">
            <w:pPr>
              <w:pStyle w:val="Tablebody"/>
            </w:pPr>
            <w:r w:rsidRPr="009D3012">
              <w:rPr>
                <w:lang w:eastAsia="de-DE"/>
              </w:rPr>
              <w:t>14.2(1)</w:t>
            </w:r>
          </w:p>
        </w:tc>
      </w:tr>
      <w:tr w:rsidR="00F95D07" w:rsidRPr="001455DC" w14:paraId="08445148" w14:textId="3A5286AE" w:rsidTr="0066200C">
        <w:trPr>
          <w:cantSplit/>
        </w:trPr>
        <w:tc>
          <w:tcPr>
            <w:tcW w:w="1418" w:type="dxa"/>
            <w:shd w:val="clear" w:color="auto" w:fill="auto"/>
          </w:tcPr>
          <w:p w14:paraId="2066F7B0" w14:textId="77777777" w:rsidR="00F95D07" w:rsidRPr="009D3012" w:rsidRDefault="00F95D07" w:rsidP="00F95D07">
            <w:pPr>
              <w:pStyle w:val="Tablebody"/>
              <w:rPr>
                <w:rStyle w:val="CCMCvariableitalic"/>
              </w:rPr>
            </w:pPr>
            <w:r w:rsidRPr="001455DC">
              <w:rPr>
                <w:rStyle w:val="CCMCvariableitalic"/>
              </w:rPr>
              <w:t>f</w:t>
            </w:r>
            <w:r w:rsidRPr="001455DC">
              <w:rPr>
                <w:rStyle w:val="CCMCvariablesubscript"/>
              </w:rPr>
              <w:t>ct,eff</w:t>
            </w:r>
          </w:p>
        </w:tc>
        <w:tc>
          <w:tcPr>
            <w:tcW w:w="6548" w:type="dxa"/>
            <w:shd w:val="clear" w:color="auto" w:fill="auto"/>
          </w:tcPr>
          <w:p w14:paraId="2938EF62" w14:textId="77777777" w:rsidR="00F95D07" w:rsidRPr="001455DC" w:rsidRDefault="00F95D07" w:rsidP="000250B6">
            <w:pPr>
              <w:pStyle w:val="Tablebody"/>
              <w:jc w:val="left"/>
            </w:pPr>
            <w:r w:rsidRPr="001455DC">
              <w:t>Mean value of the tensile strength of the concrete effective at the time when cracking may first be expected to occur;</w:t>
            </w:r>
          </w:p>
        </w:tc>
        <w:tc>
          <w:tcPr>
            <w:tcW w:w="1984" w:type="dxa"/>
          </w:tcPr>
          <w:p w14:paraId="0B0599DB" w14:textId="6E793FA8" w:rsidR="00F95D07" w:rsidRPr="001455DC" w:rsidRDefault="00F95D07" w:rsidP="009D3012">
            <w:pPr>
              <w:pStyle w:val="Tablebody"/>
              <w:jc w:val="left"/>
            </w:pPr>
            <w:r w:rsidRPr="009D3012">
              <w:rPr>
                <w:lang w:eastAsia="de-DE"/>
              </w:rPr>
              <w:t>9.1 (2), 9.2.2(3), 9.2.2(5), 9.2.4(3), 9.2.5(6), B.</w:t>
            </w:r>
            <w:r w:rsidR="007D653E" w:rsidRPr="009D3012">
              <w:rPr>
                <w:lang w:eastAsia="de-DE"/>
              </w:rPr>
              <w:t>4</w:t>
            </w:r>
            <w:r w:rsidRPr="009D3012">
              <w:rPr>
                <w:lang w:eastAsia="de-DE"/>
              </w:rPr>
              <w:t>(2), B.</w:t>
            </w:r>
            <w:r w:rsidR="007D653E" w:rsidRPr="009D3012">
              <w:rPr>
                <w:lang w:eastAsia="de-DE"/>
              </w:rPr>
              <w:t>4</w:t>
            </w:r>
            <w:r w:rsidRPr="009D3012">
              <w:rPr>
                <w:lang w:eastAsia="de-DE"/>
              </w:rPr>
              <w:t>(3), B.</w:t>
            </w:r>
            <w:r w:rsidR="001A17A7" w:rsidRPr="009D3012">
              <w:rPr>
                <w:lang w:eastAsia="de-DE"/>
              </w:rPr>
              <w:t>5</w:t>
            </w:r>
            <w:r w:rsidRPr="009D3012">
              <w:rPr>
                <w:lang w:eastAsia="de-DE"/>
              </w:rPr>
              <w:t>(2), D.</w:t>
            </w:r>
            <w:r w:rsidR="008B0767" w:rsidRPr="001455DC">
              <w:rPr>
                <w:lang w:eastAsia="de-DE"/>
              </w:rPr>
              <w:t>3</w:t>
            </w:r>
            <w:r w:rsidRPr="009D3012">
              <w:rPr>
                <w:lang w:eastAsia="de-DE"/>
              </w:rPr>
              <w:t>(2)</w:t>
            </w:r>
          </w:p>
        </w:tc>
      </w:tr>
      <w:tr w:rsidR="00F95D07" w:rsidRPr="001455DC" w14:paraId="7973A397" w14:textId="70EC1576" w:rsidTr="0066200C">
        <w:trPr>
          <w:cantSplit/>
        </w:trPr>
        <w:tc>
          <w:tcPr>
            <w:tcW w:w="1418" w:type="dxa"/>
            <w:shd w:val="clear" w:color="auto" w:fill="auto"/>
          </w:tcPr>
          <w:p w14:paraId="3FEEDFFE" w14:textId="77777777" w:rsidR="00F95D07" w:rsidRPr="009D3012" w:rsidRDefault="00F95D07" w:rsidP="00F95D07">
            <w:pPr>
              <w:pStyle w:val="Tablebody"/>
              <w:rPr>
                <w:rStyle w:val="CCMCvariableitalic"/>
              </w:rPr>
            </w:pPr>
            <w:r w:rsidRPr="001455DC">
              <w:rPr>
                <w:rStyle w:val="CCMCvariableitalic"/>
              </w:rPr>
              <w:t>f</w:t>
            </w:r>
            <w:r w:rsidRPr="001455DC">
              <w:rPr>
                <w:rStyle w:val="CCMCvariablesubscript"/>
              </w:rPr>
              <w:t>ctk;0,05</w:t>
            </w:r>
          </w:p>
        </w:tc>
        <w:tc>
          <w:tcPr>
            <w:tcW w:w="6548" w:type="dxa"/>
            <w:shd w:val="clear" w:color="auto" w:fill="auto"/>
          </w:tcPr>
          <w:p w14:paraId="4A13ECE3" w14:textId="77777777" w:rsidR="00F95D07" w:rsidRPr="001455DC" w:rsidRDefault="00F95D07" w:rsidP="000250B6">
            <w:pPr>
              <w:pStyle w:val="Tablebody"/>
              <w:jc w:val="left"/>
              <w:rPr>
                <w:lang w:eastAsia="de-DE"/>
              </w:rPr>
            </w:pPr>
            <w:r w:rsidRPr="001455DC">
              <w:rPr>
                <w:lang w:eastAsia="de-DE"/>
              </w:rPr>
              <w:t>Characteristic axial tensile strength of concrete (5 % fractile)</w:t>
            </w:r>
          </w:p>
        </w:tc>
        <w:tc>
          <w:tcPr>
            <w:tcW w:w="1984" w:type="dxa"/>
          </w:tcPr>
          <w:p w14:paraId="2C0044D5" w14:textId="041C520B" w:rsidR="00F95D07" w:rsidRPr="001455DC" w:rsidRDefault="00F95D07" w:rsidP="00F95D07">
            <w:pPr>
              <w:pStyle w:val="Tablebody"/>
              <w:rPr>
                <w:lang w:eastAsia="de-DE"/>
              </w:rPr>
            </w:pPr>
            <w:r w:rsidRPr="009D3012">
              <w:rPr>
                <w:lang w:eastAsia="de-DE"/>
              </w:rPr>
              <w:t>Table (5.1)</w:t>
            </w:r>
          </w:p>
        </w:tc>
      </w:tr>
      <w:tr w:rsidR="00F95D07" w:rsidRPr="001455DC" w14:paraId="7542C801" w14:textId="215D67B0" w:rsidTr="0066200C">
        <w:trPr>
          <w:cantSplit/>
        </w:trPr>
        <w:tc>
          <w:tcPr>
            <w:tcW w:w="1418" w:type="dxa"/>
            <w:shd w:val="clear" w:color="auto" w:fill="auto"/>
          </w:tcPr>
          <w:p w14:paraId="6457E3F8" w14:textId="77777777" w:rsidR="00F95D07" w:rsidRPr="009D3012" w:rsidRDefault="00F95D07" w:rsidP="00F95D07">
            <w:pPr>
              <w:pStyle w:val="Tablebody"/>
              <w:rPr>
                <w:rStyle w:val="CCMCvariableitalic"/>
              </w:rPr>
            </w:pPr>
            <w:r w:rsidRPr="001455DC">
              <w:rPr>
                <w:rStyle w:val="CCMCvariableitalic"/>
              </w:rPr>
              <w:t>f</w:t>
            </w:r>
            <w:r w:rsidRPr="001455DC">
              <w:rPr>
                <w:rStyle w:val="CCMCvariablesubscript"/>
              </w:rPr>
              <w:t>ctk;0,95</w:t>
            </w:r>
          </w:p>
        </w:tc>
        <w:tc>
          <w:tcPr>
            <w:tcW w:w="6548" w:type="dxa"/>
            <w:shd w:val="clear" w:color="auto" w:fill="auto"/>
          </w:tcPr>
          <w:p w14:paraId="1AD194B6" w14:textId="77777777" w:rsidR="00F95D07" w:rsidRPr="001455DC" w:rsidRDefault="00F95D07" w:rsidP="000250B6">
            <w:pPr>
              <w:pStyle w:val="Tablebody"/>
              <w:jc w:val="left"/>
              <w:rPr>
                <w:lang w:eastAsia="de-DE"/>
              </w:rPr>
            </w:pPr>
            <w:r w:rsidRPr="001455DC">
              <w:rPr>
                <w:lang w:eastAsia="de-DE"/>
              </w:rPr>
              <w:t>Characteristic axial tensile strength of concrete (95 % fractile)</w:t>
            </w:r>
          </w:p>
        </w:tc>
        <w:tc>
          <w:tcPr>
            <w:tcW w:w="1984" w:type="dxa"/>
          </w:tcPr>
          <w:p w14:paraId="175F8948" w14:textId="4D843348" w:rsidR="00F95D07" w:rsidRPr="001455DC" w:rsidRDefault="00F95D07" w:rsidP="00F95D07">
            <w:pPr>
              <w:pStyle w:val="Tablebody"/>
              <w:rPr>
                <w:lang w:eastAsia="de-DE"/>
              </w:rPr>
            </w:pPr>
            <w:r w:rsidRPr="009D3012">
              <w:rPr>
                <w:lang w:eastAsia="de-DE"/>
              </w:rPr>
              <w:t>Table (5.1)</w:t>
            </w:r>
          </w:p>
        </w:tc>
      </w:tr>
      <w:tr w:rsidR="00F95D07" w:rsidRPr="001455DC" w14:paraId="73541B9F" w14:textId="4722476D" w:rsidTr="0066200C">
        <w:trPr>
          <w:cantSplit/>
        </w:trPr>
        <w:tc>
          <w:tcPr>
            <w:tcW w:w="1418" w:type="dxa"/>
            <w:shd w:val="clear" w:color="auto" w:fill="auto"/>
          </w:tcPr>
          <w:p w14:paraId="1DFFCFEB" w14:textId="77777777" w:rsidR="00F95D07" w:rsidRPr="009D3012" w:rsidRDefault="00F95D07" w:rsidP="00F95D07">
            <w:pPr>
              <w:pStyle w:val="Tablebody"/>
              <w:rPr>
                <w:rStyle w:val="CCMCvariableitalic"/>
              </w:rPr>
            </w:pPr>
            <w:r w:rsidRPr="001455DC">
              <w:rPr>
                <w:rStyle w:val="CCMCvariableitalic"/>
              </w:rPr>
              <w:t>f</w:t>
            </w:r>
            <w:r w:rsidRPr="001455DC">
              <w:rPr>
                <w:rStyle w:val="CCMCvariablesubscript"/>
              </w:rPr>
              <w:t>ctm</w:t>
            </w:r>
          </w:p>
        </w:tc>
        <w:tc>
          <w:tcPr>
            <w:tcW w:w="6548" w:type="dxa"/>
            <w:shd w:val="clear" w:color="auto" w:fill="auto"/>
          </w:tcPr>
          <w:p w14:paraId="79D82017" w14:textId="77777777" w:rsidR="00F95D07" w:rsidRPr="001455DC" w:rsidRDefault="00F95D07" w:rsidP="000250B6">
            <w:pPr>
              <w:pStyle w:val="Tablebody"/>
              <w:jc w:val="left"/>
              <w:rPr>
                <w:lang w:eastAsia="de-DE"/>
              </w:rPr>
            </w:pPr>
            <w:r w:rsidRPr="001455DC">
              <w:rPr>
                <w:lang w:eastAsia="de-DE"/>
              </w:rPr>
              <w:t xml:space="preserve">Mean axial tensile strength of concrete at age </w:t>
            </w:r>
            <w:r w:rsidRPr="001455DC">
              <w:rPr>
                <w:rStyle w:val="CCMCvariableitalic"/>
              </w:rPr>
              <w:t>t</w:t>
            </w:r>
            <w:r w:rsidRPr="001455DC">
              <w:rPr>
                <w:rStyle w:val="CCMCvariablesubscript"/>
              </w:rPr>
              <w:t>ref</w:t>
            </w:r>
            <w:r w:rsidRPr="001455DC">
              <w:rPr>
                <w:lang w:eastAsia="de-DE"/>
              </w:rPr>
              <w:t xml:space="preserve"> </w:t>
            </w:r>
          </w:p>
        </w:tc>
        <w:tc>
          <w:tcPr>
            <w:tcW w:w="1984" w:type="dxa"/>
          </w:tcPr>
          <w:p w14:paraId="091B0A40" w14:textId="63B02F57" w:rsidR="00F95D07" w:rsidRPr="001455DC" w:rsidRDefault="00F95D07" w:rsidP="00F95D07">
            <w:pPr>
              <w:pStyle w:val="Tablebody"/>
              <w:rPr>
                <w:lang w:eastAsia="de-DE"/>
              </w:rPr>
            </w:pPr>
            <w:r w:rsidRPr="009D3012">
              <w:rPr>
                <w:lang w:eastAsia="de-DE"/>
              </w:rPr>
              <w:t>Table (5.1), 9.1(2), 9.3.4(3)</w:t>
            </w:r>
          </w:p>
        </w:tc>
      </w:tr>
      <w:tr w:rsidR="00F95D07" w:rsidRPr="001455DC" w14:paraId="544318DF" w14:textId="6D64F112" w:rsidTr="0066200C">
        <w:trPr>
          <w:cantSplit/>
        </w:trPr>
        <w:tc>
          <w:tcPr>
            <w:tcW w:w="1418" w:type="dxa"/>
            <w:shd w:val="clear" w:color="auto" w:fill="auto"/>
          </w:tcPr>
          <w:p w14:paraId="7CB499F8" w14:textId="77777777" w:rsidR="00F95D07" w:rsidRPr="009D3012" w:rsidRDefault="00F95D07" w:rsidP="00F95D07">
            <w:pPr>
              <w:pStyle w:val="Tablebody"/>
              <w:rPr>
                <w:rStyle w:val="CCMCvariableitalic"/>
              </w:rPr>
            </w:pPr>
            <w:r w:rsidRPr="001455DC">
              <w:rPr>
                <w:rStyle w:val="CCMCvariableitalic"/>
              </w:rPr>
              <w:t>f</w:t>
            </w:r>
            <w:r w:rsidRPr="001455DC">
              <w:rPr>
                <w:rStyle w:val="CCMCvariablesubscript"/>
              </w:rPr>
              <w:t>ctm,fl</w:t>
            </w:r>
          </w:p>
        </w:tc>
        <w:tc>
          <w:tcPr>
            <w:tcW w:w="6548" w:type="dxa"/>
            <w:shd w:val="clear" w:color="auto" w:fill="auto"/>
          </w:tcPr>
          <w:p w14:paraId="3783BEFF" w14:textId="77777777" w:rsidR="00F95D07" w:rsidRPr="001455DC" w:rsidRDefault="00F95D07" w:rsidP="000250B6">
            <w:pPr>
              <w:pStyle w:val="Tablebody"/>
              <w:jc w:val="left"/>
              <w:rPr>
                <w:lang w:eastAsia="de-DE"/>
              </w:rPr>
            </w:pPr>
            <w:r w:rsidRPr="001455DC">
              <w:t>Mean flexural tensile strength of concrete</w:t>
            </w:r>
            <w:r w:rsidRPr="001455DC">
              <w:rPr>
                <w:lang w:eastAsia="de-DE"/>
              </w:rPr>
              <w:t xml:space="preserve"> </w:t>
            </w:r>
          </w:p>
        </w:tc>
        <w:tc>
          <w:tcPr>
            <w:tcW w:w="1984" w:type="dxa"/>
          </w:tcPr>
          <w:p w14:paraId="548125BE" w14:textId="791502CE" w:rsidR="00F95D07" w:rsidRPr="001455DC" w:rsidRDefault="00F95D07" w:rsidP="00F95D07">
            <w:pPr>
              <w:pStyle w:val="Tablebody"/>
            </w:pPr>
            <w:r w:rsidRPr="009D3012">
              <w:rPr>
                <w:lang w:eastAsia="de-DE"/>
              </w:rPr>
              <w:t>9.3.4(3)</w:t>
            </w:r>
          </w:p>
        </w:tc>
      </w:tr>
      <w:tr w:rsidR="00F95D07" w:rsidRPr="001455DC" w14:paraId="0D24027A" w14:textId="7991BA91" w:rsidTr="0066200C">
        <w:trPr>
          <w:cantSplit/>
        </w:trPr>
        <w:tc>
          <w:tcPr>
            <w:tcW w:w="1418" w:type="dxa"/>
            <w:shd w:val="clear" w:color="auto" w:fill="auto"/>
          </w:tcPr>
          <w:p w14:paraId="2D1E13DB" w14:textId="77777777" w:rsidR="00F95D07" w:rsidRPr="009D3012" w:rsidRDefault="00F95D07" w:rsidP="00F95D07">
            <w:pPr>
              <w:pStyle w:val="Tablebody"/>
              <w:rPr>
                <w:rStyle w:val="CCMCvariableitalic"/>
              </w:rPr>
            </w:pPr>
            <w:r w:rsidRPr="001455DC">
              <w:rPr>
                <w:rStyle w:val="CCMCvariableitalic"/>
              </w:rPr>
              <w:t>f</w:t>
            </w:r>
            <w:r w:rsidRPr="001455DC">
              <w:rPr>
                <w:rStyle w:val="CCMCvariablesubscript"/>
              </w:rPr>
              <w:t>ctd</w:t>
            </w:r>
          </w:p>
        </w:tc>
        <w:tc>
          <w:tcPr>
            <w:tcW w:w="6548" w:type="dxa"/>
            <w:shd w:val="clear" w:color="auto" w:fill="auto"/>
          </w:tcPr>
          <w:p w14:paraId="75EC8129" w14:textId="77777777" w:rsidR="00F95D07" w:rsidRPr="001455DC" w:rsidRDefault="00F95D07" w:rsidP="000250B6">
            <w:pPr>
              <w:pStyle w:val="Tablebody"/>
              <w:jc w:val="left"/>
              <w:rPr>
                <w:lang w:eastAsia="de-DE"/>
              </w:rPr>
            </w:pPr>
            <w:r w:rsidRPr="001455DC">
              <w:rPr>
                <w:lang w:eastAsia="de-DE"/>
              </w:rPr>
              <w:t xml:space="preserve">Design value of the tensile strength of concrete </w:t>
            </w:r>
          </w:p>
        </w:tc>
        <w:tc>
          <w:tcPr>
            <w:tcW w:w="1984" w:type="dxa"/>
          </w:tcPr>
          <w:p w14:paraId="66AF56FE" w14:textId="36198FC0" w:rsidR="00F95D07" w:rsidRPr="001455DC" w:rsidRDefault="00F95D07" w:rsidP="00F95D07">
            <w:pPr>
              <w:pStyle w:val="Tablebody"/>
              <w:rPr>
                <w:lang w:eastAsia="de-DE"/>
              </w:rPr>
            </w:pPr>
            <w:r w:rsidRPr="009D3012">
              <w:rPr>
                <w:lang w:eastAsia="de-DE"/>
              </w:rPr>
              <w:t>5.1.6(2)</w:t>
            </w:r>
          </w:p>
        </w:tc>
      </w:tr>
      <w:tr w:rsidR="00F95D07" w:rsidRPr="001455DC" w14:paraId="309D5F1B" w14:textId="6FA93419" w:rsidTr="0066200C">
        <w:trPr>
          <w:cantSplit/>
        </w:trPr>
        <w:tc>
          <w:tcPr>
            <w:tcW w:w="1418" w:type="dxa"/>
            <w:shd w:val="clear" w:color="auto" w:fill="auto"/>
          </w:tcPr>
          <w:p w14:paraId="397FAA1C" w14:textId="77777777" w:rsidR="00F95D07" w:rsidRPr="009D3012" w:rsidRDefault="00F95D07" w:rsidP="00F95D07">
            <w:pPr>
              <w:pStyle w:val="Tablebody"/>
              <w:rPr>
                <w:rStyle w:val="CCMCvariableitalic"/>
              </w:rPr>
            </w:pPr>
            <w:r w:rsidRPr="001455DC">
              <w:rPr>
                <w:rStyle w:val="CCMCvariableitalic"/>
              </w:rPr>
              <w:t>f</w:t>
            </w:r>
            <w:r w:rsidRPr="001455DC">
              <w:rPr>
                <w:rStyle w:val="CCMCvariablesubscript"/>
              </w:rPr>
              <w:t>p</w:t>
            </w:r>
          </w:p>
        </w:tc>
        <w:tc>
          <w:tcPr>
            <w:tcW w:w="6548" w:type="dxa"/>
            <w:shd w:val="clear" w:color="auto" w:fill="auto"/>
          </w:tcPr>
          <w:p w14:paraId="71ADB8F4" w14:textId="77777777" w:rsidR="00F95D07" w:rsidRPr="001455DC" w:rsidRDefault="00F95D07" w:rsidP="000250B6">
            <w:pPr>
              <w:pStyle w:val="Tablebody"/>
              <w:jc w:val="left"/>
              <w:rPr>
                <w:lang w:eastAsia="de-DE"/>
              </w:rPr>
            </w:pPr>
            <w:r w:rsidRPr="001455DC">
              <w:rPr>
                <w:lang w:eastAsia="de-DE"/>
              </w:rPr>
              <w:t>Tensile strength of prestressing steel</w:t>
            </w:r>
          </w:p>
        </w:tc>
        <w:tc>
          <w:tcPr>
            <w:tcW w:w="1984" w:type="dxa"/>
          </w:tcPr>
          <w:p w14:paraId="49409D84" w14:textId="44CE0A18" w:rsidR="00F95D07" w:rsidRPr="001455DC" w:rsidRDefault="00F95D07">
            <w:pPr>
              <w:pStyle w:val="Tablebody"/>
              <w:rPr>
                <w:lang w:eastAsia="de-DE"/>
              </w:rPr>
            </w:pPr>
            <w:r w:rsidRPr="009D3012">
              <w:rPr>
                <w:lang w:eastAsia="de-DE"/>
              </w:rPr>
              <w:t>B.</w:t>
            </w:r>
            <w:r w:rsidR="008970C2" w:rsidRPr="009D3012">
              <w:rPr>
                <w:lang w:eastAsia="de-DE"/>
              </w:rPr>
              <w:t>9</w:t>
            </w:r>
          </w:p>
        </w:tc>
      </w:tr>
      <w:tr w:rsidR="00F95D07" w:rsidRPr="001455DC" w14:paraId="0EB6B75A" w14:textId="4EE7A34C" w:rsidTr="0066200C">
        <w:trPr>
          <w:cantSplit/>
        </w:trPr>
        <w:tc>
          <w:tcPr>
            <w:tcW w:w="1418" w:type="dxa"/>
            <w:shd w:val="clear" w:color="auto" w:fill="auto"/>
          </w:tcPr>
          <w:p w14:paraId="20564908" w14:textId="77777777" w:rsidR="00F95D07" w:rsidRPr="009D3012" w:rsidRDefault="00F95D07" w:rsidP="00F95D07">
            <w:pPr>
              <w:pStyle w:val="Tablebody"/>
              <w:rPr>
                <w:rStyle w:val="CCMCvariableitalic"/>
              </w:rPr>
            </w:pPr>
            <w:r w:rsidRPr="001455DC">
              <w:rPr>
                <w:rStyle w:val="CCMCvariableitalic"/>
              </w:rPr>
              <w:t>f</w:t>
            </w:r>
            <w:r w:rsidRPr="001455DC">
              <w:rPr>
                <w:rStyle w:val="CCMCvariablesubscript"/>
              </w:rPr>
              <w:t>P</w:t>
            </w:r>
          </w:p>
        </w:tc>
        <w:tc>
          <w:tcPr>
            <w:tcW w:w="6548" w:type="dxa"/>
            <w:shd w:val="clear" w:color="auto" w:fill="auto"/>
          </w:tcPr>
          <w:p w14:paraId="293C708E" w14:textId="77777777" w:rsidR="00F95D07" w:rsidRPr="001455DC" w:rsidRDefault="00F95D07" w:rsidP="000250B6">
            <w:pPr>
              <w:pStyle w:val="Tablebody"/>
              <w:jc w:val="left"/>
              <w:rPr>
                <w:lang w:eastAsia="de-DE"/>
              </w:rPr>
            </w:pPr>
            <w:r w:rsidRPr="001455DC">
              <w:rPr>
                <w:lang w:eastAsia="de-DE"/>
              </w:rPr>
              <w:t>Relative indentation area</w:t>
            </w:r>
          </w:p>
        </w:tc>
        <w:tc>
          <w:tcPr>
            <w:tcW w:w="1984" w:type="dxa"/>
            <w:shd w:val="clear" w:color="auto" w:fill="auto"/>
          </w:tcPr>
          <w:p w14:paraId="27708C5A" w14:textId="2C47AD28" w:rsidR="00F95D07" w:rsidRPr="001455DC" w:rsidRDefault="00F95D07" w:rsidP="00F95D07">
            <w:pPr>
              <w:pStyle w:val="Tablebody"/>
              <w:rPr>
                <w:lang w:eastAsia="de-DE"/>
              </w:rPr>
            </w:pPr>
            <w:r w:rsidRPr="009D3012">
              <w:rPr>
                <w:lang w:eastAsia="de-DE"/>
              </w:rPr>
              <w:t>5.2.2</w:t>
            </w:r>
          </w:p>
        </w:tc>
      </w:tr>
      <w:tr w:rsidR="00F95D07" w:rsidRPr="001455DC" w14:paraId="3076742B" w14:textId="23C52832" w:rsidTr="0066200C">
        <w:trPr>
          <w:cantSplit/>
        </w:trPr>
        <w:tc>
          <w:tcPr>
            <w:tcW w:w="1418" w:type="dxa"/>
            <w:shd w:val="clear" w:color="auto" w:fill="auto"/>
          </w:tcPr>
          <w:p w14:paraId="12A4C147" w14:textId="77777777" w:rsidR="00F95D07" w:rsidRPr="009D3012" w:rsidRDefault="00F95D07" w:rsidP="00F95D07">
            <w:pPr>
              <w:pStyle w:val="Tablebody"/>
              <w:rPr>
                <w:rStyle w:val="CCMCvariableitalic"/>
              </w:rPr>
            </w:pPr>
            <w:r w:rsidRPr="001455DC">
              <w:rPr>
                <w:rStyle w:val="CCMCvariableitalic"/>
              </w:rPr>
              <w:t>f</w:t>
            </w:r>
            <w:r w:rsidRPr="001455DC">
              <w:rPr>
                <w:rStyle w:val="CCMCvariablesubscript"/>
              </w:rPr>
              <w:t>P,min</w:t>
            </w:r>
          </w:p>
        </w:tc>
        <w:tc>
          <w:tcPr>
            <w:tcW w:w="6548" w:type="dxa"/>
            <w:shd w:val="clear" w:color="auto" w:fill="auto"/>
          </w:tcPr>
          <w:p w14:paraId="55978281" w14:textId="77777777" w:rsidR="00F95D07" w:rsidRPr="001455DC" w:rsidRDefault="00F95D07" w:rsidP="000250B6">
            <w:pPr>
              <w:pStyle w:val="Tablebody"/>
              <w:jc w:val="left"/>
              <w:rPr>
                <w:lang w:eastAsia="de-DE"/>
              </w:rPr>
            </w:pPr>
            <w:r w:rsidRPr="001455DC">
              <w:rPr>
                <w:lang w:eastAsia="de-DE"/>
              </w:rPr>
              <w:t>Minimum relative indentation area</w:t>
            </w:r>
          </w:p>
        </w:tc>
        <w:tc>
          <w:tcPr>
            <w:tcW w:w="1984" w:type="dxa"/>
            <w:shd w:val="clear" w:color="auto" w:fill="auto"/>
          </w:tcPr>
          <w:p w14:paraId="5DA3D549" w14:textId="77777777" w:rsidR="00F95D07" w:rsidRPr="001455DC" w:rsidRDefault="00F95D07" w:rsidP="00F95D07">
            <w:pPr>
              <w:pStyle w:val="Tablebody"/>
              <w:rPr>
                <w:lang w:eastAsia="de-DE"/>
              </w:rPr>
            </w:pPr>
          </w:p>
        </w:tc>
      </w:tr>
      <w:tr w:rsidR="00F95D07" w:rsidRPr="001455DC" w14:paraId="7F41D623" w14:textId="713A4A87" w:rsidTr="0066200C">
        <w:trPr>
          <w:cantSplit/>
        </w:trPr>
        <w:tc>
          <w:tcPr>
            <w:tcW w:w="1418" w:type="dxa"/>
            <w:shd w:val="clear" w:color="auto" w:fill="auto"/>
          </w:tcPr>
          <w:p w14:paraId="4B535F46" w14:textId="77777777" w:rsidR="00F95D07" w:rsidRPr="009D3012" w:rsidRDefault="00F95D07" w:rsidP="00F95D07">
            <w:pPr>
              <w:pStyle w:val="Tablebody"/>
              <w:rPr>
                <w:rStyle w:val="CCMCvariableitalic"/>
              </w:rPr>
            </w:pPr>
            <w:r w:rsidRPr="001455DC">
              <w:rPr>
                <w:rStyle w:val="CCMCvariableitalic"/>
              </w:rPr>
              <w:t>f</w:t>
            </w:r>
            <w:r w:rsidRPr="001455DC">
              <w:rPr>
                <w:rStyle w:val="CCMCvariablesubscript"/>
              </w:rPr>
              <w:t>pd</w:t>
            </w:r>
          </w:p>
        </w:tc>
        <w:tc>
          <w:tcPr>
            <w:tcW w:w="6548" w:type="dxa"/>
            <w:shd w:val="clear" w:color="auto" w:fill="auto"/>
          </w:tcPr>
          <w:p w14:paraId="587AEF79" w14:textId="77777777" w:rsidR="00F95D07" w:rsidRPr="001455DC" w:rsidRDefault="00F95D07" w:rsidP="000250B6">
            <w:pPr>
              <w:pStyle w:val="Tablebody"/>
              <w:jc w:val="left"/>
              <w:rPr>
                <w:lang w:eastAsia="de-DE"/>
              </w:rPr>
            </w:pPr>
            <w:r w:rsidRPr="001455DC">
              <w:rPr>
                <w:lang w:eastAsia="de-DE"/>
              </w:rPr>
              <w:t>Design yield strength of prestressing steel</w:t>
            </w:r>
          </w:p>
        </w:tc>
        <w:tc>
          <w:tcPr>
            <w:tcW w:w="1984" w:type="dxa"/>
          </w:tcPr>
          <w:p w14:paraId="644A044B" w14:textId="54CA998B" w:rsidR="00F95D07" w:rsidRPr="001455DC" w:rsidRDefault="00F95D07" w:rsidP="00F95D07">
            <w:pPr>
              <w:pStyle w:val="Tablebody"/>
              <w:rPr>
                <w:lang w:eastAsia="de-DE"/>
              </w:rPr>
            </w:pPr>
            <w:r w:rsidRPr="009D3012">
              <w:rPr>
                <w:lang w:eastAsia="de-DE"/>
              </w:rPr>
              <w:t>7.5(2)</w:t>
            </w:r>
          </w:p>
        </w:tc>
      </w:tr>
      <w:tr w:rsidR="00F95D07" w:rsidRPr="001455DC" w14:paraId="01605976" w14:textId="069396C7" w:rsidTr="0066200C">
        <w:trPr>
          <w:cantSplit/>
        </w:trPr>
        <w:tc>
          <w:tcPr>
            <w:tcW w:w="1418" w:type="dxa"/>
            <w:shd w:val="clear" w:color="auto" w:fill="auto"/>
          </w:tcPr>
          <w:p w14:paraId="1BC0ED1C" w14:textId="77777777" w:rsidR="00F95D07" w:rsidRPr="009D3012" w:rsidRDefault="00F95D07" w:rsidP="00F95D07">
            <w:pPr>
              <w:pStyle w:val="Tablebody"/>
              <w:rPr>
                <w:rStyle w:val="CCMCvariableitalic"/>
              </w:rPr>
            </w:pPr>
            <w:r w:rsidRPr="001455DC">
              <w:rPr>
                <w:rStyle w:val="CCMCvariableitalic"/>
              </w:rPr>
              <w:t>f</w:t>
            </w:r>
            <w:r w:rsidRPr="001455DC">
              <w:rPr>
                <w:rStyle w:val="CCMCvariablesubscript"/>
              </w:rPr>
              <w:t>pk</w:t>
            </w:r>
          </w:p>
        </w:tc>
        <w:tc>
          <w:tcPr>
            <w:tcW w:w="6548" w:type="dxa"/>
            <w:shd w:val="clear" w:color="auto" w:fill="auto"/>
          </w:tcPr>
          <w:p w14:paraId="53551054" w14:textId="77777777" w:rsidR="00F95D07" w:rsidRPr="001455DC" w:rsidRDefault="00F95D07" w:rsidP="000250B6">
            <w:pPr>
              <w:pStyle w:val="Tablebody"/>
              <w:jc w:val="left"/>
              <w:rPr>
                <w:lang w:eastAsia="de-DE"/>
              </w:rPr>
            </w:pPr>
            <w:r w:rsidRPr="001455DC">
              <w:rPr>
                <w:lang w:eastAsia="de-DE"/>
              </w:rPr>
              <w:t>Characteristic tensile strength of prestressing steel</w:t>
            </w:r>
          </w:p>
        </w:tc>
        <w:tc>
          <w:tcPr>
            <w:tcW w:w="1984" w:type="dxa"/>
          </w:tcPr>
          <w:p w14:paraId="670C087D" w14:textId="7B71444E" w:rsidR="00F95D07" w:rsidRPr="001455DC" w:rsidRDefault="00F95D07" w:rsidP="00F95D07">
            <w:pPr>
              <w:pStyle w:val="Tablebody"/>
              <w:rPr>
                <w:lang w:eastAsia="de-DE"/>
              </w:rPr>
            </w:pPr>
            <w:r w:rsidRPr="009D3012">
              <w:rPr>
                <w:lang w:eastAsia="de-DE"/>
              </w:rPr>
              <w:t>Table 5.6</w:t>
            </w:r>
          </w:p>
        </w:tc>
      </w:tr>
      <w:tr w:rsidR="00F95D07" w:rsidRPr="001455DC" w14:paraId="2F3394C5" w14:textId="53AE8617" w:rsidTr="0066200C">
        <w:trPr>
          <w:cantSplit/>
        </w:trPr>
        <w:tc>
          <w:tcPr>
            <w:tcW w:w="1418" w:type="dxa"/>
            <w:shd w:val="clear" w:color="auto" w:fill="auto"/>
          </w:tcPr>
          <w:p w14:paraId="6854A967" w14:textId="77777777" w:rsidR="00F95D07" w:rsidRPr="009D3012" w:rsidRDefault="00F95D07" w:rsidP="00F95D07">
            <w:pPr>
              <w:pStyle w:val="Tablebody"/>
              <w:rPr>
                <w:rStyle w:val="CCMCvariableitalic"/>
              </w:rPr>
            </w:pPr>
            <w:r w:rsidRPr="001455DC">
              <w:rPr>
                <w:rStyle w:val="CCMCvariableitalic"/>
              </w:rPr>
              <w:t>f</w:t>
            </w:r>
            <w:r w:rsidRPr="001455DC">
              <w:rPr>
                <w:rStyle w:val="CCMCvariablesubscript"/>
              </w:rPr>
              <w:t>p0,1</w:t>
            </w:r>
          </w:p>
        </w:tc>
        <w:tc>
          <w:tcPr>
            <w:tcW w:w="6548" w:type="dxa"/>
            <w:shd w:val="clear" w:color="auto" w:fill="auto"/>
          </w:tcPr>
          <w:p w14:paraId="12F3D4B3" w14:textId="77777777" w:rsidR="00F95D07" w:rsidRPr="001455DC" w:rsidRDefault="00F95D07" w:rsidP="000250B6">
            <w:pPr>
              <w:pStyle w:val="Tablebody"/>
              <w:jc w:val="left"/>
              <w:rPr>
                <w:lang w:eastAsia="de-DE"/>
              </w:rPr>
            </w:pPr>
            <w:r w:rsidRPr="001455DC">
              <w:rPr>
                <w:lang w:eastAsia="de-DE"/>
              </w:rPr>
              <w:t>0,1 % proof-stress of prestressing steel</w:t>
            </w:r>
          </w:p>
        </w:tc>
        <w:tc>
          <w:tcPr>
            <w:tcW w:w="1984" w:type="dxa"/>
          </w:tcPr>
          <w:p w14:paraId="695B02A9" w14:textId="43566A3C" w:rsidR="00F95D07" w:rsidRPr="001455DC" w:rsidRDefault="00F95D07" w:rsidP="00F95D07">
            <w:pPr>
              <w:pStyle w:val="Tablebody"/>
              <w:rPr>
                <w:lang w:eastAsia="de-DE"/>
              </w:rPr>
            </w:pPr>
            <w:r w:rsidRPr="009D3012">
              <w:rPr>
                <w:lang w:eastAsia="de-DE"/>
              </w:rPr>
              <w:t>Table 5.6</w:t>
            </w:r>
          </w:p>
        </w:tc>
      </w:tr>
      <w:tr w:rsidR="00F95D07" w:rsidRPr="001455DC" w14:paraId="7E8DA3E5" w14:textId="6381F338" w:rsidTr="0066200C">
        <w:trPr>
          <w:cantSplit/>
        </w:trPr>
        <w:tc>
          <w:tcPr>
            <w:tcW w:w="1418" w:type="dxa"/>
            <w:shd w:val="clear" w:color="auto" w:fill="auto"/>
          </w:tcPr>
          <w:p w14:paraId="68DF16D1" w14:textId="77777777" w:rsidR="00F95D07" w:rsidRPr="009D3012" w:rsidRDefault="00F95D07" w:rsidP="00F95D07">
            <w:pPr>
              <w:pStyle w:val="Tablebody"/>
              <w:rPr>
                <w:rStyle w:val="CCMCvariableitalic"/>
              </w:rPr>
            </w:pPr>
            <w:r w:rsidRPr="001455DC">
              <w:rPr>
                <w:rStyle w:val="CCMCvariableitalic"/>
              </w:rPr>
              <w:t>f</w:t>
            </w:r>
            <w:r w:rsidRPr="001455DC">
              <w:rPr>
                <w:rStyle w:val="CCMCvariablesubscript"/>
              </w:rPr>
              <w:t>p0,1k</w:t>
            </w:r>
          </w:p>
        </w:tc>
        <w:tc>
          <w:tcPr>
            <w:tcW w:w="6548" w:type="dxa"/>
            <w:shd w:val="clear" w:color="auto" w:fill="auto"/>
          </w:tcPr>
          <w:p w14:paraId="517B342E" w14:textId="77777777" w:rsidR="00F95D07" w:rsidRPr="001455DC" w:rsidRDefault="00F95D07" w:rsidP="000250B6">
            <w:pPr>
              <w:pStyle w:val="Tablebody"/>
              <w:jc w:val="left"/>
              <w:rPr>
                <w:lang w:eastAsia="de-DE"/>
              </w:rPr>
            </w:pPr>
            <w:r w:rsidRPr="001455DC">
              <w:rPr>
                <w:lang w:eastAsia="de-DE"/>
              </w:rPr>
              <w:t>Characteristic 0,1 % proof-stress of prestressing steel</w:t>
            </w:r>
          </w:p>
        </w:tc>
        <w:tc>
          <w:tcPr>
            <w:tcW w:w="1984" w:type="dxa"/>
          </w:tcPr>
          <w:p w14:paraId="0B5CA5C8" w14:textId="65364A0D" w:rsidR="00F95D07" w:rsidRPr="001455DC" w:rsidRDefault="00F95D07" w:rsidP="00F95D07">
            <w:pPr>
              <w:pStyle w:val="Tablebody"/>
              <w:rPr>
                <w:lang w:eastAsia="de-DE"/>
              </w:rPr>
            </w:pPr>
            <w:r w:rsidRPr="009D3012">
              <w:rPr>
                <w:lang w:eastAsia="de-DE"/>
              </w:rPr>
              <w:t>Table 5.6</w:t>
            </w:r>
          </w:p>
        </w:tc>
      </w:tr>
      <w:tr w:rsidR="00F95D07" w:rsidRPr="001455DC" w14:paraId="47843401" w14:textId="7C50957C" w:rsidTr="0066200C">
        <w:trPr>
          <w:cantSplit/>
        </w:trPr>
        <w:tc>
          <w:tcPr>
            <w:tcW w:w="1418" w:type="dxa"/>
            <w:shd w:val="clear" w:color="auto" w:fill="auto"/>
          </w:tcPr>
          <w:p w14:paraId="1AD58A92" w14:textId="77777777" w:rsidR="00F95D07" w:rsidRPr="009D3012" w:rsidRDefault="00F95D07" w:rsidP="00F95D07">
            <w:pPr>
              <w:pStyle w:val="Tablebody"/>
              <w:rPr>
                <w:rStyle w:val="CCMCvariableitalic"/>
              </w:rPr>
            </w:pPr>
            <w:r w:rsidRPr="001455DC">
              <w:rPr>
                <w:rStyle w:val="CCMCvariableitalic"/>
              </w:rPr>
              <w:t>f</w:t>
            </w:r>
            <w:r w:rsidRPr="001455DC">
              <w:rPr>
                <w:rStyle w:val="CCMCvariablesubscript"/>
              </w:rPr>
              <w:t>R</w:t>
            </w:r>
          </w:p>
        </w:tc>
        <w:tc>
          <w:tcPr>
            <w:tcW w:w="6548" w:type="dxa"/>
            <w:shd w:val="clear" w:color="auto" w:fill="auto"/>
          </w:tcPr>
          <w:p w14:paraId="0D31B89E" w14:textId="77777777" w:rsidR="00F95D07" w:rsidRPr="001455DC" w:rsidRDefault="00F95D07" w:rsidP="000250B6">
            <w:pPr>
              <w:pStyle w:val="Tablebody"/>
              <w:jc w:val="left"/>
              <w:rPr>
                <w:lang w:eastAsia="de-DE"/>
              </w:rPr>
            </w:pPr>
            <w:r w:rsidRPr="001455DC">
              <w:rPr>
                <w:lang w:eastAsia="de-DE"/>
              </w:rPr>
              <w:t>Relative rib area of reinforcement</w:t>
            </w:r>
          </w:p>
        </w:tc>
        <w:tc>
          <w:tcPr>
            <w:tcW w:w="1984" w:type="dxa"/>
          </w:tcPr>
          <w:p w14:paraId="3A83C037" w14:textId="6EC3AEC9" w:rsidR="00F95D07" w:rsidRPr="001455DC" w:rsidRDefault="00F95D07" w:rsidP="00F95D07">
            <w:pPr>
              <w:pStyle w:val="Tablebody"/>
              <w:rPr>
                <w:lang w:eastAsia="de-DE"/>
              </w:rPr>
            </w:pPr>
            <w:r w:rsidRPr="009D3012">
              <w:rPr>
                <w:lang w:eastAsia="de-DE"/>
              </w:rPr>
              <w:t>5.2.2</w:t>
            </w:r>
          </w:p>
        </w:tc>
      </w:tr>
      <w:tr w:rsidR="00F95D07" w:rsidRPr="001455DC" w14:paraId="1270FACC" w14:textId="6B71D5B8" w:rsidTr="0066200C">
        <w:trPr>
          <w:cantSplit/>
        </w:trPr>
        <w:tc>
          <w:tcPr>
            <w:tcW w:w="1418" w:type="dxa"/>
            <w:shd w:val="clear" w:color="auto" w:fill="auto"/>
          </w:tcPr>
          <w:p w14:paraId="35CBE374" w14:textId="77777777" w:rsidR="00F95D07" w:rsidRPr="009D3012" w:rsidRDefault="00F95D07" w:rsidP="00F95D07">
            <w:pPr>
              <w:pStyle w:val="Tablebody"/>
              <w:rPr>
                <w:rStyle w:val="CCMCvariableitalic"/>
              </w:rPr>
            </w:pPr>
            <w:r w:rsidRPr="001455DC">
              <w:rPr>
                <w:rStyle w:val="CCMCvariableitalic"/>
              </w:rPr>
              <w:t>f</w:t>
            </w:r>
            <w:r w:rsidRPr="001455DC">
              <w:rPr>
                <w:rStyle w:val="CCMCvariablesubscript"/>
              </w:rPr>
              <w:t>0,2k</w:t>
            </w:r>
          </w:p>
        </w:tc>
        <w:tc>
          <w:tcPr>
            <w:tcW w:w="6548" w:type="dxa"/>
            <w:shd w:val="clear" w:color="auto" w:fill="auto"/>
          </w:tcPr>
          <w:p w14:paraId="69E1B1DA" w14:textId="77777777" w:rsidR="00F95D07" w:rsidRPr="001455DC" w:rsidRDefault="00F95D07" w:rsidP="000250B6">
            <w:pPr>
              <w:pStyle w:val="Tablebody"/>
              <w:jc w:val="left"/>
              <w:rPr>
                <w:lang w:eastAsia="de-DE"/>
              </w:rPr>
            </w:pPr>
            <w:r w:rsidRPr="001455DC">
              <w:rPr>
                <w:lang w:eastAsia="de-DE"/>
              </w:rPr>
              <w:t>Characteristic 0,2 % proof-stress of reinforcement</w:t>
            </w:r>
          </w:p>
        </w:tc>
        <w:tc>
          <w:tcPr>
            <w:tcW w:w="1984" w:type="dxa"/>
          </w:tcPr>
          <w:p w14:paraId="0920E896" w14:textId="64153B98" w:rsidR="00F95D07" w:rsidRPr="001455DC" w:rsidRDefault="00F95D07" w:rsidP="00F95D07">
            <w:pPr>
              <w:pStyle w:val="Tablebody"/>
              <w:rPr>
                <w:lang w:eastAsia="de-DE"/>
              </w:rPr>
            </w:pPr>
            <w:r w:rsidRPr="009D3012">
              <w:rPr>
                <w:lang w:eastAsia="de-DE"/>
              </w:rPr>
              <w:t>5.2.2(1)</w:t>
            </w:r>
          </w:p>
        </w:tc>
      </w:tr>
      <w:tr w:rsidR="00F95D07" w:rsidRPr="001455DC" w14:paraId="620DCC14" w14:textId="4E8775F8" w:rsidTr="0066200C">
        <w:trPr>
          <w:cantSplit/>
        </w:trPr>
        <w:tc>
          <w:tcPr>
            <w:tcW w:w="1418" w:type="dxa"/>
            <w:shd w:val="clear" w:color="auto" w:fill="auto"/>
          </w:tcPr>
          <w:p w14:paraId="13522E97" w14:textId="77777777" w:rsidR="00F95D07" w:rsidRPr="009D3012" w:rsidRDefault="00F95D07" w:rsidP="00F95D07">
            <w:pPr>
              <w:pStyle w:val="Tablebody"/>
              <w:rPr>
                <w:rStyle w:val="CCMCvariableitalic"/>
              </w:rPr>
            </w:pPr>
            <w:r w:rsidRPr="001455DC">
              <w:rPr>
                <w:rStyle w:val="CCMCvariableitalic"/>
              </w:rPr>
              <w:t>f</w:t>
            </w:r>
            <w:r w:rsidRPr="001455DC">
              <w:rPr>
                <w:rStyle w:val="CCMCvariablesubscript"/>
              </w:rPr>
              <w:t>r</w:t>
            </w:r>
          </w:p>
        </w:tc>
        <w:tc>
          <w:tcPr>
            <w:tcW w:w="6548" w:type="dxa"/>
            <w:shd w:val="clear" w:color="auto" w:fill="auto"/>
          </w:tcPr>
          <w:p w14:paraId="52D21F76" w14:textId="77777777" w:rsidR="00F95D07" w:rsidRPr="001455DC" w:rsidRDefault="00F95D07" w:rsidP="000250B6">
            <w:pPr>
              <w:pStyle w:val="Tablebody"/>
              <w:jc w:val="left"/>
              <w:rPr>
                <w:lang w:eastAsia="de-DE"/>
              </w:rPr>
            </w:pPr>
            <w:r w:rsidRPr="001455DC">
              <w:rPr>
                <w:lang w:eastAsia="de-DE"/>
              </w:rPr>
              <w:t>Relative flexibility of rotational restraints at the ends of a support</w:t>
            </w:r>
          </w:p>
        </w:tc>
        <w:tc>
          <w:tcPr>
            <w:tcW w:w="1984" w:type="dxa"/>
          </w:tcPr>
          <w:p w14:paraId="3DC57CC4" w14:textId="1D9C29B0" w:rsidR="00F95D07" w:rsidRPr="001455DC" w:rsidRDefault="00F95D07" w:rsidP="00F95D07">
            <w:pPr>
              <w:pStyle w:val="Tablebody"/>
              <w:rPr>
                <w:lang w:eastAsia="de-DE"/>
              </w:rPr>
            </w:pPr>
            <w:r w:rsidRPr="009D3012">
              <w:rPr>
                <w:lang w:eastAsia="de-DE"/>
              </w:rPr>
              <w:t>O.5(2)</w:t>
            </w:r>
          </w:p>
        </w:tc>
      </w:tr>
      <w:tr w:rsidR="00F95D07" w:rsidRPr="001455DC" w14:paraId="7A442F25" w14:textId="5C504497" w:rsidTr="0066200C">
        <w:trPr>
          <w:cantSplit/>
        </w:trPr>
        <w:tc>
          <w:tcPr>
            <w:tcW w:w="1418" w:type="dxa"/>
            <w:shd w:val="clear" w:color="auto" w:fill="auto"/>
          </w:tcPr>
          <w:p w14:paraId="465B0FC7" w14:textId="77777777" w:rsidR="00F95D07" w:rsidRPr="009D3012" w:rsidRDefault="00F95D07" w:rsidP="00F95D07">
            <w:pPr>
              <w:pStyle w:val="Tablebody"/>
              <w:rPr>
                <w:rStyle w:val="CCMCvariableitalic"/>
              </w:rPr>
            </w:pPr>
            <w:r w:rsidRPr="001455DC">
              <w:rPr>
                <w:rStyle w:val="CCMCvariableitalic"/>
              </w:rPr>
              <w:t>f</w:t>
            </w:r>
            <w:r w:rsidRPr="001455DC">
              <w:rPr>
                <w:rStyle w:val="CCMCvariablesubscript"/>
              </w:rPr>
              <w:t>R,min</w:t>
            </w:r>
          </w:p>
        </w:tc>
        <w:tc>
          <w:tcPr>
            <w:tcW w:w="6548" w:type="dxa"/>
            <w:shd w:val="clear" w:color="auto" w:fill="auto"/>
          </w:tcPr>
          <w:p w14:paraId="2E793071" w14:textId="77777777" w:rsidR="00F95D07" w:rsidRPr="001455DC" w:rsidRDefault="00F95D07" w:rsidP="000250B6">
            <w:pPr>
              <w:pStyle w:val="Tablebody"/>
              <w:jc w:val="left"/>
              <w:rPr>
                <w:lang w:eastAsia="de-DE"/>
              </w:rPr>
            </w:pPr>
            <w:r w:rsidRPr="001455DC">
              <w:rPr>
                <w:lang w:eastAsia="de-DE"/>
              </w:rPr>
              <w:t>Minimum relative rib area of reinforcement</w:t>
            </w:r>
          </w:p>
        </w:tc>
        <w:tc>
          <w:tcPr>
            <w:tcW w:w="1984" w:type="dxa"/>
          </w:tcPr>
          <w:p w14:paraId="0E644972" w14:textId="0AF7F4E5" w:rsidR="00F95D07" w:rsidRPr="001455DC" w:rsidRDefault="00F95D07" w:rsidP="00F95D07">
            <w:pPr>
              <w:pStyle w:val="Tablebody"/>
              <w:rPr>
                <w:lang w:eastAsia="de-DE"/>
              </w:rPr>
            </w:pPr>
            <w:r w:rsidRPr="009D3012">
              <w:rPr>
                <w:lang w:eastAsia="de-DE"/>
              </w:rPr>
              <w:t>Table 5.4</w:t>
            </w:r>
          </w:p>
        </w:tc>
      </w:tr>
      <w:tr w:rsidR="00F95D07" w:rsidRPr="001455DC" w14:paraId="6D1FBDB1" w14:textId="3862662B" w:rsidTr="0066200C">
        <w:trPr>
          <w:cantSplit/>
        </w:trPr>
        <w:tc>
          <w:tcPr>
            <w:tcW w:w="1418" w:type="dxa"/>
            <w:shd w:val="clear" w:color="auto" w:fill="auto"/>
          </w:tcPr>
          <w:p w14:paraId="24D1A550" w14:textId="77777777" w:rsidR="00F95D07" w:rsidRPr="009D3012" w:rsidRDefault="00F95D07" w:rsidP="00F95D07">
            <w:pPr>
              <w:pStyle w:val="Tablebody"/>
              <w:rPr>
                <w:rStyle w:val="CCMCvariableitalic"/>
              </w:rPr>
            </w:pPr>
            <w:r w:rsidRPr="001455DC">
              <w:rPr>
                <w:rStyle w:val="CCMCvariableitalic"/>
              </w:rPr>
              <w:t>f</w:t>
            </w:r>
            <w:r w:rsidRPr="001455DC">
              <w:rPr>
                <w:rStyle w:val="CCMCvariablesubscript"/>
              </w:rPr>
              <w:t>t</w:t>
            </w:r>
          </w:p>
        </w:tc>
        <w:tc>
          <w:tcPr>
            <w:tcW w:w="6548" w:type="dxa"/>
            <w:shd w:val="clear" w:color="auto" w:fill="auto"/>
          </w:tcPr>
          <w:p w14:paraId="19BFC61B" w14:textId="77777777" w:rsidR="00F95D07" w:rsidRPr="001455DC" w:rsidRDefault="00F95D07" w:rsidP="000250B6">
            <w:pPr>
              <w:pStyle w:val="Tablebody"/>
              <w:jc w:val="left"/>
              <w:rPr>
                <w:lang w:eastAsia="de-DE"/>
              </w:rPr>
            </w:pPr>
            <w:r w:rsidRPr="001455DC">
              <w:rPr>
                <w:lang w:eastAsia="de-DE"/>
              </w:rPr>
              <w:t>Tensile strength of reinforcement</w:t>
            </w:r>
          </w:p>
        </w:tc>
        <w:tc>
          <w:tcPr>
            <w:tcW w:w="1984" w:type="dxa"/>
          </w:tcPr>
          <w:p w14:paraId="31F64B99" w14:textId="77777777" w:rsidR="00F95D07" w:rsidRPr="001455DC" w:rsidRDefault="00F95D07" w:rsidP="00F95D07">
            <w:pPr>
              <w:pStyle w:val="Tablebody"/>
              <w:rPr>
                <w:lang w:eastAsia="de-DE"/>
              </w:rPr>
            </w:pPr>
          </w:p>
        </w:tc>
      </w:tr>
      <w:tr w:rsidR="00F95D07" w:rsidRPr="001455DC" w14:paraId="48A32261" w14:textId="50BF0D77" w:rsidTr="0066200C">
        <w:trPr>
          <w:cantSplit/>
        </w:trPr>
        <w:tc>
          <w:tcPr>
            <w:tcW w:w="1418" w:type="dxa"/>
            <w:shd w:val="clear" w:color="auto" w:fill="auto"/>
          </w:tcPr>
          <w:p w14:paraId="75BD1EDE" w14:textId="77777777" w:rsidR="00F95D07" w:rsidRPr="009D3012" w:rsidRDefault="00F95D07" w:rsidP="00F95D07">
            <w:pPr>
              <w:pStyle w:val="Tablebody"/>
              <w:rPr>
                <w:rStyle w:val="CCMCvariableitalic"/>
              </w:rPr>
            </w:pPr>
            <w:r w:rsidRPr="001455DC">
              <w:rPr>
                <w:rStyle w:val="CCMCvariableitalic"/>
              </w:rPr>
              <w:t>f</w:t>
            </w:r>
            <w:r w:rsidRPr="001455DC">
              <w:rPr>
                <w:rStyle w:val="CCMCvariablesubscript"/>
              </w:rPr>
              <w:t>tie,fac</w:t>
            </w:r>
          </w:p>
        </w:tc>
        <w:tc>
          <w:tcPr>
            <w:tcW w:w="6548" w:type="dxa"/>
            <w:shd w:val="clear" w:color="auto" w:fill="auto"/>
          </w:tcPr>
          <w:p w14:paraId="73561651" w14:textId="77777777" w:rsidR="00F95D07" w:rsidRPr="001455DC" w:rsidRDefault="00F95D07" w:rsidP="000250B6">
            <w:pPr>
              <w:pStyle w:val="Tablebody"/>
              <w:jc w:val="left"/>
              <w:rPr>
                <w:lang w:eastAsia="de-DE"/>
              </w:rPr>
            </w:pPr>
            <w:r w:rsidRPr="001455DC">
              <w:t>tensile force per metre of the façade</w:t>
            </w:r>
          </w:p>
        </w:tc>
        <w:tc>
          <w:tcPr>
            <w:tcW w:w="1984" w:type="dxa"/>
          </w:tcPr>
          <w:p w14:paraId="4C7462C0" w14:textId="657AB242" w:rsidR="00F95D07" w:rsidRPr="001455DC" w:rsidRDefault="00F95D07" w:rsidP="00F95D07">
            <w:pPr>
              <w:pStyle w:val="Tablebody"/>
            </w:pPr>
            <w:r w:rsidRPr="009D3012">
              <w:rPr>
                <w:lang w:eastAsia="de-DE"/>
              </w:rPr>
              <w:t>12.9.2.3, 12.9.3(1)</w:t>
            </w:r>
          </w:p>
        </w:tc>
      </w:tr>
      <w:tr w:rsidR="00F95D07" w:rsidRPr="001455DC" w14:paraId="069737AB" w14:textId="27FD3565" w:rsidTr="0066200C">
        <w:trPr>
          <w:cantSplit/>
        </w:trPr>
        <w:tc>
          <w:tcPr>
            <w:tcW w:w="1418" w:type="dxa"/>
            <w:shd w:val="clear" w:color="auto" w:fill="auto"/>
          </w:tcPr>
          <w:p w14:paraId="356AADF1" w14:textId="77777777" w:rsidR="00F95D07" w:rsidRPr="009D3012" w:rsidRDefault="00F95D07" w:rsidP="00F95D07">
            <w:pPr>
              <w:pStyle w:val="Tablebody"/>
              <w:rPr>
                <w:rStyle w:val="CCMCvariableitalic"/>
              </w:rPr>
            </w:pPr>
            <w:r w:rsidRPr="001455DC">
              <w:rPr>
                <w:rStyle w:val="CCMCvariableitalic"/>
              </w:rPr>
              <w:t>f</w:t>
            </w:r>
            <w:r w:rsidRPr="001455DC">
              <w:rPr>
                <w:rStyle w:val="CCMCvariablesubscript"/>
              </w:rPr>
              <w:t>tk</w:t>
            </w:r>
          </w:p>
        </w:tc>
        <w:tc>
          <w:tcPr>
            <w:tcW w:w="6548" w:type="dxa"/>
            <w:shd w:val="clear" w:color="auto" w:fill="auto"/>
          </w:tcPr>
          <w:p w14:paraId="589FD40F" w14:textId="77777777" w:rsidR="00F95D07" w:rsidRPr="001455DC" w:rsidRDefault="00F95D07" w:rsidP="000250B6">
            <w:pPr>
              <w:pStyle w:val="Tablebody"/>
              <w:jc w:val="left"/>
              <w:rPr>
                <w:lang w:eastAsia="de-DE"/>
              </w:rPr>
            </w:pPr>
            <w:r w:rsidRPr="001455DC">
              <w:rPr>
                <w:lang w:eastAsia="de-DE"/>
              </w:rPr>
              <w:t>Characteristic tensile strength of reinforcement</w:t>
            </w:r>
          </w:p>
        </w:tc>
        <w:tc>
          <w:tcPr>
            <w:tcW w:w="1984" w:type="dxa"/>
          </w:tcPr>
          <w:p w14:paraId="37F62EC5" w14:textId="2F15693E" w:rsidR="00F95D07" w:rsidRPr="001455DC" w:rsidRDefault="00F95D07" w:rsidP="00F95D07">
            <w:pPr>
              <w:pStyle w:val="Tablebody"/>
              <w:rPr>
                <w:lang w:eastAsia="de-DE"/>
              </w:rPr>
            </w:pPr>
            <w:r w:rsidRPr="009D3012">
              <w:rPr>
                <w:lang w:eastAsia="de-DE"/>
              </w:rPr>
              <w:t>5.2.2(1)</w:t>
            </w:r>
          </w:p>
        </w:tc>
      </w:tr>
      <w:tr w:rsidR="00F95D07" w:rsidRPr="001455DC" w14:paraId="2AEEE57F" w14:textId="7A6D158D" w:rsidTr="0066200C">
        <w:trPr>
          <w:cantSplit/>
        </w:trPr>
        <w:tc>
          <w:tcPr>
            <w:tcW w:w="1418" w:type="dxa"/>
            <w:shd w:val="clear" w:color="auto" w:fill="auto"/>
          </w:tcPr>
          <w:p w14:paraId="723F4407" w14:textId="77777777" w:rsidR="00F95D07" w:rsidRPr="009D3012" w:rsidRDefault="00F95D07" w:rsidP="00F95D07">
            <w:pPr>
              <w:pStyle w:val="Tablebody"/>
              <w:rPr>
                <w:rStyle w:val="CCMCvariableitalic"/>
              </w:rPr>
            </w:pPr>
            <w:r w:rsidRPr="001455DC">
              <w:rPr>
                <w:rStyle w:val="CCMCvariableitalic"/>
              </w:rPr>
              <w:t>f</w:t>
            </w:r>
            <w:r w:rsidRPr="001455DC">
              <w:rPr>
                <w:rStyle w:val="CCMCvariablesubscript"/>
              </w:rPr>
              <w:t>y</w:t>
            </w:r>
          </w:p>
        </w:tc>
        <w:tc>
          <w:tcPr>
            <w:tcW w:w="6548" w:type="dxa"/>
            <w:shd w:val="clear" w:color="auto" w:fill="auto"/>
          </w:tcPr>
          <w:p w14:paraId="0021C77E" w14:textId="77777777" w:rsidR="00F95D07" w:rsidRPr="001455DC" w:rsidRDefault="00F95D07" w:rsidP="000250B6">
            <w:pPr>
              <w:pStyle w:val="Tablebody"/>
              <w:jc w:val="left"/>
              <w:rPr>
                <w:lang w:eastAsia="de-DE"/>
              </w:rPr>
            </w:pPr>
            <w:r w:rsidRPr="001455DC">
              <w:rPr>
                <w:lang w:eastAsia="de-DE"/>
              </w:rPr>
              <w:t>Yield strength of reinforcement</w:t>
            </w:r>
          </w:p>
        </w:tc>
        <w:tc>
          <w:tcPr>
            <w:tcW w:w="1984" w:type="dxa"/>
          </w:tcPr>
          <w:p w14:paraId="45E0C832" w14:textId="77777777" w:rsidR="00F95D07" w:rsidRPr="001455DC" w:rsidRDefault="00F95D07" w:rsidP="00F95D07">
            <w:pPr>
              <w:pStyle w:val="Tablebody"/>
              <w:rPr>
                <w:lang w:eastAsia="de-DE"/>
              </w:rPr>
            </w:pPr>
          </w:p>
        </w:tc>
      </w:tr>
      <w:tr w:rsidR="00F95D07" w:rsidRPr="001455DC" w14:paraId="09CF7238" w14:textId="5B6CF74F" w:rsidTr="0066200C">
        <w:trPr>
          <w:cantSplit/>
        </w:trPr>
        <w:tc>
          <w:tcPr>
            <w:tcW w:w="1418" w:type="dxa"/>
            <w:shd w:val="clear" w:color="auto" w:fill="auto"/>
          </w:tcPr>
          <w:p w14:paraId="29E6FFDF" w14:textId="77777777" w:rsidR="00F95D07" w:rsidRPr="009D3012" w:rsidRDefault="00F95D07" w:rsidP="00F95D07">
            <w:pPr>
              <w:pStyle w:val="Tablebody"/>
              <w:rPr>
                <w:rStyle w:val="CCMCvariableitalic"/>
              </w:rPr>
            </w:pPr>
            <w:r w:rsidRPr="001455DC">
              <w:rPr>
                <w:rStyle w:val="CCMCvariableitalic"/>
              </w:rPr>
              <w:t>f</w:t>
            </w:r>
            <w:r w:rsidRPr="001455DC">
              <w:rPr>
                <w:rStyle w:val="CCMCvariablesubscript"/>
              </w:rPr>
              <w:t>yd</w:t>
            </w:r>
          </w:p>
        </w:tc>
        <w:tc>
          <w:tcPr>
            <w:tcW w:w="6548" w:type="dxa"/>
            <w:shd w:val="clear" w:color="auto" w:fill="auto"/>
          </w:tcPr>
          <w:p w14:paraId="1DF2E1DC" w14:textId="77777777" w:rsidR="00F95D07" w:rsidRPr="001455DC" w:rsidRDefault="00F95D07" w:rsidP="000250B6">
            <w:pPr>
              <w:pStyle w:val="Tablebody"/>
              <w:jc w:val="left"/>
              <w:rPr>
                <w:lang w:eastAsia="de-DE"/>
              </w:rPr>
            </w:pPr>
            <w:r w:rsidRPr="001455DC">
              <w:rPr>
                <w:lang w:eastAsia="de-DE"/>
              </w:rPr>
              <w:t>Design yield strength of reinforcement</w:t>
            </w:r>
          </w:p>
        </w:tc>
        <w:tc>
          <w:tcPr>
            <w:tcW w:w="1984" w:type="dxa"/>
          </w:tcPr>
          <w:p w14:paraId="7E588709" w14:textId="63732C23" w:rsidR="00F95D07" w:rsidRPr="001455DC" w:rsidRDefault="00F95D07" w:rsidP="00F95D07">
            <w:pPr>
              <w:pStyle w:val="Tablebody"/>
              <w:rPr>
                <w:lang w:eastAsia="de-DE"/>
              </w:rPr>
            </w:pPr>
            <w:r w:rsidRPr="009D3012">
              <w:rPr>
                <w:lang w:eastAsia="de-DE"/>
              </w:rPr>
              <w:t>5.2.4(1)</w:t>
            </w:r>
          </w:p>
        </w:tc>
      </w:tr>
      <w:tr w:rsidR="00F95D07" w:rsidRPr="001455DC" w14:paraId="14E90028" w14:textId="25414F58" w:rsidTr="0066200C">
        <w:trPr>
          <w:cantSplit/>
        </w:trPr>
        <w:tc>
          <w:tcPr>
            <w:tcW w:w="1418" w:type="dxa"/>
            <w:shd w:val="clear" w:color="auto" w:fill="auto"/>
          </w:tcPr>
          <w:p w14:paraId="765D71C8" w14:textId="77777777" w:rsidR="00F95D07" w:rsidRPr="009D3012" w:rsidRDefault="00F95D07" w:rsidP="00F95D07">
            <w:pPr>
              <w:pStyle w:val="Tablebody"/>
              <w:rPr>
                <w:rStyle w:val="CCMCvariableitalic"/>
              </w:rPr>
            </w:pPr>
            <w:r w:rsidRPr="001455DC">
              <w:rPr>
                <w:rStyle w:val="CCMCvariableitalic"/>
              </w:rPr>
              <w:t>f</w:t>
            </w:r>
            <w:r w:rsidRPr="001455DC">
              <w:rPr>
                <w:rStyle w:val="CCMCvariablesubscript"/>
              </w:rPr>
              <w:t>yk</w:t>
            </w:r>
          </w:p>
        </w:tc>
        <w:tc>
          <w:tcPr>
            <w:tcW w:w="6548" w:type="dxa"/>
            <w:shd w:val="clear" w:color="auto" w:fill="auto"/>
          </w:tcPr>
          <w:p w14:paraId="79E302A2" w14:textId="77777777" w:rsidR="00F95D07" w:rsidRPr="001455DC" w:rsidRDefault="00F95D07" w:rsidP="000250B6">
            <w:pPr>
              <w:pStyle w:val="Tablebody"/>
              <w:jc w:val="left"/>
              <w:rPr>
                <w:lang w:eastAsia="de-DE"/>
              </w:rPr>
            </w:pPr>
            <w:r w:rsidRPr="001455DC">
              <w:rPr>
                <w:lang w:eastAsia="de-DE"/>
              </w:rPr>
              <w:t xml:space="preserve">Characteristic value </w:t>
            </w:r>
            <w:r w:rsidRPr="001455DC">
              <w:t>of yield strength of reinforcement or, if yield phenomenon is not present, the characteristic value of 0,2 % proof strength</w:t>
            </w:r>
          </w:p>
        </w:tc>
        <w:tc>
          <w:tcPr>
            <w:tcW w:w="1984" w:type="dxa"/>
          </w:tcPr>
          <w:p w14:paraId="558DAC2C" w14:textId="547138E5" w:rsidR="00F95D07" w:rsidRPr="001455DC" w:rsidRDefault="00F95D07" w:rsidP="00F95D07">
            <w:pPr>
              <w:pStyle w:val="Tablebody"/>
              <w:rPr>
                <w:lang w:eastAsia="de-DE"/>
              </w:rPr>
            </w:pPr>
            <w:r w:rsidRPr="009D3012">
              <w:rPr>
                <w:lang w:eastAsia="de-DE"/>
              </w:rPr>
              <w:t>Table 5.4, 9.2.2(2), (8), 11.3(3)</w:t>
            </w:r>
          </w:p>
        </w:tc>
      </w:tr>
      <w:tr w:rsidR="00F95D07" w:rsidRPr="001455DC" w14:paraId="14C9D856" w14:textId="3712FF95" w:rsidTr="0066200C">
        <w:trPr>
          <w:cantSplit/>
        </w:trPr>
        <w:tc>
          <w:tcPr>
            <w:tcW w:w="1418" w:type="dxa"/>
            <w:shd w:val="clear" w:color="auto" w:fill="auto"/>
          </w:tcPr>
          <w:p w14:paraId="49B7C962" w14:textId="77777777" w:rsidR="00F95D07" w:rsidRPr="009D3012" w:rsidRDefault="00F95D07" w:rsidP="00F95D07">
            <w:pPr>
              <w:pStyle w:val="Tablebody"/>
              <w:rPr>
                <w:rStyle w:val="CCMCvariableitalic"/>
              </w:rPr>
            </w:pPr>
            <w:r w:rsidRPr="001455DC">
              <w:rPr>
                <w:rStyle w:val="CCMCvariableitalic"/>
              </w:rPr>
              <w:t>f</w:t>
            </w:r>
            <w:r w:rsidRPr="001455DC">
              <w:rPr>
                <w:rStyle w:val="CCMCvariablesubscript"/>
              </w:rPr>
              <w:t>ywd</w:t>
            </w:r>
          </w:p>
        </w:tc>
        <w:tc>
          <w:tcPr>
            <w:tcW w:w="6548" w:type="dxa"/>
            <w:shd w:val="clear" w:color="auto" w:fill="auto"/>
          </w:tcPr>
          <w:p w14:paraId="2AB5A00D" w14:textId="77777777" w:rsidR="00F95D07" w:rsidRPr="001455DC" w:rsidRDefault="00F95D07" w:rsidP="000250B6">
            <w:pPr>
              <w:pStyle w:val="Tablebody"/>
              <w:jc w:val="left"/>
              <w:rPr>
                <w:lang w:eastAsia="de-DE"/>
              </w:rPr>
            </w:pPr>
            <w:r w:rsidRPr="001455DC">
              <w:rPr>
                <w:lang w:eastAsia="de-DE"/>
              </w:rPr>
              <w:t>Design yield strength of shear reinforcement</w:t>
            </w:r>
          </w:p>
        </w:tc>
        <w:tc>
          <w:tcPr>
            <w:tcW w:w="1984" w:type="dxa"/>
            <w:shd w:val="clear" w:color="auto" w:fill="auto"/>
          </w:tcPr>
          <w:p w14:paraId="16A07E8A" w14:textId="77777777" w:rsidR="00F95D07" w:rsidRPr="001455DC" w:rsidRDefault="00F95D07" w:rsidP="00F95D07">
            <w:pPr>
              <w:tabs>
                <w:tab w:val="left" w:pos="-720"/>
              </w:tabs>
              <w:suppressAutoHyphens/>
              <w:spacing w:before="40" w:after="40"/>
              <w:rPr>
                <w:lang w:eastAsia="de-DE"/>
              </w:rPr>
            </w:pPr>
            <w:r w:rsidRPr="009D3012">
              <w:rPr>
                <w:lang w:eastAsia="de-DE"/>
              </w:rPr>
              <w:t>8.2.3(4), 8.4.4(1)</w:t>
            </w:r>
          </w:p>
          <w:p w14:paraId="6EE3CAAC" w14:textId="26232357" w:rsidR="00F95D07" w:rsidRPr="001455DC" w:rsidRDefault="00F95D07" w:rsidP="00F95D07">
            <w:pPr>
              <w:pStyle w:val="Tablebody"/>
              <w:rPr>
                <w:lang w:eastAsia="de-DE"/>
              </w:rPr>
            </w:pPr>
            <w:r w:rsidRPr="009D3012">
              <w:rPr>
                <w:lang w:eastAsia="de-DE"/>
              </w:rPr>
              <w:t>9.2.2 (1), 9.2.4(5), 9.3.3(2)</w:t>
            </w:r>
          </w:p>
        </w:tc>
      </w:tr>
      <w:tr w:rsidR="00F95D07" w:rsidRPr="001455DC" w14:paraId="3F22C3AB" w14:textId="33E316A1" w:rsidTr="0066200C">
        <w:trPr>
          <w:cantSplit/>
        </w:trPr>
        <w:tc>
          <w:tcPr>
            <w:tcW w:w="1418" w:type="dxa"/>
            <w:shd w:val="clear" w:color="auto" w:fill="auto"/>
          </w:tcPr>
          <w:p w14:paraId="1E7D04E8" w14:textId="77777777" w:rsidR="00F95D07" w:rsidRPr="009D3012" w:rsidRDefault="00F95D07" w:rsidP="00F95D07">
            <w:pPr>
              <w:pStyle w:val="Tablebody"/>
              <w:rPr>
                <w:rStyle w:val="CCMCvariableitalic"/>
              </w:rPr>
            </w:pPr>
            <w:r w:rsidRPr="001455DC">
              <w:rPr>
                <w:rStyle w:val="CCMCvariableitalic"/>
              </w:rPr>
              <w:t>h</w:t>
            </w:r>
          </w:p>
        </w:tc>
        <w:tc>
          <w:tcPr>
            <w:tcW w:w="6548" w:type="dxa"/>
            <w:shd w:val="clear" w:color="auto" w:fill="auto"/>
          </w:tcPr>
          <w:p w14:paraId="3D31EB75" w14:textId="3C8C0405" w:rsidR="00F95D07" w:rsidRPr="001455DC" w:rsidRDefault="00F95D07" w:rsidP="000250B6">
            <w:pPr>
              <w:pStyle w:val="Tablebody"/>
              <w:jc w:val="left"/>
              <w:rPr>
                <w:lang w:eastAsia="de-DE"/>
              </w:rPr>
            </w:pPr>
            <w:r w:rsidRPr="001455DC">
              <w:rPr>
                <w:lang w:eastAsia="de-DE"/>
              </w:rPr>
              <w:t>Overall depth of a cross</w:t>
            </w:r>
            <w:r w:rsidR="00B10711" w:rsidRPr="001455DC">
              <w:rPr>
                <w:lang w:eastAsia="de-DE"/>
              </w:rPr>
              <w:t xml:space="preserve"> </w:t>
            </w:r>
            <w:r w:rsidRPr="001455DC">
              <w:rPr>
                <w:lang w:eastAsia="de-DE"/>
              </w:rPr>
              <w:t>section or of a part of a cross section</w:t>
            </w:r>
          </w:p>
        </w:tc>
        <w:tc>
          <w:tcPr>
            <w:tcW w:w="1984" w:type="dxa"/>
          </w:tcPr>
          <w:p w14:paraId="29E7F8EE" w14:textId="77777777" w:rsidR="00F95D07" w:rsidRPr="001455DC" w:rsidRDefault="00F95D07" w:rsidP="00F95D07">
            <w:pPr>
              <w:pStyle w:val="Tablebody"/>
              <w:rPr>
                <w:lang w:eastAsia="de-DE"/>
              </w:rPr>
            </w:pPr>
          </w:p>
        </w:tc>
      </w:tr>
      <w:tr w:rsidR="00F95D07" w:rsidRPr="001455DC" w14:paraId="1AAD789B" w14:textId="43457F27" w:rsidTr="0066200C">
        <w:trPr>
          <w:cantSplit/>
        </w:trPr>
        <w:tc>
          <w:tcPr>
            <w:tcW w:w="1418" w:type="dxa"/>
            <w:shd w:val="clear" w:color="auto" w:fill="auto"/>
          </w:tcPr>
          <w:p w14:paraId="33B93AA2" w14:textId="77777777" w:rsidR="00F95D07" w:rsidRPr="009D3012" w:rsidRDefault="00F95D07" w:rsidP="00F95D07">
            <w:pPr>
              <w:pStyle w:val="Tablebody"/>
              <w:rPr>
                <w:rStyle w:val="CCMCvariableitalic"/>
              </w:rPr>
            </w:pPr>
            <w:r w:rsidRPr="001455DC">
              <w:rPr>
                <w:rStyle w:val="CCMCvariableitalic"/>
              </w:rPr>
              <w:t>h</w:t>
            </w:r>
            <w:r w:rsidRPr="001455DC">
              <w:rPr>
                <w:rStyle w:val="CCMCvariablesubscript"/>
              </w:rPr>
              <w:t>c,eff</w:t>
            </w:r>
          </w:p>
        </w:tc>
        <w:tc>
          <w:tcPr>
            <w:tcW w:w="6548" w:type="dxa"/>
            <w:shd w:val="clear" w:color="auto" w:fill="auto"/>
          </w:tcPr>
          <w:p w14:paraId="640B2594" w14:textId="77777777" w:rsidR="00F95D07" w:rsidRPr="001455DC" w:rsidRDefault="00F95D07" w:rsidP="000250B6">
            <w:pPr>
              <w:pStyle w:val="Tablebody"/>
              <w:jc w:val="left"/>
              <w:rPr>
                <w:lang w:eastAsia="de-DE"/>
              </w:rPr>
            </w:pPr>
            <w:r w:rsidRPr="001455DC">
              <w:rPr>
                <w:lang w:eastAsia="de-DE"/>
              </w:rPr>
              <w:t>Height of the effective concrete area around reinforcement</w:t>
            </w:r>
          </w:p>
        </w:tc>
        <w:tc>
          <w:tcPr>
            <w:tcW w:w="1984" w:type="dxa"/>
          </w:tcPr>
          <w:p w14:paraId="5C2BD9F3" w14:textId="2D0F84B7" w:rsidR="00F95D07" w:rsidRPr="001455DC" w:rsidRDefault="00F95D07" w:rsidP="00F95D07">
            <w:pPr>
              <w:pStyle w:val="Tablebody"/>
              <w:rPr>
                <w:lang w:eastAsia="de-DE"/>
              </w:rPr>
            </w:pPr>
            <w:r w:rsidRPr="009D3012">
              <w:rPr>
                <w:lang w:eastAsia="de-DE"/>
              </w:rPr>
              <w:t>9.2.1 (7), 9.2.2 (3)</w:t>
            </w:r>
          </w:p>
        </w:tc>
      </w:tr>
      <w:tr w:rsidR="00F95D07" w:rsidRPr="001455DC" w14:paraId="0D8AAEA2" w14:textId="195536DE" w:rsidTr="0066200C">
        <w:trPr>
          <w:cantSplit/>
        </w:trPr>
        <w:tc>
          <w:tcPr>
            <w:tcW w:w="1418" w:type="dxa"/>
            <w:shd w:val="clear" w:color="auto" w:fill="auto"/>
          </w:tcPr>
          <w:p w14:paraId="0BF8A3FC" w14:textId="77777777" w:rsidR="00F95D07" w:rsidRPr="009D3012" w:rsidRDefault="00F95D07" w:rsidP="00F95D07">
            <w:pPr>
              <w:pStyle w:val="Tablebody"/>
              <w:rPr>
                <w:rStyle w:val="CCMCvariableitalic"/>
              </w:rPr>
            </w:pPr>
            <w:r w:rsidRPr="001455DC">
              <w:rPr>
                <w:rStyle w:val="CCMCvariableitalic"/>
              </w:rPr>
              <w:t>h</w:t>
            </w:r>
            <w:r w:rsidRPr="001455DC">
              <w:rPr>
                <w:rStyle w:val="CCMCvariablesubscript"/>
              </w:rPr>
              <w:t>D</w:t>
            </w:r>
          </w:p>
        </w:tc>
        <w:tc>
          <w:tcPr>
            <w:tcW w:w="6548" w:type="dxa"/>
            <w:shd w:val="clear" w:color="auto" w:fill="auto"/>
          </w:tcPr>
          <w:p w14:paraId="5CB7AD92" w14:textId="77777777" w:rsidR="00F95D07" w:rsidRPr="001455DC" w:rsidRDefault="00F95D07" w:rsidP="000250B6">
            <w:pPr>
              <w:pStyle w:val="Tablebody"/>
              <w:jc w:val="left"/>
              <w:rPr>
                <w:lang w:eastAsia="de-DE"/>
              </w:rPr>
            </w:pPr>
            <w:r w:rsidRPr="001455DC">
              <w:rPr>
                <w:lang w:eastAsia="de-DE"/>
              </w:rPr>
              <w:t>Hydrostatic head</w:t>
            </w:r>
          </w:p>
        </w:tc>
        <w:tc>
          <w:tcPr>
            <w:tcW w:w="1984" w:type="dxa"/>
          </w:tcPr>
          <w:p w14:paraId="7526923A" w14:textId="6283148C" w:rsidR="00F95D07" w:rsidRPr="001455DC" w:rsidRDefault="00F95D07">
            <w:pPr>
              <w:pStyle w:val="Tablebody"/>
              <w:rPr>
                <w:lang w:eastAsia="de-DE"/>
              </w:rPr>
            </w:pPr>
            <w:r w:rsidRPr="009D3012">
              <w:rPr>
                <w:lang w:eastAsia="de-DE"/>
              </w:rPr>
              <w:t>H.</w:t>
            </w:r>
            <w:r w:rsidR="006E0B24" w:rsidRPr="009D3012">
              <w:rPr>
                <w:lang w:eastAsia="de-DE"/>
              </w:rPr>
              <w:t>4</w:t>
            </w:r>
            <w:r w:rsidRPr="009D3012">
              <w:rPr>
                <w:lang w:eastAsia="de-DE"/>
              </w:rPr>
              <w:t>.2(2)</w:t>
            </w:r>
          </w:p>
        </w:tc>
      </w:tr>
      <w:tr w:rsidR="00F95D07" w:rsidRPr="001455DC" w14:paraId="6548BF61" w14:textId="63C4A205" w:rsidTr="0066200C">
        <w:trPr>
          <w:cantSplit/>
        </w:trPr>
        <w:tc>
          <w:tcPr>
            <w:tcW w:w="1418" w:type="dxa"/>
            <w:shd w:val="clear" w:color="auto" w:fill="auto"/>
          </w:tcPr>
          <w:p w14:paraId="1C5A223E" w14:textId="77777777" w:rsidR="00F95D07" w:rsidRPr="009D3012" w:rsidRDefault="00F95D07" w:rsidP="00F95D07">
            <w:pPr>
              <w:pStyle w:val="Tablebody"/>
              <w:rPr>
                <w:rStyle w:val="CCMCvariablesubscript"/>
              </w:rPr>
            </w:pPr>
            <w:r w:rsidRPr="001455DC">
              <w:rPr>
                <w:rStyle w:val="CCMCvariableitalic"/>
              </w:rPr>
              <w:t>h</w:t>
            </w:r>
            <w:r w:rsidRPr="001455DC">
              <w:rPr>
                <w:rStyle w:val="CCMCvariablesubscript"/>
              </w:rPr>
              <w:t>found</w:t>
            </w:r>
          </w:p>
        </w:tc>
        <w:tc>
          <w:tcPr>
            <w:tcW w:w="6548" w:type="dxa"/>
            <w:shd w:val="clear" w:color="auto" w:fill="auto"/>
          </w:tcPr>
          <w:p w14:paraId="48E07080" w14:textId="77777777" w:rsidR="00F95D07" w:rsidRPr="001455DC" w:rsidRDefault="00F95D07" w:rsidP="000250B6">
            <w:pPr>
              <w:pStyle w:val="Tablebody"/>
              <w:jc w:val="left"/>
              <w:rPr>
                <w:lang w:eastAsia="de-DE"/>
              </w:rPr>
            </w:pPr>
            <w:r w:rsidRPr="001455DC">
              <w:rPr>
                <w:lang w:eastAsia="de-DE"/>
              </w:rPr>
              <w:t>Foundation depth;</w:t>
            </w:r>
          </w:p>
        </w:tc>
        <w:tc>
          <w:tcPr>
            <w:tcW w:w="1984" w:type="dxa"/>
          </w:tcPr>
          <w:p w14:paraId="098889D6" w14:textId="45650617" w:rsidR="00F95D07" w:rsidRPr="001455DC" w:rsidRDefault="00F95D07" w:rsidP="00F95D07">
            <w:pPr>
              <w:pStyle w:val="Tablebody"/>
              <w:rPr>
                <w:lang w:eastAsia="de-DE"/>
              </w:rPr>
            </w:pPr>
            <w:r w:rsidRPr="009D3012">
              <w:rPr>
                <w:lang w:eastAsia="de-DE"/>
              </w:rPr>
              <w:t>14.6.3(1)</w:t>
            </w:r>
          </w:p>
        </w:tc>
      </w:tr>
      <w:tr w:rsidR="00F95D07" w:rsidRPr="001455DC" w14:paraId="5A57405C" w14:textId="561C9F6C" w:rsidTr="0066200C">
        <w:trPr>
          <w:cantSplit/>
        </w:trPr>
        <w:tc>
          <w:tcPr>
            <w:tcW w:w="1418" w:type="dxa"/>
            <w:shd w:val="clear" w:color="auto" w:fill="auto"/>
          </w:tcPr>
          <w:p w14:paraId="32E2E71F" w14:textId="77777777" w:rsidR="00F95D07" w:rsidRPr="009D3012" w:rsidRDefault="00F95D07" w:rsidP="00F95D07">
            <w:pPr>
              <w:pStyle w:val="Tablebody"/>
              <w:rPr>
                <w:rStyle w:val="CCMCvariableitalic"/>
              </w:rPr>
            </w:pPr>
            <w:r w:rsidRPr="001455DC">
              <w:rPr>
                <w:rStyle w:val="CCMCvariableitalic"/>
              </w:rPr>
              <w:t>h</w:t>
            </w:r>
            <w:r w:rsidRPr="001455DC">
              <w:rPr>
                <w:rStyle w:val="CCMCvariablesubscript"/>
              </w:rPr>
              <w:t>f</w:t>
            </w:r>
          </w:p>
        </w:tc>
        <w:tc>
          <w:tcPr>
            <w:tcW w:w="6548" w:type="dxa"/>
            <w:shd w:val="clear" w:color="auto" w:fill="auto"/>
          </w:tcPr>
          <w:p w14:paraId="45C965E8" w14:textId="77777777" w:rsidR="00F95D07" w:rsidRPr="001455DC" w:rsidRDefault="00F95D07" w:rsidP="000250B6">
            <w:pPr>
              <w:pStyle w:val="Tablebody"/>
              <w:jc w:val="left"/>
              <w:rPr>
                <w:lang w:eastAsia="de-DE"/>
              </w:rPr>
            </w:pPr>
            <w:r w:rsidRPr="001455DC">
              <w:rPr>
                <w:lang w:eastAsia="de-DE"/>
              </w:rPr>
              <w:t>Thickness of a flange at the junction with the web</w:t>
            </w:r>
          </w:p>
        </w:tc>
        <w:tc>
          <w:tcPr>
            <w:tcW w:w="1984" w:type="dxa"/>
          </w:tcPr>
          <w:p w14:paraId="231CD36B" w14:textId="4FA77506" w:rsidR="00F95D07" w:rsidRPr="001455DC" w:rsidRDefault="00F95D07" w:rsidP="00F95D07">
            <w:pPr>
              <w:pStyle w:val="Tablebody"/>
              <w:rPr>
                <w:lang w:eastAsia="de-DE"/>
              </w:rPr>
            </w:pPr>
            <w:r w:rsidRPr="009D3012">
              <w:rPr>
                <w:lang w:eastAsia="de-DE"/>
              </w:rPr>
              <w:t>8.2.5(1)</w:t>
            </w:r>
          </w:p>
        </w:tc>
      </w:tr>
      <w:tr w:rsidR="00F95D07" w:rsidRPr="001455DC" w14:paraId="70854742" w14:textId="23E779E7" w:rsidTr="0066200C">
        <w:trPr>
          <w:cantSplit/>
        </w:trPr>
        <w:tc>
          <w:tcPr>
            <w:tcW w:w="1418" w:type="dxa"/>
            <w:shd w:val="clear" w:color="auto" w:fill="auto"/>
          </w:tcPr>
          <w:p w14:paraId="604CE369" w14:textId="77777777" w:rsidR="00F95D07" w:rsidRPr="009D3012" w:rsidRDefault="00F95D07" w:rsidP="00F95D07">
            <w:pPr>
              <w:pStyle w:val="Tablebody"/>
              <w:rPr>
                <w:rStyle w:val="CCMCvariableitalic"/>
              </w:rPr>
            </w:pPr>
            <w:r w:rsidRPr="001455DC">
              <w:rPr>
                <w:rStyle w:val="CCMCvariableitalic"/>
              </w:rPr>
              <w:t>h</w:t>
            </w:r>
            <w:r w:rsidRPr="001455DC">
              <w:rPr>
                <w:rStyle w:val="CCMCvariablesubscript"/>
              </w:rPr>
              <w:t>n</w:t>
            </w:r>
          </w:p>
        </w:tc>
        <w:tc>
          <w:tcPr>
            <w:tcW w:w="6548" w:type="dxa"/>
            <w:shd w:val="clear" w:color="auto" w:fill="auto"/>
          </w:tcPr>
          <w:p w14:paraId="00BD12C2" w14:textId="77777777" w:rsidR="00F95D07" w:rsidRPr="001455DC" w:rsidRDefault="00F95D07" w:rsidP="000250B6">
            <w:pPr>
              <w:pStyle w:val="Tablebody"/>
              <w:jc w:val="left"/>
              <w:rPr>
                <w:lang w:eastAsia="de-DE"/>
              </w:rPr>
            </w:pPr>
            <w:r w:rsidRPr="001455DC">
              <w:rPr>
                <w:lang w:eastAsia="de-DE"/>
              </w:rPr>
              <w:t xml:space="preserve">Notional size of concrete member </w:t>
            </w:r>
          </w:p>
        </w:tc>
        <w:tc>
          <w:tcPr>
            <w:tcW w:w="1984" w:type="dxa"/>
          </w:tcPr>
          <w:p w14:paraId="023C5815" w14:textId="5CFF9CBF" w:rsidR="00F95D07" w:rsidRPr="001455DC" w:rsidRDefault="00F95D07" w:rsidP="0066200C">
            <w:pPr>
              <w:pStyle w:val="Tablebody"/>
              <w:rPr>
                <w:lang w:eastAsia="de-DE"/>
              </w:rPr>
            </w:pPr>
            <w:r w:rsidRPr="009D3012">
              <w:rPr>
                <w:lang w:eastAsia="de-DE"/>
              </w:rPr>
              <w:t>B.</w:t>
            </w:r>
            <w:r w:rsidR="007D653E" w:rsidRPr="009D3012">
              <w:rPr>
                <w:lang w:eastAsia="de-DE"/>
              </w:rPr>
              <w:t>4</w:t>
            </w:r>
            <w:r w:rsidRPr="009D3012">
              <w:rPr>
                <w:lang w:eastAsia="de-DE"/>
              </w:rPr>
              <w:t>(3) Table 5.2, Table 5.3(NDP)</w:t>
            </w:r>
          </w:p>
        </w:tc>
      </w:tr>
      <w:tr w:rsidR="00F95D07" w:rsidRPr="001455DC" w14:paraId="0880BFEF" w14:textId="600BC3D7" w:rsidTr="0066200C">
        <w:trPr>
          <w:cantSplit/>
        </w:trPr>
        <w:tc>
          <w:tcPr>
            <w:tcW w:w="1418" w:type="dxa"/>
            <w:shd w:val="clear" w:color="auto" w:fill="auto"/>
          </w:tcPr>
          <w:p w14:paraId="440BA451" w14:textId="77777777" w:rsidR="00F95D07" w:rsidRPr="009D3012" w:rsidRDefault="00F95D07" w:rsidP="00F95D07">
            <w:pPr>
              <w:pStyle w:val="Tablebody"/>
              <w:rPr>
                <w:rStyle w:val="CCMCvariableitalic"/>
              </w:rPr>
            </w:pPr>
            <w:r w:rsidRPr="001455DC">
              <w:rPr>
                <w:rStyle w:val="CCMCvariableitalic"/>
              </w:rPr>
              <w:t>i</w:t>
            </w:r>
          </w:p>
        </w:tc>
        <w:tc>
          <w:tcPr>
            <w:tcW w:w="6548" w:type="dxa"/>
            <w:shd w:val="clear" w:color="auto" w:fill="auto"/>
          </w:tcPr>
          <w:p w14:paraId="0DAB87AD" w14:textId="77777777" w:rsidR="00F95D07" w:rsidRPr="001455DC" w:rsidRDefault="00F95D07" w:rsidP="000250B6">
            <w:pPr>
              <w:pStyle w:val="Tablebody"/>
              <w:jc w:val="left"/>
              <w:rPr>
                <w:lang w:eastAsia="de-DE"/>
              </w:rPr>
            </w:pPr>
            <w:r w:rsidRPr="001455DC">
              <w:rPr>
                <w:lang w:eastAsia="de-DE"/>
              </w:rPr>
              <w:t>Radius of gyration</w:t>
            </w:r>
          </w:p>
        </w:tc>
        <w:tc>
          <w:tcPr>
            <w:tcW w:w="1984" w:type="dxa"/>
          </w:tcPr>
          <w:p w14:paraId="3E650160" w14:textId="71DDDDAC" w:rsidR="00F95D07" w:rsidRPr="001455DC" w:rsidRDefault="00F95D07" w:rsidP="00F95D07">
            <w:pPr>
              <w:pStyle w:val="Tablebody"/>
              <w:rPr>
                <w:lang w:eastAsia="de-DE"/>
              </w:rPr>
            </w:pPr>
            <w:r w:rsidRPr="009D3012">
              <w:rPr>
                <w:lang w:eastAsia="de-DE"/>
              </w:rPr>
              <w:t>14.4.5.1(1), Annex O</w:t>
            </w:r>
          </w:p>
        </w:tc>
      </w:tr>
      <w:tr w:rsidR="00F95D07" w:rsidRPr="001455DC" w14:paraId="2AEC93FC" w14:textId="43F28A6E" w:rsidTr="0066200C">
        <w:trPr>
          <w:cantSplit/>
        </w:trPr>
        <w:tc>
          <w:tcPr>
            <w:tcW w:w="1418" w:type="dxa"/>
            <w:shd w:val="clear" w:color="auto" w:fill="auto"/>
          </w:tcPr>
          <w:p w14:paraId="4E4FDD42" w14:textId="77777777" w:rsidR="00F95D07" w:rsidRPr="009D3012" w:rsidRDefault="00F95D07" w:rsidP="00F95D07">
            <w:pPr>
              <w:pStyle w:val="Tablebody"/>
              <w:rPr>
                <w:rStyle w:val="CCMCvariableitalic"/>
              </w:rPr>
            </w:pPr>
            <w:r w:rsidRPr="001455DC">
              <w:rPr>
                <w:rStyle w:val="CCMCvariableitalic"/>
              </w:rPr>
              <w:t>i</w:t>
            </w:r>
            <w:r w:rsidRPr="001455DC">
              <w:rPr>
                <w:rStyle w:val="CCMCvariablesubscript"/>
              </w:rPr>
              <w:t>y</w:t>
            </w:r>
          </w:p>
        </w:tc>
        <w:tc>
          <w:tcPr>
            <w:tcW w:w="6548" w:type="dxa"/>
            <w:shd w:val="clear" w:color="auto" w:fill="auto"/>
          </w:tcPr>
          <w:p w14:paraId="68E817F9" w14:textId="77777777" w:rsidR="00F95D07" w:rsidRPr="001455DC" w:rsidRDefault="00F95D07" w:rsidP="000250B6">
            <w:pPr>
              <w:pStyle w:val="Tablebody"/>
              <w:jc w:val="left"/>
              <w:rPr>
                <w:lang w:eastAsia="de-DE"/>
              </w:rPr>
            </w:pPr>
            <w:r w:rsidRPr="001455DC">
              <w:rPr>
                <w:lang w:eastAsia="de-DE"/>
              </w:rPr>
              <w:t xml:space="preserve">Radius of gyration with respect to </w:t>
            </w:r>
            <w:r w:rsidRPr="001455DC">
              <w:rPr>
                <w:rStyle w:val="CCMCvariableitalic"/>
              </w:rPr>
              <w:t>y</w:t>
            </w:r>
            <w:r w:rsidRPr="001455DC">
              <w:rPr>
                <w:lang w:eastAsia="de-DE"/>
              </w:rPr>
              <w:t>-axis</w:t>
            </w:r>
          </w:p>
        </w:tc>
        <w:tc>
          <w:tcPr>
            <w:tcW w:w="1984" w:type="dxa"/>
          </w:tcPr>
          <w:p w14:paraId="4AB56D89" w14:textId="678E1095" w:rsidR="00F95D07" w:rsidRPr="001455DC" w:rsidRDefault="00F95D07" w:rsidP="00F95D07">
            <w:pPr>
              <w:pStyle w:val="Tablebody"/>
              <w:rPr>
                <w:lang w:eastAsia="de-DE"/>
              </w:rPr>
            </w:pPr>
            <w:r w:rsidRPr="009D3012">
              <w:rPr>
                <w:lang w:eastAsia="de-DE"/>
              </w:rPr>
              <w:t>7.8.4(4)</w:t>
            </w:r>
          </w:p>
        </w:tc>
      </w:tr>
      <w:tr w:rsidR="00F95D07" w:rsidRPr="001455DC" w14:paraId="69009DD3" w14:textId="2D37F6DD" w:rsidTr="0066200C">
        <w:trPr>
          <w:cantSplit/>
        </w:trPr>
        <w:tc>
          <w:tcPr>
            <w:tcW w:w="1418" w:type="dxa"/>
            <w:shd w:val="clear" w:color="auto" w:fill="auto"/>
          </w:tcPr>
          <w:p w14:paraId="50F5ECEF" w14:textId="77777777" w:rsidR="00F95D07" w:rsidRPr="009D3012" w:rsidRDefault="00F95D07" w:rsidP="00F95D07">
            <w:pPr>
              <w:pStyle w:val="Tablebody"/>
              <w:rPr>
                <w:rStyle w:val="CCMCvariableitalic"/>
              </w:rPr>
            </w:pPr>
            <w:r w:rsidRPr="001455DC">
              <w:rPr>
                <w:rStyle w:val="CCMCvariableitalic"/>
              </w:rPr>
              <w:t>i</w:t>
            </w:r>
            <w:r w:rsidRPr="001455DC">
              <w:rPr>
                <w:rStyle w:val="CCMCvariablesubscript"/>
              </w:rPr>
              <w:t>z</w:t>
            </w:r>
          </w:p>
        </w:tc>
        <w:tc>
          <w:tcPr>
            <w:tcW w:w="6548" w:type="dxa"/>
            <w:shd w:val="clear" w:color="auto" w:fill="auto"/>
          </w:tcPr>
          <w:p w14:paraId="058F641F" w14:textId="77777777" w:rsidR="00F95D07" w:rsidRPr="001455DC" w:rsidRDefault="00F95D07" w:rsidP="000250B6">
            <w:pPr>
              <w:pStyle w:val="Tablebody"/>
              <w:jc w:val="left"/>
              <w:rPr>
                <w:lang w:eastAsia="de-DE"/>
              </w:rPr>
            </w:pPr>
            <w:r w:rsidRPr="001455DC">
              <w:rPr>
                <w:lang w:eastAsia="de-DE"/>
              </w:rPr>
              <w:t xml:space="preserve">Radius of gyration with respect to </w:t>
            </w:r>
            <w:r w:rsidRPr="001455DC">
              <w:rPr>
                <w:rStyle w:val="CCMCvariableitalic"/>
              </w:rPr>
              <w:t>z</w:t>
            </w:r>
            <w:r w:rsidRPr="001455DC">
              <w:rPr>
                <w:lang w:eastAsia="de-DE"/>
              </w:rPr>
              <w:t>-axis</w:t>
            </w:r>
          </w:p>
        </w:tc>
        <w:tc>
          <w:tcPr>
            <w:tcW w:w="1984" w:type="dxa"/>
          </w:tcPr>
          <w:p w14:paraId="57064ACF" w14:textId="501F2322" w:rsidR="00F95D07" w:rsidRPr="001455DC" w:rsidRDefault="00F95D07" w:rsidP="00F95D07">
            <w:pPr>
              <w:pStyle w:val="Tablebody"/>
              <w:rPr>
                <w:lang w:eastAsia="de-DE"/>
              </w:rPr>
            </w:pPr>
            <w:r w:rsidRPr="009D3012">
              <w:rPr>
                <w:lang w:eastAsia="de-DE"/>
              </w:rPr>
              <w:t>7.8.4(4)</w:t>
            </w:r>
          </w:p>
        </w:tc>
      </w:tr>
      <w:tr w:rsidR="00F95D07" w:rsidRPr="001455DC" w14:paraId="1598EAF2" w14:textId="2770CED4" w:rsidTr="0066200C">
        <w:trPr>
          <w:cantSplit/>
        </w:trPr>
        <w:tc>
          <w:tcPr>
            <w:tcW w:w="1418" w:type="dxa"/>
            <w:shd w:val="clear" w:color="auto" w:fill="auto"/>
          </w:tcPr>
          <w:p w14:paraId="57B39A11" w14:textId="77777777" w:rsidR="00F95D07" w:rsidRPr="009D3012" w:rsidRDefault="00F95D07" w:rsidP="00F95D07">
            <w:pPr>
              <w:pStyle w:val="Tablebody"/>
              <w:rPr>
                <w:rStyle w:val="CCMCvariableitalic"/>
              </w:rPr>
            </w:pPr>
            <w:r w:rsidRPr="001455DC">
              <w:rPr>
                <w:rStyle w:val="CCMCvariableitalic"/>
              </w:rPr>
              <w:t>k</w:t>
            </w:r>
          </w:p>
        </w:tc>
        <w:tc>
          <w:tcPr>
            <w:tcW w:w="6548" w:type="dxa"/>
            <w:shd w:val="clear" w:color="auto" w:fill="auto"/>
          </w:tcPr>
          <w:p w14:paraId="202A6607" w14:textId="77777777" w:rsidR="00F95D07" w:rsidRPr="001455DC" w:rsidRDefault="00F95D07" w:rsidP="000250B6">
            <w:pPr>
              <w:pStyle w:val="Tablebody"/>
              <w:jc w:val="left"/>
              <w:rPr>
                <w:lang w:eastAsia="de-DE"/>
              </w:rPr>
            </w:pPr>
            <w:r w:rsidRPr="001455DC">
              <w:rPr>
                <w:lang w:eastAsia="de-DE"/>
              </w:rPr>
              <w:t>Coefficient; Factor</w:t>
            </w:r>
          </w:p>
        </w:tc>
        <w:tc>
          <w:tcPr>
            <w:tcW w:w="1984" w:type="dxa"/>
          </w:tcPr>
          <w:p w14:paraId="2DBB5683" w14:textId="77777777" w:rsidR="00F95D07" w:rsidRPr="001455DC" w:rsidRDefault="00F95D07" w:rsidP="00F95D07">
            <w:pPr>
              <w:pStyle w:val="Tablebody"/>
              <w:rPr>
                <w:lang w:eastAsia="de-DE"/>
              </w:rPr>
            </w:pPr>
          </w:p>
        </w:tc>
      </w:tr>
      <w:tr w:rsidR="00F95D07" w:rsidRPr="001455DC" w14:paraId="264D17F8" w14:textId="06F29B9C" w:rsidTr="0066200C">
        <w:trPr>
          <w:cantSplit/>
        </w:trPr>
        <w:tc>
          <w:tcPr>
            <w:tcW w:w="1418" w:type="dxa"/>
            <w:shd w:val="clear" w:color="auto" w:fill="auto"/>
          </w:tcPr>
          <w:p w14:paraId="2679F592" w14:textId="77777777" w:rsidR="00F95D07" w:rsidRPr="009D3012" w:rsidRDefault="00F95D07" w:rsidP="00F95D07">
            <w:pPr>
              <w:pStyle w:val="Tablebody"/>
              <w:rPr>
                <w:rStyle w:val="CCMCvariableitalic"/>
              </w:rPr>
            </w:pPr>
            <w:r w:rsidRPr="001455DC">
              <w:rPr>
                <w:rStyle w:val="CCMCvariableitalic"/>
              </w:rPr>
              <w:t>k</w:t>
            </w:r>
          </w:p>
        </w:tc>
        <w:tc>
          <w:tcPr>
            <w:tcW w:w="6548" w:type="dxa"/>
            <w:shd w:val="clear" w:color="auto" w:fill="auto"/>
          </w:tcPr>
          <w:p w14:paraId="2FCEA999" w14:textId="77777777" w:rsidR="00F95D07" w:rsidRPr="001455DC" w:rsidRDefault="00F95D07" w:rsidP="000250B6">
            <w:pPr>
              <w:pStyle w:val="Tablebody"/>
              <w:jc w:val="left"/>
              <w:rPr>
                <w:lang w:eastAsia="de-DE"/>
              </w:rPr>
            </w:pPr>
            <w:r w:rsidRPr="001455DC">
              <w:rPr>
                <w:lang w:eastAsia="de-DE"/>
              </w:rPr>
              <w:t>Ratio related to strain hardening of reinforcement</w:t>
            </w:r>
          </w:p>
        </w:tc>
        <w:tc>
          <w:tcPr>
            <w:tcW w:w="1984" w:type="dxa"/>
          </w:tcPr>
          <w:p w14:paraId="2448761B" w14:textId="5593A49E" w:rsidR="00F95D07" w:rsidRPr="001455DC" w:rsidRDefault="00F95D07" w:rsidP="00F95D07">
            <w:pPr>
              <w:pStyle w:val="Tablebody"/>
              <w:rPr>
                <w:lang w:eastAsia="de-DE"/>
              </w:rPr>
            </w:pPr>
            <w:r w:rsidRPr="009D3012">
              <w:rPr>
                <w:lang w:eastAsia="de-DE"/>
              </w:rPr>
              <w:t>Table 5.7</w:t>
            </w:r>
          </w:p>
        </w:tc>
      </w:tr>
      <w:tr w:rsidR="00F95D07" w:rsidRPr="001455DC" w14:paraId="0905F25C" w14:textId="0AE7B9C3" w:rsidTr="0066200C">
        <w:trPr>
          <w:cantSplit/>
        </w:trPr>
        <w:tc>
          <w:tcPr>
            <w:tcW w:w="1418" w:type="dxa"/>
            <w:shd w:val="clear" w:color="auto" w:fill="auto"/>
          </w:tcPr>
          <w:p w14:paraId="769D4036" w14:textId="77777777" w:rsidR="00F95D07" w:rsidRPr="009D3012" w:rsidRDefault="00F95D07" w:rsidP="00F95D07">
            <w:pPr>
              <w:pStyle w:val="Tablebody"/>
              <w:rPr>
                <w:rStyle w:val="CCMCvariableitalic"/>
              </w:rPr>
            </w:pPr>
            <w:r w:rsidRPr="001455DC">
              <w:rPr>
                <w:rStyle w:val="CCMCvariableitalic"/>
              </w:rPr>
              <w:t>k</w:t>
            </w:r>
            <w:r w:rsidRPr="001455DC">
              <w:rPr>
                <w:rStyle w:val="CCMCvariablesubscript"/>
              </w:rPr>
              <w:t>b,pi</w:t>
            </w:r>
          </w:p>
        </w:tc>
        <w:tc>
          <w:tcPr>
            <w:tcW w:w="6548" w:type="dxa"/>
            <w:shd w:val="clear" w:color="auto" w:fill="auto"/>
          </w:tcPr>
          <w:p w14:paraId="09B53D86" w14:textId="77777777" w:rsidR="00F95D07" w:rsidRPr="001455DC" w:rsidRDefault="00F95D07" w:rsidP="000250B6">
            <w:pPr>
              <w:pStyle w:val="Tablebody"/>
              <w:jc w:val="left"/>
            </w:pPr>
            <w:r w:rsidRPr="001455DC">
              <w:t>bond efficiency factor</w:t>
            </w:r>
          </w:p>
        </w:tc>
        <w:tc>
          <w:tcPr>
            <w:tcW w:w="1984" w:type="dxa"/>
          </w:tcPr>
          <w:p w14:paraId="76CE1A0B" w14:textId="1C1F365D" w:rsidR="00F95D07" w:rsidRPr="001455DC" w:rsidRDefault="00F95D07" w:rsidP="00F95D07">
            <w:pPr>
              <w:pStyle w:val="Tablebody"/>
            </w:pPr>
            <w:r w:rsidRPr="009D3012">
              <w:rPr>
                <w:lang w:eastAsia="de-DE"/>
              </w:rPr>
              <w:t>11.4.8(5)</w:t>
            </w:r>
          </w:p>
        </w:tc>
      </w:tr>
      <w:tr w:rsidR="00F95D07" w:rsidRPr="001455DC" w14:paraId="006F34A1" w14:textId="5BCA1EA4" w:rsidTr="0066200C">
        <w:trPr>
          <w:cantSplit/>
        </w:trPr>
        <w:tc>
          <w:tcPr>
            <w:tcW w:w="1418" w:type="dxa"/>
            <w:shd w:val="clear" w:color="auto" w:fill="auto"/>
          </w:tcPr>
          <w:p w14:paraId="442F5B22" w14:textId="77777777" w:rsidR="00F95D07" w:rsidRPr="009D3012" w:rsidRDefault="00F95D07" w:rsidP="00F95D07">
            <w:pPr>
              <w:pStyle w:val="Tablebody"/>
              <w:rPr>
                <w:rStyle w:val="CCMCvariableitalic"/>
              </w:rPr>
            </w:pPr>
            <w:r w:rsidRPr="001455DC">
              <w:rPr>
                <w:rStyle w:val="CCMCvariableitalic"/>
              </w:rPr>
              <w:t>k</w:t>
            </w:r>
            <w:r w:rsidRPr="001455DC">
              <w:rPr>
                <w:rStyle w:val="CCMCvariablesubscript"/>
              </w:rPr>
              <w:t>c</w:t>
            </w:r>
          </w:p>
        </w:tc>
        <w:tc>
          <w:tcPr>
            <w:tcW w:w="6548" w:type="dxa"/>
            <w:shd w:val="clear" w:color="auto" w:fill="auto"/>
          </w:tcPr>
          <w:p w14:paraId="67C80B87" w14:textId="77777777" w:rsidR="00F95D07" w:rsidRPr="001455DC" w:rsidRDefault="00F95D07" w:rsidP="000250B6">
            <w:pPr>
              <w:pStyle w:val="Tablebody"/>
              <w:jc w:val="left"/>
              <w:rPr>
                <w:lang w:eastAsia="de-DE"/>
              </w:rPr>
            </w:pPr>
            <w:r w:rsidRPr="001455DC">
              <w:rPr>
                <w:lang w:eastAsia="de-DE"/>
              </w:rPr>
              <w:t xml:space="preserve">Coefficient </w:t>
            </w:r>
            <w:r w:rsidRPr="001455DC">
              <w:t>reflecting the extent of cracking and the effect of non-linear material properties in the bracing system</w:t>
            </w:r>
          </w:p>
        </w:tc>
        <w:tc>
          <w:tcPr>
            <w:tcW w:w="1984" w:type="dxa"/>
          </w:tcPr>
          <w:p w14:paraId="74066326" w14:textId="74755603" w:rsidR="00F95D07" w:rsidRPr="001455DC" w:rsidRDefault="00F95D07" w:rsidP="00F95D07">
            <w:pPr>
              <w:pStyle w:val="Tablebody"/>
              <w:rPr>
                <w:lang w:eastAsia="de-DE"/>
              </w:rPr>
            </w:pPr>
            <w:r w:rsidRPr="009D3012">
              <w:rPr>
                <w:lang w:eastAsia="de-DE"/>
              </w:rPr>
              <w:t>O.3(1)</w:t>
            </w:r>
          </w:p>
        </w:tc>
      </w:tr>
      <w:tr w:rsidR="00F95D07" w:rsidRPr="001455DC" w14:paraId="3C6C2316" w14:textId="3416A663" w:rsidTr="0066200C">
        <w:trPr>
          <w:cantSplit/>
        </w:trPr>
        <w:tc>
          <w:tcPr>
            <w:tcW w:w="1418" w:type="dxa"/>
            <w:shd w:val="clear" w:color="auto" w:fill="auto"/>
          </w:tcPr>
          <w:p w14:paraId="4542BE42" w14:textId="77777777" w:rsidR="00F95D07" w:rsidRPr="009D3012" w:rsidRDefault="00F95D07" w:rsidP="00F95D07">
            <w:pPr>
              <w:pStyle w:val="Tablebody"/>
              <w:rPr>
                <w:rStyle w:val="CCMCvariableitalic"/>
              </w:rPr>
            </w:pPr>
            <w:r w:rsidRPr="001455DC">
              <w:rPr>
                <w:rStyle w:val="CCMCvariableitalic"/>
              </w:rPr>
              <w:t>k</w:t>
            </w:r>
            <w:r w:rsidRPr="001455DC">
              <w:rPr>
                <w:rStyle w:val="CCMCvariablesubscript"/>
              </w:rPr>
              <w:t>cip</w:t>
            </w:r>
          </w:p>
        </w:tc>
        <w:tc>
          <w:tcPr>
            <w:tcW w:w="6548" w:type="dxa"/>
            <w:shd w:val="clear" w:color="auto" w:fill="auto"/>
          </w:tcPr>
          <w:p w14:paraId="2C89C58B" w14:textId="77777777" w:rsidR="00F95D07" w:rsidRPr="001455DC" w:rsidRDefault="00F95D07" w:rsidP="000250B6">
            <w:pPr>
              <w:pStyle w:val="Tablebody"/>
              <w:jc w:val="left"/>
              <w:rPr>
                <w:rFonts w:eastAsiaTheme="minorHAnsi"/>
              </w:rPr>
            </w:pPr>
            <w:r w:rsidRPr="001455DC">
              <w:rPr>
                <w:rFonts w:eastAsiaTheme="minorHAnsi"/>
              </w:rPr>
              <w:t xml:space="preserve">Factor considering increased uncertainty and variability in </w:t>
            </w:r>
            <w:r w:rsidRPr="001455DC">
              <w:rPr>
                <w:rStyle w:val="CCMCvariableitalic"/>
              </w:rPr>
              <w:t>γ</w:t>
            </w:r>
            <w:r w:rsidRPr="001455DC">
              <w:rPr>
                <w:rStyle w:val="CCMCvariablesubscript"/>
              </w:rPr>
              <w:t>C</w:t>
            </w:r>
            <w:r w:rsidRPr="001455DC">
              <w:rPr>
                <w:rFonts w:eastAsiaTheme="minorHAnsi"/>
              </w:rPr>
              <w:t xml:space="preserve"> for concrete geotechnical members </w:t>
            </w:r>
          </w:p>
        </w:tc>
        <w:tc>
          <w:tcPr>
            <w:tcW w:w="1984" w:type="dxa"/>
          </w:tcPr>
          <w:p w14:paraId="63F9E7EC" w14:textId="5471B530" w:rsidR="00F95D07" w:rsidRPr="001455DC" w:rsidRDefault="00F95D07" w:rsidP="00F95D07">
            <w:pPr>
              <w:pStyle w:val="Tablebody"/>
              <w:rPr>
                <w:rFonts w:eastAsiaTheme="minorHAnsi"/>
              </w:rPr>
            </w:pPr>
            <w:r w:rsidRPr="009D3012">
              <w:rPr>
                <w:rFonts w:eastAsiaTheme="minorHAnsi"/>
              </w:rPr>
              <w:t>4.3.3(3)</w:t>
            </w:r>
          </w:p>
        </w:tc>
      </w:tr>
      <w:tr w:rsidR="00F95D07" w:rsidRPr="001455DC" w14:paraId="76458BD5" w14:textId="05433F46" w:rsidTr="0066200C">
        <w:trPr>
          <w:cantSplit/>
        </w:trPr>
        <w:tc>
          <w:tcPr>
            <w:tcW w:w="1418" w:type="dxa"/>
            <w:shd w:val="clear" w:color="auto" w:fill="auto"/>
          </w:tcPr>
          <w:p w14:paraId="1B8AE8AC" w14:textId="77777777" w:rsidR="00F95D07" w:rsidRPr="009D3012" w:rsidRDefault="00F95D07" w:rsidP="00F95D07">
            <w:pPr>
              <w:pStyle w:val="Tablebody"/>
              <w:rPr>
                <w:rStyle w:val="CCMCvariableitalic"/>
              </w:rPr>
            </w:pPr>
            <w:r w:rsidRPr="001455DC">
              <w:rPr>
                <w:rStyle w:val="CCMCvariableitalic"/>
              </w:rPr>
              <w:t>k</w:t>
            </w:r>
            <w:r w:rsidRPr="001455DC">
              <w:rPr>
                <w:rStyle w:val="CCMCvariablesubscript"/>
              </w:rPr>
              <w:t>conf</w:t>
            </w:r>
          </w:p>
        </w:tc>
        <w:tc>
          <w:tcPr>
            <w:tcW w:w="6548" w:type="dxa"/>
            <w:shd w:val="clear" w:color="auto" w:fill="auto"/>
          </w:tcPr>
          <w:p w14:paraId="3B0CD49E" w14:textId="77777777" w:rsidR="00F95D07" w:rsidRPr="001455DC" w:rsidRDefault="00F95D07" w:rsidP="000250B6">
            <w:pPr>
              <w:pStyle w:val="Tablebody"/>
              <w:jc w:val="left"/>
              <w:rPr>
                <w:lang w:eastAsia="de-DE"/>
              </w:rPr>
            </w:pPr>
            <w:r w:rsidRPr="001455DC">
              <w:rPr>
                <w:lang w:eastAsia="de-DE"/>
              </w:rPr>
              <w:t>Effectiveness factor depending on the reinforcement detail providing confinement to bars to be anchored or spliced</w:t>
            </w:r>
          </w:p>
        </w:tc>
        <w:tc>
          <w:tcPr>
            <w:tcW w:w="1984" w:type="dxa"/>
          </w:tcPr>
          <w:p w14:paraId="7FDF218A" w14:textId="2940D545" w:rsidR="00F95D07" w:rsidRPr="001455DC" w:rsidRDefault="00F95D07" w:rsidP="00F95D07">
            <w:pPr>
              <w:pStyle w:val="Tablebody"/>
              <w:rPr>
                <w:lang w:eastAsia="de-DE"/>
              </w:rPr>
            </w:pPr>
            <w:r w:rsidRPr="009D3012">
              <w:rPr>
                <w:lang w:eastAsia="de-DE"/>
              </w:rPr>
              <w:t>11.4.2(6)</w:t>
            </w:r>
          </w:p>
        </w:tc>
      </w:tr>
      <w:tr w:rsidR="00F95D07" w:rsidRPr="001455DC" w14:paraId="33FFDD28" w14:textId="2E16A56B" w:rsidTr="0066200C">
        <w:trPr>
          <w:cantSplit/>
        </w:trPr>
        <w:tc>
          <w:tcPr>
            <w:tcW w:w="1418" w:type="dxa"/>
            <w:shd w:val="clear" w:color="auto" w:fill="auto"/>
          </w:tcPr>
          <w:p w14:paraId="651273CC" w14:textId="77777777" w:rsidR="00F95D07" w:rsidRPr="009D3012" w:rsidRDefault="00F95D07" w:rsidP="00F95D07">
            <w:pPr>
              <w:pStyle w:val="Tablebody"/>
              <w:rPr>
                <w:rStyle w:val="CCMCvariableitalic"/>
              </w:rPr>
            </w:pPr>
            <w:r w:rsidRPr="001455DC">
              <w:rPr>
                <w:rStyle w:val="CCMCvariableitalic"/>
              </w:rPr>
              <w:t>k</w:t>
            </w:r>
            <w:r w:rsidRPr="001455DC">
              <w:rPr>
                <w:rStyle w:val="CCMCvariablesubscript"/>
              </w:rPr>
              <w:t>duct</w:t>
            </w:r>
          </w:p>
        </w:tc>
        <w:tc>
          <w:tcPr>
            <w:tcW w:w="6548" w:type="dxa"/>
            <w:shd w:val="clear" w:color="auto" w:fill="auto"/>
          </w:tcPr>
          <w:p w14:paraId="0FF1380C" w14:textId="77777777" w:rsidR="00F95D07" w:rsidRPr="001455DC" w:rsidRDefault="00F95D07" w:rsidP="000250B6">
            <w:pPr>
              <w:pStyle w:val="Tablebody"/>
              <w:jc w:val="left"/>
              <w:rPr>
                <w:lang w:eastAsia="de-DE"/>
              </w:rPr>
            </w:pPr>
            <w:r w:rsidRPr="001455DC">
              <w:rPr>
                <w:lang w:eastAsia="de-DE"/>
              </w:rPr>
              <w:t>Coefficient for calculating the nominal web width due to the disturbance of ducts</w:t>
            </w:r>
          </w:p>
        </w:tc>
        <w:tc>
          <w:tcPr>
            <w:tcW w:w="1984" w:type="dxa"/>
          </w:tcPr>
          <w:p w14:paraId="35D4BE22" w14:textId="374281F2" w:rsidR="00F95D07" w:rsidRPr="001455DC" w:rsidRDefault="00F95D07" w:rsidP="00F95D07">
            <w:pPr>
              <w:pStyle w:val="Tablebody"/>
              <w:rPr>
                <w:lang w:eastAsia="de-DE"/>
              </w:rPr>
            </w:pPr>
            <w:r w:rsidRPr="009D3012">
              <w:rPr>
                <w:lang w:eastAsia="de-DE"/>
              </w:rPr>
              <w:t>8.2.3(10)</w:t>
            </w:r>
          </w:p>
        </w:tc>
      </w:tr>
      <w:tr w:rsidR="00F95D07" w:rsidRPr="001455DC" w14:paraId="1257E12E" w14:textId="3D8EE409" w:rsidTr="0066200C">
        <w:trPr>
          <w:cantSplit/>
        </w:trPr>
        <w:tc>
          <w:tcPr>
            <w:tcW w:w="1418" w:type="dxa"/>
            <w:shd w:val="clear" w:color="auto" w:fill="auto"/>
          </w:tcPr>
          <w:p w14:paraId="79D4153B" w14:textId="77777777" w:rsidR="00F95D07" w:rsidRPr="009D3012" w:rsidRDefault="00F95D07" w:rsidP="00F95D07">
            <w:pPr>
              <w:pStyle w:val="Tablebody"/>
              <w:rPr>
                <w:rStyle w:val="CCMCvariableitalic"/>
              </w:rPr>
            </w:pPr>
            <w:r w:rsidRPr="001455DC">
              <w:rPr>
                <w:rStyle w:val="CCMCvariableitalic"/>
              </w:rPr>
              <w:t>k</w:t>
            </w:r>
            <w:r w:rsidRPr="001455DC">
              <w:rPr>
                <w:rStyle w:val="CCMCvariablesubscript"/>
              </w:rPr>
              <w:t>h</w:t>
            </w:r>
          </w:p>
        </w:tc>
        <w:tc>
          <w:tcPr>
            <w:tcW w:w="6548" w:type="dxa"/>
            <w:shd w:val="clear" w:color="auto" w:fill="auto"/>
          </w:tcPr>
          <w:p w14:paraId="583F6022" w14:textId="77777777" w:rsidR="00F95D07" w:rsidRPr="001455DC" w:rsidRDefault="00F95D07" w:rsidP="000250B6">
            <w:pPr>
              <w:pStyle w:val="Tablebody"/>
              <w:jc w:val="left"/>
              <w:rPr>
                <w:lang w:eastAsia="de-DE"/>
              </w:rPr>
            </w:pPr>
            <w:r w:rsidRPr="001455DC">
              <w:rPr>
                <w:lang w:eastAsia="de-DE"/>
              </w:rPr>
              <w:t>Coefficient which allows for the effect of non-uniform self -equilibrating stresses, which lead to a reduction of the apparent tensile strength.</w:t>
            </w:r>
          </w:p>
        </w:tc>
        <w:tc>
          <w:tcPr>
            <w:tcW w:w="1984" w:type="dxa"/>
          </w:tcPr>
          <w:p w14:paraId="2DCF0443" w14:textId="0D7FFE81" w:rsidR="00F95D07" w:rsidRPr="001455DC" w:rsidRDefault="00F95D07" w:rsidP="00F95D07">
            <w:pPr>
              <w:pStyle w:val="Tablebody"/>
              <w:rPr>
                <w:lang w:eastAsia="de-DE"/>
              </w:rPr>
            </w:pPr>
            <w:r w:rsidRPr="009D3012">
              <w:rPr>
                <w:lang w:eastAsia="de-DE"/>
              </w:rPr>
              <w:t>9.2.2 (3)</w:t>
            </w:r>
          </w:p>
        </w:tc>
      </w:tr>
      <w:tr w:rsidR="00F95D07" w:rsidRPr="001455DC" w14:paraId="6C1C471C" w14:textId="79E353C1" w:rsidTr="0066200C">
        <w:trPr>
          <w:cantSplit/>
        </w:trPr>
        <w:tc>
          <w:tcPr>
            <w:tcW w:w="1418" w:type="dxa"/>
            <w:shd w:val="clear" w:color="auto" w:fill="auto"/>
          </w:tcPr>
          <w:p w14:paraId="5066599B" w14:textId="77777777" w:rsidR="00F95D07" w:rsidRPr="009D3012" w:rsidRDefault="00F95D07" w:rsidP="00F95D07">
            <w:pPr>
              <w:pStyle w:val="Tablebody"/>
              <w:rPr>
                <w:rStyle w:val="CCMCvariableitalic"/>
              </w:rPr>
            </w:pPr>
            <w:r w:rsidRPr="001455DC">
              <w:rPr>
                <w:rStyle w:val="CCMCvariableitalic"/>
              </w:rPr>
              <w:t>k</w:t>
            </w:r>
            <w:r w:rsidRPr="001455DC">
              <w:rPr>
                <w:rStyle w:val="CCMCvariablesubscript"/>
              </w:rPr>
              <w:t>I</w:t>
            </w:r>
          </w:p>
        </w:tc>
        <w:tc>
          <w:tcPr>
            <w:tcW w:w="6548" w:type="dxa"/>
            <w:shd w:val="clear" w:color="auto" w:fill="auto"/>
          </w:tcPr>
          <w:p w14:paraId="01887C7C" w14:textId="77777777" w:rsidR="00F95D07" w:rsidRPr="001455DC" w:rsidRDefault="00F95D07" w:rsidP="000250B6">
            <w:pPr>
              <w:pStyle w:val="Tablebody"/>
              <w:jc w:val="left"/>
              <w:rPr>
                <w:lang w:eastAsia="de-DE"/>
              </w:rPr>
            </w:pPr>
            <w:r w:rsidRPr="001455DC">
              <w:rPr>
                <w:rFonts w:eastAsiaTheme="minorHAnsi"/>
              </w:rPr>
              <w:t>Coefficient to accounting for the effect of cracking, for tension stiffening and for the fact that creep deformations are less than proportional to the creep coefficient in cracked sections</w:t>
            </w:r>
          </w:p>
        </w:tc>
        <w:tc>
          <w:tcPr>
            <w:tcW w:w="1984" w:type="dxa"/>
          </w:tcPr>
          <w:p w14:paraId="21111604" w14:textId="02534953" w:rsidR="00F95D07" w:rsidRPr="001455DC" w:rsidRDefault="00F95D07" w:rsidP="00F95D07">
            <w:pPr>
              <w:pStyle w:val="Tablebody"/>
              <w:rPr>
                <w:rFonts w:eastAsiaTheme="minorHAnsi"/>
              </w:rPr>
            </w:pPr>
            <w:r w:rsidRPr="009D3012">
              <w:rPr>
                <w:lang w:eastAsia="de-DE"/>
              </w:rPr>
              <w:t>9.3.3(2)</w:t>
            </w:r>
          </w:p>
        </w:tc>
      </w:tr>
      <w:tr w:rsidR="00F95D07" w:rsidRPr="001455DC" w14:paraId="3A9709E1" w14:textId="27865785" w:rsidTr="0066200C">
        <w:trPr>
          <w:cantSplit/>
        </w:trPr>
        <w:tc>
          <w:tcPr>
            <w:tcW w:w="1418" w:type="dxa"/>
            <w:shd w:val="clear" w:color="auto" w:fill="auto"/>
          </w:tcPr>
          <w:p w14:paraId="13E0E181" w14:textId="77777777" w:rsidR="00F95D07" w:rsidRPr="009D3012" w:rsidRDefault="00F95D07" w:rsidP="00F95D07">
            <w:pPr>
              <w:pStyle w:val="Tablebody"/>
              <w:rPr>
                <w:rStyle w:val="CCMCvariableitalic"/>
              </w:rPr>
            </w:pPr>
            <w:r w:rsidRPr="001455DC">
              <w:rPr>
                <w:rStyle w:val="CCMCvariableitalic"/>
              </w:rPr>
              <w:t>k</w:t>
            </w:r>
            <w:r w:rsidRPr="001455DC">
              <w:rPr>
                <w:rStyle w:val="CCMCvariablesubscript"/>
              </w:rPr>
              <w:t>Ibs</w:t>
            </w:r>
          </w:p>
        </w:tc>
        <w:tc>
          <w:tcPr>
            <w:tcW w:w="6548" w:type="dxa"/>
            <w:shd w:val="clear" w:color="auto" w:fill="auto"/>
          </w:tcPr>
          <w:p w14:paraId="3537D945" w14:textId="77777777" w:rsidR="00F95D07" w:rsidRPr="001455DC" w:rsidRDefault="00F95D07" w:rsidP="000250B6">
            <w:pPr>
              <w:pStyle w:val="Tablebody"/>
              <w:jc w:val="left"/>
              <w:rPr>
                <w:lang w:eastAsia="de-DE"/>
              </w:rPr>
            </w:pPr>
            <w:r w:rsidRPr="001455DC">
              <w:rPr>
                <w:lang w:eastAsia="de-DE"/>
              </w:rPr>
              <w:t>Factor for calculating the design anchorage length</w:t>
            </w:r>
          </w:p>
        </w:tc>
        <w:tc>
          <w:tcPr>
            <w:tcW w:w="1984" w:type="dxa"/>
          </w:tcPr>
          <w:p w14:paraId="67D84867" w14:textId="503099F1" w:rsidR="00F95D07" w:rsidRPr="001455DC" w:rsidRDefault="00F95D07" w:rsidP="00F95D07">
            <w:pPr>
              <w:pStyle w:val="Tablebody"/>
              <w:rPr>
                <w:lang w:eastAsia="de-DE"/>
              </w:rPr>
            </w:pPr>
            <w:r w:rsidRPr="009D3012">
              <w:rPr>
                <w:lang w:eastAsia="de-DE"/>
              </w:rPr>
              <w:t>11.4.2(2-3)</w:t>
            </w:r>
          </w:p>
        </w:tc>
      </w:tr>
      <w:tr w:rsidR="00F95D07" w:rsidRPr="001455DC" w14:paraId="64C233E0" w14:textId="6F5E955F" w:rsidTr="0066200C">
        <w:trPr>
          <w:cantSplit/>
        </w:trPr>
        <w:tc>
          <w:tcPr>
            <w:tcW w:w="1418" w:type="dxa"/>
            <w:shd w:val="clear" w:color="auto" w:fill="auto"/>
          </w:tcPr>
          <w:p w14:paraId="4F62C019" w14:textId="77777777" w:rsidR="00F95D07" w:rsidRPr="009D3012" w:rsidRDefault="00F95D07" w:rsidP="00F95D07">
            <w:pPr>
              <w:pStyle w:val="Tablebody"/>
              <w:rPr>
                <w:rStyle w:val="CCMCvariableitalic"/>
              </w:rPr>
            </w:pPr>
            <w:r w:rsidRPr="001455DC">
              <w:rPr>
                <w:rStyle w:val="CCMCvariableitalic"/>
              </w:rPr>
              <w:t>k</w:t>
            </w:r>
            <w:r w:rsidRPr="001455DC">
              <w:rPr>
                <w:rStyle w:val="CCMCvariablesubscript"/>
              </w:rPr>
              <w:t>pb</w:t>
            </w:r>
          </w:p>
        </w:tc>
        <w:tc>
          <w:tcPr>
            <w:tcW w:w="6548" w:type="dxa"/>
            <w:shd w:val="clear" w:color="auto" w:fill="auto"/>
          </w:tcPr>
          <w:p w14:paraId="1A70643D" w14:textId="77777777" w:rsidR="00F95D07" w:rsidRPr="001455DC" w:rsidRDefault="00F95D07" w:rsidP="000250B6">
            <w:pPr>
              <w:pStyle w:val="Tablebody"/>
              <w:jc w:val="left"/>
              <w:rPr>
                <w:lang w:eastAsia="de-DE"/>
              </w:rPr>
            </w:pPr>
            <w:r w:rsidRPr="001455DC">
              <w:rPr>
                <w:lang w:eastAsia="de-DE"/>
              </w:rPr>
              <w:t>Shear gradient enhancement coefficient for punching</w:t>
            </w:r>
          </w:p>
        </w:tc>
        <w:tc>
          <w:tcPr>
            <w:tcW w:w="1984" w:type="dxa"/>
          </w:tcPr>
          <w:p w14:paraId="1A954451" w14:textId="738E9382" w:rsidR="00F95D07" w:rsidRPr="001455DC" w:rsidRDefault="00F95D07" w:rsidP="00F95D07">
            <w:pPr>
              <w:pStyle w:val="Tablebody"/>
              <w:rPr>
                <w:lang w:eastAsia="de-DE"/>
              </w:rPr>
            </w:pPr>
            <w:r w:rsidRPr="009D3012">
              <w:rPr>
                <w:lang w:eastAsia="de-DE"/>
              </w:rPr>
              <w:t>8.4.3(1)</w:t>
            </w:r>
          </w:p>
        </w:tc>
      </w:tr>
      <w:tr w:rsidR="00F95D07" w:rsidRPr="001455DC" w14:paraId="0632E418" w14:textId="6B6A92FE" w:rsidTr="0066200C">
        <w:trPr>
          <w:cantSplit/>
        </w:trPr>
        <w:tc>
          <w:tcPr>
            <w:tcW w:w="1418" w:type="dxa"/>
            <w:shd w:val="clear" w:color="auto" w:fill="auto"/>
          </w:tcPr>
          <w:p w14:paraId="094D0FAA" w14:textId="77777777" w:rsidR="00F95D07" w:rsidRPr="009D3012" w:rsidRDefault="00F95D07" w:rsidP="00F95D07">
            <w:pPr>
              <w:pStyle w:val="Tablebody"/>
              <w:rPr>
                <w:rStyle w:val="CCMCvariableitalic"/>
              </w:rPr>
            </w:pPr>
            <w:r w:rsidRPr="001455DC">
              <w:rPr>
                <w:rStyle w:val="CCMCvariableitalic"/>
              </w:rPr>
              <w:t>k</w:t>
            </w:r>
            <w:r w:rsidRPr="001455DC">
              <w:rPr>
                <w:rStyle w:val="CCMCvariablesubscript"/>
              </w:rPr>
              <w:t>pm</w:t>
            </w:r>
          </w:p>
        </w:tc>
        <w:tc>
          <w:tcPr>
            <w:tcW w:w="6548" w:type="dxa"/>
            <w:shd w:val="clear" w:color="auto" w:fill="auto"/>
          </w:tcPr>
          <w:p w14:paraId="6C5EA6D3" w14:textId="77777777" w:rsidR="00F95D07" w:rsidRPr="001455DC" w:rsidRDefault="00F95D07" w:rsidP="000250B6">
            <w:pPr>
              <w:pStyle w:val="Tablebody"/>
              <w:jc w:val="left"/>
              <w:rPr>
                <w:lang w:eastAsia="de-DE"/>
              </w:rPr>
            </w:pPr>
            <w:r w:rsidRPr="001455DC">
              <w:rPr>
                <w:lang w:eastAsia="de-DE"/>
              </w:rPr>
              <w:t>Coefficient accounting for the influence of membrane forces due to restrained deformations on the shear slenderness of slabs submitted to concentrated forces</w:t>
            </w:r>
          </w:p>
        </w:tc>
        <w:tc>
          <w:tcPr>
            <w:tcW w:w="1984" w:type="dxa"/>
          </w:tcPr>
          <w:p w14:paraId="7296039F" w14:textId="3FBDD4B8" w:rsidR="00F95D07" w:rsidRPr="001455DC" w:rsidRDefault="00F95D07" w:rsidP="00F95D07">
            <w:pPr>
              <w:pStyle w:val="Tablebody"/>
              <w:rPr>
                <w:lang w:eastAsia="de-DE"/>
              </w:rPr>
            </w:pPr>
            <w:r w:rsidRPr="009D3012">
              <w:rPr>
                <w:lang w:eastAsia="de-DE"/>
              </w:rPr>
              <w:t>8.4.3(5)</w:t>
            </w:r>
          </w:p>
        </w:tc>
      </w:tr>
      <w:tr w:rsidR="00F95D07" w:rsidRPr="001455DC" w14:paraId="15641FF0" w14:textId="0015D397" w:rsidTr="0066200C">
        <w:trPr>
          <w:cantSplit/>
        </w:trPr>
        <w:tc>
          <w:tcPr>
            <w:tcW w:w="1418" w:type="dxa"/>
            <w:shd w:val="clear" w:color="auto" w:fill="auto"/>
          </w:tcPr>
          <w:p w14:paraId="69650E82" w14:textId="77777777" w:rsidR="00F95D07" w:rsidRPr="009D3012" w:rsidRDefault="00F95D07" w:rsidP="00F95D07">
            <w:pPr>
              <w:pStyle w:val="Tablebody"/>
              <w:rPr>
                <w:rStyle w:val="CCMCvariableitalic"/>
              </w:rPr>
            </w:pPr>
            <w:r w:rsidRPr="001455DC">
              <w:rPr>
                <w:rStyle w:val="CCMCvariableitalic"/>
              </w:rPr>
              <w:t>k</w:t>
            </w:r>
            <w:r w:rsidRPr="001455DC">
              <w:rPr>
                <w:rStyle w:val="CCMCvariablesubscript"/>
              </w:rPr>
              <w:t>pp</w:t>
            </w:r>
          </w:p>
        </w:tc>
        <w:tc>
          <w:tcPr>
            <w:tcW w:w="6548" w:type="dxa"/>
            <w:shd w:val="clear" w:color="auto" w:fill="auto"/>
          </w:tcPr>
          <w:p w14:paraId="64EA8E5B" w14:textId="77777777" w:rsidR="00F95D07" w:rsidRPr="001455DC" w:rsidRDefault="00F95D07" w:rsidP="000250B6">
            <w:pPr>
              <w:pStyle w:val="Tablebody"/>
              <w:jc w:val="left"/>
              <w:rPr>
                <w:lang w:eastAsia="de-DE"/>
              </w:rPr>
            </w:pPr>
            <w:r w:rsidRPr="001455DC">
              <w:rPr>
                <w:lang w:eastAsia="de-DE"/>
              </w:rPr>
              <w:t>Coefficient accounting for the influence of normal forces on the shear slenderness of slabs submitted to concentrated forces</w:t>
            </w:r>
          </w:p>
        </w:tc>
        <w:tc>
          <w:tcPr>
            <w:tcW w:w="1984" w:type="dxa"/>
          </w:tcPr>
          <w:p w14:paraId="6062FFD3" w14:textId="70965F4C" w:rsidR="00F95D07" w:rsidRPr="001455DC" w:rsidRDefault="00F95D07" w:rsidP="00F95D07">
            <w:pPr>
              <w:pStyle w:val="Tablebody"/>
              <w:rPr>
                <w:lang w:eastAsia="de-DE"/>
              </w:rPr>
            </w:pPr>
            <w:r w:rsidRPr="009D3012">
              <w:rPr>
                <w:lang w:eastAsia="de-DE"/>
              </w:rPr>
              <w:t>8.4.3(4)</w:t>
            </w:r>
          </w:p>
        </w:tc>
      </w:tr>
      <w:tr w:rsidR="00F95D07" w:rsidRPr="001455DC" w14:paraId="0955CD61" w14:textId="50FD35CB" w:rsidTr="0066200C">
        <w:trPr>
          <w:cantSplit/>
        </w:trPr>
        <w:tc>
          <w:tcPr>
            <w:tcW w:w="1418" w:type="dxa"/>
            <w:shd w:val="clear" w:color="auto" w:fill="auto"/>
          </w:tcPr>
          <w:p w14:paraId="3D29FCB9" w14:textId="77777777" w:rsidR="00F95D07" w:rsidRPr="009D3012" w:rsidRDefault="00F95D07" w:rsidP="00F95D07">
            <w:pPr>
              <w:pStyle w:val="Tablebody"/>
              <w:rPr>
                <w:rStyle w:val="CCMCvariableitalic"/>
              </w:rPr>
            </w:pPr>
            <w:r w:rsidRPr="001455DC">
              <w:rPr>
                <w:rStyle w:val="CCMCvariableitalic"/>
              </w:rPr>
              <w:t>k</w:t>
            </w:r>
            <w:r w:rsidRPr="001455DC">
              <w:rPr>
                <w:rStyle w:val="CCMCvariablesubscript"/>
              </w:rPr>
              <w:t>r</w:t>
            </w:r>
          </w:p>
        </w:tc>
        <w:tc>
          <w:tcPr>
            <w:tcW w:w="6548" w:type="dxa"/>
            <w:shd w:val="clear" w:color="auto" w:fill="auto"/>
          </w:tcPr>
          <w:p w14:paraId="0ED12A70" w14:textId="77777777" w:rsidR="00F95D07" w:rsidRPr="001455DC" w:rsidRDefault="00F95D07" w:rsidP="000250B6">
            <w:pPr>
              <w:pStyle w:val="Tablebody"/>
              <w:jc w:val="left"/>
              <w:rPr>
                <w:lang w:eastAsia="de-DE"/>
              </w:rPr>
            </w:pPr>
            <w:r w:rsidRPr="001455DC">
              <w:t>In the context of second order effects, correction coefficient for equilibrium curvature depending on axial load</w:t>
            </w:r>
          </w:p>
        </w:tc>
        <w:tc>
          <w:tcPr>
            <w:tcW w:w="1984" w:type="dxa"/>
          </w:tcPr>
          <w:p w14:paraId="1D0582B1" w14:textId="53D2D940" w:rsidR="00F95D07" w:rsidRPr="001455DC" w:rsidRDefault="00F95D07" w:rsidP="00F95D07">
            <w:pPr>
              <w:pStyle w:val="Tablebody"/>
            </w:pPr>
            <w:r w:rsidRPr="009D3012">
              <w:rPr>
                <w:lang w:eastAsia="de-DE"/>
              </w:rPr>
              <w:t>O.7.3(1), O.7.3(3)</w:t>
            </w:r>
          </w:p>
        </w:tc>
      </w:tr>
      <w:tr w:rsidR="00F95D07" w:rsidRPr="001455DC" w14:paraId="538C5B95" w14:textId="777380E3" w:rsidTr="0066200C">
        <w:trPr>
          <w:cantSplit/>
        </w:trPr>
        <w:tc>
          <w:tcPr>
            <w:tcW w:w="1418" w:type="dxa"/>
            <w:shd w:val="clear" w:color="auto" w:fill="auto"/>
          </w:tcPr>
          <w:p w14:paraId="3BB4A8AD" w14:textId="77777777" w:rsidR="00F95D07" w:rsidRPr="009D3012" w:rsidRDefault="00F95D07" w:rsidP="00F95D07">
            <w:pPr>
              <w:pStyle w:val="Tablebody"/>
              <w:rPr>
                <w:rStyle w:val="CCMCvariableitalic"/>
              </w:rPr>
            </w:pPr>
            <w:r w:rsidRPr="001455DC">
              <w:rPr>
                <w:rStyle w:val="CCMCvariableitalic"/>
              </w:rPr>
              <w:t>k</w:t>
            </w:r>
            <w:r w:rsidRPr="001455DC">
              <w:rPr>
                <w:rStyle w:val="CCMCvariablesubscript"/>
              </w:rPr>
              <w:t>s</w:t>
            </w:r>
          </w:p>
        </w:tc>
        <w:tc>
          <w:tcPr>
            <w:tcW w:w="6548" w:type="dxa"/>
            <w:shd w:val="clear" w:color="auto" w:fill="auto"/>
          </w:tcPr>
          <w:p w14:paraId="1CB7D5A8" w14:textId="77777777" w:rsidR="00F95D07" w:rsidRPr="001455DC" w:rsidRDefault="00F95D07" w:rsidP="000250B6">
            <w:pPr>
              <w:pStyle w:val="Tablebody"/>
              <w:jc w:val="left"/>
              <w:rPr>
                <w:lang w:eastAsia="de-DE"/>
              </w:rPr>
            </w:pPr>
            <w:r w:rsidRPr="001455DC">
              <w:rPr>
                <w:lang w:eastAsia="de-DE"/>
              </w:rPr>
              <w:t>Coefficient accounting for the effect of cracking on the shrinkage deflection</w:t>
            </w:r>
          </w:p>
        </w:tc>
        <w:tc>
          <w:tcPr>
            <w:tcW w:w="1984" w:type="dxa"/>
          </w:tcPr>
          <w:p w14:paraId="25247456" w14:textId="77777777" w:rsidR="00F95D07" w:rsidRPr="001455DC" w:rsidRDefault="00F95D07" w:rsidP="00F95D07">
            <w:pPr>
              <w:pStyle w:val="Tablebody"/>
              <w:rPr>
                <w:lang w:eastAsia="de-DE"/>
              </w:rPr>
            </w:pPr>
          </w:p>
        </w:tc>
      </w:tr>
      <w:tr w:rsidR="00F95D07" w:rsidRPr="001455DC" w14:paraId="1CFB19B4" w14:textId="028FC211" w:rsidTr="0066200C">
        <w:trPr>
          <w:cantSplit/>
        </w:trPr>
        <w:tc>
          <w:tcPr>
            <w:tcW w:w="1418" w:type="dxa"/>
            <w:shd w:val="clear" w:color="auto" w:fill="auto"/>
          </w:tcPr>
          <w:p w14:paraId="4AA23CE5" w14:textId="77777777" w:rsidR="00F95D07" w:rsidRPr="009D3012" w:rsidRDefault="00F95D07" w:rsidP="00F95D07">
            <w:pPr>
              <w:pStyle w:val="Tablebody"/>
              <w:rPr>
                <w:rStyle w:val="CCMCvariableitalic"/>
              </w:rPr>
            </w:pPr>
            <w:r w:rsidRPr="001455DC">
              <w:rPr>
                <w:rStyle w:val="CCMCvariableitalic"/>
              </w:rPr>
              <w:t>k</w:t>
            </w:r>
            <w:r w:rsidRPr="001455DC">
              <w:rPr>
                <w:rStyle w:val="CCMCvariablesubscript"/>
              </w:rPr>
              <w:t>st</w:t>
            </w:r>
          </w:p>
        </w:tc>
        <w:tc>
          <w:tcPr>
            <w:tcW w:w="6548" w:type="dxa"/>
            <w:shd w:val="clear" w:color="auto" w:fill="auto"/>
          </w:tcPr>
          <w:p w14:paraId="4D06E7E5" w14:textId="77777777" w:rsidR="00F95D07" w:rsidRPr="001455DC" w:rsidRDefault="00F95D07" w:rsidP="000250B6">
            <w:pPr>
              <w:pStyle w:val="Tablebody"/>
              <w:jc w:val="left"/>
            </w:pPr>
            <w:r w:rsidRPr="001455DC">
              <w:t>Resistance factor of the transverse reinforcement in laps using U-bar loops</w:t>
            </w:r>
          </w:p>
        </w:tc>
        <w:tc>
          <w:tcPr>
            <w:tcW w:w="1984" w:type="dxa"/>
          </w:tcPr>
          <w:p w14:paraId="6014A9D7" w14:textId="5AE542CA" w:rsidR="00F95D07" w:rsidRPr="001455DC" w:rsidRDefault="00F95D07" w:rsidP="00F95D07">
            <w:pPr>
              <w:pStyle w:val="Tablebody"/>
            </w:pPr>
            <w:r w:rsidRPr="009D3012">
              <w:rPr>
                <w:lang w:eastAsia="de-DE"/>
              </w:rPr>
              <w:t>11.5.4(2)</w:t>
            </w:r>
          </w:p>
        </w:tc>
      </w:tr>
      <w:tr w:rsidR="00F95D07" w:rsidRPr="001455DC" w14:paraId="3A7E43B1" w14:textId="13C488A2" w:rsidTr="0066200C">
        <w:trPr>
          <w:cantSplit/>
        </w:trPr>
        <w:tc>
          <w:tcPr>
            <w:tcW w:w="1418" w:type="dxa"/>
            <w:shd w:val="clear" w:color="auto" w:fill="auto"/>
          </w:tcPr>
          <w:p w14:paraId="6815DC3D" w14:textId="77777777" w:rsidR="00F95D07" w:rsidRPr="009D3012" w:rsidRDefault="00F95D07" w:rsidP="00F95D07">
            <w:pPr>
              <w:pStyle w:val="Tablebody"/>
              <w:rPr>
                <w:rStyle w:val="CCMCvariableitalic"/>
              </w:rPr>
            </w:pPr>
            <w:r w:rsidRPr="001455DC">
              <w:rPr>
                <w:rStyle w:val="CCMCvariableitalic"/>
              </w:rPr>
              <w:t>k</w:t>
            </w:r>
            <w:r w:rsidRPr="001455DC">
              <w:rPr>
                <w:rStyle w:val="CCMCvariablesubscript"/>
              </w:rPr>
              <w:t>t</w:t>
            </w:r>
          </w:p>
        </w:tc>
        <w:tc>
          <w:tcPr>
            <w:tcW w:w="6548" w:type="dxa"/>
            <w:shd w:val="clear" w:color="auto" w:fill="auto"/>
          </w:tcPr>
          <w:p w14:paraId="29AF05CD" w14:textId="77777777" w:rsidR="00F95D07" w:rsidRPr="001455DC" w:rsidRDefault="00F95D07" w:rsidP="000250B6">
            <w:pPr>
              <w:pStyle w:val="Tablebody"/>
              <w:jc w:val="left"/>
              <w:rPr>
                <w:lang w:eastAsia="de-DE"/>
              </w:rPr>
            </w:pPr>
            <w:r w:rsidRPr="001455DC">
              <w:rPr>
                <w:lang w:eastAsia="de-DE"/>
              </w:rPr>
              <w:t>Coefficient accounting for the effect of the nature and duration of the load on tension stiffening effects for cracking</w:t>
            </w:r>
          </w:p>
        </w:tc>
        <w:tc>
          <w:tcPr>
            <w:tcW w:w="1984" w:type="dxa"/>
          </w:tcPr>
          <w:p w14:paraId="75BA6C11" w14:textId="284037B8" w:rsidR="00F95D07" w:rsidRPr="001455DC" w:rsidRDefault="00F95D07" w:rsidP="00F95D07">
            <w:pPr>
              <w:pStyle w:val="Tablebody"/>
              <w:rPr>
                <w:lang w:eastAsia="de-DE"/>
              </w:rPr>
            </w:pPr>
            <w:r w:rsidRPr="009D3012">
              <w:rPr>
                <w:lang w:eastAsia="de-DE"/>
              </w:rPr>
              <w:t>9.2.4(3)</w:t>
            </w:r>
          </w:p>
        </w:tc>
      </w:tr>
      <w:tr w:rsidR="00F95D07" w:rsidRPr="001455DC" w14:paraId="635F7698" w14:textId="0BD0B161" w:rsidTr="0066200C">
        <w:trPr>
          <w:cantSplit/>
        </w:trPr>
        <w:tc>
          <w:tcPr>
            <w:tcW w:w="1418" w:type="dxa"/>
            <w:shd w:val="clear" w:color="auto" w:fill="auto"/>
          </w:tcPr>
          <w:p w14:paraId="18F7BC50" w14:textId="77777777" w:rsidR="00F95D07" w:rsidRPr="009D3012" w:rsidRDefault="00F95D07" w:rsidP="00F95D07">
            <w:pPr>
              <w:pStyle w:val="Tablebody"/>
              <w:rPr>
                <w:rStyle w:val="CCMCvariableitalic"/>
              </w:rPr>
            </w:pPr>
            <w:r w:rsidRPr="001455DC">
              <w:rPr>
                <w:rStyle w:val="CCMCvariableitalic"/>
              </w:rPr>
              <w:t>k</w:t>
            </w:r>
            <w:r w:rsidRPr="001455DC">
              <w:rPr>
                <w:rStyle w:val="CCMCvariablesubscript"/>
              </w:rPr>
              <w:t>tc</w:t>
            </w:r>
          </w:p>
        </w:tc>
        <w:tc>
          <w:tcPr>
            <w:tcW w:w="6548" w:type="dxa"/>
            <w:shd w:val="clear" w:color="auto" w:fill="auto"/>
          </w:tcPr>
          <w:p w14:paraId="730008D3" w14:textId="77777777" w:rsidR="00F95D07" w:rsidRPr="001455DC" w:rsidRDefault="00F95D07" w:rsidP="000250B6">
            <w:pPr>
              <w:pStyle w:val="Tablebody"/>
              <w:jc w:val="left"/>
              <w:rPr>
                <w:lang w:eastAsia="de-DE"/>
              </w:rPr>
            </w:pPr>
            <w:r w:rsidRPr="001455DC">
              <w:t>Coefficient considering the effect of high sustained loads on concrete compressive strength</w:t>
            </w:r>
          </w:p>
        </w:tc>
        <w:tc>
          <w:tcPr>
            <w:tcW w:w="1984" w:type="dxa"/>
          </w:tcPr>
          <w:p w14:paraId="60318A9D" w14:textId="42A65CBE" w:rsidR="00F95D07" w:rsidRPr="001455DC" w:rsidRDefault="00F95D07" w:rsidP="00F95D07">
            <w:pPr>
              <w:pStyle w:val="Tablebody"/>
            </w:pPr>
            <w:r w:rsidRPr="009D3012">
              <w:rPr>
                <w:lang w:eastAsia="de-DE"/>
              </w:rPr>
              <w:t>5.1.6(1)</w:t>
            </w:r>
          </w:p>
        </w:tc>
      </w:tr>
      <w:tr w:rsidR="00F95D07" w:rsidRPr="001455DC" w14:paraId="63C3CDA8" w14:textId="679F8199" w:rsidTr="0066200C">
        <w:trPr>
          <w:cantSplit/>
        </w:trPr>
        <w:tc>
          <w:tcPr>
            <w:tcW w:w="1418" w:type="dxa"/>
            <w:shd w:val="clear" w:color="auto" w:fill="auto"/>
          </w:tcPr>
          <w:p w14:paraId="60558D71" w14:textId="77777777" w:rsidR="00F95D07" w:rsidRPr="009D3012" w:rsidRDefault="00F95D07" w:rsidP="00F95D07">
            <w:pPr>
              <w:pStyle w:val="Tablebody"/>
              <w:rPr>
                <w:rStyle w:val="CCMCvariableitalic"/>
              </w:rPr>
            </w:pPr>
            <w:r w:rsidRPr="001455DC">
              <w:rPr>
                <w:rStyle w:val="CCMCvariableitalic"/>
              </w:rPr>
              <w:t>k</w:t>
            </w:r>
            <w:r w:rsidRPr="001455DC">
              <w:rPr>
                <w:rStyle w:val="CCMCvariablesubscript"/>
              </w:rPr>
              <w:t>Temp</w:t>
            </w:r>
          </w:p>
        </w:tc>
        <w:tc>
          <w:tcPr>
            <w:tcW w:w="6548" w:type="dxa"/>
            <w:shd w:val="clear" w:color="auto" w:fill="auto"/>
          </w:tcPr>
          <w:p w14:paraId="4D201B4A" w14:textId="77777777" w:rsidR="00F95D07" w:rsidRPr="001455DC" w:rsidRDefault="00F95D07" w:rsidP="000250B6">
            <w:pPr>
              <w:pStyle w:val="Tablebody"/>
              <w:jc w:val="left"/>
              <w:rPr>
                <w:lang w:eastAsia="de-DE"/>
              </w:rPr>
            </w:pPr>
            <w:r w:rsidRPr="001455DC">
              <w:t xml:space="preserve">Coefficient accounting for the reduction in temperature from </w:t>
            </w:r>
            <w:r w:rsidRPr="001455DC">
              <w:rPr>
                <w:rStyle w:val="CCMCvariableitalic"/>
              </w:rPr>
              <w:t>t</w:t>
            </w:r>
            <w:r w:rsidRPr="001455DC">
              <w:rPr>
                <w:rStyle w:val="CCMCvariablesubscript"/>
              </w:rPr>
              <w:t>1</w:t>
            </w:r>
            <w:r w:rsidRPr="001455DC">
              <w:t xml:space="preserve"> to </w:t>
            </w:r>
            <w:r w:rsidRPr="001455DC">
              <w:rPr>
                <w:rStyle w:val="CCMCvariableitalic"/>
              </w:rPr>
              <w:t>t</w:t>
            </w:r>
            <w:r w:rsidRPr="001455DC">
              <w:rPr>
                <w:rStyle w:val="CCMCvariablesubscript"/>
              </w:rPr>
              <w:t>2</w:t>
            </w:r>
          </w:p>
        </w:tc>
        <w:tc>
          <w:tcPr>
            <w:tcW w:w="1984" w:type="dxa"/>
          </w:tcPr>
          <w:p w14:paraId="6D3BBF3E" w14:textId="59B82BCE" w:rsidR="00F95D07" w:rsidRPr="001455DC" w:rsidRDefault="00F95D07">
            <w:pPr>
              <w:pStyle w:val="Tablebody"/>
            </w:pPr>
            <w:r w:rsidRPr="009D3012">
              <w:rPr>
                <w:lang w:eastAsia="de-DE"/>
              </w:rPr>
              <w:t>D.</w:t>
            </w:r>
            <w:r w:rsidR="00FF20F9" w:rsidRPr="001455DC">
              <w:rPr>
                <w:lang w:eastAsia="de-DE"/>
              </w:rPr>
              <w:t>5</w:t>
            </w:r>
            <w:r w:rsidRPr="009D3012">
              <w:rPr>
                <w:lang w:eastAsia="de-DE"/>
              </w:rPr>
              <w:t>(4)</w:t>
            </w:r>
          </w:p>
        </w:tc>
      </w:tr>
      <w:tr w:rsidR="00F95D07" w:rsidRPr="001455DC" w14:paraId="4DB5C7ED" w14:textId="2824A69C" w:rsidTr="0066200C">
        <w:trPr>
          <w:cantSplit/>
        </w:trPr>
        <w:tc>
          <w:tcPr>
            <w:tcW w:w="1418" w:type="dxa"/>
            <w:shd w:val="clear" w:color="auto" w:fill="auto"/>
          </w:tcPr>
          <w:p w14:paraId="69B595D2" w14:textId="77777777" w:rsidR="00F95D07" w:rsidRPr="009D3012" w:rsidRDefault="00F95D07" w:rsidP="00F95D07">
            <w:pPr>
              <w:pStyle w:val="Tablebody"/>
              <w:rPr>
                <w:rStyle w:val="CCMCvariableitalic"/>
              </w:rPr>
            </w:pPr>
            <w:r w:rsidRPr="001455DC">
              <w:rPr>
                <w:rStyle w:val="CCMCvariableitalic"/>
              </w:rPr>
              <w:t>k</w:t>
            </w:r>
            <w:r w:rsidRPr="001455DC">
              <w:rPr>
                <w:rStyle w:val="CCMCvariablesubscript"/>
              </w:rPr>
              <w:t>tt</w:t>
            </w:r>
          </w:p>
        </w:tc>
        <w:tc>
          <w:tcPr>
            <w:tcW w:w="6548" w:type="dxa"/>
            <w:shd w:val="clear" w:color="auto" w:fill="auto"/>
          </w:tcPr>
          <w:p w14:paraId="764199CA" w14:textId="77777777" w:rsidR="00F95D07" w:rsidRPr="001455DC" w:rsidRDefault="00F95D07" w:rsidP="000250B6">
            <w:pPr>
              <w:pStyle w:val="Tablebody"/>
              <w:jc w:val="left"/>
            </w:pPr>
            <w:r w:rsidRPr="001455DC">
              <w:t>Coefficient considering the effect of high sustained loads on concrete tensile strength</w:t>
            </w:r>
          </w:p>
        </w:tc>
        <w:tc>
          <w:tcPr>
            <w:tcW w:w="1984" w:type="dxa"/>
          </w:tcPr>
          <w:p w14:paraId="21187688" w14:textId="6770C43D" w:rsidR="00F95D07" w:rsidRPr="001455DC" w:rsidRDefault="00F95D07" w:rsidP="00F95D07">
            <w:pPr>
              <w:pStyle w:val="Tablebody"/>
            </w:pPr>
            <w:r w:rsidRPr="009D3012">
              <w:rPr>
                <w:lang w:eastAsia="de-DE"/>
              </w:rPr>
              <w:t>5.1.6(2)</w:t>
            </w:r>
          </w:p>
        </w:tc>
      </w:tr>
      <w:tr w:rsidR="00F95D07" w:rsidRPr="001455DC" w14:paraId="467481D2" w14:textId="4287FA4D" w:rsidTr="0066200C">
        <w:trPr>
          <w:cantSplit/>
        </w:trPr>
        <w:tc>
          <w:tcPr>
            <w:tcW w:w="1418" w:type="dxa"/>
            <w:shd w:val="clear" w:color="auto" w:fill="auto"/>
          </w:tcPr>
          <w:p w14:paraId="51C3BE84" w14:textId="77777777" w:rsidR="00F95D07" w:rsidRPr="009D3012" w:rsidRDefault="00F95D07" w:rsidP="00F95D07">
            <w:pPr>
              <w:pStyle w:val="Tablebody"/>
              <w:rPr>
                <w:rStyle w:val="CCMCvariableitalic"/>
              </w:rPr>
            </w:pPr>
            <w:r w:rsidRPr="001455DC">
              <w:rPr>
                <w:rStyle w:val="CCMCvariableitalic"/>
              </w:rPr>
              <w:t>k</w:t>
            </w:r>
            <w:r w:rsidRPr="001455DC">
              <w:rPr>
                <w:rStyle w:val="CCMCvariablesubscript"/>
              </w:rPr>
              <w:t>θ</w:t>
            </w:r>
          </w:p>
        </w:tc>
        <w:tc>
          <w:tcPr>
            <w:tcW w:w="6548" w:type="dxa"/>
            <w:shd w:val="clear" w:color="auto" w:fill="auto"/>
          </w:tcPr>
          <w:p w14:paraId="5D70AB9D" w14:textId="77777777" w:rsidR="00F95D07" w:rsidRPr="001455DC" w:rsidRDefault="00F95D07" w:rsidP="000250B6">
            <w:pPr>
              <w:pStyle w:val="Tablebody"/>
              <w:jc w:val="left"/>
              <w:rPr>
                <w:lang w:eastAsia="de-DE"/>
              </w:rPr>
            </w:pPr>
            <w:r w:rsidRPr="001455DC">
              <w:t>Sum of rotational restraint stiffnesses at the base of the bracing members</w:t>
            </w:r>
          </w:p>
        </w:tc>
        <w:tc>
          <w:tcPr>
            <w:tcW w:w="1984" w:type="dxa"/>
          </w:tcPr>
          <w:p w14:paraId="759A2CF8" w14:textId="6C253C6A" w:rsidR="00F95D07" w:rsidRPr="001455DC" w:rsidRDefault="00F95D07" w:rsidP="00F95D07">
            <w:pPr>
              <w:pStyle w:val="Tablebody"/>
            </w:pPr>
            <w:r w:rsidRPr="009D3012">
              <w:rPr>
                <w:lang w:eastAsia="de-DE"/>
              </w:rPr>
              <w:t>O.3(1)</w:t>
            </w:r>
          </w:p>
        </w:tc>
      </w:tr>
      <w:tr w:rsidR="00F95D07" w:rsidRPr="001455DC" w14:paraId="75BAE052" w14:textId="36BC0D7F" w:rsidTr="0066200C">
        <w:trPr>
          <w:cantSplit/>
        </w:trPr>
        <w:tc>
          <w:tcPr>
            <w:tcW w:w="1418" w:type="dxa"/>
            <w:shd w:val="clear" w:color="auto" w:fill="auto"/>
          </w:tcPr>
          <w:p w14:paraId="7EA542AE" w14:textId="77777777" w:rsidR="00F95D07" w:rsidRPr="009D3012" w:rsidRDefault="00F95D07" w:rsidP="00F95D07">
            <w:pPr>
              <w:pStyle w:val="Tablebody"/>
              <w:rPr>
                <w:rStyle w:val="CCMCvariableitalic"/>
              </w:rPr>
            </w:pPr>
            <w:r w:rsidRPr="001455DC">
              <w:rPr>
                <w:rStyle w:val="CCMCvariableitalic"/>
              </w:rPr>
              <w:t>k</w:t>
            </w:r>
            <w:r w:rsidRPr="001455DC">
              <w:rPr>
                <w:rStyle w:val="CCMCvariablesubscript"/>
              </w:rPr>
              <w:t>λ</w:t>
            </w:r>
          </w:p>
        </w:tc>
        <w:tc>
          <w:tcPr>
            <w:tcW w:w="6548" w:type="dxa"/>
            <w:shd w:val="clear" w:color="auto" w:fill="auto"/>
          </w:tcPr>
          <w:p w14:paraId="24FC14E8" w14:textId="77777777" w:rsidR="00F95D07" w:rsidRPr="001455DC" w:rsidRDefault="00F95D07" w:rsidP="000250B6">
            <w:pPr>
              <w:pStyle w:val="Tablebody"/>
              <w:jc w:val="left"/>
              <w:rPr>
                <w:lang w:eastAsia="de-DE"/>
              </w:rPr>
            </w:pPr>
            <w:r w:rsidRPr="001455DC">
              <w:rPr>
                <w:lang w:eastAsia="de-DE"/>
              </w:rPr>
              <w:t>Correction factor to basic value of allowable rotation to account for shear slenderness</w:t>
            </w:r>
          </w:p>
        </w:tc>
        <w:tc>
          <w:tcPr>
            <w:tcW w:w="1984" w:type="dxa"/>
          </w:tcPr>
          <w:p w14:paraId="675E8E16" w14:textId="6B8BA0B2" w:rsidR="00F95D07" w:rsidRPr="001455DC" w:rsidRDefault="00F95D07" w:rsidP="00F95D07">
            <w:pPr>
              <w:pStyle w:val="Tablebody"/>
              <w:rPr>
                <w:lang w:eastAsia="de-DE"/>
              </w:rPr>
            </w:pPr>
            <w:r w:rsidRPr="009D3012">
              <w:rPr>
                <w:lang w:eastAsia="de-DE"/>
              </w:rPr>
              <w:t>7.6.3(4)</w:t>
            </w:r>
          </w:p>
        </w:tc>
      </w:tr>
      <w:tr w:rsidR="00F95D07" w:rsidRPr="001455DC" w14:paraId="27E71915" w14:textId="317DD0BD" w:rsidTr="0066200C">
        <w:trPr>
          <w:cantSplit/>
        </w:trPr>
        <w:tc>
          <w:tcPr>
            <w:tcW w:w="1418" w:type="dxa"/>
            <w:shd w:val="clear" w:color="auto" w:fill="auto"/>
          </w:tcPr>
          <w:p w14:paraId="1D3C940A" w14:textId="77777777" w:rsidR="00F95D07" w:rsidRPr="009D3012" w:rsidRDefault="00F95D07" w:rsidP="00F95D07">
            <w:pPr>
              <w:pStyle w:val="Tablebody"/>
              <w:rPr>
                <w:rStyle w:val="CCMCvariableitalic"/>
              </w:rPr>
            </w:pPr>
            <w:r w:rsidRPr="001455DC">
              <w:rPr>
                <w:rStyle w:val="CCMCvariableitalic"/>
              </w:rPr>
              <w:t>k</w:t>
            </w:r>
            <w:r w:rsidRPr="001455DC">
              <w:rPr>
                <w:rStyle w:val="CCMCvariablesubscript"/>
              </w:rPr>
              <w:t>μ</w:t>
            </w:r>
          </w:p>
        </w:tc>
        <w:tc>
          <w:tcPr>
            <w:tcW w:w="6548" w:type="dxa"/>
            <w:shd w:val="clear" w:color="auto" w:fill="auto"/>
          </w:tcPr>
          <w:p w14:paraId="38080CFD" w14:textId="77777777" w:rsidR="00F95D07" w:rsidRPr="001455DC" w:rsidRDefault="00F95D07" w:rsidP="000250B6">
            <w:pPr>
              <w:pStyle w:val="Tablebody"/>
              <w:jc w:val="left"/>
              <w:rPr>
                <w:lang w:eastAsia="de-DE"/>
              </w:rPr>
            </w:pPr>
            <w:r w:rsidRPr="001455DC">
              <w:t>Unintentional angular displacement for internal tendons (per unit length)</w:t>
            </w:r>
          </w:p>
        </w:tc>
        <w:tc>
          <w:tcPr>
            <w:tcW w:w="1984" w:type="dxa"/>
          </w:tcPr>
          <w:p w14:paraId="42BDA7F8" w14:textId="66A0C5F9" w:rsidR="00F95D07" w:rsidRPr="001455DC" w:rsidRDefault="00F95D07" w:rsidP="00F95D07">
            <w:pPr>
              <w:pStyle w:val="Tablebody"/>
            </w:pPr>
            <w:r w:rsidRPr="009D3012">
              <w:rPr>
                <w:lang w:eastAsia="de-DE"/>
              </w:rPr>
              <w:t>7.10.3.1(1)</w:t>
            </w:r>
          </w:p>
        </w:tc>
      </w:tr>
      <w:tr w:rsidR="00F95D07" w:rsidRPr="001455DC" w14:paraId="3436F84E" w14:textId="00E1AF9C" w:rsidTr="0066200C">
        <w:trPr>
          <w:cantSplit/>
        </w:trPr>
        <w:tc>
          <w:tcPr>
            <w:tcW w:w="1418" w:type="dxa"/>
            <w:shd w:val="clear" w:color="auto" w:fill="auto"/>
          </w:tcPr>
          <w:p w14:paraId="67BA05EE" w14:textId="77777777" w:rsidR="00F95D07" w:rsidRPr="009D3012" w:rsidRDefault="00F95D07" w:rsidP="00F95D07">
            <w:pPr>
              <w:pStyle w:val="Tablebody"/>
              <w:rPr>
                <w:rStyle w:val="CCMCvariableitalic"/>
              </w:rPr>
            </w:pPr>
            <w:r w:rsidRPr="001455DC">
              <w:rPr>
                <w:rStyle w:val="CCMCvariableitalic"/>
              </w:rPr>
              <w:t>k</w:t>
            </w:r>
            <w:r w:rsidRPr="001455DC">
              <w:rPr>
                <w:rStyle w:val="CCMCvariablesubscript"/>
              </w:rPr>
              <w:t>ρ</w:t>
            </w:r>
          </w:p>
        </w:tc>
        <w:tc>
          <w:tcPr>
            <w:tcW w:w="6548" w:type="dxa"/>
            <w:shd w:val="clear" w:color="auto" w:fill="auto"/>
          </w:tcPr>
          <w:p w14:paraId="66826A5A" w14:textId="77777777" w:rsidR="00F95D07" w:rsidRPr="001455DC" w:rsidRDefault="00F95D07" w:rsidP="000250B6">
            <w:pPr>
              <w:pStyle w:val="Tablebody"/>
              <w:jc w:val="left"/>
            </w:pPr>
            <w:r w:rsidRPr="001455DC">
              <w:t>Exponent to model the evolution of relaxation with time</w:t>
            </w:r>
          </w:p>
        </w:tc>
        <w:tc>
          <w:tcPr>
            <w:tcW w:w="1984" w:type="dxa"/>
          </w:tcPr>
          <w:p w14:paraId="6D1AB754" w14:textId="302ACF5C" w:rsidR="00F95D07" w:rsidRPr="001455DC" w:rsidRDefault="00F95D07">
            <w:pPr>
              <w:pStyle w:val="Tablebody"/>
            </w:pPr>
            <w:r w:rsidRPr="009D3012">
              <w:rPr>
                <w:lang w:eastAsia="de-DE"/>
              </w:rPr>
              <w:t>B.</w:t>
            </w:r>
            <w:r w:rsidR="008970C2" w:rsidRPr="009D3012">
              <w:rPr>
                <w:lang w:eastAsia="de-DE"/>
              </w:rPr>
              <w:t>9</w:t>
            </w:r>
            <w:r w:rsidRPr="009D3012">
              <w:rPr>
                <w:lang w:eastAsia="de-DE"/>
              </w:rPr>
              <w:t>(3)</w:t>
            </w:r>
          </w:p>
        </w:tc>
      </w:tr>
      <w:tr w:rsidR="00F95D07" w:rsidRPr="001455DC" w14:paraId="0FBA5441" w14:textId="34F8128B" w:rsidTr="0066200C">
        <w:trPr>
          <w:cantSplit/>
        </w:trPr>
        <w:tc>
          <w:tcPr>
            <w:tcW w:w="1418" w:type="dxa"/>
            <w:shd w:val="clear" w:color="auto" w:fill="auto"/>
          </w:tcPr>
          <w:p w14:paraId="3BE09A9C" w14:textId="77777777" w:rsidR="00F95D07" w:rsidRPr="009D3012" w:rsidRDefault="00F95D07" w:rsidP="00F95D07">
            <w:pPr>
              <w:pStyle w:val="Tablebody"/>
              <w:rPr>
                <w:rStyle w:val="CCMCvariableitalic"/>
              </w:rPr>
            </w:pPr>
            <w:r w:rsidRPr="001455DC">
              <w:rPr>
                <w:rStyle w:val="CCMCvariableitalic"/>
              </w:rPr>
              <w:t>k</w:t>
            </w:r>
            <w:r w:rsidRPr="001455DC">
              <w:rPr>
                <w:rStyle w:val="CCMCvariablesubscript"/>
              </w:rPr>
              <w:t>σ</w:t>
            </w:r>
          </w:p>
        </w:tc>
        <w:tc>
          <w:tcPr>
            <w:tcW w:w="6548" w:type="dxa"/>
            <w:shd w:val="clear" w:color="auto" w:fill="auto"/>
          </w:tcPr>
          <w:p w14:paraId="32981715" w14:textId="77777777" w:rsidR="00F95D07" w:rsidRPr="001455DC" w:rsidRDefault="00F95D07" w:rsidP="000250B6">
            <w:pPr>
              <w:pStyle w:val="Tablebody"/>
              <w:jc w:val="left"/>
            </w:pPr>
            <w:r w:rsidRPr="001455DC">
              <w:t>Ratio of concrete stress to 0,4</w:t>
            </w:r>
            <w:r w:rsidRPr="001455DC">
              <w:rPr>
                <w:rStyle w:val="CCMCvariableitalic"/>
              </w:rPr>
              <w:t>f</w:t>
            </w:r>
            <w:r w:rsidRPr="001455DC">
              <w:rPr>
                <w:rStyle w:val="CCMCvariablesubscript"/>
              </w:rPr>
              <w:t>cm</w:t>
            </w:r>
            <w:r w:rsidRPr="001455DC">
              <w:t>, used to account for non-linear creep</w:t>
            </w:r>
          </w:p>
        </w:tc>
        <w:tc>
          <w:tcPr>
            <w:tcW w:w="1984" w:type="dxa"/>
          </w:tcPr>
          <w:p w14:paraId="2BEC3BA2" w14:textId="1DC5B77C" w:rsidR="00F95D07" w:rsidRPr="001455DC" w:rsidRDefault="00F95D07" w:rsidP="0066200C">
            <w:pPr>
              <w:pStyle w:val="Tablebody"/>
            </w:pPr>
            <w:r w:rsidRPr="009D3012">
              <w:rPr>
                <w:lang w:eastAsia="de-DE"/>
              </w:rPr>
              <w:t>B.</w:t>
            </w:r>
            <w:r w:rsidR="007D653E" w:rsidRPr="009D3012">
              <w:rPr>
                <w:lang w:eastAsia="de-DE"/>
              </w:rPr>
              <w:t>4</w:t>
            </w:r>
            <w:r w:rsidRPr="009D3012">
              <w:rPr>
                <w:lang w:eastAsia="de-DE"/>
              </w:rPr>
              <w:t>(6)</w:t>
            </w:r>
          </w:p>
        </w:tc>
      </w:tr>
      <w:tr w:rsidR="00F95D07" w:rsidRPr="001455DC" w14:paraId="5AA8BF43" w14:textId="20B8873A" w:rsidTr="0066200C">
        <w:trPr>
          <w:cantSplit/>
        </w:trPr>
        <w:tc>
          <w:tcPr>
            <w:tcW w:w="1418" w:type="dxa"/>
            <w:shd w:val="clear" w:color="auto" w:fill="auto"/>
          </w:tcPr>
          <w:p w14:paraId="7A3EE9FF" w14:textId="77777777" w:rsidR="00F95D07" w:rsidRPr="009D3012" w:rsidRDefault="00F95D07" w:rsidP="00F95D07">
            <w:pPr>
              <w:pStyle w:val="Tablebody"/>
              <w:rPr>
                <w:rStyle w:val="CCMCvariableitalic"/>
              </w:rPr>
            </w:pPr>
            <w:r w:rsidRPr="001455DC">
              <w:rPr>
                <w:rStyle w:val="CCMCvariableitalic"/>
              </w:rPr>
              <w:t>k</w:t>
            </w:r>
            <w:r w:rsidRPr="001455DC">
              <w:rPr>
                <w:rStyle w:val="CCMCvariablesubscript"/>
              </w:rPr>
              <w:t>φ</w:t>
            </w:r>
          </w:p>
        </w:tc>
        <w:tc>
          <w:tcPr>
            <w:tcW w:w="6548" w:type="dxa"/>
            <w:shd w:val="clear" w:color="auto" w:fill="auto"/>
          </w:tcPr>
          <w:p w14:paraId="5AA3D82B" w14:textId="77777777" w:rsidR="00F95D07" w:rsidRPr="001455DC" w:rsidRDefault="00F95D07" w:rsidP="000250B6">
            <w:pPr>
              <w:pStyle w:val="Tablebody"/>
              <w:jc w:val="left"/>
            </w:pPr>
            <w:r w:rsidRPr="001455DC">
              <w:t>In the context of second order effects, correction coefficient for equilibrium curvature accounting for creep</w:t>
            </w:r>
          </w:p>
        </w:tc>
        <w:tc>
          <w:tcPr>
            <w:tcW w:w="1984" w:type="dxa"/>
          </w:tcPr>
          <w:p w14:paraId="62287996" w14:textId="7932432B" w:rsidR="00F95D07" w:rsidRPr="001455DC" w:rsidRDefault="00F95D07" w:rsidP="00F95D07">
            <w:pPr>
              <w:pStyle w:val="Tablebody"/>
            </w:pPr>
            <w:r w:rsidRPr="009D3012">
              <w:rPr>
                <w:lang w:eastAsia="de-DE"/>
              </w:rPr>
              <w:t>O.7.3(1), O.7.3(4)</w:t>
            </w:r>
          </w:p>
        </w:tc>
      </w:tr>
      <w:tr w:rsidR="00F95D07" w:rsidRPr="001455DC" w14:paraId="5DBDB18C" w14:textId="45CD4E34" w:rsidTr="0066200C">
        <w:trPr>
          <w:cantSplit/>
        </w:trPr>
        <w:tc>
          <w:tcPr>
            <w:tcW w:w="1418" w:type="dxa"/>
            <w:shd w:val="clear" w:color="auto" w:fill="auto"/>
          </w:tcPr>
          <w:p w14:paraId="16BE5EC9" w14:textId="77777777" w:rsidR="00F95D07" w:rsidRPr="009D3012" w:rsidRDefault="00F95D07" w:rsidP="00F95D07">
            <w:pPr>
              <w:pStyle w:val="Tablebody"/>
              <w:rPr>
                <w:rStyle w:val="CCMCvariableitalic"/>
              </w:rPr>
            </w:pPr>
            <w:r w:rsidRPr="001455DC">
              <w:rPr>
                <w:rStyle w:val="CCMCvariableitalic"/>
              </w:rPr>
              <w:t>k</w:t>
            </w:r>
            <w:r w:rsidRPr="001455DC">
              <w:rPr>
                <w:rStyle w:val="CCMCvariablesubscript"/>
              </w:rPr>
              <w:t>ω</w:t>
            </w:r>
          </w:p>
        </w:tc>
        <w:tc>
          <w:tcPr>
            <w:tcW w:w="6548" w:type="dxa"/>
            <w:shd w:val="clear" w:color="auto" w:fill="auto"/>
          </w:tcPr>
          <w:p w14:paraId="2046F8A6" w14:textId="77777777" w:rsidR="00F95D07" w:rsidRPr="001455DC" w:rsidRDefault="00F95D07" w:rsidP="000250B6">
            <w:pPr>
              <w:pStyle w:val="Tablebody"/>
              <w:jc w:val="left"/>
              <w:rPr>
                <w:lang w:eastAsia="de-DE"/>
              </w:rPr>
            </w:pPr>
            <w:r w:rsidRPr="001455DC">
              <w:rPr>
                <w:lang w:eastAsia="de-DE"/>
              </w:rPr>
              <w:t>Coefficient to account for the effect of over-reinforcement on deflections</w:t>
            </w:r>
          </w:p>
        </w:tc>
        <w:tc>
          <w:tcPr>
            <w:tcW w:w="1984" w:type="dxa"/>
          </w:tcPr>
          <w:p w14:paraId="703DEB24" w14:textId="1847CC33" w:rsidR="00F95D07" w:rsidRPr="001455DC" w:rsidRDefault="00F95D07" w:rsidP="00F95D07">
            <w:pPr>
              <w:pStyle w:val="Tablebody"/>
              <w:rPr>
                <w:lang w:eastAsia="de-DE"/>
              </w:rPr>
            </w:pPr>
            <w:r w:rsidRPr="009D3012">
              <w:rPr>
                <w:lang w:eastAsia="de-DE"/>
              </w:rPr>
              <w:t>9.3.3(2)</w:t>
            </w:r>
          </w:p>
        </w:tc>
      </w:tr>
      <w:tr w:rsidR="00F95D07" w:rsidRPr="001455DC" w14:paraId="4CE1F61E" w14:textId="1272C482" w:rsidTr="0066200C">
        <w:trPr>
          <w:cantSplit/>
        </w:trPr>
        <w:tc>
          <w:tcPr>
            <w:tcW w:w="1418" w:type="dxa"/>
            <w:shd w:val="clear" w:color="auto" w:fill="auto"/>
          </w:tcPr>
          <w:p w14:paraId="51513F5F" w14:textId="77777777" w:rsidR="00F95D07" w:rsidRPr="009D3012" w:rsidRDefault="00F95D07" w:rsidP="00F95D07">
            <w:pPr>
              <w:pStyle w:val="Tablebody"/>
              <w:rPr>
                <w:rStyle w:val="CCMCvariableitalic"/>
              </w:rPr>
            </w:pPr>
            <w:r w:rsidRPr="001455DC">
              <w:rPr>
                <w:rStyle w:val="CCMCvariableitalic"/>
              </w:rPr>
              <w:t>l</w:t>
            </w:r>
            <w:r w:rsidRPr="001455DC">
              <w:rPr>
                <w:lang w:eastAsia="de-DE"/>
              </w:rPr>
              <w:t xml:space="preserve"> (or </w:t>
            </w:r>
            <w:r w:rsidRPr="001455DC">
              <w:rPr>
                <w:rStyle w:val="CCMCvariableitalic"/>
              </w:rPr>
              <w:t>L</w:t>
            </w:r>
            <w:r w:rsidRPr="001455DC">
              <w:rPr>
                <w:lang w:eastAsia="de-DE"/>
              </w:rPr>
              <w:t>)</w:t>
            </w:r>
          </w:p>
        </w:tc>
        <w:tc>
          <w:tcPr>
            <w:tcW w:w="6548" w:type="dxa"/>
            <w:shd w:val="clear" w:color="auto" w:fill="auto"/>
          </w:tcPr>
          <w:p w14:paraId="34F8EE7D" w14:textId="77777777" w:rsidR="00F95D07" w:rsidRPr="001455DC" w:rsidRDefault="00F95D07" w:rsidP="000250B6">
            <w:pPr>
              <w:pStyle w:val="Tablebody"/>
              <w:jc w:val="left"/>
              <w:rPr>
                <w:lang w:eastAsia="de-DE"/>
              </w:rPr>
            </w:pPr>
            <w:r w:rsidRPr="001455DC">
              <w:rPr>
                <w:lang w:eastAsia="de-DE"/>
              </w:rPr>
              <w:t>Length; span</w:t>
            </w:r>
          </w:p>
        </w:tc>
        <w:tc>
          <w:tcPr>
            <w:tcW w:w="1984" w:type="dxa"/>
          </w:tcPr>
          <w:p w14:paraId="57E96F97" w14:textId="77777777" w:rsidR="00F95D07" w:rsidRPr="001455DC" w:rsidRDefault="00F95D07" w:rsidP="00F95D07">
            <w:pPr>
              <w:pStyle w:val="Tablebody"/>
              <w:rPr>
                <w:lang w:eastAsia="de-DE"/>
              </w:rPr>
            </w:pPr>
          </w:p>
        </w:tc>
      </w:tr>
      <w:tr w:rsidR="00F95D07" w:rsidRPr="001455DC" w14:paraId="13111AAC" w14:textId="316ACED2" w:rsidTr="0066200C">
        <w:trPr>
          <w:cantSplit/>
        </w:trPr>
        <w:tc>
          <w:tcPr>
            <w:tcW w:w="1418" w:type="dxa"/>
            <w:shd w:val="clear" w:color="auto" w:fill="auto"/>
          </w:tcPr>
          <w:p w14:paraId="13ABCC65" w14:textId="77777777" w:rsidR="00F95D07" w:rsidRPr="009D3012" w:rsidRDefault="00F95D07" w:rsidP="00F95D07">
            <w:pPr>
              <w:pStyle w:val="Tablebody"/>
              <w:rPr>
                <w:rStyle w:val="CCMCvariablesubscript"/>
              </w:rPr>
            </w:pPr>
            <w:r w:rsidRPr="001455DC">
              <w:rPr>
                <w:rStyle w:val="CCMCvariableitalic"/>
              </w:rPr>
              <w:t>l</w:t>
            </w:r>
            <w:r w:rsidRPr="001455DC">
              <w:rPr>
                <w:rStyle w:val="CCMCvariablesubscript"/>
              </w:rPr>
              <w:t>0</w:t>
            </w:r>
          </w:p>
        </w:tc>
        <w:tc>
          <w:tcPr>
            <w:tcW w:w="6548" w:type="dxa"/>
            <w:shd w:val="clear" w:color="auto" w:fill="auto"/>
          </w:tcPr>
          <w:p w14:paraId="40CCFCF5" w14:textId="77777777" w:rsidR="00F95D07" w:rsidRPr="001455DC" w:rsidRDefault="00F95D07" w:rsidP="000250B6">
            <w:pPr>
              <w:pStyle w:val="Tablebody"/>
              <w:jc w:val="left"/>
              <w:rPr>
                <w:lang w:eastAsia="de-DE"/>
              </w:rPr>
            </w:pPr>
            <w:r w:rsidRPr="001455DC">
              <w:rPr>
                <w:lang w:eastAsia="de-DE"/>
              </w:rPr>
              <w:t>Effective length of the member</w:t>
            </w:r>
          </w:p>
        </w:tc>
        <w:tc>
          <w:tcPr>
            <w:tcW w:w="1984" w:type="dxa"/>
          </w:tcPr>
          <w:p w14:paraId="698D1565" w14:textId="15717282" w:rsidR="00F95D07" w:rsidRPr="001455DC" w:rsidRDefault="00F95D07" w:rsidP="00F95D07">
            <w:pPr>
              <w:pStyle w:val="Tablebody"/>
              <w:rPr>
                <w:lang w:eastAsia="de-DE"/>
              </w:rPr>
            </w:pPr>
            <w:r w:rsidRPr="009D3012">
              <w:rPr>
                <w:lang w:eastAsia="de-DE"/>
              </w:rPr>
              <w:t>14.4.5.1(1), O.5(1), O.5(3)</w:t>
            </w:r>
          </w:p>
        </w:tc>
      </w:tr>
      <w:tr w:rsidR="00F95D07" w:rsidRPr="001455DC" w14:paraId="1A6E75F1" w14:textId="647AABFD" w:rsidTr="0066200C">
        <w:trPr>
          <w:cantSplit/>
        </w:trPr>
        <w:tc>
          <w:tcPr>
            <w:tcW w:w="1418" w:type="dxa"/>
            <w:shd w:val="clear" w:color="auto" w:fill="auto"/>
          </w:tcPr>
          <w:p w14:paraId="1238FFE5" w14:textId="77777777" w:rsidR="00F95D07" w:rsidRPr="009D3012" w:rsidRDefault="00F95D07" w:rsidP="00F95D07">
            <w:pPr>
              <w:pStyle w:val="Tablebody"/>
              <w:rPr>
                <w:rStyle w:val="CCMCvariableitalic"/>
              </w:rPr>
            </w:pPr>
            <w:r w:rsidRPr="001455DC">
              <w:rPr>
                <w:rStyle w:val="CCMCvariableitalic"/>
              </w:rPr>
              <w:t>l</w:t>
            </w:r>
            <w:r w:rsidRPr="001455DC">
              <w:rPr>
                <w:rStyle w:val="CCMCvariablesubscript"/>
              </w:rPr>
              <w:t>0b</w:t>
            </w:r>
          </w:p>
        </w:tc>
        <w:tc>
          <w:tcPr>
            <w:tcW w:w="6548" w:type="dxa"/>
            <w:shd w:val="clear" w:color="auto" w:fill="auto"/>
          </w:tcPr>
          <w:p w14:paraId="2FBDABA4" w14:textId="77777777" w:rsidR="00F95D07" w:rsidRPr="001455DC" w:rsidRDefault="00F95D07" w:rsidP="000250B6">
            <w:pPr>
              <w:pStyle w:val="Tablebody"/>
              <w:jc w:val="left"/>
              <w:rPr>
                <w:lang w:eastAsia="de-DE"/>
              </w:rPr>
            </w:pPr>
            <w:r w:rsidRPr="001455DC">
              <w:t xml:space="preserve">Distance </w:t>
            </w:r>
            <w:r w:rsidRPr="001455DC">
              <w:rPr>
                <w:rStyle w:val="CCMCvariableitalic"/>
              </w:rPr>
              <w:t>l</w:t>
            </w:r>
            <w:r w:rsidRPr="001455DC">
              <w:rPr>
                <w:rStyle w:val="CCMCvariablesubscript"/>
              </w:rPr>
              <w:t>0b</w:t>
            </w:r>
            <w:r w:rsidRPr="001455DC">
              <w:t xml:space="preserve"> between points of zero moment</w:t>
            </w:r>
          </w:p>
        </w:tc>
        <w:tc>
          <w:tcPr>
            <w:tcW w:w="1984" w:type="dxa"/>
          </w:tcPr>
          <w:p w14:paraId="5125031E" w14:textId="3C429E9F" w:rsidR="00F95D07" w:rsidRPr="001455DC" w:rsidRDefault="00F95D07" w:rsidP="00F95D07">
            <w:pPr>
              <w:pStyle w:val="Tablebody"/>
            </w:pPr>
            <w:r w:rsidRPr="009D3012">
              <w:rPr>
                <w:lang w:eastAsia="de-DE"/>
              </w:rPr>
              <w:t>7.3.2.1(2), 7.3.2.1(3)</w:t>
            </w:r>
          </w:p>
        </w:tc>
      </w:tr>
      <w:tr w:rsidR="00F95D07" w:rsidRPr="001455DC" w14:paraId="1ACC94DD" w14:textId="13F5798E" w:rsidTr="0066200C">
        <w:trPr>
          <w:cantSplit/>
        </w:trPr>
        <w:tc>
          <w:tcPr>
            <w:tcW w:w="1418" w:type="dxa"/>
            <w:shd w:val="clear" w:color="auto" w:fill="auto"/>
          </w:tcPr>
          <w:p w14:paraId="1AAF5D58" w14:textId="77777777" w:rsidR="00F95D07" w:rsidRPr="009D3012" w:rsidRDefault="00F95D07" w:rsidP="00F95D07">
            <w:pPr>
              <w:pStyle w:val="Tablebody"/>
              <w:rPr>
                <w:rStyle w:val="CCMCvariableitalic"/>
              </w:rPr>
            </w:pPr>
            <w:r w:rsidRPr="001455DC">
              <w:rPr>
                <w:rStyle w:val="CCMCvariableitalic"/>
              </w:rPr>
              <w:t>l</w:t>
            </w:r>
            <w:r w:rsidRPr="001455DC">
              <w:rPr>
                <w:rStyle w:val="CCMCvariablesubscript"/>
              </w:rPr>
              <w:t>0t</w:t>
            </w:r>
          </w:p>
        </w:tc>
        <w:tc>
          <w:tcPr>
            <w:tcW w:w="6548" w:type="dxa"/>
            <w:shd w:val="clear" w:color="auto" w:fill="auto"/>
          </w:tcPr>
          <w:p w14:paraId="549CB4B0" w14:textId="77777777" w:rsidR="00F95D07" w:rsidRPr="001455DC" w:rsidRDefault="00F95D07" w:rsidP="000250B6">
            <w:pPr>
              <w:pStyle w:val="Tablebody"/>
              <w:jc w:val="left"/>
            </w:pPr>
            <w:r w:rsidRPr="001455DC">
              <w:t>Distance between torsional restraints</w:t>
            </w:r>
          </w:p>
        </w:tc>
        <w:tc>
          <w:tcPr>
            <w:tcW w:w="1984" w:type="dxa"/>
          </w:tcPr>
          <w:p w14:paraId="4B450664" w14:textId="62CC18D8" w:rsidR="00F95D07" w:rsidRPr="001455DC" w:rsidRDefault="00F95D07" w:rsidP="00F95D07">
            <w:pPr>
              <w:pStyle w:val="Tablebody"/>
            </w:pPr>
            <w:r w:rsidRPr="009D3012">
              <w:rPr>
                <w:lang w:eastAsia="de-DE"/>
              </w:rPr>
              <w:t>7.9(3)</w:t>
            </w:r>
          </w:p>
        </w:tc>
      </w:tr>
      <w:tr w:rsidR="00F95D07" w:rsidRPr="001455DC" w14:paraId="0DFB805C" w14:textId="321300F2" w:rsidTr="0066200C">
        <w:trPr>
          <w:cantSplit/>
        </w:trPr>
        <w:tc>
          <w:tcPr>
            <w:tcW w:w="1418" w:type="dxa"/>
            <w:shd w:val="clear" w:color="auto" w:fill="auto"/>
          </w:tcPr>
          <w:p w14:paraId="35779C5B" w14:textId="77777777" w:rsidR="00F95D07" w:rsidRPr="009D3012" w:rsidRDefault="00F95D07" w:rsidP="00F95D07">
            <w:pPr>
              <w:pStyle w:val="Tablebody"/>
              <w:rPr>
                <w:rStyle w:val="CCMCvariableitalic"/>
              </w:rPr>
            </w:pPr>
            <w:r w:rsidRPr="001455DC">
              <w:rPr>
                <w:rStyle w:val="CCMCvariableitalic"/>
              </w:rPr>
              <w:t>l</w:t>
            </w:r>
            <w:r w:rsidRPr="001455DC">
              <w:rPr>
                <w:rStyle w:val="CCMCvariablesubscript"/>
              </w:rPr>
              <w:t>aw</w:t>
            </w:r>
          </w:p>
        </w:tc>
        <w:tc>
          <w:tcPr>
            <w:tcW w:w="6548" w:type="dxa"/>
            <w:shd w:val="clear" w:color="auto" w:fill="auto"/>
          </w:tcPr>
          <w:p w14:paraId="48B62021" w14:textId="77777777" w:rsidR="00F95D07" w:rsidRPr="001455DC" w:rsidRDefault="00F95D07" w:rsidP="000250B6">
            <w:pPr>
              <w:pStyle w:val="Tablebody"/>
              <w:jc w:val="left"/>
              <w:rPr>
                <w:lang w:eastAsia="de-DE"/>
              </w:rPr>
            </w:pPr>
            <w:r w:rsidRPr="001455DC">
              <w:t xml:space="preserve">Half wavelength of the buckling mode with the lowest buckling load </w:t>
            </w:r>
          </w:p>
        </w:tc>
        <w:tc>
          <w:tcPr>
            <w:tcW w:w="1984" w:type="dxa"/>
          </w:tcPr>
          <w:p w14:paraId="1E181CDB" w14:textId="4AE20390" w:rsidR="00F95D07" w:rsidRPr="001455DC" w:rsidRDefault="00F95D07" w:rsidP="00F95D07">
            <w:pPr>
              <w:pStyle w:val="Tablebody"/>
            </w:pPr>
            <w:r w:rsidRPr="009D3012">
              <w:rPr>
                <w:lang w:eastAsia="de-DE"/>
              </w:rPr>
              <w:t>7.2.2(4)</w:t>
            </w:r>
          </w:p>
        </w:tc>
      </w:tr>
      <w:tr w:rsidR="00F95D07" w:rsidRPr="001455DC" w14:paraId="5FBDCE4C" w14:textId="1E17C857" w:rsidTr="0066200C">
        <w:trPr>
          <w:cantSplit/>
        </w:trPr>
        <w:tc>
          <w:tcPr>
            <w:tcW w:w="1418" w:type="dxa"/>
            <w:shd w:val="clear" w:color="auto" w:fill="auto"/>
          </w:tcPr>
          <w:p w14:paraId="04781242" w14:textId="77777777" w:rsidR="00F95D07" w:rsidRPr="009D3012" w:rsidRDefault="00F95D07" w:rsidP="00F95D07">
            <w:pPr>
              <w:pStyle w:val="Tablebody"/>
              <w:rPr>
                <w:rStyle w:val="CCMCvariableitalic"/>
              </w:rPr>
            </w:pPr>
            <w:r w:rsidRPr="001455DC">
              <w:rPr>
                <w:rStyle w:val="CCMCvariableitalic"/>
              </w:rPr>
              <w:t>l</w:t>
            </w:r>
            <w:r w:rsidRPr="001455DC">
              <w:rPr>
                <w:rStyle w:val="CCMCvariablesubscript"/>
              </w:rPr>
              <w:t>b</w:t>
            </w:r>
          </w:p>
        </w:tc>
        <w:tc>
          <w:tcPr>
            <w:tcW w:w="6548" w:type="dxa"/>
            <w:shd w:val="clear" w:color="auto" w:fill="auto"/>
          </w:tcPr>
          <w:p w14:paraId="0D61105F" w14:textId="77777777" w:rsidR="00F95D07" w:rsidRPr="001455DC" w:rsidRDefault="00F95D07" w:rsidP="000250B6">
            <w:pPr>
              <w:pStyle w:val="Tablebody"/>
              <w:jc w:val="left"/>
              <w:rPr>
                <w:lang w:eastAsia="de-DE"/>
              </w:rPr>
            </w:pPr>
            <w:r w:rsidRPr="001455DC">
              <w:rPr>
                <w:lang w:eastAsia="de-DE"/>
              </w:rPr>
              <w:t>Anchorage length</w:t>
            </w:r>
          </w:p>
        </w:tc>
        <w:tc>
          <w:tcPr>
            <w:tcW w:w="1984" w:type="dxa"/>
          </w:tcPr>
          <w:p w14:paraId="116D6FB9" w14:textId="5BAF9722" w:rsidR="00F95D07" w:rsidRPr="001455DC" w:rsidRDefault="00F95D07" w:rsidP="00F95D07">
            <w:pPr>
              <w:pStyle w:val="Tablebody"/>
              <w:rPr>
                <w:lang w:eastAsia="de-DE"/>
              </w:rPr>
            </w:pPr>
            <w:r w:rsidRPr="009D3012">
              <w:rPr>
                <w:lang w:eastAsia="de-DE"/>
              </w:rPr>
              <w:t>11.4</w:t>
            </w:r>
          </w:p>
        </w:tc>
      </w:tr>
      <w:tr w:rsidR="00F95D07" w:rsidRPr="001455DC" w14:paraId="02567A46" w14:textId="2E63D5F0" w:rsidTr="0066200C">
        <w:trPr>
          <w:cantSplit/>
        </w:trPr>
        <w:tc>
          <w:tcPr>
            <w:tcW w:w="1418" w:type="dxa"/>
            <w:shd w:val="clear" w:color="auto" w:fill="auto"/>
          </w:tcPr>
          <w:p w14:paraId="0FA025E2" w14:textId="77777777" w:rsidR="00F95D07" w:rsidRPr="009D3012" w:rsidRDefault="00F95D07" w:rsidP="00F95D07">
            <w:pPr>
              <w:pStyle w:val="Tablebody"/>
              <w:rPr>
                <w:rStyle w:val="CCMCvariableitalic"/>
              </w:rPr>
            </w:pPr>
            <w:r w:rsidRPr="001455DC">
              <w:rPr>
                <w:rStyle w:val="CCMCvariableitalic"/>
              </w:rPr>
              <w:t>l</w:t>
            </w:r>
            <w:r w:rsidRPr="001455DC">
              <w:rPr>
                <w:rStyle w:val="CCMCvariablesubscript"/>
              </w:rPr>
              <w:t>bd</w:t>
            </w:r>
          </w:p>
        </w:tc>
        <w:tc>
          <w:tcPr>
            <w:tcW w:w="6548" w:type="dxa"/>
            <w:shd w:val="clear" w:color="auto" w:fill="auto"/>
          </w:tcPr>
          <w:p w14:paraId="0DDA14A3" w14:textId="77777777" w:rsidR="00F95D07" w:rsidRPr="001455DC" w:rsidRDefault="00F95D07" w:rsidP="000250B6">
            <w:pPr>
              <w:pStyle w:val="Tablebody"/>
              <w:jc w:val="left"/>
              <w:rPr>
                <w:lang w:eastAsia="de-DE"/>
              </w:rPr>
            </w:pPr>
            <w:r w:rsidRPr="001455DC">
              <w:rPr>
                <w:lang w:eastAsia="de-DE"/>
              </w:rPr>
              <w:t xml:space="preserve">Design value of </w:t>
            </w:r>
            <w:r w:rsidRPr="001455DC">
              <w:rPr>
                <w:rStyle w:val="CCMCvariableitalic"/>
              </w:rPr>
              <w:t>l</w:t>
            </w:r>
            <w:r w:rsidRPr="001455DC">
              <w:rPr>
                <w:rStyle w:val="CCMCvariablesubscript"/>
              </w:rPr>
              <w:t>b</w:t>
            </w:r>
            <w:r w:rsidRPr="001455DC">
              <w:rPr>
                <w:lang w:eastAsia="de-DE"/>
              </w:rPr>
              <w:t xml:space="preserve"> which is required at ULS</w:t>
            </w:r>
          </w:p>
        </w:tc>
        <w:tc>
          <w:tcPr>
            <w:tcW w:w="1984" w:type="dxa"/>
          </w:tcPr>
          <w:p w14:paraId="471327D6" w14:textId="7A45DBCC" w:rsidR="00F95D07" w:rsidRPr="001455DC" w:rsidRDefault="00F95D07" w:rsidP="00F95D07">
            <w:pPr>
              <w:pStyle w:val="Tablebody"/>
              <w:rPr>
                <w:lang w:eastAsia="de-DE"/>
              </w:rPr>
            </w:pPr>
            <w:r w:rsidRPr="009D3012">
              <w:rPr>
                <w:lang w:eastAsia="de-DE"/>
              </w:rPr>
              <w:t>11.4</w:t>
            </w:r>
          </w:p>
        </w:tc>
      </w:tr>
      <w:tr w:rsidR="00F95D07" w:rsidRPr="001455DC" w14:paraId="6044CC75" w14:textId="44EC19CE" w:rsidTr="0066200C">
        <w:trPr>
          <w:cantSplit/>
        </w:trPr>
        <w:tc>
          <w:tcPr>
            <w:tcW w:w="1418" w:type="dxa"/>
            <w:shd w:val="clear" w:color="auto" w:fill="auto"/>
          </w:tcPr>
          <w:p w14:paraId="4A9D86BA" w14:textId="77777777" w:rsidR="00F95D07" w:rsidRPr="009D3012" w:rsidRDefault="00F95D07" w:rsidP="00F95D07">
            <w:pPr>
              <w:pStyle w:val="Tablebody"/>
              <w:rPr>
                <w:rStyle w:val="CCMCvariableitalic"/>
              </w:rPr>
            </w:pPr>
            <w:r w:rsidRPr="001455DC">
              <w:rPr>
                <w:rStyle w:val="CCMCvariableitalic"/>
              </w:rPr>
              <w:t>l</w:t>
            </w:r>
            <w:r w:rsidRPr="001455DC">
              <w:rPr>
                <w:rStyle w:val="CCMCvariablesubscript"/>
              </w:rPr>
              <w:t>bdn</w:t>
            </w:r>
          </w:p>
        </w:tc>
        <w:tc>
          <w:tcPr>
            <w:tcW w:w="6548" w:type="dxa"/>
            <w:shd w:val="clear" w:color="auto" w:fill="auto"/>
          </w:tcPr>
          <w:p w14:paraId="1846695D" w14:textId="77777777" w:rsidR="00F95D07" w:rsidRPr="001455DC" w:rsidRDefault="00F95D07" w:rsidP="000250B6">
            <w:pPr>
              <w:pStyle w:val="Tablebody"/>
              <w:jc w:val="left"/>
              <w:rPr>
                <w:lang w:eastAsia="de-DE"/>
              </w:rPr>
            </w:pPr>
            <w:r w:rsidRPr="001455DC">
              <w:rPr>
                <w:lang w:eastAsia="de-DE"/>
              </w:rPr>
              <w:t>Part of the anchorage length in the nodal region</w:t>
            </w:r>
          </w:p>
        </w:tc>
        <w:tc>
          <w:tcPr>
            <w:tcW w:w="1984" w:type="dxa"/>
          </w:tcPr>
          <w:p w14:paraId="30A6BE3E" w14:textId="650E2941" w:rsidR="00F95D07" w:rsidRPr="001455DC" w:rsidRDefault="00F95D07" w:rsidP="00F95D07">
            <w:pPr>
              <w:pStyle w:val="Tablebody"/>
              <w:rPr>
                <w:lang w:eastAsia="de-DE"/>
              </w:rPr>
            </w:pPr>
            <w:r w:rsidRPr="009D3012">
              <w:rPr>
                <w:lang w:eastAsia="de-DE"/>
              </w:rPr>
              <w:t>Figure 8.28c</w:t>
            </w:r>
          </w:p>
        </w:tc>
      </w:tr>
      <w:tr w:rsidR="00F95D07" w:rsidRPr="001455DC" w14:paraId="5FE40843" w14:textId="07DD122A" w:rsidTr="0066200C">
        <w:trPr>
          <w:cantSplit/>
        </w:trPr>
        <w:tc>
          <w:tcPr>
            <w:tcW w:w="1418" w:type="dxa"/>
            <w:shd w:val="clear" w:color="auto" w:fill="auto"/>
          </w:tcPr>
          <w:p w14:paraId="4A647CC5" w14:textId="77777777" w:rsidR="00F95D07" w:rsidRPr="009D3012" w:rsidRDefault="00F95D07" w:rsidP="00F95D07">
            <w:pPr>
              <w:pStyle w:val="Tablebody"/>
              <w:rPr>
                <w:rStyle w:val="CCMCvariableitalic"/>
              </w:rPr>
            </w:pPr>
            <w:r w:rsidRPr="001455DC">
              <w:rPr>
                <w:rStyle w:val="CCMCvariableitalic"/>
              </w:rPr>
              <w:t>l</w:t>
            </w:r>
            <w:r w:rsidRPr="001455DC">
              <w:rPr>
                <w:rStyle w:val="CCMCvariablesubscript"/>
              </w:rPr>
              <w:t>bd,pi</w:t>
            </w:r>
          </w:p>
        </w:tc>
        <w:tc>
          <w:tcPr>
            <w:tcW w:w="6548" w:type="dxa"/>
            <w:shd w:val="clear" w:color="auto" w:fill="auto"/>
          </w:tcPr>
          <w:p w14:paraId="0C136A5C" w14:textId="77777777" w:rsidR="00F95D07" w:rsidRPr="001455DC" w:rsidRDefault="00F95D07" w:rsidP="000250B6">
            <w:pPr>
              <w:pStyle w:val="Tablebody"/>
              <w:jc w:val="left"/>
              <w:rPr>
                <w:lang w:eastAsia="de-DE"/>
              </w:rPr>
            </w:pPr>
            <w:r w:rsidRPr="001455DC">
              <w:t>Design anchorage length of post-installed reinforcing steel</w:t>
            </w:r>
          </w:p>
        </w:tc>
        <w:tc>
          <w:tcPr>
            <w:tcW w:w="1984" w:type="dxa"/>
            <w:shd w:val="clear" w:color="auto" w:fill="auto"/>
          </w:tcPr>
          <w:p w14:paraId="470E8D3B" w14:textId="6B517E19" w:rsidR="00F95D07" w:rsidRPr="001455DC" w:rsidRDefault="00F95D07" w:rsidP="00F95D07">
            <w:pPr>
              <w:pStyle w:val="Tablebody"/>
            </w:pPr>
            <w:r w:rsidRPr="009D3012">
              <w:rPr>
                <w:lang w:eastAsia="de-DE"/>
              </w:rPr>
              <w:t>11.4.8(5)</w:t>
            </w:r>
          </w:p>
        </w:tc>
      </w:tr>
      <w:tr w:rsidR="00F95D07" w:rsidRPr="001455DC" w14:paraId="509A0F70" w14:textId="144CDE36" w:rsidTr="0066200C">
        <w:trPr>
          <w:cantSplit/>
        </w:trPr>
        <w:tc>
          <w:tcPr>
            <w:tcW w:w="1418" w:type="dxa"/>
            <w:shd w:val="clear" w:color="auto" w:fill="auto"/>
          </w:tcPr>
          <w:p w14:paraId="4A1DDF0F" w14:textId="77777777" w:rsidR="00F95D07" w:rsidRPr="009D3012" w:rsidRDefault="00F95D07" w:rsidP="00F95D07">
            <w:pPr>
              <w:pStyle w:val="Tablebody"/>
              <w:rPr>
                <w:rStyle w:val="CCMCvariableitalic"/>
              </w:rPr>
            </w:pPr>
            <w:r w:rsidRPr="001455DC">
              <w:rPr>
                <w:rStyle w:val="CCMCvariableitalic"/>
              </w:rPr>
              <w:t>l</w:t>
            </w:r>
            <w:r w:rsidRPr="001455DC">
              <w:rPr>
                <w:rStyle w:val="CCMCvariablesubscript"/>
              </w:rPr>
              <w:t>s</w:t>
            </w:r>
          </w:p>
        </w:tc>
        <w:tc>
          <w:tcPr>
            <w:tcW w:w="6548" w:type="dxa"/>
            <w:shd w:val="clear" w:color="auto" w:fill="auto"/>
          </w:tcPr>
          <w:p w14:paraId="770331CA" w14:textId="77777777" w:rsidR="00F95D07" w:rsidRPr="001455DC" w:rsidRDefault="00F95D07" w:rsidP="000250B6">
            <w:pPr>
              <w:pStyle w:val="Tablebody"/>
              <w:jc w:val="left"/>
              <w:rPr>
                <w:lang w:eastAsia="de-DE"/>
              </w:rPr>
            </w:pPr>
            <w:r w:rsidRPr="001455DC">
              <w:rPr>
                <w:lang w:eastAsia="de-DE"/>
              </w:rPr>
              <w:t>Lap length</w:t>
            </w:r>
          </w:p>
        </w:tc>
        <w:tc>
          <w:tcPr>
            <w:tcW w:w="1984" w:type="dxa"/>
          </w:tcPr>
          <w:p w14:paraId="63F585EC" w14:textId="305F7CF8" w:rsidR="00F95D07" w:rsidRPr="001455DC" w:rsidRDefault="00F95D07" w:rsidP="00F95D07">
            <w:pPr>
              <w:pStyle w:val="Tablebody"/>
              <w:rPr>
                <w:lang w:eastAsia="de-DE"/>
              </w:rPr>
            </w:pPr>
            <w:r w:rsidRPr="009D3012">
              <w:rPr>
                <w:lang w:eastAsia="de-DE"/>
              </w:rPr>
              <w:t>Table 11.2, 11.7(4), 12.1.2(3)</w:t>
            </w:r>
          </w:p>
        </w:tc>
      </w:tr>
      <w:tr w:rsidR="00F95D07" w:rsidRPr="001455DC" w14:paraId="051809E9" w14:textId="5D1F9370" w:rsidTr="0066200C">
        <w:trPr>
          <w:cantSplit/>
        </w:trPr>
        <w:tc>
          <w:tcPr>
            <w:tcW w:w="1418" w:type="dxa"/>
            <w:shd w:val="clear" w:color="auto" w:fill="auto"/>
          </w:tcPr>
          <w:p w14:paraId="414F1BAC" w14:textId="77777777" w:rsidR="00F95D07" w:rsidRPr="009D3012" w:rsidRDefault="00F95D07" w:rsidP="00F95D07">
            <w:pPr>
              <w:pStyle w:val="Tablebody"/>
              <w:rPr>
                <w:rStyle w:val="CCMCvariableitalic"/>
              </w:rPr>
            </w:pPr>
            <w:r w:rsidRPr="001455DC">
              <w:rPr>
                <w:rStyle w:val="CCMCvariableitalic"/>
              </w:rPr>
              <w:t>l</w:t>
            </w:r>
            <w:r w:rsidRPr="001455DC">
              <w:rPr>
                <w:rStyle w:val="CCMCvariablesubscript"/>
              </w:rPr>
              <w:t>sd</w:t>
            </w:r>
          </w:p>
        </w:tc>
        <w:tc>
          <w:tcPr>
            <w:tcW w:w="6548" w:type="dxa"/>
            <w:shd w:val="clear" w:color="auto" w:fill="auto"/>
          </w:tcPr>
          <w:p w14:paraId="12E5631D" w14:textId="77777777" w:rsidR="00F95D07" w:rsidRPr="001455DC" w:rsidRDefault="00F95D07" w:rsidP="000250B6">
            <w:pPr>
              <w:pStyle w:val="Tablebody"/>
              <w:jc w:val="left"/>
              <w:rPr>
                <w:lang w:eastAsia="de-DE"/>
              </w:rPr>
            </w:pPr>
            <w:r w:rsidRPr="001455DC">
              <w:rPr>
                <w:lang w:eastAsia="de-DE"/>
              </w:rPr>
              <w:t>Design value of lap length which is required at ULS</w:t>
            </w:r>
          </w:p>
        </w:tc>
        <w:tc>
          <w:tcPr>
            <w:tcW w:w="1984" w:type="dxa"/>
          </w:tcPr>
          <w:p w14:paraId="1F680E53" w14:textId="5A4A018C" w:rsidR="00F95D07" w:rsidRPr="001455DC" w:rsidRDefault="00F95D07" w:rsidP="00F95D07">
            <w:pPr>
              <w:pStyle w:val="Tablebody"/>
              <w:rPr>
                <w:lang w:eastAsia="de-DE"/>
              </w:rPr>
            </w:pPr>
            <w:r w:rsidRPr="009D3012">
              <w:rPr>
                <w:lang w:eastAsia="de-DE"/>
              </w:rPr>
              <w:t>11.5, 11.7(4)</w:t>
            </w:r>
          </w:p>
        </w:tc>
      </w:tr>
      <w:tr w:rsidR="00F95D07" w:rsidRPr="001455DC" w14:paraId="00E57551" w14:textId="75FA496F" w:rsidTr="0066200C">
        <w:trPr>
          <w:cantSplit/>
        </w:trPr>
        <w:tc>
          <w:tcPr>
            <w:tcW w:w="1418" w:type="dxa"/>
            <w:shd w:val="clear" w:color="auto" w:fill="auto"/>
          </w:tcPr>
          <w:p w14:paraId="0640CFDE" w14:textId="77777777" w:rsidR="00F95D07" w:rsidRPr="009D3012" w:rsidRDefault="00F95D07" w:rsidP="00F95D07">
            <w:pPr>
              <w:pStyle w:val="Tablebody"/>
              <w:rPr>
                <w:rStyle w:val="CCMCvariableitalic"/>
              </w:rPr>
            </w:pPr>
            <w:r w:rsidRPr="001455DC">
              <w:rPr>
                <w:rStyle w:val="CCMCvariableitalic"/>
              </w:rPr>
              <w:t>l</w:t>
            </w:r>
            <w:r w:rsidRPr="001455DC">
              <w:rPr>
                <w:rStyle w:val="CCMCvariablesubscript"/>
              </w:rPr>
              <w:t>w</w:t>
            </w:r>
          </w:p>
        </w:tc>
        <w:tc>
          <w:tcPr>
            <w:tcW w:w="6548" w:type="dxa"/>
            <w:shd w:val="clear" w:color="auto" w:fill="auto"/>
          </w:tcPr>
          <w:p w14:paraId="7F732F2B" w14:textId="77777777" w:rsidR="00F95D07" w:rsidRPr="001455DC" w:rsidRDefault="00F95D07" w:rsidP="000250B6">
            <w:pPr>
              <w:pStyle w:val="Tablebody"/>
              <w:jc w:val="left"/>
              <w:rPr>
                <w:lang w:eastAsia="de-DE"/>
              </w:rPr>
            </w:pPr>
            <w:r w:rsidRPr="001455DC">
              <w:t>Clear height of the member</w:t>
            </w:r>
          </w:p>
        </w:tc>
        <w:tc>
          <w:tcPr>
            <w:tcW w:w="1984" w:type="dxa"/>
          </w:tcPr>
          <w:p w14:paraId="1DE02BE0" w14:textId="642A2E53" w:rsidR="00F95D07" w:rsidRPr="001455DC" w:rsidRDefault="00F95D07" w:rsidP="00F95D07">
            <w:pPr>
              <w:pStyle w:val="Tablebody"/>
            </w:pPr>
            <w:r w:rsidRPr="009D3012">
              <w:rPr>
                <w:lang w:eastAsia="de-DE"/>
              </w:rPr>
              <w:t>14.4.5.1(1)</w:t>
            </w:r>
          </w:p>
        </w:tc>
      </w:tr>
      <w:tr w:rsidR="00F95D07" w:rsidRPr="001455DC" w14:paraId="5DA1DD49" w14:textId="3BFFF04A" w:rsidTr="0066200C">
        <w:trPr>
          <w:cantSplit/>
        </w:trPr>
        <w:tc>
          <w:tcPr>
            <w:tcW w:w="1418" w:type="dxa"/>
            <w:shd w:val="clear" w:color="auto" w:fill="auto"/>
          </w:tcPr>
          <w:p w14:paraId="7DD25F17" w14:textId="77777777" w:rsidR="00F95D07" w:rsidRPr="009D3012" w:rsidRDefault="00F95D07" w:rsidP="00F95D07">
            <w:pPr>
              <w:pStyle w:val="Tablebody"/>
              <w:rPr>
                <w:rStyle w:val="CCMCvariableitalic"/>
              </w:rPr>
            </w:pPr>
            <w:r w:rsidRPr="001455DC">
              <w:rPr>
                <w:rStyle w:val="CCMCvariableitalic"/>
              </w:rPr>
              <w:t>l</w:t>
            </w:r>
            <w:r w:rsidRPr="001455DC">
              <w:rPr>
                <w:rStyle w:val="CCMCvariablesubscript"/>
              </w:rPr>
              <w:t>w,p</w:t>
            </w:r>
          </w:p>
        </w:tc>
        <w:tc>
          <w:tcPr>
            <w:tcW w:w="6548" w:type="dxa"/>
            <w:shd w:val="clear" w:color="auto" w:fill="auto"/>
          </w:tcPr>
          <w:p w14:paraId="0A96FE2E" w14:textId="77777777" w:rsidR="00F95D07" w:rsidRPr="001455DC" w:rsidRDefault="00F95D07" w:rsidP="000250B6">
            <w:pPr>
              <w:pStyle w:val="Tablebody"/>
              <w:jc w:val="left"/>
            </w:pPr>
            <w:r w:rsidRPr="001455DC">
              <w:t>Length of passing crack</w:t>
            </w:r>
          </w:p>
        </w:tc>
        <w:tc>
          <w:tcPr>
            <w:tcW w:w="1984" w:type="dxa"/>
          </w:tcPr>
          <w:p w14:paraId="64B21E66" w14:textId="09755BBA" w:rsidR="00F95D07" w:rsidRPr="001455DC" w:rsidRDefault="00F95D07">
            <w:pPr>
              <w:pStyle w:val="Tablebody"/>
            </w:pPr>
            <w:r w:rsidRPr="009D3012">
              <w:rPr>
                <w:lang w:eastAsia="de-DE"/>
              </w:rPr>
              <w:t>H.</w:t>
            </w:r>
            <w:r w:rsidR="006E0B24" w:rsidRPr="009D3012">
              <w:rPr>
                <w:lang w:eastAsia="de-DE"/>
              </w:rPr>
              <w:t>4</w:t>
            </w:r>
            <w:r w:rsidRPr="009D3012">
              <w:rPr>
                <w:lang w:eastAsia="de-DE"/>
              </w:rPr>
              <w:t>.2(7)</w:t>
            </w:r>
          </w:p>
        </w:tc>
      </w:tr>
      <w:tr w:rsidR="00F95D07" w:rsidRPr="001455DC" w14:paraId="59E8501A" w14:textId="20450EE4" w:rsidTr="0066200C">
        <w:trPr>
          <w:cantSplit/>
        </w:trPr>
        <w:tc>
          <w:tcPr>
            <w:tcW w:w="1418" w:type="dxa"/>
            <w:shd w:val="clear" w:color="auto" w:fill="auto"/>
          </w:tcPr>
          <w:p w14:paraId="25B32AAA" w14:textId="77777777" w:rsidR="00F95D07" w:rsidRPr="009D3012" w:rsidRDefault="00F95D07" w:rsidP="00F95D07">
            <w:pPr>
              <w:pStyle w:val="Tablebody"/>
              <w:rPr>
                <w:rStyle w:val="CCMCvariableitalic"/>
              </w:rPr>
            </w:pPr>
            <w:r w:rsidRPr="001455DC">
              <w:rPr>
                <w:rStyle w:val="CCMCvariableitalic"/>
              </w:rPr>
              <w:t>m</w:t>
            </w:r>
          </w:p>
        </w:tc>
        <w:tc>
          <w:tcPr>
            <w:tcW w:w="6548" w:type="dxa"/>
            <w:shd w:val="clear" w:color="auto" w:fill="auto"/>
          </w:tcPr>
          <w:p w14:paraId="657879DF" w14:textId="77777777" w:rsidR="00F95D07" w:rsidRPr="001455DC" w:rsidRDefault="00F95D07" w:rsidP="000250B6">
            <w:pPr>
              <w:pStyle w:val="Tablebody"/>
              <w:jc w:val="left"/>
              <w:rPr>
                <w:lang w:eastAsia="de-DE"/>
              </w:rPr>
            </w:pPr>
            <w:r w:rsidRPr="001455DC">
              <w:rPr>
                <w:lang w:eastAsia="de-DE"/>
              </w:rPr>
              <w:t>Number of load bearing members in one storey that bear a significant part of the vertical load</w:t>
            </w:r>
          </w:p>
        </w:tc>
        <w:tc>
          <w:tcPr>
            <w:tcW w:w="1984" w:type="dxa"/>
          </w:tcPr>
          <w:p w14:paraId="14590085" w14:textId="52D31C56" w:rsidR="00F95D07" w:rsidRPr="001455DC" w:rsidRDefault="00F95D07" w:rsidP="00F95D07">
            <w:pPr>
              <w:pStyle w:val="Tablebody"/>
              <w:rPr>
                <w:lang w:eastAsia="de-DE"/>
              </w:rPr>
            </w:pPr>
            <w:r w:rsidRPr="009D3012">
              <w:rPr>
                <w:lang w:eastAsia="de-DE"/>
              </w:rPr>
              <w:t>7.2.2(2), 7.2.2(3)</w:t>
            </w:r>
          </w:p>
        </w:tc>
      </w:tr>
      <w:tr w:rsidR="00F95D07" w:rsidRPr="001455DC" w14:paraId="3F1FB914" w14:textId="3575B0EE" w:rsidTr="0066200C">
        <w:trPr>
          <w:cantSplit/>
        </w:trPr>
        <w:tc>
          <w:tcPr>
            <w:tcW w:w="1418" w:type="dxa"/>
            <w:shd w:val="clear" w:color="auto" w:fill="auto"/>
          </w:tcPr>
          <w:p w14:paraId="4055EB75" w14:textId="77777777" w:rsidR="00F95D07" w:rsidRPr="009D3012" w:rsidRDefault="00F95D07" w:rsidP="00F95D07">
            <w:pPr>
              <w:pStyle w:val="Tablebody"/>
              <w:rPr>
                <w:rStyle w:val="CCMCvariableitalic"/>
              </w:rPr>
            </w:pPr>
            <w:r w:rsidRPr="001455DC">
              <w:rPr>
                <w:rStyle w:val="CCMCvariableitalic"/>
              </w:rPr>
              <w:t>m</w:t>
            </w:r>
            <w:r w:rsidRPr="001455DC">
              <w:rPr>
                <w:rStyle w:val="CCMCvariablesubscript"/>
              </w:rPr>
              <w:t>Ed</w:t>
            </w:r>
          </w:p>
        </w:tc>
        <w:tc>
          <w:tcPr>
            <w:tcW w:w="6548" w:type="dxa"/>
            <w:shd w:val="clear" w:color="auto" w:fill="auto"/>
          </w:tcPr>
          <w:p w14:paraId="3B36C491" w14:textId="77777777" w:rsidR="00F95D07" w:rsidRPr="001455DC" w:rsidRDefault="00F95D07" w:rsidP="000250B6">
            <w:pPr>
              <w:pStyle w:val="Tablebody"/>
              <w:jc w:val="left"/>
              <w:rPr>
                <w:lang w:eastAsia="de-DE"/>
              </w:rPr>
            </w:pPr>
            <w:r w:rsidRPr="001455DC">
              <w:rPr>
                <w:lang w:eastAsia="de-DE"/>
              </w:rPr>
              <w:t>Design value of the applied internal bending moment per unit width in planar members</w:t>
            </w:r>
          </w:p>
        </w:tc>
        <w:tc>
          <w:tcPr>
            <w:tcW w:w="1984" w:type="dxa"/>
          </w:tcPr>
          <w:p w14:paraId="7F11604A" w14:textId="07F2F2FA" w:rsidR="00F95D07" w:rsidRPr="001455DC" w:rsidRDefault="00F95D07" w:rsidP="00F95D07">
            <w:pPr>
              <w:pStyle w:val="Tablebody"/>
              <w:rPr>
                <w:lang w:eastAsia="de-DE"/>
              </w:rPr>
            </w:pPr>
            <w:r w:rsidRPr="009D3012">
              <w:rPr>
                <w:lang w:eastAsia="de-DE"/>
              </w:rPr>
              <w:t>8.1.3</w:t>
            </w:r>
          </w:p>
        </w:tc>
      </w:tr>
      <w:tr w:rsidR="00F95D07" w:rsidRPr="001455DC" w14:paraId="33D6BC69" w14:textId="58A8022C" w:rsidTr="0066200C">
        <w:trPr>
          <w:cantSplit/>
        </w:trPr>
        <w:tc>
          <w:tcPr>
            <w:tcW w:w="1418" w:type="dxa"/>
            <w:shd w:val="clear" w:color="auto" w:fill="auto"/>
          </w:tcPr>
          <w:p w14:paraId="3F0C1C44" w14:textId="77777777" w:rsidR="00F95D07" w:rsidRPr="009D3012" w:rsidRDefault="00F95D07" w:rsidP="00F95D07">
            <w:pPr>
              <w:pStyle w:val="Tablebody"/>
              <w:rPr>
                <w:rStyle w:val="CCMCvariableitalic"/>
              </w:rPr>
            </w:pPr>
            <w:r w:rsidRPr="001455DC">
              <w:rPr>
                <w:rStyle w:val="CCMCvariableitalic"/>
              </w:rPr>
              <w:t>m</w:t>
            </w:r>
            <w:r w:rsidRPr="001455DC">
              <w:rPr>
                <w:rStyle w:val="CCMCvariablesubscript"/>
              </w:rPr>
              <w:t>Edx</w:t>
            </w:r>
            <w:r w:rsidRPr="001455DC">
              <w:rPr>
                <w:lang w:eastAsia="de-DE"/>
              </w:rPr>
              <w:t xml:space="preserve">, </w:t>
            </w:r>
            <w:r w:rsidRPr="001455DC">
              <w:rPr>
                <w:rStyle w:val="CCMCvariableitalic"/>
              </w:rPr>
              <w:t>m</w:t>
            </w:r>
            <w:r w:rsidRPr="001455DC">
              <w:rPr>
                <w:rStyle w:val="CCMCvariablesubscript"/>
              </w:rPr>
              <w:t>Edy</w:t>
            </w:r>
          </w:p>
        </w:tc>
        <w:tc>
          <w:tcPr>
            <w:tcW w:w="6548" w:type="dxa"/>
            <w:shd w:val="clear" w:color="auto" w:fill="auto"/>
          </w:tcPr>
          <w:p w14:paraId="4EA53B0A" w14:textId="77777777" w:rsidR="00F95D07" w:rsidRPr="001455DC" w:rsidRDefault="00F95D07" w:rsidP="000250B6">
            <w:pPr>
              <w:pStyle w:val="Tablebody"/>
              <w:jc w:val="left"/>
              <w:rPr>
                <w:lang w:eastAsia="de-DE"/>
              </w:rPr>
            </w:pPr>
            <w:r w:rsidRPr="001455DC">
              <w:rPr>
                <w:lang w:eastAsia="de-DE"/>
              </w:rPr>
              <w:t xml:space="preserve">Value of </w:t>
            </w:r>
            <w:r w:rsidRPr="001455DC">
              <w:rPr>
                <w:rStyle w:val="CCMCvariableitalic"/>
              </w:rPr>
              <w:t>m</w:t>
            </w:r>
            <w:r w:rsidRPr="001455DC">
              <w:rPr>
                <w:rStyle w:val="CCMCvariablesubscript"/>
              </w:rPr>
              <w:t>Ed</w:t>
            </w:r>
            <w:r w:rsidRPr="001455DC">
              <w:rPr>
                <w:lang w:eastAsia="de-DE"/>
              </w:rPr>
              <w:t xml:space="preserve"> in the </w:t>
            </w:r>
            <w:r w:rsidRPr="001455DC">
              <w:rPr>
                <w:rStyle w:val="CCMCvariableitalic"/>
              </w:rPr>
              <w:t>x</w:t>
            </w:r>
            <w:r w:rsidRPr="001455DC">
              <w:rPr>
                <w:lang w:eastAsia="de-DE"/>
              </w:rPr>
              <w:t xml:space="preserve"> and </w:t>
            </w:r>
            <w:r w:rsidRPr="001455DC">
              <w:rPr>
                <w:rStyle w:val="CCMCvariableitalic"/>
              </w:rPr>
              <w:t>y</w:t>
            </w:r>
            <w:r w:rsidRPr="001455DC">
              <w:rPr>
                <w:lang w:eastAsia="de-DE"/>
              </w:rPr>
              <w:t xml:space="preserve">-directions, respectively </w:t>
            </w:r>
          </w:p>
        </w:tc>
        <w:tc>
          <w:tcPr>
            <w:tcW w:w="1984" w:type="dxa"/>
          </w:tcPr>
          <w:p w14:paraId="40684599" w14:textId="0E600B3C" w:rsidR="00F95D07" w:rsidRPr="001455DC" w:rsidRDefault="00F95D07" w:rsidP="00F95D07">
            <w:pPr>
              <w:pStyle w:val="Tablebody"/>
              <w:rPr>
                <w:lang w:eastAsia="de-DE"/>
              </w:rPr>
            </w:pPr>
            <w:r w:rsidRPr="009D3012">
              <w:rPr>
                <w:lang w:eastAsia="de-DE"/>
              </w:rPr>
              <w:t>8.1.3</w:t>
            </w:r>
          </w:p>
        </w:tc>
      </w:tr>
      <w:tr w:rsidR="00F95D07" w:rsidRPr="001455DC" w14:paraId="7ABA3D51" w14:textId="7B42E2D5" w:rsidTr="0066200C">
        <w:trPr>
          <w:cantSplit/>
        </w:trPr>
        <w:tc>
          <w:tcPr>
            <w:tcW w:w="1418" w:type="dxa"/>
            <w:shd w:val="clear" w:color="auto" w:fill="auto"/>
          </w:tcPr>
          <w:p w14:paraId="5006D073" w14:textId="77777777" w:rsidR="00F95D07" w:rsidRPr="009D3012" w:rsidRDefault="00F95D07" w:rsidP="00F95D07">
            <w:pPr>
              <w:pStyle w:val="Tablebody"/>
              <w:rPr>
                <w:rStyle w:val="CCMCvariableitalic"/>
              </w:rPr>
            </w:pPr>
            <w:r w:rsidRPr="001455DC">
              <w:rPr>
                <w:rStyle w:val="CCMCvariableitalic"/>
              </w:rPr>
              <w:t>m</w:t>
            </w:r>
            <w:r w:rsidRPr="001455DC">
              <w:rPr>
                <w:rStyle w:val="CCMCvariablesubscript"/>
              </w:rPr>
              <w:t>Edxy</w:t>
            </w:r>
          </w:p>
        </w:tc>
        <w:tc>
          <w:tcPr>
            <w:tcW w:w="6548" w:type="dxa"/>
            <w:shd w:val="clear" w:color="auto" w:fill="auto"/>
          </w:tcPr>
          <w:p w14:paraId="3077B07B" w14:textId="77777777" w:rsidR="00F95D07" w:rsidRPr="001455DC" w:rsidRDefault="00F95D07" w:rsidP="000250B6">
            <w:pPr>
              <w:pStyle w:val="Tablebody"/>
              <w:jc w:val="left"/>
              <w:rPr>
                <w:lang w:eastAsia="de-DE"/>
              </w:rPr>
            </w:pPr>
            <w:r w:rsidRPr="001455DC">
              <w:rPr>
                <w:lang w:eastAsia="de-DE"/>
              </w:rPr>
              <w:t>Design value of the applied internal torsion moment per unit width in planar members</w:t>
            </w:r>
          </w:p>
        </w:tc>
        <w:tc>
          <w:tcPr>
            <w:tcW w:w="1984" w:type="dxa"/>
          </w:tcPr>
          <w:p w14:paraId="500506EE" w14:textId="159BA8EF" w:rsidR="00F95D07" w:rsidRPr="001455DC" w:rsidRDefault="00F95D07" w:rsidP="00F95D07">
            <w:pPr>
              <w:pStyle w:val="Tablebody"/>
              <w:rPr>
                <w:lang w:eastAsia="de-DE"/>
              </w:rPr>
            </w:pPr>
            <w:r w:rsidRPr="009D3012">
              <w:rPr>
                <w:lang w:eastAsia="de-DE"/>
              </w:rPr>
              <w:t>8.1.3</w:t>
            </w:r>
          </w:p>
        </w:tc>
      </w:tr>
      <w:tr w:rsidR="00F95D07" w:rsidRPr="001455DC" w14:paraId="6984D2EF" w14:textId="6BE7B48C" w:rsidTr="0066200C">
        <w:trPr>
          <w:cantSplit/>
        </w:trPr>
        <w:tc>
          <w:tcPr>
            <w:tcW w:w="1418" w:type="dxa"/>
            <w:shd w:val="clear" w:color="auto" w:fill="auto"/>
          </w:tcPr>
          <w:p w14:paraId="55CF3613" w14:textId="77777777" w:rsidR="00F95D07" w:rsidRPr="009D3012" w:rsidRDefault="00F95D07" w:rsidP="00F95D07">
            <w:pPr>
              <w:pStyle w:val="Tablebody"/>
              <w:rPr>
                <w:rStyle w:val="CCMCvariableitalic"/>
              </w:rPr>
            </w:pPr>
            <w:r w:rsidRPr="001455DC">
              <w:rPr>
                <w:rStyle w:val="CCMCvariableitalic"/>
              </w:rPr>
              <w:t>m</w:t>
            </w:r>
            <w:r w:rsidRPr="001455DC">
              <w:rPr>
                <w:rStyle w:val="CCMCvariablesubscript"/>
              </w:rPr>
              <w:t>Rd</w:t>
            </w:r>
          </w:p>
        </w:tc>
        <w:tc>
          <w:tcPr>
            <w:tcW w:w="6548" w:type="dxa"/>
            <w:shd w:val="clear" w:color="auto" w:fill="auto"/>
          </w:tcPr>
          <w:p w14:paraId="095A553E" w14:textId="77777777" w:rsidR="00F95D07" w:rsidRPr="001455DC" w:rsidRDefault="00F95D07" w:rsidP="000250B6">
            <w:pPr>
              <w:pStyle w:val="Tablebody"/>
              <w:jc w:val="left"/>
              <w:rPr>
                <w:lang w:eastAsia="de-DE"/>
              </w:rPr>
            </w:pPr>
            <w:r w:rsidRPr="001455DC">
              <w:rPr>
                <w:lang w:eastAsia="de-DE"/>
              </w:rPr>
              <w:t>Design value of the flexural strength per unit width of a planar member resisting positive moments</w:t>
            </w:r>
          </w:p>
        </w:tc>
        <w:tc>
          <w:tcPr>
            <w:tcW w:w="1984" w:type="dxa"/>
          </w:tcPr>
          <w:p w14:paraId="330641C4" w14:textId="0FAC8BC7" w:rsidR="00F95D07" w:rsidRPr="001455DC" w:rsidRDefault="00F95D07" w:rsidP="00F95D07">
            <w:pPr>
              <w:pStyle w:val="Tablebody"/>
              <w:rPr>
                <w:lang w:eastAsia="de-DE"/>
              </w:rPr>
            </w:pPr>
            <w:r w:rsidRPr="009D3012">
              <w:rPr>
                <w:lang w:eastAsia="de-DE"/>
              </w:rPr>
              <w:t>8.1.3</w:t>
            </w:r>
          </w:p>
        </w:tc>
      </w:tr>
      <w:tr w:rsidR="00F95D07" w:rsidRPr="001455DC" w14:paraId="6DFF25F4" w14:textId="1215CD0E" w:rsidTr="0066200C">
        <w:trPr>
          <w:cantSplit/>
        </w:trPr>
        <w:tc>
          <w:tcPr>
            <w:tcW w:w="1418" w:type="dxa"/>
            <w:shd w:val="clear" w:color="auto" w:fill="auto"/>
          </w:tcPr>
          <w:p w14:paraId="279D097F" w14:textId="77777777" w:rsidR="00F95D07" w:rsidRPr="009D3012" w:rsidRDefault="00F95D07" w:rsidP="00F95D07">
            <w:pPr>
              <w:pStyle w:val="Tablebody"/>
              <w:rPr>
                <w:rStyle w:val="CCMCvariableitalic"/>
              </w:rPr>
            </w:pPr>
            <w:r w:rsidRPr="001455DC">
              <w:rPr>
                <w:rStyle w:val="CCMCvariableitalic"/>
              </w:rPr>
              <w:t>m</w:t>
            </w:r>
            <w:r w:rsidRPr="001455DC">
              <w:rPr>
                <w:rStyle w:val="CCMCvariablesubscript"/>
              </w:rPr>
              <w:t>Rd</w:t>
            </w:r>
            <w:r w:rsidRPr="001455DC">
              <w:rPr>
                <w:iCs/>
                <w:lang w:eastAsia="de-DE"/>
              </w:rPr>
              <w:t>’</w:t>
            </w:r>
          </w:p>
        </w:tc>
        <w:tc>
          <w:tcPr>
            <w:tcW w:w="6548" w:type="dxa"/>
            <w:shd w:val="clear" w:color="auto" w:fill="auto"/>
          </w:tcPr>
          <w:p w14:paraId="4E820B7A" w14:textId="77777777" w:rsidR="00F95D07" w:rsidRPr="001455DC" w:rsidRDefault="00F95D07" w:rsidP="000250B6">
            <w:pPr>
              <w:pStyle w:val="Tablebody"/>
              <w:jc w:val="left"/>
              <w:rPr>
                <w:lang w:eastAsia="de-DE"/>
              </w:rPr>
            </w:pPr>
            <w:r w:rsidRPr="001455DC">
              <w:rPr>
                <w:lang w:eastAsia="de-DE"/>
              </w:rPr>
              <w:t>Design value of the flexural strength per unit width of a planar member resisting negative moments (value positive)</w:t>
            </w:r>
          </w:p>
        </w:tc>
        <w:tc>
          <w:tcPr>
            <w:tcW w:w="1984" w:type="dxa"/>
          </w:tcPr>
          <w:p w14:paraId="6968452F" w14:textId="697B188C" w:rsidR="00F95D07" w:rsidRPr="001455DC" w:rsidRDefault="00F95D07" w:rsidP="00F95D07">
            <w:pPr>
              <w:pStyle w:val="Tablebody"/>
              <w:rPr>
                <w:lang w:eastAsia="de-DE"/>
              </w:rPr>
            </w:pPr>
            <w:r w:rsidRPr="009D3012">
              <w:rPr>
                <w:lang w:eastAsia="de-DE"/>
              </w:rPr>
              <w:t>8.1.3</w:t>
            </w:r>
          </w:p>
        </w:tc>
      </w:tr>
      <w:tr w:rsidR="00F95D07" w:rsidRPr="001455DC" w14:paraId="2A5B6B71" w14:textId="603317A1" w:rsidTr="0066200C">
        <w:trPr>
          <w:cantSplit/>
        </w:trPr>
        <w:tc>
          <w:tcPr>
            <w:tcW w:w="1418" w:type="dxa"/>
            <w:shd w:val="clear" w:color="auto" w:fill="auto"/>
          </w:tcPr>
          <w:p w14:paraId="2AD25438" w14:textId="6D7FAA71" w:rsidR="00F95D07" w:rsidRPr="009D3012" w:rsidRDefault="00F95D07" w:rsidP="00F95D07">
            <w:pPr>
              <w:pStyle w:val="Tablebody"/>
              <w:rPr>
                <w:rStyle w:val="CCMCvariableitalic"/>
              </w:rPr>
            </w:pPr>
            <w:r w:rsidRPr="001455DC">
              <w:rPr>
                <w:rStyle w:val="CCMCvariableitalic"/>
              </w:rPr>
              <w:t>m</w:t>
            </w:r>
            <w:r w:rsidRPr="001455DC">
              <w:rPr>
                <w:rStyle w:val="CCMCvariablesubscript"/>
              </w:rPr>
              <w:t>Rdx</w:t>
            </w:r>
            <w:r w:rsidRPr="001455DC">
              <w:t xml:space="preserve">, </w:t>
            </w:r>
            <w:r w:rsidRPr="001455DC">
              <w:rPr>
                <w:rStyle w:val="CCMCvariableitalic"/>
              </w:rPr>
              <w:t>m</w:t>
            </w:r>
            <w:r w:rsidRPr="001455DC">
              <w:rPr>
                <w:rStyle w:val="CCMCvariablesubscript"/>
              </w:rPr>
              <w:t>Rdy</w:t>
            </w:r>
          </w:p>
        </w:tc>
        <w:tc>
          <w:tcPr>
            <w:tcW w:w="6548" w:type="dxa"/>
            <w:shd w:val="clear" w:color="auto" w:fill="auto"/>
          </w:tcPr>
          <w:p w14:paraId="61F5B631" w14:textId="77777777" w:rsidR="00F95D07" w:rsidRPr="001455DC" w:rsidRDefault="00F95D07" w:rsidP="000250B6">
            <w:pPr>
              <w:pStyle w:val="Tablebody"/>
              <w:jc w:val="left"/>
              <w:rPr>
                <w:lang w:eastAsia="de-DE"/>
              </w:rPr>
            </w:pPr>
            <w:r w:rsidRPr="001455DC">
              <w:rPr>
                <w:lang w:eastAsia="de-DE"/>
              </w:rPr>
              <w:t xml:space="preserve">Value of </w:t>
            </w:r>
            <w:r w:rsidRPr="001455DC">
              <w:rPr>
                <w:rStyle w:val="CCMCvariableitalic"/>
              </w:rPr>
              <w:t>m</w:t>
            </w:r>
            <w:r w:rsidRPr="001455DC">
              <w:rPr>
                <w:rStyle w:val="CCMCvariablesubscript"/>
              </w:rPr>
              <w:t>Rd</w:t>
            </w:r>
            <w:r w:rsidRPr="001455DC">
              <w:rPr>
                <w:lang w:eastAsia="de-DE"/>
              </w:rPr>
              <w:t xml:space="preserve"> in the </w:t>
            </w:r>
            <w:r w:rsidRPr="001455DC">
              <w:rPr>
                <w:rStyle w:val="CCMCvariableitalic"/>
              </w:rPr>
              <w:t>x</w:t>
            </w:r>
            <w:r w:rsidRPr="001455DC">
              <w:rPr>
                <w:lang w:eastAsia="de-DE"/>
              </w:rPr>
              <w:t xml:space="preserve"> and </w:t>
            </w:r>
            <w:r w:rsidRPr="001455DC">
              <w:rPr>
                <w:rStyle w:val="CCMCvariableitalic"/>
              </w:rPr>
              <w:t>y</w:t>
            </w:r>
            <w:r w:rsidRPr="001455DC">
              <w:rPr>
                <w:lang w:eastAsia="de-DE"/>
              </w:rPr>
              <w:t>-directions, respectively (without the influence of torsion moments)</w:t>
            </w:r>
          </w:p>
        </w:tc>
        <w:tc>
          <w:tcPr>
            <w:tcW w:w="1984" w:type="dxa"/>
          </w:tcPr>
          <w:p w14:paraId="231E697C" w14:textId="3269A919" w:rsidR="00F95D07" w:rsidRPr="001455DC" w:rsidRDefault="00F95D07" w:rsidP="00F95D07">
            <w:pPr>
              <w:pStyle w:val="Tablebody"/>
              <w:rPr>
                <w:lang w:eastAsia="de-DE"/>
              </w:rPr>
            </w:pPr>
            <w:r w:rsidRPr="009D3012">
              <w:rPr>
                <w:lang w:eastAsia="de-DE"/>
              </w:rPr>
              <w:t>8.1.3</w:t>
            </w:r>
          </w:p>
        </w:tc>
      </w:tr>
      <w:tr w:rsidR="00F95D07" w:rsidRPr="001455DC" w14:paraId="33836D90" w14:textId="60C18666" w:rsidTr="0066200C">
        <w:trPr>
          <w:cantSplit/>
        </w:trPr>
        <w:tc>
          <w:tcPr>
            <w:tcW w:w="1418" w:type="dxa"/>
            <w:shd w:val="clear" w:color="auto" w:fill="auto"/>
          </w:tcPr>
          <w:p w14:paraId="70B99E13" w14:textId="52D555D2" w:rsidR="00F95D07" w:rsidRPr="009D3012" w:rsidRDefault="00F95D07" w:rsidP="00F95D07">
            <w:pPr>
              <w:pStyle w:val="Tablebody"/>
              <w:rPr>
                <w:rStyle w:val="CCMCvariableitalic"/>
              </w:rPr>
            </w:pPr>
            <w:r w:rsidRPr="001455DC">
              <w:rPr>
                <w:rStyle w:val="CCMCvariableitalic"/>
              </w:rPr>
              <w:t>m</w:t>
            </w:r>
            <w:r w:rsidRPr="001455DC">
              <w:rPr>
                <w:rStyle w:val="CCMCvariablesubscript"/>
              </w:rPr>
              <w:t>Rdx</w:t>
            </w:r>
            <w:r w:rsidRPr="001455DC">
              <w:rPr>
                <w:rFonts w:ascii="Cambria Math" w:hAnsi="Cambria Math"/>
                <w:iCs/>
                <w:lang w:eastAsia="de-DE"/>
              </w:rPr>
              <w:t>′</w:t>
            </w:r>
            <w:r w:rsidRPr="001455DC">
              <w:rPr>
                <w:iCs/>
                <w:lang w:eastAsia="de-DE"/>
              </w:rPr>
              <w:t xml:space="preserve">, </w:t>
            </w:r>
            <w:r w:rsidRPr="001455DC">
              <w:rPr>
                <w:rStyle w:val="CCMCvariableitalic"/>
              </w:rPr>
              <w:t>m</w:t>
            </w:r>
            <w:r w:rsidRPr="001455DC">
              <w:rPr>
                <w:rStyle w:val="CCMCvariablesubscript"/>
              </w:rPr>
              <w:t>Rdy</w:t>
            </w:r>
            <w:r w:rsidRPr="001455DC">
              <w:rPr>
                <w:rFonts w:ascii="Cambria Math" w:hAnsi="Cambria Math"/>
                <w:iCs/>
                <w:lang w:eastAsia="de-DE"/>
              </w:rPr>
              <w:t>′</w:t>
            </w:r>
          </w:p>
        </w:tc>
        <w:tc>
          <w:tcPr>
            <w:tcW w:w="6548" w:type="dxa"/>
            <w:shd w:val="clear" w:color="auto" w:fill="auto"/>
          </w:tcPr>
          <w:p w14:paraId="1BF22508" w14:textId="13124E7A" w:rsidR="00F95D07" w:rsidRPr="001455DC" w:rsidRDefault="00F95D07" w:rsidP="000250B6">
            <w:pPr>
              <w:pStyle w:val="Tablebody"/>
              <w:jc w:val="left"/>
              <w:rPr>
                <w:lang w:eastAsia="de-DE"/>
              </w:rPr>
            </w:pPr>
            <w:r w:rsidRPr="001455DC">
              <w:rPr>
                <w:lang w:eastAsia="de-DE"/>
              </w:rPr>
              <w:t xml:space="preserve">Value of </w:t>
            </w:r>
            <w:r w:rsidRPr="001455DC">
              <w:rPr>
                <w:rStyle w:val="CCMCvariableitalic"/>
              </w:rPr>
              <w:t>m</w:t>
            </w:r>
            <w:r w:rsidRPr="001455DC">
              <w:rPr>
                <w:rStyle w:val="CCMCvariablesubscript"/>
              </w:rPr>
              <w:t>Rd</w:t>
            </w:r>
            <w:r w:rsidRPr="001455DC">
              <w:rPr>
                <w:rFonts w:ascii="Cambria Math" w:hAnsi="Cambria Math"/>
                <w:lang w:eastAsia="de-DE"/>
              </w:rPr>
              <w:t>′</w:t>
            </w:r>
            <w:r w:rsidRPr="001455DC">
              <w:rPr>
                <w:lang w:eastAsia="de-DE"/>
              </w:rPr>
              <w:t xml:space="preserve"> in the </w:t>
            </w:r>
            <w:r w:rsidRPr="001455DC">
              <w:rPr>
                <w:rStyle w:val="CCMCvariableitalic"/>
              </w:rPr>
              <w:t>x</w:t>
            </w:r>
            <w:r w:rsidRPr="001455DC">
              <w:rPr>
                <w:lang w:eastAsia="de-DE"/>
              </w:rPr>
              <w:t xml:space="preserve"> and </w:t>
            </w:r>
            <w:r w:rsidRPr="001455DC">
              <w:rPr>
                <w:rStyle w:val="CCMCvariableitalic"/>
              </w:rPr>
              <w:t>y</w:t>
            </w:r>
            <w:r w:rsidRPr="001455DC">
              <w:rPr>
                <w:lang w:eastAsia="de-DE"/>
              </w:rPr>
              <w:t>-directions, respectively (without the influence of torsion moments)</w:t>
            </w:r>
          </w:p>
        </w:tc>
        <w:tc>
          <w:tcPr>
            <w:tcW w:w="1984" w:type="dxa"/>
          </w:tcPr>
          <w:p w14:paraId="7B4DD469" w14:textId="1A88EFB0" w:rsidR="00F95D07" w:rsidRPr="001455DC" w:rsidRDefault="00F95D07" w:rsidP="00F95D07">
            <w:pPr>
              <w:pStyle w:val="Tablebody"/>
              <w:rPr>
                <w:lang w:eastAsia="de-DE"/>
              </w:rPr>
            </w:pPr>
            <w:r w:rsidRPr="009D3012">
              <w:rPr>
                <w:lang w:eastAsia="de-DE"/>
              </w:rPr>
              <w:t>8.1.3</w:t>
            </w:r>
          </w:p>
        </w:tc>
      </w:tr>
      <w:tr w:rsidR="00F95D07" w:rsidRPr="001455DC" w14:paraId="62053C88" w14:textId="73DACCC8" w:rsidTr="0066200C">
        <w:trPr>
          <w:cantSplit/>
        </w:trPr>
        <w:tc>
          <w:tcPr>
            <w:tcW w:w="1418" w:type="dxa"/>
            <w:shd w:val="clear" w:color="auto" w:fill="auto"/>
          </w:tcPr>
          <w:p w14:paraId="540EF5FE" w14:textId="3D097D9D" w:rsidR="00F95D07" w:rsidRPr="009D3012" w:rsidRDefault="00F95D07" w:rsidP="00F95D07">
            <w:pPr>
              <w:pStyle w:val="Tablebody"/>
              <w:rPr>
                <w:rStyle w:val="CCMCvariableitalic"/>
              </w:rPr>
            </w:pPr>
            <w:r w:rsidRPr="001455DC">
              <w:rPr>
                <w:rStyle w:val="CCMCvariableitalic"/>
              </w:rPr>
              <w:t>n</w:t>
            </w:r>
          </w:p>
        </w:tc>
        <w:tc>
          <w:tcPr>
            <w:tcW w:w="6548" w:type="dxa"/>
            <w:shd w:val="clear" w:color="auto" w:fill="auto"/>
          </w:tcPr>
          <w:p w14:paraId="5CFFF274" w14:textId="77777777" w:rsidR="00F95D07" w:rsidRPr="001455DC" w:rsidRDefault="00F95D07" w:rsidP="000250B6">
            <w:pPr>
              <w:pStyle w:val="Tablebody"/>
              <w:jc w:val="left"/>
              <w:rPr>
                <w:lang w:eastAsia="de-DE"/>
              </w:rPr>
            </w:pPr>
            <w:r w:rsidRPr="001455DC">
              <w:t>Non-dimensional normal force</w:t>
            </w:r>
          </w:p>
        </w:tc>
        <w:tc>
          <w:tcPr>
            <w:tcW w:w="1984" w:type="dxa"/>
          </w:tcPr>
          <w:p w14:paraId="2BEF129D" w14:textId="0BED7704" w:rsidR="00F95D07" w:rsidRPr="001455DC" w:rsidRDefault="00F95D07" w:rsidP="00F95D07">
            <w:pPr>
              <w:pStyle w:val="Tablebody"/>
            </w:pPr>
            <w:r w:rsidRPr="009D3012">
              <w:rPr>
                <w:lang w:eastAsia="de-DE"/>
              </w:rPr>
              <w:t>O.7.3(3)</w:t>
            </w:r>
          </w:p>
        </w:tc>
      </w:tr>
      <w:tr w:rsidR="00F95D07" w:rsidRPr="001455DC" w14:paraId="707D8070" w14:textId="0DA9D18D" w:rsidTr="0066200C">
        <w:trPr>
          <w:cantSplit/>
        </w:trPr>
        <w:tc>
          <w:tcPr>
            <w:tcW w:w="1418" w:type="dxa"/>
            <w:shd w:val="clear" w:color="auto" w:fill="auto"/>
          </w:tcPr>
          <w:p w14:paraId="7D9110DD" w14:textId="77777777" w:rsidR="00F95D07" w:rsidRPr="009D3012" w:rsidRDefault="00F95D07" w:rsidP="00F95D07">
            <w:pPr>
              <w:pStyle w:val="Tablebody"/>
              <w:rPr>
                <w:rStyle w:val="CCMCvariableitalic"/>
              </w:rPr>
            </w:pPr>
            <w:r w:rsidRPr="001455DC">
              <w:rPr>
                <w:rStyle w:val="CCMCvariableitalic"/>
              </w:rPr>
              <w:t>n</w:t>
            </w:r>
            <w:r w:rsidRPr="001455DC">
              <w:rPr>
                <w:rStyle w:val="CCMCvariablesubscript"/>
              </w:rPr>
              <w:t>s</w:t>
            </w:r>
          </w:p>
        </w:tc>
        <w:tc>
          <w:tcPr>
            <w:tcW w:w="6548" w:type="dxa"/>
            <w:shd w:val="clear" w:color="auto" w:fill="auto"/>
          </w:tcPr>
          <w:p w14:paraId="4140DD7B" w14:textId="77777777" w:rsidR="00F95D07" w:rsidRPr="001455DC" w:rsidRDefault="00F95D07" w:rsidP="000250B6">
            <w:pPr>
              <w:pStyle w:val="Tablebody"/>
              <w:jc w:val="left"/>
              <w:rPr>
                <w:lang w:eastAsia="de-DE"/>
              </w:rPr>
            </w:pPr>
            <w:r w:rsidRPr="001455DC">
              <w:t>Number of storeys</w:t>
            </w:r>
          </w:p>
        </w:tc>
        <w:tc>
          <w:tcPr>
            <w:tcW w:w="1984" w:type="dxa"/>
          </w:tcPr>
          <w:p w14:paraId="46D8D0C2" w14:textId="2FFB9844" w:rsidR="00F95D07" w:rsidRPr="001455DC" w:rsidRDefault="00F95D07" w:rsidP="00F95D07">
            <w:pPr>
              <w:pStyle w:val="Tablebody"/>
            </w:pPr>
            <w:r w:rsidRPr="009D3012">
              <w:rPr>
                <w:lang w:eastAsia="de-DE"/>
              </w:rPr>
              <w:t>O.3(1)</w:t>
            </w:r>
          </w:p>
        </w:tc>
      </w:tr>
      <w:tr w:rsidR="00F95D07" w:rsidRPr="001455DC" w14:paraId="6BD214BA" w14:textId="06CD87B5" w:rsidTr="0066200C">
        <w:trPr>
          <w:cantSplit/>
        </w:trPr>
        <w:tc>
          <w:tcPr>
            <w:tcW w:w="1418" w:type="dxa"/>
            <w:shd w:val="clear" w:color="auto" w:fill="auto"/>
          </w:tcPr>
          <w:p w14:paraId="19B530D7" w14:textId="77777777" w:rsidR="00F95D07" w:rsidRPr="009D3012" w:rsidRDefault="00F95D07" w:rsidP="00F95D07">
            <w:pPr>
              <w:pStyle w:val="Tablebody"/>
              <w:rPr>
                <w:rStyle w:val="CCMCvariableitalic"/>
              </w:rPr>
            </w:pPr>
            <w:r w:rsidRPr="009D3012">
              <w:t>Δ</w:t>
            </w:r>
            <w:r w:rsidRPr="001455DC">
              <w:rPr>
                <w:rStyle w:val="CCMCvariableitalic"/>
              </w:rPr>
              <w:t>p</w:t>
            </w:r>
          </w:p>
        </w:tc>
        <w:tc>
          <w:tcPr>
            <w:tcW w:w="6548" w:type="dxa"/>
            <w:shd w:val="clear" w:color="auto" w:fill="auto"/>
          </w:tcPr>
          <w:p w14:paraId="571F6E2A" w14:textId="77777777" w:rsidR="00F95D07" w:rsidRPr="001455DC" w:rsidRDefault="00F95D07" w:rsidP="000250B6">
            <w:pPr>
              <w:pStyle w:val="Tablebody"/>
              <w:jc w:val="left"/>
            </w:pPr>
            <w:r w:rsidRPr="001455DC">
              <w:t>Water pressure difference between the ends of a passing crack</w:t>
            </w:r>
          </w:p>
        </w:tc>
        <w:tc>
          <w:tcPr>
            <w:tcW w:w="1984" w:type="dxa"/>
          </w:tcPr>
          <w:p w14:paraId="15DBED71" w14:textId="764C9288" w:rsidR="00F95D07" w:rsidRPr="001455DC" w:rsidRDefault="00F95D07">
            <w:pPr>
              <w:pStyle w:val="Tablebody"/>
            </w:pPr>
            <w:r w:rsidRPr="009D3012">
              <w:rPr>
                <w:lang w:eastAsia="de-DE"/>
              </w:rPr>
              <w:t>H.</w:t>
            </w:r>
            <w:r w:rsidR="006E0B24" w:rsidRPr="009D3012">
              <w:rPr>
                <w:lang w:eastAsia="de-DE"/>
              </w:rPr>
              <w:t>4</w:t>
            </w:r>
            <w:r w:rsidRPr="009D3012">
              <w:rPr>
                <w:lang w:eastAsia="de-DE"/>
              </w:rPr>
              <w:t>.2(7)</w:t>
            </w:r>
          </w:p>
        </w:tc>
      </w:tr>
      <w:tr w:rsidR="00F95D07" w:rsidRPr="001455DC" w14:paraId="7FBA89CC" w14:textId="3130D4DA" w:rsidTr="0066200C">
        <w:trPr>
          <w:cantSplit/>
        </w:trPr>
        <w:tc>
          <w:tcPr>
            <w:tcW w:w="1418" w:type="dxa"/>
            <w:shd w:val="clear" w:color="auto" w:fill="auto"/>
          </w:tcPr>
          <w:p w14:paraId="75720ABE" w14:textId="77777777" w:rsidR="00F95D07" w:rsidRPr="009D3012" w:rsidRDefault="00F95D07" w:rsidP="00F95D07">
            <w:pPr>
              <w:pStyle w:val="Tablebody"/>
              <w:rPr>
                <w:rStyle w:val="CCMCvariableitalic"/>
              </w:rPr>
            </w:pPr>
            <w:r w:rsidRPr="001455DC">
              <w:rPr>
                <w:rStyle w:val="CCMCvariableitalic"/>
              </w:rPr>
              <w:t>p</w:t>
            </w:r>
          </w:p>
        </w:tc>
        <w:tc>
          <w:tcPr>
            <w:tcW w:w="6548" w:type="dxa"/>
            <w:shd w:val="clear" w:color="auto" w:fill="auto"/>
          </w:tcPr>
          <w:p w14:paraId="33131FDF" w14:textId="77777777" w:rsidR="00F95D07" w:rsidRPr="001455DC" w:rsidRDefault="00F95D07" w:rsidP="000250B6">
            <w:pPr>
              <w:pStyle w:val="Tablebody"/>
              <w:jc w:val="left"/>
            </w:pPr>
            <w:r w:rsidRPr="001455DC">
              <w:t xml:space="preserve">Water pressure </w:t>
            </w:r>
          </w:p>
        </w:tc>
        <w:tc>
          <w:tcPr>
            <w:tcW w:w="1984" w:type="dxa"/>
          </w:tcPr>
          <w:p w14:paraId="39629001" w14:textId="729E72CD" w:rsidR="00F95D07" w:rsidRPr="001455DC" w:rsidRDefault="00F95D07">
            <w:pPr>
              <w:pStyle w:val="Tablebody"/>
            </w:pPr>
            <w:r w:rsidRPr="009D3012">
              <w:rPr>
                <w:lang w:eastAsia="de-DE"/>
              </w:rPr>
              <w:t>H.</w:t>
            </w:r>
            <w:r w:rsidR="006E0B24" w:rsidRPr="009D3012">
              <w:rPr>
                <w:lang w:eastAsia="de-DE"/>
              </w:rPr>
              <w:t>4</w:t>
            </w:r>
            <w:r w:rsidRPr="009D3012">
              <w:rPr>
                <w:lang w:eastAsia="de-DE"/>
              </w:rPr>
              <w:t>.2(2)</w:t>
            </w:r>
          </w:p>
        </w:tc>
      </w:tr>
      <w:tr w:rsidR="00F95D07" w:rsidRPr="001455DC" w14:paraId="15625822" w14:textId="153B43EB" w:rsidTr="0066200C">
        <w:trPr>
          <w:cantSplit/>
        </w:trPr>
        <w:tc>
          <w:tcPr>
            <w:tcW w:w="1418" w:type="dxa"/>
            <w:shd w:val="clear" w:color="auto" w:fill="auto"/>
          </w:tcPr>
          <w:p w14:paraId="32454481" w14:textId="77777777" w:rsidR="00F95D07" w:rsidRPr="009D3012" w:rsidRDefault="00F95D07" w:rsidP="00F95D07">
            <w:pPr>
              <w:pStyle w:val="Tablebody"/>
              <w:rPr>
                <w:rStyle w:val="CCMCvariableitalic"/>
              </w:rPr>
            </w:pPr>
            <w:r w:rsidRPr="001455DC">
              <w:rPr>
                <w:rStyle w:val="CCMCvariableitalic"/>
              </w:rPr>
              <w:t>q</w:t>
            </w:r>
          </w:p>
        </w:tc>
        <w:tc>
          <w:tcPr>
            <w:tcW w:w="6548" w:type="dxa"/>
            <w:shd w:val="clear" w:color="auto" w:fill="auto"/>
          </w:tcPr>
          <w:p w14:paraId="2661EA32" w14:textId="77777777" w:rsidR="00F95D07" w:rsidRPr="001455DC" w:rsidRDefault="00F95D07" w:rsidP="000250B6">
            <w:pPr>
              <w:pStyle w:val="Tablebody"/>
              <w:jc w:val="left"/>
            </w:pPr>
            <w:r w:rsidRPr="001455DC">
              <w:t>Leakage rate through cracks</w:t>
            </w:r>
          </w:p>
        </w:tc>
        <w:tc>
          <w:tcPr>
            <w:tcW w:w="1984" w:type="dxa"/>
          </w:tcPr>
          <w:p w14:paraId="1DA941C6" w14:textId="43A70501" w:rsidR="00F95D07" w:rsidRPr="001455DC" w:rsidRDefault="00F95D07">
            <w:pPr>
              <w:pStyle w:val="Tablebody"/>
            </w:pPr>
            <w:r w:rsidRPr="009D3012">
              <w:rPr>
                <w:lang w:eastAsia="de-DE"/>
              </w:rPr>
              <w:t>H.</w:t>
            </w:r>
            <w:r w:rsidR="006E0B24" w:rsidRPr="009D3012">
              <w:rPr>
                <w:lang w:eastAsia="de-DE"/>
              </w:rPr>
              <w:t>4</w:t>
            </w:r>
            <w:r w:rsidRPr="009D3012">
              <w:rPr>
                <w:lang w:eastAsia="de-DE"/>
              </w:rPr>
              <w:t>.2(7)</w:t>
            </w:r>
          </w:p>
        </w:tc>
      </w:tr>
      <w:tr w:rsidR="00F95D07" w:rsidRPr="001455DC" w14:paraId="7FC8F08C" w14:textId="014D13A3" w:rsidTr="0066200C">
        <w:trPr>
          <w:cantSplit/>
        </w:trPr>
        <w:tc>
          <w:tcPr>
            <w:tcW w:w="1418" w:type="dxa"/>
            <w:shd w:val="clear" w:color="auto" w:fill="auto"/>
          </w:tcPr>
          <w:p w14:paraId="78DBCD44" w14:textId="77777777" w:rsidR="00F95D07" w:rsidRPr="009D3012" w:rsidRDefault="00F95D07" w:rsidP="00F95D07">
            <w:pPr>
              <w:pStyle w:val="Tablebody"/>
              <w:rPr>
                <w:rStyle w:val="CCMCvariableitalic"/>
              </w:rPr>
            </w:pPr>
            <w:r w:rsidRPr="001455DC">
              <w:rPr>
                <w:rStyle w:val="CCMCvariableitalic"/>
              </w:rPr>
              <w:t>r</w:t>
            </w:r>
            <w:r w:rsidRPr="001455DC">
              <w:rPr>
                <w:rStyle w:val="CCMCvariablesubscript"/>
              </w:rPr>
              <w:t>m</w:t>
            </w:r>
          </w:p>
        </w:tc>
        <w:tc>
          <w:tcPr>
            <w:tcW w:w="6548" w:type="dxa"/>
            <w:shd w:val="clear" w:color="auto" w:fill="auto"/>
          </w:tcPr>
          <w:p w14:paraId="235E9D65" w14:textId="40B32C5F" w:rsidR="00F95D07" w:rsidRPr="001455DC" w:rsidRDefault="00F95D07" w:rsidP="000250B6">
            <w:pPr>
              <w:pStyle w:val="Tablebody"/>
              <w:jc w:val="left"/>
              <w:rPr>
                <w:lang w:eastAsia="de-DE"/>
              </w:rPr>
            </w:pPr>
            <w:r w:rsidRPr="001455DC">
              <w:rPr>
                <w:lang w:eastAsia="de-DE"/>
              </w:rPr>
              <w:t>Ratio of end moments |</w:t>
            </w:r>
            <w:r w:rsidRPr="001455DC">
              <w:rPr>
                <w:rStyle w:val="CCMCvariableitalic"/>
              </w:rPr>
              <w:t>r</w:t>
            </w:r>
            <w:r w:rsidRPr="001455DC">
              <w:rPr>
                <w:rStyle w:val="CCMCvariablesubscript"/>
              </w:rPr>
              <w:t>m</w:t>
            </w:r>
            <w:r w:rsidRPr="001455DC">
              <w:t>| </w:t>
            </w:r>
            <w:r w:rsidRPr="001455DC">
              <w:rPr>
                <w:rFonts w:ascii="Cambria Math" w:hAnsi="Cambria Math"/>
              </w:rPr>
              <w:t>≤</w:t>
            </w:r>
            <w:r w:rsidRPr="001455DC">
              <w:t> 1,0</w:t>
            </w:r>
          </w:p>
        </w:tc>
        <w:tc>
          <w:tcPr>
            <w:tcW w:w="1984" w:type="dxa"/>
          </w:tcPr>
          <w:p w14:paraId="04F70B5E" w14:textId="6A167071" w:rsidR="00F95D07" w:rsidRPr="001455DC" w:rsidRDefault="00F95D07" w:rsidP="00F95D07">
            <w:pPr>
              <w:pStyle w:val="Tablebody"/>
              <w:rPr>
                <w:lang w:eastAsia="de-DE"/>
              </w:rPr>
            </w:pPr>
            <w:r w:rsidRPr="009D3012">
              <w:rPr>
                <w:lang w:eastAsia="de-DE"/>
              </w:rPr>
              <w:t>O.6(1)</w:t>
            </w:r>
          </w:p>
        </w:tc>
      </w:tr>
      <w:tr w:rsidR="00F95D07" w:rsidRPr="001455DC" w14:paraId="35129E39" w14:textId="147BBCA4" w:rsidTr="0066200C">
        <w:trPr>
          <w:cantSplit/>
        </w:trPr>
        <w:tc>
          <w:tcPr>
            <w:tcW w:w="1418" w:type="dxa"/>
            <w:shd w:val="clear" w:color="auto" w:fill="auto"/>
          </w:tcPr>
          <w:p w14:paraId="5AC1284A" w14:textId="77777777" w:rsidR="00F95D07" w:rsidRPr="009D3012" w:rsidRDefault="00F95D07" w:rsidP="00F95D07">
            <w:pPr>
              <w:pStyle w:val="Tablebody"/>
              <w:rPr>
                <w:rStyle w:val="CCMCvariableitalic"/>
              </w:rPr>
            </w:pPr>
            <w:r w:rsidRPr="001455DC">
              <w:rPr>
                <w:rStyle w:val="CCMCvariableitalic"/>
              </w:rPr>
              <w:t>r</w:t>
            </w:r>
            <w:r w:rsidRPr="001455DC">
              <w:rPr>
                <w:rStyle w:val="CCMCvariablesubscript"/>
              </w:rPr>
              <w:t>sup</w:t>
            </w:r>
          </w:p>
        </w:tc>
        <w:tc>
          <w:tcPr>
            <w:tcW w:w="6548" w:type="dxa"/>
            <w:shd w:val="clear" w:color="auto" w:fill="auto"/>
          </w:tcPr>
          <w:p w14:paraId="3F337B6B" w14:textId="77777777" w:rsidR="00F95D07" w:rsidRPr="001455DC" w:rsidRDefault="00F95D07" w:rsidP="000250B6">
            <w:pPr>
              <w:pStyle w:val="Tablebody"/>
              <w:jc w:val="left"/>
              <w:rPr>
                <w:lang w:eastAsia="de-DE"/>
              </w:rPr>
            </w:pPr>
            <w:r w:rsidRPr="001455DC">
              <w:rPr>
                <w:lang w:eastAsia="de-DE"/>
              </w:rPr>
              <w:t>Factor to account for variation in prestress in serviceability and fatigue verifications when prestressing is unfavourable</w:t>
            </w:r>
          </w:p>
        </w:tc>
        <w:tc>
          <w:tcPr>
            <w:tcW w:w="1984" w:type="dxa"/>
          </w:tcPr>
          <w:p w14:paraId="6A0093FC" w14:textId="79E48DF1" w:rsidR="00F95D07" w:rsidRPr="001455DC" w:rsidRDefault="00F95D07" w:rsidP="00F95D07">
            <w:pPr>
              <w:pStyle w:val="Tablebody"/>
              <w:rPr>
                <w:lang w:eastAsia="de-DE"/>
              </w:rPr>
            </w:pPr>
            <w:r w:rsidRPr="009D3012">
              <w:rPr>
                <w:lang w:eastAsia="de-DE"/>
              </w:rPr>
              <w:t>4.2.1.5(3)</w:t>
            </w:r>
          </w:p>
        </w:tc>
      </w:tr>
      <w:tr w:rsidR="00F95D07" w:rsidRPr="001455DC" w14:paraId="292A9605" w14:textId="333A1228" w:rsidTr="0066200C">
        <w:trPr>
          <w:cantSplit/>
        </w:trPr>
        <w:tc>
          <w:tcPr>
            <w:tcW w:w="1418" w:type="dxa"/>
            <w:shd w:val="clear" w:color="auto" w:fill="auto"/>
          </w:tcPr>
          <w:p w14:paraId="264CCF32" w14:textId="77777777" w:rsidR="00F95D07" w:rsidRPr="009D3012" w:rsidRDefault="00F95D07" w:rsidP="00F95D07">
            <w:pPr>
              <w:pStyle w:val="Tablebody"/>
              <w:rPr>
                <w:rStyle w:val="CCMCvariableitalic"/>
              </w:rPr>
            </w:pPr>
            <w:r w:rsidRPr="001455DC">
              <w:rPr>
                <w:rStyle w:val="CCMCvariableitalic"/>
              </w:rPr>
              <w:t>r</w:t>
            </w:r>
            <w:r w:rsidRPr="001455DC">
              <w:rPr>
                <w:rStyle w:val="CCMCvariablesubscript"/>
              </w:rPr>
              <w:t>inf</w:t>
            </w:r>
          </w:p>
        </w:tc>
        <w:tc>
          <w:tcPr>
            <w:tcW w:w="6548" w:type="dxa"/>
            <w:shd w:val="clear" w:color="auto" w:fill="auto"/>
          </w:tcPr>
          <w:p w14:paraId="6BB56683" w14:textId="77777777" w:rsidR="00F95D07" w:rsidRPr="001455DC" w:rsidRDefault="00F95D07" w:rsidP="000250B6">
            <w:pPr>
              <w:pStyle w:val="Tablebody"/>
              <w:jc w:val="left"/>
              <w:rPr>
                <w:lang w:eastAsia="de-DE"/>
              </w:rPr>
            </w:pPr>
            <w:r w:rsidRPr="001455DC">
              <w:rPr>
                <w:lang w:eastAsia="de-DE"/>
              </w:rPr>
              <w:t>Factor to account for variation in prestress in serviceability and fatigue verifications when prestressing is favourable</w:t>
            </w:r>
          </w:p>
        </w:tc>
        <w:tc>
          <w:tcPr>
            <w:tcW w:w="1984" w:type="dxa"/>
          </w:tcPr>
          <w:p w14:paraId="55D74BE4" w14:textId="50265029" w:rsidR="00F95D07" w:rsidRPr="001455DC" w:rsidRDefault="00F95D07" w:rsidP="00F95D07">
            <w:pPr>
              <w:pStyle w:val="Tablebody"/>
              <w:rPr>
                <w:lang w:eastAsia="de-DE"/>
              </w:rPr>
            </w:pPr>
            <w:r w:rsidRPr="009D3012">
              <w:rPr>
                <w:lang w:eastAsia="de-DE"/>
              </w:rPr>
              <w:t>4.2.1.5(3)</w:t>
            </w:r>
          </w:p>
        </w:tc>
      </w:tr>
      <w:tr w:rsidR="00F95D07" w:rsidRPr="001455DC" w14:paraId="6564E6B4" w14:textId="3F874EFB" w:rsidTr="0066200C">
        <w:trPr>
          <w:cantSplit/>
        </w:trPr>
        <w:tc>
          <w:tcPr>
            <w:tcW w:w="1418" w:type="dxa"/>
            <w:shd w:val="clear" w:color="auto" w:fill="auto"/>
          </w:tcPr>
          <w:p w14:paraId="61C9FCFB" w14:textId="77777777" w:rsidR="00F95D07" w:rsidRPr="009D3012" w:rsidRDefault="00F95D07" w:rsidP="00F95D07">
            <w:pPr>
              <w:pStyle w:val="Tablebody"/>
              <w:rPr>
                <w:rStyle w:val="CCMCvariableitalic"/>
              </w:rPr>
            </w:pPr>
            <w:r w:rsidRPr="009D3012">
              <w:rPr>
                <w:lang w:eastAsia="de-DE"/>
              </w:rPr>
              <w:t>1/</w:t>
            </w:r>
            <w:r w:rsidRPr="001455DC">
              <w:rPr>
                <w:rStyle w:val="CCMCvariableitalic"/>
              </w:rPr>
              <w:t>r</w:t>
            </w:r>
          </w:p>
        </w:tc>
        <w:tc>
          <w:tcPr>
            <w:tcW w:w="6548" w:type="dxa"/>
            <w:shd w:val="clear" w:color="auto" w:fill="auto"/>
          </w:tcPr>
          <w:p w14:paraId="1CFB07BF" w14:textId="77777777" w:rsidR="00F95D07" w:rsidRPr="001455DC" w:rsidRDefault="00F95D07" w:rsidP="000250B6">
            <w:pPr>
              <w:pStyle w:val="Tablebody"/>
              <w:jc w:val="left"/>
              <w:rPr>
                <w:lang w:eastAsia="de-DE"/>
              </w:rPr>
            </w:pPr>
            <w:r w:rsidRPr="001455DC">
              <w:rPr>
                <w:lang w:eastAsia="de-DE"/>
              </w:rPr>
              <w:t>Curvature at a particular section</w:t>
            </w:r>
          </w:p>
        </w:tc>
        <w:tc>
          <w:tcPr>
            <w:tcW w:w="1984" w:type="dxa"/>
          </w:tcPr>
          <w:p w14:paraId="44EDD544" w14:textId="68DE073D" w:rsidR="00F95D07" w:rsidRPr="001455DC" w:rsidRDefault="00F95D07" w:rsidP="00F95D07">
            <w:pPr>
              <w:pStyle w:val="Tablebody"/>
              <w:rPr>
                <w:lang w:eastAsia="de-DE"/>
              </w:rPr>
            </w:pPr>
            <w:r w:rsidRPr="009D3012">
              <w:rPr>
                <w:lang w:eastAsia="de-DE"/>
              </w:rPr>
              <w:t>O.7.2(3), O.7.3(1)</w:t>
            </w:r>
          </w:p>
        </w:tc>
      </w:tr>
      <w:tr w:rsidR="00F95D07" w:rsidRPr="001455DC" w14:paraId="5CCE30EB" w14:textId="731B629F" w:rsidTr="0066200C">
        <w:trPr>
          <w:cantSplit/>
        </w:trPr>
        <w:tc>
          <w:tcPr>
            <w:tcW w:w="1418" w:type="dxa"/>
            <w:shd w:val="clear" w:color="auto" w:fill="auto"/>
          </w:tcPr>
          <w:p w14:paraId="6AF369B2" w14:textId="77777777" w:rsidR="00F95D07" w:rsidRPr="009D3012" w:rsidRDefault="00F95D07" w:rsidP="00F95D07">
            <w:pPr>
              <w:pStyle w:val="Tablebody"/>
              <w:rPr>
                <w:rStyle w:val="CCMCvariableitalic"/>
              </w:rPr>
            </w:pPr>
            <w:r w:rsidRPr="001455DC">
              <w:rPr>
                <w:rStyle w:val="CCMCvariableitalic"/>
              </w:rPr>
              <w:t>s</w:t>
            </w:r>
          </w:p>
        </w:tc>
        <w:tc>
          <w:tcPr>
            <w:tcW w:w="6548" w:type="dxa"/>
            <w:shd w:val="clear" w:color="auto" w:fill="auto"/>
          </w:tcPr>
          <w:p w14:paraId="172AB77F" w14:textId="77777777" w:rsidR="00F95D07" w:rsidRPr="001455DC" w:rsidRDefault="00F95D07" w:rsidP="000250B6">
            <w:pPr>
              <w:pStyle w:val="Tablebody"/>
              <w:jc w:val="left"/>
              <w:rPr>
                <w:bCs/>
                <w:lang w:eastAsia="de-DE"/>
              </w:rPr>
            </w:pPr>
            <w:r w:rsidRPr="001455DC">
              <w:rPr>
                <w:bCs/>
                <w:lang w:eastAsia="de-DE"/>
              </w:rPr>
              <w:t>Spacing of the shear reinforcement or confinement reinforcement measured along the longitudinal axis of the member;</w:t>
            </w:r>
          </w:p>
        </w:tc>
        <w:tc>
          <w:tcPr>
            <w:tcW w:w="1984" w:type="dxa"/>
          </w:tcPr>
          <w:p w14:paraId="7CA3748E" w14:textId="28C8A0E7" w:rsidR="00F95D07" w:rsidRPr="001455DC" w:rsidRDefault="00F95D07" w:rsidP="00F95D07">
            <w:pPr>
              <w:pStyle w:val="Tablebody"/>
              <w:rPr>
                <w:bCs/>
                <w:lang w:eastAsia="de-DE"/>
              </w:rPr>
            </w:pPr>
            <w:r w:rsidRPr="009D3012">
              <w:rPr>
                <w:lang w:eastAsia="de-DE"/>
              </w:rPr>
              <w:t>8.1.4(3), 8.2.3(4), 12.1.1(2)</w:t>
            </w:r>
            <w:r w:rsidRPr="009D3012">
              <w:rPr>
                <w:rFonts w:eastAsia="Calibri" w:cs="Arial"/>
              </w:rPr>
              <w:t xml:space="preserve"> </w:t>
            </w:r>
          </w:p>
        </w:tc>
      </w:tr>
      <w:tr w:rsidR="00F95D07" w:rsidRPr="001455DC" w14:paraId="259E2555" w14:textId="25BB6319" w:rsidTr="0066200C">
        <w:trPr>
          <w:cantSplit/>
        </w:trPr>
        <w:tc>
          <w:tcPr>
            <w:tcW w:w="1418" w:type="dxa"/>
            <w:shd w:val="clear" w:color="auto" w:fill="auto"/>
          </w:tcPr>
          <w:p w14:paraId="6D378089" w14:textId="77777777" w:rsidR="00F95D07" w:rsidRPr="009D3012" w:rsidRDefault="00F95D07" w:rsidP="00F95D07">
            <w:pPr>
              <w:pStyle w:val="Tablebody"/>
              <w:rPr>
                <w:rStyle w:val="CCMCvariableitalic"/>
              </w:rPr>
            </w:pPr>
            <w:r w:rsidRPr="001455DC">
              <w:rPr>
                <w:rStyle w:val="CCMCvariableitalic"/>
              </w:rPr>
              <w:t>s</w:t>
            </w:r>
            <w:r w:rsidRPr="001455DC">
              <w:rPr>
                <w:rStyle w:val="CCMCvariablesubscript"/>
              </w:rPr>
              <w:t>C</w:t>
            </w:r>
          </w:p>
        </w:tc>
        <w:tc>
          <w:tcPr>
            <w:tcW w:w="6548" w:type="dxa"/>
            <w:shd w:val="clear" w:color="auto" w:fill="auto"/>
          </w:tcPr>
          <w:p w14:paraId="054AE775" w14:textId="77777777" w:rsidR="00F95D07" w:rsidRPr="001455DC" w:rsidRDefault="00F95D07" w:rsidP="000250B6">
            <w:pPr>
              <w:pStyle w:val="Tablebody"/>
              <w:jc w:val="left"/>
              <w:rPr>
                <w:bCs/>
                <w:lang w:eastAsia="de-DE"/>
              </w:rPr>
            </w:pPr>
            <w:r w:rsidRPr="001455DC">
              <w:t>Coefficient for different early strength development of concrete and concrete strength</w:t>
            </w:r>
          </w:p>
        </w:tc>
        <w:tc>
          <w:tcPr>
            <w:tcW w:w="1984" w:type="dxa"/>
          </w:tcPr>
          <w:p w14:paraId="20D58522" w14:textId="33D18D6B" w:rsidR="00F95D07" w:rsidRPr="001455DC" w:rsidRDefault="00F95D07" w:rsidP="00F95D07">
            <w:pPr>
              <w:pStyle w:val="Tablebody"/>
            </w:pPr>
            <w:r w:rsidRPr="009D3012">
              <w:rPr>
                <w:rFonts w:eastAsia="Calibri" w:cs="Arial"/>
              </w:rPr>
              <w:t>Table B.2</w:t>
            </w:r>
          </w:p>
        </w:tc>
      </w:tr>
      <w:tr w:rsidR="00F95D07" w:rsidRPr="001455DC" w14:paraId="3D0A320B" w14:textId="3A613508" w:rsidTr="0066200C">
        <w:trPr>
          <w:cantSplit/>
        </w:trPr>
        <w:tc>
          <w:tcPr>
            <w:tcW w:w="1418" w:type="dxa"/>
            <w:shd w:val="clear" w:color="auto" w:fill="auto"/>
          </w:tcPr>
          <w:p w14:paraId="3F0AFFB3" w14:textId="77777777" w:rsidR="00F95D07" w:rsidRPr="009D3012" w:rsidRDefault="00F95D07" w:rsidP="00F95D07">
            <w:pPr>
              <w:pStyle w:val="Tablebody"/>
              <w:rPr>
                <w:rStyle w:val="CCMCvariableitalic"/>
              </w:rPr>
            </w:pPr>
            <w:r w:rsidRPr="001455DC">
              <w:rPr>
                <w:rStyle w:val="CCMCvariableitalic"/>
              </w:rPr>
              <w:t>s</w:t>
            </w:r>
            <w:r w:rsidRPr="001455DC">
              <w:rPr>
                <w:rStyle w:val="CCMCvariablesubscript"/>
              </w:rPr>
              <w:t>l</w:t>
            </w:r>
          </w:p>
        </w:tc>
        <w:tc>
          <w:tcPr>
            <w:tcW w:w="6548" w:type="dxa"/>
            <w:shd w:val="clear" w:color="auto" w:fill="auto"/>
          </w:tcPr>
          <w:p w14:paraId="24005D5B" w14:textId="77777777" w:rsidR="00F95D07" w:rsidRPr="001455DC" w:rsidRDefault="00F95D07" w:rsidP="000250B6">
            <w:pPr>
              <w:pStyle w:val="Tablebody"/>
              <w:jc w:val="left"/>
            </w:pPr>
            <w:r w:rsidRPr="001455DC">
              <w:t>Centre-to-centre spacing of longitudinal bars</w:t>
            </w:r>
          </w:p>
        </w:tc>
        <w:tc>
          <w:tcPr>
            <w:tcW w:w="1984" w:type="dxa"/>
          </w:tcPr>
          <w:p w14:paraId="3E3C38EA" w14:textId="092B1100" w:rsidR="00F95D07" w:rsidRPr="001455DC" w:rsidRDefault="00F95D07" w:rsidP="00F95D07">
            <w:pPr>
              <w:pStyle w:val="Tablebody"/>
            </w:pPr>
            <w:r w:rsidRPr="009D3012">
              <w:rPr>
                <w:lang w:eastAsia="de-DE"/>
              </w:rPr>
              <w:t>9.2.3 (1)</w:t>
            </w:r>
          </w:p>
        </w:tc>
      </w:tr>
      <w:tr w:rsidR="00F95D07" w:rsidRPr="001455DC" w14:paraId="088F435D" w14:textId="27604E03" w:rsidTr="0066200C">
        <w:trPr>
          <w:cantSplit/>
        </w:trPr>
        <w:tc>
          <w:tcPr>
            <w:tcW w:w="1418" w:type="dxa"/>
            <w:shd w:val="clear" w:color="auto" w:fill="auto"/>
          </w:tcPr>
          <w:p w14:paraId="4B2E9C7F" w14:textId="77777777" w:rsidR="00F95D07" w:rsidRPr="009D3012" w:rsidRDefault="00F95D07" w:rsidP="00F95D07">
            <w:pPr>
              <w:pStyle w:val="Tablebody"/>
              <w:rPr>
                <w:rStyle w:val="CCMCvariableitalic"/>
              </w:rPr>
            </w:pPr>
            <w:r w:rsidRPr="001455DC">
              <w:rPr>
                <w:rStyle w:val="CCMCvariableitalic"/>
              </w:rPr>
              <w:t>s</w:t>
            </w:r>
            <w:r w:rsidRPr="001455DC">
              <w:rPr>
                <w:rStyle w:val="CCMCvariablesubscript"/>
              </w:rPr>
              <w:t>max,bu</w:t>
            </w:r>
          </w:p>
        </w:tc>
        <w:tc>
          <w:tcPr>
            <w:tcW w:w="6548" w:type="dxa"/>
            <w:shd w:val="clear" w:color="auto" w:fill="auto"/>
          </w:tcPr>
          <w:p w14:paraId="56369F6F" w14:textId="77777777" w:rsidR="00F95D07" w:rsidRPr="001455DC" w:rsidRDefault="00F95D07" w:rsidP="000250B6">
            <w:pPr>
              <w:pStyle w:val="Tablebody"/>
              <w:jc w:val="left"/>
            </w:pPr>
            <w:r w:rsidRPr="001455DC">
              <w:t>Maximum longitudinal spacing of bent-up bars</w:t>
            </w:r>
          </w:p>
        </w:tc>
        <w:tc>
          <w:tcPr>
            <w:tcW w:w="1984" w:type="dxa"/>
          </w:tcPr>
          <w:p w14:paraId="349D9D3C" w14:textId="5437D948" w:rsidR="00F95D07" w:rsidRPr="001455DC" w:rsidRDefault="00F95D07" w:rsidP="00F95D07">
            <w:pPr>
              <w:pStyle w:val="Tablebody"/>
            </w:pPr>
            <w:r w:rsidRPr="009D3012">
              <w:rPr>
                <w:lang w:eastAsia="de-DE"/>
              </w:rPr>
              <w:t>12.2.1(2)</w:t>
            </w:r>
          </w:p>
        </w:tc>
      </w:tr>
      <w:tr w:rsidR="00F95D07" w:rsidRPr="001455DC" w14:paraId="2AA1D2DA" w14:textId="1DA5DFF7" w:rsidTr="0066200C">
        <w:trPr>
          <w:cantSplit/>
        </w:trPr>
        <w:tc>
          <w:tcPr>
            <w:tcW w:w="1418" w:type="dxa"/>
            <w:shd w:val="clear" w:color="auto" w:fill="auto"/>
          </w:tcPr>
          <w:p w14:paraId="7B17F8AF" w14:textId="77777777" w:rsidR="00F95D07" w:rsidRPr="009D3012" w:rsidRDefault="00F95D07" w:rsidP="00F95D07">
            <w:pPr>
              <w:pStyle w:val="Tablebody"/>
              <w:rPr>
                <w:rStyle w:val="CCMCvariableitalic"/>
              </w:rPr>
            </w:pPr>
            <w:r w:rsidRPr="001455DC">
              <w:rPr>
                <w:rStyle w:val="CCMCvariableitalic"/>
              </w:rPr>
              <w:t>s</w:t>
            </w:r>
            <w:r w:rsidRPr="001455DC">
              <w:rPr>
                <w:rStyle w:val="CCMCvariablesubscript"/>
              </w:rPr>
              <w:t>max.col</w:t>
            </w:r>
          </w:p>
        </w:tc>
        <w:tc>
          <w:tcPr>
            <w:tcW w:w="6548" w:type="dxa"/>
            <w:shd w:val="clear" w:color="auto" w:fill="auto"/>
          </w:tcPr>
          <w:p w14:paraId="61AC50BA" w14:textId="77777777" w:rsidR="00F95D07" w:rsidRPr="001455DC" w:rsidRDefault="00F95D07" w:rsidP="000250B6">
            <w:pPr>
              <w:pStyle w:val="Tablebody"/>
              <w:jc w:val="left"/>
            </w:pPr>
            <w:r w:rsidRPr="001455DC">
              <w:t>Maximum spacing of transverse reinforcement along the column</w:t>
            </w:r>
          </w:p>
        </w:tc>
        <w:tc>
          <w:tcPr>
            <w:tcW w:w="1984" w:type="dxa"/>
          </w:tcPr>
          <w:p w14:paraId="7F8DC00C" w14:textId="7D978667" w:rsidR="00F95D07" w:rsidRPr="001455DC" w:rsidRDefault="00F95D07" w:rsidP="00F95D07">
            <w:pPr>
              <w:pStyle w:val="Tablebody"/>
            </w:pPr>
            <w:r w:rsidRPr="009D3012">
              <w:rPr>
                <w:lang w:eastAsia="de-DE"/>
              </w:rPr>
              <w:t>12.5.2(1)</w:t>
            </w:r>
          </w:p>
        </w:tc>
      </w:tr>
      <w:tr w:rsidR="00F95D07" w:rsidRPr="001455DC" w14:paraId="1DCAAC34" w14:textId="7C0D8AD6" w:rsidTr="0066200C">
        <w:trPr>
          <w:cantSplit/>
        </w:trPr>
        <w:tc>
          <w:tcPr>
            <w:tcW w:w="1418" w:type="dxa"/>
            <w:shd w:val="clear" w:color="auto" w:fill="auto"/>
          </w:tcPr>
          <w:p w14:paraId="1D22C286" w14:textId="77777777" w:rsidR="00F95D07" w:rsidRPr="009D3012" w:rsidRDefault="00F95D07" w:rsidP="00F95D07">
            <w:pPr>
              <w:pStyle w:val="Tablebody"/>
              <w:rPr>
                <w:rStyle w:val="CCMCvariableitalic"/>
              </w:rPr>
            </w:pPr>
            <w:r w:rsidRPr="001455DC">
              <w:rPr>
                <w:rStyle w:val="CCMCvariableitalic"/>
              </w:rPr>
              <w:t>s</w:t>
            </w:r>
            <w:r w:rsidRPr="001455DC">
              <w:rPr>
                <w:rStyle w:val="CCMCvariablesubscript"/>
              </w:rPr>
              <w:t>max,l</w:t>
            </w:r>
          </w:p>
        </w:tc>
        <w:tc>
          <w:tcPr>
            <w:tcW w:w="6548" w:type="dxa"/>
            <w:shd w:val="clear" w:color="auto" w:fill="auto"/>
          </w:tcPr>
          <w:p w14:paraId="598D538A" w14:textId="77777777" w:rsidR="00F95D07" w:rsidRPr="001455DC" w:rsidRDefault="00F95D07" w:rsidP="000250B6">
            <w:pPr>
              <w:pStyle w:val="Tablebody"/>
              <w:jc w:val="left"/>
              <w:rPr>
                <w:bCs/>
                <w:lang w:eastAsia="de-DE"/>
              </w:rPr>
            </w:pPr>
            <w:r w:rsidRPr="001455DC">
              <w:t>Maximum longitudinal spacing of shear assemblies/stirrups</w:t>
            </w:r>
          </w:p>
        </w:tc>
        <w:tc>
          <w:tcPr>
            <w:tcW w:w="1984" w:type="dxa"/>
          </w:tcPr>
          <w:p w14:paraId="2E9424F6" w14:textId="390C2929" w:rsidR="00F95D07" w:rsidRPr="001455DC" w:rsidRDefault="00F95D07" w:rsidP="00F95D07">
            <w:pPr>
              <w:pStyle w:val="Tablebody"/>
            </w:pPr>
            <w:r w:rsidRPr="009D3012">
              <w:rPr>
                <w:lang w:eastAsia="de-DE"/>
              </w:rPr>
              <w:t>12.2.1(2)</w:t>
            </w:r>
          </w:p>
        </w:tc>
      </w:tr>
      <w:tr w:rsidR="00F95D07" w:rsidRPr="001455DC" w14:paraId="2D0896F7" w14:textId="045AB688" w:rsidTr="0066200C">
        <w:trPr>
          <w:cantSplit/>
        </w:trPr>
        <w:tc>
          <w:tcPr>
            <w:tcW w:w="1418" w:type="dxa"/>
            <w:shd w:val="clear" w:color="auto" w:fill="auto"/>
          </w:tcPr>
          <w:p w14:paraId="033CFCEB" w14:textId="77777777" w:rsidR="00F95D07" w:rsidRPr="009D3012" w:rsidRDefault="00F95D07" w:rsidP="00F95D07">
            <w:pPr>
              <w:pStyle w:val="Tablebody"/>
              <w:rPr>
                <w:rStyle w:val="CCMCvariableitalic"/>
              </w:rPr>
            </w:pPr>
            <w:r w:rsidRPr="001455DC">
              <w:rPr>
                <w:rStyle w:val="CCMCvariableitalic"/>
              </w:rPr>
              <w:t>s</w:t>
            </w:r>
            <w:r w:rsidRPr="001455DC">
              <w:rPr>
                <w:rStyle w:val="CCMCvariablesubscript"/>
              </w:rPr>
              <w:t>max,slab</w:t>
            </w:r>
          </w:p>
        </w:tc>
        <w:tc>
          <w:tcPr>
            <w:tcW w:w="6548" w:type="dxa"/>
            <w:shd w:val="clear" w:color="auto" w:fill="auto"/>
          </w:tcPr>
          <w:p w14:paraId="55BF756C" w14:textId="77777777" w:rsidR="00F95D07" w:rsidRPr="001455DC" w:rsidRDefault="00F95D07" w:rsidP="000250B6">
            <w:pPr>
              <w:pStyle w:val="Tablebody"/>
              <w:jc w:val="left"/>
            </w:pPr>
            <w:r w:rsidRPr="001455DC">
              <w:t>Maximum spacing of bars for slabs</w:t>
            </w:r>
          </w:p>
        </w:tc>
        <w:tc>
          <w:tcPr>
            <w:tcW w:w="1984" w:type="dxa"/>
          </w:tcPr>
          <w:p w14:paraId="2719259F" w14:textId="2293DA98" w:rsidR="00F95D07" w:rsidRPr="001455DC" w:rsidRDefault="00F95D07" w:rsidP="00F95D07">
            <w:pPr>
              <w:pStyle w:val="Tablebody"/>
            </w:pPr>
            <w:r w:rsidRPr="009D3012">
              <w:rPr>
                <w:lang w:eastAsia="de-DE"/>
              </w:rPr>
              <w:t>12.3.1(1)</w:t>
            </w:r>
          </w:p>
        </w:tc>
      </w:tr>
      <w:tr w:rsidR="00F95D07" w:rsidRPr="001455DC" w14:paraId="0A96A549" w14:textId="0AC510AB" w:rsidTr="0066200C">
        <w:trPr>
          <w:cantSplit/>
        </w:trPr>
        <w:tc>
          <w:tcPr>
            <w:tcW w:w="1418" w:type="dxa"/>
            <w:shd w:val="clear" w:color="auto" w:fill="auto"/>
          </w:tcPr>
          <w:p w14:paraId="3D944D55" w14:textId="77777777" w:rsidR="00F95D07" w:rsidRPr="009D3012" w:rsidRDefault="00F95D07" w:rsidP="00F95D07">
            <w:pPr>
              <w:pStyle w:val="Tablebody"/>
              <w:rPr>
                <w:rStyle w:val="CCMCvariableitalic"/>
              </w:rPr>
            </w:pPr>
            <w:r w:rsidRPr="001455DC">
              <w:rPr>
                <w:rStyle w:val="CCMCvariableitalic"/>
              </w:rPr>
              <w:t>s</w:t>
            </w:r>
            <w:r w:rsidRPr="001455DC">
              <w:rPr>
                <w:rStyle w:val="CCMCvariablesubscript"/>
              </w:rPr>
              <w:t>max,tr</w:t>
            </w:r>
          </w:p>
        </w:tc>
        <w:tc>
          <w:tcPr>
            <w:tcW w:w="6548" w:type="dxa"/>
            <w:shd w:val="clear" w:color="auto" w:fill="auto"/>
          </w:tcPr>
          <w:p w14:paraId="7D679A48" w14:textId="77777777" w:rsidR="00F95D07" w:rsidRPr="001455DC" w:rsidRDefault="00F95D07" w:rsidP="000250B6">
            <w:pPr>
              <w:pStyle w:val="Tablebody"/>
              <w:jc w:val="left"/>
            </w:pPr>
            <w:r w:rsidRPr="001455DC">
              <w:t>Maximum transverse spacing of shear legs</w:t>
            </w:r>
          </w:p>
        </w:tc>
        <w:tc>
          <w:tcPr>
            <w:tcW w:w="1984" w:type="dxa"/>
          </w:tcPr>
          <w:p w14:paraId="451D23AC" w14:textId="1D35C4C0" w:rsidR="00F95D07" w:rsidRPr="001455DC" w:rsidRDefault="00F95D07" w:rsidP="00F95D07">
            <w:pPr>
              <w:pStyle w:val="Tablebody"/>
            </w:pPr>
            <w:r w:rsidRPr="009D3012">
              <w:rPr>
                <w:lang w:eastAsia="de-DE"/>
              </w:rPr>
              <w:t>12.2.1(2)</w:t>
            </w:r>
          </w:p>
        </w:tc>
      </w:tr>
      <w:tr w:rsidR="00F95D07" w:rsidRPr="001455DC" w14:paraId="5490B4D6" w14:textId="09EE5621" w:rsidTr="0066200C">
        <w:trPr>
          <w:cantSplit/>
        </w:trPr>
        <w:tc>
          <w:tcPr>
            <w:tcW w:w="1418" w:type="dxa"/>
            <w:shd w:val="clear" w:color="auto" w:fill="auto"/>
          </w:tcPr>
          <w:p w14:paraId="504F8F00" w14:textId="77777777" w:rsidR="00F95D07" w:rsidRPr="009D3012" w:rsidRDefault="00F95D07" w:rsidP="00F95D07">
            <w:pPr>
              <w:pStyle w:val="Tablebody"/>
              <w:rPr>
                <w:rStyle w:val="CCMCvariableitalic"/>
              </w:rPr>
            </w:pPr>
            <w:r w:rsidRPr="001455DC">
              <w:rPr>
                <w:rStyle w:val="CCMCvariableitalic"/>
              </w:rPr>
              <w:t>s</w:t>
            </w:r>
            <w:r w:rsidRPr="001455DC">
              <w:rPr>
                <w:rStyle w:val="CCMCvariablesubscript"/>
              </w:rPr>
              <w:t>r</w:t>
            </w:r>
          </w:p>
        </w:tc>
        <w:tc>
          <w:tcPr>
            <w:tcW w:w="6548" w:type="dxa"/>
            <w:shd w:val="clear" w:color="auto" w:fill="auto"/>
          </w:tcPr>
          <w:p w14:paraId="172DD6A8" w14:textId="77777777" w:rsidR="00F95D07" w:rsidRPr="001455DC" w:rsidRDefault="00F95D07" w:rsidP="000250B6">
            <w:pPr>
              <w:pStyle w:val="Tablebody"/>
              <w:jc w:val="left"/>
              <w:rPr>
                <w:bCs/>
                <w:lang w:eastAsia="de-DE"/>
              </w:rPr>
            </w:pPr>
            <w:r w:rsidRPr="001455DC">
              <w:rPr>
                <w:bCs/>
                <w:lang w:eastAsia="de-DE"/>
              </w:rPr>
              <w:t>Spacing of shear links in the radial direction</w:t>
            </w:r>
          </w:p>
        </w:tc>
        <w:tc>
          <w:tcPr>
            <w:tcW w:w="1984" w:type="dxa"/>
          </w:tcPr>
          <w:p w14:paraId="176ADEE5" w14:textId="32C9B0D3" w:rsidR="00F95D07" w:rsidRPr="001455DC" w:rsidRDefault="00F95D07" w:rsidP="00F95D07">
            <w:pPr>
              <w:pStyle w:val="Tablebody"/>
              <w:rPr>
                <w:bCs/>
                <w:lang w:eastAsia="de-DE"/>
              </w:rPr>
            </w:pPr>
            <w:r w:rsidRPr="009D3012">
              <w:rPr>
                <w:lang w:eastAsia="de-DE"/>
              </w:rPr>
              <w:t>12.4.2(3)</w:t>
            </w:r>
          </w:p>
        </w:tc>
      </w:tr>
      <w:tr w:rsidR="00F95D07" w:rsidRPr="001455DC" w14:paraId="0CD14091" w14:textId="79F5C5CA" w:rsidTr="0066200C">
        <w:trPr>
          <w:cantSplit/>
        </w:trPr>
        <w:tc>
          <w:tcPr>
            <w:tcW w:w="1418" w:type="dxa"/>
            <w:shd w:val="clear" w:color="auto" w:fill="auto"/>
          </w:tcPr>
          <w:p w14:paraId="4E764C5C" w14:textId="7977CBCE" w:rsidR="00F95D07" w:rsidRPr="001455DC" w:rsidRDefault="00F95D07">
            <w:pPr>
              <w:pStyle w:val="Tablebody"/>
              <w:rPr>
                <w:rStyle w:val="CCMCvariableitalic"/>
                <w:rFonts w:eastAsia="Calibri" w:cs="Times New Roman"/>
                <w:szCs w:val="22"/>
                <w:lang w:eastAsia="en-US"/>
              </w:rPr>
            </w:pPr>
            <w:r w:rsidRPr="001455DC">
              <w:rPr>
                <w:rStyle w:val="CCMCvariableitalic"/>
              </w:rPr>
              <w:t>s</w:t>
            </w:r>
            <w:r w:rsidRPr="001455DC">
              <w:rPr>
                <w:rStyle w:val="CCMCvariablesubscript"/>
              </w:rPr>
              <w:t>r,m,cal</w:t>
            </w:r>
          </w:p>
        </w:tc>
        <w:tc>
          <w:tcPr>
            <w:tcW w:w="6548" w:type="dxa"/>
            <w:shd w:val="clear" w:color="auto" w:fill="auto"/>
          </w:tcPr>
          <w:p w14:paraId="2B5C3E5D" w14:textId="40596AB9" w:rsidR="00F95D07" w:rsidRPr="001455DC" w:rsidRDefault="00F95D07" w:rsidP="000250B6">
            <w:pPr>
              <w:pStyle w:val="Tablebody"/>
              <w:jc w:val="left"/>
              <w:rPr>
                <w:bCs/>
                <w:lang w:eastAsia="de-DE"/>
              </w:rPr>
            </w:pPr>
            <w:r w:rsidRPr="001455DC">
              <w:rPr>
                <w:rFonts w:cs="Arial"/>
                <w:bCs/>
                <w:lang w:eastAsia="de-DE"/>
              </w:rPr>
              <w:t xml:space="preserve">Calculated </w:t>
            </w:r>
            <w:r w:rsidRPr="009D3012">
              <w:rPr>
                <w:rFonts w:cs="Arial"/>
                <w:bCs/>
                <w:lang w:eastAsia="de-DE"/>
              </w:rPr>
              <w:t>mean</w:t>
            </w:r>
            <w:r w:rsidRPr="001455DC">
              <w:rPr>
                <w:rFonts w:cs="Arial"/>
                <w:bCs/>
                <w:lang w:eastAsia="de-DE"/>
              </w:rPr>
              <w:t xml:space="preserve"> crack spacing </w:t>
            </w:r>
            <w:r w:rsidRPr="009D3012">
              <w:rPr>
                <w:rFonts w:cs="Arial"/>
                <w:bCs/>
                <w:lang w:eastAsia="de-DE"/>
              </w:rPr>
              <w:t>when all cracks have formed or where not all cracks have formed, the maximum length along which there is slip between concrete and steel adjacent to a crack</w:t>
            </w:r>
          </w:p>
        </w:tc>
        <w:tc>
          <w:tcPr>
            <w:tcW w:w="1984" w:type="dxa"/>
          </w:tcPr>
          <w:p w14:paraId="64B1C4FA" w14:textId="6A4DDF6D" w:rsidR="00F95D07" w:rsidRPr="001455DC" w:rsidRDefault="00F95D07" w:rsidP="009D3012">
            <w:pPr>
              <w:pStyle w:val="Tablebody"/>
              <w:jc w:val="left"/>
              <w:rPr>
                <w:bCs/>
                <w:lang w:eastAsia="de-DE"/>
              </w:rPr>
            </w:pPr>
            <w:r w:rsidRPr="009D3012">
              <w:rPr>
                <w:rFonts w:cs="Arial"/>
              </w:rPr>
              <w:t xml:space="preserve">7.3.2, </w:t>
            </w:r>
            <w:r w:rsidRPr="009D3012">
              <w:rPr>
                <w:lang w:eastAsia="de-DE"/>
              </w:rPr>
              <w:t>9.2.4(2), 9.2.4(5)</w:t>
            </w:r>
          </w:p>
        </w:tc>
      </w:tr>
      <w:tr w:rsidR="00B84FDB" w:rsidRPr="001455DC" w14:paraId="266DD0F9" w14:textId="12DE888F" w:rsidTr="0066200C">
        <w:trPr>
          <w:cantSplit/>
        </w:trPr>
        <w:tc>
          <w:tcPr>
            <w:tcW w:w="1418" w:type="dxa"/>
            <w:shd w:val="clear" w:color="auto" w:fill="auto"/>
          </w:tcPr>
          <w:p w14:paraId="52A6B8CA" w14:textId="416022C2" w:rsidR="00B84FDB" w:rsidRPr="001455DC" w:rsidRDefault="00B84FDB">
            <w:pPr>
              <w:pStyle w:val="Tablebody"/>
              <w:rPr>
                <w:rStyle w:val="CCMCvariableitalic"/>
                <w:rFonts w:eastAsia="Calibri" w:cs="Times New Roman"/>
                <w:szCs w:val="22"/>
                <w:lang w:eastAsia="en-US"/>
              </w:rPr>
            </w:pPr>
            <w:r w:rsidRPr="001455DC">
              <w:rPr>
                <w:rStyle w:val="CCMCvariableitalic"/>
              </w:rPr>
              <w:t>s</w:t>
            </w:r>
            <w:r w:rsidRPr="001455DC">
              <w:rPr>
                <w:rStyle w:val="CCMCvariablesubscript"/>
              </w:rPr>
              <w:t>r,m,cal,x</w:t>
            </w:r>
          </w:p>
        </w:tc>
        <w:tc>
          <w:tcPr>
            <w:tcW w:w="6548" w:type="dxa"/>
            <w:shd w:val="clear" w:color="auto" w:fill="auto"/>
          </w:tcPr>
          <w:p w14:paraId="610C0D79" w14:textId="71F059F0" w:rsidR="00B84FDB" w:rsidRPr="001455DC" w:rsidRDefault="00B84FDB" w:rsidP="000250B6">
            <w:pPr>
              <w:pStyle w:val="Tablebody"/>
              <w:jc w:val="left"/>
              <w:rPr>
                <w:bCs/>
                <w:lang w:eastAsia="de-DE"/>
              </w:rPr>
            </w:pPr>
            <w:r w:rsidRPr="001455DC">
              <w:rPr>
                <w:rFonts w:cs="Arial"/>
                <w:bCs/>
                <w:lang w:eastAsia="de-DE"/>
              </w:rPr>
              <w:t xml:space="preserve">Calculated </w:t>
            </w:r>
            <w:r w:rsidRPr="009D3012">
              <w:rPr>
                <w:rFonts w:cs="Arial"/>
                <w:bCs/>
                <w:lang w:eastAsia="de-DE"/>
              </w:rPr>
              <w:t>mean</w:t>
            </w:r>
            <w:r w:rsidRPr="001455DC">
              <w:rPr>
                <w:rFonts w:cs="Arial"/>
                <w:bCs/>
                <w:lang w:eastAsia="de-DE"/>
              </w:rPr>
              <w:t xml:space="preserve"> crack spacing in the </w:t>
            </w:r>
            <w:r w:rsidRPr="001455DC">
              <w:rPr>
                <w:rFonts w:cs="Arial"/>
                <w:bCs/>
                <w:i/>
                <w:lang w:eastAsia="de-DE"/>
              </w:rPr>
              <w:t>x</w:t>
            </w:r>
            <w:r w:rsidRPr="001455DC">
              <w:rPr>
                <w:rFonts w:cs="Arial"/>
                <w:bCs/>
                <w:lang w:eastAsia="de-DE"/>
              </w:rPr>
              <w:t xml:space="preserve"> direction</w:t>
            </w:r>
          </w:p>
        </w:tc>
        <w:tc>
          <w:tcPr>
            <w:tcW w:w="1984" w:type="dxa"/>
          </w:tcPr>
          <w:p w14:paraId="7E299257" w14:textId="726935D3" w:rsidR="00B84FDB" w:rsidRPr="001455DC" w:rsidRDefault="00B84FDB" w:rsidP="00B84FDB">
            <w:pPr>
              <w:pStyle w:val="Tablebody"/>
              <w:rPr>
                <w:bCs/>
                <w:lang w:eastAsia="de-DE"/>
              </w:rPr>
            </w:pPr>
            <w:r w:rsidRPr="009D3012">
              <w:rPr>
                <w:lang w:eastAsia="de-DE"/>
              </w:rPr>
              <w:t>G.</w:t>
            </w:r>
            <w:r w:rsidR="008D35BC" w:rsidRPr="009D3012">
              <w:rPr>
                <w:lang w:eastAsia="de-DE"/>
              </w:rPr>
              <w:t>5</w:t>
            </w:r>
          </w:p>
        </w:tc>
      </w:tr>
      <w:tr w:rsidR="00B84FDB" w:rsidRPr="001455DC" w14:paraId="37CAEFD3" w14:textId="1BDFFCE2" w:rsidTr="0066200C">
        <w:trPr>
          <w:cantSplit/>
        </w:trPr>
        <w:tc>
          <w:tcPr>
            <w:tcW w:w="1418" w:type="dxa"/>
            <w:shd w:val="clear" w:color="auto" w:fill="auto"/>
          </w:tcPr>
          <w:p w14:paraId="5DF69727" w14:textId="2CB74606" w:rsidR="00B84FDB" w:rsidRPr="001455DC" w:rsidRDefault="00B84FDB">
            <w:pPr>
              <w:pStyle w:val="Tablebody"/>
              <w:rPr>
                <w:rStyle w:val="CCMCvariableitalic"/>
                <w:rFonts w:eastAsia="Calibri" w:cs="Times New Roman"/>
                <w:szCs w:val="22"/>
                <w:lang w:eastAsia="en-US"/>
              </w:rPr>
            </w:pPr>
            <w:r w:rsidRPr="001455DC">
              <w:rPr>
                <w:rStyle w:val="CCMCvariableitalic"/>
              </w:rPr>
              <w:t>s</w:t>
            </w:r>
            <w:r w:rsidRPr="001455DC">
              <w:rPr>
                <w:rStyle w:val="CCMCvariablesubscript"/>
              </w:rPr>
              <w:t>r,m,cal,y</w:t>
            </w:r>
          </w:p>
        </w:tc>
        <w:tc>
          <w:tcPr>
            <w:tcW w:w="6548" w:type="dxa"/>
            <w:shd w:val="clear" w:color="auto" w:fill="auto"/>
          </w:tcPr>
          <w:p w14:paraId="5811A3EF" w14:textId="54120C19" w:rsidR="00B84FDB" w:rsidRPr="001455DC" w:rsidRDefault="00B84FDB" w:rsidP="000250B6">
            <w:pPr>
              <w:pStyle w:val="Tablebody"/>
              <w:jc w:val="left"/>
              <w:rPr>
                <w:bCs/>
                <w:lang w:eastAsia="de-DE"/>
              </w:rPr>
            </w:pPr>
            <w:r w:rsidRPr="001455DC">
              <w:rPr>
                <w:rFonts w:cs="Arial"/>
                <w:bCs/>
                <w:lang w:eastAsia="de-DE"/>
              </w:rPr>
              <w:t xml:space="preserve">Calculated </w:t>
            </w:r>
            <w:r w:rsidRPr="009D3012">
              <w:rPr>
                <w:rFonts w:cs="Arial"/>
                <w:bCs/>
                <w:lang w:eastAsia="de-DE"/>
              </w:rPr>
              <w:t>mean</w:t>
            </w:r>
            <w:r w:rsidRPr="001455DC">
              <w:rPr>
                <w:rFonts w:cs="Arial"/>
                <w:bCs/>
                <w:lang w:eastAsia="de-DE"/>
              </w:rPr>
              <w:t xml:space="preserve"> crack spacing in the </w:t>
            </w:r>
            <w:r w:rsidRPr="001455DC">
              <w:rPr>
                <w:rFonts w:cs="Arial"/>
                <w:bCs/>
                <w:i/>
                <w:lang w:eastAsia="de-DE"/>
              </w:rPr>
              <w:t>y</w:t>
            </w:r>
            <w:r w:rsidRPr="001455DC">
              <w:rPr>
                <w:rFonts w:cs="Arial"/>
                <w:bCs/>
                <w:lang w:eastAsia="de-DE"/>
              </w:rPr>
              <w:t xml:space="preserve"> direction</w:t>
            </w:r>
          </w:p>
        </w:tc>
        <w:tc>
          <w:tcPr>
            <w:tcW w:w="1984" w:type="dxa"/>
          </w:tcPr>
          <w:p w14:paraId="7AF52584" w14:textId="6C4887C6" w:rsidR="00B84FDB" w:rsidRPr="001455DC" w:rsidRDefault="00B84FDB" w:rsidP="00B84FDB">
            <w:pPr>
              <w:pStyle w:val="Tablebody"/>
              <w:rPr>
                <w:bCs/>
                <w:lang w:eastAsia="de-DE"/>
              </w:rPr>
            </w:pPr>
            <w:r w:rsidRPr="009D3012">
              <w:rPr>
                <w:lang w:eastAsia="de-DE"/>
              </w:rPr>
              <w:t>G.</w:t>
            </w:r>
            <w:r w:rsidR="008D35BC" w:rsidRPr="009D3012">
              <w:rPr>
                <w:lang w:eastAsia="de-DE"/>
              </w:rPr>
              <w:t>5</w:t>
            </w:r>
          </w:p>
        </w:tc>
      </w:tr>
      <w:tr w:rsidR="00B84FDB" w:rsidRPr="001455DC" w14:paraId="53E5AA64" w14:textId="29AD3ABB" w:rsidTr="0066200C">
        <w:trPr>
          <w:cantSplit/>
        </w:trPr>
        <w:tc>
          <w:tcPr>
            <w:tcW w:w="1418" w:type="dxa"/>
            <w:shd w:val="clear" w:color="auto" w:fill="auto"/>
          </w:tcPr>
          <w:p w14:paraId="7F5F4FFC" w14:textId="77777777" w:rsidR="00B84FDB" w:rsidRPr="009D3012" w:rsidRDefault="00B84FDB" w:rsidP="00B84FDB">
            <w:pPr>
              <w:pStyle w:val="Tablebody"/>
              <w:rPr>
                <w:rStyle w:val="CCMCvariableitalic"/>
              </w:rPr>
            </w:pPr>
            <w:r w:rsidRPr="001455DC">
              <w:rPr>
                <w:rStyle w:val="CCMCvariableitalic"/>
              </w:rPr>
              <w:t>s</w:t>
            </w:r>
            <w:r w:rsidRPr="001455DC">
              <w:rPr>
                <w:rStyle w:val="CCMCvariablesubscript"/>
              </w:rPr>
              <w:t>t</w:t>
            </w:r>
          </w:p>
        </w:tc>
        <w:tc>
          <w:tcPr>
            <w:tcW w:w="6548" w:type="dxa"/>
            <w:shd w:val="clear" w:color="auto" w:fill="auto"/>
          </w:tcPr>
          <w:p w14:paraId="068C6AB1" w14:textId="77777777" w:rsidR="00B84FDB" w:rsidRPr="001455DC" w:rsidRDefault="00B84FDB" w:rsidP="000250B6">
            <w:pPr>
              <w:pStyle w:val="Tablebody"/>
              <w:jc w:val="left"/>
              <w:rPr>
                <w:bCs/>
                <w:lang w:eastAsia="de-DE"/>
              </w:rPr>
            </w:pPr>
            <w:r w:rsidRPr="001455DC">
              <w:t>Spacing of shear links in the tangential direction</w:t>
            </w:r>
          </w:p>
        </w:tc>
        <w:tc>
          <w:tcPr>
            <w:tcW w:w="1984" w:type="dxa"/>
          </w:tcPr>
          <w:p w14:paraId="75B2E27C" w14:textId="1566B1A0" w:rsidR="00B84FDB" w:rsidRPr="001455DC" w:rsidRDefault="00B84FDB" w:rsidP="00B84FDB">
            <w:pPr>
              <w:pStyle w:val="Tablebody"/>
            </w:pPr>
            <w:r w:rsidRPr="009D3012">
              <w:rPr>
                <w:lang w:eastAsia="de-DE"/>
              </w:rPr>
              <w:t>12.4.2(3)</w:t>
            </w:r>
          </w:p>
        </w:tc>
      </w:tr>
      <w:tr w:rsidR="00B84FDB" w:rsidRPr="001455DC" w14:paraId="1039AF73" w14:textId="6AA7A4FB" w:rsidTr="0066200C">
        <w:trPr>
          <w:cantSplit/>
        </w:trPr>
        <w:tc>
          <w:tcPr>
            <w:tcW w:w="1418" w:type="dxa"/>
            <w:shd w:val="clear" w:color="auto" w:fill="auto"/>
          </w:tcPr>
          <w:p w14:paraId="2CC6B0F8" w14:textId="77777777" w:rsidR="00B84FDB" w:rsidRPr="009D3012" w:rsidRDefault="00B84FDB" w:rsidP="00B84FDB">
            <w:pPr>
              <w:pStyle w:val="Tablebody"/>
              <w:rPr>
                <w:rStyle w:val="CCMCvariableitalic"/>
              </w:rPr>
            </w:pPr>
            <w:r w:rsidRPr="001455DC">
              <w:rPr>
                <w:rStyle w:val="CCMCvariableitalic"/>
              </w:rPr>
              <w:t>t</w:t>
            </w:r>
          </w:p>
        </w:tc>
        <w:tc>
          <w:tcPr>
            <w:tcW w:w="6548" w:type="dxa"/>
            <w:shd w:val="clear" w:color="auto" w:fill="auto"/>
          </w:tcPr>
          <w:p w14:paraId="5D7FF07C" w14:textId="77777777" w:rsidR="00B84FDB" w:rsidRPr="001455DC" w:rsidRDefault="00B84FDB" w:rsidP="000250B6">
            <w:pPr>
              <w:pStyle w:val="Tablebody"/>
              <w:jc w:val="left"/>
              <w:rPr>
                <w:lang w:eastAsia="de-DE"/>
              </w:rPr>
            </w:pPr>
            <w:r w:rsidRPr="001455DC">
              <w:rPr>
                <w:lang w:eastAsia="de-DE"/>
              </w:rPr>
              <w:t>Thickness</w:t>
            </w:r>
          </w:p>
        </w:tc>
        <w:tc>
          <w:tcPr>
            <w:tcW w:w="1984" w:type="dxa"/>
          </w:tcPr>
          <w:p w14:paraId="3C712DCA" w14:textId="1FB911D5" w:rsidR="00B84FDB" w:rsidRPr="001455DC" w:rsidRDefault="00B84FDB" w:rsidP="00B84FDB">
            <w:pPr>
              <w:pStyle w:val="Tablebody"/>
              <w:rPr>
                <w:lang w:eastAsia="de-DE"/>
              </w:rPr>
            </w:pPr>
            <w:r w:rsidRPr="009D3012">
              <w:rPr>
                <w:lang w:eastAsia="de-DE"/>
              </w:rPr>
              <w:t>8.5.2(2)</w:t>
            </w:r>
          </w:p>
        </w:tc>
      </w:tr>
      <w:tr w:rsidR="00B84FDB" w:rsidRPr="001455DC" w14:paraId="1D68EAD9" w14:textId="5CF67AD8" w:rsidTr="0066200C">
        <w:trPr>
          <w:cantSplit/>
        </w:trPr>
        <w:tc>
          <w:tcPr>
            <w:tcW w:w="1418" w:type="dxa"/>
            <w:shd w:val="clear" w:color="auto" w:fill="auto"/>
          </w:tcPr>
          <w:p w14:paraId="100C7F8F" w14:textId="77777777" w:rsidR="00B84FDB" w:rsidRPr="009D3012" w:rsidRDefault="00B84FDB" w:rsidP="00B84FDB">
            <w:pPr>
              <w:pStyle w:val="Tablebody"/>
              <w:rPr>
                <w:rStyle w:val="CCMCvariableitalic"/>
              </w:rPr>
            </w:pPr>
            <w:r w:rsidRPr="001455DC">
              <w:rPr>
                <w:rStyle w:val="CCMCvariableitalic"/>
              </w:rPr>
              <w:t>t</w:t>
            </w:r>
          </w:p>
        </w:tc>
        <w:tc>
          <w:tcPr>
            <w:tcW w:w="6548" w:type="dxa"/>
            <w:shd w:val="clear" w:color="auto" w:fill="auto"/>
          </w:tcPr>
          <w:p w14:paraId="4A864DF1" w14:textId="77777777" w:rsidR="00B84FDB" w:rsidRPr="001455DC" w:rsidRDefault="00B84FDB" w:rsidP="000250B6">
            <w:pPr>
              <w:pStyle w:val="Tablebody"/>
              <w:jc w:val="left"/>
              <w:rPr>
                <w:lang w:eastAsia="de-DE"/>
              </w:rPr>
            </w:pPr>
            <w:r w:rsidRPr="001455DC">
              <w:rPr>
                <w:lang w:eastAsia="de-DE"/>
              </w:rPr>
              <w:t>Time being considered, age of the concrete in days</w:t>
            </w:r>
          </w:p>
        </w:tc>
        <w:tc>
          <w:tcPr>
            <w:tcW w:w="1984" w:type="dxa"/>
          </w:tcPr>
          <w:p w14:paraId="76D38FD9" w14:textId="77777777" w:rsidR="00B84FDB" w:rsidRPr="001455DC" w:rsidRDefault="00B84FDB" w:rsidP="00B84FDB">
            <w:pPr>
              <w:pStyle w:val="Tablebody"/>
              <w:rPr>
                <w:lang w:eastAsia="de-DE"/>
              </w:rPr>
            </w:pPr>
          </w:p>
        </w:tc>
      </w:tr>
      <w:tr w:rsidR="00B84FDB" w:rsidRPr="001455DC" w14:paraId="4364DE8C" w14:textId="2D4280CD" w:rsidTr="0066200C">
        <w:trPr>
          <w:cantSplit/>
        </w:trPr>
        <w:tc>
          <w:tcPr>
            <w:tcW w:w="1418" w:type="dxa"/>
            <w:shd w:val="clear" w:color="auto" w:fill="auto"/>
          </w:tcPr>
          <w:p w14:paraId="5D064792" w14:textId="77777777" w:rsidR="00B84FDB" w:rsidRPr="009D3012" w:rsidRDefault="00B84FDB" w:rsidP="00B84FDB">
            <w:pPr>
              <w:pStyle w:val="Tablebody"/>
              <w:rPr>
                <w:rStyle w:val="CCMCvariableitalic"/>
              </w:rPr>
            </w:pPr>
            <w:r w:rsidRPr="001455DC">
              <w:rPr>
                <w:rStyle w:val="CCMCvariableitalic"/>
              </w:rPr>
              <w:t>t</w:t>
            </w:r>
            <w:r w:rsidRPr="001455DC">
              <w:rPr>
                <w:rStyle w:val="CCMCvariablesubscript"/>
              </w:rPr>
              <w:t>0</w:t>
            </w:r>
          </w:p>
        </w:tc>
        <w:tc>
          <w:tcPr>
            <w:tcW w:w="6548" w:type="dxa"/>
            <w:shd w:val="clear" w:color="auto" w:fill="auto"/>
          </w:tcPr>
          <w:p w14:paraId="54F4837B" w14:textId="77777777" w:rsidR="00B84FDB" w:rsidRPr="001455DC" w:rsidRDefault="00B84FDB" w:rsidP="000250B6">
            <w:pPr>
              <w:pStyle w:val="Tablebody"/>
              <w:jc w:val="left"/>
              <w:rPr>
                <w:lang w:eastAsia="de-DE"/>
              </w:rPr>
            </w:pPr>
            <w:r w:rsidRPr="001455DC">
              <w:rPr>
                <w:lang w:eastAsia="de-DE"/>
              </w:rPr>
              <w:t>Age of concrete when the event under consideration occurs (prestressing, settlement, start of drying, loading age)</w:t>
            </w:r>
          </w:p>
        </w:tc>
        <w:tc>
          <w:tcPr>
            <w:tcW w:w="1984" w:type="dxa"/>
          </w:tcPr>
          <w:p w14:paraId="6B5413CF" w14:textId="4388F5ED" w:rsidR="00B84FDB" w:rsidRPr="001455DC" w:rsidRDefault="00B84FDB" w:rsidP="0066200C">
            <w:pPr>
              <w:pStyle w:val="Tablebody"/>
              <w:rPr>
                <w:lang w:eastAsia="de-DE"/>
              </w:rPr>
            </w:pPr>
            <w:r w:rsidRPr="009D3012">
              <w:rPr>
                <w:lang w:eastAsia="de-DE"/>
              </w:rPr>
              <w:t>7.4(6), 7.4(7), 7.8.2(2), 7.10.4(2), B.</w:t>
            </w:r>
            <w:r w:rsidR="007D653E" w:rsidRPr="009D3012">
              <w:rPr>
                <w:lang w:eastAsia="de-DE"/>
              </w:rPr>
              <w:t>4</w:t>
            </w:r>
            <w:r w:rsidRPr="009D3012">
              <w:rPr>
                <w:lang w:eastAsia="de-DE"/>
              </w:rPr>
              <w:t xml:space="preserve">, </w:t>
            </w:r>
          </w:p>
        </w:tc>
      </w:tr>
      <w:tr w:rsidR="00B84FDB" w:rsidRPr="001455DC" w14:paraId="4E583695" w14:textId="1388D627" w:rsidTr="0066200C">
        <w:trPr>
          <w:cantSplit/>
        </w:trPr>
        <w:tc>
          <w:tcPr>
            <w:tcW w:w="1418" w:type="dxa"/>
            <w:shd w:val="clear" w:color="auto" w:fill="auto"/>
          </w:tcPr>
          <w:p w14:paraId="0FBA8B09" w14:textId="77777777" w:rsidR="00B84FDB" w:rsidRPr="009D3012" w:rsidRDefault="00B84FDB" w:rsidP="00B84FDB">
            <w:pPr>
              <w:pStyle w:val="Tablebody"/>
              <w:rPr>
                <w:rStyle w:val="CCMCvariableitalic"/>
              </w:rPr>
            </w:pPr>
            <w:r w:rsidRPr="001455DC">
              <w:rPr>
                <w:rStyle w:val="CCMCvariableitalic"/>
              </w:rPr>
              <w:t>t</w:t>
            </w:r>
            <w:r w:rsidRPr="001455DC">
              <w:rPr>
                <w:rStyle w:val="CCMCvariablesubscript"/>
              </w:rPr>
              <w:t>0,adj</w:t>
            </w:r>
          </w:p>
        </w:tc>
        <w:tc>
          <w:tcPr>
            <w:tcW w:w="6548" w:type="dxa"/>
            <w:shd w:val="clear" w:color="auto" w:fill="auto"/>
          </w:tcPr>
          <w:p w14:paraId="02749A83" w14:textId="77777777" w:rsidR="00B84FDB" w:rsidRPr="001455DC" w:rsidRDefault="00B84FDB" w:rsidP="000250B6">
            <w:pPr>
              <w:pStyle w:val="Tablebody"/>
              <w:jc w:val="left"/>
              <w:rPr>
                <w:lang w:eastAsia="de-DE"/>
              </w:rPr>
            </w:pPr>
            <w:r w:rsidRPr="001455DC">
              <w:rPr>
                <w:lang w:eastAsia="de-DE"/>
              </w:rPr>
              <w:t>Concrete age at loading adjusted for strength class of cement and temperature</w:t>
            </w:r>
          </w:p>
        </w:tc>
        <w:tc>
          <w:tcPr>
            <w:tcW w:w="1984" w:type="dxa"/>
          </w:tcPr>
          <w:p w14:paraId="038C43A7" w14:textId="0037F652" w:rsidR="00B84FDB" w:rsidRPr="001455DC" w:rsidRDefault="00B84FDB" w:rsidP="0066200C">
            <w:pPr>
              <w:pStyle w:val="Tablebody"/>
              <w:rPr>
                <w:lang w:eastAsia="de-DE"/>
              </w:rPr>
            </w:pPr>
            <w:r w:rsidRPr="009D3012">
              <w:rPr>
                <w:lang w:eastAsia="de-DE"/>
              </w:rPr>
              <w:t>B.</w:t>
            </w:r>
            <w:r w:rsidR="007D653E" w:rsidRPr="009D3012">
              <w:rPr>
                <w:lang w:eastAsia="de-DE"/>
              </w:rPr>
              <w:t>4</w:t>
            </w:r>
            <w:r w:rsidRPr="009D3012">
              <w:rPr>
                <w:lang w:eastAsia="de-DE"/>
              </w:rPr>
              <w:t>(2)</w:t>
            </w:r>
          </w:p>
        </w:tc>
      </w:tr>
      <w:tr w:rsidR="00B84FDB" w:rsidRPr="001455DC" w14:paraId="624C729E" w14:textId="370C1AF6" w:rsidTr="0066200C">
        <w:trPr>
          <w:cantSplit/>
        </w:trPr>
        <w:tc>
          <w:tcPr>
            <w:tcW w:w="1418" w:type="dxa"/>
            <w:shd w:val="clear" w:color="auto" w:fill="auto"/>
          </w:tcPr>
          <w:p w14:paraId="2932C54E" w14:textId="77777777" w:rsidR="00B84FDB" w:rsidRPr="009D3012" w:rsidRDefault="00B84FDB" w:rsidP="00B84FDB">
            <w:pPr>
              <w:pStyle w:val="Tablebody"/>
              <w:rPr>
                <w:rStyle w:val="CCMCvariableitalic"/>
              </w:rPr>
            </w:pPr>
            <w:r w:rsidRPr="001455DC">
              <w:rPr>
                <w:rStyle w:val="CCMCvariableitalic"/>
              </w:rPr>
              <w:t>t</w:t>
            </w:r>
            <w:r w:rsidRPr="001455DC">
              <w:rPr>
                <w:rStyle w:val="CCMCvariablesubscript"/>
              </w:rPr>
              <w:t>0,T</w:t>
            </w:r>
          </w:p>
        </w:tc>
        <w:tc>
          <w:tcPr>
            <w:tcW w:w="6548" w:type="dxa"/>
            <w:shd w:val="clear" w:color="auto" w:fill="auto"/>
          </w:tcPr>
          <w:p w14:paraId="1BC7FD48" w14:textId="77777777" w:rsidR="00B84FDB" w:rsidRPr="001455DC" w:rsidRDefault="00B84FDB" w:rsidP="000250B6">
            <w:pPr>
              <w:pStyle w:val="Tablebody"/>
              <w:jc w:val="left"/>
              <w:rPr>
                <w:lang w:eastAsia="de-DE"/>
              </w:rPr>
            </w:pPr>
            <w:r w:rsidRPr="001455DC">
              <w:rPr>
                <w:lang w:eastAsia="de-DE"/>
              </w:rPr>
              <w:t>Temperature-adjusted concrete age at loading</w:t>
            </w:r>
          </w:p>
        </w:tc>
        <w:tc>
          <w:tcPr>
            <w:tcW w:w="1984" w:type="dxa"/>
          </w:tcPr>
          <w:p w14:paraId="6673192B" w14:textId="195EEA86" w:rsidR="00B84FDB" w:rsidRPr="001455DC" w:rsidRDefault="00B84FDB" w:rsidP="0066200C">
            <w:pPr>
              <w:pStyle w:val="Tablebody"/>
              <w:rPr>
                <w:lang w:eastAsia="de-DE"/>
              </w:rPr>
            </w:pPr>
            <w:r w:rsidRPr="009D3012">
              <w:rPr>
                <w:lang w:eastAsia="de-DE"/>
              </w:rPr>
              <w:t>B.</w:t>
            </w:r>
            <w:r w:rsidR="007D653E" w:rsidRPr="009D3012">
              <w:rPr>
                <w:lang w:eastAsia="de-DE"/>
              </w:rPr>
              <w:t>4</w:t>
            </w:r>
            <w:r w:rsidRPr="009D3012">
              <w:rPr>
                <w:lang w:eastAsia="de-DE"/>
              </w:rPr>
              <w:t>(2)</w:t>
            </w:r>
          </w:p>
        </w:tc>
      </w:tr>
      <w:tr w:rsidR="00B84FDB" w:rsidRPr="000250B6" w14:paraId="3111ED35" w14:textId="68998399" w:rsidTr="0066200C">
        <w:trPr>
          <w:cantSplit/>
        </w:trPr>
        <w:tc>
          <w:tcPr>
            <w:tcW w:w="1418" w:type="dxa"/>
            <w:shd w:val="clear" w:color="auto" w:fill="auto"/>
          </w:tcPr>
          <w:p w14:paraId="29D611D5" w14:textId="77777777" w:rsidR="00B84FDB" w:rsidRPr="009D3012" w:rsidRDefault="00B84FDB" w:rsidP="00B84FDB">
            <w:pPr>
              <w:pStyle w:val="Tablebody"/>
              <w:rPr>
                <w:rStyle w:val="CCMCvariableitalic"/>
              </w:rPr>
            </w:pPr>
            <w:r w:rsidRPr="001455DC">
              <w:rPr>
                <w:rStyle w:val="CCMCvariableitalic"/>
              </w:rPr>
              <w:t>t</w:t>
            </w:r>
            <w:r w:rsidRPr="001455DC">
              <w:rPr>
                <w:rStyle w:val="CCMCvariablesubscript"/>
              </w:rPr>
              <w:t>1</w:t>
            </w:r>
          </w:p>
        </w:tc>
        <w:tc>
          <w:tcPr>
            <w:tcW w:w="6548" w:type="dxa"/>
            <w:shd w:val="clear" w:color="auto" w:fill="auto"/>
          </w:tcPr>
          <w:p w14:paraId="1476EA94" w14:textId="77777777" w:rsidR="00B84FDB" w:rsidRPr="001455DC" w:rsidRDefault="00B84FDB" w:rsidP="000250B6">
            <w:pPr>
              <w:pStyle w:val="Tablebody"/>
              <w:jc w:val="left"/>
              <w:rPr>
                <w:lang w:eastAsia="de-DE"/>
              </w:rPr>
            </w:pPr>
            <w:r w:rsidRPr="001455DC">
              <w:rPr>
                <w:lang w:eastAsia="de-DE"/>
              </w:rPr>
              <w:t>Time when the maximum concrete temperature due to heat hydration is reached</w:t>
            </w:r>
          </w:p>
        </w:tc>
        <w:tc>
          <w:tcPr>
            <w:tcW w:w="1984" w:type="dxa"/>
          </w:tcPr>
          <w:p w14:paraId="645A83E2" w14:textId="53670661" w:rsidR="00B84FDB" w:rsidRPr="003F0CF8" w:rsidRDefault="00B84FDB">
            <w:pPr>
              <w:pStyle w:val="Tablebody"/>
              <w:rPr>
                <w:lang w:val="fr-CH" w:eastAsia="de-DE"/>
              </w:rPr>
            </w:pPr>
            <w:r w:rsidRPr="009D3012">
              <w:rPr>
                <w:lang w:val="fr-FR" w:eastAsia="de-DE"/>
              </w:rPr>
              <w:t>D.</w:t>
            </w:r>
            <w:r w:rsidR="008B0767" w:rsidRPr="001455DC">
              <w:rPr>
                <w:lang w:val="fr-FR" w:eastAsia="de-DE"/>
              </w:rPr>
              <w:t>3</w:t>
            </w:r>
            <w:r w:rsidRPr="009D3012">
              <w:rPr>
                <w:lang w:val="fr-FR" w:eastAsia="de-DE"/>
              </w:rPr>
              <w:t>(4), Figure D1, Figure D.2</w:t>
            </w:r>
          </w:p>
        </w:tc>
      </w:tr>
      <w:tr w:rsidR="00B84FDB" w:rsidRPr="000250B6" w14:paraId="2FCEC6C8" w14:textId="7F82663D" w:rsidTr="0066200C">
        <w:trPr>
          <w:cantSplit/>
        </w:trPr>
        <w:tc>
          <w:tcPr>
            <w:tcW w:w="1418" w:type="dxa"/>
            <w:shd w:val="clear" w:color="auto" w:fill="auto"/>
          </w:tcPr>
          <w:p w14:paraId="17C5E1FF" w14:textId="77777777" w:rsidR="00B84FDB" w:rsidRPr="009D3012" w:rsidRDefault="00B84FDB" w:rsidP="00B84FDB">
            <w:pPr>
              <w:pStyle w:val="Tablebody"/>
              <w:rPr>
                <w:rStyle w:val="CCMCvariableitalic"/>
              </w:rPr>
            </w:pPr>
            <w:r w:rsidRPr="001455DC">
              <w:rPr>
                <w:rStyle w:val="CCMCvariableitalic"/>
              </w:rPr>
              <w:t>t</w:t>
            </w:r>
            <w:r w:rsidRPr="001455DC">
              <w:rPr>
                <w:rStyle w:val="CCMCvariablesubscript"/>
              </w:rPr>
              <w:t>2</w:t>
            </w:r>
          </w:p>
        </w:tc>
        <w:tc>
          <w:tcPr>
            <w:tcW w:w="6548" w:type="dxa"/>
            <w:shd w:val="clear" w:color="auto" w:fill="auto"/>
          </w:tcPr>
          <w:p w14:paraId="1D7BC204" w14:textId="77777777" w:rsidR="00B84FDB" w:rsidRPr="001455DC" w:rsidRDefault="00B84FDB" w:rsidP="000250B6">
            <w:pPr>
              <w:pStyle w:val="Tablebody"/>
              <w:jc w:val="left"/>
              <w:rPr>
                <w:lang w:eastAsia="de-DE"/>
              </w:rPr>
            </w:pPr>
            <w:r w:rsidRPr="001455DC">
              <w:t>Time when concrete starts to develop tensile stresses</w:t>
            </w:r>
          </w:p>
        </w:tc>
        <w:tc>
          <w:tcPr>
            <w:tcW w:w="1984" w:type="dxa"/>
          </w:tcPr>
          <w:p w14:paraId="48993D01" w14:textId="326C9546" w:rsidR="00B84FDB" w:rsidRPr="003F0CF8" w:rsidRDefault="00B84FDB">
            <w:pPr>
              <w:pStyle w:val="Tablebody"/>
              <w:rPr>
                <w:lang w:val="fr-CH"/>
              </w:rPr>
            </w:pPr>
            <w:r w:rsidRPr="009D3012">
              <w:rPr>
                <w:lang w:val="fr-FR" w:eastAsia="de-DE"/>
              </w:rPr>
              <w:t>D.</w:t>
            </w:r>
            <w:r w:rsidR="008B0767" w:rsidRPr="001455DC">
              <w:rPr>
                <w:lang w:val="fr-FR" w:eastAsia="de-DE"/>
              </w:rPr>
              <w:t>3</w:t>
            </w:r>
            <w:r w:rsidRPr="009D3012">
              <w:rPr>
                <w:lang w:val="fr-FR" w:eastAsia="de-DE"/>
              </w:rPr>
              <w:t>(4), Figure D1, Figure D.2</w:t>
            </w:r>
          </w:p>
        </w:tc>
      </w:tr>
      <w:tr w:rsidR="00B84FDB" w:rsidRPr="001455DC" w14:paraId="68326DD7" w14:textId="39C6192B" w:rsidTr="0066200C">
        <w:trPr>
          <w:cantSplit/>
        </w:trPr>
        <w:tc>
          <w:tcPr>
            <w:tcW w:w="1418" w:type="dxa"/>
            <w:shd w:val="clear" w:color="auto" w:fill="auto"/>
          </w:tcPr>
          <w:p w14:paraId="2AACAA65" w14:textId="77777777" w:rsidR="00B84FDB" w:rsidRPr="009D3012" w:rsidRDefault="00B84FDB" w:rsidP="00B84FDB">
            <w:pPr>
              <w:pStyle w:val="Tablebody"/>
              <w:rPr>
                <w:rStyle w:val="CCMCvariableitalic"/>
              </w:rPr>
            </w:pPr>
            <w:r w:rsidRPr="001455DC">
              <w:rPr>
                <w:rStyle w:val="CCMCvariableitalic"/>
              </w:rPr>
              <w:t>t</w:t>
            </w:r>
            <w:r w:rsidRPr="001455DC">
              <w:rPr>
                <w:rStyle w:val="CCMCvariablesubscript"/>
              </w:rPr>
              <w:t>c</w:t>
            </w:r>
          </w:p>
        </w:tc>
        <w:tc>
          <w:tcPr>
            <w:tcW w:w="6548" w:type="dxa"/>
            <w:shd w:val="clear" w:color="auto" w:fill="auto"/>
          </w:tcPr>
          <w:p w14:paraId="3D119FF6" w14:textId="77777777" w:rsidR="00B84FDB" w:rsidRPr="001455DC" w:rsidRDefault="00B84FDB" w:rsidP="000250B6">
            <w:pPr>
              <w:pStyle w:val="Tablebody"/>
              <w:jc w:val="left"/>
              <w:rPr>
                <w:lang w:eastAsia="de-DE"/>
              </w:rPr>
            </w:pPr>
            <w:r w:rsidRPr="001455DC">
              <w:rPr>
                <w:lang w:eastAsia="de-DE"/>
              </w:rPr>
              <w:t>Age of concrete when support conditions change</w:t>
            </w:r>
          </w:p>
        </w:tc>
        <w:tc>
          <w:tcPr>
            <w:tcW w:w="1984" w:type="dxa"/>
          </w:tcPr>
          <w:p w14:paraId="7FC05D3C" w14:textId="05A3512C" w:rsidR="00B84FDB" w:rsidRPr="001455DC" w:rsidRDefault="00B84FDB" w:rsidP="00B84FDB">
            <w:pPr>
              <w:pStyle w:val="Tablebody"/>
              <w:rPr>
                <w:lang w:eastAsia="de-DE"/>
              </w:rPr>
            </w:pPr>
            <w:r w:rsidRPr="009D3012">
              <w:rPr>
                <w:lang w:eastAsia="de-DE"/>
              </w:rPr>
              <w:t>7.4 (7)</w:t>
            </w:r>
          </w:p>
        </w:tc>
      </w:tr>
      <w:tr w:rsidR="00B84FDB" w:rsidRPr="000250B6" w14:paraId="6422552D" w14:textId="11C5C61A" w:rsidTr="0066200C">
        <w:trPr>
          <w:cantSplit/>
        </w:trPr>
        <w:tc>
          <w:tcPr>
            <w:tcW w:w="1418" w:type="dxa"/>
            <w:shd w:val="clear" w:color="auto" w:fill="auto"/>
          </w:tcPr>
          <w:p w14:paraId="71ACCA43" w14:textId="77777777" w:rsidR="00B84FDB" w:rsidRPr="009D3012" w:rsidRDefault="00B84FDB" w:rsidP="00B84FDB">
            <w:pPr>
              <w:pStyle w:val="Tablebody"/>
              <w:rPr>
                <w:rStyle w:val="CCMCvariableitalic"/>
              </w:rPr>
            </w:pPr>
            <w:r w:rsidRPr="001455DC">
              <w:rPr>
                <w:rStyle w:val="CCMCvariableitalic"/>
              </w:rPr>
              <w:t>t</w:t>
            </w:r>
            <w:r w:rsidRPr="001455DC">
              <w:rPr>
                <w:rStyle w:val="CCMCvariablesubscript"/>
              </w:rPr>
              <w:t>crit</w:t>
            </w:r>
          </w:p>
        </w:tc>
        <w:tc>
          <w:tcPr>
            <w:tcW w:w="6548" w:type="dxa"/>
            <w:shd w:val="clear" w:color="auto" w:fill="auto"/>
          </w:tcPr>
          <w:p w14:paraId="0CD86188" w14:textId="03F3255A" w:rsidR="00B84FDB" w:rsidRPr="001455DC" w:rsidRDefault="00B84FDB" w:rsidP="000250B6">
            <w:pPr>
              <w:pStyle w:val="Tablebody"/>
              <w:jc w:val="left"/>
              <w:rPr>
                <w:lang w:eastAsia="de-DE"/>
              </w:rPr>
            </w:pPr>
            <w:r w:rsidRPr="001455DC">
              <w:rPr>
                <w:lang w:eastAsia="de-DE"/>
              </w:rPr>
              <w:t xml:space="preserve">Critical time for early-age cracking. Time at which </w:t>
            </w:r>
            <w:r w:rsidRPr="001455DC">
              <w:t>thermal equilibrium with the restraining structure is achieved (within 2 °C) and the greater part of basic shrinkage has already developed</w:t>
            </w:r>
          </w:p>
        </w:tc>
        <w:tc>
          <w:tcPr>
            <w:tcW w:w="1984" w:type="dxa"/>
          </w:tcPr>
          <w:p w14:paraId="6B4D9E4C" w14:textId="0AA776B3" w:rsidR="00B84FDB" w:rsidRPr="003F0CF8" w:rsidRDefault="00B84FDB">
            <w:pPr>
              <w:pStyle w:val="Tablebody"/>
              <w:rPr>
                <w:lang w:val="fr-CH" w:eastAsia="de-DE"/>
              </w:rPr>
            </w:pPr>
            <w:r w:rsidRPr="009D3012">
              <w:rPr>
                <w:lang w:val="fr-FR" w:eastAsia="de-DE"/>
              </w:rPr>
              <w:t>D.</w:t>
            </w:r>
            <w:r w:rsidR="008B0767" w:rsidRPr="001455DC">
              <w:rPr>
                <w:lang w:val="fr-FR" w:eastAsia="de-DE"/>
              </w:rPr>
              <w:t>3</w:t>
            </w:r>
            <w:r w:rsidRPr="009D3012">
              <w:rPr>
                <w:lang w:val="fr-FR" w:eastAsia="de-DE"/>
              </w:rPr>
              <w:t>(4), Figure D1, Figure D.2</w:t>
            </w:r>
          </w:p>
        </w:tc>
      </w:tr>
      <w:tr w:rsidR="00B84FDB" w:rsidRPr="000250B6" w14:paraId="41352DF0" w14:textId="1BBEB50F" w:rsidTr="0066200C">
        <w:trPr>
          <w:cantSplit/>
        </w:trPr>
        <w:tc>
          <w:tcPr>
            <w:tcW w:w="1418" w:type="dxa"/>
            <w:shd w:val="clear" w:color="auto" w:fill="auto"/>
          </w:tcPr>
          <w:p w14:paraId="142A9716" w14:textId="77777777" w:rsidR="00B84FDB" w:rsidRPr="009D3012" w:rsidRDefault="00B84FDB" w:rsidP="00B84FDB">
            <w:pPr>
              <w:pStyle w:val="Tablebody"/>
              <w:rPr>
                <w:rStyle w:val="CCMCvariableitalic"/>
              </w:rPr>
            </w:pPr>
            <w:r w:rsidRPr="001455DC">
              <w:rPr>
                <w:rStyle w:val="CCMCvariableitalic"/>
              </w:rPr>
              <w:t>t</w:t>
            </w:r>
            <w:r w:rsidRPr="001455DC">
              <w:rPr>
                <w:rStyle w:val="CCMCvariablesubscript"/>
              </w:rPr>
              <w:t>dor</w:t>
            </w:r>
          </w:p>
        </w:tc>
        <w:tc>
          <w:tcPr>
            <w:tcW w:w="6548" w:type="dxa"/>
            <w:shd w:val="clear" w:color="auto" w:fill="auto"/>
          </w:tcPr>
          <w:p w14:paraId="40F2E482" w14:textId="77777777" w:rsidR="00B84FDB" w:rsidRPr="001455DC" w:rsidRDefault="00B84FDB" w:rsidP="000250B6">
            <w:pPr>
              <w:pStyle w:val="Tablebody"/>
              <w:jc w:val="left"/>
              <w:rPr>
                <w:lang w:eastAsia="de-DE"/>
              </w:rPr>
            </w:pPr>
            <w:r w:rsidRPr="001455DC">
              <w:rPr>
                <w:lang w:eastAsia="de-DE"/>
              </w:rPr>
              <w:t>Dormant time, e.g. time from concreting until stresses begin to develop</w:t>
            </w:r>
          </w:p>
        </w:tc>
        <w:tc>
          <w:tcPr>
            <w:tcW w:w="1984" w:type="dxa"/>
          </w:tcPr>
          <w:p w14:paraId="7E34C634" w14:textId="55816374" w:rsidR="00B84FDB" w:rsidRPr="003F0CF8" w:rsidRDefault="00B84FDB">
            <w:pPr>
              <w:pStyle w:val="Tablebody"/>
              <w:rPr>
                <w:lang w:val="fr-CH" w:eastAsia="de-DE"/>
              </w:rPr>
            </w:pPr>
            <w:r w:rsidRPr="009D3012">
              <w:rPr>
                <w:lang w:val="fr-FR" w:eastAsia="de-DE"/>
              </w:rPr>
              <w:t>D.</w:t>
            </w:r>
            <w:r w:rsidR="008B0767" w:rsidRPr="001455DC">
              <w:rPr>
                <w:lang w:val="fr-FR" w:eastAsia="de-DE"/>
              </w:rPr>
              <w:t>4</w:t>
            </w:r>
            <w:r w:rsidRPr="009D3012">
              <w:rPr>
                <w:lang w:val="fr-FR" w:eastAsia="de-DE"/>
              </w:rPr>
              <w:t>.1(1), Figure D.1, Figure D.2</w:t>
            </w:r>
          </w:p>
        </w:tc>
      </w:tr>
      <w:tr w:rsidR="00B84FDB" w:rsidRPr="001455DC" w14:paraId="1FAFAE1D" w14:textId="49A4BD37" w:rsidTr="0066200C">
        <w:trPr>
          <w:cantSplit/>
        </w:trPr>
        <w:tc>
          <w:tcPr>
            <w:tcW w:w="1418" w:type="dxa"/>
            <w:shd w:val="clear" w:color="auto" w:fill="auto"/>
          </w:tcPr>
          <w:p w14:paraId="30301A71" w14:textId="77777777" w:rsidR="00B84FDB" w:rsidRPr="001455DC" w:rsidRDefault="00B84FDB" w:rsidP="00B84FDB">
            <w:pPr>
              <w:pStyle w:val="Tablebody"/>
              <w:rPr>
                <w:lang w:eastAsia="de-DE"/>
              </w:rPr>
            </w:pPr>
            <w:r w:rsidRPr="001455DC">
              <w:rPr>
                <w:rStyle w:val="CCMCvariableitalic"/>
              </w:rPr>
              <w:t>t</w:t>
            </w:r>
            <w:r w:rsidRPr="001455DC">
              <w:rPr>
                <w:rStyle w:val="CCMCvariablesubscript"/>
              </w:rPr>
              <w:t>ref</w:t>
            </w:r>
          </w:p>
        </w:tc>
        <w:tc>
          <w:tcPr>
            <w:tcW w:w="6548" w:type="dxa"/>
            <w:shd w:val="clear" w:color="auto" w:fill="auto"/>
          </w:tcPr>
          <w:p w14:paraId="40733B1D" w14:textId="77777777" w:rsidR="00B84FDB" w:rsidRPr="001455DC" w:rsidRDefault="00B84FDB" w:rsidP="000250B6">
            <w:pPr>
              <w:pStyle w:val="Tablebody"/>
              <w:jc w:val="left"/>
              <w:rPr>
                <w:lang w:eastAsia="de-DE"/>
              </w:rPr>
            </w:pPr>
            <w:r w:rsidRPr="001455DC">
              <w:rPr>
                <w:lang w:eastAsia="de-DE"/>
              </w:rPr>
              <w:t>Age of concrete at which the concrete strength is determined in days</w:t>
            </w:r>
          </w:p>
        </w:tc>
        <w:tc>
          <w:tcPr>
            <w:tcW w:w="1984" w:type="dxa"/>
          </w:tcPr>
          <w:p w14:paraId="4FFBB86D" w14:textId="6E83BD3F" w:rsidR="00B84FDB" w:rsidRPr="001455DC" w:rsidRDefault="00B84FDB" w:rsidP="00B84FDB">
            <w:pPr>
              <w:pStyle w:val="Tablebody"/>
              <w:rPr>
                <w:lang w:eastAsia="de-DE"/>
              </w:rPr>
            </w:pPr>
            <w:r w:rsidRPr="009D3012">
              <w:rPr>
                <w:lang w:eastAsia="de-DE"/>
              </w:rPr>
              <w:t>5.1.3(1)</w:t>
            </w:r>
          </w:p>
        </w:tc>
      </w:tr>
      <w:tr w:rsidR="00B84FDB" w:rsidRPr="001455DC" w14:paraId="5D7BA4F2" w14:textId="06DF1873" w:rsidTr="0066200C">
        <w:trPr>
          <w:cantSplit/>
        </w:trPr>
        <w:tc>
          <w:tcPr>
            <w:tcW w:w="1418" w:type="dxa"/>
            <w:shd w:val="clear" w:color="auto" w:fill="auto"/>
          </w:tcPr>
          <w:p w14:paraId="31B75B90" w14:textId="77777777" w:rsidR="00B84FDB" w:rsidRPr="009D3012" w:rsidRDefault="00B84FDB" w:rsidP="00B84FDB">
            <w:pPr>
              <w:pStyle w:val="Tablebody"/>
              <w:rPr>
                <w:rStyle w:val="CCMCvariableitalic"/>
              </w:rPr>
            </w:pPr>
            <w:r w:rsidRPr="001455DC">
              <w:rPr>
                <w:rStyle w:val="CCMCvariableitalic"/>
              </w:rPr>
              <w:t>t</w:t>
            </w:r>
            <w:r w:rsidRPr="001455DC">
              <w:rPr>
                <w:rStyle w:val="CCMCvariablesubscript"/>
              </w:rPr>
              <w:t>s</w:t>
            </w:r>
          </w:p>
        </w:tc>
        <w:tc>
          <w:tcPr>
            <w:tcW w:w="6548" w:type="dxa"/>
            <w:shd w:val="clear" w:color="auto" w:fill="auto"/>
          </w:tcPr>
          <w:p w14:paraId="624072A9" w14:textId="77777777" w:rsidR="00B84FDB" w:rsidRPr="001455DC" w:rsidRDefault="00B84FDB" w:rsidP="000250B6">
            <w:pPr>
              <w:pStyle w:val="Tablebody"/>
              <w:jc w:val="left"/>
              <w:rPr>
                <w:lang w:eastAsia="de-DE"/>
              </w:rPr>
            </w:pPr>
            <w:r w:rsidRPr="001455DC">
              <w:rPr>
                <w:lang w:eastAsia="de-DE"/>
              </w:rPr>
              <w:t xml:space="preserve">Age of concrete at the beginning of drying </w:t>
            </w:r>
          </w:p>
        </w:tc>
        <w:tc>
          <w:tcPr>
            <w:tcW w:w="1984" w:type="dxa"/>
          </w:tcPr>
          <w:p w14:paraId="37B9A801" w14:textId="380370DA" w:rsidR="00B84FDB" w:rsidRPr="001455DC" w:rsidRDefault="00B84FDB" w:rsidP="0066200C">
            <w:pPr>
              <w:pStyle w:val="Tablebody"/>
              <w:rPr>
                <w:lang w:eastAsia="de-DE"/>
              </w:rPr>
            </w:pPr>
            <w:r w:rsidRPr="009D3012">
              <w:rPr>
                <w:lang w:eastAsia="de-DE"/>
              </w:rPr>
              <w:t>B.</w:t>
            </w:r>
            <w:r w:rsidR="001A17A7" w:rsidRPr="009D3012">
              <w:rPr>
                <w:lang w:eastAsia="de-DE"/>
              </w:rPr>
              <w:t>5</w:t>
            </w:r>
            <w:r w:rsidRPr="009D3012">
              <w:rPr>
                <w:lang w:eastAsia="de-DE"/>
              </w:rPr>
              <w:t>(1)</w:t>
            </w:r>
          </w:p>
        </w:tc>
      </w:tr>
      <w:tr w:rsidR="00B84FDB" w:rsidRPr="001455DC" w14:paraId="09BF64E2" w14:textId="686EF8FD" w:rsidTr="0066200C">
        <w:trPr>
          <w:cantSplit/>
        </w:trPr>
        <w:tc>
          <w:tcPr>
            <w:tcW w:w="1418" w:type="dxa"/>
            <w:shd w:val="clear" w:color="auto" w:fill="auto"/>
          </w:tcPr>
          <w:p w14:paraId="6B73B2CD" w14:textId="77777777" w:rsidR="00B84FDB" w:rsidRPr="009D3012" w:rsidRDefault="00B84FDB" w:rsidP="00B84FDB">
            <w:pPr>
              <w:pStyle w:val="Tablebody"/>
              <w:rPr>
                <w:rStyle w:val="CCMCvariableitalic"/>
              </w:rPr>
            </w:pPr>
            <w:r w:rsidRPr="001455DC">
              <w:rPr>
                <w:rStyle w:val="CCMCvariableitalic"/>
              </w:rPr>
              <w:t>t</w:t>
            </w:r>
            <w:r w:rsidRPr="001455DC">
              <w:rPr>
                <w:rStyle w:val="CCMCvariablesubscript"/>
              </w:rPr>
              <w:t>T</w:t>
            </w:r>
          </w:p>
        </w:tc>
        <w:tc>
          <w:tcPr>
            <w:tcW w:w="6548" w:type="dxa"/>
            <w:shd w:val="clear" w:color="auto" w:fill="auto"/>
          </w:tcPr>
          <w:p w14:paraId="509F48F9" w14:textId="77777777" w:rsidR="00B84FDB" w:rsidRPr="001455DC" w:rsidRDefault="00B84FDB" w:rsidP="000250B6">
            <w:pPr>
              <w:pStyle w:val="Tablebody"/>
              <w:jc w:val="left"/>
              <w:rPr>
                <w:lang w:eastAsia="de-DE"/>
              </w:rPr>
            </w:pPr>
            <w:r w:rsidRPr="001455DC">
              <w:rPr>
                <w:lang w:eastAsia="de-DE"/>
              </w:rPr>
              <w:t>Temperature-adjusted concrete age in days</w:t>
            </w:r>
          </w:p>
        </w:tc>
        <w:tc>
          <w:tcPr>
            <w:tcW w:w="1984" w:type="dxa"/>
          </w:tcPr>
          <w:p w14:paraId="0452FED2" w14:textId="2A5474CE" w:rsidR="00B84FDB" w:rsidRPr="001455DC" w:rsidRDefault="00B84FDB" w:rsidP="0066200C">
            <w:pPr>
              <w:pStyle w:val="Tablebody"/>
              <w:rPr>
                <w:lang w:eastAsia="de-DE"/>
              </w:rPr>
            </w:pPr>
            <w:r w:rsidRPr="009D3012">
              <w:rPr>
                <w:lang w:eastAsia="de-DE"/>
              </w:rPr>
              <w:t>B.</w:t>
            </w:r>
            <w:r w:rsidR="007D653E" w:rsidRPr="009D3012">
              <w:rPr>
                <w:lang w:eastAsia="de-DE"/>
              </w:rPr>
              <w:t>4</w:t>
            </w:r>
            <w:r w:rsidRPr="009D3012">
              <w:rPr>
                <w:lang w:eastAsia="de-DE"/>
              </w:rPr>
              <w:t>(5)</w:t>
            </w:r>
          </w:p>
        </w:tc>
      </w:tr>
      <w:tr w:rsidR="00B84FDB" w:rsidRPr="001455DC" w14:paraId="15C6E960" w14:textId="7F0669E5" w:rsidTr="0066200C">
        <w:trPr>
          <w:cantSplit/>
        </w:trPr>
        <w:tc>
          <w:tcPr>
            <w:tcW w:w="1418" w:type="dxa"/>
            <w:shd w:val="clear" w:color="auto" w:fill="auto"/>
          </w:tcPr>
          <w:p w14:paraId="0E8DDF36" w14:textId="77777777" w:rsidR="00B84FDB" w:rsidRPr="009D3012" w:rsidRDefault="00B84FDB" w:rsidP="00B84FDB">
            <w:pPr>
              <w:pStyle w:val="Tablebody"/>
              <w:rPr>
                <w:rStyle w:val="CCMCvariableitalic"/>
              </w:rPr>
            </w:pPr>
            <w:r w:rsidRPr="001455DC">
              <w:rPr>
                <w:rStyle w:val="CCMCvariableitalic"/>
              </w:rPr>
              <w:t>u</w:t>
            </w:r>
          </w:p>
        </w:tc>
        <w:tc>
          <w:tcPr>
            <w:tcW w:w="6548" w:type="dxa"/>
            <w:shd w:val="clear" w:color="auto" w:fill="auto"/>
          </w:tcPr>
          <w:p w14:paraId="73B8DB6D" w14:textId="5FD13C58" w:rsidR="00B84FDB" w:rsidRPr="001455DC" w:rsidRDefault="00B84FDB" w:rsidP="000250B6">
            <w:pPr>
              <w:pStyle w:val="Tablebody"/>
              <w:jc w:val="left"/>
            </w:pPr>
            <w:r w:rsidRPr="001455DC">
              <w:t>Perimeter of concrete cross</w:t>
            </w:r>
            <w:r w:rsidR="00B10711" w:rsidRPr="001455DC">
              <w:t xml:space="preserve"> </w:t>
            </w:r>
            <w:r w:rsidRPr="001455DC">
              <w:t xml:space="preserve">section, having area </w:t>
            </w:r>
            <w:r w:rsidRPr="001455DC">
              <w:rPr>
                <w:rStyle w:val="CCMCvariableitalic"/>
              </w:rPr>
              <w:t>A</w:t>
            </w:r>
            <w:r w:rsidRPr="001455DC">
              <w:rPr>
                <w:rStyle w:val="CCMCvariablesubscript"/>
              </w:rPr>
              <w:t>c</w:t>
            </w:r>
          </w:p>
        </w:tc>
        <w:tc>
          <w:tcPr>
            <w:tcW w:w="1984" w:type="dxa"/>
          </w:tcPr>
          <w:p w14:paraId="34196B75" w14:textId="7C3CFC7E" w:rsidR="00B84FDB" w:rsidRPr="001455DC" w:rsidRDefault="00B84FDB" w:rsidP="0066200C">
            <w:pPr>
              <w:pStyle w:val="Tablebody"/>
            </w:pPr>
            <w:r w:rsidRPr="009D3012">
              <w:rPr>
                <w:lang w:eastAsia="de-DE"/>
              </w:rPr>
              <w:t>B.</w:t>
            </w:r>
            <w:r w:rsidR="007D653E" w:rsidRPr="009D3012">
              <w:rPr>
                <w:lang w:eastAsia="de-DE"/>
              </w:rPr>
              <w:t>4</w:t>
            </w:r>
            <w:r w:rsidRPr="009D3012">
              <w:rPr>
                <w:lang w:eastAsia="de-DE"/>
              </w:rPr>
              <w:t>(3)</w:t>
            </w:r>
          </w:p>
        </w:tc>
      </w:tr>
      <w:tr w:rsidR="00B84FDB" w:rsidRPr="001455DC" w14:paraId="1FF5F7FA" w14:textId="4E3C2552" w:rsidTr="0066200C">
        <w:trPr>
          <w:cantSplit/>
        </w:trPr>
        <w:tc>
          <w:tcPr>
            <w:tcW w:w="1418" w:type="dxa"/>
            <w:shd w:val="clear" w:color="auto" w:fill="auto"/>
          </w:tcPr>
          <w:p w14:paraId="0AF3B642" w14:textId="77777777" w:rsidR="00B84FDB" w:rsidRPr="009D3012" w:rsidRDefault="00B84FDB" w:rsidP="00B84FDB">
            <w:pPr>
              <w:pStyle w:val="Tablebody"/>
              <w:rPr>
                <w:rStyle w:val="CCMCvariableitalic"/>
              </w:rPr>
            </w:pPr>
            <w:r w:rsidRPr="001455DC">
              <w:rPr>
                <w:rStyle w:val="CCMCvariableitalic"/>
              </w:rPr>
              <w:t>w</w:t>
            </w:r>
            <w:r w:rsidRPr="001455DC">
              <w:rPr>
                <w:rStyle w:val="CCMCvariablesubscript"/>
              </w:rPr>
              <w:t>k,lim,1</w:t>
            </w:r>
          </w:p>
        </w:tc>
        <w:tc>
          <w:tcPr>
            <w:tcW w:w="6548" w:type="dxa"/>
            <w:shd w:val="clear" w:color="auto" w:fill="auto"/>
          </w:tcPr>
          <w:p w14:paraId="42A3C629" w14:textId="77777777" w:rsidR="00B84FDB" w:rsidRPr="001455DC" w:rsidRDefault="00B84FDB" w:rsidP="000250B6">
            <w:pPr>
              <w:pStyle w:val="Tablebody"/>
              <w:jc w:val="left"/>
              <w:rPr>
                <w:lang w:eastAsia="de-DE"/>
              </w:rPr>
            </w:pPr>
            <w:r w:rsidRPr="001455DC">
              <w:rPr>
                <w:lang w:eastAsia="de-DE"/>
              </w:rPr>
              <w:t>Limiting crack width for water-tightness</w:t>
            </w:r>
          </w:p>
        </w:tc>
        <w:tc>
          <w:tcPr>
            <w:tcW w:w="1984" w:type="dxa"/>
          </w:tcPr>
          <w:p w14:paraId="74708F01" w14:textId="7904E8B0" w:rsidR="00B84FDB" w:rsidRPr="001455DC" w:rsidRDefault="00B84FDB">
            <w:pPr>
              <w:pStyle w:val="Tablebody"/>
              <w:rPr>
                <w:lang w:eastAsia="de-DE"/>
              </w:rPr>
            </w:pPr>
            <w:r w:rsidRPr="009D3012">
              <w:rPr>
                <w:lang w:eastAsia="de-DE"/>
              </w:rPr>
              <w:t>H.</w:t>
            </w:r>
            <w:r w:rsidR="006E0B24" w:rsidRPr="009D3012">
              <w:rPr>
                <w:lang w:eastAsia="de-DE"/>
              </w:rPr>
              <w:t>4</w:t>
            </w:r>
            <w:r w:rsidRPr="009D3012">
              <w:rPr>
                <w:lang w:eastAsia="de-DE"/>
              </w:rPr>
              <w:t>.2(1)</w:t>
            </w:r>
          </w:p>
        </w:tc>
      </w:tr>
      <w:tr w:rsidR="00B84FDB" w:rsidRPr="001455DC" w14:paraId="7498B9AF" w14:textId="1D2B1FDD" w:rsidTr="0066200C">
        <w:trPr>
          <w:cantSplit/>
        </w:trPr>
        <w:tc>
          <w:tcPr>
            <w:tcW w:w="1418" w:type="dxa"/>
            <w:shd w:val="clear" w:color="auto" w:fill="auto"/>
          </w:tcPr>
          <w:p w14:paraId="3A36E692" w14:textId="77777777" w:rsidR="00B84FDB" w:rsidRPr="009D3012" w:rsidRDefault="00B84FDB" w:rsidP="00B84FDB">
            <w:pPr>
              <w:pStyle w:val="Tablebody"/>
              <w:rPr>
                <w:rStyle w:val="CCMCvariableitalic"/>
              </w:rPr>
            </w:pPr>
            <w:r w:rsidRPr="001455DC">
              <w:rPr>
                <w:rStyle w:val="CCMCvariableitalic"/>
              </w:rPr>
              <w:t>w</w:t>
            </w:r>
            <w:r w:rsidRPr="001455DC">
              <w:rPr>
                <w:rStyle w:val="CCMCvariablesubscript"/>
              </w:rPr>
              <w:t>lim,cal</w:t>
            </w:r>
          </w:p>
        </w:tc>
        <w:tc>
          <w:tcPr>
            <w:tcW w:w="6548" w:type="dxa"/>
            <w:shd w:val="clear" w:color="auto" w:fill="auto"/>
          </w:tcPr>
          <w:p w14:paraId="67384415" w14:textId="77777777" w:rsidR="00B84FDB" w:rsidRPr="001455DC" w:rsidRDefault="00B84FDB" w:rsidP="000250B6">
            <w:pPr>
              <w:pStyle w:val="Tablebody"/>
              <w:jc w:val="left"/>
              <w:rPr>
                <w:lang w:eastAsia="de-DE"/>
              </w:rPr>
            </w:pPr>
            <w:r w:rsidRPr="001455DC">
              <w:rPr>
                <w:lang w:eastAsia="de-DE"/>
              </w:rPr>
              <w:t xml:space="preserve">Limiting crack width to be compared with the calculated crack width </w:t>
            </w:r>
            <w:r w:rsidRPr="001455DC">
              <w:rPr>
                <w:rStyle w:val="CCMCvariableitalic"/>
              </w:rPr>
              <w:t>w</w:t>
            </w:r>
            <w:r w:rsidRPr="001455DC">
              <w:rPr>
                <w:rStyle w:val="CCMCvariablesubscript"/>
              </w:rPr>
              <w:t>k,cal</w:t>
            </w:r>
          </w:p>
        </w:tc>
        <w:tc>
          <w:tcPr>
            <w:tcW w:w="1984" w:type="dxa"/>
          </w:tcPr>
          <w:p w14:paraId="1A721690" w14:textId="0BDF74FA" w:rsidR="00B84FDB" w:rsidRPr="001455DC" w:rsidRDefault="00B84FDB" w:rsidP="00B84FDB">
            <w:pPr>
              <w:pStyle w:val="Tablebody"/>
              <w:rPr>
                <w:lang w:eastAsia="de-DE"/>
              </w:rPr>
            </w:pPr>
            <w:r w:rsidRPr="009D3012">
              <w:rPr>
                <w:lang w:eastAsia="de-DE"/>
              </w:rPr>
              <w:t>9.2.1 (5), 9.2.2(3)</w:t>
            </w:r>
          </w:p>
        </w:tc>
      </w:tr>
      <w:tr w:rsidR="00B84FDB" w:rsidRPr="001455DC" w14:paraId="07075DA6" w14:textId="25D84B69" w:rsidTr="0066200C">
        <w:trPr>
          <w:cantSplit/>
        </w:trPr>
        <w:tc>
          <w:tcPr>
            <w:tcW w:w="1418" w:type="dxa"/>
            <w:shd w:val="clear" w:color="auto" w:fill="auto"/>
          </w:tcPr>
          <w:p w14:paraId="22186989" w14:textId="77777777" w:rsidR="00B84FDB" w:rsidRPr="009D3012" w:rsidRDefault="00B84FDB" w:rsidP="00B84FDB">
            <w:pPr>
              <w:pStyle w:val="Tablebody"/>
              <w:rPr>
                <w:rStyle w:val="CCMCvariableitalic"/>
              </w:rPr>
            </w:pPr>
            <w:r w:rsidRPr="001455DC">
              <w:rPr>
                <w:rStyle w:val="CCMCvariableitalic"/>
              </w:rPr>
              <w:t>w</w:t>
            </w:r>
            <w:r w:rsidRPr="001455DC">
              <w:rPr>
                <w:rStyle w:val="CCMCvariablesubscript"/>
              </w:rPr>
              <w:t>k,cal</w:t>
            </w:r>
          </w:p>
        </w:tc>
        <w:tc>
          <w:tcPr>
            <w:tcW w:w="6548" w:type="dxa"/>
            <w:shd w:val="clear" w:color="auto" w:fill="auto"/>
          </w:tcPr>
          <w:p w14:paraId="1D956318" w14:textId="77777777" w:rsidR="00B84FDB" w:rsidRPr="001455DC" w:rsidRDefault="00B84FDB" w:rsidP="000250B6">
            <w:pPr>
              <w:pStyle w:val="Tablebody"/>
              <w:jc w:val="left"/>
              <w:rPr>
                <w:lang w:eastAsia="de-DE"/>
              </w:rPr>
            </w:pPr>
            <w:r w:rsidRPr="001455DC">
              <w:rPr>
                <w:lang w:eastAsia="de-DE"/>
              </w:rPr>
              <w:t>Calculated crack width</w:t>
            </w:r>
          </w:p>
        </w:tc>
        <w:tc>
          <w:tcPr>
            <w:tcW w:w="1984" w:type="dxa"/>
          </w:tcPr>
          <w:p w14:paraId="75D1BE5A" w14:textId="169763E1" w:rsidR="00B84FDB" w:rsidRPr="001455DC" w:rsidRDefault="00B84FDB" w:rsidP="00B84FDB">
            <w:pPr>
              <w:pStyle w:val="Tablebody"/>
              <w:rPr>
                <w:lang w:eastAsia="de-DE"/>
              </w:rPr>
            </w:pPr>
            <w:r w:rsidRPr="009D3012">
              <w:rPr>
                <w:lang w:eastAsia="de-DE"/>
              </w:rPr>
              <w:t>9.2.4(2)</w:t>
            </w:r>
          </w:p>
        </w:tc>
      </w:tr>
      <w:tr w:rsidR="00B84FDB" w:rsidRPr="001455DC" w14:paraId="6C413327" w14:textId="0A808047" w:rsidTr="0066200C">
        <w:trPr>
          <w:cantSplit/>
        </w:trPr>
        <w:tc>
          <w:tcPr>
            <w:tcW w:w="1418" w:type="dxa"/>
            <w:shd w:val="clear" w:color="auto" w:fill="auto"/>
          </w:tcPr>
          <w:p w14:paraId="40A0592F" w14:textId="77777777" w:rsidR="00B84FDB" w:rsidRPr="009D3012" w:rsidRDefault="00B84FDB" w:rsidP="00B84FDB">
            <w:pPr>
              <w:pStyle w:val="Tablebody"/>
              <w:rPr>
                <w:rStyle w:val="CCMCvariableitalic"/>
              </w:rPr>
            </w:pPr>
            <w:r w:rsidRPr="001455DC">
              <w:rPr>
                <w:rStyle w:val="CCMCvariableitalic"/>
              </w:rPr>
              <w:t>w</w:t>
            </w:r>
            <w:r w:rsidRPr="001455DC">
              <w:rPr>
                <w:rStyle w:val="CCMCvariablesubscript"/>
              </w:rPr>
              <w:t>k,cal,1</w:t>
            </w:r>
          </w:p>
        </w:tc>
        <w:tc>
          <w:tcPr>
            <w:tcW w:w="6548" w:type="dxa"/>
            <w:shd w:val="clear" w:color="auto" w:fill="auto"/>
          </w:tcPr>
          <w:p w14:paraId="628A3C89" w14:textId="77777777" w:rsidR="00B84FDB" w:rsidRPr="001455DC" w:rsidRDefault="00B84FDB" w:rsidP="000250B6">
            <w:pPr>
              <w:pStyle w:val="Tablebody"/>
              <w:jc w:val="left"/>
              <w:rPr>
                <w:lang w:eastAsia="de-DE"/>
              </w:rPr>
            </w:pPr>
            <w:r w:rsidRPr="001455DC">
              <w:rPr>
                <w:lang w:eastAsia="de-DE"/>
              </w:rPr>
              <w:t>Crack width at end of a through-crack, where the crack is wider</w:t>
            </w:r>
          </w:p>
        </w:tc>
        <w:tc>
          <w:tcPr>
            <w:tcW w:w="1984" w:type="dxa"/>
          </w:tcPr>
          <w:p w14:paraId="7EC5E7C0" w14:textId="4C5F9748" w:rsidR="00B84FDB" w:rsidRPr="001455DC" w:rsidRDefault="00B84FDB">
            <w:pPr>
              <w:pStyle w:val="Tablebody"/>
              <w:rPr>
                <w:lang w:eastAsia="de-DE"/>
              </w:rPr>
            </w:pPr>
            <w:r w:rsidRPr="009D3012">
              <w:rPr>
                <w:lang w:eastAsia="de-DE"/>
              </w:rPr>
              <w:t>H.</w:t>
            </w:r>
            <w:r w:rsidR="006E0B24" w:rsidRPr="009D3012">
              <w:rPr>
                <w:lang w:eastAsia="de-DE"/>
              </w:rPr>
              <w:t>4</w:t>
            </w:r>
            <w:r w:rsidRPr="009D3012">
              <w:rPr>
                <w:lang w:eastAsia="de-DE"/>
              </w:rPr>
              <w:t>.2(7)</w:t>
            </w:r>
          </w:p>
        </w:tc>
      </w:tr>
      <w:tr w:rsidR="00B84FDB" w:rsidRPr="001455DC" w14:paraId="3AB82EA7" w14:textId="0958A74A" w:rsidTr="0066200C">
        <w:trPr>
          <w:cantSplit/>
        </w:trPr>
        <w:tc>
          <w:tcPr>
            <w:tcW w:w="1418" w:type="dxa"/>
            <w:shd w:val="clear" w:color="auto" w:fill="auto"/>
          </w:tcPr>
          <w:p w14:paraId="1C5441C7" w14:textId="77777777" w:rsidR="00B84FDB" w:rsidRPr="009D3012" w:rsidRDefault="00B84FDB" w:rsidP="00B84FDB">
            <w:pPr>
              <w:pStyle w:val="Tablebody"/>
              <w:rPr>
                <w:rStyle w:val="CCMCvariableitalic"/>
              </w:rPr>
            </w:pPr>
            <w:r w:rsidRPr="001455DC">
              <w:rPr>
                <w:rStyle w:val="CCMCvariableitalic"/>
              </w:rPr>
              <w:t>w</w:t>
            </w:r>
            <w:r w:rsidRPr="001455DC">
              <w:rPr>
                <w:rStyle w:val="CCMCvariablesubscript"/>
              </w:rPr>
              <w:t>k,cal,2</w:t>
            </w:r>
          </w:p>
        </w:tc>
        <w:tc>
          <w:tcPr>
            <w:tcW w:w="6548" w:type="dxa"/>
            <w:shd w:val="clear" w:color="auto" w:fill="auto"/>
          </w:tcPr>
          <w:p w14:paraId="676C2444" w14:textId="77777777" w:rsidR="00B84FDB" w:rsidRPr="001455DC" w:rsidRDefault="00B84FDB" w:rsidP="000250B6">
            <w:pPr>
              <w:pStyle w:val="Tablebody"/>
              <w:jc w:val="left"/>
              <w:rPr>
                <w:lang w:eastAsia="de-DE"/>
              </w:rPr>
            </w:pPr>
            <w:r w:rsidRPr="001455DC">
              <w:rPr>
                <w:lang w:eastAsia="de-DE"/>
              </w:rPr>
              <w:t>Crack width at end of a through-crack, where the crack is thinner</w:t>
            </w:r>
          </w:p>
        </w:tc>
        <w:tc>
          <w:tcPr>
            <w:tcW w:w="1984" w:type="dxa"/>
          </w:tcPr>
          <w:p w14:paraId="29168326" w14:textId="0A3B7C00" w:rsidR="00B84FDB" w:rsidRPr="001455DC" w:rsidRDefault="00B84FDB">
            <w:pPr>
              <w:pStyle w:val="Tablebody"/>
              <w:rPr>
                <w:lang w:eastAsia="de-DE"/>
              </w:rPr>
            </w:pPr>
            <w:r w:rsidRPr="009D3012">
              <w:rPr>
                <w:lang w:eastAsia="de-DE"/>
              </w:rPr>
              <w:t>H.</w:t>
            </w:r>
            <w:r w:rsidR="006E0B24" w:rsidRPr="009D3012">
              <w:rPr>
                <w:lang w:eastAsia="de-DE"/>
              </w:rPr>
              <w:t>4</w:t>
            </w:r>
            <w:r w:rsidRPr="009D3012">
              <w:rPr>
                <w:lang w:eastAsia="de-DE"/>
              </w:rPr>
              <w:t>.2(7)</w:t>
            </w:r>
          </w:p>
        </w:tc>
      </w:tr>
      <w:tr w:rsidR="00B84FDB" w:rsidRPr="001455DC" w14:paraId="494AC7E9" w14:textId="5FB2044C" w:rsidTr="0066200C">
        <w:trPr>
          <w:cantSplit/>
        </w:trPr>
        <w:tc>
          <w:tcPr>
            <w:tcW w:w="1418" w:type="dxa"/>
            <w:shd w:val="clear" w:color="auto" w:fill="auto"/>
          </w:tcPr>
          <w:p w14:paraId="46E2905D" w14:textId="77777777" w:rsidR="00B84FDB" w:rsidRPr="009D3012" w:rsidRDefault="00B84FDB" w:rsidP="00B84FDB">
            <w:pPr>
              <w:pStyle w:val="Tablebody"/>
              <w:rPr>
                <w:rStyle w:val="CCMCvariableitalic"/>
              </w:rPr>
            </w:pPr>
            <w:r w:rsidRPr="001455DC">
              <w:rPr>
                <w:rStyle w:val="CCMCvariableitalic"/>
              </w:rPr>
              <w:t>w</w:t>
            </w:r>
            <w:r w:rsidRPr="001455DC">
              <w:rPr>
                <w:rStyle w:val="CCMCvariablesubscript"/>
              </w:rPr>
              <w:t>k,cal,e</w:t>
            </w:r>
          </w:p>
        </w:tc>
        <w:tc>
          <w:tcPr>
            <w:tcW w:w="6548" w:type="dxa"/>
            <w:shd w:val="clear" w:color="auto" w:fill="auto"/>
          </w:tcPr>
          <w:p w14:paraId="7CC91580" w14:textId="77777777" w:rsidR="00B84FDB" w:rsidRPr="001455DC" w:rsidRDefault="00B84FDB" w:rsidP="000250B6">
            <w:pPr>
              <w:pStyle w:val="Tablebody"/>
              <w:jc w:val="left"/>
              <w:rPr>
                <w:lang w:eastAsia="de-DE"/>
              </w:rPr>
            </w:pPr>
            <w:r w:rsidRPr="001455DC">
              <w:rPr>
                <w:lang w:eastAsia="de-DE"/>
              </w:rPr>
              <w:t>Equivalent width of a passing crack, of variable width</w:t>
            </w:r>
          </w:p>
        </w:tc>
        <w:tc>
          <w:tcPr>
            <w:tcW w:w="1984" w:type="dxa"/>
          </w:tcPr>
          <w:p w14:paraId="4B5BB9FD" w14:textId="2710D37C" w:rsidR="00B84FDB" w:rsidRPr="001455DC" w:rsidRDefault="00B84FDB">
            <w:pPr>
              <w:pStyle w:val="Tablebody"/>
              <w:rPr>
                <w:lang w:eastAsia="de-DE"/>
              </w:rPr>
            </w:pPr>
            <w:r w:rsidRPr="009D3012">
              <w:rPr>
                <w:lang w:eastAsia="de-DE"/>
              </w:rPr>
              <w:t>H.</w:t>
            </w:r>
            <w:r w:rsidR="006E0B24" w:rsidRPr="009D3012">
              <w:rPr>
                <w:lang w:eastAsia="de-DE"/>
              </w:rPr>
              <w:t>4</w:t>
            </w:r>
            <w:r w:rsidRPr="009D3012">
              <w:rPr>
                <w:lang w:eastAsia="de-DE"/>
              </w:rPr>
              <w:t>.2(7)</w:t>
            </w:r>
          </w:p>
        </w:tc>
      </w:tr>
      <w:tr w:rsidR="00B84FDB" w:rsidRPr="001455DC" w14:paraId="6F89BEEB" w14:textId="18FB0BB5" w:rsidTr="0066200C">
        <w:trPr>
          <w:cantSplit/>
        </w:trPr>
        <w:tc>
          <w:tcPr>
            <w:tcW w:w="1418" w:type="dxa"/>
            <w:shd w:val="clear" w:color="auto" w:fill="auto"/>
          </w:tcPr>
          <w:p w14:paraId="54E40B96" w14:textId="77777777" w:rsidR="00B84FDB" w:rsidRPr="009D3012" w:rsidRDefault="00B84FDB" w:rsidP="00B84FDB">
            <w:pPr>
              <w:pStyle w:val="Tablebody"/>
              <w:rPr>
                <w:rStyle w:val="CCMCvariableitalic"/>
              </w:rPr>
            </w:pPr>
            <w:r w:rsidRPr="001455DC">
              <w:rPr>
                <w:rStyle w:val="CCMCvariableitalic"/>
              </w:rPr>
              <w:t>v</w:t>
            </w:r>
            <w:r w:rsidRPr="001455DC">
              <w:rPr>
                <w:rStyle w:val="CCMCvariablesubscript"/>
              </w:rPr>
              <w:t>Ed</w:t>
            </w:r>
          </w:p>
        </w:tc>
        <w:tc>
          <w:tcPr>
            <w:tcW w:w="6548" w:type="dxa"/>
            <w:shd w:val="clear" w:color="auto" w:fill="auto"/>
          </w:tcPr>
          <w:p w14:paraId="4B9D6071" w14:textId="77777777" w:rsidR="00B84FDB" w:rsidRPr="001455DC" w:rsidRDefault="00B84FDB" w:rsidP="000250B6">
            <w:pPr>
              <w:pStyle w:val="Tablebody"/>
              <w:jc w:val="left"/>
              <w:rPr>
                <w:lang w:eastAsia="de-DE"/>
              </w:rPr>
            </w:pPr>
            <w:r w:rsidRPr="001455DC">
              <w:rPr>
                <w:lang w:eastAsia="de-DE"/>
              </w:rPr>
              <w:t>Principal out of plane shear force per unit width in planar members</w:t>
            </w:r>
          </w:p>
        </w:tc>
        <w:tc>
          <w:tcPr>
            <w:tcW w:w="1984" w:type="dxa"/>
          </w:tcPr>
          <w:p w14:paraId="71FCEEB3" w14:textId="76CE1903" w:rsidR="00B84FDB" w:rsidRPr="001455DC" w:rsidRDefault="00B84FDB" w:rsidP="00B84FDB">
            <w:pPr>
              <w:pStyle w:val="Tablebody"/>
              <w:rPr>
                <w:lang w:eastAsia="de-DE"/>
              </w:rPr>
            </w:pPr>
            <w:r w:rsidRPr="009D3012">
              <w:rPr>
                <w:lang w:eastAsia="de-DE"/>
              </w:rPr>
              <w:t>8.2.1(5)</w:t>
            </w:r>
          </w:p>
        </w:tc>
      </w:tr>
      <w:tr w:rsidR="00B84FDB" w:rsidRPr="001455DC" w14:paraId="3D5FC3AB" w14:textId="0F5E41F7" w:rsidTr="0066200C">
        <w:trPr>
          <w:cantSplit/>
        </w:trPr>
        <w:tc>
          <w:tcPr>
            <w:tcW w:w="1418" w:type="dxa"/>
            <w:shd w:val="clear" w:color="auto" w:fill="auto"/>
          </w:tcPr>
          <w:p w14:paraId="126E1E7B" w14:textId="77777777" w:rsidR="00B84FDB" w:rsidRPr="009D3012" w:rsidRDefault="00B84FDB" w:rsidP="00B84FDB">
            <w:pPr>
              <w:pStyle w:val="Tablebody"/>
              <w:rPr>
                <w:rStyle w:val="CCMCvariableitalic"/>
              </w:rPr>
            </w:pPr>
            <w:r w:rsidRPr="001455DC">
              <w:rPr>
                <w:rStyle w:val="CCMCvariableitalic"/>
              </w:rPr>
              <w:t>v</w:t>
            </w:r>
            <w:r w:rsidRPr="001455DC">
              <w:rPr>
                <w:rStyle w:val="CCMCvariablesubscript"/>
              </w:rPr>
              <w:t>Ed,x</w:t>
            </w:r>
            <w:r w:rsidRPr="001455DC">
              <w:t xml:space="preserve">, </w:t>
            </w:r>
            <w:r w:rsidRPr="001455DC">
              <w:rPr>
                <w:rStyle w:val="CCMCvariableitalic"/>
              </w:rPr>
              <w:t>v</w:t>
            </w:r>
            <w:r w:rsidRPr="001455DC">
              <w:rPr>
                <w:rStyle w:val="CCMCvariablesubscript"/>
              </w:rPr>
              <w:t>Ed,y</w:t>
            </w:r>
          </w:p>
        </w:tc>
        <w:tc>
          <w:tcPr>
            <w:tcW w:w="6548" w:type="dxa"/>
            <w:shd w:val="clear" w:color="auto" w:fill="auto"/>
          </w:tcPr>
          <w:p w14:paraId="259417BF" w14:textId="77777777" w:rsidR="00B84FDB" w:rsidRPr="001455DC" w:rsidRDefault="00B84FDB" w:rsidP="000250B6">
            <w:pPr>
              <w:pStyle w:val="Tablebody"/>
              <w:jc w:val="left"/>
              <w:rPr>
                <w:lang w:eastAsia="de-DE"/>
              </w:rPr>
            </w:pPr>
            <w:r w:rsidRPr="001455DC">
              <w:rPr>
                <w:lang w:eastAsia="de-DE"/>
              </w:rPr>
              <w:t xml:space="preserve">Out of plane shear force in planar members on the cross sections perpendicular to the </w:t>
            </w:r>
            <w:r w:rsidRPr="001455DC">
              <w:rPr>
                <w:rStyle w:val="CCMCvariableitalic"/>
              </w:rPr>
              <w:t>x</w:t>
            </w:r>
            <w:r w:rsidRPr="001455DC">
              <w:rPr>
                <w:lang w:eastAsia="de-DE"/>
              </w:rPr>
              <w:t xml:space="preserve"> and </w:t>
            </w:r>
            <w:r w:rsidRPr="001455DC">
              <w:rPr>
                <w:rStyle w:val="CCMCvariableitalic"/>
              </w:rPr>
              <w:t>y</w:t>
            </w:r>
            <w:r w:rsidRPr="001455DC">
              <w:rPr>
                <w:lang w:eastAsia="de-DE"/>
              </w:rPr>
              <w:t xml:space="preserve"> direction, respectively</w:t>
            </w:r>
          </w:p>
        </w:tc>
        <w:tc>
          <w:tcPr>
            <w:tcW w:w="1984" w:type="dxa"/>
          </w:tcPr>
          <w:p w14:paraId="2E155ACD" w14:textId="5BA2866B" w:rsidR="00B84FDB" w:rsidRPr="001455DC" w:rsidRDefault="00B84FDB" w:rsidP="00B84FDB">
            <w:pPr>
              <w:pStyle w:val="Tablebody"/>
              <w:rPr>
                <w:lang w:eastAsia="de-DE"/>
              </w:rPr>
            </w:pPr>
            <w:r w:rsidRPr="009D3012">
              <w:rPr>
                <w:lang w:eastAsia="de-DE"/>
              </w:rPr>
              <w:t>8.2.1(5)</w:t>
            </w:r>
          </w:p>
        </w:tc>
      </w:tr>
      <w:tr w:rsidR="00B84FDB" w:rsidRPr="001455DC" w14:paraId="31C673EC" w14:textId="04493B8D" w:rsidTr="0066200C">
        <w:trPr>
          <w:cantSplit/>
        </w:trPr>
        <w:tc>
          <w:tcPr>
            <w:tcW w:w="1418" w:type="dxa"/>
            <w:shd w:val="clear" w:color="auto" w:fill="auto"/>
          </w:tcPr>
          <w:p w14:paraId="1DE24353" w14:textId="77777777" w:rsidR="00B84FDB" w:rsidRPr="009D3012" w:rsidRDefault="00B84FDB" w:rsidP="00B84FDB">
            <w:pPr>
              <w:pStyle w:val="Tablebody"/>
              <w:rPr>
                <w:rStyle w:val="CCMCvariableitalic"/>
              </w:rPr>
            </w:pPr>
            <w:r w:rsidRPr="001455DC">
              <w:rPr>
                <w:rStyle w:val="CCMCvariableitalic"/>
              </w:rPr>
              <w:t>x</w:t>
            </w:r>
          </w:p>
        </w:tc>
        <w:tc>
          <w:tcPr>
            <w:tcW w:w="6548" w:type="dxa"/>
            <w:shd w:val="clear" w:color="auto" w:fill="auto"/>
          </w:tcPr>
          <w:p w14:paraId="0C3D9694" w14:textId="77777777" w:rsidR="00B84FDB" w:rsidRPr="001455DC" w:rsidRDefault="00B84FDB" w:rsidP="000250B6">
            <w:pPr>
              <w:pStyle w:val="Tablebody"/>
              <w:jc w:val="left"/>
              <w:rPr>
                <w:lang w:eastAsia="de-DE"/>
              </w:rPr>
            </w:pPr>
            <w:r w:rsidRPr="001455DC">
              <w:rPr>
                <w:lang w:eastAsia="de-DE"/>
              </w:rPr>
              <w:t>Depth of concrete in compression</w:t>
            </w:r>
          </w:p>
        </w:tc>
        <w:tc>
          <w:tcPr>
            <w:tcW w:w="1984" w:type="dxa"/>
          </w:tcPr>
          <w:p w14:paraId="087E31DF" w14:textId="050B9A4E" w:rsidR="00B84FDB" w:rsidRPr="001455DC" w:rsidRDefault="00B84FDB" w:rsidP="00B84FDB">
            <w:pPr>
              <w:pStyle w:val="Tablebody"/>
              <w:rPr>
                <w:lang w:eastAsia="de-DE"/>
              </w:rPr>
            </w:pPr>
            <w:r w:rsidRPr="009D3012">
              <w:rPr>
                <w:lang w:eastAsia="de-DE"/>
              </w:rPr>
              <w:t xml:space="preserve">9.2.1(8), 9.2.2(5), 9.2.4(5) </w:t>
            </w:r>
          </w:p>
        </w:tc>
      </w:tr>
      <w:tr w:rsidR="00B84FDB" w:rsidRPr="001455DC" w14:paraId="3FD5FFC6" w14:textId="6C4BDA7A" w:rsidTr="0066200C">
        <w:trPr>
          <w:cantSplit/>
        </w:trPr>
        <w:tc>
          <w:tcPr>
            <w:tcW w:w="1418" w:type="dxa"/>
            <w:shd w:val="clear" w:color="auto" w:fill="auto"/>
          </w:tcPr>
          <w:p w14:paraId="2559FB81" w14:textId="77777777" w:rsidR="00B84FDB" w:rsidRPr="009D3012" w:rsidRDefault="00B84FDB" w:rsidP="00B84FDB">
            <w:pPr>
              <w:pStyle w:val="Tablebody"/>
              <w:rPr>
                <w:rStyle w:val="CCMCvariableitalic"/>
              </w:rPr>
            </w:pPr>
            <w:r w:rsidRPr="001455DC">
              <w:rPr>
                <w:rStyle w:val="CCMCvariableitalic"/>
              </w:rPr>
              <w:t>x</w:t>
            </w:r>
            <w:r w:rsidRPr="001455DC">
              <w:rPr>
                <w:rStyle w:val="CCMCvariablesubscript"/>
              </w:rPr>
              <w:t>tend</w:t>
            </w:r>
          </w:p>
        </w:tc>
        <w:tc>
          <w:tcPr>
            <w:tcW w:w="6548" w:type="dxa"/>
            <w:shd w:val="clear" w:color="auto" w:fill="auto"/>
          </w:tcPr>
          <w:p w14:paraId="08124461" w14:textId="77777777" w:rsidR="00B84FDB" w:rsidRPr="001455DC" w:rsidRDefault="00B84FDB" w:rsidP="000250B6">
            <w:pPr>
              <w:pStyle w:val="Tablebody"/>
              <w:jc w:val="left"/>
              <w:rPr>
                <w:lang w:eastAsia="de-DE"/>
              </w:rPr>
            </w:pPr>
            <w:r w:rsidRPr="001455DC">
              <w:t xml:space="preserve">Distance along the tendon from the point where the prestressing stress is equal to </w:t>
            </w:r>
            <w:r w:rsidRPr="001455DC">
              <w:rPr>
                <w:rStyle w:val="CCMCvariableitalic"/>
              </w:rPr>
              <w:t>σ</w:t>
            </w:r>
            <w:r w:rsidRPr="001455DC">
              <w:rPr>
                <w:rStyle w:val="CCMCvariablesubscript"/>
              </w:rPr>
              <w:t>max</w:t>
            </w:r>
          </w:p>
        </w:tc>
        <w:tc>
          <w:tcPr>
            <w:tcW w:w="1984" w:type="dxa"/>
          </w:tcPr>
          <w:p w14:paraId="35096971" w14:textId="292B573D" w:rsidR="00B84FDB" w:rsidRPr="001455DC" w:rsidRDefault="00B84FDB" w:rsidP="00B84FDB">
            <w:pPr>
              <w:pStyle w:val="Tablebody"/>
            </w:pPr>
            <w:r w:rsidRPr="009D3012">
              <w:rPr>
                <w:lang w:eastAsia="de-DE"/>
              </w:rPr>
              <w:t>7.10.2, 7.10.3.1, 7.10.5(2)</w:t>
            </w:r>
          </w:p>
        </w:tc>
      </w:tr>
      <w:tr w:rsidR="00B84FDB" w:rsidRPr="001455DC" w14:paraId="4B29DFEE" w14:textId="451ED5EA" w:rsidTr="0066200C">
        <w:trPr>
          <w:cantSplit/>
        </w:trPr>
        <w:tc>
          <w:tcPr>
            <w:tcW w:w="1418" w:type="dxa"/>
            <w:shd w:val="clear" w:color="auto" w:fill="auto"/>
          </w:tcPr>
          <w:p w14:paraId="0FC23429" w14:textId="77777777" w:rsidR="00B84FDB" w:rsidRPr="009D3012" w:rsidRDefault="00B84FDB" w:rsidP="00B84FDB">
            <w:pPr>
              <w:pStyle w:val="Tablebody"/>
              <w:rPr>
                <w:rStyle w:val="CCMCvariableitalic"/>
              </w:rPr>
            </w:pPr>
            <w:r w:rsidRPr="001455DC">
              <w:rPr>
                <w:rStyle w:val="CCMCvariableitalic"/>
              </w:rPr>
              <w:t>x</w:t>
            </w:r>
            <w:r w:rsidRPr="001455DC">
              <w:rPr>
                <w:rStyle w:val="CCMCvariablesubscript"/>
              </w:rPr>
              <w:t>cs</w:t>
            </w:r>
          </w:p>
        </w:tc>
        <w:tc>
          <w:tcPr>
            <w:tcW w:w="6548" w:type="dxa"/>
            <w:shd w:val="clear" w:color="auto" w:fill="auto"/>
          </w:tcPr>
          <w:p w14:paraId="2857CB95" w14:textId="77777777" w:rsidR="00B84FDB" w:rsidRPr="001455DC" w:rsidRDefault="00B84FDB" w:rsidP="000250B6">
            <w:pPr>
              <w:pStyle w:val="Tablebody"/>
              <w:jc w:val="left"/>
            </w:pPr>
            <w:r w:rsidRPr="001455DC">
              <w:t>Distance between the neutral axis and the axis of confinement reinforcement</w:t>
            </w:r>
          </w:p>
        </w:tc>
        <w:tc>
          <w:tcPr>
            <w:tcW w:w="1984" w:type="dxa"/>
          </w:tcPr>
          <w:p w14:paraId="4B013EE2" w14:textId="7EBE7BC6" w:rsidR="00B84FDB" w:rsidRPr="001455DC" w:rsidRDefault="00B84FDB" w:rsidP="00B84FDB">
            <w:pPr>
              <w:pStyle w:val="Tablebody"/>
            </w:pPr>
            <w:r w:rsidRPr="009D3012">
              <w:rPr>
                <w:lang w:eastAsia="de-DE"/>
              </w:rPr>
              <w:t>8.1.4(3), Figure 8.3</w:t>
            </w:r>
          </w:p>
        </w:tc>
      </w:tr>
      <w:tr w:rsidR="00B84FDB" w:rsidRPr="001455DC" w14:paraId="41AA192A" w14:textId="09D64BE2" w:rsidTr="0066200C">
        <w:trPr>
          <w:cantSplit/>
        </w:trPr>
        <w:tc>
          <w:tcPr>
            <w:tcW w:w="1418" w:type="dxa"/>
            <w:shd w:val="clear" w:color="auto" w:fill="auto"/>
          </w:tcPr>
          <w:p w14:paraId="20808E45" w14:textId="0FFAF24A" w:rsidR="00B84FDB" w:rsidRPr="009D3012" w:rsidRDefault="00B84FDB" w:rsidP="00B84FDB">
            <w:pPr>
              <w:pStyle w:val="Tablebody"/>
              <w:rPr>
                <w:rStyle w:val="CCMCvariableitalic"/>
              </w:rPr>
            </w:pPr>
            <w:r w:rsidRPr="001455DC">
              <w:rPr>
                <w:rStyle w:val="CCMCvariableitalic"/>
              </w:rPr>
              <w:t>x</w:t>
            </w:r>
            <w:r w:rsidRPr="001455DC">
              <w:t xml:space="preserve">, </w:t>
            </w:r>
            <w:r w:rsidRPr="001455DC">
              <w:rPr>
                <w:rStyle w:val="CCMCvariableitalic"/>
              </w:rPr>
              <w:t>y</w:t>
            </w:r>
            <w:r w:rsidRPr="001455DC">
              <w:t xml:space="preserve">, </w:t>
            </w:r>
            <w:r w:rsidRPr="001455DC">
              <w:rPr>
                <w:rStyle w:val="CCMCvariableitalic"/>
              </w:rPr>
              <w:t>z</w:t>
            </w:r>
          </w:p>
        </w:tc>
        <w:tc>
          <w:tcPr>
            <w:tcW w:w="6548" w:type="dxa"/>
            <w:shd w:val="clear" w:color="auto" w:fill="auto"/>
          </w:tcPr>
          <w:p w14:paraId="7EDEBA9D" w14:textId="77777777" w:rsidR="00B84FDB" w:rsidRPr="001455DC" w:rsidRDefault="00B84FDB" w:rsidP="000250B6">
            <w:pPr>
              <w:pStyle w:val="Tablebody"/>
              <w:jc w:val="left"/>
              <w:rPr>
                <w:lang w:eastAsia="de-DE"/>
              </w:rPr>
            </w:pPr>
            <w:r w:rsidRPr="001455DC">
              <w:rPr>
                <w:lang w:eastAsia="de-DE"/>
              </w:rPr>
              <w:t>Coordinates</w:t>
            </w:r>
          </w:p>
        </w:tc>
        <w:tc>
          <w:tcPr>
            <w:tcW w:w="1984" w:type="dxa"/>
          </w:tcPr>
          <w:p w14:paraId="7D29C02A" w14:textId="77777777" w:rsidR="00B84FDB" w:rsidRPr="001455DC" w:rsidRDefault="00B84FDB" w:rsidP="00B84FDB">
            <w:pPr>
              <w:pStyle w:val="Tablebody"/>
              <w:rPr>
                <w:lang w:eastAsia="de-DE"/>
              </w:rPr>
            </w:pPr>
          </w:p>
        </w:tc>
      </w:tr>
      <w:tr w:rsidR="00B84FDB" w:rsidRPr="001455DC" w14:paraId="04BEE560" w14:textId="45BE0BC3" w:rsidTr="0066200C">
        <w:trPr>
          <w:cantSplit/>
        </w:trPr>
        <w:tc>
          <w:tcPr>
            <w:tcW w:w="1418" w:type="dxa"/>
            <w:shd w:val="clear" w:color="auto" w:fill="auto"/>
          </w:tcPr>
          <w:p w14:paraId="35942B1D" w14:textId="77777777" w:rsidR="00B84FDB" w:rsidRPr="009D3012" w:rsidRDefault="00B84FDB" w:rsidP="00B84FDB">
            <w:pPr>
              <w:pStyle w:val="Tablebody"/>
              <w:rPr>
                <w:rStyle w:val="CCMCvariableitalic"/>
              </w:rPr>
            </w:pPr>
            <w:r w:rsidRPr="001455DC">
              <w:rPr>
                <w:rStyle w:val="CCMCvariableitalic"/>
              </w:rPr>
              <w:t>x</w:t>
            </w:r>
            <w:r w:rsidRPr="001455DC">
              <w:rPr>
                <w:rStyle w:val="CCMCvariablesubscript"/>
              </w:rPr>
              <w:t>min</w:t>
            </w:r>
          </w:p>
        </w:tc>
        <w:tc>
          <w:tcPr>
            <w:tcW w:w="6548" w:type="dxa"/>
            <w:shd w:val="clear" w:color="auto" w:fill="auto"/>
          </w:tcPr>
          <w:p w14:paraId="1046BC9F" w14:textId="77777777" w:rsidR="00B84FDB" w:rsidRPr="001455DC" w:rsidRDefault="00B84FDB" w:rsidP="000250B6">
            <w:pPr>
              <w:pStyle w:val="Tablebody"/>
              <w:jc w:val="left"/>
              <w:rPr>
                <w:lang w:eastAsia="de-DE"/>
              </w:rPr>
            </w:pPr>
            <w:r w:rsidRPr="001455DC">
              <w:rPr>
                <w:lang w:eastAsia="de-DE"/>
              </w:rPr>
              <w:t>Minimum depth of the compression zone to guarantee water-tightness in elements subjected to flexure</w:t>
            </w:r>
          </w:p>
        </w:tc>
        <w:tc>
          <w:tcPr>
            <w:tcW w:w="1984" w:type="dxa"/>
          </w:tcPr>
          <w:p w14:paraId="26D5FF19" w14:textId="4B8DFA76" w:rsidR="00B84FDB" w:rsidRPr="001455DC" w:rsidRDefault="00B84FDB">
            <w:pPr>
              <w:pStyle w:val="Tablebody"/>
              <w:rPr>
                <w:lang w:eastAsia="de-DE"/>
              </w:rPr>
            </w:pPr>
            <w:r w:rsidRPr="009D3012">
              <w:rPr>
                <w:lang w:eastAsia="de-DE"/>
              </w:rPr>
              <w:t>H.</w:t>
            </w:r>
            <w:r w:rsidR="006E0B24" w:rsidRPr="009D3012">
              <w:rPr>
                <w:lang w:eastAsia="de-DE"/>
              </w:rPr>
              <w:t>4.</w:t>
            </w:r>
            <w:r w:rsidRPr="009D3012">
              <w:rPr>
                <w:lang w:eastAsia="de-DE"/>
              </w:rPr>
              <w:t>2(3)</w:t>
            </w:r>
          </w:p>
        </w:tc>
      </w:tr>
      <w:tr w:rsidR="00B84FDB" w:rsidRPr="001455DC" w14:paraId="1859D4DD" w14:textId="7AA831F4" w:rsidTr="0066200C">
        <w:trPr>
          <w:cantSplit/>
        </w:trPr>
        <w:tc>
          <w:tcPr>
            <w:tcW w:w="1418" w:type="dxa"/>
            <w:shd w:val="clear" w:color="auto" w:fill="auto"/>
          </w:tcPr>
          <w:p w14:paraId="2A723D89" w14:textId="77777777" w:rsidR="00B84FDB" w:rsidRPr="009D3012" w:rsidRDefault="00B84FDB" w:rsidP="00B84FDB">
            <w:pPr>
              <w:pStyle w:val="Tablebody"/>
              <w:rPr>
                <w:rStyle w:val="CCMCvariableitalic"/>
              </w:rPr>
            </w:pPr>
            <w:r w:rsidRPr="001455DC">
              <w:rPr>
                <w:rStyle w:val="CCMCvariableitalic"/>
              </w:rPr>
              <w:t>x</w:t>
            </w:r>
            <w:r w:rsidRPr="001455DC">
              <w:rPr>
                <w:rStyle w:val="CCMCvariablesubscript"/>
              </w:rPr>
              <w:t>sb</w:t>
            </w:r>
          </w:p>
        </w:tc>
        <w:tc>
          <w:tcPr>
            <w:tcW w:w="6548" w:type="dxa"/>
            <w:shd w:val="clear" w:color="auto" w:fill="auto"/>
          </w:tcPr>
          <w:p w14:paraId="7BAF8A4E" w14:textId="77777777" w:rsidR="00B84FDB" w:rsidRPr="001455DC" w:rsidRDefault="00B84FDB" w:rsidP="000250B6">
            <w:pPr>
              <w:pStyle w:val="Tablebody"/>
              <w:jc w:val="left"/>
              <w:rPr>
                <w:lang w:eastAsia="de-DE"/>
              </w:rPr>
            </w:pPr>
            <w:r w:rsidRPr="001455DC">
              <w:rPr>
                <w:lang w:eastAsia="de-DE"/>
              </w:rPr>
              <w:t>Depth of the compression zone assuming a stress block</w:t>
            </w:r>
          </w:p>
        </w:tc>
        <w:tc>
          <w:tcPr>
            <w:tcW w:w="1984" w:type="dxa"/>
          </w:tcPr>
          <w:p w14:paraId="21914F9C" w14:textId="382A5C84" w:rsidR="00B84FDB" w:rsidRPr="001455DC" w:rsidRDefault="00B84FDB" w:rsidP="00B84FDB">
            <w:pPr>
              <w:pStyle w:val="Tablebody"/>
              <w:rPr>
                <w:lang w:eastAsia="de-DE"/>
              </w:rPr>
            </w:pPr>
            <w:r w:rsidRPr="009D3012">
              <w:rPr>
                <w:lang w:eastAsia="de-DE"/>
              </w:rPr>
              <w:t>8.2.3(9), Figure 8.10</w:t>
            </w:r>
          </w:p>
        </w:tc>
      </w:tr>
      <w:tr w:rsidR="00B84FDB" w:rsidRPr="001455DC" w14:paraId="3EF2B25D" w14:textId="5EA7D1C9" w:rsidTr="0066200C">
        <w:trPr>
          <w:cantSplit/>
        </w:trPr>
        <w:tc>
          <w:tcPr>
            <w:tcW w:w="1418" w:type="dxa"/>
            <w:shd w:val="clear" w:color="auto" w:fill="auto"/>
          </w:tcPr>
          <w:p w14:paraId="4947E5F2" w14:textId="77777777" w:rsidR="00B84FDB" w:rsidRPr="009D3012" w:rsidRDefault="00B84FDB" w:rsidP="00B84FDB">
            <w:pPr>
              <w:pStyle w:val="Tablebody"/>
              <w:rPr>
                <w:rStyle w:val="CCMCvariableitalic"/>
              </w:rPr>
            </w:pPr>
            <w:r w:rsidRPr="001455DC">
              <w:rPr>
                <w:rStyle w:val="CCMCvariableitalic"/>
              </w:rPr>
              <w:t>x</w:t>
            </w:r>
            <w:r w:rsidRPr="001455DC">
              <w:rPr>
                <w:rStyle w:val="CCMCvariablesubscript"/>
              </w:rPr>
              <w:t>u</w:t>
            </w:r>
          </w:p>
        </w:tc>
        <w:tc>
          <w:tcPr>
            <w:tcW w:w="6548" w:type="dxa"/>
            <w:shd w:val="clear" w:color="auto" w:fill="auto"/>
          </w:tcPr>
          <w:p w14:paraId="664D4F93" w14:textId="77777777" w:rsidR="00B84FDB" w:rsidRPr="001455DC" w:rsidRDefault="00B84FDB" w:rsidP="000250B6">
            <w:pPr>
              <w:pStyle w:val="Tablebody"/>
              <w:jc w:val="left"/>
              <w:rPr>
                <w:lang w:eastAsia="de-DE"/>
              </w:rPr>
            </w:pPr>
            <w:r w:rsidRPr="001455DC">
              <w:rPr>
                <w:lang w:eastAsia="de-DE"/>
              </w:rPr>
              <w:t>Depth of the neutral axis at the ultimate limit state after redistribution</w:t>
            </w:r>
          </w:p>
        </w:tc>
        <w:tc>
          <w:tcPr>
            <w:tcW w:w="1984" w:type="dxa"/>
          </w:tcPr>
          <w:p w14:paraId="6727FC1C" w14:textId="4C2C0999" w:rsidR="00B84FDB" w:rsidRPr="001455DC" w:rsidRDefault="00B84FDB" w:rsidP="00B84FDB">
            <w:pPr>
              <w:pStyle w:val="Tablebody"/>
              <w:rPr>
                <w:lang w:eastAsia="de-DE"/>
              </w:rPr>
            </w:pPr>
            <w:r w:rsidRPr="009D3012">
              <w:rPr>
                <w:lang w:eastAsia="de-DE"/>
              </w:rPr>
              <w:t>7.3.2, 8.1.2</w:t>
            </w:r>
          </w:p>
        </w:tc>
      </w:tr>
      <w:tr w:rsidR="00B84FDB" w:rsidRPr="001455DC" w14:paraId="59AA8266" w14:textId="03FFB430" w:rsidTr="0066200C">
        <w:trPr>
          <w:cantSplit/>
        </w:trPr>
        <w:tc>
          <w:tcPr>
            <w:tcW w:w="1418" w:type="dxa"/>
            <w:shd w:val="clear" w:color="auto" w:fill="auto"/>
          </w:tcPr>
          <w:p w14:paraId="7FB16C34" w14:textId="77777777" w:rsidR="00B84FDB" w:rsidRPr="009D3012" w:rsidRDefault="00B84FDB" w:rsidP="00B84FDB">
            <w:pPr>
              <w:pStyle w:val="Tablebody"/>
              <w:rPr>
                <w:rStyle w:val="CCMCvariableitalic"/>
              </w:rPr>
            </w:pPr>
            <w:r w:rsidRPr="001455DC">
              <w:rPr>
                <w:rStyle w:val="CCMCvariableitalic"/>
              </w:rPr>
              <w:t>z</w:t>
            </w:r>
          </w:p>
        </w:tc>
        <w:tc>
          <w:tcPr>
            <w:tcW w:w="6548" w:type="dxa"/>
            <w:shd w:val="clear" w:color="auto" w:fill="auto"/>
          </w:tcPr>
          <w:p w14:paraId="5490FF99" w14:textId="1E48A2E2" w:rsidR="00B84FDB" w:rsidRPr="001455DC" w:rsidRDefault="00B84FDB" w:rsidP="000250B6">
            <w:pPr>
              <w:pStyle w:val="Tablebody"/>
              <w:jc w:val="left"/>
              <w:rPr>
                <w:lang w:eastAsia="de-DE"/>
              </w:rPr>
            </w:pPr>
            <w:r w:rsidRPr="001455DC">
              <w:rPr>
                <w:lang w:eastAsia="de-DE"/>
              </w:rPr>
              <w:t>Inner lever arm of internal forces</w:t>
            </w:r>
          </w:p>
        </w:tc>
        <w:tc>
          <w:tcPr>
            <w:tcW w:w="1984" w:type="dxa"/>
          </w:tcPr>
          <w:p w14:paraId="03B04C24" w14:textId="776BCE33" w:rsidR="00B84FDB" w:rsidRPr="001455DC" w:rsidRDefault="00B84FDB" w:rsidP="00B84FDB">
            <w:pPr>
              <w:pStyle w:val="Tablebody"/>
              <w:rPr>
                <w:lang w:eastAsia="de-DE"/>
              </w:rPr>
            </w:pPr>
            <w:r w:rsidRPr="009D3012">
              <w:rPr>
                <w:lang w:eastAsia="de-DE"/>
              </w:rPr>
              <w:t>For shear design: 8.2.3(2)</w:t>
            </w:r>
          </w:p>
        </w:tc>
      </w:tr>
      <w:tr w:rsidR="00B84FDB" w:rsidRPr="001455DC" w14:paraId="200DF0AC" w14:textId="1D65A51F" w:rsidTr="0066200C">
        <w:trPr>
          <w:cantSplit/>
        </w:trPr>
        <w:tc>
          <w:tcPr>
            <w:tcW w:w="1418" w:type="dxa"/>
            <w:shd w:val="clear" w:color="auto" w:fill="auto"/>
          </w:tcPr>
          <w:p w14:paraId="7D595985" w14:textId="77777777" w:rsidR="00B84FDB" w:rsidRPr="009D3012" w:rsidRDefault="00B84FDB" w:rsidP="00B84FDB">
            <w:pPr>
              <w:pStyle w:val="Tablebody"/>
              <w:rPr>
                <w:rStyle w:val="CCMCvariableitalic"/>
              </w:rPr>
            </w:pPr>
            <w:r w:rsidRPr="001455DC">
              <w:rPr>
                <w:rStyle w:val="CCMCvariableitalic"/>
              </w:rPr>
              <w:t>z</w:t>
            </w:r>
            <w:r w:rsidRPr="001455DC">
              <w:rPr>
                <w:rStyle w:val="CCMCvariablesubscript"/>
              </w:rPr>
              <w:t>cp</w:t>
            </w:r>
          </w:p>
        </w:tc>
        <w:tc>
          <w:tcPr>
            <w:tcW w:w="6548" w:type="dxa"/>
            <w:shd w:val="clear" w:color="auto" w:fill="auto"/>
          </w:tcPr>
          <w:p w14:paraId="67CC34AE" w14:textId="77777777" w:rsidR="00B84FDB" w:rsidRPr="001455DC" w:rsidRDefault="00B84FDB" w:rsidP="000250B6">
            <w:pPr>
              <w:pStyle w:val="Tablebody"/>
              <w:jc w:val="left"/>
              <w:rPr>
                <w:lang w:eastAsia="de-DE"/>
              </w:rPr>
            </w:pPr>
            <w:r w:rsidRPr="001455DC">
              <w:rPr>
                <w:lang w:eastAsia="de-DE"/>
              </w:rPr>
              <w:t>Distance between the centroid of the concrete section and the tendons.</w:t>
            </w:r>
          </w:p>
        </w:tc>
        <w:tc>
          <w:tcPr>
            <w:tcW w:w="1984" w:type="dxa"/>
          </w:tcPr>
          <w:p w14:paraId="5F7C57E6" w14:textId="7DD2794D" w:rsidR="00B84FDB" w:rsidRPr="001455DC" w:rsidRDefault="00B84FDB" w:rsidP="00B84FDB">
            <w:pPr>
              <w:pStyle w:val="Tablebody"/>
              <w:rPr>
                <w:lang w:eastAsia="de-DE"/>
              </w:rPr>
            </w:pPr>
            <w:r w:rsidRPr="009D3012">
              <w:rPr>
                <w:lang w:eastAsia="de-DE"/>
              </w:rPr>
              <w:t>7.10.4(2)</w:t>
            </w:r>
          </w:p>
        </w:tc>
      </w:tr>
    </w:tbl>
    <w:p w14:paraId="35C9D6F1" w14:textId="20488DFB" w:rsidR="004E22C1" w:rsidRPr="001353E5" w:rsidRDefault="001353E5" w:rsidP="001353E5">
      <w:pPr>
        <w:pStyle w:val="p3"/>
        <w:spacing w:before="240" w:after="120"/>
        <w:rPr>
          <w:b/>
        </w:rPr>
      </w:pPr>
      <w:bookmarkStart w:id="80" w:name="_Toc52819875"/>
      <w:bookmarkStart w:id="81" w:name="_Toc54337272"/>
      <w:bookmarkStart w:id="82" w:name="_Toc54337933"/>
      <w:bookmarkStart w:id="83" w:name="_Toc67565282"/>
      <w:r w:rsidRPr="001353E5">
        <w:rPr>
          <w:b/>
        </w:rPr>
        <w:t>3.2.2</w:t>
      </w:r>
      <w:r w:rsidRPr="001353E5">
        <w:rPr>
          <w:b/>
        </w:rPr>
        <w:tab/>
      </w:r>
      <w:r w:rsidR="004E22C1" w:rsidRPr="001353E5">
        <w:rPr>
          <w:b/>
        </w:rPr>
        <w:t>Greek letters</w:t>
      </w:r>
      <w:bookmarkEnd w:id="80"/>
      <w:bookmarkEnd w:id="81"/>
      <w:bookmarkEnd w:id="82"/>
      <w:bookmarkEnd w:id="83"/>
    </w:p>
    <w:tbl>
      <w:tblPr>
        <w:tblStyle w:val="ad"/>
        <w:tblW w:w="99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418"/>
        <w:gridCol w:w="6548"/>
        <w:gridCol w:w="1984"/>
      </w:tblGrid>
      <w:tr w:rsidR="004E31A8" w:rsidRPr="001455DC" w14:paraId="6C14548E" w14:textId="1D15E13C" w:rsidTr="00BE5EF4">
        <w:trPr>
          <w:cantSplit/>
        </w:trPr>
        <w:tc>
          <w:tcPr>
            <w:tcW w:w="1418" w:type="dxa"/>
            <w:shd w:val="clear" w:color="auto" w:fill="auto"/>
          </w:tcPr>
          <w:p w14:paraId="1B47AE6D" w14:textId="77777777" w:rsidR="004E31A8" w:rsidRPr="009D3012" w:rsidRDefault="004E31A8" w:rsidP="004E31A8">
            <w:pPr>
              <w:pStyle w:val="Tablebody"/>
              <w:rPr>
                <w:rStyle w:val="CCMCvariableitalic"/>
              </w:rPr>
            </w:pPr>
            <w:r w:rsidRPr="001455DC">
              <w:rPr>
                <w:rStyle w:val="CCMCvariableitalic"/>
              </w:rPr>
              <w:t>α</w:t>
            </w:r>
          </w:p>
        </w:tc>
        <w:tc>
          <w:tcPr>
            <w:tcW w:w="6548" w:type="dxa"/>
            <w:shd w:val="clear" w:color="auto" w:fill="auto"/>
          </w:tcPr>
          <w:p w14:paraId="27FB3B07" w14:textId="77777777" w:rsidR="004E31A8" w:rsidRPr="001455DC" w:rsidRDefault="004E31A8" w:rsidP="000250B6">
            <w:pPr>
              <w:pStyle w:val="Tablebody"/>
              <w:jc w:val="left"/>
              <w:rPr>
                <w:lang w:eastAsia="de-DE"/>
              </w:rPr>
            </w:pPr>
            <w:r w:rsidRPr="001455DC">
              <w:rPr>
                <w:lang w:eastAsia="de-DE"/>
              </w:rPr>
              <w:t>Angle; ratio</w:t>
            </w:r>
          </w:p>
        </w:tc>
        <w:tc>
          <w:tcPr>
            <w:tcW w:w="1984" w:type="dxa"/>
          </w:tcPr>
          <w:p w14:paraId="6B6E8F3D" w14:textId="77777777" w:rsidR="004E31A8" w:rsidRPr="001455DC" w:rsidRDefault="004E31A8" w:rsidP="004E31A8">
            <w:pPr>
              <w:pStyle w:val="Tablebody"/>
              <w:rPr>
                <w:lang w:eastAsia="de-DE"/>
              </w:rPr>
            </w:pPr>
          </w:p>
        </w:tc>
      </w:tr>
      <w:tr w:rsidR="004E31A8" w:rsidRPr="001455DC" w14:paraId="28C8E428" w14:textId="0B7A0C34" w:rsidTr="00BE5EF4">
        <w:trPr>
          <w:cantSplit/>
        </w:trPr>
        <w:tc>
          <w:tcPr>
            <w:tcW w:w="1418" w:type="dxa"/>
            <w:shd w:val="clear" w:color="auto" w:fill="auto"/>
          </w:tcPr>
          <w:p w14:paraId="62FCC3B2" w14:textId="77777777" w:rsidR="004E31A8" w:rsidRPr="009D3012" w:rsidRDefault="004E31A8" w:rsidP="004E31A8">
            <w:pPr>
              <w:pStyle w:val="Tablebody"/>
              <w:rPr>
                <w:rStyle w:val="CCMCvariableitalic"/>
              </w:rPr>
            </w:pPr>
            <w:r w:rsidRPr="001455DC">
              <w:rPr>
                <w:rStyle w:val="CCMCvariableitalic"/>
              </w:rPr>
              <w:t>α</w:t>
            </w:r>
            <w:r w:rsidRPr="001455DC">
              <w:rPr>
                <w:rStyle w:val="CCMCvariablesubscript"/>
              </w:rPr>
              <w:t>bs</w:t>
            </w:r>
          </w:p>
        </w:tc>
        <w:tc>
          <w:tcPr>
            <w:tcW w:w="6548" w:type="dxa"/>
            <w:shd w:val="clear" w:color="auto" w:fill="auto"/>
          </w:tcPr>
          <w:p w14:paraId="15EC641A" w14:textId="77777777" w:rsidR="004E31A8" w:rsidRPr="001455DC" w:rsidRDefault="004E31A8" w:rsidP="000250B6">
            <w:pPr>
              <w:pStyle w:val="Tablebody"/>
              <w:jc w:val="left"/>
              <w:rPr>
                <w:lang w:eastAsia="de-DE"/>
              </w:rPr>
            </w:pPr>
            <w:r w:rsidRPr="001455DC">
              <w:t>Coefficient accounting for the effect of the strength class of cement on basic shrinkage</w:t>
            </w:r>
          </w:p>
        </w:tc>
        <w:tc>
          <w:tcPr>
            <w:tcW w:w="1984" w:type="dxa"/>
          </w:tcPr>
          <w:p w14:paraId="6432CFE0" w14:textId="51E41BCC" w:rsidR="004E31A8" w:rsidRPr="001455DC" w:rsidRDefault="004E31A8" w:rsidP="00EE5589">
            <w:pPr>
              <w:pStyle w:val="Tablebody"/>
            </w:pPr>
            <w:r w:rsidRPr="009D3012">
              <w:rPr>
                <w:lang w:eastAsia="de-DE"/>
              </w:rPr>
              <w:t>B.</w:t>
            </w:r>
            <w:r w:rsidR="001A17A7" w:rsidRPr="009D3012">
              <w:rPr>
                <w:lang w:eastAsia="de-DE"/>
              </w:rPr>
              <w:t>5</w:t>
            </w:r>
            <w:r w:rsidRPr="009D3012">
              <w:rPr>
                <w:lang w:eastAsia="de-DE"/>
              </w:rPr>
              <w:t>(2)</w:t>
            </w:r>
          </w:p>
        </w:tc>
      </w:tr>
      <w:tr w:rsidR="004E31A8" w:rsidRPr="001455DC" w14:paraId="6FD5947C" w14:textId="0C5DABEE" w:rsidTr="00BE5EF4">
        <w:trPr>
          <w:cantSplit/>
        </w:trPr>
        <w:tc>
          <w:tcPr>
            <w:tcW w:w="1418" w:type="dxa"/>
            <w:shd w:val="clear" w:color="auto" w:fill="auto"/>
          </w:tcPr>
          <w:p w14:paraId="3DE59A8A" w14:textId="77777777" w:rsidR="004E31A8" w:rsidRPr="009D3012" w:rsidRDefault="004E31A8" w:rsidP="004E31A8">
            <w:pPr>
              <w:pStyle w:val="Tablebody"/>
              <w:rPr>
                <w:rStyle w:val="CCMCvariableitalic"/>
              </w:rPr>
            </w:pPr>
            <w:r w:rsidRPr="001455DC">
              <w:rPr>
                <w:rStyle w:val="CCMCvariableitalic"/>
              </w:rPr>
              <w:t>α</w:t>
            </w:r>
            <w:r w:rsidRPr="001455DC">
              <w:rPr>
                <w:rStyle w:val="CCMCvariablesubscript"/>
              </w:rPr>
              <w:t>ds1</w:t>
            </w:r>
            <w:r w:rsidRPr="001455DC">
              <w:t xml:space="preserve">, </w:t>
            </w:r>
            <w:r w:rsidRPr="001455DC">
              <w:rPr>
                <w:rStyle w:val="CCMCvariableitalic"/>
              </w:rPr>
              <w:t>α</w:t>
            </w:r>
            <w:r w:rsidRPr="001455DC">
              <w:rPr>
                <w:rStyle w:val="CCMCvariablesubscript"/>
              </w:rPr>
              <w:t>ds2</w:t>
            </w:r>
          </w:p>
        </w:tc>
        <w:tc>
          <w:tcPr>
            <w:tcW w:w="6548" w:type="dxa"/>
            <w:shd w:val="clear" w:color="auto" w:fill="auto"/>
          </w:tcPr>
          <w:p w14:paraId="2C6668F7" w14:textId="77777777" w:rsidR="004E31A8" w:rsidRPr="001455DC" w:rsidRDefault="004E31A8" w:rsidP="000250B6">
            <w:pPr>
              <w:pStyle w:val="Tablebody"/>
              <w:jc w:val="left"/>
            </w:pPr>
            <w:r w:rsidRPr="001455DC">
              <w:t>Coefficients accounting for the effect of the strength class of cement on drying shrinkage</w:t>
            </w:r>
          </w:p>
        </w:tc>
        <w:tc>
          <w:tcPr>
            <w:tcW w:w="1984" w:type="dxa"/>
          </w:tcPr>
          <w:p w14:paraId="00997DFD" w14:textId="5CC20097" w:rsidR="004E31A8" w:rsidRPr="001455DC" w:rsidRDefault="004E31A8" w:rsidP="00BE5EF4">
            <w:pPr>
              <w:pStyle w:val="Tablebody"/>
            </w:pPr>
            <w:r w:rsidRPr="009D3012">
              <w:rPr>
                <w:lang w:eastAsia="de-DE"/>
              </w:rPr>
              <w:t>B.</w:t>
            </w:r>
            <w:r w:rsidR="001A17A7" w:rsidRPr="009D3012">
              <w:rPr>
                <w:lang w:eastAsia="de-DE"/>
              </w:rPr>
              <w:t>5</w:t>
            </w:r>
            <w:r w:rsidRPr="009D3012">
              <w:rPr>
                <w:lang w:eastAsia="de-DE"/>
              </w:rPr>
              <w:t>(3)</w:t>
            </w:r>
          </w:p>
        </w:tc>
      </w:tr>
      <w:tr w:rsidR="004E31A8" w:rsidRPr="001455DC" w14:paraId="4E17D909" w14:textId="1B83130D" w:rsidTr="00BE5EF4">
        <w:trPr>
          <w:cantSplit/>
        </w:trPr>
        <w:tc>
          <w:tcPr>
            <w:tcW w:w="1418" w:type="dxa"/>
            <w:shd w:val="clear" w:color="auto" w:fill="auto"/>
          </w:tcPr>
          <w:p w14:paraId="6FAE4132" w14:textId="77777777" w:rsidR="004E31A8" w:rsidRPr="009D3012" w:rsidRDefault="004E31A8" w:rsidP="004E31A8">
            <w:pPr>
              <w:pStyle w:val="Tablebody"/>
              <w:rPr>
                <w:rStyle w:val="CCMCvariableitalic"/>
              </w:rPr>
            </w:pPr>
            <w:r w:rsidRPr="001455DC">
              <w:rPr>
                <w:rStyle w:val="CCMCvariableitalic"/>
              </w:rPr>
              <w:t>α</w:t>
            </w:r>
            <w:r w:rsidRPr="001455DC">
              <w:rPr>
                <w:rStyle w:val="CCMCvariablesubscript"/>
              </w:rPr>
              <w:t>e</w:t>
            </w:r>
          </w:p>
        </w:tc>
        <w:tc>
          <w:tcPr>
            <w:tcW w:w="6548" w:type="dxa"/>
            <w:shd w:val="clear" w:color="auto" w:fill="auto"/>
          </w:tcPr>
          <w:p w14:paraId="0B080797" w14:textId="1C7EED12" w:rsidR="004E31A8" w:rsidRPr="00FA575F" w:rsidRDefault="004E31A8" w:rsidP="000250B6">
            <w:pPr>
              <w:pStyle w:val="Tablebody"/>
              <w:jc w:val="left"/>
              <w:rPr>
                <w:lang w:val="es-ES" w:eastAsia="de-DE"/>
              </w:rPr>
            </w:pPr>
            <w:r w:rsidRPr="00FA575F">
              <w:rPr>
                <w:lang w:val="es-ES" w:eastAsia="de-DE"/>
              </w:rPr>
              <w:t xml:space="preserve">modular ratio, </w:t>
            </w:r>
            <w:r w:rsidRPr="001455DC">
              <w:rPr>
                <w:rStyle w:val="CCMCvariableitalic"/>
              </w:rPr>
              <w:t>α</w:t>
            </w:r>
            <w:r w:rsidRPr="00FA575F">
              <w:rPr>
                <w:rStyle w:val="CCMCvariablesubscript"/>
                <w:lang w:val="es-ES"/>
              </w:rPr>
              <w:t>e</w:t>
            </w:r>
            <w:r w:rsidRPr="00FA575F">
              <w:rPr>
                <w:lang w:val="es-ES"/>
              </w:rPr>
              <w:t> </w:t>
            </w:r>
            <w:r w:rsidRPr="00FA575F">
              <w:rPr>
                <w:rFonts w:ascii="Cambria Math" w:hAnsi="Cambria Math"/>
                <w:lang w:val="es-ES"/>
              </w:rPr>
              <w:t>=</w:t>
            </w:r>
            <w:r w:rsidRPr="00FA575F">
              <w:rPr>
                <w:lang w:val="es-ES"/>
              </w:rPr>
              <w:t> </w:t>
            </w:r>
            <w:r w:rsidRPr="00FA575F">
              <w:rPr>
                <w:rStyle w:val="CCMCvariableitalic"/>
                <w:lang w:val="es-ES"/>
              </w:rPr>
              <w:t>E</w:t>
            </w:r>
            <w:r w:rsidRPr="00FA575F">
              <w:rPr>
                <w:rStyle w:val="CCMCvariablesubscript"/>
                <w:lang w:val="es-ES"/>
              </w:rPr>
              <w:t>s</w:t>
            </w:r>
            <w:r w:rsidRPr="00FA575F">
              <w:rPr>
                <w:lang w:val="es-ES" w:eastAsia="de-DE"/>
              </w:rPr>
              <w:t>/</w:t>
            </w:r>
            <w:r w:rsidRPr="00FA575F">
              <w:rPr>
                <w:rStyle w:val="CCMCvariableitalic"/>
                <w:lang w:val="es-ES"/>
              </w:rPr>
              <w:t>E</w:t>
            </w:r>
            <w:r w:rsidRPr="00FA575F">
              <w:rPr>
                <w:rStyle w:val="CCMCvariablesubscript"/>
                <w:lang w:val="es-ES"/>
              </w:rPr>
              <w:t>c</w:t>
            </w:r>
          </w:p>
        </w:tc>
        <w:tc>
          <w:tcPr>
            <w:tcW w:w="1984" w:type="dxa"/>
          </w:tcPr>
          <w:p w14:paraId="0E7E9FC9" w14:textId="3A67491A" w:rsidR="004E31A8" w:rsidRPr="001455DC" w:rsidRDefault="004E31A8" w:rsidP="004E31A8">
            <w:pPr>
              <w:pStyle w:val="Tablebody"/>
              <w:rPr>
                <w:lang w:val="de-DE" w:eastAsia="de-DE"/>
              </w:rPr>
            </w:pPr>
            <w:r w:rsidRPr="009D3012">
              <w:rPr>
                <w:lang w:val="es-ES" w:eastAsia="de-DE"/>
              </w:rPr>
              <w:t>9.2.4 (3)</w:t>
            </w:r>
          </w:p>
        </w:tc>
      </w:tr>
      <w:tr w:rsidR="004E31A8" w:rsidRPr="001455DC" w14:paraId="7D23AF39" w14:textId="2AC49AA1" w:rsidTr="00BE5EF4">
        <w:trPr>
          <w:cantSplit/>
        </w:trPr>
        <w:tc>
          <w:tcPr>
            <w:tcW w:w="1418" w:type="dxa"/>
            <w:shd w:val="clear" w:color="auto" w:fill="auto"/>
          </w:tcPr>
          <w:p w14:paraId="03EE1C6B" w14:textId="77777777" w:rsidR="004E31A8" w:rsidRPr="009D3012" w:rsidRDefault="004E31A8" w:rsidP="004E31A8">
            <w:pPr>
              <w:pStyle w:val="Tablebody"/>
              <w:rPr>
                <w:rStyle w:val="CCMCvariableitalic"/>
              </w:rPr>
            </w:pPr>
            <w:r w:rsidRPr="001455DC">
              <w:rPr>
                <w:rStyle w:val="CCMCvariableitalic"/>
              </w:rPr>
              <w:t>α</w:t>
            </w:r>
            <w:r w:rsidRPr="001455DC">
              <w:rPr>
                <w:rStyle w:val="CCMCvariablesubscript"/>
              </w:rPr>
              <w:t>e,eff</w:t>
            </w:r>
          </w:p>
        </w:tc>
        <w:tc>
          <w:tcPr>
            <w:tcW w:w="6548" w:type="dxa"/>
            <w:shd w:val="clear" w:color="auto" w:fill="auto"/>
          </w:tcPr>
          <w:p w14:paraId="60C4E8CB" w14:textId="3E493C41" w:rsidR="004E31A8" w:rsidRPr="001455DC" w:rsidRDefault="004E31A8" w:rsidP="000250B6">
            <w:pPr>
              <w:pStyle w:val="Tablebody"/>
              <w:jc w:val="left"/>
              <w:rPr>
                <w:lang w:eastAsia="de-DE"/>
              </w:rPr>
            </w:pPr>
            <w:r w:rsidRPr="001455DC">
              <w:rPr>
                <w:lang w:eastAsia="de-DE"/>
              </w:rPr>
              <w:t xml:space="preserve">modular ratio, </w:t>
            </w:r>
            <w:r w:rsidRPr="001455DC">
              <w:rPr>
                <w:rStyle w:val="CCMCvariableitalic"/>
              </w:rPr>
              <w:t>α</w:t>
            </w:r>
            <w:r w:rsidRPr="001455DC">
              <w:rPr>
                <w:rStyle w:val="CCMCvariablesubscript"/>
              </w:rPr>
              <w:t>e,eff</w:t>
            </w:r>
            <w:r w:rsidRPr="001455DC">
              <w:t> </w:t>
            </w:r>
            <w:r w:rsidRPr="001455DC">
              <w:rPr>
                <w:rFonts w:ascii="Cambria Math" w:hAnsi="Cambria Math"/>
              </w:rPr>
              <w:t>=</w:t>
            </w:r>
            <w:r w:rsidRPr="001455DC">
              <w:t> </w:t>
            </w:r>
            <w:r w:rsidRPr="001455DC">
              <w:rPr>
                <w:rStyle w:val="CCMCvariableitalic"/>
              </w:rPr>
              <w:t>E</w:t>
            </w:r>
            <w:r w:rsidRPr="001455DC">
              <w:rPr>
                <w:rStyle w:val="CCMCvariablesubscript"/>
              </w:rPr>
              <w:t>s</w:t>
            </w:r>
            <w:r w:rsidRPr="001455DC">
              <w:rPr>
                <w:lang w:eastAsia="de-DE"/>
              </w:rPr>
              <w:t>/</w:t>
            </w:r>
            <w:r w:rsidRPr="001455DC">
              <w:rPr>
                <w:rStyle w:val="CCMCvariableitalic"/>
              </w:rPr>
              <w:t>E</w:t>
            </w:r>
            <w:r w:rsidRPr="001455DC">
              <w:rPr>
                <w:rStyle w:val="CCMCvariablesubscript"/>
              </w:rPr>
              <w:t>c,eff</w:t>
            </w:r>
          </w:p>
        </w:tc>
        <w:tc>
          <w:tcPr>
            <w:tcW w:w="1984" w:type="dxa"/>
          </w:tcPr>
          <w:p w14:paraId="536CE1F3" w14:textId="276C31DB" w:rsidR="004E31A8" w:rsidRPr="001455DC" w:rsidRDefault="004E31A8" w:rsidP="004E31A8">
            <w:pPr>
              <w:pStyle w:val="Tablebody"/>
              <w:rPr>
                <w:lang w:eastAsia="de-DE"/>
              </w:rPr>
            </w:pPr>
            <w:r w:rsidRPr="009D3012">
              <w:rPr>
                <w:lang w:val="es-ES" w:eastAsia="de-DE"/>
              </w:rPr>
              <w:t>9.1 (3)</w:t>
            </w:r>
          </w:p>
        </w:tc>
      </w:tr>
      <w:tr w:rsidR="004E31A8" w:rsidRPr="001455DC" w14:paraId="11F9BA72" w14:textId="1325061A" w:rsidTr="00BE5EF4">
        <w:trPr>
          <w:cantSplit/>
        </w:trPr>
        <w:tc>
          <w:tcPr>
            <w:tcW w:w="1418" w:type="dxa"/>
            <w:shd w:val="clear" w:color="auto" w:fill="auto"/>
          </w:tcPr>
          <w:p w14:paraId="5D062B18" w14:textId="77777777" w:rsidR="004E31A8" w:rsidRPr="009D3012" w:rsidRDefault="004E31A8" w:rsidP="004E31A8">
            <w:pPr>
              <w:pStyle w:val="Tablebody"/>
              <w:rPr>
                <w:rStyle w:val="CCMCvariableitalic"/>
              </w:rPr>
            </w:pPr>
            <w:r w:rsidRPr="001455DC">
              <w:rPr>
                <w:rStyle w:val="CCMCvariableitalic"/>
              </w:rPr>
              <w:t>α</w:t>
            </w:r>
            <w:r w:rsidRPr="001455DC">
              <w:rPr>
                <w:rStyle w:val="CCMCvariablesubscript"/>
              </w:rPr>
              <w:t>fcm</w:t>
            </w:r>
          </w:p>
        </w:tc>
        <w:tc>
          <w:tcPr>
            <w:tcW w:w="6548" w:type="dxa"/>
            <w:shd w:val="clear" w:color="auto" w:fill="auto"/>
          </w:tcPr>
          <w:p w14:paraId="50B02EA1" w14:textId="77777777" w:rsidR="004E31A8" w:rsidRPr="001455DC" w:rsidRDefault="004E31A8" w:rsidP="000250B6">
            <w:pPr>
              <w:pStyle w:val="Tablebody"/>
              <w:jc w:val="left"/>
              <w:rPr>
                <w:lang w:eastAsia="de-DE"/>
              </w:rPr>
            </w:pPr>
            <w:r w:rsidRPr="001455DC">
              <w:rPr>
                <w:lang w:eastAsia="de-DE"/>
              </w:rPr>
              <w:t>Coefficient accounting for the effect of concrete strength on time evolution of drying creep</w:t>
            </w:r>
          </w:p>
        </w:tc>
        <w:tc>
          <w:tcPr>
            <w:tcW w:w="1984" w:type="dxa"/>
          </w:tcPr>
          <w:p w14:paraId="0E67D4F0" w14:textId="68FEACB7" w:rsidR="004E31A8" w:rsidRPr="001455DC" w:rsidRDefault="004E31A8" w:rsidP="00BE5EF4">
            <w:pPr>
              <w:pStyle w:val="Tablebody"/>
              <w:rPr>
                <w:lang w:eastAsia="de-DE"/>
              </w:rPr>
            </w:pPr>
            <w:r w:rsidRPr="009D3012">
              <w:rPr>
                <w:lang w:eastAsia="de-DE"/>
              </w:rPr>
              <w:t>B.</w:t>
            </w:r>
            <w:r w:rsidR="007D653E" w:rsidRPr="009D3012">
              <w:rPr>
                <w:lang w:eastAsia="de-DE"/>
              </w:rPr>
              <w:t>4</w:t>
            </w:r>
            <w:r w:rsidRPr="009D3012">
              <w:rPr>
                <w:lang w:eastAsia="de-DE"/>
              </w:rPr>
              <w:t>(3)</w:t>
            </w:r>
          </w:p>
        </w:tc>
      </w:tr>
      <w:tr w:rsidR="004E31A8" w:rsidRPr="001455DC" w14:paraId="4449989D" w14:textId="4060A539" w:rsidTr="00BE5EF4">
        <w:trPr>
          <w:cantSplit/>
        </w:trPr>
        <w:tc>
          <w:tcPr>
            <w:tcW w:w="1418" w:type="dxa"/>
            <w:shd w:val="clear" w:color="auto" w:fill="auto"/>
          </w:tcPr>
          <w:p w14:paraId="347266BB" w14:textId="77777777" w:rsidR="004E31A8" w:rsidRPr="009D3012" w:rsidRDefault="004E31A8" w:rsidP="004E31A8">
            <w:pPr>
              <w:pStyle w:val="Tablebody"/>
              <w:rPr>
                <w:rStyle w:val="CCMCvariableitalic"/>
              </w:rPr>
            </w:pPr>
            <w:r w:rsidRPr="001455DC">
              <w:rPr>
                <w:rStyle w:val="CCMCvariableitalic"/>
              </w:rPr>
              <w:t>α</w:t>
            </w:r>
            <w:r w:rsidRPr="001455DC">
              <w:rPr>
                <w:rStyle w:val="CCMCvariablesubscript"/>
              </w:rPr>
              <w:t>h</w:t>
            </w:r>
          </w:p>
        </w:tc>
        <w:tc>
          <w:tcPr>
            <w:tcW w:w="6548" w:type="dxa"/>
            <w:shd w:val="clear" w:color="auto" w:fill="auto"/>
          </w:tcPr>
          <w:p w14:paraId="23DBDA12" w14:textId="77777777" w:rsidR="004E31A8" w:rsidRPr="001455DC" w:rsidRDefault="004E31A8" w:rsidP="000250B6">
            <w:pPr>
              <w:pStyle w:val="Tablebody"/>
              <w:jc w:val="left"/>
              <w:rPr>
                <w:lang w:eastAsia="de-DE"/>
              </w:rPr>
            </w:pPr>
            <w:r w:rsidRPr="001455DC">
              <w:rPr>
                <w:lang w:eastAsia="de-DE"/>
              </w:rPr>
              <w:t>Reduction coefficient for length or height</w:t>
            </w:r>
          </w:p>
        </w:tc>
        <w:tc>
          <w:tcPr>
            <w:tcW w:w="1984" w:type="dxa"/>
          </w:tcPr>
          <w:p w14:paraId="56AF51B9" w14:textId="200D4E17" w:rsidR="004E31A8" w:rsidRPr="001455DC" w:rsidRDefault="004E31A8" w:rsidP="004E31A8">
            <w:pPr>
              <w:pStyle w:val="Tablebody"/>
              <w:rPr>
                <w:lang w:eastAsia="de-DE"/>
              </w:rPr>
            </w:pPr>
            <w:r w:rsidRPr="009D3012">
              <w:rPr>
                <w:lang w:eastAsia="de-DE"/>
              </w:rPr>
              <w:t>7.2.2(2)</w:t>
            </w:r>
          </w:p>
        </w:tc>
      </w:tr>
      <w:tr w:rsidR="004E31A8" w:rsidRPr="001455DC" w14:paraId="400ED54D" w14:textId="1EDF1421" w:rsidTr="00BE5EF4">
        <w:trPr>
          <w:cantSplit/>
        </w:trPr>
        <w:tc>
          <w:tcPr>
            <w:tcW w:w="1418" w:type="dxa"/>
            <w:shd w:val="clear" w:color="auto" w:fill="auto"/>
          </w:tcPr>
          <w:p w14:paraId="5670A217" w14:textId="77777777" w:rsidR="004E31A8" w:rsidRPr="009D3012" w:rsidRDefault="004E31A8" w:rsidP="004E31A8">
            <w:pPr>
              <w:pStyle w:val="Tablebody"/>
              <w:rPr>
                <w:rStyle w:val="CCMCvariableitalic"/>
              </w:rPr>
            </w:pPr>
            <w:r w:rsidRPr="001455DC">
              <w:rPr>
                <w:rStyle w:val="CCMCvariableitalic"/>
              </w:rPr>
              <w:t>α</w:t>
            </w:r>
            <w:r w:rsidRPr="001455DC">
              <w:rPr>
                <w:rStyle w:val="CCMCvariablesubscript"/>
              </w:rPr>
              <w:t>lb</w:t>
            </w:r>
          </w:p>
        </w:tc>
        <w:tc>
          <w:tcPr>
            <w:tcW w:w="6548" w:type="dxa"/>
            <w:shd w:val="clear" w:color="auto" w:fill="auto"/>
          </w:tcPr>
          <w:p w14:paraId="3A072B24" w14:textId="77777777" w:rsidR="004E31A8" w:rsidRPr="001455DC" w:rsidRDefault="004E31A8" w:rsidP="000250B6">
            <w:pPr>
              <w:pStyle w:val="Tablebody"/>
              <w:jc w:val="left"/>
            </w:pPr>
            <w:r w:rsidRPr="001455DC">
              <w:t>cracked concrete factor</w:t>
            </w:r>
          </w:p>
        </w:tc>
        <w:tc>
          <w:tcPr>
            <w:tcW w:w="1984" w:type="dxa"/>
          </w:tcPr>
          <w:p w14:paraId="6F13FB5F" w14:textId="39798739" w:rsidR="004E31A8" w:rsidRPr="001455DC" w:rsidRDefault="004E31A8" w:rsidP="004E31A8">
            <w:pPr>
              <w:pStyle w:val="Tablebody"/>
            </w:pPr>
            <w:r w:rsidRPr="009D3012">
              <w:rPr>
                <w:lang w:eastAsia="de-DE"/>
              </w:rPr>
              <w:t>11.4.8(5)</w:t>
            </w:r>
          </w:p>
        </w:tc>
      </w:tr>
      <w:tr w:rsidR="004E31A8" w:rsidRPr="001455DC" w14:paraId="254021E0" w14:textId="6C9F4CFE" w:rsidTr="00BE5EF4">
        <w:trPr>
          <w:cantSplit/>
        </w:trPr>
        <w:tc>
          <w:tcPr>
            <w:tcW w:w="1418" w:type="dxa"/>
            <w:shd w:val="clear" w:color="auto" w:fill="auto"/>
          </w:tcPr>
          <w:p w14:paraId="1419C0EB" w14:textId="77777777" w:rsidR="004E31A8" w:rsidRPr="009D3012" w:rsidRDefault="004E31A8" w:rsidP="004E31A8">
            <w:pPr>
              <w:pStyle w:val="Tablebody"/>
              <w:rPr>
                <w:rStyle w:val="CCMCvariableitalic"/>
              </w:rPr>
            </w:pPr>
            <w:r w:rsidRPr="001455DC">
              <w:rPr>
                <w:rStyle w:val="CCMCvariableitalic"/>
              </w:rPr>
              <w:t>α</w:t>
            </w:r>
            <w:r w:rsidRPr="001455DC">
              <w:rPr>
                <w:rStyle w:val="CCMCvariablesubscript"/>
              </w:rPr>
              <w:t>m</w:t>
            </w:r>
          </w:p>
        </w:tc>
        <w:tc>
          <w:tcPr>
            <w:tcW w:w="6548" w:type="dxa"/>
            <w:shd w:val="clear" w:color="auto" w:fill="auto"/>
          </w:tcPr>
          <w:p w14:paraId="3B0AB7F6" w14:textId="77777777" w:rsidR="004E31A8" w:rsidRPr="001455DC" w:rsidRDefault="004E31A8" w:rsidP="000250B6">
            <w:pPr>
              <w:pStyle w:val="Tablebody"/>
              <w:jc w:val="left"/>
              <w:rPr>
                <w:lang w:eastAsia="de-DE"/>
              </w:rPr>
            </w:pPr>
            <w:r w:rsidRPr="001455DC">
              <w:rPr>
                <w:lang w:eastAsia="de-DE"/>
              </w:rPr>
              <w:t>Reduction coefficient for number of members</w:t>
            </w:r>
          </w:p>
        </w:tc>
        <w:tc>
          <w:tcPr>
            <w:tcW w:w="1984" w:type="dxa"/>
          </w:tcPr>
          <w:p w14:paraId="36599240" w14:textId="06455866" w:rsidR="004E31A8" w:rsidRPr="001455DC" w:rsidRDefault="004E31A8" w:rsidP="004E31A8">
            <w:pPr>
              <w:pStyle w:val="Tablebody"/>
              <w:rPr>
                <w:lang w:eastAsia="de-DE"/>
              </w:rPr>
            </w:pPr>
            <w:r w:rsidRPr="009D3012">
              <w:rPr>
                <w:lang w:eastAsia="de-DE"/>
              </w:rPr>
              <w:t>7.2.2(2)</w:t>
            </w:r>
          </w:p>
        </w:tc>
      </w:tr>
      <w:tr w:rsidR="004E31A8" w:rsidRPr="001455DC" w14:paraId="465A526F" w14:textId="254C8355" w:rsidTr="00BE5EF4">
        <w:trPr>
          <w:cantSplit/>
        </w:trPr>
        <w:tc>
          <w:tcPr>
            <w:tcW w:w="1418" w:type="dxa"/>
            <w:shd w:val="clear" w:color="auto" w:fill="auto"/>
          </w:tcPr>
          <w:p w14:paraId="2860491F" w14:textId="77777777" w:rsidR="004E31A8" w:rsidRPr="009D3012" w:rsidRDefault="004E31A8" w:rsidP="004E31A8">
            <w:pPr>
              <w:pStyle w:val="Tablebody"/>
              <w:rPr>
                <w:rStyle w:val="CCMCvariableitalic"/>
              </w:rPr>
            </w:pPr>
            <w:r w:rsidRPr="001455DC">
              <w:rPr>
                <w:rStyle w:val="CCMCvariableitalic"/>
              </w:rPr>
              <w:t>α</w:t>
            </w:r>
            <w:r w:rsidRPr="001455DC">
              <w:rPr>
                <w:rStyle w:val="CCMCvariablesubscript"/>
              </w:rPr>
              <w:t>p</w:t>
            </w:r>
          </w:p>
        </w:tc>
        <w:tc>
          <w:tcPr>
            <w:tcW w:w="6548" w:type="dxa"/>
            <w:shd w:val="clear" w:color="auto" w:fill="auto"/>
          </w:tcPr>
          <w:p w14:paraId="10E1ED53" w14:textId="77777777" w:rsidR="004E31A8" w:rsidRPr="001455DC" w:rsidRDefault="004E31A8" w:rsidP="000250B6">
            <w:pPr>
              <w:pStyle w:val="Tablebody"/>
              <w:jc w:val="left"/>
            </w:pPr>
            <w:r w:rsidRPr="001455DC">
              <w:rPr>
                <w:lang w:eastAsia="de-DE"/>
              </w:rPr>
              <w:t xml:space="preserve">Sum of the angles of the curved sectors of the control perimeter </w:t>
            </w:r>
          </w:p>
        </w:tc>
        <w:tc>
          <w:tcPr>
            <w:tcW w:w="1984" w:type="dxa"/>
          </w:tcPr>
          <w:p w14:paraId="035724CE" w14:textId="2D5CE77F" w:rsidR="004E31A8" w:rsidRPr="001455DC" w:rsidRDefault="004E31A8" w:rsidP="004E31A8">
            <w:pPr>
              <w:pStyle w:val="Tablebody"/>
              <w:rPr>
                <w:lang w:eastAsia="de-DE"/>
              </w:rPr>
            </w:pPr>
            <w:r w:rsidRPr="009D3012">
              <w:rPr>
                <w:lang w:eastAsia="de-DE"/>
              </w:rPr>
              <w:t>8.4.3(1)</w:t>
            </w:r>
          </w:p>
        </w:tc>
      </w:tr>
      <w:tr w:rsidR="004E31A8" w:rsidRPr="001455DC" w14:paraId="79C05DBF" w14:textId="412BACE8" w:rsidTr="00BE5EF4">
        <w:trPr>
          <w:cantSplit/>
        </w:trPr>
        <w:tc>
          <w:tcPr>
            <w:tcW w:w="1418" w:type="dxa"/>
            <w:shd w:val="clear" w:color="auto" w:fill="auto"/>
          </w:tcPr>
          <w:p w14:paraId="12193888" w14:textId="77777777" w:rsidR="004E31A8" w:rsidRPr="009D3012" w:rsidRDefault="004E31A8" w:rsidP="004E31A8">
            <w:pPr>
              <w:pStyle w:val="Tablebody"/>
              <w:rPr>
                <w:rStyle w:val="CCMCvariableitalic"/>
              </w:rPr>
            </w:pPr>
            <w:r w:rsidRPr="001455DC">
              <w:rPr>
                <w:rStyle w:val="CCMCvariableitalic"/>
              </w:rPr>
              <w:t>α</w:t>
            </w:r>
            <w:r w:rsidRPr="001455DC">
              <w:rPr>
                <w:rStyle w:val="CCMCvariablesubscript"/>
              </w:rPr>
              <w:t>R</w:t>
            </w:r>
          </w:p>
        </w:tc>
        <w:tc>
          <w:tcPr>
            <w:tcW w:w="6548" w:type="dxa"/>
            <w:shd w:val="clear" w:color="auto" w:fill="auto"/>
          </w:tcPr>
          <w:p w14:paraId="6C9A6277" w14:textId="77777777" w:rsidR="004E31A8" w:rsidRPr="001455DC" w:rsidRDefault="004E31A8" w:rsidP="000250B6">
            <w:pPr>
              <w:pStyle w:val="Tablebody"/>
              <w:jc w:val="left"/>
              <w:rPr>
                <w:lang w:eastAsia="de-DE"/>
              </w:rPr>
            </w:pPr>
            <w:r w:rsidRPr="001455DC">
              <w:t>Sensitivity factor for the reliability of the resistance</w:t>
            </w:r>
          </w:p>
        </w:tc>
        <w:tc>
          <w:tcPr>
            <w:tcW w:w="1984" w:type="dxa"/>
          </w:tcPr>
          <w:p w14:paraId="4395115B" w14:textId="6029AD94" w:rsidR="004E31A8" w:rsidRPr="001455DC" w:rsidRDefault="004E31A8" w:rsidP="004E31A8">
            <w:pPr>
              <w:pStyle w:val="Tablebody"/>
            </w:pPr>
            <w:r w:rsidRPr="009D3012">
              <w:rPr>
                <w:lang w:eastAsia="de-DE"/>
              </w:rPr>
              <w:t>F.3.2(1)</w:t>
            </w:r>
          </w:p>
        </w:tc>
      </w:tr>
      <w:tr w:rsidR="004E31A8" w:rsidRPr="001455DC" w14:paraId="7E6A7AAC" w14:textId="48C79811" w:rsidTr="00BE5EF4">
        <w:trPr>
          <w:cantSplit/>
        </w:trPr>
        <w:tc>
          <w:tcPr>
            <w:tcW w:w="1418" w:type="dxa"/>
            <w:shd w:val="clear" w:color="auto" w:fill="auto"/>
          </w:tcPr>
          <w:p w14:paraId="63D96597" w14:textId="77777777" w:rsidR="004E31A8" w:rsidRPr="009D3012" w:rsidRDefault="004E31A8" w:rsidP="004E31A8">
            <w:pPr>
              <w:pStyle w:val="Tablebody"/>
              <w:rPr>
                <w:rStyle w:val="CCMCvariableitalic"/>
              </w:rPr>
            </w:pPr>
            <w:r w:rsidRPr="001455DC">
              <w:rPr>
                <w:rStyle w:val="CCMCvariableitalic"/>
              </w:rPr>
              <w:t>α</w:t>
            </w:r>
            <w:r w:rsidRPr="001455DC">
              <w:rPr>
                <w:rStyle w:val="CCMCvariablesubscript"/>
              </w:rPr>
              <w:t>SC</w:t>
            </w:r>
          </w:p>
        </w:tc>
        <w:tc>
          <w:tcPr>
            <w:tcW w:w="6548" w:type="dxa"/>
            <w:shd w:val="clear" w:color="auto" w:fill="auto"/>
          </w:tcPr>
          <w:p w14:paraId="261B3FC7" w14:textId="77777777" w:rsidR="004E31A8" w:rsidRPr="001455DC" w:rsidRDefault="004E31A8" w:rsidP="000250B6">
            <w:pPr>
              <w:pStyle w:val="Tablebody"/>
              <w:jc w:val="left"/>
              <w:rPr>
                <w:lang w:eastAsia="de-DE"/>
              </w:rPr>
            </w:pPr>
            <w:r w:rsidRPr="001455DC">
              <w:rPr>
                <w:lang w:eastAsia="de-DE"/>
              </w:rPr>
              <w:t>Exponent accounting for the strength class of cement on the adjusted loading age</w:t>
            </w:r>
          </w:p>
        </w:tc>
        <w:tc>
          <w:tcPr>
            <w:tcW w:w="1984" w:type="dxa"/>
          </w:tcPr>
          <w:p w14:paraId="2C218D02" w14:textId="0E696916" w:rsidR="004E31A8" w:rsidRPr="001455DC" w:rsidRDefault="004E31A8" w:rsidP="00BE5EF4">
            <w:pPr>
              <w:pStyle w:val="Tablebody"/>
              <w:rPr>
                <w:lang w:eastAsia="de-DE"/>
              </w:rPr>
            </w:pPr>
            <w:r w:rsidRPr="009D3012">
              <w:rPr>
                <w:lang w:eastAsia="de-DE"/>
              </w:rPr>
              <w:t>B.</w:t>
            </w:r>
            <w:r w:rsidR="007D653E" w:rsidRPr="009D3012">
              <w:rPr>
                <w:lang w:eastAsia="de-DE"/>
              </w:rPr>
              <w:t>4</w:t>
            </w:r>
            <w:r w:rsidRPr="009D3012">
              <w:rPr>
                <w:lang w:eastAsia="de-DE"/>
              </w:rPr>
              <w:t>(4)</w:t>
            </w:r>
          </w:p>
        </w:tc>
      </w:tr>
      <w:tr w:rsidR="004E31A8" w:rsidRPr="001455DC" w14:paraId="1ABBEFC8" w14:textId="1E2B4E7C" w:rsidTr="00BE5EF4">
        <w:trPr>
          <w:cantSplit/>
        </w:trPr>
        <w:tc>
          <w:tcPr>
            <w:tcW w:w="1418" w:type="dxa"/>
            <w:shd w:val="clear" w:color="auto" w:fill="auto"/>
          </w:tcPr>
          <w:p w14:paraId="55F12054" w14:textId="77777777" w:rsidR="004E31A8" w:rsidRPr="009D3012" w:rsidRDefault="004E31A8" w:rsidP="004E31A8">
            <w:pPr>
              <w:pStyle w:val="Tablebody"/>
              <w:rPr>
                <w:rStyle w:val="CCMCvariablesubscript"/>
              </w:rPr>
            </w:pPr>
            <w:r w:rsidRPr="001455DC">
              <w:rPr>
                <w:rStyle w:val="CCMCvariableitalic"/>
              </w:rPr>
              <w:t>α</w:t>
            </w:r>
            <w:r w:rsidRPr="001455DC">
              <w:rPr>
                <w:rStyle w:val="CCMCvariablesubscript"/>
              </w:rPr>
              <w:t>s,th</w:t>
            </w:r>
          </w:p>
        </w:tc>
        <w:tc>
          <w:tcPr>
            <w:tcW w:w="6548" w:type="dxa"/>
            <w:shd w:val="clear" w:color="auto" w:fill="auto"/>
          </w:tcPr>
          <w:p w14:paraId="1E721C7F" w14:textId="77777777" w:rsidR="004E31A8" w:rsidRPr="001455DC" w:rsidRDefault="004E31A8" w:rsidP="000250B6">
            <w:pPr>
              <w:pStyle w:val="Tablebody"/>
              <w:jc w:val="left"/>
              <w:rPr>
                <w:lang w:eastAsia="de-DE"/>
              </w:rPr>
            </w:pPr>
            <w:r w:rsidRPr="001455DC">
              <w:rPr>
                <w:lang w:eastAsia="de-DE"/>
              </w:rPr>
              <w:t>Coefficient of thermal expansion of reinforcement</w:t>
            </w:r>
          </w:p>
        </w:tc>
        <w:tc>
          <w:tcPr>
            <w:tcW w:w="1984" w:type="dxa"/>
          </w:tcPr>
          <w:p w14:paraId="7E6EACD5" w14:textId="0641BEFB" w:rsidR="004E31A8" w:rsidRPr="001455DC" w:rsidRDefault="004E31A8" w:rsidP="004E31A8">
            <w:pPr>
              <w:pStyle w:val="Tablebody"/>
              <w:rPr>
                <w:lang w:eastAsia="de-DE"/>
              </w:rPr>
            </w:pPr>
            <w:r w:rsidRPr="009D3012">
              <w:rPr>
                <w:lang w:eastAsia="de-DE"/>
              </w:rPr>
              <w:t>5.2(5)</w:t>
            </w:r>
          </w:p>
        </w:tc>
      </w:tr>
      <w:tr w:rsidR="004E31A8" w:rsidRPr="001455DC" w14:paraId="52B08FC4" w14:textId="76E953A6" w:rsidTr="00BE5EF4">
        <w:trPr>
          <w:cantSplit/>
        </w:trPr>
        <w:tc>
          <w:tcPr>
            <w:tcW w:w="1418" w:type="dxa"/>
            <w:shd w:val="clear" w:color="auto" w:fill="auto"/>
          </w:tcPr>
          <w:p w14:paraId="36EA959D" w14:textId="77777777" w:rsidR="004E31A8" w:rsidRPr="009D3012" w:rsidRDefault="004E31A8" w:rsidP="004E31A8">
            <w:pPr>
              <w:pStyle w:val="Tablebody"/>
              <w:rPr>
                <w:rStyle w:val="CCMCvariableitalic"/>
              </w:rPr>
            </w:pPr>
            <w:r w:rsidRPr="001455DC">
              <w:rPr>
                <w:rStyle w:val="CCMCvariableitalic"/>
              </w:rPr>
              <w:t>α</w:t>
            </w:r>
            <w:r w:rsidRPr="001455DC">
              <w:rPr>
                <w:rStyle w:val="CCMCvariablesubscript"/>
              </w:rPr>
              <w:t>c,th</w:t>
            </w:r>
          </w:p>
        </w:tc>
        <w:tc>
          <w:tcPr>
            <w:tcW w:w="6548" w:type="dxa"/>
            <w:shd w:val="clear" w:color="auto" w:fill="auto"/>
          </w:tcPr>
          <w:p w14:paraId="607A6639" w14:textId="77777777" w:rsidR="004E31A8" w:rsidRPr="001455DC" w:rsidRDefault="004E31A8" w:rsidP="000250B6">
            <w:pPr>
              <w:pStyle w:val="Tablebody"/>
              <w:jc w:val="left"/>
              <w:rPr>
                <w:lang w:eastAsia="de-DE"/>
              </w:rPr>
            </w:pPr>
            <w:r w:rsidRPr="001455DC">
              <w:rPr>
                <w:lang w:eastAsia="de-DE"/>
              </w:rPr>
              <w:t>Coefficient of thermal expansion of concrete</w:t>
            </w:r>
          </w:p>
        </w:tc>
        <w:tc>
          <w:tcPr>
            <w:tcW w:w="1984" w:type="dxa"/>
          </w:tcPr>
          <w:p w14:paraId="703AF346" w14:textId="23484787" w:rsidR="004E31A8" w:rsidRPr="001455DC" w:rsidRDefault="004E31A8" w:rsidP="004E31A8">
            <w:pPr>
              <w:pStyle w:val="Tablebody"/>
              <w:rPr>
                <w:lang w:eastAsia="de-DE"/>
              </w:rPr>
            </w:pPr>
            <w:r w:rsidRPr="009D3012">
              <w:rPr>
                <w:lang w:eastAsia="de-DE"/>
              </w:rPr>
              <w:t>5.1.4(5)</w:t>
            </w:r>
          </w:p>
        </w:tc>
      </w:tr>
      <w:tr w:rsidR="004E31A8" w:rsidRPr="001455DC" w14:paraId="4CC3076A" w14:textId="2093BAE5" w:rsidTr="00BE5EF4">
        <w:trPr>
          <w:cantSplit/>
        </w:trPr>
        <w:tc>
          <w:tcPr>
            <w:tcW w:w="1418" w:type="dxa"/>
            <w:shd w:val="clear" w:color="auto" w:fill="auto"/>
          </w:tcPr>
          <w:p w14:paraId="5A884418" w14:textId="77777777" w:rsidR="004E31A8" w:rsidRPr="009D3012" w:rsidRDefault="004E31A8" w:rsidP="004E31A8">
            <w:pPr>
              <w:pStyle w:val="Tablebody"/>
              <w:rPr>
                <w:rStyle w:val="CCMCvariableitalic"/>
              </w:rPr>
            </w:pPr>
            <w:r w:rsidRPr="001455DC">
              <w:rPr>
                <w:rStyle w:val="CCMCvariableitalic"/>
              </w:rPr>
              <w:t>α</w:t>
            </w:r>
            <w:r w:rsidRPr="001455DC">
              <w:rPr>
                <w:rStyle w:val="CCMCvariablesubscript"/>
              </w:rPr>
              <w:t>v</w:t>
            </w:r>
          </w:p>
        </w:tc>
        <w:tc>
          <w:tcPr>
            <w:tcW w:w="6548" w:type="dxa"/>
            <w:shd w:val="clear" w:color="auto" w:fill="auto"/>
          </w:tcPr>
          <w:p w14:paraId="38A92A28" w14:textId="77777777" w:rsidR="004E31A8" w:rsidRPr="001455DC" w:rsidRDefault="004E31A8" w:rsidP="000250B6">
            <w:pPr>
              <w:pStyle w:val="Tablebody"/>
              <w:jc w:val="left"/>
              <w:rPr>
                <w:lang w:eastAsia="de-DE"/>
              </w:rPr>
            </w:pPr>
            <w:r w:rsidRPr="001455DC">
              <w:rPr>
                <w:lang w:eastAsia="de-DE"/>
              </w:rPr>
              <w:t>Angle between the principal shear force and the x-axis</w:t>
            </w:r>
          </w:p>
        </w:tc>
        <w:tc>
          <w:tcPr>
            <w:tcW w:w="1984" w:type="dxa"/>
          </w:tcPr>
          <w:p w14:paraId="5E759D69" w14:textId="26ECBD31" w:rsidR="004E31A8" w:rsidRPr="001455DC" w:rsidRDefault="004E31A8" w:rsidP="004E31A8">
            <w:pPr>
              <w:pStyle w:val="Tablebody"/>
              <w:rPr>
                <w:lang w:eastAsia="de-DE"/>
              </w:rPr>
            </w:pPr>
            <w:r w:rsidRPr="009D3012">
              <w:rPr>
                <w:lang w:eastAsia="de-DE"/>
              </w:rPr>
              <w:t>8.2.1(5)</w:t>
            </w:r>
          </w:p>
        </w:tc>
      </w:tr>
      <w:tr w:rsidR="004E31A8" w:rsidRPr="001455DC" w14:paraId="3078B428" w14:textId="6124A427" w:rsidTr="00BE5EF4">
        <w:trPr>
          <w:cantSplit/>
        </w:trPr>
        <w:tc>
          <w:tcPr>
            <w:tcW w:w="1418" w:type="dxa"/>
            <w:shd w:val="clear" w:color="auto" w:fill="auto"/>
          </w:tcPr>
          <w:p w14:paraId="710040E6" w14:textId="77777777" w:rsidR="004E31A8" w:rsidRPr="009D3012" w:rsidRDefault="004E31A8" w:rsidP="004E31A8">
            <w:pPr>
              <w:pStyle w:val="Tablebody"/>
              <w:rPr>
                <w:rStyle w:val="CCMCvariableitalic"/>
              </w:rPr>
            </w:pPr>
            <w:r w:rsidRPr="001455DC">
              <w:rPr>
                <w:rStyle w:val="CCMCvariableitalic"/>
              </w:rPr>
              <w:t>α</w:t>
            </w:r>
            <w:r w:rsidRPr="001455DC">
              <w:rPr>
                <w:rStyle w:val="CCMCvariablesubscript"/>
              </w:rPr>
              <w:t>w</w:t>
            </w:r>
          </w:p>
        </w:tc>
        <w:tc>
          <w:tcPr>
            <w:tcW w:w="6548" w:type="dxa"/>
            <w:shd w:val="clear" w:color="auto" w:fill="auto"/>
          </w:tcPr>
          <w:p w14:paraId="31C6BE21" w14:textId="77777777" w:rsidR="004E31A8" w:rsidRPr="001455DC" w:rsidRDefault="004E31A8" w:rsidP="000250B6">
            <w:pPr>
              <w:pStyle w:val="Tablebody"/>
              <w:jc w:val="left"/>
              <w:rPr>
                <w:lang w:eastAsia="de-DE"/>
              </w:rPr>
            </w:pPr>
            <w:r w:rsidRPr="001455DC">
              <w:rPr>
                <w:lang w:eastAsia="de-DE"/>
              </w:rPr>
              <w:t>Angle between shear reinforcement and the member axis perpendicular to the shear force (measured positive as shown in Figure 8.9b))</w:t>
            </w:r>
          </w:p>
        </w:tc>
        <w:tc>
          <w:tcPr>
            <w:tcW w:w="1984" w:type="dxa"/>
          </w:tcPr>
          <w:p w14:paraId="55BA524B" w14:textId="6322CEA6" w:rsidR="004E31A8" w:rsidRPr="001455DC" w:rsidRDefault="004E31A8" w:rsidP="004E31A8">
            <w:pPr>
              <w:pStyle w:val="Tablebody"/>
              <w:rPr>
                <w:lang w:eastAsia="de-DE"/>
              </w:rPr>
            </w:pPr>
            <w:r w:rsidRPr="009D3012">
              <w:rPr>
                <w:lang w:eastAsia="de-DE"/>
              </w:rPr>
              <w:t>8.2.3(13), Figure 8.11b, 8.4.4(2)</w:t>
            </w:r>
          </w:p>
        </w:tc>
      </w:tr>
      <w:tr w:rsidR="004E31A8" w:rsidRPr="001455DC" w14:paraId="7426E471" w14:textId="67F3F730" w:rsidTr="00BE5EF4">
        <w:trPr>
          <w:cantSplit/>
        </w:trPr>
        <w:tc>
          <w:tcPr>
            <w:tcW w:w="1418" w:type="dxa"/>
            <w:shd w:val="clear" w:color="auto" w:fill="auto"/>
          </w:tcPr>
          <w:p w14:paraId="21A436E7" w14:textId="77777777" w:rsidR="004E31A8" w:rsidRPr="009D3012" w:rsidRDefault="004E31A8" w:rsidP="004E31A8">
            <w:pPr>
              <w:pStyle w:val="Tablebody"/>
              <w:rPr>
                <w:rStyle w:val="CCMCvariableitalic"/>
              </w:rPr>
            </w:pPr>
            <w:r w:rsidRPr="001455DC">
              <w:rPr>
                <w:rStyle w:val="CCMCvariableitalic"/>
              </w:rPr>
              <w:t>α</w:t>
            </w:r>
            <w:r w:rsidRPr="001455DC">
              <w:rPr>
                <w:rStyle w:val="CCMCvariablesubscript"/>
              </w:rPr>
              <w:t>δ</w:t>
            </w:r>
          </w:p>
        </w:tc>
        <w:tc>
          <w:tcPr>
            <w:tcW w:w="6548" w:type="dxa"/>
            <w:shd w:val="clear" w:color="auto" w:fill="auto"/>
          </w:tcPr>
          <w:p w14:paraId="33DB03A0" w14:textId="77777777" w:rsidR="004E31A8" w:rsidRPr="001455DC" w:rsidRDefault="004E31A8" w:rsidP="000250B6">
            <w:pPr>
              <w:pStyle w:val="Tablebody"/>
              <w:jc w:val="left"/>
              <w:rPr>
                <w:lang w:eastAsia="de-DE"/>
              </w:rPr>
            </w:pPr>
            <w:r w:rsidRPr="001455DC">
              <w:rPr>
                <w:lang w:eastAsia="de-DE"/>
              </w:rPr>
              <w:t>Deformation parameter considered which may be, for example, a strain, a curvature, or a rotation or even a deflection</w:t>
            </w:r>
          </w:p>
        </w:tc>
        <w:tc>
          <w:tcPr>
            <w:tcW w:w="1984" w:type="dxa"/>
          </w:tcPr>
          <w:p w14:paraId="155ED484" w14:textId="495EABF1" w:rsidR="004E31A8" w:rsidRPr="001455DC" w:rsidRDefault="004E31A8" w:rsidP="004E31A8">
            <w:pPr>
              <w:pStyle w:val="Tablebody"/>
              <w:rPr>
                <w:lang w:eastAsia="de-DE"/>
              </w:rPr>
            </w:pPr>
            <w:r w:rsidRPr="009D3012">
              <w:rPr>
                <w:lang w:eastAsia="de-DE"/>
              </w:rPr>
              <w:t>9.3.4(3)</w:t>
            </w:r>
          </w:p>
        </w:tc>
      </w:tr>
      <w:tr w:rsidR="004E31A8" w:rsidRPr="001455DC" w14:paraId="212968A8" w14:textId="720B8AE4" w:rsidTr="00BE5EF4">
        <w:trPr>
          <w:cantSplit/>
        </w:trPr>
        <w:tc>
          <w:tcPr>
            <w:tcW w:w="1418" w:type="dxa"/>
            <w:shd w:val="clear" w:color="auto" w:fill="auto"/>
          </w:tcPr>
          <w:p w14:paraId="1316C2A8" w14:textId="77777777" w:rsidR="004E31A8" w:rsidRPr="009D3012" w:rsidRDefault="004E31A8" w:rsidP="004E31A8">
            <w:pPr>
              <w:pStyle w:val="Tablebody"/>
              <w:rPr>
                <w:rStyle w:val="CCMCvariableitalic"/>
              </w:rPr>
            </w:pPr>
            <w:r w:rsidRPr="001455DC">
              <w:rPr>
                <w:rStyle w:val="CCMCvariableitalic"/>
              </w:rPr>
              <w:t>α</w:t>
            </w:r>
            <w:r w:rsidRPr="001455DC">
              <w:rPr>
                <w:rStyle w:val="CCMCvariablesubscript"/>
              </w:rPr>
              <w:t>μ</w:t>
            </w:r>
          </w:p>
        </w:tc>
        <w:tc>
          <w:tcPr>
            <w:tcW w:w="6548" w:type="dxa"/>
            <w:shd w:val="clear" w:color="auto" w:fill="auto"/>
          </w:tcPr>
          <w:p w14:paraId="6B366764" w14:textId="77777777" w:rsidR="004E31A8" w:rsidRPr="001455DC" w:rsidRDefault="004E31A8" w:rsidP="000250B6">
            <w:pPr>
              <w:pStyle w:val="Tablebody"/>
              <w:jc w:val="left"/>
              <w:rPr>
                <w:lang w:eastAsia="de-DE"/>
              </w:rPr>
            </w:pPr>
            <w:r w:rsidRPr="001455DC">
              <w:t>Sum of the absolute values of angular displacements over a distance for the calculation of prestressing losses due to friction</w:t>
            </w:r>
          </w:p>
        </w:tc>
        <w:tc>
          <w:tcPr>
            <w:tcW w:w="1984" w:type="dxa"/>
          </w:tcPr>
          <w:p w14:paraId="3FDC3CD9" w14:textId="4FF71D22" w:rsidR="004E31A8" w:rsidRPr="001455DC" w:rsidRDefault="004E31A8" w:rsidP="004E31A8">
            <w:pPr>
              <w:pStyle w:val="Tablebody"/>
            </w:pPr>
            <w:r w:rsidRPr="009D3012">
              <w:rPr>
                <w:lang w:eastAsia="de-DE"/>
              </w:rPr>
              <w:t>7.10.3.1(1)</w:t>
            </w:r>
          </w:p>
        </w:tc>
      </w:tr>
      <w:tr w:rsidR="004E31A8" w:rsidRPr="001455DC" w14:paraId="17FC0815" w14:textId="7F171995" w:rsidTr="00BE5EF4">
        <w:trPr>
          <w:cantSplit/>
        </w:trPr>
        <w:tc>
          <w:tcPr>
            <w:tcW w:w="1418" w:type="dxa"/>
            <w:shd w:val="clear" w:color="auto" w:fill="auto"/>
          </w:tcPr>
          <w:p w14:paraId="4CA0BC4A" w14:textId="77777777" w:rsidR="004E31A8" w:rsidRPr="009D3012" w:rsidRDefault="004E31A8" w:rsidP="004E31A8">
            <w:pPr>
              <w:pStyle w:val="Tablebody"/>
              <w:rPr>
                <w:rStyle w:val="CCMCvariableitalic"/>
              </w:rPr>
            </w:pPr>
            <w:r w:rsidRPr="001455DC">
              <w:rPr>
                <w:rStyle w:val="CCMCvariableitalic"/>
              </w:rPr>
              <w:t>α</w:t>
            </w:r>
            <w:r w:rsidRPr="001455DC">
              <w:rPr>
                <w:rStyle w:val="CCMCvariablesubscript"/>
              </w:rPr>
              <w:t>I</w:t>
            </w:r>
          </w:p>
        </w:tc>
        <w:tc>
          <w:tcPr>
            <w:tcW w:w="6548" w:type="dxa"/>
            <w:shd w:val="clear" w:color="auto" w:fill="auto"/>
          </w:tcPr>
          <w:p w14:paraId="4D6432C2" w14:textId="77777777" w:rsidR="004E31A8" w:rsidRPr="001455DC" w:rsidRDefault="004E31A8" w:rsidP="000250B6">
            <w:pPr>
              <w:pStyle w:val="Tablebody"/>
              <w:jc w:val="left"/>
              <w:rPr>
                <w:lang w:eastAsia="de-DE"/>
              </w:rPr>
            </w:pPr>
            <w:r w:rsidRPr="001455DC">
              <w:rPr>
                <w:lang w:eastAsia="de-DE"/>
              </w:rPr>
              <w:t xml:space="preserve">Value of </w:t>
            </w:r>
            <w:r w:rsidRPr="001455DC">
              <w:rPr>
                <w:rStyle w:val="CCMCvariableitalic"/>
              </w:rPr>
              <w:t>α</w:t>
            </w:r>
            <w:r w:rsidRPr="001455DC">
              <w:rPr>
                <w:rStyle w:val="CCMCvariablesubscript"/>
              </w:rPr>
              <w:t>δ</w:t>
            </w:r>
            <w:r w:rsidRPr="001455DC">
              <w:rPr>
                <w:lang w:eastAsia="de-DE"/>
              </w:rPr>
              <w:t xml:space="preserve"> calculated for uncracked conditions</w:t>
            </w:r>
          </w:p>
        </w:tc>
        <w:tc>
          <w:tcPr>
            <w:tcW w:w="1984" w:type="dxa"/>
          </w:tcPr>
          <w:p w14:paraId="343D77A5" w14:textId="5625805C" w:rsidR="004E31A8" w:rsidRPr="001455DC" w:rsidRDefault="004E31A8" w:rsidP="004E31A8">
            <w:pPr>
              <w:pStyle w:val="Tablebody"/>
              <w:rPr>
                <w:lang w:eastAsia="de-DE"/>
              </w:rPr>
            </w:pPr>
            <w:r w:rsidRPr="009D3012">
              <w:rPr>
                <w:lang w:eastAsia="de-DE"/>
              </w:rPr>
              <w:t>9.3.4(3)</w:t>
            </w:r>
          </w:p>
        </w:tc>
      </w:tr>
      <w:tr w:rsidR="004E31A8" w:rsidRPr="001455DC" w14:paraId="7DA86CA7" w14:textId="3523BB00" w:rsidTr="00BE5EF4">
        <w:trPr>
          <w:cantSplit/>
        </w:trPr>
        <w:tc>
          <w:tcPr>
            <w:tcW w:w="1418" w:type="dxa"/>
            <w:shd w:val="clear" w:color="auto" w:fill="auto"/>
          </w:tcPr>
          <w:p w14:paraId="3ACECBAC" w14:textId="77777777" w:rsidR="004E31A8" w:rsidRPr="009D3012" w:rsidRDefault="004E31A8" w:rsidP="004E31A8">
            <w:pPr>
              <w:pStyle w:val="Tablebody"/>
              <w:rPr>
                <w:rStyle w:val="CCMCvariableitalic"/>
              </w:rPr>
            </w:pPr>
            <w:r w:rsidRPr="001455DC">
              <w:rPr>
                <w:rStyle w:val="CCMCvariableitalic"/>
              </w:rPr>
              <w:t>α</w:t>
            </w:r>
            <w:r w:rsidRPr="001455DC">
              <w:rPr>
                <w:rStyle w:val="CCMCvariablesubscript"/>
              </w:rPr>
              <w:t>II</w:t>
            </w:r>
          </w:p>
        </w:tc>
        <w:tc>
          <w:tcPr>
            <w:tcW w:w="6548" w:type="dxa"/>
            <w:shd w:val="clear" w:color="auto" w:fill="auto"/>
          </w:tcPr>
          <w:p w14:paraId="2A68483F" w14:textId="77777777" w:rsidR="004E31A8" w:rsidRPr="001455DC" w:rsidRDefault="004E31A8" w:rsidP="000250B6">
            <w:pPr>
              <w:pStyle w:val="Tablebody"/>
              <w:jc w:val="left"/>
              <w:rPr>
                <w:lang w:eastAsia="de-DE"/>
              </w:rPr>
            </w:pPr>
            <w:r w:rsidRPr="001455DC">
              <w:rPr>
                <w:lang w:eastAsia="de-DE"/>
              </w:rPr>
              <w:t xml:space="preserve">Value of </w:t>
            </w:r>
            <w:r w:rsidRPr="001455DC">
              <w:rPr>
                <w:rStyle w:val="CCMCvariableitalic"/>
              </w:rPr>
              <w:t>α</w:t>
            </w:r>
            <w:r w:rsidRPr="001455DC">
              <w:rPr>
                <w:rStyle w:val="CCMCvariablesubscript"/>
              </w:rPr>
              <w:t>δ</w:t>
            </w:r>
            <w:r w:rsidRPr="001455DC">
              <w:rPr>
                <w:lang w:eastAsia="de-DE"/>
              </w:rPr>
              <w:t xml:space="preserve"> calculated for fully cracked conditions</w:t>
            </w:r>
          </w:p>
        </w:tc>
        <w:tc>
          <w:tcPr>
            <w:tcW w:w="1984" w:type="dxa"/>
          </w:tcPr>
          <w:p w14:paraId="36C9C279" w14:textId="77BA2F8C" w:rsidR="004E31A8" w:rsidRPr="001455DC" w:rsidRDefault="004E31A8" w:rsidP="004E31A8">
            <w:pPr>
              <w:pStyle w:val="Tablebody"/>
              <w:rPr>
                <w:lang w:eastAsia="de-DE"/>
              </w:rPr>
            </w:pPr>
            <w:r w:rsidRPr="009D3012">
              <w:rPr>
                <w:lang w:eastAsia="de-DE"/>
              </w:rPr>
              <w:t>9.3.4(3)</w:t>
            </w:r>
          </w:p>
        </w:tc>
      </w:tr>
      <w:tr w:rsidR="004E31A8" w:rsidRPr="001455DC" w14:paraId="204448AF" w14:textId="75365CC4" w:rsidTr="00BE5EF4">
        <w:trPr>
          <w:cantSplit/>
        </w:trPr>
        <w:tc>
          <w:tcPr>
            <w:tcW w:w="1418" w:type="dxa"/>
            <w:shd w:val="clear" w:color="auto" w:fill="auto"/>
          </w:tcPr>
          <w:p w14:paraId="415D45B8" w14:textId="77777777" w:rsidR="004E31A8" w:rsidRPr="009D3012" w:rsidRDefault="004E31A8" w:rsidP="004E31A8">
            <w:pPr>
              <w:pStyle w:val="Tablebody"/>
              <w:rPr>
                <w:rStyle w:val="CCMCvariableitalic"/>
              </w:rPr>
            </w:pPr>
            <w:r w:rsidRPr="001455DC">
              <w:rPr>
                <w:rStyle w:val="CCMCvariableitalic"/>
              </w:rPr>
              <w:t>β</w:t>
            </w:r>
          </w:p>
        </w:tc>
        <w:tc>
          <w:tcPr>
            <w:tcW w:w="6548" w:type="dxa"/>
            <w:shd w:val="clear" w:color="auto" w:fill="auto"/>
          </w:tcPr>
          <w:p w14:paraId="324871D8" w14:textId="77777777" w:rsidR="004E31A8" w:rsidRPr="001455DC" w:rsidRDefault="004E31A8" w:rsidP="000250B6">
            <w:pPr>
              <w:pStyle w:val="Tablebody"/>
              <w:jc w:val="left"/>
              <w:rPr>
                <w:lang w:eastAsia="de-DE"/>
              </w:rPr>
            </w:pPr>
            <w:r w:rsidRPr="001455DC">
              <w:t>Reliability index</w:t>
            </w:r>
          </w:p>
        </w:tc>
        <w:tc>
          <w:tcPr>
            <w:tcW w:w="1984" w:type="dxa"/>
          </w:tcPr>
          <w:p w14:paraId="4191CFFA" w14:textId="3CBEFDCE" w:rsidR="004E31A8" w:rsidRPr="001455DC" w:rsidRDefault="004E31A8" w:rsidP="004E31A8">
            <w:pPr>
              <w:pStyle w:val="Tablebody"/>
            </w:pPr>
            <w:r w:rsidRPr="009D3012">
              <w:rPr>
                <w:lang w:eastAsia="de-DE"/>
              </w:rPr>
              <w:t>F.3.2(1)</w:t>
            </w:r>
          </w:p>
        </w:tc>
      </w:tr>
      <w:tr w:rsidR="004E31A8" w:rsidRPr="001455DC" w14:paraId="362F676B" w14:textId="11E47E91" w:rsidTr="00BE5EF4">
        <w:trPr>
          <w:cantSplit/>
        </w:trPr>
        <w:tc>
          <w:tcPr>
            <w:tcW w:w="1418" w:type="dxa"/>
            <w:shd w:val="clear" w:color="auto" w:fill="auto"/>
          </w:tcPr>
          <w:p w14:paraId="76A5138C" w14:textId="77777777" w:rsidR="004E31A8" w:rsidRPr="009D3012" w:rsidRDefault="004E31A8" w:rsidP="004E31A8">
            <w:pPr>
              <w:pStyle w:val="Tablebody"/>
              <w:rPr>
                <w:rStyle w:val="CCMCvariableitalic"/>
              </w:rPr>
            </w:pPr>
            <w:r w:rsidRPr="001455DC">
              <w:rPr>
                <w:rStyle w:val="CCMCvariableitalic"/>
              </w:rPr>
              <w:t>β</w:t>
            </w:r>
            <w:r w:rsidRPr="001455DC">
              <w:rPr>
                <w:rStyle w:val="CCMCvariablesubscript"/>
              </w:rPr>
              <w:t>incl</w:t>
            </w:r>
          </w:p>
        </w:tc>
        <w:tc>
          <w:tcPr>
            <w:tcW w:w="6548" w:type="dxa"/>
            <w:shd w:val="clear" w:color="auto" w:fill="auto"/>
          </w:tcPr>
          <w:p w14:paraId="35EBE7FB" w14:textId="77777777" w:rsidR="004E31A8" w:rsidRPr="001455DC" w:rsidRDefault="004E31A8" w:rsidP="000250B6">
            <w:pPr>
              <w:pStyle w:val="Tablebody"/>
              <w:jc w:val="left"/>
            </w:pPr>
            <w:r w:rsidRPr="001455DC">
              <w:t>Angle of inclined cross sections for determining the shear resistance in case of direct strutting in deep beams or in presence of concentrated loads near to the support</w:t>
            </w:r>
          </w:p>
        </w:tc>
        <w:tc>
          <w:tcPr>
            <w:tcW w:w="1984" w:type="dxa"/>
          </w:tcPr>
          <w:p w14:paraId="05D844DD" w14:textId="061B89B4" w:rsidR="004E31A8" w:rsidRPr="001455DC" w:rsidRDefault="004E31A8" w:rsidP="004E31A8">
            <w:pPr>
              <w:pStyle w:val="Tablebody"/>
            </w:pPr>
            <w:r w:rsidRPr="009D3012">
              <w:rPr>
                <w:lang w:eastAsia="de-DE"/>
              </w:rPr>
              <w:t>8.2.3(12), Figure 8.11a</w:t>
            </w:r>
          </w:p>
        </w:tc>
      </w:tr>
      <w:tr w:rsidR="004E31A8" w:rsidRPr="001455DC" w14:paraId="6A176450" w14:textId="54D69100" w:rsidTr="00BE5EF4">
        <w:trPr>
          <w:cantSplit/>
        </w:trPr>
        <w:tc>
          <w:tcPr>
            <w:tcW w:w="1418" w:type="dxa"/>
            <w:shd w:val="clear" w:color="auto" w:fill="auto"/>
          </w:tcPr>
          <w:p w14:paraId="539F488A" w14:textId="77777777" w:rsidR="004E31A8" w:rsidRPr="009D3012" w:rsidRDefault="004E31A8" w:rsidP="004E31A8">
            <w:pPr>
              <w:pStyle w:val="Tablebody"/>
              <w:rPr>
                <w:rStyle w:val="CCMCvariableitalic"/>
              </w:rPr>
            </w:pPr>
            <w:r w:rsidRPr="001455DC">
              <w:rPr>
                <w:rStyle w:val="CCMCvariableitalic"/>
              </w:rPr>
              <w:t>β</w:t>
            </w:r>
            <w:r w:rsidRPr="001455DC">
              <w:rPr>
                <w:rStyle w:val="CCMCvariablesubscript"/>
              </w:rPr>
              <w:t>bc,fcm</w:t>
            </w:r>
          </w:p>
        </w:tc>
        <w:tc>
          <w:tcPr>
            <w:tcW w:w="6548" w:type="dxa"/>
            <w:shd w:val="clear" w:color="auto" w:fill="auto"/>
          </w:tcPr>
          <w:p w14:paraId="20AEB9B7" w14:textId="77777777" w:rsidR="004E31A8" w:rsidRPr="001455DC" w:rsidRDefault="004E31A8" w:rsidP="000250B6">
            <w:pPr>
              <w:pStyle w:val="Tablebody"/>
              <w:jc w:val="left"/>
            </w:pPr>
            <w:r w:rsidRPr="001455DC">
              <w:t>Coefficient accounting for the effect of concrete strength on the basic creep coefficient</w:t>
            </w:r>
          </w:p>
        </w:tc>
        <w:tc>
          <w:tcPr>
            <w:tcW w:w="1984" w:type="dxa"/>
          </w:tcPr>
          <w:p w14:paraId="4685881D" w14:textId="655D41AE" w:rsidR="004E31A8" w:rsidRPr="001455DC" w:rsidRDefault="004E31A8" w:rsidP="00BE5EF4">
            <w:pPr>
              <w:pStyle w:val="Tablebody"/>
            </w:pPr>
            <w:r w:rsidRPr="009D3012">
              <w:rPr>
                <w:lang w:eastAsia="de-DE"/>
              </w:rPr>
              <w:t>B.</w:t>
            </w:r>
            <w:r w:rsidR="007D653E" w:rsidRPr="009D3012">
              <w:rPr>
                <w:lang w:eastAsia="de-DE"/>
              </w:rPr>
              <w:t>4</w:t>
            </w:r>
            <w:r w:rsidRPr="009D3012">
              <w:rPr>
                <w:lang w:eastAsia="de-DE"/>
              </w:rPr>
              <w:t>(2)</w:t>
            </w:r>
          </w:p>
        </w:tc>
      </w:tr>
      <w:tr w:rsidR="004E31A8" w:rsidRPr="001455DC" w14:paraId="490C85F4" w14:textId="0BC39595" w:rsidTr="00BE5EF4">
        <w:trPr>
          <w:cantSplit/>
        </w:trPr>
        <w:tc>
          <w:tcPr>
            <w:tcW w:w="1418" w:type="dxa"/>
            <w:shd w:val="clear" w:color="auto" w:fill="auto"/>
          </w:tcPr>
          <w:p w14:paraId="1E70522B" w14:textId="77777777" w:rsidR="004E31A8" w:rsidRPr="009D3012" w:rsidRDefault="004E31A8" w:rsidP="004E31A8">
            <w:pPr>
              <w:pStyle w:val="Tablebody"/>
              <w:rPr>
                <w:rStyle w:val="CCMCvariableitalic"/>
              </w:rPr>
            </w:pPr>
            <w:r w:rsidRPr="001455DC">
              <w:rPr>
                <w:rStyle w:val="CCMCvariableitalic"/>
              </w:rPr>
              <w:t>β</w:t>
            </w:r>
            <w:r w:rsidRPr="001455DC">
              <w:rPr>
                <w:rStyle w:val="CCMCvariablesubscript"/>
              </w:rPr>
              <w:t>bc,t-t0</w:t>
            </w:r>
          </w:p>
        </w:tc>
        <w:tc>
          <w:tcPr>
            <w:tcW w:w="6548" w:type="dxa"/>
            <w:shd w:val="clear" w:color="auto" w:fill="auto"/>
          </w:tcPr>
          <w:p w14:paraId="560CEDD2" w14:textId="77777777" w:rsidR="004E31A8" w:rsidRPr="001455DC" w:rsidRDefault="004E31A8" w:rsidP="000250B6">
            <w:pPr>
              <w:pStyle w:val="Tablebody"/>
              <w:jc w:val="left"/>
            </w:pPr>
            <w:r w:rsidRPr="001455DC">
              <w:t>Coefficient describing the evolution with time of basic creep and accounting for age of loading</w:t>
            </w:r>
          </w:p>
        </w:tc>
        <w:tc>
          <w:tcPr>
            <w:tcW w:w="1984" w:type="dxa"/>
          </w:tcPr>
          <w:p w14:paraId="694E2ED2" w14:textId="6A8C58BA" w:rsidR="004E31A8" w:rsidRPr="001455DC" w:rsidRDefault="004E31A8" w:rsidP="00BE5EF4">
            <w:pPr>
              <w:pStyle w:val="Tablebody"/>
            </w:pPr>
            <w:r w:rsidRPr="009D3012">
              <w:rPr>
                <w:lang w:eastAsia="de-DE"/>
              </w:rPr>
              <w:t>B.</w:t>
            </w:r>
            <w:r w:rsidR="007D653E" w:rsidRPr="009D3012">
              <w:rPr>
                <w:lang w:eastAsia="de-DE"/>
              </w:rPr>
              <w:t>4</w:t>
            </w:r>
            <w:r w:rsidRPr="009D3012">
              <w:rPr>
                <w:lang w:eastAsia="de-DE"/>
              </w:rPr>
              <w:t>(2)</w:t>
            </w:r>
          </w:p>
        </w:tc>
      </w:tr>
      <w:tr w:rsidR="004E31A8" w:rsidRPr="001455DC" w14:paraId="6C0843D5" w14:textId="7767293E" w:rsidTr="00BE5EF4">
        <w:trPr>
          <w:cantSplit/>
        </w:trPr>
        <w:tc>
          <w:tcPr>
            <w:tcW w:w="1418" w:type="dxa"/>
            <w:shd w:val="clear" w:color="auto" w:fill="auto"/>
          </w:tcPr>
          <w:p w14:paraId="007BB45E" w14:textId="77777777" w:rsidR="004E31A8" w:rsidRPr="009D3012" w:rsidRDefault="004E31A8" w:rsidP="004E31A8">
            <w:pPr>
              <w:pStyle w:val="Tablebody"/>
              <w:rPr>
                <w:rStyle w:val="CCMCvariableitalic"/>
              </w:rPr>
            </w:pPr>
            <w:r w:rsidRPr="001455DC">
              <w:rPr>
                <w:rStyle w:val="CCMCvariableitalic"/>
              </w:rPr>
              <w:t>β</w:t>
            </w:r>
            <w:r w:rsidRPr="001455DC">
              <w:rPr>
                <w:rStyle w:val="CCMCvariablesubscript"/>
              </w:rPr>
              <w:t>bs ,t</w:t>
            </w:r>
          </w:p>
        </w:tc>
        <w:tc>
          <w:tcPr>
            <w:tcW w:w="6548" w:type="dxa"/>
            <w:shd w:val="clear" w:color="auto" w:fill="auto"/>
          </w:tcPr>
          <w:p w14:paraId="24C31BA5" w14:textId="77777777" w:rsidR="004E31A8" w:rsidRPr="001455DC" w:rsidRDefault="004E31A8" w:rsidP="000250B6">
            <w:pPr>
              <w:pStyle w:val="Tablebody"/>
              <w:jc w:val="left"/>
            </w:pPr>
            <w:r w:rsidRPr="001455DC">
              <w:t>Coefficient describing the evolution with time of basic shrinkage</w:t>
            </w:r>
          </w:p>
        </w:tc>
        <w:tc>
          <w:tcPr>
            <w:tcW w:w="1984" w:type="dxa"/>
          </w:tcPr>
          <w:p w14:paraId="4BA6327F" w14:textId="77777777" w:rsidR="004E31A8" w:rsidRPr="001455DC" w:rsidRDefault="004E31A8" w:rsidP="004E31A8">
            <w:pPr>
              <w:pStyle w:val="Tablebody"/>
            </w:pPr>
          </w:p>
        </w:tc>
      </w:tr>
      <w:tr w:rsidR="004E31A8" w:rsidRPr="001455DC" w14:paraId="177AD3CA" w14:textId="41EC1F75" w:rsidTr="00BE5EF4">
        <w:trPr>
          <w:cantSplit/>
        </w:trPr>
        <w:tc>
          <w:tcPr>
            <w:tcW w:w="1418" w:type="dxa"/>
            <w:shd w:val="clear" w:color="auto" w:fill="auto"/>
          </w:tcPr>
          <w:p w14:paraId="141F453F" w14:textId="77777777" w:rsidR="004E31A8" w:rsidRPr="009D3012" w:rsidRDefault="004E31A8" w:rsidP="004E31A8">
            <w:pPr>
              <w:pStyle w:val="Tablebody"/>
              <w:rPr>
                <w:rStyle w:val="CCMCvariableitalic"/>
              </w:rPr>
            </w:pPr>
            <w:r w:rsidRPr="001455DC">
              <w:rPr>
                <w:rStyle w:val="CCMCvariableitalic"/>
              </w:rPr>
              <w:t>β</w:t>
            </w:r>
            <w:r w:rsidRPr="001455DC">
              <w:rPr>
                <w:rStyle w:val="CCMCvariablesubscript"/>
              </w:rPr>
              <w:t>c</w:t>
            </w:r>
          </w:p>
        </w:tc>
        <w:tc>
          <w:tcPr>
            <w:tcW w:w="6548" w:type="dxa"/>
            <w:shd w:val="clear" w:color="auto" w:fill="auto"/>
          </w:tcPr>
          <w:p w14:paraId="0EB02B53" w14:textId="77777777" w:rsidR="004E31A8" w:rsidRPr="001455DC" w:rsidRDefault="004E31A8" w:rsidP="000250B6">
            <w:pPr>
              <w:pStyle w:val="Tablebody"/>
              <w:jc w:val="left"/>
            </w:pPr>
            <w:r w:rsidRPr="001455DC">
              <w:t>Coefficient which depends on the distribution of 1</w:t>
            </w:r>
            <w:r w:rsidRPr="001455DC">
              <w:rPr>
                <w:rStyle w:val="CCMCvariablesuperscript"/>
              </w:rPr>
              <w:t>st</w:t>
            </w:r>
            <w:r w:rsidRPr="001455DC">
              <w:t xml:space="preserve"> and 2</w:t>
            </w:r>
            <w:r w:rsidRPr="001455DC">
              <w:rPr>
                <w:rStyle w:val="CCMCvariablesuperscript"/>
              </w:rPr>
              <w:t>nd</w:t>
            </w:r>
            <w:r w:rsidRPr="001455DC">
              <w:t xml:space="preserve"> order moments</w:t>
            </w:r>
          </w:p>
        </w:tc>
        <w:tc>
          <w:tcPr>
            <w:tcW w:w="1984" w:type="dxa"/>
          </w:tcPr>
          <w:p w14:paraId="1A7FA5DF" w14:textId="49394B18" w:rsidR="004E31A8" w:rsidRPr="001455DC" w:rsidRDefault="004E31A8" w:rsidP="004E31A8">
            <w:pPr>
              <w:pStyle w:val="Tablebody"/>
            </w:pPr>
            <w:r w:rsidRPr="009D3012">
              <w:rPr>
                <w:lang w:eastAsia="de-DE"/>
              </w:rPr>
              <w:t>O.8.2(1)</w:t>
            </w:r>
          </w:p>
        </w:tc>
      </w:tr>
      <w:tr w:rsidR="004E31A8" w:rsidRPr="001455DC" w14:paraId="1D978F2E" w14:textId="2E0B11BD" w:rsidTr="00BE5EF4">
        <w:trPr>
          <w:cantSplit/>
        </w:trPr>
        <w:tc>
          <w:tcPr>
            <w:tcW w:w="1418" w:type="dxa"/>
            <w:shd w:val="clear" w:color="auto" w:fill="auto"/>
          </w:tcPr>
          <w:p w14:paraId="5E1BAE8B" w14:textId="77777777" w:rsidR="004E31A8" w:rsidRPr="009D3012" w:rsidRDefault="004E31A8" w:rsidP="004E31A8">
            <w:pPr>
              <w:pStyle w:val="Tablebody"/>
              <w:rPr>
                <w:rStyle w:val="CCMCvariableitalic"/>
              </w:rPr>
            </w:pPr>
            <w:r w:rsidRPr="001455DC">
              <w:rPr>
                <w:rStyle w:val="CCMCvariableitalic"/>
              </w:rPr>
              <w:t>β</w:t>
            </w:r>
            <w:r w:rsidRPr="001455DC">
              <w:rPr>
                <w:rStyle w:val="CCMCvariablesubscript"/>
              </w:rPr>
              <w:t>cc</w:t>
            </w:r>
            <w:r w:rsidRPr="001455DC">
              <w:t>(</w:t>
            </w:r>
            <w:r w:rsidRPr="001455DC">
              <w:rPr>
                <w:rStyle w:val="CCMCvariableitalic"/>
              </w:rPr>
              <w:t>t</w:t>
            </w:r>
            <w:r w:rsidRPr="001455DC">
              <w:t>)</w:t>
            </w:r>
          </w:p>
        </w:tc>
        <w:tc>
          <w:tcPr>
            <w:tcW w:w="6548" w:type="dxa"/>
            <w:shd w:val="clear" w:color="auto" w:fill="auto"/>
          </w:tcPr>
          <w:p w14:paraId="6703F33E" w14:textId="77777777" w:rsidR="004E31A8" w:rsidRPr="001455DC" w:rsidRDefault="004E31A8" w:rsidP="000250B6">
            <w:pPr>
              <w:pStyle w:val="Tablebody"/>
              <w:jc w:val="left"/>
              <w:rPr>
                <w:lang w:eastAsia="de-DE"/>
              </w:rPr>
            </w:pPr>
            <w:r w:rsidRPr="001455DC">
              <w:t xml:space="preserve">Coefficient for determining the compressive concrete strength which depends on the age of the concrete </w:t>
            </w:r>
            <w:r w:rsidRPr="001455DC">
              <w:rPr>
                <w:rStyle w:val="CCMCvariableitalic"/>
              </w:rPr>
              <w:t>t</w:t>
            </w:r>
            <w:r w:rsidRPr="001455DC">
              <w:t xml:space="preserve"> </w:t>
            </w:r>
          </w:p>
        </w:tc>
        <w:tc>
          <w:tcPr>
            <w:tcW w:w="1984" w:type="dxa"/>
          </w:tcPr>
          <w:p w14:paraId="79B43C33" w14:textId="083875BD" w:rsidR="004E31A8" w:rsidRPr="001455DC" w:rsidRDefault="004E31A8" w:rsidP="00BE5EF4">
            <w:pPr>
              <w:pStyle w:val="Tablebody"/>
            </w:pPr>
            <w:r w:rsidRPr="009D3012">
              <w:rPr>
                <w:lang w:eastAsia="de-DE"/>
              </w:rPr>
              <w:t>B.</w:t>
            </w:r>
            <w:r w:rsidR="00D63F75" w:rsidRPr="009D3012">
              <w:rPr>
                <w:lang w:eastAsia="de-DE"/>
              </w:rPr>
              <w:t>8</w:t>
            </w:r>
            <w:r w:rsidRPr="009D3012">
              <w:rPr>
                <w:lang w:eastAsia="de-DE"/>
              </w:rPr>
              <w:t>(1)</w:t>
            </w:r>
          </w:p>
        </w:tc>
      </w:tr>
      <w:tr w:rsidR="004E31A8" w:rsidRPr="001455DC" w14:paraId="3827BD57" w14:textId="127667BE" w:rsidTr="00BE5EF4">
        <w:trPr>
          <w:cantSplit/>
        </w:trPr>
        <w:tc>
          <w:tcPr>
            <w:tcW w:w="1418" w:type="dxa"/>
            <w:shd w:val="clear" w:color="auto" w:fill="auto"/>
          </w:tcPr>
          <w:p w14:paraId="5A5CA2A3" w14:textId="77777777" w:rsidR="004E31A8" w:rsidRPr="009D3012" w:rsidRDefault="004E31A8" w:rsidP="004E31A8">
            <w:pPr>
              <w:pStyle w:val="Tablebody"/>
              <w:rPr>
                <w:rStyle w:val="CCMCvariableitalic"/>
              </w:rPr>
            </w:pPr>
            <w:r w:rsidRPr="001455DC">
              <w:rPr>
                <w:rStyle w:val="CCMCvariableitalic"/>
              </w:rPr>
              <w:t>β</w:t>
            </w:r>
            <w:r w:rsidRPr="001455DC">
              <w:rPr>
                <w:rStyle w:val="CCMCvariablesubscript"/>
              </w:rPr>
              <w:t>dc,fcm</w:t>
            </w:r>
          </w:p>
        </w:tc>
        <w:tc>
          <w:tcPr>
            <w:tcW w:w="6548" w:type="dxa"/>
            <w:shd w:val="clear" w:color="auto" w:fill="auto"/>
          </w:tcPr>
          <w:p w14:paraId="2ED839A2" w14:textId="77777777" w:rsidR="004E31A8" w:rsidRPr="001455DC" w:rsidRDefault="004E31A8" w:rsidP="000250B6">
            <w:pPr>
              <w:pStyle w:val="Tablebody"/>
              <w:jc w:val="left"/>
            </w:pPr>
            <w:r w:rsidRPr="001455DC">
              <w:t>Coefficient accounting for the effect of concrete strength on the drying creep coefficient</w:t>
            </w:r>
          </w:p>
        </w:tc>
        <w:tc>
          <w:tcPr>
            <w:tcW w:w="1984" w:type="dxa"/>
          </w:tcPr>
          <w:p w14:paraId="63769733" w14:textId="61FC0086" w:rsidR="004E31A8" w:rsidRPr="001455DC" w:rsidRDefault="004E31A8" w:rsidP="00BE5EF4">
            <w:pPr>
              <w:pStyle w:val="Tablebody"/>
            </w:pPr>
            <w:r w:rsidRPr="009D3012">
              <w:rPr>
                <w:lang w:eastAsia="de-DE"/>
              </w:rPr>
              <w:t>B.</w:t>
            </w:r>
            <w:r w:rsidR="007D653E" w:rsidRPr="009D3012">
              <w:rPr>
                <w:lang w:eastAsia="de-DE"/>
              </w:rPr>
              <w:t>4</w:t>
            </w:r>
            <w:r w:rsidRPr="009D3012">
              <w:rPr>
                <w:lang w:eastAsia="de-DE"/>
              </w:rPr>
              <w:t>(3)</w:t>
            </w:r>
          </w:p>
        </w:tc>
      </w:tr>
      <w:tr w:rsidR="004E31A8" w:rsidRPr="001455DC" w14:paraId="4AE7DE28" w14:textId="57935BB0" w:rsidTr="00BE5EF4">
        <w:trPr>
          <w:cantSplit/>
        </w:trPr>
        <w:tc>
          <w:tcPr>
            <w:tcW w:w="1418" w:type="dxa"/>
            <w:shd w:val="clear" w:color="auto" w:fill="auto"/>
          </w:tcPr>
          <w:p w14:paraId="67978300" w14:textId="77777777" w:rsidR="004E31A8" w:rsidRPr="009D3012" w:rsidRDefault="004E31A8" w:rsidP="004E31A8">
            <w:pPr>
              <w:pStyle w:val="Tablebody"/>
              <w:rPr>
                <w:rStyle w:val="CCMCvariableitalic"/>
              </w:rPr>
            </w:pPr>
            <w:r w:rsidRPr="001455DC">
              <w:rPr>
                <w:rStyle w:val="CCMCvariableitalic"/>
              </w:rPr>
              <w:t>β</w:t>
            </w:r>
            <w:r w:rsidRPr="001455DC">
              <w:rPr>
                <w:rStyle w:val="CCMCvariablesubscript"/>
              </w:rPr>
              <w:t>dc,RH</w:t>
            </w:r>
          </w:p>
        </w:tc>
        <w:tc>
          <w:tcPr>
            <w:tcW w:w="6548" w:type="dxa"/>
            <w:shd w:val="clear" w:color="auto" w:fill="auto"/>
          </w:tcPr>
          <w:p w14:paraId="3A899362" w14:textId="77777777" w:rsidR="004E31A8" w:rsidRPr="001455DC" w:rsidRDefault="004E31A8" w:rsidP="000250B6">
            <w:pPr>
              <w:pStyle w:val="Tablebody"/>
              <w:jc w:val="left"/>
            </w:pPr>
            <w:r w:rsidRPr="001455DC">
              <w:t>Coefficient accounting for the effect of relative humidity on the drying creep coefficient</w:t>
            </w:r>
          </w:p>
        </w:tc>
        <w:tc>
          <w:tcPr>
            <w:tcW w:w="1984" w:type="dxa"/>
          </w:tcPr>
          <w:p w14:paraId="4B3158D0" w14:textId="3FE683B2" w:rsidR="004E31A8" w:rsidRPr="001455DC" w:rsidRDefault="004E31A8" w:rsidP="00BE5EF4">
            <w:pPr>
              <w:pStyle w:val="Tablebody"/>
            </w:pPr>
            <w:r w:rsidRPr="009D3012">
              <w:rPr>
                <w:lang w:eastAsia="de-DE"/>
              </w:rPr>
              <w:t>B.</w:t>
            </w:r>
            <w:r w:rsidR="007D653E" w:rsidRPr="009D3012">
              <w:rPr>
                <w:lang w:eastAsia="de-DE"/>
              </w:rPr>
              <w:t>4</w:t>
            </w:r>
            <w:r w:rsidRPr="009D3012">
              <w:rPr>
                <w:lang w:eastAsia="de-DE"/>
              </w:rPr>
              <w:t>(3)</w:t>
            </w:r>
          </w:p>
        </w:tc>
      </w:tr>
      <w:tr w:rsidR="004E31A8" w:rsidRPr="001455DC" w14:paraId="54F3C455" w14:textId="3F28F04A" w:rsidTr="00BE5EF4">
        <w:trPr>
          <w:cantSplit/>
        </w:trPr>
        <w:tc>
          <w:tcPr>
            <w:tcW w:w="1418" w:type="dxa"/>
            <w:shd w:val="clear" w:color="auto" w:fill="auto"/>
          </w:tcPr>
          <w:p w14:paraId="3C429047" w14:textId="77777777" w:rsidR="004E31A8" w:rsidRPr="009D3012" w:rsidRDefault="004E31A8" w:rsidP="004E31A8">
            <w:pPr>
              <w:pStyle w:val="Tablebody"/>
              <w:rPr>
                <w:rStyle w:val="CCMCvariableitalic"/>
              </w:rPr>
            </w:pPr>
            <w:r w:rsidRPr="001455DC">
              <w:rPr>
                <w:rStyle w:val="CCMCvariableitalic"/>
              </w:rPr>
              <w:t>β</w:t>
            </w:r>
            <w:r w:rsidRPr="001455DC">
              <w:rPr>
                <w:rStyle w:val="CCMCvariablesubscript"/>
              </w:rPr>
              <w:t>dc,to</w:t>
            </w:r>
          </w:p>
        </w:tc>
        <w:tc>
          <w:tcPr>
            <w:tcW w:w="6548" w:type="dxa"/>
            <w:shd w:val="clear" w:color="auto" w:fill="auto"/>
          </w:tcPr>
          <w:p w14:paraId="60A5D546" w14:textId="77777777" w:rsidR="004E31A8" w:rsidRPr="001455DC" w:rsidRDefault="004E31A8" w:rsidP="000250B6">
            <w:pPr>
              <w:pStyle w:val="Tablebody"/>
              <w:jc w:val="left"/>
            </w:pPr>
            <w:r w:rsidRPr="001455DC">
              <w:t>Coefficient accounting for the effect of age of loading on the drying creep coefficient</w:t>
            </w:r>
          </w:p>
        </w:tc>
        <w:tc>
          <w:tcPr>
            <w:tcW w:w="1984" w:type="dxa"/>
          </w:tcPr>
          <w:p w14:paraId="209720B9" w14:textId="7ED3971D" w:rsidR="004E31A8" w:rsidRPr="001455DC" w:rsidRDefault="004E31A8" w:rsidP="00BE5EF4">
            <w:pPr>
              <w:pStyle w:val="Tablebody"/>
            </w:pPr>
            <w:r w:rsidRPr="009D3012">
              <w:rPr>
                <w:lang w:eastAsia="de-DE"/>
              </w:rPr>
              <w:t>B.</w:t>
            </w:r>
            <w:r w:rsidR="007D653E" w:rsidRPr="009D3012">
              <w:rPr>
                <w:lang w:eastAsia="de-DE"/>
              </w:rPr>
              <w:t>4</w:t>
            </w:r>
            <w:r w:rsidRPr="009D3012">
              <w:rPr>
                <w:lang w:eastAsia="de-DE"/>
              </w:rPr>
              <w:t>(3)</w:t>
            </w:r>
          </w:p>
        </w:tc>
      </w:tr>
      <w:tr w:rsidR="004E31A8" w:rsidRPr="001455DC" w14:paraId="16C32D99" w14:textId="60CF2AE1" w:rsidTr="00BE5EF4">
        <w:trPr>
          <w:cantSplit/>
        </w:trPr>
        <w:tc>
          <w:tcPr>
            <w:tcW w:w="1418" w:type="dxa"/>
            <w:shd w:val="clear" w:color="auto" w:fill="auto"/>
          </w:tcPr>
          <w:p w14:paraId="26BFCBEB" w14:textId="77777777" w:rsidR="004E31A8" w:rsidRPr="009D3012" w:rsidRDefault="004E31A8" w:rsidP="004E31A8">
            <w:pPr>
              <w:pStyle w:val="Tablebody"/>
              <w:rPr>
                <w:rStyle w:val="CCMCvariableitalic"/>
              </w:rPr>
            </w:pPr>
            <w:r w:rsidRPr="001455DC">
              <w:rPr>
                <w:rStyle w:val="CCMCvariableitalic"/>
              </w:rPr>
              <w:t>β</w:t>
            </w:r>
            <w:r w:rsidRPr="001455DC">
              <w:rPr>
                <w:rStyle w:val="CCMCvariablesubscript"/>
              </w:rPr>
              <w:t>dc,t-t0</w:t>
            </w:r>
          </w:p>
        </w:tc>
        <w:tc>
          <w:tcPr>
            <w:tcW w:w="6548" w:type="dxa"/>
            <w:shd w:val="clear" w:color="auto" w:fill="auto"/>
          </w:tcPr>
          <w:p w14:paraId="26FEC473" w14:textId="77777777" w:rsidR="004E31A8" w:rsidRPr="001455DC" w:rsidRDefault="004E31A8" w:rsidP="000250B6">
            <w:pPr>
              <w:pStyle w:val="Tablebody"/>
              <w:jc w:val="left"/>
            </w:pPr>
            <w:r w:rsidRPr="001455DC">
              <w:t>Coefficient describing the evolution with time of drying creep and accounting for the effect of notional size and age at loading</w:t>
            </w:r>
          </w:p>
        </w:tc>
        <w:tc>
          <w:tcPr>
            <w:tcW w:w="1984" w:type="dxa"/>
          </w:tcPr>
          <w:p w14:paraId="06ACD322" w14:textId="61F3F635" w:rsidR="004E31A8" w:rsidRPr="001455DC" w:rsidRDefault="004E31A8" w:rsidP="00BE5EF4">
            <w:pPr>
              <w:pStyle w:val="Tablebody"/>
            </w:pPr>
            <w:r w:rsidRPr="009D3012">
              <w:rPr>
                <w:lang w:val="nb-NO" w:eastAsia="de-DE"/>
              </w:rPr>
              <w:t>B.</w:t>
            </w:r>
            <w:r w:rsidR="007D653E" w:rsidRPr="009D3012">
              <w:rPr>
                <w:lang w:val="nb-NO" w:eastAsia="de-DE"/>
              </w:rPr>
              <w:t>4</w:t>
            </w:r>
            <w:r w:rsidRPr="009D3012">
              <w:rPr>
                <w:lang w:val="nb-NO" w:eastAsia="de-DE"/>
              </w:rPr>
              <w:t>(3)</w:t>
            </w:r>
          </w:p>
        </w:tc>
      </w:tr>
      <w:tr w:rsidR="004E31A8" w:rsidRPr="001455DC" w14:paraId="1D3DEFDB" w14:textId="2F2C6737" w:rsidTr="00BE5EF4">
        <w:trPr>
          <w:cantSplit/>
        </w:trPr>
        <w:tc>
          <w:tcPr>
            <w:tcW w:w="1418" w:type="dxa"/>
            <w:shd w:val="clear" w:color="auto" w:fill="auto"/>
          </w:tcPr>
          <w:p w14:paraId="58B8F470" w14:textId="77777777" w:rsidR="004E31A8" w:rsidRPr="009D3012" w:rsidRDefault="004E31A8" w:rsidP="004E31A8">
            <w:pPr>
              <w:pStyle w:val="Tablebody"/>
              <w:rPr>
                <w:rStyle w:val="CCMCvariableitalic"/>
              </w:rPr>
            </w:pPr>
            <w:r w:rsidRPr="001455DC">
              <w:rPr>
                <w:rStyle w:val="CCMCvariableitalic"/>
              </w:rPr>
              <w:t>β</w:t>
            </w:r>
            <w:r w:rsidRPr="001455DC">
              <w:rPr>
                <w:rStyle w:val="CCMCvariablesubscript"/>
              </w:rPr>
              <w:t>ds,t-ts</w:t>
            </w:r>
          </w:p>
        </w:tc>
        <w:tc>
          <w:tcPr>
            <w:tcW w:w="6548" w:type="dxa"/>
            <w:shd w:val="clear" w:color="auto" w:fill="auto"/>
          </w:tcPr>
          <w:p w14:paraId="4A864CD2" w14:textId="77777777" w:rsidR="004E31A8" w:rsidRPr="001455DC" w:rsidRDefault="004E31A8" w:rsidP="000250B6">
            <w:pPr>
              <w:pStyle w:val="Tablebody"/>
              <w:jc w:val="left"/>
            </w:pPr>
            <w:r w:rsidRPr="001455DC">
              <w:t>Coefficient describing the evolution with time of drying shrinkage and accounting for the effect of notional size</w:t>
            </w:r>
          </w:p>
        </w:tc>
        <w:tc>
          <w:tcPr>
            <w:tcW w:w="1984" w:type="dxa"/>
          </w:tcPr>
          <w:p w14:paraId="558074BB" w14:textId="05402DFE" w:rsidR="004E31A8" w:rsidRPr="001455DC" w:rsidRDefault="004E31A8" w:rsidP="00BE5EF4">
            <w:pPr>
              <w:pStyle w:val="Tablebody"/>
            </w:pPr>
            <w:r w:rsidRPr="009D3012">
              <w:rPr>
                <w:lang w:val="nb-NO" w:eastAsia="de-DE"/>
              </w:rPr>
              <w:t>B.</w:t>
            </w:r>
            <w:r w:rsidR="001A17A7" w:rsidRPr="009D3012">
              <w:rPr>
                <w:lang w:val="nb-NO" w:eastAsia="de-DE"/>
              </w:rPr>
              <w:t>5</w:t>
            </w:r>
            <w:r w:rsidRPr="009D3012">
              <w:rPr>
                <w:lang w:val="nb-NO" w:eastAsia="de-DE"/>
              </w:rPr>
              <w:t>(1)</w:t>
            </w:r>
          </w:p>
        </w:tc>
      </w:tr>
      <w:tr w:rsidR="004E31A8" w:rsidRPr="001455DC" w14:paraId="677ADEE8" w14:textId="3C0B1C46" w:rsidTr="00BE5EF4">
        <w:trPr>
          <w:cantSplit/>
        </w:trPr>
        <w:tc>
          <w:tcPr>
            <w:tcW w:w="1418" w:type="dxa"/>
            <w:shd w:val="clear" w:color="auto" w:fill="auto"/>
          </w:tcPr>
          <w:p w14:paraId="6C2756AF" w14:textId="77777777" w:rsidR="004E31A8" w:rsidRPr="009D3012" w:rsidRDefault="004E31A8" w:rsidP="004E31A8">
            <w:pPr>
              <w:pStyle w:val="Tablebody"/>
              <w:rPr>
                <w:rStyle w:val="CCMCvariableitalic"/>
              </w:rPr>
            </w:pPr>
            <w:r w:rsidRPr="001455DC">
              <w:rPr>
                <w:rStyle w:val="CCMCvariableitalic"/>
              </w:rPr>
              <w:t>β</w:t>
            </w:r>
            <w:r w:rsidRPr="001455DC">
              <w:rPr>
                <w:rStyle w:val="CCMCvariablesubscript"/>
              </w:rPr>
              <w:t>e</w:t>
            </w:r>
          </w:p>
        </w:tc>
        <w:tc>
          <w:tcPr>
            <w:tcW w:w="6548" w:type="dxa"/>
            <w:shd w:val="clear" w:color="auto" w:fill="auto"/>
          </w:tcPr>
          <w:p w14:paraId="3C356545" w14:textId="77777777" w:rsidR="004E31A8" w:rsidRPr="001455DC" w:rsidRDefault="004E31A8" w:rsidP="000250B6">
            <w:pPr>
              <w:pStyle w:val="Tablebody"/>
              <w:jc w:val="left"/>
            </w:pPr>
            <w:r w:rsidRPr="001455DC">
              <w:rPr>
                <w:lang w:eastAsia="de-CH"/>
              </w:rPr>
              <w:t>Coefficient accounting for concentrations of the shear forces along a control perimeter</w:t>
            </w:r>
          </w:p>
        </w:tc>
        <w:tc>
          <w:tcPr>
            <w:tcW w:w="1984" w:type="dxa"/>
          </w:tcPr>
          <w:p w14:paraId="11488A51" w14:textId="41F88FD4" w:rsidR="004E31A8" w:rsidRPr="001455DC" w:rsidRDefault="004E31A8" w:rsidP="004E31A8">
            <w:pPr>
              <w:pStyle w:val="Tablebody"/>
              <w:rPr>
                <w:lang w:eastAsia="de-CH"/>
              </w:rPr>
            </w:pPr>
            <w:r w:rsidRPr="009D3012">
              <w:rPr>
                <w:lang w:val="nb-NO" w:eastAsia="de-DE"/>
              </w:rPr>
              <w:t>8.4.2(6-9</w:t>
            </w:r>
          </w:p>
        </w:tc>
      </w:tr>
      <w:tr w:rsidR="004E31A8" w:rsidRPr="001455DC" w14:paraId="6A5C5D18" w14:textId="26EEF395" w:rsidTr="00BE5EF4">
        <w:trPr>
          <w:cantSplit/>
        </w:trPr>
        <w:tc>
          <w:tcPr>
            <w:tcW w:w="1418" w:type="dxa"/>
            <w:shd w:val="clear" w:color="auto" w:fill="auto"/>
          </w:tcPr>
          <w:p w14:paraId="6FC65820" w14:textId="77777777" w:rsidR="004E31A8" w:rsidRPr="009D3012" w:rsidRDefault="004E31A8" w:rsidP="004E31A8">
            <w:pPr>
              <w:pStyle w:val="Tablebody"/>
              <w:rPr>
                <w:rStyle w:val="CCMCvariableitalic"/>
              </w:rPr>
            </w:pPr>
            <w:r w:rsidRPr="001455DC">
              <w:rPr>
                <w:rStyle w:val="CCMCvariableitalic"/>
              </w:rPr>
              <w:t>β</w:t>
            </w:r>
            <w:r w:rsidRPr="001455DC">
              <w:rPr>
                <w:rStyle w:val="CCMCvariablesubscript"/>
              </w:rPr>
              <w:t>fck</w:t>
            </w:r>
          </w:p>
        </w:tc>
        <w:tc>
          <w:tcPr>
            <w:tcW w:w="6548" w:type="dxa"/>
            <w:shd w:val="clear" w:color="auto" w:fill="auto"/>
          </w:tcPr>
          <w:p w14:paraId="272FA868" w14:textId="77777777" w:rsidR="004E31A8" w:rsidRPr="001455DC" w:rsidRDefault="004E31A8" w:rsidP="000250B6">
            <w:pPr>
              <w:pStyle w:val="Tablebody"/>
              <w:jc w:val="left"/>
              <w:rPr>
                <w:lang w:eastAsia="de-DE"/>
              </w:rPr>
            </w:pPr>
            <w:r w:rsidRPr="001455DC">
              <w:rPr>
                <w:lang w:eastAsia="de-DE"/>
              </w:rPr>
              <w:t>Coefficient accounting for concrete strength and slenderness, used in the nominal curvature method</w:t>
            </w:r>
          </w:p>
        </w:tc>
        <w:tc>
          <w:tcPr>
            <w:tcW w:w="1984" w:type="dxa"/>
          </w:tcPr>
          <w:p w14:paraId="380370C6" w14:textId="77B292E7" w:rsidR="004E31A8" w:rsidRPr="001455DC" w:rsidRDefault="004E31A8" w:rsidP="004E31A8">
            <w:pPr>
              <w:pStyle w:val="Tablebody"/>
              <w:rPr>
                <w:lang w:eastAsia="de-DE"/>
              </w:rPr>
            </w:pPr>
            <w:r w:rsidRPr="009D3012">
              <w:rPr>
                <w:lang w:eastAsia="de-DE"/>
              </w:rPr>
              <w:t>O.7.3(4)</w:t>
            </w:r>
          </w:p>
        </w:tc>
      </w:tr>
      <w:tr w:rsidR="004E31A8" w:rsidRPr="001455DC" w14:paraId="23F5E201" w14:textId="770A2701" w:rsidTr="00BE5EF4">
        <w:trPr>
          <w:cantSplit/>
        </w:trPr>
        <w:tc>
          <w:tcPr>
            <w:tcW w:w="1418" w:type="dxa"/>
            <w:shd w:val="clear" w:color="auto" w:fill="auto"/>
          </w:tcPr>
          <w:p w14:paraId="746C4E36" w14:textId="77777777" w:rsidR="004E31A8" w:rsidRPr="009D3012" w:rsidRDefault="004E31A8" w:rsidP="004E31A8">
            <w:pPr>
              <w:pStyle w:val="Tablebody"/>
              <w:rPr>
                <w:rStyle w:val="CCMCvariableitalic"/>
              </w:rPr>
            </w:pPr>
            <w:r w:rsidRPr="001455DC">
              <w:rPr>
                <w:rStyle w:val="CCMCvariableitalic"/>
              </w:rPr>
              <w:t>β</w:t>
            </w:r>
            <w:r w:rsidRPr="001455DC">
              <w:rPr>
                <w:rStyle w:val="CCMCvariablesubscript"/>
              </w:rPr>
              <w:t>h</w:t>
            </w:r>
          </w:p>
        </w:tc>
        <w:tc>
          <w:tcPr>
            <w:tcW w:w="6548" w:type="dxa"/>
            <w:shd w:val="clear" w:color="auto" w:fill="auto"/>
          </w:tcPr>
          <w:p w14:paraId="7A016E6A" w14:textId="77777777" w:rsidR="004E31A8" w:rsidRPr="001455DC" w:rsidRDefault="004E31A8" w:rsidP="000250B6">
            <w:pPr>
              <w:pStyle w:val="Tablebody"/>
              <w:jc w:val="left"/>
              <w:rPr>
                <w:lang w:eastAsia="de-DE"/>
              </w:rPr>
            </w:pPr>
            <w:r w:rsidRPr="001455DC">
              <w:rPr>
                <w:lang w:eastAsia="de-DE"/>
              </w:rPr>
              <w:t>Coefficient accounting for the effect of notional size and concrete strength on the time development of drying creep</w:t>
            </w:r>
          </w:p>
        </w:tc>
        <w:tc>
          <w:tcPr>
            <w:tcW w:w="1984" w:type="dxa"/>
          </w:tcPr>
          <w:p w14:paraId="5B8751B7" w14:textId="6C30468C" w:rsidR="004E31A8" w:rsidRPr="001455DC" w:rsidRDefault="004E31A8" w:rsidP="00BE5EF4">
            <w:pPr>
              <w:pStyle w:val="Tablebody"/>
              <w:rPr>
                <w:lang w:eastAsia="de-DE"/>
              </w:rPr>
            </w:pPr>
            <w:r w:rsidRPr="009D3012">
              <w:rPr>
                <w:lang w:eastAsia="de-DE"/>
              </w:rPr>
              <w:t>B.</w:t>
            </w:r>
            <w:r w:rsidR="007D653E" w:rsidRPr="009D3012">
              <w:rPr>
                <w:lang w:eastAsia="de-DE"/>
              </w:rPr>
              <w:t>4</w:t>
            </w:r>
            <w:r w:rsidRPr="009D3012">
              <w:rPr>
                <w:lang w:eastAsia="de-DE"/>
              </w:rPr>
              <w:t>(3)</w:t>
            </w:r>
          </w:p>
        </w:tc>
      </w:tr>
      <w:tr w:rsidR="004E31A8" w:rsidRPr="001455DC" w14:paraId="4887EA30" w14:textId="7156B929" w:rsidTr="00BE5EF4">
        <w:trPr>
          <w:cantSplit/>
        </w:trPr>
        <w:tc>
          <w:tcPr>
            <w:tcW w:w="1418" w:type="dxa"/>
            <w:shd w:val="clear" w:color="auto" w:fill="auto"/>
          </w:tcPr>
          <w:p w14:paraId="2AEBFFD4" w14:textId="77777777" w:rsidR="004E31A8" w:rsidRPr="009D3012" w:rsidRDefault="004E31A8" w:rsidP="004E31A8">
            <w:pPr>
              <w:pStyle w:val="Tablebody"/>
              <w:rPr>
                <w:rStyle w:val="CCMCvariableitalic"/>
              </w:rPr>
            </w:pPr>
            <w:r w:rsidRPr="001455DC">
              <w:rPr>
                <w:rStyle w:val="CCMCvariableitalic"/>
              </w:rPr>
              <w:t>β</w:t>
            </w:r>
            <w:r w:rsidRPr="001455DC">
              <w:rPr>
                <w:rStyle w:val="CCMCvariablesubscript"/>
              </w:rPr>
              <w:t>p</w:t>
            </w:r>
          </w:p>
        </w:tc>
        <w:tc>
          <w:tcPr>
            <w:tcW w:w="6548" w:type="dxa"/>
            <w:shd w:val="clear" w:color="auto" w:fill="auto"/>
          </w:tcPr>
          <w:p w14:paraId="3AC23C16" w14:textId="77777777" w:rsidR="004E31A8" w:rsidRPr="001455DC" w:rsidRDefault="004E31A8" w:rsidP="000250B6">
            <w:pPr>
              <w:pStyle w:val="Tablebody"/>
              <w:jc w:val="left"/>
              <w:rPr>
                <w:lang w:eastAsia="de-DE"/>
              </w:rPr>
            </w:pPr>
            <w:r w:rsidRPr="001455DC">
              <w:rPr>
                <w:lang w:eastAsia="de-DE"/>
              </w:rPr>
              <w:t>Angle between the tendon and the axis of the member, for the sign, the angle indicated in Figure 8.4 is positive</w:t>
            </w:r>
          </w:p>
        </w:tc>
        <w:tc>
          <w:tcPr>
            <w:tcW w:w="1984" w:type="dxa"/>
          </w:tcPr>
          <w:p w14:paraId="270A5860" w14:textId="47F68B4B" w:rsidR="004E31A8" w:rsidRPr="001455DC" w:rsidRDefault="004E31A8" w:rsidP="004E31A8">
            <w:pPr>
              <w:pStyle w:val="Tablebody"/>
              <w:rPr>
                <w:lang w:eastAsia="de-DE"/>
              </w:rPr>
            </w:pPr>
            <w:r w:rsidRPr="009D3012">
              <w:rPr>
                <w:lang w:eastAsia="de-DE"/>
              </w:rPr>
              <w:t>8.2.1(8), Figure 8.4</w:t>
            </w:r>
          </w:p>
        </w:tc>
      </w:tr>
      <w:tr w:rsidR="004E31A8" w:rsidRPr="001455DC" w14:paraId="73EA6813" w14:textId="52ED25BA" w:rsidTr="00BE5EF4">
        <w:trPr>
          <w:cantSplit/>
        </w:trPr>
        <w:tc>
          <w:tcPr>
            <w:tcW w:w="1418" w:type="dxa"/>
            <w:shd w:val="clear" w:color="auto" w:fill="auto"/>
          </w:tcPr>
          <w:p w14:paraId="2130173F" w14:textId="77777777" w:rsidR="004E31A8" w:rsidRPr="009D3012" w:rsidRDefault="004E31A8" w:rsidP="004E31A8">
            <w:pPr>
              <w:pStyle w:val="Tablebody"/>
              <w:rPr>
                <w:rStyle w:val="CCMCvariableitalic"/>
              </w:rPr>
            </w:pPr>
            <w:r w:rsidRPr="001455DC">
              <w:rPr>
                <w:rStyle w:val="CCMCvariableitalic"/>
              </w:rPr>
              <w:t>β</w:t>
            </w:r>
            <w:r w:rsidRPr="001455DC">
              <w:rPr>
                <w:rStyle w:val="CCMCvariablesubscript"/>
              </w:rPr>
              <w:t>RH</w:t>
            </w:r>
          </w:p>
        </w:tc>
        <w:tc>
          <w:tcPr>
            <w:tcW w:w="6548" w:type="dxa"/>
            <w:shd w:val="clear" w:color="auto" w:fill="auto"/>
          </w:tcPr>
          <w:p w14:paraId="4CF87D44" w14:textId="77777777" w:rsidR="004E31A8" w:rsidRPr="001455DC" w:rsidRDefault="004E31A8" w:rsidP="000250B6">
            <w:pPr>
              <w:pStyle w:val="Tablebody"/>
              <w:jc w:val="left"/>
              <w:rPr>
                <w:lang w:eastAsia="de-DE"/>
              </w:rPr>
            </w:pPr>
            <w:r w:rsidRPr="001455DC">
              <w:rPr>
                <w:lang w:eastAsia="de-DE"/>
              </w:rPr>
              <w:t>C</w:t>
            </w:r>
            <w:r w:rsidRPr="001455DC">
              <w:t>oefficient accounting for the effect of relative humidity on drying shrinkage</w:t>
            </w:r>
          </w:p>
        </w:tc>
        <w:tc>
          <w:tcPr>
            <w:tcW w:w="1984" w:type="dxa"/>
          </w:tcPr>
          <w:p w14:paraId="6ECD3C04" w14:textId="1013FD57" w:rsidR="004E31A8" w:rsidRPr="001455DC" w:rsidRDefault="004E31A8" w:rsidP="00BE5EF4">
            <w:pPr>
              <w:pStyle w:val="Tablebody"/>
              <w:rPr>
                <w:lang w:eastAsia="de-DE"/>
              </w:rPr>
            </w:pPr>
            <w:r w:rsidRPr="009D3012">
              <w:rPr>
                <w:lang w:eastAsia="de-DE"/>
              </w:rPr>
              <w:t>B.</w:t>
            </w:r>
            <w:r w:rsidR="001A17A7" w:rsidRPr="009D3012">
              <w:rPr>
                <w:lang w:eastAsia="de-DE"/>
              </w:rPr>
              <w:t>5</w:t>
            </w:r>
            <w:r w:rsidRPr="009D3012">
              <w:rPr>
                <w:lang w:eastAsia="de-DE"/>
              </w:rPr>
              <w:t>(1)</w:t>
            </w:r>
          </w:p>
        </w:tc>
      </w:tr>
      <w:tr w:rsidR="004E31A8" w:rsidRPr="001455DC" w14:paraId="0AFE062B" w14:textId="5284516D" w:rsidTr="00BE5EF4">
        <w:trPr>
          <w:cantSplit/>
        </w:trPr>
        <w:tc>
          <w:tcPr>
            <w:tcW w:w="1418" w:type="dxa"/>
            <w:shd w:val="clear" w:color="auto" w:fill="auto"/>
          </w:tcPr>
          <w:p w14:paraId="02A7A0F5" w14:textId="77777777" w:rsidR="004E31A8" w:rsidRPr="009D3012" w:rsidRDefault="004E31A8" w:rsidP="004E31A8">
            <w:pPr>
              <w:pStyle w:val="Tablebody"/>
              <w:rPr>
                <w:rStyle w:val="CCMCvariableitalic"/>
              </w:rPr>
            </w:pPr>
            <w:r w:rsidRPr="001455DC">
              <w:rPr>
                <w:rStyle w:val="CCMCvariableitalic"/>
              </w:rPr>
              <w:t>β</w:t>
            </w:r>
            <w:r w:rsidRPr="001455DC">
              <w:rPr>
                <w:rStyle w:val="CCMCvariablesubscript"/>
              </w:rPr>
              <w:t>w</w:t>
            </w:r>
          </w:p>
        </w:tc>
        <w:tc>
          <w:tcPr>
            <w:tcW w:w="6548" w:type="dxa"/>
            <w:shd w:val="clear" w:color="auto" w:fill="auto"/>
          </w:tcPr>
          <w:p w14:paraId="73D69AD0" w14:textId="3F46CD2C" w:rsidR="004E31A8" w:rsidRPr="001455DC" w:rsidRDefault="004E31A8" w:rsidP="000250B6">
            <w:pPr>
              <w:pStyle w:val="Tablebody"/>
              <w:jc w:val="left"/>
              <w:rPr>
                <w:lang w:eastAsia="de-DE"/>
              </w:rPr>
            </w:pPr>
            <w:r w:rsidRPr="001455DC">
              <w:rPr>
                <w:rFonts w:eastAsiaTheme="minorHAnsi"/>
              </w:rPr>
              <w:t>F</w:t>
            </w:r>
            <w:r w:rsidRPr="001455DC">
              <w:rPr>
                <w:rFonts w:eastAsiaTheme="minorHAnsi"/>
                <w:iCs/>
              </w:rPr>
              <w:t>actor converting the mean crack width into a design crack width</w:t>
            </w:r>
          </w:p>
        </w:tc>
        <w:tc>
          <w:tcPr>
            <w:tcW w:w="1984" w:type="dxa"/>
          </w:tcPr>
          <w:p w14:paraId="393492B2" w14:textId="3F7846A8" w:rsidR="004E31A8" w:rsidRPr="001455DC" w:rsidRDefault="004E31A8" w:rsidP="004E31A8">
            <w:pPr>
              <w:pStyle w:val="Tablebody"/>
              <w:rPr>
                <w:rFonts w:eastAsiaTheme="minorHAnsi"/>
              </w:rPr>
            </w:pPr>
            <w:r w:rsidRPr="009D3012">
              <w:rPr>
                <w:lang w:eastAsia="de-DE"/>
              </w:rPr>
              <w:t>9.2.2, 9.2.3</w:t>
            </w:r>
          </w:p>
        </w:tc>
      </w:tr>
      <w:tr w:rsidR="004E31A8" w:rsidRPr="001455DC" w14:paraId="6AC1A6E1" w14:textId="30EC972C" w:rsidTr="00BE5EF4">
        <w:trPr>
          <w:cantSplit/>
        </w:trPr>
        <w:tc>
          <w:tcPr>
            <w:tcW w:w="1418" w:type="dxa"/>
            <w:shd w:val="clear" w:color="auto" w:fill="auto"/>
          </w:tcPr>
          <w:p w14:paraId="4E3F59B1" w14:textId="77777777" w:rsidR="004E31A8" w:rsidRPr="009D3012" w:rsidRDefault="004E31A8" w:rsidP="004E31A8">
            <w:pPr>
              <w:pStyle w:val="Tablebody"/>
              <w:rPr>
                <w:rStyle w:val="CCMCvariableitalic"/>
              </w:rPr>
            </w:pPr>
            <w:r w:rsidRPr="001455DC">
              <w:rPr>
                <w:rStyle w:val="CCMCvariableitalic"/>
              </w:rPr>
              <w:t>γ</w:t>
            </w:r>
          </w:p>
        </w:tc>
        <w:tc>
          <w:tcPr>
            <w:tcW w:w="6548" w:type="dxa"/>
            <w:shd w:val="clear" w:color="auto" w:fill="auto"/>
          </w:tcPr>
          <w:p w14:paraId="6F60AC5F" w14:textId="77777777" w:rsidR="004E31A8" w:rsidRPr="001455DC" w:rsidRDefault="004E31A8" w:rsidP="000250B6">
            <w:pPr>
              <w:pStyle w:val="Tablebody"/>
              <w:jc w:val="left"/>
              <w:rPr>
                <w:lang w:eastAsia="de-DE"/>
              </w:rPr>
            </w:pPr>
            <w:r w:rsidRPr="001455DC">
              <w:rPr>
                <w:lang w:eastAsia="de-DE"/>
              </w:rPr>
              <w:t>Partial factor (safety and serviceability)</w:t>
            </w:r>
          </w:p>
        </w:tc>
        <w:tc>
          <w:tcPr>
            <w:tcW w:w="1984" w:type="dxa"/>
          </w:tcPr>
          <w:p w14:paraId="7F704B06" w14:textId="77777777" w:rsidR="004E31A8" w:rsidRPr="001455DC" w:rsidRDefault="004E31A8" w:rsidP="004E31A8">
            <w:pPr>
              <w:pStyle w:val="Tablebody"/>
              <w:rPr>
                <w:lang w:eastAsia="de-DE"/>
              </w:rPr>
            </w:pPr>
          </w:p>
        </w:tc>
      </w:tr>
      <w:tr w:rsidR="004E31A8" w:rsidRPr="001455DC" w14:paraId="746DA8CE" w14:textId="11FB0F6E" w:rsidTr="00BE5EF4">
        <w:trPr>
          <w:cantSplit/>
        </w:trPr>
        <w:tc>
          <w:tcPr>
            <w:tcW w:w="1418" w:type="dxa"/>
            <w:shd w:val="clear" w:color="auto" w:fill="auto"/>
          </w:tcPr>
          <w:p w14:paraId="222BF502" w14:textId="77777777" w:rsidR="004E31A8" w:rsidRPr="009D3012" w:rsidRDefault="004E31A8" w:rsidP="004E31A8">
            <w:pPr>
              <w:pStyle w:val="Tablebody"/>
              <w:rPr>
                <w:rStyle w:val="CCMCvariableitalic"/>
              </w:rPr>
            </w:pPr>
            <w:r w:rsidRPr="001455DC">
              <w:rPr>
                <w:rStyle w:val="CCMCvariableitalic"/>
              </w:rPr>
              <w:t>n</w:t>
            </w:r>
            <w:r w:rsidRPr="001455DC">
              <w:rPr>
                <w:lang w:eastAsia="de-DE"/>
              </w:rPr>
              <w:t>(</w:t>
            </w:r>
            <w:r w:rsidRPr="001455DC">
              <w:rPr>
                <w:rStyle w:val="CCMCvariableitalic"/>
              </w:rPr>
              <w:t>t</w:t>
            </w:r>
            <w:r w:rsidRPr="001455DC">
              <w:rPr>
                <w:rStyle w:val="CCMCvariablesubscript"/>
              </w:rPr>
              <w:t>0,adj</w:t>
            </w:r>
            <w:r w:rsidRPr="001455DC">
              <w:rPr>
                <w:lang w:eastAsia="de-DE"/>
              </w:rPr>
              <w:t>)</w:t>
            </w:r>
          </w:p>
        </w:tc>
        <w:tc>
          <w:tcPr>
            <w:tcW w:w="6548" w:type="dxa"/>
            <w:shd w:val="clear" w:color="auto" w:fill="auto"/>
          </w:tcPr>
          <w:p w14:paraId="0B631D74" w14:textId="77777777" w:rsidR="004E31A8" w:rsidRPr="001455DC" w:rsidRDefault="004E31A8" w:rsidP="000250B6">
            <w:pPr>
              <w:pStyle w:val="Tablebody"/>
              <w:jc w:val="left"/>
              <w:rPr>
                <w:lang w:eastAsia="de-DE"/>
              </w:rPr>
            </w:pPr>
            <w:r w:rsidRPr="001455DC">
              <w:rPr>
                <w:lang w:eastAsia="de-DE"/>
              </w:rPr>
              <w:t>Exponent accounting for the influence of age of loading in the time development of drying creep</w:t>
            </w:r>
          </w:p>
        </w:tc>
        <w:tc>
          <w:tcPr>
            <w:tcW w:w="1984" w:type="dxa"/>
          </w:tcPr>
          <w:p w14:paraId="678BB850" w14:textId="64629A99" w:rsidR="004E31A8" w:rsidRPr="001455DC" w:rsidRDefault="004E31A8" w:rsidP="00BE5EF4">
            <w:pPr>
              <w:pStyle w:val="Tablebody"/>
              <w:rPr>
                <w:lang w:eastAsia="de-DE"/>
              </w:rPr>
            </w:pPr>
            <w:r w:rsidRPr="009D3012">
              <w:rPr>
                <w:lang w:eastAsia="de-DE"/>
              </w:rPr>
              <w:t>B.</w:t>
            </w:r>
            <w:r w:rsidR="007D653E" w:rsidRPr="009D3012">
              <w:rPr>
                <w:lang w:eastAsia="de-DE"/>
              </w:rPr>
              <w:t>4</w:t>
            </w:r>
            <w:r w:rsidRPr="009D3012">
              <w:rPr>
                <w:lang w:eastAsia="de-DE"/>
              </w:rPr>
              <w:t>(3)</w:t>
            </w:r>
          </w:p>
        </w:tc>
      </w:tr>
      <w:tr w:rsidR="004E31A8" w:rsidRPr="001455DC" w14:paraId="25072001" w14:textId="762ACE98" w:rsidTr="00BE5EF4">
        <w:trPr>
          <w:cantSplit/>
        </w:trPr>
        <w:tc>
          <w:tcPr>
            <w:tcW w:w="1418" w:type="dxa"/>
            <w:shd w:val="clear" w:color="auto" w:fill="auto"/>
          </w:tcPr>
          <w:p w14:paraId="2DF1D37C" w14:textId="77777777" w:rsidR="004E31A8" w:rsidRPr="009D3012" w:rsidRDefault="004E31A8" w:rsidP="004E31A8">
            <w:pPr>
              <w:pStyle w:val="Tablebody"/>
              <w:rPr>
                <w:rStyle w:val="CCMCvariableitalic"/>
              </w:rPr>
            </w:pPr>
            <w:r w:rsidRPr="001455DC">
              <w:rPr>
                <w:rStyle w:val="CCMCvariableitalic"/>
              </w:rPr>
              <w:t>γ</w:t>
            </w:r>
            <w:r w:rsidRPr="001455DC">
              <w:rPr>
                <w:rStyle w:val="CCMCvariablesubscript"/>
              </w:rPr>
              <w:t>C</w:t>
            </w:r>
          </w:p>
        </w:tc>
        <w:tc>
          <w:tcPr>
            <w:tcW w:w="6548" w:type="dxa"/>
            <w:shd w:val="clear" w:color="auto" w:fill="auto"/>
          </w:tcPr>
          <w:p w14:paraId="314AFE36" w14:textId="77777777" w:rsidR="004E31A8" w:rsidRPr="001455DC" w:rsidRDefault="004E31A8" w:rsidP="000250B6">
            <w:pPr>
              <w:pStyle w:val="Tablebody"/>
              <w:jc w:val="left"/>
              <w:rPr>
                <w:lang w:eastAsia="de-DE"/>
              </w:rPr>
            </w:pPr>
            <w:r w:rsidRPr="001455DC">
              <w:rPr>
                <w:lang w:eastAsia="de-DE"/>
              </w:rPr>
              <w:t>Partial factor for concrete</w:t>
            </w:r>
          </w:p>
        </w:tc>
        <w:tc>
          <w:tcPr>
            <w:tcW w:w="1984" w:type="dxa"/>
          </w:tcPr>
          <w:p w14:paraId="63448EE2" w14:textId="78AEB8CB" w:rsidR="004E31A8" w:rsidRPr="001455DC" w:rsidRDefault="004E31A8" w:rsidP="004E31A8">
            <w:pPr>
              <w:pStyle w:val="Tablebody"/>
              <w:rPr>
                <w:lang w:eastAsia="de-DE"/>
              </w:rPr>
            </w:pPr>
            <w:r w:rsidRPr="009D3012">
              <w:rPr>
                <w:lang w:eastAsia="de-DE"/>
              </w:rPr>
              <w:t>4.3.1.3(1)</w:t>
            </w:r>
          </w:p>
        </w:tc>
      </w:tr>
      <w:tr w:rsidR="004E31A8" w:rsidRPr="001455DC" w14:paraId="5BC5A96B" w14:textId="582A6312" w:rsidTr="00BE5EF4">
        <w:trPr>
          <w:cantSplit/>
        </w:trPr>
        <w:tc>
          <w:tcPr>
            <w:tcW w:w="1418" w:type="dxa"/>
            <w:shd w:val="clear" w:color="auto" w:fill="auto"/>
          </w:tcPr>
          <w:p w14:paraId="1D639DA8" w14:textId="77777777" w:rsidR="004E31A8" w:rsidRPr="009D3012" w:rsidRDefault="004E31A8" w:rsidP="004E31A8">
            <w:pPr>
              <w:pStyle w:val="Tablebody"/>
              <w:rPr>
                <w:rStyle w:val="CCMCvariableitalic"/>
              </w:rPr>
            </w:pPr>
            <w:r w:rsidRPr="001455DC">
              <w:rPr>
                <w:rStyle w:val="CCMCvariableitalic"/>
              </w:rPr>
              <w:t>γ</w:t>
            </w:r>
            <w:r w:rsidRPr="001455DC">
              <w:rPr>
                <w:rStyle w:val="CCMCvariablesubscript"/>
              </w:rPr>
              <w:t>CE</w:t>
            </w:r>
          </w:p>
        </w:tc>
        <w:tc>
          <w:tcPr>
            <w:tcW w:w="6548" w:type="dxa"/>
            <w:shd w:val="clear" w:color="auto" w:fill="auto"/>
          </w:tcPr>
          <w:p w14:paraId="11A400F6" w14:textId="77777777" w:rsidR="004E31A8" w:rsidRPr="001455DC" w:rsidRDefault="004E31A8" w:rsidP="000250B6">
            <w:pPr>
              <w:pStyle w:val="Tablebody"/>
              <w:jc w:val="left"/>
              <w:rPr>
                <w:lang w:eastAsia="de-DE"/>
              </w:rPr>
            </w:pPr>
            <w:r w:rsidRPr="001455DC">
              <w:rPr>
                <w:lang w:eastAsia="de-DE"/>
              </w:rPr>
              <w:t>Partial factor for the modulus of elasticity of concrete</w:t>
            </w:r>
          </w:p>
        </w:tc>
        <w:tc>
          <w:tcPr>
            <w:tcW w:w="1984" w:type="dxa"/>
          </w:tcPr>
          <w:p w14:paraId="6D2783C0" w14:textId="61F42E4B" w:rsidR="004E31A8" w:rsidRPr="001455DC" w:rsidRDefault="004E31A8" w:rsidP="004E31A8">
            <w:pPr>
              <w:pStyle w:val="Tablebody"/>
              <w:rPr>
                <w:lang w:eastAsia="de-DE"/>
              </w:rPr>
            </w:pPr>
            <w:r w:rsidRPr="009D3012">
              <w:rPr>
                <w:lang w:eastAsia="de-DE"/>
              </w:rPr>
              <w:t>7.8.3.3(3)</w:t>
            </w:r>
          </w:p>
        </w:tc>
      </w:tr>
      <w:tr w:rsidR="004E31A8" w:rsidRPr="001455DC" w14:paraId="36009254" w14:textId="1FF65144" w:rsidTr="00BE5EF4">
        <w:trPr>
          <w:cantSplit/>
        </w:trPr>
        <w:tc>
          <w:tcPr>
            <w:tcW w:w="1418" w:type="dxa"/>
            <w:shd w:val="clear" w:color="auto" w:fill="auto"/>
          </w:tcPr>
          <w:p w14:paraId="490155B9" w14:textId="77777777" w:rsidR="004E31A8" w:rsidRPr="009D3012" w:rsidRDefault="004E31A8" w:rsidP="004E31A8">
            <w:pPr>
              <w:pStyle w:val="Tablebody"/>
              <w:rPr>
                <w:rStyle w:val="CCMCvariableitalic"/>
              </w:rPr>
            </w:pPr>
            <w:r w:rsidRPr="001455DC">
              <w:rPr>
                <w:rStyle w:val="CCMCvariableitalic"/>
              </w:rPr>
              <w:t>γ</w:t>
            </w:r>
            <w:r w:rsidRPr="001455DC">
              <w:rPr>
                <w:rStyle w:val="CCMCvariablesubscript"/>
              </w:rPr>
              <w:t>C,fat</w:t>
            </w:r>
          </w:p>
        </w:tc>
        <w:tc>
          <w:tcPr>
            <w:tcW w:w="6548" w:type="dxa"/>
            <w:shd w:val="clear" w:color="auto" w:fill="auto"/>
          </w:tcPr>
          <w:p w14:paraId="53426A9B" w14:textId="77777777" w:rsidR="004E31A8" w:rsidRPr="001455DC" w:rsidRDefault="004E31A8" w:rsidP="000250B6">
            <w:pPr>
              <w:pStyle w:val="Tablebody"/>
              <w:jc w:val="left"/>
              <w:rPr>
                <w:lang w:eastAsia="de-DE"/>
              </w:rPr>
            </w:pPr>
            <w:r w:rsidRPr="001455DC">
              <w:rPr>
                <w:lang w:eastAsia="de-DE"/>
              </w:rPr>
              <w:t>Partial factor for fatigue of concrete</w:t>
            </w:r>
          </w:p>
        </w:tc>
        <w:tc>
          <w:tcPr>
            <w:tcW w:w="1984" w:type="dxa"/>
          </w:tcPr>
          <w:p w14:paraId="47986290" w14:textId="6FA0D879" w:rsidR="004E31A8" w:rsidRPr="001455DC" w:rsidRDefault="004E31A8" w:rsidP="004E31A8">
            <w:pPr>
              <w:pStyle w:val="Tablebody"/>
              <w:rPr>
                <w:lang w:eastAsia="de-DE"/>
              </w:rPr>
            </w:pPr>
            <w:r w:rsidRPr="009D3012">
              <w:rPr>
                <w:lang w:eastAsia="de-DE"/>
              </w:rPr>
              <w:t>10.5(1)</w:t>
            </w:r>
          </w:p>
        </w:tc>
      </w:tr>
      <w:tr w:rsidR="004E31A8" w:rsidRPr="001455DC" w14:paraId="3A9BE000" w14:textId="3C0A0561" w:rsidTr="00BE5EF4">
        <w:trPr>
          <w:cantSplit/>
        </w:trPr>
        <w:tc>
          <w:tcPr>
            <w:tcW w:w="1418" w:type="dxa"/>
            <w:shd w:val="clear" w:color="auto" w:fill="auto"/>
          </w:tcPr>
          <w:p w14:paraId="4EFA6812" w14:textId="77777777" w:rsidR="004E31A8" w:rsidRPr="009D3012" w:rsidRDefault="004E31A8" w:rsidP="004E31A8">
            <w:pPr>
              <w:pStyle w:val="Tablebody"/>
              <w:rPr>
                <w:rStyle w:val="CCMCvariableitalic"/>
              </w:rPr>
            </w:pPr>
            <w:r w:rsidRPr="001455DC">
              <w:rPr>
                <w:rStyle w:val="CCMCvariableitalic"/>
              </w:rPr>
              <w:t>γ</w:t>
            </w:r>
            <w:r w:rsidRPr="001455DC">
              <w:rPr>
                <w:rStyle w:val="CCMCvariablesubscript"/>
              </w:rPr>
              <w:t>F</w:t>
            </w:r>
          </w:p>
        </w:tc>
        <w:tc>
          <w:tcPr>
            <w:tcW w:w="6548" w:type="dxa"/>
            <w:shd w:val="clear" w:color="auto" w:fill="auto"/>
          </w:tcPr>
          <w:p w14:paraId="77776648" w14:textId="77777777" w:rsidR="004E31A8" w:rsidRPr="001455DC" w:rsidRDefault="004E31A8" w:rsidP="000250B6">
            <w:pPr>
              <w:pStyle w:val="Tablebody"/>
              <w:jc w:val="left"/>
              <w:rPr>
                <w:lang w:eastAsia="de-DE"/>
              </w:rPr>
            </w:pPr>
            <w:r w:rsidRPr="001455DC">
              <w:rPr>
                <w:lang w:eastAsia="de-DE"/>
              </w:rPr>
              <w:t>Partial factor for actions, also accounting for model uncertainties and dimensional variations</w:t>
            </w:r>
          </w:p>
        </w:tc>
        <w:tc>
          <w:tcPr>
            <w:tcW w:w="1984" w:type="dxa"/>
          </w:tcPr>
          <w:p w14:paraId="677D369F" w14:textId="77777777" w:rsidR="004E31A8" w:rsidRPr="001455DC" w:rsidRDefault="004E31A8" w:rsidP="004E31A8">
            <w:pPr>
              <w:pStyle w:val="Tablebody"/>
              <w:rPr>
                <w:lang w:eastAsia="de-DE"/>
              </w:rPr>
            </w:pPr>
          </w:p>
        </w:tc>
      </w:tr>
      <w:tr w:rsidR="004E31A8" w:rsidRPr="001455DC" w14:paraId="1EC2B3F9" w14:textId="49A5708A" w:rsidTr="00BE5EF4">
        <w:trPr>
          <w:cantSplit/>
        </w:trPr>
        <w:tc>
          <w:tcPr>
            <w:tcW w:w="1418" w:type="dxa"/>
            <w:shd w:val="clear" w:color="auto" w:fill="auto"/>
          </w:tcPr>
          <w:p w14:paraId="08ED45FB" w14:textId="77777777" w:rsidR="004E31A8" w:rsidRPr="009D3012" w:rsidRDefault="004E31A8" w:rsidP="004E31A8">
            <w:pPr>
              <w:pStyle w:val="Tablebody"/>
              <w:rPr>
                <w:rStyle w:val="CCMCvariableitalic"/>
              </w:rPr>
            </w:pPr>
            <w:r w:rsidRPr="001455DC">
              <w:rPr>
                <w:rStyle w:val="CCMCvariableitalic"/>
              </w:rPr>
              <w:t>γ</w:t>
            </w:r>
            <w:r w:rsidRPr="001455DC">
              <w:rPr>
                <w:rStyle w:val="CCMCvariablesubscript"/>
              </w:rPr>
              <w:t>P</w:t>
            </w:r>
          </w:p>
        </w:tc>
        <w:tc>
          <w:tcPr>
            <w:tcW w:w="6548" w:type="dxa"/>
            <w:shd w:val="clear" w:color="auto" w:fill="auto"/>
          </w:tcPr>
          <w:p w14:paraId="11A269D4" w14:textId="77777777" w:rsidR="004E31A8" w:rsidRPr="001455DC" w:rsidRDefault="004E31A8" w:rsidP="000250B6">
            <w:pPr>
              <w:pStyle w:val="Tablebody"/>
              <w:jc w:val="left"/>
              <w:rPr>
                <w:lang w:eastAsia="de-DE"/>
              </w:rPr>
            </w:pPr>
            <w:r w:rsidRPr="001455DC">
              <w:rPr>
                <w:lang w:eastAsia="de-DE"/>
              </w:rPr>
              <w:t>Partial factor for prestressing actions </w:t>
            </w:r>
            <w:r w:rsidRPr="001455DC">
              <w:rPr>
                <w:rStyle w:val="CCMCvariableitalic"/>
              </w:rPr>
              <w:t>P</w:t>
            </w:r>
          </w:p>
        </w:tc>
        <w:tc>
          <w:tcPr>
            <w:tcW w:w="1984" w:type="dxa"/>
          </w:tcPr>
          <w:p w14:paraId="6ADB44DB" w14:textId="089D8303" w:rsidR="004E31A8" w:rsidRPr="001455DC" w:rsidRDefault="004E31A8" w:rsidP="004E31A8">
            <w:pPr>
              <w:pStyle w:val="Tablebody"/>
              <w:rPr>
                <w:lang w:eastAsia="de-DE"/>
              </w:rPr>
            </w:pPr>
            <w:r w:rsidRPr="009D3012">
              <w:rPr>
                <w:lang w:eastAsia="de-DE"/>
              </w:rPr>
              <w:t>4.3.1.2(1)</w:t>
            </w:r>
          </w:p>
        </w:tc>
      </w:tr>
      <w:tr w:rsidR="004E31A8" w:rsidRPr="001455DC" w14:paraId="0DD0F744" w14:textId="78ED86E2" w:rsidTr="00BE5EF4">
        <w:trPr>
          <w:cantSplit/>
        </w:trPr>
        <w:tc>
          <w:tcPr>
            <w:tcW w:w="1418" w:type="dxa"/>
            <w:shd w:val="clear" w:color="auto" w:fill="auto"/>
          </w:tcPr>
          <w:p w14:paraId="5C6E5200" w14:textId="7BB01D7F" w:rsidR="004E31A8" w:rsidRPr="009D3012" w:rsidRDefault="004E31A8" w:rsidP="004E31A8">
            <w:pPr>
              <w:pStyle w:val="Tablebody"/>
              <w:rPr>
                <w:rStyle w:val="CCMCvariablesubscript"/>
              </w:rPr>
            </w:pPr>
            <w:r w:rsidRPr="001455DC">
              <w:rPr>
                <w:rStyle w:val="CCMCvariableitalic"/>
              </w:rPr>
              <w:t>γ</w:t>
            </w:r>
            <w:r w:rsidRPr="001455DC">
              <w:rPr>
                <w:rStyle w:val="CCMCvariablesubscript"/>
              </w:rPr>
              <w:t>ΔP,sup</w:t>
            </w:r>
            <w:r w:rsidRPr="001455DC">
              <w:t xml:space="preserve">, </w:t>
            </w:r>
            <w:r w:rsidRPr="001455DC">
              <w:rPr>
                <w:rStyle w:val="CCMCvariableitalic"/>
              </w:rPr>
              <w:t>γ</w:t>
            </w:r>
            <w:r w:rsidRPr="001455DC">
              <w:rPr>
                <w:rStyle w:val="CCMCvariablesubscript"/>
              </w:rPr>
              <w:t>ΔP,inf</w:t>
            </w:r>
          </w:p>
        </w:tc>
        <w:tc>
          <w:tcPr>
            <w:tcW w:w="6548" w:type="dxa"/>
            <w:shd w:val="clear" w:color="auto" w:fill="auto"/>
          </w:tcPr>
          <w:p w14:paraId="0F4CBBE5" w14:textId="77777777" w:rsidR="004E31A8" w:rsidRPr="001455DC" w:rsidRDefault="004E31A8" w:rsidP="000250B6">
            <w:pPr>
              <w:pStyle w:val="Tablebody"/>
              <w:jc w:val="left"/>
              <w:rPr>
                <w:lang w:eastAsia="de-DE"/>
              </w:rPr>
            </w:pPr>
            <w:r w:rsidRPr="001455DC">
              <w:rPr>
                <w:lang w:eastAsia="de-DE"/>
              </w:rPr>
              <w:t xml:space="preserve">Partial factors for change in stress in unbonded prestressing tendons associated with deformation of the member </w:t>
            </w:r>
          </w:p>
        </w:tc>
        <w:tc>
          <w:tcPr>
            <w:tcW w:w="1984" w:type="dxa"/>
          </w:tcPr>
          <w:p w14:paraId="1DB7B0AE" w14:textId="77777777" w:rsidR="004E31A8" w:rsidRPr="009D3012" w:rsidRDefault="004E31A8" w:rsidP="004E31A8">
            <w:pPr>
              <w:tabs>
                <w:tab w:val="left" w:pos="-720"/>
              </w:tabs>
              <w:suppressAutoHyphens/>
              <w:spacing w:before="40" w:after="40"/>
              <w:rPr>
                <w:lang w:eastAsia="de-DE"/>
              </w:rPr>
            </w:pPr>
            <w:r w:rsidRPr="009D3012">
              <w:rPr>
                <w:lang w:eastAsia="de-DE"/>
              </w:rPr>
              <w:t>4.3.1.2(2)</w:t>
            </w:r>
          </w:p>
          <w:p w14:paraId="4B5C79B9" w14:textId="2B01CB98" w:rsidR="004E31A8" w:rsidRPr="001455DC" w:rsidRDefault="004E31A8" w:rsidP="004E31A8">
            <w:pPr>
              <w:pStyle w:val="Tablebody"/>
              <w:rPr>
                <w:lang w:eastAsia="de-DE"/>
              </w:rPr>
            </w:pPr>
            <w:r w:rsidRPr="009D3012">
              <w:rPr>
                <w:lang w:eastAsia="de-DE"/>
              </w:rPr>
              <w:t>4.3.1.2(2)</w:t>
            </w:r>
          </w:p>
        </w:tc>
      </w:tr>
      <w:tr w:rsidR="004E31A8" w:rsidRPr="001455DC" w14:paraId="51DF9FAC" w14:textId="35B67E28" w:rsidTr="00BE5EF4">
        <w:trPr>
          <w:cantSplit/>
        </w:trPr>
        <w:tc>
          <w:tcPr>
            <w:tcW w:w="1418" w:type="dxa"/>
            <w:shd w:val="clear" w:color="auto" w:fill="auto"/>
          </w:tcPr>
          <w:p w14:paraId="24AAB296" w14:textId="77777777" w:rsidR="004E31A8" w:rsidRPr="009D3012" w:rsidRDefault="004E31A8" w:rsidP="004E31A8">
            <w:pPr>
              <w:pStyle w:val="Tablebody"/>
              <w:rPr>
                <w:rStyle w:val="CCMCvariableitalic"/>
              </w:rPr>
            </w:pPr>
            <w:r w:rsidRPr="001455DC">
              <w:rPr>
                <w:rStyle w:val="CCMCvariableitalic"/>
              </w:rPr>
              <w:t>γ</w:t>
            </w:r>
            <w:r w:rsidRPr="001455DC">
              <w:rPr>
                <w:rStyle w:val="CCMCvariablesubscript"/>
              </w:rPr>
              <w:t>Q</w:t>
            </w:r>
          </w:p>
        </w:tc>
        <w:tc>
          <w:tcPr>
            <w:tcW w:w="6548" w:type="dxa"/>
            <w:shd w:val="clear" w:color="auto" w:fill="auto"/>
          </w:tcPr>
          <w:p w14:paraId="4391F7E3" w14:textId="77777777" w:rsidR="004E31A8" w:rsidRPr="001455DC" w:rsidRDefault="004E31A8" w:rsidP="000250B6">
            <w:pPr>
              <w:pStyle w:val="Tablebody"/>
              <w:jc w:val="left"/>
              <w:rPr>
                <w:lang w:eastAsia="de-DE"/>
              </w:rPr>
            </w:pPr>
            <w:r w:rsidRPr="001455DC">
              <w:rPr>
                <w:lang w:eastAsia="de-DE"/>
              </w:rPr>
              <w:t xml:space="preserve">Partial factor for variable actions </w:t>
            </w:r>
            <w:r w:rsidRPr="001455DC">
              <w:rPr>
                <w:rStyle w:val="CCMCvariableitalic"/>
              </w:rPr>
              <w:t>Q</w:t>
            </w:r>
            <w:r w:rsidRPr="001455DC">
              <w:rPr>
                <w:lang w:eastAsia="de-DE"/>
              </w:rPr>
              <w:t>; also accounting for model uncertainties and dimensional variations</w:t>
            </w:r>
          </w:p>
        </w:tc>
        <w:tc>
          <w:tcPr>
            <w:tcW w:w="1984" w:type="dxa"/>
          </w:tcPr>
          <w:p w14:paraId="3512971A" w14:textId="77777777" w:rsidR="004E31A8" w:rsidRPr="001455DC" w:rsidRDefault="004E31A8" w:rsidP="004E31A8">
            <w:pPr>
              <w:pStyle w:val="Tablebody"/>
              <w:rPr>
                <w:lang w:eastAsia="de-DE"/>
              </w:rPr>
            </w:pPr>
          </w:p>
        </w:tc>
      </w:tr>
      <w:tr w:rsidR="004E31A8" w:rsidRPr="001455DC" w14:paraId="3AF0CB5C" w14:textId="253BA0BB" w:rsidTr="00BE5EF4">
        <w:trPr>
          <w:cantSplit/>
        </w:trPr>
        <w:tc>
          <w:tcPr>
            <w:tcW w:w="1418" w:type="dxa"/>
            <w:shd w:val="clear" w:color="auto" w:fill="auto"/>
          </w:tcPr>
          <w:p w14:paraId="0AFD6C05" w14:textId="77777777" w:rsidR="004E31A8" w:rsidRPr="009D3012" w:rsidRDefault="004E31A8" w:rsidP="004E31A8">
            <w:pPr>
              <w:pStyle w:val="Tablebody"/>
              <w:rPr>
                <w:rStyle w:val="CCMCvariableitalic"/>
              </w:rPr>
            </w:pPr>
            <w:r w:rsidRPr="001455DC">
              <w:rPr>
                <w:rStyle w:val="CCMCvariableitalic"/>
              </w:rPr>
              <w:t>γ</w:t>
            </w:r>
            <w:r w:rsidRPr="001455DC">
              <w:rPr>
                <w:rStyle w:val="CCMCvariablesubscript"/>
              </w:rPr>
              <w:t>R</w:t>
            </w:r>
          </w:p>
        </w:tc>
        <w:tc>
          <w:tcPr>
            <w:tcW w:w="6548" w:type="dxa"/>
            <w:shd w:val="clear" w:color="auto" w:fill="auto"/>
          </w:tcPr>
          <w:p w14:paraId="3725A9D3" w14:textId="77777777" w:rsidR="004E31A8" w:rsidRPr="001455DC" w:rsidRDefault="004E31A8" w:rsidP="000250B6">
            <w:pPr>
              <w:pStyle w:val="Tablebody"/>
              <w:jc w:val="left"/>
              <w:rPr>
                <w:lang w:eastAsia="de-DE"/>
              </w:rPr>
            </w:pPr>
            <w:r w:rsidRPr="001455DC">
              <w:rPr>
                <w:lang w:eastAsia="de-DE"/>
              </w:rPr>
              <w:t>Global resistance factor accounting for the uncertainties related to the material properties, geometrical dimensions and the resisting model</w:t>
            </w:r>
          </w:p>
        </w:tc>
        <w:tc>
          <w:tcPr>
            <w:tcW w:w="1984" w:type="dxa"/>
          </w:tcPr>
          <w:p w14:paraId="7B91E911" w14:textId="20CE6679" w:rsidR="004E31A8" w:rsidRPr="001455DC" w:rsidRDefault="004E31A8">
            <w:pPr>
              <w:pStyle w:val="Tablebody"/>
              <w:rPr>
                <w:lang w:eastAsia="de-DE"/>
              </w:rPr>
            </w:pPr>
            <w:r w:rsidRPr="009D3012">
              <w:rPr>
                <w:lang w:eastAsia="de-DE"/>
              </w:rPr>
              <w:t>F.</w:t>
            </w:r>
            <w:r w:rsidR="00B603A5" w:rsidRPr="009D3012">
              <w:rPr>
                <w:lang w:eastAsia="de-DE"/>
              </w:rPr>
              <w:t>5</w:t>
            </w:r>
            <w:r w:rsidRPr="009D3012">
              <w:rPr>
                <w:lang w:eastAsia="de-DE"/>
              </w:rPr>
              <w:t>.1(1)</w:t>
            </w:r>
          </w:p>
        </w:tc>
      </w:tr>
      <w:tr w:rsidR="004E31A8" w:rsidRPr="001455DC" w14:paraId="02A22DFF" w14:textId="27A727CA" w:rsidTr="00BE5EF4">
        <w:trPr>
          <w:cantSplit/>
        </w:trPr>
        <w:tc>
          <w:tcPr>
            <w:tcW w:w="1418" w:type="dxa"/>
            <w:shd w:val="clear" w:color="auto" w:fill="auto"/>
          </w:tcPr>
          <w:p w14:paraId="42B65BBE" w14:textId="77777777" w:rsidR="004E31A8" w:rsidRPr="009D3012" w:rsidRDefault="004E31A8" w:rsidP="004E31A8">
            <w:pPr>
              <w:pStyle w:val="Tablebody"/>
              <w:rPr>
                <w:rStyle w:val="CCMCvariableitalic"/>
              </w:rPr>
            </w:pPr>
            <w:r w:rsidRPr="001455DC">
              <w:rPr>
                <w:rStyle w:val="CCMCvariableitalic"/>
              </w:rPr>
              <w:t>γ</w:t>
            </w:r>
            <w:r w:rsidRPr="001455DC">
              <w:rPr>
                <w:rStyle w:val="CCMCvariablesuperscript"/>
              </w:rPr>
              <w:t>*</w:t>
            </w:r>
            <w:r w:rsidRPr="001455DC">
              <w:rPr>
                <w:rStyle w:val="CCMCvariablesubscript"/>
              </w:rPr>
              <w:t>r</w:t>
            </w:r>
          </w:p>
        </w:tc>
        <w:tc>
          <w:tcPr>
            <w:tcW w:w="6548" w:type="dxa"/>
            <w:shd w:val="clear" w:color="auto" w:fill="auto"/>
          </w:tcPr>
          <w:p w14:paraId="68EA6143" w14:textId="77777777" w:rsidR="004E31A8" w:rsidRPr="001455DC" w:rsidRDefault="004E31A8" w:rsidP="000250B6">
            <w:pPr>
              <w:pStyle w:val="Tablebody"/>
              <w:jc w:val="left"/>
              <w:rPr>
                <w:lang w:eastAsia="de-DE"/>
              </w:rPr>
            </w:pPr>
            <w:r w:rsidRPr="001455DC">
              <w:rPr>
                <w:lang w:eastAsia="de-DE"/>
              </w:rPr>
              <w:t>Global resistance factor accounting for the uncertainties related to the material properties and geometrical dimensions</w:t>
            </w:r>
          </w:p>
        </w:tc>
        <w:tc>
          <w:tcPr>
            <w:tcW w:w="1984" w:type="dxa"/>
          </w:tcPr>
          <w:p w14:paraId="52AE388A" w14:textId="293DEF20" w:rsidR="004E31A8" w:rsidRPr="001455DC" w:rsidRDefault="004E31A8">
            <w:pPr>
              <w:pStyle w:val="Tablebody"/>
              <w:rPr>
                <w:lang w:eastAsia="de-DE"/>
              </w:rPr>
            </w:pPr>
            <w:r w:rsidRPr="009D3012">
              <w:rPr>
                <w:lang w:eastAsia="de-DE"/>
              </w:rPr>
              <w:t>F.</w:t>
            </w:r>
            <w:r w:rsidR="00B603A5" w:rsidRPr="009D3012">
              <w:rPr>
                <w:lang w:eastAsia="de-DE"/>
              </w:rPr>
              <w:t>5</w:t>
            </w:r>
            <w:r w:rsidRPr="009D3012">
              <w:rPr>
                <w:lang w:eastAsia="de-DE"/>
              </w:rPr>
              <w:t>.1(1)</w:t>
            </w:r>
          </w:p>
        </w:tc>
      </w:tr>
      <w:tr w:rsidR="004E31A8" w:rsidRPr="001455DC" w14:paraId="42277B2D" w14:textId="00BBDCE7" w:rsidTr="00BE5EF4">
        <w:trPr>
          <w:cantSplit/>
        </w:trPr>
        <w:tc>
          <w:tcPr>
            <w:tcW w:w="1418" w:type="dxa"/>
            <w:shd w:val="clear" w:color="auto" w:fill="auto"/>
          </w:tcPr>
          <w:p w14:paraId="22CB3D45" w14:textId="77777777" w:rsidR="004E31A8" w:rsidRPr="009D3012" w:rsidRDefault="004E31A8" w:rsidP="004E31A8">
            <w:pPr>
              <w:pStyle w:val="Tablebody"/>
              <w:rPr>
                <w:rStyle w:val="CCMCvariableitalic"/>
              </w:rPr>
            </w:pPr>
            <w:r w:rsidRPr="001455DC">
              <w:rPr>
                <w:rStyle w:val="CCMCvariableitalic"/>
              </w:rPr>
              <w:t>γ</w:t>
            </w:r>
            <w:r w:rsidRPr="001455DC">
              <w:rPr>
                <w:rStyle w:val="CCMCvariablesubscript"/>
              </w:rPr>
              <w:t>Rd</w:t>
            </w:r>
          </w:p>
        </w:tc>
        <w:tc>
          <w:tcPr>
            <w:tcW w:w="6548" w:type="dxa"/>
            <w:shd w:val="clear" w:color="auto" w:fill="auto"/>
          </w:tcPr>
          <w:p w14:paraId="69FA4B4B" w14:textId="77777777" w:rsidR="004E31A8" w:rsidRPr="001455DC" w:rsidRDefault="004E31A8" w:rsidP="000250B6">
            <w:pPr>
              <w:pStyle w:val="Tablebody"/>
              <w:jc w:val="left"/>
              <w:rPr>
                <w:lang w:eastAsia="de-DE"/>
              </w:rPr>
            </w:pPr>
            <w:r w:rsidRPr="001455DC">
              <w:rPr>
                <w:lang w:eastAsia="de-DE"/>
              </w:rPr>
              <w:t>Partial factor associated with the uncertainty of the resistance model</w:t>
            </w:r>
          </w:p>
        </w:tc>
        <w:tc>
          <w:tcPr>
            <w:tcW w:w="1984" w:type="dxa"/>
          </w:tcPr>
          <w:p w14:paraId="42164A6E" w14:textId="480B56D2" w:rsidR="004E31A8" w:rsidRPr="001455DC" w:rsidRDefault="004E31A8">
            <w:pPr>
              <w:pStyle w:val="Tablebody"/>
              <w:rPr>
                <w:lang w:eastAsia="de-DE"/>
              </w:rPr>
            </w:pPr>
            <w:r w:rsidRPr="009D3012">
              <w:rPr>
                <w:lang w:val="de-DE" w:eastAsia="de-DE"/>
              </w:rPr>
              <w:t>F.</w:t>
            </w:r>
            <w:r w:rsidR="00B603A5" w:rsidRPr="009D3012">
              <w:rPr>
                <w:lang w:val="de-DE" w:eastAsia="de-DE"/>
              </w:rPr>
              <w:t>5</w:t>
            </w:r>
            <w:r w:rsidRPr="009D3012">
              <w:rPr>
                <w:lang w:val="de-DE" w:eastAsia="de-DE"/>
              </w:rPr>
              <w:t>.1</w:t>
            </w:r>
            <w:r w:rsidRPr="009D3012">
              <w:rPr>
                <w:lang w:eastAsia="de-DE"/>
              </w:rPr>
              <w:t>(1)</w:t>
            </w:r>
          </w:p>
        </w:tc>
      </w:tr>
      <w:tr w:rsidR="004E31A8" w:rsidRPr="001455DC" w14:paraId="38E42E66" w14:textId="6C3246DC" w:rsidTr="00BE5EF4">
        <w:trPr>
          <w:cantSplit/>
        </w:trPr>
        <w:tc>
          <w:tcPr>
            <w:tcW w:w="1418" w:type="dxa"/>
            <w:shd w:val="clear" w:color="auto" w:fill="auto"/>
          </w:tcPr>
          <w:p w14:paraId="7FAD3BA5" w14:textId="77777777" w:rsidR="004E31A8" w:rsidRPr="009D3012" w:rsidRDefault="004E31A8" w:rsidP="004E31A8">
            <w:pPr>
              <w:pStyle w:val="Tablebody"/>
              <w:rPr>
                <w:rStyle w:val="CCMCvariableitalic"/>
              </w:rPr>
            </w:pPr>
            <w:r w:rsidRPr="001455DC">
              <w:rPr>
                <w:rStyle w:val="CCMCvariableitalic"/>
              </w:rPr>
              <w:t>γ</w:t>
            </w:r>
            <w:r w:rsidRPr="001455DC">
              <w:rPr>
                <w:rStyle w:val="CCMCvariablesubscript"/>
              </w:rPr>
              <w:t>S</w:t>
            </w:r>
          </w:p>
        </w:tc>
        <w:tc>
          <w:tcPr>
            <w:tcW w:w="6548" w:type="dxa"/>
            <w:shd w:val="clear" w:color="auto" w:fill="auto"/>
          </w:tcPr>
          <w:p w14:paraId="33D62207" w14:textId="77777777" w:rsidR="004E31A8" w:rsidRPr="001455DC" w:rsidRDefault="004E31A8" w:rsidP="000250B6">
            <w:pPr>
              <w:pStyle w:val="Tablebody"/>
              <w:jc w:val="left"/>
              <w:rPr>
                <w:lang w:eastAsia="de-DE"/>
              </w:rPr>
            </w:pPr>
            <w:r w:rsidRPr="001455DC">
              <w:rPr>
                <w:lang w:eastAsia="de-DE"/>
              </w:rPr>
              <w:t>Partial factor for reinforcing or prestressing steel</w:t>
            </w:r>
          </w:p>
        </w:tc>
        <w:tc>
          <w:tcPr>
            <w:tcW w:w="1984" w:type="dxa"/>
          </w:tcPr>
          <w:p w14:paraId="5FD5569D" w14:textId="5485FC56" w:rsidR="004E31A8" w:rsidRPr="001455DC" w:rsidRDefault="004E31A8" w:rsidP="004E31A8">
            <w:pPr>
              <w:pStyle w:val="Tablebody"/>
              <w:rPr>
                <w:lang w:eastAsia="de-DE"/>
              </w:rPr>
            </w:pPr>
            <w:r w:rsidRPr="009D3012">
              <w:rPr>
                <w:lang w:eastAsia="de-DE"/>
              </w:rPr>
              <w:t>4.3.1.3(1)</w:t>
            </w:r>
          </w:p>
        </w:tc>
      </w:tr>
      <w:tr w:rsidR="004E31A8" w:rsidRPr="001455DC" w14:paraId="5629DCD9" w14:textId="1668A612" w:rsidTr="00BE5EF4">
        <w:trPr>
          <w:cantSplit/>
        </w:trPr>
        <w:tc>
          <w:tcPr>
            <w:tcW w:w="1418" w:type="dxa"/>
            <w:shd w:val="clear" w:color="auto" w:fill="auto"/>
          </w:tcPr>
          <w:p w14:paraId="24D4E050" w14:textId="77777777" w:rsidR="004E31A8" w:rsidRPr="009D3012" w:rsidRDefault="004E31A8" w:rsidP="004E31A8">
            <w:pPr>
              <w:pStyle w:val="Tablebody"/>
              <w:rPr>
                <w:rStyle w:val="CCMCvariableitalic"/>
              </w:rPr>
            </w:pPr>
            <w:r w:rsidRPr="001455DC">
              <w:rPr>
                <w:rStyle w:val="CCMCvariableitalic"/>
              </w:rPr>
              <w:t>γ</w:t>
            </w:r>
            <w:r w:rsidRPr="001455DC">
              <w:rPr>
                <w:rStyle w:val="CCMCvariablesubscript"/>
              </w:rPr>
              <w:t>S,fat</w:t>
            </w:r>
          </w:p>
        </w:tc>
        <w:tc>
          <w:tcPr>
            <w:tcW w:w="6548" w:type="dxa"/>
            <w:shd w:val="clear" w:color="auto" w:fill="auto"/>
          </w:tcPr>
          <w:p w14:paraId="15AE2E10" w14:textId="77777777" w:rsidR="004E31A8" w:rsidRPr="001455DC" w:rsidRDefault="004E31A8" w:rsidP="000250B6">
            <w:pPr>
              <w:pStyle w:val="Tablebody"/>
              <w:jc w:val="left"/>
              <w:rPr>
                <w:lang w:eastAsia="de-DE"/>
              </w:rPr>
            </w:pPr>
            <w:r w:rsidRPr="001455DC">
              <w:rPr>
                <w:lang w:eastAsia="de-DE"/>
              </w:rPr>
              <w:t>Partial factor for reinforcing or prestressing steel under fatigue loading</w:t>
            </w:r>
          </w:p>
        </w:tc>
        <w:tc>
          <w:tcPr>
            <w:tcW w:w="1984" w:type="dxa"/>
          </w:tcPr>
          <w:p w14:paraId="47B7BCA2" w14:textId="49BFE2E2" w:rsidR="004E31A8" w:rsidRPr="001455DC" w:rsidRDefault="004E31A8">
            <w:pPr>
              <w:pStyle w:val="Tablebody"/>
              <w:rPr>
                <w:lang w:eastAsia="de-DE"/>
              </w:rPr>
            </w:pPr>
            <w:r w:rsidRPr="009D3012">
              <w:rPr>
                <w:lang w:eastAsia="de-DE"/>
              </w:rPr>
              <w:t>E.</w:t>
            </w:r>
            <w:r w:rsidR="000903D6" w:rsidRPr="009D3012">
              <w:rPr>
                <w:lang w:eastAsia="de-DE"/>
              </w:rPr>
              <w:t>4</w:t>
            </w:r>
            <w:r w:rsidRPr="009D3012">
              <w:rPr>
                <w:lang w:eastAsia="de-DE"/>
              </w:rPr>
              <w:t>.</w:t>
            </w:r>
            <w:r w:rsidR="000903D6" w:rsidRPr="009D3012">
              <w:rPr>
                <w:lang w:eastAsia="de-DE"/>
              </w:rPr>
              <w:t>2</w:t>
            </w:r>
            <w:r w:rsidRPr="009D3012">
              <w:rPr>
                <w:lang w:eastAsia="de-DE"/>
              </w:rPr>
              <w:t>(</w:t>
            </w:r>
            <w:r w:rsidR="000903D6" w:rsidRPr="009D3012">
              <w:rPr>
                <w:lang w:eastAsia="de-DE"/>
              </w:rPr>
              <w:t>1</w:t>
            </w:r>
            <w:r w:rsidRPr="009D3012">
              <w:rPr>
                <w:lang w:eastAsia="de-DE"/>
              </w:rPr>
              <w:t>)</w:t>
            </w:r>
          </w:p>
        </w:tc>
      </w:tr>
      <w:tr w:rsidR="004E31A8" w:rsidRPr="001455DC" w14:paraId="55E2CCBF" w14:textId="6ECC6040" w:rsidTr="00BE5EF4">
        <w:trPr>
          <w:cantSplit/>
        </w:trPr>
        <w:tc>
          <w:tcPr>
            <w:tcW w:w="1418" w:type="dxa"/>
            <w:shd w:val="clear" w:color="auto" w:fill="auto"/>
          </w:tcPr>
          <w:p w14:paraId="1F0A6426" w14:textId="77777777" w:rsidR="004E31A8" w:rsidRPr="009D3012" w:rsidRDefault="004E31A8" w:rsidP="004E31A8">
            <w:pPr>
              <w:pStyle w:val="Tablebody"/>
              <w:rPr>
                <w:rStyle w:val="CCMCvariableitalic"/>
              </w:rPr>
            </w:pPr>
            <w:r w:rsidRPr="001455DC">
              <w:rPr>
                <w:rStyle w:val="CCMCvariableitalic"/>
              </w:rPr>
              <w:t>γ</w:t>
            </w:r>
            <w:r w:rsidRPr="001455DC">
              <w:rPr>
                <w:rStyle w:val="CCMCvariablesubscript"/>
              </w:rPr>
              <w:t>m</w:t>
            </w:r>
          </w:p>
        </w:tc>
        <w:tc>
          <w:tcPr>
            <w:tcW w:w="6548" w:type="dxa"/>
            <w:shd w:val="clear" w:color="auto" w:fill="auto"/>
          </w:tcPr>
          <w:p w14:paraId="6CB0CE2F" w14:textId="77777777" w:rsidR="004E31A8" w:rsidRPr="001455DC" w:rsidRDefault="004E31A8" w:rsidP="000250B6">
            <w:pPr>
              <w:pStyle w:val="Tablebody"/>
              <w:jc w:val="left"/>
              <w:rPr>
                <w:lang w:eastAsia="de-DE"/>
              </w:rPr>
            </w:pPr>
            <w:r w:rsidRPr="001455DC">
              <w:rPr>
                <w:lang w:eastAsia="de-DE"/>
              </w:rPr>
              <w:t>Partial factor for a material property</w:t>
            </w:r>
          </w:p>
        </w:tc>
        <w:tc>
          <w:tcPr>
            <w:tcW w:w="1984" w:type="dxa"/>
          </w:tcPr>
          <w:p w14:paraId="31956971" w14:textId="77777777" w:rsidR="004E31A8" w:rsidRPr="001455DC" w:rsidRDefault="004E31A8" w:rsidP="004E31A8">
            <w:pPr>
              <w:pStyle w:val="Tablebody"/>
              <w:rPr>
                <w:lang w:eastAsia="de-DE"/>
              </w:rPr>
            </w:pPr>
          </w:p>
        </w:tc>
      </w:tr>
      <w:tr w:rsidR="004E31A8" w:rsidRPr="001455DC" w14:paraId="2BB8AC52" w14:textId="4BFAE6FF" w:rsidTr="00BE5EF4">
        <w:trPr>
          <w:cantSplit/>
        </w:trPr>
        <w:tc>
          <w:tcPr>
            <w:tcW w:w="1418" w:type="dxa"/>
            <w:shd w:val="clear" w:color="auto" w:fill="auto"/>
          </w:tcPr>
          <w:p w14:paraId="78D595F9" w14:textId="77777777" w:rsidR="004E31A8" w:rsidRPr="009D3012" w:rsidRDefault="004E31A8" w:rsidP="004E31A8">
            <w:pPr>
              <w:pStyle w:val="Tablebody"/>
              <w:rPr>
                <w:rStyle w:val="CCMCvariableitalic"/>
              </w:rPr>
            </w:pPr>
            <w:r w:rsidRPr="001455DC">
              <w:rPr>
                <w:rStyle w:val="CCMCvariableitalic"/>
              </w:rPr>
              <w:t>γ</w:t>
            </w:r>
            <w:r w:rsidRPr="001455DC">
              <w:rPr>
                <w:rStyle w:val="CCMCvariablesubscript"/>
              </w:rPr>
              <w:t>V</w:t>
            </w:r>
          </w:p>
        </w:tc>
        <w:tc>
          <w:tcPr>
            <w:tcW w:w="6548" w:type="dxa"/>
            <w:shd w:val="clear" w:color="auto" w:fill="auto"/>
          </w:tcPr>
          <w:p w14:paraId="34E76273" w14:textId="77777777" w:rsidR="004E31A8" w:rsidRPr="001455DC" w:rsidRDefault="004E31A8" w:rsidP="000250B6">
            <w:pPr>
              <w:pStyle w:val="Tablebody"/>
              <w:jc w:val="left"/>
              <w:rPr>
                <w:lang w:eastAsia="de-DE"/>
              </w:rPr>
            </w:pPr>
            <w:r w:rsidRPr="001455DC">
              <w:rPr>
                <w:lang w:eastAsia="de-DE"/>
              </w:rPr>
              <w:t>Partial factor for shear and punching resistance without shear reinforcement</w:t>
            </w:r>
          </w:p>
        </w:tc>
        <w:tc>
          <w:tcPr>
            <w:tcW w:w="1984" w:type="dxa"/>
            <w:shd w:val="clear" w:color="auto" w:fill="auto"/>
          </w:tcPr>
          <w:p w14:paraId="737CA165" w14:textId="18F8862F" w:rsidR="004E31A8" w:rsidRPr="001455DC" w:rsidRDefault="004E31A8">
            <w:pPr>
              <w:pStyle w:val="Tablebody"/>
              <w:rPr>
                <w:lang w:eastAsia="de-DE"/>
              </w:rPr>
            </w:pPr>
            <w:r w:rsidRPr="009D3012">
              <w:rPr>
                <w:lang w:eastAsia="de-DE"/>
              </w:rPr>
              <w:t>8.2.1(4), 8.2.2(2), 8.4.3(1), A(2), I.8.</w:t>
            </w:r>
            <w:r w:rsidR="00373D4E" w:rsidRPr="009D3012">
              <w:rPr>
                <w:lang w:eastAsia="de-DE"/>
              </w:rPr>
              <w:t>3</w:t>
            </w:r>
            <w:r w:rsidRPr="009D3012">
              <w:rPr>
                <w:lang w:eastAsia="de-DE"/>
              </w:rPr>
              <w:t>, I.8.</w:t>
            </w:r>
            <w:r w:rsidR="00373D4E" w:rsidRPr="009D3012">
              <w:rPr>
                <w:lang w:eastAsia="de-DE"/>
              </w:rPr>
              <w:t>5</w:t>
            </w:r>
          </w:p>
        </w:tc>
      </w:tr>
      <w:tr w:rsidR="004E31A8" w:rsidRPr="001455DC" w14:paraId="101850C5" w14:textId="0F489AF4" w:rsidTr="00BE5EF4">
        <w:trPr>
          <w:cantSplit/>
        </w:trPr>
        <w:tc>
          <w:tcPr>
            <w:tcW w:w="1418" w:type="dxa"/>
            <w:shd w:val="clear" w:color="auto" w:fill="auto"/>
          </w:tcPr>
          <w:p w14:paraId="66B797C2" w14:textId="77777777" w:rsidR="004E31A8" w:rsidRPr="009D3012" w:rsidRDefault="004E31A8" w:rsidP="004E31A8">
            <w:pPr>
              <w:pStyle w:val="Tablebody"/>
              <w:rPr>
                <w:rStyle w:val="CCMCvariableitalic"/>
              </w:rPr>
            </w:pPr>
            <w:r w:rsidRPr="001455DC">
              <w:rPr>
                <w:rStyle w:val="CCMCvariableitalic"/>
              </w:rPr>
              <w:t>γ</w:t>
            </w:r>
            <w:r w:rsidRPr="001455DC">
              <w:rPr>
                <w:rStyle w:val="CCMCvariablesubscript"/>
              </w:rPr>
              <w:t>water</w:t>
            </w:r>
          </w:p>
        </w:tc>
        <w:tc>
          <w:tcPr>
            <w:tcW w:w="6548" w:type="dxa"/>
            <w:shd w:val="clear" w:color="auto" w:fill="auto"/>
          </w:tcPr>
          <w:p w14:paraId="2C45E2BE" w14:textId="77777777" w:rsidR="004E31A8" w:rsidRPr="001455DC" w:rsidRDefault="004E31A8" w:rsidP="000250B6">
            <w:pPr>
              <w:pStyle w:val="Tablebody"/>
              <w:jc w:val="left"/>
              <w:rPr>
                <w:lang w:eastAsia="de-DE"/>
              </w:rPr>
            </w:pPr>
            <w:r w:rsidRPr="001455DC">
              <w:rPr>
                <w:lang w:eastAsia="de-DE"/>
              </w:rPr>
              <w:t>Specific weight of water</w:t>
            </w:r>
          </w:p>
        </w:tc>
        <w:tc>
          <w:tcPr>
            <w:tcW w:w="1984" w:type="dxa"/>
          </w:tcPr>
          <w:p w14:paraId="6F6D2E79" w14:textId="11407685" w:rsidR="004E31A8" w:rsidRPr="001455DC" w:rsidRDefault="004E31A8">
            <w:pPr>
              <w:pStyle w:val="Tablebody"/>
              <w:rPr>
                <w:lang w:eastAsia="de-DE"/>
              </w:rPr>
            </w:pPr>
            <w:r w:rsidRPr="009D3012">
              <w:rPr>
                <w:lang w:eastAsia="de-DE"/>
              </w:rPr>
              <w:t>H.</w:t>
            </w:r>
            <w:r w:rsidR="0006068A" w:rsidRPr="009D3012">
              <w:rPr>
                <w:lang w:eastAsia="de-DE"/>
              </w:rPr>
              <w:t>4</w:t>
            </w:r>
            <w:r w:rsidRPr="009D3012">
              <w:rPr>
                <w:lang w:eastAsia="de-DE"/>
              </w:rPr>
              <w:t>.2(2)</w:t>
            </w:r>
          </w:p>
        </w:tc>
      </w:tr>
      <w:tr w:rsidR="004E31A8" w:rsidRPr="001455DC" w14:paraId="7D1187E0" w14:textId="4A9CBBC3" w:rsidTr="00BE5EF4">
        <w:trPr>
          <w:cantSplit/>
        </w:trPr>
        <w:tc>
          <w:tcPr>
            <w:tcW w:w="1418" w:type="dxa"/>
            <w:shd w:val="clear" w:color="auto" w:fill="auto"/>
          </w:tcPr>
          <w:p w14:paraId="0FDF3C75" w14:textId="77777777" w:rsidR="004E31A8" w:rsidRPr="009D3012" w:rsidRDefault="004E31A8" w:rsidP="004E31A8">
            <w:pPr>
              <w:pStyle w:val="Tablebody"/>
              <w:rPr>
                <w:rStyle w:val="CCMCvariableitalic"/>
              </w:rPr>
            </w:pPr>
            <w:r w:rsidRPr="001455DC">
              <w:rPr>
                <w:rStyle w:val="CCMCvariableitalic"/>
              </w:rPr>
              <w:t>δ</w:t>
            </w:r>
          </w:p>
        </w:tc>
        <w:tc>
          <w:tcPr>
            <w:tcW w:w="6548" w:type="dxa"/>
            <w:shd w:val="clear" w:color="auto" w:fill="auto"/>
          </w:tcPr>
          <w:p w14:paraId="021F1266" w14:textId="77777777" w:rsidR="004E31A8" w:rsidRPr="001455DC" w:rsidRDefault="004E31A8" w:rsidP="000250B6">
            <w:pPr>
              <w:pStyle w:val="Tablebody"/>
              <w:jc w:val="left"/>
              <w:rPr>
                <w:lang w:eastAsia="de-DE"/>
              </w:rPr>
            </w:pPr>
            <w:r w:rsidRPr="001455DC">
              <w:rPr>
                <w:lang w:eastAsia="de-DE"/>
              </w:rPr>
              <w:t>Deflection</w:t>
            </w:r>
          </w:p>
        </w:tc>
        <w:tc>
          <w:tcPr>
            <w:tcW w:w="1984" w:type="dxa"/>
          </w:tcPr>
          <w:p w14:paraId="79DBFF94" w14:textId="534A3B1C" w:rsidR="004E31A8" w:rsidRPr="001455DC" w:rsidRDefault="004E31A8" w:rsidP="004E31A8">
            <w:pPr>
              <w:pStyle w:val="Tablebody"/>
              <w:rPr>
                <w:lang w:eastAsia="de-DE"/>
              </w:rPr>
            </w:pPr>
            <w:r w:rsidRPr="009D3012">
              <w:rPr>
                <w:lang w:eastAsia="de-DE"/>
              </w:rPr>
              <w:t>9.3.3(2)</w:t>
            </w:r>
          </w:p>
        </w:tc>
      </w:tr>
      <w:tr w:rsidR="004E31A8" w:rsidRPr="001455DC" w14:paraId="798A1812" w14:textId="07E8C582" w:rsidTr="00BE5EF4">
        <w:trPr>
          <w:cantSplit/>
        </w:trPr>
        <w:tc>
          <w:tcPr>
            <w:tcW w:w="1418" w:type="dxa"/>
            <w:shd w:val="clear" w:color="auto" w:fill="auto"/>
          </w:tcPr>
          <w:p w14:paraId="24969EC1" w14:textId="77777777" w:rsidR="004E31A8" w:rsidRPr="009D3012" w:rsidRDefault="004E31A8" w:rsidP="004E31A8">
            <w:pPr>
              <w:pStyle w:val="Tablebody"/>
              <w:rPr>
                <w:rStyle w:val="CCMCvariableitalic"/>
              </w:rPr>
            </w:pPr>
            <w:r w:rsidRPr="001455DC">
              <w:rPr>
                <w:rStyle w:val="CCMCvariableitalic"/>
              </w:rPr>
              <w:t>δ</w:t>
            </w:r>
            <w:r w:rsidRPr="001455DC">
              <w:rPr>
                <w:rStyle w:val="CCMCvariablesubscript"/>
              </w:rPr>
              <w:t>0,Eqp</w:t>
            </w:r>
          </w:p>
        </w:tc>
        <w:tc>
          <w:tcPr>
            <w:tcW w:w="6548" w:type="dxa"/>
            <w:shd w:val="clear" w:color="auto" w:fill="auto"/>
          </w:tcPr>
          <w:p w14:paraId="41551EC4" w14:textId="4A6C93F2" w:rsidR="004E31A8" w:rsidRPr="001455DC" w:rsidRDefault="004E31A8" w:rsidP="000250B6">
            <w:pPr>
              <w:pStyle w:val="Tablebody"/>
              <w:jc w:val="left"/>
              <w:rPr>
                <w:lang w:eastAsia="de-DE"/>
              </w:rPr>
            </w:pPr>
            <w:r w:rsidRPr="001455DC">
              <w:rPr>
                <w:lang w:eastAsia="de-DE"/>
              </w:rPr>
              <w:t>Maximum short-term horizontal deflection due to the quasi permanent load combination determined assuming uncracked cross</w:t>
            </w:r>
            <w:r w:rsidR="00B10711" w:rsidRPr="001455DC">
              <w:rPr>
                <w:lang w:eastAsia="de-DE"/>
              </w:rPr>
              <w:t xml:space="preserve"> </w:t>
            </w:r>
            <w:r w:rsidRPr="001455DC">
              <w:rPr>
                <w:lang w:eastAsia="de-DE"/>
              </w:rPr>
              <w:t>sections</w:t>
            </w:r>
          </w:p>
        </w:tc>
        <w:tc>
          <w:tcPr>
            <w:tcW w:w="1984" w:type="dxa"/>
          </w:tcPr>
          <w:p w14:paraId="07EDBFB5" w14:textId="61CA8FFD" w:rsidR="004E31A8" w:rsidRPr="001455DC" w:rsidRDefault="004E31A8" w:rsidP="004E31A8">
            <w:pPr>
              <w:pStyle w:val="Tablebody"/>
              <w:rPr>
                <w:lang w:eastAsia="de-DE"/>
              </w:rPr>
            </w:pPr>
            <w:r w:rsidRPr="009D3012">
              <w:rPr>
                <w:lang w:eastAsia="de-DE"/>
              </w:rPr>
              <w:t>7.8.2(2)</w:t>
            </w:r>
          </w:p>
        </w:tc>
      </w:tr>
      <w:tr w:rsidR="004E31A8" w:rsidRPr="001455DC" w14:paraId="057B2BD5" w14:textId="46E02E10" w:rsidTr="00BE5EF4">
        <w:trPr>
          <w:cantSplit/>
        </w:trPr>
        <w:tc>
          <w:tcPr>
            <w:tcW w:w="1418" w:type="dxa"/>
            <w:shd w:val="clear" w:color="auto" w:fill="auto"/>
          </w:tcPr>
          <w:p w14:paraId="41CA66B2" w14:textId="77777777" w:rsidR="004E31A8" w:rsidRPr="009D3012" w:rsidRDefault="004E31A8" w:rsidP="004E31A8">
            <w:pPr>
              <w:pStyle w:val="Tablebody"/>
              <w:rPr>
                <w:rStyle w:val="CCMCvariableitalic"/>
              </w:rPr>
            </w:pPr>
            <w:r w:rsidRPr="001455DC">
              <w:rPr>
                <w:rStyle w:val="CCMCvariableitalic"/>
              </w:rPr>
              <w:t>δ</w:t>
            </w:r>
            <w:r w:rsidRPr="001455DC">
              <w:rPr>
                <w:rStyle w:val="CCMCvariablesubscript"/>
              </w:rPr>
              <w:t>Ed</w:t>
            </w:r>
          </w:p>
        </w:tc>
        <w:tc>
          <w:tcPr>
            <w:tcW w:w="6548" w:type="dxa"/>
            <w:shd w:val="clear" w:color="auto" w:fill="auto"/>
          </w:tcPr>
          <w:p w14:paraId="0CD293C2" w14:textId="3DB8D670" w:rsidR="004E31A8" w:rsidRPr="001455DC" w:rsidRDefault="004E31A8" w:rsidP="000250B6">
            <w:pPr>
              <w:pStyle w:val="Tablebody"/>
              <w:jc w:val="left"/>
              <w:rPr>
                <w:lang w:eastAsia="de-DE"/>
              </w:rPr>
            </w:pPr>
            <w:r w:rsidRPr="001455DC">
              <w:rPr>
                <w:lang w:eastAsia="de-DE"/>
              </w:rPr>
              <w:t>Maximum short-term horizontal deflection due to the fundamental load combinations from a first order analysis determined assuming uncracked cross</w:t>
            </w:r>
            <w:r w:rsidR="00B10711" w:rsidRPr="001455DC">
              <w:rPr>
                <w:lang w:eastAsia="de-DE"/>
              </w:rPr>
              <w:t xml:space="preserve"> </w:t>
            </w:r>
            <w:r w:rsidRPr="001455DC">
              <w:rPr>
                <w:lang w:eastAsia="de-DE"/>
              </w:rPr>
              <w:t>sections</w:t>
            </w:r>
          </w:p>
        </w:tc>
        <w:tc>
          <w:tcPr>
            <w:tcW w:w="1984" w:type="dxa"/>
          </w:tcPr>
          <w:p w14:paraId="2153F534" w14:textId="3302CF8D" w:rsidR="004E31A8" w:rsidRPr="001455DC" w:rsidRDefault="004E31A8" w:rsidP="004E31A8">
            <w:pPr>
              <w:pStyle w:val="Tablebody"/>
              <w:rPr>
                <w:lang w:eastAsia="de-DE"/>
              </w:rPr>
            </w:pPr>
            <w:r w:rsidRPr="009D3012">
              <w:rPr>
                <w:lang w:eastAsia="de-DE"/>
              </w:rPr>
              <w:t>7.8.2(2)</w:t>
            </w:r>
          </w:p>
        </w:tc>
      </w:tr>
      <w:tr w:rsidR="004E31A8" w:rsidRPr="001455DC" w14:paraId="78570952" w14:textId="2CF29A1E" w:rsidTr="00BE5EF4">
        <w:trPr>
          <w:cantSplit/>
        </w:trPr>
        <w:tc>
          <w:tcPr>
            <w:tcW w:w="1418" w:type="dxa"/>
            <w:shd w:val="clear" w:color="auto" w:fill="auto"/>
          </w:tcPr>
          <w:p w14:paraId="614D4040" w14:textId="77777777" w:rsidR="004E31A8" w:rsidRPr="009D3012" w:rsidRDefault="004E31A8" w:rsidP="004E31A8">
            <w:pPr>
              <w:pStyle w:val="Tablebody"/>
              <w:rPr>
                <w:rStyle w:val="CCMCvariableitalic"/>
              </w:rPr>
            </w:pPr>
            <w:r w:rsidRPr="001455DC">
              <w:rPr>
                <w:rStyle w:val="CCMCvariableitalic"/>
              </w:rPr>
              <w:t>δ</w:t>
            </w:r>
            <w:r w:rsidRPr="001455DC">
              <w:rPr>
                <w:rStyle w:val="CCMCvariablesubscript"/>
              </w:rPr>
              <w:t>loads</w:t>
            </w:r>
          </w:p>
        </w:tc>
        <w:tc>
          <w:tcPr>
            <w:tcW w:w="6548" w:type="dxa"/>
            <w:shd w:val="clear" w:color="auto" w:fill="auto"/>
          </w:tcPr>
          <w:p w14:paraId="6BA6C817" w14:textId="77777777" w:rsidR="004E31A8" w:rsidRPr="001455DC" w:rsidRDefault="004E31A8" w:rsidP="000250B6">
            <w:pPr>
              <w:pStyle w:val="Tablebody"/>
              <w:jc w:val="left"/>
              <w:rPr>
                <w:lang w:eastAsia="de-DE"/>
              </w:rPr>
            </w:pPr>
            <w:r w:rsidRPr="001455DC">
              <w:rPr>
                <w:lang w:eastAsia="de-DE"/>
              </w:rPr>
              <w:t>Linear elastic deflection due to the relevant combination of actions</w:t>
            </w:r>
          </w:p>
        </w:tc>
        <w:tc>
          <w:tcPr>
            <w:tcW w:w="1984" w:type="dxa"/>
          </w:tcPr>
          <w:p w14:paraId="720F3CA6" w14:textId="0DE12A9E" w:rsidR="004E31A8" w:rsidRPr="001455DC" w:rsidRDefault="004E31A8" w:rsidP="004E31A8">
            <w:pPr>
              <w:pStyle w:val="Tablebody"/>
              <w:rPr>
                <w:lang w:eastAsia="de-DE"/>
              </w:rPr>
            </w:pPr>
            <w:r w:rsidRPr="009D3012">
              <w:rPr>
                <w:lang w:eastAsia="de-DE"/>
              </w:rPr>
              <w:t>9.3.3(2)</w:t>
            </w:r>
          </w:p>
        </w:tc>
      </w:tr>
      <w:tr w:rsidR="004E31A8" w:rsidRPr="001455DC" w14:paraId="4C36B385" w14:textId="4D969EA5" w:rsidTr="00BE5EF4">
        <w:trPr>
          <w:cantSplit/>
        </w:trPr>
        <w:tc>
          <w:tcPr>
            <w:tcW w:w="1418" w:type="dxa"/>
            <w:shd w:val="clear" w:color="auto" w:fill="auto"/>
          </w:tcPr>
          <w:p w14:paraId="3E0D8F71" w14:textId="77777777" w:rsidR="004E31A8" w:rsidRPr="009D3012" w:rsidRDefault="004E31A8" w:rsidP="004E31A8">
            <w:pPr>
              <w:pStyle w:val="Tablebody"/>
              <w:rPr>
                <w:rStyle w:val="CCMCvariableitalic"/>
              </w:rPr>
            </w:pPr>
            <w:r w:rsidRPr="001455DC">
              <w:rPr>
                <w:rStyle w:val="CCMCvariableitalic"/>
              </w:rPr>
              <w:t>δ</w:t>
            </w:r>
            <w:r w:rsidRPr="001455DC">
              <w:rPr>
                <w:rStyle w:val="CCMCvariablesubscript"/>
              </w:rPr>
              <w:t>M</w:t>
            </w:r>
          </w:p>
        </w:tc>
        <w:tc>
          <w:tcPr>
            <w:tcW w:w="6548" w:type="dxa"/>
            <w:shd w:val="clear" w:color="auto" w:fill="auto"/>
          </w:tcPr>
          <w:p w14:paraId="2944B73F" w14:textId="77777777" w:rsidR="004E31A8" w:rsidRPr="001455DC" w:rsidRDefault="004E31A8" w:rsidP="000250B6">
            <w:pPr>
              <w:pStyle w:val="Tablebody"/>
              <w:jc w:val="left"/>
              <w:rPr>
                <w:lang w:eastAsia="de-DE"/>
              </w:rPr>
            </w:pPr>
            <w:r w:rsidRPr="001455DC">
              <w:rPr>
                <w:lang w:eastAsia="de-DE"/>
              </w:rPr>
              <w:t>Ratio of the redistributed moment to the elastic bending moment</w:t>
            </w:r>
          </w:p>
        </w:tc>
        <w:tc>
          <w:tcPr>
            <w:tcW w:w="1984" w:type="dxa"/>
          </w:tcPr>
          <w:p w14:paraId="265100FA" w14:textId="122CB370" w:rsidR="004E31A8" w:rsidRPr="001455DC" w:rsidRDefault="004E31A8" w:rsidP="004E31A8">
            <w:pPr>
              <w:pStyle w:val="Tablebody"/>
              <w:rPr>
                <w:lang w:eastAsia="de-DE"/>
              </w:rPr>
            </w:pPr>
            <w:r w:rsidRPr="009D3012">
              <w:rPr>
                <w:lang w:eastAsia="de-DE"/>
              </w:rPr>
              <w:t>7.5(2)</w:t>
            </w:r>
          </w:p>
        </w:tc>
      </w:tr>
      <w:tr w:rsidR="004E31A8" w:rsidRPr="001455DC" w14:paraId="2C9646F6" w14:textId="0C9F32EB" w:rsidTr="00BE5EF4">
        <w:trPr>
          <w:cantSplit/>
        </w:trPr>
        <w:tc>
          <w:tcPr>
            <w:tcW w:w="1418" w:type="dxa"/>
            <w:shd w:val="clear" w:color="auto" w:fill="auto"/>
          </w:tcPr>
          <w:p w14:paraId="6991C1AB" w14:textId="77777777" w:rsidR="004E31A8" w:rsidRPr="009D3012" w:rsidRDefault="004E31A8" w:rsidP="004E31A8">
            <w:pPr>
              <w:pStyle w:val="Tablebody"/>
              <w:rPr>
                <w:rStyle w:val="CCMCvariableitalic"/>
              </w:rPr>
            </w:pPr>
            <w:r w:rsidRPr="001455DC">
              <w:rPr>
                <w:rStyle w:val="CCMCvariableitalic"/>
              </w:rPr>
              <w:t>δ</w:t>
            </w:r>
            <w:r w:rsidRPr="001455DC">
              <w:rPr>
                <w:rStyle w:val="CCMCvariablesubscript"/>
              </w:rPr>
              <w:t>εcs</w:t>
            </w:r>
          </w:p>
        </w:tc>
        <w:tc>
          <w:tcPr>
            <w:tcW w:w="6548" w:type="dxa"/>
            <w:shd w:val="clear" w:color="auto" w:fill="auto"/>
          </w:tcPr>
          <w:p w14:paraId="17BF9A7C" w14:textId="77777777" w:rsidR="004E31A8" w:rsidRPr="001455DC" w:rsidRDefault="004E31A8" w:rsidP="000250B6">
            <w:pPr>
              <w:pStyle w:val="Tablebody"/>
              <w:jc w:val="left"/>
              <w:rPr>
                <w:lang w:eastAsia="de-DE"/>
              </w:rPr>
            </w:pPr>
            <w:r w:rsidRPr="001455DC">
              <w:rPr>
                <w:lang w:eastAsia="de-DE"/>
              </w:rPr>
              <w:t>Linear elastic deflection due to shrinkage</w:t>
            </w:r>
          </w:p>
        </w:tc>
        <w:tc>
          <w:tcPr>
            <w:tcW w:w="1984" w:type="dxa"/>
          </w:tcPr>
          <w:p w14:paraId="52710868" w14:textId="57EC8077" w:rsidR="004E31A8" w:rsidRPr="001455DC" w:rsidRDefault="004E31A8" w:rsidP="004E31A8">
            <w:pPr>
              <w:pStyle w:val="Tablebody"/>
              <w:rPr>
                <w:lang w:eastAsia="de-DE"/>
              </w:rPr>
            </w:pPr>
            <w:r w:rsidRPr="009D3012">
              <w:rPr>
                <w:lang w:eastAsia="de-DE"/>
              </w:rPr>
              <w:t>9.3.3(2)</w:t>
            </w:r>
          </w:p>
        </w:tc>
      </w:tr>
      <w:tr w:rsidR="004E31A8" w:rsidRPr="001455DC" w14:paraId="3AC311E1" w14:textId="555C6FF9" w:rsidTr="00BE5EF4">
        <w:trPr>
          <w:cantSplit/>
        </w:trPr>
        <w:tc>
          <w:tcPr>
            <w:tcW w:w="1418" w:type="dxa"/>
            <w:shd w:val="clear" w:color="auto" w:fill="auto"/>
          </w:tcPr>
          <w:p w14:paraId="1C2D22E3" w14:textId="77777777" w:rsidR="004E31A8" w:rsidRPr="009D3012" w:rsidRDefault="004E31A8" w:rsidP="004E31A8">
            <w:pPr>
              <w:pStyle w:val="Tablebody"/>
              <w:rPr>
                <w:rStyle w:val="CCMCvariableitalic"/>
              </w:rPr>
            </w:pPr>
            <w:r w:rsidRPr="001455DC">
              <w:rPr>
                <w:rStyle w:val="CCMCvariableitalic"/>
              </w:rPr>
              <w:t>ε</w:t>
            </w:r>
            <w:r w:rsidRPr="001455DC">
              <w:rPr>
                <w:rStyle w:val="CCMCvariablesubscript"/>
              </w:rPr>
              <w:t>c</w:t>
            </w:r>
          </w:p>
        </w:tc>
        <w:tc>
          <w:tcPr>
            <w:tcW w:w="6548" w:type="dxa"/>
            <w:shd w:val="clear" w:color="auto" w:fill="auto"/>
          </w:tcPr>
          <w:p w14:paraId="0AA017F0" w14:textId="77777777" w:rsidR="004E31A8" w:rsidRPr="001455DC" w:rsidRDefault="004E31A8" w:rsidP="000250B6">
            <w:pPr>
              <w:pStyle w:val="Tablebody"/>
              <w:jc w:val="left"/>
              <w:rPr>
                <w:lang w:eastAsia="de-DE"/>
              </w:rPr>
            </w:pPr>
            <w:r w:rsidRPr="001455DC">
              <w:rPr>
                <w:lang w:eastAsia="de-DE"/>
              </w:rPr>
              <w:t>Compressive strain in the concrete</w:t>
            </w:r>
          </w:p>
        </w:tc>
        <w:tc>
          <w:tcPr>
            <w:tcW w:w="1984" w:type="dxa"/>
          </w:tcPr>
          <w:p w14:paraId="56407667" w14:textId="27093896" w:rsidR="004E31A8" w:rsidRPr="001455DC" w:rsidRDefault="004E31A8" w:rsidP="004E31A8">
            <w:pPr>
              <w:pStyle w:val="Tablebody"/>
              <w:rPr>
                <w:lang w:eastAsia="de-DE"/>
              </w:rPr>
            </w:pPr>
            <w:r w:rsidRPr="009D3012">
              <w:rPr>
                <w:lang w:eastAsia="de-DE"/>
              </w:rPr>
              <w:t>5.1.6(1)</w:t>
            </w:r>
          </w:p>
        </w:tc>
      </w:tr>
      <w:tr w:rsidR="004E31A8" w:rsidRPr="001455DC" w14:paraId="151E38F9" w14:textId="020B2A2F" w:rsidTr="00BE5EF4">
        <w:trPr>
          <w:cantSplit/>
        </w:trPr>
        <w:tc>
          <w:tcPr>
            <w:tcW w:w="1418" w:type="dxa"/>
            <w:shd w:val="clear" w:color="auto" w:fill="auto"/>
          </w:tcPr>
          <w:p w14:paraId="6891A759" w14:textId="77777777" w:rsidR="004E31A8" w:rsidRPr="009D3012" w:rsidRDefault="004E31A8" w:rsidP="004E31A8">
            <w:pPr>
              <w:pStyle w:val="Tablebody"/>
              <w:rPr>
                <w:rStyle w:val="CCMCvariableitalic"/>
              </w:rPr>
            </w:pPr>
            <w:r w:rsidRPr="001455DC">
              <w:rPr>
                <w:rStyle w:val="CCMCvariableitalic"/>
              </w:rPr>
              <w:t>ε</w:t>
            </w:r>
            <w:r w:rsidRPr="001455DC">
              <w:rPr>
                <w:rStyle w:val="CCMCvariablesubscript"/>
              </w:rPr>
              <w:t>c2</w:t>
            </w:r>
          </w:p>
        </w:tc>
        <w:tc>
          <w:tcPr>
            <w:tcW w:w="6548" w:type="dxa"/>
            <w:shd w:val="clear" w:color="auto" w:fill="auto"/>
          </w:tcPr>
          <w:p w14:paraId="36CDED88" w14:textId="77777777" w:rsidR="004E31A8" w:rsidRPr="001455DC" w:rsidRDefault="004E31A8" w:rsidP="000250B6">
            <w:pPr>
              <w:pStyle w:val="Tablebody"/>
              <w:jc w:val="left"/>
              <w:rPr>
                <w:lang w:eastAsia="de-DE"/>
              </w:rPr>
            </w:pPr>
            <w:r w:rsidRPr="001455DC">
              <w:rPr>
                <w:lang w:eastAsia="de-DE"/>
              </w:rPr>
              <w:t xml:space="preserve">Compressive strain in the concrete at the peak stress </w:t>
            </w:r>
            <w:r w:rsidRPr="001455DC">
              <w:rPr>
                <w:rStyle w:val="CCMCvariableitalic"/>
              </w:rPr>
              <w:t>f</w:t>
            </w:r>
            <w:r w:rsidRPr="001455DC">
              <w:rPr>
                <w:rStyle w:val="CCMCvariablesubscript"/>
              </w:rPr>
              <w:t>c</w:t>
            </w:r>
          </w:p>
        </w:tc>
        <w:tc>
          <w:tcPr>
            <w:tcW w:w="1984" w:type="dxa"/>
          </w:tcPr>
          <w:p w14:paraId="015DFB9C" w14:textId="27CCA6CA" w:rsidR="004E31A8" w:rsidRPr="001455DC" w:rsidRDefault="004E31A8" w:rsidP="004E31A8">
            <w:pPr>
              <w:pStyle w:val="Tablebody"/>
              <w:rPr>
                <w:lang w:eastAsia="de-DE"/>
              </w:rPr>
            </w:pPr>
            <w:r w:rsidRPr="009D3012">
              <w:rPr>
                <w:lang w:eastAsia="de-DE"/>
              </w:rPr>
              <w:t>8.1.2(1)</w:t>
            </w:r>
          </w:p>
        </w:tc>
      </w:tr>
      <w:tr w:rsidR="004E31A8" w:rsidRPr="001455DC" w14:paraId="25010F07" w14:textId="0D8A3B70" w:rsidTr="00BE5EF4">
        <w:trPr>
          <w:cantSplit/>
        </w:trPr>
        <w:tc>
          <w:tcPr>
            <w:tcW w:w="1418" w:type="dxa"/>
            <w:shd w:val="clear" w:color="auto" w:fill="auto"/>
          </w:tcPr>
          <w:p w14:paraId="437C75A2" w14:textId="77777777" w:rsidR="004E31A8" w:rsidRPr="009D3012" w:rsidRDefault="004E31A8" w:rsidP="004E31A8">
            <w:pPr>
              <w:pStyle w:val="Tablebody"/>
              <w:rPr>
                <w:rStyle w:val="CCMCvariableitalic"/>
              </w:rPr>
            </w:pPr>
            <w:r w:rsidRPr="001455DC">
              <w:rPr>
                <w:rStyle w:val="CCMCvariableitalic"/>
              </w:rPr>
              <w:t>ε</w:t>
            </w:r>
            <w:r w:rsidRPr="001455DC">
              <w:rPr>
                <w:rStyle w:val="CCMCvariablesubscript"/>
              </w:rPr>
              <w:t>c2,c</w:t>
            </w:r>
          </w:p>
        </w:tc>
        <w:tc>
          <w:tcPr>
            <w:tcW w:w="6548" w:type="dxa"/>
            <w:shd w:val="clear" w:color="auto" w:fill="auto"/>
          </w:tcPr>
          <w:p w14:paraId="18B9A524" w14:textId="77777777" w:rsidR="004E31A8" w:rsidRPr="001455DC" w:rsidRDefault="004E31A8" w:rsidP="000250B6">
            <w:pPr>
              <w:pStyle w:val="Tablebody"/>
              <w:jc w:val="left"/>
              <w:rPr>
                <w:lang w:eastAsia="de-DE"/>
              </w:rPr>
            </w:pPr>
            <w:r w:rsidRPr="001455DC">
              <w:rPr>
                <w:lang w:eastAsia="de-DE"/>
              </w:rPr>
              <w:t xml:space="preserve">Value of </w:t>
            </w:r>
            <w:r w:rsidRPr="001455DC">
              <w:rPr>
                <w:rStyle w:val="CCMCvariableitalic"/>
              </w:rPr>
              <w:t>ε</w:t>
            </w:r>
            <w:r w:rsidRPr="001455DC">
              <w:rPr>
                <w:rStyle w:val="CCMCvariablesubscript"/>
              </w:rPr>
              <w:t>c2</w:t>
            </w:r>
            <w:r w:rsidRPr="001455DC">
              <w:rPr>
                <w:lang w:eastAsia="de-DE"/>
              </w:rPr>
              <w:t xml:space="preserve"> in case of confined concrete</w:t>
            </w:r>
          </w:p>
        </w:tc>
        <w:tc>
          <w:tcPr>
            <w:tcW w:w="1984" w:type="dxa"/>
          </w:tcPr>
          <w:p w14:paraId="0B16DECC" w14:textId="7127541E" w:rsidR="004E31A8" w:rsidRPr="001455DC" w:rsidRDefault="004E31A8" w:rsidP="004E31A8">
            <w:pPr>
              <w:pStyle w:val="Tablebody"/>
              <w:rPr>
                <w:lang w:eastAsia="de-DE"/>
              </w:rPr>
            </w:pPr>
            <w:r w:rsidRPr="009D3012">
              <w:rPr>
                <w:lang w:eastAsia="de-DE"/>
              </w:rPr>
              <w:t>8.1.4(5)</w:t>
            </w:r>
          </w:p>
        </w:tc>
      </w:tr>
      <w:tr w:rsidR="004E31A8" w:rsidRPr="001455DC" w14:paraId="57763A2D" w14:textId="076DF7C9" w:rsidTr="00BE5EF4">
        <w:trPr>
          <w:cantSplit/>
        </w:trPr>
        <w:tc>
          <w:tcPr>
            <w:tcW w:w="1418" w:type="dxa"/>
            <w:shd w:val="clear" w:color="auto" w:fill="auto"/>
          </w:tcPr>
          <w:p w14:paraId="34AA34D1" w14:textId="77777777" w:rsidR="004E31A8" w:rsidRPr="009D3012" w:rsidRDefault="004E31A8" w:rsidP="004E31A8">
            <w:pPr>
              <w:pStyle w:val="Tablebody"/>
              <w:rPr>
                <w:rStyle w:val="CCMCvariableitalic"/>
              </w:rPr>
            </w:pPr>
            <w:r w:rsidRPr="001455DC">
              <w:rPr>
                <w:rStyle w:val="CCMCvariableitalic"/>
              </w:rPr>
              <w:t>ε</w:t>
            </w:r>
            <w:r w:rsidRPr="001455DC">
              <w:rPr>
                <w:rStyle w:val="CCMCvariablesubscript"/>
              </w:rPr>
              <w:t>cbs</w:t>
            </w:r>
          </w:p>
        </w:tc>
        <w:tc>
          <w:tcPr>
            <w:tcW w:w="6548" w:type="dxa"/>
            <w:shd w:val="clear" w:color="auto" w:fill="auto"/>
          </w:tcPr>
          <w:p w14:paraId="00B91563" w14:textId="77777777" w:rsidR="004E31A8" w:rsidRPr="001455DC" w:rsidRDefault="004E31A8" w:rsidP="000250B6">
            <w:pPr>
              <w:pStyle w:val="Tablebody"/>
              <w:jc w:val="left"/>
              <w:rPr>
                <w:lang w:eastAsia="de-DE"/>
              </w:rPr>
            </w:pPr>
            <w:r w:rsidRPr="001455DC">
              <w:rPr>
                <w:lang w:eastAsia="de-DE"/>
              </w:rPr>
              <w:t>Basic shrinkage strain</w:t>
            </w:r>
          </w:p>
        </w:tc>
        <w:tc>
          <w:tcPr>
            <w:tcW w:w="1984" w:type="dxa"/>
          </w:tcPr>
          <w:p w14:paraId="20C77E1E" w14:textId="6CC6ADBA" w:rsidR="004E31A8" w:rsidRPr="001455DC" w:rsidRDefault="004E31A8" w:rsidP="00BE5EF4">
            <w:pPr>
              <w:pStyle w:val="Tablebody"/>
              <w:rPr>
                <w:lang w:eastAsia="de-DE"/>
              </w:rPr>
            </w:pPr>
            <w:r w:rsidRPr="009D3012">
              <w:rPr>
                <w:lang w:eastAsia="de-DE"/>
              </w:rPr>
              <w:t>B.</w:t>
            </w:r>
            <w:r w:rsidR="001A17A7" w:rsidRPr="009D3012">
              <w:rPr>
                <w:lang w:eastAsia="de-DE"/>
              </w:rPr>
              <w:t>5</w:t>
            </w:r>
            <w:r w:rsidRPr="009D3012">
              <w:rPr>
                <w:lang w:eastAsia="de-DE"/>
              </w:rPr>
              <w:t>(1)</w:t>
            </w:r>
          </w:p>
        </w:tc>
      </w:tr>
      <w:tr w:rsidR="004E31A8" w:rsidRPr="001455DC" w14:paraId="5A18EE9A" w14:textId="203E155B" w:rsidTr="00BE5EF4">
        <w:trPr>
          <w:cantSplit/>
        </w:trPr>
        <w:tc>
          <w:tcPr>
            <w:tcW w:w="1418" w:type="dxa"/>
            <w:shd w:val="clear" w:color="auto" w:fill="auto"/>
          </w:tcPr>
          <w:p w14:paraId="6DA2A790" w14:textId="77777777" w:rsidR="004E31A8" w:rsidRPr="001455DC" w:rsidRDefault="004E31A8" w:rsidP="004E31A8">
            <w:pPr>
              <w:pStyle w:val="Tablebody"/>
              <w:rPr>
                <w:lang w:eastAsia="de-DE"/>
              </w:rPr>
            </w:pPr>
            <w:r w:rsidRPr="001455DC">
              <w:rPr>
                <w:rStyle w:val="CCMCvariableitalic"/>
              </w:rPr>
              <w:t>ε</w:t>
            </w:r>
            <w:r w:rsidRPr="001455DC">
              <w:rPr>
                <w:rStyle w:val="CCMCvariablesubscript"/>
              </w:rPr>
              <w:t>cbs,fcm</w:t>
            </w:r>
          </w:p>
        </w:tc>
        <w:tc>
          <w:tcPr>
            <w:tcW w:w="6548" w:type="dxa"/>
            <w:shd w:val="clear" w:color="auto" w:fill="auto"/>
          </w:tcPr>
          <w:p w14:paraId="1403351A" w14:textId="77777777" w:rsidR="004E31A8" w:rsidRPr="001455DC" w:rsidRDefault="004E31A8" w:rsidP="000250B6">
            <w:pPr>
              <w:pStyle w:val="Tablebody"/>
              <w:jc w:val="left"/>
              <w:rPr>
                <w:lang w:eastAsia="de-DE"/>
              </w:rPr>
            </w:pPr>
            <w:r w:rsidRPr="001455DC">
              <w:t>Notional basic shrinkage coefficient, accounting for the effect of concrete strength and strength class of cement on basic shrinkage</w:t>
            </w:r>
          </w:p>
        </w:tc>
        <w:tc>
          <w:tcPr>
            <w:tcW w:w="1984" w:type="dxa"/>
          </w:tcPr>
          <w:p w14:paraId="08C6028D" w14:textId="196DBF93" w:rsidR="004E31A8" w:rsidRPr="001455DC" w:rsidRDefault="004E31A8" w:rsidP="00BE5EF4">
            <w:pPr>
              <w:pStyle w:val="Tablebody"/>
            </w:pPr>
            <w:r w:rsidRPr="009D3012">
              <w:rPr>
                <w:lang w:eastAsia="de-DE"/>
              </w:rPr>
              <w:t>B.</w:t>
            </w:r>
            <w:r w:rsidR="001A17A7" w:rsidRPr="009D3012">
              <w:rPr>
                <w:lang w:eastAsia="de-DE"/>
              </w:rPr>
              <w:t>5</w:t>
            </w:r>
            <w:r w:rsidRPr="009D3012">
              <w:rPr>
                <w:lang w:eastAsia="de-DE"/>
              </w:rPr>
              <w:t>(1)</w:t>
            </w:r>
          </w:p>
        </w:tc>
      </w:tr>
      <w:tr w:rsidR="004E31A8" w:rsidRPr="001455DC" w14:paraId="3EB4552C" w14:textId="2F5CA16F" w:rsidTr="00BE5EF4">
        <w:trPr>
          <w:cantSplit/>
        </w:trPr>
        <w:tc>
          <w:tcPr>
            <w:tcW w:w="1418" w:type="dxa"/>
            <w:shd w:val="clear" w:color="auto" w:fill="auto"/>
          </w:tcPr>
          <w:p w14:paraId="098660B7" w14:textId="77777777" w:rsidR="004E31A8" w:rsidRPr="009D3012" w:rsidRDefault="004E31A8" w:rsidP="004E31A8">
            <w:pPr>
              <w:pStyle w:val="Tablebody"/>
              <w:rPr>
                <w:rStyle w:val="CCMCvariableitalic"/>
              </w:rPr>
            </w:pPr>
            <w:r w:rsidRPr="001455DC">
              <w:rPr>
                <w:rStyle w:val="CCMCvariableitalic"/>
              </w:rPr>
              <w:t>ε</w:t>
            </w:r>
            <w:r w:rsidRPr="001455DC">
              <w:rPr>
                <w:rStyle w:val="CCMCvariablesubscript"/>
              </w:rPr>
              <w:t>cσ</w:t>
            </w:r>
            <w:r w:rsidRPr="001455DC">
              <w:rPr>
                <w:lang w:eastAsia="de-DE"/>
              </w:rPr>
              <w:t>(</w:t>
            </w:r>
            <w:r w:rsidRPr="001455DC">
              <w:rPr>
                <w:rStyle w:val="CCMCvariableitalic"/>
              </w:rPr>
              <w:t>t,t</w:t>
            </w:r>
            <w:r w:rsidRPr="001455DC">
              <w:rPr>
                <w:rStyle w:val="CCMCvariablesubscript"/>
              </w:rPr>
              <w:t>0</w:t>
            </w:r>
            <w:r w:rsidRPr="001455DC">
              <w:rPr>
                <w:lang w:eastAsia="de-DE"/>
              </w:rPr>
              <w:t>)</w:t>
            </w:r>
          </w:p>
        </w:tc>
        <w:tc>
          <w:tcPr>
            <w:tcW w:w="6548" w:type="dxa"/>
            <w:shd w:val="clear" w:color="auto" w:fill="auto"/>
          </w:tcPr>
          <w:p w14:paraId="03390CFF" w14:textId="77777777" w:rsidR="004E31A8" w:rsidRPr="001455DC" w:rsidRDefault="004E31A8" w:rsidP="000250B6">
            <w:pPr>
              <w:pStyle w:val="Tablebody"/>
              <w:jc w:val="left"/>
            </w:pPr>
            <w:r w:rsidRPr="001455DC">
              <w:t xml:space="preserve">Time-dependent strain due to a constant stress </w:t>
            </w:r>
            <w:r w:rsidRPr="001455DC">
              <w:rPr>
                <w:rStyle w:val="CCMCvariableitalic"/>
              </w:rPr>
              <w:t>σ</w:t>
            </w:r>
            <w:r w:rsidRPr="001455DC">
              <w:rPr>
                <w:rStyle w:val="CCMCvariablesubscript"/>
              </w:rPr>
              <w:t>c</w:t>
            </w:r>
            <w:r w:rsidRPr="001455DC">
              <w:t>(</w:t>
            </w:r>
            <w:r w:rsidRPr="001455DC">
              <w:rPr>
                <w:rStyle w:val="CCMCvariableitalic"/>
              </w:rPr>
              <w:t>t</w:t>
            </w:r>
            <w:r w:rsidRPr="001455DC">
              <w:rPr>
                <w:rStyle w:val="CCMCvariablesubscript"/>
              </w:rPr>
              <w:t>0</w:t>
            </w:r>
            <w:r w:rsidRPr="001455DC">
              <w:t>) applied at time </w:t>
            </w:r>
            <w:r w:rsidRPr="001455DC">
              <w:rPr>
                <w:rStyle w:val="CCMCvariableitalic"/>
              </w:rPr>
              <w:t>t</w:t>
            </w:r>
            <w:r w:rsidRPr="001455DC">
              <w:rPr>
                <w:rStyle w:val="CCMCvariablesubscript"/>
              </w:rPr>
              <w:t>0</w:t>
            </w:r>
          </w:p>
        </w:tc>
        <w:tc>
          <w:tcPr>
            <w:tcW w:w="1984" w:type="dxa"/>
          </w:tcPr>
          <w:p w14:paraId="0FA9DA5F" w14:textId="6242C76A" w:rsidR="004E31A8" w:rsidRPr="001455DC" w:rsidRDefault="004E31A8" w:rsidP="00BE5EF4">
            <w:pPr>
              <w:pStyle w:val="Tablebody"/>
            </w:pPr>
            <w:r w:rsidRPr="009D3012">
              <w:rPr>
                <w:lang w:eastAsia="de-DE"/>
              </w:rPr>
              <w:t>B.</w:t>
            </w:r>
            <w:r w:rsidR="00D63F75" w:rsidRPr="009D3012">
              <w:rPr>
                <w:lang w:eastAsia="de-DE"/>
              </w:rPr>
              <w:t>7</w:t>
            </w:r>
            <w:r w:rsidRPr="009D3012">
              <w:rPr>
                <w:lang w:eastAsia="de-DE"/>
              </w:rPr>
              <w:t>(1)</w:t>
            </w:r>
          </w:p>
        </w:tc>
      </w:tr>
      <w:tr w:rsidR="004E31A8" w:rsidRPr="001455DC" w14:paraId="26BDB339" w14:textId="022B2716" w:rsidTr="00BE5EF4">
        <w:trPr>
          <w:cantSplit/>
        </w:trPr>
        <w:tc>
          <w:tcPr>
            <w:tcW w:w="1418" w:type="dxa"/>
            <w:shd w:val="clear" w:color="auto" w:fill="auto"/>
          </w:tcPr>
          <w:p w14:paraId="27345E37" w14:textId="77777777" w:rsidR="004E31A8" w:rsidRPr="009D3012" w:rsidRDefault="004E31A8" w:rsidP="004E31A8">
            <w:pPr>
              <w:pStyle w:val="Tablebody"/>
              <w:rPr>
                <w:rStyle w:val="CCMCvariableitalic"/>
              </w:rPr>
            </w:pPr>
            <w:r w:rsidRPr="001455DC">
              <w:rPr>
                <w:rStyle w:val="CCMCvariableitalic"/>
              </w:rPr>
              <w:t>ε</w:t>
            </w:r>
            <w:r w:rsidRPr="001455DC">
              <w:rPr>
                <w:rStyle w:val="CCMCvariablesubscript"/>
              </w:rPr>
              <w:t>cσ</w:t>
            </w:r>
            <w:r w:rsidRPr="001455DC">
              <w:rPr>
                <w:lang w:eastAsia="de-DE"/>
              </w:rPr>
              <w:t>(</w:t>
            </w:r>
            <w:r w:rsidRPr="001455DC">
              <w:rPr>
                <w:rStyle w:val="CCMCvariableitalic"/>
              </w:rPr>
              <w:t>t,σ</w:t>
            </w:r>
            <w:r w:rsidRPr="001455DC">
              <w:rPr>
                <w:rStyle w:val="CCMCvariablesubscript"/>
              </w:rPr>
              <w:t>c</w:t>
            </w:r>
            <w:r w:rsidRPr="001455DC">
              <w:rPr>
                <w:lang w:eastAsia="de-DE"/>
              </w:rPr>
              <w:t>)</w:t>
            </w:r>
          </w:p>
        </w:tc>
        <w:tc>
          <w:tcPr>
            <w:tcW w:w="6548" w:type="dxa"/>
            <w:shd w:val="clear" w:color="auto" w:fill="auto"/>
          </w:tcPr>
          <w:p w14:paraId="1F0F3DAC" w14:textId="259E7F68" w:rsidR="004E31A8" w:rsidRPr="001455DC" w:rsidRDefault="004E31A8" w:rsidP="000250B6">
            <w:pPr>
              <w:pStyle w:val="Tablebody"/>
              <w:jc w:val="left"/>
            </w:pPr>
            <w:r w:rsidRPr="001455DC">
              <w:t xml:space="preserve">Time-dependent strain due to a stress history </w:t>
            </w:r>
            <w:r w:rsidRPr="001455DC">
              <w:rPr>
                <w:rStyle w:val="CCMCvariableitalic"/>
              </w:rPr>
              <w:t>σ</w:t>
            </w:r>
            <w:r w:rsidRPr="001455DC">
              <w:rPr>
                <w:rStyle w:val="CCMCvariablesubscript"/>
              </w:rPr>
              <w:t>c</w:t>
            </w:r>
            <w:r w:rsidRPr="001455DC">
              <w:t>(</w:t>
            </w:r>
            <w:r w:rsidRPr="001455DC">
              <w:rPr>
                <w:rStyle w:val="CCMCvariableitalic"/>
              </w:rPr>
              <w:t>t</w:t>
            </w:r>
            <w:r w:rsidRPr="001455DC">
              <w:t>)</w:t>
            </w:r>
          </w:p>
        </w:tc>
        <w:tc>
          <w:tcPr>
            <w:tcW w:w="1984" w:type="dxa"/>
          </w:tcPr>
          <w:p w14:paraId="4C872FCA" w14:textId="20C4C04E" w:rsidR="004E31A8" w:rsidRPr="001455DC" w:rsidRDefault="004E31A8" w:rsidP="004E31A8">
            <w:pPr>
              <w:pStyle w:val="Tablebody"/>
            </w:pPr>
            <w:r w:rsidRPr="009D3012">
              <w:rPr>
                <w:lang w:eastAsia="de-DE"/>
              </w:rPr>
              <w:t>B</w:t>
            </w:r>
            <w:r w:rsidR="00D63F75" w:rsidRPr="009D3012">
              <w:rPr>
                <w:lang w:eastAsia="de-DE"/>
              </w:rPr>
              <w:t>.7</w:t>
            </w:r>
            <w:r w:rsidRPr="009D3012">
              <w:rPr>
                <w:lang w:eastAsia="de-DE"/>
              </w:rPr>
              <w:t>(1)</w:t>
            </w:r>
          </w:p>
        </w:tc>
      </w:tr>
      <w:tr w:rsidR="004E31A8" w:rsidRPr="001455DC" w14:paraId="63A39667" w14:textId="79412615" w:rsidTr="00BE5EF4">
        <w:trPr>
          <w:cantSplit/>
        </w:trPr>
        <w:tc>
          <w:tcPr>
            <w:tcW w:w="1418" w:type="dxa"/>
            <w:shd w:val="clear" w:color="auto" w:fill="auto"/>
          </w:tcPr>
          <w:p w14:paraId="56914CF9" w14:textId="77777777" w:rsidR="004E31A8" w:rsidRPr="009D3012" w:rsidRDefault="004E31A8" w:rsidP="004E31A8">
            <w:pPr>
              <w:pStyle w:val="Tablebody"/>
              <w:rPr>
                <w:rStyle w:val="CCMCvariableitalic"/>
              </w:rPr>
            </w:pPr>
            <w:r w:rsidRPr="001455DC">
              <w:rPr>
                <w:rStyle w:val="CCMCvariableitalic"/>
              </w:rPr>
              <w:t>ε</w:t>
            </w:r>
            <w:r w:rsidRPr="001455DC">
              <w:rPr>
                <w:rStyle w:val="CCMCvariablesubscript"/>
              </w:rPr>
              <w:t>ci</w:t>
            </w:r>
            <w:r w:rsidRPr="001455DC">
              <w:rPr>
                <w:lang w:eastAsia="de-DE"/>
              </w:rPr>
              <w:t>(</w:t>
            </w:r>
            <w:r w:rsidRPr="001455DC">
              <w:rPr>
                <w:rStyle w:val="CCMCvariableitalic"/>
              </w:rPr>
              <w:t>t</w:t>
            </w:r>
            <w:r w:rsidRPr="001455DC">
              <w:rPr>
                <w:rStyle w:val="CCMCvariablesubscript"/>
              </w:rPr>
              <w:t>0</w:t>
            </w:r>
            <w:r w:rsidRPr="001455DC">
              <w:rPr>
                <w:lang w:eastAsia="de-DE"/>
              </w:rPr>
              <w:t>)</w:t>
            </w:r>
          </w:p>
        </w:tc>
        <w:tc>
          <w:tcPr>
            <w:tcW w:w="6548" w:type="dxa"/>
            <w:shd w:val="clear" w:color="auto" w:fill="auto"/>
          </w:tcPr>
          <w:p w14:paraId="1F42E04C" w14:textId="77777777" w:rsidR="004E31A8" w:rsidRPr="001455DC" w:rsidRDefault="004E31A8" w:rsidP="000250B6">
            <w:pPr>
              <w:pStyle w:val="Tablebody"/>
              <w:jc w:val="left"/>
            </w:pPr>
            <w:r w:rsidRPr="001455DC">
              <w:t xml:space="preserve">Elastic strain due to a constant stress </w:t>
            </w:r>
            <w:r w:rsidRPr="001455DC">
              <w:rPr>
                <w:rStyle w:val="CCMCvariableitalic"/>
              </w:rPr>
              <w:t>σ</w:t>
            </w:r>
            <w:r w:rsidRPr="001455DC">
              <w:rPr>
                <w:rStyle w:val="CCMCvariablesubscript"/>
              </w:rPr>
              <w:t>c</w:t>
            </w:r>
            <w:r w:rsidRPr="001455DC">
              <w:t>(</w:t>
            </w:r>
            <w:r w:rsidRPr="001455DC">
              <w:rPr>
                <w:rStyle w:val="CCMCvariableitalic"/>
              </w:rPr>
              <w:t>t</w:t>
            </w:r>
            <w:r w:rsidRPr="001455DC">
              <w:rPr>
                <w:rStyle w:val="CCMCvariablesubscript"/>
              </w:rPr>
              <w:t>0</w:t>
            </w:r>
            <w:r w:rsidRPr="001455DC">
              <w:t xml:space="preserve">) applied at time </w:t>
            </w:r>
            <w:r w:rsidRPr="001455DC">
              <w:rPr>
                <w:rStyle w:val="CCMCvariableitalic"/>
              </w:rPr>
              <w:t>t</w:t>
            </w:r>
            <w:r w:rsidRPr="001455DC">
              <w:rPr>
                <w:rStyle w:val="CCMCvariablesubscript"/>
              </w:rPr>
              <w:t>0</w:t>
            </w:r>
          </w:p>
        </w:tc>
        <w:tc>
          <w:tcPr>
            <w:tcW w:w="1984" w:type="dxa"/>
          </w:tcPr>
          <w:p w14:paraId="535EF255" w14:textId="72B0D63F" w:rsidR="004E31A8" w:rsidRPr="001455DC" w:rsidRDefault="00D63F75" w:rsidP="004E31A8">
            <w:pPr>
              <w:pStyle w:val="Tablebody"/>
            </w:pPr>
            <w:r w:rsidRPr="009D3012">
              <w:rPr>
                <w:lang w:eastAsia="de-DE"/>
              </w:rPr>
              <w:t>B.7</w:t>
            </w:r>
            <w:r w:rsidR="004E31A8" w:rsidRPr="009D3012">
              <w:rPr>
                <w:lang w:eastAsia="de-DE"/>
              </w:rPr>
              <w:t>(1)</w:t>
            </w:r>
          </w:p>
        </w:tc>
      </w:tr>
      <w:tr w:rsidR="004E31A8" w:rsidRPr="001455DC" w14:paraId="0F24B3CA" w14:textId="7C8386B5" w:rsidTr="00BE5EF4">
        <w:trPr>
          <w:cantSplit/>
        </w:trPr>
        <w:tc>
          <w:tcPr>
            <w:tcW w:w="1418" w:type="dxa"/>
            <w:shd w:val="clear" w:color="auto" w:fill="auto"/>
          </w:tcPr>
          <w:p w14:paraId="15CDE29C" w14:textId="77777777" w:rsidR="004E31A8" w:rsidRPr="009D3012" w:rsidRDefault="004E31A8" w:rsidP="004E31A8">
            <w:pPr>
              <w:pStyle w:val="Tablebody"/>
              <w:rPr>
                <w:rStyle w:val="CCMCvariableitalic"/>
              </w:rPr>
            </w:pPr>
            <w:r w:rsidRPr="001455DC">
              <w:rPr>
                <w:rStyle w:val="CCMCvariableitalic"/>
              </w:rPr>
              <w:t>ε</w:t>
            </w:r>
            <w:r w:rsidRPr="001455DC">
              <w:rPr>
                <w:rStyle w:val="CCMCvariablesubscript"/>
              </w:rPr>
              <w:t>cc</w:t>
            </w:r>
            <w:r w:rsidRPr="001455DC">
              <w:rPr>
                <w:lang w:eastAsia="de-DE"/>
              </w:rPr>
              <w:t>(</w:t>
            </w:r>
            <w:r w:rsidRPr="001455DC">
              <w:rPr>
                <w:rStyle w:val="CCMCvariableitalic"/>
              </w:rPr>
              <w:t>t,t</w:t>
            </w:r>
            <w:r w:rsidRPr="001455DC">
              <w:rPr>
                <w:rStyle w:val="CCMCvariablesubscript"/>
              </w:rPr>
              <w:t>0</w:t>
            </w:r>
            <w:r w:rsidRPr="001455DC">
              <w:rPr>
                <w:lang w:eastAsia="de-DE"/>
              </w:rPr>
              <w:t>)</w:t>
            </w:r>
          </w:p>
        </w:tc>
        <w:tc>
          <w:tcPr>
            <w:tcW w:w="6548" w:type="dxa"/>
            <w:shd w:val="clear" w:color="auto" w:fill="auto"/>
          </w:tcPr>
          <w:p w14:paraId="167B3173" w14:textId="77777777" w:rsidR="004E31A8" w:rsidRPr="001455DC" w:rsidRDefault="004E31A8" w:rsidP="000250B6">
            <w:pPr>
              <w:pStyle w:val="Tablebody"/>
              <w:jc w:val="left"/>
            </w:pPr>
            <w:r w:rsidRPr="001455DC">
              <w:t xml:space="preserve">Creep strain due to a constant stress </w:t>
            </w:r>
            <w:r w:rsidRPr="001455DC">
              <w:rPr>
                <w:rStyle w:val="CCMCvariableitalic"/>
              </w:rPr>
              <w:t>σ</w:t>
            </w:r>
            <w:r w:rsidRPr="001455DC">
              <w:rPr>
                <w:rStyle w:val="CCMCvariablesubscript"/>
              </w:rPr>
              <w:t>c</w:t>
            </w:r>
            <w:r w:rsidRPr="001455DC">
              <w:t>(</w:t>
            </w:r>
            <w:r w:rsidRPr="001455DC">
              <w:rPr>
                <w:rStyle w:val="CCMCvariableitalic"/>
              </w:rPr>
              <w:t>t</w:t>
            </w:r>
            <w:r w:rsidRPr="001455DC">
              <w:rPr>
                <w:rStyle w:val="CCMCvariablesubscript"/>
              </w:rPr>
              <w:t>0</w:t>
            </w:r>
            <w:r w:rsidRPr="001455DC">
              <w:t xml:space="preserve">) applied at time </w:t>
            </w:r>
            <w:r w:rsidRPr="001455DC">
              <w:rPr>
                <w:rStyle w:val="CCMCvariableitalic"/>
              </w:rPr>
              <w:t>t</w:t>
            </w:r>
            <w:r w:rsidRPr="001455DC">
              <w:rPr>
                <w:rStyle w:val="CCMCvariablesubscript"/>
              </w:rPr>
              <w:t>0</w:t>
            </w:r>
          </w:p>
        </w:tc>
        <w:tc>
          <w:tcPr>
            <w:tcW w:w="1984" w:type="dxa"/>
          </w:tcPr>
          <w:p w14:paraId="5CD3DA2B" w14:textId="6180DA74" w:rsidR="004E31A8" w:rsidRPr="001455DC" w:rsidRDefault="00D63F75" w:rsidP="004E31A8">
            <w:pPr>
              <w:pStyle w:val="Tablebody"/>
            </w:pPr>
            <w:r w:rsidRPr="009D3012">
              <w:rPr>
                <w:lang w:eastAsia="de-DE"/>
              </w:rPr>
              <w:t>B.7</w:t>
            </w:r>
            <w:r w:rsidR="004E31A8" w:rsidRPr="009D3012">
              <w:rPr>
                <w:lang w:eastAsia="de-DE"/>
              </w:rPr>
              <w:t>(1), 5.1.5(1)</w:t>
            </w:r>
          </w:p>
        </w:tc>
      </w:tr>
      <w:tr w:rsidR="004E31A8" w:rsidRPr="001455DC" w14:paraId="15DB49F6" w14:textId="46658CBF" w:rsidTr="00BE5EF4">
        <w:trPr>
          <w:cantSplit/>
        </w:trPr>
        <w:tc>
          <w:tcPr>
            <w:tcW w:w="1418" w:type="dxa"/>
            <w:shd w:val="clear" w:color="auto" w:fill="auto"/>
          </w:tcPr>
          <w:p w14:paraId="0E1209E7" w14:textId="77777777" w:rsidR="004E31A8" w:rsidRPr="009D3012" w:rsidRDefault="004E31A8" w:rsidP="004E31A8">
            <w:pPr>
              <w:pStyle w:val="Tablebody"/>
              <w:rPr>
                <w:rStyle w:val="CCMCvariableitalic"/>
              </w:rPr>
            </w:pPr>
            <w:r w:rsidRPr="001455DC">
              <w:rPr>
                <w:rStyle w:val="CCMCvariableitalic"/>
              </w:rPr>
              <w:t>ε</w:t>
            </w:r>
            <w:r w:rsidRPr="001455DC">
              <w:rPr>
                <w:rStyle w:val="CCMCvariablesubscript"/>
              </w:rPr>
              <w:t>cm</w:t>
            </w:r>
          </w:p>
        </w:tc>
        <w:tc>
          <w:tcPr>
            <w:tcW w:w="6548" w:type="dxa"/>
            <w:shd w:val="clear" w:color="auto" w:fill="auto"/>
          </w:tcPr>
          <w:p w14:paraId="65129B43" w14:textId="77777777" w:rsidR="004E31A8" w:rsidRPr="001455DC" w:rsidRDefault="004E31A8" w:rsidP="000250B6">
            <w:pPr>
              <w:pStyle w:val="Tablebody"/>
              <w:jc w:val="left"/>
              <w:rPr>
                <w:lang w:eastAsia="de-DE"/>
              </w:rPr>
            </w:pPr>
            <w:r w:rsidRPr="001455DC">
              <w:rPr>
                <w:lang w:eastAsia="de-DE"/>
              </w:rPr>
              <w:t xml:space="preserve">Mean strain in the concrete between cracks at the same level of </w:t>
            </w:r>
            <w:r w:rsidRPr="001455DC">
              <w:rPr>
                <w:rStyle w:val="CCMCvariableitalic"/>
              </w:rPr>
              <w:t>ε</w:t>
            </w:r>
            <w:r w:rsidRPr="001455DC">
              <w:rPr>
                <w:rStyle w:val="CCMCvariablesubscript"/>
              </w:rPr>
              <w:t>sm</w:t>
            </w:r>
          </w:p>
        </w:tc>
        <w:tc>
          <w:tcPr>
            <w:tcW w:w="1984" w:type="dxa"/>
          </w:tcPr>
          <w:p w14:paraId="40D54F28" w14:textId="1943B3C0" w:rsidR="004E31A8" w:rsidRPr="001455DC" w:rsidRDefault="004E31A8" w:rsidP="004E31A8">
            <w:pPr>
              <w:pStyle w:val="Tablebody"/>
              <w:rPr>
                <w:lang w:eastAsia="de-DE"/>
              </w:rPr>
            </w:pPr>
            <w:r w:rsidRPr="009D3012">
              <w:rPr>
                <w:lang w:eastAsia="de-DE"/>
              </w:rPr>
              <w:t>9.2.4(2)</w:t>
            </w:r>
          </w:p>
        </w:tc>
      </w:tr>
      <w:tr w:rsidR="004E31A8" w:rsidRPr="001455DC" w14:paraId="44FA6924" w14:textId="524A8E37" w:rsidTr="00BE5EF4">
        <w:trPr>
          <w:cantSplit/>
        </w:trPr>
        <w:tc>
          <w:tcPr>
            <w:tcW w:w="1418" w:type="dxa"/>
            <w:shd w:val="clear" w:color="auto" w:fill="auto"/>
          </w:tcPr>
          <w:p w14:paraId="18B11612" w14:textId="77777777" w:rsidR="004E31A8" w:rsidRPr="009D3012" w:rsidRDefault="004E31A8" w:rsidP="004E31A8">
            <w:pPr>
              <w:pStyle w:val="Tablebody"/>
              <w:rPr>
                <w:rStyle w:val="CCMCvariableitalic"/>
              </w:rPr>
            </w:pPr>
            <w:r w:rsidRPr="001455DC">
              <w:rPr>
                <w:rStyle w:val="CCMCvariableitalic"/>
              </w:rPr>
              <w:t>ε</w:t>
            </w:r>
            <w:r w:rsidRPr="001455DC">
              <w:rPr>
                <w:rStyle w:val="CCMCvariablesubscript"/>
              </w:rPr>
              <w:t>cs</w:t>
            </w:r>
          </w:p>
        </w:tc>
        <w:tc>
          <w:tcPr>
            <w:tcW w:w="6548" w:type="dxa"/>
            <w:shd w:val="clear" w:color="auto" w:fill="auto"/>
          </w:tcPr>
          <w:p w14:paraId="5CA870C0" w14:textId="77777777" w:rsidR="004E31A8" w:rsidRPr="001455DC" w:rsidRDefault="004E31A8" w:rsidP="000250B6">
            <w:pPr>
              <w:pStyle w:val="Tablebody"/>
              <w:jc w:val="left"/>
              <w:rPr>
                <w:lang w:eastAsia="de-DE"/>
              </w:rPr>
            </w:pPr>
            <w:r w:rsidRPr="001455DC">
              <w:rPr>
                <w:lang w:eastAsia="de-DE"/>
              </w:rPr>
              <w:t>Shrinkage strain</w:t>
            </w:r>
          </w:p>
        </w:tc>
        <w:tc>
          <w:tcPr>
            <w:tcW w:w="1984" w:type="dxa"/>
          </w:tcPr>
          <w:p w14:paraId="113EC846" w14:textId="382DAE09" w:rsidR="004E31A8" w:rsidRPr="001455DC" w:rsidRDefault="004E31A8" w:rsidP="00BE5EF4">
            <w:pPr>
              <w:pStyle w:val="Tablebody"/>
              <w:rPr>
                <w:lang w:eastAsia="de-DE"/>
              </w:rPr>
            </w:pPr>
            <w:r w:rsidRPr="009D3012">
              <w:rPr>
                <w:lang w:eastAsia="de-DE"/>
              </w:rPr>
              <w:t>B.</w:t>
            </w:r>
            <w:r w:rsidR="001A17A7" w:rsidRPr="009D3012">
              <w:rPr>
                <w:lang w:eastAsia="de-DE"/>
              </w:rPr>
              <w:t>5</w:t>
            </w:r>
            <w:r w:rsidRPr="009D3012">
              <w:rPr>
                <w:lang w:eastAsia="de-DE"/>
              </w:rPr>
              <w:t>(1), Table 5.3</w:t>
            </w:r>
          </w:p>
        </w:tc>
      </w:tr>
      <w:tr w:rsidR="004E31A8" w:rsidRPr="001455DC" w14:paraId="4F5A96B1" w14:textId="3095D54F" w:rsidTr="00BE5EF4">
        <w:trPr>
          <w:cantSplit/>
        </w:trPr>
        <w:tc>
          <w:tcPr>
            <w:tcW w:w="1418" w:type="dxa"/>
            <w:shd w:val="clear" w:color="auto" w:fill="auto"/>
          </w:tcPr>
          <w:p w14:paraId="55A0596D" w14:textId="77777777" w:rsidR="004E31A8" w:rsidRPr="009D3012" w:rsidRDefault="004E31A8" w:rsidP="004E31A8">
            <w:pPr>
              <w:pStyle w:val="Tablebody"/>
              <w:rPr>
                <w:rStyle w:val="CCMCvariableitalic"/>
              </w:rPr>
            </w:pPr>
            <w:r w:rsidRPr="001455DC">
              <w:rPr>
                <w:rStyle w:val="CCMCvariableitalic"/>
              </w:rPr>
              <w:t>ε</w:t>
            </w:r>
            <w:r w:rsidRPr="001455DC">
              <w:rPr>
                <w:rStyle w:val="CCMCvariablesubscript"/>
              </w:rPr>
              <w:t>cu</w:t>
            </w:r>
          </w:p>
        </w:tc>
        <w:tc>
          <w:tcPr>
            <w:tcW w:w="6548" w:type="dxa"/>
            <w:shd w:val="clear" w:color="auto" w:fill="auto"/>
          </w:tcPr>
          <w:p w14:paraId="03939227" w14:textId="77777777" w:rsidR="004E31A8" w:rsidRPr="001455DC" w:rsidRDefault="004E31A8" w:rsidP="000250B6">
            <w:pPr>
              <w:pStyle w:val="Tablebody"/>
              <w:jc w:val="left"/>
              <w:rPr>
                <w:lang w:eastAsia="de-DE"/>
              </w:rPr>
            </w:pPr>
            <w:r w:rsidRPr="001455DC">
              <w:rPr>
                <w:lang w:eastAsia="de-DE"/>
              </w:rPr>
              <w:t>Ultimate compressive strain in the concrete</w:t>
            </w:r>
          </w:p>
        </w:tc>
        <w:tc>
          <w:tcPr>
            <w:tcW w:w="1984" w:type="dxa"/>
          </w:tcPr>
          <w:p w14:paraId="7F251428" w14:textId="02DA9B2C" w:rsidR="004E31A8" w:rsidRPr="001455DC" w:rsidRDefault="004E31A8" w:rsidP="004E31A8">
            <w:pPr>
              <w:pStyle w:val="Tablebody"/>
              <w:rPr>
                <w:lang w:eastAsia="de-DE"/>
              </w:rPr>
            </w:pPr>
            <w:r w:rsidRPr="009D3012">
              <w:rPr>
                <w:lang w:eastAsia="de-DE"/>
              </w:rPr>
              <w:t>8.1.2(1)</w:t>
            </w:r>
          </w:p>
        </w:tc>
      </w:tr>
      <w:tr w:rsidR="004E31A8" w:rsidRPr="001455DC" w14:paraId="690672A9" w14:textId="4C834847" w:rsidTr="00BE5EF4">
        <w:trPr>
          <w:cantSplit/>
        </w:trPr>
        <w:tc>
          <w:tcPr>
            <w:tcW w:w="1418" w:type="dxa"/>
            <w:shd w:val="clear" w:color="auto" w:fill="auto"/>
          </w:tcPr>
          <w:p w14:paraId="6153EACD" w14:textId="77777777" w:rsidR="004E31A8" w:rsidRPr="009D3012" w:rsidRDefault="004E31A8" w:rsidP="004E31A8">
            <w:pPr>
              <w:pStyle w:val="Tablebody"/>
              <w:rPr>
                <w:rStyle w:val="CCMCvariableitalic"/>
              </w:rPr>
            </w:pPr>
            <w:r w:rsidRPr="001455DC">
              <w:rPr>
                <w:rStyle w:val="CCMCvariableitalic"/>
              </w:rPr>
              <w:t>ε</w:t>
            </w:r>
            <w:r w:rsidRPr="001455DC">
              <w:rPr>
                <w:rStyle w:val="CCMCvariablesubscript"/>
              </w:rPr>
              <w:t>cu,c</w:t>
            </w:r>
          </w:p>
        </w:tc>
        <w:tc>
          <w:tcPr>
            <w:tcW w:w="6548" w:type="dxa"/>
            <w:shd w:val="clear" w:color="auto" w:fill="auto"/>
          </w:tcPr>
          <w:p w14:paraId="6B63A6E4" w14:textId="77777777" w:rsidR="004E31A8" w:rsidRPr="001455DC" w:rsidRDefault="004E31A8" w:rsidP="000250B6">
            <w:pPr>
              <w:pStyle w:val="Tablebody"/>
              <w:jc w:val="left"/>
              <w:rPr>
                <w:lang w:eastAsia="de-DE"/>
              </w:rPr>
            </w:pPr>
            <w:r w:rsidRPr="001455DC">
              <w:rPr>
                <w:lang w:eastAsia="de-DE"/>
              </w:rPr>
              <w:t xml:space="preserve">Value of </w:t>
            </w:r>
            <w:r w:rsidRPr="001455DC">
              <w:rPr>
                <w:rStyle w:val="CCMCvariableitalic"/>
              </w:rPr>
              <w:t>ε</w:t>
            </w:r>
            <w:r w:rsidRPr="001455DC">
              <w:rPr>
                <w:rStyle w:val="CCMCvariablesubscript"/>
              </w:rPr>
              <w:t>cu</w:t>
            </w:r>
            <w:r w:rsidRPr="001455DC">
              <w:rPr>
                <w:lang w:eastAsia="de-DE"/>
              </w:rPr>
              <w:t xml:space="preserve"> in case of confined concrete</w:t>
            </w:r>
          </w:p>
        </w:tc>
        <w:tc>
          <w:tcPr>
            <w:tcW w:w="1984" w:type="dxa"/>
          </w:tcPr>
          <w:p w14:paraId="6378AE79" w14:textId="177F9EF5" w:rsidR="004E31A8" w:rsidRPr="001455DC" w:rsidRDefault="004E31A8" w:rsidP="004E31A8">
            <w:pPr>
              <w:pStyle w:val="Tablebody"/>
              <w:rPr>
                <w:lang w:eastAsia="de-DE"/>
              </w:rPr>
            </w:pPr>
            <w:r w:rsidRPr="009D3012">
              <w:rPr>
                <w:lang w:eastAsia="de-DE"/>
              </w:rPr>
              <w:t>8.1.4(5)</w:t>
            </w:r>
          </w:p>
        </w:tc>
      </w:tr>
      <w:tr w:rsidR="004E31A8" w:rsidRPr="001455DC" w14:paraId="57AA0B4D" w14:textId="27CA3A44" w:rsidTr="00BE5EF4">
        <w:trPr>
          <w:cantSplit/>
        </w:trPr>
        <w:tc>
          <w:tcPr>
            <w:tcW w:w="1418" w:type="dxa"/>
            <w:shd w:val="clear" w:color="auto" w:fill="auto"/>
          </w:tcPr>
          <w:p w14:paraId="3769A4B9" w14:textId="77777777" w:rsidR="004E31A8" w:rsidRPr="009D3012" w:rsidRDefault="004E31A8" w:rsidP="004E31A8">
            <w:pPr>
              <w:pStyle w:val="Tablebody"/>
              <w:rPr>
                <w:rStyle w:val="CCMCvariableitalic"/>
              </w:rPr>
            </w:pPr>
            <w:r w:rsidRPr="001455DC">
              <w:rPr>
                <w:rStyle w:val="CCMCvariableitalic"/>
              </w:rPr>
              <w:t>ε</w:t>
            </w:r>
            <w:r w:rsidRPr="001455DC">
              <w:rPr>
                <w:rStyle w:val="CCMCvariablesubscript"/>
              </w:rPr>
              <w:t>cds</w:t>
            </w:r>
          </w:p>
        </w:tc>
        <w:tc>
          <w:tcPr>
            <w:tcW w:w="6548" w:type="dxa"/>
            <w:shd w:val="clear" w:color="auto" w:fill="auto"/>
          </w:tcPr>
          <w:p w14:paraId="6AE11330" w14:textId="77777777" w:rsidR="004E31A8" w:rsidRPr="001455DC" w:rsidRDefault="004E31A8" w:rsidP="000250B6">
            <w:pPr>
              <w:pStyle w:val="Tablebody"/>
              <w:jc w:val="left"/>
              <w:rPr>
                <w:lang w:eastAsia="de-DE"/>
              </w:rPr>
            </w:pPr>
            <w:r w:rsidRPr="001455DC">
              <w:rPr>
                <w:lang w:eastAsia="de-DE"/>
              </w:rPr>
              <w:t>Drying shrinkage strain</w:t>
            </w:r>
          </w:p>
        </w:tc>
        <w:tc>
          <w:tcPr>
            <w:tcW w:w="1984" w:type="dxa"/>
          </w:tcPr>
          <w:p w14:paraId="142A022C" w14:textId="5159A521" w:rsidR="004E31A8" w:rsidRPr="001455DC" w:rsidRDefault="004E31A8" w:rsidP="00BE5EF4">
            <w:pPr>
              <w:pStyle w:val="Tablebody"/>
              <w:rPr>
                <w:lang w:eastAsia="de-DE"/>
              </w:rPr>
            </w:pPr>
            <w:r w:rsidRPr="009D3012">
              <w:rPr>
                <w:lang w:eastAsia="de-DE"/>
              </w:rPr>
              <w:t>B.</w:t>
            </w:r>
            <w:r w:rsidR="001A17A7" w:rsidRPr="009D3012">
              <w:rPr>
                <w:lang w:eastAsia="de-DE"/>
              </w:rPr>
              <w:t>5</w:t>
            </w:r>
            <w:r w:rsidRPr="009D3012">
              <w:rPr>
                <w:lang w:eastAsia="de-DE"/>
              </w:rPr>
              <w:t>(1)</w:t>
            </w:r>
          </w:p>
        </w:tc>
      </w:tr>
      <w:tr w:rsidR="004E31A8" w:rsidRPr="001455DC" w14:paraId="12227C9B" w14:textId="2AA1FFB1" w:rsidTr="00BE5EF4">
        <w:trPr>
          <w:cantSplit/>
        </w:trPr>
        <w:tc>
          <w:tcPr>
            <w:tcW w:w="1418" w:type="dxa"/>
            <w:shd w:val="clear" w:color="auto" w:fill="auto"/>
          </w:tcPr>
          <w:p w14:paraId="31807459" w14:textId="77777777" w:rsidR="004E31A8" w:rsidRPr="009D3012" w:rsidRDefault="004E31A8" w:rsidP="004E31A8">
            <w:pPr>
              <w:pStyle w:val="Tablebody"/>
              <w:rPr>
                <w:rStyle w:val="CCMCvariableitalic"/>
              </w:rPr>
            </w:pPr>
            <w:r w:rsidRPr="001455DC">
              <w:rPr>
                <w:rStyle w:val="CCMCvariableitalic"/>
              </w:rPr>
              <w:t>ε</w:t>
            </w:r>
            <w:r w:rsidRPr="001455DC">
              <w:rPr>
                <w:rStyle w:val="CCMCvariablesubscript"/>
              </w:rPr>
              <w:t>cds,fcm</w:t>
            </w:r>
          </w:p>
        </w:tc>
        <w:tc>
          <w:tcPr>
            <w:tcW w:w="6548" w:type="dxa"/>
            <w:shd w:val="clear" w:color="auto" w:fill="auto"/>
          </w:tcPr>
          <w:p w14:paraId="27FC38F9" w14:textId="77777777" w:rsidR="004E31A8" w:rsidRPr="001455DC" w:rsidRDefault="004E31A8" w:rsidP="000250B6">
            <w:pPr>
              <w:pStyle w:val="Tablebody"/>
              <w:jc w:val="left"/>
              <w:rPr>
                <w:lang w:eastAsia="de-DE"/>
              </w:rPr>
            </w:pPr>
            <w:r w:rsidRPr="001455DC">
              <w:t>Notional drying shrinkage coefficient, accounting for the effect of concrete strength and strength class of cement on drying shrinkage</w:t>
            </w:r>
          </w:p>
        </w:tc>
        <w:tc>
          <w:tcPr>
            <w:tcW w:w="1984" w:type="dxa"/>
          </w:tcPr>
          <w:p w14:paraId="23DAFB80" w14:textId="156A6FB4" w:rsidR="004E31A8" w:rsidRPr="001455DC" w:rsidRDefault="004E31A8" w:rsidP="00BE5EF4">
            <w:pPr>
              <w:pStyle w:val="Tablebody"/>
            </w:pPr>
            <w:r w:rsidRPr="009D3012">
              <w:rPr>
                <w:lang w:eastAsia="de-DE"/>
              </w:rPr>
              <w:t>B.</w:t>
            </w:r>
            <w:r w:rsidR="001A17A7" w:rsidRPr="009D3012">
              <w:rPr>
                <w:lang w:eastAsia="de-DE"/>
              </w:rPr>
              <w:t>5</w:t>
            </w:r>
            <w:r w:rsidRPr="009D3012">
              <w:rPr>
                <w:lang w:eastAsia="de-DE"/>
              </w:rPr>
              <w:t>(1)</w:t>
            </w:r>
          </w:p>
        </w:tc>
      </w:tr>
      <w:tr w:rsidR="004E31A8" w:rsidRPr="001455DC" w14:paraId="20A157AD" w14:textId="22EF1AF1" w:rsidTr="00BE5EF4">
        <w:trPr>
          <w:cantSplit/>
        </w:trPr>
        <w:tc>
          <w:tcPr>
            <w:tcW w:w="1418" w:type="dxa"/>
            <w:shd w:val="clear" w:color="auto" w:fill="auto"/>
          </w:tcPr>
          <w:p w14:paraId="5012F91C" w14:textId="77777777" w:rsidR="004E31A8" w:rsidRPr="009D3012" w:rsidRDefault="004E31A8" w:rsidP="004E31A8">
            <w:pPr>
              <w:pStyle w:val="Tablebody"/>
              <w:rPr>
                <w:rStyle w:val="CCMCvariableitalic"/>
              </w:rPr>
            </w:pPr>
            <w:r w:rsidRPr="001455DC">
              <w:rPr>
                <w:rStyle w:val="CCMCvariableitalic"/>
              </w:rPr>
              <w:t>ε</w:t>
            </w:r>
            <w:r w:rsidRPr="001455DC">
              <w:rPr>
                <w:rStyle w:val="CCMCvariablesubscript"/>
              </w:rPr>
              <w:t>free</w:t>
            </w:r>
          </w:p>
        </w:tc>
        <w:tc>
          <w:tcPr>
            <w:tcW w:w="6548" w:type="dxa"/>
            <w:shd w:val="clear" w:color="auto" w:fill="auto"/>
          </w:tcPr>
          <w:p w14:paraId="02EB86DC" w14:textId="77777777" w:rsidR="004E31A8" w:rsidRPr="001455DC" w:rsidRDefault="004E31A8" w:rsidP="000250B6">
            <w:pPr>
              <w:pStyle w:val="Tablebody"/>
              <w:jc w:val="left"/>
              <w:rPr>
                <w:lang w:eastAsia="de-DE"/>
              </w:rPr>
            </w:pPr>
            <w:r w:rsidRPr="001455DC">
              <w:rPr>
                <w:lang w:eastAsia="de-DE"/>
              </w:rPr>
              <w:t>Imposed strain</w:t>
            </w:r>
          </w:p>
        </w:tc>
        <w:tc>
          <w:tcPr>
            <w:tcW w:w="1984" w:type="dxa"/>
          </w:tcPr>
          <w:p w14:paraId="49E9674B" w14:textId="710F7DB1" w:rsidR="004E31A8" w:rsidRPr="001455DC" w:rsidRDefault="004E31A8">
            <w:pPr>
              <w:pStyle w:val="Tablebody"/>
              <w:rPr>
                <w:lang w:eastAsia="de-DE"/>
              </w:rPr>
            </w:pPr>
            <w:r w:rsidRPr="009D3012">
              <w:rPr>
                <w:lang w:eastAsia="de-DE"/>
              </w:rPr>
              <w:t>9.2.4(3), D.</w:t>
            </w:r>
            <w:r w:rsidR="00905C72" w:rsidRPr="009D3012">
              <w:rPr>
                <w:lang w:eastAsia="de-DE"/>
              </w:rPr>
              <w:t>6</w:t>
            </w:r>
            <w:r w:rsidRPr="009D3012">
              <w:rPr>
                <w:lang w:eastAsia="de-DE"/>
              </w:rPr>
              <w:t>(3)</w:t>
            </w:r>
          </w:p>
        </w:tc>
      </w:tr>
      <w:tr w:rsidR="004E31A8" w:rsidRPr="001455DC" w14:paraId="35D4EE3A" w14:textId="1A2C76A0" w:rsidTr="00BE5EF4">
        <w:trPr>
          <w:cantSplit/>
        </w:trPr>
        <w:tc>
          <w:tcPr>
            <w:tcW w:w="1418" w:type="dxa"/>
            <w:shd w:val="clear" w:color="auto" w:fill="auto"/>
          </w:tcPr>
          <w:p w14:paraId="68AD52B4" w14:textId="77777777" w:rsidR="004E31A8" w:rsidRPr="009D3012" w:rsidRDefault="004E31A8" w:rsidP="004E31A8">
            <w:pPr>
              <w:pStyle w:val="Tablebody"/>
              <w:rPr>
                <w:rStyle w:val="CCMCvariableitalic"/>
              </w:rPr>
            </w:pPr>
            <w:r w:rsidRPr="001455DC">
              <w:rPr>
                <w:rStyle w:val="CCMCvariableitalic"/>
              </w:rPr>
              <w:t>ε</w:t>
            </w:r>
            <w:r w:rsidRPr="001455DC">
              <w:rPr>
                <w:rStyle w:val="CCMCvariablesubscript"/>
              </w:rPr>
              <w:t>p</w:t>
            </w:r>
          </w:p>
        </w:tc>
        <w:tc>
          <w:tcPr>
            <w:tcW w:w="6548" w:type="dxa"/>
            <w:shd w:val="clear" w:color="auto" w:fill="auto"/>
          </w:tcPr>
          <w:p w14:paraId="5C4A9F7A" w14:textId="77777777" w:rsidR="004E31A8" w:rsidRPr="001455DC" w:rsidRDefault="004E31A8" w:rsidP="000250B6">
            <w:pPr>
              <w:pStyle w:val="Tablebody"/>
              <w:jc w:val="left"/>
              <w:rPr>
                <w:lang w:eastAsia="de-DE"/>
              </w:rPr>
            </w:pPr>
            <w:r w:rsidRPr="001455DC">
              <w:rPr>
                <w:lang w:eastAsia="de-DE"/>
              </w:rPr>
              <w:t>Strain in the prestressing steel</w:t>
            </w:r>
          </w:p>
        </w:tc>
        <w:tc>
          <w:tcPr>
            <w:tcW w:w="1984" w:type="dxa"/>
          </w:tcPr>
          <w:p w14:paraId="36CF8B74" w14:textId="77777777" w:rsidR="004E31A8" w:rsidRPr="001455DC" w:rsidRDefault="004E31A8" w:rsidP="004E31A8">
            <w:pPr>
              <w:pStyle w:val="Tablebody"/>
              <w:rPr>
                <w:lang w:eastAsia="de-DE"/>
              </w:rPr>
            </w:pPr>
          </w:p>
        </w:tc>
      </w:tr>
      <w:tr w:rsidR="004E31A8" w:rsidRPr="001455DC" w14:paraId="123AA5F0" w14:textId="5325A4E0" w:rsidTr="00BE5EF4">
        <w:trPr>
          <w:cantSplit/>
        </w:trPr>
        <w:tc>
          <w:tcPr>
            <w:tcW w:w="1418" w:type="dxa"/>
            <w:shd w:val="clear" w:color="auto" w:fill="auto"/>
          </w:tcPr>
          <w:p w14:paraId="44C3F7EB" w14:textId="77777777" w:rsidR="004E31A8" w:rsidRPr="009D3012" w:rsidRDefault="004E31A8" w:rsidP="004E31A8">
            <w:pPr>
              <w:pStyle w:val="Tablebody"/>
              <w:rPr>
                <w:rStyle w:val="CCMCvariableitalic"/>
              </w:rPr>
            </w:pPr>
            <w:r w:rsidRPr="001455DC">
              <w:rPr>
                <w:rStyle w:val="CCMCvariableitalic"/>
              </w:rPr>
              <w:t>ε</w:t>
            </w:r>
            <w:r w:rsidRPr="001455DC">
              <w:rPr>
                <w:rStyle w:val="CCMCvariablesubscript"/>
              </w:rPr>
              <w:t>p(0)</w:t>
            </w:r>
          </w:p>
        </w:tc>
        <w:tc>
          <w:tcPr>
            <w:tcW w:w="6548" w:type="dxa"/>
            <w:shd w:val="clear" w:color="auto" w:fill="auto"/>
          </w:tcPr>
          <w:p w14:paraId="2D0ACBD6" w14:textId="77777777" w:rsidR="004E31A8" w:rsidRPr="001455DC" w:rsidRDefault="004E31A8" w:rsidP="000250B6">
            <w:pPr>
              <w:pStyle w:val="Tablebody"/>
              <w:jc w:val="left"/>
              <w:rPr>
                <w:lang w:eastAsia="de-DE"/>
              </w:rPr>
            </w:pPr>
            <w:r w:rsidRPr="001455DC">
              <w:rPr>
                <w:lang w:eastAsia="de-DE"/>
              </w:rPr>
              <w:t>Strain difference between prestressing steel and surrounding concrete</w:t>
            </w:r>
          </w:p>
        </w:tc>
        <w:tc>
          <w:tcPr>
            <w:tcW w:w="1984" w:type="dxa"/>
          </w:tcPr>
          <w:p w14:paraId="66330701" w14:textId="0C8A599C" w:rsidR="004E31A8" w:rsidRPr="001455DC" w:rsidRDefault="004E31A8" w:rsidP="004E31A8">
            <w:pPr>
              <w:pStyle w:val="Tablebody"/>
              <w:rPr>
                <w:lang w:eastAsia="de-DE"/>
              </w:rPr>
            </w:pPr>
            <w:r w:rsidRPr="009D3012">
              <w:rPr>
                <w:lang w:eastAsia="de-DE"/>
              </w:rPr>
              <w:t>Figure 8.1</w:t>
            </w:r>
          </w:p>
        </w:tc>
      </w:tr>
      <w:tr w:rsidR="004E31A8" w:rsidRPr="001455DC" w14:paraId="4EEA8C03" w14:textId="4EA0A534" w:rsidTr="00BE5EF4">
        <w:trPr>
          <w:cantSplit/>
        </w:trPr>
        <w:tc>
          <w:tcPr>
            <w:tcW w:w="1418" w:type="dxa"/>
            <w:shd w:val="clear" w:color="auto" w:fill="auto"/>
          </w:tcPr>
          <w:p w14:paraId="6EFCAFD1" w14:textId="77777777" w:rsidR="004E31A8" w:rsidRPr="009D3012" w:rsidRDefault="004E31A8" w:rsidP="004E31A8">
            <w:pPr>
              <w:pStyle w:val="Tablebody"/>
              <w:rPr>
                <w:rStyle w:val="CCMCvariableitalic"/>
              </w:rPr>
            </w:pPr>
            <w:r w:rsidRPr="009D3012">
              <w:rPr>
                <w:lang w:eastAsia="de-DE"/>
              </w:rPr>
              <w:t>Δ</w:t>
            </w:r>
            <w:r w:rsidRPr="001455DC">
              <w:rPr>
                <w:rStyle w:val="CCMCvariableitalic"/>
              </w:rPr>
              <w:t>ε</w:t>
            </w:r>
            <w:r w:rsidRPr="001455DC">
              <w:rPr>
                <w:rStyle w:val="CCMCvariablesubscript"/>
              </w:rPr>
              <w:t>p</w:t>
            </w:r>
          </w:p>
        </w:tc>
        <w:tc>
          <w:tcPr>
            <w:tcW w:w="6548" w:type="dxa"/>
            <w:shd w:val="clear" w:color="auto" w:fill="auto"/>
          </w:tcPr>
          <w:p w14:paraId="6EF1D7A3" w14:textId="77777777" w:rsidR="004E31A8" w:rsidRPr="001455DC" w:rsidRDefault="004E31A8" w:rsidP="000250B6">
            <w:pPr>
              <w:pStyle w:val="Tablebody"/>
              <w:jc w:val="left"/>
              <w:rPr>
                <w:lang w:eastAsia="de-DE"/>
              </w:rPr>
            </w:pPr>
            <w:r w:rsidRPr="001455DC">
              <w:rPr>
                <w:lang w:eastAsia="de-DE"/>
              </w:rPr>
              <w:t>Strain increase in the prestressing steel</w:t>
            </w:r>
          </w:p>
        </w:tc>
        <w:tc>
          <w:tcPr>
            <w:tcW w:w="1984" w:type="dxa"/>
          </w:tcPr>
          <w:p w14:paraId="03EE8EB1" w14:textId="329C78E2" w:rsidR="004E31A8" w:rsidRPr="001455DC" w:rsidRDefault="004E31A8" w:rsidP="004E31A8">
            <w:pPr>
              <w:pStyle w:val="Tablebody"/>
              <w:rPr>
                <w:lang w:eastAsia="de-DE"/>
              </w:rPr>
            </w:pPr>
            <w:r w:rsidRPr="009D3012">
              <w:rPr>
                <w:lang w:eastAsia="de-DE"/>
              </w:rPr>
              <w:t>Figure 8.1</w:t>
            </w:r>
          </w:p>
        </w:tc>
      </w:tr>
      <w:tr w:rsidR="004E31A8" w:rsidRPr="001455DC" w14:paraId="1C1BF151" w14:textId="71E4C4C2" w:rsidTr="00BE5EF4">
        <w:trPr>
          <w:cantSplit/>
        </w:trPr>
        <w:tc>
          <w:tcPr>
            <w:tcW w:w="1418" w:type="dxa"/>
            <w:shd w:val="clear" w:color="auto" w:fill="auto"/>
          </w:tcPr>
          <w:p w14:paraId="170A3C6A" w14:textId="77777777" w:rsidR="004E31A8" w:rsidRPr="009D3012" w:rsidRDefault="004E31A8" w:rsidP="004E31A8">
            <w:pPr>
              <w:pStyle w:val="Tablebody"/>
              <w:rPr>
                <w:rStyle w:val="CCMCvariableitalic"/>
              </w:rPr>
            </w:pPr>
            <w:r w:rsidRPr="001455DC">
              <w:rPr>
                <w:rStyle w:val="CCMCvariableitalic"/>
              </w:rPr>
              <w:t>ε</w:t>
            </w:r>
            <w:r w:rsidRPr="001455DC">
              <w:rPr>
                <w:rStyle w:val="CCMCvariablesubscript"/>
              </w:rPr>
              <w:t>sm</w:t>
            </w:r>
          </w:p>
        </w:tc>
        <w:tc>
          <w:tcPr>
            <w:tcW w:w="6548" w:type="dxa"/>
            <w:shd w:val="clear" w:color="auto" w:fill="auto"/>
          </w:tcPr>
          <w:p w14:paraId="7EBC6281" w14:textId="77777777" w:rsidR="004E31A8" w:rsidRPr="001455DC" w:rsidRDefault="004E31A8" w:rsidP="000250B6">
            <w:pPr>
              <w:pStyle w:val="Tablebody"/>
              <w:jc w:val="left"/>
              <w:rPr>
                <w:lang w:eastAsia="de-DE"/>
              </w:rPr>
            </w:pPr>
            <w:r w:rsidRPr="001455DC">
              <w:rPr>
                <w:lang w:eastAsia="de-DE"/>
              </w:rPr>
              <w:t>Mean strain in the reinforcement closest to the most tensioned concrete surface under the relevant combination of actions, including the effect of imposed deformations and taking into account the effects of tension stiffening. Only the additional tensile strain beyond the state of zero strain of the concrete at the same level is considered</w:t>
            </w:r>
          </w:p>
        </w:tc>
        <w:tc>
          <w:tcPr>
            <w:tcW w:w="1984" w:type="dxa"/>
          </w:tcPr>
          <w:p w14:paraId="705D49F9" w14:textId="37D64D52" w:rsidR="004E31A8" w:rsidRPr="001455DC" w:rsidRDefault="004E31A8" w:rsidP="004E31A8">
            <w:pPr>
              <w:pStyle w:val="Tablebody"/>
              <w:rPr>
                <w:lang w:eastAsia="de-DE"/>
              </w:rPr>
            </w:pPr>
            <w:r w:rsidRPr="009D3012">
              <w:rPr>
                <w:lang w:eastAsia="de-DE"/>
              </w:rPr>
              <w:t>9.2.4(2)</w:t>
            </w:r>
          </w:p>
        </w:tc>
      </w:tr>
      <w:tr w:rsidR="004E31A8" w:rsidRPr="001455DC" w14:paraId="5DB8FEE8" w14:textId="45EBCD44" w:rsidTr="00BE5EF4">
        <w:trPr>
          <w:cantSplit/>
        </w:trPr>
        <w:tc>
          <w:tcPr>
            <w:tcW w:w="1418" w:type="dxa"/>
            <w:shd w:val="clear" w:color="auto" w:fill="auto"/>
          </w:tcPr>
          <w:p w14:paraId="77056D0A" w14:textId="77777777" w:rsidR="004E31A8" w:rsidRPr="001455DC" w:rsidRDefault="004E31A8" w:rsidP="004E31A8">
            <w:pPr>
              <w:pStyle w:val="Tablebody"/>
              <w:rPr>
                <w:lang w:eastAsia="de-DE"/>
              </w:rPr>
            </w:pPr>
            <w:r w:rsidRPr="001455DC">
              <w:rPr>
                <w:rStyle w:val="CCMCvariableitalic"/>
              </w:rPr>
              <w:t>ε</w:t>
            </w:r>
            <w:r w:rsidRPr="001455DC">
              <w:rPr>
                <w:rStyle w:val="CCMCvariablesubscript"/>
              </w:rPr>
              <w:t>x</w:t>
            </w:r>
            <w:r w:rsidRPr="001455DC">
              <w:rPr>
                <w:lang w:eastAsia="de-DE"/>
              </w:rPr>
              <w:t xml:space="preserve">, </w:t>
            </w:r>
            <w:r w:rsidRPr="001455DC">
              <w:rPr>
                <w:rStyle w:val="CCMCvariableitalic"/>
              </w:rPr>
              <w:t>ε</w:t>
            </w:r>
            <w:r w:rsidRPr="001455DC">
              <w:rPr>
                <w:rStyle w:val="CCMCvariablesubscript"/>
              </w:rPr>
              <w:t>y</w:t>
            </w:r>
            <w:r w:rsidRPr="001455DC">
              <w:rPr>
                <w:lang w:eastAsia="de-DE"/>
              </w:rPr>
              <w:t xml:space="preserve">, </w:t>
            </w:r>
            <w:r w:rsidRPr="001455DC">
              <w:rPr>
                <w:rStyle w:val="CCMCvariableitalic"/>
              </w:rPr>
              <w:t>ε</w:t>
            </w:r>
            <w:r w:rsidRPr="001455DC">
              <w:rPr>
                <w:rStyle w:val="CCMCvariablesubscript"/>
              </w:rPr>
              <w:t>z</w:t>
            </w:r>
          </w:p>
        </w:tc>
        <w:tc>
          <w:tcPr>
            <w:tcW w:w="6548" w:type="dxa"/>
            <w:shd w:val="clear" w:color="auto" w:fill="auto"/>
          </w:tcPr>
          <w:p w14:paraId="263516D0" w14:textId="77777777" w:rsidR="004E31A8" w:rsidRPr="001455DC" w:rsidRDefault="004E31A8" w:rsidP="000250B6">
            <w:pPr>
              <w:pStyle w:val="Tablebody"/>
              <w:jc w:val="left"/>
              <w:rPr>
                <w:lang w:eastAsia="de-DE"/>
              </w:rPr>
            </w:pPr>
            <w:r w:rsidRPr="001455DC">
              <w:rPr>
                <w:lang w:eastAsia="de-DE"/>
              </w:rPr>
              <w:t xml:space="preserve">Strain in </w:t>
            </w:r>
            <w:r w:rsidRPr="001455DC">
              <w:rPr>
                <w:rStyle w:val="CCMCvariableitalic"/>
              </w:rPr>
              <w:t>x</w:t>
            </w:r>
            <w:r w:rsidRPr="001455DC">
              <w:t xml:space="preserve">, </w:t>
            </w:r>
            <w:r w:rsidRPr="001455DC">
              <w:rPr>
                <w:rStyle w:val="CCMCvariableitalic"/>
              </w:rPr>
              <w:t>y</w:t>
            </w:r>
            <w:r w:rsidRPr="001455DC">
              <w:rPr>
                <w:lang w:eastAsia="de-DE"/>
              </w:rPr>
              <w:t xml:space="preserve"> and </w:t>
            </w:r>
            <w:r w:rsidRPr="001455DC">
              <w:rPr>
                <w:rStyle w:val="CCMCvariableitalic"/>
              </w:rPr>
              <w:t>z</w:t>
            </w:r>
            <w:r w:rsidRPr="001455DC">
              <w:rPr>
                <w:lang w:eastAsia="de-DE"/>
              </w:rPr>
              <w:t xml:space="preserve"> directions, respectively</w:t>
            </w:r>
          </w:p>
        </w:tc>
        <w:tc>
          <w:tcPr>
            <w:tcW w:w="1984" w:type="dxa"/>
          </w:tcPr>
          <w:p w14:paraId="022E94A1" w14:textId="336106C0" w:rsidR="004E31A8" w:rsidRPr="001455DC" w:rsidRDefault="004E31A8" w:rsidP="004E31A8">
            <w:pPr>
              <w:pStyle w:val="Tablebody"/>
              <w:rPr>
                <w:lang w:eastAsia="de-DE"/>
              </w:rPr>
            </w:pPr>
            <w:r w:rsidRPr="009D3012">
              <w:rPr>
                <w:lang w:eastAsia="de-DE"/>
              </w:rPr>
              <w:t>8.2.3(6)</w:t>
            </w:r>
          </w:p>
        </w:tc>
      </w:tr>
      <w:tr w:rsidR="004E31A8" w:rsidRPr="001455DC" w14:paraId="1174F873" w14:textId="50089FAE" w:rsidTr="00BE5EF4">
        <w:trPr>
          <w:cantSplit/>
        </w:trPr>
        <w:tc>
          <w:tcPr>
            <w:tcW w:w="1418" w:type="dxa"/>
            <w:shd w:val="clear" w:color="auto" w:fill="auto"/>
          </w:tcPr>
          <w:p w14:paraId="1D17DFDA" w14:textId="77777777" w:rsidR="004E31A8" w:rsidRPr="009D3012" w:rsidRDefault="004E31A8" w:rsidP="004E31A8">
            <w:pPr>
              <w:pStyle w:val="Tablebody"/>
              <w:rPr>
                <w:rStyle w:val="CCMCvariableitalic"/>
              </w:rPr>
            </w:pPr>
            <w:r w:rsidRPr="001455DC">
              <w:rPr>
                <w:rStyle w:val="CCMCvariableitalic"/>
              </w:rPr>
              <w:t>ε</w:t>
            </w:r>
            <w:r w:rsidRPr="001455DC">
              <w:rPr>
                <w:rStyle w:val="CCMCvariablesubscript"/>
              </w:rPr>
              <w:t>u</w:t>
            </w:r>
          </w:p>
        </w:tc>
        <w:tc>
          <w:tcPr>
            <w:tcW w:w="6548" w:type="dxa"/>
            <w:shd w:val="clear" w:color="auto" w:fill="auto"/>
          </w:tcPr>
          <w:p w14:paraId="37F3724E" w14:textId="77777777" w:rsidR="004E31A8" w:rsidRPr="001455DC" w:rsidRDefault="004E31A8" w:rsidP="000250B6">
            <w:pPr>
              <w:pStyle w:val="Tablebody"/>
              <w:jc w:val="left"/>
              <w:rPr>
                <w:lang w:eastAsia="de-DE"/>
              </w:rPr>
            </w:pPr>
            <w:r w:rsidRPr="001455DC">
              <w:rPr>
                <w:lang w:eastAsia="de-DE"/>
              </w:rPr>
              <w:t>Strain of reinforcement or prestressing steel at maximum load</w:t>
            </w:r>
          </w:p>
        </w:tc>
        <w:tc>
          <w:tcPr>
            <w:tcW w:w="1984" w:type="dxa"/>
          </w:tcPr>
          <w:p w14:paraId="75E2C315" w14:textId="77777777" w:rsidR="004E31A8" w:rsidRPr="001455DC" w:rsidRDefault="004E31A8" w:rsidP="004E31A8">
            <w:pPr>
              <w:pStyle w:val="Tablebody"/>
              <w:rPr>
                <w:lang w:eastAsia="de-DE"/>
              </w:rPr>
            </w:pPr>
          </w:p>
        </w:tc>
      </w:tr>
      <w:tr w:rsidR="004E31A8" w:rsidRPr="001455DC" w14:paraId="254E040A" w14:textId="1762EA8D" w:rsidTr="00BE5EF4">
        <w:trPr>
          <w:cantSplit/>
        </w:trPr>
        <w:tc>
          <w:tcPr>
            <w:tcW w:w="1418" w:type="dxa"/>
            <w:shd w:val="clear" w:color="auto" w:fill="auto"/>
          </w:tcPr>
          <w:p w14:paraId="4F6C0CA6" w14:textId="77777777" w:rsidR="004E31A8" w:rsidRPr="009D3012" w:rsidRDefault="004E31A8" w:rsidP="004E31A8">
            <w:pPr>
              <w:pStyle w:val="Tablebody"/>
              <w:rPr>
                <w:rStyle w:val="CCMCvariableitalic"/>
              </w:rPr>
            </w:pPr>
            <w:r w:rsidRPr="001455DC">
              <w:rPr>
                <w:rStyle w:val="CCMCvariableitalic"/>
              </w:rPr>
              <w:t>ε</w:t>
            </w:r>
            <w:r w:rsidRPr="001455DC">
              <w:rPr>
                <w:rStyle w:val="CCMCvariablesubscript"/>
              </w:rPr>
              <w:t>ud</w:t>
            </w:r>
          </w:p>
        </w:tc>
        <w:tc>
          <w:tcPr>
            <w:tcW w:w="6548" w:type="dxa"/>
            <w:shd w:val="clear" w:color="auto" w:fill="auto"/>
          </w:tcPr>
          <w:p w14:paraId="7F2E10F8" w14:textId="77777777" w:rsidR="004E31A8" w:rsidRPr="001455DC" w:rsidRDefault="004E31A8" w:rsidP="000250B6">
            <w:pPr>
              <w:pStyle w:val="Tablebody"/>
              <w:jc w:val="left"/>
              <w:rPr>
                <w:lang w:eastAsia="de-DE"/>
              </w:rPr>
            </w:pPr>
            <w:r w:rsidRPr="001455DC">
              <w:rPr>
                <w:lang w:eastAsia="de-DE"/>
              </w:rPr>
              <w:t>Design strain of reinforcing and prestressing steel at maximum load</w:t>
            </w:r>
          </w:p>
        </w:tc>
        <w:tc>
          <w:tcPr>
            <w:tcW w:w="1984" w:type="dxa"/>
          </w:tcPr>
          <w:p w14:paraId="48CCE8AE" w14:textId="77777777" w:rsidR="004E31A8" w:rsidRPr="001455DC" w:rsidRDefault="004E31A8" w:rsidP="004E31A8">
            <w:pPr>
              <w:pStyle w:val="Tablebody"/>
              <w:rPr>
                <w:lang w:eastAsia="de-DE"/>
              </w:rPr>
            </w:pPr>
          </w:p>
        </w:tc>
      </w:tr>
      <w:tr w:rsidR="004E31A8" w:rsidRPr="001455DC" w14:paraId="73E9A355" w14:textId="780743A8" w:rsidTr="00BE5EF4">
        <w:trPr>
          <w:cantSplit/>
        </w:trPr>
        <w:tc>
          <w:tcPr>
            <w:tcW w:w="1418" w:type="dxa"/>
            <w:shd w:val="clear" w:color="auto" w:fill="auto"/>
          </w:tcPr>
          <w:p w14:paraId="3CFDB68B" w14:textId="77777777" w:rsidR="004E31A8" w:rsidRPr="009D3012" w:rsidRDefault="004E31A8" w:rsidP="004E31A8">
            <w:pPr>
              <w:pStyle w:val="Tablebody"/>
              <w:rPr>
                <w:rStyle w:val="CCMCvariableitalic"/>
              </w:rPr>
            </w:pPr>
            <w:r w:rsidRPr="001455DC">
              <w:rPr>
                <w:rStyle w:val="CCMCvariableitalic"/>
              </w:rPr>
              <w:t>ε</w:t>
            </w:r>
            <w:r w:rsidRPr="001455DC">
              <w:rPr>
                <w:rStyle w:val="CCMCvariablesubscript"/>
              </w:rPr>
              <w:t>uk</w:t>
            </w:r>
          </w:p>
        </w:tc>
        <w:tc>
          <w:tcPr>
            <w:tcW w:w="6548" w:type="dxa"/>
            <w:shd w:val="clear" w:color="auto" w:fill="auto"/>
          </w:tcPr>
          <w:p w14:paraId="6C50D433" w14:textId="77777777" w:rsidR="004E31A8" w:rsidRPr="001455DC" w:rsidRDefault="004E31A8" w:rsidP="000250B6">
            <w:pPr>
              <w:pStyle w:val="Tablebody"/>
              <w:jc w:val="left"/>
              <w:rPr>
                <w:lang w:eastAsia="de-DE"/>
              </w:rPr>
            </w:pPr>
            <w:r w:rsidRPr="001455DC">
              <w:rPr>
                <w:lang w:eastAsia="de-DE"/>
              </w:rPr>
              <w:t>Characteristic strain of reinforcement or prestressing steel at maximum load</w:t>
            </w:r>
          </w:p>
        </w:tc>
        <w:tc>
          <w:tcPr>
            <w:tcW w:w="1984" w:type="dxa"/>
          </w:tcPr>
          <w:p w14:paraId="49BB8C2D" w14:textId="2C4CC3ED" w:rsidR="004E31A8" w:rsidRPr="001455DC" w:rsidRDefault="004E31A8" w:rsidP="004E31A8">
            <w:pPr>
              <w:pStyle w:val="Tablebody"/>
              <w:rPr>
                <w:lang w:eastAsia="de-DE"/>
              </w:rPr>
            </w:pPr>
            <w:r w:rsidRPr="009D3012">
              <w:rPr>
                <w:lang w:eastAsia="de-DE"/>
              </w:rPr>
              <w:t>Table 5.5</w:t>
            </w:r>
          </w:p>
        </w:tc>
      </w:tr>
      <w:tr w:rsidR="004E31A8" w:rsidRPr="001455DC" w14:paraId="7C835A69" w14:textId="3AFD75D6" w:rsidTr="00BE5EF4">
        <w:trPr>
          <w:cantSplit/>
        </w:trPr>
        <w:tc>
          <w:tcPr>
            <w:tcW w:w="1418" w:type="dxa"/>
            <w:shd w:val="clear" w:color="auto" w:fill="auto"/>
          </w:tcPr>
          <w:p w14:paraId="652BE8FD" w14:textId="77777777" w:rsidR="004E31A8" w:rsidRPr="009D3012" w:rsidRDefault="004E31A8" w:rsidP="004E31A8">
            <w:pPr>
              <w:pStyle w:val="Tablebody"/>
              <w:rPr>
                <w:rStyle w:val="CCMCvariableitalic"/>
              </w:rPr>
            </w:pPr>
            <w:r w:rsidRPr="001455DC">
              <w:rPr>
                <w:rStyle w:val="CCMCvariableitalic"/>
              </w:rPr>
              <w:t>ε</w:t>
            </w:r>
            <w:r w:rsidRPr="001455DC">
              <w:rPr>
                <w:rStyle w:val="CCMCvariablesubscript"/>
              </w:rPr>
              <w:t>yd</w:t>
            </w:r>
          </w:p>
        </w:tc>
        <w:tc>
          <w:tcPr>
            <w:tcW w:w="6548" w:type="dxa"/>
            <w:shd w:val="clear" w:color="auto" w:fill="auto"/>
          </w:tcPr>
          <w:p w14:paraId="60962E84" w14:textId="77777777" w:rsidR="004E31A8" w:rsidRPr="001455DC" w:rsidRDefault="004E31A8" w:rsidP="000250B6">
            <w:pPr>
              <w:pStyle w:val="Tablebody"/>
              <w:jc w:val="left"/>
              <w:rPr>
                <w:lang w:eastAsia="de-DE"/>
              </w:rPr>
            </w:pPr>
            <w:r w:rsidRPr="001455DC">
              <w:rPr>
                <w:lang w:eastAsia="de-DE"/>
              </w:rPr>
              <w:t>Design yield strain of reinforcement</w:t>
            </w:r>
          </w:p>
        </w:tc>
        <w:tc>
          <w:tcPr>
            <w:tcW w:w="1984" w:type="dxa"/>
          </w:tcPr>
          <w:p w14:paraId="289E6444" w14:textId="18051C37" w:rsidR="004E31A8" w:rsidRPr="001455DC" w:rsidRDefault="004E31A8" w:rsidP="004E31A8">
            <w:pPr>
              <w:pStyle w:val="Tablebody"/>
              <w:rPr>
                <w:lang w:eastAsia="de-DE"/>
              </w:rPr>
            </w:pPr>
            <w:r w:rsidRPr="009D3012">
              <w:rPr>
                <w:lang w:eastAsia="de-DE"/>
              </w:rPr>
              <w:t>O.7.3(1)</w:t>
            </w:r>
          </w:p>
        </w:tc>
      </w:tr>
      <w:tr w:rsidR="004E31A8" w:rsidRPr="001455DC" w14:paraId="35176189" w14:textId="5F795028" w:rsidTr="00BE5EF4">
        <w:trPr>
          <w:cantSplit/>
        </w:trPr>
        <w:tc>
          <w:tcPr>
            <w:tcW w:w="1418" w:type="dxa"/>
            <w:shd w:val="clear" w:color="auto" w:fill="auto"/>
          </w:tcPr>
          <w:p w14:paraId="563073E4" w14:textId="77777777" w:rsidR="004E31A8" w:rsidRPr="009D3012" w:rsidRDefault="004E31A8" w:rsidP="004E31A8">
            <w:pPr>
              <w:pStyle w:val="Tablebody"/>
              <w:rPr>
                <w:rStyle w:val="CCMCvariableitalic"/>
              </w:rPr>
            </w:pPr>
            <w:r w:rsidRPr="001455DC">
              <w:rPr>
                <w:rStyle w:val="CCMCvariableitalic"/>
              </w:rPr>
              <w:t>ε</w:t>
            </w:r>
            <w:r w:rsidRPr="001455DC">
              <w:rPr>
                <w:rStyle w:val="CCMCvariablesubscript"/>
              </w:rPr>
              <w:t>1</w:t>
            </w:r>
          </w:p>
        </w:tc>
        <w:tc>
          <w:tcPr>
            <w:tcW w:w="6548" w:type="dxa"/>
            <w:shd w:val="clear" w:color="auto" w:fill="auto"/>
          </w:tcPr>
          <w:p w14:paraId="1BDAD483" w14:textId="77777777" w:rsidR="004E31A8" w:rsidRPr="001455DC" w:rsidRDefault="004E31A8" w:rsidP="000250B6">
            <w:pPr>
              <w:pStyle w:val="Tablebody"/>
              <w:jc w:val="left"/>
              <w:rPr>
                <w:lang w:eastAsia="de-DE"/>
              </w:rPr>
            </w:pPr>
            <w:r w:rsidRPr="001455DC">
              <w:rPr>
                <w:lang w:eastAsia="de-DE"/>
              </w:rPr>
              <w:t>Value of the maximum principal tensile strain in concrete</w:t>
            </w:r>
          </w:p>
        </w:tc>
        <w:tc>
          <w:tcPr>
            <w:tcW w:w="1984" w:type="dxa"/>
          </w:tcPr>
          <w:p w14:paraId="4C04E500" w14:textId="7A55E409" w:rsidR="004E31A8" w:rsidRPr="001455DC" w:rsidRDefault="004E31A8">
            <w:pPr>
              <w:pStyle w:val="Tablebody"/>
              <w:rPr>
                <w:lang w:eastAsia="de-DE"/>
              </w:rPr>
            </w:pPr>
            <w:r w:rsidRPr="009D3012">
              <w:rPr>
                <w:lang w:eastAsia="de-DE"/>
              </w:rPr>
              <w:t>8.5.2(5), G.</w:t>
            </w:r>
            <w:r w:rsidR="00B269EF" w:rsidRPr="009D3012">
              <w:rPr>
                <w:lang w:eastAsia="de-DE"/>
              </w:rPr>
              <w:t>3</w:t>
            </w:r>
            <w:r w:rsidRPr="009D3012">
              <w:rPr>
                <w:lang w:eastAsia="de-DE"/>
              </w:rPr>
              <w:t>(6)</w:t>
            </w:r>
          </w:p>
        </w:tc>
      </w:tr>
      <w:tr w:rsidR="004E31A8" w:rsidRPr="001455DC" w14:paraId="46E9A7D8" w14:textId="72D1FC00" w:rsidTr="00BE5EF4">
        <w:trPr>
          <w:cantSplit/>
        </w:trPr>
        <w:tc>
          <w:tcPr>
            <w:tcW w:w="1418" w:type="dxa"/>
            <w:shd w:val="clear" w:color="auto" w:fill="auto"/>
          </w:tcPr>
          <w:p w14:paraId="5D05843B" w14:textId="77777777" w:rsidR="004E31A8" w:rsidRPr="009D3012" w:rsidRDefault="004E31A8" w:rsidP="004E31A8">
            <w:pPr>
              <w:pStyle w:val="Tablebody"/>
              <w:rPr>
                <w:rStyle w:val="CCMCvariableitalic"/>
              </w:rPr>
            </w:pPr>
            <w:r w:rsidRPr="001455DC">
              <w:rPr>
                <w:rStyle w:val="CCMCvariableitalic"/>
              </w:rPr>
              <w:t>ζ</w:t>
            </w:r>
          </w:p>
        </w:tc>
        <w:tc>
          <w:tcPr>
            <w:tcW w:w="6548" w:type="dxa"/>
            <w:shd w:val="clear" w:color="auto" w:fill="auto"/>
          </w:tcPr>
          <w:p w14:paraId="37AEC5DE" w14:textId="77777777" w:rsidR="004E31A8" w:rsidRPr="001455DC" w:rsidRDefault="004E31A8" w:rsidP="000250B6">
            <w:pPr>
              <w:pStyle w:val="Tablebody"/>
              <w:jc w:val="left"/>
              <w:rPr>
                <w:lang w:eastAsia="de-DE"/>
              </w:rPr>
            </w:pPr>
            <w:r w:rsidRPr="001455DC">
              <w:rPr>
                <w:lang w:eastAsia="de-DE"/>
              </w:rPr>
              <w:t>Distribution coefficient allowing for tension stiffening at a section</w:t>
            </w:r>
          </w:p>
        </w:tc>
        <w:tc>
          <w:tcPr>
            <w:tcW w:w="1984" w:type="dxa"/>
          </w:tcPr>
          <w:p w14:paraId="7CBD8561" w14:textId="124BCD65" w:rsidR="004E31A8" w:rsidRPr="001455DC" w:rsidRDefault="004E31A8" w:rsidP="004E31A8">
            <w:pPr>
              <w:pStyle w:val="Tablebody"/>
              <w:rPr>
                <w:lang w:eastAsia="de-DE"/>
              </w:rPr>
            </w:pPr>
            <w:r w:rsidRPr="009D3012">
              <w:rPr>
                <w:lang w:eastAsia="de-DE"/>
              </w:rPr>
              <w:t>9.3.4(3)</w:t>
            </w:r>
          </w:p>
        </w:tc>
      </w:tr>
      <w:tr w:rsidR="004E31A8" w:rsidRPr="001455DC" w14:paraId="79765C5B" w14:textId="0DB2E456" w:rsidTr="00BE5EF4">
        <w:trPr>
          <w:cantSplit/>
        </w:trPr>
        <w:tc>
          <w:tcPr>
            <w:tcW w:w="1418" w:type="dxa"/>
            <w:shd w:val="clear" w:color="auto" w:fill="auto"/>
          </w:tcPr>
          <w:p w14:paraId="0CD8ED47" w14:textId="77777777" w:rsidR="004E31A8" w:rsidRPr="009D3012" w:rsidRDefault="004E31A8" w:rsidP="004E31A8">
            <w:pPr>
              <w:pStyle w:val="Tablebody"/>
              <w:rPr>
                <w:rStyle w:val="CCMCvariableitalic"/>
              </w:rPr>
            </w:pPr>
            <w:r w:rsidRPr="001455DC">
              <w:rPr>
                <w:rStyle w:val="CCMCvariableitalic"/>
              </w:rPr>
              <w:t>η</w:t>
            </w:r>
            <w:r w:rsidRPr="001455DC">
              <w:rPr>
                <w:rStyle w:val="CCMCvariablesubscript"/>
              </w:rPr>
              <w:t>visc</w:t>
            </w:r>
          </w:p>
        </w:tc>
        <w:tc>
          <w:tcPr>
            <w:tcW w:w="6548" w:type="dxa"/>
            <w:shd w:val="clear" w:color="auto" w:fill="auto"/>
          </w:tcPr>
          <w:p w14:paraId="79136E2B" w14:textId="77777777" w:rsidR="004E31A8" w:rsidRPr="001455DC" w:rsidRDefault="004E31A8" w:rsidP="000250B6">
            <w:pPr>
              <w:pStyle w:val="Tablebody"/>
              <w:jc w:val="left"/>
              <w:rPr>
                <w:lang w:eastAsia="de-DE"/>
              </w:rPr>
            </w:pPr>
            <w:r w:rsidRPr="001455DC">
              <w:rPr>
                <w:lang w:eastAsia="de-DE"/>
              </w:rPr>
              <w:t>Dynamic viscosity</w:t>
            </w:r>
          </w:p>
        </w:tc>
        <w:tc>
          <w:tcPr>
            <w:tcW w:w="1984" w:type="dxa"/>
          </w:tcPr>
          <w:p w14:paraId="22EE61BB" w14:textId="4C1A2D79" w:rsidR="004E31A8" w:rsidRPr="001455DC" w:rsidRDefault="004E31A8">
            <w:pPr>
              <w:pStyle w:val="Tablebody"/>
              <w:rPr>
                <w:lang w:eastAsia="de-DE"/>
              </w:rPr>
            </w:pPr>
            <w:r w:rsidRPr="009D3012">
              <w:rPr>
                <w:lang w:eastAsia="de-DE"/>
              </w:rPr>
              <w:t>H.</w:t>
            </w:r>
            <w:r w:rsidR="0006068A" w:rsidRPr="001455DC">
              <w:rPr>
                <w:lang w:eastAsia="de-DE"/>
              </w:rPr>
              <w:t>4</w:t>
            </w:r>
            <w:r w:rsidRPr="009D3012">
              <w:rPr>
                <w:lang w:eastAsia="de-DE"/>
              </w:rPr>
              <w:t>.2(7)</w:t>
            </w:r>
          </w:p>
        </w:tc>
      </w:tr>
      <w:tr w:rsidR="004E31A8" w:rsidRPr="001455DC" w14:paraId="1176DF5A" w14:textId="2E27F609" w:rsidTr="00BE5EF4">
        <w:trPr>
          <w:cantSplit/>
        </w:trPr>
        <w:tc>
          <w:tcPr>
            <w:tcW w:w="1418" w:type="dxa"/>
            <w:shd w:val="clear" w:color="auto" w:fill="auto"/>
          </w:tcPr>
          <w:p w14:paraId="4CC20F43" w14:textId="77777777" w:rsidR="004E31A8" w:rsidRPr="009D3012" w:rsidRDefault="004E31A8" w:rsidP="004E31A8">
            <w:pPr>
              <w:pStyle w:val="Tablebody"/>
              <w:rPr>
                <w:rStyle w:val="CCMCvariableitalic"/>
              </w:rPr>
            </w:pPr>
            <w:r w:rsidRPr="001455DC">
              <w:rPr>
                <w:rStyle w:val="CCMCvariableitalic"/>
              </w:rPr>
              <w:t>η</w:t>
            </w:r>
          </w:p>
        </w:tc>
        <w:tc>
          <w:tcPr>
            <w:tcW w:w="6548" w:type="dxa"/>
            <w:shd w:val="clear" w:color="auto" w:fill="auto"/>
          </w:tcPr>
          <w:p w14:paraId="4BD04F16" w14:textId="77777777" w:rsidR="004E31A8" w:rsidRPr="001455DC" w:rsidRDefault="004E31A8" w:rsidP="000250B6">
            <w:pPr>
              <w:pStyle w:val="Tablebody"/>
              <w:jc w:val="left"/>
              <w:rPr>
                <w:lang w:eastAsia="de-DE"/>
              </w:rPr>
            </w:pPr>
            <w:r w:rsidRPr="001455DC">
              <w:rPr>
                <w:lang w:eastAsia="de-DE"/>
              </w:rPr>
              <w:t>Ratio of strains used to define stress strain model</w:t>
            </w:r>
          </w:p>
        </w:tc>
        <w:tc>
          <w:tcPr>
            <w:tcW w:w="1984" w:type="dxa"/>
          </w:tcPr>
          <w:p w14:paraId="4E168C76" w14:textId="5F8B76DD" w:rsidR="004E31A8" w:rsidRPr="001455DC" w:rsidRDefault="004E31A8" w:rsidP="004E31A8">
            <w:pPr>
              <w:pStyle w:val="Tablebody"/>
              <w:rPr>
                <w:lang w:eastAsia="de-DE"/>
              </w:rPr>
            </w:pPr>
            <w:r w:rsidRPr="009D3012">
              <w:rPr>
                <w:lang w:eastAsia="de-DE"/>
              </w:rPr>
              <w:t>5.1.6(1)</w:t>
            </w:r>
          </w:p>
        </w:tc>
      </w:tr>
      <w:tr w:rsidR="004E31A8" w:rsidRPr="001455DC" w14:paraId="59642166" w14:textId="521778DC" w:rsidTr="00BE5EF4">
        <w:trPr>
          <w:cantSplit/>
        </w:trPr>
        <w:tc>
          <w:tcPr>
            <w:tcW w:w="1418" w:type="dxa"/>
            <w:shd w:val="clear" w:color="auto" w:fill="auto"/>
          </w:tcPr>
          <w:p w14:paraId="186349CD" w14:textId="77777777" w:rsidR="004E31A8" w:rsidRPr="009D3012" w:rsidRDefault="004E31A8" w:rsidP="004E31A8">
            <w:pPr>
              <w:pStyle w:val="Tablebody"/>
              <w:rPr>
                <w:rStyle w:val="CCMCvariableitalic"/>
              </w:rPr>
            </w:pPr>
            <w:r w:rsidRPr="001455DC">
              <w:rPr>
                <w:rStyle w:val="CCMCvariableitalic"/>
              </w:rPr>
              <w:t>η</w:t>
            </w:r>
            <w:r w:rsidRPr="001455DC">
              <w:rPr>
                <w:rStyle w:val="CCMCvariablesubscript"/>
              </w:rPr>
              <w:t>c</w:t>
            </w:r>
          </w:p>
        </w:tc>
        <w:tc>
          <w:tcPr>
            <w:tcW w:w="6548" w:type="dxa"/>
            <w:shd w:val="clear" w:color="auto" w:fill="auto"/>
          </w:tcPr>
          <w:p w14:paraId="3413099A" w14:textId="77777777" w:rsidR="004E31A8" w:rsidRPr="001455DC" w:rsidRDefault="004E31A8" w:rsidP="000250B6">
            <w:pPr>
              <w:pStyle w:val="Tablebody"/>
              <w:jc w:val="left"/>
              <w:rPr>
                <w:lang w:eastAsia="de-DE"/>
              </w:rPr>
            </w:pPr>
            <w:r w:rsidRPr="001455DC">
              <w:rPr>
                <w:lang w:eastAsia="de-DE"/>
              </w:rPr>
              <w:t xml:space="preserve">Strength reduction coefficient for shear resistance </w:t>
            </w:r>
            <w:r w:rsidRPr="001455DC">
              <w:rPr>
                <w:rStyle w:val="CCMCvariableitalic"/>
              </w:rPr>
              <w:t>τ</w:t>
            </w:r>
            <w:r w:rsidRPr="001455DC">
              <w:rPr>
                <w:rStyle w:val="CCMCvariablesubscript"/>
              </w:rPr>
              <w:t>Rd,c</w:t>
            </w:r>
          </w:p>
        </w:tc>
        <w:tc>
          <w:tcPr>
            <w:tcW w:w="1984" w:type="dxa"/>
          </w:tcPr>
          <w:p w14:paraId="698482A3" w14:textId="045BF812" w:rsidR="004E31A8" w:rsidRPr="001455DC" w:rsidRDefault="004E31A8" w:rsidP="004E31A8">
            <w:pPr>
              <w:pStyle w:val="Tablebody"/>
              <w:rPr>
                <w:lang w:eastAsia="de-DE"/>
              </w:rPr>
            </w:pPr>
            <w:r w:rsidRPr="009D3012">
              <w:rPr>
                <w:lang w:eastAsia="de-DE"/>
              </w:rPr>
              <w:t>8.4.4(1)</w:t>
            </w:r>
          </w:p>
        </w:tc>
      </w:tr>
      <w:tr w:rsidR="004E31A8" w:rsidRPr="001455DC" w14:paraId="27519290" w14:textId="1B948494" w:rsidTr="00BE5EF4">
        <w:trPr>
          <w:cantSplit/>
        </w:trPr>
        <w:tc>
          <w:tcPr>
            <w:tcW w:w="1418" w:type="dxa"/>
            <w:shd w:val="clear" w:color="auto" w:fill="auto"/>
          </w:tcPr>
          <w:p w14:paraId="716238B1" w14:textId="77777777" w:rsidR="004E31A8" w:rsidRPr="009D3012" w:rsidRDefault="004E31A8" w:rsidP="004E31A8">
            <w:pPr>
              <w:pStyle w:val="Tablebody"/>
              <w:rPr>
                <w:rStyle w:val="CCMCvariableitalic"/>
              </w:rPr>
            </w:pPr>
            <w:r w:rsidRPr="001455DC">
              <w:rPr>
                <w:rStyle w:val="CCMCvariableitalic"/>
              </w:rPr>
              <w:t>η</w:t>
            </w:r>
            <w:r w:rsidRPr="001455DC">
              <w:rPr>
                <w:rStyle w:val="CCMCvariablesubscript"/>
              </w:rPr>
              <w:t>cc</w:t>
            </w:r>
          </w:p>
        </w:tc>
        <w:tc>
          <w:tcPr>
            <w:tcW w:w="6548" w:type="dxa"/>
            <w:shd w:val="clear" w:color="auto" w:fill="auto"/>
          </w:tcPr>
          <w:p w14:paraId="6025DB0E" w14:textId="77777777" w:rsidR="004E31A8" w:rsidRPr="001455DC" w:rsidRDefault="004E31A8" w:rsidP="000250B6">
            <w:pPr>
              <w:pStyle w:val="Tablebody"/>
              <w:jc w:val="left"/>
              <w:rPr>
                <w:lang w:eastAsia="de-DE"/>
              </w:rPr>
            </w:pPr>
            <w:r w:rsidRPr="001455DC">
              <w:t>Factor to account for the difference between the undisturbed compressive strength of a cylinder and the effective compressive strength that can be developed in the structural component</w:t>
            </w:r>
          </w:p>
        </w:tc>
        <w:tc>
          <w:tcPr>
            <w:tcW w:w="1984" w:type="dxa"/>
          </w:tcPr>
          <w:p w14:paraId="2BAEE1AE" w14:textId="57488C2D" w:rsidR="004E31A8" w:rsidRPr="001455DC" w:rsidRDefault="004E31A8" w:rsidP="004E31A8">
            <w:pPr>
              <w:pStyle w:val="Tablebody"/>
            </w:pPr>
            <w:r w:rsidRPr="009D3012">
              <w:rPr>
                <w:lang w:eastAsia="de-DE"/>
              </w:rPr>
              <w:t>5.1.6(1)</w:t>
            </w:r>
          </w:p>
        </w:tc>
      </w:tr>
      <w:tr w:rsidR="004E31A8" w:rsidRPr="001455DC" w14:paraId="56CA7A51" w14:textId="6F14A7BA" w:rsidTr="00BE5EF4">
        <w:trPr>
          <w:cantSplit/>
        </w:trPr>
        <w:tc>
          <w:tcPr>
            <w:tcW w:w="1418" w:type="dxa"/>
            <w:shd w:val="clear" w:color="auto" w:fill="auto"/>
          </w:tcPr>
          <w:p w14:paraId="7F70560E" w14:textId="77777777" w:rsidR="004E31A8" w:rsidRPr="009D3012" w:rsidRDefault="004E31A8" w:rsidP="004E31A8">
            <w:pPr>
              <w:pStyle w:val="Tablebody"/>
              <w:rPr>
                <w:rStyle w:val="CCMCvariableitalic"/>
              </w:rPr>
            </w:pPr>
            <w:r w:rsidRPr="001455DC">
              <w:rPr>
                <w:rStyle w:val="CCMCvariableitalic"/>
              </w:rPr>
              <w:t>η</w:t>
            </w:r>
            <w:r w:rsidRPr="001455DC">
              <w:rPr>
                <w:rStyle w:val="CCMCvariablesubscript"/>
              </w:rPr>
              <w:t>lw,fc</w:t>
            </w:r>
          </w:p>
        </w:tc>
        <w:tc>
          <w:tcPr>
            <w:tcW w:w="6548" w:type="dxa"/>
            <w:shd w:val="clear" w:color="auto" w:fill="auto"/>
          </w:tcPr>
          <w:p w14:paraId="13A25CB0" w14:textId="77777777" w:rsidR="004E31A8" w:rsidRPr="001455DC" w:rsidRDefault="004E31A8" w:rsidP="000250B6">
            <w:pPr>
              <w:pStyle w:val="Tablebody"/>
              <w:jc w:val="left"/>
              <w:rPr>
                <w:lang w:eastAsia="de-DE"/>
              </w:rPr>
            </w:pPr>
            <w:r w:rsidRPr="001455DC">
              <w:rPr>
                <w:lang w:eastAsia="de-DE"/>
              </w:rPr>
              <w:t xml:space="preserve">Coefficient related to </w:t>
            </w:r>
            <w:r w:rsidRPr="001455DC">
              <w:rPr>
                <w:rStyle w:val="CCMCvariableitalic"/>
              </w:rPr>
              <w:t>f</w:t>
            </w:r>
            <w:r w:rsidRPr="001455DC">
              <w:rPr>
                <w:rStyle w:val="CCMCvariablesubscript"/>
              </w:rPr>
              <w:t>c</w:t>
            </w:r>
            <w:r w:rsidRPr="001455DC">
              <w:rPr>
                <w:lang w:eastAsia="de-DE"/>
              </w:rPr>
              <w:t xml:space="preserve"> in lightweight aggregate concrete</w:t>
            </w:r>
          </w:p>
        </w:tc>
        <w:tc>
          <w:tcPr>
            <w:tcW w:w="1984" w:type="dxa"/>
          </w:tcPr>
          <w:p w14:paraId="06736A68" w14:textId="153678AF" w:rsidR="004E31A8" w:rsidRPr="001455DC" w:rsidRDefault="004E31A8" w:rsidP="004E31A8">
            <w:pPr>
              <w:pStyle w:val="Tablebody"/>
              <w:rPr>
                <w:lang w:eastAsia="de-DE"/>
              </w:rPr>
            </w:pPr>
            <w:r w:rsidRPr="009D3012">
              <w:rPr>
                <w:lang w:eastAsia="de-DE"/>
              </w:rPr>
              <w:t>Table M.1</w:t>
            </w:r>
          </w:p>
        </w:tc>
      </w:tr>
      <w:tr w:rsidR="004E31A8" w:rsidRPr="001455DC" w14:paraId="57C53AE2" w14:textId="14C5D78C" w:rsidTr="00BE5EF4">
        <w:trPr>
          <w:cantSplit/>
        </w:trPr>
        <w:tc>
          <w:tcPr>
            <w:tcW w:w="1418" w:type="dxa"/>
            <w:shd w:val="clear" w:color="auto" w:fill="auto"/>
          </w:tcPr>
          <w:p w14:paraId="30C35FFA" w14:textId="77777777" w:rsidR="004E31A8" w:rsidRPr="009D3012" w:rsidRDefault="004E31A8" w:rsidP="004E31A8">
            <w:pPr>
              <w:pStyle w:val="Tablebody"/>
              <w:rPr>
                <w:rStyle w:val="CCMCvariableitalic"/>
              </w:rPr>
            </w:pPr>
            <w:r w:rsidRPr="001455DC">
              <w:rPr>
                <w:rStyle w:val="CCMCvariableitalic"/>
              </w:rPr>
              <w:t>η</w:t>
            </w:r>
            <w:r w:rsidRPr="001455DC">
              <w:rPr>
                <w:rStyle w:val="CCMCvariablesubscript"/>
              </w:rPr>
              <w:t>lw,fct</w:t>
            </w:r>
          </w:p>
        </w:tc>
        <w:tc>
          <w:tcPr>
            <w:tcW w:w="6548" w:type="dxa"/>
            <w:shd w:val="clear" w:color="auto" w:fill="auto"/>
          </w:tcPr>
          <w:p w14:paraId="5245B889" w14:textId="77777777" w:rsidR="004E31A8" w:rsidRPr="001455DC" w:rsidRDefault="004E31A8" w:rsidP="000250B6">
            <w:pPr>
              <w:pStyle w:val="Tablebody"/>
              <w:jc w:val="left"/>
              <w:rPr>
                <w:lang w:eastAsia="de-DE"/>
              </w:rPr>
            </w:pPr>
            <w:r w:rsidRPr="001455DC">
              <w:rPr>
                <w:lang w:eastAsia="de-DE"/>
              </w:rPr>
              <w:t xml:space="preserve">Coefficient related to </w:t>
            </w:r>
            <w:r w:rsidRPr="001455DC">
              <w:rPr>
                <w:rStyle w:val="CCMCvariableitalic"/>
              </w:rPr>
              <w:t>f</w:t>
            </w:r>
            <w:r w:rsidRPr="001455DC">
              <w:rPr>
                <w:rStyle w:val="CCMCvariablesubscript"/>
              </w:rPr>
              <w:t>ct</w:t>
            </w:r>
            <w:r w:rsidRPr="001455DC">
              <w:rPr>
                <w:lang w:eastAsia="de-DE"/>
              </w:rPr>
              <w:t xml:space="preserve"> in lightweight aggregate concrete</w:t>
            </w:r>
          </w:p>
        </w:tc>
        <w:tc>
          <w:tcPr>
            <w:tcW w:w="1984" w:type="dxa"/>
          </w:tcPr>
          <w:p w14:paraId="04EADF71" w14:textId="65C09F59" w:rsidR="004E31A8" w:rsidRPr="001455DC" w:rsidRDefault="004E31A8" w:rsidP="004E31A8">
            <w:pPr>
              <w:pStyle w:val="Tablebody"/>
              <w:rPr>
                <w:lang w:eastAsia="de-DE"/>
              </w:rPr>
            </w:pPr>
            <w:r w:rsidRPr="009D3012">
              <w:rPr>
                <w:lang w:eastAsia="de-DE"/>
              </w:rPr>
              <w:t>Table M.1</w:t>
            </w:r>
          </w:p>
        </w:tc>
      </w:tr>
      <w:tr w:rsidR="004E31A8" w:rsidRPr="001455DC" w14:paraId="25AE8F19" w14:textId="418AB3C3" w:rsidTr="00BE5EF4">
        <w:trPr>
          <w:cantSplit/>
        </w:trPr>
        <w:tc>
          <w:tcPr>
            <w:tcW w:w="1418" w:type="dxa"/>
            <w:shd w:val="clear" w:color="auto" w:fill="auto"/>
          </w:tcPr>
          <w:p w14:paraId="4470C525" w14:textId="77777777" w:rsidR="004E31A8" w:rsidRPr="009D3012" w:rsidRDefault="004E31A8" w:rsidP="004E31A8">
            <w:pPr>
              <w:pStyle w:val="Tablebody"/>
              <w:rPr>
                <w:rStyle w:val="CCMCvariableitalic"/>
              </w:rPr>
            </w:pPr>
            <w:r w:rsidRPr="001455DC">
              <w:rPr>
                <w:rStyle w:val="CCMCvariableitalic"/>
              </w:rPr>
              <w:t>η</w:t>
            </w:r>
            <w:r w:rsidRPr="001455DC">
              <w:rPr>
                <w:rStyle w:val="CCMCvariablesubscript"/>
              </w:rPr>
              <w:t>lw,Ec</w:t>
            </w:r>
          </w:p>
        </w:tc>
        <w:tc>
          <w:tcPr>
            <w:tcW w:w="6548" w:type="dxa"/>
            <w:shd w:val="clear" w:color="auto" w:fill="auto"/>
          </w:tcPr>
          <w:p w14:paraId="3547FC80" w14:textId="77777777" w:rsidR="004E31A8" w:rsidRPr="001455DC" w:rsidRDefault="004E31A8" w:rsidP="000250B6">
            <w:pPr>
              <w:pStyle w:val="Tablebody"/>
              <w:jc w:val="left"/>
              <w:rPr>
                <w:lang w:eastAsia="de-DE"/>
              </w:rPr>
            </w:pPr>
            <w:r w:rsidRPr="001455DC">
              <w:rPr>
                <w:lang w:eastAsia="de-DE"/>
              </w:rPr>
              <w:t xml:space="preserve">Coefficient related to </w:t>
            </w:r>
            <w:r w:rsidRPr="001455DC">
              <w:rPr>
                <w:rStyle w:val="CCMCvariableitalic"/>
              </w:rPr>
              <w:t>E</w:t>
            </w:r>
            <w:r w:rsidRPr="001455DC">
              <w:rPr>
                <w:rStyle w:val="CCMCvariablesubscript"/>
              </w:rPr>
              <w:t>c</w:t>
            </w:r>
            <w:r w:rsidRPr="001455DC">
              <w:rPr>
                <w:lang w:eastAsia="de-DE"/>
              </w:rPr>
              <w:t xml:space="preserve"> in lightweight aggregate concrete</w:t>
            </w:r>
          </w:p>
        </w:tc>
        <w:tc>
          <w:tcPr>
            <w:tcW w:w="1984" w:type="dxa"/>
          </w:tcPr>
          <w:p w14:paraId="011F2526" w14:textId="29AE0801" w:rsidR="004E31A8" w:rsidRPr="001455DC" w:rsidRDefault="004E31A8" w:rsidP="004E31A8">
            <w:pPr>
              <w:pStyle w:val="Tablebody"/>
              <w:rPr>
                <w:lang w:eastAsia="de-DE"/>
              </w:rPr>
            </w:pPr>
            <w:r w:rsidRPr="009D3012">
              <w:rPr>
                <w:lang w:eastAsia="de-DE"/>
              </w:rPr>
              <w:t>Table M.1</w:t>
            </w:r>
          </w:p>
        </w:tc>
      </w:tr>
      <w:tr w:rsidR="004E31A8" w:rsidRPr="001455DC" w14:paraId="67512B1B" w14:textId="22E0C619" w:rsidTr="00BE5EF4">
        <w:trPr>
          <w:cantSplit/>
        </w:trPr>
        <w:tc>
          <w:tcPr>
            <w:tcW w:w="1418" w:type="dxa"/>
            <w:shd w:val="clear" w:color="auto" w:fill="auto"/>
          </w:tcPr>
          <w:p w14:paraId="34B46855" w14:textId="77777777" w:rsidR="004E31A8" w:rsidRPr="009D3012" w:rsidRDefault="004E31A8" w:rsidP="004E31A8">
            <w:pPr>
              <w:pStyle w:val="Tablebody"/>
              <w:rPr>
                <w:rStyle w:val="CCMCvariableitalic"/>
              </w:rPr>
            </w:pPr>
            <w:r w:rsidRPr="001455DC">
              <w:rPr>
                <w:rStyle w:val="CCMCvariableitalic"/>
              </w:rPr>
              <w:t>η</w:t>
            </w:r>
            <w:r w:rsidRPr="001455DC">
              <w:rPr>
                <w:rStyle w:val="CCMCvariablesubscript"/>
              </w:rPr>
              <w:t>r</w:t>
            </w:r>
          </w:p>
        </w:tc>
        <w:tc>
          <w:tcPr>
            <w:tcW w:w="6548" w:type="dxa"/>
            <w:shd w:val="clear" w:color="auto" w:fill="auto"/>
          </w:tcPr>
          <w:p w14:paraId="08134BD7" w14:textId="77777777" w:rsidR="004E31A8" w:rsidRPr="001455DC" w:rsidRDefault="004E31A8" w:rsidP="000250B6">
            <w:pPr>
              <w:pStyle w:val="Tablebody"/>
              <w:jc w:val="left"/>
              <w:rPr>
                <w:lang w:eastAsia="de-DE"/>
              </w:rPr>
            </w:pPr>
            <w:r w:rsidRPr="001455DC">
              <w:rPr>
                <w:lang w:eastAsia="de-DE"/>
              </w:rPr>
              <w:t xml:space="preserve">Factor to account for the effect of shrinkage in increase of crack width with time, </w:t>
            </w:r>
            <w:r w:rsidRPr="001455DC">
              <w:rPr>
                <w:rFonts w:eastAsiaTheme="minorHAnsi"/>
              </w:rPr>
              <w:t xml:space="preserve">equal to 0 for short-term loading, and for long term loading in the crack formation phase and equal to </w:t>
            </w:r>
            <w:r w:rsidRPr="001455DC">
              <w:rPr>
                <w:rStyle w:val="CCMCvariableitalic"/>
              </w:rPr>
              <w:t>R</w:t>
            </w:r>
            <w:r w:rsidRPr="001455DC">
              <w:rPr>
                <w:rStyle w:val="CCMCvariablesubscript"/>
              </w:rPr>
              <w:t>ax</w:t>
            </w:r>
            <w:r w:rsidRPr="001455DC">
              <w:rPr>
                <w:rFonts w:eastAsiaTheme="minorHAnsi"/>
              </w:rPr>
              <w:t xml:space="preserve"> in other cases</w:t>
            </w:r>
          </w:p>
        </w:tc>
        <w:tc>
          <w:tcPr>
            <w:tcW w:w="1984" w:type="dxa"/>
          </w:tcPr>
          <w:p w14:paraId="241C75C4" w14:textId="1475CCB5" w:rsidR="004E31A8" w:rsidRPr="001455DC" w:rsidRDefault="004E31A8" w:rsidP="004E31A8">
            <w:pPr>
              <w:pStyle w:val="Tablebody"/>
              <w:rPr>
                <w:lang w:eastAsia="de-DE"/>
              </w:rPr>
            </w:pPr>
            <w:r w:rsidRPr="009D3012">
              <w:rPr>
                <w:lang w:eastAsia="de-DE"/>
              </w:rPr>
              <w:t>9.2.4(2)</w:t>
            </w:r>
          </w:p>
        </w:tc>
      </w:tr>
      <w:tr w:rsidR="004E31A8" w:rsidRPr="001455DC" w14:paraId="6FECA9ED" w14:textId="72DEA685" w:rsidTr="00BE5EF4">
        <w:trPr>
          <w:cantSplit/>
        </w:trPr>
        <w:tc>
          <w:tcPr>
            <w:tcW w:w="1418" w:type="dxa"/>
            <w:shd w:val="clear" w:color="auto" w:fill="auto"/>
          </w:tcPr>
          <w:p w14:paraId="2FEF86E6" w14:textId="77777777" w:rsidR="004E31A8" w:rsidRPr="009D3012" w:rsidRDefault="004E31A8" w:rsidP="004E31A8">
            <w:pPr>
              <w:pStyle w:val="Tablebody"/>
              <w:rPr>
                <w:rStyle w:val="CCMCvariableitalic"/>
              </w:rPr>
            </w:pPr>
            <w:r w:rsidRPr="001455DC">
              <w:rPr>
                <w:rStyle w:val="CCMCvariableitalic"/>
              </w:rPr>
              <w:t>η</w:t>
            </w:r>
            <w:r w:rsidRPr="001455DC">
              <w:rPr>
                <w:rStyle w:val="CCMCvariablesubscript"/>
              </w:rPr>
              <w:t>s</w:t>
            </w:r>
          </w:p>
        </w:tc>
        <w:tc>
          <w:tcPr>
            <w:tcW w:w="6548" w:type="dxa"/>
            <w:shd w:val="clear" w:color="auto" w:fill="auto"/>
          </w:tcPr>
          <w:p w14:paraId="1316E21A" w14:textId="77777777" w:rsidR="004E31A8" w:rsidRPr="001455DC" w:rsidRDefault="004E31A8" w:rsidP="000250B6">
            <w:pPr>
              <w:pStyle w:val="Tablebody"/>
              <w:jc w:val="left"/>
              <w:rPr>
                <w:lang w:eastAsia="de-DE"/>
              </w:rPr>
            </w:pPr>
            <w:r w:rsidRPr="001455DC">
              <w:rPr>
                <w:lang w:eastAsia="de-DE"/>
              </w:rPr>
              <w:t>Strength reduction coefficient for the contribution of the shear reinforcement</w:t>
            </w:r>
          </w:p>
        </w:tc>
        <w:tc>
          <w:tcPr>
            <w:tcW w:w="1984" w:type="dxa"/>
          </w:tcPr>
          <w:p w14:paraId="62A73B5B" w14:textId="063AF407" w:rsidR="004E31A8" w:rsidRPr="001455DC" w:rsidRDefault="004E31A8" w:rsidP="004E31A8">
            <w:pPr>
              <w:pStyle w:val="Tablebody"/>
              <w:rPr>
                <w:lang w:eastAsia="de-DE"/>
              </w:rPr>
            </w:pPr>
            <w:r w:rsidRPr="009D3012">
              <w:rPr>
                <w:lang w:eastAsia="de-DE"/>
              </w:rPr>
              <w:t>8.4.4(1)</w:t>
            </w:r>
          </w:p>
        </w:tc>
      </w:tr>
      <w:tr w:rsidR="004E31A8" w:rsidRPr="001455DC" w14:paraId="6E59419E" w14:textId="449CFE08" w:rsidTr="00BE5EF4">
        <w:trPr>
          <w:cantSplit/>
        </w:trPr>
        <w:tc>
          <w:tcPr>
            <w:tcW w:w="1418" w:type="dxa"/>
            <w:shd w:val="clear" w:color="auto" w:fill="auto"/>
          </w:tcPr>
          <w:p w14:paraId="653FE8EC" w14:textId="77777777" w:rsidR="004E31A8" w:rsidRPr="009D3012" w:rsidRDefault="004E31A8" w:rsidP="004E31A8">
            <w:pPr>
              <w:pStyle w:val="Tablebody"/>
              <w:rPr>
                <w:rStyle w:val="CCMCvariableitalic"/>
              </w:rPr>
            </w:pPr>
            <w:r w:rsidRPr="001455DC">
              <w:rPr>
                <w:rStyle w:val="CCMCvariableitalic"/>
              </w:rPr>
              <w:t>η</w:t>
            </w:r>
            <w:r w:rsidRPr="001455DC">
              <w:rPr>
                <w:rStyle w:val="CCMCvariablesubscript"/>
              </w:rPr>
              <w:t>sys</w:t>
            </w:r>
          </w:p>
        </w:tc>
        <w:tc>
          <w:tcPr>
            <w:tcW w:w="6548" w:type="dxa"/>
            <w:shd w:val="clear" w:color="auto" w:fill="auto"/>
          </w:tcPr>
          <w:p w14:paraId="5FD7A170" w14:textId="77777777" w:rsidR="004E31A8" w:rsidRPr="001455DC" w:rsidRDefault="004E31A8" w:rsidP="000250B6">
            <w:pPr>
              <w:pStyle w:val="Tablebody"/>
              <w:jc w:val="left"/>
              <w:rPr>
                <w:lang w:eastAsia="de-DE"/>
              </w:rPr>
            </w:pPr>
            <w:r w:rsidRPr="001455DC">
              <w:rPr>
                <w:lang w:eastAsia="de-DE"/>
              </w:rPr>
              <w:t>Coefficient accounting for the performance of punching shear reinforcing systems</w:t>
            </w:r>
          </w:p>
        </w:tc>
        <w:tc>
          <w:tcPr>
            <w:tcW w:w="1984" w:type="dxa"/>
          </w:tcPr>
          <w:p w14:paraId="55CA48EE" w14:textId="1EB073D5" w:rsidR="004E31A8" w:rsidRPr="001455DC" w:rsidRDefault="004E31A8" w:rsidP="004E31A8">
            <w:pPr>
              <w:pStyle w:val="Tablebody"/>
              <w:rPr>
                <w:lang w:eastAsia="de-DE"/>
              </w:rPr>
            </w:pPr>
            <w:r w:rsidRPr="009D3012">
              <w:rPr>
                <w:lang w:eastAsia="de-DE"/>
              </w:rPr>
              <w:t>8.4.4(3)</w:t>
            </w:r>
          </w:p>
        </w:tc>
      </w:tr>
      <w:tr w:rsidR="004E31A8" w:rsidRPr="001455DC" w14:paraId="4B76BD71" w14:textId="4C5CAC00" w:rsidTr="00BE5EF4">
        <w:trPr>
          <w:cantSplit/>
        </w:trPr>
        <w:tc>
          <w:tcPr>
            <w:tcW w:w="1418" w:type="dxa"/>
            <w:shd w:val="clear" w:color="auto" w:fill="auto"/>
          </w:tcPr>
          <w:p w14:paraId="713734DE" w14:textId="77777777" w:rsidR="004E31A8" w:rsidRPr="009D3012" w:rsidRDefault="004E31A8" w:rsidP="004E31A8">
            <w:pPr>
              <w:pStyle w:val="Tablebody"/>
              <w:rPr>
                <w:rStyle w:val="CCMCvariableitalic"/>
              </w:rPr>
            </w:pPr>
            <w:r w:rsidRPr="001455DC">
              <w:rPr>
                <w:rStyle w:val="CCMCvariableitalic"/>
              </w:rPr>
              <w:t>θ</w:t>
            </w:r>
          </w:p>
        </w:tc>
        <w:tc>
          <w:tcPr>
            <w:tcW w:w="6548" w:type="dxa"/>
            <w:shd w:val="clear" w:color="auto" w:fill="auto"/>
          </w:tcPr>
          <w:p w14:paraId="6DF42D32" w14:textId="77777777" w:rsidR="004E31A8" w:rsidRPr="001455DC" w:rsidRDefault="004E31A8" w:rsidP="000250B6">
            <w:pPr>
              <w:pStyle w:val="Tablebody"/>
              <w:jc w:val="left"/>
              <w:rPr>
                <w:lang w:eastAsia="de-DE"/>
              </w:rPr>
            </w:pPr>
            <w:r w:rsidRPr="001455DC">
              <w:rPr>
                <w:lang w:eastAsia="de-DE"/>
              </w:rPr>
              <w:t xml:space="preserve">Angle between the compression field and the member axis </w:t>
            </w:r>
          </w:p>
        </w:tc>
        <w:tc>
          <w:tcPr>
            <w:tcW w:w="1984" w:type="dxa"/>
          </w:tcPr>
          <w:p w14:paraId="1A3F582A" w14:textId="72586A33" w:rsidR="004E31A8" w:rsidRPr="001455DC" w:rsidRDefault="004E31A8" w:rsidP="004E31A8">
            <w:pPr>
              <w:pStyle w:val="Tablebody"/>
              <w:rPr>
                <w:lang w:eastAsia="de-DE"/>
              </w:rPr>
            </w:pPr>
            <w:r w:rsidRPr="009D3012">
              <w:rPr>
                <w:lang w:eastAsia="de-DE"/>
              </w:rPr>
              <w:t>Figures 8.9 and 8.11,  8.2.3(3)</w:t>
            </w:r>
          </w:p>
        </w:tc>
      </w:tr>
      <w:tr w:rsidR="004E31A8" w:rsidRPr="001455DC" w14:paraId="0B5CE42C" w14:textId="0B2606C6" w:rsidTr="00BE5EF4">
        <w:trPr>
          <w:cantSplit/>
        </w:trPr>
        <w:tc>
          <w:tcPr>
            <w:tcW w:w="1418" w:type="dxa"/>
            <w:shd w:val="clear" w:color="auto" w:fill="auto"/>
          </w:tcPr>
          <w:p w14:paraId="254E6FA5" w14:textId="77777777" w:rsidR="004E31A8" w:rsidRPr="009D3012" w:rsidRDefault="004E31A8" w:rsidP="004E31A8">
            <w:pPr>
              <w:pStyle w:val="Tablebody"/>
              <w:rPr>
                <w:rStyle w:val="CCMCvariableitalic"/>
              </w:rPr>
            </w:pPr>
            <w:r w:rsidRPr="001455DC">
              <w:rPr>
                <w:rStyle w:val="CCMCvariableitalic"/>
              </w:rPr>
              <w:t>θ</w:t>
            </w:r>
            <w:r w:rsidRPr="001455DC">
              <w:rPr>
                <w:rStyle w:val="CCMCvariablesubscript"/>
              </w:rPr>
              <w:t>cf</w:t>
            </w:r>
          </w:p>
        </w:tc>
        <w:tc>
          <w:tcPr>
            <w:tcW w:w="6548" w:type="dxa"/>
            <w:shd w:val="clear" w:color="auto" w:fill="auto"/>
          </w:tcPr>
          <w:p w14:paraId="4D1DCD61" w14:textId="77777777" w:rsidR="004E31A8" w:rsidRPr="001455DC" w:rsidRDefault="004E31A8" w:rsidP="000250B6">
            <w:pPr>
              <w:pStyle w:val="Tablebody"/>
              <w:jc w:val="left"/>
              <w:rPr>
                <w:lang w:eastAsia="de-DE"/>
              </w:rPr>
            </w:pPr>
            <w:r w:rsidRPr="001455DC">
              <w:rPr>
                <w:lang w:eastAsia="de-DE"/>
              </w:rPr>
              <w:t xml:space="preserve">Spreading angle of a concentrated force </w:t>
            </w:r>
          </w:p>
        </w:tc>
        <w:tc>
          <w:tcPr>
            <w:tcW w:w="1984" w:type="dxa"/>
          </w:tcPr>
          <w:p w14:paraId="4CDE804B" w14:textId="44EF0CBB" w:rsidR="004E31A8" w:rsidRPr="001455DC" w:rsidRDefault="004E31A8" w:rsidP="004E31A8">
            <w:pPr>
              <w:pStyle w:val="Tablebody"/>
              <w:rPr>
                <w:lang w:eastAsia="de-DE"/>
              </w:rPr>
            </w:pPr>
            <w:r w:rsidRPr="009D3012">
              <w:rPr>
                <w:lang w:eastAsia="de-DE"/>
              </w:rPr>
              <w:t>8.5.5, Figure 8.30</w:t>
            </w:r>
          </w:p>
        </w:tc>
      </w:tr>
      <w:tr w:rsidR="004E31A8" w:rsidRPr="001455DC" w14:paraId="539AFDE3" w14:textId="0EEC9717" w:rsidTr="00BE5EF4">
        <w:trPr>
          <w:cantSplit/>
        </w:trPr>
        <w:tc>
          <w:tcPr>
            <w:tcW w:w="1418" w:type="dxa"/>
            <w:shd w:val="clear" w:color="auto" w:fill="auto"/>
          </w:tcPr>
          <w:p w14:paraId="05AA2EF9" w14:textId="77777777" w:rsidR="004E31A8" w:rsidRPr="009D3012" w:rsidRDefault="004E31A8" w:rsidP="004E31A8">
            <w:pPr>
              <w:pStyle w:val="Tablebody"/>
              <w:rPr>
                <w:rStyle w:val="CCMCvariableitalic"/>
              </w:rPr>
            </w:pPr>
            <w:r w:rsidRPr="001455DC">
              <w:rPr>
                <w:rStyle w:val="CCMCvariableitalic"/>
              </w:rPr>
              <w:t>θ</w:t>
            </w:r>
            <w:r w:rsidRPr="001455DC">
              <w:rPr>
                <w:rStyle w:val="CCMCvariablesubscript"/>
              </w:rPr>
              <w:t>cs</w:t>
            </w:r>
          </w:p>
        </w:tc>
        <w:tc>
          <w:tcPr>
            <w:tcW w:w="6548" w:type="dxa"/>
            <w:shd w:val="clear" w:color="auto" w:fill="auto"/>
          </w:tcPr>
          <w:p w14:paraId="6CD8C8C4" w14:textId="77777777" w:rsidR="004E31A8" w:rsidRPr="001455DC" w:rsidRDefault="004E31A8" w:rsidP="000250B6">
            <w:pPr>
              <w:pStyle w:val="Tablebody"/>
              <w:jc w:val="left"/>
              <w:rPr>
                <w:lang w:eastAsia="de-DE"/>
              </w:rPr>
            </w:pPr>
            <w:r w:rsidRPr="001455DC">
              <w:rPr>
                <w:lang w:eastAsia="de-DE"/>
              </w:rPr>
              <w:t>Angle between the compression field and a tie</w:t>
            </w:r>
          </w:p>
        </w:tc>
        <w:tc>
          <w:tcPr>
            <w:tcW w:w="1984" w:type="dxa"/>
          </w:tcPr>
          <w:p w14:paraId="256CF8AA" w14:textId="21C8327C" w:rsidR="004E31A8" w:rsidRPr="001455DC" w:rsidRDefault="004E31A8" w:rsidP="004E31A8">
            <w:pPr>
              <w:pStyle w:val="Tablebody"/>
              <w:rPr>
                <w:lang w:eastAsia="de-DE"/>
              </w:rPr>
            </w:pPr>
            <w:r w:rsidRPr="009D3012">
              <w:rPr>
                <w:lang w:eastAsia="de-DE"/>
              </w:rPr>
              <w:t>8.5.4, Figure 8.26</w:t>
            </w:r>
          </w:p>
        </w:tc>
      </w:tr>
      <w:tr w:rsidR="004E31A8" w:rsidRPr="001455DC" w14:paraId="6DD9D707" w14:textId="608C6B25" w:rsidTr="00BE5EF4">
        <w:trPr>
          <w:cantSplit/>
        </w:trPr>
        <w:tc>
          <w:tcPr>
            <w:tcW w:w="1418" w:type="dxa"/>
            <w:shd w:val="clear" w:color="auto" w:fill="auto"/>
          </w:tcPr>
          <w:p w14:paraId="7C0AE2E0" w14:textId="77777777" w:rsidR="004E31A8" w:rsidRPr="009D3012" w:rsidRDefault="004E31A8" w:rsidP="004E31A8">
            <w:pPr>
              <w:pStyle w:val="Tablebody"/>
              <w:rPr>
                <w:rStyle w:val="CCMCvariableitalic"/>
              </w:rPr>
            </w:pPr>
            <w:r w:rsidRPr="001455DC">
              <w:rPr>
                <w:rStyle w:val="CCMCvariableitalic"/>
              </w:rPr>
              <w:t>θ</w:t>
            </w:r>
            <w:r w:rsidRPr="001455DC">
              <w:rPr>
                <w:rStyle w:val="CCMCvariablesubscript"/>
              </w:rPr>
              <w:t>i</w:t>
            </w:r>
          </w:p>
        </w:tc>
        <w:tc>
          <w:tcPr>
            <w:tcW w:w="6548" w:type="dxa"/>
            <w:shd w:val="clear" w:color="auto" w:fill="auto"/>
          </w:tcPr>
          <w:p w14:paraId="48AE9D6A" w14:textId="77777777" w:rsidR="004E31A8" w:rsidRPr="001455DC" w:rsidRDefault="004E31A8" w:rsidP="000250B6">
            <w:pPr>
              <w:pStyle w:val="Tablebody"/>
              <w:jc w:val="left"/>
              <w:rPr>
                <w:lang w:eastAsia="de-DE"/>
              </w:rPr>
            </w:pPr>
            <w:r w:rsidRPr="001455DC">
              <w:rPr>
                <w:lang w:eastAsia="de-DE"/>
              </w:rPr>
              <w:t>Inclination representing a geometrical imperfection</w:t>
            </w:r>
          </w:p>
        </w:tc>
        <w:tc>
          <w:tcPr>
            <w:tcW w:w="1984" w:type="dxa"/>
          </w:tcPr>
          <w:p w14:paraId="05F75F09" w14:textId="18457CA4" w:rsidR="004E31A8" w:rsidRPr="001455DC" w:rsidRDefault="004E31A8" w:rsidP="004E31A8">
            <w:pPr>
              <w:pStyle w:val="Tablebody"/>
              <w:rPr>
                <w:lang w:eastAsia="de-DE"/>
              </w:rPr>
            </w:pPr>
            <w:r w:rsidRPr="009D3012">
              <w:rPr>
                <w:lang w:eastAsia="de-DE"/>
              </w:rPr>
              <w:t>7.2.2(2)</w:t>
            </w:r>
          </w:p>
        </w:tc>
      </w:tr>
      <w:tr w:rsidR="004E31A8" w:rsidRPr="001455DC" w14:paraId="7C564DEE" w14:textId="7E0581A8" w:rsidTr="00BE5EF4">
        <w:trPr>
          <w:cantSplit/>
        </w:trPr>
        <w:tc>
          <w:tcPr>
            <w:tcW w:w="1418" w:type="dxa"/>
            <w:shd w:val="clear" w:color="auto" w:fill="auto"/>
          </w:tcPr>
          <w:p w14:paraId="591B1A7B" w14:textId="77777777" w:rsidR="004E31A8" w:rsidRPr="009D3012" w:rsidRDefault="004E31A8" w:rsidP="004E31A8">
            <w:pPr>
              <w:pStyle w:val="Tablebody"/>
              <w:rPr>
                <w:rStyle w:val="CCMCvariableitalic"/>
              </w:rPr>
            </w:pPr>
            <w:r w:rsidRPr="001455DC">
              <w:rPr>
                <w:rStyle w:val="CCMCvariableitalic"/>
              </w:rPr>
              <w:t>θ</w:t>
            </w:r>
            <w:r w:rsidRPr="001455DC">
              <w:rPr>
                <w:rStyle w:val="CCMCvariablesubscript"/>
              </w:rPr>
              <w:t>f</w:t>
            </w:r>
          </w:p>
        </w:tc>
        <w:tc>
          <w:tcPr>
            <w:tcW w:w="6548" w:type="dxa"/>
            <w:shd w:val="clear" w:color="auto" w:fill="auto"/>
          </w:tcPr>
          <w:p w14:paraId="7FD3D318" w14:textId="77777777" w:rsidR="004E31A8" w:rsidRPr="001455DC" w:rsidRDefault="004E31A8" w:rsidP="000250B6">
            <w:pPr>
              <w:pStyle w:val="Tablebody"/>
              <w:jc w:val="left"/>
              <w:rPr>
                <w:lang w:eastAsia="de-DE"/>
              </w:rPr>
            </w:pPr>
            <w:r w:rsidRPr="001455DC">
              <w:rPr>
                <w:lang w:eastAsia="de-DE"/>
              </w:rPr>
              <w:t xml:space="preserve">Angle between the compression field in a flange and the longitudinal axis </w:t>
            </w:r>
          </w:p>
        </w:tc>
        <w:tc>
          <w:tcPr>
            <w:tcW w:w="1984" w:type="dxa"/>
          </w:tcPr>
          <w:p w14:paraId="344BFC5F" w14:textId="3CCB5EE5" w:rsidR="004E31A8" w:rsidRPr="001455DC" w:rsidRDefault="004E31A8" w:rsidP="004E31A8">
            <w:pPr>
              <w:pStyle w:val="Tablebody"/>
              <w:rPr>
                <w:lang w:eastAsia="de-DE"/>
              </w:rPr>
            </w:pPr>
            <w:r w:rsidRPr="009D3012">
              <w:rPr>
                <w:lang w:eastAsia="de-DE"/>
              </w:rPr>
              <w:t>8.2.5(3), Figure 8.13</w:t>
            </w:r>
          </w:p>
        </w:tc>
      </w:tr>
      <w:tr w:rsidR="004E31A8" w:rsidRPr="001455DC" w14:paraId="2A9F24C8" w14:textId="621DA98B" w:rsidTr="00BE5EF4">
        <w:trPr>
          <w:cantSplit/>
        </w:trPr>
        <w:tc>
          <w:tcPr>
            <w:tcW w:w="1418" w:type="dxa"/>
            <w:shd w:val="clear" w:color="auto" w:fill="auto"/>
          </w:tcPr>
          <w:p w14:paraId="15F89A60" w14:textId="77777777" w:rsidR="004E31A8" w:rsidRPr="009D3012" w:rsidRDefault="004E31A8" w:rsidP="004E31A8">
            <w:pPr>
              <w:pStyle w:val="Tablebody"/>
              <w:rPr>
                <w:rStyle w:val="CCMCvariableitalic"/>
              </w:rPr>
            </w:pPr>
            <w:r w:rsidRPr="001455DC">
              <w:rPr>
                <w:rStyle w:val="CCMCvariableitalic"/>
              </w:rPr>
              <w:t>θ</w:t>
            </w:r>
            <w:r w:rsidRPr="001455DC">
              <w:rPr>
                <w:rStyle w:val="CCMCvariablesubscript"/>
              </w:rPr>
              <w:t>min</w:t>
            </w:r>
          </w:p>
        </w:tc>
        <w:tc>
          <w:tcPr>
            <w:tcW w:w="6548" w:type="dxa"/>
            <w:shd w:val="clear" w:color="auto" w:fill="auto"/>
          </w:tcPr>
          <w:p w14:paraId="7D47128A" w14:textId="77777777" w:rsidR="004E31A8" w:rsidRPr="001455DC" w:rsidRDefault="004E31A8" w:rsidP="000250B6">
            <w:pPr>
              <w:pStyle w:val="Tablebody"/>
              <w:jc w:val="left"/>
              <w:rPr>
                <w:lang w:eastAsia="de-DE"/>
              </w:rPr>
            </w:pPr>
            <w:r w:rsidRPr="001455DC">
              <w:rPr>
                <w:lang w:eastAsia="de-DE"/>
              </w:rPr>
              <w:t xml:space="preserve">Minimum allowed value of </w:t>
            </w:r>
            <w:r w:rsidRPr="001455DC">
              <w:rPr>
                <w:rStyle w:val="CCMCvariableitalic"/>
              </w:rPr>
              <w:t>θ</w:t>
            </w:r>
          </w:p>
        </w:tc>
        <w:tc>
          <w:tcPr>
            <w:tcW w:w="1984" w:type="dxa"/>
          </w:tcPr>
          <w:p w14:paraId="26FE1BF4" w14:textId="61043D53" w:rsidR="004E31A8" w:rsidRPr="001455DC" w:rsidRDefault="004E31A8" w:rsidP="004E31A8">
            <w:pPr>
              <w:pStyle w:val="Tablebody"/>
              <w:rPr>
                <w:lang w:eastAsia="de-DE"/>
              </w:rPr>
            </w:pPr>
            <w:r w:rsidRPr="009D3012">
              <w:rPr>
                <w:lang w:eastAsia="de-DE"/>
              </w:rPr>
              <w:t>8.2.3(2)</w:t>
            </w:r>
          </w:p>
        </w:tc>
      </w:tr>
      <w:tr w:rsidR="004E31A8" w:rsidRPr="001455DC" w14:paraId="05ED9425" w14:textId="7D832D0A" w:rsidTr="00BE5EF4">
        <w:trPr>
          <w:cantSplit/>
        </w:trPr>
        <w:tc>
          <w:tcPr>
            <w:tcW w:w="1418" w:type="dxa"/>
            <w:shd w:val="clear" w:color="auto" w:fill="auto"/>
          </w:tcPr>
          <w:p w14:paraId="3652CED2" w14:textId="77777777" w:rsidR="004E31A8" w:rsidRPr="009D3012" w:rsidRDefault="004E31A8" w:rsidP="004E31A8">
            <w:pPr>
              <w:pStyle w:val="Tablebody"/>
              <w:rPr>
                <w:rStyle w:val="CCMCvariableitalic"/>
              </w:rPr>
            </w:pPr>
            <w:r w:rsidRPr="001455DC">
              <w:rPr>
                <w:rStyle w:val="CCMCvariableitalic"/>
              </w:rPr>
              <w:t>θ</w:t>
            </w:r>
            <w:r w:rsidRPr="001455DC">
              <w:rPr>
                <w:rStyle w:val="CCMCvariablesubscript"/>
              </w:rPr>
              <w:t>pl,d</w:t>
            </w:r>
          </w:p>
        </w:tc>
        <w:tc>
          <w:tcPr>
            <w:tcW w:w="6548" w:type="dxa"/>
            <w:shd w:val="clear" w:color="auto" w:fill="auto"/>
          </w:tcPr>
          <w:p w14:paraId="21D510AD" w14:textId="77777777" w:rsidR="004E31A8" w:rsidRPr="001455DC" w:rsidRDefault="004E31A8" w:rsidP="000250B6">
            <w:pPr>
              <w:pStyle w:val="Tablebody"/>
              <w:jc w:val="left"/>
              <w:rPr>
                <w:lang w:eastAsia="de-DE"/>
              </w:rPr>
            </w:pPr>
            <w:r w:rsidRPr="001455DC">
              <w:rPr>
                <w:lang w:eastAsia="de-DE"/>
              </w:rPr>
              <w:t>Basic value of allowable rotation</w:t>
            </w:r>
          </w:p>
        </w:tc>
        <w:tc>
          <w:tcPr>
            <w:tcW w:w="1984" w:type="dxa"/>
          </w:tcPr>
          <w:p w14:paraId="2C63CAD3" w14:textId="7AB17396" w:rsidR="004E31A8" w:rsidRPr="001455DC" w:rsidRDefault="004E31A8" w:rsidP="004E31A8">
            <w:pPr>
              <w:pStyle w:val="Tablebody"/>
              <w:rPr>
                <w:lang w:eastAsia="de-DE"/>
              </w:rPr>
            </w:pPr>
            <w:r w:rsidRPr="009D3012">
              <w:rPr>
                <w:lang w:eastAsia="de-DE"/>
              </w:rPr>
              <w:t xml:space="preserve">7.6.3(1), 7.6.3(4) </w:t>
            </w:r>
          </w:p>
        </w:tc>
      </w:tr>
      <w:tr w:rsidR="004E31A8" w:rsidRPr="001455DC" w14:paraId="14780626" w14:textId="0B68D39A" w:rsidTr="00BE5EF4">
        <w:trPr>
          <w:cantSplit/>
        </w:trPr>
        <w:tc>
          <w:tcPr>
            <w:tcW w:w="1418" w:type="dxa"/>
            <w:shd w:val="clear" w:color="auto" w:fill="auto"/>
          </w:tcPr>
          <w:p w14:paraId="0658F403" w14:textId="77777777" w:rsidR="004E31A8" w:rsidRPr="009D3012" w:rsidRDefault="004E31A8" w:rsidP="004E31A8">
            <w:pPr>
              <w:pStyle w:val="Tablebody"/>
              <w:rPr>
                <w:rStyle w:val="CCMCvariableitalic"/>
              </w:rPr>
            </w:pPr>
            <w:r w:rsidRPr="001455DC">
              <w:rPr>
                <w:rStyle w:val="CCMCvariableitalic"/>
              </w:rPr>
              <w:t>θ</w:t>
            </w:r>
            <w:r w:rsidRPr="001455DC">
              <w:rPr>
                <w:rStyle w:val="CCMCvariablesubscript"/>
              </w:rPr>
              <w:t>s</w:t>
            </w:r>
          </w:p>
        </w:tc>
        <w:tc>
          <w:tcPr>
            <w:tcW w:w="6548" w:type="dxa"/>
            <w:shd w:val="clear" w:color="auto" w:fill="auto"/>
          </w:tcPr>
          <w:p w14:paraId="1D95BCC8" w14:textId="77777777" w:rsidR="004E31A8" w:rsidRPr="001455DC" w:rsidRDefault="004E31A8" w:rsidP="000250B6">
            <w:pPr>
              <w:pStyle w:val="Tablebody"/>
              <w:jc w:val="left"/>
              <w:rPr>
                <w:lang w:eastAsia="de-DE"/>
              </w:rPr>
            </w:pPr>
            <w:r w:rsidRPr="001455DC">
              <w:rPr>
                <w:lang w:eastAsia="de-DE"/>
              </w:rPr>
              <w:t>Calculated rotation</w:t>
            </w:r>
          </w:p>
        </w:tc>
        <w:tc>
          <w:tcPr>
            <w:tcW w:w="1984" w:type="dxa"/>
          </w:tcPr>
          <w:p w14:paraId="4F8A7158" w14:textId="04AC4AEA" w:rsidR="004E31A8" w:rsidRPr="001455DC" w:rsidRDefault="004E31A8" w:rsidP="004E31A8">
            <w:pPr>
              <w:pStyle w:val="Tablebody"/>
              <w:rPr>
                <w:lang w:eastAsia="de-DE"/>
              </w:rPr>
            </w:pPr>
            <w:r w:rsidRPr="009D3012">
              <w:rPr>
                <w:lang w:eastAsia="de-DE"/>
              </w:rPr>
              <w:t>7.6.3(1), 7.6.3(3)</w:t>
            </w:r>
          </w:p>
        </w:tc>
      </w:tr>
      <w:tr w:rsidR="004E31A8" w:rsidRPr="001455DC" w14:paraId="7B243A2E" w14:textId="0D2B11DE" w:rsidTr="00BE5EF4">
        <w:trPr>
          <w:cantSplit/>
        </w:trPr>
        <w:tc>
          <w:tcPr>
            <w:tcW w:w="1418" w:type="dxa"/>
            <w:shd w:val="clear" w:color="auto" w:fill="auto"/>
          </w:tcPr>
          <w:p w14:paraId="5B9089D7" w14:textId="77777777" w:rsidR="004E31A8" w:rsidRPr="009D3012" w:rsidRDefault="004E31A8" w:rsidP="004E31A8">
            <w:pPr>
              <w:pStyle w:val="Tablebody"/>
              <w:rPr>
                <w:rStyle w:val="CCMCvariableitalic"/>
              </w:rPr>
            </w:pPr>
            <w:r w:rsidRPr="001455DC">
              <w:rPr>
                <w:rStyle w:val="CCMCvariableitalic"/>
              </w:rPr>
              <w:t>λ</w:t>
            </w:r>
          </w:p>
        </w:tc>
        <w:tc>
          <w:tcPr>
            <w:tcW w:w="6548" w:type="dxa"/>
            <w:shd w:val="clear" w:color="auto" w:fill="auto"/>
          </w:tcPr>
          <w:p w14:paraId="5304D31F" w14:textId="77777777" w:rsidR="004E31A8" w:rsidRPr="001455DC" w:rsidRDefault="004E31A8" w:rsidP="000250B6">
            <w:pPr>
              <w:pStyle w:val="Tablebody"/>
              <w:jc w:val="left"/>
              <w:rPr>
                <w:lang w:eastAsia="de-DE"/>
              </w:rPr>
            </w:pPr>
            <w:r w:rsidRPr="001455DC">
              <w:rPr>
                <w:lang w:eastAsia="de-DE"/>
              </w:rPr>
              <w:t xml:space="preserve">Slenderness ratio </w:t>
            </w:r>
            <w:r w:rsidRPr="001455DC">
              <w:rPr>
                <w:rStyle w:val="CCMCvariableitalic"/>
              </w:rPr>
              <w:t>l</w:t>
            </w:r>
            <w:r w:rsidRPr="001455DC">
              <w:rPr>
                <w:rStyle w:val="CCMCvariablesubscript"/>
              </w:rPr>
              <w:t>0</w:t>
            </w:r>
            <w:r w:rsidRPr="001455DC">
              <w:rPr>
                <w:lang w:eastAsia="de-DE"/>
              </w:rPr>
              <w:t>/</w:t>
            </w:r>
            <w:r w:rsidRPr="001455DC">
              <w:rPr>
                <w:rStyle w:val="CCMCvariableitalic"/>
              </w:rPr>
              <w:t>i</w:t>
            </w:r>
          </w:p>
        </w:tc>
        <w:tc>
          <w:tcPr>
            <w:tcW w:w="1984" w:type="dxa"/>
          </w:tcPr>
          <w:p w14:paraId="48591D68" w14:textId="60C2AB94" w:rsidR="004E31A8" w:rsidRPr="001455DC" w:rsidRDefault="004E31A8" w:rsidP="004E31A8">
            <w:pPr>
              <w:pStyle w:val="Tablebody"/>
              <w:rPr>
                <w:lang w:eastAsia="de-DE"/>
              </w:rPr>
            </w:pPr>
            <w:r w:rsidRPr="009D3012">
              <w:rPr>
                <w:lang w:eastAsia="de-DE"/>
              </w:rPr>
              <w:t>14.4.5.1(1), O.7.3(4)</w:t>
            </w:r>
          </w:p>
        </w:tc>
      </w:tr>
      <w:tr w:rsidR="004E31A8" w:rsidRPr="001455DC" w14:paraId="0EFE0032" w14:textId="1DC9FB9F" w:rsidTr="00BE5EF4">
        <w:trPr>
          <w:cantSplit/>
        </w:trPr>
        <w:tc>
          <w:tcPr>
            <w:tcW w:w="1418" w:type="dxa"/>
            <w:shd w:val="clear" w:color="auto" w:fill="auto"/>
          </w:tcPr>
          <w:p w14:paraId="37D8E275" w14:textId="77777777" w:rsidR="004E31A8" w:rsidRPr="009D3012" w:rsidRDefault="004E31A8" w:rsidP="004E31A8">
            <w:pPr>
              <w:pStyle w:val="Tablebody"/>
              <w:rPr>
                <w:rStyle w:val="CCMCvariableitalic"/>
              </w:rPr>
            </w:pPr>
            <w:r w:rsidRPr="001455DC">
              <w:rPr>
                <w:rStyle w:val="CCMCvariableitalic"/>
              </w:rPr>
              <w:t>λ</w:t>
            </w:r>
            <w:r w:rsidRPr="001455DC">
              <w:rPr>
                <w:rStyle w:val="CCMCvariablesubscript"/>
              </w:rPr>
              <w:t>lim</w:t>
            </w:r>
          </w:p>
        </w:tc>
        <w:tc>
          <w:tcPr>
            <w:tcW w:w="6548" w:type="dxa"/>
            <w:shd w:val="clear" w:color="auto" w:fill="auto"/>
          </w:tcPr>
          <w:p w14:paraId="16748423" w14:textId="77777777" w:rsidR="004E31A8" w:rsidRPr="001455DC" w:rsidRDefault="004E31A8" w:rsidP="000250B6">
            <w:pPr>
              <w:pStyle w:val="Tablebody"/>
              <w:jc w:val="left"/>
              <w:rPr>
                <w:lang w:eastAsia="de-DE"/>
              </w:rPr>
            </w:pPr>
            <w:r w:rsidRPr="001455DC">
              <w:rPr>
                <w:lang w:eastAsia="de-DE"/>
              </w:rPr>
              <w:t>Limiting slenderness for isolated members below which second order effects may be neglected</w:t>
            </w:r>
          </w:p>
        </w:tc>
        <w:tc>
          <w:tcPr>
            <w:tcW w:w="1984" w:type="dxa"/>
          </w:tcPr>
          <w:p w14:paraId="68C6B842" w14:textId="273D2BED" w:rsidR="004E31A8" w:rsidRPr="001455DC" w:rsidRDefault="004E31A8" w:rsidP="004E31A8">
            <w:pPr>
              <w:pStyle w:val="Tablebody"/>
              <w:rPr>
                <w:lang w:eastAsia="de-DE"/>
              </w:rPr>
            </w:pPr>
            <w:r w:rsidRPr="009D3012">
              <w:rPr>
                <w:lang w:eastAsia="de-DE"/>
              </w:rPr>
              <w:t>O.6(1)</w:t>
            </w:r>
          </w:p>
        </w:tc>
      </w:tr>
      <w:tr w:rsidR="004E31A8" w:rsidRPr="001455DC" w14:paraId="7BCCB8EA" w14:textId="2A97B058" w:rsidTr="00BE5EF4">
        <w:trPr>
          <w:cantSplit/>
        </w:trPr>
        <w:tc>
          <w:tcPr>
            <w:tcW w:w="1418" w:type="dxa"/>
            <w:shd w:val="clear" w:color="auto" w:fill="auto"/>
          </w:tcPr>
          <w:p w14:paraId="415A2A99" w14:textId="77777777" w:rsidR="004E31A8" w:rsidRPr="009D3012" w:rsidRDefault="004E31A8" w:rsidP="004E31A8">
            <w:pPr>
              <w:pStyle w:val="Tablebody"/>
              <w:rPr>
                <w:rStyle w:val="CCMCvariableitalic"/>
              </w:rPr>
            </w:pPr>
            <w:r w:rsidRPr="001455DC">
              <w:rPr>
                <w:rStyle w:val="CCMCvariableitalic"/>
              </w:rPr>
              <w:t>λ</w:t>
            </w:r>
            <w:r w:rsidRPr="001455DC">
              <w:rPr>
                <w:rStyle w:val="CCMCvariablesubscript"/>
              </w:rPr>
              <w:t>lim,simpl</w:t>
            </w:r>
          </w:p>
        </w:tc>
        <w:tc>
          <w:tcPr>
            <w:tcW w:w="6548" w:type="dxa"/>
            <w:shd w:val="clear" w:color="auto" w:fill="auto"/>
          </w:tcPr>
          <w:p w14:paraId="3B20FE68" w14:textId="77777777" w:rsidR="004E31A8" w:rsidRPr="001455DC" w:rsidRDefault="004E31A8" w:rsidP="000250B6">
            <w:pPr>
              <w:pStyle w:val="Tablebody"/>
              <w:jc w:val="left"/>
              <w:rPr>
                <w:lang w:eastAsia="de-DE"/>
              </w:rPr>
            </w:pPr>
            <w:r w:rsidRPr="001455DC">
              <w:rPr>
                <w:lang w:eastAsia="de-DE"/>
              </w:rPr>
              <w:t xml:space="preserve">Simplified conservative value for </w:t>
            </w:r>
            <w:r w:rsidRPr="001455DC">
              <w:rPr>
                <w:rStyle w:val="CCMCvariableitalic"/>
              </w:rPr>
              <w:t>λ</w:t>
            </w:r>
            <w:r w:rsidRPr="001455DC">
              <w:rPr>
                <w:rStyle w:val="CCMCvariablesubscript"/>
              </w:rPr>
              <w:t>lim</w:t>
            </w:r>
          </w:p>
        </w:tc>
        <w:tc>
          <w:tcPr>
            <w:tcW w:w="1984" w:type="dxa"/>
          </w:tcPr>
          <w:p w14:paraId="1854D6D2" w14:textId="70CAF0CC" w:rsidR="004E31A8" w:rsidRPr="001455DC" w:rsidRDefault="004E31A8" w:rsidP="004E31A8">
            <w:pPr>
              <w:pStyle w:val="Tablebody"/>
              <w:rPr>
                <w:lang w:eastAsia="de-DE"/>
              </w:rPr>
            </w:pPr>
            <w:r w:rsidRPr="009D3012">
              <w:rPr>
                <w:lang w:eastAsia="de-DE"/>
              </w:rPr>
              <w:t>O.6(1)</w:t>
            </w:r>
          </w:p>
        </w:tc>
      </w:tr>
      <w:tr w:rsidR="004E31A8" w:rsidRPr="001455DC" w14:paraId="66418871" w14:textId="09C1E845" w:rsidTr="00BE5EF4">
        <w:trPr>
          <w:cantSplit/>
        </w:trPr>
        <w:tc>
          <w:tcPr>
            <w:tcW w:w="1418" w:type="dxa"/>
            <w:shd w:val="clear" w:color="auto" w:fill="auto"/>
          </w:tcPr>
          <w:p w14:paraId="77DEE0BD" w14:textId="77777777" w:rsidR="004E31A8" w:rsidRPr="009D3012" w:rsidRDefault="004E31A8" w:rsidP="004E31A8">
            <w:pPr>
              <w:pStyle w:val="Tablebody"/>
              <w:rPr>
                <w:rStyle w:val="CCMCvariableitalic"/>
              </w:rPr>
            </w:pPr>
            <w:r w:rsidRPr="001455DC">
              <w:rPr>
                <w:rStyle w:val="CCMCvariableitalic"/>
              </w:rPr>
              <w:t>λ</w:t>
            </w:r>
            <w:r w:rsidRPr="001455DC">
              <w:rPr>
                <w:rStyle w:val="CCMCvariablesubscript"/>
              </w:rPr>
              <w:t>V</w:t>
            </w:r>
          </w:p>
        </w:tc>
        <w:tc>
          <w:tcPr>
            <w:tcW w:w="6548" w:type="dxa"/>
            <w:shd w:val="clear" w:color="auto" w:fill="auto"/>
          </w:tcPr>
          <w:p w14:paraId="3C60BD0E" w14:textId="77777777" w:rsidR="004E31A8" w:rsidRPr="001455DC" w:rsidRDefault="004E31A8" w:rsidP="000250B6">
            <w:pPr>
              <w:pStyle w:val="Tablebody"/>
              <w:jc w:val="left"/>
              <w:rPr>
                <w:lang w:eastAsia="de-DE"/>
              </w:rPr>
            </w:pPr>
            <w:r w:rsidRPr="001455DC">
              <w:rPr>
                <w:lang w:eastAsia="de-DE"/>
              </w:rPr>
              <w:t>Shear slenderness</w:t>
            </w:r>
          </w:p>
        </w:tc>
        <w:tc>
          <w:tcPr>
            <w:tcW w:w="1984" w:type="dxa"/>
          </w:tcPr>
          <w:p w14:paraId="6EF85875" w14:textId="3484A9D0" w:rsidR="004E31A8" w:rsidRPr="001455DC" w:rsidRDefault="004E31A8" w:rsidP="004E31A8">
            <w:pPr>
              <w:pStyle w:val="Tablebody"/>
              <w:rPr>
                <w:lang w:eastAsia="de-DE"/>
              </w:rPr>
            </w:pPr>
            <w:r w:rsidRPr="009D3012">
              <w:rPr>
                <w:lang w:eastAsia="de-DE"/>
              </w:rPr>
              <w:t>7.6.3(4)</w:t>
            </w:r>
          </w:p>
        </w:tc>
      </w:tr>
      <w:tr w:rsidR="004E31A8" w:rsidRPr="001455DC" w14:paraId="5E1BFA95" w14:textId="486685F3" w:rsidTr="00BE5EF4">
        <w:trPr>
          <w:cantSplit/>
        </w:trPr>
        <w:tc>
          <w:tcPr>
            <w:tcW w:w="1418" w:type="dxa"/>
            <w:shd w:val="clear" w:color="auto" w:fill="auto"/>
          </w:tcPr>
          <w:p w14:paraId="7B1C4664" w14:textId="77777777" w:rsidR="004E31A8" w:rsidRPr="009D3012" w:rsidRDefault="004E31A8" w:rsidP="004E31A8">
            <w:pPr>
              <w:pStyle w:val="Tablebody"/>
              <w:rPr>
                <w:rStyle w:val="CCMCvariableitalic"/>
              </w:rPr>
            </w:pPr>
            <w:r w:rsidRPr="001455DC">
              <w:rPr>
                <w:rStyle w:val="CCMCvariableitalic"/>
              </w:rPr>
              <w:t>λ</w:t>
            </w:r>
            <w:r w:rsidRPr="001455DC">
              <w:rPr>
                <w:rStyle w:val="CCMCvariablesubscript"/>
              </w:rPr>
              <w:t>y</w:t>
            </w:r>
          </w:p>
        </w:tc>
        <w:tc>
          <w:tcPr>
            <w:tcW w:w="6548" w:type="dxa"/>
            <w:shd w:val="clear" w:color="auto" w:fill="auto"/>
          </w:tcPr>
          <w:p w14:paraId="06C56763" w14:textId="77777777" w:rsidR="004E31A8" w:rsidRPr="001455DC" w:rsidRDefault="004E31A8" w:rsidP="000250B6">
            <w:pPr>
              <w:pStyle w:val="Tablebody"/>
              <w:jc w:val="left"/>
              <w:rPr>
                <w:lang w:eastAsia="de-DE"/>
              </w:rPr>
            </w:pPr>
            <w:r w:rsidRPr="001455DC">
              <w:rPr>
                <w:lang w:eastAsia="de-DE"/>
              </w:rPr>
              <w:t xml:space="preserve">Slenderness ratio, </w:t>
            </w:r>
            <w:r w:rsidRPr="001455DC">
              <w:rPr>
                <w:rStyle w:val="CCMCvariableitalic"/>
              </w:rPr>
              <w:t>l</w:t>
            </w:r>
            <w:r w:rsidRPr="001455DC">
              <w:rPr>
                <w:rStyle w:val="CCMCvariablesubscript"/>
              </w:rPr>
              <w:t>0</w:t>
            </w:r>
            <w:r w:rsidRPr="001455DC">
              <w:rPr>
                <w:lang w:eastAsia="de-DE"/>
              </w:rPr>
              <w:t>/</w:t>
            </w:r>
            <w:r w:rsidRPr="001455DC">
              <w:rPr>
                <w:rStyle w:val="CCMCvariableitalic"/>
              </w:rPr>
              <w:t>i</w:t>
            </w:r>
            <w:r w:rsidRPr="001455DC">
              <w:rPr>
                <w:rStyle w:val="CCMCvariablesubscript"/>
              </w:rPr>
              <w:t>y</w:t>
            </w:r>
            <w:r w:rsidRPr="001455DC">
              <w:rPr>
                <w:lang w:eastAsia="de-DE"/>
              </w:rPr>
              <w:t xml:space="preserve"> with respect to the </w:t>
            </w:r>
            <w:r w:rsidRPr="001455DC">
              <w:rPr>
                <w:rStyle w:val="CCMCvariableitalic"/>
              </w:rPr>
              <w:t>y</w:t>
            </w:r>
            <w:r w:rsidRPr="001455DC">
              <w:rPr>
                <w:lang w:eastAsia="de-DE"/>
              </w:rPr>
              <w:t>-axis</w:t>
            </w:r>
          </w:p>
        </w:tc>
        <w:tc>
          <w:tcPr>
            <w:tcW w:w="1984" w:type="dxa"/>
          </w:tcPr>
          <w:p w14:paraId="202DA873" w14:textId="60735306" w:rsidR="004E31A8" w:rsidRPr="001455DC" w:rsidRDefault="004E31A8" w:rsidP="004E31A8">
            <w:pPr>
              <w:pStyle w:val="Tablebody"/>
              <w:rPr>
                <w:lang w:eastAsia="de-DE"/>
              </w:rPr>
            </w:pPr>
            <w:r w:rsidRPr="009D3012">
              <w:rPr>
                <w:lang w:eastAsia="de-DE"/>
              </w:rPr>
              <w:t>7.8.4(4)</w:t>
            </w:r>
          </w:p>
        </w:tc>
      </w:tr>
      <w:tr w:rsidR="004E31A8" w:rsidRPr="001455DC" w14:paraId="5745FA82" w14:textId="12A41035" w:rsidTr="00BE5EF4">
        <w:trPr>
          <w:cantSplit/>
        </w:trPr>
        <w:tc>
          <w:tcPr>
            <w:tcW w:w="1418" w:type="dxa"/>
            <w:shd w:val="clear" w:color="auto" w:fill="auto"/>
          </w:tcPr>
          <w:p w14:paraId="72691A1D" w14:textId="77777777" w:rsidR="004E31A8" w:rsidRPr="009D3012" w:rsidRDefault="004E31A8" w:rsidP="004E31A8">
            <w:pPr>
              <w:pStyle w:val="Tablebody"/>
              <w:rPr>
                <w:rStyle w:val="CCMCvariableitalic"/>
              </w:rPr>
            </w:pPr>
            <w:r w:rsidRPr="001455DC">
              <w:rPr>
                <w:rStyle w:val="CCMCvariableitalic"/>
              </w:rPr>
              <w:t>λ</w:t>
            </w:r>
            <w:r w:rsidRPr="001455DC">
              <w:rPr>
                <w:rStyle w:val="CCMCvariablesubscript"/>
              </w:rPr>
              <w:t>z</w:t>
            </w:r>
          </w:p>
        </w:tc>
        <w:tc>
          <w:tcPr>
            <w:tcW w:w="6548" w:type="dxa"/>
            <w:shd w:val="clear" w:color="auto" w:fill="auto"/>
          </w:tcPr>
          <w:p w14:paraId="451BD1A2" w14:textId="77777777" w:rsidR="004E31A8" w:rsidRPr="001455DC" w:rsidRDefault="004E31A8" w:rsidP="000250B6">
            <w:pPr>
              <w:pStyle w:val="Tablebody"/>
              <w:jc w:val="left"/>
              <w:rPr>
                <w:lang w:eastAsia="de-DE"/>
              </w:rPr>
            </w:pPr>
            <w:r w:rsidRPr="001455DC">
              <w:rPr>
                <w:lang w:eastAsia="de-DE"/>
              </w:rPr>
              <w:t xml:space="preserve">Slenderness ratio, </w:t>
            </w:r>
            <w:r w:rsidRPr="001455DC">
              <w:rPr>
                <w:rStyle w:val="CCMCvariableitalic"/>
              </w:rPr>
              <w:t>l</w:t>
            </w:r>
            <w:r w:rsidRPr="001455DC">
              <w:rPr>
                <w:rStyle w:val="CCMCvariablesubscript"/>
              </w:rPr>
              <w:t>0</w:t>
            </w:r>
            <w:r w:rsidRPr="001455DC">
              <w:rPr>
                <w:lang w:eastAsia="de-DE"/>
              </w:rPr>
              <w:t>/</w:t>
            </w:r>
            <w:r w:rsidRPr="001455DC">
              <w:rPr>
                <w:rStyle w:val="CCMCvariableitalic"/>
              </w:rPr>
              <w:t>i</w:t>
            </w:r>
            <w:r w:rsidRPr="001455DC">
              <w:rPr>
                <w:rStyle w:val="CCMCvariablesubscript"/>
              </w:rPr>
              <w:t>z</w:t>
            </w:r>
            <w:r w:rsidRPr="001455DC">
              <w:rPr>
                <w:lang w:eastAsia="de-DE"/>
              </w:rPr>
              <w:t xml:space="preserve"> with respect to the </w:t>
            </w:r>
            <w:r w:rsidRPr="001455DC">
              <w:rPr>
                <w:rStyle w:val="CCMCvariableitalic"/>
              </w:rPr>
              <w:t>z</w:t>
            </w:r>
            <w:r w:rsidRPr="001455DC">
              <w:rPr>
                <w:lang w:eastAsia="de-DE"/>
              </w:rPr>
              <w:t>-axis</w:t>
            </w:r>
          </w:p>
        </w:tc>
        <w:tc>
          <w:tcPr>
            <w:tcW w:w="1984" w:type="dxa"/>
          </w:tcPr>
          <w:p w14:paraId="3B0E7F38" w14:textId="4344EB71" w:rsidR="004E31A8" w:rsidRPr="001455DC" w:rsidRDefault="004E31A8" w:rsidP="004E31A8">
            <w:pPr>
              <w:pStyle w:val="Tablebody"/>
              <w:rPr>
                <w:lang w:eastAsia="de-DE"/>
              </w:rPr>
            </w:pPr>
            <w:r w:rsidRPr="009D3012">
              <w:rPr>
                <w:lang w:eastAsia="de-DE"/>
              </w:rPr>
              <w:t>7.8.4(4)</w:t>
            </w:r>
          </w:p>
        </w:tc>
      </w:tr>
      <w:tr w:rsidR="004E31A8" w:rsidRPr="001455DC" w14:paraId="0DD09427" w14:textId="36336980" w:rsidTr="00BE5EF4">
        <w:trPr>
          <w:cantSplit/>
        </w:trPr>
        <w:tc>
          <w:tcPr>
            <w:tcW w:w="1418" w:type="dxa"/>
            <w:shd w:val="clear" w:color="auto" w:fill="auto"/>
          </w:tcPr>
          <w:p w14:paraId="32A83215" w14:textId="77777777" w:rsidR="004E31A8" w:rsidRPr="009D3012" w:rsidRDefault="004E31A8" w:rsidP="004E31A8">
            <w:pPr>
              <w:pStyle w:val="Tablebody"/>
              <w:rPr>
                <w:rStyle w:val="CCMCvariableitalic"/>
              </w:rPr>
            </w:pPr>
            <w:r w:rsidRPr="001455DC">
              <w:rPr>
                <w:rStyle w:val="CCMCvariableitalic"/>
              </w:rPr>
              <w:t>μ</w:t>
            </w:r>
          </w:p>
        </w:tc>
        <w:tc>
          <w:tcPr>
            <w:tcW w:w="6548" w:type="dxa"/>
            <w:shd w:val="clear" w:color="auto" w:fill="auto"/>
          </w:tcPr>
          <w:p w14:paraId="799615D5" w14:textId="77777777" w:rsidR="004E31A8" w:rsidRPr="001455DC" w:rsidRDefault="004E31A8" w:rsidP="000250B6">
            <w:pPr>
              <w:pStyle w:val="Tablebody"/>
              <w:jc w:val="left"/>
              <w:rPr>
                <w:lang w:eastAsia="de-DE"/>
              </w:rPr>
            </w:pPr>
            <w:r w:rsidRPr="001455DC">
              <w:rPr>
                <w:lang w:eastAsia="de-DE"/>
              </w:rPr>
              <w:t>Coefficient of friction between the tendons and their ducts</w:t>
            </w:r>
          </w:p>
        </w:tc>
        <w:tc>
          <w:tcPr>
            <w:tcW w:w="1984" w:type="dxa"/>
          </w:tcPr>
          <w:p w14:paraId="6D632B63" w14:textId="460914DC" w:rsidR="004E31A8" w:rsidRPr="001455DC" w:rsidRDefault="004E31A8" w:rsidP="004E31A8">
            <w:pPr>
              <w:pStyle w:val="Tablebody"/>
              <w:rPr>
                <w:lang w:eastAsia="de-DE"/>
              </w:rPr>
            </w:pPr>
            <w:r w:rsidRPr="009D3012">
              <w:rPr>
                <w:lang w:eastAsia="de-DE"/>
              </w:rPr>
              <w:t>7.10.3.1(1)</w:t>
            </w:r>
          </w:p>
        </w:tc>
      </w:tr>
      <w:tr w:rsidR="004E31A8" w:rsidRPr="001455DC" w14:paraId="30FF06FE" w14:textId="108477A5" w:rsidTr="00BE5EF4">
        <w:trPr>
          <w:cantSplit/>
        </w:trPr>
        <w:tc>
          <w:tcPr>
            <w:tcW w:w="1418" w:type="dxa"/>
            <w:shd w:val="clear" w:color="auto" w:fill="auto"/>
          </w:tcPr>
          <w:p w14:paraId="15D054BE" w14:textId="77777777" w:rsidR="004E31A8" w:rsidRPr="009D3012" w:rsidRDefault="004E31A8" w:rsidP="004E31A8">
            <w:pPr>
              <w:pStyle w:val="Tablebody"/>
              <w:rPr>
                <w:rStyle w:val="CCMCvariableitalic"/>
              </w:rPr>
            </w:pPr>
            <w:r w:rsidRPr="001455DC">
              <w:rPr>
                <w:rStyle w:val="CCMCvariableitalic"/>
              </w:rPr>
              <w:t>μ</w:t>
            </w:r>
            <w:r w:rsidRPr="001455DC">
              <w:rPr>
                <w:rStyle w:val="CCMCvariablesubscript"/>
              </w:rPr>
              <w:t>p</w:t>
            </w:r>
          </w:p>
        </w:tc>
        <w:tc>
          <w:tcPr>
            <w:tcW w:w="6548" w:type="dxa"/>
            <w:shd w:val="clear" w:color="auto" w:fill="auto"/>
          </w:tcPr>
          <w:p w14:paraId="744FB5D1" w14:textId="77777777" w:rsidR="004E31A8" w:rsidRPr="001455DC" w:rsidRDefault="004E31A8" w:rsidP="000250B6">
            <w:pPr>
              <w:pStyle w:val="Tablebody"/>
              <w:jc w:val="left"/>
              <w:rPr>
                <w:lang w:eastAsia="de-DE"/>
              </w:rPr>
            </w:pPr>
            <w:r w:rsidRPr="001455DC">
              <w:rPr>
                <w:lang w:eastAsia="de-DE"/>
              </w:rPr>
              <w:t>Coefficient accounting for the shear force gradient and bending moments in the region of the control perimeter around a support area</w:t>
            </w:r>
          </w:p>
        </w:tc>
        <w:tc>
          <w:tcPr>
            <w:tcW w:w="1984" w:type="dxa"/>
          </w:tcPr>
          <w:p w14:paraId="44EEA006" w14:textId="65720859" w:rsidR="004E31A8" w:rsidRPr="001455DC" w:rsidRDefault="004E31A8" w:rsidP="004E31A8">
            <w:pPr>
              <w:pStyle w:val="Tablebody"/>
              <w:rPr>
                <w:lang w:eastAsia="de-DE"/>
              </w:rPr>
            </w:pPr>
            <w:r w:rsidRPr="009D3012">
              <w:rPr>
                <w:lang w:eastAsia="de-DE"/>
              </w:rPr>
              <w:t>8.4.3(1)</w:t>
            </w:r>
          </w:p>
        </w:tc>
      </w:tr>
      <w:tr w:rsidR="004E31A8" w:rsidRPr="001455DC" w14:paraId="3A490C4A" w14:textId="117DF108" w:rsidTr="00BE5EF4">
        <w:trPr>
          <w:cantSplit/>
        </w:trPr>
        <w:tc>
          <w:tcPr>
            <w:tcW w:w="1418" w:type="dxa"/>
            <w:shd w:val="clear" w:color="auto" w:fill="auto"/>
          </w:tcPr>
          <w:p w14:paraId="42BBFFB0" w14:textId="77777777" w:rsidR="004E31A8" w:rsidRPr="009D3012" w:rsidRDefault="004E31A8" w:rsidP="004E31A8">
            <w:pPr>
              <w:pStyle w:val="Tablebody"/>
              <w:rPr>
                <w:rStyle w:val="CCMCvariableitalic"/>
              </w:rPr>
            </w:pPr>
            <w:r w:rsidRPr="001455DC">
              <w:rPr>
                <w:rStyle w:val="CCMCvariableitalic"/>
              </w:rPr>
              <w:t>μ</w:t>
            </w:r>
            <w:r w:rsidRPr="001455DC">
              <w:rPr>
                <w:rStyle w:val="CCMCvariablesubscript"/>
              </w:rPr>
              <w:t>v</w:t>
            </w:r>
          </w:p>
        </w:tc>
        <w:tc>
          <w:tcPr>
            <w:tcW w:w="6548" w:type="dxa"/>
            <w:shd w:val="clear" w:color="auto" w:fill="auto"/>
          </w:tcPr>
          <w:p w14:paraId="414CCC5E" w14:textId="77777777" w:rsidR="004E31A8" w:rsidRPr="001455DC" w:rsidRDefault="004E31A8" w:rsidP="000250B6">
            <w:pPr>
              <w:pStyle w:val="Tablebody"/>
              <w:jc w:val="left"/>
              <w:rPr>
                <w:lang w:eastAsia="de-DE"/>
              </w:rPr>
            </w:pPr>
            <w:r w:rsidRPr="001455DC">
              <w:rPr>
                <w:lang w:eastAsia="de-DE"/>
              </w:rPr>
              <w:t>Coefficient of friction at concrete interfaces</w:t>
            </w:r>
          </w:p>
        </w:tc>
        <w:tc>
          <w:tcPr>
            <w:tcW w:w="1984" w:type="dxa"/>
          </w:tcPr>
          <w:p w14:paraId="27947422" w14:textId="62B722A9" w:rsidR="004E31A8" w:rsidRPr="001455DC" w:rsidRDefault="004E31A8" w:rsidP="004E31A8">
            <w:pPr>
              <w:pStyle w:val="Tablebody"/>
              <w:rPr>
                <w:lang w:eastAsia="de-DE"/>
              </w:rPr>
            </w:pPr>
            <w:r w:rsidRPr="009D3012">
              <w:rPr>
                <w:lang w:eastAsia="de-DE"/>
              </w:rPr>
              <w:t>8.2.6</w:t>
            </w:r>
          </w:p>
        </w:tc>
      </w:tr>
      <w:tr w:rsidR="004E31A8" w:rsidRPr="001455DC" w14:paraId="55B0605A" w14:textId="053806FC" w:rsidTr="00BE5EF4">
        <w:trPr>
          <w:cantSplit/>
        </w:trPr>
        <w:tc>
          <w:tcPr>
            <w:tcW w:w="1418" w:type="dxa"/>
            <w:shd w:val="clear" w:color="auto" w:fill="auto"/>
          </w:tcPr>
          <w:p w14:paraId="1F693A11" w14:textId="77777777" w:rsidR="004E31A8" w:rsidRPr="009D3012" w:rsidRDefault="004E31A8" w:rsidP="004E31A8">
            <w:pPr>
              <w:pStyle w:val="Tablebody"/>
              <w:rPr>
                <w:rStyle w:val="CCMCvariableitalic"/>
              </w:rPr>
            </w:pPr>
            <w:r w:rsidRPr="001455DC">
              <w:rPr>
                <w:rStyle w:val="CCMCvariableitalic"/>
              </w:rPr>
              <w:t>ν</w:t>
            </w:r>
          </w:p>
        </w:tc>
        <w:tc>
          <w:tcPr>
            <w:tcW w:w="6548" w:type="dxa"/>
            <w:shd w:val="clear" w:color="auto" w:fill="auto"/>
          </w:tcPr>
          <w:p w14:paraId="22E56715" w14:textId="77777777" w:rsidR="004E31A8" w:rsidRPr="001455DC" w:rsidRDefault="004E31A8" w:rsidP="000250B6">
            <w:pPr>
              <w:pStyle w:val="Tablebody"/>
              <w:jc w:val="left"/>
              <w:rPr>
                <w:lang w:eastAsia="de-DE"/>
              </w:rPr>
            </w:pPr>
            <w:r w:rsidRPr="001455DC">
              <w:rPr>
                <w:lang w:eastAsia="de-DE"/>
              </w:rPr>
              <w:t>Strength reduction factor for concrete cracked due shear or other actions</w:t>
            </w:r>
          </w:p>
        </w:tc>
        <w:tc>
          <w:tcPr>
            <w:tcW w:w="1984" w:type="dxa"/>
          </w:tcPr>
          <w:p w14:paraId="5170A1BA" w14:textId="234F4CB5" w:rsidR="004E31A8" w:rsidRPr="001455DC" w:rsidRDefault="004E31A8">
            <w:pPr>
              <w:pStyle w:val="Tablebody"/>
              <w:rPr>
                <w:lang w:eastAsia="de-DE"/>
              </w:rPr>
            </w:pPr>
            <w:r w:rsidRPr="009D3012">
              <w:rPr>
                <w:lang w:eastAsia="de-DE"/>
              </w:rPr>
              <w:t>8.2.3(5-6), 8.2.5(4) 8.3.4(3-4), 8.5.2(3-5), G.</w:t>
            </w:r>
            <w:r w:rsidR="00B269EF" w:rsidRPr="001455DC">
              <w:rPr>
                <w:lang w:eastAsia="de-DE"/>
              </w:rPr>
              <w:t>3</w:t>
            </w:r>
            <w:r w:rsidRPr="009D3012">
              <w:rPr>
                <w:lang w:eastAsia="de-DE"/>
              </w:rPr>
              <w:t>(5-6)</w:t>
            </w:r>
          </w:p>
        </w:tc>
      </w:tr>
      <w:tr w:rsidR="004E31A8" w:rsidRPr="001455DC" w14:paraId="7976C491" w14:textId="68F92E8A" w:rsidTr="00BE5EF4">
        <w:trPr>
          <w:cantSplit/>
        </w:trPr>
        <w:tc>
          <w:tcPr>
            <w:tcW w:w="1418" w:type="dxa"/>
            <w:shd w:val="clear" w:color="auto" w:fill="auto"/>
          </w:tcPr>
          <w:p w14:paraId="6A6D40B9" w14:textId="77777777" w:rsidR="004E31A8" w:rsidRPr="009D3012" w:rsidRDefault="004E31A8" w:rsidP="004E31A8">
            <w:pPr>
              <w:pStyle w:val="Tablebody"/>
              <w:rPr>
                <w:rStyle w:val="CCMCvariableitalic"/>
              </w:rPr>
            </w:pPr>
            <w:r w:rsidRPr="001455DC">
              <w:rPr>
                <w:rStyle w:val="CCMCvariableitalic"/>
              </w:rPr>
              <w:t>ξ</w:t>
            </w:r>
          </w:p>
        </w:tc>
        <w:tc>
          <w:tcPr>
            <w:tcW w:w="6548" w:type="dxa"/>
            <w:shd w:val="clear" w:color="auto" w:fill="auto"/>
          </w:tcPr>
          <w:p w14:paraId="7C58E5DA" w14:textId="77777777" w:rsidR="004E31A8" w:rsidRPr="001455DC" w:rsidRDefault="004E31A8" w:rsidP="000250B6">
            <w:pPr>
              <w:pStyle w:val="Tablebody"/>
              <w:jc w:val="left"/>
              <w:rPr>
                <w:lang w:eastAsia="de-DE"/>
              </w:rPr>
            </w:pPr>
            <w:r w:rsidRPr="001455DC">
              <w:rPr>
                <w:lang w:eastAsia="de-DE"/>
              </w:rPr>
              <w:t>Ratio of bond strength of prestressing and reinforcing steel</w:t>
            </w:r>
          </w:p>
        </w:tc>
        <w:tc>
          <w:tcPr>
            <w:tcW w:w="1984" w:type="dxa"/>
          </w:tcPr>
          <w:p w14:paraId="3A7B5965" w14:textId="37C4EC1D" w:rsidR="004E31A8" w:rsidRPr="001455DC" w:rsidRDefault="004E31A8" w:rsidP="004E31A8">
            <w:pPr>
              <w:pStyle w:val="Tablebody"/>
              <w:rPr>
                <w:lang w:eastAsia="de-DE"/>
              </w:rPr>
            </w:pPr>
            <w:r w:rsidRPr="009D3012">
              <w:rPr>
                <w:lang w:eastAsia="de-DE"/>
              </w:rPr>
              <w:t>10.8.3 (2), 9.2.2(4)</w:t>
            </w:r>
          </w:p>
        </w:tc>
      </w:tr>
      <w:tr w:rsidR="004E31A8" w:rsidRPr="001455DC" w14:paraId="573EE2DF" w14:textId="29215BCC" w:rsidTr="00BE5EF4">
        <w:trPr>
          <w:cantSplit/>
        </w:trPr>
        <w:tc>
          <w:tcPr>
            <w:tcW w:w="1418" w:type="dxa"/>
            <w:shd w:val="clear" w:color="auto" w:fill="auto"/>
          </w:tcPr>
          <w:p w14:paraId="5C5FEFED" w14:textId="77777777" w:rsidR="004E31A8" w:rsidRPr="009D3012" w:rsidRDefault="004E31A8" w:rsidP="004E31A8">
            <w:pPr>
              <w:pStyle w:val="Tablebody"/>
              <w:rPr>
                <w:rStyle w:val="CCMCvariableitalic"/>
              </w:rPr>
            </w:pPr>
            <w:r w:rsidRPr="001455DC">
              <w:rPr>
                <w:rStyle w:val="CCMCvariableitalic"/>
              </w:rPr>
              <w:t>ξ</w:t>
            </w:r>
            <w:r w:rsidRPr="001455DC">
              <w:rPr>
                <w:rStyle w:val="CCMCvariablesubscript"/>
              </w:rPr>
              <w:t>1</w:t>
            </w:r>
          </w:p>
        </w:tc>
        <w:tc>
          <w:tcPr>
            <w:tcW w:w="6548" w:type="dxa"/>
            <w:shd w:val="clear" w:color="auto" w:fill="auto"/>
          </w:tcPr>
          <w:p w14:paraId="67843DAC" w14:textId="77777777" w:rsidR="004E31A8" w:rsidRPr="001455DC" w:rsidRDefault="004E31A8" w:rsidP="000250B6">
            <w:pPr>
              <w:pStyle w:val="Tablebody"/>
              <w:jc w:val="left"/>
              <w:rPr>
                <w:lang w:eastAsia="de-DE"/>
              </w:rPr>
            </w:pPr>
            <w:r w:rsidRPr="001455DC">
              <w:rPr>
                <w:lang w:eastAsia="de-DE"/>
              </w:rPr>
              <w:t>Adjusted ratio of bond strength taking into account the different diameters of prestressing and reinforcing steel</w:t>
            </w:r>
          </w:p>
        </w:tc>
        <w:tc>
          <w:tcPr>
            <w:tcW w:w="1984" w:type="dxa"/>
          </w:tcPr>
          <w:p w14:paraId="7FCB6E5B" w14:textId="18A2F0D9" w:rsidR="004E31A8" w:rsidRPr="001455DC" w:rsidRDefault="004E31A8" w:rsidP="004E31A8">
            <w:pPr>
              <w:pStyle w:val="Tablebody"/>
              <w:rPr>
                <w:lang w:eastAsia="de-DE"/>
              </w:rPr>
            </w:pPr>
            <w:r w:rsidRPr="009D3012">
              <w:rPr>
                <w:lang w:eastAsia="de-DE"/>
              </w:rPr>
              <w:t xml:space="preserve">9.2.2 (4) </w:t>
            </w:r>
          </w:p>
        </w:tc>
      </w:tr>
      <w:tr w:rsidR="004E31A8" w:rsidRPr="001455DC" w14:paraId="4FBFD75D" w14:textId="3A55A3AD" w:rsidTr="00BE5EF4">
        <w:trPr>
          <w:cantSplit/>
        </w:trPr>
        <w:tc>
          <w:tcPr>
            <w:tcW w:w="1418" w:type="dxa"/>
            <w:shd w:val="clear" w:color="auto" w:fill="auto"/>
          </w:tcPr>
          <w:p w14:paraId="22927ABA" w14:textId="77777777" w:rsidR="004E31A8" w:rsidRPr="009D3012" w:rsidRDefault="004E31A8" w:rsidP="004E31A8">
            <w:pPr>
              <w:pStyle w:val="Tablebody"/>
              <w:rPr>
                <w:rStyle w:val="CCMCvariableitalic"/>
              </w:rPr>
            </w:pPr>
            <w:r w:rsidRPr="001455DC">
              <w:rPr>
                <w:rStyle w:val="CCMCvariableitalic"/>
              </w:rPr>
              <w:t>ξ</w:t>
            </w:r>
            <w:r w:rsidRPr="001455DC">
              <w:rPr>
                <w:rStyle w:val="CCMCvariablesubscript"/>
              </w:rPr>
              <w:t>bc1</w:t>
            </w:r>
          </w:p>
        </w:tc>
        <w:tc>
          <w:tcPr>
            <w:tcW w:w="6548" w:type="dxa"/>
            <w:shd w:val="clear" w:color="auto" w:fill="auto"/>
          </w:tcPr>
          <w:p w14:paraId="687AF2C1" w14:textId="77777777" w:rsidR="004E31A8" w:rsidRPr="001455DC" w:rsidRDefault="004E31A8" w:rsidP="000250B6">
            <w:pPr>
              <w:pStyle w:val="Tablebody"/>
              <w:jc w:val="left"/>
              <w:rPr>
                <w:lang w:eastAsia="de-DE"/>
              </w:rPr>
            </w:pPr>
            <w:r w:rsidRPr="001455DC">
              <w:rPr>
                <w:lang w:eastAsia="de-DE"/>
              </w:rPr>
              <w:t>Adjustment parameter for basic creep to account for test results</w:t>
            </w:r>
          </w:p>
        </w:tc>
        <w:tc>
          <w:tcPr>
            <w:tcW w:w="1984" w:type="dxa"/>
          </w:tcPr>
          <w:p w14:paraId="0274FF30" w14:textId="68804BBD" w:rsidR="004E31A8" w:rsidRPr="001455DC" w:rsidRDefault="004E31A8">
            <w:pPr>
              <w:pStyle w:val="Tablebody"/>
              <w:rPr>
                <w:lang w:eastAsia="de-DE"/>
              </w:rPr>
            </w:pPr>
            <w:r w:rsidRPr="009D3012">
              <w:rPr>
                <w:lang w:eastAsia="de-DE"/>
              </w:rPr>
              <w:t>B.</w:t>
            </w:r>
            <w:r w:rsidR="0051522D" w:rsidRPr="009D3012">
              <w:rPr>
                <w:lang w:eastAsia="de-DE"/>
              </w:rPr>
              <w:t>6</w:t>
            </w:r>
            <w:r w:rsidRPr="009D3012">
              <w:rPr>
                <w:lang w:eastAsia="de-DE"/>
              </w:rPr>
              <w:t>(5)</w:t>
            </w:r>
          </w:p>
        </w:tc>
      </w:tr>
      <w:tr w:rsidR="004E31A8" w:rsidRPr="001455DC" w14:paraId="634B1605" w14:textId="5D6E9805" w:rsidTr="00BE5EF4">
        <w:trPr>
          <w:cantSplit/>
        </w:trPr>
        <w:tc>
          <w:tcPr>
            <w:tcW w:w="1418" w:type="dxa"/>
            <w:shd w:val="clear" w:color="auto" w:fill="auto"/>
          </w:tcPr>
          <w:p w14:paraId="0DB5F14A" w14:textId="77777777" w:rsidR="004E31A8" w:rsidRPr="009D3012" w:rsidRDefault="004E31A8" w:rsidP="004E31A8">
            <w:pPr>
              <w:pStyle w:val="Tablebody"/>
              <w:rPr>
                <w:rStyle w:val="CCMCvariableitalic"/>
              </w:rPr>
            </w:pPr>
            <w:r w:rsidRPr="001455DC">
              <w:rPr>
                <w:rStyle w:val="CCMCvariableitalic"/>
              </w:rPr>
              <w:t>ξ</w:t>
            </w:r>
            <w:r w:rsidRPr="001455DC">
              <w:rPr>
                <w:rStyle w:val="CCMCvariablesubscript"/>
              </w:rPr>
              <w:t>bc2</w:t>
            </w:r>
          </w:p>
        </w:tc>
        <w:tc>
          <w:tcPr>
            <w:tcW w:w="6548" w:type="dxa"/>
            <w:shd w:val="clear" w:color="auto" w:fill="auto"/>
          </w:tcPr>
          <w:p w14:paraId="17F669F2" w14:textId="77777777" w:rsidR="004E31A8" w:rsidRPr="001455DC" w:rsidRDefault="004E31A8" w:rsidP="000250B6">
            <w:pPr>
              <w:pStyle w:val="Tablebody"/>
              <w:jc w:val="left"/>
              <w:rPr>
                <w:lang w:eastAsia="de-DE"/>
              </w:rPr>
            </w:pPr>
            <w:r w:rsidRPr="001455DC">
              <w:rPr>
                <w:lang w:eastAsia="de-DE"/>
              </w:rPr>
              <w:t>Adjustment parameter for time development function of basic creep to account for test results</w:t>
            </w:r>
          </w:p>
        </w:tc>
        <w:tc>
          <w:tcPr>
            <w:tcW w:w="1984" w:type="dxa"/>
          </w:tcPr>
          <w:p w14:paraId="76CAF1E0" w14:textId="5C5DE698" w:rsidR="004E31A8" w:rsidRPr="001455DC" w:rsidRDefault="004E31A8">
            <w:pPr>
              <w:pStyle w:val="Tablebody"/>
              <w:rPr>
                <w:lang w:eastAsia="de-DE"/>
              </w:rPr>
            </w:pPr>
            <w:r w:rsidRPr="009D3012">
              <w:rPr>
                <w:lang w:eastAsia="de-DE"/>
              </w:rPr>
              <w:t>B.</w:t>
            </w:r>
            <w:r w:rsidR="0051522D" w:rsidRPr="009D3012">
              <w:rPr>
                <w:lang w:eastAsia="de-DE"/>
              </w:rPr>
              <w:t>6</w:t>
            </w:r>
            <w:r w:rsidRPr="009D3012">
              <w:rPr>
                <w:lang w:eastAsia="de-DE"/>
              </w:rPr>
              <w:t>(5)</w:t>
            </w:r>
          </w:p>
        </w:tc>
      </w:tr>
      <w:tr w:rsidR="004E31A8" w:rsidRPr="001455DC" w14:paraId="72E84851" w14:textId="62AE0B18" w:rsidTr="00BE5EF4">
        <w:trPr>
          <w:cantSplit/>
        </w:trPr>
        <w:tc>
          <w:tcPr>
            <w:tcW w:w="1418" w:type="dxa"/>
            <w:shd w:val="clear" w:color="auto" w:fill="auto"/>
          </w:tcPr>
          <w:p w14:paraId="5298A4FE" w14:textId="77777777" w:rsidR="004E31A8" w:rsidRPr="009D3012" w:rsidRDefault="004E31A8" w:rsidP="004E31A8">
            <w:pPr>
              <w:pStyle w:val="Tablebody"/>
              <w:rPr>
                <w:rStyle w:val="CCMCvariableitalic"/>
              </w:rPr>
            </w:pPr>
            <w:r w:rsidRPr="001455DC">
              <w:rPr>
                <w:rStyle w:val="CCMCvariableitalic"/>
              </w:rPr>
              <w:t>ξ</w:t>
            </w:r>
            <w:r w:rsidRPr="001455DC">
              <w:rPr>
                <w:rStyle w:val="CCMCvariablesubscript"/>
              </w:rPr>
              <w:t>dc1</w:t>
            </w:r>
          </w:p>
        </w:tc>
        <w:tc>
          <w:tcPr>
            <w:tcW w:w="6548" w:type="dxa"/>
            <w:shd w:val="clear" w:color="auto" w:fill="auto"/>
          </w:tcPr>
          <w:p w14:paraId="44FE82AF" w14:textId="77777777" w:rsidR="004E31A8" w:rsidRPr="001455DC" w:rsidRDefault="004E31A8" w:rsidP="000250B6">
            <w:pPr>
              <w:pStyle w:val="Tablebody"/>
              <w:jc w:val="left"/>
              <w:rPr>
                <w:lang w:eastAsia="de-DE"/>
              </w:rPr>
            </w:pPr>
            <w:r w:rsidRPr="001455DC">
              <w:rPr>
                <w:lang w:eastAsia="de-DE"/>
              </w:rPr>
              <w:t>Adjustment parameter for drying creep to account for test results</w:t>
            </w:r>
          </w:p>
        </w:tc>
        <w:tc>
          <w:tcPr>
            <w:tcW w:w="1984" w:type="dxa"/>
          </w:tcPr>
          <w:p w14:paraId="49EC8723" w14:textId="307DF331" w:rsidR="004E31A8" w:rsidRPr="001455DC" w:rsidRDefault="004E31A8">
            <w:pPr>
              <w:pStyle w:val="Tablebody"/>
              <w:rPr>
                <w:lang w:eastAsia="de-DE"/>
              </w:rPr>
            </w:pPr>
            <w:r w:rsidRPr="009D3012">
              <w:rPr>
                <w:lang w:eastAsia="de-DE"/>
              </w:rPr>
              <w:t>B.</w:t>
            </w:r>
            <w:r w:rsidR="0051522D" w:rsidRPr="009D3012">
              <w:rPr>
                <w:lang w:eastAsia="de-DE"/>
              </w:rPr>
              <w:t>6</w:t>
            </w:r>
            <w:r w:rsidRPr="009D3012">
              <w:rPr>
                <w:lang w:eastAsia="de-DE"/>
              </w:rPr>
              <w:t>(5)</w:t>
            </w:r>
          </w:p>
        </w:tc>
      </w:tr>
      <w:tr w:rsidR="004E31A8" w:rsidRPr="001455DC" w14:paraId="7750009F" w14:textId="12092761" w:rsidTr="00BE5EF4">
        <w:trPr>
          <w:cantSplit/>
        </w:trPr>
        <w:tc>
          <w:tcPr>
            <w:tcW w:w="1418" w:type="dxa"/>
            <w:shd w:val="clear" w:color="auto" w:fill="auto"/>
          </w:tcPr>
          <w:p w14:paraId="542B35F9" w14:textId="77777777" w:rsidR="004E31A8" w:rsidRPr="009D3012" w:rsidRDefault="004E31A8" w:rsidP="004E31A8">
            <w:pPr>
              <w:pStyle w:val="Tablebody"/>
              <w:rPr>
                <w:rStyle w:val="CCMCvariableitalic"/>
              </w:rPr>
            </w:pPr>
            <w:r w:rsidRPr="001455DC">
              <w:rPr>
                <w:rStyle w:val="CCMCvariableitalic"/>
              </w:rPr>
              <w:t>ξ</w:t>
            </w:r>
            <w:r w:rsidRPr="001455DC">
              <w:rPr>
                <w:rStyle w:val="CCMCvariablesubscript"/>
              </w:rPr>
              <w:t>dc2</w:t>
            </w:r>
          </w:p>
        </w:tc>
        <w:tc>
          <w:tcPr>
            <w:tcW w:w="6548" w:type="dxa"/>
            <w:shd w:val="clear" w:color="auto" w:fill="auto"/>
          </w:tcPr>
          <w:p w14:paraId="18C276B0" w14:textId="77777777" w:rsidR="004E31A8" w:rsidRPr="001455DC" w:rsidRDefault="004E31A8" w:rsidP="000250B6">
            <w:pPr>
              <w:pStyle w:val="Tablebody"/>
              <w:jc w:val="left"/>
              <w:rPr>
                <w:lang w:eastAsia="de-DE"/>
              </w:rPr>
            </w:pPr>
            <w:r w:rsidRPr="001455DC">
              <w:rPr>
                <w:lang w:eastAsia="de-DE"/>
              </w:rPr>
              <w:t>Adjustment parameter for time development function of drying creep to account for test results</w:t>
            </w:r>
          </w:p>
        </w:tc>
        <w:tc>
          <w:tcPr>
            <w:tcW w:w="1984" w:type="dxa"/>
          </w:tcPr>
          <w:p w14:paraId="043869AB" w14:textId="18266AB1" w:rsidR="004E31A8" w:rsidRPr="001455DC" w:rsidRDefault="004E31A8">
            <w:pPr>
              <w:pStyle w:val="Tablebody"/>
              <w:rPr>
                <w:lang w:eastAsia="de-DE"/>
              </w:rPr>
            </w:pPr>
            <w:r w:rsidRPr="009D3012">
              <w:rPr>
                <w:lang w:eastAsia="de-DE"/>
              </w:rPr>
              <w:t>B.</w:t>
            </w:r>
            <w:r w:rsidR="0051522D" w:rsidRPr="009D3012">
              <w:rPr>
                <w:lang w:eastAsia="de-DE"/>
              </w:rPr>
              <w:t>6</w:t>
            </w:r>
            <w:r w:rsidRPr="009D3012">
              <w:rPr>
                <w:lang w:eastAsia="de-DE"/>
              </w:rPr>
              <w:t>(5)</w:t>
            </w:r>
          </w:p>
        </w:tc>
      </w:tr>
      <w:tr w:rsidR="004E31A8" w:rsidRPr="001455DC" w14:paraId="2F3C3BB4" w14:textId="033A65CB" w:rsidTr="00BE5EF4">
        <w:trPr>
          <w:cantSplit/>
        </w:trPr>
        <w:tc>
          <w:tcPr>
            <w:tcW w:w="1418" w:type="dxa"/>
            <w:shd w:val="clear" w:color="auto" w:fill="auto"/>
          </w:tcPr>
          <w:p w14:paraId="5334C6ED" w14:textId="77777777" w:rsidR="004E31A8" w:rsidRPr="009D3012" w:rsidRDefault="004E31A8" w:rsidP="004E31A8">
            <w:pPr>
              <w:pStyle w:val="Tablebody"/>
              <w:rPr>
                <w:rStyle w:val="CCMCvariableitalic"/>
              </w:rPr>
            </w:pPr>
            <w:r w:rsidRPr="001455DC">
              <w:rPr>
                <w:rStyle w:val="CCMCvariableitalic"/>
              </w:rPr>
              <w:t>ξ</w:t>
            </w:r>
            <w:r w:rsidRPr="001455DC">
              <w:rPr>
                <w:rStyle w:val="CCMCvariablesubscript"/>
              </w:rPr>
              <w:t>cbs1</w:t>
            </w:r>
          </w:p>
        </w:tc>
        <w:tc>
          <w:tcPr>
            <w:tcW w:w="6548" w:type="dxa"/>
            <w:shd w:val="clear" w:color="auto" w:fill="auto"/>
          </w:tcPr>
          <w:p w14:paraId="2AC052FB" w14:textId="77777777" w:rsidR="004E31A8" w:rsidRPr="001455DC" w:rsidRDefault="004E31A8" w:rsidP="000250B6">
            <w:pPr>
              <w:pStyle w:val="Tablebody"/>
              <w:jc w:val="left"/>
              <w:rPr>
                <w:lang w:eastAsia="de-DE"/>
              </w:rPr>
            </w:pPr>
            <w:r w:rsidRPr="001455DC">
              <w:rPr>
                <w:lang w:eastAsia="de-DE"/>
              </w:rPr>
              <w:t>Adjustment parameter for basic shrinkage to account for test results</w:t>
            </w:r>
          </w:p>
        </w:tc>
        <w:tc>
          <w:tcPr>
            <w:tcW w:w="1984" w:type="dxa"/>
          </w:tcPr>
          <w:p w14:paraId="725FD7B6" w14:textId="6CAE2212" w:rsidR="004E31A8" w:rsidRPr="001455DC" w:rsidRDefault="004E31A8">
            <w:pPr>
              <w:pStyle w:val="Tablebody"/>
              <w:rPr>
                <w:lang w:eastAsia="de-DE"/>
              </w:rPr>
            </w:pPr>
            <w:r w:rsidRPr="009D3012">
              <w:rPr>
                <w:lang w:eastAsia="de-DE"/>
              </w:rPr>
              <w:t>B.</w:t>
            </w:r>
            <w:r w:rsidR="0051522D" w:rsidRPr="009D3012">
              <w:rPr>
                <w:lang w:eastAsia="de-DE"/>
              </w:rPr>
              <w:t>6</w:t>
            </w:r>
            <w:r w:rsidRPr="009D3012">
              <w:rPr>
                <w:lang w:eastAsia="de-DE"/>
              </w:rPr>
              <w:t>(5)</w:t>
            </w:r>
          </w:p>
        </w:tc>
      </w:tr>
      <w:tr w:rsidR="004E31A8" w:rsidRPr="001455DC" w14:paraId="4AEEF252" w14:textId="61E35F72" w:rsidTr="00BE5EF4">
        <w:trPr>
          <w:cantSplit/>
        </w:trPr>
        <w:tc>
          <w:tcPr>
            <w:tcW w:w="1418" w:type="dxa"/>
            <w:shd w:val="clear" w:color="auto" w:fill="auto"/>
          </w:tcPr>
          <w:p w14:paraId="34CB3E09" w14:textId="77777777" w:rsidR="004E31A8" w:rsidRPr="009D3012" w:rsidRDefault="004E31A8" w:rsidP="004E31A8">
            <w:pPr>
              <w:pStyle w:val="Tablebody"/>
              <w:rPr>
                <w:rStyle w:val="CCMCvariableitalic"/>
              </w:rPr>
            </w:pPr>
            <w:r w:rsidRPr="001455DC">
              <w:rPr>
                <w:rStyle w:val="CCMCvariableitalic"/>
              </w:rPr>
              <w:t>ξ</w:t>
            </w:r>
            <w:r w:rsidRPr="001455DC">
              <w:rPr>
                <w:rStyle w:val="CCMCvariablesubscript"/>
              </w:rPr>
              <w:t>cbs2</w:t>
            </w:r>
          </w:p>
        </w:tc>
        <w:tc>
          <w:tcPr>
            <w:tcW w:w="6548" w:type="dxa"/>
            <w:shd w:val="clear" w:color="auto" w:fill="auto"/>
          </w:tcPr>
          <w:p w14:paraId="7417AA58" w14:textId="77777777" w:rsidR="004E31A8" w:rsidRPr="001455DC" w:rsidRDefault="004E31A8" w:rsidP="000250B6">
            <w:pPr>
              <w:pStyle w:val="Tablebody"/>
              <w:jc w:val="left"/>
              <w:rPr>
                <w:lang w:eastAsia="de-DE"/>
              </w:rPr>
            </w:pPr>
            <w:r w:rsidRPr="001455DC">
              <w:rPr>
                <w:lang w:eastAsia="de-DE"/>
              </w:rPr>
              <w:t>Adjustment parameter for time development function of basic shrinkage to account for test results</w:t>
            </w:r>
          </w:p>
        </w:tc>
        <w:tc>
          <w:tcPr>
            <w:tcW w:w="1984" w:type="dxa"/>
          </w:tcPr>
          <w:p w14:paraId="6AD192C5" w14:textId="09DB2A0D" w:rsidR="004E31A8" w:rsidRPr="001455DC" w:rsidRDefault="004E31A8">
            <w:pPr>
              <w:pStyle w:val="Tablebody"/>
              <w:rPr>
                <w:lang w:eastAsia="de-DE"/>
              </w:rPr>
            </w:pPr>
            <w:r w:rsidRPr="009D3012">
              <w:rPr>
                <w:lang w:eastAsia="de-DE"/>
              </w:rPr>
              <w:t>B.</w:t>
            </w:r>
            <w:r w:rsidR="0051522D" w:rsidRPr="009D3012">
              <w:rPr>
                <w:lang w:eastAsia="de-DE"/>
              </w:rPr>
              <w:t>6</w:t>
            </w:r>
            <w:r w:rsidRPr="009D3012">
              <w:rPr>
                <w:lang w:eastAsia="de-DE"/>
              </w:rPr>
              <w:t>(5)</w:t>
            </w:r>
          </w:p>
        </w:tc>
      </w:tr>
      <w:tr w:rsidR="004E31A8" w:rsidRPr="001455DC" w14:paraId="192D60C2" w14:textId="04F88129" w:rsidTr="00BE5EF4">
        <w:trPr>
          <w:cantSplit/>
        </w:trPr>
        <w:tc>
          <w:tcPr>
            <w:tcW w:w="1418" w:type="dxa"/>
            <w:shd w:val="clear" w:color="auto" w:fill="auto"/>
          </w:tcPr>
          <w:p w14:paraId="4BD31379" w14:textId="77777777" w:rsidR="004E31A8" w:rsidRPr="009D3012" w:rsidRDefault="004E31A8" w:rsidP="004E31A8">
            <w:pPr>
              <w:pStyle w:val="Tablebody"/>
              <w:rPr>
                <w:rStyle w:val="CCMCvariableitalic"/>
              </w:rPr>
            </w:pPr>
            <w:r w:rsidRPr="001455DC">
              <w:rPr>
                <w:rStyle w:val="CCMCvariableitalic"/>
              </w:rPr>
              <w:t>ξ</w:t>
            </w:r>
            <w:r w:rsidRPr="001455DC">
              <w:rPr>
                <w:rStyle w:val="CCMCvariablesubscript"/>
              </w:rPr>
              <w:t>cds1</w:t>
            </w:r>
          </w:p>
        </w:tc>
        <w:tc>
          <w:tcPr>
            <w:tcW w:w="6548" w:type="dxa"/>
            <w:shd w:val="clear" w:color="auto" w:fill="auto"/>
          </w:tcPr>
          <w:p w14:paraId="7B9EE112" w14:textId="77777777" w:rsidR="004E31A8" w:rsidRPr="001455DC" w:rsidRDefault="004E31A8" w:rsidP="000250B6">
            <w:pPr>
              <w:pStyle w:val="Tablebody"/>
              <w:jc w:val="left"/>
              <w:rPr>
                <w:lang w:eastAsia="de-DE"/>
              </w:rPr>
            </w:pPr>
            <w:r w:rsidRPr="001455DC">
              <w:rPr>
                <w:lang w:eastAsia="de-DE"/>
              </w:rPr>
              <w:t>Adjustment parameter for drying shrinkage to account for test results</w:t>
            </w:r>
          </w:p>
        </w:tc>
        <w:tc>
          <w:tcPr>
            <w:tcW w:w="1984" w:type="dxa"/>
          </w:tcPr>
          <w:p w14:paraId="4C7FC375" w14:textId="5875D0A8" w:rsidR="004E31A8" w:rsidRPr="001455DC" w:rsidRDefault="004E31A8">
            <w:pPr>
              <w:pStyle w:val="Tablebody"/>
              <w:rPr>
                <w:lang w:eastAsia="de-DE"/>
              </w:rPr>
            </w:pPr>
            <w:r w:rsidRPr="009D3012">
              <w:rPr>
                <w:lang w:eastAsia="de-DE"/>
              </w:rPr>
              <w:t>B.</w:t>
            </w:r>
            <w:r w:rsidR="0051522D" w:rsidRPr="009D3012">
              <w:rPr>
                <w:lang w:eastAsia="de-DE"/>
              </w:rPr>
              <w:t>6</w:t>
            </w:r>
            <w:r w:rsidRPr="009D3012">
              <w:rPr>
                <w:lang w:eastAsia="de-DE"/>
              </w:rPr>
              <w:t>(5)</w:t>
            </w:r>
          </w:p>
        </w:tc>
      </w:tr>
      <w:tr w:rsidR="004E31A8" w:rsidRPr="001455DC" w14:paraId="2F9E9BCD" w14:textId="5C7A36DE" w:rsidTr="00BE5EF4">
        <w:trPr>
          <w:cantSplit/>
        </w:trPr>
        <w:tc>
          <w:tcPr>
            <w:tcW w:w="1418" w:type="dxa"/>
            <w:shd w:val="clear" w:color="auto" w:fill="auto"/>
          </w:tcPr>
          <w:p w14:paraId="7CE5B7A2" w14:textId="77777777" w:rsidR="004E31A8" w:rsidRPr="009D3012" w:rsidRDefault="004E31A8" w:rsidP="004E31A8">
            <w:pPr>
              <w:pStyle w:val="Tablebody"/>
              <w:rPr>
                <w:rStyle w:val="CCMCvariableitalic"/>
              </w:rPr>
            </w:pPr>
            <w:r w:rsidRPr="001455DC">
              <w:rPr>
                <w:rStyle w:val="CCMCvariableitalic"/>
              </w:rPr>
              <w:t>ξ</w:t>
            </w:r>
            <w:r w:rsidRPr="001455DC">
              <w:rPr>
                <w:rStyle w:val="CCMCvariablesubscript"/>
              </w:rPr>
              <w:t>cds2</w:t>
            </w:r>
          </w:p>
        </w:tc>
        <w:tc>
          <w:tcPr>
            <w:tcW w:w="6548" w:type="dxa"/>
            <w:shd w:val="clear" w:color="auto" w:fill="auto"/>
          </w:tcPr>
          <w:p w14:paraId="13C2B4CB" w14:textId="77777777" w:rsidR="004E31A8" w:rsidRPr="001455DC" w:rsidRDefault="004E31A8" w:rsidP="000250B6">
            <w:pPr>
              <w:pStyle w:val="Tablebody"/>
              <w:jc w:val="left"/>
              <w:rPr>
                <w:lang w:eastAsia="de-DE"/>
              </w:rPr>
            </w:pPr>
            <w:r w:rsidRPr="001455DC">
              <w:rPr>
                <w:lang w:eastAsia="de-DE"/>
              </w:rPr>
              <w:t>Adjustment parameter for time development function of drying shrinkage to account for test results</w:t>
            </w:r>
          </w:p>
        </w:tc>
        <w:tc>
          <w:tcPr>
            <w:tcW w:w="1984" w:type="dxa"/>
          </w:tcPr>
          <w:p w14:paraId="5797DAE8" w14:textId="37DB1E71" w:rsidR="004E31A8" w:rsidRPr="001455DC" w:rsidRDefault="004E31A8">
            <w:pPr>
              <w:pStyle w:val="Tablebody"/>
              <w:rPr>
                <w:lang w:eastAsia="de-DE"/>
              </w:rPr>
            </w:pPr>
            <w:r w:rsidRPr="009D3012">
              <w:rPr>
                <w:lang w:eastAsia="de-DE"/>
              </w:rPr>
              <w:t>B.</w:t>
            </w:r>
            <w:r w:rsidR="0051522D" w:rsidRPr="009D3012">
              <w:rPr>
                <w:lang w:eastAsia="de-DE"/>
              </w:rPr>
              <w:t>6</w:t>
            </w:r>
            <w:r w:rsidRPr="009D3012">
              <w:rPr>
                <w:lang w:eastAsia="de-DE"/>
              </w:rPr>
              <w:t>(5)</w:t>
            </w:r>
          </w:p>
        </w:tc>
      </w:tr>
      <w:tr w:rsidR="004E31A8" w:rsidRPr="001455DC" w14:paraId="288C164C" w14:textId="77B5E493" w:rsidTr="00BE5EF4">
        <w:trPr>
          <w:cantSplit/>
        </w:trPr>
        <w:tc>
          <w:tcPr>
            <w:tcW w:w="1418" w:type="dxa"/>
            <w:shd w:val="clear" w:color="auto" w:fill="auto"/>
          </w:tcPr>
          <w:p w14:paraId="72CBC8F5" w14:textId="77777777" w:rsidR="004E31A8" w:rsidRPr="009D3012" w:rsidRDefault="004E31A8" w:rsidP="004E31A8">
            <w:pPr>
              <w:pStyle w:val="Tablebody"/>
              <w:rPr>
                <w:rStyle w:val="CCMCvariableitalic"/>
              </w:rPr>
            </w:pPr>
            <w:r w:rsidRPr="001455DC">
              <w:rPr>
                <w:rStyle w:val="CCMCvariableitalic"/>
              </w:rPr>
              <w:t>ξ</w:t>
            </w:r>
            <w:r w:rsidRPr="001455DC">
              <w:rPr>
                <w:rStyle w:val="CCMCvariablesubscript"/>
              </w:rPr>
              <w:t>v</w:t>
            </w:r>
          </w:p>
        </w:tc>
        <w:tc>
          <w:tcPr>
            <w:tcW w:w="6548" w:type="dxa"/>
            <w:shd w:val="clear" w:color="auto" w:fill="auto"/>
          </w:tcPr>
          <w:p w14:paraId="0EE955C5" w14:textId="77777777" w:rsidR="004E31A8" w:rsidRPr="001455DC" w:rsidRDefault="004E31A8" w:rsidP="000250B6">
            <w:pPr>
              <w:pStyle w:val="Tablebody"/>
              <w:jc w:val="left"/>
              <w:rPr>
                <w:lang w:eastAsia="de-DE"/>
              </w:rPr>
            </w:pPr>
            <w:r w:rsidRPr="001455DC">
              <w:rPr>
                <w:lang w:eastAsia="de-DE"/>
              </w:rPr>
              <w:t>Effective damping ratio (vibrations)</w:t>
            </w:r>
          </w:p>
        </w:tc>
        <w:tc>
          <w:tcPr>
            <w:tcW w:w="1984" w:type="dxa"/>
          </w:tcPr>
          <w:p w14:paraId="180EC3A1" w14:textId="32ED2C54" w:rsidR="004E31A8" w:rsidRPr="001455DC" w:rsidRDefault="004E31A8" w:rsidP="004E31A8">
            <w:pPr>
              <w:pStyle w:val="Tablebody"/>
              <w:rPr>
                <w:lang w:eastAsia="de-DE"/>
              </w:rPr>
            </w:pPr>
            <w:r w:rsidRPr="009D3012">
              <w:rPr>
                <w:lang w:eastAsia="de-DE"/>
              </w:rPr>
              <w:t>9.4(3)</w:t>
            </w:r>
          </w:p>
        </w:tc>
      </w:tr>
      <w:tr w:rsidR="004E31A8" w:rsidRPr="001455DC" w14:paraId="6B6BABAD" w14:textId="0973C471" w:rsidTr="00BE5EF4">
        <w:trPr>
          <w:cantSplit/>
        </w:trPr>
        <w:tc>
          <w:tcPr>
            <w:tcW w:w="1418" w:type="dxa"/>
            <w:shd w:val="clear" w:color="auto" w:fill="auto"/>
          </w:tcPr>
          <w:p w14:paraId="21403023" w14:textId="77777777" w:rsidR="004E31A8" w:rsidRPr="009D3012" w:rsidRDefault="004E31A8" w:rsidP="004E31A8">
            <w:pPr>
              <w:pStyle w:val="Tablebody"/>
              <w:rPr>
                <w:rStyle w:val="CCMCvariableitalic"/>
              </w:rPr>
            </w:pPr>
            <w:r w:rsidRPr="001455DC">
              <w:rPr>
                <w:rStyle w:val="CCMCvariableitalic"/>
              </w:rPr>
              <w:t>ξ</w:t>
            </w:r>
            <w:r w:rsidRPr="001455DC">
              <w:rPr>
                <w:rStyle w:val="CCMCvariablesubscript"/>
              </w:rPr>
              <w:t>v,st</w:t>
            </w:r>
          </w:p>
        </w:tc>
        <w:tc>
          <w:tcPr>
            <w:tcW w:w="6548" w:type="dxa"/>
            <w:shd w:val="clear" w:color="auto" w:fill="auto"/>
          </w:tcPr>
          <w:p w14:paraId="36836FFA" w14:textId="77777777" w:rsidR="004E31A8" w:rsidRPr="001455DC" w:rsidRDefault="004E31A8" w:rsidP="000250B6">
            <w:pPr>
              <w:pStyle w:val="Tablebody"/>
              <w:jc w:val="left"/>
              <w:rPr>
                <w:lang w:eastAsia="de-DE"/>
              </w:rPr>
            </w:pPr>
            <w:r w:rsidRPr="001455DC">
              <w:rPr>
                <w:lang w:eastAsia="de-DE"/>
              </w:rPr>
              <w:t>Structural component of effective damping ratio (vibrations)</w:t>
            </w:r>
          </w:p>
        </w:tc>
        <w:tc>
          <w:tcPr>
            <w:tcW w:w="1984" w:type="dxa"/>
          </w:tcPr>
          <w:p w14:paraId="3943EB6F" w14:textId="4FCA5C9E" w:rsidR="004E31A8" w:rsidRPr="001455DC" w:rsidRDefault="004E31A8" w:rsidP="004E31A8">
            <w:pPr>
              <w:pStyle w:val="Tablebody"/>
              <w:rPr>
                <w:lang w:eastAsia="de-DE"/>
              </w:rPr>
            </w:pPr>
            <w:r w:rsidRPr="009D3012">
              <w:rPr>
                <w:lang w:eastAsia="de-DE"/>
              </w:rPr>
              <w:t>9.4(3)</w:t>
            </w:r>
          </w:p>
        </w:tc>
      </w:tr>
      <w:tr w:rsidR="004E31A8" w:rsidRPr="001455DC" w14:paraId="3856DB78" w14:textId="7DABC6A1" w:rsidTr="00BE5EF4">
        <w:trPr>
          <w:cantSplit/>
        </w:trPr>
        <w:tc>
          <w:tcPr>
            <w:tcW w:w="1418" w:type="dxa"/>
            <w:shd w:val="clear" w:color="auto" w:fill="auto"/>
          </w:tcPr>
          <w:p w14:paraId="1CA5EE3B" w14:textId="77777777" w:rsidR="004E31A8" w:rsidRPr="009D3012" w:rsidRDefault="004E31A8" w:rsidP="004E31A8">
            <w:pPr>
              <w:pStyle w:val="Tablebody"/>
              <w:rPr>
                <w:rStyle w:val="CCMCvariableitalic"/>
              </w:rPr>
            </w:pPr>
            <w:r w:rsidRPr="001455DC">
              <w:rPr>
                <w:rStyle w:val="CCMCvariableitalic"/>
              </w:rPr>
              <w:t>ξ</w:t>
            </w:r>
            <w:r w:rsidRPr="001455DC">
              <w:rPr>
                <w:rStyle w:val="CCMCvariablesubscript"/>
              </w:rPr>
              <w:t>v,furn</w:t>
            </w:r>
          </w:p>
        </w:tc>
        <w:tc>
          <w:tcPr>
            <w:tcW w:w="6548" w:type="dxa"/>
            <w:shd w:val="clear" w:color="auto" w:fill="auto"/>
          </w:tcPr>
          <w:p w14:paraId="24B113F1" w14:textId="77777777" w:rsidR="004E31A8" w:rsidRPr="001455DC" w:rsidRDefault="004E31A8" w:rsidP="000250B6">
            <w:pPr>
              <w:pStyle w:val="Tablebody"/>
              <w:jc w:val="left"/>
              <w:rPr>
                <w:lang w:eastAsia="de-DE"/>
              </w:rPr>
            </w:pPr>
            <w:r w:rsidRPr="001455DC">
              <w:rPr>
                <w:lang w:eastAsia="de-DE"/>
              </w:rPr>
              <w:t>Furniture component of effective damping ratio (vibrations)</w:t>
            </w:r>
          </w:p>
        </w:tc>
        <w:tc>
          <w:tcPr>
            <w:tcW w:w="1984" w:type="dxa"/>
          </w:tcPr>
          <w:p w14:paraId="41F00F5D" w14:textId="21500BE4" w:rsidR="004E31A8" w:rsidRPr="001455DC" w:rsidRDefault="004E31A8" w:rsidP="004E31A8">
            <w:pPr>
              <w:pStyle w:val="Tablebody"/>
              <w:rPr>
                <w:lang w:eastAsia="de-DE"/>
              </w:rPr>
            </w:pPr>
            <w:r w:rsidRPr="009D3012">
              <w:rPr>
                <w:lang w:eastAsia="de-DE"/>
              </w:rPr>
              <w:t>9.4(3)</w:t>
            </w:r>
          </w:p>
        </w:tc>
      </w:tr>
      <w:tr w:rsidR="004E31A8" w:rsidRPr="001455DC" w14:paraId="49697BCC" w14:textId="318A4CCF" w:rsidTr="00BE5EF4">
        <w:trPr>
          <w:cantSplit/>
        </w:trPr>
        <w:tc>
          <w:tcPr>
            <w:tcW w:w="1418" w:type="dxa"/>
            <w:shd w:val="clear" w:color="auto" w:fill="auto"/>
          </w:tcPr>
          <w:p w14:paraId="772E590A" w14:textId="77777777" w:rsidR="004E31A8" w:rsidRPr="009D3012" w:rsidRDefault="004E31A8" w:rsidP="004E31A8">
            <w:pPr>
              <w:pStyle w:val="Tablebody"/>
              <w:rPr>
                <w:rStyle w:val="CCMCvariableitalic"/>
              </w:rPr>
            </w:pPr>
            <w:r w:rsidRPr="001455DC">
              <w:rPr>
                <w:rStyle w:val="CCMCvariableitalic"/>
              </w:rPr>
              <w:t>ξ</w:t>
            </w:r>
            <w:r w:rsidRPr="001455DC">
              <w:rPr>
                <w:rStyle w:val="CCMCvariablesubscript"/>
              </w:rPr>
              <w:t>v,fin</w:t>
            </w:r>
          </w:p>
        </w:tc>
        <w:tc>
          <w:tcPr>
            <w:tcW w:w="6548" w:type="dxa"/>
            <w:shd w:val="clear" w:color="auto" w:fill="auto"/>
          </w:tcPr>
          <w:p w14:paraId="481ADBA7" w14:textId="77777777" w:rsidR="004E31A8" w:rsidRPr="001455DC" w:rsidRDefault="004E31A8" w:rsidP="000250B6">
            <w:pPr>
              <w:pStyle w:val="Tablebody"/>
              <w:jc w:val="left"/>
              <w:rPr>
                <w:lang w:eastAsia="de-DE"/>
              </w:rPr>
            </w:pPr>
            <w:r w:rsidRPr="001455DC">
              <w:rPr>
                <w:lang w:eastAsia="de-DE"/>
              </w:rPr>
              <w:t>Ceiling and floor finishing component of effective damping ratio (vibrations)</w:t>
            </w:r>
          </w:p>
        </w:tc>
        <w:tc>
          <w:tcPr>
            <w:tcW w:w="1984" w:type="dxa"/>
          </w:tcPr>
          <w:p w14:paraId="21B17BDD" w14:textId="16E4F249" w:rsidR="004E31A8" w:rsidRPr="001455DC" w:rsidRDefault="004E31A8" w:rsidP="004E31A8">
            <w:pPr>
              <w:pStyle w:val="Tablebody"/>
              <w:rPr>
                <w:lang w:eastAsia="de-DE"/>
              </w:rPr>
            </w:pPr>
            <w:r w:rsidRPr="009D3012">
              <w:rPr>
                <w:lang w:eastAsia="de-DE"/>
              </w:rPr>
              <w:t>9.4(3)</w:t>
            </w:r>
          </w:p>
        </w:tc>
      </w:tr>
      <w:tr w:rsidR="004E31A8" w:rsidRPr="001455DC" w14:paraId="41635A78" w14:textId="30E99EE2" w:rsidTr="00BE5EF4">
        <w:trPr>
          <w:cantSplit/>
        </w:trPr>
        <w:tc>
          <w:tcPr>
            <w:tcW w:w="1418" w:type="dxa"/>
            <w:shd w:val="clear" w:color="auto" w:fill="auto"/>
          </w:tcPr>
          <w:p w14:paraId="6EBF0AB0" w14:textId="77777777" w:rsidR="004E31A8" w:rsidRPr="009D3012" w:rsidRDefault="004E31A8" w:rsidP="004E31A8">
            <w:pPr>
              <w:pStyle w:val="Tablebody"/>
              <w:rPr>
                <w:rStyle w:val="CCMCvariableitalic"/>
              </w:rPr>
            </w:pPr>
            <w:r w:rsidRPr="001455DC">
              <w:rPr>
                <w:rStyle w:val="CCMCvariableitalic"/>
              </w:rPr>
              <w:t>ρ</w:t>
            </w:r>
            <w:r w:rsidRPr="001455DC">
              <w:rPr>
                <w:rStyle w:val="CCMCvariablesubscript"/>
              </w:rPr>
              <w:t>c</w:t>
            </w:r>
          </w:p>
        </w:tc>
        <w:tc>
          <w:tcPr>
            <w:tcW w:w="6548" w:type="dxa"/>
            <w:shd w:val="clear" w:color="auto" w:fill="auto"/>
          </w:tcPr>
          <w:p w14:paraId="3209EA04" w14:textId="77777777" w:rsidR="004E31A8" w:rsidRPr="001455DC" w:rsidRDefault="004E31A8" w:rsidP="000250B6">
            <w:pPr>
              <w:pStyle w:val="Tablebody"/>
              <w:jc w:val="left"/>
              <w:rPr>
                <w:lang w:eastAsia="de-DE"/>
              </w:rPr>
            </w:pPr>
            <w:r w:rsidRPr="001455DC">
              <w:rPr>
                <w:lang w:eastAsia="de-DE"/>
              </w:rPr>
              <w:t>Oven-dry density of concrete in kg/m</w:t>
            </w:r>
            <w:r w:rsidRPr="001455DC">
              <w:rPr>
                <w:rStyle w:val="CCMCvariablesuperscript"/>
              </w:rPr>
              <w:t>3</w:t>
            </w:r>
          </w:p>
        </w:tc>
        <w:tc>
          <w:tcPr>
            <w:tcW w:w="1984" w:type="dxa"/>
          </w:tcPr>
          <w:p w14:paraId="0D811687" w14:textId="682FA6CB" w:rsidR="004E31A8" w:rsidRPr="001455DC" w:rsidRDefault="004E31A8" w:rsidP="004E31A8">
            <w:pPr>
              <w:pStyle w:val="Tablebody"/>
              <w:rPr>
                <w:lang w:eastAsia="de-DE"/>
              </w:rPr>
            </w:pPr>
            <w:r w:rsidRPr="009D3012">
              <w:rPr>
                <w:lang w:eastAsia="de-DE"/>
              </w:rPr>
              <w:t>Table M.1</w:t>
            </w:r>
          </w:p>
        </w:tc>
      </w:tr>
      <w:tr w:rsidR="004E31A8" w:rsidRPr="001455DC" w14:paraId="64D9F579" w14:textId="2C49E507" w:rsidTr="00BE5EF4">
        <w:trPr>
          <w:cantSplit/>
        </w:trPr>
        <w:tc>
          <w:tcPr>
            <w:tcW w:w="1418" w:type="dxa"/>
            <w:shd w:val="clear" w:color="auto" w:fill="auto"/>
          </w:tcPr>
          <w:p w14:paraId="1B927E38" w14:textId="77777777" w:rsidR="004E31A8" w:rsidRPr="009D3012" w:rsidRDefault="004E31A8" w:rsidP="004E31A8">
            <w:pPr>
              <w:pStyle w:val="Tablebody"/>
              <w:rPr>
                <w:rStyle w:val="CCMCvariableitalic"/>
              </w:rPr>
            </w:pPr>
            <w:r w:rsidRPr="001455DC">
              <w:rPr>
                <w:rStyle w:val="CCMCvariableitalic"/>
              </w:rPr>
              <w:t>ρ</w:t>
            </w:r>
          </w:p>
        </w:tc>
        <w:tc>
          <w:tcPr>
            <w:tcW w:w="6548" w:type="dxa"/>
            <w:shd w:val="clear" w:color="auto" w:fill="auto"/>
          </w:tcPr>
          <w:p w14:paraId="5E00EEE7" w14:textId="77777777" w:rsidR="004E31A8" w:rsidRPr="001455DC" w:rsidRDefault="004E31A8" w:rsidP="000250B6">
            <w:pPr>
              <w:pStyle w:val="Tablebody"/>
              <w:jc w:val="left"/>
              <w:rPr>
                <w:lang w:eastAsia="de-DE"/>
              </w:rPr>
            </w:pPr>
            <w:r w:rsidRPr="001455DC">
              <w:rPr>
                <w:lang w:eastAsia="de-DE"/>
              </w:rPr>
              <w:t>Reinforcement ratio</w:t>
            </w:r>
          </w:p>
        </w:tc>
        <w:tc>
          <w:tcPr>
            <w:tcW w:w="1984" w:type="dxa"/>
          </w:tcPr>
          <w:p w14:paraId="29E408EC" w14:textId="77777777" w:rsidR="004E31A8" w:rsidRPr="001455DC" w:rsidRDefault="004E31A8" w:rsidP="004E31A8">
            <w:pPr>
              <w:pStyle w:val="Tablebody"/>
              <w:rPr>
                <w:lang w:eastAsia="de-DE"/>
              </w:rPr>
            </w:pPr>
          </w:p>
        </w:tc>
      </w:tr>
      <w:tr w:rsidR="004E31A8" w:rsidRPr="001455DC" w14:paraId="72C8B545" w14:textId="2C37153C" w:rsidTr="00BE5EF4">
        <w:trPr>
          <w:cantSplit/>
        </w:trPr>
        <w:tc>
          <w:tcPr>
            <w:tcW w:w="1418" w:type="dxa"/>
            <w:shd w:val="clear" w:color="auto" w:fill="auto"/>
          </w:tcPr>
          <w:p w14:paraId="18AB0FD5" w14:textId="77777777" w:rsidR="004E31A8" w:rsidRPr="009D3012" w:rsidRDefault="004E31A8" w:rsidP="004E31A8">
            <w:pPr>
              <w:pStyle w:val="Tablebody"/>
              <w:rPr>
                <w:rStyle w:val="CCMCvariableitalic"/>
              </w:rPr>
            </w:pPr>
            <w:r w:rsidRPr="001455DC">
              <w:rPr>
                <w:rStyle w:val="CCMCvariableitalic"/>
              </w:rPr>
              <w:t>ρ</w:t>
            </w:r>
            <w:r w:rsidRPr="001455DC">
              <w:rPr>
                <w:rStyle w:val="CCMCvariablesubscript"/>
              </w:rPr>
              <w:t>100</w:t>
            </w:r>
          </w:p>
        </w:tc>
        <w:tc>
          <w:tcPr>
            <w:tcW w:w="6548" w:type="dxa"/>
            <w:shd w:val="clear" w:color="auto" w:fill="auto"/>
          </w:tcPr>
          <w:p w14:paraId="758B0EEE" w14:textId="4B8DA0AD" w:rsidR="004E31A8" w:rsidRPr="001455DC" w:rsidRDefault="004E31A8" w:rsidP="000250B6">
            <w:pPr>
              <w:pStyle w:val="Tablebody"/>
              <w:jc w:val="left"/>
              <w:rPr>
                <w:lang w:eastAsia="de-DE"/>
              </w:rPr>
            </w:pPr>
            <w:r w:rsidRPr="001455DC">
              <w:rPr>
                <w:lang w:eastAsia="de-DE"/>
              </w:rPr>
              <w:t xml:space="preserve">Value of relaxation loss (in %), at 100 hours after tensioning and at a mean temperature of 20 </w:t>
            </w:r>
            <w:r w:rsidRPr="001455DC">
              <w:rPr>
                <w:rFonts w:ascii="Cambria Math" w:hAnsi="Cambria Math" w:cs="Cambria Math"/>
                <w:lang w:eastAsia="de-DE"/>
              </w:rPr>
              <w:t>°</w:t>
            </w:r>
            <w:r w:rsidRPr="001455DC">
              <w:rPr>
                <w:lang w:eastAsia="de-DE"/>
              </w:rPr>
              <w:t>C</w:t>
            </w:r>
          </w:p>
        </w:tc>
        <w:tc>
          <w:tcPr>
            <w:tcW w:w="1984" w:type="dxa"/>
          </w:tcPr>
          <w:p w14:paraId="58366DEC" w14:textId="52F507AC" w:rsidR="004E31A8" w:rsidRPr="001455DC" w:rsidRDefault="004E31A8">
            <w:pPr>
              <w:pStyle w:val="Tablebody"/>
              <w:rPr>
                <w:lang w:eastAsia="de-DE"/>
              </w:rPr>
            </w:pPr>
            <w:r w:rsidRPr="009D3012">
              <w:rPr>
                <w:lang w:eastAsia="de-DE"/>
              </w:rPr>
              <w:t>B.</w:t>
            </w:r>
            <w:r w:rsidR="00D63F75" w:rsidRPr="009D3012">
              <w:rPr>
                <w:lang w:eastAsia="de-DE"/>
              </w:rPr>
              <w:t>9</w:t>
            </w:r>
            <w:r w:rsidRPr="009D3012">
              <w:rPr>
                <w:lang w:eastAsia="de-DE"/>
              </w:rPr>
              <w:t>(3)</w:t>
            </w:r>
          </w:p>
        </w:tc>
      </w:tr>
      <w:tr w:rsidR="004E31A8" w:rsidRPr="001455DC" w14:paraId="27B579DD" w14:textId="3B23C962" w:rsidTr="00BE5EF4">
        <w:trPr>
          <w:cantSplit/>
        </w:trPr>
        <w:tc>
          <w:tcPr>
            <w:tcW w:w="1418" w:type="dxa"/>
            <w:shd w:val="clear" w:color="auto" w:fill="auto"/>
          </w:tcPr>
          <w:p w14:paraId="18DF1F2A" w14:textId="77777777" w:rsidR="004E31A8" w:rsidRPr="009D3012" w:rsidRDefault="004E31A8" w:rsidP="004E31A8">
            <w:pPr>
              <w:pStyle w:val="Tablebody"/>
              <w:rPr>
                <w:rStyle w:val="CCMCvariableitalic"/>
              </w:rPr>
            </w:pPr>
            <w:r w:rsidRPr="001455DC">
              <w:rPr>
                <w:rStyle w:val="CCMCvariableitalic"/>
              </w:rPr>
              <w:t>ρ</w:t>
            </w:r>
            <w:r w:rsidRPr="001455DC">
              <w:rPr>
                <w:rStyle w:val="CCMCvariablesubscript"/>
              </w:rPr>
              <w:t>1000</w:t>
            </w:r>
          </w:p>
        </w:tc>
        <w:tc>
          <w:tcPr>
            <w:tcW w:w="6548" w:type="dxa"/>
            <w:shd w:val="clear" w:color="auto" w:fill="auto"/>
          </w:tcPr>
          <w:p w14:paraId="42BB54EA" w14:textId="1A7F1B35" w:rsidR="004E31A8" w:rsidRPr="001455DC" w:rsidRDefault="004E31A8" w:rsidP="000250B6">
            <w:pPr>
              <w:pStyle w:val="Tablebody"/>
              <w:jc w:val="left"/>
            </w:pPr>
            <w:r w:rsidRPr="001455DC">
              <w:t xml:space="preserve">Value of relaxation loss (in %), at 1 000 hours after tensioning and at a mean temperature of 20 </w:t>
            </w:r>
            <w:r w:rsidRPr="001455DC">
              <w:rPr>
                <w:rFonts w:ascii="Cambria Math" w:hAnsi="Cambria Math" w:cs="Cambria Math"/>
              </w:rPr>
              <w:t>°</w:t>
            </w:r>
            <w:r w:rsidRPr="001455DC">
              <w:t>C</w:t>
            </w:r>
          </w:p>
        </w:tc>
        <w:tc>
          <w:tcPr>
            <w:tcW w:w="1984" w:type="dxa"/>
          </w:tcPr>
          <w:p w14:paraId="66F1757D" w14:textId="5569FA50" w:rsidR="004E31A8" w:rsidRPr="001455DC" w:rsidRDefault="004E31A8">
            <w:pPr>
              <w:pStyle w:val="Tablebody"/>
            </w:pPr>
            <w:r w:rsidRPr="009D3012">
              <w:rPr>
                <w:lang w:eastAsia="de-DE"/>
              </w:rPr>
              <w:t>B.</w:t>
            </w:r>
            <w:r w:rsidR="00D63F75" w:rsidRPr="009D3012">
              <w:rPr>
                <w:lang w:eastAsia="de-DE"/>
              </w:rPr>
              <w:t>9</w:t>
            </w:r>
            <w:r w:rsidRPr="009D3012">
              <w:rPr>
                <w:lang w:eastAsia="de-DE"/>
              </w:rPr>
              <w:t>(3)</w:t>
            </w:r>
          </w:p>
        </w:tc>
      </w:tr>
      <w:tr w:rsidR="004E31A8" w:rsidRPr="001455DC" w14:paraId="48FEFBA5" w14:textId="583521C9" w:rsidTr="00BE5EF4">
        <w:trPr>
          <w:cantSplit/>
        </w:trPr>
        <w:tc>
          <w:tcPr>
            <w:tcW w:w="1418" w:type="dxa"/>
            <w:shd w:val="clear" w:color="auto" w:fill="auto"/>
          </w:tcPr>
          <w:p w14:paraId="7810D97D" w14:textId="77777777" w:rsidR="004E31A8" w:rsidRPr="009D3012" w:rsidRDefault="004E31A8" w:rsidP="004E31A8">
            <w:pPr>
              <w:pStyle w:val="Tablebody"/>
              <w:rPr>
                <w:rStyle w:val="CCMCvariableitalic"/>
              </w:rPr>
            </w:pPr>
            <w:r w:rsidRPr="001455DC">
              <w:rPr>
                <w:rStyle w:val="CCMCvariableitalic"/>
              </w:rPr>
              <w:t>ρ</w:t>
            </w:r>
            <w:r w:rsidRPr="001455DC">
              <w:rPr>
                <w:rStyle w:val="CCMCvariablesubscript"/>
              </w:rPr>
              <w:t>conf</w:t>
            </w:r>
          </w:p>
        </w:tc>
        <w:tc>
          <w:tcPr>
            <w:tcW w:w="6548" w:type="dxa"/>
            <w:shd w:val="clear" w:color="auto" w:fill="auto"/>
          </w:tcPr>
          <w:p w14:paraId="3974982E" w14:textId="77777777" w:rsidR="004E31A8" w:rsidRPr="001455DC" w:rsidRDefault="004E31A8" w:rsidP="000250B6">
            <w:pPr>
              <w:pStyle w:val="Tablebody"/>
              <w:jc w:val="left"/>
              <w:rPr>
                <w:lang w:eastAsia="de-DE"/>
              </w:rPr>
            </w:pPr>
            <w:r w:rsidRPr="001455DC">
              <w:rPr>
                <w:lang w:eastAsia="de-DE"/>
              </w:rPr>
              <w:t>Ratio of the reinforcement providing confinement referred to the diameter of the bar to be anchored or spliced</w:t>
            </w:r>
          </w:p>
        </w:tc>
        <w:tc>
          <w:tcPr>
            <w:tcW w:w="1984" w:type="dxa"/>
          </w:tcPr>
          <w:p w14:paraId="095E1302" w14:textId="46E2ECB2" w:rsidR="004E31A8" w:rsidRPr="001455DC" w:rsidRDefault="004E31A8" w:rsidP="004E31A8">
            <w:pPr>
              <w:pStyle w:val="Tablebody"/>
              <w:rPr>
                <w:lang w:eastAsia="de-DE"/>
              </w:rPr>
            </w:pPr>
            <w:r w:rsidRPr="009D3012">
              <w:rPr>
                <w:lang w:eastAsia="de-DE"/>
              </w:rPr>
              <w:t>11.4.2(5)</w:t>
            </w:r>
          </w:p>
        </w:tc>
      </w:tr>
      <w:tr w:rsidR="004E31A8" w:rsidRPr="001455DC" w14:paraId="26428238" w14:textId="790BF848" w:rsidTr="00BE5EF4">
        <w:trPr>
          <w:cantSplit/>
        </w:trPr>
        <w:tc>
          <w:tcPr>
            <w:tcW w:w="1418" w:type="dxa"/>
            <w:shd w:val="clear" w:color="auto" w:fill="auto"/>
          </w:tcPr>
          <w:p w14:paraId="7908C819" w14:textId="77777777" w:rsidR="004E31A8" w:rsidRPr="009D3012" w:rsidRDefault="004E31A8" w:rsidP="004E31A8">
            <w:pPr>
              <w:pStyle w:val="Tablebody"/>
              <w:rPr>
                <w:rStyle w:val="CCMCvariableitalic"/>
              </w:rPr>
            </w:pPr>
            <w:r w:rsidRPr="001455DC">
              <w:rPr>
                <w:rStyle w:val="CCMCvariableitalic"/>
              </w:rPr>
              <w:t>ρ</w:t>
            </w:r>
            <w:r w:rsidRPr="001455DC">
              <w:rPr>
                <w:rStyle w:val="CCMCvariablesubscript"/>
              </w:rPr>
              <w:t>l</w:t>
            </w:r>
          </w:p>
        </w:tc>
        <w:tc>
          <w:tcPr>
            <w:tcW w:w="6548" w:type="dxa"/>
            <w:shd w:val="clear" w:color="auto" w:fill="auto"/>
          </w:tcPr>
          <w:p w14:paraId="60F15B25" w14:textId="67813EB2" w:rsidR="004E31A8" w:rsidRPr="001455DC" w:rsidRDefault="004E31A8" w:rsidP="000250B6">
            <w:pPr>
              <w:pStyle w:val="Tablebody"/>
              <w:jc w:val="left"/>
              <w:rPr>
                <w:lang w:eastAsia="de-DE"/>
              </w:rPr>
            </w:pPr>
            <w:r w:rsidRPr="001455DC">
              <w:rPr>
                <w:lang w:eastAsia="de-DE"/>
              </w:rPr>
              <w:t xml:space="preserve">Reinforcement ratio for bonded longitudinal reinforcement in the tensile zone due to bending referred to the nominal concrete area </w:t>
            </w:r>
            <w:r w:rsidRPr="001455DC">
              <w:rPr>
                <w:rStyle w:val="CCMCvariableitalic"/>
              </w:rPr>
              <w:t>d</w:t>
            </w:r>
            <w:r w:rsidRPr="001455DC">
              <w:rPr>
                <w:lang w:eastAsia="de-DE"/>
              </w:rPr>
              <w:t> </w:t>
            </w:r>
            <w:r w:rsidRPr="001455DC">
              <w:rPr>
                <w:rStyle w:val="CCMCvariableitalic"/>
              </w:rPr>
              <w:t>∙</w:t>
            </w:r>
            <w:r w:rsidRPr="001455DC">
              <w:rPr>
                <w:lang w:eastAsia="de-DE"/>
              </w:rPr>
              <w:t> </w:t>
            </w:r>
            <w:r w:rsidRPr="001455DC">
              <w:rPr>
                <w:rStyle w:val="CCMCvariableitalic"/>
              </w:rPr>
              <w:t>b</w:t>
            </w:r>
            <w:r w:rsidRPr="001455DC">
              <w:rPr>
                <w:rStyle w:val="CCMCvariablesubscript"/>
              </w:rPr>
              <w:t>w</w:t>
            </w:r>
          </w:p>
        </w:tc>
        <w:tc>
          <w:tcPr>
            <w:tcW w:w="1984" w:type="dxa"/>
          </w:tcPr>
          <w:p w14:paraId="5B40EA13" w14:textId="0A9F4C06" w:rsidR="004E31A8" w:rsidRPr="001455DC" w:rsidRDefault="004E31A8" w:rsidP="004E31A8">
            <w:pPr>
              <w:pStyle w:val="Tablebody"/>
              <w:rPr>
                <w:lang w:eastAsia="de-DE"/>
              </w:rPr>
            </w:pPr>
            <w:r w:rsidRPr="009D3012">
              <w:rPr>
                <w:lang w:eastAsia="de-DE"/>
              </w:rPr>
              <w:t>8.2.2(2), 8.2.2(6-7), 8.4.3(1)</w:t>
            </w:r>
          </w:p>
        </w:tc>
      </w:tr>
      <w:tr w:rsidR="004E31A8" w:rsidRPr="001455DC" w14:paraId="1D1C06B9" w14:textId="6460C7EC" w:rsidTr="00BE5EF4">
        <w:trPr>
          <w:cantSplit/>
        </w:trPr>
        <w:tc>
          <w:tcPr>
            <w:tcW w:w="1418" w:type="dxa"/>
            <w:shd w:val="clear" w:color="auto" w:fill="auto"/>
          </w:tcPr>
          <w:p w14:paraId="608A67C6" w14:textId="77777777" w:rsidR="004E31A8" w:rsidRPr="009D3012" w:rsidRDefault="004E31A8" w:rsidP="004E31A8">
            <w:pPr>
              <w:pStyle w:val="Tablebody"/>
              <w:rPr>
                <w:rStyle w:val="CCMCvariableitalic"/>
              </w:rPr>
            </w:pPr>
            <w:r w:rsidRPr="001455DC">
              <w:rPr>
                <w:rStyle w:val="CCMCvariableitalic"/>
              </w:rPr>
              <w:t>ρ</w:t>
            </w:r>
            <w:r w:rsidRPr="001455DC">
              <w:rPr>
                <w:rStyle w:val="CCMCvariablesubscript"/>
              </w:rPr>
              <w:t>l,x</w:t>
            </w:r>
            <w:r w:rsidRPr="001455DC">
              <w:t xml:space="preserve">, </w:t>
            </w:r>
            <w:r w:rsidRPr="001455DC">
              <w:rPr>
                <w:rStyle w:val="CCMCvariableitalic"/>
              </w:rPr>
              <w:t>ρ</w:t>
            </w:r>
            <w:r w:rsidRPr="001455DC">
              <w:rPr>
                <w:rStyle w:val="CCMCvariablesubscript"/>
              </w:rPr>
              <w:t>l,y</w:t>
            </w:r>
          </w:p>
        </w:tc>
        <w:tc>
          <w:tcPr>
            <w:tcW w:w="6548" w:type="dxa"/>
            <w:shd w:val="clear" w:color="auto" w:fill="auto"/>
          </w:tcPr>
          <w:p w14:paraId="38BBF112" w14:textId="77777777" w:rsidR="004E31A8" w:rsidRPr="001455DC" w:rsidRDefault="004E31A8" w:rsidP="000250B6">
            <w:pPr>
              <w:pStyle w:val="Tablebody"/>
              <w:jc w:val="left"/>
              <w:rPr>
                <w:lang w:eastAsia="de-DE"/>
              </w:rPr>
            </w:pPr>
            <w:r w:rsidRPr="001455DC">
              <w:rPr>
                <w:lang w:eastAsia="de-CH"/>
              </w:rPr>
              <w:t xml:space="preserve">Value of </w:t>
            </w:r>
            <w:r w:rsidRPr="001455DC">
              <w:rPr>
                <w:rStyle w:val="CCMCvariableitalic"/>
              </w:rPr>
              <w:t>ρ</w:t>
            </w:r>
            <w:r w:rsidRPr="001455DC">
              <w:rPr>
                <w:rStyle w:val="CCMCvariablesubscript"/>
              </w:rPr>
              <w:t>l</w:t>
            </w:r>
            <w:r w:rsidRPr="001455DC">
              <w:rPr>
                <w:lang w:eastAsia="de-CH"/>
              </w:rPr>
              <w:t xml:space="preserve"> in </w:t>
            </w:r>
            <w:r w:rsidRPr="001455DC">
              <w:rPr>
                <w:rStyle w:val="CCMCvariableitalic"/>
              </w:rPr>
              <w:t>x</w:t>
            </w:r>
            <w:r w:rsidRPr="001455DC">
              <w:rPr>
                <w:lang w:eastAsia="de-CH"/>
              </w:rPr>
              <w:t xml:space="preserve">- and </w:t>
            </w:r>
            <w:r w:rsidRPr="001455DC">
              <w:rPr>
                <w:rStyle w:val="CCMCvariableitalic"/>
              </w:rPr>
              <w:t>y</w:t>
            </w:r>
            <w:r w:rsidRPr="001455DC">
              <w:rPr>
                <w:lang w:eastAsia="de-CH"/>
              </w:rPr>
              <w:t>-directions, respectively</w:t>
            </w:r>
          </w:p>
        </w:tc>
        <w:tc>
          <w:tcPr>
            <w:tcW w:w="1984" w:type="dxa"/>
          </w:tcPr>
          <w:p w14:paraId="6FE28D96" w14:textId="1C34301D" w:rsidR="004E31A8" w:rsidRPr="001455DC" w:rsidRDefault="004E31A8" w:rsidP="004E31A8">
            <w:pPr>
              <w:pStyle w:val="Tablebody"/>
              <w:rPr>
                <w:lang w:eastAsia="de-CH"/>
              </w:rPr>
            </w:pPr>
            <w:r w:rsidRPr="009D3012">
              <w:rPr>
                <w:lang w:eastAsia="de-DE"/>
              </w:rPr>
              <w:t>8.2.2(7)</w:t>
            </w:r>
          </w:p>
        </w:tc>
      </w:tr>
      <w:tr w:rsidR="004E31A8" w:rsidRPr="001455DC" w14:paraId="1D468002" w14:textId="615EA010" w:rsidTr="00BE5EF4">
        <w:trPr>
          <w:cantSplit/>
        </w:trPr>
        <w:tc>
          <w:tcPr>
            <w:tcW w:w="1418" w:type="dxa"/>
            <w:shd w:val="clear" w:color="auto" w:fill="auto"/>
          </w:tcPr>
          <w:p w14:paraId="573AB01C" w14:textId="77777777" w:rsidR="004E31A8" w:rsidRPr="009D3012" w:rsidRDefault="004E31A8" w:rsidP="004E31A8">
            <w:pPr>
              <w:pStyle w:val="Tablebody"/>
              <w:rPr>
                <w:rStyle w:val="CCMCvariableitalic"/>
              </w:rPr>
            </w:pPr>
            <w:r w:rsidRPr="001455DC">
              <w:rPr>
                <w:rStyle w:val="CCMCvariableitalic"/>
              </w:rPr>
              <w:t>ρ</w:t>
            </w:r>
            <w:r w:rsidRPr="001455DC">
              <w:rPr>
                <w:rStyle w:val="CCMCvariablesubscript"/>
              </w:rPr>
              <w:t>min</w:t>
            </w:r>
          </w:p>
        </w:tc>
        <w:tc>
          <w:tcPr>
            <w:tcW w:w="6548" w:type="dxa"/>
            <w:shd w:val="clear" w:color="auto" w:fill="auto"/>
          </w:tcPr>
          <w:p w14:paraId="01831843" w14:textId="77777777" w:rsidR="004E31A8" w:rsidRPr="001455DC" w:rsidRDefault="004E31A8" w:rsidP="000250B6">
            <w:pPr>
              <w:pStyle w:val="Tablebody"/>
              <w:jc w:val="left"/>
              <w:rPr>
                <w:lang w:eastAsia="de-CH"/>
              </w:rPr>
            </w:pPr>
            <w:r w:rsidRPr="001455DC">
              <w:rPr>
                <w:lang w:eastAsia="de-DE"/>
              </w:rPr>
              <w:t xml:space="preserve">Minimum reinforcement ratio </w:t>
            </w:r>
          </w:p>
        </w:tc>
        <w:tc>
          <w:tcPr>
            <w:tcW w:w="1984" w:type="dxa"/>
          </w:tcPr>
          <w:p w14:paraId="062F674C" w14:textId="77777777" w:rsidR="004E31A8" w:rsidRPr="001455DC" w:rsidRDefault="004E31A8" w:rsidP="004E31A8">
            <w:pPr>
              <w:pStyle w:val="Tablebody"/>
              <w:rPr>
                <w:lang w:eastAsia="de-DE"/>
              </w:rPr>
            </w:pPr>
          </w:p>
        </w:tc>
      </w:tr>
      <w:tr w:rsidR="004E31A8" w:rsidRPr="001455DC" w14:paraId="1E1FA869" w14:textId="639A8E26" w:rsidTr="00BE5EF4">
        <w:trPr>
          <w:cantSplit/>
        </w:trPr>
        <w:tc>
          <w:tcPr>
            <w:tcW w:w="1418" w:type="dxa"/>
            <w:shd w:val="clear" w:color="auto" w:fill="auto"/>
          </w:tcPr>
          <w:p w14:paraId="34A99303" w14:textId="77777777" w:rsidR="004E31A8" w:rsidRPr="009D3012" w:rsidRDefault="004E31A8" w:rsidP="004E31A8">
            <w:pPr>
              <w:pStyle w:val="Tablebody"/>
              <w:rPr>
                <w:rStyle w:val="CCMCvariableitalic"/>
              </w:rPr>
            </w:pPr>
            <w:r w:rsidRPr="001455DC">
              <w:rPr>
                <w:rStyle w:val="CCMCvariableitalic"/>
              </w:rPr>
              <w:t>ρ</w:t>
            </w:r>
            <w:r w:rsidRPr="001455DC">
              <w:rPr>
                <w:rStyle w:val="CCMCvariablesubscript"/>
              </w:rPr>
              <w:t>p</w:t>
            </w:r>
          </w:p>
        </w:tc>
        <w:tc>
          <w:tcPr>
            <w:tcW w:w="6548" w:type="dxa"/>
            <w:shd w:val="clear" w:color="auto" w:fill="auto"/>
          </w:tcPr>
          <w:p w14:paraId="6879A79A" w14:textId="77777777" w:rsidR="004E31A8" w:rsidRPr="001455DC" w:rsidRDefault="004E31A8" w:rsidP="000250B6">
            <w:pPr>
              <w:pStyle w:val="Tablebody"/>
              <w:jc w:val="left"/>
              <w:rPr>
                <w:lang w:eastAsia="de-DE"/>
              </w:rPr>
            </w:pPr>
            <w:r w:rsidRPr="001455DC">
              <w:rPr>
                <w:lang w:eastAsia="de-DE"/>
              </w:rPr>
              <w:t>Tensile reinforcement ratio accounting for the different bond properties of reinforcing bars and prestressing tendons</w:t>
            </w:r>
          </w:p>
        </w:tc>
        <w:tc>
          <w:tcPr>
            <w:tcW w:w="1984" w:type="dxa"/>
          </w:tcPr>
          <w:p w14:paraId="3B4C22D8" w14:textId="19268947" w:rsidR="004E31A8" w:rsidRPr="001455DC" w:rsidRDefault="004E31A8" w:rsidP="004E31A8">
            <w:pPr>
              <w:pStyle w:val="Tablebody"/>
              <w:rPr>
                <w:lang w:eastAsia="de-DE"/>
              </w:rPr>
            </w:pPr>
            <w:r w:rsidRPr="009D3012">
              <w:rPr>
                <w:lang w:eastAsia="de-DE"/>
              </w:rPr>
              <w:t>9.2.3(1)</w:t>
            </w:r>
          </w:p>
        </w:tc>
      </w:tr>
      <w:tr w:rsidR="004E31A8" w:rsidRPr="001455DC" w14:paraId="2E575CDC" w14:textId="72E1868B" w:rsidTr="00BE5EF4">
        <w:trPr>
          <w:cantSplit/>
        </w:trPr>
        <w:tc>
          <w:tcPr>
            <w:tcW w:w="1418" w:type="dxa"/>
            <w:shd w:val="clear" w:color="auto" w:fill="auto"/>
          </w:tcPr>
          <w:p w14:paraId="3F8C7DB1" w14:textId="77777777" w:rsidR="004E31A8" w:rsidRPr="009D3012" w:rsidRDefault="004E31A8" w:rsidP="004E31A8">
            <w:pPr>
              <w:pStyle w:val="Tablebody"/>
              <w:rPr>
                <w:rStyle w:val="CCMCvariableitalic"/>
              </w:rPr>
            </w:pPr>
            <w:r w:rsidRPr="001455DC">
              <w:rPr>
                <w:rStyle w:val="CCMCvariableitalic"/>
              </w:rPr>
              <w:t>ρ</w:t>
            </w:r>
            <w:r w:rsidRPr="001455DC">
              <w:rPr>
                <w:rStyle w:val="CCMCvariablesubscript"/>
              </w:rPr>
              <w:t>p,eff</w:t>
            </w:r>
          </w:p>
        </w:tc>
        <w:tc>
          <w:tcPr>
            <w:tcW w:w="6548" w:type="dxa"/>
            <w:shd w:val="clear" w:color="auto" w:fill="auto"/>
          </w:tcPr>
          <w:p w14:paraId="0BBEB5F6" w14:textId="77777777" w:rsidR="004E31A8" w:rsidRPr="001455DC" w:rsidRDefault="004E31A8" w:rsidP="000250B6">
            <w:pPr>
              <w:pStyle w:val="Tablebody"/>
              <w:jc w:val="left"/>
              <w:rPr>
                <w:lang w:eastAsia="de-DE"/>
              </w:rPr>
            </w:pPr>
            <w:r w:rsidRPr="001455DC">
              <w:rPr>
                <w:lang w:eastAsia="de-DE"/>
              </w:rPr>
              <w:t>Tensile reinforcement ratio accounting for the different bond properties of reinforcing bars and prestressing tendons, referred to the effective concrete area</w:t>
            </w:r>
          </w:p>
        </w:tc>
        <w:tc>
          <w:tcPr>
            <w:tcW w:w="1984" w:type="dxa"/>
          </w:tcPr>
          <w:p w14:paraId="50F366AD" w14:textId="766D19DE" w:rsidR="004E31A8" w:rsidRPr="001455DC" w:rsidRDefault="004E31A8" w:rsidP="004E31A8">
            <w:pPr>
              <w:pStyle w:val="Tablebody"/>
              <w:rPr>
                <w:lang w:eastAsia="de-DE"/>
              </w:rPr>
            </w:pPr>
            <w:r w:rsidRPr="009D3012">
              <w:rPr>
                <w:lang w:eastAsia="de-DE"/>
              </w:rPr>
              <w:t>9.2.4(2)</w:t>
            </w:r>
          </w:p>
        </w:tc>
      </w:tr>
      <w:tr w:rsidR="004E31A8" w:rsidRPr="001455DC" w14:paraId="6FACA29F" w14:textId="24B6CF25" w:rsidTr="00BE5EF4">
        <w:trPr>
          <w:cantSplit/>
        </w:trPr>
        <w:tc>
          <w:tcPr>
            <w:tcW w:w="1418" w:type="dxa"/>
            <w:shd w:val="clear" w:color="auto" w:fill="auto"/>
          </w:tcPr>
          <w:p w14:paraId="68922A21" w14:textId="77777777" w:rsidR="004E31A8" w:rsidRPr="009D3012" w:rsidRDefault="004E31A8" w:rsidP="004E31A8">
            <w:pPr>
              <w:pStyle w:val="Tablebody"/>
              <w:rPr>
                <w:rStyle w:val="CCMCvariableitalic"/>
              </w:rPr>
            </w:pPr>
            <w:r w:rsidRPr="001455DC">
              <w:rPr>
                <w:rStyle w:val="CCMCvariableitalic"/>
              </w:rPr>
              <w:t>ρ</w:t>
            </w:r>
            <w:r w:rsidRPr="001455DC">
              <w:rPr>
                <w:rStyle w:val="CCMCvariablesubscript"/>
              </w:rPr>
              <w:t>w</w:t>
            </w:r>
          </w:p>
        </w:tc>
        <w:tc>
          <w:tcPr>
            <w:tcW w:w="6548" w:type="dxa"/>
            <w:shd w:val="clear" w:color="auto" w:fill="auto"/>
          </w:tcPr>
          <w:p w14:paraId="4A671565" w14:textId="77777777" w:rsidR="004E31A8" w:rsidRPr="001455DC" w:rsidRDefault="004E31A8" w:rsidP="000250B6">
            <w:pPr>
              <w:pStyle w:val="Tablebody"/>
              <w:jc w:val="left"/>
              <w:rPr>
                <w:lang w:eastAsia="de-DE"/>
              </w:rPr>
            </w:pPr>
            <w:r w:rsidRPr="001455DC">
              <w:rPr>
                <w:lang w:eastAsia="de-DE"/>
              </w:rPr>
              <w:t>Shear reinforcement ratio</w:t>
            </w:r>
          </w:p>
        </w:tc>
        <w:tc>
          <w:tcPr>
            <w:tcW w:w="1984" w:type="dxa"/>
          </w:tcPr>
          <w:p w14:paraId="14357F2F" w14:textId="528658E0" w:rsidR="004E31A8" w:rsidRPr="001455DC" w:rsidRDefault="004E31A8" w:rsidP="004E31A8">
            <w:pPr>
              <w:pStyle w:val="Tablebody"/>
              <w:rPr>
                <w:lang w:eastAsia="de-DE"/>
              </w:rPr>
            </w:pPr>
            <w:r w:rsidRPr="009D3012">
              <w:rPr>
                <w:lang w:eastAsia="de-DE"/>
              </w:rPr>
              <w:t>8.2.3(4), 8.4.4(1)</w:t>
            </w:r>
          </w:p>
        </w:tc>
      </w:tr>
      <w:tr w:rsidR="004E31A8" w:rsidRPr="001455DC" w14:paraId="77019CC8" w14:textId="635CDF27" w:rsidTr="00BE5EF4">
        <w:trPr>
          <w:cantSplit/>
        </w:trPr>
        <w:tc>
          <w:tcPr>
            <w:tcW w:w="1418" w:type="dxa"/>
            <w:shd w:val="clear" w:color="auto" w:fill="auto"/>
          </w:tcPr>
          <w:p w14:paraId="4CE7B349" w14:textId="77777777" w:rsidR="004E31A8" w:rsidRPr="009D3012" w:rsidRDefault="004E31A8" w:rsidP="004E31A8">
            <w:pPr>
              <w:pStyle w:val="Tablebody"/>
              <w:rPr>
                <w:rStyle w:val="CCMCvariableitalic"/>
              </w:rPr>
            </w:pPr>
            <w:r w:rsidRPr="001455DC">
              <w:rPr>
                <w:rStyle w:val="CCMCvariableitalic"/>
              </w:rPr>
              <w:t>ρ</w:t>
            </w:r>
            <w:r w:rsidRPr="001455DC">
              <w:rPr>
                <w:rStyle w:val="CCMCvariablesubscript"/>
              </w:rPr>
              <w:t>w,min</w:t>
            </w:r>
          </w:p>
        </w:tc>
        <w:tc>
          <w:tcPr>
            <w:tcW w:w="6548" w:type="dxa"/>
            <w:shd w:val="clear" w:color="auto" w:fill="auto"/>
          </w:tcPr>
          <w:p w14:paraId="6FD5C55E" w14:textId="77777777" w:rsidR="004E31A8" w:rsidRPr="001455DC" w:rsidRDefault="004E31A8" w:rsidP="000250B6">
            <w:pPr>
              <w:pStyle w:val="Tablebody"/>
              <w:jc w:val="left"/>
              <w:rPr>
                <w:lang w:eastAsia="de-DE"/>
              </w:rPr>
            </w:pPr>
            <w:r w:rsidRPr="001455DC">
              <w:rPr>
                <w:lang w:eastAsia="de-DE"/>
              </w:rPr>
              <w:t>Minimum shear reinforcement ratio</w:t>
            </w:r>
          </w:p>
        </w:tc>
        <w:tc>
          <w:tcPr>
            <w:tcW w:w="1984" w:type="dxa"/>
          </w:tcPr>
          <w:p w14:paraId="7CE9B408" w14:textId="070C73B4" w:rsidR="004E31A8" w:rsidRPr="001455DC" w:rsidRDefault="004E31A8" w:rsidP="004E31A8">
            <w:pPr>
              <w:pStyle w:val="Tablebody"/>
              <w:rPr>
                <w:lang w:eastAsia="de-DE"/>
              </w:rPr>
            </w:pPr>
            <w:r w:rsidRPr="009D3012">
              <w:rPr>
                <w:lang w:eastAsia="de-DE"/>
              </w:rPr>
              <w:t>12.1.1, 12.7(2)</w:t>
            </w:r>
          </w:p>
        </w:tc>
      </w:tr>
      <w:tr w:rsidR="004E31A8" w:rsidRPr="001455DC" w14:paraId="26A9576C" w14:textId="2CAC8115" w:rsidTr="00BE5EF4">
        <w:trPr>
          <w:cantSplit/>
        </w:trPr>
        <w:tc>
          <w:tcPr>
            <w:tcW w:w="1418" w:type="dxa"/>
            <w:shd w:val="clear" w:color="auto" w:fill="auto"/>
          </w:tcPr>
          <w:p w14:paraId="13E8ABC1" w14:textId="77777777" w:rsidR="004E31A8" w:rsidRPr="009D3012" w:rsidRDefault="004E31A8" w:rsidP="004E31A8">
            <w:pPr>
              <w:pStyle w:val="Tablebody"/>
              <w:rPr>
                <w:rStyle w:val="CCMCvariableitalic"/>
              </w:rPr>
            </w:pPr>
            <w:r w:rsidRPr="001455DC">
              <w:rPr>
                <w:rStyle w:val="CCMCvariableitalic"/>
              </w:rPr>
              <w:t>ρ</w:t>
            </w:r>
            <w:r w:rsidRPr="001455DC">
              <w:rPr>
                <w:rStyle w:val="CCMCvariablesubscript"/>
              </w:rPr>
              <w:t>w,stir</w:t>
            </w:r>
          </w:p>
        </w:tc>
        <w:tc>
          <w:tcPr>
            <w:tcW w:w="6548" w:type="dxa"/>
            <w:shd w:val="clear" w:color="auto" w:fill="auto"/>
          </w:tcPr>
          <w:p w14:paraId="6011D1C5" w14:textId="77777777" w:rsidR="004E31A8" w:rsidRPr="001455DC" w:rsidRDefault="004E31A8" w:rsidP="000250B6">
            <w:pPr>
              <w:pStyle w:val="Tablebody"/>
              <w:jc w:val="left"/>
              <w:rPr>
                <w:lang w:eastAsia="de-DE"/>
              </w:rPr>
            </w:pPr>
            <w:r w:rsidRPr="001455DC">
              <w:t>Minimum ratio of shear and torsion reinforcement in the form of stirrups</w:t>
            </w:r>
          </w:p>
        </w:tc>
        <w:tc>
          <w:tcPr>
            <w:tcW w:w="1984" w:type="dxa"/>
          </w:tcPr>
          <w:p w14:paraId="70E0C4F0" w14:textId="03BF6A34" w:rsidR="004E31A8" w:rsidRPr="001455DC" w:rsidRDefault="004E31A8" w:rsidP="004E31A8">
            <w:pPr>
              <w:pStyle w:val="Tablebody"/>
            </w:pPr>
            <w:r w:rsidRPr="009D3012">
              <w:rPr>
                <w:lang w:eastAsia="de-DE"/>
              </w:rPr>
              <w:t>12.2.1.(2)</w:t>
            </w:r>
          </w:p>
        </w:tc>
      </w:tr>
      <w:tr w:rsidR="004E31A8" w:rsidRPr="001455DC" w14:paraId="19B70771" w14:textId="79F021DF" w:rsidTr="00BE5EF4">
        <w:trPr>
          <w:cantSplit/>
        </w:trPr>
        <w:tc>
          <w:tcPr>
            <w:tcW w:w="1418" w:type="dxa"/>
            <w:shd w:val="clear" w:color="auto" w:fill="auto"/>
          </w:tcPr>
          <w:p w14:paraId="498B9071" w14:textId="77777777" w:rsidR="004E31A8" w:rsidRPr="001455DC" w:rsidRDefault="004E31A8" w:rsidP="004E31A8">
            <w:pPr>
              <w:pStyle w:val="Tablebody"/>
            </w:pPr>
            <w:r w:rsidRPr="001455DC">
              <w:rPr>
                <w:rStyle w:val="CCMCvariableitalic"/>
              </w:rPr>
              <w:t>σ</w:t>
            </w:r>
            <w:r w:rsidRPr="001455DC">
              <w:rPr>
                <w:rStyle w:val="CCMCvariablesubscript"/>
              </w:rPr>
              <w:t>1</w:t>
            </w:r>
          </w:p>
        </w:tc>
        <w:tc>
          <w:tcPr>
            <w:tcW w:w="6548" w:type="dxa"/>
            <w:shd w:val="clear" w:color="auto" w:fill="auto"/>
          </w:tcPr>
          <w:p w14:paraId="0A312076" w14:textId="77777777" w:rsidR="004E31A8" w:rsidRPr="001455DC" w:rsidRDefault="004E31A8" w:rsidP="000250B6">
            <w:pPr>
              <w:pStyle w:val="Tablebody"/>
              <w:jc w:val="left"/>
            </w:pPr>
            <w:r w:rsidRPr="001455DC">
              <w:t>Maximum tensile stress in uncracked concrete</w:t>
            </w:r>
          </w:p>
        </w:tc>
        <w:tc>
          <w:tcPr>
            <w:tcW w:w="1984" w:type="dxa"/>
          </w:tcPr>
          <w:p w14:paraId="0C505D6E" w14:textId="615A0E00" w:rsidR="004E31A8" w:rsidRPr="001455DC" w:rsidRDefault="004E31A8" w:rsidP="004E31A8">
            <w:pPr>
              <w:pStyle w:val="Tablebody"/>
            </w:pPr>
            <w:r w:rsidRPr="009D3012">
              <w:rPr>
                <w:lang w:eastAsia="de-DE"/>
              </w:rPr>
              <w:t>D1.2</w:t>
            </w:r>
          </w:p>
        </w:tc>
      </w:tr>
      <w:tr w:rsidR="004E31A8" w:rsidRPr="001455DC" w14:paraId="3F62551B" w14:textId="021CEA5B" w:rsidTr="00BE5EF4">
        <w:trPr>
          <w:cantSplit/>
        </w:trPr>
        <w:tc>
          <w:tcPr>
            <w:tcW w:w="1418" w:type="dxa"/>
            <w:shd w:val="clear" w:color="auto" w:fill="auto"/>
          </w:tcPr>
          <w:p w14:paraId="1DA532D9" w14:textId="77777777" w:rsidR="004E31A8" w:rsidRPr="009D3012" w:rsidRDefault="004E31A8" w:rsidP="004E31A8">
            <w:pPr>
              <w:pStyle w:val="Tablebody"/>
              <w:rPr>
                <w:rStyle w:val="CCMCvariableitalic"/>
              </w:rPr>
            </w:pPr>
            <w:r w:rsidRPr="001455DC">
              <w:rPr>
                <w:rStyle w:val="CCMCvariableitalic"/>
              </w:rPr>
              <w:t>σ</w:t>
            </w:r>
            <w:r w:rsidRPr="001455DC">
              <w:rPr>
                <w:rStyle w:val="CCMCvariablesubscript"/>
              </w:rPr>
              <w:t>ad</w:t>
            </w:r>
          </w:p>
        </w:tc>
        <w:tc>
          <w:tcPr>
            <w:tcW w:w="6548" w:type="dxa"/>
            <w:shd w:val="clear" w:color="auto" w:fill="auto"/>
          </w:tcPr>
          <w:p w14:paraId="659C7C88" w14:textId="77777777" w:rsidR="004E31A8" w:rsidRPr="001455DC" w:rsidRDefault="004E31A8" w:rsidP="000250B6">
            <w:pPr>
              <w:pStyle w:val="Tablebody"/>
              <w:jc w:val="left"/>
              <w:rPr>
                <w:lang w:eastAsia="de-DE"/>
              </w:rPr>
            </w:pPr>
            <w:r w:rsidRPr="001455DC">
              <w:t>Design stress in reinforcing steel for dimensioning the anchorage or a lap splice</w:t>
            </w:r>
          </w:p>
        </w:tc>
        <w:tc>
          <w:tcPr>
            <w:tcW w:w="1984" w:type="dxa"/>
          </w:tcPr>
          <w:p w14:paraId="2A574AAD" w14:textId="56D81048" w:rsidR="004E31A8" w:rsidRPr="001455DC" w:rsidRDefault="004E31A8" w:rsidP="004E31A8">
            <w:pPr>
              <w:pStyle w:val="Tablebody"/>
            </w:pPr>
            <w:r w:rsidRPr="009D3012">
              <w:rPr>
                <w:lang w:eastAsia="de-DE"/>
              </w:rPr>
              <w:t>12.1.2(2)</w:t>
            </w:r>
          </w:p>
        </w:tc>
      </w:tr>
      <w:tr w:rsidR="004E31A8" w:rsidRPr="001455DC" w14:paraId="69D4CD57" w14:textId="71D8895E" w:rsidTr="00BE5EF4">
        <w:trPr>
          <w:cantSplit/>
        </w:trPr>
        <w:tc>
          <w:tcPr>
            <w:tcW w:w="1418" w:type="dxa"/>
            <w:shd w:val="clear" w:color="auto" w:fill="auto"/>
          </w:tcPr>
          <w:p w14:paraId="3A67D5A2" w14:textId="77777777" w:rsidR="004E31A8" w:rsidRPr="009D3012" w:rsidRDefault="004E31A8" w:rsidP="004E31A8">
            <w:pPr>
              <w:pStyle w:val="Tablebody"/>
              <w:rPr>
                <w:rStyle w:val="CCMCvariableitalic"/>
              </w:rPr>
            </w:pPr>
            <w:r w:rsidRPr="001455DC">
              <w:rPr>
                <w:rStyle w:val="CCMCvariableitalic"/>
              </w:rPr>
              <w:t>σ</w:t>
            </w:r>
            <w:r w:rsidRPr="001455DC">
              <w:rPr>
                <w:rStyle w:val="CCMCvariablesubscript"/>
              </w:rPr>
              <w:t>c</w:t>
            </w:r>
          </w:p>
        </w:tc>
        <w:tc>
          <w:tcPr>
            <w:tcW w:w="6548" w:type="dxa"/>
            <w:shd w:val="clear" w:color="auto" w:fill="auto"/>
          </w:tcPr>
          <w:p w14:paraId="3C7B861D" w14:textId="77777777" w:rsidR="004E31A8" w:rsidRPr="001455DC" w:rsidRDefault="004E31A8" w:rsidP="000250B6">
            <w:pPr>
              <w:pStyle w:val="Tablebody"/>
              <w:jc w:val="left"/>
              <w:rPr>
                <w:lang w:eastAsia="de-DE"/>
              </w:rPr>
            </w:pPr>
            <w:r w:rsidRPr="001455DC">
              <w:rPr>
                <w:lang w:eastAsia="de-DE"/>
              </w:rPr>
              <w:t>Compressive stress in the concrete</w:t>
            </w:r>
          </w:p>
        </w:tc>
        <w:tc>
          <w:tcPr>
            <w:tcW w:w="1984" w:type="dxa"/>
          </w:tcPr>
          <w:p w14:paraId="1B1AC6AC" w14:textId="39F584C8" w:rsidR="004E31A8" w:rsidRPr="001455DC" w:rsidRDefault="004E31A8" w:rsidP="004E31A8">
            <w:pPr>
              <w:pStyle w:val="Tablebody"/>
              <w:rPr>
                <w:lang w:eastAsia="de-DE"/>
              </w:rPr>
            </w:pPr>
            <w:r w:rsidRPr="009D3012">
              <w:rPr>
                <w:lang w:eastAsia="de-DE"/>
              </w:rPr>
              <w:t>5.1.6(1)</w:t>
            </w:r>
          </w:p>
        </w:tc>
      </w:tr>
      <w:tr w:rsidR="004E31A8" w:rsidRPr="001455DC" w14:paraId="600909F9" w14:textId="6D448122" w:rsidTr="00BE5EF4">
        <w:trPr>
          <w:cantSplit/>
        </w:trPr>
        <w:tc>
          <w:tcPr>
            <w:tcW w:w="1418" w:type="dxa"/>
            <w:shd w:val="clear" w:color="auto" w:fill="auto"/>
          </w:tcPr>
          <w:p w14:paraId="23D67566" w14:textId="77777777" w:rsidR="004E31A8" w:rsidRPr="009D3012" w:rsidRDefault="004E31A8" w:rsidP="004E31A8">
            <w:pPr>
              <w:pStyle w:val="Tablebody"/>
              <w:rPr>
                <w:rStyle w:val="CCMCvariableitalic"/>
              </w:rPr>
            </w:pPr>
            <w:r w:rsidRPr="001455DC">
              <w:rPr>
                <w:rStyle w:val="CCMCvariableitalic"/>
              </w:rPr>
              <w:t>σ</w:t>
            </w:r>
            <w:r w:rsidRPr="001455DC">
              <w:rPr>
                <w:rStyle w:val="CCMCvariablesubscript"/>
              </w:rPr>
              <w:t>cd</w:t>
            </w:r>
          </w:p>
        </w:tc>
        <w:tc>
          <w:tcPr>
            <w:tcW w:w="6548" w:type="dxa"/>
            <w:shd w:val="clear" w:color="auto" w:fill="auto"/>
          </w:tcPr>
          <w:p w14:paraId="75628804" w14:textId="77777777" w:rsidR="004E31A8" w:rsidRPr="001455DC" w:rsidRDefault="004E31A8" w:rsidP="000250B6">
            <w:pPr>
              <w:pStyle w:val="Tablebody"/>
              <w:jc w:val="left"/>
              <w:rPr>
                <w:lang w:eastAsia="de-DE"/>
              </w:rPr>
            </w:pPr>
            <w:r w:rsidRPr="001455DC">
              <w:rPr>
                <w:lang w:eastAsia="de-DE"/>
              </w:rPr>
              <w:t>Design value of compressive stress in the concrete</w:t>
            </w:r>
          </w:p>
        </w:tc>
        <w:tc>
          <w:tcPr>
            <w:tcW w:w="1984" w:type="dxa"/>
          </w:tcPr>
          <w:p w14:paraId="781AEE95" w14:textId="1AF3B258" w:rsidR="004E31A8" w:rsidRPr="001455DC" w:rsidRDefault="004E31A8" w:rsidP="004E31A8">
            <w:pPr>
              <w:pStyle w:val="Tablebody"/>
              <w:rPr>
                <w:lang w:eastAsia="de-DE"/>
              </w:rPr>
            </w:pPr>
            <w:r w:rsidRPr="009D3012">
              <w:rPr>
                <w:lang w:eastAsia="de-DE"/>
              </w:rPr>
              <w:t>8.1.2, 8.2.3(4), 8.2.3(13), 8.2.5(4), 8.5.2(2-3)</w:t>
            </w:r>
          </w:p>
        </w:tc>
      </w:tr>
      <w:tr w:rsidR="004E31A8" w:rsidRPr="001455DC" w14:paraId="47C11E2B" w14:textId="3C3FC66F" w:rsidTr="00BE5EF4">
        <w:trPr>
          <w:cantSplit/>
        </w:trPr>
        <w:tc>
          <w:tcPr>
            <w:tcW w:w="1418" w:type="dxa"/>
            <w:shd w:val="clear" w:color="auto" w:fill="auto"/>
          </w:tcPr>
          <w:p w14:paraId="55D06D7F" w14:textId="77777777" w:rsidR="004E31A8" w:rsidRPr="009D3012" w:rsidRDefault="004E31A8" w:rsidP="004E31A8">
            <w:pPr>
              <w:pStyle w:val="Tablebody"/>
              <w:rPr>
                <w:rStyle w:val="CCMCvariableitalic"/>
              </w:rPr>
            </w:pPr>
            <w:r w:rsidRPr="001455DC">
              <w:rPr>
                <w:rStyle w:val="CCMCvariableitalic"/>
              </w:rPr>
              <w:t>σ</w:t>
            </w:r>
            <w:r w:rsidRPr="001455DC">
              <w:rPr>
                <w:rStyle w:val="CCMCvariablesubscript"/>
              </w:rPr>
              <w:t>c2d</w:t>
            </w:r>
          </w:p>
        </w:tc>
        <w:tc>
          <w:tcPr>
            <w:tcW w:w="6548" w:type="dxa"/>
            <w:shd w:val="clear" w:color="auto" w:fill="auto"/>
          </w:tcPr>
          <w:p w14:paraId="38058B63" w14:textId="77777777" w:rsidR="004E31A8" w:rsidRPr="001455DC" w:rsidRDefault="004E31A8" w:rsidP="000250B6">
            <w:pPr>
              <w:pStyle w:val="Tablebody"/>
              <w:jc w:val="left"/>
              <w:rPr>
                <w:lang w:eastAsia="de-DE"/>
              </w:rPr>
            </w:pPr>
            <w:r w:rsidRPr="001455DC">
              <w:rPr>
                <w:lang w:eastAsia="de-DE"/>
              </w:rPr>
              <w:t>Design value of the transverse stress in concrete due to confinement or minimum transverse compression stress due to external actions (compression positive).</w:t>
            </w:r>
          </w:p>
        </w:tc>
        <w:tc>
          <w:tcPr>
            <w:tcW w:w="1984" w:type="dxa"/>
          </w:tcPr>
          <w:p w14:paraId="75AC7759" w14:textId="120D8A9A" w:rsidR="004E31A8" w:rsidRPr="001455DC" w:rsidRDefault="004E31A8" w:rsidP="004E31A8">
            <w:pPr>
              <w:pStyle w:val="Tablebody"/>
              <w:rPr>
                <w:lang w:eastAsia="de-DE"/>
              </w:rPr>
            </w:pPr>
            <w:r w:rsidRPr="009D3012">
              <w:rPr>
                <w:lang w:eastAsia="de-DE"/>
              </w:rPr>
              <w:t>8.1.4</w:t>
            </w:r>
          </w:p>
        </w:tc>
      </w:tr>
      <w:tr w:rsidR="004E31A8" w:rsidRPr="001455DC" w14:paraId="0920889D" w14:textId="746B882A" w:rsidTr="00BE5EF4">
        <w:trPr>
          <w:cantSplit/>
        </w:trPr>
        <w:tc>
          <w:tcPr>
            <w:tcW w:w="1418" w:type="dxa"/>
            <w:shd w:val="clear" w:color="auto" w:fill="auto"/>
          </w:tcPr>
          <w:p w14:paraId="56AF4338" w14:textId="77777777" w:rsidR="004E31A8" w:rsidRPr="009D3012" w:rsidRDefault="004E31A8" w:rsidP="004E31A8">
            <w:pPr>
              <w:pStyle w:val="Tablebody"/>
              <w:rPr>
                <w:rStyle w:val="CCMCvariableitalic"/>
              </w:rPr>
            </w:pPr>
            <w:r w:rsidRPr="001455DC">
              <w:rPr>
                <w:rStyle w:val="CCMCvariableitalic"/>
              </w:rPr>
              <w:t>σ</w:t>
            </w:r>
            <w:r w:rsidRPr="001455DC">
              <w:rPr>
                <w:rStyle w:val="CCMCvariablesubscript"/>
              </w:rPr>
              <w:t>c,lim</w:t>
            </w:r>
          </w:p>
        </w:tc>
        <w:tc>
          <w:tcPr>
            <w:tcW w:w="6548" w:type="dxa"/>
            <w:shd w:val="clear" w:color="auto" w:fill="auto"/>
          </w:tcPr>
          <w:p w14:paraId="1CB28EE4" w14:textId="77777777" w:rsidR="004E31A8" w:rsidRPr="001455DC" w:rsidRDefault="004E31A8" w:rsidP="000250B6">
            <w:pPr>
              <w:pStyle w:val="Tablebody"/>
              <w:jc w:val="left"/>
              <w:rPr>
                <w:lang w:eastAsia="de-DE"/>
              </w:rPr>
            </w:pPr>
            <w:r w:rsidRPr="001455DC">
              <w:rPr>
                <w:lang w:eastAsia="de-DE"/>
              </w:rPr>
              <w:t>Limited compressive stress for shear strength in plain concrete</w:t>
            </w:r>
          </w:p>
        </w:tc>
        <w:tc>
          <w:tcPr>
            <w:tcW w:w="1984" w:type="dxa"/>
          </w:tcPr>
          <w:p w14:paraId="5C53B6C1" w14:textId="2C8AE500" w:rsidR="004E31A8" w:rsidRPr="001455DC" w:rsidRDefault="004E31A8" w:rsidP="004E31A8">
            <w:pPr>
              <w:pStyle w:val="Tablebody"/>
              <w:rPr>
                <w:lang w:eastAsia="de-DE"/>
              </w:rPr>
            </w:pPr>
            <w:r w:rsidRPr="009D3012">
              <w:rPr>
                <w:lang w:eastAsia="de-DE"/>
              </w:rPr>
              <w:t>14.4.3(3)</w:t>
            </w:r>
          </w:p>
        </w:tc>
      </w:tr>
      <w:tr w:rsidR="004E31A8" w:rsidRPr="001455DC" w14:paraId="60BF5812" w14:textId="129701ED" w:rsidTr="00BE5EF4">
        <w:trPr>
          <w:cantSplit/>
        </w:trPr>
        <w:tc>
          <w:tcPr>
            <w:tcW w:w="1418" w:type="dxa"/>
            <w:shd w:val="clear" w:color="auto" w:fill="auto"/>
          </w:tcPr>
          <w:p w14:paraId="4025A2F6" w14:textId="77777777" w:rsidR="004E31A8" w:rsidRPr="009D3012" w:rsidRDefault="004E31A8" w:rsidP="004E31A8">
            <w:pPr>
              <w:pStyle w:val="Tablebody"/>
              <w:rPr>
                <w:rStyle w:val="CCMCvariableitalic"/>
              </w:rPr>
            </w:pPr>
            <w:r w:rsidRPr="001455DC">
              <w:rPr>
                <w:rStyle w:val="CCMCvariableitalic"/>
              </w:rPr>
              <w:t>σ</w:t>
            </w:r>
            <w:r w:rsidRPr="001455DC">
              <w:rPr>
                <w:rStyle w:val="CCMCvariablesubscript"/>
              </w:rPr>
              <w:t>ctd</w:t>
            </w:r>
          </w:p>
        </w:tc>
        <w:tc>
          <w:tcPr>
            <w:tcW w:w="6548" w:type="dxa"/>
            <w:shd w:val="clear" w:color="auto" w:fill="auto"/>
          </w:tcPr>
          <w:p w14:paraId="7EE98C7B" w14:textId="77777777" w:rsidR="004E31A8" w:rsidRPr="001455DC" w:rsidRDefault="004E31A8" w:rsidP="000250B6">
            <w:pPr>
              <w:pStyle w:val="Tablebody"/>
              <w:jc w:val="left"/>
              <w:rPr>
                <w:lang w:eastAsia="de-DE"/>
              </w:rPr>
            </w:pPr>
            <w:r w:rsidRPr="001455DC">
              <w:rPr>
                <w:lang w:eastAsia="de-DE"/>
              </w:rPr>
              <w:t>Design value of the mean compression stress perpendicular to a free surface near bars to be anchored or spliced</w:t>
            </w:r>
          </w:p>
        </w:tc>
        <w:tc>
          <w:tcPr>
            <w:tcW w:w="1984" w:type="dxa"/>
          </w:tcPr>
          <w:p w14:paraId="4631A595" w14:textId="67800D89" w:rsidR="004E31A8" w:rsidRPr="001455DC" w:rsidRDefault="004E31A8" w:rsidP="004E31A8">
            <w:pPr>
              <w:pStyle w:val="Tablebody"/>
              <w:rPr>
                <w:lang w:eastAsia="de-DE"/>
              </w:rPr>
            </w:pPr>
            <w:r w:rsidRPr="009D3012">
              <w:rPr>
                <w:lang w:eastAsia="de-DE"/>
              </w:rPr>
              <w:t>11.4.2(6)</w:t>
            </w:r>
          </w:p>
        </w:tc>
      </w:tr>
      <w:tr w:rsidR="004E31A8" w:rsidRPr="001455DC" w14:paraId="3C41979D" w14:textId="79AA1FB7" w:rsidTr="00BE5EF4">
        <w:trPr>
          <w:cantSplit/>
        </w:trPr>
        <w:tc>
          <w:tcPr>
            <w:tcW w:w="1418" w:type="dxa"/>
            <w:shd w:val="clear" w:color="auto" w:fill="auto"/>
          </w:tcPr>
          <w:p w14:paraId="27A2A174" w14:textId="77777777" w:rsidR="004E31A8" w:rsidRPr="009D3012" w:rsidRDefault="004E31A8" w:rsidP="004E31A8">
            <w:pPr>
              <w:pStyle w:val="Tablebody"/>
              <w:rPr>
                <w:rStyle w:val="CCMCvariableitalic"/>
              </w:rPr>
            </w:pPr>
            <w:r w:rsidRPr="001455DC">
              <w:rPr>
                <w:rStyle w:val="CCMCvariableitalic"/>
              </w:rPr>
              <w:t>σ</w:t>
            </w:r>
            <w:r w:rsidRPr="001455DC">
              <w:rPr>
                <w:rStyle w:val="CCMCvariablesubscript"/>
              </w:rPr>
              <w:t>cp,QP</w:t>
            </w:r>
          </w:p>
        </w:tc>
        <w:tc>
          <w:tcPr>
            <w:tcW w:w="6548" w:type="dxa"/>
            <w:shd w:val="clear" w:color="auto" w:fill="auto"/>
          </w:tcPr>
          <w:p w14:paraId="25189CBC" w14:textId="77777777" w:rsidR="004E31A8" w:rsidRPr="001455DC" w:rsidRDefault="004E31A8" w:rsidP="000250B6">
            <w:pPr>
              <w:pStyle w:val="Tablebody"/>
              <w:jc w:val="left"/>
              <w:rPr>
                <w:lang w:eastAsia="de-DE"/>
              </w:rPr>
            </w:pPr>
            <w:r w:rsidRPr="001455DC">
              <w:rPr>
                <w:lang w:eastAsia="de-DE"/>
              </w:rPr>
              <w:t>Stress in the concrete adjacent to the tendons, due to self-weight and initial prestress and other quasi-permanent actions where relevant.</w:t>
            </w:r>
          </w:p>
        </w:tc>
        <w:tc>
          <w:tcPr>
            <w:tcW w:w="1984" w:type="dxa"/>
          </w:tcPr>
          <w:p w14:paraId="0E8FA07A" w14:textId="3694271F" w:rsidR="004E31A8" w:rsidRPr="001455DC" w:rsidRDefault="004E31A8" w:rsidP="004E31A8">
            <w:pPr>
              <w:pStyle w:val="Tablebody"/>
              <w:rPr>
                <w:lang w:eastAsia="de-DE"/>
              </w:rPr>
            </w:pPr>
            <w:r w:rsidRPr="009D3012">
              <w:rPr>
                <w:lang w:eastAsia="de-DE"/>
              </w:rPr>
              <w:t>7.10.4(2)</w:t>
            </w:r>
          </w:p>
        </w:tc>
      </w:tr>
      <w:tr w:rsidR="004E31A8" w:rsidRPr="001455DC" w14:paraId="3DF32681" w14:textId="370C1880" w:rsidTr="00BE5EF4">
        <w:trPr>
          <w:cantSplit/>
        </w:trPr>
        <w:tc>
          <w:tcPr>
            <w:tcW w:w="1418" w:type="dxa"/>
            <w:shd w:val="clear" w:color="auto" w:fill="auto"/>
          </w:tcPr>
          <w:p w14:paraId="3B62282B" w14:textId="77777777" w:rsidR="004E31A8" w:rsidRPr="009D3012" w:rsidRDefault="004E31A8" w:rsidP="004E31A8">
            <w:pPr>
              <w:pStyle w:val="Tablebody"/>
              <w:rPr>
                <w:rStyle w:val="CCMCvariableitalic"/>
              </w:rPr>
            </w:pPr>
            <w:r w:rsidRPr="001455DC">
              <w:rPr>
                <w:rStyle w:val="CCMCvariableitalic"/>
              </w:rPr>
              <w:t>σ</w:t>
            </w:r>
            <w:r w:rsidRPr="001455DC">
              <w:rPr>
                <w:rStyle w:val="CCMCvariablesubscript"/>
              </w:rPr>
              <w:t>d</w:t>
            </w:r>
          </w:p>
        </w:tc>
        <w:tc>
          <w:tcPr>
            <w:tcW w:w="6548" w:type="dxa"/>
            <w:shd w:val="clear" w:color="auto" w:fill="auto"/>
          </w:tcPr>
          <w:p w14:paraId="3FABD40F" w14:textId="77777777" w:rsidR="004E31A8" w:rsidRPr="001455DC" w:rsidRDefault="004E31A8" w:rsidP="000250B6">
            <w:pPr>
              <w:pStyle w:val="Tablebody"/>
              <w:jc w:val="left"/>
            </w:pPr>
            <w:r w:rsidRPr="001455DC">
              <w:t>Design value of the average stress, tension positive</w:t>
            </w:r>
          </w:p>
        </w:tc>
        <w:tc>
          <w:tcPr>
            <w:tcW w:w="1984" w:type="dxa"/>
          </w:tcPr>
          <w:p w14:paraId="6614B878" w14:textId="6CADAEBE" w:rsidR="004E31A8" w:rsidRPr="001455DC" w:rsidRDefault="004E31A8" w:rsidP="004E31A8">
            <w:pPr>
              <w:pStyle w:val="Tablebody"/>
            </w:pPr>
            <w:r w:rsidRPr="009D3012">
              <w:rPr>
                <w:lang w:eastAsia="de-DE"/>
              </w:rPr>
              <w:t>8.4.3(4)</w:t>
            </w:r>
          </w:p>
        </w:tc>
      </w:tr>
      <w:tr w:rsidR="005D2325" w:rsidRPr="001455DC" w14:paraId="332C87E7" w14:textId="77777777" w:rsidTr="00BE5EF4">
        <w:trPr>
          <w:cantSplit/>
        </w:trPr>
        <w:tc>
          <w:tcPr>
            <w:tcW w:w="1418" w:type="dxa"/>
            <w:shd w:val="clear" w:color="auto" w:fill="auto"/>
          </w:tcPr>
          <w:p w14:paraId="7F33DE39" w14:textId="0FB9BEAB" w:rsidR="005D2325" w:rsidRPr="009D3012" w:rsidRDefault="005D2325" w:rsidP="005D2325">
            <w:pPr>
              <w:pStyle w:val="Tablebody"/>
              <w:rPr>
                <w:rStyle w:val="CCMCvariableitalic"/>
              </w:rPr>
            </w:pPr>
            <w:r w:rsidRPr="001455DC">
              <w:rPr>
                <w:i/>
                <w:lang w:val="de-DE" w:eastAsia="de-DE"/>
              </w:rPr>
              <w:sym w:font="Symbol" w:char="F073"/>
            </w:r>
            <w:r w:rsidRPr="001455DC">
              <w:rPr>
                <w:vertAlign w:val="subscript"/>
                <w:lang w:eastAsia="de-DE"/>
              </w:rPr>
              <w:t>gd</w:t>
            </w:r>
          </w:p>
        </w:tc>
        <w:tc>
          <w:tcPr>
            <w:tcW w:w="6548" w:type="dxa"/>
            <w:shd w:val="clear" w:color="auto" w:fill="auto"/>
          </w:tcPr>
          <w:p w14:paraId="03E13DE0" w14:textId="63D44C8F" w:rsidR="005D2325" w:rsidRPr="001455DC" w:rsidRDefault="005D2325" w:rsidP="000250B6">
            <w:pPr>
              <w:pStyle w:val="Tablebody"/>
              <w:jc w:val="left"/>
            </w:pPr>
            <w:r w:rsidRPr="009D3012">
              <w:rPr>
                <w:rFonts w:cs="Arial"/>
              </w:rPr>
              <w:t>Design value of ground pressure</w:t>
            </w:r>
          </w:p>
        </w:tc>
        <w:tc>
          <w:tcPr>
            <w:tcW w:w="1984" w:type="dxa"/>
          </w:tcPr>
          <w:p w14:paraId="730F75F1" w14:textId="6289EAC1" w:rsidR="005D2325" w:rsidRPr="001455DC" w:rsidRDefault="005D2325" w:rsidP="005D2325">
            <w:pPr>
              <w:pStyle w:val="Tablebody"/>
            </w:pPr>
            <w:r w:rsidRPr="009D3012">
              <w:rPr>
                <w:lang w:eastAsia="de-DE"/>
              </w:rPr>
              <w:t>8.4.2(6), 14.6.3(1)</w:t>
            </w:r>
          </w:p>
        </w:tc>
      </w:tr>
      <w:tr w:rsidR="005D2325" w:rsidRPr="001455DC" w14:paraId="2C7726FD" w14:textId="43F5C8DB" w:rsidTr="00BE5EF4">
        <w:trPr>
          <w:cantSplit/>
        </w:trPr>
        <w:tc>
          <w:tcPr>
            <w:tcW w:w="1418" w:type="dxa"/>
            <w:shd w:val="clear" w:color="auto" w:fill="auto"/>
          </w:tcPr>
          <w:p w14:paraId="341901A6" w14:textId="77777777" w:rsidR="005D2325" w:rsidRPr="009D3012" w:rsidRDefault="005D2325" w:rsidP="005D2325">
            <w:pPr>
              <w:pStyle w:val="Tablebody"/>
              <w:rPr>
                <w:rStyle w:val="CCMCvariableitalic"/>
              </w:rPr>
            </w:pPr>
            <w:r w:rsidRPr="001455DC">
              <w:rPr>
                <w:rStyle w:val="CCMCvariableitalic"/>
              </w:rPr>
              <w:t>σ</w:t>
            </w:r>
            <w:r w:rsidRPr="001455DC">
              <w:rPr>
                <w:rStyle w:val="CCMCvariablesubscript"/>
              </w:rPr>
              <w:t>p,max</w:t>
            </w:r>
          </w:p>
        </w:tc>
        <w:tc>
          <w:tcPr>
            <w:tcW w:w="6548" w:type="dxa"/>
            <w:shd w:val="clear" w:color="auto" w:fill="auto"/>
          </w:tcPr>
          <w:p w14:paraId="3E610E87" w14:textId="77777777" w:rsidR="005D2325" w:rsidRPr="001455DC" w:rsidRDefault="005D2325" w:rsidP="000250B6">
            <w:pPr>
              <w:pStyle w:val="Tablebody"/>
              <w:jc w:val="left"/>
            </w:pPr>
            <w:r w:rsidRPr="001455DC">
              <w:t xml:space="preserve">Maximum prestressing stress imposed at the active end by the jack </w:t>
            </w:r>
          </w:p>
        </w:tc>
        <w:tc>
          <w:tcPr>
            <w:tcW w:w="1984" w:type="dxa"/>
          </w:tcPr>
          <w:p w14:paraId="47275DAA" w14:textId="10D9DF33" w:rsidR="005D2325" w:rsidRPr="001455DC" w:rsidRDefault="005D2325" w:rsidP="005D2325">
            <w:pPr>
              <w:pStyle w:val="Tablebody"/>
            </w:pPr>
            <w:r w:rsidRPr="009D3012">
              <w:rPr>
                <w:lang w:eastAsia="de-DE"/>
              </w:rPr>
              <w:t>7.10.2(1)</w:t>
            </w:r>
          </w:p>
        </w:tc>
      </w:tr>
      <w:tr w:rsidR="005D2325" w:rsidRPr="001455DC" w14:paraId="12C7578C" w14:textId="4C411002" w:rsidTr="00BE5EF4">
        <w:trPr>
          <w:cantSplit/>
        </w:trPr>
        <w:tc>
          <w:tcPr>
            <w:tcW w:w="1418" w:type="dxa"/>
            <w:shd w:val="clear" w:color="auto" w:fill="auto"/>
          </w:tcPr>
          <w:p w14:paraId="721F787F" w14:textId="77777777" w:rsidR="005D2325" w:rsidRPr="009D3012" w:rsidRDefault="005D2325" w:rsidP="005D2325">
            <w:pPr>
              <w:pStyle w:val="Tablebody"/>
              <w:rPr>
                <w:rStyle w:val="CCMCvariableitalic"/>
              </w:rPr>
            </w:pPr>
            <w:r w:rsidRPr="001455DC">
              <w:rPr>
                <w:rStyle w:val="CCMCvariableitalic"/>
              </w:rPr>
              <w:t>σ</w:t>
            </w:r>
            <w:r w:rsidRPr="001455DC">
              <w:rPr>
                <w:rStyle w:val="CCMCvariablesubscript"/>
              </w:rPr>
              <w:t>pd</w:t>
            </w:r>
          </w:p>
        </w:tc>
        <w:tc>
          <w:tcPr>
            <w:tcW w:w="6548" w:type="dxa"/>
            <w:shd w:val="clear" w:color="auto" w:fill="auto"/>
          </w:tcPr>
          <w:p w14:paraId="3C5E9001" w14:textId="77777777" w:rsidR="005D2325" w:rsidRPr="001455DC" w:rsidRDefault="005D2325" w:rsidP="000250B6">
            <w:pPr>
              <w:pStyle w:val="Tablebody"/>
              <w:jc w:val="left"/>
            </w:pPr>
            <w:r w:rsidRPr="001455DC">
              <w:t>Design value of the stress in the tendon</w:t>
            </w:r>
          </w:p>
        </w:tc>
        <w:tc>
          <w:tcPr>
            <w:tcW w:w="1984" w:type="dxa"/>
          </w:tcPr>
          <w:p w14:paraId="771000FA" w14:textId="11546FB0" w:rsidR="005D2325" w:rsidRPr="001455DC" w:rsidRDefault="005D2325" w:rsidP="005D2325">
            <w:pPr>
              <w:pStyle w:val="Tablebody"/>
            </w:pPr>
            <w:r w:rsidRPr="009D3012">
              <w:rPr>
                <w:lang w:eastAsia="de-DE"/>
              </w:rPr>
              <w:t>11.6.3</w:t>
            </w:r>
          </w:p>
        </w:tc>
      </w:tr>
      <w:tr w:rsidR="005D2325" w:rsidRPr="001455DC" w14:paraId="38CD207D" w14:textId="3C02785F" w:rsidTr="00BE5EF4">
        <w:trPr>
          <w:cantSplit/>
        </w:trPr>
        <w:tc>
          <w:tcPr>
            <w:tcW w:w="1418" w:type="dxa"/>
            <w:shd w:val="clear" w:color="auto" w:fill="auto"/>
          </w:tcPr>
          <w:p w14:paraId="04765FE4" w14:textId="77777777" w:rsidR="005D2325" w:rsidRPr="009D3012" w:rsidRDefault="005D2325" w:rsidP="005D2325">
            <w:pPr>
              <w:pStyle w:val="Tablebody"/>
              <w:rPr>
                <w:rStyle w:val="CCMCvariableitalic"/>
              </w:rPr>
            </w:pPr>
            <w:r w:rsidRPr="001455DC">
              <w:rPr>
                <w:rStyle w:val="CCMCvariableitalic"/>
              </w:rPr>
              <w:t>σ</w:t>
            </w:r>
            <w:r w:rsidRPr="001455DC">
              <w:rPr>
                <w:rStyle w:val="CCMCvariablesubscript"/>
              </w:rPr>
              <w:t>pi</w:t>
            </w:r>
          </w:p>
        </w:tc>
        <w:tc>
          <w:tcPr>
            <w:tcW w:w="6548" w:type="dxa"/>
            <w:shd w:val="clear" w:color="auto" w:fill="auto"/>
          </w:tcPr>
          <w:p w14:paraId="4C4972FD" w14:textId="77777777" w:rsidR="005D2325" w:rsidRPr="001455DC" w:rsidRDefault="005D2325" w:rsidP="000250B6">
            <w:pPr>
              <w:pStyle w:val="Tablebody"/>
              <w:jc w:val="left"/>
            </w:pPr>
            <w:r w:rsidRPr="001455DC">
              <w:t>Initial stress in prestressing steel</w:t>
            </w:r>
          </w:p>
        </w:tc>
        <w:tc>
          <w:tcPr>
            <w:tcW w:w="1984" w:type="dxa"/>
          </w:tcPr>
          <w:p w14:paraId="45D0B099" w14:textId="547EA2E3" w:rsidR="005D2325" w:rsidRPr="001455DC" w:rsidRDefault="005D2325">
            <w:pPr>
              <w:pStyle w:val="Tablebody"/>
            </w:pPr>
            <w:r w:rsidRPr="009D3012">
              <w:rPr>
                <w:lang w:eastAsia="de-DE"/>
              </w:rPr>
              <w:t>B.</w:t>
            </w:r>
            <w:r w:rsidR="00D63F75" w:rsidRPr="009D3012">
              <w:rPr>
                <w:lang w:eastAsia="de-DE"/>
              </w:rPr>
              <w:t>9</w:t>
            </w:r>
            <w:r w:rsidRPr="009D3012">
              <w:rPr>
                <w:lang w:eastAsia="de-DE"/>
              </w:rPr>
              <w:t>(3)</w:t>
            </w:r>
          </w:p>
        </w:tc>
      </w:tr>
      <w:tr w:rsidR="005D2325" w:rsidRPr="001455DC" w14:paraId="2B69AC76" w14:textId="7213C07C" w:rsidTr="00BE5EF4">
        <w:trPr>
          <w:cantSplit/>
        </w:trPr>
        <w:tc>
          <w:tcPr>
            <w:tcW w:w="1418" w:type="dxa"/>
            <w:shd w:val="clear" w:color="auto" w:fill="auto"/>
          </w:tcPr>
          <w:p w14:paraId="30642750" w14:textId="77777777" w:rsidR="005D2325" w:rsidRPr="009D3012" w:rsidRDefault="005D2325" w:rsidP="005D2325">
            <w:pPr>
              <w:pStyle w:val="Tablebody"/>
              <w:rPr>
                <w:rStyle w:val="CCMCvariableitalic"/>
              </w:rPr>
            </w:pPr>
            <w:r w:rsidRPr="001455DC">
              <w:rPr>
                <w:rStyle w:val="CCMCvariableitalic"/>
              </w:rPr>
              <w:t>σ</w:t>
            </w:r>
            <w:r w:rsidRPr="001455DC">
              <w:rPr>
                <w:rStyle w:val="CCMCvariablesubscript"/>
              </w:rPr>
              <w:t>pk,sup</w:t>
            </w:r>
          </w:p>
        </w:tc>
        <w:tc>
          <w:tcPr>
            <w:tcW w:w="6548" w:type="dxa"/>
            <w:shd w:val="clear" w:color="auto" w:fill="auto"/>
          </w:tcPr>
          <w:p w14:paraId="0D4501FB" w14:textId="77777777" w:rsidR="005D2325" w:rsidRPr="009D3012" w:rsidRDefault="005D2325" w:rsidP="000250B6">
            <w:pPr>
              <w:pStyle w:val="Tablebody"/>
              <w:jc w:val="left"/>
            </w:pPr>
            <w:r w:rsidRPr="001455DC">
              <w:rPr>
                <w:lang w:eastAsia="de-DE"/>
              </w:rPr>
              <w:t>Upper characteristic value of prestress</w:t>
            </w:r>
          </w:p>
        </w:tc>
        <w:tc>
          <w:tcPr>
            <w:tcW w:w="1984" w:type="dxa"/>
          </w:tcPr>
          <w:p w14:paraId="7ACC4C41" w14:textId="06E8E77C" w:rsidR="005D2325" w:rsidRPr="001455DC" w:rsidRDefault="005D2325" w:rsidP="005D2325">
            <w:pPr>
              <w:pStyle w:val="Tablebody"/>
              <w:rPr>
                <w:lang w:eastAsia="de-DE"/>
              </w:rPr>
            </w:pPr>
            <w:r w:rsidRPr="009D3012">
              <w:rPr>
                <w:lang w:eastAsia="de-DE"/>
              </w:rPr>
              <w:t>4.2.1.5(3)</w:t>
            </w:r>
          </w:p>
        </w:tc>
      </w:tr>
      <w:tr w:rsidR="005D2325" w:rsidRPr="001455DC" w14:paraId="186FA4A9" w14:textId="0A965985" w:rsidTr="00BE5EF4">
        <w:trPr>
          <w:cantSplit/>
        </w:trPr>
        <w:tc>
          <w:tcPr>
            <w:tcW w:w="1418" w:type="dxa"/>
            <w:shd w:val="clear" w:color="auto" w:fill="auto"/>
          </w:tcPr>
          <w:p w14:paraId="100A0024" w14:textId="77777777" w:rsidR="005D2325" w:rsidRPr="009D3012" w:rsidRDefault="005D2325" w:rsidP="005D2325">
            <w:pPr>
              <w:pStyle w:val="Tablebody"/>
              <w:rPr>
                <w:rStyle w:val="CCMCvariableitalic"/>
              </w:rPr>
            </w:pPr>
            <w:r w:rsidRPr="001455DC">
              <w:rPr>
                <w:rStyle w:val="CCMCvariableitalic"/>
              </w:rPr>
              <w:t>σ</w:t>
            </w:r>
            <w:r w:rsidRPr="001455DC">
              <w:rPr>
                <w:rStyle w:val="CCMCvariablesubscript"/>
              </w:rPr>
              <w:t>pk,inf</w:t>
            </w:r>
          </w:p>
        </w:tc>
        <w:tc>
          <w:tcPr>
            <w:tcW w:w="6548" w:type="dxa"/>
            <w:shd w:val="clear" w:color="auto" w:fill="auto"/>
          </w:tcPr>
          <w:p w14:paraId="6AB40D50" w14:textId="77777777" w:rsidR="005D2325" w:rsidRPr="009D3012" w:rsidRDefault="005D2325" w:rsidP="000250B6">
            <w:pPr>
              <w:pStyle w:val="Tablebody"/>
              <w:jc w:val="left"/>
            </w:pPr>
            <w:r w:rsidRPr="001455DC">
              <w:rPr>
                <w:lang w:eastAsia="de-DE"/>
              </w:rPr>
              <w:t>Lower characteristic value of prestress</w:t>
            </w:r>
          </w:p>
        </w:tc>
        <w:tc>
          <w:tcPr>
            <w:tcW w:w="1984" w:type="dxa"/>
          </w:tcPr>
          <w:p w14:paraId="44F4F931" w14:textId="300542A9" w:rsidR="005D2325" w:rsidRPr="001455DC" w:rsidRDefault="005D2325" w:rsidP="005D2325">
            <w:pPr>
              <w:pStyle w:val="Tablebody"/>
              <w:rPr>
                <w:lang w:eastAsia="de-DE"/>
              </w:rPr>
            </w:pPr>
            <w:r w:rsidRPr="009D3012">
              <w:rPr>
                <w:lang w:eastAsia="de-DE"/>
              </w:rPr>
              <w:t>4.2.1.5(3)</w:t>
            </w:r>
          </w:p>
        </w:tc>
      </w:tr>
      <w:tr w:rsidR="005D2325" w:rsidRPr="001455DC" w14:paraId="79BF4B46" w14:textId="05089749" w:rsidTr="00BE5EF4">
        <w:trPr>
          <w:cantSplit/>
        </w:trPr>
        <w:tc>
          <w:tcPr>
            <w:tcW w:w="1418" w:type="dxa"/>
            <w:shd w:val="clear" w:color="auto" w:fill="auto"/>
          </w:tcPr>
          <w:p w14:paraId="0E0C9EC5" w14:textId="77777777" w:rsidR="005D2325" w:rsidRPr="009D3012" w:rsidRDefault="005D2325" w:rsidP="005D2325">
            <w:pPr>
              <w:pStyle w:val="Tablebody"/>
              <w:rPr>
                <w:rStyle w:val="CCMCvariableitalic"/>
              </w:rPr>
            </w:pPr>
            <w:r w:rsidRPr="001455DC">
              <w:rPr>
                <w:rStyle w:val="CCMCvariableitalic"/>
              </w:rPr>
              <w:t>σ</w:t>
            </w:r>
            <w:r w:rsidRPr="001455DC">
              <w:rPr>
                <w:rStyle w:val="CCMCvariablesubscript"/>
              </w:rPr>
              <w:t>p,m0(0)</w:t>
            </w:r>
          </w:p>
        </w:tc>
        <w:tc>
          <w:tcPr>
            <w:tcW w:w="6548" w:type="dxa"/>
            <w:shd w:val="clear" w:color="auto" w:fill="auto"/>
          </w:tcPr>
          <w:p w14:paraId="1533A7F6" w14:textId="77777777" w:rsidR="005D2325" w:rsidRPr="001455DC" w:rsidRDefault="005D2325" w:rsidP="000250B6">
            <w:pPr>
              <w:pStyle w:val="Tablebody"/>
              <w:jc w:val="left"/>
            </w:pPr>
            <w:r w:rsidRPr="001455DC">
              <w:t>Mean value of the prestressing stress after accounting for immediate losses at the active end.</w:t>
            </w:r>
          </w:p>
        </w:tc>
        <w:tc>
          <w:tcPr>
            <w:tcW w:w="1984" w:type="dxa"/>
          </w:tcPr>
          <w:p w14:paraId="35A06DC3" w14:textId="54DB133A" w:rsidR="005D2325" w:rsidRPr="001455DC" w:rsidRDefault="005D2325" w:rsidP="005D2325">
            <w:pPr>
              <w:pStyle w:val="Tablebody"/>
            </w:pPr>
            <w:r w:rsidRPr="009D3012">
              <w:rPr>
                <w:lang w:eastAsia="de-DE"/>
              </w:rPr>
              <w:t>7.10.2(1)</w:t>
            </w:r>
          </w:p>
        </w:tc>
      </w:tr>
      <w:tr w:rsidR="005D2325" w:rsidRPr="001455DC" w14:paraId="381AB097" w14:textId="669FAC0D" w:rsidTr="00BE5EF4">
        <w:trPr>
          <w:cantSplit/>
        </w:trPr>
        <w:tc>
          <w:tcPr>
            <w:tcW w:w="1418" w:type="dxa"/>
            <w:shd w:val="clear" w:color="auto" w:fill="auto"/>
          </w:tcPr>
          <w:p w14:paraId="3AB7C480" w14:textId="77777777" w:rsidR="005D2325" w:rsidRPr="009D3012" w:rsidRDefault="005D2325" w:rsidP="005D2325">
            <w:pPr>
              <w:pStyle w:val="Tablebody"/>
              <w:rPr>
                <w:rStyle w:val="CCMCvariableitalic"/>
              </w:rPr>
            </w:pPr>
            <w:r w:rsidRPr="001455DC">
              <w:rPr>
                <w:rStyle w:val="CCMCvariableitalic"/>
              </w:rPr>
              <w:t>σ</w:t>
            </w:r>
            <w:r w:rsidRPr="001455DC">
              <w:rPr>
                <w:rStyle w:val="CCMCvariablesubscript"/>
              </w:rPr>
              <w:t>p,mt(</w:t>
            </w:r>
            <w:r w:rsidRPr="001455DC">
              <w:rPr>
                <w:rStyle w:val="CCMCvariableitalicsubscript"/>
              </w:rPr>
              <w:t>x</w:t>
            </w:r>
            <w:r w:rsidRPr="001455DC">
              <w:rPr>
                <w:rStyle w:val="CCMCvariablesubscript"/>
              </w:rPr>
              <w:t>)</w:t>
            </w:r>
          </w:p>
        </w:tc>
        <w:tc>
          <w:tcPr>
            <w:tcW w:w="6548" w:type="dxa"/>
            <w:shd w:val="clear" w:color="auto" w:fill="auto"/>
          </w:tcPr>
          <w:p w14:paraId="36FA36F2" w14:textId="77777777" w:rsidR="005D2325" w:rsidRPr="009D3012" w:rsidRDefault="005D2325" w:rsidP="000250B6">
            <w:pPr>
              <w:pStyle w:val="Tablebody"/>
              <w:jc w:val="left"/>
            </w:pPr>
            <w:r w:rsidRPr="001455DC">
              <w:t xml:space="preserve">Mean value of the prestressing stress after accounting for the immediate losses and the time-dependent losses at time </w:t>
            </w:r>
            <w:r w:rsidRPr="001455DC">
              <w:rPr>
                <w:rStyle w:val="CCMCvariableitalic"/>
              </w:rPr>
              <w:t>t</w:t>
            </w:r>
            <w:r w:rsidRPr="001455DC">
              <w:t xml:space="preserve"> and a distance </w:t>
            </w:r>
            <w:r w:rsidRPr="001455DC">
              <w:rPr>
                <w:rStyle w:val="CCMCvariableitalic"/>
              </w:rPr>
              <w:t>x</w:t>
            </w:r>
            <w:r w:rsidRPr="001455DC">
              <w:t xml:space="preserve"> from the active end.</w:t>
            </w:r>
          </w:p>
        </w:tc>
        <w:tc>
          <w:tcPr>
            <w:tcW w:w="1984" w:type="dxa"/>
          </w:tcPr>
          <w:p w14:paraId="1698633D" w14:textId="737D7CFF" w:rsidR="005D2325" w:rsidRPr="001455DC" w:rsidRDefault="005D2325" w:rsidP="005D2325">
            <w:pPr>
              <w:pStyle w:val="Tablebody"/>
            </w:pPr>
            <w:r w:rsidRPr="009D3012">
              <w:rPr>
                <w:lang w:eastAsia="de-DE"/>
              </w:rPr>
              <w:t>7.10.2(1)</w:t>
            </w:r>
          </w:p>
        </w:tc>
      </w:tr>
      <w:tr w:rsidR="005D2325" w:rsidRPr="001455DC" w14:paraId="320A0029" w14:textId="6F23DFF1" w:rsidTr="00BE5EF4">
        <w:trPr>
          <w:cantSplit/>
        </w:trPr>
        <w:tc>
          <w:tcPr>
            <w:tcW w:w="1418" w:type="dxa"/>
            <w:shd w:val="clear" w:color="auto" w:fill="auto"/>
          </w:tcPr>
          <w:p w14:paraId="72F5600D" w14:textId="77777777" w:rsidR="005D2325" w:rsidRPr="009D3012" w:rsidRDefault="005D2325" w:rsidP="005D2325">
            <w:pPr>
              <w:pStyle w:val="Tablebody"/>
              <w:rPr>
                <w:rStyle w:val="CCMCvariableitalic"/>
              </w:rPr>
            </w:pPr>
            <w:r w:rsidRPr="001455DC">
              <w:rPr>
                <w:rStyle w:val="CCMCvariableitalic"/>
              </w:rPr>
              <w:t>σ</w:t>
            </w:r>
            <w:r w:rsidRPr="001455DC">
              <w:rPr>
                <w:rStyle w:val="CCMCvariablesubscript"/>
              </w:rPr>
              <w:t>p,m∞</w:t>
            </w:r>
          </w:p>
        </w:tc>
        <w:tc>
          <w:tcPr>
            <w:tcW w:w="6548" w:type="dxa"/>
            <w:shd w:val="clear" w:color="auto" w:fill="auto"/>
          </w:tcPr>
          <w:p w14:paraId="4A72D2B3" w14:textId="77777777" w:rsidR="005D2325" w:rsidRPr="001455DC" w:rsidRDefault="005D2325" w:rsidP="000250B6">
            <w:pPr>
              <w:pStyle w:val="Tablebody"/>
              <w:jc w:val="left"/>
            </w:pPr>
            <w:r w:rsidRPr="001455DC">
              <w:t>Long-term stress level in prestressing tendons at the state of zero (elastic) strain of the concrete at the same level</w:t>
            </w:r>
          </w:p>
        </w:tc>
        <w:tc>
          <w:tcPr>
            <w:tcW w:w="1984" w:type="dxa"/>
          </w:tcPr>
          <w:p w14:paraId="4E531703" w14:textId="3031362D" w:rsidR="005D2325" w:rsidRPr="001455DC" w:rsidRDefault="005D2325" w:rsidP="005D2325">
            <w:pPr>
              <w:pStyle w:val="Tablebody"/>
            </w:pPr>
            <w:r w:rsidRPr="009D3012">
              <w:rPr>
                <w:lang w:eastAsia="de-DE"/>
              </w:rPr>
              <w:t>7.5(2)</w:t>
            </w:r>
          </w:p>
        </w:tc>
      </w:tr>
      <w:tr w:rsidR="005D2325" w:rsidRPr="001455DC" w14:paraId="132D5715" w14:textId="64A6AEAC" w:rsidTr="00BE5EF4">
        <w:trPr>
          <w:cantSplit/>
        </w:trPr>
        <w:tc>
          <w:tcPr>
            <w:tcW w:w="1418" w:type="dxa"/>
            <w:shd w:val="clear" w:color="auto" w:fill="auto"/>
          </w:tcPr>
          <w:p w14:paraId="44B4E449" w14:textId="77777777" w:rsidR="005D2325" w:rsidRPr="009D3012" w:rsidRDefault="005D2325" w:rsidP="005D2325">
            <w:pPr>
              <w:pStyle w:val="Tablebody"/>
              <w:rPr>
                <w:rStyle w:val="CCMCvariableitalic"/>
              </w:rPr>
            </w:pPr>
            <w:r w:rsidRPr="001455DC">
              <w:rPr>
                <w:rStyle w:val="CCMCvariableitalic"/>
              </w:rPr>
              <w:t>σ</w:t>
            </w:r>
            <w:r w:rsidRPr="001455DC">
              <w:rPr>
                <w:rStyle w:val="CCMCvariablesubscript"/>
              </w:rPr>
              <w:t>s</w:t>
            </w:r>
          </w:p>
        </w:tc>
        <w:tc>
          <w:tcPr>
            <w:tcW w:w="6548" w:type="dxa"/>
            <w:shd w:val="clear" w:color="auto" w:fill="auto"/>
          </w:tcPr>
          <w:p w14:paraId="6AA6919E" w14:textId="77777777" w:rsidR="005D2325" w:rsidRPr="001455DC" w:rsidRDefault="005D2325" w:rsidP="000250B6">
            <w:pPr>
              <w:pStyle w:val="Tablebody"/>
              <w:jc w:val="left"/>
            </w:pPr>
            <w:r w:rsidRPr="001455DC">
              <w:t>Serviceability value of steel stress, determined on the basis of a cracked section</w:t>
            </w:r>
          </w:p>
        </w:tc>
        <w:tc>
          <w:tcPr>
            <w:tcW w:w="1984" w:type="dxa"/>
          </w:tcPr>
          <w:p w14:paraId="6987DB7E" w14:textId="6AF839C8" w:rsidR="005D2325" w:rsidRPr="001455DC" w:rsidRDefault="005D2325" w:rsidP="005D2325">
            <w:pPr>
              <w:pStyle w:val="Tablebody"/>
            </w:pPr>
            <w:r w:rsidRPr="009D3012">
              <w:rPr>
                <w:lang w:eastAsia="de-DE"/>
              </w:rPr>
              <w:t>9.2.4(3)</w:t>
            </w:r>
          </w:p>
        </w:tc>
      </w:tr>
      <w:tr w:rsidR="005D2325" w:rsidRPr="001455DC" w14:paraId="6EC39713" w14:textId="1BFC56E7" w:rsidTr="00BE5EF4">
        <w:trPr>
          <w:cantSplit/>
        </w:trPr>
        <w:tc>
          <w:tcPr>
            <w:tcW w:w="1418" w:type="dxa"/>
            <w:shd w:val="clear" w:color="auto" w:fill="auto"/>
          </w:tcPr>
          <w:p w14:paraId="4D727DB2" w14:textId="77777777" w:rsidR="005D2325" w:rsidRPr="009D3012" w:rsidRDefault="005D2325" w:rsidP="005D2325">
            <w:pPr>
              <w:pStyle w:val="Tablebody"/>
              <w:rPr>
                <w:rStyle w:val="CCMCvariableitalic"/>
              </w:rPr>
            </w:pPr>
            <w:r w:rsidRPr="001455DC">
              <w:rPr>
                <w:rStyle w:val="CCMCvariableitalic"/>
              </w:rPr>
              <w:t>σ</w:t>
            </w:r>
            <w:r w:rsidRPr="001455DC">
              <w:rPr>
                <w:rStyle w:val="CCMCvariablesubscript"/>
              </w:rPr>
              <w:t>sd</w:t>
            </w:r>
          </w:p>
        </w:tc>
        <w:tc>
          <w:tcPr>
            <w:tcW w:w="6548" w:type="dxa"/>
            <w:shd w:val="clear" w:color="auto" w:fill="auto"/>
          </w:tcPr>
          <w:p w14:paraId="3C4CF0ED" w14:textId="77777777" w:rsidR="005D2325" w:rsidRPr="001455DC" w:rsidRDefault="005D2325" w:rsidP="000250B6">
            <w:pPr>
              <w:pStyle w:val="Tablebody"/>
              <w:jc w:val="left"/>
              <w:rPr>
                <w:lang w:eastAsia="de-DE"/>
              </w:rPr>
            </w:pPr>
            <w:r w:rsidRPr="001455DC">
              <w:t>Design value of the reinforcing steel stress at the cross section</w:t>
            </w:r>
          </w:p>
        </w:tc>
        <w:tc>
          <w:tcPr>
            <w:tcW w:w="1984" w:type="dxa"/>
          </w:tcPr>
          <w:p w14:paraId="3A9EA580" w14:textId="4FCD9AE7" w:rsidR="005D2325" w:rsidRPr="001455DC" w:rsidRDefault="005D2325" w:rsidP="005D2325">
            <w:pPr>
              <w:pStyle w:val="Tablebody"/>
            </w:pPr>
            <w:r w:rsidRPr="009D3012">
              <w:rPr>
                <w:lang w:eastAsia="de-DE"/>
              </w:rPr>
              <w:t>Figure 11.2, 11.4, 11.5, 12.1.2(2)</w:t>
            </w:r>
          </w:p>
        </w:tc>
      </w:tr>
      <w:tr w:rsidR="005D2325" w:rsidRPr="001455DC" w14:paraId="1610BA07" w14:textId="733FE136" w:rsidTr="00BE5EF4">
        <w:trPr>
          <w:cantSplit/>
        </w:trPr>
        <w:tc>
          <w:tcPr>
            <w:tcW w:w="1418" w:type="dxa"/>
            <w:shd w:val="clear" w:color="auto" w:fill="auto"/>
          </w:tcPr>
          <w:p w14:paraId="6087B214" w14:textId="77777777" w:rsidR="005D2325" w:rsidRPr="009D3012" w:rsidRDefault="005D2325" w:rsidP="005D2325">
            <w:pPr>
              <w:pStyle w:val="Tablebody"/>
              <w:rPr>
                <w:rStyle w:val="CCMCvariableitalic"/>
              </w:rPr>
            </w:pPr>
            <w:r w:rsidRPr="001455DC">
              <w:rPr>
                <w:rStyle w:val="CCMCvariableitalic"/>
              </w:rPr>
              <w:t>σ</w:t>
            </w:r>
            <w:r w:rsidRPr="001455DC">
              <w:rPr>
                <w:rStyle w:val="CCMCvariablesubscript"/>
              </w:rPr>
              <w:t>s,lim</w:t>
            </w:r>
          </w:p>
        </w:tc>
        <w:tc>
          <w:tcPr>
            <w:tcW w:w="6548" w:type="dxa"/>
            <w:shd w:val="clear" w:color="auto" w:fill="auto"/>
          </w:tcPr>
          <w:p w14:paraId="50C7A4F9" w14:textId="77777777" w:rsidR="005D2325" w:rsidRPr="001455DC" w:rsidRDefault="005D2325" w:rsidP="000250B6">
            <w:pPr>
              <w:pStyle w:val="Tablebody"/>
              <w:jc w:val="left"/>
            </w:pPr>
            <w:r w:rsidRPr="001455DC">
              <w:t>Limiting value of the serviceability steel stress in order to comply with a given limiting crack width</w:t>
            </w:r>
          </w:p>
        </w:tc>
        <w:tc>
          <w:tcPr>
            <w:tcW w:w="1984" w:type="dxa"/>
          </w:tcPr>
          <w:p w14:paraId="74AFB9EB" w14:textId="1DBC6377" w:rsidR="005D2325" w:rsidRPr="001455DC" w:rsidRDefault="005D2325" w:rsidP="005D2325">
            <w:pPr>
              <w:pStyle w:val="Tablebody"/>
            </w:pPr>
            <w:r w:rsidRPr="009D3012">
              <w:rPr>
                <w:lang w:eastAsia="de-DE"/>
              </w:rPr>
              <w:t>9.2.2 (2), 9.2.2 (3), 9.2.2 (4)</w:t>
            </w:r>
          </w:p>
        </w:tc>
      </w:tr>
      <w:tr w:rsidR="005D2325" w:rsidRPr="001455DC" w14:paraId="05D27788" w14:textId="147C5C64" w:rsidTr="00BE5EF4">
        <w:trPr>
          <w:cantSplit/>
        </w:trPr>
        <w:tc>
          <w:tcPr>
            <w:tcW w:w="1418" w:type="dxa"/>
            <w:shd w:val="clear" w:color="auto" w:fill="auto"/>
          </w:tcPr>
          <w:p w14:paraId="1ABD62A8" w14:textId="77777777" w:rsidR="005D2325" w:rsidRPr="009D3012" w:rsidRDefault="005D2325" w:rsidP="005D2325">
            <w:pPr>
              <w:pStyle w:val="Tablebody"/>
              <w:rPr>
                <w:rStyle w:val="CCMCvariableitalic"/>
              </w:rPr>
            </w:pPr>
            <w:r w:rsidRPr="001455DC">
              <w:rPr>
                <w:rStyle w:val="CCMCvariableitalic"/>
              </w:rPr>
              <w:t>σ</w:t>
            </w:r>
            <w:r w:rsidRPr="001455DC">
              <w:rPr>
                <w:rStyle w:val="CCMCvariablesubscript"/>
              </w:rPr>
              <w:t>sr</w:t>
            </w:r>
          </w:p>
        </w:tc>
        <w:tc>
          <w:tcPr>
            <w:tcW w:w="6548" w:type="dxa"/>
            <w:shd w:val="clear" w:color="auto" w:fill="auto"/>
          </w:tcPr>
          <w:p w14:paraId="6E7E7EC7" w14:textId="77777777" w:rsidR="005D2325" w:rsidRPr="001455DC" w:rsidRDefault="005D2325" w:rsidP="000250B6">
            <w:pPr>
              <w:pStyle w:val="Tablebody"/>
              <w:jc w:val="left"/>
            </w:pPr>
            <w:r w:rsidRPr="001455DC">
              <w:t>Stress in the tension reinforcement calculated on the basis of a cracked section under the loading conditions causing first cracking</w:t>
            </w:r>
          </w:p>
        </w:tc>
        <w:tc>
          <w:tcPr>
            <w:tcW w:w="1984" w:type="dxa"/>
          </w:tcPr>
          <w:p w14:paraId="01F13116" w14:textId="5F409403" w:rsidR="005D2325" w:rsidRPr="001455DC" w:rsidRDefault="005D2325" w:rsidP="005D2325">
            <w:pPr>
              <w:pStyle w:val="Tablebody"/>
            </w:pPr>
            <w:r w:rsidRPr="009D3012">
              <w:rPr>
                <w:lang w:eastAsia="de-DE"/>
              </w:rPr>
              <w:t>9.3.4(3)</w:t>
            </w:r>
          </w:p>
        </w:tc>
      </w:tr>
      <w:tr w:rsidR="005D2325" w:rsidRPr="001455DC" w14:paraId="6236FEE7" w14:textId="1CF4DAC8" w:rsidTr="00BE5EF4">
        <w:trPr>
          <w:cantSplit/>
        </w:trPr>
        <w:tc>
          <w:tcPr>
            <w:tcW w:w="1418" w:type="dxa"/>
            <w:shd w:val="clear" w:color="auto" w:fill="auto"/>
          </w:tcPr>
          <w:p w14:paraId="76404AC9" w14:textId="77777777" w:rsidR="005D2325" w:rsidRPr="009D3012" w:rsidRDefault="005D2325" w:rsidP="005D2325">
            <w:pPr>
              <w:pStyle w:val="Tablebody"/>
              <w:rPr>
                <w:rStyle w:val="CCMCvariableitalic"/>
              </w:rPr>
            </w:pPr>
            <w:r w:rsidRPr="001455DC">
              <w:rPr>
                <w:rStyle w:val="CCMCvariableitalic"/>
              </w:rPr>
              <w:t>σ</w:t>
            </w:r>
            <w:r w:rsidRPr="001455DC">
              <w:rPr>
                <w:rStyle w:val="CCMCvariablesubscript"/>
              </w:rPr>
              <w:t>swd</w:t>
            </w:r>
          </w:p>
        </w:tc>
        <w:tc>
          <w:tcPr>
            <w:tcW w:w="6548" w:type="dxa"/>
            <w:shd w:val="clear" w:color="auto" w:fill="auto"/>
          </w:tcPr>
          <w:p w14:paraId="1B81EB92" w14:textId="77777777" w:rsidR="005D2325" w:rsidRPr="001455DC" w:rsidRDefault="005D2325" w:rsidP="000250B6">
            <w:pPr>
              <w:pStyle w:val="Tablebody"/>
              <w:jc w:val="left"/>
            </w:pPr>
            <w:r w:rsidRPr="001455DC">
              <w:t>Design value of the stress in the shear reinforcement</w:t>
            </w:r>
          </w:p>
        </w:tc>
        <w:tc>
          <w:tcPr>
            <w:tcW w:w="1984" w:type="dxa"/>
          </w:tcPr>
          <w:p w14:paraId="7879F090" w14:textId="4B7B1161" w:rsidR="005D2325" w:rsidRPr="001455DC" w:rsidRDefault="005D2325" w:rsidP="005D2325">
            <w:pPr>
              <w:pStyle w:val="Tablebody"/>
            </w:pPr>
            <w:r w:rsidRPr="009D3012">
              <w:rPr>
                <w:lang w:eastAsia="de-DE"/>
              </w:rPr>
              <w:t>8.2.3(12)</w:t>
            </w:r>
          </w:p>
        </w:tc>
      </w:tr>
      <w:tr w:rsidR="005D2325" w:rsidRPr="001455DC" w14:paraId="0A9ABC14" w14:textId="790EC736" w:rsidTr="00BE5EF4">
        <w:trPr>
          <w:cantSplit/>
        </w:trPr>
        <w:tc>
          <w:tcPr>
            <w:tcW w:w="1418" w:type="dxa"/>
            <w:shd w:val="clear" w:color="auto" w:fill="auto"/>
          </w:tcPr>
          <w:p w14:paraId="72DDCCF7" w14:textId="77777777" w:rsidR="005D2325" w:rsidRPr="009D3012" w:rsidRDefault="005D2325" w:rsidP="005D2325">
            <w:pPr>
              <w:pStyle w:val="Tablebody"/>
              <w:rPr>
                <w:rStyle w:val="CCMCvariableitalic"/>
              </w:rPr>
            </w:pPr>
            <w:r w:rsidRPr="009D3012">
              <w:rPr>
                <w:lang w:eastAsia="de-DE"/>
              </w:rPr>
              <w:t>Δ</w:t>
            </w:r>
            <w:r w:rsidRPr="001455DC">
              <w:rPr>
                <w:rStyle w:val="CCMCvariableitalic"/>
              </w:rPr>
              <w:t>σ</w:t>
            </w:r>
            <w:r w:rsidRPr="001455DC">
              <w:rPr>
                <w:rStyle w:val="CCMCvariablesubscript"/>
              </w:rPr>
              <w:t>p,el</w:t>
            </w:r>
          </w:p>
        </w:tc>
        <w:tc>
          <w:tcPr>
            <w:tcW w:w="6548" w:type="dxa"/>
            <w:shd w:val="clear" w:color="auto" w:fill="auto"/>
          </w:tcPr>
          <w:p w14:paraId="420D12E5" w14:textId="77777777" w:rsidR="005D2325" w:rsidRPr="001455DC" w:rsidRDefault="005D2325" w:rsidP="000250B6">
            <w:pPr>
              <w:pStyle w:val="Tablebody"/>
              <w:jc w:val="left"/>
            </w:pPr>
            <w:r w:rsidRPr="001455DC">
              <w:t>Prestressing losses due to elastic deformation of concrete</w:t>
            </w:r>
          </w:p>
        </w:tc>
        <w:tc>
          <w:tcPr>
            <w:tcW w:w="1984" w:type="dxa"/>
          </w:tcPr>
          <w:p w14:paraId="46FD490B" w14:textId="4B568B5B" w:rsidR="005D2325" w:rsidRPr="001455DC" w:rsidRDefault="005D2325" w:rsidP="005D2325">
            <w:pPr>
              <w:pStyle w:val="Tablebody"/>
            </w:pPr>
            <w:r w:rsidRPr="009D3012">
              <w:rPr>
                <w:lang w:eastAsia="de-DE"/>
              </w:rPr>
              <w:t>7.10.3(1), 7.10.3.3(2)</w:t>
            </w:r>
          </w:p>
        </w:tc>
      </w:tr>
      <w:tr w:rsidR="005D2325" w:rsidRPr="001455DC" w14:paraId="343E77E4" w14:textId="7DE81085" w:rsidTr="00BE5EF4">
        <w:trPr>
          <w:cantSplit/>
        </w:trPr>
        <w:tc>
          <w:tcPr>
            <w:tcW w:w="1418" w:type="dxa"/>
            <w:shd w:val="clear" w:color="auto" w:fill="auto"/>
          </w:tcPr>
          <w:p w14:paraId="6D2DF96B" w14:textId="77777777" w:rsidR="005D2325" w:rsidRPr="009D3012" w:rsidRDefault="005D2325" w:rsidP="005D2325">
            <w:pPr>
              <w:pStyle w:val="Tablebody"/>
              <w:rPr>
                <w:rStyle w:val="CCMCvariableitalic"/>
              </w:rPr>
            </w:pPr>
            <w:r w:rsidRPr="009D3012">
              <w:rPr>
                <w:lang w:eastAsia="de-DE"/>
              </w:rPr>
              <w:t>Δ</w:t>
            </w:r>
            <w:r w:rsidRPr="001455DC">
              <w:rPr>
                <w:rStyle w:val="CCMCvariableitalic"/>
              </w:rPr>
              <w:t>σ</w:t>
            </w:r>
            <w:r w:rsidRPr="001455DC">
              <w:rPr>
                <w:rStyle w:val="CCMCvariablesubscript"/>
              </w:rPr>
              <w:t>cp</w:t>
            </w:r>
          </w:p>
        </w:tc>
        <w:tc>
          <w:tcPr>
            <w:tcW w:w="6548" w:type="dxa"/>
            <w:shd w:val="clear" w:color="auto" w:fill="auto"/>
          </w:tcPr>
          <w:p w14:paraId="17C679E1" w14:textId="77777777" w:rsidR="005D2325" w:rsidRPr="001455DC" w:rsidRDefault="005D2325" w:rsidP="000250B6">
            <w:pPr>
              <w:pStyle w:val="Tablebody"/>
              <w:jc w:val="left"/>
            </w:pPr>
            <w:r w:rsidRPr="001455DC">
              <w:rPr>
                <w:lang w:eastAsia="de-DE"/>
              </w:rPr>
              <w:t xml:space="preserve">Variation of stress in concrete at the centre of gravity of the tendons when a number of </w:t>
            </w:r>
            <w:r w:rsidRPr="001455DC">
              <w:rPr>
                <w:rStyle w:val="CCMCvariableitalic"/>
              </w:rPr>
              <w:t>n</w:t>
            </w:r>
            <w:r w:rsidRPr="001455DC">
              <w:rPr>
                <w:lang w:eastAsia="de-DE"/>
              </w:rPr>
              <w:t xml:space="preserve"> tendons are stressed at time </w:t>
            </w:r>
            <w:r w:rsidRPr="001455DC">
              <w:rPr>
                <w:rStyle w:val="CCMCvariableitalic"/>
              </w:rPr>
              <w:t>t</w:t>
            </w:r>
          </w:p>
        </w:tc>
        <w:tc>
          <w:tcPr>
            <w:tcW w:w="1984" w:type="dxa"/>
          </w:tcPr>
          <w:p w14:paraId="4ACEC33D" w14:textId="522D0916" w:rsidR="005D2325" w:rsidRPr="001455DC" w:rsidRDefault="005D2325" w:rsidP="005D2325">
            <w:pPr>
              <w:pStyle w:val="Tablebody"/>
              <w:rPr>
                <w:lang w:eastAsia="de-DE"/>
              </w:rPr>
            </w:pPr>
            <w:r w:rsidRPr="009D3012">
              <w:rPr>
                <w:lang w:val="de-DE" w:eastAsia="de-DE"/>
              </w:rPr>
              <w:t>7.10.3.3(2)</w:t>
            </w:r>
          </w:p>
        </w:tc>
      </w:tr>
      <w:tr w:rsidR="005D2325" w:rsidRPr="001455DC" w14:paraId="0A1814C1" w14:textId="7924DDFD" w:rsidTr="00BE5EF4">
        <w:trPr>
          <w:cantSplit/>
        </w:trPr>
        <w:tc>
          <w:tcPr>
            <w:tcW w:w="1418" w:type="dxa"/>
            <w:shd w:val="clear" w:color="auto" w:fill="auto"/>
          </w:tcPr>
          <w:p w14:paraId="5B8A46C9" w14:textId="77777777" w:rsidR="005D2325" w:rsidRPr="009D3012" w:rsidRDefault="005D2325" w:rsidP="005D2325">
            <w:pPr>
              <w:pStyle w:val="Tablebody"/>
              <w:rPr>
                <w:rStyle w:val="CCMCvariableitalic"/>
              </w:rPr>
            </w:pPr>
            <w:r w:rsidRPr="009D3012">
              <w:rPr>
                <w:lang w:eastAsia="de-DE"/>
              </w:rPr>
              <w:t>Δ</w:t>
            </w:r>
            <w:r w:rsidRPr="001455DC">
              <w:rPr>
                <w:rStyle w:val="CCMCvariableitalic"/>
              </w:rPr>
              <w:t>σ</w:t>
            </w:r>
            <w:r w:rsidRPr="001455DC">
              <w:rPr>
                <w:rStyle w:val="CCMCvariablesubscript"/>
              </w:rPr>
              <w:t>pr</w:t>
            </w:r>
          </w:p>
        </w:tc>
        <w:tc>
          <w:tcPr>
            <w:tcW w:w="6548" w:type="dxa"/>
            <w:shd w:val="clear" w:color="auto" w:fill="auto"/>
          </w:tcPr>
          <w:p w14:paraId="62CA6881" w14:textId="77777777" w:rsidR="005D2325" w:rsidRPr="001455DC" w:rsidRDefault="005D2325" w:rsidP="000250B6">
            <w:pPr>
              <w:pStyle w:val="Tablebody"/>
              <w:jc w:val="left"/>
            </w:pPr>
            <w:r w:rsidRPr="001455DC">
              <w:t xml:space="preserve">Absolute value of the variation of stress in the tendons at location </w:t>
            </w:r>
            <w:r w:rsidRPr="001455DC">
              <w:rPr>
                <w:rStyle w:val="CCMCvariableitalic"/>
              </w:rPr>
              <w:t>x</w:t>
            </w:r>
            <w:r w:rsidRPr="001455DC">
              <w:t xml:space="preserve">, at time </w:t>
            </w:r>
            <w:r w:rsidRPr="001455DC">
              <w:rPr>
                <w:rStyle w:val="CCMCvariableitalic"/>
              </w:rPr>
              <w:t>t</w:t>
            </w:r>
            <w:r w:rsidRPr="001455DC">
              <w:t>, due to the relaxation of the prestressing steel</w:t>
            </w:r>
          </w:p>
        </w:tc>
        <w:tc>
          <w:tcPr>
            <w:tcW w:w="1984" w:type="dxa"/>
          </w:tcPr>
          <w:p w14:paraId="16652328" w14:textId="3E62230A" w:rsidR="005D2325" w:rsidRPr="001455DC" w:rsidRDefault="005D2325" w:rsidP="005D2325">
            <w:pPr>
              <w:pStyle w:val="Tablebody"/>
            </w:pPr>
            <w:r w:rsidRPr="009D3012">
              <w:rPr>
                <w:lang w:eastAsia="de-DE"/>
              </w:rPr>
              <w:t>7.10.3(1),7.10.4(2), B.</w:t>
            </w:r>
            <w:r w:rsidR="00015002" w:rsidRPr="009D3012">
              <w:rPr>
                <w:lang w:eastAsia="de-DE"/>
              </w:rPr>
              <w:t>9</w:t>
            </w:r>
          </w:p>
        </w:tc>
      </w:tr>
      <w:tr w:rsidR="005D2325" w:rsidRPr="001455DC" w14:paraId="32474E6D" w14:textId="41026CE7" w:rsidTr="00BE5EF4">
        <w:trPr>
          <w:cantSplit/>
        </w:trPr>
        <w:tc>
          <w:tcPr>
            <w:tcW w:w="1418" w:type="dxa"/>
            <w:shd w:val="clear" w:color="auto" w:fill="auto"/>
          </w:tcPr>
          <w:p w14:paraId="58E0D534" w14:textId="77777777" w:rsidR="005D2325" w:rsidRPr="009D3012" w:rsidRDefault="005D2325" w:rsidP="005D2325">
            <w:pPr>
              <w:pStyle w:val="Tablebody"/>
              <w:rPr>
                <w:rStyle w:val="CCMCvariableitalic"/>
              </w:rPr>
            </w:pPr>
            <w:r w:rsidRPr="009D3012">
              <w:rPr>
                <w:lang w:eastAsia="de-DE"/>
              </w:rPr>
              <w:t>Δ</w:t>
            </w:r>
            <w:r w:rsidRPr="001455DC">
              <w:rPr>
                <w:rStyle w:val="CCMCvariableitalic"/>
              </w:rPr>
              <w:t>σ</w:t>
            </w:r>
            <w:r w:rsidRPr="001455DC">
              <w:rPr>
                <w:rStyle w:val="CCMCvariablesubscript"/>
              </w:rPr>
              <w:t>p,ULS</w:t>
            </w:r>
          </w:p>
        </w:tc>
        <w:tc>
          <w:tcPr>
            <w:tcW w:w="6548" w:type="dxa"/>
            <w:shd w:val="clear" w:color="auto" w:fill="auto"/>
          </w:tcPr>
          <w:p w14:paraId="4460025C" w14:textId="77777777" w:rsidR="005D2325" w:rsidRPr="001455DC" w:rsidRDefault="005D2325" w:rsidP="000250B6">
            <w:pPr>
              <w:pStyle w:val="Tablebody"/>
              <w:jc w:val="left"/>
            </w:pPr>
            <w:r w:rsidRPr="001455DC">
              <w:t>Increase of the stress from the effective prestress to the stress in the ultimate limit state for prestressed members with permanently unbonded tendons</w:t>
            </w:r>
          </w:p>
        </w:tc>
        <w:tc>
          <w:tcPr>
            <w:tcW w:w="1984" w:type="dxa"/>
          </w:tcPr>
          <w:p w14:paraId="1518BCAD" w14:textId="5021EF37" w:rsidR="005D2325" w:rsidRPr="001455DC" w:rsidRDefault="005D2325" w:rsidP="005D2325">
            <w:pPr>
              <w:pStyle w:val="Tablebody"/>
            </w:pPr>
            <w:r w:rsidRPr="009D3012">
              <w:rPr>
                <w:lang w:val="de-DE" w:eastAsia="de-DE"/>
              </w:rPr>
              <w:t>7.10.5 (3)</w:t>
            </w:r>
          </w:p>
        </w:tc>
      </w:tr>
      <w:tr w:rsidR="005D2325" w:rsidRPr="001455DC" w14:paraId="07A15DD7" w14:textId="710AFBC2" w:rsidTr="00BE5EF4">
        <w:trPr>
          <w:cantSplit/>
        </w:trPr>
        <w:tc>
          <w:tcPr>
            <w:tcW w:w="1418" w:type="dxa"/>
            <w:shd w:val="clear" w:color="auto" w:fill="auto"/>
          </w:tcPr>
          <w:p w14:paraId="74987E9E" w14:textId="77777777" w:rsidR="005D2325" w:rsidRPr="009D3012" w:rsidRDefault="005D2325" w:rsidP="005D2325">
            <w:pPr>
              <w:pStyle w:val="Tablebody"/>
              <w:rPr>
                <w:rStyle w:val="CCMCvariableitalic"/>
              </w:rPr>
            </w:pPr>
            <w:r w:rsidRPr="009D3012">
              <w:rPr>
                <w:lang w:eastAsia="de-DE"/>
              </w:rPr>
              <w:t>Δ</w:t>
            </w:r>
            <w:r w:rsidRPr="001455DC">
              <w:rPr>
                <w:rStyle w:val="CCMCvariableitalic"/>
              </w:rPr>
              <w:t>σ</w:t>
            </w:r>
            <w:r w:rsidRPr="001455DC">
              <w:rPr>
                <w:rStyle w:val="CCMCvariablesubscript"/>
              </w:rPr>
              <w:t>p,sl</w:t>
            </w:r>
          </w:p>
        </w:tc>
        <w:tc>
          <w:tcPr>
            <w:tcW w:w="6548" w:type="dxa"/>
            <w:shd w:val="clear" w:color="auto" w:fill="auto"/>
          </w:tcPr>
          <w:p w14:paraId="193E5721" w14:textId="77777777" w:rsidR="005D2325" w:rsidRPr="001455DC" w:rsidRDefault="005D2325" w:rsidP="000250B6">
            <w:pPr>
              <w:pStyle w:val="Tablebody"/>
              <w:jc w:val="left"/>
            </w:pPr>
            <w:r w:rsidRPr="001455DC">
              <w:t>Prestressing losses due to anchorage seating</w:t>
            </w:r>
          </w:p>
        </w:tc>
        <w:tc>
          <w:tcPr>
            <w:tcW w:w="1984" w:type="dxa"/>
          </w:tcPr>
          <w:p w14:paraId="4D69232F" w14:textId="40E2FAC8" w:rsidR="005D2325" w:rsidRPr="001455DC" w:rsidRDefault="005D2325" w:rsidP="005D2325">
            <w:pPr>
              <w:pStyle w:val="Tablebody"/>
            </w:pPr>
            <w:r w:rsidRPr="009D3012">
              <w:rPr>
                <w:lang w:eastAsia="de-DE"/>
              </w:rPr>
              <w:t>7.10.3(1)</w:t>
            </w:r>
          </w:p>
        </w:tc>
      </w:tr>
      <w:tr w:rsidR="005D2325" w:rsidRPr="001455DC" w14:paraId="39A04569" w14:textId="55779684" w:rsidTr="00BE5EF4">
        <w:trPr>
          <w:cantSplit/>
        </w:trPr>
        <w:tc>
          <w:tcPr>
            <w:tcW w:w="1418" w:type="dxa"/>
            <w:shd w:val="clear" w:color="auto" w:fill="auto"/>
          </w:tcPr>
          <w:p w14:paraId="5499B435" w14:textId="77777777" w:rsidR="005D2325" w:rsidRPr="009D3012" w:rsidRDefault="005D2325" w:rsidP="005D2325">
            <w:pPr>
              <w:pStyle w:val="Tablebody"/>
              <w:rPr>
                <w:rStyle w:val="CCMCvariableitalic"/>
              </w:rPr>
            </w:pPr>
            <w:r w:rsidRPr="009D3012">
              <w:rPr>
                <w:lang w:eastAsia="de-DE"/>
              </w:rPr>
              <w:t>Δ</w:t>
            </w:r>
            <w:r w:rsidRPr="001455DC">
              <w:rPr>
                <w:rStyle w:val="CCMCvariableitalic"/>
              </w:rPr>
              <w:t>σ</w:t>
            </w:r>
            <w:r w:rsidRPr="001455DC">
              <w:rPr>
                <w:rStyle w:val="CCMCvariablesubscript"/>
              </w:rPr>
              <w:t>p,μ</w:t>
            </w:r>
          </w:p>
        </w:tc>
        <w:tc>
          <w:tcPr>
            <w:tcW w:w="6548" w:type="dxa"/>
            <w:shd w:val="clear" w:color="auto" w:fill="auto"/>
          </w:tcPr>
          <w:p w14:paraId="27A32A73" w14:textId="77777777" w:rsidR="005D2325" w:rsidRPr="001455DC" w:rsidRDefault="005D2325" w:rsidP="000250B6">
            <w:pPr>
              <w:pStyle w:val="Tablebody"/>
              <w:jc w:val="left"/>
            </w:pPr>
            <w:r w:rsidRPr="001455DC">
              <w:t>Prestressing losses due to friction</w:t>
            </w:r>
          </w:p>
        </w:tc>
        <w:tc>
          <w:tcPr>
            <w:tcW w:w="1984" w:type="dxa"/>
          </w:tcPr>
          <w:p w14:paraId="67D63AFD" w14:textId="5EBB906A" w:rsidR="005D2325" w:rsidRPr="001455DC" w:rsidRDefault="005D2325" w:rsidP="005D2325">
            <w:pPr>
              <w:pStyle w:val="Tablebody"/>
            </w:pPr>
            <w:r w:rsidRPr="009D3012">
              <w:rPr>
                <w:lang w:eastAsia="de-DE"/>
              </w:rPr>
              <w:t>7.10.3(1), 7.10.3.1(1)</w:t>
            </w:r>
          </w:p>
        </w:tc>
      </w:tr>
      <w:tr w:rsidR="005D2325" w:rsidRPr="001455DC" w14:paraId="388C406A" w14:textId="20A1F17A" w:rsidTr="00BE5EF4">
        <w:trPr>
          <w:cantSplit/>
        </w:trPr>
        <w:tc>
          <w:tcPr>
            <w:tcW w:w="1418" w:type="dxa"/>
            <w:shd w:val="clear" w:color="auto" w:fill="auto"/>
          </w:tcPr>
          <w:p w14:paraId="5493997F" w14:textId="77777777" w:rsidR="005D2325" w:rsidRPr="001455DC" w:rsidRDefault="005D2325" w:rsidP="005D2325">
            <w:pPr>
              <w:pStyle w:val="Tablebody"/>
              <w:rPr>
                <w:lang w:eastAsia="de-DE"/>
              </w:rPr>
            </w:pPr>
            <w:r w:rsidRPr="001455DC">
              <w:rPr>
                <w:rStyle w:val="CCMCvariableitalic"/>
              </w:rPr>
              <w:t>τ</w:t>
            </w:r>
            <w:r w:rsidRPr="001455DC">
              <w:rPr>
                <w:rStyle w:val="CCMCvariablesubscript"/>
              </w:rPr>
              <w:t>cp</w:t>
            </w:r>
          </w:p>
        </w:tc>
        <w:tc>
          <w:tcPr>
            <w:tcW w:w="6548" w:type="dxa"/>
            <w:shd w:val="clear" w:color="auto" w:fill="auto"/>
          </w:tcPr>
          <w:p w14:paraId="3D747A7F" w14:textId="77777777" w:rsidR="005D2325" w:rsidRPr="001455DC" w:rsidRDefault="005D2325" w:rsidP="000250B6">
            <w:pPr>
              <w:pStyle w:val="Tablebody"/>
              <w:jc w:val="left"/>
            </w:pPr>
            <w:r w:rsidRPr="001455DC">
              <w:t>Shear stress in the concrete from acting shear force</w:t>
            </w:r>
          </w:p>
        </w:tc>
        <w:tc>
          <w:tcPr>
            <w:tcW w:w="1984" w:type="dxa"/>
          </w:tcPr>
          <w:p w14:paraId="7FB98891" w14:textId="5CA01077" w:rsidR="005D2325" w:rsidRPr="001455DC" w:rsidRDefault="005D2325" w:rsidP="005D2325">
            <w:pPr>
              <w:pStyle w:val="Tablebody"/>
            </w:pPr>
            <w:r w:rsidRPr="009D3012">
              <w:rPr>
                <w:lang w:eastAsia="de-DE"/>
              </w:rPr>
              <w:t>14.4.3(3)</w:t>
            </w:r>
          </w:p>
        </w:tc>
      </w:tr>
      <w:tr w:rsidR="005D2325" w:rsidRPr="001455DC" w14:paraId="2C0F9138" w14:textId="0BB92C2C" w:rsidTr="00BE5EF4">
        <w:trPr>
          <w:cantSplit/>
        </w:trPr>
        <w:tc>
          <w:tcPr>
            <w:tcW w:w="1418" w:type="dxa"/>
            <w:shd w:val="clear" w:color="auto" w:fill="auto"/>
          </w:tcPr>
          <w:p w14:paraId="778FFA05" w14:textId="77777777" w:rsidR="005D2325" w:rsidRPr="009D3012" w:rsidRDefault="005D2325" w:rsidP="005D2325">
            <w:pPr>
              <w:pStyle w:val="Tablebody"/>
              <w:rPr>
                <w:rStyle w:val="CCMCvariableitalic"/>
              </w:rPr>
            </w:pPr>
            <w:r w:rsidRPr="001455DC">
              <w:rPr>
                <w:rStyle w:val="CCMCvariableitalic"/>
              </w:rPr>
              <w:t>τ</w:t>
            </w:r>
            <w:r w:rsidRPr="001455DC">
              <w:rPr>
                <w:rStyle w:val="CCMCvariablesubscript"/>
              </w:rPr>
              <w:t>Ed</w:t>
            </w:r>
          </w:p>
        </w:tc>
        <w:tc>
          <w:tcPr>
            <w:tcW w:w="6548" w:type="dxa"/>
            <w:shd w:val="clear" w:color="auto" w:fill="auto"/>
          </w:tcPr>
          <w:p w14:paraId="69779803" w14:textId="77777777" w:rsidR="005D2325" w:rsidRPr="001455DC" w:rsidRDefault="005D2325" w:rsidP="000250B6">
            <w:pPr>
              <w:pStyle w:val="Tablebody"/>
              <w:jc w:val="left"/>
              <w:rPr>
                <w:lang w:eastAsia="de-DE"/>
              </w:rPr>
            </w:pPr>
            <w:r w:rsidRPr="001455DC">
              <w:rPr>
                <w:lang w:eastAsia="de-DE"/>
              </w:rPr>
              <w:t>Average acting shear stress over a cross section</w:t>
            </w:r>
          </w:p>
        </w:tc>
        <w:tc>
          <w:tcPr>
            <w:tcW w:w="1984" w:type="dxa"/>
          </w:tcPr>
          <w:p w14:paraId="59E05373" w14:textId="03A49CE5" w:rsidR="005D2325" w:rsidRPr="001455DC" w:rsidRDefault="005D2325" w:rsidP="005D2325">
            <w:pPr>
              <w:pStyle w:val="Tablebody"/>
              <w:rPr>
                <w:lang w:eastAsia="de-DE"/>
              </w:rPr>
            </w:pPr>
            <w:r w:rsidRPr="009D3012">
              <w:rPr>
                <w:lang w:eastAsia="de-DE"/>
              </w:rPr>
              <w:t>8.2.1(3), 8.2.5(1)</w:t>
            </w:r>
          </w:p>
        </w:tc>
      </w:tr>
      <w:tr w:rsidR="005D2325" w:rsidRPr="001455DC" w14:paraId="27622594" w14:textId="0DEE36DA" w:rsidTr="00BE5EF4">
        <w:trPr>
          <w:cantSplit/>
        </w:trPr>
        <w:tc>
          <w:tcPr>
            <w:tcW w:w="1418" w:type="dxa"/>
            <w:shd w:val="clear" w:color="auto" w:fill="auto"/>
          </w:tcPr>
          <w:p w14:paraId="6C42DAEC" w14:textId="77777777" w:rsidR="005D2325" w:rsidRPr="009D3012" w:rsidRDefault="005D2325" w:rsidP="005D2325">
            <w:pPr>
              <w:pStyle w:val="Tablebody"/>
              <w:rPr>
                <w:rStyle w:val="CCMCvariableitalic"/>
              </w:rPr>
            </w:pPr>
            <w:r w:rsidRPr="001455DC">
              <w:rPr>
                <w:rStyle w:val="CCMCvariableitalic"/>
              </w:rPr>
              <w:t>τ</w:t>
            </w:r>
            <w:r w:rsidRPr="001455DC">
              <w:rPr>
                <w:rStyle w:val="CCMCvariablesubscript"/>
              </w:rPr>
              <w:t>Ed,i</w:t>
            </w:r>
          </w:p>
        </w:tc>
        <w:tc>
          <w:tcPr>
            <w:tcW w:w="6548" w:type="dxa"/>
            <w:shd w:val="clear" w:color="auto" w:fill="auto"/>
          </w:tcPr>
          <w:p w14:paraId="5BD577CF" w14:textId="77777777" w:rsidR="005D2325" w:rsidRPr="001455DC" w:rsidRDefault="005D2325" w:rsidP="000250B6">
            <w:pPr>
              <w:pStyle w:val="Tablebody"/>
              <w:jc w:val="left"/>
              <w:rPr>
                <w:lang w:eastAsia="de-DE"/>
              </w:rPr>
            </w:pPr>
            <w:r w:rsidRPr="001455DC">
              <w:rPr>
                <w:lang w:eastAsia="de-DE"/>
              </w:rPr>
              <w:t>Design value of the shear stress at interfaces</w:t>
            </w:r>
          </w:p>
        </w:tc>
        <w:tc>
          <w:tcPr>
            <w:tcW w:w="1984" w:type="dxa"/>
          </w:tcPr>
          <w:p w14:paraId="06BAF508" w14:textId="5D23B3BD" w:rsidR="005D2325" w:rsidRPr="001455DC" w:rsidRDefault="005D2325" w:rsidP="005D2325">
            <w:pPr>
              <w:pStyle w:val="Tablebody"/>
              <w:rPr>
                <w:lang w:eastAsia="de-DE"/>
              </w:rPr>
            </w:pPr>
            <w:r w:rsidRPr="009D3012">
              <w:rPr>
                <w:lang w:eastAsia="de-DE"/>
              </w:rPr>
              <w:t>8.2.6</w:t>
            </w:r>
          </w:p>
        </w:tc>
      </w:tr>
      <w:tr w:rsidR="005D2325" w:rsidRPr="001455DC" w14:paraId="2995CD19" w14:textId="4D56F159" w:rsidTr="00BE5EF4">
        <w:trPr>
          <w:cantSplit/>
        </w:trPr>
        <w:tc>
          <w:tcPr>
            <w:tcW w:w="1418" w:type="dxa"/>
            <w:shd w:val="clear" w:color="auto" w:fill="auto"/>
          </w:tcPr>
          <w:p w14:paraId="7B486F63" w14:textId="77777777" w:rsidR="005D2325" w:rsidRPr="009D3012" w:rsidRDefault="005D2325" w:rsidP="005D2325">
            <w:pPr>
              <w:pStyle w:val="Tablebody"/>
              <w:rPr>
                <w:rStyle w:val="CCMCvariableitalic"/>
              </w:rPr>
            </w:pPr>
            <w:r w:rsidRPr="001455DC">
              <w:rPr>
                <w:rStyle w:val="CCMCvariableitalic"/>
              </w:rPr>
              <w:t>τ</w:t>
            </w:r>
            <w:r w:rsidRPr="001455DC">
              <w:rPr>
                <w:rStyle w:val="CCMCvariablesubscript"/>
              </w:rPr>
              <w:t>Rd,c</w:t>
            </w:r>
          </w:p>
        </w:tc>
        <w:tc>
          <w:tcPr>
            <w:tcW w:w="6548" w:type="dxa"/>
            <w:shd w:val="clear" w:color="auto" w:fill="auto"/>
          </w:tcPr>
          <w:p w14:paraId="24E613E4" w14:textId="77777777" w:rsidR="005D2325" w:rsidRPr="001455DC" w:rsidRDefault="005D2325" w:rsidP="000250B6">
            <w:pPr>
              <w:pStyle w:val="Tablebody"/>
              <w:jc w:val="left"/>
              <w:rPr>
                <w:lang w:eastAsia="de-DE"/>
              </w:rPr>
            </w:pPr>
            <w:r w:rsidRPr="001455DC">
              <w:rPr>
                <w:lang w:eastAsia="de-DE"/>
              </w:rPr>
              <w:t>Shear stress resistance of members without shear reinforcement (average shear stress over a cross section)</w:t>
            </w:r>
          </w:p>
        </w:tc>
        <w:tc>
          <w:tcPr>
            <w:tcW w:w="1984" w:type="dxa"/>
          </w:tcPr>
          <w:p w14:paraId="1B75BB13" w14:textId="3DB33C7E" w:rsidR="005D2325" w:rsidRPr="001455DC" w:rsidRDefault="005D2325" w:rsidP="005D2325">
            <w:pPr>
              <w:pStyle w:val="Tablebody"/>
              <w:rPr>
                <w:lang w:eastAsia="de-DE"/>
              </w:rPr>
            </w:pPr>
            <w:r w:rsidRPr="009D3012">
              <w:rPr>
                <w:lang w:eastAsia="de-DE"/>
              </w:rPr>
              <w:t>8.2.2(3), 8.4.3(1)</w:t>
            </w:r>
          </w:p>
        </w:tc>
      </w:tr>
      <w:tr w:rsidR="005D2325" w:rsidRPr="001455DC" w14:paraId="46899B49" w14:textId="0E969648" w:rsidTr="00BE5EF4">
        <w:trPr>
          <w:cantSplit/>
        </w:trPr>
        <w:tc>
          <w:tcPr>
            <w:tcW w:w="1418" w:type="dxa"/>
            <w:shd w:val="clear" w:color="auto" w:fill="auto"/>
          </w:tcPr>
          <w:p w14:paraId="72EA058E" w14:textId="77777777" w:rsidR="005D2325" w:rsidRPr="009D3012" w:rsidRDefault="005D2325" w:rsidP="005D2325">
            <w:pPr>
              <w:pStyle w:val="Tablebody"/>
              <w:rPr>
                <w:rStyle w:val="CCMCvariableitalic"/>
              </w:rPr>
            </w:pPr>
            <w:r w:rsidRPr="001455DC">
              <w:rPr>
                <w:rStyle w:val="CCMCvariableitalic"/>
              </w:rPr>
              <w:t>τ</w:t>
            </w:r>
            <w:r w:rsidRPr="001455DC">
              <w:rPr>
                <w:rStyle w:val="CCMCvariablesubscript"/>
              </w:rPr>
              <w:t>Rdc,min</w:t>
            </w:r>
          </w:p>
        </w:tc>
        <w:tc>
          <w:tcPr>
            <w:tcW w:w="6548" w:type="dxa"/>
            <w:shd w:val="clear" w:color="auto" w:fill="auto"/>
          </w:tcPr>
          <w:p w14:paraId="16E411BF" w14:textId="77777777" w:rsidR="005D2325" w:rsidRPr="001455DC" w:rsidRDefault="005D2325" w:rsidP="000250B6">
            <w:pPr>
              <w:pStyle w:val="Tablebody"/>
              <w:jc w:val="left"/>
              <w:rPr>
                <w:lang w:eastAsia="de-DE"/>
              </w:rPr>
            </w:pPr>
            <w:r w:rsidRPr="001455DC">
              <w:rPr>
                <w:lang w:eastAsia="de-DE"/>
              </w:rPr>
              <w:t>Minimum shear stress resistance allowing to avoid a detailed verification for shear (average shear stress over a cross section)</w:t>
            </w:r>
          </w:p>
        </w:tc>
        <w:tc>
          <w:tcPr>
            <w:tcW w:w="1984" w:type="dxa"/>
          </w:tcPr>
          <w:p w14:paraId="420FFB7B" w14:textId="202477A8" w:rsidR="005D2325" w:rsidRPr="001455DC" w:rsidRDefault="005D2325" w:rsidP="005D2325">
            <w:pPr>
              <w:pStyle w:val="Tablebody"/>
              <w:rPr>
                <w:lang w:eastAsia="de-DE"/>
              </w:rPr>
            </w:pPr>
            <w:r w:rsidRPr="009D3012">
              <w:rPr>
                <w:lang w:eastAsia="de-DE"/>
              </w:rPr>
              <w:t>8.2.1(4)</w:t>
            </w:r>
          </w:p>
        </w:tc>
      </w:tr>
      <w:tr w:rsidR="005D2325" w:rsidRPr="001455DC" w14:paraId="19030D22" w14:textId="7A2F87C7" w:rsidTr="00BE5EF4">
        <w:trPr>
          <w:cantSplit/>
        </w:trPr>
        <w:tc>
          <w:tcPr>
            <w:tcW w:w="1418" w:type="dxa"/>
            <w:shd w:val="clear" w:color="auto" w:fill="auto"/>
          </w:tcPr>
          <w:p w14:paraId="281723A0" w14:textId="77777777" w:rsidR="005D2325" w:rsidRPr="009D3012" w:rsidRDefault="005D2325" w:rsidP="005D2325">
            <w:pPr>
              <w:pStyle w:val="Tablebody"/>
              <w:rPr>
                <w:rStyle w:val="CCMCvariableitalic"/>
              </w:rPr>
            </w:pPr>
            <w:r w:rsidRPr="001455DC">
              <w:rPr>
                <w:rStyle w:val="CCMCvariableitalic"/>
              </w:rPr>
              <w:t>τ</w:t>
            </w:r>
            <w:r w:rsidRPr="001455DC">
              <w:rPr>
                <w:rStyle w:val="CCMCvariablesubscript"/>
              </w:rPr>
              <w:t>Rd,cs</w:t>
            </w:r>
          </w:p>
        </w:tc>
        <w:tc>
          <w:tcPr>
            <w:tcW w:w="6548" w:type="dxa"/>
            <w:shd w:val="clear" w:color="auto" w:fill="auto"/>
          </w:tcPr>
          <w:p w14:paraId="1ABE7E61" w14:textId="77777777" w:rsidR="005D2325" w:rsidRPr="001455DC" w:rsidRDefault="005D2325" w:rsidP="000250B6">
            <w:pPr>
              <w:pStyle w:val="Tablebody"/>
              <w:jc w:val="left"/>
              <w:rPr>
                <w:lang w:eastAsia="de-DE"/>
              </w:rPr>
            </w:pPr>
            <w:r w:rsidRPr="001455DC">
              <w:rPr>
                <w:lang w:eastAsia="de-DE"/>
              </w:rPr>
              <w:t xml:space="preserve">Shear stress resistance of planar members with shear reinforcement subjected to concentrated forces </w:t>
            </w:r>
          </w:p>
        </w:tc>
        <w:tc>
          <w:tcPr>
            <w:tcW w:w="1984" w:type="dxa"/>
          </w:tcPr>
          <w:p w14:paraId="0C78E54B" w14:textId="320F1F41" w:rsidR="005D2325" w:rsidRPr="001455DC" w:rsidRDefault="005D2325" w:rsidP="005D2325">
            <w:pPr>
              <w:pStyle w:val="Tablebody"/>
              <w:rPr>
                <w:lang w:eastAsia="de-DE"/>
              </w:rPr>
            </w:pPr>
            <w:r w:rsidRPr="009D3012">
              <w:rPr>
                <w:lang w:eastAsia="de-DE"/>
              </w:rPr>
              <w:t>8.4.1(2), 8.4.4(1)</w:t>
            </w:r>
          </w:p>
        </w:tc>
      </w:tr>
      <w:tr w:rsidR="005D2325" w:rsidRPr="001455DC" w14:paraId="489FCD5C" w14:textId="15011570" w:rsidTr="00BE5EF4">
        <w:trPr>
          <w:cantSplit/>
        </w:trPr>
        <w:tc>
          <w:tcPr>
            <w:tcW w:w="1418" w:type="dxa"/>
            <w:shd w:val="clear" w:color="auto" w:fill="auto"/>
          </w:tcPr>
          <w:p w14:paraId="251B862E" w14:textId="77777777" w:rsidR="005D2325" w:rsidRPr="009D3012" w:rsidRDefault="005D2325" w:rsidP="005D2325">
            <w:pPr>
              <w:pStyle w:val="Tablebody"/>
              <w:rPr>
                <w:rStyle w:val="CCMCvariableitalic"/>
              </w:rPr>
            </w:pPr>
            <w:r w:rsidRPr="001455DC">
              <w:rPr>
                <w:rStyle w:val="CCMCvariableitalic"/>
              </w:rPr>
              <w:t>τ</w:t>
            </w:r>
            <w:r w:rsidRPr="001455DC">
              <w:rPr>
                <w:rStyle w:val="CCMCvariablesubscript"/>
              </w:rPr>
              <w:t>Rd,i</w:t>
            </w:r>
          </w:p>
        </w:tc>
        <w:tc>
          <w:tcPr>
            <w:tcW w:w="6548" w:type="dxa"/>
            <w:shd w:val="clear" w:color="auto" w:fill="auto"/>
          </w:tcPr>
          <w:p w14:paraId="2BF7485C" w14:textId="77777777" w:rsidR="005D2325" w:rsidRPr="001455DC" w:rsidRDefault="005D2325" w:rsidP="000250B6">
            <w:pPr>
              <w:pStyle w:val="Tablebody"/>
              <w:jc w:val="left"/>
              <w:rPr>
                <w:lang w:eastAsia="de-DE"/>
              </w:rPr>
            </w:pPr>
            <w:r w:rsidRPr="001455DC">
              <w:rPr>
                <w:lang w:eastAsia="de-DE"/>
              </w:rPr>
              <w:t>Shear stress resistance at interfaces</w:t>
            </w:r>
          </w:p>
        </w:tc>
        <w:tc>
          <w:tcPr>
            <w:tcW w:w="1984" w:type="dxa"/>
          </w:tcPr>
          <w:p w14:paraId="65A01D16" w14:textId="092ED570" w:rsidR="005D2325" w:rsidRPr="001455DC" w:rsidRDefault="005D2325" w:rsidP="005D2325">
            <w:pPr>
              <w:pStyle w:val="Tablebody"/>
              <w:rPr>
                <w:lang w:eastAsia="de-DE"/>
              </w:rPr>
            </w:pPr>
            <w:r w:rsidRPr="009D3012">
              <w:rPr>
                <w:lang w:eastAsia="de-DE"/>
              </w:rPr>
              <w:t>8.2.6</w:t>
            </w:r>
          </w:p>
        </w:tc>
      </w:tr>
      <w:tr w:rsidR="005D2325" w:rsidRPr="001455DC" w14:paraId="20AA5197" w14:textId="4A88C60F" w:rsidTr="00BE5EF4">
        <w:trPr>
          <w:cantSplit/>
        </w:trPr>
        <w:tc>
          <w:tcPr>
            <w:tcW w:w="1418" w:type="dxa"/>
            <w:shd w:val="clear" w:color="auto" w:fill="auto"/>
          </w:tcPr>
          <w:p w14:paraId="35961764" w14:textId="77777777" w:rsidR="005D2325" w:rsidRPr="009D3012" w:rsidRDefault="005D2325" w:rsidP="005D2325">
            <w:pPr>
              <w:pStyle w:val="Tablebody"/>
              <w:rPr>
                <w:rStyle w:val="CCMCvariableitalic"/>
              </w:rPr>
            </w:pPr>
            <w:r w:rsidRPr="001455DC">
              <w:rPr>
                <w:rStyle w:val="CCMCvariableitalic"/>
              </w:rPr>
              <w:t>τ</w:t>
            </w:r>
            <w:r w:rsidRPr="001455DC">
              <w:rPr>
                <w:rStyle w:val="CCMCvariablesubscript"/>
              </w:rPr>
              <w:t>Rd,max</w:t>
            </w:r>
          </w:p>
        </w:tc>
        <w:tc>
          <w:tcPr>
            <w:tcW w:w="6548" w:type="dxa"/>
            <w:shd w:val="clear" w:color="auto" w:fill="auto"/>
          </w:tcPr>
          <w:p w14:paraId="5A0C306B" w14:textId="77777777" w:rsidR="005D2325" w:rsidRPr="001455DC" w:rsidRDefault="005D2325" w:rsidP="000250B6">
            <w:pPr>
              <w:pStyle w:val="Tablebody"/>
              <w:jc w:val="left"/>
              <w:rPr>
                <w:lang w:eastAsia="de-DE"/>
              </w:rPr>
            </w:pPr>
            <w:r w:rsidRPr="001455DC">
              <w:rPr>
                <w:lang w:eastAsia="de-DE"/>
              </w:rPr>
              <w:t>Maximum shear stress resistance of planar members with shear reinforcement subjected to concentrated forces</w:t>
            </w:r>
          </w:p>
        </w:tc>
        <w:tc>
          <w:tcPr>
            <w:tcW w:w="1984" w:type="dxa"/>
          </w:tcPr>
          <w:p w14:paraId="7C230AF5" w14:textId="64BECE7A" w:rsidR="005D2325" w:rsidRPr="001455DC" w:rsidRDefault="005D2325" w:rsidP="005D2325">
            <w:pPr>
              <w:pStyle w:val="Tablebody"/>
              <w:rPr>
                <w:lang w:eastAsia="de-DE"/>
              </w:rPr>
            </w:pPr>
            <w:r w:rsidRPr="009D3012">
              <w:rPr>
                <w:lang w:eastAsia="de-DE"/>
              </w:rPr>
              <w:t>8.4.1(2), 8.4.4(3)</w:t>
            </w:r>
          </w:p>
        </w:tc>
      </w:tr>
      <w:tr w:rsidR="005D2325" w:rsidRPr="001455DC" w14:paraId="0CA8561E" w14:textId="67684D37" w:rsidTr="00BE5EF4">
        <w:trPr>
          <w:cantSplit/>
        </w:trPr>
        <w:tc>
          <w:tcPr>
            <w:tcW w:w="1418" w:type="dxa"/>
            <w:shd w:val="clear" w:color="auto" w:fill="auto"/>
          </w:tcPr>
          <w:p w14:paraId="4108C3BB" w14:textId="77777777" w:rsidR="005D2325" w:rsidRPr="009D3012" w:rsidRDefault="005D2325" w:rsidP="005D2325">
            <w:pPr>
              <w:pStyle w:val="Tablebody"/>
              <w:rPr>
                <w:rStyle w:val="CCMCvariableitalic"/>
              </w:rPr>
            </w:pPr>
            <w:r w:rsidRPr="001455DC">
              <w:rPr>
                <w:rStyle w:val="CCMCvariableitalic"/>
              </w:rPr>
              <w:t>τ</w:t>
            </w:r>
            <w:r w:rsidRPr="001455DC">
              <w:rPr>
                <w:rStyle w:val="CCMCvariablesubscript"/>
              </w:rPr>
              <w:t>Rd,pl</w:t>
            </w:r>
          </w:p>
        </w:tc>
        <w:tc>
          <w:tcPr>
            <w:tcW w:w="6548" w:type="dxa"/>
            <w:shd w:val="clear" w:color="auto" w:fill="auto"/>
          </w:tcPr>
          <w:p w14:paraId="0849A76B" w14:textId="77777777" w:rsidR="005D2325" w:rsidRPr="001455DC" w:rsidRDefault="005D2325" w:rsidP="000250B6">
            <w:pPr>
              <w:pStyle w:val="Tablebody"/>
              <w:jc w:val="left"/>
              <w:rPr>
                <w:lang w:eastAsia="de-DE"/>
              </w:rPr>
            </w:pPr>
            <w:r w:rsidRPr="001455DC">
              <w:rPr>
                <w:lang w:eastAsia="de-DE"/>
              </w:rPr>
              <w:t xml:space="preserve">Design strength of plain concrete in shear </w:t>
            </w:r>
          </w:p>
        </w:tc>
        <w:tc>
          <w:tcPr>
            <w:tcW w:w="1984" w:type="dxa"/>
          </w:tcPr>
          <w:p w14:paraId="27672CB2" w14:textId="0703FF48" w:rsidR="005D2325" w:rsidRPr="001455DC" w:rsidRDefault="005D2325" w:rsidP="005D2325">
            <w:pPr>
              <w:pStyle w:val="Tablebody"/>
              <w:rPr>
                <w:lang w:eastAsia="de-DE"/>
              </w:rPr>
            </w:pPr>
            <w:r w:rsidRPr="009D3012">
              <w:rPr>
                <w:lang w:eastAsia="de-DE"/>
              </w:rPr>
              <w:t xml:space="preserve">14.4.2 </w:t>
            </w:r>
          </w:p>
        </w:tc>
      </w:tr>
      <w:tr w:rsidR="005D2325" w:rsidRPr="001455DC" w14:paraId="09FFB9B5" w14:textId="3C2A69DA" w:rsidTr="00BE5EF4">
        <w:trPr>
          <w:cantSplit/>
        </w:trPr>
        <w:tc>
          <w:tcPr>
            <w:tcW w:w="1418" w:type="dxa"/>
            <w:shd w:val="clear" w:color="auto" w:fill="auto"/>
          </w:tcPr>
          <w:p w14:paraId="30FC70C0" w14:textId="77777777" w:rsidR="005D2325" w:rsidRPr="009D3012" w:rsidRDefault="005D2325" w:rsidP="005D2325">
            <w:pPr>
              <w:pStyle w:val="Tablebody"/>
              <w:rPr>
                <w:rStyle w:val="CCMCvariableitalic"/>
              </w:rPr>
            </w:pPr>
            <w:r w:rsidRPr="001455DC">
              <w:rPr>
                <w:rStyle w:val="CCMCvariableitalic"/>
              </w:rPr>
              <w:t>ϕ</w:t>
            </w:r>
          </w:p>
        </w:tc>
        <w:tc>
          <w:tcPr>
            <w:tcW w:w="6548" w:type="dxa"/>
            <w:shd w:val="clear" w:color="auto" w:fill="auto"/>
          </w:tcPr>
          <w:p w14:paraId="5F7E43E6" w14:textId="77777777" w:rsidR="005D2325" w:rsidRPr="001455DC" w:rsidRDefault="005D2325" w:rsidP="000250B6">
            <w:pPr>
              <w:pStyle w:val="Tablebody"/>
              <w:jc w:val="left"/>
              <w:rPr>
                <w:lang w:eastAsia="de-DE"/>
              </w:rPr>
            </w:pPr>
            <w:r w:rsidRPr="001455DC">
              <w:rPr>
                <w:lang w:eastAsia="de-DE"/>
              </w:rPr>
              <w:t>Diameter of a reinforcing bar</w:t>
            </w:r>
          </w:p>
        </w:tc>
        <w:tc>
          <w:tcPr>
            <w:tcW w:w="1984" w:type="dxa"/>
          </w:tcPr>
          <w:p w14:paraId="422BAB15" w14:textId="77777777" w:rsidR="005D2325" w:rsidRPr="001455DC" w:rsidRDefault="005D2325" w:rsidP="005D2325">
            <w:pPr>
              <w:pStyle w:val="Tablebody"/>
              <w:rPr>
                <w:lang w:eastAsia="de-DE"/>
              </w:rPr>
            </w:pPr>
          </w:p>
        </w:tc>
      </w:tr>
      <w:tr w:rsidR="005D2325" w:rsidRPr="001455DC" w14:paraId="44D5CC69" w14:textId="204F2B22" w:rsidTr="00BE5EF4">
        <w:trPr>
          <w:cantSplit/>
        </w:trPr>
        <w:tc>
          <w:tcPr>
            <w:tcW w:w="1418" w:type="dxa"/>
            <w:shd w:val="clear" w:color="auto" w:fill="auto"/>
          </w:tcPr>
          <w:p w14:paraId="3283FE7D" w14:textId="77777777" w:rsidR="005D2325" w:rsidRPr="009D3012" w:rsidRDefault="005D2325" w:rsidP="005D2325">
            <w:pPr>
              <w:pStyle w:val="Tablebody"/>
              <w:rPr>
                <w:rStyle w:val="CCMCvariableitalic"/>
              </w:rPr>
            </w:pPr>
            <w:r w:rsidRPr="001455DC">
              <w:rPr>
                <w:rStyle w:val="CCMCvariableitalic"/>
              </w:rPr>
              <w:t>ϕ</w:t>
            </w:r>
            <w:r w:rsidRPr="001455DC">
              <w:rPr>
                <w:rStyle w:val="CCMCvariablesubscript"/>
              </w:rPr>
              <w:t>b</w:t>
            </w:r>
          </w:p>
        </w:tc>
        <w:tc>
          <w:tcPr>
            <w:tcW w:w="6548" w:type="dxa"/>
            <w:shd w:val="clear" w:color="auto" w:fill="auto"/>
          </w:tcPr>
          <w:p w14:paraId="0CC6E1EC" w14:textId="77777777" w:rsidR="005D2325" w:rsidRPr="001455DC" w:rsidRDefault="005D2325" w:rsidP="000250B6">
            <w:pPr>
              <w:pStyle w:val="Tablebody"/>
              <w:jc w:val="left"/>
              <w:rPr>
                <w:lang w:eastAsia="de-DE"/>
              </w:rPr>
            </w:pPr>
            <w:r w:rsidRPr="001455DC">
              <w:rPr>
                <w:lang w:eastAsia="de-DE"/>
              </w:rPr>
              <w:t>Equivalent diameter of a bundle of reinforcing bars</w:t>
            </w:r>
          </w:p>
        </w:tc>
        <w:tc>
          <w:tcPr>
            <w:tcW w:w="1984" w:type="dxa"/>
          </w:tcPr>
          <w:p w14:paraId="18367D6A" w14:textId="3F652248" w:rsidR="005D2325" w:rsidRPr="001455DC" w:rsidRDefault="005D2325" w:rsidP="005D2325">
            <w:pPr>
              <w:pStyle w:val="Tablebody"/>
              <w:rPr>
                <w:lang w:eastAsia="de-DE"/>
              </w:rPr>
            </w:pPr>
            <w:r w:rsidRPr="009D3012">
              <w:rPr>
                <w:lang w:eastAsia="de-DE"/>
              </w:rPr>
              <w:t>11.4.2(8)</w:t>
            </w:r>
          </w:p>
        </w:tc>
      </w:tr>
      <w:tr w:rsidR="005D2325" w:rsidRPr="001455DC" w14:paraId="66CEEDC9" w14:textId="7D75F89C" w:rsidTr="00BE5EF4">
        <w:trPr>
          <w:cantSplit/>
        </w:trPr>
        <w:tc>
          <w:tcPr>
            <w:tcW w:w="1418" w:type="dxa"/>
            <w:shd w:val="clear" w:color="auto" w:fill="auto"/>
          </w:tcPr>
          <w:p w14:paraId="590FC264" w14:textId="77777777" w:rsidR="005D2325" w:rsidRPr="009D3012" w:rsidRDefault="005D2325" w:rsidP="005D2325">
            <w:pPr>
              <w:pStyle w:val="Tablebody"/>
              <w:rPr>
                <w:rStyle w:val="CCMCvariableitalic"/>
              </w:rPr>
            </w:pPr>
            <w:r w:rsidRPr="001455DC">
              <w:rPr>
                <w:rStyle w:val="CCMCvariableitalic"/>
              </w:rPr>
              <w:t>ϕ</w:t>
            </w:r>
            <w:r w:rsidRPr="001455DC">
              <w:rPr>
                <w:rStyle w:val="CCMCvariablesubscript"/>
              </w:rPr>
              <w:t>duct</w:t>
            </w:r>
          </w:p>
        </w:tc>
        <w:tc>
          <w:tcPr>
            <w:tcW w:w="6548" w:type="dxa"/>
            <w:shd w:val="clear" w:color="auto" w:fill="auto"/>
          </w:tcPr>
          <w:p w14:paraId="4CA165E5" w14:textId="77777777" w:rsidR="005D2325" w:rsidRPr="001455DC" w:rsidRDefault="005D2325" w:rsidP="000250B6">
            <w:pPr>
              <w:pStyle w:val="Tablebody"/>
              <w:jc w:val="left"/>
              <w:rPr>
                <w:lang w:eastAsia="de-DE"/>
              </w:rPr>
            </w:pPr>
            <w:r w:rsidRPr="001455DC">
              <w:rPr>
                <w:lang w:eastAsia="de-DE"/>
              </w:rPr>
              <w:t>Outer diameter of a post-tensioning duct</w:t>
            </w:r>
          </w:p>
        </w:tc>
        <w:tc>
          <w:tcPr>
            <w:tcW w:w="1984" w:type="dxa"/>
          </w:tcPr>
          <w:p w14:paraId="31CF8636" w14:textId="25E0F5AE" w:rsidR="005D2325" w:rsidRPr="001455DC" w:rsidRDefault="005D2325" w:rsidP="005D2325">
            <w:pPr>
              <w:pStyle w:val="Tablebody"/>
              <w:rPr>
                <w:lang w:eastAsia="de-DE"/>
              </w:rPr>
            </w:pPr>
            <w:r w:rsidRPr="009D3012">
              <w:rPr>
                <w:lang w:eastAsia="de-DE"/>
              </w:rPr>
              <w:t>8.2.3(10)</w:t>
            </w:r>
          </w:p>
        </w:tc>
      </w:tr>
      <w:tr w:rsidR="005D2325" w:rsidRPr="001455DC" w14:paraId="3C5C07D0" w14:textId="015CA41B" w:rsidTr="00BE5EF4">
        <w:trPr>
          <w:cantSplit/>
        </w:trPr>
        <w:tc>
          <w:tcPr>
            <w:tcW w:w="1418" w:type="dxa"/>
            <w:shd w:val="clear" w:color="auto" w:fill="auto"/>
          </w:tcPr>
          <w:p w14:paraId="2B8531EE" w14:textId="77777777" w:rsidR="005D2325" w:rsidRPr="009D3012" w:rsidRDefault="005D2325" w:rsidP="005D2325">
            <w:pPr>
              <w:pStyle w:val="Tablebody"/>
              <w:rPr>
                <w:rStyle w:val="CCMCvariableitalic"/>
              </w:rPr>
            </w:pPr>
            <w:r w:rsidRPr="001455DC">
              <w:rPr>
                <w:rStyle w:val="CCMCvariableitalic"/>
              </w:rPr>
              <w:t>ϕ</w:t>
            </w:r>
            <w:r w:rsidRPr="001455DC">
              <w:rPr>
                <w:rStyle w:val="CCMCvariablesubscript"/>
              </w:rPr>
              <w:t>eq</w:t>
            </w:r>
          </w:p>
        </w:tc>
        <w:tc>
          <w:tcPr>
            <w:tcW w:w="6548" w:type="dxa"/>
            <w:shd w:val="clear" w:color="auto" w:fill="auto"/>
          </w:tcPr>
          <w:p w14:paraId="2FD93F3E" w14:textId="77777777" w:rsidR="005D2325" w:rsidRPr="001455DC" w:rsidRDefault="005D2325" w:rsidP="000250B6">
            <w:pPr>
              <w:pStyle w:val="Tablebody"/>
              <w:jc w:val="left"/>
              <w:rPr>
                <w:lang w:eastAsia="de-DE"/>
              </w:rPr>
            </w:pPr>
            <w:r w:rsidRPr="001455DC">
              <w:rPr>
                <w:lang w:eastAsia="de-DE"/>
              </w:rPr>
              <w:t>Equivalent bar diameter for bond calculations when tensile reinforcement is composed by bars of different diameters</w:t>
            </w:r>
          </w:p>
        </w:tc>
        <w:tc>
          <w:tcPr>
            <w:tcW w:w="1984" w:type="dxa"/>
          </w:tcPr>
          <w:p w14:paraId="5A105528" w14:textId="423DDFAA" w:rsidR="005D2325" w:rsidRPr="001455DC" w:rsidRDefault="005D2325" w:rsidP="005D2325">
            <w:pPr>
              <w:pStyle w:val="Tablebody"/>
              <w:rPr>
                <w:lang w:eastAsia="de-DE"/>
              </w:rPr>
            </w:pPr>
            <w:r w:rsidRPr="009D3012">
              <w:rPr>
                <w:lang w:eastAsia="de-DE"/>
              </w:rPr>
              <w:t>9.2.2 (4)</w:t>
            </w:r>
          </w:p>
        </w:tc>
      </w:tr>
      <w:tr w:rsidR="005D2325" w:rsidRPr="001455DC" w14:paraId="6B2AE9A1" w14:textId="3F9FC5F6" w:rsidTr="00BE5EF4">
        <w:trPr>
          <w:cantSplit/>
        </w:trPr>
        <w:tc>
          <w:tcPr>
            <w:tcW w:w="1418" w:type="dxa"/>
            <w:shd w:val="clear" w:color="auto" w:fill="auto"/>
          </w:tcPr>
          <w:p w14:paraId="31A48BAF" w14:textId="77777777" w:rsidR="005D2325" w:rsidRPr="009D3012" w:rsidRDefault="005D2325" w:rsidP="005D2325">
            <w:pPr>
              <w:pStyle w:val="Tablebody"/>
              <w:rPr>
                <w:rStyle w:val="CCMCvariableitalic"/>
              </w:rPr>
            </w:pPr>
            <w:r w:rsidRPr="001455DC">
              <w:rPr>
                <w:rStyle w:val="CCMCvariableitalic"/>
              </w:rPr>
              <w:t>ϕ</w:t>
            </w:r>
            <w:r w:rsidRPr="001455DC">
              <w:rPr>
                <w:rStyle w:val="CCMCvariablesubscript"/>
              </w:rPr>
              <w:t>mand</w:t>
            </w:r>
          </w:p>
        </w:tc>
        <w:tc>
          <w:tcPr>
            <w:tcW w:w="6548" w:type="dxa"/>
            <w:shd w:val="clear" w:color="auto" w:fill="auto"/>
          </w:tcPr>
          <w:p w14:paraId="108F793E" w14:textId="77777777" w:rsidR="005D2325" w:rsidRPr="001455DC" w:rsidRDefault="005D2325" w:rsidP="000250B6">
            <w:pPr>
              <w:pStyle w:val="Tablebody"/>
              <w:jc w:val="left"/>
              <w:rPr>
                <w:lang w:eastAsia="de-DE"/>
              </w:rPr>
            </w:pPr>
            <w:r w:rsidRPr="001455DC">
              <w:rPr>
                <w:lang w:eastAsia="de-DE"/>
              </w:rPr>
              <w:t>Mandrel diameter for bent reinforcement bars</w:t>
            </w:r>
          </w:p>
        </w:tc>
        <w:tc>
          <w:tcPr>
            <w:tcW w:w="1984" w:type="dxa"/>
          </w:tcPr>
          <w:p w14:paraId="6F7A38EB" w14:textId="5ABA5339" w:rsidR="005D2325" w:rsidRPr="001455DC" w:rsidRDefault="005D2325" w:rsidP="005D2325">
            <w:pPr>
              <w:pStyle w:val="Tablebody"/>
              <w:rPr>
                <w:lang w:eastAsia="de-DE"/>
              </w:rPr>
            </w:pPr>
            <w:r w:rsidRPr="009D3012">
              <w:rPr>
                <w:lang w:eastAsia="de-DE"/>
              </w:rPr>
              <w:t>11.3</w:t>
            </w:r>
          </w:p>
        </w:tc>
      </w:tr>
      <w:tr w:rsidR="005D2325" w:rsidRPr="001455DC" w14:paraId="289BB120" w14:textId="3EE6854F" w:rsidTr="00BE5EF4">
        <w:trPr>
          <w:cantSplit/>
        </w:trPr>
        <w:tc>
          <w:tcPr>
            <w:tcW w:w="1418" w:type="dxa"/>
            <w:shd w:val="clear" w:color="auto" w:fill="auto"/>
          </w:tcPr>
          <w:p w14:paraId="6851C8D6" w14:textId="77777777" w:rsidR="005D2325" w:rsidRPr="009D3012" w:rsidRDefault="005D2325" w:rsidP="005D2325">
            <w:pPr>
              <w:pStyle w:val="Tablebody"/>
              <w:rPr>
                <w:rStyle w:val="CCMCvariableitalic"/>
              </w:rPr>
            </w:pPr>
            <w:r w:rsidRPr="001455DC">
              <w:rPr>
                <w:rStyle w:val="CCMCvariableitalic"/>
              </w:rPr>
              <w:t>ϕ</w:t>
            </w:r>
            <w:r w:rsidRPr="001455DC">
              <w:rPr>
                <w:rStyle w:val="CCMCvariablesubscript"/>
              </w:rPr>
              <w:t>mand,min</w:t>
            </w:r>
          </w:p>
        </w:tc>
        <w:tc>
          <w:tcPr>
            <w:tcW w:w="6548" w:type="dxa"/>
            <w:shd w:val="clear" w:color="auto" w:fill="auto"/>
          </w:tcPr>
          <w:p w14:paraId="2492A39E" w14:textId="77777777" w:rsidR="005D2325" w:rsidRPr="001455DC" w:rsidRDefault="005D2325" w:rsidP="000250B6">
            <w:pPr>
              <w:pStyle w:val="Tablebody"/>
              <w:jc w:val="left"/>
              <w:rPr>
                <w:lang w:eastAsia="de-DE"/>
              </w:rPr>
            </w:pPr>
            <w:r w:rsidRPr="001455DC">
              <w:rPr>
                <w:lang w:eastAsia="de-DE"/>
              </w:rPr>
              <w:t xml:space="preserve">Minimum value of </w:t>
            </w:r>
            <w:r w:rsidRPr="001455DC">
              <w:rPr>
                <w:rStyle w:val="CCMCvariableitalic"/>
              </w:rPr>
              <w:t>ϕ</w:t>
            </w:r>
            <w:r w:rsidRPr="001455DC">
              <w:rPr>
                <w:rStyle w:val="CCMCvariablesubscript"/>
              </w:rPr>
              <w:t>mand</w:t>
            </w:r>
          </w:p>
        </w:tc>
        <w:tc>
          <w:tcPr>
            <w:tcW w:w="1984" w:type="dxa"/>
          </w:tcPr>
          <w:p w14:paraId="2C94FDF1" w14:textId="3917A313" w:rsidR="005D2325" w:rsidRPr="001455DC" w:rsidRDefault="005D2325" w:rsidP="005D2325">
            <w:pPr>
              <w:pStyle w:val="Tablebody"/>
              <w:rPr>
                <w:lang w:eastAsia="de-DE"/>
              </w:rPr>
            </w:pPr>
            <w:r w:rsidRPr="009D3012">
              <w:rPr>
                <w:lang w:eastAsia="de-DE"/>
              </w:rPr>
              <w:t>11.3</w:t>
            </w:r>
          </w:p>
        </w:tc>
      </w:tr>
      <w:tr w:rsidR="005D2325" w:rsidRPr="001455DC" w14:paraId="34F3C775" w14:textId="6ADEE303" w:rsidTr="00BE5EF4">
        <w:trPr>
          <w:cantSplit/>
        </w:trPr>
        <w:tc>
          <w:tcPr>
            <w:tcW w:w="1418" w:type="dxa"/>
            <w:shd w:val="clear" w:color="auto" w:fill="auto"/>
          </w:tcPr>
          <w:p w14:paraId="77E6F276" w14:textId="77777777" w:rsidR="005D2325" w:rsidRPr="009D3012" w:rsidRDefault="005D2325" w:rsidP="005D2325">
            <w:pPr>
              <w:pStyle w:val="Tablebody"/>
              <w:rPr>
                <w:rStyle w:val="CCMCvariablesubscript"/>
              </w:rPr>
            </w:pPr>
            <w:r w:rsidRPr="001455DC">
              <w:rPr>
                <w:rStyle w:val="CCMCvariableitalic"/>
              </w:rPr>
              <w:t>ϕ</w:t>
            </w:r>
            <w:r w:rsidRPr="001455DC">
              <w:rPr>
                <w:rStyle w:val="CCMCvariablesubscript"/>
              </w:rPr>
              <w:t>mand,test</w:t>
            </w:r>
          </w:p>
        </w:tc>
        <w:tc>
          <w:tcPr>
            <w:tcW w:w="6548" w:type="dxa"/>
            <w:shd w:val="clear" w:color="auto" w:fill="auto"/>
          </w:tcPr>
          <w:p w14:paraId="71F090E6" w14:textId="77777777" w:rsidR="005D2325" w:rsidRPr="001455DC" w:rsidRDefault="005D2325" w:rsidP="000250B6">
            <w:pPr>
              <w:pStyle w:val="Tablebody"/>
              <w:jc w:val="left"/>
              <w:rPr>
                <w:lang w:eastAsia="de-DE"/>
              </w:rPr>
            </w:pPr>
            <w:r w:rsidRPr="001455DC">
              <w:rPr>
                <w:lang w:eastAsia="de-DE"/>
              </w:rPr>
              <w:t xml:space="preserve">Value of </w:t>
            </w:r>
            <w:r w:rsidRPr="001455DC">
              <w:rPr>
                <w:rStyle w:val="CCMCvariableitalic"/>
              </w:rPr>
              <w:t>ϕ</w:t>
            </w:r>
            <w:r w:rsidRPr="001455DC">
              <w:rPr>
                <w:rStyle w:val="CCMCvariablesubscript"/>
              </w:rPr>
              <w:t>mand</w:t>
            </w:r>
            <w:r w:rsidRPr="001455DC">
              <w:rPr>
                <w:lang w:eastAsia="de-DE"/>
              </w:rPr>
              <w:t xml:space="preserve"> resulting from the tests according to EN ISO 15630</w:t>
            </w:r>
            <w:r w:rsidRPr="001455DC">
              <w:rPr>
                <w:lang w:eastAsia="de-DE"/>
              </w:rPr>
              <w:noBreakHyphen/>
              <w:t>1</w:t>
            </w:r>
          </w:p>
        </w:tc>
        <w:tc>
          <w:tcPr>
            <w:tcW w:w="1984" w:type="dxa"/>
          </w:tcPr>
          <w:p w14:paraId="03B7C97A" w14:textId="5AD7E2EC" w:rsidR="005D2325" w:rsidRPr="001455DC" w:rsidRDefault="005D2325" w:rsidP="005D2325">
            <w:pPr>
              <w:pStyle w:val="Tablebody"/>
              <w:rPr>
                <w:lang w:eastAsia="de-DE"/>
              </w:rPr>
            </w:pPr>
            <w:r w:rsidRPr="009D3012">
              <w:rPr>
                <w:lang w:eastAsia="de-DE"/>
              </w:rPr>
              <w:t>11.3(2)</w:t>
            </w:r>
          </w:p>
        </w:tc>
      </w:tr>
      <w:tr w:rsidR="005D2325" w:rsidRPr="001455DC" w14:paraId="70FADB77" w14:textId="3CB909A3" w:rsidTr="00BE5EF4">
        <w:trPr>
          <w:cantSplit/>
        </w:trPr>
        <w:tc>
          <w:tcPr>
            <w:tcW w:w="1418" w:type="dxa"/>
            <w:shd w:val="clear" w:color="auto" w:fill="auto"/>
          </w:tcPr>
          <w:p w14:paraId="0737AFBF" w14:textId="77777777" w:rsidR="005D2325" w:rsidRPr="009D3012" w:rsidRDefault="005D2325" w:rsidP="005D2325">
            <w:pPr>
              <w:pStyle w:val="Tablebody"/>
              <w:rPr>
                <w:rStyle w:val="CCMCvariableitalic"/>
              </w:rPr>
            </w:pPr>
            <w:r w:rsidRPr="001455DC">
              <w:rPr>
                <w:rStyle w:val="CCMCvariableitalic"/>
              </w:rPr>
              <w:t>ϕ</w:t>
            </w:r>
            <w:r w:rsidRPr="001455DC">
              <w:rPr>
                <w:rStyle w:val="CCMCvariablesubscript"/>
              </w:rPr>
              <w:t>min,</w:t>
            </w:r>
            <w:r w:rsidRPr="001455DC">
              <w:rPr>
                <w:lang w:eastAsia="de-DE"/>
              </w:rPr>
              <w:t xml:space="preserve"> </w:t>
            </w:r>
            <w:r w:rsidRPr="001455DC">
              <w:rPr>
                <w:rStyle w:val="CCMCvariablesubscript"/>
              </w:rPr>
              <w:t>trans</w:t>
            </w:r>
          </w:p>
        </w:tc>
        <w:tc>
          <w:tcPr>
            <w:tcW w:w="6548" w:type="dxa"/>
            <w:shd w:val="clear" w:color="auto" w:fill="auto"/>
          </w:tcPr>
          <w:p w14:paraId="7E5DD680" w14:textId="77777777" w:rsidR="005D2325" w:rsidRPr="001455DC" w:rsidRDefault="005D2325" w:rsidP="000250B6">
            <w:pPr>
              <w:pStyle w:val="Tablebody"/>
              <w:jc w:val="left"/>
              <w:rPr>
                <w:lang w:eastAsia="de-DE"/>
              </w:rPr>
            </w:pPr>
            <w:r w:rsidRPr="001455DC">
              <w:t>Minimum bar diameter for transverse reinforcement</w:t>
            </w:r>
          </w:p>
        </w:tc>
        <w:tc>
          <w:tcPr>
            <w:tcW w:w="1984" w:type="dxa"/>
          </w:tcPr>
          <w:p w14:paraId="21B39486" w14:textId="27295B77" w:rsidR="005D2325" w:rsidRPr="001455DC" w:rsidRDefault="005D2325" w:rsidP="005D2325">
            <w:pPr>
              <w:pStyle w:val="Tablebody"/>
            </w:pPr>
            <w:r w:rsidRPr="009D3012">
              <w:rPr>
                <w:lang w:eastAsia="de-DE"/>
              </w:rPr>
              <w:t>12.5.2(1)</w:t>
            </w:r>
          </w:p>
        </w:tc>
      </w:tr>
      <w:tr w:rsidR="005D2325" w:rsidRPr="001455DC" w14:paraId="1415B63E" w14:textId="01559826" w:rsidTr="00BE5EF4">
        <w:trPr>
          <w:cantSplit/>
        </w:trPr>
        <w:tc>
          <w:tcPr>
            <w:tcW w:w="1418" w:type="dxa"/>
            <w:shd w:val="clear" w:color="auto" w:fill="auto"/>
          </w:tcPr>
          <w:p w14:paraId="62C264E1" w14:textId="77777777" w:rsidR="005D2325" w:rsidRPr="009D3012" w:rsidRDefault="005D2325" w:rsidP="005D2325">
            <w:pPr>
              <w:pStyle w:val="Tablebody"/>
              <w:rPr>
                <w:rStyle w:val="CCMCvariableitalic"/>
              </w:rPr>
            </w:pPr>
            <w:r w:rsidRPr="001455DC">
              <w:rPr>
                <w:rStyle w:val="CCMCvariableitalic"/>
              </w:rPr>
              <w:t>ϕ</w:t>
            </w:r>
            <w:r w:rsidRPr="001455DC">
              <w:rPr>
                <w:rStyle w:val="CCMCvariablesubscript"/>
              </w:rPr>
              <w:t>p</w:t>
            </w:r>
          </w:p>
        </w:tc>
        <w:tc>
          <w:tcPr>
            <w:tcW w:w="6548" w:type="dxa"/>
            <w:shd w:val="clear" w:color="auto" w:fill="auto"/>
          </w:tcPr>
          <w:p w14:paraId="56A5074B" w14:textId="343E75C0" w:rsidR="005D2325" w:rsidRPr="001455DC" w:rsidRDefault="005D2325" w:rsidP="000250B6">
            <w:pPr>
              <w:pStyle w:val="Tablebody"/>
              <w:jc w:val="left"/>
              <w:rPr>
                <w:lang w:eastAsia="de-DE"/>
              </w:rPr>
            </w:pPr>
            <w:r w:rsidRPr="001455DC">
              <w:rPr>
                <w:lang w:eastAsia="de-DE"/>
              </w:rPr>
              <w:t>Nominal diameter of the tendon</w:t>
            </w:r>
          </w:p>
        </w:tc>
        <w:tc>
          <w:tcPr>
            <w:tcW w:w="1984" w:type="dxa"/>
          </w:tcPr>
          <w:p w14:paraId="4BBA9783" w14:textId="111B0187" w:rsidR="005D2325" w:rsidRPr="001455DC" w:rsidRDefault="005D2325" w:rsidP="005D2325">
            <w:pPr>
              <w:pStyle w:val="Tablebody"/>
              <w:rPr>
                <w:lang w:eastAsia="de-DE"/>
              </w:rPr>
            </w:pPr>
            <w:r w:rsidRPr="009D3012">
              <w:rPr>
                <w:lang w:eastAsia="de-DE"/>
              </w:rPr>
              <w:t>13.5.1(3), 13.5(3)</w:t>
            </w:r>
          </w:p>
        </w:tc>
      </w:tr>
      <w:tr w:rsidR="005D2325" w:rsidRPr="001455DC" w14:paraId="5AB78E8D" w14:textId="77777777" w:rsidTr="00BE5EF4">
        <w:trPr>
          <w:cantSplit/>
        </w:trPr>
        <w:tc>
          <w:tcPr>
            <w:tcW w:w="1418" w:type="dxa"/>
            <w:shd w:val="clear" w:color="auto" w:fill="auto"/>
          </w:tcPr>
          <w:p w14:paraId="201414A3" w14:textId="53160583" w:rsidR="005D2325" w:rsidRPr="009D3012" w:rsidRDefault="005D2325" w:rsidP="005D2325">
            <w:pPr>
              <w:pStyle w:val="Tablebody"/>
              <w:rPr>
                <w:rStyle w:val="CCMCvariableitalic"/>
              </w:rPr>
            </w:pPr>
            <w:r w:rsidRPr="001455DC">
              <w:rPr>
                <w:i/>
                <w:lang w:val="de-DE" w:eastAsia="de-DE"/>
              </w:rPr>
              <w:sym w:font="Symbol" w:char="F066"/>
            </w:r>
            <w:r w:rsidRPr="001455DC">
              <w:rPr>
                <w:vertAlign w:val="subscript"/>
                <w:lang w:eastAsia="de-DE"/>
              </w:rPr>
              <w:t>p,eq</w:t>
            </w:r>
          </w:p>
        </w:tc>
        <w:tc>
          <w:tcPr>
            <w:tcW w:w="6548" w:type="dxa"/>
            <w:shd w:val="clear" w:color="auto" w:fill="auto"/>
          </w:tcPr>
          <w:p w14:paraId="3D688728" w14:textId="0EDE4743" w:rsidR="005D2325" w:rsidRPr="001455DC" w:rsidRDefault="005D2325" w:rsidP="000250B6">
            <w:pPr>
              <w:pStyle w:val="Tablebody"/>
              <w:jc w:val="left"/>
              <w:rPr>
                <w:lang w:eastAsia="de-DE"/>
              </w:rPr>
            </w:pPr>
            <w:r w:rsidRPr="001455DC">
              <w:rPr>
                <w:lang w:eastAsia="de-DE"/>
              </w:rPr>
              <w:t>Equivalent diameter of tendons</w:t>
            </w:r>
          </w:p>
        </w:tc>
        <w:tc>
          <w:tcPr>
            <w:tcW w:w="1984" w:type="dxa"/>
          </w:tcPr>
          <w:p w14:paraId="6E15F07B" w14:textId="0060928F" w:rsidR="005D2325" w:rsidRPr="001455DC" w:rsidRDefault="005D2325" w:rsidP="005D2325">
            <w:pPr>
              <w:pStyle w:val="Tablebody"/>
              <w:rPr>
                <w:lang w:eastAsia="de-DE"/>
              </w:rPr>
            </w:pPr>
            <w:r w:rsidRPr="009D3012">
              <w:rPr>
                <w:lang w:eastAsia="de-DE"/>
              </w:rPr>
              <w:t>10.3(2)</w:t>
            </w:r>
          </w:p>
        </w:tc>
      </w:tr>
      <w:tr w:rsidR="005D2325" w:rsidRPr="001455DC" w14:paraId="388CDC93" w14:textId="50534EC9" w:rsidTr="00BE5EF4">
        <w:trPr>
          <w:cantSplit/>
        </w:trPr>
        <w:tc>
          <w:tcPr>
            <w:tcW w:w="1418" w:type="dxa"/>
            <w:shd w:val="clear" w:color="auto" w:fill="auto"/>
          </w:tcPr>
          <w:p w14:paraId="1FFD34E1" w14:textId="77777777" w:rsidR="005D2325" w:rsidRPr="009D3012" w:rsidRDefault="005D2325" w:rsidP="005D2325">
            <w:pPr>
              <w:pStyle w:val="Tablebody"/>
              <w:rPr>
                <w:rStyle w:val="CCMCvariableitalic"/>
              </w:rPr>
            </w:pPr>
            <w:r w:rsidRPr="001455DC">
              <w:rPr>
                <w:rStyle w:val="CCMCvariableitalic"/>
              </w:rPr>
              <w:t>ϕ</w:t>
            </w:r>
            <w:r w:rsidRPr="001455DC">
              <w:rPr>
                <w:rStyle w:val="CCMCvariablesubscript"/>
              </w:rPr>
              <w:t>w,max</w:t>
            </w:r>
          </w:p>
        </w:tc>
        <w:tc>
          <w:tcPr>
            <w:tcW w:w="6548" w:type="dxa"/>
            <w:shd w:val="clear" w:color="auto" w:fill="auto"/>
          </w:tcPr>
          <w:p w14:paraId="4FE252BC" w14:textId="77777777" w:rsidR="005D2325" w:rsidRPr="001455DC" w:rsidRDefault="005D2325" w:rsidP="000250B6">
            <w:pPr>
              <w:pStyle w:val="Tablebody"/>
              <w:jc w:val="left"/>
              <w:rPr>
                <w:lang w:eastAsia="de-DE"/>
              </w:rPr>
            </w:pPr>
            <w:r w:rsidRPr="001455DC">
              <w:rPr>
                <w:lang w:eastAsia="de-DE"/>
              </w:rPr>
              <w:t>Maximum diameter of punching shear reinforcement</w:t>
            </w:r>
          </w:p>
        </w:tc>
        <w:tc>
          <w:tcPr>
            <w:tcW w:w="1984" w:type="dxa"/>
          </w:tcPr>
          <w:p w14:paraId="2702644A" w14:textId="388901F5" w:rsidR="005D2325" w:rsidRPr="001455DC" w:rsidRDefault="005D2325" w:rsidP="005D2325">
            <w:pPr>
              <w:pStyle w:val="Tablebody"/>
              <w:rPr>
                <w:lang w:eastAsia="de-DE"/>
              </w:rPr>
            </w:pPr>
            <w:r w:rsidRPr="009D3012">
              <w:rPr>
                <w:lang w:eastAsia="de-DE"/>
              </w:rPr>
              <w:t>12.5.1(3)</w:t>
            </w:r>
          </w:p>
        </w:tc>
      </w:tr>
      <w:tr w:rsidR="005D2325" w:rsidRPr="001455DC" w14:paraId="47DDA5F1" w14:textId="21CE3A9C" w:rsidTr="00BE5EF4">
        <w:trPr>
          <w:cantSplit/>
        </w:trPr>
        <w:tc>
          <w:tcPr>
            <w:tcW w:w="1418" w:type="dxa"/>
            <w:shd w:val="clear" w:color="auto" w:fill="auto"/>
          </w:tcPr>
          <w:p w14:paraId="0EF6CAEC" w14:textId="77777777" w:rsidR="005D2325" w:rsidRPr="001455DC" w:rsidRDefault="005D2325" w:rsidP="005D2325">
            <w:pPr>
              <w:pStyle w:val="Tablebody"/>
            </w:pPr>
            <w:r w:rsidRPr="001455DC">
              <w:rPr>
                <w:rStyle w:val="CCMCvariableitalic"/>
              </w:rPr>
              <w:t>Φ</w:t>
            </w:r>
          </w:p>
        </w:tc>
        <w:tc>
          <w:tcPr>
            <w:tcW w:w="6548" w:type="dxa"/>
            <w:shd w:val="clear" w:color="auto" w:fill="auto"/>
          </w:tcPr>
          <w:p w14:paraId="2CD37935" w14:textId="77777777" w:rsidR="005D2325" w:rsidRPr="001455DC" w:rsidRDefault="005D2325" w:rsidP="000250B6">
            <w:pPr>
              <w:pStyle w:val="Tablebody"/>
              <w:jc w:val="left"/>
            </w:pPr>
            <w:r w:rsidRPr="001455DC">
              <w:t>Factor taking into account eccentricity, including second order effects</w:t>
            </w:r>
          </w:p>
        </w:tc>
        <w:tc>
          <w:tcPr>
            <w:tcW w:w="1984" w:type="dxa"/>
          </w:tcPr>
          <w:p w14:paraId="7FAB3056" w14:textId="7B1CD796" w:rsidR="005D2325" w:rsidRPr="001455DC" w:rsidRDefault="005D2325" w:rsidP="005D2325">
            <w:pPr>
              <w:pStyle w:val="Tablebody"/>
            </w:pPr>
            <w:r w:rsidRPr="009D3012">
              <w:rPr>
                <w:rFonts w:cs="Arial"/>
              </w:rPr>
              <w:t>14.4.5.2(1)</w:t>
            </w:r>
          </w:p>
        </w:tc>
      </w:tr>
      <w:tr w:rsidR="005D2325" w:rsidRPr="001455DC" w14:paraId="7053654D" w14:textId="656A3FE3" w:rsidTr="00BE5EF4">
        <w:trPr>
          <w:cantSplit/>
        </w:trPr>
        <w:tc>
          <w:tcPr>
            <w:tcW w:w="1418" w:type="dxa"/>
            <w:shd w:val="clear" w:color="auto" w:fill="auto"/>
          </w:tcPr>
          <w:p w14:paraId="1D33F787" w14:textId="77777777" w:rsidR="005D2325" w:rsidRPr="009D3012" w:rsidRDefault="005D2325" w:rsidP="005D2325">
            <w:pPr>
              <w:pStyle w:val="Tablebody"/>
              <w:rPr>
                <w:rStyle w:val="CCMCvariableitalic"/>
              </w:rPr>
            </w:pPr>
            <w:r w:rsidRPr="001455DC">
              <w:rPr>
                <w:rStyle w:val="CCMCvariableitalic"/>
              </w:rPr>
              <w:t>φ</w:t>
            </w:r>
            <w:r w:rsidRPr="001455DC">
              <w:rPr>
                <w:lang w:eastAsia="de-DE"/>
              </w:rPr>
              <w:t>(</w:t>
            </w:r>
            <w:r w:rsidRPr="001455DC">
              <w:rPr>
                <w:rStyle w:val="CCMCvariableitalic"/>
              </w:rPr>
              <w:t>t</w:t>
            </w:r>
            <w:r w:rsidRPr="001455DC">
              <w:rPr>
                <w:lang w:eastAsia="de-DE"/>
              </w:rPr>
              <w:t>,</w:t>
            </w:r>
            <w:r w:rsidRPr="001455DC">
              <w:rPr>
                <w:rStyle w:val="CCMCvariableitalic"/>
              </w:rPr>
              <w:t>t</w:t>
            </w:r>
            <w:r w:rsidRPr="001455DC">
              <w:rPr>
                <w:rStyle w:val="CCMCvariablesubscript"/>
              </w:rPr>
              <w:t>0</w:t>
            </w:r>
            <w:r w:rsidRPr="001455DC">
              <w:rPr>
                <w:lang w:eastAsia="de-DE"/>
              </w:rPr>
              <w:t>)</w:t>
            </w:r>
          </w:p>
        </w:tc>
        <w:tc>
          <w:tcPr>
            <w:tcW w:w="6548" w:type="dxa"/>
            <w:shd w:val="clear" w:color="auto" w:fill="auto"/>
          </w:tcPr>
          <w:p w14:paraId="6DABBBE0" w14:textId="77777777" w:rsidR="005D2325" w:rsidRPr="001455DC" w:rsidRDefault="005D2325" w:rsidP="000250B6">
            <w:pPr>
              <w:pStyle w:val="Tablebody"/>
              <w:jc w:val="left"/>
              <w:rPr>
                <w:lang w:eastAsia="de-DE"/>
              </w:rPr>
            </w:pPr>
            <w:r w:rsidRPr="001455DC">
              <w:rPr>
                <w:lang w:eastAsia="de-DE"/>
              </w:rPr>
              <w:t xml:space="preserve">Creep coefficient, defining creep between times </w:t>
            </w:r>
            <w:r w:rsidRPr="001455DC">
              <w:rPr>
                <w:rStyle w:val="CCMCvariableitalic"/>
              </w:rPr>
              <w:t>t</w:t>
            </w:r>
            <w:r w:rsidRPr="001455DC">
              <w:rPr>
                <w:lang w:eastAsia="de-DE"/>
              </w:rPr>
              <w:t xml:space="preserve"> and </w:t>
            </w:r>
            <w:r w:rsidRPr="001455DC">
              <w:rPr>
                <w:rStyle w:val="CCMCvariableitalic"/>
              </w:rPr>
              <w:t>t</w:t>
            </w:r>
            <w:r w:rsidRPr="001455DC">
              <w:rPr>
                <w:rStyle w:val="CCMCvariablesubscript"/>
              </w:rPr>
              <w:t>0</w:t>
            </w:r>
            <w:r w:rsidRPr="001455DC">
              <w:rPr>
                <w:lang w:eastAsia="de-DE"/>
              </w:rPr>
              <w:t>, related to elastic deformation at 28 days</w:t>
            </w:r>
          </w:p>
        </w:tc>
        <w:tc>
          <w:tcPr>
            <w:tcW w:w="1984" w:type="dxa"/>
          </w:tcPr>
          <w:p w14:paraId="3821CFFE" w14:textId="77777777" w:rsidR="005D2325" w:rsidRPr="001455DC" w:rsidRDefault="005D2325" w:rsidP="005D2325">
            <w:pPr>
              <w:pStyle w:val="Tablebody"/>
              <w:rPr>
                <w:lang w:eastAsia="de-DE"/>
              </w:rPr>
            </w:pPr>
          </w:p>
        </w:tc>
      </w:tr>
      <w:tr w:rsidR="005D2325" w:rsidRPr="001455DC" w14:paraId="6C059E71" w14:textId="043505AA" w:rsidTr="00BE5EF4">
        <w:trPr>
          <w:cantSplit/>
        </w:trPr>
        <w:tc>
          <w:tcPr>
            <w:tcW w:w="1418" w:type="dxa"/>
            <w:shd w:val="clear" w:color="auto" w:fill="auto"/>
          </w:tcPr>
          <w:p w14:paraId="4A622E96" w14:textId="77777777" w:rsidR="005D2325" w:rsidRPr="009D3012" w:rsidRDefault="005D2325" w:rsidP="005D2325">
            <w:pPr>
              <w:pStyle w:val="Tablebody"/>
              <w:rPr>
                <w:rStyle w:val="CCMCvariableitalic"/>
              </w:rPr>
            </w:pPr>
            <w:r w:rsidRPr="001455DC">
              <w:rPr>
                <w:rStyle w:val="CCMCvariableitalic"/>
              </w:rPr>
              <w:t>φ</w:t>
            </w:r>
            <w:r w:rsidRPr="001455DC">
              <w:rPr>
                <w:lang w:eastAsia="de-DE"/>
              </w:rPr>
              <w:t xml:space="preserve"> (50y,</w:t>
            </w:r>
            <w:r w:rsidRPr="001455DC">
              <w:rPr>
                <w:rStyle w:val="CCMCvariableitalic"/>
              </w:rPr>
              <w:t>t</w:t>
            </w:r>
            <w:r w:rsidRPr="001455DC">
              <w:rPr>
                <w:rStyle w:val="CCMCvariablesubscript"/>
              </w:rPr>
              <w:t>0</w:t>
            </w:r>
            <w:r w:rsidRPr="001455DC">
              <w:rPr>
                <w:lang w:eastAsia="de-DE"/>
              </w:rPr>
              <w:t>)</w:t>
            </w:r>
          </w:p>
        </w:tc>
        <w:tc>
          <w:tcPr>
            <w:tcW w:w="6548" w:type="dxa"/>
            <w:shd w:val="clear" w:color="auto" w:fill="auto"/>
          </w:tcPr>
          <w:p w14:paraId="33A214D2" w14:textId="77777777" w:rsidR="005D2325" w:rsidRPr="001455DC" w:rsidRDefault="005D2325" w:rsidP="000250B6">
            <w:pPr>
              <w:pStyle w:val="Tablebody"/>
              <w:jc w:val="left"/>
              <w:rPr>
                <w:lang w:eastAsia="de-DE"/>
              </w:rPr>
            </w:pPr>
            <w:r w:rsidRPr="001455DC">
              <w:rPr>
                <w:lang w:eastAsia="de-DE"/>
              </w:rPr>
              <w:t>Creep coefficient after 50 years of loading</w:t>
            </w:r>
          </w:p>
        </w:tc>
        <w:tc>
          <w:tcPr>
            <w:tcW w:w="1984" w:type="dxa"/>
          </w:tcPr>
          <w:p w14:paraId="0126FBB1" w14:textId="1C878F8E" w:rsidR="005D2325" w:rsidRPr="001455DC" w:rsidRDefault="005D2325" w:rsidP="005D2325">
            <w:pPr>
              <w:pStyle w:val="Tablebody"/>
              <w:rPr>
                <w:lang w:eastAsia="de-DE"/>
              </w:rPr>
            </w:pPr>
            <w:r w:rsidRPr="009D3012">
              <w:rPr>
                <w:lang w:eastAsia="de-DE"/>
              </w:rPr>
              <w:t>Table 5.2</w:t>
            </w:r>
          </w:p>
        </w:tc>
      </w:tr>
      <w:tr w:rsidR="005D2325" w:rsidRPr="001455DC" w14:paraId="06DF98A0" w14:textId="4F9259DD" w:rsidTr="00BE5EF4">
        <w:trPr>
          <w:cantSplit/>
        </w:trPr>
        <w:tc>
          <w:tcPr>
            <w:tcW w:w="1418" w:type="dxa"/>
            <w:shd w:val="clear" w:color="auto" w:fill="auto"/>
          </w:tcPr>
          <w:p w14:paraId="2E9C534E" w14:textId="77777777" w:rsidR="005D2325" w:rsidRPr="009D3012" w:rsidRDefault="005D2325" w:rsidP="005D2325">
            <w:pPr>
              <w:pStyle w:val="Tablebody"/>
              <w:rPr>
                <w:rStyle w:val="CCMCvariableitalic"/>
              </w:rPr>
            </w:pPr>
            <w:r w:rsidRPr="001455DC">
              <w:rPr>
                <w:rStyle w:val="CCMCvariableitalic"/>
              </w:rPr>
              <w:t>φ</w:t>
            </w:r>
            <w:r w:rsidRPr="001455DC">
              <w:rPr>
                <w:rStyle w:val="CCMCvariablesubscript"/>
              </w:rPr>
              <w:t>0,05</w:t>
            </w:r>
          </w:p>
        </w:tc>
        <w:tc>
          <w:tcPr>
            <w:tcW w:w="6548" w:type="dxa"/>
            <w:shd w:val="clear" w:color="auto" w:fill="auto"/>
          </w:tcPr>
          <w:p w14:paraId="3E34B3B9" w14:textId="77777777" w:rsidR="005D2325" w:rsidRPr="001455DC" w:rsidRDefault="005D2325" w:rsidP="000250B6">
            <w:pPr>
              <w:pStyle w:val="Tablebody"/>
              <w:jc w:val="left"/>
            </w:pPr>
            <w:r w:rsidRPr="001455DC">
              <w:t>Lower-bound value of creep coefficient corresponding to a 5 % cut-off, based on a normal distribution</w:t>
            </w:r>
          </w:p>
        </w:tc>
        <w:tc>
          <w:tcPr>
            <w:tcW w:w="1984" w:type="dxa"/>
          </w:tcPr>
          <w:p w14:paraId="3C8E65B4" w14:textId="78B0B0CF" w:rsidR="005D2325" w:rsidRPr="001455DC" w:rsidRDefault="005D2325">
            <w:pPr>
              <w:pStyle w:val="Tablebody"/>
            </w:pPr>
            <w:r w:rsidRPr="009D3012">
              <w:rPr>
                <w:lang w:eastAsia="de-DE"/>
              </w:rPr>
              <w:t>B.</w:t>
            </w:r>
            <w:r w:rsidR="0051522D" w:rsidRPr="009D3012">
              <w:rPr>
                <w:lang w:eastAsia="de-DE"/>
              </w:rPr>
              <w:t>6</w:t>
            </w:r>
            <w:r w:rsidRPr="009D3012">
              <w:rPr>
                <w:lang w:eastAsia="de-DE"/>
              </w:rPr>
              <w:t>(2)</w:t>
            </w:r>
          </w:p>
        </w:tc>
      </w:tr>
      <w:tr w:rsidR="005D2325" w:rsidRPr="001455DC" w14:paraId="721EA9FB" w14:textId="3DE07758" w:rsidTr="00BE5EF4">
        <w:trPr>
          <w:cantSplit/>
        </w:trPr>
        <w:tc>
          <w:tcPr>
            <w:tcW w:w="1418" w:type="dxa"/>
            <w:shd w:val="clear" w:color="auto" w:fill="auto"/>
          </w:tcPr>
          <w:p w14:paraId="4AEEF27D" w14:textId="77777777" w:rsidR="005D2325" w:rsidRPr="009D3012" w:rsidRDefault="005D2325" w:rsidP="005D2325">
            <w:pPr>
              <w:pStyle w:val="Tablebody"/>
              <w:rPr>
                <w:rStyle w:val="CCMCvariableitalic"/>
              </w:rPr>
            </w:pPr>
            <w:r w:rsidRPr="001455DC">
              <w:rPr>
                <w:rStyle w:val="CCMCvariableitalic"/>
              </w:rPr>
              <w:t>φ</w:t>
            </w:r>
            <w:r w:rsidRPr="001455DC">
              <w:rPr>
                <w:rStyle w:val="CCMCvariablesubscript"/>
              </w:rPr>
              <w:t>0,10</w:t>
            </w:r>
          </w:p>
        </w:tc>
        <w:tc>
          <w:tcPr>
            <w:tcW w:w="6548" w:type="dxa"/>
            <w:shd w:val="clear" w:color="auto" w:fill="auto"/>
          </w:tcPr>
          <w:p w14:paraId="4BD9805F" w14:textId="77777777" w:rsidR="005D2325" w:rsidRPr="001455DC" w:rsidRDefault="005D2325" w:rsidP="000250B6">
            <w:pPr>
              <w:pStyle w:val="Tablebody"/>
              <w:jc w:val="left"/>
            </w:pPr>
            <w:r w:rsidRPr="001455DC">
              <w:t>Lower-bound value of creep coefficient corresponding to a 10 % cut-off, based on a normal distribution</w:t>
            </w:r>
          </w:p>
        </w:tc>
        <w:tc>
          <w:tcPr>
            <w:tcW w:w="1984" w:type="dxa"/>
          </w:tcPr>
          <w:p w14:paraId="674F3359" w14:textId="6547453E" w:rsidR="005D2325" w:rsidRPr="001455DC" w:rsidRDefault="005D2325">
            <w:pPr>
              <w:pStyle w:val="Tablebody"/>
            </w:pPr>
            <w:r w:rsidRPr="009D3012">
              <w:rPr>
                <w:lang w:eastAsia="de-DE"/>
              </w:rPr>
              <w:t>B.</w:t>
            </w:r>
            <w:r w:rsidR="0051522D" w:rsidRPr="009D3012">
              <w:rPr>
                <w:lang w:eastAsia="de-DE"/>
              </w:rPr>
              <w:t>6</w:t>
            </w:r>
            <w:r w:rsidRPr="009D3012">
              <w:rPr>
                <w:lang w:eastAsia="de-DE"/>
              </w:rPr>
              <w:t>(2)</w:t>
            </w:r>
          </w:p>
        </w:tc>
      </w:tr>
      <w:tr w:rsidR="005D2325" w:rsidRPr="001455DC" w14:paraId="7A84907B" w14:textId="6471C901" w:rsidTr="00BE5EF4">
        <w:trPr>
          <w:cantSplit/>
        </w:trPr>
        <w:tc>
          <w:tcPr>
            <w:tcW w:w="1418" w:type="dxa"/>
            <w:shd w:val="clear" w:color="auto" w:fill="auto"/>
          </w:tcPr>
          <w:p w14:paraId="1D6BEA7C" w14:textId="77777777" w:rsidR="005D2325" w:rsidRPr="009D3012" w:rsidRDefault="005D2325" w:rsidP="005D2325">
            <w:pPr>
              <w:pStyle w:val="Tablebody"/>
              <w:rPr>
                <w:rStyle w:val="CCMCvariableitalic"/>
              </w:rPr>
            </w:pPr>
            <w:r w:rsidRPr="001455DC">
              <w:rPr>
                <w:rStyle w:val="CCMCvariableitalic"/>
              </w:rPr>
              <w:t>φ</w:t>
            </w:r>
            <w:r w:rsidRPr="001455DC">
              <w:rPr>
                <w:rStyle w:val="CCMCvariablesubscript"/>
              </w:rPr>
              <w:t>0,90</w:t>
            </w:r>
          </w:p>
        </w:tc>
        <w:tc>
          <w:tcPr>
            <w:tcW w:w="6548" w:type="dxa"/>
            <w:shd w:val="clear" w:color="auto" w:fill="auto"/>
          </w:tcPr>
          <w:p w14:paraId="500F6AE4" w14:textId="77777777" w:rsidR="005D2325" w:rsidRPr="001455DC" w:rsidRDefault="005D2325" w:rsidP="000250B6">
            <w:pPr>
              <w:pStyle w:val="Tablebody"/>
              <w:jc w:val="left"/>
            </w:pPr>
            <w:r w:rsidRPr="001455DC">
              <w:t>Upper-bound value of creep coefficient corresponding to a 90 % cut-off, based on a normal distribution</w:t>
            </w:r>
          </w:p>
        </w:tc>
        <w:tc>
          <w:tcPr>
            <w:tcW w:w="1984" w:type="dxa"/>
          </w:tcPr>
          <w:p w14:paraId="7C3905E0" w14:textId="5AED35CD" w:rsidR="005D2325" w:rsidRPr="001455DC" w:rsidRDefault="005D2325">
            <w:pPr>
              <w:pStyle w:val="Tablebody"/>
            </w:pPr>
            <w:r w:rsidRPr="009D3012">
              <w:rPr>
                <w:lang w:eastAsia="de-DE"/>
              </w:rPr>
              <w:t>B.</w:t>
            </w:r>
            <w:r w:rsidR="0051522D" w:rsidRPr="009D3012">
              <w:rPr>
                <w:lang w:eastAsia="de-DE"/>
              </w:rPr>
              <w:t>6</w:t>
            </w:r>
            <w:r w:rsidRPr="009D3012">
              <w:rPr>
                <w:lang w:eastAsia="de-DE"/>
              </w:rPr>
              <w:t>(2)</w:t>
            </w:r>
          </w:p>
        </w:tc>
      </w:tr>
      <w:tr w:rsidR="005D2325" w:rsidRPr="001455DC" w14:paraId="76FA5F5F" w14:textId="32A34C66" w:rsidTr="00BE5EF4">
        <w:trPr>
          <w:cantSplit/>
        </w:trPr>
        <w:tc>
          <w:tcPr>
            <w:tcW w:w="1418" w:type="dxa"/>
            <w:shd w:val="clear" w:color="auto" w:fill="auto"/>
          </w:tcPr>
          <w:p w14:paraId="4AA7AEDA" w14:textId="77777777" w:rsidR="005D2325" w:rsidRPr="009D3012" w:rsidRDefault="005D2325" w:rsidP="005D2325">
            <w:pPr>
              <w:pStyle w:val="Tablebody"/>
              <w:rPr>
                <w:rStyle w:val="CCMCvariableitalic"/>
              </w:rPr>
            </w:pPr>
            <w:r w:rsidRPr="001455DC">
              <w:rPr>
                <w:rStyle w:val="CCMCvariableitalic"/>
              </w:rPr>
              <w:t>φ</w:t>
            </w:r>
            <w:r w:rsidRPr="001455DC">
              <w:rPr>
                <w:rStyle w:val="CCMCvariablesubscript"/>
              </w:rPr>
              <w:t>0,95</w:t>
            </w:r>
          </w:p>
        </w:tc>
        <w:tc>
          <w:tcPr>
            <w:tcW w:w="6548" w:type="dxa"/>
            <w:shd w:val="clear" w:color="auto" w:fill="auto"/>
          </w:tcPr>
          <w:p w14:paraId="1DEBB7E4" w14:textId="77777777" w:rsidR="005D2325" w:rsidRPr="001455DC" w:rsidRDefault="005D2325" w:rsidP="000250B6">
            <w:pPr>
              <w:pStyle w:val="Tablebody"/>
              <w:jc w:val="left"/>
            </w:pPr>
            <w:r w:rsidRPr="001455DC">
              <w:t>Upper-bound value of creep coefficient corresponding to a 95 % cut-off, based on a normal distribution</w:t>
            </w:r>
          </w:p>
        </w:tc>
        <w:tc>
          <w:tcPr>
            <w:tcW w:w="1984" w:type="dxa"/>
          </w:tcPr>
          <w:p w14:paraId="3DB6BFCB" w14:textId="538F3EE3" w:rsidR="005D2325" w:rsidRPr="001455DC" w:rsidRDefault="005D2325">
            <w:pPr>
              <w:pStyle w:val="Tablebody"/>
            </w:pPr>
            <w:r w:rsidRPr="009D3012">
              <w:rPr>
                <w:lang w:eastAsia="de-DE"/>
              </w:rPr>
              <w:t>B.</w:t>
            </w:r>
            <w:r w:rsidR="0051522D" w:rsidRPr="009D3012">
              <w:rPr>
                <w:lang w:eastAsia="de-DE"/>
              </w:rPr>
              <w:t>6</w:t>
            </w:r>
            <w:r w:rsidRPr="009D3012">
              <w:rPr>
                <w:lang w:eastAsia="de-DE"/>
              </w:rPr>
              <w:t>(2)</w:t>
            </w:r>
          </w:p>
        </w:tc>
      </w:tr>
      <w:tr w:rsidR="005D2325" w:rsidRPr="001455DC" w14:paraId="0D482A7F" w14:textId="26E8A750" w:rsidTr="00BE5EF4">
        <w:trPr>
          <w:cantSplit/>
        </w:trPr>
        <w:tc>
          <w:tcPr>
            <w:tcW w:w="1418" w:type="dxa"/>
            <w:shd w:val="clear" w:color="auto" w:fill="auto"/>
          </w:tcPr>
          <w:p w14:paraId="7E29AC87" w14:textId="77777777" w:rsidR="005D2325" w:rsidRPr="009D3012" w:rsidRDefault="005D2325" w:rsidP="005D2325">
            <w:pPr>
              <w:pStyle w:val="Tablebody"/>
              <w:rPr>
                <w:rStyle w:val="CCMCvariableitalic"/>
              </w:rPr>
            </w:pPr>
            <w:r w:rsidRPr="001455DC">
              <w:rPr>
                <w:rStyle w:val="CCMCvariableitalic"/>
              </w:rPr>
              <w:t>φ</w:t>
            </w:r>
            <w:r w:rsidRPr="001455DC">
              <w:rPr>
                <w:rStyle w:val="CCMCvariablesubscript"/>
              </w:rPr>
              <w:t>bc</w:t>
            </w:r>
            <w:r w:rsidRPr="001455DC">
              <w:rPr>
                <w:lang w:eastAsia="de-DE"/>
              </w:rPr>
              <w:t>(</w:t>
            </w:r>
            <w:r w:rsidRPr="001455DC">
              <w:rPr>
                <w:rStyle w:val="CCMCvariableitalic"/>
              </w:rPr>
              <w:t>t</w:t>
            </w:r>
            <w:r w:rsidRPr="001455DC">
              <w:t>,</w:t>
            </w:r>
            <w:r w:rsidRPr="001455DC">
              <w:rPr>
                <w:rStyle w:val="CCMCvariableitalic"/>
              </w:rPr>
              <w:t>t</w:t>
            </w:r>
            <w:r w:rsidRPr="001455DC">
              <w:rPr>
                <w:rStyle w:val="CCMCvariablesubscript"/>
              </w:rPr>
              <w:t>0</w:t>
            </w:r>
            <w:r w:rsidRPr="001455DC">
              <w:rPr>
                <w:lang w:eastAsia="de-DE"/>
              </w:rPr>
              <w:t>)</w:t>
            </w:r>
          </w:p>
        </w:tc>
        <w:tc>
          <w:tcPr>
            <w:tcW w:w="6548" w:type="dxa"/>
            <w:shd w:val="clear" w:color="auto" w:fill="auto"/>
          </w:tcPr>
          <w:p w14:paraId="1FCCC256" w14:textId="052CAC28" w:rsidR="005D2325" w:rsidRPr="001455DC" w:rsidRDefault="005D2325" w:rsidP="000250B6">
            <w:pPr>
              <w:pStyle w:val="Tablebody"/>
              <w:jc w:val="left"/>
              <w:rPr>
                <w:lang w:eastAsia="de-DE"/>
              </w:rPr>
            </w:pPr>
            <w:r w:rsidRPr="001455DC">
              <w:t>Basic creep coefficient</w:t>
            </w:r>
          </w:p>
        </w:tc>
        <w:tc>
          <w:tcPr>
            <w:tcW w:w="1984" w:type="dxa"/>
          </w:tcPr>
          <w:p w14:paraId="4667765D" w14:textId="47BF6416" w:rsidR="005D2325" w:rsidRPr="001455DC" w:rsidRDefault="005D2325">
            <w:pPr>
              <w:pStyle w:val="Tablebody"/>
            </w:pPr>
            <w:r w:rsidRPr="009D3012">
              <w:rPr>
                <w:lang w:eastAsia="de-DE"/>
              </w:rPr>
              <w:t>B.</w:t>
            </w:r>
            <w:r w:rsidR="007D653E" w:rsidRPr="009D3012">
              <w:rPr>
                <w:lang w:eastAsia="de-DE"/>
              </w:rPr>
              <w:t>4</w:t>
            </w:r>
            <w:r w:rsidRPr="009D3012">
              <w:rPr>
                <w:lang w:eastAsia="de-DE"/>
              </w:rPr>
              <w:t>(1), B</w:t>
            </w:r>
            <w:r w:rsidR="00D63F75" w:rsidRPr="009D3012">
              <w:rPr>
                <w:lang w:eastAsia="de-DE"/>
              </w:rPr>
              <w:t>.4</w:t>
            </w:r>
            <w:r w:rsidRPr="009D3012">
              <w:rPr>
                <w:lang w:eastAsia="de-DE"/>
              </w:rPr>
              <w:t>(2)</w:t>
            </w:r>
          </w:p>
        </w:tc>
      </w:tr>
      <w:tr w:rsidR="005D2325" w:rsidRPr="001455DC" w14:paraId="3BD914F2" w14:textId="0A34A082" w:rsidTr="00BE5EF4">
        <w:trPr>
          <w:cantSplit/>
        </w:trPr>
        <w:tc>
          <w:tcPr>
            <w:tcW w:w="1418" w:type="dxa"/>
            <w:shd w:val="clear" w:color="auto" w:fill="auto"/>
          </w:tcPr>
          <w:p w14:paraId="24930808" w14:textId="77777777" w:rsidR="005D2325" w:rsidRPr="009D3012" w:rsidRDefault="005D2325" w:rsidP="005D2325">
            <w:pPr>
              <w:pStyle w:val="Tablebody"/>
              <w:rPr>
                <w:rStyle w:val="CCMCvariableitalic"/>
              </w:rPr>
            </w:pPr>
            <w:r w:rsidRPr="001455DC">
              <w:rPr>
                <w:rStyle w:val="CCMCvariableitalic"/>
              </w:rPr>
              <w:t>φ</w:t>
            </w:r>
            <w:r w:rsidRPr="001455DC">
              <w:rPr>
                <w:rStyle w:val="CCMCvariablesubscript"/>
              </w:rPr>
              <w:t>dc</w:t>
            </w:r>
            <w:r w:rsidRPr="001455DC">
              <w:rPr>
                <w:lang w:eastAsia="de-DE"/>
              </w:rPr>
              <w:t>(</w:t>
            </w:r>
            <w:r w:rsidRPr="001455DC">
              <w:rPr>
                <w:rStyle w:val="CCMCvariableitalic"/>
              </w:rPr>
              <w:t>t</w:t>
            </w:r>
            <w:r w:rsidRPr="001455DC">
              <w:t>,</w:t>
            </w:r>
            <w:r w:rsidRPr="001455DC">
              <w:rPr>
                <w:rStyle w:val="CCMCvariableitalic"/>
              </w:rPr>
              <w:t>t</w:t>
            </w:r>
            <w:r w:rsidRPr="001455DC">
              <w:rPr>
                <w:rStyle w:val="CCMCvariablesubscript"/>
              </w:rPr>
              <w:t>0</w:t>
            </w:r>
            <w:r w:rsidRPr="001455DC">
              <w:rPr>
                <w:lang w:eastAsia="de-DE"/>
              </w:rPr>
              <w:t>)</w:t>
            </w:r>
          </w:p>
        </w:tc>
        <w:tc>
          <w:tcPr>
            <w:tcW w:w="6548" w:type="dxa"/>
            <w:shd w:val="clear" w:color="auto" w:fill="auto"/>
          </w:tcPr>
          <w:p w14:paraId="37A7CFBB" w14:textId="77777777" w:rsidR="005D2325" w:rsidRPr="001455DC" w:rsidRDefault="005D2325" w:rsidP="000250B6">
            <w:pPr>
              <w:pStyle w:val="Tablebody"/>
              <w:jc w:val="left"/>
            </w:pPr>
            <w:r w:rsidRPr="001455DC">
              <w:t>Drying creep coefficient</w:t>
            </w:r>
          </w:p>
        </w:tc>
        <w:tc>
          <w:tcPr>
            <w:tcW w:w="1984" w:type="dxa"/>
          </w:tcPr>
          <w:p w14:paraId="1FFE6316" w14:textId="3CAE5081" w:rsidR="005D2325" w:rsidRPr="001455DC" w:rsidRDefault="005D2325">
            <w:pPr>
              <w:pStyle w:val="Tablebody"/>
            </w:pPr>
            <w:r w:rsidRPr="009D3012">
              <w:rPr>
                <w:lang w:eastAsia="de-DE"/>
              </w:rPr>
              <w:t>B.</w:t>
            </w:r>
            <w:r w:rsidR="00D63F75" w:rsidRPr="009D3012">
              <w:rPr>
                <w:lang w:eastAsia="de-DE"/>
              </w:rPr>
              <w:t>4</w:t>
            </w:r>
            <w:r w:rsidRPr="009D3012">
              <w:rPr>
                <w:lang w:eastAsia="de-DE"/>
              </w:rPr>
              <w:t>(1), B</w:t>
            </w:r>
            <w:r w:rsidR="00D63F75" w:rsidRPr="009D3012">
              <w:rPr>
                <w:lang w:eastAsia="de-DE"/>
              </w:rPr>
              <w:t>.4</w:t>
            </w:r>
            <w:r w:rsidRPr="009D3012">
              <w:rPr>
                <w:lang w:eastAsia="de-DE"/>
              </w:rPr>
              <w:t>(3)</w:t>
            </w:r>
          </w:p>
        </w:tc>
      </w:tr>
      <w:tr w:rsidR="005D2325" w:rsidRPr="001455DC" w14:paraId="38EC5F59" w14:textId="7D2BFDE2" w:rsidTr="00BE5EF4">
        <w:trPr>
          <w:cantSplit/>
        </w:trPr>
        <w:tc>
          <w:tcPr>
            <w:tcW w:w="1418" w:type="dxa"/>
            <w:shd w:val="clear" w:color="auto" w:fill="auto"/>
          </w:tcPr>
          <w:p w14:paraId="120563DB" w14:textId="77777777" w:rsidR="005D2325" w:rsidRPr="009D3012" w:rsidRDefault="005D2325" w:rsidP="005D2325">
            <w:pPr>
              <w:pStyle w:val="Tablebody"/>
              <w:rPr>
                <w:rStyle w:val="CCMCvariableitalic"/>
              </w:rPr>
            </w:pPr>
            <w:r w:rsidRPr="001455DC">
              <w:rPr>
                <w:rStyle w:val="CCMCvariableitalic"/>
              </w:rPr>
              <w:t>φ</w:t>
            </w:r>
            <w:r w:rsidRPr="001455DC">
              <w:rPr>
                <w:rStyle w:val="CCMCvariablesubscript"/>
              </w:rPr>
              <w:t>eff,b</w:t>
            </w:r>
          </w:p>
        </w:tc>
        <w:tc>
          <w:tcPr>
            <w:tcW w:w="6548" w:type="dxa"/>
            <w:shd w:val="clear" w:color="auto" w:fill="auto"/>
          </w:tcPr>
          <w:p w14:paraId="73D47729" w14:textId="77777777" w:rsidR="005D2325" w:rsidRPr="001455DC" w:rsidRDefault="005D2325" w:rsidP="000250B6">
            <w:pPr>
              <w:pStyle w:val="Tablebody"/>
              <w:jc w:val="left"/>
              <w:rPr>
                <w:lang w:eastAsia="de-DE"/>
              </w:rPr>
            </w:pPr>
            <w:r w:rsidRPr="001455DC">
              <w:rPr>
                <w:lang w:eastAsia="de-DE"/>
              </w:rPr>
              <w:t>Effective creep ratio for local second order effects</w:t>
            </w:r>
          </w:p>
        </w:tc>
        <w:tc>
          <w:tcPr>
            <w:tcW w:w="1984" w:type="dxa"/>
          </w:tcPr>
          <w:p w14:paraId="1BB7BE77" w14:textId="2FDD9340" w:rsidR="005D2325" w:rsidRPr="001455DC" w:rsidRDefault="005D2325" w:rsidP="005D2325">
            <w:pPr>
              <w:pStyle w:val="Tablebody"/>
              <w:rPr>
                <w:lang w:eastAsia="de-DE"/>
              </w:rPr>
            </w:pPr>
            <w:r w:rsidRPr="009D3012">
              <w:rPr>
                <w:lang w:eastAsia="de-DE"/>
              </w:rPr>
              <w:t>7.8.2(2)</w:t>
            </w:r>
          </w:p>
        </w:tc>
      </w:tr>
      <w:tr w:rsidR="005D2325" w:rsidRPr="001455DC" w14:paraId="4BC4EBF3" w14:textId="73129C57" w:rsidTr="00BE5EF4">
        <w:trPr>
          <w:cantSplit/>
        </w:trPr>
        <w:tc>
          <w:tcPr>
            <w:tcW w:w="1418" w:type="dxa"/>
            <w:shd w:val="clear" w:color="auto" w:fill="auto"/>
          </w:tcPr>
          <w:p w14:paraId="5F12B21F" w14:textId="77777777" w:rsidR="005D2325" w:rsidRPr="009D3012" w:rsidRDefault="005D2325" w:rsidP="005D2325">
            <w:pPr>
              <w:pStyle w:val="Tablebody"/>
              <w:rPr>
                <w:rStyle w:val="CCMCvariableitalic"/>
              </w:rPr>
            </w:pPr>
            <w:r w:rsidRPr="001455DC">
              <w:rPr>
                <w:rStyle w:val="CCMCvariableitalic"/>
              </w:rPr>
              <w:t>φ</w:t>
            </w:r>
            <w:r w:rsidRPr="001455DC">
              <w:rPr>
                <w:rStyle w:val="CCMCvariablesubscript"/>
              </w:rPr>
              <w:t>eff,s</w:t>
            </w:r>
          </w:p>
        </w:tc>
        <w:tc>
          <w:tcPr>
            <w:tcW w:w="6548" w:type="dxa"/>
            <w:shd w:val="clear" w:color="auto" w:fill="auto"/>
          </w:tcPr>
          <w:p w14:paraId="6B483277" w14:textId="77777777" w:rsidR="005D2325" w:rsidRPr="001455DC" w:rsidRDefault="005D2325" w:rsidP="000250B6">
            <w:pPr>
              <w:pStyle w:val="Tablebody"/>
              <w:jc w:val="left"/>
              <w:rPr>
                <w:lang w:eastAsia="de-DE"/>
              </w:rPr>
            </w:pPr>
            <w:r w:rsidRPr="001455DC">
              <w:rPr>
                <w:lang w:eastAsia="de-DE"/>
              </w:rPr>
              <w:t>Effective creep ratio for global second order effects</w:t>
            </w:r>
          </w:p>
        </w:tc>
        <w:tc>
          <w:tcPr>
            <w:tcW w:w="1984" w:type="dxa"/>
          </w:tcPr>
          <w:p w14:paraId="2C04AFE4" w14:textId="6266CB46" w:rsidR="005D2325" w:rsidRPr="001455DC" w:rsidRDefault="005D2325" w:rsidP="005D2325">
            <w:pPr>
              <w:pStyle w:val="Tablebody"/>
              <w:rPr>
                <w:lang w:eastAsia="de-DE"/>
              </w:rPr>
            </w:pPr>
            <w:r w:rsidRPr="009D3012">
              <w:rPr>
                <w:lang w:eastAsia="de-DE"/>
              </w:rPr>
              <w:t>7.8.2(2)</w:t>
            </w:r>
          </w:p>
        </w:tc>
      </w:tr>
      <w:tr w:rsidR="005D2325" w:rsidRPr="001455DC" w14:paraId="09D6E5F1" w14:textId="4ADC8216" w:rsidTr="00BE5EF4">
        <w:trPr>
          <w:cantSplit/>
        </w:trPr>
        <w:tc>
          <w:tcPr>
            <w:tcW w:w="1418" w:type="dxa"/>
            <w:shd w:val="clear" w:color="auto" w:fill="auto"/>
          </w:tcPr>
          <w:p w14:paraId="5C9CB8B2" w14:textId="77777777" w:rsidR="005D2325" w:rsidRPr="009D3012" w:rsidRDefault="005D2325" w:rsidP="005D2325">
            <w:pPr>
              <w:pStyle w:val="Tablebody"/>
              <w:rPr>
                <w:rStyle w:val="CCMCvariableitalic"/>
              </w:rPr>
            </w:pPr>
            <w:r w:rsidRPr="001455DC">
              <w:rPr>
                <w:rStyle w:val="CCMCvariableitalic"/>
              </w:rPr>
              <w:t>φ</w:t>
            </w:r>
            <w:r w:rsidRPr="001455DC">
              <w:rPr>
                <w:rStyle w:val="CCMCvariablesubscript"/>
              </w:rPr>
              <w:t>σ</w:t>
            </w:r>
            <w:r w:rsidRPr="001455DC">
              <w:rPr>
                <w:lang w:eastAsia="de-DE"/>
              </w:rPr>
              <w:t>(</w:t>
            </w:r>
            <w:r w:rsidRPr="001455DC">
              <w:rPr>
                <w:rStyle w:val="CCMCvariableitalic"/>
              </w:rPr>
              <w:t>t</w:t>
            </w:r>
            <w:r w:rsidRPr="001455DC">
              <w:t>,</w:t>
            </w:r>
            <w:r w:rsidRPr="001455DC">
              <w:rPr>
                <w:rStyle w:val="CCMCvariableitalic"/>
              </w:rPr>
              <w:t>t</w:t>
            </w:r>
            <w:r w:rsidRPr="001455DC">
              <w:rPr>
                <w:rStyle w:val="CCMCvariablesubscript"/>
              </w:rPr>
              <w:t>0</w:t>
            </w:r>
            <w:r w:rsidRPr="001455DC">
              <w:rPr>
                <w:lang w:eastAsia="de-DE"/>
              </w:rPr>
              <w:t>)</w:t>
            </w:r>
          </w:p>
        </w:tc>
        <w:tc>
          <w:tcPr>
            <w:tcW w:w="6548" w:type="dxa"/>
            <w:shd w:val="clear" w:color="auto" w:fill="auto"/>
          </w:tcPr>
          <w:p w14:paraId="03666254" w14:textId="77777777" w:rsidR="005D2325" w:rsidRPr="001455DC" w:rsidRDefault="005D2325" w:rsidP="000250B6">
            <w:pPr>
              <w:pStyle w:val="Tablebody"/>
              <w:jc w:val="left"/>
              <w:rPr>
                <w:lang w:eastAsia="de-DE"/>
              </w:rPr>
            </w:pPr>
            <w:r w:rsidRPr="001455DC">
              <w:rPr>
                <w:lang w:eastAsia="de-DE"/>
              </w:rPr>
              <w:t>Creep coefficient, adjusted for non-linearity due to concrete stresses above 0,4</w:t>
            </w:r>
            <w:r w:rsidRPr="001455DC">
              <w:rPr>
                <w:rStyle w:val="CCMCvariableitalic"/>
              </w:rPr>
              <w:t>f</w:t>
            </w:r>
            <w:r w:rsidRPr="001455DC">
              <w:rPr>
                <w:rStyle w:val="CCMCvariablesubscript"/>
              </w:rPr>
              <w:t>cm</w:t>
            </w:r>
          </w:p>
        </w:tc>
        <w:tc>
          <w:tcPr>
            <w:tcW w:w="1984" w:type="dxa"/>
          </w:tcPr>
          <w:p w14:paraId="0877720B" w14:textId="73755898" w:rsidR="005D2325" w:rsidRPr="001455DC" w:rsidRDefault="005D2325">
            <w:pPr>
              <w:pStyle w:val="Tablebody"/>
              <w:rPr>
                <w:lang w:eastAsia="de-DE"/>
              </w:rPr>
            </w:pPr>
            <w:r w:rsidRPr="009D3012">
              <w:rPr>
                <w:lang w:eastAsia="de-DE"/>
              </w:rPr>
              <w:t>B.</w:t>
            </w:r>
            <w:r w:rsidR="0051522D" w:rsidRPr="009D3012">
              <w:rPr>
                <w:lang w:eastAsia="de-DE"/>
              </w:rPr>
              <w:t>6</w:t>
            </w:r>
            <w:r w:rsidRPr="009D3012">
              <w:rPr>
                <w:lang w:eastAsia="de-DE"/>
              </w:rPr>
              <w:t>(6)</w:t>
            </w:r>
          </w:p>
        </w:tc>
      </w:tr>
      <w:tr w:rsidR="005D2325" w:rsidRPr="001455DC" w14:paraId="119844D6" w14:textId="695EC09F" w:rsidTr="00BE5EF4">
        <w:trPr>
          <w:cantSplit/>
        </w:trPr>
        <w:tc>
          <w:tcPr>
            <w:tcW w:w="1418" w:type="dxa"/>
            <w:shd w:val="clear" w:color="auto" w:fill="auto"/>
          </w:tcPr>
          <w:p w14:paraId="14401596" w14:textId="77777777" w:rsidR="005D2325" w:rsidRPr="009D3012" w:rsidRDefault="005D2325" w:rsidP="005D2325">
            <w:pPr>
              <w:pStyle w:val="Tablebody"/>
              <w:rPr>
                <w:rStyle w:val="CCMCvariableitalic"/>
              </w:rPr>
            </w:pPr>
            <w:r w:rsidRPr="001455DC">
              <w:rPr>
                <w:rStyle w:val="CCMCvariableitalic"/>
              </w:rPr>
              <w:t>χ</w:t>
            </w:r>
          </w:p>
        </w:tc>
        <w:tc>
          <w:tcPr>
            <w:tcW w:w="6548" w:type="dxa"/>
            <w:shd w:val="clear" w:color="auto" w:fill="auto"/>
          </w:tcPr>
          <w:p w14:paraId="7988D675" w14:textId="77777777" w:rsidR="005D2325" w:rsidRPr="001455DC" w:rsidRDefault="005D2325" w:rsidP="000250B6">
            <w:pPr>
              <w:pStyle w:val="Tablebody"/>
              <w:jc w:val="left"/>
              <w:rPr>
                <w:lang w:eastAsia="de-DE"/>
              </w:rPr>
            </w:pPr>
            <w:r w:rsidRPr="001455DC">
              <w:rPr>
                <w:lang w:eastAsia="de-DE"/>
              </w:rPr>
              <w:t>Aging coefficient which may be taken equal to 0,8 for long term calculations</w:t>
            </w:r>
          </w:p>
        </w:tc>
        <w:tc>
          <w:tcPr>
            <w:tcW w:w="1984" w:type="dxa"/>
          </w:tcPr>
          <w:p w14:paraId="73108F8A" w14:textId="093D76A2" w:rsidR="005D2325" w:rsidRPr="001455DC" w:rsidRDefault="005D2325" w:rsidP="005D2325">
            <w:pPr>
              <w:pStyle w:val="Tablebody"/>
              <w:rPr>
                <w:lang w:eastAsia="de-DE"/>
              </w:rPr>
            </w:pPr>
            <w:r w:rsidRPr="009D3012">
              <w:rPr>
                <w:lang w:eastAsia="de-DE"/>
              </w:rPr>
              <w:t>7.4(6)</w:t>
            </w:r>
          </w:p>
        </w:tc>
      </w:tr>
      <w:tr w:rsidR="005D2325" w:rsidRPr="001455DC" w14:paraId="72AC03D8" w14:textId="5D5FA408" w:rsidTr="00BE5EF4">
        <w:trPr>
          <w:cantSplit/>
        </w:trPr>
        <w:tc>
          <w:tcPr>
            <w:tcW w:w="1418" w:type="dxa"/>
            <w:shd w:val="clear" w:color="auto" w:fill="auto"/>
          </w:tcPr>
          <w:p w14:paraId="199582D0" w14:textId="77777777" w:rsidR="005D2325" w:rsidRPr="009D3012" w:rsidRDefault="005D2325" w:rsidP="005D2325">
            <w:pPr>
              <w:pStyle w:val="Tablebody"/>
              <w:rPr>
                <w:rStyle w:val="CCMCvariableitalic"/>
              </w:rPr>
            </w:pPr>
            <w:r w:rsidRPr="001455DC">
              <w:rPr>
                <w:rStyle w:val="CCMCvariableitalic"/>
              </w:rPr>
              <w:t>ω</w:t>
            </w:r>
          </w:p>
        </w:tc>
        <w:tc>
          <w:tcPr>
            <w:tcW w:w="6548" w:type="dxa"/>
            <w:shd w:val="clear" w:color="auto" w:fill="auto"/>
          </w:tcPr>
          <w:p w14:paraId="17C81A77" w14:textId="77777777" w:rsidR="005D2325" w:rsidRPr="001455DC" w:rsidRDefault="005D2325" w:rsidP="000250B6">
            <w:pPr>
              <w:pStyle w:val="Tablebody"/>
              <w:jc w:val="left"/>
              <w:rPr>
                <w:lang w:eastAsia="de-DE"/>
              </w:rPr>
            </w:pPr>
            <w:r w:rsidRPr="001455DC">
              <w:rPr>
                <w:lang w:eastAsia="de-DE"/>
              </w:rPr>
              <w:t>Mechanical reinforcement ratio</w:t>
            </w:r>
          </w:p>
        </w:tc>
        <w:tc>
          <w:tcPr>
            <w:tcW w:w="1984" w:type="dxa"/>
          </w:tcPr>
          <w:p w14:paraId="3924AD55" w14:textId="15FCD961" w:rsidR="005D2325" w:rsidRPr="001455DC" w:rsidRDefault="005D2325" w:rsidP="005D2325">
            <w:pPr>
              <w:pStyle w:val="Tablebody"/>
              <w:rPr>
                <w:lang w:eastAsia="de-DE"/>
              </w:rPr>
            </w:pPr>
            <w:r w:rsidRPr="009D3012">
              <w:rPr>
                <w:lang w:eastAsia="de-DE"/>
              </w:rPr>
              <w:t>O.6(1)</w:t>
            </w:r>
          </w:p>
        </w:tc>
      </w:tr>
      <w:tr w:rsidR="005D2325" w:rsidRPr="001455DC" w14:paraId="20F3C1E0" w14:textId="4F1A7B55" w:rsidTr="00BE5EF4">
        <w:trPr>
          <w:cantSplit/>
        </w:trPr>
        <w:tc>
          <w:tcPr>
            <w:tcW w:w="1418" w:type="dxa"/>
            <w:shd w:val="clear" w:color="auto" w:fill="auto"/>
          </w:tcPr>
          <w:p w14:paraId="4C1C73A6" w14:textId="77777777" w:rsidR="005D2325" w:rsidRPr="009D3012" w:rsidRDefault="005D2325" w:rsidP="005D2325">
            <w:pPr>
              <w:pStyle w:val="Tablebody"/>
              <w:rPr>
                <w:rStyle w:val="CCMCvariableitalic"/>
              </w:rPr>
            </w:pPr>
            <w:r w:rsidRPr="001455DC">
              <w:rPr>
                <w:rStyle w:val="CCMCvariableitalic"/>
              </w:rPr>
              <w:t>ω</w:t>
            </w:r>
            <w:r w:rsidRPr="001455DC">
              <w:rPr>
                <w:rStyle w:val="CCMCvariablesubscript"/>
              </w:rPr>
              <w:t>cr</w:t>
            </w:r>
          </w:p>
        </w:tc>
        <w:tc>
          <w:tcPr>
            <w:tcW w:w="6548" w:type="dxa"/>
            <w:shd w:val="clear" w:color="auto" w:fill="auto"/>
          </w:tcPr>
          <w:p w14:paraId="7A8D7CA5" w14:textId="77777777" w:rsidR="005D2325" w:rsidRPr="001455DC" w:rsidRDefault="005D2325" w:rsidP="000250B6">
            <w:pPr>
              <w:pStyle w:val="Tablebody"/>
              <w:jc w:val="left"/>
              <w:rPr>
                <w:lang w:eastAsia="de-DE"/>
              </w:rPr>
            </w:pPr>
            <w:r w:rsidRPr="001455DC">
              <w:rPr>
                <w:lang w:eastAsia="de-DE"/>
              </w:rPr>
              <w:t>Mechanical reinforcement ratio, below which, the structure is not expected to crack under the characteristic combination of actions</w:t>
            </w:r>
          </w:p>
        </w:tc>
        <w:tc>
          <w:tcPr>
            <w:tcW w:w="1984" w:type="dxa"/>
          </w:tcPr>
          <w:p w14:paraId="45FA4378" w14:textId="202C1E61" w:rsidR="005D2325" w:rsidRPr="001455DC" w:rsidRDefault="005D2325" w:rsidP="005D2325">
            <w:pPr>
              <w:pStyle w:val="Tablebody"/>
              <w:rPr>
                <w:lang w:eastAsia="de-DE"/>
              </w:rPr>
            </w:pPr>
            <w:r w:rsidRPr="009D3012">
              <w:rPr>
                <w:lang w:eastAsia="de-DE"/>
              </w:rPr>
              <w:t>9.3.3(2)</w:t>
            </w:r>
          </w:p>
        </w:tc>
      </w:tr>
      <w:tr w:rsidR="005D2325" w:rsidRPr="001455DC" w14:paraId="1ACAFA8D" w14:textId="2CFB3966" w:rsidTr="00BE5EF4">
        <w:trPr>
          <w:cantSplit/>
        </w:trPr>
        <w:tc>
          <w:tcPr>
            <w:tcW w:w="1418" w:type="dxa"/>
            <w:shd w:val="clear" w:color="auto" w:fill="auto"/>
          </w:tcPr>
          <w:p w14:paraId="426172A3" w14:textId="77777777" w:rsidR="005D2325" w:rsidRPr="009D3012" w:rsidRDefault="005D2325" w:rsidP="005D2325">
            <w:pPr>
              <w:pStyle w:val="Tablebody"/>
              <w:rPr>
                <w:rStyle w:val="CCMCvariableitalic"/>
              </w:rPr>
            </w:pPr>
            <w:r w:rsidRPr="001455DC">
              <w:rPr>
                <w:rStyle w:val="CCMCvariableitalic"/>
              </w:rPr>
              <w:t>ω</w:t>
            </w:r>
            <w:r w:rsidRPr="001455DC">
              <w:rPr>
                <w:rStyle w:val="CCMCvariablesubscript"/>
              </w:rPr>
              <w:t>prov</w:t>
            </w:r>
          </w:p>
        </w:tc>
        <w:tc>
          <w:tcPr>
            <w:tcW w:w="6548" w:type="dxa"/>
            <w:shd w:val="clear" w:color="auto" w:fill="auto"/>
          </w:tcPr>
          <w:p w14:paraId="2F779CE6" w14:textId="77777777" w:rsidR="005D2325" w:rsidRPr="001455DC" w:rsidRDefault="005D2325" w:rsidP="000250B6">
            <w:pPr>
              <w:pStyle w:val="Tablebody"/>
              <w:jc w:val="left"/>
              <w:rPr>
                <w:lang w:eastAsia="de-DE"/>
              </w:rPr>
            </w:pPr>
            <w:r w:rsidRPr="001455DC">
              <w:rPr>
                <w:lang w:eastAsia="de-DE"/>
              </w:rPr>
              <w:t>Mechanical tension reinforcement ratio actually provided</w:t>
            </w:r>
          </w:p>
        </w:tc>
        <w:tc>
          <w:tcPr>
            <w:tcW w:w="1984" w:type="dxa"/>
          </w:tcPr>
          <w:p w14:paraId="3CD5B9A0" w14:textId="77777777" w:rsidR="005D2325" w:rsidRPr="001455DC" w:rsidRDefault="005D2325" w:rsidP="005D2325">
            <w:pPr>
              <w:pStyle w:val="Tablebody"/>
              <w:rPr>
                <w:lang w:eastAsia="de-DE"/>
              </w:rPr>
            </w:pPr>
          </w:p>
        </w:tc>
      </w:tr>
      <w:tr w:rsidR="005D2325" w:rsidRPr="001455DC" w14:paraId="0B062EF2" w14:textId="6E3EF21C" w:rsidTr="00BE5EF4">
        <w:trPr>
          <w:cantSplit/>
        </w:trPr>
        <w:tc>
          <w:tcPr>
            <w:tcW w:w="1418" w:type="dxa"/>
            <w:shd w:val="clear" w:color="auto" w:fill="auto"/>
          </w:tcPr>
          <w:p w14:paraId="77FAA246" w14:textId="77777777" w:rsidR="005D2325" w:rsidRPr="009D3012" w:rsidRDefault="005D2325" w:rsidP="005D2325">
            <w:pPr>
              <w:pStyle w:val="Tablebody"/>
              <w:rPr>
                <w:rStyle w:val="CCMCvariableitalic"/>
              </w:rPr>
            </w:pPr>
            <w:r w:rsidRPr="001455DC">
              <w:rPr>
                <w:rStyle w:val="CCMCvariableitalic"/>
              </w:rPr>
              <w:t>ω</w:t>
            </w:r>
            <w:r w:rsidRPr="001455DC">
              <w:rPr>
                <w:rStyle w:val="CCMCvariablesubscript"/>
              </w:rPr>
              <w:t>r</w:t>
            </w:r>
          </w:p>
        </w:tc>
        <w:tc>
          <w:tcPr>
            <w:tcW w:w="6548" w:type="dxa"/>
            <w:shd w:val="clear" w:color="auto" w:fill="auto"/>
          </w:tcPr>
          <w:p w14:paraId="65305A54" w14:textId="77777777" w:rsidR="005D2325" w:rsidRPr="001455DC" w:rsidRDefault="005D2325" w:rsidP="000250B6">
            <w:pPr>
              <w:pStyle w:val="Tablebody"/>
              <w:jc w:val="left"/>
              <w:rPr>
                <w:lang w:eastAsia="de-DE"/>
              </w:rPr>
            </w:pPr>
            <w:r w:rsidRPr="001455DC">
              <w:rPr>
                <w:lang w:eastAsia="de-DE"/>
              </w:rPr>
              <w:t>Required mechanical tension reinforcement ratio at mid-span to resist the moment due to the design loads (at support for cantilevers)</w:t>
            </w:r>
          </w:p>
        </w:tc>
        <w:tc>
          <w:tcPr>
            <w:tcW w:w="1984" w:type="dxa"/>
          </w:tcPr>
          <w:p w14:paraId="7FDB04D8" w14:textId="5796354C" w:rsidR="005D2325" w:rsidRPr="001455DC" w:rsidRDefault="005D2325" w:rsidP="005D2325">
            <w:pPr>
              <w:pStyle w:val="Tablebody"/>
              <w:rPr>
                <w:lang w:eastAsia="de-DE"/>
              </w:rPr>
            </w:pPr>
            <w:r w:rsidRPr="009D3012">
              <w:rPr>
                <w:lang w:eastAsia="de-DE"/>
              </w:rPr>
              <w:t>9.3.3(2)</w:t>
            </w:r>
          </w:p>
        </w:tc>
      </w:tr>
    </w:tbl>
    <w:p w14:paraId="56677C2F" w14:textId="1BC397BB" w:rsidR="00772347" w:rsidRPr="009D3012" w:rsidRDefault="0056481D" w:rsidP="006D682B">
      <w:pPr>
        <w:pStyle w:val="21"/>
      </w:pPr>
      <w:bookmarkStart w:id="84" w:name="_Toc55828628"/>
      <w:bookmarkStart w:id="85" w:name="_Toc67565283"/>
      <w:bookmarkStart w:id="86" w:name="_Toc52819876"/>
      <w:bookmarkStart w:id="87" w:name="_Toc54337273"/>
      <w:bookmarkStart w:id="88" w:name="_Toc54337934"/>
      <w:r w:rsidRPr="009D3012">
        <w:t>Symbols in Annex A</w:t>
      </w:r>
      <w:bookmarkEnd w:id="84"/>
      <w:bookmarkEnd w:id="85"/>
    </w:p>
    <w:p w14:paraId="03AA7072" w14:textId="1A7B8A1D" w:rsidR="0056481D" w:rsidRPr="001353E5" w:rsidRDefault="001353E5" w:rsidP="001353E5">
      <w:pPr>
        <w:pStyle w:val="p3"/>
        <w:rPr>
          <w:b/>
        </w:rPr>
      </w:pPr>
      <w:bookmarkStart w:id="89" w:name="_Toc55828629"/>
      <w:bookmarkStart w:id="90" w:name="_Toc67565284"/>
      <w:r w:rsidRPr="001353E5">
        <w:rPr>
          <w:b/>
        </w:rPr>
        <w:t>3.3.1</w:t>
      </w:r>
      <w:r w:rsidRPr="001353E5">
        <w:rPr>
          <w:b/>
        </w:rPr>
        <w:tab/>
      </w:r>
      <w:r w:rsidR="0056481D" w:rsidRPr="001353E5">
        <w:rPr>
          <w:b/>
        </w:rPr>
        <w:t>Latin upper case letters</w:t>
      </w:r>
      <w:bookmarkEnd w:id="89"/>
      <w:bookmarkEnd w:id="90"/>
    </w:p>
    <w:tbl>
      <w:tblPr>
        <w:tblStyle w:val="Tabellenraster1"/>
        <w:tblW w:w="10031" w:type="dxa"/>
        <w:tblLook w:val="04A0" w:firstRow="1" w:lastRow="0" w:firstColumn="1" w:lastColumn="0" w:noHBand="0" w:noVBand="1"/>
      </w:tblPr>
      <w:tblGrid>
        <w:gridCol w:w="1526"/>
        <w:gridCol w:w="6520"/>
        <w:gridCol w:w="1985"/>
      </w:tblGrid>
      <w:tr w:rsidR="0032499B" w:rsidRPr="001455DC" w14:paraId="2419331C" w14:textId="77777777" w:rsidTr="009D3012">
        <w:tc>
          <w:tcPr>
            <w:tcW w:w="1526" w:type="dxa"/>
            <w:tcBorders>
              <w:top w:val="nil"/>
              <w:left w:val="nil"/>
              <w:bottom w:val="nil"/>
              <w:right w:val="nil"/>
            </w:tcBorders>
            <w:shd w:val="clear" w:color="auto" w:fill="auto"/>
          </w:tcPr>
          <w:p w14:paraId="512E73DD" w14:textId="18D77B49" w:rsidR="0032499B" w:rsidRPr="009D3012" w:rsidRDefault="0032499B" w:rsidP="0056481D">
            <w:pPr>
              <w:widowControl w:val="0"/>
              <w:spacing w:after="60" w:line="240" w:lineRule="auto"/>
              <w:jc w:val="left"/>
              <w:rPr>
                <w:rFonts w:eastAsia="Times New Roman" w:cs="Arial"/>
                <w:lang w:val="en-US" w:eastAsia="fr-FR"/>
              </w:rPr>
            </w:pPr>
            <w:r w:rsidRPr="009D3012">
              <w:rPr>
                <w:rFonts w:eastAsia="Times New Roman" w:cs="Arial"/>
                <w:i/>
                <w:lang w:val="en-US" w:eastAsia="fr-FR"/>
              </w:rPr>
              <w:t>X</w:t>
            </w:r>
            <w:r w:rsidRPr="009D3012">
              <w:rPr>
                <w:rFonts w:eastAsia="Times New Roman" w:cs="Arial"/>
                <w:vertAlign w:val="subscript"/>
                <w:lang w:val="en-US" w:eastAsia="fr-FR"/>
              </w:rPr>
              <w:t>i,m</w:t>
            </w:r>
          </w:p>
        </w:tc>
        <w:tc>
          <w:tcPr>
            <w:tcW w:w="6520" w:type="dxa"/>
            <w:tcBorders>
              <w:top w:val="nil"/>
              <w:left w:val="nil"/>
              <w:bottom w:val="nil"/>
              <w:right w:val="nil"/>
            </w:tcBorders>
            <w:shd w:val="clear" w:color="auto" w:fill="auto"/>
          </w:tcPr>
          <w:p w14:paraId="5E23B86A" w14:textId="769DA533" w:rsidR="0032499B" w:rsidRPr="009D3012" w:rsidRDefault="0032499B" w:rsidP="0056481D">
            <w:pPr>
              <w:widowControl w:val="0"/>
              <w:spacing w:after="60" w:line="240" w:lineRule="auto"/>
              <w:jc w:val="left"/>
              <w:rPr>
                <w:rFonts w:eastAsia="Times New Roman" w:cs="Arial"/>
                <w:lang w:val="en-US" w:eastAsia="fr-FR"/>
              </w:rPr>
            </w:pPr>
            <w:r w:rsidRPr="009D3012">
              <w:rPr>
                <w:rFonts w:eastAsia="Times New Roman" w:cs="Arial"/>
                <w:lang w:val="en-US" w:eastAsia="fr-FR"/>
              </w:rPr>
              <w:t xml:space="preserve">mean value of the variable </w:t>
            </w:r>
            <w:r w:rsidRPr="009D3012">
              <w:rPr>
                <w:rFonts w:eastAsia="Times New Roman" w:cs="Arial"/>
                <w:i/>
                <w:lang w:val="en-US" w:eastAsia="fr-FR"/>
              </w:rPr>
              <w:t>i</w:t>
            </w:r>
          </w:p>
        </w:tc>
        <w:tc>
          <w:tcPr>
            <w:tcW w:w="1985" w:type="dxa"/>
            <w:tcBorders>
              <w:top w:val="nil"/>
              <w:left w:val="nil"/>
              <w:bottom w:val="nil"/>
              <w:right w:val="nil"/>
            </w:tcBorders>
            <w:shd w:val="clear" w:color="auto" w:fill="auto"/>
          </w:tcPr>
          <w:p w14:paraId="7E1FC6C3" w14:textId="7E7B6020" w:rsidR="0032499B" w:rsidRPr="009D3012" w:rsidRDefault="0032499B" w:rsidP="0056481D">
            <w:pPr>
              <w:widowControl w:val="0"/>
              <w:spacing w:after="0" w:line="240" w:lineRule="auto"/>
              <w:jc w:val="left"/>
              <w:rPr>
                <w:rFonts w:eastAsia="Times New Roman" w:cs="Arial"/>
                <w:spacing w:val="-1"/>
              </w:rPr>
            </w:pPr>
          </w:p>
        </w:tc>
      </w:tr>
      <w:tr w:rsidR="0032499B" w:rsidRPr="001455DC" w14:paraId="763B079B" w14:textId="77777777" w:rsidTr="009D3012">
        <w:tc>
          <w:tcPr>
            <w:tcW w:w="1526" w:type="dxa"/>
            <w:tcBorders>
              <w:top w:val="nil"/>
              <w:left w:val="nil"/>
              <w:bottom w:val="nil"/>
              <w:right w:val="nil"/>
            </w:tcBorders>
            <w:shd w:val="clear" w:color="auto" w:fill="auto"/>
          </w:tcPr>
          <w:p w14:paraId="75CA6DD8" w14:textId="456BFB7F" w:rsidR="0032499B" w:rsidRPr="009D3012" w:rsidRDefault="0032499B" w:rsidP="0056481D">
            <w:pPr>
              <w:widowControl w:val="0"/>
              <w:spacing w:after="60" w:line="240" w:lineRule="auto"/>
              <w:jc w:val="left"/>
              <w:rPr>
                <w:rFonts w:eastAsia="Times New Roman" w:cs="Arial"/>
                <w:lang w:val="en-US" w:eastAsia="fr-FR"/>
              </w:rPr>
            </w:pPr>
            <w:r w:rsidRPr="009D3012">
              <w:rPr>
                <w:rFonts w:eastAsia="Times New Roman" w:cs="Arial"/>
                <w:i/>
                <w:lang w:val="en-US" w:eastAsia="fr-FR"/>
              </w:rPr>
              <w:t>X</w:t>
            </w:r>
            <w:r w:rsidRPr="009D3012">
              <w:rPr>
                <w:rFonts w:eastAsia="Times New Roman" w:cs="Arial"/>
                <w:vertAlign w:val="subscript"/>
                <w:lang w:val="en-US" w:eastAsia="fr-FR"/>
              </w:rPr>
              <w:t>i,k</w:t>
            </w:r>
          </w:p>
        </w:tc>
        <w:tc>
          <w:tcPr>
            <w:tcW w:w="6520" w:type="dxa"/>
            <w:tcBorders>
              <w:top w:val="nil"/>
              <w:left w:val="nil"/>
              <w:bottom w:val="nil"/>
              <w:right w:val="nil"/>
            </w:tcBorders>
            <w:shd w:val="clear" w:color="auto" w:fill="auto"/>
          </w:tcPr>
          <w:p w14:paraId="3FBECC8D" w14:textId="36ADD25D" w:rsidR="0032499B" w:rsidRPr="009D3012" w:rsidRDefault="0032499B" w:rsidP="0056481D">
            <w:pPr>
              <w:widowControl w:val="0"/>
              <w:spacing w:after="60" w:line="240" w:lineRule="auto"/>
              <w:jc w:val="left"/>
              <w:rPr>
                <w:rFonts w:eastAsia="Times New Roman" w:cs="Arial"/>
                <w:lang w:val="en-US" w:eastAsia="fr-FR"/>
              </w:rPr>
            </w:pPr>
            <w:r w:rsidRPr="009D3012">
              <w:rPr>
                <w:rFonts w:eastAsia="Times New Roman" w:cs="Arial"/>
                <w:lang w:val="en-US" w:eastAsia="fr-FR"/>
              </w:rPr>
              <w:t>characteristic or nominal value of the variable i used in a design formula</w:t>
            </w:r>
          </w:p>
        </w:tc>
        <w:tc>
          <w:tcPr>
            <w:tcW w:w="1985" w:type="dxa"/>
            <w:tcBorders>
              <w:top w:val="nil"/>
              <w:left w:val="nil"/>
              <w:bottom w:val="nil"/>
              <w:right w:val="nil"/>
            </w:tcBorders>
            <w:shd w:val="clear" w:color="auto" w:fill="auto"/>
          </w:tcPr>
          <w:p w14:paraId="71E4EBE8" w14:textId="6DB7D04B" w:rsidR="0032499B" w:rsidRPr="009D3012" w:rsidRDefault="0032499B" w:rsidP="0056481D">
            <w:pPr>
              <w:widowControl w:val="0"/>
              <w:spacing w:after="0" w:line="240" w:lineRule="auto"/>
              <w:jc w:val="left"/>
              <w:rPr>
                <w:rFonts w:eastAsia="Times New Roman" w:cs="Arial"/>
                <w:spacing w:val="-1"/>
              </w:rPr>
            </w:pPr>
          </w:p>
        </w:tc>
      </w:tr>
      <w:tr w:rsidR="0032499B" w:rsidRPr="001455DC" w14:paraId="0BA68B5C" w14:textId="77777777" w:rsidTr="009D3012">
        <w:tc>
          <w:tcPr>
            <w:tcW w:w="1526" w:type="dxa"/>
            <w:tcBorders>
              <w:top w:val="nil"/>
              <w:left w:val="nil"/>
              <w:bottom w:val="nil"/>
              <w:right w:val="nil"/>
            </w:tcBorders>
            <w:shd w:val="clear" w:color="auto" w:fill="auto"/>
          </w:tcPr>
          <w:p w14:paraId="519FCDE7" w14:textId="41BC7D51" w:rsidR="0032499B" w:rsidRPr="009D3012" w:rsidRDefault="0032499B" w:rsidP="0056481D">
            <w:pPr>
              <w:widowControl w:val="0"/>
              <w:spacing w:after="60" w:line="240" w:lineRule="auto"/>
              <w:jc w:val="left"/>
              <w:rPr>
                <w:rFonts w:eastAsia="Times New Roman" w:cs="Arial"/>
                <w:lang w:val="en-US" w:eastAsia="fr-FR"/>
              </w:rPr>
            </w:pPr>
            <w:r w:rsidRPr="009D3012">
              <w:rPr>
                <w:rFonts w:eastAsia="Times New Roman" w:cs="Arial"/>
                <w:i/>
                <w:lang w:val="en-US" w:eastAsia="fr-FR"/>
              </w:rPr>
              <w:t>V</w:t>
            </w:r>
            <w:r w:rsidRPr="009D3012">
              <w:rPr>
                <w:rFonts w:eastAsia="Times New Roman" w:cs="Arial"/>
                <w:vertAlign w:val="subscript"/>
                <w:lang w:val="en-US" w:eastAsia="fr-FR"/>
              </w:rPr>
              <w:t>i</w:t>
            </w:r>
          </w:p>
        </w:tc>
        <w:tc>
          <w:tcPr>
            <w:tcW w:w="6520" w:type="dxa"/>
            <w:tcBorders>
              <w:top w:val="nil"/>
              <w:left w:val="nil"/>
              <w:bottom w:val="nil"/>
              <w:right w:val="nil"/>
            </w:tcBorders>
            <w:shd w:val="clear" w:color="auto" w:fill="auto"/>
          </w:tcPr>
          <w:p w14:paraId="7B6EEED3" w14:textId="537B7175" w:rsidR="0032499B" w:rsidRPr="009D3012" w:rsidRDefault="0032499B" w:rsidP="0056481D">
            <w:pPr>
              <w:widowControl w:val="0"/>
              <w:spacing w:after="60" w:line="240" w:lineRule="auto"/>
              <w:jc w:val="left"/>
              <w:rPr>
                <w:rFonts w:eastAsia="Times New Roman" w:cs="Arial"/>
                <w:lang w:val="en-US" w:eastAsia="fr-FR"/>
              </w:rPr>
            </w:pPr>
            <w:r w:rsidRPr="009D3012">
              <w:rPr>
                <w:rFonts w:eastAsia="Times New Roman" w:cs="Arial"/>
                <w:lang w:val="en-US" w:eastAsia="fr-FR"/>
              </w:rPr>
              <w:t xml:space="preserve">coefficient of variation of the variable </w:t>
            </w:r>
            <w:r w:rsidRPr="009D3012">
              <w:rPr>
                <w:rFonts w:eastAsia="Times New Roman" w:cs="Arial"/>
                <w:i/>
                <w:lang w:val="en-US" w:eastAsia="fr-FR"/>
              </w:rPr>
              <w:t>i</w:t>
            </w:r>
          </w:p>
        </w:tc>
        <w:tc>
          <w:tcPr>
            <w:tcW w:w="1985" w:type="dxa"/>
            <w:tcBorders>
              <w:top w:val="nil"/>
              <w:left w:val="nil"/>
              <w:bottom w:val="nil"/>
              <w:right w:val="nil"/>
            </w:tcBorders>
            <w:shd w:val="clear" w:color="auto" w:fill="auto"/>
          </w:tcPr>
          <w:p w14:paraId="7AAAF5D9" w14:textId="1E77F7ED" w:rsidR="0032499B" w:rsidRPr="009D3012" w:rsidRDefault="0032499B" w:rsidP="0056481D">
            <w:pPr>
              <w:widowControl w:val="0"/>
              <w:spacing w:after="0" w:line="240" w:lineRule="auto"/>
              <w:jc w:val="left"/>
              <w:rPr>
                <w:rFonts w:eastAsia="Times New Roman" w:cs="Arial"/>
                <w:spacing w:val="-1"/>
              </w:rPr>
            </w:pPr>
            <w:r w:rsidRPr="009D3012">
              <w:rPr>
                <w:rFonts w:eastAsia="Times New Roman" w:cs="Arial"/>
                <w:spacing w:val="-1"/>
              </w:rPr>
              <w:t>A(3)</w:t>
            </w:r>
          </w:p>
        </w:tc>
      </w:tr>
    </w:tbl>
    <w:p w14:paraId="71D0A05A" w14:textId="106E294B" w:rsidR="0032499B" w:rsidRPr="001353E5" w:rsidRDefault="001353E5" w:rsidP="00E519AB">
      <w:pPr>
        <w:pStyle w:val="p3"/>
        <w:spacing w:before="240" w:after="120"/>
        <w:rPr>
          <w:b/>
        </w:rPr>
      </w:pPr>
      <w:bookmarkStart w:id="91" w:name="_Toc56582369"/>
      <w:bookmarkStart w:id="92" w:name="_Toc56595420"/>
      <w:bookmarkStart w:id="93" w:name="_Toc56582370"/>
      <w:bookmarkStart w:id="94" w:name="_Toc56595421"/>
      <w:bookmarkStart w:id="95" w:name="_Toc56582371"/>
      <w:bookmarkStart w:id="96" w:name="_Toc56595422"/>
      <w:bookmarkStart w:id="97" w:name="_Toc56582372"/>
      <w:bookmarkStart w:id="98" w:name="_Toc56595423"/>
      <w:bookmarkStart w:id="99" w:name="_Toc55828630"/>
      <w:bookmarkStart w:id="100" w:name="_Toc67565285"/>
      <w:bookmarkEnd w:id="91"/>
      <w:bookmarkEnd w:id="92"/>
      <w:bookmarkEnd w:id="93"/>
      <w:bookmarkEnd w:id="94"/>
      <w:bookmarkEnd w:id="95"/>
      <w:bookmarkEnd w:id="96"/>
      <w:bookmarkEnd w:id="97"/>
      <w:bookmarkEnd w:id="98"/>
      <w:r w:rsidRPr="001353E5">
        <w:rPr>
          <w:b/>
        </w:rPr>
        <w:t>3.3.2</w:t>
      </w:r>
      <w:r w:rsidRPr="001353E5">
        <w:rPr>
          <w:b/>
        </w:rPr>
        <w:tab/>
      </w:r>
      <w:r w:rsidR="0032499B" w:rsidRPr="001353E5">
        <w:rPr>
          <w:b/>
        </w:rPr>
        <w:t>Lower upper case letters</w:t>
      </w:r>
      <w:bookmarkEnd w:id="99"/>
      <w:bookmarkEnd w:id="100"/>
    </w:p>
    <w:tbl>
      <w:tblPr>
        <w:tblStyle w:val="Tabellenraster1"/>
        <w:tblW w:w="10031" w:type="dxa"/>
        <w:tblLook w:val="04A0" w:firstRow="1" w:lastRow="0" w:firstColumn="1" w:lastColumn="0" w:noHBand="0" w:noVBand="1"/>
      </w:tblPr>
      <w:tblGrid>
        <w:gridCol w:w="1526"/>
        <w:gridCol w:w="6520"/>
        <w:gridCol w:w="1985"/>
      </w:tblGrid>
      <w:tr w:rsidR="0032499B" w:rsidRPr="001455DC" w14:paraId="437B44E1" w14:textId="77777777" w:rsidTr="009D3012">
        <w:tc>
          <w:tcPr>
            <w:tcW w:w="1526" w:type="dxa"/>
            <w:tcBorders>
              <w:top w:val="nil"/>
              <w:left w:val="nil"/>
              <w:bottom w:val="nil"/>
              <w:right w:val="nil"/>
            </w:tcBorders>
          </w:tcPr>
          <w:p w14:paraId="548C5A27" w14:textId="77777777" w:rsidR="0032499B" w:rsidRPr="009D3012" w:rsidRDefault="0032499B" w:rsidP="0032499B">
            <w:pPr>
              <w:widowControl w:val="0"/>
              <w:spacing w:after="60" w:line="240" w:lineRule="auto"/>
              <w:jc w:val="left"/>
              <w:rPr>
                <w:rFonts w:eastAsia="Times New Roman" w:cs="Arial"/>
                <w:lang w:val="en-US" w:eastAsia="fr-FR"/>
              </w:rPr>
            </w:pPr>
            <w:r w:rsidRPr="009D3012">
              <w:rPr>
                <w:rFonts w:eastAsia="Times New Roman" w:cs="Arial"/>
                <w:i/>
                <w:lang w:val="en-US" w:eastAsia="fr-FR"/>
              </w:rPr>
              <w:t>f</w:t>
            </w:r>
            <w:r w:rsidRPr="009D3012">
              <w:rPr>
                <w:rFonts w:eastAsia="Times New Roman" w:cs="Arial"/>
                <w:vertAlign w:val="subscript"/>
                <w:lang w:val="en-US" w:eastAsia="fr-FR"/>
              </w:rPr>
              <w:t>c,ais</w:t>
            </w:r>
          </w:p>
        </w:tc>
        <w:tc>
          <w:tcPr>
            <w:tcW w:w="6520" w:type="dxa"/>
            <w:tcBorders>
              <w:top w:val="nil"/>
              <w:left w:val="nil"/>
              <w:bottom w:val="nil"/>
              <w:right w:val="nil"/>
            </w:tcBorders>
          </w:tcPr>
          <w:p w14:paraId="276B5D68" w14:textId="77777777" w:rsidR="0032499B" w:rsidRPr="009D3012" w:rsidRDefault="0032499B" w:rsidP="0032499B">
            <w:pPr>
              <w:widowControl w:val="0"/>
              <w:spacing w:after="60" w:line="240" w:lineRule="auto"/>
              <w:jc w:val="left"/>
              <w:rPr>
                <w:rFonts w:eastAsia="Times New Roman" w:cs="Arial"/>
                <w:lang w:val="en-US" w:eastAsia="fr-FR"/>
              </w:rPr>
            </w:pPr>
            <w:r w:rsidRPr="009D3012">
              <w:rPr>
                <w:rFonts w:eastAsia="Times New Roman" w:cs="Arial"/>
                <w:lang w:val="en-US" w:eastAsia="fr-FR"/>
              </w:rPr>
              <w:t>actual in-situ concrete compressive strength in the structure</w:t>
            </w:r>
          </w:p>
        </w:tc>
        <w:tc>
          <w:tcPr>
            <w:tcW w:w="1985" w:type="dxa"/>
            <w:tcBorders>
              <w:top w:val="nil"/>
              <w:left w:val="nil"/>
              <w:bottom w:val="nil"/>
              <w:right w:val="nil"/>
            </w:tcBorders>
          </w:tcPr>
          <w:p w14:paraId="5CEB21C4" w14:textId="77777777" w:rsidR="0032499B" w:rsidRPr="009D3012" w:rsidRDefault="0032499B" w:rsidP="0032499B">
            <w:pPr>
              <w:widowControl w:val="0"/>
              <w:spacing w:after="0" w:line="240" w:lineRule="auto"/>
              <w:jc w:val="left"/>
              <w:rPr>
                <w:rFonts w:eastAsia="Times New Roman" w:cs="Arial"/>
                <w:spacing w:val="-1"/>
              </w:rPr>
            </w:pPr>
            <w:r w:rsidRPr="009D3012">
              <w:rPr>
                <w:rFonts w:eastAsia="Times New Roman" w:cs="Arial"/>
                <w:spacing w:val="-1"/>
              </w:rPr>
              <w:t>A(2)</w:t>
            </w:r>
          </w:p>
        </w:tc>
      </w:tr>
      <w:tr w:rsidR="0032499B" w:rsidRPr="001455DC" w14:paraId="1334084C" w14:textId="77777777" w:rsidTr="009D3012">
        <w:tc>
          <w:tcPr>
            <w:tcW w:w="1526" w:type="dxa"/>
            <w:tcBorders>
              <w:top w:val="nil"/>
              <w:left w:val="nil"/>
              <w:bottom w:val="nil"/>
              <w:right w:val="nil"/>
            </w:tcBorders>
          </w:tcPr>
          <w:p w14:paraId="6B0E3C0F" w14:textId="77777777" w:rsidR="0032499B" w:rsidRPr="009D3012" w:rsidRDefault="0032499B" w:rsidP="0032499B">
            <w:pPr>
              <w:widowControl w:val="0"/>
              <w:spacing w:after="60" w:line="240" w:lineRule="auto"/>
              <w:jc w:val="left"/>
              <w:rPr>
                <w:rFonts w:eastAsia="Times New Roman" w:cs="Arial"/>
                <w:vertAlign w:val="subscript"/>
                <w:lang w:val="en-US" w:eastAsia="fr-FR"/>
              </w:rPr>
            </w:pPr>
            <w:r w:rsidRPr="009D3012">
              <w:rPr>
                <w:rFonts w:eastAsia="Times New Roman" w:cs="Arial"/>
                <w:i/>
                <w:lang w:val="en-US" w:eastAsia="fr-FR"/>
              </w:rPr>
              <w:t>f</w:t>
            </w:r>
            <w:r w:rsidRPr="009D3012">
              <w:rPr>
                <w:rFonts w:eastAsia="Times New Roman" w:cs="Arial"/>
                <w:vertAlign w:val="subscript"/>
                <w:lang w:val="en-US" w:eastAsia="fr-FR"/>
              </w:rPr>
              <w:t>c,is</w:t>
            </w:r>
          </w:p>
          <w:p w14:paraId="1C2300DD" w14:textId="77777777" w:rsidR="0032499B" w:rsidRPr="009D3012" w:rsidRDefault="0032499B" w:rsidP="0032499B">
            <w:pPr>
              <w:widowControl w:val="0"/>
              <w:spacing w:after="60" w:line="240" w:lineRule="auto"/>
              <w:jc w:val="left"/>
              <w:rPr>
                <w:rFonts w:eastAsia="Times New Roman" w:cs="Arial"/>
                <w:lang w:val="en-US" w:eastAsia="fr-FR"/>
              </w:rPr>
            </w:pPr>
          </w:p>
          <w:p w14:paraId="05E4EA0B" w14:textId="77777777" w:rsidR="0032499B" w:rsidRPr="009D3012" w:rsidRDefault="0032499B" w:rsidP="0032499B">
            <w:pPr>
              <w:widowControl w:val="0"/>
              <w:spacing w:after="60" w:line="240" w:lineRule="auto"/>
              <w:jc w:val="left"/>
              <w:rPr>
                <w:rFonts w:eastAsia="Times New Roman" w:cs="Arial"/>
                <w:i/>
                <w:lang w:val="en-US" w:eastAsia="fr-FR"/>
              </w:rPr>
            </w:pPr>
          </w:p>
        </w:tc>
        <w:tc>
          <w:tcPr>
            <w:tcW w:w="6520" w:type="dxa"/>
            <w:tcBorders>
              <w:top w:val="nil"/>
              <w:left w:val="nil"/>
              <w:bottom w:val="nil"/>
              <w:right w:val="nil"/>
            </w:tcBorders>
          </w:tcPr>
          <w:p w14:paraId="6BD42E1A" w14:textId="3022759E" w:rsidR="0032499B" w:rsidRPr="009D3012" w:rsidRDefault="0032499B">
            <w:pPr>
              <w:widowControl w:val="0"/>
              <w:spacing w:after="60" w:line="240" w:lineRule="auto"/>
              <w:jc w:val="left"/>
              <w:rPr>
                <w:rFonts w:eastAsia="Times New Roman" w:cs="Arial"/>
                <w:i/>
                <w:lang w:val="en-US" w:eastAsia="fr-FR"/>
              </w:rPr>
            </w:pPr>
            <w:r w:rsidRPr="009D3012">
              <w:rPr>
                <w:rFonts w:eastAsia="Times New Roman" w:cs="Arial"/>
                <w:lang w:val="en-US" w:eastAsia="fr-FR"/>
              </w:rPr>
              <w:t xml:space="preserve">compressive strength of a core taken at a test location within a structural element or precast concrete component expressed in terms of the strength of a 2:1 core of diameter </w:t>
            </w:r>
            <w:r w:rsidRPr="009D3012">
              <w:rPr>
                <w:rFonts w:eastAsia="Times New Roman" w:cs="Arial"/>
                <w:lang w:val="en-US" w:eastAsia="fr-FR"/>
              </w:rPr>
              <w:sym w:font="Symbol" w:char="F0B3"/>
            </w:r>
            <w:r w:rsidRPr="009D3012">
              <w:rPr>
                <w:rFonts w:eastAsia="Times New Roman" w:cs="Arial"/>
                <w:lang w:val="en-US" w:eastAsia="fr-FR"/>
              </w:rPr>
              <w:t> 75 mm</w:t>
            </w:r>
          </w:p>
        </w:tc>
        <w:tc>
          <w:tcPr>
            <w:tcW w:w="1985" w:type="dxa"/>
            <w:tcBorders>
              <w:top w:val="nil"/>
              <w:left w:val="nil"/>
              <w:bottom w:val="nil"/>
              <w:right w:val="nil"/>
            </w:tcBorders>
          </w:tcPr>
          <w:p w14:paraId="45F99774" w14:textId="77777777" w:rsidR="0032499B" w:rsidRPr="009D3012" w:rsidRDefault="0032499B" w:rsidP="0032499B">
            <w:pPr>
              <w:widowControl w:val="0"/>
              <w:spacing w:after="0" w:line="240" w:lineRule="auto"/>
              <w:jc w:val="left"/>
              <w:rPr>
                <w:rFonts w:eastAsia="Times New Roman" w:cs="Arial"/>
                <w:spacing w:val="-1"/>
              </w:rPr>
            </w:pPr>
            <w:r w:rsidRPr="009D3012">
              <w:rPr>
                <w:rFonts w:eastAsia="Times New Roman" w:cs="Arial"/>
                <w:spacing w:val="-1"/>
              </w:rPr>
              <w:t>A(2)</w:t>
            </w:r>
          </w:p>
        </w:tc>
      </w:tr>
    </w:tbl>
    <w:p w14:paraId="2D2540B4" w14:textId="7CF7BD08" w:rsidR="0032499B" w:rsidRPr="001353E5" w:rsidRDefault="001353E5" w:rsidP="00E519AB">
      <w:pPr>
        <w:pStyle w:val="p3"/>
        <w:spacing w:before="240" w:after="120"/>
        <w:rPr>
          <w:b/>
        </w:rPr>
      </w:pPr>
      <w:bookmarkStart w:id="101" w:name="_Toc55828631"/>
      <w:bookmarkStart w:id="102" w:name="_Toc67565286"/>
      <w:r w:rsidRPr="001353E5">
        <w:rPr>
          <w:b/>
        </w:rPr>
        <w:t>3.3.3</w:t>
      </w:r>
      <w:r w:rsidRPr="001353E5">
        <w:rPr>
          <w:b/>
        </w:rPr>
        <w:tab/>
      </w:r>
      <w:r w:rsidR="0032499B" w:rsidRPr="001353E5">
        <w:rPr>
          <w:b/>
        </w:rPr>
        <w:t>Greek lower case letters</w:t>
      </w:r>
      <w:bookmarkEnd w:id="101"/>
      <w:bookmarkEnd w:id="102"/>
    </w:p>
    <w:tbl>
      <w:tblPr>
        <w:tblStyle w:val="Tabellenraster1"/>
        <w:tblW w:w="10031" w:type="dxa"/>
        <w:tblLook w:val="04A0" w:firstRow="1" w:lastRow="0" w:firstColumn="1" w:lastColumn="0" w:noHBand="0" w:noVBand="1"/>
      </w:tblPr>
      <w:tblGrid>
        <w:gridCol w:w="1526"/>
        <w:gridCol w:w="6520"/>
        <w:gridCol w:w="1985"/>
      </w:tblGrid>
      <w:tr w:rsidR="0032499B" w:rsidRPr="001455DC" w14:paraId="1146CC2E" w14:textId="77777777" w:rsidTr="009D3012">
        <w:tc>
          <w:tcPr>
            <w:tcW w:w="1526" w:type="dxa"/>
            <w:tcBorders>
              <w:top w:val="nil"/>
              <w:left w:val="nil"/>
              <w:bottom w:val="nil"/>
              <w:right w:val="nil"/>
            </w:tcBorders>
          </w:tcPr>
          <w:p w14:paraId="2A867C90" w14:textId="6AD44148" w:rsidR="0032499B" w:rsidRPr="001353E5" w:rsidRDefault="00E519AB" w:rsidP="0032499B">
            <w:pPr>
              <w:widowControl w:val="0"/>
              <w:spacing w:after="60" w:line="240" w:lineRule="auto"/>
              <w:jc w:val="left"/>
              <w:rPr>
                <w:rFonts w:asciiTheme="majorHAnsi" w:eastAsia="Times New Roman" w:hAnsiTheme="majorHAnsi" w:cs="Arial"/>
                <w:lang w:val="en-US" w:eastAsia="fr-FR"/>
              </w:rPr>
            </w:pPr>
            <w:r>
              <w:rPr>
                <w:rFonts w:eastAsia="Times New Roman" w:cs="Arial"/>
                <w:i/>
                <w:lang w:val="en-US" w:eastAsia="fr-FR"/>
              </w:rPr>
              <w:t>μ</w:t>
            </w:r>
            <w:r w:rsidR="0032499B" w:rsidRPr="001353E5">
              <w:rPr>
                <w:rFonts w:asciiTheme="majorHAnsi" w:eastAsia="Times New Roman" w:hAnsiTheme="majorHAnsi" w:cs="Arial"/>
                <w:vertAlign w:val="subscript"/>
                <w:lang w:val="en-US" w:eastAsia="fr-FR"/>
              </w:rPr>
              <w:t>i</w:t>
            </w:r>
          </w:p>
        </w:tc>
        <w:tc>
          <w:tcPr>
            <w:tcW w:w="6520" w:type="dxa"/>
            <w:tcBorders>
              <w:top w:val="nil"/>
              <w:left w:val="nil"/>
              <w:bottom w:val="nil"/>
              <w:right w:val="nil"/>
            </w:tcBorders>
          </w:tcPr>
          <w:p w14:paraId="04656CAB" w14:textId="77777777" w:rsidR="0032499B" w:rsidRPr="001353E5" w:rsidRDefault="0032499B" w:rsidP="000250B6">
            <w:pPr>
              <w:widowControl w:val="0"/>
              <w:spacing w:after="60" w:line="240" w:lineRule="auto"/>
              <w:rPr>
                <w:rFonts w:asciiTheme="majorHAnsi" w:eastAsia="Times New Roman" w:hAnsiTheme="majorHAnsi" w:cs="Arial"/>
                <w:lang w:val="en-US" w:eastAsia="fr-FR"/>
              </w:rPr>
            </w:pPr>
            <w:r w:rsidRPr="001353E5">
              <w:rPr>
                <w:rFonts w:asciiTheme="majorHAnsi" w:eastAsia="Times New Roman" w:hAnsiTheme="majorHAnsi" w:cs="Arial"/>
                <w:lang w:val="en-US" w:eastAsia="fr-FR"/>
              </w:rPr>
              <w:t xml:space="preserve">bias factor of the variable </w:t>
            </w:r>
            <w:r w:rsidRPr="001353E5">
              <w:rPr>
                <w:rFonts w:asciiTheme="majorHAnsi" w:eastAsia="Times New Roman" w:hAnsiTheme="majorHAnsi" w:cs="Arial"/>
                <w:i/>
                <w:lang w:val="en-US" w:eastAsia="fr-FR"/>
              </w:rPr>
              <w:t>i</w:t>
            </w:r>
            <w:r w:rsidRPr="001353E5">
              <w:rPr>
                <w:rFonts w:asciiTheme="majorHAnsi" w:eastAsia="Times New Roman" w:hAnsiTheme="majorHAnsi" w:cs="Arial"/>
                <w:lang w:val="en-US" w:eastAsia="fr-FR"/>
              </w:rPr>
              <w:t xml:space="preserve"> defined as ratio </w:t>
            </w:r>
            <w:r w:rsidRPr="001353E5">
              <w:rPr>
                <w:rFonts w:asciiTheme="majorHAnsi" w:eastAsia="Times New Roman" w:hAnsiTheme="majorHAnsi" w:cs="Arial"/>
                <w:i/>
                <w:lang w:val="en-US" w:eastAsia="fr-FR"/>
              </w:rPr>
              <w:t>X</w:t>
            </w:r>
            <w:r w:rsidRPr="001353E5">
              <w:rPr>
                <w:rFonts w:asciiTheme="majorHAnsi" w:eastAsia="Times New Roman" w:hAnsiTheme="majorHAnsi" w:cs="Arial"/>
                <w:vertAlign w:val="subscript"/>
                <w:lang w:val="en-US" w:eastAsia="fr-FR"/>
              </w:rPr>
              <w:t>i,m</w:t>
            </w:r>
            <w:r w:rsidRPr="001353E5">
              <w:rPr>
                <w:rFonts w:asciiTheme="majorHAnsi" w:eastAsia="Times New Roman" w:hAnsiTheme="majorHAnsi" w:cs="Arial"/>
                <w:lang w:val="en-US" w:eastAsia="fr-FR"/>
              </w:rPr>
              <w:t xml:space="preserve"> / </w:t>
            </w:r>
            <w:r w:rsidRPr="001353E5">
              <w:rPr>
                <w:rFonts w:asciiTheme="majorHAnsi" w:eastAsia="Times New Roman" w:hAnsiTheme="majorHAnsi" w:cs="Arial"/>
                <w:i/>
                <w:lang w:val="en-US" w:eastAsia="fr-FR"/>
              </w:rPr>
              <w:t>X</w:t>
            </w:r>
            <w:r w:rsidRPr="001353E5">
              <w:rPr>
                <w:rFonts w:asciiTheme="majorHAnsi" w:eastAsia="Times New Roman" w:hAnsiTheme="majorHAnsi" w:cs="Arial"/>
                <w:vertAlign w:val="subscript"/>
                <w:lang w:val="en-US" w:eastAsia="fr-FR"/>
              </w:rPr>
              <w:t>i,k</w:t>
            </w:r>
          </w:p>
        </w:tc>
        <w:tc>
          <w:tcPr>
            <w:tcW w:w="1985" w:type="dxa"/>
            <w:tcBorders>
              <w:top w:val="nil"/>
              <w:left w:val="nil"/>
              <w:bottom w:val="nil"/>
              <w:right w:val="nil"/>
            </w:tcBorders>
          </w:tcPr>
          <w:p w14:paraId="4206931E" w14:textId="77777777" w:rsidR="0032499B" w:rsidRPr="009D3012" w:rsidRDefault="0032499B" w:rsidP="0032499B">
            <w:pPr>
              <w:widowControl w:val="0"/>
              <w:spacing w:after="0" w:line="240" w:lineRule="auto"/>
              <w:jc w:val="left"/>
              <w:rPr>
                <w:rFonts w:ascii="Arial" w:eastAsia="Times New Roman" w:hAnsi="Arial" w:cs="Arial"/>
                <w:spacing w:val="-1"/>
                <w:sz w:val="20"/>
                <w:szCs w:val="20"/>
              </w:rPr>
            </w:pPr>
          </w:p>
        </w:tc>
      </w:tr>
      <w:tr w:rsidR="0032499B" w:rsidRPr="001455DC" w14:paraId="0CA78A41" w14:textId="77777777" w:rsidTr="009D3012">
        <w:tc>
          <w:tcPr>
            <w:tcW w:w="1526" w:type="dxa"/>
            <w:tcBorders>
              <w:top w:val="nil"/>
              <w:left w:val="nil"/>
              <w:bottom w:val="nil"/>
              <w:right w:val="nil"/>
            </w:tcBorders>
          </w:tcPr>
          <w:p w14:paraId="6413B1DD" w14:textId="77777777" w:rsidR="0032499B" w:rsidRPr="001353E5" w:rsidRDefault="0032499B" w:rsidP="0032499B">
            <w:pPr>
              <w:widowControl w:val="0"/>
              <w:spacing w:after="60" w:line="240" w:lineRule="auto"/>
              <w:jc w:val="left"/>
              <w:rPr>
                <w:rFonts w:asciiTheme="majorHAnsi" w:eastAsia="Times New Roman" w:hAnsiTheme="majorHAnsi" w:cs="Arial"/>
                <w:lang w:val="en-US" w:eastAsia="fr-FR"/>
              </w:rPr>
            </w:pPr>
            <w:r w:rsidRPr="001353E5">
              <w:rPr>
                <w:rFonts w:asciiTheme="majorHAnsi" w:eastAsia="Times New Roman" w:hAnsiTheme="majorHAnsi" w:cs="Arial"/>
                <w:i/>
                <w:lang w:val="en-US" w:eastAsia="fr-FR"/>
              </w:rPr>
              <w:sym w:font="Symbol" w:char="F068"/>
            </w:r>
            <w:r w:rsidRPr="001353E5">
              <w:rPr>
                <w:rFonts w:asciiTheme="majorHAnsi" w:eastAsia="Times New Roman" w:hAnsiTheme="majorHAnsi" w:cs="Arial"/>
                <w:vertAlign w:val="subscript"/>
                <w:lang w:val="en-US" w:eastAsia="fr-FR"/>
              </w:rPr>
              <w:t>is</w:t>
            </w:r>
          </w:p>
        </w:tc>
        <w:tc>
          <w:tcPr>
            <w:tcW w:w="6520" w:type="dxa"/>
            <w:tcBorders>
              <w:top w:val="nil"/>
              <w:left w:val="nil"/>
              <w:bottom w:val="nil"/>
              <w:right w:val="nil"/>
            </w:tcBorders>
          </w:tcPr>
          <w:p w14:paraId="629B4B1E" w14:textId="77777777" w:rsidR="0032499B" w:rsidRPr="001353E5" w:rsidRDefault="0032499B" w:rsidP="000250B6">
            <w:pPr>
              <w:widowControl w:val="0"/>
              <w:spacing w:after="60" w:line="240" w:lineRule="auto"/>
              <w:rPr>
                <w:rFonts w:asciiTheme="majorHAnsi" w:eastAsia="Times New Roman" w:hAnsiTheme="majorHAnsi" w:cs="Arial"/>
                <w:lang w:val="en-US" w:eastAsia="fr-FR"/>
              </w:rPr>
            </w:pPr>
            <w:r w:rsidRPr="001353E5">
              <w:rPr>
                <w:rFonts w:asciiTheme="majorHAnsi" w:eastAsia="Times New Roman" w:hAnsiTheme="majorHAnsi" w:cs="Arial"/>
                <w:lang w:val="en-US" w:eastAsia="fr-FR"/>
              </w:rPr>
              <w:t xml:space="preserve">in-situ factor of the concrete compressive strength defined as ratio </w:t>
            </w:r>
            <w:r w:rsidRPr="001353E5">
              <w:rPr>
                <w:rFonts w:asciiTheme="majorHAnsi" w:eastAsia="Times New Roman" w:hAnsiTheme="majorHAnsi" w:cs="Arial"/>
                <w:i/>
                <w:lang w:val="en-US" w:eastAsia="fr-FR"/>
              </w:rPr>
              <w:t>f</w:t>
            </w:r>
            <w:r w:rsidRPr="001353E5">
              <w:rPr>
                <w:rFonts w:asciiTheme="majorHAnsi" w:eastAsia="Times New Roman" w:hAnsiTheme="majorHAnsi" w:cs="Arial"/>
                <w:vertAlign w:val="subscript"/>
                <w:lang w:val="en-US" w:eastAsia="fr-FR"/>
              </w:rPr>
              <w:t>c,ais</w:t>
            </w:r>
            <w:r w:rsidRPr="001353E5">
              <w:rPr>
                <w:rFonts w:asciiTheme="majorHAnsi" w:eastAsia="Times New Roman" w:hAnsiTheme="majorHAnsi" w:cs="Arial"/>
                <w:lang w:val="en-US" w:eastAsia="fr-FR"/>
              </w:rPr>
              <w:t xml:space="preserve"> / </w:t>
            </w:r>
            <w:r w:rsidRPr="001353E5">
              <w:rPr>
                <w:rFonts w:asciiTheme="majorHAnsi" w:eastAsia="Times New Roman" w:hAnsiTheme="majorHAnsi" w:cs="Arial"/>
                <w:i/>
                <w:lang w:val="en-US" w:eastAsia="fr-FR"/>
              </w:rPr>
              <w:t>f</w:t>
            </w:r>
            <w:r w:rsidRPr="001353E5">
              <w:rPr>
                <w:rFonts w:asciiTheme="majorHAnsi" w:eastAsia="Times New Roman" w:hAnsiTheme="majorHAnsi" w:cs="Arial"/>
                <w:vertAlign w:val="subscript"/>
                <w:lang w:val="en-US" w:eastAsia="fr-FR"/>
              </w:rPr>
              <w:t>c</w:t>
            </w:r>
          </w:p>
        </w:tc>
        <w:tc>
          <w:tcPr>
            <w:tcW w:w="1985" w:type="dxa"/>
            <w:tcBorders>
              <w:top w:val="nil"/>
              <w:left w:val="nil"/>
              <w:bottom w:val="nil"/>
              <w:right w:val="nil"/>
            </w:tcBorders>
          </w:tcPr>
          <w:p w14:paraId="7A9DA3F3" w14:textId="0929B085" w:rsidR="0032499B" w:rsidRPr="009D3012" w:rsidRDefault="0032499B" w:rsidP="0032499B">
            <w:pPr>
              <w:widowControl w:val="0"/>
              <w:spacing w:after="60" w:line="240" w:lineRule="auto"/>
              <w:jc w:val="left"/>
              <w:rPr>
                <w:rFonts w:ascii="Arial" w:eastAsia="Times New Roman" w:hAnsi="Arial"/>
                <w:sz w:val="18"/>
                <w:szCs w:val="18"/>
                <w:lang w:val="en-US" w:eastAsia="fr-FR"/>
              </w:rPr>
            </w:pPr>
          </w:p>
        </w:tc>
      </w:tr>
    </w:tbl>
    <w:p w14:paraId="33DC9726" w14:textId="601F455F" w:rsidR="0032499B" w:rsidRPr="009D3012" w:rsidRDefault="0032499B" w:rsidP="000250B6">
      <w:pPr>
        <w:pStyle w:val="21"/>
        <w:keepLines/>
      </w:pPr>
      <w:bookmarkStart w:id="103" w:name="_Toc55828632"/>
      <w:bookmarkStart w:id="104" w:name="_Toc67565287"/>
      <w:r w:rsidRPr="009D3012">
        <w:t>Symbols in Annex I</w:t>
      </w:r>
      <w:bookmarkEnd w:id="103"/>
      <w:bookmarkEnd w:id="104"/>
      <w:r w:rsidRPr="009D3012">
        <w:t xml:space="preserve"> </w:t>
      </w:r>
      <w:bookmarkStart w:id="105" w:name="_Toc55828633"/>
    </w:p>
    <w:p w14:paraId="692A05C0" w14:textId="5437D51E" w:rsidR="0056481D" w:rsidRPr="001353E5" w:rsidRDefault="001353E5" w:rsidP="000250B6">
      <w:pPr>
        <w:pStyle w:val="p3"/>
        <w:keepNext/>
        <w:keepLines/>
        <w:rPr>
          <w:b/>
        </w:rPr>
      </w:pPr>
      <w:bookmarkStart w:id="106" w:name="_Toc67565288"/>
      <w:r w:rsidRPr="001353E5">
        <w:rPr>
          <w:b/>
        </w:rPr>
        <w:t>3.4.1</w:t>
      </w:r>
      <w:r w:rsidRPr="001353E5">
        <w:rPr>
          <w:b/>
        </w:rPr>
        <w:tab/>
      </w:r>
      <w:r w:rsidR="0032499B" w:rsidRPr="001353E5">
        <w:rPr>
          <w:b/>
        </w:rPr>
        <w:t>Latin upper case letters</w:t>
      </w:r>
      <w:bookmarkEnd w:id="105"/>
      <w:bookmarkEnd w:id="106"/>
      <w:r w:rsidR="0032499B" w:rsidRPr="001353E5">
        <w:rPr>
          <w:b/>
        </w:rPr>
        <w:t xml:space="preserve"> </w:t>
      </w:r>
    </w:p>
    <w:tbl>
      <w:tblPr>
        <w:tblStyle w:val="Tabellenraster1"/>
        <w:tblW w:w="10031" w:type="dxa"/>
        <w:tblLook w:val="04A0" w:firstRow="1" w:lastRow="0" w:firstColumn="1" w:lastColumn="0" w:noHBand="0" w:noVBand="1"/>
      </w:tblPr>
      <w:tblGrid>
        <w:gridCol w:w="1526"/>
        <w:gridCol w:w="6520"/>
        <w:gridCol w:w="1985"/>
      </w:tblGrid>
      <w:tr w:rsidR="0032499B" w:rsidRPr="001455DC" w14:paraId="171A4933" w14:textId="77777777" w:rsidTr="009D3012">
        <w:tc>
          <w:tcPr>
            <w:tcW w:w="1526" w:type="dxa"/>
            <w:tcBorders>
              <w:top w:val="nil"/>
              <w:left w:val="nil"/>
              <w:bottom w:val="nil"/>
              <w:right w:val="nil"/>
            </w:tcBorders>
            <w:shd w:val="clear" w:color="auto" w:fill="auto"/>
          </w:tcPr>
          <w:p w14:paraId="4D64B8EE" w14:textId="70D5FD29" w:rsidR="0032499B" w:rsidRPr="009D3012" w:rsidRDefault="0032499B" w:rsidP="0056481D">
            <w:pPr>
              <w:widowControl w:val="0"/>
              <w:tabs>
                <w:tab w:val="left" w:pos="6979"/>
              </w:tabs>
              <w:spacing w:after="0" w:line="240" w:lineRule="auto"/>
              <w:ind w:left="1307" w:hanging="1276"/>
              <w:jc w:val="left"/>
              <w:rPr>
                <w:rFonts w:eastAsia="Times New Roman" w:cs="Arial"/>
                <w:i/>
                <w:spacing w:val="-1"/>
              </w:rPr>
            </w:pPr>
            <w:r w:rsidRPr="009D3012">
              <w:rPr>
                <w:rFonts w:eastAsia="Times New Roman" w:cs="Arial"/>
                <w:i/>
                <w:spacing w:val="-1"/>
              </w:rPr>
              <w:t>AAR</w:t>
            </w:r>
          </w:p>
        </w:tc>
        <w:tc>
          <w:tcPr>
            <w:tcW w:w="6520" w:type="dxa"/>
            <w:tcBorders>
              <w:top w:val="nil"/>
              <w:left w:val="nil"/>
              <w:bottom w:val="nil"/>
              <w:right w:val="nil"/>
            </w:tcBorders>
            <w:shd w:val="clear" w:color="auto" w:fill="auto"/>
          </w:tcPr>
          <w:p w14:paraId="1DF6D294" w14:textId="59717658" w:rsidR="0032499B" w:rsidRPr="009D3012" w:rsidRDefault="0032499B" w:rsidP="009D3012">
            <w:pPr>
              <w:widowControl w:val="0"/>
              <w:tabs>
                <w:tab w:val="left" w:pos="6979"/>
              </w:tabs>
              <w:spacing w:after="0" w:line="240" w:lineRule="auto"/>
              <w:jc w:val="left"/>
              <w:rPr>
                <w:rFonts w:eastAsia="Times New Roman" w:cs="Arial"/>
                <w:i/>
                <w:spacing w:val="-1"/>
              </w:rPr>
            </w:pPr>
            <w:r w:rsidRPr="009D3012">
              <w:rPr>
                <w:rFonts w:eastAsia="Times New Roman" w:cs="Arial"/>
                <w:spacing w:val="-1"/>
              </w:rPr>
              <w:t>Alkali-aggregate reaction</w:t>
            </w:r>
          </w:p>
        </w:tc>
        <w:tc>
          <w:tcPr>
            <w:tcW w:w="1985" w:type="dxa"/>
            <w:tcBorders>
              <w:top w:val="nil"/>
              <w:left w:val="nil"/>
              <w:bottom w:val="nil"/>
              <w:right w:val="nil"/>
            </w:tcBorders>
            <w:shd w:val="clear" w:color="auto" w:fill="auto"/>
          </w:tcPr>
          <w:p w14:paraId="2C175B67" w14:textId="340E44D1" w:rsidR="0032499B" w:rsidRPr="009D3012" w:rsidRDefault="00DE701C" w:rsidP="0056481D">
            <w:pPr>
              <w:widowControl w:val="0"/>
              <w:spacing w:after="0" w:line="240" w:lineRule="auto"/>
              <w:jc w:val="left"/>
              <w:rPr>
                <w:rFonts w:eastAsia="Times New Roman" w:cs="Arial"/>
                <w:spacing w:val="-1"/>
              </w:rPr>
            </w:pPr>
            <w:r w:rsidRPr="009D3012">
              <w:rPr>
                <w:rFonts w:eastAsia="Times New Roman" w:cs="Arial"/>
                <w:spacing w:val="-1"/>
              </w:rPr>
              <w:t>I.4.1.2</w:t>
            </w:r>
          </w:p>
        </w:tc>
      </w:tr>
      <w:tr w:rsidR="0032499B" w:rsidRPr="001455DC" w14:paraId="1E1F8C23" w14:textId="77777777" w:rsidTr="009D3012">
        <w:tc>
          <w:tcPr>
            <w:tcW w:w="1526" w:type="dxa"/>
            <w:tcBorders>
              <w:top w:val="nil"/>
              <w:left w:val="nil"/>
              <w:bottom w:val="nil"/>
              <w:right w:val="nil"/>
            </w:tcBorders>
            <w:shd w:val="clear" w:color="auto" w:fill="auto"/>
          </w:tcPr>
          <w:p w14:paraId="6676E7A4" w14:textId="741CB9BE" w:rsidR="0032499B" w:rsidRPr="001353E5" w:rsidRDefault="00231E33" w:rsidP="00046D2A">
            <w:pPr>
              <w:widowControl w:val="0"/>
              <w:tabs>
                <w:tab w:val="left" w:pos="6979"/>
              </w:tabs>
              <w:spacing w:after="0" w:line="240" w:lineRule="auto"/>
              <w:jc w:val="left"/>
              <w:rPr>
                <w:rFonts w:eastAsia="Times New Roman" w:cs="Arial"/>
                <w:i/>
                <w:spacing w:val="-1"/>
              </w:rPr>
            </w:pPr>
            <m:oMathPara>
              <m:oMathParaPr>
                <m:jc m:val="left"/>
              </m:oMathParaPr>
              <m:oMath>
                <m:sSub>
                  <m:sSubPr>
                    <m:ctrlPr>
                      <w:rPr>
                        <w:rFonts w:ascii="Cambria Math" w:eastAsia="Times New Roman" w:hAnsi="Cambria Math" w:cs="Arial"/>
                        <w:i/>
                        <w:spacing w:val="-1"/>
                      </w:rPr>
                    </m:ctrlPr>
                  </m:sSubPr>
                  <m:e>
                    <m:r>
                      <w:rPr>
                        <w:rFonts w:ascii="Cambria Math" w:eastAsia="Times New Roman" w:hAnsi="Cambria Math" w:cs="Arial"/>
                        <w:spacing w:val="-1"/>
                      </w:rPr>
                      <m:t>A</m:t>
                    </m:r>
                  </m:e>
                  <m:sub>
                    <m:r>
                      <w:rPr>
                        <w:rFonts w:ascii="Cambria Math" w:eastAsia="Times New Roman" w:hAnsi="Cambria Math" w:cs="Arial"/>
                        <w:spacing w:val="-1"/>
                      </w:rPr>
                      <m:t>sq</m:t>
                    </m:r>
                  </m:sub>
                </m:sSub>
              </m:oMath>
            </m:oMathPara>
          </w:p>
        </w:tc>
        <w:tc>
          <w:tcPr>
            <w:tcW w:w="6520" w:type="dxa"/>
            <w:tcBorders>
              <w:top w:val="nil"/>
              <w:left w:val="nil"/>
              <w:bottom w:val="nil"/>
              <w:right w:val="nil"/>
            </w:tcBorders>
            <w:shd w:val="clear" w:color="auto" w:fill="auto"/>
          </w:tcPr>
          <w:p w14:paraId="0529F593" w14:textId="51ACFAC2" w:rsidR="0032499B" w:rsidRPr="009D3012" w:rsidRDefault="0032499B" w:rsidP="009D3012">
            <w:pPr>
              <w:widowControl w:val="0"/>
              <w:tabs>
                <w:tab w:val="left" w:pos="6979"/>
              </w:tabs>
              <w:spacing w:after="0" w:line="240" w:lineRule="auto"/>
              <w:jc w:val="left"/>
              <w:rPr>
                <w:rFonts w:eastAsia="Times New Roman" w:cs="Arial"/>
                <w:i/>
                <w:spacing w:val="-1"/>
              </w:rPr>
            </w:pPr>
            <w:r w:rsidRPr="009D3012">
              <w:rPr>
                <w:rFonts w:eastAsia="Times New Roman" w:cs="Arial"/>
                <w:spacing w:val="-1"/>
              </w:rPr>
              <w:t>Area of the cross section of a square section plain bar</w:t>
            </w:r>
          </w:p>
        </w:tc>
        <w:tc>
          <w:tcPr>
            <w:tcW w:w="1985" w:type="dxa"/>
            <w:tcBorders>
              <w:top w:val="nil"/>
              <w:left w:val="nil"/>
              <w:bottom w:val="nil"/>
              <w:right w:val="nil"/>
            </w:tcBorders>
            <w:shd w:val="clear" w:color="auto" w:fill="auto"/>
          </w:tcPr>
          <w:p w14:paraId="7AA16EAB" w14:textId="5C45E9A6" w:rsidR="0032499B" w:rsidRPr="009D3012" w:rsidRDefault="00EC2544" w:rsidP="0056481D">
            <w:pPr>
              <w:widowControl w:val="0"/>
              <w:spacing w:after="0" w:line="240" w:lineRule="auto"/>
              <w:jc w:val="left"/>
              <w:rPr>
                <w:rFonts w:eastAsia="Times New Roman" w:cs="Arial"/>
                <w:spacing w:val="-1"/>
              </w:rPr>
            </w:pPr>
            <w:r w:rsidRPr="009D3012">
              <w:rPr>
                <w:rFonts w:eastAsia="Times New Roman" w:cs="Arial"/>
                <w:spacing w:val="-1"/>
              </w:rPr>
              <w:t>I.11.4.1</w:t>
            </w:r>
            <w:r w:rsidR="0032499B" w:rsidRPr="009D3012">
              <w:rPr>
                <w:rFonts w:eastAsia="Times New Roman" w:cs="Arial"/>
                <w:spacing w:val="-1"/>
              </w:rPr>
              <w:t xml:space="preserve">(4) </w:t>
            </w:r>
          </w:p>
        </w:tc>
      </w:tr>
      <w:tr w:rsidR="0032499B" w:rsidRPr="001455DC" w14:paraId="1260D18A" w14:textId="77777777" w:rsidTr="009D3012">
        <w:tc>
          <w:tcPr>
            <w:tcW w:w="1526" w:type="dxa"/>
            <w:tcBorders>
              <w:top w:val="nil"/>
              <w:left w:val="nil"/>
              <w:bottom w:val="nil"/>
              <w:right w:val="nil"/>
            </w:tcBorders>
            <w:shd w:val="clear" w:color="auto" w:fill="auto"/>
          </w:tcPr>
          <w:p w14:paraId="3B4FD17D" w14:textId="45098F8E" w:rsidR="0032499B" w:rsidRPr="009D3012" w:rsidRDefault="0032499B" w:rsidP="00046D2A">
            <w:pPr>
              <w:widowControl w:val="0"/>
              <w:tabs>
                <w:tab w:val="left" w:pos="6979"/>
              </w:tabs>
              <w:spacing w:after="0" w:line="240" w:lineRule="auto"/>
              <w:ind w:left="1307" w:hanging="1276"/>
              <w:jc w:val="left"/>
              <w:rPr>
                <w:rFonts w:eastAsia="Times New Roman"/>
                <w:spacing w:val="-1"/>
              </w:rPr>
            </w:pPr>
            <w:r w:rsidRPr="009D3012">
              <w:rPr>
                <w:rFonts w:eastAsia="Times New Roman" w:cs="Arial"/>
                <w:i/>
                <w:spacing w:val="-1"/>
              </w:rPr>
              <w:t>DEF</w:t>
            </w:r>
          </w:p>
        </w:tc>
        <w:tc>
          <w:tcPr>
            <w:tcW w:w="6520" w:type="dxa"/>
            <w:tcBorders>
              <w:top w:val="nil"/>
              <w:left w:val="nil"/>
              <w:bottom w:val="nil"/>
              <w:right w:val="nil"/>
            </w:tcBorders>
            <w:shd w:val="clear" w:color="auto" w:fill="auto"/>
          </w:tcPr>
          <w:p w14:paraId="06DA3E11" w14:textId="0B6BE3A9" w:rsidR="0032499B" w:rsidRPr="009D3012" w:rsidRDefault="0032499B" w:rsidP="009D3012">
            <w:pPr>
              <w:widowControl w:val="0"/>
              <w:tabs>
                <w:tab w:val="left" w:pos="6979"/>
              </w:tabs>
              <w:spacing w:after="0" w:line="240" w:lineRule="auto"/>
              <w:jc w:val="left"/>
              <w:rPr>
                <w:rFonts w:eastAsia="Times New Roman"/>
                <w:spacing w:val="-1"/>
              </w:rPr>
            </w:pPr>
            <w:r w:rsidRPr="009D3012">
              <w:rPr>
                <w:rFonts w:eastAsia="Times New Roman" w:cs="Arial"/>
                <w:spacing w:val="-1"/>
              </w:rPr>
              <w:t>Delayed ettringite formation</w:t>
            </w:r>
          </w:p>
        </w:tc>
        <w:tc>
          <w:tcPr>
            <w:tcW w:w="1985" w:type="dxa"/>
            <w:tcBorders>
              <w:top w:val="nil"/>
              <w:left w:val="nil"/>
              <w:bottom w:val="nil"/>
              <w:right w:val="nil"/>
            </w:tcBorders>
            <w:shd w:val="clear" w:color="auto" w:fill="auto"/>
          </w:tcPr>
          <w:p w14:paraId="002479C9" w14:textId="5CC6FE41" w:rsidR="0032499B" w:rsidRPr="009D3012" w:rsidRDefault="0032499B" w:rsidP="0056481D">
            <w:pPr>
              <w:widowControl w:val="0"/>
              <w:spacing w:after="0" w:line="240" w:lineRule="auto"/>
              <w:jc w:val="left"/>
              <w:rPr>
                <w:rFonts w:eastAsia="Times New Roman" w:cs="Arial"/>
                <w:spacing w:val="-1"/>
              </w:rPr>
            </w:pPr>
            <w:r w:rsidRPr="009D3012">
              <w:rPr>
                <w:rFonts w:eastAsia="Times New Roman" w:cs="Arial"/>
                <w:spacing w:val="-1"/>
              </w:rPr>
              <w:t>I.4.1</w:t>
            </w:r>
            <w:r w:rsidR="00EC2544" w:rsidRPr="009D3012">
              <w:rPr>
                <w:rFonts w:eastAsia="Times New Roman" w:cs="Arial"/>
                <w:spacing w:val="-1"/>
              </w:rPr>
              <w:t>.2</w:t>
            </w:r>
            <w:r w:rsidRPr="009D3012">
              <w:rPr>
                <w:rFonts w:eastAsia="Times New Roman" w:cs="Arial"/>
                <w:spacing w:val="-1"/>
              </w:rPr>
              <w:t xml:space="preserve"> </w:t>
            </w:r>
          </w:p>
        </w:tc>
      </w:tr>
      <w:tr w:rsidR="0032499B" w:rsidRPr="001455DC" w14:paraId="6BB28378" w14:textId="77777777" w:rsidTr="009D3012">
        <w:tc>
          <w:tcPr>
            <w:tcW w:w="1526" w:type="dxa"/>
            <w:tcBorders>
              <w:top w:val="nil"/>
              <w:left w:val="nil"/>
              <w:bottom w:val="nil"/>
              <w:right w:val="nil"/>
            </w:tcBorders>
            <w:shd w:val="clear" w:color="auto" w:fill="auto"/>
          </w:tcPr>
          <w:p w14:paraId="2753537B" w14:textId="1368CA35" w:rsidR="0032499B" w:rsidRPr="001353E5" w:rsidRDefault="00231E33" w:rsidP="001353E5">
            <w:pPr>
              <w:widowControl w:val="0"/>
              <w:tabs>
                <w:tab w:val="left" w:pos="6979"/>
              </w:tabs>
              <w:spacing w:after="0" w:line="240" w:lineRule="auto"/>
              <w:ind w:left="1307" w:hanging="1276"/>
              <w:jc w:val="left"/>
              <w:rPr>
                <w:rFonts w:eastAsia="Times New Roman" w:cs="Arial"/>
                <w:i/>
                <w:spacing w:val="-1"/>
              </w:rPr>
            </w:pPr>
            <m:oMathPara>
              <m:oMathParaPr>
                <m:jc m:val="left"/>
              </m:oMathParaPr>
              <m:oMath>
                <m:sSub>
                  <m:sSubPr>
                    <m:ctrlPr>
                      <w:rPr>
                        <w:rFonts w:ascii="Cambria Math" w:eastAsia="Times New Roman" w:hAnsi="Cambria Math" w:cs="Arial"/>
                        <w:i/>
                        <w:spacing w:val="-1"/>
                      </w:rPr>
                    </m:ctrlPr>
                  </m:sSubPr>
                  <m:e>
                    <m:r>
                      <w:rPr>
                        <w:rFonts w:ascii="Cambria Math" w:eastAsia="Times New Roman" w:hAnsi="Cambria Math" w:cs="Arial"/>
                        <w:spacing w:val="-1"/>
                      </w:rPr>
                      <m:t>P</m:t>
                    </m:r>
                  </m:e>
                  <m:sub>
                    <m:r>
                      <w:rPr>
                        <w:rFonts w:ascii="Cambria Math" w:eastAsia="Times New Roman" w:hAnsi="Cambria Math" w:cs="Arial"/>
                        <w:spacing w:val="-1"/>
                      </w:rPr>
                      <m:t>x</m:t>
                    </m:r>
                  </m:sub>
                </m:sSub>
              </m:oMath>
            </m:oMathPara>
          </w:p>
        </w:tc>
        <w:tc>
          <w:tcPr>
            <w:tcW w:w="6520" w:type="dxa"/>
            <w:tcBorders>
              <w:top w:val="nil"/>
              <w:left w:val="nil"/>
              <w:bottom w:val="nil"/>
              <w:right w:val="nil"/>
            </w:tcBorders>
            <w:shd w:val="clear" w:color="auto" w:fill="auto"/>
          </w:tcPr>
          <w:p w14:paraId="22701E46" w14:textId="4A074181" w:rsidR="0032499B" w:rsidRPr="009D3012" w:rsidRDefault="0032499B" w:rsidP="009D3012">
            <w:pPr>
              <w:widowControl w:val="0"/>
              <w:tabs>
                <w:tab w:val="left" w:pos="6979"/>
              </w:tabs>
              <w:spacing w:after="0" w:line="240" w:lineRule="auto"/>
              <w:jc w:val="left"/>
              <w:rPr>
                <w:rFonts w:eastAsia="Times New Roman" w:cs="Arial"/>
                <w:i/>
                <w:spacing w:val="-1"/>
              </w:rPr>
            </w:pPr>
            <w:r w:rsidRPr="009D3012">
              <w:rPr>
                <w:rFonts w:eastAsia="Times New Roman" w:cs="Arial"/>
                <w:spacing w:val="-1"/>
              </w:rPr>
              <w:t>Corrosion penetration depth</w:t>
            </w:r>
          </w:p>
        </w:tc>
        <w:tc>
          <w:tcPr>
            <w:tcW w:w="1985" w:type="dxa"/>
            <w:tcBorders>
              <w:top w:val="nil"/>
              <w:left w:val="nil"/>
              <w:bottom w:val="nil"/>
              <w:right w:val="nil"/>
            </w:tcBorders>
            <w:shd w:val="clear" w:color="auto" w:fill="auto"/>
          </w:tcPr>
          <w:p w14:paraId="42B66E4E" w14:textId="6A9D6760" w:rsidR="0032499B" w:rsidRPr="009D3012" w:rsidRDefault="00EC2544" w:rsidP="0056481D">
            <w:pPr>
              <w:widowControl w:val="0"/>
              <w:spacing w:after="0" w:line="240" w:lineRule="auto"/>
              <w:jc w:val="left"/>
              <w:rPr>
                <w:rFonts w:eastAsia="Times New Roman" w:cs="Arial"/>
                <w:spacing w:val="-1"/>
              </w:rPr>
            </w:pPr>
            <w:r w:rsidRPr="009D3012">
              <w:rPr>
                <w:rFonts w:eastAsia="Times New Roman" w:cs="Arial"/>
                <w:spacing w:val="-1"/>
              </w:rPr>
              <w:t>I.8.1</w:t>
            </w:r>
          </w:p>
        </w:tc>
      </w:tr>
      <w:tr w:rsidR="0032499B" w:rsidRPr="001455DC" w14:paraId="37076D25" w14:textId="77777777" w:rsidTr="009D3012">
        <w:tc>
          <w:tcPr>
            <w:tcW w:w="1526" w:type="dxa"/>
            <w:tcBorders>
              <w:top w:val="nil"/>
              <w:left w:val="nil"/>
              <w:bottom w:val="nil"/>
              <w:right w:val="nil"/>
            </w:tcBorders>
            <w:shd w:val="clear" w:color="auto" w:fill="auto"/>
          </w:tcPr>
          <w:p w14:paraId="3A6A8A54" w14:textId="00CD8769" w:rsidR="0032499B" w:rsidRPr="001353E5" w:rsidRDefault="00231E33" w:rsidP="001353E5">
            <w:pPr>
              <w:widowControl w:val="0"/>
              <w:tabs>
                <w:tab w:val="left" w:pos="6979"/>
              </w:tabs>
              <w:spacing w:after="0" w:line="240" w:lineRule="auto"/>
              <w:ind w:left="1307" w:hanging="1276"/>
              <w:jc w:val="left"/>
              <w:rPr>
                <w:rFonts w:eastAsia="Times New Roman" w:cs="Arial"/>
                <w:i/>
                <w:spacing w:val="-1"/>
              </w:rPr>
            </w:pPr>
            <m:oMathPara>
              <m:oMathParaPr>
                <m:jc m:val="left"/>
              </m:oMathParaPr>
              <m:oMath>
                <m:sSub>
                  <m:sSubPr>
                    <m:ctrlPr>
                      <w:rPr>
                        <w:rFonts w:ascii="Cambria Math" w:eastAsia="Times New Roman" w:hAnsi="Cambria Math"/>
                        <w:i/>
                        <w:lang w:eastAsia="fr-FR"/>
                      </w:rPr>
                    </m:ctrlPr>
                  </m:sSubPr>
                  <m:e>
                    <m:r>
                      <w:rPr>
                        <w:rFonts w:ascii="Cambria Math" w:eastAsia="Times New Roman" w:hAnsi="Cambria Math"/>
                        <w:lang w:eastAsia="fr-FR"/>
                      </w:rPr>
                      <m:t>V</m:t>
                    </m:r>
                  </m:e>
                  <m:sub>
                    <m:r>
                      <w:rPr>
                        <w:rFonts w:ascii="Cambria Math" w:eastAsia="Times New Roman" w:hAnsi="Cambria Math"/>
                        <w:lang w:eastAsia="fr-FR"/>
                      </w:rPr>
                      <m:t>fc,is</m:t>
                    </m:r>
                  </m:sub>
                </m:sSub>
              </m:oMath>
            </m:oMathPara>
          </w:p>
        </w:tc>
        <w:tc>
          <w:tcPr>
            <w:tcW w:w="6520" w:type="dxa"/>
            <w:tcBorders>
              <w:top w:val="nil"/>
              <w:left w:val="nil"/>
              <w:bottom w:val="nil"/>
              <w:right w:val="nil"/>
            </w:tcBorders>
            <w:shd w:val="clear" w:color="auto" w:fill="auto"/>
          </w:tcPr>
          <w:p w14:paraId="21DC0606" w14:textId="38647447" w:rsidR="0032499B" w:rsidRPr="009D3012" w:rsidRDefault="0032499B" w:rsidP="009D3012">
            <w:pPr>
              <w:widowControl w:val="0"/>
              <w:tabs>
                <w:tab w:val="left" w:pos="6979"/>
              </w:tabs>
              <w:spacing w:after="0" w:line="240" w:lineRule="auto"/>
              <w:jc w:val="left"/>
              <w:rPr>
                <w:rFonts w:eastAsia="Times New Roman" w:cs="Arial"/>
                <w:i/>
                <w:spacing w:val="-1"/>
              </w:rPr>
            </w:pPr>
            <w:r w:rsidRPr="009D3012">
              <w:rPr>
                <w:rFonts w:eastAsia="Times New Roman" w:cs="Arial"/>
                <w:spacing w:val="-1"/>
              </w:rPr>
              <w:t>C</w:t>
            </w:r>
            <w:r w:rsidRPr="009D3012">
              <w:rPr>
                <w:rFonts w:eastAsia="Times New Roman"/>
                <w:iCs/>
                <w:lang w:eastAsia="fr-FR"/>
              </w:rPr>
              <w:t xml:space="preserve">oefficient of variation of </w:t>
            </w:r>
            <m:oMath>
              <m:sSub>
                <m:sSubPr>
                  <m:ctrlPr>
                    <w:rPr>
                      <w:rFonts w:ascii="Cambria Math" w:eastAsia="Times New Roman" w:hAnsi="Cambria Math" w:cs="Calibri"/>
                      <w:i/>
                      <w:lang w:eastAsia="fr-FR"/>
                    </w:rPr>
                  </m:ctrlPr>
                </m:sSubPr>
                <m:e>
                  <m:r>
                    <w:rPr>
                      <w:rFonts w:ascii="Cambria Math" w:eastAsia="Times New Roman" w:hAnsi="Cambria Math" w:cs="Calibri"/>
                      <w:lang w:eastAsia="fr-FR"/>
                    </w:rPr>
                    <m:t>f</m:t>
                  </m:r>
                </m:e>
                <m:sub>
                  <m:r>
                    <w:rPr>
                      <w:rFonts w:ascii="Cambria Math" w:eastAsia="Times New Roman" w:hAnsi="Cambria Math" w:cs="Calibri"/>
                      <w:lang w:eastAsia="fr-FR"/>
                    </w:rPr>
                    <m:t>c,is</m:t>
                  </m:r>
                </m:sub>
              </m:sSub>
            </m:oMath>
          </w:p>
        </w:tc>
        <w:tc>
          <w:tcPr>
            <w:tcW w:w="1985" w:type="dxa"/>
            <w:tcBorders>
              <w:top w:val="nil"/>
              <w:left w:val="nil"/>
              <w:bottom w:val="nil"/>
              <w:right w:val="nil"/>
            </w:tcBorders>
            <w:shd w:val="clear" w:color="auto" w:fill="auto"/>
          </w:tcPr>
          <w:p w14:paraId="24499C8C" w14:textId="28E902C3" w:rsidR="0032499B" w:rsidRPr="009D3012" w:rsidRDefault="00EC2544" w:rsidP="0056481D">
            <w:pPr>
              <w:widowControl w:val="0"/>
              <w:spacing w:after="0" w:line="240" w:lineRule="auto"/>
              <w:jc w:val="left"/>
              <w:rPr>
                <w:rFonts w:eastAsia="Times New Roman" w:cs="Arial"/>
                <w:spacing w:val="-1"/>
              </w:rPr>
            </w:pPr>
            <w:r w:rsidRPr="009D3012">
              <w:rPr>
                <w:rFonts w:eastAsia="Times New Roman" w:cs="Arial"/>
                <w:spacing w:val="-1"/>
              </w:rPr>
              <w:t>I.4.2.1</w:t>
            </w:r>
            <w:r w:rsidR="0032499B" w:rsidRPr="009D3012">
              <w:rPr>
                <w:rFonts w:eastAsia="Times New Roman" w:cs="Arial"/>
                <w:spacing w:val="-1"/>
              </w:rPr>
              <w:t>(2)</w:t>
            </w:r>
          </w:p>
        </w:tc>
      </w:tr>
      <w:tr w:rsidR="0032499B" w:rsidRPr="001455DC" w14:paraId="6099D22C" w14:textId="77777777" w:rsidTr="009D3012">
        <w:tc>
          <w:tcPr>
            <w:tcW w:w="1526" w:type="dxa"/>
            <w:tcBorders>
              <w:top w:val="nil"/>
              <w:left w:val="nil"/>
              <w:bottom w:val="nil"/>
              <w:right w:val="nil"/>
            </w:tcBorders>
            <w:shd w:val="clear" w:color="auto" w:fill="auto"/>
          </w:tcPr>
          <w:p w14:paraId="32F2E674" w14:textId="5284804E" w:rsidR="0032499B" w:rsidRPr="001353E5" w:rsidRDefault="00231E33" w:rsidP="001353E5">
            <w:pPr>
              <w:widowControl w:val="0"/>
              <w:tabs>
                <w:tab w:val="left" w:pos="6979"/>
              </w:tabs>
              <w:spacing w:after="0" w:line="240" w:lineRule="auto"/>
              <w:ind w:left="1307" w:hanging="1276"/>
              <w:jc w:val="left"/>
              <w:rPr>
                <w:rFonts w:eastAsia="Times New Roman"/>
                <w:spacing w:val="-1"/>
              </w:rPr>
            </w:pPr>
            <m:oMathPara>
              <m:oMathParaPr>
                <m:jc m:val="left"/>
              </m:oMathParaPr>
              <m:oMath>
                <m:sSub>
                  <m:sSubPr>
                    <m:ctrlPr>
                      <w:rPr>
                        <w:rFonts w:ascii="Cambria Math" w:eastAsia="Times New Roman" w:hAnsi="Cambria Math"/>
                        <w:i/>
                        <w:lang w:eastAsia="fr-FR"/>
                      </w:rPr>
                    </m:ctrlPr>
                  </m:sSubPr>
                  <m:e>
                    <m:r>
                      <w:rPr>
                        <w:rFonts w:ascii="Cambria Math" w:eastAsia="Times New Roman" w:hAnsi="Cambria Math"/>
                        <w:lang w:eastAsia="fr-FR"/>
                      </w:rPr>
                      <m:t>V</m:t>
                    </m:r>
                  </m:e>
                  <m:sub>
                    <m:r>
                      <w:rPr>
                        <w:rFonts w:ascii="Cambria Math" w:eastAsia="Times New Roman" w:hAnsi="Cambria Math"/>
                        <w:lang w:eastAsia="fr-FR"/>
                      </w:rPr>
                      <m:t>fc,is,lim</m:t>
                    </m:r>
                  </m:sub>
                </m:sSub>
              </m:oMath>
            </m:oMathPara>
          </w:p>
        </w:tc>
        <w:tc>
          <w:tcPr>
            <w:tcW w:w="6520" w:type="dxa"/>
            <w:tcBorders>
              <w:top w:val="nil"/>
              <w:left w:val="nil"/>
              <w:bottom w:val="nil"/>
              <w:right w:val="nil"/>
            </w:tcBorders>
            <w:shd w:val="clear" w:color="auto" w:fill="auto"/>
          </w:tcPr>
          <w:p w14:paraId="69E193B8" w14:textId="44E2F958" w:rsidR="0032499B" w:rsidRPr="009D3012" w:rsidRDefault="0032499B" w:rsidP="009D3012">
            <w:pPr>
              <w:widowControl w:val="0"/>
              <w:tabs>
                <w:tab w:val="left" w:pos="6979"/>
              </w:tabs>
              <w:spacing w:after="0" w:line="240" w:lineRule="auto"/>
              <w:jc w:val="left"/>
              <w:rPr>
                <w:rFonts w:eastAsia="Times New Roman"/>
                <w:spacing w:val="-1"/>
              </w:rPr>
            </w:pPr>
            <w:r w:rsidRPr="009D3012">
              <w:rPr>
                <w:rFonts w:eastAsia="Times New Roman" w:cs="Arial"/>
                <w:spacing w:val="-1"/>
              </w:rPr>
              <w:t xml:space="preserve">Limit value of </w:t>
            </w:r>
            <m:oMath>
              <m:sSub>
                <m:sSubPr>
                  <m:ctrlPr>
                    <w:rPr>
                      <w:rFonts w:ascii="Cambria Math" w:eastAsia="Times New Roman" w:hAnsi="Cambria Math"/>
                      <w:i/>
                      <w:lang w:eastAsia="fr-FR"/>
                    </w:rPr>
                  </m:ctrlPr>
                </m:sSubPr>
                <m:e>
                  <m:r>
                    <w:rPr>
                      <w:rFonts w:ascii="Cambria Math" w:eastAsia="Times New Roman" w:hAnsi="Cambria Math"/>
                      <w:lang w:eastAsia="fr-FR"/>
                    </w:rPr>
                    <m:t>V</m:t>
                  </m:r>
                </m:e>
                <m:sub>
                  <m:r>
                    <w:rPr>
                      <w:rFonts w:ascii="Cambria Math" w:eastAsia="Times New Roman" w:hAnsi="Cambria Math"/>
                      <w:lang w:eastAsia="fr-FR"/>
                    </w:rPr>
                    <m:t>fc,is</m:t>
                  </m:r>
                </m:sub>
              </m:sSub>
              <m:r>
                <w:rPr>
                  <w:rFonts w:ascii="Cambria Math" w:eastAsia="Times New Roman" w:hAnsi="Cambria Math"/>
                  <w:lang w:eastAsia="fr-FR"/>
                </w:rPr>
                <m:t xml:space="preserve"> </m:t>
              </m:r>
            </m:oMath>
            <w:r w:rsidRPr="009D3012">
              <w:rPr>
                <w:rFonts w:eastAsia="Times New Roman" w:cs="Arial"/>
                <w:lang w:eastAsia="fr-FR"/>
              </w:rPr>
              <w:t xml:space="preserve">for the adjustment of the partial factors for concrete </w:t>
            </w:r>
          </w:p>
        </w:tc>
        <w:tc>
          <w:tcPr>
            <w:tcW w:w="1985" w:type="dxa"/>
            <w:tcBorders>
              <w:top w:val="nil"/>
              <w:left w:val="nil"/>
              <w:bottom w:val="nil"/>
              <w:right w:val="nil"/>
            </w:tcBorders>
            <w:shd w:val="clear" w:color="auto" w:fill="auto"/>
          </w:tcPr>
          <w:p w14:paraId="2B7FCAF5" w14:textId="270C75B4" w:rsidR="0032499B" w:rsidRPr="009D3012" w:rsidRDefault="00EC2544" w:rsidP="0056481D">
            <w:pPr>
              <w:widowControl w:val="0"/>
              <w:spacing w:after="0" w:line="240" w:lineRule="auto"/>
              <w:jc w:val="left"/>
              <w:rPr>
                <w:rFonts w:eastAsia="Times New Roman" w:cs="Arial"/>
                <w:spacing w:val="-1"/>
              </w:rPr>
            </w:pPr>
            <w:r w:rsidRPr="009D3012">
              <w:rPr>
                <w:rFonts w:eastAsia="Times New Roman" w:cs="Arial"/>
                <w:spacing w:val="-1"/>
              </w:rPr>
              <w:t>I.4.2.1</w:t>
            </w:r>
            <w:r w:rsidR="0032499B" w:rsidRPr="009D3012">
              <w:rPr>
                <w:rFonts w:eastAsia="Times New Roman" w:cs="Arial"/>
                <w:spacing w:val="-1"/>
              </w:rPr>
              <w:t>(2)</w:t>
            </w:r>
          </w:p>
        </w:tc>
      </w:tr>
      <w:tr w:rsidR="0032499B" w:rsidRPr="001455DC" w14:paraId="28F7216A" w14:textId="77777777" w:rsidTr="009D3012">
        <w:tc>
          <w:tcPr>
            <w:tcW w:w="1526" w:type="dxa"/>
            <w:tcBorders>
              <w:top w:val="nil"/>
              <w:left w:val="nil"/>
              <w:bottom w:val="nil"/>
              <w:right w:val="nil"/>
            </w:tcBorders>
            <w:shd w:val="clear" w:color="auto" w:fill="auto"/>
          </w:tcPr>
          <w:p w14:paraId="0820D288" w14:textId="00314E41" w:rsidR="0032499B" w:rsidRPr="001353E5" w:rsidRDefault="00231E33" w:rsidP="001353E5">
            <w:pPr>
              <w:widowControl w:val="0"/>
              <w:tabs>
                <w:tab w:val="left" w:pos="6979"/>
              </w:tabs>
              <w:spacing w:after="0" w:line="240" w:lineRule="auto"/>
              <w:ind w:left="1307" w:hanging="1276"/>
              <w:jc w:val="left"/>
              <w:rPr>
                <w:rFonts w:eastAsia="Times New Roman" w:cs="Arial"/>
                <w:i/>
                <w:spacing w:val="-1"/>
              </w:rPr>
            </w:pPr>
            <m:oMathPara>
              <m:oMathParaPr>
                <m:jc m:val="left"/>
              </m:oMathParaPr>
              <m:oMath>
                <m:sSub>
                  <m:sSubPr>
                    <m:ctrlPr>
                      <w:rPr>
                        <w:rFonts w:ascii="Cambria Math" w:eastAsia="Times New Roman" w:hAnsi="Cambria Math" w:cs="Arial"/>
                        <w:i/>
                        <w:spacing w:val="-1"/>
                      </w:rPr>
                    </m:ctrlPr>
                  </m:sSubPr>
                  <m:e>
                    <m:r>
                      <w:rPr>
                        <w:rFonts w:ascii="Cambria Math" w:eastAsia="Times New Roman" w:hAnsi="Cambria Math" w:cs="Arial"/>
                        <w:spacing w:val="-1"/>
                      </w:rPr>
                      <m:t>V</m:t>
                    </m:r>
                  </m:e>
                  <m:sub>
                    <m:r>
                      <w:rPr>
                        <w:rFonts w:ascii="Cambria Math" w:eastAsia="Times New Roman" w:hAnsi="Cambria Math" w:cs="Arial"/>
                        <w:spacing w:val="-1"/>
                      </w:rPr>
                      <m:t>x</m:t>
                    </m:r>
                  </m:sub>
                </m:sSub>
              </m:oMath>
            </m:oMathPara>
          </w:p>
        </w:tc>
        <w:tc>
          <w:tcPr>
            <w:tcW w:w="6520" w:type="dxa"/>
            <w:tcBorders>
              <w:top w:val="nil"/>
              <w:left w:val="nil"/>
              <w:bottom w:val="nil"/>
              <w:right w:val="nil"/>
            </w:tcBorders>
            <w:shd w:val="clear" w:color="auto" w:fill="auto"/>
          </w:tcPr>
          <w:p w14:paraId="65F45A4D" w14:textId="755CB24E" w:rsidR="0032499B" w:rsidRPr="009D3012" w:rsidRDefault="0032499B" w:rsidP="009D3012">
            <w:pPr>
              <w:widowControl w:val="0"/>
              <w:tabs>
                <w:tab w:val="left" w:pos="6979"/>
              </w:tabs>
              <w:spacing w:after="0" w:line="240" w:lineRule="auto"/>
              <w:jc w:val="left"/>
              <w:rPr>
                <w:rFonts w:eastAsia="Times New Roman" w:cs="Arial"/>
                <w:i/>
                <w:spacing w:val="-1"/>
              </w:rPr>
            </w:pPr>
            <w:r w:rsidRPr="009D3012">
              <w:rPr>
                <w:rFonts w:eastAsia="Times New Roman" w:cs="Arial"/>
                <w:spacing w:val="-1"/>
              </w:rPr>
              <w:t xml:space="preserve">Coefficient of variation of the material property </w:t>
            </w:r>
            <m:oMath>
              <m:r>
                <w:rPr>
                  <w:rFonts w:ascii="Cambria Math" w:eastAsia="Times New Roman" w:hAnsi="Cambria Math" w:cs="Arial"/>
                  <w:spacing w:val="-1"/>
                </w:rPr>
                <m:t>X</m:t>
              </m:r>
            </m:oMath>
          </w:p>
        </w:tc>
        <w:tc>
          <w:tcPr>
            <w:tcW w:w="1985" w:type="dxa"/>
            <w:tcBorders>
              <w:top w:val="nil"/>
              <w:left w:val="nil"/>
              <w:bottom w:val="nil"/>
              <w:right w:val="nil"/>
            </w:tcBorders>
            <w:shd w:val="clear" w:color="auto" w:fill="auto"/>
          </w:tcPr>
          <w:p w14:paraId="6E395823" w14:textId="5BD02C7D" w:rsidR="0032499B" w:rsidRPr="009D3012" w:rsidRDefault="0032499B">
            <w:pPr>
              <w:widowControl w:val="0"/>
              <w:spacing w:after="0" w:line="240" w:lineRule="auto"/>
              <w:jc w:val="left"/>
              <w:rPr>
                <w:rFonts w:eastAsia="Times New Roman" w:cs="Arial"/>
                <w:spacing w:val="-1"/>
              </w:rPr>
            </w:pPr>
            <w:r w:rsidRPr="009D3012">
              <w:rPr>
                <w:rFonts w:eastAsia="Times New Roman" w:cs="Arial"/>
                <w:spacing w:val="-1"/>
              </w:rPr>
              <w:t>I.5.</w:t>
            </w:r>
            <w:r w:rsidR="00EC2544" w:rsidRPr="009D3012">
              <w:rPr>
                <w:rFonts w:eastAsia="Times New Roman" w:cs="Arial"/>
                <w:spacing w:val="-1"/>
              </w:rPr>
              <w:t>3</w:t>
            </w:r>
            <w:r w:rsidRPr="009D3012">
              <w:rPr>
                <w:rFonts w:eastAsia="Times New Roman" w:cs="Arial"/>
                <w:spacing w:val="-1"/>
              </w:rPr>
              <w:t>, 1.5.</w:t>
            </w:r>
            <w:r w:rsidR="00EC2544" w:rsidRPr="009D3012">
              <w:rPr>
                <w:rFonts w:eastAsia="Times New Roman" w:cs="Arial"/>
                <w:spacing w:val="-1"/>
              </w:rPr>
              <w:t>4</w:t>
            </w:r>
            <w:r w:rsidRPr="009D3012">
              <w:rPr>
                <w:rFonts w:eastAsia="Times New Roman" w:cs="Arial"/>
                <w:spacing w:val="-1"/>
              </w:rPr>
              <w:t xml:space="preserve"> </w:t>
            </w:r>
          </w:p>
        </w:tc>
      </w:tr>
      <w:tr w:rsidR="0032499B" w:rsidRPr="001455DC" w14:paraId="5B0BFBFF" w14:textId="77777777" w:rsidTr="009D3012">
        <w:tc>
          <w:tcPr>
            <w:tcW w:w="1526" w:type="dxa"/>
            <w:tcBorders>
              <w:top w:val="nil"/>
              <w:left w:val="nil"/>
              <w:bottom w:val="nil"/>
              <w:right w:val="nil"/>
            </w:tcBorders>
            <w:shd w:val="clear" w:color="auto" w:fill="auto"/>
          </w:tcPr>
          <w:p w14:paraId="2BC9AC29" w14:textId="4AA71E9E" w:rsidR="0032499B" w:rsidRPr="009D3012" w:rsidRDefault="0032499B" w:rsidP="0056481D">
            <w:pPr>
              <w:widowControl w:val="0"/>
              <w:tabs>
                <w:tab w:val="left" w:pos="1165"/>
              </w:tabs>
              <w:spacing w:after="0" w:line="240" w:lineRule="auto"/>
              <w:jc w:val="left"/>
              <w:rPr>
                <w:rFonts w:eastAsia="Times New Roman"/>
                <w:lang w:eastAsia="fr-FR"/>
              </w:rPr>
            </w:pPr>
            <w:r w:rsidRPr="009D3012">
              <w:rPr>
                <w:rFonts w:eastAsia="Times New Roman" w:cs="Arial"/>
                <w:i/>
                <w:iCs/>
                <w:spacing w:val="-1"/>
              </w:rPr>
              <w:t>X</w:t>
            </w:r>
            <w:r w:rsidRPr="009D3012">
              <w:rPr>
                <w:rFonts w:eastAsia="Times New Roman" w:cs="Arial"/>
                <w:spacing w:val="-1"/>
                <w:vertAlign w:val="subscript"/>
              </w:rPr>
              <w:t>k</w:t>
            </w:r>
          </w:p>
        </w:tc>
        <w:tc>
          <w:tcPr>
            <w:tcW w:w="6520" w:type="dxa"/>
            <w:tcBorders>
              <w:top w:val="nil"/>
              <w:left w:val="nil"/>
              <w:bottom w:val="nil"/>
              <w:right w:val="nil"/>
            </w:tcBorders>
            <w:shd w:val="clear" w:color="auto" w:fill="auto"/>
          </w:tcPr>
          <w:p w14:paraId="60A8B396" w14:textId="5F7C9D30" w:rsidR="0032499B" w:rsidRPr="009D3012" w:rsidRDefault="0032499B" w:rsidP="009D3012">
            <w:pPr>
              <w:widowControl w:val="0"/>
              <w:tabs>
                <w:tab w:val="left" w:pos="1165"/>
              </w:tabs>
              <w:spacing w:after="0" w:line="240" w:lineRule="auto"/>
              <w:jc w:val="left"/>
              <w:rPr>
                <w:rFonts w:eastAsia="Times New Roman"/>
                <w:lang w:eastAsia="fr-FR"/>
              </w:rPr>
            </w:pPr>
            <w:r w:rsidRPr="009D3012">
              <w:rPr>
                <w:rFonts w:eastAsia="Times New Roman" w:cs="Arial"/>
                <w:spacing w:val="-1"/>
              </w:rPr>
              <w:t>Characteristic value of the material property</w:t>
            </w:r>
            <w:r w:rsidRPr="009D3012">
              <w:rPr>
                <w:rFonts w:eastAsia="Times New Roman" w:cs="Arial"/>
                <w:spacing w:val="-1"/>
              </w:rPr>
              <w:tab/>
            </w:r>
            <w:r w:rsidRPr="009D3012">
              <w:rPr>
                <w:rFonts w:eastAsia="Times New Roman" w:cs="Arial"/>
                <w:spacing w:val="-1"/>
              </w:rPr>
              <w:tab/>
            </w:r>
            <w:r w:rsidRPr="009D3012">
              <w:rPr>
                <w:rFonts w:eastAsia="Times New Roman" w:cs="Arial"/>
                <w:spacing w:val="-1"/>
              </w:rPr>
              <w:tab/>
            </w:r>
          </w:p>
        </w:tc>
        <w:tc>
          <w:tcPr>
            <w:tcW w:w="1985" w:type="dxa"/>
            <w:tcBorders>
              <w:top w:val="nil"/>
              <w:left w:val="nil"/>
              <w:bottom w:val="nil"/>
              <w:right w:val="nil"/>
            </w:tcBorders>
            <w:shd w:val="clear" w:color="auto" w:fill="auto"/>
          </w:tcPr>
          <w:p w14:paraId="72DE73C3" w14:textId="307CA49F" w:rsidR="0032499B" w:rsidRPr="009D3012" w:rsidRDefault="0032499B">
            <w:pPr>
              <w:widowControl w:val="0"/>
              <w:spacing w:after="0" w:line="240" w:lineRule="auto"/>
              <w:jc w:val="left"/>
              <w:rPr>
                <w:rFonts w:eastAsia="Times New Roman"/>
                <w:lang w:val="en-US" w:eastAsia="fr-FR"/>
              </w:rPr>
            </w:pPr>
            <w:r w:rsidRPr="009D3012">
              <w:rPr>
                <w:rFonts w:eastAsia="Times New Roman" w:cs="Arial"/>
                <w:spacing w:val="-1"/>
              </w:rPr>
              <w:t>I.5.</w:t>
            </w:r>
            <w:r w:rsidR="00EC2544" w:rsidRPr="009D3012">
              <w:rPr>
                <w:rFonts w:eastAsia="Times New Roman" w:cs="Arial"/>
                <w:spacing w:val="-1"/>
              </w:rPr>
              <w:t>3</w:t>
            </w:r>
            <w:r w:rsidRPr="009D3012">
              <w:rPr>
                <w:rFonts w:eastAsia="Times New Roman" w:cs="Arial"/>
                <w:spacing w:val="-1"/>
              </w:rPr>
              <w:t>, 1.5.</w:t>
            </w:r>
            <w:r w:rsidR="00EC2544" w:rsidRPr="009D3012">
              <w:rPr>
                <w:rFonts w:eastAsia="Times New Roman" w:cs="Arial"/>
                <w:spacing w:val="-1"/>
              </w:rPr>
              <w:t>4</w:t>
            </w:r>
          </w:p>
        </w:tc>
      </w:tr>
    </w:tbl>
    <w:p w14:paraId="765EF9C3" w14:textId="15F7F318" w:rsidR="00761918" w:rsidRPr="00E519AB" w:rsidRDefault="00E519AB" w:rsidP="00E519AB">
      <w:pPr>
        <w:pStyle w:val="p3"/>
        <w:rPr>
          <w:b/>
        </w:rPr>
      </w:pPr>
      <w:bookmarkStart w:id="107" w:name="_Toc67565289"/>
      <w:bookmarkStart w:id="108" w:name="_Toc55828634"/>
      <w:r w:rsidRPr="00E519AB">
        <w:rPr>
          <w:b/>
        </w:rPr>
        <w:t>3.4.2</w:t>
      </w:r>
      <w:r w:rsidRPr="00E519AB">
        <w:rPr>
          <w:b/>
        </w:rPr>
        <w:tab/>
      </w:r>
      <w:r w:rsidR="00761918" w:rsidRPr="00E519AB">
        <w:rPr>
          <w:b/>
        </w:rPr>
        <w:t>Latin lower case letters</w:t>
      </w:r>
      <w:bookmarkEnd w:id="107"/>
      <w:r w:rsidR="00761918" w:rsidRPr="00E519AB">
        <w:rPr>
          <w:b/>
        </w:rPr>
        <w:t xml:space="preserve"> </w:t>
      </w:r>
    </w:p>
    <w:tbl>
      <w:tblPr>
        <w:tblStyle w:val="Tabellenraster1"/>
        <w:tblW w:w="10031" w:type="dxa"/>
        <w:tblLayout w:type="fixed"/>
        <w:tblLook w:val="04A0" w:firstRow="1" w:lastRow="0" w:firstColumn="1" w:lastColumn="0" w:noHBand="0" w:noVBand="1"/>
      </w:tblPr>
      <w:tblGrid>
        <w:gridCol w:w="1526"/>
        <w:gridCol w:w="6520"/>
        <w:gridCol w:w="1985"/>
      </w:tblGrid>
      <w:tr w:rsidR="0032499B" w:rsidRPr="001455DC" w14:paraId="38944764" w14:textId="77777777" w:rsidTr="009D3012">
        <w:trPr>
          <w:trHeight w:val="404"/>
        </w:trPr>
        <w:tc>
          <w:tcPr>
            <w:tcW w:w="1526" w:type="dxa"/>
            <w:tcBorders>
              <w:top w:val="nil"/>
              <w:left w:val="nil"/>
              <w:bottom w:val="nil"/>
              <w:right w:val="nil"/>
            </w:tcBorders>
            <w:shd w:val="clear" w:color="auto" w:fill="auto"/>
          </w:tcPr>
          <w:bookmarkEnd w:id="108"/>
          <w:p w14:paraId="3DCFC659" w14:textId="486C725C" w:rsidR="0032499B" w:rsidRPr="009D3012" w:rsidRDefault="00231E33" w:rsidP="009D3012">
            <w:pPr>
              <w:widowControl w:val="0"/>
              <w:spacing w:after="0" w:line="240" w:lineRule="auto"/>
              <w:ind w:firstLine="28"/>
              <w:jc w:val="left"/>
              <w:rPr>
                <w:rFonts w:eastAsia="Times New Roman"/>
                <w:spacing w:val="-1"/>
              </w:rPr>
            </w:pPr>
            <m:oMath>
              <m:sSub>
                <m:sSubPr>
                  <m:ctrlPr>
                    <w:rPr>
                      <w:rFonts w:ascii="Cambria Math" w:eastAsia="Times New Roman" w:hAnsi="Cambria Math" w:cs="Arial"/>
                      <w:i/>
                      <w:spacing w:val="-1"/>
                    </w:rPr>
                  </m:ctrlPr>
                </m:sSubPr>
                <m:e>
                  <m:r>
                    <w:rPr>
                      <w:rFonts w:ascii="Cambria Math" w:eastAsia="Times New Roman" w:hAnsi="Cambria Math" w:cs="Arial"/>
                      <w:spacing w:val="-1"/>
                    </w:rPr>
                    <m:t>b</m:t>
                  </m:r>
                </m:e>
                <m:sub>
                  <m:r>
                    <w:rPr>
                      <w:rFonts w:ascii="Cambria Math" w:eastAsia="Times New Roman" w:hAnsi="Cambria Math" w:cs="Arial"/>
                      <w:spacing w:val="-1"/>
                    </w:rPr>
                    <m:t>w,i</m:t>
                  </m:r>
                </m:sub>
              </m:sSub>
            </m:oMath>
            <w:r w:rsidR="00761918" w:rsidRPr="009D3012">
              <w:rPr>
                <w:rFonts w:eastAsia="Times New Roman" w:cs="Arial"/>
                <w:i/>
                <w:spacing w:val="-1"/>
              </w:rPr>
              <w:t xml:space="preserve">, </w:t>
            </w:r>
            <m:oMath>
              <m:sSub>
                <m:sSubPr>
                  <m:ctrlPr>
                    <w:rPr>
                      <w:rFonts w:ascii="Cambria Math" w:eastAsia="Times New Roman" w:hAnsi="Cambria Math" w:cs="Arial"/>
                      <w:i/>
                      <w:spacing w:val="-1"/>
                    </w:rPr>
                  </m:ctrlPr>
                </m:sSubPr>
                <m:e>
                  <m:r>
                    <w:rPr>
                      <w:rFonts w:ascii="Cambria Math" w:eastAsia="Times New Roman" w:hAnsi="Cambria Math" w:cs="Arial"/>
                      <w:spacing w:val="-1"/>
                    </w:rPr>
                    <m:t>b</m:t>
                  </m:r>
                </m:e>
                <m:sub>
                  <m:r>
                    <w:rPr>
                      <w:rFonts w:ascii="Cambria Math" w:eastAsia="Times New Roman" w:hAnsi="Cambria Math" w:cs="Arial"/>
                      <w:spacing w:val="-1"/>
                    </w:rPr>
                    <m:t>w,i-1</m:t>
                  </m:r>
                </m:sub>
              </m:sSub>
            </m:oMath>
            <w:r w:rsidR="00761918" w:rsidRPr="009D3012">
              <w:rPr>
                <w:rFonts w:eastAsia="Times New Roman" w:cs="Arial"/>
                <w:i/>
                <w:spacing w:val="-1"/>
              </w:rPr>
              <w:t xml:space="preserve">, </w:t>
            </w:r>
            <w:r w:rsidR="00D3428F" w:rsidRPr="009D3012">
              <w:rPr>
                <w:rFonts w:eastAsia="Times New Roman" w:cs="Arial"/>
                <w:i/>
                <w:spacing w:val="-1"/>
              </w:rPr>
              <w:br/>
            </w:r>
            <m:oMath>
              <m:sSub>
                <m:sSubPr>
                  <m:ctrlPr>
                    <w:rPr>
                      <w:rFonts w:ascii="Cambria Math" w:eastAsia="Times New Roman" w:hAnsi="Cambria Math" w:cs="Arial"/>
                      <w:i/>
                      <w:spacing w:val="-1"/>
                    </w:rPr>
                  </m:ctrlPr>
                </m:sSubPr>
                <m:e>
                  <m:r>
                    <w:rPr>
                      <w:rFonts w:ascii="Cambria Math" w:eastAsia="Times New Roman" w:hAnsi="Cambria Math" w:cs="Arial"/>
                      <w:spacing w:val="-1"/>
                    </w:rPr>
                    <m:t>b</m:t>
                  </m:r>
                </m:e>
                <m:sub>
                  <m:r>
                    <w:rPr>
                      <w:rFonts w:ascii="Cambria Math" w:eastAsia="Times New Roman" w:hAnsi="Cambria Math" w:cs="Arial"/>
                      <w:spacing w:val="-1"/>
                    </w:rPr>
                    <m:t>w,i+1</m:t>
                  </m:r>
                </m:sub>
              </m:sSub>
            </m:oMath>
            <w:r w:rsidR="00761918" w:rsidRPr="009D3012">
              <w:rPr>
                <w:rFonts w:eastAsia="Times New Roman" w:cs="Arial"/>
                <w:spacing w:val="-1"/>
              </w:rPr>
              <w:t xml:space="preserve"> </w:t>
            </w:r>
            <w:r w:rsidR="00761918" w:rsidRPr="009D3012">
              <w:rPr>
                <w:rFonts w:eastAsia="Times New Roman" w:cs="Arial"/>
                <w:spacing w:val="-1"/>
              </w:rPr>
              <w:tab/>
            </w:r>
          </w:p>
        </w:tc>
        <w:tc>
          <w:tcPr>
            <w:tcW w:w="6520" w:type="dxa"/>
            <w:tcBorders>
              <w:top w:val="nil"/>
              <w:left w:val="nil"/>
              <w:bottom w:val="nil"/>
              <w:right w:val="nil"/>
            </w:tcBorders>
            <w:shd w:val="clear" w:color="auto" w:fill="auto"/>
          </w:tcPr>
          <w:p w14:paraId="66F91CD2" w14:textId="6039ED24" w:rsidR="0032499B" w:rsidRPr="009D3012" w:rsidRDefault="0032499B" w:rsidP="009D3012">
            <w:pPr>
              <w:widowControl w:val="0"/>
              <w:spacing w:after="0" w:line="240" w:lineRule="auto"/>
              <w:jc w:val="left"/>
              <w:rPr>
                <w:rFonts w:eastAsia="Times New Roman"/>
                <w:spacing w:val="-1"/>
              </w:rPr>
            </w:pPr>
            <w:r w:rsidRPr="009D3012">
              <w:rPr>
                <w:rFonts w:eastAsia="Times New Roman" w:cs="Arial"/>
                <w:spacing w:val="-1"/>
              </w:rPr>
              <w:t xml:space="preserve">Coefficients to evaluate </w:t>
            </w:r>
            <m:oMath>
              <m:sSub>
                <m:sSubPr>
                  <m:ctrlPr>
                    <w:rPr>
                      <w:rFonts w:ascii="Cambria Math" w:eastAsia="Times New Roman" w:hAnsi="Cambria Math" w:cs="Arial"/>
                      <w:i/>
                      <w:spacing w:val="-1"/>
                    </w:rPr>
                  </m:ctrlPr>
                </m:sSubPr>
                <m:e>
                  <m:r>
                    <w:rPr>
                      <w:rFonts w:ascii="Cambria Math" w:eastAsia="Times New Roman" w:hAnsi="Cambria Math" w:cs="Arial"/>
                      <w:spacing w:val="-1"/>
                    </w:rPr>
                    <m:t>b</m:t>
                  </m:r>
                </m:e>
                <m:sub>
                  <m:r>
                    <w:rPr>
                      <w:rFonts w:ascii="Cambria Math" w:eastAsia="Times New Roman" w:hAnsi="Cambria Math" w:cs="Arial"/>
                      <w:spacing w:val="-1"/>
                    </w:rPr>
                    <m:t>w</m:t>
                  </m:r>
                </m:sub>
              </m:sSub>
            </m:oMath>
            <w:r w:rsidRPr="009D3012">
              <w:rPr>
                <w:rFonts w:eastAsia="Times New Roman" w:cs="Arial"/>
                <w:spacing w:val="-1"/>
              </w:rPr>
              <w:t xml:space="preserve"> for shear resistance in case of shear reinforcement not fulfilling the maximum longitudinal spacing of shear assemblies/stirrups or bent-up bars given in clause 12</w:t>
            </w:r>
          </w:p>
        </w:tc>
        <w:tc>
          <w:tcPr>
            <w:tcW w:w="1985" w:type="dxa"/>
            <w:tcBorders>
              <w:top w:val="nil"/>
              <w:left w:val="nil"/>
              <w:bottom w:val="nil"/>
              <w:right w:val="nil"/>
            </w:tcBorders>
            <w:shd w:val="clear" w:color="auto" w:fill="auto"/>
          </w:tcPr>
          <w:p w14:paraId="7DD391FB" w14:textId="4EB2271C" w:rsidR="0032499B" w:rsidRPr="009D3012" w:rsidRDefault="00761918" w:rsidP="009D3012">
            <w:pPr>
              <w:widowControl w:val="0"/>
              <w:spacing w:after="0" w:line="240" w:lineRule="auto"/>
              <w:ind w:right="-1242"/>
              <w:rPr>
                <w:rFonts w:eastAsia="Times New Roman" w:cs="Arial"/>
                <w:spacing w:val="-1"/>
              </w:rPr>
            </w:pPr>
            <w:r w:rsidRPr="009D3012">
              <w:rPr>
                <w:rFonts w:eastAsia="Times New Roman" w:cs="Arial"/>
                <w:spacing w:val="-1"/>
              </w:rPr>
              <w:t>I.8.</w:t>
            </w:r>
            <w:r w:rsidR="00EC2544" w:rsidRPr="009D3012">
              <w:rPr>
                <w:rFonts w:eastAsia="Times New Roman" w:cs="Arial"/>
                <w:spacing w:val="-1"/>
              </w:rPr>
              <w:t>3</w:t>
            </w:r>
            <w:r w:rsidRPr="009D3012">
              <w:rPr>
                <w:rFonts w:eastAsia="Times New Roman" w:cs="Arial"/>
                <w:spacing w:val="-1"/>
              </w:rPr>
              <w:t>.</w:t>
            </w:r>
            <w:r w:rsidR="00EC2544" w:rsidRPr="009D3012">
              <w:rPr>
                <w:rFonts w:eastAsia="Times New Roman" w:cs="Arial"/>
                <w:spacing w:val="-1"/>
              </w:rPr>
              <w:t>2</w:t>
            </w:r>
            <w:r w:rsidRPr="009D3012">
              <w:rPr>
                <w:rFonts w:eastAsia="Times New Roman" w:cs="Arial"/>
                <w:spacing w:val="-1"/>
              </w:rPr>
              <w:t>(4)</w:t>
            </w:r>
          </w:p>
        </w:tc>
      </w:tr>
      <w:tr w:rsidR="0032499B" w:rsidRPr="001455DC" w14:paraId="4A05F673" w14:textId="77777777" w:rsidTr="009D3012">
        <w:trPr>
          <w:trHeight w:val="404"/>
        </w:trPr>
        <w:tc>
          <w:tcPr>
            <w:tcW w:w="1526" w:type="dxa"/>
            <w:tcBorders>
              <w:top w:val="nil"/>
              <w:left w:val="nil"/>
              <w:bottom w:val="nil"/>
              <w:right w:val="nil"/>
            </w:tcBorders>
            <w:shd w:val="clear" w:color="auto" w:fill="auto"/>
          </w:tcPr>
          <w:p w14:paraId="579DD9F7" w14:textId="77777777" w:rsidR="0032499B" w:rsidRPr="009D3012" w:rsidRDefault="00231E33" w:rsidP="0056481D">
            <w:pPr>
              <w:widowControl w:val="0"/>
              <w:spacing w:after="0" w:line="240" w:lineRule="auto"/>
              <w:ind w:left="1304" w:hanging="1276"/>
              <w:jc w:val="left"/>
              <w:rPr>
                <w:rFonts w:ascii="Cambria Math" w:eastAsia="Times New Roman" w:hAnsi="Cambria Math" w:cs="Arial"/>
                <w:spacing w:val="-1"/>
                <w:oMath/>
              </w:rPr>
            </w:pPr>
            <m:oMathPara>
              <m:oMath>
                <m:sSub>
                  <m:sSubPr>
                    <m:ctrlPr>
                      <w:rPr>
                        <w:rFonts w:ascii="Cambria Math" w:eastAsia="Times New Roman" w:hAnsi="Cambria Math" w:cs="Arial"/>
                        <w:i/>
                        <w:spacing w:val="-1"/>
                      </w:rPr>
                    </m:ctrlPr>
                  </m:sSubPr>
                  <m:e>
                    <m:r>
                      <w:rPr>
                        <w:rFonts w:ascii="Cambria Math" w:eastAsia="Times New Roman" w:hAnsi="Cambria Math" w:cs="Arial"/>
                        <w:spacing w:val="-1"/>
                      </w:rPr>
                      <m:t>c</m:t>
                    </m:r>
                  </m:e>
                  <m:sub>
                    <m:r>
                      <w:rPr>
                        <w:rFonts w:ascii="Cambria Math" w:eastAsia="Times New Roman" w:hAnsi="Cambria Math" w:cs="Arial"/>
                        <w:spacing w:val="-1"/>
                      </w:rPr>
                      <m:t>f</m:t>
                    </m:r>
                  </m:sub>
                </m:sSub>
              </m:oMath>
            </m:oMathPara>
          </w:p>
          <w:p w14:paraId="7438B97C" w14:textId="2941A8E1" w:rsidR="0032499B" w:rsidRPr="009D3012" w:rsidRDefault="0032499B" w:rsidP="0032499B">
            <w:pPr>
              <w:widowControl w:val="0"/>
              <w:spacing w:after="0" w:line="240" w:lineRule="auto"/>
              <w:jc w:val="left"/>
              <w:rPr>
                <w:rFonts w:eastAsia="Times New Roman"/>
                <w:spacing w:val="-1"/>
              </w:rPr>
            </w:pPr>
          </w:p>
        </w:tc>
        <w:tc>
          <w:tcPr>
            <w:tcW w:w="6520" w:type="dxa"/>
            <w:tcBorders>
              <w:top w:val="nil"/>
              <w:left w:val="nil"/>
              <w:bottom w:val="nil"/>
              <w:right w:val="nil"/>
            </w:tcBorders>
            <w:shd w:val="clear" w:color="auto" w:fill="auto"/>
          </w:tcPr>
          <w:p w14:paraId="17DAD307" w14:textId="5B3810DA" w:rsidR="0032499B" w:rsidRPr="009D3012" w:rsidRDefault="0032499B">
            <w:pPr>
              <w:widowControl w:val="0"/>
              <w:spacing w:after="0" w:line="240" w:lineRule="auto"/>
              <w:jc w:val="left"/>
              <w:rPr>
                <w:rFonts w:eastAsia="Times New Roman"/>
                <w:spacing w:val="-1"/>
              </w:rPr>
            </w:pPr>
            <w:r w:rsidRPr="009D3012">
              <w:rPr>
                <w:rFonts w:eastAsia="Times New Roman"/>
                <w:spacing w:val="-1"/>
              </w:rPr>
              <w:t>additional distance with respect to concentrated loads of reaction forces acting on compression flanges</w:t>
            </w:r>
          </w:p>
        </w:tc>
        <w:tc>
          <w:tcPr>
            <w:tcW w:w="1985" w:type="dxa"/>
            <w:tcBorders>
              <w:top w:val="nil"/>
              <w:left w:val="nil"/>
              <w:bottom w:val="nil"/>
              <w:right w:val="nil"/>
            </w:tcBorders>
            <w:shd w:val="clear" w:color="auto" w:fill="auto"/>
          </w:tcPr>
          <w:p w14:paraId="3F30B113" w14:textId="54DE942D" w:rsidR="0032499B" w:rsidRPr="009D3012" w:rsidRDefault="0032499B" w:rsidP="009D3012">
            <w:pPr>
              <w:widowControl w:val="0"/>
              <w:spacing w:after="0" w:line="240" w:lineRule="auto"/>
              <w:ind w:right="-1242"/>
              <w:rPr>
                <w:rFonts w:eastAsia="Times New Roman" w:cs="Arial"/>
                <w:spacing w:val="-1"/>
              </w:rPr>
            </w:pPr>
            <w:r w:rsidRPr="009D3012">
              <w:rPr>
                <w:rFonts w:eastAsia="Times New Roman" w:cs="Arial"/>
                <w:spacing w:val="-1"/>
              </w:rPr>
              <w:t>I.8.</w:t>
            </w:r>
            <w:r w:rsidR="00EC2544" w:rsidRPr="009D3012">
              <w:rPr>
                <w:rFonts w:eastAsia="Times New Roman" w:cs="Arial"/>
                <w:spacing w:val="-1"/>
              </w:rPr>
              <w:t>3</w:t>
            </w:r>
            <w:r w:rsidRPr="009D3012">
              <w:rPr>
                <w:rFonts w:eastAsia="Times New Roman" w:cs="Arial"/>
                <w:spacing w:val="-1"/>
              </w:rPr>
              <w:t>.</w:t>
            </w:r>
            <w:r w:rsidR="00EC2544" w:rsidRPr="009D3012">
              <w:rPr>
                <w:rFonts w:eastAsia="Times New Roman" w:cs="Arial"/>
                <w:spacing w:val="-1"/>
              </w:rPr>
              <w:t>2</w:t>
            </w:r>
            <w:r w:rsidRPr="009D3012">
              <w:rPr>
                <w:rFonts w:eastAsia="Times New Roman" w:cs="Arial"/>
                <w:spacing w:val="-1"/>
              </w:rPr>
              <w:t>(5)</w:t>
            </w:r>
          </w:p>
        </w:tc>
      </w:tr>
      <w:tr w:rsidR="0032499B" w:rsidRPr="001455DC" w14:paraId="69F7390F" w14:textId="77777777" w:rsidTr="009D3012">
        <w:trPr>
          <w:trHeight w:val="404"/>
        </w:trPr>
        <w:tc>
          <w:tcPr>
            <w:tcW w:w="1526" w:type="dxa"/>
            <w:tcBorders>
              <w:top w:val="nil"/>
              <w:left w:val="nil"/>
              <w:bottom w:val="nil"/>
              <w:right w:val="nil"/>
            </w:tcBorders>
            <w:shd w:val="clear" w:color="auto" w:fill="auto"/>
          </w:tcPr>
          <w:p w14:paraId="499B72C6" w14:textId="77777777" w:rsidR="0032499B" w:rsidRPr="009D3012" w:rsidRDefault="00231E33" w:rsidP="0056481D">
            <w:pPr>
              <w:widowControl w:val="0"/>
              <w:spacing w:after="0" w:line="240" w:lineRule="auto"/>
              <w:ind w:left="1304" w:hanging="1276"/>
              <w:jc w:val="left"/>
              <w:rPr>
                <w:rFonts w:ascii="Cambria Math" w:eastAsia="Times New Roman" w:hAnsi="Cambria Math" w:cs="Arial"/>
                <w:spacing w:val="-1"/>
                <w:oMath/>
              </w:rPr>
            </w:pPr>
            <m:oMathPara>
              <m:oMath>
                <m:sSub>
                  <m:sSubPr>
                    <m:ctrlPr>
                      <w:rPr>
                        <w:rFonts w:ascii="Cambria Math" w:eastAsia="Times New Roman" w:hAnsi="Cambria Math" w:cs="Arial"/>
                        <w:i/>
                        <w:spacing w:val="-1"/>
                      </w:rPr>
                    </m:ctrlPr>
                  </m:sSubPr>
                  <m:e>
                    <m:r>
                      <w:rPr>
                        <w:rFonts w:ascii="Cambria Math" w:eastAsia="Times New Roman" w:hAnsi="Cambria Math" w:cs="Arial"/>
                        <w:spacing w:val="-1"/>
                      </w:rPr>
                      <m:t>c</m:t>
                    </m:r>
                  </m:e>
                  <m:sub>
                    <m:r>
                      <w:rPr>
                        <w:rFonts w:ascii="Cambria Math" w:eastAsia="Times New Roman" w:hAnsi="Cambria Math" w:cs="Arial"/>
                        <w:spacing w:val="-1"/>
                      </w:rPr>
                      <m:t>min,xy</m:t>
                    </m:r>
                  </m:sub>
                </m:sSub>
              </m:oMath>
            </m:oMathPara>
          </w:p>
          <w:p w14:paraId="61CC7DBB" w14:textId="5E2E0B8F" w:rsidR="0032499B" w:rsidRPr="009D3012" w:rsidRDefault="0032499B" w:rsidP="0032499B">
            <w:pPr>
              <w:widowControl w:val="0"/>
              <w:spacing w:after="0" w:line="240" w:lineRule="auto"/>
              <w:jc w:val="left"/>
              <w:rPr>
                <w:rFonts w:eastAsia="Times New Roman"/>
                <w:spacing w:val="-1"/>
              </w:rPr>
            </w:pPr>
          </w:p>
        </w:tc>
        <w:tc>
          <w:tcPr>
            <w:tcW w:w="6520" w:type="dxa"/>
            <w:tcBorders>
              <w:top w:val="nil"/>
              <w:left w:val="nil"/>
              <w:bottom w:val="nil"/>
              <w:right w:val="nil"/>
            </w:tcBorders>
            <w:shd w:val="clear" w:color="auto" w:fill="auto"/>
          </w:tcPr>
          <w:p w14:paraId="07178280" w14:textId="10EB6DB0" w:rsidR="0032499B" w:rsidRPr="009D3012" w:rsidRDefault="0032499B">
            <w:pPr>
              <w:widowControl w:val="0"/>
              <w:spacing w:after="0" w:line="240" w:lineRule="auto"/>
              <w:jc w:val="left"/>
              <w:rPr>
                <w:rFonts w:eastAsia="Times New Roman"/>
                <w:spacing w:val="-1"/>
              </w:rPr>
            </w:pPr>
            <w:r w:rsidRPr="009D3012">
              <w:rPr>
                <w:rFonts w:eastAsia="Times New Roman" w:cs="Arial"/>
                <w:spacing w:val="-1"/>
              </w:rPr>
              <w:t xml:space="preserve">Minimum value of concrete cover between </w:t>
            </w:r>
            <m:oMath>
              <m:sSub>
                <m:sSubPr>
                  <m:ctrlPr>
                    <w:rPr>
                      <w:rFonts w:ascii="Cambria Math" w:eastAsia="Times New Roman" w:hAnsi="Cambria Math" w:cs="Arial"/>
                      <w:i/>
                      <w:spacing w:val="-1"/>
                    </w:rPr>
                  </m:ctrlPr>
                </m:sSubPr>
                <m:e>
                  <m:r>
                    <w:rPr>
                      <w:rFonts w:ascii="Cambria Math" w:eastAsia="Times New Roman" w:hAnsi="Cambria Math" w:cs="Arial"/>
                      <w:spacing w:val="-1"/>
                    </w:rPr>
                    <m:t>c</m:t>
                  </m:r>
                </m:e>
                <m:sub>
                  <m:r>
                    <w:rPr>
                      <w:rFonts w:ascii="Cambria Math" w:eastAsia="Times New Roman" w:hAnsi="Cambria Math" w:cs="Arial"/>
                      <w:spacing w:val="-1"/>
                    </w:rPr>
                    <m:t>x</m:t>
                  </m:r>
                </m:sub>
              </m:sSub>
            </m:oMath>
            <w:r w:rsidRPr="009D3012">
              <w:rPr>
                <w:rFonts w:eastAsia="Times New Roman" w:cs="Arial"/>
                <w:spacing w:val="-1"/>
              </w:rPr>
              <w:t xml:space="preserve"> and </w:t>
            </w:r>
            <m:oMath>
              <m:sSub>
                <m:sSubPr>
                  <m:ctrlPr>
                    <w:rPr>
                      <w:rFonts w:ascii="Cambria Math" w:eastAsia="Times New Roman" w:hAnsi="Cambria Math" w:cs="Arial"/>
                      <w:i/>
                      <w:spacing w:val="-1"/>
                    </w:rPr>
                  </m:ctrlPr>
                </m:sSubPr>
                <m:e>
                  <m:r>
                    <w:rPr>
                      <w:rFonts w:ascii="Cambria Math" w:eastAsia="Times New Roman" w:hAnsi="Cambria Math" w:cs="Arial"/>
                      <w:spacing w:val="-1"/>
                    </w:rPr>
                    <m:t>c</m:t>
                  </m:r>
                </m:e>
                <m:sub>
                  <m:r>
                    <w:rPr>
                      <w:rFonts w:ascii="Cambria Math" w:eastAsia="Times New Roman" w:hAnsi="Cambria Math" w:cs="Arial"/>
                      <w:spacing w:val="-1"/>
                    </w:rPr>
                    <m:t>y</m:t>
                  </m:r>
                </m:sub>
              </m:sSub>
              <m:r>
                <w:rPr>
                  <w:rFonts w:ascii="Cambria Math" w:eastAsia="Times New Roman" w:hAnsi="Cambria Math" w:cs="Arial"/>
                  <w:spacing w:val="-1"/>
                </w:rPr>
                <m:t xml:space="preserve"> </m:t>
              </m:r>
            </m:oMath>
            <w:r w:rsidRPr="009D3012">
              <w:rPr>
                <w:rFonts w:eastAsia="Times New Roman" w:cs="Arial"/>
                <w:spacing w:val="-1"/>
              </w:rPr>
              <w:t>for designing the anchorage in case of low concrete cover</w:t>
            </w:r>
            <w:r w:rsidRPr="009D3012">
              <w:rPr>
                <w:rFonts w:eastAsia="Times New Roman" w:cs="Arial"/>
                <w:spacing w:val="-1"/>
              </w:rPr>
              <w:tab/>
            </w:r>
          </w:p>
        </w:tc>
        <w:tc>
          <w:tcPr>
            <w:tcW w:w="1985" w:type="dxa"/>
            <w:tcBorders>
              <w:top w:val="nil"/>
              <w:left w:val="nil"/>
              <w:bottom w:val="nil"/>
              <w:right w:val="nil"/>
            </w:tcBorders>
            <w:shd w:val="clear" w:color="auto" w:fill="auto"/>
          </w:tcPr>
          <w:p w14:paraId="7D00549C" w14:textId="4FFA54FB" w:rsidR="0032499B" w:rsidRPr="009D3012" w:rsidRDefault="0032499B" w:rsidP="009D3012">
            <w:pPr>
              <w:widowControl w:val="0"/>
              <w:spacing w:after="0" w:line="240" w:lineRule="auto"/>
              <w:ind w:right="-1242"/>
              <w:rPr>
                <w:rFonts w:eastAsia="Times New Roman" w:cs="Arial"/>
                <w:spacing w:val="-1"/>
              </w:rPr>
            </w:pPr>
            <w:r w:rsidRPr="009D3012">
              <w:rPr>
                <w:rFonts w:eastAsia="Times New Roman" w:cs="Arial"/>
                <w:spacing w:val="-1"/>
              </w:rPr>
              <w:t>I.11.4.</w:t>
            </w:r>
            <w:r w:rsidR="00EC2544" w:rsidRPr="009D3012">
              <w:rPr>
                <w:rFonts w:eastAsia="Times New Roman" w:cs="Arial"/>
                <w:spacing w:val="-1"/>
              </w:rPr>
              <w:t>1</w:t>
            </w:r>
            <w:r w:rsidRPr="009D3012">
              <w:rPr>
                <w:rFonts w:eastAsia="Times New Roman" w:cs="Arial"/>
                <w:spacing w:val="-1"/>
              </w:rPr>
              <w:t xml:space="preserve">(7) </w:t>
            </w:r>
          </w:p>
          <w:p w14:paraId="10BAD12C" w14:textId="77777777" w:rsidR="0032499B" w:rsidRPr="009D3012" w:rsidRDefault="0032499B" w:rsidP="009D3012">
            <w:pPr>
              <w:widowControl w:val="0"/>
              <w:spacing w:after="0" w:line="240" w:lineRule="auto"/>
              <w:ind w:right="-1242"/>
              <w:rPr>
                <w:rFonts w:eastAsia="Times New Roman" w:cs="Arial"/>
                <w:spacing w:val="-1"/>
              </w:rPr>
            </w:pPr>
          </w:p>
        </w:tc>
      </w:tr>
      <w:tr w:rsidR="0032499B" w:rsidRPr="001455DC" w14:paraId="5FCB5A18" w14:textId="77777777" w:rsidTr="009D3012">
        <w:tc>
          <w:tcPr>
            <w:tcW w:w="1526" w:type="dxa"/>
            <w:tcBorders>
              <w:top w:val="nil"/>
              <w:left w:val="nil"/>
              <w:bottom w:val="nil"/>
              <w:right w:val="nil"/>
            </w:tcBorders>
            <w:shd w:val="clear" w:color="auto" w:fill="auto"/>
          </w:tcPr>
          <w:p w14:paraId="5364E11D" w14:textId="77777777" w:rsidR="0032499B" w:rsidRPr="009D3012" w:rsidRDefault="00231E33" w:rsidP="0056481D">
            <w:pPr>
              <w:widowControl w:val="0"/>
              <w:spacing w:after="0" w:line="240" w:lineRule="auto"/>
              <w:ind w:left="1304" w:hanging="1276"/>
              <w:jc w:val="left"/>
              <w:rPr>
                <w:rFonts w:ascii="Cambria Math" w:eastAsia="Times New Roman" w:hAnsi="Cambria Math" w:cs="Arial"/>
                <w:spacing w:val="-1"/>
                <w:oMath/>
              </w:rPr>
            </w:pPr>
            <m:oMathPara>
              <m:oMath>
                <m:sSub>
                  <m:sSubPr>
                    <m:ctrlPr>
                      <w:rPr>
                        <w:rFonts w:ascii="Cambria Math" w:eastAsia="Times New Roman" w:hAnsi="Cambria Math" w:cs="Arial"/>
                        <w:i/>
                        <w:spacing w:val="-1"/>
                      </w:rPr>
                    </m:ctrlPr>
                  </m:sSubPr>
                  <m:e>
                    <m:r>
                      <w:rPr>
                        <w:rFonts w:ascii="Cambria Math" w:eastAsia="Times New Roman" w:hAnsi="Cambria Math" w:cs="Arial"/>
                        <w:spacing w:val="-1"/>
                      </w:rPr>
                      <m:t>f</m:t>
                    </m:r>
                  </m:e>
                  <m:sub>
                    <m:r>
                      <w:rPr>
                        <w:rFonts w:ascii="Cambria Math" w:eastAsia="Times New Roman" w:hAnsi="Cambria Math" w:cs="Arial"/>
                        <w:spacing w:val="-1"/>
                      </w:rPr>
                      <m:t>ck,is</m:t>
                    </m:r>
                  </m:sub>
                </m:sSub>
              </m:oMath>
            </m:oMathPara>
          </w:p>
          <w:p w14:paraId="2662DABF" w14:textId="77777777" w:rsidR="0032499B" w:rsidRPr="009D3012" w:rsidRDefault="0032499B" w:rsidP="0056481D">
            <w:pPr>
              <w:widowControl w:val="0"/>
              <w:spacing w:after="0" w:line="240" w:lineRule="auto"/>
              <w:ind w:left="1304" w:hanging="1276"/>
              <w:jc w:val="left"/>
              <w:rPr>
                <w:rFonts w:eastAsia="Times New Roman"/>
                <w:spacing w:val="-1"/>
              </w:rPr>
            </w:pPr>
          </w:p>
          <w:p w14:paraId="4F21A078" w14:textId="59CAC337" w:rsidR="0032499B" w:rsidRPr="009D3012" w:rsidRDefault="0032499B" w:rsidP="0032499B">
            <w:pPr>
              <w:widowControl w:val="0"/>
              <w:spacing w:after="0" w:line="240" w:lineRule="auto"/>
              <w:jc w:val="left"/>
              <w:rPr>
                <w:rFonts w:eastAsia="Times New Roman"/>
                <w:spacing w:val="-1"/>
              </w:rPr>
            </w:pPr>
          </w:p>
        </w:tc>
        <w:tc>
          <w:tcPr>
            <w:tcW w:w="6520" w:type="dxa"/>
            <w:tcBorders>
              <w:top w:val="nil"/>
              <w:left w:val="nil"/>
              <w:bottom w:val="nil"/>
              <w:right w:val="nil"/>
            </w:tcBorders>
            <w:shd w:val="clear" w:color="auto" w:fill="auto"/>
          </w:tcPr>
          <w:p w14:paraId="798A7156" w14:textId="33970BF8" w:rsidR="0032499B" w:rsidRPr="009D3012" w:rsidRDefault="0032499B">
            <w:pPr>
              <w:widowControl w:val="0"/>
              <w:spacing w:after="0" w:line="240" w:lineRule="auto"/>
              <w:jc w:val="left"/>
              <w:rPr>
                <w:rFonts w:eastAsia="Times New Roman"/>
                <w:spacing w:val="-1"/>
              </w:rPr>
            </w:pPr>
            <w:r w:rsidRPr="009D3012">
              <w:rPr>
                <w:rFonts w:eastAsia="Times New Roman"/>
                <w:spacing w:val="-1"/>
              </w:rPr>
              <w:t>Characteristic in</w:t>
            </w:r>
            <w:r w:rsidRPr="009D3012">
              <w:rPr>
                <w:rFonts w:eastAsia="Times New Roman" w:cs="Cambria Math"/>
                <w:spacing w:val="-1"/>
              </w:rPr>
              <w:t>‐</w:t>
            </w:r>
            <w:r w:rsidRPr="009D3012">
              <w:rPr>
                <w:rFonts w:eastAsia="Times New Roman"/>
                <w:spacing w:val="-1"/>
              </w:rPr>
              <w:t>situ compressive strength of concrete cores expressed in terms of the strength of a 2:1 core of diameter ≥ 75 mm (5 % fractile) and assessed according to EN 13791</w:t>
            </w:r>
            <w:r w:rsidR="00A04E33" w:rsidRPr="009D3012">
              <w:rPr>
                <w:rFonts w:eastAsia="Times New Roman"/>
                <w:spacing w:val="-1"/>
              </w:rPr>
              <w:t>:2019, Clause 8</w:t>
            </w:r>
          </w:p>
        </w:tc>
        <w:tc>
          <w:tcPr>
            <w:tcW w:w="1985" w:type="dxa"/>
            <w:tcBorders>
              <w:top w:val="nil"/>
              <w:left w:val="nil"/>
              <w:bottom w:val="nil"/>
              <w:right w:val="nil"/>
            </w:tcBorders>
            <w:shd w:val="clear" w:color="auto" w:fill="auto"/>
          </w:tcPr>
          <w:p w14:paraId="58160504" w14:textId="22D81B36" w:rsidR="0032499B" w:rsidRPr="009D3012" w:rsidRDefault="0032499B" w:rsidP="009D3012">
            <w:pPr>
              <w:widowControl w:val="0"/>
              <w:spacing w:after="0" w:line="240" w:lineRule="auto"/>
              <w:ind w:right="-1242"/>
              <w:rPr>
                <w:rFonts w:eastAsia="Times New Roman" w:cs="Arial"/>
                <w:spacing w:val="-1"/>
              </w:rPr>
            </w:pPr>
            <w:r w:rsidRPr="009D3012">
              <w:rPr>
                <w:rFonts w:eastAsia="Times New Roman" w:cs="Arial"/>
                <w:spacing w:val="-1"/>
              </w:rPr>
              <w:t>I.5.</w:t>
            </w:r>
            <w:r w:rsidR="00EC2544" w:rsidRPr="009D3012">
              <w:rPr>
                <w:rFonts w:eastAsia="Times New Roman" w:cs="Arial"/>
                <w:spacing w:val="-1"/>
              </w:rPr>
              <w:t>2</w:t>
            </w:r>
            <w:r w:rsidRPr="009D3012">
              <w:rPr>
                <w:rFonts w:eastAsia="Times New Roman" w:cs="Arial"/>
                <w:spacing w:val="-1"/>
              </w:rPr>
              <w:t>.1</w:t>
            </w:r>
          </w:p>
        </w:tc>
      </w:tr>
      <w:tr w:rsidR="0032499B" w:rsidRPr="001455DC" w14:paraId="10105413" w14:textId="77777777" w:rsidTr="009D3012">
        <w:tc>
          <w:tcPr>
            <w:tcW w:w="1526" w:type="dxa"/>
            <w:tcBorders>
              <w:top w:val="nil"/>
              <w:left w:val="nil"/>
              <w:bottom w:val="nil"/>
              <w:right w:val="nil"/>
            </w:tcBorders>
            <w:shd w:val="clear" w:color="auto" w:fill="auto"/>
          </w:tcPr>
          <w:p w14:paraId="174C3D49" w14:textId="78C5902A" w:rsidR="0032499B" w:rsidRPr="009D3012" w:rsidRDefault="00231E33" w:rsidP="0056481D">
            <w:pPr>
              <w:widowControl w:val="0"/>
              <w:spacing w:after="0" w:line="240" w:lineRule="auto"/>
              <w:ind w:left="1307" w:hanging="1276"/>
              <w:jc w:val="left"/>
              <w:rPr>
                <w:rFonts w:eastAsia="Times New Roman" w:cs="Arial"/>
                <w:spacing w:val="-1"/>
              </w:rPr>
            </w:pPr>
            <m:oMathPara>
              <m:oMath>
                <m:sSub>
                  <m:sSubPr>
                    <m:ctrlPr>
                      <w:rPr>
                        <w:rFonts w:ascii="Cambria Math" w:eastAsia="Times New Roman" w:hAnsi="Cambria Math" w:cs="Arial"/>
                        <w:i/>
                        <w:spacing w:val="-1"/>
                      </w:rPr>
                    </m:ctrlPr>
                  </m:sSubPr>
                  <m:e>
                    <m:r>
                      <w:rPr>
                        <w:rFonts w:ascii="Cambria Math" w:eastAsia="Times New Roman" w:hAnsi="Cambria Math" w:cs="Arial"/>
                        <w:spacing w:val="-1"/>
                      </w:rPr>
                      <m:t>f</m:t>
                    </m:r>
                  </m:e>
                  <m:sub>
                    <m:r>
                      <w:rPr>
                        <w:rFonts w:ascii="Cambria Math" w:eastAsia="Times New Roman" w:hAnsi="Cambria Math" w:cs="Arial"/>
                        <w:spacing w:val="-1"/>
                      </w:rPr>
                      <m:t>ctk,is;0,05</m:t>
                    </m:r>
                  </m:sub>
                </m:sSub>
              </m:oMath>
            </m:oMathPara>
          </w:p>
        </w:tc>
        <w:tc>
          <w:tcPr>
            <w:tcW w:w="6520" w:type="dxa"/>
            <w:tcBorders>
              <w:top w:val="nil"/>
              <w:left w:val="nil"/>
              <w:bottom w:val="nil"/>
              <w:right w:val="nil"/>
            </w:tcBorders>
            <w:shd w:val="clear" w:color="auto" w:fill="auto"/>
          </w:tcPr>
          <w:p w14:paraId="5BCA842D" w14:textId="435D990E" w:rsidR="0032499B" w:rsidRPr="009D3012" w:rsidRDefault="0032499B" w:rsidP="009D3012">
            <w:pPr>
              <w:widowControl w:val="0"/>
              <w:spacing w:after="0" w:line="240" w:lineRule="auto"/>
              <w:jc w:val="left"/>
              <w:rPr>
                <w:rFonts w:eastAsia="Times New Roman" w:cs="Arial"/>
                <w:spacing w:val="-1"/>
              </w:rPr>
            </w:pPr>
            <w:r w:rsidRPr="009D3012">
              <w:rPr>
                <w:rFonts w:eastAsia="Times New Roman" w:cs="Arial"/>
                <w:spacing w:val="-1"/>
              </w:rPr>
              <w:t>Characteristic measured in-situ axial tensile strength of concrete (5% fractile</w:t>
            </w:r>
          </w:p>
        </w:tc>
        <w:tc>
          <w:tcPr>
            <w:tcW w:w="1985" w:type="dxa"/>
            <w:tcBorders>
              <w:top w:val="nil"/>
              <w:left w:val="nil"/>
              <w:bottom w:val="nil"/>
              <w:right w:val="nil"/>
            </w:tcBorders>
            <w:shd w:val="clear" w:color="auto" w:fill="auto"/>
          </w:tcPr>
          <w:p w14:paraId="62D7E8F1" w14:textId="1AED784D" w:rsidR="0032499B" w:rsidRPr="009D3012" w:rsidRDefault="0032499B" w:rsidP="009D3012">
            <w:pPr>
              <w:widowControl w:val="0"/>
              <w:spacing w:after="0" w:line="240" w:lineRule="auto"/>
              <w:ind w:right="-1242"/>
              <w:rPr>
                <w:rFonts w:eastAsia="Times New Roman" w:cs="Arial"/>
                <w:spacing w:val="-1"/>
              </w:rPr>
            </w:pPr>
            <w:r w:rsidRPr="009D3012">
              <w:rPr>
                <w:rFonts w:eastAsia="Times New Roman" w:cs="Arial"/>
                <w:spacing w:val="-1"/>
              </w:rPr>
              <w:t>I.11.4.</w:t>
            </w:r>
            <w:r w:rsidR="00EC2544" w:rsidRPr="009D3012">
              <w:rPr>
                <w:rFonts w:eastAsia="Times New Roman" w:cs="Arial"/>
                <w:spacing w:val="-1"/>
              </w:rPr>
              <w:t>1</w:t>
            </w:r>
            <w:r w:rsidRPr="009D3012">
              <w:rPr>
                <w:rFonts w:eastAsia="Times New Roman" w:cs="Arial"/>
                <w:spacing w:val="-1"/>
              </w:rPr>
              <w:t xml:space="preserve">(11) </w:t>
            </w:r>
          </w:p>
        </w:tc>
      </w:tr>
      <w:tr w:rsidR="0032499B" w:rsidRPr="001455DC" w14:paraId="55B71084" w14:textId="77777777" w:rsidTr="009D3012">
        <w:tc>
          <w:tcPr>
            <w:tcW w:w="1526" w:type="dxa"/>
            <w:tcBorders>
              <w:top w:val="nil"/>
              <w:left w:val="nil"/>
              <w:bottom w:val="nil"/>
              <w:right w:val="nil"/>
            </w:tcBorders>
            <w:shd w:val="clear" w:color="auto" w:fill="auto"/>
          </w:tcPr>
          <w:p w14:paraId="5D760D4E" w14:textId="137D70C3" w:rsidR="0032499B" w:rsidRPr="009D3012" w:rsidRDefault="00231E33" w:rsidP="0056481D">
            <w:pPr>
              <w:widowControl w:val="0"/>
              <w:spacing w:after="0" w:line="240" w:lineRule="auto"/>
              <w:ind w:left="1307" w:hanging="1276"/>
              <w:jc w:val="left"/>
              <w:rPr>
                <w:rFonts w:eastAsia="Times New Roman"/>
                <w:spacing w:val="-1"/>
              </w:rPr>
            </w:pPr>
            <m:oMathPara>
              <m:oMath>
                <m:sSub>
                  <m:sSubPr>
                    <m:ctrlPr>
                      <w:rPr>
                        <w:rFonts w:ascii="Cambria Math" w:eastAsia="Times New Roman" w:hAnsi="Cambria Math" w:cs="Arial"/>
                        <w:i/>
                        <w:spacing w:val="-1"/>
                      </w:rPr>
                    </m:ctrlPr>
                  </m:sSubPr>
                  <m:e>
                    <m:r>
                      <w:rPr>
                        <w:rFonts w:ascii="Cambria Math" w:eastAsia="Times New Roman" w:hAnsi="Cambria Math" w:cs="Arial"/>
                        <w:spacing w:val="-1"/>
                      </w:rPr>
                      <m:t>k</m:t>
                    </m:r>
                  </m:e>
                  <m:sub>
                    <m:r>
                      <w:rPr>
                        <w:rFonts w:ascii="Cambria Math" w:eastAsia="Times New Roman" w:hAnsi="Cambria Math" w:cs="Arial"/>
                        <w:spacing w:val="-1"/>
                      </w:rPr>
                      <m:t>lbs,c</m:t>
                    </m:r>
                  </m:sub>
                </m:sSub>
              </m:oMath>
            </m:oMathPara>
          </w:p>
        </w:tc>
        <w:tc>
          <w:tcPr>
            <w:tcW w:w="6520" w:type="dxa"/>
            <w:tcBorders>
              <w:top w:val="nil"/>
              <w:left w:val="nil"/>
              <w:bottom w:val="nil"/>
              <w:right w:val="nil"/>
            </w:tcBorders>
            <w:shd w:val="clear" w:color="auto" w:fill="auto"/>
          </w:tcPr>
          <w:p w14:paraId="645651FE" w14:textId="11E82FC6" w:rsidR="0032499B" w:rsidRPr="009D3012" w:rsidRDefault="0032499B" w:rsidP="009D3012">
            <w:pPr>
              <w:widowControl w:val="0"/>
              <w:spacing w:after="0" w:line="240" w:lineRule="auto"/>
              <w:jc w:val="left"/>
              <w:rPr>
                <w:rFonts w:eastAsia="Times New Roman"/>
                <w:spacing w:val="-1"/>
              </w:rPr>
            </w:pPr>
            <w:r w:rsidRPr="009D3012">
              <w:rPr>
                <w:rFonts w:eastAsia="Times New Roman" w:cs="Arial"/>
                <w:spacing w:val="-1"/>
              </w:rPr>
              <w:t>Coefficient for bond calculation in case of low concrete cover</w:t>
            </w:r>
          </w:p>
        </w:tc>
        <w:tc>
          <w:tcPr>
            <w:tcW w:w="1985" w:type="dxa"/>
            <w:tcBorders>
              <w:top w:val="nil"/>
              <w:left w:val="nil"/>
              <w:bottom w:val="nil"/>
              <w:right w:val="nil"/>
            </w:tcBorders>
            <w:shd w:val="clear" w:color="auto" w:fill="auto"/>
          </w:tcPr>
          <w:p w14:paraId="14E95037" w14:textId="438F1CF2" w:rsidR="0032499B" w:rsidRPr="009D3012" w:rsidRDefault="0032499B" w:rsidP="009D3012">
            <w:pPr>
              <w:widowControl w:val="0"/>
              <w:spacing w:after="0" w:line="240" w:lineRule="auto"/>
              <w:ind w:right="-1242"/>
              <w:rPr>
                <w:rFonts w:eastAsia="Times New Roman" w:cs="Arial"/>
                <w:spacing w:val="-1"/>
              </w:rPr>
            </w:pPr>
            <w:r w:rsidRPr="009D3012">
              <w:rPr>
                <w:rFonts w:eastAsia="Times New Roman" w:cs="Arial"/>
                <w:spacing w:val="-1"/>
              </w:rPr>
              <w:t>I.11.4.2(7)</w:t>
            </w:r>
          </w:p>
        </w:tc>
      </w:tr>
      <w:tr w:rsidR="0032499B" w:rsidRPr="001455DC" w14:paraId="423DA3CB" w14:textId="77777777" w:rsidTr="009D3012">
        <w:tc>
          <w:tcPr>
            <w:tcW w:w="1526" w:type="dxa"/>
            <w:tcBorders>
              <w:top w:val="nil"/>
              <w:left w:val="nil"/>
              <w:bottom w:val="nil"/>
              <w:right w:val="nil"/>
            </w:tcBorders>
            <w:shd w:val="clear" w:color="auto" w:fill="auto"/>
          </w:tcPr>
          <w:p w14:paraId="6B017D2E" w14:textId="53172B7E" w:rsidR="0032499B" w:rsidRPr="009D3012" w:rsidRDefault="00231E33" w:rsidP="0056481D">
            <w:pPr>
              <w:widowControl w:val="0"/>
              <w:spacing w:after="0" w:line="240" w:lineRule="auto"/>
              <w:ind w:left="1307" w:hanging="1276"/>
              <w:jc w:val="left"/>
              <w:rPr>
                <w:rFonts w:eastAsia="Times New Roman"/>
                <w:spacing w:val="-1"/>
              </w:rPr>
            </w:pPr>
            <m:oMathPara>
              <m:oMath>
                <m:sSub>
                  <m:sSubPr>
                    <m:ctrlPr>
                      <w:rPr>
                        <w:rFonts w:ascii="Cambria Math" w:eastAsia="Times New Roman" w:hAnsi="Cambria Math" w:cs="Arial"/>
                        <w:i/>
                        <w:spacing w:val="-1"/>
                      </w:rPr>
                    </m:ctrlPr>
                  </m:sSubPr>
                  <m:e>
                    <m:r>
                      <w:rPr>
                        <w:rFonts w:ascii="Cambria Math" w:eastAsia="Times New Roman" w:hAnsi="Cambria Math" w:cs="Arial"/>
                        <w:spacing w:val="-1"/>
                      </w:rPr>
                      <m:t>k</m:t>
                    </m:r>
                  </m:e>
                  <m:sub>
                    <m:r>
                      <w:rPr>
                        <w:rFonts w:ascii="Cambria Math" w:eastAsia="Times New Roman" w:hAnsi="Cambria Math" w:cs="Arial"/>
                        <w:spacing w:val="-1"/>
                      </w:rPr>
                      <m:t>n</m:t>
                    </m:r>
                  </m:sub>
                </m:sSub>
              </m:oMath>
            </m:oMathPara>
          </w:p>
        </w:tc>
        <w:tc>
          <w:tcPr>
            <w:tcW w:w="6520" w:type="dxa"/>
            <w:tcBorders>
              <w:top w:val="nil"/>
              <w:left w:val="nil"/>
              <w:bottom w:val="nil"/>
              <w:right w:val="nil"/>
            </w:tcBorders>
            <w:shd w:val="clear" w:color="auto" w:fill="auto"/>
          </w:tcPr>
          <w:p w14:paraId="74A557DE" w14:textId="2B5E134D" w:rsidR="0032499B" w:rsidRPr="009D3012" w:rsidRDefault="0032499B" w:rsidP="009D3012">
            <w:pPr>
              <w:widowControl w:val="0"/>
              <w:spacing w:after="0" w:line="240" w:lineRule="auto"/>
              <w:jc w:val="left"/>
              <w:rPr>
                <w:rFonts w:eastAsia="Times New Roman"/>
                <w:spacing w:val="-1"/>
              </w:rPr>
            </w:pPr>
            <w:r w:rsidRPr="009D3012">
              <w:rPr>
                <w:rFonts w:eastAsia="Times New Roman" w:cs="Arial"/>
                <w:spacing w:val="-1"/>
              </w:rPr>
              <w:t xml:space="preserve">Characteristic fractile factor for a sample size </w:t>
            </w:r>
            <m:oMath>
              <m:r>
                <w:rPr>
                  <w:rFonts w:ascii="Cambria Math" w:eastAsia="Times New Roman" w:hAnsi="Cambria Math" w:cs="Arial"/>
                  <w:spacing w:val="-1"/>
                </w:rPr>
                <m:t>n</m:t>
              </m:r>
            </m:oMath>
            <w:r w:rsidRPr="009D3012">
              <w:rPr>
                <w:rFonts w:eastAsia="Times New Roman" w:cs="Arial"/>
                <w:spacing w:val="-1"/>
              </w:rPr>
              <w:tab/>
            </w:r>
          </w:p>
        </w:tc>
        <w:tc>
          <w:tcPr>
            <w:tcW w:w="1985" w:type="dxa"/>
            <w:tcBorders>
              <w:top w:val="nil"/>
              <w:left w:val="nil"/>
              <w:bottom w:val="nil"/>
              <w:right w:val="nil"/>
            </w:tcBorders>
            <w:shd w:val="clear" w:color="auto" w:fill="auto"/>
          </w:tcPr>
          <w:p w14:paraId="68FE1672" w14:textId="77777777" w:rsidR="00C04ACB" w:rsidRPr="009D3012" w:rsidRDefault="0032499B" w:rsidP="009D3012">
            <w:pPr>
              <w:widowControl w:val="0"/>
              <w:spacing w:after="0" w:line="240" w:lineRule="auto"/>
              <w:ind w:left="1307" w:right="-1242" w:hanging="1276"/>
              <w:rPr>
                <w:rFonts w:eastAsia="Times New Roman" w:cs="Arial"/>
                <w:spacing w:val="-1"/>
              </w:rPr>
            </w:pPr>
            <w:r w:rsidRPr="009D3012">
              <w:rPr>
                <w:rFonts w:eastAsia="Times New Roman" w:cs="Arial"/>
                <w:spacing w:val="-1"/>
              </w:rPr>
              <w:t>I.5.</w:t>
            </w:r>
            <w:r w:rsidR="00C04ACB" w:rsidRPr="009D3012">
              <w:rPr>
                <w:rFonts w:eastAsia="Times New Roman" w:cs="Arial"/>
                <w:spacing w:val="-1"/>
              </w:rPr>
              <w:t>2</w:t>
            </w:r>
            <w:r w:rsidRPr="009D3012">
              <w:rPr>
                <w:rFonts w:eastAsia="Times New Roman" w:cs="Arial"/>
                <w:spacing w:val="-1"/>
              </w:rPr>
              <w:t>.1 and I.5.</w:t>
            </w:r>
            <w:r w:rsidR="00C04ACB" w:rsidRPr="009D3012">
              <w:rPr>
                <w:rFonts w:eastAsia="Times New Roman" w:cs="Arial"/>
                <w:spacing w:val="-1"/>
              </w:rPr>
              <w:t>3</w:t>
            </w:r>
            <w:r w:rsidRPr="009D3012">
              <w:rPr>
                <w:rFonts w:eastAsia="Times New Roman" w:cs="Arial"/>
                <w:spacing w:val="-1"/>
              </w:rPr>
              <w:t xml:space="preserve">, </w:t>
            </w:r>
          </w:p>
          <w:p w14:paraId="332C36C3" w14:textId="2C4AAF55" w:rsidR="0032499B" w:rsidRPr="009D3012" w:rsidRDefault="00C04ACB" w:rsidP="009D3012">
            <w:pPr>
              <w:widowControl w:val="0"/>
              <w:spacing w:after="0" w:line="240" w:lineRule="auto"/>
              <w:ind w:left="1307" w:right="-1242" w:hanging="1276"/>
              <w:rPr>
                <w:rFonts w:eastAsia="Times New Roman" w:cs="Arial"/>
                <w:spacing w:val="-1"/>
              </w:rPr>
            </w:pPr>
            <w:r w:rsidRPr="009D3012">
              <w:rPr>
                <w:rFonts w:eastAsia="Times New Roman" w:cs="Arial"/>
                <w:spacing w:val="-1"/>
              </w:rPr>
              <w:t>I.5.4</w:t>
            </w:r>
          </w:p>
        </w:tc>
      </w:tr>
      <w:tr w:rsidR="0032499B" w:rsidRPr="001455DC" w14:paraId="638DBC1F" w14:textId="77777777" w:rsidTr="009D3012">
        <w:tc>
          <w:tcPr>
            <w:tcW w:w="1526" w:type="dxa"/>
            <w:tcBorders>
              <w:top w:val="nil"/>
              <w:left w:val="nil"/>
              <w:bottom w:val="nil"/>
              <w:right w:val="nil"/>
            </w:tcBorders>
            <w:shd w:val="clear" w:color="auto" w:fill="auto"/>
          </w:tcPr>
          <w:p w14:paraId="6F8F6CA6" w14:textId="77777777" w:rsidR="0032499B" w:rsidRPr="009D3012" w:rsidRDefault="00231E33" w:rsidP="0056481D">
            <w:pPr>
              <w:widowControl w:val="0"/>
              <w:spacing w:after="0" w:line="240" w:lineRule="auto"/>
              <w:ind w:left="1307" w:hanging="1276"/>
              <w:jc w:val="left"/>
              <w:rPr>
                <w:rFonts w:ascii="Cambria Math" w:hAnsi="Cambria Math" w:cs="Arial"/>
                <w:lang w:eastAsia="ja-JP"/>
                <w:oMath/>
              </w:rPr>
            </w:pPr>
            <m:oMathPara>
              <m:oMath>
                <m:sSub>
                  <m:sSubPr>
                    <m:ctrlPr>
                      <w:rPr>
                        <w:rFonts w:ascii="Cambria Math" w:hAnsi="Cambria Math" w:cs="Arial"/>
                        <w:bCs/>
                        <w:i/>
                        <w:lang w:eastAsia="ja-JP"/>
                      </w:rPr>
                    </m:ctrlPr>
                  </m:sSubPr>
                  <m:e>
                    <m:r>
                      <w:rPr>
                        <w:rFonts w:ascii="Cambria Math" w:eastAsia="Times New Roman" w:hAnsi="Cambria Math" w:cs="Arial"/>
                        <w:lang w:val="en-US" w:eastAsia="fr-FR"/>
                      </w:rPr>
                      <m:t>k</m:t>
                    </m:r>
                  </m:e>
                  <m:sub>
                    <m:r>
                      <w:rPr>
                        <w:rFonts w:ascii="Cambria Math" w:eastAsia="Times New Roman" w:hAnsi="Cambria Math" w:cs="Arial"/>
                        <w:lang w:val="en-US" w:eastAsia="fr-FR"/>
                      </w:rPr>
                      <m:t>μfc</m:t>
                    </m:r>
                  </m:sub>
                </m:sSub>
              </m:oMath>
            </m:oMathPara>
          </w:p>
          <w:p w14:paraId="20AE3B48" w14:textId="77777777" w:rsidR="0032499B" w:rsidRPr="009D3012" w:rsidRDefault="0032499B" w:rsidP="0056481D">
            <w:pPr>
              <w:widowControl w:val="0"/>
              <w:spacing w:after="0" w:line="240" w:lineRule="auto"/>
              <w:ind w:left="1307" w:hanging="1276"/>
              <w:jc w:val="left"/>
              <w:rPr>
                <w:rFonts w:eastAsia="Times New Roman" w:cs="Arial"/>
                <w:spacing w:val="-1"/>
              </w:rPr>
            </w:pPr>
          </w:p>
          <w:p w14:paraId="51C16B20" w14:textId="68522668" w:rsidR="0032499B" w:rsidRPr="009D3012" w:rsidRDefault="0032499B" w:rsidP="0032499B">
            <w:pPr>
              <w:widowControl w:val="0"/>
              <w:spacing w:after="0" w:line="240" w:lineRule="auto"/>
              <w:jc w:val="left"/>
              <w:rPr>
                <w:rFonts w:eastAsia="Times New Roman"/>
                <w:spacing w:val="-1"/>
              </w:rPr>
            </w:pPr>
          </w:p>
        </w:tc>
        <w:tc>
          <w:tcPr>
            <w:tcW w:w="6520" w:type="dxa"/>
            <w:tcBorders>
              <w:top w:val="nil"/>
              <w:left w:val="nil"/>
              <w:bottom w:val="nil"/>
              <w:right w:val="nil"/>
            </w:tcBorders>
            <w:shd w:val="clear" w:color="auto" w:fill="auto"/>
          </w:tcPr>
          <w:p w14:paraId="43C00142" w14:textId="24CE9EB6" w:rsidR="0032499B" w:rsidRPr="009D3012" w:rsidRDefault="0032499B">
            <w:pPr>
              <w:widowControl w:val="0"/>
              <w:spacing w:after="0" w:line="240" w:lineRule="auto"/>
              <w:jc w:val="left"/>
              <w:rPr>
                <w:rFonts w:eastAsia="Times New Roman"/>
                <w:spacing w:val="-1"/>
              </w:rPr>
            </w:pPr>
            <w:r w:rsidRPr="009D3012">
              <w:rPr>
                <w:rFonts w:eastAsia="Times New Roman" w:cs="Arial"/>
                <w:spacing w:val="-1"/>
              </w:rPr>
              <w:t xml:space="preserve">Parameter to be used to evaluate </w:t>
            </w:r>
            <m:oMath>
              <m:sSub>
                <m:sSubPr>
                  <m:ctrlPr>
                    <w:rPr>
                      <w:rFonts w:ascii="Cambria Math" w:eastAsia="Times New Roman" w:hAnsi="Cambria Math" w:cs="Arial"/>
                      <w:i/>
                      <w:spacing w:val="-1"/>
                    </w:rPr>
                  </m:ctrlPr>
                </m:sSubPr>
                <m:e>
                  <m:r>
                    <w:rPr>
                      <w:rFonts w:ascii="Cambria Math" w:eastAsia="Times New Roman" w:hAnsi="Cambria Math" w:cs="Arial"/>
                      <w:spacing w:val="-1"/>
                    </w:rPr>
                    <m:t>f</m:t>
                  </m:r>
                </m:e>
                <m:sub>
                  <m:r>
                    <w:rPr>
                      <w:rFonts w:ascii="Cambria Math" w:eastAsia="Times New Roman" w:hAnsi="Cambria Math" w:cs="Arial"/>
                      <w:spacing w:val="-1"/>
                    </w:rPr>
                    <m:t>ck</m:t>
                  </m:r>
                </m:sub>
              </m:sSub>
            </m:oMath>
            <w:r w:rsidRPr="009D3012">
              <w:rPr>
                <w:rFonts w:eastAsia="Times New Roman" w:cs="Arial"/>
                <w:spacing w:val="-1"/>
              </w:rPr>
              <w:t xml:space="preserve"> from </w:t>
            </w:r>
            <m:oMath>
              <m:sSub>
                <m:sSubPr>
                  <m:ctrlPr>
                    <w:rPr>
                      <w:rFonts w:ascii="Cambria Math" w:eastAsia="Times New Roman" w:hAnsi="Cambria Math" w:cs="Arial"/>
                      <w:i/>
                      <w:spacing w:val="-1"/>
                    </w:rPr>
                  </m:ctrlPr>
                </m:sSubPr>
                <m:e>
                  <m:r>
                    <w:rPr>
                      <w:rFonts w:ascii="Cambria Math" w:eastAsia="Times New Roman" w:hAnsi="Cambria Math" w:cs="Arial"/>
                      <w:spacing w:val="-1"/>
                    </w:rPr>
                    <m:t>f</m:t>
                  </m:r>
                </m:e>
                <m:sub>
                  <m:r>
                    <w:rPr>
                      <w:rFonts w:ascii="Cambria Math" w:eastAsia="Times New Roman" w:hAnsi="Cambria Math" w:cs="Arial"/>
                      <w:spacing w:val="-1"/>
                    </w:rPr>
                    <m:t>ck,is</m:t>
                  </m:r>
                </m:sub>
              </m:sSub>
            </m:oMath>
            <w:r w:rsidRPr="009D3012">
              <w:rPr>
                <w:rFonts w:eastAsia="Times New Roman" w:cs="Arial"/>
                <w:spacing w:val="-1"/>
              </w:rPr>
              <w:t xml:space="preserve"> and that account for the representativeness of the in-situ compressive concrete strength assessed according to EN 13791</w:t>
            </w:r>
            <w:r w:rsidR="00A04E33" w:rsidRPr="009D3012">
              <w:rPr>
                <w:rFonts w:eastAsia="Times New Roman" w:cs="Arial"/>
                <w:spacing w:val="-1"/>
              </w:rPr>
              <w:t>:2019</w:t>
            </w:r>
            <w:r w:rsidR="00302272">
              <w:rPr>
                <w:rFonts w:eastAsia="Times New Roman" w:cs="Arial"/>
                <w:spacing w:val="-1"/>
              </w:rPr>
              <w:t>, C</w:t>
            </w:r>
            <w:r w:rsidRPr="009D3012">
              <w:rPr>
                <w:rFonts w:eastAsia="Times New Roman" w:cs="Arial"/>
                <w:spacing w:val="-1"/>
              </w:rPr>
              <w:t xml:space="preserve">lause 8 </w:t>
            </w:r>
          </w:p>
        </w:tc>
        <w:tc>
          <w:tcPr>
            <w:tcW w:w="1985" w:type="dxa"/>
            <w:tcBorders>
              <w:top w:val="nil"/>
              <w:left w:val="nil"/>
              <w:bottom w:val="nil"/>
              <w:right w:val="nil"/>
            </w:tcBorders>
            <w:shd w:val="clear" w:color="auto" w:fill="auto"/>
          </w:tcPr>
          <w:p w14:paraId="0437964D" w14:textId="250A863E" w:rsidR="0032499B" w:rsidRPr="009D3012" w:rsidRDefault="0032499B" w:rsidP="009D3012">
            <w:pPr>
              <w:widowControl w:val="0"/>
              <w:spacing w:after="0" w:line="240" w:lineRule="auto"/>
              <w:ind w:right="-1242"/>
              <w:rPr>
                <w:rFonts w:eastAsia="Times New Roman" w:cs="Arial"/>
                <w:spacing w:val="-1"/>
              </w:rPr>
            </w:pPr>
            <w:r w:rsidRPr="009D3012">
              <w:rPr>
                <w:rFonts w:eastAsia="Times New Roman" w:cs="Arial"/>
                <w:spacing w:val="-1"/>
              </w:rPr>
              <w:t>I.5.</w:t>
            </w:r>
            <w:r w:rsidR="00C04ACB" w:rsidRPr="009D3012">
              <w:rPr>
                <w:rFonts w:eastAsia="Times New Roman" w:cs="Arial"/>
                <w:spacing w:val="-1"/>
              </w:rPr>
              <w:t>2</w:t>
            </w:r>
            <w:r w:rsidRPr="009D3012">
              <w:rPr>
                <w:rFonts w:eastAsia="Times New Roman" w:cs="Arial"/>
                <w:spacing w:val="-1"/>
              </w:rPr>
              <w:t>.1(3)</w:t>
            </w:r>
          </w:p>
        </w:tc>
      </w:tr>
      <w:tr w:rsidR="0032499B" w:rsidRPr="001455DC" w14:paraId="03DB8EAD" w14:textId="77777777" w:rsidTr="009D3012">
        <w:tc>
          <w:tcPr>
            <w:tcW w:w="1526" w:type="dxa"/>
            <w:tcBorders>
              <w:top w:val="nil"/>
              <w:left w:val="nil"/>
              <w:bottom w:val="nil"/>
              <w:right w:val="nil"/>
            </w:tcBorders>
            <w:shd w:val="clear" w:color="auto" w:fill="auto"/>
          </w:tcPr>
          <w:p w14:paraId="603FC8FA" w14:textId="77777777" w:rsidR="0032499B" w:rsidRPr="009D3012" w:rsidRDefault="0032499B" w:rsidP="0056481D">
            <w:pPr>
              <w:widowControl w:val="0"/>
              <w:spacing w:after="0" w:line="240" w:lineRule="auto"/>
              <w:ind w:left="1307" w:hanging="1276"/>
              <w:jc w:val="left"/>
              <w:rPr>
                <w:rFonts w:ascii="Cambria Math" w:eastAsia="Times New Roman" w:hAnsi="Cambria Math" w:cs="Arial"/>
                <w:spacing w:val="-1"/>
                <w:oMath/>
              </w:rPr>
            </w:pPr>
            <m:oMathPara>
              <m:oMath>
                <m:r>
                  <w:rPr>
                    <w:rFonts w:ascii="Cambria Math" w:eastAsia="Times New Roman" w:hAnsi="Cambria Math" w:cs="Arial"/>
                    <w:spacing w:val="-1"/>
                  </w:rPr>
                  <m:t>mtssl</m:t>
                </m:r>
              </m:oMath>
            </m:oMathPara>
          </w:p>
          <w:p w14:paraId="4F76DB49" w14:textId="1CE3BC23" w:rsidR="0032499B" w:rsidRPr="009D3012" w:rsidRDefault="0032499B" w:rsidP="0032499B">
            <w:pPr>
              <w:widowControl w:val="0"/>
              <w:spacing w:after="0" w:line="240" w:lineRule="auto"/>
              <w:jc w:val="left"/>
              <w:rPr>
                <w:rFonts w:eastAsia="Times New Roman"/>
                <w:spacing w:val="-1"/>
              </w:rPr>
            </w:pPr>
          </w:p>
        </w:tc>
        <w:tc>
          <w:tcPr>
            <w:tcW w:w="6520" w:type="dxa"/>
            <w:tcBorders>
              <w:top w:val="nil"/>
              <w:left w:val="nil"/>
              <w:bottom w:val="nil"/>
              <w:right w:val="nil"/>
            </w:tcBorders>
            <w:shd w:val="clear" w:color="auto" w:fill="auto"/>
          </w:tcPr>
          <w:p w14:paraId="50DF9E62" w14:textId="7A36468D" w:rsidR="0032499B" w:rsidRPr="009D3012" w:rsidRDefault="0032499B">
            <w:pPr>
              <w:widowControl w:val="0"/>
              <w:spacing w:after="0" w:line="240" w:lineRule="auto"/>
              <w:jc w:val="left"/>
              <w:rPr>
                <w:rFonts w:eastAsia="Times New Roman"/>
                <w:spacing w:val="-1"/>
              </w:rPr>
            </w:pPr>
            <w:r w:rsidRPr="009D3012">
              <w:rPr>
                <w:rFonts w:eastAsia="Times New Roman" w:cs="Arial"/>
                <w:spacing w:val="-1"/>
              </w:rPr>
              <w:t xml:space="preserve">Maximum value of the transverse spacing of shear legs given in in 12.3.1 and 12.4.1 for beams and slabs respectively </w:t>
            </w:r>
            <w:r w:rsidRPr="009D3012">
              <w:rPr>
                <w:rFonts w:eastAsia="Times New Roman" w:cs="Arial"/>
                <w:spacing w:val="-1"/>
              </w:rPr>
              <w:tab/>
            </w:r>
          </w:p>
        </w:tc>
        <w:tc>
          <w:tcPr>
            <w:tcW w:w="1985" w:type="dxa"/>
            <w:tcBorders>
              <w:top w:val="nil"/>
              <w:left w:val="nil"/>
              <w:bottom w:val="nil"/>
              <w:right w:val="nil"/>
            </w:tcBorders>
            <w:shd w:val="clear" w:color="auto" w:fill="auto"/>
          </w:tcPr>
          <w:p w14:paraId="1DC75A2F" w14:textId="69A4EEF5" w:rsidR="0032499B" w:rsidRPr="009D3012" w:rsidRDefault="0032499B" w:rsidP="009D3012">
            <w:pPr>
              <w:widowControl w:val="0"/>
              <w:spacing w:after="0" w:line="240" w:lineRule="auto"/>
              <w:ind w:right="-1242"/>
              <w:rPr>
                <w:rFonts w:eastAsia="Times New Roman" w:cs="Arial"/>
                <w:spacing w:val="-1"/>
              </w:rPr>
            </w:pPr>
            <w:r w:rsidRPr="009D3012">
              <w:rPr>
                <w:rFonts w:eastAsia="Times New Roman" w:cs="Arial"/>
                <w:spacing w:val="-1"/>
              </w:rPr>
              <w:t>I.8.</w:t>
            </w:r>
            <w:r w:rsidR="00C04ACB" w:rsidRPr="009D3012">
              <w:rPr>
                <w:rFonts w:eastAsia="Times New Roman" w:cs="Arial"/>
                <w:spacing w:val="-1"/>
              </w:rPr>
              <w:t>3</w:t>
            </w:r>
            <w:r w:rsidRPr="009D3012">
              <w:rPr>
                <w:rFonts w:eastAsia="Times New Roman" w:cs="Arial"/>
                <w:spacing w:val="-1"/>
              </w:rPr>
              <w:t>.</w:t>
            </w:r>
            <w:r w:rsidR="00C04ACB" w:rsidRPr="009D3012">
              <w:rPr>
                <w:rFonts w:eastAsia="Times New Roman" w:cs="Arial"/>
                <w:spacing w:val="-1"/>
              </w:rPr>
              <w:t>2</w:t>
            </w:r>
            <w:r w:rsidRPr="009D3012">
              <w:rPr>
                <w:rFonts w:eastAsia="Times New Roman" w:cs="Arial"/>
                <w:spacing w:val="-1"/>
              </w:rPr>
              <w:t>(4)</w:t>
            </w:r>
          </w:p>
        </w:tc>
      </w:tr>
      <w:tr w:rsidR="0032499B" w:rsidRPr="001455DC" w14:paraId="677187DD" w14:textId="77777777" w:rsidTr="009D3012">
        <w:tc>
          <w:tcPr>
            <w:tcW w:w="1526" w:type="dxa"/>
            <w:tcBorders>
              <w:top w:val="nil"/>
              <w:left w:val="nil"/>
              <w:bottom w:val="nil"/>
              <w:right w:val="nil"/>
            </w:tcBorders>
            <w:shd w:val="clear" w:color="auto" w:fill="auto"/>
          </w:tcPr>
          <w:p w14:paraId="18FD2EE9" w14:textId="35083179" w:rsidR="0032499B" w:rsidRPr="009D3012" w:rsidRDefault="00231E33" w:rsidP="0056481D">
            <w:pPr>
              <w:widowControl w:val="0"/>
              <w:spacing w:after="0" w:line="240" w:lineRule="auto"/>
              <w:ind w:left="1307" w:hanging="1276"/>
              <w:jc w:val="left"/>
              <w:rPr>
                <w:rFonts w:eastAsia="Times New Roman"/>
                <w:spacing w:val="-1"/>
              </w:rPr>
            </w:pPr>
            <m:oMathPara>
              <m:oMath>
                <m:sSub>
                  <m:sSubPr>
                    <m:ctrlPr>
                      <w:rPr>
                        <w:rFonts w:ascii="Cambria Math" w:eastAsia="Times New Roman" w:hAnsi="Cambria Math" w:cs="Arial"/>
                        <w:i/>
                        <w:spacing w:val="-1"/>
                      </w:rPr>
                    </m:ctrlPr>
                  </m:sSubPr>
                  <m:e>
                    <m:r>
                      <w:rPr>
                        <w:rFonts w:ascii="Cambria Math" w:eastAsia="Times New Roman" w:hAnsi="Cambria Math" w:cs="Arial"/>
                        <w:spacing w:val="-1"/>
                      </w:rPr>
                      <m:t>m</m:t>
                    </m:r>
                  </m:e>
                  <m:sub>
                    <m:r>
                      <w:rPr>
                        <w:rFonts w:ascii="Cambria Math" w:eastAsia="Times New Roman" w:hAnsi="Cambria Math" w:cs="Arial"/>
                        <w:spacing w:val="-1"/>
                      </w:rPr>
                      <m:t>x</m:t>
                    </m:r>
                  </m:sub>
                </m:sSub>
              </m:oMath>
            </m:oMathPara>
          </w:p>
        </w:tc>
        <w:tc>
          <w:tcPr>
            <w:tcW w:w="6520" w:type="dxa"/>
            <w:tcBorders>
              <w:top w:val="nil"/>
              <w:left w:val="nil"/>
              <w:bottom w:val="nil"/>
              <w:right w:val="nil"/>
            </w:tcBorders>
            <w:shd w:val="clear" w:color="auto" w:fill="auto"/>
          </w:tcPr>
          <w:p w14:paraId="4C22276B" w14:textId="1080B764" w:rsidR="0032499B" w:rsidRPr="009D3012" w:rsidRDefault="0032499B" w:rsidP="009D3012">
            <w:pPr>
              <w:widowControl w:val="0"/>
              <w:spacing w:after="0" w:line="240" w:lineRule="auto"/>
              <w:jc w:val="left"/>
              <w:rPr>
                <w:rFonts w:eastAsia="Times New Roman"/>
                <w:spacing w:val="-1"/>
              </w:rPr>
            </w:pPr>
            <w:r w:rsidRPr="009D3012">
              <w:rPr>
                <w:rFonts w:eastAsia="Times New Roman" w:cs="Arial"/>
                <w:spacing w:val="-1"/>
              </w:rPr>
              <w:t xml:space="preserve">Mean value of the variable </w:t>
            </w:r>
            <m:oMath>
              <m:r>
                <w:rPr>
                  <w:rFonts w:ascii="Cambria Math" w:eastAsia="Times New Roman" w:hAnsi="Cambria Math" w:cs="Arial"/>
                  <w:spacing w:val="-1"/>
                </w:rPr>
                <m:t>X</m:t>
              </m:r>
            </m:oMath>
            <w:r w:rsidRPr="009D3012">
              <w:rPr>
                <w:rFonts w:eastAsia="Times New Roman" w:cs="Arial"/>
                <w:spacing w:val="-1"/>
              </w:rPr>
              <w:t xml:space="preserve"> from </w:t>
            </w:r>
            <m:oMath>
              <m:r>
                <w:rPr>
                  <w:rFonts w:ascii="Cambria Math" w:eastAsia="Times New Roman" w:hAnsi="Cambria Math" w:cs="Arial"/>
                  <w:spacing w:val="-1"/>
                </w:rPr>
                <m:t>n</m:t>
              </m:r>
            </m:oMath>
            <w:r w:rsidRPr="009D3012">
              <w:rPr>
                <w:rFonts w:eastAsia="Times New Roman" w:cs="Arial"/>
                <w:spacing w:val="-1"/>
              </w:rPr>
              <w:t xml:space="preserve"> sample results</w:t>
            </w:r>
          </w:p>
        </w:tc>
        <w:tc>
          <w:tcPr>
            <w:tcW w:w="1985" w:type="dxa"/>
            <w:tcBorders>
              <w:top w:val="nil"/>
              <w:left w:val="nil"/>
              <w:bottom w:val="nil"/>
              <w:right w:val="nil"/>
            </w:tcBorders>
            <w:shd w:val="clear" w:color="auto" w:fill="auto"/>
          </w:tcPr>
          <w:p w14:paraId="43FD4CA1" w14:textId="204DDCB4" w:rsidR="0032499B" w:rsidRPr="009D3012" w:rsidRDefault="00C04ACB" w:rsidP="009D3012">
            <w:pPr>
              <w:widowControl w:val="0"/>
              <w:spacing w:after="0" w:line="240" w:lineRule="auto"/>
              <w:ind w:right="-1242"/>
              <w:rPr>
                <w:rFonts w:eastAsia="Times New Roman" w:cs="Arial"/>
                <w:spacing w:val="-1"/>
              </w:rPr>
            </w:pPr>
            <w:r w:rsidRPr="009D3012">
              <w:rPr>
                <w:rFonts w:eastAsia="Times New Roman" w:cs="Arial"/>
                <w:spacing w:val="-1"/>
              </w:rPr>
              <w:t>I.5.3, I.5.4</w:t>
            </w:r>
          </w:p>
        </w:tc>
      </w:tr>
      <w:tr w:rsidR="0032499B" w:rsidRPr="001455DC" w14:paraId="738A541B" w14:textId="77777777" w:rsidTr="009D3012">
        <w:tc>
          <w:tcPr>
            <w:tcW w:w="1526" w:type="dxa"/>
            <w:tcBorders>
              <w:top w:val="nil"/>
              <w:left w:val="nil"/>
              <w:bottom w:val="nil"/>
              <w:right w:val="nil"/>
            </w:tcBorders>
            <w:shd w:val="clear" w:color="auto" w:fill="auto"/>
          </w:tcPr>
          <w:p w14:paraId="09761F27" w14:textId="4EEAE94D" w:rsidR="0032499B" w:rsidRPr="009D3012" w:rsidRDefault="0032499B" w:rsidP="0056481D">
            <w:pPr>
              <w:widowControl w:val="0"/>
              <w:spacing w:after="0" w:line="240" w:lineRule="auto"/>
              <w:ind w:left="1307" w:hanging="1276"/>
              <w:jc w:val="left"/>
              <w:rPr>
                <w:rFonts w:eastAsia="Times New Roman"/>
                <w:spacing w:val="-1"/>
              </w:rPr>
            </w:pPr>
            <m:oMathPara>
              <m:oMath>
                <m:r>
                  <w:rPr>
                    <w:rFonts w:ascii="Cambria Math" w:eastAsia="Times New Roman" w:hAnsi="Cambria Math" w:cs="Arial"/>
                    <w:spacing w:val="-1"/>
                  </w:rPr>
                  <m:t>n</m:t>
                </m:r>
              </m:oMath>
            </m:oMathPara>
          </w:p>
        </w:tc>
        <w:tc>
          <w:tcPr>
            <w:tcW w:w="6520" w:type="dxa"/>
            <w:tcBorders>
              <w:top w:val="nil"/>
              <w:left w:val="nil"/>
              <w:bottom w:val="nil"/>
              <w:right w:val="nil"/>
            </w:tcBorders>
            <w:shd w:val="clear" w:color="auto" w:fill="auto"/>
          </w:tcPr>
          <w:p w14:paraId="35DD01CF" w14:textId="104C01BA" w:rsidR="0032499B" w:rsidRPr="009D3012" w:rsidRDefault="0032499B" w:rsidP="009D3012">
            <w:pPr>
              <w:widowControl w:val="0"/>
              <w:spacing w:after="0" w:line="240" w:lineRule="auto"/>
              <w:jc w:val="left"/>
              <w:rPr>
                <w:rFonts w:eastAsia="Times New Roman"/>
                <w:spacing w:val="-1"/>
              </w:rPr>
            </w:pPr>
            <w:r w:rsidRPr="009D3012">
              <w:rPr>
                <w:rFonts w:eastAsia="Times New Roman" w:cs="Arial"/>
                <w:spacing w:val="-1"/>
              </w:rPr>
              <w:t>Number of test results</w:t>
            </w:r>
            <w:r w:rsidRPr="009D3012">
              <w:rPr>
                <w:rFonts w:eastAsia="Times New Roman" w:cs="Arial"/>
                <w:spacing w:val="-1"/>
              </w:rPr>
              <w:tab/>
            </w:r>
          </w:p>
        </w:tc>
        <w:tc>
          <w:tcPr>
            <w:tcW w:w="1985" w:type="dxa"/>
            <w:tcBorders>
              <w:top w:val="nil"/>
              <w:left w:val="nil"/>
              <w:bottom w:val="nil"/>
              <w:right w:val="nil"/>
            </w:tcBorders>
            <w:shd w:val="clear" w:color="auto" w:fill="auto"/>
          </w:tcPr>
          <w:p w14:paraId="1395C3EF" w14:textId="1A742CC1" w:rsidR="0032499B" w:rsidRPr="009D3012" w:rsidRDefault="00C04ACB" w:rsidP="009D3012">
            <w:pPr>
              <w:widowControl w:val="0"/>
              <w:spacing w:after="0" w:line="240" w:lineRule="auto"/>
              <w:ind w:right="-1242"/>
              <w:rPr>
                <w:rFonts w:eastAsia="Times New Roman" w:cs="Arial"/>
                <w:spacing w:val="-1"/>
              </w:rPr>
            </w:pPr>
            <w:r w:rsidRPr="009D3012">
              <w:rPr>
                <w:rFonts w:eastAsia="Times New Roman" w:cs="Arial"/>
                <w:spacing w:val="-1"/>
              </w:rPr>
              <w:t>I.5.3, I.5.4</w:t>
            </w:r>
          </w:p>
        </w:tc>
      </w:tr>
      <w:tr w:rsidR="0032499B" w:rsidRPr="001455DC" w14:paraId="4F13D861" w14:textId="77777777" w:rsidTr="009D3012">
        <w:tc>
          <w:tcPr>
            <w:tcW w:w="1526" w:type="dxa"/>
            <w:tcBorders>
              <w:top w:val="nil"/>
              <w:left w:val="nil"/>
              <w:bottom w:val="nil"/>
              <w:right w:val="nil"/>
            </w:tcBorders>
            <w:shd w:val="clear" w:color="auto" w:fill="auto"/>
          </w:tcPr>
          <w:p w14:paraId="1CC97710" w14:textId="169076AB" w:rsidR="0032499B" w:rsidRPr="009D3012" w:rsidRDefault="00231E33" w:rsidP="0056481D">
            <w:pPr>
              <w:widowControl w:val="0"/>
              <w:spacing w:after="0" w:line="240" w:lineRule="auto"/>
              <w:ind w:left="1307" w:hanging="1276"/>
              <w:jc w:val="left"/>
              <w:rPr>
                <w:rFonts w:eastAsia="Times New Roman"/>
                <w:spacing w:val="-1"/>
              </w:rPr>
            </w:pPr>
            <m:oMathPara>
              <m:oMath>
                <m:sSub>
                  <m:sSubPr>
                    <m:ctrlPr>
                      <w:rPr>
                        <w:rFonts w:ascii="Cambria Math" w:eastAsia="Times New Roman" w:hAnsi="Cambria Math" w:cs="Arial"/>
                        <w:i/>
                        <w:spacing w:val="-1"/>
                      </w:rPr>
                    </m:ctrlPr>
                  </m:sSubPr>
                  <m:e>
                    <m:r>
                      <w:rPr>
                        <w:rFonts w:ascii="Cambria Math" w:eastAsia="Times New Roman" w:hAnsi="Cambria Math" w:cs="Arial"/>
                        <w:spacing w:val="-1"/>
                      </w:rPr>
                      <m:t>s</m:t>
                    </m:r>
                  </m:e>
                  <m:sub>
                    <m:r>
                      <w:rPr>
                        <w:rFonts w:ascii="Cambria Math" w:eastAsia="Times New Roman" w:hAnsi="Cambria Math" w:cs="Arial"/>
                        <w:spacing w:val="-1"/>
                      </w:rPr>
                      <m:t>X</m:t>
                    </m:r>
                  </m:sub>
                </m:sSub>
              </m:oMath>
            </m:oMathPara>
          </w:p>
        </w:tc>
        <w:tc>
          <w:tcPr>
            <w:tcW w:w="6520" w:type="dxa"/>
            <w:tcBorders>
              <w:top w:val="nil"/>
              <w:left w:val="nil"/>
              <w:bottom w:val="nil"/>
              <w:right w:val="nil"/>
            </w:tcBorders>
            <w:shd w:val="clear" w:color="auto" w:fill="auto"/>
          </w:tcPr>
          <w:p w14:paraId="0656F945" w14:textId="56946917" w:rsidR="0032499B" w:rsidRPr="009D3012" w:rsidRDefault="0032499B" w:rsidP="009D3012">
            <w:pPr>
              <w:widowControl w:val="0"/>
              <w:spacing w:after="0" w:line="240" w:lineRule="auto"/>
              <w:jc w:val="left"/>
              <w:rPr>
                <w:rFonts w:eastAsia="Times New Roman"/>
                <w:spacing w:val="-1"/>
              </w:rPr>
            </w:pPr>
            <w:r w:rsidRPr="009D3012">
              <w:rPr>
                <w:rFonts w:eastAsia="Times New Roman" w:cs="Arial"/>
                <w:spacing w:val="-1"/>
              </w:rPr>
              <w:t xml:space="preserve">Estimated value of the standard deviation of the variable </w:t>
            </w:r>
            <m:oMath>
              <m:r>
                <w:rPr>
                  <w:rFonts w:ascii="Cambria Math" w:eastAsia="Times New Roman" w:hAnsi="Cambria Math" w:cs="Arial"/>
                  <w:spacing w:val="-1"/>
                </w:rPr>
                <m:t>X</m:t>
              </m:r>
            </m:oMath>
            <w:r w:rsidRPr="009D3012">
              <w:rPr>
                <w:rFonts w:eastAsia="Times New Roman" w:cs="Arial"/>
                <w:spacing w:val="-1"/>
              </w:rPr>
              <w:t xml:space="preserve"> from </w:t>
            </w:r>
            <m:oMath>
              <m:r>
                <w:rPr>
                  <w:rFonts w:ascii="Cambria Math" w:eastAsia="Times New Roman" w:hAnsi="Cambria Math" w:cs="Arial"/>
                  <w:spacing w:val="-1"/>
                </w:rPr>
                <m:t>n</m:t>
              </m:r>
            </m:oMath>
            <w:r w:rsidRPr="009D3012">
              <w:rPr>
                <w:rFonts w:eastAsia="Times New Roman" w:cs="Arial"/>
                <w:spacing w:val="-1"/>
              </w:rPr>
              <w:t xml:space="preserve"> sample results</w:t>
            </w:r>
          </w:p>
        </w:tc>
        <w:tc>
          <w:tcPr>
            <w:tcW w:w="1985" w:type="dxa"/>
            <w:tcBorders>
              <w:top w:val="nil"/>
              <w:left w:val="nil"/>
              <w:bottom w:val="nil"/>
              <w:right w:val="nil"/>
            </w:tcBorders>
            <w:shd w:val="clear" w:color="auto" w:fill="auto"/>
          </w:tcPr>
          <w:p w14:paraId="77E95FF9" w14:textId="7A5EDB3E" w:rsidR="0032499B" w:rsidRPr="009D3012" w:rsidRDefault="00C04ACB" w:rsidP="009D3012">
            <w:pPr>
              <w:widowControl w:val="0"/>
              <w:spacing w:after="0" w:line="240" w:lineRule="auto"/>
              <w:ind w:right="-1242"/>
              <w:rPr>
                <w:rFonts w:eastAsia="Times New Roman" w:cs="Arial"/>
                <w:spacing w:val="-1"/>
              </w:rPr>
            </w:pPr>
            <w:r w:rsidRPr="009D3012">
              <w:rPr>
                <w:rFonts w:eastAsia="Times New Roman" w:cs="Arial"/>
                <w:spacing w:val="-1"/>
              </w:rPr>
              <w:t>I.5.3, I.5.4</w:t>
            </w:r>
          </w:p>
        </w:tc>
      </w:tr>
      <w:tr w:rsidR="0032499B" w:rsidRPr="001455DC" w14:paraId="6B8BF674" w14:textId="77777777" w:rsidTr="009D3012">
        <w:trPr>
          <w:trHeight w:val="47"/>
        </w:trPr>
        <w:tc>
          <w:tcPr>
            <w:tcW w:w="1526" w:type="dxa"/>
            <w:tcBorders>
              <w:top w:val="nil"/>
              <w:left w:val="nil"/>
              <w:bottom w:val="nil"/>
              <w:right w:val="nil"/>
            </w:tcBorders>
            <w:shd w:val="clear" w:color="auto" w:fill="auto"/>
          </w:tcPr>
          <w:p w14:paraId="4760E412" w14:textId="705B875A" w:rsidR="0032499B" w:rsidRPr="009D3012" w:rsidRDefault="00231E33" w:rsidP="0056481D">
            <w:pPr>
              <w:widowControl w:val="0"/>
              <w:spacing w:after="60" w:line="240" w:lineRule="auto"/>
              <w:ind w:left="1307" w:hanging="1276"/>
              <w:jc w:val="left"/>
              <w:rPr>
                <w:rFonts w:eastAsia="Times New Roman"/>
                <w:lang w:eastAsia="fr-FR"/>
              </w:rPr>
            </w:pPr>
            <m:oMathPara>
              <m:oMath>
                <m:sSub>
                  <m:sSubPr>
                    <m:ctrlPr>
                      <w:rPr>
                        <w:rFonts w:ascii="Cambria Math" w:eastAsia="Times New Roman" w:hAnsi="Cambria Math" w:cs="Arial"/>
                        <w:i/>
                        <w:spacing w:val="-1"/>
                      </w:rPr>
                    </m:ctrlPr>
                  </m:sSubPr>
                  <m:e>
                    <m:r>
                      <w:rPr>
                        <w:rFonts w:ascii="Cambria Math" w:eastAsia="Times New Roman" w:hAnsi="Cambria Math" w:cs="Arial"/>
                        <w:spacing w:val="-1"/>
                      </w:rPr>
                      <m:t>x</m:t>
                    </m:r>
                  </m:e>
                  <m:sub>
                    <m:r>
                      <w:rPr>
                        <w:rFonts w:ascii="Cambria Math" w:eastAsia="Times New Roman" w:hAnsi="Cambria Math" w:cs="Arial"/>
                        <w:spacing w:val="-1"/>
                      </w:rPr>
                      <m:t>i</m:t>
                    </m:r>
                  </m:sub>
                </m:sSub>
              </m:oMath>
            </m:oMathPara>
          </w:p>
        </w:tc>
        <w:tc>
          <w:tcPr>
            <w:tcW w:w="6520" w:type="dxa"/>
            <w:tcBorders>
              <w:top w:val="nil"/>
              <w:left w:val="nil"/>
              <w:bottom w:val="nil"/>
              <w:right w:val="nil"/>
            </w:tcBorders>
            <w:shd w:val="clear" w:color="auto" w:fill="auto"/>
          </w:tcPr>
          <w:p w14:paraId="1E74DE86" w14:textId="50B950BF" w:rsidR="0032499B" w:rsidRPr="009D3012" w:rsidRDefault="0032499B" w:rsidP="009D3012">
            <w:pPr>
              <w:widowControl w:val="0"/>
              <w:spacing w:after="60" w:line="240" w:lineRule="auto"/>
              <w:jc w:val="left"/>
              <w:rPr>
                <w:rFonts w:eastAsia="Times New Roman"/>
                <w:lang w:eastAsia="fr-FR"/>
              </w:rPr>
            </w:pPr>
            <w:r w:rsidRPr="009D3012">
              <w:rPr>
                <w:rFonts w:eastAsia="Times New Roman" w:cs="Arial"/>
                <w:spacing w:val="-1"/>
              </w:rPr>
              <w:t xml:space="preserve">Basic variable </w:t>
            </w:r>
            <m:oMath>
              <m:r>
                <w:rPr>
                  <w:rFonts w:ascii="Cambria Math" w:eastAsia="Times New Roman" w:hAnsi="Cambria Math" w:cs="Arial"/>
                  <w:spacing w:val="-1"/>
                </w:rPr>
                <m:t>i</m:t>
              </m:r>
            </m:oMath>
            <w:r w:rsidRPr="009D3012">
              <w:rPr>
                <w:rFonts w:eastAsia="Times New Roman" w:cs="Arial"/>
                <w:spacing w:val="-1"/>
              </w:rPr>
              <w:tab/>
            </w:r>
            <w:r w:rsidRPr="009D3012">
              <w:rPr>
                <w:rFonts w:eastAsia="Times New Roman" w:cs="Arial"/>
                <w:spacing w:val="-1"/>
              </w:rPr>
              <w:tab/>
            </w:r>
            <w:r w:rsidRPr="009D3012">
              <w:rPr>
                <w:rFonts w:eastAsia="Times New Roman" w:cs="Arial"/>
                <w:spacing w:val="-1"/>
              </w:rPr>
              <w:tab/>
            </w:r>
            <w:r w:rsidRPr="009D3012">
              <w:rPr>
                <w:rFonts w:eastAsia="Times New Roman" w:cs="Arial"/>
                <w:spacing w:val="-1"/>
              </w:rPr>
              <w:tab/>
            </w:r>
          </w:p>
        </w:tc>
        <w:tc>
          <w:tcPr>
            <w:tcW w:w="1985" w:type="dxa"/>
            <w:tcBorders>
              <w:top w:val="nil"/>
              <w:left w:val="nil"/>
              <w:bottom w:val="nil"/>
              <w:right w:val="nil"/>
            </w:tcBorders>
            <w:shd w:val="clear" w:color="auto" w:fill="auto"/>
          </w:tcPr>
          <w:p w14:paraId="6B1A506B" w14:textId="7B3DD50C" w:rsidR="0032499B" w:rsidRPr="009D3012" w:rsidRDefault="00C04ACB" w:rsidP="009D3012">
            <w:pPr>
              <w:widowControl w:val="0"/>
              <w:spacing w:after="0" w:line="240" w:lineRule="auto"/>
              <w:ind w:right="-1242"/>
              <w:rPr>
                <w:rFonts w:eastAsia="Times New Roman" w:cs="Arial"/>
                <w:spacing w:val="-1"/>
              </w:rPr>
            </w:pPr>
            <w:r w:rsidRPr="009D3012">
              <w:rPr>
                <w:rFonts w:eastAsia="Times New Roman" w:cs="Arial"/>
                <w:spacing w:val="-1"/>
              </w:rPr>
              <w:t>I.5.3, I.5.4</w:t>
            </w:r>
          </w:p>
        </w:tc>
      </w:tr>
    </w:tbl>
    <w:p w14:paraId="5BA1EED1" w14:textId="4012C238" w:rsidR="0032499B" w:rsidRPr="00E519AB" w:rsidRDefault="00E519AB" w:rsidP="00E519AB">
      <w:pPr>
        <w:pStyle w:val="p3"/>
        <w:spacing w:before="240" w:after="120"/>
        <w:rPr>
          <w:b/>
        </w:rPr>
      </w:pPr>
      <w:bookmarkStart w:id="109" w:name="_Toc67565290"/>
      <w:bookmarkStart w:id="110" w:name="_Toc55828635"/>
      <w:r w:rsidRPr="00E519AB">
        <w:rPr>
          <w:b/>
        </w:rPr>
        <w:t>3.4.3</w:t>
      </w:r>
      <w:r w:rsidRPr="00E519AB">
        <w:rPr>
          <w:b/>
        </w:rPr>
        <w:tab/>
      </w:r>
      <w:r w:rsidR="0032499B" w:rsidRPr="00E519AB">
        <w:rPr>
          <w:b/>
        </w:rPr>
        <w:t>Greek lower case letters</w:t>
      </w:r>
      <w:bookmarkEnd w:id="109"/>
      <w:r w:rsidR="0032499B" w:rsidRPr="00E519AB">
        <w:rPr>
          <w:b/>
        </w:rPr>
        <w:t xml:space="preserve"> </w:t>
      </w:r>
    </w:p>
    <w:tbl>
      <w:tblPr>
        <w:tblStyle w:val="Tabellenraster1"/>
        <w:tblW w:w="10031" w:type="dxa"/>
        <w:tblLayout w:type="fixed"/>
        <w:tblLook w:val="04A0" w:firstRow="1" w:lastRow="0" w:firstColumn="1" w:lastColumn="0" w:noHBand="0" w:noVBand="1"/>
      </w:tblPr>
      <w:tblGrid>
        <w:gridCol w:w="1526"/>
        <w:gridCol w:w="6520"/>
        <w:gridCol w:w="1985"/>
      </w:tblGrid>
      <w:tr w:rsidR="0032499B" w:rsidRPr="001455DC" w14:paraId="5EA08E38" w14:textId="77777777" w:rsidTr="009D3012">
        <w:tc>
          <w:tcPr>
            <w:tcW w:w="1526" w:type="dxa"/>
            <w:tcBorders>
              <w:top w:val="nil"/>
              <w:left w:val="nil"/>
              <w:bottom w:val="nil"/>
              <w:right w:val="nil"/>
            </w:tcBorders>
            <w:shd w:val="clear" w:color="auto" w:fill="auto"/>
          </w:tcPr>
          <w:bookmarkEnd w:id="110"/>
          <w:p w14:paraId="3CD000F2" w14:textId="77777777" w:rsidR="0032499B" w:rsidRPr="009D3012" w:rsidRDefault="00231E33" w:rsidP="0056481D">
            <w:pPr>
              <w:widowControl w:val="0"/>
              <w:spacing w:after="0" w:line="240" w:lineRule="auto"/>
              <w:ind w:left="1304" w:hanging="1276"/>
              <w:jc w:val="left"/>
              <w:rPr>
                <w:rFonts w:ascii="Cambria Math" w:eastAsia="Times New Roman" w:hAnsi="Cambria Math" w:cs="Calibri"/>
                <w:spacing w:val="-1"/>
                <w:oMath/>
              </w:rPr>
            </w:pPr>
            <m:oMath>
              <m:sSub>
                <m:sSubPr>
                  <m:ctrlPr>
                    <w:rPr>
                      <w:rFonts w:ascii="Cambria Math" w:eastAsia="Times New Roman" w:hAnsi="Cambria Math" w:cs="Calibri"/>
                      <w:i/>
                      <w:spacing w:val="-1"/>
                    </w:rPr>
                  </m:ctrlPr>
                </m:sSubPr>
                <m:e>
                  <m:r>
                    <w:rPr>
                      <w:rFonts w:ascii="Cambria Math" w:eastAsia="Times New Roman" w:hAnsi="Cambria Math" w:cs="Calibri"/>
                      <w:spacing w:val="-1"/>
                    </w:rPr>
                    <m:t>δ</m:t>
                  </m:r>
                </m:e>
                <m:sub>
                  <m:r>
                    <w:rPr>
                      <w:rFonts w:ascii="Cambria Math" w:eastAsia="Times New Roman" w:hAnsi="Cambria Math" w:cs="Calibri"/>
                      <w:spacing w:val="-1"/>
                    </w:rPr>
                    <m:t>1</m:t>
                  </m:r>
                </m:sub>
              </m:sSub>
            </m:oMath>
            <w:r w:rsidR="0032499B" w:rsidRPr="009D3012">
              <w:rPr>
                <w:rFonts w:eastAsia="Times New Roman" w:cs="Calibri"/>
                <w:iCs/>
                <w:spacing w:val="-1"/>
              </w:rPr>
              <w:t xml:space="preserve">, </w:t>
            </w:r>
            <m:oMath>
              <m:sSub>
                <m:sSubPr>
                  <m:ctrlPr>
                    <w:rPr>
                      <w:rFonts w:ascii="Cambria Math" w:eastAsia="Times New Roman" w:hAnsi="Cambria Math" w:cs="Calibri"/>
                      <w:i/>
                      <w:spacing w:val="-1"/>
                    </w:rPr>
                  </m:ctrlPr>
                </m:sSubPr>
                <m:e>
                  <m:r>
                    <w:rPr>
                      <w:rFonts w:ascii="Cambria Math" w:eastAsia="Times New Roman" w:hAnsi="Cambria Math" w:cs="Calibri"/>
                      <w:spacing w:val="-1"/>
                    </w:rPr>
                    <m:t>δ</m:t>
                  </m:r>
                </m:e>
                <m:sub>
                  <m:r>
                    <w:rPr>
                      <w:rFonts w:ascii="Cambria Math" w:eastAsia="Times New Roman" w:hAnsi="Cambria Math" w:cs="Calibri"/>
                      <w:spacing w:val="-1"/>
                    </w:rPr>
                    <m:t>2</m:t>
                  </m:r>
                </m:sub>
              </m:sSub>
            </m:oMath>
          </w:p>
          <w:p w14:paraId="3AFC59B3" w14:textId="786A1298" w:rsidR="0032499B" w:rsidRPr="009D3012" w:rsidRDefault="0032499B" w:rsidP="0032499B">
            <w:pPr>
              <w:widowControl w:val="0"/>
              <w:spacing w:after="0" w:line="240" w:lineRule="auto"/>
              <w:jc w:val="left"/>
              <w:rPr>
                <w:rFonts w:eastAsia="Times New Roman"/>
                <w:spacing w:val="-1"/>
              </w:rPr>
            </w:pPr>
          </w:p>
        </w:tc>
        <w:tc>
          <w:tcPr>
            <w:tcW w:w="6520" w:type="dxa"/>
            <w:tcBorders>
              <w:top w:val="nil"/>
              <w:left w:val="nil"/>
              <w:bottom w:val="nil"/>
              <w:right w:val="nil"/>
            </w:tcBorders>
            <w:shd w:val="clear" w:color="auto" w:fill="auto"/>
          </w:tcPr>
          <w:p w14:paraId="32764DA2" w14:textId="0F3D98F2" w:rsidR="0032499B" w:rsidRPr="009D3012" w:rsidRDefault="0032499B">
            <w:pPr>
              <w:widowControl w:val="0"/>
              <w:spacing w:after="0" w:line="240" w:lineRule="auto"/>
              <w:jc w:val="left"/>
              <w:rPr>
                <w:rFonts w:eastAsia="Times New Roman"/>
                <w:spacing w:val="-1"/>
              </w:rPr>
            </w:pPr>
            <w:r w:rsidRPr="009D3012">
              <w:rPr>
                <w:rFonts w:eastAsia="Times New Roman" w:cs="Arial"/>
                <w:spacing w:val="-1"/>
              </w:rPr>
              <w:t xml:space="preserve">Coefficients for the design value of the reinforcement stress at the cross section to be anchored by bond over </w:t>
            </w:r>
            <m:oMath>
              <m:sSub>
                <m:sSubPr>
                  <m:ctrlPr>
                    <w:rPr>
                      <w:rFonts w:ascii="Cambria Math" w:eastAsia="Times New Roman" w:hAnsi="Cambria Math" w:cs="Arial"/>
                      <w:i/>
                      <w:spacing w:val="-1"/>
                    </w:rPr>
                  </m:ctrlPr>
                </m:sSubPr>
                <m:e>
                  <m:r>
                    <w:rPr>
                      <w:rFonts w:ascii="Cambria Math" w:eastAsia="Times New Roman" w:hAnsi="Cambria Math" w:cs="Arial"/>
                      <w:spacing w:val="-1"/>
                    </w:rPr>
                    <m:t>l</m:t>
                  </m:r>
                </m:e>
                <m:sub>
                  <m:r>
                    <w:rPr>
                      <w:rFonts w:ascii="Cambria Math" w:eastAsia="Times New Roman" w:hAnsi="Cambria Math" w:cs="Arial"/>
                      <w:spacing w:val="-1"/>
                    </w:rPr>
                    <m:t>bd</m:t>
                  </m:r>
                </m:sub>
              </m:sSub>
            </m:oMath>
            <w:r w:rsidRPr="009D3012">
              <w:rPr>
                <w:rFonts w:eastAsia="Times New Roman" w:cs="Arial"/>
                <w:spacing w:val="-1"/>
              </w:rPr>
              <w:t xml:space="preserve"> in case of bends and hooks</w:t>
            </w:r>
          </w:p>
        </w:tc>
        <w:tc>
          <w:tcPr>
            <w:tcW w:w="1985" w:type="dxa"/>
            <w:tcBorders>
              <w:top w:val="nil"/>
              <w:left w:val="nil"/>
              <w:bottom w:val="nil"/>
              <w:right w:val="nil"/>
            </w:tcBorders>
            <w:shd w:val="clear" w:color="auto" w:fill="auto"/>
          </w:tcPr>
          <w:p w14:paraId="7E09F247" w14:textId="444B334D" w:rsidR="0032499B" w:rsidRPr="009D3012" w:rsidRDefault="0032499B">
            <w:pPr>
              <w:widowControl w:val="0"/>
              <w:spacing w:after="0" w:line="240" w:lineRule="auto"/>
              <w:jc w:val="left"/>
              <w:rPr>
                <w:rFonts w:eastAsia="Times New Roman" w:cs="Arial"/>
                <w:spacing w:val="-1"/>
              </w:rPr>
            </w:pPr>
            <w:r w:rsidRPr="009D3012">
              <w:rPr>
                <w:rFonts w:eastAsia="Times New Roman" w:cs="Arial"/>
                <w:spacing w:val="-1"/>
              </w:rPr>
              <w:t>I.11.4.</w:t>
            </w:r>
            <w:r w:rsidR="00C04ACB" w:rsidRPr="009D3012">
              <w:rPr>
                <w:rFonts w:eastAsia="Times New Roman" w:cs="Arial"/>
                <w:spacing w:val="-1"/>
              </w:rPr>
              <w:t>2</w:t>
            </w:r>
            <w:r w:rsidRPr="009D3012">
              <w:rPr>
                <w:rFonts w:eastAsia="Times New Roman" w:cs="Arial"/>
                <w:spacing w:val="-1"/>
              </w:rPr>
              <w:t>(1)</w:t>
            </w:r>
          </w:p>
        </w:tc>
      </w:tr>
      <w:tr w:rsidR="0032499B" w:rsidRPr="001455DC" w14:paraId="01DDFDF9" w14:textId="77777777" w:rsidTr="009D3012">
        <w:tc>
          <w:tcPr>
            <w:tcW w:w="1526" w:type="dxa"/>
            <w:tcBorders>
              <w:top w:val="nil"/>
              <w:left w:val="nil"/>
              <w:bottom w:val="nil"/>
              <w:right w:val="nil"/>
            </w:tcBorders>
            <w:shd w:val="clear" w:color="auto" w:fill="auto"/>
          </w:tcPr>
          <w:p w14:paraId="507CE112" w14:textId="70D396A7" w:rsidR="0032499B" w:rsidRPr="009D3012" w:rsidRDefault="00231E33">
            <w:pPr>
              <w:widowControl w:val="0"/>
              <w:spacing w:after="0" w:line="240" w:lineRule="auto"/>
              <w:ind w:left="1304" w:hanging="1276"/>
              <w:jc w:val="left"/>
              <w:rPr>
                <w:rFonts w:eastAsia="Times New Roman" w:cs="Arial"/>
                <w:spacing w:val="-1"/>
              </w:rPr>
            </w:pPr>
            <m:oMath>
              <m:sSub>
                <m:sSubPr>
                  <m:ctrlPr>
                    <w:rPr>
                      <w:rFonts w:ascii="Cambria Math" w:hAnsi="Cambria Math" w:cs="Arial"/>
                      <w:i/>
                      <w:spacing w:val="-1"/>
                    </w:rPr>
                  </m:ctrlPr>
                </m:sSubPr>
                <m:e>
                  <m:r>
                    <w:rPr>
                      <w:rFonts w:ascii="Cambria Math" w:hAnsi="Cambria Math" w:cs="Arial"/>
                      <w:spacing w:val="-1"/>
                    </w:rPr>
                    <m:t>η</m:t>
                  </m:r>
                </m:e>
                <m:sub>
                  <m:r>
                    <w:rPr>
                      <w:rFonts w:ascii="Cambria Math" w:hAnsi="Cambria Math" w:cs="Arial"/>
                      <w:spacing w:val="-1"/>
                    </w:rPr>
                    <m:t>1</m:t>
                  </m:r>
                  <m:ctrlPr>
                    <w:rPr>
                      <w:rFonts w:ascii="Cambria Math" w:hAnsi="Cambria Math" w:cs="Arial"/>
                      <w:iCs/>
                      <w:spacing w:val="-1"/>
                    </w:rPr>
                  </m:ctrlPr>
                </m:sub>
              </m:sSub>
            </m:oMath>
            <w:r w:rsidR="00FB0605" w:rsidRPr="009D3012">
              <w:rPr>
                <w:rFonts w:ascii="Symbol" w:hAnsi="Symbol" w:cs="Arial"/>
                <w:iCs/>
                <w:spacing w:val="-1"/>
              </w:rPr>
              <w:t></w:t>
            </w:r>
            <w:r w:rsidR="00FB0605" w:rsidRPr="009D3012">
              <w:rPr>
                <w:rFonts w:cs="Arial"/>
                <w:spacing w:val="-1"/>
              </w:rPr>
              <w:t xml:space="preserve"> </w:t>
            </w:r>
            <m:oMath>
              <m:sSub>
                <m:sSubPr>
                  <m:ctrlPr>
                    <w:rPr>
                      <w:rFonts w:ascii="Cambria Math" w:hAnsi="Cambria Math" w:cs="Arial"/>
                      <w:i/>
                      <w:spacing w:val="-1"/>
                    </w:rPr>
                  </m:ctrlPr>
                </m:sSubPr>
                <m:e>
                  <m:r>
                    <w:rPr>
                      <w:rFonts w:ascii="Cambria Math" w:hAnsi="Cambria Math" w:cs="Arial"/>
                      <w:spacing w:val="-1"/>
                    </w:rPr>
                    <m:t>η</m:t>
                  </m:r>
                </m:e>
                <m:sub>
                  <m:r>
                    <w:rPr>
                      <w:rFonts w:ascii="Cambria Math" w:hAnsi="Cambria Math" w:cs="Arial"/>
                      <w:spacing w:val="-1"/>
                    </w:rPr>
                    <m:t>2</m:t>
                  </m:r>
                  <m:ctrlPr>
                    <w:rPr>
                      <w:rFonts w:ascii="Cambria Math" w:hAnsi="Cambria Math" w:cs="Arial"/>
                      <w:iCs/>
                      <w:spacing w:val="-1"/>
                    </w:rPr>
                  </m:ctrlPr>
                </m:sub>
              </m:sSub>
            </m:oMath>
            <w:r w:rsidR="00FB0605" w:rsidRPr="009D3012">
              <w:rPr>
                <w:rFonts w:ascii="Symbol" w:hAnsi="Symbol" w:cs="Arial"/>
                <w:iCs/>
                <w:spacing w:val="-1"/>
              </w:rPr>
              <w:t></w:t>
            </w:r>
            <m:oMath>
              <m:r>
                <w:rPr>
                  <w:rFonts w:ascii="Cambria Math" w:hAnsi="Cambria Math" w:cs="Arial"/>
                  <w:spacing w:val="-1"/>
                </w:rPr>
                <m:t xml:space="preserve"> </m:t>
              </m:r>
              <m:sSub>
                <m:sSubPr>
                  <m:ctrlPr>
                    <w:rPr>
                      <w:rFonts w:ascii="Cambria Math" w:hAnsi="Cambria Math" w:cs="Arial"/>
                      <w:i/>
                      <w:spacing w:val="-1"/>
                    </w:rPr>
                  </m:ctrlPr>
                </m:sSubPr>
                <m:e>
                  <m:r>
                    <w:rPr>
                      <w:rFonts w:ascii="Cambria Math" w:hAnsi="Cambria Math" w:cs="Arial"/>
                      <w:spacing w:val="-1"/>
                    </w:rPr>
                    <m:t>η</m:t>
                  </m:r>
                </m:e>
                <m:sub>
                  <m:r>
                    <w:rPr>
                      <w:rFonts w:ascii="Cambria Math" w:hAnsi="Cambria Math" w:cs="Arial"/>
                      <w:spacing w:val="-1"/>
                    </w:rPr>
                    <m:t>3</m:t>
                  </m:r>
                  <m:ctrlPr>
                    <w:rPr>
                      <w:rFonts w:ascii="Cambria Math" w:hAnsi="Cambria Math" w:cs="Arial"/>
                      <w:iCs/>
                      <w:spacing w:val="-1"/>
                    </w:rPr>
                  </m:ctrlPr>
                </m:sub>
              </m:sSub>
            </m:oMath>
            <w:r w:rsidR="00FB0605" w:rsidRPr="009D3012">
              <w:rPr>
                <w:rFonts w:ascii="Symbol" w:hAnsi="Symbol" w:cs="Arial"/>
                <w:iCs/>
                <w:spacing w:val="-1"/>
              </w:rPr>
              <w:t></w:t>
            </w:r>
            <m:oMath>
              <m:r>
                <w:rPr>
                  <w:rFonts w:ascii="Cambria Math" w:hAnsi="Cambria Math" w:cs="Arial"/>
                  <w:spacing w:val="-1"/>
                </w:rPr>
                <m:t xml:space="preserve"> </m:t>
              </m:r>
              <m:sSub>
                <m:sSubPr>
                  <m:ctrlPr>
                    <w:rPr>
                      <w:rFonts w:ascii="Cambria Math" w:hAnsi="Cambria Math" w:cs="Arial"/>
                      <w:i/>
                      <w:spacing w:val="-1"/>
                    </w:rPr>
                  </m:ctrlPr>
                </m:sSubPr>
                <m:e>
                  <m:r>
                    <w:rPr>
                      <w:rFonts w:ascii="Cambria Math" w:hAnsi="Cambria Math" w:cs="Arial"/>
                      <w:spacing w:val="-1"/>
                    </w:rPr>
                    <m:t>η</m:t>
                  </m:r>
                </m:e>
                <m:sub>
                  <m:r>
                    <w:rPr>
                      <w:rFonts w:ascii="Cambria Math" w:hAnsi="Cambria Math" w:cs="Arial"/>
                      <w:spacing w:val="-1"/>
                    </w:rPr>
                    <m:t>4</m:t>
                  </m:r>
                  <m:ctrlPr>
                    <w:rPr>
                      <w:rFonts w:ascii="Cambria Math" w:hAnsi="Cambria Math" w:cs="Arial"/>
                      <w:iCs/>
                      <w:spacing w:val="-1"/>
                    </w:rPr>
                  </m:ctrlPr>
                </m:sub>
              </m:sSub>
            </m:oMath>
          </w:p>
        </w:tc>
        <w:tc>
          <w:tcPr>
            <w:tcW w:w="6520" w:type="dxa"/>
            <w:tcBorders>
              <w:top w:val="nil"/>
              <w:left w:val="nil"/>
              <w:bottom w:val="nil"/>
              <w:right w:val="nil"/>
            </w:tcBorders>
            <w:shd w:val="clear" w:color="auto" w:fill="auto"/>
          </w:tcPr>
          <w:p w14:paraId="3A0A3337" w14:textId="7784B76F" w:rsidR="0032499B" w:rsidRPr="009D3012" w:rsidRDefault="0032499B" w:rsidP="009D3012">
            <w:pPr>
              <w:widowControl w:val="0"/>
              <w:spacing w:after="0" w:line="240" w:lineRule="auto"/>
              <w:jc w:val="left"/>
              <w:rPr>
                <w:rFonts w:eastAsia="Times New Roman" w:cs="Arial"/>
                <w:spacing w:val="-1"/>
              </w:rPr>
            </w:pPr>
            <w:r w:rsidRPr="009D3012">
              <w:rPr>
                <w:rFonts w:eastAsia="Times New Roman" w:cs="Arial"/>
                <w:spacing w:val="-1"/>
              </w:rPr>
              <w:t xml:space="preserve">Coefficients for the design anchorage length </w:t>
            </w:r>
            <m:oMath>
              <m:sSub>
                <m:sSubPr>
                  <m:ctrlPr>
                    <w:rPr>
                      <w:rFonts w:ascii="Cambria Math" w:eastAsia="Times New Roman" w:hAnsi="Cambria Math" w:cs="Arial"/>
                      <w:i/>
                      <w:spacing w:val="-1"/>
                    </w:rPr>
                  </m:ctrlPr>
                </m:sSubPr>
                <m:e>
                  <m:r>
                    <w:rPr>
                      <w:rFonts w:ascii="Cambria Math" w:eastAsia="Times New Roman" w:hAnsi="Cambria Math" w:cs="Arial"/>
                      <w:spacing w:val="-1"/>
                    </w:rPr>
                    <m:t>l</m:t>
                  </m:r>
                </m:e>
                <m:sub>
                  <m:r>
                    <w:rPr>
                      <w:rFonts w:ascii="Cambria Math" w:eastAsia="Times New Roman" w:hAnsi="Cambria Math" w:cs="Arial"/>
                      <w:spacing w:val="-1"/>
                    </w:rPr>
                    <m:t>bd</m:t>
                  </m:r>
                </m:sub>
              </m:sSub>
            </m:oMath>
            <w:r w:rsidRPr="009D3012">
              <w:rPr>
                <w:rFonts w:eastAsia="Times New Roman" w:cs="Arial"/>
                <w:spacing w:val="-1"/>
              </w:rPr>
              <w:t xml:space="preserve"> for plain bars</w:t>
            </w:r>
          </w:p>
        </w:tc>
        <w:tc>
          <w:tcPr>
            <w:tcW w:w="1985" w:type="dxa"/>
            <w:tcBorders>
              <w:top w:val="nil"/>
              <w:left w:val="nil"/>
              <w:bottom w:val="nil"/>
              <w:right w:val="nil"/>
            </w:tcBorders>
            <w:shd w:val="clear" w:color="auto" w:fill="auto"/>
          </w:tcPr>
          <w:p w14:paraId="61D34A80" w14:textId="4730F643" w:rsidR="0032499B" w:rsidRPr="009D3012" w:rsidRDefault="0032499B">
            <w:pPr>
              <w:widowControl w:val="0"/>
              <w:spacing w:after="0" w:line="240" w:lineRule="auto"/>
              <w:jc w:val="left"/>
              <w:rPr>
                <w:rFonts w:eastAsia="Times New Roman" w:cs="Arial"/>
                <w:spacing w:val="-1"/>
              </w:rPr>
            </w:pPr>
            <w:r w:rsidRPr="009D3012">
              <w:rPr>
                <w:rFonts w:eastAsia="Times New Roman" w:cs="Arial"/>
                <w:spacing w:val="-1"/>
              </w:rPr>
              <w:t>I.11.4.</w:t>
            </w:r>
            <w:r w:rsidR="00C04ACB" w:rsidRPr="009D3012">
              <w:rPr>
                <w:rFonts w:eastAsia="Times New Roman" w:cs="Arial"/>
                <w:spacing w:val="-1"/>
              </w:rPr>
              <w:t>1</w:t>
            </w:r>
            <w:r w:rsidRPr="009D3012">
              <w:rPr>
                <w:rFonts w:eastAsia="Times New Roman" w:cs="Arial"/>
                <w:spacing w:val="-1"/>
              </w:rPr>
              <w:t>(3)</w:t>
            </w:r>
          </w:p>
        </w:tc>
      </w:tr>
      <w:tr w:rsidR="0032499B" w:rsidRPr="001455DC" w14:paraId="5865F36D" w14:textId="77777777" w:rsidTr="009D3012">
        <w:tc>
          <w:tcPr>
            <w:tcW w:w="1526" w:type="dxa"/>
            <w:tcBorders>
              <w:top w:val="nil"/>
              <w:left w:val="nil"/>
              <w:bottom w:val="nil"/>
              <w:right w:val="nil"/>
            </w:tcBorders>
            <w:shd w:val="clear" w:color="auto" w:fill="auto"/>
          </w:tcPr>
          <w:p w14:paraId="50375FD1" w14:textId="77777777" w:rsidR="0032499B" w:rsidRPr="009D3012" w:rsidRDefault="00231E33" w:rsidP="0056481D">
            <w:pPr>
              <w:widowControl w:val="0"/>
              <w:spacing w:after="0" w:line="240" w:lineRule="auto"/>
              <w:ind w:left="1304" w:hanging="1276"/>
              <w:jc w:val="left"/>
              <w:rPr>
                <w:rFonts w:ascii="Cambria Math" w:eastAsia="Times New Roman" w:hAnsi="Cambria Math" w:cs="Arial"/>
                <w:spacing w:val="-1"/>
                <w:oMath/>
              </w:rPr>
            </w:pPr>
            <m:oMathPara>
              <m:oMath>
                <m:sSubSup>
                  <m:sSubSupPr>
                    <m:ctrlPr>
                      <w:rPr>
                        <w:rFonts w:ascii="Cambria Math" w:eastAsia="Times New Roman" w:hAnsi="Cambria Math" w:cs="Arial"/>
                        <w:i/>
                        <w:spacing w:val="-1"/>
                      </w:rPr>
                    </m:ctrlPr>
                  </m:sSubSupPr>
                  <m:e>
                    <m:r>
                      <w:rPr>
                        <w:rFonts w:ascii="Cambria Math" w:eastAsia="Times New Roman" w:hAnsi="Cambria Math" w:cs="Arial"/>
                        <w:spacing w:val="-1"/>
                      </w:rPr>
                      <m:t>σ</m:t>
                    </m:r>
                  </m:e>
                  <m:sub>
                    <m:r>
                      <w:rPr>
                        <w:rFonts w:ascii="Cambria Math" w:eastAsia="Times New Roman" w:hAnsi="Cambria Math" w:cs="Arial"/>
                        <w:spacing w:val="-1"/>
                      </w:rPr>
                      <m:t>sd</m:t>
                    </m:r>
                  </m:sub>
                  <m:sup>
                    <m:r>
                      <w:rPr>
                        <w:rFonts w:ascii="Cambria Math" w:eastAsia="Times New Roman" w:hAnsi="Cambria Math" w:cs="Arial"/>
                        <w:spacing w:val="-1"/>
                      </w:rPr>
                      <m:t>'</m:t>
                    </m:r>
                  </m:sup>
                </m:sSubSup>
              </m:oMath>
            </m:oMathPara>
          </w:p>
          <w:p w14:paraId="3C64FB65" w14:textId="32074576" w:rsidR="0032499B" w:rsidRPr="009D3012" w:rsidRDefault="0032499B" w:rsidP="0032499B">
            <w:pPr>
              <w:widowControl w:val="0"/>
              <w:spacing w:after="0" w:line="240" w:lineRule="auto"/>
              <w:jc w:val="left"/>
              <w:rPr>
                <w:rFonts w:eastAsia="Times New Roman"/>
                <w:spacing w:val="-1"/>
              </w:rPr>
            </w:pPr>
          </w:p>
        </w:tc>
        <w:tc>
          <w:tcPr>
            <w:tcW w:w="6520" w:type="dxa"/>
            <w:tcBorders>
              <w:top w:val="nil"/>
              <w:left w:val="nil"/>
              <w:bottom w:val="nil"/>
              <w:right w:val="nil"/>
            </w:tcBorders>
            <w:shd w:val="clear" w:color="auto" w:fill="auto"/>
          </w:tcPr>
          <w:p w14:paraId="61EDF2DC" w14:textId="492129FF" w:rsidR="0032499B" w:rsidRPr="009D3012" w:rsidRDefault="0032499B">
            <w:pPr>
              <w:widowControl w:val="0"/>
              <w:spacing w:after="0" w:line="240" w:lineRule="auto"/>
              <w:jc w:val="left"/>
              <w:rPr>
                <w:rFonts w:eastAsia="Times New Roman"/>
                <w:spacing w:val="-1"/>
              </w:rPr>
            </w:pPr>
            <w:r w:rsidRPr="009D3012">
              <w:rPr>
                <w:rFonts w:eastAsia="Times New Roman" w:cs="Arial"/>
                <w:spacing w:val="-1"/>
              </w:rPr>
              <w:t xml:space="preserve">Design value of the reinforcement stress at the cross section to be anchored by bond over </w:t>
            </w:r>
            <m:oMath>
              <m:sSub>
                <m:sSubPr>
                  <m:ctrlPr>
                    <w:rPr>
                      <w:rFonts w:ascii="Cambria Math" w:eastAsia="Times New Roman" w:hAnsi="Cambria Math" w:cs="Arial"/>
                      <w:i/>
                      <w:spacing w:val="-1"/>
                    </w:rPr>
                  </m:ctrlPr>
                </m:sSubPr>
                <m:e>
                  <m:r>
                    <w:rPr>
                      <w:rFonts w:ascii="Cambria Math" w:eastAsia="Times New Roman" w:hAnsi="Cambria Math" w:cs="Arial"/>
                      <w:spacing w:val="-1"/>
                    </w:rPr>
                    <m:t>l</m:t>
                  </m:r>
                </m:e>
                <m:sub>
                  <m:r>
                    <w:rPr>
                      <w:rFonts w:ascii="Cambria Math" w:eastAsia="Times New Roman" w:hAnsi="Cambria Math" w:cs="Arial"/>
                      <w:spacing w:val="-1"/>
                    </w:rPr>
                    <m:t>bd</m:t>
                  </m:r>
                </m:sub>
              </m:sSub>
            </m:oMath>
            <w:r w:rsidRPr="009D3012">
              <w:rPr>
                <w:rFonts w:eastAsia="Times New Roman" w:cs="Arial"/>
                <w:spacing w:val="-1"/>
              </w:rPr>
              <w:t xml:space="preserve"> in case of bends and hooks</w:t>
            </w:r>
          </w:p>
        </w:tc>
        <w:tc>
          <w:tcPr>
            <w:tcW w:w="1985" w:type="dxa"/>
            <w:tcBorders>
              <w:top w:val="nil"/>
              <w:left w:val="nil"/>
              <w:bottom w:val="nil"/>
              <w:right w:val="nil"/>
            </w:tcBorders>
            <w:shd w:val="clear" w:color="auto" w:fill="auto"/>
          </w:tcPr>
          <w:p w14:paraId="090D258B" w14:textId="2F1313F4" w:rsidR="0032499B" w:rsidRPr="009D3012" w:rsidRDefault="00C04ACB" w:rsidP="0056481D">
            <w:pPr>
              <w:widowControl w:val="0"/>
              <w:spacing w:after="0" w:line="240" w:lineRule="auto"/>
              <w:jc w:val="left"/>
              <w:rPr>
                <w:rFonts w:eastAsia="Times New Roman" w:cs="Arial"/>
                <w:spacing w:val="-1"/>
              </w:rPr>
            </w:pPr>
            <w:r w:rsidRPr="009D3012">
              <w:rPr>
                <w:rFonts w:eastAsia="Times New Roman" w:cs="Arial"/>
                <w:spacing w:val="-1"/>
              </w:rPr>
              <w:t>I.11.4.2</w:t>
            </w:r>
            <w:r w:rsidR="0032499B" w:rsidRPr="009D3012">
              <w:rPr>
                <w:rFonts w:eastAsia="Times New Roman" w:cs="Arial"/>
                <w:spacing w:val="-1"/>
              </w:rPr>
              <w:t>(1)</w:t>
            </w:r>
          </w:p>
        </w:tc>
      </w:tr>
      <w:tr w:rsidR="0032499B" w:rsidRPr="001455DC" w14:paraId="27D97176" w14:textId="77777777" w:rsidTr="009D3012">
        <w:tc>
          <w:tcPr>
            <w:tcW w:w="1526" w:type="dxa"/>
            <w:tcBorders>
              <w:top w:val="nil"/>
              <w:left w:val="nil"/>
              <w:bottom w:val="nil"/>
              <w:right w:val="nil"/>
            </w:tcBorders>
            <w:shd w:val="clear" w:color="auto" w:fill="auto"/>
          </w:tcPr>
          <w:p w14:paraId="541574DE" w14:textId="77777777" w:rsidR="0032499B" w:rsidRPr="009D3012" w:rsidRDefault="00231E33" w:rsidP="0056481D">
            <w:pPr>
              <w:widowControl w:val="0"/>
              <w:spacing w:after="0" w:line="240" w:lineRule="auto"/>
              <w:ind w:left="1304" w:hanging="1276"/>
              <w:jc w:val="left"/>
              <w:rPr>
                <w:rFonts w:ascii="Cambria Math" w:eastAsia="Times New Roman" w:hAnsi="Cambria Math" w:cs="Arial"/>
                <w:spacing w:val="-1"/>
                <w:oMath/>
              </w:rPr>
            </w:pPr>
            <m:oMathPara>
              <m:oMath>
                <m:sSubSup>
                  <m:sSubSupPr>
                    <m:ctrlPr>
                      <w:rPr>
                        <w:rFonts w:ascii="Cambria Math" w:eastAsia="Times New Roman" w:hAnsi="Cambria Math" w:cs="Arial"/>
                        <w:i/>
                        <w:spacing w:val="-1"/>
                      </w:rPr>
                    </m:ctrlPr>
                  </m:sSubSupPr>
                  <m:e>
                    <m:r>
                      <w:rPr>
                        <w:rFonts w:ascii="Cambria Math" w:eastAsia="Times New Roman" w:hAnsi="Cambria Math" w:cs="Arial"/>
                        <w:spacing w:val="-1"/>
                      </w:rPr>
                      <m:t>∆σ</m:t>
                    </m:r>
                  </m:e>
                  <m:sub>
                    <m:r>
                      <w:rPr>
                        <w:rFonts w:ascii="Cambria Math" w:eastAsia="Times New Roman" w:hAnsi="Cambria Math" w:cs="Arial"/>
                        <w:spacing w:val="-1"/>
                      </w:rPr>
                      <m:t>sd</m:t>
                    </m:r>
                  </m:sub>
                  <m:sup>
                    <m:r>
                      <w:rPr>
                        <w:rFonts w:ascii="Cambria Math" w:eastAsia="Times New Roman" w:hAnsi="Cambria Math" w:cs="Arial"/>
                        <w:spacing w:val="-1"/>
                      </w:rPr>
                      <m:t>'</m:t>
                    </m:r>
                  </m:sup>
                </m:sSubSup>
              </m:oMath>
            </m:oMathPara>
          </w:p>
          <w:p w14:paraId="5A3883B3" w14:textId="258E6A74" w:rsidR="0032499B" w:rsidRPr="009D3012" w:rsidRDefault="0032499B" w:rsidP="0032499B">
            <w:pPr>
              <w:widowControl w:val="0"/>
              <w:spacing w:after="0" w:line="240" w:lineRule="auto"/>
              <w:jc w:val="left"/>
              <w:rPr>
                <w:rFonts w:eastAsia="Times New Roman"/>
                <w:spacing w:val="-1"/>
              </w:rPr>
            </w:pPr>
          </w:p>
        </w:tc>
        <w:tc>
          <w:tcPr>
            <w:tcW w:w="6520" w:type="dxa"/>
            <w:tcBorders>
              <w:top w:val="nil"/>
              <w:left w:val="nil"/>
              <w:bottom w:val="nil"/>
              <w:right w:val="nil"/>
            </w:tcBorders>
            <w:shd w:val="clear" w:color="auto" w:fill="auto"/>
          </w:tcPr>
          <w:p w14:paraId="18C38B25" w14:textId="1854EA50" w:rsidR="0032499B" w:rsidRPr="009D3012" w:rsidRDefault="0032499B">
            <w:pPr>
              <w:widowControl w:val="0"/>
              <w:spacing w:after="0" w:line="240" w:lineRule="auto"/>
              <w:jc w:val="left"/>
              <w:rPr>
                <w:rFonts w:eastAsia="Times New Roman"/>
                <w:spacing w:val="-1"/>
              </w:rPr>
            </w:pPr>
            <w:r w:rsidRPr="009D3012">
              <w:rPr>
                <w:rFonts w:eastAsia="Times New Roman" w:cs="Arial"/>
                <w:spacing w:val="-1"/>
              </w:rPr>
              <w:t>Design value of the reinforcement stress at the cross section developed by bends and hooks</w:t>
            </w:r>
          </w:p>
        </w:tc>
        <w:tc>
          <w:tcPr>
            <w:tcW w:w="1985" w:type="dxa"/>
            <w:tcBorders>
              <w:top w:val="nil"/>
              <w:left w:val="nil"/>
              <w:bottom w:val="nil"/>
              <w:right w:val="nil"/>
            </w:tcBorders>
            <w:shd w:val="clear" w:color="auto" w:fill="auto"/>
          </w:tcPr>
          <w:p w14:paraId="45214178" w14:textId="3D6A118B" w:rsidR="0032499B" w:rsidRPr="009D3012" w:rsidRDefault="00C04ACB" w:rsidP="0056481D">
            <w:pPr>
              <w:widowControl w:val="0"/>
              <w:spacing w:after="0" w:line="240" w:lineRule="auto"/>
              <w:jc w:val="left"/>
              <w:rPr>
                <w:rFonts w:eastAsia="Times New Roman" w:cs="Arial"/>
                <w:spacing w:val="-1"/>
              </w:rPr>
            </w:pPr>
            <w:r w:rsidRPr="009D3012">
              <w:rPr>
                <w:rFonts w:eastAsia="Times New Roman" w:cs="Arial"/>
                <w:spacing w:val="-1"/>
              </w:rPr>
              <w:t>I.11.4.2</w:t>
            </w:r>
            <w:r w:rsidR="0032499B" w:rsidRPr="009D3012">
              <w:rPr>
                <w:rFonts w:eastAsia="Times New Roman" w:cs="Arial"/>
                <w:spacing w:val="-1"/>
              </w:rPr>
              <w:t>(1)</w:t>
            </w:r>
          </w:p>
        </w:tc>
      </w:tr>
      <w:tr w:rsidR="0032499B" w:rsidRPr="001455DC" w14:paraId="59701D22" w14:textId="77777777" w:rsidTr="009D3012">
        <w:tc>
          <w:tcPr>
            <w:tcW w:w="1526" w:type="dxa"/>
            <w:tcBorders>
              <w:top w:val="nil"/>
              <w:left w:val="nil"/>
              <w:bottom w:val="nil"/>
              <w:right w:val="nil"/>
            </w:tcBorders>
            <w:shd w:val="clear" w:color="auto" w:fill="auto"/>
          </w:tcPr>
          <w:p w14:paraId="5BE27FAD" w14:textId="3892F4EF" w:rsidR="0032499B" w:rsidRPr="009D3012" w:rsidRDefault="00231E33" w:rsidP="0056481D">
            <w:pPr>
              <w:widowControl w:val="0"/>
              <w:spacing w:after="0" w:line="240" w:lineRule="auto"/>
              <w:ind w:left="1304" w:hanging="1276"/>
              <w:jc w:val="left"/>
              <w:rPr>
                <w:rFonts w:eastAsia="Times New Roman"/>
                <w:spacing w:val="-1"/>
              </w:rPr>
            </w:pPr>
            <m:oMathPara>
              <m:oMath>
                <m:sSub>
                  <m:sSubPr>
                    <m:ctrlPr>
                      <w:rPr>
                        <w:rFonts w:ascii="Cambria Math" w:eastAsia="Times New Roman" w:hAnsi="Cambria Math" w:cs="Arial"/>
                        <w:i/>
                        <w:spacing w:val="-1"/>
                      </w:rPr>
                    </m:ctrlPr>
                  </m:sSubPr>
                  <m:e>
                    <m:r>
                      <w:rPr>
                        <w:rFonts w:ascii="Cambria Math" w:eastAsia="Times New Roman" w:hAnsi="Cambria Math" w:cs="Arial"/>
                        <w:spacing w:val="-1"/>
                      </w:rPr>
                      <m:t>ϕ</m:t>
                    </m:r>
                  </m:e>
                  <m:sub>
                    <m:r>
                      <w:rPr>
                        <w:rFonts w:ascii="Cambria Math" w:eastAsia="Times New Roman" w:hAnsi="Cambria Math" w:cs="Arial"/>
                        <w:spacing w:val="-1"/>
                      </w:rPr>
                      <m:t>sq,eq</m:t>
                    </m:r>
                  </m:sub>
                </m:sSub>
              </m:oMath>
            </m:oMathPara>
          </w:p>
        </w:tc>
        <w:tc>
          <w:tcPr>
            <w:tcW w:w="6520" w:type="dxa"/>
            <w:tcBorders>
              <w:top w:val="nil"/>
              <w:left w:val="nil"/>
              <w:bottom w:val="nil"/>
              <w:right w:val="nil"/>
            </w:tcBorders>
            <w:shd w:val="clear" w:color="auto" w:fill="auto"/>
          </w:tcPr>
          <w:p w14:paraId="7477B8C3" w14:textId="71CF4B91" w:rsidR="0032499B" w:rsidRPr="009D3012" w:rsidRDefault="0032499B" w:rsidP="009D3012">
            <w:pPr>
              <w:widowControl w:val="0"/>
              <w:spacing w:after="0" w:line="240" w:lineRule="auto"/>
              <w:jc w:val="left"/>
              <w:rPr>
                <w:rFonts w:eastAsia="Times New Roman"/>
                <w:spacing w:val="-1"/>
              </w:rPr>
            </w:pPr>
            <w:r w:rsidRPr="009D3012">
              <w:rPr>
                <w:rFonts w:eastAsia="Times New Roman" w:cs="Arial"/>
                <w:spacing w:val="-1"/>
              </w:rPr>
              <w:t>Equivalent bar diameter for bond calculation of square cross section bars</w:t>
            </w:r>
          </w:p>
        </w:tc>
        <w:tc>
          <w:tcPr>
            <w:tcW w:w="1985" w:type="dxa"/>
            <w:tcBorders>
              <w:top w:val="nil"/>
              <w:left w:val="nil"/>
              <w:bottom w:val="nil"/>
              <w:right w:val="nil"/>
            </w:tcBorders>
            <w:shd w:val="clear" w:color="auto" w:fill="auto"/>
          </w:tcPr>
          <w:p w14:paraId="1B48F873" w14:textId="6F94EAC4" w:rsidR="0032499B" w:rsidRPr="009D3012" w:rsidRDefault="00C04ACB" w:rsidP="0056481D">
            <w:pPr>
              <w:widowControl w:val="0"/>
              <w:spacing w:after="0" w:line="240" w:lineRule="auto"/>
              <w:ind w:left="1307" w:hanging="1276"/>
              <w:jc w:val="left"/>
              <w:rPr>
                <w:rFonts w:eastAsia="Times New Roman" w:cs="Arial"/>
                <w:spacing w:val="-1"/>
              </w:rPr>
            </w:pPr>
            <w:r w:rsidRPr="009D3012">
              <w:rPr>
                <w:rFonts w:eastAsia="Times New Roman" w:cs="Arial"/>
                <w:spacing w:val="-1"/>
              </w:rPr>
              <w:t>I.11.4.1</w:t>
            </w:r>
            <w:r w:rsidR="0032499B" w:rsidRPr="009D3012">
              <w:rPr>
                <w:rFonts w:eastAsia="Times New Roman" w:cs="Arial"/>
                <w:spacing w:val="-1"/>
              </w:rPr>
              <w:t>(4)</w:t>
            </w:r>
          </w:p>
        </w:tc>
      </w:tr>
    </w:tbl>
    <w:p w14:paraId="36FDF3CE" w14:textId="68CE1C83" w:rsidR="0032499B" w:rsidRPr="009D3012" w:rsidRDefault="00761918" w:rsidP="00E519AB">
      <w:pPr>
        <w:pStyle w:val="21"/>
        <w:keepLines/>
      </w:pPr>
      <w:bookmarkStart w:id="111" w:name="_Toc67565291"/>
      <w:bookmarkStart w:id="112" w:name="_Toc54013090"/>
      <w:bookmarkStart w:id="113" w:name="_Toc55828636"/>
      <w:r w:rsidRPr="009D3012">
        <w:t>Symbols in Annex J</w:t>
      </w:r>
      <w:bookmarkEnd w:id="111"/>
    </w:p>
    <w:p w14:paraId="2B84ED70" w14:textId="3304E168" w:rsidR="00761918" w:rsidRPr="00E519AB" w:rsidRDefault="00E519AB" w:rsidP="00E519AB">
      <w:pPr>
        <w:pStyle w:val="p3"/>
        <w:keepNext/>
        <w:keepLines/>
        <w:rPr>
          <w:b/>
        </w:rPr>
      </w:pPr>
      <w:bookmarkStart w:id="114" w:name="_Toc54013091"/>
      <w:bookmarkStart w:id="115" w:name="_Toc55828637"/>
      <w:bookmarkStart w:id="116" w:name="_Toc67565292"/>
      <w:r w:rsidRPr="00E519AB">
        <w:rPr>
          <w:b/>
        </w:rPr>
        <w:t>3.5.1</w:t>
      </w:r>
      <w:r w:rsidRPr="00E519AB">
        <w:rPr>
          <w:b/>
        </w:rPr>
        <w:tab/>
      </w:r>
      <w:r w:rsidR="00761918" w:rsidRPr="00E519AB">
        <w:rPr>
          <w:b/>
        </w:rPr>
        <w:t>Latin upper case letters</w:t>
      </w:r>
      <w:bookmarkEnd w:id="114"/>
      <w:bookmarkEnd w:id="115"/>
      <w:bookmarkEnd w:id="116"/>
    </w:p>
    <w:tbl>
      <w:tblPr>
        <w:tblStyle w:val="Tabellenraster1"/>
        <w:tblW w:w="9923" w:type="dxa"/>
        <w:tblLayout w:type="fixed"/>
        <w:tblLook w:val="04A0" w:firstRow="1" w:lastRow="0" w:firstColumn="1" w:lastColumn="0" w:noHBand="0" w:noVBand="1"/>
      </w:tblPr>
      <w:tblGrid>
        <w:gridCol w:w="1526"/>
        <w:gridCol w:w="8397"/>
      </w:tblGrid>
      <w:tr w:rsidR="00B60186" w:rsidRPr="001455DC" w14:paraId="61EECD7E" w14:textId="77777777" w:rsidTr="009D3012">
        <w:trPr>
          <w:trHeight w:val="120"/>
        </w:trPr>
        <w:tc>
          <w:tcPr>
            <w:tcW w:w="1526" w:type="dxa"/>
            <w:tcBorders>
              <w:top w:val="nil"/>
              <w:left w:val="nil"/>
              <w:bottom w:val="nil"/>
              <w:right w:val="nil"/>
            </w:tcBorders>
            <w:shd w:val="clear" w:color="auto" w:fill="auto"/>
          </w:tcPr>
          <w:bookmarkEnd w:id="112"/>
          <w:bookmarkEnd w:id="113"/>
          <w:p w14:paraId="69BF125B" w14:textId="77777777" w:rsidR="00B60186" w:rsidRPr="009D3012" w:rsidRDefault="00231E33">
            <w:pPr>
              <w:widowControl w:val="0"/>
              <w:spacing w:after="60" w:line="240" w:lineRule="auto"/>
              <w:jc w:val="left"/>
              <w:rPr>
                <w:rFonts w:eastAsia="Times New Roman" w:cs="Arial"/>
                <w:i/>
                <w:lang w:val="en-US" w:eastAsia="fr-FR"/>
              </w:rPr>
            </w:pPr>
            <m:oMathPara>
              <m:oMathParaPr>
                <m:jc m:val="left"/>
              </m:oMathParaPr>
              <m:oMath>
                <m:sSub>
                  <m:sSubPr>
                    <m:ctrlPr>
                      <w:rPr>
                        <w:rFonts w:ascii="Cambria Math" w:eastAsia="Times New Roman" w:hAnsi="Cambria Math" w:cs="Arial"/>
                        <w:i/>
                        <w:lang w:val="en-US"/>
                      </w:rPr>
                    </m:ctrlPr>
                  </m:sSubPr>
                  <m:e>
                    <m:r>
                      <w:rPr>
                        <w:rFonts w:ascii="Cambria Math" w:eastAsia="Times New Roman" w:hAnsi="Cambria Math" w:cs="Arial"/>
                        <w:lang w:val="en-US"/>
                      </w:rPr>
                      <m:t>A</m:t>
                    </m:r>
                  </m:e>
                  <m:sub>
                    <m:r>
                      <m:rPr>
                        <m:sty m:val="p"/>
                      </m:rPr>
                      <w:rPr>
                        <w:rFonts w:ascii="Cambria Math" w:eastAsia="Times New Roman" w:hAnsi="Cambria Math" w:cs="Arial"/>
                        <w:lang w:val="en-US"/>
                      </w:rPr>
                      <m:t>f</m:t>
                    </m:r>
                  </m:sub>
                </m:sSub>
              </m:oMath>
            </m:oMathPara>
          </w:p>
        </w:tc>
        <w:tc>
          <w:tcPr>
            <w:tcW w:w="8397" w:type="dxa"/>
            <w:tcBorders>
              <w:top w:val="nil"/>
              <w:left w:val="nil"/>
              <w:bottom w:val="nil"/>
              <w:right w:val="nil"/>
            </w:tcBorders>
            <w:shd w:val="clear" w:color="auto" w:fill="auto"/>
          </w:tcPr>
          <w:p w14:paraId="62302923" w14:textId="77777777" w:rsidR="00B60186" w:rsidRPr="009D3012" w:rsidRDefault="00B60186">
            <w:pPr>
              <w:widowControl w:val="0"/>
              <w:spacing w:after="0" w:line="240" w:lineRule="auto"/>
              <w:jc w:val="left"/>
              <w:rPr>
                <w:rFonts w:eastAsia="Times New Roman" w:cs="Arial"/>
                <w:lang w:val="en-US" w:eastAsia="fr-FR"/>
              </w:rPr>
            </w:pPr>
            <w:r w:rsidRPr="009D3012">
              <w:rPr>
                <w:rFonts w:eastAsia="Times New Roman" w:cs="Arial"/>
                <w:lang w:val="en-US" w:eastAsia="fr-FR"/>
              </w:rPr>
              <w:t>Cross sectional area of a CFRP ABR</w:t>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p>
        </w:tc>
      </w:tr>
      <w:tr w:rsidR="00B60186" w:rsidRPr="001455DC" w14:paraId="64403BB2" w14:textId="77777777" w:rsidTr="009D3012">
        <w:trPr>
          <w:trHeight w:val="300"/>
        </w:trPr>
        <w:tc>
          <w:tcPr>
            <w:tcW w:w="1526" w:type="dxa"/>
            <w:tcBorders>
              <w:top w:val="nil"/>
              <w:left w:val="nil"/>
              <w:bottom w:val="nil"/>
              <w:right w:val="nil"/>
            </w:tcBorders>
            <w:shd w:val="clear" w:color="auto" w:fill="auto"/>
          </w:tcPr>
          <w:p w14:paraId="214E3AE9" w14:textId="77777777" w:rsidR="00B60186" w:rsidRPr="009D3012" w:rsidRDefault="00B60186">
            <w:pPr>
              <w:widowControl w:val="0"/>
              <w:spacing w:after="60" w:line="240" w:lineRule="auto"/>
              <w:jc w:val="left"/>
              <w:rPr>
                <w:rFonts w:eastAsia="Times New Roman" w:cs="Arial"/>
                <w:bCs/>
                <w:i/>
                <w:lang w:val="en-US" w:eastAsia="fr-FR"/>
              </w:rPr>
            </w:pPr>
            <m:oMathPara>
              <m:oMathParaPr>
                <m:jc m:val="left"/>
              </m:oMathParaPr>
              <m:oMath>
                <m:r>
                  <w:rPr>
                    <w:rFonts w:ascii="Cambria Math" w:eastAsia="Times New Roman" w:hAnsi="Cambria Math" w:cs="Arial"/>
                    <w:lang w:val="en-US"/>
                  </w:rPr>
                  <m:t>D</m:t>
                </m:r>
              </m:oMath>
            </m:oMathPara>
          </w:p>
        </w:tc>
        <w:tc>
          <w:tcPr>
            <w:tcW w:w="8397" w:type="dxa"/>
            <w:tcBorders>
              <w:top w:val="nil"/>
              <w:left w:val="nil"/>
              <w:bottom w:val="nil"/>
              <w:right w:val="nil"/>
            </w:tcBorders>
            <w:shd w:val="clear" w:color="auto" w:fill="auto"/>
          </w:tcPr>
          <w:p w14:paraId="5136B1D8" w14:textId="77777777" w:rsidR="00B60186" w:rsidRPr="009D3012" w:rsidRDefault="00B60186">
            <w:pPr>
              <w:widowControl w:val="0"/>
              <w:spacing w:after="0" w:line="240" w:lineRule="auto"/>
              <w:jc w:val="left"/>
              <w:rPr>
                <w:rFonts w:eastAsia="Times New Roman" w:cs="Arial"/>
                <w:bCs/>
                <w:lang w:val="en-US" w:eastAsia="fr-FR"/>
              </w:rPr>
            </w:pPr>
            <w:r w:rsidRPr="009D3012">
              <w:rPr>
                <w:rFonts w:eastAsia="Times New Roman" w:cs="Arial"/>
                <w:bCs/>
                <w:lang w:val="en-US" w:eastAsia="fr-FR"/>
              </w:rPr>
              <w:t>Diameter of circular column section</w:t>
            </w:r>
            <w:r w:rsidRPr="009D3012">
              <w:rPr>
                <w:rFonts w:eastAsia="Times New Roman" w:cs="Arial"/>
                <w:bCs/>
                <w:lang w:val="en-US" w:eastAsia="fr-FR"/>
              </w:rPr>
              <w:tab/>
            </w:r>
            <w:r w:rsidRPr="009D3012">
              <w:rPr>
                <w:rFonts w:eastAsia="Times New Roman" w:cs="Arial"/>
                <w:bCs/>
                <w:lang w:val="en-US" w:eastAsia="fr-FR"/>
              </w:rPr>
              <w:tab/>
            </w:r>
            <w:r w:rsidRPr="009D3012">
              <w:rPr>
                <w:rFonts w:eastAsia="Times New Roman" w:cs="Arial"/>
                <w:bCs/>
                <w:lang w:val="en-US" w:eastAsia="fr-FR"/>
              </w:rPr>
              <w:tab/>
            </w:r>
            <w:r w:rsidRPr="009D3012">
              <w:rPr>
                <w:rFonts w:eastAsia="Times New Roman" w:cs="Arial"/>
                <w:bCs/>
                <w:lang w:val="en-US" w:eastAsia="fr-FR"/>
              </w:rPr>
              <w:tab/>
            </w:r>
            <w:r w:rsidRPr="009D3012">
              <w:rPr>
                <w:rFonts w:eastAsia="Times New Roman" w:cs="Arial"/>
                <w:bCs/>
                <w:lang w:val="en-US" w:eastAsia="fr-FR"/>
              </w:rPr>
              <w:tab/>
            </w:r>
            <w:r w:rsidRPr="009D3012">
              <w:rPr>
                <w:rFonts w:eastAsia="Times New Roman" w:cs="Arial"/>
                <w:bCs/>
                <w:lang w:val="en-US" w:eastAsia="fr-FR"/>
              </w:rPr>
              <w:tab/>
            </w:r>
          </w:p>
        </w:tc>
      </w:tr>
      <w:tr w:rsidR="00B60186" w:rsidRPr="001455DC" w14:paraId="4C3BAED4" w14:textId="77777777" w:rsidTr="009D3012">
        <w:trPr>
          <w:trHeight w:val="92"/>
        </w:trPr>
        <w:tc>
          <w:tcPr>
            <w:tcW w:w="1526" w:type="dxa"/>
            <w:tcBorders>
              <w:top w:val="nil"/>
              <w:left w:val="nil"/>
              <w:bottom w:val="nil"/>
              <w:right w:val="nil"/>
            </w:tcBorders>
            <w:shd w:val="clear" w:color="auto" w:fill="auto"/>
          </w:tcPr>
          <w:p w14:paraId="0F3F18DF" w14:textId="77777777" w:rsidR="00B60186" w:rsidRPr="009D3012" w:rsidRDefault="00231E33">
            <w:pPr>
              <w:widowControl w:val="0"/>
              <w:spacing w:after="60" w:line="240" w:lineRule="auto"/>
              <w:jc w:val="left"/>
              <w:rPr>
                <w:rFonts w:eastAsia="Times New Roman" w:cs="Arial"/>
                <w:i/>
                <w:lang w:val="en-US" w:eastAsia="fr-FR"/>
              </w:rPr>
            </w:pPr>
            <m:oMathPara>
              <m:oMathParaPr>
                <m:jc m:val="left"/>
              </m:oMathParaPr>
              <m:oMath>
                <m:sSub>
                  <m:sSubPr>
                    <m:ctrlPr>
                      <w:rPr>
                        <w:rFonts w:ascii="Cambria Math" w:eastAsia="Times New Roman" w:hAnsi="Cambria Math" w:cs="Arial"/>
                        <w:i/>
                        <w:lang w:val="en-US"/>
                      </w:rPr>
                    </m:ctrlPr>
                  </m:sSubPr>
                  <m:e>
                    <m:r>
                      <w:rPr>
                        <w:rFonts w:ascii="Cambria Math" w:eastAsia="Times New Roman" w:hAnsi="Cambria Math" w:cs="Arial"/>
                        <w:lang w:val="en-US"/>
                      </w:rPr>
                      <m:t>E</m:t>
                    </m:r>
                  </m:e>
                  <m:sub>
                    <m:r>
                      <m:rPr>
                        <m:sty m:val="p"/>
                      </m:rPr>
                      <w:rPr>
                        <w:rFonts w:ascii="Cambria Math" w:eastAsia="Times New Roman" w:hAnsi="Cambria Math" w:cs="Arial"/>
                        <w:lang w:val="en-US"/>
                      </w:rPr>
                      <m:t>f</m:t>
                    </m:r>
                  </m:sub>
                </m:sSub>
              </m:oMath>
            </m:oMathPara>
          </w:p>
        </w:tc>
        <w:tc>
          <w:tcPr>
            <w:tcW w:w="8397" w:type="dxa"/>
            <w:tcBorders>
              <w:top w:val="nil"/>
              <w:left w:val="nil"/>
              <w:bottom w:val="nil"/>
              <w:right w:val="nil"/>
            </w:tcBorders>
            <w:shd w:val="clear" w:color="auto" w:fill="auto"/>
          </w:tcPr>
          <w:p w14:paraId="02A9EA7F" w14:textId="77777777" w:rsidR="00B60186" w:rsidRPr="009D3012" w:rsidRDefault="00B60186">
            <w:pPr>
              <w:widowControl w:val="0"/>
              <w:spacing w:after="0" w:line="240" w:lineRule="auto"/>
              <w:jc w:val="left"/>
              <w:rPr>
                <w:rFonts w:eastAsia="Times New Roman" w:cs="Arial"/>
                <w:bCs/>
                <w:lang w:val="en-US" w:eastAsia="fr-FR"/>
              </w:rPr>
            </w:pPr>
            <w:r w:rsidRPr="009D3012">
              <w:rPr>
                <w:rFonts w:eastAsia="Times New Roman" w:cs="Arial"/>
                <w:lang w:val="en-US" w:eastAsia="fr-FR"/>
              </w:rPr>
              <w:t xml:space="preserve">Mean modulus of elasticity in longitudinal direction of ABR CFRP </w:t>
            </w:r>
            <w:r w:rsidRPr="009D3012">
              <w:rPr>
                <w:rFonts w:eastAsia="Times New Roman" w:cs="Arial"/>
                <w:lang w:val="en-US" w:eastAsia="fr-FR"/>
              </w:rPr>
              <w:tab/>
            </w:r>
            <w:r w:rsidRPr="009D3012">
              <w:rPr>
                <w:rFonts w:eastAsia="Times New Roman" w:cs="Arial"/>
                <w:lang w:val="en-US" w:eastAsia="fr-FR"/>
              </w:rPr>
              <w:tab/>
            </w:r>
          </w:p>
        </w:tc>
      </w:tr>
      <w:tr w:rsidR="00B60186" w:rsidRPr="001455DC" w14:paraId="4AC821F1" w14:textId="77777777" w:rsidTr="009D3012">
        <w:trPr>
          <w:trHeight w:val="300"/>
        </w:trPr>
        <w:tc>
          <w:tcPr>
            <w:tcW w:w="1526" w:type="dxa"/>
            <w:tcBorders>
              <w:top w:val="nil"/>
              <w:left w:val="nil"/>
              <w:bottom w:val="nil"/>
              <w:right w:val="nil"/>
            </w:tcBorders>
            <w:shd w:val="clear" w:color="auto" w:fill="auto"/>
          </w:tcPr>
          <w:p w14:paraId="28AED12F" w14:textId="77777777" w:rsidR="00B60186" w:rsidRPr="009D3012" w:rsidRDefault="00231E33">
            <w:pPr>
              <w:widowControl w:val="0"/>
              <w:spacing w:after="60" w:line="240" w:lineRule="auto"/>
              <w:jc w:val="left"/>
              <w:rPr>
                <w:rFonts w:eastAsia="Times New Roman" w:cs="Arial"/>
                <w:i/>
                <w:lang w:val="en-US" w:eastAsia="fr-FR"/>
              </w:rPr>
            </w:pPr>
            <m:oMathPara>
              <m:oMathParaPr>
                <m:jc m:val="left"/>
              </m:oMathParaPr>
              <m:oMath>
                <m:sSub>
                  <m:sSubPr>
                    <m:ctrlPr>
                      <w:rPr>
                        <w:rFonts w:ascii="Cambria Math" w:eastAsia="Times New Roman" w:hAnsi="Cambria Math" w:cs="Arial"/>
                        <w:i/>
                        <w:lang w:val="en-US"/>
                      </w:rPr>
                    </m:ctrlPr>
                  </m:sSubPr>
                  <m:e>
                    <m:r>
                      <w:rPr>
                        <w:rFonts w:ascii="Cambria Math" w:eastAsia="Times New Roman" w:hAnsi="Cambria Math" w:cs="Arial"/>
                        <w:lang w:val="en-US"/>
                      </w:rPr>
                      <m:t>E</m:t>
                    </m:r>
                  </m:e>
                  <m:sub>
                    <m:r>
                      <m:rPr>
                        <m:sty m:val="p"/>
                      </m:rPr>
                      <w:rPr>
                        <w:rFonts w:ascii="Cambria Math" w:eastAsia="Times New Roman" w:hAnsi="Cambria Math" w:cs="Arial"/>
                        <w:lang w:val="en-US"/>
                      </w:rPr>
                      <m:t>A</m:t>
                    </m:r>
                  </m:sub>
                </m:sSub>
              </m:oMath>
            </m:oMathPara>
          </w:p>
        </w:tc>
        <w:tc>
          <w:tcPr>
            <w:tcW w:w="8397" w:type="dxa"/>
            <w:tcBorders>
              <w:top w:val="nil"/>
              <w:left w:val="nil"/>
              <w:bottom w:val="nil"/>
              <w:right w:val="nil"/>
            </w:tcBorders>
            <w:shd w:val="clear" w:color="auto" w:fill="auto"/>
          </w:tcPr>
          <w:p w14:paraId="559BCD91" w14:textId="77777777" w:rsidR="00B60186" w:rsidRPr="009D3012" w:rsidRDefault="00B60186">
            <w:pPr>
              <w:widowControl w:val="0"/>
              <w:spacing w:after="0" w:line="240" w:lineRule="auto"/>
              <w:jc w:val="left"/>
              <w:rPr>
                <w:rFonts w:eastAsia="Times New Roman" w:cs="Arial"/>
                <w:lang w:val="en-US" w:eastAsia="fr-FR"/>
              </w:rPr>
            </w:pPr>
            <w:r w:rsidRPr="009D3012">
              <w:rPr>
                <w:rFonts w:eastAsia="Times New Roman" w:cs="Arial"/>
                <w:lang w:val="en-US" w:eastAsia="fr-FR"/>
              </w:rPr>
              <w:t>Modulus of elasticity of the adhesive</w:t>
            </w:r>
            <w:r w:rsidRPr="009D3012">
              <w:rPr>
                <w:rFonts w:eastAsia="Times New Roman" w:cs="Arial"/>
                <w:bCs/>
                <w:spacing w:val="-1"/>
                <w:lang w:val="en-US"/>
              </w:rPr>
              <w:tab/>
            </w:r>
            <w:r w:rsidRPr="009D3012">
              <w:rPr>
                <w:rFonts w:eastAsia="Times New Roman" w:cs="Arial"/>
                <w:bCs/>
                <w:spacing w:val="-1"/>
                <w:lang w:val="en-US"/>
              </w:rPr>
              <w:tab/>
            </w:r>
            <w:r w:rsidRPr="009D3012">
              <w:rPr>
                <w:rFonts w:eastAsia="Times New Roman" w:cs="Arial"/>
                <w:bCs/>
                <w:spacing w:val="-1"/>
                <w:lang w:val="en-US"/>
              </w:rPr>
              <w:tab/>
            </w:r>
            <w:r w:rsidRPr="009D3012">
              <w:rPr>
                <w:rFonts w:eastAsia="Times New Roman" w:cs="Arial"/>
                <w:bCs/>
                <w:spacing w:val="-1"/>
                <w:lang w:val="en-US"/>
              </w:rPr>
              <w:tab/>
            </w:r>
            <w:r w:rsidRPr="009D3012">
              <w:rPr>
                <w:rFonts w:eastAsia="Times New Roman" w:cs="Arial"/>
                <w:bCs/>
                <w:spacing w:val="-1"/>
                <w:lang w:val="en-US"/>
              </w:rPr>
              <w:tab/>
            </w:r>
            <w:r w:rsidRPr="009D3012">
              <w:rPr>
                <w:rFonts w:eastAsia="Times New Roman" w:cs="Arial"/>
                <w:bCs/>
                <w:spacing w:val="-1"/>
                <w:lang w:val="en-US"/>
              </w:rPr>
              <w:tab/>
            </w:r>
          </w:p>
        </w:tc>
      </w:tr>
      <w:tr w:rsidR="00B60186" w:rsidRPr="001455DC" w14:paraId="4679FF02" w14:textId="77777777" w:rsidTr="009D3012">
        <w:trPr>
          <w:trHeight w:val="300"/>
        </w:trPr>
        <w:tc>
          <w:tcPr>
            <w:tcW w:w="1526" w:type="dxa"/>
            <w:tcBorders>
              <w:top w:val="nil"/>
              <w:left w:val="nil"/>
              <w:bottom w:val="nil"/>
              <w:right w:val="nil"/>
            </w:tcBorders>
            <w:shd w:val="clear" w:color="auto" w:fill="auto"/>
          </w:tcPr>
          <w:p w14:paraId="7ACAF968" w14:textId="77777777" w:rsidR="00B60186" w:rsidRPr="009D3012" w:rsidRDefault="00231E33">
            <w:pPr>
              <w:widowControl w:val="0"/>
              <w:spacing w:after="60" w:line="240" w:lineRule="auto"/>
              <w:jc w:val="left"/>
              <w:rPr>
                <w:rFonts w:eastAsia="Times New Roman" w:cs="Arial"/>
                <w:i/>
                <w:lang w:val="en-US" w:eastAsia="fr-FR"/>
              </w:rPr>
            </w:pPr>
            <m:oMathPara>
              <m:oMathParaPr>
                <m:jc m:val="left"/>
              </m:oMathParaPr>
              <m:oMath>
                <m:sSub>
                  <m:sSubPr>
                    <m:ctrlPr>
                      <w:rPr>
                        <w:rFonts w:ascii="Cambria Math" w:eastAsia="Times New Roman" w:hAnsi="Cambria Math" w:cs="Arial"/>
                        <w:i/>
                        <w:lang w:val="en-US"/>
                      </w:rPr>
                    </m:ctrlPr>
                  </m:sSubPr>
                  <m:e>
                    <m:r>
                      <w:rPr>
                        <w:rFonts w:ascii="Cambria Math" w:eastAsia="Times New Roman" w:hAnsi="Cambria Math" w:cs="Arial"/>
                        <w:lang w:val="en-US"/>
                      </w:rPr>
                      <m:t>F</m:t>
                    </m:r>
                  </m:e>
                  <m:sub>
                    <m:r>
                      <m:rPr>
                        <m:sty m:val="p"/>
                      </m:rPr>
                      <w:rPr>
                        <w:rFonts w:ascii="Cambria Math" w:eastAsia="Times New Roman" w:hAnsi="Cambria Math" w:cs="Arial"/>
                        <w:lang w:val="en-US"/>
                      </w:rPr>
                      <m:t>bfRd</m:t>
                    </m:r>
                  </m:sub>
                </m:sSub>
              </m:oMath>
            </m:oMathPara>
          </w:p>
        </w:tc>
        <w:tc>
          <w:tcPr>
            <w:tcW w:w="8397" w:type="dxa"/>
            <w:tcBorders>
              <w:top w:val="nil"/>
              <w:left w:val="nil"/>
              <w:bottom w:val="nil"/>
              <w:right w:val="nil"/>
            </w:tcBorders>
            <w:shd w:val="clear" w:color="auto" w:fill="auto"/>
          </w:tcPr>
          <w:p w14:paraId="57CF0956" w14:textId="77777777" w:rsidR="00B60186" w:rsidRPr="009D3012" w:rsidRDefault="00B60186">
            <w:pPr>
              <w:widowControl w:val="0"/>
              <w:spacing w:after="0" w:line="240" w:lineRule="auto"/>
              <w:jc w:val="left"/>
              <w:rPr>
                <w:rFonts w:eastAsia="Times New Roman" w:cs="Arial"/>
                <w:lang w:val="en-US" w:eastAsia="fr-FR"/>
              </w:rPr>
            </w:pPr>
            <w:r w:rsidRPr="009D3012">
              <w:rPr>
                <w:rFonts w:eastAsia="Times New Roman" w:cs="Arial"/>
                <w:lang w:val="en-US" w:eastAsia="fr-FR"/>
              </w:rPr>
              <w:t>Design bond force resistance of the ABR CFRP</w:t>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p>
        </w:tc>
      </w:tr>
      <w:tr w:rsidR="00B60186" w:rsidRPr="001455DC" w14:paraId="31819A5D" w14:textId="77777777" w:rsidTr="009D3012">
        <w:trPr>
          <w:trHeight w:val="300"/>
        </w:trPr>
        <w:tc>
          <w:tcPr>
            <w:tcW w:w="1526" w:type="dxa"/>
            <w:tcBorders>
              <w:top w:val="nil"/>
              <w:left w:val="nil"/>
              <w:bottom w:val="nil"/>
              <w:right w:val="nil"/>
            </w:tcBorders>
            <w:shd w:val="clear" w:color="auto" w:fill="auto"/>
          </w:tcPr>
          <w:p w14:paraId="5138D7F3" w14:textId="77777777" w:rsidR="00B60186" w:rsidRPr="009D3012" w:rsidRDefault="00231E33">
            <w:pPr>
              <w:widowControl w:val="0"/>
              <w:spacing w:after="60" w:line="240" w:lineRule="auto"/>
              <w:jc w:val="left"/>
              <w:rPr>
                <w:rFonts w:cs="Arial"/>
                <w:lang w:val="en-US"/>
              </w:rPr>
            </w:pPr>
            <m:oMathPara>
              <m:oMathParaPr>
                <m:jc m:val="left"/>
              </m:oMathParaPr>
              <m:oMath>
                <m:sSub>
                  <m:sSubPr>
                    <m:ctrlPr>
                      <w:rPr>
                        <w:rFonts w:ascii="Cambria Math" w:eastAsia="Times New Roman" w:hAnsi="Cambria Math" w:cs="Arial"/>
                        <w:i/>
                        <w:lang w:val="en-US" w:eastAsia="fr-FR"/>
                      </w:rPr>
                    </m:ctrlPr>
                  </m:sSubPr>
                  <m:e>
                    <m:r>
                      <w:rPr>
                        <w:rFonts w:ascii="Cambria Math" w:eastAsia="Times New Roman" w:hAnsi="Cambria Math" w:cs="Arial"/>
                        <w:lang w:val="en-US" w:eastAsia="fr-FR"/>
                      </w:rPr>
                      <m:t>F</m:t>
                    </m:r>
                  </m:e>
                  <m:sub>
                    <m:r>
                      <m:rPr>
                        <m:sty m:val="p"/>
                      </m:rPr>
                      <w:rPr>
                        <w:rFonts w:ascii="Cambria Math" w:eastAsia="Times New Roman" w:hAnsi="Cambria Math" w:cs="Arial"/>
                        <w:lang w:val="en-US" w:eastAsia="fr-FR"/>
                      </w:rPr>
                      <m:t>fEd,cr</m:t>
                    </m:r>
                  </m:sub>
                </m:sSub>
              </m:oMath>
            </m:oMathPara>
          </w:p>
        </w:tc>
        <w:tc>
          <w:tcPr>
            <w:tcW w:w="8397" w:type="dxa"/>
            <w:tcBorders>
              <w:top w:val="nil"/>
              <w:left w:val="nil"/>
              <w:bottom w:val="nil"/>
              <w:right w:val="nil"/>
            </w:tcBorders>
            <w:shd w:val="clear" w:color="auto" w:fill="auto"/>
          </w:tcPr>
          <w:p w14:paraId="0CC17885" w14:textId="77777777" w:rsidR="00B60186" w:rsidRPr="009D3012" w:rsidRDefault="00B60186">
            <w:pPr>
              <w:widowControl w:val="0"/>
              <w:spacing w:after="0" w:line="240" w:lineRule="auto"/>
              <w:jc w:val="left"/>
              <w:rPr>
                <w:rFonts w:eastAsia="Times New Roman" w:cs="Arial"/>
                <w:lang w:val="en-US" w:eastAsia="fr-FR"/>
              </w:rPr>
            </w:pPr>
            <w:r w:rsidRPr="009D3012">
              <w:rPr>
                <w:rFonts w:eastAsia="Times New Roman" w:cs="Arial"/>
                <w:lang w:val="en-US" w:eastAsia="fr-FR"/>
              </w:rPr>
              <w:t>Force in CFRP at first crack in the strengthened area</w:t>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p>
        </w:tc>
      </w:tr>
      <w:tr w:rsidR="00B60186" w:rsidRPr="001455DC" w14:paraId="570E2689" w14:textId="77777777" w:rsidTr="009D3012">
        <w:trPr>
          <w:trHeight w:val="300"/>
        </w:trPr>
        <w:tc>
          <w:tcPr>
            <w:tcW w:w="1526" w:type="dxa"/>
            <w:tcBorders>
              <w:top w:val="nil"/>
              <w:left w:val="nil"/>
              <w:bottom w:val="nil"/>
              <w:right w:val="nil"/>
            </w:tcBorders>
            <w:shd w:val="clear" w:color="auto" w:fill="auto"/>
          </w:tcPr>
          <w:p w14:paraId="540BBBEC" w14:textId="77777777" w:rsidR="00B60186" w:rsidRPr="009D3012" w:rsidRDefault="00231E33">
            <w:pPr>
              <w:widowControl w:val="0"/>
              <w:spacing w:after="60" w:line="240" w:lineRule="auto"/>
              <w:jc w:val="left"/>
              <w:rPr>
                <w:rFonts w:cs="Arial"/>
                <w:lang w:val="en-US" w:eastAsia="fr-FR"/>
              </w:rPr>
            </w:pPr>
            <m:oMathPara>
              <m:oMathParaPr>
                <m:jc m:val="left"/>
              </m:oMathParaPr>
              <m:oMath>
                <m:sSub>
                  <m:sSubPr>
                    <m:ctrlPr>
                      <w:rPr>
                        <w:rFonts w:ascii="Cambria Math" w:eastAsia="Times New Roman" w:hAnsi="Cambria Math" w:cs="Arial"/>
                        <w:i/>
                        <w:lang w:val="en-US" w:eastAsia="fr-FR"/>
                      </w:rPr>
                    </m:ctrlPr>
                  </m:sSubPr>
                  <m:e>
                    <m:r>
                      <w:rPr>
                        <w:rFonts w:ascii="Cambria Math" w:eastAsia="Times New Roman" w:hAnsi="Cambria Math" w:cs="Arial"/>
                        <w:lang w:val="en-US" w:eastAsia="fr-FR"/>
                      </w:rPr>
                      <m:t>F</m:t>
                    </m:r>
                  </m:e>
                  <m:sub>
                    <m:r>
                      <m:rPr>
                        <m:sty m:val="p"/>
                      </m:rPr>
                      <w:rPr>
                        <w:rFonts w:ascii="Cambria Math" w:eastAsia="Times New Roman" w:hAnsi="Cambria Math" w:cs="Arial"/>
                        <w:lang w:val="en-US" w:eastAsia="fr-FR"/>
                      </w:rPr>
                      <m:t>f,NSM,max</m:t>
                    </m:r>
                  </m:sub>
                </m:sSub>
              </m:oMath>
            </m:oMathPara>
          </w:p>
        </w:tc>
        <w:tc>
          <w:tcPr>
            <w:tcW w:w="8397" w:type="dxa"/>
            <w:tcBorders>
              <w:top w:val="nil"/>
              <w:left w:val="nil"/>
              <w:bottom w:val="nil"/>
              <w:right w:val="nil"/>
            </w:tcBorders>
            <w:shd w:val="clear" w:color="auto" w:fill="auto"/>
          </w:tcPr>
          <w:p w14:paraId="61353A47" w14:textId="77777777" w:rsidR="00B60186" w:rsidRPr="009D3012" w:rsidRDefault="00B60186">
            <w:pPr>
              <w:widowControl w:val="0"/>
              <w:spacing w:after="0" w:line="240" w:lineRule="auto"/>
              <w:jc w:val="left"/>
              <w:rPr>
                <w:rFonts w:eastAsia="Times New Roman" w:cs="Arial"/>
                <w:lang w:val="en-US" w:eastAsia="fr-FR"/>
              </w:rPr>
            </w:pPr>
            <w:r w:rsidRPr="009D3012">
              <w:rPr>
                <w:rFonts w:eastAsia="Times New Roman" w:cs="Arial"/>
                <w:lang w:val="en-US" w:eastAsia="fr-FR"/>
              </w:rPr>
              <w:t>The maximum force in the NSM CFRP system, taking the shift of the tension envelope into account</w:t>
            </w:r>
            <w:r w:rsidRPr="009D3012">
              <w:rPr>
                <w:rFonts w:eastAsia="Times New Roman" w:cs="Arial"/>
                <w:lang w:val="en-US" w:eastAsia="fr-FR"/>
              </w:rPr>
              <w:tab/>
            </w:r>
          </w:p>
        </w:tc>
      </w:tr>
      <w:tr w:rsidR="00B60186" w:rsidRPr="001455DC" w14:paraId="7A0BA538" w14:textId="77777777" w:rsidTr="009D3012">
        <w:trPr>
          <w:trHeight w:val="300"/>
        </w:trPr>
        <w:tc>
          <w:tcPr>
            <w:tcW w:w="1526" w:type="dxa"/>
            <w:tcBorders>
              <w:top w:val="nil"/>
              <w:left w:val="nil"/>
              <w:bottom w:val="nil"/>
              <w:right w:val="nil"/>
            </w:tcBorders>
            <w:shd w:val="clear" w:color="auto" w:fill="auto"/>
          </w:tcPr>
          <w:p w14:paraId="54E939CC" w14:textId="77777777" w:rsidR="00B60186" w:rsidRPr="009D3012" w:rsidRDefault="00231E33" w:rsidP="009D3012">
            <w:pPr>
              <w:widowControl w:val="0"/>
              <w:spacing w:after="60" w:line="240" w:lineRule="auto"/>
              <w:jc w:val="left"/>
              <w:rPr>
                <w:rFonts w:eastAsia="Times New Roman" w:cs="Arial"/>
                <w:i/>
                <w:lang w:val="en-US" w:eastAsia="fr-FR"/>
              </w:rPr>
            </w:pPr>
            <m:oMathPara>
              <m:oMathParaPr>
                <m:jc m:val="left"/>
              </m:oMathParaPr>
              <m:oMath>
                <m:sSub>
                  <m:sSubPr>
                    <m:ctrlPr>
                      <w:rPr>
                        <w:rFonts w:ascii="Cambria Math" w:eastAsia="Times New Roman" w:hAnsi="Cambria Math" w:cs="Arial"/>
                        <w:i/>
                        <w:lang w:val="en-US" w:eastAsia="fr-FR"/>
                      </w:rPr>
                    </m:ctrlPr>
                  </m:sSubPr>
                  <m:e>
                    <m:r>
                      <w:rPr>
                        <w:rFonts w:ascii="Cambria Math" w:eastAsia="Times New Roman" w:hAnsi="Cambria Math" w:cs="Arial"/>
                        <w:lang w:val="en-US" w:eastAsia="fr-FR"/>
                      </w:rPr>
                      <m:t>∆F</m:t>
                    </m:r>
                  </m:e>
                  <m:sub>
                    <m:r>
                      <w:rPr>
                        <w:rFonts w:ascii="Cambria Math" w:eastAsia="Times New Roman" w:hAnsi="Cambria Math" w:cs="Arial"/>
                        <w:lang w:val="en-US" w:eastAsia="fr-FR"/>
                      </w:rPr>
                      <m:t>f,min</m:t>
                    </m:r>
                  </m:sub>
                </m:sSub>
              </m:oMath>
            </m:oMathPara>
          </w:p>
        </w:tc>
        <w:tc>
          <w:tcPr>
            <w:tcW w:w="8397" w:type="dxa"/>
            <w:tcBorders>
              <w:top w:val="nil"/>
              <w:left w:val="nil"/>
              <w:bottom w:val="nil"/>
              <w:right w:val="nil"/>
            </w:tcBorders>
            <w:shd w:val="clear" w:color="auto" w:fill="auto"/>
          </w:tcPr>
          <w:p w14:paraId="125B33C2" w14:textId="77777777" w:rsidR="00B60186" w:rsidRPr="009D3012" w:rsidRDefault="00B60186">
            <w:pPr>
              <w:widowControl w:val="0"/>
              <w:spacing w:after="0" w:line="240" w:lineRule="auto"/>
              <w:jc w:val="left"/>
              <w:rPr>
                <w:rFonts w:eastAsia="Times New Roman" w:cs="Arial"/>
                <w:lang w:val="en-US" w:eastAsia="fr-FR"/>
              </w:rPr>
            </w:pPr>
            <w:r w:rsidRPr="009D3012">
              <w:rPr>
                <w:rFonts w:eastAsia="Times New Roman" w:cs="Arial"/>
                <w:lang w:val="en-US" w:eastAsia="fr-FR"/>
              </w:rPr>
              <w:t xml:space="preserve">Minimum value of </w:t>
            </w:r>
            <m:oMath>
              <m:sSub>
                <m:sSubPr>
                  <m:ctrlPr>
                    <w:rPr>
                      <w:rFonts w:ascii="Cambria Math" w:eastAsia="Times New Roman" w:hAnsi="Cambria Math" w:cs="Arial"/>
                      <w:i/>
                      <w:lang w:val="en-US" w:eastAsia="fr-FR"/>
                    </w:rPr>
                  </m:ctrlPr>
                </m:sSubPr>
                <m:e>
                  <m:r>
                    <w:rPr>
                      <w:rFonts w:ascii="Cambria Math" w:eastAsia="Times New Roman" w:hAnsi="Cambria Math" w:cs="Arial"/>
                      <w:lang w:val="en-US" w:eastAsia="fr-FR"/>
                    </w:rPr>
                    <m:t>∆F</m:t>
                  </m:r>
                </m:e>
                <m:sub>
                  <m:r>
                    <m:rPr>
                      <m:sty m:val="p"/>
                    </m:rPr>
                    <w:rPr>
                      <w:rFonts w:ascii="Cambria Math" w:eastAsia="Times New Roman" w:hAnsi="Cambria Math" w:cs="Arial"/>
                      <w:lang w:val="en-US" w:eastAsia="fr-FR"/>
                    </w:rPr>
                    <m:t>f</m:t>
                  </m:r>
                </m:sub>
              </m:sSub>
            </m:oMath>
            <w:r w:rsidRPr="009D3012">
              <w:rPr>
                <w:rFonts w:eastAsia="Times New Roman" w:cs="Arial"/>
                <w:lang w:val="en-US" w:eastAsia="fr-FR"/>
              </w:rPr>
              <w:t xml:space="preserve"> under the fatigue load combination</w:t>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p>
        </w:tc>
      </w:tr>
      <w:tr w:rsidR="00B60186" w:rsidRPr="001455DC" w14:paraId="5F5C80A2" w14:textId="77777777" w:rsidTr="009D3012">
        <w:trPr>
          <w:trHeight w:val="300"/>
        </w:trPr>
        <w:tc>
          <w:tcPr>
            <w:tcW w:w="1526" w:type="dxa"/>
            <w:tcBorders>
              <w:top w:val="nil"/>
              <w:left w:val="nil"/>
              <w:bottom w:val="nil"/>
              <w:right w:val="nil"/>
            </w:tcBorders>
            <w:shd w:val="clear" w:color="auto" w:fill="auto"/>
          </w:tcPr>
          <w:p w14:paraId="2BCE5B3E" w14:textId="77777777" w:rsidR="00B60186" w:rsidRPr="009D3012" w:rsidRDefault="00231E33" w:rsidP="009D3012">
            <w:pPr>
              <w:widowControl w:val="0"/>
              <w:spacing w:after="60" w:line="240" w:lineRule="auto"/>
              <w:jc w:val="left"/>
              <w:rPr>
                <w:rFonts w:eastAsia="Times New Roman" w:cs="Arial"/>
                <w:i/>
                <w:lang w:val="en-US" w:eastAsia="fr-FR"/>
              </w:rPr>
            </w:pPr>
            <m:oMathPara>
              <m:oMathParaPr>
                <m:jc m:val="left"/>
              </m:oMathParaPr>
              <m:oMath>
                <m:sSub>
                  <m:sSubPr>
                    <m:ctrlPr>
                      <w:rPr>
                        <w:rFonts w:ascii="Cambria Math" w:eastAsia="Times New Roman" w:hAnsi="Cambria Math" w:cs="Arial"/>
                        <w:i/>
                        <w:lang w:val="en-US" w:eastAsia="fr-FR"/>
                      </w:rPr>
                    </m:ctrlPr>
                  </m:sSubPr>
                  <m:e>
                    <m:r>
                      <w:rPr>
                        <w:rFonts w:ascii="Cambria Math" w:eastAsia="Times New Roman" w:hAnsi="Cambria Math" w:cs="Arial"/>
                        <w:lang w:val="en-US" w:eastAsia="fr-FR"/>
                      </w:rPr>
                      <m:t>∆F</m:t>
                    </m:r>
                  </m:e>
                  <m:sub>
                    <m:r>
                      <w:rPr>
                        <w:rFonts w:ascii="Cambria Math" w:eastAsia="Times New Roman" w:hAnsi="Cambria Math" w:cs="Arial"/>
                        <w:lang w:val="en-US" w:eastAsia="fr-FR"/>
                      </w:rPr>
                      <m:t>f,max</m:t>
                    </m:r>
                  </m:sub>
                </m:sSub>
              </m:oMath>
            </m:oMathPara>
          </w:p>
        </w:tc>
        <w:tc>
          <w:tcPr>
            <w:tcW w:w="8397" w:type="dxa"/>
            <w:tcBorders>
              <w:top w:val="nil"/>
              <w:left w:val="nil"/>
              <w:bottom w:val="nil"/>
              <w:right w:val="nil"/>
            </w:tcBorders>
            <w:shd w:val="clear" w:color="auto" w:fill="auto"/>
          </w:tcPr>
          <w:p w14:paraId="268F23C7" w14:textId="77777777" w:rsidR="00B60186" w:rsidRPr="009D3012" w:rsidRDefault="00B60186">
            <w:pPr>
              <w:widowControl w:val="0"/>
              <w:spacing w:after="0" w:line="240" w:lineRule="auto"/>
              <w:jc w:val="left"/>
              <w:rPr>
                <w:rFonts w:eastAsia="Times New Roman" w:cs="Arial"/>
                <w:lang w:val="en-US" w:eastAsia="fr-FR"/>
              </w:rPr>
            </w:pPr>
            <w:r w:rsidRPr="009D3012">
              <w:rPr>
                <w:rFonts w:eastAsia="Times New Roman" w:cs="Arial"/>
                <w:lang w:val="en-US" w:eastAsia="fr-FR"/>
              </w:rPr>
              <w:t xml:space="preserve">Maximum value of </w:t>
            </w:r>
            <m:oMath>
              <m:sSub>
                <m:sSubPr>
                  <m:ctrlPr>
                    <w:rPr>
                      <w:rFonts w:ascii="Cambria Math" w:eastAsia="Times New Roman" w:hAnsi="Cambria Math" w:cs="Arial"/>
                      <w:i/>
                      <w:lang w:val="en-US" w:eastAsia="fr-FR"/>
                    </w:rPr>
                  </m:ctrlPr>
                </m:sSubPr>
                <m:e>
                  <m:r>
                    <w:rPr>
                      <w:rFonts w:ascii="Cambria Math" w:eastAsia="Times New Roman" w:hAnsi="Cambria Math" w:cs="Arial"/>
                      <w:lang w:val="en-US" w:eastAsia="fr-FR"/>
                    </w:rPr>
                    <m:t>∆F</m:t>
                  </m:r>
                </m:e>
                <m:sub>
                  <m:r>
                    <m:rPr>
                      <m:sty m:val="p"/>
                    </m:rPr>
                    <w:rPr>
                      <w:rFonts w:ascii="Cambria Math" w:eastAsia="Times New Roman" w:hAnsi="Cambria Math" w:cs="Arial"/>
                      <w:lang w:val="en-US" w:eastAsia="fr-FR"/>
                    </w:rPr>
                    <m:t>f</m:t>
                  </m:r>
                </m:sub>
              </m:sSub>
            </m:oMath>
            <w:r w:rsidRPr="009D3012">
              <w:rPr>
                <w:rFonts w:eastAsia="Times New Roman" w:cs="Arial"/>
                <w:lang w:val="en-US" w:eastAsia="fr-FR"/>
              </w:rPr>
              <w:t xml:space="preserve"> under the fatigue load combination</w:t>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p>
        </w:tc>
      </w:tr>
      <w:tr w:rsidR="00B60186" w:rsidRPr="001455DC" w14:paraId="14025C13" w14:textId="77777777" w:rsidTr="009D3012">
        <w:trPr>
          <w:trHeight w:val="300"/>
        </w:trPr>
        <w:tc>
          <w:tcPr>
            <w:tcW w:w="1526" w:type="dxa"/>
            <w:tcBorders>
              <w:top w:val="nil"/>
              <w:left w:val="nil"/>
              <w:bottom w:val="nil"/>
              <w:right w:val="nil"/>
            </w:tcBorders>
            <w:shd w:val="clear" w:color="auto" w:fill="auto"/>
          </w:tcPr>
          <w:p w14:paraId="7ABFBA3D" w14:textId="2980D96C" w:rsidR="00B60186" w:rsidRPr="009D3012" w:rsidRDefault="001E7ABA" w:rsidP="00046D2A">
            <w:pPr>
              <w:widowControl w:val="0"/>
              <w:tabs>
                <w:tab w:val="center" w:pos="660"/>
                <w:tab w:val="right" w:pos="1320"/>
              </w:tabs>
              <w:spacing w:after="60" w:line="240" w:lineRule="auto"/>
              <w:jc w:val="left"/>
              <w:rPr>
                <w:rFonts w:eastAsia="Times New Roman" w:cs="Arial"/>
                <w:i/>
                <w:lang w:val="en-US" w:eastAsia="fr-FR"/>
              </w:rPr>
            </w:pPr>
            <w:r w:rsidRPr="00046D2A">
              <w:rPr>
                <w:position w:val="-14"/>
                <w:lang w:val="en-GB"/>
              </w:rPr>
              <w:object w:dxaOrig="460" w:dyaOrig="380" w14:anchorId="4603BB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18.75pt" o:ole="">
                  <v:imagedata r:id="rId20" o:title=""/>
                </v:shape>
                <o:OLEObject Type="Embed" ProgID="Equation.DSMT4" ShapeID="_x0000_i1025" DrawAspect="Content" ObjectID="_1692169367" r:id="rId21"/>
              </w:object>
            </w:r>
          </w:p>
        </w:tc>
        <w:tc>
          <w:tcPr>
            <w:tcW w:w="8397" w:type="dxa"/>
            <w:tcBorders>
              <w:top w:val="nil"/>
              <w:left w:val="nil"/>
              <w:bottom w:val="nil"/>
              <w:right w:val="nil"/>
            </w:tcBorders>
            <w:shd w:val="clear" w:color="auto" w:fill="auto"/>
          </w:tcPr>
          <w:p w14:paraId="2858ABE0" w14:textId="77777777" w:rsidR="00B60186" w:rsidRPr="009D3012" w:rsidRDefault="00B60186">
            <w:pPr>
              <w:widowControl w:val="0"/>
              <w:spacing w:after="0" w:line="240" w:lineRule="auto"/>
              <w:jc w:val="left"/>
              <w:rPr>
                <w:rFonts w:eastAsia="Times New Roman" w:cs="Arial"/>
                <w:lang w:val="en-US" w:eastAsia="fr-FR"/>
              </w:rPr>
            </w:pPr>
            <w:r w:rsidRPr="009D3012">
              <w:rPr>
                <w:rFonts w:eastAsia="Times New Roman" w:cs="Arial"/>
                <w:lang w:val="en-US" w:eastAsia="fr-FR"/>
              </w:rPr>
              <w:t xml:space="preserve">Force change in CFRP under the fatigue load combination </w:t>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p>
        </w:tc>
      </w:tr>
      <w:tr w:rsidR="00B60186" w:rsidRPr="001455DC" w14:paraId="0A9F3505" w14:textId="77777777" w:rsidTr="009D3012">
        <w:trPr>
          <w:trHeight w:val="300"/>
        </w:trPr>
        <w:tc>
          <w:tcPr>
            <w:tcW w:w="1526" w:type="dxa"/>
            <w:tcBorders>
              <w:top w:val="nil"/>
              <w:left w:val="nil"/>
              <w:bottom w:val="nil"/>
              <w:right w:val="nil"/>
            </w:tcBorders>
            <w:shd w:val="clear" w:color="auto" w:fill="auto"/>
          </w:tcPr>
          <w:p w14:paraId="39930112" w14:textId="4F21C32C" w:rsidR="00B60186" w:rsidRPr="009D3012" w:rsidRDefault="001E7ABA" w:rsidP="00046D2A">
            <w:pPr>
              <w:widowControl w:val="0"/>
              <w:tabs>
                <w:tab w:val="center" w:pos="660"/>
                <w:tab w:val="right" w:pos="1320"/>
              </w:tabs>
              <w:spacing w:after="60" w:line="240" w:lineRule="auto"/>
              <w:jc w:val="left"/>
              <w:rPr>
                <w:rFonts w:eastAsia="Times New Roman" w:cs="Arial"/>
                <w:i/>
                <w:lang w:val="en-US" w:eastAsia="fr-FR"/>
              </w:rPr>
            </w:pPr>
            <w:r w:rsidRPr="00046D2A">
              <w:rPr>
                <w:position w:val="-14"/>
                <w:lang w:val="en-GB"/>
              </w:rPr>
              <w:object w:dxaOrig="580" w:dyaOrig="380" w14:anchorId="79520B36">
                <v:shape id="_x0000_i1026" type="#_x0000_t75" style="width:28.5pt;height:18.75pt" o:ole="">
                  <v:imagedata r:id="rId22" o:title=""/>
                </v:shape>
                <o:OLEObject Type="Embed" ProgID="Equation.DSMT4" ShapeID="_x0000_i1026" DrawAspect="Content" ObjectID="_1692169368" r:id="rId23"/>
              </w:object>
            </w:r>
          </w:p>
        </w:tc>
        <w:tc>
          <w:tcPr>
            <w:tcW w:w="8397" w:type="dxa"/>
            <w:tcBorders>
              <w:top w:val="nil"/>
              <w:left w:val="nil"/>
              <w:bottom w:val="nil"/>
              <w:right w:val="nil"/>
            </w:tcBorders>
            <w:shd w:val="clear" w:color="auto" w:fill="auto"/>
          </w:tcPr>
          <w:p w14:paraId="579CE3E8" w14:textId="77777777" w:rsidR="00B60186" w:rsidRPr="009D3012" w:rsidRDefault="00B60186">
            <w:pPr>
              <w:widowControl w:val="0"/>
              <w:spacing w:after="0" w:line="240" w:lineRule="auto"/>
              <w:jc w:val="left"/>
              <w:rPr>
                <w:rFonts w:eastAsia="Times New Roman" w:cs="Arial"/>
                <w:lang w:val="en-US" w:eastAsia="fr-FR"/>
              </w:rPr>
            </w:pPr>
            <w:r w:rsidRPr="009D3012">
              <w:rPr>
                <w:rFonts w:eastAsia="Times New Roman" w:cs="Arial"/>
                <w:lang w:val="en-US" w:eastAsia="fr-FR"/>
              </w:rPr>
              <w:t>Difference in FRP tension force between cracks</w:t>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p>
        </w:tc>
      </w:tr>
      <w:tr w:rsidR="00B60186" w:rsidRPr="001455DC" w14:paraId="2A3ED772" w14:textId="77777777" w:rsidTr="009D3012">
        <w:trPr>
          <w:trHeight w:val="300"/>
        </w:trPr>
        <w:tc>
          <w:tcPr>
            <w:tcW w:w="1526" w:type="dxa"/>
            <w:tcBorders>
              <w:top w:val="nil"/>
              <w:left w:val="nil"/>
              <w:bottom w:val="nil"/>
              <w:right w:val="nil"/>
            </w:tcBorders>
            <w:shd w:val="clear" w:color="auto" w:fill="auto"/>
          </w:tcPr>
          <w:p w14:paraId="18C1B3B2" w14:textId="5D495F00" w:rsidR="00B60186" w:rsidRPr="009D3012" w:rsidRDefault="001E7ABA" w:rsidP="00046D2A">
            <w:pPr>
              <w:widowControl w:val="0"/>
              <w:tabs>
                <w:tab w:val="center" w:pos="660"/>
                <w:tab w:val="right" w:pos="1320"/>
              </w:tabs>
              <w:spacing w:after="60" w:line="240" w:lineRule="auto"/>
              <w:jc w:val="left"/>
              <w:rPr>
                <w:rFonts w:eastAsia="Times New Roman" w:cs="Arial"/>
                <w:i/>
                <w:lang w:val="en-US" w:eastAsia="fr-FR"/>
              </w:rPr>
            </w:pPr>
            <w:r w:rsidRPr="00046D2A">
              <w:rPr>
                <w:position w:val="-14"/>
                <w:lang w:val="en-GB"/>
              </w:rPr>
              <w:object w:dxaOrig="820" w:dyaOrig="380" w14:anchorId="510FAE76">
                <v:shape id="_x0000_i1027" type="#_x0000_t75" style="width:41.25pt;height:18.75pt" o:ole="">
                  <v:imagedata r:id="rId24" o:title=""/>
                </v:shape>
                <o:OLEObject Type="Embed" ProgID="Equation.DSMT4" ShapeID="_x0000_i1027" DrawAspect="Content" ObjectID="_1692169369" r:id="rId25"/>
              </w:object>
            </w:r>
          </w:p>
        </w:tc>
        <w:tc>
          <w:tcPr>
            <w:tcW w:w="8397" w:type="dxa"/>
            <w:tcBorders>
              <w:top w:val="nil"/>
              <w:left w:val="nil"/>
              <w:bottom w:val="nil"/>
              <w:right w:val="nil"/>
            </w:tcBorders>
            <w:shd w:val="clear" w:color="auto" w:fill="auto"/>
          </w:tcPr>
          <w:p w14:paraId="5A1773F4" w14:textId="77777777" w:rsidR="00B60186" w:rsidRPr="009D3012" w:rsidRDefault="00B60186">
            <w:pPr>
              <w:widowControl w:val="0"/>
              <w:spacing w:after="0" w:line="240" w:lineRule="auto"/>
              <w:jc w:val="left"/>
              <w:rPr>
                <w:rFonts w:eastAsia="Times New Roman" w:cs="Arial"/>
                <w:lang w:val="en-US" w:eastAsia="fr-FR"/>
              </w:rPr>
            </w:pPr>
            <w:r w:rsidRPr="009D3012">
              <w:rPr>
                <w:rFonts w:eastAsia="Times New Roman" w:cs="Arial"/>
                <w:lang w:val="en-US" w:eastAsia="fr-FR"/>
              </w:rPr>
              <w:t>Design difference in the change in force in the CFRP system between cracks</w:t>
            </w:r>
            <w:r w:rsidRPr="009D3012">
              <w:rPr>
                <w:rFonts w:eastAsia="Times New Roman" w:cs="Arial"/>
                <w:lang w:val="en-US" w:eastAsia="fr-FR"/>
              </w:rPr>
              <w:tab/>
            </w:r>
          </w:p>
        </w:tc>
      </w:tr>
      <w:tr w:rsidR="00B60186" w:rsidRPr="001455DC" w14:paraId="7879B52C" w14:textId="77777777" w:rsidTr="009D3012">
        <w:trPr>
          <w:trHeight w:val="300"/>
        </w:trPr>
        <w:tc>
          <w:tcPr>
            <w:tcW w:w="1526" w:type="dxa"/>
            <w:tcBorders>
              <w:top w:val="nil"/>
              <w:left w:val="nil"/>
              <w:bottom w:val="nil"/>
              <w:right w:val="nil"/>
            </w:tcBorders>
            <w:shd w:val="clear" w:color="auto" w:fill="auto"/>
          </w:tcPr>
          <w:p w14:paraId="47DBF1FA" w14:textId="62CE720B" w:rsidR="00B60186" w:rsidRPr="009D3012" w:rsidRDefault="001E7ABA" w:rsidP="00046D2A">
            <w:pPr>
              <w:widowControl w:val="0"/>
              <w:tabs>
                <w:tab w:val="center" w:pos="660"/>
                <w:tab w:val="right" w:pos="1320"/>
              </w:tabs>
              <w:spacing w:after="60" w:line="240" w:lineRule="auto"/>
              <w:jc w:val="left"/>
              <w:rPr>
                <w:rFonts w:eastAsia="Times New Roman" w:cs="Arial"/>
                <w:i/>
                <w:lang w:val="en-US" w:eastAsia="fr-FR"/>
              </w:rPr>
            </w:pPr>
            <w:r w:rsidRPr="00046D2A">
              <w:rPr>
                <w:position w:val="-14"/>
                <w:lang w:val="en-GB"/>
              </w:rPr>
              <w:object w:dxaOrig="880" w:dyaOrig="380" w14:anchorId="62FA3B2D">
                <v:shape id="_x0000_i1028" type="#_x0000_t75" style="width:44.25pt;height:18.75pt" o:ole="">
                  <v:imagedata r:id="rId26" o:title=""/>
                </v:shape>
                <o:OLEObject Type="Embed" ProgID="Equation.DSMT4" ShapeID="_x0000_i1028" DrawAspect="Content" ObjectID="_1692169370" r:id="rId27"/>
              </w:object>
            </w:r>
          </w:p>
        </w:tc>
        <w:tc>
          <w:tcPr>
            <w:tcW w:w="8397" w:type="dxa"/>
            <w:tcBorders>
              <w:top w:val="nil"/>
              <w:left w:val="nil"/>
              <w:bottom w:val="nil"/>
              <w:right w:val="nil"/>
            </w:tcBorders>
            <w:shd w:val="clear" w:color="auto" w:fill="auto"/>
          </w:tcPr>
          <w:p w14:paraId="5BDEDB2F" w14:textId="77777777" w:rsidR="00B60186" w:rsidRPr="009D3012" w:rsidRDefault="00B60186">
            <w:pPr>
              <w:widowControl w:val="0"/>
              <w:spacing w:after="0" w:line="240" w:lineRule="auto"/>
              <w:jc w:val="left"/>
              <w:rPr>
                <w:rFonts w:eastAsia="Times New Roman" w:cs="Arial"/>
                <w:lang w:val="en-US" w:eastAsia="fr-FR"/>
              </w:rPr>
            </w:pPr>
            <w:r w:rsidRPr="009D3012">
              <w:rPr>
                <w:rFonts w:eastAsia="Times New Roman" w:cs="Arial"/>
                <w:lang w:val="en-US" w:eastAsia="fr-FR"/>
              </w:rPr>
              <w:t>Fatigue resistance limited by an elastic response in the bond of the CFRP to the concrete surface</w:t>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p>
        </w:tc>
      </w:tr>
      <w:tr w:rsidR="00B60186" w:rsidRPr="001455DC" w14:paraId="1E19826B" w14:textId="77777777" w:rsidTr="009D3012">
        <w:trPr>
          <w:trHeight w:val="300"/>
        </w:trPr>
        <w:tc>
          <w:tcPr>
            <w:tcW w:w="1526" w:type="dxa"/>
            <w:tcBorders>
              <w:top w:val="nil"/>
              <w:left w:val="nil"/>
              <w:bottom w:val="nil"/>
              <w:right w:val="nil"/>
            </w:tcBorders>
            <w:shd w:val="clear" w:color="auto" w:fill="auto"/>
          </w:tcPr>
          <w:p w14:paraId="70284135" w14:textId="24F9F12E" w:rsidR="00B60186" w:rsidRPr="009D3012" w:rsidRDefault="001E7ABA" w:rsidP="00046D2A">
            <w:pPr>
              <w:widowControl w:val="0"/>
              <w:tabs>
                <w:tab w:val="center" w:pos="660"/>
                <w:tab w:val="right" w:pos="1320"/>
              </w:tabs>
              <w:spacing w:after="60" w:line="240" w:lineRule="auto"/>
              <w:jc w:val="left"/>
              <w:rPr>
                <w:rFonts w:eastAsia="Times New Roman" w:cs="Arial"/>
                <w:i/>
                <w:lang w:val="en-US" w:eastAsia="fr-FR"/>
              </w:rPr>
            </w:pPr>
            <w:r w:rsidRPr="00046D2A">
              <w:rPr>
                <w:position w:val="-14"/>
                <w:lang w:val="en-GB"/>
              </w:rPr>
              <w:object w:dxaOrig="900" w:dyaOrig="380" w14:anchorId="18C3B65E">
                <v:shape id="_x0000_i1029" type="#_x0000_t75" style="width:45pt;height:18.75pt" o:ole="">
                  <v:imagedata r:id="rId28" o:title=""/>
                </v:shape>
                <o:OLEObject Type="Embed" ProgID="Equation.DSMT4" ShapeID="_x0000_i1029" DrawAspect="Content" ObjectID="_1692169371" r:id="rId29"/>
              </w:object>
            </w:r>
          </w:p>
        </w:tc>
        <w:tc>
          <w:tcPr>
            <w:tcW w:w="8397" w:type="dxa"/>
            <w:tcBorders>
              <w:top w:val="nil"/>
              <w:left w:val="nil"/>
              <w:bottom w:val="nil"/>
              <w:right w:val="nil"/>
            </w:tcBorders>
            <w:shd w:val="clear" w:color="auto" w:fill="auto"/>
          </w:tcPr>
          <w:p w14:paraId="535A8191" w14:textId="77777777" w:rsidR="00B60186" w:rsidRPr="009D3012" w:rsidRDefault="00B60186">
            <w:pPr>
              <w:widowControl w:val="0"/>
              <w:spacing w:after="0" w:line="240" w:lineRule="auto"/>
              <w:jc w:val="left"/>
              <w:rPr>
                <w:rFonts w:eastAsia="Times New Roman" w:cs="Arial"/>
                <w:lang w:val="en-US" w:eastAsia="fr-FR"/>
              </w:rPr>
            </w:pPr>
            <w:r w:rsidRPr="009D3012">
              <w:rPr>
                <w:rFonts w:eastAsia="Times New Roman" w:cs="Arial"/>
                <w:lang w:val="en-US" w:eastAsia="fr-FR"/>
              </w:rPr>
              <w:t>Fatigue resistance of the CFRP system subject to N* stress cycles</w:t>
            </w:r>
            <w:r w:rsidRPr="009D3012">
              <w:rPr>
                <w:rFonts w:eastAsia="Times New Roman" w:cs="Arial"/>
                <w:lang w:val="en-US" w:eastAsia="fr-FR"/>
              </w:rPr>
              <w:tab/>
            </w:r>
            <w:r w:rsidRPr="009D3012">
              <w:rPr>
                <w:rFonts w:eastAsia="Times New Roman" w:cs="Arial"/>
                <w:lang w:val="en-US" w:eastAsia="fr-FR"/>
              </w:rPr>
              <w:tab/>
            </w:r>
          </w:p>
        </w:tc>
      </w:tr>
      <w:tr w:rsidR="00B60186" w:rsidRPr="001455DC" w14:paraId="38A82A03" w14:textId="77777777" w:rsidTr="009D3012">
        <w:trPr>
          <w:trHeight w:val="300"/>
        </w:trPr>
        <w:tc>
          <w:tcPr>
            <w:tcW w:w="1526" w:type="dxa"/>
            <w:tcBorders>
              <w:top w:val="nil"/>
              <w:left w:val="nil"/>
              <w:bottom w:val="nil"/>
              <w:right w:val="nil"/>
            </w:tcBorders>
            <w:shd w:val="clear" w:color="auto" w:fill="auto"/>
          </w:tcPr>
          <w:p w14:paraId="53ACF2E6" w14:textId="23A63BBE" w:rsidR="00B60186" w:rsidRPr="009D3012" w:rsidRDefault="001E7ABA" w:rsidP="00046D2A">
            <w:pPr>
              <w:widowControl w:val="0"/>
              <w:tabs>
                <w:tab w:val="center" w:pos="660"/>
                <w:tab w:val="right" w:pos="1320"/>
              </w:tabs>
              <w:spacing w:after="60" w:line="240" w:lineRule="auto"/>
              <w:jc w:val="left"/>
              <w:rPr>
                <w:rFonts w:eastAsia="Times New Roman" w:cs="Arial"/>
                <w:i/>
                <w:lang w:val="en-US" w:eastAsia="fr-FR"/>
              </w:rPr>
            </w:pPr>
            <w:r w:rsidRPr="00046D2A">
              <w:rPr>
                <w:position w:val="-14"/>
                <w:lang w:val="en-GB"/>
              </w:rPr>
              <w:object w:dxaOrig="580" w:dyaOrig="380" w14:anchorId="1B186320">
                <v:shape id="_x0000_i1030" type="#_x0000_t75" style="width:28.5pt;height:18.75pt" o:ole="">
                  <v:imagedata r:id="rId30" o:title=""/>
                </v:shape>
                <o:OLEObject Type="Embed" ProgID="Equation.DSMT4" ShapeID="_x0000_i1030" DrawAspect="Content" ObjectID="_1692169372" r:id="rId31"/>
              </w:object>
            </w:r>
          </w:p>
        </w:tc>
        <w:tc>
          <w:tcPr>
            <w:tcW w:w="8397" w:type="dxa"/>
            <w:tcBorders>
              <w:top w:val="nil"/>
              <w:left w:val="nil"/>
              <w:bottom w:val="nil"/>
              <w:right w:val="nil"/>
            </w:tcBorders>
            <w:shd w:val="clear" w:color="auto" w:fill="auto"/>
          </w:tcPr>
          <w:p w14:paraId="2CEF4BF4" w14:textId="77777777" w:rsidR="00B60186" w:rsidRPr="009D3012" w:rsidRDefault="00B60186">
            <w:pPr>
              <w:widowControl w:val="0"/>
              <w:spacing w:after="0" w:line="240" w:lineRule="auto"/>
              <w:jc w:val="left"/>
              <w:rPr>
                <w:rFonts w:eastAsia="Times New Roman" w:cs="Arial"/>
                <w:lang w:val="en-US" w:eastAsia="fr-FR"/>
              </w:rPr>
            </w:pPr>
            <w:r w:rsidRPr="009D3012">
              <w:rPr>
                <w:rFonts w:eastAsia="Times New Roman" w:cs="Arial"/>
                <w:lang w:val="en-US" w:eastAsia="fr-FR"/>
              </w:rPr>
              <w:t>Bond resistance between cracks</w:t>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p>
        </w:tc>
      </w:tr>
      <w:tr w:rsidR="00B60186" w:rsidRPr="001455DC" w14:paraId="0E6D67A7" w14:textId="77777777" w:rsidTr="009D3012">
        <w:trPr>
          <w:trHeight w:val="300"/>
        </w:trPr>
        <w:tc>
          <w:tcPr>
            <w:tcW w:w="1526" w:type="dxa"/>
            <w:tcBorders>
              <w:top w:val="nil"/>
              <w:left w:val="nil"/>
              <w:bottom w:val="nil"/>
              <w:right w:val="nil"/>
            </w:tcBorders>
            <w:shd w:val="clear" w:color="auto" w:fill="auto"/>
          </w:tcPr>
          <w:p w14:paraId="26608989" w14:textId="3B4EAD2F" w:rsidR="00B60186" w:rsidRPr="009D3012" w:rsidRDefault="001E7ABA" w:rsidP="00046D2A">
            <w:pPr>
              <w:widowControl w:val="0"/>
              <w:tabs>
                <w:tab w:val="center" w:pos="660"/>
                <w:tab w:val="right" w:pos="1320"/>
              </w:tabs>
              <w:spacing w:after="60" w:line="240" w:lineRule="auto"/>
              <w:jc w:val="left"/>
              <w:rPr>
                <w:rFonts w:eastAsia="Times New Roman" w:cs="Arial"/>
                <w:i/>
                <w:lang w:val="en-US" w:eastAsia="fr-FR"/>
              </w:rPr>
            </w:pPr>
            <w:r w:rsidRPr="00046D2A">
              <w:rPr>
                <w:position w:val="-14"/>
                <w:lang w:val="en-GB"/>
              </w:rPr>
              <w:object w:dxaOrig="760" w:dyaOrig="380" w14:anchorId="4EDA4499">
                <v:shape id="_x0000_i1031" type="#_x0000_t75" style="width:38.25pt;height:18.75pt" o:ole="">
                  <v:imagedata r:id="rId32" o:title=""/>
                </v:shape>
                <o:OLEObject Type="Embed" ProgID="Equation.DSMT4" ShapeID="_x0000_i1031" DrawAspect="Content" ObjectID="_1692169373" r:id="rId33"/>
              </w:object>
            </w:r>
          </w:p>
        </w:tc>
        <w:tc>
          <w:tcPr>
            <w:tcW w:w="8397" w:type="dxa"/>
            <w:tcBorders>
              <w:top w:val="nil"/>
              <w:left w:val="nil"/>
              <w:bottom w:val="nil"/>
              <w:right w:val="nil"/>
            </w:tcBorders>
            <w:shd w:val="clear" w:color="auto" w:fill="auto"/>
          </w:tcPr>
          <w:p w14:paraId="60891B71" w14:textId="77777777" w:rsidR="00B60186" w:rsidRPr="009D3012" w:rsidRDefault="00B60186">
            <w:pPr>
              <w:widowControl w:val="0"/>
              <w:spacing w:after="0" w:line="240" w:lineRule="auto"/>
              <w:jc w:val="left"/>
              <w:rPr>
                <w:rFonts w:eastAsia="Times New Roman" w:cs="Arial"/>
                <w:lang w:val="en-US" w:eastAsia="fr-FR"/>
              </w:rPr>
            </w:pPr>
            <w:r w:rsidRPr="009D3012">
              <w:rPr>
                <w:rFonts w:eastAsia="Times New Roman" w:cs="Arial"/>
                <w:lang w:val="en-US" w:eastAsia="fr-FR"/>
              </w:rPr>
              <w:t xml:space="preserve">Maximum difference in CFRP stress under the relevant load combination between cracks </w:t>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p>
        </w:tc>
      </w:tr>
      <w:tr w:rsidR="00B60186" w:rsidRPr="001455DC" w14:paraId="448EB677" w14:textId="77777777" w:rsidTr="009D3012">
        <w:trPr>
          <w:trHeight w:val="300"/>
        </w:trPr>
        <w:tc>
          <w:tcPr>
            <w:tcW w:w="1526" w:type="dxa"/>
            <w:tcBorders>
              <w:top w:val="nil"/>
              <w:left w:val="nil"/>
              <w:bottom w:val="nil"/>
              <w:right w:val="nil"/>
            </w:tcBorders>
            <w:shd w:val="clear" w:color="auto" w:fill="auto"/>
          </w:tcPr>
          <w:p w14:paraId="162E2E70" w14:textId="5456B0A6" w:rsidR="00B60186" w:rsidRPr="009D3012" w:rsidRDefault="00046D2A" w:rsidP="00046D2A">
            <w:pPr>
              <w:widowControl w:val="0"/>
              <w:tabs>
                <w:tab w:val="center" w:pos="660"/>
                <w:tab w:val="right" w:pos="1320"/>
              </w:tabs>
              <w:spacing w:after="60" w:line="240" w:lineRule="auto"/>
              <w:jc w:val="left"/>
              <w:rPr>
                <w:rFonts w:cs="Arial"/>
                <w:lang w:val="en-US"/>
              </w:rPr>
            </w:pPr>
            <w:r w:rsidRPr="00046D2A">
              <w:rPr>
                <w:position w:val="-6"/>
                <w:lang w:val="en-GB"/>
              </w:rPr>
              <w:object w:dxaOrig="340" w:dyaOrig="320" w14:anchorId="52D8F570">
                <v:shape id="_x0000_i1032" type="#_x0000_t75" style="width:17.25pt;height:15.75pt" o:ole="">
                  <v:imagedata r:id="rId34" o:title=""/>
                </v:shape>
                <o:OLEObject Type="Embed" ProgID="Equation.DSMT4" ShapeID="_x0000_i1032" DrawAspect="Content" ObjectID="_1692169374" r:id="rId35"/>
              </w:object>
            </w:r>
          </w:p>
        </w:tc>
        <w:tc>
          <w:tcPr>
            <w:tcW w:w="8397" w:type="dxa"/>
            <w:tcBorders>
              <w:top w:val="nil"/>
              <w:left w:val="nil"/>
              <w:bottom w:val="nil"/>
              <w:right w:val="nil"/>
            </w:tcBorders>
            <w:shd w:val="clear" w:color="auto" w:fill="auto"/>
          </w:tcPr>
          <w:p w14:paraId="04B83E15" w14:textId="77777777" w:rsidR="00B60186" w:rsidRPr="009D3012" w:rsidRDefault="00B60186">
            <w:pPr>
              <w:widowControl w:val="0"/>
              <w:spacing w:after="0" w:line="240" w:lineRule="auto"/>
              <w:jc w:val="left"/>
              <w:rPr>
                <w:rFonts w:eastAsia="Times New Roman" w:cs="Arial"/>
                <w:lang w:val="en-US" w:eastAsia="fr-FR"/>
              </w:rPr>
            </w:pPr>
            <w:r w:rsidRPr="009D3012">
              <w:rPr>
                <w:rFonts w:eastAsia="Times New Roman" w:cs="Arial"/>
                <w:lang w:val="en-US" w:eastAsia="fr-FR"/>
              </w:rPr>
              <w:t>Number of stress cycles</w:t>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p>
        </w:tc>
      </w:tr>
      <w:tr w:rsidR="00B60186" w:rsidRPr="001455DC" w14:paraId="444766FB" w14:textId="77777777" w:rsidTr="009D3012">
        <w:trPr>
          <w:trHeight w:val="300"/>
        </w:trPr>
        <w:tc>
          <w:tcPr>
            <w:tcW w:w="1526" w:type="dxa"/>
            <w:tcBorders>
              <w:top w:val="nil"/>
              <w:left w:val="nil"/>
              <w:bottom w:val="nil"/>
              <w:right w:val="nil"/>
            </w:tcBorders>
            <w:shd w:val="clear" w:color="auto" w:fill="auto"/>
          </w:tcPr>
          <w:p w14:paraId="31FAD6A9" w14:textId="1CC3C293" w:rsidR="00B60186" w:rsidRPr="009D3012" w:rsidRDefault="00046D2A" w:rsidP="00046D2A">
            <w:pPr>
              <w:widowControl w:val="0"/>
              <w:tabs>
                <w:tab w:val="center" w:pos="660"/>
                <w:tab w:val="right" w:pos="1320"/>
              </w:tabs>
              <w:spacing w:after="60" w:line="240" w:lineRule="auto"/>
              <w:jc w:val="left"/>
              <w:rPr>
                <w:rFonts w:eastAsia="Times New Roman" w:cs="Arial"/>
                <w:i/>
                <w:lang w:val="en-US" w:eastAsia="fr-FR"/>
              </w:rPr>
            </w:pPr>
            <w:r w:rsidRPr="00046D2A">
              <w:rPr>
                <w:position w:val="-14"/>
                <w:lang w:val="en-GB"/>
              </w:rPr>
              <w:object w:dxaOrig="460" w:dyaOrig="380" w14:anchorId="2197E978">
                <v:shape id="_x0000_i1033" type="#_x0000_t75" style="width:22.5pt;height:18.75pt" o:ole="">
                  <v:imagedata r:id="rId36" o:title=""/>
                </v:shape>
                <o:OLEObject Type="Embed" ProgID="Equation.DSMT4" ShapeID="_x0000_i1033" DrawAspect="Content" ObjectID="_1692169375" r:id="rId37"/>
              </w:object>
            </w:r>
          </w:p>
        </w:tc>
        <w:tc>
          <w:tcPr>
            <w:tcW w:w="8397" w:type="dxa"/>
            <w:tcBorders>
              <w:top w:val="nil"/>
              <w:left w:val="nil"/>
              <w:bottom w:val="nil"/>
              <w:right w:val="nil"/>
            </w:tcBorders>
            <w:shd w:val="clear" w:color="auto" w:fill="auto"/>
          </w:tcPr>
          <w:p w14:paraId="7F09ECA7" w14:textId="77777777" w:rsidR="00B60186" w:rsidRPr="009D3012" w:rsidRDefault="00B60186">
            <w:pPr>
              <w:tabs>
                <w:tab w:val="left" w:pos="851"/>
              </w:tabs>
              <w:spacing w:after="0" w:line="240" w:lineRule="auto"/>
              <w:jc w:val="left"/>
              <w:rPr>
                <w:rFonts w:eastAsia="Times New Roman" w:cs="Arial"/>
                <w:lang w:eastAsia="x-none"/>
              </w:rPr>
            </w:pPr>
            <w:r w:rsidRPr="009D3012">
              <w:rPr>
                <w:rFonts w:eastAsia="Times New Roman" w:cs="Arial"/>
                <w:lang w:eastAsia="x-none"/>
              </w:rPr>
              <w:t>Design shear force in adhesively bonded CFRP stirrups for shear induced crack separation</w:t>
            </w:r>
            <w:r w:rsidRPr="009D3012">
              <w:rPr>
                <w:rFonts w:eastAsia="Times New Roman" w:cs="Arial"/>
                <w:lang w:eastAsia="x-none"/>
              </w:rPr>
              <w:tab/>
            </w:r>
            <w:r w:rsidRPr="009D3012">
              <w:rPr>
                <w:rFonts w:eastAsia="Times New Roman" w:cs="Arial"/>
                <w:lang w:eastAsia="x-none"/>
              </w:rPr>
              <w:tab/>
            </w:r>
            <w:r w:rsidRPr="009D3012">
              <w:rPr>
                <w:rFonts w:eastAsia="Times New Roman" w:cs="Arial"/>
                <w:lang w:eastAsia="x-none"/>
              </w:rPr>
              <w:tab/>
            </w:r>
            <w:r w:rsidRPr="009D3012">
              <w:rPr>
                <w:rFonts w:eastAsia="Times New Roman" w:cs="Arial"/>
                <w:lang w:eastAsia="x-none"/>
              </w:rPr>
              <w:tab/>
            </w:r>
            <w:r w:rsidRPr="009D3012">
              <w:rPr>
                <w:rFonts w:eastAsia="Times New Roman" w:cs="Arial"/>
                <w:lang w:eastAsia="x-none"/>
              </w:rPr>
              <w:tab/>
            </w:r>
            <w:r w:rsidRPr="009D3012">
              <w:rPr>
                <w:rFonts w:eastAsia="Times New Roman" w:cs="Arial"/>
                <w:lang w:eastAsia="x-none"/>
              </w:rPr>
              <w:tab/>
            </w:r>
            <w:r w:rsidRPr="009D3012">
              <w:rPr>
                <w:rFonts w:eastAsia="Times New Roman" w:cs="Arial"/>
                <w:lang w:eastAsia="x-none"/>
              </w:rPr>
              <w:tab/>
            </w:r>
            <w:r w:rsidRPr="009D3012">
              <w:rPr>
                <w:rFonts w:eastAsia="Times New Roman" w:cs="Arial"/>
                <w:lang w:eastAsia="x-none"/>
              </w:rPr>
              <w:tab/>
            </w:r>
          </w:p>
        </w:tc>
      </w:tr>
      <w:tr w:rsidR="00B60186" w:rsidRPr="001455DC" w14:paraId="5242F269" w14:textId="77777777" w:rsidTr="009D3012">
        <w:trPr>
          <w:trHeight w:val="300"/>
        </w:trPr>
        <w:tc>
          <w:tcPr>
            <w:tcW w:w="1526" w:type="dxa"/>
            <w:tcBorders>
              <w:top w:val="nil"/>
              <w:left w:val="nil"/>
              <w:bottom w:val="nil"/>
              <w:right w:val="nil"/>
            </w:tcBorders>
            <w:shd w:val="clear" w:color="auto" w:fill="auto"/>
          </w:tcPr>
          <w:p w14:paraId="02468780" w14:textId="1D0C34F5" w:rsidR="00B60186" w:rsidRPr="009D3012" w:rsidRDefault="00046D2A" w:rsidP="00046D2A">
            <w:pPr>
              <w:widowControl w:val="0"/>
              <w:tabs>
                <w:tab w:val="center" w:pos="660"/>
                <w:tab w:val="right" w:pos="1320"/>
              </w:tabs>
              <w:spacing w:after="60" w:line="240" w:lineRule="auto"/>
              <w:jc w:val="left"/>
              <w:rPr>
                <w:rFonts w:cs="Arial"/>
                <w:lang w:val="en-US"/>
              </w:rPr>
            </w:pPr>
            <w:r w:rsidRPr="00046D2A">
              <w:rPr>
                <w:position w:val="-14"/>
                <w:lang w:val="en-GB"/>
              </w:rPr>
              <w:object w:dxaOrig="600" w:dyaOrig="380" w14:anchorId="269C0CBE">
                <v:shape id="_x0000_i1034" type="#_x0000_t75" style="width:30pt;height:18.75pt" o:ole="">
                  <v:imagedata r:id="rId38" o:title=""/>
                </v:shape>
                <o:OLEObject Type="Embed" ProgID="Equation.DSMT4" ShapeID="_x0000_i1034" DrawAspect="Content" ObjectID="_1692169376" r:id="rId39"/>
              </w:object>
            </w:r>
          </w:p>
        </w:tc>
        <w:tc>
          <w:tcPr>
            <w:tcW w:w="8397" w:type="dxa"/>
            <w:tcBorders>
              <w:top w:val="nil"/>
              <w:left w:val="nil"/>
              <w:bottom w:val="nil"/>
              <w:right w:val="nil"/>
            </w:tcBorders>
            <w:shd w:val="clear" w:color="auto" w:fill="auto"/>
          </w:tcPr>
          <w:p w14:paraId="66C8E495" w14:textId="77777777" w:rsidR="00B60186" w:rsidRPr="009D3012" w:rsidRDefault="00B60186">
            <w:pPr>
              <w:tabs>
                <w:tab w:val="left" w:pos="851"/>
              </w:tabs>
              <w:spacing w:after="0" w:line="240" w:lineRule="auto"/>
              <w:jc w:val="left"/>
              <w:rPr>
                <w:rFonts w:eastAsia="Times New Roman" w:cs="Arial"/>
                <w:lang w:eastAsia="x-none"/>
              </w:rPr>
            </w:pPr>
            <w:r w:rsidRPr="009D3012">
              <w:rPr>
                <w:rFonts w:eastAsia="Times New Roman" w:cs="Arial"/>
                <w:lang w:eastAsia="x-none"/>
              </w:rPr>
              <w:t>Design resistance against concrete cover separation</w:t>
            </w:r>
            <w:r w:rsidRPr="009D3012">
              <w:rPr>
                <w:rFonts w:eastAsia="Times New Roman" w:cs="Arial"/>
                <w:lang w:eastAsia="x-none"/>
              </w:rPr>
              <w:tab/>
            </w:r>
            <w:r w:rsidRPr="009D3012">
              <w:rPr>
                <w:rFonts w:eastAsia="Times New Roman" w:cs="Arial"/>
                <w:lang w:eastAsia="x-none"/>
              </w:rPr>
              <w:tab/>
            </w:r>
            <w:r w:rsidRPr="009D3012">
              <w:rPr>
                <w:rFonts w:eastAsia="Times New Roman" w:cs="Arial"/>
                <w:lang w:eastAsia="x-none"/>
              </w:rPr>
              <w:tab/>
            </w:r>
          </w:p>
        </w:tc>
      </w:tr>
      <w:tr w:rsidR="00B60186" w:rsidRPr="001455DC" w14:paraId="65B34162" w14:textId="77777777" w:rsidTr="009D3012">
        <w:trPr>
          <w:trHeight w:val="300"/>
        </w:trPr>
        <w:tc>
          <w:tcPr>
            <w:tcW w:w="1526" w:type="dxa"/>
            <w:tcBorders>
              <w:top w:val="nil"/>
              <w:left w:val="nil"/>
              <w:bottom w:val="nil"/>
              <w:right w:val="nil"/>
            </w:tcBorders>
            <w:shd w:val="clear" w:color="auto" w:fill="auto"/>
          </w:tcPr>
          <w:p w14:paraId="6D5A8E11" w14:textId="78584D47" w:rsidR="00B60186" w:rsidRPr="009D3012" w:rsidRDefault="00046D2A" w:rsidP="00046D2A">
            <w:pPr>
              <w:widowControl w:val="0"/>
              <w:tabs>
                <w:tab w:val="center" w:pos="660"/>
                <w:tab w:val="right" w:pos="1320"/>
              </w:tabs>
              <w:spacing w:after="60" w:line="240" w:lineRule="auto"/>
              <w:jc w:val="left"/>
              <w:rPr>
                <w:rFonts w:cs="Arial"/>
                <w:lang w:val="en-US" w:eastAsia="fr-FR"/>
              </w:rPr>
            </w:pPr>
            <w:r w:rsidRPr="00046D2A">
              <w:rPr>
                <w:position w:val="-14"/>
                <w:lang w:val="en-GB"/>
              </w:rPr>
              <w:object w:dxaOrig="740" w:dyaOrig="380" w14:anchorId="28C6545E">
                <v:shape id="_x0000_i1035" type="#_x0000_t75" style="width:36.75pt;height:18.75pt" o:ole="">
                  <v:imagedata r:id="rId40" o:title=""/>
                </v:shape>
                <o:OLEObject Type="Embed" ProgID="Equation.DSMT4" ShapeID="_x0000_i1035" DrawAspect="Content" ObjectID="_1692169377" r:id="rId41"/>
              </w:object>
            </w:r>
          </w:p>
        </w:tc>
        <w:tc>
          <w:tcPr>
            <w:tcW w:w="8397" w:type="dxa"/>
            <w:tcBorders>
              <w:top w:val="nil"/>
              <w:left w:val="nil"/>
              <w:bottom w:val="nil"/>
              <w:right w:val="nil"/>
            </w:tcBorders>
            <w:shd w:val="clear" w:color="auto" w:fill="auto"/>
          </w:tcPr>
          <w:p w14:paraId="46091FE8" w14:textId="77777777" w:rsidR="00B60186" w:rsidRPr="009D3012" w:rsidRDefault="00B60186">
            <w:pPr>
              <w:tabs>
                <w:tab w:val="left" w:pos="851"/>
              </w:tabs>
              <w:spacing w:after="0" w:line="240" w:lineRule="auto"/>
              <w:jc w:val="left"/>
              <w:rPr>
                <w:rFonts w:eastAsia="Times New Roman" w:cs="Arial"/>
                <w:lang w:eastAsia="x-none"/>
              </w:rPr>
            </w:pPr>
            <w:r w:rsidRPr="009D3012">
              <w:rPr>
                <w:rFonts w:eastAsia="Times New Roman" w:cs="Arial"/>
                <w:lang w:eastAsia="x-none"/>
              </w:rPr>
              <w:t>Design value of shear resistance of a member with shear strengthening</w:t>
            </w:r>
            <w:r w:rsidRPr="009D3012">
              <w:rPr>
                <w:rFonts w:eastAsia="Times New Roman" w:cs="Arial"/>
                <w:lang w:eastAsia="x-none"/>
              </w:rPr>
              <w:tab/>
            </w:r>
          </w:p>
        </w:tc>
      </w:tr>
      <w:tr w:rsidR="00B60186" w:rsidRPr="001455DC" w14:paraId="4A2AF46F" w14:textId="77777777" w:rsidTr="009D3012">
        <w:trPr>
          <w:trHeight w:val="300"/>
        </w:trPr>
        <w:tc>
          <w:tcPr>
            <w:tcW w:w="1526" w:type="dxa"/>
            <w:tcBorders>
              <w:top w:val="nil"/>
              <w:left w:val="nil"/>
              <w:bottom w:val="nil"/>
              <w:right w:val="nil"/>
            </w:tcBorders>
            <w:shd w:val="clear" w:color="auto" w:fill="auto"/>
          </w:tcPr>
          <w:p w14:paraId="28E02C96" w14:textId="6E99986C" w:rsidR="00B60186" w:rsidRPr="009D3012" w:rsidRDefault="00046D2A" w:rsidP="00046D2A">
            <w:pPr>
              <w:widowControl w:val="0"/>
              <w:tabs>
                <w:tab w:val="center" w:pos="660"/>
                <w:tab w:val="right" w:pos="1320"/>
              </w:tabs>
              <w:spacing w:after="60" w:line="240" w:lineRule="auto"/>
              <w:jc w:val="left"/>
              <w:rPr>
                <w:rFonts w:cs="Arial"/>
                <w:lang w:val="en-US"/>
              </w:rPr>
            </w:pPr>
            <w:r w:rsidRPr="00046D2A">
              <w:rPr>
                <w:position w:val="-14"/>
                <w:lang w:val="en-GB"/>
              </w:rPr>
              <w:object w:dxaOrig="460" w:dyaOrig="380" w14:anchorId="48A67F7F">
                <v:shape id="_x0000_i1036" type="#_x0000_t75" style="width:22.5pt;height:18.75pt" o:ole="">
                  <v:imagedata r:id="rId42" o:title=""/>
                </v:shape>
                <o:OLEObject Type="Embed" ProgID="Equation.DSMT4" ShapeID="_x0000_i1036" DrawAspect="Content" ObjectID="_1692169378" r:id="rId43"/>
              </w:object>
            </w:r>
          </w:p>
        </w:tc>
        <w:tc>
          <w:tcPr>
            <w:tcW w:w="8397" w:type="dxa"/>
            <w:tcBorders>
              <w:top w:val="nil"/>
              <w:left w:val="nil"/>
              <w:bottom w:val="nil"/>
              <w:right w:val="nil"/>
            </w:tcBorders>
            <w:shd w:val="clear" w:color="auto" w:fill="auto"/>
          </w:tcPr>
          <w:p w14:paraId="3B1B441E" w14:textId="77777777" w:rsidR="00B60186" w:rsidRPr="009D3012" w:rsidRDefault="00B60186">
            <w:pPr>
              <w:tabs>
                <w:tab w:val="left" w:pos="851"/>
              </w:tabs>
              <w:spacing w:after="0" w:line="240" w:lineRule="auto"/>
              <w:jc w:val="left"/>
              <w:rPr>
                <w:rFonts w:eastAsia="Times New Roman" w:cs="Arial"/>
                <w:lang w:eastAsia="x-none"/>
              </w:rPr>
            </w:pPr>
            <w:r w:rsidRPr="009D3012">
              <w:rPr>
                <w:rFonts w:eastAsia="Times New Roman" w:cs="Arial"/>
                <w:lang w:eastAsia="x-none"/>
              </w:rPr>
              <w:t>Design value of ABR CFRP shear strengthening</w:t>
            </w:r>
            <w:r w:rsidRPr="009D3012">
              <w:rPr>
                <w:rFonts w:eastAsia="Times New Roman" w:cs="Arial"/>
                <w:lang w:eastAsia="x-none"/>
              </w:rPr>
              <w:tab/>
            </w:r>
            <w:r w:rsidRPr="009D3012">
              <w:rPr>
                <w:rFonts w:eastAsia="Times New Roman" w:cs="Arial"/>
                <w:lang w:eastAsia="x-none"/>
              </w:rPr>
              <w:tab/>
            </w:r>
            <w:r w:rsidRPr="009D3012">
              <w:rPr>
                <w:rFonts w:eastAsia="Times New Roman" w:cs="Arial"/>
                <w:lang w:eastAsia="x-none"/>
              </w:rPr>
              <w:tab/>
            </w:r>
            <w:r w:rsidRPr="009D3012">
              <w:rPr>
                <w:rFonts w:eastAsia="Times New Roman" w:cs="Arial"/>
                <w:lang w:eastAsia="x-none"/>
              </w:rPr>
              <w:tab/>
            </w:r>
          </w:p>
        </w:tc>
      </w:tr>
    </w:tbl>
    <w:p w14:paraId="78888EE0" w14:textId="5D48219B" w:rsidR="00761918" w:rsidRPr="00E519AB" w:rsidRDefault="00E519AB" w:rsidP="00E519AB">
      <w:pPr>
        <w:pStyle w:val="p3"/>
        <w:keepNext/>
        <w:keepLines/>
        <w:spacing w:before="240" w:after="120"/>
        <w:rPr>
          <w:b/>
        </w:rPr>
      </w:pPr>
      <w:bookmarkStart w:id="117" w:name="_Toc67565293"/>
      <w:bookmarkStart w:id="118" w:name="_Toc54013092"/>
      <w:bookmarkStart w:id="119" w:name="_Toc55828638"/>
      <w:r w:rsidRPr="00E519AB">
        <w:rPr>
          <w:b/>
        </w:rPr>
        <w:t>3.5.2</w:t>
      </w:r>
      <w:r w:rsidRPr="00E519AB">
        <w:rPr>
          <w:b/>
        </w:rPr>
        <w:tab/>
      </w:r>
      <w:r w:rsidR="00761918" w:rsidRPr="00E519AB">
        <w:rPr>
          <w:b/>
        </w:rPr>
        <w:t>Latin lower-case letters</w:t>
      </w:r>
      <w:bookmarkEnd w:id="117"/>
      <w:r w:rsidR="00761918" w:rsidRPr="00E519AB">
        <w:rPr>
          <w:b/>
        </w:rPr>
        <w:t xml:space="preserve"> </w:t>
      </w:r>
    </w:p>
    <w:tbl>
      <w:tblPr>
        <w:tblStyle w:val="Tabellenraster1"/>
        <w:tblW w:w="9923" w:type="dxa"/>
        <w:tblLook w:val="04A0" w:firstRow="1" w:lastRow="0" w:firstColumn="1" w:lastColumn="0" w:noHBand="0" w:noVBand="1"/>
      </w:tblPr>
      <w:tblGrid>
        <w:gridCol w:w="1526"/>
        <w:gridCol w:w="8397"/>
      </w:tblGrid>
      <w:tr w:rsidR="00B60186" w:rsidRPr="001455DC" w14:paraId="0D9AD4B1" w14:textId="77777777" w:rsidTr="009D3012">
        <w:trPr>
          <w:trHeight w:val="340"/>
        </w:trPr>
        <w:tc>
          <w:tcPr>
            <w:tcW w:w="1526" w:type="dxa"/>
            <w:tcBorders>
              <w:top w:val="nil"/>
              <w:left w:val="nil"/>
              <w:bottom w:val="nil"/>
              <w:right w:val="nil"/>
            </w:tcBorders>
            <w:shd w:val="clear" w:color="auto" w:fill="auto"/>
          </w:tcPr>
          <w:bookmarkEnd w:id="118"/>
          <w:bookmarkEnd w:id="119"/>
          <w:p w14:paraId="3CB5975F" w14:textId="15795C5A" w:rsidR="00B60186" w:rsidRPr="009D3012" w:rsidRDefault="00046D2A" w:rsidP="00046D2A">
            <w:pPr>
              <w:widowControl w:val="0"/>
              <w:tabs>
                <w:tab w:val="center" w:pos="660"/>
                <w:tab w:val="right" w:pos="1320"/>
              </w:tabs>
              <w:spacing w:after="60" w:line="240" w:lineRule="auto"/>
              <w:jc w:val="left"/>
              <w:rPr>
                <w:rFonts w:eastAsia="Times New Roman" w:cs="Arial"/>
                <w:spacing w:val="-1"/>
                <w:lang w:val="en-US"/>
              </w:rPr>
            </w:pPr>
            <w:r w:rsidRPr="00046D2A">
              <w:rPr>
                <w:position w:val="-12"/>
                <w:lang w:val="en-GB"/>
              </w:rPr>
              <w:object w:dxaOrig="260" w:dyaOrig="360" w14:anchorId="295046DC">
                <v:shape id="_x0000_i1037" type="#_x0000_t75" style="width:13.5pt;height:18.75pt" o:ole="">
                  <v:imagedata r:id="rId44" o:title=""/>
                </v:shape>
                <o:OLEObject Type="Embed" ProgID="Equation.DSMT4" ShapeID="_x0000_i1037" DrawAspect="Content" ObjectID="_1692169379" r:id="rId45"/>
              </w:object>
            </w:r>
          </w:p>
        </w:tc>
        <w:tc>
          <w:tcPr>
            <w:tcW w:w="8397" w:type="dxa"/>
            <w:tcBorders>
              <w:top w:val="nil"/>
              <w:left w:val="nil"/>
              <w:bottom w:val="nil"/>
              <w:right w:val="nil"/>
            </w:tcBorders>
            <w:shd w:val="clear" w:color="auto" w:fill="auto"/>
          </w:tcPr>
          <w:p w14:paraId="1D7CE4EA" w14:textId="77777777" w:rsidR="00B60186" w:rsidRPr="009D3012" w:rsidRDefault="00B60186" w:rsidP="0056481D">
            <w:pPr>
              <w:widowControl w:val="0"/>
              <w:spacing w:after="0" w:line="240" w:lineRule="auto"/>
              <w:jc w:val="left"/>
              <w:rPr>
                <w:rFonts w:eastAsia="Times New Roman" w:cs="Arial"/>
                <w:lang w:val="en-US"/>
              </w:rPr>
            </w:pPr>
            <w:r w:rsidRPr="009D3012">
              <w:rPr>
                <w:rFonts w:eastAsia="Times New Roman" w:cs="Arial"/>
                <w:lang w:val="en-US"/>
              </w:rPr>
              <w:t xml:space="preserve">Centre-to-centre spacing of adhesively bonded </w:t>
            </w:r>
            <w:r w:rsidRPr="009D3012">
              <w:rPr>
                <w:rFonts w:eastAsia="Times New Roman" w:cs="Arial"/>
                <w:lang w:val="en-US" w:eastAsia="fr-FR"/>
              </w:rPr>
              <w:t>CFRP</w:t>
            </w:r>
            <w:r w:rsidRPr="009D3012">
              <w:rPr>
                <w:rFonts w:eastAsia="Times New Roman" w:cs="Arial"/>
                <w:lang w:val="en-US"/>
              </w:rPr>
              <w:t xml:space="preserve"> reinforcement</w:t>
            </w:r>
            <w:r w:rsidRPr="009D3012">
              <w:rPr>
                <w:rFonts w:eastAsia="Times New Roman" w:cs="Arial"/>
                <w:lang w:val="en-US"/>
              </w:rPr>
              <w:tab/>
            </w:r>
            <w:r w:rsidRPr="009D3012">
              <w:rPr>
                <w:rFonts w:eastAsia="Times New Roman" w:cs="Arial"/>
                <w:lang w:val="en-US"/>
              </w:rPr>
              <w:tab/>
            </w:r>
          </w:p>
        </w:tc>
      </w:tr>
      <w:tr w:rsidR="00B60186" w:rsidRPr="001455DC" w14:paraId="5D6D2065" w14:textId="77777777" w:rsidTr="009D3012">
        <w:trPr>
          <w:trHeight w:val="300"/>
        </w:trPr>
        <w:tc>
          <w:tcPr>
            <w:tcW w:w="1526" w:type="dxa"/>
            <w:tcBorders>
              <w:top w:val="nil"/>
              <w:left w:val="nil"/>
              <w:bottom w:val="nil"/>
              <w:right w:val="nil"/>
            </w:tcBorders>
            <w:shd w:val="clear" w:color="auto" w:fill="auto"/>
          </w:tcPr>
          <w:p w14:paraId="07DE40B4" w14:textId="6BD89892" w:rsidR="00B60186" w:rsidRPr="009D3012" w:rsidRDefault="00046D2A" w:rsidP="00046D2A">
            <w:pPr>
              <w:widowControl w:val="0"/>
              <w:tabs>
                <w:tab w:val="center" w:pos="660"/>
                <w:tab w:val="right" w:pos="1320"/>
              </w:tabs>
              <w:spacing w:after="60" w:line="240" w:lineRule="auto"/>
              <w:jc w:val="left"/>
              <w:rPr>
                <w:rFonts w:eastAsia="Times New Roman" w:cs="Arial"/>
                <w:spacing w:val="-1"/>
                <w:lang w:val="en-US"/>
              </w:rPr>
            </w:pPr>
            <w:r w:rsidRPr="00046D2A">
              <w:rPr>
                <w:position w:val="-12"/>
                <w:lang w:val="en-GB"/>
              </w:rPr>
              <w:object w:dxaOrig="340" w:dyaOrig="360" w14:anchorId="53645ABA">
                <v:shape id="_x0000_i1038" type="#_x0000_t75" style="width:17.25pt;height:18.75pt" o:ole="">
                  <v:imagedata r:id="rId46" o:title=""/>
                </v:shape>
                <o:OLEObject Type="Embed" ProgID="Equation.DSMT4" ShapeID="_x0000_i1038" DrawAspect="Content" ObjectID="_1692169380" r:id="rId47"/>
              </w:object>
            </w:r>
          </w:p>
        </w:tc>
        <w:tc>
          <w:tcPr>
            <w:tcW w:w="8397" w:type="dxa"/>
            <w:tcBorders>
              <w:top w:val="nil"/>
              <w:left w:val="nil"/>
              <w:bottom w:val="nil"/>
              <w:right w:val="nil"/>
            </w:tcBorders>
            <w:shd w:val="clear" w:color="auto" w:fill="auto"/>
          </w:tcPr>
          <w:p w14:paraId="7464E7EB" w14:textId="77777777" w:rsidR="00B60186" w:rsidRPr="009D3012" w:rsidRDefault="00B60186" w:rsidP="0056481D">
            <w:pPr>
              <w:widowControl w:val="0"/>
              <w:spacing w:after="0" w:line="240" w:lineRule="auto"/>
              <w:jc w:val="left"/>
              <w:rPr>
                <w:rFonts w:eastAsia="Times New Roman" w:cs="Arial"/>
                <w:lang w:val="en-US"/>
              </w:rPr>
            </w:pPr>
            <w:r w:rsidRPr="009D3012">
              <w:rPr>
                <w:rFonts w:eastAsia="Times New Roman" w:cs="Arial"/>
                <w:lang w:val="en-US"/>
              </w:rPr>
              <w:t>Distance of strip from end support or deep beam support</w:t>
            </w:r>
            <w:r w:rsidRPr="009D3012">
              <w:rPr>
                <w:rFonts w:eastAsia="Times New Roman" w:cs="Arial"/>
                <w:lang w:val="en-US"/>
              </w:rPr>
              <w:tab/>
            </w:r>
            <w:r w:rsidRPr="009D3012">
              <w:rPr>
                <w:rFonts w:eastAsia="Times New Roman" w:cs="Arial"/>
                <w:lang w:val="en-US"/>
              </w:rPr>
              <w:tab/>
            </w:r>
            <w:r w:rsidRPr="009D3012">
              <w:rPr>
                <w:rFonts w:eastAsia="Times New Roman" w:cs="Arial"/>
                <w:lang w:val="en-US"/>
              </w:rPr>
              <w:tab/>
            </w:r>
          </w:p>
        </w:tc>
      </w:tr>
      <w:tr w:rsidR="00B60186" w:rsidRPr="001455DC" w14:paraId="461EFFBB" w14:textId="77777777" w:rsidTr="009D3012">
        <w:trPr>
          <w:trHeight w:val="300"/>
        </w:trPr>
        <w:tc>
          <w:tcPr>
            <w:tcW w:w="1526" w:type="dxa"/>
            <w:tcBorders>
              <w:top w:val="nil"/>
              <w:left w:val="nil"/>
              <w:bottom w:val="nil"/>
              <w:right w:val="nil"/>
            </w:tcBorders>
            <w:shd w:val="clear" w:color="auto" w:fill="auto"/>
          </w:tcPr>
          <w:p w14:paraId="3E809E8E" w14:textId="6F621BDC" w:rsidR="00B60186" w:rsidRPr="009D3012" w:rsidRDefault="00046D2A" w:rsidP="00046D2A">
            <w:pPr>
              <w:widowControl w:val="0"/>
              <w:tabs>
                <w:tab w:val="center" w:pos="660"/>
                <w:tab w:val="right" w:pos="1320"/>
              </w:tabs>
              <w:spacing w:after="60" w:line="240" w:lineRule="auto"/>
              <w:jc w:val="left"/>
              <w:rPr>
                <w:rFonts w:eastAsia="Times New Roman" w:cs="Arial"/>
                <w:i/>
                <w:lang w:val="en-US" w:eastAsia="fr-FR"/>
              </w:rPr>
            </w:pPr>
            <w:r w:rsidRPr="00046D2A">
              <w:rPr>
                <w:position w:val="-14"/>
                <w:lang w:val="en-GB"/>
              </w:rPr>
              <w:object w:dxaOrig="560" w:dyaOrig="380" w14:anchorId="1952C491">
                <v:shape id="_x0000_i1039" type="#_x0000_t75" style="width:27.75pt;height:18.75pt" o:ole="">
                  <v:imagedata r:id="rId48" o:title=""/>
                </v:shape>
                <o:OLEObject Type="Embed" ProgID="Equation.DSMT4" ShapeID="_x0000_i1039" DrawAspect="Content" ObjectID="_1692169381" r:id="rId49"/>
              </w:object>
            </w:r>
          </w:p>
        </w:tc>
        <w:tc>
          <w:tcPr>
            <w:tcW w:w="8397" w:type="dxa"/>
            <w:tcBorders>
              <w:top w:val="nil"/>
              <w:left w:val="nil"/>
              <w:bottom w:val="nil"/>
              <w:right w:val="nil"/>
            </w:tcBorders>
            <w:shd w:val="clear" w:color="auto" w:fill="auto"/>
          </w:tcPr>
          <w:p w14:paraId="674F7B96" w14:textId="77777777" w:rsidR="00B60186" w:rsidRPr="009D3012" w:rsidRDefault="00B60186" w:rsidP="0056481D">
            <w:pPr>
              <w:widowControl w:val="0"/>
              <w:spacing w:after="0" w:line="240" w:lineRule="auto"/>
              <w:jc w:val="left"/>
              <w:rPr>
                <w:rFonts w:eastAsia="Times New Roman" w:cs="Arial"/>
                <w:spacing w:val="-1"/>
                <w:lang w:val="en-US"/>
              </w:rPr>
            </w:pPr>
            <w:r w:rsidRPr="009D3012">
              <w:rPr>
                <w:rFonts w:eastAsia="Times New Roman" w:cs="Arial"/>
                <w:lang w:val="en-US" w:eastAsia="fr-FR"/>
              </w:rPr>
              <w:t>Maximum centre-to-centre spacing</w:t>
            </w:r>
            <w:r w:rsidRPr="009D3012">
              <w:rPr>
                <w:rFonts w:eastAsia="Times New Roman" w:cs="Arial"/>
                <w:lang w:val="en-US"/>
              </w:rPr>
              <w:t xml:space="preserve"> of adhesively bonded </w:t>
            </w:r>
            <w:r w:rsidRPr="009D3012">
              <w:rPr>
                <w:rFonts w:eastAsia="Times New Roman" w:cs="Arial"/>
                <w:lang w:val="en-US" w:eastAsia="fr-FR"/>
              </w:rPr>
              <w:t>CFRP</w:t>
            </w:r>
            <w:r w:rsidRPr="009D3012">
              <w:rPr>
                <w:rFonts w:eastAsia="Times New Roman" w:cs="Arial"/>
                <w:lang w:val="en-US"/>
              </w:rPr>
              <w:t xml:space="preserve"> reinforcement</w:t>
            </w:r>
            <w:r w:rsidRPr="009D3012">
              <w:rPr>
                <w:rFonts w:eastAsia="Times New Roman" w:cs="Arial"/>
                <w:lang w:val="en-US"/>
              </w:rPr>
              <w:tab/>
            </w:r>
          </w:p>
        </w:tc>
      </w:tr>
      <w:tr w:rsidR="00B60186" w:rsidRPr="001455DC" w14:paraId="24BE89B1" w14:textId="77777777" w:rsidTr="009D3012">
        <w:trPr>
          <w:trHeight w:val="300"/>
        </w:trPr>
        <w:tc>
          <w:tcPr>
            <w:tcW w:w="1526" w:type="dxa"/>
            <w:tcBorders>
              <w:top w:val="nil"/>
              <w:left w:val="nil"/>
              <w:bottom w:val="nil"/>
              <w:right w:val="nil"/>
            </w:tcBorders>
            <w:shd w:val="clear" w:color="auto" w:fill="auto"/>
          </w:tcPr>
          <w:p w14:paraId="2E4588C5" w14:textId="21D3CCD2" w:rsidR="00B60186" w:rsidRPr="009D3012" w:rsidRDefault="00046D2A" w:rsidP="00046D2A">
            <w:pPr>
              <w:widowControl w:val="0"/>
              <w:tabs>
                <w:tab w:val="center" w:pos="660"/>
                <w:tab w:val="right" w:pos="1320"/>
              </w:tabs>
              <w:spacing w:after="60" w:line="240" w:lineRule="auto"/>
              <w:jc w:val="left"/>
              <w:rPr>
                <w:rFonts w:eastAsia="Times New Roman" w:cs="Arial"/>
                <w:spacing w:val="-1"/>
                <w:lang w:val="en-US"/>
              </w:rPr>
            </w:pPr>
            <w:r w:rsidRPr="00046D2A">
              <w:rPr>
                <w:position w:val="-12"/>
                <w:lang w:val="en-GB"/>
              </w:rPr>
              <w:object w:dxaOrig="260" w:dyaOrig="360" w14:anchorId="4E88B452">
                <v:shape id="_x0000_i1040" type="#_x0000_t75" style="width:13.5pt;height:18.75pt" o:ole="">
                  <v:imagedata r:id="rId50" o:title=""/>
                </v:shape>
                <o:OLEObject Type="Embed" ProgID="Equation.DSMT4" ShapeID="_x0000_i1040" DrawAspect="Content" ObjectID="_1692169382" r:id="rId51"/>
              </w:object>
            </w:r>
          </w:p>
        </w:tc>
        <w:tc>
          <w:tcPr>
            <w:tcW w:w="8397" w:type="dxa"/>
            <w:tcBorders>
              <w:top w:val="nil"/>
              <w:left w:val="nil"/>
              <w:bottom w:val="nil"/>
              <w:right w:val="nil"/>
            </w:tcBorders>
            <w:shd w:val="clear" w:color="auto" w:fill="auto"/>
          </w:tcPr>
          <w:p w14:paraId="3C9CAD42" w14:textId="77777777" w:rsidR="00B60186" w:rsidRPr="009D3012" w:rsidRDefault="00B60186" w:rsidP="0056481D">
            <w:pPr>
              <w:widowControl w:val="0"/>
              <w:spacing w:after="0" w:line="240" w:lineRule="auto"/>
              <w:jc w:val="left"/>
              <w:rPr>
                <w:rFonts w:eastAsia="Times New Roman" w:cs="Arial"/>
                <w:spacing w:val="-1"/>
                <w:lang w:val="en-US"/>
              </w:rPr>
            </w:pPr>
            <w:r w:rsidRPr="009D3012">
              <w:rPr>
                <w:rFonts w:eastAsia="Times New Roman" w:cs="Arial"/>
                <w:spacing w:val="-1"/>
                <w:lang w:val="en-US"/>
              </w:rPr>
              <w:t xml:space="preserve">Distance of adhesively bonded </w:t>
            </w:r>
            <w:r w:rsidRPr="009D3012">
              <w:rPr>
                <w:rFonts w:eastAsia="Times New Roman" w:cs="Arial"/>
                <w:lang w:val="en-US" w:eastAsia="fr-FR"/>
              </w:rPr>
              <w:t>CFRP</w:t>
            </w:r>
            <w:r w:rsidRPr="009D3012">
              <w:rPr>
                <w:rFonts w:eastAsia="Times New Roman" w:cs="Arial"/>
                <w:spacing w:val="-1"/>
                <w:lang w:val="en-US"/>
              </w:rPr>
              <w:t xml:space="preserve"> reinforcement from free edge</w:t>
            </w:r>
            <w:r w:rsidRPr="009D3012">
              <w:rPr>
                <w:rFonts w:eastAsia="Times New Roman" w:cs="Arial"/>
                <w:spacing w:val="-1"/>
                <w:lang w:val="en-US"/>
              </w:rPr>
              <w:tab/>
            </w:r>
            <w:r w:rsidRPr="009D3012">
              <w:rPr>
                <w:rFonts w:eastAsia="Times New Roman" w:cs="Arial"/>
                <w:spacing w:val="-1"/>
                <w:lang w:val="en-US"/>
              </w:rPr>
              <w:tab/>
            </w:r>
          </w:p>
        </w:tc>
      </w:tr>
      <w:tr w:rsidR="00B60186" w:rsidRPr="001455DC" w14:paraId="26E50B80" w14:textId="77777777" w:rsidTr="009D3012">
        <w:trPr>
          <w:trHeight w:val="300"/>
        </w:trPr>
        <w:tc>
          <w:tcPr>
            <w:tcW w:w="1526" w:type="dxa"/>
            <w:tcBorders>
              <w:top w:val="nil"/>
              <w:left w:val="nil"/>
              <w:bottom w:val="nil"/>
              <w:right w:val="nil"/>
            </w:tcBorders>
            <w:shd w:val="clear" w:color="auto" w:fill="auto"/>
          </w:tcPr>
          <w:p w14:paraId="3CB509DE" w14:textId="55655E8B" w:rsidR="00B60186" w:rsidRPr="009D3012" w:rsidRDefault="00046D2A" w:rsidP="00046D2A">
            <w:pPr>
              <w:widowControl w:val="0"/>
              <w:tabs>
                <w:tab w:val="center" w:pos="660"/>
                <w:tab w:val="right" w:pos="1320"/>
              </w:tabs>
              <w:spacing w:after="60" w:line="240" w:lineRule="auto"/>
              <w:jc w:val="left"/>
              <w:rPr>
                <w:rFonts w:eastAsia="Times New Roman" w:cs="Arial"/>
                <w:lang w:val="en-US"/>
              </w:rPr>
            </w:pPr>
            <w:r w:rsidRPr="00046D2A">
              <w:rPr>
                <w:position w:val="-12"/>
                <w:lang w:val="en-GB"/>
              </w:rPr>
              <w:object w:dxaOrig="240" w:dyaOrig="360" w14:anchorId="6585B411">
                <v:shape id="_x0000_i1041" type="#_x0000_t75" style="width:12pt;height:18.75pt" o:ole="">
                  <v:imagedata r:id="rId52" o:title=""/>
                </v:shape>
                <o:OLEObject Type="Embed" ProgID="Equation.DSMT4" ShapeID="_x0000_i1041" DrawAspect="Content" ObjectID="_1692169383" r:id="rId53"/>
              </w:object>
            </w:r>
          </w:p>
        </w:tc>
        <w:tc>
          <w:tcPr>
            <w:tcW w:w="8397" w:type="dxa"/>
            <w:tcBorders>
              <w:top w:val="nil"/>
              <w:left w:val="nil"/>
              <w:bottom w:val="nil"/>
              <w:right w:val="nil"/>
            </w:tcBorders>
            <w:shd w:val="clear" w:color="auto" w:fill="auto"/>
          </w:tcPr>
          <w:p w14:paraId="084856D4" w14:textId="77777777" w:rsidR="00B60186" w:rsidRPr="009D3012" w:rsidRDefault="00B60186" w:rsidP="0056481D">
            <w:pPr>
              <w:widowControl w:val="0"/>
              <w:spacing w:after="0" w:line="240" w:lineRule="auto"/>
              <w:jc w:val="left"/>
              <w:rPr>
                <w:rFonts w:eastAsia="Times New Roman" w:cs="Arial"/>
                <w:lang w:val="en-US" w:eastAsia="fr-FR"/>
              </w:rPr>
            </w:pPr>
            <w:r w:rsidRPr="009D3012">
              <w:rPr>
                <w:rFonts w:eastAsia="Times New Roman" w:cs="Arial"/>
                <w:bCs/>
                <w:lang w:val="en-US" w:eastAsia="fr-FR"/>
              </w:rPr>
              <w:t xml:space="preserve">Width of the </w:t>
            </w:r>
            <w:r w:rsidRPr="009D3012">
              <w:rPr>
                <w:rFonts w:eastAsia="Times New Roman" w:cs="Arial"/>
                <w:spacing w:val="-1"/>
                <w:lang w:val="en-US"/>
              </w:rPr>
              <w:t xml:space="preserve">adhesively bonded </w:t>
            </w:r>
            <w:r w:rsidRPr="009D3012">
              <w:rPr>
                <w:rFonts w:eastAsia="Times New Roman" w:cs="Arial"/>
                <w:bCs/>
                <w:lang w:val="en-US" w:eastAsia="fr-FR"/>
              </w:rPr>
              <w:t>CFRP reinforcement sheets or strips or square bars</w:t>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p>
        </w:tc>
      </w:tr>
      <w:tr w:rsidR="00B60186" w:rsidRPr="001455DC" w14:paraId="56F87559" w14:textId="77777777" w:rsidTr="009D3012">
        <w:trPr>
          <w:trHeight w:val="300"/>
        </w:trPr>
        <w:tc>
          <w:tcPr>
            <w:tcW w:w="1526" w:type="dxa"/>
            <w:tcBorders>
              <w:top w:val="nil"/>
              <w:left w:val="nil"/>
              <w:bottom w:val="nil"/>
              <w:right w:val="nil"/>
            </w:tcBorders>
            <w:shd w:val="clear" w:color="auto" w:fill="auto"/>
          </w:tcPr>
          <w:p w14:paraId="3BF6E2C6" w14:textId="2CE8D490" w:rsidR="00B60186" w:rsidRPr="009D3012" w:rsidRDefault="00046D2A" w:rsidP="00046D2A">
            <w:pPr>
              <w:widowControl w:val="0"/>
              <w:tabs>
                <w:tab w:val="center" w:pos="660"/>
                <w:tab w:val="right" w:pos="1320"/>
              </w:tabs>
              <w:spacing w:after="60" w:line="240" w:lineRule="auto"/>
              <w:jc w:val="left"/>
              <w:rPr>
                <w:rFonts w:eastAsia="Times New Roman" w:cs="Calibri"/>
                <w:i/>
                <w:lang w:val="en-US" w:eastAsia="fr-FR"/>
              </w:rPr>
            </w:pPr>
            <w:r w:rsidRPr="00046D2A">
              <w:rPr>
                <w:position w:val="-12"/>
                <w:lang w:val="en-GB"/>
              </w:rPr>
              <w:object w:dxaOrig="380" w:dyaOrig="360" w14:anchorId="64C9FAAF">
                <v:shape id="_x0000_i1042" type="#_x0000_t75" style="width:18.75pt;height:18.75pt" o:ole="">
                  <v:imagedata r:id="rId54" o:title=""/>
                </v:shape>
                <o:OLEObject Type="Embed" ProgID="Equation.DSMT4" ShapeID="_x0000_i1042" DrawAspect="Content" ObjectID="_1692169384" r:id="rId55"/>
              </w:object>
            </w:r>
          </w:p>
        </w:tc>
        <w:tc>
          <w:tcPr>
            <w:tcW w:w="8397" w:type="dxa"/>
            <w:tcBorders>
              <w:top w:val="nil"/>
              <w:left w:val="nil"/>
              <w:bottom w:val="nil"/>
              <w:right w:val="nil"/>
            </w:tcBorders>
            <w:shd w:val="clear" w:color="auto" w:fill="auto"/>
          </w:tcPr>
          <w:p w14:paraId="0966A564" w14:textId="77777777" w:rsidR="00B60186" w:rsidRPr="009D3012" w:rsidRDefault="00B60186" w:rsidP="0056481D">
            <w:pPr>
              <w:widowControl w:val="0"/>
              <w:spacing w:after="0" w:line="240" w:lineRule="auto"/>
              <w:jc w:val="left"/>
              <w:rPr>
                <w:rFonts w:eastAsia="Times New Roman"/>
                <w:lang w:val="en-US" w:eastAsia="fr-FR"/>
              </w:rPr>
            </w:pPr>
            <w:r w:rsidRPr="009D3012">
              <w:rPr>
                <w:rFonts w:eastAsia="Times New Roman"/>
                <w:lang w:val="en-US" w:eastAsia="fr-FR"/>
              </w:rPr>
              <w:t>Width of slot for NSM CFRP reinforcement</w:t>
            </w:r>
            <w:r w:rsidRPr="009D3012">
              <w:rPr>
                <w:rFonts w:eastAsia="Times New Roman"/>
                <w:lang w:val="en-US" w:eastAsia="fr-FR"/>
              </w:rPr>
              <w:tab/>
            </w:r>
            <w:r w:rsidRPr="009D3012">
              <w:rPr>
                <w:rFonts w:eastAsia="Times New Roman"/>
                <w:lang w:val="en-US" w:eastAsia="fr-FR"/>
              </w:rPr>
              <w:tab/>
            </w:r>
            <w:r w:rsidRPr="009D3012">
              <w:rPr>
                <w:rFonts w:eastAsia="Times New Roman"/>
                <w:lang w:val="en-US" w:eastAsia="fr-FR"/>
              </w:rPr>
              <w:tab/>
            </w:r>
            <w:r w:rsidRPr="009D3012">
              <w:rPr>
                <w:rFonts w:eastAsia="Times New Roman"/>
                <w:lang w:val="en-US" w:eastAsia="fr-FR"/>
              </w:rPr>
              <w:tab/>
            </w:r>
            <w:r w:rsidRPr="009D3012">
              <w:rPr>
                <w:rFonts w:eastAsia="Times New Roman"/>
                <w:lang w:val="en-US" w:eastAsia="fr-FR"/>
              </w:rPr>
              <w:tab/>
            </w:r>
          </w:p>
        </w:tc>
      </w:tr>
      <w:tr w:rsidR="00B60186" w:rsidRPr="001455DC" w14:paraId="0515FE12" w14:textId="77777777" w:rsidTr="009D3012">
        <w:trPr>
          <w:trHeight w:val="300"/>
        </w:trPr>
        <w:tc>
          <w:tcPr>
            <w:tcW w:w="1526" w:type="dxa"/>
            <w:tcBorders>
              <w:top w:val="nil"/>
              <w:left w:val="nil"/>
              <w:bottom w:val="nil"/>
              <w:right w:val="nil"/>
            </w:tcBorders>
            <w:shd w:val="clear" w:color="auto" w:fill="auto"/>
          </w:tcPr>
          <w:p w14:paraId="14BAC1A9" w14:textId="7B2F5886" w:rsidR="00B60186" w:rsidRPr="009D3012" w:rsidRDefault="00046D2A" w:rsidP="00046D2A">
            <w:pPr>
              <w:widowControl w:val="0"/>
              <w:tabs>
                <w:tab w:val="center" w:pos="660"/>
                <w:tab w:val="right" w:pos="1320"/>
              </w:tabs>
              <w:spacing w:after="60" w:line="240" w:lineRule="auto"/>
              <w:jc w:val="left"/>
              <w:rPr>
                <w:rFonts w:eastAsia="Times New Roman" w:cs="Arial"/>
                <w:lang w:val="en-US"/>
              </w:rPr>
            </w:pPr>
            <w:r w:rsidRPr="00046D2A">
              <w:rPr>
                <w:position w:val="-12"/>
                <w:lang w:val="en-GB"/>
              </w:rPr>
              <w:object w:dxaOrig="340" w:dyaOrig="360" w14:anchorId="672F9EBB">
                <v:shape id="_x0000_i1043" type="#_x0000_t75" style="width:17.25pt;height:18.75pt" o:ole="">
                  <v:imagedata r:id="rId56" o:title=""/>
                </v:shape>
                <o:OLEObject Type="Embed" ProgID="Equation.DSMT4" ShapeID="_x0000_i1043" DrawAspect="Content" ObjectID="_1692169385" r:id="rId57"/>
              </w:object>
            </w:r>
          </w:p>
        </w:tc>
        <w:tc>
          <w:tcPr>
            <w:tcW w:w="8397" w:type="dxa"/>
            <w:tcBorders>
              <w:top w:val="nil"/>
              <w:left w:val="nil"/>
              <w:bottom w:val="nil"/>
              <w:right w:val="nil"/>
            </w:tcBorders>
            <w:shd w:val="clear" w:color="auto" w:fill="auto"/>
          </w:tcPr>
          <w:p w14:paraId="5BA41A34" w14:textId="77777777" w:rsidR="00B60186" w:rsidRPr="009D3012" w:rsidRDefault="00B60186" w:rsidP="0056481D">
            <w:pPr>
              <w:widowControl w:val="0"/>
              <w:spacing w:after="0" w:line="240" w:lineRule="auto"/>
              <w:jc w:val="left"/>
              <w:rPr>
                <w:rFonts w:eastAsia="Times New Roman" w:cs="Arial"/>
                <w:lang w:val="en-US" w:eastAsia="fr-FR"/>
              </w:rPr>
            </w:pPr>
            <w:r w:rsidRPr="009D3012">
              <w:rPr>
                <w:rFonts w:eastAsia="Times New Roman" w:cs="Arial"/>
                <w:lang w:val="en-US" w:eastAsia="fr-FR"/>
              </w:rPr>
              <w:t>Reduction factor taking into account the stress cycles</w:t>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p>
        </w:tc>
      </w:tr>
      <w:tr w:rsidR="00B60186" w:rsidRPr="001455DC" w14:paraId="4D65E52C" w14:textId="77777777" w:rsidTr="009D3012">
        <w:trPr>
          <w:trHeight w:val="300"/>
        </w:trPr>
        <w:tc>
          <w:tcPr>
            <w:tcW w:w="1526" w:type="dxa"/>
            <w:tcBorders>
              <w:top w:val="nil"/>
              <w:left w:val="nil"/>
              <w:bottom w:val="nil"/>
              <w:right w:val="nil"/>
            </w:tcBorders>
            <w:shd w:val="clear" w:color="auto" w:fill="auto"/>
          </w:tcPr>
          <w:p w14:paraId="37C0BCCD" w14:textId="62640011" w:rsidR="00B60186" w:rsidRPr="009D3012" w:rsidRDefault="00046D2A" w:rsidP="00046D2A">
            <w:pPr>
              <w:widowControl w:val="0"/>
              <w:tabs>
                <w:tab w:val="center" w:pos="660"/>
                <w:tab w:val="right" w:pos="1320"/>
              </w:tabs>
              <w:spacing w:after="60" w:line="240" w:lineRule="auto"/>
              <w:jc w:val="left"/>
              <w:rPr>
                <w:rFonts w:eastAsia="Times New Roman" w:cs="Calibri"/>
                <w:i/>
                <w:lang w:val="en-US" w:eastAsia="fr-FR"/>
              </w:rPr>
            </w:pPr>
            <w:r w:rsidRPr="00046D2A">
              <w:rPr>
                <w:position w:val="-14"/>
                <w:lang w:val="en-GB"/>
              </w:rPr>
              <w:object w:dxaOrig="520" w:dyaOrig="380" w14:anchorId="72A0C1DD">
                <v:shape id="_x0000_i1044" type="#_x0000_t75" style="width:27pt;height:18.75pt" o:ole="">
                  <v:imagedata r:id="rId58" o:title=""/>
                </v:shape>
                <o:OLEObject Type="Embed" ProgID="Equation.DSMT4" ShapeID="_x0000_i1044" DrawAspect="Content" ObjectID="_1692169386" r:id="rId59"/>
              </w:object>
            </w:r>
          </w:p>
        </w:tc>
        <w:tc>
          <w:tcPr>
            <w:tcW w:w="8397" w:type="dxa"/>
            <w:tcBorders>
              <w:top w:val="nil"/>
              <w:left w:val="nil"/>
              <w:bottom w:val="nil"/>
              <w:right w:val="nil"/>
            </w:tcBorders>
            <w:shd w:val="clear" w:color="auto" w:fill="auto"/>
          </w:tcPr>
          <w:p w14:paraId="7817CA27" w14:textId="77777777" w:rsidR="00B60186" w:rsidRPr="009D3012" w:rsidRDefault="00B60186" w:rsidP="0056481D">
            <w:pPr>
              <w:widowControl w:val="0"/>
              <w:spacing w:after="0" w:line="240" w:lineRule="auto"/>
              <w:jc w:val="left"/>
              <w:rPr>
                <w:rFonts w:eastAsia="Times New Roman" w:cs="Arial"/>
                <w:spacing w:val="-1"/>
                <w:lang w:val="en-US"/>
              </w:rPr>
            </w:pPr>
            <w:r w:rsidRPr="009D3012">
              <w:rPr>
                <w:rFonts w:eastAsia="Times New Roman" w:cs="Arial"/>
                <w:spacing w:val="-1"/>
                <w:lang w:val="en-US"/>
              </w:rPr>
              <w:t>Minimum distance from the slot to the edge</w:t>
            </w:r>
            <w:r w:rsidRPr="009D3012">
              <w:rPr>
                <w:rFonts w:eastAsia="Times New Roman" w:cs="Arial"/>
                <w:lang w:val="en-US" w:eastAsia="fr-FR"/>
              </w:rPr>
              <w:t xml:space="preserve"> for near surface mounted strip or bar </w:t>
            </w:r>
          </w:p>
        </w:tc>
      </w:tr>
      <w:tr w:rsidR="00B60186" w:rsidRPr="001455DC" w14:paraId="3C2BABE1" w14:textId="77777777" w:rsidTr="009D3012">
        <w:trPr>
          <w:trHeight w:val="300"/>
        </w:trPr>
        <w:tc>
          <w:tcPr>
            <w:tcW w:w="1526" w:type="dxa"/>
            <w:tcBorders>
              <w:top w:val="nil"/>
              <w:left w:val="nil"/>
              <w:bottom w:val="nil"/>
              <w:right w:val="nil"/>
            </w:tcBorders>
            <w:shd w:val="clear" w:color="auto" w:fill="auto"/>
          </w:tcPr>
          <w:p w14:paraId="5915AC7D" w14:textId="316381E4" w:rsidR="00B60186" w:rsidRPr="009D3012" w:rsidRDefault="00046D2A" w:rsidP="00046D2A">
            <w:pPr>
              <w:widowControl w:val="0"/>
              <w:tabs>
                <w:tab w:val="center" w:pos="660"/>
                <w:tab w:val="right" w:pos="1320"/>
              </w:tabs>
              <w:spacing w:after="60" w:line="240" w:lineRule="auto"/>
              <w:jc w:val="left"/>
              <w:rPr>
                <w:lang w:val="en-US"/>
              </w:rPr>
            </w:pPr>
            <w:r w:rsidRPr="00046D2A">
              <w:rPr>
                <w:position w:val="-14"/>
                <w:lang w:val="en-GB"/>
              </w:rPr>
              <w:object w:dxaOrig="700" w:dyaOrig="380" w14:anchorId="356AE8E7">
                <v:shape id="_x0000_i1045" type="#_x0000_t75" style="width:35.25pt;height:18.75pt" o:ole="">
                  <v:imagedata r:id="rId60" o:title=""/>
                </v:shape>
                <o:OLEObject Type="Embed" ProgID="Equation.DSMT4" ShapeID="_x0000_i1045" DrawAspect="Content" ObjectID="_1692169387" r:id="rId61"/>
              </w:object>
            </w:r>
          </w:p>
        </w:tc>
        <w:tc>
          <w:tcPr>
            <w:tcW w:w="8397" w:type="dxa"/>
            <w:tcBorders>
              <w:top w:val="nil"/>
              <w:left w:val="nil"/>
              <w:bottom w:val="nil"/>
              <w:right w:val="nil"/>
            </w:tcBorders>
            <w:shd w:val="clear" w:color="auto" w:fill="auto"/>
          </w:tcPr>
          <w:p w14:paraId="2F8719A4" w14:textId="77777777" w:rsidR="00B60186" w:rsidRPr="009D3012" w:rsidRDefault="00B60186" w:rsidP="0056481D">
            <w:pPr>
              <w:widowControl w:val="0"/>
              <w:spacing w:after="0" w:line="240" w:lineRule="auto"/>
              <w:jc w:val="left"/>
              <w:rPr>
                <w:rFonts w:eastAsia="Times New Roman" w:cs="Arial"/>
                <w:spacing w:val="-1"/>
                <w:lang w:val="en-US"/>
              </w:rPr>
            </w:pPr>
            <w:r w:rsidRPr="009D3012">
              <w:rPr>
                <w:rFonts w:eastAsia="Times New Roman" w:cs="Arial"/>
                <w:spacing w:val="-1"/>
                <w:lang w:val="en-US"/>
              </w:rPr>
              <w:t>Maximum design bond strength of a CFRP EBR system</w:t>
            </w:r>
            <w:r w:rsidRPr="009D3012">
              <w:rPr>
                <w:rFonts w:eastAsia="Times New Roman" w:cs="Arial"/>
                <w:spacing w:val="-1"/>
                <w:lang w:val="en-US"/>
              </w:rPr>
              <w:tab/>
            </w:r>
            <w:r w:rsidRPr="009D3012">
              <w:rPr>
                <w:rFonts w:eastAsia="Times New Roman" w:cs="Arial"/>
                <w:spacing w:val="-1"/>
                <w:lang w:val="en-US"/>
              </w:rPr>
              <w:tab/>
            </w:r>
            <w:r w:rsidRPr="009D3012">
              <w:rPr>
                <w:rFonts w:eastAsia="Times New Roman" w:cs="Arial"/>
                <w:spacing w:val="-1"/>
                <w:lang w:val="en-US"/>
              </w:rPr>
              <w:tab/>
            </w:r>
            <w:r w:rsidRPr="009D3012">
              <w:rPr>
                <w:rFonts w:eastAsia="Times New Roman" w:cs="Arial"/>
                <w:spacing w:val="-1"/>
                <w:lang w:val="en-US"/>
              </w:rPr>
              <w:tab/>
            </w:r>
          </w:p>
        </w:tc>
      </w:tr>
      <w:tr w:rsidR="00B60186" w:rsidRPr="001455DC" w14:paraId="60A81912" w14:textId="77777777" w:rsidTr="009D3012">
        <w:trPr>
          <w:trHeight w:val="414"/>
        </w:trPr>
        <w:tc>
          <w:tcPr>
            <w:tcW w:w="1526" w:type="dxa"/>
            <w:tcBorders>
              <w:top w:val="nil"/>
              <w:left w:val="nil"/>
              <w:bottom w:val="nil"/>
              <w:right w:val="nil"/>
            </w:tcBorders>
            <w:shd w:val="clear" w:color="auto" w:fill="auto"/>
          </w:tcPr>
          <w:p w14:paraId="726DA8A2" w14:textId="517AC904" w:rsidR="00B60186" w:rsidRPr="009D3012" w:rsidRDefault="00046D2A" w:rsidP="00046D2A">
            <w:pPr>
              <w:widowControl w:val="0"/>
              <w:tabs>
                <w:tab w:val="center" w:pos="660"/>
                <w:tab w:val="right" w:pos="1320"/>
              </w:tabs>
              <w:spacing w:after="60" w:line="240" w:lineRule="auto"/>
              <w:jc w:val="left"/>
              <w:rPr>
                <w:rFonts w:eastAsia="Times New Roman" w:cs="Arial"/>
                <w:lang w:val="en-US"/>
              </w:rPr>
            </w:pPr>
            <w:r w:rsidRPr="00046D2A">
              <w:rPr>
                <w:position w:val="-12"/>
                <w:lang w:val="en-GB"/>
              </w:rPr>
              <w:object w:dxaOrig="480" w:dyaOrig="360" w14:anchorId="566DCAEB">
                <v:shape id="_x0000_i1046" type="#_x0000_t75" style="width:24pt;height:18.75pt" o:ole="">
                  <v:imagedata r:id="rId62" o:title=""/>
                </v:shape>
                <o:OLEObject Type="Embed" ProgID="Equation.DSMT4" ShapeID="_x0000_i1046" DrawAspect="Content" ObjectID="_1692169388" r:id="rId63"/>
              </w:object>
            </w:r>
          </w:p>
        </w:tc>
        <w:tc>
          <w:tcPr>
            <w:tcW w:w="8397" w:type="dxa"/>
            <w:tcBorders>
              <w:top w:val="nil"/>
              <w:left w:val="nil"/>
              <w:bottom w:val="nil"/>
              <w:right w:val="nil"/>
            </w:tcBorders>
            <w:shd w:val="clear" w:color="auto" w:fill="auto"/>
          </w:tcPr>
          <w:p w14:paraId="73EB3D25" w14:textId="77777777" w:rsidR="00B60186" w:rsidRPr="009D3012" w:rsidRDefault="00B60186" w:rsidP="0056481D">
            <w:pPr>
              <w:widowControl w:val="0"/>
              <w:spacing w:after="0" w:line="240" w:lineRule="auto"/>
              <w:jc w:val="left"/>
              <w:rPr>
                <w:rFonts w:eastAsia="Times New Roman" w:cs="Arial"/>
                <w:spacing w:val="-1"/>
                <w:lang w:val="en-US"/>
              </w:rPr>
            </w:pPr>
            <w:r w:rsidRPr="009D3012">
              <w:rPr>
                <w:rFonts w:eastAsia="Times New Roman" w:cs="Arial"/>
                <w:spacing w:val="-1"/>
                <w:lang w:val="en-US"/>
              </w:rPr>
              <w:t>Design bond strength of the anchorage</w:t>
            </w:r>
            <w:r w:rsidRPr="009D3012">
              <w:rPr>
                <w:rFonts w:eastAsia="Times New Roman" w:cs="Arial"/>
                <w:spacing w:val="-1"/>
                <w:lang w:val="en-US"/>
              </w:rPr>
              <w:tab/>
            </w:r>
            <w:r w:rsidRPr="009D3012">
              <w:rPr>
                <w:rFonts w:eastAsia="Times New Roman" w:cs="Arial"/>
                <w:spacing w:val="-1"/>
                <w:lang w:val="en-US"/>
              </w:rPr>
              <w:tab/>
            </w:r>
            <w:r w:rsidRPr="009D3012">
              <w:rPr>
                <w:rFonts w:eastAsia="Times New Roman" w:cs="Arial"/>
                <w:spacing w:val="-1"/>
                <w:lang w:val="en-US"/>
              </w:rPr>
              <w:tab/>
            </w:r>
            <w:r w:rsidRPr="009D3012">
              <w:rPr>
                <w:rFonts w:eastAsia="Times New Roman" w:cs="Arial"/>
                <w:spacing w:val="-1"/>
                <w:lang w:val="en-US"/>
              </w:rPr>
              <w:tab/>
            </w:r>
            <w:r w:rsidRPr="009D3012">
              <w:rPr>
                <w:rFonts w:eastAsia="Times New Roman" w:cs="Arial"/>
                <w:spacing w:val="-1"/>
                <w:lang w:val="en-US"/>
              </w:rPr>
              <w:tab/>
            </w:r>
            <w:r w:rsidRPr="009D3012">
              <w:rPr>
                <w:rFonts w:eastAsia="Times New Roman" w:cs="Arial"/>
                <w:spacing w:val="-1"/>
                <w:lang w:val="en-US"/>
              </w:rPr>
              <w:tab/>
            </w:r>
          </w:p>
        </w:tc>
      </w:tr>
      <w:tr w:rsidR="00B60186" w:rsidRPr="001455DC" w14:paraId="06909312" w14:textId="77777777" w:rsidTr="009D3012">
        <w:trPr>
          <w:trHeight w:val="300"/>
        </w:trPr>
        <w:tc>
          <w:tcPr>
            <w:tcW w:w="1526" w:type="dxa"/>
            <w:tcBorders>
              <w:top w:val="nil"/>
              <w:left w:val="nil"/>
              <w:bottom w:val="nil"/>
              <w:right w:val="nil"/>
            </w:tcBorders>
            <w:shd w:val="clear" w:color="auto" w:fill="auto"/>
          </w:tcPr>
          <w:p w14:paraId="2BD6B649" w14:textId="6E7E7957" w:rsidR="00B60186" w:rsidRPr="009D3012" w:rsidRDefault="00046D2A" w:rsidP="00046D2A">
            <w:pPr>
              <w:widowControl w:val="0"/>
              <w:tabs>
                <w:tab w:val="center" w:pos="660"/>
                <w:tab w:val="right" w:pos="1320"/>
              </w:tabs>
              <w:spacing w:after="60" w:line="240" w:lineRule="auto"/>
              <w:jc w:val="left"/>
              <w:rPr>
                <w:rFonts w:eastAsia="Times New Roman"/>
                <w:i/>
                <w:lang w:val="en-US" w:eastAsia="fr-FR"/>
              </w:rPr>
            </w:pPr>
            <w:r w:rsidRPr="00046D2A">
              <w:rPr>
                <w:position w:val="-14"/>
                <w:lang w:val="en-GB"/>
              </w:rPr>
              <w:object w:dxaOrig="700" w:dyaOrig="380" w14:anchorId="3FD8C9A3">
                <v:shape id="_x0000_i1047" type="#_x0000_t75" style="width:35.25pt;height:18.75pt" o:ole="">
                  <v:imagedata r:id="rId64" o:title=""/>
                </v:shape>
                <o:OLEObject Type="Embed" ProgID="Equation.DSMT4" ShapeID="_x0000_i1047" DrawAspect="Content" ObjectID="_1692169389" r:id="rId65"/>
              </w:object>
            </w:r>
          </w:p>
        </w:tc>
        <w:tc>
          <w:tcPr>
            <w:tcW w:w="8397" w:type="dxa"/>
            <w:tcBorders>
              <w:top w:val="nil"/>
              <w:left w:val="nil"/>
              <w:bottom w:val="nil"/>
              <w:right w:val="nil"/>
            </w:tcBorders>
            <w:shd w:val="clear" w:color="auto" w:fill="auto"/>
          </w:tcPr>
          <w:p w14:paraId="671BD3D3" w14:textId="77777777" w:rsidR="00B60186" w:rsidRPr="009D3012" w:rsidRDefault="00B60186" w:rsidP="0056481D">
            <w:pPr>
              <w:widowControl w:val="0"/>
              <w:spacing w:after="0" w:line="240" w:lineRule="auto"/>
              <w:jc w:val="left"/>
              <w:rPr>
                <w:rFonts w:eastAsia="Times New Roman" w:cs="Arial"/>
                <w:spacing w:val="-1"/>
                <w:lang w:val="en-US"/>
              </w:rPr>
            </w:pPr>
            <w:r w:rsidRPr="009D3012">
              <w:rPr>
                <w:rFonts w:eastAsia="Times New Roman" w:cs="Arial"/>
                <w:spacing w:val="-1"/>
                <w:lang w:val="en-US"/>
              </w:rPr>
              <w:t>Mean surface tensile strength of concrete</w:t>
            </w:r>
            <w:r w:rsidRPr="009D3012">
              <w:rPr>
                <w:rFonts w:eastAsia="Times New Roman" w:cs="Arial"/>
                <w:spacing w:val="-1"/>
                <w:lang w:val="en-US"/>
              </w:rPr>
              <w:tab/>
            </w:r>
            <w:r w:rsidRPr="009D3012">
              <w:rPr>
                <w:rFonts w:eastAsia="Times New Roman" w:cs="Arial"/>
                <w:spacing w:val="-1"/>
                <w:lang w:val="en-US"/>
              </w:rPr>
              <w:tab/>
            </w:r>
            <w:r w:rsidRPr="009D3012">
              <w:rPr>
                <w:rFonts w:eastAsia="Times New Roman" w:cs="Arial"/>
                <w:spacing w:val="-1"/>
                <w:lang w:val="en-US"/>
              </w:rPr>
              <w:tab/>
            </w:r>
            <w:r w:rsidRPr="009D3012">
              <w:rPr>
                <w:rFonts w:eastAsia="Times New Roman" w:cs="Arial"/>
                <w:spacing w:val="-1"/>
                <w:lang w:val="en-US"/>
              </w:rPr>
              <w:tab/>
            </w:r>
            <w:r w:rsidRPr="009D3012">
              <w:rPr>
                <w:rFonts w:eastAsia="Times New Roman" w:cs="Arial"/>
                <w:spacing w:val="-1"/>
                <w:lang w:val="en-US"/>
              </w:rPr>
              <w:tab/>
            </w:r>
          </w:p>
        </w:tc>
      </w:tr>
      <w:tr w:rsidR="00B60186" w:rsidRPr="001455DC" w14:paraId="35F0AEC8" w14:textId="77777777" w:rsidTr="009D3012">
        <w:trPr>
          <w:trHeight w:val="300"/>
        </w:trPr>
        <w:tc>
          <w:tcPr>
            <w:tcW w:w="1526" w:type="dxa"/>
            <w:tcBorders>
              <w:top w:val="nil"/>
              <w:left w:val="nil"/>
              <w:bottom w:val="nil"/>
              <w:right w:val="nil"/>
            </w:tcBorders>
            <w:shd w:val="clear" w:color="auto" w:fill="auto"/>
          </w:tcPr>
          <w:p w14:paraId="7366CDD6" w14:textId="0501E51C" w:rsidR="00B60186" w:rsidRPr="009D3012" w:rsidRDefault="00046D2A" w:rsidP="00046D2A">
            <w:pPr>
              <w:widowControl w:val="0"/>
              <w:tabs>
                <w:tab w:val="center" w:pos="660"/>
                <w:tab w:val="right" w:pos="1320"/>
              </w:tabs>
              <w:spacing w:after="60" w:line="240" w:lineRule="auto"/>
              <w:jc w:val="left"/>
              <w:rPr>
                <w:rFonts w:eastAsia="Times New Roman"/>
                <w:i/>
                <w:lang w:val="en-US" w:eastAsia="fr-FR"/>
              </w:rPr>
            </w:pPr>
            <w:r w:rsidRPr="00046D2A">
              <w:rPr>
                <w:position w:val="-12"/>
                <w:lang w:val="en-GB"/>
              </w:rPr>
              <w:object w:dxaOrig="440" w:dyaOrig="360" w14:anchorId="75DD6AF0">
                <v:shape id="_x0000_i1048" type="#_x0000_t75" style="width:21.75pt;height:18.75pt" o:ole="">
                  <v:imagedata r:id="rId66" o:title=""/>
                </v:shape>
                <o:OLEObject Type="Embed" ProgID="Equation.DSMT4" ShapeID="_x0000_i1048" DrawAspect="Content" ObjectID="_1692169390" r:id="rId67"/>
              </w:object>
            </w:r>
          </w:p>
        </w:tc>
        <w:tc>
          <w:tcPr>
            <w:tcW w:w="8397" w:type="dxa"/>
            <w:tcBorders>
              <w:top w:val="nil"/>
              <w:left w:val="nil"/>
              <w:bottom w:val="nil"/>
              <w:right w:val="nil"/>
            </w:tcBorders>
            <w:shd w:val="clear" w:color="auto" w:fill="auto"/>
          </w:tcPr>
          <w:p w14:paraId="49F382B4" w14:textId="77777777" w:rsidR="00B60186" w:rsidRPr="009D3012" w:rsidRDefault="00B60186" w:rsidP="0056481D">
            <w:pPr>
              <w:widowControl w:val="0"/>
              <w:spacing w:after="0" w:line="240" w:lineRule="auto"/>
              <w:jc w:val="left"/>
              <w:rPr>
                <w:rFonts w:eastAsia="Times New Roman" w:cs="Arial"/>
                <w:spacing w:val="-1"/>
                <w:lang w:val="en-US"/>
              </w:rPr>
            </w:pPr>
            <w:r w:rsidRPr="009D3012">
              <w:rPr>
                <w:rFonts w:eastAsia="Times New Roman" w:cs="Arial"/>
                <w:spacing w:val="-1"/>
                <w:lang w:val="en-US"/>
              </w:rPr>
              <w:t>Characteristic compressive strength of the adhesive</w:t>
            </w:r>
            <w:r w:rsidRPr="009D3012">
              <w:rPr>
                <w:rFonts w:eastAsia="Times New Roman" w:cs="Arial"/>
                <w:spacing w:val="-1"/>
                <w:lang w:val="en-US"/>
              </w:rPr>
              <w:tab/>
            </w:r>
            <w:r w:rsidRPr="009D3012">
              <w:rPr>
                <w:rFonts w:eastAsia="Times New Roman" w:cs="Arial"/>
                <w:spacing w:val="-1"/>
                <w:lang w:val="en-US"/>
              </w:rPr>
              <w:tab/>
            </w:r>
            <w:r w:rsidRPr="009D3012">
              <w:rPr>
                <w:rFonts w:eastAsia="Times New Roman" w:cs="Arial"/>
                <w:spacing w:val="-1"/>
                <w:lang w:val="en-US"/>
              </w:rPr>
              <w:tab/>
            </w:r>
            <w:r w:rsidRPr="009D3012">
              <w:rPr>
                <w:rFonts w:eastAsia="Times New Roman" w:cs="Arial"/>
                <w:spacing w:val="-1"/>
                <w:lang w:val="en-US"/>
              </w:rPr>
              <w:tab/>
            </w:r>
          </w:p>
        </w:tc>
      </w:tr>
      <w:tr w:rsidR="00B60186" w:rsidRPr="001455DC" w14:paraId="32BBAB89" w14:textId="77777777" w:rsidTr="009D3012">
        <w:trPr>
          <w:trHeight w:val="300"/>
        </w:trPr>
        <w:tc>
          <w:tcPr>
            <w:tcW w:w="1526" w:type="dxa"/>
            <w:tcBorders>
              <w:top w:val="nil"/>
              <w:left w:val="nil"/>
              <w:bottom w:val="nil"/>
              <w:right w:val="nil"/>
            </w:tcBorders>
            <w:shd w:val="clear" w:color="auto" w:fill="auto"/>
          </w:tcPr>
          <w:p w14:paraId="6D6DF5E9" w14:textId="34BF293B" w:rsidR="00B60186" w:rsidRPr="009D3012" w:rsidRDefault="00046D2A" w:rsidP="00046D2A">
            <w:pPr>
              <w:widowControl w:val="0"/>
              <w:tabs>
                <w:tab w:val="center" w:pos="660"/>
                <w:tab w:val="right" w:pos="1320"/>
              </w:tabs>
              <w:spacing w:after="60" w:line="240" w:lineRule="auto"/>
              <w:jc w:val="left"/>
              <w:rPr>
                <w:rFonts w:eastAsia="Times New Roman"/>
                <w:i/>
                <w:lang w:val="en-US" w:eastAsia="fr-FR"/>
              </w:rPr>
            </w:pPr>
            <w:r w:rsidRPr="00046D2A">
              <w:rPr>
                <w:position w:val="-12"/>
                <w:lang w:val="en-GB"/>
              </w:rPr>
              <w:object w:dxaOrig="420" w:dyaOrig="360" w14:anchorId="63C1B964">
                <v:shape id="_x0000_i1049" type="#_x0000_t75" style="width:20.25pt;height:18.75pt" o:ole="">
                  <v:imagedata r:id="rId68" o:title=""/>
                </v:shape>
                <o:OLEObject Type="Embed" ProgID="Equation.DSMT4" ShapeID="_x0000_i1049" DrawAspect="Content" ObjectID="_1692169391" r:id="rId69"/>
              </w:object>
            </w:r>
          </w:p>
        </w:tc>
        <w:tc>
          <w:tcPr>
            <w:tcW w:w="8397" w:type="dxa"/>
            <w:tcBorders>
              <w:top w:val="nil"/>
              <w:left w:val="nil"/>
              <w:bottom w:val="nil"/>
              <w:right w:val="nil"/>
            </w:tcBorders>
            <w:shd w:val="clear" w:color="auto" w:fill="auto"/>
          </w:tcPr>
          <w:p w14:paraId="2E7FE1E2" w14:textId="77777777" w:rsidR="00B60186" w:rsidRPr="009D3012" w:rsidRDefault="00B60186" w:rsidP="0056481D">
            <w:pPr>
              <w:widowControl w:val="0"/>
              <w:spacing w:after="0" w:line="240" w:lineRule="auto"/>
              <w:jc w:val="left"/>
              <w:rPr>
                <w:rFonts w:eastAsia="Times New Roman" w:cs="Arial"/>
                <w:spacing w:val="-1"/>
                <w:lang w:val="en-US"/>
              </w:rPr>
            </w:pPr>
            <w:r w:rsidRPr="009D3012">
              <w:rPr>
                <w:rFonts w:eastAsia="Times New Roman" w:cs="Arial"/>
                <w:spacing w:val="-1"/>
                <w:lang w:val="en-US"/>
              </w:rPr>
              <w:t>Characteristic tensile strength of the adhesive</w:t>
            </w:r>
            <w:r w:rsidRPr="009D3012">
              <w:rPr>
                <w:rFonts w:eastAsia="Times New Roman" w:cs="Arial"/>
                <w:spacing w:val="-1"/>
                <w:lang w:val="en-US"/>
              </w:rPr>
              <w:tab/>
            </w:r>
            <w:r w:rsidRPr="009D3012">
              <w:rPr>
                <w:rFonts w:eastAsia="Times New Roman" w:cs="Arial"/>
                <w:spacing w:val="-1"/>
                <w:lang w:val="en-US"/>
              </w:rPr>
              <w:tab/>
            </w:r>
            <w:r w:rsidRPr="009D3012">
              <w:rPr>
                <w:rFonts w:eastAsia="Times New Roman" w:cs="Arial"/>
                <w:spacing w:val="-1"/>
                <w:lang w:val="en-US"/>
              </w:rPr>
              <w:tab/>
            </w:r>
            <w:r w:rsidRPr="009D3012">
              <w:rPr>
                <w:rFonts w:eastAsia="Times New Roman" w:cs="Arial"/>
                <w:spacing w:val="-1"/>
                <w:lang w:val="en-US"/>
              </w:rPr>
              <w:tab/>
            </w:r>
            <w:r w:rsidRPr="009D3012">
              <w:rPr>
                <w:rFonts w:eastAsia="Times New Roman" w:cs="Arial"/>
                <w:spacing w:val="-1"/>
                <w:lang w:val="en-US"/>
              </w:rPr>
              <w:tab/>
            </w:r>
          </w:p>
        </w:tc>
      </w:tr>
      <w:tr w:rsidR="00B60186" w:rsidRPr="001455DC" w14:paraId="3F4BB21D" w14:textId="77777777" w:rsidTr="009D3012">
        <w:trPr>
          <w:trHeight w:val="300"/>
        </w:trPr>
        <w:tc>
          <w:tcPr>
            <w:tcW w:w="1526" w:type="dxa"/>
            <w:tcBorders>
              <w:top w:val="nil"/>
              <w:left w:val="nil"/>
              <w:bottom w:val="nil"/>
              <w:right w:val="nil"/>
            </w:tcBorders>
            <w:shd w:val="clear" w:color="auto" w:fill="auto"/>
          </w:tcPr>
          <w:p w14:paraId="64B087CD" w14:textId="249D8FE8" w:rsidR="00B60186" w:rsidRPr="009D3012" w:rsidRDefault="00046D2A" w:rsidP="00046D2A">
            <w:pPr>
              <w:widowControl w:val="0"/>
              <w:tabs>
                <w:tab w:val="center" w:pos="660"/>
                <w:tab w:val="right" w:pos="1320"/>
              </w:tabs>
              <w:spacing w:after="60" w:line="240" w:lineRule="auto"/>
              <w:jc w:val="left"/>
              <w:rPr>
                <w:lang w:val="en-US"/>
              </w:rPr>
            </w:pPr>
            <w:r w:rsidRPr="00046D2A">
              <w:rPr>
                <w:position w:val="-12"/>
                <w:lang w:val="en-GB"/>
              </w:rPr>
              <w:object w:dxaOrig="680" w:dyaOrig="360" w14:anchorId="3780297C">
                <v:shape id="_x0000_i1050" type="#_x0000_t75" style="width:33.75pt;height:18.75pt" o:ole="">
                  <v:imagedata r:id="rId70" o:title=""/>
                </v:shape>
                <o:OLEObject Type="Embed" ProgID="Equation.DSMT4" ShapeID="_x0000_i1050" DrawAspect="Content" ObjectID="_1692169392" r:id="rId71"/>
              </w:object>
            </w:r>
          </w:p>
        </w:tc>
        <w:tc>
          <w:tcPr>
            <w:tcW w:w="8397" w:type="dxa"/>
            <w:tcBorders>
              <w:top w:val="nil"/>
              <w:left w:val="nil"/>
              <w:bottom w:val="nil"/>
              <w:right w:val="nil"/>
            </w:tcBorders>
            <w:shd w:val="clear" w:color="auto" w:fill="auto"/>
          </w:tcPr>
          <w:p w14:paraId="6356A5ED" w14:textId="77777777" w:rsidR="00B60186" w:rsidRPr="009D3012" w:rsidRDefault="00B60186" w:rsidP="0056481D">
            <w:pPr>
              <w:widowControl w:val="0"/>
              <w:spacing w:after="0" w:line="240" w:lineRule="auto"/>
              <w:jc w:val="left"/>
              <w:rPr>
                <w:rFonts w:eastAsia="Times New Roman" w:cs="Arial"/>
                <w:spacing w:val="-1"/>
                <w:lang w:val="en-US"/>
              </w:rPr>
            </w:pPr>
            <w:r w:rsidRPr="009D3012">
              <w:rPr>
                <w:rFonts w:eastAsia="Times New Roman"/>
                <w:lang w:val="en-US"/>
              </w:rPr>
              <w:t>Limiting design strength of the bond</w:t>
            </w:r>
            <w:r w:rsidRPr="009D3012">
              <w:rPr>
                <w:rFonts w:eastAsia="Times New Roman"/>
                <w:lang w:val="en-US"/>
              </w:rPr>
              <w:tab/>
            </w:r>
            <w:r w:rsidRPr="009D3012">
              <w:rPr>
                <w:rFonts w:eastAsia="Times New Roman"/>
                <w:lang w:val="en-US"/>
              </w:rPr>
              <w:tab/>
            </w:r>
            <w:r w:rsidRPr="009D3012">
              <w:rPr>
                <w:rFonts w:eastAsia="Times New Roman"/>
                <w:lang w:val="en-US"/>
              </w:rPr>
              <w:tab/>
            </w:r>
            <w:r w:rsidRPr="009D3012">
              <w:rPr>
                <w:rFonts w:eastAsia="Times New Roman"/>
                <w:lang w:val="en-US"/>
              </w:rPr>
              <w:tab/>
            </w:r>
            <w:r w:rsidRPr="009D3012">
              <w:rPr>
                <w:rFonts w:eastAsia="Times New Roman"/>
                <w:lang w:val="en-US"/>
              </w:rPr>
              <w:tab/>
            </w:r>
            <w:r w:rsidRPr="009D3012">
              <w:rPr>
                <w:rFonts w:eastAsia="Times New Roman"/>
                <w:lang w:val="en-US"/>
              </w:rPr>
              <w:tab/>
            </w:r>
          </w:p>
        </w:tc>
      </w:tr>
      <w:tr w:rsidR="00B60186" w:rsidRPr="001455DC" w14:paraId="03FBB6D3" w14:textId="77777777" w:rsidTr="009D3012">
        <w:trPr>
          <w:trHeight w:val="300"/>
        </w:trPr>
        <w:tc>
          <w:tcPr>
            <w:tcW w:w="1526" w:type="dxa"/>
            <w:tcBorders>
              <w:top w:val="nil"/>
              <w:left w:val="nil"/>
              <w:bottom w:val="nil"/>
              <w:right w:val="nil"/>
            </w:tcBorders>
            <w:shd w:val="clear" w:color="auto" w:fill="auto"/>
          </w:tcPr>
          <w:p w14:paraId="55FCD57B" w14:textId="4BA67818" w:rsidR="00B60186" w:rsidRPr="009D3012" w:rsidRDefault="00046D2A" w:rsidP="00046D2A">
            <w:pPr>
              <w:widowControl w:val="0"/>
              <w:tabs>
                <w:tab w:val="center" w:pos="660"/>
                <w:tab w:val="right" w:pos="1320"/>
              </w:tabs>
              <w:spacing w:after="60" w:line="240" w:lineRule="auto"/>
              <w:jc w:val="left"/>
              <w:rPr>
                <w:lang w:val="en-US"/>
              </w:rPr>
            </w:pPr>
            <w:r w:rsidRPr="00046D2A">
              <w:rPr>
                <w:position w:val="-12"/>
                <w:lang w:val="en-GB"/>
              </w:rPr>
              <w:object w:dxaOrig="480" w:dyaOrig="360" w14:anchorId="70B0108A">
                <v:shape id="_x0000_i1051" type="#_x0000_t75" style="width:24pt;height:18.75pt" o:ole="">
                  <v:imagedata r:id="rId72" o:title=""/>
                </v:shape>
                <o:OLEObject Type="Embed" ProgID="Equation.DSMT4" ShapeID="_x0000_i1051" DrawAspect="Content" ObjectID="_1692169393" r:id="rId73"/>
              </w:object>
            </w:r>
          </w:p>
        </w:tc>
        <w:tc>
          <w:tcPr>
            <w:tcW w:w="8397" w:type="dxa"/>
            <w:tcBorders>
              <w:top w:val="nil"/>
              <w:left w:val="nil"/>
              <w:bottom w:val="nil"/>
              <w:right w:val="nil"/>
            </w:tcBorders>
            <w:shd w:val="clear" w:color="auto" w:fill="auto"/>
          </w:tcPr>
          <w:p w14:paraId="5F96AC71" w14:textId="77777777" w:rsidR="00B60186" w:rsidRPr="009D3012" w:rsidRDefault="00B60186" w:rsidP="0056481D">
            <w:pPr>
              <w:widowControl w:val="0"/>
              <w:spacing w:after="0" w:line="240" w:lineRule="auto"/>
              <w:jc w:val="left"/>
              <w:rPr>
                <w:rFonts w:eastAsia="Times New Roman" w:cs="Arial"/>
                <w:spacing w:val="-1"/>
                <w:lang w:val="en-US"/>
              </w:rPr>
            </w:pPr>
            <w:r w:rsidRPr="009D3012">
              <w:rPr>
                <w:rFonts w:eastAsia="Times New Roman"/>
                <w:lang w:val="en-US"/>
              </w:rPr>
              <w:t>Limiting design strength of the bond</w:t>
            </w:r>
            <w:r w:rsidRPr="009D3012">
              <w:rPr>
                <w:rFonts w:eastAsia="Times New Roman"/>
                <w:lang w:val="en-US"/>
              </w:rPr>
              <w:tab/>
            </w:r>
            <w:r w:rsidRPr="009D3012">
              <w:rPr>
                <w:rFonts w:eastAsia="Times New Roman"/>
                <w:lang w:val="en-US"/>
              </w:rPr>
              <w:tab/>
            </w:r>
            <w:r w:rsidRPr="009D3012">
              <w:rPr>
                <w:rFonts w:eastAsia="Times New Roman"/>
                <w:lang w:val="en-US"/>
              </w:rPr>
              <w:tab/>
            </w:r>
            <w:r w:rsidRPr="009D3012">
              <w:rPr>
                <w:rFonts w:eastAsia="Times New Roman"/>
                <w:lang w:val="en-US"/>
              </w:rPr>
              <w:tab/>
            </w:r>
            <w:r w:rsidRPr="009D3012">
              <w:rPr>
                <w:rFonts w:eastAsia="Times New Roman"/>
                <w:lang w:val="en-US"/>
              </w:rPr>
              <w:tab/>
            </w:r>
            <w:r w:rsidRPr="009D3012">
              <w:rPr>
                <w:rFonts w:eastAsia="Times New Roman"/>
                <w:lang w:val="en-US"/>
              </w:rPr>
              <w:tab/>
            </w:r>
          </w:p>
        </w:tc>
      </w:tr>
      <w:tr w:rsidR="00B60186" w:rsidRPr="001455DC" w14:paraId="060DBC5C" w14:textId="77777777" w:rsidTr="009D3012">
        <w:trPr>
          <w:trHeight w:val="300"/>
        </w:trPr>
        <w:tc>
          <w:tcPr>
            <w:tcW w:w="1526" w:type="dxa"/>
            <w:tcBorders>
              <w:top w:val="nil"/>
              <w:left w:val="nil"/>
              <w:bottom w:val="nil"/>
              <w:right w:val="nil"/>
            </w:tcBorders>
            <w:shd w:val="clear" w:color="auto" w:fill="auto"/>
          </w:tcPr>
          <w:p w14:paraId="6AA1731F" w14:textId="4C5A0F21" w:rsidR="00B60186" w:rsidRPr="009D3012" w:rsidRDefault="00046D2A" w:rsidP="00046D2A">
            <w:pPr>
              <w:widowControl w:val="0"/>
              <w:tabs>
                <w:tab w:val="center" w:pos="660"/>
                <w:tab w:val="right" w:pos="1320"/>
              </w:tabs>
              <w:spacing w:after="60" w:line="240" w:lineRule="auto"/>
              <w:jc w:val="left"/>
              <w:rPr>
                <w:rFonts w:eastAsia="Times New Roman" w:cs="Arial"/>
                <w:i/>
                <w:lang w:val="en-US" w:eastAsia="fr-FR"/>
              </w:rPr>
            </w:pPr>
            <w:r w:rsidRPr="00046D2A">
              <w:rPr>
                <w:position w:val="-12"/>
                <w:lang w:val="en-GB"/>
              </w:rPr>
              <w:object w:dxaOrig="380" w:dyaOrig="360" w14:anchorId="08DDA775">
                <v:shape id="_x0000_i1052" type="#_x0000_t75" style="width:18.75pt;height:18.75pt" o:ole="">
                  <v:imagedata r:id="rId74" o:title=""/>
                </v:shape>
                <o:OLEObject Type="Embed" ProgID="Equation.DSMT4" ShapeID="_x0000_i1052" DrawAspect="Content" ObjectID="_1692169394" r:id="rId75"/>
              </w:object>
            </w:r>
          </w:p>
        </w:tc>
        <w:tc>
          <w:tcPr>
            <w:tcW w:w="8397" w:type="dxa"/>
            <w:tcBorders>
              <w:top w:val="nil"/>
              <w:left w:val="nil"/>
              <w:bottom w:val="nil"/>
              <w:right w:val="nil"/>
            </w:tcBorders>
            <w:shd w:val="clear" w:color="auto" w:fill="auto"/>
          </w:tcPr>
          <w:p w14:paraId="4ECA6E7D" w14:textId="77777777" w:rsidR="00B60186" w:rsidRPr="009D3012" w:rsidRDefault="00B60186" w:rsidP="0056481D">
            <w:pPr>
              <w:widowControl w:val="0"/>
              <w:spacing w:after="0" w:line="240" w:lineRule="auto"/>
              <w:jc w:val="left"/>
              <w:rPr>
                <w:rFonts w:eastAsia="Times New Roman" w:cs="Arial"/>
                <w:spacing w:val="-1"/>
                <w:lang w:val="en-US"/>
              </w:rPr>
            </w:pPr>
            <w:r w:rsidRPr="009D3012">
              <w:rPr>
                <w:rFonts w:eastAsia="Times New Roman" w:cs="Arial"/>
                <w:spacing w:val="-1"/>
                <w:lang w:val="en-US"/>
              </w:rPr>
              <w:t>Ultimate design short-term tensile strength of the ABR CFRP</w:t>
            </w:r>
            <w:r w:rsidRPr="009D3012">
              <w:rPr>
                <w:rFonts w:eastAsia="Times New Roman" w:cs="Arial"/>
                <w:spacing w:val="-1"/>
                <w:lang w:val="en-US"/>
              </w:rPr>
              <w:tab/>
            </w:r>
            <w:r w:rsidRPr="009D3012">
              <w:rPr>
                <w:rFonts w:eastAsia="Times New Roman" w:cs="Arial"/>
                <w:spacing w:val="-1"/>
                <w:lang w:val="en-US"/>
              </w:rPr>
              <w:tab/>
            </w:r>
            <w:r w:rsidRPr="009D3012">
              <w:rPr>
                <w:rFonts w:eastAsia="Times New Roman" w:cs="Arial"/>
                <w:spacing w:val="-1"/>
                <w:lang w:val="en-US"/>
              </w:rPr>
              <w:tab/>
            </w:r>
          </w:p>
        </w:tc>
      </w:tr>
      <w:tr w:rsidR="00B60186" w:rsidRPr="001455DC" w14:paraId="7EBB9409" w14:textId="77777777" w:rsidTr="009D3012">
        <w:trPr>
          <w:trHeight w:val="300"/>
        </w:trPr>
        <w:tc>
          <w:tcPr>
            <w:tcW w:w="1526" w:type="dxa"/>
            <w:tcBorders>
              <w:top w:val="nil"/>
              <w:left w:val="nil"/>
              <w:bottom w:val="nil"/>
              <w:right w:val="nil"/>
            </w:tcBorders>
            <w:shd w:val="clear" w:color="auto" w:fill="auto"/>
          </w:tcPr>
          <w:p w14:paraId="57FFC766" w14:textId="360339BC" w:rsidR="00B60186" w:rsidRPr="009D3012" w:rsidRDefault="00046D2A" w:rsidP="00046D2A">
            <w:pPr>
              <w:widowControl w:val="0"/>
              <w:tabs>
                <w:tab w:val="center" w:pos="660"/>
                <w:tab w:val="right" w:pos="1320"/>
              </w:tabs>
              <w:spacing w:after="60" w:line="240" w:lineRule="auto"/>
              <w:jc w:val="left"/>
              <w:rPr>
                <w:rFonts w:eastAsia="Times New Roman" w:cs="Arial"/>
                <w:i/>
                <w:lang w:val="en-US" w:eastAsia="fr-FR"/>
              </w:rPr>
            </w:pPr>
            <w:r w:rsidRPr="00046D2A">
              <w:rPr>
                <w:position w:val="-12"/>
                <w:lang w:val="en-GB"/>
              </w:rPr>
              <w:object w:dxaOrig="400" w:dyaOrig="360" w14:anchorId="1B5F2020">
                <v:shape id="_x0000_i1053" type="#_x0000_t75" style="width:20.25pt;height:18.75pt" o:ole="">
                  <v:imagedata r:id="rId76" o:title=""/>
                </v:shape>
                <o:OLEObject Type="Embed" ProgID="Equation.DSMT4" ShapeID="_x0000_i1053" DrawAspect="Content" ObjectID="_1692169395" r:id="rId77"/>
              </w:object>
            </w:r>
          </w:p>
        </w:tc>
        <w:tc>
          <w:tcPr>
            <w:tcW w:w="8397" w:type="dxa"/>
            <w:tcBorders>
              <w:top w:val="nil"/>
              <w:left w:val="nil"/>
              <w:bottom w:val="nil"/>
              <w:right w:val="nil"/>
            </w:tcBorders>
            <w:shd w:val="clear" w:color="auto" w:fill="auto"/>
          </w:tcPr>
          <w:p w14:paraId="0A9173D1" w14:textId="77777777" w:rsidR="00B60186" w:rsidRPr="009D3012" w:rsidRDefault="00B60186" w:rsidP="0056481D">
            <w:pPr>
              <w:widowControl w:val="0"/>
              <w:spacing w:after="0" w:line="240" w:lineRule="auto"/>
              <w:jc w:val="left"/>
              <w:rPr>
                <w:rFonts w:eastAsia="Times New Roman" w:cs="Arial"/>
                <w:spacing w:val="-1"/>
                <w:lang w:val="en-US"/>
              </w:rPr>
            </w:pPr>
            <w:r w:rsidRPr="009D3012">
              <w:rPr>
                <w:rFonts w:eastAsia="Times New Roman" w:cs="Arial"/>
                <w:spacing w:val="-1"/>
                <w:lang w:val="en-US"/>
              </w:rPr>
              <w:t>Characteristic short-term tensile strength of the ABR CFRP</w:t>
            </w:r>
            <w:r w:rsidRPr="009D3012">
              <w:rPr>
                <w:rFonts w:eastAsia="Times New Roman" w:cs="Arial"/>
                <w:spacing w:val="-1"/>
                <w:lang w:val="en-US"/>
              </w:rPr>
              <w:tab/>
            </w:r>
            <w:r w:rsidRPr="009D3012">
              <w:rPr>
                <w:rFonts w:eastAsia="Times New Roman" w:cs="Arial"/>
                <w:spacing w:val="-1"/>
                <w:lang w:val="en-US"/>
              </w:rPr>
              <w:tab/>
            </w:r>
            <w:r w:rsidRPr="009D3012">
              <w:rPr>
                <w:rFonts w:eastAsia="Times New Roman" w:cs="Arial"/>
                <w:spacing w:val="-1"/>
                <w:lang w:val="en-US"/>
              </w:rPr>
              <w:tab/>
            </w:r>
          </w:p>
        </w:tc>
      </w:tr>
      <w:tr w:rsidR="00B60186" w:rsidRPr="001455DC" w14:paraId="5AFA69A5" w14:textId="77777777" w:rsidTr="009D3012">
        <w:trPr>
          <w:trHeight w:val="300"/>
        </w:trPr>
        <w:tc>
          <w:tcPr>
            <w:tcW w:w="1526" w:type="dxa"/>
            <w:tcBorders>
              <w:top w:val="nil"/>
              <w:left w:val="nil"/>
              <w:bottom w:val="nil"/>
              <w:right w:val="nil"/>
            </w:tcBorders>
            <w:shd w:val="clear" w:color="auto" w:fill="auto"/>
          </w:tcPr>
          <w:p w14:paraId="7D2B0917" w14:textId="34CAA57C" w:rsidR="00B60186" w:rsidRPr="009D3012" w:rsidRDefault="00046D2A" w:rsidP="00046D2A">
            <w:pPr>
              <w:widowControl w:val="0"/>
              <w:tabs>
                <w:tab w:val="center" w:pos="660"/>
                <w:tab w:val="right" w:pos="1320"/>
              </w:tabs>
              <w:spacing w:after="60" w:line="240" w:lineRule="auto"/>
              <w:jc w:val="left"/>
              <w:rPr>
                <w:rFonts w:cs="Arial"/>
                <w:lang w:val="en-US"/>
              </w:rPr>
            </w:pPr>
            <w:r w:rsidRPr="00046D2A">
              <w:rPr>
                <w:position w:val="-12"/>
                <w:lang w:val="en-GB"/>
              </w:rPr>
              <w:object w:dxaOrig="420" w:dyaOrig="360" w14:anchorId="216BF9CE">
                <v:shape id="_x0000_i1054" type="#_x0000_t75" style="width:20.25pt;height:18.75pt" o:ole="">
                  <v:imagedata r:id="rId78" o:title=""/>
                </v:shape>
                <o:OLEObject Type="Embed" ProgID="Equation.DSMT4" ShapeID="_x0000_i1054" DrawAspect="Content" ObjectID="_1692169396" r:id="rId79"/>
              </w:object>
            </w:r>
          </w:p>
        </w:tc>
        <w:tc>
          <w:tcPr>
            <w:tcW w:w="8397" w:type="dxa"/>
            <w:tcBorders>
              <w:top w:val="nil"/>
              <w:left w:val="nil"/>
              <w:bottom w:val="nil"/>
              <w:right w:val="nil"/>
            </w:tcBorders>
            <w:shd w:val="clear" w:color="auto" w:fill="auto"/>
          </w:tcPr>
          <w:p w14:paraId="77089FE1" w14:textId="77777777" w:rsidR="00B60186" w:rsidRPr="009D3012" w:rsidRDefault="00B60186" w:rsidP="0056481D">
            <w:pPr>
              <w:widowControl w:val="0"/>
              <w:spacing w:after="0" w:line="240" w:lineRule="auto"/>
              <w:jc w:val="left"/>
              <w:rPr>
                <w:rFonts w:eastAsia="Times New Roman" w:cs="Arial"/>
                <w:lang w:val="en-US" w:eastAsia="fr-FR"/>
              </w:rPr>
            </w:pPr>
            <w:r w:rsidRPr="009D3012">
              <w:rPr>
                <w:rFonts w:eastAsia="Times New Roman" w:cs="Arial"/>
                <w:spacing w:val="-1"/>
                <w:lang w:val="en-US"/>
              </w:rPr>
              <w:t>Design shear strength of the CFRP system</w:t>
            </w:r>
            <w:r w:rsidRPr="009D3012">
              <w:rPr>
                <w:rFonts w:eastAsia="Times New Roman" w:cs="Arial"/>
                <w:spacing w:val="-1"/>
                <w:lang w:val="en-US"/>
              </w:rPr>
              <w:tab/>
            </w:r>
            <w:r w:rsidRPr="009D3012">
              <w:rPr>
                <w:rFonts w:eastAsia="Times New Roman" w:cs="Arial"/>
                <w:spacing w:val="-1"/>
                <w:lang w:val="en-US"/>
              </w:rPr>
              <w:tab/>
            </w:r>
            <w:r w:rsidRPr="009D3012">
              <w:rPr>
                <w:rFonts w:eastAsia="Times New Roman" w:cs="Arial"/>
                <w:spacing w:val="-1"/>
                <w:lang w:val="en-US"/>
              </w:rPr>
              <w:tab/>
            </w:r>
            <w:r w:rsidRPr="009D3012">
              <w:rPr>
                <w:rFonts w:eastAsia="Times New Roman" w:cs="Arial"/>
                <w:spacing w:val="-1"/>
                <w:lang w:val="en-US"/>
              </w:rPr>
              <w:tab/>
            </w:r>
            <w:r w:rsidRPr="009D3012">
              <w:rPr>
                <w:rFonts w:eastAsia="Times New Roman" w:cs="Arial"/>
                <w:lang w:val="en-US" w:eastAsia="fr-FR"/>
              </w:rPr>
              <w:tab/>
            </w:r>
          </w:p>
        </w:tc>
      </w:tr>
      <w:tr w:rsidR="00B60186" w:rsidRPr="001455DC" w14:paraId="13860EAE" w14:textId="77777777" w:rsidTr="009D3012">
        <w:trPr>
          <w:trHeight w:val="300"/>
        </w:trPr>
        <w:tc>
          <w:tcPr>
            <w:tcW w:w="1526" w:type="dxa"/>
            <w:tcBorders>
              <w:top w:val="nil"/>
              <w:left w:val="nil"/>
              <w:bottom w:val="nil"/>
              <w:right w:val="nil"/>
            </w:tcBorders>
            <w:shd w:val="clear" w:color="auto" w:fill="auto"/>
          </w:tcPr>
          <w:p w14:paraId="53B3D314" w14:textId="5D3B44C3" w:rsidR="00B60186" w:rsidRPr="009D3012" w:rsidRDefault="001E7ABA" w:rsidP="00046D2A">
            <w:pPr>
              <w:widowControl w:val="0"/>
              <w:tabs>
                <w:tab w:val="center" w:pos="660"/>
                <w:tab w:val="right" w:pos="1320"/>
              </w:tabs>
              <w:spacing w:after="60" w:line="240" w:lineRule="auto"/>
              <w:jc w:val="left"/>
              <w:rPr>
                <w:rFonts w:eastAsia="Times New Roman" w:cs="Arial"/>
                <w:i/>
                <w:lang w:val="en-US" w:eastAsia="fr-FR"/>
              </w:rPr>
            </w:pPr>
            <w:r w:rsidRPr="00046D2A">
              <w:rPr>
                <w:position w:val="-14"/>
                <w:lang w:val="en-GB"/>
              </w:rPr>
              <w:object w:dxaOrig="560" w:dyaOrig="380" w14:anchorId="0D6CE292">
                <v:shape id="_x0000_i1055" type="#_x0000_t75" style="width:27.75pt;height:18.75pt" o:ole="">
                  <v:imagedata r:id="rId80" o:title=""/>
                </v:shape>
                <o:OLEObject Type="Embed" ProgID="Equation.DSMT4" ShapeID="_x0000_i1055" DrawAspect="Content" ObjectID="_1692169397" r:id="rId81"/>
              </w:object>
            </w:r>
          </w:p>
        </w:tc>
        <w:tc>
          <w:tcPr>
            <w:tcW w:w="8397" w:type="dxa"/>
            <w:tcBorders>
              <w:top w:val="nil"/>
              <w:left w:val="nil"/>
              <w:bottom w:val="nil"/>
              <w:right w:val="nil"/>
            </w:tcBorders>
            <w:shd w:val="clear" w:color="auto" w:fill="auto"/>
          </w:tcPr>
          <w:p w14:paraId="34B594F0" w14:textId="77777777" w:rsidR="00B60186" w:rsidRPr="009D3012" w:rsidRDefault="00B60186" w:rsidP="0056481D">
            <w:pPr>
              <w:widowControl w:val="0"/>
              <w:spacing w:after="0" w:line="240" w:lineRule="auto"/>
              <w:jc w:val="left"/>
              <w:rPr>
                <w:rFonts w:eastAsia="Times New Roman" w:cs="Arial"/>
                <w:lang w:val="en-US" w:eastAsia="fr-FR"/>
              </w:rPr>
            </w:pPr>
            <w:r w:rsidRPr="009D3012">
              <w:rPr>
                <w:rFonts w:eastAsia="Times New Roman" w:cs="Arial"/>
                <w:lang w:val="en-US" w:eastAsia="fr-FR"/>
              </w:rPr>
              <w:t>Basic value of adhesive bond strength between cracks</w:t>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p>
        </w:tc>
      </w:tr>
      <w:tr w:rsidR="00B60186" w:rsidRPr="001455DC" w14:paraId="043225D3" w14:textId="77777777" w:rsidTr="009D3012">
        <w:trPr>
          <w:trHeight w:val="300"/>
        </w:trPr>
        <w:tc>
          <w:tcPr>
            <w:tcW w:w="1526" w:type="dxa"/>
            <w:tcBorders>
              <w:top w:val="nil"/>
              <w:left w:val="nil"/>
              <w:bottom w:val="nil"/>
              <w:right w:val="nil"/>
            </w:tcBorders>
            <w:shd w:val="clear" w:color="auto" w:fill="auto"/>
          </w:tcPr>
          <w:p w14:paraId="18EDEC80" w14:textId="45C9C7F4" w:rsidR="00B60186" w:rsidRPr="009D3012" w:rsidRDefault="001E7ABA" w:rsidP="00046D2A">
            <w:pPr>
              <w:widowControl w:val="0"/>
              <w:tabs>
                <w:tab w:val="center" w:pos="660"/>
                <w:tab w:val="right" w:pos="1320"/>
              </w:tabs>
              <w:spacing w:after="60" w:line="240" w:lineRule="auto"/>
              <w:jc w:val="left"/>
              <w:rPr>
                <w:rFonts w:cs="Arial"/>
                <w:lang w:val="en-US" w:eastAsia="fr-FR"/>
              </w:rPr>
            </w:pPr>
            <w:r w:rsidRPr="00046D2A">
              <w:rPr>
                <w:position w:val="-14"/>
                <w:lang w:val="en-GB"/>
              </w:rPr>
              <w:object w:dxaOrig="560" w:dyaOrig="380" w14:anchorId="06085770">
                <v:shape id="_x0000_i1056" type="#_x0000_t75" style="width:27.75pt;height:18.75pt" o:ole="">
                  <v:imagedata r:id="rId82" o:title=""/>
                </v:shape>
                <o:OLEObject Type="Embed" ProgID="Equation.DSMT4" ShapeID="_x0000_i1056" DrawAspect="Content" ObjectID="_1692169398" r:id="rId83"/>
              </w:object>
            </w:r>
          </w:p>
        </w:tc>
        <w:tc>
          <w:tcPr>
            <w:tcW w:w="8397" w:type="dxa"/>
            <w:tcBorders>
              <w:top w:val="nil"/>
              <w:left w:val="nil"/>
              <w:bottom w:val="nil"/>
              <w:right w:val="nil"/>
            </w:tcBorders>
            <w:shd w:val="clear" w:color="auto" w:fill="auto"/>
          </w:tcPr>
          <w:p w14:paraId="7A96A251" w14:textId="77777777" w:rsidR="00B60186" w:rsidRPr="009D3012" w:rsidRDefault="00B60186" w:rsidP="0056481D">
            <w:pPr>
              <w:widowControl w:val="0"/>
              <w:spacing w:after="0" w:line="240" w:lineRule="auto"/>
              <w:jc w:val="left"/>
              <w:rPr>
                <w:rFonts w:eastAsia="Times New Roman" w:cs="Arial"/>
                <w:lang w:val="en-US" w:eastAsia="fr-FR"/>
              </w:rPr>
            </w:pPr>
            <w:r w:rsidRPr="009D3012">
              <w:rPr>
                <w:rFonts w:eastAsia="Times New Roman" w:cs="Arial"/>
                <w:lang w:val="en-US" w:eastAsia="fr-FR"/>
              </w:rPr>
              <w:t>Increase of bond strength between cracks resulting from  clamping from curvature of the beam</w:t>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p>
        </w:tc>
      </w:tr>
      <w:tr w:rsidR="00B60186" w:rsidRPr="001455DC" w14:paraId="35C56EE6" w14:textId="77777777" w:rsidTr="009D3012">
        <w:trPr>
          <w:trHeight w:val="300"/>
        </w:trPr>
        <w:tc>
          <w:tcPr>
            <w:tcW w:w="1526" w:type="dxa"/>
            <w:tcBorders>
              <w:top w:val="nil"/>
              <w:left w:val="nil"/>
              <w:bottom w:val="nil"/>
              <w:right w:val="nil"/>
            </w:tcBorders>
            <w:shd w:val="clear" w:color="auto" w:fill="auto"/>
          </w:tcPr>
          <w:p w14:paraId="12E1CD52" w14:textId="6908B0AF" w:rsidR="00B60186" w:rsidRPr="009D3012" w:rsidRDefault="001E7ABA" w:rsidP="00046D2A">
            <w:pPr>
              <w:widowControl w:val="0"/>
              <w:tabs>
                <w:tab w:val="center" w:pos="660"/>
                <w:tab w:val="right" w:pos="1320"/>
              </w:tabs>
              <w:spacing w:after="0" w:line="240" w:lineRule="auto"/>
              <w:jc w:val="left"/>
              <w:rPr>
                <w:rFonts w:eastAsia="Times New Roman" w:cs="Arial"/>
                <w:lang w:val="en-US" w:eastAsia="fr-FR"/>
              </w:rPr>
            </w:pPr>
            <w:r w:rsidRPr="00046D2A">
              <w:rPr>
                <w:position w:val="-14"/>
                <w:lang w:val="en-GB"/>
              </w:rPr>
              <w:object w:dxaOrig="540" w:dyaOrig="380" w14:anchorId="1762FF06">
                <v:shape id="_x0000_i1057" type="#_x0000_t75" style="width:27pt;height:18.75pt" o:ole="">
                  <v:imagedata r:id="rId84" o:title=""/>
                </v:shape>
                <o:OLEObject Type="Embed" ProgID="Equation.DSMT4" ShapeID="_x0000_i1057" DrawAspect="Content" ObjectID="_1692169399" r:id="rId85"/>
              </w:object>
            </w:r>
          </w:p>
        </w:tc>
        <w:tc>
          <w:tcPr>
            <w:tcW w:w="8397" w:type="dxa"/>
            <w:tcBorders>
              <w:top w:val="nil"/>
              <w:left w:val="nil"/>
              <w:bottom w:val="nil"/>
              <w:right w:val="nil"/>
            </w:tcBorders>
            <w:shd w:val="clear" w:color="auto" w:fill="auto"/>
          </w:tcPr>
          <w:p w14:paraId="7B8E8912" w14:textId="77777777" w:rsidR="00B60186" w:rsidRPr="009D3012" w:rsidRDefault="00B60186" w:rsidP="0056481D">
            <w:pPr>
              <w:widowControl w:val="0"/>
              <w:spacing w:after="0" w:line="240" w:lineRule="auto"/>
              <w:jc w:val="left"/>
              <w:rPr>
                <w:rFonts w:eastAsia="Times New Roman" w:cs="Arial"/>
                <w:lang w:val="en-US" w:eastAsia="fr-FR"/>
              </w:rPr>
            </w:pPr>
            <w:r w:rsidRPr="009D3012">
              <w:rPr>
                <w:rFonts w:eastAsia="Times New Roman" w:cs="Arial"/>
                <w:lang w:val="en-US" w:eastAsia="fr-FR"/>
              </w:rPr>
              <w:t>Increase of bond strength between cracks resulting from bond friction</w:t>
            </w:r>
            <w:r w:rsidRPr="009D3012">
              <w:rPr>
                <w:rFonts w:eastAsia="Times New Roman" w:cs="Arial"/>
                <w:lang w:val="en-US" w:eastAsia="fr-FR"/>
              </w:rPr>
              <w:tab/>
            </w:r>
            <w:r w:rsidRPr="009D3012">
              <w:rPr>
                <w:rFonts w:eastAsia="Times New Roman" w:cs="Arial"/>
                <w:lang w:val="en-US" w:eastAsia="fr-FR"/>
              </w:rPr>
              <w:tab/>
            </w:r>
          </w:p>
        </w:tc>
      </w:tr>
      <w:tr w:rsidR="00B60186" w:rsidRPr="001455DC" w14:paraId="5223F2E5" w14:textId="77777777" w:rsidTr="009D3012">
        <w:trPr>
          <w:trHeight w:val="300"/>
        </w:trPr>
        <w:tc>
          <w:tcPr>
            <w:tcW w:w="1526" w:type="dxa"/>
            <w:tcBorders>
              <w:top w:val="nil"/>
              <w:left w:val="nil"/>
              <w:bottom w:val="nil"/>
              <w:right w:val="nil"/>
            </w:tcBorders>
            <w:shd w:val="clear" w:color="auto" w:fill="auto"/>
          </w:tcPr>
          <w:p w14:paraId="723C2DB1" w14:textId="0D6F09A3" w:rsidR="00B60186" w:rsidRPr="009D3012" w:rsidRDefault="001E7ABA" w:rsidP="00046D2A">
            <w:pPr>
              <w:widowControl w:val="0"/>
              <w:tabs>
                <w:tab w:val="center" w:pos="660"/>
                <w:tab w:val="right" w:pos="1320"/>
              </w:tabs>
              <w:spacing w:after="0" w:line="240" w:lineRule="auto"/>
              <w:jc w:val="left"/>
              <w:rPr>
                <w:rFonts w:cs="Arial"/>
                <w:lang w:val="en-US" w:eastAsia="fr-FR"/>
              </w:rPr>
            </w:pPr>
            <w:r w:rsidRPr="00046D2A">
              <w:rPr>
                <w:position w:val="-12"/>
                <w:lang w:val="en-GB"/>
              </w:rPr>
              <w:object w:dxaOrig="520" w:dyaOrig="360" w14:anchorId="0BF5A5A4">
                <v:shape id="_x0000_i1058" type="#_x0000_t75" style="width:27pt;height:18.75pt" o:ole="">
                  <v:imagedata r:id="rId86" o:title=""/>
                </v:shape>
                <o:OLEObject Type="Embed" ProgID="Equation.DSMT4" ShapeID="_x0000_i1058" DrawAspect="Content" ObjectID="_1692169400" r:id="rId87"/>
              </w:object>
            </w:r>
          </w:p>
        </w:tc>
        <w:tc>
          <w:tcPr>
            <w:tcW w:w="8397" w:type="dxa"/>
            <w:tcBorders>
              <w:top w:val="nil"/>
              <w:left w:val="nil"/>
              <w:bottom w:val="nil"/>
              <w:right w:val="nil"/>
            </w:tcBorders>
            <w:shd w:val="clear" w:color="auto" w:fill="auto"/>
          </w:tcPr>
          <w:p w14:paraId="09B1CBBA" w14:textId="77777777" w:rsidR="00B60186" w:rsidRPr="009D3012" w:rsidRDefault="00B60186" w:rsidP="0056481D">
            <w:pPr>
              <w:widowControl w:val="0"/>
              <w:spacing w:after="0" w:line="240" w:lineRule="auto"/>
              <w:jc w:val="left"/>
              <w:rPr>
                <w:rFonts w:eastAsia="Times New Roman" w:cs="Arial"/>
                <w:lang w:val="en-US" w:eastAsia="fr-FR"/>
              </w:rPr>
            </w:pPr>
            <w:r w:rsidRPr="009D3012">
              <w:rPr>
                <w:rFonts w:eastAsia="Times New Roman" w:cs="Arial"/>
                <w:lang w:val="en-US" w:eastAsia="fr-FR"/>
              </w:rPr>
              <w:t>Bond resistance between adjacent cracks</w:t>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p>
        </w:tc>
      </w:tr>
      <w:tr w:rsidR="00B60186" w:rsidRPr="001455DC" w14:paraId="68CFC5F9" w14:textId="77777777" w:rsidTr="009D3012">
        <w:trPr>
          <w:trHeight w:val="300"/>
        </w:trPr>
        <w:tc>
          <w:tcPr>
            <w:tcW w:w="1526" w:type="dxa"/>
            <w:tcBorders>
              <w:top w:val="nil"/>
              <w:left w:val="nil"/>
              <w:bottom w:val="nil"/>
              <w:right w:val="nil"/>
            </w:tcBorders>
            <w:shd w:val="clear" w:color="auto" w:fill="auto"/>
          </w:tcPr>
          <w:p w14:paraId="482A157B" w14:textId="45464748" w:rsidR="00B60186" w:rsidRPr="009D3012" w:rsidRDefault="00046D2A" w:rsidP="00046D2A">
            <w:pPr>
              <w:widowControl w:val="0"/>
              <w:tabs>
                <w:tab w:val="center" w:pos="660"/>
                <w:tab w:val="right" w:pos="1320"/>
              </w:tabs>
              <w:spacing w:after="0" w:line="240" w:lineRule="auto"/>
              <w:rPr>
                <w:rFonts w:eastAsia="Times New Roman" w:cs="Arial"/>
                <w:i/>
                <w:lang w:val="en-US" w:eastAsia="fr-FR"/>
              </w:rPr>
            </w:pPr>
            <w:r w:rsidRPr="00046D2A">
              <w:rPr>
                <w:position w:val="-12"/>
                <w:lang w:val="en-GB"/>
              </w:rPr>
              <w:object w:dxaOrig="260" w:dyaOrig="360" w14:anchorId="224FBB3C">
                <v:shape id="_x0000_i1059" type="#_x0000_t75" style="width:13.5pt;height:18.75pt" o:ole="">
                  <v:imagedata r:id="rId88" o:title=""/>
                </v:shape>
                <o:OLEObject Type="Embed" ProgID="Equation.DSMT4" ShapeID="_x0000_i1059" DrawAspect="Content" ObjectID="_1692169401" r:id="rId89"/>
              </w:object>
            </w:r>
          </w:p>
        </w:tc>
        <w:tc>
          <w:tcPr>
            <w:tcW w:w="8397" w:type="dxa"/>
            <w:tcBorders>
              <w:top w:val="nil"/>
              <w:left w:val="nil"/>
              <w:bottom w:val="nil"/>
              <w:right w:val="nil"/>
            </w:tcBorders>
            <w:shd w:val="clear" w:color="auto" w:fill="auto"/>
          </w:tcPr>
          <w:p w14:paraId="1186E4CE" w14:textId="77777777" w:rsidR="00B60186" w:rsidRPr="009D3012" w:rsidRDefault="00B60186" w:rsidP="0056481D">
            <w:pPr>
              <w:widowControl w:val="0"/>
              <w:spacing w:after="0" w:line="240" w:lineRule="auto"/>
              <w:jc w:val="left"/>
              <w:rPr>
                <w:rFonts w:eastAsia="Times New Roman" w:cs="Arial"/>
                <w:spacing w:val="-1"/>
                <w:lang w:val="en-US"/>
              </w:rPr>
            </w:pPr>
            <w:r w:rsidRPr="009D3012">
              <w:rPr>
                <w:rFonts w:eastAsia="Times New Roman" w:cs="Arial"/>
                <w:spacing w:val="-1"/>
                <w:lang w:val="en-US"/>
              </w:rPr>
              <w:t>Factor considering member width utilised for bond</w:t>
            </w:r>
            <w:r w:rsidRPr="009D3012">
              <w:rPr>
                <w:rFonts w:eastAsia="Times New Roman" w:cs="Arial"/>
                <w:spacing w:val="-1"/>
                <w:lang w:val="en-US"/>
              </w:rPr>
              <w:tab/>
            </w:r>
            <w:r w:rsidRPr="009D3012">
              <w:rPr>
                <w:rFonts w:eastAsia="Times New Roman" w:cs="Arial"/>
                <w:spacing w:val="-1"/>
                <w:lang w:val="en-US"/>
              </w:rPr>
              <w:tab/>
            </w:r>
            <w:r w:rsidRPr="009D3012">
              <w:rPr>
                <w:rFonts w:eastAsia="Times New Roman" w:cs="Arial"/>
                <w:spacing w:val="-1"/>
                <w:lang w:val="en-US"/>
              </w:rPr>
              <w:tab/>
            </w:r>
            <w:r w:rsidRPr="009D3012">
              <w:rPr>
                <w:rFonts w:eastAsia="Times New Roman" w:cs="Arial"/>
                <w:spacing w:val="-1"/>
                <w:lang w:val="en-US"/>
              </w:rPr>
              <w:tab/>
            </w:r>
          </w:p>
        </w:tc>
      </w:tr>
      <w:tr w:rsidR="00B60186" w:rsidRPr="001455DC" w14:paraId="56D80D01" w14:textId="77777777" w:rsidTr="009D3012">
        <w:trPr>
          <w:trHeight w:val="300"/>
        </w:trPr>
        <w:tc>
          <w:tcPr>
            <w:tcW w:w="1526" w:type="dxa"/>
            <w:tcBorders>
              <w:top w:val="nil"/>
              <w:left w:val="nil"/>
              <w:bottom w:val="nil"/>
              <w:right w:val="nil"/>
            </w:tcBorders>
            <w:shd w:val="clear" w:color="auto" w:fill="auto"/>
          </w:tcPr>
          <w:p w14:paraId="05EABE99" w14:textId="342962B5" w:rsidR="00B60186" w:rsidRPr="009D3012" w:rsidRDefault="00046D2A" w:rsidP="00046D2A">
            <w:pPr>
              <w:widowControl w:val="0"/>
              <w:tabs>
                <w:tab w:val="center" w:pos="660"/>
                <w:tab w:val="right" w:pos="1320"/>
              </w:tabs>
              <w:spacing w:after="0" w:line="240" w:lineRule="auto"/>
              <w:rPr>
                <w:rFonts w:eastAsia="Times New Roman" w:cs="Arial"/>
                <w:i/>
                <w:lang w:val="en-US" w:eastAsia="fr-FR"/>
              </w:rPr>
            </w:pPr>
            <w:r w:rsidRPr="00046D2A">
              <w:rPr>
                <w:position w:val="-12"/>
                <w:lang w:val="en-GB"/>
              </w:rPr>
              <w:object w:dxaOrig="260" w:dyaOrig="360" w14:anchorId="64C0B2EC">
                <v:shape id="_x0000_i1060" type="#_x0000_t75" style="width:13.5pt;height:18.75pt" o:ole="">
                  <v:imagedata r:id="rId90" o:title=""/>
                </v:shape>
                <o:OLEObject Type="Embed" ProgID="Equation.DSMT4" ShapeID="_x0000_i1060" DrawAspect="Content" ObjectID="_1692169402" r:id="rId91"/>
              </w:object>
            </w:r>
          </w:p>
        </w:tc>
        <w:tc>
          <w:tcPr>
            <w:tcW w:w="8397" w:type="dxa"/>
            <w:tcBorders>
              <w:top w:val="nil"/>
              <w:left w:val="nil"/>
              <w:bottom w:val="nil"/>
              <w:right w:val="nil"/>
            </w:tcBorders>
            <w:shd w:val="clear" w:color="auto" w:fill="auto"/>
          </w:tcPr>
          <w:p w14:paraId="199E9E98" w14:textId="77777777" w:rsidR="00B60186" w:rsidRPr="009D3012" w:rsidRDefault="00B60186" w:rsidP="0056481D">
            <w:pPr>
              <w:widowControl w:val="0"/>
              <w:spacing w:after="0" w:line="240" w:lineRule="auto"/>
              <w:jc w:val="left"/>
              <w:rPr>
                <w:rFonts w:eastAsia="Times New Roman" w:cs="Arial"/>
                <w:spacing w:val="-1"/>
                <w:lang w:val="en-US"/>
              </w:rPr>
            </w:pPr>
            <w:r w:rsidRPr="009D3012">
              <w:rPr>
                <w:rFonts w:eastAsia="Times New Roman" w:cs="Arial"/>
                <w:lang w:val="en-US" w:eastAsia="fr-FR"/>
              </w:rPr>
              <w:t>Confinement effectiveness factor for rectangular columns</w:t>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p>
        </w:tc>
      </w:tr>
      <w:tr w:rsidR="00B60186" w:rsidRPr="001455DC" w14:paraId="7EAFB741" w14:textId="77777777" w:rsidTr="009D3012">
        <w:trPr>
          <w:trHeight w:val="300"/>
        </w:trPr>
        <w:tc>
          <w:tcPr>
            <w:tcW w:w="1526" w:type="dxa"/>
            <w:tcBorders>
              <w:top w:val="nil"/>
              <w:left w:val="nil"/>
              <w:bottom w:val="nil"/>
              <w:right w:val="nil"/>
            </w:tcBorders>
            <w:shd w:val="clear" w:color="auto" w:fill="auto"/>
          </w:tcPr>
          <w:p w14:paraId="3977CFFB" w14:textId="32BC9385" w:rsidR="00B60186" w:rsidRPr="009D3012" w:rsidRDefault="00046D2A" w:rsidP="00046D2A">
            <w:pPr>
              <w:widowControl w:val="0"/>
              <w:tabs>
                <w:tab w:val="center" w:pos="660"/>
                <w:tab w:val="right" w:pos="1320"/>
              </w:tabs>
              <w:spacing w:after="0" w:line="240" w:lineRule="auto"/>
              <w:rPr>
                <w:rFonts w:cs="Arial"/>
                <w:lang w:val="en-US"/>
              </w:rPr>
            </w:pPr>
            <w:r w:rsidRPr="00046D2A">
              <w:rPr>
                <w:position w:val="-12"/>
                <w:lang w:val="en-GB"/>
              </w:rPr>
              <w:object w:dxaOrig="260" w:dyaOrig="360" w14:anchorId="5C477099">
                <v:shape id="_x0000_i1061" type="#_x0000_t75" style="width:13.5pt;height:18.75pt" o:ole="">
                  <v:imagedata r:id="rId92" o:title=""/>
                </v:shape>
                <o:OLEObject Type="Embed" ProgID="Equation.DSMT4" ShapeID="_x0000_i1061" DrawAspect="Content" ObjectID="_1692169403" r:id="rId93"/>
              </w:object>
            </w:r>
          </w:p>
        </w:tc>
        <w:tc>
          <w:tcPr>
            <w:tcW w:w="8397" w:type="dxa"/>
            <w:tcBorders>
              <w:top w:val="nil"/>
              <w:left w:val="nil"/>
              <w:bottom w:val="nil"/>
              <w:right w:val="nil"/>
            </w:tcBorders>
            <w:shd w:val="clear" w:color="auto" w:fill="auto"/>
          </w:tcPr>
          <w:p w14:paraId="4472AA3F" w14:textId="77777777" w:rsidR="00B60186" w:rsidRPr="009D3012" w:rsidRDefault="00B60186" w:rsidP="0056481D">
            <w:pPr>
              <w:widowControl w:val="0"/>
              <w:spacing w:after="0" w:line="240" w:lineRule="auto"/>
              <w:jc w:val="left"/>
              <w:rPr>
                <w:rFonts w:eastAsia="Times New Roman" w:cs="Arial"/>
                <w:lang w:val="en-US" w:eastAsia="fr-FR"/>
              </w:rPr>
            </w:pPr>
            <w:r w:rsidRPr="009D3012">
              <w:rPr>
                <w:rFonts w:eastAsia="Times New Roman" w:cs="Arial"/>
                <w:lang w:val="en-US" w:eastAsia="fr-FR"/>
              </w:rPr>
              <w:t>Confinement effectiveness factor for helical wrapping</w:t>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p>
        </w:tc>
      </w:tr>
      <w:tr w:rsidR="00B60186" w:rsidRPr="001455DC" w14:paraId="01CD2D31" w14:textId="77777777" w:rsidTr="009D3012">
        <w:trPr>
          <w:trHeight w:val="300"/>
        </w:trPr>
        <w:tc>
          <w:tcPr>
            <w:tcW w:w="1526" w:type="dxa"/>
            <w:tcBorders>
              <w:top w:val="nil"/>
              <w:left w:val="nil"/>
              <w:bottom w:val="nil"/>
              <w:right w:val="nil"/>
            </w:tcBorders>
            <w:shd w:val="clear" w:color="auto" w:fill="auto"/>
          </w:tcPr>
          <w:p w14:paraId="36162E54" w14:textId="07742006" w:rsidR="00B60186" w:rsidRPr="009D3012" w:rsidRDefault="00046D2A" w:rsidP="00046D2A">
            <w:pPr>
              <w:widowControl w:val="0"/>
              <w:tabs>
                <w:tab w:val="center" w:pos="660"/>
                <w:tab w:val="right" w:pos="1320"/>
              </w:tabs>
              <w:spacing w:after="0" w:line="240" w:lineRule="auto"/>
              <w:rPr>
                <w:rFonts w:cs="Arial"/>
                <w:lang w:val="en-US"/>
              </w:rPr>
            </w:pPr>
            <w:r w:rsidRPr="00046D2A">
              <w:rPr>
                <w:position w:val="-12"/>
                <w:lang w:val="en-GB"/>
              </w:rPr>
              <w:object w:dxaOrig="320" w:dyaOrig="360" w14:anchorId="6EE6D0DB">
                <v:shape id="_x0000_i1062" type="#_x0000_t75" style="width:15.75pt;height:18.75pt" o:ole="">
                  <v:imagedata r:id="rId94" o:title=""/>
                </v:shape>
                <o:OLEObject Type="Embed" ProgID="Equation.DSMT4" ShapeID="_x0000_i1062" DrawAspect="Content" ObjectID="_1692169404" r:id="rId95"/>
              </w:object>
            </w:r>
          </w:p>
        </w:tc>
        <w:tc>
          <w:tcPr>
            <w:tcW w:w="8397" w:type="dxa"/>
            <w:tcBorders>
              <w:top w:val="nil"/>
              <w:left w:val="nil"/>
              <w:bottom w:val="nil"/>
              <w:right w:val="nil"/>
            </w:tcBorders>
            <w:shd w:val="clear" w:color="auto" w:fill="auto"/>
          </w:tcPr>
          <w:p w14:paraId="0BFC0DC8" w14:textId="77777777" w:rsidR="00B60186" w:rsidRPr="009D3012" w:rsidRDefault="00B60186" w:rsidP="0056481D">
            <w:pPr>
              <w:widowControl w:val="0"/>
              <w:spacing w:after="0" w:line="240" w:lineRule="auto"/>
              <w:jc w:val="left"/>
              <w:rPr>
                <w:rFonts w:eastAsia="Times New Roman" w:cs="Arial"/>
                <w:lang w:val="en-US" w:eastAsia="fr-FR"/>
              </w:rPr>
            </w:pPr>
            <w:r w:rsidRPr="009D3012">
              <w:rPr>
                <w:rFonts w:eastAsia="Times New Roman" w:cs="Arial"/>
                <w:spacing w:val="-1"/>
                <w:lang w:val="en-US"/>
              </w:rPr>
              <w:t>Exponent for determining factor for stress cycles</w:t>
            </w:r>
            <w:r w:rsidRPr="009D3012">
              <w:rPr>
                <w:rFonts w:eastAsia="Times New Roman" w:cs="Arial"/>
                <w:spacing w:val="-1"/>
                <w:lang w:val="en-US"/>
              </w:rPr>
              <w:tab/>
            </w:r>
            <w:r w:rsidRPr="009D3012">
              <w:rPr>
                <w:rFonts w:eastAsia="Times New Roman" w:cs="Arial"/>
                <w:spacing w:val="-1"/>
                <w:lang w:val="en-US"/>
              </w:rPr>
              <w:tab/>
            </w:r>
            <w:r w:rsidRPr="009D3012">
              <w:rPr>
                <w:rFonts w:eastAsia="Times New Roman" w:cs="Arial"/>
                <w:spacing w:val="-1"/>
                <w:lang w:val="en-US"/>
              </w:rPr>
              <w:tab/>
            </w:r>
            <w:r w:rsidRPr="009D3012">
              <w:rPr>
                <w:rFonts w:eastAsia="Times New Roman" w:cs="Arial"/>
                <w:spacing w:val="-1"/>
                <w:lang w:val="en-US"/>
              </w:rPr>
              <w:tab/>
            </w:r>
            <w:r w:rsidRPr="009D3012">
              <w:rPr>
                <w:rFonts w:eastAsia="Times New Roman" w:cs="Arial"/>
                <w:spacing w:val="-1"/>
                <w:lang w:val="en-US"/>
              </w:rPr>
              <w:tab/>
            </w:r>
          </w:p>
        </w:tc>
      </w:tr>
      <w:tr w:rsidR="00B60186" w:rsidRPr="001455DC" w14:paraId="78BFFCC4" w14:textId="77777777" w:rsidTr="009D3012">
        <w:trPr>
          <w:trHeight w:val="188"/>
        </w:trPr>
        <w:tc>
          <w:tcPr>
            <w:tcW w:w="1526" w:type="dxa"/>
            <w:tcBorders>
              <w:top w:val="nil"/>
              <w:left w:val="nil"/>
              <w:bottom w:val="nil"/>
              <w:right w:val="nil"/>
            </w:tcBorders>
            <w:shd w:val="clear" w:color="auto" w:fill="auto"/>
          </w:tcPr>
          <w:p w14:paraId="374B50DF" w14:textId="0CFD3D55" w:rsidR="00B60186" w:rsidRPr="009D3012" w:rsidRDefault="00046D2A" w:rsidP="00046D2A">
            <w:pPr>
              <w:widowControl w:val="0"/>
              <w:tabs>
                <w:tab w:val="center" w:pos="660"/>
                <w:tab w:val="right" w:pos="1320"/>
              </w:tabs>
              <w:spacing w:after="0" w:line="240" w:lineRule="auto"/>
              <w:rPr>
                <w:rFonts w:cs="Arial"/>
                <w:lang w:val="en-US"/>
              </w:rPr>
            </w:pPr>
            <w:r w:rsidRPr="00046D2A">
              <w:rPr>
                <w:position w:val="-12"/>
                <w:lang w:val="en-GB"/>
              </w:rPr>
              <w:object w:dxaOrig="240" w:dyaOrig="360" w14:anchorId="3F35FC22">
                <v:shape id="_x0000_i1063" type="#_x0000_t75" style="width:12pt;height:18.75pt" o:ole="">
                  <v:imagedata r:id="rId96" o:title=""/>
                </v:shape>
                <o:OLEObject Type="Embed" ProgID="Equation.DSMT4" ShapeID="_x0000_i1063" DrawAspect="Content" ObjectID="_1692169405" r:id="rId97"/>
              </w:object>
            </w:r>
          </w:p>
        </w:tc>
        <w:tc>
          <w:tcPr>
            <w:tcW w:w="8397" w:type="dxa"/>
            <w:tcBorders>
              <w:top w:val="nil"/>
              <w:left w:val="nil"/>
              <w:bottom w:val="nil"/>
              <w:right w:val="nil"/>
            </w:tcBorders>
            <w:shd w:val="clear" w:color="auto" w:fill="auto"/>
          </w:tcPr>
          <w:p w14:paraId="5F6A4AF6" w14:textId="77777777" w:rsidR="00B60186" w:rsidRPr="009D3012" w:rsidRDefault="00B60186" w:rsidP="0056481D">
            <w:pPr>
              <w:widowControl w:val="0"/>
              <w:spacing w:after="0" w:line="240" w:lineRule="auto"/>
              <w:jc w:val="left"/>
              <w:rPr>
                <w:rFonts w:eastAsia="Times New Roman" w:cs="Arial"/>
                <w:spacing w:val="-1"/>
                <w:lang w:val="en-US"/>
              </w:rPr>
            </w:pPr>
            <w:r w:rsidRPr="009D3012">
              <w:rPr>
                <w:rFonts w:eastAsia="Times New Roman" w:cs="Arial"/>
                <w:spacing w:val="-1"/>
                <w:lang w:val="en-US"/>
              </w:rPr>
              <w:t>Factor considering corner radius</w:t>
            </w:r>
            <w:r w:rsidRPr="009D3012">
              <w:rPr>
                <w:rFonts w:eastAsia="Times New Roman" w:cs="Arial"/>
                <w:spacing w:val="-1"/>
                <w:lang w:val="en-US"/>
              </w:rPr>
              <w:tab/>
            </w:r>
            <w:r w:rsidRPr="009D3012">
              <w:rPr>
                <w:rFonts w:eastAsia="Times New Roman" w:cs="Arial"/>
                <w:spacing w:val="-1"/>
                <w:lang w:val="en-US"/>
              </w:rPr>
              <w:tab/>
            </w:r>
            <w:r w:rsidRPr="009D3012">
              <w:rPr>
                <w:rFonts w:eastAsia="Times New Roman" w:cs="Arial"/>
                <w:spacing w:val="-1"/>
                <w:lang w:val="en-US"/>
              </w:rPr>
              <w:tab/>
            </w:r>
          </w:p>
        </w:tc>
      </w:tr>
      <w:tr w:rsidR="00B60186" w:rsidRPr="001455DC" w14:paraId="79A0E32F" w14:textId="77777777" w:rsidTr="009D3012">
        <w:trPr>
          <w:trHeight w:val="300"/>
        </w:trPr>
        <w:tc>
          <w:tcPr>
            <w:tcW w:w="1526" w:type="dxa"/>
            <w:tcBorders>
              <w:top w:val="nil"/>
              <w:left w:val="nil"/>
              <w:bottom w:val="nil"/>
              <w:right w:val="nil"/>
            </w:tcBorders>
            <w:shd w:val="clear" w:color="auto" w:fill="auto"/>
          </w:tcPr>
          <w:p w14:paraId="7850D586" w14:textId="6A268D5D" w:rsidR="00B60186" w:rsidRPr="009D3012" w:rsidRDefault="00046D2A" w:rsidP="00046D2A">
            <w:pPr>
              <w:widowControl w:val="0"/>
              <w:tabs>
                <w:tab w:val="center" w:pos="660"/>
                <w:tab w:val="right" w:pos="1320"/>
              </w:tabs>
              <w:spacing w:after="0" w:line="240" w:lineRule="auto"/>
              <w:rPr>
                <w:rFonts w:eastAsia="Times New Roman" w:cs="Arial"/>
                <w:i/>
                <w:lang w:val="en-US" w:eastAsia="fr-FR"/>
              </w:rPr>
            </w:pPr>
            <w:r w:rsidRPr="00046D2A">
              <w:rPr>
                <w:position w:val="-14"/>
                <w:lang w:val="en-GB"/>
              </w:rPr>
              <w:object w:dxaOrig="540" w:dyaOrig="380" w14:anchorId="2E44982F">
                <v:shape id="_x0000_i1064" type="#_x0000_t75" style="width:27pt;height:18.75pt" o:ole="">
                  <v:imagedata r:id="rId98" o:title=""/>
                </v:shape>
                <o:OLEObject Type="Embed" ProgID="Equation.DSMT4" ShapeID="_x0000_i1064" DrawAspect="Content" ObjectID="_1692169406" r:id="rId99"/>
              </w:object>
            </w:r>
          </w:p>
        </w:tc>
        <w:tc>
          <w:tcPr>
            <w:tcW w:w="8397" w:type="dxa"/>
            <w:tcBorders>
              <w:top w:val="nil"/>
              <w:left w:val="nil"/>
              <w:bottom w:val="nil"/>
              <w:right w:val="nil"/>
            </w:tcBorders>
            <w:shd w:val="clear" w:color="auto" w:fill="auto"/>
          </w:tcPr>
          <w:p w14:paraId="501C6C4A" w14:textId="77777777" w:rsidR="00B60186" w:rsidRPr="009D3012" w:rsidRDefault="00B60186" w:rsidP="0056481D">
            <w:pPr>
              <w:widowControl w:val="0"/>
              <w:spacing w:after="0" w:line="240" w:lineRule="auto"/>
              <w:jc w:val="left"/>
              <w:rPr>
                <w:rFonts w:eastAsia="Times New Roman" w:cs="Arial"/>
                <w:spacing w:val="-1"/>
                <w:lang w:val="en-US"/>
              </w:rPr>
            </w:pPr>
            <w:r w:rsidRPr="009D3012">
              <w:rPr>
                <w:rFonts w:eastAsia="Times New Roman" w:cs="Arial"/>
                <w:lang w:val="en-US" w:eastAsia="fr-FR"/>
              </w:rPr>
              <w:t>Product-specific system factor</w:t>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p>
        </w:tc>
      </w:tr>
      <w:tr w:rsidR="00B60186" w:rsidRPr="001455DC" w14:paraId="27B164C0" w14:textId="77777777" w:rsidTr="009D3012">
        <w:trPr>
          <w:trHeight w:val="300"/>
        </w:trPr>
        <w:tc>
          <w:tcPr>
            <w:tcW w:w="1526" w:type="dxa"/>
            <w:tcBorders>
              <w:top w:val="nil"/>
              <w:left w:val="nil"/>
              <w:bottom w:val="nil"/>
              <w:right w:val="nil"/>
            </w:tcBorders>
            <w:shd w:val="clear" w:color="auto" w:fill="auto"/>
          </w:tcPr>
          <w:p w14:paraId="2C38691A" w14:textId="640A1E6C" w:rsidR="00B60186" w:rsidRPr="009D3012" w:rsidRDefault="00046D2A" w:rsidP="00046D2A">
            <w:pPr>
              <w:widowControl w:val="0"/>
              <w:tabs>
                <w:tab w:val="center" w:pos="660"/>
                <w:tab w:val="right" w:pos="1320"/>
              </w:tabs>
              <w:spacing w:after="0" w:line="240" w:lineRule="auto"/>
              <w:rPr>
                <w:rFonts w:eastAsia="Times New Roman" w:cs="Arial"/>
                <w:i/>
                <w:lang w:val="en-US" w:eastAsia="fr-FR"/>
              </w:rPr>
            </w:pPr>
            <w:r w:rsidRPr="00046D2A">
              <w:rPr>
                <w:position w:val="-14"/>
                <w:lang w:val="en-GB"/>
              </w:rPr>
              <w:object w:dxaOrig="560" w:dyaOrig="380" w14:anchorId="79DE9800">
                <v:shape id="_x0000_i1065" type="#_x0000_t75" style="width:27.75pt;height:18.75pt" o:ole="">
                  <v:imagedata r:id="rId100" o:title=""/>
                </v:shape>
                <o:OLEObject Type="Embed" ProgID="Equation.DSMT4" ShapeID="_x0000_i1065" DrawAspect="Content" ObjectID="_1692169407" r:id="rId101"/>
              </w:object>
            </w:r>
          </w:p>
        </w:tc>
        <w:tc>
          <w:tcPr>
            <w:tcW w:w="8397" w:type="dxa"/>
            <w:tcBorders>
              <w:top w:val="nil"/>
              <w:left w:val="nil"/>
              <w:bottom w:val="nil"/>
              <w:right w:val="nil"/>
            </w:tcBorders>
            <w:shd w:val="clear" w:color="auto" w:fill="auto"/>
          </w:tcPr>
          <w:p w14:paraId="0B24DAFF" w14:textId="77777777" w:rsidR="00B60186" w:rsidRPr="009D3012" w:rsidRDefault="00B60186" w:rsidP="0056481D">
            <w:pPr>
              <w:widowControl w:val="0"/>
              <w:spacing w:after="0" w:line="240" w:lineRule="auto"/>
              <w:jc w:val="left"/>
              <w:rPr>
                <w:rFonts w:eastAsia="Times New Roman" w:cs="Arial"/>
                <w:spacing w:val="-1"/>
                <w:lang w:val="en-US"/>
              </w:rPr>
            </w:pPr>
            <w:r w:rsidRPr="009D3012">
              <w:rPr>
                <w:rFonts w:eastAsia="Times New Roman" w:cs="Arial"/>
                <w:lang w:val="en-US" w:eastAsia="fr-FR"/>
              </w:rPr>
              <w:t>Product-specific system factor</w:t>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p>
        </w:tc>
      </w:tr>
      <w:tr w:rsidR="00B60186" w:rsidRPr="001455DC" w14:paraId="63C89038" w14:textId="77777777" w:rsidTr="009D3012">
        <w:trPr>
          <w:trHeight w:val="80"/>
        </w:trPr>
        <w:tc>
          <w:tcPr>
            <w:tcW w:w="1526" w:type="dxa"/>
            <w:tcBorders>
              <w:top w:val="nil"/>
              <w:left w:val="nil"/>
              <w:bottom w:val="nil"/>
              <w:right w:val="nil"/>
            </w:tcBorders>
            <w:shd w:val="clear" w:color="auto" w:fill="auto"/>
          </w:tcPr>
          <w:p w14:paraId="5B72DFE2" w14:textId="733DF5D0" w:rsidR="00B60186" w:rsidRPr="009D3012" w:rsidRDefault="00046D2A" w:rsidP="00046D2A">
            <w:pPr>
              <w:widowControl w:val="0"/>
              <w:tabs>
                <w:tab w:val="center" w:pos="660"/>
                <w:tab w:val="right" w:pos="1320"/>
              </w:tabs>
              <w:spacing w:after="0" w:line="240" w:lineRule="auto"/>
              <w:rPr>
                <w:rFonts w:eastAsia="Times New Roman" w:cs="Arial"/>
                <w:i/>
                <w:lang w:val="en-US" w:eastAsia="fr-FR"/>
              </w:rPr>
            </w:pPr>
            <w:r w:rsidRPr="00046D2A">
              <w:rPr>
                <w:position w:val="-12"/>
                <w:lang w:val="en-GB"/>
              </w:rPr>
              <w:object w:dxaOrig="279" w:dyaOrig="360" w14:anchorId="72D35814">
                <v:shape id="_x0000_i1066" type="#_x0000_t75" style="width:14.25pt;height:18.75pt" o:ole="">
                  <v:imagedata r:id="rId102" o:title=""/>
                </v:shape>
                <o:OLEObject Type="Embed" ProgID="Equation.DSMT4" ShapeID="_x0000_i1066" DrawAspect="Content" ObjectID="_1692169408" r:id="rId103"/>
              </w:object>
            </w:r>
          </w:p>
        </w:tc>
        <w:tc>
          <w:tcPr>
            <w:tcW w:w="8397" w:type="dxa"/>
            <w:tcBorders>
              <w:top w:val="nil"/>
              <w:left w:val="nil"/>
              <w:bottom w:val="nil"/>
              <w:right w:val="nil"/>
            </w:tcBorders>
            <w:shd w:val="clear" w:color="auto" w:fill="auto"/>
          </w:tcPr>
          <w:p w14:paraId="6103BB8A" w14:textId="77777777" w:rsidR="00B60186" w:rsidRPr="009D3012" w:rsidRDefault="00B60186" w:rsidP="0056481D">
            <w:pPr>
              <w:widowControl w:val="0"/>
              <w:spacing w:after="0" w:line="240" w:lineRule="auto"/>
              <w:jc w:val="left"/>
              <w:rPr>
                <w:rFonts w:eastAsia="Times New Roman" w:cs="Arial"/>
                <w:spacing w:val="-1"/>
                <w:lang w:val="en-US"/>
              </w:rPr>
            </w:pPr>
            <w:r w:rsidRPr="009D3012">
              <w:rPr>
                <w:rFonts w:eastAsia="Times New Roman" w:cs="Arial"/>
                <w:spacing w:val="-1"/>
                <w:lang w:val="en-US"/>
              </w:rPr>
              <w:t xml:space="preserve">Bond length of the adhesively bonded </w:t>
            </w:r>
            <w:r w:rsidRPr="009D3012">
              <w:rPr>
                <w:rFonts w:eastAsia="Times New Roman" w:cs="Arial"/>
                <w:lang w:val="en-US" w:eastAsia="fr-FR"/>
              </w:rPr>
              <w:t xml:space="preserve">CFRP </w:t>
            </w:r>
            <w:r w:rsidRPr="009D3012">
              <w:rPr>
                <w:rFonts w:eastAsia="Times New Roman" w:cs="Arial"/>
                <w:spacing w:val="-1"/>
                <w:lang w:val="en-US"/>
              </w:rPr>
              <w:t>reinforcement</w:t>
            </w:r>
            <w:r w:rsidRPr="009D3012">
              <w:rPr>
                <w:rFonts w:eastAsia="Times New Roman" w:cs="Arial"/>
                <w:spacing w:val="-1"/>
                <w:lang w:val="en-US"/>
              </w:rPr>
              <w:tab/>
            </w:r>
            <w:r w:rsidRPr="009D3012">
              <w:rPr>
                <w:rFonts w:eastAsia="Times New Roman" w:cs="Arial"/>
                <w:lang w:val="en-US" w:eastAsia="fr-FR"/>
              </w:rPr>
              <w:tab/>
            </w:r>
            <w:r w:rsidRPr="009D3012">
              <w:rPr>
                <w:rFonts w:eastAsia="Times New Roman" w:cs="Arial"/>
                <w:lang w:val="en-US" w:eastAsia="fr-FR"/>
              </w:rPr>
              <w:tab/>
            </w:r>
          </w:p>
        </w:tc>
      </w:tr>
      <w:tr w:rsidR="00B60186" w:rsidRPr="001455DC" w14:paraId="30EF1B2B" w14:textId="77777777" w:rsidTr="009D3012">
        <w:trPr>
          <w:trHeight w:val="300"/>
        </w:trPr>
        <w:tc>
          <w:tcPr>
            <w:tcW w:w="1526" w:type="dxa"/>
            <w:tcBorders>
              <w:top w:val="nil"/>
              <w:left w:val="nil"/>
              <w:bottom w:val="nil"/>
              <w:right w:val="nil"/>
            </w:tcBorders>
            <w:shd w:val="clear" w:color="auto" w:fill="auto"/>
          </w:tcPr>
          <w:p w14:paraId="2051ABEE" w14:textId="2B0C31F0" w:rsidR="00B60186" w:rsidRPr="009D3012" w:rsidRDefault="00046D2A" w:rsidP="00046D2A">
            <w:pPr>
              <w:widowControl w:val="0"/>
              <w:tabs>
                <w:tab w:val="center" w:pos="660"/>
                <w:tab w:val="right" w:pos="1320"/>
              </w:tabs>
              <w:spacing w:after="0" w:line="240" w:lineRule="auto"/>
              <w:rPr>
                <w:rFonts w:cs="Arial"/>
                <w:lang w:val="en-US"/>
              </w:rPr>
            </w:pPr>
            <w:r w:rsidRPr="00046D2A">
              <w:rPr>
                <w:position w:val="-14"/>
                <w:lang w:val="en-GB"/>
              </w:rPr>
              <w:object w:dxaOrig="560" w:dyaOrig="380" w14:anchorId="16786A50">
                <v:shape id="_x0000_i1067" type="#_x0000_t75" style="width:27.75pt;height:18.75pt" o:ole="">
                  <v:imagedata r:id="rId104" o:title=""/>
                </v:shape>
                <o:OLEObject Type="Embed" ProgID="Equation.DSMT4" ShapeID="_x0000_i1067" DrawAspect="Content" ObjectID="_1692169409" r:id="rId105"/>
              </w:object>
            </w:r>
          </w:p>
        </w:tc>
        <w:tc>
          <w:tcPr>
            <w:tcW w:w="8397" w:type="dxa"/>
            <w:tcBorders>
              <w:top w:val="nil"/>
              <w:left w:val="nil"/>
              <w:bottom w:val="nil"/>
              <w:right w:val="nil"/>
            </w:tcBorders>
            <w:shd w:val="clear" w:color="auto" w:fill="auto"/>
          </w:tcPr>
          <w:p w14:paraId="783D9F67" w14:textId="77777777" w:rsidR="00B60186" w:rsidRPr="009D3012" w:rsidRDefault="00B60186" w:rsidP="0056481D">
            <w:pPr>
              <w:widowControl w:val="0"/>
              <w:spacing w:after="0" w:line="240" w:lineRule="auto"/>
              <w:jc w:val="left"/>
              <w:rPr>
                <w:rFonts w:eastAsia="Times New Roman" w:cs="Arial"/>
                <w:spacing w:val="-1"/>
                <w:lang w:val="en-US"/>
              </w:rPr>
            </w:pPr>
            <w:r w:rsidRPr="009D3012">
              <w:rPr>
                <w:rFonts w:eastAsia="Times New Roman" w:cs="Arial"/>
                <w:bCs/>
                <w:lang w:val="en-US" w:eastAsia="fr-FR"/>
              </w:rPr>
              <w:t xml:space="preserve">Maximum value of effective bond length of ABR </w:t>
            </w:r>
            <w:r w:rsidRPr="009D3012">
              <w:rPr>
                <w:rFonts w:eastAsia="Times New Roman" w:cs="Arial"/>
                <w:lang w:val="en-US" w:eastAsia="fr-FR"/>
              </w:rPr>
              <w:t>CFRP</w:t>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p>
        </w:tc>
      </w:tr>
      <w:tr w:rsidR="00B60186" w:rsidRPr="001455DC" w14:paraId="41DE81AD" w14:textId="77777777" w:rsidTr="009D3012">
        <w:trPr>
          <w:trHeight w:val="68"/>
        </w:trPr>
        <w:tc>
          <w:tcPr>
            <w:tcW w:w="1526" w:type="dxa"/>
            <w:tcBorders>
              <w:top w:val="nil"/>
              <w:left w:val="nil"/>
              <w:bottom w:val="nil"/>
              <w:right w:val="nil"/>
            </w:tcBorders>
            <w:shd w:val="clear" w:color="auto" w:fill="auto"/>
          </w:tcPr>
          <w:p w14:paraId="5FF20960" w14:textId="0DE483F4" w:rsidR="00B60186" w:rsidRPr="009D3012" w:rsidRDefault="00046D2A" w:rsidP="00046D2A">
            <w:pPr>
              <w:widowControl w:val="0"/>
              <w:tabs>
                <w:tab w:val="center" w:pos="660"/>
                <w:tab w:val="right" w:pos="1320"/>
              </w:tabs>
              <w:spacing w:after="0" w:line="240" w:lineRule="auto"/>
              <w:rPr>
                <w:rFonts w:eastAsia="Times New Roman" w:cs="Arial"/>
                <w:i/>
                <w:lang w:val="en-US" w:eastAsia="fr-FR"/>
              </w:rPr>
            </w:pPr>
            <w:r w:rsidRPr="00046D2A">
              <w:rPr>
                <w:position w:val="-14"/>
                <w:lang w:val="en-GB"/>
              </w:rPr>
              <w:object w:dxaOrig="700" w:dyaOrig="380" w14:anchorId="6DEA7A07">
                <v:shape id="_x0000_i1068" type="#_x0000_t75" style="width:35.25pt;height:18.75pt" o:ole="">
                  <v:imagedata r:id="rId106" o:title=""/>
                </v:shape>
                <o:OLEObject Type="Embed" ProgID="Equation.DSMT4" ShapeID="_x0000_i1068" DrawAspect="Content" ObjectID="_1692169410" r:id="rId107"/>
              </w:object>
            </w:r>
          </w:p>
        </w:tc>
        <w:tc>
          <w:tcPr>
            <w:tcW w:w="8397" w:type="dxa"/>
            <w:tcBorders>
              <w:top w:val="nil"/>
              <w:left w:val="nil"/>
              <w:bottom w:val="nil"/>
              <w:right w:val="nil"/>
            </w:tcBorders>
            <w:shd w:val="clear" w:color="auto" w:fill="auto"/>
          </w:tcPr>
          <w:p w14:paraId="635E9006" w14:textId="77777777" w:rsidR="00B60186" w:rsidRPr="009D3012" w:rsidRDefault="00B60186" w:rsidP="0056481D">
            <w:pPr>
              <w:widowControl w:val="0"/>
              <w:spacing w:after="0" w:line="240" w:lineRule="auto"/>
              <w:jc w:val="left"/>
              <w:rPr>
                <w:rFonts w:eastAsia="Times New Roman" w:cs="Arial"/>
                <w:spacing w:val="-1"/>
                <w:lang w:val="en-US"/>
              </w:rPr>
            </w:pPr>
            <w:r w:rsidRPr="009D3012">
              <w:rPr>
                <w:rFonts w:eastAsia="Times New Roman" w:cs="Arial"/>
                <w:bCs/>
                <w:lang w:val="en-US" w:eastAsia="fr-FR"/>
              </w:rPr>
              <w:t>Characteristic value effective bond length</w:t>
            </w:r>
            <w:r w:rsidRPr="009D3012">
              <w:rPr>
                <w:rFonts w:eastAsia="Times New Roman" w:cs="Arial"/>
                <w:bCs/>
                <w:lang w:val="en-US" w:eastAsia="fr-FR"/>
              </w:rPr>
              <w:tab/>
            </w:r>
            <w:r w:rsidRPr="009D3012">
              <w:rPr>
                <w:rFonts w:eastAsia="Times New Roman" w:cs="Arial"/>
                <w:bCs/>
                <w:lang w:val="en-US" w:eastAsia="fr-FR"/>
              </w:rPr>
              <w:tab/>
            </w:r>
            <w:r w:rsidRPr="009D3012">
              <w:rPr>
                <w:rFonts w:eastAsia="Times New Roman" w:cs="Arial"/>
                <w:bCs/>
                <w:lang w:val="en-US" w:eastAsia="fr-FR"/>
              </w:rPr>
              <w:tab/>
            </w:r>
            <w:r w:rsidRPr="009D3012">
              <w:rPr>
                <w:rFonts w:eastAsia="Times New Roman" w:cs="Arial"/>
                <w:bCs/>
                <w:lang w:val="en-US" w:eastAsia="fr-FR"/>
              </w:rPr>
              <w:tab/>
            </w:r>
            <w:r w:rsidRPr="009D3012">
              <w:rPr>
                <w:rFonts w:eastAsia="Times New Roman" w:cs="Arial"/>
                <w:bCs/>
                <w:lang w:val="en-US" w:eastAsia="fr-FR"/>
              </w:rPr>
              <w:tab/>
            </w:r>
          </w:p>
        </w:tc>
      </w:tr>
      <w:tr w:rsidR="00B60186" w:rsidRPr="001455DC" w14:paraId="3600C0B2" w14:textId="77777777" w:rsidTr="009D3012">
        <w:trPr>
          <w:trHeight w:val="98"/>
        </w:trPr>
        <w:tc>
          <w:tcPr>
            <w:tcW w:w="1526" w:type="dxa"/>
            <w:tcBorders>
              <w:top w:val="nil"/>
              <w:left w:val="nil"/>
              <w:bottom w:val="nil"/>
              <w:right w:val="nil"/>
            </w:tcBorders>
            <w:shd w:val="clear" w:color="auto" w:fill="auto"/>
          </w:tcPr>
          <w:p w14:paraId="102192E8" w14:textId="12A6F139" w:rsidR="00B60186" w:rsidRPr="009D3012" w:rsidRDefault="00046D2A" w:rsidP="00046D2A">
            <w:pPr>
              <w:widowControl w:val="0"/>
              <w:tabs>
                <w:tab w:val="center" w:pos="660"/>
                <w:tab w:val="right" w:pos="1320"/>
              </w:tabs>
              <w:spacing w:after="0" w:line="240" w:lineRule="auto"/>
              <w:rPr>
                <w:rFonts w:cs="Arial"/>
                <w:lang w:val="en-US"/>
              </w:rPr>
            </w:pPr>
            <w:r w:rsidRPr="00046D2A">
              <w:rPr>
                <w:position w:val="-12"/>
                <w:lang w:val="en-GB"/>
              </w:rPr>
              <w:object w:dxaOrig="220" w:dyaOrig="360" w14:anchorId="2A3AADA1">
                <v:shape id="_x0000_i1069" type="#_x0000_t75" style="width:11.25pt;height:18.75pt" o:ole="">
                  <v:imagedata r:id="rId108" o:title=""/>
                </v:shape>
                <o:OLEObject Type="Embed" ProgID="Equation.DSMT4" ShapeID="_x0000_i1069" DrawAspect="Content" ObjectID="_1692169411" r:id="rId109"/>
              </w:object>
            </w:r>
          </w:p>
        </w:tc>
        <w:tc>
          <w:tcPr>
            <w:tcW w:w="8397" w:type="dxa"/>
            <w:tcBorders>
              <w:top w:val="nil"/>
              <w:left w:val="nil"/>
              <w:bottom w:val="nil"/>
              <w:right w:val="nil"/>
            </w:tcBorders>
            <w:shd w:val="clear" w:color="auto" w:fill="auto"/>
          </w:tcPr>
          <w:p w14:paraId="730D8593" w14:textId="77777777" w:rsidR="00B60186" w:rsidRPr="009D3012" w:rsidRDefault="00B60186" w:rsidP="0056481D">
            <w:pPr>
              <w:widowControl w:val="0"/>
              <w:spacing w:after="0" w:line="240" w:lineRule="auto"/>
              <w:jc w:val="left"/>
              <w:rPr>
                <w:rFonts w:eastAsia="Times New Roman" w:cs="Arial"/>
                <w:bCs/>
                <w:lang w:val="en-US" w:eastAsia="fr-FR"/>
              </w:rPr>
            </w:pPr>
            <w:r w:rsidRPr="009D3012">
              <w:rPr>
                <w:rFonts w:eastAsia="Times New Roman" w:cs="Arial"/>
                <w:bCs/>
                <w:lang w:val="en-US" w:eastAsia="fr-FR"/>
              </w:rPr>
              <w:t>Cantilever length</w:t>
            </w:r>
            <w:r w:rsidRPr="009D3012">
              <w:rPr>
                <w:rFonts w:eastAsia="Times New Roman" w:cs="Arial"/>
                <w:bCs/>
                <w:lang w:val="en-US" w:eastAsia="fr-FR"/>
              </w:rPr>
              <w:tab/>
            </w:r>
            <w:r w:rsidRPr="009D3012">
              <w:rPr>
                <w:rFonts w:eastAsia="Times New Roman" w:cs="Arial"/>
                <w:bCs/>
                <w:lang w:val="en-US" w:eastAsia="fr-FR"/>
              </w:rPr>
              <w:tab/>
            </w:r>
            <w:r w:rsidRPr="009D3012">
              <w:rPr>
                <w:rFonts w:eastAsia="Times New Roman" w:cs="Arial"/>
                <w:bCs/>
                <w:lang w:val="en-US" w:eastAsia="fr-FR"/>
              </w:rPr>
              <w:tab/>
            </w:r>
            <w:r w:rsidRPr="009D3012">
              <w:rPr>
                <w:rFonts w:eastAsia="Times New Roman" w:cs="Arial"/>
                <w:bCs/>
                <w:lang w:val="en-US" w:eastAsia="fr-FR"/>
              </w:rPr>
              <w:tab/>
            </w:r>
            <w:r w:rsidRPr="009D3012">
              <w:rPr>
                <w:rFonts w:eastAsia="Times New Roman" w:cs="Arial"/>
                <w:bCs/>
                <w:lang w:val="en-US" w:eastAsia="fr-FR"/>
              </w:rPr>
              <w:tab/>
            </w:r>
            <w:r w:rsidRPr="009D3012">
              <w:rPr>
                <w:rFonts w:eastAsia="Times New Roman" w:cs="Arial"/>
                <w:bCs/>
                <w:lang w:val="en-US" w:eastAsia="fr-FR"/>
              </w:rPr>
              <w:tab/>
            </w:r>
            <w:r w:rsidRPr="009D3012">
              <w:rPr>
                <w:rFonts w:eastAsia="Times New Roman" w:cs="Arial"/>
                <w:bCs/>
                <w:lang w:val="en-US" w:eastAsia="fr-FR"/>
              </w:rPr>
              <w:tab/>
            </w:r>
            <w:r w:rsidRPr="009D3012">
              <w:rPr>
                <w:rFonts w:eastAsia="Times New Roman" w:cs="Arial"/>
                <w:bCs/>
                <w:lang w:val="en-US" w:eastAsia="fr-FR"/>
              </w:rPr>
              <w:tab/>
            </w:r>
          </w:p>
        </w:tc>
      </w:tr>
      <w:tr w:rsidR="00B60186" w:rsidRPr="001455DC" w14:paraId="6F1F736F" w14:textId="77777777" w:rsidTr="002247E0">
        <w:trPr>
          <w:trHeight w:val="57"/>
        </w:trPr>
        <w:tc>
          <w:tcPr>
            <w:tcW w:w="1526" w:type="dxa"/>
            <w:tcBorders>
              <w:top w:val="nil"/>
              <w:left w:val="nil"/>
              <w:bottom w:val="nil"/>
              <w:right w:val="nil"/>
            </w:tcBorders>
            <w:shd w:val="clear" w:color="auto" w:fill="FFFFFF" w:themeFill="background1"/>
          </w:tcPr>
          <w:p w14:paraId="55ED2E9A" w14:textId="77777777" w:rsidR="00B60186" w:rsidRPr="009D3012" w:rsidRDefault="00B60186" w:rsidP="0056481D">
            <w:pPr>
              <w:widowControl w:val="0"/>
              <w:spacing w:after="0" w:line="240" w:lineRule="auto"/>
              <w:jc w:val="left"/>
              <w:rPr>
                <w:rFonts w:eastAsia="Times New Roman"/>
                <w:lang w:val="en-US"/>
              </w:rPr>
            </w:pPr>
            <w:r w:rsidRPr="009D3012">
              <w:rPr>
                <w:rFonts w:eastAsia="Times New Roman"/>
                <w:i/>
                <w:iCs/>
                <w:lang w:val="en-US" w:eastAsia="fr-FR"/>
              </w:rPr>
              <w:t>n</w:t>
            </w:r>
            <w:r w:rsidRPr="009D3012">
              <w:rPr>
                <w:rFonts w:eastAsia="Times New Roman"/>
                <w:vertAlign w:val="subscript"/>
                <w:lang w:val="en-US" w:eastAsia="fr-FR"/>
              </w:rPr>
              <w:t>f</w:t>
            </w:r>
          </w:p>
        </w:tc>
        <w:tc>
          <w:tcPr>
            <w:tcW w:w="8397" w:type="dxa"/>
            <w:tcBorders>
              <w:top w:val="nil"/>
              <w:left w:val="nil"/>
              <w:bottom w:val="nil"/>
              <w:right w:val="nil"/>
            </w:tcBorders>
            <w:shd w:val="clear" w:color="auto" w:fill="FFFFFF" w:themeFill="background1"/>
          </w:tcPr>
          <w:p w14:paraId="07219DCB" w14:textId="77777777" w:rsidR="00B60186" w:rsidRPr="009D3012" w:rsidRDefault="00B60186" w:rsidP="0056481D">
            <w:pPr>
              <w:widowControl w:val="0"/>
              <w:spacing w:after="0" w:line="240" w:lineRule="auto"/>
              <w:jc w:val="left"/>
              <w:rPr>
                <w:rFonts w:eastAsia="Times New Roman" w:cs="Arial"/>
                <w:lang w:val="en-US" w:eastAsia="fr-FR"/>
              </w:rPr>
            </w:pPr>
            <w:r w:rsidRPr="009D3012">
              <w:rPr>
                <w:rFonts w:eastAsia="Times New Roman"/>
                <w:lang w:val="en-US" w:eastAsia="fr-FR"/>
              </w:rPr>
              <w:t>Number of CFRP layers</w:t>
            </w:r>
          </w:p>
        </w:tc>
      </w:tr>
      <w:tr w:rsidR="00B60186" w:rsidRPr="001455DC" w14:paraId="00204A86" w14:textId="77777777" w:rsidTr="009D3012">
        <w:trPr>
          <w:trHeight w:val="57"/>
        </w:trPr>
        <w:tc>
          <w:tcPr>
            <w:tcW w:w="1526" w:type="dxa"/>
            <w:tcBorders>
              <w:top w:val="nil"/>
              <w:left w:val="nil"/>
              <w:bottom w:val="nil"/>
              <w:right w:val="nil"/>
            </w:tcBorders>
            <w:shd w:val="clear" w:color="auto" w:fill="auto"/>
          </w:tcPr>
          <w:p w14:paraId="249C664E" w14:textId="7B6AA4EE" w:rsidR="00B60186" w:rsidRPr="009D3012" w:rsidRDefault="00046D2A" w:rsidP="00046D2A">
            <w:pPr>
              <w:widowControl w:val="0"/>
              <w:tabs>
                <w:tab w:val="center" w:pos="660"/>
                <w:tab w:val="right" w:pos="1320"/>
              </w:tabs>
              <w:spacing w:after="0" w:line="240" w:lineRule="auto"/>
              <w:jc w:val="left"/>
              <w:rPr>
                <w:rFonts w:eastAsia="Times New Roman" w:cs="Arial"/>
                <w:i/>
                <w:lang w:val="en-US" w:eastAsia="fr-FR"/>
              </w:rPr>
            </w:pPr>
            <w:r w:rsidRPr="00046D2A">
              <w:rPr>
                <w:position w:val="-12"/>
                <w:lang w:val="en-GB"/>
              </w:rPr>
              <w:object w:dxaOrig="220" w:dyaOrig="360" w14:anchorId="25FC1045">
                <v:shape id="_x0000_i1070" type="#_x0000_t75" style="width:11.25pt;height:18.75pt" o:ole="">
                  <v:imagedata r:id="rId110" o:title=""/>
                </v:shape>
                <o:OLEObject Type="Embed" ProgID="Equation.DSMT4" ShapeID="_x0000_i1070" DrawAspect="Content" ObjectID="_1692169412" r:id="rId111"/>
              </w:object>
            </w:r>
          </w:p>
        </w:tc>
        <w:tc>
          <w:tcPr>
            <w:tcW w:w="8397" w:type="dxa"/>
            <w:tcBorders>
              <w:top w:val="nil"/>
              <w:left w:val="nil"/>
              <w:bottom w:val="nil"/>
              <w:right w:val="nil"/>
            </w:tcBorders>
            <w:shd w:val="clear" w:color="auto" w:fill="auto"/>
          </w:tcPr>
          <w:p w14:paraId="1F0D9747" w14:textId="77777777" w:rsidR="00B60186" w:rsidRPr="009D3012" w:rsidRDefault="00B60186" w:rsidP="0056481D">
            <w:pPr>
              <w:widowControl w:val="0"/>
              <w:spacing w:after="0" w:line="240" w:lineRule="auto"/>
              <w:jc w:val="left"/>
              <w:rPr>
                <w:rFonts w:eastAsia="Times New Roman" w:cs="Arial"/>
                <w:lang w:val="en-US" w:eastAsia="fr-FR"/>
              </w:rPr>
            </w:pPr>
            <w:r w:rsidRPr="009D3012">
              <w:rPr>
                <w:rFonts w:eastAsia="Times New Roman" w:cs="Arial"/>
                <w:lang w:val="en-US" w:eastAsia="fr-FR"/>
              </w:rPr>
              <w:t>Corner radius</w:t>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p>
        </w:tc>
      </w:tr>
      <w:tr w:rsidR="00B60186" w:rsidRPr="001455DC" w14:paraId="685E39E6" w14:textId="77777777" w:rsidTr="009D3012">
        <w:trPr>
          <w:trHeight w:val="47"/>
        </w:trPr>
        <w:tc>
          <w:tcPr>
            <w:tcW w:w="1526" w:type="dxa"/>
            <w:tcBorders>
              <w:top w:val="nil"/>
              <w:left w:val="nil"/>
              <w:bottom w:val="nil"/>
              <w:right w:val="nil"/>
            </w:tcBorders>
            <w:shd w:val="clear" w:color="auto" w:fill="auto"/>
          </w:tcPr>
          <w:p w14:paraId="71D79A0B" w14:textId="3EE1E713" w:rsidR="00B60186" w:rsidRPr="009D3012" w:rsidRDefault="00046D2A" w:rsidP="00046D2A">
            <w:pPr>
              <w:widowControl w:val="0"/>
              <w:tabs>
                <w:tab w:val="center" w:pos="660"/>
                <w:tab w:val="right" w:pos="1320"/>
              </w:tabs>
              <w:spacing w:after="0" w:line="240" w:lineRule="auto"/>
              <w:rPr>
                <w:rFonts w:eastAsia="Times New Roman" w:cs="Arial"/>
                <w:lang w:val="en-US" w:eastAsia="fr-FR"/>
              </w:rPr>
            </w:pPr>
            <w:r w:rsidRPr="00046D2A">
              <w:rPr>
                <w:position w:val="-12"/>
                <w:lang w:val="en-GB"/>
              </w:rPr>
              <w:object w:dxaOrig="240" w:dyaOrig="360" w14:anchorId="5419217A">
                <v:shape id="_x0000_i1071" type="#_x0000_t75" style="width:12pt;height:18.75pt" o:ole="">
                  <v:imagedata r:id="rId112" o:title=""/>
                </v:shape>
                <o:OLEObject Type="Embed" ProgID="Equation.DSMT4" ShapeID="_x0000_i1071" DrawAspect="Content" ObjectID="_1692169413" r:id="rId113"/>
              </w:object>
            </w:r>
          </w:p>
        </w:tc>
        <w:tc>
          <w:tcPr>
            <w:tcW w:w="8397" w:type="dxa"/>
            <w:tcBorders>
              <w:top w:val="nil"/>
              <w:left w:val="nil"/>
              <w:bottom w:val="nil"/>
              <w:right w:val="nil"/>
            </w:tcBorders>
            <w:shd w:val="clear" w:color="auto" w:fill="auto"/>
          </w:tcPr>
          <w:p w14:paraId="773D8E02" w14:textId="77777777" w:rsidR="00B60186" w:rsidRPr="009D3012" w:rsidRDefault="00B60186" w:rsidP="0056481D">
            <w:pPr>
              <w:widowControl w:val="0"/>
              <w:spacing w:after="0" w:line="240" w:lineRule="auto"/>
              <w:jc w:val="left"/>
              <w:rPr>
                <w:rFonts w:eastAsia="Times New Roman" w:cs="Arial"/>
                <w:lang w:val="en-US" w:eastAsia="fr-FR"/>
              </w:rPr>
            </w:pPr>
            <w:r w:rsidRPr="009D3012">
              <w:rPr>
                <w:rFonts w:eastAsia="Times New Roman" w:cs="Arial"/>
                <w:lang w:val="en-US" w:eastAsia="fr-FR"/>
              </w:rPr>
              <w:t>Clear spacing between discrete ABR CFRP in partial wrapping</w:t>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p>
        </w:tc>
      </w:tr>
      <w:tr w:rsidR="00B60186" w:rsidRPr="001455DC" w14:paraId="4BB29F89" w14:textId="77777777" w:rsidTr="009D3012">
        <w:trPr>
          <w:trHeight w:val="300"/>
        </w:trPr>
        <w:tc>
          <w:tcPr>
            <w:tcW w:w="1526" w:type="dxa"/>
            <w:tcBorders>
              <w:top w:val="nil"/>
              <w:left w:val="nil"/>
              <w:bottom w:val="nil"/>
              <w:right w:val="nil"/>
            </w:tcBorders>
            <w:shd w:val="clear" w:color="auto" w:fill="auto"/>
          </w:tcPr>
          <w:p w14:paraId="01E025CB" w14:textId="75A465CA" w:rsidR="00B60186" w:rsidRPr="009D3012" w:rsidRDefault="00046D2A" w:rsidP="00046D2A">
            <w:pPr>
              <w:widowControl w:val="0"/>
              <w:tabs>
                <w:tab w:val="center" w:pos="660"/>
                <w:tab w:val="right" w:pos="1320"/>
              </w:tabs>
              <w:spacing w:after="0" w:line="240" w:lineRule="auto"/>
              <w:jc w:val="left"/>
              <w:rPr>
                <w:rFonts w:cs="Arial"/>
                <w:lang w:val="en-US"/>
              </w:rPr>
            </w:pPr>
            <w:r w:rsidRPr="00046D2A">
              <w:rPr>
                <w:position w:val="-12"/>
                <w:lang w:val="en-GB"/>
              </w:rPr>
              <w:object w:dxaOrig="400" w:dyaOrig="360" w14:anchorId="51BC6DF7">
                <v:shape id="_x0000_i1072" type="#_x0000_t75" style="width:20.25pt;height:18.75pt" o:ole="">
                  <v:imagedata r:id="rId114" o:title=""/>
                </v:shape>
                <o:OLEObject Type="Embed" ProgID="Equation.DSMT4" ShapeID="_x0000_i1072" DrawAspect="Content" ObjectID="_1692169414" r:id="rId115"/>
              </w:object>
            </w:r>
          </w:p>
        </w:tc>
        <w:tc>
          <w:tcPr>
            <w:tcW w:w="8397" w:type="dxa"/>
            <w:tcBorders>
              <w:top w:val="nil"/>
              <w:left w:val="nil"/>
              <w:bottom w:val="nil"/>
              <w:right w:val="nil"/>
            </w:tcBorders>
            <w:shd w:val="clear" w:color="auto" w:fill="auto"/>
          </w:tcPr>
          <w:p w14:paraId="0F168C2E" w14:textId="77777777" w:rsidR="00B60186" w:rsidRPr="009D3012" w:rsidRDefault="00B60186" w:rsidP="0056481D">
            <w:pPr>
              <w:widowControl w:val="0"/>
              <w:spacing w:after="0" w:line="240" w:lineRule="auto"/>
              <w:jc w:val="left"/>
              <w:rPr>
                <w:rFonts w:eastAsia="Times New Roman" w:cs="Arial"/>
                <w:lang w:val="en-US" w:eastAsia="fr-FR"/>
              </w:rPr>
            </w:pPr>
            <w:r w:rsidRPr="009D3012">
              <w:rPr>
                <w:rFonts w:eastAsia="Times New Roman" w:cs="Arial"/>
                <w:lang w:val="en-US" w:eastAsia="fr-FR"/>
              </w:rPr>
              <w:t>Maximum bond slip</w:t>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p>
        </w:tc>
      </w:tr>
      <w:tr w:rsidR="00B60186" w:rsidRPr="001455DC" w14:paraId="56ECCC28" w14:textId="77777777" w:rsidTr="009D3012">
        <w:trPr>
          <w:trHeight w:val="300"/>
        </w:trPr>
        <w:tc>
          <w:tcPr>
            <w:tcW w:w="1526" w:type="dxa"/>
            <w:tcBorders>
              <w:top w:val="nil"/>
              <w:left w:val="nil"/>
              <w:bottom w:val="nil"/>
              <w:right w:val="nil"/>
            </w:tcBorders>
            <w:shd w:val="clear" w:color="auto" w:fill="auto"/>
          </w:tcPr>
          <w:p w14:paraId="1E9F2237" w14:textId="2E405908" w:rsidR="00B60186" w:rsidRPr="009D3012" w:rsidRDefault="00046D2A" w:rsidP="00046D2A">
            <w:pPr>
              <w:widowControl w:val="0"/>
              <w:tabs>
                <w:tab w:val="center" w:pos="660"/>
                <w:tab w:val="right" w:pos="1320"/>
              </w:tabs>
              <w:spacing w:after="0" w:line="240" w:lineRule="auto"/>
              <w:jc w:val="left"/>
              <w:rPr>
                <w:rFonts w:eastAsia="Times New Roman" w:cs="Arial"/>
                <w:lang w:val="en-US" w:eastAsia="fr-FR"/>
              </w:rPr>
            </w:pPr>
            <w:r w:rsidRPr="00046D2A">
              <w:rPr>
                <w:position w:val="-14"/>
                <w:lang w:val="en-GB"/>
              </w:rPr>
              <w:object w:dxaOrig="560" w:dyaOrig="380" w14:anchorId="02D5AFD7">
                <v:shape id="_x0000_i1073" type="#_x0000_t75" style="width:27.75pt;height:18.75pt" o:ole="">
                  <v:imagedata r:id="rId116" o:title=""/>
                </v:shape>
                <o:OLEObject Type="Embed" ProgID="Equation.DSMT4" ShapeID="_x0000_i1073" DrawAspect="Content" ObjectID="_1692169415" r:id="rId117"/>
              </w:object>
            </w:r>
          </w:p>
        </w:tc>
        <w:tc>
          <w:tcPr>
            <w:tcW w:w="8397" w:type="dxa"/>
            <w:tcBorders>
              <w:top w:val="nil"/>
              <w:left w:val="nil"/>
              <w:bottom w:val="nil"/>
              <w:right w:val="nil"/>
            </w:tcBorders>
            <w:shd w:val="clear" w:color="auto" w:fill="auto"/>
          </w:tcPr>
          <w:p w14:paraId="59F04A7B" w14:textId="77777777" w:rsidR="00B60186" w:rsidRPr="009D3012" w:rsidRDefault="00B60186" w:rsidP="0056481D">
            <w:pPr>
              <w:widowControl w:val="0"/>
              <w:spacing w:after="0" w:line="240" w:lineRule="auto"/>
              <w:jc w:val="left"/>
              <w:rPr>
                <w:rFonts w:eastAsia="Times New Roman" w:cs="Arial"/>
                <w:lang w:val="en-US" w:eastAsia="fr-FR"/>
              </w:rPr>
            </w:pPr>
            <w:r w:rsidRPr="009D3012">
              <w:rPr>
                <w:rFonts w:eastAsia="Times New Roman" w:cs="Arial"/>
                <w:lang w:val="en-US" w:eastAsia="fr-FR"/>
              </w:rPr>
              <w:t xml:space="preserve">Minimum spacing of bending cracks </w:t>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p>
        </w:tc>
      </w:tr>
      <w:tr w:rsidR="00B60186" w:rsidRPr="001455DC" w14:paraId="6154B4A9" w14:textId="77777777" w:rsidTr="009D3012">
        <w:trPr>
          <w:trHeight w:val="57"/>
        </w:trPr>
        <w:tc>
          <w:tcPr>
            <w:tcW w:w="1526" w:type="dxa"/>
            <w:tcBorders>
              <w:top w:val="nil"/>
              <w:left w:val="nil"/>
              <w:bottom w:val="nil"/>
              <w:right w:val="nil"/>
            </w:tcBorders>
            <w:shd w:val="clear" w:color="auto" w:fill="auto"/>
          </w:tcPr>
          <w:p w14:paraId="55610A40" w14:textId="65DB6F0E" w:rsidR="00B60186" w:rsidRPr="009D3012" w:rsidRDefault="00046D2A" w:rsidP="00046D2A">
            <w:pPr>
              <w:widowControl w:val="0"/>
              <w:tabs>
                <w:tab w:val="center" w:pos="660"/>
                <w:tab w:val="right" w:pos="1320"/>
              </w:tabs>
              <w:spacing w:after="0" w:line="240" w:lineRule="auto"/>
              <w:jc w:val="left"/>
              <w:rPr>
                <w:rFonts w:eastAsia="Times New Roman" w:cs="Arial"/>
                <w:lang w:val="en-US" w:eastAsia="fr-FR"/>
              </w:rPr>
            </w:pPr>
            <w:r w:rsidRPr="00046D2A">
              <w:rPr>
                <w:position w:val="-14"/>
                <w:lang w:val="en-GB"/>
              </w:rPr>
              <w:object w:dxaOrig="580" w:dyaOrig="380" w14:anchorId="46961BF7">
                <v:shape id="_x0000_i1074" type="#_x0000_t75" style="width:28.5pt;height:18.75pt" o:ole="">
                  <v:imagedata r:id="rId118" o:title=""/>
                </v:shape>
                <o:OLEObject Type="Embed" ProgID="Equation.DSMT4" ShapeID="_x0000_i1074" DrawAspect="Content" ObjectID="_1692169416" r:id="rId119"/>
              </w:object>
            </w:r>
          </w:p>
        </w:tc>
        <w:tc>
          <w:tcPr>
            <w:tcW w:w="8397" w:type="dxa"/>
            <w:tcBorders>
              <w:top w:val="nil"/>
              <w:left w:val="nil"/>
              <w:bottom w:val="nil"/>
              <w:right w:val="nil"/>
            </w:tcBorders>
            <w:shd w:val="clear" w:color="auto" w:fill="auto"/>
          </w:tcPr>
          <w:p w14:paraId="06D30C6D" w14:textId="77777777" w:rsidR="00B60186" w:rsidRPr="009D3012" w:rsidRDefault="00B60186" w:rsidP="0056481D">
            <w:pPr>
              <w:widowControl w:val="0"/>
              <w:spacing w:after="0" w:line="240" w:lineRule="auto"/>
              <w:jc w:val="left"/>
              <w:rPr>
                <w:rFonts w:eastAsia="Times New Roman" w:cs="Arial"/>
                <w:lang w:val="en-US" w:eastAsia="fr-FR"/>
              </w:rPr>
            </w:pPr>
            <w:r w:rsidRPr="009D3012">
              <w:rPr>
                <w:rFonts w:eastAsia="Times New Roman" w:cs="Arial"/>
                <w:lang w:val="en-US" w:eastAsia="fr-FR"/>
              </w:rPr>
              <w:t>Maximum spacing of bending cracks</w:t>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p>
        </w:tc>
      </w:tr>
      <w:tr w:rsidR="00B60186" w:rsidRPr="001455DC" w14:paraId="4AAEC7BF" w14:textId="77777777" w:rsidTr="009D3012">
        <w:trPr>
          <w:trHeight w:val="300"/>
        </w:trPr>
        <w:tc>
          <w:tcPr>
            <w:tcW w:w="1526" w:type="dxa"/>
            <w:tcBorders>
              <w:top w:val="nil"/>
              <w:left w:val="nil"/>
              <w:bottom w:val="nil"/>
              <w:right w:val="nil"/>
            </w:tcBorders>
            <w:shd w:val="clear" w:color="auto" w:fill="auto"/>
          </w:tcPr>
          <w:p w14:paraId="09A3B102" w14:textId="687EDC6F" w:rsidR="00B60186" w:rsidRPr="009D3012" w:rsidRDefault="00046D2A" w:rsidP="00046D2A">
            <w:pPr>
              <w:widowControl w:val="0"/>
              <w:tabs>
                <w:tab w:val="center" w:pos="660"/>
                <w:tab w:val="right" w:pos="1320"/>
              </w:tabs>
              <w:spacing w:after="0" w:line="240" w:lineRule="auto"/>
              <w:jc w:val="left"/>
              <w:rPr>
                <w:rFonts w:eastAsia="Times New Roman" w:cs="Arial"/>
                <w:i/>
                <w:lang w:val="en-US" w:eastAsia="fr-FR"/>
              </w:rPr>
            </w:pPr>
            <w:r w:rsidRPr="00046D2A">
              <w:rPr>
                <w:position w:val="-12"/>
                <w:lang w:val="en-GB"/>
              </w:rPr>
              <w:object w:dxaOrig="200" w:dyaOrig="360" w14:anchorId="66281FAB">
                <v:shape id="_x0000_i1075" type="#_x0000_t75" style="width:9pt;height:18.75pt" o:ole="">
                  <v:imagedata r:id="rId120" o:title=""/>
                </v:shape>
                <o:OLEObject Type="Embed" ProgID="Equation.DSMT4" ShapeID="_x0000_i1075" DrawAspect="Content" ObjectID="_1692169417" r:id="rId121"/>
              </w:object>
            </w:r>
          </w:p>
        </w:tc>
        <w:tc>
          <w:tcPr>
            <w:tcW w:w="8397" w:type="dxa"/>
            <w:tcBorders>
              <w:top w:val="nil"/>
              <w:left w:val="nil"/>
              <w:bottom w:val="nil"/>
              <w:right w:val="nil"/>
            </w:tcBorders>
            <w:shd w:val="clear" w:color="auto" w:fill="auto"/>
          </w:tcPr>
          <w:p w14:paraId="67CA45A2" w14:textId="77777777" w:rsidR="00B60186" w:rsidRPr="009D3012" w:rsidRDefault="00B60186" w:rsidP="0056481D">
            <w:pPr>
              <w:widowControl w:val="0"/>
              <w:spacing w:after="0" w:line="240" w:lineRule="auto"/>
              <w:jc w:val="left"/>
              <w:rPr>
                <w:rFonts w:eastAsia="Times New Roman" w:cs="Arial"/>
                <w:spacing w:val="-1"/>
                <w:lang w:val="en-US"/>
              </w:rPr>
            </w:pPr>
            <w:r w:rsidRPr="009D3012">
              <w:rPr>
                <w:rFonts w:eastAsia="Times New Roman" w:cs="Arial"/>
                <w:lang w:val="en-US" w:eastAsia="fr-FR"/>
              </w:rPr>
              <w:t>Nominal thickness of the adhesively bonded reinforcement</w:t>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p>
        </w:tc>
      </w:tr>
      <w:tr w:rsidR="00B60186" w:rsidRPr="001455DC" w14:paraId="2A2302BA" w14:textId="77777777" w:rsidTr="009D3012">
        <w:trPr>
          <w:trHeight w:val="300"/>
        </w:trPr>
        <w:tc>
          <w:tcPr>
            <w:tcW w:w="1526" w:type="dxa"/>
            <w:tcBorders>
              <w:top w:val="nil"/>
              <w:left w:val="nil"/>
              <w:bottom w:val="nil"/>
              <w:right w:val="nil"/>
            </w:tcBorders>
            <w:shd w:val="clear" w:color="auto" w:fill="auto"/>
          </w:tcPr>
          <w:p w14:paraId="2E31B923" w14:textId="35DFDF1B" w:rsidR="00B60186" w:rsidRPr="009D3012" w:rsidRDefault="00046D2A" w:rsidP="00046D2A">
            <w:pPr>
              <w:widowControl w:val="0"/>
              <w:tabs>
                <w:tab w:val="center" w:pos="660"/>
                <w:tab w:val="right" w:pos="1320"/>
              </w:tabs>
              <w:spacing w:after="0" w:line="240" w:lineRule="auto"/>
              <w:jc w:val="left"/>
              <w:rPr>
                <w:rFonts w:cs="Arial"/>
                <w:lang w:val="en-US"/>
              </w:rPr>
            </w:pPr>
            <w:r w:rsidRPr="00046D2A">
              <w:rPr>
                <w:position w:val="-12"/>
                <w:lang w:val="en-GB"/>
              </w:rPr>
              <w:object w:dxaOrig="340" w:dyaOrig="360" w14:anchorId="227DF631">
                <v:shape id="_x0000_i1076" type="#_x0000_t75" style="width:17.25pt;height:18.75pt" o:ole="">
                  <v:imagedata r:id="rId122" o:title=""/>
                </v:shape>
                <o:OLEObject Type="Embed" ProgID="Equation.DSMT4" ShapeID="_x0000_i1076" DrawAspect="Content" ObjectID="_1692169418" r:id="rId123"/>
              </w:object>
            </w:r>
          </w:p>
        </w:tc>
        <w:tc>
          <w:tcPr>
            <w:tcW w:w="8397" w:type="dxa"/>
            <w:tcBorders>
              <w:top w:val="nil"/>
              <w:left w:val="nil"/>
              <w:bottom w:val="nil"/>
              <w:right w:val="nil"/>
            </w:tcBorders>
            <w:shd w:val="clear" w:color="auto" w:fill="auto"/>
          </w:tcPr>
          <w:p w14:paraId="449849E2" w14:textId="77777777" w:rsidR="00B60186" w:rsidRPr="009D3012" w:rsidRDefault="00B60186" w:rsidP="0056481D">
            <w:pPr>
              <w:widowControl w:val="0"/>
              <w:spacing w:after="0" w:line="240" w:lineRule="auto"/>
              <w:jc w:val="left"/>
              <w:rPr>
                <w:rFonts w:eastAsia="Times New Roman" w:cs="Arial"/>
                <w:lang w:val="en-US" w:eastAsia="fr-FR"/>
              </w:rPr>
            </w:pPr>
            <w:r w:rsidRPr="009D3012">
              <w:rPr>
                <w:rFonts w:eastAsia="Times New Roman" w:cs="Arial"/>
                <w:lang w:val="en-US" w:eastAsia="fr-FR"/>
              </w:rPr>
              <w:t>Depth of slot for NSM CFRP reinforcement bar or strip</w:t>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p>
        </w:tc>
      </w:tr>
      <w:tr w:rsidR="00B60186" w:rsidRPr="001455DC" w14:paraId="018333A0" w14:textId="77777777" w:rsidTr="009D3012">
        <w:trPr>
          <w:trHeight w:val="300"/>
        </w:trPr>
        <w:tc>
          <w:tcPr>
            <w:tcW w:w="1526" w:type="dxa"/>
            <w:tcBorders>
              <w:top w:val="nil"/>
              <w:left w:val="nil"/>
              <w:bottom w:val="nil"/>
              <w:right w:val="nil"/>
            </w:tcBorders>
            <w:shd w:val="clear" w:color="auto" w:fill="auto"/>
          </w:tcPr>
          <w:p w14:paraId="1C2C5571" w14:textId="196AEBAC" w:rsidR="00B60186" w:rsidRPr="009D3012" w:rsidRDefault="00046D2A" w:rsidP="00046D2A">
            <w:pPr>
              <w:widowControl w:val="0"/>
              <w:tabs>
                <w:tab w:val="center" w:pos="660"/>
                <w:tab w:val="right" w:pos="1320"/>
              </w:tabs>
              <w:spacing w:after="0" w:line="240" w:lineRule="auto"/>
              <w:jc w:val="left"/>
              <w:rPr>
                <w:rFonts w:cs="Arial"/>
                <w:lang w:val="en-US"/>
              </w:rPr>
            </w:pPr>
            <w:r w:rsidRPr="00046D2A">
              <w:rPr>
                <w:position w:val="-12"/>
                <w:lang w:val="en-GB"/>
              </w:rPr>
              <w:object w:dxaOrig="260" w:dyaOrig="360" w14:anchorId="3023E9C4">
                <v:shape id="_x0000_i1077" type="#_x0000_t75" style="width:13.5pt;height:18.75pt" o:ole="">
                  <v:imagedata r:id="rId124" o:title=""/>
                </v:shape>
                <o:OLEObject Type="Embed" ProgID="Equation.DSMT4" ShapeID="_x0000_i1077" DrawAspect="Content" ObjectID="_1692169419" r:id="rId125"/>
              </w:object>
            </w:r>
          </w:p>
        </w:tc>
        <w:tc>
          <w:tcPr>
            <w:tcW w:w="8397" w:type="dxa"/>
            <w:tcBorders>
              <w:top w:val="nil"/>
              <w:left w:val="nil"/>
              <w:bottom w:val="nil"/>
              <w:right w:val="nil"/>
            </w:tcBorders>
            <w:shd w:val="clear" w:color="auto" w:fill="auto"/>
          </w:tcPr>
          <w:p w14:paraId="6BD6888B" w14:textId="77777777" w:rsidR="00B60186" w:rsidRPr="009D3012" w:rsidRDefault="00B60186" w:rsidP="0056481D">
            <w:pPr>
              <w:widowControl w:val="0"/>
              <w:spacing w:after="0" w:line="240" w:lineRule="auto"/>
              <w:jc w:val="left"/>
              <w:rPr>
                <w:rFonts w:eastAsia="Times New Roman" w:cs="Arial"/>
                <w:lang w:val="en-US" w:eastAsia="fr-FR"/>
              </w:rPr>
            </w:pPr>
            <w:r w:rsidRPr="009D3012">
              <w:rPr>
                <w:rFonts w:eastAsia="Times New Roman" w:cs="Arial"/>
                <w:bCs/>
                <w:lang w:val="en-US" w:eastAsia="fr-FR"/>
              </w:rPr>
              <w:t>The height of CFRP crossed by the shear crack</w:t>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p>
        </w:tc>
      </w:tr>
    </w:tbl>
    <w:p w14:paraId="542614A9" w14:textId="333E22D5" w:rsidR="00761918" w:rsidRPr="00E519AB" w:rsidRDefault="00E519AB" w:rsidP="00E519AB">
      <w:pPr>
        <w:pStyle w:val="p3"/>
        <w:keepNext/>
        <w:keepLines/>
        <w:spacing w:before="240" w:after="120"/>
        <w:rPr>
          <w:b/>
        </w:rPr>
      </w:pPr>
      <w:bookmarkStart w:id="120" w:name="_Toc67565294"/>
      <w:bookmarkStart w:id="121" w:name="_Toc54013093"/>
      <w:bookmarkStart w:id="122" w:name="_Toc55828639"/>
      <w:r w:rsidRPr="00E519AB">
        <w:rPr>
          <w:b/>
        </w:rPr>
        <w:t>3.5.3</w:t>
      </w:r>
      <w:r w:rsidRPr="00E519AB">
        <w:rPr>
          <w:b/>
        </w:rPr>
        <w:tab/>
      </w:r>
      <w:r w:rsidR="00761918" w:rsidRPr="00E519AB">
        <w:rPr>
          <w:b/>
        </w:rPr>
        <w:t>Greek lower-case letters</w:t>
      </w:r>
      <w:bookmarkEnd w:id="120"/>
      <w:r w:rsidR="00761918" w:rsidRPr="00E519AB">
        <w:rPr>
          <w:b/>
        </w:rPr>
        <w:t xml:space="preserve"> </w:t>
      </w:r>
    </w:p>
    <w:tbl>
      <w:tblPr>
        <w:tblStyle w:val="Tabellenraster1"/>
        <w:tblW w:w="9943" w:type="dxa"/>
        <w:tblInd w:w="-20" w:type="dxa"/>
        <w:tblLook w:val="04A0" w:firstRow="1" w:lastRow="0" w:firstColumn="1" w:lastColumn="0" w:noHBand="0" w:noVBand="1"/>
      </w:tblPr>
      <w:tblGrid>
        <w:gridCol w:w="1546"/>
        <w:gridCol w:w="8397"/>
      </w:tblGrid>
      <w:tr w:rsidR="00B60186" w:rsidRPr="001455DC" w14:paraId="69A9D74B" w14:textId="77777777" w:rsidTr="009D3012">
        <w:trPr>
          <w:trHeight w:val="300"/>
        </w:trPr>
        <w:tc>
          <w:tcPr>
            <w:tcW w:w="1546" w:type="dxa"/>
            <w:tcBorders>
              <w:top w:val="nil"/>
              <w:left w:val="nil"/>
              <w:bottom w:val="nil"/>
              <w:right w:val="nil"/>
            </w:tcBorders>
            <w:shd w:val="clear" w:color="auto" w:fill="auto"/>
          </w:tcPr>
          <w:bookmarkEnd w:id="121"/>
          <w:bookmarkEnd w:id="122"/>
          <w:p w14:paraId="5E5CBB6B" w14:textId="59C692E2" w:rsidR="00B60186" w:rsidRPr="009D3012" w:rsidRDefault="00046D2A" w:rsidP="00046D2A">
            <w:pPr>
              <w:widowControl w:val="0"/>
              <w:spacing w:after="0" w:line="240" w:lineRule="auto"/>
              <w:jc w:val="left"/>
              <w:rPr>
                <w:rFonts w:cs="Arial"/>
                <w:lang w:val="en-US" w:eastAsia="fr-FR"/>
              </w:rPr>
            </w:pPr>
            <w:r w:rsidRPr="00046D2A">
              <w:rPr>
                <w:position w:val="-12"/>
                <w:lang w:val="en-GB"/>
              </w:rPr>
              <w:object w:dxaOrig="360" w:dyaOrig="360" w14:anchorId="2CDAF6A1">
                <v:shape id="_x0000_i1078" type="#_x0000_t75" style="width:18.75pt;height:18.75pt" o:ole="">
                  <v:imagedata r:id="rId126" o:title=""/>
                </v:shape>
                <o:OLEObject Type="Embed" ProgID="Equation.DSMT4" ShapeID="_x0000_i1078" DrawAspect="Content" ObjectID="_1692169420" r:id="rId127"/>
              </w:object>
            </w:r>
            <w:r w:rsidR="00B60186" w:rsidRPr="009D3012">
              <w:rPr>
                <w:rFonts w:eastAsia="Times New Roman" w:cs="Arial"/>
                <w:vertAlign w:val="subscript"/>
                <w:lang w:val="en-US" w:eastAsia="fr-FR"/>
              </w:rPr>
              <w:t xml:space="preserve"> </w:t>
            </w:r>
          </w:p>
        </w:tc>
        <w:tc>
          <w:tcPr>
            <w:tcW w:w="8397" w:type="dxa"/>
            <w:tcBorders>
              <w:top w:val="nil"/>
              <w:left w:val="nil"/>
              <w:bottom w:val="nil"/>
              <w:right w:val="nil"/>
            </w:tcBorders>
            <w:shd w:val="clear" w:color="auto" w:fill="auto"/>
          </w:tcPr>
          <w:p w14:paraId="268EEE4C" w14:textId="77777777" w:rsidR="00B60186" w:rsidRPr="009D3012" w:rsidRDefault="00B60186" w:rsidP="0056481D">
            <w:pPr>
              <w:widowControl w:val="0"/>
              <w:spacing w:after="0" w:line="240" w:lineRule="auto"/>
              <w:jc w:val="left"/>
              <w:rPr>
                <w:rFonts w:eastAsia="Times New Roman" w:cs="Arial"/>
                <w:lang w:val="en-US" w:eastAsia="fr-FR"/>
              </w:rPr>
            </w:pPr>
            <w:r w:rsidRPr="009D3012">
              <w:rPr>
                <w:rFonts w:eastAsia="Times New Roman" w:cs="Arial"/>
                <w:lang w:val="en-US" w:eastAsia="fr-FR"/>
              </w:rPr>
              <w:t>Product-specific system factor for long-term behaviour of concrete</w:t>
            </w:r>
            <w:r w:rsidRPr="009D3012">
              <w:rPr>
                <w:rFonts w:eastAsia="Times New Roman" w:cs="Arial"/>
                <w:lang w:val="en-US" w:eastAsia="fr-FR"/>
              </w:rPr>
              <w:tab/>
            </w:r>
            <w:r w:rsidRPr="009D3012">
              <w:rPr>
                <w:rFonts w:eastAsia="Times New Roman" w:cs="Arial"/>
                <w:lang w:val="en-US" w:eastAsia="fr-FR"/>
              </w:rPr>
              <w:tab/>
            </w:r>
          </w:p>
        </w:tc>
      </w:tr>
      <w:tr w:rsidR="00B60186" w:rsidRPr="001455DC" w14:paraId="09A2CA88" w14:textId="77777777" w:rsidTr="009D3012">
        <w:trPr>
          <w:trHeight w:val="300"/>
        </w:trPr>
        <w:tc>
          <w:tcPr>
            <w:tcW w:w="1546" w:type="dxa"/>
            <w:tcBorders>
              <w:top w:val="nil"/>
              <w:left w:val="nil"/>
              <w:bottom w:val="nil"/>
              <w:right w:val="nil"/>
            </w:tcBorders>
            <w:shd w:val="clear" w:color="auto" w:fill="auto"/>
          </w:tcPr>
          <w:p w14:paraId="33B53F93" w14:textId="4909D631" w:rsidR="00B60186" w:rsidRPr="009D3012" w:rsidRDefault="00046D2A" w:rsidP="00046D2A">
            <w:pPr>
              <w:widowControl w:val="0"/>
              <w:tabs>
                <w:tab w:val="center" w:pos="670"/>
                <w:tab w:val="right" w:pos="1340"/>
              </w:tabs>
              <w:spacing w:after="0" w:line="240" w:lineRule="auto"/>
              <w:jc w:val="left"/>
              <w:rPr>
                <w:rFonts w:eastAsia="Times New Roman" w:cs="Arial"/>
                <w:lang w:val="en-US" w:eastAsia="fr-FR"/>
              </w:rPr>
            </w:pPr>
            <w:r w:rsidRPr="00046D2A">
              <w:rPr>
                <w:position w:val="-12"/>
                <w:lang w:val="en-GB"/>
              </w:rPr>
              <w:object w:dxaOrig="400" w:dyaOrig="360" w14:anchorId="380FD3EF">
                <v:shape id="_x0000_i1079" type="#_x0000_t75" style="width:20.25pt;height:18.75pt" o:ole="">
                  <v:imagedata r:id="rId128" o:title=""/>
                </v:shape>
                <o:OLEObject Type="Embed" ProgID="Equation.DSMT4" ShapeID="_x0000_i1079" DrawAspect="Content" ObjectID="_1692169421" r:id="rId129"/>
              </w:object>
            </w:r>
          </w:p>
        </w:tc>
        <w:tc>
          <w:tcPr>
            <w:tcW w:w="8397" w:type="dxa"/>
            <w:tcBorders>
              <w:top w:val="nil"/>
              <w:left w:val="nil"/>
              <w:bottom w:val="nil"/>
              <w:right w:val="nil"/>
            </w:tcBorders>
            <w:shd w:val="clear" w:color="auto" w:fill="auto"/>
          </w:tcPr>
          <w:p w14:paraId="4B54B063" w14:textId="77777777" w:rsidR="00B60186" w:rsidRPr="009D3012" w:rsidRDefault="00B60186" w:rsidP="0056481D">
            <w:pPr>
              <w:widowControl w:val="0"/>
              <w:spacing w:after="0" w:line="240" w:lineRule="auto"/>
              <w:jc w:val="left"/>
              <w:rPr>
                <w:rFonts w:eastAsia="Times New Roman" w:cs="Arial"/>
                <w:spacing w:val="-1"/>
                <w:lang w:val="en-US"/>
              </w:rPr>
            </w:pPr>
            <w:r w:rsidRPr="009D3012">
              <w:rPr>
                <w:rFonts w:eastAsia="Times New Roman" w:cs="Arial"/>
                <w:lang w:val="en-US" w:eastAsia="fr-FR"/>
              </w:rPr>
              <w:t>Product-specific system factor for long-term behaviour of the adhesive</w:t>
            </w:r>
            <w:r w:rsidRPr="009D3012">
              <w:rPr>
                <w:rFonts w:eastAsia="Times New Roman" w:cs="Arial"/>
                <w:lang w:val="en-US" w:eastAsia="fr-FR"/>
              </w:rPr>
              <w:tab/>
            </w:r>
            <w:r w:rsidRPr="009D3012">
              <w:rPr>
                <w:rFonts w:eastAsia="Times New Roman" w:cs="Arial"/>
                <w:lang w:val="en-US" w:eastAsia="fr-FR"/>
              </w:rPr>
              <w:tab/>
            </w:r>
          </w:p>
        </w:tc>
      </w:tr>
      <w:tr w:rsidR="00B60186" w:rsidRPr="001455DC" w14:paraId="5A47A95E" w14:textId="77777777" w:rsidTr="009D3012">
        <w:trPr>
          <w:trHeight w:val="300"/>
        </w:trPr>
        <w:tc>
          <w:tcPr>
            <w:tcW w:w="1546" w:type="dxa"/>
            <w:tcBorders>
              <w:top w:val="nil"/>
              <w:left w:val="nil"/>
              <w:bottom w:val="nil"/>
              <w:right w:val="nil"/>
            </w:tcBorders>
            <w:shd w:val="clear" w:color="auto" w:fill="auto"/>
          </w:tcPr>
          <w:p w14:paraId="45407B14" w14:textId="133DE86A" w:rsidR="00B60186" w:rsidRPr="009D3012" w:rsidRDefault="00046D2A" w:rsidP="00046D2A">
            <w:pPr>
              <w:widowControl w:val="0"/>
              <w:tabs>
                <w:tab w:val="center" w:pos="670"/>
                <w:tab w:val="right" w:pos="1340"/>
              </w:tabs>
              <w:spacing w:after="0" w:line="240" w:lineRule="auto"/>
              <w:jc w:val="left"/>
              <w:rPr>
                <w:rFonts w:cs="Arial"/>
                <w:lang w:val="en-US" w:eastAsia="fr-FR"/>
              </w:rPr>
            </w:pPr>
            <w:r w:rsidRPr="00046D2A">
              <w:rPr>
                <w:position w:val="-12"/>
                <w:lang w:val="en-GB"/>
              </w:rPr>
              <w:object w:dxaOrig="300" w:dyaOrig="360" w14:anchorId="229C9E87">
                <v:shape id="_x0000_i1080" type="#_x0000_t75" style="width:15.75pt;height:18.75pt" o:ole="">
                  <v:imagedata r:id="rId130" o:title=""/>
                </v:shape>
                <o:OLEObject Type="Embed" ProgID="Equation.DSMT4" ShapeID="_x0000_i1080" DrawAspect="Content" ObjectID="_1692169422" r:id="rId131"/>
              </w:object>
            </w:r>
          </w:p>
        </w:tc>
        <w:tc>
          <w:tcPr>
            <w:tcW w:w="8397" w:type="dxa"/>
            <w:tcBorders>
              <w:top w:val="nil"/>
              <w:left w:val="nil"/>
              <w:bottom w:val="nil"/>
              <w:right w:val="nil"/>
            </w:tcBorders>
            <w:shd w:val="clear" w:color="auto" w:fill="auto"/>
          </w:tcPr>
          <w:p w14:paraId="55BE8688" w14:textId="77777777" w:rsidR="00B60186" w:rsidRPr="009D3012" w:rsidRDefault="00B60186" w:rsidP="0056481D">
            <w:pPr>
              <w:widowControl w:val="0"/>
              <w:spacing w:after="0" w:line="240" w:lineRule="auto"/>
              <w:jc w:val="left"/>
              <w:rPr>
                <w:rFonts w:eastAsia="Times New Roman" w:cs="Arial"/>
                <w:lang w:val="en-US" w:eastAsia="fr-FR"/>
              </w:rPr>
            </w:pPr>
            <w:r w:rsidRPr="009D3012">
              <w:rPr>
                <w:rFonts w:eastAsia="Times New Roman" w:cs="Arial"/>
                <w:bCs/>
                <w:iCs/>
                <w:lang w:val="en-US" w:eastAsia="fr-FR"/>
              </w:rPr>
              <w:t>Angle formed between the CFRP system and longitudinal axis of a member in bending</w:t>
            </w:r>
            <w:r w:rsidRPr="009D3012">
              <w:rPr>
                <w:rFonts w:eastAsia="Times New Roman" w:cs="Arial"/>
                <w:lang w:val="en-US" w:eastAsia="fr-FR"/>
              </w:rPr>
              <w:tab/>
            </w:r>
          </w:p>
        </w:tc>
      </w:tr>
      <w:tr w:rsidR="00B60186" w:rsidRPr="001455DC" w14:paraId="7B577FA3" w14:textId="77777777" w:rsidTr="009D3012">
        <w:trPr>
          <w:trHeight w:val="300"/>
        </w:trPr>
        <w:tc>
          <w:tcPr>
            <w:tcW w:w="1546" w:type="dxa"/>
            <w:tcBorders>
              <w:top w:val="nil"/>
              <w:left w:val="nil"/>
              <w:bottom w:val="nil"/>
              <w:right w:val="nil"/>
            </w:tcBorders>
            <w:shd w:val="clear" w:color="auto" w:fill="auto"/>
          </w:tcPr>
          <w:p w14:paraId="0A3967DF" w14:textId="6FFE587B" w:rsidR="00B60186" w:rsidRPr="009D3012" w:rsidRDefault="00046D2A" w:rsidP="00046D2A">
            <w:pPr>
              <w:widowControl w:val="0"/>
              <w:spacing w:after="0" w:line="240" w:lineRule="auto"/>
              <w:jc w:val="left"/>
              <w:rPr>
                <w:rFonts w:cs="Arial"/>
                <w:lang w:val="en-US" w:eastAsia="fr-FR"/>
              </w:rPr>
            </w:pPr>
            <w:r w:rsidRPr="00046D2A">
              <w:rPr>
                <w:position w:val="-12"/>
                <w:lang w:val="en-GB"/>
              </w:rPr>
              <w:object w:dxaOrig="460" w:dyaOrig="360" w14:anchorId="0CA2F40F">
                <v:shape id="_x0000_i1081" type="#_x0000_t75" style="width:22.5pt;height:18.75pt" o:ole="">
                  <v:imagedata r:id="rId132" o:title=""/>
                </v:shape>
                <o:OLEObject Type="Embed" ProgID="Equation.DSMT4" ShapeID="_x0000_i1081" DrawAspect="Content" ObjectID="_1692169423" r:id="rId133"/>
              </w:object>
            </w:r>
            <w:r w:rsidR="00B60186" w:rsidRPr="009D3012">
              <w:rPr>
                <w:rFonts w:eastAsia="Times New Roman" w:cs="Arial"/>
                <w:vertAlign w:val="subscript"/>
                <w:lang w:val="en-US" w:eastAsia="fr-FR"/>
              </w:rPr>
              <w:t xml:space="preserve"> </w:t>
            </w:r>
          </w:p>
        </w:tc>
        <w:tc>
          <w:tcPr>
            <w:tcW w:w="8397" w:type="dxa"/>
            <w:tcBorders>
              <w:top w:val="nil"/>
              <w:left w:val="nil"/>
              <w:bottom w:val="nil"/>
              <w:right w:val="nil"/>
            </w:tcBorders>
            <w:shd w:val="clear" w:color="auto" w:fill="auto"/>
          </w:tcPr>
          <w:p w14:paraId="57529EFE" w14:textId="77777777" w:rsidR="00B60186" w:rsidRPr="009D3012" w:rsidRDefault="00B60186" w:rsidP="0056481D">
            <w:pPr>
              <w:widowControl w:val="0"/>
              <w:spacing w:after="0" w:line="240" w:lineRule="auto"/>
              <w:jc w:val="left"/>
              <w:rPr>
                <w:rFonts w:eastAsia="Times New Roman" w:cs="Arial"/>
                <w:lang w:val="en-US" w:eastAsia="fr-FR"/>
              </w:rPr>
            </w:pPr>
            <w:r w:rsidRPr="009D3012">
              <w:rPr>
                <w:rFonts w:eastAsia="Times New Roman" w:cs="Arial"/>
                <w:lang w:val="en-US" w:eastAsia="fr-FR"/>
              </w:rPr>
              <w:t>Reduction factor for fatigue</w:t>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p>
        </w:tc>
      </w:tr>
      <w:tr w:rsidR="00B60186" w:rsidRPr="001455DC" w14:paraId="3712DBAC" w14:textId="77777777" w:rsidTr="009D3012">
        <w:trPr>
          <w:trHeight w:val="57"/>
        </w:trPr>
        <w:tc>
          <w:tcPr>
            <w:tcW w:w="1546" w:type="dxa"/>
            <w:tcBorders>
              <w:top w:val="nil"/>
              <w:left w:val="nil"/>
              <w:bottom w:val="nil"/>
              <w:right w:val="nil"/>
            </w:tcBorders>
            <w:shd w:val="clear" w:color="auto" w:fill="auto"/>
          </w:tcPr>
          <w:p w14:paraId="66C87D3C" w14:textId="34AAB065" w:rsidR="00B60186" w:rsidRPr="009D3012" w:rsidRDefault="00046D2A" w:rsidP="00046D2A">
            <w:pPr>
              <w:widowControl w:val="0"/>
              <w:tabs>
                <w:tab w:val="center" w:pos="670"/>
                <w:tab w:val="right" w:pos="1340"/>
              </w:tabs>
              <w:spacing w:after="0" w:line="240" w:lineRule="auto"/>
              <w:jc w:val="left"/>
              <w:rPr>
                <w:rFonts w:cs="Arial"/>
                <w:lang w:val="en-US" w:eastAsia="fr-FR"/>
              </w:rPr>
            </w:pPr>
            <w:r w:rsidRPr="00046D2A">
              <w:rPr>
                <w:position w:val="-12"/>
                <w:lang w:val="en-GB"/>
              </w:rPr>
              <w:object w:dxaOrig="260" w:dyaOrig="360" w14:anchorId="4B9C5ACD">
                <v:shape id="_x0000_i1082" type="#_x0000_t75" style="width:13.5pt;height:18.75pt" o:ole="">
                  <v:imagedata r:id="rId134" o:title=""/>
                </v:shape>
                <o:OLEObject Type="Embed" ProgID="Equation.DSMT4" ShapeID="_x0000_i1082" DrawAspect="Content" ObjectID="_1692169424" r:id="rId135"/>
              </w:object>
            </w:r>
          </w:p>
        </w:tc>
        <w:tc>
          <w:tcPr>
            <w:tcW w:w="8397" w:type="dxa"/>
            <w:tcBorders>
              <w:top w:val="nil"/>
              <w:left w:val="nil"/>
              <w:bottom w:val="nil"/>
              <w:right w:val="nil"/>
            </w:tcBorders>
            <w:shd w:val="clear" w:color="auto" w:fill="auto"/>
          </w:tcPr>
          <w:p w14:paraId="34794BBA" w14:textId="77777777" w:rsidR="00B60186" w:rsidRPr="009D3012" w:rsidRDefault="00B60186" w:rsidP="0056481D">
            <w:pPr>
              <w:widowControl w:val="0"/>
              <w:spacing w:after="0" w:line="240" w:lineRule="auto"/>
              <w:jc w:val="left"/>
              <w:rPr>
                <w:rFonts w:eastAsia="Times New Roman" w:cs="Arial"/>
                <w:spacing w:val="-1"/>
                <w:lang w:val="en-US"/>
              </w:rPr>
            </w:pPr>
            <w:r w:rsidRPr="009D3012">
              <w:rPr>
                <w:rFonts w:eastAsia="Times New Roman" w:cs="Arial"/>
                <w:bCs/>
                <w:iCs/>
                <w:lang w:val="en-US" w:eastAsia="fr-FR"/>
              </w:rPr>
              <w:t>Reduction factor for bond capacity taking account of anchorage length</w:t>
            </w:r>
            <w:r w:rsidRPr="009D3012">
              <w:rPr>
                <w:rFonts w:eastAsia="Times New Roman" w:cs="Arial"/>
                <w:lang w:val="en-US" w:eastAsia="fr-FR"/>
              </w:rPr>
              <w:tab/>
            </w:r>
            <w:r w:rsidRPr="009D3012">
              <w:rPr>
                <w:rFonts w:eastAsia="Times New Roman" w:cs="Arial"/>
                <w:lang w:val="en-US" w:eastAsia="fr-FR"/>
              </w:rPr>
              <w:tab/>
            </w:r>
          </w:p>
        </w:tc>
      </w:tr>
      <w:tr w:rsidR="00B60186" w:rsidRPr="001455DC" w14:paraId="70DCDF05" w14:textId="77777777" w:rsidTr="009D3012">
        <w:trPr>
          <w:trHeight w:val="125"/>
        </w:trPr>
        <w:tc>
          <w:tcPr>
            <w:tcW w:w="1546" w:type="dxa"/>
            <w:tcBorders>
              <w:top w:val="nil"/>
              <w:left w:val="nil"/>
              <w:bottom w:val="nil"/>
              <w:right w:val="nil"/>
            </w:tcBorders>
            <w:shd w:val="clear" w:color="auto" w:fill="auto"/>
          </w:tcPr>
          <w:p w14:paraId="698234CA" w14:textId="4DEDBE4F" w:rsidR="00B60186" w:rsidRPr="009D3012" w:rsidRDefault="00046D2A" w:rsidP="00046D2A">
            <w:pPr>
              <w:widowControl w:val="0"/>
              <w:tabs>
                <w:tab w:val="center" w:pos="670"/>
                <w:tab w:val="right" w:pos="1340"/>
              </w:tabs>
              <w:spacing w:after="0" w:line="240" w:lineRule="auto"/>
              <w:jc w:val="left"/>
              <w:rPr>
                <w:rFonts w:eastAsia="Times New Roman" w:cs="Arial"/>
                <w:i/>
                <w:lang w:val="en-US" w:eastAsia="fr-FR"/>
              </w:rPr>
            </w:pPr>
            <w:r w:rsidRPr="00046D2A">
              <w:rPr>
                <w:position w:val="-12"/>
                <w:lang w:val="en-GB"/>
              </w:rPr>
              <w:object w:dxaOrig="300" w:dyaOrig="360" w14:anchorId="4D4DBD31">
                <v:shape id="_x0000_i1083" type="#_x0000_t75" style="width:15.75pt;height:18.75pt" o:ole="">
                  <v:imagedata r:id="rId136" o:title=""/>
                </v:shape>
                <o:OLEObject Type="Embed" ProgID="Equation.DSMT4" ShapeID="_x0000_i1083" DrawAspect="Content" ObjectID="_1692169425" r:id="rId137"/>
              </w:object>
            </w:r>
          </w:p>
        </w:tc>
        <w:tc>
          <w:tcPr>
            <w:tcW w:w="8397" w:type="dxa"/>
            <w:tcBorders>
              <w:top w:val="nil"/>
              <w:left w:val="nil"/>
              <w:bottom w:val="nil"/>
              <w:right w:val="nil"/>
            </w:tcBorders>
            <w:shd w:val="clear" w:color="auto" w:fill="auto"/>
          </w:tcPr>
          <w:p w14:paraId="43302B62" w14:textId="77777777" w:rsidR="00B60186" w:rsidRPr="009D3012" w:rsidRDefault="00B60186" w:rsidP="0056481D">
            <w:pPr>
              <w:widowControl w:val="0"/>
              <w:spacing w:after="0" w:line="240" w:lineRule="auto"/>
              <w:jc w:val="left"/>
              <w:rPr>
                <w:rFonts w:eastAsia="Times New Roman" w:cs="Arial"/>
                <w:spacing w:val="-1"/>
                <w:lang w:val="en-US"/>
              </w:rPr>
            </w:pPr>
            <w:r w:rsidRPr="009D3012">
              <w:rPr>
                <w:rFonts w:eastAsia="Times New Roman" w:cs="Arial"/>
                <w:spacing w:val="-1"/>
                <w:lang w:val="en-US"/>
              </w:rPr>
              <w:t>Angle formed between the CFRP system and the transverse axis of a column strengthened by CFRP confinement</w:t>
            </w:r>
            <w:r w:rsidRPr="009D3012">
              <w:rPr>
                <w:rFonts w:eastAsia="Times New Roman" w:cs="Arial"/>
                <w:spacing w:val="-1"/>
                <w:lang w:val="en-US"/>
              </w:rPr>
              <w:tab/>
            </w:r>
            <w:r w:rsidRPr="009D3012">
              <w:rPr>
                <w:rFonts w:eastAsia="Times New Roman" w:cs="Arial"/>
                <w:spacing w:val="-1"/>
                <w:lang w:val="en-US"/>
              </w:rPr>
              <w:tab/>
            </w:r>
            <w:r w:rsidRPr="009D3012">
              <w:rPr>
                <w:rFonts w:eastAsia="Times New Roman" w:cs="Arial"/>
                <w:spacing w:val="-1"/>
                <w:lang w:val="en-US"/>
              </w:rPr>
              <w:tab/>
            </w:r>
            <w:r w:rsidRPr="009D3012">
              <w:rPr>
                <w:rFonts w:eastAsia="Times New Roman" w:cs="Arial"/>
                <w:spacing w:val="-1"/>
                <w:lang w:val="en-US"/>
              </w:rPr>
              <w:tab/>
            </w:r>
            <w:r w:rsidRPr="009D3012">
              <w:rPr>
                <w:rFonts w:eastAsia="Times New Roman" w:cs="Arial"/>
                <w:spacing w:val="-1"/>
                <w:lang w:val="en-US"/>
              </w:rPr>
              <w:tab/>
            </w:r>
          </w:p>
        </w:tc>
      </w:tr>
      <w:tr w:rsidR="00B60186" w:rsidRPr="001455DC" w14:paraId="0A30FB9B" w14:textId="77777777" w:rsidTr="009D3012">
        <w:trPr>
          <w:trHeight w:val="166"/>
        </w:trPr>
        <w:tc>
          <w:tcPr>
            <w:tcW w:w="1546" w:type="dxa"/>
            <w:tcBorders>
              <w:top w:val="nil"/>
              <w:left w:val="nil"/>
              <w:bottom w:val="nil"/>
              <w:right w:val="nil"/>
            </w:tcBorders>
            <w:shd w:val="clear" w:color="auto" w:fill="auto"/>
          </w:tcPr>
          <w:p w14:paraId="6464C065" w14:textId="415AA80C" w:rsidR="00B60186" w:rsidRPr="009D3012" w:rsidRDefault="00046D2A" w:rsidP="00046D2A">
            <w:pPr>
              <w:widowControl w:val="0"/>
              <w:tabs>
                <w:tab w:val="center" w:pos="670"/>
                <w:tab w:val="right" w:pos="1340"/>
              </w:tabs>
              <w:spacing w:after="0" w:line="240" w:lineRule="auto"/>
              <w:jc w:val="left"/>
              <w:rPr>
                <w:rFonts w:eastAsia="Times New Roman" w:cs="Arial"/>
                <w:i/>
                <w:lang w:val="en-US" w:eastAsia="fr-FR"/>
              </w:rPr>
            </w:pPr>
            <w:r w:rsidRPr="00046D2A">
              <w:rPr>
                <w:position w:val="-12"/>
                <w:lang w:val="en-GB"/>
              </w:rPr>
              <w:object w:dxaOrig="400" w:dyaOrig="360" w14:anchorId="657486E3">
                <v:shape id="_x0000_i1084" type="#_x0000_t75" style="width:20.25pt;height:18.75pt" o:ole="">
                  <v:imagedata r:id="rId138" o:title=""/>
                </v:shape>
                <o:OLEObject Type="Embed" ProgID="Equation.DSMT4" ShapeID="_x0000_i1084" DrawAspect="Content" ObjectID="_1692169426" r:id="rId139"/>
              </w:object>
            </w:r>
          </w:p>
        </w:tc>
        <w:tc>
          <w:tcPr>
            <w:tcW w:w="8397" w:type="dxa"/>
            <w:tcBorders>
              <w:top w:val="nil"/>
              <w:left w:val="nil"/>
              <w:bottom w:val="nil"/>
              <w:right w:val="nil"/>
            </w:tcBorders>
            <w:shd w:val="clear" w:color="auto" w:fill="auto"/>
          </w:tcPr>
          <w:p w14:paraId="0835CD05" w14:textId="77777777" w:rsidR="00B60186" w:rsidRPr="009D3012" w:rsidRDefault="00B60186" w:rsidP="0056481D">
            <w:pPr>
              <w:widowControl w:val="0"/>
              <w:spacing w:after="0" w:line="240" w:lineRule="auto"/>
              <w:jc w:val="left"/>
              <w:rPr>
                <w:rFonts w:eastAsia="Times New Roman" w:cs="Arial"/>
                <w:spacing w:val="-1"/>
                <w:lang w:val="en-US"/>
              </w:rPr>
            </w:pPr>
            <w:r w:rsidRPr="009D3012">
              <w:rPr>
                <w:rFonts w:eastAsia="Times New Roman" w:cs="Arial"/>
                <w:spacing w:val="-1"/>
                <w:lang w:val="en-US"/>
              </w:rPr>
              <w:t xml:space="preserve">Partial factor for adhesively bonded </w:t>
            </w:r>
            <w:r w:rsidRPr="009D3012">
              <w:rPr>
                <w:rFonts w:eastAsia="Times New Roman" w:cs="Arial"/>
                <w:lang w:val="en-US" w:eastAsia="fr-FR"/>
              </w:rPr>
              <w:t>CFRP reinforcement for</w:t>
            </w:r>
            <w:r w:rsidRPr="009D3012">
              <w:rPr>
                <w:rFonts w:eastAsia="Times New Roman" w:cs="Arial"/>
                <w:spacing w:val="-1"/>
                <w:lang w:val="en-US"/>
              </w:rPr>
              <w:t xml:space="preserve"> bond</w:t>
            </w:r>
            <w:r w:rsidRPr="009D3012">
              <w:rPr>
                <w:rFonts w:eastAsia="Times New Roman" w:cs="Arial"/>
                <w:spacing w:val="-1"/>
                <w:lang w:val="en-US"/>
              </w:rPr>
              <w:tab/>
            </w:r>
            <w:r w:rsidRPr="009D3012">
              <w:rPr>
                <w:rFonts w:eastAsia="Times New Roman" w:cs="Arial"/>
                <w:spacing w:val="-1"/>
                <w:lang w:val="en-US"/>
              </w:rPr>
              <w:tab/>
            </w:r>
          </w:p>
        </w:tc>
      </w:tr>
      <w:tr w:rsidR="00B60186" w:rsidRPr="001455DC" w14:paraId="3ABE1382" w14:textId="77777777" w:rsidTr="009D3012">
        <w:trPr>
          <w:trHeight w:val="300"/>
        </w:trPr>
        <w:tc>
          <w:tcPr>
            <w:tcW w:w="1546" w:type="dxa"/>
            <w:tcBorders>
              <w:top w:val="nil"/>
              <w:left w:val="nil"/>
              <w:bottom w:val="nil"/>
              <w:right w:val="nil"/>
            </w:tcBorders>
            <w:shd w:val="clear" w:color="auto" w:fill="auto"/>
          </w:tcPr>
          <w:p w14:paraId="143116DE" w14:textId="4024082E" w:rsidR="00B60186" w:rsidRPr="009D3012" w:rsidRDefault="00046D2A" w:rsidP="00046D2A">
            <w:pPr>
              <w:widowControl w:val="0"/>
              <w:tabs>
                <w:tab w:val="center" w:pos="670"/>
                <w:tab w:val="right" w:pos="1340"/>
              </w:tabs>
              <w:spacing w:after="0" w:line="240" w:lineRule="auto"/>
              <w:jc w:val="left"/>
              <w:rPr>
                <w:rFonts w:eastAsia="Times New Roman" w:cs="Arial"/>
                <w:i/>
                <w:lang w:val="en-US" w:eastAsia="fr-FR"/>
              </w:rPr>
            </w:pPr>
            <w:r w:rsidRPr="00046D2A">
              <w:rPr>
                <w:position w:val="-12"/>
                <w:lang w:val="en-GB"/>
              </w:rPr>
              <w:object w:dxaOrig="260" w:dyaOrig="360" w14:anchorId="2FBB0822">
                <v:shape id="_x0000_i1085" type="#_x0000_t75" style="width:13.5pt;height:18.75pt" o:ole="">
                  <v:imagedata r:id="rId140" o:title=""/>
                </v:shape>
                <o:OLEObject Type="Embed" ProgID="Equation.DSMT4" ShapeID="_x0000_i1085" DrawAspect="Content" ObjectID="_1692169427" r:id="rId141"/>
              </w:object>
            </w:r>
          </w:p>
        </w:tc>
        <w:tc>
          <w:tcPr>
            <w:tcW w:w="8397" w:type="dxa"/>
            <w:tcBorders>
              <w:top w:val="nil"/>
              <w:left w:val="nil"/>
              <w:bottom w:val="nil"/>
              <w:right w:val="nil"/>
            </w:tcBorders>
            <w:shd w:val="clear" w:color="auto" w:fill="auto"/>
          </w:tcPr>
          <w:p w14:paraId="3A4706E9" w14:textId="77777777" w:rsidR="00B60186" w:rsidRPr="009D3012" w:rsidRDefault="00B60186" w:rsidP="0056481D">
            <w:pPr>
              <w:widowControl w:val="0"/>
              <w:spacing w:after="0" w:line="240" w:lineRule="auto"/>
              <w:jc w:val="left"/>
              <w:rPr>
                <w:rFonts w:eastAsia="Times New Roman" w:cs="Arial"/>
                <w:spacing w:val="-1"/>
                <w:lang w:val="en-US"/>
              </w:rPr>
            </w:pPr>
            <w:r w:rsidRPr="009D3012">
              <w:rPr>
                <w:rFonts w:eastAsia="Times New Roman" w:cs="Arial"/>
                <w:spacing w:val="-1"/>
                <w:lang w:val="en-US"/>
              </w:rPr>
              <w:t xml:space="preserve">Partial factor for tensile strength of adhesively bonded </w:t>
            </w:r>
            <w:r w:rsidRPr="009D3012">
              <w:rPr>
                <w:rFonts w:eastAsia="Times New Roman" w:cs="Arial"/>
                <w:lang w:val="en-US" w:eastAsia="fr-FR"/>
              </w:rPr>
              <w:t>CFRP reinforcement</w:t>
            </w:r>
            <w:r w:rsidRPr="009D3012">
              <w:rPr>
                <w:rFonts w:eastAsia="Times New Roman" w:cs="Arial"/>
                <w:lang w:val="en-US" w:eastAsia="fr-FR"/>
              </w:rPr>
              <w:tab/>
            </w:r>
          </w:p>
        </w:tc>
      </w:tr>
      <w:tr w:rsidR="00B60186" w:rsidRPr="001455DC" w14:paraId="158333F9" w14:textId="77777777" w:rsidTr="009D3012">
        <w:trPr>
          <w:trHeight w:val="132"/>
        </w:trPr>
        <w:tc>
          <w:tcPr>
            <w:tcW w:w="1546" w:type="dxa"/>
            <w:tcBorders>
              <w:top w:val="nil"/>
              <w:left w:val="nil"/>
              <w:bottom w:val="nil"/>
              <w:right w:val="nil"/>
            </w:tcBorders>
            <w:shd w:val="clear" w:color="auto" w:fill="auto"/>
          </w:tcPr>
          <w:p w14:paraId="28FF37A6" w14:textId="29C9DCB0" w:rsidR="00B60186" w:rsidRPr="009D3012" w:rsidRDefault="00046D2A" w:rsidP="00046D2A">
            <w:pPr>
              <w:widowControl w:val="0"/>
              <w:tabs>
                <w:tab w:val="center" w:pos="670"/>
                <w:tab w:val="right" w:pos="1340"/>
              </w:tabs>
              <w:spacing w:after="0" w:line="240" w:lineRule="auto"/>
              <w:jc w:val="left"/>
              <w:rPr>
                <w:rFonts w:cs="Arial"/>
                <w:lang w:val="en-US" w:eastAsia="fr-FR"/>
              </w:rPr>
            </w:pPr>
            <w:r w:rsidRPr="00046D2A">
              <w:rPr>
                <w:position w:val="-12"/>
                <w:lang w:val="en-GB"/>
              </w:rPr>
              <w:object w:dxaOrig="380" w:dyaOrig="360" w14:anchorId="67E9B60F">
                <v:shape id="_x0000_i1086" type="#_x0000_t75" style="width:18.75pt;height:18.75pt" o:ole="">
                  <v:imagedata r:id="rId142" o:title=""/>
                </v:shape>
                <o:OLEObject Type="Embed" ProgID="Equation.DSMT4" ShapeID="_x0000_i1086" DrawAspect="Content" ObjectID="_1692169428" r:id="rId143"/>
              </w:object>
            </w:r>
          </w:p>
        </w:tc>
        <w:tc>
          <w:tcPr>
            <w:tcW w:w="8397" w:type="dxa"/>
            <w:tcBorders>
              <w:top w:val="nil"/>
              <w:left w:val="nil"/>
              <w:bottom w:val="nil"/>
              <w:right w:val="nil"/>
            </w:tcBorders>
            <w:shd w:val="clear" w:color="auto" w:fill="auto"/>
          </w:tcPr>
          <w:p w14:paraId="6206917A" w14:textId="77777777" w:rsidR="00B60186" w:rsidRPr="009D3012" w:rsidRDefault="00B60186" w:rsidP="0056481D">
            <w:pPr>
              <w:widowControl w:val="0"/>
              <w:spacing w:after="0" w:line="240" w:lineRule="auto"/>
              <w:jc w:val="left"/>
              <w:rPr>
                <w:rFonts w:eastAsia="Times New Roman" w:cs="Arial"/>
                <w:spacing w:val="-1"/>
                <w:lang w:val="en-US"/>
              </w:rPr>
            </w:pPr>
            <w:r w:rsidRPr="009D3012">
              <w:rPr>
                <w:rFonts w:eastAsia="Times New Roman" w:cs="Arial"/>
                <w:lang w:val="en-US" w:eastAsia="fr-FR"/>
              </w:rPr>
              <w:t xml:space="preserve">Long-term design strain of adhesively bonded CFRP reinforcement </w:t>
            </w:r>
            <w:r w:rsidRPr="009D3012">
              <w:rPr>
                <w:rFonts w:eastAsia="Times New Roman" w:cs="Arial"/>
                <w:lang w:val="en-US" w:eastAsia="fr-FR"/>
              </w:rPr>
              <w:tab/>
            </w:r>
            <w:r w:rsidRPr="009D3012">
              <w:rPr>
                <w:rFonts w:eastAsia="Times New Roman" w:cs="Arial"/>
                <w:lang w:val="en-US" w:eastAsia="fr-FR"/>
              </w:rPr>
              <w:tab/>
            </w:r>
          </w:p>
        </w:tc>
      </w:tr>
      <w:tr w:rsidR="00B60186" w:rsidRPr="001455DC" w14:paraId="6F4C7F56" w14:textId="77777777" w:rsidTr="009D3012">
        <w:trPr>
          <w:trHeight w:val="300"/>
        </w:trPr>
        <w:tc>
          <w:tcPr>
            <w:tcW w:w="1546" w:type="dxa"/>
            <w:tcBorders>
              <w:top w:val="nil"/>
              <w:left w:val="nil"/>
              <w:bottom w:val="nil"/>
              <w:right w:val="nil"/>
            </w:tcBorders>
            <w:shd w:val="clear" w:color="auto" w:fill="auto"/>
          </w:tcPr>
          <w:p w14:paraId="656D8CCE" w14:textId="2DEAF51B" w:rsidR="00B60186" w:rsidRPr="009D3012" w:rsidRDefault="00046D2A" w:rsidP="00046D2A">
            <w:pPr>
              <w:widowControl w:val="0"/>
              <w:tabs>
                <w:tab w:val="center" w:pos="670"/>
                <w:tab w:val="right" w:pos="1340"/>
              </w:tabs>
              <w:spacing w:after="0" w:line="240" w:lineRule="auto"/>
              <w:jc w:val="left"/>
              <w:rPr>
                <w:rFonts w:cs="Arial"/>
                <w:lang w:val="en-US" w:eastAsia="fr-FR"/>
              </w:rPr>
            </w:pPr>
            <w:r w:rsidRPr="00046D2A">
              <w:rPr>
                <w:position w:val="-12"/>
                <w:lang w:val="en-GB"/>
              </w:rPr>
              <w:object w:dxaOrig="380" w:dyaOrig="360" w14:anchorId="37A01A72">
                <v:shape id="_x0000_i1087" type="#_x0000_t75" style="width:18.75pt;height:18.75pt" o:ole="">
                  <v:imagedata r:id="rId144" o:title=""/>
                </v:shape>
                <o:OLEObject Type="Embed" ProgID="Equation.DSMT4" ShapeID="_x0000_i1087" DrawAspect="Content" ObjectID="_1692169429" r:id="rId145"/>
              </w:object>
            </w:r>
          </w:p>
        </w:tc>
        <w:tc>
          <w:tcPr>
            <w:tcW w:w="8397" w:type="dxa"/>
            <w:tcBorders>
              <w:top w:val="nil"/>
              <w:left w:val="nil"/>
              <w:bottom w:val="nil"/>
              <w:right w:val="nil"/>
            </w:tcBorders>
            <w:shd w:val="clear" w:color="auto" w:fill="auto"/>
          </w:tcPr>
          <w:p w14:paraId="36BFA144" w14:textId="77777777" w:rsidR="00B60186" w:rsidRPr="009D3012" w:rsidRDefault="00B60186" w:rsidP="0056481D">
            <w:pPr>
              <w:widowControl w:val="0"/>
              <w:spacing w:after="0" w:line="240" w:lineRule="auto"/>
              <w:jc w:val="left"/>
              <w:rPr>
                <w:rFonts w:eastAsia="Times New Roman" w:cs="Arial"/>
                <w:lang w:val="en-US" w:eastAsia="fr-FR"/>
              </w:rPr>
            </w:pPr>
            <w:r w:rsidRPr="009D3012">
              <w:rPr>
                <w:rFonts w:eastAsia="Times New Roman" w:cs="Arial"/>
                <w:lang w:val="en-US" w:eastAsia="fr-FR"/>
              </w:rPr>
              <w:t>Characteristic ultimate strain for the adhesively bonded CFRP reinforcement</w:t>
            </w:r>
          </w:p>
        </w:tc>
      </w:tr>
      <w:tr w:rsidR="00B60186" w:rsidRPr="001455DC" w14:paraId="7E66F12E" w14:textId="77777777" w:rsidTr="009D3012">
        <w:trPr>
          <w:trHeight w:val="112"/>
        </w:trPr>
        <w:tc>
          <w:tcPr>
            <w:tcW w:w="1546" w:type="dxa"/>
            <w:tcBorders>
              <w:top w:val="nil"/>
              <w:left w:val="nil"/>
              <w:bottom w:val="nil"/>
              <w:right w:val="nil"/>
            </w:tcBorders>
            <w:shd w:val="clear" w:color="auto" w:fill="auto"/>
          </w:tcPr>
          <w:p w14:paraId="64BDED1E" w14:textId="02EF35AE" w:rsidR="00B60186" w:rsidRPr="009D3012" w:rsidRDefault="00046D2A" w:rsidP="00046D2A">
            <w:pPr>
              <w:widowControl w:val="0"/>
              <w:tabs>
                <w:tab w:val="center" w:pos="670"/>
                <w:tab w:val="right" w:pos="1340"/>
              </w:tabs>
              <w:spacing w:after="0" w:line="240" w:lineRule="auto"/>
              <w:jc w:val="left"/>
              <w:rPr>
                <w:rFonts w:cs="Arial"/>
                <w:lang w:val="en-US" w:eastAsia="fr-FR"/>
              </w:rPr>
            </w:pPr>
            <w:r w:rsidRPr="00046D2A">
              <w:rPr>
                <w:position w:val="-12"/>
                <w:lang w:val="en-GB"/>
              </w:rPr>
              <w:object w:dxaOrig="260" w:dyaOrig="360" w14:anchorId="07D968B0">
                <v:shape id="_x0000_i1088" type="#_x0000_t75" style="width:13.5pt;height:18.75pt" o:ole="">
                  <v:imagedata r:id="rId146" o:title=""/>
                </v:shape>
                <o:OLEObject Type="Embed" ProgID="Equation.DSMT4" ShapeID="_x0000_i1088" DrawAspect="Content" ObjectID="_1692169430" r:id="rId147"/>
              </w:object>
            </w:r>
          </w:p>
        </w:tc>
        <w:tc>
          <w:tcPr>
            <w:tcW w:w="8397" w:type="dxa"/>
            <w:tcBorders>
              <w:top w:val="nil"/>
              <w:left w:val="nil"/>
              <w:bottom w:val="nil"/>
              <w:right w:val="nil"/>
            </w:tcBorders>
            <w:shd w:val="clear" w:color="auto" w:fill="auto"/>
          </w:tcPr>
          <w:p w14:paraId="653E80DF" w14:textId="77777777" w:rsidR="00B60186" w:rsidRPr="009D3012" w:rsidRDefault="00B60186" w:rsidP="0056481D">
            <w:pPr>
              <w:widowControl w:val="0"/>
              <w:spacing w:after="0" w:line="240" w:lineRule="auto"/>
              <w:jc w:val="left"/>
              <w:rPr>
                <w:rFonts w:eastAsia="Times New Roman" w:cs="Arial"/>
                <w:lang w:val="en-US" w:eastAsia="fr-FR"/>
              </w:rPr>
            </w:pPr>
            <w:r w:rsidRPr="009D3012">
              <w:rPr>
                <w:rFonts w:eastAsia="Times New Roman" w:cs="Arial"/>
                <w:lang w:val="en-US" w:eastAsia="fr-FR"/>
              </w:rPr>
              <w:t>Reduction factor applied to the tensile stress of the EBR CFRP sheet or strip</w:t>
            </w:r>
            <w:r w:rsidRPr="009D3012">
              <w:rPr>
                <w:rFonts w:eastAsia="Times New Roman" w:cs="Arial"/>
                <w:lang w:val="en-US" w:eastAsia="fr-FR"/>
              </w:rPr>
              <w:tab/>
            </w:r>
          </w:p>
        </w:tc>
      </w:tr>
      <w:tr w:rsidR="00B60186" w:rsidRPr="001455DC" w14:paraId="797326D5" w14:textId="77777777" w:rsidTr="009D3012">
        <w:trPr>
          <w:trHeight w:val="300"/>
        </w:trPr>
        <w:tc>
          <w:tcPr>
            <w:tcW w:w="1546" w:type="dxa"/>
            <w:tcBorders>
              <w:top w:val="nil"/>
              <w:left w:val="nil"/>
              <w:bottom w:val="nil"/>
              <w:right w:val="nil"/>
            </w:tcBorders>
            <w:shd w:val="clear" w:color="auto" w:fill="auto"/>
          </w:tcPr>
          <w:p w14:paraId="4E3F6540" w14:textId="267DD474" w:rsidR="00B60186" w:rsidRPr="009D3012" w:rsidRDefault="001E7ABA" w:rsidP="00046D2A">
            <w:pPr>
              <w:widowControl w:val="0"/>
              <w:tabs>
                <w:tab w:val="center" w:pos="670"/>
                <w:tab w:val="right" w:pos="1340"/>
              </w:tabs>
              <w:spacing w:after="0" w:line="240" w:lineRule="auto"/>
              <w:jc w:val="left"/>
              <w:rPr>
                <w:rFonts w:eastAsia="Times New Roman"/>
                <w:lang w:val="en-US" w:eastAsia="fr-FR"/>
              </w:rPr>
            </w:pPr>
            <w:r>
              <w:rPr>
                <w:lang w:val="en-GB"/>
              </w:rPr>
              <w:object w:dxaOrig="460" w:dyaOrig="360" w14:anchorId="1884A0FE">
                <v:shape id="_x0000_i1089" type="#_x0000_t75" style="width:22.5pt;height:18.75pt" o:ole="">
                  <v:imagedata r:id="rId148" o:title=""/>
                </v:shape>
                <o:OLEObject Type="Embed" ProgID="Equation.DSMT4" ShapeID="_x0000_i1089" DrawAspect="Content" ObjectID="_1692169431" r:id="rId149"/>
              </w:object>
            </w:r>
            <w:r>
              <w:t xml:space="preserve"> </w:t>
            </w:r>
          </w:p>
        </w:tc>
        <w:tc>
          <w:tcPr>
            <w:tcW w:w="8397" w:type="dxa"/>
            <w:tcBorders>
              <w:top w:val="nil"/>
              <w:left w:val="nil"/>
              <w:bottom w:val="nil"/>
              <w:right w:val="nil"/>
            </w:tcBorders>
            <w:shd w:val="clear" w:color="auto" w:fill="auto"/>
          </w:tcPr>
          <w:p w14:paraId="711C25AF" w14:textId="77777777" w:rsidR="00B60186" w:rsidRPr="009D3012" w:rsidRDefault="00B60186" w:rsidP="0056481D">
            <w:pPr>
              <w:widowControl w:val="0"/>
              <w:spacing w:after="0" w:line="240" w:lineRule="auto"/>
              <w:jc w:val="left"/>
              <w:rPr>
                <w:rFonts w:eastAsia="Times New Roman" w:cs="Arial"/>
                <w:lang w:val="en-US" w:eastAsia="fr-FR"/>
              </w:rPr>
            </w:pPr>
            <w:r w:rsidRPr="009D3012">
              <w:rPr>
                <w:rFonts w:eastAsia="Times New Roman" w:cs="Arial"/>
                <w:lang w:val="en-US" w:eastAsia="fr-FR"/>
              </w:rPr>
              <w:t xml:space="preserve">Stress range of an NSM CFRP reinforcement subjected to fatigue </w:t>
            </w:r>
            <w:r w:rsidRPr="009D3012">
              <w:rPr>
                <w:rFonts w:eastAsia="Times New Roman" w:cs="Arial"/>
                <w:lang w:val="en-US" w:eastAsia="fr-FR"/>
              </w:rPr>
              <w:tab/>
            </w:r>
            <w:r w:rsidRPr="009D3012">
              <w:rPr>
                <w:rFonts w:eastAsia="Times New Roman" w:cs="Arial"/>
                <w:lang w:val="en-US" w:eastAsia="fr-FR"/>
              </w:rPr>
              <w:tab/>
            </w:r>
          </w:p>
        </w:tc>
      </w:tr>
      <w:tr w:rsidR="00B60186" w:rsidRPr="001455DC" w14:paraId="1AEA966D" w14:textId="77777777" w:rsidTr="009D3012">
        <w:trPr>
          <w:trHeight w:val="57"/>
        </w:trPr>
        <w:tc>
          <w:tcPr>
            <w:tcW w:w="1546" w:type="dxa"/>
            <w:tcBorders>
              <w:top w:val="nil"/>
              <w:left w:val="nil"/>
              <w:bottom w:val="nil"/>
              <w:right w:val="nil"/>
            </w:tcBorders>
            <w:shd w:val="clear" w:color="auto" w:fill="auto"/>
          </w:tcPr>
          <w:p w14:paraId="51A5A786" w14:textId="2DEE55E5" w:rsidR="00B60186" w:rsidRPr="009D3012" w:rsidRDefault="003D382C" w:rsidP="00046D2A">
            <w:pPr>
              <w:widowControl w:val="0"/>
              <w:tabs>
                <w:tab w:val="center" w:pos="670"/>
                <w:tab w:val="right" w:pos="1340"/>
              </w:tabs>
              <w:spacing w:after="0" w:line="240" w:lineRule="auto"/>
              <w:jc w:val="left"/>
              <w:rPr>
                <w:rFonts w:eastAsia="Times New Roman"/>
                <w:lang w:val="en-US" w:eastAsia="fr-FR"/>
              </w:rPr>
            </w:pPr>
            <w:r>
              <w:rPr>
                <w:lang w:val="en-GB"/>
              </w:rPr>
              <w:object w:dxaOrig="600" w:dyaOrig="360" w14:anchorId="444C31AB">
                <v:shape id="_x0000_i1090" type="#_x0000_t75" style="width:30pt;height:18.75pt" o:ole="">
                  <v:imagedata r:id="rId150" o:title=""/>
                </v:shape>
                <o:OLEObject Type="Embed" ProgID="Equation.DSMT4" ShapeID="_x0000_i1090" DrawAspect="Content" ObjectID="_1692169432" r:id="rId151"/>
              </w:object>
            </w:r>
            <w:r w:rsidR="001E7ABA">
              <w:t xml:space="preserve"> </w:t>
            </w:r>
          </w:p>
        </w:tc>
        <w:tc>
          <w:tcPr>
            <w:tcW w:w="8397" w:type="dxa"/>
            <w:tcBorders>
              <w:top w:val="nil"/>
              <w:left w:val="nil"/>
              <w:bottom w:val="nil"/>
              <w:right w:val="nil"/>
            </w:tcBorders>
            <w:shd w:val="clear" w:color="auto" w:fill="auto"/>
          </w:tcPr>
          <w:p w14:paraId="5B189A1E" w14:textId="77777777" w:rsidR="00B60186" w:rsidRPr="009D3012" w:rsidRDefault="00B60186" w:rsidP="0056481D">
            <w:pPr>
              <w:widowControl w:val="0"/>
              <w:spacing w:after="0" w:line="240" w:lineRule="auto"/>
              <w:jc w:val="left"/>
              <w:rPr>
                <w:rFonts w:eastAsia="Times New Roman" w:cs="Arial"/>
                <w:lang w:val="en-US" w:eastAsia="fr-FR"/>
              </w:rPr>
            </w:pPr>
            <w:r w:rsidRPr="009D3012">
              <w:rPr>
                <w:rFonts w:eastAsia="Times New Roman" w:cs="Arial"/>
                <w:lang w:val="en-US" w:eastAsia="fr-FR"/>
              </w:rPr>
              <w:t>Difference in CFRP tension stress between adjacent flexural cracks</w:t>
            </w:r>
            <w:r w:rsidRPr="009D3012">
              <w:rPr>
                <w:rFonts w:eastAsia="Times New Roman" w:cs="Arial"/>
                <w:lang w:val="en-US" w:eastAsia="fr-FR"/>
              </w:rPr>
              <w:tab/>
            </w:r>
            <w:r w:rsidRPr="009D3012">
              <w:rPr>
                <w:rFonts w:eastAsia="Times New Roman" w:cs="Arial"/>
                <w:lang w:val="en-US" w:eastAsia="fr-FR"/>
              </w:rPr>
              <w:tab/>
            </w:r>
          </w:p>
        </w:tc>
      </w:tr>
      <w:tr w:rsidR="00B60186" w:rsidRPr="001455DC" w14:paraId="24B51779" w14:textId="77777777" w:rsidTr="009D3012">
        <w:trPr>
          <w:trHeight w:val="300"/>
        </w:trPr>
        <w:tc>
          <w:tcPr>
            <w:tcW w:w="1546" w:type="dxa"/>
            <w:tcBorders>
              <w:top w:val="nil"/>
              <w:left w:val="nil"/>
              <w:bottom w:val="nil"/>
              <w:right w:val="nil"/>
            </w:tcBorders>
            <w:shd w:val="clear" w:color="auto" w:fill="auto"/>
          </w:tcPr>
          <w:p w14:paraId="3499A4D2" w14:textId="0E337E3A" w:rsidR="00B60186" w:rsidRPr="009D3012" w:rsidRDefault="003D382C" w:rsidP="00046D2A">
            <w:pPr>
              <w:widowControl w:val="0"/>
              <w:tabs>
                <w:tab w:val="center" w:pos="670"/>
                <w:tab w:val="right" w:pos="1340"/>
              </w:tabs>
              <w:spacing w:after="0" w:line="240" w:lineRule="auto"/>
              <w:jc w:val="left"/>
              <w:rPr>
                <w:rFonts w:eastAsia="Times New Roman"/>
                <w:lang w:val="en-US" w:eastAsia="fr-FR"/>
              </w:rPr>
            </w:pPr>
            <w:r>
              <w:rPr>
                <w:lang w:val="en-GB"/>
              </w:rPr>
              <w:object w:dxaOrig="880" w:dyaOrig="380" w14:anchorId="2B620B6F">
                <v:shape id="_x0000_i1091" type="#_x0000_t75" style="width:44.25pt;height:18.75pt" o:ole="">
                  <v:imagedata r:id="rId152" o:title=""/>
                </v:shape>
                <o:OLEObject Type="Embed" ProgID="Equation.DSMT4" ShapeID="_x0000_i1091" DrawAspect="Content" ObjectID="_1692169433" r:id="rId153"/>
              </w:object>
            </w:r>
            <w:r>
              <w:t xml:space="preserve"> </w:t>
            </w:r>
          </w:p>
        </w:tc>
        <w:tc>
          <w:tcPr>
            <w:tcW w:w="8397" w:type="dxa"/>
            <w:tcBorders>
              <w:top w:val="nil"/>
              <w:left w:val="nil"/>
              <w:bottom w:val="nil"/>
              <w:right w:val="nil"/>
            </w:tcBorders>
            <w:shd w:val="clear" w:color="auto" w:fill="auto"/>
          </w:tcPr>
          <w:p w14:paraId="0554E23C" w14:textId="77777777" w:rsidR="00B60186" w:rsidRPr="009D3012" w:rsidRDefault="00B60186" w:rsidP="0056481D">
            <w:pPr>
              <w:widowControl w:val="0"/>
              <w:spacing w:after="0" w:line="240" w:lineRule="auto"/>
              <w:jc w:val="left"/>
              <w:rPr>
                <w:rFonts w:eastAsia="Times New Roman" w:cs="Arial"/>
                <w:lang w:val="en-US" w:eastAsia="fr-FR"/>
              </w:rPr>
            </w:pPr>
            <w:r w:rsidRPr="009D3012">
              <w:rPr>
                <w:rFonts w:eastAsia="Times New Roman" w:cs="Arial"/>
                <w:lang w:val="en-US" w:eastAsia="fr-FR"/>
              </w:rPr>
              <w:t>Maximum difference in CFRP tension stress between adjacent flexural cracks</w:t>
            </w:r>
            <w:r w:rsidRPr="009D3012">
              <w:rPr>
                <w:rFonts w:eastAsia="Times New Roman" w:cs="Arial"/>
                <w:lang w:val="en-US" w:eastAsia="fr-FR"/>
              </w:rPr>
              <w:tab/>
            </w:r>
          </w:p>
        </w:tc>
      </w:tr>
      <w:tr w:rsidR="00B60186" w:rsidRPr="001455DC" w14:paraId="07064971" w14:textId="77777777" w:rsidTr="009D3012">
        <w:trPr>
          <w:trHeight w:val="57"/>
        </w:trPr>
        <w:tc>
          <w:tcPr>
            <w:tcW w:w="1546" w:type="dxa"/>
            <w:tcBorders>
              <w:top w:val="nil"/>
              <w:left w:val="nil"/>
              <w:bottom w:val="nil"/>
              <w:right w:val="nil"/>
            </w:tcBorders>
            <w:shd w:val="clear" w:color="auto" w:fill="auto"/>
          </w:tcPr>
          <w:p w14:paraId="525237B3" w14:textId="5E09675C" w:rsidR="00B60186" w:rsidRPr="009D3012" w:rsidRDefault="00046D2A" w:rsidP="00046D2A">
            <w:pPr>
              <w:widowControl w:val="0"/>
              <w:tabs>
                <w:tab w:val="center" w:pos="670"/>
                <w:tab w:val="right" w:pos="1340"/>
              </w:tabs>
              <w:spacing w:after="0" w:line="240" w:lineRule="auto"/>
              <w:jc w:val="left"/>
              <w:rPr>
                <w:rFonts w:cs="Arial"/>
                <w:lang w:val="en-US" w:eastAsia="fr-FR"/>
              </w:rPr>
            </w:pPr>
            <w:r w:rsidRPr="00046D2A">
              <w:rPr>
                <w:position w:val="-12"/>
                <w:lang w:val="en-GB"/>
              </w:rPr>
              <w:object w:dxaOrig="400" w:dyaOrig="360" w14:anchorId="0099C05C">
                <v:shape id="_x0000_i1092" type="#_x0000_t75" style="width:20.25pt;height:18.75pt" o:ole="">
                  <v:imagedata r:id="rId154" o:title=""/>
                </v:shape>
                <o:OLEObject Type="Embed" ProgID="Equation.DSMT4" ShapeID="_x0000_i1092" DrawAspect="Content" ObjectID="_1692169434" r:id="rId155"/>
              </w:object>
            </w:r>
          </w:p>
        </w:tc>
        <w:tc>
          <w:tcPr>
            <w:tcW w:w="8397" w:type="dxa"/>
            <w:tcBorders>
              <w:top w:val="nil"/>
              <w:left w:val="nil"/>
              <w:bottom w:val="nil"/>
              <w:right w:val="nil"/>
            </w:tcBorders>
            <w:shd w:val="clear" w:color="auto" w:fill="auto"/>
          </w:tcPr>
          <w:p w14:paraId="372FB774" w14:textId="77777777" w:rsidR="00B60186" w:rsidRPr="009D3012" w:rsidRDefault="00B60186" w:rsidP="0056481D">
            <w:pPr>
              <w:widowControl w:val="0"/>
              <w:spacing w:after="0" w:line="240" w:lineRule="auto"/>
              <w:jc w:val="left"/>
              <w:rPr>
                <w:rFonts w:eastAsia="Times New Roman" w:cs="Arial"/>
                <w:lang w:val="en-US" w:eastAsia="fr-FR"/>
              </w:rPr>
            </w:pPr>
            <w:r w:rsidRPr="009D3012">
              <w:rPr>
                <w:rFonts w:eastAsia="Times New Roman" w:cs="Arial"/>
                <w:lang w:val="en-US" w:eastAsia="fr-FR"/>
              </w:rPr>
              <w:t>Bond strength of concrete with NSM CFRP reinforcement strips</w:t>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p>
        </w:tc>
      </w:tr>
      <w:tr w:rsidR="00B60186" w:rsidRPr="001455DC" w14:paraId="6710ED33" w14:textId="77777777" w:rsidTr="009D3012">
        <w:trPr>
          <w:trHeight w:val="300"/>
        </w:trPr>
        <w:tc>
          <w:tcPr>
            <w:tcW w:w="1546" w:type="dxa"/>
            <w:tcBorders>
              <w:top w:val="nil"/>
              <w:left w:val="nil"/>
              <w:bottom w:val="nil"/>
              <w:right w:val="nil"/>
            </w:tcBorders>
            <w:shd w:val="clear" w:color="auto" w:fill="auto"/>
          </w:tcPr>
          <w:p w14:paraId="173C1D1D" w14:textId="76EC3064" w:rsidR="00B60186" w:rsidRPr="009D3012" w:rsidRDefault="00046D2A" w:rsidP="00046D2A">
            <w:pPr>
              <w:widowControl w:val="0"/>
              <w:tabs>
                <w:tab w:val="center" w:pos="670"/>
                <w:tab w:val="right" w:pos="1340"/>
              </w:tabs>
              <w:spacing w:after="0" w:line="240" w:lineRule="auto"/>
              <w:jc w:val="left"/>
              <w:rPr>
                <w:rFonts w:eastAsia="Times New Roman" w:cs="Arial"/>
                <w:i/>
                <w:lang w:val="en-US" w:eastAsia="fr-FR"/>
              </w:rPr>
            </w:pPr>
            <w:r w:rsidRPr="00046D2A">
              <w:rPr>
                <w:position w:val="-12"/>
                <w:lang w:val="en-GB"/>
              </w:rPr>
              <w:object w:dxaOrig="420" w:dyaOrig="360" w14:anchorId="1BB5A9F0">
                <v:shape id="_x0000_i1093" type="#_x0000_t75" style="width:20.25pt;height:18.75pt" o:ole="">
                  <v:imagedata r:id="rId156" o:title=""/>
                </v:shape>
                <o:OLEObject Type="Embed" ProgID="Equation.DSMT4" ShapeID="_x0000_i1093" DrawAspect="Content" ObjectID="_1692169435" r:id="rId157"/>
              </w:object>
            </w:r>
          </w:p>
        </w:tc>
        <w:tc>
          <w:tcPr>
            <w:tcW w:w="8397" w:type="dxa"/>
            <w:tcBorders>
              <w:top w:val="nil"/>
              <w:left w:val="nil"/>
              <w:bottom w:val="nil"/>
              <w:right w:val="nil"/>
            </w:tcBorders>
            <w:shd w:val="clear" w:color="auto" w:fill="auto"/>
          </w:tcPr>
          <w:p w14:paraId="7835A9B0" w14:textId="77777777" w:rsidR="00B60186" w:rsidRPr="009D3012" w:rsidRDefault="00B60186" w:rsidP="0056481D">
            <w:pPr>
              <w:widowControl w:val="0"/>
              <w:spacing w:after="0" w:line="240" w:lineRule="auto"/>
              <w:jc w:val="left"/>
              <w:rPr>
                <w:rFonts w:eastAsia="Times New Roman" w:cs="Arial"/>
                <w:lang w:val="en-US" w:eastAsia="fr-FR"/>
              </w:rPr>
            </w:pPr>
            <w:r w:rsidRPr="009D3012">
              <w:rPr>
                <w:rFonts w:eastAsia="Times New Roman" w:cs="Arial"/>
                <w:lang w:val="en-US" w:eastAsia="fr-FR"/>
              </w:rPr>
              <w:t>Bond strength of adhesive with NSM CFRP reinforcement strips</w:t>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p>
        </w:tc>
      </w:tr>
      <w:tr w:rsidR="00B60186" w:rsidRPr="001455DC" w14:paraId="0050DEE9" w14:textId="77777777" w:rsidTr="009D3012">
        <w:trPr>
          <w:trHeight w:val="57"/>
        </w:trPr>
        <w:tc>
          <w:tcPr>
            <w:tcW w:w="1546" w:type="dxa"/>
            <w:tcBorders>
              <w:top w:val="nil"/>
              <w:left w:val="nil"/>
              <w:bottom w:val="nil"/>
              <w:right w:val="nil"/>
            </w:tcBorders>
            <w:shd w:val="clear" w:color="auto" w:fill="auto"/>
          </w:tcPr>
          <w:p w14:paraId="0F68B45E" w14:textId="55D2113D" w:rsidR="00B60186" w:rsidRPr="009D3012" w:rsidRDefault="00046D2A" w:rsidP="00046D2A">
            <w:pPr>
              <w:widowControl w:val="0"/>
              <w:tabs>
                <w:tab w:val="center" w:pos="670"/>
                <w:tab w:val="right" w:pos="1340"/>
              </w:tabs>
              <w:spacing w:after="0" w:line="240" w:lineRule="auto"/>
              <w:jc w:val="left"/>
              <w:rPr>
                <w:rFonts w:cs="Arial"/>
                <w:lang w:val="en-US" w:eastAsia="fr-FR"/>
              </w:rPr>
            </w:pPr>
            <w:r w:rsidRPr="00046D2A">
              <w:rPr>
                <w:position w:val="-12"/>
                <w:lang w:val="en-GB"/>
              </w:rPr>
              <w:object w:dxaOrig="420" w:dyaOrig="360" w14:anchorId="5FD53BA9">
                <v:shape id="_x0000_i1094" type="#_x0000_t75" style="width:20.25pt;height:18.75pt" o:ole="">
                  <v:imagedata r:id="rId158" o:title=""/>
                </v:shape>
                <o:OLEObject Type="Embed" ProgID="Equation.DSMT4" ShapeID="_x0000_i1094" DrawAspect="Content" ObjectID="_1692169436" r:id="rId159"/>
              </w:object>
            </w:r>
          </w:p>
        </w:tc>
        <w:tc>
          <w:tcPr>
            <w:tcW w:w="8397" w:type="dxa"/>
            <w:tcBorders>
              <w:top w:val="nil"/>
              <w:left w:val="nil"/>
              <w:bottom w:val="nil"/>
              <w:right w:val="nil"/>
            </w:tcBorders>
            <w:shd w:val="clear" w:color="auto" w:fill="auto"/>
          </w:tcPr>
          <w:p w14:paraId="3EDC30C6" w14:textId="77777777" w:rsidR="00B60186" w:rsidRPr="009D3012" w:rsidRDefault="00B60186" w:rsidP="0056481D">
            <w:pPr>
              <w:widowControl w:val="0"/>
              <w:spacing w:after="0" w:line="240" w:lineRule="auto"/>
              <w:jc w:val="left"/>
              <w:rPr>
                <w:rFonts w:eastAsia="Times New Roman" w:cs="Arial"/>
                <w:lang w:val="en-US" w:eastAsia="fr-FR"/>
              </w:rPr>
            </w:pPr>
            <w:r w:rsidRPr="009D3012">
              <w:rPr>
                <w:rFonts w:eastAsia="Times New Roman" w:cs="Arial"/>
                <w:lang w:val="en-US" w:eastAsia="fr-FR"/>
              </w:rPr>
              <w:t>Design value of the shear stress resistance of adhesive</w:t>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p>
        </w:tc>
      </w:tr>
      <w:tr w:rsidR="00B60186" w:rsidRPr="001455DC" w14:paraId="1C14EA88" w14:textId="77777777" w:rsidTr="009D3012">
        <w:trPr>
          <w:trHeight w:val="300"/>
        </w:trPr>
        <w:tc>
          <w:tcPr>
            <w:tcW w:w="1546" w:type="dxa"/>
            <w:tcBorders>
              <w:top w:val="nil"/>
              <w:left w:val="nil"/>
              <w:bottom w:val="nil"/>
              <w:right w:val="nil"/>
            </w:tcBorders>
            <w:shd w:val="clear" w:color="auto" w:fill="auto"/>
          </w:tcPr>
          <w:p w14:paraId="3984483E" w14:textId="1EDE6B96" w:rsidR="00B60186" w:rsidRPr="009D3012" w:rsidRDefault="00046D2A" w:rsidP="00046D2A">
            <w:pPr>
              <w:widowControl w:val="0"/>
              <w:tabs>
                <w:tab w:val="center" w:pos="670"/>
                <w:tab w:val="right" w:pos="1340"/>
              </w:tabs>
              <w:spacing w:after="0" w:line="240" w:lineRule="auto"/>
              <w:jc w:val="left"/>
              <w:rPr>
                <w:rFonts w:cs="Arial"/>
                <w:lang w:val="en-US" w:eastAsia="fr-FR"/>
              </w:rPr>
            </w:pPr>
            <w:r w:rsidRPr="00046D2A">
              <w:rPr>
                <w:position w:val="-12"/>
                <w:lang w:val="en-GB"/>
              </w:rPr>
              <w:object w:dxaOrig="380" w:dyaOrig="360" w14:anchorId="03224751">
                <v:shape id="_x0000_i1095" type="#_x0000_t75" style="width:18.75pt;height:18.75pt" o:ole="">
                  <v:imagedata r:id="rId160" o:title=""/>
                </v:shape>
                <o:OLEObject Type="Embed" ProgID="Equation.DSMT4" ShapeID="_x0000_i1095" DrawAspect="Content" ObjectID="_1692169437" r:id="rId161"/>
              </w:object>
            </w:r>
          </w:p>
        </w:tc>
        <w:tc>
          <w:tcPr>
            <w:tcW w:w="8397" w:type="dxa"/>
            <w:tcBorders>
              <w:top w:val="nil"/>
              <w:left w:val="nil"/>
              <w:bottom w:val="nil"/>
              <w:right w:val="nil"/>
            </w:tcBorders>
            <w:shd w:val="clear" w:color="auto" w:fill="auto"/>
          </w:tcPr>
          <w:p w14:paraId="22D443D3" w14:textId="77777777" w:rsidR="00B60186" w:rsidRPr="009D3012" w:rsidRDefault="00B60186" w:rsidP="0056481D">
            <w:pPr>
              <w:widowControl w:val="0"/>
              <w:spacing w:after="0" w:line="240" w:lineRule="auto"/>
              <w:jc w:val="left"/>
              <w:rPr>
                <w:rFonts w:eastAsia="Times New Roman" w:cs="Arial"/>
                <w:lang w:val="en-US" w:eastAsia="fr-FR"/>
              </w:rPr>
            </w:pPr>
            <w:r w:rsidRPr="009D3012">
              <w:rPr>
                <w:rFonts w:eastAsia="Times New Roman" w:cs="Arial"/>
                <w:lang w:val="en-US" w:eastAsia="fr-FR"/>
              </w:rPr>
              <w:t>Design value of the shear stress resistance of NSM CFRP reinforcement strips</w:t>
            </w:r>
            <w:r w:rsidRPr="009D3012">
              <w:rPr>
                <w:rFonts w:eastAsia="Times New Roman" w:cs="Arial"/>
                <w:lang w:val="en-US" w:eastAsia="fr-FR"/>
              </w:rPr>
              <w:tab/>
            </w:r>
          </w:p>
        </w:tc>
      </w:tr>
      <w:tr w:rsidR="00B60186" w:rsidRPr="001455DC" w14:paraId="565FA9C1" w14:textId="77777777" w:rsidTr="009D3012">
        <w:trPr>
          <w:trHeight w:val="57"/>
        </w:trPr>
        <w:tc>
          <w:tcPr>
            <w:tcW w:w="1546" w:type="dxa"/>
            <w:tcBorders>
              <w:top w:val="nil"/>
              <w:left w:val="nil"/>
              <w:bottom w:val="nil"/>
              <w:right w:val="nil"/>
            </w:tcBorders>
            <w:shd w:val="clear" w:color="auto" w:fill="auto"/>
          </w:tcPr>
          <w:p w14:paraId="6976154E" w14:textId="1191BBCD" w:rsidR="00B60186" w:rsidRPr="009D3012" w:rsidRDefault="00046D2A" w:rsidP="00046D2A">
            <w:pPr>
              <w:widowControl w:val="0"/>
              <w:tabs>
                <w:tab w:val="center" w:pos="670"/>
                <w:tab w:val="right" w:pos="1340"/>
              </w:tabs>
              <w:spacing w:after="0" w:line="240" w:lineRule="auto"/>
              <w:jc w:val="left"/>
              <w:rPr>
                <w:rFonts w:eastAsia="Times New Roman" w:cs="Arial"/>
                <w:i/>
                <w:lang w:val="en-US" w:eastAsia="fr-FR"/>
              </w:rPr>
            </w:pPr>
            <w:r w:rsidRPr="00046D2A">
              <w:rPr>
                <w:position w:val="-12"/>
                <w:lang w:val="en-GB"/>
              </w:rPr>
              <w:object w:dxaOrig="380" w:dyaOrig="360" w14:anchorId="33674FF2">
                <v:shape id="_x0000_i1096" type="#_x0000_t75" style="width:18.75pt;height:18.75pt" o:ole="">
                  <v:imagedata r:id="rId162" o:title=""/>
                </v:shape>
                <o:OLEObject Type="Embed" ProgID="Equation.DSMT4" ShapeID="_x0000_i1096" DrawAspect="Content" ObjectID="_1692169438" r:id="rId163"/>
              </w:object>
            </w:r>
          </w:p>
        </w:tc>
        <w:tc>
          <w:tcPr>
            <w:tcW w:w="8397" w:type="dxa"/>
            <w:tcBorders>
              <w:top w:val="nil"/>
              <w:left w:val="nil"/>
              <w:bottom w:val="nil"/>
              <w:right w:val="nil"/>
            </w:tcBorders>
            <w:shd w:val="clear" w:color="auto" w:fill="auto"/>
          </w:tcPr>
          <w:p w14:paraId="721C507D" w14:textId="77777777" w:rsidR="00B60186" w:rsidRPr="009D3012" w:rsidRDefault="00B60186" w:rsidP="0056481D">
            <w:pPr>
              <w:widowControl w:val="0"/>
              <w:spacing w:after="0" w:line="240" w:lineRule="auto"/>
              <w:jc w:val="left"/>
              <w:rPr>
                <w:rFonts w:eastAsia="Times New Roman" w:cs="Arial"/>
                <w:lang w:val="en-US" w:eastAsia="fr-FR"/>
              </w:rPr>
            </w:pPr>
            <w:r w:rsidRPr="009D3012">
              <w:rPr>
                <w:rFonts w:eastAsia="Times New Roman" w:cs="Arial"/>
                <w:lang w:val="en-US" w:eastAsia="fr-FR"/>
              </w:rPr>
              <w:t>Maximum bond strength of adhesively bonded CFRP reinforcement</w:t>
            </w:r>
            <w:r w:rsidRPr="009D3012">
              <w:rPr>
                <w:rFonts w:eastAsia="Times New Roman" w:cs="Arial"/>
                <w:lang w:val="en-US" w:eastAsia="fr-FR"/>
              </w:rPr>
              <w:tab/>
            </w:r>
            <w:r w:rsidRPr="009D3012">
              <w:rPr>
                <w:rFonts w:eastAsia="Times New Roman" w:cs="Arial"/>
                <w:lang w:val="en-US" w:eastAsia="fr-FR"/>
              </w:rPr>
              <w:tab/>
            </w:r>
          </w:p>
        </w:tc>
      </w:tr>
      <w:tr w:rsidR="00B60186" w:rsidRPr="001455DC" w14:paraId="6C669C8F" w14:textId="77777777" w:rsidTr="009D3012">
        <w:trPr>
          <w:trHeight w:val="300"/>
        </w:trPr>
        <w:tc>
          <w:tcPr>
            <w:tcW w:w="1546" w:type="dxa"/>
            <w:tcBorders>
              <w:top w:val="nil"/>
              <w:left w:val="nil"/>
              <w:bottom w:val="nil"/>
              <w:right w:val="nil"/>
            </w:tcBorders>
            <w:shd w:val="clear" w:color="auto" w:fill="auto"/>
          </w:tcPr>
          <w:p w14:paraId="2F004075" w14:textId="22CC4577" w:rsidR="00B60186" w:rsidRPr="009D3012" w:rsidRDefault="00046D2A" w:rsidP="00046D2A">
            <w:pPr>
              <w:widowControl w:val="0"/>
              <w:tabs>
                <w:tab w:val="center" w:pos="670"/>
                <w:tab w:val="right" w:pos="1340"/>
              </w:tabs>
              <w:spacing w:after="0" w:line="240" w:lineRule="auto"/>
              <w:jc w:val="left"/>
              <w:rPr>
                <w:rFonts w:cs="Arial"/>
                <w:lang w:val="en-US" w:eastAsia="fr-FR"/>
              </w:rPr>
            </w:pPr>
            <w:r w:rsidRPr="00046D2A">
              <w:rPr>
                <w:position w:val="-12"/>
                <w:lang w:val="en-GB"/>
              </w:rPr>
              <w:object w:dxaOrig="360" w:dyaOrig="360" w14:anchorId="0BEF6BF4">
                <v:shape id="_x0000_i1097" type="#_x0000_t75" style="width:18.75pt;height:18.75pt" o:ole="">
                  <v:imagedata r:id="rId164" o:title=""/>
                </v:shape>
                <o:OLEObject Type="Embed" ProgID="Equation.DSMT4" ShapeID="_x0000_i1097" DrawAspect="Content" ObjectID="_1692169439" r:id="rId165"/>
              </w:object>
            </w:r>
          </w:p>
        </w:tc>
        <w:tc>
          <w:tcPr>
            <w:tcW w:w="8397" w:type="dxa"/>
            <w:tcBorders>
              <w:top w:val="nil"/>
              <w:left w:val="nil"/>
              <w:bottom w:val="nil"/>
              <w:right w:val="nil"/>
            </w:tcBorders>
            <w:shd w:val="clear" w:color="auto" w:fill="auto"/>
          </w:tcPr>
          <w:p w14:paraId="37B59F32" w14:textId="77777777" w:rsidR="00B60186" w:rsidRPr="009D3012" w:rsidRDefault="00B60186" w:rsidP="0056481D">
            <w:pPr>
              <w:widowControl w:val="0"/>
              <w:spacing w:after="0" w:line="240" w:lineRule="auto"/>
              <w:jc w:val="left"/>
              <w:rPr>
                <w:rFonts w:eastAsia="Times New Roman" w:cs="Arial"/>
                <w:lang w:val="en-US" w:eastAsia="fr-FR"/>
              </w:rPr>
            </w:pPr>
            <w:r w:rsidRPr="009D3012">
              <w:rPr>
                <w:rFonts w:eastAsia="Times New Roman" w:cs="Arial"/>
                <w:lang w:val="en-US" w:eastAsia="fr-FR"/>
              </w:rPr>
              <w:t>Design shear resistance</w:t>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p>
        </w:tc>
      </w:tr>
      <w:tr w:rsidR="00B60186" w:rsidRPr="001455DC" w14:paraId="5354B022" w14:textId="77777777" w:rsidTr="009D3012">
        <w:trPr>
          <w:trHeight w:val="300"/>
        </w:trPr>
        <w:tc>
          <w:tcPr>
            <w:tcW w:w="1546" w:type="dxa"/>
            <w:tcBorders>
              <w:top w:val="nil"/>
              <w:left w:val="nil"/>
              <w:bottom w:val="nil"/>
              <w:right w:val="nil"/>
            </w:tcBorders>
            <w:shd w:val="clear" w:color="auto" w:fill="auto"/>
          </w:tcPr>
          <w:p w14:paraId="3790FECE" w14:textId="464010AB" w:rsidR="00B60186" w:rsidRPr="009D3012" w:rsidRDefault="00046D2A" w:rsidP="00046D2A">
            <w:pPr>
              <w:widowControl w:val="0"/>
              <w:tabs>
                <w:tab w:val="center" w:pos="670"/>
                <w:tab w:val="right" w:pos="1340"/>
              </w:tabs>
              <w:spacing w:after="0" w:line="240" w:lineRule="auto"/>
              <w:jc w:val="left"/>
              <w:rPr>
                <w:rFonts w:eastAsia="Times New Roman" w:cs="Arial"/>
                <w:i/>
                <w:lang w:val="en-US" w:eastAsia="fr-FR"/>
              </w:rPr>
            </w:pPr>
            <w:r w:rsidRPr="00046D2A">
              <w:rPr>
                <w:position w:val="-12"/>
                <w:lang w:val="en-GB"/>
              </w:rPr>
              <w:object w:dxaOrig="360" w:dyaOrig="360" w14:anchorId="17D7D6EA">
                <v:shape id="_x0000_i1098" type="#_x0000_t75" style="width:18.75pt;height:18.75pt" o:ole="">
                  <v:imagedata r:id="rId166" o:title=""/>
                </v:shape>
                <o:OLEObject Type="Embed" ProgID="Equation.DSMT4" ShapeID="_x0000_i1098" DrawAspect="Content" ObjectID="_1692169440" r:id="rId167"/>
              </w:object>
            </w:r>
          </w:p>
        </w:tc>
        <w:tc>
          <w:tcPr>
            <w:tcW w:w="8397" w:type="dxa"/>
            <w:tcBorders>
              <w:top w:val="nil"/>
              <w:left w:val="nil"/>
              <w:bottom w:val="nil"/>
              <w:right w:val="nil"/>
            </w:tcBorders>
            <w:shd w:val="clear" w:color="auto" w:fill="auto"/>
          </w:tcPr>
          <w:p w14:paraId="508BEB31" w14:textId="77777777" w:rsidR="00B60186" w:rsidRPr="009D3012" w:rsidRDefault="00B60186" w:rsidP="0056481D">
            <w:pPr>
              <w:widowControl w:val="0"/>
              <w:spacing w:after="0" w:line="240" w:lineRule="auto"/>
              <w:jc w:val="left"/>
              <w:rPr>
                <w:rFonts w:eastAsia="Times New Roman" w:cs="Arial"/>
                <w:lang w:val="en-US" w:eastAsia="fr-FR"/>
              </w:rPr>
            </w:pPr>
            <w:r w:rsidRPr="009D3012">
              <w:rPr>
                <w:rFonts w:eastAsia="Times New Roman" w:cs="Arial"/>
                <w:lang w:val="en-US" w:eastAsia="fr-FR"/>
              </w:rPr>
              <w:t>Diameter of NSM CFRP bars</w:t>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r w:rsidRPr="009D3012">
              <w:rPr>
                <w:rFonts w:eastAsia="Times New Roman" w:cs="Arial"/>
                <w:lang w:val="en-US" w:eastAsia="fr-FR"/>
              </w:rPr>
              <w:tab/>
            </w:r>
          </w:p>
        </w:tc>
      </w:tr>
    </w:tbl>
    <w:p w14:paraId="72F5E842" w14:textId="4FAE03ED" w:rsidR="0056481D" w:rsidRPr="009D3012" w:rsidRDefault="00761918" w:rsidP="006D682B">
      <w:pPr>
        <w:pStyle w:val="21"/>
      </w:pPr>
      <w:bookmarkStart w:id="123" w:name="_Toc55828640"/>
      <w:bookmarkStart w:id="124" w:name="_Toc67565295"/>
      <w:bookmarkStart w:id="125" w:name="_Toc54015637"/>
      <w:r w:rsidRPr="009D3012">
        <w:t>Symbols in Annex JA</w:t>
      </w:r>
      <w:bookmarkEnd w:id="123"/>
      <w:bookmarkEnd w:id="124"/>
    </w:p>
    <w:p w14:paraId="7650F215" w14:textId="71CB11F4" w:rsidR="00761918" w:rsidRPr="00E519AB" w:rsidRDefault="00E519AB" w:rsidP="00E519AB">
      <w:pPr>
        <w:pStyle w:val="p3"/>
        <w:keepNext/>
        <w:keepLines/>
        <w:spacing w:after="120"/>
        <w:rPr>
          <w:b/>
        </w:rPr>
      </w:pPr>
      <w:bookmarkStart w:id="126" w:name="_Toc54015638"/>
      <w:bookmarkStart w:id="127" w:name="_Toc55828641"/>
      <w:bookmarkStart w:id="128" w:name="_Toc67565296"/>
      <w:r w:rsidRPr="00E519AB">
        <w:rPr>
          <w:b/>
        </w:rPr>
        <w:t>3.6.1</w:t>
      </w:r>
      <w:r w:rsidRPr="00E519AB">
        <w:rPr>
          <w:b/>
        </w:rPr>
        <w:tab/>
      </w:r>
      <w:r w:rsidR="00761918" w:rsidRPr="00E519AB">
        <w:rPr>
          <w:b/>
        </w:rPr>
        <w:t>Latin upper case letters</w:t>
      </w:r>
      <w:bookmarkEnd w:id="126"/>
      <w:bookmarkEnd w:id="127"/>
      <w:bookmarkEnd w:id="128"/>
    </w:p>
    <w:tbl>
      <w:tblPr>
        <w:tblStyle w:val="Tabellenraster1"/>
        <w:tblW w:w="9923" w:type="dxa"/>
        <w:tblLook w:val="04A0" w:firstRow="1" w:lastRow="0" w:firstColumn="1" w:lastColumn="0" w:noHBand="0" w:noVBand="1"/>
      </w:tblPr>
      <w:tblGrid>
        <w:gridCol w:w="1526"/>
        <w:gridCol w:w="8397"/>
      </w:tblGrid>
      <w:tr w:rsidR="00B60186" w:rsidRPr="001455DC" w14:paraId="054BE637" w14:textId="77777777" w:rsidTr="009D3012">
        <w:trPr>
          <w:trHeight w:val="57"/>
        </w:trPr>
        <w:tc>
          <w:tcPr>
            <w:tcW w:w="1526" w:type="dxa"/>
            <w:tcBorders>
              <w:top w:val="nil"/>
              <w:left w:val="nil"/>
              <w:bottom w:val="nil"/>
              <w:right w:val="nil"/>
            </w:tcBorders>
            <w:shd w:val="clear" w:color="auto" w:fill="auto"/>
          </w:tcPr>
          <w:bookmarkEnd w:id="125"/>
          <w:p w14:paraId="110B3DFF" w14:textId="6F5FB8C3" w:rsidR="00B60186" w:rsidRPr="009D3012" w:rsidRDefault="00046D2A" w:rsidP="00046D2A">
            <w:pPr>
              <w:widowControl w:val="0"/>
              <w:tabs>
                <w:tab w:val="center" w:pos="660"/>
                <w:tab w:val="right" w:pos="1320"/>
              </w:tabs>
              <w:spacing w:after="0" w:line="240" w:lineRule="auto"/>
              <w:jc w:val="left"/>
              <w:rPr>
                <w:rFonts w:eastAsia="Times New Roman" w:cs="Arial"/>
                <w:vertAlign w:val="subscript"/>
                <w:lang w:val="en-US" w:eastAsia="fr-FR"/>
              </w:rPr>
            </w:pPr>
            <w:r w:rsidRPr="00046D2A">
              <w:rPr>
                <w:position w:val="-12"/>
                <w:lang w:val="en-GB"/>
              </w:rPr>
              <w:object w:dxaOrig="300" w:dyaOrig="360" w14:anchorId="4FAC5A8B">
                <v:shape id="_x0000_i1099" type="#_x0000_t75" style="width:15.75pt;height:18.75pt" o:ole="">
                  <v:imagedata r:id="rId168" o:title=""/>
                </v:shape>
                <o:OLEObject Type="Embed" ProgID="Equation.DSMT4" ShapeID="_x0000_i1099" DrawAspect="Content" ObjectID="_1692169441" r:id="rId169"/>
              </w:object>
            </w:r>
          </w:p>
        </w:tc>
        <w:tc>
          <w:tcPr>
            <w:tcW w:w="8397" w:type="dxa"/>
            <w:tcBorders>
              <w:top w:val="nil"/>
              <w:left w:val="nil"/>
              <w:bottom w:val="nil"/>
              <w:right w:val="nil"/>
            </w:tcBorders>
            <w:shd w:val="clear" w:color="auto" w:fill="auto"/>
          </w:tcPr>
          <w:p w14:paraId="77562338" w14:textId="77777777" w:rsidR="00B60186" w:rsidRPr="009D3012" w:rsidRDefault="00B60186" w:rsidP="0056481D">
            <w:pPr>
              <w:widowControl w:val="0"/>
              <w:spacing w:after="0" w:line="240" w:lineRule="auto"/>
              <w:jc w:val="left"/>
              <w:rPr>
                <w:rFonts w:eastAsia="Times New Roman" w:cs="Arial"/>
                <w:spacing w:val="-1"/>
                <w:lang w:val="en-US" w:eastAsia="fr-FR"/>
              </w:rPr>
            </w:pPr>
            <w:r w:rsidRPr="009D3012">
              <w:rPr>
                <w:rFonts w:eastAsia="Times New Roman" w:cs="Arial"/>
                <w:spacing w:val="-1"/>
                <w:lang w:val="en-US" w:eastAsia="fr-FR"/>
              </w:rPr>
              <w:t>Long term strength reduction factor to account for temperature</w:t>
            </w:r>
          </w:p>
        </w:tc>
      </w:tr>
      <w:tr w:rsidR="00B60186" w:rsidRPr="001455DC" w14:paraId="31E1AEA8" w14:textId="77777777" w:rsidTr="009D3012">
        <w:trPr>
          <w:trHeight w:val="57"/>
        </w:trPr>
        <w:tc>
          <w:tcPr>
            <w:tcW w:w="1526" w:type="dxa"/>
            <w:tcBorders>
              <w:top w:val="nil"/>
              <w:left w:val="nil"/>
              <w:bottom w:val="nil"/>
              <w:right w:val="nil"/>
            </w:tcBorders>
            <w:shd w:val="clear" w:color="auto" w:fill="auto"/>
          </w:tcPr>
          <w:p w14:paraId="4BCB7EA2" w14:textId="3A83DA6F" w:rsidR="00B60186" w:rsidRPr="009D3012" w:rsidRDefault="00046D2A" w:rsidP="00046D2A">
            <w:pPr>
              <w:widowControl w:val="0"/>
              <w:tabs>
                <w:tab w:val="center" w:pos="660"/>
                <w:tab w:val="right" w:pos="1320"/>
              </w:tabs>
              <w:spacing w:after="0" w:line="240" w:lineRule="auto"/>
              <w:jc w:val="left"/>
              <w:rPr>
                <w:rFonts w:eastAsia="Times New Roman" w:cs="Arial"/>
                <w:vertAlign w:val="subscript"/>
                <w:lang w:val="en-US" w:eastAsia="fr-FR"/>
              </w:rPr>
            </w:pPr>
            <w:r w:rsidRPr="00046D2A">
              <w:rPr>
                <w:position w:val="-12"/>
                <w:lang w:val="en-GB"/>
              </w:rPr>
              <w:object w:dxaOrig="300" w:dyaOrig="360" w14:anchorId="4C3C719A">
                <v:shape id="_x0000_i1100" type="#_x0000_t75" style="width:15.75pt;height:18.75pt" o:ole="">
                  <v:imagedata r:id="rId170" o:title=""/>
                </v:shape>
                <o:OLEObject Type="Embed" ProgID="Equation.DSMT4" ShapeID="_x0000_i1100" DrawAspect="Content" ObjectID="_1692169442" r:id="rId171"/>
              </w:object>
            </w:r>
          </w:p>
        </w:tc>
        <w:tc>
          <w:tcPr>
            <w:tcW w:w="8397" w:type="dxa"/>
            <w:tcBorders>
              <w:top w:val="nil"/>
              <w:left w:val="nil"/>
              <w:bottom w:val="nil"/>
              <w:right w:val="nil"/>
            </w:tcBorders>
            <w:shd w:val="clear" w:color="auto" w:fill="auto"/>
          </w:tcPr>
          <w:p w14:paraId="58C5DE99" w14:textId="77777777" w:rsidR="00B60186" w:rsidRPr="009D3012" w:rsidRDefault="00B60186" w:rsidP="0056481D">
            <w:pPr>
              <w:widowControl w:val="0"/>
              <w:spacing w:after="0" w:line="240" w:lineRule="auto"/>
              <w:jc w:val="left"/>
              <w:rPr>
                <w:rFonts w:eastAsia="Times New Roman" w:cs="Arial"/>
                <w:spacing w:val="-1"/>
                <w:lang w:val="en-US" w:eastAsia="fr-FR"/>
              </w:rPr>
            </w:pPr>
            <w:r w:rsidRPr="009D3012">
              <w:rPr>
                <w:rFonts w:eastAsia="Times New Roman" w:cs="Arial"/>
                <w:spacing w:val="-1"/>
                <w:lang w:val="en-US" w:eastAsia="fr-FR"/>
              </w:rPr>
              <w:t>Long term strength reduction factor for creep</w:t>
            </w:r>
          </w:p>
        </w:tc>
      </w:tr>
      <w:tr w:rsidR="00B60186" w:rsidRPr="001455DC" w14:paraId="1BCA4EDA" w14:textId="77777777" w:rsidTr="009D3012">
        <w:trPr>
          <w:trHeight w:val="57"/>
        </w:trPr>
        <w:tc>
          <w:tcPr>
            <w:tcW w:w="1526" w:type="dxa"/>
            <w:tcBorders>
              <w:top w:val="nil"/>
              <w:left w:val="nil"/>
              <w:bottom w:val="nil"/>
              <w:right w:val="nil"/>
            </w:tcBorders>
            <w:shd w:val="clear" w:color="auto" w:fill="auto"/>
          </w:tcPr>
          <w:p w14:paraId="39F62F29" w14:textId="0E890B51" w:rsidR="00B60186" w:rsidRPr="009D3012" w:rsidRDefault="00046D2A" w:rsidP="00046D2A">
            <w:pPr>
              <w:widowControl w:val="0"/>
              <w:tabs>
                <w:tab w:val="center" w:pos="660"/>
                <w:tab w:val="right" w:pos="1320"/>
              </w:tabs>
              <w:spacing w:after="0" w:line="240" w:lineRule="auto"/>
              <w:jc w:val="left"/>
              <w:rPr>
                <w:rFonts w:eastAsia="Times New Roman" w:cs="Arial"/>
                <w:vertAlign w:val="subscript"/>
                <w:lang w:val="en-US" w:eastAsia="fr-FR"/>
              </w:rPr>
            </w:pPr>
            <w:r w:rsidRPr="00046D2A">
              <w:rPr>
                <w:position w:val="-12"/>
                <w:lang w:val="en-GB"/>
              </w:rPr>
              <w:object w:dxaOrig="279" w:dyaOrig="360" w14:anchorId="646954DF">
                <v:shape id="_x0000_i1101" type="#_x0000_t75" style="width:14.25pt;height:18.75pt" o:ole="">
                  <v:imagedata r:id="rId172" o:title=""/>
                </v:shape>
                <o:OLEObject Type="Embed" ProgID="Equation.DSMT4" ShapeID="_x0000_i1101" DrawAspect="Content" ObjectID="_1692169443" r:id="rId173"/>
              </w:object>
            </w:r>
          </w:p>
        </w:tc>
        <w:tc>
          <w:tcPr>
            <w:tcW w:w="8397" w:type="dxa"/>
            <w:tcBorders>
              <w:top w:val="nil"/>
              <w:left w:val="nil"/>
              <w:bottom w:val="nil"/>
              <w:right w:val="nil"/>
            </w:tcBorders>
            <w:shd w:val="clear" w:color="auto" w:fill="auto"/>
          </w:tcPr>
          <w:p w14:paraId="347C005A" w14:textId="77777777" w:rsidR="00B60186" w:rsidRPr="009D3012" w:rsidRDefault="00B60186" w:rsidP="0056481D">
            <w:pPr>
              <w:widowControl w:val="0"/>
              <w:spacing w:after="0" w:line="240" w:lineRule="auto"/>
              <w:jc w:val="left"/>
              <w:rPr>
                <w:rFonts w:eastAsia="Times New Roman" w:cs="Arial"/>
                <w:spacing w:val="-1"/>
                <w:lang w:val="en-US" w:eastAsia="fr-FR"/>
              </w:rPr>
            </w:pPr>
            <w:r w:rsidRPr="009D3012">
              <w:rPr>
                <w:rFonts w:eastAsia="Times New Roman" w:cs="Arial"/>
                <w:spacing w:val="-1"/>
                <w:lang w:val="en-US" w:eastAsia="fr-FR"/>
              </w:rPr>
              <w:t>Long term strength reduction factor for environmental conditions</w:t>
            </w:r>
          </w:p>
        </w:tc>
      </w:tr>
      <w:tr w:rsidR="00B60186" w:rsidRPr="001455DC" w14:paraId="6561EFAA" w14:textId="77777777" w:rsidTr="009D3012">
        <w:trPr>
          <w:trHeight w:val="306"/>
        </w:trPr>
        <w:tc>
          <w:tcPr>
            <w:tcW w:w="1526" w:type="dxa"/>
            <w:tcBorders>
              <w:top w:val="nil"/>
              <w:left w:val="nil"/>
              <w:bottom w:val="nil"/>
              <w:right w:val="nil"/>
            </w:tcBorders>
            <w:shd w:val="clear" w:color="auto" w:fill="auto"/>
          </w:tcPr>
          <w:p w14:paraId="3B3FC53B" w14:textId="2588DCBD" w:rsidR="00B60186" w:rsidRPr="009D3012" w:rsidRDefault="00046D2A" w:rsidP="00046D2A">
            <w:pPr>
              <w:widowControl w:val="0"/>
              <w:tabs>
                <w:tab w:val="center" w:pos="660"/>
                <w:tab w:val="right" w:pos="1320"/>
              </w:tabs>
              <w:spacing w:after="0" w:line="240" w:lineRule="auto"/>
              <w:jc w:val="left"/>
              <w:rPr>
                <w:rFonts w:eastAsia="Times New Roman" w:cs="Arial"/>
                <w:i/>
                <w:iCs/>
                <w:lang w:val="en-US" w:eastAsia="fr-FR"/>
              </w:rPr>
            </w:pPr>
            <w:r w:rsidRPr="00046D2A">
              <w:rPr>
                <w:position w:val="-12"/>
                <w:lang w:val="en-GB"/>
              </w:rPr>
              <w:object w:dxaOrig="380" w:dyaOrig="360" w14:anchorId="0DFC456C">
                <v:shape id="_x0000_i1102" type="#_x0000_t75" style="width:18.75pt;height:18.75pt" o:ole="">
                  <v:imagedata r:id="rId174" o:title=""/>
                </v:shape>
                <o:OLEObject Type="Embed" ProgID="Equation.DSMT4" ShapeID="_x0000_i1102" DrawAspect="Content" ObjectID="_1692169444" r:id="rId175"/>
              </w:object>
            </w:r>
          </w:p>
        </w:tc>
        <w:tc>
          <w:tcPr>
            <w:tcW w:w="8397" w:type="dxa"/>
            <w:tcBorders>
              <w:top w:val="nil"/>
              <w:left w:val="nil"/>
              <w:bottom w:val="nil"/>
              <w:right w:val="nil"/>
            </w:tcBorders>
            <w:shd w:val="clear" w:color="auto" w:fill="auto"/>
          </w:tcPr>
          <w:p w14:paraId="187E3F94" w14:textId="77777777" w:rsidR="00B60186" w:rsidRPr="009D3012" w:rsidRDefault="00B60186" w:rsidP="0056481D">
            <w:pPr>
              <w:widowControl w:val="0"/>
              <w:spacing w:after="0" w:line="240" w:lineRule="auto"/>
              <w:jc w:val="left"/>
              <w:rPr>
                <w:rFonts w:eastAsia="Times New Roman" w:cs="Arial"/>
                <w:lang w:val="en-US" w:eastAsia="fr-FR"/>
              </w:rPr>
            </w:pPr>
            <w:r w:rsidRPr="009D3012">
              <w:rPr>
                <w:rFonts w:eastAsia="Times New Roman" w:cs="Arial"/>
                <w:lang w:val="en-US" w:eastAsia="fr-FR"/>
              </w:rPr>
              <w:t>Design value of modulus of elasticity of FRP-reinforcement</w:t>
            </w:r>
          </w:p>
        </w:tc>
      </w:tr>
    </w:tbl>
    <w:p w14:paraId="53BCCB93" w14:textId="5CC9D4FE" w:rsidR="00761918" w:rsidRPr="00E519AB" w:rsidRDefault="00E519AB" w:rsidP="00E519AB">
      <w:pPr>
        <w:pStyle w:val="p3"/>
        <w:keepNext/>
        <w:keepLines/>
        <w:spacing w:before="240" w:after="120"/>
        <w:rPr>
          <w:b/>
        </w:rPr>
      </w:pPr>
      <w:bookmarkStart w:id="129" w:name="_Toc67565297"/>
      <w:bookmarkStart w:id="130" w:name="_Toc54015639"/>
      <w:bookmarkStart w:id="131" w:name="_Toc55828642"/>
      <w:r w:rsidRPr="00E519AB">
        <w:rPr>
          <w:b/>
        </w:rPr>
        <w:t>3.6.2</w:t>
      </w:r>
      <w:r w:rsidRPr="00E519AB">
        <w:rPr>
          <w:b/>
        </w:rPr>
        <w:tab/>
      </w:r>
      <w:r w:rsidR="00761918" w:rsidRPr="00E519AB">
        <w:rPr>
          <w:b/>
        </w:rPr>
        <w:t>Latin lower case letters</w:t>
      </w:r>
      <w:bookmarkEnd w:id="129"/>
    </w:p>
    <w:tbl>
      <w:tblPr>
        <w:tblStyle w:val="Tabellenraster1"/>
        <w:tblW w:w="9923" w:type="dxa"/>
        <w:tblLook w:val="04A0" w:firstRow="1" w:lastRow="0" w:firstColumn="1" w:lastColumn="0" w:noHBand="0" w:noVBand="1"/>
      </w:tblPr>
      <w:tblGrid>
        <w:gridCol w:w="1526"/>
        <w:gridCol w:w="8397"/>
      </w:tblGrid>
      <w:tr w:rsidR="00B60186" w:rsidRPr="001455DC" w14:paraId="2EEE1611" w14:textId="77777777" w:rsidTr="009D3012">
        <w:trPr>
          <w:trHeight w:val="422"/>
        </w:trPr>
        <w:tc>
          <w:tcPr>
            <w:tcW w:w="1526" w:type="dxa"/>
            <w:tcBorders>
              <w:top w:val="nil"/>
              <w:left w:val="nil"/>
              <w:bottom w:val="nil"/>
              <w:right w:val="nil"/>
            </w:tcBorders>
            <w:shd w:val="clear" w:color="auto" w:fill="auto"/>
          </w:tcPr>
          <w:bookmarkEnd w:id="130"/>
          <w:bookmarkEnd w:id="131"/>
          <w:p w14:paraId="1D90A5A9" w14:textId="015B4594" w:rsidR="00B60186" w:rsidRPr="009D3012" w:rsidRDefault="00046D2A" w:rsidP="00046D2A">
            <w:pPr>
              <w:widowControl w:val="0"/>
              <w:tabs>
                <w:tab w:val="center" w:pos="660"/>
                <w:tab w:val="right" w:pos="1320"/>
              </w:tabs>
              <w:spacing w:after="0" w:line="240" w:lineRule="auto"/>
              <w:jc w:val="left"/>
              <w:rPr>
                <w:rFonts w:eastAsia="Times New Roman" w:cs="Arial"/>
                <w:i/>
                <w:iCs/>
                <w:lang w:val="en-US" w:eastAsia="fr-FR"/>
              </w:rPr>
            </w:pPr>
            <w:r w:rsidRPr="00046D2A">
              <w:rPr>
                <w:position w:val="-12"/>
                <w:lang w:val="en-GB"/>
              </w:rPr>
              <w:object w:dxaOrig="400" w:dyaOrig="380" w14:anchorId="70D06CEC">
                <v:shape id="_x0000_i1103" type="#_x0000_t75" style="width:20.25pt;height:18.75pt" o:ole="">
                  <v:imagedata r:id="rId176" o:title=""/>
                </v:shape>
                <o:OLEObject Type="Embed" ProgID="Equation.DSMT4" ShapeID="_x0000_i1103" DrawAspect="Content" ObjectID="_1692169445" r:id="rId177"/>
              </w:object>
            </w:r>
          </w:p>
        </w:tc>
        <w:tc>
          <w:tcPr>
            <w:tcW w:w="8397" w:type="dxa"/>
            <w:tcBorders>
              <w:top w:val="nil"/>
              <w:left w:val="nil"/>
              <w:bottom w:val="nil"/>
              <w:right w:val="nil"/>
            </w:tcBorders>
            <w:shd w:val="clear" w:color="auto" w:fill="auto"/>
          </w:tcPr>
          <w:p w14:paraId="51300582" w14:textId="77777777" w:rsidR="00B60186" w:rsidRPr="009D3012" w:rsidRDefault="00B60186" w:rsidP="0056481D">
            <w:pPr>
              <w:tabs>
                <w:tab w:val="left" w:pos="851"/>
                <w:tab w:val="left" w:pos="3119"/>
              </w:tabs>
              <w:spacing w:after="0" w:line="240" w:lineRule="auto"/>
              <w:jc w:val="left"/>
              <w:rPr>
                <w:rFonts w:cs="Arial"/>
              </w:rPr>
            </w:pPr>
            <w:r w:rsidRPr="009D3012">
              <w:rPr>
                <w:rFonts w:cs="Arial"/>
              </w:rPr>
              <w:t xml:space="preserve">Modified characteristic compressive strength for determination of basic anchorage length of FRP reinforcement </w:t>
            </w:r>
          </w:p>
        </w:tc>
      </w:tr>
      <w:tr w:rsidR="00B60186" w:rsidRPr="001455DC" w14:paraId="0E85E902" w14:textId="77777777" w:rsidTr="009D3012">
        <w:trPr>
          <w:trHeight w:val="57"/>
        </w:trPr>
        <w:tc>
          <w:tcPr>
            <w:tcW w:w="1526" w:type="dxa"/>
            <w:tcBorders>
              <w:top w:val="nil"/>
              <w:left w:val="nil"/>
              <w:bottom w:val="nil"/>
              <w:right w:val="nil"/>
            </w:tcBorders>
            <w:shd w:val="clear" w:color="auto" w:fill="auto"/>
          </w:tcPr>
          <w:p w14:paraId="7ED14FDB" w14:textId="4D20E0C2" w:rsidR="00B60186" w:rsidRPr="009D3012" w:rsidRDefault="00046D2A" w:rsidP="00046D2A">
            <w:pPr>
              <w:widowControl w:val="0"/>
              <w:tabs>
                <w:tab w:val="center" w:pos="660"/>
                <w:tab w:val="right" w:pos="1320"/>
              </w:tabs>
              <w:spacing w:after="0" w:line="240" w:lineRule="auto"/>
              <w:jc w:val="left"/>
              <w:rPr>
                <w:rFonts w:eastAsia="Times New Roman" w:cs="Arial"/>
                <w:i/>
                <w:iCs/>
                <w:lang w:val="en-US" w:eastAsia="fr-FR"/>
              </w:rPr>
            </w:pPr>
            <w:r w:rsidRPr="00046D2A">
              <w:rPr>
                <w:position w:val="-12"/>
                <w:lang w:val="en-GB"/>
              </w:rPr>
              <w:object w:dxaOrig="360" w:dyaOrig="360" w14:anchorId="2B49B6E3">
                <v:shape id="_x0000_i1104" type="#_x0000_t75" style="width:18.75pt;height:18.75pt" o:ole="">
                  <v:imagedata r:id="rId178" o:title=""/>
                </v:shape>
                <o:OLEObject Type="Embed" ProgID="Equation.DSMT4" ShapeID="_x0000_i1104" DrawAspect="Content" ObjectID="_1692169446" r:id="rId179"/>
              </w:object>
            </w:r>
          </w:p>
        </w:tc>
        <w:tc>
          <w:tcPr>
            <w:tcW w:w="8397" w:type="dxa"/>
            <w:tcBorders>
              <w:top w:val="nil"/>
              <w:left w:val="nil"/>
              <w:bottom w:val="nil"/>
              <w:right w:val="nil"/>
            </w:tcBorders>
            <w:shd w:val="clear" w:color="auto" w:fill="auto"/>
          </w:tcPr>
          <w:p w14:paraId="3EF181EA" w14:textId="77777777" w:rsidR="00B60186" w:rsidRPr="009D3012" w:rsidRDefault="00B60186" w:rsidP="0056481D">
            <w:pPr>
              <w:tabs>
                <w:tab w:val="left" w:pos="851"/>
                <w:tab w:val="left" w:pos="3119"/>
              </w:tabs>
              <w:spacing w:after="0" w:line="240" w:lineRule="auto"/>
              <w:jc w:val="left"/>
              <w:rPr>
                <w:rFonts w:eastAsia="Times New Roman" w:cs="Arial"/>
                <w:spacing w:val="-1"/>
              </w:rPr>
            </w:pPr>
            <w:r w:rsidRPr="009D3012">
              <w:rPr>
                <w:rFonts w:eastAsia="Times New Roman" w:cs="Arial"/>
                <w:spacing w:val="-1"/>
              </w:rPr>
              <w:t xml:space="preserve">Design tensile strength of FRP reinforcement </w:t>
            </w:r>
          </w:p>
        </w:tc>
      </w:tr>
      <w:tr w:rsidR="00B60186" w:rsidRPr="001455DC" w14:paraId="6DE82C66" w14:textId="77777777" w:rsidTr="009D3012">
        <w:trPr>
          <w:trHeight w:val="160"/>
        </w:trPr>
        <w:tc>
          <w:tcPr>
            <w:tcW w:w="1526" w:type="dxa"/>
            <w:tcBorders>
              <w:top w:val="nil"/>
              <w:left w:val="nil"/>
              <w:bottom w:val="nil"/>
              <w:right w:val="nil"/>
            </w:tcBorders>
            <w:shd w:val="clear" w:color="auto" w:fill="auto"/>
          </w:tcPr>
          <w:p w14:paraId="4248AD98" w14:textId="75A16EB4" w:rsidR="00B60186" w:rsidRPr="009D3012" w:rsidRDefault="00046D2A" w:rsidP="00046D2A">
            <w:pPr>
              <w:widowControl w:val="0"/>
              <w:tabs>
                <w:tab w:val="center" w:pos="660"/>
                <w:tab w:val="right" w:pos="1320"/>
              </w:tabs>
              <w:spacing w:after="0" w:line="240" w:lineRule="auto"/>
              <w:jc w:val="left"/>
              <w:rPr>
                <w:rFonts w:eastAsia="Times New Roman" w:cs="Arial"/>
                <w:i/>
                <w:iCs/>
                <w:lang w:val="en-US" w:eastAsia="fr-FR"/>
              </w:rPr>
            </w:pPr>
            <w:r w:rsidRPr="00046D2A">
              <w:rPr>
                <w:position w:val="-14"/>
                <w:lang w:val="en-GB"/>
              </w:rPr>
              <w:object w:dxaOrig="460" w:dyaOrig="400" w14:anchorId="3969BAFB">
                <v:shape id="_x0000_i1105" type="#_x0000_t75" style="width:22.5pt;height:20.25pt" o:ole="">
                  <v:imagedata r:id="rId180" o:title=""/>
                </v:shape>
                <o:OLEObject Type="Embed" ProgID="Equation.DSMT4" ShapeID="_x0000_i1105" DrawAspect="Content" ObjectID="_1692169447" r:id="rId181"/>
              </w:object>
            </w:r>
          </w:p>
        </w:tc>
        <w:tc>
          <w:tcPr>
            <w:tcW w:w="8397" w:type="dxa"/>
            <w:tcBorders>
              <w:top w:val="nil"/>
              <w:left w:val="nil"/>
              <w:bottom w:val="nil"/>
              <w:right w:val="nil"/>
            </w:tcBorders>
            <w:shd w:val="clear" w:color="auto" w:fill="auto"/>
          </w:tcPr>
          <w:p w14:paraId="79387F13" w14:textId="77777777" w:rsidR="00B60186" w:rsidRPr="009D3012" w:rsidRDefault="00B60186" w:rsidP="0056481D">
            <w:pPr>
              <w:widowControl w:val="0"/>
              <w:spacing w:after="0" w:line="240" w:lineRule="auto"/>
              <w:jc w:val="left"/>
              <w:rPr>
                <w:rFonts w:eastAsia="Times New Roman" w:cs="Arial"/>
                <w:spacing w:val="-1"/>
                <w:lang w:val="en-US" w:eastAsia="fr-FR"/>
              </w:rPr>
            </w:pPr>
            <w:r w:rsidRPr="009D3012">
              <w:rPr>
                <w:rFonts w:eastAsia="Times New Roman" w:cs="Arial"/>
                <w:spacing w:val="-1"/>
                <w:lang w:val="en-US" w:eastAsia="fr-FR"/>
              </w:rPr>
              <w:t>Design tensile strength of FRP reinforcement at a bend in the bar</w:t>
            </w:r>
          </w:p>
        </w:tc>
      </w:tr>
      <w:tr w:rsidR="00B60186" w:rsidRPr="001455DC" w14:paraId="0060254E" w14:textId="77777777" w:rsidTr="009D3012">
        <w:trPr>
          <w:trHeight w:val="122"/>
        </w:trPr>
        <w:tc>
          <w:tcPr>
            <w:tcW w:w="1526" w:type="dxa"/>
            <w:tcBorders>
              <w:top w:val="nil"/>
              <w:left w:val="nil"/>
              <w:bottom w:val="nil"/>
              <w:right w:val="nil"/>
            </w:tcBorders>
            <w:shd w:val="clear" w:color="auto" w:fill="auto"/>
          </w:tcPr>
          <w:p w14:paraId="7EFC3358" w14:textId="0C3F5B62" w:rsidR="00B60186" w:rsidRPr="009D3012" w:rsidRDefault="00046D2A" w:rsidP="00046D2A">
            <w:pPr>
              <w:widowControl w:val="0"/>
              <w:tabs>
                <w:tab w:val="center" w:pos="660"/>
                <w:tab w:val="right" w:pos="1320"/>
              </w:tabs>
              <w:spacing w:after="0" w:line="240" w:lineRule="auto"/>
              <w:jc w:val="left"/>
              <w:rPr>
                <w:rFonts w:eastAsia="Times New Roman" w:cs="Arial"/>
                <w:i/>
                <w:iCs/>
                <w:lang w:val="en-US" w:eastAsia="fr-FR"/>
              </w:rPr>
            </w:pPr>
            <w:r w:rsidRPr="00046D2A">
              <w:rPr>
                <w:position w:val="-12"/>
                <w:lang w:val="en-GB"/>
              </w:rPr>
              <w:object w:dxaOrig="440" w:dyaOrig="360" w14:anchorId="30C436C8">
                <v:shape id="_x0000_i1106" type="#_x0000_t75" style="width:21.75pt;height:18.75pt" o:ole="">
                  <v:imagedata r:id="rId182" o:title=""/>
                </v:shape>
                <o:OLEObject Type="Embed" ProgID="Equation.DSMT4" ShapeID="_x0000_i1106" DrawAspect="Content" ObjectID="_1692169448" r:id="rId183"/>
              </w:object>
            </w:r>
          </w:p>
        </w:tc>
        <w:tc>
          <w:tcPr>
            <w:tcW w:w="8397" w:type="dxa"/>
            <w:tcBorders>
              <w:top w:val="nil"/>
              <w:left w:val="nil"/>
              <w:bottom w:val="nil"/>
              <w:right w:val="nil"/>
            </w:tcBorders>
            <w:shd w:val="clear" w:color="auto" w:fill="auto"/>
          </w:tcPr>
          <w:p w14:paraId="2C4AC58F" w14:textId="6D85EF44" w:rsidR="00B60186" w:rsidRPr="009D3012" w:rsidRDefault="00B60186" w:rsidP="00046D2A">
            <w:pPr>
              <w:widowControl w:val="0"/>
              <w:spacing w:after="0" w:line="240" w:lineRule="auto"/>
              <w:jc w:val="left"/>
              <w:rPr>
                <w:rFonts w:eastAsia="Times New Roman" w:cs="Arial"/>
                <w:vertAlign w:val="subscript"/>
                <w:lang w:val="en-US" w:eastAsia="fr-FR"/>
              </w:rPr>
            </w:pPr>
            <w:r w:rsidRPr="009D3012">
              <w:rPr>
                <w:rFonts w:eastAsia="Times New Roman" w:cs="Arial"/>
                <w:spacing w:val="-1"/>
                <w:lang w:val="en-US" w:eastAsia="fr-FR"/>
              </w:rPr>
              <w:t xml:space="preserve">Tensile strength of FRP reinforcement at the rupture strain </w:t>
            </w:r>
            <w:r w:rsidR="00046D2A" w:rsidRPr="00046D2A">
              <w:rPr>
                <w:position w:val="-14"/>
                <w:lang w:val="en-GB"/>
              </w:rPr>
              <w:object w:dxaOrig="440" w:dyaOrig="380" w14:anchorId="6A6B7DC4">
                <v:shape id="_x0000_i1107" type="#_x0000_t75" style="width:21.75pt;height:18.75pt" o:ole="">
                  <v:imagedata r:id="rId184" o:title=""/>
                </v:shape>
                <o:OLEObject Type="Embed" ProgID="Equation.DSMT4" ShapeID="_x0000_i1107" DrawAspect="Content" ObjectID="_1692169449" r:id="rId185"/>
              </w:object>
            </w:r>
          </w:p>
        </w:tc>
      </w:tr>
      <w:tr w:rsidR="00B60186" w:rsidRPr="001455DC" w14:paraId="07EC6956" w14:textId="77777777" w:rsidTr="009D3012">
        <w:trPr>
          <w:trHeight w:val="98"/>
        </w:trPr>
        <w:tc>
          <w:tcPr>
            <w:tcW w:w="1526" w:type="dxa"/>
            <w:tcBorders>
              <w:top w:val="nil"/>
              <w:left w:val="nil"/>
              <w:bottom w:val="nil"/>
              <w:right w:val="nil"/>
            </w:tcBorders>
            <w:shd w:val="clear" w:color="auto" w:fill="auto"/>
          </w:tcPr>
          <w:p w14:paraId="0383C049" w14:textId="51F056D0" w:rsidR="00B60186" w:rsidRPr="009D3012" w:rsidRDefault="00046D2A" w:rsidP="00046D2A">
            <w:pPr>
              <w:widowControl w:val="0"/>
              <w:tabs>
                <w:tab w:val="center" w:pos="660"/>
                <w:tab w:val="right" w:pos="1320"/>
              </w:tabs>
              <w:spacing w:after="0" w:line="240" w:lineRule="auto"/>
              <w:jc w:val="left"/>
              <w:rPr>
                <w:rFonts w:eastAsia="Times New Roman" w:cs="Arial"/>
                <w:i/>
                <w:iCs/>
                <w:lang w:val="en-US" w:eastAsia="fr-FR"/>
              </w:rPr>
            </w:pPr>
            <w:r w:rsidRPr="00046D2A">
              <w:rPr>
                <w:position w:val="-14"/>
                <w:lang w:val="en-GB"/>
              </w:rPr>
              <w:object w:dxaOrig="680" w:dyaOrig="380" w14:anchorId="693652D3">
                <v:shape id="_x0000_i1108" type="#_x0000_t75" style="width:33.75pt;height:18.75pt" o:ole="">
                  <v:imagedata r:id="rId186" o:title=""/>
                </v:shape>
                <o:OLEObject Type="Embed" ProgID="Equation.DSMT4" ShapeID="_x0000_i1108" DrawAspect="Content" ObjectID="_1692169450" r:id="rId187"/>
              </w:object>
            </w:r>
          </w:p>
        </w:tc>
        <w:tc>
          <w:tcPr>
            <w:tcW w:w="8397" w:type="dxa"/>
            <w:tcBorders>
              <w:top w:val="nil"/>
              <w:left w:val="nil"/>
              <w:bottom w:val="nil"/>
              <w:right w:val="nil"/>
            </w:tcBorders>
            <w:shd w:val="clear" w:color="auto" w:fill="auto"/>
          </w:tcPr>
          <w:p w14:paraId="707464AB" w14:textId="77777777" w:rsidR="00B60186" w:rsidRPr="009D3012" w:rsidRDefault="00B60186" w:rsidP="0056481D">
            <w:pPr>
              <w:widowControl w:val="0"/>
              <w:spacing w:after="0" w:line="240" w:lineRule="auto"/>
              <w:jc w:val="left"/>
              <w:rPr>
                <w:rFonts w:eastAsia="Times New Roman" w:cs="Arial"/>
                <w:spacing w:val="-1"/>
                <w:lang w:val="en-US" w:eastAsia="fr-FR"/>
              </w:rPr>
            </w:pPr>
            <w:r w:rsidRPr="009D3012">
              <w:rPr>
                <w:rFonts w:eastAsia="Times New Roman" w:cs="Arial"/>
                <w:spacing w:val="-1"/>
                <w:lang w:val="en-US" w:eastAsia="fr-FR"/>
              </w:rPr>
              <w:t>Long term tensile strength of FRP reinforcement</w:t>
            </w:r>
          </w:p>
        </w:tc>
      </w:tr>
      <w:tr w:rsidR="00B60186" w:rsidRPr="001455DC" w14:paraId="55AB1D41" w14:textId="77777777" w:rsidTr="009D3012">
        <w:trPr>
          <w:trHeight w:val="74"/>
        </w:trPr>
        <w:tc>
          <w:tcPr>
            <w:tcW w:w="1526" w:type="dxa"/>
            <w:tcBorders>
              <w:top w:val="nil"/>
              <w:left w:val="nil"/>
              <w:bottom w:val="nil"/>
              <w:right w:val="nil"/>
            </w:tcBorders>
            <w:shd w:val="clear" w:color="auto" w:fill="auto"/>
          </w:tcPr>
          <w:p w14:paraId="1391B281" w14:textId="69BB4FC6" w:rsidR="00B60186" w:rsidRPr="009D3012" w:rsidRDefault="00046D2A" w:rsidP="00046D2A">
            <w:pPr>
              <w:widowControl w:val="0"/>
              <w:tabs>
                <w:tab w:val="center" w:pos="660"/>
                <w:tab w:val="right" w:pos="1320"/>
              </w:tabs>
              <w:spacing w:after="0" w:line="240" w:lineRule="auto"/>
              <w:jc w:val="left"/>
              <w:rPr>
                <w:rFonts w:eastAsia="Times New Roman" w:cs="Arial"/>
                <w:i/>
                <w:iCs/>
                <w:lang w:val="en-US" w:eastAsia="fr-FR"/>
              </w:rPr>
            </w:pPr>
            <w:r w:rsidRPr="00046D2A">
              <w:rPr>
                <w:position w:val="-12"/>
                <w:lang w:val="en-GB"/>
              </w:rPr>
              <w:object w:dxaOrig="639" w:dyaOrig="360" w14:anchorId="6422AD48">
                <v:shape id="_x0000_i1109" type="#_x0000_t75" style="width:32.25pt;height:18.75pt" o:ole="">
                  <v:imagedata r:id="rId188" o:title=""/>
                </v:shape>
                <o:OLEObject Type="Embed" ProgID="Equation.DSMT4" ShapeID="_x0000_i1109" DrawAspect="Content" ObjectID="_1692169451" r:id="rId189"/>
              </w:object>
            </w:r>
          </w:p>
        </w:tc>
        <w:tc>
          <w:tcPr>
            <w:tcW w:w="8397" w:type="dxa"/>
            <w:tcBorders>
              <w:top w:val="nil"/>
              <w:left w:val="nil"/>
              <w:bottom w:val="nil"/>
              <w:right w:val="nil"/>
            </w:tcBorders>
            <w:shd w:val="clear" w:color="auto" w:fill="auto"/>
          </w:tcPr>
          <w:p w14:paraId="5779C36C" w14:textId="77777777" w:rsidR="00B60186" w:rsidRPr="009D3012" w:rsidRDefault="00B60186" w:rsidP="0056481D">
            <w:pPr>
              <w:widowControl w:val="0"/>
              <w:spacing w:after="0" w:line="240" w:lineRule="auto"/>
              <w:jc w:val="left"/>
              <w:rPr>
                <w:rFonts w:eastAsia="Times New Roman" w:cs="Arial"/>
                <w:spacing w:val="-1"/>
                <w:lang w:val="en-US" w:eastAsia="fr-FR"/>
              </w:rPr>
            </w:pPr>
            <w:r w:rsidRPr="009D3012">
              <w:rPr>
                <w:rFonts w:eastAsia="Times New Roman" w:cs="Arial"/>
                <w:spacing w:val="-1"/>
                <w:lang w:val="en-US" w:eastAsia="fr-FR"/>
              </w:rPr>
              <w:t>Long term bond strength of FRP reinforcement</w:t>
            </w:r>
          </w:p>
        </w:tc>
      </w:tr>
      <w:tr w:rsidR="00B60186" w:rsidRPr="001455DC" w14:paraId="34969629" w14:textId="77777777" w:rsidTr="009D3012">
        <w:trPr>
          <w:trHeight w:val="192"/>
        </w:trPr>
        <w:tc>
          <w:tcPr>
            <w:tcW w:w="1526" w:type="dxa"/>
            <w:tcBorders>
              <w:top w:val="nil"/>
              <w:left w:val="nil"/>
              <w:bottom w:val="nil"/>
              <w:right w:val="nil"/>
            </w:tcBorders>
            <w:shd w:val="clear" w:color="auto" w:fill="auto"/>
          </w:tcPr>
          <w:p w14:paraId="208E1D9B" w14:textId="1A632CD3" w:rsidR="00B60186" w:rsidRPr="009D3012" w:rsidRDefault="00046D2A" w:rsidP="00046D2A">
            <w:pPr>
              <w:widowControl w:val="0"/>
              <w:tabs>
                <w:tab w:val="center" w:pos="660"/>
                <w:tab w:val="right" w:pos="1320"/>
              </w:tabs>
              <w:spacing w:after="0" w:line="240" w:lineRule="auto"/>
              <w:jc w:val="left"/>
              <w:rPr>
                <w:rFonts w:eastAsia="Times New Roman" w:cs="Arial"/>
                <w:i/>
                <w:iCs/>
                <w:lang w:val="en-US" w:eastAsia="fr-FR"/>
              </w:rPr>
            </w:pPr>
            <w:r w:rsidRPr="00046D2A">
              <w:rPr>
                <w:position w:val="-12"/>
                <w:lang w:val="en-GB"/>
              </w:rPr>
              <w:object w:dxaOrig="520" w:dyaOrig="360" w14:anchorId="3A4F7BE2">
                <v:shape id="_x0000_i1110" type="#_x0000_t75" style="width:27pt;height:18.75pt" o:ole="">
                  <v:imagedata r:id="rId190" o:title=""/>
                </v:shape>
                <o:OLEObject Type="Embed" ProgID="Equation.DSMT4" ShapeID="_x0000_i1110" DrawAspect="Content" ObjectID="_1692169452" r:id="rId191"/>
              </w:object>
            </w:r>
          </w:p>
        </w:tc>
        <w:tc>
          <w:tcPr>
            <w:tcW w:w="8397" w:type="dxa"/>
            <w:tcBorders>
              <w:top w:val="nil"/>
              <w:left w:val="nil"/>
              <w:bottom w:val="nil"/>
              <w:right w:val="nil"/>
            </w:tcBorders>
            <w:shd w:val="clear" w:color="auto" w:fill="auto"/>
          </w:tcPr>
          <w:p w14:paraId="071298BB" w14:textId="77777777" w:rsidR="00B60186" w:rsidRPr="009D3012" w:rsidRDefault="00B60186" w:rsidP="0056481D">
            <w:pPr>
              <w:widowControl w:val="0"/>
              <w:spacing w:after="0" w:line="240" w:lineRule="auto"/>
              <w:jc w:val="left"/>
              <w:rPr>
                <w:rFonts w:eastAsia="Times New Roman" w:cs="Arial"/>
                <w:spacing w:val="-1"/>
                <w:lang w:val="en-US" w:eastAsia="fr-FR"/>
              </w:rPr>
            </w:pPr>
            <w:r w:rsidRPr="009D3012">
              <w:rPr>
                <w:rFonts w:eastAsia="Times New Roman" w:cs="Arial"/>
                <w:spacing w:val="-1"/>
                <w:lang w:val="en-US" w:eastAsia="fr-FR"/>
              </w:rPr>
              <w:t>Design tensile strength of FRP shear reinforcement</w:t>
            </w:r>
          </w:p>
        </w:tc>
      </w:tr>
      <w:tr w:rsidR="00B60186" w:rsidRPr="001455DC" w14:paraId="11E19841" w14:textId="77777777" w:rsidTr="009D3012">
        <w:trPr>
          <w:trHeight w:val="57"/>
        </w:trPr>
        <w:tc>
          <w:tcPr>
            <w:tcW w:w="1526" w:type="dxa"/>
            <w:tcBorders>
              <w:top w:val="nil"/>
              <w:left w:val="nil"/>
              <w:bottom w:val="nil"/>
              <w:right w:val="nil"/>
            </w:tcBorders>
            <w:shd w:val="clear" w:color="auto" w:fill="auto"/>
          </w:tcPr>
          <w:p w14:paraId="100B8188" w14:textId="31516382" w:rsidR="00B60186" w:rsidRPr="009D3012" w:rsidRDefault="00046D2A" w:rsidP="00046D2A">
            <w:pPr>
              <w:widowControl w:val="0"/>
              <w:tabs>
                <w:tab w:val="center" w:pos="660"/>
                <w:tab w:val="right" w:pos="1320"/>
              </w:tabs>
              <w:spacing w:after="0" w:line="240" w:lineRule="auto"/>
              <w:jc w:val="left"/>
              <w:rPr>
                <w:rFonts w:eastAsia="Times New Roman" w:cs="Arial"/>
                <w:i/>
                <w:iCs/>
                <w:lang w:val="en-US" w:eastAsia="fr-FR"/>
              </w:rPr>
            </w:pPr>
            <w:r w:rsidRPr="00046D2A">
              <w:rPr>
                <w:position w:val="-14"/>
                <w:lang w:val="en-GB"/>
              </w:rPr>
              <w:object w:dxaOrig="300" w:dyaOrig="380" w14:anchorId="4BAC6464">
                <v:shape id="_x0000_i1111" type="#_x0000_t75" style="width:15.75pt;height:18.75pt" o:ole="">
                  <v:imagedata r:id="rId192" o:title=""/>
                </v:shape>
                <o:OLEObject Type="Embed" ProgID="Equation.DSMT4" ShapeID="_x0000_i1111" DrawAspect="Content" ObjectID="_1692169453" r:id="rId193"/>
              </w:object>
            </w:r>
          </w:p>
        </w:tc>
        <w:tc>
          <w:tcPr>
            <w:tcW w:w="8397" w:type="dxa"/>
            <w:tcBorders>
              <w:top w:val="nil"/>
              <w:left w:val="nil"/>
              <w:bottom w:val="nil"/>
              <w:right w:val="nil"/>
            </w:tcBorders>
            <w:shd w:val="clear" w:color="auto" w:fill="auto"/>
          </w:tcPr>
          <w:p w14:paraId="247501B2" w14:textId="77777777" w:rsidR="00B60186" w:rsidRPr="009D3012" w:rsidRDefault="00B60186" w:rsidP="0056481D">
            <w:pPr>
              <w:widowControl w:val="0"/>
              <w:spacing w:after="0" w:line="240" w:lineRule="auto"/>
              <w:jc w:val="left"/>
              <w:rPr>
                <w:rFonts w:eastAsia="Times New Roman" w:cs="Arial"/>
                <w:spacing w:val="-1"/>
                <w:lang w:val="en-US" w:eastAsia="fr-FR"/>
              </w:rPr>
            </w:pPr>
            <w:r w:rsidRPr="009D3012">
              <w:rPr>
                <w:rFonts w:eastAsia="Times New Roman" w:cs="Arial"/>
                <w:spacing w:val="-1"/>
                <w:lang w:val="en-US" w:eastAsia="fr-FR"/>
              </w:rPr>
              <w:t>Diameter of a FRP reinforcement bar</w:t>
            </w:r>
          </w:p>
        </w:tc>
      </w:tr>
      <w:tr w:rsidR="00B60186" w:rsidRPr="001455DC" w14:paraId="744AA7E7" w14:textId="77777777" w:rsidTr="009D3012">
        <w:trPr>
          <w:trHeight w:val="93"/>
        </w:trPr>
        <w:tc>
          <w:tcPr>
            <w:tcW w:w="1526" w:type="dxa"/>
            <w:tcBorders>
              <w:top w:val="nil"/>
              <w:left w:val="nil"/>
              <w:bottom w:val="nil"/>
              <w:right w:val="nil"/>
            </w:tcBorders>
            <w:shd w:val="clear" w:color="auto" w:fill="auto"/>
          </w:tcPr>
          <w:p w14:paraId="169A9FCD" w14:textId="1C458022" w:rsidR="00B60186" w:rsidRPr="009D3012" w:rsidRDefault="00046D2A" w:rsidP="00046D2A">
            <w:pPr>
              <w:widowControl w:val="0"/>
              <w:tabs>
                <w:tab w:val="center" w:pos="660"/>
                <w:tab w:val="right" w:pos="1320"/>
              </w:tabs>
              <w:spacing w:after="0" w:line="240" w:lineRule="auto"/>
              <w:jc w:val="left"/>
              <w:rPr>
                <w:rFonts w:eastAsia="Times New Roman" w:cs="Arial"/>
                <w:vertAlign w:val="subscript"/>
                <w:lang w:val="en-US" w:eastAsia="fr-FR"/>
              </w:rPr>
            </w:pPr>
            <w:r w:rsidRPr="00046D2A">
              <w:rPr>
                <w:position w:val="-14"/>
                <w:lang w:val="en-GB"/>
              </w:rPr>
              <w:object w:dxaOrig="240" w:dyaOrig="380" w14:anchorId="05F1C6A0">
                <v:shape id="_x0000_i1112" type="#_x0000_t75" style="width:12pt;height:18.75pt" o:ole="">
                  <v:imagedata r:id="rId194" o:title=""/>
                </v:shape>
                <o:OLEObject Type="Embed" ProgID="Equation.DSMT4" ShapeID="_x0000_i1112" DrawAspect="Content" ObjectID="_1692169454" r:id="rId195"/>
              </w:object>
            </w:r>
          </w:p>
        </w:tc>
        <w:tc>
          <w:tcPr>
            <w:tcW w:w="8397" w:type="dxa"/>
            <w:tcBorders>
              <w:top w:val="nil"/>
              <w:left w:val="nil"/>
              <w:bottom w:val="nil"/>
              <w:right w:val="nil"/>
            </w:tcBorders>
            <w:shd w:val="clear" w:color="auto" w:fill="auto"/>
          </w:tcPr>
          <w:p w14:paraId="44F13910" w14:textId="77777777" w:rsidR="00B60186" w:rsidRPr="009D3012" w:rsidRDefault="00B60186" w:rsidP="0056481D">
            <w:pPr>
              <w:widowControl w:val="0"/>
              <w:spacing w:after="0" w:line="240" w:lineRule="auto"/>
              <w:jc w:val="left"/>
              <w:rPr>
                <w:rFonts w:eastAsia="Times New Roman" w:cs="Arial"/>
                <w:spacing w:val="-1"/>
                <w:lang w:val="en-US" w:eastAsia="fr-FR"/>
              </w:rPr>
            </w:pPr>
            <w:r w:rsidRPr="009D3012">
              <w:rPr>
                <w:rFonts w:eastAsia="Times New Roman" w:cs="Arial"/>
                <w:spacing w:val="-1"/>
                <w:lang w:val="en-US" w:eastAsia="fr-FR"/>
              </w:rPr>
              <w:t>Bend radius of a FRP reinforcement bar</w:t>
            </w:r>
          </w:p>
        </w:tc>
      </w:tr>
    </w:tbl>
    <w:p w14:paraId="3BABB969" w14:textId="176690BF" w:rsidR="00761918" w:rsidRPr="00E519AB" w:rsidRDefault="00E519AB" w:rsidP="00E519AB">
      <w:pPr>
        <w:pStyle w:val="p3"/>
        <w:keepNext/>
        <w:keepLines/>
        <w:spacing w:before="240" w:after="120"/>
        <w:rPr>
          <w:b/>
        </w:rPr>
      </w:pPr>
      <w:bookmarkStart w:id="132" w:name="_Toc67565298"/>
      <w:bookmarkStart w:id="133" w:name="_Toc54015640"/>
      <w:bookmarkStart w:id="134" w:name="_Toc55828643"/>
      <w:r w:rsidRPr="00E519AB">
        <w:rPr>
          <w:b/>
        </w:rPr>
        <w:t>3.6.3</w:t>
      </w:r>
      <w:r w:rsidRPr="00E519AB">
        <w:rPr>
          <w:b/>
        </w:rPr>
        <w:tab/>
      </w:r>
      <w:r w:rsidR="00761918" w:rsidRPr="00E519AB">
        <w:rPr>
          <w:b/>
        </w:rPr>
        <w:t>Greek letters</w:t>
      </w:r>
      <w:bookmarkEnd w:id="132"/>
      <w:r w:rsidR="00761918" w:rsidRPr="00E519AB">
        <w:rPr>
          <w:b/>
        </w:rPr>
        <w:t xml:space="preserve"> </w:t>
      </w:r>
    </w:p>
    <w:tbl>
      <w:tblPr>
        <w:tblStyle w:val="Tabellenraster1"/>
        <w:tblW w:w="9923" w:type="dxa"/>
        <w:tblLook w:val="04A0" w:firstRow="1" w:lastRow="0" w:firstColumn="1" w:lastColumn="0" w:noHBand="0" w:noVBand="1"/>
      </w:tblPr>
      <w:tblGrid>
        <w:gridCol w:w="1526"/>
        <w:gridCol w:w="8397"/>
      </w:tblGrid>
      <w:tr w:rsidR="00B60186" w:rsidRPr="001455DC" w14:paraId="196377C9" w14:textId="77777777" w:rsidTr="009D3012">
        <w:trPr>
          <w:trHeight w:val="256"/>
        </w:trPr>
        <w:tc>
          <w:tcPr>
            <w:tcW w:w="1526" w:type="dxa"/>
            <w:tcBorders>
              <w:top w:val="nil"/>
              <w:left w:val="nil"/>
              <w:bottom w:val="nil"/>
              <w:right w:val="nil"/>
            </w:tcBorders>
            <w:shd w:val="clear" w:color="auto" w:fill="auto"/>
          </w:tcPr>
          <w:bookmarkEnd w:id="133"/>
          <w:bookmarkEnd w:id="134"/>
          <w:p w14:paraId="3BFFAC97" w14:textId="18700391" w:rsidR="00B60186" w:rsidRPr="001455DC" w:rsidRDefault="00046D2A" w:rsidP="00046D2A">
            <w:pPr>
              <w:widowControl w:val="0"/>
              <w:tabs>
                <w:tab w:val="center" w:pos="660"/>
                <w:tab w:val="right" w:pos="1320"/>
              </w:tabs>
              <w:spacing w:after="0" w:line="240" w:lineRule="auto"/>
              <w:jc w:val="left"/>
              <w:rPr>
                <w:rFonts w:ascii="Arial" w:eastAsia="Times New Roman" w:hAnsi="Arial" w:cs="Arial"/>
                <w:sz w:val="20"/>
                <w:szCs w:val="20"/>
                <w:vertAlign w:val="subscript"/>
                <w:lang w:val="en-US" w:eastAsia="fr-FR"/>
              </w:rPr>
            </w:pPr>
            <w:r w:rsidRPr="00046D2A">
              <w:rPr>
                <w:position w:val="-12"/>
                <w:lang w:val="en-GB"/>
              </w:rPr>
              <w:object w:dxaOrig="460" w:dyaOrig="360" w14:anchorId="643F338D">
                <v:shape id="_x0000_i1113" type="#_x0000_t75" style="width:22.5pt;height:18.75pt" o:ole="">
                  <v:imagedata r:id="rId196" o:title=""/>
                </v:shape>
                <o:OLEObject Type="Embed" ProgID="Equation.DSMT4" ShapeID="_x0000_i1113" DrawAspect="Content" ObjectID="_1692169455" r:id="rId197"/>
              </w:object>
            </w:r>
          </w:p>
        </w:tc>
        <w:tc>
          <w:tcPr>
            <w:tcW w:w="8397" w:type="dxa"/>
            <w:tcBorders>
              <w:top w:val="nil"/>
              <w:left w:val="nil"/>
              <w:bottom w:val="nil"/>
              <w:right w:val="nil"/>
            </w:tcBorders>
            <w:shd w:val="clear" w:color="auto" w:fill="auto"/>
          </w:tcPr>
          <w:p w14:paraId="5A8CEF0D" w14:textId="77777777" w:rsidR="00B60186" w:rsidRPr="000250B6" w:rsidRDefault="00B60186" w:rsidP="0056481D">
            <w:pPr>
              <w:widowControl w:val="0"/>
              <w:spacing w:after="0" w:line="240" w:lineRule="auto"/>
              <w:jc w:val="left"/>
              <w:rPr>
                <w:rFonts w:eastAsia="Times New Roman" w:cs="Arial"/>
                <w:spacing w:val="-1"/>
                <w:szCs w:val="20"/>
                <w:lang w:val="en-US" w:eastAsia="fr-FR"/>
              </w:rPr>
            </w:pPr>
            <w:r w:rsidRPr="000250B6">
              <w:rPr>
                <w:rFonts w:eastAsia="Times New Roman" w:cs="Arial"/>
                <w:spacing w:val="-1"/>
                <w:szCs w:val="20"/>
                <w:lang w:val="en-US" w:eastAsia="fr-FR"/>
              </w:rPr>
              <w:t>Partial factor for FRP reinforcing material</w:t>
            </w:r>
          </w:p>
        </w:tc>
      </w:tr>
      <w:tr w:rsidR="00B60186" w:rsidRPr="001455DC" w14:paraId="07898028" w14:textId="77777777" w:rsidTr="009D3012">
        <w:trPr>
          <w:trHeight w:val="90"/>
        </w:trPr>
        <w:tc>
          <w:tcPr>
            <w:tcW w:w="1526" w:type="dxa"/>
            <w:tcBorders>
              <w:top w:val="nil"/>
              <w:left w:val="nil"/>
              <w:bottom w:val="nil"/>
              <w:right w:val="nil"/>
            </w:tcBorders>
            <w:shd w:val="clear" w:color="auto" w:fill="auto"/>
          </w:tcPr>
          <w:p w14:paraId="17F72879" w14:textId="06662A43" w:rsidR="00B60186" w:rsidRPr="001455DC" w:rsidRDefault="00046D2A" w:rsidP="00046D2A">
            <w:pPr>
              <w:widowControl w:val="0"/>
              <w:tabs>
                <w:tab w:val="center" w:pos="660"/>
                <w:tab w:val="right" w:pos="1320"/>
              </w:tabs>
              <w:spacing w:after="0" w:line="240" w:lineRule="auto"/>
              <w:jc w:val="left"/>
              <w:rPr>
                <w:rFonts w:ascii="Arial" w:eastAsia="Times New Roman" w:hAnsi="Arial" w:cs="Arial"/>
                <w:sz w:val="20"/>
                <w:szCs w:val="20"/>
                <w:vertAlign w:val="subscript"/>
                <w:lang w:val="en-US" w:eastAsia="fr-FR"/>
              </w:rPr>
            </w:pPr>
            <w:r w:rsidRPr="00046D2A">
              <w:rPr>
                <w:position w:val="-14"/>
                <w:lang w:val="en-GB"/>
              </w:rPr>
              <w:object w:dxaOrig="420" w:dyaOrig="380" w14:anchorId="61A5E006">
                <v:shape id="_x0000_i1114" type="#_x0000_t75" style="width:20.25pt;height:18.75pt" o:ole="">
                  <v:imagedata r:id="rId198" o:title=""/>
                </v:shape>
                <o:OLEObject Type="Embed" ProgID="Equation.DSMT4" ShapeID="_x0000_i1114" DrawAspect="Content" ObjectID="_1692169456" r:id="rId199"/>
              </w:object>
            </w:r>
          </w:p>
        </w:tc>
        <w:tc>
          <w:tcPr>
            <w:tcW w:w="8397" w:type="dxa"/>
            <w:tcBorders>
              <w:top w:val="nil"/>
              <w:left w:val="nil"/>
              <w:bottom w:val="nil"/>
              <w:right w:val="nil"/>
            </w:tcBorders>
            <w:shd w:val="clear" w:color="auto" w:fill="auto"/>
          </w:tcPr>
          <w:p w14:paraId="7FD8643F" w14:textId="621C9588" w:rsidR="00B60186" w:rsidRPr="000250B6" w:rsidRDefault="00B60186" w:rsidP="00046D2A">
            <w:pPr>
              <w:widowControl w:val="0"/>
              <w:spacing w:after="0" w:line="240" w:lineRule="auto"/>
              <w:jc w:val="left"/>
              <w:rPr>
                <w:rFonts w:eastAsia="Times New Roman" w:cs="Arial"/>
                <w:szCs w:val="20"/>
                <w:vertAlign w:val="subscript"/>
                <w:lang w:val="en-US" w:eastAsia="fr-FR"/>
              </w:rPr>
            </w:pPr>
            <w:r w:rsidRPr="000250B6">
              <w:rPr>
                <w:rFonts w:eastAsia="Times New Roman" w:cs="Arial"/>
                <w:spacing w:val="-1"/>
                <w:szCs w:val="20"/>
                <w:lang w:val="en-US" w:eastAsia="fr-FR"/>
              </w:rPr>
              <w:t xml:space="preserve">Strain of FRP reinforcement at design tensile strength </w:t>
            </w:r>
            <w:r w:rsidR="00046D2A" w:rsidRPr="000250B6">
              <w:rPr>
                <w:position w:val="-12"/>
                <w:lang w:val="en-GB"/>
              </w:rPr>
              <w:object w:dxaOrig="360" w:dyaOrig="360" w14:anchorId="0831FF41">
                <v:shape id="_x0000_i1115" type="#_x0000_t75" style="width:18.75pt;height:18.75pt" o:ole="">
                  <v:imagedata r:id="rId200" o:title=""/>
                </v:shape>
                <o:OLEObject Type="Embed" ProgID="Equation.DSMT4" ShapeID="_x0000_i1115" DrawAspect="Content" ObjectID="_1692169457" r:id="rId201"/>
              </w:object>
            </w:r>
          </w:p>
        </w:tc>
      </w:tr>
      <w:tr w:rsidR="00B60186" w:rsidRPr="001455DC" w14:paraId="398A7D83" w14:textId="77777777" w:rsidTr="009D3012">
        <w:trPr>
          <w:trHeight w:val="66"/>
        </w:trPr>
        <w:tc>
          <w:tcPr>
            <w:tcW w:w="1526" w:type="dxa"/>
            <w:tcBorders>
              <w:top w:val="nil"/>
              <w:left w:val="nil"/>
              <w:bottom w:val="nil"/>
              <w:right w:val="nil"/>
            </w:tcBorders>
            <w:shd w:val="clear" w:color="auto" w:fill="auto"/>
          </w:tcPr>
          <w:p w14:paraId="41062917" w14:textId="0CFDF9D5" w:rsidR="00B60186" w:rsidRPr="001455DC" w:rsidRDefault="00046D2A" w:rsidP="00046D2A">
            <w:pPr>
              <w:widowControl w:val="0"/>
              <w:tabs>
                <w:tab w:val="center" w:pos="660"/>
                <w:tab w:val="right" w:pos="1320"/>
              </w:tabs>
              <w:spacing w:after="0" w:line="240" w:lineRule="auto"/>
              <w:jc w:val="left"/>
              <w:rPr>
                <w:rFonts w:ascii="Arial" w:eastAsia="Times New Roman" w:hAnsi="Arial" w:cs="Arial"/>
                <w:sz w:val="20"/>
                <w:szCs w:val="20"/>
                <w:vertAlign w:val="subscript"/>
                <w:lang w:val="en-US" w:eastAsia="fr-FR"/>
              </w:rPr>
            </w:pPr>
            <w:r w:rsidRPr="00046D2A">
              <w:rPr>
                <w:position w:val="-14"/>
                <w:lang w:val="en-GB"/>
              </w:rPr>
              <w:object w:dxaOrig="700" w:dyaOrig="380" w14:anchorId="60735E30">
                <v:shape id="_x0000_i1116" type="#_x0000_t75" style="width:35.25pt;height:18.75pt" o:ole="">
                  <v:imagedata r:id="rId202" o:title=""/>
                </v:shape>
                <o:OLEObject Type="Embed" ProgID="Equation.DSMT4" ShapeID="_x0000_i1116" DrawAspect="Content" ObjectID="_1692169458" r:id="rId203"/>
              </w:object>
            </w:r>
          </w:p>
        </w:tc>
        <w:tc>
          <w:tcPr>
            <w:tcW w:w="8397" w:type="dxa"/>
            <w:tcBorders>
              <w:top w:val="nil"/>
              <w:left w:val="nil"/>
              <w:bottom w:val="nil"/>
              <w:right w:val="nil"/>
            </w:tcBorders>
            <w:shd w:val="clear" w:color="auto" w:fill="auto"/>
          </w:tcPr>
          <w:p w14:paraId="246337CA" w14:textId="77777777" w:rsidR="00B60186" w:rsidRPr="000250B6" w:rsidRDefault="00B60186" w:rsidP="0056481D">
            <w:pPr>
              <w:widowControl w:val="0"/>
              <w:spacing w:after="0" w:line="240" w:lineRule="auto"/>
              <w:jc w:val="left"/>
              <w:rPr>
                <w:rFonts w:eastAsia="Times New Roman" w:cs="Arial"/>
                <w:spacing w:val="-1"/>
                <w:szCs w:val="20"/>
                <w:lang w:val="en-US" w:eastAsia="fr-FR"/>
              </w:rPr>
            </w:pPr>
            <w:r w:rsidRPr="000250B6">
              <w:rPr>
                <w:rFonts w:eastAsia="Times New Roman" w:cs="Arial"/>
                <w:spacing w:val="-1"/>
                <w:szCs w:val="20"/>
                <w:lang w:val="en-US" w:eastAsia="fr-FR"/>
              </w:rPr>
              <w:t>Long term rupture strain of FRP reinforcement</w:t>
            </w:r>
          </w:p>
        </w:tc>
      </w:tr>
      <w:tr w:rsidR="00B60186" w:rsidRPr="001455DC" w14:paraId="079783E0" w14:textId="77777777" w:rsidTr="009D3012">
        <w:trPr>
          <w:trHeight w:val="57"/>
        </w:trPr>
        <w:tc>
          <w:tcPr>
            <w:tcW w:w="1526" w:type="dxa"/>
            <w:tcBorders>
              <w:top w:val="nil"/>
              <w:left w:val="nil"/>
              <w:bottom w:val="nil"/>
              <w:right w:val="nil"/>
            </w:tcBorders>
            <w:shd w:val="clear" w:color="auto" w:fill="auto"/>
          </w:tcPr>
          <w:p w14:paraId="10FDD36C" w14:textId="63960300" w:rsidR="00B60186" w:rsidRPr="001455DC" w:rsidRDefault="00046D2A" w:rsidP="00046D2A">
            <w:pPr>
              <w:widowControl w:val="0"/>
              <w:tabs>
                <w:tab w:val="center" w:pos="660"/>
                <w:tab w:val="right" w:pos="1320"/>
              </w:tabs>
              <w:spacing w:after="0" w:line="240" w:lineRule="auto"/>
              <w:jc w:val="left"/>
              <w:rPr>
                <w:rFonts w:ascii="Arial" w:eastAsia="Times New Roman" w:hAnsi="Arial" w:cs="Arial"/>
                <w:sz w:val="20"/>
                <w:szCs w:val="20"/>
                <w:vertAlign w:val="subscript"/>
                <w:lang w:val="en-US" w:eastAsia="fr-FR"/>
              </w:rPr>
            </w:pPr>
            <w:r w:rsidRPr="00046D2A">
              <w:rPr>
                <w:position w:val="-14"/>
                <w:lang w:val="en-GB"/>
              </w:rPr>
              <w:object w:dxaOrig="440" w:dyaOrig="380" w14:anchorId="53A40D60">
                <v:shape id="_x0000_i1117" type="#_x0000_t75" style="width:21.75pt;height:18.75pt" o:ole="">
                  <v:imagedata r:id="rId204" o:title=""/>
                </v:shape>
                <o:OLEObject Type="Embed" ProgID="Equation.DSMT4" ShapeID="_x0000_i1117" DrawAspect="Content" ObjectID="_1692169459" r:id="rId205"/>
              </w:object>
            </w:r>
          </w:p>
        </w:tc>
        <w:tc>
          <w:tcPr>
            <w:tcW w:w="8397" w:type="dxa"/>
            <w:tcBorders>
              <w:top w:val="nil"/>
              <w:left w:val="nil"/>
              <w:bottom w:val="nil"/>
              <w:right w:val="nil"/>
            </w:tcBorders>
            <w:shd w:val="clear" w:color="auto" w:fill="auto"/>
          </w:tcPr>
          <w:p w14:paraId="74A49EFD" w14:textId="77777777" w:rsidR="00B60186" w:rsidRPr="000250B6" w:rsidRDefault="00B60186" w:rsidP="0056481D">
            <w:pPr>
              <w:widowControl w:val="0"/>
              <w:spacing w:after="0" w:line="240" w:lineRule="auto"/>
              <w:jc w:val="left"/>
              <w:rPr>
                <w:rFonts w:eastAsia="Times New Roman" w:cs="Arial"/>
                <w:spacing w:val="-1"/>
                <w:szCs w:val="20"/>
                <w:lang w:val="en-US" w:eastAsia="fr-FR"/>
              </w:rPr>
            </w:pPr>
            <w:r w:rsidRPr="000250B6">
              <w:rPr>
                <w:rFonts w:eastAsia="Times New Roman" w:cs="Arial"/>
                <w:spacing w:val="-1"/>
                <w:szCs w:val="20"/>
                <w:lang w:val="en-US" w:eastAsia="fr-FR"/>
              </w:rPr>
              <w:t>Rupture strain of FRP reinforcement</w:t>
            </w:r>
          </w:p>
        </w:tc>
      </w:tr>
      <w:tr w:rsidR="00B60186" w:rsidRPr="001455DC" w14:paraId="6B9D359F" w14:textId="77777777" w:rsidTr="009D3012">
        <w:trPr>
          <w:trHeight w:val="146"/>
        </w:trPr>
        <w:tc>
          <w:tcPr>
            <w:tcW w:w="1526" w:type="dxa"/>
            <w:tcBorders>
              <w:top w:val="nil"/>
              <w:left w:val="nil"/>
              <w:bottom w:val="nil"/>
              <w:right w:val="nil"/>
            </w:tcBorders>
            <w:shd w:val="clear" w:color="auto" w:fill="auto"/>
          </w:tcPr>
          <w:p w14:paraId="5AAAD57B" w14:textId="7A066D24" w:rsidR="00B60186" w:rsidRPr="001455DC" w:rsidRDefault="00046D2A" w:rsidP="00046D2A">
            <w:pPr>
              <w:widowControl w:val="0"/>
              <w:tabs>
                <w:tab w:val="center" w:pos="660"/>
                <w:tab w:val="right" w:pos="1320"/>
              </w:tabs>
              <w:spacing w:after="0" w:line="240" w:lineRule="auto"/>
              <w:jc w:val="left"/>
              <w:rPr>
                <w:rFonts w:ascii="Arial" w:eastAsia="Times New Roman" w:hAnsi="Arial" w:cs="Arial"/>
                <w:sz w:val="20"/>
                <w:szCs w:val="20"/>
                <w:vertAlign w:val="subscript"/>
                <w:lang w:val="en-US" w:eastAsia="fr-FR"/>
              </w:rPr>
            </w:pPr>
            <w:r w:rsidRPr="00046D2A">
              <w:rPr>
                <w:position w:val="-14"/>
                <w:lang w:val="en-GB"/>
              </w:rPr>
              <w:object w:dxaOrig="499" w:dyaOrig="380" w14:anchorId="29618E0F">
                <v:shape id="_x0000_i1118" type="#_x0000_t75" style="width:24.75pt;height:18.75pt" o:ole="">
                  <v:imagedata r:id="rId206" o:title=""/>
                </v:shape>
                <o:OLEObject Type="Embed" ProgID="Equation.DSMT4" ShapeID="_x0000_i1118" DrawAspect="Content" ObjectID="_1692169460" r:id="rId207"/>
              </w:object>
            </w:r>
          </w:p>
        </w:tc>
        <w:tc>
          <w:tcPr>
            <w:tcW w:w="8397" w:type="dxa"/>
            <w:tcBorders>
              <w:top w:val="nil"/>
              <w:left w:val="nil"/>
              <w:bottom w:val="nil"/>
              <w:right w:val="nil"/>
            </w:tcBorders>
            <w:shd w:val="clear" w:color="auto" w:fill="auto"/>
          </w:tcPr>
          <w:p w14:paraId="66CCB6DC" w14:textId="77777777" w:rsidR="00B60186" w:rsidRPr="000250B6" w:rsidRDefault="00B60186" w:rsidP="0056481D">
            <w:pPr>
              <w:widowControl w:val="0"/>
              <w:spacing w:after="0" w:line="240" w:lineRule="auto"/>
              <w:jc w:val="left"/>
              <w:rPr>
                <w:rFonts w:eastAsia="Times New Roman" w:cs="Arial"/>
                <w:spacing w:val="-1"/>
                <w:szCs w:val="20"/>
                <w:lang w:val="en-US" w:eastAsia="fr-FR"/>
              </w:rPr>
            </w:pPr>
            <w:r w:rsidRPr="000250B6">
              <w:rPr>
                <w:rFonts w:eastAsia="Times New Roman" w:cs="Arial"/>
                <w:spacing w:val="-1"/>
                <w:szCs w:val="20"/>
                <w:lang w:val="en-US" w:eastAsia="fr-FR"/>
              </w:rPr>
              <w:t>Shear resistance of a member with FRP reinforcement</w:t>
            </w:r>
          </w:p>
        </w:tc>
      </w:tr>
      <w:tr w:rsidR="00B60186" w:rsidRPr="001455DC" w14:paraId="4B24E59B" w14:textId="77777777" w:rsidTr="009D3012">
        <w:trPr>
          <w:trHeight w:val="57"/>
        </w:trPr>
        <w:tc>
          <w:tcPr>
            <w:tcW w:w="1526" w:type="dxa"/>
            <w:tcBorders>
              <w:top w:val="nil"/>
              <w:left w:val="nil"/>
              <w:bottom w:val="nil"/>
              <w:right w:val="nil"/>
            </w:tcBorders>
            <w:shd w:val="clear" w:color="auto" w:fill="auto"/>
          </w:tcPr>
          <w:p w14:paraId="091EFF50" w14:textId="3AC03036" w:rsidR="00B60186" w:rsidRPr="001455DC" w:rsidRDefault="00046D2A" w:rsidP="00046D2A">
            <w:pPr>
              <w:widowControl w:val="0"/>
              <w:tabs>
                <w:tab w:val="center" w:pos="660"/>
                <w:tab w:val="right" w:pos="1320"/>
              </w:tabs>
              <w:spacing w:after="0" w:line="240" w:lineRule="auto"/>
              <w:jc w:val="left"/>
              <w:rPr>
                <w:rFonts w:ascii="Arial" w:eastAsia="Times New Roman" w:hAnsi="Arial" w:cs="Arial"/>
                <w:sz w:val="20"/>
                <w:szCs w:val="20"/>
                <w:vertAlign w:val="subscript"/>
                <w:lang w:val="en-US" w:eastAsia="fr-FR"/>
              </w:rPr>
            </w:pPr>
            <w:r w:rsidRPr="00046D2A">
              <w:rPr>
                <w:position w:val="-14"/>
                <w:lang w:val="en-GB"/>
              </w:rPr>
              <w:object w:dxaOrig="340" w:dyaOrig="380" w14:anchorId="582C7513">
                <v:shape id="_x0000_i1119" type="#_x0000_t75" style="width:17.25pt;height:18.75pt" o:ole="">
                  <v:imagedata r:id="rId208" o:title=""/>
                </v:shape>
                <o:OLEObject Type="Embed" ProgID="Equation.DSMT4" ShapeID="_x0000_i1119" DrawAspect="Content" ObjectID="_1692169461" r:id="rId209"/>
              </w:object>
            </w:r>
          </w:p>
        </w:tc>
        <w:tc>
          <w:tcPr>
            <w:tcW w:w="8397" w:type="dxa"/>
            <w:tcBorders>
              <w:top w:val="nil"/>
              <w:left w:val="nil"/>
              <w:bottom w:val="nil"/>
              <w:right w:val="nil"/>
            </w:tcBorders>
            <w:shd w:val="clear" w:color="auto" w:fill="auto"/>
          </w:tcPr>
          <w:p w14:paraId="05355EEE" w14:textId="77777777" w:rsidR="00B60186" w:rsidRPr="000250B6" w:rsidRDefault="00B60186" w:rsidP="0056481D">
            <w:pPr>
              <w:widowControl w:val="0"/>
              <w:spacing w:after="0" w:line="240" w:lineRule="auto"/>
              <w:jc w:val="left"/>
              <w:rPr>
                <w:rFonts w:eastAsia="Times New Roman" w:cs="Arial"/>
                <w:spacing w:val="-1"/>
                <w:szCs w:val="20"/>
                <w:lang w:val="en-US" w:eastAsia="fr-FR"/>
              </w:rPr>
            </w:pPr>
            <w:r w:rsidRPr="000250B6">
              <w:rPr>
                <w:rFonts w:eastAsia="Times New Roman" w:cs="Arial"/>
                <w:spacing w:val="-1"/>
                <w:szCs w:val="20"/>
                <w:lang w:val="en-US" w:eastAsia="fr-FR"/>
              </w:rPr>
              <w:t>Longitudinal reinforcement ratio for FRP reinforcement</w:t>
            </w:r>
          </w:p>
        </w:tc>
      </w:tr>
      <w:tr w:rsidR="00B60186" w:rsidRPr="001455DC" w14:paraId="7838B879" w14:textId="77777777" w:rsidTr="009D3012">
        <w:trPr>
          <w:trHeight w:val="128"/>
        </w:trPr>
        <w:tc>
          <w:tcPr>
            <w:tcW w:w="1526" w:type="dxa"/>
            <w:tcBorders>
              <w:top w:val="nil"/>
              <w:left w:val="nil"/>
              <w:bottom w:val="nil"/>
              <w:right w:val="nil"/>
            </w:tcBorders>
            <w:shd w:val="clear" w:color="auto" w:fill="auto"/>
          </w:tcPr>
          <w:p w14:paraId="61894C30" w14:textId="7EC7316D" w:rsidR="00B60186" w:rsidRPr="001455DC" w:rsidRDefault="00046D2A" w:rsidP="00046D2A">
            <w:pPr>
              <w:widowControl w:val="0"/>
              <w:tabs>
                <w:tab w:val="center" w:pos="660"/>
                <w:tab w:val="right" w:pos="1320"/>
              </w:tabs>
              <w:spacing w:after="0" w:line="240" w:lineRule="auto"/>
              <w:jc w:val="left"/>
              <w:rPr>
                <w:rFonts w:ascii="Arial" w:eastAsia="Times New Roman" w:hAnsi="Arial" w:cs="Arial"/>
                <w:sz w:val="20"/>
                <w:szCs w:val="20"/>
                <w:vertAlign w:val="subscript"/>
                <w:lang w:val="en-US" w:eastAsia="fr-FR"/>
              </w:rPr>
            </w:pPr>
            <w:r w:rsidRPr="00046D2A">
              <w:rPr>
                <w:position w:val="-14"/>
                <w:lang w:val="en-GB"/>
              </w:rPr>
              <w:object w:dxaOrig="420" w:dyaOrig="380" w14:anchorId="3F669A8C">
                <v:shape id="_x0000_i1120" type="#_x0000_t75" style="width:20.25pt;height:18.75pt" o:ole="">
                  <v:imagedata r:id="rId210" o:title=""/>
                </v:shape>
                <o:OLEObject Type="Embed" ProgID="Equation.DSMT4" ShapeID="_x0000_i1120" DrawAspect="Content" ObjectID="_1692169462" r:id="rId211"/>
              </w:object>
            </w:r>
          </w:p>
        </w:tc>
        <w:tc>
          <w:tcPr>
            <w:tcW w:w="8397" w:type="dxa"/>
            <w:tcBorders>
              <w:top w:val="nil"/>
              <w:left w:val="nil"/>
              <w:bottom w:val="nil"/>
              <w:right w:val="nil"/>
            </w:tcBorders>
            <w:shd w:val="clear" w:color="auto" w:fill="auto"/>
          </w:tcPr>
          <w:p w14:paraId="6B3CC851" w14:textId="77777777" w:rsidR="00B60186" w:rsidRPr="009D3012" w:rsidRDefault="00B60186" w:rsidP="0056481D">
            <w:pPr>
              <w:widowControl w:val="0"/>
              <w:spacing w:after="0" w:line="240" w:lineRule="auto"/>
              <w:jc w:val="left"/>
              <w:rPr>
                <w:rFonts w:eastAsia="Times New Roman" w:cs="Arial"/>
                <w:spacing w:val="-1"/>
                <w:sz w:val="20"/>
                <w:szCs w:val="20"/>
                <w:lang w:val="en-US" w:eastAsia="fr-FR"/>
              </w:rPr>
            </w:pPr>
            <w:r w:rsidRPr="000250B6">
              <w:rPr>
                <w:rFonts w:eastAsia="Times New Roman" w:cs="Arial"/>
                <w:spacing w:val="-1"/>
                <w:szCs w:val="20"/>
                <w:lang w:val="en-US" w:eastAsia="fr-FR"/>
              </w:rPr>
              <w:t>Stress in the FRP bar</w:t>
            </w:r>
          </w:p>
        </w:tc>
      </w:tr>
    </w:tbl>
    <w:p w14:paraId="330A0147" w14:textId="154424F3" w:rsidR="0056481D" w:rsidRPr="009D3012" w:rsidRDefault="00761918" w:rsidP="006D682B">
      <w:pPr>
        <w:pStyle w:val="21"/>
      </w:pPr>
      <w:bookmarkStart w:id="135" w:name="_Toc55828644"/>
      <w:bookmarkStart w:id="136" w:name="_Toc67565299"/>
      <w:bookmarkStart w:id="137" w:name="_Toc54016307"/>
      <w:r w:rsidRPr="009D3012">
        <w:t>Symbols in Annex L</w:t>
      </w:r>
      <w:bookmarkEnd w:id="135"/>
      <w:bookmarkEnd w:id="136"/>
    </w:p>
    <w:p w14:paraId="2EE9400D" w14:textId="26728495" w:rsidR="00761918" w:rsidRPr="00E519AB" w:rsidRDefault="00E519AB" w:rsidP="00E519AB">
      <w:pPr>
        <w:pStyle w:val="p3"/>
        <w:keepNext/>
        <w:keepLines/>
        <w:rPr>
          <w:b/>
        </w:rPr>
      </w:pPr>
      <w:bookmarkStart w:id="138" w:name="_Toc54016308"/>
      <w:bookmarkStart w:id="139" w:name="_Toc55828645"/>
      <w:bookmarkStart w:id="140" w:name="_Toc67565300"/>
      <w:r w:rsidRPr="00E519AB">
        <w:rPr>
          <w:b/>
        </w:rPr>
        <w:t>3.7.1</w:t>
      </w:r>
      <w:r w:rsidRPr="00E519AB">
        <w:rPr>
          <w:b/>
        </w:rPr>
        <w:tab/>
      </w:r>
      <w:r w:rsidR="00761918" w:rsidRPr="00E519AB">
        <w:rPr>
          <w:b/>
        </w:rPr>
        <w:t>Latin upper case letters</w:t>
      </w:r>
      <w:bookmarkEnd w:id="138"/>
      <w:bookmarkEnd w:id="139"/>
      <w:bookmarkEnd w:id="140"/>
    </w:p>
    <w:tbl>
      <w:tblPr>
        <w:tblStyle w:val="Tabellenraster1"/>
        <w:tblW w:w="9894" w:type="dxa"/>
        <w:tblInd w:w="-5" w:type="dxa"/>
        <w:tblLook w:val="04A0" w:firstRow="1" w:lastRow="0" w:firstColumn="1" w:lastColumn="0" w:noHBand="0" w:noVBand="1"/>
      </w:tblPr>
      <w:tblGrid>
        <w:gridCol w:w="1531"/>
        <w:gridCol w:w="8363"/>
      </w:tblGrid>
      <w:tr w:rsidR="00761918" w:rsidRPr="001455DC" w14:paraId="75EE488E" w14:textId="77777777" w:rsidTr="009D3012">
        <w:trPr>
          <w:trHeight w:val="422"/>
        </w:trPr>
        <w:tc>
          <w:tcPr>
            <w:tcW w:w="1531" w:type="dxa"/>
            <w:tcBorders>
              <w:top w:val="nil"/>
              <w:left w:val="nil"/>
              <w:bottom w:val="nil"/>
              <w:right w:val="nil"/>
            </w:tcBorders>
            <w:shd w:val="clear" w:color="auto" w:fill="auto"/>
          </w:tcPr>
          <w:bookmarkEnd w:id="137"/>
          <w:p w14:paraId="1471E5A6" w14:textId="77777777" w:rsidR="00761918" w:rsidRPr="009D3012" w:rsidRDefault="00761918" w:rsidP="0056481D">
            <w:pPr>
              <w:widowControl w:val="0"/>
              <w:spacing w:after="0" w:line="240" w:lineRule="auto"/>
              <w:ind w:left="31"/>
              <w:jc w:val="left"/>
              <w:rPr>
                <w:rFonts w:eastAsia="Times New Roman" w:cs="Arial"/>
                <w:sz w:val="20"/>
                <w:szCs w:val="20"/>
                <w:lang w:val="en-US" w:eastAsia="fr-FR"/>
              </w:rPr>
            </w:pPr>
            <w:r w:rsidRPr="009D3012">
              <w:rPr>
                <w:rFonts w:eastAsia="Times New Roman" w:cs="Arial"/>
                <w:i/>
                <w:iCs/>
                <w:spacing w:val="-1"/>
                <w:sz w:val="20"/>
                <w:szCs w:val="20"/>
              </w:rPr>
              <w:t>CMOD</w:t>
            </w:r>
            <w:r w:rsidRPr="009D3012">
              <w:rPr>
                <w:rFonts w:eastAsia="Times New Roman" w:cs="Arial"/>
                <w:spacing w:val="-1"/>
                <w:sz w:val="20"/>
                <w:szCs w:val="20"/>
                <w:vertAlign w:val="subscript"/>
              </w:rPr>
              <w:t>1</w:t>
            </w:r>
            <w:r w:rsidRPr="009D3012">
              <w:rPr>
                <w:rFonts w:eastAsia="Times New Roman" w:cs="Arial"/>
                <w:spacing w:val="-1"/>
                <w:sz w:val="20"/>
                <w:szCs w:val="20"/>
              </w:rPr>
              <w:t xml:space="preserve"> </w:t>
            </w:r>
          </w:p>
        </w:tc>
        <w:tc>
          <w:tcPr>
            <w:tcW w:w="8363" w:type="dxa"/>
            <w:tcBorders>
              <w:top w:val="nil"/>
              <w:left w:val="nil"/>
              <w:bottom w:val="nil"/>
              <w:right w:val="nil"/>
            </w:tcBorders>
            <w:shd w:val="clear" w:color="auto" w:fill="auto"/>
          </w:tcPr>
          <w:p w14:paraId="7083BABD" w14:textId="77777777" w:rsidR="00761918" w:rsidRPr="000250B6" w:rsidRDefault="00761918" w:rsidP="0056481D">
            <w:pPr>
              <w:widowControl w:val="0"/>
              <w:spacing w:after="0" w:line="240" w:lineRule="auto"/>
              <w:ind w:left="33" w:hanging="33"/>
              <w:jc w:val="left"/>
              <w:rPr>
                <w:rFonts w:eastAsia="Times New Roman" w:cs="Arial"/>
                <w:szCs w:val="20"/>
                <w:lang w:val="en-US" w:eastAsia="fr-FR"/>
              </w:rPr>
            </w:pPr>
            <w:r w:rsidRPr="000250B6">
              <w:rPr>
                <w:rFonts w:eastAsia="Times New Roman" w:cs="Arial"/>
                <w:spacing w:val="-1"/>
                <w:szCs w:val="20"/>
              </w:rPr>
              <w:t>= 0,5 mm is the crack width (Crack Mouth Opening Displacement) for which the characteristic residual flexural strength,</w:t>
            </w:r>
            <w:r w:rsidRPr="000250B6">
              <w:rPr>
                <w:rFonts w:eastAsia="Times New Roman" w:cs="Arial"/>
                <w:szCs w:val="20"/>
              </w:rPr>
              <w:t xml:space="preserve"> </w:t>
            </w:r>
            <w:r w:rsidRPr="000250B6">
              <w:rPr>
                <w:rFonts w:eastAsia="Times New Roman" w:cs="Arial"/>
                <w:i/>
                <w:iCs/>
                <w:szCs w:val="20"/>
              </w:rPr>
              <w:t>f</w:t>
            </w:r>
            <w:r w:rsidRPr="000250B6">
              <w:rPr>
                <w:rFonts w:eastAsia="Times New Roman" w:cs="Arial"/>
                <w:szCs w:val="20"/>
                <w:vertAlign w:val="subscript"/>
              </w:rPr>
              <w:t>R,1k</w:t>
            </w:r>
            <w:r w:rsidRPr="000250B6">
              <w:rPr>
                <w:rFonts w:eastAsia="Times New Roman" w:cs="Arial"/>
                <w:szCs w:val="20"/>
              </w:rPr>
              <w:t>, is determined (defined in EN 14651).</w:t>
            </w:r>
          </w:p>
        </w:tc>
      </w:tr>
      <w:tr w:rsidR="00761918" w:rsidRPr="001455DC" w14:paraId="442BFEDC" w14:textId="77777777" w:rsidTr="009D3012">
        <w:trPr>
          <w:trHeight w:val="422"/>
        </w:trPr>
        <w:tc>
          <w:tcPr>
            <w:tcW w:w="1531" w:type="dxa"/>
            <w:tcBorders>
              <w:top w:val="nil"/>
              <w:left w:val="nil"/>
              <w:bottom w:val="nil"/>
              <w:right w:val="nil"/>
            </w:tcBorders>
            <w:shd w:val="clear" w:color="auto" w:fill="auto"/>
          </w:tcPr>
          <w:p w14:paraId="51625856" w14:textId="77777777" w:rsidR="00761918" w:rsidRPr="009D3012" w:rsidRDefault="00761918" w:rsidP="0056481D">
            <w:pPr>
              <w:widowControl w:val="0"/>
              <w:spacing w:after="0" w:line="240" w:lineRule="auto"/>
              <w:ind w:left="31"/>
              <w:jc w:val="left"/>
              <w:rPr>
                <w:rFonts w:eastAsia="Times New Roman" w:cs="Arial"/>
                <w:sz w:val="20"/>
                <w:szCs w:val="20"/>
                <w:lang w:val="en-US" w:eastAsia="fr-FR"/>
              </w:rPr>
            </w:pPr>
            <w:r w:rsidRPr="009D3012">
              <w:rPr>
                <w:rFonts w:eastAsia="Times New Roman" w:cs="Arial"/>
                <w:i/>
                <w:iCs/>
                <w:spacing w:val="-1"/>
                <w:sz w:val="20"/>
                <w:szCs w:val="20"/>
              </w:rPr>
              <w:t>CMOD</w:t>
            </w:r>
            <w:r w:rsidRPr="009D3012">
              <w:rPr>
                <w:rFonts w:eastAsia="Times New Roman" w:cs="Arial"/>
                <w:spacing w:val="-1"/>
                <w:sz w:val="20"/>
                <w:szCs w:val="20"/>
                <w:vertAlign w:val="subscript"/>
              </w:rPr>
              <w:t>3</w:t>
            </w:r>
          </w:p>
        </w:tc>
        <w:tc>
          <w:tcPr>
            <w:tcW w:w="8363" w:type="dxa"/>
            <w:tcBorders>
              <w:top w:val="nil"/>
              <w:left w:val="nil"/>
              <w:bottom w:val="nil"/>
              <w:right w:val="nil"/>
            </w:tcBorders>
            <w:shd w:val="clear" w:color="auto" w:fill="auto"/>
          </w:tcPr>
          <w:p w14:paraId="44E3B2AF" w14:textId="77777777" w:rsidR="00761918" w:rsidRPr="000250B6" w:rsidRDefault="00761918" w:rsidP="0056481D">
            <w:pPr>
              <w:widowControl w:val="0"/>
              <w:spacing w:after="0" w:line="240" w:lineRule="auto"/>
              <w:ind w:left="33" w:hanging="33"/>
              <w:jc w:val="left"/>
              <w:rPr>
                <w:rFonts w:eastAsia="Times New Roman" w:cs="Arial"/>
                <w:szCs w:val="20"/>
                <w:lang w:val="en-US" w:eastAsia="fr-FR"/>
              </w:rPr>
            </w:pPr>
            <w:r w:rsidRPr="000250B6">
              <w:rPr>
                <w:rFonts w:eastAsia="Times New Roman" w:cs="Arial"/>
                <w:spacing w:val="-1"/>
                <w:szCs w:val="20"/>
              </w:rPr>
              <w:t>= 2,5 mm is the crack width (Crack Mouth Opening Displacement) for which the characteristic residual flexural strength,</w:t>
            </w:r>
            <w:r w:rsidRPr="000250B6">
              <w:rPr>
                <w:rFonts w:eastAsia="Times New Roman" w:cs="Arial"/>
                <w:szCs w:val="20"/>
              </w:rPr>
              <w:t xml:space="preserve"> </w:t>
            </w:r>
            <w:r w:rsidRPr="000250B6">
              <w:rPr>
                <w:rFonts w:eastAsia="Times New Roman" w:cs="Arial"/>
                <w:i/>
                <w:iCs/>
                <w:szCs w:val="20"/>
              </w:rPr>
              <w:t>f</w:t>
            </w:r>
            <w:r w:rsidRPr="000250B6">
              <w:rPr>
                <w:rFonts w:eastAsia="Times New Roman" w:cs="Arial"/>
                <w:szCs w:val="20"/>
                <w:vertAlign w:val="subscript"/>
              </w:rPr>
              <w:t>R,3k</w:t>
            </w:r>
            <w:r w:rsidRPr="000250B6">
              <w:rPr>
                <w:rFonts w:eastAsia="Times New Roman" w:cs="Arial"/>
                <w:szCs w:val="20"/>
              </w:rPr>
              <w:t>, is determined (defined in EN 14651).</w:t>
            </w:r>
          </w:p>
        </w:tc>
      </w:tr>
      <w:tr w:rsidR="00761918" w:rsidRPr="001455DC" w14:paraId="59CE128E" w14:textId="77777777" w:rsidTr="009D3012">
        <w:trPr>
          <w:trHeight w:val="422"/>
        </w:trPr>
        <w:tc>
          <w:tcPr>
            <w:tcW w:w="1531" w:type="dxa"/>
            <w:tcBorders>
              <w:top w:val="nil"/>
              <w:left w:val="nil"/>
              <w:bottom w:val="nil"/>
              <w:right w:val="nil"/>
            </w:tcBorders>
            <w:shd w:val="clear" w:color="auto" w:fill="auto"/>
          </w:tcPr>
          <w:p w14:paraId="66DD2698" w14:textId="77777777" w:rsidR="00761918" w:rsidRPr="009D3012" w:rsidRDefault="00761918" w:rsidP="0056481D">
            <w:pPr>
              <w:widowControl w:val="0"/>
              <w:spacing w:after="0" w:line="240" w:lineRule="auto"/>
              <w:ind w:left="31"/>
              <w:jc w:val="left"/>
              <w:rPr>
                <w:rFonts w:eastAsia="Times New Roman" w:cs="Arial"/>
                <w:sz w:val="20"/>
                <w:szCs w:val="20"/>
                <w:lang w:val="en-US" w:eastAsia="fr-FR"/>
              </w:rPr>
            </w:pPr>
            <w:r w:rsidRPr="009D3012">
              <w:rPr>
                <w:rFonts w:eastAsia="Times New Roman" w:cs="Arial"/>
                <w:i/>
                <w:iCs/>
                <w:noProof/>
                <w:spacing w:val="-1"/>
                <w:sz w:val="20"/>
                <w:szCs w:val="20"/>
                <w:lang w:val="en-US"/>
              </w:rPr>
              <w:t>A</w:t>
            </w:r>
            <w:r w:rsidRPr="009D3012">
              <w:rPr>
                <w:rFonts w:eastAsia="Times New Roman" w:cs="Arial"/>
                <w:noProof/>
                <w:spacing w:val="-1"/>
                <w:sz w:val="20"/>
                <w:szCs w:val="20"/>
                <w:vertAlign w:val="subscript"/>
                <w:lang w:val="en-US"/>
              </w:rPr>
              <w:t>ct</w:t>
            </w:r>
          </w:p>
        </w:tc>
        <w:tc>
          <w:tcPr>
            <w:tcW w:w="8363" w:type="dxa"/>
            <w:tcBorders>
              <w:top w:val="nil"/>
              <w:left w:val="nil"/>
              <w:bottom w:val="nil"/>
              <w:right w:val="nil"/>
            </w:tcBorders>
            <w:shd w:val="clear" w:color="auto" w:fill="auto"/>
          </w:tcPr>
          <w:p w14:paraId="4D1E8BE8" w14:textId="4CAAD83F" w:rsidR="00761918" w:rsidRPr="000250B6" w:rsidRDefault="00761918" w:rsidP="0056481D">
            <w:pPr>
              <w:widowControl w:val="0"/>
              <w:spacing w:after="0" w:line="240" w:lineRule="auto"/>
              <w:ind w:left="33" w:hanging="33"/>
              <w:jc w:val="left"/>
              <w:rPr>
                <w:rFonts w:eastAsia="Times New Roman" w:cs="Arial"/>
                <w:szCs w:val="20"/>
                <w:lang w:val="en-US" w:eastAsia="fr-FR"/>
              </w:rPr>
            </w:pPr>
            <w:r w:rsidRPr="000250B6">
              <w:rPr>
                <w:rFonts w:eastAsia="Times New Roman" w:cs="Arial"/>
                <w:noProof/>
                <w:spacing w:val="-1"/>
                <w:szCs w:val="20"/>
                <w:lang w:val="en-US"/>
              </w:rPr>
              <w:t>area of  the</w:t>
            </w:r>
            <w:r w:rsidRPr="000250B6">
              <w:rPr>
                <w:rFonts w:eastAsia="Times New Roman" w:cs="Arial"/>
                <w:noProof/>
                <w:spacing w:val="-1"/>
                <w:szCs w:val="20"/>
                <w:vertAlign w:val="subscript"/>
                <w:lang w:val="en-US"/>
              </w:rPr>
              <w:t xml:space="preserve"> </w:t>
            </w:r>
            <w:r w:rsidRPr="000250B6">
              <w:rPr>
                <w:rFonts w:eastAsia="Times New Roman" w:cs="Arial"/>
                <w:noProof/>
                <w:spacing w:val="-1"/>
                <w:szCs w:val="20"/>
                <w:lang w:val="en-US"/>
              </w:rPr>
              <w:t>te</w:t>
            </w:r>
            <w:r w:rsidR="00B10711" w:rsidRPr="000250B6">
              <w:rPr>
                <w:rFonts w:eastAsia="Times New Roman" w:cs="Arial"/>
                <w:noProof/>
                <w:spacing w:val="-1"/>
                <w:szCs w:val="20"/>
                <w:lang w:val="en-US"/>
              </w:rPr>
              <w:t xml:space="preserve">nsion zone (in m²) of the cross </w:t>
            </w:r>
            <w:r w:rsidRPr="000250B6">
              <w:rPr>
                <w:rFonts w:eastAsia="Times New Roman" w:cs="Arial"/>
                <w:noProof/>
                <w:spacing w:val="-1"/>
                <w:szCs w:val="20"/>
                <w:lang w:val="en-US"/>
              </w:rPr>
              <w:t>section involved in the failure of an equilibrium system</w:t>
            </w:r>
          </w:p>
        </w:tc>
      </w:tr>
    </w:tbl>
    <w:p w14:paraId="16B3399D" w14:textId="66B19C84" w:rsidR="00761918" w:rsidRPr="00E519AB" w:rsidRDefault="00E519AB" w:rsidP="00E519AB">
      <w:pPr>
        <w:pStyle w:val="p3"/>
        <w:keepNext/>
        <w:keepLines/>
        <w:rPr>
          <w:b/>
        </w:rPr>
      </w:pPr>
      <w:bookmarkStart w:id="141" w:name="_Toc67565301"/>
      <w:bookmarkStart w:id="142" w:name="_Toc54016309"/>
      <w:bookmarkStart w:id="143" w:name="_Toc55828646"/>
      <w:r w:rsidRPr="00E519AB">
        <w:rPr>
          <w:b/>
        </w:rPr>
        <w:t>3.7.2</w:t>
      </w:r>
      <w:r w:rsidRPr="00E519AB">
        <w:rPr>
          <w:b/>
        </w:rPr>
        <w:tab/>
      </w:r>
      <w:r w:rsidR="00761918" w:rsidRPr="00E519AB">
        <w:rPr>
          <w:b/>
        </w:rPr>
        <w:t>Latin lower case letters</w:t>
      </w:r>
      <w:bookmarkEnd w:id="141"/>
      <w:r w:rsidR="00761918" w:rsidRPr="00E519AB">
        <w:rPr>
          <w:b/>
        </w:rPr>
        <w:t xml:space="preserve"> </w:t>
      </w:r>
    </w:p>
    <w:tbl>
      <w:tblPr>
        <w:tblStyle w:val="Tabellenraster1"/>
        <w:tblW w:w="9894" w:type="dxa"/>
        <w:tblInd w:w="-5" w:type="dxa"/>
        <w:tblLayout w:type="fixed"/>
        <w:tblLook w:val="04A0" w:firstRow="1" w:lastRow="0" w:firstColumn="1" w:lastColumn="0" w:noHBand="0" w:noVBand="1"/>
      </w:tblPr>
      <w:tblGrid>
        <w:gridCol w:w="1531"/>
        <w:gridCol w:w="8363"/>
      </w:tblGrid>
      <w:tr w:rsidR="00761918" w:rsidRPr="001455DC" w14:paraId="3D5EFA09" w14:textId="77777777" w:rsidTr="009D3012">
        <w:trPr>
          <w:trHeight w:val="422"/>
        </w:trPr>
        <w:tc>
          <w:tcPr>
            <w:tcW w:w="1531" w:type="dxa"/>
            <w:tcBorders>
              <w:top w:val="nil"/>
              <w:left w:val="nil"/>
              <w:bottom w:val="nil"/>
              <w:right w:val="nil"/>
            </w:tcBorders>
            <w:shd w:val="clear" w:color="auto" w:fill="auto"/>
          </w:tcPr>
          <w:bookmarkEnd w:id="142"/>
          <w:bookmarkEnd w:id="143"/>
          <w:p w14:paraId="2F080C2E" w14:textId="77777777" w:rsidR="00761918" w:rsidRPr="009D3012" w:rsidRDefault="00761918" w:rsidP="0056481D">
            <w:pPr>
              <w:widowControl w:val="0"/>
              <w:spacing w:after="0" w:line="240" w:lineRule="auto"/>
              <w:ind w:left="31"/>
              <w:jc w:val="left"/>
              <w:rPr>
                <w:rFonts w:eastAsia="Times New Roman" w:cs="Arial"/>
                <w:lang w:val="en-US" w:eastAsia="fr-FR"/>
              </w:rPr>
            </w:pPr>
            <w:r w:rsidRPr="009D3012">
              <w:rPr>
                <w:rFonts w:eastAsia="Times New Roman" w:cs="Arial"/>
                <w:i/>
                <w:iCs/>
              </w:rPr>
              <w:t>f</w:t>
            </w:r>
            <w:r w:rsidRPr="009D3012">
              <w:rPr>
                <w:rFonts w:eastAsia="Times New Roman" w:cs="Arial"/>
                <w:vertAlign w:val="subscript"/>
              </w:rPr>
              <w:t>R,1k</w:t>
            </w:r>
          </w:p>
        </w:tc>
        <w:tc>
          <w:tcPr>
            <w:tcW w:w="8363" w:type="dxa"/>
            <w:tcBorders>
              <w:top w:val="nil"/>
              <w:left w:val="nil"/>
              <w:bottom w:val="nil"/>
              <w:right w:val="nil"/>
            </w:tcBorders>
            <w:shd w:val="clear" w:color="auto" w:fill="auto"/>
          </w:tcPr>
          <w:p w14:paraId="62C7FA07" w14:textId="77777777" w:rsidR="00761918" w:rsidRPr="009D3012" w:rsidRDefault="00761918" w:rsidP="0056481D">
            <w:pPr>
              <w:widowControl w:val="0"/>
              <w:spacing w:after="0" w:line="240" w:lineRule="auto"/>
              <w:ind w:left="33" w:hanging="33"/>
              <w:jc w:val="left"/>
              <w:rPr>
                <w:rFonts w:eastAsia="Times New Roman" w:cs="Arial"/>
                <w:lang w:val="en-US" w:eastAsia="fr-FR"/>
              </w:rPr>
            </w:pPr>
            <w:r w:rsidRPr="009D3012">
              <w:rPr>
                <w:rFonts w:eastAsia="Times New Roman" w:cs="Arial"/>
                <w:spacing w:val="-1"/>
              </w:rPr>
              <w:t xml:space="preserve">characteristic residual flexural strength at </w:t>
            </w:r>
            <w:r w:rsidRPr="009D3012">
              <w:rPr>
                <w:rFonts w:eastAsia="Times New Roman" w:cs="Arial"/>
                <w:i/>
                <w:iCs/>
                <w:spacing w:val="-1"/>
              </w:rPr>
              <w:t>CMOD</w:t>
            </w:r>
            <w:r w:rsidRPr="009D3012">
              <w:rPr>
                <w:rFonts w:eastAsia="Times New Roman" w:cs="Arial"/>
                <w:spacing w:val="-1"/>
                <w:vertAlign w:val="subscript"/>
              </w:rPr>
              <w:t>1</w:t>
            </w:r>
            <w:r w:rsidRPr="009D3012">
              <w:rPr>
                <w:rFonts w:eastAsia="Times New Roman" w:cs="Arial"/>
                <w:spacing w:val="-1"/>
              </w:rPr>
              <w:t xml:space="preserve"> = 0,5 mm representing the residual strength class</w:t>
            </w:r>
          </w:p>
        </w:tc>
      </w:tr>
      <w:tr w:rsidR="00761918" w:rsidRPr="001455DC" w14:paraId="65064CD9" w14:textId="77777777" w:rsidTr="009D3012">
        <w:trPr>
          <w:trHeight w:val="422"/>
        </w:trPr>
        <w:tc>
          <w:tcPr>
            <w:tcW w:w="1531" w:type="dxa"/>
            <w:tcBorders>
              <w:top w:val="nil"/>
              <w:left w:val="nil"/>
              <w:bottom w:val="nil"/>
              <w:right w:val="nil"/>
            </w:tcBorders>
            <w:shd w:val="clear" w:color="auto" w:fill="auto"/>
          </w:tcPr>
          <w:p w14:paraId="7FAAF05A" w14:textId="77777777" w:rsidR="00761918" w:rsidRPr="009D3012" w:rsidRDefault="00761918" w:rsidP="0056481D">
            <w:pPr>
              <w:widowControl w:val="0"/>
              <w:spacing w:after="0" w:line="240" w:lineRule="auto"/>
              <w:ind w:left="31"/>
              <w:jc w:val="left"/>
              <w:rPr>
                <w:rFonts w:eastAsia="Times New Roman" w:cs="Arial"/>
                <w:lang w:val="en-US" w:eastAsia="fr-FR"/>
              </w:rPr>
            </w:pPr>
            <w:r w:rsidRPr="009D3012">
              <w:rPr>
                <w:rFonts w:eastAsia="Times New Roman" w:cs="Arial"/>
                <w:i/>
                <w:iCs/>
              </w:rPr>
              <w:t>f</w:t>
            </w:r>
            <w:r w:rsidRPr="009D3012">
              <w:rPr>
                <w:rFonts w:eastAsia="Times New Roman" w:cs="Arial"/>
                <w:vertAlign w:val="subscript"/>
              </w:rPr>
              <w:t>R,1k</w:t>
            </w:r>
            <w:r w:rsidRPr="009D3012">
              <w:rPr>
                <w:rFonts w:eastAsia="Times New Roman" w:cs="Arial"/>
              </w:rPr>
              <w:t>*</w:t>
            </w:r>
          </w:p>
        </w:tc>
        <w:tc>
          <w:tcPr>
            <w:tcW w:w="8363" w:type="dxa"/>
            <w:tcBorders>
              <w:top w:val="nil"/>
              <w:left w:val="nil"/>
              <w:bottom w:val="nil"/>
              <w:right w:val="nil"/>
            </w:tcBorders>
            <w:shd w:val="clear" w:color="auto" w:fill="auto"/>
          </w:tcPr>
          <w:p w14:paraId="5BD398AA" w14:textId="77777777" w:rsidR="00761918" w:rsidRPr="009D3012" w:rsidRDefault="00761918" w:rsidP="0056481D">
            <w:pPr>
              <w:widowControl w:val="0"/>
              <w:spacing w:after="0" w:line="240" w:lineRule="auto"/>
              <w:ind w:left="33" w:hanging="33"/>
              <w:jc w:val="left"/>
              <w:rPr>
                <w:rFonts w:eastAsia="Times New Roman" w:cs="Arial"/>
                <w:lang w:val="en-US" w:eastAsia="fr-FR"/>
              </w:rPr>
            </w:pPr>
            <w:r w:rsidRPr="009D3012">
              <w:rPr>
                <w:rFonts w:eastAsia="Times New Roman" w:cs="Arial"/>
                <w:spacing w:val="-1"/>
              </w:rPr>
              <w:t xml:space="preserve">characteristic residual flexural strength at </w:t>
            </w:r>
            <w:r w:rsidRPr="009D3012">
              <w:rPr>
                <w:rFonts w:eastAsia="Times New Roman" w:cs="Arial"/>
                <w:i/>
                <w:iCs/>
                <w:spacing w:val="-1"/>
              </w:rPr>
              <w:t>CMOD</w:t>
            </w:r>
            <w:r w:rsidRPr="009D3012">
              <w:rPr>
                <w:rFonts w:eastAsia="Times New Roman" w:cs="Arial"/>
                <w:spacing w:val="-1"/>
                <w:vertAlign w:val="subscript"/>
              </w:rPr>
              <w:t>1</w:t>
            </w:r>
            <w:r w:rsidRPr="009D3012">
              <w:rPr>
                <w:rFonts w:eastAsia="Times New Roman" w:cs="Arial"/>
                <w:spacing w:val="-1"/>
              </w:rPr>
              <w:t xml:space="preserve"> = 0,5 mm factored to account for variability associated with casting methods on site</w:t>
            </w:r>
          </w:p>
        </w:tc>
      </w:tr>
      <w:tr w:rsidR="00761918" w:rsidRPr="001455DC" w14:paraId="33FB63E9" w14:textId="77777777" w:rsidTr="009D3012">
        <w:trPr>
          <w:trHeight w:val="184"/>
        </w:trPr>
        <w:tc>
          <w:tcPr>
            <w:tcW w:w="1531" w:type="dxa"/>
            <w:tcBorders>
              <w:top w:val="nil"/>
              <w:left w:val="nil"/>
              <w:bottom w:val="nil"/>
              <w:right w:val="nil"/>
            </w:tcBorders>
            <w:shd w:val="clear" w:color="auto" w:fill="auto"/>
          </w:tcPr>
          <w:p w14:paraId="3DBF1F3D" w14:textId="77777777" w:rsidR="00761918" w:rsidRPr="009D3012" w:rsidRDefault="00761918" w:rsidP="0056481D">
            <w:pPr>
              <w:widowControl w:val="0"/>
              <w:spacing w:after="0" w:line="240" w:lineRule="auto"/>
              <w:ind w:left="31"/>
              <w:jc w:val="left"/>
              <w:rPr>
                <w:rFonts w:eastAsia="Times New Roman" w:cs="Arial"/>
                <w:lang w:val="en-US" w:eastAsia="fr-FR"/>
              </w:rPr>
            </w:pPr>
            <w:r w:rsidRPr="009D3012">
              <w:rPr>
                <w:rFonts w:eastAsia="Times New Roman" w:cs="Arial"/>
                <w:i/>
                <w:iCs/>
              </w:rPr>
              <w:t>f</w:t>
            </w:r>
            <w:r w:rsidRPr="009D3012">
              <w:rPr>
                <w:rFonts w:eastAsia="Times New Roman" w:cs="Arial"/>
                <w:vertAlign w:val="subscript"/>
              </w:rPr>
              <w:t>R,1m</w:t>
            </w:r>
          </w:p>
        </w:tc>
        <w:tc>
          <w:tcPr>
            <w:tcW w:w="8363" w:type="dxa"/>
            <w:tcBorders>
              <w:top w:val="nil"/>
              <w:left w:val="nil"/>
              <w:bottom w:val="nil"/>
              <w:right w:val="nil"/>
            </w:tcBorders>
            <w:shd w:val="clear" w:color="auto" w:fill="auto"/>
          </w:tcPr>
          <w:p w14:paraId="681E2B0B" w14:textId="77777777" w:rsidR="00761918" w:rsidRPr="009D3012" w:rsidRDefault="00761918" w:rsidP="0056481D">
            <w:pPr>
              <w:widowControl w:val="0"/>
              <w:spacing w:after="0" w:line="240" w:lineRule="auto"/>
              <w:ind w:left="33" w:hanging="33"/>
              <w:jc w:val="left"/>
              <w:rPr>
                <w:rFonts w:eastAsia="Times New Roman" w:cs="Arial"/>
                <w:lang w:val="en-US" w:eastAsia="fr-FR"/>
              </w:rPr>
            </w:pPr>
            <w:r w:rsidRPr="009D3012">
              <w:rPr>
                <w:rFonts w:eastAsia="Times New Roman" w:cs="Arial"/>
                <w:spacing w:val="-1"/>
              </w:rPr>
              <w:t xml:space="preserve">mean residual flexural strength at </w:t>
            </w:r>
            <w:r w:rsidRPr="009D3012">
              <w:rPr>
                <w:rFonts w:eastAsia="Times New Roman" w:cs="Arial"/>
                <w:i/>
                <w:iCs/>
                <w:spacing w:val="-1"/>
              </w:rPr>
              <w:t>CMOD</w:t>
            </w:r>
            <w:r w:rsidRPr="009D3012">
              <w:rPr>
                <w:rFonts w:eastAsia="Times New Roman" w:cs="Arial"/>
                <w:spacing w:val="-1"/>
                <w:vertAlign w:val="subscript"/>
              </w:rPr>
              <w:t>1</w:t>
            </w:r>
            <w:r w:rsidRPr="009D3012">
              <w:rPr>
                <w:rFonts w:eastAsia="Times New Roman" w:cs="Arial"/>
                <w:spacing w:val="-1"/>
              </w:rPr>
              <w:t xml:space="preserve"> = 0,5 mm</w:t>
            </w:r>
          </w:p>
        </w:tc>
      </w:tr>
      <w:tr w:rsidR="00761918" w:rsidRPr="001455DC" w14:paraId="51D773FD" w14:textId="77777777" w:rsidTr="009D3012">
        <w:trPr>
          <w:trHeight w:val="260"/>
        </w:trPr>
        <w:tc>
          <w:tcPr>
            <w:tcW w:w="1531" w:type="dxa"/>
            <w:tcBorders>
              <w:top w:val="nil"/>
              <w:left w:val="nil"/>
              <w:bottom w:val="nil"/>
              <w:right w:val="nil"/>
            </w:tcBorders>
            <w:shd w:val="clear" w:color="auto" w:fill="auto"/>
          </w:tcPr>
          <w:p w14:paraId="4E34B530" w14:textId="77777777" w:rsidR="00761918" w:rsidRPr="009D3012" w:rsidRDefault="00761918" w:rsidP="0056481D">
            <w:pPr>
              <w:widowControl w:val="0"/>
              <w:spacing w:after="0" w:line="240" w:lineRule="auto"/>
              <w:ind w:left="31"/>
              <w:jc w:val="left"/>
              <w:rPr>
                <w:rFonts w:eastAsia="Times New Roman" w:cs="Arial"/>
                <w:lang w:val="en-US" w:eastAsia="fr-FR"/>
              </w:rPr>
            </w:pPr>
            <w:r w:rsidRPr="009D3012">
              <w:rPr>
                <w:rFonts w:eastAsia="Times New Roman" w:cs="Arial"/>
                <w:i/>
                <w:iCs/>
              </w:rPr>
              <w:t>f</w:t>
            </w:r>
            <w:r w:rsidRPr="009D3012">
              <w:rPr>
                <w:rFonts w:eastAsia="Times New Roman" w:cs="Arial"/>
                <w:vertAlign w:val="subscript"/>
              </w:rPr>
              <w:t>R,3k</w:t>
            </w:r>
          </w:p>
        </w:tc>
        <w:tc>
          <w:tcPr>
            <w:tcW w:w="8363" w:type="dxa"/>
            <w:tcBorders>
              <w:top w:val="nil"/>
              <w:left w:val="nil"/>
              <w:bottom w:val="nil"/>
              <w:right w:val="nil"/>
            </w:tcBorders>
            <w:shd w:val="clear" w:color="auto" w:fill="auto"/>
          </w:tcPr>
          <w:p w14:paraId="5717E095" w14:textId="77777777" w:rsidR="00761918" w:rsidRPr="009D3012" w:rsidRDefault="00761918" w:rsidP="0056481D">
            <w:pPr>
              <w:widowControl w:val="0"/>
              <w:spacing w:after="0" w:line="240" w:lineRule="auto"/>
              <w:ind w:left="33" w:hanging="33"/>
              <w:jc w:val="left"/>
              <w:rPr>
                <w:rFonts w:eastAsia="Times New Roman" w:cs="Arial"/>
                <w:lang w:val="en-US" w:eastAsia="fr-FR"/>
              </w:rPr>
            </w:pPr>
            <w:r w:rsidRPr="009D3012">
              <w:rPr>
                <w:rFonts w:eastAsia="Times New Roman" w:cs="Arial"/>
                <w:spacing w:val="-1"/>
              </w:rPr>
              <w:t xml:space="preserve">characteristic residual flexural strength at </w:t>
            </w:r>
            <w:r w:rsidRPr="009D3012">
              <w:rPr>
                <w:rFonts w:eastAsia="Times New Roman" w:cs="Arial"/>
                <w:i/>
                <w:iCs/>
                <w:spacing w:val="-1"/>
              </w:rPr>
              <w:t>CMOD</w:t>
            </w:r>
            <w:r w:rsidRPr="009D3012">
              <w:rPr>
                <w:rFonts w:eastAsia="Times New Roman" w:cs="Arial"/>
                <w:spacing w:val="-1"/>
                <w:vertAlign w:val="subscript"/>
              </w:rPr>
              <w:t>3</w:t>
            </w:r>
            <w:r w:rsidRPr="009D3012">
              <w:rPr>
                <w:rFonts w:eastAsia="Times New Roman" w:cs="Arial"/>
                <w:spacing w:val="-1"/>
              </w:rPr>
              <w:t xml:space="preserve"> = 2,5 mm representing the performance class</w:t>
            </w:r>
          </w:p>
        </w:tc>
      </w:tr>
      <w:tr w:rsidR="00761918" w:rsidRPr="001455DC" w14:paraId="02FA150B" w14:textId="77777777" w:rsidTr="009D3012">
        <w:trPr>
          <w:trHeight w:val="422"/>
        </w:trPr>
        <w:tc>
          <w:tcPr>
            <w:tcW w:w="1531" w:type="dxa"/>
            <w:tcBorders>
              <w:top w:val="nil"/>
              <w:left w:val="nil"/>
              <w:bottom w:val="nil"/>
              <w:right w:val="nil"/>
            </w:tcBorders>
            <w:shd w:val="clear" w:color="auto" w:fill="auto"/>
          </w:tcPr>
          <w:p w14:paraId="518997F0" w14:textId="77777777" w:rsidR="00761918" w:rsidRPr="009D3012" w:rsidRDefault="00761918" w:rsidP="0056481D">
            <w:pPr>
              <w:widowControl w:val="0"/>
              <w:spacing w:after="0" w:line="240" w:lineRule="auto"/>
              <w:ind w:left="31"/>
              <w:jc w:val="left"/>
              <w:rPr>
                <w:rFonts w:eastAsia="Times New Roman" w:cs="Arial"/>
                <w:lang w:val="en-US" w:eastAsia="fr-FR"/>
              </w:rPr>
            </w:pPr>
            <w:r w:rsidRPr="009D3012">
              <w:rPr>
                <w:rFonts w:eastAsia="Times New Roman" w:cs="Arial"/>
                <w:i/>
                <w:iCs/>
              </w:rPr>
              <w:t>f</w:t>
            </w:r>
            <w:r w:rsidRPr="009D3012">
              <w:rPr>
                <w:rFonts w:eastAsia="Times New Roman" w:cs="Arial"/>
                <w:vertAlign w:val="subscript"/>
              </w:rPr>
              <w:t>R,3k</w:t>
            </w:r>
            <w:r w:rsidRPr="009D3012">
              <w:rPr>
                <w:rFonts w:eastAsia="Times New Roman" w:cs="Arial"/>
              </w:rPr>
              <w:t>*</w:t>
            </w:r>
          </w:p>
        </w:tc>
        <w:tc>
          <w:tcPr>
            <w:tcW w:w="8363" w:type="dxa"/>
            <w:tcBorders>
              <w:top w:val="nil"/>
              <w:left w:val="nil"/>
              <w:bottom w:val="nil"/>
              <w:right w:val="nil"/>
            </w:tcBorders>
            <w:shd w:val="clear" w:color="auto" w:fill="auto"/>
          </w:tcPr>
          <w:p w14:paraId="2696A2AA" w14:textId="77777777" w:rsidR="00761918" w:rsidRPr="009D3012" w:rsidRDefault="00761918" w:rsidP="0056481D">
            <w:pPr>
              <w:widowControl w:val="0"/>
              <w:spacing w:after="0" w:line="240" w:lineRule="auto"/>
              <w:ind w:left="33" w:hanging="33"/>
              <w:jc w:val="left"/>
              <w:rPr>
                <w:rFonts w:eastAsia="Times New Roman" w:cs="Arial"/>
                <w:lang w:val="en-US" w:eastAsia="fr-FR"/>
              </w:rPr>
            </w:pPr>
            <w:r w:rsidRPr="009D3012">
              <w:rPr>
                <w:rFonts w:eastAsia="Times New Roman" w:cs="Arial"/>
                <w:spacing w:val="-1"/>
              </w:rPr>
              <w:t xml:space="preserve">characteristic residual flexural strength at </w:t>
            </w:r>
            <w:r w:rsidRPr="009D3012">
              <w:rPr>
                <w:rFonts w:eastAsia="Times New Roman" w:cs="Arial"/>
                <w:i/>
                <w:iCs/>
                <w:spacing w:val="-1"/>
              </w:rPr>
              <w:t>CMOD</w:t>
            </w:r>
            <w:r w:rsidRPr="009D3012">
              <w:rPr>
                <w:rFonts w:eastAsia="Times New Roman" w:cs="Arial"/>
                <w:spacing w:val="-1"/>
                <w:vertAlign w:val="subscript"/>
              </w:rPr>
              <w:t>3</w:t>
            </w:r>
            <w:r w:rsidRPr="009D3012">
              <w:rPr>
                <w:rFonts w:eastAsia="Times New Roman" w:cs="Arial"/>
                <w:spacing w:val="-1"/>
              </w:rPr>
              <w:t xml:space="preserve"> = 2,5 mm factored to account for variability associated with casting methods on site</w:t>
            </w:r>
          </w:p>
        </w:tc>
      </w:tr>
      <w:tr w:rsidR="00761918" w:rsidRPr="001455DC" w14:paraId="3A4329EB" w14:textId="77777777" w:rsidTr="009D3012">
        <w:trPr>
          <w:trHeight w:val="422"/>
        </w:trPr>
        <w:tc>
          <w:tcPr>
            <w:tcW w:w="1531" w:type="dxa"/>
            <w:tcBorders>
              <w:top w:val="nil"/>
              <w:left w:val="nil"/>
              <w:bottom w:val="nil"/>
              <w:right w:val="nil"/>
            </w:tcBorders>
            <w:shd w:val="clear" w:color="auto" w:fill="auto"/>
          </w:tcPr>
          <w:p w14:paraId="4F05E664" w14:textId="77777777" w:rsidR="00761918" w:rsidRPr="009D3012" w:rsidRDefault="00761918" w:rsidP="0056481D">
            <w:pPr>
              <w:widowControl w:val="0"/>
              <w:spacing w:after="0" w:line="240" w:lineRule="auto"/>
              <w:ind w:left="31"/>
              <w:jc w:val="left"/>
              <w:rPr>
                <w:rFonts w:eastAsia="Times New Roman" w:cs="Arial"/>
                <w:lang w:val="en-US" w:eastAsia="fr-FR"/>
              </w:rPr>
            </w:pPr>
            <w:r w:rsidRPr="009D3012">
              <w:rPr>
                <w:rFonts w:eastAsia="Times New Roman" w:cs="Arial"/>
                <w:i/>
                <w:iCs/>
              </w:rPr>
              <w:t>f</w:t>
            </w:r>
            <w:r w:rsidRPr="009D3012">
              <w:rPr>
                <w:rFonts w:eastAsia="Times New Roman" w:cs="Arial"/>
                <w:vertAlign w:val="subscript"/>
              </w:rPr>
              <w:t>R,3m</w:t>
            </w:r>
          </w:p>
        </w:tc>
        <w:tc>
          <w:tcPr>
            <w:tcW w:w="8363" w:type="dxa"/>
            <w:tcBorders>
              <w:top w:val="nil"/>
              <w:left w:val="nil"/>
              <w:bottom w:val="nil"/>
              <w:right w:val="nil"/>
            </w:tcBorders>
            <w:shd w:val="clear" w:color="auto" w:fill="auto"/>
          </w:tcPr>
          <w:p w14:paraId="3064684B" w14:textId="77777777" w:rsidR="00761918" w:rsidRPr="009D3012" w:rsidRDefault="00761918" w:rsidP="0056481D">
            <w:pPr>
              <w:widowControl w:val="0"/>
              <w:spacing w:after="0" w:line="240" w:lineRule="auto"/>
              <w:ind w:left="33" w:hanging="33"/>
              <w:jc w:val="left"/>
              <w:rPr>
                <w:rFonts w:eastAsia="Times New Roman" w:cs="Arial"/>
                <w:lang w:val="en-US" w:eastAsia="fr-FR"/>
              </w:rPr>
            </w:pPr>
            <w:r w:rsidRPr="009D3012">
              <w:rPr>
                <w:rFonts w:eastAsia="Times New Roman" w:cs="Arial"/>
                <w:spacing w:val="-1"/>
              </w:rPr>
              <w:t xml:space="preserve">mean residual flexural strength at </w:t>
            </w:r>
            <w:r w:rsidRPr="009D3012">
              <w:rPr>
                <w:rFonts w:eastAsia="Times New Roman" w:cs="Arial"/>
                <w:i/>
                <w:iCs/>
                <w:spacing w:val="-1"/>
              </w:rPr>
              <w:t>CMOD</w:t>
            </w:r>
            <w:r w:rsidRPr="009D3012">
              <w:rPr>
                <w:rFonts w:eastAsia="Times New Roman" w:cs="Arial"/>
                <w:spacing w:val="-1"/>
                <w:vertAlign w:val="subscript"/>
              </w:rPr>
              <w:t>3</w:t>
            </w:r>
            <w:r w:rsidRPr="009D3012">
              <w:rPr>
                <w:rFonts w:eastAsia="Times New Roman" w:cs="Arial"/>
                <w:spacing w:val="-1"/>
              </w:rPr>
              <w:t xml:space="preserve"> = 2,5 mm</w:t>
            </w:r>
          </w:p>
        </w:tc>
      </w:tr>
      <w:tr w:rsidR="00761918" w:rsidRPr="001455DC" w14:paraId="7FD6401E" w14:textId="77777777" w:rsidTr="009D3012">
        <w:trPr>
          <w:trHeight w:val="422"/>
        </w:trPr>
        <w:tc>
          <w:tcPr>
            <w:tcW w:w="1531" w:type="dxa"/>
            <w:tcBorders>
              <w:top w:val="nil"/>
              <w:left w:val="nil"/>
              <w:bottom w:val="nil"/>
              <w:right w:val="nil"/>
            </w:tcBorders>
            <w:shd w:val="clear" w:color="auto" w:fill="auto"/>
          </w:tcPr>
          <w:p w14:paraId="3DAC0007" w14:textId="77777777" w:rsidR="00761918" w:rsidRPr="009D3012" w:rsidRDefault="00761918" w:rsidP="0056481D">
            <w:pPr>
              <w:widowControl w:val="0"/>
              <w:spacing w:after="0" w:line="240" w:lineRule="auto"/>
              <w:ind w:left="31"/>
              <w:jc w:val="left"/>
              <w:rPr>
                <w:rFonts w:eastAsia="Times New Roman" w:cs="Arial"/>
                <w:lang w:val="en-US" w:eastAsia="fr-FR"/>
              </w:rPr>
            </w:pPr>
            <w:r w:rsidRPr="009D3012">
              <w:rPr>
                <w:rFonts w:eastAsia="Times New Roman" w:cs="Arial"/>
                <w:i/>
                <w:iCs/>
                <w:spacing w:val="-1"/>
              </w:rPr>
              <w:t>f</w:t>
            </w:r>
            <w:r w:rsidRPr="009D3012">
              <w:rPr>
                <w:rFonts w:eastAsia="Times New Roman" w:cs="Arial"/>
                <w:spacing w:val="-1"/>
                <w:vertAlign w:val="subscript"/>
              </w:rPr>
              <w:t>Ftsk</w:t>
            </w:r>
          </w:p>
        </w:tc>
        <w:tc>
          <w:tcPr>
            <w:tcW w:w="8363" w:type="dxa"/>
            <w:tcBorders>
              <w:top w:val="nil"/>
              <w:left w:val="nil"/>
              <w:bottom w:val="nil"/>
              <w:right w:val="nil"/>
            </w:tcBorders>
            <w:shd w:val="clear" w:color="auto" w:fill="auto"/>
          </w:tcPr>
          <w:p w14:paraId="0A89D65A" w14:textId="77777777" w:rsidR="00761918" w:rsidRPr="009D3012" w:rsidRDefault="00761918" w:rsidP="0056481D">
            <w:pPr>
              <w:widowControl w:val="0"/>
              <w:spacing w:after="0" w:line="240" w:lineRule="auto"/>
              <w:ind w:left="33" w:hanging="33"/>
              <w:jc w:val="left"/>
              <w:rPr>
                <w:rFonts w:eastAsia="Times New Roman" w:cs="Arial"/>
                <w:lang w:val="en-US" w:eastAsia="fr-FR"/>
              </w:rPr>
            </w:pPr>
            <w:r w:rsidRPr="009D3012">
              <w:rPr>
                <w:rFonts w:eastAsia="Times New Roman" w:cs="Arial"/>
                <w:spacing w:val="-1"/>
              </w:rPr>
              <w:t>characteristic residual tensile strength for crack widths at the serviceability limit state</w:t>
            </w:r>
          </w:p>
        </w:tc>
      </w:tr>
      <w:tr w:rsidR="00761918" w:rsidRPr="001455DC" w14:paraId="57842DCA" w14:textId="77777777" w:rsidTr="009D3012">
        <w:trPr>
          <w:trHeight w:val="422"/>
        </w:trPr>
        <w:tc>
          <w:tcPr>
            <w:tcW w:w="1531" w:type="dxa"/>
            <w:tcBorders>
              <w:top w:val="nil"/>
              <w:left w:val="nil"/>
              <w:bottom w:val="nil"/>
              <w:right w:val="nil"/>
            </w:tcBorders>
            <w:shd w:val="clear" w:color="auto" w:fill="auto"/>
          </w:tcPr>
          <w:p w14:paraId="5966C9BD" w14:textId="77777777" w:rsidR="00761918" w:rsidRPr="009D3012" w:rsidRDefault="00761918" w:rsidP="0056481D">
            <w:pPr>
              <w:widowControl w:val="0"/>
              <w:spacing w:after="0" w:line="240" w:lineRule="auto"/>
              <w:ind w:left="31"/>
              <w:jc w:val="left"/>
              <w:rPr>
                <w:rFonts w:eastAsia="Times New Roman" w:cs="Arial"/>
                <w:lang w:val="en-US" w:eastAsia="fr-FR"/>
              </w:rPr>
            </w:pPr>
            <w:r w:rsidRPr="009D3012">
              <w:rPr>
                <w:rFonts w:eastAsia="Times New Roman" w:cs="Arial"/>
                <w:i/>
                <w:iCs/>
                <w:spacing w:val="-1"/>
              </w:rPr>
              <w:t>f</w:t>
            </w:r>
            <w:r w:rsidRPr="009D3012">
              <w:rPr>
                <w:rFonts w:eastAsia="Times New Roman" w:cs="Arial"/>
                <w:spacing w:val="-1"/>
                <w:vertAlign w:val="subscript"/>
              </w:rPr>
              <w:t>Fts,ef</w:t>
            </w:r>
          </w:p>
        </w:tc>
        <w:tc>
          <w:tcPr>
            <w:tcW w:w="8363" w:type="dxa"/>
            <w:tcBorders>
              <w:top w:val="nil"/>
              <w:left w:val="nil"/>
              <w:bottom w:val="nil"/>
              <w:right w:val="nil"/>
            </w:tcBorders>
            <w:shd w:val="clear" w:color="auto" w:fill="auto"/>
          </w:tcPr>
          <w:p w14:paraId="575647D4" w14:textId="77777777" w:rsidR="00761918" w:rsidRPr="009D3012" w:rsidRDefault="00761918" w:rsidP="0056481D">
            <w:pPr>
              <w:widowControl w:val="0"/>
              <w:spacing w:after="0" w:line="240" w:lineRule="auto"/>
              <w:ind w:left="33" w:hanging="33"/>
              <w:jc w:val="left"/>
              <w:rPr>
                <w:rFonts w:eastAsia="Times New Roman" w:cs="Arial"/>
                <w:lang w:val="en-US" w:eastAsia="fr-FR"/>
              </w:rPr>
            </w:pPr>
            <w:r w:rsidRPr="009D3012">
              <w:rPr>
                <w:rFonts w:eastAsia="Times New Roman" w:cs="Arial"/>
                <w:spacing w:val="-1"/>
              </w:rPr>
              <w:t xml:space="preserve">effective residual tensile strength for crack widths at the serviceability limit state accounting for fibre orientation </w:t>
            </w:r>
          </w:p>
        </w:tc>
      </w:tr>
      <w:tr w:rsidR="00761918" w:rsidRPr="001455DC" w14:paraId="391D8BC6" w14:textId="77777777" w:rsidTr="009D3012">
        <w:trPr>
          <w:trHeight w:val="422"/>
        </w:trPr>
        <w:tc>
          <w:tcPr>
            <w:tcW w:w="1531" w:type="dxa"/>
            <w:tcBorders>
              <w:top w:val="nil"/>
              <w:left w:val="nil"/>
              <w:bottom w:val="nil"/>
              <w:right w:val="nil"/>
            </w:tcBorders>
            <w:shd w:val="clear" w:color="auto" w:fill="auto"/>
          </w:tcPr>
          <w:p w14:paraId="04DD8F87" w14:textId="77777777" w:rsidR="00761918" w:rsidRPr="009D3012" w:rsidRDefault="00761918" w:rsidP="0056481D">
            <w:pPr>
              <w:widowControl w:val="0"/>
              <w:spacing w:after="0" w:line="240" w:lineRule="auto"/>
              <w:ind w:left="31"/>
              <w:jc w:val="left"/>
              <w:rPr>
                <w:rFonts w:eastAsia="Times New Roman" w:cs="Arial"/>
                <w:lang w:val="en-US" w:eastAsia="fr-FR"/>
              </w:rPr>
            </w:pPr>
            <w:r w:rsidRPr="009D3012">
              <w:rPr>
                <w:rFonts w:eastAsia="Times New Roman" w:cs="Arial"/>
                <w:i/>
                <w:iCs/>
                <w:spacing w:val="-1"/>
              </w:rPr>
              <w:t>f</w:t>
            </w:r>
            <w:r w:rsidRPr="009D3012">
              <w:rPr>
                <w:rFonts w:eastAsia="Times New Roman" w:cs="Arial"/>
                <w:spacing w:val="-1"/>
                <w:vertAlign w:val="subscript"/>
              </w:rPr>
              <w:t>Ft1,ef</w:t>
            </w:r>
          </w:p>
        </w:tc>
        <w:tc>
          <w:tcPr>
            <w:tcW w:w="8363" w:type="dxa"/>
            <w:tcBorders>
              <w:top w:val="nil"/>
              <w:left w:val="nil"/>
              <w:bottom w:val="nil"/>
              <w:right w:val="nil"/>
            </w:tcBorders>
            <w:shd w:val="clear" w:color="auto" w:fill="auto"/>
          </w:tcPr>
          <w:p w14:paraId="42D7EC29" w14:textId="77777777" w:rsidR="00761918" w:rsidRPr="009D3012" w:rsidRDefault="00761918" w:rsidP="0056481D">
            <w:pPr>
              <w:widowControl w:val="0"/>
              <w:spacing w:after="0" w:line="240" w:lineRule="auto"/>
              <w:ind w:left="33" w:hanging="33"/>
              <w:jc w:val="left"/>
              <w:rPr>
                <w:rFonts w:eastAsia="Times New Roman" w:cs="Arial"/>
                <w:lang w:val="en-US" w:eastAsia="fr-FR"/>
              </w:rPr>
            </w:pPr>
            <w:r w:rsidRPr="009D3012">
              <w:rPr>
                <w:rFonts w:eastAsia="Times New Roman" w:cs="Arial"/>
                <w:spacing w:val="-1"/>
              </w:rPr>
              <w:t>effective residual tensile strength for crack width = 0,5 mm accounting for fibre orientation to be used in the constitutive law for bi-linear stress distribution</w:t>
            </w:r>
          </w:p>
        </w:tc>
      </w:tr>
      <w:tr w:rsidR="00761918" w:rsidRPr="001455DC" w14:paraId="090C0460" w14:textId="77777777" w:rsidTr="009D3012">
        <w:trPr>
          <w:trHeight w:val="422"/>
        </w:trPr>
        <w:tc>
          <w:tcPr>
            <w:tcW w:w="1531" w:type="dxa"/>
            <w:tcBorders>
              <w:top w:val="nil"/>
              <w:left w:val="nil"/>
              <w:bottom w:val="nil"/>
              <w:right w:val="nil"/>
            </w:tcBorders>
            <w:shd w:val="clear" w:color="auto" w:fill="auto"/>
          </w:tcPr>
          <w:p w14:paraId="3D880811" w14:textId="77777777" w:rsidR="00761918" w:rsidRPr="009D3012" w:rsidRDefault="00761918" w:rsidP="0056481D">
            <w:pPr>
              <w:widowControl w:val="0"/>
              <w:spacing w:after="0" w:line="240" w:lineRule="auto"/>
              <w:ind w:left="31"/>
              <w:jc w:val="left"/>
              <w:rPr>
                <w:rFonts w:eastAsia="Times New Roman" w:cs="Arial"/>
                <w:lang w:val="en-US" w:eastAsia="fr-FR"/>
              </w:rPr>
            </w:pPr>
            <w:r w:rsidRPr="009D3012">
              <w:rPr>
                <w:rFonts w:eastAsia="Times New Roman" w:cs="Arial"/>
                <w:i/>
                <w:iCs/>
                <w:spacing w:val="-1"/>
              </w:rPr>
              <w:t>f</w:t>
            </w:r>
            <w:r w:rsidRPr="009D3012">
              <w:rPr>
                <w:rFonts w:eastAsia="Times New Roman" w:cs="Arial"/>
                <w:spacing w:val="-1"/>
                <w:vertAlign w:val="subscript"/>
              </w:rPr>
              <w:t>Ftsd</w:t>
            </w:r>
          </w:p>
        </w:tc>
        <w:tc>
          <w:tcPr>
            <w:tcW w:w="8363" w:type="dxa"/>
            <w:tcBorders>
              <w:top w:val="nil"/>
              <w:left w:val="nil"/>
              <w:bottom w:val="nil"/>
              <w:right w:val="nil"/>
            </w:tcBorders>
            <w:shd w:val="clear" w:color="auto" w:fill="auto"/>
          </w:tcPr>
          <w:p w14:paraId="26AA458D" w14:textId="77777777" w:rsidR="00761918" w:rsidRPr="009D3012" w:rsidRDefault="00761918" w:rsidP="0056481D">
            <w:pPr>
              <w:widowControl w:val="0"/>
              <w:spacing w:after="0" w:line="240" w:lineRule="auto"/>
              <w:ind w:left="33" w:hanging="33"/>
              <w:jc w:val="left"/>
              <w:rPr>
                <w:rFonts w:eastAsia="Times New Roman" w:cs="Arial"/>
                <w:lang w:val="en-US" w:eastAsia="fr-FR"/>
              </w:rPr>
            </w:pPr>
            <w:r w:rsidRPr="009D3012">
              <w:rPr>
                <w:rFonts w:eastAsia="Times New Roman" w:cs="Arial"/>
                <w:spacing w:val="-1"/>
              </w:rPr>
              <w:t xml:space="preserve">design residual tensile strength for crack widths at the serviceability limit state accounting for fibre orientation </w:t>
            </w:r>
          </w:p>
        </w:tc>
      </w:tr>
      <w:tr w:rsidR="00761918" w:rsidRPr="001455DC" w14:paraId="35C31542" w14:textId="77777777" w:rsidTr="009D3012">
        <w:trPr>
          <w:trHeight w:val="422"/>
        </w:trPr>
        <w:tc>
          <w:tcPr>
            <w:tcW w:w="1531" w:type="dxa"/>
            <w:tcBorders>
              <w:top w:val="nil"/>
              <w:left w:val="nil"/>
              <w:bottom w:val="nil"/>
              <w:right w:val="nil"/>
            </w:tcBorders>
            <w:shd w:val="clear" w:color="auto" w:fill="auto"/>
          </w:tcPr>
          <w:p w14:paraId="2D107AC4" w14:textId="77777777" w:rsidR="00761918" w:rsidRPr="009D3012" w:rsidRDefault="00761918" w:rsidP="0056481D">
            <w:pPr>
              <w:widowControl w:val="0"/>
              <w:spacing w:after="0" w:line="240" w:lineRule="auto"/>
              <w:ind w:left="31"/>
              <w:jc w:val="left"/>
              <w:rPr>
                <w:rFonts w:eastAsia="Times New Roman" w:cs="Arial"/>
                <w:lang w:val="en-US" w:eastAsia="fr-FR"/>
              </w:rPr>
            </w:pPr>
            <w:r w:rsidRPr="009D3012">
              <w:rPr>
                <w:rFonts w:eastAsia="Times New Roman" w:cs="Arial"/>
                <w:i/>
                <w:iCs/>
                <w:spacing w:val="-1"/>
              </w:rPr>
              <w:t>f</w:t>
            </w:r>
            <w:r w:rsidRPr="009D3012">
              <w:rPr>
                <w:rFonts w:eastAsia="Times New Roman" w:cs="Arial"/>
                <w:spacing w:val="-1"/>
                <w:vertAlign w:val="subscript"/>
              </w:rPr>
              <w:t>Ft1d</w:t>
            </w:r>
          </w:p>
        </w:tc>
        <w:tc>
          <w:tcPr>
            <w:tcW w:w="8363" w:type="dxa"/>
            <w:tcBorders>
              <w:top w:val="nil"/>
              <w:left w:val="nil"/>
              <w:bottom w:val="nil"/>
              <w:right w:val="nil"/>
            </w:tcBorders>
            <w:shd w:val="clear" w:color="auto" w:fill="auto"/>
          </w:tcPr>
          <w:p w14:paraId="6C428B44" w14:textId="77777777" w:rsidR="00761918" w:rsidRPr="009D3012" w:rsidRDefault="00761918" w:rsidP="0056481D">
            <w:pPr>
              <w:widowControl w:val="0"/>
              <w:spacing w:after="0" w:line="240" w:lineRule="auto"/>
              <w:ind w:left="33" w:hanging="33"/>
              <w:jc w:val="left"/>
              <w:rPr>
                <w:rFonts w:eastAsia="Times New Roman" w:cs="Arial"/>
                <w:lang w:val="en-US" w:eastAsia="fr-FR"/>
              </w:rPr>
            </w:pPr>
            <w:r w:rsidRPr="009D3012">
              <w:rPr>
                <w:rFonts w:eastAsia="Times New Roman" w:cs="Arial"/>
                <w:spacing w:val="-1"/>
              </w:rPr>
              <w:t>design residual tensile strength for crack width = 0,5 mm accounting for fibre orientation to be used for bi-linear stress distribution</w:t>
            </w:r>
          </w:p>
        </w:tc>
      </w:tr>
      <w:tr w:rsidR="00761918" w:rsidRPr="001455DC" w14:paraId="47E1A427" w14:textId="77777777" w:rsidTr="009D3012">
        <w:trPr>
          <w:trHeight w:val="92"/>
        </w:trPr>
        <w:tc>
          <w:tcPr>
            <w:tcW w:w="1531" w:type="dxa"/>
            <w:tcBorders>
              <w:top w:val="nil"/>
              <w:left w:val="nil"/>
              <w:bottom w:val="nil"/>
              <w:right w:val="nil"/>
            </w:tcBorders>
            <w:shd w:val="clear" w:color="auto" w:fill="auto"/>
          </w:tcPr>
          <w:p w14:paraId="18135B4C" w14:textId="77777777" w:rsidR="00761918" w:rsidRPr="009D3012" w:rsidRDefault="00761918" w:rsidP="0056481D">
            <w:pPr>
              <w:widowControl w:val="0"/>
              <w:spacing w:after="0" w:line="240" w:lineRule="auto"/>
              <w:ind w:left="31"/>
              <w:jc w:val="left"/>
              <w:rPr>
                <w:rFonts w:eastAsia="Times New Roman" w:cs="Arial"/>
                <w:lang w:val="en-US" w:eastAsia="fr-FR"/>
              </w:rPr>
            </w:pPr>
            <w:r w:rsidRPr="009D3012">
              <w:rPr>
                <w:rFonts w:eastAsia="Times New Roman" w:cs="Arial"/>
                <w:i/>
                <w:iCs/>
                <w:spacing w:val="-1"/>
              </w:rPr>
              <w:t>f</w:t>
            </w:r>
            <w:r w:rsidRPr="009D3012">
              <w:rPr>
                <w:rFonts w:eastAsia="Times New Roman" w:cs="Arial"/>
                <w:spacing w:val="-1"/>
                <w:vertAlign w:val="subscript"/>
              </w:rPr>
              <w:t>Ftuk</w:t>
            </w:r>
          </w:p>
        </w:tc>
        <w:tc>
          <w:tcPr>
            <w:tcW w:w="8363" w:type="dxa"/>
            <w:tcBorders>
              <w:top w:val="nil"/>
              <w:left w:val="nil"/>
              <w:bottom w:val="nil"/>
              <w:right w:val="nil"/>
            </w:tcBorders>
            <w:shd w:val="clear" w:color="auto" w:fill="auto"/>
          </w:tcPr>
          <w:p w14:paraId="39A22FAD" w14:textId="77777777" w:rsidR="00761918" w:rsidRPr="009D3012" w:rsidRDefault="00761918" w:rsidP="0056481D">
            <w:pPr>
              <w:widowControl w:val="0"/>
              <w:spacing w:after="0" w:line="240" w:lineRule="auto"/>
              <w:ind w:left="33" w:hanging="33"/>
              <w:jc w:val="left"/>
              <w:rPr>
                <w:rFonts w:eastAsia="Times New Roman" w:cs="Arial"/>
                <w:lang w:val="en-US" w:eastAsia="fr-FR"/>
              </w:rPr>
            </w:pPr>
            <w:r w:rsidRPr="009D3012">
              <w:rPr>
                <w:rFonts w:eastAsia="Times New Roman" w:cs="Arial"/>
                <w:spacing w:val="-1"/>
              </w:rPr>
              <w:t>characteristic residual tensile strength in a rigid plastic approach</w:t>
            </w:r>
          </w:p>
        </w:tc>
      </w:tr>
      <w:tr w:rsidR="00761918" w:rsidRPr="001455DC" w14:paraId="6768B42A" w14:textId="77777777" w:rsidTr="009D3012">
        <w:trPr>
          <w:trHeight w:val="422"/>
        </w:trPr>
        <w:tc>
          <w:tcPr>
            <w:tcW w:w="1531" w:type="dxa"/>
            <w:tcBorders>
              <w:top w:val="nil"/>
              <w:left w:val="nil"/>
              <w:bottom w:val="nil"/>
              <w:right w:val="nil"/>
            </w:tcBorders>
            <w:shd w:val="clear" w:color="auto" w:fill="auto"/>
          </w:tcPr>
          <w:p w14:paraId="366343FC" w14:textId="77777777" w:rsidR="00761918" w:rsidRPr="009D3012" w:rsidRDefault="00761918" w:rsidP="0056481D">
            <w:pPr>
              <w:widowControl w:val="0"/>
              <w:spacing w:after="0" w:line="240" w:lineRule="auto"/>
              <w:ind w:left="31"/>
              <w:jc w:val="left"/>
              <w:rPr>
                <w:rFonts w:eastAsia="Times New Roman" w:cs="Arial"/>
                <w:lang w:val="en-US" w:eastAsia="fr-FR"/>
              </w:rPr>
            </w:pPr>
            <w:r w:rsidRPr="009D3012">
              <w:rPr>
                <w:rFonts w:eastAsia="Times New Roman" w:cs="Arial"/>
                <w:i/>
                <w:iCs/>
                <w:spacing w:val="-1"/>
              </w:rPr>
              <w:t>f</w:t>
            </w:r>
            <w:r w:rsidRPr="009D3012">
              <w:rPr>
                <w:rFonts w:eastAsia="Times New Roman" w:cs="Arial"/>
                <w:spacing w:val="-1"/>
                <w:vertAlign w:val="subscript"/>
              </w:rPr>
              <w:t>Ftu,ef</w:t>
            </w:r>
          </w:p>
        </w:tc>
        <w:tc>
          <w:tcPr>
            <w:tcW w:w="8363" w:type="dxa"/>
            <w:tcBorders>
              <w:top w:val="nil"/>
              <w:left w:val="nil"/>
              <w:bottom w:val="nil"/>
              <w:right w:val="nil"/>
            </w:tcBorders>
            <w:shd w:val="clear" w:color="auto" w:fill="auto"/>
          </w:tcPr>
          <w:p w14:paraId="1933EFE5" w14:textId="77777777" w:rsidR="00761918" w:rsidRPr="009D3012" w:rsidRDefault="00761918" w:rsidP="0056481D">
            <w:pPr>
              <w:widowControl w:val="0"/>
              <w:spacing w:after="0" w:line="240" w:lineRule="auto"/>
              <w:ind w:left="33" w:hanging="33"/>
              <w:jc w:val="left"/>
              <w:rPr>
                <w:rFonts w:eastAsia="Times New Roman" w:cs="Arial"/>
                <w:lang w:val="en-US" w:eastAsia="fr-FR"/>
              </w:rPr>
            </w:pPr>
            <w:r w:rsidRPr="009D3012">
              <w:rPr>
                <w:rFonts w:eastAsia="Times New Roman" w:cs="Arial"/>
                <w:spacing w:val="-1"/>
              </w:rPr>
              <w:t>effective residual tensile strength for a given crack width accounting for fibre orientation according to a stress-block approach</w:t>
            </w:r>
          </w:p>
        </w:tc>
      </w:tr>
      <w:tr w:rsidR="00761918" w:rsidRPr="001455DC" w14:paraId="5E549CD9" w14:textId="77777777" w:rsidTr="009D3012">
        <w:trPr>
          <w:trHeight w:val="422"/>
        </w:trPr>
        <w:tc>
          <w:tcPr>
            <w:tcW w:w="1531" w:type="dxa"/>
            <w:tcBorders>
              <w:top w:val="nil"/>
              <w:left w:val="nil"/>
              <w:bottom w:val="nil"/>
              <w:right w:val="nil"/>
            </w:tcBorders>
            <w:shd w:val="clear" w:color="auto" w:fill="auto"/>
          </w:tcPr>
          <w:p w14:paraId="36D48D72" w14:textId="77777777" w:rsidR="00761918" w:rsidRPr="009D3012" w:rsidRDefault="00761918" w:rsidP="0056481D">
            <w:pPr>
              <w:widowControl w:val="0"/>
              <w:spacing w:after="0" w:line="240" w:lineRule="auto"/>
              <w:ind w:left="31"/>
              <w:jc w:val="left"/>
              <w:rPr>
                <w:rFonts w:eastAsia="Times New Roman" w:cs="Arial"/>
                <w:lang w:val="en-US" w:eastAsia="fr-FR"/>
              </w:rPr>
            </w:pPr>
            <w:r w:rsidRPr="009D3012">
              <w:rPr>
                <w:rFonts w:eastAsia="Times New Roman" w:cs="Arial"/>
                <w:i/>
                <w:iCs/>
                <w:spacing w:val="-1"/>
              </w:rPr>
              <w:t>f</w:t>
            </w:r>
            <w:r w:rsidRPr="009D3012">
              <w:rPr>
                <w:rFonts w:eastAsia="Times New Roman" w:cs="Arial"/>
                <w:spacing w:val="-1"/>
                <w:vertAlign w:val="subscript"/>
              </w:rPr>
              <w:t>Ft3,ef</w:t>
            </w:r>
          </w:p>
        </w:tc>
        <w:tc>
          <w:tcPr>
            <w:tcW w:w="8363" w:type="dxa"/>
            <w:tcBorders>
              <w:top w:val="nil"/>
              <w:left w:val="nil"/>
              <w:bottom w:val="nil"/>
              <w:right w:val="nil"/>
            </w:tcBorders>
            <w:shd w:val="clear" w:color="auto" w:fill="auto"/>
          </w:tcPr>
          <w:p w14:paraId="13430E42" w14:textId="77777777" w:rsidR="00761918" w:rsidRPr="009D3012" w:rsidRDefault="00761918" w:rsidP="0056481D">
            <w:pPr>
              <w:widowControl w:val="0"/>
              <w:spacing w:after="0" w:line="240" w:lineRule="auto"/>
              <w:ind w:left="33" w:hanging="33"/>
              <w:jc w:val="left"/>
              <w:rPr>
                <w:rFonts w:eastAsia="Times New Roman" w:cs="Arial"/>
                <w:lang w:val="en-US" w:eastAsia="fr-FR"/>
              </w:rPr>
            </w:pPr>
            <w:r w:rsidRPr="009D3012">
              <w:rPr>
                <w:rFonts w:eastAsia="Times New Roman" w:cs="Arial"/>
                <w:spacing w:val="-1"/>
              </w:rPr>
              <w:t>effective residual tensile strength for crack width = 2,5 mm accounting for fibre orientation to be used in the constitutive law for bi-linear analysis</w:t>
            </w:r>
          </w:p>
        </w:tc>
      </w:tr>
      <w:tr w:rsidR="00761918" w:rsidRPr="001455DC" w14:paraId="7EBB50FE" w14:textId="77777777" w:rsidTr="009D3012">
        <w:trPr>
          <w:trHeight w:val="422"/>
        </w:trPr>
        <w:tc>
          <w:tcPr>
            <w:tcW w:w="1531" w:type="dxa"/>
            <w:tcBorders>
              <w:top w:val="nil"/>
              <w:left w:val="nil"/>
              <w:bottom w:val="nil"/>
              <w:right w:val="nil"/>
            </w:tcBorders>
            <w:shd w:val="clear" w:color="auto" w:fill="auto"/>
          </w:tcPr>
          <w:p w14:paraId="6F121682" w14:textId="77777777" w:rsidR="00761918" w:rsidRPr="009D3012" w:rsidRDefault="00761918" w:rsidP="0056481D">
            <w:pPr>
              <w:widowControl w:val="0"/>
              <w:spacing w:after="0" w:line="240" w:lineRule="auto"/>
              <w:ind w:left="31"/>
              <w:jc w:val="left"/>
              <w:rPr>
                <w:rFonts w:eastAsia="Times New Roman" w:cs="Arial"/>
                <w:lang w:val="en-US" w:eastAsia="fr-FR"/>
              </w:rPr>
            </w:pPr>
            <w:r w:rsidRPr="009D3012">
              <w:rPr>
                <w:rFonts w:eastAsia="Times New Roman" w:cs="Arial"/>
                <w:i/>
                <w:iCs/>
                <w:spacing w:val="-1"/>
              </w:rPr>
              <w:t>f</w:t>
            </w:r>
            <w:r w:rsidRPr="009D3012">
              <w:rPr>
                <w:rFonts w:eastAsia="Times New Roman" w:cs="Arial"/>
                <w:spacing w:val="-1"/>
                <w:vertAlign w:val="subscript"/>
              </w:rPr>
              <w:t>Ftud</w:t>
            </w:r>
          </w:p>
        </w:tc>
        <w:tc>
          <w:tcPr>
            <w:tcW w:w="8363" w:type="dxa"/>
            <w:tcBorders>
              <w:top w:val="nil"/>
              <w:left w:val="nil"/>
              <w:bottom w:val="nil"/>
              <w:right w:val="nil"/>
            </w:tcBorders>
            <w:shd w:val="clear" w:color="auto" w:fill="auto"/>
          </w:tcPr>
          <w:p w14:paraId="23F665BA" w14:textId="77777777" w:rsidR="00761918" w:rsidRPr="009D3012" w:rsidRDefault="00761918" w:rsidP="0056481D">
            <w:pPr>
              <w:widowControl w:val="0"/>
              <w:spacing w:after="0" w:line="240" w:lineRule="auto"/>
              <w:ind w:left="33" w:hanging="33"/>
              <w:jc w:val="left"/>
              <w:rPr>
                <w:rFonts w:eastAsia="Times New Roman" w:cs="Arial"/>
                <w:lang w:val="en-US" w:eastAsia="fr-FR"/>
              </w:rPr>
            </w:pPr>
            <w:r w:rsidRPr="009D3012">
              <w:rPr>
                <w:rFonts w:eastAsia="Times New Roman" w:cs="Arial"/>
                <w:spacing w:val="-1"/>
              </w:rPr>
              <w:t xml:space="preserve">design value of the residual tensile strength </w:t>
            </w:r>
            <w:r w:rsidRPr="009D3012">
              <w:rPr>
                <w:rFonts w:eastAsia="Times New Roman" w:cs="Arial"/>
              </w:rPr>
              <w:t xml:space="preserve">accounting for fibre orientation </w:t>
            </w:r>
          </w:p>
        </w:tc>
      </w:tr>
      <w:tr w:rsidR="00761918" w:rsidRPr="001455DC" w14:paraId="2BAC2521" w14:textId="77777777" w:rsidTr="009D3012">
        <w:trPr>
          <w:trHeight w:val="422"/>
        </w:trPr>
        <w:tc>
          <w:tcPr>
            <w:tcW w:w="1531" w:type="dxa"/>
            <w:tcBorders>
              <w:top w:val="nil"/>
              <w:left w:val="nil"/>
              <w:bottom w:val="nil"/>
              <w:right w:val="nil"/>
            </w:tcBorders>
            <w:shd w:val="clear" w:color="auto" w:fill="auto"/>
          </w:tcPr>
          <w:p w14:paraId="731F256B" w14:textId="77777777" w:rsidR="00761918" w:rsidRPr="009D3012" w:rsidRDefault="00761918" w:rsidP="0056481D">
            <w:pPr>
              <w:widowControl w:val="0"/>
              <w:spacing w:after="0" w:line="240" w:lineRule="auto"/>
              <w:ind w:left="31"/>
              <w:jc w:val="left"/>
              <w:rPr>
                <w:rFonts w:eastAsia="Times New Roman" w:cs="Arial"/>
                <w:lang w:val="en-US" w:eastAsia="fr-FR"/>
              </w:rPr>
            </w:pPr>
            <w:r w:rsidRPr="009D3012">
              <w:rPr>
                <w:rFonts w:eastAsia="Times New Roman" w:cs="Arial"/>
                <w:i/>
                <w:iCs/>
                <w:spacing w:val="-1"/>
              </w:rPr>
              <w:t>f</w:t>
            </w:r>
            <w:r w:rsidRPr="009D3012">
              <w:rPr>
                <w:rFonts w:eastAsia="Times New Roman" w:cs="Arial"/>
                <w:spacing w:val="-1"/>
                <w:vertAlign w:val="subscript"/>
              </w:rPr>
              <w:t>Ft3d</w:t>
            </w:r>
          </w:p>
        </w:tc>
        <w:tc>
          <w:tcPr>
            <w:tcW w:w="8363" w:type="dxa"/>
            <w:tcBorders>
              <w:top w:val="nil"/>
              <w:left w:val="nil"/>
              <w:bottom w:val="nil"/>
              <w:right w:val="nil"/>
            </w:tcBorders>
            <w:shd w:val="clear" w:color="auto" w:fill="auto"/>
          </w:tcPr>
          <w:p w14:paraId="0CEB7189" w14:textId="77777777" w:rsidR="00761918" w:rsidRPr="009D3012" w:rsidRDefault="00761918" w:rsidP="0056481D">
            <w:pPr>
              <w:widowControl w:val="0"/>
              <w:spacing w:after="0" w:line="240" w:lineRule="auto"/>
              <w:ind w:left="33" w:hanging="33"/>
              <w:jc w:val="left"/>
              <w:rPr>
                <w:rFonts w:eastAsia="Times New Roman" w:cs="Arial"/>
                <w:lang w:val="en-US" w:eastAsia="fr-FR"/>
              </w:rPr>
            </w:pPr>
            <w:r w:rsidRPr="009D3012">
              <w:rPr>
                <w:rFonts w:eastAsia="Times New Roman" w:cs="Arial"/>
                <w:spacing w:val="-1"/>
              </w:rPr>
              <w:t>design residual tensile strength for crack width = 2,5 mm accounting for fibre orientation to be used for bi-linear stress distribution</w:t>
            </w:r>
          </w:p>
        </w:tc>
      </w:tr>
      <w:tr w:rsidR="00761918" w:rsidRPr="001455DC" w14:paraId="4B091566" w14:textId="77777777" w:rsidTr="009D3012">
        <w:trPr>
          <w:trHeight w:val="422"/>
        </w:trPr>
        <w:tc>
          <w:tcPr>
            <w:tcW w:w="1531" w:type="dxa"/>
            <w:tcBorders>
              <w:top w:val="nil"/>
              <w:left w:val="nil"/>
              <w:bottom w:val="nil"/>
              <w:right w:val="nil"/>
            </w:tcBorders>
            <w:shd w:val="clear" w:color="auto" w:fill="auto"/>
          </w:tcPr>
          <w:p w14:paraId="061928C0" w14:textId="77777777" w:rsidR="00761918" w:rsidRPr="009D3012" w:rsidRDefault="00761918" w:rsidP="0056481D">
            <w:pPr>
              <w:widowControl w:val="0"/>
              <w:spacing w:after="0" w:line="240" w:lineRule="auto"/>
              <w:ind w:left="31"/>
              <w:jc w:val="left"/>
              <w:rPr>
                <w:rFonts w:eastAsia="Times New Roman" w:cs="Arial"/>
                <w:lang w:val="en-US" w:eastAsia="fr-FR"/>
              </w:rPr>
            </w:pPr>
            <w:r w:rsidRPr="009D3012">
              <w:rPr>
                <w:rFonts w:eastAsia="Times New Roman" w:cs="Arial"/>
                <w:i/>
                <w:iCs/>
                <w:lang w:val="en-US" w:eastAsia="fr-FR"/>
              </w:rPr>
              <w:t>k</w:t>
            </w:r>
            <w:r w:rsidRPr="009D3012">
              <w:rPr>
                <w:rFonts w:eastAsia="Times New Roman" w:cs="Arial"/>
                <w:vertAlign w:val="subscript"/>
                <w:lang w:val="en-US" w:eastAsia="fr-FR"/>
              </w:rPr>
              <w:t>AS</w:t>
            </w:r>
          </w:p>
        </w:tc>
        <w:tc>
          <w:tcPr>
            <w:tcW w:w="8363" w:type="dxa"/>
            <w:tcBorders>
              <w:top w:val="nil"/>
              <w:left w:val="nil"/>
              <w:bottom w:val="nil"/>
              <w:right w:val="nil"/>
            </w:tcBorders>
            <w:shd w:val="clear" w:color="auto" w:fill="auto"/>
          </w:tcPr>
          <w:p w14:paraId="0E3D055A" w14:textId="77777777" w:rsidR="00761918" w:rsidRPr="009D3012" w:rsidRDefault="00761918" w:rsidP="0056481D">
            <w:pPr>
              <w:widowControl w:val="0"/>
              <w:spacing w:after="0" w:line="240" w:lineRule="auto"/>
              <w:ind w:left="33" w:hanging="33"/>
              <w:jc w:val="left"/>
              <w:rPr>
                <w:rFonts w:eastAsia="Times New Roman" w:cs="Arial"/>
                <w:lang w:val="en-US" w:eastAsia="fr-FR"/>
              </w:rPr>
            </w:pPr>
            <w:r w:rsidRPr="009D3012">
              <w:rPr>
                <w:rFonts w:eastAsia="Times New Roman" w:cs="Arial"/>
                <w:spacing w:val="-1"/>
              </w:rPr>
              <w:t>parameter that limits the replacement of minimum longitudinal reinforcement by fibres</w:t>
            </w:r>
          </w:p>
        </w:tc>
      </w:tr>
      <w:tr w:rsidR="00761918" w:rsidRPr="001455DC" w14:paraId="6D5E8F7A" w14:textId="77777777" w:rsidTr="009D3012">
        <w:trPr>
          <w:trHeight w:val="422"/>
        </w:trPr>
        <w:tc>
          <w:tcPr>
            <w:tcW w:w="1531" w:type="dxa"/>
            <w:tcBorders>
              <w:top w:val="nil"/>
              <w:left w:val="nil"/>
              <w:bottom w:val="nil"/>
              <w:right w:val="nil"/>
            </w:tcBorders>
            <w:shd w:val="clear" w:color="auto" w:fill="auto"/>
          </w:tcPr>
          <w:p w14:paraId="3686CCE3" w14:textId="77777777" w:rsidR="00761918" w:rsidRPr="009D3012" w:rsidRDefault="00761918" w:rsidP="0056481D">
            <w:pPr>
              <w:widowControl w:val="0"/>
              <w:spacing w:after="0" w:line="240" w:lineRule="auto"/>
              <w:ind w:left="31"/>
              <w:jc w:val="left"/>
              <w:rPr>
                <w:rFonts w:eastAsia="Times New Roman" w:cs="Arial"/>
                <w:lang w:val="en-US" w:eastAsia="fr-FR"/>
              </w:rPr>
            </w:pPr>
            <w:r w:rsidRPr="009D3012">
              <w:rPr>
                <w:rFonts w:eastAsia="Times New Roman"/>
                <w:i/>
                <w:iCs/>
                <w:spacing w:val="-1"/>
              </w:rPr>
              <w:t>l</w:t>
            </w:r>
            <w:r w:rsidRPr="009D3012">
              <w:rPr>
                <w:rFonts w:eastAsia="Times New Roman" w:cs="Arial"/>
                <w:spacing w:val="-1"/>
                <w:vertAlign w:val="subscript"/>
              </w:rPr>
              <w:t>cs</w:t>
            </w:r>
          </w:p>
        </w:tc>
        <w:tc>
          <w:tcPr>
            <w:tcW w:w="8363" w:type="dxa"/>
            <w:tcBorders>
              <w:top w:val="nil"/>
              <w:left w:val="nil"/>
              <w:bottom w:val="nil"/>
              <w:right w:val="nil"/>
            </w:tcBorders>
            <w:shd w:val="clear" w:color="auto" w:fill="auto"/>
          </w:tcPr>
          <w:p w14:paraId="6C6EEA57" w14:textId="77777777" w:rsidR="00761918" w:rsidRPr="009D3012" w:rsidRDefault="00761918" w:rsidP="0056481D">
            <w:pPr>
              <w:widowControl w:val="0"/>
              <w:spacing w:after="0" w:line="240" w:lineRule="auto"/>
              <w:ind w:left="33" w:hanging="33"/>
              <w:jc w:val="left"/>
              <w:rPr>
                <w:rFonts w:eastAsia="Times New Roman" w:cs="Arial"/>
                <w:lang w:val="en-US" w:eastAsia="fr-FR"/>
              </w:rPr>
            </w:pPr>
            <w:r w:rsidRPr="009D3012">
              <w:rPr>
                <w:rFonts w:eastAsia="Times New Roman" w:cs="Arial"/>
                <w:spacing w:val="-1"/>
              </w:rPr>
              <w:t>structural length used to convert the stress-crack width relationship of SFRC to a stress-strain relationship compatible with concrete design</w:t>
            </w:r>
          </w:p>
        </w:tc>
      </w:tr>
      <w:tr w:rsidR="00761918" w:rsidRPr="001455DC" w14:paraId="307E8A6D" w14:textId="77777777" w:rsidTr="009D3012">
        <w:trPr>
          <w:trHeight w:val="57"/>
        </w:trPr>
        <w:tc>
          <w:tcPr>
            <w:tcW w:w="1531" w:type="dxa"/>
            <w:tcBorders>
              <w:top w:val="nil"/>
              <w:left w:val="nil"/>
              <w:bottom w:val="nil"/>
              <w:right w:val="nil"/>
            </w:tcBorders>
            <w:shd w:val="clear" w:color="auto" w:fill="auto"/>
          </w:tcPr>
          <w:p w14:paraId="5FB333E1" w14:textId="77777777" w:rsidR="00761918" w:rsidRPr="009D3012" w:rsidRDefault="00761918" w:rsidP="0056481D">
            <w:pPr>
              <w:widowControl w:val="0"/>
              <w:spacing w:after="0" w:line="240" w:lineRule="auto"/>
              <w:ind w:left="31"/>
              <w:jc w:val="left"/>
              <w:rPr>
                <w:rFonts w:eastAsia="Times New Roman" w:cs="Arial"/>
                <w:lang w:val="en-US" w:eastAsia="fr-FR"/>
              </w:rPr>
            </w:pPr>
            <w:r w:rsidRPr="009D3012">
              <w:rPr>
                <w:rFonts w:eastAsia="Times New Roman" w:cs="Arial"/>
                <w:i/>
                <w:iCs/>
                <w:spacing w:val="-1"/>
              </w:rPr>
              <w:t>w</w:t>
            </w:r>
            <w:r w:rsidRPr="009D3012">
              <w:rPr>
                <w:rFonts w:eastAsia="Times New Roman" w:cs="Arial"/>
                <w:spacing w:val="-1"/>
                <w:vertAlign w:val="subscript"/>
              </w:rPr>
              <w:t>u</w:t>
            </w:r>
          </w:p>
        </w:tc>
        <w:tc>
          <w:tcPr>
            <w:tcW w:w="8363" w:type="dxa"/>
            <w:tcBorders>
              <w:top w:val="nil"/>
              <w:left w:val="nil"/>
              <w:bottom w:val="nil"/>
              <w:right w:val="nil"/>
            </w:tcBorders>
            <w:shd w:val="clear" w:color="auto" w:fill="auto"/>
          </w:tcPr>
          <w:p w14:paraId="78DA229D" w14:textId="77777777" w:rsidR="00761918" w:rsidRPr="009D3012" w:rsidRDefault="00761918" w:rsidP="0056481D">
            <w:pPr>
              <w:widowControl w:val="0"/>
              <w:spacing w:after="0" w:line="240" w:lineRule="auto"/>
              <w:ind w:left="33" w:hanging="33"/>
              <w:jc w:val="left"/>
              <w:rPr>
                <w:rFonts w:eastAsia="Times New Roman" w:cs="Arial"/>
                <w:lang w:val="en-US" w:eastAsia="fr-FR"/>
              </w:rPr>
            </w:pPr>
            <w:r w:rsidRPr="009D3012">
              <w:rPr>
                <w:rFonts w:eastAsia="Times New Roman" w:cs="Arial"/>
                <w:spacing w:val="-1"/>
              </w:rPr>
              <w:t>maximum crack opening accepted in the structural design</w:t>
            </w:r>
          </w:p>
        </w:tc>
      </w:tr>
    </w:tbl>
    <w:p w14:paraId="1E14C9C6" w14:textId="74238F90" w:rsidR="00761918" w:rsidRPr="00E519AB" w:rsidRDefault="00E519AB" w:rsidP="00E519AB">
      <w:pPr>
        <w:pStyle w:val="p3"/>
        <w:keepNext/>
        <w:keepLines/>
        <w:spacing w:before="240" w:after="120"/>
        <w:rPr>
          <w:b/>
        </w:rPr>
      </w:pPr>
      <w:bookmarkStart w:id="144" w:name="_Toc67565302"/>
      <w:bookmarkStart w:id="145" w:name="_Toc54016310"/>
      <w:bookmarkStart w:id="146" w:name="_Toc55828647"/>
      <w:r w:rsidRPr="00E519AB">
        <w:rPr>
          <w:b/>
        </w:rPr>
        <w:t>3.7.3</w:t>
      </w:r>
      <w:r w:rsidRPr="00E519AB">
        <w:rPr>
          <w:b/>
        </w:rPr>
        <w:tab/>
      </w:r>
      <w:r w:rsidR="00761918" w:rsidRPr="00E519AB">
        <w:rPr>
          <w:b/>
        </w:rPr>
        <w:t>Greek letters</w:t>
      </w:r>
      <w:bookmarkEnd w:id="144"/>
      <w:r w:rsidR="00761918" w:rsidRPr="00E519AB">
        <w:rPr>
          <w:b/>
        </w:rPr>
        <w:t xml:space="preserve"> </w:t>
      </w:r>
    </w:p>
    <w:tbl>
      <w:tblPr>
        <w:tblStyle w:val="Tabellenraster1"/>
        <w:tblW w:w="9894" w:type="dxa"/>
        <w:tblInd w:w="-5" w:type="dxa"/>
        <w:tblLayout w:type="fixed"/>
        <w:tblLook w:val="04A0" w:firstRow="1" w:lastRow="0" w:firstColumn="1" w:lastColumn="0" w:noHBand="0" w:noVBand="1"/>
      </w:tblPr>
      <w:tblGrid>
        <w:gridCol w:w="1531"/>
        <w:gridCol w:w="8363"/>
      </w:tblGrid>
      <w:tr w:rsidR="00761918" w:rsidRPr="001455DC" w14:paraId="5E392BAB" w14:textId="77777777" w:rsidTr="009D3012">
        <w:trPr>
          <w:trHeight w:val="130"/>
        </w:trPr>
        <w:tc>
          <w:tcPr>
            <w:tcW w:w="1531" w:type="dxa"/>
            <w:tcBorders>
              <w:top w:val="nil"/>
              <w:left w:val="nil"/>
              <w:bottom w:val="nil"/>
              <w:right w:val="nil"/>
            </w:tcBorders>
            <w:shd w:val="clear" w:color="auto" w:fill="auto"/>
          </w:tcPr>
          <w:bookmarkEnd w:id="145"/>
          <w:bookmarkEnd w:id="146"/>
          <w:p w14:paraId="4ED84EDC" w14:textId="77777777" w:rsidR="00761918" w:rsidRPr="009D3012" w:rsidRDefault="00761918" w:rsidP="0056481D">
            <w:pPr>
              <w:widowControl w:val="0"/>
              <w:spacing w:after="0" w:line="240" w:lineRule="auto"/>
              <w:ind w:left="31"/>
              <w:jc w:val="left"/>
              <w:rPr>
                <w:rFonts w:eastAsia="Times New Roman" w:cs="Arial"/>
                <w:lang w:val="en-US" w:eastAsia="fr-FR"/>
              </w:rPr>
            </w:pPr>
            <w:r w:rsidRPr="009D3012">
              <w:rPr>
                <w:rFonts w:eastAsia="Times New Roman" w:cs="Arial"/>
                <w:i/>
                <w:iCs/>
              </w:rPr>
              <w:sym w:font="Symbol" w:char="F067"/>
            </w:r>
            <w:r w:rsidRPr="009D3012">
              <w:rPr>
                <w:rFonts w:eastAsia="Times New Roman" w:cs="Arial"/>
                <w:vertAlign w:val="subscript"/>
              </w:rPr>
              <w:t>SF</w:t>
            </w:r>
          </w:p>
        </w:tc>
        <w:tc>
          <w:tcPr>
            <w:tcW w:w="8363" w:type="dxa"/>
            <w:tcBorders>
              <w:top w:val="nil"/>
              <w:left w:val="nil"/>
              <w:bottom w:val="nil"/>
              <w:right w:val="nil"/>
            </w:tcBorders>
            <w:shd w:val="clear" w:color="auto" w:fill="auto"/>
          </w:tcPr>
          <w:p w14:paraId="5B562D74" w14:textId="77777777" w:rsidR="00761918" w:rsidRPr="009D3012" w:rsidRDefault="00761918" w:rsidP="0056481D">
            <w:pPr>
              <w:widowControl w:val="0"/>
              <w:spacing w:after="0" w:line="240" w:lineRule="auto"/>
              <w:ind w:left="33" w:hanging="33"/>
              <w:jc w:val="left"/>
              <w:rPr>
                <w:rFonts w:eastAsia="Times New Roman" w:cs="Arial"/>
                <w:lang w:val="en-US" w:eastAsia="fr-FR"/>
              </w:rPr>
            </w:pPr>
            <w:r w:rsidRPr="009D3012">
              <w:rPr>
                <w:rFonts w:eastAsia="Times New Roman" w:cs="Arial"/>
                <w:spacing w:val="-1"/>
              </w:rPr>
              <w:t>the partial factor for SFRC in tension</w:t>
            </w:r>
          </w:p>
        </w:tc>
      </w:tr>
      <w:tr w:rsidR="00761918" w:rsidRPr="001455DC" w14:paraId="2E03662E" w14:textId="77777777" w:rsidTr="009D3012">
        <w:trPr>
          <w:trHeight w:val="422"/>
        </w:trPr>
        <w:tc>
          <w:tcPr>
            <w:tcW w:w="1531" w:type="dxa"/>
            <w:tcBorders>
              <w:top w:val="nil"/>
              <w:left w:val="nil"/>
              <w:bottom w:val="nil"/>
              <w:right w:val="nil"/>
            </w:tcBorders>
            <w:shd w:val="clear" w:color="auto" w:fill="auto"/>
          </w:tcPr>
          <w:p w14:paraId="524D29D1" w14:textId="7ED7406F" w:rsidR="00761918" w:rsidRPr="009D3012" w:rsidRDefault="00046D2A" w:rsidP="00046D2A">
            <w:pPr>
              <w:widowControl w:val="0"/>
              <w:spacing w:after="0" w:line="240" w:lineRule="auto"/>
              <w:ind w:left="31"/>
              <w:jc w:val="left"/>
              <w:rPr>
                <w:rFonts w:eastAsia="Times New Roman" w:cs="Arial"/>
                <w:lang w:val="en-US" w:eastAsia="fr-FR"/>
              </w:rPr>
            </w:pPr>
            <w:r w:rsidRPr="00046D2A">
              <w:rPr>
                <w:position w:val="-10"/>
                <w:lang w:val="en-GB"/>
              </w:rPr>
              <w:object w:dxaOrig="200" w:dyaOrig="260" w14:anchorId="1584FA1A">
                <v:shape id="_x0000_i1121" type="#_x0000_t75" style="width:9pt;height:13.5pt" o:ole="">
                  <v:imagedata r:id="rId212" o:title=""/>
                </v:shape>
                <o:OLEObject Type="Embed" ProgID="Equation.DSMT4" ShapeID="_x0000_i1121" DrawAspect="Content" ObjectID="_1692169463" r:id="rId213"/>
              </w:object>
            </w:r>
            <w:r w:rsidR="00761918" w:rsidRPr="009D3012">
              <w:rPr>
                <w:rFonts w:eastAsia="Times New Roman" w:cs="Arial"/>
                <w:bCs/>
                <w:iCs/>
                <w:spacing w:val="-1"/>
                <w:lang w:val="en-US"/>
              </w:rPr>
              <w:t>,</w:t>
            </w:r>
            <w:r w:rsidRPr="00046D2A">
              <w:rPr>
                <w:position w:val="-12"/>
                <w:lang w:val="en-GB"/>
              </w:rPr>
              <w:object w:dxaOrig="400" w:dyaOrig="360" w14:anchorId="0852E8B4">
                <v:shape id="_x0000_i1122" type="#_x0000_t75" style="width:20.25pt;height:18.75pt" o:ole="">
                  <v:imagedata r:id="rId214" o:title=""/>
                </v:shape>
                <o:OLEObject Type="Embed" ProgID="Equation.DSMT4" ShapeID="_x0000_i1122" DrawAspect="Content" ObjectID="_1692169464" r:id="rId215"/>
              </w:object>
            </w:r>
            <w:r w:rsidR="00761918" w:rsidRPr="009D3012">
              <w:rPr>
                <w:rFonts w:eastAsia="Times New Roman" w:cs="Arial"/>
                <w:bCs/>
                <w:iCs/>
                <w:spacing w:val="-1"/>
                <w:lang w:val="en-US"/>
              </w:rPr>
              <w:t xml:space="preserve">, </w:t>
            </w:r>
            <w:r w:rsidRPr="00046D2A">
              <w:rPr>
                <w:position w:val="-12"/>
                <w:lang w:val="en-GB"/>
              </w:rPr>
              <w:object w:dxaOrig="279" w:dyaOrig="360" w14:anchorId="69B3F82E">
                <v:shape id="_x0000_i1123" type="#_x0000_t75" style="width:14.25pt;height:18.75pt" o:ole="">
                  <v:imagedata r:id="rId216" o:title=""/>
                </v:shape>
                <o:OLEObject Type="Embed" ProgID="Equation.DSMT4" ShapeID="_x0000_i1123" DrawAspect="Content" ObjectID="_1692169465" r:id="rId217"/>
              </w:object>
            </w:r>
          </w:p>
        </w:tc>
        <w:tc>
          <w:tcPr>
            <w:tcW w:w="8363" w:type="dxa"/>
            <w:tcBorders>
              <w:top w:val="nil"/>
              <w:left w:val="nil"/>
              <w:bottom w:val="nil"/>
              <w:right w:val="nil"/>
            </w:tcBorders>
            <w:shd w:val="clear" w:color="auto" w:fill="auto"/>
          </w:tcPr>
          <w:p w14:paraId="754A29F0" w14:textId="77777777" w:rsidR="00761918" w:rsidRPr="009D3012" w:rsidRDefault="00761918" w:rsidP="0056481D">
            <w:pPr>
              <w:widowControl w:val="0"/>
              <w:spacing w:after="0" w:line="240" w:lineRule="auto"/>
              <w:ind w:left="33" w:hanging="33"/>
              <w:jc w:val="left"/>
              <w:rPr>
                <w:rFonts w:eastAsia="Times New Roman" w:cs="Arial"/>
                <w:lang w:val="en-US" w:eastAsia="fr-FR"/>
              </w:rPr>
            </w:pPr>
            <w:r w:rsidRPr="009D3012">
              <w:rPr>
                <w:rFonts w:eastAsia="Times New Roman" w:cs="Arial"/>
                <w:lang w:val="en-US" w:eastAsia="fr-FR"/>
              </w:rPr>
              <w:t>parameters expressing that the shear capacity contributions from steel fibres and ordinary reinforced concrete are not 100 % additive</w:t>
            </w:r>
          </w:p>
        </w:tc>
      </w:tr>
      <w:tr w:rsidR="00761918" w:rsidRPr="001455DC" w14:paraId="4BFFCE05" w14:textId="77777777" w:rsidTr="009D3012">
        <w:trPr>
          <w:trHeight w:val="57"/>
        </w:trPr>
        <w:tc>
          <w:tcPr>
            <w:tcW w:w="1531" w:type="dxa"/>
            <w:tcBorders>
              <w:top w:val="nil"/>
              <w:left w:val="nil"/>
              <w:bottom w:val="nil"/>
              <w:right w:val="nil"/>
            </w:tcBorders>
            <w:shd w:val="clear" w:color="auto" w:fill="auto"/>
          </w:tcPr>
          <w:p w14:paraId="5373B34C" w14:textId="77777777" w:rsidR="00761918" w:rsidRPr="009D3012" w:rsidRDefault="00761918" w:rsidP="0056481D">
            <w:pPr>
              <w:widowControl w:val="0"/>
              <w:spacing w:after="0" w:line="240" w:lineRule="auto"/>
              <w:ind w:left="31"/>
              <w:jc w:val="left"/>
              <w:rPr>
                <w:rFonts w:eastAsia="Times New Roman" w:cs="Arial"/>
                <w:lang w:val="en-US" w:eastAsia="fr-FR"/>
              </w:rPr>
            </w:pPr>
            <w:r w:rsidRPr="009D3012">
              <w:rPr>
                <w:rFonts w:eastAsia="Times New Roman" w:cs="Arial"/>
                <w:i/>
                <w:iCs/>
              </w:rPr>
              <w:t>ε</w:t>
            </w:r>
            <w:r w:rsidRPr="009D3012">
              <w:rPr>
                <w:rFonts w:eastAsia="Times New Roman" w:cs="Arial"/>
                <w:vertAlign w:val="subscript"/>
              </w:rPr>
              <w:t>Ftu</w:t>
            </w:r>
          </w:p>
        </w:tc>
        <w:tc>
          <w:tcPr>
            <w:tcW w:w="8363" w:type="dxa"/>
            <w:tcBorders>
              <w:top w:val="nil"/>
              <w:left w:val="nil"/>
              <w:bottom w:val="nil"/>
              <w:right w:val="nil"/>
            </w:tcBorders>
            <w:shd w:val="clear" w:color="auto" w:fill="auto"/>
          </w:tcPr>
          <w:p w14:paraId="18B25A7B" w14:textId="77777777" w:rsidR="00761918" w:rsidRPr="009D3012" w:rsidRDefault="00761918" w:rsidP="0056481D">
            <w:pPr>
              <w:widowControl w:val="0"/>
              <w:spacing w:after="0" w:line="240" w:lineRule="auto"/>
              <w:ind w:left="33" w:hanging="33"/>
              <w:jc w:val="left"/>
              <w:rPr>
                <w:rFonts w:eastAsia="Times New Roman" w:cs="Arial"/>
                <w:lang w:val="en-US" w:eastAsia="fr-FR"/>
              </w:rPr>
            </w:pPr>
            <w:r w:rsidRPr="009D3012">
              <w:rPr>
                <w:rFonts w:eastAsia="Times New Roman" w:cs="Arial"/>
                <w:spacing w:val="-1"/>
              </w:rPr>
              <w:t>ultimate tensile strain for SFRC</w:t>
            </w:r>
          </w:p>
        </w:tc>
      </w:tr>
      <w:tr w:rsidR="00761918" w:rsidRPr="001455DC" w14:paraId="7A6CD4E2" w14:textId="77777777" w:rsidTr="009D3012">
        <w:trPr>
          <w:trHeight w:val="422"/>
        </w:trPr>
        <w:tc>
          <w:tcPr>
            <w:tcW w:w="1531" w:type="dxa"/>
            <w:tcBorders>
              <w:top w:val="nil"/>
              <w:left w:val="nil"/>
              <w:bottom w:val="nil"/>
              <w:right w:val="nil"/>
            </w:tcBorders>
            <w:shd w:val="clear" w:color="auto" w:fill="auto"/>
          </w:tcPr>
          <w:p w14:paraId="2F8F8576" w14:textId="77777777" w:rsidR="00761918" w:rsidRPr="009D3012" w:rsidRDefault="00761918" w:rsidP="0056481D">
            <w:pPr>
              <w:widowControl w:val="0"/>
              <w:spacing w:after="0" w:line="240" w:lineRule="auto"/>
              <w:ind w:left="31"/>
              <w:jc w:val="left"/>
              <w:rPr>
                <w:rFonts w:eastAsia="Times New Roman" w:cs="Arial"/>
                <w:lang w:val="en-US" w:eastAsia="fr-FR"/>
              </w:rPr>
            </w:pPr>
            <w:r w:rsidRPr="009D3012">
              <w:rPr>
                <w:rFonts w:eastAsia="Times New Roman" w:cs="Arial"/>
                <w:i/>
                <w:iCs/>
              </w:rPr>
              <w:t>ε</w:t>
            </w:r>
            <w:r w:rsidRPr="009D3012">
              <w:rPr>
                <w:rFonts w:eastAsia="Times New Roman" w:cs="Arial"/>
                <w:vertAlign w:val="subscript"/>
              </w:rPr>
              <w:t>Ftud</w:t>
            </w:r>
          </w:p>
        </w:tc>
        <w:tc>
          <w:tcPr>
            <w:tcW w:w="8363" w:type="dxa"/>
            <w:tcBorders>
              <w:top w:val="nil"/>
              <w:left w:val="nil"/>
              <w:bottom w:val="nil"/>
              <w:right w:val="nil"/>
            </w:tcBorders>
            <w:shd w:val="clear" w:color="auto" w:fill="auto"/>
          </w:tcPr>
          <w:p w14:paraId="2FFFCC12" w14:textId="12C91350" w:rsidR="00761918" w:rsidRPr="009D3012" w:rsidRDefault="00761918">
            <w:pPr>
              <w:widowControl w:val="0"/>
              <w:spacing w:after="0" w:line="240" w:lineRule="auto"/>
              <w:ind w:left="33" w:hanging="33"/>
              <w:jc w:val="left"/>
              <w:rPr>
                <w:rFonts w:eastAsia="Times New Roman" w:cs="Arial"/>
                <w:lang w:val="en-US" w:eastAsia="fr-FR"/>
              </w:rPr>
            </w:pPr>
            <w:r w:rsidRPr="009D3012">
              <w:rPr>
                <w:rFonts w:eastAsia="Times New Roman" w:cs="Arial"/>
                <w:spacing w:val="-1"/>
              </w:rPr>
              <w:t>design tensile strain limit used for SFRC cross sections with or without axial force according to 5.1.7 and 8.1.5</w:t>
            </w:r>
          </w:p>
        </w:tc>
      </w:tr>
      <w:tr w:rsidR="00761918" w:rsidRPr="001455DC" w14:paraId="3FB22522" w14:textId="77777777" w:rsidTr="009D3012">
        <w:trPr>
          <w:trHeight w:val="422"/>
        </w:trPr>
        <w:tc>
          <w:tcPr>
            <w:tcW w:w="1531" w:type="dxa"/>
            <w:tcBorders>
              <w:top w:val="nil"/>
              <w:left w:val="nil"/>
              <w:bottom w:val="nil"/>
              <w:right w:val="nil"/>
            </w:tcBorders>
            <w:shd w:val="clear" w:color="auto" w:fill="auto"/>
          </w:tcPr>
          <w:p w14:paraId="3C2FDF3C" w14:textId="4ED93B5D" w:rsidR="00761918" w:rsidRPr="009D3012" w:rsidRDefault="00046D2A" w:rsidP="00046D2A">
            <w:pPr>
              <w:widowControl w:val="0"/>
              <w:tabs>
                <w:tab w:val="center" w:pos="660"/>
                <w:tab w:val="right" w:pos="1320"/>
              </w:tabs>
              <w:spacing w:after="0" w:line="240" w:lineRule="auto"/>
              <w:jc w:val="left"/>
              <w:rPr>
                <w:rFonts w:eastAsia="Times New Roman" w:cs="Arial"/>
                <w:lang w:val="en-US" w:eastAsia="fr-FR"/>
              </w:rPr>
            </w:pPr>
            <w:r w:rsidRPr="00046D2A">
              <w:rPr>
                <w:position w:val="-14"/>
                <w:lang w:val="en-GB"/>
              </w:rPr>
              <w:object w:dxaOrig="380" w:dyaOrig="380" w14:anchorId="3F115DC2">
                <v:shape id="_x0000_i1124" type="#_x0000_t75" style="width:18.75pt;height:18.75pt" o:ole="">
                  <v:imagedata r:id="rId218" o:title=""/>
                </v:shape>
                <o:OLEObject Type="Embed" ProgID="Equation.DSMT4" ShapeID="_x0000_i1124" DrawAspect="Content" ObjectID="_1692169466" r:id="rId219"/>
              </w:object>
            </w:r>
          </w:p>
        </w:tc>
        <w:tc>
          <w:tcPr>
            <w:tcW w:w="8363" w:type="dxa"/>
            <w:tcBorders>
              <w:top w:val="nil"/>
              <w:left w:val="nil"/>
              <w:bottom w:val="nil"/>
              <w:right w:val="nil"/>
            </w:tcBorders>
            <w:shd w:val="clear" w:color="auto" w:fill="auto"/>
          </w:tcPr>
          <w:p w14:paraId="1393D864" w14:textId="77777777" w:rsidR="00761918" w:rsidRPr="009D3012" w:rsidRDefault="00761918" w:rsidP="0056481D">
            <w:pPr>
              <w:widowControl w:val="0"/>
              <w:spacing w:after="0" w:line="240" w:lineRule="auto"/>
              <w:ind w:left="33" w:hanging="33"/>
              <w:jc w:val="left"/>
              <w:rPr>
                <w:rFonts w:eastAsia="Times New Roman" w:cs="Arial"/>
                <w:lang w:val="en-US" w:eastAsia="fr-FR"/>
              </w:rPr>
            </w:pPr>
            <w:r w:rsidRPr="009D3012">
              <w:rPr>
                <w:rFonts w:eastAsia="Times New Roman" w:cs="Arial"/>
                <w:spacing w:val="-1"/>
              </w:rPr>
              <w:t xml:space="preserve">equivalent strain value used to define the post-cracking constitutive law for non-linear analysis </w:t>
            </w:r>
          </w:p>
        </w:tc>
      </w:tr>
      <w:tr w:rsidR="00761918" w:rsidRPr="001455DC" w14:paraId="45284D88" w14:textId="77777777" w:rsidTr="009D3012">
        <w:trPr>
          <w:trHeight w:val="57"/>
        </w:trPr>
        <w:tc>
          <w:tcPr>
            <w:tcW w:w="1531" w:type="dxa"/>
            <w:tcBorders>
              <w:top w:val="nil"/>
              <w:left w:val="nil"/>
              <w:bottom w:val="nil"/>
              <w:right w:val="nil"/>
            </w:tcBorders>
            <w:shd w:val="clear" w:color="auto" w:fill="auto"/>
          </w:tcPr>
          <w:p w14:paraId="304772B4" w14:textId="77777777" w:rsidR="00761918" w:rsidRPr="009D3012" w:rsidRDefault="00761918" w:rsidP="0056481D">
            <w:pPr>
              <w:widowControl w:val="0"/>
              <w:spacing w:after="0" w:line="240" w:lineRule="auto"/>
              <w:ind w:left="31"/>
              <w:jc w:val="left"/>
              <w:rPr>
                <w:rFonts w:eastAsia="Times New Roman" w:cs="Arial"/>
                <w:lang w:val="en-US" w:eastAsia="fr-FR"/>
              </w:rPr>
            </w:pPr>
            <w:r w:rsidRPr="009D3012">
              <w:rPr>
                <w:rFonts w:eastAsia="Times New Roman" w:cs="Arial"/>
                <w:i/>
                <w:iCs/>
              </w:rPr>
              <w:t>κ</w:t>
            </w:r>
            <w:r w:rsidRPr="009D3012">
              <w:rPr>
                <w:rFonts w:eastAsia="Times New Roman" w:cs="Arial"/>
                <w:vertAlign w:val="subscript"/>
              </w:rPr>
              <w:t>G</w:t>
            </w:r>
          </w:p>
        </w:tc>
        <w:tc>
          <w:tcPr>
            <w:tcW w:w="8363" w:type="dxa"/>
            <w:tcBorders>
              <w:top w:val="nil"/>
              <w:left w:val="nil"/>
              <w:bottom w:val="nil"/>
              <w:right w:val="nil"/>
            </w:tcBorders>
            <w:shd w:val="clear" w:color="auto" w:fill="auto"/>
          </w:tcPr>
          <w:p w14:paraId="400825B4" w14:textId="77777777" w:rsidR="00761918" w:rsidRPr="009D3012" w:rsidRDefault="00761918" w:rsidP="0056481D">
            <w:pPr>
              <w:widowControl w:val="0"/>
              <w:spacing w:after="0" w:line="240" w:lineRule="auto"/>
              <w:ind w:left="33" w:hanging="33"/>
              <w:jc w:val="left"/>
              <w:rPr>
                <w:rFonts w:eastAsia="Times New Roman" w:cs="Arial"/>
                <w:lang w:val="en-US" w:eastAsia="fr-FR"/>
              </w:rPr>
            </w:pPr>
            <w:r w:rsidRPr="009D3012">
              <w:rPr>
                <w:rFonts w:eastAsia="Times New Roman" w:cs="Arial"/>
              </w:rPr>
              <w:t>factor taking into account the size of the tensile zone involved in the failure state</w:t>
            </w:r>
          </w:p>
        </w:tc>
      </w:tr>
      <w:tr w:rsidR="00761918" w:rsidRPr="001455DC" w14:paraId="7A944281" w14:textId="77777777" w:rsidTr="009D3012">
        <w:trPr>
          <w:trHeight w:val="422"/>
        </w:trPr>
        <w:tc>
          <w:tcPr>
            <w:tcW w:w="1531" w:type="dxa"/>
            <w:tcBorders>
              <w:top w:val="nil"/>
              <w:left w:val="nil"/>
              <w:bottom w:val="nil"/>
              <w:right w:val="nil"/>
            </w:tcBorders>
            <w:shd w:val="clear" w:color="auto" w:fill="auto"/>
          </w:tcPr>
          <w:p w14:paraId="36332616" w14:textId="74B13F60" w:rsidR="00761918" w:rsidRPr="009D3012" w:rsidRDefault="00046D2A" w:rsidP="00046D2A">
            <w:pPr>
              <w:widowControl w:val="0"/>
              <w:tabs>
                <w:tab w:val="center" w:pos="660"/>
                <w:tab w:val="right" w:pos="1320"/>
              </w:tabs>
              <w:spacing w:after="0" w:line="240" w:lineRule="auto"/>
              <w:ind w:left="31"/>
              <w:jc w:val="left"/>
              <w:rPr>
                <w:rFonts w:eastAsia="Times New Roman" w:cs="Arial"/>
                <w:lang w:val="en-US" w:eastAsia="fr-FR"/>
              </w:rPr>
            </w:pPr>
            <w:r w:rsidRPr="00046D2A">
              <w:rPr>
                <w:position w:val="-14"/>
                <w:lang w:val="en-GB"/>
              </w:rPr>
              <w:object w:dxaOrig="580" w:dyaOrig="380" w14:anchorId="2EFC429D">
                <v:shape id="_x0000_i1125" type="#_x0000_t75" style="width:28.5pt;height:18.75pt" o:ole="">
                  <v:imagedata r:id="rId220" o:title=""/>
                </v:shape>
                <o:OLEObject Type="Embed" ProgID="Equation.DSMT4" ShapeID="_x0000_i1125" DrawAspect="Content" ObjectID="_1692169467" r:id="rId221"/>
              </w:object>
            </w:r>
          </w:p>
        </w:tc>
        <w:tc>
          <w:tcPr>
            <w:tcW w:w="8363" w:type="dxa"/>
            <w:tcBorders>
              <w:top w:val="nil"/>
              <w:left w:val="nil"/>
              <w:bottom w:val="nil"/>
              <w:right w:val="nil"/>
            </w:tcBorders>
            <w:shd w:val="clear" w:color="auto" w:fill="auto"/>
          </w:tcPr>
          <w:p w14:paraId="6348DF00" w14:textId="77777777" w:rsidR="00761918" w:rsidRPr="009D3012" w:rsidRDefault="00761918" w:rsidP="0056481D">
            <w:pPr>
              <w:widowControl w:val="0"/>
              <w:spacing w:after="0" w:line="240" w:lineRule="auto"/>
              <w:ind w:left="33" w:hanging="33"/>
              <w:jc w:val="left"/>
              <w:rPr>
                <w:rFonts w:eastAsia="Times New Roman" w:cs="Arial"/>
                <w:lang w:val="en-US" w:eastAsia="fr-FR"/>
              </w:rPr>
            </w:pPr>
            <w:r w:rsidRPr="009D3012">
              <w:rPr>
                <w:rFonts w:eastAsia="Times New Roman" w:cs="Arial"/>
              </w:rPr>
              <w:t xml:space="preserve">factor defining the upper limit of the ratio between characteristic and mean residual flexural strengths </w:t>
            </w:r>
          </w:p>
        </w:tc>
      </w:tr>
      <w:tr w:rsidR="00761918" w:rsidRPr="001455DC" w14:paraId="109247E8" w14:textId="77777777" w:rsidTr="009D3012">
        <w:trPr>
          <w:trHeight w:val="422"/>
        </w:trPr>
        <w:tc>
          <w:tcPr>
            <w:tcW w:w="1531" w:type="dxa"/>
            <w:tcBorders>
              <w:top w:val="nil"/>
              <w:left w:val="nil"/>
              <w:bottom w:val="nil"/>
              <w:right w:val="nil"/>
            </w:tcBorders>
            <w:shd w:val="clear" w:color="auto" w:fill="auto"/>
          </w:tcPr>
          <w:p w14:paraId="24C84E78" w14:textId="77777777" w:rsidR="00761918" w:rsidRPr="009D3012" w:rsidRDefault="00761918" w:rsidP="0056481D">
            <w:pPr>
              <w:widowControl w:val="0"/>
              <w:spacing w:after="0" w:line="240" w:lineRule="auto"/>
              <w:ind w:left="31"/>
              <w:jc w:val="left"/>
              <w:rPr>
                <w:rFonts w:eastAsia="Times New Roman" w:cs="Arial"/>
                <w:lang w:val="en-US" w:eastAsia="fr-FR"/>
              </w:rPr>
            </w:pPr>
            <w:r w:rsidRPr="009D3012">
              <w:rPr>
                <w:rFonts w:eastAsia="Times New Roman" w:cs="Arial"/>
                <w:i/>
                <w:iCs/>
              </w:rPr>
              <w:t>κ</w:t>
            </w:r>
            <w:r w:rsidRPr="009D3012">
              <w:rPr>
                <w:rFonts w:eastAsia="Times New Roman" w:cs="Arial"/>
                <w:vertAlign w:val="subscript"/>
              </w:rPr>
              <w:t>O</w:t>
            </w:r>
          </w:p>
        </w:tc>
        <w:tc>
          <w:tcPr>
            <w:tcW w:w="8363" w:type="dxa"/>
            <w:tcBorders>
              <w:top w:val="nil"/>
              <w:left w:val="nil"/>
              <w:bottom w:val="nil"/>
              <w:right w:val="nil"/>
            </w:tcBorders>
            <w:shd w:val="clear" w:color="auto" w:fill="auto"/>
          </w:tcPr>
          <w:p w14:paraId="337711F5" w14:textId="77777777" w:rsidR="00761918" w:rsidRPr="009D3012" w:rsidRDefault="00761918" w:rsidP="0056481D">
            <w:pPr>
              <w:widowControl w:val="0"/>
              <w:spacing w:after="0" w:line="240" w:lineRule="auto"/>
              <w:ind w:left="33" w:hanging="33"/>
              <w:jc w:val="left"/>
              <w:rPr>
                <w:rFonts w:eastAsia="Times New Roman" w:cs="Arial"/>
                <w:lang w:val="en-US" w:eastAsia="fr-FR"/>
              </w:rPr>
            </w:pPr>
            <w:r w:rsidRPr="009D3012">
              <w:rPr>
                <w:rFonts w:eastAsia="Times New Roman" w:cs="Arial"/>
              </w:rPr>
              <w:t>factor taking into account the orientation of the steel fibres in the concrete matrix in relation to the orientation of the principal tensile stress arising from the action effects</w:t>
            </w:r>
          </w:p>
        </w:tc>
      </w:tr>
      <w:tr w:rsidR="00761918" w:rsidRPr="001455DC" w14:paraId="2D6D2C07" w14:textId="77777777" w:rsidTr="009D3012">
        <w:trPr>
          <w:trHeight w:val="422"/>
        </w:trPr>
        <w:tc>
          <w:tcPr>
            <w:tcW w:w="1531" w:type="dxa"/>
            <w:tcBorders>
              <w:top w:val="nil"/>
              <w:left w:val="nil"/>
              <w:bottom w:val="nil"/>
              <w:right w:val="nil"/>
            </w:tcBorders>
            <w:shd w:val="clear" w:color="auto" w:fill="auto"/>
          </w:tcPr>
          <w:p w14:paraId="56DD43BB" w14:textId="77777777" w:rsidR="00761918" w:rsidRPr="009D3012" w:rsidRDefault="00761918" w:rsidP="0056481D">
            <w:pPr>
              <w:widowControl w:val="0"/>
              <w:spacing w:after="0" w:line="240" w:lineRule="auto"/>
              <w:ind w:left="31"/>
              <w:jc w:val="left"/>
              <w:rPr>
                <w:rFonts w:eastAsia="Times New Roman" w:cs="Arial"/>
                <w:lang w:val="en-US" w:eastAsia="fr-FR"/>
              </w:rPr>
            </w:pPr>
            <w:r w:rsidRPr="009D3012">
              <w:rPr>
                <w:rFonts w:eastAsia="Times New Roman" w:cs="Arial"/>
                <w:i/>
                <w:iCs/>
                <w:lang w:val="en-US" w:eastAsia="fr-FR"/>
              </w:rPr>
              <w:t>ρ</w:t>
            </w:r>
            <w:r w:rsidRPr="009D3012">
              <w:rPr>
                <w:rFonts w:eastAsia="Times New Roman" w:cs="Arial"/>
                <w:vertAlign w:val="subscript"/>
                <w:lang w:val="en-US" w:eastAsia="fr-FR"/>
              </w:rPr>
              <w:t>Fw,min</w:t>
            </w:r>
          </w:p>
        </w:tc>
        <w:tc>
          <w:tcPr>
            <w:tcW w:w="8363" w:type="dxa"/>
            <w:tcBorders>
              <w:top w:val="nil"/>
              <w:left w:val="nil"/>
              <w:bottom w:val="nil"/>
              <w:right w:val="nil"/>
            </w:tcBorders>
            <w:shd w:val="clear" w:color="auto" w:fill="auto"/>
          </w:tcPr>
          <w:p w14:paraId="017C3C79" w14:textId="77777777" w:rsidR="00761918" w:rsidRPr="009D3012" w:rsidRDefault="00761918" w:rsidP="0056481D">
            <w:pPr>
              <w:widowControl w:val="0"/>
              <w:spacing w:after="0" w:line="240" w:lineRule="auto"/>
              <w:jc w:val="left"/>
              <w:rPr>
                <w:rFonts w:eastAsia="Times New Roman" w:cs="Arial"/>
                <w:lang w:val="en-US" w:eastAsia="fr-FR"/>
              </w:rPr>
            </w:pPr>
            <w:r w:rsidRPr="009D3012">
              <w:rPr>
                <w:rFonts w:eastAsia="Times New Roman" w:cs="Arial"/>
                <w:lang w:val="en-US" w:eastAsia="fr-FR"/>
              </w:rPr>
              <w:t xml:space="preserve">minimum shear reinforcement area </w:t>
            </w:r>
          </w:p>
        </w:tc>
      </w:tr>
      <w:tr w:rsidR="00761918" w:rsidRPr="001455DC" w14:paraId="3EBFD461" w14:textId="77777777" w:rsidTr="009D3012">
        <w:trPr>
          <w:trHeight w:val="422"/>
        </w:trPr>
        <w:tc>
          <w:tcPr>
            <w:tcW w:w="1531" w:type="dxa"/>
            <w:tcBorders>
              <w:top w:val="nil"/>
              <w:left w:val="nil"/>
              <w:bottom w:val="nil"/>
              <w:right w:val="nil"/>
            </w:tcBorders>
            <w:shd w:val="clear" w:color="auto" w:fill="auto"/>
          </w:tcPr>
          <w:p w14:paraId="503ED861" w14:textId="5B1064F6" w:rsidR="00761918" w:rsidRPr="009D3012" w:rsidRDefault="00046D2A" w:rsidP="00046D2A">
            <w:pPr>
              <w:widowControl w:val="0"/>
              <w:tabs>
                <w:tab w:val="center" w:pos="660"/>
                <w:tab w:val="right" w:pos="1320"/>
              </w:tabs>
              <w:spacing w:after="0" w:line="240" w:lineRule="auto"/>
              <w:ind w:left="31"/>
              <w:jc w:val="left"/>
              <w:rPr>
                <w:rFonts w:eastAsia="Times New Roman" w:cs="Arial"/>
                <w:lang w:val="en-US" w:eastAsia="fr-FR"/>
              </w:rPr>
            </w:pPr>
            <w:r w:rsidRPr="00046D2A">
              <w:rPr>
                <w:position w:val="-14"/>
                <w:lang w:val="en-GB"/>
              </w:rPr>
              <w:object w:dxaOrig="540" w:dyaOrig="380" w14:anchorId="12D8E537">
                <v:shape id="_x0000_i1126" type="#_x0000_t75" style="width:27pt;height:18.75pt" o:ole="">
                  <v:imagedata r:id="rId222" o:title=""/>
                </v:shape>
                <o:OLEObject Type="Embed" ProgID="Equation.DSMT4" ShapeID="_x0000_i1126" DrawAspect="Content" ObjectID="_1692169468" r:id="rId223"/>
              </w:object>
            </w:r>
          </w:p>
        </w:tc>
        <w:tc>
          <w:tcPr>
            <w:tcW w:w="8363" w:type="dxa"/>
            <w:tcBorders>
              <w:top w:val="nil"/>
              <w:left w:val="nil"/>
              <w:bottom w:val="nil"/>
              <w:right w:val="nil"/>
            </w:tcBorders>
            <w:shd w:val="clear" w:color="auto" w:fill="auto"/>
          </w:tcPr>
          <w:p w14:paraId="15FFDC8B" w14:textId="77777777" w:rsidR="00761918" w:rsidRPr="009D3012" w:rsidRDefault="00761918" w:rsidP="0056481D">
            <w:pPr>
              <w:widowControl w:val="0"/>
              <w:spacing w:after="0" w:line="240" w:lineRule="auto"/>
              <w:ind w:left="33" w:hanging="33"/>
              <w:jc w:val="left"/>
              <w:rPr>
                <w:rFonts w:eastAsia="Times New Roman" w:cs="Arial"/>
                <w:lang w:val="en-US" w:eastAsia="fr-FR"/>
              </w:rPr>
            </w:pPr>
            <w:r w:rsidRPr="009D3012">
              <w:rPr>
                <w:rFonts w:eastAsia="Times New Roman" w:cs="Arial"/>
                <w:lang w:val="en-US" w:eastAsia="fr-FR"/>
              </w:rPr>
              <w:t>design value of the shear strength of SFRC</w:t>
            </w:r>
          </w:p>
        </w:tc>
      </w:tr>
      <w:tr w:rsidR="00761918" w:rsidRPr="001455DC" w14:paraId="797B71A9" w14:textId="77777777" w:rsidTr="009D3012">
        <w:trPr>
          <w:trHeight w:val="422"/>
        </w:trPr>
        <w:tc>
          <w:tcPr>
            <w:tcW w:w="1531" w:type="dxa"/>
            <w:tcBorders>
              <w:top w:val="nil"/>
              <w:left w:val="nil"/>
              <w:bottom w:val="nil"/>
              <w:right w:val="nil"/>
            </w:tcBorders>
            <w:shd w:val="clear" w:color="auto" w:fill="auto"/>
          </w:tcPr>
          <w:p w14:paraId="604373E3" w14:textId="1EFE2A27" w:rsidR="00761918" w:rsidRPr="009D3012" w:rsidRDefault="00046D2A" w:rsidP="00046D2A">
            <w:pPr>
              <w:widowControl w:val="0"/>
              <w:tabs>
                <w:tab w:val="center" w:pos="660"/>
                <w:tab w:val="right" w:pos="1320"/>
              </w:tabs>
              <w:spacing w:after="0" w:line="240" w:lineRule="auto"/>
              <w:ind w:left="31"/>
              <w:jc w:val="left"/>
              <w:rPr>
                <w:rFonts w:eastAsia="Times New Roman" w:cs="Arial"/>
                <w:lang w:val="en-US" w:eastAsia="fr-FR"/>
              </w:rPr>
            </w:pPr>
            <w:r w:rsidRPr="00046D2A">
              <w:rPr>
                <w:position w:val="-14"/>
                <w:lang w:val="en-GB"/>
              </w:rPr>
              <w:object w:dxaOrig="520" w:dyaOrig="380" w14:anchorId="7DC4775E">
                <v:shape id="_x0000_i1127" type="#_x0000_t75" style="width:27pt;height:18.75pt" o:ole="">
                  <v:imagedata r:id="rId224" o:title=""/>
                </v:shape>
                <o:OLEObject Type="Embed" ProgID="Equation.DSMT4" ShapeID="_x0000_i1127" DrawAspect="Content" ObjectID="_1692169469" r:id="rId225"/>
              </w:object>
            </w:r>
          </w:p>
        </w:tc>
        <w:tc>
          <w:tcPr>
            <w:tcW w:w="8363" w:type="dxa"/>
            <w:tcBorders>
              <w:top w:val="nil"/>
              <w:left w:val="nil"/>
              <w:bottom w:val="nil"/>
              <w:right w:val="nil"/>
            </w:tcBorders>
            <w:shd w:val="clear" w:color="auto" w:fill="auto"/>
          </w:tcPr>
          <w:p w14:paraId="16C1C5D3" w14:textId="77777777" w:rsidR="00761918" w:rsidRPr="009D3012" w:rsidRDefault="00761918" w:rsidP="0056481D">
            <w:pPr>
              <w:widowControl w:val="0"/>
              <w:spacing w:after="0" w:line="240" w:lineRule="auto"/>
              <w:ind w:left="33" w:hanging="33"/>
              <w:jc w:val="left"/>
              <w:rPr>
                <w:rFonts w:eastAsia="Times New Roman" w:cs="Arial"/>
                <w:lang w:val="en-US" w:eastAsia="fr-FR"/>
              </w:rPr>
            </w:pPr>
            <w:r w:rsidRPr="009D3012">
              <w:rPr>
                <w:rFonts w:eastAsia="Times New Roman" w:cs="Arial"/>
                <w:lang w:val="en-US" w:eastAsia="fr-FR"/>
              </w:rPr>
              <w:t xml:space="preserve">design value of the shear strength of SFRC with shear reinforcement </w:t>
            </w:r>
          </w:p>
        </w:tc>
      </w:tr>
      <w:tr w:rsidR="00761918" w:rsidRPr="001455DC" w14:paraId="4A4C23D4" w14:textId="77777777" w:rsidTr="009D3012">
        <w:trPr>
          <w:trHeight w:val="422"/>
        </w:trPr>
        <w:tc>
          <w:tcPr>
            <w:tcW w:w="1531" w:type="dxa"/>
            <w:tcBorders>
              <w:top w:val="nil"/>
              <w:left w:val="nil"/>
              <w:bottom w:val="nil"/>
              <w:right w:val="nil"/>
            </w:tcBorders>
            <w:shd w:val="clear" w:color="auto" w:fill="auto"/>
          </w:tcPr>
          <w:p w14:paraId="0FC45E21" w14:textId="17A3EC84" w:rsidR="00761918" w:rsidRPr="009D3012" w:rsidRDefault="00046D2A" w:rsidP="00046D2A">
            <w:pPr>
              <w:widowControl w:val="0"/>
              <w:tabs>
                <w:tab w:val="center" w:pos="660"/>
                <w:tab w:val="right" w:pos="1320"/>
              </w:tabs>
              <w:spacing w:after="0" w:line="240" w:lineRule="auto"/>
              <w:ind w:left="31"/>
              <w:jc w:val="left"/>
              <w:rPr>
                <w:rFonts w:eastAsia="Times New Roman" w:cs="Arial"/>
                <w:lang w:val="en-US" w:eastAsia="fr-FR"/>
              </w:rPr>
            </w:pPr>
            <w:r w:rsidRPr="00046D2A">
              <w:rPr>
                <w:position w:val="-14"/>
                <w:lang w:val="en-GB"/>
              </w:rPr>
              <w:object w:dxaOrig="620" w:dyaOrig="400" w14:anchorId="25137467">
                <v:shape id="_x0000_i1128" type="#_x0000_t75" style="width:30.75pt;height:20.25pt" o:ole="">
                  <v:imagedata r:id="rId226" o:title=""/>
                </v:shape>
                <o:OLEObject Type="Embed" ProgID="Equation.DSMT4" ShapeID="_x0000_i1128" DrawAspect="Content" ObjectID="_1692169470" r:id="rId227"/>
              </w:object>
            </w:r>
          </w:p>
        </w:tc>
        <w:tc>
          <w:tcPr>
            <w:tcW w:w="8363" w:type="dxa"/>
            <w:tcBorders>
              <w:top w:val="nil"/>
              <w:left w:val="nil"/>
              <w:bottom w:val="nil"/>
              <w:right w:val="nil"/>
            </w:tcBorders>
            <w:shd w:val="clear" w:color="auto" w:fill="auto"/>
          </w:tcPr>
          <w:p w14:paraId="7B5BC3AB" w14:textId="77777777" w:rsidR="00761918" w:rsidRPr="009D3012" w:rsidRDefault="00761918" w:rsidP="0056481D">
            <w:pPr>
              <w:widowControl w:val="0"/>
              <w:spacing w:after="0" w:line="240" w:lineRule="auto"/>
              <w:ind w:left="33" w:hanging="33"/>
              <w:jc w:val="left"/>
              <w:rPr>
                <w:rFonts w:eastAsia="Times New Roman" w:cs="Arial"/>
                <w:lang w:val="en-US" w:eastAsia="fr-FR"/>
              </w:rPr>
            </w:pPr>
            <w:r w:rsidRPr="009D3012">
              <w:rPr>
                <w:rFonts w:eastAsia="Times New Roman" w:cs="Arial"/>
                <w:lang w:val="en-US" w:eastAsia="fr-FR"/>
              </w:rPr>
              <w:t>design value of the torsional resistance in the transversal direction</w:t>
            </w:r>
          </w:p>
        </w:tc>
      </w:tr>
      <w:bookmarkStart w:id="147" w:name="MTBlankEqn"/>
      <w:tr w:rsidR="00761918" w:rsidRPr="001455DC" w14:paraId="62C1358A" w14:textId="77777777" w:rsidTr="009D3012">
        <w:trPr>
          <w:trHeight w:val="47"/>
        </w:trPr>
        <w:tc>
          <w:tcPr>
            <w:tcW w:w="1531" w:type="dxa"/>
            <w:tcBorders>
              <w:top w:val="nil"/>
              <w:left w:val="nil"/>
              <w:bottom w:val="nil"/>
              <w:right w:val="nil"/>
            </w:tcBorders>
            <w:shd w:val="clear" w:color="auto" w:fill="auto"/>
          </w:tcPr>
          <w:p w14:paraId="66075793" w14:textId="06B54F56" w:rsidR="00761918" w:rsidRPr="009D3012" w:rsidRDefault="00046D2A" w:rsidP="00046D2A">
            <w:pPr>
              <w:widowControl w:val="0"/>
              <w:tabs>
                <w:tab w:val="center" w:pos="660"/>
                <w:tab w:val="right" w:pos="1320"/>
              </w:tabs>
              <w:spacing w:after="0" w:line="240" w:lineRule="auto"/>
              <w:ind w:left="31"/>
              <w:jc w:val="left"/>
              <w:rPr>
                <w:rFonts w:eastAsia="Times New Roman" w:cs="Arial"/>
                <w:lang w:val="en-US" w:eastAsia="fr-FR"/>
              </w:rPr>
            </w:pPr>
            <w:r w:rsidRPr="00046D2A">
              <w:rPr>
                <w:position w:val="-14"/>
                <w:lang w:val="en-GB"/>
              </w:rPr>
              <w:object w:dxaOrig="560" w:dyaOrig="400" w14:anchorId="55CDC6CE">
                <v:shape id="_x0000_i1129" type="#_x0000_t75" style="width:27.75pt;height:20.25pt" o:ole="">
                  <v:imagedata r:id="rId228" o:title=""/>
                </v:shape>
                <o:OLEObject Type="Embed" ProgID="Equation.DSMT4" ShapeID="_x0000_i1129" DrawAspect="Content" ObjectID="_1692169471" r:id="rId229"/>
              </w:object>
            </w:r>
            <w:bookmarkEnd w:id="147"/>
          </w:p>
        </w:tc>
        <w:tc>
          <w:tcPr>
            <w:tcW w:w="8363" w:type="dxa"/>
            <w:tcBorders>
              <w:top w:val="nil"/>
              <w:left w:val="nil"/>
              <w:bottom w:val="nil"/>
              <w:right w:val="nil"/>
            </w:tcBorders>
            <w:shd w:val="clear" w:color="auto" w:fill="auto"/>
          </w:tcPr>
          <w:p w14:paraId="42B7A142" w14:textId="77777777" w:rsidR="00761918" w:rsidRPr="009D3012" w:rsidRDefault="00761918" w:rsidP="0056481D">
            <w:pPr>
              <w:widowControl w:val="0"/>
              <w:spacing w:after="0" w:line="240" w:lineRule="auto"/>
              <w:ind w:left="33" w:hanging="33"/>
              <w:jc w:val="left"/>
              <w:rPr>
                <w:rFonts w:eastAsia="Times New Roman" w:cs="Arial"/>
                <w:lang w:val="en-US" w:eastAsia="fr-FR"/>
              </w:rPr>
            </w:pPr>
            <w:r w:rsidRPr="009D3012">
              <w:rPr>
                <w:rFonts w:eastAsia="Times New Roman" w:cs="Arial"/>
                <w:lang w:val="en-US" w:eastAsia="fr-FR"/>
              </w:rPr>
              <w:t>design value of the torsional resistance in the longitudinal direction</w:t>
            </w:r>
          </w:p>
        </w:tc>
      </w:tr>
    </w:tbl>
    <w:p w14:paraId="4C1D32F4" w14:textId="59777244" w:rsidR="004E22C1" w:rsidRPr="009D3012" w:rsidRDefault="004E22C1" w:rsidP="006D682B">
      <w:pPr>
        <w:pStyle w:val="21"/>
      </w:pPr>
      <w:bookmarkStart w:id="148" w:name="_Toc67565303"/>
      <w:r w:rsidRPr="009D3012">
        <w:t>Abbreviations</w:t>
      </w:r>
      <w:bookmarkEnd w:id="86"/>
      <w:bookmarkEnd w:id="87"/>
      <w:bookmarkEnd w:id="88"/>
      <w:bookmarkEnd w:id="148"/>
    </w:p>
    <w:tbl>
      <w:tblPr>
        <w:tblStyle w:val="a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418"/>
        <w:gridCol w:w="8392"/>
      </w:tblGrid>
      <w:tr w:rsidR="004E22C1" w:rsidRPr="001455DC" w14:paraId="0B3A7F89" w14:textId="77777777" w:rsidTr="00353CE4">
        <w:trPr>
          <w:cantSplit/>
        </w:trPr>
        <w:tc>
          <w:tcPr>
            <w:tcW w:w="1418" w:type="dxa"/>
            <w:shd w:val="clear" w:color="auto" w:fill="auto"/>
          </w:tcPr>
          <w:p w14:paraId="1738A172" w14:textId="77777777" w:rsidR="004E22C1" w:rsidRPr="001455DC" w:rsidRDefault="004E22C1" w:rsidP="000F2592">
            <w:pPr>
              <w:pStyle w:val="Tablebody"/>
            </w:pPr>
            <w:r w:rsidRPr="001455DC">
              <w:t>AVCP</w:t>
            </w:r>
          </w:p>
        </w:tc>
        <w:tc>
          <w:tcPr>
            <w:tcW w:w="8392" w:type="dxa"/>
            <w:shd w:val="clear" w:color="auto" w:fill="auto"/>
          </w:tcPr>
          <w:p w14:paraId="72964DFB" w14:textId="77777777" w:rsidR="004E22C1" w:rsidRPr="001455DC" w:rsidRDefault="004E22C1" w:rsidP="000F2592">
            <w:pPr>
              <w:pStyle w:val="Tablebody"/>
            </w:pPr>
            <w:r w:rsidRPr="001455DC">
              <w:t>Assessment and Verification of Constancy of Performance.</w:t>
            </w:r>
          </w:p>
        </w:tc>
      </w:tr>
      <w:tr w:rsidR="004E22C1" w:rsidRPr="001455DC" w14:paraId="5A09C978" w14:textId="77777777" w:rsidTr="00353CE4">
        <w:trPr>
          <w:cantSplit/>
        </w:trPr>
        <w:tc>
          <w:tcPr>
            <w:tcW w:w="1418" w:type="dxa"/>
            <w:shd w:val="clear" w:color="auto" w:fill="auto"/>
          </w:tcPr>
          <w:p w14:paraId="5E3B6D3B" w14:textId="77777777" w:rsidR="004E22C1" w:rsidRPr="001455DC" w:rsidRDefault="004E22C1" w:rsidP="000F2592">
            <w:pPr>
              <w:pStyle w:val="Tablebody"/>
            </w:pPr>
            <w:r w:rsidRPr="001455DC">
              <w:t>CS, CN, CR</w:t>
            </w:r>
          </w:p>
        </w:tc>
        <w:tc>
          <w:tcPr>
            <w:tcW w:w="8392" w:type="dxa"/>
            <w:shd w:val="clear" w:color="auto" w:fill="auto"/>
          </w:tcPr>
          <w:p w14:paraId="28DA4EB2" w14:textId="77777777" w:rsidR="004E22C1" w:rsidRPr="001455DC" w:rsidRDefault="004E22C1" w:rsidP="000F2592">
            <w:pPr>
              <w:pStyle w:val="Tablebody"/>
            </w:pPr>
            <w:r w:rsidRPr="001455DC">
              <w:t>Classes of Concrete with Slow/Normal/Rapid strength development</w:t>
            </w:r>
          </w:p>
        </w:tc>
      </w:tr>
      <w:tr w:rsidR="004E22C1" w:rsidRPr="001455DC" w14:paraId="513EBE9E" w14:textId="77777777" w:rsidTr="00353CE4">
        <w:trPr>
          <w:cantSplit/>
        </w:trPr>
        <w:tc>
          <w:tcPr>
            <w:tcW w:w="1418" w:type="dxa"/>
            <w:shd w:val="clear" w:color="auto" w:fill="auto"/>
          </w:tcPr>
          <w:p w14:paraId="4482F362" w14:textId="77777777" w:rsidR="004E22C1" w:rsidRPr="001455DC" w:rsidRDefault="004E22C1" w:rsidP="000F2592">
            <w:pPr>
              <w:pStyle w:val="Tablebody"/>
              <w:rPr>
                <w:lang w:eastAsia="de-DE"/>
              </w:rPr>
            </w:pPr>
            <w:r w:rsidRPr="001455DC">
              <w:rPr>
                <w:lang w:eastAsia="de-DE"/>
              </w:rPr>
              <w:t>CFRP</w:t>
            </w:r>
          </w:p>
        </w:tc>
        <w:tc>
          <w:tcPr>
            <w:tcW w:w="8392" w:type="dxa"/>
            <w:shd w:val="clear" w:color="auto" w:fill="auto"/>
          </w:tcPr>
          <w:p w14:paraId="6EBFDAEE" w14:textId="77777777" w:rsidR="004E22C1" w:rsidRPr="001455DC" w:rsidRDefault="004E22C1" w:rsidP="000F2592">
            <w:pPr>
              <w:pStyle w:val="Tablebody"/>
              <w:rPr>
                <w:lang w:eastAsia="de-DE"/>
              </w:rPr>
            </w:pPr>
            <w:r w:rsidRPr="001455DC">
              <w:rPr>
                <w:lang w:eastAsia="de-DE"/>
              </w:rPr>
              <w:t>Carbon Fibre Reinforced Polymer reinforcement adhesively bonded to the concrete surface</w:t>
            </w:r>
          </w:p>
        </w:tc>
      </w:tr>
      <w:tr w:rsidR="004E22C1" w:rsidRPr="001455DC" w14:paraId="12ED8D8C" w14:textId="77777777" w:rsidTr="00353CE4">
        <w:trPr>
          <w:cantSplit/>
        </w:trPr>
        <w:tc>
          <w:tcPr>
            <w:tcW w:w="1418" w:type="dxa"/>
            <w:shd w:val="clear" w:color="auto" w:fill="auto"/>
          </w:tcPr>
          <w:p w14:paraId="6F238B70" w14:textId="77777777" w:rsidR="004E22C1" w:rsidRPr="001455DC" w:rsidRDefault="004E22C1" w:rsidP="000F2592">
            <w:pPr>
              <w:pStyle w:val="Tablebody"/>
              <w:rPr>
                <w:lang w:eastAsia="de-DE"/>
              </w:rPr>
            </w:pPr>
            <w:r w:rsidRPr="001455DC">
              <w:rPr>
                <w:lang w:eastAsia="de-DE"/>
              </w:rPr>
              <w:t>ERC</w:t>
            </w:r>
          </w:p>
        </w:tc>
        <w:tc>
          <w:tcPr>
            <w:tcW w:w="8392" w:type="dxa"/>
            <w:shd w:val="clear" w:color="auto" w:fill="auto"/>
          </w:tcPr>
          <w:p w14:paraId="41A931F0" w14:textId="77777777" w:rsidR="004E22C1" w:rsidRPr="001455DC" w:rsidRDefault="004E22C1" w:rsidP="000F2592">
            <w:pPr>
              <w:pStyle w:val="Tablebody"/>
              <w:rPr>
                <w:lang w:eastAsia="de-DE"/>
              </w:rPr>
            </w:pPr>
            <w:r w:rsidRPr="001455DC">
              <w:rPr>
                <w:lang w:eastAsia="de-DE"/>
              </w:rPr>
              <w:t>Exposure Resistance Class</w:t>
            </w:r>
          </w:p>
        </w:tc>
      </w:tr>
      <w:tr w:rsidR="004E22C1" w:rsidRPr="001455DC" w14:paraId="1676DD22" w14:textId="77777777" w:rsidTr="00353CE4">
        <w:trPr>
          <w:cantSplit/>
        </w:trPr>
        <w:tc>
          <w:tcPr>
            <w:tcW w:w="1418" w:type="dxa"/>
            <w:shd w:val="clear" w:color="auto" w:fill="auto"/>
          </w:tcPr>
          <w:p w14:paraId="3E5BE0AB" w14:textId="77777777" w:rsidR="004E22C1" w:rsidRPr="001455DC" w:rsidRDefault="004E22C1" w:rsidP="000F2592">
            <w:pPr>
              <w:pStyle w:val="Tablebody"/>
              <w:rPr>
                <w:lang w:eastAsia="de-DE"/>
              </w:rPr>
            </w:pPr>
            <w:r w:rsidRPr="001455DC">
              <w:rPr>
                <w:lang w:eastAsia="de-DE"/>
              </w:rPr>
              <w:t>FPC</w:t>
            </w:r>
          </w:p>
        </w:tc>
        <w:tc>
          <w:tcPr>
            <w:tcW w:w="8392" w:type="dxa"/>
            <w:shd w:val="clear" w:color="auto" w:fill="auto"/>
          </w:tcPr>
          <w:p w14:paraId="65C6CB6C" w14:textId="77777777" w:rsidR="004E22C1" w:rsidRPr="001455DC" w:rsidRDefault="004E22C1" w:rsidP="000F2592">
            <w:pPr>
              <w:pStyle w:val="Tablebody"/>
              <w:rPr>
                <w:lang w:eastAsia="de-DE"/>
              </w:rPr>
            </w:pPr>
            <w:r w:rsidRPr="001455DC">
              <w:rPr>
                <w:lang w:eastAsia="de-DE"/>
              </w:rPr>
              <w:t>Factory Production Control</w:t>
            </w:r>
          </w:p>
        </w:tc>
      </w:tr>
      <w:tr w:rsidR="004E22C1" w:rsidRPr="001455DC" w14:paraId="7D3B04F2" w14:textId="77777777" w:rsidTr="00353CE4">
        <w:trPr>
          <w:cantSplit/>
        </w:trPr>
        <w:tc>
          <w:tcPr>
            <w:tcW w:w="1418" w:type="dxa"/>
            <w:shd w:val="clear" w:color="auto" w:fill="auto"/>
          </w:tcPr>
          <w:p w14:paraId="690E0E3B" w14:textId="77777777" w:rsidR="004E22C1" w:rsidRPr="001455DC" w:rsidRDefault="004E22C1" w:rsidP="000F2592">
            <w:pPr>
              <w:pStyle w:val="Tablebody"/>
              <w:rPr>
                <w:bCs/>
                <w:szCs w:val="19"/>
              </w:rPr>
            </w:pPr>
            <w:r w:rsidRPr="001455DC">
              <w:rPr>
                <w:bCs/>
                <w:szCs w:val="19"/>
              </w:rPr>
              <w:t>FRP</w:t>
            </w:r>
          </w:p>
        </w:tc>
        <w:tc>
          <w:tcPr>
            <w:tcW w:w="8392" w:type="dxa"/>
            <w:shd w:val="clear" w:color="auto" w:fill="auto"/>
          </w:tcPr>
          <w:p w14:paraId="5B44E611" w14:textId="77777777" w:rsidR="004E22C1" w:rsidRPr="001455DC" w:rsidRDefault="004E22C1" w:rsidP="000F2592">
            <w:pPr>
              <w:pStyle w:val="Tablebody"/>
              <w:rPr>
                <w:lang w:eastAsia="de-DE"/>
              </w:rPr>
            </w:pPr>
            <w:r w:rsidRPr="001455DC">
              <w:rPr>
                <w:lang w:eastAsia="de-DE"/>
              </w:rPr>
              <w:t>profiled or roughened glass or carbon Fibre Reinforced Polymer reinforcement</w:t>
            </w:r>
          </w:p>
        </w:tc>
      </w:tr>
      <w:tr w:rsidR="004E22C1" w:rsidRPr="001455DC" w14:paraId="0FA1ED82" w14:textId="77777777" w:rsidTr="00353CE4">
        <w:trPr>
          <w:cantSplit/>
        </w:trPr>
        <w:tc>
          <w:tcPr>
            <w:tcW w:w="1418" w:type="dxa"/>
            <w:shd w:val="clear" w:color="auto" w:fill="auto"/>
          </w:tcPr>
          <w:p w14:paraId="5C39B1E5" w14:textId="77777777" w:rsidR="004E22C1" w:rsidRPr="001455DC" w:rsidRDefault="004E22C1" w:rsidP="000F2592">
            <w:pPr>
              <w:pStyle w:val="Tablebody"/>
              <w:rPr>
                <w:bCs/>
                <w:szCs w:val="19"/>
              </w:rPr>
            </w:pPr>
            <w:r w:rsidRPr="001455DC">
              <w:rPr>
                <w:bCs/>
                <w:szCs w:val="19"/>
              </w:rPr>
              <w:t>LWAC</w:t>
            </w:r>
          </w:p>
        </w:tc>
        <w:tc>
          <w:tcPr>
            <w:tcW w:w="8392" w:type="dxa"/>
            <w:shd w:val="clear" w:color="auto" w:fill="auto"/>
          </w:tcPr>
          <w:p w14:paraId="2C6A934E" w14:textId="77777777" w:rsidR="004E22C1" w:rsidRPr="001455DC" w:rsidRDefault="004E22C1" w:rsidP="000F2592">
            <w:pPr>
              <w:pStyle w:val="Tablebody"/>
              <w:rPr>
                <w:lang w:eastAsia="de-DE"/>
              </w:rPr>
            </w:pPr>
            <w:r w:rsidRPr="001455DC">
              <w:rPr>
                <w:lang w:eastAsia="de-DE"/>
              </w:rPr>
              <w:t>Leigthweight Aggregate Concrete</w:t>
            </w:r>
          </w:p>
        </w:tc>
      </w:tr>
      <w:tr w:rsidR="004E22C1" w:rsidRPr="001455DC" w14:paraId="6B3DBF8B" w14:textId="77777777" w:rsidTr="00353CE4">
        <w:trPr>
          <w:cantSplit/>
        </w:trPr>
        <w:tc>
          <w:tcPr>
            <w:tcW w:w="1418" w:type="dxa"/>
            <w:shd w:val="clear" w:color="auto" w:fill="auto"/>
          </w:tcPr>
          <w:p w14:paraId="5221435B" w14:textId="77777777" w:rsidR="004E22C1" w:rsidRPr="001455DC" w:rsidRDefault="004E22C1" w:rsidP="000F2592">
            <w:pPr>
              <w:pStyle w:val="Tablebody"/>
              <w:rPr>
                <w:lang w:eastAsia="de-DE"/>
              </w:rPr>
            </w:pPr>
            <w:r w:rsidRPr="001455DC">
              <w:rPr>
                <w:bCs/>
                <w:szCs w:val="19"/>
              </w:rPr>
              <w:t>PE</w:t>
            </w:r>
          </w:p>
        </w:tc>
        <w:tc>
          <w:tcPr>
            <w:tcW w:w="8392" w:type="dxa"/>
            <w:shd w:val="clear" w:color="auto" w:fill="auto"/>
          </w:tcPr>
          <w:p w14:paraId="6121DD90" w14:textId="77777777" w:rsidR="004E22C1" w:rsidRPr="001455DC" w:rsidRDefault="004E22C1" w:rsidP="000F2592">
            <w:pPr>
              <w:pStyle w:val="Tablebody"/>
              <w:rPr>
                <w:lang w:eastAsia="de-DE"/>
              </w:rPr>
            </w:pPr>
            <w:r w:rsidRPr="001455DC">
              <w:rPr>
                <w:lang w:eastAsia="de-DE"/>
              </w:rPr>
              <w:t>Polyethylene</w:t>
            </w:r>
          </w:p>
        </w:tc>
      </w:tr>
      <w:tr w:rsidR="004E22C1" w:rsidRPr="001455DC" w14:paraId="60061DD0" w14:textId="77777777" w:rsidTr="00353CE4">
        <w:trPr>
          <w:cantSplit/>
        </w:trPr>
        <w:tc>
          <w:tcPr>
            <w:tcW w:w="1418" w:type="dxa"/>
            <w:shd w:val="clear" w:color="auto" w:fill="auto"/>
          </w:tcPr>
          <w:p w14:paraId="3AEA165B" w14:textId="77777777" w:rsidR="004E22C1" w:rsidRPr="001455DC" w:rsidRDefault="004E22C1" w:rsidP="000F2592">
            <w:pPr>
              <w:pStyle w:val="Tablebody"/>
              <w:rPr>
                <w:bCs/>
                <w:szCs w:val="19"/>
              </w:rPr>
            </w:pPr>
            <w:r w:rsidRPr="001455DC">
              <w:rPr>
                <w:bCs/>
                <w:szCs w:val="19"/>
              </w:rPr>
              <w:t>n. a.</w:t>
            </w:r>
          </w:p>
        </w:tc>
        <w:tc>
          <w:tcPr>
            <w:tcW w:w="8392" w:type="dxa"/>
            <w:shd w:val="clear" w:color="auto" w:fill="auto"/>
          </w:tcPr>
          <w:p w14:paraId="41687966" w14:textId="77777777" w:rsidR="004E22C1" w:rsidRPr="001455DC" w:rsidRDefault="004E22C1" w:rsidP="000F2592">
            <w:pPr>
              <w:pStyle w:val="Tablebody"/>
              <w:rPr>
                <w:lang w:eastAsia="de-DE"/>
              </w:rPr>
            </w:pPr>
            <w:r w:rsidRPr="001455DC">
              <w:rPr>
                <w:lang w:eastAsia="de-DE"/>
              </w:rPr>
              <w:t>not applicable</w:t>
            </w:r>
          </w:p>
        </w:tc>
      </w:tr>
      <w:tr w:rsidR="004E22C1" w:rsidRPr="001455DC" w14:paraId="6B425B17" w14:textId="77777777" w:rsidTr="00353CE4">
        <w:trPr>
          <w:cantSplit/>
        </w:trPr>
        <w:tc>
          <w:tcPr>
            <w:tcW w:w="1418" w:type="dxa"/>
            <w:shd w:val="clear" w:color="auto" w:fill="auto"/>
          </w:tcPr>
          <w:p w14:paraId="65B293A5" w14:textId="77777777" w:rsidR="004E22C1" w:rsidRPr="001455DC" w:rsidRDefault="004E22C1" w:rsidP="000F2592">
            <w:pPr>
              <w:pStyle w:val="Tablebody"/>
              <w:rPr>
                <w:lang w:eastAsia="de-DE"/>
              </w:rPr>
            </w:pPr>
            <w:r w:rsidRPr="001455DC">
              <w:rPr>
                <w:lang w:eastAsia="de-DE"/>
              </w:rPr>
              <w:t>SFRC</w:t>
            </w:r>
          </w:p>
        </w:tc>
        <w:tc>
          <w:tcPr>
            <w:tcW w:w="8392" w:type="dxa"/>
            <w:shd w:val="clear" w:color="auto" w:fill="auto"/>
          </w:tcPr>
          <w:p w14:paraId="0ED70E0A" w14:textId="77777777" w:rsidR="004E22C1" w:rsidRPr="001455DC" w:rsidRDefault="004E22C1" w:rsidP="000F2592">
            <w:pPr>
              <w:pStyle w:val="Tablebody"/>
              <w:rPr>
                <w:lang w:eastAsia="de-DE"/>
              </w:rPr>
            </w:pPr>
            <w:r w:rsidRPr="001455DC">
              <w:rPr>
                <w:lang w:eastAsia="de-DE"/>
              </w:rPr>
              <w:t xml:space="preserve">Steel Fibre Reinforced Concrete </w:t>
            </w:r>
          </w:p>
        </w:tc>
      </w:tr>
      <w:tr w:rsidR="004E22C1" w:rsidRPr="001455DC" w14:paraId="613B79A0" w14:textId="77777777" w:rsidTr="00353CE4">
        <w:trPr>
          <w:cantSplit/>
        </w:trPr>
        <w:tc>
          <w:tcPr>
            <w:tcW w:w="1418" w:type="dxa"/>
            <w:shd w:val="clear" w:color="auto" w:fill="auto"/>
          </w:tcPr>
          <w:p w14:paraId="6BAD69CE" w14:textId="77777777" w:rsidR="004E22C1" w:rsidRPr="001455DC" w:rsidRDefault="004E22C1" w:rsidP="000F2592">
            <w:pPr>
              <w:pStyle w:val="Tablebody"/>
              <w:rPr>
                <w:lang w:eastAsia="de-DE"/>
              </w:rPr>
            </w:pPr>
            <w:r w:rsidRPr="001455DC">
              <w:rPr>
                <w:lang w:eastAsia="de-DE"/>
              </w:rPr>
              <w:t>SLS</w:t>
            </w:r>
          </w:p>
        </w:tc>
        <w:tc>
          <w:tcPr>
            <w:tcW w:w="8392" w:type="dxa"/>
            <w:shd w:val="clear" w:color="auto" w:fill="auto"/>
          </w:tcPr>
          <w:p w14:paraId="76C0E5C4" w14:textId="77777777" w:rsidR="004E22C1" w:rsidRPr="001455DC" w:rsidRDefault="004E22C1" w:rsidP="000F2592">
            <w:pPr>
              <w:pStyle w:val="Tablebody"/>
              <w:rPr>
                <w:lang w:eastAsia="de-DE"/>
              </w:rPr>
            </w:pPr>
            <w:r w:rsidRPr="001455DC">
              <w:rPr>
                <w:lang w:eastAsia="de-DE"/>
              </w:rPr>
              <w:t>Serviceability Limit State</w:t>
            </w:r>
          </w:p>
        </w:tc>
      </w:tr>
      <w:tr w:rsidR="004E22C1" w:rsidRPr="001455DC" w14:paraId="2E8779E2" w14:textId="77777777" w:rsidTr="00353CE4">
        <w:trPr>
          <w:cantSplit/>
        </w:trPr>
        <w:tc>
          <w:tcPr>
            <w:tcW w:w="1418" w:type="dxa"/>
            <w:shd w:val="clear" w:color="auto" w:fill="auto"/>
          </w:tcPr>
          <w:p w14:paraId="41B5DED8" w14:textId="77777777" w:rsidR="004E22C1" w:rsidRPr="001455DC" w:rsidRDefault="004E22C1" w:rsidP="000F2592">
            <w:pPr>
              <w:pStyle w:val="Tablebody"/>
              <w:rPr>
                <w:lang w:eastAsia="de-DE"/>
              </w:rPr>
            </w:pPr>
            <w:r w:rsidRPr="001455DC">
              <w:rPr>
                <w:lang w:eastAsia="de-DE"/>
              </w:rPr>
              <w:t>SSRC</w:t>
            </w:r>
          </w:p>
        </w:tc>
        <w:tc>
          <w:tcPr>
            <w:tcW w:w="8392" w:type="dxa"/>
            <w:shd w:val="clear" w:color="auto" w:fill="auto"/>
          </w:tcPr>
          <w:p w14:paraId="7932D7A3" w14:textId="77777777" w:rsidR="004E22C1" w:rsidRPr="001455DC" w:rsidRDefault="004E22C1" w:rsidP="000F2592">
            <w:pPr>
              <w:pStyle w:val="Tablebody"/>
              <w:rPr>
                <w:lang w:eastAsia="de-DE"/>
              </w:rPr>
            </w:pPr>
            <w:r w:rsidRPr="001455DC">
              <w:rPr>
                <w:lang w:eastAsia="de-DE"/>
              </w:rPr>
              <w:t>Stainless Steel Resistance Class</w:t>
            </w:r>
          </w:p>
        </w:tc>
      </w:tr>
      <w:tr w:rsidR="004E22C1" w:rsidRPr="001455DC" w14:paraId="0409203F" w14:textId="77777777" w:rsidTr="00353CE4">
        <w:trPr>
          <w:cantSplit/>
        </w:trPr>
        <w:tc>
          <w:tcPr>
            <w:tcW w:w="1418" w:type="dxa"/>
            <w:shd w:val="clear" w:color="auto" w:fill="auto"/>
          </w:tcPr>
          <w:p w14:paraId="1E5B9BB6" w14:textId="77777777" w:rsidR="004E22C1" w:rsidRPr="001455DC" w:rsidRDefault="004E22C1" w:rsidP="000F2592">
            <w:pPr>
              <w:pStyle w:val="Tablebody"/>
              <w:rPr>
                <w:lang w:eastAsia="de-DE"/>
              </w:rPr>
            </w:pPr>
            <w:r w:rsidRPr="001455DC">
              <w:rPr>
                <w:lang w:eastAsia="de-DE"/>
              </w:rPr>
              <w:t>ULS</w:t>
            </w:r>
          </w:p>
        </w:tc>
        <w:tc>
          <w:tcPr>
            <w:tcW w:w="8392" w:type="dxa"/>
            <w:shd w:val="clear" w:color="auto" w:fill="auto"/>
          </w:tcPr>
          <w:p w14:paraId="3B7148F8" w14:textId="77777777" w:rsidR="004E22C1" w:rsidRPr="001455DC" w:rsidRDefault="004E22C1" w:rsidP="000F2592">
            <w:pPr>
              <w:pStyle w:val="Tablebody"/>
              <w:rPr>
                <w:lang w:eastAsia="de-DE"/>
              </w:rPr>
            </w:pPr>
            <w:r w:rsidRPr="001455DC">
              <w:rPr>
                <w:lang w:eastAsia="de-DE"/>
              </w:rPr>
              <w:t>Ultimate Limit State</w:t>
            </w:r>
          </w:p>
        </w:tc>
      </w:tr>
    </w:tbl>
    <w:p w14:paraId="05DFF796" w14:textId="181D21ED" w:rsidR="004E22C1" w:rsidRPr="009D3012" w:rsidRDefault="004E22C1" w:rsidP="000250B6">
      <w:pPr>
        <w:pStyle w:val="21"/>
        <w:keepLines/>
      </w:pPr>
      <w:bookmarkStart w:id="149" w:name="_Toc52819877"/>
      <w:bookmarkStart w:id="150" w:name="_Toc54337274"/>
      <w:bookmarkStart w:id="151" w:name="_Toc54337935"/>
      <w:bookmarkStart w:id="152" w:name="_Toc67565304"/>
      <w:r w:rsidRPr="009D3012">
        <w:t>Units</w:t>
      </w:r>
      <w:bookmarkEnd w:id="149"/>
      <w:bookmarkEnd w:id="150"/>
      <w:bookmarkEnd w:id="151"/>
      <w:bookmarkEnd w:id="152"/>
    </w:p>
    <w:tbl>
      <w:tblPr>
        <w:tblStyle w:val="ad"/>
        <w:tblW w:w="9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3402"/>
        <w:gridCol w:w="6407"/>
      </w:tblGrid>
      <w:tr w:rsidR="004E22C1" w:rsidRPr="001455DC" w14:paraId="3184C9C1" w14:textId="77777777" w:rsidTr="000F2592">
        <w:tc>
          <w:tcPr>
            <w:tcW w:w="3402" w:type="dxa"/>
          </w:tcPr>
          <w:p w14:paraId="7C29EFB5" w14:textId="77777777" w:rsidR="004E22C1" w:rsidRPr="001455DC" w:rsidRDefault="004E22C1" w:rsidP="000250B6">
            <w:pPr>
              <w:pStyle w:val="Tablebody"/>
              <w:keepNext/>
              <w:keepLines/>
            </w:pPr>
            <w:r w:rsidRPr="001455DC">
              <w:t>Stresses and material strengths</w:t>
            </w:r>
          </w:p>
        </w:tc>
        <w:tc>
          <w:tcPr>
            <w:tcW w:w="6407" w:type="dxa"/>
          </w:tcPr>
          <w:p w14:paraId="6FDDF820" w14:textId="77777777" w:rsidR="004E22C1" w:rsidRPr="001455DC" w:rsidRDefault="004E22C1" w:rsidP="000250B6">
            <w:pPr>
              <w:pStyle w:val="Tablebody"/>
              <w:keepNext/>
              <w:keepLines/>
            </w:pPr>
            <w:r w:rsidRPr="001455DC">
              <w:t>For unit dependent, MPa shall be used.</w:t>
            </w:r>
          </w:p>
        </w:tc>
      </w:tr>
      <w:tr w:rsidR="004E22C1" w:rsidRPr="001455DC" w14:paraId="4A08B212" w14:textId="77777777" w:rsidTr="000F2592">
        <w:tc>
          <w:tcPr>
            <w:tcW w:w="3402" w:type="dxa"/>
          </w:tcPr>
          <w:p w14:paraId="4E3CBAC4" w14:textId="77777777" w:rsidR="004E22C1" w:rsidRPr="001455DC" w:rsidRDefault="004E22C1" w:rsidP="000F2592">
            <w:pPr>
              <w:pStyle w:val="Tablebody"/>
            </w:pPr>
            <w:r w:rsidRPr="001455DC">
              <w:t>E-Modulus</w:t>
            </w:r>
          </w:p>
        </w:tc>
        <w:tc>
          <w:tcPr>
            <w:tcW w:w="6407" w:type="dxa"/>
          </w:tcPr>
          <w:p w14:paraId="0AD5E040" w14:textId="77777777" w:rsidR="004E22C1" w:rsidRPr="001455DC" w:rsidRDefault="004E22C1" w:rsidP="000F2592">
            <w:pPr>
              <w:pStyle w:val="Tablebody"/>
            </w:pPr>
            <w:r w:rsidRPr="001455DC">
              <w:t>For unit dependent, MPa shall be used.</w:t>
            </w:r>
          </w:p>
        </w:tc>
      </w:tr>
      <w:tr w:rsidR="004E22C1" w:rsidRPr="001455DC" w14:paraId="403E951B" w14:textId="77777777" w:rsidTr="000F2592">
        <w:tc>
          <w:tcPr>
            <w:tcW w:w="3402" w:type="dxa"/>
          </w:tcPr>
          <w:p w14:paraId="4AA42691" w14:textId="77777777" w:rsidR="004E22C1" w:rsidRPr="001455DC" w:rsidRDefault="004E22C1" w:rsidP="000F2592">
            <w:pPr>
              <w:pStyle w:val="Tablebody"/>
            </w:pPr>
            <w:r w:rsidRPr="001455DC">
              <w:t>Geometric data</w:t>
            </w:r>
          </w:p>
        </w:tc>
        <w:tc>
          <w:tcPr>
            <w:tcW w:w="6407" w:type="dxa"/>
          </w:tcPr>
          <w:p w14:paraId="16687433" w14:textId="77777777" w:rsidR="004E22C1" w:rsidRPr="001455DC" w:rsidRDefault="004E22C1" w:rsidP="000F2592">
            <w:pPr>
              <w:pStyle w:val="Tablebody"/>
            </w:pPr>
            <w:r w:rsidRPr="001455DC">
              <w:t>For unit dependent, mm shall be used.</w:t>
            </w:r>
          </w:p>
        </w:tc>
      </w:tr>
      <w:tr w:rsidR="004E22C1" w:rsidRPr="001455DC" w14:paraId="79F6638B" w14:textId="77777777" w:rsidTr="000F2592">
        <w:tc>
          <w:tcPr>
            <w:tcW w:w="3402" w:type="dxa"/>
          </w:tcPr>
          <w:p w14:paraId="3BEAF8B6" w14:textId="77777777" w:rsidR="004E22C1" w:rsidRPr="001455DC" w:rsidRDefault="004E22C1" w:rsidP="000F2592">
            <w:pPr>
              <w:pStyle w:val="Tablebody"/>
            </w:pPr>
            <w:r w:rsidRPr="001455DC">
              <w:t>Relative humidity</w:t>
            </w:r>
          </w:p>
        </w:tc>
        <w:tc>
          <w:tcPr>
            <w:tcW w:w="6407" w:type="dxa"/>
          </w:tcPr>
          <w:p w14:paraId="40543808" w14:textId="77777777" w:rsidR="004E22C1" w:rsidRPr="001455DC" w:rsidRDefault="004E22C1" w:rsidP="000F2592">
            <w:pPr>
              <w:pStyle w:val="Tablebody"/>
            </w:pPr>
            <w:r w:rsidRPr="001455DC">
              <w:t>%</w:t>
            </w:r>
          </w:p>
        </w:tc>
      </w:tr>
      <w:tr w:rsidR="004E22C1" w:rsidRPr="001455DC" w14:paraId="7F6027E6" w14:textId="77777777" w:rsidTr="000F2592">
        <w:tc>
          <w:tcPr>
            <w:tcW w:w="3402" w:type="dxa"/>
          </w:tcPr>
          <w:p w14:paraId="7C55C720" w14:textId="77777777" w:rsidR="004E22C1" w:rsidRPr="001455DC" w:rsidRDefault="004E22C1" w:rsidP="000F2592">
            <w:pPr>
              <w:pStyle w:val="Tablebody"/>
            </w:pPr>
            <w:r w:rsidRPr="001455DC">
              <w:t>Time</w:t>
            </w:r>
          </w:p>
        </w:tc>
        <w:tc>
          <w:tcPr>
            <w:tcW w:w="6407" w:type="dxa"/>
          </w:tcPr>
          <w:p w14:paraId="01C50BBE" w14:textId="77777777" w:rsidR="004E22C1" w:rsidRPr="001455DC" w:rsidRDefault="004E22C1" w:rsidP="000F2592">
            <w:pPr>
              <w:pStyle w:val="Tablebody"/>
            </w:pPr>
            <w:r w:rsidRPr="001455DC">
              <w:t>Days, unless otherwise stated</w:t>
            </w:r>
          </w:p>
        </w:tc>
      </w:tr>
      <w:tr w:rsidR="004E22C1" w:rsidRPr="001455DC" w14:paraId="34B06389" w14:textId="77777777" w:rsidTr="000F2592">
        <w:tc>
          <w:tcPr>
            <w:tcW w:w="3402" w:type="dxa"/>
          </w:tcPr>
          <w:p w14:paraId="26E7A562" w14:textId="77777777" w:rsidR="004E22C1" w:rsidRPr="001455DC" w:rsidRDefault="004E22C1" w:rsidP="000F2592">
            <w:pPr>
              <w:pStyle w:val="Tablebody"/>
            </w:pPr>
            <w:r w:rsidRPr="001455DC">
              <w:t>Temperature</w:t>
            </w:r>
          </w:p>
        </w:tc>
        <w:tc>
          <w:tcPr>
            <w:tcW w:w="6407" w:type="dxa"/>
          </w:tcPr>
          <w:p w14:paraId="1FC070B4" w14:textId="77777777" w:rsidR="004E22C1" w:rsidRPr="001455DC" w:rsidRDefault="004E22C1" w:rsidP="000F2592">
            <w:pPr>
              <w:pStyle w:val="Tablebody"/>
            </w:pPr>
            <w:r w:rsidRPr="001455DC">
              <w:t>°C, K</w:t>
            </w:r>
          </w:p>
        </w:tc>
      </w:tr>
      <w:tr w:rsidR="004E22C1" w:rsidRPr="001455DC" w14:paraId="3EAE5E22" w14:textId="77777777" w:rsidTr="000F2592">
        <w:tc>
          <w:tcPr>
            <w:tcW w:w="3402" w:type="dxa"/>
          </w:tcPr>
          <w:p w14:paraId="6DE756CF" w14:textId="77777777" w:rsidR="004E22C1" w:rsidRPr="001455DC" w:rsidRDefault="004E22C1" w:rsidP="000F2592">
            <w:pPr>
              <w:pStyle w:val="Tablebody"/>
            </w:pPr>
            <w:r w:rsidRPr="001455DC">
              <w:t>Angle</w:t>
            </w:r>
          </w:p>
        </w:tc>
        <w:tc>
          <w:tcPr>
            <w:tcW w:w="6407" w:type="dxa"/>
          </w:tcPr>
          <w:p w14:paraId="5EFA2D72" w14:textId="77DF10F7" w:rsidR="004E22C1" w:rsidRPr="001455DC" w:rsidRDefault="004E22C1" w:rsidP="000F2592">
            <w:pPr>
              <w:pStyle w:val="Tablebody"/>
            </w:pPr>
            <w:r w:rsidRPr="001455DC">
              <w:t>Degrees</w:t>
            </w:r>
          </w:p>
        </w:tc>
      </w:tr>
    </w:tbl>
    <w:p w14:paraId="2DD30CFC" w14:textId="30AB2D62" w:rsidR="004E22C1" w:rsidRPr="009D3012" w:rsidRDefault="004E22C1" w:rsidP="006D682B">
      <w:pPr>
        <w:pStyle w:val="21"/>
      </w:pPr>
      <w:bookmarkStart w:id="153" w:name="_Toc52819878"/>
      <w:bookmarkStart w:id="154" w:name="_Toc54337275"/>
      <w:bookmarkStart w:id="155" w:name="_Toc54337936"/>
      <w:bookmarkStart w:id="156" w:name="_Toc67565305"/>
      <w:r w:rsidRPr="009D3012">
        <w:t>Sign conventions</w:t>
      </w:r>
      <w:bookmarkEnd w:id="153"/>
      <w:bookmarkEnd w:id="154"/>
      <w:bookmarkEnd w:id="155"/>
      <w:bookmarkEnd w:id="156"/>
    </w:p>
    <w:p w14:paraId="14A5E815" w14:textId="663FCB11" w:rsidR="004E22C1" w:rsidRPr="001455DC" w:rsidRDefault="00331B1A" w:rsidP="009D3012">
      <w:pPr>
        <w:pStyle w:val="a7"/>
      </w:pPr>
      <w:r w:rsidRPr="001455DC">
        <w:t>(1)</w:t>
      </w:r>
      <w:r w:rsidR="0079170B" w:rsidRPr="001455DC">
        <w:tab/>
      </w:r>
      <w:r w:rsidR="004E22C1" w:rsidRPr="001455DC">
        <w:t>In general, forces, stresses and strains which result in an elongation of material have a positive and those which result in shortening have a negative sign. When compressive or tensile forces are indicated in a figure by a vector they have a positive sign when they are acting in the direction described by the vector.</w:t>
      </w:r>
    </w:p>
    <w:p w14:paraId="3BC51A83" w14:textId="6067B299" w:rsidR="004E22C1" w:rsidRPr="001455DC" w:rsidRDefault="0079170B" w:rsidP="009D3012">
      <w:pPr>
        <w:pStyle w:val="a7"/>
      </w:pPr>
      <w:r w:rsidRPr="001455DC">
        <w:t>(2)</w:t>
      </w:r>
      <w:r w:rsidRPr="001455DC">
        <w:tab/>
      </w:r>
      <w:r w:rsidR="004E22C1" w:rsidRPr="001455DC">
        <w:t>All tensile and compressive material strengths have to be used with a positive sign.</w:t>
      </w:r>
    </w:p>
    <w:p w14:paraId="1396E5DD" w14:textId="1368F607" w:rsidR="004E22C1" w:rsidRPr="001455DC" w:rsidRDefault="000F2592" w:rsidP="0067270F">
      <w:pPr>
        <w:pStyle w:val="1"/>
      </w:pPr>
      <w:bookmarkStart w:id="157" w:name="_Toc52819879"/>
      <w:bookmarkStart w:id="158" w:name="_Toc54337121"/>
      <w:bookmarkStart w:id="159" w:name="_Toc54337276"/>
      <w:bookmarkStart w:id="160" w:name="_Toc54337937"/>
      <w:bookmarkStart w:id="161" w:name="_Toc67565306"/>
      <w:r w:rsidRPr="001455DC">
        <w:t xml:space="preserve">Basis of </w:t>
      </w:r>
      <w:r w:rsidR="00055233" w:rsidRPr="001455DC">
        <w:t>d</w:t>
      </w:r>
      <w:r w:rsidRPr="001455DC">
        <w:t>esign</w:t>
      </w:r>
      <w:bookmarkEnd w:id="157"/>
      <w:bookmarkEnd w:id="158"/>
      <w:bookmarkEnd w:id="159"/>
      <w:bookmarkEnd w:id="160"/>
      <w:bookmarkEnd w:id="161"/>
    </w:p>
    <w:p w14:paraId="1EFD13B2" w14:textId="75095CCF" w:rsidR="004E22C1" w:rsidRPr="001455DC" w:rsidRDefault="004E22C1" w:rsidP="006D682B">
      <w:pPr>
        <w:pStyle w:val="21"/>
      </w:pPr>
      <w:bookmarkStart w:id="162" w:name="_Toc52819880"/>
      <w:bookmarkStart w:id="163" w:name="_Toc54337277"/>
      <w:bookmarkStart w:id="164" w:name="_Toc54337938"/>
      <w:bookmarkStart w:id="165" w:name="_Toc67565307"/>
      <w:r w:rsidRPr="001455DC">
        <w:t>General rules</w:t>
      </w:r>
      <w:bookmarkEnd w:id="162"/>
      <w:bookmarkEnd w:id="163"/>
      <w:bookmarkEnd w:id="164"/>
      <w:bookmarkEnd w:id="165"/>
    </w:p>
    <w:p w14:paraId="6DE96748" w14:textId="033A657E" w:rsidR="004E22C1" w:rsidRPr="001455DC" w:rsidRDefault="004E22C1" w:rsidP="00243590">
      <w:pPr>
        <w:pStyle w:val="31"/>
      </w:pPr>
      <w:bookmarkStart w:id="166" w:name="_Toc52819881"/>
      <w:bookmarkStart w:id="167" w:name="_Toc54337278"/>
      <w:bookmarkStart w:id="168" w:name="_Toc54337939"/>
      <w:bookmarkStart w:id="169" w:name="_Toc67565308"/>
      <w:r w:rsidRPr="001455DC">
        <w:t>Basic requirements</w:t>
      </w:r>
      <w:bookmarkEnd w:id="166"/>
      <w:bookmarkEnd w:id="167"/>
      <w:bookmarkEnd w:id="168"/>
      <w:bookmarkEnd w:id="169"/>
    </w:p>
    <w:p w14:paraId="2E2C2A45" w14:textId="3085A4A4" w:rsidR="004E22C1" w:rsidRPr="001455DC" w:rsidRDefault="004E22C1" w:rsidP="000F2592">
      <w:pPr>
        <w:pStyle w:val="a7"/>
      </w:pPr>
      <w:r w:rsidRPr="001455DC">
        <w:t>(1)</w:t>
      </w:r>
      <w:r w:rsidRPr="001455DC">
        <w:tab/>
        <w:t xml:space="preserve">The basis of design for concrete structures shall be in accordance with the general rules given in </w:t>
      </w:r>
      <w:r w:rsidR="00A52A59">
        <w:t>pr</w:t>
      </w:r>
      <w:r w:rsidRPr="001455DC">
        <w:t>EN 1990, supplemented by the provisions for basis of design for concrete structures given in this document.</w:t>
      </w:r>
    </w:p>
    <w:p w14:paraId="6F5E6F4E" w14:textId="2EAC7264" w:rsidR="004E22C1" w:rsidRPr="001455DC" w:rsidRDefault="004E22C1" w:rsidP="000457C9">
      <w:pPr>
        <w:pStyle w:val="a7"/>
        <w:keepNext/>
      </w:pPr>
      <w:r w:rsidRPr="001455DC">
        <w:t>(2)</w:t>
      </w:r>
      <w:r w:rsidRPr="001455DC">
        <w:tab/>
        <w:t xml:space="preserve">The basic requirements of </w:t>
      </w:r>
      <w:r w:rsidR="0067270F">
        <w:t>prEN 1990:2021</w:t>
      </w:r>
      <w:r w:rsidRPr="001455DC">
        <w:t xml:space="preserve">, </w:t>
      </w:r>
      <w:r w:rsidR="001710FF" w:rsidRPr="001455DC">
        <w:t>Clause </w:t>
      </w:r>
      <w:r w:rsidRPr="001455DC">
        <w:t>4 are deemed to be satisfied for concrete structures when the following are applied together:</w:t>
      </w:r>
    </w:p>
    <w:p w14:paraId="14E1062A" w14:textId="0D2D3385" w:rsidR="004E22C1" w:rsidRPr="001455DC" w:rsidRDefault="004E22C1" w:rsidP="00353CE4">
      <w:pPr>
        <w:pStyle w:val="a0"/>
      </w:pPr>
      <w:r w:rsidRPr="001455DC">
        <w:t xml:space="preserve">limit state design in conjunction with the partial factor method in accordance with </w:t>
      </w:r>
      <w:r w:rsidR="0067270F">
        <w:t>pr</w:t>
      </w:r>
      <w:r w:rsidRPr="001455DC">
        <w:t>EN 1990,</w:t>
      </w:r>
    </w:p>
    <w:p w14:paraId="17B6326E" w14:textId="7CE872C0" w:rsidR="004E22C1" w:rsidRPr="001455DC" w:rsidRDefault="004E22C1" w:rsidP="00353CE4">
      <w:pPr>
        <w:pStyle w:val="a0"/>
      </w:pPr>
      <w:r w:rsidRPr="001455DC">
        <w:t xml:space="preserve">actions in accordance with </w:t>
      </w:r>
      <w:r w:rsidR="00AB5E7A">
        <w:t>pr</w:t>
      </w:r>
      <w:r w:rsidRPr="001455DC">
        <w:t xml:space="preserve">EN 1991 </w:t>
      </w:r>
      <w:r w:rsidR="00FB4B2D" w:rsidRPr="001455DC">
        <w:t xml:space="preserve">(all parts) </w:t>
      </w:r>
      <w:r w:rsidRPr="001455DC">
        <w:t xml:space="preserve">and </w:t>
      </w:r>
      <w:r w:rsidR="00AB5E7A">
        <w:t>pr</w:t>
      </w:r>
      <w:r w:rsidRPr="001455DC">
        <w:t>EN 1997</w:t>
      </w:r>
      <w:r w:rsidR="00FB4B2D" w:rsidRPr="001455DC">
        <w:t xml:space="preserve"> (all parts)</w:t>
      </w:r>
      <w:r w:rsidRPr="001455DC">
        <w:t>,</w:t>
      </w:r>
    </w:p>
    <w:p w14:paraId="43B97024" w14:textId="277ABA89" w:rsidR="004E22C1" w:rsidRPr="001455DC" w:rsidRDefault="004E22C1" w:rsidP="00353CE4">
      <w:pPr>
        <w:pStyle w:val="a0"/>
      </w:pPr>
      <w:r w:rsidRPr="001455DC">
        <w:t>combinatio</w:t>
      </w:r>
      <w:r w:rsidR="0067270F">
        <w:t>n of actions in accordance with pr</w:t>
      </w:r>
      <w:r w:rsidRPr="001455DC">
        <w:t>EN 1990 and</w:t>
      </w:r>
    </w:p>
    <w:p w14:paraId="3C0FE82D" w14:textId="22AF25B4" w:rsidR="004E22C1" w:rsidRPr="001455DC" w:rsidRDefault="004E22C1" w:rsidP="00353CE4">
      <w:pPr>
        <w:pStyle w:val="a0"/>
      </w:pPr>
      <w:r w:rsidRPr="001455DC">
        <w:t>resistances, robustness, durability and serviceability in accordance with all relevant parts of EN 1992 (including fire design).</w:t>
      </w:r>
    </w:p>
    <w:p w14:paraId="494ACAAF" w14:textId="34463565" w:rsidR="004E22C1" w:rsidRPr="001455DC" w:rsidRDefault="004E22C1" w:rsidP="00243590">
      <w:pPr>
        <w:pStyle w:val="31"/>
      </w:pPr>
      <w:bookmarkStart w:id="170" w:name="_Toc52819882"/>
      <w:bookmarkStart w:id="171" w:name="_Toc54337279"/>
      <w:bookmarkStart w:id="172" w:name="_Toc54337940"/>
      <w:bookmarkStart w:id="173" w:name="_Toc67565309"/>
      <w:r w:rsidRPr="001455DC">
        <w:t>Structural reliability and quality management</w:t>
      </w:r>
      <w:bookmarkEnd w:id="170"/>
      <w:bookmarkEnd w:id="171"/>
      <w:bookmarkEnd w:id="172"/>
      <w:bookmarkEnd w:id="173"/>
    </w:p>
    <w:p w14:paraId="554E683A" w14:textId="59A7FBCE" w:rsidR="004E22C1" w:rsidRPr="001455DC" w:rsidRDefault="004E22C1" w:rsidP="000F2592">
      <w:pPr>
        <w:pStyle w:val="a7"/>
      </w:pPr>
      <w:r w:rsidRPr="001455DC">
        <w:t>(1)</w:t>
      </w:r>
      <w:r w:rsidRPr="001455DC">
        <w:tab/>
        <w:t xml:space="preserve">The rules for structural reliability </w:t>
      </w:r>
      <w:r w:rsidR="0067270F">
        <w:t>and quality management given in pr</w:t>
      </w:r>
      <w:r w:rsidRPr="001455DC">
        <w:t>EN 1990 shall be followed.</w:t>
      </w:r>
    </w:p>
    <w:p w14:paraId="3C014BF1" w14:textId="047B36B7" w:rsidR="004E22C1" w:rsidRPr="001455DC" w:rsidRDefault="004E22C1" w:rsidP="00243590">
      <w:pPr>
        <w:pStyle w:val="31"/>
      </w:pPr>
      <w:bookmarkStart w:id="174" w:name="_Toc52819883"/>
      <w:bookmarkStart w:id="175" w:name="_Toc54337280"/>
      <w:bookmarkStart w:id="176" w:name="_Toc54337941"/>
      <w:bookmarkStart w:id="177" w:name="_Toc67565310"/>
      <w:r w:rsidRPr="001455DC">
        <w:t>Design service life</w:t>
      </w:r>
      <w:bookmarkEnd w:id="174"/>
      <w:bookmarkEnd w:id="175"/>
      <w:bookmarkEnd w:id="176"/>
      <w:bookmarkEnd w:id="177"/>
    </w:p>
    <w:p w14:paraId="18CB3259" w14:textId="77777777" w:rsidR="004E22C1" w:rsidRPr="001455DC" w:rsidRDefault="004E22C1" w:rsidP="000F2592">
      <w:pPr>
        <w:pStyle w:val="a7"/>
      </w:pPr>
      <w:r w:rsidRPr="001455DC">
        <w:t>(1)</w:t>
      </w:r>
      <w:r w:rsidRPr="001455DC">
        <w:tab/>
        <w:t>The design service life of structures or members of structures shall be specified.</w:t>
      </w:r>
    </w:p>
    <w:p w14:paraId="465732FC" w14:textId="23901B54" w:rsidR="004E22C1" w:rsidRPr="001455DC" w:rsidRDefault="004E22C1" w:rsidP="000F2592">
      <w:pPr>
        <w:pStyle w:val="Note"/>
      </w:pPr>
      <w:r w:rsidRPr="001455DC">
        <w:t>NOTE</w:t>
      </w:r>
      <w:r w:rsidRPr="001455DC">
        <w:tab/>
        <w:t>For va</w:t>
      </w:r>
      <w:r w:rsidR="0067270F">
        <w:t>lues of design service life, see pr</w:t>
      </w:r>
      <w:r w:rsidRPr="001455DC">
        <w:t>EN 1990.</w:t>
      </w:r>
    </w:p>
    <w:p w14:paraId="1A4BBF4C" w14:textId="77777777" w:rsidR="004E22C1" w:rsidRPr="001455DC" w:rsidRDefault="004E22C1" w:rsidP="000F2592">
      <w:pPr>
        <w:pStyle w:val="a7"/>
      </w:pPr>
      <w:r w:rsidRPr="001455DC">
        <w:t>(2)</w:t>
      </w:r>
      <w:r w:rsidRPr="001455DC">
        <w:tab/>
        <w:t>Structures or members of structures shall be designed consistently with respect to all time-dependent effects including durability, serviceability and fatigue.</w:t>
      </w:r>
    </w:p>
    <w:p w14:paraId="66F6809A" w14:textId="03532AE8" w:rsidR="004E22C1" w:rsidRPr="001455DC" w:rsidRDefault="004E22C1" w:rsidP="006D682B">
      <w:pPr>
        <w:pStyle w:val="21"/>
      </w:pPr>
      <w:bookmarkStart w:id="178" w:name="_Toc52819884"/>
      <w:bookmarkStart w:id="179" w:name="_Toc54337281"/>
      <w:bookmarkStart w:id="180" w:name="_Toc54337942"/>
      <w:bookmarkStart w:id="181" w:name="_Toc67565311"/>
      <w:r w:rsidRPr="001455DC">
        <w:t>Basic variables</w:t>
      </w:r>
      <w:bookmarkEnd w:id="178"/>
      <w:bookmarkEnd w:id="179"/>
      <w:bookmarkEnd w:id="180"/>
      <w:bookmarkEnd w:id="181"/>
    </w:p>
    <w:p w14:paraId="19B0846A" w14:textId="28A1A707" w:rsidR="004E22C1" w:rsidRPr="001455DC" w:rsidRDefault="004E22C1" w:rsidP="00243590">
      <w:pPr>
        <w:pStyle w:val="31"/>
      </w:pPr>
      <w:bookmarkStart w:id="182" w:name="_Toc52819885"/>
      <w:bookmarkStart w:id="183" w:name="_Toc54337282"/>
      <w:bookmarkStart w:id="184" w:name="_Toc54337943"/>
      <w:bookmarkStart w:id="185" w:name="_Toc67565312"/>
      <w:r w:rsidRPr="001455DC">
        <w:t>Actions and time-dependent effects</w:t>
      </w:r>
      <w:bookmarkEnd w:id="182"/>
      <w:bookmarkEnd w:id="183"/>
      <w:bookmarkEnd w:id="184"/>
      <w:bookmarkEnd w:id="185"/>
    </w:p>
    <w:p w14:paraId="23D4A2A3" w14:textId="5C91797B" w:rsidR="004E22C1" w:rsidRPr="001455DC" w:rsidRDefault="004E22C1" w:rsidP="00243590">
      <w:pPr>
        <w:pStyle w:val="41"/>
      </w:pPr>
      <w:bookmarkStart w:id="186" w:name="_Toc52819886"/>
      <w:bookmarkStart w:id="187" w:name="_Toc54337944"/>
      <w:r w:rsidRPr="001455DC">
        <w:t>General</w:t>
      </w:r>
      <w:bookmarkEnd w:id="186"/>
      <w:bookmarkEnd w:id="187"/>
    </w:p>
    <w:p w14:paraId="2F700FAC" w14:textId="1EB9084C" w:rsidR="004E22C1" w:rsidRPr="001455DC" w:rsidRDefault="004E22C1" w:rsidP="000F2592">
      <w:pPr>
        <w:pStyle w:val="a7"/>
      </w:pPr>
      <w:r w:rsidRPr="001455DC">
        <w:t>(1)</w:t>
      </w:r>
      <w:r w:rsidRPr="001455DC">
        <w:tab/>
        <w:t xml:space="preserve">Actions to be used in design shall be obtained from the relevant parts of </w:t>
      </w:r>
      <w:r w:rsidR="00AB5E7A">
        <w:t>pr</w:t>
      </w:r>
      <w:r w:rsidRPr="001455DC">
        <w:t xml:space="preserve">EN 1991 </w:t>
      </w:r>
      <w:r w:rsidR="00F9708F" w:rsidRPr="001455DC">
        <w:t xml:space="preserve">(all parts) </w:t>
      </w:r>
      <w:r w:rsidRPr="001455DC">
        <w:t xml:space="preserve">or </w:t>
      </w:r>
      <w:r w:rsidR="00AB5E7A">
        <w:t>pr</w:t>
      </w:r>
      <w:r w:rsidRPr="001455DC">
        <w:t>EN 1997</w:t>
      </w:r>
      <w:r w:rsidR="00F9708F" w:rsidRPr="001455DC">
        <w:t xml:space="preserve"> (all parts)</w:t>
      </w:r>
      <w:r w:rsidRPr="001455DC">
        <w:t xml:space="preserve">. Where relevant, other actions not covered by </w:t>
      </w:r>
      <w:r w:rsidR="00AB5E7A">
        <w:t>pr</w:t>
      </w:r>
      <w:r w:rsidRPr="001455DC">
        <w:t>EN 1991</w:t>
      </w:r>
      <w:r w:rsidR="00F9708F" w:rsidRPr="001455DC">
        <w:t xml:space="preserve"> (all parts)</w:t>
      </w:r>
      <w:r w:rsidRPr="001455DC">
        <w:t xml:space="preserve"> or </w:t>
      </w:r>
      <w:r w:rsidR="00AB5E7A">
        <w:t>pr</w:t>
      </w:r>
      <w:r w:rsidRPr="001455DC">
        <w:t xml:space="preserve">EN 1997 </w:t>
      </w:r>
      <w:r w:rsidR="00F9708F" w:rsidRPr="001455DC">
        <w:t xml:space="preserve">(all parts) </w:t>
      </w:r>
      <w:r w:rsidR="0067270F">
        <w:t>shall be in accordance with pr</w:t>
      </w:r>
      <w:r w:rsidRPr="001455DC">
        <w:t>EN 1990 and as specified by the relevant authority or agreed for a specific project by the relevant parties.</w:t>
      </w:r>
    </w:p>
    <w:p w14:paraId="791605C2" w14:textId="0CADCE44" w:rsidR="004E22C1" w:rsidRPr="001455DC" w:rsidRDefault="004E22C1" w:rsidP="000F2592">
      <w:pPr>
        <w:pStyle w:val="Note"/>
      </w:pPr>
      <w:r w:rsidRPr="001455DC">
        <w:t>NOTE</w:t>
      </w:r>
      <w:r w:rsidRPr="001455DC">
        <w:tab/>
        <w:t xml:space="preserve">Actions specific to this Eurocode (such as prestress, creep and shrinkage) are given in the relevant </w:t>
      </w:r>
      <w:r w:rsidR="00EE7E42" w:rsidRPr="001455DC">
        <w:t>Clauses</w:t>
      </w:r>
      <w:r w:rsidRPr="001455DC">
        <w:t>.</w:t>
      </w:r>
    </w:p>
    <w:p w14:paraId="5CE7E03B" w14:textId="53EE4E88" w:rsidR="004E22C1" w:rsidRPr="001455DC" w:rsidRDefault="004E22C1" w:rsidP="00243590">
      <w:pPr>
        <w:pStyle w:val="41"/>
      </w:pPr>
      <w:bookmarkStart w:id="188" w:name="_Toc52819887"/>
      <w:bookmarkStart w:id="189" w:name="_Toc54337945"/>
      <w:r w:rsidRPr="001455DC">
        <w:t>Time-dependent effects</w:t>
      </w:r>
      <w:bookmarkEnd w:id="188"/>
      <w:bookmarkEnd w:id="189"/>
    </w:p>
    <w:p w14:paraId="469221E8" w14:textId="2CF641A6" w:rsidR="004E22C1" w:rsidRPr="001455DC" w:rsidRDefault="004E22C1" w:rsidP="000F2592">
      <w:pPr>
        <w:pStyle w:val="a7"/>
      </w:pPr>
      <w:r w:rsidRPr="001455DC">
        <w:t>(1)</w:t>
      </w:r>
      <w:r w:rsidRPr="001455DC">
        <w:tab/>
        <w:t>Time dependent effects, including relaxation of prestress, shrinkage and creep, should be accounted for in design, where relevant.</w:t>
      </w:r>
    </w:p>
    <w:p w14:paraId="6F2B9F63" w14:textId="77777777" w:rsidR="004E22C1" w:rsidRPr="001455DC" w:rsidRDefault="004E22C1" w:rsidP="000F2592">
      <w:pPr>
        <w:pStyle w:val="a7"/>
      </w:pPr>
      <w:r w:rsidRPr="001455DC">
        <w:t>(2)</w:t>
      </w:r>
      <w:r w:rsidRPr="001455DC">
        <w:tab/>
        <w:t>Where creep is taken into account its design effects should be evaluated under the quasi-permanent combination of actions, and applied in all relevant combinations of actions.</w:t>
      </w:r>
    </w:p>
    <w:p w14:paraId="778E9E8F" w14:textId="392D9CB8" w:rsidR="004E22C1" w:rsidRPr="001455DC" w:rsidRDefault="004E22C1" w:rsidP="00243590">
      <w:pPr>
        <w:pStyle w:val="41"/>
      </w:pPr>
      <w:bookmarkStart w:id="190" w:name="_Toc52819888"/>
      <w:bookmarkStart w:id="191" w:name="_Toc54337946"/>
      <w:r w:rsidRPr="001455DC">
        <w:t>Effects resulting from restrained, imposed deformations</w:t>
      </w:r>
      <w:bookmarkEnd w:id="190"/>
      <w:bookmarkEnd w:id="191"/>
    </w:p>
    <w:p w14:paraId="3565CF0F" w14:textId="77777777" w:rsidR="004E22C1" w:rsidRPr="001455DC" w:rsidRDefault="004E22C1" w:rsidP="000F2592">
      <w:pPr>
        <w:pStyle w:val="a7"/>
      </w:pPr>
      <w:r w:rsidRPr="001455DC">
        <w:t>(1)</w:t>
      </w:r>
      <w:r w:rsidRPr="001455DC">
        <w:tab/>
        <w:t>Effects resulting from restrained, imposed deformations shall be quantified and included when verifying serviceability limit states and fatigue.</w:t>
      </w:r>
    </w:p>
    <w:p w14:paraId="1DC536B6" w14:textId="77777777" w:rsidR="004E22C1" w:rsidRPr="001455DC" w:rsidRDefault="004E22C1" w:rsidP="000F2592">
      <w:pPr>
        <w:pStyle w:val="Note"/>
      </w:pPr>
      <w:r w:rsidRPr="001455DC">
        <w:t>NOTE 1</w:t>
      </w:r>
      <w:r w:rsidRPr="001455DC">
        <w:tab/>
        <w:t>Effects resulting from restrained, imposed deformations can be caused by temperature differentials, shrinkage of concrete, differential settlements or other imposed deformations.</w:t>
      </w:r>
    </w:p>
    <w:p w14:paraId="31D0A9CD" w14:textId="02CEB9F5" w:rsidR="004E22C1" w:rsidRPr="001455DC" w:rsidRDefault="004E22C1" w:rsidP="000F2592">
      <w:pPr>
        <w:pStyle w:val="Note"/>
      </w:pPr>
      <w:r w:rsidRPr="001455DC">
        <w:t>NOTE 2</w:t>
      </w:r>
      <w:r w:rsidRPr="001455DC">
        <w:tab/>
        <w:t>Effects resulting from restrained, imposed deformations can be reduced, when necessary, using various methods such as varying the composition of the concrete mix (guidance is given in D.</w:t>
      </w:r>
      <w:r w:rsidR="008B0767" w:rsidRPr="001455DC">
        <w:t>3</w:t>
      </w:r>
      <w:r w:rsidRPr="001455DC">
        <w:t>(3)) and adjusting the stiffness of integral structural restraints. The use of bearings and joints can also reduce these effects.</w:t>
      </w:r>
    </w:p>
    <w:p w14:paraId="2D0EF477" w14:textId="77777777" w:rsidR="004E22C1" w:rsidRPr="001455DC" w:rsidRDefault="004E22C1" w:rsidP="000F2592">
      <w:pPr>
        <w:pStyle w:val="a7"/>
      </w:pPr>
      <w:r w:rsidRPr="001455DC">
        <w:t>(2)</w:t>
      </w:r>
      <w:r w:rsidRPr="001455DC">
        <w:tab/>
        <w:t>The effects of restrained, imposed deformations may be neglected at ultimate limit states where it can be demonstrated or has been shown by experience with similar structures that:</w:t>
      </w:r>
    </w:p>
    <w:p w14:paraId="31C54EA6" w14:textId="77777777" w:rsidR="004E22C1" w:rsidRPr="001455DC" w:rsidRDefault="004E22C1" w:rsidP="000457C9">
      <w:pPr>
        <w:pStyle w:val="a7"/>
        <w:ind w:left="397" w:hanging="397"/>
      </w:pPr>
      <w:r w:rsidRPr="001455DC">
        <w:t>(i)</w:t>
      </w:r>
      <w:r w:rsidRPr="001455DC">
        <w:tab/>
        <w:t>there is sufficient deformation capacity to allow the respective movements to occur and fulfil the ultimate limit state, and</w:t>
      </w:r>
    </w:p>
    <w:p w14:paraId="796712D7" w14:textId="77777777" w:rsidR="004E22C1" w:rsidRPr="001455DC" w:rsidRDefault="004E22C1" w:rsidP="000457C9">
      <w:pPr>
        <w:pStyle w:val="a7"/>
        <w:ind w:left="397" w:hanging="397"/>
      </w:pPr>
      <w:r w:rsidRPr="001455DC">
        <w:t>(ii)</w:t>
      </w:r>
      <w:r w:rsidRPr="001455DC">
        <w:tab/>
        <w:t>the structures behaviour is not sensitive to second order effects caused by large displacements.</w:t>
      </w:r>
    </w:p>
    <w:p w14:paraId="024AA876" w14:textId="26A5B292" w:rsidR="004E22C1" w:rsidRPr="001455DC" w:rsidRDefault="004E22C1" w:rsidP="000F2592">
      <w:pPr>
        <w:pStyle w:val="a7"/>
        <w:rPr>
          <w:rFonts w:eastAsiaTheme="minorHAnsi"/>
        </w:rPr>
      </w:pPr>
      <w:r w:rsidRPr="001455DC">
        <w:t xml:space="preserve">In all other cases, the effects of restrained imposed deformations </w:t>
      </w:r>
      <w:r w:rsidRPr="001455DC">
        <w:rPr>
          <w:rFonts w:eastAsiaTheme="minorHAnsi"/>
          <w:bCs/>
        </w:rPr>
        <w:t>should</w:t>
      </w:r>
      <w:r w:rsidRPr="001455DC">
        <w:rPr>
          <w:rFonts w:eastAsiaTheme="minorHAnsi"/>
        </w:rPr>
        <w:t xml:space="preserve"> be considered.</w:t>
      </w:r>
    </w:p>
    <w:p w14:paraId="34875E87" w14:textId="77777777" w:rsidR="00EE7E42" w:rsidRPr="001455DC" w:rsidRDefault="004E22C1" w:rsidP="000F2592">
      <w:pPr>
        <w:pStyle w:val="a7"/>
        <w:rPr>
          <w:rFonts w:eastAsiaTheme="minorHAnsi"/>
        </w:rPr>
      </w:pPr>
      <w:r w:rsidRPr="001455DC">
        <w:rPr>
          <w:rFonts w:eastAsiaTheme="minorHAnsi"/>
        </w:rPr>
        <w:t xml:space="preserve">In ULS imposed deformations should be calculated for a design service life </w:t>
      </w:r>
      <w:r w:rsidRPr="001455DC">
        <w:rPr>
          <w:rStyle w:val="CCMCvariableitalic"/>
        </w:rPr>
        <w:t>t</w:t>
      </w:r>
      <w:r w:rsidRPr="001455DC">
        <w:rPr>
          <w:rFonts w:eastAsiaTheme="minorHAnsi"/>
        </w:rPr>
        <w:t> </w:t>
      </w:r>
      <w:r w:rsidR="00EC27D2" w:rsidRPr="001455DC">
        <w:rPr>
          <w:rFonts w:ascii="Cambria Math" w:eastAsiaTheme="minorHAnsi" w:hAnsi="Cambria Math"/>
        </w:rPr>
        <w:t>≥</w:t>
      </w:r>
      <w:r w:rsidR="00073FC6" w:rsidRPr="001455DC">
        <w:rPr>
          <w:rFonts w:eastAsiaTheme="minorHAnsi"/>
        </w:rPr>
        <w:t> </w:t>
      </w:r>
      <w:r w:rsidRPr="001455DC">
        <w:rPr>
          <w:rFonts w:eastAsiaTheme="minorHAnsi"/>
        </w:rPr>
        <w:t xml:space="preserve">50 years. </w:t>
      </w:r>
    </w:p>
    <w:p w14:paraId="052D6F24" w14:textId="24CAAE3E" w:rsidR="004E22C1" w:rsidRPr="009D3012" w:rsidRDefault="00661B4F" w:rsidP="009D3012">
      <w:pPr>
        <w:pStyle w:val="Note"/>
      </w:pPr>
      <w:r>
        <w:t>NOTE</w:t>
      </w:r>
      <w:r>
        <w:tab/>
      </w:r>
      <w:r w:rsidR="004E22C1" w:rsidRPr="009D3012">
        <w:t>For a detailed analysis</w:t>
      </w:r>
      <w:r w:rsidR="0067270F">
        <w:t>,</w:t>
      </w:r>
      <w:r w:rsidR="004E22C1" w:rsidRPr="009D3012">
        <w:t xml:space="preserve"> see Annex D.</w:t>
      </w:r>
    </w:p>
    <w:p w14:paraId="3B0D7B5E" w14:textId="1E65BEEF" w:rsidR="004E22C1" w:rsidRPr="001455DC" w:rsidRDefault="004E22C1" w:rsidP="00243590">
      <w:pPr>
        <w:pStyle w:val="41"/>
      </w:pPr>
      <w:bookmarkStart w:id="192" w:name="_Toc52819889"/>
      <w:bookmarkStart w:id="193" w:name="_Toc54337947"/>
      <w:r w:rsidRPr="001455DC">
        <w:t>Ground-structure interaction</w:t>
      </w:r>
      <w:bookmarkEnd w:id="192"/>
      <w:bookmarkEnd w:id="193"/>
    </w:p>
    <w:p w14:paraId="0F4293F8" w14:textId="558FB95F" w:rsidR="004E22C1" w:rsidRPr="001455DC" w:rsidRDefault="004E22C1" w:rsidP="000F2592">
      <w:pPr>
        <w:pStyle w:val="a7"/>
      </w:pPr>
      <w:r w:rsidRPr="001455DC">
        <w:t>(1)</w:t>
      </w:r>
      <w:r w:rsidRPr="001455DC">
        <w:tab/>
        <w:t xml:space="preserve">Where ground-structure interaction has significant influence on the action effects in the structure, the properties of the ground and the effects of the interaction shall be taken into account in accordance with </w:t>
      </w:r>
      <w:r w:rsidR="00AB5E7A">
        <w:t>pr</w:t>
      </w:r>
      <w:r w:rsidRPr="001455DC">
        <w:t>EN 1997</w:t>
      </w:r>
      <w:r w:rsidRPr="001455DC">
        <w:noBreakHyphen/>
        <w:t>1.</w:t>
      </w:r>
    </w:p>
    <w:p w14:paraId="300E7B68" w14:textId="4C7F8C63" w:rsidR="004E22C1" w:rsidRPr="001455DC" w:rsidRDefault="004E22C1" w:rsidP="000F2592">
      <w:pPr>
        <w:pStyle w:val="a7"/>
      </w:pPr>
      <w:r w:rsidRPr="001455DC">
        <w:t>(2)</w:t>
      </w:r>
      <w:r w:rsidRPr="001455DC">
        <w:tab/>
        <w:t xml:space="preserve">Where differential settlements/movements of the structure due to ground subsidence are taken into account, predicted values should be estimated in accordance with </w:t>
      </w:r>
      <w:r w:rsidR="00AB5E7A">
        <w:t>pr</w:t>
      </w:r>
      <w:r w:rsidRPr="001455DC">
        <w:t>EN 1997</w:t>
      </w:r>
      <w:r w:rsidRPr="001455DC">
        <w:noBreakHyphen/>
        <w:t>1.</w:t>
      </w:r>
    </w:p>
    <w:p w14:paraId="36A0FF00" w14:textId="405AAB1E" w:rsidR="004E22C1" w:rsidRPr="001455DC" w:rsidRDefault="004E22C1" w:rsidP="00243590">
      <w:pPr>
        <w:pStyle w:val="41"/>
      </w:pPr>
      <w:bookmarkStart w:id="194" w:name="_Toc52819890"/>
      <w:bookmarkStart w:id="195" w:name="_Toc54337948"/>
      <w:r w:rsidRPr="001455DC">
        <w:t>Prestress</w:t>
      </w:r>
      <w:bookmarkEnd w:id="194"/>
      <w:bookmarkEnd w:id="195"/>
    </w:p>
    <w:p w14:paraId="59638202" w14:textId="77777777" w:rsidR="004E22C1" w:rsidRPr="001455DC" w:rsidRDefault="004E22C1" w:rsidP="000F2592">
      <w:pPr>
        <w:pStyle w:val="a7"/>
      </w:pPr>
      <w:r w:rsidRPr="001455DC">
        <w:t>(1)</w:t>
      </w:r>
      <w:r w:rsidRPr="001455DC">
        <w:tab/>
        <w:t>The design prestress action shall be determined.</w:t>
      </w:r>
    </w:p>
    <w:p w14:paraId="597F6CDA" w14:textId="77777777" w:rsidR="004E22C1" w:rsidRPr="001455DC" w:rsidRDefault="004E22C1" w:rsidP="000F2592">
      <w:pPr>
        <w:pStyle w:val="Note"/>
      </w:pPr>
      <w:r w:rsidRPr="001455DC">
        <w:t>NOTE 1</w:t>
      </w:r>
      <w:r w:rsidRPr="001455DC">
        <w:tab/>
        <w:t>The prestress considered in this Eurocode is applied by tendons made of high-strength steel (wires, strands or bars).</w:t>
      </w:r>
    </w:p>
    <w:p w14:paraId="087FD724" w14:textId="77777777" w:rsidR="004E22C1" w:rsidRPr="001455DC" w:rsidRDefault="004E22C1" w:rsidP="000F2592">
      <w:pPr>
        <w:pStyle w:val="Note"/>
      </w:pPr>
      <w:r w:rsidRPr="001455DC">
        <w:t>NOTE 2</w:t>
      </w:r>
      <w:r w:rsidRPr="001455DC">
        <w:tab/>
        <w:t>Internal tendons can be pre-tensioned and bonded or post-tensioned and bonded or unbonded.</w:t>
      </w:r>
    </w:p>
    <w:p w14:paraId="2B6D41CB" w14:textId="77777777" w:rsidR="004E22C1" w:rsidRPr="001455DC" w:rsidRDefault="004E22C1" w:rsidP="000F2592">
      <w:pPr>
        <w:pStyle w:val="Note"/>
      </w:pPr>
      <w:r w:rsidRPr="001455DC">
        <w:t>NOTE 3</w:t>
      </w:r>
      <w:r w:rsidRPr="001455DC">
        <w:tab/>
        <w:t>Tendons can be external to the structure with points of contact at possible deviators, at anchorages, or with continuous contact on curved surfaces.</w:t>
      </w:r>
    </w:p>
    <w:p w14:paraId="1981C7B0" w14:textId="77777777" w:rsidR="004E22C1" w:rsidRPr="001455DC" w:rsidRDefault="004E22C1" w:rsidP="000F2592">
      <w:pPr>
        <w:pStyle w:val="a7"/>
      </w:pPr>
      <w:r w:rsidRPr="001455DC">
        <w:t>(2)</w:t>
      </w:r>
      <w:r w:rsidRPr="001455DC">
        <w:tab/>
        <w:t>When considered in accordance with 7.6.1(1) b), the design prestress action at ultimate limit states should be taken as the mean value of the prestressing force (as calculated in 7.6.3 and 7.6.4) multiplied by the partial factor for prestress.</w:t>
      </w:r>
    </w:p>
    <w:p w14:paraId="22D67498" w14:textId="5BDC8075" w:rsidR="004E22C1" w:rsidRPr="001455DC" w:rsidRDefault="004E22C1" w:rsidP="000F2592">
      <w:pPr>
        <w:pStyle w:val="a7"/>
      </w:pPr>
      <w:r w:rsidRPr="001455DC">
        <w:t>(3)</w:t>
      </w:r>
      <w:r w:rsidRPr="001455DC">
        <w:tab/>
        <w:t xml:space="preserve">For serviceability and fatigue verifications, allowance shall be made for possible variations in prestress. Upper and lower characteristic values of the prestressing stress at the serviceability limit state and in fatigue design shall be estimated from the mean value </w:t>
      </w:r>
      <w:r w:rsidRPr="001455DC">
        <w:rPr>
          <w:rStyle w:val="CCMCvariableitalic"/>
        </w:rPr>
        <w:t>σ</w:t>
      </w:r>
      <w:r w:rsidRPr="001455DC">
        <w:rPr>
          <w:rStyle w:val="CCMCvariablesubscript"/>
        </w:rPr>
        <w:t>pm</w:t>
      </w:r>
      <w:r w:rsidRPr="001455DC">
        <w:t>(</w:t>
      </w:r>
      <w:r w:rsidRPr="001455DC">
        <w:rPr>
          <w:rStyle w:val="CCMCvariableitalic"/>
        </w:rPr>
        <w:t>x</w:t>
      </w:r>
      <w:r w:rsidRPr="001455DC">
        <w:t>,</w:t>
      </w:r>
      <w:r w:rsidRPr="001455DC">
        <w:rPr>
          <w:rStyle w:val="CCMCvariableitalic"/>
        </w:rPr>
        <w:t>t</w:t>
      </w:r>
      <w:r w:rsidRPr="001455DC">
        <w:t>) according to Formulae (4.1) and (4.2).</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CC62AC" w:rsidRPr="001455DC" w14:paraId="1FE6C5F7" w14:textId="77777777" w:rsidTr="00CC62AC">
        <w:trPr>
          <w:cantSplit/>
        </w:trPr>
        <w:tc>
          <w:tcPr>
            <w:tcW w:w="8505" w:type="dxa"/>
            <w:vAlign w:val="center"/>
          </w:tcPr>
          <w:p w14:paraId="640607B5" w14:textId="7BEA5117" w:rsidR="00CC62AC" w:rsidRPr="001455DC" w:rsidRDefault="00231E33" w:rsidP="00725D07">
            <w:pPr>
              <w:pStyle w:val="Formula"/>
            </w:pPr>
            <m:oMathPara>
              <m:oMathParaPr>
                <m:jc m:val="left"/>
              </m:oMathParaPr>
              <m:oMath>
                <m:sSub>
                  <m:sSubPr>
                    <m:ctrlPr>
                      <w:rPr>
                        <w:rFonts w:ascii="Cambria Math" w:hAnsi="Cambria Math"/>
                      </w:rPr>
                    </m:ctrlPr>
                  </m:sSubPr>
                  <m:e>
                    <m:r>
                      <w:rPr>
                        <w:rFonts w:ascii="Cambria Math" w:hAnsi="Cambria Math"/>
                      </w:rPr>
                      <m:t>σ</m:t>
                    </m:r>
                  </m:e>
                  <m:sub>
                    <m:r>
                      <m:rPr>
                        <m:sty m:val="p"/>
                      </m:rPr>
                      <w:rPr>
                        <w:rFonts w:ascii="Cambria Math" w:hAnsi="Cambria Math"/>
                      </w:rPr>
                      <m:t>pk,sup</m:t>
                    </m:r>
                  </m:sub>
                </m:sSub>
                <m:d>
                  <m:dPr>
                    <m:sepChr m:val=""/>
                    <m:ctrlPr>
                      <w:rPr>
                        <w:rFonts w:ascii="Cambria Math" w:hAnsi="Cambria Math"/>
                      </w:rPr>
                    </m:ctrlPr>
                  </m:dPr>
                  <m:e>
                    <m:r>
                      <w:rPr>
                        <w:rFonts w:ascii="Cambria Math" w:hAnsi="Cambria Math"/>
                      </w:rPr>
                      <m:t>x</m:t>
                    </m:r>
                  </m:e>
                  <m:e>
                    <m:r>
                      <w:rPr>
                        <w:rFonts w:ascii="Cambria Math" w:hAnsi="Cambria Math"/>
                      </w:rPr>
                      <m:t>,</m:t>
                    </m:r>
                  </m:e>
                  <m:e>
                    <m:r>
                      <w:rPr>
                        <w:rFonts w:ascii="Cambria Math" w:hAnsi="Cambria Math"/>
                      </w:rPr>
                      <m:t>t</m:t>
                    </m:r>
                  </m:e>
                </m:d>
                <m: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sup</m:t>
                    </m:r>
                  </m:sub>
                </m:sSub>
                <m:r>
                  <w:rPr>
                    <w:rFonts w:ascii="Cambria Math" w:hAnsi="Cambria Math"/>
                  </w:rPr>
                  <m:t>⋅</m:t>
                </m:r>
                <m:sSub>
                  <m:sSubPr>
                    <m:ctrlPr>
                      <w:rPr>
                        <w:rFonts w:ascii="Cambria Math" w:hAnsi="Cambria Math"/>
                      </w:rPr>
                    </m:ctrlPr>
                  </m:sSubPr>
                  <m:e>
                    <m:r>
                      <w:rPr>
                        <w:rFonts w:ascii="Cambria Math" w:hAnsi="Cambria Math"/>
                      </w:rPr>
                      <m:t>σ</m:t>
                    </m:r>
                  </m:e>
                  <m:sub>
                    <m:r>
                      <m:rPr>
                        <m:sty m:val="p"/>
                      </m:rPr>
                      <w:rPr>
                        <w:rFonts w:ascii="Cambria Math" w:hAnsi="Cambria Math"/>
                      </w:rPr>
                      <m:t>pm</m:t>
                    </m:r>
                  </m:sub>
                </m:sSub>
                <m:d>
                  <m:dPr>
                    <m:sepChr m:val=""/>
                    <m:ctrlPr>
                      <w:rPr>
                        <w:rFonts w:ascii="Cambria Math" w:hAnsi="Cambria Math"/>
                      </w:rPr>
                    </m:ctrlPr>
                  </m:dPr>
                  <m:e>
                    <m:r>
                      <w:rPr>
                        <w:rFonts w:ascii="Cambria Math" w:hAnsi="Cambria Math"/>
                      </w:rPr>
                      <m:t>x</m:t>
                    </m:r>
                  </m:e>
                  <m:e>
                    <m:r>
                      <w:rPr>
                        <w:rFonts w:ascii="Cambria Math" w:hAnsi="Cambria Math"/>
                      </w:rPr>
                      <m:t>,</m:t>
                    </m:r>
                  </m:e>
                  <m:e>
                    <m:r>
                      <w:rPr>
                        <w:rFonts w:ascii="Cambria Math" w:hAnsi="Cambria Math"/>
                      </w:rPr>
                      <m:t>t</m:t>
                    </m:r>
                  </m:e>
                </m:d>
              </m:oMath>
            </m:oMathPara>
          </w:p>
        </w:tc>
        <w:tc>
          <w:tcPr>
            <w:tcW w:w="1247" w:type="dxa"/>
            <w:vAlign w:val="center"/>
          </w:tcPr>
          <w:p w14:paraId="56629B25" w14:textId="2066CEE2" w:rsidR="00CC62AC" w:rsidRPr="001455DC" w:rsidRDefault="00CC62AC" w:rsidP="00CC62AC">
            <w:pPr>
              <w:pStyle w:val="a7"/>
              <w:jc w:val="right"/>
            </w:pPr>
            <w:r w:rsidRPr="001455DC">
              <w:t>(4.1)</w:t>
            </w:r>
          </w:p>
        </w:tc>
      </w:tr>
      <w:tr w:rsidR="00CC62AC" w:rsidRPr="001455DC" w14:paraId="2CA804D4" w14:textId="77777777" w:rsidTr="00CC62AC">
        <w:trPr>
          <w:cantSplit/>
        </w:trPr>
        <w:tc>
          <w:tcPr>
            <w:tcW w:w="8505" w:type="dxa"/>
            <w:vAlign w:val="center"/>
          </w:tcPr>
          <w:p w14:paraId="4F43253F" w14:textId="476B557B" w:rsidR="00CC62AC" w:rsidRPr="001455DC" w:rsidRDefault="00231E33" w:rsidP="00725D07">
            <w:pPr>
              <w:pStyle w:val="Formula"/>
            </w:pPr>
            <m:oMathPara>
              <m:oMathParaPr>
                <m:jc m:val="left"/>
              </m:oMathParaPr>
              <m:oMath>
                <m:sSub>
                  <m:sSubPr>
                    <m:ctrlPr>
                      <w:rPr>
                        <w:rFonts w:ascii="Cambria Math" w:hAnsi="Cambria Math"/>
                      </w:rPr>
                    </m:ctrlPr>
                  </m:sSubPr>
                  <m:e>
                    <m:r>
                      <w:rPr>
                        <w:rFonts w:ascii="Cambria Math" w:hAnsi="Cambria Math"/>
                      </w:rPr>
                      <m:t>σ</m:t>
                    </m:r>
                  </m:e>
                  <m:sub>
                    <m:r>
                      <m:rPr>
                        <m:sty m:val="p"/>
                      </m:rPr>
                      <w:rPr>
                        <w:rFonts w:ascii="Cambria Math" w:hAnsi="Cambria Math"/>
                      </w:rPr>
                      <m:t>pk,inf</m:t>
                    </m:r>
                  </m:sub>
                </m:sSub>
                <m:d>
                  <m:dPr>
                    <m:sepChr m:val=""/>
                    <m:ctrlPr>
                      <w:rPr>
                        <w:rFonts w:ascii="Cambria Math" w:hAnsi="Cambria Math"/>
                      </w:rPr>
                    </m:ctrlPr>
                  </m:dPr>
                  <m:e>
                    <m:r>
                      <w:rPr>
                        <w:rFonts w:ascii="Cambria Math" w:hAnsi="Cambria Math"/>
                      </w:rPr>
                      <m:t>x</m:t>
                    </m:r>
                  </m:e>
                  <m:e>
                    <m:r>
                      <w:rPr>
                        <w:rFonts w:ascii="Cambria Math" w:hAnsi="Cambria Math"/>
                      </w:rPr>
                      <m:t>,</m:t>
                    </m:r>
                  </m:e>
                  <m:e>
                    <m:r>
                      <w:rPr>
                        <w:rFonts w:ascii="Cambria Math" w:hAnsi="Cambria Math"/>
                      </w:rPr>
                      <m:t>t</m:t>
                    </m:r>
                  </m:e>
                </m:d>
                <m: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inf</m:t>
                    </m:r>
                  </m:sub>
                </m:sSub>
                <m:r>
                  <w:rPr>
                    <w:rFonts w:ascii="Cambria Math" w:hAnsi="Cambria Math"/>
                  </w:rPr>
                  <m:t>⋅</m:t>
                </m:r>
                <m:sSub>
                  <m:sSubPr>
                    <m:ctrlPr>
                      <w:rPr>
                        <w:rFonts w:ascii="Cambria Math" w:hAnsi="Cambria Math"/>
                      </w:rPr>
                    </m:ctrlPr>
                  </m:sSubPr>
                  <m:e>
                    <m:r>
                      <w:rPr>
                        <w:rFonts w:ascii="Cambria Math" w:hAnsi="Cambria Math"/>
                      </w:rPr>
                      <m:t>σ</m:t>
                    </m:r>
                  </m:e>
                  <m:sub>
                    <m:r>
                      <m:rPr>
                        <m:sty m:val="p"/>
                      </m:rPr>
                      <w:rPr>
                        <w:rFonts w:ascii="Cambria Math" w:hAnsi="Cambria Math"/>
                      </w:rPr>
                      <m:t>pm</m:t>
                    </m:r>
                  </m:sub>
                </m:sSub>
                <m:d>
                  <m:dPr>
                    <m:sepChr m:val=""/>
                    <m:ctrlPr>
                      <w:rPr>
                        <w:rFonts w:ascii="Cambria Math" w:hAnsi="Cambria Math"/>
                      </w:rPr>
                    </m:ctrlPr>
                  </m:dPr>
                  <m:e>
                    <m:r>
                      <w:rPr>
                        <w:rFonts w:ascii="Cambria Math" w:hAnsi="Cambria Math"/>
                      </w:rPr>
                      <m:t>x</m:t>
                    </m:r>
                  </m:e>
                  <m:e>
                    <m:r>
                      <w:rPr>
                        <w:rFonts w:ascii="Cambria Math" w:hAnsi="Cambria Math"/>
                      </w:rPr>
                      <m:t>,</m:t>
                    </m:r>
                  </m:e>
                  <m:e>
                    <m:r>
                      <w:rPr>
                        <w:rFonts w:ascii="Cambria Math" w:hAnsi="Cambria Math"/>
                      </w:rPr>
                      <m:t>t</m:t>
                    </m:r>
                  </m:e>
                </m:d>
              </m:oMath>
            </m:oMathPara>
          </w:p>
        </w:tc>
        <w:tc>
          <w:tcPr>
            <w:tcW w:w="1247" w:type="dxa"/>
            <w:vAlign w:val="center"/>
          </w:tcPr>
          <w:p w14:paraId="5DF8CB9C" w14:textId="65D3EC76" w:rsidR="00CC62AC" w:rsidRPr="001455DC" w:rsidRDefault="00CC62AC" w:rsidP="00CC62AC">
            <w:pPr>
              <w:pStyle w:val="a7"/>
              <w:jc w:val="right"/>
            </w:pPr>
            <w:r w:rsidRPr="001455DC">
              <w:t>(4.2)</w:t>
            </w:r>
          </w:p>
        </w:tc>
      </w:tr>
    </w:tbl>
    <w:p w14:paraId="55CE5314" w14:textId="46E97B0A" w:rsidR="004E22C1" w:rsidRPr="001455DC" w:rsidRDefault="004E22C1"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1134"/>
        <w:gridCol w:w="8278"/>
      </w:tblGrid>
      <w:tr w:rsidR="00CC62AC" w:rsidRPr="001455DC" w14:paraId="23700E39" w14:textId="77777777" w:rsidTr="00157BED">
        <w:trPr>
          <w:cantSplit/>
        </w:trPr>
        <w:tc>
          <w:tcPr>
            <w:tcW w:w="1134" w:type="dxa"/>
          </w:tcPr>
          <w:p w14:paraId="3A821F08" w14:textId="0309C80F" w:rsidR="00CC62AC" w:rsidRPr="001455DC" w:rsidRDefault="00157BED" w:rsidP="0067270F">
            <w:pPr>
              <w:pStyle w:val="Tablebody"/>
              <w:spacing w:after="120"/>
            </w:pPr>
            <w:r w:rsidRPr="001455DC">
              <w:rPr>
                <w:rStyle w:val="CCMCvariableitalic"/>
              </w:rPr>
              <w:t>σ</w:t>
            </w:r>
            <w:r w:rsidRPr="001455DC">
              <w:rPr>
                <w:rStyle w:val="CCMCvariablesubscript"/>
              </w:rPr>
              <w:t>pk,sup</w:t>
            </w:r>
            <w:r w:rsidRPr="001455DC">
              <w:t>(</w:t>
            </w:r>
            <w:r w:rsidRPr="001455DC">
              <w:rPr>
                <w:rStyle w:val="CCMCvariableitalic"/>
              </w:rPr>
              <w:t>x</w:t>
            </w:r>
            <w:r w:rsidRPr="001455DC">
              <w:t>,</w:t>
            </w:r>
            <w:r w:rsidRPr="001455DC">
              <w:rPr>
                <w:rStyle w:val="CCMCvariableitalic"/>
              </w:rPr>
              <w:t>t</w:t>
            </w:r>
            <w:r w:rsidRPr="001455DC">
              <w:t>)</w:t>
            </w:r>
          </w:p>
        </w:tc>
        <w:tc>
          <w:tcPr>
            <w:tcW w:w="8278" w:type="dxa"/>
          </w:tcPr>
          <w:p w14:paraId="2CED3752" w14:textId="4D781428" w:rsidR="00CC62AC" w:rsidRPr="001455DC" w:rsidRDefault="00157BED" w:rsidP="0067270F">
            <w:pPr>
              <w:pStyle w:val="Tablebody"/>
              <w:spacing w:after="120"/>
            </w:pPr>
            <w:r w:rsidRPr="001455DC">
              <w:t xml:space="preserve">is the upper characteristic value of prestress at position </w:t>
            </w:r>
            <w:r w:rsidRPr="001455DC">
              <w:rPr>
                <w:rStyle w:val="CCMCvariableitalic"/>
              </w:rPr>
              <w:t>x</w:t>
            </w:r>
            <w:r w:rsidRPr="001455DC">
              <w:t xml:space="preserve"> and time </w:t>
            </w:r>
            <w:r w:rsidRPr="001455DC">
              <w:rPr>
                <w:rStyle w:val="CCMCvariableitalic"/>
              </w:rPr>
              <w:t>t</w:t>
            </w:r>
            <w:r w:rsidRPr="001455DC">
              <w:t>;</w:t>
            </w:r>
          </w:p>
        </w:tc>
      </w:tr>
      <w:tr w:rsidR="00CC62AC" w:rsidRPr="001455DC" w14:paraId="17B60057" w14:textId="77777777" w:rsidTr="00EC0A75">
        <w:trPr>
          <w:cantSplit/>
          <w:trHeight w:val="55"/>
        </w:trPr>
        <w:tc>
          <w:tcPr>
            <w:tcW w:w="1134" w:type="dxa"/>
          </w:tcPr>
          <w:p w14:paraId="1CDE547C" w14:textId="15F58BF3" w:rsidR="00CC62AC" w:rsidRPr="001455DC" w:rsidRDefault="00157BED" w:rsidP="0067270F">
            <w:pPr>
              <w:pStyle w:val="Tablebody"/>
              <w:spacing w:after="120"/>
            </w:pPr>
            <w:r w:rsidRPr="001455DC">
              <w:rPr>
                <w:rStyle w:val="CCMCvariableitalic"/>
              </w:rPr>
              <w:t>σ</w:t>
            </w:r>
            <w:r w:rsidRPr="001455DC">
              <w:rPr>
                <w:rStyle w:val="CCMCvariablesubscript"/>
              </w:rPr>
              <w:t>pk,inf</w:t>
            </w:r>
            <w:r w:rsidRPr="001455DC">
              <w:t>(</w:t>
            </w:r>
            <w:r w:rsidRPr="001455DC">
              <w:rPr>
                <w:rStyle w:val="CCMCvariableitalic"/>
              </w:rPr>
              <w:t>x</w:t>
            </w:r>
            <w:r w:rsidRPr="001455DC">
              <w:t>,</w:t>
            </w:r>
            <w:r w:rsidRPr="001455DC">
              <w:rPr>
                <w:rStyle w:val="CCMCvariableitalic"/>
              </w:rPr>
              <w:t>t</w:t>
            </w:r>
            <w:r w:rsidRPr="001455DC">
              <w:t>)</w:t>
            </w:r>
          </w:p>
        </w:tc>
        <w:tc>
          <w:tcPr>
            <w:tcW w:w="8278" w:type="dxa"/>
          </w:tcPr>
          <w:p w14:paraId="185BE03B" w14:textId="1E868AE4" w:rsidR="00CC62AC" w:rsidRPr="001455DC" w:rsidRDefault="00157BED" w:rsidP="0067270F">
            <w:pPr>
              <w:pStyle w:val="Tablebody"/>
              <w:spacing w:after="120"/>
            </w:pPr>
            <w:r w:rsidRPr="001455DC">
              <w:t xml:space="preserve">is the lower characteristic value of prestress at position </w:t>
            </w:r>
            <w:r w:rsidRPr="001455DC">
              <w:rPr>
                <w:rStyle w:val="CCMCvariableitalic"/>
              </w:rPr>
              <w:t>x</w:t>
            </w:r>
            <w:r w:rsidRPr="001455DC">
              <w:t xml:space="preserve"> and time </w:t>
            </w:r>
            <w:r w:rsidRPr="001455DC">
              <w:rPr>
                <w:rStyle w:val="CCMCvariableitalic"/>
              </w:rPr>
              <w:t>t</w:t>
            </w:r>
            <w:r w:rsidRPr="001455DC">
              <w:t>;</w:t>
            </w:r>
          </w:p>
        </w:tc>
      </w:tr>
      <w:tr w:rsidR="00CC62AC" w:rsidRPr="001455DC" w14:paraId="258D7425" w14:textId="77777777" w:rsidTr="00157BED">
        <w:trPr>
          <w:cantSplit/>
        </w:trPr>
        <w:tc>
          <w:tcPr>
            <w:tcW w:w="1134" w:type="dxa"/>
          </w:tcPr>
          <w:p w14:paraId="3C37D954" w14:textId="390BFBA0" w:rsidR="00CC62AC" w:rsidRPr="001455DC" w:rsidRDefault="00157BED" w:rsidP="0067270F">
            <w:pPr>
              <w:pStyle w:val="Tablebody"/>
              <w:spacing w:after="120"/>
            </w:pPr>
            <w:r w:rsidRPr="001455DC">
              <w:rPr>
                <w:rStyle w:val="CCMCvariableitalic"/>
              </w:rPr>
              <w:t>σ</w:t>
            </w:r>
            <w:r w:rsidRPr="001455DC">
              <w:rPr>
                <w:rStyle w:val="CCMCvariablesubscript"/>
              </w:rPr>
              <w:t>pm</w:t>
            </w:r>
            <w:r w:rsidRPr="001455DC">
              <w:t>(</w:t>
            </w:r>
            <w:r w:rsidRPr="001455DC">
              <w:rPr>
                <w:rStyle w:val="CCMCvariableitalic"/>
              </w:rPr>
              <w:t>x</w:t>
            </w:r>
            <w:r w:rsidRPr="001455DC">
              <w:t>,</w:t>
            </w:r>
            <w:r w:rsidRPr="001455DC">
              <w:rPr>
                <w:rStyle w:val="CCMCvariableitalic"/>
              </w:rPr>
              <w:t>t</w:t>
            </w:r>
            <w:r w:rsidRPr="001455DC">
              <w:t>)</w:t>
            </w:r>
          </w:p>
        </w:tc>
        <w:tc>
          <w:tcPr>
            <w:tcW w:w="8278" w:type="dxa"/>
          </w:tcPr>
          <w:p w14:paraId="45994F8B" w14:textId="512DC4D7" w:rsidR="00CC62AC" w:rsidRPr="001455DC" w:rsidRDefault="00157BED" w:rsidP="0067270F">
            <w:pPr>
              <w:pStyle w:val="Tablebody"/>
              <w:spacing w:after="120"/>
            </w:pPr>
            <w:r w:rsidRPr="001455DC">
              <w:t xml:space="preserve">is the mean value of prestress at position </w:t>
            </w:r>
            <w:r w:rsidRPr="001455DC">
              <w:rPr>
                <w:rStyle w:val="CCMCvariableitalic"/>
              </w:rPr>
              <w:t>x</w:t>
            </w:r>
            <w:r w:rsidRPr="001455DC">
              <w:t xml:space="preserve"> and time </w:t>
            </w:r>
            <w:r w:rsidRPr="001455DC">
              <w:rPr>
                <w:rStyle w:val="CCMCvariableitalic"/>
              </w:rPr>
              <w:t>t</w:t>
            </w:r>
            <w:r w:rsidRPr="001455DC">
              <w:t xml:space="preserve"> (see 7.10.3).</w:t>
            </w:r>
          </w:p>
        </w:tc>
      </w:tr>
    </w:tbl>
    <w:p w14:paraId="5E424278" w14:textId="0E8B44DD" w:rsidR="004E22C1" w:rsidRPr="001455DC" w:rsidRDefault="004E22C1" w:rsidP="0067270F">
      <w:pPr>
        <w:pStyle w:val="Note"/>
        <w:spacing w:before="180"/>
      </w:pPr>
      <w:r w:rsidRPr="001455DC">
        <w:t>NOTE</w:t>
      </w:r>
      <w:r w:rsidRPr="001455DC">
        <w:tab/>
        <w:t xml:space="preserve">The values of </w:t>
      </w:r>
      <w:r w:rsidRPr="001455DC">
        <w:rPr>
          <w:rStyle w:val="CCMCvariableitalic"/>
        </w:rPr>
        <w:t>r</w:t>
      </w:r>
      <w:r w:rsidRPr="001455DC">
        <w:rPr>
          <w:rStyle w:val="CCMCvariablesubscript"/>
        </w:rPr>
        <w:t>sup</w:t>
      </w:r>
      <w:r w:rsidRPr="001455DC">
        <w:t xml:space="preserve"> and </w:t>
      </w:r>
      <w:r w:rsidRPr="001455DC">
        <w:rPr>
          <w:rStyle w:val="CCMCvariableitalic"/>
        </w:rPr>
        <w:t>r</w:t>
      </w:r>
      <w:r w:rsidRPr="001455DC">
        <w:rPr>
          <w:rStyle w:val="CCMCvariablesubscript"/>
        </w:rPr>
        <w:t>inf</w:t>
      </w:r>
      <w:r w:rsidRPr="001455DC">
        <w:t xml:space="preserve"> given in Table 4.1(NDP) apply unless a National Annex gives different values.</w:t>
      </w:r>
    </w:p>
    <w:p w14:paraId="2EFCDE0C" w14:textId="716384FF" w:rsidR="004E22C1" w:rsidRPr="001455DC" w:rsidRDefault="004E22C1" w:rsidP="00CC62AC">
      <w:pPr>
        <w:pStyle w:val="Tabletitle"/>
      </w:pPr>
      <w:bookmarkStart w:id="196" w:name="_Toc54337283"/>
      <w:r w:rsidRPr="001455DC">
        <w:t>Table 4.1(NDP) — Factors for calculating the upper and lower characteristic values of the prestress action</w:t>
      </w:r>
      <w:bookmarkEnd w:id="196"/>
    </w:p>
    <w:tbl>
      <w:tblPr>
        <w:tblStyle w:val="53"/>
        <w:tblW w:w="9752" w:type="dxa"/>
        <w:tblCellMar>
          <w:left w:w="71" w:type="dxa"/>
          <w:right w:w="71" w:type="dxa"/>
        </w:tblCellMar>
        <w:tblLook w:val="0620" w:firstRow="1" w:lastRow="0" w:firstColumn="0" w:lastColumn="0" w:noHBand="1" w:noVBand="1"/>
      </w:tblPr>
      <w:tblGrid>
        <w:gridCol w:w="4082"/>
        <w:gridCol w:w="2835"/>
        <w:gridCol w:w="2835"/>
      </w:tblGrid>
      <w:tr w:rsidR="004E22C1" w:rsidRPr="001455DC" w14:paraId="4E135E46" w14:textId="77777777" w:rsidTr="00CC62AC">
        <w:trPr>
          <w:cnfStyle w:val="100000000000" w:firstRow="1" w:lastRow="0" w:firstColumn="0" w:lastColumn="0" w:oddVBand="0" w:evenVBand="0" w:oddHBand="0" w:evenHBand="0" w:firstRowFirstColumn="0" w:firstRowLastColumn="0" w:lastRowFirstColumn="0" w:lastRowLastColumn="0"/>
          <w:tblHeader/>
        </w:trPr>
        <w:tc>
          <w:tcPr>
            <w:tcW w:w="4082" w:type="dxa"/>
          </w:tcPr>
          <w:p w14:paraId="35DF2DC7" w14:textId="77777777" w:rsidR="004E22C1" w:rsidRPr="001455DC" w:rsidRDefault="004E22C1" w:rsidP="00CC62AC">
            <w:pPr>
              <w:pStyle w:val="Tableheader"/>
              <w:keepNext/>
            </w:pPr>
            <w:r w:rsidRPr="001455DC">
              <w:t>Type of prestress</w:t>
            </w:r>
          </w:p>
        </w:tc>
        <w:tc>
          <w:tcPr>
            <w:tcW w:w="2835" w:type="dxa"/>
          </w:tcPr>
          <w:p w14:paraId="4DEC06B4" w14:textId="77777777" w:rsidR="004E22C1" w:rsidRPr="001455DC" w:rsidRDefault="004E22C1" w:rsidP="00CC62AC">
            <w:pPr>
              <w:pStyle w:val="Tableheader"/>
              <w:keepNext/>
              <w:rPr>
                <w:bCs/>
              </w:rPr>
            </w:pPr>
            <w:r w:rsidRPr="001455DC">
              <w:rPr>
                <w:rStyle w:val="CCMCvariableitalic"/>
                <w:bCs/>
              </w:rPr>
              <w:t>r</w:t>
            </w:r>
            <w:r w:rsidRPr="001455DC">
              <w:rPr>
                <w:rStyle w:val="CCMCvariablesubscript"/>
                <w:bCs/>
              </w:rPr>
              <w:t>sup</w:t>
            </w:r>
          </w:p>
        </w:tc>
        <w:tc>
          <w:tcPr>
            <w:tcW w:w="2835" w:type="dxa"/>
          </w:tcPr>
          <w:p w14:paraId="72CA184E" w14:textId="77777777" w:rsidR="004E22C1" w:rsidRPr="001455DC" w:rsidRDefault="004E22C1" w:rsidP="00CC62AC">
            <w:pPr>
              <w:pStyle w:val="Tableheader"/>
              <w:keepNext/>
              <w:rPr>
                <w:bCs/>
              </w:rPr>
            </w:pPr>
            <w:r w:rsidRPr="001455DC">
              <w:rPr>
                <w:rStyle w:val="CCMCvariableitalic"/>
                <w:bCs/>
              </w:rPr>
              <w:t>r</w:t>
            </w:r>
            <w:r w:rsidRPr="001455DC">
              <w:rPr>
                <w:rStyle w:val="CCMCvariablesubscript"/>
                <w:bCs/>
              </w:rPr>
              <w:t>inf</w:t>
            </w:r>
          </w:p>
        </w:tc>
      </w:tr>
      <w:tr w:rsidR="004E22C1" w:rsidRPr="001455DC" w14:paraId="6E018C36" w14:textId="77777777" w:rsidTr="000457C9">
        <w:tc>
          <w:tcPr>
            <w:tcW w:w="4082" w:type="dxa"/>
          </w:tcPr>
          <w:p w14:paraId="581479AC" w14:textId="77777777" w:rsidR="004E22C1" w:rsidRPr="001455DC" w:rsidRDefault="004E22C1" w:rsidP="00CC62AC">
            <w:pPr>
              <w:pStyle w:val="Tablebody"/>
              <w:keepNext/>
            </w:pPr>
            <w:r w:rsidRPr="001455DC">
              <w:t>Pre-tensioning</w:t>
            </w:r>
          </w:p>
        </w:tc>
        <w:tc>
          <w:tcPr>
            <w:tcW w:w="2835" w:type="dxa"/>
            <w:vAlign w:val="center"/>
          </w:tcPr>
          <w:p w14:paraId="248C97F3" w14:textId="77777777" w:rsidR="004E22C1" w:rsidRPr="001455DC" w:rsidRDefault="004E22C1" w:rsidP="000457C9">
            <w:pPr>
              <w:pStyle w:val="Tablebody"/>
              <w:keepNext/>
              <w:jc w:val="center"/>
            </w:pPr>
            <w:r w:rsidRPr="001455DC">
              <w:t>1,05</w:t>
            </w:r>
          </w:p>
        </w:tc>
        <w:tc>
          <w:tcPr>
            <w:tcW w:w="2835" w:type="dxa"/>
            <w:vAlign w:val="center"/>
          </w:tcPr>
          <w:p w14:paraId="40ADFE4C" w14:textId="77777777" w:rsidR="004E22C1" w:rsidRPr="001455DC" w:rsidRDefault="004E22C1" w:rsidP="000457C9">
            <w:pPr>
              <w:pStyle w:val="Tablebody"/>
              <w:keepNext/>
              <w:jc w:val="center"/>
            </w:pPr>
            <w:r w:rsidRPr="001455DC">
              <w:t>0,95</w:t>
            </w:r>
          </w:p>
        </w:tc>
      </w:tr>
      <w:tr w:rsidR="004E22C1" w:rsidRPr="001455DC" w14:paraId="711CBCA5" w14:textId="77777777" w:rsidTr="000457C9">
        <w:tc>
          <w:tcPr>
            <w:tcW w:w="4082" w:type="dxa"/>
          </w:tcPr>
          <w:p w14:paraId="4C6CF551" w14:textId="77777777" w:rsidR="004E22C1" w:rsidRPr="009D3012" w:rsidRDefault="004E22C1" w:rsidP="00CC62AC">
            <w:pPr>
              <w:pStyle w:val="Tablebody"/>
              <w:keepNext/>
              <w:rPr>
                <w:lang w:val="en-US"/>
              </w:rPr>
            </w:pPr>
            <w:r w:rsidRPr="009D3012">
              <w:rPr>
                <w:lang w:val="en-US"/>
              </w:rPr>
              <w:t>Post-tensioning with unbonded tendons</w:t>
            </w:r>
          </w:p>
        </w:tc>
        <w:tc>
          <w:tcPr>
            <w:tcW w:w="2835" w:type="dxa"/>
            <w:vAlign w:val="center"/>
          </w:tcPr>
          <w:p w14:paraId="0B0C0E74" w14:textId="77777777" w:rsidR="004E22C1" w:rsidRPr="001455DC" w:rsidRDefault="004E22C1" w:rsidP="000457C9">
            <w:pPr>
              <w:pStyle w:val="Tablebody"/>
              <w:keepNext/>
              <w:jc w:val="center"/>
            </w:pPr>
            <w:r w:rsidRPr="001455DC">
              <w:t>1,05</w:t>
            </w:r>
          </w:p>
        </w:tc>
        <w:tc>
          <w:tcPr>
            <w:tcW w:w="2835" w:type="dxa"/>
            <w:vAlign w:val="center"/>
          </w:tcPr>
          <w:p w14:paraId="68932C70" w14:textId="77777777" w:rsidR="004E22C1" w:rsidRPr="001455DC" w:rsidRDefault="004E22C1" w:rsidP="000457C9">
            <w:pPr>
              <w:pStyle w:val="Tablebody"/>
              <w:keepNext/>
              <w:jc w:val="center"/>
            </w:pPr>
            <w:r w:rsidRPr="001455DC">
              <w:t>0,95</w:t>
            </w:r>
          </w:p>
        </w:tc>
      </w:tr>
      <w:tr w:rsidR="004E22C1" w:rsidRPr="001455DC" w14:paraId="216F1E1F" w14:textId="77777777" w:rsidTr="000457C9">
        <w:tc>
          <w:tcPr>
            <w:tcW w:w="4082" w:type="dxa"/>
          </w:tcPr>
          <w:p w14:paraId="767DFEB9" w14:textId="77777777" w:rsidR="004E22C1" w:rsidRPr="009D3012" w:rsidRDefault="004E22C1" w:rsidP="00CC62AC">
            <w:pPr>
              <w:pStyle w:val="Tablebody"/>
              <w:rPr>
                <w:lang w:val="en-US"/>
              </w:rPr>
            </w:pPr>
            <w:r w:rsidRPr="009D3012">
              <w:rPr>
                <w:lang w:val="en-US"/>
              </w:rPr>
              <w:t>Post-tensioning with bonded tendons</w:t>
            </w:r>
          </w:p>
        </w:tc>
        <w:tc>
          <w:tcPr>
            <w:tcW w:w="2835" w:type="dxa"/>
            <w:vAlign w:val="center"/>
          </w:tcPr>
          <w:p w14:paraId="5AA1F7EA" w14:textId="77777777" w:rsidR="004E22C1" w:rsidRPr="001455DC" w:rsidRDefault="004E22C1" w:rsidP="000457C9">
            <w:pPr>
              <w:pStyle w:val="Tablebody"/>
              <w:jc w:val="center"/>
            </w:pPr>
            <w:r w:rsidRPr="001455DC">
              <w:t>1,10</w:t>
            </w:r>
          </w:p>
        </w:tc>
        <w:tc>
          <w:tcPr>
            <w:tcW w:w="2835" w:type="dxa"/>
            <w:vAlign w:val="center"/>
          </w:tcPr>
          <w:p w14:paraId="12B0BDD4" w14:textId="77777777" w:rsidR="004E22C1" w:rsidRPr="001455DC" w:rsidRDefault="004E22C1" w:rsidP="000457C9">
            <w:pPr>
              <w:pStyle w:val="Tablebody"/>
              <w:jc w:val="center"/>
            </w:pPr>
            <w:r w:rsidRPr="001455DC">
              <w:t>0,90</w:t>
            </w:r>
          </w:p>
        </w:tc>
      </w:tr>
    </w:tbl>
    <w:p w14:paraId="3EE35644" w14:textId="77777777" w:rsidR="004E22C1" w:rsidRPr="001455DC" w:rsidRDefault="004E22C1" w:rsidP="00157BED">
      <w:pPr>
        <w:pStyle w:val="a7"/>
      </w:pPr>
    </w:p>
    <w:p w14:paraId="327141BA" w14:textId="11F22872" w:rsidR="004E22C1" w:rsidRPr="001455DC" w:rsidRDefault="004E22C1" w:rsidP="00243590">
      <w:pPr>
        <w:pStyle w:val="41"/>
      </w:pPr>
      <w:bookmarkStart w:id="197" w:name="_Toc52819891"/>
      <w:bookmarkStart w:id="198" w:name="_Toc54337949"/>
      <w:r w:rsidRPr="001455DC">
        <w:t>Effect of water or gas pressure</w:t>
      </w:r>
      <w:bookmarkEnd w:id="197"/>
      <w:bookmarkEnd w:id="198"/>
    </w:p>
    <w:p w14:paraId="3DF339F0" w14:textId="77777777" w:rsidR="004E22C1" w:rsidRPr="001455DC" w:rsidRDefault="004E22C1" w:rsidP="00CC62AC">
      <w:pPr>
        <w:pStyle w:val="a7"/>
      </w:pPr>
      <w:r w:rsidRPr="001455DC">
        <w:t>(1)</w:t>
      </w:r>
      <w:r w:rsidRPr="001455DC">
        <w:tab/>
        <w:t>In structures exposed to high fluid or gas pressure the effect of potential pressure build up in pores and cracks shall be accounted for in the reinforcement design where it increases the action effects or reduces the resistance by more than 10 %.</w:t>
      </w:r>
    </w:p>
    <w:p w14:paraId="37027CF6" w14:textId="49516D34" w:rsidR="004E22C1" w:rsidRPr="001455DC" w:rsidRDefault="004E22C1" w:rsidP="00243590">
      <w:pPr>
        <w:pStyle w:val="31"/>
      </w:pPr>
      <w:bookmarkStart w:id="199" w:name="_Toc52819892"/>
      <w:bookmarkStart w:id="200" w:name="_Toc54337284"/>
      <w:bookmarkStart w:id="201" w:name="_Toc54337950"/>
      <w:bookmarkStart w:id="202" w:name="_Toc67565313"/>
      <w:r w:rsidRPr="001455DC">
        <w:t>Geometric data</w:t>
      </w:r>
      <w:bookmarkEnd w:id="199"/>
      <w:bookmarkEnd w:id="200"/>
      <w:bookmarkEnd w:id="201"/>
      <w:bookmarkEnd w:id="202"/>
    </w:p>
    <w:p w14:paraId="7580BBDC" w14:textId="77777777" w:rsidR="004E22C1" w:rsidRPr="001455DC" w:rsidRDefault="004E22C1" w:rsidP="00CC62AC">
      <w:pPr>
        <w:pStyle w:val="a7"/>
      </w:pPr>
      <w:r w:rsidRPr="001455DC">
        <w:t>(1)</w:t>
      </w:r>
      <w:r w:rsidRPr="001455DC">
        <w:tab/>
        <w:t>Geometric tolerances shall comply with EN 13670, Tolerance Class 1, or where other tolerances are permitted they shall be specified in the execution specification and suitable allowances shall be made in the design.</w:t>
      </w:r>
    </w:p>
    <w:p w14:paraId="66B3E699" w14:textId="4FC0A8C5" w:rsidR="004E22C1" w:rsidRPr="001455DC" w:rsidRDefault="004E22C1" w:rsidP="00CC62AC">
      <w:pPr>
        <w:pStyle w:val="Note"/>
      </w:pPr>
      <w:r w:rsidRPr="001455DC">
        <w:t>NOTE</w:t>
      </w:r>
      <w:r w:rsidRPr="001455DC">
        <w:tab/>
        <w:t>Allowances to be made in design where different tolerances are applicable to certain members can be provided in a National Annex. Examples of such members could include cast-in-place bored piles where the steel casing is pulled, or concrete piles driven through rock. This standard offers no guidance on what allowance is adequate, but engineering practice in the various countries could. Allowance can be made either by a reduced cross</w:t>
      </w:r>
      <w:r w:rsidR="00B10711" w:rsidRPr="001455DC">
        <w:t xml:space="preserve"> </w:t>
      </w:r>
      <w:r w:rsidRPr="001455DC">
        <w:t>section, an assumed deformation or a reduced resistance.</w:t>
      </w:r>
    </w:p>
    <w:p w14:paraId="1EA26934" w14:textId="17378E0E" w:rsidR="004E22C1" w:rsidRPr="001455DC" w:rsidRDefault="004E22C1" w:rsidP="006D682B">
      <w:pPr>
        <w:pStyle w:val="21"/>
      </w:pPr>
      <w:bookmarkStart w:id="203" w:name="_Toc52819893"/>
      <w:bookmarkStart w:id="204" w:name="_Toc54337285"/>
      <w:bookmarkStart w:id="205" w:name="_Toc54337951"/>
      <w:bookmarkStart w:id="206" w:name="_Toc67565314"/>
      <w:r w:rsidRPr="001455DC">
        <w:t>Verification by the partial factor method</w:t>
      </w:r>
      <w:bookmarkEnd w:id="203"/>
      <w:bookmarkEnd w:id="204"/>
      <w:bookmarkEnd w:id="205"/>
      <w:bookmarkEnd w:id="206"/>
    </w:p>
    <w:p w14:paraId="57AABFC3" w14:textId="12064FFE" w:rsidR="004E22C1" w:rsidRPr="001455DC" w:rsidRDefault="004E22C1" w:rsidP="00243590">
      <w:pPr>
        <w:pStyle w:val="31"/>
      </w:pPr>
      <w:bookmarkStart w:id="207" w:name="_Toc52819894"/>
      <w:bookmarkStart w:id="208" w:name="_Toc54337286"/>
      <w:bookmarkStart w:id="209" w:name="_Toc54337952"/>
      <w:bookmarkStart w:id="210" w:name="_Toc67565315"/>
      <w:r w:rsidRPr="001455DC">
        <w:t>Partial factor for shrinkage action</w:t>
      </w:r>
      <w:bookmarkEnd w:id="207"/>
      <w:bookmarkEnd w:id="208"/>
      <w:bookmarkEnd w:id="209"/>
      <w:bookmarkEnd w:id="210"/>
    </w:p>
    <w:p w14:paraId="4C8B8DCE" w14:textId="77777777" w:rsidR="004E22C1" w:rsidRPr="001455DC" w:rsidRDefault="004E22C1" w:rsidP="00CC62AC">
      <w:pPr>
        <w:pStyle w:val="a7"/>
      </w:pPr>
      <w:r w:rsidRPr="001455DC">
        <w:t>(1)</w:t>
      </w:r>
      <w:r w:rsidRPr="001455DC">
        <w:tab/>
        <w:t xml:space="preserve">Where consideration of shrinkage actions is required for ultimate limit state a partial factor, </w:t>
      </w:r>
      <w:r w:rsidRPr="001455DC">
        <w:rPr>
          <w:rStyle w:val="CCMCvariableitalic"/>
        </w:rPr>
        <w:t>γ</w:t>
      </w:r>
      <w:r w:rsidRPr="001455DC">
        <w:rPr>
          <w:rStyle w:val="CCMCvariablesubscript"/>
        </w:rPr>
        <w:t>SH</w:t>
      </w:r>
      <w:r w:rsidRPr="001455DC">
        <w:t>, shall be used.</w:t>
      </w:r>
    </w:p>
    <w:p w14:paraId="20CBFC3E" w14:textId="2290FCF3" w:rsidR="004E22C1" w:rsidRPr="001455DC" w:rsidRDefault="004E22C1" w:rsidP="000457C9">
      <w:pPr>
        <w:pStyle w:val="Note"/>
      </w:pPr>
      <w:r w:rsidRPr="001455DC">
        <w:t>NOTE</w:t>
      </w:r>
      <w:r w:rsidRPr="001455DC">
        <w:tab/>
        <w:t xml:space="preserve">The value of </w:t>
      </w:r>
      <w:r w:rsidRPr="001455DC">
        <w:rPr>
          <w:rStyle w:val="CCMCvariableitalic"/>
        </w:rPr>
        <w:t>γ</w:t>
      </w:r>
      <w:r w:rsidRPr="001455DC">
        <w:rPr>
          <w:rStyle w:val="CCMCvariablesubscript"/>
        </w:rPr>
        <w:t>SH</w:t>
      </w:r>
      <w:r w:rsidRPr="001455DC">
        <w:t xml:space="preserve"> is 1,0 unless a National Annex gives a different value.</w:t>
      </w:r>
    </w:p>
    <w:p w14:paraId="4C989949" w14:textId="53D72D9F" w:rsidR="004E22C1" w:rsidRPr="001455DC" w:rsidRDefault="004E22C1" w:rsidP="00243590">
      <w:pPr>
        <w:pStyle w:val="31"/>
      </w:pPr>
      <w:bookmarkStart w:id="211" w:name="_Toc52819895"/>
      <w:bookmarkStart w:id="212" w:name="_Toc54337287"/>
      <w:bookmarkStart w:id="213" w:name="_Toc54337953"/>
      <w:bookmarkStart w:id="214" w:name="_Toc67565316"/>
      <w:r w:rsidRPr="001455DC">
        <w:t>Partial factors for prestress action</w:t>
      </w:r>
      <w:bookmarkEnd w:id="211"/>
      <w:bookmarkEnd w:id="212"/>
      <w:bookmarkEnd w:id="213"/>
      <w:bookmarkEnd w:id="214"/>
    </w:p>
    <w:p w14:paraId="153D594B" w14:textId="77777777" w:rsidR="004E22C1" w:rsidRPr="001455DC" w:rsidRDefault="004E22C1" w:rsidP="00CC62AC">
      <w:pPr>
        <w:pStyle w:val="a7"/>
      </w:pPr>
      <w:r w:rsidRPr="001455DC">
        <w:t>(1)</w:t>
      </w:r>
      <w:r w:rsidRPr="001455DC">
        <w:tab/>
        <w:t xml:space="preserve">The partial factors </w:t>
      </w:r>
      <w:r w:rsidRPr="001455DC">
        <w:rPr>
          <w:rStyle w:val="CCMCvariableitalic"/>
        </w:rPr>
        <w:t>γ</w:t>
      </w:r>
      <w:r w:rsidRPr="001455DC">
        <w:rPr>
          <w:rStyle w:val="CCMCvariablesubscript"/>
        </w:rPr>
        <w:t>P,fav</w:t>
      </w:r>
      <w:r w:rsidRPr="001455DC">
        <w:t xml:space="preserve"> or </w:t>
      </w:r>
      <w:r w:rsidRPr="001455DC">
        <w:rPr>
          <w:rStyle w:val="CCMCvariableitalic"/>
        </w:rPr>
        <w:t>γ</w:t>
      </w:r>
      <w:r w:rsidRPr="001455DC">
        <w:rPr>
          <w:rStyle w:val="CCMCvariablesubscript"/>
        </w:rPr>
        <w:t>P,unfav</w:t>
      </w:r>
      <w:r w:rsidRPr="001455DC">
        <w:rPr>
          <w:szCs w:val="22"/>
        </w:rPr>
        <w:t xml:space="preserve"> </w:t>
      </w:r>
      <w:r w:rsidRPr="001455DC">
        <w:t>shall be applied to the prestress force for ultimate limit state verifications when considered in accordance with 7.6.1(1) b).</w:t>
      </w:r>
    </w:p>
    <w:p w14:paraId="6D974891" w14:textId="3E677246" w:rsidR="004E22C1" w:rsidRPr="001455DC" w:rsidRDefault="00661B4F" w:rsidP="000457C9">
      <w:pPr>
        <w:pStyle w:val="Note"/>
      </w:pPr>
      <w:r>
        <w:t>NOTE </w:t>
      </w:r>
      <w:r w:rsidR="004E22C1" w:rsidRPr="001455DC">
        <w:tab/>
        <w:t xml:space="preserve">The values of </w:t>
      </w:r>
      <w:r w:rsidR="004E22C1" w:rsidRPr="001455DC">
        <w:rPr>
          <w:rStyle w:val="CCMCvariableitalic"/>
        </w:rPr>
        <w:t>γ</w:t>
      </w:r>
      <w:r w:rsidR="004E22C1" w:rsidRPr="001455DC">
        <w:rPr>
          <w:rStyle w:val="CCMCvariablesubscript"/>
        </w:rPr>
        <w:t>P,fav</w:t>
      </w:r>
      <w:r w:rsidR="004E22C1" w:rsidRPr="001455DC">
        <w:t xml:space="preserve"> or </w:t>
      </w:r>
      <w:r w:rsidR="004E22C1" w:rsidRPr="001455DC">
        <w:rPr>
          <w:rStyle w:val="CCMCvariableitalic"/>
        </w:rPr>
        <w:t>γ</w:t>
      </w:r>
      <w:r w:rsidR="004E22C1" w:rsidRPr="001455DC">
        <w:rPr>
          <w:rStyle w:val="CCMCvariablesubscript"/>
        </w:rPr>
        <w:t>P,unfav</w:t>
      </w:r>
      <w:r w:rsidR="004E22C1" w:rsidRPr="001455DC">
        <w:t xml:space="preserve"> given in Table 4.2(NDP) apply unless a National Annex gives different values.</w:t>
      </w:r>
    </w:p>
    <w:p w14:paraId="5FC7D6F6" w14:textId="174A7975" w:rsidR="004E22C1" w:rsidRPr="001455DC" w:rsidRDefault="004E22C1" w:rsidP="00157BED">
      <w:pPr>
        <w:pStyle w:val="Tabletitle"/>
      </w:pPr>
      <w:bookmarkStart w:id="215" w:name="_Toc54337288"/>
      <w:r w:rsidRPr="001455DC">
        <w:t>Table 4.2(NDP) — Partial factors for prestress action for ultimate limit states</w:t>
      </w:r>
      <w:bookmarkEnd w:id="215"/>
    </w:p>
    <w:tbl>
      <w:tblPr>
        <w:tblStyle w:val="53"/>
        <w:tblW w:w="9752" w:type="dxa"/>
        <w:tblLayout w:type="fixed"/>
        <w:tblCellMar>
          <w:left w:w="71" w:type="dxa"/>
          <w:right w:w="71" w:type="dxa"/>
        </w:tblCellMar>
        <w:tblLook w:val="0620" w:firstRow="1" w:lastRow="0" w:firstColumn="0" w:lastColumn="0" w:noHBand="1" w:noVBand="1"/>
      </w:tblPr>
      <w:tblGrid>
        <w:gridCol w:w="1483"/>
        <w:gridCol w:w="1323"/>
        <w:gridCol w:w="2316"/>
        <w:gridCol w:w="4630"/>
      </w:tblGrid>
      <w:tr w:rsidR="004E22C1" w:rsidRPr="001455DC" w14:paraId="3270AD2F" w14:textId="77777777" w:rsidTr="00157BED">
        <w:trPr>
          <w:cnfStyle w:val="100000000000" w:firstRow="1" w:lastRow="0" w:firstColumn="0" w:lastColumn="0" w:oddVBand="0" w:evenVBand="0" w:oddHBand="0" w:evenHBand="0" w:firstRowFirstColumn="0" w:firstRowLastColumn="0" w:lastRowFirstColumn="0" w:lastRowLastColumn="0"/>
          <w:tblHeader/>
        </w:trPr>
        <w:tc>
          <w:tcPr>
            <w:tcW w:w="1271" w:type="dxa"/>
          </w:tcPr>
          <w:p w14:paraId="108E97FA" w14:textId="77777777" w:rsidR="004E22C1" w:rsidRPr="001455DC" w:rsidRDefault="004E22C1" w:rsidP="00157BED">
            <w:pPr>
              <w:pStyle w:val="Tableheader"/>
              <w:keepNext/>
            </w:pPr>
            <w:r w:rsidRPr="001455DC">
              <w:t>Factor for prestress</w:t>
            </w:r>
          </w:p>
        </w:tc>
        <w:tc>
          <w:tcPr>
            <w:tcW w:w="1134" w:type="dxa"/>
          </w:tcPr>
          <w:p w14:paraId="496907EB" w14:textId="77777777" w:rsidR="004E22C1" w:rsidRPr="001455DC" w:rsidRDefault="004E22C1" w:rsidP="00157BED">
            <w:pPr>
              <w:pStyle w:val="Tableheader"/>
              <w:keepNext/>
            </w:pPr>
            <w:r w:rsidRPr="001455DC">
              <w:t>Value</w:t>
            </w:r>
          </w:p>
        </w:tc>
        <w:tc>
          <w:tcPr>
            <w:tcW w:w="1985" w:type="dxa"/>
          </w:tcPr>
          <w:p w14:paraId="5D61A1C1" w14:textId="77777777" w:rsidR="004E22C1" w:rsidRPr="001455DC" w:rsidRDefault="004E22C1" w:rsidP="00157BED">
            <w:pPr>
              <w:pStyle w:val="Tableheader"/>
              <w:keepNext/>
            </w:pPr>
            <w:r w:rsidRPr="001455DC">
              <w:t>Applied to</w:t>
            </w:r>
          </w:p>
        </w:tc>
        <w:tc>
          <w:tcPr>
            <w:tcW w:w="3969" w:type="dxa"/>
          </w:tcPr>
          <w:p w14:paraId="05874BB9" w14:textId="77777777" w:rsidR="004E22C1" w:rsidRPr="001455DC" w:rsidRDefault="004E22C1" w:rsidP="00157BED">
            <w:pPr>
              <w:pStyle w:val="Tableheader"/>
              <w:keepNext/>
            </w:pPr>
            <w:r w:rsidRPr="001455DC">
              <w:t>ULS verification type</w:t>
            </w:r>
          </w:p>
        </w:tc>
      </w:tr>
      <w:tr w:rsidR="004E22C1" w:rsidRPr="001455DC" w14:paraId="15AEA426" w14:textId="77777777" w:rsidTr="00157BED">
        <w:tc>
          <w:tcPr>
            <w:tcW w:w="1271" w:type="dxa"/>
            <w:vAlign w:val="center"/>
          </w:tcPr>
          <w:p w14:paraId="27B0A7A9" w14:textId="77777777" w:rsidR="004E22C1" w:rsidRPr="001455DC" w:rsidRDefault="004E22C1" w:rsidP="00157BED">
            <w:pPr>
              <w:pStyle w:val="Tablebody"/>
              <w:keepNext/>
              <w:jc w:val="center"/>
            </w:pPr>
            <w:r w:rsidRPr="001455DC">
              <w:rPr>
                <w:rStyle w:val="CCMCvariableitalic"/>
              </w:rPr>
              <w:t>γ</w:t>
            </w:r>
            <w:r w:rsidRPr="001455DC">
              <w:rPr>
                <w:rStyle w:val="CCMCvariablesubscript"/>
              </w:rPr>
              <w:t>P,fav</w:t>
            </w:r>
          </w:p>
        </w:tc>
        <w:tc>
          <w:tcPr>
            <w:tcW w:w="1134" w:type="dxa"/>
            <w:vAlign w:val="center"/>
          </w:tcPr>
          <w:p w14:paraId="3F1CD217" w14:textId="77777777" w:rsidR="004E22C1" w:rsidRPr="001455DC" w:rsidRDefault="004E22C1" w:rsidP="00157BED">
            <w:pPr>
              <w:pStyle w:val="Tablebody"/>
              <w:keepNext/>
              <w:jc w:val="center"/>
            </w:pPr>
            <w:r w:rsidRPr="001455DC">
              <w:t>1,00</w:t>
            </w:r>
          </w:p>
        </w:tc>
        <w:tc>
          <w:tcPr>
            <w:tcW w:w="1985" w:type="dxa"/>
            <w:vMerge w:val="restart"/>
            <w:vAlign w:val="center"/>
          </w:tcPr>
          <w:p w14:paraId="4FB49213" w14:textId="77777777" w:rsidR="004E22C1" w:rsidRPr="009D3012" w:rsidRDefault="004E22C1" w:rsidP="00157BED">
            <w:pPr>
              <w:pStyle w:val="Tablebody"/>
              <w:keepNext/>
              <w:jc w:val="center"/>
              <w:rPr>
                <w:lang w:val="en-US"/>
              </w:rPr>
            </w:pPr>
            <w:r w:rsidRPr="009D3012">
              <w:rPr>
                <w:lang w:val="en-US"/>
              </w:rPr>
              <w:t>Prestress force for bonded and unbonded tendons</w:t>
            </w:r>
          </w:p>
        </w:tc>
        <w:tc>
          <w:tcPr>
            <w:tcW w:w="3969" w:type="dxa"/>
            <w:vAlign w:val="center"/>
          </w:tcPr>
          <w:p w14:paraId="5D54B4F3" w14:textId="77777777" w:rsidR="004E22C1" w:rsidRPr="009D3012" w:rsidRDefault="004E22C1" w:rsidP="00157BED">
            <w:pPr>
              <w:pStyle w:val="Tablebody"/>
              <w:keepNext/>
              <w:jc w:val="center"/>
              <w:rPr>
                <w:sz w:val="19"/>
                <w:szCs w:val="19"/>
                <w:lang w:val="en-US"/>
              </w:rPr>
            </w:pPr>
            <w:r w:rsidRPr="009D3012">
              <w:rPr>
                <w:lang w:val="en-US"/>
              </w:rPr>
              <w:t>Verifications where an increase in prestress would be favourable.</w:t>
            </w:r>
          </w:p>
        </w:tc>
      </w:tr>
      <w:tr w:rsidR="004E22C1" w:rsidRPr="001455DC" w14:paraId="18BEA6AF" w14:textId="77777777" w:rsidTr="00157BED">
        <w:tc>
          <w:tcPr>
            <w:tcW w:w="1271" w:type="dxa"/>
            <w:vAlign w:val="center"/>
          </w:tcPr>
          <w:p w14:paraId="67DBFF6C" w14:textId="77777777" w:rsidR="004E22C1" w:rsidRPr="001455DC" w:rsidRDefault="004E22C1" w:rsidP="00157BED">
            <w:pPr>
              <w:pStyle w:val="Tablebody"/>
              <w:keepNext/>
              <w:jc w:val="center"/>
            </w:pPr>
            <w:r w:rsidRPr="001455DC">
              <w:rPr>
                <w:rStyle w:val="CCMCvariableitalic"/>
              </w:rPr>
              <w:t>γ</w:t>
            </w:r>
            <w:r w:rsidRPr="001455DC">
              <w:rPr>
                <w:rStyle w:val="CCMCvariablesubscript"/>
              </w:rPr>
              <w:t>P,unfav</w:t>
            </w:r>
          </w:p>
        </w:tc>
        <w:tc>
          <w:tcPr>
            <w:tcW w:w="1134" w:type="dxa"/>
            <w:vAlign w:val="center"/>
          </w:tcPr>
          <w:p w14:paraId="7DE2C638" w14:textId="77777777" w:rsidR="004E22C1" w:rsidRPr="001455DC" w:rsidRDefault="004E22C1" w:rsidP="00157BED">
            <w:pPr>
              <w:pStyle w:val="Tablebody"/>
              <w:keepNext/>
              <w:jc w:val="center"/>
            </w:pPr>
            <w:r w:rsidRPr="001455DC">
              <w:t>1,20</w:t>
            </w:r>
          </w:p>
        </w:tc>
        <w:tc>
          <w:tcPr>
            <w:tcW w:w="1985" w:type="dxa"/>
            <w:vMerge/>
            <w:vAlign w:val="center"/>
          </w:tcPr>
          <w:p w14:paraId="7FDB5970" w14:textId="77777777" w:rsidR="004E22C1" w:rsidRPr="001455DC" w:rsidRDefault="004E22C1" w:rsidP="00157BED">
            <w:pPr>
              <w:pStyle w:val="Tablebody"/>
              <w:keepNext/>
              <w:jc w:val="center"/>
            </w:pPr>
          </w:p>
        </w:tc>
        <w:tc>
          <w:tcPr>
            <w:tcW w:w="3969" w:type="dxa"/>
            <w:vAlign w:val="center"/>
          </w:tcPr>
          <w:p w14:paraId="1D030AB6" w14:textId="77777777" w:rsidR="004E22C1" w:rsidRPr="009D3012" w:rsidRDefault="004E22C1" w:rsidP="00157BED">
            <w:pPr>
              <w:pStyle w:val="Tablebody"/>
              <w:keepNext/>
              <w:jc w:val="center"/>
              <w:rPr>
                <w:lang w:val="en-US"/>
              </w:rPr>
            </w:pPr>
            <w:r w:rsidRPr="009D3012">
              <w:rPr>
                <w:lang w:val="en-US"/>
              </w:rPr>
              <w:t>Verifications where an increase in prestress would be unfavourable.</w:t>
            </w:r>
          </w:p>
        </w:tc>
      </w:tr>
      <w:tr w:rsidR="004E22C1" w:rsidRPr="001455DC" w14:paraId="74844EE0" w14:textId="77777777" w:rsidTr="00157BED">
        <w:tc>
          <w:tcPr>
            <w:tcW w:w="1271" w:type="dxa"/>
            <w:vAlign w:val="center"/>
          </w:tcPr>
          <w:p w14:paraId="650D54C0" w14:textId="77777777" w:rsidR="004E22C1" w:rsidRPr="009D3012" w:rsidRDefault="004E22C1" w:rsidP="00157BED">
            <w:pPr>
              <w:pStyle w:val="Tablebody"/>
              <w:keepNext/>
              <w:jc w:val="center"/>
              <w:rPr>
                <w:rStyle w:val="CCMCvariableitalic"/>
              </w:rPr>
            </w:pPr>
            <w:r w:rsidRPr="001455DC">
              <w:rPr>
                <w:rStyle w:val="CCMCvariableitalic"/>
              </w:rPr>
              <w:t>γ</w:t>
            </w:r>
            <w:r w:rsidRPr="001455DC">
              <w:rPr>
                <w:rStyle w:val="CCMCvariablesubscript"/>
              </w:rPr>
              <w:t>ΔP,sup</w:t>
            </w:r>
          </w:p>
        </w:tc>
        <w:tc>
          <w:tcPr>
            <w:tcW w:w="1134" w:type="dxa"/>
            <w:vAlign w:val="center"/>
          </w:tcPr>
          <w:p w14:paraId="4B792709" w14:textId="77777777" w:rsidR="004E22C1" w:rsidRPr="001455DC" w:rsidRDefault="004E22C1" w:rsidP="00157BED">
            <w:pPr>
              <w:pStyle w:val="Tablebody"/>
              <w:keepNext/>
              <w:jc w:val="center"/>
            </w:pPr>
            <w:r w:rsidRPr="001455DC">
              <w:t>0,80</w:t>
            </w:r>
          </w:p>
        </w:tc>
        <w:tc>
          <w:tcPr>
            <w:tcW w:w="1985" w:type="dxa"/>
            <w:vMerge w:val="restart"/>
            <w:vAlign w:val="center"/>
          </w:tcPr>
          <w:p w14:paraId="01DB6395" w14:textId="77777777" w:rsidR="004E22C1" w:rsidRPr="009D3012" w:rsidRDefault="004E22C1" w:rsidP="00157BED">
            <w:pPr>
              <w:pStyle w:val="Tablebody"/>
              <w:keepNext/>
              <w:jc w:val="center"/>
              <w:rPr>
                <w:lang w:val="en-US"/>
              </w:rPr>
            </w:pPr>
            <w:r w:rsidRPr="009D3012">
              <w:rPr>
                <w:lang w:val="en-US"/>
              </w:rPr>
              <w:t>Change in stress in unbonded tendons</w:t>
            </w:r>
          </w:p>
        </w:tc>
        <w:tc>
          <w:tcPr>
            <w:tcW w:w="3969" w:type="dxa"/>
            <w:vAlign w:val="center"/>
          </w:tcPr>
          <w:p w14:paraId="58880067" w14:textId="3F721989" w:rsidR="004E22C1" w:rsidRPr="009D3012" w:rsidRDefault="004E22C1" w:rsidP="00157BED">
            <w:pPr>
              <w:pStyle w:val="Tablebody"/>
              <w:keepNext/>
              <w:jc w:val="center"/>
              <w:rPr>
                <w:lang w:val="en-US"/>
              </w:rPr>
            </w:pPr>
            <w:r w:rsidRPr="009D3012">
              <w:rPr>
                <w:lang w:val="en-US"/>
              </w:rPr>
              <w:t>Verifications where increase in stress would be favourable</w:t>
            </w:r>
          </w:p>
        </w:tc>
      </w:tr>
      <w:tr w:rsidR="004E22C1" w:rsidRPr="001455DC" w14:paraId="17541F60" w14:textId="77777777" w:rsidTr="00157BED">
        <w:tc>
          <w:tcPr>
            <w:tcW w:w="1271" w:type="dxa"/>
            <w:vAlign w:val="center"/>
          </w:tcPr>
          <w:p w14:paraId="12D2E7F4" w14:textId="77777777" w:rsidR="004E22C1" w:rsidRPr="009D3012" w:rsidRDefault="004E22C1" w:rsidP="00157BED">
            <w:pPr>
              <w:pStyle w:val="Tablebody"/>
              <w:keepNext/>
              <w:jc w:val="center"/>
              <w:rPr>
                <w:rStyle w:val="CCMCvariableitalic"/>
              </w:rPr>
            </w:pPr>
            <w:r w:rsidRPr="001455DC">
              <w:rPr>
                <w:rStyle w:val="CCMCvariableitalic"/>
              </w:rPr>
              <w:t>γ</w:t>
            </w:r>
            <w:r w:rsidRPr="001455DC">
              <w:rPr>
                <w:rStyle w:val="CCMCvariablesubscript"/>
              </w:rPr>
              <w:t>ΔP,inf</w:t>
            </w:r>
          </w:p>
        </w:tc>
        <w:tc>
          <w:tcPr>
            <w:tcW w:w="1134" w:type="dxa"/>
            <w:vAlign w:val="center"/>
          </w:tcPr>
          <w:p w14:paraId="401949CB" w14:textId="77777777" w:rsidR="004E22C1" w:rsidRPr="001455DC" w:rsidRDefault="004E22C1" w:rsidP="00157BED">
            <w:pPr>
              <w:pStyle w:val="Tablebody"/>
              <w:keepNext/>
              <w:jc w:val="center"/>
            </w:pPr>
            <w:r w:rsidRPr="001455DC">
              <w:t>1,20</w:t>
            </w:r>
          </w:p>
        </w:tc>
        <w:tc>
          <w:tcPr>
            <w:tcW w:w="1985" w:type="dxa"/>
            <w:vMerge/>
            <w:vAlign w:val="center"/>
          </w:tcPr>
          <w:p w14:paraId="2530B588" w14:textId="77777777" w:rsidR="004E22C1" w:rsidRPr="001455DC" w:rsidRDefault="004E22C1" w:rsidP="00157BED">
            <w:pPr>
              <w:pStyle w:val="Tablebody"/>
              <w:keepNext/>
              <w:jc w:val="center"/>
            </w:pPr>
          </w:p>
        </w:tc>
        <w:tc>
          <w:tcPr>
            <w:tcW w:w="3969" w:type="dxa"/>
            <w:vAlign w:val="center"/>
          </w:tcPr>
          <w:p w14:paraId="58B0F281" w14:textId="77777777" w:rsidR="004E22C1" w:rsidRPr="009D3012" w:rsidRDefault="004E22C1" w:rsidP="00157BED">
            <w:pPr>
              <w:pStyle w:val="Tablebody"/>
              <w:keepNext/>
              <w:jc w:val="center"/>
              <w:rPr>
                <w:lang w:val="en-US"/>
              </w:rPr>
            </w:pPr>
            <w:r w:rsidRPr="009D3012">
              <w:rPr>
                <w:lang w:val="en-US"/>
              </w:rPr>
              <w:t>Verifications where increase in stress would be unfavourable</w:t>
            </w:r>
          </w:p>
        </w:tc>
      </w:tr>
      <w:tr w:rsidR="004E22C1" w:rsidRPr="001455DC" w14:paraId="56D67F92" w14:textId="77777777" w:rsidTr="00157BED">
        <w:tc>
          <w:tcPr>
            <w:tcW w:w="1271" w:type="dxa"/>
            <w:vAlign w:val="center"/>
          </w:tcPr>
          <w:p w14:paraId="1144578E" w14:textId="77777777" w:rsidR="004E22C1" w:rsidRPr="001455DC" w:rsidRDefault="004E22C1" w:rsidP="00157BED">
            <w:pPr>
              <w:pStyle w:val="Tablebody"/>
              <w:jc w:val="center"/>
            </w:pPr>
            <w:r w:rsidRPr="001455DC">
              <w:rPr>
                <w:rStyle w:val="CCMCvariableitalic"/>
              </w:rPr>
              <w:t>γ</w:t>
            </w:r>
            <w:r w:rsidRPr="001455DC">
              <w:rPr>
                <w:rStyle w:val="CCMCvariablesubscript"/>
              </w:rPr>
              <w:t>ΔP,sup</w:t>
            </w:r>
          </w:p>
          <w:p w14:paraId="05DFA67A" w14:textId="77777777" w:rsidR="004E22C1" w:rsidRPr="009D3012" w:rsidRDefault="004E22C1" w:rsidP="00157BED">
            <w:pPr>
              <w:pStyle w:val="Tablebody"/>
              <w:jc w:val="center"/>
              <w:rPr>
                <w:rStyle w:val="CCMCvariableitalic"/>
              </w:rPr>
            </w:pPr>
            <w:r w:rsidRPr="001455DC">
              <w:rPr>
                <w:rStyle w:val="CCMCvariableitalic"/>
              </w:rPr>
              <w:t>γ</w:t>
            </w:r>
            <w:r w:rsidRPr="001455DC">
              <w:rPr>
                <w:rStyle w:val="CCMCvariablesubscript"/>
              </w:rPr>
              <w:t>ΔP,inf</w:t>
            </w:r>
          </w:p>
        </w:tc>
        <w:tc>
          <w:tcPr>
            <w:tcW w:w="1134" w:type="dxa"/>
            <w:vAlign w:val="center"/>
          </w:tcPr>
          <w:p w14:paraId="70023929" w14:textId="77777777" w:rsidR="004E22C1" w:rsidRPr="001455DC" w:rsidRDefault="004E22C1" w:rsidP="00157BED">
            <w:pPr>
              <w:pStyle w:val="Tablebody"/>
              <w:jc w:val="center"/>
            </w:pPr>
            <w:r w:rsidRPr="001455DC">
              <w:t>1,0</w:t>
            </w:r>
          </w:p>
        </w:tc>
        <w:tc>
          <w:tcPr>
            <w:tcW w:w="1985" w:type="dxa"/>
            <w:vMerge/>
            <w:vAlign w:val="center"/>
          </w:tcPr>
          <w:p w14:paraId="2057C57E" w14:textId="77777777" w:rsidR="004E22C1" w:rsidRPr="001455DC" w:rsidRDefault="004E22C1" w:rsidP="00157BED">
            <w:pPr>
              <w:pStyle w:val="Tablebody"/>
              <w:jc w:val="center"/>
            </w:pPr>
          </w:p>
        </w:tc>
        <w:tc>
          <w:tcPr>
            <w:tcW w:w="3969" w:type="dxa"/>
            <w:vAlign w:val="center"/>
          </w:tcPr>
          <w:p w14:paraId="62404651" w14:textId="77777777" w:rsidR="004E22C1" w:rsidRPr="009D3012" w:rsidRDefault="004E22C1" w:rsidP="00157BED">
            <w:pPr>
              <w:pStyle w:val="Tablebody"/>
              <w:jc w:val="center"/>
              <w:rPr>
                <w:lang w:val="en-US"/>
              </w:rPr>
            </w:pPr>
            <w:r w:rsidRPr="009D3012">
              <w:rPr>
                <w:lang w:val="en-US"/>
              </w:rPr>
              <w:t>Verifications where linear analysis with uncracked sections, i.e. assuming a lower limit of deformations, is applied</w:t>
            </w:r>
          </w:p>
        </w:tc>
      </w:tr>
    </w:tbl>
    <w:p w14:paraId="7DE8DE53" w14:textId="77777777" w:rsidR="004E22C1" w:rsidRPr="001455DC" w:rsidRDefault="004E22C1" w:rsidP="00157BED">
      <w:pPr>
        <w:pStyle w:val="a7"/>
      </w:pPr>
    </w:p>
    <w:p w14:paraId="69A611A2" w14:textId="77777777" w:rsidR="004E22C1" w:rsidRPr="001455DC" w:rsidRDefault="004E22C1" w:rsidP="00157BED">
      <w:pPr>
        <w:pStyle w:val="a7"/>
      </w:pPr>
      <w:r w:rsidRPr="001455DC">
        <w:t>(2)</w:t>
      </w:r>
      <w:r w:rsidRPr="001455DC">
        <w:tab/>
        <w:t xml:space="preserve">Partial factors </w:t>
      </w:r>
      <w:r w:rsidRPr="001455DC">
        <w:rPr>
          <w:rStyle w:val="CCMCvariableitalic"/>
        </w:rPr>
        <w:t>γ</w:t>
      </w:r>
      <w:r w:rsidRPr="001455DC">
        <w:rPr>
          <w:rStyle w:val="CCMCvariablesubscript"/>
        </w:rPr>
        <w:t>ΔP,sup</w:t>
      </w:r>
      <w:r w:rsidRPr="001455DC">
        <w:rPr>
          <w:szCs w:val="19"/>
        </w:rPr>
        <w:t xml:space="preserve"> or </w:t>
      </w:r>
      <w:r w:rsidRPr="001455DC">
        <w:rPr>
          <w:rStyle w:val="CCMCvariableitalic"/>
        </w:rPr>
        <w:t>γ</w:t>
      </w:r>
      <w:r w:rsidRPr="001455DC">
        <w:rPr>
          <w:rStyle w:val="CCMCvariablesubscript"/>
        </w:rPr>
        <w:t>ΔP,inf</w:t>
      </w:r>
      <w:r w:rsidRPr="001455DC">
        <w:rPr>
          <w:szCs w:val="19"/>
        </w:rPr>
        <w:t xml:space="preserve"> </w:t>
      </w:r>
      <w:r w:rsidRPr="001455DC">
        <w:t>shall be applied to the change in stress in unbonded prestressing tendons associated with the deformation of the member for ultimate limit state verifications (see 7.6.5(4)).</w:t>
      </w:r>
    </w:p>
    <w:p w14:paraId="22FF5AE1" w14:textId="77777777" w:rsidR="004E22C1" w:rsidRPr="001455DC" w:rsidRDefault="004E22C1" w:rsidP="00157BED">
      <w:pPr>
        <w:pStyle w:val="Note"/>
      </w:pPr>
      <w:r w:rsidRPr="001455DC">
        <w:t>NOTE</w:t>
      </w:r>
      <w:r w:rsidRPr="001455DC">
        <w:tab/>
        <w:t xml:space="preserve">The values of </w:t>
      </w:r>
      <w:r w:rsidRPr="001455DC">
        <w:rPr>
          <w:rStyle w:val="CCMCvariableitalic"/>
        </w:rPr>
        <w:t>γ</w:t>
      </w:r>
      <w:r w:rsidRPr="001455DC">
        <w:rPr>
          <w:rStyle w:val="CCMCvariablesubscript"/>
        </w:rPr>
        <w:t>ΔP,sup</w:t>
      </w:r>
      <w:r w:rsidRPr="001455DC">
        <w:t xml:space="preserve"> and </w:t>
      </w:r>
      <w:r w:rsidRPr="001455DC">
        <w:rPr>
          <w:rStyle w:val="CCMCvariableitalic"/>
        </w:rPr>
        <w:t>γ</w:t>
      </w:r>
      <w:r w:rsidRPr="001455DC">
        <w:rPr>
          <w:rStyle w:val="CCMCvariablesubscript"/>
        </w:rPr>
        <w:t>ΔP,inf</w:t>
      </w:r>
      <w:r w:rsidRPr="001455DC">
        <w:t xml:space="preserve"> given in Table 4.2(NDP) apply unless a National Annex gives different values.</w:t>
      </w:r>
    </w:p>
    <w:p w14:paraId="394E3A36" w14:textId="1F224B6F" w:rsidR="004E22C1" w:rsidRPr="001455DC" w:rsidRDefault="004E22C1" w:rsidP="00243590">
      <w:pPr>
        <w:pStyle w:val="31"/>
      </w:pPr>
      <w:bookmarkStart w:id="216" w:name="_Toc52819896"/>
      <w:bookmarkStart w:id="217" w:name="_Toc54337289"/>
      <w:bookmarkStart w:id="218" w:name="_Toc54337954"/>
      <w:bookmarkStart w:id="219" w:name="_Toc67565317"/>
      <w:r w:rsidRPr="001455DC">
        <w:t>Partial factors for materials</w:t>
      </w:r>
      <w:bookmarkEnd w:id="216"/>
      <w:bookmarkEnd w:id="217"/>
      <w:bookmarkEnd w:id="218"/>
      <w:bookmarkEnd w:id="219"/>
    </w:p>
    <w:p w14:paraId="091C069B" w14:textId="77777777" w:rsidR="004E22C1" w:rsidRPr="001455DC" w:rsidRDefault="004E22C1" w:rsidP="00157BED">
      <w:pPr>
        <w:pStyle w:val="a7"/>
      </w:pPr>
      <w:r w:rsidRPr="001455DC">
        <w:t>(1)</w:t>
      </w:r>
      <w:r w:rsidRPr="001455DC">
        <w:tab/>
        <w:t xml:space="preserve">Partial factors for materials </w:t>
      </w:r>
      <w:r w:rsidRPr="001455DC">
        <w:rPr>
          <w:rStyle w:val="CCMCvariableitalic"/>
        </w:rPr>
        <w:t>γ</w:t>
      </w:r>
      <w:r w:rsidRPr="001455DC">
        <w:rPr>
          <w:rStyle w:val="CCMCvariablesubscript"/>
        </w:rPr>
        <w:t>C</w:t>
      </w:r>
      <w:r w:rsidRPr="001455DC">
        <w:t xml:space="preserve"> and </w:t>
      </w:r>
      <w:r w:rsidRPr="001455DC">
        <w:rPr>
          <w:rStyle w:val="CCMCvariableitalic"/>
        </w:rPr>
        <w:t>γ</w:t>
      </w:r>
      <w:r w:rsidRPr="001455DC">
        <w:rPr>
          <w:rStyle w:val="CCMCvariablesubscript"/>
        </w:rPr>
        <w:t>S</w:t>
      </w:r>
      <w:r w:rsidRPr="001455DC">
        <w:t xml:space="preserve"> shall be used.</w:t>
      </w:r>
    </w:p>
    <w:p w14:paraId="13362BBF" w14:textId="2D177353" w:rsidR="004E22C1" w:rsidRPr="001455DC" w:rsidRDefault="004E22C1" w:rsidP="00157BED">
      <w:pPr>
        <w:pStyle w:val="Note"/>
      </w:pPr>
      <w:r w:rsidRPr="001455DC">
        <w:t>NOTE 1</w:t>
      </w:r>
      <w:r w:rsidRPr="001455DC">
        <w:tab/>
        <w:t xml:space="preserve">The values of </w:t>
      </w:r>
      <w:r w:rsidRPr="001455DC">
        <w:rPr>
          <w:rStyle w:val="CCMCvariableitalic"/>
        </w:rPr>
        <w:t>γ</w:t>
      </w:r>
      <w:r w:rsidRPr="001455DC">
        <w:rPr>
          <w:rStyle w:val="CCMCvariablesubscript"/>
        </w:rPr>
        <w:t>C</w:t>
      </w:r>
      <w:r w:rsidRPr="001455DC">
        <w:t xml:space="preserve"> and </w:t>
      </w:r>
      <w:r w:rsidRPr="001455DC">
        <w:rPr>
          <w:rStyle w:val="CCMCvariableitalic"/>
        </w:rPr>
        <w:t>γ</w:t>
      </w:r>
      <w:r w:rsidRPr="001455DC">
        <w:rPr>
          <w:rStyle w:val="CCMCvariablesubscript"/>
        </w:rPr>
        <w:t>S</w:t>
      </w:r>
      <w:r w:rsidRPr="001455DC">
        <w:t xml:space="preserve"> are given in Table 4.3(NDP) unless a National Annex gives different values.</w:t>
      </w:r>
    </w:p>
    <w:p w14:paraId="20390426" w14:textId="4221E810" w:rsidR="004E22C1" w:rsidRPr="001455DC" w:rsidRDefault="004E22C1" w:rsidP="00157BED">
      <w:pPr>
        <w:pStyle w:val="Note"/>
      </w:pPr>
      <w:r w:rsidRPr="001455DC">
        <w:t>NOTE 2</w:t>
      </w:r>
      <w:r w:rsidRPr="001455DC">
        <w:tab/>
        <w:t xml:space="preserve">For fire design the partial factors are obtained from </w:t>
      </w:r>
      <w:r w:rsidR="004A56F9">
        <w:t>pr</w:t>
      </w:r>
      <w:r w:rsidRPr="001455DC">
        <w:t>EN 1992</w:t>
      </w:r>
      <w:r w:rsidRPr="001455DC">
        <w:noBreakHyphen/>
        <w:t>1</w:t>
      </w:r>
      <w:r w:rsidRPr="001455DC">
        <w:noBreakHyphen/>
        <w:t xml:space="preserve">2. For seismic design the partial factors are obtained from </w:t>
      </w:r>
      <w:r w:rsidR="00AB5E7A">
        <w:t>pr</w:t>
      </w:r>
      <w:r w:rsidRPr="001455DC">
        <w:t>EN 1998</w:t>
      </w:r>
      <w:r w:rsidR="00F9708F" w:rsidRPr="001455DC">
        <w:t xml:space="preserve"> (all parts)</w:t>
      </w:r>
      <w:r w:rsidRPr="001455DC">
        <w:t>.</w:t>
      </w:r>
    </w:p>
    <w:p w14:paraId="4660DD67" w14:textId="01B49135" w:rsidR="004E22C1" w:rsidRPr="001455DC" w:rsidRDefault="004E22C1" w:rsidP="00157BED">
      <w:pPr>
        <w:pStyle w:val="Tabletitle"/>
      </w:pPr>
      <w:bookmarkStart w:id="220" w:name="_Toc54337290"/>
      <w:r w:rsidRPr="001455DC">
        <w:t>Table 4.3(NDP) — Partial factors for materials</w:t>
      </w:r>
      <w:bookmarkEnd w:id="220"/>
    </w:p>
    <w:tbl>
      <w:tblPr>
        <w:tblStyle w:val="53"/>
        <w:tblW w:w="9752" w:type="dxa"/>
        <w:tblLayout w:type="fixed"/>
        <w:tblCellMar>
          <w:left w:w="71" w:type="dxa"/>
          <w:right w:w="71" w:type="dxa"/>
        </w:tblCellMar>
        <w:tblLook w:val="0660" w:firstRow="1" w:lastRow="1" w:firstColumn="0" w:lastColumn="0" w:noHBand="1" w:noVBand="1"/>
      </w:tblPr>
      <w:tblGrid>
        <w:gridCol w:w="2830"/>
        <w:gridCol w:w="2307"/>
        <w:gridCol w:w="1649"/>
        <w:gridCol w:w="2966"/>
      </w:tblGrid>
      <w:tr w:rsidR="004E22C1" w:rsidRPr="001455DC" w14:paraId="6FB008C5" w14:textId="77777777" w:rsidTr="00157BED">
        <w:trPr>
          <w:cnfStyle w:val="100000000000" w:firstRow="1" w:lastRow="0" w:firstColumn="0" w:lastColumn="0" w:oddVBand="0" w:evenVBand="0" w:oddHBand="0" w:evenHBand="0" w:firstRowFirstColumn="0" w:firstRowLastColumn="0" w:lastRowFirstColumn="0" w:lastRowLastColumn="0"/>
          <w:cantSplit/>
        </w:trPr>
        <w:tc>
          <w:tcPr>
            <w:tcW w:w="2435" w:type="dxa"/>
          </w:tcPr>
          <w:p w14:paraId="0D1A89B8" w14:textId="3D7BA23C" w:rsidR="004E22C1" w:rsidRPr="001455DC" w:rsidRDefault="004E22C1" w:rsidP="00157BED">
            <w:pPr>
              <w:pStyle w:val="Tableheader"/>
              <w:keepNext/>
            </w:pPr>
            <w:r w:rsidRPr="001455DC">
              <w:t>Design situations</w:t>
            </w:r>
            <w:r w:rsidR="000457C9" w:rsidRPr="001455DC">
              <w:t xml:space="preserve"> </w:t>
            </w:r>
            <w:r w:rsidRPr="001455DC">
              <w:t>— Limit</w:t>
            </w:r>
            <w:r w:rsidR="000457C9" w:rsidRPr="001455DC">
              <w:t> </w:t>
            </w:r>
            <w:r w:rsidRPr="001455DC">
              <w:t>states</w:t>
            </w:r>
          </w:p>
        </w:tc>
        <w:tc>
          <w:tcPr>
            <w:tcW w:w="1984" w:type="dxa"/>
          </w:tcPr>
          <w:p w14:paraId="4E220E64" w14:textId="77777777" w:rsidR="004E22C1" w:rsidRPr="009D3012" w:rsidRDefault="004E22C1" w:rsidP="00157BED">
            <w:pPr>
              <w:pStyle w:val="Tableheader"/>
              <w:keepNext/>
              <w:rPr>
                <w:lang w:val="en-US"/>
              </w:rPr>
            </w:pPr>
            <w:r w:rsidRPr="001455DC">
              <w:rPr>
                <w:rStyle w:val="CCMCvariableitalic"/>
              </w:rPr>
              <w:t>γ</w:t>
            </w:r>
            <w:r w:rsidRPr="009D3012">
              <w:rPr>
                <w:rStyle w:val="CCMCvariablesubscript"/>
                <w:lang w:val="en-US"/>
              </w:rPr>
              <w:t>S</w:t>
            </w:r>
            <w:r w:rsidRPr="009D3012">
              <w:rPr>
                <w:lang w:val="en-US"/>
              </w:rPr>
              <w:t xml:space="preserve"> for reinforcing and prestressing steel </w:t>
            </w:r>
          </w:p>
        </w:tc>
        <w:tc>
          <w:tcPr>
            <w:tcW w:w="1418" w:type="dxa"/>
          </w:tcPr>
          <w:p w14:paraId="0B8EF529" w14:textId="77777777" w:rsidR="004E22C1" w:rsidRPr="009D3012" w:rsidRDefault="004E22C1" w:rsidP="00157BED">
            <w:pPr>
              <w:pStyle w:val="Tableheader"/>
              <w:keepNext/>
              <w:rPr>
                <w:lang w:val="en-US"/>
              </w:rPr>
            </w:pPr>
            <w:r w:rsidRPr="001455DC">
              <w:rPr>
                <w:rStyle w:val="CCMCvariableitalic"/>
              </w:rPr>
              <w:t>γ</w:t>
            </w:r>
            <w:r w:rsidRPr="009D3012">
              <w:rPr>
                <w:rStyle w:val="CCMCvariablesubscript"/>
                <w:lang w:val="en-US"/>
              </w:rPr>
              <w:t>C</w:t>
            </w:r>
            <w:r w:rsidRPr="009D3012">
              <w:rPr>
                <w:lang w:val="en-US"/>
              </w:rPr>
              <w:t xml:space="preserve"> and </w:t>
            </w:r>
            <w:r w:rsidRPr="001455DC">
              <w:rPr>
                <w:rStyle w:val="CCMCvariableitalic"/>
              </w:rPr>
              <w:t>γ</w:t>
            </w:r>
            <w:r w:rsidRPr="009D3012">
              <w:rPr>
                <w:rStyle w:val="CCMCvariablesubscript"/>
                <w:lang w:val="en-US"/>
              </w:rPr>
              <w:t>CE</w:t>
            </w:r>
            <w:r w:rsidRPr="009D3012">
              <w:rPr>
                <w:lang w:val="en-US"/>
              </w:rPr>
              <w:t xml:space="preserve"> for concrete</w:t>
            </w:r>
          </w:p>
        </w:tc>
        <w:tc>
          <w:tcPr>
            <w:tcW w:w="2551" w:type="dxa"/>
          </w:tcPr>
          <w:p w14:paraId="297E5C84" w14:textId="59963AD2" w:rsidR="004E22C1" w:rsidRPr="009D3012" w:rsidRDefault="004E22C1" w:rsidP="00157BED">
            <w:pPr>
              <w:pStyle w:val="Tableheader"/>
              <w:keepNext/>
              <w:rPr>
                <w:rStyle w:val="CCMCvariableitalic"/>
                <w:lang w:val="en-US"/>
              </w:rPr>
            </w:pPr>
            <w:r w:rsidRPr="001455DC">
              <w:rPr>
                <w:rStyle w:val="CCMCvariableitalic"/>
              </w:rPr>
              <w:t>γ</w:t>
            </w:r>
            <w:r w:rsidRPr="009D3012">
              <w:rPr>
                <w:rStyle w:val="CCMCvariablesubscript"/>
                <w:lang w:val="en-US"/>
              </w:rPr>
              <w:t>V</w:t>
            </w:r>
            <w:r w:rsidRPr="009D3012">
              <w:rPr>
                <w:lang w:val="en-US"/>
              </w:rPr>
              <w:t xml:space="preserve"> for </w:t>
            </w:r>
            <w:r w:rsidRPr="009D3012">
              <w:rPr>
                <w:rFonts w:eastAsiaTheme="minorHAnsi"/>
                <w:lang w:val="en-US"/>
              </w:rPr>
              <w:t>shear and</w:t>
            </w:r>
            <w:r w:rsidR="00157BED" w:rsidRPr="009D3012">
              <w:rPr>
                <w:rFonts w:eastAsiaTheme="minorHAnsi"/>
                <w:lang w:val="en-US"/>
              </w:rPr>
              <w:t xml:space="preserve"> </w:t>
            </w:r>
            <w:r w:rsidRPr="009D3012">
              <w:rPr>
                <w:rFonts w:eastAsiaTheme="minorHAnsi"/>
                <w:lang w:val="en-US"/>
              </w:rPr>
              <w:t>punching resistance without shear reinforcement</w:t>
            </w:r>
          </w:p>
        </w:tc>
      </w:tr>
      <w:tr w:rsidR="004E22C1" w:rsidRPr="001455DC" w14:paraId="08FC9B6A" w14:textId="77777777" w:rsidTr="00157BED">
        <w:trPr>
          <w:cantSplit/>
        </w:trPr>
        <w:tc>
          <w:tcPr>
            <w:tcW w:w="2435" w:type="dxa"/>
            <w:vAlign w:val="center"/>
          </w:tcPr>
          <w:p w14:paraId="4F4D5F15" w14:textId="77777777" w:rsidR="004E22C1" w:rsidRPr="001455DC" w:rsidRDefault="004E22C1" w:rsidP="00157BED">
            <w:pPr>
              <w:pStyle w:val="Tablebody"/>
              <w:keepNext/>
            </w:pPr>
            <w:r w:rsidRPr="001455DC">
              <w:t>Persistent and transient design situation</w:t>
            </w:r>
          </w:p>
        </w:tc>
        <w:tc>
          <w:tcPr>
            <w:tcW w:w="1984" w:type="dxa"/>
            <w:vAlign w:val="center"/>
          </w:tcPr>
          <w:p w14:paraId="664589A9" w14:textId="77777777" w:rsidR="004E22C1" w:rsidRPr="001455DC" w:rsidRDefault="004E22C1" w:rsidP="00157BED">
            <w:pPr>
              <w:pStyle w:val="Tablebody"/>
              <w:keepNext/>
              <w:jc w:val="center"/>
            </w:pPr>
            <w:r w:rsidRPr="001455DC">
              <w:t>1,15</w:t>
            </w:r>
          </w:p>
        </w:tc>
        <w:tc>
          <w:tcPr>
            <w:tcW w:w="1418" w:type="dxa"/>
            <w:vAlign w:val="center"/>
          </w:tcPr>
          <w:p w14:paraId="14BEFADA" w14:textId="735B640D" w:rsidR="004E22C1" w:rsidRPr="001455DC" w:rsidRDefault="004E22C1" w:rsidP="00157BED">
            <w:pPr>
              <w:pStyle w:val="Tablebody"/>
              <w:keepNext/>
              <w:jc w:val="center"/>
            </w:pPr>
            <w:r w:rsidRPr="001455DC">
              <w:t>1,50</w:t>
            </w:r>
            <w:r w:rsidRPr="001455DC">
              <w:rPr>
                <w:rStyle w:val="CCMCvariablesuperscript"/>
              </w:rPr>
              <w:t>a</w:t>
            </w:r>
          </w:p>
        </w:tc>
        <w:tc>
          <w:tcPr>
            <w:tcW w:w="2551" w:type="dxa"/>
            <w:vAlign w:val="center"/>
          </w:tcPr>
          <w:p w14:paraId="7DAA4A98" w14:textId="77777777" w:rsidR="004E22C1" w:rsidRPr="001455DC" w:rsidRDefault="004E22C1" w:rsidP="00157BED">
            <w:pPr>
              <w:pStyle w:val="Tablebody"/>
              <w:keepNext/>
              <w:jc w:val="center"/>
            </w:pPr>
            <w:r w:rsidRPr="001455DC">
              <w:t>1,40</w:t>
            </w:r>
          </w:p>
        </w:tc>
      </w:tr>
      <w:tr w:rsidR="004E22C1" w:rsidRPr="001455DC" w14:paraId="6C653E7B" w14:textId="77777777" w:rsidTr="00157BED">
        <w:trPr>
          <w:cantSplit/>
        </w:trPr>
        <w:tc>
          <w:tcPr>
            <w:tcW w:w="2435" w:type="dxa"/>
            <w:vAlign w:val="center"/>
          </w:tcPr>
          <w:p w14:paraId="5DE2DE17" w14:textId="77777777" w:rsidR="004E22C1" w:rsidRPr="001455DC" w:rsidRDefault="004E22C1" w:rsidP="00157BED">
            <w:pPr>
              <w:pStyle w:val="Tablebody"/>
              <w:keepNext/>
            </w:pPr>
            <w:r w:rsidRPr="001455DC">
              <w:t>Fatigue design situation</w:t>
            </w:r>
          </w:p>
        </w:tc>
        <w:tc>
          <w:tcPr>
            <w:tcW w:w="1984" w:type="dxa"/>
            <w:vAlign w:val="center"/>
          </w:tcPr>
          <w:p w14:paraId="636EF51D" w14:textId="77777777" w:rsidR="004E22C1" w:rsidRPr="001455DC" w:rsidRDefault="004E22C1" w:rsidP="00157BED">
            <w:pPr>
              <w:pStyle w:val="Tablebody"/>
              <w:keepNext/>
              <w:jc w:val="center"/>
            </w:pPr>
            <w:r w:rsidRPr="001455DC">
              <w:t>1,15</w:t>
            </w:r>
          </w:p>
        </w:tc>
        <w:tc>
          <w:tcPr>
            <w:tcW w:w="1418" w:type="dxa"/>
            <w:vAlign w:val="center"/>
          </w:tcPr>
          <w:p w14:paraId="32BE54CB" w14:textId="77777777" w:rsidR="004E22C1" w:rsidRPr="001455DC" w:rsidRDefault="004E22C1" w:rsidP="00157BED">
            <w:pPr>
              <w:pStyle w:val="Tablebody"/>
              <w:keepNext/>
              <w:jc w:val="center"/>
            </w:pPr>
            <w:r w:rsidRPr="001455DC">
              <w:t>1,50</w:t>
            </w:r>
          </w:p>
        </w:tc>
        <w:tc>
          <w:tcPr>
            <w:tcW w:w="2551" w:type="dxa"/>
            <w:vAlign w:val="center"/>
          </w:tcPr>
          <w:p w14:paraId="4AC7C1DE" w14:textId="77777777" w:rsidR="004E22C1" w:rsidRPr="001455DC" w:rsidRDefault="004E22C1" w:rsidP="00157BED">
            <w:pPr>
              <w:pStyle w:val="Tablebody"/>
              <w:keepNext/>
              <w:jc w:val="center"/>
            </w:pPr>
            <w:r w:rsidRPr="001455DC">
              <w:t>1,40</w:t>
            </w:r>
          </w:p>
        </w:tc>
      </w:tr>
      <w:tr w:rsidR="004E22C1" w:rsidRPr="001455DC" w14:paraId="14BF60B1" w14:textId="77777777" w:rsidTr="00157BED">
        <w:trPr>
          <w:cantSplit/>
        </w:trPr>
        <w:tc>
          <w:tcPr>
            <w:tcW w:w="2435" w:type="dxa"/>
            <w:vAlign w:val="center"/>
          </w:tcPr>
          <w:p w14:paraId="031AF6EA" w14:textId="77777777" w:rsidR="004E22C1" w:rsidRPr="001455DC" w:rsidRDefault="004E22C1" w:rsidP="00157BED">
            <w:pPr>
              <w:pStyle w:val="Tablebody"/>
              <w:keepNext/>
            </w:pPr>
            <w:r w:rsidRPr="001455DC">
              <w:t>Accidental design situation</w:t>
            </w:r>
          </w:p>
        </w:tc>
        <w:tc>
          <w:tcPr>
            <w:tcW w:w="1984" w:type="dxa"/>
            <w:vAlign w:val="center"/>
          </w:tcPr>
          <w:p w14:paraId="3C7F16CC" w14:textId="77777777" w:rsidR="004E22C1" w:rsidRPr="001455DC" w:rsidRDefault="004E22C1" w:rsidP="00157BED">
            <w:pPr>
              <w:pStyle w:val="Tablebody"/>
              <w:keepNext/>
              <w:jc w:val="center"/>
            </w:pPr>
            <w:r w:rsidRPr="001455DC">
              <w:t>1,00</w:t>
            </w:r>
          </w:p>
        </w:tc>
        <w:tc>
          <w:tcPr>
            <w:tcW w:w="1418" w:type="dxa"/>
            <w:vAlign w:val="center"/>
          </w:tcPr>
          <w:p w14:paraId="729A54E5" w14:textId="77777777" w:rsidR="004E22C1" w:rsidRPr="001455DC" w:rsidRDefault="004E22C1" w:rsidP="00157BED">
            <w:pPr>
              <w:pStyle w:val="Tablebody"/>
              <w:keepNext/>
              <w:jc w:val="center"/>
            </w:pPr>
            <w:r w:rsidRPr="001455DC">
              <w:t>1,15</w:t>
            </w:r>
          </w:p>
        </w:tc>
        <w:tc>
          <w:tcPr>
            <w:tcW w:w="2551" w:type="dxa"/>
            <w:vAlign w:val="center"/>
          </w:tcPr>
          <w:p w14:paraId="25B7BC4B" w14:textId="77777777" w:rsidR="004E22C1" w:rsidRPr="001455DC" w:rsidRDefault="004E22C1" w:rsidP="00157BED">
            <w:pPr>
              <w:pStyle w:val="Tablebody"/>
              <w:keepNext/>
              <w:jc w:val="center"/>
            </w:pPr>
            <w:r w:rsidRPr="001455DC">
              <w:t>1,15</w:t>
            </w:r>
          </w:p>
        </w:tc>
      </w:tr>
      <w:tr w:rsidR="004E22C1" w:rsidRPr="001455DC" w14:paraId="017A7B5F" w14:textId="77777777" w:rsidTr="00157BED">
        <w:trPr>
          <w:cantSplit/>
        </w:trPr>
        <w:tc>
          <w:tcPr>
            <w:tcW w:w="2435" w:type="dxa"/>
            <w:tcBorders>
              <w:bottom w:val="single" w:sz="12" w:space="0" w:color="000000"/>
            </w:tcBorders>
            <w:vAlign w:val="center"/>
          </w:tcPr>
          <w:p w14:paraId="0CED18CE" w14:textId="0733545B" w:rsidR="004E22C1" w:rsidRPr="009D3012" w:rsidRDefault="004E22C1" w:rsidP="00157BED">
            <w:pPr>
              <w:pStyle w:val="Tablebody"/>
              <w:keepNext/>
              <w:rPr>
                <w:rStyle w:val="CCMCvariablesuperscript"/>
              </w:rPr>
            </w:pPr>
            <w:r w:rsidRPr="009D3012">
              <w:t>Serviceability limit state</w:t>
            </w:r>
          </w:p>
        </w:tc>
        <w:tc>
          <w:tcPr>
            <w:tcW w:w="1984" w:type="dxa"/>
            <w:tcBorders>
              <w:bottom w:val="single" w:sz="12" w:space="0" w:color="000000"/>
            </w:tcBorders>
            <w:vAlign w:val="center"/>
          </w:tcPr>
          <w:p w14:paraId="7EDD5AA4" w14:textId="77777777" w:rsidR="004E22C1" w:rsidRPr="001455DC" w:rsidRDefault="004E22C1" w:rsidP="00157BED">
            <w:pPr>
              <w:pStyle w:val="Tablebody"/>
              <w:keepNext/>
              <w:jc w:val="center"/>
            </w:pPr>
            <w:r w:rsidRPr="001455DC">
              <w:t>1,00</w:t>
            </w:r>
          </w:p>
        </w:tc>
        <w:tc>
          <w:tcPr>
            <w:tcW w:w="1418" w:type="dxa"/>
            <w:tcBorders>
              <w:bottom w:val="single" w:sz="12" w:space="0" w:color="000000"/>
            </w:tcBorders>
            <w:vAlign w:val="center"/>
          </w:tcPr>
          <w:p w14:paraId="0CEB548B" w14:textId="77777777" w:rsidR="004E22C1" w:rsidRPr="001455DC" w:rsidRDefault="004E22C1" w:rsidP="00157BED">
            <w:pPr>
              <w:pStyle w:val="Tablebody"/>
              <w:keepNext/>
              <w:jc w:val="center"/>
            </w:pPr>
            <w:r w:rsidRPr="001455DC">
              <w:t>1,00</w:t>
            </w:r>
          </w:p>
        </w:tc>
        <w:tc>
          <w:tcPr>
            <w:tcW w:w="2551" w:type="dxa"/>
            <w:tcBorders>
              <w:bottom w:val="single" w:sz="12" w:space="0" w:color="000000"/>
            </w:tcBorders>
            <w:vAlign w:val="center"/>
          </w:tcPr>
          <w:p w14:paraId="3B1721DA" w14:textId="77777777" w:rsidR="004E22C1" w:rsidRPr="001455DC" w:rsidRDefault="004E22C1" w:rsidP="00157BED">
            <w:pPr>
              <w:pStyle w:val="Tablebody"/>
              <w:keepNext/>
              <w:jc w:val="center"/>
            </w:pPr>
            <w:r w:rsidRPr="001455DC">
              <w:t>–</w:t>
            </w:r>
          </w:p>
        </w:tc>
      </w:tr>
      <w:tr w:rsidR="004E22C1" w:rsidRPr="001455DC" w14:paraId="070BF733" w14:textId="77777777" w:rsidTr="00157BED">
        <w:trPr>
          <w:cantSplit/>
        </w:trPr>
        <w:tc>
          <w:tcPr>
            <w:tcW w:w="8388" w:type="dxa"/>
            <w:gridSpan w:val="4"/>
            <w:tcBorders>
              <w:top w:val="single" w:sz="12" w:space="0" w:color="000000"/>
              <w:bottom w:val="single" w:sz="12" w:space="0" w:color="auto"/>
            </w:tcBorders>
          </w:tcPr>
          <w:p w14:paraId="4C417AAC" w14:textId="13FCACB5" w:rsidR="004E22C1" w:rsidRPr="009D3012" w:rsidRDefault="004E22C1" w:rsidP="00157BED">
            <w:pPr>
              <w:pStyle w:val="Tablefooternote"/>
              <w:keepNext/>
              <w:rPr>
                <w:rStyle w:val="CCMCvariablesuperscript"/>
                <w:vertAlign w:val="baseline"/>
                <w:lang w:val="en-US"/>
              </w:rPr>
            </w:pPr>
            <w:r w:rsidRPr="009D3012">
              <w:rPr>
                <w:lang w:val="en-US"/>
              </w:rPr>
              <w:t>NOTE</w:t>
            </w:r>
            <w:r w:rsidRPr="009D3012">
              <w:rPr>
                <w:lang w:val="en-US"/>
              </w:rPr>
              <w:tab/>
              <w:t>The partial factors for materials correspond to geometrical deviations of Tolerance Class 1 and Execution Class 2 in EN 13670.</w:t>
            </w:r>
          </w:p>
        </w:tc>
      </w:tr>
      <w:tr w:rsidR="00157BED" w:rsidRPr="001455DC" w14:paraId="2A09FFA3" w14:textId="77777777" w:rsidTr="00157BED">
        <w:trPr>
          <w:cnfStyle w:val="010000000000" w:firstRow="0" w:lastRow="1" w:firstColumn="0" w:lastColumn="0" w:oddVBand="0" w:evenVBand="0" w:oddHBand="0" w:evenHBand="0" w:firstRowFirstColumn="0" w:firstRowLastColumn="0" w:lastRowFirstColumn="0" w:lastRowLastColumn="0"/>
          <w:cantSplit/>
        </w:trPr>
        <w:tc>
          <w:tcPr>
            <w:tcW w:w="8388" w:type="dxa"/>
            <w:gridSpan w:val="4"/>
          </w:tcPr>
          <w:p w14:paraId="159C58DE" w14:textId="383058DE" w:rsidR="00157BED" w:rsidRPr="009D3012" w:rsidRDefault="00157BED" w:rsidP="00157BED">
            <w:pPr>
              <w:pStyle w:val="Tablefooter"/>
              <w:rPr>
                <w:rStyle w:val="CCMCvariablesuperscript"/>
                <w:lang w:val="en-US"/>
              </w:rPr>
            </w:pPr>
            <w:r w:rsidRPr="009D3012">
              <w:rPr>
                <w:rStyle w:val="CCMCvariablesuperscript"/>
                <w:lang w:val="en-US"/>
              </w:rPr>
              <w:t>a</w:t>
            </w:r>
            <w:r w:rsidRPr="009D3012">
              <w:rPr>
                <w:lang w:val="en-US"/>
              </w:rPr>
              <w:tab/>
              <w:t xml:space="preserve">The value for </w:t>
            </w:r>
            <w:r w:rsidRPr="001455DC">
              <w:rPr>
                <w:rStyle w:val="CCMCvariableitalic"/>
              </w:rPr>
              <w:t>γ</w:t>
            </w:r>
            <w:r w:rsidRPr="009D3012">
              <w:rPr>
                <w:rStyle w:val="CCMCvariablesubscript"/>
                <w:lang w:val="en-US"/>
              </w:rPr>
              <w:t>CE</w:t>
            </w:r>
            <w:r w:rsidRPr="009D3012">
              <w:rPr>
                <w:lang w:val="en-US"/>
              </w:rPr>
              <w:t xml:space="preserve"> apply when the indicative value for the elastic modulus according 5.1.4(2) is used. A value </w:t>
            </w:r>
            <w:r w:rsidRPr="001455DC">
              <w:rPr>
                <w:rStyle w:val="CCMCvariableitalic"/>
              </w:rPr>
              <w:t>γ</w:t>
            </w:r>
            <w:r w:rsidRPr="009D3012">
              <w:rPr>
                <w:rStyle w:val="CCMCvariablesubscript"/>
                <w:lang w:val="en-US"/>
              </w:rPr>
              <w:t>CE</w:t>
            </w:r>
            <w:r w:rsidRPr="009D3012">
              <w:rPr>
                <w:lang w:val="en-US"/>
              </w:rPr>
              <w:t> </w:t>
            </w:r>
            <w:r w:rsidR="00EC27D2" w:rsidRPr="009D3012">
              <w:rPr>
                <w:rFonts w:ascii="Cambria Math" w:hAnsi="Cambria Math"/>
                <w:lang w:val="en-US"/>
              </w:rPr>
              <w:t>=</w:t>
            </w:r>
            <w:r w:rsidRPr="009D3012">
              <w:rPr>
                <w:lang w:val="en-US"/>
              </w:rPr>
              <w:t> 1,3 apply when the elastic modulus is determined according to 5.1.4(1).</w:t>
            </w:r>
          </w:p>
        </w:tc>
      </w:tr>
    </w:tbl>
    <w:p w14:paraId="7117036A" w14:textId="77777777" w:rsidR="004E22C1" w:rsidRPr="001455DC" w:rsidRDefault="004E22C1" w:rsidP="00157BED">
      <w:pPr>
        <w:pStyle w:val="a7"/>
      </w:pPr>
    </w:p>
    <w:p w14:paraId="1AEAF9F0" w14:textId="77AFF4E4" w:rsidR="004E22C1" w:rsidRPr="001455DC" w:rsidRDefault="004E22C1" w:rsidP="00157BED">
      <w:pPr>
        <w:pStyle w:val="a7"/>
      </w:pPr>
      <w:r w:rsidRPr="001455DC">
        <w:t>(2)</w:t>
      </w:r>
      <w:r w:rsidRPr="001455DC">
        <w:tab/>
        <w:t xml:space="preserve">Lower values of partial factor </w:t>
      </w:r>
      <w:r w:rsidRPr="001455DC">
        <w:rPr>
          <w:rStyle w:val="CCMCvariableitalic"/>
        </w:rPr>
        <w:t>γ</w:t>
      </w:r>
      <w:r w:rsidRPr="001455DC">
        <w:rPr>
          <w:rStyle w:val="CCMCvariablesubscript"/>
        </w:rPr>
        <w:t>S</w:t>
      </w:r>
      <w:r w:rsidRPr="001455DC">
        <w:t xml:space="preserve"> for the verification of the ULS in case of persistent, transient and accidental design situations may be used according to A(</w:t>
      </w:r>
      <w:r w:rsidR="00AC1836" w:rsidRPr="001455DC">
        <w:t>6</w:t>
      </w:r>
      <w:r w:rsidRPr="001455DC">
        <w:t>) if a design value of the effective depth</w:t>
      </w:r>
      <w:r w:rsidR="00AC1836" w:rsidRPr="009D3012">
        <w:rPr>
          <w:i/>
          <w:iCs/>
        </w:rPr>
        <w:t xml:space="preserve"> d</w:t>
      </w:r>
      <w:r w:rsidR="00AC1836" w:rsidRPr="009D3012">
        <w:rPr>
          <w:vertAlign w:val="subscript"/>
        </w:rPr>
        <w:t>d</w:t>
      </w:r>
      <w:r w:rsidRPr="001455DC">
        <w:t xml:space="preserve"> is considered.</w:t>
      </w:r>
    </w:p>
    <w:p w14:paraId="43832C8D" w14:textId="77777777" w:rsidR="004E22C1" w:rsidRPr="001455DC" w:rsidRDefault="004E22C1" w:rsidP="00157BED">
      <w:pPr>
        <w:pStyle w:val="a7"/>
      </w:pPr>
      <w:r w:rsidRPr="001455DC">
        <w:t>(3)</w:t>
      </w:r>
      <w:r w:rsidRPr="001455DC">
        <w:tab/>
        <w:t xml:space="preserve">Lower values of </w:t>
      </w:r>
      <w:r w:rsidRPr="001455DC">
        <w:rPr>
          <w:rStyle w:val="CCMCvariableitalic"/>
        </w:rPr>
        <w:t>γ</w:t>
      </w:r>
      <w:r w:rsidRPr="001455DC">
        <w:rPr>
          <w:rStyle w:val="CCMCvariablesubscript"/>
        </w:rPr>
        <w:t>C</w:t>
      </w:r>
      <w:r w:rsidRPr="001455DC">
        <w:t xml:space="preserve"> and </w:t>
      </w:r>
      <w:r w:rsidRPr="001455DC">
        <w:rPr>
          <w:rStyle w:val="CCMCvariableitalic"/>
        </w:rPr>
        <w:t>γ</w:t>
      </w:r>
      <w:r w:rsidRPr="001455DC">
        <w:rPr>
          <w:rStyle w:val="CCMCvariablesubscript"/>
        </w:rPr>
        <w:t>S</w:t>
      </w:r>
      <w:r w:rsidRPr="001455DC">
        <w:t xml:space="preserve"> may be used if justified by measures reducing the uncertainty in the calculated resistance, as specified in Annex A.</w:t>
      </w:r>
    </w:p>
    <w:p w14:paraId="1A50F830" w14:textId="77777777" w:rsidR="004E22C1" w:rsidRPr="001455DC" w:rsidRDefault="004E22C1" w:rsidP="00157BED">
      <w:pPr>
        <w:pStyle w:val="a7"/>
      </w:pPr>
      <w:r w:rsidRPr="001455DC">
        <w:t>(4)</w:t>
      </w:r>
      <w:r w:rsidRPr="001455DC">
        <w:tab/>
        <w:t xml:space="preserve">To allow for increased uncertainty and variability of concrete strength in cast-in-place concrete members, cast in the ground at significant depth without permanent casing, the partial factor </w:t>
      </w:r>
      <w:r w:rsidRPr="001455DC">
        <w:rPr>
          <w:rStyle w:val="CCMCvariableitalic"/>
        </w:rPr>
        <w:t>γ</w:t>
      </w:r>
      <w:r w:rsidRPr="001455DC">
        <w:rPr>
          <w:rStyle w:val="CCMCvariablesubscript"/>
        </w:rPr>
        <w:t>C</w:t>
      </w:r>
      <w:r w:rsidRPr="001455DC">
        <w:t xml:space="preserve"> should be multiplied by a factor </w:t>
      </w:r>
      <w:r w:rsidRPr="001455DC">
        <w:rPr>
          <w:rStyle w:val="CCMCvariableitalic"/>
        </w:rPr>
        <w:t>k</w:t>
      </w:r>
      <w:r w:rsidRPr="001455DC">
        <w:rPr>
          <w:rStyle w:val="CCMCvariablesubscript"/>
        </w:rPr>
        <w:t>cip</w:t>
      </w:r>
      <w:r w:rsidRPr="001455DC">
        <w:t>.</w:t>
      </w:r>
    </w:p>
    <w:p w14:paraId="2F4E108C" w14:textId="77777777" w:rsidR="004E22C1" w:rsidRPr="001455DC" w:rsidRDefault="004E22C1" w:rsidP="00157BED">
      <w:pPr>
        <w:pStyle w:val="Note"/>
      </w:pPr>
      <w:r w:rsidRPr="001455DC">
        <w:t>NOTE</w:t>
      </w:r>
      <w:r w:rsidRPr="001455DC">
        <w:tab/>
        <w:t xml:space="preserve">The value of </w:t>
      </w:r>
      <w:r w:rsidRPr="001455DC">
        <w:rPr>
          <w:rStyle w:val="CCMCvariableitalic"/>
        </w:rPr>
        <w:t>k</w:t>
      </w:r>
      <w:r w:rsidRPr="001455DC">
        <w:rPr>
          <w:rStyle w:val="CCMCvariablesubscript"/>
        </w:rPr>
        <w:t>cip</w:t>
      </w:r>
      <w:r w:rsidRPr="001455DC">
        <w:t xml:space="preserve"> is 1,1 in general and 1,0 for cast-in-place concrete members built in accordance with EN 1536, EN 1538 or </w:t>
      </w:r>
      <w:bookmarkStart w:id="221" w:name="_Hlk60998912"/>
      <w:r w:rsidRPr="001455DC">
        <w:t>EN 14199</w:t>
      </w:r>
      <w:bookmarkEnd w:id="221"/>
      <w:r w:rsidRPr="001455DC">
        <w:t>, unless a National Annex gives different values.</w:t>
      </w:r>
    </w:p>
    <w:p w14:paraId="60DD8CCB" w14:textId="141A37CB" w:rsidR="004E22C1" w:rsidRPr="001455DC" w:rsidRDefault="004E22C1" w:rsidP="006D682B">
      <w:pPr>
        <w:pStyle w:val="21"/>
      </w:pPr>
      <w:bookmarkStart w:id="222" w:name="_Toc52819897"/>
      <w:bookmarkStart w:id="223" w:name="_Toc54337291"/>
      <w:bookmarkStart w:id="224" w:name="_Toc54337955"/>
      <w:bookmarkStart w:id="225" w:name="_Toc67565318"/>
      <w:r w:rsidRPr="001455DC">
        <w:t>Requirements for fastenings</w:t>
      </w:r>
      <w:r w:rsidRPr="001455DC">
        <w:rPr>
          <w:rFonts w:eastAsiaTheme="minorHAnsi"/>
        </w:rPr>
        <w:t xml:space="preserve"> </w:t>
      </w:r>
      <w:r w:rsidRPr="001455DC">
        <w:t>and post-installed reinforcing steel</w:t>
      </w:r>
      <w:bookmarkEnd w:id="222"/>
      <w:bookmarkEnd w:id="223"/>
      <w:bookmarkEnd w:id="224"/>
      <w:bookmarkEnd w:id="225"/>
    </w:p>
    <w:p w14:paraId="561469B5" w14:textId="77777777" w:rsidR="001D30F9" w:rsidRPr="001455DC" w:rsidRDefault="001D30F9" w:rsidP="001D30F9">
      <w:pPr>
        <w:spacing w:before="40" w:after="40"/>
      </w:pPr>
      <w:r w:rsidRPr="001455DC">
        <w:t>(1)  Reinforcement which is either cast-in or drilled-in and grouted into hardened concrete extending out of a member and/or connecting a member to an adjacent member, shall be properly anchored into the concrete member.</w:t>
      </w:r>
    </w:p>
    <w:p w14:paraId="5BE98A78" w14:textId="5169C919" w:rsidR="001D30F9" w:rsidRPr="009D3012" w:rsidRDefault="001D30F9" w:rsidP="00157BED">
      <w:pPr>
        <w:pStyle w:val="a7"/>
      </w:pPr>
      <w:r w:rsidRPr="001455DC">
        <w:t xml:space="preserve">(2)  For reinforcement under tension for which concrete breakout or blowout is prevented or not relevant according to </w:t>
      </w:r>
      <w:r w:rsidRPr="009D3012">
        <w:t xml:space="preserve">EN 1992-4 </w:t>
      </w:r>
      <w:r w:rsidRPr="001455DC">
        <w:t xml:space="preserve">and for reinforcement under compression, the capacity in bond and the transfer of forces to the reinforcement of the member shall be verified according to the provisions in Clause </w:t>
      </w:r>
      <w:r w:rsidRPr="009D3012">
        <w:t>11</w:t>
      </w:r>
      <w:r w:rsidRPr="001455DC">
        <w:t xml:space="preserve">. Otherwise, the connection shall be verified according to </w:t>
      </w:r>
      <w:r w:rsidRPr="009D3012">
        <w:t>EN 1992-4.</w:t>
      </w:r>
    </w:p>
    <w:p w14:paraId="0DD388AB" w14:textId="0E0A3786" w:rsidR="00A735A5" w:rsidRPr="001455DC" w:rsidRDefault="00A735A5" w:rsidP="00157BED">
      <w:pPr>
        <w:pStyle w:val="a7"/>
      </w:pPr>
      <w:r w:rsidRPr="001455DC">
        <w:rPr>
          <w:rFonts w:cs="Arial"/>
        </w:rPr>
        <w:t xml:space="preserve">(3) The local and global structural effects of fastenings shall be considered in the design of the parent member in accordance with this </w:t>
      </w:r>
      <w:r w:rsidRPr="009D3012">
        <w:rPr>
          <w:rFonts w:cs="Arial"/>
        </w:rPr>
        <w:t xml:space="preserve">Eurocode. Fastenings </w:t>
      </w:r>
      <w:r w:rsidRPr="001455DC">
        <w:rPr>
          <w:rFonts w:cs="Arial"/>
        </w:rPr>
        <w:t xml:space="preserve">shall be designed in accordance with </w:t>
      </w:r>
      <w:r w:rsidRPr="001455DC">
        <w:rPr>
          <w:rFonts w:cs="Arial"/>
        </w:rPr>
        <w:br/>
      </w:r>
      <w:r w:rsidRPr="009D3012">
        <w:rPr>
          <w:rFonts w:cs="Arial"/>
        </w:rPr>
        <w:t>EN 1992-4</w:t>
      </w:r>
      <w:r w:rsidRPr="001455DC">
        <w:rPr>
          <w:rFonts w:cs="Arial"/>
        </w:rPr>
        <w:t>.</w:t>
      </w:r>
    </w:p>
    <w:p w14:paraId="6A9E5A69" w14:textId="3B693E22" w:rsidR="004E22C1" w:rsidRPr="001455DC" w:rsidRDefault="004E22C1" w:rsidP="00157BED">
      <w:pPr>
        <w:pStyle w:val="Note"/>
      </w:pPr>
      <w:r w:rsidRPr="001455DC">
        <w:t>NOTE</w:t>
      </w:r>
      <w:r w:rsidRPr="001455DC">
        <w:tab/>
        <w:t>For requirements to post-installed reinforcing steel systems</w:t>
      </w:r>
      <w:r w:rsidR="0067270F">
        <w:t>,</w:t>
      </w:r>
      <w:r w:rsidRPr="001455DC">
        <w:t xml:space="preserve"> see also C.</w:t>
      </w:r>
      <w:r w:rsidR="007A4A17" w:rsidRPr="001455DC">
        <w:t>8</w:t>
      </w:r>
      <w:r w:rsidRPr="001455DC">
        <w:t>.</w:t>
      </w:r>
    </w:p>
    <w:p w14:paraId="57FF6B33" w14:textId="1DAACC82" w:rsidR="004E22C1" w:rsidRPr="001455DC" w:rsidRDefault="00157BED" w:rsidP="00157BED">
      <w:pPr>
        <w:pStyle w:val="1"/>
        <w:pageBreakBefore/>
      </w:pPr>
      <w:bookmarkStart w:id="226" w:name="QuickMark"/>
      <w:bookmarkStart w:id="227" w:name="_Toc52819898"/>
      <w:bookmarkStart w:id="228" w:name="_Toc54337122"/>
      <w:bookmarkStart w:id="229" w:name="_Toc54337292"/>
      <w:bookmarkStart w:id="230" w:name="_Toc54337956"/>
      <w:bookmarkStart w:id="231" w:name="_Toc67565319"/>
      <w:bookmarkEnd w:id="226"/>
      <w:r w:rsidRPr="001455DC">
        <w:t>Materials</w:t>
      </w:r>
      <w:bookmarkEnd w:id="227"/>
      <w:bookmarkEnd w:id="228"/>
      <w:bookmarkEnd w:id="229"/>
      <w:bookmarkEnd w:id="230"/>
      <w:bookmarkEnd w:id="231"/>
    </w:p>
    <w:p w14:paraId="7CC0636F" w14:textId="545A0D73" w:rsidR="004E22C1" w:rsidRPr="001455DC" w:rsidRDefault="004E22C1" w:rsidP="006D682B">
      <w:pPr>
        <w:pStyle w:val="21"/>
      </w:pPr>
      <w:bookmarkStart w:id="232" w:name="_Toc52819899"/>
      <w:bookmarkStart w:id="233" w:name="_Toc54337293"/>
      <w:bookmarkStart w:id="234" w:name="_Toc54337957"/>
      <w:bookmarkStart w:id="235" w:name="_Toc67565320"/>
      <w:r w:rsidRPr="001455DC">
        <w:t>Concrete</w:t>
      </w:r>
      <w:bookmarkEnd w:id="232"/>
      <w:bookmarkEnd w:id="233"/>
      <w:bookmarkEnd w:id="234"/>
      <w:bookmarkEnd w:id="235"/>
    </w:p>
    <w:p w14:paraId="7BB38657" w14:textId="3C744A7A" w:rsidR="004E22C1" w:rsidRPr="001455DC" w:rsidRDefault="004E22C1" w:rsidP="00243590">
      <w:pPr>
        <w:pStyle w:val="31"/>
      </w:pPr>
      <w:bookmarkStart w:id="236" w:name="_Toc52819900"/>
      <w:bookmarkStart w:id="237" w:name="_Toc54337294"/>
      <w:bookmarkStart w:id="238" w:name="_Toc54337958"/>
      <w:bookmarkStart w:id="239" w:name="_Toc67565321"/>
      <w:r w:rsidRPr="001455DC">
        <w:t>General</w:t>
      </w:r>
      <w:bookmarkEnd w:id="236"/>
      <w:bookmarkEnd w:id="237"/>
      <w:bookmarkEnd w:id="238"/>
      <w:bookmarkEnd w:id="239"/>
    </w:p>
    <w:p w14:paraId="3135C2E6" w14:textId="376CC602" w:rsidR="004E22C1" w:rsidRPr="001455DC" w:rsidRDefault="004E22C1" w:rsidP="00157BED">
      <w:pPr>
        <w:pStyle w:val="a7"/>
      </w:pPr>
      <w:r w:rsidRPr="001455DC">
        <w:t>(1)</w:t>
      </w:r>
      <w:r w:rsidRPr="001455DC">
        <w:tab/>
        <w:t xml:space="preserve">The </w:t>
      </w:r>
      <w:r w:rsidR="00F07336" w:rsidRPr="001455DC">
        <w:t xml:space="preserve">Clauses </w:t>
      </w:r>
      <w:r w:rsidRPr="001455DC">
        <w:t>in 5.1 give provisions for normal weight and heavy weight concrete.</w:t>
      </w:r>
    </w:p>
    <w:p w14:paraId="7682BECE" w14:textId="77777777" w:rsidR="004E22C1" w:rsidRPr="001455DC" w:rsidRDefault="004E22C1" w:rsidP="00157BED">
      <w:pPr>
        <w:pStyle w:val="Note"/>
      </w:pPr>
      <w:r w:rsidRPr="001455DC">
        <w:rPr>
          <w:bCs/>
        </w:rPr>
        <w:t>NOTE 1</w:t>
      </w:r>
      <w:r w:rsidRPr="001455DC">
        <w:rPr>
          <w:bCs/>
        </w:rPr>
        <w:tab/>
      </w:r>
      <w:r w:rsidRPr="001455DC">
        <w:t>Specific rules for steel fibres reinforced concrete are given in Annex L.</w:t>
      </w:r>
    </w:p>
    <w:p w14:paraId="10DEC918" w14:textId="77777777" w:rsidR="004E22C1" w:rsidRPr="001455DC" w:rsidRDefault="004E22C1" w:rsidP="00157BED">
      <w:pPr>
        <w:pStyle w:val="Note"/>
      </w:pPr>
      <w:r w:rsidRPr="001455DC">
        <w:t>NOTE 2</w:t>
      </w:r>
      <w:r w:rsidRPr="001455DC">
        <w:tab/>
        <w:t>Specific rules for lightweight concrete are given in Annex M.</w:t>
      </w:r>
    </w:p>
    <w:p w14:paraId="4DD552B1" w14:textId="77777777" w:rsidR="004E22C1" w:rsidRPr="001455DC" w:rsidRDefault="004E22C1" w:rsidP="00157BED">
      <w:pPr>
        <w:pStyle w:val="Note"/>
      </w:pPr>
      <w:r w:rsidRPr="001455DC">
        <w:t>NOTE 3</w:t>
      </w:r>
      <w:r w:rsidRPr="001455DC">
        <w:tab/>
        <w:t>Specific rules for concrete using recycled aggregates are given in Annex N.</w:t>
      </w:r>
    </w:p>
    <w:p w14:paraId="0BD23A41" w14:textId="6254AAA8" w:rsidR="004E22C1" w:rsidRPr="001455DC" w:rsidRDefault="004E22C1" w:rsidP="00157BED">
      <w:pPr>
        <w:pStyle w:val="a7"/>
      </w:pPr>
      <w:r w:rsidRPr="001455DC">
        <w:t>(2)</w:t>
      </w:r>
      <w:r w:rsidRPr="001455DC">
        <w:tab/>
        <w:t xml:space="preserve">Concrete used for structures designed in accordance with this Eurocode </w:t>
      </w:r>
      <w:r w:rsidR="00A52A59" w:rsidRPr="001455DC">
        <w:t>sh</w:t>
      </w:r>
      <w:r w:rsidR="00A52A59">
        <w:t>all</w:t>
      </w:r>
      <w:r w:rsidR="00A52A59" w:rsidRPr="001455DC">
        <w:t xml:space="preserve"> </w:t>
      </w:r>
      <w:r w:rsidRPr="001455DC">
        <w:t>comply with EN 206.</w:t>
      </w:r>
    </w:p>
    <w:p w14:paraId="1B117CF3" w14:textId="1DC2DA88" w:rsidR="004E22C1" w:rsidRPr="001455DC" w:rsidRDefault="004E22C1" w:rsidP="00243590">
      <w:pPr>
        <w:pStyle w:val="31"/>
      </w:pPr>
      <w:bookmarkStart w:id="240" w:name="_Toc52819901"/>
      <w:bookmarkStart w:id="241" w:name="_Toc54337295"/>
      <w:bookmarkStart w:id="242" w:name="_Toc54337959"/>
      <w:bookmarkStart w:id="243" w:name="_Toc67565322"/>
      <w:r w:rsidRPr="001455DC">
        <w:t>Properties and related conditions</w:t>
      </w:r>
      <w:bookmarkEnd w:id="240"/>
      <w:bookmarkEnd w:id="241"/>
      <w:bookmarkEnd w:id="242"/>
      <w:bookmarkEnd w:id="243"/>
    </w:p>
    <w:p w14:paraId="08F325A3" w14:textId="549BDA98" w:rsidR="004E22C1" w:rsidRPr="001455DC" w:rsidRDefault="004E22C1" w:rsidP="000457C9">
      <w:pPr>
        <w:pStyle w:val="a7"/>
        <w:keepNext/>
      </w:pPr>
      <w:r w:rsidRPr="001455DC">
        <w:t>(1)</w:t>
      </w:r>
      <w:r w:rsidRPr="001455DC">
        <w:tab/>
        <w:t>Specified properties and related conditions of concrete that are required for design to this Eurocode should include at least:</w:t>
      </w:r>
    </w:p>
    <w:p w14:paraId="72F789E5" w14:textId="0E989459" w:rsidR="004E22C1" w:rsidRPr="001455DC" w:rsidRDefault="004E22C1" w:rsidP="00353CE4">
      <w:pPr>
        <w:pStyle w:val="a0"/>
      </w:pPr>
      <w:r w:rsidRPr="001455DC">
        <w:t>concrete strength class according to 5.1.3(3);</w:t>
      </w:r>
    </w:p>
    <w:p w14:paraId="1D72126D" w14:textId="585AAC1F" w:rsidR="004E22C1" w:rsidRPr="001455DC" w:rsidRDefault="004E22C1" w:rsidP="00353CE4">
      <w:pPr>
        <w:pStyle w:val="a0"/>
      </w:pPr>
      <w:r w:rsidRPr="001455DC">
        <w:t>aggregate sizes (</w:t>
      </w:r>
      <w:r w:rsidRPr="001455DC">
        <w:rPr>
          <w:rStyle w:val="CCMCvariableitalic"/>
        </w:rPr>
        <w:t>D</w:t>
      </w:r>
      <w:r w:rsidRPr="001455DC">
        <w:rPr>
          <w:rStyle w:val="CCMCvariablesubscript"/>
        </w:rPr>
        <w:t>upper</w:t>
      </w:r>
      <w:r w:rsidRPr="001455DC">
        <w:t xml:space="preserve"> and </w:t>
      </w:r>
      <w:r w:rsidRPr="001455DC">
        <w:rPr>
          <w:rStyle w:val="CCMCvariableitalic"/>
        </w:rPr>
        <w:t>D</w:t>
      </w:r>
      <w:r w:rsidRPr="001455DC">
        <w:rPr>
          <w:rStyle w:val="CCMCvariablesubscript"/>
        </w:rPr>
        <w:t>lower</w:t>
      </w:r>
      <w:r w:rsidRPr="001455DC">
        <w:t>) in accordance with EN 206;</w:t>
      </w:r>
    </w:p>
    <w:p w14:paraId="3C39995E" w14:textId="02535EA5" w:rsidR="004E22C1" w:rsidRPr="001455DC" w:rsidRDefault="004E22C1" w:rsidP="00353CE4">
      <w:pPr>
        <w:pStyle w:val="a0"/>
      </w:pPr>
      <w:r w:rsidRPr="001455DC">
        <w:t xml:space="preserve">exposure class related to environmental conditions according to </w:t>
      </w:r>
      <w:r w:rsidR="001710FF" w:rsidRPr="001455DC">
        <w:t>Clause </w:t>
      </w:r>
      <w:r w:rsidRPr="001455DC">
        <w:t>6;</w:t>
      </w:r>
    </w:p>
    <w:p w14:paraId="08BD86B7" w14:textId="4A1915EE" w:rsidR="004E22C1" w:rsidRPr="001455DC" w:rsidRDefault="004E22C1" w:rsidP="00353CE4">
      <w:pPr>
        <w:pStyle w:val="a0"/>
      </w:pPr>
      <w:r w:rsidRPr="001455DC">
        <w:t>chloride class in accordance with EN 206;</w:t>
      </w:r>
    </w:p>
    <w:p w14:paraId="69E5CC9B" w14:textId="30B5E3AB" w:rsidR="004E22C1" w:rsidRPr="001455DC" w:rsidRDefault="004E22C1" w:rsidP="00353CE4">
      <w:pPr>
        <w:pStyle w:val="a0"/>
      </w:pPr>
      <w:r w:rsidRPr="001455DC">
        <w:t xml:space="preserve">execution class in accordance with EN 13670, see </w:t>
      </w:r>
      <w:r w:rsidR="001710FF" w:rsidRPr="001455DC">
        <w:t>Clause </w:t>
      </w:r>
      <w:r w:rsidRPr="001455DC">
        <w:t>6.</w:t>
      </w:r>
    </w:p>
    <w:p w14:paraId="2FE74401" w14:textId="77777777" w:rsidR="004E22C1" w:rsidRPr="001455DC" w:rsidRDefault="004E22C1" w:rsidP="000457C9">
      <w:pPr>
        <w:pStyle w:val="a7"/>
        <w:keepNext/>
      </w:pPr>
      <w:r w:rsidRPr="001455DC">
        <w:t>(2)</w:t>
      </w:r>
      <w:r w:rsidRPr="001455DC">
        <w:tab/>
        <w:t>The following properties may either be derived in accordance with the provisions of 5.1, or may be determined by testing, or may be specified for special cases:</w:t>
      </w:r>
    </w:p>
    <w:p w14:paraId="5628B134" w14:textId="7EC3E489" w:rsidR="004E22C1" w:rsidRPr="001455DC" w:rsidRDefault="004E22C1" w:rsidP="00353CE4">
      <w:pPr>
        <w:pStyle w:val="a0"/>
      </w:pPr>
      <w:r w:rsidRPr="001455DC">
        <w:t>tensile strength (</w:t>
      </w:r>
      <w:r w:rsidRPr="001455DC">
        <w:rPr>
          <w:rStyle w:val="CCMCvariableitalic"/>
        </w:rPr>
        <w:t>f</w:t>
      </w:r>
      <w:r w:rsidRPr="001455DC">
        <w:rPr>
          <w:rStyle w:val="CCMCvariablesubscript"/>
        </w:rPr>
        <w:t>ctm,</w:t>
      </w:r>
      <w:r w:rsidRPr="001455DC">
        <w:t xml:space="preserve"> </w:t>
      </w:r>
      <w:r w:rsidRPr="001455DC">
        <w:rPr>
          <w:rStyle w:val="CCMCvariableitalic"/>
        </w:rPr>
        <w:t>f</w:t>
      </w:r>
      <w:r w:rsidRPr="001455DC">
        <w:rPr>
          <w:rStyle w:val="CCMCvariablesubscript"/>
        </w:rPr>
        <w:t>ctk0,05,</w:t>
      </w:r>
      <w:r w:rsidRPr="001455DC">
        <w:t xml:space="preserve"> </w:t>
      </w:r>
      <w:r w:rsidRPr="001455DC">
        <w:rPr>
          <w:rStyle w:val="CCMCvariableitalic"/>
        </w:rPr>
        <w:t>f</w:t>
      </w:r>
      <w:r w:rsidRPr="001455DC">
        <w:rPr>
          <w:rStyle w:val="CCMCvariablesubscript"/>
        </w:rPr>
        <w:t>ctk0,95</w:t>
      </w:r>
      <w:r w:rsidRPr="001455DC">
        <w:t>);</w:t>
      </w:r>
    </w:p>
    <w:p w14:paraId="722305BC" w14:textId="3064759F" w:rsidR="004E22C1" w:rsidRPr="001455DC" w:rsidRDefault="004E22C1" w:rsidP="00353CE4">
      <w:pPr>
        <w:pStyle w:val="a0"/>
      </w:pPr>
      <w:r w:rsidRPr="001455DC">
        <w:t>modulus of elasticity (</w:t>
      </w:r>
      <w:r w:rsidRPr="001455DC">
        <w:rPr>
          <w:rStyle w:val="CCMCvariableitalic"/>
        </w:rPr>
        <w:t>E</w:t>
      </w:r>
      <w:r w:rsidRPr="001455DC">
        <w:rPr>
          <w:rStyle w:val="CCMCvariablesubscript"/>
        </w:rPr>
        <w:t>cm</w:t>
      </w:r>
      <w:r w:rsidRPr="001455DC">
        <w:t>);</w:t>
      </w:r>
    </w:p>
    <w:p w14:paraId="449FE213" w14:textId="5ABC5A44" w:rsidR="004E22C1" w:rsidRPr="001455DC" w:rsidRDefault="004E22C1" w:rsidP="00353CE4">
      <w:pPr>
        <w:pStyle w:val="a0"/>
      </w:pPr>
      <w:r w:rsidRPr="001455DC">
        <w:t>Poisson’s ratio;</w:t>
      </w:r>
    </w:p>
    <w:p w14:paraId="44B0D894" w14:textId="52E3348D" w:rsidR="004E22C1" w:rsidRPr="001455DC" w:rsidRDefault="004E22C1" w:rsidP="00353CE4">
      <w:pPr>
        <w:pStyle w:val="a0"/>
      </w:pPr>
      <w:r w:rsidRPr="001455DC">
        <w:t>coefficient of thermal expansion (</w:t>
      </w:r>
      <w:r w:rsidRPr="001455DC">
        <w:rPr>
          <w:rStyle w:val="CCMCvariableitalic"/>
        </w:rPr>
        <w:t>α</w:t>
      </w:r>
      <w:r w:rsidRPr="001455DC">
        <w:rPr>
          <w:rStyle w:val="CCMCvariablesubscript"/>
        </w:rPr>
        <w:t>c,th</w:t>
      </w:r>
      <w:r w:rsidRPr="001455DC">
        <w:t>);</w:t>
      </w:r>
    </w:p>
    <w:p w14:paraId="4F719243" w14:textId="21AD40C0" w:rsidR="004E22C1" w:rsidRPr="001455DC" w:rsidRDefault="004E22C1" w:rsidP="00353CE4">
      <w:pPr>
        <w:pStyle w:val="a0"/>
      </w:pPr>
      <w:r w:rsidRPr="001455DC">
        <w:t>creep coefficient (</w:t>
      </w:r>
      <w:r w:rsidRPr="001455DC">
        <w:rPr>
          <w:rStyle w:val="CCMCvariableitalic"/>
        </w:rPr>
        <w:t>φ</w:t>
      </w:r>
      <w:r w:rsidRPr="001455DC">
        <w:t>) according to 5.1.5 or Annex B;</w:t>
      </w:r>
    </w:p>
    <w:p w14:paraId="5304EEC7" w14:textId="3DEA4F22" w:rsidR="004E22C1" w:rsidRPr="001455DC" w:rsidRDefault="004E22C1" w:rsidP="00353CE4">
      <w:pPr>
        <w:pStyle w:val="a0"/>
      </w:pPr>
      <w:r w:rsidRPr="001455DC">
        <w:t>shrinkage value (</w:t>
      </w:r>
      <w:r w:rsidRPr="001455DC">
        <w:rPr>
          <w:rStyle w:val="CCMCvariableitalic"/>
        </w:rPr>
        <w:t>ε</w:t>
      </w:r>
      <w:r w:rsidRPr="001455DC">
        <w:rPr>
          <w:rStyle w:val="CCMCvariablesubscript"/>
        </w:rPr>
        <w:t>cs</w:t>
      </w:r>
      <w:r w:rsidRPr="001455DC">
        <w:t>) according to 5.1.5 or Annex B;</w:t>
      </w:r>
    </w:p>
    <w:p w14:paraId="7F492B58" w14:textId="264B8967" w:rsidR="004E22C1" w:rsidRPr="001455DC" w:rsidRDefault="004E22C1" w:rsidP="00353CE4">
      <w:pPr>
        <w:pStyle w:val="a0"/>
      </w:pPr>
      <w:r w:rsidRPr="001455DC">
        <w:t>density of concrete according to 5.1.6 or Annex M and Annex N.</w:t>
      </w:r>
    </w:p>
    <w:p w14:paraId="3510D41E" w14:textId="1B083303" w:rsidR="004E22C1" w:rsidRPr="001455DC" w:rsidRDefault="004E22C1" w:rsidP="00157BED">
      <w:pPr>
        <w:pStyle w:val="a7"/>
      </w:pPr>
      <w:r w:rsidRPr="001455DC">
        <w:t>(3)</w:t>
      </w:r>
      <w:r w:rsidRPr="001455DC">
        <w:tab/>
        <w:t xml:space="preserve">The design properties of concrete may be used for service temperatures in the range from </w:t>
      </w:r>
      <w:r w:rsidRPr="001455DC">
        <w:rPr>
          <w:rFonts w:ascii="Cambria Math" w:hAnsi="Cambria Math"/>
        </w:rPr>
        <w:t>−</w:t>
      </w:r>
      <w:r w:rsidRPr="001455DC">
        <w:t xml:space="preserve">40 °C to </w:t>
      </w:r>
      <w:r w:rsidR="000457C9" w:rsidRPr="001455DC">
        <w:rPr>
          <w:rFonts w:ascii="Cambria Math" w:hAnsi="Cambria Math"/>
        </w:rPr>
        <w:t>+</w:t>
      </w:r>
      <w:r w:rsidRPr="001455DC">
        <w:t>100 °C.</w:t>
      </w:r>
    </w:p>
    <w:p w14:paraId="61A65432" w14:textId="164FFB6B" w:rsidR="004E22C1" w:rsidRPr="001455DC" w:rsidRDefault="004E22C1" w:rsidP="00157BED">
      <w:pPr>
        <w:pStyle w:val="a7"/>
      </w:pPr>
      <w:r w:rsidRPr="001455DC">
        <w:t>(4)</w:t>
      </w:r>
      <w:r w:rsidRPr="001455DC">
        <w:tab/>
        <w:t>Experimental verification should be used in cases where a member or a structure is sensitive to any of these properties and there is no previous experience or established practice showing that such verifications are not necessary.</w:t>
      </w:r>
    </w:p>
    <w:p w14:paraId="44F8DF13" w14:textId="792E6D1A" w:rsidR="004E22C1" w:rsidRPr="001455DC" w:rsidRDefault="004E22C1" w:rsidP="00157BED">
      <w:pPr>
        <w:pStyle w:val="Note"/>
      </w:pPr>
      <w:r w:rsidRPr="001455DC">
        <w:t>NOTE</w:t>
      </w:r>
      <w:r w:rsidRPr="001455DC">
        <w:tab/>
        <w:t>For guidance to experimental determination of creep and shrinkage values</w:t>
      </w:r>
      <w:r w:rsidR="004B62E7">
        <w:t>,</w:t>
      </w:r>
      <w:r w:rsidRPr="001455DC">
        <w:t xml:space="preserve"> see Annex B.</w:t>
      </w:r>
    </w:p>
    <w:p w14:paraId="1A92BEBC" w14:textId="7A1DE3C3" w:rsidR="004E22C1" w:rsidRPr="001455DC" w:rsidRDefault="004E22C1" w:rsidP="00243590">
      <w:pPr>
        <w:pStyle w:val="31"/>
      </w:pPr>
      <w:bookmarkStart w:id="244" w:name="_Toc52819902"/>
      <w:bookmarkStart w:id="245" w:name="_Toc54337296"/>
      <w:bookmarkStart w:id="246" w:name="_Toc54337960"/>
      <w:bookmarkStart w:id="247" w:name="_Toc67565323"/>
      <w:r w:rsidRPr="001455DC">
        <w:t>Strength</w:t>
      </w:r>
      <w:bookmarkEnd w:id="244"/>
      <w:bookmarkEnd w:id="245"/>
      <w:bookmarkEnd w:id="246"/>
      <w:bookmarkEnd w:id="247"/>
    </w:p>
    <w:p w14:paraId="0AABFC2E" w14:textId="77777777" w:rsidR="004E22C1" w:rsidRPr="001455DC" w:rsidRDefault="004E22C1" w:rsidP="00157BED">
      <w:pPr>
        <w:pStyle w:val="a7"/>
      </w:pPr>
      <w:r w:rsidRPr="001455DC">
        <w:t>(1)</w:t>
      </w:r>
      <w:r w:rsidRPr="001455DC">
        <w:tab/>
        <w:t xml:space="preserve">The compressive strength of concrete shall be denoted by concrete strength classes which relate to the characteristic (5 %) cylinder strength </w:t>
      </w:r>
      <w:r w:rsidRPr="001455DC">
        <w:rPr>
          <w:rStyle w:val="CCMCvariableitalic"/>
        </w:rPr>
        <w:t>f</w:t>
      </w:r>
      <w:r w:rsidRPr="001455DC">
        <w:rPr>
          <w:rStyle w:val="CCMCvariablesubscript"/>
        </w:rPr>
        <w:t>ck</w:t>
      </w:r>
      <w:r w:rsidRPr="001455DC">
        <w:t xml:space="preserve"> of the concrete in accordance with EN 206, determined at an age </w:t>
      </w:r>
      <w:r w:rsidRPr="001455DC">
        <w:rPr>
          <w:rStyle w:val="CCMCvariableitalic"/>
        </w:rPr>
        <w:t>t</w:t>
      </w:r>
      <w:r w:rsidRPr="001455DC">
        <w:rPr>
          <w:rStyle w:val="CCMCvariablesubscript"/>
        </w:rPr>
        <w:t>ref</w:t>
      </w:r>
      <w:r w:rsidRPr="001455DC">
        <w:t>.</w:t>
      </w:r>
    </w:p>
    <w:p w14:paraId="02F627F0" w14:textId="77777777" w:rsidR="004E22C1" w:rsidRPr="001455DC" w:rsidRDefault="004E22C1" w:rsidP="000457C9">
      <w:pPr>
        <w:pStyle w:val="a7"/>
        <w:keepNext/>
      </w:pPr>
      <w:r w:rsidRPr="001455DC">
        <w:t>(2)</w:t>
      </w:r>
      <w:r w:rsidRPr="001455DC">
        <w:tab/>
        <w:t xml:space="preserve">The value for </w:t>
      </w:r>
      <w:r w:rsidRPr="001455DC">
        <w:rPr>
          <w:rStyle w:val="CCMCvariableitalic"/>
        </w:rPr>
        <w:t>t</w:t>
      </w:r>
      <w:r w:rsidRPr="001455DC">
        <w:rPr>
          <w:rStyle w:val="CCMCvariablesubscript"/>
        </w:rPr>
        <w:t>ref</w:t>
      </w:r>
    </w:p>
    <w:p w14:paraId="3866D0A5" w14:textId="77777777" w:rsidR="004E22C1" w:rsidRPr="001455DC" w:rsidRDefault="004E22C1" w:rsidP="000457C9">
      <w:pPr>
        <w:pStyle w:val="a7"/>
        <w:ind w:left="397" w:hanging="397"/>
      </w:pPr>
      <w:r w:rsidRPr="001455DC">
        <w:t>(i)</w:t>
      </w:r>
      <w:r w:rsidRPr="001455DC">
        <w:tab/>
        <w:t>should be taken as 28 days in general or</w:t>
      </w:r>
    </w:p>
    <w:p w14:paraId="5B5F1518" w14:textId="77777777" w:rsidR="004E22C1" w:rsidRPr="001455DC" w:rsidRDefault="004E22C1" w:rsidP="000457C9">
      <w:pPr>
        <w:pStyle w:val="a7"/>
        <w:ind w:left="397" w:hanging="397"/>
      </w:pPr>
      <w:r w:rsidRPr="001455DC">
        <w:t>(ii)</w:t>
      </w:r>
      <w:r w:rsidRPr="001455DC">
        <w:tab/>
        <w:t>may be taken between 28 and 91 days when specified for a project.</w:t>
      </w:r>
    </w:p>
    <w:p w14:paraId="69B931AD" w14:textId="77777777" w:rsidR="004E22C1" w:rsidRPr="001455DC" w:rsidRDefault="004E22C1" w:rsidP="00157BED">
      <w:pPr>
        <w:pStyle w:val="a7"/>
      </w:pPr>
      <w:r w:rsidRPr="001455DC">
        <w:t>(3)</w:t>
      </w:r>
      <w:r w:rsidRPr="001455DC">
        <w:tab/>
        <w:t>The compressive and tensile strength characteristics necessary for design should be taken from Table 5.1.</w:t>
      </w:r>
    </w:p>
    <w:p w14:paraId="00B3B2A3" w14:textId="77777777" w:rsidR="004E22C1" w:rsidRPr="001455DC" w:rsidRDefault="004E22C1" w:rsidP="008D6173">
      <w:pPr>
        <w:pStyle w:val="Tabletitle"/>
      </w:pPr>
      <w:bookmarkStart w:id="248" w:name="_Toc54337297"/>
      <w:r w:rsidRPr="001455DC">
        <w:t>Table 5.1 — Compressive and tensile strength of concrete [MPa]</w:t>
      </w:r>
      <w:bookmarkEnd w:id="248"/>
    </w:p>
    <w:tbl>
      <w:tblPr>
        <w:tblStyle w:val="53"/>
        <w:tblpPr w:leftFromText="142" w:rightFromText="142" w:vertAnchor="text" w:horzAnchor="margin" w:tblpXSpec="center" w:tblpY="58"/>
        <w:tblW w:w="9753" w:type="dxa"/>
        <w:tblLayout w:type="fixed"/>
        <w:tblCellMar>
          <w:left w:w="42" w:type="dxa"/>
          <w:right w:w="42" w:type="dxa"/>
        </w:tblCellMar>
        <w:tblLook w:val="0620" w:firstRow="1" w:lastRow="0" w:firstColumn="0" w:lastColumn="0" w:noHBand="1" w:noVBand="1"/>
      </w:tblPr>
      <w:tblGrid>
        <w:gridCol w:w="737"/>
        <w:gridCol w:w="482"/>
        <w:gridCol w:w="482"/>
        <w:gridCol w:w="482"/>
        <w:gridCol w:w="482"/>
        <w:gridCol w:w="482"/>
        <w:gridCol w:w="482"/>
        <w:gridCol w:w="482"/>
        <w:gridCol w:w="482"/>
        <w:gridCol w:w="482"/>
        <w:gridCol w:w="482"/>
        <w:gridCol w:w="482"/>
        <w:gridCol w:w="482"/>
        <w:gridCol w:w="482"/>
        <w:gridCol w:w="482"/>
        <w:gridCol w:w="567"/>
        <w:gridCol w:w="1701"/>
      </w:tblGrid>
      <w:tr w:rsidR="008D6173" w:rsidRPr="001455DC" w14:paraId="1E7ADD81" w14:textId="77777777" w:rsidTr="00CE50EE">
        <w:trPr>
          <w:cnfStyle w:val="100000000000" w:firstRow="1" w:lastRow="0" w:firstColumn="0" w:lastColumn="0" w:oddVBand="0" w:evenVBand="0" w:oddHBand="0" w:evenHBand="0" w:firstRowFirstColumn="0" w:firstRowLastColumn="0" w:lastRowFirstColumn="0" w:lastRowLastColumn="0"/>
          <w:trHeight w:val="227"/>
          <w:tblHeader/>
        </w:trPr>
        <w:tc>
          <w:tcPr>
            <w:tcW w:w="737" w:type="dxa"/>
            <w:vMerge w:val="restart"/>
          </w:tcPr>
          <w:p w14:paraId="6532186E" w14:textId="395F1432" w:rsidR="008D6173" w:rsidRPr="001455DC" w:rsidRDefault="008D6173" w:rsidP="006210D7">
            <w:pPr>
              <w:pStyle w:val="Tableheader-"/>
              <w:keepNext/>
              <w:rPr>
                <w:rFonts w:eastAsia="Arial Unicode MS"/>
                <w:sz w:val="16"/>
                <w:szCs w:val="16"/>
                <w:lang w:eastAsia="de-DE"/>
              </w:rPr>
            </w:pPr>
            <w:r w:rsidRPr="001455DC">
              <w:rPr>
                <w:rStyle w:val="CCMCvariableitalic"/>
              </w:rPr>
              <w:t>f</w:t>
            </w:r>
          </w:p>
        </w:tc>
        <w:tc>
          <w:tcPr>
            <w:tcW w:w="7315" w:type="dxa"/>
            <w:gridSpan w:val="15"/>
            <w:tcBorders>
              <w:bottom w:val="nil"/>
            </w:tcBorders>
          </w:tcPr>
          <w:p w14:paraId="5292C948" w14:textId="1B3E0079" w:rsidR="008D6173" w:rsidRPr="009D3012" w:rsidRDefault="008D6173" w:rsidP="006210D7">
            <w:pPr>
              <w:pStyle w:val="Tableheader-"/>
              <w:keepNext/>
              <w:rPr>
                <w:sz w:val="16"/>
                <w:szCs w:val="16"/>
                <w:lang w:val="en-US" w:eastAsia="de-DE"/>
              </w:rPr>
            </w:pPr>
            <w:r w:rsidRPr="009D3012">
              <w:rPr>
                <w:rFonts w:eastAsia="Arial Unicode MS"/>
                <w:lang w:val="en-US" w:eastAsia="de-DE"/>
              </w:rPr>
              <w:t>Strength classes for concrete [EN 206]</w:t>
            </w:r>
          </w:p>
        </w:tc>
        <w:tc>
          <w:tcPr>
            <w:tcW w:w="1701" w:type="dxa"/>
            <w:vMerge w:val="restart"/>
          </w:tcPr>
          <w:p w14:paraId="6440A15A" w14:textId="3A2EABFE" w:rsidR="008D6173" w:rsidRPr="009D3012" w:rsidRDefault="008D6173" w:rsidP="006210D7">
            <w:pPr>
              <w:pStyle w:val="Tableheader--"/>
              <w:keepNext/>
              <w:rPr>
                <w:rFonts w:eastAsia="Arial Unicode MS"/>
                <w:szCs w:val="18"/>
                <w:lang w:eastAsia="de-DE"/>
              </w:rPr>
            </w:pPr>
            <w:r w:rsidRPr="001455DC">
              <w:rPr>
                <w:szCs w:val="18"/>
                <w:lang w:eastAsia="de-DE"/>
              </w:rPr>
              <w:t>Analytical formulae</w:t>
            </w:r>
          </w:p>
        </w:tc>
      </w:tr>
      <w:tr w:rsidR="008D6173" w:rsidRPr="001455DC" w14:paraId="7A9B4325" w14:textId="77777777" w:rsidTr="000457C9">
        <w:trPr>
          <w:cnfStyle w:val="100000000000" w:firstRow="1" w:lastRow="0" w:firstColumn="0" w:lastColumn="0" w:oddVBand="0" w:evenVBand="0" w:oddHBand="0" w:evenHBand="0" w:firstRowFirstColumn="0" w:firstRowLastColumn="0" w:lastRowFirstColumn="0" w:lastRowLastColumn="0"/>
          <w:trHeight w:val="227"/>
          <w:tblHeader/>
        </w:trPr>
        <w:tc>
          <w:tcPr>
            <w:tcW w:w="737" w:type="dxa"/>
            <w:vMerge/>
          </w:tcPr>
          <w:p w14:paraId="61E7AD66" w14:textId="77777777" w:rsidR="008D6173" w:rsidRPr="001455DC" w:rsidRDefault="008D6173" w:rsidP="006210D7">
            <w:pPr>
              <w:pStyle w:val="Tableheader-"/>
              <w:keepNext/>
              <w:contextualSpacing/>
              <w:rPr>
                <w:rFonts w:eastAsia="Arial Unicode MS"/>
                <w:sz w:val="16"/>
                <w:szCs w:val="16"/>
                <w:lang w:eastAsia="de-DE"/>
              </w:rPr>
            </w:pPr>
          </w:p>
        </w:tc>
        <w:tc>
          <w:tcPr>
            <w:tcW w:w="482" w:type="dxa"/>
            <w:tcBorders>
              <w:top w:val="nil"/>
            </w:tcBorders>
          </w:tcPr>
          <w:p w14:paraId="2035794B" w14:textId="7A8A24AF" w:rsidR="008D6173" w:rsidRPr="001455DC" w:rsidRDefault="008D6173" w:rsidP="006210D7">
            <w:pPr>
              <w:pStyle w:val="Tableheader--"/>
              <w:keepNext/>
              <w:rPr>
                <w:sz w:val="16"/>
                <w:szCs w:val="16"/>
                <w:lang w:eastAsia="de-DE"/>
              </w:rPr>
            </w:pPr>
            <w:r w:rsidRPr="001455DC">
              <w:rPr>
                <w:sz w:val="16"/>
                <w:szCs w:val="16"/>
                <w:lang w:eastAsia="de-DE"/>
              </w:rPr>
              <w:t>C12/</w:t>
            </w:r>
            <w:r w:rsidR="008E6252" w:rsidRPr="001455DC">
              <w:rPr>
                <w:sz w:val="16"/>
                <w:szCs w:val="16"/>
                <w:lang w:eastAsia="de-DE"/>
              </w:rPr>
              <w:t xml:space="preserve"> </w:t>
            </w:r>
            <w:r w:rsidRPr="001455DC">
              <w:rPr>
                <w:sz w:val="16"/>
                <w:szCs w:val="16"/>
                <w:lang w:eastAsia="de-DE"/>
              </w:rPr>
              <w:t>15</w:t>
            </w:r>
          </w:p>
        </w:tc>
        <w:tc>
          <w:tcPr>
            <w:tcW w:w="482" w:type="dxa"/>
            <w:tcBorders>
              <w:top w:val="nil"/>
            </w:tcBorders>
          </w:tcPr>
          <w:p w14:paraId="0F1E959A" w14:textId="57EDD401" w:rsidR="008D6173" w:rsidRPr="001455DC" w:rsidRDefault="008D6173" w:rsidP="006210D7">
            <w:pPr>
              <w:pStyle w:val="Tableheader--"/>
              <w:keepNext/>
              <w:rPr>
                <w:sz w:val="16"/>
                <w:szCs w:val="16"/>
                <w:lang w:eastAsia="de-DE"/>
              </w:rPr>
            </w:pPr>
            <w:r w:rsidRPr="001455DC">
              <w:rPr>
                <w:sz w:val="16"/>
                <w:szCs w:val="16"/>
                <w:lang w:eastAsia="de-DE"/>
              </w:rPr>
              <w:t>C16/</w:t>
            </w:r>
            <w:r w:rsidR="008E6252" w:rsidRPr="001455DC">
              <w:rPr>
                <w:sz w:val="16"/>
                <w:szCs w:val="16"/>
                <w:lang w:eastAsia="de-DE"/>
              </w:rPr>
              <w:t xml:space="preserve"> </w:t>
            </w:r>
            <w:r w:rsidRPr="001455DC">
              <w:rPr>
                <w:sz w:val="16"/>
                <w:szCs w:val="16"/>
                <w:lang w:eastAsia="de-DE"/>
              </w:rPr>
              <w:t>20</w:t>
            </w:r>
          </w:p>
        </w:tc>
        <w:tc>
          <w:tcPr>
            <w:tcW w:w="482" w:type="dxa"/>
            <w:tcBorders>
              <w:top w:val="nil"/>
            </w:tcBorders>
          </w:tcPr>
          <w:p w14:paraId="65C3FC3B" w14:textId="250FE8A7" w:rsidR="008D6173" w:rsidRPr="001455DC" w:rsidRDefault="008D6173" w:rsidP="006210D7">
            <w:pPr>
              <w:pStyle w:val="Tableheader--"/>
              <w:keepNext/>
              <w:rPr>
                <w:sz w:val="16"/>
                <w:szCs w:val="16"/>
                <w:lang w:eastAsia="de-DE"/>
              </w:rPr>
            </w:pPr>
            <w:r w:rsidRPr="001455DC">
              <w:rPr>
                <w:sz w:val="16"/>
                <w:szCs w:val="16"/>
                <w:lang w:eastAsia="de-DE"/>
              </w:rPr>
              <w:t>C20/</w:t>
            </w:r>
            <w:r w:rsidR="008E6252" w:rsidRPr="001455DC">
              <w:rPr>
                <w:sz w:val="16"/>
                <w:szCs w:val="16"/>
                <w:lang w:eastAsia="de-DE"/>
              </w:rPr>
              <w:t xml:space="preserve"> </w:t>
            </w:r>
            <w:r w:rsidRPr="001455DC">
              <w:rPr>
                <w:sz w:val="16"/>
                <w:szCs w:val="16"/>
                <w:lang w:eastAsia="de-DE"/>
              </w:rPr>
              <w:t>25</w:t>
            </w:r>
          </w:p>
        </w:tc>
        <w:tc>
          <w:tcPr>
            <w:tcW w:w="482" w:type="dxa"/>
            <w:tcBorders>
              <w:top w:val="nil"/>
            </w:tcBorders>
          </w:tcPr>
          <w:p w14:paraId="48D1D995" w14:textId="06695A98" w:rsidR="008D6173" w:rsidRPr="001455DC" w:rsidRDefault="008D6173" w:rsidP="006210D7">
            <w:pPr>
              <w:pStyle w:val="Tableheader--"/>
              <w:keepNext/>
              <w:rPr>
                <w:sz w:val="16"/>
                <w:szCs w:val="16"/>
                <w:lang w:eastAsia="de-DE"/>
              </w:rPr>
            </w:pPr>
            <w:r w:rsidRPr="001455DC">
              <w:rPr>
                <w:sz w:val="16"/>
                <w:szCs w:val="16"/>
                <w:lang w:eastAsia="de-DE"/>
              </w:rPr>
              <w:t>C25/</w:t>
            </w:r>
            <w:r w:rsidR="008E6252" w:rsidRPr="001455DC">
              <w:rPr>
                <w:sz w:val="16"/>
                <w:szCs w:val="16"/>
                <w:lang w:eastAsia="de-DE"/>
              </w:rPr>
              <w:t xml:space="preserve"> </w:t>
            </w:r>
            <w:r w:rsidRPr="001455DC">
              <w:rPr>
                <w:sz w:val="16"/>
                <w:szCs w:val="16"/>
                <w:lang w:eastAsia="de-DE"/>
              </w:rPr>
              <w:t>30</w:t>
            </w:r>
          </w:p>
        </w:tc>
        <w:tc>
          <w:tcPr>
            <w:tcW w:w="482" w:type="dxa"/>
            <w:tcBorders>
              <w:top w:val="nil"/>
            </w:tcBorders>
          </w:tcPr>
          <w:p w14:paraId="2E890DD2" w14:textId="2FB28CF6" w:rsidR="008D6173" w:rsidRPr="001455DC" w:rsidRDefault="008D6173" w:rsidP="006210D7">
            <w:pPr>
              <w:pStyle w:val="Tableheader--"/>
              <w:keepNext/>
              <w:rPr>
                <w:sz w:val="16"/>
                <w:szCs w:val="16"/>
                <w:lang w:eastAsia="de-DE"/>
              </w:rPr>
            </w:pPr>
            <w:r w:rsidRPr="001455DC">
              <w:rPr>
                <w:sz w:val="16"/>
                <w:szCs w:val="16"/>
                <w:lang w:eastAsia="de-DE"/>
              </w:rPr>
              <w:t>C30/</w:t>
            </w:r>
            <w:r w:rsidR="008E6252" w:rsidRPr="001455DC">
              <w:rPr>
                <w:sz w:val="16"/>
                <w:szCs w:val="16"/>
                <w:lang w:eastAsia="de-DE"/>
              </w:rPr>
              <w:t xml:space="preserve"> </w:t>
            </w:r>
            <w:r w:rsidRPr="001455DC">
              <w:rPr>
                <w:sz w:val="16"/>
                <w:szCs w:val="16"/>
                <w:lang w:eastAsia="de-DE"/>
              </w:rPr>
              <w:t>37</w:t>
            </w:r>
          </w:p>
        </w:tc>
        <w:tc>
          <w:tcPr>
            <w:tcW w:w="482" w:type="dxa"/>
            <w:tcBorders>
              <w:top w:val="nil"/>
            </w:tcBorders>
          </w:tcPr>
          <w:p w14:paraId="795DC4BA" w14:textId="12BB0DE2" w:rsidR="008D6173" w:rsidRPr="001455DC" w:rsidRDefault="008D6173" w:rsidP="006210D7">
            <w:pPr>
              <w:pStyle w:val="Tableheader--"/>
              <w:keepNext/>
              <w:rPr>
                <w:sz w:val="16"/>
                <w:szCs w:val="16"/>
                <w:lang w:eastAsia="de-DE"/>
              </w:rPr>
            </w:pPr>
            <w:r w:rsidRPr="001455DC">
              <w:rPr>
                <w:sz w:val="16"/>
                <w:szCs w:val="16"/>
                <w:lang w:eastAsia="de-DE"/>
              </w:rPr>
              <w:t>C35/</w:t>
            </w:r>
            <w:r w:rsidR="008E6252" w:rsidRPr="001455DC">
              <w:rPr>
                <w:sz w:val="16"/>
                <w:szCs w:val="16"/>
                <w:lang w:eastAsia="de-DE"/>
              </w:rPr>
              <w:t xml:space="preserve"> </w:t>
            </w:r>
            <w:r w:rsidRPr="001455DC">
              <w:rPr>
                <w:sz w:val="16"/>
                <w:szCs w:val="16"/>
                <w:lang w:eastAsia="de-DE"/>
              </w:rPr>
              <w:t>45</w:t>
            </w:r>
          </w:p>
        </w:tc>
        <w:tc>
          <w:tcPr>
            <w:tcW w:w="482" w:type="dxa"/>
            <w:tcBorders>
              <w:top w:val="nil"/>
            </w:tcBorders>
          </w:tcPr>
          <w:p w14:paraId="48C13813" w14:textId="642F6B44" w:rsidR="008D6173" w:rsidRPr="001455DC" w:rsidRDefault="008D6173" w:rsidP="006210D7">
            <w:pPr>
              <w:pStyle w:val="Tableheader--"/>
              <w:keepNext/>
              <w:rPr>
                <w:sz w:val="16"/>
                <w:szCs w:val="16"/>
                <w:lang w:eastAsia="de-DE"/>
              </w:rPr>
            </w:pPr>
            <w:r w:rsidRPr="001455DC">
              <w:rPr>
                <w:sz w:val="16"/>
                <w:szCs w:val="16"/>
                <w:lang w:eastAsia="de-DE"/>
              </w:rPr>
              <w:t>C40/</w:t>
            </w:r>
            <w:r w:rsidR="008E6252" w:rsidRPr="001455DC">
              <w:rPr>
                <w:sz w:val="16"/>
                <w:szCs w:val="16"/>
                <w:lang w:eastAsia="de-DE"/>
              </w:rPr>
              <w:t xml:space="preserve"> </w:t>
            </w:r>
            <w:r w:rsidRPr="001455DC">
              <w:rPr>
                <w:sz w:val="16"/>
                <w:szCs w:val="16"/>
                <w:lang w:eastAsia="de-DE"/>
              </w:rPr>
              <w:t>50</w:t>
            </w:r>
          </w:p>
        </w:tc>
        <w:tc>
          <w:tcPr>
            <w:tcW w:w="482" w:type="dxa"/>
            <w:tcBorders>
              <w:top w:val="nil"/>
            </w:tcBorders>
          </w:tcPr>
          <w:p w14:paraId="53F6B9F1" w14:textId="5F168114" w:rsidR="008D6173" w:rsidRPr="001455DC" w:rsidRDefault="008D6173" w:rsidP="006210D7">
            <w:pPr>
              <w:pStyle w:val="Tableheader--"/>
              <w:keepNext/>
              <w:rPr>
                <w:sz w:val="16"/>
                <w:szCs w:val="16"/>
                <w:lang w:eastAsia="de-DE"/>
              </w:rPr>
            </w:pPr>
            <w:r w:rsidRPr="001455DC">
              <w:rPr>
                <w:sz w:val="16"/>
                <w:szCs w:val="16"/>
                <w:lang w:eastAsia="de-DE"/>
              </w:rPr>
              <w:t>C45/</w:t>
            </w:r>
            <w:r w:rsidR="008E6252" w:rsidRPr="001455DC">
              <w:rPr>
                <w:sz w:val="16"/>
                <w:szCs w:val="16"/>
                <w:lang w:eastAsia="de-DE"/>
              </w:rPr>
              <w:t xml:space="preserve"> </w:t>
            </w:r>
            <w:r w:rsidRPr="001455DC">
              <w:rPr>
                <w:sz w:val="16"/>
                <w:szCs w:val="16"/>
                <w:lang w:eastAsia="de-DE"/>
              </w:rPr>
              <w:t>55</w:t>
            </w:r>
          </w:p>
        </w:tc>
        <w:tc>
          <w:tcPr>
            <w:tcW w:w="482" w:type="dxa"/>
            <w:tcBorders>
              <w:top w:val="nil"/>
            </w:tcBorders>
          </w:tcPr>
          <w:p w14:paraId="5D3A4EB6" w14:textId="5271D321" w:rsidR="008D6173" w:rsidRPr="001455DC" w:rsidRDefault="008D6173" w:rsidP="006210D7">
            <w:pPr>
              <w:pStyle w:val="Tableheader--"/>
              <w:keepNext/>
              <w:rPr>
                <w:sz w:val="16"/>
                <w:szCs w:val="16"/>
                <w:lang w:eastAsia="de-DE"/>
              </w:rPr>
            </w:pPr>
            <w:r w:rsidRPr="001455DC">
              <w:rPr>
                <w:sz w:val="16"/>
                <w:szCs w:val="16"/>
                <w:lang w:eastAsia="de-DE"/>
              </w:rPr>
              <w:t>C50/</w:t>
            </w:r>
            <w:r w:rsidR="008E6252" w:rsidRPr="001455DC">
              <w:rPr>
                <w:sz w:val="16"/>
                <w:szCs w:val="16"/>
                <w:lang w:eastAsia="de-DE"/>
              </w:rPr>
              <w:t xml:space="preserve"> </w:t>
            </w:r>
            <w:r w:rsidRPr="001455DC">
              <w:rPr>
                <w:sz w:val="16"/>
                <w:szCs w:val="16"/>
                <w:lang w:eastAsia="de-DE"/>
              </w:rPr>
              <w:t>60</w:t>
            </w:r>
          </w:p>
        </w:tc>
        <w:tc>
          <w:tcPr>
            <w:tcW w:w="482" w:type="dxa"/>
            <w:tcBorders>
              <w:top w:val="nil"/>
            </w:tcBorders>
          </w:tcPr>
          <w:p w14:paraId="5F965456" w14:textId="48A86122" w:rsidR="008D6173" w:rsidRPr="001455DC" w:rsidRDefault="008D6173" w:rsidP="006210D7">
            <w:pPr>
              <w:pStyle w:val="Tableheader--"/>
              <w:keepNext/>
              <w:rPr>
                <w:sz w:val="16"/>
                <w:szCs w:val="16"/>
                <w:lang w:eastAsia="de-DE"/>
              </w:rPr>
            </w:pPr>
            <w:r w:rsidRPr="001455DC">
              <w:rPr>
                <w:sz w:val="16"/>
                <w:szCs w:val="16"/>
                <w:lang w:eastAsia="de-DE"/>
              </w:rPr>
              <w:t>C55/</w:t>
            </w:r>
            <w:r w:rsidR="008E6252" w:rsidRPr="001455DC">
              <w:rPr>
                <w:sz w:val="16"/>
                <w:szCs w:val="16"/>
                <w:lang w:eastAsia="de-DE"/>
              </w:rPr>
              <w:t xml:space="preserve"> </w:t>
            </w:r>
            <w:r w:rsidRPr="001455DC">
              <w:rPr>
                <w:sz w:val="16"/>
                <w:szCs w:val="16"/>
                <w:lang w:eastAsia="de-DE"/>
              </w:rPr>
              <w:t>67</w:t>
            </w:r>
          </w:p>
        </w:tc>
        <w:tc>
          <w:tcPr>
            <w:tcW w:w="482" w:type="dxa"/>
            <w:tcBorders>
              <w:top w:val="nil"/>
            </w:tcBorders>
          </w:tcPr>
          <w:p w14:paraId="7C07A2D7" w14:textId="54144AF5" w:rsidR="008D6173" w:rsidRPr="001455DC" w:rsidRDefault="008D6173" w:rsidP="006210D7">
            <w:pPr>
              <w:pStyle w:val="Tableheader--"/>
              <w:keepNext/>
              <w:rPr>
                <w:sz w:val="16"/>
                <w:szCs w:val="16"/>
                <w:lang w:eastAsia="de-DE"/>
              </w:rPr>
            </w:pPr>
            <w:r w:rsidRPr="001455DC">
              <w:rPr>
                <w:sz w:val="16"/>
                <w:szCs w:val="16"/>
                <w:lang w:eastAsia="de-DE"/>
              </w:rPr>
              <w:t>C60/</w:t>
            </w:r>
            <w:r w:rsidR="008E6252" w:rsidRPr="001455DC">
              <w:rPr>
                <w:sz w:val="16"/>
                <w:szCs w:val="16"/>
                <w:lang w:eastAsia="de-DE"/>
              </w:rPr>
              <w:t xml:space="preserve"> </w:t>
            </w:r>
            <w:r w:rsidRPr="001455DC">
              <w:rPr>
                <w:sz w:val="16"/>
                <w:szCs w:val="16"/>
                <w:lang w:eastAsia="de-DE"/>
              </w:rPr>
              <w:t>75</w:t>
            </w:r>
          </w:p>
        </w:tc>
        <w:tc>
          <w:tcPr>
            <w:tcW w:w="482" w:type="dxa"/>
            <w:tcBorders>
              <w:top w:val="nil"/>
            </w:tcBorders>
          </w:tcPr>
          <w:p w14:paraId="107A3463" w14:textId="0C411898" w:rsidR="008D6173" w:rsidRPr="001455DC" w:rsidRDefault="008D6173" w:rsidP="006210D7">
            <w:pPr>
              <w:pStyle w:val="Tableheader--"/>
              <w:keepNext/>
              <w:rPr>
                <w:sz w:val="16"/>
                <w:szCs w:val="16"/>
                <w:lang w:eastAsia="de-DE"/>
              </w:rPr>
            </w:pPr>
            <w:r w:rsidRPr="001455DC">
              <w:rPr>
                <w:sz w:val="16"/>
                <w:szCs w:val="16"/>
                <w:lang w:eastAsia="de-DE"/>
              </w:rPr>
              <w:t>C70/</w:t>
            </w:r>
            <w:r w:rsidR="008E6252" w:rsidRPr="001455DC">
              <w:rPr>
                <w:sz w:val="16"/>
                <w:szCs w:val="16"/>
                <w:lang w:eastAsia="de-DE"/>
              </w:rPr>
              <w:t xml:space="preserve"> </w:t>
            </w:r>
            <w:r w:rsidRPr="001455DC">
              <w:rPr>
                <w:sz w:val="16"/>
                <w:szCs w:val="16"/>
                <w:lang w:eastAsia="de-DE"/>
              </w:rPr>
              <w:t>85</w:t>
            </w:r>
          </w:p>
        </w:tc>
        <w:tc>
          <w:tcPr>
            <w:tcW w:w="482" w:type="dxa"/>
            <w:tcBorders>
              <w:top w:val="nil"/>
            </w:tcBorders>
          </w:tcPr>
          <w:p w14:paraId="002CE9D2" w14:textId="4F3FFC40" w:rsidR="008D6173" w:rsidRPr="001455DC" w:rsidRDefault="008D6173" w:rsidP="006210D7">
            <w:pPr>
              <w:pStyle w:val="Tableheader--"/>
              <w:keepNext/>
              <w:rPr>
                <w:sz w:val="16"/>
                <w:szCs w:val="16"/>
                <w:lang w:eastAsia="de-DE"/>
              </w:rPr>
            </w:pPr>
            <w:r w:rsidRPr="001455DC">
              <w:rPr>
                <w:sz w:val="16"/>
                <w:szCs w:val="16"/>
                <w:lang w:eastAsia="de-DE"/>
              </w:rPr>
              <w:t>C80/</w:t>
            </w:r>
            <w:r w:rsidR="008E6252" w:rsidRPr="001455DC">
              <w:rPr>
                <w:sz w:val="16"/>
                <w:szCs w:val="16"/>
                <w:lang w:eastAsia="de-DE"/>
              </w:rPr>
              <w:t xml:space="preserve"> </w:t>
            </w:r>
            <w:r w:rsidRPr="001455DC">
              <w:rPr>
                <w:sz w:val="16"/>
                <w:szCs w:val="16"/>
                <w:lang w:eastAsia="de-DE"/>
              </w:rPr>
              <w:t>95</w:t>
            </w:r>
          </w:p>
        </w:tc>
        <w:tc>
          <w:tcPr>
            <w:tcW w:w="482" w:type="dxa"/>
            <w:tcBorders>
              <w:top w:val="nil"/>
            </w:tcBorders>
          </w:tcPr>
          <w:p w14:paraId="29952FC0" w14:textId="445409DA" w:rsidR="008D6173" w:rsidRPr="001455DC" w:rsidRDefault="008D6173" w:rsidP="006210D7">
            <w:pPr>
              <w:pStyle w:val="Tableheader--"/>
              <w:keepNext/>
              <w:rPr>
                <w:sz w:val="16"/>
                <w:szCs w:val="16"/>
                <w:lang w:eastAsia="de-DE"/>
              </w:rPr>
            </w:pPr>
            <w:r w:rsidRPr="001455DC">
              <w:rPr>
                <w:sz w:val="16"/>
                <w:szCs w:val="16"/>
                <w:lang w:eastAsia="de-DE"/>
              </w:rPr>
              <w:t>C90/</w:t>
            </w:r>
            <w:r w:rsidR="008E6252" w:rsidRPr="001455DC">
              <w:rPr>
                <w:sz w:val="16"/>
                <w:szCs w:val="16"/>
                <w:lang w:eastAsia="de-DE"/>
              </w:rPr>
              <w:t xml:space="preserve"> </w:t>
            </w:r>
            <w:r w:rsidRPr="001455DC">
              <w:rPr>
                <w:sz w:val="16"/>
                <w:szCs w:val="16"/>
                <w:lang w:eastAsia="de-DE"/>
              </w:rPr>
              <w:t>105</w:t>
            </w:r>
          </w:p>
        </w:tc>
        <w:tc>
          <w:tcPr>
            <w:tcW w:w="567" w:type="dxa"/>
            <w:tcBorders>
              <w:top w:val="nil"/>
            </w:tcBorders>
          </w:tcPr>
          <w:p w14:paraId="00104F49" w14:textId="22A25C34" w:rsidR="008D6173" w:rsidRPr="001455DC" w:rsidRDefault="008D6173" w:rsidP="006210D7">
            <w:pPr>
              <w:pStyle w:val="Tableheader--"/>
              <w:keepNext/>
              <w:rPr>
                <w:sz w:val="16"/>
                <w:szCs w:val="16"/>
                <w:lang w:eastAsia="de-DE"/>
              </w:rPr>
            </w:pPr>
            <w:r w:rsidRPr="001455DC">
              <w:rPr>
                <w:sz w:val="16"/>
                <w:szCs w:val="16"/>
                <w:lang w:eastAsia="de-DE"/>
              </w:rPr>
              <w:t>C100/</w:t>
            </w:r>
            <w:r w:rsidR="008E6252" w:rsidRPr="001455DC">
              <w:rPr>
                <w:sz w:val="16"/>
                <w:szCs w:val="16"/>
                <w:lang w:eastAsia="de-DE"/>
              </w:rPr>
              <w:t xml:space="preserve"> </w:t>
            </w:r>
            <w:r w:rsidRPr="001455DC">
              <w:rPr>
                <w:sz w:val="16"/>
                <w:szCs w:val="16"/>
                <w:lang w:eastAsia="de-DE"/>
              </w:rPr>
              <w:t>115</w:t>
            </w:r>
          </w:p>
        </w:tc>
        <w:tc>
          <w:tcPr>
            <w:tcW w:w="1701" w:type="dxa"/>
            <w:vMerge/>
          </w:tcPr>
          <w:p w14:paraId="0CBE464A" w14:textId="77777777" w:rsidR="008D6173" w:rsidRPr="009D3012" w:rsidRDefault="008D6173" w:rsidP="006210D7">
            <w:pPr>
              <w:pStyle w:val="Tableheader-"/>
              <w:keepNext/>
              <w:contextualSpacing/>
              <w:rPr>
                <w:rFonts w:eastAsia="Arial Unicode MS"/>
                <w:sz w:val="18"/>
                <w:szCs w:val="18"/>
                <w:lang w:eastAsia="de-DE"/>
              </w:rPr>
            </w:pPr>
          </w:p>
        </w:tc>
      </w:tr>
      <w:tr w:rsidR="004E22C1" w:rsidRPr="001455DC" w14:paraId="49F9A1DC" w14:textId="77777777" w:rsidTr="008D6173">
        <w:trPr>
          <w:trHeight w:val="227"/>
        </w:trPr>
        <w:tc>
          <w:tcPr>
            <w:tcW w:w="737" w:type="dxa"/>
            <w:vAlign w:val="center"/>
          </w:tcPr>
          <w:p w14:paraId="316BEE21" w14:textId="77777777" w:rsidR="004E22C1" w:rsidRPr="001455DC" w:rsidRDefault="004E22C1" w:rsidP="006210D7">
            <w:pPr>
              <w:pStyle w:val="Tablebody-"/>
              <w:keepNext/>
              <w:jc w:val="center"/>
              <w:rPr>
                <w:rFonts w:eastAsia="Arial Unicode MS"/>
                <w:strike/>
                <w:lang w:eastAsia="de-DE"/>
              </w:rPr>
            </w:pPr>
            <w:r w:rsidRPr="001455DC">
              <w:rPr>
                <w:rStyle w:val="CCMCvariableitalic"/>
              </w:rPr>
              <w:t>f</w:t>
            </w:r>
            <w:r w:rsidRPr="001455DC">
              <w:rPr>
                <w:rStyle w:val="CCMCvariablesubscript"/>
              </w:rPr>
              <w:t>ck</w:t>
            </w:r>
          </w:p>
        </w:tc>
        <w:tc>
          <w:tcPr>
            <w:tcW w:w="482" w:type="dxa"/>
            <w:vAlign w:val="center"/>
          </w:tcPr>
          <w:p w14:paraId="149B29DA" w14:textId="77777777" w:rsidR="004E22C1" w:rsidRPr="001455DC" w:rsidRDefault="004E22C1" w:rsidP="006210D7">
            <w:pPr>
              <w:pStyle w:val="Tablebody-"/>
              <w:keepNext/>
              <w:jc w:val="center"/>
              <w:rPr>
                <w:rFonts w:eastAsia="Arial Unicode MS"/>
                <w:bCs/>
                <w:lang w:eastAsia="de-DE"/>
              </w:rPr>
            </w:pPr>
            <w:r w:rsidRPr="001455DC">
              <w:rPr>
                <w:rFonts w:eastAsia="Arial Unicode MS"/>
                <w:bCs/>
                <w:lang w:eastAsia="de-DE"/>
              </w:rPr>
              <w:t>12</w:t>
            </w:r>
          </w:p>
        </w:tc>
        <w:tc>
          <w:tcPr>
            <w:tcW w:w="482" w:type="dxa"/>
            <w:vAlign w:val="center"/>
          </w:tcPr>
          <w:p w14:paraId="1FA15D13" w14:textId="77777777" w:rsidR="004E22C1" w:rsidRPr="001455DC" w:rsidRDefault="004E22C1" w:rsidP="006210D7">
            <w:pPr>
              <w:pStyle w:val="Tablebody-"/>
              <w:keepNext/>
              <w:jc w:val="center"/>
              <w:rPr>
                <w:rFonts w:eastAsia="Arial Unicode MS"/>
                <w:bCs/>
                <w:lang w:eastAsia="de-DE"/>
              </w:rPr>
            </w:pPr>
            <w:r w:rsidRPr="001455DC">
              <w:rPr>
                <w:rFonts w:eastAsia="Arial Unicode MS"/>
                <w:bCs/>
                <w:lang w:eastAsia="de-DE"/>
              </w:rPr>
              <w:t>16</w:t>
            </w:r>
          </w:p>
        </w:tc>
        <w:tc>
          <w:tcPr>
            <w:tcW w:w="482" w:type="dxa"/>
            <w:vAlign w:val="center"/>
          </w:tcPr>
          <w:p w14:paraId="0C7C6351" w14:textId="77777777" w:rsidR="004E22C1" w:rsidRPr="001455DC" w:rsidRDefault="004E22C1" w:rsidP="006210D7">
            <w:pPr>
              <w:pStyle w:val="Tablebody-"/>
              <w:keepNext/>
              <w:jc w:val="center"/>
              <w:rPr>
                <w:rFonts w:eastAsia="Arial Unicode MS"/>
                <w:bCs/>
                <w:lang w:eastAsia="de-DE"/>
              </w:rPr>
            </w:pPr>
            <w:r w:rsidRPr="001455DC">
              <w:rPr>
                <w:rFonts w:eastAsia="Arial Unicode MS"/>
                <w:bCs/>
                <w:lang w:eastAsia="de-DE"/>
              </w:rPr>
              <w:t>20</w:t>
            </w:r>
          </w:p>
        </w:tc>
        <w:tc>
          <w:tcPr>
            <w:tcW w:w="482" w:type="dxa"/>
            <w:vAlign w:val="center"/>
          </w:tcPr>
          <w:p w14:paraId="1AFAE3DC" w14:textId="77777777" w:rsidR="004E22C1" w:rsidRPr="001455DC" w:rsidRDefault="004E22C1" w:rsidP="006210D7">
            <w:pPr>
              <w:pStyle w:val="Tablebody-"/>
              <w:keepNext/>
              <w:jc w:val="center"/>
              <w:rPr>
                <w:rFonts w:eastAsia="Arial Unicode MS"/>
                <w:bCs/>
                <w:lang w:eastAsia="de-DE"/>
              </w:rPr>
            </w:pPr>
            <w:r w:rsidRPr="001455DC">
              <w:rPr>
                <w:rFonts w:eastAsia="Arial Unicode MS"/>
                <w:bCs/>
                <w:lang w:eastAsia="de-DE"/>
              </w:rPr>
              <w:t>25</w:t>
            </w:r>
          </w:p>
        </w:tc>
        <w:tc>
          <w:tcPr>
            <w:tcW w:w="482" w:type="dxa"/>
            <w:vAlign w:val="center"/>
          </w:tcPr>
          <w:p w14:paraId="260422B3" w14:textId="77777777" w:rsidR="004E22C1" w:rsidRPr="001455DC" w:rsidRDefault="004E22C1" w:rsidP="006210D7">
            <w:pPr>
              <w:pStyle w:val="Tablebody-"/>
              <w:keepNext/>
              <w:jc w:val="center"/>
              <w:rPr>
                <w:rFonts w:eastAsia="Arial Unicode MS"/>
                <w:bCs/>
                <w:lang w:eastAsia="de-DE"/>
              </w:rPr>
            </w:pPr>
            <w:r w:rsidRPr="001455DC">
              <w:rPr>
                <w:rFonts w:eastAsia="Arial Unicode MS"/>
                <w:bCs/>
                <w:lang w:eastAsia="de-DE"/>
              </w:rPr>
              <w:t>30</w:t>
            </w:r>
          </w:p>
        </w:tc>
        <w:tc>
          <w:tcPr>
            <w:tcW w:w="482" w:type="dxa"/>
            <w:vAlign w:val="center"/>
          </w:tcPr>
          <w:p w14:paraId="07B3F437" w14:textId="77777777" w:rsidR="004E22C1" w:rsidRPr="001455DC" w:rsidRDefault="004E22C1" w:rsidP="006210D7">
            <w:pPr>
              <w:pStyle w:val="Tablebody-"/>
              <w:keepNext/>
              <w:jc w:val="center"/>
              <w:rPr>
                <w:rFonts w:eastAsia="Arial Unicode MS"/>
                <w:bCs/>
                <w:lang w:eastAsia="de-DE"/>
              </w:rPr>
            </w:pPr>
            <w:r w:rsidRPr="001455DC">
              <w:rPr>
                <w:rFonts w:eastAsia="Arial Unicode MS"/>
                <w:bCs/>
                <w:lang w:eastAsia="de-DE"/>
              </w:rPr>
              <w:t>35</w:t>
            </w:r>
          </w:p>
        </w:tc>
        <w:tc>
          <w:tcPr>
            <w:tcW w:w="482" w:type="dxa"/>
            <w:vAlign w:val="center"/>
          </w:tcPr>
          <w:p w14:paraId="1DAC8486" w14:textId="77777777" w:rsidR="004E22C1" w:rsidRPr="001455DC" w:rsidRDefault="004E22C1" w:rsidP="006210D7">
            <w:pPr>
              <w:pStyle w:val="Tablebody-"/>
              <w:keepNext/>
              <w:jc w:val="center"/>
              <w:rPr>
                <w:rFonts w:eastAsia="Arial Unicode MS"/>
                <w:bCs/>
                <w:lang w:eastAsia="de-DE"/>
              </w:rPr>
            </w:pPr>
            <w:r w:rsidRPr="001455DC">
              <w:rPr>
                <w:rFonts w:eastAsia="Arial Unicode MS"/>
                <w:bCs/>
                <w:lang w:eastAsia="de-DE"/>
              </w:rPr>
              <w:t>40</w:t>
            </w:r>
          </w:p>
        </w:tc>
        <w:tc>
          <w:tcPr>
            <w:tcW w:w="482" w:type="dxa"/>
            <w:vAlign w:val="center"/>
          </w:tcPr>
          <w:p w14:paraId="7E64D866" w14:textId="77777777" w:rsidR="004E22C1" w:rsidRPr="001455DC" w:rsidRDefault="004E22C1" w:rsidP="006210D7">
            <w:pPr>
              <w:pStyle w:val="Tablebody-"/>
              <w:keepNext/>
              <w:jc w:val="center"/>
              <w:rPr>
                <w:rFonts w:eastAsia="Arial Unicode MS"/>
                <w:bCs/>
                <w:lang w:eastAsia="de-DE"/>
              </w:rPr>
            </w:pPr>
            <w:r w:rsidRPr="001455DC">
              <w:rPr>
                <w:rFonts w:eastAsia="Arial Unicode MS"/>
                <w:bCs/>
                <w:lang w:eastAsia="de-DE"/>
              </w:rPr>
              <w:t>45</w:t>
            </w:r>
          </w:p>
        </w:tc>
        <w:tc>
          <w:tcPr>
            <w:tcW w:w="482" w:type="dxa"/>
            <w:vAlign w:val="center"/>
          </w:tcPr>
          <w:p w14:paraId="7DCECB72" w14:textId="77777777" w:rsidR="004E22C1" w:rsidRPr="001455DC" w:rsidRDefault="004E22C1" w:rsidP="006210D7">
            <w:pPr>
              <w:pStyle w:val="Tablebody-"/>
              <w:keepNext/>
              <w:jc w:val="center"/>
              <w:rPr>
                <w:rFonts w:eastAsia="Arial Unicode MS"/>
                <w:bCs/>
                <w:lang w:eastAsia="de-DE"/>
              </w:rPr>
            </w:pPr>
            <w:r w:rsidRPr="001455DC">
              <w:rPr>
                <w:rFonts w:eastAsia="Arial Unicode MS"/>
                <w:bCs/>
                <w:lang w:eastAsia="de-DE"/>
              </w:rPr>
              <w:t>50</w:t>
            </w:r>
          </w:p>
        </w:tc>
        <w:tc>
          <w:tcPr>
            <w:tcW w:w="482" w:type="dxa"/>
            <w:vAlign w:val="center"/>
          </w:tcPr>
          <w:p w14:paraId="015FC124" w14:textId="77777777" w:rsidR="004E22C1" w:rsidRPr="001455DC" w:rsidRDefault="004E22C1" w:rsidP="006210D7">
            <w:pPr>
              <w:pStyle w:val="Tablebody-"/>
              <w:keepNext/>
              <w:jc w:val="center"/>
              <w:rPr>
                <w:rFonts w:eastAsia="Arial Unicode MS"/>
                <w:bCs/>
                <w:lang w:eastAsia="de-DE"/>
              </w:rPr>
            </w:pPr>
            <w:r w:rsidRPr="001455DC">
              <w:rPr>
                <w:rFonts w:eastAsia="Arial Unicode MS"/>
                <w:bCs/>
                <w:lang w:eastAsia="de-DE"/>
              </w:rPr>
              <w:t>55</w:t>
            </w:r>
          </w:p>
        </w:tc>
        <w:tc>
          <w:tcPr>
            <w:tcW w:w="482" w:type="dxa"/>
            <w:vAlign w:val="center"/>
          </w:tcPr>
          <w:p w14:paraId="518124C5" w14:textId="77777777" w:rsidR="004E22C1" w:rsidRPr="001455DC" w:rsidRDefault="004E22C1" w:rsidP="006210D7">
            <w:pPr>
              <w:pStyle w:val="Tablebody-"/>
              <w:keepNext/>
              <w:jc w:val="center"/>
              <w:rPr>
                <w:rFonts w:eastAsia="Arial Unicode MS"/>
                <w:bCs/>
                <w:lang w:eastAsia="de-DE"/>
              </w:rPr>
            </w:pPr>
            <w:r w:rsidRPr="001455DC">
              <w:rPr>
                <w:rFonts w:eastAsia="Arial Unicode MS"/>
                <w:bCs/>
                <w:lang w:eastAsia="de-DE"/>
              </w:rPr>
              <w:t>60</w:t>
            </w:r>
          </w:p>
        </w:tc>
        <w:tc>
          <w:tcPr>
            <w:tcW w:w="482" w:type="dxa"/>
            <w:vAlign w:val="center"/>
          </w:tcPr>
          <w:p w14:paraId="626C773A" w14:textId="77777777" w:rsidR="004E22C1" w:rsidRPr="001455DC" w:rsidRDefault="004E22C1" w:rsidP="006210D7">
            <w:pPr>
              <w:pStyle w:val="Tablebody-"/>
              <w:keepNext/>
              <w:jc w:val="center"/>
              <w:rPr>
                <w:rFonts w:eastAsia="Arial Unicode MS"/>
                <w:bCs/>
                <w:lang w:eastAsia="de-DE"/>
              </w:rPr>
            </w:pPr>
            <w:r w:rsidRPr="001455DC">
              <w:rPr>
                <w:rFonts w:eastAsia="Arial Unicode MS"/>
                <w:bCs/>
                <w:lang w:eastAsia="de-DE"/>
              </w:rPr>
              <w:t>70</w:t>
            </w:r>
          </w:p>
        </w:tc>
        <w:tc>
          <w:tcPr>
            <w:tcW w:w="482" w:type="dxa"/>
            <w:vAlign w:val="center"/>
          </w:tcPr>
          <w:p w14:paraId="7626D352" w14:textId="77777777" w:rsidR="004E22C1" w:rsidRPr="001455DC" w:rsidRDefault="004E22C1" w:rsidP="006210D7">
            <w:pPr>
              <w:pStyle w:val="Tablebody-"/>
              <w:keepNext/>
              <w:jc w:val="center"/>
              <w:rPr>
                <w:rFonts w:eastAsia="Arial Unicode MS"/>
                <w:bCs/>
                <w:lang w:eastAsia="de-DE"/>
              </w:rPr>
            </w:pPr>
            <w:r w:rsidRPr="001455DC">
              <w:rPr>
                <w:rFonts w:eastAsia="Arial Unicode MS"/>
                <w:bCs/>
                <w:lang w:eastAsia="de-DE"/>
              </w:rPr>
              <w:t>80</w:t>
            </w:r>
          </w:p>
        </w:tc>
        <w:tc>
          <w:tcPr>
            <w:tcW w:w="482" w:type="dxa"/>
            <w:vAlign w:val="center"/>
          </w:tcPr>
          <w:p w14:paraId="4A85D62B" w14:textId="77777777" w:rsidR="004E22C1" w:rsidRPr="009D3012" w:rsidRDefault="004E22C1" w:rsidP="006210D7">
            <w:pPr>
              <w:pStyle w:val="Tablebody-"/>
              <w:keepNext/>
              <w:jc w:val="center"/>
              <w:rPr>
                <w:rStyle w:val="CCMCvariablesuperscript"/>
              </w:rPr>
            </w:pPr>
            <w:r w:rsidRPr="009D3012">
              <w:rPr>
                <w:rFonts w:eastAsia="Arial Unicode MS"/>
                <w:bCs/>
                <w:lang w:eastAsia="de-DE"/>
              </w:rPr>
              <w:t>90</w:t>
            </w:r>
          </w:p>
        </w:tc>
        <w:tc>
          <w:tcPr>
            <w:tcW w:w="567" w:type="dxa"/>
            <w:vAlign w:val="center"/>
          </w:tcPr>
          <w:p w14:paraId="0B760053" w14:textId="77777777" w:rsidR="004E22C1" w:rsidRPr="009D3012" w:rsidRDefault="004E22C1" w:rsidP="006210D7">
            <w:pPr>
              <w:pStyle w:val="Tablebody-"/>
              <w:keepNext/>
              <w:jc w:val="center"/>
              <w:rPr>
                <w:rStyle w:val="CCMCvariablesuperscript"/>
              </w:rPr>
            </w:pPr>
            <w:r w:rsidRPr="009D3012">
              <w:rPr>
                <w:rFonts w:eastAsia="Arial Unicode MS"/>
                <w:bCs/>
                <w:lang w:eastAsia="de-DE"/>
              </w:rPr>
              <w:t>100</w:t>
            </w:r>
          </w:p>
        </w:tc>
        <w:tc>
          <w:tcPr>
            <w:tcW w:w="1701" w:type="dxa"/>
            <w:vAlign w:val="center"/>
          </w:tcPr>
          <w:p w14:paraId="48F71551" w14:textId="77777777" w:rsidR="004E22C1" w:rsidRPr="001455DC" w:rsidRDefault="004E22C1" w:rsidP="006210D7">
            <w:pPr>
              <w:pStyle w:val="Tablebody-"/>
              <w:keepNext/>
              <w:jc w:val="center"/>
            </w:pPr>
            <w:r w:rsidRPr="001455DC">
              <w:rPr>
                <w:lang w:eastAsia="de-DE"/>
              </w:rPr>
              <w:t>–</w:t>
            </w:r>
          </w:p>
        </w:tc>
      </w:tr>
      <w:tr w:rsidR="004E22C1" w:rsidRPr="001455DC" w14:paraId="76E08398" w14:textId="77777777" w:rsidTr="008D6173">
        <w:trPr>
          <w:trHeight w:val="227"/>
        </w:trPr>
        <w:tc>
          <w:tcPr>
            <w:tcW w:w="737" w:type="dxa"/>
            <w:vAlign w:val="center"/>
          </w:tcPr>
          <w:p w14:paraId="08C3622C" w14:textId="77777777" w:rsidR="004E22C1" w:rsidRPr="001455DC" w:rsidRDefault="004E22C1" w:rsidP="006210D7">
            <w:pPr>
              <w:pStyle w:val="Tablebody-"/>
              <w:keepNext/>
              <w:jc w:val="center"/>
              <w:rPr>
                <w:rFonts w:eastAsia="Arial Unicode MS"/>
                <w:strike/>
                <w:lang w:eastAsia="de-DE"/>
              </w:rPr>
            </w:pPr>
            <w:r w:rsidRPr="001455DC">
              <w:rPr>
                <w:rStyle w:val="CCMCvariableitalic"/>
              </w:rPr>
              <w:t>f</w:t>
            </w:r>
            <w:r w:rsidRPr="001455DC">
              <w:rPr>
                <w:rStyle w:val="CCMCvariablesubscript"/>
              </w:rPr>
              <w:t>cm</w:t>
            </w:r>
          </w:p>
        </w:tc>
        <w:tc>
          <w:tcPr>
            <w:tcW w:w="482" w:type="dxa"/>
            <w:vAlign w:val="center"/>
          </w:tcPr>
          <w:p w14:paraId="4A99DF04" w14:textId="77777777" w:rsidR="004E22C1" w:rsidRPr="009D3012" w:rsidRDefault="004E22C1" w:rsidP="006210D7">
            <w:pPr>
              <w:pStyle w:val="Tablebody-"/>
              <w:keepNext/>
              <w:jc w:val="center"/>
              <w:rPr>
                <w:rFonts w:eastAsia="Arial Unicode MS"/>
                <w:lang w:eastAsia="de-DE"/>
              </w:rPr>
            </w:pPr>
            <w:r w:rsidRPr="001455DC">
              <w:rPr>
                <w:rFonts w:eastAsia="Arial Unicode MS"/>
                <w:lang w:eastAsia="de-DE"/>
              </w:rPr>
              <w:t>20</w:t>
            </w:r>
          </w:p>
        </w:tc>
        <w:tc>
          <w:tcPr>
            <w:tcW w:w="482" w:type="dxa"/>
            <w:vAlign w:val="center"/>
          </w:tcPr>
          <w:p w14:paraId="0C0D7CAA" w14:textId="77777777" w:rsidR="004E22C1" w:rsidRPr="009D3012" w:rsidRDefault="004E22C1" w:rsidP="006210D7">
            <w:pPr>
              <w:pStyle w:val="Tablebody-"/>
              <w:keepNext/>
              <w:jc w:val="center"/>
              <w:rPr>
                <w:rFonts w:eastAsia="Arial Unicode MS"/>
                <w:lang w:eastAsia="de-DE"/>
              </w:rPr>
            </w:pPr>
            <w:r w:rsidRPr="001455DC">
              <w:rPr>
                <w:rFonts w:eastAsia="Arial Unicode MS"/>
                <w:lang w:eastAsia="de-DE"/>
              </w:rPr>
              <w:t>24</w:t>
            </w:r>
          </w:p>
        </w:tc>
        <w:tc>
          <w:tcPr>
            <w:tcW w:w="482" w:type="dxa"/>
            <w:vAlign w:val="center"/>
          </w:tcPr>
          <w:p w14:paraId="7C7441EC" w14:textId="77777777" w:rsidR="004E22C1" w:rsidRPr="001455DC" w:rsidRDefault="004E22C1" w:rsidP="006210D7">
            <w:pPr>
              <w:pStyle w:val="Tablebody-"/>
              <w:keepNext/>
              <w:jc w:val="center"/>
              <w:rPr>
                <w:rFonts w:eastAsia="Arial Unicode MS"/>
                <w:lang w:eastAsia="de-DE"/>
              </w:rPr>
            </w:pPr>
            <w:r w:rsidRPr="001455DC">
              <w:rPr>
                <w:rFonts w:eastAsia="Arial Unicode MS"/>
                <w:lang w:eastAsia="de-DE"/>
              </w:rPr>
              <w:t>28</w:t>
            </w:r>
          </w:p>
        </w:tc>
        <w:tc>
          <w:tcPr>
            <w:tcW w:w="482" w:type="dxa"/>
            <w:vAlign w:val="center"/>
          </w:tcPr>
          <w:p w14:paraId="1311F578" w14:textId="77777777" w:rsidR="004E22C1" w:rsidRPr="001455DC" w:rsidRDefault="004E22C1" w:rsidP="006210D7">
            <w:pPr>
              <w:pStyle w:val="Tablebody-"/>
              <w:keepNext/>
              <w:jc w:val="center"/>
              <w:rPr>
                <w:rFonts w:eastAsia="Arial Unicode MS"/>
                <w:lang w:eastAsia="de-DE"/>
              </w:rPr>
            </w:pPr>
            <w:r w:rsidRPr="001455DC">
              <w:rPr>
                <w:rFonts w:eastAsia="Arial Unicode MS"/>
                <w:lang w:eastAsia="de-DE"/>
              </w:rPr>
              <w:t>33</w:t>
            </w:r>
          </w:p>
        </w:tc>
        <w:tc>
          <w:tcPr>
            <w:tcW w:w="482" w:type="dxa"/>
            <w:vAlign w:val="center"/>
          </w:tcPr>
          <w:p w14:paraId="3302C473" w14:textId="77777777" w:rsidR="004E22C1" w:rsidRPr="001455DC" w:rsidRDefault="004E22C1" w:rsidP="006210D7">
            <w:pPr>
              <w:pStyle w:val="Tablebody-"/>
              <w:keepNext/>
              <w:jc w:val="center"/>
              <w:rPr>
                <w:rFonts w:eastAsia="Arial Unicode MS"/>
                <w:lang w:eastAsia="de-DE"/>
              </w:rPr>
            </w:pPr>
            <w:r w:rsidRPr="001455DC">
              <w:rPr>
                <w:rFonts w:eastAsia="Arial Unicode MS"/>
                <w:lang w:eastAsia="de-DE"/>
              </w:rPr>
              <w:t>38</w:t>
            </w:r>
          </w:p>
        </w:tc>
        <w:tc>
          <w:tcPr>
            <w:tcW w:w="482" w:type="dxa"/>
            <w:vAlign w:val="center"/>
          </w:tcPr>
          <w:p w14:paraId="0C37510A" w14:textId="77777777" w:rsidR="004E22C1" w:rsidRPr="001455DC" w:rsidRDefault="004E22C1" w:rsidP="006210D7">
            <w:pPr>
              <w:pStyle w:val="Tablebody-"/>
              <w:keepNext/>
              <w:jc w:val="center"/>
              <w:rPr>
                <w:rFonts w:eastAsia="Arial Unicode MS"/>
                <w:lang w:eastAsia="de-DE"/>
              </w:rPr>
            </w:pPr>
            <w:r w:rsidRPr="001455DC">
              <w:rPr>
                <w:rFonts w:eastAsia="Arial Unicode MS"/>
                <w:lang w:eastAsia="de-DE"/>
              </w:rPr>
              <w:t>43</w:t>
            </w:r>
          </w:p>
        </w:tc>
        <w:tc>
          <w:tcPr>
            <w:tcW w:w="482" w:type="dxa"/>
            <w:vAlign w:val="center"/>
          </w:tcPr>
          <w:p w14:paraId="412C9744" w14:textId="77777777" w:rsidR="004E22C1" w:rsidRPr="001455DC" w:rsidRDefault="004E22C1" w:rsidP="006210D7">
            <w:pPr>
              <w:pStyle w:val="Tablebody-"/>
              <w:keepNext/>
              <w:jc w:val="center"/>
              <w:rPr>
                <w:rFonts w:eastAsia="Arial Unicode MS"/>
                <w:lang w:eastAsia="de-DE"/>
              </w:rPr>
            </w:pPr>
            <w:r w:rsidRPr="001455DC">
              <w:rPr>
                <w:rFonts w:eastAsia="Arial Unicode MS"/>
                <w:lang w:eastAsia="de-DE"/>
              </w:rPr>
              <w:t>48</w:t>
            </w:r>
          </w:p>
        </w:tc>
        <w:tc>
          <w:tcPr>
            <w:tcW w:w="482" w:type="dxa"/>
            <w:vAlign w:val="center"/>
          </w:tcPr>
          <w:p w14:paraId="66B3F31A" w14:textId="77777777" w:rsidR="004E22C1" w:rsidRPr="001455DC" w:rsidRDefault="004E22C1" w:rsidP="006210D7">
            <w:pPr>
              <w:pStyle w:val="Tablebody-"/>
              <w:keepNext/>
              <w:jc w:val="center"/>
              <w:rPr>
                <w:rFonts w:eastAsia="Arial Unicode MS"/>
                <w:lang w:eastAsia="de-DE"/>
              </w:rPr>
            </w:pPr>
            <w:r w:rsidRPr="001455DC">
              <w:rPr>
                <w:rFonts w:eastAsia="Arial Unicode MS"/>
                <w:lang w:eastAsia="de-DE"/>
              </w:rPr>
              <w:t>53</w:t>
            </w:r>
          </w:p>
        </w:tc>
        <w:tc>
          <w:tcPr>
            <w:tcW w:w="482" w:type="dxa"/>
            <w:vAlign w:val="center"/>
          </w:tcPr>
          <w:p w14:paraId="20821FC3" w14:textId="77777777" w:rsidR="004E22C1" w:rsidRPr="001455DC" w:rsidRDefault="004E22C1" w:rsidP="006210D7">
            <w:pPr>
              <w:pStyle w:val="Tablebody-"/>
              <w:keepNext/>
              <w:jc w:val="center"/>
              <w:rPr>
                <w:rFonts w:eastAsia="Arial Unicode MS"/>
                <w:lang w:eastAsia="de-DE"/>
              </w:rPr>
            </w:pPr>
            <w:r w:rsidRPr="001455DC">
              <w:rPr>
                <w:rFonts w:eastAsia="Arial Unicode MS"/>
                <w:lang w:eastAsia="de-DE"/>
              </w:rPr>
              <w:t>58</w:t>
            </w:r>
          </w:p>
        </w:tc>
        <w:tc>
          <w:tcPr>
            <w:tcW w:w="482" w:type="dxa"/>
            <w:vAlign w:val="center"/>
          </w:tcPr>
          <w:p w14:paraId="3B094439" w14:textId="77777777" w:rsidR="004E22C1" w:rsidRPr="001455DC" w:rsidRDefault="004E22C1" w:rsidP="006210D7">
            <w:pPr>
              <w:pStyle w:val="Tablebody-"/>
              <w:keepNext/>
              <w:jc w:val="center"/>
              <w:rPr>
                <w:rFonts w:eastAsia="Arial Unicode MS"/>
                <w:lang w:eastAsia="de-DE"/>
              </w:rPr>
            </w:pPr>
            <w:r w:rsidRPr="001455DC">
              <w:rPr>
                <w:rFonts w:eastAsia="Arial Unicode MS"/>
                <w:lang w:eastAsia="de-DE"/>
              </w:rPr>
              <w:t>63</w:t>
            </w:r>
          </w:p>
        </w:tc>
        <w:tc>
          <w:tcPr>
            <w:tcW w:w="482" w:type="dxa"/>
            <w:vAlign w:val="center"/>
          </w:tcPr>
          <w:p w14:paraId="6D8B0403" w14:textId="77777777" w:rsidR="004E22C1" w:rsidRPr="001455DC" w:rsidRDefault="004E22C1" w:rsidP="006210D7">
            <w:pPr>
              <w:pStyle w:val="Tablebody-"/>
              <w:keepNext/>
              <w:jc w:val="center"/>
              <w:rPr>
                <w:rFonts w:eastAsia="Arial Unicode MS"/>
                <w:lang w:eastAsia="de-DE"/>
              </w:rPr>
            </w:pPr>
            <w:r w:rsidRPr="001455DC">
              <w:rPr>
                <w:rFonts w:eastAsia="Arial Unicode MS"/>
                <w:lang w:eastAsia="de-DE"/>
              </w:rPr>
              <w:t>68</w:t>
            </w:r>
          </w:p>
        </w:tc>
        <w:tc>
          <w:tcPr>
            <w:tcW w:w="482" w:type="dxa"/>
            <w:vAlign w:val="center"/>
          </w:tcPr>
          <w:p w14:paraId="0925E7F8" w14:textId="77777777" w:rsidR="004E22C1" w:rsidRPr="001455DC" w:rsidRDefault="004E22C1" w:rsidP="006210D7">
            <w:pPr>
              <w:pStyle w:val="Tablebody-"/>
              <w:keepNext/>
              <w:jc w:val="center"/>
              <w:rPr>
                <w:rFonts w:eastAsia="Arial Unicode MS"/>
                <w:lang w:eastAsia="de-DE"/>
              </w:rPr>
            </w:pPr>
            <w:r w:rsidRPr="001455DC">
              <w:rPr>
                <w:rFonts w:eastAsia="Arial Unicode MS"/>
                <w:lang w:eastAsia="de-DE"/>
              </w:rPr>
              <w:t>78</w:t>
            </w:r>
          </w:p>
        </w:tc>
        <w:tc>
          <w:tcPr>
            <w:tcW w:w="482" w:type="dxa"/>
            <w:vAlign w:val="center"/>
          </w:tcPr>
          <w:p w14:paraId="0E40D8C2" w14:textId="77777777" w:rsidR="004E22C1" w:rsidRPr="001455DC" w:rsidRDefault="004E22C1" w:rsidP="006210D7">
            <w:pPr>
              <w:pStyle w:val="Tablebody-"/>
              <w:keepNext/>
              <w:jc w:val="center"/>
              <w:rPr>
                <w:rFonts w:eastAsia="Arial Unicode MS"/>
                <w:lang w:eastAsia="de-DE"/>
              </w:rPr>
            </w:pPr>
            <w:r w:rsidRPr="001455DC">
              <w:rPr>
                <w:rFonts w:eastAsia="Arial Unicode MS"/>
                <w:lang w:eastAsia="de-DE"/>
              </w:rPr>
              <w:t>88</w:t>
            </w:r>
          </w:p>
        </w:tc>
        <w:tc>
          <w:tcPr>
            <w:tcW w:w="482" w:type="dxa"/>
            <w:vAlign w:val="center"/>
          </w:tcPr>
          <w:p w14:paraId="68C83EC6" w14:textId="77777777" w:rsidR="004E22C1" w:rsidRPr="001455DC" w:rsidRDefault="004E22C1" w:rsidP="006210D7">
            <w:pPr>
              <w:pStyle w:val="Tablebody-"/>
              <w:keepNext/>
              <w:jc w:val="center"/>
              <w:rPr>
                <w:rFonts w:eastAsia="Arial Unicode MS"/>
                <w:lang w:eastAsia="de-DE"/>
              </w:rPr>
            </w:pPr>
            <w:r w:rsidRPr="001455DC">
              <w:rPr>
                <w:rFonts w:eastAsia="Arial Unicode MS"/>
                <w:lang w:eastAsia="de-DE"/>
              </w:rPr>
              <w:t>98</w:t>
            </w:r>
          </w:p>
        </w:tc>
        <w:tc>
          <w:tcPr>
            <w:tcW w:w="567" w:type="dxa"/>
            <w:vAlign w:val="center"/>
          </w:tcPr>
          <w:p w14:paraId="651D29E3" w14:textId="77777777" w:rsidR="004E22C1" w:rsidRPr="001455DC" w:rsidRDefault="004E22C1" w:rsidP="006210D7">
            <w:pPr>
              <w:pStyle w:val="Tablebody-"/>
              <w:keepNext/>
              <w:jc w:val="center"/>
              <w:rPr>
                <w:rFonts w:eastAsia="Arial Unicode MS"/>
                <w:lang w:eastAsia="de-DE"/>
              </w:rPr>
            </w:pPr>
            <w:r w:rsidRPr="001455DC">
              <w:rPr>
                <w:rFonts w:eastAsia="Arial Unicode MS"/>
                <w:lang w:eastAsia="de-DE"/>
              </w:rPr>
              <w:t>108</w:t>
            </w:r>
          </w:p>
        </w:tc>
        <w:tc>
          <w:tcPr>
            <w:tcW w:w="1701" w:type="dxa"/>
            <w:vAlign w:val="center"/>
          </w:tcPr>
          <w:p w14:paraId="2ADCE240" w14:textId="5D29F7EF" w:rsidR="004E22C1" w:rsidRPr="009D3012" w:rsidRDefault="004E22C1" w:rsidP="006210D7">
            <w:pPr>
              <w:pStyle w:val="Tablebody--"/>
              <w:keepNext/>
              <w:rPr>
                <w:rStyle w:val="CCMCvariableitalic"/>
                <w:szCs w:val="18"/>
              </w:rPr>
            </w:pPr>
            <w:r w:rsidRPr="001455DC">
              <w:rPr>
                <w:rStyle w:val="CCMCvariableitalic"/>
                <w:szCs w:val="18"/>
              </w:rPr>
              <w:t>f</w:t>
            </w:r>
            <w:r w:rsidRPr="001455DC">
              <w:rPr>
                <w:rStyle w:val="CCMCvariablesubscript"/>
                <w:szCs w:val="18"/>
              </w:rPr>
              <w:t>cm</w:t>
            </w:r>
            <w:r w:rsidRPr="001455DC">
              <w:rPr>
                <w:szCs w:val="18"/>
              </w:rPr>
              <w:t> </w:t>
            </w:r>
            <w:r w:rsidR="00EC27D2" w:rsidRPr="001455DC">
              <w:rPr>
                <w:rFonts w:ascii="Cambria Math" w:hAnsi="Cambria Math"/>
                <w:szCs w:val="18"/>
              </w:rPr>
              <w:t>=</w:t>
            </w:r>
            <w:r w:rsidRPr="001455DC">
              <w:rPr>
                <w:szCs w:val="18"/>
              </w:rPr>
              <w:t> </w:t>
            </w:r>
            <w:r w:rsidRPr="001455DC">
              <w:rPr>
                <w:rStyle w:val="CCMCvariableitalic"/>
                <w:szCs w:val="18"/>
              </w:rPr>
              <w:t>f</w:t>
            </w:r>
            <w:r w:rsidRPr="001455DC">
              <w:rPr>
                <w:rStyle w:val="CCMCvariablesubscript"/>
                <w:szCs w:val="18"/>
              </w:rPr>
              <w:t>ck</w:t>
            </w:r>
            <w:r w:rsidR="00EC27D2" w:rsidRPr="001455DC">
              <w:rPr>
                <w:rFonts w:ascii="Cambria Math" w:eastAsia="Arial Unicode MS" w:hAnsi="Cambria Math"/>
                <w:szCs w:val="18"/>
                <w:lang w:eastAsia="de-DE"/>
              </w:rPr>
              <w:t> + </w:t>
            </w:r>
            <w:r w:rsidRPr="001455DC">
              <w:rPr>
                <w:rFonts w:eastAsia="Arial Unicode MS"/>
                <w:szCs w:val="18"/>
                <w:lang w:eastAsia="de-DE"/>
              </w:rPr>
              <w:t>8 MPa</w:t>
            </w:r>
          </w:p>
        </w:tc>
      </w:tr>
      <w:tr w:rsidR="004E22C1" w:rsidRPr="000250B6" w14:paraId="6152731F" w14:textId="77777777" w:rsidTr="008D6173">
        <w:trPr>
          <w:trHeight w:val="227"/>
        </w:trPr>
        <w:tc>
          <w:tcPr>
            <w:tcW w:w="737" w:type="dxa"/>
            <w:vAlign w:val="center"/>
          </w:tcPr>
          <w:p w14:paraId="1E254FF6" w14:textId="77777777" w:rsidR="004E22C1" w:rsidRPr="001455DC" w:rsidRDefault="004E22C1" w:rsidP="006210D7">
            <w:pPr>
              <w:pStyle w:val="Tablebody-"/>
              <w:keepNext/>
              <w:jc w:val="center"/>
              <w:rPr>
                <w:rFonts w:eastAsia="Arial Unicode MS"/>
                <w:lang w:eastAsia="de-DE"/>
              </w:rPr>
            </w:pPr>
            <w:r w:rsidRPr="001455DC">
              <w:rPr>
                <w:rStyle w:val="CCMCvariableitalic"/>
              </w:rPr>
              <w:t>f</w:t>
            </w:r>
            <w:r w:rsidRPr="001455DC">
              <w:rPr>
                <w:rStyle w:val="CCMCvariablesubscript"/>
              </w:rPr>
              <w:t>ctm</w:t>
            </w:r>
          </w:p>
        </w:tc>
        <w:tc>
          <w:tcPr>
            <w:tcW w:w="482" w:type="dxa"/>
            <w:vAlign w:val="center"/>
          </w:tcPr>
          <w:p w14:paraId="18796005" w14:textId="77777777" w:rsidR="004E22C1" w:rsidRPr="001455DC" w:rsidRDefault="004E22C1" w:rsidP="006210D7">
            <w:pPr>
              <w:pStyle w:val="Tablebody-"/>
              <w:keepNext/>
              <w:jc w:val="center"/>
              <w:rPr>
                <w:rFonts w:eastAsia="Arial Unicode MS"/>
                <w:lang w:eastAsia="de-DE"/>
              </w:rPr>
            </w:pPr>
            <w:r w:rsidRPr="001455DC">
              <w:rPr>
                <w:rFonts w:eastAsia="Arial Unicode MS"/>
                <w:lang w:eastAsia="de-DE"/>
              </w:rPr>
              <w:t>1,6</w:t>
            </w:r>
          </w:p>
        </w:tc>
        <w:tc>
          <w:tcPr>
            <w:tcW w:w="482" w:type="dxa"/>
            <w:vAlign w:val="center"/>
          </w:tcPr>
          <w:p w14:paraId="03655685" w14:textId="77777777" w:rsidR="004E22C1" w:rsidRPr="001455DC" w:rsidRDefault="004E22C1" w:rsidP="006210D7">
            <w:pPr>
              <w:pStyle w:val="Tablebody-"/>
              <w:keepNext/>
              <w:jc w:val="center"/>
              <w:rPr>
                <w:rFonts w:eastAsia="Arial Unicode MS"/>
                <w:lang w:eastAsia="de-DE"/>
              </w:rPr>
            </w:pPr>
            <w:r w:rsidRPr="001455DC">
              <w:rPr>
                <w:rFonts w:eastAsia="Arial Unicode MS"/>
                <w:lang w:eastAsia="de-DE"/>
              </w:rPr>
              <w:t>1,9</w:t>
            </w:r>
          </w:p>
        </w:tc>
        <w:tc>
          <w:tcPr>
            <w:tcW w:w="482" w:type="dxa"/>
            <w:vAlign w:val="center"/>
          </w:tcPr>
          <w:p w14:paraId="61B4D05B" w14:textId="77777777" w:rsidR="004E22C1" w:rsidRPr="001455DC" w:rsidRDefault="004E22C1" w:rsidP="006210D7">
            <w:pPr>
              <w:pStyle w:val="Tablebody-"/>
              <w:keepNext/>
              <w:jc w:val="center"/>
              <w:rPr>
                <w:rFonts w:eastAsia="Arial Unicode MS"/>
                <w:lang w:eastAsia="de-DE"/>
              </w:rPr>
            </w:pPr>
            <w:r w:rsidRPr="001455DC">
              <w:rPr>
                <w:rFonts w:eastAsia="Arial Unicode MS"/>
                <w:lang w:eastAsia="de-DE"/>
              </w:rPr>
              <w:t>2,2</w:t>
            </w:r>
          </w:p>
        </w:tc>
        <w:tc>
          <w:tcPr>
            <w:tcW w:w="482" w:type="dxa"/>
            <w:vAlign w:val="center"/>
          </w:tcPr>
          <w:p w14:paraId="70AA1B0E" w14:textId="77777777" w:rsidR="004E22C1" w:rsidRPr="001455DC" w:rsidRDefault="004E22C1" w:rsidP="006210D7">
            <w:pPr>
              <w:pStyle w:val="Tablebody-"/>
              <w:keepNext/>
              <w:jc w:val="center"/>
              <w:rPr>
                <w:rFonts w:eastAsia="Arial Unicode MS"/>
                <w:lang w:eastAsia="de-DE"/>
              </w:rPr>
            </w:pPr>
            <w:r w:rsidRPr="001455DC">
              <w:rPr>
                <w:rFonts w:eastAsia="Arial Unicode MS"/>
                <w:lang w:eastAsia="de-DE"/>
              </w:rPr>
              <w:t>2,6</w:t>
            </w:r>
          </w:p>
        </w:tc>
        <w:tc>
          <w:tcPr>
            <w:tcW w:w="482" w:type="dxa"/>
            <w:vAlign w:val="center"/>
          </w:tcPr>
          <w:p w14:paraId="48DCECC9" w14:textId="77777777" w:rsidR="004E22C1" w:rsidRPr="001455DC" w:rsidRDefault="004E22C1" w:rsidP="006210D7">
            <w:pPr>
              <w:pStyle w:val="Tablebody-"/>
              <w:keepNext/>
              <w:jc w:val="center"/>
              <w:rPr>
                <w:rFonts w:eastAsia="Arial Unicode MS"/>
                <w:lang w:eastAsia="de-DE"/>
              </w:rPr>
            </w:pPr>
            <w:r w:rsidRPr="001455DC">
              <w:rPr>
                <w:rFonts w:eastAsia="Arial Unicode MS"/>
                <w:lang w:eastAsia="de-DE"/>
              </w:rPr>
              <w:t>2,9</w:t>
            </w:r>
          </w:p>
        </w:tc>
        <w:tc>
          <w:tcPr>
            <w:tcW w:w="482" w:type="dxa"/>
            <w:vAlign w:val="center"/>
          </w:tcPr>
          <w:p w14:paraId="5E74A8DE" w14:textId="77777777" w:rsidR="004E22C1" w:rsidRPr="001455DC" w:rsidRDefault="004E22C1" w:rsidP="006210D7">
            <w:pPr>
              <w:pStyle w:val="Tablebody-"/>
              <w:keepNext/>
              <w:jc w:val="center"/>
              <w:rPr>
                <w:rFonts w:eastAsia="Arial Unicode MS"/>
                <w:lang w:eastAsia="de-DE"/>
              </w:rPr>
            </w:pPr>
            <w:r w:rsidRPr="001455DC">
              <w:rPr>
                <w:rFonts w:eastAsia="Arial Unicode MS"/>
                <w:lang w:eastAsia="de-DE"/>
              </w:rPr>
              <w:t>3,2</w:t>
            </w:r>
          </w:p>
        </w:tc>
        <w:tc>
          <w:tcPr>
            <w:tcW w:w="482" w:type="dxa"/>
            <w:vAlign w:val="center"/>
          </w:tcPr>
          <w:p w14:paraId="3C7F4249" w14:textId="77777777" w:rsidR="004E22C1" w:rsidRPr="001455DC" w:rsidRDefault="004E22C1" w:rsidP="006210D7">
            <w:pPr>
              <w:pStyle w:val="Tablebody-"/>
              <w:keepNext/>
              <w:jc w:val="center"/>
              <w:rPr>
                <w:rFonts w:eastAsia="Arial Unicode MS"/>
                <w:lang w:eastAsia="de-DE"/>
              </w:rPr>
            </w:pPr>
            <w:r w:rsidRPr="001455DC">
              <w:rPr>
                <w:rFonts w:eastAsia="Arial Unicode MS"/>
                <w:lang w:eastAsia="de-DE"/>
              </w:rPr>
              <w:t>3,5</w:t>
            </w:r>
          </w:p>
        </w:tc>
        <w:tc>
          <w:tcPr>
            <w:tcW w:w="482" w:type="dxa"/>
            <w:vAlign w:val="center"/>
          </w:tcPr>
          <w:p w14:paraId="791ECB19" w14:textId="77777777" w:rsidR="004E22C1" w:rsidRPr="001455DC" w:rsidRDefault="004E22C1" w:rsidP="006210D7">
            <w:pPr>
              <w:pStyle w:val="Tablebody-"/>
              <w:keepNext/>
              <w:jc w:val="center"/>
              <w:rPr>
                <w:rFonts w:eastAsia="Arial Unicode MS"/>
                <w:lang w:eastAsia="de-DE"/>
              </w:rPr>
            </w:pPr>
            <w:r w:rsidRPr="001455DC">
              <w:rPr>
                <w:rFonts w:eastAsia="Arial Unicode MS"/>
                <w:lang w:eastAsia="de-DE"/>
              </w:rPr>
              <w:t>3,8</w:t>
            </w:r>
          </w:p>
        </w:tc>
        <w:tc>
          <w:tcPr>
            <w:tcW w:w="482" w:type="dxa"/>
            <w:vAlign w:val="center"/>
          </w:tcPr>
          <w:p w14:paraId="2D628375" w14:textId="77777777" w:rsidR="004E22C1" w:rsidRPr="001455DC" w:rsidRDefault="004E22C1" w:rsidP="006210D7">
            <w:pPr>
              <w:pStyle w:val="Tablebody-"/>
              <w:keepNext/>
              <w:jc w:val="center"/>
              <w:rPr>
                <w:rFonts w:eastAsia="Arial Unicode MS"/>
                <w:lang w:eastAsia="de-DE"/>
              </w:rPr>
            </w:pPr>
            <w:r w:rsidRPr="001455DC">
              <w:rPr>
                <w:rFonts w:eastAsia="Arial Unicode MS"/>
                <w:lang w:eastAsia="de-DE"/>
              </w:rPr>
              <w:t>4,1</w:t>
            </w:r>
          </w:p>
        </w:tc>
        <w:tc>
          <w:tcPr>
            <w:tcW w:w="482" w:type="dxa"/>
            <w:vAlign w:val="center"/>
          </w:tcPr>
          <w:p w14:paraId="3759DF45" w14:textId="77777777" w:rsidR="004E22C1" w:rsidRPr="001455DC" w:rsidRDefault="004E22C1" w:rsidP="006210D7">
            <w:pPr>
              <w:pStyle w:val="Tablebody-"/>
              <w:keepNext/>
              <w:jc w:val="center"/>
              <w:rPr>
                <w:rFonts w:eastAsia="Arial Unicode MS"/>
                <w:lang w:eastAsia="de-DE"/>
              </w:rPr>
            </w:pPr>
            <w:r w:rsidRPr="001455DC">
              <w:rPr>
                <w:rFonts w:eastAsia="Arial Unicode MS"/>
                <w:lang w:eastAsia="de-DE"/>
              </w:rPr>
              <w:t>4,2</w:t>
            </w:r>
          </w:p>
        </w:tc>
        <w:tc>
          <w:tcPr>
            <w:tcW w:w="482" w:type="dxa"/>
            <w:vAlign w:val="center"/>
          </w:tcPr>
          <w:p w14:paraId="0DD723A6" w14:textId="77777777" w:rsidR="004E22C1" w:rsidRPr="001455DC" w:rsidRDefault="004E22C1" w:rsidP="006210D7">
            <w:pPr>
              <w:pStyle w:val="Tablebody-"/>
              <w:keepNext/>
              <w:jc w:val="center"/>
              <w:rPr>
                <w:rFonts w:eastAsia="Arial Unicode MS"/>
                <w:lang w:eastAsia="de-DE"/>
              </w:rPr>
            </w:pPr>
            <w:r w:rsidRPr="001455DC">
              <w:rPr>
                <w:rFonts w:eastAsia="Arial Unicode MS"/>
                <w:lang w:eastAsia="de-DE"/>
              </w:rPr>
              <w:t>4,3</w:t>
            </w:r>
          </w:p>
        </w:tc>
        <w:tc>
          <w:tcPr>
            <w:tcW w:w="482" w:type="dxa"/>
            <w:vAlign w:val="center"/>
          </w:tcPr>
          <w:p w14:paraId="117F5905" w14:textId="77777777" w:rsidR="004E22C1" w:rsidRPr="001455DC" w:rsidRDefault="004E22C1" w:rsidP="006210D7">
            <w:pPr>
              <w:pStyle w:val="Tablebody-"/>
              <w:keepNext/>
              <w:jc w:val="center"/>
              <w:rPr>
                <w:rFonts w:eastAsia="Arial Unicode MS"/>
                <w:lang w:eastAsia="de-DE"/>
              </w:rPr>
            </w:pPr>
            <w:r w:rsidRPr="001455DC">
              <w:rPr>
                <w:rFonts w:eastAsia="Arial Unicode MS"/>
                <w:lang w:eastAsia="de-DE"/>
              </w:rPr>
              <w:t>4,5</w:t>
            </w:r>
          </w:p>
        </w:tc>
        <w:tc>
          <w:tcPr>
            <w:tcW w:w="482" w:type="dxa"/>
            <w:vAlign w:val="center"/>
          </w:tcPr>
          <w:p w14:paraId="5D86D3C1" w14:textId="77777777" w:rsidR="004E22C1" w:rsidRPr="001455DC" w:rsidRDefault="004E22C1" w:rsidP="006210D7">
            <w:pPr>
              <w:pStyle w:val="Tablebody-"/>
              <w:keepNext/>
              <w:jc w:val="center"/>
              <w:rPr>
                <w:rFonts w:eastAsia="Arial Unicode MS"/>
                <w:lang w:eastAsia="de-DE"/>
              </w:rPr>
            </w:pPr>
            <w:r w:rsidRPr="001455DC">
              <w:rPr>
                <w:rFonts w:eastAsia="Arial Unicode MS"/>
                <w:lang w:eastAsia="de-DE"/>
              </w:rPr>
              <w:t>4,7</w:t>
            </w:r>
          </w:p>
        </w:tc>
        <w:tc>
          <w:tcPr>
            <w:tcW w:w="482" w:type="dxa"/>
            <w:vAlign w:val="center"/>
          </w:tcPr>
          <w:p w14:paraId="18768322" w14:textId="77777777" w:rsidR="004E22C1" w:rsidRPr="001455DC" w:rsidRDefault="004E22C1" w:rsidP="006210D7">
            <w:pPr>
              <w:pStyle w:val="Tablebody-"/>
              <w:keepNext/>
              <w:jc w:val="center"/>
              <w:rPr>
                <w:rFonts w:eastAsia="Arial Unicode MS"/>
                <w:lang w:eastAsia="de-DE"/>
              </w:rPr>
            </w:pPr>
            <w:r w:rsidRPr="001455DC">
              <w:rPr>
                <w:rFonts w:eastAsia="Arial Unicode MS"/>
                <w:lang w:eastAsia="de-DE"/>
              </w:rPr>
              <w:t>4,9</w:t>
            </w:r>
          </w:p>
        </w:tc>
        <w:tc>
          <w:tcPr>
            <w:tcW w:w="567" w:type="dxa"/>
            <w:vAlign w:val="center"/>
          </w:tcPr>
          <w:p w14:paraId="15917809" w14:textId="77777777" w:rsidR="004E22C1" w:rsidRPr="001455DC" w:rsidRDefault="004E22C1" w:rsidP="006210D7">
            <w:pPr>
              <w:pStyle w:val="Tablebody-"/>
              <w:keepNext/>
              <w:jc w:val="center"/>
              <w:rPr>
                <w:rFonts w:eastAsia="Arial Unicode MS"/>
                <w:lang w:eastAsia="de-DE"/>
              </w:rPr>
            </w:pPr>
            <w:r w:rsidRPr="001455DC">
              <w:rPr>
                <w:rFonts w:eastAsia="Arial Unicode MS"/>
                <w:lang w:eastAsia="de-DE"/>
              </w:rPr>
              <w:t>5,1</w:t>
            </w:r>
          </w:p>
        </w:tc>
        <w:tc>
          <w:tcPr>
            <w:tcW w:w="1701" w:type="dxa"/>
            <w:vAlign w:val="center"/>
          </w:tcPr>
          <w:p w14:paraId="08B6AC18" w14:textId="624D6DA2" w:rsidR="004E22C1" w:rsidRPr="001455DC" w:rsidRDefault="004E22C1" w:rsidP="006210D7">
            <w:pPr>
              <w:pStyle w:val="Tablebody--"/>
              <w:keepNext/>
              <w:rPr>
                <w:rFonts w:eastAsia="Arial Unicode MS"/>
                <w:szCs w:val="18"/>
                <w:lang w:eastAsia="de-DE"/>
              </w:rPr>
            </w:pPr>
            <w:r w:rsidRPr="001455DC">
              <w:rPr>
                <w:rStyle w:val="CCMCvariableitalic"/>
                <w:szCs w:val="18"/>
              </w:rPr>
              <w:t>f</w:t>
            </w:r>
            <w:r w:rsidRPr="001455DC">
              <w:rPr>
                <w:rStyle w:val="CCMCvariablesubscript"/>
                <w:szCs w:val="18"/>
              </w:rPr>
              <w:t>ctm</w:t>
            </w:r>
            <w:r w:rsidRPr="001455DC">
              <w:rPr>
                <w:szCs w:val="18"/>
              </w:rPr>
              <w:t> </w:t>
            </w:r>
            <w:r w:rsidR="00EC27D2" w:rsidRPr="001455DC">
              <w:rPr>
                <w:rFonts w:ascii="Cambria Math" w:hAnsi="Cambria Math"/>
                <w:szCs w:val="18"/>
              </w:rPr>
              <w:t>=</w:t>
            </w:r>
            <w:r w:rsidRPr="001455DC">
              <w:rPr>
                <w:szCs w:val="18"/>
              </w:rPr>
              <w:t> </w:t>
            </w:r>
            <w:r w:rsidRPr="001455DC">
              <w:rPr>
                <w:rFonts w:eastAsia="Arial Unicode MS"/>
                <w:szCs w:val="18"/>
                <w:lang w:eastAsia="de-DE"/>
              </w:rPr>
              <w:t>0,3</w:t>
            </w:r>
            <w:r w:rsidRPr="001455DC">
              <w:rPr>
                <w:rStyle w:val="CCMCvariableitalic"/>
                <w:szCs w:val="18"/>
              </w:rPr>
              <w:t>f</w:t>
            </w:r>
            <w:r w:rsidRPr="001455DC">
              <w:rPr>
                <w:rStyle w:val="CCMCvariablesubscript"/>
                <w:szCs w:val="18"/>
              </w:rPr>
              <w:t>ck</w:t>
            </w:r>
            <w:r w:rsidRPr="001455DC">
              <w:rPr>
                <w:rStyle w:val="CCMCvariablesuperscript"/>
                <w:szCs w:val="18"/>
              </w:rPr>
              <w:t>2/3</w:t>
            </w:r>
            <w:r w:rsidRPr="001455DC">
              <w:rPr>
                <w:rFonts w:eastAsia="Arial Unicode MS"/>
                <w:szCs w:val="18"/>
                <w:lang w:eastAsia="de-DE"/>
              </w:rPr>
              <w:t xml:space="preserve"> (</w:t>
            </w:r>
            <w:r w:rsidRPr="001455DC">
              <w:rPr>
                <w:rStyle w:val="CCMCvariableitalic"/>
                <w:szCs w:val="18"/>
              </w:rPr>
              <w:t>f</w:t>
            </w:r>
            <w:r w:rsidRPr="001455DC">
              <w:rPr>
                <w:rStyle w:val="CCMCvariablesubscript"/>
                <w:szCs w:val="18"/>
              </w:rPr>
              <w:t>ck</w:t>
            </w:r>
            <w:r w:rsidRPr="001455DC">
              <w:rPr>
                <w:rFonts w:eastAsia="Arial Unicode MS"/>
                <w:szCs w:val="18"/>
                <w:lang w:eastAsia="de-DE"/>
              </w:rPr>
              <w:t> </w:t>
            </w:r>
            <w:r w:rsidR="00650035" w:rsidRPr="001455DC">
              <w:rPr>
                <w:rFonts w:ascii="Cambria Math" w:eastAsia="Arial Unicode MS" w:hAnsi="Cambria Math" w:hint="eastAsia"/>
                <w:szCs w:val="18"/>
                <w:lang w:eastAsia="de-DE"/>
              </w:rPr>
              <w:t>≤</w:t>
            </w:r>
            <w:r w:rsidRPr="001455DC">
              <w:rPr>
                <w:rFonts w:eastAsia="Arial Unicode MS"/>
                <w:szCs w:val="18"/>
                <w:lang w:eastAsia="de-DE"/>
              </w:rPr>
              <w:t> 50 MPa)</w:t>
            </w:r>
          </w:p>
          <w:p w14:paraId="62F4B862" w14:textId="2B5A6B1A" w:rsidR="004E22C1" w:rsidRPr="001455DC" w:rsidRDefault="004E22C1" w:rsidP="006210D7">
            <w:pPr>
              <w:pStyle w:val="Tablebody--"/>
              <w:keepNext/>
              <w:rPr>
                <w:rFonts w:eastAsia="Arial Unicode MS"/>
                <w:szCs w:val="18"/>
                <w:lang w:eastAsia="de-DE"/>
              </w:rPr>
            </w:pPr>
            <w:r w:rsidRPr="001455DC">
              <w:rPr>
                <w:rStyle w:val="CCMCvariableitalic"/>
                <w:szCs w:val="18"/>
              </w:rPr>
              <w:t>f</w:t>
            </w:r>
            <w:r w:rsidRPr="001455DC">
              <w:rPr>
                <w:rStyle w:val="CCMCvariablesubscript"/>
                <w:szCs w:val="18"/>
              </w:rPr>
              <w:t>ctm</w:t>
            </w:r>
            <w:r w:rsidRPr="001455DC">
              <w:rPr>
                <w:szCs w:val="18"/>
              </w:rPr>
              <w:t> </w:t>
            </w:r>
            <w:r w:rsidR="00EC27D2" w:rsidRPr="001455DC">
              <w:rPr>
                <w:rFonts w:ascii="Cambria Math" w:hAnsi="Cambria Math"/>
                <w:szCs w:val="18"/>
              </w:rPr>
              <w:t>=</w:t>
            </w:r>
            <w:r w:rsidRPr="001455DC">
              <w:rPr>
                <w:szCs w:val="18"/>
              </w:rPr>
              <w:t> </w:t>
            </w:r>
            <w:r w:rsidRPr="001455DC">
              <w:rPr>
                <w:rFonts w:eastAsia="Arial Unicode MS"/>
                <w:szCs w:val="18"/>
                <w:lang w:eastAsia="de-DE"/>
              </w:rPr>
              <w:t>1,1</w:t>
            </w:r>
            <w:r w:rsidRPr="001455DC">
              <w:rPr>
                <w:rStyle w:val="CCMCvariableitalic"/>
                <w:szCs w:val="18"/>
              </w:rPr>
              <w:t>f</w:t>
            </w:r>
            <w:r w:rsidRPr="001455DC">
              <w:rPr>
                <w:rStyle w:val="CCMCvariablesubscript"/>
                <w:szCs w:val="18"/>
              </w:rPr>
              <w:t>ck</w:t>
            </w:r>
            <w:r w:rsidRPr="001455DC">
              <w:rPr>
                <w:rStyle w:val="CCMCvariablesuperscript"/>
                <w:szCs w:val="18"/>
              </w:rPr>
              <w:t>1/3</w:t>
            </w:r>
            <w:r w:rsidRPr="001455DC">
              <w:rPr>
                <w:rFonts w:eastAsia="Arial Unicode MS"/>
                <w:szCs w:val="18"/>
                <w:lang w:eastAsia="de-DE"/>
              </w:rPr>
              <w:t xml:space="preserve"> (</w:t>
            </w:r>
            <w:r w:rsidRPr="001455DC">
              <w:rPr>
                <w:rStyle w:val="CCMCvariableitalic"/>
                <w:szCs w:val="18"/>
              </w:rPr>
              <w:t>f</w:t>
            </w:r>
            <w:r w:rsidRPr="001455DC">
              <w:rPr>
                <w:rStyle w:val="CCMCvariablesubscript"/>
                <w:szCs w:val="18"/>
              </w:rPr>
              <w:t>ck</w:t>
            </w:r>
            <w:r w:rsidRPr="001455DC">
              <w:rPr>
                <w:rFonts w:eastAsia="Arial Unicode MS"/>
                <w:szCs w:val="18"/>
                <w:lang w:eastAsia="de-DE"/>
              </w:rPr>
              <w:t> </w:t>
            </w:r>
            <w:r w:rsidR="00650035" w:rsidRPr="001455DC">
              <w:rPr>
                <w:rFonts w:ascii="Cambria Math" w:eastAsia="Arial Unicode MS" w:hAnsi="Cambria Math"/>
                <w:szCs w:val="18"/>
                <w:lang w:eastAsia="de-DE"/>
              </w:rPr>
              <w:t>&gt;</w:t>
            </w:r>
            <w:r w:rsidR="00073FC6" w:rsidRPr="001455DC">
              <w:rPr>
                <w:rFonts w:eastAsia="Arial Unicode MS"/>
                <w:szCs w:val="18"/>
                <w:lang w:eastAsia="de-DE"/>
              </w:rPr>
              <w:t> </w:t>
            </w:r>
            <w:r w:rsidRPr="001455DC">
              <w:rPr>
                <w:rFonts w:eastAsia="Arial Unicode MS"/>
                <w:szCs w:val="18"/>
                <w:lang w:eastAsia="de-DE"/>
              </w:rPr>
              <w:t>50 MPa)</w:t>
            </w:r>
          </w:p>
        </w:tc>
      </w:tr>
      <w:tr w:rsidR="004E22C1" w:rsidRPr="001455DC" w14:paraId="30853A01" w14:textId="77777777" w:rsidTr="008D6173">
        <w:trPr>
          <w:trHeight w:val="439"/>
        </w:trPr>
        <w:tc>
          <w:tcPr>
            <w:tcW w:w="737" w:type="dxa"/>
            <w:vAlign w:val="center"/>
          </w:tcPr>
          <w:p w14:paraId="33175F34" w14:textId="35D486A4" w:rsidR="004E22C1" w:rsidRPr="001455DC" w:rsidRDefault="004E22C1" w:rsidP="006210D7">
            <w:pPr>
              <w:pStyle w:val="Tablebody-"/>
              <w:keepNext/>
              <w:jc w:val="center"/>
              <w:rPr>
                <w:rFonts w:eastAsia="Arial Unicode MS"/>
                <w:strike/>
                <w:lang w:eastAsia="de-DE"/>
              </w:rPr>
            </w:pPr>
            <w:r w:rsidRPr="001455DC">
              <w:rPr>
                <w:rStyle w:val="CCMCvariableitalic"/>
              </w:rPr>
              <w:t>f</w:t>
            </w:r>
            <w:r w:rsidRPr="001455DC">
              <w:rPr>
                <w:rStyle w:val="CCMCvariablesubscript"/>
              </w:rPr>
              <w:t>ctk;0,05</w:t>
            </w:r>
          </w:p>
        </w:tc>
        <w:tc>
          <w:tcPr>
            <w:tcW w:w="482" w:type="dxa"/>
            <w:vAlign w:val="center"/>
          </w:tcPr>
          <w:p w14:paraId="22AC19CC" w14:textId="77777777" w:rsidR="004E22C1" w:rsidRPr="001455DC" w:rsidRDefault="004E22C1" w:rsidP="006210D7">
            <w:pPr>
              <w:pStyle w:val="Tablebody-"/>
              <w:keepNext/>
              <w:jc w:val="center"/>
            </w:pPr>
            <w:r w:rsidRPr="001455DC">
              <w:t>1,1</w:t>
            </w:r>
          </w:p>
        </w:tc>
        <w:tc>
          <w:tcPr>
            <w:tcW w:w="482" w:type="dxa"/>
            <w:vAlign w:val="center"/>
          </w:tcPr>
          <w:p w14:paraId="3F665AA9" w14:textId="77777777" w:rsidR="004E22C1" w:rsidRPr="001455DC" w:rsidRDefault="004E22C1" w:rsidP="006210D7">
            <w:pPr>
              <w:pStyle w:val="Tablebody-"/>
              <w:keepNext/>
              <w:jc w:val="center"/>
            </w:pPr>
            <w:r w:rsidRPr="001455DC">
              <w:t>1,3</w:t>
            </w:r>
          </w:p>
        </w:tc>
        <w:tc>
          <w:tcPr>
            <w:tcW w:w="482" w:type="dxa"/>
            <w:vAlign w:val="center"/>
          </w:tcPr>
          <w:p w14:paraId="54B0DE09" w14:textId="77777777" w:rsidR="004E22C1" w:rsidRPr="001455DC" w:rsidRDefault="004E22C1" w:rsidP="006210D7">
            <w:pPr>
              <w:pStyle w:val="Tablebody-"/>
              <w:keepNext/>
              <w:jc w:val="center"/>
            </w:pPr>
            <w:r w:rsidRPr="001455DC">
              <w:t>1,5</w:t>
            </w:r>
          </w:p>
        </w:tc>
        <w:tc>
          <w:tcPr>
            <w:tcW w:w="482" w:type="dxa"/>
            <w:vAlign w:val="center"/>
          </w:tcPr>
          <w:p w14:paraId="2042D48A" w14:textId="77777777" w:rsidR="004E22C1" w:rsidRPr="001455DC" w:rsidRDefault="004E22C1" w:rsidP="006210D7">
            <w:pPr>
              <w:pStyle w:val="Tablebody-"/>
              <w:keepNext/>
              <w:jc w:val="center"/>
            </w:pPr>
            <w:r w:rsidRPr="001455DC">
              <w:t>1,8</w:t>
            </w:r>
          </w:p>
        </w:tc>
        <w:tc>
          <w:tcPr>
            <w:tcW w:w="482" w:type="dxa"/>
            <w:vAlign w:val="center"/>
          </w:tcPr>
          <w:p w14:paraId="3EE080BC" w14:textId="77777777" w:rsidR="004E22C1" w:rsidRPr="001455DC" w:rsidRDefault="004E22C1" w:rsidP="006210D7">
            <w:pPr>
              <w:pStyle w:val="Tablebody-"/>
              <w:keepNext/>
              <w:jc w:val="center"/>
            </w:pPr>
            <w:r w:rsidRPr="001455DC">
              <w:t>2,0</w:t>
            </w:r>
          </w:p>
        </w:tc>
        <w:tc>
          <w:tcPr>
            <w:tcW w:w="482" w:type="dxa"/>
            <w:vAlign w:val="center"/>
          </w:tcPr>
          <w:p w14:paraId="45B77487" w14:textId="77777777" w:rsidR="004E22C1" w:rsidRPr="001455DC" w:rsidRDefault="004E22C1" w:rsidP="006210D7">
            <w:pPr>
              <w:pStyle w:val="Tablebody-"/>
              <w:keepNext/>
              <w:jc w:val="center"/>
            </w:pPr>
            <w:r w:rsidRPr="001455DC">
              <w:t>2,2</w:t>
            </w:r>
          </w:p>
        </w:tc>
        <w:tc>
          <w:tcPr>
            <w:tcW w:w="482" w:type="dxa"/>
            <w:vAlign w:val="center"/>
          </w:tcPr>
          <w:p w14:paraId="29FE3CC8" w14:textId="77777777" w:rsidR="004E22C1" w:rsidRPr="001455DC" w:rsidRDefault="004E22C1" w:rsidP="006210D7">
            <w:pPr>
              <w:pStyle w:val="Tablebody-"/>
              <w:keepNext/>
              <w:jc w:val="center"/>
            </w:pPr>
            <w:r w:rsidRPr="001455DC">
              <w:t>2,5</w:t>
            </w:r>
          </w:p>
        </w:tc>
        <w:tc>
          <w:tcPr>
            <w:tcW w:w="482" w:type="dxa"/>
            <w:vAlign w:val="center"/>
          </w:tcPr>
          <w:p w14:paraId="196E810D" w14:textId="77777777" w:rsidR="004E22C1" w:rsidRPr="001455DC" w:rsidRDefault="004E22C1" w:rsidP="006210D7">
            <w:pPr>
              <w:pStyle w:val="Tablebody-"/>
              <w:keepNext/>
              <w:jc w:val="center"/>
            </w:pPr>
            <w:r w:rsidRPr="001455DC">
              <w:t>2,7</w:t>
            </w:r>
          </w:p>
        </w:tc>
        <w:tc>
          <w:tcPr>
            <w:tcW w:w="482" w:type="dxa"/>
            <w:vAlign w:val="center"/>
          </w:tcPr>
          <w:p w14:paraId="3F5992A2" w14:textId="77777777" w:rsidR="004E22C1" w:rsidRPr="001455DC" w:rsidRDefault="004E22C1" w:rsidP="006210D7">
            <w:pPr>
              <w:pStyle w:val="Tablebody-"/>
              <w:keepNext/>
              <w:jc w:val="center"/>
            </w:pPr>
            <w:r w:rsidRPr="001455DC">
              <w:t>2,9</w:t>
            </w:r>
          </w:p>
        </w:tc>
        <w:tc>
          <w:tcPr>
            <w:tcW w:w="482" w:type="dxa"/>
            <w:vAlign w:val="center"/>
          </w:tcPr>
          <w:p w14:paraId="6A5B328E" w14:textId="77777777" w:rsidR="004E22C1" w:rsidRPr="001455DC" w:rsidRDefault="004E22C1" w:rsidP="006210D7">
            <w:pPr>
              <w:pStyle w:val="Tablebody-"/>
              <w:keepNext/>
              <w:jc w:val="center"/>
            </w:pPr>
            <w:r w:rsidRPr="001455DC">
              <w:t>2,9</w:t>
            </w:r>
          </w:p>
        </w:tc>
        <w:tc>
          <w:tcPr>
            <w:tcW w:w="482" w:type="dxa"/>
            <w:vAlign w:val="center"/>
          </w:tcPr>
          <w:p w14:paraId="47AF6C65" w14:textId="77777777" w:rsidR="004E22C1" w:rsidRPr="001455DC" w:rsidRDefault="004E22C1" w:rsidP="006210D7">
            <w:pPr>
              <w:pStyle w:val="Tablebody-"/>
              <w:keepNext/>
              <w:jc w:val="center"/>
            </w:pPr>
            <w:r w:rsidRPr="001455DC">
              <w:t>3,0</w:t>
            </w:r>
          </w:p>
        </w:tc>
        <w:tc>
          <w:tcPr>
            <w:tcW w:w="482" w:type="dxa"/>
            <w:vAlign w:val="center"/>
          </w:tcPr>
          <w:p w14:paraId="2FDE2D5E" w14:textId="77777777" w:rsidR="004E22C1" w:rsidRPr="001455DC" w:rsidRDefault="004E22C1" w:rsidP="006210D7">
            <w:pPr>
              <w:pStyle w:val="Tablebody-"/>
              <w:keepNext/>
              <w:jc w:val="center"/>
            </w:pPr>
            <w:r w:rsidRPr="001455DC">
              <w:t>3,2</w:t>
            </w:r>
          </w:p>
        </w:tc>
        <w:tc>
          <w:tcPr>
            <w:tcW w:w="482" w:type="dxa"/>
            <w:vAlign w:val="center"/>
          </w:tcPr>
          <w:p w14:paraId="797F3E58" w14:textId="77777777" w:rsidR="004E22C1" w:rsidRPr="001455DC" w:rsidRDefault="004E22C1" w:rsidP="006210D7">
            <w:pPr>
              <w:pStyle w:val="Tablebody-"/>
              <w:keepNext/>
              <w:jc w:val="center"/>
            </w:pPr>
            <w:r w:rsidRPr="001455DC">
              <w:t>3,3</w:t>
            </w:r>
          </w:p>
        </w:tc>
        <w:tc>
          <w:tcPr>
            <w:tcW w:w="482" w:type="dxa"/>
            <w:vAlign w:val="center"/>
          </w:tcPr>
          <w:p w14:paraId="2187B5F3" w14:textId="77777777" w:rsidR="004E22C1" w:rsidRPr="001455DC" w:rsidRDefault="004E22C1" w:rsidP="006210D7">
            <w:pPr>
              <w:pStyle w:val="Tablebody-"/>
              <w:keepNext/>
              <w:jc w:val="center"/>
            </w:pPr>
            <w:r w:rsidRPr="001455DC">
              <w:t>3,5</w:t>
            </w:r>
          </w:p>
        </w:tc>
        <w:tc>
          <w:tcPr>
            <w:tcW w:w="567" w:type="dxa"/>
            <w:vAlign w:val="center"/>
          </w:tcPr>
          <w:p w14:paraId="6E5BE80B" w14:textId="77777777" w:rsidR="004E22C1" w:rsidRPr="001455DC" w:rsidRDefault="004E22C1" w:rsidP="006210D7">
            <w:pPr>
              <w:pStyle w:val="Tablebody-"/>
              <w:keepNext/>
              <w:jc w:val="center"/>
            </w:pPr>
            <w:r w:rsidRPr="001455DC">
              <w:t>3,6</w:t>
            </w:r>
          </w:p>
        </w:tc>
        <w:tc>
          <w:tcPr>
            <w:tcW w:w="1701" w:type="dxa"/>
            <w:vAlign w:val="center"/>
          </w:tcPr>
          <w:p w14:paraId="56E1D3BF" w14:textId="75709DB0" w:rsidR="004E22C1" w:rsidRPr="009D3012" w:rsidRDefault="004E22C1" w:rsidP="006210D7">
            <w:pPr>
              <w:pStyle w:val="Tablebody--"/>
              <w:keepNext/>
              <w:rPr>
                <w:rStyle w:val="CCMCvariableitalic"/>
                <w:szCs w:val="18"/>
              </w:rPr>
            </w:pPr>
            <w:r w:rsidRPr="001455DC">
              <w:rPr>
                <w:rStyle w:val="CCMCvariableitalic"/>
                <w:szCs w:val="18"/>
              </w:rPr>
              <w:t>f</w:t>
            </w:r>
            <w:r w:rsidRPr="001455DC">
              <w:rPr>
                <w:rStyle w:val="CCMCvariablesubscript"/>
                <w:szCs w:val="18"/>
              </w:rPr>
              <w:t>ctk;0,05</w:t>
            </w:r>
            <w:r w:rsidRPr="001455DC">
              <w:rPr>
                <w:szCs w:val="18"/>
              </w:rPr>
              <w:t> </w:t>
            </w:r>
            <w:r w:rsidR="00EC27D2" w:rsidRPr="001455DC">
              <w:rPr>
                <w:rFonts w:ascii="Cambria Math" w:hAnsi="Cambria Math"/>
                <w:szCs w:val="18"/>
              </w:rPr>
              <w:t>=</w:t>
            </w:r>
            <w:r w:rsidRPr="001455DC">
              <w:rPr>
                <w:szCs w:val="18"/>
              </w:rPr>
              <w:t> </w:t>
            </w:r>
            <w:r w:rsidRPr="001455DC">
              <w:rPr>
                <w:rFonts w:eastAsia="Arial Unicode MS"/>
                <w:szCs w:val="18"/>
                <w:lang w:eastAsia="de-DE"/>
              </w:rPr>
              <w:t>0,7</w:t>
            </w:r>
            <w:r w:rsidRPr="001455DC">
              <w:rPr>
                <w:rStyle w:val="CCMCvariableitalic"/>
                <w:szCs w:val="18"/>
              </w:rPr>
              <w:t>f</w:t>
            </w:r>
            <w:r w:rsidRPr="001455DC">
              <w:rPr>
                <w:rStyle w:val="CCMCvariablesubscript"/>
                <w:szCs w:val="18"/>
              </w:rPr>
              <w:t>ctm</w:t>
            </w:r>
            <w:r w:rsidRPr="001455DC">
              <w:rPr>
                <w:rFonts w:eastAsia="Arial Unicode MS"/>
                <w:szCs w:val="18"/>
                <w:lang w:eastAsia="de-DE"/>
              </w:rPr>
              <w:t xml:space="preserve"> (5 %</w:t>
            </w:r>
            <w:r w:rsidR="008D6173" w:rsidRPr="001455DC">
              <w:rPr>
                <w:rFonts w:eastAsia="Arial Unicode MS"/>
                <w:szCs w:val="18"/>
                <w:lang w:eastAsia="de-DE"/>
              </w:rPr>
              <w:noBreakHyphen/>
            </w:r>
            <w:r w:rsidRPr="001455DC">
              <w:rPr>
                <w:rFonts w:eastAsia="Arial Unicode MS"/>
                <w:szCs w:val="18"/>
                <w:lang w:eastAsia="de-DE"/>
              </w:rPr>
              <w:t>fractile)</w:t>
            </w:r>
          </w:p>
        </w:tc>
      </w:tr>
      <w:tr w:rsidR="004E22C1" w:rsidRPr="001455DC" w14:paraId="441EA3E6" w14:textId="77777777" w:rsidTr="008D6173">
        <w:trPr>
          <w:trHeight w:val="331"/>
        </w:trPr>
        <w:tc>
          <w:tcPr>
            <w:tcW w:w="737" w:type="dxa"/>
            <w:vAlign w:val="center"/>
          </w:tcPr>
          <w:p w14:paraId="020EF642" w14:textId="77777777" w:rsidR="004E22C1" w:rsidRPr="001455DC" w:rsidRDefault="004E22C1" w:rsidP="008D6173">
            <w:pPr>
              <w:pStyle w:val="Tablebody-"/>
              <w:jc w:val="center"/>
              <w:rPr>
                <w:rFonts w:eastAsia="Arial Unicode MS"/>
                <w:strike/>
                <w:lang w:eastAsia="de-DE"/>
              </w:rPr>
            </w:pPr>
            <w:r w:rsidRPr="001455DC">
              <w:rPr>
                <w:rStyle w:val="CCMCvariableitalic"/>
              </w:rPr>
              <w:t>f</w:t>
            </w:r>
            <w:r w:rsidRPr="001455DC">
              <w:rPr>
                <w:rStyle w:val="CCMCvariablesubscript"/>
              </w:rPr>
              <w:t>ctk;0,95</w:t>
            </w:r>
          </w:p>
        </w:tc>
        <w:tc>
          <w:tcPr>
            <w:tcW w:w="482" w:type="dxa"/>
            <w:vAlign w:val="center"/>
          </w:tcPr>
          <w:p w14:paraId="1309F6CE" w14:textId="77777777" w:rsidR="004E22C1" w:rsidRPr="001455DC" w:rsidRDefault="004E22C1" w:rsidP="008D6173">
            <w:pPr>
              <w:pStyle w:val="Tablebody-"/>
              <w:jc w:val="center"/>
            </w:pPr>
            <w:r w:rsidRPr="001455DC">
              <w:t>2,0</w:t>
            </w:r>
          </w:p>
        </w:tc>
        <w:tc>
          <w:tcPr>
            <w:tcW w:w="482" w:type="dxa"/>
            <w:vAlign w:val="center"/>
          </w:tcPr>
          <w:p w14:paraId="004DF27E" w14:textId="77777777" w:rsidR="004E22C1" w:rsidRPr="001455DC" w:rsidRDefault="004E22C1" w:rsidP="008D6173">
            <w:pPr>
              <w:pStyle w:val="Tablebody-"/>
              <w:jc w:val="center"/>
            </w:pPr>
            <w:r w:rsidRPr="001455DC">
              <w:t>2,5</w:t>
            </w:r>
          </w:p>
        </w:tc>
        <w:tc>
          <w:tcPr>
            <w:tcW w:w="482" w:type="dxa"/>
            <w:vAlign w:val="center"/>
          </w:tcPr>
          <w:p w14:paraId="495C71FD" w14:textId="77777777" w:rsidR="004E22C1" w:rsidRPr="001455DC" w:rsidRDefault="004E22C1" w:rsidP="008D6173">
            <w:pPr>
              <w:pStyle w:val="Tablebody-"/>
              <w:jc w:val="center"/>
            </w:pPr>
            <w:r w:rsidRPr="001455DC">
              <w:t>2,9</w:t>
            </w:r>
          </w:p>
        </w:tc>
        <w:tc>
          <w:tcPr>
            <w:tcW w:w="482" w:type="dxa"/>
            <w:vAlign w:val="center"/>
          </w:tcPr>
          <w:p w14:paraId="7A8DC2D0" w14:textId="77777777" w:rsidR="004E22C1" w:rsidRPr="001455DC" w:rsidRDefault="004E22C1" w:rsidP="008D6173">
            <w:pPr>
              <w:pStyle w:val="Tablebody-"/>
              <w:jc w:val="center"/>
            </w:pPr>
            <w:r w:rsidRPr="001455DC">
              <w:t>3,3</w:t>
            </w:r>
          </w:p>
        </w:tc>
        <w:tc>
          <w:tcPr>
            <w:tcW w:w="482" w:type="dxa"/>
            <w:vAlign w:val="center"/>
          </w:tcPr>
          <w:p w14:paraId="2B778DDD" w14:textId="77777777" w:rsidR="004E22C1" w:rsidRPr="001455DC" w:rsidRDefault="004E22C1" w:rsidP="008D6173">
            <w:pPr>
              <w:pStyle w:val="Tablebody-"/>
              <w:jc w:val="center"/>
            </w:pPr>
            <w:r w:rsidRPr="001455DC">
              <w:t>3,8</w:t>
            </w:r>
          </w:p>
        </w:tc>
        <w:tc>
          <w:tcPr>
            <w:tcW w:w="482" w:type="dxa"/>
            <w:vAlign w:val="center"/>
          </w:tcPr>
          <w:p w14:paraId="248A2B22" w14:textId="77777777" w:rsidR="004E22C1" w:rsidRPr="001455DC" w:rsidRDefault="004E22C1" w:rsidP="008D6173">
            <w:pPr>
              <w:pStyle w:val="Tablebody-"/>
              <w:jc w:val="center"/>
            </w:pPr>
            <w:r w:rsidRPr="001455DC">
              <w:t>4,2</w:t>
            </w:r>
          </w:p>
        </w:tc>
        <w:tc>
          <w:tcPr>
            <w:tcW w:w="482" w:type="dxa"/>
            <w:vAlign w:val="center"/>
          </w:tcPr>
          <w:p w14:paraId="63A574A4" w14:textId="77777777" w:rsidR="004E22C1" w:rsidRPr="001455DC" w:rsidRDefault="004E22C1" w:rsidP="008D6173">
            <w:pPr>
              <w:pStyle w:val="Tablebody-"/>
              <w:jc w:val="center"/>
            </w:pPr>
            <w:r w:rsidRPr="001455DC">
              <w:t>4,6</w:t>
            </w:r>
          </w:p>
        </w:tc>
        <w:tc>
          <w:tcPr>
            <w:tcW w:w="482" w:type="dxa"/>
            <w:vAlign w:val="center"/>
          </w:tcPr>
          <w:p w14:paraId="5D78A7BF" w14:textId="77777777" w:rsidR="004E22C1" w:rsidRPr="001455DC" w:rsidRDefault="004E22C1" w:rsidP="008D6173">
            <w:pPr>
              <w:pStyle w:val="Tablebody-"/>
              <w:jc w:val="center"/>
            </w:pPr>
            <w:r w:rsidRPr="001455DC">
              <w:t>4,9</w:t>
            </w:r>
          </w:p>
        </w:tc>
        <w:tc>
          <w:tcPr>
            <w:tcW w:w="482" w:type="dxa"/>
            <w:vAlign w:val="center"/>
          </w:tcPr>
          <w:p w14:paraId="78C82100" w14:textId="77777777" w:rsidR="004E22C1" w:rsidRPr="001455DC" w:rsidRDefault="004E22C1" w:rsidP="008D6173">
            <w:pPr>
              <w:pStyle w:val="Tablebody-"/>
              <w:jc w:val="center"/>
            </w:pPr>
            <w:r w:rsidRPr="001455DC">
              <w:t>5,3</w:t>
            </w:r>
          </w:p>
        </w:tc>
        <w:tc>
          <w:tcPr>
            <w:tcW w:w="482" w:type="dxa"/>
            <w:vAlign w:val="center"/>
          </w:tcPr>
          <w:p w14:paraId="30A6FC4E" w14:textId="77777777" w:rsidR="004E22C1" w:rsidRPr="001455DC" w:rsidRDefault="004E22C1" w:rsidP="008D6173">
            <w:pPr>
              <w:pStyle w:val="Tablebody-"/>
              <w:jc w:val="center"/>
            </w:pPr>
            <w:r w:rsidRPr="001455DC">
              <w:t>5,4</w:t>
            </w:r>
          </w:p>
        </w:tc>
        <w:tc>
          <w:tcPr>
            <w:tcW w:w="482" w:type="dxa"/>
            <w:vAlign w:val="center"/>
          </w:tcPr>
          <w:p w14:paraId="112A0731" w14:textId="77777777" w:rsidR="004E22C1" w:rsidRPr="001455DC" w:rsidRDefault="004E22C1" w:rsidP="008D6173">
            <w:pPr>
              <w:pStyle w:val="Tablebody-"/>
              <w:jc w:val="center"/>
            </w:pPr>
            <w:r w:rsidRPr="001455DC">
              <w:t>5,6</w:t>
            </w:r>
          </w:p>
        </w:tc>
        <w:tc>
          <w:tcPr>
            <w:tcW w:w="482" w:type="dxa"/>
            <w:vAlign w:val="center"/>
          </w:tcPr>
          <w:p w14:paraId="1462A7E3" w14:textId="77777777" w:rsidR="004E22C1" w:rsidRPr="001455DC" w:rsidRDefault="004E22C1" w:rsidP="008D6173">
            <w:pPr>
              <w:pStyle w:val="Tablebody-"/>
              <w:jc w:val="center"/>
            </w:pPr>
            <w:r w:rsidRPr="001455DC">
              <w:t>5,9</w:t>
            </w:r>
          </w:p>
        </w:tc>
        <w:tc>
          <w:tcPr>
            <w:tcW w:w="482" w:type="dxa"/>
            <w:vAlign w:val="center"/>
          </w:tcPr>
          <w:p w14:paraId="27CF7513" w14:textId="77777777" w:rsidR="004E22C1" w:rsidRPr="001455DC" w:rsidRDefault="004E22C1" w:rsidP="008D6173">
            <w:pPr>
              <w:pStyle w:val="Tablebody-"/>
              <w:jc w:val="center"/>
            </w:pPr>
            <w:r w:rsidRPr="001455DC">
              <w:t>6,2</w:t>
            </w:r>
          </w:p>
        </w:tc>
        <w:tc>
          <w:tcPr>
            <w:tcW w:w="482" w:type="dxa"/>
            <w:vAlign w:val="center"/>
          </w:tcPr>
          <w:p w14:paraId="5CCB29ED" w14:textId="77777777" w:rsidR="004E22C1" w:rsidRPr="001455DC" w:rsidRDefault="004E22C1" w:rsidP="008D6173">
            <w:pPr>
              <w:pStyle w:val="Tablebody-"/>
              <w:jc w:val="center"/>
            </w:pPr>
            <w:r w:rsidRPr="001455DC">
              <w:t>6,4</w:t>
            </w:r>
          </w:p>
        </w:tc>
        <w:tc>
          <w:tcPr>
            <w:tcW w:w="567" w:type="dxa"/>
            <w:vAlign w:val="center"/>
          </w:tcPr>
          <w:p w14:paraId="791442A2" w14:textId="77777777" w:rsidR="004E22C1" w:rsidRPr="001455DC" w:rsidRDefault="004E22C1" w:rsidP="008D6173">
            <w:pPr>
              <w:pStyle w:val="Tablebody-"/>
              <w:jc w:val="center"/>
            </w:pPr>
            <w:r w:rsidRPr="001455DC">
              <w:t>6,6</w:t>
            </w:r>
          </w:p>
        </w:tc>
        <w:tc>
          <w:tcPr>
            <w:tcW w:w="1701" w:type="dxa"/>
            <w:vAlign w:val="center"/>
          </w:tcPr>
          <w:p w14:paraId="194D4361" w14:textId="49AA21CB" w:rsidR="004E22C1" w:rsidRPr="009D3012" w:rsidRDefault="004E22C1" w:rsidP="008D6173">
            <w:pPr>
              <w:pStyle w:val="Tablebody--"/>
              <w:rPr>
                <w:rStyle w:val="CCMCvariableitalic"/>
                <w:szCs w:val="18"/>
              </w:rPr>
            </w:pPr>
            <w:r w:rsidRPr="001455DC">
              <w:rPr>
                <w:rStyle w:val="CCMCvariableitalic"/>
                <w:szCs w:val="18"/>
              </w:rPr>
              <w:t>f</w:t>
            </w:r>
            <w:r w:rsidRPr="001455DC">
              <w:rPr>
                <w:rStyle w:val="CCMCvariablesubscript"/>
                <w:szCs w:val="18"/>
              </w:rPr>
              <w:t>ctk;0,95</w:t>
            </w:r>
            <w:r w:rsidRPr="001455DC">
              <w:rPr>
                <w:szCs w:val="18"/>
              </w:rPr>
              <w:t> </w:t>
            </w:r>
            <w:r w:rsidR="00EC27D2" w:rsidRPr="001455DC">
              <w:rPr>
                <w:rFonts w:ascii="Cambria Math" w:hAnsi="Cambria Math"/>
                <w:szCs w:val="18"/>
              </w:rPr>
              <w:t>=</w:t>
            </w:r>
            <w:r w:rsidRPr="001455DC">
              <w:rPr>
                <w:szCs w:val="18"/>
              </w:rPr>
              <w:t> </w:t>
            </w:r>
            <w:r w:rsidRPr="001455DC">
              <w:rPr>
                <w:rFonts w:eastAsia="Arial Unicode MS"/>
                <w:szCs w:val="18"/>
                <w:lang w:eastAsia="de-DE"/>
              </w:rPr>
              <w:t>1,3</w:t>
            </w:r>
            <w:r w:rsidRPr="001455DC">
              <w:rPr>
                <w:rStyle w:val="CCMCvariableitalic"/>
                <w:szCs w:val="18"/>
              </w:rPr>
              <w:t>f</w:t>
            </w:r>
            <w:r w:rsidRPr="001455DC">
              <w:rPr>
                <w:rStyle w:val="CCMCvariablesubscript"/>
                <w:szCs w:val="18"/>
              </w:rPr>
              <w:t>ctm</w:t>
            </w:r>
            <w:r w:rsidRPr="001455DC">
              <w:rPr>
                <w:rFonts w:eastAsia="Arial Unicode MS"/>
                <w:szCs w:val="18"/>
                <w:lang w:eastAsia="de-DE"/>
              </w:rPr>
              <w:t xml:space="preserve"> (95 %</w:t>
            </w:r>
            <w:r w:rsidR="008D6173" w:rsidRPr="001455DC">
              <w:rPr>
                <w:rFonts w:eastAsia="Arial Unicode MS"/>
                <w:szCs w:val="18"/>
                <w:lang w:eastAsia="de-DE"/>
              </w:rPr>
              <w:noBreakHyphen/>
            </w:r>
            <w:r w:rsidRPr="001455DC">
              <w:rPr>
                <w:rFonts w:eastAsia="Arial Unicode MS"/>
                <w:szCs w:val="18"/>
                <w:lang w:eastAsia="de-DE"/>
              </w:rPr>
              <w:t>fractile)</w:t>
            </w:r>
          </w:p>
        </w:tc>
      </w:tr>
    </w:tbl>
    <w:p w14:paraId="66828937" w14:textId="77777777" w:rsidR="004E22C1" w:rsidRPr="001455DC" w:rsidRDefault="004E22C1" w:rsidP="008D6173">
      <w:pPr>
        <w:pStyle w:val="a7"/>
      </w:pPr>
    </w:p>
    <w:p w14:paraId="38D6FAF1" w14:textId="77777777" w:rsidR="004E22C1" w:rsidRPr="001455DC" w:rsidRDefault="004E22C1" w:rsidP="008D6173">
      <w:pPr>
        <w:pStyle w:val="Note"/>
      </w:pPr>
      <w:r w:rsidRPr="001455DC">
        <w:t>NOTE 1</w:t>
      </w:r>
      <w:r w:rsidRPr="001455DC">
        <w:tab/>
        <w:t>All strength classes apply unless a National Annex excludes specific classes.</w:t>
      </w:r>
    </w:p>
    <w:p w14:paraId="2A65C1F9" w14:textId="77777777" w:rsidR="004E22C1" w:rsidRPr="001455DC" w:rsidRDefault="004E22C1" w:rsidP="008D6173">
      <w:pPr>
        <w:pStyle w:val="Note"/>
      </w:pPr>
      <w:r w:rsidRPr="001455DC">
        <w:t>NOTE 2</w:t>
      </w:r>
      <w:r w:rsidRPr="001455DC">
        <w:tab/>
        <w:t>Intermediate strength classes can be used, if included in a National Annex.</w:t>
      </w:r>
    </w:p>
    <w:p w14:paraId="1CCF3FCE" w14:textId="77777777" w:rsidR="004E22C1" w:rsidRPr="001455DC" w:rsidRDefault="004E22C1" w:rsidP="008D6173">
      <w:pPr>
        <w:pStyle w:val="Note"/>
      </w:pPr>
      <w:r w:rsidRPr="001455DC">
        <w:t>NOTE 3</w:t>
      </w:r>
      <w:r w:rsidRPr="001455DC">
        <w:tab/>
        <w:t>The relationship between cube strength and cylinder strength is covered in EN 206.</w:t>
      </w:r>
    </w:p>
    <w:p w14:paraId="55CF8D36" w14:textId="7387B5BE" w:rsidR="004E22C1" w:rsidRPr="001455DC" w:rsidRDefault="004E22C1" w:rsidP="008D6173">
      <w:pPr>
        <w:pStyle w:val="Note"/>
      </w:pPr>
      <w:r w:rsidRPr="001455DC">
        <w:t>NOTE 4</w:t>
      </w:r>
      <w:r w:rsidRPr="001455DC">
        <w:tab/>
        <w:t>For restrictions on the scope of application of Table 5.1 to lightweight concrete or recycled aggregate concrete refer to Annex M and Annex N</w:t>
      </w:r>
      <w:r w:rsidR="00B32CBB" w:rsidRPr="001455DC">
        <w:t>, respectively</w:t>
      </w:r>
      <w:r w:rsidRPr="001455DC">
        <w:t>.</w:t>
      </w:r>
    </w:p>
    <w:p w14:paraId="5FC1ABCE" w14:textId="3FEAFB26" w:rsidR="004E22C1" w:rsidRPr="001455DC" w:rsidRDefault="004E22C1" w:rsidP="008D6173">
      <w:pPr>
        <w:pStyle w:val="Note"/>
      </w:pPr>
      <w:r w:rsidRPr="001455DC">
        <w:t>NOTE 5</w:t>
      </w:r>
      <w:r w:rsidRPr="001455DC">
        <w:tab/>
        <w:t>The design clauses of SLS and for minimum reinforcement make allowance for an over</w:t>
      </w:r>
      <w:r w:rsidR="00B32CBB" w:rsidRPr="001455DC">
        <w:t>-</w:t>
      </w:r>
      <w:r w:rsidRPr="001455DC">
        <w:t xml:space="preserve">strength of tensile strength in a class between </w:t>
      </w:r>
      <w:r w:rsidRPr="001455DC">
        <w:rPr>
          <w:rStyle w:val="CCMCvariableitalic"/>
        </w:rPr>
        <w:t>f</w:t>
      </w:r>
      <w:r w:rsidRPr="001455DC">
        <w:rPr>
          <w:rStyle w:val="CCMCvariablesubscript"/>
        </w:rPr>
        <w:t>ctk;0,05</w:t>
      </w:r>
      <w:r w:rsidRPr="001455DC">
        <w:t xml:space="preserve"> and </w:t>
      </w:r>
      <w:r w:rsidRPr="001455DC">
        <w:rPr>
          <w:rStyle w:val="CCMCvariableitalic"/>
        </w:rPr>
        <w:t>f</w:t>
      </w:r>
      <w:r w:rsidRPr="001455DC">
        <w:rPr>
          <w:rStyle w:val="CCMCvariablesubscript"/>
        </w:rPr>
        <w:t>ctk;0,95</w:t>
      </w:r>
      <w:r w:rsidRPr="001455DC">
        <w:t>.</w:t>
      </w:r>
    </w:p>
    <w:p w14:paraId="23E8F6D9" w14:textId="77777777" w:rsidR="004E22C1" w:rsidRPr="001455DC" w:rsidRDefault="004E22C1" w:rsidP="008D6173">
      <w:pPr>
        <w:pStyle w:val="a7"/>
        <w:rPr>
          <w:szCs w:val="22"/>
        </w:rPr>
      </w:pPr>
      <w:r w:rsidRPr="001455DC">
        <w:rPr>
          <w:szCs w:val="22"/>
        </w:rPr>
        <w:t>(4)</w:t>
      </w:r>
      <w:r w:rsidRPr="001455DC">
        <w:rPr>
          <w:szCs w:val="22"/>
        </w:rPr>
        <w:tab/>
        <w:t xml:space="preserve">If required, the concrete compressive strength </w:t>
      </w:r>
      <w:r w:rsidRPr="001455DC">
        <w:rPr>
          <w:rStyle w:val="CCMCvariableitalic"/>
          <w:szCs w:val="22"/>
        </w:rPr>
        <w:t>f</w:t>
      </w:r>
      <w:r w:rsidRPr="001455DC">
        <w:rPr>
          <w:rStyle w:val="CCMCvariablesubscript"/>
          <w:szCs w:val="22"/>
        </w:rPr>
        <w:t>ck</w:t>
      </w:r>
      <w:r w:rsidRPr="001455DC">
        <w:rPr>
          <w:szCs w:val="22"/>
        </w:rPr>
        <w:t>(</w:t>
      </w:r>
      <w:r w:rsidRPr="001455DC">
        <w:rPr>
          <w:rStyle w:val="CCMCvariableitalic"/>
          <w:szCs w:val="22"/>
        </w:rPr>
        <w:t>t</w:t>
      </w:r>
      <w:r w:rsidRPr="001455DC">
        <w:rPr>
          <w:szCs w:val="22"/>
        </w:rPr>
        <w:t xml:space="preserve">), should be specified for times </w:t>
      </w:r>
      <w:r w:rsidRPr="001455DC">
        <w:rPr>
          <w:rStyle w:val="CCMCvariableitalic"/>
          <w:szCs w:val="22"/>
        </w:rPr>
        <w:t>t</w:t>
      </w:r>
      <w:r w:rsidRPr="001455DC">
        <w:rPr>
          <w:szCs w:val="22"/>
        </w:rPr>
        <w:t xml:space="preserve"> that can be before or after </w:t>
      </w:r>
      <w:r w:rsidRPr="001455DC">
        <w:rPr>
          <w:rStyle w:val="CCMCvariableitalic"/>
          <w:szCs w:val="22"/>
        </w:rPr>
        <w:t>t</w:t>
      </w:r>
      <w:r w:rsidRPr="001455DC">
        <w:rPr>
          <w:rStyle w:val="CCMCvariablesubscript"/>
          <w:szCs w:val="22"/>
        </w:rPr>
        <w:t>ref</w:t>
      </w:r>
      <w:r w:rsidRPr="001455DC">
        <w:rPr>
          <w:szCs w:val="22"/>
        </w:rPr>
        <w:t xml:space="preserve"> for a number of stages (e.g. demoulding, removal of propping, transfer of prestress).</w:t>
      </w:r>
    </w:p>
    <w:p w14:paraId="3B52A3B8" w14:textId="77777777" w:rsidR="004E22C1" w:rsidRPr="001455DC" w:rsidRDefault="004E22C1" w:rsidP="008D6173">
      <w:pPr>
        <w:pStyle w:val="a7"/>
        <w:rPr>
          <w:szCs w:val="22"/>
        </w:rPr>
      </w:pPr>
      <w:r w:rsidRPr="001455DC">
        <w:rPr>
          <w:szCs w:val="22"/>
        </w:rPr>
        <w:t>(5)</w:t>
      </w:r>
      <w:r w:rsidRPr="001455DC">
        <w:rPr>
          <w:szCs w:val="22"/>
        </w:rPr>
        <w:tab/>
        <w:t xml:space="preserve">Where concrete tensile strength is tested and documented at the same frequency as for compressive strength, a statistical analysis of test results may be used as a basis for the evaluation of the tensile strength </w:t>
      </w:r>
      <w:r w:rsidRPr="001455DC">
        <w:rPr>
          <w:rStyle w:val="CCMCvariableitalic"/>
          <w:szCs w:val="22"/>
        </w:rPr>
        <w:t>f</w:t>
      </w:r>
      <w:r w:rsidRPr="001455DC">
        <w:rPr>
          <w:rStyle w:val="CCMCvariablesubscript"/>
          <w:szCs w:val="22"/>
        </w:rPr>
        <w:t>ctk,0,05</w:t>
      </w:r>
      <w:r w:rsidRPr="001455DC">
        <w:rPr>
          <w:szCs w:val="22"/>
        </w:rPr>
        <w:t xml:space="preserve">, </w:t>
      </w:r>
      <w:r w:rsidRPr="001455DC">
        <w:rPr>
          <w:rStyle w:val="CCMCvariableitalic"/>
          <w:szCs w:val="22"/>
        </w:rPr>
        <w:t>f</w:t>
      </w:r>
      <w:r w:rsidRPr="001455DC">
        <w:rPr>
          <w:rStyle w:val="CCMCvariablesubscript"/>
          <w:szCs w:val="22"/>
        </w:rPr>
        <w:t>ctk,0,95</w:t>
      </w:r>
      <w:r w:rsidRPr="001455DC">
        <w:rPr>
          <w:szCs w:val="22"/>
        </w:rPr>
        <w:t xml:space="preserve"> and </w:t>
      </w:r>
      <w:r w:rsidRPr="001455DC">
        <w:rPr>
          <w:rStyle w:val="CCMCvariableitalic"/>
          <w:szCs w:val="22"/>
        </w:rPr>
        <w:t>f</w:t>
      </w:r>
      <w:r w:rsidRPr="001455DC">
        <w:rPr>
          <w:rStyle w:val="CCMCvariablesubscript"/>
          <w:szCs w:val="22"/>
        </w:rPr>
        <w:t>ctm</w:t>
      </w:r>
      <w:r w:rsidRPr="001455DC">
        <w:rPr>
          <w:szCs w:val="22"/>
        </w:rPr>
        <w:t>, as an alternative to Table 5.1.</w:t>
      </w:r>
    </w:p>
    <w:p w14:paraId="6C5FAF38" w14:textId="77777777" w:rsidR="004E22C1" w:rsidRPr="001455DC" w:rsidRDefault="004E22C1" w:rsidP="008D6173">
      <w:pPr>
        <w:pStyle w:val="a7"/>
        <w:rPr>
          <w:szCs w:val="22"/>
        </w:rPr>
      </w:pPr>
      <w:r w:rsidRPr="001455DC">
        <w:rPr>
          <w:szCs w:val="22"/>
        </w:rPr>
        <w:t>(6)</w:t>
      </w:r>
      <w:r w:rsidRPr="001455DC">
        <w:rPr>
          <w:szCs w:val="22"/>
        </w:rPr>
        <w:tab/>
        <w:t>Unless verified by testing, the development of concrete strength with time should be estimated according to Annex B.</w:t>
      </w:r>
    </w:p>
    <w:p w14:paraId="2DD1EE55" w14:textId="565A60AF" w:rsidR="004E22C1" w:rsidRPr="001455DC" w:rsidRDefault="004E22C1" w:rsidP="00243590">
      <w:pPr>
        <w:pStyle w:val="31"/>
      </w:pPr>
      <w:bookmarkStart w:id="249" w:name="_Toc52819903"/>
      <w:bookmarkStart w:id="250" w:name="_Toc54337298"/>
      <w:bookmarkStart w:id="251" w:name="_Toc54337961"/>
      <w:bookmarkStart w:id="252" w:name="_Toc67565324"/>
      <w:r w:rsidRPr="001455DC">
        <w:t>Elastic deformation</w:t>
      </w:r>
      <w:bookmarkEnd w:id="249"/>
      <w:bookmarkEnd w:id="250"/>
      <w:bookmarkEnd w:id="251"/>
      <w:bookmarkEnd w:id="252"/>
    </w:p>
    <w:p w14:paraId="69B0F770" w14:textId="77777777" w:rsidR="004E22C1" w:rsidRPr="001455DC" w:rsidRDefault="004E22C1" w:rsidP="008D6173">
      <w:pPr>
        <w:pStyle w:val="a7"/>
      </w:pPr>
      <w:r w:rsidRPr="001455DC">
        <w:t>(1)</w:t>
      </w:r>
      <w:r w:rsidRPr="001455DC">
        <w:tab/>
        <w:t>The values of the elastic modulus of concrete should be specifically assessed if the structure is likely to be sensitive to deviations from the approximate indicative values given in (2).</w:t>
      </w:r>
    </w:p>
    <w:p w14:paraId="4511653F" w14:textId="051C70F1" w:rsidR="004E22C1" w:rsidRPr="001455DC" w:rsidRDefault="004E22C1" w:rsidP="008D6173">
      <w:pPr>
        <w:pStyle w:val="Note"/>
      </w:pPr>
      <w:r w:rsidRPr="001455DC">
        <w:t>NOTE</w:t>
      </w:r>
      <w:r w:rsidRPr="001455DC">
        <w:tab/>
        <w:t>The elastic deformations of concrete largely depend on its composition (especially the aggregates).</w:t>
      </w:r>
    </w:p>
    <w:p w14:paraId="5D8608F5" w14:textId="53DD2316" w:rsidR="00CE50EE" w:rsidRPr="001455DC" w:rsidRDefault="004E22C1" w:rsidP="00C74721">
      <w:pPr>
        <w:pStyle w:val="a7"/>
        <w:keepNext/>
      </w:pPr>
      <w:r w:rsidRPr="001455DC">
        <w:rPr>
          <w:szCs w:val="22"/>
        </w:rPr>
        <w:t>(2)</w:t>
      </w:r>
      <w:r w:rsidRPr="001455DC">
        <w:rPr>
          <w:szCs w:val="22"/>
        </w:rPr>
        <w:tab/>
      </w:r>
      <w:r w:rsidRPr="001455DC">
        <w:t xml:space="preserve">Approximate indicative values for the modulus of elasticity </w:t>
      </w:r>
      <w:r w:rsidRPr="001455DC">
        <w:rPr>
          <w:rStyle w:val="CCMCvariableitalic"/>
        </w:rPr>
        <w:t>E</w:t>
      </w:r>
      <w:r w:rsidRPr="001455DC">
        <w:rPr>
          <w:rStyle w:val="CCMCvariablesubscript"/>
        </w:rPr>
        <w:t>cm</w:t>
      </w:r>
      <w:r w:rsidRPr="001455DC">
        <w:t xml:space="preserve"> may be taken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CE50EE" w:rsidRPr="001455DC" w14:paraId="22A3FA49" w14:textId="77777777" w:rsidTr="00CE50EE">
        <w:trPr>
          <w:cantSplit/>
        </w:trPr>
        <w:tc>
          <w:tcPr>
            <w:tcW w:w="8505" w:type="dxa"/>
            <w:vAlign w:val="center"/>
          </w:tcPr>
          <w:p w14:paraId="7A12855A" w14:textId="750D518B" w:rsidR="00CE50EE" w:rsidRPr="001455DC" w:rsidRDefault="00CE50EE" w:rsidP="00CE50EE">
            <w:pPr>
              <w:pStyle w:val="Formula"/>
              <w:jc w:val="left"/>
            </w:pPr>
            <w:r w:rsidRPr="001455DC">
              <w:rPr>
                <w:rStyle w:val="CCMCvariableitalic"/>
              </w:rPr>
              <w:t>E</w:t>
            </w:r>
            <w:r w:rsidRPr="001455DC">
              <w:rPr>
                <w:rStyle w:val="CCMCvariablesubscript"/>
              </w:rPr>
              <w:t>cm</w:t>
            </w:r>
            <w:r w:rsidRPr="001455DC">
              <w:t> </w:t>
            </w:r>
            <w:r w:rsidR="00EC27D2" w:rsidRPr="001455DC">
              <w:rPr>
                <w:rFonts w:ascii="Cambria Math" w:hAnsi="Cambria Math"/>
              </w:rPr>
              <w:t>=</w:t>
            </w:r>
            <w:r w:rsidRPr="001455DC">
              <w:t> </w:t>
            </w:r>
            <w:r w:rsidRPr="001455DC">
              <w:rPr>
                <w:rStyle w:val="CCMCvariableitalic"/>
              </w:rPr>
              <w:t>k</w:t>
            </w:r>
            <w:r w:rsidRPr="001455DC">
              <w:rPr>
                <w:rStyle w:val="CCMCvariablesubscript"/>
              </w:rPr>
              <w:t>E</w:t>
            </w:r>
            <w:r w:rsidRPr="001455DC">
              <w:t> </w:t>
            </w:r>
            <w:r w:rsidRPr="001455DC">
              <w:rPr>
                <w:rFonts w:ascii="Cambria Math" w:hAnsi="Cambria Math" w:cs="Cambria Math"/>
              </w:rPr>
              <w:t>⋅</w:t>
            </w:r>
            <w:r w:rsidRPr="001455DC">
              <w:t> </w:t>
            </w:r>
            <w:r w:rsidRPr="001455DC">
              <w:rPr>
                <w:rStyle w:val="CCMCvariableitalic"/>
              </w:rPr>
              <w:t>f</w:t>
            </w:r>
            <w:r w:rsidRPr="001455DC">
              <w:rPr>
                <w:rStyle w:val="CCMCvariablesubscript"/>
              </w:rPr>
              <w:t>cm</w:t>
            </w:r>
            <w:r w:rsidRPr="001455DC">
              <w:rPr>
                <w:rStyle w:val="CCMCvariablesuperscript"/>
              </w:rPr>
              <w:t>1/3</w:t>
            </w:r>
          </w:p>
        </w:tc>
        <w:tc>
          <w:tcPr>
            <w:tcW w:w="1247" w:type="dxa"/>
            <w:vAlign w:val="center"/>
          </w:tcPr>
          <w:p w14:paraId="3392D28B" w14:textId="6E1BC5A1" w:rsidR="00CE50EE" w:rsidRPr="001455DC" w:rsidRDefault="00CE50EE" w:rsidP="00CE50EE">
            <w:pPr>
              <w:pStyle w:val="a7"/>
              <w:jc w:val="right"/>
            </w:pPr>
            <w:r w:rsidRPr="001455DC">
              <w:t>(5.1)</w:t>
            </w:r>
          </w:p>
        </w:tc>
      </w:tr>
    </w:tbl>
    <w:p w14:paraId="7E8ECC1E" w14:textId="23F526C3" w:rsidR="004E22C1" w:rsidRPr="001455DC" w:rsidRDefault="004E22C1" w:rsidP="008D6173">
      <w:pPr>
        <w:pStyle w:val="a7"/>
      </w:pPr>
      <w:r w:rsidRPr="001455DC">
        <w:t xml:space="preserve">For concrete with quartzite aggregates </w:t>
      </w:r>
      <w:r w:rsidRPr="001455DC">
        <w:rPr>
          <w:rStyle w:val="CCMCvariableitalic"/>
        </w:rPr>
        <w:t>k</w:t>
      </w:r>
      <w:r w:rsidRPr="001455DC">
        <w:rPr>
          <w:rStyle w:val="CCMCvariablesubscript"/>
        </w:rPr>
        <w:t>E</w:t>
      </w:r>
      <w:r w:rsidRPr="001455DC">
        <w:t> </w:t>
      </w:r>
      <w:r w:rsidR="00EC27D2" w:rsidRPr="001455DC">
        <w:rPr>
          <w:rFonts w:ascii="Cambria Math" w:hAnsi="Cambria Math"/>
        </w:rPr>
        <w:t>=</w:t>
      </w:r>
      <w:r w:rsidRPr="001455DC">
        <w:t xml:space="preserve"> 9 500 may be assumed. For other types of aggregates </w:t>
      </w:r>
      <w:r w:rsidRPr="001455DC">
        <w:rPr>
          <w:rStyle w:val="CCMCvariableitalic"/>
        </w:rPr>
        <w:t>k</w:t>
      </w:r>
      <w:r w:rsidRPr="001455DC">
        <w:rPr>
          <w:rStyle w:val="CCMCvariablesubscript"/>
        </w:rPr>
        <w:t>E</w:t>
      </w:r>
      <w:r w:rsidRPr="001455DC">
        <w:t xml:space="preserve"> can vary between 5 000 and 13 000.</w:t>
      </w:r>
    </w:p>
    <w:p w14:paraId="4739A1EB" w14:textId="4A38D938" w:rsidR="004E22C1" w:rsidRPr="001455DC" w:rsidRDefault="004E22C1" w:rsidP="008D6173">
      <w:pPr>
        <w:pStyle w:val="Note"/>
      </w:pPr>
      <w:r w:rsidRPr="001455DC">
        <w:t>NOTE </w:t>
      </w:r>
      <w:r w:rsidR="004B62E7">
        <w:t>1</w:t>
      </w:r>
      <w:r w:rsidRPr="001455DC">
        <w:tab/>
        <w:t xml:space="preserve">A Country’s National Annex can provide additional information for the value </w:t>
      </w:r>
      <w:r w:rsidRPr="001455DC">
        <w:rPr>
          <w:rStyle w:val="CCMCvariableitalic"/>
        </w:rPr>
        <w:t>k</w:t>
      </w:r>
      <w:r w:rsidRPr="001455DC">
        <w:rPr>
          <w:rStyle w:val="CCMCvariablesubscript"/>
        </w:rPr>
        <w:t>E</w:t>
      </w:r>
      <w:r w:rsidRPr="001455DC">
        <w:t>.</w:t>
      </w:r>
    </w:p>
    <w:p w14:paraId="09059A81" w14:textId="3E5289B2" w:rsidR="004E22C1" w:rsidRPr="001455DC" w:rsidRDefault="004E22C1" w:rsidP="008D6173">
      <w:pPr>
        <w:pStyle w:val="Note"/>
        <w:rPr>
          <w:rStyle w:val="CCMCvariablesubscript"/>
        </w:rPr>
      </w:pPr>
      <w:r w:rsidRPr="009D3012">
        <w:rPr>
          <w:szCs w:val="19"/>
        </w:rPr>
        <w:t>NOTE </w:t>
      </w:r>
      <w:r w:rsidR="004B62E7">
        <w:rPr>
          <w:szCs w:val="19"/>
        </w:rPr>
        <w:t>2</w:t>
      </w:r>
      <w:r w:rsidRPr="001455DC">
        <w:rPr>
          <w:szCs w:val="19"/>
        </w:rPr>
        <w:tab/>
      </w:r>
      <w:r w:rsidRPr="001455DC">
        <w:rPr>
          <w:rStyle w:val="CCMCvariableitalic"/>
        </w:rPr>
        <w:t>E</w:t>
      </w:r>
      <w:r w:rsidRPr="001455DC">
        <w:rPr>
          <w:rStyle w:val="CCMCvariablesubscript"/>
        </w:rPr>
        <w:t>cm</w:t>
      </w:r>
      <w:r w:rsidRPr="001455DC">
        <w:t xml:space="preserve"> is based on the secant modulus between </w:t>
      </w:r>
      <w:r w:rsidRPr="001455DC">
        <w:rPr>
          <w:rStyle w:val="CCMCvariableitalic"/>
        </w:rPr>
        <w:t>σ</w:t>
      </w:r>
      <w:r w:rsidRPr="001455DC">
        <w:rPr>
          <w:rStyle w:val="CCMCvariablesubscript"/>
        </w:rPr>
        <w:t>c</w:t>
      </w:r>
      <w:r w:rsidRPr="001455DC">
        <w:t> </w:t>
      </w:r>
      <w:r w:rsidR="00EC27D2" w:rsidRPr="001455DC">
        <w:rPr>
          <w:rFonts w:ascii="Cambria Math" w:hAnsi="Cambria Math"/>
        </w:rPr>
        <w:t>=</w:t>
      </w:r>
      <w:r w:rsidRPr="001455DC">
        <w:t xml:space="preserve"> 0 and </w:t>
      </w:r>
      <w:r w:rsidR="00B10711" w:rsidRPr="001455DC">
        <w:rPr>
          <w:rStyle w:val="CCMCvariableitalic"/>
        </w:rPr>
        <w:t>σ</w:t>
      </w:r>
      <w:r w:rsidR="00B10711" w:rsidRPr="001455DC">
        <w:rPr>
          <w:rStyle w:val="CCMCvariablesubscript"/>
        </w:rPr>
        <w:t>c</w:t>
      </w:r>
      <w:r w:rsidR="00B10711" w:rsidRPr="001455DC">
        <w:t xml:space="preserve"> = </w:t>
      </w:r>
      <w:r w:rsidRPr="001455DC">
        <w:t>0,4</w:t>
      </w:r>
      <w:r w:rsidRPr="001455DC">
        <w:rPr>
          <w:rStyle w:val="CCMCvariableitalic"/>
        </w:rPr>
        <w:t>f</w:t>
      </w:r>
      <w:r w:rsidRPr="001455DC">
        <w:rPr>
          <w:rStyle w:val="CCMCvariablesubscript"/>
        </w:rPr>
        <w:t>cm</w:t>
      </w:r>
      <w:r w:rsidRPr="001455DC">
        <w:rPr>
          <w:szCs w:val="19"/>
        </w:rPr>
        <w:t>.</w:t>
      </w:r>
    </w:p>
    <w:p w14:paraId="3704EA15" w14:textId="77777777" w:rsidR="004E22C1" w:rsidRPr="001455DC" w:rsidRDefault="004E22C1" w:rsidP="008D6173">
      <w:pPr>
        <w:pStyle w:val="a7"/>
      </w:pPr>
      <w:r w:rsidRPr="001455DC">
        <w:t>(3)</w:t>
      </w:r>
      <w:r w:rsidRPr="001455DC">
        <w:tab/>
        <w:t>Poisson’s ratio may be taken equal to 0,2 for uncracked concrete and 0 for concrete cracked in tension.</w:t>
      </w:r>
    </w:p>
    <w:p w14:paraId="5294E957" w14:textId="303F15F5" w:rsidR="004E22C1" w:rsidRPr="001455DC" w:rsidRDefault="004E22C1" w:rsidP="00243590">
      <w:pPr>
        <w:pStyle w:val="31"/>
      </w:pPr>
      <w:bookmarkStart w:id="253" w:name="_Toc52819904"/>
      <w:bookmarkStart w:id="254" w:name="_Toc54337299"/>
      <w:bookmarkStart w:id="255" w:name="_Toc54337962"/>
      <w:bookmarkStart w:id="256" w:name="_Toc67565325"/>
      <w:r w:rsidRPr="001455DC">
        <w:t>Creep and shrinkage</w:t>
      </w:r>
      <w:bookmarkEnd w:id="253"/>
      <w:bookmarkEnd w:id="254"/>
      <w:bookmarkEnd w:id="255"/>
      <w:bookmarkEnd w:id="256"/>
    </w:p>
    <w:p w14:paraId="7E260E7C" w14:textId="77777777" w:rsidR="00CE50EE" w:rsidRPr="001455DC" w:rsidRDefault="004E22C1" w:rsidP="00CE50EE">
      <w:pPr>
        <w:pStyle w:val="a7"/>
      </w:pPr>
      <w:r w:rsidRPr="001455DC">
        <w:t>(1)</w:t>
      </w:r>
      <w:r w:rsidRPr="001455DC">
        <w:tab/>
        <w:t xml:space="preserve">The creep deformation of concrete </w:t>
      </w:r>
      <w:r w:rsidRPr="001455DC">
        <w:rPr>
          <w:rStyle w:val="CCMCvariableitalic"/>
        </w:rPr>
        <w:t>ε</w:t>
      </w:r>
      <w:r w:rsidRPr="001455DC">
        <w:rPr>
          <w:rStyle w:val="CCMCvariablesubscript"/>
        </w:rPr>
        <w:t>cc</w:t>
      </w:r>
      <w:r w:rsidRPr="001455DC">
        <w:t>(</w:t>
      </w:r>
      <w:r w:rsidRPr="001455DC">
        <w:rPr>
          <w:rStyle w:val="CCMCvariableitalic"/>
        </w:rPr>
        <w:t>t</w:t>
      </w:r>
      <w:r w:rsidRPr="001455DC">
        <w:t>,</w:t>
      </w:r>
      <w:r w:rsidRPr="001455DC">
        <w:rPr>
          <w:rStyle w:val="CCMCvariableitalic"/>
        </w:rPr>
        <w:t>t</w:t>
      </w:r>
      <w:r w:rsidRPr="001455DC">
        <w:rPr>
          <w:rStyle w:val="CCMCvariablesubscript"/>
        </w:rPr>
        <w:t>0</w:t>
      </w:r>
      <w:r w:rsidRPr="001455DC">
        <w:t xml:space="preserve">) at time </w:t>
      </w:r>
      <w:r w:rsidRPr="001455DC">
        <w:rPr>
          <w:rStyle w:val="CCMCvariableitalic"/>
        </w:rPr>
        <w:t>t</w:t>
      </w:r>
      <w:r w:rsidRPr="001455DC">
        <w:rPr>
          <w:iCs/>
        </w:rPr>
        <w:t xml:space="preserve"> </w:t>
      </w:r>
      <w:r w:rsidRPr="001455DC">
        <w:t xml:space="preserve">for a constant compressive stress </w:t>
      </w:r>
      <w:r w:rsidRPr="001455DC">
        <w:rPr>
          <w:rStyle w:val="CCMCvariableitalic"/>
        </w:rPr>
        <w:t>σ</w:t>
      </w:r>
      <w:r w:rsidRPr="001455DC">
        <w:rPr>
          <w:rStyle w:val="CCMCvariablesubscript"/>
        </w:rPr>
        <w:t>c</w:t>
      </w:r>
      <w:r w:rsidRPr="001455DC">
        <w:t xml:space="preserve"> applied at the concrete age </w:t>
      </w:r>
      <w:r w:rsidRPr="001455DC">
        <w:rPr>
          <w:rStyle w:val="CCMCvariableitalic"/>
        </w:rPr>
        <w:t>t</w:t>
      </w:r>
      <w:r w:rsidRPr="001455DC">
        <w:rPr>
          <w:rStyle w:val="CCMCvariablesubscript"/>
        </w:rPr>
        <w:t>0</w:t>
      </w:r>
      <w:r w:rsidRPr="001455DC">
        <w:t>, shall be given by:</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CE50EE" w:rsidRPr="001455DC" w14:paraId="31548B66" w14:textId="77777777" w:rsidTr="00CE50EE">
        <w:trPr>
          <w:cantSplit/>
        </w:trPr>
        <w:tc>
          <w:tcPr>
            <w:tcW w:w="8505" w:type="dxa"/>
            <w:vAlign w:val="center"/>
          </w:tcPr>
          <w:p w14:paraId="1506B6B7" w14:textId="520A53D8" w:rsidR="00CE50EE" w:rsidRPr="001455DC" w:rsidRDefault="00CE50EE" w:rsidP="00CE50EE">
            <w:pPr>
              <w:pStyle w:val="Formula"/>
              <w:jc w:val="left"/>
              <w:rPr>
                <w:lang w:val="fr-FR"/>
              </w:rPr>
            </w:pPr>
            <w:r w:rsidRPr="001455DC">
              <w:rPr>
                <w:rStyle w:val="CCMCvariableitalic"/>
              </w:rPr>
              <w:t>ε</w:t>
            </w:r>
            <w:r w:rsidRPr="001455DC">
              <w:rPr>
                <w:rStyle w:val="CCMCvariablesubscript"/>
                <w:lang w:val="fr-FR"/>
              </w:rPr>
              <w:t>cc</w:t>
            </w:r>
            <w:r w:rsidRPr="001455DC">
              <w:rPr>
                <w:lang w:val="fr-FR"/>
              </w:rPr>
              <w:t>(</w:t>
            </w:r>
            <w:r w:rsidRPr="001455DC">
              <w:rPr>
                <w:rStyle w:val="CCMCvariableitalic"/>
                <w:lang w:val="fr-FR"/>
              </w:rPr>
              <w:t>t</w:t>
            </w:r>
            <w:r w:rsidRPr="001455DC">
              <w:rPr>
                <w:lang w:val="fr-FR"/>
              </w:rPr>
              <w:t>,</w:t>
            </w:r>
            <w:r w:rsidRPr="001455DC">
              <w:rPr>
                <w:rStyle w:val="CCMCvariableitalic"/>
                <w:lang w:val="fr-FR"/>
              </w:rPr>
              <w:t>t</w:t>
            </w:r>
            <w:r w:rsidRPr="001455DC">
              <w:rPr>
                <w:rStyle w:val="CCMCvariablesubscript"/>
                <w:lang w:val="fr-FR"/>
              </w:rPr>
              <w:t>0</w:t>
            </w:r>
            <w:r w:rsidRPr="001455DC">
              <w:rPr>
                <w:lang w:val="fr-FR"/>
              </w:rPr>
              <w:t>) </w:t>
            </w:r>
            <w:r w:rsidR="00EC27D2" w:rsidRPr="001455DC">
              <w:rPr>
                <w:rFonts w:ascii="Cambria Math" w:hAnsi="Cambria Math"/>
                <w:lang w:val="fr-FR"/>
              </w:rPr>
              <w:t>=</w:t>
            </w:r>
            <w:r w:rsidRPr="001455DC">
              <w:rPr>
                <w:lang w:val="fr-FR"/>
              </w:rPr>
              <w:t> </w:t>
            </w:r>
            <w:r w:rsidRPr="001455DC">
              <w:rPr>
                <w:rStyle w:val="CCMCvariableitalic"/>
              </w:rPr>
              <w:t>φ</w:t>
            </w:r>
            <w:r w:rsidRPr="001455DC">
              <w:rPr>
                <w:lang w:val="fr-FR"/>
              </w:rPr>
              <w:t>(</w:t>
            </w:r>
            <w:r w:rsidRPr="001455DC">
              <w:rPr>
                <w:rStyle w:val="CCMCvariableitalic"/>
                <w:lang w:val="fr-FR"/>
              </w:rPr>
              <w:t>t</w:t>
            </w:r>
            <w:r w:rsidRPr="001455DC">
              <w:rPr>
                <w:lang w:val="fr-FR"/>
              </w:rPr>
              <w:t>,</w:t>
            </w:r>
            <w:r w:rsidRPr="001455DC">
              <w:rPr>
                <w:rStyle w:val="CCMCvariableitalic"/>
                <w:lang w:val="fr-FR"/>
              </w:rPr>
              <w:t>t</w:t>
            </w:r>
            <w:r w:rsidRPr="001455DC">
              <w:rPr>
                <w:rStyle w:val="CCMCvariablesubscript"/>
                <w:lang w:val="fr-FR"/>
              </w:rPr>
              <w:t>0</w:t>
            </w:r>
            <w:r w:rsidRPr="001455DC">
              <w:rPr>
                <w:lang w:val="fr-FR"/>
              </w:rPr>
              <w:t>) </w:t>
            </w:r>
            <w:r w:rsidRPr="001455DC">
              <w:rPr>
                <w:rFonts w:ascii="Cambria Math" w:hAnsi="Cambria Math" w:cs="Cambria Math"/>
                <w:lang w:val="fr-FR"/>
              </w:rPr>
              <w:t>⋅</w:t>
            </w:r>
            <w:r w:rsidRPr="001455DC">
              <w:rPr>
                <w:lang w:val="fr-FR"/>
              </w:rPr>
              <w:t> (</w:t>
            </w:r>
            <w:r w:rsidRPr="001455DC">
              <w:rPr>
                <w:rStyle w:val="CCMCvariableitalic"/>
              </w:rPr>
              <w:t>σ</w:t>
            </w:r>
            <w:r w:rsidRPr="001455DC">
              <w:rPr>
                <w:rStyle w:val="CCMCvariablesubscript"/>
                <w:lang w:val="fr-FR"/>
              </w:rPr>
              <w:t>c</w:t>
            </w:r>
            <w:r w:rsidRPr="001455DC">
              <w:rPr>
                <w:lang w:val="fr-FR"/>
              </w:rPr>
              <w:t>/</w:t>
            </w:r>
            <w:r w:rsidRPr="001455DC">
              <w:rPr>
                <w:rStyle w:val="CCMCvariableitalic"/>
                <w:lang w:val="fr-FR"/>
              </w:rPr>
              <w:t>E</w:t>
            </w:r>
            <w:r w:rsidRPr="001455DC">
              <w:rPr>
                <w:rStyle w:val="CCMCvariablesubscript"/>
                <w:lang w:val="fr-FR"/>
              </w:rPr>
              <w:t>c</w:t>
            </w:r>
            <w:r w:rsidRPr="001455DC">
              <w:rPr>
                <w:lang w:val="fr-FR"/>
              </w:rPr>
              <w:t>)</w:t>
            </w:r>
          </w:p>
        </w:tc>
        <w:tc>
          <w:tcPr>
            <w:tcW w:w="1247" w:type="dxa"/>
            <w:vAlign w:val="center"/>
          </w:tcPr>
          <w:p w14:paraId="3D9C5423" w14:textId="0AE4C9BA" w:rsidR="00CE50EE" w:rsidRPr="001455DC" w:rsidRDefault="00CE50EE" w:rsidP="00CE50EE">
            <w:pPr>
              <w:pStyle w:val="a7"/>
              <w:jc w:val="right"/>
            </w:pPr>
            <w:r w:rsidRPr="001455DC">
              <w:t>(5.2)</w:t>
            </w:r>
          </w:p>
        </w:tc>
      </w:tr>
    </w:tbl>
    <w:p w14:paraId="778B5225" w14:textId="77777777" w:rsidR="00CE50EE" w:rsidRPr="001455DC" w:rsidRDefault="004E22C1" w:rsidP="00A35599">
      <w:pPr>
        <w:pStyle w:val="a7"/>
        <w:keepNext/>
      </w:pPr>
      <w:r w:rsidRPr="001455DC">
        <w:t>where</w:t>
      </w:r>
    </w:p>
    <w:p w14:paraId="0C2721A8" w14:textId="5499A677" w:rsidR="004E22C1" w:rsidRPr="001455DC" w:rsidRDefault="004E22C1" w:rsidP="008E6252">
      <w:pPr>
        <w:pStyle w:val="a7"/>
      </w:pPr>
      <w:r w:rsidRPr="001455DC">
        <w:rPr>
          <w:rStyle w:val="CCMCvariableitalic"/>
        </w:rPr>
        <w:t>E</w:t>
      </w:r>
      <w:r w:rsidRPr="001455DC">
        <w:rPr>
          <w:rStyle w:val="CCMCvariablesubscript"/>
        </w:rPr>
        <w:t>c</w:t>
      </w:r>
      <w:r w:rsidRPr="001455DC">
        <w:t xml:space="preserve"> is the tangent modulus of elasticity, which may be taken as 1,05</w:t>
      </w:r>
      <w:r w:rsidRPr="001455DC">
        <w:rPr>
          <w:rStyle w:val="CCMCvariableitalic"/>
        </w:rPr>
        <w:t>E</w:t>
      </w:r>
      <w:r w:rsidRPr="001455DC">
        <w:rPr>
          <w:rStyle w:val="CCMCvariablesubscript"/>
        </w:rPr>
        <w:t>cm</w:t>
      </w:r>
      <w:r w:rsidR="00B32CBB" w:rsidRPr="001455DC">
        <w:rPr>
          <w:rStyle w:val="CCMCvariablesubscript"/>
        </w:rPr>
        <w:t xml:space="preserve"> </w:t>
      </w:r>
      <w:r w:rsidR="00B32CBB" w:rsidRPr="009D3012">
        <w:t xml:space="preserve">or </w:t>
      </w:r>
      <w:r w:rsidR="00B32CBB" w:rsidRPr="001455DC">
        <w:t xml:space="preserve">calculated more accurately from </w:t>
      </w:r>
      <w:r w:rsidR="004B62E7">
        <w:t>Formula</w:t>
      </w:r>
      <w:r w:rsidR="00B32CBB" w:rsidRPr="001455DC">
        <w:t xml:space="preserve"> (B.21)</w:t>
      </w:r>
      <w:r w:rsidRPr="001455DC">
        <w:t>.</w:t>
      </w:r>
    </w:p>
    <w:p w14:paraId="5442E500" w14:textId="3C8B08BE" w:rsidR="004E22C1" w:rsidRPr="001455DC" w:rsidRDefault="004E22C1" w:rsidP="00CE50EE">
      <w:pPr>
        <w:pStyle w:val="Note"/>
      </w:pPr>
      <w:r w:rsidRPr="001455DC">
        <w:rPr>
          <w:bCs/>
          <w:szCs w:val="19"/>
        </w:rPr>
        <w:t>NOTE</w:t>
      </w:r>
      <w:r w:rsidR="004B62E7">
        <w:rPr>
          <w:bCs/>
          <w:szCs w:val="19"/>
        </w:rPr>
        <w:t xml:space="preserve"> </w:t>
      </w:r>
      <w:r w:rsidRPr="001455DC">
        <w:rPr>
          <w:bCs/>
          <w:szCs w:val="19"/>
        </w:rPr>
        <w:tab/>
      </w:r>
      <w:r w:rsidRPr="001455DC">
        <w:t>Creep and shrinkage of the concrete depend on the ambient humidity, the dimensions of the element, the composition of the concrete and curing conditions. Creep is also influenced by the maturity of the concrete when the load is first applied and depends on the duration and magnitude of the loading.</w:t>
      </w:r>
    </w:p>
    <w:p w14:paraId="255808F8" w14:textId="0E094CF5" w:rsidR="004E22C1" w:rsidRPr="001455DC" w:rsidRDefault="004E22C1" w:rsidP="00CE50EE">
      <w:pPr>
        <w:pStyle w:val="a7"/>
        <w:rPr>
          <w:szCs w:val="22"/>
          <w:lang w:eastAsia="de-CH"/>
        </w:rPr>
      </w:pPr>
      <w:r w:rsidRPr="001455DC">
        <w:t>(2)</w:t>
      </w:r>
      <w:r w:rsidRPr="001455DC">
        <w:tab/>
        <w:t xml:space="preserve">If the compressive stress of concrete at an age </w:t>
      </w:r>
      <w:r w:rsidRPr="001455DC">
        <w:rPr>
          <w:rStyle w:val="CCMCvariableitalic"/>
        </w:rPr>
        <w:t>t</w:t>
      </w:r>
      <w:r w:rsidRPr="001455DC">
        <w:rPr>
          <w:rStyle w:val="CCMCvariablesubscript"/>
        </w:rPr>
        <w:t>0</w:t>
      </w:r>
      <w:r w:rsidRPr="001455DC">
        <w:t xml:space="preserve"> does not exceed 0,40</w:t>
      </w:r>
      <w:r w:rsidRPr="001455DC">
        <w:rPr>
          <w:rStyle w:val="CCMCvariableitalic"/>
        </w:rPr>
        <w:t>f</w:t>
      </w:r>
      <w:r w:rsidRPr="001455DC">
        <w:rPr>
          <w:rStyle w:val="CCMCvariablesubscript"/>
        </w:rPr>
        <w:t>cm</w:t>
      </w:r>
      <w:r w:rsidRPr="001455DC">
        <w:t>(</w:t>
      </w:r>
      <w:r w:rsidRPr="001455DC">
        <w:rPr>
          <w:rStyle w:val="CCMCvariableitalic"/>
        </w:rPr>
        <w:t>t</w:t>
      </w:r>
      <w:r w:rsidRPr="001455DC">
        <w:rPr>
          <w:rStyle w:val="CCMCvariablesubscript"/>
        </w:rPr>
        <w:t>0</w:t>
      </w:r>
      <w:r w:rsidRPr="001455DC">
        <w:t>) under the quasi-permanent combination of actions</w:t>
      </w:r>
      <w:r w:rsidRPr="001455DC">
        <w:rPr>
          <w:lang w:eastAsia="de-CH"/>
        </w:rPr>
        <w:t xml:space="preserve"> and</w:t>
      </w:r>
      <w:r w:rsidRPr="001455DC">
        <w:rPr>
          <w:szCs w:val="22"/>
          <w:lang w:eastAsia="de-CH"/>
        </w:rPr>
        <w:t xml:space="preserve"> </w:t>
      </w:r>
      <w:r w:rsidRPr="001455DC">
        <w:t xml:space="preserve">where great accuracy is not required, the values found from Table 5.2 may be considered as the creep coefficient </w:t>
      </w:r>
      <w:r w:rsidRPr="001455DC">
        <w:rPr>
          <w:rStyle w:val="CCMCvariableitalic"/>
        </w:rPr>
        <w:t>φ</w:t>
      </w:r>
      <w:r w:rsidRPr="001455DC">
        <w:t>(50y,</w:t>
      </w:r>
      <w:r w:rsidRPr="001455DC">
        <w:rPr>
          <w:rStyle w:val="CCMCvariableitalic"/>
        </w:rPr>
        <w:t>t</w:t>
      </w:r>
      <w:r w:rsidRPr="001455DC">
        <w:rPr>
          <w:rStyle w:val="CCMCvariablesubscript"/>
        </w:rPr>
        <w:t>0</w:t>
      </w:r>
      <w:r w:rsidRPr="001455DC">
        <w:t>) for plain concrete. Where a more accurate creep prediction is required, Annex B should be used.</w:t>
      </w:r>
    </w:p>
    <w:p w14:paraId="3D5CCF03" w14:textId="3FAD9622" w:rsidR="004E22C1" w:rsidRPr="001455DC" w:rsidRDefault="004E22C1" w:rsidP="00CE50EE">
      <w:pPr>
        <w:pStyle w:val="Note"/>
      </w:pPr>
      <w:r w:rsidRPr="001455DC">
        <w:rPr>
          <w:bCs/>
        </w:rPr>
        <w:t>NOTE</w:t>
      </w:r>
      <w:r w:rsidR="004B62E7">
        <w:rPr>
          <w:bCs/>
        </w:rPr>
        <w:t xml:space="preserve"> </w:t>
      </w:r>
      <w:r w:rsidRPr="001455DC">
        <w:rPr>
          <w:bCs/>
        </w:rPr>
        <w:tab/>
      </w:r>
      <w:r w:rsidRPr="001455DC">
        <w:t>Annex B provides further information and guidance, including the development of the modulus of elasticity with time and the development of creep with time.</w:t>
      </w:r>
    </w:p>
    <w:p w14:paraId="2C7E736B" w14:textId="77777777" w:rsidR="004E22C1" w:rsidRPr="001455DC" w:rsidRDefault="004E22C1" w:rsidP="00CE50EE">
      <w:pPr>
        <w:pStyle w:val="Tabletitle"/>
      </w:pPr>
      <w:bookmarkStart w:id="257" w:name="_Toc54337300"/>
      <w:r w:rsidRPr="001455DC">
        <w:t xml:space="preserve">Table 5.2 — Creep coefficient </w:t>
      </w:r>
      <w:r w:rsidRPr="001455DC">
        <w:rPr>
          <w:rStyle w:val="CCMCvariableitalic"/>
        </w:rPr>
        <w:t>φ</w:t>
      </w:r>
      <w:r w:rsidRPr="001455DC">
        <w:t>(50y,</w:t>
      </w:r>
      <w:r w:rsidRPr="001455DC">
        <w:rPr>
          <w:rStyle w:val="CCMCvariableitalic"/>
        </w:rPr>
        <w:t>t</w:t>
      </w:r>
      <w:r w:rsidRPr="001455DC">
        <w:rPr>
          <w:rStyle w:val="CCMCvariablesubscript"/>
        </w:rPr>
        <w:t>0</w:t>
      </w:r>
      <w:r w:rsidRPr="001455DC">
        <w:t>) of plain concrete after 50 years of loading</w:t>
      </w:r>
      <w:bookmarkEnd w:id="257"/>
    </w:p>
    <w:tbl>
      <w:tblPr>
        <w:tblStyle w:val="53"/>
        <w:tblW w:w="9752" w:type="dxa"/>
        <w:tblLayout w:type="fixed"/>
        <w:tblLook w:val="0660" w:firstRow="1" w:lastRow="1" w:firstColumn="0" w:lastColumn="0" w:noHBand="1" w:noVBand="1"/>
      </w:tblPr>
      <w:tblGrid>
        <w:gridCol w:w="886"/>
        <w:gridCol w:w="886"/>
        <w:gridCol w:w="886"/>
        <w:gridCol w:w="886"/>
        <w:gridCol w:w="886"/>
        <w:gridCol w:w="887"/>
        <w:gridCol w:w="887"/>
        <w:gridCol w:w="887"/>
        <w:gridCol w:w="887"/>
        <w:gridCol w:w="887"/>
        <w:gridCol w:w="887"/>
      </w:tblGrid>
      <w:tr w:rsidR="00173A84" w:rsidRPr="001455DC" w14:paraId="0CAE20DF" w14:textId="77777777" w:rsidTr="00173A84">
        <w:trPr>
          <w:cnfStyle w:val="100000000000" w:firstRow="1" w:lastRow="0" w:firstColumn="0" w:lastColumn="0" w:oddVBand="0" w:evenVBand="0" w:oddHBand="0" w:evenHBand="0" w:firstRowFirstColumn="0" w:firstRowLastColumn="0" w:lastRowFirstColumn="0" w:lastRowLastColumn="0"/>
          <w:cantSplit/>
          <w:trHeight w:val="214"/>
          <w:tblHeader/>
        </w:trPr>
        <w:tc>
          <w:tcPr>
            <w:tcW w:w="2658" w:type="dxa"/>
            <w:gridSpan w:val="3"/>
            <w:tcBorders>
              <w:bottom w:val="nil"/>
            </w:tcBorders>
            <w:hideMark/>
          </w:tcPr>
          <w:p w14:paraId="7AF95962" w14:textId="342429C7" w:rsidR="00173A84" w:rsidRPr="001455DC" w:rsidRDefault="00173A84" w:rsidP="00173A84">
            <w:pPr>
              <w:pStyle w:val="Tableheader"/>
              <w:keepNext/>
            </w:pPr>
            <w:r w:rsidRPr="001455DC">
              <w:t>Age at loading</w:t>
            </w:r>
          </w:p>
        </w:tc>
        <w:tc>
          <w:tcPr>
            <w:tcW w:w="3546" w:type="dxa"/>
            <w:gridSpan w:val="4"/>
            <w:vMerge w:val="restart"/>
            <w:tcBorders>
              <w:bottom w:val="nil"/>
            </w:tcBorders>
          </w:tcPr>
          <w:p w14:paraId="1B7986F8" w14:textId="2B235E3D" w:rsidR="00173A84" w:rsidRPr="001455DC" w:rsidRDefault="00173A84" w:rsidP="00173A84">
            <w:pPr>
              <w:pStyle w:val="Tableheader"/>
              <w:keepNext/>
            </w:pPr>
            <w:r w:rsidRPr="001455DC">
              <w:t xml:space="preserve">Dry atmospheric conditions </w:t>
            </w:r>
            <w:r w:rsidRPr="001455DC">
              <w:rPr>
                <w:bCs/>
              </w:rPr>
              <w:t>(</w:t>
            </w:r>
            <w:r w:rsidRPr="001455DC">
              <w:rPr>
                <w:rStyle w:val="CCMCvariableitalic"/>
                <w:bCs/>
              </w:rPr>
              <w:t>RH</w:t>
            </w:r>
            <w:r w:rsidRPr="001455DC">
              <w:rPr>
                <w:bCs/>
              </w:rPr>
              <w:t> </w:t>
            </w:r>
            <w:r w:rsidR="00EC27D2" w:rsidRPr="001455DC">
              <w:rPr>
                <w:rFonts w:ascii="Cambria Math" w:hAnsi="Cambria Math"/>
                <w:bCs/>
              </w:rPr>
              <w:t>=</w:t>
            </w:r>
            <w:r w:rsidRPr="001455DC">
              <w:rPr>
                <w:bCs/>
              </w:rPr>
              <w:t> 50 %)</w:t>
            </w:r>
          </w:p>
        </w:tc>
        <w:tc>
          <w:tcPr>
            <w:tcW w:w="3548" w:type="dxa"/>
            <w:gridSpan w:val="4"/>
            <w:vMerge w:val="restart"/>
            <w:tcBorders>
              <w:bottom w:val="nil"/>
            </w:tcBorders>
          </w:tcPr>
          <w:p w14:paraId="27914FC6" w14:textId="500906C7" w:rsidR="00173A84" w:rsidRPr="001455DC" w:rsidRDefault="00173A84" w:rsidP="00173A84">
            <w:pPr>
              <w:pStyle w:val="Tableheader"/>
              <w:keepNext/>
            </w:pPr>
            <w:r w:rsidRPr="001455DC">
              <w:t xml:space="preserve">Humid atmospheric conditions </w:t>
            </w:r>
            <w:r w:rsidRPr="001455DC">
              <w:rPr>
                <w:bCs/>
              </w:rPr>
              <w:t>(</w:t>
            </w:r>
            <w:r w:rsidRPr="001455DC">
              <w:rPr>
                <w:rStyle w:val="CCMCvariableitalic"/>
                <w:bCs/>
              </w:rPr>
              <w:t>RH</w:t>
            </w:r>
            <w:r w:rsidRPr="001455DC">
              <w:rPr>
                <w:bCs/>
              </w:rPr>
              <w:t> </w:t>
            </w:r>
            <w:r w:rsidR="00EC27D2" w:rsidRPr="001455DC">
              <w:rPr>
                <w:rFonts w:ascii="Cambria Math" w:hAnsi="Cambria Math"/>
                <w:bCs/>
              </w:rPr>
              <w:t>=</w:t>
            </w:r>
            <w:r w:rsidRPr="001455DC">
              <w:rPr>
                <w:bCs/>
              </w:rPr>
              <w:t> 80 %)</w:t>
            </w:r>
          </w:p>
        </w:tc>
      </w:tr>
      <w:tr w:rsidR="00173A84" w:rsidRPr="001455DC" w14:paraId="464FC2C5" w14:textId="77777777" w:rsidTr="00173A84">
        <w:trPr>
          <w:cnfStyle w:val="100000000000" w:firstRow="1" w:lastRow="0" w:firstColumn="0" w:lastColumn="0" w:oddVBand="0" w:evenVBand="0" w:oddHBand="0" w:evenHBand="0" w:firstRowFirstColumn="0" w:firstRowLastColumn="0" w:lastRowFirstColumn="0" w:lastRowLastColumn="0"/>
          <w:cantSplit/>
          <w:trHeight w:val="214"/>
          <w:tblHeader/>
        </w:trPr>
        <w:tc>
          <w:tcPr>
            <w:tcW w:w="2658" w:type="dxa"/>
            <w:gridSpan w:val="3"/>
            <w:tcBorders>
              <w:top w:val="nil"/>
              <w:bottom w:val="nil"/>
            </w:tcBorders>
          </w:tcPr>
          <w:p w14:paraId="11206EDD" w14:textId="702AACE1" w:rsidR="00173A84" w:rsidRPr="001455DC" w:rsidRDefault="00173A84" w:rsidP="00173A84">
            <w:pPr>
              <w:pStyle w:val="Tableheader"/>
              <w:keepNext/>
            </w:pPr>
            <w:r w:rsidRPr="001455DC">
              <w:rPr>
                <w:rStyle w:val="CCMCvariableitalic"/>
              </w:rPr>
              <w:t>t</w:t>
            </w:r>
            <w:r w:rsidRPr="001455DC">
              <w:rPr>
                <w:rStyle w:val="CCMCvariablesubscript"/>
              </w:rPr>
              <w:t>0</w:t>
            </w:r>
          </w:p>
        </w:tc>
        <w:tc>
          <w:tcPr>
            <w:tcW w:w="3546" w:type="dxa"/>
            <w:gridSpan w:val="4"/>
            <w:vMerge/>
            <w:tcBorders>
              <w:top w:val="nil"/>
            </w:tcBorders>
          </w:tcPr>
          <w:p w14:paraId="2449D7E0" w14:textId="77777777" w:rsidR="00173A84" w:rsidRPr="001455DC" w:rsidRDefault="00173A84" w:rsidP="00173A84">
            <w:pPr>
              <w:pStyle w:val="Tableheader"/>
              <w:keepNext/>
            </w:pPr>
          </w:p>
        </w:tc>
        <w:tc>
          <w:tcPr>
            <w:tcW w:w="3548" w:type="dxa"/>
            <w:gridSpan w:val="4"/>
            <w:vMerge/>
            <w:tcBorders>
              <w:top w:val="nil"/>
            </w:tcBorders>
          </w:tcPr>
          <w:p w14:paraId="3FEB70B6" w14:textId="77777777" w:rsidR="00173A84" w:rsidRPr="001455DC" w:rsidRDefault="00173A84" w:rsidP="00173A84">
            <w:pPr>
              <w:pStyle w:val="Tableheader"/>
              <w:keepNext/>
            </w:pPr>
          </w:p>
        </w:tc>
      </w:tr>
      <w:tr w:rsidR="00173A84" w:rsidRPr="001455DC" w14:paraId="6CE5BB66" w14:textId="77777777" w:rsidTr="00173A84">
        <w:trPr>
          <w:cnfStyle w:val="100000000000" w:firstRow="1" w:lastRow="0" w:firstColumn="0" w:lastColumn="0" w:oddVBand="0" w:evenVBand="0" w:oddHBand="0" w:evenHBand="0" w:firstRowFirstColumn="0" w:firstRowLastColumn="0" w:lastRowFirstColumn="0" w:lastRowLastColumn="0"/>
          <w:cantSplit/>
          <w:tblHeader/>
        </w:trPr>
        <w:tc>
          <w:tcPr>
            <w:tcW w:w="2658" w:type="dxa"/>
            <w:gridSpan w:val="3"/>
            <w:tcBorders>
              <w:top w:val="nil"/>
              <w:bottom w:val="nil"/>
            </w:tcBorders>
          </w:tcPr>
          <w:p w14:paraId="2EA26346" w14:textId="5C315F27" w:rsidR="00173A84" w:rsidRPr="001455DC" w:rsidRDefault="00173A84" w:rsidP="00173A84">
            <w:pPr>
              <w:pStyle w:val="Tableheader"/>
              <w:keepNext/>
              <w:rPr>
                <w:bCs/>
              </w:rPr>
            </w:pPr>
            <w:r w:rsidRPr="001455DC">
              <w:rPr>
                <w:bCs/>
              </w:rPr>
              <w:t>[d]</w:t>
            </w:r>
          </w:p>
        </w:tc>
        <w:tc>
          <w:tcPr>
            <w:tcW w:w="3546" w:type="dxa"/>
            <w:gridSpan w:val="4"/>
            <w:tcBorders>
              <w:bottom w:val="nil"/>
            </w:tcBorders>
          </w:tcPr>
          <w:p w14:paraId="26C74102" w14:textId="07895CB7" w:rsidR="00173A84" w:rsidRPr="001455DC" w:rsidRDefault="00173A84" w:rsidP="00173A84">
            <w:pPr>
              <w:pStyle w:val="Tableheader"/>
              <w:keepNext/>
              <w:rPr>
                <w:bCs/>
              </w:rPr>
            </w:pPr>
            <w:r w:rsidRPr="001455DC">
              <w:rPr>
                <w:rStyle w:val="CCMCvariableitalic"/>
                <w:bCs/>
              </w:rPr>
              <w:t>h</w:t>
            </w:r>
            <w:r w:rsidRPr="001455DC">
              <w:rPr>
                <w:rStyle w:val="CCMCvariablesubscript"/>
                <w:bCs/>
              </w:rPr>
              <w:t>n</w:t>
            </w:r>
            <w:r w:rsidRPr="001455DC">
              <w:rPr>
                <w:rStyle w:val="CCMCvariablesuperscript"/>
                <w:b w:val="0"/>
              </w:rPr>
              <w:t>b</w:t>
            </w:r>
          </w:p>
        </w:tc>
        <w:tc>
          <w:tcPr>
            <w:tcW w:w="3548" w:type="dxa"/>
            <w:gridSpan w:val="4"/>
            <w:tcBorders>
              <w:bottom w:val="nil"/>
            </w:tcBorders>
          </w:tcPr>
          <w:p w14:paraId="4515B5A1" w14:textId="35D1C927" w:rsidR="00173A84" w:rsidRPr="001455DC" w:rsidRDefault="00173A84" w:rsidP="00173A84">
            <w:pPr>
              <w:pStyle w:val="Tableheader"/>
              <w:keepNext/>
              <w:rPr>
                <w:bCs/>
              </w:rPr>
            </w:pPr>
            <w:r w:rsidRPr="001455DC">
              <w:rPr>
                <w:rStyle w:val="CCMCvariableitalic"/>
                <w:bCs/>
              </w:rPr>
              <w:t>h</w:t>
            </w:r>
            <w:r w:rsidRPr="001455DC">
              <w:rPr>
                <w:rStyle w:val="CCMCvariablesubscript"/>
                <w:bCs/>
              </w:rPr>
              <w:t>n</w:t>
            </w:r>
            <w:r w:rsidRPr="001455DC">
              <w:rPr>
                <w:rStyle w:val="CCMCvariablesuperscript"/>
                <w:b w:val="0"/>
              </w:rPr>
              <w:t>b</w:t>
            </w:r>
          </w:p>
        </w:tc>
      </w:tr>
      <w:tr w:rsidR="00173A84" w:rsidRPr="001455DC" w14:paraId="441B8BD2" w14:textId="77777777" w:rsidTr="00173A84">
        <w:trPr>
          <w:cnfStyle w:val="100000000000" w:firstRow="1" w:lastRow="0" w:firstColumn="0" w:lastColumn="0" w:oddVBand="0" w:evenVBand="0" w:oddHBand="0" w:evenHBand="0" w:firstRowFirstColumn="0" w:firstRowLastColumn="0" w:lastRowFirstColumn="0" w:lastRowLastColumn="0"/>
          <w:cantSplit/>
          <w:tblHeader/>
        </w:trPr>
        <w:tc>
          <w:tcPr>
            <w:tcW w:w="2658" w:type="dxa"/>
            <w:gridSpan w:val="3"/>
            <w:tcBorders>
              <w:top w:val="nil"/>
              <w:bottom w:val="nil"/>
            </w:tcBorders>
            <w:noWrap/>
            <w:hideMark/>
          </w:tcPr>
          <w:p w14:paraId="0F2FB87F" w14:textId="057CBB1D" w:rsidR="00173A84" w:rsidRPr="009D3012" w:rsidRDefault="00173A84" w:rsidP="00173A84">
            <w:pPr>
              <w:pStyle w:val="Tableheader"/>
              <w:keepNext/>
              <w:rPr>
                <w:b w:val="0"/>
                <w:lang w:val="en-US"/>
              </w:rPr>
            </w:pPr>
            <w:r w:rsidRPr="009D3012">
              <w:rPr>
                <w:lang w:val="en-US"/>
              </w:rPr>
              <w:t>for strength development classes of concrete</w:t>
            </w:r>
            <w:r w:rsidRPr="009D3012">
              <w:rPr>
                <w:rStyle w:val="CCMCvariablesuperscript"/>
                <w:b w:val="0"/>
                <w:bCs/>
                <w:lang w:val="en-US"/>
              </w:rPr>
              <w:t>a</w:t>
            </w:r>
          </w:p>
        </w:tc>
        <w:tc>
          <w:tcPr>
            <w:tcW w:w="3546" w:type="dxa"/>
            <w:gridSpan w:val="4"/>
            <w:tcBorders>
              <w:top w:val="nil"/>
              <w:bottom w:val="nil"/>
            </w:tcBorders>
          </w:tcPr>
          <w:p w14:paraId="34C59D6E" w14:textId="52AD0C0B" w:rsidR="00173A84" w:rsidRPr="001455DC" w:rsidRDefault="00173A84" w:rsidP="00173A84">
            <w:pPr>
              <w:pStyle w:val="Tableheader"/>
              <w:keepNext/>
              <w:rPr>
                <w:bCs/>
                <w:sz w:val="19"/>
                <w:szCs w:val="19"/>
              </w:rPr>
            </w:pPr>
            <w:r w:rsidRPr="001455DC">
              <w:rPr>
                <w:bCs/>
              </w:rPr>
              <w:t>[mm]</w:t>
            </w:r>
          </w:p>
        </w:tc>
        <w:tc>
          <w:tcPr>
            <w:tcW w:w="3548" w:type="dxa"/>
            <w:gridSpan w:val="4"/>
            <w:tcBorders>
              <w:top w:val="nil"/>
              <w:bottom w:val="nil"/>
            </w:tcBorders>
          </w:tcPr>
          <w:p w14:paraId="1C354EC5" w14:textId="0E33B5D9" w:rsidR="00173A84" w:rsidRPr="001455DC" w:rsidRDefault="00173A84" w:rsidP="00173A84">
            <w:pPr>
              <w:pStyle w:val="Tableheader"/>
              <w:keepNext/>
              <w:rPr>
                <w:bCs/>
              </w:rPr>
            </w:pPr>
            <w:r w:rsidRPr="001455DC">
              <w:rPr>
                <w:bCs/>
              </w:rPr>
              <w:t>[mm]</w:t>
            </w:r>
          </w:p>
        </w:tc>
      </w:tr>
      <w:tr w:rsidR="004E22C1" w:rsidRPr="001455DC" w14:paraId="143E3944" w14:textId="77777777" w:rsidTr="00173A84">
        <w:trPr>
          <w:cnfStyle w:val="100000000000" w:firstRow="1" w:lastRow="0" w:firstColumn="0" w:lastColumn="0" w:oddVBand="0" w:evenVBand="0" w:oddHBand="0" w:evenHBand="0" w:firstRowFirstColumn="0" w:firstRowLastColumn="0" w:lastRowFirstColumn="0" w:lastRowLastColumn="0"/>
          <w:cantSplit/>
          <w:tblHeader/>
        </w:trPr>
        <w:tc>
          <w:tcPr>
            <w:tcW w:w="886" w:type="dxa"/>
            <w:tcBorders>
              <w:top w:val="nil"/>
            </w:tcBorders>
            <w:noWrap/>
            <w:hideMark/>
          </w:tcPr>
          <w:p w14:paraId="6FCFD03A" w14:textId="77777777" w:rsidR="004E22C1" w:rsidRPr="001455DC" w:rsidRDefault="004E22C1" w:rsidP="00173A84">
            <w:pPr>
              <w:pStyle w:val="Tableheader"/>
              <w:keepNext/>
            </w:pPr>
            <w:r w:rsidRPr="001455DC">
              <w:t>CS</w:t>
            </w:r>
          </w:p>
        </w:tc>
        <w:tc>
          <w:tcPr>
            <w:tcW w:w="886" w:type="dxa"/>
            <w:tcBorders>
              <w:top w:val="nil"/>
            </w:tcBorders>
          </w:tcPr>
          <w:p w14:paraId="12743237" w14:textId="77777777" w:rsidR="004E22C1" w:rsidRPr="001455DC" w:rsidRDefault="004E22C1" w:rsidP="00173A84">
            <w:pPr>
              <w:pStyle w:val="Tableheader"/>
              <w:keepNext/>
            </w:pPr>
            <w:r w:rsidRPr="001455DC">
              <w:t>CN</w:t>
            </w:r>
          </w:p>
        </w:tc>
        <w:tc>
          <w:tcPr>
            <w:tcW w:w="886" w:type="dxa"/>
            <w:tcBorders>
              <w:top w:val="nil"/>
            </w:tcBorders>
          </w:tcPr>
          <w:p w14:paraId="0EB72640" w14:textId="77777777" w:rsidR="004E22C1" w:rsidRPr="001455DC" w:rsidRDefault="004E22C1" w:rsidP="00173A84">
            <w:pPr>
              <w:pStyle w:val="Tableheader"/>
              <w:keepNext/>
            </w:pPr>
            <w:r w:rsidRPr="001455DC">
              <w:t>CR</w:t>
            </w:r>
          </w:p>
        </w:tc>
        <w:tc>
          <w:tcPr>
            <w:tcW w:w="886" w:type="dxa"/>
            <w:tcBorders>
              <w:top w:val="nil"/>
            </w:tcBorders>
          </w:tcPr>
          <w:p w14:paraId="2343168E" w14:textId="77777777" w:rsidR="004E22C1" w:rsidRPr="001455DC" w:rsidRDefault="004E22C1" w:rsidP="00173A84">
            <w:pPr>
              <w:pStyle w:val="Tableheader"/>
              <w:keepNext/>
            </w:pPr>
            <w:r w:rsidRPr="001455DC">
              <w:t>100</w:t>
            </w:r>
          </w:p>
        </w:tc>
        <w:tc>
          <w:tcPr>
            <w:tcW w:w="886" w:type="dxa"/>
            <w:tcBorders>
              <w:top w:val="nil"/>
            </w:tcBorders>
            <w:noWrap/>
            <w:hideMark/>
          </w:tcPr>
          <w:p w14:paraId="5FC50CFE" w14:textId="77777777" w:rsidR="004E22C1" w:rsidRPr="001455DC" w:rsidRDefault="004E22C1" w:rsidP="00173A84">
            <w:pPr>
              <w:pStyle w:val="Tableheader"/>
              <w:keepNext/>
            </w:pPr>
            <w:r w:rsidRPr="001455DC">
              <w:t>200</w:t>
            </w:r>
          </w:p>
        </w:tc>
        <w:tc>
          <w:tcPr>
            <w:tcW w:w="887" w:type="dxa"/>
            <w:tcBorders>
              <w:top w:val="nil"/>
            </w:tcBorders>
            <w:noWrap/>
            <w:hideMark/>
          </w:tcPr>
          <w:p w14:paraId="25904A16" w14:textId="77777777" w:rsidR="004E22C1" w:rsidRPr="001455DC" w:rsidRDefault="004E22C1" w:rsidP="00173A84">
            <w:pPr>
              <w:pStyle w:val="Tableheader"/>
              <w:keepNext/>
            </w:pPr>
            <w:r w:rsidRPr="001455DC">
              <w:t>500</w:t>
            </w:r>
          </w:p>
        </w:tc>
        <w:tc>
          <w:tcPr>
            <w:tcW w:w="887" w:type="dxa"/>
            <w:tcBorders>
              <w:top w:val="nil"/>
            </w:tcBorders>
            <w:noWrap/>
            <w:hideMark/>
          </w:tcPr>
          <w:p w14:paraId="2B76F15B" w14:textId="572BF4E5" w:rsidR="004E22C1" w:rsidRPr="001455DC" w:rsidRDefault="004E22C1" w:rsidP="00173A84">
            <w:pPr>
              <w:pStyle w:val="Tableheader"/>
              <w:keepNext/>
            </w:pPr>
            <w:r w:rsidRPr="001455DC">
              <w:t>1</w:t>
            </w:r>
            <w:r w:rsidR="00173A84" w:rsidRPr="001455DC">
              <w:t> </w:t>
            </w:r>
            <w:r w:rsidRPr="001455DC">
              <w:t>000</w:t>
            </w:r>
          </w:p>
        </w:tc>
        <w:tc>
          <w:tcPr>
            <w:tcW w:w="887" w:type="dxa"/>
            <w:tcBorders>
              <w:top w:val="nil"/>
            </w:tcBorders>
          </w:tcPr>
          <w:p w14:paraId="0D15EEDA" w14:textId="77777777" w:rsidR="004E22C1" w:rsidRPr="001455DC" w:rsidRDefault="004E22C1" w:rsidP="00173A84">
            <w:pPr>
              <w:pStyle w:val="Tableheader"/>
              <w:keepNext/>
            </w:pPr>
            <w:r w:rsidRPr="001455DC">
              <w:t>100</w:t>
            </w:r>
          </w:p>
        </w:tc>
        <w:tc>
          <w:tcPr>
            <w:tcW w:w="887" w:type="dxa"/>
            <w:tcBorders>
              <w:top w:val="nil"/>
            </w:tcBorders>
            <w:noWrap/>
            <w:hideMark/>
          </w:tcPr>
          <w:p w14:paraId="1D78DCEA" w14:textId="77777777" w:rsidR="004E22C1" w:rsidRPr="001455DC" w:rsidRDefault="004E22C1" w:rsidP="00173A84">
            <w:pPr>
              <w:pStyle w:val="Tableheader"/>
              <w:keepNext/>
            </w:pPr>
            <w:r w:rsidRPr="001455DC">
              <w:t>200</w:t>
            </w:r>
          </w:p>
        </w:tc>
        <w:tc>
          <w:tcPr>
            <w:tcW w:w="887" w:type="dxa"/>
            <w:tcBorders>
              <w:top w:val="nil"/>
            </w:tcBorders>
            <w:noWrap/>
            <w:hideMark/>
          </w:tcPr>
          <w:p w14:paraId="40BFCDEE" w14:textId="77777777" w:rsidR="004E22C1" w:rsidRPr="001455DC" w:rsidRDefault="004E22C1" w:rsidP="00173A84">
            <w:pPr>
              <w:pStyle w:val="Tableheader"/>
              <w:keepNext/>
            </w:pPr>
            <w:r w:rsidRPr="001455DC">
              <w:t>500</w:t>
            </w:r>
          </w:p>
        </w:tc>
        <w:tc>
          <w:tcPr>
            <w:tcW w:w="887" w:type="dxa"/>
            <w:tcBorders>
              <w:top w:val="nil"/>
            </w:tcBorders>
            <w:noWrap/>
            <w:hideMark/>
          </w:tcPr>
          <w:p w14:paraId="194C03E5" w14:textId="1774B0F7" w:rsidR="004E22C1" w:rsidRPr="001455DC" w:rsidRDefault="004E22C1" w:rsidP="00173A84">
            <w:pPr>
              <w:pStyle w:val="Tableheader"/>
              <w:keepNext/>
            </w:pPr>
            <w:r w:rsidRPr="001455DC">
              <w:t>1</w:t>
            </w:r>
            <w:r w:rsidR="00DF525A" w:rsidRPr="001455DC">
              <w:t> </w:t>
            </w:r>
            <w:r w:rsidRPr="001455DC">
              <w:t>000</w:t>
            </w:r>
          </w:p>
        </w:tc>
      </w:tr>
      <w:tr w:rsidR="004E22C1" w:rsidRPr="001455DC" w14:paraId="5F6773D2" w14:textId="77777777" w:rsidTr="00173A84">
        <w:trPr>
          <w:cantSplit/>
        </w:trPr>
        <w:tc>
          <w:tcPr>
            <w:tcW w:w="886" w:type="dxa"/>
            <w:noWrap/>
            <w:vAlign w:val="center"/>
            <w:hideMark/>
          </w:tcPr>
          <w:p w14:paraId="3227ADB6" w14:textId="77777777" w:rsidR="004E22C1" w:rsidRPr="001455DC" w:rsidRDefault="004E22C1" w:rsidP="00173A84">
            <w:pPr>
              <w:pStyle w:val="Tablebody"/>
              <w:keepNext/>
              <w:jc w:val="center"/>
              <w:rPr>
                <w:b/>
                <w:bCs/>
              </w:rPr>
            </w:pPr>
            <w:r w:rsidRPr="001455DC">
              <w:rPr>
                <w:b/>
                <w:bCs/>
              </w:rPr>
              <w:t>3</w:t>
            </w:r>
          </w:p>
        </w:tc>
        <w:tc>
          <w:tcPr>
            <w:tcW w:w="886" w:type="dxa"/>
            <w:vAlign w:val="center"/>
          </w:tcPr>
          <w:p w14:paraId="373FE7F3" w14:textId="77777777" w:rsidR="004E22C1" w:rsidRPr="001455DC" w:rsidRDefault="004E22C1" w:rsidP="00173A84">
            <w:pPr>
              <w:pStyle w:val="Tablebody"/>
              <w:keepNext/>
              <w:jc w:val="center"/>
              <w:rPr>
                <w:b/>
                <w:bCs/>
              </w:rPr>
            </w:pPr>
            <w:r w:rsidRPr="001455DC">
              <w:rPr>
                <w:b/>
                <w:bCs/>
              </w:rPr>
              <w:t>1</w:t>
            </w:r>
          </w:p>
        </w:tc>
        <w:tc>
          <w:tcPr>
            <w:tcW w:w="886" w:type="dxa"/>
            <w:vAlign w:val="center"/>
          </w:tcPr>
          <w:p w14:paraId="29B21E09" w14:textId="77777777" w:rsidR="004E22C1" w:rsidRPr="001455DC" w:rsidRDefault="004E22C1" w:rsidP="00173A84">
            <w:pPr>
              <w:pStyle w:val="Tablebody"/>
              <w:keepNext/>
              <w:jc w:val="center"/>
              <w:rPr>
                <w:b/>
                <w:bCs/>
              </w:rPr>
            </w:pPr>
            <w:r w:rsidRPr="001455DC">
              <w:rPr>
                <w:b/>
                <w:bCs/>
              </w:rPr>
              <w:t>1</w:t>
            </w:r>
          </w:p>
        </w:tc>
        <w:tc>
          <w:tcPr>
            <w:tcW w:w="886" w:type="dxa"/>
            <w:vAlign w:val="center"/>
          </w:tcPr>
          <w:p w14:paraId="3137010F" w14:textId="77777777" w:rsidR="004E22C1" w:rsidRPr="001455DC" w:rsidRDefault="004E22C1" w:rsidP="00173A84">
            <w:pPr>
              <w:pStyle w:val="Tablebody"/>
              <w:keepNext/>
              <w:jc w:val="center"/>
            </w:pPr>
            <w:r w:rsidRPr="001455DC">
              <w:t>4,2</w:t>
            </w:r>
          </w:p>
        </w:tc>
        <w:tc>
          <w:tcPr>
            <w:tcW w:w="886" w:type="dxa"/>
            <w:noWrap/>
            <w:vAlign w:val="center"/>
          </w:tcPr>
          <w:p w14:paraId="2630625C" w14:textId="77777777" w:rsidR="004E22C1" w:rsidRPr="001455DC" w:rsidRDefault="004E22C1" w:rsidP="00173A84">
            <w:pPr>
              <w:pStyle w:val="Tablebody"/>
              <w:keepNext/>
              <w:jc w:val="center"/>
            </w:pPr>
            <w:r w:rsidRPr="001455DC">
              <w:t>3,8</w:t>
            </w:r>
          </w:p>
        </w:tc>
        <w:tc>
          <w:tcPr>
            <w:tcW w:w="887" w:type="dxa"/>
            <w:noWrap/>
            <w:vAlign w:val="center"/>
          </w:tcPr>
          <w:p w14:paraId="293A28F5" w14:textId="77777777" w:rsidR="004E22C1" w:rsidRPr="001455DC" w:rsidRDefault="004E22C1" w:rsidP="00173A84">
            <w:pPr>
              <w:pStyle w:val="Tablebody"/>
              <w:keepNext/>
              <w:jc w:val="center"/>
            </w:pPr>
            <w:r w:rsidRPr="001455DC">
              <w:t>3,4</w:t>
            </w:r>
          </w:p>
        </w:tc>
        <w:tc>
          <w:tcPr>
            <w:tcW w:w="887" w:type="dxa"/>
            <w:noWrap/>
            <w:vAlign w:val="center"/>
          </w:tcPr>
          <w:p w14:paraId="3742080F" w14:textId="77777777" w:rsidR="004E22C1" w:rsidRPr="001455DC" w:rsidRDefault="004E22C1" w:rsidP="00173A84">
            <w:pPr>
              <w:pStyle w:val="Tablebody"/>
              <w:keepNext/>
              <w:jc w:val="center"/>
            </w:pPr>
            <w:r w:rsidRPr="001455DC">
              <w:t>3,1</w:t>
            </w:r>
          </w:p>
        </w:tc>
        <w:tc>
          <w:tcPr>
            <w:tcW w:w="887" w:type="dxa"/>
            <w:vAlign w:val="center"/>
          </w:tcPr>
          <w:p w14:paraId="7B3C051B" w14:textId="77777777" w:rsidR="004E22C1" w:rsidRPr="001455DC" w:rsidRDefault="004E22C1" w:rsidP="00173A84">
            <w:pPr>
              <w:pStyle w:val="Tablebody"/>
              <w:keepNext/>
              <w:jc w:val="center"/>
            </w:pPr>
            <w:r w:rsidRPr="001455DC">
              <w:t>3,0</w:t>
            </w:r>
          </w:p>
        </w:tc>
        <w:tc>
          <w:tcPr>
            <w:tcW w:w="887" w:type="dxa"/>
            <w:noWrap/>
            <w:vAlign w:val="center"/>
          </w:tcPr>
          <w:p w14:paraId="489CDEF5" w14:textId="77777777" w:rsidR="004E22C1" w:rsidRPr="001455DC" w:rsidRDefault="004E22C1" w:rsidP="00173A84">
            <w:pPr>
              <w:pStyle w:val="Tablebody"/>
              <w:keepNext/>
              <w:jc w:val="center"/>
            </w:pPr>
            <w:r w:rsidRPr="001455DC">
              <w:t>2,8</w:t>
            </w:r>
          </w:p>
        </w:tc>
        <w:tc>
          <w:tcPr>
            <w:tcW w:w="887" w:type="dxa"/>
            <w:noWrap/>
            <w:vAlign w:val="center"/>
          </w:tcPr>
          <w:p w14:paraId="45224A79" w14:textId="77777777" w:rsidR="004E22C1" w:rsidRPr="001455DC" w:rsidRDefault="004E22C1" w:rsidP="00173A84">
            <w:pPr>
              <w:pStyle w:val="Tablebody"/>
              <w:keepNext/>
              <w:jc w:val="center"/>
            </w:pPr>
            <w:r w:rsidRPr="001455DC">
              <w:t>2,6</w:t>
            </w:r>
          </w:p>
        </w:tc>
        <w:tc>
          <w:tcPr>
            <w:tcW w:w="887" w:type="dxa"/>
            <w:noWrap/>
            <w:vAlign w:val="center"/>
          </w:tcPr>
          <w:p w14:paraId="4F8FEC42" w14:textId="77777777" w:rsidR="004E22C1" w:rsidRPr="001455DC" w:rsidRDefault="004E22C1" w:rsidP="00173A84">
            <w:pPr>
              <w:pStyle w:val="Tablebody"/>
              <w:keepNext/>
              <w:jc w:val="center"/>
            </w:pPr>
            <w:r w:rsidRPr="001455DC">
              <w:t>2,5</w:t>
            </w:r>
          </w:p>
        </w:tc>
      </w:tr>
      <w:tr w:rsidR="004E22C1" w:rsidRPr="001455DC" w14:paraId="119C34AF" w14:textId="77777777" w:rsidTr="00173A84">
        <w:trPr>
          <w:cantSplit/>
        </w:trPr>
        <w:tc>
          <w:tcPr>
            <w:tcW w:w="886" w:type="dxa"/>
            <w:noWrap/>
            <w:vAlign w:val="center"/>
            <w:hideMark/>
          </w:tcPr>
          <w:p w14:paraId="1ED322F2" w14:textId="77777777" w:rsidR="004E22C1" w:rsidRPr="001455DC" w:rsidRDefault="004E22C1" w:rsidP="00173A84">
            <w:pPr>
              <w:pStyle w:val="Tablebody"/>
              <w:keepNext/>
              <w:jc w:val="center"/>
              <w:rPr>
                <w:b/>
                <w:bCs/>
              </w:rPr>
            </w:pPr>
            <w:r w:rsidRPr="001455DC">
              <w:rPr>
                <w:b/>
                <w:bCs/>
              </w:rPr>
              <w:t>10</w:t>
            </w:r>
          </w:p>
        </w:tc>
        <w:tc>
          <w:tcPr>
            <w:tcW w:w="886" w:type="dxa"/>
            <w:vAlign w:val="center"/>
          </w:tcPr>
          <w:p w14:paraId="24F067B8" w14:textId="77777777" w:rsidR="004E22C1" w:rsidRPr="001455DC" w:rsidRDefault="004E22C1" w:rsidP="00173A84">
            <w:pPr>
              <w:pStyle w:val="Tablebody"/>
              <w:keepNext/>
              <w:jc w:val="center"/>
              <w:rPr>
                <w:b/>
                <w:bCs/>
              </w:rPr>
            </w:pPr>
            <w:r w:rsidRPr="001455DC">
              <w:rPr>
                <w:b/>
                <w:bCs/>
              </w:rPr>
              <w:t>7</w:t>
            </w:r>
          </w:p>
        </w:tc>
        <w:tc>
          <w:tcPr>
            <w:tcW w:w="886" w:type="dxa"/>
            <w:vAlign w:val="center"/>
          </w:tcPr>
          <w:p w14:paraId="35C7D476" w14:textId="77777777" w:rsidR="004E22C1" w:rsidRPr="001455DC" w:rsidRDefault="004E22C1" w:rsidP="00173A84">
            <w:pPr>
              <w:pStyle w:val="Tablebody"/>
              <w:keepNext/>
              <w:jc w:val="center"/>
              <w:rPr>
                <w:b/>
                <w:bCs/>
              </w:rPr>
            </w:pPr>
            <w:r w:rsidRPr="001455DC">
              <w:rPr>
                <w:b/>
                <w:bCs/>
              </w:rPr>
              <w:t>3</w:t>
            </w:r>
          </w:p>
        </w:tc>
        <w:tc>
          <w:tcPr>
            <w:tcW w:w="886" w:type="dxa"/>
            <w:vAlign w:val="center"/>
          </w:tcPr>
          <w:p w14:paraId="4E2E8BCE" w14:textId="77777777" w:rsidR="004E22C1" w:rsidRPr="001455DC" w:rsidRDefault="004E22C1" w:rsidP="00173A84">
            <w:pPr>
              <w:pStyle w:val="Tablebody"/>
              <w:keepNext/>
              <w:jc w:val="center"/>
            </w:pPr>
            <w:r w:rsidRPr="001455DC">
              <w:t>3,1</w:t>
            </w:r>
          </w:p>
        </w:tc>
        <w:tc>
          <w:tcPr>
            <w:tcW w:w="886" w:type="dxa"/>
            <w:noWrap/>
            <w:vAlign w:val="center"/>
          </w:tcPr>
          <w:p w14:paraId="6AB64EFA" w14:textId="77777777" w:rsidR="004E22C1" w:rsidRPr="001455DC" w:rsidRDefault="004E22C1" w:rsidP="00173A84">
            <w:pPr>
              <w:pStyle w:val="Tablebody"/>
              <w:keepNext/>
              <w:jc w:val="center"/>
            </w:pPr>
            <w:r w:rsidRPr="001455DC">
              <w:t>2,8</w:t>
            </w:r>
          </w:p>
        </w:tc>
        <w:tc>
          <w:tcPr>
            <w:tcW w:w="887" w:type="dxa"/>
            <w:noWrap/>
            <w:vAlign w:val="center"/>
          </w:tcPr>
          <w:p w14:paraId="6F00B14C" w14:textId="77777777" w:rsidR="004E22C1" w:rsidRPr="001455DC" w:rsidRDefault="004E22C1" w:rsidP="00173A84">
            <w:pPr>
              <w:pStyle w:val="Tablebody"/>
              <w:keepNext/>
              <w:jc w:val="center"/>
            </w:pPr>
            <w:r w:rsidRPr="001455DC">
              <w:t>2,5</w:t>
            </w:r>
          </w:p>
        </w:tc>
        <w:tc>
          <w:tcPr>
            <w:tcW w:w="887" w:type="dxa"/>
            <w:noWrap/>
            <w:vAlign w:val="center"/>
          </w:tcPr>
          <w:p w14:paraId="089EA0B5" w14:textId="77777777" w:rsidR="004E22C1" w:rsidRPr="001455DC" w:rsidRDefault="004E22C1" w:rsidP="00173A84">
            <w:pPr>
              <w:pStyle w:val="Tablebody"/>
              <w:keepNext/>
              <w:jc w:val="center"/>
            </w:pPr>
            <w:r w:rsidRPr="001455DC">
              <w:t>2,3</w:t>
            </w:r>
          </w:p>
        </w:tc>
        <w:tc>
          <w:tcPr>
            <w:tcW w:w="887" w:type="dxa"/>
            <w:vAlign w:val="center"/>
          </w:tcPr>
          <w:p w14:paraId="4887E90A" w14:textId="77777777" w:rsidR="004E22C1" w:rsidRPr="001455DC" w:rsidRDefault="004E22C1" w:rsidP="00173A84">
            <w:pPr>
              <w:pStyle w:val="Tablebody"/>
              <w:keepNext/>
              <w:jc w:val="center"/>
            </w:pPr>
            <w:r w:rsidRPr="001455DC">
              <w:t>2,2</w:t>
            </w:r>
          </w:p>
        </w:tc>
        <w:tc>
          <w:tcPr>
            <w:tcW w:w="887" w:type="dxa"/>
            <w:noWrap/>
            <w:vAlign w:val="center"/>
          </w:tcPr>
          <w:p w14:paraId="210401B2" w14:textId="77777777" w:rsidR="004E22C1" w:rsidRPr="001455DC" w:rsidRDefault="004E22C1" w:rsidP="00173A84">
            <w:pPr>
              <w:pStyle w:val="Tablebody"/>
              <w:keepNext/>
              <w:jc w:val="center"/>
            </w:pPr>
            <w:r w:rsidRPr="001455DC">
              <w:t>2,1</w:t>
            </w:r>
          </w:p>
        </w:tc>
        <w:tc>
          <w:tcPr>
            <w:tcW w:w="887" w:type="dxa"/>
            <w:noWrap/>
            <w:vAlign w:val="center"/>
          </w:tcPr>
          <w:p w14:paraId="31C1D412" w14:textId="77777777" w:rsidR="004E22C1" w:rsidRPr="001455DC" w:rsidRDefault="004E22C1" w:rsidP="00173A84">
            <w:pPr>
              <w:pStyle w:val="Tablebody"/>
              <w:keepNext/>
              <w:jc w:val="center"/>
            </w:pPr>
            <w:r w:rsidRPr="001455DC">
              <w:t>2,0</w:t>
            </w:r>
          </w:p>
        </w:tc>
        <w:tc>
          <w:tcPr>
            <w:tcW w:w="887" w:type="dxa"/>
            <w:noWrap/>
            <w:vAlign w:val="center"/>
          </w:tcPr>
          <w:p w14:paraId="73F1782C" w14:textId="77777777" w:rsidR="004E22C1" w:rsidRPr="001455DC" w:rsidRDefault="004E22C1" w:rsidP="00173A84">
            <w:pPr>
              <w:pStyle w:val="Tablebody"/>
              <w:keepNext/>
              <w:jc w:val="center"/>
            </w:pPr>
            <w:r w:rsidRPr="001455DC">
              <w:t>1,9</w:t>
            </w:r>
          </w:p>
        </w:tc>
      </w:tr>
      <w:tr w:rsidR="004E22C1" w:rsidRPr="001455DC" w14:paraId="196F00E9" w14:textId="77777777" w:rsidTr="00173A84">
        <w:trPr>
          <w:cantSplit/>
        </w:trPr>
        <w:tc>
          <w:tcPr>
            <w:tcW w:w="886" w:type="dxa"/>
            <w:noWrap/>
            <w:vAlign w:val="center"/>
            <w:hideMark/>
          </w:tcPr>
          <w:p w14:paraId="309DEB6D" w14:textId="77777777" w:rsidR="004E22C1" w:rsidRPr="001455DC" w:rsidRDefault="004E22C1" w:rsidP="00173A84">
            <w:pPr>
              <w:pStyle w:val="Tablebody"/>
              <w:keepNext/>
              <w:jc w:val="center"/>
              <w:rPr>
                <w:b/>
                <w:bCs/>
              </w:rPr>
            </w:pPr>
            <w:r w:rsidRPr="001455DC">
              <w:rPr>
                <w:b/>
                <w:bCs/>
              </w:rPr>
              <w:t>32</w:t>
            </w:r>
          </w:p>
        </w:tc>
        <w:tc>
          <w:tcPr>
            <w:tcW w:w="886" w:type="dxa"/>
            <w:vAlign w:val="center"/>
          </w:tcPr>
          <w:p w14:paraId="355D83DF" w14:textId="77777777" w:rsidR="004E22C1" w:rsidRPr="001455DC" w:rsidRDefault="004E22C1" w:rsidP="00173A84">
            <w:pPr>
              <w:pStyle w:val="Tablebody"/>
              <w:keepNext/>
              <w:jc w:val="center"/>
              <w:rPr>
                <w:b/>
                <w:bCs/>
              </w:rPr>
            </w:pPr>
            <w:r w:rsidRPr="001455DC">
              <w:rPr>
                <w:b/>
                <w:bCs/>
              </w:rPr>
              <w:t>28</w:t>
            </w:r>
          </w:p>
        </w:tc>
        <w:tc>
          <w:tcPr>
            <w:tcW w:w="886" w:type="dxa"/>
            <w:vAlign w:val="center"/>
          </w:tcPr>
          <w:p w14:paraId="5F98E298" w14:textId="77777777" w:rsidR="004E22C1" w:rsidRPr="001455DC" w:rsidRDefault="004E22C1" w:rsidP="00173A84">
            <w:pPr>
              <w:pStyle w:val="Tablebody"/>
              <w:keepNext/>
              <w:jc w:val="center"/>
              <w:rPr>
                <w:b/>
                <w:bCs/>
              </w:rPr>
            </w:pPr>
            <w:r w:rsidRPr="001455DC">
              <w:rPr>
                <w:b/>
                <w:bCs/>
              </w:rPr>
              <w:t>23</w:t>
            </w:r>
          </w:p>
        </w:tc>
        <w:tc>
          <w:tcPr>
            <w:tcW w:w="886" w:type="dxa"/>
            <w:vAlign w:val="center"/>
          </w:tcPr>
          <w:p w14:paraId="0739C03B" w14:textId="77777777" w:rsidR="004E22C1" w:rsidRPr="001455DC" w:rsidRDefault="004E22C1" w:rsidP="00173A84">
            <w:pPr>
              <w:pStyle w:val="Tablebody"/>
              <w:keepNext/>
              <w:jc w:val="center"/>
            </w:pPr>
            <w:r w:rsidRPr="001455DC">
              <w:t>2,4</w:t>
            </w:r>
          </w:p>
        </w:tc>
        <w:tc>
          <w:tcPr>
            <w:tcW w:w="886" w:type="dxa"/>
            <w:noWrap/>
            <w:vAlign w:val="center"/>
          </w:tcPr>
          <w:p w14:paraId="4D905732" w14:textId="77777777" w:rsidR="004E22C1" w:rsidRPr="001455DC" w:rsidRDefault="004E22C1" w:rsidP="00173A84">
            <w:pPr>
              <w:pStyle w:val="Tablebody"/>
              <w:keepNext/>
              <w:jc w:val="center"/>
            </w:pPr>
            <w:r w:rsidRPr="001455DC">
              <w:t>2,2</w:t>
            </w:r>
          </w:p>
        </w:tc>
        <w:tc>
          <w:tcPr>
            <w:tcW w:w="887" w:type="dxa"/>
            <w:noWrap/>
            <w:vAlign w:val="center"/>
          </w:tcPr>
          <w:p w14:paraId="356E091C" w14:textId="77777777" w:rsidR="004E22C1" w:rsidRPr="001455DC" w:rsidRDefault="004E22C1" w:rsidP="00173A84">
            <w:pPr>
              <w:pStyle w:val="Tablebody"/>
              <w:keepNext/>
              <w:jc w:val="center"/>
            </w:pPr>
            <w:r w:rsidRPr="001455DC">
              <w:t>1,9</w:t>
            </w:r>
          </w:p>
        </w:tc>
        <w:tc>
          <w:tcPr>
            <w:tcW w:w="887" w:type="dxa"/>
            <w:noWrap/>
            <w:vAlign w:val="center"/>
          </w:tcPr>
          <w:p w14:paraId="596038E2" w14:textId="77777777" w:rsidR="004E22C1" w:rsidRPr="001455DC" w:rsidRDefault="004E22C1" w:rsidP="00173A84">
            <w:pPr>
              <w:pStyle w:val="Tablebody"/>
              <w:keepNext/>
              <w:jc w:val="center"/>
            </w:pPr>
            <w:r w:rsidRPr="001455DC">
              <w:t>1,8</w:t>
            </w:r>
          </w:p>
        </w:tc>
        <w:tc>
          <w:tcPr>
            <w:tcW w:w="887" w:type="dxa"/>
            <w:vAlign w:val="center"/>
          </w:tcPr>
          <w:p w14:paraId="5B731B67" w14:textId="77777777" w:rsidR="004E22C1" w:rsidRPr="001455DC" w:rsidRDefault="004E22C1" w:rsidP="00173A84">
            <w:pPr>
              <w:pStyle w:val="Tablebody"/>
              <w:keepNext/>
              <w:jc w:val="center"/>
            </w:pPr>
            <w:r w:rsidRPr="001455DC">
              <w:t>1,7</w:t>
            </w:r>
          </w:p>
        </w:tc>
        <w:tc>
          <w:tcPr>
            <w:tcW w:w="887" w:type="dxa"/>
            <w:noWrap/>
            <w:vAlign w:val="center"/>
          </w:tcPr>
          <w:p w14:paraId="69EF2E6F" w14:textId="77777777" w:rsidR="004E22C1" w:rsidRPr="001455DC" w:rsidRDefault="004E22C1" w:rsidP="00173A84">
            <w:pPr>
              <w:pStyle w:val="Tablebody"/>
              <w:keepNext/>
              <w:jc w:val="center"/>
            </w:pPr>
            <w:r w:rsidRPr="001455DC">
              <w:t>1,6</w:t>
            </w:r>
          </w:p>
        </w:tc>
        <w:tc>
          <w:tcPr>
            <w:tcW w:w="887" w:type="dxa"/>
            <w:noWrap/>
            <w:vAlign w:val="center"/>
          </w:tcPr>
          <w:p w14:paraId="17D5475F" w14:textId="77777777" w:rsidR="004E22C1" w:rsidRPr="001455DC" w:rsidRDefault="004E22C1" w:rsidP="00173A84">
            <w:pPr>
              <w:pStyle w:val="Tablebody"/>
              <w:keepNext/>
              <w:jc w:val="center"/>
            </w:pPr>
            <w:r w:rsidRPr="001455DC">
              <w:t>1,6</w:t>
            </w:r>
          </w:p>
        </w:tc>
        <w:tc>
          <w:tcPr>
            <w:tcW w:w="887" w:type="dxa"/>
            <w:noWrap/>
            <w:vAlign w:val="center"/>
          </w:tcPr>
          <w:p w14:paraId="6C1FC254" w14:textId="77777777" w:rsidR="004E22C1" w:rsidRPr="001455DC" w:rsidRDefault="004E22C1" w:rsidP="00173A84">
            <w:pPr>
              <w:pStyle w:val="Tablebody"/>
              <w:keepNext/>
              <w:jc w:val="center"/>
            </w:pPr>
            <w:r w:rsidRPr="001455DC">
              <w:t>1,5</w:t>
            </w:r>
          </w:p>
        </w:tc>
      </w:tr>
      <w:tr w:rsidR="004E22C1" w:rsidRPr="001455DC" w14:paraId="7465C75F" w14:textId="77777777" w:rsidTr="00173A84">
        <w:trPr>
          <w:cantSplit/>
        </w:trPr>
        <w:tc>
          <w:tcPr>
            <w:tcW w:w="886" w:type="dxa"/>
            <w:noWrap/>
            <w:vAlign w:val="center"/>
            <w:hideMark/>
          </w:tcPr>
          <w:p w14:paraId="5282AFCD" w14:textId="77777777" w:rsidR="004E22C1" w:rsidRPr="001455DC" w:rsidRDefault="004E22C1" w:rsidP="00173A84">
            <w:pPr>
              <w:pStyle w:val="Tablebody"/>
              <w:keepNext/>
              <w:jc w:val="center"/>
              <w:rPr>
                <w:b/>
                <w:bCs/>
              </w:rPr>
            </w:pPr>
            <w:r w:rsidRPr="001455DC">
              <w:rPr>
                <w:b/>
                <w:bCs/>
              </w:rPr>
              <w:t>91</w:t>
            </w:r>
          </w:p>
        </w:tc>
        <w:tc>
          <w:tcPr>
            <w:tcW w:w="886" w:type="dxa"/>
            <w:vAlign w:val="center"/>
          </w:tcPr>
          <w:p w14:paraId="7A9F3E69" w14:textId="77777777" w:rsidR="004E22C1" w:rsidRPr="001455DC" w:rsidRDefault="004E22C1" w:rsidP="00173A84">
            <w:pPr>
              <w:pStyle w:val="Tablebody"/>
              <w:keepNext/>
              <w:jc w:val="center"/>
              <w:rPr>
                <w:b/>
                <w:bCs/>
              </w:rPr>
            </w:pPr>
            <w:r w:rsidRPr="001455DC">
              <w:rPr>
                <w:b/>
                <w:bCs/>
              </w:rPr>
              <w:t>91</w:t>
            </w:r>
          </w:p>
        </w:tc>
        <w:tc>
          <w:tcPr>
            <w:tcW w:w="886" w:type="dxa"/>
            <w:vAlign w:val="center"/>
          </w:tcPr>
          <w:p w14:paraId="4A2A3469" w14:textId="77777777" w:rsidR="004E22C1" w:rsidRPr="001455DC" w:rsidRDefault="004E22C1" w:rsidP="00173A84">
            <w:pPr>
              <w:pStyle w:val="Tablebody"/>
              <w:keepNext/>
              <w:jc w:val="center"/>
              <w:rPr>
                <w:b/>
                <w:bCs/>
              </w:rPr>
            </w:pPr>
            <w:r w:rsidRPr="001455DC">
              <w:rPr>
                <w:b/>
                <w:bCs/>
              </w:rPr>
              <w:t>91</w:t>
            </w:r>
          </w:p>
        </w:tc>
        <w:tc>
          <w:tcPr>
            <w:tcW w:w="886" w:type="dxa"/>
            <w:vAlign w:val="center"/>
          </w:tcPr>
          <w:p w14:paraId="50297A22" w14:textId="77777777" w:rsidR="004E22C1" w:rsidRPr="001455DC" w:rsidRDefault="004E22C1" w:rsidP="00173A84">
            <w:pPr>
              <w:pStyle w:val="Tablebody"/>
              <w:keepNext/>
              <w:jc w:val="center"/>
            </w:pPr>
            <w:r w:rsidRPr="001455DC">
              <w:t>1,9</w:t>
            </w:r>
          </w:p>
        </w:tc>
        <w:tc>
          <w:tcPr>
            <w:tcW w:w="886" w:type="dxa"/>
            <w:noWrap/>
            <w:vAlign w:val="center"/>
          </w:tcPr>
          <w:p w14:paraId="623F49F5" w14:textId="77777777" w:rsidR="004E22C1" w:rsidRPr="001455DC" w:rsidRDefault="004E22C1" w:rsidP="00173A84">
            <w:pPr>
              <w:pStyle w:val="Tablebody"/>
              <w:keepNext/>
              <w:jc w:val="center"/>
            </w:pPr>
            <w:r w:rsidRPr="001455DC">
              <w:t>1,7</w:t>
            </w:r>
          </w:p>
        </w:tc>
        <w:tc>
          <w:tcPr>
            <w:tcW w:w="887" w:type="dxa"/>
            <w:noWrap/>
            <w:vAlign w:val="center"/>
          </w:tcPr>
          <w:p w14:paraId="31053384" w14:textId="77777777" w:rsidR="004E22C1" w:rsidRPr="001455DC" w:rsidRDefault="004E22C1" w:rsidP="00173A84">
            <w:pPr>
              <w:pStyle w:val="Tablebody"/>
              <w:keepNext/>
              <w:jc w:val="center"/>
            </w:pPr>
            <w:r w:rsidRPr="001455DC">
              <w:t>1,5</w:t>
            </w:r>
          </w:p>
        </w:tc>
        <w:tc>
          <w:tcPr>
            <w:tcW w:w="887" w:type="dxa"/>
            <w:noWrap/>
            <w:vAlign w:val="center"/>
          </w:tcPr>
          <w:p w14:paraId="2F961DEE" w14:textId="77777777" w:rsidR="004E22C1" w:rsidRPr="001455DC" w:rsidRDefault="004E22C1" w:rsidP="00173A84">
            <w:pPr>
              <w:pStyle w:val="Tablebody"/>
              <w:keepNext/>
              <w:jc w:val="center"/>
            </w:pPr>
            <w:r w:rsidRPr="001455DC">
              <w:t>1,4</w:t>
            </w:r>
          </w:p>
        </w:tc>
        <w:tc>
          <w:tcPr>
            <w:tcW w:w="887" w:type="dxa"/>
            <w:vAlign w:val="center"/>
          </w:tcPr>
          <w:p w14:paraId="2D06F82C" w14:textId="77777777" w:rsidR="004E22C1" w:rsidRPr="001455DC" w:rsidRDefault="004E22C1" w:rsidP="00173A84">
            <w:pPr>
              <w:pStyle w:val="Tablebody"/>
              <w:keepNext/>
              <w:jc w:val="center"/>
            </w:pPr>
            <w:r w:rsidRPr="001455DC">
              <w:t>1,4</w:t>
            </w:r>
          </w:p>
        </w:tc>
        <w:tc>
          <w:tcPr>
            <w:tcW w:w="887" w:type="dxa"/>
            <w:noWrap/>
            <w:vAlign w:val="center"/>
          </w:tcPr>
          <w:p w14:paraId="7F6B791C" w14:textId="77777777" w:rsidR="004E22C1" w:rsidRPr="001455DC" w:rsidRDefault="004E22C1" w:rsidP="00173A84">
            <w:pPr>
              <w:pStyle w:val="Tablebody"/>
              <w:keepNext/>
              <w:jc w:val="center"/>
            </w:pPr>
            <w:r w:rsidRPr="001455DC">
              <w:t>1,3</w:t>
            </w:r>
          </w:p>
        </w:tc>
        <w:tc>
          <w:tcPr>
            <w:tcW w:w="887" w:type="dxa"/>
            <w:noWrap/>
            <w:vAlign w:val="center"/>
          </w:tcPr>
          <w:p w14:paraId="5912322A" w14:textId="77777777" w:rsidR="004E22C1" w:rsidRPr="001455DC" w:rsidRDefault="004E22C1" w:rsidP="00173A84">
            <w:pPr>
              <w:pStyle w:val="Tablebody"/>
              <w:keepNext/>
              <w:jc w:val="center"/>
            </w:pPr>
            <w:r w:rsidRPr="001455DC">
              <w:t>1,2</w:t>
            </w:r>
          </w:p>
        </w:tc>
        <w:tc>
          <w:tcPr>
            <w:tcW w:w="887" w:type="dxa"/>
            <w:noWrap/>
            <w:vAlign w:val="center"/>
          </w:tcPr>
          <w:p w14:paraId="2A1B4D00" w14:textId="77777777" w:rsidR="004E22C1" w:rsidRPr="001455DC" w:rsidRDefault="004E22C1" w:rsidP="00173A84">
            <w:pPr>
              <w:pStyle w:val="Tablebody"/>
              <w:keepNext/>
              <w:jc w:val="center"/>
            </w:pPr>
            <w:r w:rsidRPr="001455DC">
              <w:t>1,2</w:t>
            </w:r>
          </w:p>
        </w:tc>
      </w:tr>
      <w:tr w:rsidR="004E22C1" w:rsidRPr="001455DC" w14:paraId="0650C15B" w14:textId="77777777" w:rsidTr="00CB43DA">
        <w:trPr>
          <w:cantSplit/>
        </w:trPr>
        <w:tc>
          <w:tcPr>
            <w:tcW w:w="886" w:type="dxa"/>
            <w:tcBorders>
              <w:bottom w:val="single" w:sz="12" w:space="0" w:color="auto"/>
            </w:tcBorders>
            <w:noWrap/>
            <w:vAlign w:val="center"/>
            <w:hideMark/>
          </w:tcPr>
          <w:p w14:paraId="7F9E8790" w14:textId="77777777" w:rsidR="004E22C1" w:rsidRPr="001455DC" w:rsidRDefault="004E22C1" w:rsidP="00173A84">
            <w:pPr>
              <w:pStyle w:val="Tablebody"/>
              <w:keepNext/>
              <w:jc w:val="center"/>
              <w:rPr>
                <w:b/>
                <w:bCs/>
              </w:rPr>
            </w:pPr>
            <w:r w:rsidRPr="001455DC">
              <w:rPr>
                <w:b/>
                <w:bCs/>
              </w:rPr>
              <w:t>365</w:t>
            </w:r>
          </w:p>
        </w:tc>
        <w:tc>
          <w:tcPr>
            <w:tcW w:w="886" w:type="dxa"/>
            <w:tcBorders>
              <w:bottom w:val="single" w:sz="12" w:space="0" w:color="auto"/>
            </w:tcBorders>
            <w:vAlign w:val="center"/>
          </w:tcPr>
          <w:p w14:paraId="7FC3897B" w14:textId="77777777" w:rsidR="004E22C1" w:rsidRPr="001455DC" w:rsidRDefault="004E22C1" w:rsidP="00173A84">
            <w:pPr>
              <w:pStyle w:val="Tablebody"/>
              <w:keepNext/>
              <w:jc w:val="center"/>
              <w:rPr>
                <w:b/>
                <w:bCs/>
              </w:rPr>
            </w:pPr>
            <w:r w:rsidRPr="001455DC">
              <w:rPr>
                <w:b/>
                <w:bCs/>
              </w:rPr>
              <w:t>365</w:t>
            </w:r>
          </w:p>
        </w:tc>
        <w:tc>
          <w:tcPr>
            <w:tcW w:w="886" w:type="dxa"/>
            <w:tcBorders>
              <w:bottom w:val="single" w:sz="12" w:space="0" w:color="auto"/>
            </w:tcBorders>
            <w:vAlign w:val="center"/>
          </w:tcPr>
          <w:p w14:paraId="0B7E42BA" w14:textId="77777777" w:rsidR="004E22C1" w:rsidRPr="001455DC" w:rsidRDefault="004E22C1" w:rsidP="00173A84">
            <w:pPr>
              <w:pStyle w:val="Tablebody"/>
              <w:keepNext/>
              <w:jc w:val="center"/>
              <w:rPr>
                <w:b/>
                <w:bCs/>
              </w:rPr>
            </w:pPr>
            <w:r w:rsidRPr="001455DC">
              <w:rPr>
                <w:b/>
                <w:bCs/>
              </w:rPr>
              <w:t>365</w:t>
            </w:r>
          </w:p>
        </w:tc>
        <w:tc>
          <w:tcPr>
            <w:tcW w:w="886" w:type="dxa"/>
            <w:tcBorders>
              <w:bottom w:val="single" w:sz="12" w:space="0" w:color="auto"/>
            </w:tcBorders>
            <w:vAlign w:val="center"/>
          </w:tcPr>
          <w:p w14:paraId="05D2839C" w14:textId="77777777" w:rsidR="004E22C1" w:rsidRPr="001455DC" w:rsidRDefault="004E22C1" w:rsidP="00173A84">
            <w:pPr>
              <w:pStyle w:val="Tablebody"/>
              <w:keepNext/>
              <w:jc w:val="center"/>
            </w:pPr>
            <w:r w:rsidRPr="001455DC">
              <w:t>1,4</w:t>
            </w:r>
          </w:p>
        </w:tc>
        <w:tc>
          <w:tcPr>
            <w:tcW w:w="886" w:type="dxa"/>
            <w:tcBorders>
              <w:bottom w:val="single" w:sz="12" w:space="0" w:color="auto"/>
            </w:tcBorders>
            <w:noWrap/>
            <w:vAlign w:val="center"/>
          </w:tcPr>
          <w:p w14:paraId="780FA753" w14:textId="77777777" w:rsidR="004E22C1" w:rsidRPr="001455DC" w:rsidRDefault="004E22C1" w:rsidP="00173A84">
            <w:pPr>
              <w:pStyle w:val="Tablebody"/>
              <w:keepNext/>
              <w:jc w:val="center"/>
            </w:pPr>
            <w:r w:rsidRPr="001455DC">
              <w:t>1,3</w:t>
            </w:r>
          </w:p>
        </w:tc>
        <w:tc>
          <w:tcPr>
            <w:tcW w:w="887" w:type="dxa"/>
            <w:tcBorders>
              <w:bottom w:val="single" w:sz="12" w:space="0" w:color="auto"/>
            </w:tcBorders>
            <w:noWrap/>
            <w:vAlign w:val="center"/>
          </w:tcPr>
          <w:p w14:paraId="0B930913" w14:textId="77777777" w:rsidR="004E22C1" w:rsidRPr="001455DC" w:rsidRDefault="004E22C1" w:rsidP="00173A84">
            <w:pPr>
              <w:pStyle w:val="Tablebody"/>
              <w:keepNext/>
              <w:jc w:val="center"/>
            </w:pPr>
            <w:r w:rsidRPr="001455DC">
              <w:t>1,1</w:t>
            </w:r>
          </w:p>
        </w:tc>
        <w:tc>
          <w:tcPr>
            <w:tcW w:w="887" w:type="dxa"/>
            <w:tcBorders>
              <w:bottom w:val="single" w:sz="12" w:space="0" w:color="auto"/>
            </w:tcBorders>
            <w:noWrap/>
            <w:vAlign w:val="center"/>
          </w:tcPr>
          <w:p w14:paraId="22CFE35D" w14:textId="77777777" w:rsidR="004E22C1" w:rsidRPr="001455DC" w:rsidRDefault="004E22C1" w:rsidP="00173A84">
            <w:pPr>
              <w:pStyle w:val="Tablebody"/>
              <w:keepNext/>
              <w:jc w:val="center"/>
            </w:pPr>
            <w:r w:rsidRPr="001455DC">
              <w:t>1,0</w:t>
            </w:r>
          </w:p>
        </w:tc>
        <w:tc>
          <w:tcPr>
            <w:tcW w:w="887" w:type="dxa"/>
            <w:tcBorders>
              <w:bottom w:val="single" w:sz="12" w:space="0" w:color="auto"/>
            </w:tcBorders>
            <w:vAlign w:val="center"/>
          </w:tcPr>
          <w:p w14:paraId="1C5228E0" w14:textId="77777777" w:rsidR="004E22C1" w:rsidRPr="001455DC" w:rsidRDefault="004E22C1" w:rsidP="00173A84">
            <w:pPr>
              <w:pStyle w:val="Tablebody"/>
              <w:keepNext/>
              <w:jc w:val="center"/>
            </w:pPr>
            <w:r w:rsidRPr="001455DC">
              <w:t>1,0</w:t>
            </w:r>
          </w:p>
        </w:tc>
        <w:tc>
          <w:tcPr>
            <w:tcW w:w="887" w:type="dxa"/>
            <w:tcBorders>
              <w:bottom w:val="single" w:sz="12" w:space="0" w:color="auto"/>
            </w:tcBorders>
            <w:noWrap/>
            <w:vAlign w:val="center"/>
          </w:tcPr>
          <w:p w14:paraId="16F6D4CC" w14:textId="77777777" w:rsidR="004E22C1" w:rsidRPr="001455DC" w:rsidRDefault="004E22C1" w:rsidP="00173A84">
            <w:pPr>
              <w:pStyle w:val="Tablebody"/>
              <w:keepNext/>
              <w:jc w:val="center"/>
            </w:pPr>
            <w:r w:rsidRPr="001455DC">
              <w:t>0,9</w:t>
            </w:r>
          </w:p>
        </w:tc>
        <w:tc>
          <w:tcPr>
            <w:tcW w:w="887" w:type="dxa"/>
            <w:tcBorders>
              <w:bottom w:val="single" w:sz="12" w:space="0" w:color="auto"/>
            </w:tcBorders>
            <w:noWrap/>
            <w:vAlign w:val="center"/>
          </w:tcPr>
          <w:p w14:paraId="164E4B29" w14:textId="77777777" w:rsidR="004E22C1" w:rsidRPr="001455DC" w:rsidRDefault="004E22C1" w:rsidP="00173A84">
            <w:pPr>
              <w:pStyle w:val="Tablebody"/>
              <w:keepNext/>
              <w:jc w:val="center"/>
            </w:pPr>
            <w:r w:rsidRPr="001455DC">
              <w:t>0,9</w:t>
            </w:r>
          </w:p>
        </w:tc>
        <w:tc>
          <w:tcPr>
            <w:tcW w:w="887" w:type="dxa"/>
            <w:tcBorders>
              <w:bottom w:val="single" w:sz="12" w:space="0" w:color="auto"/>
            </w:tcBorders>
            <w:noWrap/>
            <w:vAlign w:val="center"/>
          </w:tcPr>
          <w:p w14:paraId="54A62E72" w14:textId="77777777" w:rsidR="004E22C1" w:rsidRPr="001455DC" w:rsidRDefault="004E22C1" w:rsidP="00173A84">
            <w:pPr>
              <w:pStyle w:val="Tablebody"/>
              <w:keepNext/>
              <w:jc w:val="center"/>
            </w:pPr>
            <w:r w:rsidRPr="001455DC">
              <w:t>0,8</w:t>
            </w:r>
          </w:p>
        </w:tc>
      </w:tr>
      <w:tr w:rsidR="00173A84" w:rsidRPr="001455DC" w14:paraId="785D0B7E" w14:textId="77777777" w:rsidTr="00CB43DA">
        <w:trPr>
          <w:cantSplit/>
        </w:trPr>
        <w:tc>
          <w:tcPr>
            <w:tcW w:w="2658" w:type="dxa"/>
            <w:gridSpan w:val="3"/>
            <w:tcBorders>
              <w:top w:val="single" w:sz="12" w:space="0" w:color="auto"/>
            </w:tcBorders>
            <w:noWrap/>
            <w:vAlign w:val="center"/>
          </w:tcPr>
          <w:p w14:paraId="3CA970E5" w14:textId="05386791" w:rsidR="00173A84" w:rsidRPr="001455DC" w:rsidRDefault="00173A84" w:rsidP="00173A84">
            <w:pPr>
              <w:pStyle w:val="Tablebody"/>
              <w:keepNext/>
              <w:jc w:val="center"/>
              <w:rPr>
                <w:b/>
                <w:bCs/>
              </w:rPr>
            </w:pPr>
            <w:r w:rsidRPr="001455DC">
              <w:rPr>
                <w:b/>
                <w:bCs/>
              </w:rPr>
              <w:t xml:space="preserve">Correction factor </w:t>
            </w:r>
            <w:r w:rsidRPr="001455DC">
              <w:rPr>
                <w:rStyle w:val="CCMCvariableitalic"/>
                <w:b/>
                <w:bCs/>
              </w:rPr>
              <w:t>A</w:t>
            </w:r>
          </w:p>
        </w:tc>
        <w:tc>
          <w:tcPr>
            <w:tcW w:w="886" w:type="dxa"/>
            <w:tcBorders>
              <w:top w:val="single" w:sz="12" w:space="0" w:color="auto"/>
            </w:tcBorders>
            <w:vAlign w:val="center"/>
          </w:tcPr>
          <w:p w14:paraId="4B5CCBD2" w14:textId="230D0820" w:rsidR="00173A84" w:rsidRPr="001455DC" w:rsidRDefault="00173A84" w:rsidP="00173A84">
            <w:pPr>
              <w:pStyle w:val="Tablebody"/>
              <w:keepNext/>
              <w:jc w:val="center"/>
            </w:pPr>
            <w:r w:rsidRPr="001455DC">
              <w:t>0,82</w:t>
            </w:r>
          </w:p>
        </w:tc>
        <w:tc>
          <w:tcPr>
            <w:tcW w:w="886" w:type="dxa"/>
            <w:tcBorders>
              <w:top w:val="single" w:sz="12" w:space="0" w:color="auto"/>
            </w:tcBorders>
            <w:noWrap/>
            <w:vAlign w:val="center"/>
          </w:tcPr>
          <w:p w14:paraId="42040DD5" w14:textId="2B5C1870" w:rsidR="00173A84" w:rsidRPr="001455DC" w:rsidRDefault="00173A84" w:rsidP="00173A84">
            <w:pPr>
              <w:pStyle w:val="Tablebody"/>
              <w:keepNext/>
              <w:jc w:val="center"/>
            </w:pPr>
            <w:r w:rsidRPr="001455DC">
              <w:t>0,79</w:t>
            </w:r>
          </w:p>
        </w:tc>
        <w:tc>
          <w:tcPr>
            <w:tcW w:w="887" w:type="dxa"/>
            <w:tcBorders>
              <w:top w:val="single" w:sz="12" w:space="0" w:color="auto"/>
            </w:tcBorders>
            <w:noWrap/>
            <w:vAlign w:val="center"/>
          </w:tcPr>
          <w:p w14:paraId="3093765A" w14:textId="7E94C6D7" w:rsidR="00173A84" w:rsidRPr="001455DC" w:rsidRDefault="00173A84" w:rsidP="00173A84">
            <w:pPr>
              <w:pStyle w:val="Tablebody"/>
              <w:keepNext/>
              <w:jc w:val="center"/>
            </w:pPr>
            <w:r w:rsidRPr="001455DC">
              <w:t>0,75</w:t>
            </w:r>
          </w:p>
        </w:tc>
        <w:tc>
          <w:tcPr>
            <w:tcW w:w="887" w:type="dxa"/>
            <w:tcBorders>
              <w:top w:val="single" w:sz="12" w:space="0" w:color="auto"/>
            </w:tcBorders>
            <w:noWrap/>
            <w:vAlign w:val="center"/>
          </w:tcPr>
          <w:p w14:paraId="24302999" w14:textId="43E97456" w:rsidR="00173A84" w:rsidRPr="001455DC" w:rsidRDefault="00173A84" w:rsidP="00173A84">
            <w:pPr>
              <w:pStyle w:val="Tablebody"/>
              <w:keepNext/>
              <w:jc w:val="center"/>
            </w:pPr>
            <w:r w:rsidRPr="001455DC">
              <w:t>0,72</w:t>
            </w:r>
          </w:p>
        </w:tc>
        <w:tc>
          <w:tcPr>
            <w:tcW w:w="887" w:type="dxa"/>
            <w:tcBorders>
              <w:top w:val="single" w:sz="12" w:space="0" w:color="auto"/>
            </w:tcBorders>
            <w:vAlign w:val="center"/>
          </w:tcPr>
          <w:p w14:paraId="66B89052" w14:textId="06F28781" w:rsidR="00173A84" w:rsidRPr="001455DC" w:rsidRDefault="00173A84" w:rsidP="00173A84">
            <w:pPr>
              <w:pStyle w:val="Tablebody"/>
              <w:keepNext/>
              <w:jc w:val="center"/>
            </w:pPr>
            <w:r w:rsidRPr="001455DC">
              <w:t>0,71</w:t>
            </w:r>
          </w:p>
        </w:tc>
        <w:tc>
          <w:tcPr>
            <w:tcW w:w="887" w:type="dxa"/>
            <w:tcBorders>
              <w:top w:val="single" w:sz="12" w:space="0" w:color="auto"/>
            </w:tcBorders>
            <w:noWrap/>
            <w:vAlign w:val="center"/>
          </w:tcPr>
          <w:p w14:paraId="51858D67" w14:textId="60AECA08" w:rsidR="00173A84" w:rsidRPr="001455DC" w:rsidRDefault="00173A84" w:rsidP="00173A84">
            <w:pPr>
              <w:pStyle w:val="Tablebody"/>
              <w:keepNext/>
              <w:jc w:val="center"/>
            </w:pPr>
            <w:r w:rsidRPr="001455DC">
              <w:t>0,68</w:t>
            </w:r>
          </w:p>
        </w:tc>
        <w:tc>
          <w:tcPr>
            <w:tcW w:w="887" w:type="dxa"/>
            <w:tcBorders>
              <w:top w:val="single" w:sz="12" w:space="0" w:color="auto"/>
            </w:tcBorders>
            <w:noWrap/>
            <w:vAlign w:val="center"/>
          </w:tcPr>
          <w:p w14:paraId="0B8E8CAD" w14:textId="38CCE173" w:rsidR="00173A84" w:rsidRPr="001455DC" w:rsidRDefault="00173A84" w:rsidP="00173A84">
            <w:pPr>
              <w:pStyle w:val="Tablebody"/>
              <w:keepNext/>
              <w:jc w:val="center"/>
            </w:pPr>
            <w:r w:rsidRPr="001455DC">
              <w:t>0,66</w:t>
            </w:r>
          </w:p>
        </w:tc>
        <w:tc>
          <w:tcPr>
            <w:tcW w:w="887" w:type="dxa"/>
            <w:tcBorders>
              <w:top w:val="single" w:sz="12" w:space="0" w:color="auto"/>
            </w:tcBorders>
            <w:noWrap/>
            <w:vAlign w:val="center"/>
          </w:tcPr>
          <w:p w14:paraId="76B77DAB" w14:textId="5B4C11FB" w:rsidR="00173A84" w:rsidRPr="001455DC" w:rsidRDefault="00173A84" w:rsidP="00173A84">
            <w:pPr>
              <w:pStyle w:val="Tablebody"/>
              <w:keepNext/>
              <w:jc w:val="center"/>
            </w:pPr>
            <w:r w:rsidRPr="001455DC">
              <w:t>0,64</w:t>
            </w:r>
          </w:p>
        </w:tc>
      </w:tr>
      <w:tr w:rsidR="004E22C1" w:rsidRPr="001455DC" w14:paraId="047F2EBA" w14:textId="77777777" w:rsidTr="00DF525A">
        <w:trPr>
          <w:cantSplit/>
        </w:trPr>
        <w:tc>
          <w:tcPr>
            <w:tcW w:w="9752" w:type="dxa"/>
            <w:gridSpan w:val="11"/>
            <w:tcBorders>
              <w:top w:val="single" w:sz="12" w:space="0" w:color="000000"/>
              <w:bottom w:val="single" w:sz="12" w:space="0" w:color="auto"/>
            </w:tcBorders>
          </w:tcPr>
          <w:p w14:paraId="7BE9C375" w14:textId="67CFF302" w:rsidR="004E22C1" w:rsidRPr="009D3012" w:rsidRDefault="004E22C1" w:rsidP="00173A84">
            <w:pPr>
              <w:pStyle w:val="Tablefooternote"/>
              <w:keepNext/>
              <w:tabs>
                <w:tab w:val="clear" w:pos="680"/>
                <w:tab w:val="left" w:pos="851"/>
              </w:tabs>
              <w:rPr>
                <w:lang w:val="en-US"/>
              </w:rPr>
            </w:pPr>
            <w:r w:rsidRPr="009D3012">
              <w:rPr>
                <w:lang w:val="en-US"/>
              </w:rPr>
              <w:t>NOTE 1</w:t>
            </w:r>
            <w:r w:rsidRPr="009D3012">
              <w:rPr>
                <w:lang w:val="en-US"/>
              </w:rPr>
              <w:tab/>
              <w:t>For geometries outside the given range of notional size, Annex B should be used.</w:t>
            </w:r>
          </w:p>
          <w:p w14:paraId="51FC58D0" w14:textId="3E2EAFD2" w:rsidR="004E22C1" w:rsidRPr="009D3012" w:rsidRDefault="004E22C1" w:rsidP="00173A84">
            <w:pPr>
              <w:pStyle w:val="Tablefooternote"/>
              <w:keepNext/>
              <w:tabs>
                <w:tab w:val="clear" w:pos="680"/>
                <w:tab w:val="left" w:pos="851"/>
              </w:tabs>
              <w:rPr>
                <w:lang w:val="en-US"/>
              </w:rPr>
            </w:pPr>
            <w:r w:rsidRPr="009D3012">
              <w:rPr>
                <w:lang w:val="en-US"/>
              </w:rPr>
              <w:t>NOTE 2</w:t>
            </w:r>
            <w:r w:rsidRPr="009D3012">
              <w:rPr>
                <w:lang w:val="en-US"/>
              </w:rPr>
              <w:tab/>
              <w:t xml:space="preserve">The values of the creep coefficient apply to </w:t>
            </w:r>
            <w:r w:rsidRPr="009D3012">
              <w:rPr>
                <w:rStyle w:val="CCMCvariableitalic"/>
                <w:lang w:val="en-US"/>
              </w:rPr>
              <w:t>f</w:t>
            </w:r>
            <w:r w:rsidRPr="009D3012">
              <w:rPr>
                <w:rStyle w:val="CCMCvariablesubscript"/>
                <w:lang w:val="en-US"/>
              </w:rPr>
              <w:t>ck</w:t>
            </w:r>
            <w:r w:rsidR="009732CA" w:rsidRPr="009D3012">
              <w:rPr>
                <w:rStyle w:val="CCMCvariablesubscript"/>
                <w:lang w:val="en-US"/>
              </w:rPr>
              <w:t>,28</w:t>
            </w:r>
            <w:r w:rsidRPr="009D3012">
              <w:rPr>
                <w:lang w:val="en-US"/>
              </w:rPr>
              <w:t> </w:t>
            </w:r>
            <w:r w:rsidR="00EC27D2" w:rsidRPr="009D3012">
              <w:rPr>
                <w:rFonts w:ascii="Cambria Math" w:hAnsi="Cambria Math"/>
                <w:lang w:val="en-US"/>
              </w:rPr>
              <w:t>=</w:t>
            </w:r>
            <w:r w:rsidRPr="009D3012">
              <w:rPr>
                <w:lang w:val="en-US"/>
              </w:rPr>
              <w:t> 35 MPa. For other strength in the range of 12 MPa </w:t>
            </w:r>
            <w:r w:rsidR="00650035" w:rsidRPr="009D3012">
              <w:rPr>
                <w:rFonts w:ascii="Cambria Math" w:hAnsi="Cambria Math"/>
                <w:lang w:val="en-US"/>
              </w:rPr>
              <w:t>≤</w:t>
            </w:r>
            <w:r w:rsidRPr="009D3012">
              <w:rPr>
                <w:lang w:val="en-US"/>
              </w:rPr>
              <w:t> </w:t>
            </w:r>
            <w:r w:rsidRPr="009D3012">
              <w:rPr>
                <w:rStyle w:val="CCMCvariableitalic"/>
                <w:lang w:val="en-US"/>
              </w:rPr>
              <w:t>f</w:t>
            </w:r>
            <w:r w:rsidRPr="009D3012">
              <w:rPr>
                <w:rStyle w:val="CCMCvariablesubscript"/>
                <w:lang w:val="en-US"/>
              </w:rPr>
              <w:t>ck</w:t>
            </w:r>
            <w:r w:rsidR="009732CA" w:rsidRPr="009D3012">
              <w:rPr>
                <w:rStyle w:val="CCMCvariablesubscript"/>
                <w:lang w:val="en-US"/>
              </w:rPr>
              <w:t>,28</w:t>
            </w:r>
            <w:r w:rsidRPr="009D3012">
              <w:rPr>
                <w:lang w:val="en-US"/>
              </w:rPr>
              <w:t> </w:t>
            </w:r>
            <w:r w:rsidR="00650035" w:rsidRPr="009D3012">
              <w:rPr>
                <w:rFonts w:ascii="Cambria Math" w:hAnsi="Cambria Math"/>
                <w:lang w:val="en-US"/>
              </w:rPr>
              <w:t>≤</w:t>
            </w:r>
            <w:r w:rsidRPr="009D3012">
              <w:rPr>
                <w:lang w:val="en-US"/>
              </w:rPr>
              <w:t> 100 MPa, the values should be multiplied by the factor 35/</w:t>
            </w:r>
            <w:r w:rsidRPr="009D3012">
              <w:rPr>
                <w:rStyle w:val="CCMCvariableitalic"/>
                <w:lang w:val="en-US"/>
              </w:rPr>
              <w:t>f</w:t>
            </w:r>
            <w:r w:rsidRPr="009D3012">
              <w:rPr>
                <w:rStyle w:val="CCMCvariablesubscript"/>
                <w:lang w:val="en-US"/>
              </w:rPr>
              <w:t>ck</w:t>
            </w:r>
            <w:r w:rsidR="009732CA" w:rsidRPr="009D3012">
              <w:rPr>
                <w:rStyle w:val="CCMCvariablesubscript"/>
                <w:lang w:val="en-US"/>
              </w:rPr>
              <w:t xml:space="preserve">,28 </w:t>
            </w:r>
            <w:r w:rsidRPr="009D3012">
              <w:rPr>
                <w:rStyle w:val="CCMCvariableitalic"/>
                <w:lang w:val="en-US"/>
              </w:rPr>
              <w:t>A</w:t>
            </w:r>
            <w:r w:rsidRPr="009D3012">
              <w:rPr>
                <w:lang w:val="en-US"/>
              </w:rPr>
              <w:t xml:space="preserve">, where </w:t>
            </w:r>
            <w:r w:rsidRPr="009D3012">
              <w:rPr>
                <w:rStyle w:val="CCMCvariableitalic"/>
                <w:lang w:val="en-US"/>
              </w:rPr>
              <w:t>A</w:t>
            </w:r>
            <w:r w:rsidRPr="009D3012">
              <w:rPr>
                <w:lang w:val="en-US"/>
              </w:rPr>
              <w:t xml:space="preserve"> is the correction factor in the table.</w:t>
            </w:r>
          </w:p>
          <w:p w14:paraId="37E9195F" w14:textId="26318068" w:rsidR="004E22C1" w:rsidRPr="009D3012" w:rsidRDefault="004E22C1" w:rsidP="00173A84">
            <w:pPr>
              <w:pStyle w:val="Tablefooternote"/>
              <w:keepNext/>
              <w:tabs>
                <w:tab w:val="clear" w:pos="680"/>
                <w:tab w:val="left" w:pos="851"/>
              </w:tabs>
              <w:rPr>
                <w:lang w:val="en-US"/>
              </w:rPr>
            </w:pPr>
            <w:r w:rsidRPr="009D3012">
              <w:rPr>
                <w:lang w:val="en-US"/>
              </w:rPr>
              <w:t>NOTE 3</w:t>
            </w:r>
            <w:r w:rsidRPr="009D3012">
              <w:rPr>
                <w:lang w:val="en-US"/>
              </w:rPr>
              <w:tab/>
              <w:t>The creep coefficients are mean values with a coefficient of variation of about 30 %.</w:t>
            </w:r>
          </w:p>
        </w:tc>
      </w:tr>
      <w:tr w:rsidR="00CE50EE" w:rsidRPr="001455DC" w14:paraId="172DAB1E" w14:textId="77777777" w:rsidTr="00DF525A">
        <w:trPr>
          <w:cnfStyle w:val="010000000000" w:firstRow="0" w:lastRow="1" w:firstColumn="0" w:lastColumn="0" w:oddVBand="0" w:evenVBand="0" w:oddHBand="0" w:evenHBand="0" w:firstRowFirstColumn="0" w:firstRowLastColumn="0" w:lastRowFirstColumn="0" w:lastRowLastColumn="0"/>
          <w:cantSplit/>
        </w:trPr>
        <w:tc>
          <w:tcPr>
            <w:tcW w:w="9752" w:type="dxa"/>
            <w:gridSpan w:val="11"/>
          </w:tcPr>
          <w:p w14:paraId="6C3EA757" w14:textId="061B803B" w:rsidR="00CE50EE" w:rsidRPr="009D3012" w:rsidRDefault="00CE50EE" w:rsidP="00DF525A">
            <w:pPr>
              <w:pStyle w:val="Tablefooter"/>
              <w:rPr>
                <w:iCs/>
                <w:lang w:val="en-US"/>
              </w:rPr>
            </w:pPr>
            <w:r w:rsidRPr="009D3012">
              <w:rPr>
                <w:rStyle w:val="CCMCvariablesuperscript"/>
                <w:lang w:val="en-US"/>
              </w:rPr>
              <w:t>a</w:t>
            </w:r>
            <w:r w:rsidRPr="009D3012">
              <w:rPr>
                <w:lang w:val="en-US"/>
              </w:rPr>
              <w:tab/>
              <w:t>Classes CS, CN and CR stand for slow, normal and rapid strength development of concrete, respectively, see B.</w:t>
            </w:r>
            <w:r w:rsidR="005A7F00" w:rsidRPr="001455DC">
              <w:rPr>
                <w:lang w:val="en-US"/>
              </w:rPr>
              <w:t>3</w:t>
            </w:r>
            <w:r w:rsidRPr="009D3012">
              <w:rPr>
                <w:lang w:val="en-US"/>
              </w:rPr>
              <w:t>(1).</w:t>
            </w:r>
          </w:p>
          <w:p w14:paraId="7195B42A" w14:textId="681312B3" w:rsidR="00CE50EE" w:rsidRPr="009D3012" w:rsidRDefault="00CE50EE" w:rsidP="00DF525A">
            <w:pPr>
              <w:pStyle w:val="Tablefooter"/>
              <w:rPr>
                <w:lang w:val="en-US" w:eastAsia="de-DE"/>
              </w:rPr>
            </w:pPr>
            <w:r w:rsidRPr="009D3012">
              <w:rPr>
                <w:rStyle w:val="CCMCvariablesuperscript"/>
                <w:lang w:val="en-US"/>
              </w:rPr>
              <w:t>b</w:t>
            </w:r>
            <w:r w:rsidR="00DF525A" w:rsidRPr="009D3012">
              <w:rPr>
                <w:lang w:val="en-US"/>
              </w:rPr>
              <w:tab/>
            </w:r>
            <w:r w:rsidRPr="009D3012">
              <w:rPr>
                <w:rStyle w:val="CCMCvariableitalic"/>
                <w:lang w:val="en-US"/>
              </w:rPr>
              <w:t>h</w:t>
            </w:r>
            <w:r w:rsidRPr="009D3012">
              <w:rPr>
                <w:rStyle w:val="CCMCvariablesubscript"/>
                <w:lang w:val="en-US"/>
              </w:rPr>
              <w:t>n</w:t>
            </w:r>
            <w:r w:rsidRPr="009D3012">
              <w:rPr>
                <w:lang w:val="en-US"/>
              </w:rPr>
              <w:t xml:space="preserve"> is the notional size </w:t>
            </w:r>
            <w:r w:rsidR="00EC27D2" w:rsidRPr="009D3012">
              <w:rPr>
                <w:rFonts w:ascii="Cambria Math" w:hAnsi="Cambria Math"/>
                <w:lang w:val="en-US"/>
              </w:rPr>
              <w:t>=</w:t>
            </w:r>
            <w:r w:rsidRPr="009D3012">
              <w:rPr>
                <w:lang w:val="en-US"/>
              </w:rPr>
              <w:t> 2</w:t>
            </w:r>
            <w:r w:rsidRPr="009D3012">
              <w:rPr>
                <w:rStyle w:val="CCMCvariableitalic"/>
                <w:lang w:val="en-US"/>
              </w:rPr>
              <w:t>A</w:t>
            </w:r>
            <w:r w:rsidRPr="009D3012">
              <w:rPr>
                <w:rStyle w:val="CCMCvariablesubscript"/>
                <w:lang w:val="en-US"/>
              </w:rPr>
              <w:t>c</w:t>
            </w:r>
            <w:r w:rsidRPr="009D3012">
              <w:rPr>
                <w:lang w:val="en-US"/>
              </w:rPr>
              <w:t>/</w:t>
            </w:r>
            <w:r w:rsidRPr="009D3012">
              <w:rPr>
                <w:rStyle w:val="CCMCvariableitalic"/>
                <w:lang w:val="en-US"/>
              </w:rPr>
              <w:t>u</w:t>
            </w:r>
            <w:r w:rsidRPr="009D3012">
              <w:rPr>
                <w:lang w:val="en-US"/>
              </w:rPr>
              <w:t xml:space="preserve">, where </w:t>
            </w:r>
            <w:r w:rsidRPr="009D3012">
              <w:rPr>
                <w:rStyle w:val="CCMCvariableitalic"/>
                <w:lang w:val="en-US"/>
              </w:rPr>
              <w:t>A</w:t>
            </w:r>
            <w:r w:rsidRPr="009D3012">
              <w:rPr>
                <w:rStyle w:val="CCMCvariablesubscript"/>
                <w:lang w:val="en-US"/>
              </w:rPr>
              <w:t>c</w:t>
            </w:r>
            <w:r w:rsidRPr="009D3012">
              <w:rPr>
                <w:lang w:val="en-US"/>
              </w:rPr>
              <w:t xml:space="preserve"> is the concrete cross</w:t>
            </w:r>
            <w:r w:rsidR="00B10711" w:rsidRPr="001455DC">
              <w:rPr>
                <w:lang w:val="en-US"/>
              </w:rPr>
              <w:t xml:space="preserve"> </w:t>
            </w:r>
            <w:r w:rsidRPr="009D3012">
              <w:rPr>
                <w:lang w:val="en-US"/>
              </w:rPr>
              <w:t xml:space="preserve">sectional area and </w:t>
            </w:r>
            <w:r w:rsidRPr="009D3012">
              <w:rPr>
                <w:rStyle w:val="CCMCvariableitalic"/>
                <w:lang w:val="en-US"/>
              </w:rPr>
              <w:t>u</w:t>
            </w:r>
            <w:r w:rsidRPr="009D3012">
              <w:rPr>
                <w:lang w:val="en-US"/>
              </w:rPr>
              <w:t xml:space="preserve"> is the perimeter of that part which is exposed to drying.</w:t>
            </w:r>
          </w:p>
        </w:tc>
      </w:tr>
    </w:tbl>
    <w:p w14:paraId="1E30478D" w14:textId="77777777" w:rsidR="004E22C1" w:rsidRPr="001455DC" w:rsidRDefault="004E22C1" w:rsidP="00DF525A">
      <w:pPr>
        <w:pStyle w:val="a7"/>
      </w:pPr>
    </w:p>
    <w:p w14:paraId="3D35A59E" w14:textId="04E959A7" w:rsidR="004E22C1" w:rsidRPr="001455DC" w:rsidRDefault="004E22C1" w:rsidP="00DF525A">
      <w:pPr>
        <w:pStyle w:val="a7"/>
      </w:pPr>
      <w:r w:rsidRPr="001455DC">
        <w:t>(3)</w:t>
      </w:r>
      <w:r w:rsidRPr="001455DC">
        <w:tab/>
        <w:t xml:space="preserve">When the compressive stress at age </w:t>
      </w:r>
      <w:r w:rsidRPr="001455DC">
        <w:rPr>
          <w:rStyle w:val="CCMCvariableitalic"/>
        </w:rPr>
        <w:t>t</w:t>
      </w:r>
      <w:r w:rsidRPr="001455DC">
        <w:rPr>
          <w:rStyle w:val="CCMCvariablesubscript"/>
        </w:rPr>
        <w:t>0</w:t>
      </w:r>
      <w:r w:rsidRPr="001455DC">
        <w:t xml:space="preserve"> exceeds the value 0,40</w:t>
      </w:r>
      <w:r w:rsidRPr="001455DC">
        <w:rPr>
          <w:rStyle w:val="CCMCvariableitalic"/>
        </w:rPr>
        <w:t>f</w:t>
      </w:r>
      <w:r w:rsidRPr="001455DC">
        <w:rPr>
          <w:rStyle w:val="CCMCvariablesubscript"/>
        </w:rPr>
        <w:t>cm</w:t>
      </w:r>
      <w:r w:rsidRPr="001455DC">
        <w:t>(</w:t>
      </w:r>
      <w:r w:rsidRPr="001455DC">
        <w:rPr>
          <w:rStyle w:val="CCMCvariableitalic"/>
        </w:rPr>
        <w:t>t</w:t>
      </w:r>
      <w:r w:rsidRPr="001455DC">
        <w:rPr>
          <w:rStyle w:val="CCMCvariablesubscript"/>
        </w:rPr>
        <w:t>0</w:t>
      </w:r>
      <w:r w:rsidRPr="001455DC">
        <w:t>) under the quasi-permanent combination of actions then creep non-linearity should be considered. In such cases the non-linear notional creep coefficient shall be obtained according to Annex B.</w:t>
      </w:r>
    </w:p>
    <w:p w14:paraId="4E1F7D7B" w14:textId="0D2252C0" w:rsidR="004E22C1" w:rsidRPr="001455DC" w:rsidRDefault="004E22C1" w:rsidP="00DF525A">
      <w:pPr>
        <w:pStyle w:val="a7"/>
      </w:pPr>
      <w:r w:rsidRPr="001455DC">
        <w:t>(4)</w:t>
      </w:r>
      <w:r w:rsidRPr="001455DC">
        <w:tab/>
        <w:t>Values for total shrinkage after 50 years may be taken from Table 5.3(NDP) for plain concrete. Where a more accurate shrinkage prediction is required, Annex B should be used.</w:t>
      </w:r>
    </w:p>
    <w:p w14:paraId="7612F21D" w14:textId="77777777" w:rsidR="004E22C1" w:rsidRPr="001455DC" w:rsidRDefault="004E22C1" w:rsidP="00DF525A">
      <w:pPr>
        <w:pStyle w:val="Tabletitle"/>
      </w:pPr>
      <w:bookmarkStart w:id="258" w:name="_Toc54337301"/>
      <w:r w:rsidRPr="001455DC">
        <w:t xml:space="preserve">Table 5.3(NDP) — Nominal total shrinkage values </w:t>
      </w:r>
      <w:r w:rsidRPr="001455DC">
        <w:rPr>
          <w:rStyle w:val="CCMCvariableitalic"/>
        </w:rPr>
        <w:t>ε</w:t>
      </w:r>
      <w:r w:rsidRPr="001455DC">
        <w:rPr>
          <w:rStyle w:val="CCMCvariablesubscript"/>
        </w:rPr>
        <w:t>cs,50y</w:t>
      </w:r>
      <w:r w:rsidRPr="001455DC">
        <w:t xml:space="preserve"> [‰] for concrete after a duration of drying of 50 years</w:t>
      </w:r>
      <w:bookmarkEnd w:id="258"/>
    </w:p>
    <w:tbl>
      <w:tblPr>
        <w:tblStyle w:val="53"/>
        <w:tblW w:w="9752" w:type="dxa"/>
        <w:tblLayout w:type="fixed"/>
        <w:tblCellMar>
          <w:left w:w="71" w:type="dxa"/>
          <w:right w:w="71" w:type="dxa"/>
        </w:tblCellMar>
        <w:tblLook w:val="06E0" w:firstRow="1" w:lastRow="1" w:firstColumn="1" w:lastColumn="0" w:noHBand="1" w:noVBand="1"/>
      </w:tblPr>
      <w:tblGrid>
        <w:gridCol w:w="1541"/>
        <w:gridCol w:w="913"/>
        <w:gridCol w:w="913"/>
        <w:gridCol w:w="913"/>
        <w:gridCol w:w="912"/>
        <w:gridCol w:w="912"/>
        <w:gridCol w:w="912"/>
        <w:gridCol w:w="912"/>
        <w:gridCol w:w="912"/>
        <w:gridCol w:w="912"/>
      </w:tblGrid>
      <w:tr w:rsidR="00173A84" w:rsidRPr="001455DC" w14:paraId="4F25B18D" w14:textId="77777777" w:rsidTr="00173A84">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541" w:type="dxa"/>
            <w:vMerge w:val="restart"/>
            <w:tcBorders>
              <w:bottom w:val="nil"/>
            </w:tcBorders>
          </w:tcPr>
          <w:p w14:paraId="4FDF2AFC" w14:textId="165A675B" w:rsidR="00173A84" w:rsidRPr="001455DC" w:rsidRDefault="00173A84" w:rsidP="00173A84">
            <w:pPr>
              <w:pStyle w:val="Tableheader"/>
              <w:keepNext/>
            </w:pPr>
            <w:r w:rsidRPr="001455DC">
              <w:t>Strength development of concrete</w:t>
            </w:r>
            <w:r w:rsidRPr="001455DC">
              <w:rPr>
                <w:rStyle w:val="CCMCvariablesuperscript"/>
                <w:b w:val="0"/>
                <w:bCs/>
              </w:rPr>
              <w:t>a</w:t>
            </w:r>
          </w:p>
        </w:tc>
        <w:tc>
          <w:tcPr>
            <w:tcW w:w="913" w:type="dxa"/>
            <w:vMerge w:val="restart"/>
            <w:tcBorders>
              <w:bottom w:val="nil"/>
            </w:tcBorders>
            <w:noWrap/>
            <w:hideMark/>
          </w:tcPr>
          <w:p w14:paraId="3F80E77A" w14:textId="43A735D4" w:rsidR="00173A84" w:rsidRPr="001455DC" w:rsidRDefault="00173A84" w:rsidP="00173A84">
            <w:pPr>
              <w:pStyle w:val="Tableheader"/>
              <w:keepNext/>
              <w:cnfStyle w:val="100000000000" w:firstRow="1" w:lastRow="0" w:firstColumn="0" w:lastColumn="0" w:oddVBand="0" w:evenVBand="0" w:oddHBand="0" w:evenHBand="0" w:firstRowFirstColumn="0" w:firstRowLastColumn="0" w:lastRowFirstColumn="0" w:lastRowLastColumn="0"/>
            </w:pPr>
            <w:r w:rsidRPr="001455DC">
              <w:rPr>
                <w:rStyle w:val="CCMCvariableitalic"/>
              </w:rPr>
              <w:t>f</w:t>
            </w:r>
            <w:r w:rsidRPr="001455DC">
              <w:rPr>
                <w:rStyle w:val="CCMCvariablesubscript"/>
              </w:rPr>
              <w:t>ck</w:t>
            </w:r>
            <w:r w:rsidR="00DA3EE7" w:rsidRPr="001455DC">
              <w:rPr>
                <w:rStyle w:val="CCMCvariablesubscript"/>
              </w:rPr>
              <w:t>,28</w:t>
            </w:r>
          </w:p>
        </w:tc>
        <w:tc>
          <w:tcPr>
            <w:tcW w:w="3650" w:type="dxa"/>
            <w:gridSpan w:val="4"/>
            <w:tcBorders>
              <w:bottom w:val="nil"/>
            </w:tcBorders>
          </w:tcPr>
          <w:p w14:paraId="7681B4CB" w14:textId="73014C17" w:rsidR="00173A84" w:rsidRPr="001455DC" w:rsidRDefault="00173A84" w:rsidP="00173A84">
            <w:pPr>
              <w:pStyle w:val="Tableheader"/>
              <w:keepNext/>
              <w:cnfStyle w:val="100000000000" w:firstRow="1" w:lastRow="0" w:firstColumn="0" w:lastColumn="0" w:oddVBand="0" w:evenVBand="0" w:oddHBand="0" w:evenHBand="0" w:firstRowFirstColumn="0" w:firstRowLastColumn="0" w:lastRowFirstColumn="0" w:lastRowLastColumn="0"/>
            </w:pPr>
            <w:r w:rsidRPr="001455DC">
              <w:t>Dry atmospheric conditions (</w:t>
            </w:r>
            <w:r w:rsidRPr="001455DC">
              <w:rPr>
                <w:rStyle w:val="CCMCvariableitalic"/>
              </w:rPr>
              <w:t>RH</w:t>
            </w:r>
            <w:r w:rsidRPr="001455DC">
              <w:t> </w:t>
            </w:r>
            <w:r w:rsidR="00EC27D2" w:rsidRPr="001455DC">
              <w:rPr>
                <w:rFonts w:ascii="Cambria Math" w:hAnsi="Cambria Math"/>
              </w:rPr>
              <w:t>=</w:t>
            </w:r>
            <w:r w:rsidRPr="001455DC">
              <w:t> 50 %)</w:t>
            </w:r>
          </w:p>
        </w:tc>
        <w:tc>
          <w:tcPr>
            <w:tcW w:w="3648" w:type="dxa"/>
            <w:gridSpan w:val="4"/>
            <w:tcBorders>
              <w:bottom w:val="nil"/>
            </w:tcBorders>
          </w:tcPr>
          <w:p w14:paraId="04265F61" w14:textId="570B6B8E" w:rsidR="00173A84" w:rsidRPr="001455DC" w:rsidRDefault="00173A84" w:rsidP="00173A84">
            <w:pPr>
              <w:pStyle w:val="Tableheader"/>
              <w:keepNext/>
              <w:cnfStyle w:val="100000000000" w:firstRow="1" w:lastRow="0" w:firstColumn="0" w:lastColumn="0" w:oddVBand="0" w:evenVBand="0" w:oddHBand="0" w:evenHBand="0" w:firstRowFirstColumn="0" w:firstRowLastColumn="0" w:lastRowFirstColumn="0" w:lastRowLastColumn="0"/>
            </w:pPr>
            <w:r w:rsidRPr="001455DC">
              <w:t>Humid atmospheric conditions (</w:t>
            </w:r>
            <w:r w:rsidRPr="001455DC">
              <w:rPr>
                <w:rStyle w:val="CCMCvariableitalic"/>
              </w:rPr>
              <w:t>RH</w:t>
            </w:r>
            <w:r w:rsidRPr="001455DC">
              <w:t> </w:t>
            </w:r>
            <w:r w:rsidR="00EC27D2" w:rsidRPr="001455DC">
              <w:rPr>
                <w:rFonts w:ascii="Cambria Math" w:hAnsi="Cambria Math"/>
              </w:rPr>
              <w:t>=</w:t>
            </w:r>
            <w:r w:rsidRPr="001455DC">
              <w:t> 80 %)</w:t>
            </w:r>
          </w:p>
        </w:tc>
      </w:tr>
      <w:tr w:rsidR="00173A84" w:rsidRPr="001455DC" w14:paraId="2DFB701B" w14:textId="77777777" w:rsidTr="00173A84">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541" w:type="dxa"/>
            <w:vMerge/>
            <w:tcBorders>
              <w:top w:val="nil"/>
              <w:bottom w:val="nil"/>
            </w:tcBorders>
          </w:tcPr>
          <w:p w14:paraId="74195998" w14:textId="77777777" w:rsidR="00173A84" w:rsidRPr="009D3012" w:rsidRDefault="00173A84" w:rsidP="00173A84">
            <w:pPr>
              <w:pStyle w:val="Tableheader"/>
              <w:keepNext/>
              <w:rPr>
                <w:rStyle w:val="CCMCvariableitalic"/>
              </w:rPr>
            </w:pPr>
          </w:p>
        </w:tc>
        <w:tc>
          <w:tcPr>
            <w:tcW w:w="913" w:type="dxa"/>
            <w:vMerge/>
            <w:tcBorders>
              <w:top w:val="nil"/>
              <w:bottom w:val="nil"/>
            </w:tcBorders>
            <w:noWrap/>
            <w:hideMark/>
          </w:tcPr>
          <w:p w14:paraId="0B8F013A" w14:textId="77777777" w:rsidR="00173A84" w:rsidRPr="001455DC" w:rsidRDefault="00173A84" w:rsidP="00173A84">
            <w:pPr>
              <w:pStyle w:val="Tableheader"/>
              <w:keepNext/>
              <w:cnfStyle w:val="100000000000" w:firstRow="1" w:lastRow="0" w:firstColumn="0" w:lastColumn="0" w:oddVBand="0" w:evenVBand="0" w:oddHBand="0" w:evenHBand="0" w:firstRowFirstColumn="0" w:firstRowLastColumn="0" w:lastRowFirstColumn="0" w:lastRowLastColumn="0"/>
            </w:pPr>
          </w:p>
        </w:tc>
        <w:tc>
          <w:tcPr>
            <w:tcW w:w="3650" w:type="dxa"/>
            <w:gridSpan w:val="4"/>
            <w:tcBorders>
              <w:top w:val="nil"/>
              <w:bottom w:val="nil"/>
            </w:tcBorders>
          </w:tcPr>
          <w:p w14:paraId="082EBBDB" w14:textId="6F0C7841" w:rsidR="00173A84" w:rsidRPr="001455DC" w:rsidRDefault="00173A84" w:rsidP="00173A84">
            <w:pPr>
              <w:pStyle w:val="Tableheader"/>
              <w:keepNext/>
              <w:cnfStyle w:val="100000000000" w:firstRow="1" w:lastRow="0" w:firstColumn="0" w:lastColumn="0" w:oddVBand="0" w:evenVBand="0" w:oddHBand="0" w:evenHBand="0" w:firstRowFirstColumn="0" w:firstRowLastColumn="0" w:lastRowFirstColumn="0" w:lastRowLastColumn="0"/>
              <w:rPr>
                <w:sz w:val="19"/>
                <w:szCs w:val="19"/>
              </w:rPr>
            </w:pPr>
            <w:r w:rsidRPr="001455DC">
              <w:rPr>
                <w:rStyle w:val="CCMCvariableitalic"/>
              </w:rPr>
              <w:t>h</w:t>
            </w:r>
            <w:r w:rsidRPr="001455DC">
              <w:rPr>
                <w:rStyle w:val="CCMCvariablesubscript"/>
              </w:rPr>
              <w:t>n</w:t>
            </w:r>
          </w:p>
        </w:tc>
        <w:tc>
          <w:tcPr>
            <w:tcW w:w="3648" w:type="dxa"/>
            <w:gridSpan w:val="4"/>
            <w:tcBorders>
              <w:top w:val="nil"/>
              <w:bottom w:val="nil"/>
            </w:tcBorders>
          </w:tcPr>
          <w:p w14:paraId="03E9735D" w14:textId="689D3CF2" w:rsidR="00173A84" w:rsidRPr="001455DC" w:rsidRDefault="00173A84" w:rsidP="00173A84">
            <w:pPr>
              <w:pStyle w:val="Tableheader"/>
              <w:keepNext/>
              <w:cnfStyle w:val="100000000000" w:firstRow="1" w:lastRow="0" w:firstColumn="0" w:lastColumn="0" w:oddVBand="0" w:evenVBand="0" w:oddHBand="0" w:evenHBand="0" w:firstRowFirstColumn="0" w:firstRowLastColumn="0" w:lastRowFirstColumn="0" w:lastRowLastColumn="0"/>
            </w:pPr>
            <w:r w:rsidRPr="001455DC">
              <w:rPr>
                <w:rStyle w:val="CCMCvariableitalic"/>
              </w:rPr>
              <w:t>h</w:t>
            </w:r>
            <w:r w:rsidRPr="001455DC">
              <w:rPr>
                <w:rStyle w:val="CCMCvariablesubscript"/>
              </w:rPr>
              <w:t>n</w:t>
            </w:r>
          </w:p>
        </w:tc>
      </w:tr>
      <w:tr w:rsidR="00173A84" w:rsidRPr="001455DC" w14:paraId="2EBF1D9B" w14:textId="77777777" w:rsidTr="00173A84">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541" w:type="dxa"/>
            <w:vMerge/>
            <w:tcBorders>
              <w:top w:val="nil"/>
              <w:bottom w:val="nil"/>
            </w:tcBorders>
          </w:tcPr>
          <w:p w14:paraId="7179181B" w14:textId="77777777" w:rsidR="00173A84" w:rsidRPr="009D3012" w:rsidRDefault="00173A84" w:rsidP="00173A84">
            <w:pPr>
              <w:pStyle w:val="Tableheader"/>
              <w:keepNext/>
              <w:rPr>
                <w:rStyle w:val="CCMCvariableitalic"/>
              </w:rPr>
            </w:pPr>
          </w:p>
        </w:tc>
        <w:tc>
          <w:tcPr>
            <w:tcW w:w="913" w:type="dxa"/>
            <w:vMerge/>
            <w:tcBorders>
              <w:top w:val="nil"/>
              <w:bottom w:val="nil"/>
            </w:tcBorders>
            <w:noWrap/>
          </w:tcPr>
          <w:p w14:paraId="4D9EA4FD" w14:textId="77777777" w:rsidR="00173A84" w:rsidRPr="001455DC" w:rsidRDefault="00173A84" w:rsidP="00173A84">
            <w:pPr>
              <w:pStyle w:val="Tableheader"/>
              <w:keepNext/>
              <w:cnfStyle w:val="100000000000" w:firstRow="1" w:lastRow="0" w:firstColumn="0" w:lastColumn="0" w:oddVBand="0" w:evenVBand="0" w:oddHBand="0" w:evenHBand="0" w:firstRowFirstColumn="0" w:firstRowLastColumn="0" w:lastRowFirstColumn="0" w:lastRowLastColumn="0"/>
            </w:pPr>
          </w:p>
        </w:tc>
        <w:tc>
          <w:tcPr>
            <w:tcW w:w="3650" w:type="dxa"/>
            <w:gridSpan w:val="4"/>
            <w:tcBorders>
              <w:top w:val="nil"/>
              <w:bottom w:val="nil"/>
            </w:tcBorders>
          </w:tcPr>
          <w:p w14:paraId="5A2C6E60" w14:textId="39B69ADA" w:rsidR="00173A84" w:rsidRPr="009D3012" w:rsidRDefault="00173A84" w:rsidP="00173A84">
            <w:pPr>
              <w:pStyle w:val="Tableheader"/>
              <w:keepNext/>
              <w:cnfStyle w:val="100000000000" w:firstRow="1" w:lastRow="0" w:firstColumn="0" w:lastColumn="0" w:oddVBand="0" w:evenVBand="0" w:oddHBand="0" w:evenHBand="0" w:firstRowFirstColumn="0" w:firstRowLastColumn="0" w:lastRowFirstColumn="0" w:lastRowLastColumn="0"/>
              <w:rPr>
                <w:rStyle w:val="CCMCvariableitalic"/>
                <w:bCs/>
              </w:rPr>
            </w:pPr>
            <w:r w:rsidRPr="009D3012">
              <w:rPr>
                <w:bCs/>
              </w:rPr>
              <w:t>[mm]</w:t>
            </w:r>
          </w:p>
        </w:tc>
        <w:tc>
          <w:tcPr>
            <w:tcW w:w="3648" w:type="dxa"/>
            <w:gridSpan w:val="4"/>
            <w:tcBorders>
              <w:top w:val="nil"/>
              <w:bottom w:val="nil"/>
            </w:tcBorders>
          </w:tcPr>
          <w:p w14:paraId="75934B5D" w14:textId="2332A6CE" w:rsidR="00173A84" w:rsidRPr="009D3012" w:rsidRDefault="00173A84" w:rsidP="00173A84">
            <w:pPr>
              <w:pStyle w:val="Tableheader"/>
              <w:keepNext/>
              <w:cnfStyle w:val="100000000000" w:firstRow="1" w:lastRow="0" w:firstColumn="0" w:lastColumn="0" w:oddVBand="0" w:evenVBand="0" w:oddHBand="0" w:evenHBand="0" w:firstRowFirstColumn="0" w:firstRowLastColumn="0" w:lastRowFirstColumn="0" w:lastRowLastColumn="0"/>
              <w:rPr>
                <w:rStyle w:val="CCMCvariableitalic"/>
                <w:bCs/>
              </w:rPr>
            </w:pPr>
            <w:r w:rsidRPr="009D3012">
              <w:rPr>
                <w:bCs/>
              </w:rPr>
              <w:t>[mm]</w:t>
            </w:r>
          </w:p>
        </w:tc>
      </w:tr>
      <w:tr w:rsidR="004E22C1" w:rsidRPr="001455DC" w14:paraId="6571888A" w14:textId="77777777" w:rsidTr="00173A84">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541" w:type="dxa"/>
            <w:vMerge/>
            <w:tcBorders>
              <w:top w:val="nil"/>
            </w:tcBorders>
          </w:tcPr>
          <w:p w14:paraId="220893ED" w14:textId="77777777" w:rsidR="004E22C1" w:rsidRPr="001455DC" w:rsidRDefault="004E22C1" w:rsidP="00173A84">
            <w:pPr>
              <w:pStyle w:val="Tableheader"/>
              <w:keepNext/>
            </w:pPr>
          </w:p>
        </w:tc>
        <w:tc>
          <w:tcPr>
            <w:tcW w:w="913" w:type="dxa"/>
            <w:vMerge/>
            <w:tcBorders>
              <w:top w:val="nil"/>
            </w:tcBorders>
            <w:noWrap/>
            <w:hideMark/>
          </w:tcPr>
          <w:p w14:paraId="3E1FB5F4" w14:textId="77777777" w:rsidR="004E22C1" w:rsidRPr="001455DC" w:rsidRDefault="004E22C1" w:rsidP="00173A84">
            <w:pPr>
              <w:pStyle w:val="Tableheader"/>
              <w:keepNext/>
              <w:cnfStyle w:val="100000000000" w:firstRow="1" w:lastRow="0" w:firstColumn="0" w:lastColumn="0" w:oddVBand="0" w:evenVBand="0" w:oddHBand="0" w:evenHBand="0" w:firstRowFirstColumn="0" w:firstRowLastColumn="0" w:lastRowFirstColumn="0" w:lastRowLastColumn="0"/>
              <w:rPr>
                <w:strike/>
                <w:sz w:val="17"/>
                <w:szCs w:val="17"/>
              </w:rPr>
            </w:pPr>
          </w:p>
        </w:tc>
        <w:tc>
          <w:tcPr>
            <w:tcW w:w="913" w:type="dxa"/>
            <w:tcBorders>
              <w:top w:val="nil"/>
            </w:tcBorders>
          </w:tcPr>
          <w:p w14:paraId="619416B9" w14:textId="77777777" w:rsidR="004E22C1" w:rsidRPr="001455DC" w:rsidRDefault="004E22C1" w:rsidP="00173A84">
            <w:pPr>
              <w:pStyle w:val="Tableheader"/>
              <w:keepNext/>
              <w:cnfStyle w:val="100000000000" w:firstRow="1" w:lastRow="0" w:firstColumn="0" w:lastColumn="0" w:oddVBand="0" w:evenVBand="0" w:oddHBand="0" w:evenHBand="0" w:firstRowFirstColumn="0" w:firstRowLastColumn="0" w:lastRowFirstColumn="0" w:lastRowLastColumn="0"/>
            </w:pPr>
            <w:r w:rsidRPr="001455DC">
              <w:t>100</w:t>
            </w:r>
          </w:p>
        </w:tc>
        <w:tc>
          <w:tcPr>
            <w:tcW w:w="913" w:type="dxa"/>
            <w:tcBorders>
              <w:top w:val="nil"/>
            </w:tcBorders>
            <w:noWrap/>
            <w:hideMark/>
          </w:tcPr>
          <w:p w14:paraId="0938A32F" w14:textId="77777777" w:rsidR="004E22C1" w:rsidRPr="001455DC" w:rsidRDefault="004E22C1" w:rsidP="00173A84">
            <w:pPr>
              <w:pStyle w:val="Tableheader"/>
              <w:keepNext/>
              <w:cnfStyle w:val="100000000000" w:firstRow="1" w:lastRow="0" w:firstColumn="0" w:lastColumn="0" w:oddVBand="0" w:evenVBand="0" w:oddHBand="0" w:evenHBand="0" w:firstRowFirstColumn="0" w:firstRowLastColumn="0" w:lastRowFirstColumn="0" w:lastRowLastColumn="0"/>
            </w:pPr>
            <w:r w:rsidRPr="001455DC">
              <w:t>200</w:t>
            </w:r>
          </w:p>
        </w:tc>
        <w:tc>
          <w:tcPr>
            <w:tcW w:w="912" w:type="dxa"/>
            <w:tcBorders>
              <w:top w:val="nil"/>
            </w:tcBorders>
            <w:noWrap/>
            <w:hideMark/>
          </w:tcPr>
          <w:p w14:paraId="5CD8EBBC" w14:textId="77777777" w:rsidR="004E22C1" w:rsidRPr="001455DC" w:rsidRDefault="004E22C1" w:rsidP="00173A84">
            <w:pPr>
              <w:pStyle w:val="Tableheader"/>
              <w:keepNext/>
              <w:cnfStyle w:val="100000000000" w:firstRow="1" w:lastRow="0" w:firstColumn="0" w:lastColumn="0" w:oddVBand="0" w:evenVBand="0" w:oddHBand="0" w:evenHBand="0" w:firstRowFirstColumn="0" w:firstRowLastColumn="0" w:lastRowFirstColumn="0" w:lastRowLastColumn="0"/>
            </w:pPr>
            <w:r w:rsidRPr="001455DC">
              <w:t>500</w:t>
            </w:r>
          </w:p>
        </w:tc>
        <w:tc>
          <w:tcPr>
            <w:tcW w:w="912" w:type="dxa"/>
            <w:tcBorders>
              <w:top w:val="nil"/>
            </w:tcBorders>
            <w:noWrap/>
            <w:hideMark/>
          </w:tcPr>
          <w:p w14:paraId="08D864D7" w14:textId="6B3C42F5" w:rsidR="004E22C1" w:rsidRPr="001455DC" w:rsidRDefault="004E22C1" w:rsidP="00173A84">
            <w:pPr>
              <w:pStyle w:val="Tableheader"/>
              <w:keepNext/>
              <w:cnfStyle w:val="100000000000" w:firstRow="1" w:lastRow="0" w:firstColumn="0" w:lastColumn="0" w:oddVBand="0" w:evenVBand="0" w:oddHBand="0" w:evenHBand="0" w:firstRowFirstColumn="0" w:firstRowLastColumn="0" w:lastRowFirstColumn="0" w:lastRowLastColumn="0"/>
            </w:pPr>
            <w:r w:rsidRPr="001455DC">
              <w:t>1</w:t>
            </w:r>
            <w:r w:rsidR="00173A84" w:rsidRPr="001455DC">
              <w:t> </w:t>
            </w:r>
            <w:r w:rsidRPr="001455DC">
              <w:t>000</w:t>
            </w:r>
          </w:p>
        </w:tc>
        <w:tc>
          <w:tcPr>
            <w:tcW w:w="912" w:type="dxa"/>
            <w:tcBorders>
              <w:top w:val="nil"/>
            </w:tcBorders>
          </w:tcPr>
          <w:p w14:paraId="70A141E7" w14:textId="77777777" w:rsidR="004E22C1" w:rsidRPr="001455DC" w:rsidRDefault="004E22C1" w:rsidP="00173A84">
            <w:pPr>
              <w:pStyle w:val="Tableheader"/>
              <w:keepNext/>
              <w:cnfStyle w:val="100000000000" w:firstRow="1" w:lastRow="0" w:firstColumn="0" w:lastColumn="0" w:oddVBand="0" w:evenVBand="0" w:oddHBand="0" w:evenHBand="0" w:firstRowFirstColumn="0" w:firstRowLastColumn="0" w:lastRowFirstColumn="0" w:lastRowLastColumn="0"/>
            </w:pPr>
            <w:r w:rsidRPr="001455DC">
              <w:t>100</w:t>
            </w:r>
          </w:p>
        </w:tc>
        <w:tc>
          <w:tcPr>
            <w:tcW w:w="912" w:type="dxa"/>
            <w:tcBorders>
              <w:top w:val="nil"/>
            </w:tcBorders>
            <w:noWrap/>
            <w:hideMark/>
          </w:tcPr>
          <w:p w14:paraId="756A24CA" w14:textId="77777777" w:rsidR="004E22C1" w:rsidRPr="001455DC" w:rsidRDefault="004E22C1" w:rsidP="00173A84">
            <w:pPr>
              <w:pStyle w:val="Tableheader"/>
              <w:keepNext/>
              <w:cnfStyle w:val="100000000000" w:firstRow="1" w:lastRow="0" w:firstColumn="0" w:lastColumn="0" w:oddVBand="0" w:evenVBand="0" w:oddHBand="0" w:evenHBand="0" w:firstRowFirstColumn="0" w:firstRowLastColumn="0" w:lastRowFirstColumn="0" w:lastRowLastColumn="0"/>
            </w:pPr>
            <w:r w:rsidRPr="001455DC">
              <w:t>200</w:t>
            </w:r>
          </w:p>
        </w:tc>
        <w:tc>
          <w:tcPr>
            <w:tcW w:w="912" w:type="dxa"/>
            <w:tcBorders>
              <w:top w:val="nil"/>
            </w:tcBorders>
            <w:noWrap/>
            <w:hideMark/>
          </w:tcPr>
          <w:p w14:paraId="04124C8D" w14:textId="77777777" w:rsidR="004E22C1" w:rsidRPr="001455DC" w:rsidRDefault="004E22C1" w:rsidP="00173A84">
            <w:pPr>
              <w:pStyle w:val="Tableheader"/>
              <w:keepNext/>
              <w:cnfStyle w:val="100000000000" w:firstRow="1" w:lastRow="0" w:firstColumn="0" w:lastColumn="0" w:oddVBand="0" w:evenVBand="0" w:oddHBand="0" w:evenHBand="0" w:firstRowFirstColumn="0" w:firstRowLastColumn="0" w:lastRowFirstColumn="0" w:lastRowLastColumn="0"/>
            </w:pPr>
            <w:r w:rsidRPr="001455DC">
              <w:t>500</w:t>
            </w:r>
          </w:p>
        </w:tc>
        <w:tc>
          <w:tcPr>
            <w:tcW w:w="912" w:type="dxa"/>
            <w:tcBorders>
              <w:top w:val="nil"/>
            </w:tcBorders>
            <w:noWrap/>
            <w:hideMark/>
          </w:tcPr>
          <w:p w14:paraId="4D0F77BE" w14:textId="4C5EC870" w:rsidR="004E22C1" w:rsidRPr="001455DC" w:rsidRDefault="004E22C1" w:rsidP="00173A84">
            <w:pPr>
              <w:pStyle w:val="Tableheader"/>
              <w:keepNext/>
              <w:cnfStyle w:val="100000000000" w:firstRow="1" w:lastRow="0" w:firstColumn="0" w:lastColumn="0" w:oddVBand="0" w:evenVBand="0" w:oddHBand="0" w:evenHBand="0" w:firstRowFirstColumn="0" w:firstRowLastColumn="0" w:lastRowFirstColumn="0" w:lastRowLastColumn="0"/>
            </w:pPr>
            <w:r w:rsidRPr="001455DC">
              <w:t>1</w:t>
            </w:r>
            <w:r w:rsidR="00173A84" w:rsidRPr="001455DC">
              <w:t> </w:t>
            </w:r>
            <w:r w:rsidRPr="001455DC">
              <w:t>000</w:t>
            </w:r>
          </w:p>
        </w:tc>
      </w:tr>
      <w:tr w:rsidR="00173A84" w:rsidRPr="001455DC" w14:paraId="6DC49DC3" w14:textId="77777777" w:rsidTr="00173A84">
        <w:trPr>
          <w:cantSplit/>
        </w:trPr>
        <w:tc>
          <w:tcPr>
            <w:tcW w:w="1541" w:type="dxa"/>
            <w:vMerge w:val="restart"/>
            <w:vAlign w:val="center"/>
          </w:tcPr>
          <w:p w14:paraId="4F901223" w14:textId="707D8245" w:rsidR="00173A84" w:rsidRPr="001455DC" w:rsidRDefault="00173A84" w:rsidP="00173A84">
            <w:pPr>
              <w:pStyle w:val="Tablebody"/>
              <w:keepNext/>
              <w:jc w:val="center"/>
              <w:rPr>
                <w:b/>
              </w:rPr>
            </w:pPr>
            <w:r w:rsidRPr="001455DC">
              <w:rPr>
                <w:b/>
              </w:rPr>
              <w:t>Class CS</w:t>
            </w:r>
          </w:p>
        </w:tc>
        <w:tc>
          <w:tcPr>
            <w:tcW w:w="913" w:type="dxa"/>
            <w:noWrap/>
            <w:vAlign w:val="center"/>
            <w:hideMark/>
          </w:tcPr>
          <w:p w14:paraId="6514BA28" w14:textId="77777777" w:rsidR="00173A84" w:rsidRPr="001455DC" w:rsidRDefault="00173A84" w:rsidP="00173A84">
            <w:pPr>
              <w:pStyle w:val="Tablebody"/>
              <w:keepNext/>
              <w:jc w:val="center"/>
              <w:rPr>
                <w:b/>
              </w:rPr>
            </w:pPr>
            <w:r w:rsidRPr="001455DC">
              <w:rPr>
                <w:b/>
              </w:rPr>
              <w:t>20</w:t>
            </w:r>
          </w:p>
        </w:tc>
        <w:tc>
          <w:tcPr>
            <w:tcW w:w="913" w:type="dxa"/>
            <w:vAlign w:val="center"/>
          </w:tcPr>
          <w:p w14:paraId="67366A85" w14:textId="77777777" w:rsidR="00173A84" w:rsidRPr="001455DC" w:rsidRDefault="00173A84" w:rsidP="00173A84">
            <w:pPr>
              <w:pStyle w:val="Tablebody"/>
              <w:keepNext/>
              <w:jc w:val="center"/>
            </w:pPr>
            <w:r w:rsidRPr="001455DC">
              <w:t>0,57</w:t>
            </w:r>
          </w:p>
        </w:tc>
        <w:tc>
          <w:tcPr>
            <w:tcW w:w="913" w:type="dxa"/>
            <w:noWrap/>
            <w:vAlign w:val="center"/>
          </w:tcPr>
          <w:p w14:paraId="2DA14FED" w14:textId="77777777" w:rsidR="00173A84" w:rsidRPr="001455DC" w:rsidRDefault="00173A84" w:rsidP="00173A84">
            <w:pPr>
              <w:pStyle w:val="Tablebody"/>
              <w:keepNext/>
              <w:jc w:val="center"/>
            </w:pPr>
            <w:r w:rsidRPr="001455DC">
              <w:t>0,56</w:t>
            </w:r>
          </w:p>
        </w:tc>
        <w:tc>
          <w:tcPr>
            <w:tcW w:w="912" w:type="dxa"/>
            <w:noWrap/>
            <w:vAlign w:val="center"/>
          </w:tcPr>
          <w:p w14:paraId="2084083F" w14:textId="77777777" w:rsidR="00173A84" w:rsidRPr="001455DC" w:rsidRDefault="00173A84" w:rsidP="00173A84">
            <w:pPr>
              <w:pStyle w:val="Tablebody"/>
              <w:keepNext/>
              <w:jc w:val="center"/>
            </w:pPr>
            <w:r w:rsidRPr="001455DC">
              <w:t>0,48</w:t>
            </w:r>
          </w:p>
        </w:tc>
        <w:tc>
          <w:tcPr>
            <w:tcW w:w="912" w:type="dxa"/>
            <w:noWrap/>
            <w:vAlign w:val="center"/>
          </w:tcPr>
          <w:p w14:paraId="043D27DD" w14:textId="77777777" w:rsidR="00173A84" w:rsidRPr="001455DC" w:rsidRDefault="00173A84" w:rsidP="00173A84">
            <w:pPr>
              <w:pStyle w:val="Tablebody"/>
              <w:keepNext/>
              <w:jc w:val="center"/>
            </w:pPr>
            <w:r w:rsidRPr="001455DC">
              <w:t>0,36</w:t>
            </w:r>
          </w:p>
        </w:tc>
        <w:tc>
          <w:tcPr>
            <w:tcW w:w="912" w:type="dxa"/>
            <w:vAlign w:val="center"/>
          </w:tcPr>
          <w:p w14:paraId="392F0DFF" w14:textId="77777777" w:rsidR="00173A84" w:rsidRPr="001455DC" w:rsidRDefault="00173A84" w:rsidP="00173A84">
            <w:pPr>
              <w:pStyle w:val="Tablebody"/>
              <w:keepNext/>
              <w:jc w:val="center"/>
            </w:pPr>
            <w:r w:rsidRPr="001455DC">
              <w:t>0,33</w:t>
            </w:r>
          </w:p>
        </w:tc>
        <w:tc>
          <w:tcPr>
            <w:tcW w:w="912" w:type="dxa"/>
            <w:noWrap/>
            <w:vAlign w:val="center"/>
          </w:tcPr>
          <w:p w14:paraId="5D38B8C4" w14:textId="77777777" w:rsidR="00173A84" w:rsidRPr="001455DC" w:rsidRDefault="00173A84" w:rsidP="00173A84">
            <w:pPr>
              <w:pStyle w:val="Tablebody"/>
              <w:keepNext/>
              <w:jc w:val="center"/>
            </w:pPr>
            <w:r w:rsidRPr="001455DC">
              <w:t>0,32</w:t>
            </w:r>
          </w:p>
        </w:tc>
        <w:tc>
          <w:tcPr>
            <w:tcW w:w="912" w:type="dxa"/>
            <w:noWrap/>
            <w:vAlign w:val="center"/>
          </w:tcPr>
          <w:p w14:paraId="64151BD4" w14:textId="77777777" w:rsidR="00173A84" w:rsidRPr="001455DC" w:rsidRDefault="00173A84" w:rsidP="00173A84">
            <w:pPr>
              <w:pStyle w:val="Tablebody"/>
              <w:keepNext/>
              <w:jc w:val="center"/>
            </w:pPr>
            <w:r w:rsidRPr="001455DC">
              <w:t>0,28</w:t>
            </w:r>
          </w:p>
        </w:tc>
        <w:tc>
          <w:tcPr>
            <w:tcW w:w="912" w:type="dxa"/>
            <w:noWrap/>
            <w:vAlign w:val="center"/>
          </w:tcPr>
          <w:p w14:paraId="18D9920C" w14:textId="77777777" w:rsidR="00173A84" w:rsidRPr="001455DC" w:rsidRDefault="00173A84" w:rsidP="00173A84">
            <w:pPr>
              <w:pStyle w:val="Tablebody"/>
              <w:keepNext/>
              <w:jc w:val="center"/>
            </w:pPr>
            <w:r w:rsidRPr="001455DC">
              <w:t>0,21</w:t>
            </w:r>
          </w:p>
        </w:tc>
      </w:tr>
      <w:tr w:rsidR="00173A84" w:rsidRPr="001455DC" w14:paraId="43853FAD" w14:textId="77777777" w:rsidTr="00173A84">
        <w:trPr>
          <w:cantSplit/>
        </w:trPr>
        <w:tc>
          <w:tcPr>
            <w:tcW w:w="1541" w:type="dxa"/>
            <w:vMerge/>
            <w:vAlign w:val="center"/>
          </w:tcPr>
          <w:p w14:paraId="2AE54604" w14:textId="2E96F68E" w:rsidR="00173A84" w:rsidRPr="001455DC" w:rsidRDefault="00173A84" w:rsidP="00173A84">
            <w:pPr>
              <w:pStyle w:val="Tablebody"/>
              <w:keepNext/>
              <w:jc w:val="center"/>
              <w:rPr>
                <w:b/>
              </w:rPr>
            </w:pPr>
          </w:p>
        </w:tc>
        <w:tc>
          <w:tcPr>
            <w:tcW w:w="913" w:type="dxa"/>
            <w:noWrap/>
            <w:vAlign w:val="center"/>
          </w:tcPr>
          <w:p w14:paraId="38BBCAD0" w14:textId="77777777" w:rsidR="00173A84" w:rsidRPr="001455DC" w:rsidRDefault="00173A84" w:rsidP="00173A84">
            <w:pPr>
              <w:pStyle w:val="Tablebody"/>
              <w:keepNext/>
              <w:jc w:val="center"/>
              <w:rPr>
                <w:b/>
              </w:rPr>
            </w:pPr>
            <w:r w:rsidRPr="001455DC">
              <w:rPr>
                <w:b/>
              </w:rPr>
              <w:t>35</w:t>
            </w:r>
          </w:p>
        </w:tc>
        <w:tc>
          <w:tcPr>
            <w:tcW w:w="913" w:type="dxa"/>
            <w:vAlign w:val="center"/>
          </w:tcPr>
          <w:p w14:paraId="176072B8" w14:textId="77777777" w:rsidR="00173A84" w:rsidRPr="001455DC" w:rsidRDefault="00173A84" w:rsidP="00173A84">
            <w:pPr>
              <w:pStyle w:val="Tablebody"/>
              <w:keepNext/>
              <w:jc w:val="center"/>
            </w:pPr>
            <w:r w:rsidRPr="001455DC">
              <w:t>0,53</w:t>
            </w:r>
          </w:p>
        </w:tc>
        <w:tc>
          <w:tcPr>
            <w:tcW w:w="913" w:type="dxa"/>
            <w:noWrap/>
            <w:vAlign w:val="center"/>
          </w:tcPr>
          <w:p w14:paraId="6A1DB88F" w14:textId="77777777" w:rsidR="00173A84" w:rsidRPr="001455DC" w:rsidRDefault="00173A84" w:rsidP="00173A84">
            <w:pPr>
              <w:pStyle w:val="Tablebody"/>
              <w:keepNext/>
              <w:jc w:val="center"/>
            </w:pPr>
            <w:r w:rsidRPr="001455DC">
              <w:t>0,51</w:t>
            </w:r>
          </w:p>
        </w:tc>
        <w:tc>
          <w:tcPr>
            <w:tcW w:w="912" w:type="dxa"/>
            <w:noWrap/>
            <w:vAlign w:val="center"/>
          </w:tcPr>
          <w:p w14:paraId="113E3D3D" w14:textId="77777777" w:rsidR="00173A84" w:rsidRPr="001455DC" w:rsidRDefault="00173A84" w:rsidP="00173A84">
            <w:pPr>
              <w:pStyle w:val="Tablebody"/>
              <w:keepNext/>
              <w:jc w:val="center"/>
            </w:pPr>
            <w:r w:rsidRPr="001455DC">
              <w:t>0,45</w:t>
            </w:r>
          </w:p>
        </w:tc>
        <w:tc>
          <w:tcPr>
            <w:tcW w:w="912" w:type="dxa"/>
            <w:noWrap/>
            <w:vAlign w:val="center"/>
          </w:tcPr>
          <w:p w14:paraId="1BC0073B" w14:textId="77777777" w:rsidR="00173A84" w:rsidRPr="001455DC" w:rsidRDefault="00173A84" w:rsidP="00173A84">
            <w:pPr>
              <w:pStyle w:val="Tablebody"/>
              <w:keepNext/>
              <w:jc w:val="center"/>
            </w:pPr>
            <w:r w:rsidRPr="001455DC">
              <w:t>0,35</w:t>
            </w:r>
          </w:p>
        </w:tc>
        <w:tc>
          <w:tcPr>
            <w:tcW w:w="912" w:type="dxa"/>
            <w:vAlign w:val="center"/>
          </w:tcPr>
          <w:p w14:paraId="30E23382" w14:textId="77777777" w:rsidR="00173A84" w:rsidRPr="001455DC" w:rsidRDefault="00173A84" w:rsidP="00173A84">
            <w:pPr>
              <w:pStyle w:val="Tablebody"/>
              <w:keepNext/>
              <w:jc w:val="center"/>
            </w:pPr>
            <w:r w:rsidRPr="001455DC">
              <w:t>0,31</w:t>
            </w:r>
          </w:p>
        </w:tc>
        <w:tc>
          <w:tcPr>
            <w:tcW w:w="912" w:type="dxa"/>
            <w:noWrap/>
            <w:vAlign w:val="center"/>
          </w:tcPr>
          <w:p w14:paraId="70DECA3B" w14:textId="77777777" w:rsidR="00173A84" w:rsidRPr="001455DC" w:rsidRDefault="00173A84" w:rsidP="00173A84">
            <w:pPr>
              <w:pStyle w:val="Tablebody"/>
              <w:keepNext/>
              <w:jc w:val="center"/>
            </w:pPr>
            <w:r w:rsidRPr="001455DC">
              <w:t>0,31</w:t>
            </w:r>
          </w:p>
        </w:tc>
        <w:tc>
          <w:tcPr>
            <w:tcW w:w="912" w:type="dxa"/>
            <w:noWrap/>
            <w:vAlign w:val="center"/>
          </w:tcPr>
          <w:p w14:paraId="2E0128A1" w14:textId="77777777" w:rsidR="00173A84" w:rsidRPr="001455DC" w:rsidRDefault="00173A84" w:rsidP="00173A84">
            <w:pPr>
              <w:pStyle w:val="Tablebody"/>
              <w:keepNext/>
              <w:jc w:val="center"/>
            </w:pPr>
            <w:r w:rsidRPr="001455DC">
              <w:t>0,27</w:t>
            </w:r>
          </w:p>
        </w:tc>
        <w:tc>
          <w:tcPr>
            <w:tcW w:w="912" w:type="dxa"/>
            <w:noWrap/>
            <w:vAlign w:val="center"/>
          </w:tcPr>
          <w:p w14:paraId="7D80713D" w14:textId="77777777" w:rsidR="00173A84" w:rsidRPr="001455DC" w:rsidRDefault="00173A84" w:rsidP="00173A84">
            <w:pPr>
              <w:pStyle w:val="Tablebody"/>
              <w:keepNext/>
              <w:jc w:val="center"/>
            </w:pPr>
            <w:r w:rsidRPr="001455DC">
              <w:t>0,22</w:t>
            </w:r>
          </w:p>
        </w:tc>
      </w:tr>
      <w:tr w:rsidR="00173A84" w:rsidRPr="001455DC" w14:paraId="56F3B903" w14:textId="77777777" w:rsidTr="00173A84">
        <w:trPr>
          <w:cantSplit/>
        </w:trPr>
        <w:tc>
          <w:tcPr>
            <w:tcW w:w="1541" w:type="dxa"/>
            <w:vMerge/>
            <w:vAlign w:val="center"/>
          </w:tcPr>
          <w:p w14:paraId="69E895E7" w14:textId="77777777" w:rsidR="00173A84" w:rsidRPr="001455DC" w:rsidRDefault="00173A84" w:rsidP="00173A84">
            <w:pPr>
              <w:pStyle w:val="Tablebody"/>
              <w:keepNext/>
              <w:jc w:val="center"/>
              <w:rPr>
                <w:b/>
              </w:rPr>
            </w:pPr>
          </w:p>
        </w:tc>
        <w:tc>
          <w:tcPr>
            <w:tcW w:w="913" w:type="dxa"/>
            <w:noWrap/>
            <w:vAlign w:val="center"/>
            <w:hideMark/>
          </w:tcPr>
          <w:p w14:paraId="1ACBB8C1" w14:textId="77777777" w:rsidR="00173A84" w:rsidRPr="001455DC" w:rsidRDefault="00173A84" w:rsidP="00173A84">
            <w:pPr>
              <w:pStyle w:val="Tablebody"/>
              <w:keepNext/>
              <w:jc w:val="center"/>
              <w:rPr>
                <w:b/>
              </w:rPr>
            </w:pPr>
            <w:r w:rsidRPr="001455DC">
              <w:rPr>
                <w:b/>
              </w:rPr>
              <w:t>50</w:t>
            </w:r>
          </w:p>
        </w:tc>
        <w:tc>
          <w:tcPr>
            <w:tcW w:w="913" w:type="dxa"/>
            <w:vAlign w:val="center"/>
          </w:tcPr>
          <w:p w14:paraId="147B84EE" w14:textId="77777777" w:rsidR="00173A84" w:rsidRPr="001455DC" w:rsidRDefault="00173A84" w:rsidP="00173A84">
            <w:pPr>
              <w:pStyle w:val="Tablebody"/>
              <w:keepNext/>
              <w:jc w:val="center"/>
            </w:pPr>
            <w:r w:rsidRPr="001455DC">
              <w:t>0,49</w:t>
            </w:r>
          </w:p>
        </w:tc>
        <w:tc>
          <w:tcPr>
            <w:tcW w:w="913" w:type="dxa"/>
            <w:noWrap/>
            <w:vAlign w:val="center"/>
          </w:tcPr>
          <w:p w14:paraId="61A75681" w14:textId="77777777" w:rsidR="00173A84" w:rsidRPr="001455DC" w:rsidRDefault="00173A84" w:rsidP="00173A84">
            <w:pPr>
              <w:pStyle w:val="Tablebody"/>
              <w:keepNext/>
              <w:jc w:val="center"/>
            </w:pPr>
            <w:r w:rsidRPr="001455DC">
              <w:t>0,48</w:t>
            </w:r>
          </w:p>
        </w:tc>
        <w:tc>
          <w:tcPr>
            <w:tcW w:w="912" w:type="dxa"/>
            <w:noWrap/>
            <w:vAlign w:val="center"/>
          </w:tcPr>
          <w:p w14:paraId="6BAE8DF8" w14:textId="77777777" w:rsidR="00173A84" w:rsidRPr="001455DC" w:rsidRDefault="00173A84" w:rsidP="00173A84">
            <w:pPr>
              <w:pStyle w:val="Tablebody"/>
              <w:keepNext/>
              <w:jc w:val="center"/>
            </w:pPr>
            <w:r w:rsidRPr="001455DC">
              <w:t>0,43</w:t>
            </w:r>
          </w:p>
        </w:tc>
        <w:tc>
          <w:tcPr>
            <w:tcW w:w="912" w:type="dxa"/>
            <w:noWrap/>
            <w:vAlign w:val="center"/>
          </w:tcPr>
          <w:p w14:paraId="22894DA5" w14:textId="77777777" w:rsidR="00173A84" w:rsidRPr="001455DC" w:rsidRDefault="00173A84" w:rsidP="00173A84">
            <w:pPr>
              <w:pStyle w:val="Tablebody"/>
              <w:keepNext/>
              <w:jc w:val="center"/>
            </w:pPr>
            <w:r w:rsidRPr="001455DC">
              <w:t>0,35</w:t>
            </w:r>
          </w:p>
        </w:tc>
        <w:tc>
          <w:tcPr>
            <w:tcW w:w="912" w:type="dxa"/>
            <w:vAlign w:val="center"/>
          </w:tcPr>
          <w:p w14:paraId="087471CF" w14:textId="77777777" w:rsidR="00173A84" w:rsidRPr="001455DC" w:rsidRDefault="00173A84" w:rsidP="00173A84">
            <w:pPr>
              <w:pStyle w:val="Tablebody"/>
              <w:keepNext/>
              <w:jc w:val="center"/>
            </w:pPr>
            <w:r w:rsidRPr="001455DC">
              <w:t>0,30</w:t>
            </w:r>
          </w:p>
        </w:tc>
        <w:tc>
          <w:tcPr>
            <w:tcW w:w="912" w:type="dxa"/>
            <w:noWrap/>
            <w:vAlign w:val="center"/>
          </w:tcPr>
          <w:p w14:paraId="763ED4E2" w14:textId="77777777" w:rsidR="00173A84" w:rsidRPr="001455DC" w:rsidRDefault="00173A84" w:rsidP="00173A84">
            <w:pPr>
              <w:pStyle w:val="Tablebody"/>
              <w:keepNext/>
              <w:jc w:val="center"/>
            </w:pPr>
            <w:r w:rsidRPr="001455DC">
              <w:t>0,29</w:t>
            </w:r>
          </w:p>
        </w:tc>
        <w:tc>
          <w:tcPr>
            <w:tcW w:w="912" w:type="dxa"/>
            <w:noWrap/>
            <w:vAlign w:val="center"/>
          </w:tcPr>
          <w:p w14:paraId="6379D544" w14:textId="77777777" w:rsidR="00173A84" w:rsidRPr="001455DC" w:rsidRDefault="00173A84" w:rsidP="00173A84">
            <w:pPr>
              <w:pStyle w:val="Tablebody"/>
              <w:keepNext/>
              <w:jc w:val="center"/>
            </w:pPr>
            <w:r w:rsidRPr="001455DC">
              <w:t>0,27</w:t>
            </w:r>
          </w:p>
        </w:tc>
        <w:tc>
          <w:tcPr>
            <w:tcW w:w="912" w:type="dxa"/>
            <w:noWrap/>
            <w:vAlign w:val="center"/>
          </w:tcPr>
          <w:p w14:paraId="53F77296" w14:textId="77777777" w:rsidR="00173A84" w:rsidRPr="001455DC" w:rsidRDefault="00173A84" w:rsidP="00173A84">
            <w:pPr>
              <w:pStyle w:val="Tablebody"/>
              <w:keepNext/>
              <w:jc w:val="center"/>
            </w:pPr>
            <w:r w:rsidRPr="001455DC">
              <w:t>0,23</w:t>
            </w:r>
          </w:p>
        </w:tc>
      </w:tr>
      <w:tr w:rsidR="00173A84" w:rsidRPr="001455DC" w14:paraId="1D6D3A3C" w14:textId="77777777" w:rsidTr="00173A84">
        <w:trPr>
          <w:cantSplit/>
        </w:trPr>
        <w:tc>
          <w:tcPr>
            <w:tcW w:w="1541" w:type="dxa"/>
            <w:vMerge w:val="restart"/>
            <w:vAlign w:val="center"/>
          </w:tcPr>
          <w:p w14:paraId="2E3F04E0" w14:textId="2E2AFC72" w:rsidR="00173A84" w:rsidRPr="001455DC" w:rsidRDefault="00173A84" w:rsidP="00173A84">
            <w:pPr>
              <w:pStyle w:val="Tablebody"/>
              <w:keepNext/>
              <w:jc w:val="center"/>
              <w:rPr>
                <w:b/>
              </w:rPr>
            </w:pPr>
            <w:r w:rsidRPr="001455DC">
              <w:rPr>
                <w:b/>
              </w:rPr>
              <w:t>Class CN</w:t>
            </w:r>
          </w:p>
        </w:tc>
        <w:tc>
          <w:tcPr>
            <w:tcW w:w="913" w:type="dxa"/>
            <w:noWrap/>
            <w:vAlign w:val="center"/>
          </w:tcPr>
          <w:p w14:paraId="42AAC91C" w14:textId="77777777" w:rsidR="00173A84" w:rsidRPr="001455DC" w:rsidRDefault="00173A84" w:rsidP="00173A84">
            <w:pPr>
              <w:pStyle w:val="Tablebody"/>
              <w:keepNext/>
              <w:jc w:val="center"/>
              <w:rPr>
                <w:b/>
              </w:rPr>
            </w:pPr>
            <w:r w:rsidRPr="001455DC">
              <w:rPr>
                <w:b/>
              </w:rPr>
              <w:t>20</w:t>
            </w:r>
          </w:p>
        </w:tc>
        <w:tc>
          <w:tcPr>
            <w:tcW w:w="913" w:type="dxa"/>
            <w:vAlign w:val="center"/>
          </w:tcPr>
          <w:p w14:paraId="2CF218CE" w14:textId="77777777" w:rsidR="00173A84" w:rsidRPr="001455DC" w:rsidRDefault="00173A84" w:rsidP="00173A84">
            <w:pPr>
              <w:pStyle w:val="Tablebody"/>
              <w:keepNext/>
              <w:jc w:val="center"/>
            </w:pPr>
            <w:r w:rsidRPr="001455DC">
              <w:t>0,67</w:t>
            </w:r>
          </w:p>
        </w:tc>
        <w:tc>
          <w:tcPr>
            <w:tcW w:w="913" w:type="dxa"/>
            <w:noWrap/>
            <w:vAlign w:val="center"/>
          </w:tcPr>
          <w:p w14:paraId="5EAE644F" w14:textId="77777777" w:rsidR="00173A84" w:rsidRPr="001455DC" w:rsidRDefault="00173A84" w:rsidP="00173A84">
            <w:pPr>
              <w:pStyle w:val="Tablebody"/>
              <w:keepNext/>
              <w:jc w:val="center"/>
            </w:pPr>
            <w:r w:rsidRPr="001455DC">
              <w:t>0,65</w:t>
            </w:r>
          </w:p>
        </w:tc>
        <w:tc>
          <w:tcPr>
            <w:tcW w:w="912" w:type="dxa"/>
            <w:noWrap/>
            <w:vAlign w:val="center"/>
          </w:tcPr>
          <w:p w14:paraId="634B23DB" w14:textId="77777777" w:rsidR="00173A84" w:rsidRPr="001455DC" w:rsidRDefault="00173A84" w:rsidP="00173A84">
            <w:pPr>
              <w:pStyle w:val="Tablebody"/>
              <w:keepNext/>
              <w:jc w:val="center"/>
            </w:pPr>
            <w:r w:rsidRPr="001455DC">
              <w:t>0,56</w:t>
            </w:r>
          </w:p>
        </w:tc>
        <w:tc>
          <w:tcPr>
            <w:tcW w:w="912" w:type="dxa"/>
            <w:noWrap/>
            <w:vAlign w:val="center"/>
          </w:tcPr>
          <w:p w14:paraId="54AB7DBF" w14:textId="77777777" w:rsidR="00173A84" w:rsidRPr="001455DC" w:rsidRDefault="00173A84" w:rsidP="00173A84">
            <w:pPr>
              <w:pStyle w:val="Tablebody"/>
              <w:keepNext/>
              <w:jc w:val="center"/>
            </w:pPr>
            <w:r w:rsidRPr="001455DC">
              <w:t>0,41</w:t>
            </w:r>
          </w:p>
        </w:tc>
        <w:tc>
          <w:tcPr>
            <w:tcW w:w="912" w:type="dxa"/>
            <w:vAlign w:val="center"/>
          </w:tcPr>
          <w:p w14:paraId="5203E586" w14:textId="77777777" w:rsidR="00173A84" w:rsidRPr="001455DC" w:rsidRDefault="00173A84" w:rsidP="00173A84">
            <w:pPr>
              <w:pStyle w:val="Tablebody"/>
              <w:keepNext/>
              <w:jc w:val="center"/>
            </w:pPr>
            <w:r w:rsidRPr="001455DC">
              <w:t>0,38</w:t>
            </w:r>
          </w:p>
        </w:tc>
        <w:tc>
          <w:tcPr>
            <w:tcW w:w="912" w:type="dxa"/>
            <w:noWrap/>
            <w:vAlign w:val="center"/>
          </w:tcPr>
          <w:p w14:paraId="7A89170C" w14:textId="77777777" w:rsidR="00173A84" w:rsidRPr="001455DC" w:rsidRDefault="00173A84" w:rsidP="00173A84">
            <w:pPr>
              <w:pStyle w:val="Tablebody"/>
              <w:keepNext/>
              <w:jc w:val="center"/>
            </w:pPr>
            <w:r w:rsidRPr="001455DC">
              <w:t>0,37</w:t>
            </w:r>
          </w:p>
        </w:tc>
        <w:tc>
          <w:tcPr>
            <w:tcW w:w="912" w:type="dxa"/>
            <w:noWrap/>
            <w:vAlign w:val="center"/>
          </w:tcPr>
          <w:p w14:paraId="78463199" w14:textId="77777777" w:rsidR="00173A84" w:rsidRPr="001455DC" w:rsidRDefault="00173A84" w:rsidP="00173A84">
            <w:pPr>
              <w:pStyle w:val="Tablebody"/>
              <w:keepNext/>
              <w:jc w:val="center"/>
            </w:pPr>
            <w:r w:rsidRPr="001455DC">
              <w:t>0,32</w:t>
            </w:r>
          </w:p>
        </w:tc>
        <w:tc>
          <w:tcPr>
            <w:tcW w:w="912" w:type="dxa"/>
            <w:noWrap/>
            <w:vAlign w:val="center"/>
          </w:tcPr>
          <w:p w14:paraId="37E9BFBB" w14:textId="77777777" w:rsidR="00173A84" w:rsidRPr="001455DC" w:rsidRDefault="00173A84" w:rsidP="00173A84">
            <w:pPr>
              <w:pStyle w:val="Tablebody"/>
              <w:keepNext/>
              <w:jc w:val="center"/>
            </w:pPr>
            <w:r w:rsidRPr="001455DC">
              <w:t>0,24</w:t>
            </w:r>
          </w:p>
        </w:tc>
      </w:tr>
      <w:tr w:rsidR="00173A84" w:rsidRPr="001455DC" w14:paraId="4B41B819" w14:textId="77777777" w:rsidTr="00173A84">
        <w:trPr>
          <w:cantSplit/>
        </w:trPr>
        <w:tc>
          <w:tcPr>
            <w:tcW w:w="1541" w:type="dxa"/>
            <w:vMerge/>
            <w:vAlign w:val="center"/>
          </w:tcPr>
          <w:p w14:paraId="025FC659" w14:textId="1E61EF6D" w:rsidR="00173A84" w:rsidRPr="001455DC" w:rsidRDefault="00173A84" w:rsidP="00173A84">
            <w:pPr>
              <w:pStyle w:val="Tablebody"/>
              <w:keepNext/>
              <w:jc w:val="center"/>
              <w:rPr>
                <w:b/>
              </w:rPr>
            </w:pPr>
          </w:p>
        </w:tc>
        <w:tc>
          <w:tcPr>
            <w:tcW w:w="913" w:type="dxa"/>
            <w:noWrap/>
            <w:vAlign w:val="center"/>
          </w:tcPr>
          <w:p w14:paraId="2F4900CD" w14:textId="77777777" w:rsidR="00173A84" w:rsidRPr="001455DC" w:rsidRDefault="00173A84" w:rsidP="00173A84">
            <w:pPr>
              <w:pStyle w:val="Tablebody"/>
              <w:keepNext/>
              <w:jc w:val="center"/>
              <w:rPr>
                <w:b/>
              </w:rPr>
            </w:pPr>
            <w:r w:rsidRPr="001455DC">
              <w:rPr>
                <w:b/>
              </w:rPr>
              <w:t>35</w:t>
            </w:r>
          </w:p>
        </w:tc>
        <w:tc>
          <w:tcPr>
            <w:tcW w:w="913" w:type="dxa"/>
            <w:vAlign w:val="center"/>
          </w:tcPr>
          <w:p w14:paraId="1EB0825B" w14:textId="77777777" w:rsidR="00173A84" w:rsidRPr="001455DC" w:rsidRDefault="00173A84" w:rsidP="00173A84">
            <w:pPr>
              <w:pStyle w:val="Tablebody"/>
              <w:keepNext/>
              <w:jc w:val="center"/>
            </w:pPr>
            <w:r w:rsidRPr="001455DC">
              <w:t>0,60</w:t>
            </w:r>
          </w:p>
        </w:tc>
        <w:tc>
          <w:tcPr>
            <w:tcW w:w="913" w:type="dxa"/>
            <w:noWrap/>
            <w:vAlign w:val="center"/>
          </w:tcPr>
          <w:p w14:paraId="7485AB48" w14:textId="77777777" w:rsidR="00173A84" w:rsidRPr="001455DC" w:rsidRDefault="00173A84" w:rsidP="00173A84">
            <w:pPr>
              <w:pStyle w:val="Tablebody"/>
              <w:keepNext/>
              <w:jc w:val="center"/>
            </w:pPr>
            <w:r w:rsidRPr="001455DC">
              <w:t>0,59</w:t>
            </w:r>
          </w:p>
        </w:tc>
        <w:tc>
          <w:tcPr>
            <w:tcW w:w="912" w:type="dxa"/>
            <w:noWrap/>
            <w:vAlign w:val="center"/>
          </w:tcPr>
          <w:p w14:paraId="4708DB46" w14:textId="77777777" w:rsidR="00173A84" w:rsidRPr="001455DC" w:rsidRDefault="00173A84" w:rsidP="00173A84">
            <w:pPr>
              <w:pStyle w:val="Tablebody"/>
              <w:keepNext/>
              <w:jc w:val="center"/>
            </w:pPr>
            <w:r w:rsidRPr="001455DC">
              <w:t>0,51</w:t>
            </w:r>
          </w:p>
        </w:tc>
        <w:tc>
          <w:tcPr>
            <w:tcW w:w="912" w:type="dxa"/>
            <w:noWrap/>
            <w:vAlign w:val="center"/>
          </w:tcPr>
          <w:p w14:paraId="39D0D87C" w14:textId="77777777" w:rsidR="00173A84" w:rsidRPr="001455DC" w:rsidRDefault="00173A84" w:rsidP="00173A84">
            <w:pPr>
              <w:pStyle w:val="Tablebody"/>
              <w:keepNext/>
              <w:jc w:val="center"/>
            </w:pPr>
            <w:r w:rsidRPr="001455DC">
              <w:t>0,39</w:t>
            </w:r>
          </w:p>
        </w:tc>
        <w:tc>
          <w:tcPr>
            <w:tcW w:w="912" w:type="dxa"/>
            <w:vAlign w:val="center"/>
          </w:tcPr>
          <w:p w14:paraId="1C0DCE89" w14:textId="77777777" w:rsidR="00173A84" w:rsidRPr="001455DC" w:rsidRDefault="00173A84" w:rsidP="00173A84">
            <w:pPr>
              <w:pStyle w:val="Tablebody"/>
              <w:keepNext/>
              <w:jc w:val="center"/>
            </w:pPr>
            <w:r w:rsidRPr="001455DC">
              <w:t>0,34</w:t>
            </w:r>
          </w:p>
        </w:tc>
        <w:tc>
          <w:tcPr>
            <w:tcW w:w="912" w:type="dxa"/>
            <w:noWrap/>
            <w:vAlign w:val="center"/>
          </w:tcPr>
          <w:p w14:paraId="58B92E2B" w14:textId="77777777" w:rsidR="00173A84" w:rsidRPr="001455DC" w:rsidRDefault="00173A84" w:rsidP="00173A84">
            <w:pPr>
              <w:pStyle w:val="Tablebody"/>
              <w:keepNext/>
              <w:jc w:val="center"/>
            </w:pPr>
            <w:r w:rsidRPr="001455DC">
              <w:t>0,34</w:t>
            </w:r>
          </w:p>
        </w:tc>
        <w:tc>
          <w:tcPr>
            <w:tcW w:w="912" w:type="dxa"/>
            <w:noWrap/>
            <w:vAlign w:val="center"/>
          </w:tcPr>
          <w:p w14:paraId="532CFDA3" w14:textId="77777777" w:rsidR="00173A84" w:rsidRPr="001455DC" w:rsidRDefault="00173A84" w:rsidP="00173A84">
            <w:pPr>
              <w:pStyle w:val="Tablebody"/>
              <w:keepNext/>
              <w:jc w:val="center"/>
            </w:pPr>
            <w:r w:rsidRPr="001455DC">
              <w:t>0,30</w:t>
            </w:r>
          </w:p>
        </w:tc>
        <w:tc>
          <w:tcPr>
            <w:tcW w:w="912" w:type="dxa"/>
            <w:noWrap/>
            <w:vAlign w:val="center"/>
          </w:tcPr>
          <w:p w14:paraId="000B4424" w14:textId="77777777" w:rsidR="00173A84" w:rsidRPr="001455DC" w:rsidRDefault="00173A84" w:rsidP="00173A84">
            <w:pPr>
              <w:pStyle w:val="Tablebody"/>
              <w:keepNext/>
              <w:jc w:val="center"/>
            </w:pPr>
            <w:r w:rsidRPr="001455DC">
              <w:t>0,24</w:t>
            </w:r>
          </w:p>
        </w:tc>
      </w:tr>
      <w:tr w:rsidR="00173A84" w:rsidRPr="001455DC" w14:paraId="6A1A74EF" w14:textId="77777777" w:rsidTr="00173A84">
        <w:trPr>
          <w:cantSplit/>
        </w:trPr>
        <w:tc>
          <w:tcPr>
            <w:tcW w:w="1541" w:type="dxa"/>
            <w:vMerge/>
            <w:vAlign w:val="center"/>
          </w:tcPr>
          <w:p w14:paraId="33407891" w14:textId="77777777" w:rsidR="00173A84" w:rsidRPr="001455DC" w:rsidRDefault="00173A84" w:rsidP="00173A84">
            <w:pPr>
              <w:pStyle w:val="Tablebody"/>
              <w:keepNext/>
              <w:jc w:val="center"/>
              <w:rPr>
                <w:b/>
              </w:rPr>
            </w:pPr>
          </w:p>
        </w:tc>
        <w:tc>
          <w:tcPr>
            <w:tcW w:w="913" w:type="dxa"/>
            <w:noWrap/>
            <w:vAlign w:val="center"/>
          </w:tcPr>
          <w:p w14:paraId="4B5E1FDA" w14:textId="77777777" w:rsidR="00173A84" w:rsidRPr="001455DC" w:rsidRDefault="00173A84" w:rsidP="00173A84">
            <w:pPr>
              <w:pStyle w:val="Tablebody"/>
              <w:keepNext/>
              <w:jc w:val="center"/>
              <w:rPr>
                <w:b/>
              </w:rPr>
            </w:pPr>
            <w:r w:rsidRPr="001455DC">
              <w:rPr>
                <w:b/>
              </w:rPr>
              <w:t>50</w:t>
            </w:r>
          </w:p>
        </w:tc>
        <w:tc>
          <w:tcPr>
            <w:tcW w:w="913" w:type="dxa"/>
            <w:vAlign w:val="center"/>
          </w:tcPr>
          <w:p w14:paraId="74F8CB7A" w14:textId="77777777" w:rsidR="00173A84" w:rsidRPr="001455DC" w:rsidRDefault="00173A84" w:rsidP="00173A84">
            <w:pPr>
              <w:pStyle w:val="Tablebody"/>
              <w:keepNext/>
              <w:jc w:val="center"/>
            </w:pPr>
            <w:r w:rsidRPr="001455DC">
              <w:t>0,55</w:t>
            </w:r>
          </w:p>
        </w:tc>
        <w:tc>
          <w:tcPr>
            <w:tcW w:w="913" w:type="dxa"/>
            <w:noWrap/>
            <w:vAlign w:val="center"/>
          </w:tcPr>
          <w:p w14:paraId="07A30CFF" w14:textId="77777777" w:rsidR="00173A84" w:rsidRPr="001455DC" w:rsidRDefault="00173A84" w:rsidP="00173A84">
            <w:pPr>
              <w:pStyle w:val="Tablebody"/>
              <w:keepNext/>
              <w:jc w:val="center"/>
            </w:pPr>
            <w:r w:rsidRPr="001455DC">
              <w:t>0,54</w:t>
            </w:r>
          </w:p>
        </w:tc>
        <w:tc>
          <w:tcPr>
            <w:tcW w:w="912" w:type="dxa"/>
            <w:noWrap/>
            <w:vAlign w:val="center"/>
          </w:tcPr>
          <w:p w14:paraId="153647EA" w14:textId="77777777" w:rsidR="00173A84" w:rsidRPr="001455DC" w:rsidRDefault="00173A84" w:rsidP="00173A84">
            <w:pPr>
              <w:pStyle w:val="Tablebody"/>
              <w:keepNext/>
              <w:jc w:val="center"/>
            </w:pPr>
            <w:r w:rsidRPr="001455DC">
              <w:t>0,48</w:t>
            </w:r>
          </w:p>
        </w:tc>
        <w:tc>
          <w:tcPr>
            <w:tcW w:w="912" w:type="dxa"/>
            <w:noWrap/>
            <w:vAlign w:val="center"/>
          </w:tcPr>
          <w:p w14:paraId="5E71951A" w14:textId="77777777" w:rsidR="00173A84" w:rsidRPr="001455DC" w:rsidRDefault="00173A84" w:rsidP="00173A84">
            <w:pPr>
              <w:pStyle w:val="Tablebody"/>
              <w:keepNext/>
              <w:jc w:val="center"/>
            </w:pPr>
            <w:r w:rsidRPr="001455DC">
              <w:t>0,37</w:t>
            </w:r>
          </w:p>
        </w:tc>
        <w:tc>
          <w:tcPr>
            <w:tcW w:w="912" w:type="dxa"/>
            <w:vAlign w:val="center"/>
          </w:tcPr>
          <w:p w14:paraId="4671F005" w14:textId="77777777" w:rsidR="00173A84" w:rsidRPr="001455DC" w:rsidRDefault="00173A84" w:rsidP="00173A84">
            <w:pPr>
              <w:pStyle w:val="Tablebody"/>
              <w:keepNext/>
              <w:jc w:val="center"/>
            </w:pPr>
            <w:r w:rsidRPr="001455DC">
              <w:t>0,31</w:t>
            </w:r>
          </w:p>
        </w:tc>
        <w:tc>
          <w:tcPr>
            <w:tcW w:w="912" w:type="dxa"/>
            <w:noWrap/>
            <w:vAlign w:val="center"/>
          </w:tcPr>
          <w:p w14:paraId="1C11C709" w14:textId="77777777" w:rsidR="00173A84" w:rsidRPr="001455DC" w:rsidRDefault="00173A84" w:rsidP="00173A84">
            <w:pPr>
              <w:pStyle w:val="Tablebody"/>
              <w:keepNext/>
              <w:jc w:val="center"/>
            </w:pPr>
            <w:r w:rsidRPr="001455DC">
              <w:t>0,31</w:t>
            </w:r>
          </w:p>
        </w:tc>
        <w:tc>
          <w:tcPr>
            <w:tcW w:w="912" w:type="dxa"/>
            <w:noWrap/>
            <w:vAlign w:val="center"/>
          </w:tcPr>
          <w:p w14:paraId="710D683A" w14:textId="77777777" w:rsidR="00173A84" w:rsidRPr="001455DC" w:rsidRDefault="00173A84" w:rsidP="00173A84">
            <w:pPr>
              <w:pStyle w:val="Tablebody"/>
              <w:keepNext/>
              <w:jc w:val="center"/>
            </w:pPr>
            <w:r w:rsidRPr="001455DC">
              <w:t>0,28</w:t>
            </w:r>
          </w:p>
        </w:tc>
        <w:tc>
          <w:tcPr>
            <w:tcW w:w="912" w:type="dxa"/>
            <w:noWrap/>
            <w:vAlign w:val="center"/>
          </w:tcPr>
          <w:p w14:paraId="2A646F9C" w14:textId="77777777" w:rsidR="00173A84" w:rsidRPr="001455DC" w:rsidRDefault="00173A84" w:rsidP="00173A84">
            <w:pPr>
              <w:pStyle w:val="Tablebody"/>
              <w:keepNext/>
              <w:jc w:val="center"/>
            </w:pPr>
            <w:r w:rsidRPr="001455DC">
              <w:t>0,23</w:t>
            </w:r>
          </w:p>
        </w:tc>
      </w:tr>
      <w:tr w:rsidR="00173A84" w:rsidRPr="001455DC" w14:paraId="402DA038" w14:textId="77777777" w:rsidTr="00173A84">
        <w:trPr>
          <w:cantSplit/>
        </w:trPr>
        <w:tc>
          <w:tcPr>
            <w:tcW w:w="1541" w:type="dxa"/>
            <w:vMerge/>
            <w:vAlign w:val="center"/>
          </w:tcPr>
          <w:p w14:paraId="1404D6AF" w14:textId="77777777" w:rsidR="00173A84" w:rsidRPr="001455DC" w:rsidRDefault="00173A84" w:rsidP="00173A84">
            <w:pPr>
              <w:pStyle w:val="Tablebody"/>
              <w:keepNext/>
              <w:jc w:val="center"/>
              <w:rPr>
                <w:b/>
              </w:rPr>
            </w:pPr>
          </w:p>
        </w:tc>
        <w:tc>
          <w:tcPr>
            <w:tcW w:w="913" w:type="dxa"/>
            <w:noWrap/>
            <w:vAlign w:val="center"/>
          </w:tcPr>
          <w:p w14:paraId="18ACB398" w14:textId="77777777" w:rsidR="00173A84" w:rsidRPr="001455DC" w:rsidRDefault="00173A84" w:rsidP="00173A84">
            <w:pPr>
              <w:pStyle w:val="Tablebody"/>
              <w:keepNext/>
              <w:jc w:val="center"/>
              <w:rPr>
                <w:b/>
              </w:rPr>
            </w:pPr>
            <w:r w:rsidRPr="001455DC">
              <w:rPr>
                <w:b/>
              </w:rPr>
              <w:t>80</w:t>
            </w:r>
          </w:p>
        </w:tc>
        <w:tc>
          <w:tcPr>
            <w:tcW w:w="913" w:type="dxa"/>
            <w:vAlign w:val="center"/>
          </w:tcPr>
          <w:p w14:paraId="347294A7" w14:textId="77777777" w:rsidR="00173A84" w:rsidRPr="001455DC" w:rsidRDefault="00173A84" w:rsidP="00173A84">
            <w:pPr>
              <w:pStyle w:val="Tablebody"/>
              <w:keepNext/>
              <w:jc w:val="center"/>
            </w:pPr>
            <w:r w:rsidRPr="001455DC">
              <w:t>0,48</w:t>
            </w:r>
          </w:p>
        </w:tc>
        <w:tc>
          <w:tcPr>
            <w:tcW w:w="913" w:type="dxa"/>
            <w:noWrap/>
            <w:vAlign w:val="center"/>
          </w:tcPr>
          <w:p w14:paraId="2ABD9A9E" w14:textId="77777777" w:rsidR="00173A84" w:rsidRPr="001455DC" w:rsidRDefault="00173A84" w:rsidP="00173A84">
            <w:pPr>
              <w:pStyle w:val="Tablebody"/>
              <w:keepNext/>
              <w:jc w:val="center"/>
            </w:pPr>
            <w:r w:rsidRPr="001455DC">
              <w:t>0,48</w:t>
            </w:r>
          </w:p>
        </w:tc>
        <w:tc>
          <w:tcPr>
            <w:tcW w:w="912" w:type="dxa"/>
            <w:noWrap/>
            <w:vAlign w:val="center"/>
          </w:tcPr>
          <w:p w14:paraId="46E171F8" w14:textId="77777777" w:rsidR="00173A84" w:rsidRPr="001455DC" w:rsidRDefault="00173A84" w:rsidP="00173A84">
            <w:pPr>
              <w:pStyle w:val="Tablebody"/>
              <w:keepNext/>
              <w:jc w:val="center"/>
            </w:pPr>
            <w:r w:rsidRPr="001455DC">
              <w:t>0,43</w:t>
            </w:r>
          </w:p>
        </w:tc>
        <w:tc>
          <w:tcPr>
            <w:tcW w:w="912" w:type="dxa"/>
            <w:noWrap/>
            <w:vAlign w:val="center"/>
          </w:tcPr>
          <w:p w14:paraId="51DE1760" w14:textId="77777777" w:rsidR="00173A84" w:rsidRPr="001455DC" w:rsidRDefault="00173A84" w:rsidP="00173A84">
            <w:pPr>
              <w:pStyle w:val="Tablebody"/>
              <w:keepNext/>
              <w:jc w:val="center"/>
            </w:pPr>
            <w:r w:rsidRPr="001455DC">
              <w:t>0,36</w:t>
            </w:r>
          </w:p>
        </w:tc>
        <w:tc>
          <w:tcPr>
            <w:tcW w:w="912" w:type="dxa"/>
            <w:vAlign w:val="center"/>
          </w:tcPr>
          <w:p w14:paraId="5033A760" w14:textId="77777777" w:rsidR="00173A84" w:rsidRPr="001455DC" w:rsidRDefault="00173A84" w:rsidP="00173A84">
            <w:pPr>
              <w:pStyle w:val="Tablebody"/>
              <w:keepNext/>
              <w:jc w:val="center"/>
            </w:pPr>
            <w:r w:rsidRPr="001455DC">
              <w:t>0,30</w:t>
            </w:r>
          </w:p>
        </w:tc>
        <w:tc>
          <w:tcPr>
            <w:tcW w:w="912" w:type="dxa"/>
            <w:noWrap/>
            <w:vAlign w:val="center"/>
          </w:tcPr>
          <w:p w14:paraId="68A8DE1F" w14:textId="77777777" w:rsidR="00173A84" w:rsidRPr="001455DC" w:rsidRDefault="00173A84" w:rsidP="00173A84">
            <w:pPr>
              <w:pStyle w:val="Tablebody"/>
              <w:keepNext/>
              <w:jc w:val="center"/>
            </w:pPr>
            <w:r w:rsidRPr="001455DC">
              <w:t>0,30</w:t>
            </w:r>
          </w:p>
        </w:tc>
        <w:tc>
          <w:tcPr>
            <w:tcW w:w="912" w:type="dxa"/>
            <w:noWrap/>
            <w:vAlign w:val="center"/>
          </w:tcPr>
          <w:p w14:paraId="315E39B5" w14:textId="77777777" w:rsidR="00173A84" w:rsidRPr="001455DC" w:rsidRDefault="00173A84" w:rsidP="00173A84">
            <w:pPr>
              <w:pStyle w:val="Tablebody"/>
              <w:keepNext/>
              <w:jc w:val="center"/>
            </w:pPr>
            <w:r w:rsidRPr="001455DC">
              <w:t>0,28</w:t>
            </w:r>
          </w:p>
        </w:tc>
        <w:tc>
          <w:tcPr>
            <w:tcW w:w="912" w:type="dxa"/>
            <w:noWrap/>
            <w:vAlign w:val="center"/>
          </w:tcPr>
          <w:p w14:paraId="06D8A48E" w14:textId="77777777" w:rsidR="00173A84" w:rsidRPr="001455DC" w:rsidRDefault="00173A84" w:rsidP="00173A84">
            <w:pPr>
              <w:pStyle w:val="Tablebody"/>
              <w:keepNext/>
              <w:jc w:val="center"/>
            </w:pPr>
            <w:r w:rsidRPr="001455DC">
              <w:t>0,25</w:t>
            </w:r>
          </w:p>
        </w:tc>
      </w:tr>
      <w:tr w:rsidR="00173A84" w:rsidRPr="001455DC" w14:paraId="6868D7B7" w14:textId="77777777" w:rsidTr="00173A84">
        <w:trPr>
          <w:cantSplit/>
        </w:trPr>
        <w:tc>
          <w:tcPr>
            <w:tcW w:w="1541" w:type="dxa"/>
            <w:vMerge w:val="restart"/>
            <w:vAlign w:val="center"/>
          </w:tcPr>
          <w:p w14:paraId="2CFC3F54" w14:textId="77777777" w:rsidR="00173A84" w:rsidRPr="001455DC" w:rsidRDefault="00173A84" w:rsidP="00173A84">
            <w:pPr>
              <w:pStyle w:val="Tablebody"/>
              <w:keepNext/>
              <w:jc w:val="center"/>
              <w:rPr>
                <w:b/>
              </w:rPr>
            </w:pPr>
            <w:r w:rsidRPr="001455DC">
              <w:rPr>
                <w:b/>
              </w:rPr>
              <w:t>Class CR</w:t>
            </w:r>
          </w:p>
        </w:tc>
        <w:tc>
          <w:tcPr>
            <w:tcW w:w="913" w:type="dxa"/>
            <w:noWrap/>
            <w:vAlign w:val="center"/>
          </w:tcPr>
          <w:p w14:paraId="6416548D" w14:textId="77777777" w:rsidR="00173A84" w:rsidRPr="001455DC" w:rsidRDefault="00173A84" w:rsidP="00173A84">
            <w:pPr>
              <w:pStyle w:val="Tablebody"/>
              <w:keepNext/>
              <w:jc w:val="center"/>
              <w:rPr>
                <w:b/>
              </w:rPr>
            </w:pPr>
            <w:r w:rsidRPr="001455DC">
              <w:rPr>
                <w:b/>
              </w:rPr>
              <w:t>35</w:t>
            </w:r>
          </w:p>
        </w:tc>
        <w:tc>
          <w:tcPr>
            <w:tcW w:w="913" w:type="dxa"/>
            <w:vAlign w:val="center"/>
          </w:tcPr>
          <w:p w14:paraId="47B699A9" w14:textId="77777777" w:rsidR="00173A84" w:rsidRPr="001455DC" w:rsidRDefault="00173A84" w:rsidP="00173A84">
            <w:pPr>
              <w:pStyle w:val="Tablebody"/>
              <w:keepNext/>
              <w:jc w:val="center"/>
            </w:pPr>
            <w:r w:rsidRPr="001455DC">
              <w:t>0,76</w:t>
            </w:r>
          </w:p>
        </w:tc>
        <w:tc>
          <w:tcPr>
            <w:tcW w:w="913" w:type="dxa"/>
            <w:noWrap/>
            <w:vAlign w:val="center"/>
          </w:tcPr>
          <w:p w14:paraId="4331CC93" w14:textId="77777777" w:rsidR="00173A84" w:rsidRPr="001455DC" w:rsidRDefault="00173A84" w:rsidP="00173A84">
            <w:pPr>
              <w:pStyle w:val="Tablebody"/>
              <w:keepNext/>
              <w:jc w:val="center"/>
            </w:pPr>
            <w:r w:rsidRPr="001455DC">
              <w:t>0,74</w:t>
            </w:r>
          </w:p>
        </w:tc>
        <w:tc>
          <w:tcPr>
            <w:tcW w:w="912" w:type="dxa"/>
            <w:noWrap/>
            <w:vAlign w:val="center"/>
          </w:tcPr>
          <w:p w14:paraId="6881F79F" w14:textId="77777777" w:rsidR="00173A84" w:rsidRPr="001455DC" w:rsidRDefault="00173A84" w:rsidP="00173A84">
            <w:pPr>
              <w:pStyle w:val="Tablebody"/>
              <w:keepNext/>
              <w:jc w:val="center"/>
            </w:pPr>
            <w:r w:rsidRPr="001455DC">
              <w:t>0,65</w:t>
            </w:r>
          </w:p>
        </w:tc>
        <w:tc>
          <w:tcPr>
            <w:tcW w:w="912" w:type="dxa"/>
            <w:noWrap/>
            <w:vAlign w:val="center"/>
          </w:tcPr>
          <w:p w14:paraId="5D056EE5" w14:textId="77777777" w:rsidR="00173A84" w:rsidRPr="001455DC" w:rsidRDefault="00173A84" w:rsidP="00173A84">
            <w:pPr>
              <w:pStyle w:val="Tablebody"/>
              <w:keepNext/>
              <w:jc w:val="center"/>
            </w:pPr>
            <w:r w:rsidRPr="001455DC">
              <w:t>0,48</w:t>
            </w:r>
          </w:p>
        </w:tc>
        <w:tc>
          <w:tcPr>
            <w:tcW w:w="912" w:type="dxa"/>
            <w:vAlign w:val="center"/>
          </w:tcPr>
          <w:p w14:paraId="347C22C1" w14:textId="77777777" w:rsidR="00173A84" w:rsidRPr="001455DC" w:rsidRDefault="00173A84" w:rsidP="00173A84">
            <w:pPr>
              <w:pStyle w:val="Tablebody"/>
              <w:keepNext/>
              <w:jc w:val="center"/>
            </w:pPr>
            <w:r w:rsidRPr="001455DC">
              <w:t>0,42</w:t>
            </w:r>
          </w:p>
        </w:tc>
        <w:tc>
          <w:tcPr>
            <w:tcW w:w="912" w:type="dxa"/>
            <w:noWrap/>
            <w:vAlign w:val="center"/>
          </w:tcPr>
          <w:p w14:paraId="194E1E9B" w14:textId="77777777" w:rsidR="00173A84" w:rsidRPr="001455DC" w:rsidRDefault="00173A84" w:rsidP="00173A84">
            <w:pPr>
              <w:pStyle w:val="Tablebody"/>
              <w:keepNext/>
              <w:jc w:val="center"/>
            </w:pPr>
            <w:r w:rsidRPr="001455DC">
              <w:t>0,41</w:t>
            </w:r>
          </w:p>
        </w:tc>
        <w:tc>
          <w:tcPr>
            <w:tcW w:w="912" w:type="dxa"/>
            <w:noWrap/>
            <w:vAlign w:val="center"/>
          </w:tcPr>
          <w:p w14:paraId="64F8E7A3" w14:textId="77777777" w:rsidR="00173A84" w:rsidRPr="001455DC" w:rsidRDefault="00173A84" w:rsidP="00173A84">
            <w:pPr>
              <w:pStyle w:val="Tablebody"/>
              <w:keepNext/>
              <w:jc w:val="center"/>
            </w:pPr>
            <w:r w:rsidRPr="001455DC">
              <w:t>0,36</w:t>
            </w:r>
          </w:p>
        </w:tc>
        <w:tc>
          <w:tcPr>
            <w:tcW w:w="912" w:type="dxa"/>
            <w:noWrap/>
            <w:vAlign w:val="center"/>
          </w:tcPr>
          <w:p w14:paraId="3BDB556C" w14:textId="77777777" w:rsidR="00173A84" w:rsidRPr="001455DC" w:rsidRDefault="00173A84" w:rsidP="00173A84">
            <w:pPr>
              <w:pStyle w:val="Tablebody"/>
              <w:keepNext/>
              <w:jc w:val="center"/>
            </w:pPr>
            <w:r w:rsidRPr="001455DC">
              <w:t>0,28</w:t>
            </w:r>
          </w:p>
        </w:tc>
      </w:tr>
      <w:tr w:rsidR="00173A84" w:rsidRPr="001455DC" w14:paraId="09AACB21" w14:textId="77777777" w:rsidTr="00173A84">
        <w:trPr>
          <w:cantSplit/>
        </w:trPr>
        <w:tc>
          <w:tcPr>
            <w:tcW w:w="1541" w:type="dxa"/>
            <w:vMerge/>
            <w:vAlign w:val="center"/>
          </w:tcPr>
          <w:p w14:paraId="19286C43" w14:textId="77777777" w:rsidR="00173A84" w:rsidRPr="001455DC" w:rsidRDefault="00173A84" w:rsidP="00173A84">
            <w:pPr>
              <w:pStyle w:val="Tablebody"/>
              <w:keepNext/>
              <w:jc w:val="center"/>
              <w:rPr>
                <w:b/>
                <w:sz w:val="19"/>
                <w:szCs w:val="19"/>
              </w:rPr>
            </w:pPr>
          </w:p>
        </w:tc>
        <w:tc>
          <w:tcPr>
            <w:tcW w:w="913" w:type="dxa"/>
            <w:noWrap/>
            <w:vAlign w:val="center"/>
          </w:tcPr>
          <w:p w14:paraId="3ECE0594" w14:textId="77777777" w:rsidR="00173A84" w:rsidRPr="001455DC" w:rsidRDefault="00173A84" w:rsidP="00173A84">
            <w:pPr>
              <w:pStyle w:val="Tablebody"/>
              <w:keepNext/>
              <w:jc w:val="center"/>
              <w:rPr>
                <w:b/>
              </w:rPr>
            </w:pPr>
            <w:r w:rsidRPr="001455DC">
              <w:rPr>
                <w:b/>
              </w:rPr>
              <w:t>50</w:t>
            </w:r>
          </w:p>
        </w:tc>
        <w:tc>
          <w:tcPr>
            <w:tcW w:w="913" w:type="dxa"/>
            <w:vAlign w:val="center"/>
          </w:tcPr>
          <w:p w14:paraId="00B8E44C" w14:textId="77777777" w:rsidR="00173A84" w:rsidRPr="001455DC" w:rsidRDefault="00173A84" w:rsidP="00173A84">
            <w:pPr>
              <w:pStyle w:val="Tablebody"/>
              <w:keepNext/>
              <w:jc w:val="center"/>
            </w:pPr>
            <w:r w:rsidRPr="001455DC">
              <w:t>0,67</w:t>
            </w:r>
          </w:p>
        </w:tc>
        <w:tc>
          <w:tcPr>
            <w:tcW w:w="913" w:type="dxa"/>
            <w:noWrap/>
            <w:vAlign w:val="center"/>
          </w:tcPr>
          <w:p w14:paraId="501AEFCE" w14:textId="77777777" w:rsidR="00173A84" w:rsidRPr="001455DC" w:rsidRDefault="00173A84" w:rsidP="00173A84">
            <w:pPr>
              <w:pStyle w:val="Tablebody"/>
              <w:keepNext/>
              <w:jc w:val="center"/>
            </w:pPr>
            <w:r w:rsidRPr="001455DC">
              <w:t>0,66</w:t>
            </w:r>
          </w:p>
        </w:tc>
        <w:tc>
          <w:tcPr>
            <w:tcW w:w="912" w:type="dxa"/>
            <w:noWrap/>
            <w:vAlign w:val="center"/>
          </w:tcPr>
          <w:p w14:paraId="346E9485" w14:textId="77777777" w:rsidR="00173A84" w:rsidRPr="001455DC" w:rsidRDefault="00173A84" w:rsidP="00173A84">
            <w:pPr>
              <w:pStyle w:val="Tablebody"/>
              <w:keepNext/>
              <w:jc w:val="center"/>
            </w:pPr>
            <w:r w:rsidRPr="001455DC">
              <w:t>0,58</w:t>
            </w:r>
          </w:p>
        </w:tc>
        <w:tc>
          <w:tcPr>
            <w:tcW w:w="912" w:type="dxa"/>
            <w:noWrap/>
            <w:vAlign w:val="center"/>
          </w:tcPr>
          <w:p w14:paraId="114479BA" w14:textId="77777777" w:rsidR="00173A84" w:rsidRPr="001455DC" w:rsidRDefault="00173A84" w:rsidP="00173A84">
            <w:pPr>
              <w:pStyle w:val="Tablebody"/>
              <w:keepNext/>
              <w:jc w:val="center"/>
            </w:pPr>
            <w:r w:rsidRPr="001455DC">
              <w:t>0,44</w:t>
            </w:r>
          </w:p>
        </w:tc>
        <w:tc>
          <w:tcPr>
            <w:tcW w:w="912" w:type="dxa"/>
            <w:vAlign w:val="center"/>
          </w:tcPr>
          <w:p w14:paraId="0AFE8C05" w14:textId="77777777" w:rsidR="00173A84" w:rsidRPr="001455DC" w:rsidRDefault="00173A84" w:rsidP="00173A84">
            <w:pPr>
              <w:pStyle w:val="Tablebody"/>
              <w:keepNext/>
              <w:jc w:val="center"/>
            </w:pPr>
            <w:r w:rsidRPr="001455DC">
              <w:t>0,36</w:t>
            </w:r>
          </w:p>
        </w:tc>
        <w:tc>
          <w:tcPr>
            <w:tcW w:w="912" w:type="dxa"/>
            <w:noWrap/>
            <w:vAlign w:val="center"/>
          </w:tcPr>
          <w:p w14:paraId="624E5F2D" w14:textId="77777777" w:rsidR="00173A84" w:rsidRPr="001455DC" w:rsidRDefault="00173A84" w:rsidP="00173A84">
            <w:pPr>
              <w:pStyle w:val="Tablebody"/>
              <w:keepNext/>
              <w:jc w:val="center"/>
            </w:pPr>
            <w:r w:rsidRPr="001455DC">
              <w:t>0,35</w:t>
            </w:r>
          </w:p>
        </w:tc>
        <w:tc>
          <w:tcPr>
            <w:tcW w:w="912" w:type="dxa"/>
            <w:noWrap/>
            <w:vAlign w:val="center"/>
          </w:tcPr>
          <w:p w14:paraId="73A6267F" w14:textId="77777777" w:rsidR="00173A84" w:rsidRPr="001455DC" w:rsidRDefault="00173A84" w:rsidP="00173A84">
            <w:pPr>
              <w:pStyle w:val="Tablebody"/>
              <w:keepNext/>
              <w:jc w:val="center"/>
            </w:pPr>
            <w:r w:rsidRPr="001455DC">
              <w:t>0,32</w:t>
            </w:r>
          </w:p>
        </w:tc>
        <w:tc>
          <w:tcPr>
            <w:tcW w:w="912" w:type="dxa"/>
            <w:noWrap/>
            <w:vAlign w:val="center"/>
          </w:tcPr>
          <w:p w14:paraId="481FDE95" w14:textId="77777777" w:rsidR="00173A84" w:rsidRPr="001455DC" w:rsidRDefault="00173A84" w:rsidP="00173A84">
            <w:pPr>
              <w:pStyle w:val="Tablebody"/>
              <w:keepNext/>
              <w:jc w:val="center"/>
            </w:pPr>
            <w:r w:rsidRPr="001455DC">
              <w:t>0,26</w:t>
            </w:r>
          </w:p>
        </w:tc>
      </w:tr>
      <w:tr w:rsidR="00173A84" w:rsidRPr="001455DC" w14:paraId="18FFF55B" w14:textId="77777777" w:rsidTr="00173A84">
        <w:trPr>
          <w:cantSplit/>
        </w:trPr>
        <w:tc>
          <w:tcPr>
            <w:tcW w:w="1541" w:type="dxa"/>
            <w:vMerge/>
            <w:tcBorders>
              <w:bottom w:val="single" w:sz="12" w:space="0" w:color="000000"/>
            </w:tcBorders>
            <w:vAlign w:val="center"/>
          </w:tcPr>
          <w:p w14:paraId="783F7206" w14:textId="77777777" w:rsidR="00173A84" w:rsidRPr="001455DC" w:rsidRDefault="00173A84" w:rsidP="00173A84">
            <w:pPr>
              <w:pStyle w:val="Tablebody"/>
              <w:keepNext/>
              <w:jc w:val="center"/>
              <w:rPr>
                <w:b/>
                <w:sz w:val="19"/>
                <w:szCs w:val="19"/>
              </w:rPr>
            </w:pPr>
          </w:p>
        </w:tc>
        <w:tc>
          <w:tcPr>
            <w:tcW w:w="913" w:type="dxa"/>
            <w:tcBorders>
              <w:bottom w:val="single" w:sz="12" w:space="0" w:color="000000"/>
            </w:tcBorders>
            <w:noWrap/>
            <w:vAlign w:val="center"/>
          </w:tcPr>
          <w:p w14:paraId="3506437F" w14:textId="77777777" w:rsidR="00173A84" w:rsidRPr="001455DC" w:rsidRDefault="00173A84" w:rsidP="00173A84">
            <w:pPr>
              <w:pStyle w:val="Tablebody"/>
              <w:keepNext/>
              <w:jc w:val="center"/>
              <w:rPr>
                <w:b/>
              </w:rPr>
            </w:pPr>
            <w:r w:rsidRPr="001455DC">
              <w:rPr>
                <w:b/>
              </w:rPr>
              <w:t>80</w:t>
            </w:r>
          </w:p>
        </w:tc>
        <w:tc>
          <w:tcPr>
            <w:tcW w:w="913" w:type="dxa"/>
            <w:tcBorders>
              <w:bottom w:val="single" w:sz="12" w:space="0" w:color="000000"/>
            </w:tcBorders>
            <w:vAlign w:val="center"/>
          </w:tcPr>
          <w:p w14:paraId="4C582798" w14:textId="77777777" w:rsidR="00173A84" w:rsidRPr="001455DC" w:rsidRDefault="00173A84" w:rsidP="00173A84">
            <w:pPr>
              <w:pStyle w:val="Tablebody"/>
              <w:keepNext/>
              <w:jc w:val="center"/>
            </w:pPr>
            <w:r w:rsidRPr="001455DC">
              <w:t>0,55</w:t>
            </w:r>
          </w:p>
        </w:tc>
        <w:tc>
          <w:tcPr>
            <w:tcW w:w="913" w:type="dxa"/>
            <w:tcBorders>
              <w:bottom w:val="single" w:sz="12" w:space="0" w:color="000000"/>
            </w:tcBorders>
            <w:noWrap/>
            <w:vAlign w:val="center"/>
          </w:tcPr>
          <w:p w14:paraId="6CF3BE7E" w14:textId="77777777" w:rsidR="00173A84" w:rsidRPr="001455DC" w:rsidRDefault="00173A84" w:rsidP="00173A84">
            <w:pPr>
              <w:pStyle w:val="Tablebody"/>
              <w:keepNext/>
              <w:jc w:val="center"/>
            </w:pPr>
            <w:r w:rsidRPr="001455DC">
              <w:t>0,54</w:t>
            </w:r>
          </w:p>
        </w:tc>
        <w:tc>
          <w:tcPr>
            <w:tcW w:w="912" w:type="dxa"/>
            <w:tcBorders>
              <w:bottom w:val="single" w:sz="12" w:space="0" w:color="000000"/>
            </w:tcBorders>
            <w:noWrap/>
            <w:vAlign w:val="center"/>
          </w:tcPr>
          <w:p w14:paraId="5DDFE487" w14:textId="77777777" w:rsidR="00173A84" w:rsidRPr="001455DC" w:rsidRDefault="00173A84" w:rsidP="00173A84">
            <w:pPr>
              <w:pStyle w:val="Tablebody"/>
              <w:keepNext/>
              <w:jc w:val="center"/>
            </w:pPr>
            <w:r w:rsidRPr="001455DC">
              <w:t>0,49</w:t>
            </w:r>
          </w:p>
        </w:tc>
        <w:tc>
          <w:tcPr>
            <w:tcW w:w="912" w:type="dxa"/>
            <w:tcBorders>
              <w:bottom w:val="single" w:sz="12" w:space="0" w:color="000000"/>
            </w:tcBorders>
            <w:noWrap/>
            <w:vAlign w:val="center"/>
          </w:tcPr>
          <w:p w14:paraId="714EF983" w14:textId="77777777" w:rsidR="00173A84" w:rsidRPr="001455DC" w:rsidRDefault="00173A84" w:rsidP="00173A84">
            <w:pPr>
              <w:pStyle w:val="Tablebody"/>
              <w:keepNext/>
              <w:jc w:val="center"/>
            </w:pPr>
            <w:r w:rsidRPr="001455DC">
              <w:t>0,39</w:t>
            </w:r>
          </w:p>
        </w:tc>
        <w:tc>
          <w:tcPr>
            <w:tcW w:w="912" w:type="dxa"/>
            <w:tcBorders>
              <w:bottom w:val="single" w:sz="12" w:space="0" w:color="000000"/>
            </w:tcBorders>
            <w:vAlign w:val="center"/>
          </w:tcPr>
          <w:p w14:paraId="7DC71B0F" w14:textId="77777777" w:rsidR="00173A84" w:rsidRPr="001455DC" w:rsidRDefault="00173A84" w:rsidP="00173A84">
            <w:pPr>
              <w:pStyle w:val="Tablebody"/>
              <w:keepNext/>
              <w:jc w:val="center"/>
            </w:pPr>
            <w:r w:rsidRPr="001455DC">
              <w:t>0,31</w:t>
            </w:r>
          </w:p>
        </w:tc>
        <w:tc>
          <w:tcPr>
            <w:tcW w:w="912" w:type="dxa"/>
            <w:tcBorders>
              <w:bottom w:val="single" w:sz="12" w:space="0" w:color="000000"/>
            </w:tcBorders>
            <w:noWrap/>
            <w:vAlign w:val="center"/>
          </w:tcPr>
          <w:p w14:paraId="5A66140C" w14:textId="77777777" w:rsidR="00173A84" w:rsidRPr="001455DC" w:rsidRDefault="00173A84" w:rsidP="00173A84">
            <w:pPr>
              <w:pStyle w:val="Tablebody"/>
              <w:keepNext/>
              <w:jc w:val="center"/>
            </w:pPr>
            <w:r w:rsidRPr="001455DC">
              <w:t>0,30</w:t>
            </w:r>
          </w:p>
        </w:tc>
        <w:tc>
          <w:tcPr>
            <w:tcW w:w="912" w:type="dxa"/>
            <w:tcBorders>
              <w:bottom w:val="single" w:sz="12" w:space="0" w:color="000000"/>
            </w:tcBorders>
            <w:noWrap/>
            <w:vAlign w:val="center"/>
          </w:tcPr>
          <w:p w14:paraId="191BE51B" w14:textId="77777777" w:rsidR="00173A84" w:rsidRPr="001455DC" w:rsidRDefault="00173A84" w:rsidP="00173A84">
            <w:pPr>
              <w:pStyle w:val="Tablebody"/>
              <w:keepNext/>
              <w:jc w:val="center"/>
            </w:pPr>
            <w:r w:rsidRPr="001455DC">
              <w:t>0,28</w:t>
            </w:r>
          </w:p>
        </w:tc>
        <w:tc>
          <w:tcPr>
            <w:tcW w:w="912" w:type="dxa"/>
            <w:tcBorders>
              <w:bottom w:val="single" w:sz="12" w:space="0" w:color="000000"/>
            </w:tcBorders>
            <w:noWrap/>
            <w:vAlign w:val="center"/>
          </w:tcPr>
          <w:p w14:paraId="5E3100FE" w14:textId="77777777" w:rsidR="00173A84" w:rsidRPr="001455DC" w:rsidRDefault="00173A84" w:rsidP="00173A84">
            <w:pPr>
              <w:pStyle w:val="Tablebody"/>
              <w:keepNext/>
              <w:jc w:val="center"/>
            </w:pPr>
            <w:r w:rsidRPr="001455DC">
              <w:t>0,25</w:t>
            </w:r>
          </w:p>
        </w:tc>
      </w:tr>
      <w:tr w:rsidR="004E22C1" w:rsidRPr="001455DC" w14:paraId="5AD631D2" w14:textId="77777777" w:rsidTr="00173A84">
        <w:trPr>
          <w:cantSplit/>
        </w:trPr>
        <w:tc>
          <w:tcPr>
            <w:tcW w:w="9752" w:type="dxa"/>
            <w:gridSpan w:val="10"/>
            <w:tcBorders>
              <w:top w:val="single" w:sz="12" w:space="0" w:color="000000"/>
              <w:bottom w:val="single" w:sz="12" w:space="0" w:color="auto"/>
            </w:tcBorders>
          </w:tcPr>
          <w:p w14:paraId="2E7458CF" w14:textId="77777777" w:rsidR="004E22C1" w:rsidRPr="009D3012" w:rsidRDefault="004E22C1" w:rsidP="00173A84">
            <w:pPr>
              <w:pStyle w:val="Tablefooternote"/>
              <w:keepNext/>
              <w:tabs>
                <w:tab w:val="clear" w:pos="680"/>
                <w:tab w:val="left" w:pos="851"/>
              </w:tabs>
              <w:rPr>
                <w:lang w:val="en-US"/>
              </w:rPr>
            </w:pPr>
            <w:r w:rsidRPr="009D3012">
              <w:rPr>
                <w:lang w:val="en-US"/>
              </w:rPr>
              <w:t>NOTE 1</w:t>
            </w:r>
            <w:r w:rsidRPr="009D3012">
              <w:rPr>
                <w:lang w:val="en-US"/>
              </w:rPr>
              <w:tab/>
              <w:t>The values in table 5.3(NDP) apply unless a National Annex gives different values.</w:t>
            </w:r>
          </w:p>
          <w:p w14:paraId="407FD23E" w14:textId="77777777" w:rsidR="004E22C1" w:rsidRPr="009D3012" w:rsidRDefault="004E22C1" w:rsidP="00173A84">
            <w:pPr>
              <w:pStyle w:val="Tablefooternote"/>
              <w:keepNext/>
              <w:tabs>
                <w:tab w:val="clear" w:pos="680"/>
                <w:tab w:val="left" w:pos="851"/>
              </w:tabs>
              <w:rPr>
                <w:lang w:val="en-US"/>
              </w:rPr>
            </w:pPr>
            <w:r w:rsidRPr="009D3012">
              <w:rPr>
                <w:lang w:val="en-US"/>
              </w:rPr>
              <w:t>NOTE 2</w:t>
            </w:r>
            <w:r w:rsidRPr="009D3012">
              <w:rPr>
                <w:lang w:val="en-US"/>
              </w:rPr>
              <w:tab/>
              <w:t>The values are mean values with a coefficient of variation of about 30 %.</w:t>
            </w:r>
          </w:p>
          <w:p w14:paraId="6CD24CB8" w14:textId="769303F3" w:rsidR="004E22C1" w:rsidRPr="009D3012" w:rsidRDefault="004E22C1" w:rsidP="00173A84">
            <w:pPr>
              <w:pStyle w:val="Tablefooternote"/>
              <w:keepNext/>
              <w:tabs>
                <w:tab w:val="clear" w:pos="680"/>
                <w:tab w:val="left" w:pos="851"/>
              </w:tabs>
              <w:rPr>
                <w:lang w:val="en-US"/>
              </w:rPr>
            </w:pPr>
            <w:r w:rsidRPr="009D3012">
              <w:rPr>
                <w:lang w:val="en-US" w:eastAsia="de-DE"/>
              </w:rPr>
              <w:t>NOTE 3</w:t>
            </w:r>
            <w:r w:rsidRPr="009D3012">
              <w:rPr>
                <w:lang w:val="en-US" w:eastAsia="de-DE"/>
              </w:rPr>
              <w:tab/>
              <w:t>The notional size</w:t>
            </w:r>
            <w:r w:rsidRPr="009D3012">
              <w:rPr>
                <w:bCs/>
                <w:lang w:val="en-US" w:eastAsia="de-DE"/>
              </w:rPr>
              <w:t xml:space="preserve"> </w:t>
            </w:r>
            <w:r w:rsidRPr="009D3012">
              <w:rPr>
                <w:rStyle w:val="CCMCvariableitalic"/>
                <w:lang w:val="en-US"/>
              </w:rPr>
              <w:t>h</w:t>
            </w:r>
            <w:r w:rsidRPr="009D3012">
              <w:rPr>
                <w:rStyle w:val="CCMCvariablesubscript"/>
                <w:lang w:val="en-US"/>
              </w:rPr>
              <w:t>n</w:t>
            </w:r>
            <w:r w:rsidRPr="009D3012">
              <w:rPr>
                <w:lang w:val="en-US"/>
              </w:rPr>
              <w:t xml:space="preserve"> is defined in the notes to Table 5.2.</w:t>
            </w:r>
          </w:p>
        </w:tc>
      </w:tr>
      <w:tr w:rsidR="00763BFE" w:rsidRPr="001455DC" w14:paraId="6833436A" w14:textId="77777777" w:rsidTr="00173A84">
        <w:trPr>
          <w:cnfStyle w:val="010000000000" w:firstRow="0" w:lastRow="1" w:firstColumn="0" w:lastColumn="0" w:oddVBand="0" w:evenVBand="0" w:oddHBand="0" w:evenHBand="0" w:firstRowFirstColumn="0" w:firstRowLastColumn="0" w:lastRowFirstColumn="0" w:lastRowLastColumn="0"/>
          <w:cantSplit/>
        </w:trPr>
        <w:tc>
          <w:tcPr>
            <w:tcW w:w="9752" w:type="dxa"/>
            <w:gridSpan w:val="10"/>
          </w:tcPr>
          <w:p w14:paraId="2A0DA302" w14:textId="3EC150DE" w:rsidR="00763BFE" w:rsidRPr="009D3012" w:rsidRDefault="00763BFE">
            <w:pPr>
              <w:pStyle w:val="Tablefooter"/>
              <w:rPr>
                <w:lang w:val="en-US"/>
              </w:rPr>
            </w:pPr>
            <w:r w:rsidRPr="009D3012">
              <w:rPr>
                <w:rStyle w:val="CCMCvariablesuperscript"/>
                <w:lang w:val="en-US"/>
              </w:rPr>
              <w:t>a</w:t>
            </w:r>
            <w:r w:rsidRPr="009D3012">
              <w:rPr>
                <w:lang w:val="en-US"/>
              </w:rPr>
              <w:tab/>
              <w:t>Classes CS, CN and CR stand for slow, normal and rapid strength development of concrete, respectively, see B.</w:t>
            </w:r>
            <w:r w:rsidR="005A7F00" w:rsidRPr="001455DC">
              <w:rPr>
                <w:lang w:val="en-US"/>
              </w:rPr>
              <w:t>3</w:t>
            </w:r>
            <w:r w:rsidRPr="009D3012">
              <w:rPr>
                <w:lang w:val="en-US"/>
              </w:rPr>
              <w:t>(1).</w:t>
            </w:r>
          </w:p>
        </w:tc>
      </w:tr>
    </w:tbl>
    <w:p w14:paraId="66422352" w14:textId="77777777" w:rsidR="004E22C1" w:rsidRPr="001455DC" w:rsidRDefault="004E22C1" w:rsidP="00DF525A">
      <w:pPr>
        <w:pStyle w:val="a7"/>
      </w:pPr>
    </w:p>
    <w:p w14:paraId="1251FF6C" w14:textId="72B5B1B2" w:rsidR="004E22C1" w:rsidRPr="001455DC" w:rsidRDefault="004E22C1" w:rsidP="00243590">
      <w:pPr>
        <w:pStyle w:val="31"/>
      </w:pPr>
      <w:bookmarkStart w:id="259" w:name="_Toc52819905"/>
      <w:bookmarkStart w:id="260" w:name="_Toc54337302"/>
      <w:bookmarkStart w:id="261" w:name="_Toc54337963"/>
      <w:bookmarkStart w:id="262" w:name="_Toc67565326"/>
      <w:r w:rsidRPr="001455DC">
        <w:t>Design assumptions</w:t>
      </w:r>
      <w:bookmarkEnd w:id="259"/>
      <w:bookmarkEnd w:id="260"/>
      <w:bookmarkEnd w:id="261"/>
      <w:bookmarkEnd w:id="262"/>
    </w:p>
    <w:p w14:paraId="373507CD" w14:textId="203CAE3B" w:rsidR="00763BFE" w:rsidRPr="001455DC" w:rsidRDefault="004E22C1" w:rsidP="00763BFE">
      <w:pPr>
        <w:pStyle w:val="a7"/>
      </w:pPr>
      <w:r w:rsidRPr="001455DC">
        <w:t>(1)</w:t>
      </w:r>
      <w:r w:rsidRPr="001455DC">
        <w:tab/>
        <w:t>The value of the design compressive strength shall be taken as</w:t>
      </w:r>
      <w:r w:rsidR="00B10711" w:rsidRPr="001455DC">
        <w:t>:</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763BFE" w:rsidRPr="001455DC" w14:paraId="3AE57927" w14:textId="77777777" w:rsidTr="00763BFE">
        <w:trPr>
          <w:cantSplit/>
        </w:trPr>
        <w:tc>
          <w:tcPr>
            <w:tcW w:w="8505" w:type="dxa"/>
            <w:vAlign w:val="center"/>
          </w:tcPr>
          <w:p w14:paraId="087914C6" w14:textId="5F390CB7" w:rsidR="00763BFE" w:rsidRPr="001455DC" w:rsidRDefault="00231E33" w:rsidP="00725D07">
            <w:pPr>
              <w:pStyle w:val="Formula"/>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cd</m:t>
                    </m:r>
                  </m:sub>
                </m:sSub>
                <m: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cc</m:t>
                    </m:r>
                  </m:sub>
                </m:sSub>
                <m: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tc</m:t>
                    </m:r>
                  </m:sub>
                </m:sSub>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ck</m:t>
                        </m:r>
                      </m:sub>
                    </m:sSub>
                  </m:num>
                  <m:den>
                    <m:sSub>
                      <m:sSubPr>
                        <m:ctrlPr>
                          <w:rPr>
                            <w:rFonts w:ascii="Cambria Math" w:hAnsi="Cambria Math"/>
                          </w:rPr>
                        </m:ctrlPr>
                      </m:sSubPr>
                      <m:e>
                        <m:r>
                          <w:rPr>
                            <w:rFonts w:ascii="Cambria Math" w:hAnsi="Cambria Math"/>
                          </w:rPr>
                          <m:t>γ</m:t>
                        </m:r>
                      </m:e>
                      <m:sub>
                        <m:r>
                          <m:rPr>
                            <m:sty m:val="p"/>
                          </m:rPr>
                          <w:rPr>
                            <w:rFonts w:ascii="Cambria Math" w:hAnsi="Cambria Math"/>
                          </w:rPr>
                          <m:t>C</m:t>
                        </m:r>
                      </m:sub>
                    </m:sSub>
                  </m:den>
                </m:f>
              </m:oMath>
            </m:oMathPara>
          </w:p>
        </w:tc>
        <w:tc>
          <w:tcPr>
            <w:tcW w:w="1247" w:type="dxa"/>
            <w:vAlign w:val="center"/>
          </w:tcPr>
          <w:p w14:paraId="281EA67B" w14:textId="69D54B1A" w:rsidR="00763BFE" w:rsidRPr="001455DC" w:rsidRDefault="00763BFE" w:rsidP="00763BFE">
            <w:pPr>
              <w:pStyle w:val="a7"/>
              <w:jc w:val="right"/>
            </w:pPr>
            <w:r w:rsidRPr="001455DC">
              <w:t>(5.3)</w:t>
            </w:r>
          </w:p>
        </w:tc>
      </w:tr>
    </w:tbl>
    <w:p w14:paraId="3824ABB4" w14:textId="77777777" w:rsidR="00173A84" w:rsidRPr="001455DC" w:rsidRDefault="00173A84"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7598"/>
        <w:gridCol w:w="1247"/>
      </w:tblGrid>
      <w:tr w:rsidR="00173A84" w:rsidRPr="001455DC" w14:paraId="02C9A5F0" w14:textId="77777777" w:rsidTr="00173A84">
        <w:trPr>
          <w:cantSplit/>
        </w:trPr>
        <w:tc>
          <w:tcPr>
            <w:tcW w:w="567" w:type="dxa"/>
          </w:tcPr>
          <w:p w14:paraId="71DBDF45" w14:textId="3D8BDF4F" w:rsidR="00173A84" w:rsidRPr="001455DC" w:rsidRDefault="00173A84" w:rsidP="00173A84">
            <w:pPr>
              <w:pStyle w:val="Tablebody"/>
            </w:pPr>
            <w:r w:rsidRPr="001455DC">
              <w:rPr>
                <w:rStyle w:val="CCMCvariableitalic"/>
              </w:rPr>
              <w:t>η</w:t>
            </w:r>
            <w:r w:rsidRPr="001455DC">
              <w:rPr>
                <w:rStyle w:val="CCMCvariablesubscript"/>
              </w:rPr>
              <w:t>cc</w:t>
            </w:r>
          </w:p>
        </w:tc>
        <w:tc>
          <w:tcPr>
            <w:tcW w:w="8845" w:type="dxa"/>
            <w:gridSpan w:val="2"/>
          </w:tcPr>
          <w:p w14:paraId="1B1153D4" w14:textId="0731C57A" w:rsidR="00173A84" w:rsidRPr="001455DC" w:rsidRDefault="00173A84" w:rsidP="00173A84">
            <w:pPr>
              <w:pStyle w:val="Tablebody"/>
            </w:pPr>
            <w:r w:rsidRPr="001455DC">
              <w:t>is a factor to account for the difference between the undisturbed compressive strength of a cylinder and the effective compressive strength that can be developed in the structural member. It shall be taken as:</w:t>
            </w:r>
          </w:p>
        </w:tc>
      </w:tr>
      <w:tr w:rsidR="00853D7F" w:rsidRPr="001455DC" w14:paraId="596506AE" w14:textId="77777777" w:rsidTr="00853D7F">
        <w:trPr>
          <w:cantSplit/>
        </w:trPr>
        <w:tc>
          <w:tcPr>
            <w:tcW w:w="567" w:type="dxa"/>
          </w:tcPr>
          <w:p w14:paraId="787FD78A" w14:textId="17DC96DB" w:rsidR="00853D7F" w:rsidRPr="001455DC" w:rsidRDefault="00853D7F" w:rsidP="00853D7F">
            <w:pPr>
              <w:pStyle w:val="Tablebody"/>
            </w:pPr>
            <w:r w:rsidRPr="001455DC">
              <w:t> </w:t>
            </w:r>
          </w:p>
        </w:tc>
        <w:tc>
          <w:tcPr>
            <w:tcW w:w="7598" w:type="dxa"/>
            <w:vAlign w:val="center"/>
          </w:tcPr>
          <w:p w14:paraId="6C6C5C3B" w14:textId="215136C7" w:rsidR="00853D7F" w:rsidRPr="001455DC" w:rsidRDefault="00231E33" w:rsidP="00853D7F">
            <w:pPr>
              <w:pStyle w:val="Formula"/>
              <w:jc w:val="left"/>
            </w:pPr>
            <m:oMathPara>
              <m:oMathParaPr>
                <m:jc m:val="left"/>
              </m:oMathParaPr>
              <m:oMath>
                <m:sSub>
                  <m:sSubPr>
                    <m:ctrlPr>
                      <w:rPr>
                        <w:rFonts w:ascii="Cambria Math" w:hAnsi="Cambria Math"/>
                      </w:rPr>
                    </m:ctrlPr>
                  </m:sSubPr>
                  <m:e>
                    <m:r>
                      <w:rPr>
                        <w:rFonts w:ascii="Cambria Math" w:hAnsi="Cambria Math"/>
                      </w:rPr>
                      <m:t>η</m:t>
                    </m:r>
                  </m:e>
                  <m:sub>
                    <m:r>
                      <m:rPr>
                        <m:nor/>
                      </m:rPr>
                      <m:t>cc</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40</m:t>
                            </m:r>
                          </m:num>
                          <m:den>
                            <m:sSub>
                              <m:sSubPr>
                                <m:ctrlPr>
                                  <w:rPr>
                                    <w:rFonts w:ascii="Cambria Math" w:hAnsi="Cambria Math"/>
                                  </w:rPr>
                                </m:ctrlPr>
                              </m:sSubPr>
                              <m:e>
                                <m:r>
                                  <w:rPr>
                                    <w:rFonts w:ascii="Cambria Math" w:hAnsi="Cambria Math"/>
                                  </w:rPr>
                                  <m:t>f</m:t>
                                </m:r>
                              </m:e>
                              <m:sub>
                                <m:r>
                                  <m:rPr>
                                    <m:nor/>
                                  </m:rPr>
                                  <m:t>ck</m:t>
                                </m:r>
                              </m:sub>
                            </m:sSub>
                          </m:den>
                        </m:f>
                      </m:e>
                    </m:d>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up>
                </m:sSup>
                <m:r>
                  <m:rPr>
                    <m:sty m:val="p"/>
                  </m:rPr>
                  <w:rPr>
                    <w:rFonts w:ascii="Cambria Math" w:hAnsi="Cambria Math"/>
                  </w:rPr>
                  <m:t>≤1,0</m:t>
                </m:r>
              </m:oMath>
            </m:oMathPara>
          </w:p>
        </w:tc>
        <w:tc>
          <w:tcPr>
            <w:tcW w:w="1247" w:type="dxa"/>
            <w:vAlign w:val="center"/>
          </w:tcPr>
          <w:p w14:paraId="5B7CAF7C" w14:textId="11E98765" w:rsidR="00853D7F" w:rsidRPr="001455DC" w:rsidRDefault="00853D7F" w:rsidP="00853D7F">
            <w:pPr>
              <w:pStyle w:val="Tablebody"/>
              <w:jc w:val="right"/>
            </w:pPr>
            <w:r w:rsidRPr="001455DC">
              <w:t>(5.4)</w:t>
            </w:r>
          </w:p>
        </w:tc>
      </w:tr>
      <w:tr w:rsidR="00173A84" w:rsidRPr="001455DC" w14:paraId="7CC4F454" w14:textId="77777777" w:rsidTr="00173A84">
        <w:trPr>
          <w:cantSplit/>
        </w:trPr>
        <w:tc>
          <w:tcPr>
            <w:tcW w:w="567" w:type="dxa"/>
          </w:tcPr>
          <w:p w14:paraId="56388090" w14:textId="0F347FB3" w:rsidR="00173A84" w:rsidRPr="001455DC" w:rsidRDefault="00173A84" w:rsidP="00173A84">
            <w:pPr>
              <w:pStyle w:val="Tablebody"/>
            </w:pPr>
            <w:r w:rsidRPr="001455DC">
              <w:rPr>
                <w:rStyle w:val="CCMCvariableitalic"/>
              </w:rPr>
              <w:t>k</w:t>
            </w:r>
            <w:r w:rsidRPr="001455DC">
              <w:rPr>
                <w:rStyle w:val="CCMCvariablesubscript"/>
              </w:rPr>
              <w:t>tc</w:t>
            </w:r>
          </w:p>
        </w:tc>
        <w:tc>
          <w:tcPr>
            <w:tcW w:w="8845" w:type="dxa"/>
            <w:gridSpan w:val="2"/>
          </w:tcPr>
          <w:p w14:paraId="50A8F4D2" w14:textId="6A67F54B" w:rsidR="00173A84" w:rsidRPr="001455DC" w:rsidRDefault="00173A84" w:rsidP="00173A84">
            <w:pPr>
              <w:pStyle w:val="Tablebody"/>
            </w:pPr>
            <w:r w:rsidRPr="001455DC">
              <w:t>is a factor considering the effect of high sustained loads and of time of loading on concrete compressive strength.</w:t>
            </w:r>
          </w:p>
        </w:tc>
      </w:tr>
    </w:tbl>
    <w:p w14:paraId="2DB254BB" w14:textId="2A182A49" w:rsidR="004E22C1" w:rsidRPr="001455DC" w:rsidRDefault="004E22C1" w:rsidP="00DF525A">
      <w:pPr>
        <w:pStyle w:val="Note"/>
      </w:pPr>
      <w:r w:rsidRPr="001455DC">
        <w:t>NOTE</w:t>
      </w:r>
      <w:r w:rsidR="004B62E7">
        <w:t xml:space="preserve"> </w:t>
      </w:r>
      <w:r w:rsidRPr="001455DC">
        <w:tab/>
        <w:t xml:space="preserve">The value is </w:t>
      </w:r>
      <w:r w:rsidRPr="001455DC">
        <w:rPr>
          <w:rStyle w:val="CCMCvariableitalic"/>
        </w:rPr>
        <w:t>k</w:t>
      </w:r>
      <w:r w:rsidRPr="001455DC">
        <w:rPr>
          <w:rStyle w:val="CCMCvariablesubscript"/>
        </w:rPr>
        <w:t>tc</w:t>
      </w:r>
      <w:r w:rsidRPr="001455DC">
        <w:t> </w:t>
      </w:r>
      <w:r w:rsidR="00EC27D2" w:rsidRPr="001455DC">
        <w:rPr>
          <w:rFonts w:ascii="Cambria Math" w:hAnsi="Cambria Math"/>
        </w:rPr>
        <w:t>=</w:t>
      </w:r>
      <w:r w:rsidRPr="001455DC">
        <w:t xml:space="preserve"> 1,00 for </w:t>
      </w:r>
      <w:r w:rsidRPr="001455DC">
        <w:rPr>
          <w:rStyle w:val="CCMCvariableitalic"/>
        </w:rPr>
        <w:t>t</w:t>
      </w:r>
      <w:r w:rsidRPr="001455DC">
        <w:rPr>
          <w:rStyle w:val="CCMCvariablesubscript"/>
        </w:rPr>
        <w:t>ref</w:t>
      </w:r>
      <w:r w:rsidRPr="001455DC">
        <w:t> </w:t>
      </w:r>
      <w:r w:rsidR="00650035" w:rsidRPr="001455DC">
        <w:rPr>
          <w:rFonts w:ascii="Cambria Math" w:hAnsi="Cambria Math"/>
        </w:rPr>
        <w:t>≤</w:t>
      </w:r>
      <w:r w:rsidRPr="001455DC">
        <w:t xml:space="preserve"> 28 days for concretes with classes CR and CN and </w:t>
      </w:r>
      <w:r w:rsidRPr="001455DC">
        <w:rPr>
          <w:rStyle w:val="CCMCvariableitalic"/>
        </w:rPr>
        <w:t>t</w:t>
      </w:r>
      <w:r w:rsidRPr="001455DC">
        <w:rPr>
          <w:rStyle w:val="CCMCvariablesubscript"/>
        </w:rPr>
        <w:t>ref</w:t>
      </w:r>
      <w:r w:rsidRPr="001455DC">
        <w:t> </w:t>
      </w:r>
      <w:r w:rsidR="00650035" w:rsidRPr="001455DC">
        <w:rPr>
          <w:rFonts w:ascii="Cambria Math" w:hAnsi="Cambria Math"/>
        </w:rPr>
        <w:t>≤</w:t>
      </w:r>
      <w:r w:rsidRPr="001455DC">
        <w:t xml:space="preserve"> 56 days for concretes with class CS, and </w:t>
      </w:r>
      <w:r w:rsidRPr="001455DC">
        <w:rPr>
          <w:rStyle w:val="CCMCvariableitalic"/>
        </w:rPr>
        <w:t>k</w:t>
      </w:r>
      <w:r w:rsidRPr="001455DC">
        <w:rPr>
          <w:rStyle w:val="CCMCvariablesubscript"/>
        </w:rPr>
        <w:t>tc</w:t>
      </w:r>
      <w:r w:rsidRPr="001455DC">
        <w:t> </w:t>
      </w:r>
      <w:r w:rsidR="00EC27D2" w:rsidRPr="001455DC">
        <w:rPr>
          <w:rFonts w:ascii="Cambria Math" w:hAnsi="Cambria Math"/>
        </w:rPr>
        <w:t>=</w:t>
      </w:r>
      <w:r w:rsidRPr="001455DC">
        <w:t xml:space="preserve"> 0,85 for other cases including when </w:t>
      </w:r>
      <w:r w:rsidRPr="001455DC">
        <w:rPr>
          <w:rStyle w:val="CCMCvariableitalic"/>
        </w:rPr>
        <w:t>f</w:t>
      </w:r>
      <w:r w:rsidRPr="001455DC">
        <w:rPr>
          <w:rStyle w:val="CCMCvariablesubscript"/>
        </w:rPr>
        <w:t>ck</w:t>
      </w:r>
      <w:r w:rsidRPr="001455DC">
        <w:t>(</w:t>
      </w:r>
      <w:r w:rsidRPr="001455DC">
        <w:rPr>
          <w:rStyle w:val="CCMCvariableitalic"/>
        </w:rPr>
        <w:t>t</w:t>
      </w:r>
      <w:r w:rsidRPr="001455DC">
        <w:t>) is determined in accordance with 5.1.3(4), unless a National Annex gives different values.</w:t>
      </w:r>
    </w:p>
    <w:p w14:paraId="6F3E702D" w14:textId="34A62293" w:rsidR="00763BFE" w:rsidRPr="001455DC" w:rsidRDefault="004E22C1" w:rsidP="00C74721">
      <w:pPr>
        <w:pStyle w:val="a7"/>
        <w:keepNext/>
      </w:pPr>
      <w:r w:rsidRPr="001455DC">
        <w:t>(2)</w:t>
      </w:r>
      <w:r w:rsidRPr="001455DC">
        <w:tab/>
        <w:t xml:space="preserve">The value of the design tensile strength </w:t>
      </w:r>
      <w:r w:rsidRPr="001455DC">
        <w:rPr>
          <w:rStyle w:val="CCMCvariableitalic"/>
        </w:rPr>
        <w:t>f</w:t>
      </w:r>
      <w:r w:rsidRPr="001455DC">
        <w:rPr>
          <w:rStyle w:val="CCMCvariablesubscript"/>
        </w:rPr>
        <w:t>ctd</w:t>
      </w:r>
      <w:r w:rsidRPr="001455DC">
        <w:t xml:space="preserve"> shall be taken as</w:t>
      </w:r>
      <w:r w:rsidR="00B10711" w:rsidRPr="001455DC">
        <w:t>:</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763BFE" w:rsidRPr="001455DC" w14:paraId="0FD2C241" w14:textId="77777777" w:rsidTr="00763BFE">
        <w:trPr>
          <w:cantSplit/>
        </w:trPr>
        <w:tc>
          <w:tcPr>
            <w:tcW w:w="8505" w:type="dxa"/>
            <w:vAlign w:val="center"/>
          </w:tcPr>
          <w:p w14:paraId="49625347" w14:textId="4D087B09" w:rsidR="00763BFE" w:rsidRPr="001455DC" w:rsidRDefault="00231E33" w:rsidP="00763BFE">
            <w:pPr>
              <w:pStyle w:val="Formula"/>
              <w:jc w:val="left"/>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ctd</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m:rPr>
                        <m:nor/>
                      </m:rPr>
                      <m:t>tt</m:t>
                    </m:r>
                  </m:sub>
                </m:sSub>
                <m:f>
                  <m:fPr>
                    <m:ctrlPr>
                      <w:rPr>
                        <w:rFonts w:ascii="Cambria Math" w:hAnsi="Cambria Math"/>
                      </w:rPr>
                    </m:ctrlPr>
                  </m:fPr>
                  <m:num>
                    <m:sSub>
                      <m:sSubPr>
                        <m:ctrlPr>
                          <w:rPr>
                            <w:rFonts w:ascii="Cambria Math" w:hAnsi="Cambria Math"/>
                          </w:rPr>
                        </m:ctrlPr>
                      </m:sSubPr>
                      <m:e>
                        <m:r>
                          <w:rPr>
                            <w:rFonts w:ascii="Cambria Math" w:hAnsi="Cambria Math"/>
                          </w:rPr>
                          <m:t>f</m:t>
                        </m:r>
                      </m:e>
                      <m:sub>
                        <m:r>
                          <m:rPr>
                            <m:nor/>
                          </m:rPr>
                          <m:t>ctk,0,05</m:t>
                        </m:r>
                      </m:sub>
                    </m:sSub>
                  </m:num>
                  <m:den>
                    <m:sSub>
                      <m:sSubPr>
                        <m:ctrlPr>
                          <w:rPr>
                            <w:rFonts w:ascii="Cambria Math" w:hAnsi="Cambria Math"/>
                          </w:rPr>
                        </m:ctrlPr>
                      </m:sSubPr>
                      <m:e>
                        <m:r>
                          <m:rPr>
                            <m:sty m:val="p"/>
                          </m:rPr>
                          <w:rPr>
                            <w:rFonts w:ascii="Cambria Math" w:hAnsi="Cambria Math"/>
                          </w:rPr>
                          <m:t>γ</m:t>
                        </m:r>
                      </m:e>
                      <m:sub>
                        <m:r>
                          <m:rPr>
                            <m:nor/>
                          </m:rPr>
                          <m:t>C</m:t>
                        </m:r>
                      </m:sub>
                    </m:sSub>
                  </m:den>
                </m:f>
              </m:oMath>
            </m:oMathPara>
          </w:p>
        </w:tc>
        <w:tc>
          <w:tcPr>
            <w:tcW w:w="1247" w:type="dxa"/>
            <w:vAlign w:val="center"/>
          </w:tcPr>
          <w:p w14:paraId="5C21980B" w14:textId="25FFDB5F" w:rsidR="00763BFE" w:rsidRPr="001455DC" w:rsidRDefault="00763BFE" w:rsidP="00763BFE">
            <w:pPr>
              <w:pStyle w:val="a7"/>
              <w:jc w:val="right"/>
            </w:pPr>
            <w:r w:rsidRPr="001455DC">
              <w:t>(5.5)</w:t>
            </w:r>
          </w:p>
        </w:tc>
      </w:tr>
    </w:tbl>
    <w:p w14:paraId="1933C68F" w14:textId="77777777" w:rsidR="00173A84" w:rsidRPr="001455DC" w:rsidRDefault="00173A84"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173A84" w:rsidRPr="001455DC" w14:paraId="6889A03C" w14:textId="77777777" w:rsidTr="00173A84">
        <w:trPr>
          <w:cantSplit/>
        </w:trPr>
        <w:tc>
          <w:tcPr>
            <w:tcW w:w="567" w:type="dxa"/>
          </w:tcPr>
          <w:p w14:paraId="72551C03" w14:textId="6F916C1D" w:rsidR="00173A84" w:rsidRPr="001455DC" w:rsidRDefault="00173A84" w:rsidP="00173A84">
            <w:pPr>
              <w:pStyle w:val="Tablebody"/>
            </w:pPr>
            <w:r w:rsidRPr="001455DC">
              <w:rPr>
                <w:rStyle w:val="CCMCvariableitalic"/>
              </w:rPr>
              <w:t>k</w:t>
            </w:r>
            <w:r w:rsidRPr="001455DC">
              <w:rPr>
                <w:rStyle w:val="CCMCvariablesubscript"/>
              </w:rPr>
              <w:t>tt</w:t>
            </w:r>
          </w:p>
        </w:tc>
        <w:tc>
          <w:tcPr>
            <w:tcW w:w="8845" w:type="dxa"/>
          </w:tcPr>
          <w:p w14:paraId="4620848B" w14:textId="554C8F2C" w:rsidR="00173A84" w:rsidRPr="001455DC" w:rsidRDefault="00173A84" w:rsidP="00173A84">
            <w:pPr>
              <w:pStyle w:val="Tablebody"/>
            </w:pPr>
            <w:r w:rsidRPr="001455DC">
              <w:t>is a factor considering the effect of high sustained loads and of time of loading on concrete tensile strength.</w:t>
            </w:r>
          </w:p>
        </w:tc>
      </w:tr>
    </w:tbl>
    <w:p w14:paraId="2662165F" w14:textId="347105B3" w:rsidR="004E22C1" w:rsidRPr="001455DC" w:rsidRDefault="004E22C1" w:rsidP="00DF525A">
      <w:pPr>
        <w:pStyle w:val="Note"/>
      </w:pPr>
      <w:r w:rsidRPr="001455DC">
        <w:t>NOTE</w:t>
      </w:r>
      <w:r w:rsidR="004B62E7">
        <w:t xml:space="preserve"> </w:t>
      </w:r>
      <w:r w:rsidRPr="001455DC">
        <w:tab/>
        <w:t xml:space="preserve">The value is </w:t>
      </w:r>
      <w:r w:rsidRPr="001455DC">
        <w:rPr>
          <w:rStyle w:val="CCMCvariableitalic"/>
        </w:rPr>
        <w:t>k</w:t>
      </w:r>
      <w:r w:rsidRPr="001455DC">
        <w:rPr>
          <w:rStyle w:val="CCMCvariablesubscript"/>
        </w:rPr>
        <w:t>tt</w:t>
      </w:r>
      <w:r w:rsidRPr="001455DC">
        <w:t> </w:t>
      </w:r>
      <w:r w:rsidR="00EC27D2" w:rsidRPr="001455DC">
        <w:rPr>
          <w:rFonts w:ascii="Cambria Math" w:hAnsi="Cambria Math"/>
        </w:rPr>
        <w:t>=</w:t>
      </w:r>
      <w:r w:rsidRPr="001455DC">
        <w:t xml:space="preserve"> 0,80 for </w:t>
      </w:r>
      <w:r w:rsidRPr="001455DC">
        <w:rPr>
          <w:rStyle w:val="CCMCvariableitalic"/>
        </w:rPr>
        <w:t>t</w:t>
      </w:r>
      <w:r w:rsidRPr="001455DC">
        <w:rPr>
          <w:rStyle w:val="CCMCvariablesubscript"/>
        </w:rPr>
        <w:t>ref</w:t>
      </w:r>
      <w:r w:rsidRPr="001455DC">
        <w:t> </w:t>
      </w:r>
      <w:r w:rsidR="00650035" w:rsidRPr="001455DC">
        <w:rPr>
          <w:rFonts w:ascii="Cambria Math" w:hAnsi="Cambria Math"/>
        </w:rPr>
        <w:t>≤</w:t>
      </w:r>
      <w:r w:rsidRPr="001455DC">
        <w:t xml:space="preserve"> 28 days for concretes with classes CR an CN and </w:t>
      </w:r>
      <w:r w:rsidRPr="001455DC">
        <w:rPr>
          <w:rStyle w:val="CCMCvariableitalic"/>
        </w:rPr>
        <w:t>t</w:t>
      </w:r>
      <w:r w:rsidRPr="001455DC">
        <w:rPr>
          <w:rStyle w:val="CCMCvariablesubscript"/>
        </w:rPr>
        <w:t>ref</w:t>
      </w:r>
      <w:r w:rsidRPr="001455DC">
        <w:t> </w:t>
      </w:r>
      <w:r w:rsidR="00650035" w:rsidRPr="001455DC">
        <w:rPr>
          <w:rFonts w:ascii="Cambria Math" w:hAnsi="Cambria Math"/>
        </w:rPr>
        <w:t>≤</w:t>
      </w:r>
      <w:r w:rsidRPr="001455DC">
        <w:t xml:space="preserve"> 56 days for concretes with class CS, and </w:t>
      </w:r>
      <w:r w:rsidRPr="001455DC">
        <w:rPr>
          <w:rStyle w:val="CCMCvariableitalic"/>
        </w:rPr>
        <w:t>k</w:t>
      </w:r>
      <w:r w:rsidRPr="001455DC">
        <w:rPr>
          <w:rStyle w:val="CCMCvariablesubscript"/>
        </w:rPr>
        <w:t>tt</w:t>
      </w:r>
      <w:r w:rsidRPr="001455DC">
        <w:t> </w:t>
      </w:r>
      <w:r w:rsidR="00EC27D2" w:rsidRPr="001455DC">
        <w:rPr>
          <w:rFonts w:ascii="Cambria Math" w:hAnsi="Cambria Math"/>
        </w:rPr>
        <w:t>=</w:t>
      </w:r>
      <w:r w:rsidRPr="001455DC">
        <w:t xml:space="preserve"> 0,70 for other cases including when </w:t>
      </w:r>
      <w:r w:rsidRPr="001455DC">
        <w:rPr>
          <w:rStyle w:val="CCMCvariableitalic"/>
        </w:rPr>
        <w:t>f</w:t>
      </w:r>
      <w:r w:rsidRPr="001455DC">
        <w:rPr>
          <w:rStyle w:val="CCMCvariablesubscript"/>
        </w:rPr>
        <w:t>ck</w:t>
      </w:r>
      <w:r w:rsidRPr="001455DC">
        <w:t>(</w:t>
      </w:r>
      <w:r w:rsidRPr="001455DC">
        <w:rPr>
          <w:rStyle w:val="CCMCvariableitalic"/>
        </w:rPr>
        <w:t>t</w:t>
      </w:r>
      <w:r w:rsidRPr="001455DC">
        <w:t>) is determined in accordance with 5.1.3(4), unless a National Annex gives different values.</w:t>
      </w:r>
    </w:p>
    <w:p w14:paraId="32B03EE1" w14:textId="77777777" w:rsidR="00763BFE" w:rsidRPr="001455DC" w:rsidRDefault="004E22C1" w:rsidP="00763BFE">
      <w:pPr>
        <w:pStyle w:val="a7"/>
        <w:rPr>
          <w:szCs w:val="22"/>
        </w:rPr>
      </w:pPr>
      <w:r w:rsidRPr="001455DC">
        <w:rPr>
          <w:szCs w:val="22"/>
        </w:rPr>
        <w:t>(3)</w:t>
      </w:r>
      <w:r w:rsidRPr="001455DC">
        <w:rPr>
          <w:szCs w:val="22"/>
        </w:rPr>
        <w:tab/>
        <w:t xml:space="preserve">The relation between compressive </w:t>
      </w:r>
      <w:r w:rsidRPr="001455DC">
        <w:rPr>
          <w:rStyle w:val="CCMCvariableitalic"/>
          <w:szCs w:val="22"/>
        </w:rPr>
        <w:t>σ</w:t>
      </w:r>
      <w:r w:rsidRPr="001455DC">
        <w:rPr>
          <w:rStyle w:val="CCMCvariablesubscript"/>
          <w:szCs w:val="22"/>
        </w:rPr>
        <w:t>c</w:t>
      </w:r>
      <w:r w:rsidRPr="001455DC">
        <w:rPr>
          <w:szCs w:val="22"/>
        </w:rPr>
        <w:t xml:space="preserve"> and </w:t>
      </w:r>
      <w:r w:rsidRPr="001455DC">
        <w:rPr>
          <w:rStyle w:val="CCMCvariableitalic"/>
          <w:szCs w:val="22"/>
        </w:rPr>
        <w:t>ε</w:t>
      </w:r>
      <w:r w:rsidRPr="001455DC">
        <w:rPr>
          <w:rStyle w:val="CCMCvariablesubscript"/>
          <w:szCs w:val="22"/>
        </w:rPr>
        <w:t>c</w:t>
      </w:r>
      <w:r w:rsidRPr="001455DC">
        <w:rPr>
          <w:szCs w:val="22"/>
        </w:rPr>
        <w:t xml:space="preserve"> shown in Figure 5.1 and described by the Formula (5.6) may be used to model the response of concrete to short term uniaxial compression.</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763BFE" w:rsidRPr="001455DC" w14:paraId="29119543" w14:textId="77777777" w:rsidTr="00763BFE">
        <w:trPr>
          <w:cantSplit/>
        </w:trPr>
        <w:tc>
          <w:tcPr>
            <w:tcW w:w="8505" w:type="dxa"/>
            <w:vAlign w:val="center"/>
          </w:tcPr>
          <w:p w14:paraId="2E691149" w14:textId="7052C887" w:rsidR="00763BFE" w:rsidRPr="001455DC" w:rsidRDefault="00231E33" w:rsidP="007A764A">
            <w:pPr>
              <w:pStyle w:val="Formula"/>
            </w:pPr>
            <m:oMathPara>
              <m:oMathParaPr>
                <m:jc m:val="left"/>
              </m:oMathParaPr>
              <m:oMath>
                <m:f>
                  <m:fPr>
                    <m:ctrlPr>
                      <w:rPr>
                        <w:rFonts w:ascii="Cambria Math" w:hAnsi="Cambria Math"/>
                      </w:rPr>
                    </m:ctrlPr>
                  </m:fPr>
                  <m:num>
                    <m:sSub>
                      <m:sSubPr>
                        <m:ctrlPr>
                          <w:rPr>
                            <w:rFonts w:ascii="Cambria Math" w:hAnsi="Cambria Math"/>
                          </w:rPr>
                        </m:ctrlPr>
                      </m:sSubPr>
                      <m:e>
                        <m:r>
                          <w:rPr>
                            <w:rFonts w:ascii="Cambria Math" w:hAnsi="Cambria Math"/>
                          </w:rPr>
                          <m:t>σ</m:t>
                        </m:r>
                      </m:e>
                      <m:sub>
                        <m:r>
                          <m:rPr>
                            <m:sty m:val="p"/>
                          </m:rPr>
                          <w:rPr>
                            <w:rFonts w:ascii="Cambria Math" w:hAnsi="Cambria Math"/>
                          </w:rPr>
                          <m:t>c</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cm</m:t>
                        </m:r>
                      </m:sub>
                    </m:sSub>
                  </m:den>
                </m:f>
                <m:r>
                  <w:rPr>
                    <w:rFonts w:ascii="Cambria Math" w:hAnsi="Cambria Math"/>
                  </w:rPr>
                  <m:t>=</m:t>
                </m:r>
                <m:f>
                  <m:fPr>
                    <m:ctrlPr>
                      <w:rPr>
                        <w:rFonts w:ascii="Cambria Math" w:hAnsi="Cambria Math"/>
                      </w:rPr>
                    </m:ctrlPr>
                  </m:fPr>
                  <m:num>
                    <m:r>
                      <w:rPr>
                        <w:rFonts w:ascii="Cambria Math" w:hAnsi="Cambria Math"/>
                      </w:rPr>
                      <m:t>kη-</m:t>
                    </m:r>
                    <m:sSup>
                      <m:sSupPr>
                        <m:ctrlPr>
                          <w:rPr>
                            <w:rFonts w:ascii="Cambria Math" w:hAnsi="Cambria Math"/>
                          </w:rPr>
                        </m:ctrlPr>
                      </m:sSupPr>
                      <m:e>
                        <m:r>
                          <w:rPr>
                            <w:rFonts w:ascii="Cambria Math" w:hAnsi="Cambria Math"/>
                          </w:rPr>
                          <m:t>η</m:t>
                        </m:r>
                      </m:e>
                      <m:sup>
                        <m:r>
                          <w:rPr>
                            <w:rFonts w:ascii="Cambria Math" w:hAnsi="Cambria Math"/>
                          </w:rPr>
                          <m:t>2</m:t>
                        </m:r>
                      </m:sup>
                    </m:sSup>
                  </m:num>
                  <m:den>
                    <m:r>
                      <w:rPr>
                        <w:rFonts w:ascii="Cambria Math" w:hAnsi="Cambria Math"/>
                      </w:rPr>
                      <m:t>1+</m:t>
                    </m:r>
                    <m:d>
                      <m:dPr>
                        <m:ctrlPr>
                          <w:rPr>
                            <w:rFonts w:ascii="Cambria Math" w:hAnsi="Cambria Math"/>
                          </w:rPr>
                        </m:ctrlPr>
                      </m:dPr>
                      <m:e>
                        <m:r>
                          <w:rPr>
                            <w:rFonts w:ascii="Cambria Math" w:hAnsi="Cambria Math"/>
                          </w:rPr>
                          <m:t>k-2</m:t>
                        </m:r>
                      </m:e>
                    </m:d>
                    <m:r>
                      <w:rPr>
                        <w:rFonts w:ascii="Cambria Math" w:hAnsi="Cambria Math"/>
                      </w:rPr>
                      <m:t>η</m:t>
                    </m:r>
                  </m:den>
                </m:f>
              </m:oMath>
            </m:oMathPara>
          </w:p>
        </w:tc>
        <w:tc>
          <w:tcPr>
            <w:tcW w:w="1247" w:type="dxa"/>
            <w:vAlign w:val="center"/>
          </w:tcPr>
          <w:p w14:paraId="0FC8E54E" w14:textId="7A13A773" w:rsidR="00763BFE" w:rsidRPr="001455DC" w:rsidRDefault="00763BFE" w:rsidP="00763BFE">
            <w:pPr>
              <w:pStyle w:val="a7"/>
              <w:jc w:val="right"/>
            </w:pPr>
            <w:r w:rsidRPr="001455DC">
              <w:t>(5.6)</w:t>
            </w:r>
          </w:p>
        </w:tc>
      </w:tr>
    </w:tbl>
    <w:p w14:paraId="3176EE12" w14:textId="77777777" w:rsidR="00173A84" w:rsidRPr="001455DC" w:rsidRDefault="00173A84"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173A84" w:rsidRPr="001455DC" w14:paraId="2A9571ED" w14:textId="77777777" w:rsidTr="00173A84">
        <w:trPr>
          <w:cantSplit/>
        </w:trPr>
        <w:tc>
          <w:tcPr>
            <w:tcW w:w="567" w:type="dxa"/>
          </w:tcPr>
          <w:p w14:paraId="3A980274" w14:textId="1BD307DE" w:rsidR="00173A84" w:rsidRPr="001455DC" w:rsidRDefault="00173A84" w:rsidP="00173A84">
            <w:pPr>
              <w:pStyle w:val="Tablebody"/>
            </w:pPr>
            <w:r w:rsidRPr="001455DC">
              <w:rPr>
                <w:rStyle w:val="CCMCvariableitalic"/>
              </w:rPr>
              <w:t>f</w:t>
            </w:r>
            <w:r w:rsidRPr="001455DC">
              <w:rPr>
                <w:rStyle w:val="CCMCvariablesubscript"/>
              </w:rPr>
              <w:t>cm</w:t>
            </w:r>
          </w:p>
        </w:tc>
        <w:tc>
          <w:tcPr>
            <w:tcW w:w="8845" w:type="dxa"/>
          </w:tcPr>
          <w:p w14:paraId="74A2F4C7" w14:textId="1E02CBD3" w:rsidR="00173A84" w:rsidRPr="001455DC" w:rsidRDefault="00173A84" w:rsidP="00173A84">
            <w:pPr>
              <w:pStyle w:val="Tablebody"/>
            </w:pPr>
            <w:r w:rsidRPr="001455DC">
              <w:t>is determined according to Table 5.1;</w:t>
            </w:r>
          </w:p>
        </w:tc>
      </w:tr>
    </w:tbl>
    <w:p w14:paraId="3C69CDED" w14:textId="1523DC9C" w:rsidR="00763BFE" w:rsidRPr="001455DC" w:rsidRDefault="00763BFE" w:rsidP="00763BFE">
      <w:pPr>
        <w:pStyle w:val="a7"/>
      </w:pP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763BFE" w:rsidRPr="001455DC" w14:paraId="42259FE0" w14:textId="77777777" w:rsidTr="00763BFE">
        <w:trPr>
          <w:cantSplit/>
        </w:trPr>
        <w:tc>
          <w:tcPr>
            <w:tcW w:w="8505" w:type="dxa"/>
            <w:vAlign w:val="center"/>
          </w:tcPr>
          <w:p w14:paraId="420DDC08" w14:textId="31BA726D" w:rsidR="00763BFE" w:rsidRPr="001455DC" w:rsidRDefault="00763BFE" w:rsidP="00763BFE">
            <w:pPr>
              <w:pStyle w:val="Formula"/>
              <w:jc w:val="left"/>
            </w:pPr>
            <w:r w:rsidRPr="001455DC">
              <w:rPr>
                <w:rStyle w:val="CCMCvariableitalic"/>
              </w:rPr>
              <w:t>k</w:t>
            </w:r>
            <w:r w:rsidRPr="001455DC">
              <w:t> </w:t>
            </w:r>
            <w:r w:rsidR="00EC27D2" w:rsidRPr="001455DC">
              <w:rPr>
                <w:rFonts w:ascii="Cambria Math" w:hAnsi="Cambria Math"/>
              </w:rPr>
              <w:t>=</w:t>
            </w:r>
            <w:r w:rsidRPr="001455DC">
              <w:t xml:space="preserve"> 1,05 </w:t>
            </w:r>
            <w:r w:rsidRPr="001455DC">
              <w:rPr>
                <w:rStyle w:val="CCMCvariableitalic"/>
              </w:rPr>
              <w:t>E</w:t>
            </w:r>
            <w:r w:rsidRPr="001455DC">
              <w:rPr>
                <w:rStyle w:val="CCMCvariablesubscript"/>
              </w:rPr>
              <w:t>cm</w:t>
            </w:r>
            <w:r w:rsidRPr="001455DC">
              <w:t> </w:t>
            </w:r>
            <w:r w:rsidRPr="001455DC">
              <w:rPr>
                <w:rFonts w:ascii="Cambria Math" w:hAnsi="Cambria Math" w:cs="Cambria Math"/>
              </w:rPr>
              <w:t>⋅</w:t>
            </w:r>
            <w:r w:rsidRPr="001455DC">
              <w:t> </w:t>
            </w:r>
            <w:r w:rsidRPr="001455DC">
              <w:rPr>
                <w:rStyle w:val="CCMCvariableitalic"/>
              </w:rPr>
              <w:t>ε</w:t>
            </w:r>
            <w:r w:rsidRPr="001455DC">
              <w:rPr>
                <w:rStyle w:val="CCMCvariablesubscript"/>
              </w:rPr>
              <w:t>c1</w:t>
            </w:r>
            <w:r w:rsidRPr="001455DC">
              <w:t>/</w:t>
            </w:r>
            <w:r w:rsidRPr="001455DC">
              <w:rPr>
                <w:rStyle w:val="CCMCvariableitalic"/>
              </w:rPr>
              <w:t>f</w:t>
            </w:r>
            <w:r w:rsidRPr="001455DC">
              <w:rPr>
                <w:rStyle w:val="CCMCvariablesubscript"/>
              </w:rPr>
              <w:t>cm</w:t>
            </w:r>
          </w:p>
        </w:tc>
        <w:tc>
          <w:tcPr>
            <w:tcW w:w="1247" w:type="dxa"/>
            <w:vAlign w:val="center"/>
          </w:tcPr>
          <w:p w14:paraId="28BEFE11" w14:textId="3647F562" w:rsidR="00763BFE" w:rsidRPr="001455DC" w:rsidRDefault="00763BFE" w:rsidP="00763BFE">
            <w:pPr>
              <w:pStyle w:val="a7"/>
              <w:jc w:val="right"/>
            </w:pPr>
            <w:r w:rsidRPr="001455DC">
              <w:t>(5.7)</w:t>
            </w:r>
          </w:p>
        </w:tc>
      </w:tr>
      <w:tr w:rsidR="00763BFE" w:rsidRPr="001455DC" w14:paraId="727361BD" w14:textId="77777777" w:rsidTr="00763BFE">
        <w:trPr>
          <w:cantSplit/>
        </w:trPr>
        <w:tc>
          <w:tcPr>
            <w:tcW w:w="8505" w:type="dxa"/>
            <w:vAlign w:val="center"/>
          </w:tcPr>
          <w:p w14:paraId="544D2A74" w14:textId="06485181" w:rsidR="00763BFE" w:rsidRPr="001455DC" w:rsidRDefault="00763BFE" w:rsidP="00763BFE">
            <w:pPr>
              <w:pStyle w:val="Formula"/>
              <w:jc w:val="left"/>
            </w:pPr>
            <w:r w:rsidRPr="001455DC">
              <w:rPr>
                <w:rStyle w:val="CCMCvariableitalic"/>
              </w:rPr>
              <w:t>η</w:t>
            </w:r>
            <w:r w:rsidRPr="001455DC">
              <w:t> </w:t>
            </w:r>
            <w:r w:rsidR="00EC27D2" w:rsidRPr="001455DC">
              <w:rPr>
                <w:rFonts w:ascii="Cambria Math" w:hAnsi="Cambria Math"/>
              </w:rPr>
              <w:t>=</w:t>
            </w:r>
            <w:r w:rsidRPr="001455DC">
              <w:t> </w:t>
            </w:r>
            <w:r w:rsidRPr="001455DC">
              <w:rPr>
                <w:rStyle w:val="CCMCvariableitalic"/>
              </w:rPr>
              <w:t>ε</w:t>
            </w:r>
            <w:r w:rsidRPr="001455DC">
              <w:rPr>
                <w:rStyle w:val="CCMCvariablesubscript"/>
              </w:rPr>
              <w:t>c</w:t>
            </w:r>
            <w:r w:rsidRPr="001455DC">
              <w:t>/</w:t>
            </w:r>
            <w:r w:rsidRPr="001455DC">
              <w:rPr>
                <w:rStyle w:val="CCMCvariableitalic"/>
              </w:rPr>
              <w:t>ε</w:t>
            </w:r>
            <w:r w:rsidRPr="001455DC">
              <w:rPr>
                <w:rStyle w:val="CCMCvariablesubscript"/>
              </w:rPr>
              <w:t>c1</w:t>
            </w:r>
          </w:p>
        </w:tc>
        <w:tc>
          <w:tcPr>
            <w:tcW w:w="1247" w:type="dxa"/>
            <w:vAlign w:val="center"/>
          </w:tcPr>
          <w:p w14:paraId="2F628ACB" w14:textId="6BDEB05F" w:rsidR="00763BFE" w:rsidRPr="001455DC" w:rsidRDefault="00763BFE" w:rsidP="00763BFE">
            <w:pPr>
              <w:pStyle w:val="a7"/>
              <w:jc w:val="right"/>
            </w:pPr>
            <w:r w:rsidRPr="001455DC">
              <w:t>(5.8)</w:t>
            </w:r>
          </w:p>
        </w:tc>
      </w:tr>
      <w:tr w:rsidR="00763BFE" w:rsidRPr="001455DC" w14:paraId="7057BC99" w14:textId="77777777" w:rsidTr="00763BFE">
        <w:trPr>
          <w:cantSplit/>
        </w:trPr>
        <w:tc>
          <w:tcPr>
            <w:tcW w:w="8505" w:type="dxa"/>
            <w:vAlign w:val="center"/>
          </w:tcPr>
          <w:p w14:paraId="72D825E9" w14:textId="43A6AAD5" w:rsidR="00763BFE" w:rsidRPr="001455DC" w:rsidRDefault="00763BFE" w:rsidP="00763BFE">
            <w:pPr>
              <w:pStyle w:val="Formula"/>
              <w:jc w:val="left"/>
            </w:pPr>
            <w:r w:rsidRPr="001455DC">
              <w:rPr>
                <w:rStyle w:val="CCMCvariableitalic"/>
              </w:rPr>
              <w:t>ε</w:t>
            </w:r>
            <w:r w:rsidRPr="001455DC">
              <w:rPr>
                <w:rStyle w:val="CCMCvariablesubscript"/>
              </w:rPr>
              <w:t>c1</w:t>
            </w:r>
            <w:r w:rsidRPr="001455DC">
              <w:t xml:space="preserve"> [‰] </w:t>
            </w:r>
            <w:r w:rsidR="00EC27D2" w:rsidRPr="001455DC">
              <w:rPr>
                <w:rFonts w:ascii="Cambria Math" w:hAnsi="Cambria Math"/>
              </w:rPr>
              <w:t>=</w:t>
            </w:r>
            <w:r w:rsidRPr="001455DC">
              <w:t> 0,7</w:t>
            </w:r>
            <w:r w:rsidRPr="001455DC">
              <w:rPr>
                <w:rStyle w:val="CCMCvariableitalic"/>
              </w:rPr>
              <w:t>f</w:t>
            </w:r>
            <w:r w:rsidRPr="001455DC">
              <w:rPr>
                <w:rStyle w:val="CCMCvariablesubscript"/>
              </w:rPr>
              <w:t>cm</w:t>
            </w:r>
            <w:r w:rsidRPr="001455DC">
              <w:rPr>
                <w:rStyle w:val="CCMCvariablesuperscript"/>
              </w:rPr>
              <w:t>1/3</w:t>
            </w:r>
            <w:r w:rsidRPr="001455DC">
              <w:t> </w:t>
            </w:r>
            <w:r w:rsidR="00650035" w:rsidRPr="001455DC">
              <w:rPr>
                <w:rFonts w:ascii="Cambria Math" w:hAnsi="Cambria Math"/>
              </w:rPr>
              <w:t>≤</w:t>
            </w:r>
            <w:r w:rsidRPr="001455DC">
              <w:t> 2,8 ‰</w:t>
            </w:r>
          </w:p>
        </w:tc>
        <w:tc>
          <w:tcPr>
            <w:tcW w:w="1247" w:type="dxa"/>
            <w:vAlign w:val="center"/>
          </w:tcPr>
          <w:p w14:paraId="69334E82" w14:textId="26FCEF05" w:rsidR="00763BFE" w:rsidRPr="001455DC" w:rsidRDefault="00763BFE" w:rsidP="00763BFE">
            <w:pPr>
              <w:pStyle w:val="a7"/>
              <w:jc w:val="right"/>
            </w:pPr>
            <w:r w:rsidRPr="001455DC">
              <w:t>(5.9)</w:t>
            </w:r>
          </w:p>
        </w:tc>
      </w:tr>
      <w:tr w:rsidR="00763BFE" w:rsidRPr="001455DC" w14:paraId="79E02AE7" w14:textId="77777777" w:rsidTr="00763BFE">
        <w:trPr>
          <w:cantSplit/>
        </w:trPr>
        <w:tc>
          <w:tcPr>
            <w:tcW w:w="8505" w:type="dxa"/>
            <w:vAlign w:val="center"/>
          </w:tcPr>
          <w:p w14:paraId="737DA703" w14:textId="3518D5C4" w:rsidR="00763BFE" w:rsidRPr="001455DC" w:rsidRDefault="00763BFE" w:rsidP="00763BFE">
            <w:pPr>
              <w:pStyle w:val="Formula"/>
              <w:jc w:val="left"/>
            </w:pPr>
            <w:r w:rsidRPr="001455DC">
              <w:rPr>
                <w:rStyle w:val="CCMCvariableitalic"/>
              </w:rPr>
              <w:t>ε</w:t>
            </w:r>
            <w:r w:rsidRPr="001455DC">
              <w:rPr>
                <w:rStyle w:val="CCMCvariablesubscript"/>
              </w:rPr>
              <w:t>c</w:t>
            </w:r>
            <w:r w:rsidRPr="001455DC">
              <w:t> </w:t>
            </w:r>
            <w:r w:rsidR="00650035" w:rsidRPr="001455DC">
              <w:rPr>
                <w:rFonts w:ascii="Cambria Math" w:hAnsi="Cambria Math"/>
              </w:rPr>
              <w:t>&lt;</w:t>
            </w:r>
            <w:r w:rsidRPr="001455DC">
              <w:t> </w:t>
            </w:r>
            <w:r w:rsidRPr="001455DC">
              <w:rPr>
                <w:rStyle w:val="CCMCvariableitalic"/>
              </w:rPr>
              <w:t>ε</w:t>
            </w:r>
            <w:r w:rsidRPr="001455DC">
              <w:rPr>
                <w:rStyle w:val="CCMCvariablesubscript"/>
              </w:rPr>
              <w:t>cu1</w:t>
            </w:r>
            <w:r w:rsidRPr="001455DC">
              <w:t xml:space="preserve"> [‰] </w:t>
            </w:r>
            <w:r w:rsidR="00EC27D2" w:rsidRPr="001455DC">
              <w:rPr>
                <w:rFonts w:ascii="Cambria Math" w:hAnsi="Cambria Math"/>
              </w:rPr>
              <w:t>=</w:t>
            </w:r>
            <w:r w:rsidRPr="001455DC">
              <w:t> 2,8</w:t>
            </w:r>
            <w:r w:rsidR="00EC27D2" w:rsidRPr="001455DC">
              <w:rPr>
                <w:rFonts w:ascii="Cambria Math" w:hAnsi="Cambria Math"/>
              </w:rPr>
              <w:t> + </w:t>
            </w:r>
            <w:r w:rsidRPr="001455DC">
              <w:t>14 </w:t>
            </w:r>
            <w:r w:rsidRPr="001455DC">
              <w:rPr>
                <w:rFonts w:ascii="Cambria Math" w:hAnsi="Cambria Math" w:cs="Cambria Math"/>
              </w:rPr>
              <w:t>⋅</w:t>
            </w:r>
            <w:r w:rsidRPr="001455DC">
              <w:t> (1 </w:t>
            </w:r>
            <w:r w:rsidR="00EC27D2" w:rsidRPr="001455DC">
              <w:rPr>
                <w:rFonts w:ascii="Cambria Math" w:hAnsi="Cambria Math"/>
              </w:rPr>
              <w:t>−</w:t>
            </w:r>
            <w:r w:rsidRPr="001455DC">
              <w:t> </w:t>
            </w:r>
            <w:r w:rsidRPr="001455DC">
              <w:rPr>
                <w:rStyle w:val="CCMCvariableitalic"/>
              </w:rPr>
              <w:t>f</w:t>
            </w:r>
            <w:r w:rsidRPr="001455DC">
              <w:rPr>
                <w:rStyle w:val="CCMCvariablesubscript"/>
              </w:rPr>
              <w:t>cm</w:t>
            </w:r>
            <w:r w:rsidRPr="001455DC">
              <w:t>/108)</w:t>
            </w:r>
            <w:r w:rsidRPr="001455DC">
              <w:rPr>
                <w:rStyle w:val="CCMCvariablesuperscript"/>
              </w:rPr>
              <w:t>4</w:t>
            </w:r>
            <w:r w:rsidRPr="001455DC">
              <w:t> </w:t>
            </w:r>
            <w:r w:rsidR="00650035" w:rsidRPr="001455DC">
              <w:rPr>
                <w:rFonts w:ascii="Cambria Math" w:hAnsi="Cambria Math"/>
              </w:rPr>
              <w:t>≤</w:t>
            </w:r>
            <w:r w:rsidRPr="001455DC">
              <w:t> 3,5 ‰</w:t>
            </w:r>
          </w:p>
        </w:tc>
        <w:tc>
          <w:tcPr>
            <w:tcW w:w="1247" w:type="dxa"/>
            <w:vAlign w:val="center"/>
          </w:tcPr>
          <w:p w14:paraId="367D2423" w14:textId="006E9C85" w:rsidR="00763BFE" w:rsidRPr="001455DC" w:rsidRDefault="00763BFE" w:rsidP="00763BFE">
            <w:pPr>
              <w:pStyle w:val="a7"/>
              <w:jc w:val="right"/>
            </w:pPr>
            <w:r w:rsidRPr="001455DC">
              <w:t>(5.10)</w:t>
            </w:r>
          </w:p>
        </w:tc>
      </w:tr>
    </w:tbl>
    <w:p w14:paraId="251E234A" w14:textId="3442C2AF" w:rsidR="004E22C1" w:rsidRPr="001455DC" w:rsidRDefault="004E22C1" w:rsidP="00DF525A">
      <w:pPr>
        <w:pStyle w:val="Note"/>
      </w:pPr>
      <w:r w:rsidRPr="001455DC">
        <w:t>NOTE</w:t>
      </w:r>
      <w:r w:rsidR="004B62E7">
        <w:t xml:space="preserve"> </w:t>
      </w:r>
      <w:r w:rsidRPr="001455DC">
        <w:tab/>
        <w:t>Simplified stress distributions in cross sections used to determine the resistance to axial and flexural effects at the ultimate limit state are provided in 8.1.2.</w:t>
      </w:r>
    </w:p>
    <w:p w14:paraId="103C9BE3" w14:textId="77777777" w:rsidR="004E22C1" w:rsidRPr="001455DC" w:rsidRDefault="004E22C1" w:rsidP="00DF525A">
      <w:pPr>
        <w:pStyle w:val="a7"/>
        <w:rPr>
          <w:bCs/>
        </w:rPr>
      </w:pPr>
      <w:r w:rsidRPr="001455DC">
        <w:t>(4)</w:t>
      </w:r>
      <w:r w:rsidRPr="001455DC">
        <w:tab/>
        <w:t>Other idealised stress-strain relations may be applied, if they adequately represent the behaviour of the concrete considered.</w:t>
      </w:r>
    </w:p>
    <w:p w14:paraId="36E44F1A" w14:textId="19935FD1" w:rsidR="009F0ED8" w:rsidRPr="009D3012" w:rsidRDefault="00723CF7" w:rsidP="00853D7F">
      <w:pPr>
        <w:pStyle w:val="FigureImage"/>
        <w:rPr>
          <w:b/>
          <w:i/>
        </w:rPr>
      </w:pPr>
      <w:r>
        <w:rPr>
          <w:b/>
          <w:i/>
          <w:noProof/>
          <w:lang w:eastAsia="en-GB"/>
        </w:rPr>
        <w:fldChar w:fldCharType="begin"/>
      </w:r>
      <w:r>
        <w:rPr>
          <w:b/>
          <w:i/>
          <w:noProof/>
          <w:lang w:eastAsia="en-GB"/>
        </w:rPr>
        <w:instrText xml:space="preserve"> INCLUDEPICTURE  "Y:\\STD_MGT\\STDDEL\\PRODUCTION\\etrans\\Download\\Z_FIRST_DEL\\SV\\00250\\00250269\\41_e_dr\\5_001.tif" \* MERGEFORMATINET </w:instrText>
      </w:r>
      <w:r>
        <w:rPr>
          <w:b/>
          <w:i/>
          <w:noProof/>
          <w:lang w:eastAsia="en-GB"/>
        </w:rPr>
        <w:fldChar w:fldCharType="separate"/>
      </w:r>
      <w:r w:rsidR="00FA575F">
        <w:rPr>
          <w:b/>
          <w:i/>
          <w:noProof/>
          <w:lang w:eastAsia="en-GB"/>
        </w:rPr>
        <w:fldChar w:fldCharType="begin"/>
      </w:r>
      <w:r w:rsidR="00FA575F">
        <w:rPr>
          <w:b/>
          <w:i/>
          <w:noProof/>
          <w:lang w:eastAsia="en-GB"/>
        </w:rPr>
        <w:instrText xml:space="preserve"> INCLUDEPICTURE  "Y:\\STD_MGT\\STDDEL\\PRODUCTION\\Standards\\00250\\269\\41_e_dr\\5_001.tif" \* MERGEFORMATINET </w:instrText>
      </w:r>
      <w:r w:rsidR="00FA575F">
        <w:rPr>
          <w:b/>
          <w:i/>
          <w:noProof/>
          <w:lang w:eastAsia="en-GB"/>
        </w:rPr>
        <w:fldChar w:fldCharType="separate"/>
      </w:r>
      <w:r w:rsidR="00C54E80">
        <w:rPr>
          <w:b/>
          <w:i/>
          <w:noProof/>
          <w:lang w:eastAsia="en-GB"/>
        </w:rPr>
        <w:fldChar w:fldCharType="begin"/>
      </w:r>
      <w:r w:rsidR="00C54E80">
        <w:rPr>
          <w:b/>
          <w:i/>
          <w:noProof/>
          <w:lang w:eastAsia="en-GB"/>
        </w:rPr>
        <w:instrText xml:space="preserve"> INCLUDEPICTURE  "Y:\\STD_MGT\\STDDEL\\PRODUCTION\\Standards\\00250\\269\\41_e_dr\\5_001.tif" \* MERGEFORMATINET </w:instrText>
      </w:r>
      <w:r w:rsidR="00C54E80">
        <w:rPr>
          <w:b/>
          <w:i/>
          <w:noProof/>
          <w:lang w:eastAsia="en-GB"/>
        </w:rPr>
        <w:fldChar w:fldCharType="separate"/>
      </w:r>
      <w:r w:rsidR="004B62E7">
        <w:rPr>
          <w:b/>
          <w:i/>
          <w:noProof/>
          <w:lang w:eastAsia="en-GB"/>
        </w:rPr>
        <w:fldChar w:fldCharType="begin"/>
      </w:r>
      <w:r w:rsidR="004B62E7">
        <w:rPr>
          <w:b/>
          <w:i/>
          <w:noProof/>
          <w:lang w:eastAsia="en-GB"/>
        </w:rPr>
        <w:instrText xml:space="preserve"> INCLUDEPICTURE  "Y:\\STD_MGT\\STDDEL\\PRODUCTION\\Standards\\00250\\269\\41_e_dr\\5_001.tif" \* MERGEFORMATINET </w:instrText>
      </w:r>
      <w:r w:rsidR="004B62E7">
        <w:rPr>
          <w:b/>
          <w:i/>
          <w:noProof/>
          <w:lang w:eastAsia="en-GB"/>
        </w:rPr>
        <w:fldChar w:fldCharType="separate"/>
      </w:r>
      <w:r w:rsidR="00B078F1">
        <w:rPr>
          <w:b/>
          <w:i/>
          <w:noProof/>
          <w:lang w:eastAsia="en-GB"/>
        </w:rPr>
        <w:fldChar w:fldCharType="begin"/>
      </w:r>
      <w:r w:rsidR="00B078F1">
        <w:rPr>
          <w:b/>
          <w:i/>
          <w:noProof/>
          <w:lang w:eastAsia="en-GB"/>
        </w:rPr>
        <w:instrText xml:space="preserve"> INCLUDEPICTURE  "Y:\\STD_MGT\\STDDEL\\PRODUCTION\\Standards\\00250\\269\\41_e_dr\\5_001.tif" \* MERGEFORMATINET </w:instrText>
      </w:r>
      <w:r w:rsidR="00B078F1">
        <w:rPr>
          <w:b/>
          <w:i/>
          <w:noProof/>
          <w:lang w:eastAsia="en-GB"/>
        </w:rPr>
        <w:fldChar w:fldCharType="separate"/>
      </w:r>
      <w:r w:rsidR="000250B6">
        <w:rPr>
          <w:b/>
          <w:i/>
          <w:noProof/>
          <w:lang w:eastAsia="en-GB"/>
        </w:rPr>
        <w:fldChar w:fldCharType="begin"/>
      </w:r>
      <w:r w:rsidR="000250B6">
        <w:rPr>
          <w:b/>
          <w:i/>
          <w:noProof/>
          <w:lang w:eastAsia="en-GB"/>
        </w:rPr>
        <w:instrText xml:space="preserve"> INCLUDEPICTURE  "Y:\\STD_MGT\\STDDEL\\PRODUCTION\\Standards\\00250\\269\\41_e_dr\\5_001.tif" \* MERGEFORMATINET </w:instrText>
      </w:r>
      <w:r w:rsidR="000250B6">
        <w:rPr>
          <w:b/>
          <w:i/>
          <w:noProof/>
          <w:lang w:eastAsia="en-GB"/>
        </w:rPr>
        <w:fldChar w:fldCharType="separate"/>
      </w:r>
      <w:r w:rsidR="00231E33">
        <w:rPr>
          <w:b/>
          <w:i/>
          <w:noProof/>
          <w:lang w:eastAsia="en-GB"/>
        </w:rPr>
        <w:fldChar w:fldCharType="begin"/>
      </w:r>
      <w:r w:rsidR="00231E33">
        <w:rPr>
          <w:b/>
          <w:i/>
          <w:noProof/>
          <w:lang w:eastAsia="en-GB"/>
        </w:rPr>
        <w:instrText xml:space="preserve"> </w:instrText>
      </w:r>
      <w:r w:rsidR="00231E33">
        <w:rPr>
          <w:b/>
          <w:i/>
          <w:noProof/>
          <w:lang w:eastAsia="en-GB"/>
        </w:rPr>
        <w:instrText>INCLUDEPICTURE  "C:\\Users\\a</w:instrText>
      </w:r>
      <w:r w:rsidR="00231E33">
        <w:rPr>
          <w:b/>
          <w:i/>
          <w:noProof/>
          <w:lang w:eastAsia="en-GB"/>
        </w:rPr>
        <w:instrText>.dionysiou\\AppData\\Local\\Temp\\Temp1_00250269_e_20210902.zip.zip\\41_e_dr\\5_001.tif" \* MERGEFORMATINET</w:instrText>
      </w:r>
      <w:r w:rsidR="00231E33">
        <w:rPr>
          <w:b/>
          <w:i/>
          <w:noProof/>
          <w:lang w:eastAsia="en-GB"/>
        </w:rPr>
        <w:instrText xml:space="preserve"> </w:instrText>
      </w:r>
      <w:r w:rsidR="00231E33">
        <w:rPr>
          <w:b/>
          <w:i/>
          <w:noProof/>
          <w:lang w:eastAsia="en-GB"/>
        </w:rPr>
        <w:fldChar w:fldCharType="separate"/>
      </w:r>
      <w:r w:rsidR="00231E33">
        <w:rPr>
          <w:b/>
          <w:i/>
          <w:noProof/>
          <w:lang w:eastAsia="en-GB"/>
        </w:rPr>
        <w:pict w14:anchorId="4F988DD5">
          <v:shape id="_x0000_i1130" type="#_x0000_t75" style="width:141pt;height:113.25pt">
            <v:imagedata r:id="rId230" r:href="rId231"/>
          </v:shape>
        </w:pict>
      </w:r>
      <w:r w:rsidR="00231E33">
        <w:rPr>
          <w:b/>
          <w:i/>
          <w:noProof/>
          <w:lang w:eastAsia="en-GB"/>
        </w:rPr>
        <w:fldChar w:fldCharType="end"/>
      </w:r>
      <w:r w:rsidR="000250B6">
        <w:rPr>
          <w:b/>
          <w:i/>
          <w:noProof/>
          <w:lang w:eastAsia="en-GB"/>
        </w:rPr>
        <w:fldChar w:fldCharType="end"/>
      </w:r>
      <w:r w:rsidR="00B078F1">
        <w:rPr>
          <w:b/>
          <w:i/>
          <w:noProof/>
          <w:lang w:eastAsia="en-GB"/>
        </w:rPr>
        <w:fldChar w:fldCharType="end"/>
      </w:r>
      <w:r w:rsidR="004B62E7">
        <w:rPr>
          <w:b/>
          <w:i/>
          <w:noProof/>
          <w:lang w:eastAsia="en-GB"/>
        </w:rPr>
        <w:fldChar w:fldCharType="end"/>
      </w:r>
      <w:r w:rsidR="00C54E80">
        <w:rPr>
          <w:b/>
          <w:i/>
          <w:noProof/>
          <w:lang w:eastAsia="en-GB"/>
        </w:rPr>
        <w:fldChar w:fldCharType="end"/>
      </w:r>
      <w:r w:rsidR="00FA575F">
        <w:rPr>
          <w:b/>
          <w:i/>
          <w:noProof/>
          <w:lang w:eastAsia="en-GB"/>
        </w:rPr>
        <w:fldChar w:fldCharType="end"/>
      </w:r>
      <w:r>
        <w:rPr>
          <w:b/>
          <w:i/>
          <w:noProof/>
          <w:lang w:eastAsia="en-GB"/>
        </w:rPr>
        <w:fldChar w:fldCharType="end"/>
      </w:r>
    </w:p>
    <w:p w14:paraId="0DD97768" w14:textId="77777777" w:rsidR="004E22C1" w:rsidRPr="003F0CF8" w:rsidRDefault="004E22C1" w:rsidP="009D3012">
      <w:pPr>
        <w:pStyle w:val="FigureImage"/>
        <w:rPr>
          <w:b/>
        </w:rPr>
      </w:pPr>
      <w:r w:rsidRPr="003F0CF8">
        <w:rPr>
          <w:b/>
        </w:rPr>
        <w:t>Figure 5.1 — Stress-strain relation for concrete in compression</w:t>
      </w:r>
    </w:p>
    <w:p w14:paraId="6AC68A2D" w14:textId="5E422C42" w:rsidR="004E22C1" w:rsidRPr="001455DC" w:rsidRDefault="004E22C1" w:rsidP="00763BFE">
      <w:pPr>
        <w:pStyle w:val="a7"/>
      </w:pPr>
      <w:r w:rsidRPr="001455DC">
        <w:t>(5)</w:t>
      </w:r>
      <w:r w:rsidRPr="001455DC">
        <w:tab/>
        <w:t>Unless more precise values are available, the mean density of normal weight reinforced concrete for the purposes of design may be taken as 2</w:t>
      </w:r>
      <w:r w:rsidR="00853D7F" w:rsidRPr="001455DC">
        <w:t> </w:t>
      </w:r>
      <w:r w:rsidRPr="001455DC">
        <w:t>500 kg/m³, and for plain normal weight concrete as 2</w:t>
      </w:r>
      <w:r w:rsidR="00853D7F" w:rsidRPr="001455DC">
        <w:t> </w:t>
      </w:r>
      <w:r w:rsidRPr="001455DC">
        <w:t>400 kg/m³.</w:t>
      </w:r>
    </w:p>
    <w:p w14:paraId="5DAFCDCC" w14:textId="1970E365" w:rsidR="004E22C1" w:rsidRPr="001455DC" w:rsidRDefault="004E22C1" w:rsidP="00763BFE">
      <w:pPr>
        <w:pStyle w:val="a7"/>
        <w:rPr>
          <w:bCs/>
        </w:rPr>
      </w:pPr>
      <w:r w:rsidRPr="001455DC">
        <w:t>(6)</w:t>
      </w:r>
      <w:r w:rsidRPr="001455DC">
        <w:tab/>
        <w:t xml:space="preserve">Unless more accurate information is available, the linear coefficient of thermal expansion </w:t>
      </w:r>
      <w:r w:rsidRPr="001455DC">
        <w:rPr>
          <w:rStyle w:val="CCMCvariableitalic"/>
        </w:rPr>
        <w:t>α</w:t>
      </w:r>
      <w:r w:rsidRPr="001455DC">
        <w:rPr>
          <w:rStyle w:val="CCMCvariablesubscript"/>
        </w:rPr>
        <w:t>c,th</w:t>
      </w:r>
      <w:r w:rsidRPr="001455DC">
        <w:t xml:space="preserve"> may be taken equal to 10 </w:t>
      </w:r>
      <w:r w:rsidRPr="001455DC">
        <w:rPr>
          <w:rFonts w:ascii="Cambria Math" w:hAnsi="Cambria Math" w:cs="Cambria Math"/>
        </w:rPr>
        <w:t>⋅</w:t>
      </w:r>
      <w:r w:rsidRPr="001455DC">
        <w:t> 10</w:t>
      </w:r>
      <w:r w:rsidR="00EC27D2" w:rsidRPr="001455DC">
        <w:rPr>
          <w:rStyle w:val="CCMCvariablesuperscript"/>
          <w:rFonts w:ascii="Cambria Math" w:hAnsi="Cambria Math"/>
        </w:rPr>
        <w:t>−</w:t>
      </w:r>
      <w:r w:rsidRPr="001455DC">
        <w:rPr>
          <w:rStyle w:val="CCMCvariablesuperscript"/>
        </w:rPr>
        <w:t>6</w:t>
      </w:r>
      <w:r w:rsidRPr="001455DC">
        <w:t> °C</w:t>
      </w:r>
      <w:r w:rsidR="00EC27D2" w:rsidRPr="001455DC">
        <w:rPr>
          <w:rStyle w:val="CCMCvariablesuperscript"/>
          <w:rFonts w:ascii="Cambria Math" w:hAnsi="Cambria Math"/>
        </w:rPr>
        <w:t>−</w:t>
      </w:r>
      <w:r w:rsidRPr="001455DC">
        <w:rPr>
          <w:rStyle w:val="CCMCvariablesuperscript"/>
        </w:rPr>
        <w:t>1</w:t>
      </w:r>
      <w:r w:rsidRPr="001455DC">
        <w:t>.</w:t>
      </w:r>
    </w:p>
    <w:p w14:paraId="3C76FB47" w14:textId="03605C2E" w:rsidR="004E22C1" w:rsidRPr="001455DC" w:rsidRDefault="004E22C1" w:rsidP="006D682B">
      <w:pPr>
        <w:pStyle w:val="21"/>
      </w:pPr>
      <w:bookmarkStart w:id="263" w:name="_Toc52819906"/>
      <w:bookmarkStart w:id="264" w:name="_Toc54337303"/>
      <w:bookmarkStart w:id="265" w:name="_Toc54337964"/>
      <w:bookmarkStart w:id="266" w:name="_Toc67565327"/>
      <w:r w:rsidRPr="001455DC">
        <w:t>Reinforcing steel</w:t>
      </w:r>
      <w:bookmarkEnd w:id="263"/>
      <w:bookmarkEnd w:id="264"/>
      <w:bookmarkEnd w:id="265"/>
      <w:bookmarkEnd w:id="266"/>
    </w:p>
    <w:p w14:paraId="3B92A969" w14:textId="4F798140" w:rsidR="004E22C1" w:rsidRPr="001455DC" w:rsidRDefault="004E22C1" w:rsidP="00243590">
      <w:pPr>
        <w:pStyle w:val="31"/>
      </w:pPr>
      <w:bookmarkStart w:id="267" w:name="_Toc52819907"/>
      <w:bookmarkStart w:id="268" w:name="_Toc54337304"/>
      <w:bookmarkStart w:id="269" w:name="_Toc54337965"/>
      <w:bookmarkStart w:id="270" w:name="_Toc67565328"/>
      <w:r w:rsidRPr="001455DC">
        <w:t>General</w:t>
      </w:r>
      <w:bookmarkEnd w:id="267"/>
      <w:bookmarkEnd w:id="268"/>
      <w:bookmarkEnd w:id="269"/>
      <w:bookmarkEnd w:id="270"/>
    </w:p>
    <w:p w14:paraId="0479FA17" w14:textId="77777777" w:rsidR="004E22C1" w:rsidRPr="001455DC" w:rsidRDefault="004E22C1" w:rsidP="008E6252">
      <w:pPr>
        <w:pStyle w:val="a7"/>
        <w:keepNext/>
      </w:pPr>
      <w:r w:rsidRPr="001455DC">
        <w:t>(1)</w:t>
      </w:r>
      <w:r w:rsidRPr="001455DC">
        <w:tab/>
        <w:t>The clauses in 5.2 give provisions for the following types of reinforcing steels suitable for design of concrete structures in accordance with this Eurocode:</w:t>
      </w:r>
    </w:p>
    <w:p w14:paraId="567BE8C5" w14:textId="57AD46B6" w:rsidR="004E22C1" w:rsidRPr="001455DC" w:rsidRDefault="004E22C1" w:rsidP="006210D7">
      <w:pPr>
        <w:pStyle w:val="a0"/>
        <w:keepNext/>
        <w:rPr>
          <w:b/>
        </w:rPr>
      </w:pPr>
      <w:r w:rsidRPr="001455DC">
        <w:t>weldable ribbed and indented reinforcing steel, in the form of bars including de-coiled bars,</w:t>
      </w:r>
    </w:p>
    <w:p w14:paraId="3EC44017" w14:textId="19FD8622" w:rsidR="004E22C1" w:rsidRPr="001455DC" w:rsidRDefault="004E22C1" w:rsidP="00353CE4">
      <w:pPr>
        <w:pStyle w:val="a0"/>
      </w:pPr>
      <w:r w:rsidRPr="001455DC">
        <w:t>weldable ribbed and indented reinforcing steel in the form of welded fabric and lattice girders.</w:t>
      </w:r>
    </w:p>
    <w:p w14:paraId="2E0F9879" w14:textId="00338507" w:rsidR="009732CA" w:rsidRPr="009D3012" w:rsidRDefault="009732CA" w:rsidP="009D3012">
      <w:pPr>
        <w:pStyle w:val="Note"/>
      </w:pPr>
      <w:r w:rsidRPr="009D3012">
        <w:rPr>
          <w:bCs/>
        </w:rPr>
        <w:t>NOTE</w:t>
      </w:r>
      <w:r w:rsidRPr="009D3012">
        <w:rPr>
          <w:b/>
          <w:bCs/>
        </w:rPr>
        <w:t xml:space="preserve"> </w:t>
      </w:r>
      <w:r w:rsidRPr="009D3012">
        <w:rPr>
          <w:b/>
          <w:bCs/>
        </w:rPr>
        <w:tab/>
      </w:r>
      <w:r w:rsidRPr="009D3012">
        <w:t xml:space="preserve"> Annex I gives information for assessment of existing structures with plain (smooth) bars. These rules can be used also for new structures, where plain shear or plain confinement reinforcement is used.</w:t>
      </w:r>
    </w:p>
    <w:p w14:paraId="45173D6D" w14:textId="09E420B2" w:rsidR="004E22C1" w:rsidRPr="001455DC" w:rsidRDefault="004E22C1" w:rsidP="008E6252">
      <w:pPr>
        <w:pStyle w:val="a7"/>
        <w:keepNext/>
      </w:pPr>
      <w:r w:rsidRPr="001455DC">
        <w:t>(</w:t>
      </w:r>
      <w:r w:rsidR="009732CA" w:rsidRPr="001455DC">
        <w:t>2</w:t>
      </w:r>
      <w:r w:rsidRPr="001455DC">
        <w:t>)</w:t>
      </w:r>
      <w:r w:rsidRPr="001455DC">
        <w:tab/>
        <w:t>The rules in this Eurocode may be used for bar diameters</w:t>
      </w:r>
    </w:p>
    <w:p w14:paraId="279C4901" w14:textId="2859909E" w:rsidR="004E22C1" w:rsidRPr="001455DC" w:rsidRDefault="004E22C1" w:rsidP="00353CE4">
      <w:pPr>
        <w:pStyle w:val="a0"/>
        <w:rPr>
          <w:szCs w:val="22"/>
        </w:rPr>
      </w:pPr>
      <w:r w:rsidRPr="001455DC">
        <w:rPr>
          <w:szCs w:val="22"/>
        </w:rPr>
        <w:t xml:space="preserve">of ribbed reinforcement with </w:t>
      </w:r>
      <w:r w:rsidRPr="001455DC">
        <w:rPr>
          <w:rStyle w:val="CCMCvariableitalic"/>
          <w:szCs w:val="22"/>
        </w:rPr>
        <w:t>ϕ</w:t>
      </w:r>
      <w:r w:rsidRPr="001455DC">
        <w:rPr>
          <w:szCs w:val="22"/>
        </w:rPr>
        <w:t> </w:t>
      </w:r>
      <w:r w:rsidR="00650035" w:rsidRPr="001455DC">
        <w:rPr>
          <w:rFonts w:ascii="Cambria Math" w:hAnsi="Cambria Math"/>
          <w:szCs w:val="22"/>
        </w:rPr>
        <w:t>≤</w:t>
      </w:r>
      <w:r w:rsidRPr="001455DC">
        <w:rPr>
          <w:szCs w:val="22"/>
        </w:rPr>
        <w:t> </w:t>
      </w:r>
      <w:r w:rsidRPr="001455DC">
        <w:t>50 mm</w:t>
      </w:r>
      <w:r w:rsidRPr="001455DC">
        <w:rPr>
          <w:szCs w:val="22"/>
        </w:rPr>
        <w:t>,</w:t>
      </w:r>
    </w:p>
    <w:p w14:paraId="31A96D00" w14:textId="1E832DCE" w:rsidR="004E22C1" w:rsidRPr="001455DC" w:rsidRDefault="004E22C1" w:rsidP="00353CE4">
      <w:pPr>
        <w:pStyle w:val="a0"/>
        <w:rPr>
          <w:szCs w:val="22"/>
        </w:rPr>
      </w:pPr>
      <w:r w:rsidRPr="001455DC">
        <w:rPr>
          <w:szCs w:val="22"/>
        </w:rPr>
        <w:t xml:space="preserve">indented reinforcement with </w:t>
      </w:r>
      <w:r w:rsidRPr="001455DC">
        <w:rPr>
          <w:rStyle w:val="CCMCvariableitalic"/>
          <w:szCs w:val="22"/>
        </w:rPr>
        <w:t>ϕ</w:t>
      </w:r>
      <w:r w:rsidRPr="001455DC">
        <w:rPr>
          <w:szCs w:val="22"/>
        </w:rPr>
        <w:t> </w:t>
      </w:r>
      <w:r w:rsidR="00650035" w:rsidRPr="001455DC">
        <w:rPr>
          <w:rFonts w:ascii="Cambria Math" w:hAnsi="Cambria Math"/>
          <w:szCs w:val="22"/>
        </w:rPr>
        <w:t>≤</w:t>
      </w:r>
      <w:r w:rsidRPr="001455DC">
        <w:rPr>
          <w:szCs w:val="22"/>
        </w:rPr>
        <w:t> 14 mm.</w:t>
      </w:r>
    </w:p>
    <w:p w14:paraId="4BC77756" w14:textId="0FC6FEF2" w:rsidR="004E22C1" w:rsidRPr="001455DC" w:rsidRDefault="004E22C1" w:rsidP="00853D7F">
      <w:pPr>
        <w:pStyle w:val="a7"/>
      </w:pPr>
      <w:r w:rsidRPr="001455DC">
        <w:t>(</w:t>
      </w:r>
      <w:r w:rsidR="009732CA" w:rsidRPr="001455DC">
        <w:t>3</w:t>
      </w:r>
      <w:r w:rsidRPr="001455DC">
        <w:t>)</w:t>
      </w:r>
      <w:r w:rsidRPr="001455DC">
        <w:tab/>
        <w:t xml:space="preserve">The requirements for the properties of the reinforcement apply for the material as placed in the finished structure, and for service temperatures in the range from </w:t>
      </w:r>
      <w:r w:rsidRPr="001455DC">
        <w:rPr>
          <w:rFonts w:ascii="Cambria Math" w:hAnsi="Cambria Math"/>
        </w:rPr>
        <w:t>−</w:t>
      </w:r>
      <w:r w:rsidRPr="001455DC">
        <w:t xml:space="preserve">40 °C to </w:t>
      </w:r>
      <w:r w:rsidR="00EC27D2" w:rsidRPr="001455DC">
        <w:rPr>
          <w:rFonts w:ascii="Cambria Math" w:hAnsi="Cambria Math"/>
        </w:rPr>
        <w:t>+</w:t>
      </w:r>
      <w:r w:rsidRPr="001455DC">
        <w:t>100 °C. If workshop processing or site operations can affect the properties of the reinforcement, then those properties shall be verified after such operations.</w:t>
      </w:r>
    </w:p>
    <w:p w14:paraId="3E39EC05" w14:textId="602F38D1" w:rsidR="004E22C1" w:rsidRPr="001455DC" w:rsidRDefault="004E22C1" w:rsidP="00853D7F">
      <w:pPr>
        <w:pStyle w:val="a7"/>
      </w:pPr>
      <w:r w:rsidRPr="001455DC">
        <w:t>(</w:t>
      </w:r>
      <w:r w:rsidR="009732CA" w:rsidRPr="001455DC">
        <w:t>4</w:t>
      </w:r>
      <w:r w:rsidRPr="001455DC">
        <w:t>)</w:t>
      </w:r>
      <w:r w:rsidRPr="001455DC">
        <w:tab/>
        <w:t>Steels used for structures designed in accordance with this Eurocode shall comply with EN 10080 for carbon reinforcing steel.</w:t>
      </w:r>
    </w:p>
    <w:p w14:paraId="4F20441F" w14:textId="62FD8359" w:rsidR="004E22C1" w:rsidRPr="001455DC" w:rsidRDefault="004E22C1" w:rsidP="00853D7F">
      <w:pPr>
        <w:pStyle w:val="Note"/>
      </w:pPr>
      <w:r w:rsidRPr="001455DC">
        <w:t>NOTE </w:t>
      </w:r>
      <w:r w:rsidR="004B62E7">
        <w:t>1</w:t>
      </w:r>
      <w:r w:rsidRPr="001455DC">
        <w:tab/>
        <w:t>For requirements for reinforcing steel material according to steel classes see C.</w:t>
      </w:r>
      <w:r w:rsidR="00DC0EB4" w:rsidRPr="001455DC">
        <w:t>4</w:t>
      </w:r>
      <w:r w:rsidRPr="001455DC">
        <w:t>. For additional or modified rules for stainless reinforcing steel see Annex Q.</w:t>
      </w:r>
    </w:p>
    <w:p w14:paraId="23E23DF8" w14:textId="0E3F7C6C" w:rsidR="004E22C1" w:rsidRPr="001455DC" w:rsidRDefault="004E22C1" w:rsidP="008E6252">
      <w:pPr>
        <w:pStyle w:val="Note"/>
      </w:pPr>
      <w:r w:rsidRPr="001455DC">
        <w:t>NOTE </w:t>
      </w:r>
      <w:r w:rsidR="004B62E7">
        <w:t>2</w:t>
      </w:r>
      <w:r w:rsidRPr="001455DC">
        <w:tab/>
        <w:t>As long as the ha</w:t>
      </w:r>
      <w:r w:rsidR="004B62E7">
        <w:t>rmoniz</w:t>
      </w:r>
      <w:r w:rsidRPr="001455DC">
        <w:t xml:space="preserve">ed product standards EN 10080 and </w:t>
      </w:r>
      <w:r w:rsidR="008D32E2" w:rsidRPr="001455DC">
        <w:t>pr</w:t>
      </w:r>
      <w:r w:rsidRPr="001455DC">
        <w:t>EN 10370 are not published, a National Annex can refer to other technical specifications, e.g. national product standards for reinforcing steel.</w:t>
      </w:r>
    </w:p>
    <w:p w14:paraId="39700B5E" w14:textId="23FC0D62" w:rsidR="004E22C1" w:rsidRPr="001455DC" w:rsidRDefault="004E22C1" w:rsidP="00853D7F">
      <w:pPr>
        <w:pStyle w:val="Note"/>
      </w:pPr>
      <w:r w:rsidRPr="001455DC">
        <w:t>NOTE </w:t>
      </w:r>
      <w:r w:rsidR="004B62E7">
        <w:t>3</w:t>
      </w:r>
      <w:r w:rsidRPr="001455DC">
        <w:tab/>
        <w:t xml:space="preserve">For other reinforcing steel products which are to be used with Eurocode 2, a National Annex can give additional or modified design and detailing rules </w:t>
      </w:r>
      <w:r w:rsidR="00E31E66" w:rsidRPr="001455DC">
        <w:t>referring</w:t>
      </w:r>
      <w:r w:rsidRPr="001455DC">
        <w:t xml:space="preserve"> to relevant technical product specifications and national practice.</w:t>
      </w:r>
    </w:p>
    <w:p w14:paraId="1A70D870" w14:textId="39D28954" w:rsidR="004E22C1" w:rsidRPr="001455DC" w:rsidRDefault="004E22C1" w:rsidP="00243590">
      <w:pPr>
        <w:pStyle w:val="31"/>
      </w:pPr>
      <w:bookmarkStart w:id="271" w:name="_Toc52819908"/>
      <w:bookmarkStart w:id="272" w:name="_Toc54337305"/>
      <w:bookmarkStart w:id="273" w:name="_Toc54337966"/>
      <w:bookmarkStart w:id="274" w:name="_Toc67565329"/>
      <w:r w:rsidRPr="001455DC">
        <w:t>Properties</w:t>
      </w:r>
      <w:bookmarkEnd w:id="271"/>
      <w:bookmarkEnd w:id="272"/>
      <w:bookmarkEnd w:id="273"/>
      <w:bookmarkEnd w:id="274"/>
    </w:p>
    <w:p w14:paraId="762BF882" w14:textId="77777777" w:rsidR="004E22C1" w:rsidRPr="001455DC" w:rsidRDefault="004E22C1" w:rsidP="00853D7F">
      <w:pPr>
        <w:pStyle w:val="a7"/>
      </w:pPr>
      <w:r w:rsidRPr="001455DC">
        <w:t>(1)</w:t>
      </w:r>
      <w:r w:rsidRPr="001455DC">
        <w:tab/>
        <w:t>Specified properties of reinforcing steel that are required for design to this Eurocode shall include at least:</w:t>
      </w:r>
    </w:p>
    <w:p w14:paraId="0FE9796F" w14:textId="1102E2DB" w:rsidR="004E22C1" w:rsidRPr="001455DC" w:rsidRDefault="004E22C1" w:rsidP="00353CE4">
      <w:pPr>
        <w:pStyle w:val="a0"/>
      </w:pPr>
      <w:r w:rsidRPr="001455DC">
        <w:t>strength class in accordance with Table 5.4 and Table C.1,</w:t>
      </w:r>
    </w:p>
    <w:p w14:paraId="0AE44183" w14:textId="56956C63" w:rsidR="004E22C1" w:rsidRPr="001455DC" w:rsidRDefault="004E22C1" w:rsidP="00353CE4">
      <w:pPr>
        <w:pStyle w:val="a0"/>
      </w:pPr>
      <w:r w:rsidRPr="001455DC">
        <w:t>ductility class in accordance with Table 5.5 and Table C.2,</w:t>
      </w:r>
    </w:p>
    <w:p w14:paraId="71B1FC2E" w14:textId="74472135" w:rsidR="004E22C1" w:rsidRPr="001455DC" w:rsidRDefault="004E22C1" w:rsidP="00353CE4">
      <w:pPr>
        <w:pStyle w:val="a0"/>
      </w:pPr>
      <w:r w:rsidRPr="001455DC">
        <w:t>diameter or size,</w:t>
      </w:r>
    </w:p>
    <w:p w14:paraId="54245663" w14:textId="7903EF49" w:rsidR="004E22C1" w:rsidRPr="001455DC" w:rsidRDefault="004E22C1" w:rsidP="00353CE4">
      <w:pPr>
        <w:pStyle w:val="a0"/>
      </w:pPr>
      <w:r w:rsidRPr="001455DC">
        <w:t>execution class in accordance with EN 13670.</w:t>
      </w:r>
    </w:p>
    <w:p w14:paraId="1113008A" w14:textId="77777777" w:rsidR="004E22C1" w:rsidRPr="001455DC" w:rsidRDefault="004E22C1" w:rsidP="00853D7F">
      <w:pPr>
        <w:pStyle w:val="a7"/>
      </w:pPr>
      <w:r w:rsidRPr="001455DC">
        <w:t>(2)</w:t>
      </w:r>
      <w:r w:rsidRPr="001455DC">
        <w:tab/>
        <w:t>The following properties of reinforcing steel may be derived in accordance with the provisions of 5.2.2:</w:t>
      </w:r>
    </w:p>
    <w:p w14:paraId="2108692E" w14:textId="69B2789E" w:rsidR="004E22C1" w:rsidRPr="001455DC" w:rsidRDefault="004E22C1" w:rsidP="00353CE4">
      <w:pPr>
        <w:pStyle w:val="a0"/>
      </w:pPr>
      <w:r w:rsidRPr="001455DC">
        <w:t xml:space="preserve">yield strength </w:t>
      </w:r>
      <w:r w:rsidRPr="001455DC">
        <w:rPr>
          <w:rStyle w:val="CCMCvariableitalic"/>
        </w:rPr>
        <w:t>f</w:t>
      </w:r>
      <w:r w:rsidRPr="001455DC">
        <w:rPr>
          <w:rStyle w:val="CCMCvariablesubscript"/>
        </w:rPr>
        <w:t>yk</w:t>
      </w:r>
      <w:r w:rsidRPr="001455DC">
        <w:t xml:space="preserve"> or </w:t>
      </w:r>
      <w:r w:rsidRPr="001455DC">
        <w:rPr>
          <w:rStyle w:val="CCMCvariableitalic"/>
        </w:rPr>
        <w:t>f</w:t>
      </w:r>
      <w:r w:rsidRPr="001455DC">
        <w:rPr>
          <w:rStyle w:val="CCMCvariablesubscript"/>
        </w:rPr>
        <w:t>0,2k</w:t>
      </w:r>
      <w:r w:rsidRPr="001455DC">
        <w:t>,</w:t>
      </w:r>
    </w:p>
    <w:p w14:paraId="5AB7C248" w14:textId="77777777" w:rsidR="004E22C1" w:rsidRPr="001455DC" w:rsidRDefault="004E22C1" w:rsidP="00353CE4">
      <w:pPr>
        <w:pStyle w:val="a0"/>
      </w:pPr>
      <w:r w:rsidRPr="001455DC">
        <w:t>stress ratio (</w:t>
      </w:r>
      <w:r w:rsidRPr="001455DC">
        <w:rPr>
          <w:rStyle w:val="CCMCvariableitalic"/>
        </w:rPr>
        <w:t>f</w:t>
      </w:r>
      <w:r w:rsidRPr="001455DC">
        <w:rPr>
          <w:rStyle w:val="CCMCvariablesubscript"/>
        </w:rPr>
        <w:t>t</w:t>
      </w:r>
      <w:r w:rsidRPr="001455DC">
        <w:t>/</w:t>
      </w:r>
      <w:r w:rsidRPr="001455DC">
        <w:rPr>
          <w:rStyle w:val="CCMCvariableitalic"/>
        </w:rPr>
        <w:t>f</w:t>
      </w:r>
      <w:r w:rsidRPr="001455DC">
        <w:rPr>
          <w:rStyle w:val="CCMCvariablesubscript"/>
        </w:rPr>
        <w:t>y</w:t>
      </w:r>
      <w:r w:rsidRPr="001455DC">
        <w:t>)</w:t>
      </w:r>
      <w:r w:rsidRPr="001455DC">
        <w:rPr>
          <w:rStyle w:val="CCMCvariablesubscript"/>
        </w:rPr>
        <w:t>k</w:t>
      </w:r>
      <w:r w:rsidRPr="001455DC">
        <w:t>,</w:t>
      </w:r>
    </w:p>
    <w:p w14:paraId="56A52350" w14:textId="30A37934" w:rsidR="004E22C1" w:rsidRPr="001455DC" w:rsidRDefault="004E22C1" w:rsidP="00353CE4">
      <w:pPr>
        <w:pStyle w:val="a0"/>
      </w:pPr>
      <w:r w:rsidRPr="001455DC">
        <w:t xml:space="preserve">elongation at maximum load </w:t>
      </w:r>
      <w:r w:rsidRPr="001455DC">
        <w:rPr>
          <w:rStyle w:val="CCMCvariableitalic"/>
        </w:rPr>
        <w:t>ε</w:t>
      </w:r>
      <w:r w:rsidRPr="001455DC">
        <w:rPr>
          <w:rStyle w:val="CCMCvariablesubscript"/>
        </w:rPr>
        <w:t>uk</w:t>
      </w:r>
      <w:r w:rsidRPr="001455DC">
        <w:t>,</w:t>
      </w:r>
    </w:p>
    <w:p w14:paraId="1848A821" w14:textId="2A7E634C" w:rsidR="004E22C1" w:rsidRPr="001455DC" w:rsidRDefault="004E22C1" w:rsidP="00353CE4">
      <w:pPr>
        <w:pStyle w:val="a0"/>
      </w:pPr>
      <w:r w:rsidRPr="001455DC">
        <w:rPr>
          <w:rStyle w:val="CCMCvariableitalic"/>
        </w:rPr>
        <w:t>S</w:t>
      </w:r>
      <w:r w:rsidRPr="001455DC">
        <w:t>-</w:t>
      </w:r>
      <w:r w:rsidRPr="001455DC">
        <w:rPr>
          <w:rStyle w:val="CCMCvariableitalic"/>
        </w:rPr>
        <w:t>N</w:t>
      </w:r>
      <w:r w:rsidRPr="001455DC">
        <w:t xml:space="preserve"> curves for fatigue, see Annex E.</w:t>
      </w:r>
    </w:p>
    <w:p w14:paraId="3666BB54" w14:textId="33537D97" w:rsidR="004E22C1" w:rsidRPr="001455DC" w:rsidRDefault="004E22C1" w:rsidP="008E6252">
      <w:pPr>
        <w:pStyle w:val="a7"/>
      </w:pPr>
      <w:r w:rsidRPr="001455DC">
        <w:t>(3)</w:t>
      </w:r>
      <w:r w:rsidRPr="001455DC">
        <w:tab/>
        <w:t>Reinforcing steel suitable for design of concrete structures in accordance with this Eurocode shall satisfy the requirements of C.</w:t>
      </w:r>
      <w:r w:rsidR="00DC0EB4" w:rsidRPr="001455DC">
        <w:t>4</w:t>
      </w:r>
      <w:r w:rsidRPr="001455DC">
        <w:t>.</w:t>
      </w:r>
    </w:p>
    <w:p w14:paraId="1E2D47FB" w14:textId="2505DE4D" w:rsidR="004E22C1" w:rsidRPr="001455DC" w:rsidRDefault="004E22C1" w:rsidP="008E6252">
      <w:pPr>
        <w:pStyle w:val="a7"/>
      </w:pPr>
      <w:r w:rsidRPr="001455DC">
        <w:t>(4)</w:t>
      </w:r>
      <w:r w:rsidRPr="001455DC">
        <w:tab/>
        <w:t>Reinforcing steel shall be clearly identifiable with respect to strength and ductility class according to Tables 5.4 and 5.5. For requirements to classify steel products based on declared properties see C.</w:t>
      </w:r>
      <w:r w:rsidR="00DC0EB4" w:rsidRPr="001455DC">
        <w:t>4</w:t>
      </w:r>
      <w:r w:rsidRPr="001455DC">
        <w:t>.</w:t>
      </w:r>
    </w:p>
    <w:p w14:paraId="4A2F2014" w14:textId="77777777" w:rsidR="004E22C1" w:rsidRPr="001455DC" w:rsidRDefault="004E22C1" w:rsidP="00853D7F">
      <w:pPr>
        <w:pStyle w:val="Tabletitle"/>
        <w:rPr>
          <w:snapToGrid w:val="0"/>
        </w:rPr>
      </w:pPr>
      <w:bookmarkStart w:id="275" w:name="_Toc54337306"/>
      <w:r w:rsidRPr="001455DC">
        <w:rPr>
          <w:snapToGrid w:val="0"/>
        </w:rPr>
        <w:t>Table 5.4 — Strength classes of reinforcing steel</w:t>
      </w:r>
      <w:bookmarkEnd w:id="275"/>
    </w:p>
    <w:tbl>
      <w:tblPr>
        <w:tblStyle w:val="53"/>
        <w:tblW w:w="9752" w:type="dxa"/>
        <w:tblLook w:val="0660" w:firstRow="1" w:lastRow="1" w:firstColumn="0" w:lastColumn="0" w:noHBand="1" w:noVBand="1"/>
      </w:tblPr>
      <w:tblGrid>
        <w:gridCol w:w="4450"/>
        <w:gridCol w:w="890"/>
        <w:gridCol w:w="889"/>
        <w:gridCol w:w="889"/>
        <w:gridCol w:w="889"/>
        <w:gridCol w:w="889"/>
        <w:gridCol w:w="856"/>
      </w:tblGrid>
      <w:tr w:rsidR="004E22C1" w:rsidRPr="001455DC" w14:paraId="4D9C8571" w14:textId="77777777" w:rsidTr="008E6252">
        <w:trPr>
          <w:cnfStyle w:val="100000000000" w:firstRow="1" w:lastRow="0" w:firstColumn="0" w:lastColumn="0" w:oddVBand="0" w:evenVBand="0" w:oddHBand="0" w:evenHBand="0" w:firstRowFirstColumn="0" w:firstRowLastColumn="0" w:lastRowFirstColumn="0" w:lastRowLastColumn="0"/>
          <w:tblHeader/>
        </w:trPr>
        <w:tc>
          <w:tcPr>
            <w:tcW w:w="3687" w:type="dxa"/>
            <w:vMerge w:val="restart"/>
          </w:tcPr>
          <w:p w14:paraId="368E711E" w14:textId="373704D8" w:rsidR="004E22C1" w:rsidRPr="009D3012" w:rsidRDefault="004E22C1" w:rsidP="00C74721">
            <w:pPr>
              <w:pStyle w:val="Tableheader"/>
              <w:keepNext/>
              <w:rPr>
                <w:lang w:val="en-US"/>
              </w:rPr>
            </w:pPr>
            <w:r w:rsidRPr="009D3012">
              <w:rPr>
                <w:lang w:val="en-US"/>
              </w:rPr>
              <w:t>Properties</w:t>
            </w:r>
            <w:r w:rsidR="008E6252" w:rsidRPr="009D3012">
              <w:rPr>
                <w:lang w:val="en-US"/>
              </w:rPr>
              <w:t xml:space="preserve"> </w:t>
            </w:r>
            <w:r w:rsidRPr="009D3012">
              <w:rPr>
                <w:lang w:val="en-US"/>
              </w:rPr>
              <w:t>for stress-strain-diagram (Fig.</w:t>
            </w:r>
            <w:r w:rsidR="008E6252" w:rsidRPr="009D3012">
              <w:rPr>
                <w:lang w:val="en-US"/>
              </w:rPr>
              <w:t> </w:t>
            </w:r>
            <w:r w:rsidRPr="009D3012">
              <w:rPr>
                <w:lang w:val="en-US"/>
              </w:rPr>
              <w:t>5.2)</w:t>
            </w:r>
          </w:p>
        </w:tc>
        <w:tc>
          <w:tcPr>
            <w:tcW w:w="4394" w:type="dxa"/>
            <w:gridSpan w:val="6"/>
          </w:tcPr>
          <w:p w14:paraId="119649DE" w14:textId="77777777" w:rsidR="004E22C1" w:rsidRPr="001455DC" w:rsidRDefault="004E22C1" w:rsidP="00C74721">
            <w:pPr>
              <w:pStyle w:val="Tableheader"/>
              <w:keepNext/>
            </w:pPr>
            <w:r w:rsidRPr="001455DC">
              <w:t>Reinforcing steel strength class</w:t>
            </w:r>
          </w:p>
        </w:tc>
      </w:tr>
      <w:tr w:rsidR="004E22C1" w:rsidRPr="001455DC" w14:paraId="3770191C" w14:textId="77777777" w:rsidTr="008E6252">
        <w:trPr>
          <w:cnfStyle w:val="100000000000" w:firstRow="1" w:lastRow="0" w:firstColumn="0" w:lastColumn="0" w:oddVBand="0" w:evenVBand="0" w:oddHBand="0" w:evenHBand="0" w:firstRowFirstColumn="0" w:firstRowLastColumn="0" w:lastRowFirstColumn="0" w:lastRowLastColumn="0"/>
          <w:tblHeader/>
        </w:trPr>
        <w:tc>
          <w:tcPr>
            <w:tcW w:w="3687" w:type="dxa"/>
            <w:vMerge/>
          </w:tcPr>
          <w:p w14:paraId="08B817F2" w14:textId="77777777" w:rsidR="004E22C1" w:rsidRPr="001455DC" w:rsidRDefault="004E22C1" w:rsidP="00C74721">
            <w:pPr>
              <w:pStyle w:val="Tableheader"/>
              <w:keepNext/>
            </w:pPr>
          </w:p>
        </w:tc>
        <w:tc>
          <w:tcPr>
            <w:tcW w:w="737" w:type="dxa"/>
          </w:tcPr>
          <w:p w14:paraId="197B54DD" w14:textId="77777777" w:rsidR="004E22C1" w:rsidRPr="001455DC" w:rsidRDefault="004E22C1" w:rsidP="00C74721">
            <w:pPr>
              <w:pStyle w:val="Tableheader"/>
              <w:keepNext/>
            </w:pPr>
            <w:r w:rsidRPr="001455DC">
              <w:t>B400</w:t>
            </w:r>
          </w:p>
        </w:tc>
        <w:tc>
          <w:tcPr>
            <w:tcW w:w="737" w:type="dxa"/>
          </w:tcPr>
          <w:p w14:paraId="2B7373BC" w14:textId="77777777" w:rsidR="004E22C1" w:rsidRPr="001455DC" w:rsidRDefault="004E22C1" w:rsidP="00C74721">
            <w:pPr>
              <w:pStyle w:val="Tableheader"/>
              <w:keepNext/>
            </w:pPr>
            <w:r w:rsidRPr="001455DC">
              <w:t>B450</w:t>
            </w:r>
          </w:p>
        </w:tc>
        <w:tc>
          <w:tcPr>
            <w:tcW w:w="737" w:type="dxa"/>
          </w:tcPr>
          <w:p w14:paraId="072BB7C9" w14:textId="77777777" w:rsidR="004E22C1" w:rsidRPr="001455DC" w:rsidRDefault="004E22C1" w:rsidP="00C74721">
            <w:pPr>
              <w:pStyle w:val="Tableheader"/>
              <w:keepNext/>
            </w:pPr>
            <w:r w:rsidRPr="001455DC">
              <w:t>B500</w:t>
            </w:r>
          </w:p>
        </w:tc>
        <w:tc>
          <w:tcPr>
            <w:tcW w:w="737" w:type="dxa"/>
          </w:tcPr>
          <w:p w14:paraId="33364E3F" w14:textId="77777777" w:rsidR="004E22C1" w:rsidRPr="001455DC" w:rsidRDefault="004E22C1" w:rsidP="00C74721">
            <w:pPr>
              <w:pStyle w:val="Tableheader"/>
              <w:keepNext/>
            </w:pPr>
            <w:r w:rsidRPr="001455DC">
              <w:t>B550</w:t>
            </w:r>
          </w:p>
        </w:tc>
        <w:tc>
          <w:tcPr>
            <w:tcW w:w="737" w:type="dxa"/>
          </w:tcPr>
          <w:p w14:paraId="45649184" w14:textId="77777777" w:rsidR="004E22C1" w:rsidRPr="001455DC" w:rsidRDefault="004E22C1" w:rsidP="00C74721">
            <w:pPr>
              <w:pStyle w:val="Tableheader"/>
              <w:keepNext/>
            </w:pPr>
            <w:r w:rsidRPr="001455DC">
              <w:t>B600</w:t>
            </w:r>
          </w:p>
        </w:tc>
        <w:tc>
          <w:tcPr>
            <w:tcW w:w="709" w:type="dxa"/>
          </w:tcPr>
          <w:p w14:paraId="3E2F4B7F" w14:textId="77777777" w:rsidR="004E22C1" w:rsidRPr="001455DC" w:rsidRDefault="004E22C1" w:rsidP="00C74721">
            <w:pPr>
              <w:pStyle w:val="Tableheader"/>
              <w:keepNext/>
            </w:pPr>
            <w:r w:rsidRPr="001455DC">
              <w:t>B700</w:t>
            </w:r>
          </w:p>
        </w:tc>
      </w:tr>
      <w:tr w:rsidR="004E22C1" w:rsidRPr="001455DC" w14:paraId="263230E1" w14:textId="77777777" w:rsidTr="008E6252">
        <w:tc>
          <w:tcPr>
            <w:tcW w:w="3687" w:type="dxa"/>
            <w:vAlign w:val="center"/>
          </w:tcPr>
          <w:p w14:paraId="62801612" w14:textId="77777777" w:rsidR="004E22C1" w:rsidRPr="001455DC" w:rsidRDefault="004E22C1" w:rsidP="00C74721">
            <w:pPr>
              <w:pStyle w:val="Tablebody"/>
              <w:keepNext/>
              <w:jc w:val="left"/>
              <w:rPr>
                <w:b/>
              </w:rPr>
            </w:pPr>
            <w:r w:rsidRPr="001455DC">
              <w:t xml:space="preserve">characteristic value </w:t>
            </w:r>
            <w:r w:rsidRPr="001455DC">
              <w:rPr>
                <w:rStyle w:val="CCMCvariableitalic"/>
              </w:rPr>
              <w:t>f</w:t>
            </w:r>
            <w:r w:rsidRPr="001455DC">
              <w:rPr>
                <w:rStyle w:val="CCMCvariablesubscript"/>
              </w:rPr>
              <w:t>yk</w:t>
            </w:r>
            <w:r w:rsidRPr="001455DC">
              <w:t xml:space="preserve"> [MPa]</w:t>
            </w:r>
          </w:p>
        </w:tc>
        <w:tc>
          <w:tcPr>
            <w:tcW w:w="737" w:type="dxa"/>
            <w:vAlign w:val="center"/>
          </w:tcPr>
          <w:p w14:paraId="66DB94A4" w14:textId="77777777" w:rsidR="004E22C1" w:rsidRPr="001455DC" w:rsidRDefault="004E22C1" w:rsidP="00C74721">
            <w:pPr>
              <w:pStyle w:val="Tablebody"/>
              <w:keepNext/>
              <w:jc w:val="center"/>
            </w:pPr>
            <w:r w:rsidRPr="001455DC">
              <w:t>400</w:t>
            </w:r>
          </w:p>
        </w:tc>
        <w:tc>
          <w:tcPr>
            <w:tcW w:w="737" w:type="dxa"/>
            <w:vAlign w:val="center"/>
          </w:tcPr>
          <w:p w14:paraId="10E24B32" w14:textId="77777777" w:rsidR="004E22C1" w:rsidRPr="001455DC" w:rsidRDefault="004E22C1" w:rsidP="00C74721">
            <w:pPr>
              <w:pStyle w:val="Tablebody"/>
              <w:keepNext/>
              <w:jc w:val="center"/>
            </w:pPr>
            <w:r w:rsidRPr="001455DC">
              <w:t>450</w:t>
            </w:r>
          </w:p>
        </w:tc>
        <w:tc>
          <w:tcPr>
            <w:tcW w:w="737" w:type="dxa"/>
            <w:vAlign w:val="center"/>
          </w:tcPr>
          <w:p w14:paraId="546B7B0E" w14:textId="77777777" w:rsidR="004E22C1" w:rsidRPr="001455DC" w:rsidRDefault="004E22C1" w:rsidP="00C74721">
            <w:pPr>
              <w:pStyle w:val="Tablebody"/>
              <w:keepNext/>
              <w:jc w:val="center"/>
            </w:pPr>
            <w:r w:rsidRPr="001455DC">
              <w:t>500</w:t>
            </w:r>
          </w:p>
        </w:tc>
        <w:tc>
          <w:tcPr>
            <w:tcW w:w="737" w:type="dxa"/>
            <w:vAlign w:val="center"/>
          </w:tcPr>
          <w:p w14:paraId="3A5CA346" w14:textId="77777777" w:rsidR="004E22C1" w:rsidRPr="001455DC" w:rsidRDefault="004E22C1" w:rsidP="00C74721">
            <w:pPr>
              <w:pStyle w:val="Tablebody"/>
              <w:keepNext/>
              <w:jc w:val="center"/>
            </w:pPr>
            <w:r w:rsidRPr="001455DC">
              <w:t>550</w:t>
            </w:r>
          </w:p>
        </w:tc>
        <w:tc>
          <w:tcPr>
            <w:tcW w:w="737" w:type="dxa"/>
            <w:vAlign w:val="center"/>
          </w:tcPr>
          <w:p w14:paraId="0EF09072" w14:textId="77777777" w:rsidR="004E22C1" w:rsidRPr="001455DC" w:rsidRDefault="004E22C1" w:rsidP="00C74721">
            <w:pPr>
              <w:pStyle w:val="Tablebody"/>
              <w:keepNext/>
              <w:jc w:val="center"/>
            </w:pPr>
            <w:r w:rsidRPr="001455DC">
              <w:t>600</w:t>
            </w:r>
          </w:p>
        </w:tc>
        <w:tc>
          <w:tcPr>
            <w:tcW w:w="709" w:type="dxa"/>
            <w:vAlign w:val="center"/>
          </w:tcPr>
          <w:p w14:paraId="3DE21AFD" w14:textId="77777777" w:rsidR="004E22C1" w:rsidRPr="001455DC" w:rsidRDefault="004E22C1" w:rsidP="00C74721">
            <w:pPr>
              <w:pStyle w:val="Tablebody"/>
              <w:keepNext/>
              <w:jc w:val="center"/>
            </w:pPr>
            <w:r w:rsidRPr="001455DC">
              <w:t>700</w:t>
            </w:r>
          </w:p>
        </w:tc>
      </w:tr>
      <w:tr w:rsidR="004E22C1" w:rsidRPr="001455DC" w14:paraId="3F4E9DBB" w14:textId="77777777" w:rsidTr="008E6252">
        <w:trPr>
          <w:cnfStyle w:val="010000000000" w:firstRow="0" w:lastRow="1" w:firstColumn="0" w:lastColumn="0" w:oddVBand="0" w:evenVBand="0" w:oddHBand="0" w:evenHBand="0" w:firstRowFirstColumn="0" w:firstRowLastColumn="0" w:lastRowFirstColumn="0" w:lastRowLastColumn="0"/>
        </w:trPr>
        <w:tc>
          <w:tcPr>
            <w:tcW w:w="8081" w:type="dxa"/>
            <w:gridSpan w:val="7"/>
          </w:tcPr>
          <w:p w14:paraId="6E8A00D3" w14:textId="6C0DE946" w:rsidR="004E22C1" w:rsidRPr="009D3012" w:rsidRDefault="004E22C1" w:rsidP="008E6252">
            <w:pPr>
              <w:pStyle w:val="Tablefooternote"/>
              <w:rPr>
                <w:lang w:val="en-US"/>
              </w:rPr>
            </w:pPr>
            <w:r w:rsidRPr="009D3012">
              <w:rPr>
                <w:lang w:val="en-US"/>
              </w:rPr>
              <w:t>NOTE</w:t>
            </w:r>
            <w:r w:rsidRPr="009D3012">
              <w:rPr>
                <w:lang w:val="en-US"/>
              </w:rPr>
              <w:tab/>
              <w:t>All strength classes apply unless a National Annex excludes specific classes. Intermediate strength classes can be used</w:t>
            </w:r>
            <w:r w:rsidR="00E83694" w:rsidRPr="009D3012">
              <w:rPr>
                <w:lang w:val="en-US"/>
              </w:rPr>
              <w:t>, if included in a National Annex</w:t>
            </w:r>
            <w:r w:rsidRPr="009D3012">
              <w:rPr>
                <w:lang w:val="en-US"/>
              </w:rPr>
              <w:t>.</w:t>
            </w:r>
          </w:p>
        </w:tc>
      </w:tr>
    </w:tbl>
    <w:p w14:paraId="4605EB2C" w14:textId="77777777" w:rsidR="004E22C1" w:rsidRPr="001455DC" w:rsidRDefault="004E22C1" w:rsidP="008E6252">
      <w:pPr>
        <w:pStyle w:val="a7"/>
      </w:pPr>
    </w:p>
    <w:p w14:paraId="6C1BC176" w14:textId="77777777" w:rsidR="004E22C1" w:rsidRPr="001455DC" w:rsidRDefault="004E22C1" w:rsidP="00853D7F">
      <w:pPr>
        <w:pStyle w:val="Tabletitle"/>
      </w:pPr>
      <w:bookmarkStart w:id="276" w:name="_Toc54337307"/>
      <w:r w:rsidRPr="001455DC">
        <w:t>Table 5.5 — Ductility classes of reinforcing steel</w:t>
      </w:r>
      <w:bookmarkEnd w:id="276"/>
    </w:p>
    <w:tbl>
      <w:tblPr>
        <w:tblStyle w:val="53"/>
        <w:tblW w:w="9752" w:type="dxa"/>
        <w:tblLook w:val="0620" w:firstRow="1" w:lastRow="0" w:firstColumn="0" w:lastColumn="0" w:noHBand="1" w:noVBand="1"/>
      </w:tblPr>
      <w:tblGrid>
        <w:gridCol w:w="4784"/>
        <w:gridCol w:w="2053"/>
        <w:gridCol w:w="1368"/>
        <w:gridCol w:w="1547"/>
      </w:tblGrid>
      <w:tr w:rsidR="004E22C1" w:rsidRPr="001455DC" w14:paraId="0BACCE1A" w14:textId="77777777" w:rsidTr="008E6252">
        <w:trPr>
          <w:cnfStyle w:val="100000000000" w:firstRow="1" w:lastRow="0" w:firstColumn="0" w:lastColumn="0" w:oddVBand="0" w:evenVBand="0" w:oddHBand="0" w:evenHBand="0" w:firstRowFirstColumn="0" w:firstRowLastColumn="0" w:lastRowFirstColumn="0" w:lastRowLastColumn="0"/>
          <w:tblHeader/>
        </w:trPr>
        <w:tc>
          <w:tcPr>
            <w:tcW w:w="3964" w:type="dxa"/>
            <w:vMerge w:val="restart"/>
          </w:tcPr>
          <w:p w14:paraId="7FD9BAD5" w14:textId="3EE03883" w:rsidR="004E22C1" w:rsidRPr="009D3012" w:rsidRDefault="004E22C1" w:rsidP="008E6252">
            <w:pPr>
              <w:pStyle w:val="Tableheader"/>
              <w:rPr>
                <w:lang w:val="en-US"/>
              </w:rPr>
            </w:pPr>
            <w:r w:rsidRPr="009D3012">
              <w:rPr>
                <w:lang w:val="en-US"/>
              </w:rPr>
              <w:t>Properties for stress-strain-diagram (Fig.</w:t>
            </w:r>
            <w:r w:rsidR="008E6252" w:rsidRPr="009D3012">
              <w:rPr>
                <w:lang w:val="en-US"/>
              </w:rPr>
              <w:t> </w:t>
            </w:r>
            <w:r w:rsidRPr="009D3012">
              <w:rPr>
                <w:lang w:val="en-US"/>
              </w:rPr>
              <w:t>5.2)</w:t>
            </w:r>
          </w:p>
        </w:tc>
        <w:tc>
          <w:tcPr>
            <w:tcW w:w="4117" w:type="dxa"/>
            <w:gridSpan w:val="3"/>
          </w:tcPr>
          <w:p w14:paraId="5EE17E07" w14:textId="77777777" w:rsidR="004E22C1" w:rsidRPr="001455DC" w:rsidRDefault="004E22C1" w:rsidP="008E6252">
            <w:pPr>
              <w:pStyle w:val="Tableheader"/>
            </w:pPr>
            <w:r w:rsidRPr="001455DC">
              <w:t>Reinforcing steel ductility class</w:t>
            </w:r>
          </w:p>
        </w:tc>
      </w:tr>
      <w:tr w:rsidR="004E22C1" w:rsidRPr="001455DC" w14:paraId="397389AC" w14:textId="77777777" w:rsidTr="008E6252">
        <w:trPr>
          <w:cnfStyle w:val="100000000000" w:firstRow="1" w:lastRow="0" w:firstColumn="0" w:lastColumn="0" w:oddVBand="0" w:evenVBand="0" w:oddHBand="0" w:evenHBand="0" w:firstRowFirstColumn="0" w:firstRowLastColumn="0" w:lastRowFirstColumn="0" w:lastRowLastColumn="0"/>
          <w:trHeight w:val="252"/>
          <w:tblHeader/>
        </w:trPr>
        <w:tc>
          <w:tcPr>
            <w:tcW w:w="3964" w:type="dxa"/>
            <w:vMerge/>
          </w:tcPr>
          <w:p w14:paraId="7F6B8313" w14:textId="77777777" w:rsidR="004E22C1" w:rsidRPr="001455DC" w:rsidRDefault="004E22C1" w:rsidP="008E6252">
            <w:pPr>
              <w:pStyle w:val="Tableheader"/>
            </w:pPr>
          </w:p>
        </w:tc>
        <w:tc>
          <w:tcPr>
            <w:tcW w:w="1701" w:type="dxa"/>
          </w:tcPr>
          <w:p w14:paraId="5A90629E" w14:textId="77777777" w:rsidR="004E22C1" w:rsidRPr="001455DC" w:rsidRDefault="004E22C1" w:rsidP="008E6252">
            <w:pPr>
              <w:pStyle w:val="Tableheader"/>
            </w:pPr>
            <w:r w:rsidRPr="001455DC">
              <w:t>A</w:t>
            </w:r>
          </w:p>
        </w:tc>
        <w:tc>
          <w:tcPr>
            <w:tcW w:w="1134" w:type="dxa"/>
          </w:tcPr>
          <w:p w14:paraId="702424D5" w14:textId="77777777" w:rsidR="004E22C1" w:rsidRPr="001455DC" w:rsidRDefault="004E22C1" w:rsidP="008E6252">
            <w:pPr>
              <w:pStyle w:val="Tableheader"/>
            </w:pPr>
            <w:r w:rsidRPr="001455DC">
              <w:t>B</w:t>
            </w:r>
          </w:p>
        </w:tc>
        <w:tc>
          <w:tcPr>
            <w:tcW w:w="1282" w:type="dxa"/>
          </w:tcPr>
          <w:p w14:paraId="35A5ECA0" w14:textId="77777777" w:rsidR="004E22C1" w:rsidRPr="001455DC" w:rsidRDefault="004E22C1" w:rsidP="008E6252">
            <w:pPr>
              <w:pStyle w:val="Tableheader"/>
            </w:pPr>
            <w:r w:rsidRPr="001455DC">
              <w:t>C</w:t>
            </w:r>
          </w:p>
        </w:tc>
      </w:tr>
      <w:tr w:rsidR="004E22C1" w:rsidRPr="001455DC" w14:paraId="3A65AC88" w14:textId="77777777" w:rsidTr="008E6252">
        <w:trPr>
          <w:trHeight w:val="261"/>
        </w:trPr>
        <w:tc>
          <w:tcPr>
            <w:tcW w:w="3964" w:type="dxa"/>
            <w:vAlign w:val="center"/>
          </w:tcPr>
          <w:p w14:paraId="20755345" w14:textId="7B8669EE" w:rsidR="004E22C1" w:rsidRPr="009D3012" w:rsidRDefault="004E22C1" w:rsidP="008E6252">
            <w:pPr>
              <w:pStyle w:val="Tablebody"/>
              <w:jc w:val="left"/>
              <w:rPr>
                <w:lang w:val="en-US"/>
              </w:rPr>
            </w:pPr>
            <w:r w:rsidRPr="009D3012">
              <w:rPr>
                <w:lang w:val="en-US"/>
              </w:rPr>
              <w:t xml:space="preserve">Characteristic value of </w:t>
            </w:r>
            <w:r w:rsidRPr="009D3012">
              <w:rPr>
                <w:rStyle w:val="CCMCvariableitalic"/>
                <w:lang w:val="en-US"/>
              </w:rPr>
              <w:t>k</w:t>
            </w:r>
            <w:r w:rsidRPr="009D3012">
              <w:rPr>
                <w:lang w:val="en-US"/>
              </w:rPr>
              <w:t> </w:t>
            </w:r>
            <w:r w:rsidR="00EC27D2" w:rsidRPr="009D3012">
              <w:rPr>
                <w:rFonts w:ascii="Cambria Math" w:hAnsi="Cambria Math"/>
                <w:lang w:val="en-US"/>
              </w:rPr>
              <w:t>=</w:t>
            </w:r>
            <w:r w:rsidRPr="009D3012">
              <w:rPr>
                <w:lang w:val="en-US"/>
              </w:rPr>
              <w:t> (</w:t>
            </w:r>
            <w:r w:rsidRPr="009D3012">
              <w:rPr>
                <w:rStyle w:val="CCMCvariableitalic"/>
                <w:lang w:val="en-US"/>
              </w:rPr>
              <w:t>f</w:t>
            </w:r>
            <w:r w:rsidRPr="009D3012">
              <w:rPr>
                <w:rStyle w:val="CCMCvariablesubscript"/>
                <w:lang w:val="en-US"/>
              </w:rPr>
              <w:t>t</w:t>
            </w:r>
            <w:r w:rsidRPr="009D3012">
              <w:rPr>
                <w:lang w:val="en-US"/>
              </w:rPr>
              <w:t>/</w:t>
            </w:r>
            <w:r w:rsidRPr="009D3012">
              <w:rPr>
                <w:rStyle w:val="CCMCvariableitalic"/>
                <w:lang w:val="en-US"/>
              </w:rPr>
              <w:t>f</w:t>
            </w:r>
            <w:r w:rsidRPr="009D3012">
              <w:rPr>
                <w:rStyle w:val="CCMCvariablesubscript"/>
                <w:lang w:val="en-US"/>
              </w:rPr>
              <w:t>y</w:t>
            </w:r>
            <w:r w:rsidRPr="009D3012">
              <w:rPr>
                <w:lang w:val="en-US"/>
              </w:rPr>
              <w:t>)</w:t>
            </w:r>
            <w:r w:rsidRPr="009D3012">
              <w:rPr>
                <w:rStyle w:val="CCMCvariablesubscript"/>
                <w:lang w:val="en-US"/>
              </w:rPr>
              <w:t>k</w:t>
            </w:r>
          </w:p>
        </w:tc>
        <w:tc>
          <w:tcPr>
            <w:tcW w:w="1701" w:type="dxa"/>
            <w:vAlign w:val="center"/>
          </w:tcPr>
          <w:p w14:paraId="500831FE" w14:textId="77777777" w:rsidR="004E22C1" w:rsidRPr="001455DC" w:rsidRDefault="004E22C1" w:rsidP="008E6252">
            <w:pPr>
              <w:pStyle w:val="Tablebody"/>
              <w:jc w:val="center"/>
            </w:pPr>
            <w:r w:rsidRPr="001455DC">
              <w:t>1,05</w:t>
            </w:r>
          </w:p>
        </w:tc>
        <w:tc>
          <w:tcPr>
            <w:tcW w:w="1134" w:type="dxa"/>
            <w:vAlign w:val="center"/>
          </w:tcPr>
          <w:p w14:paraId="6572B264" w14:textId="77777777" w:rsidR="004E22C1" w:rsidRPr="001455DC" w:rsidRDefault="004E22C1" w:rsidP="008E6252">
            <w:pPr>
              <w:pStyle w:val="Tablebody"/>
              <w:jc w:val="center"/>
            </w:pPr>
            <w:r w:rsidRPr="001455DC">
              <w:t>1,08</w:t>
            </w:r>
          </w:p>
        </w:tc>
        <w:tc>
          <w:tcPr>
            <w:tcW w:w="1282" w:type="dxa"/>
            <w:vAlign w:val="center"/>
          </w:tcPr>
          <w:p w14:paraId="7C328D5A" w14:textId="77777777" w:rsidR="004E22C1" w:rsidRPr="001455DC" w:rsidRDefault="004E22C1" w:rsidP="008E6252">
            <w:pPr>
              <w:pStyle w:val="Tablebody"/>
              <w:jc w:val="center"/>
            </w:pPr>
            <w:r w:rsidRPr="001455DC">
              <w:t>1,15 to 1,35</w:t>
            </w:r>
          </w:p>
        </w:tc>
      </w:tr>
      <w:tr w:rsidR="004E22C1" w:rsidRPr="001455DC" w14:paraId="5AC1465E" w14:textId="77777777" w:rsidTr="008E6252">
        <w:trPr>
          <w:trHeight w:val="428"/>
        </w:trPr>
        <w:tc>
          <w:tcPr>
            <w:tcW w:w="3964" w:type="dxa"/>
            <w:vAlign w:val="center"/>
          </w:tcPr>
          <w:p w14:paraId="6998BA8A" w14:textId="152EE69F" w:rsidR="004E22C1" w:rsidRPr="009D3012" w:rsidRDefault="004E22C1" w:rsidP="008E6252">
            <w:pPr>
              <w:pStyle w:val="Tablebody"/>
              <w:jc w:val="left"/>
              <w:rPr>
                <w:lang w:val="en-US"/>
              </w:rPr>
            </w:pPr>
            <w:r w:rsidRPr="009D3012">
              <w:rPr>
                <w:lang w:val="en-US"/>
              </w:rPr>
              <w:t xml:space="preserve">Characteristic strain at maximum force </w:t>
            </w:r>
            <w:r w:rsidRPr="001455DC">
              <w:rPr>
                <w:rStyle w:val="CCMCvariableitalic"/>
              </w:rPr>
              <w:t>ε</w:t>
            </w:r>
            <w:r w:rsidRPr="009D3012">
              <w:rPr>
                <w:rStyle w:val="CCMCvariablesubscript"/>
                <w:lang w:val="en-US"/>
              </w:rPr>
              <w:t>uk</w:t>
            </w:r>
          </w:p>
        </w:tc>
        <w:tc>
          <w:tcPr>
            <w:tcW w:w="1701" w:type="dxa"/>
            <w:vAlign w:val="center"/>
          </w:tcPr>
          <w:p w14:paraId="233937DF" w14:textId="77777777" w:rsidR="004E22C1" w:rsidRPr="001455DC" w:rsidRDefault="004E22C1" w:rsidP="008E6252">
            <w:pPr>
              <w:pStyle w:val="Tablebody"/>
              <w:jc w:val="center"/>
            </w:pPr>
            <w:r w:rsidRPr="001455DC">
              <w:t>2,5 %</w:t>
            </w:r>
          </w:p>
        </w:tc>
        <w:tc>
          <w:tcPr>
            <w:tcW w:w="1134" w:type="dxa"/>
            <w:vAlign w:val="center"/>
          </w:tcPr>
          <w:p w14:paraId="65212387" w14:textId="77777777" w:rsidR="004E22C1" w:rsidRPr="001455DC" w:rsidRDefault="004E22C1" w:rsidP="008E6252">
            <w:pPr>
              <w:pStyle w:val="Tablebody"/>
              <w:jc w:val="center"/>
            </w:pPr>
            <w:r w:rsidRPr="001455DC">
              <w:t>5,0 %</w:t>
            </w:r>
          </w:p>
        </w:tc>
        <w:tc>
          <w:tcPr>
            <w:tcW w:w="1282" w:type="dxa"/>
            <w:vAlign w:val="center"/>
          </w:tcPr>
          <w:p w14:paraId="435CD0C1" w14:textId="77777777" w:rsidR="004E22C1" w:rsidRPr="001455DC" w:rsidRDefault="004E22C1" w:rsidP="008E6252">
            <w:pPr>
              <w:pStyle w:val="Tablebody"/>
              <w:jc w:val="center"/>
            </w:pPr>
            <w:r w:rsidRPr="001455DC">
              <w:t>7,5 %</w:t>
            </w:r>
          </w:p>
        </w:tc>
      </w:tr>
    </w:tbl>
    <w:p w14:paraId="43B55E36" w14:textId="77777777" w:rsidR="004E22C1" w:rsidRPr="001455DC" w:rsidRDefault="004E22C1" w:rsidP="008E6252">
      <w:pPr>
        <w:pStyle w:val="a7"/>
      </w:pPr>
    </w:p>
    <w:p w14:paraId="1FEC2432" w14:textId="7A21AC7A" w:rsidR="004E22C1" w:rsidRPr="001455DC" w:rsidRDefault="004E22C1" w:rsidP="00243590">
      <w:pPr>
        <w:pStyle w:val="31"/>
      </w:pPr>
      <w:bookmarkStart w:id="277" w:name="_Toc52819909"/>
      <w:bookmarkStart w:id="278" w:name="_Toc54337308"/>
      <w:bookmarkStart w:id="279" w:name="_Toc54337967"/>
      <w:bookmarkStart w:id="280" w:name="_Toc67565330"/>
      <w:r w:rsidRPr="001455DC">
        <w:t>Welding of reinforcing bars</w:t>
      </w:r>
      <w:bookmarkEnd w:id="277"/>
      <w:bookmarkEnd w:id="278"/>
      <w:bookmarkEnd w:id="279"/>
      <w:bookmarkEnd w:id="280"/>
    </w:p>
    <w:p w14:paraId="41355F31" w14:textId="77777777" w:rsidR="004E22C1" w:rsidRPr="001455DC" w:rsidRDefault="004E22C1" w:rsidP="00853D7F">
      <w:pPr>
        <w:pStyle w:val="a7"/>
      </w:pPr>
      <w:r w:rsidRPr="001455DC">
        <w:t>(1)</w:t>
      </w:r>
      <w:r w:rsidRPr="001455DC">
        <w:tab/>
        <w:t>Welding of reinforcing bars shall be designed and detailed, and welds shall be specified in the execution specification.</w:t>
      </w:r>
    </w:p>
    <w:p w14:paraId="3791AA27" w14:textId="78E2CEB6" w:rsidR="004E22C1" w:rsidRPr="001455DC" w:rsidRDefault="004E22C1" w:rsidP="00853D7F">
      <w:pPr>
        <w:pStyle w:val="a7"/>
      </w:pPr>
      <w:r w:rsidRPr="001455DC">
        <w:t>(2)</w:t>
      </w:r>
      <w:r w:rsidRPr="001455DC">
        <w:tab/>
        <w:t>When the loading is predominantly static, the welding shall be carried out in accordance with EN ISO 17660.</w:t>
      </w:r>
    </w:p>
    <w:p w14:paraId="6A395B5A" w14:textId="577A3CDA" w:rsidR="004E22C1" w:rsidRPr="001455DC" w:rsidRDefault="004E22C1" w:rsidP="00853D7F">
      <w:pPr>
        <w:pStyle w:val="a7"/>
      </w:pPr>
      <w:r w:rsidRPr="001455DC">
        <w:t>(3)</w:t>
      </w:r>
      <w:r w:rsidRPr="001455DC">
        <w:tab/>
        <w:t xml:space="preserve">When the loading is not predominantly static, or where fatigue is considered, the welds shall be designed and detailed in compliance with </w:t>
      </w:r>
      <w:r w:rsidR="00EF2F27">
        <w:t>pr</w:t>
      </w:r>
      <w:r w:rsidRPr="001455DC">
        <w:t>EN 1993</w:t>
      </w:r>
      <w:r w:rsidR="00F9708F" w:rsidRPr="001455DC">
        <w:t xml:space="preserve"> (all parts)</w:t>
      </w:r>
      <w:r w:rsidRPr="001455DC">
        <w:t>.</w:t>
      </w:r>
    </w:p>
    <w:p w14:paraId="35728CF3" w14:textId="77777777" w:rsidR="004E22C1" w:rsidRPr="001455DC" w:rsidRDefault="004E22C1" w:rsidP="008E6252">
      <w:pPr>
        <w:pStyle w:val="Note"/>
      </w:pPr>
      <w:r w:rsidRPr="001455DC">
        <w:t>NOTE</w:t>
      </w:r>
      <w:r w:rsidRPr="001455DC">
        <w:tab/>
        <w:t>Further provisions regarding welding of reinforcement can be given in a National Annex.</w:t>
      </w:r>
    </w:p>
    <w:p w14:paraId="0696066B" w14:textId="302108D7" w:rsidR="004E22C1" w:rsidRPr="001455DC" w:rsidRDefault="004E22C1" w:rsidP="00243590">
      <w:pPr>
        <w:pStyle w:val="31"/>
      </w:pPr>
      <w:bookmarkStart w:id="281" w:name="_Toc52819910"/>
      <w:bookmarkStart w:id="282" w:name="_Toc54337309"/>
      <w:bookmarkStart w:id="283" w:name="_Toc54337968"/>
      <w:bookmarkStart w:id="284" w:name="_Toc67565331"/>
      <w:r w:rsidRPr="001455DC">
        <w:t>Design assumptions</w:t>
      </w:r>
      <w:bookmarkEnd w:id="281"/>
      <w:bookmarkEnd w:id="282"/>
      <w:bookmarkEnd w:id="283"/>
      <w:bookmarkEnd w:id="284"/>
    </w:p>
    <w:p w14:paraId="7D5F6F2C" w14:textId="6D2DFEA5" w:rsidR="00BD7B75" w:rsidRPr="001455DC" w:rsidRDefault="004E22C1" w:rsidP="00BD7B75">
      <w:pPr>
        <w:pStyle w:val="a7"/>
      </w:pPr>
      <w:r w:rsidRPr="001455DC">
        <w:t>(1)</w:t>
      </w:r>
      <w:r w:rsidRPr="001455DC">
        <w:tab/>
        <w:t>Design should be based on the nominal cross</w:t>
      </w:r>
      <w:r w:rsidR="00B10711" w:rsidRPr="001455DC">
        <w:t xml:space="preserve"> </w:t>
      </w:r>
      <w:r w:rsidRPr="001455DC">
        <w:t>section area of the reinforcement and the design values derived from the characteristic values given in 5.2.2 with:</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BD7B75" w:rsidRPr="001455DC" w14:paraId="515D524C" w14:textId="77777777" w:rsidTr="00BD7B75">
        <w:trPr>
          <w:cantSplit/>
        </w:trPr>
        <w:tc>
          <w:tcPr>
            <w:tcW w:w="8505" w:type="dxa"/>
            <w:vAlign w:val="center"/>
          </w:tcPr>
          <w:p w14:paraId="5138D768" w14:textId="11F99754" w:rsidR="00BD7B75" w:rsidRPr="001455DC" w:rsidRDefault="00BD7B75" w:rsidP="00BD7B75">
            <w:pPr>
              <w:pStyle w:val="Formula"/>
              <w:jc w:val="left"/>
            </w:pPr>
            <w:r w:rsidRPr="001455DC">
              <w:rPr>
                <w:rStyle w:val="CCMCvariableitalic"/>
              </w:rPr>
              <w:t>f</w:t>
            </w:r>
            <w:r w:rsidRPr="001455DC">
              <w:rPr>
                <w:rStyle w:val="CCMCvariablesubscript"/>
              </w:rPr>
              <w:t>yd</w:t>
            </w:r>
            <w:r w:rsidRPr="001455DC">
              <w:t> </w:t>
            </w:r>
            <w:r w:rsidR="00EC27D2" w:rsidRPr="001455DC">
              <w:rPr>
                <w:rFonts w:ascii="Cambria Math" w:hAnsi="Cambria Math"/>
              </w:rPr>
              <w:t>=</w:t>
            </w:r>
            <w:r w:rsidRPr="001455DC">
              <w:t> </w:t>
            </w:r>
            <w:r w:rsidRPr="001455DC">
              <w:rPr>
                <w:rStyle w:val="CCMCvariableitalic"/>
              </w:rPr>
              <w:t>f</w:t>
            </w:r>
            <w:r w:rsidRPr="001455DC">
              <w:rPr>
                <w:rStyle w:val="CCMCvariablesubscript"/>
              </w:rPr>
              <w:t>yk</w:t>
            </w:r>
            <w:r w:rsidRPr="001455DC">
              <w:t>/</w:t>
            </w:r>
            <w:r w:rsidRPr="001455DC">
              <w:rPr>
                <w:rStyle w:val="CCMCvariableitalic"/>
              </w:rPr>
              <w:t>γ</w:t>
            </w:r>
            <w:r w:rsidRPr="001455DC">
              <w:rPr>
                <w:rStyle w:val="CCMCvariablesubscript"/>
              </w:rPr>
              <w:t>S</w:t>
            </w:r>
            <w:r w:rsidRPr="001455DC">
              <w:t xml:space="preserve"> and </w:t>
            </w:r>
            <w:r w:rsidRPr="001455DC">
              <w:rPr>
                <w:rStyle w:val="CCMCvariableitalic"/>
              </w:rPr>
              <w:t>f</w:t>
            </w:r>
            <w:r w:rsidRPr="001455DC">
              <w:rPr>
                <w:rStyle w:val="CCMCvariablesubscript"/>
              </w:rPr>
              <w:t>yd</w:t>
            </w:r>
            <w:r w:rsidRPr="001455DC">
              <w:t> </w:t>
            </w:r>
            <w:r w:rsidR="00EC27D2" w:rsidRPr="001455DC">
              <w:rPr>
                <w:rFonts w:ascii="Cambria Math" w:hAnsi="Cambria Math"/>
              </w:rPr>
              <w:t>=</w:t>
            </w:r>
            <w:r w:rsidRPr="001455DC">
              <w:t> </w:t>
            </w:r>
            <w:r w:rsidRPr="001455DC">
              <w:rPr>
                <w:rStyle w:val="CCMCvariableitalic"/>
              </w:rPr>
              <w:t>f</w:t>
            </w:r>
            <w:r w:rsidRPr="001455DC">
              <w:rPr>
                <w:rStyle w:val="CCMCvariablesubscript"/>
              </w:rPr>
              <w:t>0,2k</w:t>
            </w:r>
            <w:r w:rsidRPr="001455DC">
              <w:t>/</w:t>
            </w:r>
            <w:r w:rsidRPr="001455DC">
              <w:rPr>
                <w:rStyle w:val="CCMCvariableitalic"/>
              </w:rPr>
              <w:t>γ</w:t>
            </w:r>
            <w:r w:rsidRPr="001455DC">
              <w:rPr>
                <w:rStyle w:val="CCMCvariablesubscript"/>
              </w:rPr>
              <w:t>S</w:t>
            </w:r>
            <w:r w:rsidRPr="001455DC">
              <w:t>, respectively</w:t>
            </w:r>
          </w:p>
        </w:tc>
        <w:tc>
          <w:tcPr>
            <w:tcW w:w="1247" w:type="dxa"/>
            <w:vAlign w:val="center"/>
          </w:tcPr>
          <w:p w14:paraId="0CAC8454" w14:textId="2F9137E2" w:rsidR="00BD7B75" w:rsidRPr="001455DC" w:rsidRDefault="00BD7B75" w:rsidP="00BD7B75">
            <w:pPr>
              <w:pStyle w:val="a7"/>
              <w:jc w:val="right"/>
            </w:pPr>
            <w:r w:rsidRPr="001455DC">
              <w:t>(5.11)</w:t>
            </w:r>
          </w:p>
        </w:tc>
      </w:tr>
    </w:tbl>
    <w:p w14:paraId="35ADD6A3" w14:textId="77777777" w:rsidR="004E22C1" w:rsidRPr="001455DC" w:rsidRDefault="004E22C1" w:rsidP="00BD7B75">
      <w:pPr>
        <w:pStyle w:val="a7"/>
      </w:pPr>
      <w:r w:rsidRPr="001455DC">
        <w:t>(2)</w:t>
      </w:r>
      <w:r w:rsidRPr="001455DC">
        <w:tab/>
        <w:t>For design either of the following assumptions may be made (see Figure 5.2):</w:t>
      </w:r>
    </w:p>
    <w:p w14:paraId="6910099F" w14:textId="15D17A39" w:rsidR="004E22C1" w:rsidRPr="001455DC" w:rsidRDefault="004E22C1" w:rsidP="00082680">
      <w:pPr>
        <w:pStyle w:val="a0"/>
        <w:numPr>
          <w:ilvl w:val="0"/>
          <w:numId w:val="16"/>
        </w:numPr>
      </w:pPr>
      <w:r w:rsidRPr="001455DC">
        <w:t xml:space="preserve">an inclined post-elastic branch with a strain limit of </w:t>
      </w:r>
      <w:r w:rsidRPr="001455DC">
        <w:rPr>
          <w:rStyle w:val="CCMCvariableitalic"/>
        </w:rPr>
        <w:t>ε</w:t>
      </w:r>
      <w:r w:rsidRPr="001455DC">
        <w:rPr>
          <w:rStyle w:val="CCMCvariablesubscript"/>
        </w:rPr>
        <w:t>ud</w:t>
      </w:r>
      <w:r w:rsidRPr="001455DC">
        <w:t> </w:t>
      </w:r>
      <w:r w:rsidR="00650035" w:rsidRPr="001455DC">
        <w:rPr>
          <w:rFonts w:ascii="Cambria Math" w:hAnsi="Cambria Math"/>
        </w:rPr>
        <w:t>≤</w:t>
      </w:r>
      <w:r w:rsidRPr="001455DC">
        <w:t> 0,9</w:t>
      </w:r>
      <w:r w:rsidRPr="001455DC">
        <w:rPr>
          <w:rStyle w:val="CCMCvariableitalic"/>
        </w:rPr>
        <w:t>ε</w:t>
      </w:r>
      <w:r w:rsidRPr="001455DC">
        <w:rPr>
          <w:rStyle w:val="CCMCvariablesubscript"/>
        </w:rPr>
        <w:t>uk</w:t>
      </w:r>
      <w:r w:rsidRPr="001455DC">
        <w:t xml:space="preserve"> and a maximum stress of </w:t>
      </w:r>
      <w:r w:rsidRPr="001455DC">
        <w:rPr>
          <w:rStyle w:val="CCMCvariableitalic"/>
        </w:rPr>
        <w:t>k</w:t>
      </w:r>
      <w:r w:rsidRPr="001455DC">
        <w:t> </w:t>
      </w:r>
      <w:r w:rsidR="00C74721" w:rsidRPr="001455DC">
        <w:rPr>
          <w:rFonts w:ascii="Cambria Math" w:hAnsi="Cambria Math"/>
        </w:rPr>
        <w:t>⋅</w:t>
      </w:r>
      <w:r w:rsidRPr="001455DC">
        <w:t> </w:t>
      </w:r>
      <w:r w:rsidRPr="001455DC">
        <w:rPr>
          <w:rStyle w:val="CCMCvariableitalic"/>
        </w:rPr>
        <w:t>f</w:t>
      </w:r>
      <w:r w:rsidRPr="001455DC">
        <w:rPr>
          <w:rStyle w:val="CCMCvariablesubscript"/>
        </w:rPr>
        <w:t>yk</w:t>
      </w:r>
      <w:r w:rsidRPr="001455DC">
        <w:t>/</w:t>
      </w:r>
      <w:r w:rsidRPr="001455DC">
        <w:rPr>
          <w:rStyle w:val="CCMCvariableitalic"/>
        </w:rPr>
        <w:t>γ</w:t>
      </w:r>
      <w:r w:rsidRPr="001455DC">
        <w:rPr>
          <w:rStyle w:val="CCMCvariablesubscript"/>
        </w:rPr>
        <w:t>S</w:t>
      </w:r>
      <w:r w:rsidRPr="001455DC">
        <w:t xml:space="preserve"> at </w:t>
      </w:r>
      <w:r w:rsidRPr="001455DC">
        <w:rPr>
          <w:rStyle w:val="CCMCvariableitalic"/>
        </w:rPr>
        <w:t>ε</w:t>
      </w:r>
      <w:r w:rsidRPr="001455DC">
        <w:rPr>
          <w:rStyle w:val="CCMCvariablesubscript"/>
        </w:rPr>
        <w:t>uk</w:t>
      </w:r>
      <w:r w:rsidRPr="001455DC">
        <w:t xml:space="preserve">, where </w:t>
      </w:r>
      <w:r w:rsidRPr="001455DC">
        <w:rPr>
          <w:rStyle w:val="CCMCvariableitalic"/>
        </w:rPr>
        <w:t>k</w:t>
      </w:r>
      <w:r w:rsidRPr="001455DC">
        <w:t> </w:t>
      </w:r>
      <w:r w:rsidR="00EC27D2" w:rsidRPr="001455DC">
        <w:rPr>
          <w:rFonts w:ascii="Cambria Math" w:hAnsi="Cambria Math"/>
        </w:rPr>
        <w:t>=</w:t>
      </w:r>
      <w:r w:rsidRPr="001455DC">
        <w:t> (</w:t>
      </w:r>
      <w:r w:rsidRPr="001455DC">
        <w:rPr>
          <w:rStyle w:val="CCMCvariableitalic"/>
        </w:rPr>
        <w:t>f</w:t>
      </w:r>
      <w:r w:rsidRPr="001455DC">
        <w:rPr>
          <w:rStyle w:val="CCMCvariablesubscript"/>
        </w:rPr>
        <w:t>t</w:t>
      </w:r>
      <w:r w:rsidRPr="001455DC">
        <w:t>/</w:t>
      </w:r>
      <w:r w:rsidRPr="001455DC">
        <w:rPr>
          <w:rStyle w:val="CCMCvariableitalic"/>
        </w:rPr>
        <w:t>f</w:t>
      </w:r>
      <w:r w:rsidRPr="001455DC">
        <w:rPr>
          <w:rStyle w:val="CCMCvariablesubscript"/>
        </w:rPr>
        <w:t>y</w:t>
      </w:r>
      <w:r w:rsidRPr="001455DC">
        <w:t>)</w:t>
      </w:r>
      <w:r w:rsidRPr="001455DC">
        <w:rPr>
          <w:rStyle w:val="CCMCvariablesubscript"/>
        </w:rPr>
        <w:t>k</w:t>
      </w:r>
      <w:r w:rsidRPr="001455DC">
        <w:t>;</w:t>
      </w:r>
    </w:p>
    <w:p w14:paraId="274E13DF" w14:textId="59567D73" w:rsidR="004E22C1" w:rsidRDefault="004E22C1" w:rsidP="00082680">
      <w:pPr>
        <w:pStyle w:val="a0"/>
        <w:numPr>
          <w:ilvl w:val="0"/>
          <w:numId w:val="16"/>
        </w:numPr>
      </w:pPr>
      <w:r w:rsidRPr="001455DC">
        <w:t>a horizontal post-elastic branch without strain limit.</w:t>
      </w:r>
    </w:p>
    <w:p w14:paraId="66177EC4" w14:textId="20B18CAA" w:rsidR="00DD6F15" w:rsidRPr="001455DC" w:rsidRDefault="00DD6F15" w:rsidP="009D3012">
      <w:pPr>
        <w:pStyle w:val="a0"/>
        <w:numPr>
          <w:ilvl w:val="0"/>
          <w:numId w:val="0"/>
        </w:numPr>
        <w:ind w:left="360"/>
      </w:pPr>
    </w:p>
    <w:p w14:paraId="24EF1D84" w14:textId="46E9FAFE" w:rsidR="0004544E" w:rsidRDefault="00723CF7" w:rsidP="009D3012">
      <w:pPr>
        <w:pStyle w:val="KeyTitle"/>
        <w:jc w:val="center"/>
      </w:pPr>
      <w:r>
        <w:rPr>
          <w:noProof/>
          <w:lang w:eastAsia="en-GB"/>
        </w:rPr>
        <w:fldChar w:fldCharType="begin"/>
      </w:r>
      <w:r>
        <w:rPr>
          <w:noProof/>
          <w:lang w:eastAsia="en-GB"/>
        </w:rPr>
        <w:instrText xml:space="preserve"> INCLUDEPICTURE  "Y:\\STD_MGT\\STDDEL\\PRODUCTION\\etrans\\Download\\Z_FIRST_DEL\\SV\\00250\\00250269\\41_e_dr\\5_002.tif"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"Y:\\STD_MGT\\STDDEL\\PRODUCTION\\Standards\\00250\\269\\41_e_dr\\5_002.tif"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"Y:\\STD_MGT\\STDDEL\\PRODUCTION\\Standards\\00250\\269\\41_e_dr\\5_002.tif"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"Y:\\STD_MGT\\STDDEL\\PRODUCTION\\Standards\\00250\\269\\41_e_dr\\5_002.tif"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"Y:\\STD_MGT\\STDDEL\\PRODUCTION\\Standards\\00250\\269\\41_e_dr\\5_002.tif"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"Y:\\STD_MGT\\STDDEL\\PRODUCTION\\Standards\\00250\\269\\41_e_dr\\5_002.tif"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w:instrText>
      </w:r>
      <w:r w:rsidR="00231E33">
        <w:rPr>
          <w:noProof/>
          <w:lang w:eastAsia="en-GB"/>
        </w:rPr>
        <w:instrText>mp\\Temp1_00250269_e_20210902.zip.zip\\41_e_dr\\5_002.tif"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2A86063D">
          <v:shape id="_x0000_i1131" type="#_x0000_t75" style="width:168pt;height:135.75pt">
            <v:imagedata r:id="rId232" r:href="rId233"/>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6964D19D" w14:textId="77777777" w:rsidR="00BD7B75" w:rsidRPr="001455DC" w:rsidRDefault="00BD7B75" w:rsidP="00BD7B75">
      <w:pPr>
        <w:pStyle w:val="KeyTitle"/>
      </w:pPr>
      <w:r w:rsidRPr="001455DC">
        <w:t>Key</w:t>
      </w:r>
    </w:p>
    <w:tbl>
      <w:tblPr>
        <w:tblW w:w="9809" w:type="dxa"/>
        <w:tblLayout w:type="fixed"/>
        <w:tblCellMar>
          <w:left w:w="28" w:type="dxa"/>
          <w:right w:w="28" w:type="dxa"/>
        </w:tblCellMar>
        <w:tblLook w:val="0000" w:firstRow="0" w:lastRow="0" w:firstColumn="0" w:lastColumn="0" w:noHBand="0" w:noVBand="0"/>
      </w:tblPr>
      <w:tblGrid>
        <w:gridCol w:w="397"/>
        <w:gridCol w:w="9412"/>
      </w:tblGrid>
      <w:tr w:rsidR="00BD7B75" w:rsidRPr="001455DC" w14:paraId="53FDA568" w14:textId="77777777" w:rsidTr="00BD7B75">
        <w:tc>
          <w:tcPr>
            <w:tcW w:w="397" w:type="dxa"/>
            <w:shd w:val="clear" w:color="auto" w:fill="auto"/>
          </w:tcPr>
          <w:p w14:paraId="5BCA731D" w14:textId="41F9FDB5" w:rsidR="00BD7B75" w:rsidRPr="001455DC" w:rsidRDefault="00BD7B75" w:rsidP="00BD7B75">
            <w:pPr>
              <w:pStyle w:val="KeyText"/>
              <w:tabs>
                <w:tab w:val="clear" w:pos="346"/>
              </w:tabs>
              <w:ind w:left="0" w:firstLine="0"/>
            </w:pPr>
            <w:r w:rsidRPr="001455DC">
              <w:t>1</w:t>
            </w:r>
          </w:p>
        </w:tc>
        <w:tc>
          <w:tcPr>
            <w:tcW w:w="9412" w:type="dxa"/>
            <w:shd w:val="clear" w:color="auto" w:fill="auto"/>
          </w:tcPr>
          <w:p w14:paraId="00AEFBC7" w14:textId="5663F9AF" w:rsidR="00BD7B75" w:rsidRPr="001455DC" w:rsidRDefault="00C54E80" w:rsidP="00BD7B75">
            <w:pPr>
              <w:pStyle w:val="KeyText"/>
              <w:tabs>
                <w:tab w:val="clear" w:pos="346"/>
              </w:tabs>
              <w:ind w:left="0" w:firstLine="0"/>
            </w:pPr>
            <w:r>
              <w:t>n</w:t>
            </w:r>
            <w:r w:rsidR="00BD7B75" w:rsidRPr="001455DC">
              <w:t>ominal diagram for reference</w:t>
            </w:r>
          </w:p>
        </w:tc>
      </w:tr>
      <w:tr w:rsidR="00BD7B75" w:rsidRPr="001455DC" w14:paraId="47563E18" w14:textId="77777777" w:rsidTr="00BD7B75">
        <w:tc>
          <w:tcPr>
            <w:tcW w:w="397" w:type="dxa"/>
            <w:shd w:val="clear" w:color="auto" w:fill="auto"/>
          </w:tcPr>
          <w:p w14:paraId="44BF75C0" w14:textId="2E86DD93" w:rsidR="00BD7B75" w:rsidRPr="001455DC" w:rsidRDefault="00BD7B75" w:rsidP="00BD7B75">
            <w:pPr>
              <w:pStyle w:val="KeyText"/>
              <w:tabs>
                <w:tab w:val="clear" w:pos="346"/>
              </w:tabs>
              <w:ind w:left="0" w:firstLine="0"/>
            </w:pPr>
            <w:r w:rsidRPr="001455DC">
              <w:t>2</w:t>
            </w:r>
          </w:p>
        </w:tc>
        <w:tc>
          <w:tcPr>
            <w:tcW w:w="9412" w:type="dxa"/>
            <w:shd w:val="clear" w:color="auto" w:fill="auto"/>
          </w:tcPr>
          <w:p w14:paraId="00152C6F" w14:textId="1206919D" w:rsidR="00BD7B75" w:rsidRPr="001455DC" w:rsidRDefault="00C54E80" w:rsidP="00BD7B75">
            <w:pPr>
              <w:pStyle w:val="KeyText"/>
              <w:tabs>
                <w:tab w:val="clear" w:pos="346"/>
              </w:tabs>
              <w:ind w:left="0" w:firstLine="0"/>
            </w:pPr>
            <w:r>
              <w:t>d</w:t>
            </w:r>
            <w:r w:rsidR="00BD7B75" w:rsidRPr="001455DC">
              <w:t>esign diagrams</w:t>
            </w:r>
          </w:p>
        </w:tc>
      </w:tr>
    </w:tbl>
    <w:p w14:paraId="7CFD30ED" w14:textId="77777777" w:rsidR="004E22C1" w:rsidRPr="001455DC" w:rsidRDefault="004E22C1" w:rsidP="00BD7B75">
      <w:pPr>
        <w:pStyle w:val="Figuretitle"/>
      </w:pPr>
      <w:r w:rsidRPr="001455DC">
        <w:t>Figure 5.2 — Stress-strain diagrams for reinforcing steel (for tension and compression)</w:t>
      </w:r>
    </w:p>
    <w:p w14:paraId="184AE65E" w14:textId="3D252CB4" w:rsidR="004E22C1" w:rsidRPr="001455DC" w:rsidRDefault="004E22C1" w:rsidP="00BD7B75">
      <w:pPr>
        <w:pStyle w:val="a7"/>
      </w:pPr>
      <w:r w:rsidRPr="001455DC">
        <w:t>(3)</w:t>
      </w:r>
      <w:r w:rsidRPr="001455DC">
        <w:tab/>
        <w:t xml:space="preserve">The design value of the modulus of elasticity </w:t>
      </w:r>
      <w:r w:rsidRPr="001455DC">
        <w:rPr>
          <w:rStyle w:val="CCMCvariableitalic"/>
        </w:rPr>
        <w:t>E</w:t>
      </w:r>
      <w:r w:rsidRPr="001455DC">
        <w:rPr>
          <w:rStyle w:val="CCMCvariablesubscript"/>
        </w:rPr>
        <w:t>s</w:t>
      </w:r>
      <w:r w:rsidRPr="001455DC">
        <w:t xml:space="preserve"> may be assumed to be 200 000 MPa for weldable reinforcing steel, unless more precise values are known.</w:t>
      </w:r>
    </w:p>
    <w:p w14:paraId="0C7457C7" w14:textId="77777777" w:rsidR="004E22C1" w:rsidRPr="001455DC" w:rsidRDefault="004E22C1" w:rsidP="00BD7B75">
      <w:pPr>
        <w:pStyle w:val="a7"/>
      </w:pPr>
      <w:r w:rsidRPr="001455DC">
        <w:t>(4)</w:t>
      </w:r>
      <w:r w:rsidRPr="001455DC">
        <w:tab/>
        <w:t>The mean density of reinforcing steel for the purposes of design may be taken as 7 850 kg/m</w:t>
      </w:r>
      <w:r w:rsidRPr="001455DC">
        <w:rPr>
          <w:rStyle w:val="CCMCvariablesuperscript"/>
        </w:rPr>
        <w:t>3</w:t>
      </w:r>
      <w:r w:rsidRPr="001455DC">
        <w:t>.</w:t>
      </w:r>
    </w:p>
    <w:p w14:paraId="66582689" w14:textId="45E00550" w:rsidR="004E22C1" w:rsidRPr="001455DC" w:rsidRDefault="004E22C1" w:rsidP="00BD7B75">
      <w:pPr>
        <w:pStyle w:val="a7"/>
      </w:pPr>
      <w:r w:rsidRPr="001455DC">
        <w:t>(5)</w:t>
      </w:r>
      <w:r w:rsidRPr="001455DC">
        <w:tab/>
        <w:t xml:space="preserve">The coefficient of thermal expansion </w:t>
      </w:r>
      <w:r w:rsidRPr="001455DC">
        <w:rPr>
          <w:rStyle w:val="CCMCvariableitalic"/>
        </w:rPr>
        <w:t>α</w:t>
      </w:r>
      <w:r w:rsidRPr="001455DC">
        <w:rPr>
          <w:rStyle w:val="CCMCvariablesubscript"/>
        </w:rPr>
        <w:t>s,th</w:t>
      </w:r>
      <w:r w:rsidRPr="001455DC">
        <w:t xml:space="preserve"> may be taken as 10 </w:t>
      </w:r>
      <w:r w:rsidRPr="001455DC">
        <w:rPr>
          <w:rFonts w:ascii="Cambria Math" w:hAnsi="Cambria Math" w:cs="Cambria Math"/>
        </w:rPr>
        <w:t>⋅</w:t>
      </w:r>
      <w:r w:rsidRPr="001455DC">
        <w:t> 10</w:t>
      </w:r>
      <w:r w:rsidR="00EC27D2" w:rsidRPr="001455DC">
        <w:rPr>
          <w:rStyle w:val="CCMCvariablesuperscript"/>
          <w:rFonts w:ascii="Cambria Math" w:hAnsi="Cambria Math"/>
        </w:rPr>
        <w:t>−</w:t>
      </w:r>
      <w:r w:rsidRPr="001455DC">
        <w:rPr>
          <w:rStyle w:val="CCMCvariablesuperscript"/>
        </w:rPr>
        <w:t>6</w:t>
      </w:r>
      <w:r w:rsidRPr="001455DC">
        <w:t> °C</w:t>
      </w:r>
      <w:r w:rsidR="00EC27D2" w:rsidRPr="001455DC">
        <w:rPr>
          <w:rStyle w:val="CCMCvariablesuperscript"/>
          <w:rFonts w:ascii="Cambria Math" w:hAnsi="Cambria Math"/>
        </w:rPr>
        <w:t>−</w:t>
      </w:r>
      <w:r w:rsidRPr="001455DC">
        <w:rPr>
          <w:rStyle w:val="CCMCvariablesuperscript"/>
        </w:rPr>
        <w:t>1</w:t>
      </w:r>
      <w:r w:rsidRPr="001455DC">
        <w:t xml:space="preserve"> for weldable reinforcing steel, unless more precise values are known.</w:t>
      </w:r>
    </w:p>
    <w:p w14:paraId="5ECB4D47" w14:textId="15350205" w:rsidR="004E22C1" w:rsidRPr="001455DC" w:rsidRDefault="004E22C1" w:rsidP="00243590">
      <w:pPr>
        <w:pStyle w:val="31"/>
      </w:pPr>
      <w:bookmarkStart w:id="285" w:name="_Toc52819911"/>
      <w:bookmarkStart w:id="286" w:name="_Toc54337310"/>
      <w:bookmarkStart w:id="287" w:name="_Toc54337969"/>
      <w:bookmarkStart w:id="288" w:name="_Toc67565332"/>
      <w:r w:rsidRPr="001455DC">
        <w:t>Reinforcement bar couplers</w:t>
      </w:r>
      <w:bookmarkEnd w:id="285"/>
      <w:bookmarkEnd w:id="286"/>
      <w:bookmarkEnd w:id="287"/>
      <w:bookmarkEnd w:id="288"/>
    </w:p>
    <w:p w14:paraId="38609222" w14:textId="77777777" w:rsidR="004E22C1" w:rsidRPr="001455DC" w:rsidRDefault="004E22C1" w:rsidP="00BD7B75">
      <w:pPr>
        <w:pStyle w:val="a7"/>
        <w:rPr>
          <w:snapToGrid w:val="0"/>
        </w:rPr>
      </w:pPr>
      <w:r w:rsidRPr="001455DC">
        <w:t>(1)</w:t>
      </w:r>
      <w:r w:rsidRPr="001455DC">
        <w:tab/>
      </w:r>
      <w:r w:rsidRPr="001455DC">
        <w:rPr>
          <w:snapToGrid w:val="0"/>
        </w:rPr>
        <w:t>Couplers for splicing of reinforcing bars shall be capable of developing the static strength and ductility of the spliced reinforcement.</w:t>
      </w:r>
    </w:p>
    <w:p w14:paraId="6BD2E70F" w14:textId="3F6D2F8E" w:rsidR="004E22C1" w:rsidRPr="001455DC" w:rsidRDefault="004E22C1" w:rsidP="00BD7B75">
      <w:pPr>
        <w:pStyle w:val="a7"/>
      </w:pPr>
      <w:r w:rsidRPr="001455DC">
        <w:rPr>
          <w:snapToGrid w:val="0"/>
        </w:rPr>
        <w:t>(2)</w:t>
      </w:r>
      <w:r w:rsidRPr="001455DC">
        <w:rPr>
          <w:snapToGrid w:val="0"/>
        </w:rPr>
        <w:tab/>
      </w:r>
      <w:r w:rsidRPr="001455DC">
        <w:t>Couplers meeting the requirements of C.</w:t>
      </w:r>
      <w:r w:rsidR="00DD481D" w:rsidRPr="001455DC">
        <w:t xml:space="preserve">6 </w:t>
      </w:r>
      <w:r w:rsidRPr="001455DC">
        <w:t>may be assumed to satisfy the requirement of (1).</w:t>
      </w:r>
    </w:p>
    <w:p w14:paraId="14F719F2" w14:textId="2D9B2906" w:rsidR="004E22C1" w:rsidRPr="001455DC" w:rsidRDefault="004E22C1" w:rsidP="00243590">
      <w:pPr>
        <w:pStyle w:val="31"/>
      </w:pPr>
      <w:bookmarkStart w:id="289" w:name="_Toc52819912"/>
      <w:bookmarkStart w:id="290" w:name="_Toc54337311"/>
      <w:bookmarkStart w:id="291" w:name="_Toc54337970"/>
      <w:bookmarkStart w:id="292" w:name="_Toc67565333"/>
      <w:r w:rsidRPr="001455DC">
        <w:t>Headed bars for reinforcement</w:t>
      </w:r>
      <w:bookmarkEnd w:id="289"/>
      <w:bookmarkEnd w:id="290"/>
      <w:bookmarkEnd w:id="291"/>
      <w:bookmarkEnd w:id="292"/>
    </w:p>
    <w:p w14:paraId="66AB172D" w14:textId="77777777" w:rsidR="004E22C1" w:rsidRPr="001455DC" w:rsidRDefault="004E22C1" w:rsidP="00BD7B75">
      <w:pPr>
        <w:pStyle w:val="a7"/>
        <w:rPr>
          <w:iCs/>
        </w:rPr>
      </w:pPr>
      <w:r w:rsidRPr="001455DC">
        <w:t>(1)</w:t>
      </w:r>
      <w:r w:rsidRPr="001455DC">
        <w:tab/>
      </w:r>
      <w:r w:rsidRPr="001455DC">
        <w:rPr>
          <w:iCs/>
        </w:rPr>
        <w:t>Anchor heads of headed bars shall be capable of developing the strength and ductility of the reinforcing bar when tested, and the anchor head shall be fixed to the reinforcing bar in a way that can be demonstrated to provide adequate robustness.</w:t>
      </w:r>
    </w:p>
    <w:p w14:paraId="4CA51760" w14:textId="5AC61E52" w:rsidR="004E22C1" w:rsidRPr="001455DC" w:rsidRDefault="004E22C1" w:rsidP="00BD7B75">
      <w:pPr>
        <w:pStyle w:val="a7"/>
      </w:pPr>
      <w:r w:rsidRPr="001455DC">
        <w:rPr>
          <w:iCs/>
        </w:rPr>
        <w:t>(2)</w:t>
      </w:r>
      <w:r w:rsidRPr="001455DC">
        <w:rPr>
          <w:iCs/>
        </w:rPr>
        <w:tab/>
      </w:r>
      <w:r w:rsidRPr="001455DC">
        <w:t>Headed bars meeting the requirements of C.</w:t>
      </w:r>
      <w:r w:rsidR="00DD481D" w:rsidRPr="001455DC">
        <w:t xml:space="preserve">7 </w:t>
      </w:r>
      <w:r w:rsidRPr="001455DC">
        <w:t>for the appropriate category may be assumed to satisfy the requirements of (1).</w:t>
      </w:r>
    </w:p>
    <w:p w14:paraId="747EABA4" w14:textId="1E2F3C9C" w:rsidR="004E22C1" w:rsidRPr="001455DC" w:rsidRDefault="004E22C1" w:rsidP="006D682B">
      <w:pPr>
        <w:pStyle w:val="21"/>
      </w:pPr>
      <w:bookmarkStart w:id="293" w:name="_Toc52819913"/>
      <w:bookmarkStart w:id="294" w:name="_Toc54337312"/>
      <w:bookmarkStart w:id="295" w:name="_Toc54337971"/>
      <w:bookmarkStart w:id="296" w:name="_Toc67565334"/>
      <w:r w:rsidRPr="001455DC">
        <w:t>Prestressing steel</w:t>
      </w:r>
      <w:bookmarkEnd w:id="293"/>
      <w:bookmarkEnd w:id="294"/>
      <w:bookmarkEnd w:id="295"/>
      <w:bookmarkEnd w:id="296"/>
    </w:p>
    <w:p w14:paraId="3A8BB6C1" w14:textId="1858B548" w:rsidR="004E22C1" w:rsidRPr="001455DC" w:rsidRDefault="004E22C1" w:rsidP="00243590">
      <w:pPr>
        <w:pStyle w:val="31"/>
      </w:pPr>
      <w:bookmarkStart w:id="297" w:name="_Toc52819914"/>
      <w:bookmarkStart w:id="298" w:name="_Toc54337313"/>
      <w:bookmarkStart w:id="299" w:name="_Toc54337972"/>
      <w:bookmarkStart w:id="300" w:name="_Toc67565335"/>
      <w:r w:rsidRPr="001455DC">
        <w:t>General</w:t>
      </w:r>
      <w:bookmarkEnd w:id="297"/>
      <w:bookmarkEnd w:id="298"/>
      <w:bookmarkEnd w:id="299"/>
      <w:bookmarkEnd w:id="300"/>
    </w:p>
    <w:p w14:paraId="1CEECD7A" w14:textId="77777777" w:rsidR="004E22C1" w:rsidRPr="001455DC" w:rsidRDefault="004E22C1" w:rsidP="00BD7B75">
      <w:pPr>
        <w:pStyle w:val="a7"/>
      </w:pPr>
      <w:r w:rsidRPr="001455DC">
        <w:t>(1)</w:t>
      </w:r>
      <w:r w:rsidRPr="001455DC">
        <w:tab/>
        <w:t>The clauses in 5.3 give provisions for prestressing steel in the form of wires, strands and bars suitable for design of concrete structures in accordance with this Eurocode.</w:t>
      </w:r>
    </w:p>
    <w:p w14:paraId="104D801D" w14:textId="19F39518" w:rsidR="004E22C1" w:rsidRPr="001455DC" w:rsidRDefault="004E22C1" w:rsidP="00BD7B75">
      <w:pPr>
        <w:pStyle w:val="a7"/>
      </w:pPr>
      <w:r w:rsidRPr="001455DC">
        <w:t>(2)</w:t>
      </w:r>
      <w:r w:rsidRPr="001455DC">
        <w:tab/>
        <w:t xml:space="preserve">The requirements for the properties of the prestressing steel apply for the material as placed in the finished structure and for service temperatures in the range of </w:t>
      </w:r>
      <w:r w:rsidRPr="001455DC">
        <w:rPr>
          <w:rFonts w:ascii="Cambria Math" w:hAnsi="Cambria Math"/>
        </w:rPr>
        <w:t>−</w:t>
      </w:r>
      <w:r w:rsidRPr="001455DC">
        <w:t xml:space="preserve">40 °C to </w:t>
      </w:r>
      <w:r w:rsidR="00EC27D2" w:rsidRPr="001455DC">
        <w:rPr>
          <w:rFonts w:ascii="Cambria Math" w:hAnsi="Cambria Math"/>
        </w:rPr>
        <w:t>+</w:t>
      </w:r>
      <w:r w:rsidRPr="001455DC">
        <w:t>100 °C except for relaxation as noted in Table 5.6.</w:t>
      </w:r>
    </w:p>
    <w:p w14:paraId="08389442" w14:textId="1B5729B6" w:rsidR="004E22C1" w:rsidRPr="001455DC" w:rsidRDefault="004E22C1" w:rsidP="00BD7B75">
      <w:pPr>
        <w:pStyle w:val="a7"/>
        <w:rPr>
          <w:bCs/>
        </w:rPr>
      </w:pPr>
      <w:r w:rsidRPr="001455DC">
        <w:t>(3)</w:t>
      </w:r>
      <w:r w:rsidRPr="001455DC">
        <w:tab/>
        <w:t xml:space="preserve">Prestressing steel used for structures designed in accordance with this Eurocode shall comply with </w:t>
      </w:r>
      <w:r w:rsidR="000D2A45" w:rsidRPr="001455DC">
        <w:t>prEN 10138 (all parts)</w:t>
      </w:r>
      <w:r w:rsidRPr="001455DC">
        <w:t xml:space="preserve"> (see C.</w:t>
      </w:r>
      <w:r w:rsidR="002B64DF" w:rsidRPr="001455DC">
        <w:t>5</w:t>
      </w:r>
      <w:r w:rsidRPr="001455DC">
        <w:t>).</w:t>
      </w:r>
    </w:p>
    <w:p w14:paraId="7D9C5288" w14:textId="53CCA8CD" w:rsidR="004E22C1" w:rsidRPr="001455DC" w:rsidRDefault="004B62E7" w:rsidP="00BD7B75">
      <w:pPr>
        <w:pStyle w:val="Note"/>
      </w:pPr>
      <w:r>
        <w:t>NOTE</w:t>
      </w:r>
      <w:r>
        <w:tab/>
        <w:t>As long as the harmoniz</w:t>
      </w:r>
      <w:r w:rsidR="004E22C1" w:rsidRPr="001455DC">
        <w:t xml:space="preserve">ed product standard </w:t>
      </w:r>
      <w:r w:rsidR="000D2A45" w:rsidRPr="001455DC">
        <w:t>prEN 10138 (all parts)</w:t>
      </w:r>
      <w:r w:rsidR="004E22C1" w:rsidRPr="001455DC">
        <w:t xml:space="preserve"> is not published, a National Annex can refer to other technical specifications, e.g. national product standards for prestressing steel.</w:t>
      </w:r>
    </w:p>
    <w:p w14:paraId="71173233" w14:textId="1C5A0C9A" w:rsidR="004E22C1" w:rsidRPr="001455DC" w:rsidRDefault="004E22C1" w:rsidP="00243590">
      <w:pPr>
        <w:pStyle w:val="31"/>
      </w:pPr>
      <w:bookmarkStart w:id="301" w:name="_Toc52819915"/>
      <w:bookmarkStart w:id="302" w:name="_Toc54337314"/>
      <w:bookmarkStart w:id="303" w:name="_Toc54337973"/>
      <w:bookmarkStart w:id="304" w:name="_Toc67565336"/>
      <w:r w:rsidRPr="001455DC">
        <w:t>Properties</w:t>
      </w:r>
      <w:bookmarkEnd w:id="301"/>
      <w:bookmarkEnd w:id="302"/>
      <w:bookmarkEnd w:id="303"/>
      <w:bookmarkEnd w:id="304"/>
    </w:p>
    <w:p w14:paraId="21EDC60A" w14:textId="77777777" w:rsidR="004E22C1" w:rsidRPr="001455DC" w:rsidRDefault="004E22C1" w:rsidP="006210D7">
      <w:pPr>
        <w:pStyle w:val="a7"/>
        <w:keepNext/>
      </w:pPr>
      <w:r w:rsidRPr="001455DC">
        <w:t>(1)</w:t>
      </w:r>
      <w:r w:rsidRPr="001455DC">
        <w:tab/>
        <w:t>Specified properties of prestressing steel that are required for design to this Eurocode shall include at least:</w:t>
      </w:r>
    </w:p>
    <w:p w14:paraId="39D33CAF" w14:textId="79A5A759" w:rsidR="004E22C1" w:rsidRPr="001455DC" w:rsidRDefault="004E22C1" w:rsidP="00BD7B75">
      <w:pPr>
        <w:pStyle w:val="a0"/>
      </w:pPr>
      <w:r w:rsidRPr="001455DC">
        <w:t>strength class in accordance with Table 5.6,</w:t>
      </w:r>
    </w:p>
    <w:p w14:paraId="77CBD140" w14:textId="463066BD" w:rsidR="004E22C1" w:rsidRPr="001455DC" w:rsidRDefault="004E22C1" w:rsidP="00BD7B75">
      <w:pPr>
        <w:pStyle w:val="a0"/>
      </w:pPr>
      <w:r w:rsidRPr="001455DC">
        <w:t>product type wire, strand or bar,</w:t>
      </w:r>
    </w:p>
    <w:p w14:paraId="61276F9F" w14:textId="0749EDE8" w:rsidR="004E22C1" w:rsidRPr="001455DC" w:rsidRDefault="004E22C1" w:rsidP="006210D7">
      <w:pPr>
        <w:pStyle w:val="a0"/>
        <w:keepNext/>
      </w:pPr>
      <w:r w:rsidRPr="001455DC">
        <w:t>diameter or size,</w:t>
      </w:r>
    </w:p>
    <w:p w14:paraId="40F20BD7" w14:textId="29A2B6CB" w:rsidR="004E22C1" w:rsidRPr="001455DC" w:rsidRDefault="004E22C1" w:rsidP="00BD7B75">
      <w:pPr>
        <w:pStyle w:val="a0"/>
      </w:pPr>
      <w:r w:rsidRPr="001455DC">
        <w:t>execution class in accordance with EN 13670.</w:t>
      </w:r>
    </w:p>
    <w:p w14:paraId="20BD1238" w14:textId="77777777" w:rsidR="004E22C1" w:rsidRPr="001455DC" w:rsidRDefault="004E22C1" w:rsidP="00BD7B75">
      <w:pPr>
        <w:pStyle w:val="a7"/>
      </w:pPr>
      <w:r w:rsidRPr="001455DC">
        <w:t>(2)</w:t>
      </w:r>
      <w:r w:rsidRPr="001455DC">
        <w:tab/>
        <w:t>The following properties of prestressing steel may be derived in accordance with the provisions of 5.3:</w:t>
      </w:r>
    </w:p>
    <w:p w14:paraId="1070C364" w14:textId="7EF0BD6A" w:rsidR="004E22C1" w:rsidRPr="001455DC" w:rsidRDefault="004E22C1" w:rsidP="00BD7B75">
      <w:pPr>
        <w:pStyle w:val="a0"/>
      </w:pPr>
      <w:r w:rsidRPr="001455DC">
        <w:t xml:space="preserve">0,1 % proof stress </w:t>
      </w:r>
      <w:r w:rsidRPr="001455DC">
        <w:rPr>
          <w:rStyle w:val="CCMCvariableitalic"/>
        </w:rPr>
        <w:t>f</w:t>
      </w:r>
      <w:r w:rsidRPr="001455DC">
        <w:rPr>
          <w:rStyle w:val="CCMCvariablesubscript"/>
        </w:rPr>
        <w:t>p0,1k</w:t>
      </w:r>
      <w:r w:rsidRPr="001455DC">
        <w:t>,</w:t>
      </w:r>
    </w:p>
    <w:p w14:paraId="51048D06" w14:textId="2691C485" w:rsidR="004E22C1" w:rsidRPr="001455DC" w:rsidRDefault="004E22C1" w:rsidP="00BD7B75">
      <w:pPr>
        <w:pStyle w:val="a0"/>
      </w:pPr>
      <w:r w:rsidRPr="001455DC">
        <w:t xml:space="preserve">Tensile strength </w:t>
      </w:r>
      <w:r w:rsidRPr="001455DC">
        <w:rPr>
          <w:rStyle w:val="CCMCvariableitalic"/>
        </w:rPr>
        <w:t>f</w:t>
      </w:r>
      <w:r w:rsidRPr="001455DC">
        <w:rPr>
          <w:rStyle w:val="CCMCvariablesubscript"/>
        </w:rPr>
        <w:t>pk</w:t>
      </w:r>
      <w:r w:rsidRPr="001455DC">
        <w:t>,</w:t>
      </w:r>
    </w:p>
    <w:p w14:paraId="36A2F3C6" w14:textId="73B5F483" w:rsidR="004E22C1" w:rsidRPr="001455DC" w:rsidRDefault="004E22C1" w:rsidP="00BD7B75">
      <w:pPr>
        <w:pStyle w:val="a0"/>
      </w:pPr>
      <w:r w:rsidRPr="001455DC">
        <w:t>Stress ratio (</w:t>
      </w:r>
      <w:r w:rsidRPr="001455DC">
        <w:rPr>
          <w:rStyle w:val="CCMCvariableitalic"/>
        </w:rPr>
        <w:t>f</w:t>
      </w:r>
      <w:r w:rsidRPr="001455DC">
        <w:rPr>
          <w:rStyle w:val="CCMCvariablesubscript"/>
        </w:rPr>
        <w:t>pk</w:t>
      </w:r>
      <w:r w:rsidRPr="001455DC">
        <w:t>/</w:t>
      </w:r>
      <w:r w:rsidRPr="001455DC">
        <w:rPr>
          <w:rStyle w:val="CCMCvariableitalic"/>
        </w:rPr>
        <w:t>f</w:t>
      </w:r>
      <w:r w:rsidRPr="001455DC">
        <w:rPr>
          <w:rStyle w:val="CCMCvariablesubscript"/>
        </w:rPr>
        <w:t>p0,1k</w:t>
      </w:r>
      <w:r w:rsidRPr="001455DC">
        <w:t>),</w:t>
      </w:r>
    </w:p>
    <w:p w14:paraId="246ECF8B" w14:textId="09FA8257" w:rsidR="004E22C1" w:rsidRPr="001455DC" w:rsidRDefault="004E22C1" w:rsidP="00BD7B75">
      <w:pPr>
        <w:pStyle w:val="a0"/>
      </w:pPr>
      <w:r w:rsidRPr="001455DC">
        <w:t xml:space="preserve">Elongation at maximum load </w:t>
      </w:r>
      <w:r w:rsidRPr="001455DC">
        <w:rPr>
          <w:rStyle w:val="CCMCvariableitalic"/>
        </w:rPr>
        <w:t>ε</w:t>
      </w:r>
      <w:r w:rsidRPr="001455DC">
        <w:rPr>
          <w:rStyle w:val="CCMCvariablesubscript"/>
        </w:rPr>
        <w:t>uk</w:t>
      </w:r>
      <w:r w:rsidRPr="001455DC">
        <w:t>,</w:t>
      </w:r>
    </w:p>
    <w:p w14:paraId="4A1CCE74" w14:textId="0B8C0D85" w:rsidR="004E22C1" w:rsidRPr="001455DC" w:rsidRDefault="004E22C1" w:rsidP="00BD7B75">
      <w:pPr>
        <w:pStyle w:val="a0"/>
      </w:pPr>
      <w:r w:rsidRPr="001455DC">
        <w:rPr>
          <w:rStyle w:val="CCMCvariableitalic"/>
        </w:rPr>
        <w:t>S</w:t>
      </w:r>
      <w:r w:rsidRPr="001455DC">
        <w:t>-</w:t>
      </w:r>
      <w:r w:rsidRPr="001455DC">
        <w:rPr>
          <w:rStyle w:val="CCMCvariableitalic"/>
        </w:rPr>
        <w:t>N</w:t>
      </w:r>
      <w:r w:rsidRPr="001455DC">
        <w:t xml:space="preserve"> curves for fatigue, see Annex E.</w:t>
      </w:r>
    </w:p>
    <w:p w14:paraId="4E291281" w14:textId="77777777" w:rsidR="004E22C1" w:rsidRPr="001455DC" w:rsidRDefault="004E22C1" w:rsidP="00BD7B75">
      <w:pPr>
        <w:pStyle w:val="Tabletitle"/>
        <w:rPr>
          <w:snapToGrid w:val="0"/>
        </w:rPr>
      </w:pPr>
      <w:bookmarkStart w:id="305" w:name="_Toc54337315"/>
      <w:r w:rsidRPr="001455DC">
        <w:rPr>
          <w:snapToGrid w:val="0"/>
        </w:rPr>
        <w:t>Table 5.6 — Strength classes of prestressing steel</w:t>
      </w:r>
      <w:bookmarkEnd w:id="305"/>
    </w:p>
    <w:tbl>
      <w:tblPr>
        <w:tblStyle w:val="53"/>
        <w:tblW w:w="9752" w:type="dxa"/>
        <w:tblLook w:val="0660" w:firstRow="1" w:lastRow="1" w:firstColumn="0" w:lastColumn="0" w:noHBand="1" w:noVBand="1"/>
      </w:tblPr>
      <w:tblGrid>
        <w:gridCol w:w="5240"/>
        <w:gridCol w:w="1128"/>
        <w:gridCol w:w="1128"/>
        <w:gridCol w:w="1128"/>
        <w:gridCol w:w="1128"/>
      </w:tblGrid>
      <w:tr w:rsidR="004E22C1" w:rsidRPr="001455DC" w14:paraId="695DDD32" w14:textId="77777777" w:rsidTr="00DC0C50">
        <w:trPr>
          <w:cnfStyle w:val="100000000000" w:firstRow="1" w:lastRow="0" w:firstColumn="0" w:lastColumn="0" w:oddVBand="0" w:evenVBand="0" w:oddHBand="0" w:evenHBand="0" w:firstRowFirstColumn="0" w:firstRowLastColumn="0" w:lastRowFirstColumn="0" w:lastRowLastColumn="0"/>
          <w:tblHeader/>
        </w:trPr>
        <w:tc>
          <w:tcPr>
            <w:tcW w:w="4577" w:type="dxa"/>
            <w:vMerge w:val="restart"/>
          </w:tcPr>
          <w:p w14:paraId="5B8BDF2E" w14:textId="6B7FE032" w:rsidR="004E22C1" w:rsidRPr="009D3012" w:rsidRDefault="004E22C1" w:rsidP="00DC0C50">
            <w:pPr>
              <w:pStyle w:val="Tableheader"/>
              <w:rPr>
                <w:lang w:val="en-US"/>
              </w:rPr>
            </w:pPr>
            <w:r w:rsidRPr="009D3012">
              <w:rPr>
                <w:lang w:val="en-US"/>
              </w:rPr>
              <w:t>Properties in stress-strain-diagram (Fig.</w:t>
            </w:r>
            <w:r w:rsidR="00DC0C50" w:rsidRPr="009D3012">
              <w:rPr>
                <w:lang w:val="en-US"/>
              </w:rPr>
              <w:t> </w:t>
            </w:r>
            <w:r w:rsidRPr="009D3012">
              <w:rPr>
                <w:lang w:val="en-US"/>
              </w:rPr>
              <w:t>5.3)</w:t>
            </w:r>
            <w:r w:rsidR="00DC0C50" w:rsidRPr="009D3012">
              <w:rPr>
                <w:lang w:val="en-US"/>
              </w:rPr>
              <w:t xml:space="preserve"> </w:t>
            </w:r>
            <w:r w:rsidRPr="009D3012">
              <w:rPr>
                <w:lang w:val="en-US"/>
              </w:rPr>
              <w:t>(characteristic values)</w:t>
            </w:r>
          </w:p>
        </w:tc>
        <w:tc>
          <w:tcPr>
            <w:tcW w:w="3940" w:type="dxa"/>
            <w:gridSpan w:val="4"/>
          </w:tcPr>
          <w:p w14:paraId="1FFDDEED" w14:textId="2A3BA77F" w:rsidR="004E22C1" w:rsidRPr="001455DC" w:rsidRDefault="004E22C1" w:rsidP="00DC0C50">
            <w:pPr>
              <w:pStyle w:val="Tableheader"/>
            </w:pPr>
            <w:r w:rsidRPr="001455DC">
              <w:t>(a)</w:t>
            </w:r>
            <w:r w:rsidR="00DC0C50" w:rsidRPr="001455DC">
              <w:t xml:space="preserve"> </w:t>
            </w:r>
            <w:r w:rsidRPr="001455DC">
              <w:t>Wires</w:t>
            </w:r>
            <w:r w:rsidRPr="001455DC">
              <w:rPr>
                <w:rStyle w:val="CCMCvariablesuperscript"/>
                <w:b w:val="0"/>
                <w:bCs/>
              </w:rPr>
              <w:t>a</w:t>
            </w:r>
          </w:p>
        </w:tc>
      </w:tr>
      <w:tr w:rsidR="004E22C1" w:rsidRPr="001455DC" w14:paraId="13FC5AD5" w14:textId="77777777" w:rsidTr="00DC0C50">
        <w:trPr>
          <w:cnfStyle w:val="100000000000" w:firstRow="1" w:lastRow="0" w:firstColumn="0" w:lastColumn="0" w:oddVBand="0" w:evenVBand="0" w:oddHBand="0" w:evenHBand="0" w:firstRowFirstColumn="0" w:firstRowLastColumn="0" w:lastRowFirstColumn="0" w:lastRowLastColumn="0"/>
          <w:tblHeader/>
        </w:trPr>
        <w:tc>
          <w:tcPr>
            <w:tcW w:w="4577" w:type="dxa"/>
            <w:vMerge/>
          </w:tcPr>
          <w:p w14:paraId="50FBC2B8" w14:textId="77777777" w:rsidR="004E22C1" w:rsidRPr="001455DC" w:rsidRDefault="004E22C1" w:rsidP="00BD7B75">
            <w:pPr>
              <w:pStyle w:val="Tableheader"/>
            </w:pPr>
          </w:p>
        </w:tc>
        <w:tc>
          <w:tcPr>
            <w:tcW w:w="985" w:type="dxa"/>
          </w:tcPr>
          <w:p w14:paraId="6569FAD6" w14:textId="77777777" w:rsidR="004E22C1" w:rsidRPr="001455DC" w:rsidRDefault="004E22C1" w:rsidP="00DC0C50">
            <w:pPr>
              <w:pStyle w:val="Tableheader"/>
            </w:pPr>
            <w:r w:rsidRPr="001455DC">
              <w:t>Y1570</w:t>
            </w:r>
          </w:p>
        </w:tc>
        <w:tc>
          <w:tcPr>
            <w:tcW w:w="985" w:type="dxa"/>
          </w:tcPr>
          <w:p w14:paraId="2DC8D675" w14:textId="77777777" w:rsidR="004E22C1" w:rsidRPr="001455DC" w:rsidRDefault="004E22C1" w:rsidP="00DC0C50">
            <w:pPr>
              <w:pStyle w:val="Tableheader"/>
            </w:pPr>
            <w:r w:rsidRPr="001455DC">
              <w:t>Y1670</w:t>
            </w:r>
          </w:p>
        </w:tc>
        <w:tc>
          <w:tcPr>
            <w:tcW w:w="985" w:type="dxa"/>
          </w:tcPr>
          <w:p w14:paraId="0CD823DE" w14:textId="77777777" w:rsidR="004E22C1" w:rsidRPr="001455DC" w:rsidRDefault="004E22C1" w:rsidP="00DC0C50">
            <w:pPr>
              <w:pStyle w:val="Tableheader"/>
            </w:pPr>
            <w:r w:rsidRPr="001455DC">
              <w:t>Y1770</w:t>
            </w:r>
          </w:p>
        </w:tc>
        <w:tc>
          <w:tcPr>
            <w:tcW w:w="985" w:type="dxa"/>
          </w:tcPr>
          <w:p w14:paraId="5AE4BB90" w14:textId="77777777" w:rsidR="004E22C1" w:rsidRPr="001455DC" w:rsidRDefault="004E22C1" w:rsidP="00DC0C50">
            <w:pPr>
              <w:pStyle w:val="Tableheader"/>
            </w:pPr>
            <w:r w:rsidRPr="001455DC">
              <w:t>Y1860</w:t>
            </w:r>
          </w:p>
        </w:tc>
      </w:tr>
      <w:tr w:rsidR="004E22C1" w:rsidRPr="001455DC" w14:paraId="3CE78C44" w14:textId="77777777" w:rsidTr="00DC0C50">
        <w:tc>
          <w:tcPr>
            <w:tcW w:w="4577" w:type="dxa"/>
            <w:vAlign w:val="center"/>
          </w:tcPr>
          <w:p w14:paraId="533556D9" w14:textId="531E4B25" w:rsidR="004E22C1" w:rsidRPr="009D3012" w:rsidRDefault="004E22C1" w:rsidP="00DC0C50">
            <w:pPr>
              <w:pStyle w:val="Tablebody"/>
              <w:jc w:val="left"/>
              <w:rPr>
                <w:lang w:val="en-US"/>
              </w:rPr>
            </w:pPr>
            <w:r w:rsidRPr="009D3012">
              <w:rPr>
                <w:lang w:val="en-US"/>
              </w:rPr>
              <w:t xml:space="preserve">proof stress </w:t>
            </w:r>
            <w:r w:rsidRPr="009D3012">
              <w:rPr>
                <w:rStyle w:val="CCMCvariableitalic"/>
                <w:lang w:val="en-US"/>
              </w:rPr>
              <w:t>f</w:t>
            </w:r>
            <w:r w:rsidRPr="009D3012">
              <w:rPr>
                <w:rStyle w:val="CCMCvariablesubscript"/>
                <w:lang w:val="en-US"/>
              </w:rPr>
              <w:t>p0,1k</w:t>
            </w:r>
            <w:r w:rsidRPr="009D3012">
              <w:rPr>
                <w:lang w:val="en-US"/>
              </w:rPr>
              <w:t xml:space="preserve"> [MPa]</w:t>
            </w:r>
          </w:p>
        </w:tc>
        <w:tc>
          <w:tcPr>
            <w:tcW w:w="985" w:type="dxa"/>
            <w:vAlign w:val="center"/>
          </w:tcPr>
          <w:p w14:paraId="4051A8E2" w14:textId="77777777" w:rsidR="004E22C1" w:rsidRPr="001455DC" w:rsidRDefault="004E22C1" w:rsidP="00DC0C50">
            <w:pPr>
              <w:pStyle w:val="Tablebody"/>
              <w:jc w:val="center"/>
            </w:pPr>
            <w:r w:rsidRPr="001455DC">
              <w:t>1380</w:t>
            </w:r>
          </w:p>
        </w:tc>
        <w:tc>
          <w:tcPr>
            <w:tcW w:w="985" w:type="dxa"/>
            <w:vAlign w:val="center"/>
          </w:tcPr>
          <w:p w14:paraId="17C8CF14" w14:textId="77777777" w:rsidR="004E22C1" w:rsidRPr="001455DC" w:rsidRDefault="004E22C1" w:rsidP="00DC0C50">
            <w:pPr>
              <w:pStyle w:val="Tablebody"/>
              <w:jc w:val="center"/>
            </w:pPr>
            <w:r w:rsidRPr="001455DC">
              <w:t>1470</w:t>
            </w:r>
          </w:p>
        </w:tc>
        <w:tc>
          <w:tcPr>
            <w:tcW w:w="985" w:type="dxa"/>
            <w:vAlign w:val="center"/>
          </w:tcPr>
          <w:p w14:paraId="0DBCF81A" w14:textId="77777777" w:rsidR="004E22C1" w:rsidRPr="001455DC" w:rsidRDefault="004E22C1" w:rsidP="00DC0C50">
            <w:pPr>
              <w:pStyle w:val="Tablebody"/>
              <w:jc w:val="center"/>
            </w:pPr>
            <w:r w:rsidRPr="001455DC">
              <w:t>1550</w:t>
            </w:r>
          </w:p>
        </w:tc>
        <w:tc>
          <w:tcPr>
            <w:tcW w:w="985" w:type="dxa"/>
            <w:vAlign w:val="center"/>
          </w:tcPr>
          <w:p w14:paraId="2586BC03" w14:textId="77777777" w:rsidR="004E22C1" w:rsidRPr="001455DC" w:rsidRDefault="004E22C1" w:rsidP="00DC0C50">
            <w:pPr>
              <w:pStyle w:val="Tablebody"/>
              <w:jc w:val="center"/>
            </w:pPr>
            <w:r w:rsidRPr="001455DC">
              <w:t>1650</w:t>
            </w:r>
          </w:p>
        </w:tc>
      </w:tr>
      <w:tr w:rsidR="004E22C1" w:rsidRPr="001455DC" w14:paraId="25AB3D21" w14:textId="77777777" w:rsidTr="00DC0C50">
        <w:tc>
          <w:tcPr>
            <w:tcW w:w="4577" w:type="dxa"/>
            <w:vAlign w:val="center"/>
          </w:tcPr>
          <w:p w14:paraId="19FCE9FE" w14:textId="77777777" w:rsidR="004E22C1" w:rsidRPr="001455DC" w:rsidRDefault="004E22C1" w:rsidP="00DC0C50">
            <w:pPr>
              <w:pStyle w:val="Tablebody"/>
              <w:jc w:val="left"/>
            </w:pPr>
            <w:r w:rsidRPr="001455DC">
              <w:t xml:space="preserve">tensile strength </w:t>
            </w:r>
            <w:r w:rsidRPr="001455DC">
              <w:rPr>
                <w:rStyle w:val="CCMCvariableitalic"/>
              </w:rPr>
              <w:t>f</w:t>
            </w:r>
            <w:r w:rsidRPr="001455DC">
              <w:rPr>
                <w:rStyle w:val="CCMCvariablesubscript"/>
              </w:rPr>
              <w:t>pk</w:t>
            </w:r>
            <w:r w:rsidRPr="001455DC">
              <w:t xml:space="preserve"> [MPa]</w:t>
            </w:r>
          </w:p>
        </w:tc>
        <w:tc>
          <w:tcPr>
            <w:tcW w:w="985" w:type="dxa"/>
            <w:vAlign w:val="center"/>
          </w:tcPr>
          <w:p w14:paraId="16A96E39" w14:textId="77777777" w:rsidR="004E22C1" w:rsidRPr="001455DC" w:rsidRDefault="004E22C1" w:rsidP="00DC0C50">
            <w:pPr>
              <w:pStyle w:val="Tablebody"/>
              <w:jc w:val="center"/>
            </w:pPr>
            <w:r w:rsidRPr="001455DC">
              <w:t>1570</w:t>
            </w:r>
          </w:p>
        </w:tc>
        <w:tc>
          <w:tcPr>
            <w:tcW w:w="985" w:type="dxa"/>
            <w:vAlign w:val="center"/>
          </w:tcPr>
          <w:p w14:paraId="7CF635FA" w14:textId="77777777" w:rsidR="004E22C1" w:rsidRPr="001455DC" w:rsidRDefault="004E22C1" w:rsidP="00DC0C50">
            <w:pPr>
              <w:pStyle w:val="Tablebody"/>
              <w:jc w:val="center"/>
            </w:pPr>
            <w:r w:rsidRPr="001455DC">
              <w:t>1670</w:t>
            </w:r>
          </w:p>
        </w:tc>
        <w:tc>
          <w:tcPr>
            <w:tcW w:w="985" w:type="dxa"/>
            <w:vAlign w:val="center"/>
          </w:tcPr>
          <w:p w14:paraId="0C81BDA5" w14:textId="77777777" w:rsidR="004E22C1" w:rsidRPr="001455DC" w:rsidRDefault="004E22C1" w:rsidP="00DC0C50">
            <w:pPr>
              <w:pStyle w:val="Tablebody"/>
              <w:jc w:val="center"/>
            </w:pPr>
            <w:r w:rsidRPr="001455DC">
              <w:t>1770</w:t>
            </w:r>
          </w:p>
        </w:tc>
        <w:tc>
          <w:tcPr>
            <w:tcW w:w="985" w:type="dxa"/>
            <w:vAlign w:val="center"/>
          </w:tcPr>
          <w:p w14:paraId="6855264D" w14:textId="77777777" w:rsidR="004E22C1" w:rsidRPr="001455DC" w:rsidRDefault="004E22C1" w:rsidP="00DC0C50">
            <w:pPr>
              <w:pStyle w:val="Tablebody"/>
              <w:jc w:val="center"/>
            </w:pPr>
            <w:r w:rsidRPr="001455DC">
              <w:t>1860</w:t>
            </w:r>
          </w:p>
        </w:tc>
      </w:tr>
      <w:tr w:rsidR="004E22C1" w:rsidRPr="001455DC" w14:paraId="11E30349" w14:textId="77777777" w:rsidTr="00DC0C50">
        <w:tc>
          <w:tcPr>
            <w:tcW w:w="4577" w:type="dxa"/>
            <w:vMerge w:val="restart"/>
            <w:vAlign w:val="center"/>
          </w:tcPr>
          <w:p w14:paraId="3554D6B5" w14:textId="23C8CA23" w:rsidR="004E22C1" w:rsidRPr="001455DC" w:rsidRDefault="00DC0C50" w:rsidP="00DC0C50">
            <w:pPr>
              <w:pStyle w:val="Tablebody"/>
              <w:jc w:val="left"/>
            </w:pPr>
            <w:r w:rsidRPr="001455DC">
              <w:t> </w:t>
            </w:r>
          </w:p>
        </w:tc>
        <w:tc>
          <w:tcPr>
            <w:tcW w:w="3940" w:type="dxa"/>
            <w:gridSpan w:val="4"/>
            <w:vAlign w:val="center"/>
          </w:tcPr>
          <w:p w14:paraId="12BDAEAE" w14:textId="79AACE64" w:rsidR="004E22C1" w:rsidRPr="001455DC" w:rsidRDefault="004E22C1" w:rsidP="00DC0C50">
            <w:pPr>
              <w:pStyle w:val="Tableheader"/>
            </w:pPr>
            <w:r w:rsidRPr="001455DC">
              <w:t>(b)</w:t>
            </w:r>
            <w:r w:rsidR="00DC0C50" w:rsidRPr="001455DC">
              <w:t xml:space="preserve"> </w:t>
            </w:r>
            <w:r w:rsidRPr="001455DC">
              <w:t>Strands</w:t>
            </w:r>
            <w:r w:rsidRPr="001455DC">
              <w:rPr>
                <w:rStyle w:val="CCMCvariablesuperscript"/>
                <w:b w:val="0"/>
                <w:bCs/>
              </w:rPr>
              <w:t>a</w:t>
            </w:r>
          </w:p>
        </w:tc>
      </w:tr>
      <w:tr w:rsidR="004E22C1" w:rsidRPr="001455DC" w14:paraId="2EDEC307" w14:textId="77777777" w:rsidTr="00DC0C50">
        <w:tc>
          <w:tcPr>
            <w:tcW w:w="4577" w:type="dxa"/>
            <w:vMerge/>
            <w:vAlign w:val="center"/>
          </w:tcPr>
          <w:p w14:paraId="4D01B23A" w14:textId="77777777" w:rsidR="004E22C1" w:rsidRPr="001455DC" w:rsidRDefault="004E22C1" w:rsidP="00DC0C50">
            <w:pPr>
              <w:pStyle w:val="Tablebody"/>
              <w:jc w:val="left"/>
            </w:pPr>
          </w:p>
        </w:tc>
        <w:tc>
          <w:tcPr>
            <w:tcW w:w="985" w:type="dxa"/>
            <w:vAlign w:val="center"/>
          </w:tcPr>
          <w:p w14:paraId="551F4970" w14:textId="77777777" w:rsidR="004E22C1" w:rsidRPr="001455DC" w:rsidRDefault="004E22C1" w:rsidP="00DC0C50">
            <w:pPr>
              <w:pStyle w:val="Tableheader"/>
            </w:pPr>
            <w:r w:rsidRPr="001455DC">
              <w:t>Y1770</w:t>
            </w:r>
          </w:p>
        </w:tc>
        <w:tc>
          <w:tcPr>
            <w:tcW w:w="985" w:type="dxa"/>
            <w:vAlign w:val="center"/>
          </w:tcPr>
          <w:p w14:paraId="2C513CE2" w14:textId="77777777" w:rsidR="004E22C1" w:rsidRPr="001455DC" w:rsidRDefault="004E22C1" w:rsidP="00DC0C50">
            <w:pPr>
              <w:pStyle w:val="Tableheader"/>
            </w:pPr>
            <w:r w:rsidRPr="001455DC">
              <w:t>Y1860</w:t>
            </w:r>
          </w:p>
        </w:tc>
        <w:tc>
          <w:tcPr>
            <w:tcW w:w="985" w:type="dxa"/>
            <w:vAlign w:val="center"/>
          </w:tcPr>
          <w:p w14:paraId="439972DB" w14:textId="77777777" w:rsidR="004E22C1" w:rsidRPr="001455DC" w:rsidRDefault="004E22C1" w:rsidP="00DC0C50">
            <w:pPr>
              <w:pStyle w:val="Tableheader"/>
            </w:pPr>
            <w:r w:rsidRPr="001455DC">
              <w:t>Y1960</w:t>
            </w:r>
          </w:p>
        </w:tc>
        <w:tc>
          <w:tcPr>
            <w:tcW w:w="985" w:type="dxa"/>
            <w:vAlign w:val="center"/>
          </w:tcPr>
          <w:p w14:paraId="70D823B5" w14:textId="77777777" w:rsidR="004E22C1" w:rsidRPr="001455DC" w:rsidRDefault="004E22C1" w:rsidP="00DC0C50">
            <w:pPr>
              <w:pStyle w:val="Tableheader"/>
            </w:pPr>
            <w:r w:rsidRPr="001455DC">
              <w:t>Y2060</w:t>
            </w:r>
          </w:p>
        </w:tc>
      </w:tr>
      <w:tr w:rsidR="004E22C1" w:rsidRPr="001455DC" w14:paraId="1C5CBB9C" w14:textId="77777777" w:rsidTr="00DC0C50">
        <w:trPr>
          <w:trHeight w:val="198"/>
        </w:trPr>
        <w:tc>
          <w:tcPr>
            <w:tcW w:w="4577" w:type="dxa"/>
            <w:vAlign w:val="center"/>
          </w:tcPr>
          <w:p w14:paraId="32ECA927" w14:textId="44BD83DB" w:rsidR="004E22C1" w:rsidRPr="009D3012" w:rsidRDefault="004E22C1" w:rsidP="00DC0C50">
            <w:pPr>
              <w:pStyle w:val="Tablebody"/>
              <w:jc w:val="left"/>
              <w:rPr>
                <w:lang w:val="en-US"/>
              </w:rPr>
            </w:pPr>
            <w:r w:rsidRPr="009D3012">
              <w:rPr>
                <w:lang w:val="en-US"/>
              </w:rPr>
              <w:t xml:space="preserve">proof stress </w:t>
            </w:r>
            <w:r w:rsidRPr="009D3012">
              <w:rPr>
                <w:rStyle w:val="CCMCvariableitalic"/>
                <w:lang w:val="en-US"/>
              </w:rPr>
              <w:t>f</w:t>
            </w:r>
            <w:r w:rsidRPr="009D3012">
              <w:rPr>
                <w:rStyle w:val="CCMCvariablesubscript"/>
                <w:lang w:val="en-US"/>
              </w:rPr>
              <w:t>p0,1k</w:t>
            </w:r>
            <w:r w:rsidRPr="009D3012">
              <w:rPr>
                <w:lang w:val="en-US"/>
              </w:rPr>
              <w:t xml:space="preserve"> [MPa] </w:t>
            </w:r>
          </w:p>
        </w:tc>
        <w:tc>
          <w:tcPr>
            <w:tcW w:w="985" w:type="dxa"/>
            <w:vAlign w:val="center"/>
          </w:tcPr>
          <w:p w14:paraId="3C220D31" w14:textId="77777777" w:rsidR="004E22C1" w:rsidRPr="001455DC" w:rsidRDefault="004E22C1" w:rsidP="00DC0C50">
            <w:pPr>
              <w:pStyle w:val="Tablebody"/>
              <w:jc w:val="center"/>
            </w:pPr>
            <w:r w:rsidRPr="001455DC">
              <w:t>1550</w:t>
            </w:r>
          </w:p>
        </w:tc>
        <w:tc>
          <w:tcPr>
            <w:tcW w:w="985" w:type="dxa"/>
            <w:vAlign w:val="center"/>
          </w:tcPr>
          <w:p w14:paraId="0160EA58" w14:textId="77777777" w:rsidR="004E22C1" w:rsidRPr="001455DC" w:rsidRDefault="004E22C1" w:rsidP="00DC0C50">
            <w:pPr>
              <w:pStyle w:val="Tablebody"/>
              <w:jc w:val="center"/>
            </w:pPr>
            <w:r w:rsidRPr="001455DC">
              <w:t>1650</w:t>
            </w:r>
          </w:p>
        </w:tc>
        <w:tc>
          <w:tcPr>
            <w:tcW w:w="985" w:type="dxa"/>
            <w:vAlign w:val="center"/>
          </w:tcPr>
          <w:p w14:paraId="7E0AE7C4" w14:textId="77777777" w:rsidR="004E22C1" w:rsidRPr="001455DC" w:rsidRDefault="004E22C1" w:rsidP="00DC0C50">
            <w:pPr>
              <w:pStyle w:val="Tablebody"/>
              <w:jc w:val="center"/>
            </w:pPr>
            <w:r w:rsidRPr="001455DC">
              <w:t>1740</w:t>
            </w:r>
          </w:p>
        </w:tc>
        <w:tc>
          <w:tcPr>
            <w:tcW w:w="985" w:type="dxa"/>
            <w:vAlign w:val="center"/>
          </w:tcPr>
          <w:p w14:paraId="036A3415" w14:textId="77777777" w:rsidR="004E22C1" w:rsidRPr="001455DC" w:rsidRDefault="004E22C1" w:rsidP="00DC0C50">
            <w:pPr>
              <w:pStyle w:val="Tablebody"/>
              <w:jc w:val="center"/>
            </w:pPr>
            <w:r w:rsidRPr="001455DC">
              <w:t>1810</w:t>
            </w:r>
          </w:p>
        </w:tc>
      </w:tr>
      <w:tr w:rsidR="004E22C1" w:rsidRPr="001455DC" w14:paraId="6FEF6CCA" w14:textId="77777777" w:rsidTr="00DC0C50">
        <w:tc>
          <w:tcPr>
            <w:tcW w:w="4577" w:type="dxa"/>
            <w:vAlign w:val="center"/>
          </w:tcPr>
          <w:p w14:paraId="2C960912" w14:textId="77777777" w:rsidR="004E22C1" w:rsidRPr="001455DC" w:rsidRDefault="004E22C1" w:rsidP="00DC0C50">
            <w:pPr>
              <w:pStyle w:val="Tablebody"/>
              <w:jc w:val="left"/>
            </w:pPr>
            <w:r w:rsidRPr="001455DC">
              <w:t xml:space="preserve">tensile strength </w:t>
            </w:r>
            <w:r w:rsidRPr="001455DC">
              <w:rPr>
                <w:rStyle w:val="CCMCvariableitalic"/>
              </w:rPr>
              <w:t>f</w:t>
            </w:r>
            <w:r w:rsidRPr="001455DC">
              <w:rPr>
                <w:rStyle w:val="CCMCvariablesubscript"/>
              </w:rPr>
              <w:t>pk</w:t>
            </w:r>
            <w:r w:rsidRPr="001455DC">
              <w:t xml:space="preserve"> [MPa]</w:t>
            </w:r>
          </w:p>
        </w:tc>
        <w:tc>
          <w:tcPr>
            <w:tcW w:w="985" w:type="dxa"/>
            <w:vAlign w:val="center"/>
          </w:tcPr>
          <w:p w14:paraId="12E6B043" w14:textId="77777777" w:rsidR="004E22C1" w:rsidRPr="001455DC" w:rsidRDefault="004E22C1" w:rsidP="00DC0C50">
            <w:pPr>
              <w:pStyle w:val="Tablebody"/>
              <w:jc w:val="center"/>
            </w:pPr>
            <w:r w:rsidRPr="001455DC">
              <w:t>1770</w:t>
            </w:r>
          </w:p>
        </w:tc>
        <w:tc>
          <w:tcPr>
            <w:tcW w:w="985" w:type="dxa"/>
            <w:vAlign w:val="center"/>
          </w:tcPr>
          <w:p w14:paraId="3704C113" w14:textId="77777777" w:rsidR="004E22C1" w:rsidRPr="001455DC" w:rsidRDefault="004E22C1" w:rsidP="00DC0C50">
            <w:pPr>
              <w:pStyle w:val="Tablebody"/>
              <w:jc w:val="center"/>
            </w:pPr>
            <w:r w:rsidRPr="001455DC">
              <w:t>1860</w:t>
            </w:r>
          </w:p>
        </w:tc>
        <w:tc>
          <w:tcPr>
            <w:tcW w:w="985" w:type="dxa"/>
            <w:vAlign w:val="center"/>
          </w:tcPr>
          <w:p w14:paraId="4C6FBB5C" w14:textId="77777777" w:rsidR="004E22C1" w:rsidRPr="001455DC" w:rsidRDefault="004E22C1" w:rsidP="00DC0C50">
            <w:pPr>
              <w:pStyle w:val="Tablebody"/>
              <w:jc w:val="center"/>
            </w:pPr>
            <w:r w:rsidRPr="001455DC">
              <w:t>1960</w:t>
            </w:r>
          </w:p>
        </w:tc>
        <w:tc>
          <w:tcPr>
            <w:tcW w:w="985" w:type="dxa"/>
            <w:vAlign w:val="center"/>
          </w:tcPr>
          <w:p w14:paraId="7573A0DE" w14:textId="77777777" w:rsidR="004E22C1" w:rsidRPr="001455DC" w:rsidRDefault="004E22C1" w:rsidP="00DC0C50">
            <w:pPr>
              <w:pStyle w:val="Tablebody"/>
              <w:jc w:val="center"/>
            </w:pPr>
            <w:r w:rsidRPr="001455DC">
              <w:t>2060</w:t>
            </w:r>
          </w:p>
        </w:tc>
      </w:tr>
      <w:tr w:rsidR="004E22C1" w:rsidRPr="001455DC" w14:paraId="3035031D" w14:textId="77777777" w:rsidTr="00DC0C50">
        <w:tc>
          <w:tcPr>
            <w:tcW w:w="4577" w:type="dxa"/>
            <w:vMerge w:val="restart"/>
            <w:vAlign w:val="center"/>
          </w:tcPr>
          <w:p w14:paraId="4F2D833C" w14:textId="4676B8B4" w:rsidR="004E22C1" w:rsidRPr="001455DC" w:rsidRDefault="00DC0C50" w:rsidP="00DC0C50">
            <w:pPr>
              <w:pStyle w:val="Tablebody"/>
              <w:jc w:val="left"/>
            </w:pPr>
            <w:r w:rsidRPr="001455DC">
              <w:t> </w:t>
            </w:r>
          </w:p>
        </w:tc>
        <w:tc>
          <w:tcPr>
            <w:tcW w:w="3940" w:type="dxa"/>
            <w:gridSpan w:val="4"/>
            <w:vAlign w:val="center"/>
          </w:tcPr>
          <w:p w14:paraId="20106665" w14:textId="6DB4CADC" w:rsidR="004E22C1" w:rsidRPr="001455DC" w:rsidRDefault="004E22C1" w:rsidP="00DC0C50">
            <w:pPr>
              <w:pStyle w:val="Tableheader"/>
            </w:pPr>
            <w:r w:rsidRPr="001455DC">
              <w:t>(c)</w:t>
            </w:r>
            <w:r w:rsidR="00DC0C50" w:rsidRPr="001455DC">
              <w:t xml:space="preserve"> </w:t>
            </w:r>
            <w:r w:rsidRPr="001455DC">
              <w:t>Bars</w:t>
            </w:r>
            <w:r w:rsidRPr="001455DC">
              <w:rPr>
                <w:rStyle w:val="CCMCvariablesuperscript"/>
                <w:b w:val="0"/>
                <w:bCs/>
              </w:rPr>
              <w:t>a</w:t>
            </w:r>
          </w:p>
        </w:tc>
      </w:tr>
      <w:tr w:rsidR="004E22C1" w:rsidRPr="001455DC" w14:paraId="3FCFA062" w14:textId="77777777" w:rsidTr="00DC0C50">
        <w:tc>
          <w:tcPr>
            <w:tcW w:w="4577" w:type="dxa"/>
            <w:vMerge/>
            <w:vAlign w:val="center"/>
          </w:tcPr>
          <w:p w14:paraId="7CC541E1" w14:textId="77777777" w:rsidR="004E22C1" w:rsidRPr="001455DC" w:rsidRDefault="004E22C1" w:rsidP="00DC0C50">
            <w:pPr>
              <w:pStyle w:val="Tablebody"/>
              <w:jc w:val="left"/>
            </w:pPr>
          </w:p>
        </w:tc>
        <w:tc>
          <w:tcPr>
            <w:tcW w:w="985" w:type="dxa"/>
            <w:vAlign w:val="center"/>
          </w:tcPr>
          <w:p w14:paraId="367D467B" w14:textId="77777777" w:rsidR="004E22C1" w:rsidRPr="001455DC" w:rsidRDefault="004E22C1" w:rsidP="00DC0C50">
            <w:pPr>
              <w:pStyle w:val="Tableheader"/>
            </w:pPr>
            <w:r w:rsidRPr="001455DC">
              <w:t>Y1030</w:t>
            </w:r>
          </w:p>
        </w:tc>
        <w:tc>
          <w:tcPr>
            <w:tcW w:w="985" w:type="dxa"/>
            <w:vAlign w:val="center"/>
          </w:tcPr>
          <w:p w14:paraId="7F05AC54" w14:textId="77777777" w:rsidR="004E22C1" w:rsidRPr="001455DC" w:rsidRDefault="004E22C1" w:rsidP="00DC0C50">
            <w:pPr>
              <w:pStyle w:val="Tableheader"/>
            </w:pPr>
            <w:r w:rsidRPr="001455DC">
              <w:t>Y1050</w:t>
            </w:r>
          </w:p>
        </w:tc>
        <w:tc>
          <w:tcPr>
            <w:tcW w:w="985" w:type="dxa"/>
            <w:vAlign w:val="center"/>
          </w:tcPr>
          <w:p w14:paraId="17B115F1" w14:textId="77777777" w:rsidR="004E22C1" w:rsidRPr="001455DC" w:rsidRDefault="004E22C1" w:rsidP="00DC0C50">
            <w:pPr>
              <w:pStyle w:val="Tableheader"/>
            </w:pPr>
            <w:r w:rsidRPr="001455DC">
              <w:t>Y1100</w:t>
            </w:r>
          </w:p>
        </w:tc>
        <w:tc>
          <w:tcPr>
            <w:tcW w:w="985" w:type="dxa"/>
            <w:vAlign w:val="center"/>
          </w:tcPr>
          <w:p w14:paraId="7FA3891A" w14:textId="77777777" w:rsidR="004E22C1" w:rsidRPr="001455DC" w:rsidRDefault="004E22C1" w:rsidP="00DC0C50">
            <w:pPr>
              <w:pStyle w:val="Tableheader"/>
            </w:pPr>
            <w:r w:rsidRPr="001455DC">
              <w:t>Y1230</w:t>
            </w:r>
          </w:p>
        </w:tc>
      </w:tr>
      <w:tr w:rsidR="004E22C1" w:rsidRPr="001455DC" w14:paraId="44B1432F" w14:textId="77777777" w:rsidTr="00DC0C50">
        <w:tc>
          <w:tcPr>
            <w:tcW w:w="4577" w:type="dxa"/>
            <w:vAlign w:val="center"/>
          </w:tcPr>
          <w:p w14:paraId="1B48A5D9" w14:textId="644435F2" w:rsidR="004E22C1" w:rsidRPr="009D3012" w:rsidRDefault="004E22C1" w:rsidP="00DC0C50">
            <w:pPr>
              <w:pStyle w:val="Tablebody"/>
              <w:jc w:val="left"/>
              <w:rPr>
                <w:lang w:val="en-US"/>
              </w:rPr>
            </w:pPr>
            <w:r w:rsidRPr="009D3012">
              <w:rPr>
                <w:lang w:val="en-US"/>
              </w:rPr>
              <w:t xml:space="preserve">proof stress </w:t>
            </w:r>
            <w:r w:rsidRPr="009D3012">
              <w:rPr>
                <w:rStyle w:val="CCMCvariableitalic"/>
                <w:lang w:val="en-US"/>
              </w:rPr>
              <w:t>f</w:t>
            </w:r>
            <w:r w:rsidRPr="009D3012">
              <w:rPr>
                <w:rStyle w:val="CCMCvariablesubscript"/>
                <w:lang w:val="en-US"/>
              </w:rPr>
              <w:t>p0,1k</w:t>
            </w:r>
            <w:r w:rsidRPr="009D3012">
              <w:rPr>
                <w:lang w:val="en-US"/>
              </w:rPr>
              <w:t xml:space="preserve"> [MPa]</w:t>
            </w:r>
          </w:p>
        </w:tc>
        <w:tc>
          <w:tcPr>
            <w:tcW w:w="985" w:type="dxa"/>
            <w:vAlign w:val="center"/>
          </w:tcPr>
          <w:p w14:paraId="4D0F2BEE" w14:textId="77777777" w:rsidR="004E22C1" w:rsidRPr="001455DC" w:rsidRDefault="004E22C1" w:rsidP="00DC0C50">
            <w:pPr>
              <w:pStyle w:val="Tablebody"/>
              <w:jc w:val="center"/>
            </w:pPr>
            <w:r w:rsidRPr="001455DC">
              <w:t>830</w:t>
            </w:r>
          </w:p>
        </w:tc>
        <w:tc>
          <w:tcPr>
            <w:tcW w:w="985" w:type="dxa"/>
            <w:vAlign w:val="center"/>
          </w:tcPr>
          <w:p w14:paraId="5A1528D8" w14:textId="77777777" w:rsidR="004E22C1" w:rsidRPr="001455DC" w:rsidRDefault="004E22C1" w:rsidP="00DC0C50">
            <w:pPr>
              <w:pStyle w:val="Tablebody"/>
              <w:jc w:val="center"/>
            </w:pPr>
            <w:r w:rsidRPr="001455DC">
              <w:t>950</w:t>
            </w:r>
          </w:p>
        </w:tc>
        <w:tc>
          <w:tcPr>
            <w:tcW w:w="985" w:type="dxa"/>
            <w:vAlign w:val="center"/>
          </w:tcPr>
          <w:p w14:paraId="78CCC912" w14:textId="77777777" w:rsidR="004E22C1" w:rsidRPr="001455DC" w:rsidRDefault="004E22C1" w:rsidP="00DC0C50">
            <w:pPr>
              <w:pStyle w:val="Tablebody"/>
              <w:jc w:val="center"/>
            </w:pPr>
            <w:r w:rsidRPr="001455DC">
              <w:t>890</w:t>
            </w:r>
          </w:p>
        </w:tc>
        <w:tc>
          <w:tcPr>
            <w:tcW w:w="985" w:type="dxa"/>
            <w:vAlign w:val="center"/>
          </w:tcPr>
          <w:p w14:paraId="634AB93D" w14:textId="77777777" w:rsidR="004E22C1" w:rsidRPr="001455DC" w:rsidRDefault="004E22C1" w:rsidP="00DC0C50">
            <w:pPr>
              <w:pStyle w:val="Tablebody"/>
              <w:jc w:val="center"/>
            </w:pPr>
            <w:r w:rsidRPr="001455DC">
              <w:t>1080</w:t>
            </w:r>
          </w:p>
        </w:tc>
      </w:tr>
      <w:tr w:rsidR="004E22C1" w:rsidRPr="001455DC" w14:paraId="3316048E" w14:textId="77777777" w:rsidTr="00DC0C50">
        <w:tc>
          <w:tcPr>
            <w:tcW w:w="4577" w:type="dxa"/>
            <w:tcBorders>
              <w:bottom w:val="single" w:sz="12" w:space="0" w:color="000000"/>
            </w:tcBorders>
            <w:vAlign w:val="center"/>
          </w:tcPr>
          <w:p w14:paraId="5F6B3CBC" w14:textId="77777777" w:rsidR="004E22C1" w:rsidRPr="001455DC" w:rsidRDefault="004E22C1" w:rsidP="00DC0C50">
            <w:pPr>
              <w:pStyle w:val="Tablebody"/>
              <w:jc w:val="left"/>
            </w:pPr>
            <w:r w:rsidRPr="001455DC">
              <w:t xml:space="preserve">tensile strength </w:t>
            </w:r>
            <w:r w:rsidRPr="001455DC">
              <w:rPr>
                <w:rStyle w:val="CCMCvariableitalic"/>
              </w:rPr>
              <w:t>f</w:t>
            </w:r>
            <w:r w:rsidRPr="001455DC">
              <w:rPr>
                <w:rStyle w:val="CCMCvariablesubscript"/>
              </w:rPr>
              <w:t>pk</w:t>
            </w:r>
            <w:r w:rsidRPr="001455DC">
              <w:t xml:space="preserve"> [MPa]</w:t>
            </w:r>
          </w:p>
        </w:tc>
        <w:tc>
          <w:tcPr>
            <w:tcW w:w="985" w:type="dxa"/>
            <w:tcBorders>
              <w:bottom w:val="single" w:sz="12" w:space="0" w:color="000000"/>
            </w:tcBorders>
            <w:vAlign w:val="center"/>
          </w:tcPr>
          <w:p w14:paraId="3005F042" w14:textId="77777777" w:rsidR="004E22C1" w:rsidRPr="001455DC" w:rsidRDefault="004E22C1" w:rsidP="00DC0C50">
            <w:pPr>
              <w:pStyle w:val="Tablebody"/>
              <w:jc w:val="center"/>
            </w:pPr>
            <w:r w:rsidRPr="001455DC">
              <w:t>1030</w:t>
            </w:r>
          </w:p>
        </w:tc>
        <w:tc>
          <w:tcPr>
            <w:tcW w:w="985" w:type="dxa"/>
            <w:tcBorders>
              <w:bottom w:val="single" w:sz="12" w:space="0" w:color="000000"/>
            </w:tcBorders>
            <w:vAlign w:val="center"/>
          </w:tcPr>
          <w:p w14:paraId="6EDEE665" w14:textId="77777777" w:rsidR="004E22C1" w:rsidRPr="001455DC" w:rsidRDefault="004E22C1" w:rsidP="00DC0C50">
            <w:pPr>
              <w:pStyle w:val="Tablebody"/>
              <w:jc w:val="center"/>
            </w:pPr>
            <w:r w:rsidRPr="001455DC">
              <w:t>1050</w:t>
            </w:r>
          </w:p>
        </w:tc>
        <w:tc>
          <w:tcPr>
            <w:tcW w:w="985" w:type="dxa"/>
            <w:tcBorders>
              <w:bottom w:val="single" w:sz="12" w:space="0" w:color="000000"/>
            </w:tcBorders>
            <w:vAlign w:val="center"/>
          </w:tcPr>
          <w:p w14:paraId="7839A966" w14:textId="77777777" w:rsidR="004E22C1" w:rsidRPr="001455DC" w:rsidRDefault="004E22C1" w:rsidP="00DC0C50">
            <w:pPr>
              <w:pStyle w:val="Tablebody"/>
              <w:jc w:val="center"/>
            </w:pPr>
            <w:r w:rsidRPr="001455DC">
              <w:t>1100</w:t>
            </w:r>
          </w:p>
        </w:tc>
        <w:tc>
          <w:tcPr>
            <w:tcW w:w="985" w:type="dxa"/>
            <w:tcBorders>
              <w:bottom w:val="single" w:sz="12" w:space="0" w:color="000000"/>
            </w:tcBorders>
            <w:vAlign w:val="center"/>
          </w:tcPr>
          <w:p w14:paraId="57249FDF" w14:textId="77777777" w:rsidR="004E22C1" w:rsidRPr="001455DC" w:rsidRDefault="004E22C1" w:rsidP="00DC0C50">
            <w:pPr>
              <w:pStyle w:val="Tablebody"/>
              <w:jc w:val="center"/>
            </w:pPr>
            <w:r w:rsidRPr="001455DC">
              <w:t>1230</w:t>
            </w:r>
          </w:p>
        </w:tc>
      </w:tr>
      <w:tr w:rsidR="004E22C1" w:rsidRPr="001455DC" w14:paraId="6717494F" w14:textId="77777777" w:rsidTr="00BD7B75">
        <w:tc>
          <w:tcPr>
            <w:tcW w:w="8517" w:type="dxa"/>
            <w:gridSpan w:val="5"/>
            <w:tcBorders>
              <w:top w:val="single" w:sz="12" w:space="0" w:color="000000"/>
              <w:bottom w:val="single" w:sz="12" w:space="0" w:color="auto"/>
            </w:tcBorders>
          </w:tcPr>
          <w:p w14:paraId="5F7875D9" w14:textId="686AC7D9" w:rsidR="004E22C1" w:rsidRPr="009D3012" w:rsidRDefault="004E22C1" w:rsidP="00BD7B75">
            <w:pPr>
              <w:pStyle w:val="Tablefooternote"/>
              <w:tabs>
                <w:tab w:val="clear" w:pos="680"/>
                <w:tab w:val="left" w:pos="851"/>
              </w:tabs>
              <w:rPr>
                <w:lang w:val="en-US"/>
              </w:rPr>
            </w:pPr>
            <w:r w:rsidRPr="009D3012">
              <w:rPr>
                <w:lang w:val="en-US"/>
              </w:rPr>
              <w:t>NOTE 1</w:t>
            </w:r>
            <w:r w:rsidRPr="009D3012">
              <w:rPr>
                <w:lang w:val="en-US"/>
              </w:rPr>
              <w:tab/>
              <w:t>All strength classes apply unless a National Annex excludes specific classes. Intermediate strength classes can be used, if included in a National Annex.</w:t>
            </w:r>
          </w:p>
          <w:p w14:paraId="2B4DEA03" w14:textId="540A8893" w:rsidR="004E22C1" w:rsidRPr="009D3012" w:rsidRDefault="004E22C1">
            <w:pPr>
              <w:pStyle w:val="Tablefooternote"/>
              <w:tabs>
                <w:tab w:val="clear" w:pos="680"/>
                <w:tab w:val="left" w:pos="851"/>
              </w:tabs>
              <w:rPr>
                <w:lang w:val="en-US"/>
              </w:rPr>
            </w:pPr>
            <w:r w:rsidRPr="009D3012">
              <w:rPr>
                <w:lang w:val="en-US"/>
              </w:rPr>
              <w:t>NOTE 2</w:t>
            </w:r>
            <w:r w:rsidRPr="009D3012">
              <w:rPr>
                <w:lang w:val="en-US"/>
              </w:rPr>
              <w:tab/>
              <w:t>For requirements to classify steel products see C.</w:t>
            </w:r>
            <w:r w:rsidR="002B64DF" w:rsidRPr="001455DC">
              <w:rPr>
                <w:lang w:val="en-US"/>
              </w:rPr>
              <w:t>5</w:t>
            </w:r>
            <w:r w:rsidRPr="009D3012">
              <w:rPr>
                <w:lang w:val="en-US"/>
              </w:rPr>
              <w:t>.</w:t>
            </w:r>
          </w:p>
        </w:tc>
      </w:tr>
      <w:tr w:rsidR="00BD7B75" w:rsidRPr="001455DC" w14:paraId="462C9A7F" w14:textId="77777777" w:rsidTr="00BD7B75">
        <w:trPr>
          <w:cnfStyle w:val="010000000000" w:firstRow="0" w:lastRow="1" w:firstColumn="0" w:lastColumn="0" w:oddVBand="0" w:evenVBand="0" w:oddHBand="0" w:evenHBand="0" w:firstRowFirstColumn="0" w:firstRowLastColumn="0" w:lastRowFirstColumn="0" w:lastRowLastColumn="0"/>
        </w:trPr>
        <w:tc>
          <w:tcPr>
            <w:tcW w:w="8517" w:type="dxa"/>
            <w:gridSpan w:val="5"/>
          </w:tcPr>
          <w:p w14:paraId="778F0E82" w14:textId="06CAC4A0" w:rsidR="00BD7B75" w:rsidRPr="009D3012" w:rsidRDefault="00BD7B75" w:rsidP="00BD7B75">
            <w:pPr>
              <w:pStyle w:val="Tablefooter"/>
              <w:rPr>
                <w:rStyle w:val="CCMCvariablesuperscript"/>
                <w:lang w:val="en-US"/>
              </w:rPr>
            </w:pPr>
            <w:r w:rsidRPr="009D3012">
              <w:rPr>
                <w:rStyle w:val="CCMCvariablesuperscript"/>
                <w:lang w:val="en-US"/>
              </w:rPr>
              <w:t>a</w:t>
            </w:r>
            <w:r w:rsidRPr="009D3012">
              <w:rPr>
                <w:lang w:val="en-US"/>
              </w:rPr>
              <w:tab/>
            </w:r>
            <w:r w:rsidRPr="009D3012">
              <w:rPr>
                <w:iCs/>
                <w:lang w:val="en-US"/>
              </w:rPr>
              <w:t xml:space="preserve">In all strength classes, ductility value of </w:t>
            </w:r>
            <w:r w:rsidRPr="009D3012">
              <w:rPr>
                <w:rStyle w:val="CCMCvariableitalic"/>
                <w:lang w:val="en-US"/>
              </w:rPr>
              <w:t>k</w:t>
            </w:r>
            <w:r w:rsidRPr="009D3012">
              <w:rPr>
                <w:lang w:val="en-US"/>
              </w:rPr>
              <w:t> </w:t>
            </w:r>
            <w:r w:rsidR="00EC27D2" w:rsidRPr="009D3012">
              <w:rPr>
                <w:rFonts w:ascii="Cambria Math" w:hAnsi="Cambria Math"/>
                <w:lang w:val="en-US"/>
              </w:rPr>
              <w:t>=</w:t>
            </w:r>
            <w:r w:rsidRPr="009D3012">
              <w:rPr>
                <w:lang w:val="en-US"/>
              </w:rPr>
              <w:t> (</w:t>
            </w:r>
            <w:r w:rsidRPr="009D3012">
              <w:rPr>
                <w:rStyle w:val="CCMCvariableitalic"/>
                <w:lang w:val="en-US"/>
              </w:rPr>
              <w:t>f</w:t>
            </w:r>
            <w:r w:rsidRPr="009D3012">
              <w:rPr>
                <w:rStyle w:val="CCMCvariablesubscript"/>
                <w:lang w:val="en-US"/>
              </w:rPr>
              <w:t>pk</w:t>
            </w:r>
            <w:r w:rsidRPr="009D3012">
              <w:rPr>
                <w:lang w:val="en-US"/>
              </w:rPr>
              <w:t>/</w:t>
            </w:r>
            <w:r w:rsidRPr="009D3012">
              <w:rPr>
                <w:rStyle w:val="CCMCvariableitalic"/>
                <w:lang w:val="en-US"/>
              </w:rPr>
              <w:t>f</w:t>
            </w:r>
            <w:r w:rsidRPr="009D3012">
              <w:rPr>
                <w:rStyle w:val="CCMCvariablesubscript"/>
                <w:lang w:val="en-US"/>
              </w:rPr>
              <w:t>p0,1k</w:t>
            </w:r>
            <w:r w:rsidRPr="009D3012">
              <w:rPr>
                <w:lang w:val="en-US"/>
              </w:rPr>
              <w:t>) </w:t>
            </w:r>
            <w:r w:rsidR="00EC27D2" w:rsidRPr="009D3012">
              <w:rPr>
                <w:rFonts w:ascii="Cambria Math" w:hAnsi="Cambria Math"/>
                <w:lang w:val="en-US"/>
              </w:rPr>
              <w:t>=</w:t>
            </w:r>
            <w:r w:rsidRPr="009D3012">
              <w:rPr>
                <w:lang w:val="en-US"/>
              </w:rPr>
              <w:t xml:space="preserve"> 1,1 and characteristic strain at maximum force </w:t>
            </w:r>
            <w:r w:rsidRPr="001455DC">
              <w:rPr>
                <w:rStyle w:val="CCMCvariableitalic"/>
              </w:rPr>
              <w:t>ε</w:t>
            </w:r>
            <w:r w:rsidRPr="009D3012">
              <w:rPr>
                <w:rStyle w:val="CCMCvariablesubscript"/>
                <w:lang w:val="en-US"/>
              </w:rPr>
              <w:t>uk</w:t>
            </w:r>
            <w:r w:rsidRPr="009D3012">
              <w:rPr>
                <w:lang w:val="en-US"/>
              </w:rPr>
              <w:t> </w:t>
            </w:r>
            <w:r w:rsidR="00EC27D2" w:rsidRPr="009D3012">
              <w:rPr>
                <w:rFonts w:ascii="Cambria Math" w:hAnsi="Cambria Math"/>
                <w:lang w:val="en-US"/>
              </w:rPr>
              <w:t>=</w:t>
            </w:r>
            <w:r w:rsidRPr="009D3012">
              <w:rPr>
                <w:lang w:val="en-US"/>
              </w:rPr>
              <w:t> 3,5 %.</w:t>
            </w:r>
          </w:p>
        </w:tc>
      </w:tr>
    </w:tbl>
    <w:p w14:paraId="03643BD6" w14:textId="77777777" w:rsidR="004E22C1" w:rsidRPr="001455DC" w:rsidRDefault="004E22C1" w:rsidP="00DC0C50">
      <w:pPr>
        <w:pStyle w:val="a7"/>
      </w:pPr>
    </w:p>
    <w:p w14:paraId="375835F1" w14:textId="33264472" w:rsidR="004E22C1" w:rsidRPr="001455DC" w:rsidRDefault="004E22C1" w:rsidP="00DC0C50">
      <w:pPr>
        <w:pStyle w:val="a7"/>
      </w:pPr>
      <w:r w:rsidRPr="001455DC">
        <w:t>(3)</w:t>
      </w:r>
      <w:r w:rsidRPr="001455DC">
        <w:tab/>
        <w:t>Prestressing steel suitable for design of concrete structures in accordance with this Eurocode shall satisfy the requirements of C.</w:t>
      </w:r>
      <w:r w:rsidR="002B64DF" w:rsidRPr="001455DC">
        <w:t>5</w:t>
      </w:r>
      <w:r w:rsidRPr="001455DC">
        <w:t>.</w:t>
      </w:r>
    </w:p>
    <w:p w14:paraId="5EBE6854" w14:textId="1C863A75" w:rsidR="004E22C1" w:rsidRPr="001455DC" w:rsidRDefault="004E22C1" w:rsidP="00DC0C50">
      <w:pPr>
        <w:pStyle w:val="a7"/>
      </w:pPr>
      <w:r w:rsidRPr="001455DC">
        <w:t>(4)</w:t>
      </w:r>
      <w:r w:rsidRPr="001455DC">
        <w:tab/>
        <w:t>More accurate information based on production data of the prestressing steel may be used in design such as e.g. stress-strain diagrams, modulus of elasticity and isothermal stress relaxation.</w:t>
      </w:r>
    </w:p>
    <w:p w14:paraId="49B5355B" w14:textId="4FF795C0" w:rsidR="004E22C1" w:rsidRPr="001455DC" w:rsidRDefault="004E22C1" w:rsidP="00243590">
      <w:pPr>
        <w:pStyle w:val="31"/>
      </w:pPr>
      <w:bookmarkStart w:id="306" w:name="_Toc52819916"/>
      <w:bookmarkStart w:id="307" w:name="_Toc54337316"/>
      <w:bookmarkStart w:id="308" w:name="_Toc54337974"/>
      <w:bookmarkStart w:id="309" w:name="_Toc67565337"/>
      <w:r w:rsidRPr="001455DC">
        <w:t>Design assumptions</w:t>
      </w:r>
      <w:bookmarkEnd w:id="306"/>
      <w:bookmarkEnd w:id="307"/>
      <w:bookmarkEnd w:id="308"/>
      <w:bookmarkEnd w:id="309"/>
    </w:p>
    <w:p w14:paraId="47CCD1E7" w14:textId="5E1CA978" w:rsidR="004E22C1" w:rsidRPr="001455DC" w:rsidRDefault="004E22C1" w:rsidP="00DC0C50">
      <w:pPr>
        <w:pStyle w:val="a7"/>
      </w:pPr>
      <w:r w:rsidRPr="001455DC">
        <w:t>(1)</w:t>
      </w:r>
      <w:r w:rsidRPr="001455DC">
        <w:tab/>
        <w:t>Design should be based on the nominal cross</w:t>
      </w:r>
      <w:r w:rsidR="00B10711" w:rsidRPr="001455DC">
        <w:t xml:space="preserve"> </w:t>
      </w:r>
      <w:r w:rsidRPr="001455DC">
        <w:t>section area of the prestressing steel and the design values derived from the characteristic values given in 5.3.2 with:</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DC0C50" w:rsidRPr="001455DC" w14:paraId="2DB56485" w14:textId="77777777" w:rsidTr="00DC0C50">
        <w:trPr>
          <w:cantSplit/>
        </w:trPr>
        <w:tc>
          <w:tcPr>
            <w:tcW w:w="8505" w:type="dxa"/>
            <w:vAlign w:val="center"/>
          </w:tcPr>
          <w:p w14:paraId="74481D07" w14:textId="2FB5E3F8" w:rsidR="00DC0C50" w:rsidRPr="001455DC" w:rsidRDefault="00DC0C50" w:rsidP="00DC0C50">
            <w:pPr>
              <w:pStyle w:val="Formula"/>
              <w:jc w:val="left"/>
            </w:pPr>
            <w:r w:rsidRPr="001455DC">
              <w:rPr>
                <w:rStyle w:val="CCMCvariableitalic"/>
              </w:rPr>
              <w:t>f</w:t>
            </w:r>
            <w:r w:rsidRPr="001455DC">
              <w:rPr>
                <w:rStyle w:val="CCMCvariablesubscript"/>
              </w:rPr>
              <w:t>pd</w:t>
            </w:r>
            <w:r w:rsidRPr="001455DC">
              <w:t> </w:t>
            </w:r>
            <w:r w:rsidR="00EC27D2" w:rsidRPr="001455DC">
              <w:rPr>
                <w:rFonts w:ascii="Cambria Math" w:hAnsi="Cambria Math"/>
              </w:rPr>
              <w:t>=</w:t>
            </w:r>
            <w:r w:rsidRPr="001455DC">
              <w:t> </w:t>
            </w:r>
            <w:r w:rsidRPr="001455DC">
              <w:rPr>
                <w:rStyle w:val="CCMCvariableitalic"/>
              </w:rPr>
              <w:t>f</w:t>
            </w:r>
            <w:r w:rsidRPr="001455DC">
              <w:rPr>
                <w:rStyle w:val="CCMCvariablesubscript"/>
              </w:rPr>
              <w:t>p0,1k</w:t>
            </w:r>
            <w:r w:rsidRPr="001455DC">
              <w:t>/</w:t>
            </w:r>
            <w:r w:rsidRPr="001455DC">
              <w:rPr>
                <w:rStyle w:val="CCMCvariableitalic"/>
              </w:rPr>
              <w:t>γ</w:t>
            </w:r>
            <w:r w:rsidRPr="001455DC">
              <w:rPr>
                <w:rStyle w:val="CCMCvariablesubscript"/>
              </w:rPr>
              <w:t>S</w:t>
            </w:r>
          </w:p>
        </w:tc>
        <w:tc>
          <w:tcPr>
            <w:tcW w:w="1247" w:type="dxa"/>
            <w:vAlign w:val="center"/>
          </w:tcPr>
          <w:p w14:paraId="0D8E789A" w14:textId="20FC4157" w:rsidR="00DC0C50" w:rsidRPr="001455DC" w:rsidRDefault="00DC0C50" w:rsidP="00DC0C50">
            <w:pPr>
              <w:pStyle w:val="a7"/>
              <w:jc w:val="right"/>
            </w:pPr>
            <w:r w:rsidRPr="001455DC">
              <w:t>(5.12)</w:t>
            </w:r>
          </w:p>
        </w:tc>
      </w:tr>
    </w:tbl>
    <w:p w14:paraId="0DD2E545" w14:textId="77777777" w:rsidR="004E22C1" w:rsidRPr="001455DC" w:rsidRDefault="004E22C1" w:rsidP="00C74721">
      <w:pPr>
        <w:pStyle w:val="a7"/>
        <w:keepNext/>
      </w:pPr>
      <w:r w:rsidRPr="001455DC">
        <w:t>(2)</w:t>
      </w:r>
      <w:r w:rsidRPr="001455DC">
        <w:tab/>
        <w:t>For design, either of the following assumptions may be made (see Figure 5.3):</w:t>
      </w:r>
    </w:p>
    <w:p w14:paraId="6EB2473A" w14:textId="6638796F" w:rsidR="004E22C1" w:rsidRPr="001455DC" w:rsidRDefault="004E22C1" w:rsidP="00082680">
      <w:pPr>
        <w:pStyle w:val="a0"/>
        <w:numPr>
          <w:ilvl w:val="0"/>
          <w:numId w:val="17"/>
        </w:numPr>
      </w:pPr>
      <w:r w:rsidRPr="001455DC">
        <w:t xml:space="preserve">an inclined post-elastic branch, with a strain limit </w:t>
      </w:r>
      <w:r w:rsidRPr="001455DC">
        <w:rPr>
          <w:rStyle w:val="CCMCvariableitalic"/>
        </w:rPr>
        <w:t>ε</w:t>
      </w:r>
      <w:r w:rsidRPr="001455DC">
        <w:rPr>
          <w:rStyle w:val="CCMCvariablesubscript"/>
        </w:rPr>
        <w:t>ud</w:t>
      </w:r>
      <w:r w:rsidRPr="001455DC">
        <w:t> </w:t>
      </w:r>
      <w:r w:rsidR="00650035" w:rsidRPr="001455DC">
        <w:rPr>
          <w:rFonts w:ascii="Cambria Math" w:hAnsi="Cambria Math"/>
        </w:rPr>
        <w:t>≤</w:t>
      </w:r>
      <w:r w:rsidRPr="001455DC">
        <w:t> 0,9</w:t>
      </w:r>
      <w:r w:rsidRPr="001455DC">
        <w:rPr>
          <w:rStyle w:val="CCMCvariableitalic"/>
        </w:rPr>
        <w:t>ε</w:t>
      </w:r>
      <w:r w:rsidRPr="001455DC">
        <w:rPr>
          <w:rStyle w:val="CCMCvariablesubscript"/>
        </w:rPr>
        <w:t>uk</w:t>
      </w:r>
      <w:r w:rsidRPr="001455DC">
        <w:t xml:space="preserve"> and a maximum stress of </w:t>
      </w:r>
      <w:r w:rsidRPr="001455DC">
        <w:rPr>
          <w:rStyle w:val="CCMCvariableitalic"/>
        </w:rPr>
        <w:t>f</w:t>
      </w:r>
      <w:r w:rsidRPr="001455DC">
        <w:rPr>
          <w:rStyle w:val="CCMCvariablesubscript"/>
        </w:rPr>
        <w:t>pk</w:t>
      </w:r>
      <w:r w:rsidRPr="001455DC">
        <w:t>/</w:t>
      </w:r>
      <w:r w:rsidRPr="001455DC">
        <w:rPr>
          <w:rStyle w:val="CCMCvariableitalic"/>
        </w:rPr>
        <w:t>γ</w:t>
      </w:r>
      <w:r w:rsidRPr="001455DC">
        <w:rPr>
          <w:rStyle w:val="CCMCvariablesubscript"/>
        </w:rPr>
        <w:t>S</w:t>
      </w:r>
      <w:r w:rsidRPr="001455DC">
        <w:t xml:space="preserve"> at </w:t>
      </w:r>
      <w:r w:rsidRPr="001455DC">
        <w:rPr>
          <w:rStyle w:val="CCMCvariableitalic"/>
        </w:rPr>
        <w:t>ε</w:t>
      </w:r>
      <w:r w:rsidRPr="001455DC">
        <w:rPr>
          <w:rStyle w:val="CCMCvariablesubscript"/>
        </w:rPr>
        <w:t>uk</w:t>
      </w:r>
      <w:r w:rsidRPr="001455DC">
        <w:t>.</w:t>
      </w:r>
    </w:p>
    <w:p w14:paraId="486380FE" w14:textId="1C0B7909" w:rsidR="004E22C1" w:rsidRPr="001455DC" w:rsidRDefault="004E22C1" w:rsidP="00082680">
      <w:pPr>
        <w:pStyle w:val="a0"/>
        <w:numPr>
          <w:ilvl w:val="0"/>
          <w:numId w:val="17"/>
        </w:numPr>
      </w:pPr>
      <w:r w:rsidRPr="001455DC">
        <w:t>or a horizontal post-elastic branch without strain limit.</w:t>
      </w:r>
    </w:p>
    <w:p w14:paraId="5502B948" w14:textId="7E2E83B6" w:rsidR="000C3015" w:rsidRDefault="00723CF7" w:rsidP="009D3012">
      <w:pPr>
        <w:pStyle w:val="KeyTitle"/>
        <w:jc w:val="center"/>
      </w:pPr>
      <w:r>
        <w:rPr>
          <w:noProof/>
          <w:lang w:eastAsia="en-GB"/>
        </w:rPr>
        <w:fldChar w:fldCharType="begin"/>
      </w:r>
      <w:r>
        <w:rPr>
          <w:noProof/>
          <w:lang w:eastAsia="en-GB"/>
        </w:rPr>
        <w:instrText xml:space="preserve"> INCLUDEPICTURE  "Y:\\STD_MGT\\STDDEL\\PRODUCTION\\etrans\\Download\\Z_FIRST_DEL\\SV\\00250\\00250269\\41_e_dr\\5_003.tif"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"Y:\\STD_MGT\\STDDEL\\PRODUCTION\\Standards\\00250\\269\\41_e_dr\\5_003.tif"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"Y:\\STD_MGT\\STDDEL\\PRODUCTION\\Standards\\00250\\269\\41_e_dr\\5_003.tif"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"Y:\\STD_MGT\\STDDEL\\PRODUCTION\\Standards\\00250\\269\\41_e_dr\\5_003.tif"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"Y:\\STD_MGT\\STDDEL\\PRODUCTION\\Standards\\00250\\269\\41_e_dr\\5_003.tif"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"Y:\\STD_MGT\\STDDEL\\PRODUCTION\\Standards\\00250\\269\\41_e_dr\\5_003.tif"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w:instrText>
      </w:r>
      <w:r w:rsidR="00231E33">
        <w:rPr>
          <w:noProof/>
          <w:lang w:eastAsia="en-GB"/>
        </w:rPr>
        <w:instrText>.dionysiou\\AppData\\Local\\Temp\\Temp1_00250269_e_20210902.zip.zip\\41_e_dr\\5_003.tif"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72AA0E2D">
          <v:shape id="_x0000_i1132" type="#_x0000_t75" style="width:158.25pt;height:133.5pt">
            <v:imagedata r:id="rId234" r:href="rId235"/>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2A1F3046" w14:textId="77777777" w:rsidR="00DC0C50" w:rsidRPr="001455DC" w:rsidRDefault="00DC0C50" w:rsidP="009D3012">
      <w:pPr>
        <w:pStyle w:val="KeyTitle"/>
        <w:jc w:val="left"/>
      </w:pPr>
      <w:r w:rsidRPr="001455DC">
        <w:t>Key</w:t>
      </w:r>
    </w:p>
    <w:tbl>
      <w:tblPr>
        <w:tblW w:w="9809" w:type="dxa"/>
        <w:tblLayout w:type="fixed"/>
        <w:tblCellMar>
          <w:left w:w="28" w:type="dxa"/>
          <w:right w:w="28" w:type="dxa"/>
        </w:tblCellMar>
        <w:tblLook w:val="0000" w:firstRow="0" w:lastRow="0" w:firstColumn="0" w:lastColumn="0" w:noHBand="0" w:noVBand="0"/>
      </w:tblPr>
      <w:tblGrid>
        <w:gridCol w:w="397"/>
        <w:gridCol w:w="9412"/>
      </w:tblGrid>
      <w:tr w:rsidR="00DC0C50" w:rsidRPr="001455DC" w14:paraId="224FE2D3" w14:textId="77777777" w:rsidTr="00DC0C50">
        <w:tc>
          <w:tcPr>
            <w:tcW w:w="397" w:type="dxa"/>
            <w:shd w:val="clear" w:color="auto" w:fill="auto"/>
          </w:tcPr>
          <w:p w14:paraId="098BB43E" w14:textId="31C63485" w:rsidR="00DC0C50" w:rsidRPr="001455DC" w:rsidRDefault="00DC0C50" w:rsidP="00DC0C50">
            <w:pPr>
              <w:pStyle w:val="KeyText"/>
              <w:tabs>
                <w:tab w:val="clear" w:pos="346"/>
              </w:tabs>
              <w:ind w:left="0" w:firstLine="0"/>
            </w:pPr>
            <w:r w:rsidRPr="001455DC">
              <w:t>1</w:t>
            </w:r>
          </w:p>
        </w:tc>
        <w:tc>
          <w:tcPr>
            <w:tcW w:w="9412" w:type="dxa"/>
            <w:shd w:val="clear" w:color="auto" w:fill="auto"/>
          </w:tcPr>
          <w:p w14:paraId="4F8E5496" w14:textId="1764F89C" w:rsidR="00DC0C50" w:rsidRPr="001455DC" w:rsidRDefault="00DC0C50" w:rsidP="00DC0C50">
            <w:pPr>
              <w:pStyle w:val="KeyText"/>
              <w:tabs>
                <w:tab w:val="clear" w:pos="346"/>
              </w:tabs>
              <w:ind w:left="0" w:firstLine="0"/>
            </w:pPr>
            <w:r w:rsidRPr="001455DC">
              <w:t>nominal diagram for reference</w:t>
            </w:r>
          </w:p>
        </w:tc>
      </w:tr>
      <w:tr w:rsidR="00DC0C50" w:rsidRPr="001455DC" w14:paraId="7A89B9B8" w14:textId="77777777" w:rsidTr="00DC0C50">
        <w:tc>
          <w:tcPr>
            <w:tcW w:w="397" w:type="dxa"/>
            <w:shd w:val="clear" w:color="auto" w:fill="auto"/>
          </w:tcPr>
          <w:p w14:paraId="6DBD7471" w14:textId="1BD99335" w:rsidR="00DC0C50" w:rsidRPr="001455DC" w:rsidRDefault="00DC0C50" w:rsidP="00DC0C50">
            <w:pPr>
              <w:pStyle w:val="KeyText"/>
              <w:tabs>
                <w:tab w:val="clear" w:pos="346"/>
              </w:tabs>
              <w:ind w:left="0" w:firstLine="0"/>
            </w:pPr>
            <w:r w:rsidRPr="001455DC">
              <w:t>2</w:t>
            </w:r>
          </w:p>
        </w:tc>
        <w:tc>
          <w:tcPr>
            <w:tcW w:w="9412" w:type="dxa"/>
            <w:shd w:val="clear" w:color="auto" w:fill="auto"/>
          </w:tcPr>
          <w:p w14:paraId="1829114F" w14:textId="3EB3F7F2" w:rsidR="00DC0C50" w:rsidRPr="001455DC" w:rsidRDefault="00DC0C50" w:rsidP="00DC0C50">
            <w:pPr>
              <w:pStyle w:val="KeyText"/>
              <w:tabs>
                <w:tab w:val="clear" w:pos="346"/>
              </w:tabs>
              <w:ind w:left="0" w:firstLine="0"/>
            </w:pPr>
            <w:r w:rsidRPr="001455DC">
              <w:t>design diagrams</w:t>
            </w:r>
          </w:p>
        </w:tc>
      </w:tr>
    </w:tbl>
    <w:p w14:paraId="0CB98FA8" w14:textId="77777777" w:rsidR="004E22C1" w:rsidRPr="001455DC" w:rsidRDefault="004E22C1" w:rsidP="00DC0C50">
      <w:pPr>
        <w:pStyle w:val="Figuretitle"/>
      </w:pPr>
      <w:r w:rsidRPr="001455DC">
        <w:t>Figure 5.3 — Stress-strain diagrams for prestressing steel (only tension)</w:t>
      </w:r>
    </w:p>
    <w:p w14:paraId="45C8DAA0" w14:textId="77777777" w:rsidR="004E22C1" w:rsidRPr="001455DC" w:rsidRDefault="004E22C1" w:rsidP="00DC0C50">
      <w:pPr>
        <w:pStyle w:val="a7"/>
      </w:pPr>
      <w:r w:rsidRPr="001455DC">
        <w:t>(3)</w:t>
      </w:r>
      <w:r w:rsidRPr="001455DC">
        <w:tab/>
        <w:t xml:space="preserve">The design value for the modulus of elasticity </w:t>
      </w:r>
      <w:r w:rsidRPr="001455DC">
        <w:rPr>
          <w:rStyle w:val="CCMCvariableitalic"/>
        </w:rPr>
        <w:t>E</w:t>
      </w:r>
      <w:r w:rsidRPr="001455DC">
        <w:rPr>
          <w:rStyle w:val="CCMCvariablesubscript"/>
        </w:rPr>
        <w:t>p</w:t>
      </w:r>
      <w:r w:rsidRPr="001455DC">
        <w:t xml:space="preserve"> may be assumed to be 200 000 MPa. If more accurate values are required, values from test certificates should be used.</w:t>
      </w:r>
    </w:p>
    <w:p w14:paraId="4578079D" w14:textId="1DB09998" w:rsidR="004E22C1" w:rsidRPr="001455DC" w:rsidRDefault="004E22C1" w:rsidP="00DC0C50">
      <w:pPr>
        <w:pStyle w:val="Note"/>
      </w:pPr>
      <w:r w:rsidRPr="001455DC">
        <w:t>NOTE</w:t>
      </w:r>
      <w:r w:rsidRPr="001455DC">
        <w:tab/>
        <w:t>The actual value of the E-modulus for wires is 205</w:t>
      </w:r>
      <w:r w:rsidR="00DC0C50" w:rsidRPr="001455DC">
        <w:t> </w:t>
      </w:r>
      <w:r w:rsidRPr="001455DC">
        <w:t>000 MPa. For strands it can range from 190 000 MPa to 200</w:t>
      </w:r>
      <w:r w:rsidR="00DC0C50" w:rsidRPr="001455DC">
        <w:t> </w:t>
      </w:r>
      <w:r w:rsidRPr="001455DC">
        <w:t>000 MPa, depending on the manufacturing process and the geometrical configuration of the prestressing steel. For bars, the modulus is 205 000 MPa however, the secant modulus between 0 and 0,7</w:t>
      </w:r>
      <w:r w:rsidRPr="001455DC">
        <w:rPr>
          <w:rStyle w:val="CCMCvariableitalic"/>
        </w:rPr>
        <w:t>f</w:t>
      </w:r>
      <w:r w:rsidRPr="001455DC">
        <w:rPr>
          <w:rStyle w:val="CCMCvariablesubscript"/>
        </w:rPr>
        <w:t>pk</w:t>
      </w:r>
      <w:r w:rsidRPr="001455DC">
        <w:t>. may be as low as 170</w:t>
      </w:r>
      <w:r w:rsidR="00DC0C50" w:rsidRPr="001455DC">
        <w:t> </w:t>
      </w:r>
      <w:r w:rsidRPr="001455DC">
        <w:t>000 MPa depending on the manufacturing process.</w:t>
      </w:r>
    </w:p>
    <w:p w14:paraId="28C8E38F" w14:textId="1B01135E" w:rsidR="004E22C1" w:rsidRPr="001455DC" w:rsidRDefault="004E22C1" w:rsidP="00DC0C50">
      <w:pPr>
        <w:pStyle w:val="a7"/>
      </w:pPr>
      <w:r w:rsidRPr="001455DC">
        <w:t>(4)</w:t>
      </w:r>
      <w:r w:rsidRPr="001455DC">
        <w:tab/>
        <w:t>The mean density of prestressing steel for the purposes of design may be taken as 7</w:t>
      </w:r>
      <w:r w:rsidR="00DC0C50" w:rsidRPr="001455DC">
        <w:t> </w:t>
      </w:r>
      <w:r w:rsidRPr="001455DC">
        <w:t>850 kg/m³.</w:t>
      </w:r>
    </w:p>
    <w:p w14:paraId="3DCEB067" w14:textId="29A08DB6" w:rsidR="004E22C1" w:rsidRPr="001455DC" w:rsidRDefault="004E22C1" w:rsidP="00DC0C50">
      <w:pPr>
        <w:pStyle w:val="a7"/>
      </w:pPr>
      <w:r w:rsidRPr="001455DC">
        <w:t>(5)</w:t>
      </w:r>
      <w:r w:rsidRPr="001455DC">
        <w:tab/>
        <w:t xml:space="preserve">The coefficient of thermal expansion </w:t>
      </w:r>
      <w:r w:rsidRPr="001455DC">
        <w:rPr>
          <w:rStyle w:val="CCMCvariableitalic"/>
        </w:rPr>
        <w:t>α</w:t>
      </w:r>
      <w:r w:rsidRPr="001455DC">
        <w:rPr>
          <w:rStyle w:val="CCMCvariablesubscript"/>
        </w:rPr>
        <w:t>s,th</w:t>
      </w:r>
      <w:r w:rsidRPr="001455DC">
        <w:t xml:space="preserve"> may be taken as 10 </w:t>
      </w:r>
      <w:r w:rsidRPr="001455DC">
        <w:rPr>
          <w:rFonts w:ascii="Cambria Math" w:hAnsi="Cambria Math" w:cs="Cambria Math"/>
        </w:rPr>
        <w:t>⋅</w:t>
      </w:r>
      <w:r w:rsidRPr="001455DC">
        <w:t> 10</w:t>
      </w:r>
      <w:r w:rsidR="00EC27D2" w:rsidRPr="001455DC">
        <w:rPr>
          <w:rStyle w:val="CCMCvariablesuperscript"/>
          <w:rFonts w:ascii="Cambria Math" w:hAnsi="Cambria Math"/>
        </w:rPr>
        <w:t>−</w:t>
      </w:r>
      <w:r w:rsidRPr="001455DC">
        <w:rPr>
          <w:rStyle w:val="CCMCvariablesuperscript"/>
        </w:rPr>
        <w:t>6</w:t>
      </w:r>
      <w:r w:rsidR="00DC0C50" w:rsidRPr="001455DC">
        <w:t> °</w:t>
      </w:r>
      <w:r w:rsidRPr="001455DC">
        <w:t>C</w:t>
      </w:r>
      <w:r w:rsidR="00EC27D2" w:rsidRPr="001455DC">
        <w:rPr>
          <w:rStyle w:val="CCMCvariablesuperscript"/>
          <w:rFonts w:ascii="Cambria Math" w:hAnsi="Cambria Math"/>
        </w:rPr>
        <w:t>−</w:t>
      </w:r>
      <w:r w:rsidRPr="001455DC">
        <w:rPr>
          <w:rStyle w:val="CCMCvariablesuperscript"/>
        </w:rPr>
        <w:t>1</w:t>
      </w:r>
      <w:r w:rsidRPr="001455DC">
        <w:t xml:space="preserve"> for prestressing steel unless more precise values are known.</w:t>
      </w:r>
    </w:p>
    <w:p w14:paraId="3D5235E3" w14:textId="322B0CD6" w:rsidR="004E22C1" w:rsidRPr="001455DC" w:rsidRDefault="004E22C1" w:rsidP="00DC0C50">
      <w:pPr>
        <w:pStyle w:val="a7"/>
        <w:rPr>
          <w:bCs/>
        </w:rPr>
      </w:pPr>
      <w:r w:rsidRPr="001455DC">
        <w:t>(6)</w:t>
      </w:r>
      <w:r w:rsidRPr="001455DC">
        <w:tab/>
        <w:t>The relaxation loss may be obtained either from Table B.</w:t>
      </w:r>
      <w:r w:rsidR="001A577B" w:rsidRPr="001455DC">
        <w:t xml:space="preserve">4 </w:t>
      </w:r>
      <w:r w:rsidRPr="001455DC">
        <w:t>or from the manufacturer’s test certificates adapted for the effects of initial stress and time in accordance with Annex B.</w:t>
      </w:r>
    </w:p>
    <w:p w14:paraId="15EA1079" w14:textId="1350CB01" w:rsidR="004E22C1" w:rsidRPr="001455DC" w:rsidRDefault="004E22C1" w:rsidP="006D682B">
      <w:pPr>
        <w:pStyle w:val="21"/>
      </w:pPr>
      <w:bookmarkStart w:id="310" w:name="_Toc52819917"/>
      <w:bookmarkStart w:id="311" w:name="_Toc54337317"/>
      <w:bookmarkStart w:id="312" w:name="_Toc54337975"/>
      <w:bookmarkStart w:id="313" w:name="_Toc67565338"/>
      <w:r w:rsidRPr="001455DC">
        <w:t>Prestressing systems</w:t>
      </w:r>
      <w:bookmarkEnd w:id="310"/>
      <w:bookmarkEnd w:id="311"/>
      <w:bookmarkEnd w:id="312"/>
      <w:bookmarkEnd w:id="313"/>
    </w:p>
    <w:p w14:paraId="4F869E9D" w14:textId="1D888E47" w:rsidR="004E22C1" w:rsidRPr="001455DC" w:rsidRDefault="004E22C1" w:rsidP="00243590">
      <w:pPr>
        <w:pStyle w:val="31"/>
      </w:pPr>
      <w:bookmarkStart w:id="314" w:name="_Toc52819918"/>
      <w:bookmarkStart w:id="315" w:name="_Toc54337318"/>
      <w:bookmarkStart w:id="316" w:name="_Toc54337976"/>
      <w:bookmarkStart w:id="317" w:name="_Toc67565339"/>
      <w:r w:rsidRPr="001455DC">
        <w:t>General</w:t>
      </w:r>
      <w:bookmarkEnd w:id="314"/>
      <w:bookmarkEnd w:id="315"/>
      <w:bookmarkEnd w:id="316"/>
      <w:bookmarkEnd w:id="317"/>
    </w:p>
    <w:p w14:paraId="7A7FD0C3" w14:textId="422A9164" w:rsidR="004E22C1" w:rsidRPr="001455DC" w:rsidRDefault="004E22C1" w:rsidP="00DC0C50">
      <w:pPr>
        <w:pStyle w:val="a7"/>
      </w:pPr>
      <w:r w:rsidRPr="001455DC">
        <w:t>(1)</w:t>
      </w:r>
      <w:r w:rsidRPr="001455DC">
        <w:tab/>
        <w:t>Prestressing systems including tendon anchorage assemblies and tendon coupler assemblies suitable for design of concrete structures in accordance with this Eurocode</w:t>
      </w:r>
      <w:r w:rsidR="002951BB" w:rsidRPr="001455DC">
        <w:t xml:space="preserve"> </w:t>
      </w:r>
      <w:r w:rsidRPr="001455DC">
        <w:t>should have resistance to static load and elongation, resistance to fatigue and load transfer to structure characteristics in accordance with the European Assessment Document EAD</w:t>
      </w:r>
      <w:r w:rsidR="00DC0C50" w:rsidRPr="001455DC">
        <w:t> </w:t>
      </w:r>
      <w:r w:rsidRPr="001455DC">
        <w:t>160004</w:t>
      </w:r>
      <w:r w:rsidRPr="001455DC">
        <w:noBreakHyphen/>
        <w:t>00</w:t>
      </w:r>
      <w:r w:rsidRPr="001455DC">
        <w:noBreakHyphen/>
        <w:t>0301.</w:t>
      </w:r>
    </w:p>
    <w:p w14:paraId="1478BFFB" w14:textId="77777777" w:rsidR="004E22C1" w:rsidRPr="001455DC" w:rsidRDefault="004E22C1" w:rsidP="00DC0C50">
      <w:pPr>
        <w:pStyle w:val="a7"/>
        <w:keepNext/>
      </w:pPr>
      <w:r w:rsidRPr="001455DC">
        <w:t>(2)</w:t>
      </w:r>
      <w:r w:rsidRPr="001455DC">
        <w:tab/>
        <w:t>As a minimum the following information shall be provided in the technical documentation of the post-tensioning systems as basis for the design of concrete structures in accordance with this Eurocode:</w:t>
      </w:r>
    </w:p>
    <w:p w14:paraId="7769AC77" w14:textId="5D8BF619" w:rsidR="004E22C1" w:rsidRPr="001455DC" w:rsidRDefault="004E22C1" w:rsidP="00DC0C50">
      <w:pPr>
        <w:pStyle w:val="a0"/>
      </w:pPr>
      <w:r w:rsidRPr="001455DC">
        <w:t>product type and properties of prestressing steel,</w:t>
      </w:r>
    </w:p>
    <w:p w14:paraId="2C0A387C" w14:textId="3A20F833" w:rsidR="004E22C1" w:rsidRPr="001455DC" w:rsidRDefault="004E22C1" w:rsidP="00DC0C50">
      <w:pPr>
        <w:pStyle w:val="a0"/>
      </w:pPr>
      <w:r w:rsidRPr="001455DC">
        <w:t>types of applications of tendons,</w:t>
      </w:r>
    </w:p>
    <w:p w14:paraId="1F25AC37" w14:textId="7B9DCF76" w:rsidR="004E22C1" w:rsidRPr="001455DC" w:rsidRDefault="004E22C1" w:rsidP="00DC0C50">
      <w:pPr>
        <w:pStyle w:val="a0"/>
      </w:pPr>
      <w:r w:rsidRPr="001455DC">
        <w:t>types and dimensions of ducts, anchorages and tendon couplers,</w:t>
      </w:r>
    </w:p>
    <w:p w14:paraId="034C722E" w14:textId="027CBA39" w:rsidR="004E22C1" w:rsidRPr="001455DC" w:rsidRDefault="004E22C1" w:rsidP="00DC0C50">
      <w:pPr>
        <w:pStyle w:val="a0"/>
      </w:pPr>
      <w:r w:rsidRPr="001455DC">
        <w:t>arrangement and detailing of tendon supports,</w:t>
      </w:r>
    </w:p>
    <w:p w14:paraId="26C50B08" w14:textId="6A6753EA" w:rsidR="004E22C1" w:rsidRPr="001455DC" w:rsidRDefault="004E22C1" w:rsidP="00DC0C50">
      <w:pPr>
        <w:pStyle w:val="a0"/>
      </w:pPr>
      <w:r w:rsidRPr="001455DC">
        <w:t>minimum spacing and edge distances of anchorages and tendon couplers with corresponding local anchorage zone reinforcement as a function of concrete strength,</w:t>
      </w:r>
    </w:p>
    <w:p w14:paraId="7044EDD9" w14:textId="5E4147BC" w:rsidR="004E22C1" w:rsidRPr="001455DC" w:rsidRDefault="004E22C1" w:rsidP="00DC0C50">
      <w:pPr>
        <w:pStyle w:val="a0"/>
      </w:pPr>
      <w:r w:rsidRPr="001455DC">
        <w:t>minimum radii of tendon curvature,</w:t>
      </w:r>
    </w:p>
    <w:p w14:paraId="1F659AAA" w14:textId="3B639F12" w:rsidR="004E22C1" w:rsidRPr="001455DC" w:rsidRDefault="004E22C1" w:rsidP="00DC0C50">
      <w:pPr>
        <w:pStyle w:val="a0"/>
      </w:pPr>
      <w:r w:rsidRPr="001455DC">
        <w:t>friction coefficients,</w:t>
      </w:r>
    </w:p>
    <w:p w14:paraId="17EB36EA" w14:textId="099A96A7" w:rsidR="004E22C1" w:rsidRPr="001455DC" w:rsidRDefault="004E22C1" w:rsidP="00DC0C50">
      <w:pPr>
        <w:pStyle w:val="a0"/>
      </w:pPr>
      <w:r w:rsidRPr="001455DC">
        <w:t>anchorage seating,</w:t>
      </w:r>
    </w:p>
    <w:p w14:paraId="35A6699A" w14:textId="2583C07F" w:rsidR="004E22C1" w:rsidRPr="001455DC" w:rsidRDefault="004E22C1" w:rsidP="00DC0C50">
      <w:pPr>
        <w:pStyle w:val="a0"/>
      </w:pPr>
      <w:r w:rsidRPr="001455DC">
        <w:t>details for corrosion protection as a function of the tendon protection level.</w:t>
      </w:r>
    </w:p>
    <w:p w14:paraId="4C2E146F" w14:textId="77777777" w:rsidR="004E22C1" w:rsidRPr="001455DC" w:rsidRDefault="004E22C1" w:rsidP="00DC0C50">
      <w:pPr>
        <w:pStyle w:val="a7"/>
      </w:pPr>
      <w:r w:rsidRPr="001455DC">
        <w:t>(3)</w:t>
      </w:r>
      <w:r w:rsidRPr="001455DC">
        <w:tab/>
        <w:t>Prestressing tendons shall be adequately and permanently protected against corrosion along the tendon length and at anchorages.</w:t>
      </w:r>
    </w:p>
    <w:p w14:paraId="1ED2B7D9" w14:textId="77777777" w:rsidR="004E22C1" w:rsidRPr="001455DC" w:rsidRDefault="004E22C1" w:rsidP="00DC0C50">
      <w:pPr>
        <w:pStyle w:val="a7"/>
        <w:keepNext/>
      </w:pPr>
      <w:r w:rsidRPr="001455DC">
        <w:t>(4)</w:t>
      </w:r>
      <w:r w:rsidRPr="001455DC">
        <w:tab/>
        <w:t>Internal bonded post-tensioning tendons may be provided with different levels of corrosion protection:</w:t>
      </w:r>
    </w:p>
    <w:p w14:paraId="14E3CB4A" w14:textId="64FFA0E7" w:rsidR="004E22C1" w:rsidRPr="001455DC" w:rsidRDefault="004E22C1" w:rsidP="00DC0C50">
      <w:pPr>
        <w:pStyle w:val="a0"/>
      </w:pPr>
      <w:r w:rsidRPr="001455DC">
        <w:t>Protection Level 1: Tendon grouted within a metal duct.</w:t>
      </w:r>
    </w:p>
    <w:p w14:paraId="01FA85FE" w14:textId="3DCCA83E" w:rsidR="004E22C1" w:rsidRPr="001455DC" w:rsidRDefault="004E22C1" w:rsidP="00DC0C50">
      <w:pPr>
        <w:pStyle w:val="a0"/>
      </w:pPr>
      <w:r w:rsidRPr="001455DC">
        <w:t>Protection Level 2: Tendon fully encapsulayed within a grouted polymer duct and anchorage caps.</w:t>
      </w:r>
    </w:p>
    <w:p w14:paraId="02F305EB" w14:textId="6F5F22B2" w:rsidR="004E22C1" w:rsidRPr="001455DC" w:rsidRDefault="004E22C1" w:rsidP="00DC0C50">
      <w:pPr>
        <w:pStyle w:val="a0"/>
      </w:pPr>
      <w:r w:rsidRPr="001455DC">
        <w:t>Protection Level 3: Tendon fully encapsulated within a grouted polymer duct and anchorage caps and encapsulation monitorable with electrical resistance measurement or equivalent methods.</w:t>
      </w:r>
    </w:p>
    <w:p w14:paraId="4036B508" w14:textId="4221689A" w:rsidR="004E22C1" w:rsidRPr="001455DC" w:rsidRDefault="004E22C1" w:rsidP="00DC0C50">
      <w:pPr>
        <w:pStyle w:val="Note"/>
      </w:pPr>
      <w:r w:rsidRPr="001455DC">
        <w:t>NOTE</w:t>
      </w:r>
      <w:r w:rsidRPr="001455DC">
        <w:tab/>
        <w:t xml:space="preserve">Guidance for the assessment of tendon protection levels and polymer ducts can be found in </w:t>
      </w:r>
      <w:r w:rsidRPr="001455DC">
        <w:rPr>
          <w:rStyle w:val="CCMCvariableitalic"/>
        </w:rPr>
        <w:t>fib</w:t>
      </w:r>
      <w:r w:rsidRPr="001455DC">
        <w:t> Bulletin</w:t>
      </w:r>
      <w:r w:rsidR="00DC0C50" w:rsidRPr="001455DC">
        <w:t> </w:t>
      </w:r>
      <w:r w:rsidRPr="001455DC">
        <w:t>75.</w:t>
      </w:r>
    </w:p>
    <w:p w14:paraId="0DCBC846" w14:textId="16B6C3F3" w:rsidR="004E22C1" w:rsidRPr="001455DC" w:rsidRDefault="004E22C1" w:rsidP="00243590">
      <w:pPr>
        <w:pStyle w:val="31"/>
      </w:pPr>
      <w:bookmarkStart w:id="318" w:name="_Toc52819919"/>
      <w:bookmarkStart w:id="319" w:name="_Toc54337319"/>
      <w:bookmarkStart w:id="320" w:name="_Toc54337977"/>
      <w:bookmarkStart w:id="321" w:name="_Toc67565340"/>
      <w:r w:rsidRPr="001455DC">
        <w:t>Anchorage zones</w:t>
      </w:r>
      <w:bookmarkEnd w:id="318"/>
      <w:bookmarkEnd w:id="319"/>
      <w:bookmarkEnd w:id="320"/>
      <w:bookmarkEnd w:id="321"/>
    </w:p>
    <w:p w14:paraId="5DCEE57E" w14:textId="77777777" w:rsidR="004E22C1" w:rsidRPr="001455DC" w:rsidRDefault="004E22C1" w:rsidP="00DC0C50">
      <w:pPr>
        <w:pStyle w:val="a7"/>
        <w:keepNext/>
      </w:pPr>
      <w:r w:rsidRPr="001455DC">
        <w:t>(1)</w:t>
      </w:r>
      <w:r w:rsidRPr="001455DC">
        <w:tab/>
        <w:t>The strength of the anchorage and coupling devices and anchorage zones shall be sufficient for the transfer of the tendon force to the concrete. The formation of cracks in the anchorage zones shall not impair the function of the anchorage and coupling device. These requirements may be assumed to be complied with if:</w:t>
      </w:r>
    </w:p>
    <w:p w14:paraId="6546F839" w14:textId="0771DA08" w:rsidR="004E22C1" w:rsidRPr="001455DC" w:rsidRDefault="004E22C1" w:rsidP="00DC0C50">
      <w:pPr>
        <w:pStyle w:val="a0"/>
      </w:pPr>
      <w:r w:rsidRPr="001455DC">
        <w:t>Detailing of the local anchorage zones is in accordance with the technical documentation of a post-tensioning system which complies with 5.4.1(1),</w:t>
      </w:r>
    </w:p>
    <w:p w14:paraId="6EADA0A9" w14:textId="09075748" w:rsidR="004E22C1" w:rsidRPr="001455DC" w:rsidRDefault="004E22C1" w:rsidP="00DC0C50">
      <w:pPr>
        <w:pStyle w:val="a0"/>
      </w:pPr>
      <w:r w:rsidRPr="001455DC">
        <w:t>Design and detailing of the general anchorage zones is in accordance with 11.6.4.</w:t>
      </w:r>
    </w:p>
    <w:p w14:paraId="15F95A33" w14:textId="6AD41391" w:rsidR="004E22C1" w:rsidRPr="001455DC" w:rsidRDefault="004E22C1" w:rsidP="00DC0C50">
      <w:pPr>
        <w:pStyle w:val="1"/>
        <w:pageBreakBefore/>
      </w:pPr>
      <w:bookmarkStart w:id="322" w:name="_Toc52819920"/>
      <w:bookmarkStart w:id="323" w:name="_Toc54337123"/>
      <w:bookmarkStart w:id="324" w:name="_Toc54337320"/>
      <w:bookmarkStart w:id="325" w:name="_Toc54337978"/>
      <w:bookmarkStart w:id="326" w:name="_Toc67565341"/>
      <w:r w:rsidRPr="001455DC">
        <w:t>Durability</w:t>
      </w:r>
      <w:bookmarkEnd w:id="322"/>
      <w:bookmarkEnd w:id="323"/>
      <w:bookmarkEnd w:id="324"/>
      <w:bookmarkEnd w:id="325"/>
      <w:bookmarkEnd w:id="326"/>
    </w:p>
    <w:p w14:paraId="1A061219" w14:textId="64960894" w:rsidR="004E22C1" w:rsidRPr="001455DC" w:rsidRDefault="004E22C1" w:rsidP="006D682B">
      <w:pPr>
        <w:pStyle w:val="21"/>
      </w:pPr>
      <w:bookmarkStart w:id="327" w:name="_Toc52819921"/>
      <w:bookmarkStart w:id="328" w:name="_Toc54337321"/>
      <w:bookmarkStart w:id="329" w:name="_Toc54337979"/>
      <w:bookmarkStart w:id="330" w:name="_Toc67565342"/>
      <w:r w:rsidRPr="001455DC">
        <w:t>General</w:t>
      </w:r>
      <w:bookmarkEnd w:id="327"/>
      <w:bookmarkEnd w:id="328"/>
      <w:bookmarkEnd w:id="329"/>
      <w:bookmarkEnd w:id="330"/>
    </w:p>
    <w:p w14:paraId="75F10C11" w14:textId="3EDA1E63" w:rsidR="004E22C1" w:rsidRPr="001455DC" w:rsidRDefault="004E22C1" w:rsidP="00DC0C50">
      <w:pPr>
        <w:pStyle w:val="a7"/>
      </w:pPr>
      <w:r w:rsidRPr="001455DC">
        <w:t>(1)</w:t>
      </w:r>
      <w:r w:rsidRPr="001455DC">
        <w:tab/>
        <w:t xml:space="preserve">A durable structure shall meet the requirements of serviceability, strength and stability throughout its design service life, without significant loss of utility, with anticipated maintenance but without major repair being necessary, in line with the general requirements of </w:t>
      </w:r>
      <w:r w:rsidR="00A52A59" w:rsidRPr="0067270F">
        <w:rPr>
          <w:rFonts w:cstheme="minorBidi"/>
          <w:color w:val="000000" w:themeColor="text1"/>
          <w:lang w:eastAsia="en-US"/>
        </w:rPr>
        <w:t>pr</w:t>
      </w:r>
      <w:r w:rsidRPr="001455DC">
        <w:t>EN 1990.</w:t>
      </w:r>
    </w:p>
    <w:p w14:paraId="3B68D0DA" w14:textId="77777777" w:rsidR="004E22C1" w:rsidRPr="001455DC" w:rsidRDefault="004E22C1" w:rsidP="00DC0C50">
      <w:pPr>
        <w:pStyle w:val="a7"/>
      </w:pPr>
      <w:r w:rsidRPr="001455DC">
        <w:t>(2)</w:t>
      </w:r>
      <w:r w:rsidRPr="001455DC">
        <w:tab/>
        <w:t>The required protection against deterioration of the structure shall be established by considering environmental conditions, intended use, design service life, maintenance programme and actions.</w:t>
      </w:r>
    </w:p>
    <w:p w14:paraId="3F210B98" w14:textId="6523E26B" w:rsidR="004E22C1" w:rsidRPr="001455DC" w:rsidRDefault="004E22C1" w:rsidP="00DC0C50">
      <w:pPr>
        <w:pStyle w:val="a7"/>
      </w:pPr>
      <w:r w:rsidRPr="001455DC">
        <w:t>(3)</w:t>
      </w:r>
      <w:r w:rsidRPr="001455DC">
        <w:tab/>
        <w:t xml:space="preserve">Concrete structures complying with the provisions of </w:t>
      </w:r>
      <w:r w:rsidR="00EF2F27">
        <w:t>this standard</w:t>
      </w:r>
      <w:r w:rsidRPr="001455DC">
        <w:t xml:space="preserve">, EN 206 and EN 13670 </w:t>
      </w:r>
      <w:r w:rsidR="002E7CFF" w:rsidRPr="001455DC">
        <w:t xml:space="preserve">are </w:t>
      </w:r>
      <w:r w:rsidRPr="001455DC">
        <w:t xml:space="preserve">assumed to be </w:t>
      </w:r>
      <w:r w:rsidR="003841C9" w:rsidRPr="001455DC">
        <w:t xml:space="preserve">sufficiently </w:t>
      </w:r>
      <w:r w:rsidRPr="001455DC">
        <w:t>durable. Requirements for durability should be considered in addition to SLS and ULS.</w:t>
      </w:r>
    </w:p>
    <w:p w14:paraId="71C69C3C" w14:textId="4E83C986" w:rsidR="004E22C1" w:rsidRPr="001455DC" w:rsidRDefault="004E22C1" w:rsidP="00DC0C50">
      <w:pPr>
        <w:pStyle w:val="Note"/>
      </w:pPr>
      <w:r w:rsidRPr="001455DC">
        <w:t>NOTE 1</w:t>
      </w:r>
      <w:r w:rsidRPr="001455DC">
        <w:tab/>
        <w:t xml:space="preserve">For the purpose of assessing durability, end of design service life is considered to have been reached when there is corrosion attack in the reinforcement and/or loss of concrete thickness or strength of the structural element, to an extent that </w:t>
      </w:r>
      <w:r w:rsidR="003841C9" w:rsidRPr="001455DC">
        <w:t xml:space="preserve">impairs </w:t>
      </w:r>
      <w:r w:rsidRPr="001455DC">
        <w:t>its performance.</w:t>
      </w:r>
    </w:p>
    <w:p w14:paraId="6B6497B7" w14:textId="77777777" w:rsidR="004E22C1" w:rsidRPr="001455DC" w:rsidRDefault="004E22C1" w:rsidP="00DC0C50">
      <w:pPr>
        <w:pStyle w:val="Note"/>
      </w:pPr>
      <w:r w:rsidRPr="001455DC">
        <w:t>NOTE 2</w:t>
      </w:r>
      <w:r w:rsidRPr="001455DC">
        <w:tab/>
        <w:t>Corrosion attack can be judged by loss of bar diameter in the case of carbonation attack and pitting depth in the reinforcement in the case of chloride attack.</w:t>
      </w:r>
    </w:p>
    <w:p w14:paraId="0D1D334E" w14:textId="77777777" w:rsidR="004E22C1" w:rsidRPr="001455DC" w:rsidRDefault="004E22C1" w:rsidP="00DC0C50">
      <w:pPr>
        <w:pStyle w:val="a7"/>
      </w:pPr>
      <w:r w:rsidRPr="001455DC">
        <w:t>(4)</w:t>
      </w:r>
      <w:r w:rsidRPr="001455DC">
        <w:tab/>
        <w:t>The possible significance of direct and indirect actions (like temperature, shrinkage and creep) environmental conditions and consequential effects shall be considered.</w:t>
      </w:r>
    </w:p>
    <w:p w14:paraId="3445F980" w14:textId="30D6EEE0" w:rsidR="004E22C1" w:rsidRPr="001455DC" w:rsidRDefault="004E22C1" w:rsidP="00DC0C50">
      <w:pPr>
        <w:pStyle w:val="a7"/>
      </w:pPr>
      <w:r w:rsidRPr="001455DC">
        <w:t>(5)</w:t>
      </w:r>
      <w:r w:rsidRPr="001455DC">
        <w:tab/>
        <w:t>Corrosion protection of steel reinforcement depends on quality</w:t>
      </w:r>
      <w:r w:rsidR="00EE7D9A" w:rsidRPr="001455DC">
        <w:t xml:space="preserve">, </w:t>
      </w:r>
      <w:r w:rsidRPr="001455DC">
        <w:t>thickness and extent of cracking of the concrete in the cover zone.</w:t>
      </w:r>
    </w:p>
    <w:p w14:paraId="7B8165E2" w14:textId="77777777" w:rsidR="004E22C1" w:rsidRPr="001455DC" w:rsidRDefault="004E22C1" w:rsidP="00DC0C50">
      <w:pPr>
        <w:pStyle w:val="a7"/>
      </w:pPr>
      <w:r w:rsidRPr="001455DC">
        <w:t>(6)</w:t>
      </w:r>
      <w:r w:rsidRPr="001455DC">
        <w:tab/>
        <w:t>Where metal fastenings are not fully embedded in concrete, they should be of corrosion resistant material. Where it is possible to inspect and replace or repair them, fastenings with protective coating may be used in exposed conditions.</w:t>
      </w:r>
    </w:p>
    <w:p w14:paraId="2E2E8CC2" w14:textId="1EBC7C67" w:rsidR="004E22C1" w:rsidRPr="001455DC" w:rsidRDefault="004E22C1" w:rsidP="00DC0C50">
      <w:pPr>
        <w:pStyle w:val="a7"/>
      </w:pPr>
      <w:r w:rsidRPr="001455DC">
        <w:t>(7)</w:t>
      </w:r>
      <w:r w:rsidRPr="001455DC">
        <w:tab/>
        <w:t xml:space="preserve">Further requirements to those given in this </w:t>
      </w:r>
      <w:r w:rsidR="00EE7D9A" w:rsidRPr="001455DC">
        <w:t xml:space="preserve">Clause </w:t>
      </w:r>
      <w:r w:rsidRPr="001455DC">
        <w:t>should be considered for special situations (e.g. for structures of temporary or monumental nature, structures subjected to extreme or unusual actions or extraordinary exposure conditions</w:t>
      </w:r>
      <w:r w:rsidR="00B078F1">
        <w:t>,</w:t>
      </w:r>
      <w:r w:rsidRPr="001455DC">
        <w:t xml:space="preserve"> etc.)</w:t>
      </w:r>
    </w:p>
    <w:p w14:paraId="4ADAB97B" w14:textId="79AC152F" w:rsidR="004E22C1" w:rsidRPr="001455DC" w:rsidRDefault="004E22C1" w:rsidP="006D682B">
      <w:pPr>
        <w:pStyle w:val="21"/>
      </w:pPr>
      <w:bookmarkStart w:id="331" w:name="_Toc52819922"/>
      <w:bookmarkStart w:id="332" w:name="_Toc54337322"/>
      <w:bookmarkStart w:id="333" w:name="_Toc54337980"/>
      <w:bookmarkStart w:id="334" w:name="_Toc67565343"/>
      <w:r w:rsidRPr="001455DC">
        <w:t>Requirements for durability</w:t>
      </w:r>
      <w:bookmarkEnd w:id="331"/>
      <w:bookmarkEnd w:id="332"/>
      <w:bookmarkEnd w:id="333"/>
      <w:bookmarkEnd w:id="334"/>
    </w:p>
    <w:p w14:paraId="440A76B4" w14:textId="5EC378A0" w:rsidR="004E22C1" w:rsidRPr="001455DC" w:rsidRDefault="004E22C1" w:rsidP="00DC0C50">
      <w:pPr>
        <w:pStyle w:val="a7"/>
      </w:pPr>
      <w:r w:rsidRPr="001455DC">
        <w:t>(1)</w:t>
      </w:r>
      <w:r w:rsidRPr="001455DC">
        <w:tab/>
        <w:t xml:space="preserve">In order to achieve the required design service life of the structure, adequate measures shall be taken to protect each </w:t>
      </w:r>
      <w:r w:rsidR="00EE7D9A" w:rsidRPr="001455DC">
        <w:t>concrete member</w:t>
      </w:r>
      <w:r w:rsidRPr="001455DC">
        <w:t xml:space="preserve"> against the relevant environmental actions.</w:t>
      </w:r>
    </w:p>
    <w:p w14:paraId="6078BB1E" w14:textId="77777777" w:rsidR="004E22C1" w:rsidRPr="001455DC" w:rsidRDefault="004E22C1" w:rsidP="006210D7">
      <w:pPr>
        <w:pStyle w:val="a7"/>
        <w:keepNext/>
      </w:pPr>
      <w:r w:rsidRPr="001455DC">
        <w:t>(2)</w:t>
      </w:r>
      <w:r w:rsidRPr="001455DC">
        <w:tab/>
        <w:t>The requirements for durability shall be considered at all stages, including:</w:t>
      </w:r>
    </w:p>
    <w:p w14:paraId="12AF650A" w14:textId="2F891AAE" w:rsidR="004E22C1" w:rsidRPr="001455DC" w:rsidRDefault="00B078F1" w:rsidP="00DC0C50">
      <w:pPr>
        <w:pStyle w:val="a0"/>
      </w:pPr>
      <w:r>
        <w:t>s</w:t>
      </w:r>
      <w:r w:rsidR="004E22C1" w:rsidRPr="001455DC">
        <w:t>tructural conception,</w:t>
      </w:r>
    </w:p>
    <w:p w14:paraId="6DC3DCC3" w14:textId="2F6687D7" w:rsidR="004E22C1" w:rsidRPr="001455DC" w:rsidRDefault="00B078F1" w:rsidP="00DC0C50">
      <w:pPr>
        <w:pStyle w:val="a0"/>
      </w:pPr>
      <w:r>
        <w:t>m</w:t>
      </w:r>
      <w:r w:rsidR="004E22C1" w:rsidRPr="001455DC">
        <w:t>aterial selection,</w:t>
      </w:r>
    </w:p>
    <w:p w14:paraId="0DF92485" w14:textId="4AEB5C7C" w:rsidR="004E22C1" w:rsidRPr="001455DC" w:rsidRDefault="00B078F1" w:rsidP="00DC0C50">
      <w:pPr>
        <w:pStyle w:val="a0"/>
      </w:pPr>
      <w:r>
        <w:t>c</w:t>
      </w:r>
      <w:r w:rsidR="004E22C1" w:rsidRPr="001455DC">
        <w:t>onstruction details,</w:t>
      </w:r>
    </w:p>
    <w:p w14:paraId="29FAC993" w14:textId="5B8DB226" w:rsidR="004E22C1" w:rsidRPr="001455DC" w:rsidRDefault="00B078F1" w:rsidP="00DC0C50">
      <w:pPr>
        <w:pStyle w:val="a0"/>
      </w:pPr>
      <w:r>
        <w:t>e</w:t>
      </w:r>
      <w:r w:rsidR="004E22C1" w:rsidRPr="001455DC">
        <w:t>xecution,</w:t>
      </w:r>
    </w:p>
    <w:p w14:paraId="1513DC47" w14:textId="025C1C82" w:rsidR="004E22C1" w:rsidRPr="001455DC" w:rsidRDefault="00B078F1" w:rsidP="00DC0C50">
      <w:pPr>
        <w:pStyle w:val="a0"/>
      </w:pPr>
      <w:r>
        <w:t>q</w:t>
      </w:r>
      <w:r w:rsidR="004E22C1" w:rsidRPr="001455DC">
        <w:t>uality management,</w:t>
      </w:r>
    </w:p>
    <w:p w14:paraId="35F65B66" w14:textId="7BD2BB40" w:rsidR="004E22C1" w:rsidRPr="001455DC" w:rsidRDefault="00B078F1" w:rsidP="00DC0C50">
      <w:pPr>
        <w:pStyle w:val="a0"/>
      </w:pPr>
      <w:r>
        <w:t>l</w:t>
      </w:r>
      <w:r w:rsidR="004E22C1" w:rsidRPr="001455DC">
        <w:t>ife-time maintenance.</w:t>
      </w:r>
    </w:p>
    <w:p w14:paraId="471D1618" w14:textId="5E6689AC" w:rsidR="004E22C1" w:rsidRPr="001455DC" w:rsidRDefault="004E22C1" w:rsidP="00DC0C50">
      <w:pPr>
        <w:pStyle w:val="a7"/>
      </w:pPr>
      <w:r w:rsidRPr="001455DC">
        <w:t>(3)</w:t>
      </w:r>
      <w:r w:rsidRPr="001455DC">
        <w:tab/>
        <w:t>Where appropriate, special measures should be considered (e.g. coatings of concrete surface, cathodic protection, corrosion inhibitors or reinforcing steel with metallic or non-metallic coatings). For such situations, the effects on all relevant material properties and design parameters should be considered, including bond. For stainless steel</w:t>
      </w:r>
      <w:r w:rsidR="00B078F1">
        <w:t>,</w:t>
      </w:r>
      <w:r w:rsidRPr="001455DC">
        <w:t xml:space="preserve"> the provisions in Annex Q shall be used.</w:t>
      </w:r>
    </w:p>
    <w:p w14:paraId="41E57FD8" w14:textId="0C9B024F" w:rsidR="004E22C1" w:rsidRPr="001455DC" w:rsidRDefault="004E22C1" w:rsidP="006D682B">
      <w:pPr>
        <w:pStyle w:val="21"/>
      </w:pPr>
      <w:bookmarkStart w:id="335" w:name="_Toc52819923"/>
      <w:bookmarkStart w:id="336" w:name="_Toc54337323"/>
      <w:bookmarkStart w:id="337" w:name="_Toc54337981"/>
      <w:bookmarkStart w:id="338" w:name="_Toc67565344"/>
      <w:r w:rsidRPr="001455DC">
        <w:t>Environmental exposure conditions</w:t>
      </w:r>
      <w:bookmarkEnd w:id="335"/>
      <w:bookmarkEnd w:id="336"/>
      <w:bookmarkEnd w:id="337"/>
      <w:bookmarkEnd w:id="338"/>
    </w:p>
    <w:p w14:paraId="1C66553E" w14:textId="77777777" w:rsidR="004E22C1" w:rsidRPr="001455DC" w:rsidRDefault="004E22C1" w:rsidP="00DC0C50">
      <w:pPr>
        <w:pStyle w:val="a7"/>
      </w:pPr>
      <w:r w:rsidRPr="001455DC">
        <w:t>(1)</w:t>
      </w:r>
      <w:r w:rsidRPr="001455DC">
        <w:tab/>
        <w:t>The environmental exposure conditions are those chemical, physical and biological conditions to which the structure is exposed (additional to the mechanical actions). The exposure conditions can be different on the various faces or elevations of a concrete member, and consequently while the concrete shall meet the relevant requirements, the requirements for cover to the reinforcement and the limitation of cracking may be different.</w:t>
      </w:r>
    </w:p>
    <w:p w14:paraId="1CE0E1D9" w14:textId="77777777" w:rsidR="004E22C1" w:rsidRPr="001455DC" w:rsidRDefault="004E22C1" w:rsidP="00DC0C50">
      <w:pPr>
        <w:pStyle w:val="a7"/>
        <w:keepNext/>
      </w:pPr>
      <w:r w:rsidRPr="001455DC">
        <w:t>(2)</w:t>
      </w:r>
      <w:r w:rsidRPr="001455DC">
        <w:tab/>
        <w:t>All relevant forms of attack on the structure shall be taken into account. The forms of attack include:</w:t>
      </w:r>
    </w:p>
    <w:p w14:paraId="7A450FC1" w14:textId="649C32FE" w:rsidR="004E22C1" w:rsidRPr="001455DC" w:rsidRDefault="004E22C1" w:rsidP="00DC0C50">
      <w:pPr>
        <w:pStyle w:val="a0"/>
      </w:pPr>
      <w:r w:rsidRPr="001455DC">
        <w:t>Alkali-aggregate reaction (AAR),</w:t>
      </w:r>
    </w:p>
    <w:p w14:paraId="467A5BB8" w14:textId="2D48DB20" w:rsidR="004E22C1" w:rsidRPr="001455DC" w:rsidRDefault="004E22C1" w:rsidP="00DC0C50">
      <w:pPr>
        <w:pStyle w:val="a0"/>
      </w:pPr>
      <w:r w:rsidRPr="001455DC">
        <w:t>Biological attacks arising from e.g.:</w:t>
      </w:r>
    </w:p>
    <w:p w14:paraId="5F1D7E61" w14:textId="495C0842" w:rsidR="004E22C1" w:rsidRPr="001455DC" w:rsidRDefault="004E22C1" w:rsidP="00DC0C50">
      <w:pPr>
        <w:pStyle w:val="2"/>
      </w:pPr>
      <w:r w:rsidRPr="001455DC">
        <w:t>algae,</w:t>
      </w:r>
    </w:p>
    <w:p w14:paraId="09863598" w14:textId="57CC1BE5" w:rsidR="004E22C1" w:rsidRPr="001455DC" w:rsidRDefault="004E22C1" w:rsidP="00DC0C50">
      <w:pPr>
        <w:pStyle w:val="2"/>
      </w:pPr>
      <w:r w:rsidRPr="001455DC">
        <w:t>vegetation,</w:t>
      </w:r>
    </w:p>
    <w:p w14:paraId="7CC2C056" w14:textId="42779769" w:rsidR="004E22C1" w:rsidRPr="001455DC" w:rsidRDefault="004E22C1" w:rsidP="00DC0C50">
      <w:pPr>
        <w:pStyle w:val="a0"/>
      </w:pPr>
      <w:r w:rsidRPr="001455DC">
        <w:t>Chemical attacks arising from e.g. the use of the building or the structure (storage of liquids, etc.):</w:t>
      </w:r>
    </w:p>
    <w:p w14:paraId="5659A551" w14:textId="56A5DE9F" w:rsidR="004E22C1" w:rsidRPr="001455DC" w:rsidRDefault="004E22C1" w:rsidP="00DC0C50">
      <w:pPr>
        <w:pStyle w:val="2"/>
      </w:pPr>
      <w:r w:rsidRPr="001455DC">
        <w:t>acid solutions,</w:t>
      </w:r>
    </w:p>
    <w:p w14:paraId="4827FADA" w14:textId="0B345655" w:rsidR="004E22C1" w:rsidRPr="001455DC" w:rsidRDefault="004E22C1" w:rsidP="00DC0C50">
      <w:pPr>
        <w:pStyle w:val="2"/>
      </w:pPr>
      <w:r w:rsidRPr="001455DC">
        <w:t>soft water,</w:t>
      </w:r>
    </w:p>
    <w:p w14:paraId="40CF62A6" w14:textId="52123BCD" w:rsidR="004E22C1" w:rsidRPr="001455DC" w:rsidRDefault="004E22C1" w:rsidP="00DC0C50">
      <w:pPr>
        <w:pStyle w:val="2"/>
      </w:pPr>
      <w:r w:rsidRPr="001455DC">
        <w:t>sulfates,</w:t>
      </w:r>
    </w:p>
    <w:p w14:paraId="6F0851E5" w14:textId="5D75205A" w:rsidR="004E22C1" w:rsidRPr="001455DC" w:rsidRDefault="004E22C1" w:rsidP="00DC0C50">
      <w:pPr>
        <w:pStyle w:val="2"/>
      </w:pPr>
      <w:r w:rsidRPr="001455DC">
        <w:t>other chemicals,</w:t>
      </w:r>
    </w:p>
    <w:p w14:paraId="2D3AA4FF" w14:textId="19205402" w:rsidR="004E22C1" w:rsidRPr="001455DC" w:rsidRDefault="004E22C1" w:rsidP="00DC0C50">
      <w:pPr>
        <w:pStyle w:val="a0"/>
      </w:pPr>
      <w:r w:rsidRPr="001455DC">
        <w:t>Delayed ettringite formation (DEF),</w:t>
      </w:r>
    </w:p>
    <w:p w14:paraId="3DD88635" w14:textId="2463EBD6" w:rsidR="004E22C1" w:rsidRPr="001455DC" w:rsidRDefault="004E22C1" w:rsidP="00DC0C50">
      <w:pPr>
        <w:pStyle w:val="a0"/>
      </w:pPr>
      <w:r w:rsidRPr="001455DC">
        <w:t>Physical attack, arising from e.g.:</w:t>
      </w:r>
    </w:p>
    <w:p w14:paraId="36A1623E" w14:textId="4E4C6A33" w:rsidR="004E22C1" w:rsidRPr="001455DC" w:rsidRDefault="004E22C1" w:rsidP="00DC0C50">
      <w:pPr>
        <w:pStyle w:val="2"/>
      </w:pPr>
      <w:r w:rsidRPr="001455DC">
        <w:t>abrasion,</w:t>
      </w:r>
    </w:p>
    <w:p w14:paraId="6842A6D5" w14:textId="79BDC292" w:rsidR="004E22C1" w:rsidRPr="001455DC" w:rsidRDefault="004E22C1" w:rsidP="00DC0C50">
      <w:pPr>
        <w:pStyle w:val="2"/>
      </w:pPr>
      <w:r w:rsidRPr="001455DC">
        <w:t>temperature change (including freeze/thaw),</w:t>
      </w:r>
    </w:p>
    <w:p w14:paraId="60073010" w14:textId="52333B1C" w:rsidR="004E22C1" w:rsidRPr="001455DC" w:rsidRDefault="004E22C1" w:rsidP="00DC0C50">
      <w:pPr>
        <w:pStyle w:val="2"/>
      </w:pPr>
      <w:r w:rsidRPr="001455DC">
        <w:t>water penetration,</w:t>
      </w:r>
    </w:p>
    <w:p w14:paraId="0ECBCB3A" w14:textId="4BBDF653" w:rsidR="004E22C1" w:rsidRPr="001455DC" w:rsidRDefault="004E22C1" w:rsidP="00DC0C50">
      <w:pPr>
        <w:pStyle w:val="a0"/>
      </w:pPr>
      <w:r w:rsidRPr="001455DC">
        <w:t>R</w:t>
      </w:r>
      <w:r w:rsidR="00DC0C50" w:rsidRPr="001455DC">
        <w:t>e</w:t>
      </w:r>
      <w:r w:rsidRPr="001455DC">
        <w:t>inforcement corrosion due to carbonation or chlorides ingress,</w:t>
      </w:r>
    </w:p>
    <w:p w14:paraId="3B403BC0" w14:textId="75A34571" w:rsidR="004E22C1" w:rsidRPr="001455DC" w:rsidRDefault="004E22C1" w:rsidP="00DC0C50">
      <w:pPr>
        <w:pStyle w:val="a0"/>
      </w:pPr>
      <w:r w:rsidRPr="001455DC">
        <w:t>Reinforcement corrosion due to chlorides present in the mix,</w:t>
      </w:r>
    </w:p>
    <w:p w14:paraId="2A40F9C3" w14:textId="472E1F65" w:rsidR="004E22C1" w:rsidRPr="001455DC" w:rsidRDefault="004E22C1" w:rsidP="00DC0C50">
      <w:pPr>
        <w:pStyle w:val="a0"/>
      </w:pPr>
      <w:r w:rsidRPr="001455DC">
        <w:t>Stress corrosion cracking,</w:t>
      </w:r>
    </w:p>
    <w:p w14:paraId="19BA6C7C" w14:textId="2F9E959E" w:rsidR="004E22C1" w:rsidRPr="001455DC" w:rsidRDefault="004E22C1" w:rsidP="00DC0C50">
      <w:pPr>
        <w:pStyle w:val="a0"/>
        <w:spacing w:after="240"/>
        <w:ind w:left="357" w:hanging="357"/>
      </w:pPr>
      <w:r w:rsidRPr="001455DC">
        <w:t>Thaumasite formation.</w:t>
      </w:r>
    </w:p>
    <w:p w14:paraId="1FE07ED5" w14:textId="77777777" w:rsidR="004E22C1" w:rsidRPr="001455DC" w:rsidRDefault="004E22C1" w:rsidP="00DC0C50">
      <w:pPr>
        <w:pStyle w:val="a7"/>
      </w:pPr>
      <w:r w:rsidRPr="001455DC">
        <w:t>(3)</w:t>
      </w:r>
      <w:r w:rsidRPr="001455DC">
        <w:tab/>
        <w:t>Table 6.1 defines Exposure Classes X for the most common environmental exposure conditions.</w:t>
      </w:r>
    </w:p>
    <w:p w14:paraId="026E642F" w14:textId="7E52DE08" w:rsidR="004E22C1" w:rsidRPr="001455DC" w:rsidRDefault="004E22C1" w:rsidP="00DC0C50">
      <w:pPr>
        <w:pStyle w:val="Note"/>
      </w:pPr>
      <w:r w:rsidRPr="001455DC">
        <w:t>NOTE</w:t>
      </w:r>
      <w:r w:rsidRPr="001455DC">
        <w:tab/>
        <w:t>Guidance for the selection of the exposure classes (e.g. the duration of the exposure, limits for RH in the XC classes or limits for the chloride contents in the XD and XS classes as well as classification of the freeze/thaw climate in the XF classes) can be found in the place of use of the concrete, based on local geographical and climatic conditions, the way of life and levels of protection at national level.</w:t>
      </w:r>
    </w:p>
    <w:p w14:paraId="60061865" w14:textId="426011F0" w:rsidR="004E22C1" w:rsidRPr="001455DC" w:rsidRDefault="004E22C1" w:rsidP="00073FC6">
      <w:pPr>
        <w:pStyle w:val="Tabletitle"/>
        <w:pageBreakBefore/>
      </w:pPr>
      <w:bookmarkStart w:id="339" w:name="_Toc54337324"/>
      <w:r w:rsidRPr="001455DC">
        <w:t>Table 6.1 — Exposure classes related to environmental conditions</w:t>
      </w:r>
      <w:bookmarkEnd w:id="339"/>
    </w:p>
    <w:tbl>
      <w:tblPr>
        <w:tblStyle w:val="53"/>
        <w:tblW w:w="9752" w:type="dxa"/>
        <w:tblLayout w:type="fixed"/>
        <w:tblCellMar>
          <w:left w:w="56" w:type="dxa"/>
          <w:right w:w="56" w:type="dxa"/>
        </w:tblCellMar>
        <w:tblLook w:val="0660" w:firstRow="1" w:lastRow="1" w:firstColumn="0" w:lastColumn="0" w:noHBand="1" w:noVBand="1"/>
      </w:tblPr>
      <w:tblGrid>
        <w:gridCol w:w="680"/>
        <w:gridCol w:w="4536"/>
        <w:gridCol w:w="4536"/>
      </w:tblGrid>
      <w:tr w:rsidR="004E22C1" w:rsidRPr="001455DC" w14:paraId="0A52CA08" w14:textId="77777777" w:rsidTr="00073FC6">
        <w:trPr>
          <w:cnfStyle w:val="100000000000" w:firstRow="1" w:lastRow="0" w:firstColumn="0" w:lastColumn="0" w:oddVBand="0" w:evenVBand="0" w:oddHBand="0" w:evenHBand="0" w:firstRowFirstColumn="0" w:firstRowLastColumn="0" w:lastRowFirstColumn="0" w:lastRowLastColumn="0"/>
          <w:cantSplit/>
          <w:tblHeader/>
        </w:trPr>
        <w:tc>
          <w:tcPr>
            <w:tcW w:w="680" w:type="dxa"/>
          </w:tcPr>
          <w:p w14:paraId="64E2B2CF" w14:textId="77777777" w:rsidR="004E22C1" w:rsidRPr="001455DC" w:rsidRDefault="004E22C1" w:rsidP="00073FC6">
            <w:pPr>
              <w:pStyle w:val="Tableheader-"/>
            </w:pPr>
            <w:r w:rsidRPr="001455DC">
              <w:t>Class</w:t>
            </w:r>
          </w:p>
        </w:tc>
        <w:tc>
          <w:tcPr>
            <w:tcW w:w="4536" w:type="dxa"/>
          </w:tcPr>
          <w:p w14:paraId="67F2910E" w14:textId="77777777" w:rsidR="004E22C1" w:rsidRPr="001455DC" w:rsidRDefault="004E22C1" w:rsidP="00073FC6">
            <w:pPr>
              <w:pStyle w:val="Tableheader-"/>
            </w:pPr>
            <w:r w:rsidRPr="001455DC">
              <w:t>Description of the environment</w:t>
            </w:r>
          </w:p>
        </w:tc>
        <w:tc>
          <w:tcPr>
            <w:tcW w:w="4536" w:type="dxa"/>
          </w:tcPr>
          <w:p w14:paraId="5FB3A877" w14:textId="77777777" w:rsidR="004E22C1" w:rsidRPr="009D3012" w:rsidRDefault="004E22C1" w:rsidP="00073FC6">
            <w:pPr>
              <w:pStyle w:val="Tableheader-"/>
              <w:rPr>
                <w:lang w:val="en-US"/>
              </w:rPr>
            </w:pPr>
            <w:r w:rsidRPr="009D3012">
              <w:rPr>
                <w:lang w:val="en-US"/>
              </w:rPr>
              <w:t>Informative examples where exposure classes may occur (NDP)</w:t>
            </w:r>
          </w:p>
        </w:tc>
      </w:tr>
      <w:tr w:rsidR="004E22C1" w:rsidRPr="001455DC" w14:paraId="6DF33A58" w14:textId="77777777" w:rsidTr="00073FC6">
        <w:trPr>
          <w:cantSplit/>
        </w:trPr>
        <w:tc>
          <w:tcPr>
            <w:tcW w:w="9752" w:type="dxa"/>
            <w:gridSpan w:val="3"/>
            <w:vAlign w:val="center"/>
          </w:tcPr>
          <w:p w14:paraId="251D3E7E" w14:textId="1DA0657E" w:rsidR="004E22C1" w:rsidRPr="009D3012" w:rsidRDefault="004E22C1" w:rsidP="00073FC6">
            <w:pPr>
              <w:pStyle w:val="Tablebody-"/>
              <w:jc w:val="left"/>
              <w:rPr>
                <w:b/>
                <w:lang w:val="en-US"/>
              </w:rPr>
            </w:pPr>
            <w:r w:rsidRPr="009D3012">
              <w:rPr>
                <w:b/>
                <w:lang w:val="en-US"/>
              </w:rPr>
              <w:t>1</w:t>
            </w:r>
            <w:r w:rsidR="00DC0C50" w:rsidRPr="009D3012">
              <w:rPr>
                <w:b/>
                <w:lang w:val="en-US"/>
              </w:rPr>
              <w:t>.</w:t>
            </w:r>
            <w:r w:rsidRPr="009D3012">
              <w:rPr>
                <w:b/>
                <w:lang w:val="en-US"/>
              </w:rPr>
              <w:t xml:space="preserve"> No risk of corrosion or attack</w:t>
            </w:r>
          </w:p>
        </w:tc>
      </w:tr>
      <w:tr w:rsidR="004E22C1" w:rsidRPr="001455DC" w14:paraId="7DB8DAD2" w14:textId="77777777" w:rsidTr="00073FC6">
        <w:trPr>
          <w:cantSplit/>
        </w:trPr>
        <w:tc>
          <w:tcPr>
            <w:tcW w:w="9752" w:type="dxa"/>
            <w:gridSpan w:val="3"/>
            <w:vAlign w:val="center"/>
          </w:tcPr>
          <w:p w14:paraId="27122241" w14:textId="77777777" w:rsidR="004E22C1" w:rsidRPr="009D3012" w:rsidRDefault="004E22C1" w:rsidP="00073FC6">
            <w:pPr>
              <w:pStyle w:val="Tablebody-"/>
              <w:jc w:val="left"/>
              <w:rPr>
                <w:lang w:val="en-US"/>
              </w:rPr>
            </w:pPr>
            <w:r w:rsidRPr="009D3012">
              <w:rPr>
                <w:lang w:val="en-US"/>
              </w:rPr>
              <w:t>For concrete without reinforcement or embedded metal:</w:t>
            </w:r>
          </w:p>
        </w:tc>
      </w:tr>
      <w:tr w:rsidR="004E22C1" w:rsidRPr="001455DC" w14:paraId="243908F7" w14:textId="77777777" w:rsidTr="00073FC6">
        <w:trPr>
          <w:cantSplit/>
        </w:trPr>
        <w:tc>
          <w:tcPr>
            <w:tcW w:w="680" w:type="dxa"/>
            <w:vAlign w:val="center"/>
          </w:tcPr>
          <w:p w14:paraId="37AFA7DF" w14:textId="77777777" w:rsidR="004E22C1" w:rsidRPr="001455DC" w:rsidRDefault="004E22C1" w:rsidP="00073FC6">
            <w:pPr>
              <w:pStyle w:val="Tablebody-"/>
              <w:jc w:val="left"/>
            </w:pPr>
            <w:r w:rsidRPr="001455DC">
              <w:t>X0</w:t>
            </w:r>
          </w:p>
        </w:tc>
        <w:tc>
          <w:tcPr>
            <w:tcW w:w="4536" w:type="dxa"/>
            <w:vAlign w:val="center"/>
          </w:tcPr>
          <w:p w14:paraId="68C7D9F8" w14:textId="77777777" w:rsidR="004E22C1" w:rsidRPr="009D3012" w:rsidRDefault="004E22C1" w:rsidP="00073FC6">
            <w:pPr>
              <w:pStyle w:val="Tablebody-"/>
              <w:jc w:val="left"/>
              <w:rPr>
                <w:lang w:val="en-US"/>
              </w:rPr>
            </w:pPr>
            <w:r w:rsidRPr="009D3012">
              <w:rPr>
                <w:lang w:val="en-US" w:eastAsia="fr-FR"/>
              </w:rPr>
              <w:t>All exposures except where there is freeze/thaw, abrasion or chemical attack.</w:t>
            </w:r>
          </w:p>
        </w:tc>
        <w:tc>
          <w:tcPr>
            <w:tcW w:w="4536" w:type="dxa"/>
            <w:vAlign w:val="center"/>
          </w:tcPr>
          <w:p w14:paraId="5601F5A1" w14:textId="77777777" w:rsidR="004E22C1" w:rsidRPr="009D3012" w:rsidRDefault="004E22C1" w:rsidP="00073FC6">
            <w:pPr>
              <w:pStyle w:val="Tablebody-"/>
              <w:jc w:val="left"/>
              <w:rPr>
                <w:lang w:val="en-US"/>
              </w:rPr>
            </w:pPr>
            <w:r w:rsidRPr="009D3012">
              <w:rPr>
                <w:lang w:val="en-US"/>
              </w:rPr>
              <w:t>Pure concrete members without any reinforcement.</w:t>
            </w:r>
          </w:p>
        </w:tc>
      </w:tr>
      <w:tr w:rsidR="004E22C1" w:rsidRPr="001455DC" w14:paraId="65DA2DED" w14:textId="77777777" w:rsidTr="00073FC6">
        <w:trPr>
          <w:cantSplit/>
        </w:trPr>
        <w:tc>
          <w:tcPr>
            <w:tcW w:w="9752" w:type="dxa"/>
            <w:gridSpan w:val="3"/>
            <w:vAlign w:val="center"/>
          </w:tcPr>
          <w:p w14:paraId="3B19BFA7" w14:textId="13F0F2D4" w:rsidR="004E22C1" w:rsidRPr="009D3012" w:rsidRDefault="004E22C1" w:rsidP="00073FC6">
            <w:pPr>
              <w:pStyle w:val="Tablebody-"/>
              <w:jc w:val="left"/>
              <w:rPr>
                <w:b/>
                <w:bCs/>
                <w:lang w:val="en-US"/>
              </w:rPr>
            </w:pPr>
            <w:r w:rsidRPr="009D3012">
              <w:rPr>
                <w:b/>
                <w:bCs/>
                <w:lang w:val="en-US"/>
              </w:rPr>
              <w:t>2</w:t>
            </w:r>
            <w:r w:rsidR="00DC0C50" w:rsidRPr="009D3012">
              <w:rPr>
                <w:b/>
                <w:bCs/>
                <w:lang w:val="en-US"/>
              </w:rPr>
              <w:t>.</w:t>
            </w:r>
            <w:r w:rsidRPr="009D3012">
              <w:rPr>
                <w:b/>
                <w:bCs/>
                <w:lang w:val="en-US"/>
              </w:rPr>
              <w:t xml:space="preserve"> Corrosion of embedded metal induced by carbonation</w:t>
            </w:r>
          </w:p>
        </w:tc>
      </w:tr>
      <w:tr w:rsidR="004E22C1" w:rsidRPr="001455DC" w14:paraId="4AD1676F" w14:textId="77777777" w:rsidTr="00073FC6">
        <w:trPr>
          <w:cantSplit/>
        </w:trPr>
        <w:tc>
          <w:tcPr>
            <w:tcW w:w="9752" w:type="dxa"/>
            <w:gridSpan w:val="3"/>
            <w:vAlign w:val="center"/>
          </w:tcPr>
          <w:p w14:paraId="7E20C924" w14:textId="77777777" w:rsidR="004E22C1" w:rsidRPr="009D3012" w:rsidRDefault="004E22C1" w:rsidP="00073FC6">
            <w:pPr>
              <w:pStyle w:val="Tablebody-"/>
              <w:jc w:val="left"/>
              <w:rPr>
                <w:lang w:val="en-US"/>
              </w:rPr>
            </w:pPr>
            <w:r w:rsidRPr="009D3012">
              <w:rPr>
                <w:lang w:val="en-US"/>
              </w:rPr>
              <w:t>Where concrete containing steel reinforcement or other embedded metal is exposed to air and moisture, the exposure shall be classified as follows:</w:t>
            </w:r>
          </w:p>
        </w:tc>
      </w:tr>
      <w:tr w:rsidR="004E22C1" w:rsidRPr="001455DC" w14:paraId="2B7B63A9" w14:textId="77777777" w:rsidTr="00073FC6">
        <w:trPr>
          <w:cantSplit/>
        </w:trPr>
        <w:tc>
          <w:tcPr>
            <w:tcW w:w="680" w:type="dxa"/>
            <w:vAlign w:val="center"/>
          </w:tcPr>
          <w:p w14:paraId="5E79E2D1" w14:textId="77777777" w:rsidR="004E22C1" w:rsidRPr="001455DC" w:rsidRDefault="004E22C1" w:rsidP="00073FC6">
            <w:pPr>
              <w:pStyle w:val="Tablebody-"/>
              <w:jc w:val="left"/>
            </w:pPr>
            <w:r w:rsidRPr="001455DC">
              <w:t>XC1</w:t>
            </w:r>
          </w:p>
        </w:tc>
        <w:tc>
          <w:tcPr>
            <w:tcW w:w="4536" w:type="dxa"/>
            <w:vAlign w:val="center"/>
          </w:tcPr>
          <w:p w14:paraId="04FF4F6F" w14:textId="77777777" w:rsidR="004E22C1" w:rsidRPr="001455DC" w:rsidRDefault="004E22C1" w:rsidP="00073FC6">
            <w:pPr>
              <w:pStyle w:val="Tablebody-"/>
              <w:jc w:val="left"/>
            </w:pPr>
            <w:r w:rsidRPr="001455DC">
              <w:t xml:space="preserve">Dry </w:t>
            </w:r>
          </w:p>
        </w:tc>
        <w:tc>
          <w:tcPr>
            <w:tcW w:w="4536" w:type="dxa"/>
            <w:vAlign w:val="center"/>
          </w:tcPr>
          <w:p w14:paraId="51971131" w14:textId="77777777" w:rsidR="004E22C1" w:rsidRPr="009D3012" w:rsidRDefault="004E22C1" w:rsidP="00073FC6">
            <w:pPr>
              <w:pStyle w:val="Tablebody-"/>
              <w:jc w:val="left"/>
              <w:rPr>
                <w:lang w:val="en-US"/>
              </w:rPr>
            </w:pPr>
            <w:r w:rsidRPr="009D3012">
              <w:rPr>
                <w:lang w:val="en-US"/>
              </w:rPr>
              <w:t>Concrete inside buildings with low air humidity, where the corrosion rate will be insignificant.</w:t>
            </w:r>
          </w:p>
        </w:tc>
      </w:tr>
      <w:tr w:rsidR="004E22C1" w:rsidRPr="001455DC" w14:paraId="3966D09C" w14:textId="77777777" w:rsidTr="00073FC6">
        <w:trPr>
          <w:cantSplit/>
        </w:trPr>
        <w:tc>
          <w:tcPr>
            <w:tcW w:w="680" w:type="dxa"/>
            <w:vAlign w:val="center"/>
          </w:tcPr>
          <w:p w14:paraId="37AB2296" w14:textId="77777777" w:rsidR="004E22C1" w:rsidRPr="001455DC" w:rsidRDefault="004E22C1" w:rsidP="00073FC6">
            <w:pPr>
              <w:pStyle w:val="Tablebody-"/>
              <w:jc w:val="left"/>
            </w:pPr>
            <w:r w:rsidRPr="001455DC">
              <w:t>XC2</w:t>
            </w:r>
          </w:p>
        </w:tc>
        <w:tc>
          <w:tcPr>
            <w:tcW w:w="4536" w:type="dxa"/>
            <w:vAlign w:val="center"/>
          </w:tcPr>
          <w:p w14:paraId="3B5AA651" w14:textId="77777777" w:rsidR="004E22C1" w:rsidRPr="009D3012" w:rsidRDefault="004E22C1" w:rsidP="00073FC6">
            <w:pPr>
              <w:pStyle w:val="Tablebody-"/>
              <w:jc w:val="left"/>
              <w:rPr>
                <w:lang w:val="en-US"/>
              </w:rPr>
            </w:pPr>
            <w:r w:rsidRPr="009D3012">
              <w:rPr>
                <w:lang w:val="en-US"/>
              </w:rPr>
              <w:t>Wet or permanent high humidity, rarely dry</w:t>
            </w:r>
          </w:p>
        </w:tc>
        <w:tc>
          <w:tcPr>
            <w:tcW w:w="4536" w:type="dxa"/>
            <w:vAlign w:val="center"/>
          </w:tcPr>
          <w:p w14:paraId="1FAB3264" w14:textId="77777777" w:rsidR="004E22C1" w:rsidRPr="009D3012" w:rsidRDefault="004E22C1" w:rsidP="00073FC6">
            <w:pPr>
              <w:pStyle w:val="Tablebody-"/>
              <w:jc w:val="left"/>
              <w:rPr>
                <w:lang w:val="en-US"/>
              </w:rPr>
            </w:pPr>
            <w:r w:rsidRPr="009D3012">
              <w:rPr>
                <w:lang w:val="en-US"/>
              </w:rPr>
              <w:t>Concrete surfaces subject to long-term water contact or permanently submerged in water or permanently exposed to high humidity;</w:t>
            </w:r>
          </w:p>
          <w:p w14:paraId="05B8EC51" w14:textId="77777777" w:rsidR="004E22C1" w:rsidRPr="009D3012" w:rsidRDefault="004E22C1" w:rsidP="00073FC6">
            <w:pPr>
              <w:pStyle w:val="Tablebody-"/>
              <w:jc w:val="left"/>
              <w:rPr>
                <w:lang w:val="en-US"/>
              </w:rPr>
            </w:pPr>
            <w:r w:rsidRPr="009D3012">
              <w:rPr>
                <w:lang w:val="en-US"/>
              </w:rPr>
              <w:t>many foundations; water containments (not external).</w:t>
            </w:r>
          </w:p>
          <w:p w14:paraId="224E8591" w14:textId="7437F2B6" w:rsidR="004E22C1" w:rsidRPr="009D3012" w:rsidRDefault="004E22C1" w:rsidP="00073FC6">
            <w:pPr>
              <w:pStyle w:val="Tablebody--"/>
              <w:jc w:val="left"/>
              <w:rPr>
                <w:lang w:val="en-US"/>
              </w:rPr>
            </w:pPr>
            <w:r w:rsidRPr="009D3012">
              <w:rPr>
                <w:lang w:val="en-US"/>
              </w:rPr>
              <w:t>NOTE</w:t>
            </w:r>
            <w:r w:rsidR="00661029" w:rsidRPr="009D3012">
              <w:rPr>
                <w:lang w:val="en-US"/>
              </w:rPr>
              <w:t xml:space="preserve"> 1</w:t>
            </w:r>
            <w:r w:rsidRPr="009D3012">
              <w:rPr>
                <w:lang w:val="en-US"/>
              </w:rPr>
              <w:tab/>
              <w:t>Leaching could also cause corrosion (see (5), XA classes).</w:t>
            </w:r>
          </w:p>
        </w:tc>
      </w:tr>
      <w:tr w:rsidR="004E22C1" w:rsidRPr="001455DC" w14:paraId="2E708C51" w14:textId="77777777" w:rsidTr="00073FC6">
        <w:trPr>
          <w:cantSplit/>
        </w:trPr>
        <w:tc>
          <w:tcPr>
            <w:tcW w:w="680" w:type="dxa"/>
            <w:vAlign w:val="center"/>
          </w:tcPr>
          <w:p w14:paraId="385DCEB5" w14:textId="77777777" w:rsidR="004E22C1" w:rsidRPr="001455DC" w:rsidRDefault="004E22C1" w:rsidP="00073FC6">
            <w:pPr>
              <w:pStyle w:val="Tablebody-"/>
              <w:jc w:val="left"/>
            </w:pPr>
            <w:r w:rsidRPr="001455DC">
              <w:t>XC3</w:t>
            </w:r>
          </w:p>
        </w:tc>
        <w:tc>
          <w:tcPr>
            <w:tcW w:w="4536" w:type="dxa"/>
            <w:vAlign w:val="center"/>
          </w:tcPr>
          <w:p w14:paraId="01CFCE06" w14:textId="77777777" w:rsidR="004E22C1" w:rsidRPr="001455DC" w:rsidRDefault="004E22C1" w:rsidP="00073FC6">
            <w:pPr>
              <w:pStyle w:val="Tablebody-"/>
              <w:jc w:val="left"/>
            </w:pPr>
            <w:r w:rsidRPr="001455DC">
              <w:t>Moderate humidity</w:t>
            </w:r>
          </w:p>
        </w:tc>
        <w:tc>
          <w:tcPr>
            <w:tcW w:w="4536" w:type="dxa"/>
            <w:vAlign w:val="center"/>
          </w:tcPr>
          <w:p w14:paraId="1C1F6E9C" w14:textId="77777777" w:rsidR="004E22C1" w:rsidRPr="009D3012" w:rsidRDefault="004E22C1" w:rsidP="00073FC6">
            <w:pPr>
              <w:pStyle w:val="Tablebody-"/>
              <w:jc w:val="left"/>
              <w:rPr>
                <w:lang w:val="en-US"/>
              </w:rPr>
            </w:pPr>
            <w:r w:rsidRPr="009D3012">
              <w:rPr>
                <w:lang w:val="en-US"/>
              </w:rPr>
              <w:t>Concrete inside buildings with moderate humidity and not permanent high humidity;</w:t>
            </w:r>
          </w:p>
          <w:p w14:paraId="7CE31383" w14:textId="77777777" w:rsidR="004E22C1" w:rsidRPr="009D3012" w:rsidRDefault="004E22C1" w:rsidP="00073FC6">
            <w:pPr>
              <w:pStyle w:val="Tablebody-"/>
              <w:jc w:val="left"/>
              <w:rPr>
                <w:lang w:val="en-US"/>
              </w:rPr>
            </w:pPr>
            <w:r w:rsidRPr="009D3012">
              <w:rPr>
                <w:lang w:val="en-US"/>
              </w:rPr>
              <w:t>External concrete sheltered from rain.</w:t>
            </w:r>
          </w:p>
        </w:tc>
      </w:tr>
      <w:tr w:rsidR="004E22C1" w:rsidRPr="001455DC" w14:paraId="163DD42E" w14:textId="77777777" w:rsidTr="00073FC6">
        <w:trPr>
          <w:cantSplit/>
        </w:trPr>
        <w:tc>
          <w:tcPr>
            <w:tcW w:w="680" w:type="dxa"/>
            <w:vAlign w:val="center"/>
          </w:tcPr>
          <w:p w14:paraId="2EC3BF7E" w14:textId="77777777" w:rsidR="004E22C1" w:rsidRPr="001455DC" w:rsidRDefault="004E22C1" w:rsidP="00073FC6">
            <w:pPr>
              <w:pStyle w:val="Tablebody-"/>
              <w:jc w:val="left"/>
            </w:pPr>
            <w:r w:rsidRPr="001455DC">
              <w:t>XC4</w:t>
            </w:r>
          </w:p>
        </w:tc>
        <w:tc>
          <w:tcPr>
            <w:tcW w:w="4536" w:type="dxa"/>
            <w:vAlign w:val="center"/>
          </w:tcPr>
          <w:p w14:paraId="269603DD" w14:textId="77777777" w:rsidR="004E22C1" w:rsidRPr="001455DC" w:rsidRDefault="004E22C1" w:rsidP="00073FC6">
            <w:pPr>
              <w:pStyle w:val="Tablebody-"/>
              <w:jc w:val="left"/>
            </w:pPr>
            <w:r w:rsidRPr="001455DC">
              <w:t>Cyclic wet and dry</w:t>
            </w:r>
          </w:p>
        </w:tc>
        <w:tc>
          <w:tcPr>
            <w:tcW w:w="4536" w:type="dxa"/>
            <w:vAlign w:val="center"/>
          </w:tcPr>
          <w:p w14:paraId="641F0CE0" w14:textId="77777777" w:rsidR="004E22C1" w:rsidRPr="009D3012" w:rsidRDefault="004E22C1" w:rsidP="00073FC6">
            <w:pPr>
              <w:pStyle w:val="Tablebody-"/>
              <w:jc w:val="left"/>
              <w:rPr>
                <w:lang w:val="en-US"/>
              </w:rPr>
            </w:pPr>
            <w:r w:rsidRPr="009D3012">
              <w:rPr>
                <w:lang w:val="en-US"/>
              </w:rPr>
              <w:t>Concrete surfaces subject to cyclic water contact (e.g. external concrete not sheltered from rain as walls and facades).</w:t>
            </w:r>
          </w:p>
        </w:tc>
      </w:tr>
      <w:tr w:rsidR="004E22C1" w:rsidRPr="001455DC" w14:paraId="23082125" w14:textId="77777777" w:rsidTr="00073FC6">
        <w:trPr>
          <w:cantSplit/>
        </w:trPr>
        <w:tc>
          <w:tcPr>
            <w:tcW w:w="9752" w:type="dxa"/>
            <w:gridSpan w:val="3"/>
            <w:vAlign w:val="center"/>
          </w:tcPr>
          <w:p w14:paraId="5D01A447" w14:textId="766ECE65" w:rsidR="004E22C1" w:rsidRPr="009D3012" w:rsidRDefault="004E22C1" w:rsidP="00073FC6">
            <w:pPr>
              <w:pStyle w:val="Tablebody-"/>
              <w:jc w:val="left"/>
              <w:rPr>
                <w:b/>
                <w:bCs/>
                <w:lang w:val="en-US"/>
              </w:rPr>
            </w:pPr>
            <w:r w:rsidRPr="009D3012">
              <w:rPr>
                <w:b/>
                <w:bCs/>
                <w:lang w:val="en-US"/>
              </w:rPr>
              <w:t>3</w:t>
            </w:r>
            <w:r w:rsidR="00DC0C50" w:rsidRPr="009D3012">
              <w:rPr>
                <w:b/>
                <w:bCs/>
                <w:lang w:val="en-US"/>
              </w:rPr>
              <w:t>.</w:t>
            </w:r>
            <w:r w:rsidRPr="009D3012">
              <w:rPr>
                <w:b/>
                <w:bCs/>
                <w:lang w:val="en-US"/>
              </w:rPr>
              <w:t xml:space="preserve"> Corrosion of embedded metal induced by chlorides</w:t>
            </w:r>
          </w:p>
        </w:tc>
      </w:tr>
      <w:tr w:rsidR="004E22C1" w:rsidRPr="001455DC" w14:paraId="48FC9E70" w14:textId="77777777" w:rsidTr="00073FC6">
        <w:trPr>
          <w:cantSplit/>
        </w:trPr>
        <w:tc>
          <w:tcPr>
            <w:tcW w:w="9752" w:type="dxa"/>
            <w:gridSpan w:val="3"/>
            <w:vAlign w:val="center"/>
          </w:tcPr>
          <w:p w14:paraId="09EC4AC2" w14:textId="77777777" w:rsidR="004E22C1" w:rsidRPr="009D3012" w:rsidRDefault="004E22C1" w:rsidP="00073FC6">
            <w:pPr>
              <w:pStyle w:val="Tablebody-"/>
              <w:jc w:val="left"/>
              <w:rPr>
                <w:lang w:val="en-US"/>
              </w:rPr>
            </w:pPr>
            <w:r w:rsidRPr="009D3012">
              <w:rPr>
                <w:lang w:val="en-US"/>
              </w:rPr>
              <w:t>Where concrete containing steel reinforcement or other embedded metal is subject to contact with water containing chlorides, including de-icing salts, from sources other than from sea water, the exposure shall be classified as follows:</w:t>
            </w:r>
          </w:p>
        </w:tc>
      </w:tr>
      <w:tr w:rsidR="004E22C1" w:rsidRPr="001455DC" w14:paraId="6CE1C109" w14:textId="77777777" w:rsidTr="00073FC6">
        <w:trPr>
          <w:cantSplit/>
        </w:trPr>
        <w:tc>
          <w:tcPr>
            <w:tcW w:w="680" w:type="dxa"/>
            <w:vAlign w:val="center"/>
          </w:tcPr>
          <w:p w14:paraId="1E56FDBD" w14:textId="77777777" w:rsidR="004E22C1" w:rsidRPr="001455DC" w:rsidRDefault="004E22C1" w:rsidP="00073FC6">
            <w:pPr>
              <w:pStyle w:val="Tablebody-"/>
              <w:jc w:val="left"/>
            </w:pPr>
            <w:r w:rsidRPr="001455DC">
              <w:t>XD1</w:t>
            </w:r>
          </w:p>
        </w:tc>
        <w:tc>
          <w:tcPr>
            <w:tcW w:w="4536" w:type="dxa"/>
            <w:vAlign w:val="center"/>
          </w:tcPr>
          <w:p w14:paraId="0A510757" w14:textId="77777777" w:rsidR="004E22C1" w:rsidRPr="001455DC" w:rsidRDefault="004E22C1" w:rsidP="00073FC6">
            <w:pPr>
              <w:pStyle w:val="Tablebody-"/>
              <w:jc w:val="left"/>
            </w:pPr>
            <w:r w:rsidRPr="001455DC">
              <w:t>Moderate humidity</w:t>
            </w:r>
          </w:p>
        </w:tc>
        <w:tc>
          <w:tcPr>
            <w:tcW w:w="4536" w:type="dxa"/>
            <w:vAlign w:val="center"/>
          </w:tcPr>
          <w:p w14:paraId="6193599D" w14:textId="77777777" w:rsidR="004E22C1" w:rsidRPr="009D3012" w:rsidRDefault="004E22C1" w:rsidP="00073FC6">
            <w:pPr>
              <w:pStyle w:val="Tablebody-"/>
              <w:jc w:val="left"/>
              <w:rPr>
                <w:lang w:val="en-US"/>
              </w:rPr>
            </w:pPr>
            <w:r w:rsidRPr="009D3012">
              <w:rPr>
                <w:lang w:val="en-US"/>
              </w:rPr>
              <w:t>Concrete surfaces exposed to airborne chlorides.</w:t>
            </w:r>
          </w:p>
        </w:tc>
      </w:tr>
      <w:tr w:rsidR="004E22C1" w:rsidRPr="001455DC" w14:paraId="58B87981" w14:textId="77777777" w:rsidTr="00073FC6">
        <w:trPr>
          <w:cantSplit/>
        </w:trPr>
        <w:tc>
          <w:tcPr>
            <w:tcW w:w="680" w:type="dxa"/>
            <w:vAlign w:val="center"/>
          </w:tcPr>
          <w:p w14:paraId="2BB770C7" w14:textId="77777777" w:rsidR="004E22C1" w:rsidRPr="001455DC" w:rsidRDefault="004E22C1" w:rsidP="00073FC6">
            <w:pPr>
              <w:pStyle w:val="Tablebody-"/>
              <w:jc w:val="left"/>
            </w:pPr>
            <w:r w:rsidRPr="001455DC">
              <w:t>XD2</w:t>
            </w:r>
          </w:p>
        </w:tc>
        <w:tc>
          <w:tcPr>
            <w:tcW w:w="4536" w:type="dxa"/>
            <w:vAlign w:val="center"/>
          </w:tcPr>
          <w:p w14:paraId="376E5B89" w14:textId="77777777" w:rsidR="004E22C1" w:rsidRPr="001455DC" w:rsidRDefault="004E22C1" w:rsidP="00073FC6">
            <w:pPr>
              <w:pStyle w:val="Tablebody-"/>
              <w:jc w:val="left"/>
            </w:pPr>
            <w:r w:rsidRPr="001455DC">
              <w:t>Wet, rarely dry</w:t>
            </w:r>
          </w:p>
        </w:tc>
        <w:tc>
          <w:tcPr>
            <w:tcW w:w="4536" w:type="dxa"/>
            <w:vAlign w:val="center"/>
          </w:tcPr>
          <w:p w14:paraId="1FBA570F" w14:textId="77777777" w:rsidR="004E22C1" w:rsidRPr="009D3012" w:rsidRDefault="004E22C1" w:rsidP="00073FC6">
            <w:pPr>
              <w:pStyle w:val="Tablebody-"/>
              <w:jc w:val="left"/>
              <w:rPr>
                <w:lang w:val="en-US"/>
              </w:rPr>
            </w:pPr>
            <w:r w:rsidRPr="009D3012">
              <w:rPr>
                <w:lang w:val="en-US"/>
              </w:rPr>
              <w:t>Swimming pools;</w:t>
            </w:r>
          </w:p>
          <w:p w14:paraId="4AAAAE72" w14:textId="77777777" w:rsidR="004E22C1" w:rsidRPr="009D3012" w:rsidRDefault="004E22C1" w:rsidP="00073FC6">
            <w:pPr>
              <w:pStyle w:val="Tablebody-"/>
              <w:jc w:val="left"/>
              <w:rPr>
                <w:lang w:val="en-US"/>
              </w:rPr>
            </w:pPr>
            <w:r w:rsidRPr="009D3012">
              <w:rPr>
                <w:lang w:val="en-US"/>
              </w:rPr>
              <w:t>Concrete components exposed to industrial waters containing chlorides.</w:t>
            </w:r>
          </w:p>
          <w:p w14:paraId="10F316A5" w14:textId="1F91743E" w:rsidR="004E22C1" w:rsidRPr="009D3012" w:rsidRDefault="004E22C1" w:rsidP="00073FC6">
            <w:pPr>
              <w:pStyle w:val="Tablebody--"/>
              <w:jc w:val="left"/>
              <w:rPr>
                <w:lang w:val="en-US"/>
              </w:rPr>
            </w:pPr>
            <w:r w:rsidRPr="009D3012">
              <w:rPr>
                <w:lang w:val="en-US"/>
              </w:rPr>
              <w:t>NOTE</w:t>
            </w:r>
            <w:r w:rsidR="00661029" w:rsidRPr="009D3012">
              <w:rPr>
                <w:lang w:val="en-US"/>
              </w:rPr>
              <w:t xml:space="preserve"> 2</w:t>
            </w:r>
            <w:r w:rsidRPr="009D3012">
              <w:rPr>
                <w:lang w:val="en-US"/>
              </w:rPr>
              <w:tab/>
              <w:t>If the chloride content of the water is sufficiently low then XD1 applies.</w:t>
            </w:r>
          </w:p>
        </w:tc>
      </w:tr>
      <w:tr w:rsidR="004E22C1" w:rsidRPr="001455DC" w14:paraId="47CD1D79" w14:textId="77777777" w:rsidTr="00073FC6">
        <w:trPr>
          <w:cantSplit/>
        </w:trPr>
        <w:tc>
          <w:tcPr>
            <w:tcW w:w="680" w:type="dxa"/>
            <w:vAlign w:val="center"/>
          </w:tcPr>
          <w:p w14:paraId="381A213B" w14:textId="77777777" w:rsidR="004E22C1" w:rsidRPr="001455DC" w:rsidRDefault="004E22C1" w:rsidP="00073FC6">
            <w:pPr>
              <w:pStyle w:val="Tablebody-"/>
              <w:jc w:val="left"/>
            </w:pPr>
            <w:r w:rsidRPr="001455DC">
              <w:t>XD3</w:t>
            </w:r>
          </w:p>
        </w:tc>
        <w:tc>
          <w:tcPr>
            <w:tcW w:w="4536" w:type="dxa"/>
            <w:vAlign w:val="center"/>
          </w:tcPr>
          <w:p w14:paraId="5D79A654" w14:textId="77777777" w:rsidR="004E22C1" w:rsidRPr="001455DC" w:rsidRDefault="004E22C1" w:rsidP="00073FC6">
            <w:pPr>
              <w:pStyle w:val="Tablebody-"/>
              <w:jc w:val="left"/>
            </w:pPr>
            <w:r w:rsidRPr="001455DC">
              <w:t>Cyclic wet and dry</w:t>
            </w:r>
          </w:p>
        </w:tc>
        <w:tc>
          <w:tcPr>
            <w:tcW w:w="4536" w:type="dxa"/>
            <w:vAlign w:val="center"/>
          </w:tcPr>
          <w:p w14:paraId="1EEED2D0" w14:textId="77777777" w:rsidR="004E22C1" w:rsidRPr="009D3012" w:rsidRDefault="004E22C1" w:rsidP="00073FC6">
            <w:pPr>
              <w:pStyle w:val="Tablebody-"/>
              <w:jc w:val="left"/>
              <w:rPr>
                <w:lang w:val="en-US"/>
              </w:rPr>
            </w:pPr>
            <w:r w:rsidRPr="009D3012">
              <w:rPr>
                <w:lang w:val="en-US"/>
              </w:rPr>
              <w:t>Parts of bridges exposed to water containing chlorides;</w:t>
            </w:r>
          </w:p>
          <w:p w14:paraId="4B1A376D" w14:textId="77777777" w:rsidR="004E22C1" w:rsidRPr="009D3012" w:rsidRDefault="004E22C1" w:rsidP="00073FC6">
            <w:pPr>
              <w:pStyle w:val="Tablebody-"/>
              <w:jc w:val="left"/>
              <w:rPr>
                <w:lang w:val="en-US"/>
              </w:rPr>
            </w:pPr>
            <w:r w:rsidRPr="009D3012">
              <w:rPr>
                <w:lang w:val="en-US"/>
              </w:rPr>
              <w:t>Concrete roads, pavements and car park slabs in areas where de-icing agents are frequently used.</w:t>
            </w:r>
          </w:p>
        </w:tc>
      </w:tr>
      <w:tr w:rsidR="004E22C1" w:rsidRPr="001455DC" w14:paraId="0239FFBB" w14:textId="77777777" w:rsidTr="00073FC6">
        <w:trPr>
          <w:cantSplit/>
        </w:trPr>
        <w:tc>
          <w:tcPr>
            <w:tcW w:w="9752" w:type="dxa"/>
            <w:gridSpan w:val="3"/>
            <w:vAlign w:val="center"/>
          </w:tcPr>
          <w:p w14:paraId="22F092BC" w14:textId="2C23D9FF" w:rsidR="004E22C1" w:rsidRPr="009D3012" w:rsidRDefault="004E22C1" w:rsidP="00A35599">
            <w:pPr>
              <w:pStyle w:val="Tablebody-"/>
              <w:keepNext/>
              <w:jc w:val="left"/>
              <w:rPr>
                <w:b/>
                <w:bCs/>
                <w:lang w:val="en-US"/>
              </w:rPr>
            </w:pPr>
            <w:r w:rsidRPr="009D3012">
              <w:rPr>
                <w:b/>
                <w:bCs/>
                <w:lang w:val="en-US"/>
              </w:rPr>
              <w:t>4</w:t>
            </w:r>
            <w:r w:rsidR="00DC0C50" w:rsidRPr="009D3012">
              <w:rPr>
                <w:b/>
                <w:bCs/>
                <w:lang w:val="en-US"/>
              </w:rPr>
              <w:t>.</w:t>
            </w:r>
            <w:r w:rsidRPr="009D3012">
              <w:rPr>
                <w:b/>
                <w:bCs/>
                <w:lang w:val="en-US"/>
              </w:rPr>
              <w:t xml:space="preserve"> Corrosion of embedded metal induced by chlorides from sea water</w:t>
            </w:r>
          </w:p>
        </w:tc>
      </w:tr>
      <w:tr w:rsidR="004E22C1" w:rsidRPr="001455DC" w14:paraId="5635794D" w14:textId="77777777" w:rsidTr="00073FC6">
        <w:trPr>
          <w:cantSplit/>
        </w:trPr>
        <w:tc>
          <w:tcPr>
            <w:tcW w:w="9752" w:type="dxa"/>
            <w:gridSpan w:val="3"/>
            <w:vAlign w:val="center"/>
          </w:tcPr>
          <w:p w14:paraId="06145CB7" w14:textId="77777777" w:rsidR="004E22C1" w:rsidRPr="009D3012" w:rsidRDefault="004E22C1" w:rsidP="00A35599">
            <w:pPr>
              <w:pStyle w:val="Tablebody-"/>
              <w:keepNext/>
              <w:jc w:val="left"/>
              <w:rPr>
                <w:lang w:val="en-US"/>
              </w:rPr>
            </w:pPr>
            <w:r w:rsidRPr="009D3012">
              <w:rPr>
                <w:lang w:val="en-US"/>
              </w:rPr>
              <w:t>Where concrete containing steel reinforcement or other embedded metal is subject to contact with chlorides from sea water or air carrying salt originating from sea water, the exposure shall be classified as follows:</w:t>
            </w:r>
          </w:p>
        </w:tc>
      </w:tr>
      <w:tr w:rsidR="004E22C1" w:rsidRPr="001455DC" w14:paraId="06C9E65B" w14:textId="77777777" w:rsidTr="00073FC6">
        <w:trPr>
          <w:cantSplit/>
        </w:trPr>
        <w:tc>
          <w:tcPr>
            <w:tcW w:w="680" w:type="dxa"/>
            <w:vAlign w:val="center"/>
          </w:tcPr>
          <w:p w14:paraId="5C7B5EDF" w14:textId="77777777" w:rsidR="004E22C1" w:rsidRPr="001455DC" w:rsidRDefault="004E22C1" w:rsidP="00A35599">
            <w:pPr>
              <w:pStyle w:val="Tablebody-"/>
              <w:keepNext/>
              <w:jc w:val="left"/>
            </w:pPr>
            <w:r w:rsidRPr="001455DC">
              <w:t>XS1</w:t>
            </w:r>
          </w:p>
        </w:tc>
        <w:tc>
          <w:tcPr>
            <w:tcW w:w="4536" w:type="dxa"/>
            <w:vAlign w:val="center"/>
          </w:tcPr>
          <w:p w14:paraId="03F36EC0" w14:textId="77777777" w:rsidR="004E22C1" w:rsidRPr="009D3012" w:rsidRDefault="004E22C1" w:rsidP="00A35599">
            <w:pPr>
              <w:pStyle w:val="Tablebody-"/>
              <w:keepNext/>
              <w:jc w:val="left"/>
              <w:rPr>
                <w:lang w:val="en-US"/>
              </w:rPr>
            </w:pPr>
            <w:r w:rsidRPr="009D3012">
              <w:rPr>
                <w:lang w:val="en-US"/>
              </w:rPr>
              <w:t>Exposed to airborne salt but not in direct contact with sea water</w:t>
            </w:r>
          </w:p>
        </w:tc>
        <w:tc>
          <w:tcPr>
            <w:tcW w:w="4536" w:type="dxa"/>
            <w:vAlign w:val="center"/>
          </w:tcPr>
          <w:p w14:paraId="2CEC7825" w14:textId="77777777" w:rsidR="004E22C1" w:rsidRPr="009D3012" w:rsidRDefault="004E22C1" w:rsidP="00A35599">
            <w:pPr>
              <w:pStyle w:val="Tablebody-"/>
              <w:keepNext/>
              <w:jc w:val="left"/>
              <w:rPr>
                <w:lang w:val="en-US"/>
              </w:rPr>
            </w:pPr>
            <w:r w:rsidRPr="009D3012">
              <w:rPr>
                <w:lang w:val="en-US"/>
              </w:rPr>
              <w:t>Structures near to or on the coast.</w:t>
            </w:r>
          </w:p>
        </w:tc>
      </w:tr>
      <w:tr w:rsidR="004E22C1" w:rsidRPr="001455DC" w14:paraId="10E29F92" w14:textId="77777777" w:rsidTr="00073FC6">
        <w:trPr>
          <w:cantSplit/>
        </w:trPr>
        <w:tc>
          <w:tcPr>
            <w:tcW w:w="680" w:type="dxa"/>
            <w:vAlign w:val="center"/>
          </w:tcPr>
          <w:p w14:paraId="0A96EC68" w14:textId="77777777" w:rsidR="004E22C1" w:rsidRPr="001455DC" w:rsidRDefault="004E22C1" w:rsidP="00073FC6">
            <w:pPr>
              <w:pStyle w:val="Tablebody-"/>
              <w:jc w:val="left"/>
            </w:pPr>
            <w:r w:rsidRPr="001455DC">
              <w:t>XS2</w:t>
            </w:r>
          </w:p>
        </w:tc>
        <w:tc>
          <w:tcPr>
            <w:tcW w:w="4536" w:type="dxa"/>
            <w:vAlign w:val="center"/>
          </w:tcPr>
          <w:p w14:paraId="5AF7FFDC" w14:textId="77777777" w:rsidR="004E22C1" w:rsidRPr="001455DC" w:rsidRDefault="004E22C1" w:rsidP="00073FC6">
            <w:pPr>
              <w:pStyle w:val="Tablebody-"/>
              <w:jc w:val="left"/>
            </w:pPr>
            <w:r w:rsidRPr="001455DC">
              <w:t>Permanently submerged</w:t>
            </w:r>
          </w:p>
        </w:tc>
        <w:tc>
          <w:tcPr>
            <w:tcW w:w="4536" w:type="dxa"/>
            <w:vAlign w:val="center"/>
          </w:tcPr>
          <w:p w14:paraId="771F8FF5" w14:textId="77777777" w:rsidR="004E22C1" w:rsidRPr="009D3012" w:rsidRDefault="004E22C1" w:rsidP="00073FC6">
            <w:pPr>
              <w:pStyle w:val="Tablebody-"/>
              <w:jc w:val="left"/>
              <w:rPr>
                <w:lang w:val="en-US"/>
              </w:rPr>
            </w:pPr>
            <w:r w:rsidRPr="009D3012">
              <w:rPr>
                <w:lang w:val="en-US"/>
              </w:rPr>
              <w:t>Parts of marine structures and structures in seawater.</w:t>
            </w:r>
          </w:p>
        </w:tc>
      </w:tr>
      <w:tr w:rsidR="004E22C1" w:rsidRPr="001455DC" w14:paraId="4B1170C6" w14:textId="77777777" w:rsidTr="00073FC6">
        <w:trPr>
          <w:cantSplit/>
        </w:trPr>
        <w:tc>
          <w:tcPr>
            <w:tcW w:w="680" w:type="dxa"/>
            <w:vAlign w:val="center"/>
          </w:tcPr>
          <w:p w14:paraId="6110575D" w14:textId="77777777" w:rsidR="004E22C1" w:rsidRPr="001455DC" w:rsidRDefault="004E22C1" w:rsidP="00073FC6">
            <w:pPr>
              <w:pStyle w:val="Tablebody-"/>
              <w:jc w:val="left"/>
            </w:pPr>
            <w:r w:rsidRPr="001455DC">
              <w:t>XS3</w:t>
            </w:r>
          </w:p>
        </w:tc>
        <w:tc>
          <w:tcPr>
            <w:tcW w:w="4536" w:type="dxa"/>
            <w:vAlign w:val="center"/>
          </w:tcPr>
          <w:p w14:paraId="4AF474E2" w14:textId="77777777" w:rsidR="004E22C1" w:rsidRPr="009D3012" w:rsidRDefault="004E22C1" w:rsidP="00073FC6">
            <w:pPr>
              <w:pStyle w:val="Tablebody-"/>
              <w:jc w:val="left"/>
              <w:rPr>
                <w:lang w:val="en-US"/>
              </w:rPr>
            </w:pPr>
            <w:r w:rsidRPr="009D3012">
              <w:rPr>
                <w:lang w:val="en-US"/>
              </w:rPr>
              <w:t>Tidal, splash and spray zones</w:t>
            </w:r>
          </w:p>
        </w:tc>
        <w:tc>
          <w:tcPr>
            <w:tcW w:w="4536" w:type="dxa"/>
            <w:vAlign w:val="center"/>
          </w:tcPr>
          <w:p w14:paraId="1F34E3BC" w14:textId="77777777" w:rsidR="004E22C1" w:rsidRPr="009D3012" w:rsidRDefault="004E22C1" w:rsidP="00073FC6">
            <w:pPr>
              <w:pStyle w:val="Tablebody-"/>
              <w:jc w:val="left"/>
              <w:rPr>
                <w:lang w:val="en-US"/>
              </w:rPr>
            </w:pPr>
            <w:r w:rsidRPr="009D3012">
              <w:rPr>
                <w:lang w:val="en-US"/>
              </w:rPr>
              <w:t>Parts of marine structures and structures temporarily or permanently directly over sea water.</w:t>
            </w:r>
          </w:p>
        </w:tc>
      </w:tr>
      <w:tr w:rsidR="004E22C1" w:rsidRPr="001455DC" w14:paraId="28AD6466" w14:textId="77777777" w:rsidTr="00073FC6">
        <w:trPr>
          <w:cantSplit/>
        </w:trPr>
        <w:tc>
          <w:tcPr>
            <w:tcW w:w="9752" w:type="dxa"/>
            <w:gridSpan w:val="3"/>
            <w:vAlign w:val="center"/>
          </w:tcPr>
          <w:p w14:paraId="77202EB9" w14:textId="77777777" w:rsidR="004E22C1" w:rsidRPr="001455DC" w:rsidRDefault="004E22C1" w:rsidP="00073FC6">
            <w:pPr>
              <w:pStyle w:val="Tablebody-"/>
              <w:jc w:val="left"/>
              <w:rPr>
                <w:b/>
                <w:bCs/>
              </w:rPr>
            </w:pPr>
            <w:r w:rsidRPr="001455DC">
              <w:rPr>
                <w:b/>
                <w:bCs/>
              </w:rPr>
              <w:t>5. Freeze/Thaw Attack</w:t>
            </w:r>
          </w:p>
        </w:tc>
      </w:tr>
      <w:tr w:rsidR="004E22C1" w:rsidRPr="001455DC" w14:paraId="2B29BD64" w14:textId="77777777" w:rsidTr="00073FC6">
        <w:trPr>
          <w:cantSplit/>
        </w:trPr>
        <w:tc>
          <w:tcPr>
            <w:tcW w:w="9752" w:type="dxa"/>
            <w:gridSpan w:val="3"/>
            <w:vAlign w:val="center"/>
          </w:tcPr>
          <w:p w14:paraId="1EF153D4" w14:textId="77777777" w:rsidR="004E22C1" w:rsidRPr="009D3012" w:rsidRDefault="004E22C1" w:rsidP="00073FC6">
            <w:pPr>
              <w:pStyle w:val="Tablebody-"/>
              <w:jc w:val="left"/>
              <w:rPr>
                <w:lang w:val="en-US"/>
              </w:rPr>
            </w:pPr>
            <w:r w:rsidRPr="009D3012">
              <w:rPr>
                <w:lang w:val="en-US"/>
              </w:rPr>
              <w:t>Where concrete is exposed to significant attack by freeze/thaw cycles whilst wet, the exposure shall be classified as follows. A XF-classification is not necessary in cases where freeze/thaw cycles are rare.</w:t>
            </w:r>
          </w:p>
        </w:tc>
      </w:tr>
      <w:tr w:rsidR="004E22C1" w:rsidRPr="001455DC" w14:paraId="6FEAE2CB" w14:textId="77777777" w:rsidTr="00073FC6">
        <w:trPr>
          <w:cantSplit/>
        </w:trPr>
        <w:tc>
          <w:tcPr>
            <w:tcW w:w="680" w:type="dxa"/>
            <w:vAlign w:val="center"/>
          </w:tcPr>
          <w:p w14:paraId="7B5362D7" w14:textId="77777777" w:rsidR="004E22C1" w:rsidRPr="001455DC" w:rsidRDefault="004E22C1" w:rsidP="00073FC6">
            <w:pPr>
              <w:pStyle w:val="Tablebody-"/>
              <w:jc w:val="left"/>
            </w:pPr>
            <w:r w:rsidRPr="001455DC">
              <w:t>XF1</w:t>
            </w:r>
          </w:p>
        </w:tc>
        <w:tc>
          <w:tcPr>
            <w:tcW w:w="4536" w:type="dxa"/>
            <w:vAlign w:val="center"/>
          </w:tcPr>
          <w:p w14:paraId="4903D72E" w14:textId="77777777" w:rsidR="004E22C1" w:rsidRPr="009D3012" w:rsidRDefault="004E22C1" w:rsidP="00073FC6">
            <w:pPr>
              <w:pStyle w:val="Tablebody-"/>
              <w:jc w:val="left"/>
              <w:rPr>
                <w:lang w:val="en-US"/>
              </w:rPr>
            </w:pPr>
            <w:r w:rsidRPr="009D3012">
              <w:rPr>
                <w:lang w:val="en-US"/>
              </w:rPr>
              <w:t>Moderate water saturation, without de-icing agent</w:t>
            </w:r>
          </w:p>
        </w:tc>
        <w:tc>
          <w:tcPr>
            <w:tcW w:w="4536" w:type="dxa"/>
            <w:vAlign w:val="center"/>
          </w:tcPr>
          <w:p w14:paraId="3362C9F7" w14:textId="77777777" w:rsidR="004E22C1" w:rsidRPr="009D3012" w:rsidRDefault="004E22C1" w:rsidP="00073FC6">
            <w:pPr>
              <w:pStyle w:val="Tablebody-"/>
              <w:jc w:val="left"/>
              <w:rPr>
                <w:lang w:val="en-US"/>
              </w:rPr>
            </w:pPr>
            <w:r w:rsidRPr="009D3012">
              <w:rPr>
                <w:lang w:val="en-US"/>
              </w:rPr>
              <w:t>Vertical concrete surfaces exposed to rain and freezing.</w:t>
            </w:r>
          </w:p>
        </w:tc>
      </w:tr>
      <w:tr w:rsidR="004E22C1" w:rsidRPr="001455DC" w14:paraId="4DA8F5E4" w14:textId="77777777" w:rsidTr="00073FC6">
        <w:trPr>
          <w:cantSplit/>
        </w:trPr>
        <w:tc>
          <w:tcPr>
            <w:tcW w:w="680" w:type="dxa"/>
            <w:vAlign w:val="center"/>
          </w:tcPr>
          <w:p w14:paraId="210B6C53" w14:textId="77777777" w:rsidR="004E22C1" w:rsidRPr="001455DC" w:rsidRDefault="004E22C1" w:rsidP="00073FC6">
            <w:pPr>
              <w:pStyle w:val="Tablebody-"/>
              <w:jc w:val="left"/>
            </w:pPr>
            <w:r w:rsidRPr="001455DC">
              <w:t>XF2</w:t>
            </w:r>
          </w:p>
        </w:tc>
        <w:tc>
          <w:tcPr>
            <w:tcW w:w="4536" w:type="dxa"/>
            <w:vAlign w:val="center"/>
          </w:tcPr>
          <w:p w14:paraId="4E477941" w14:textId="77777777" w:rsidR="004E22C1" w:rsidRPr="009D3012" w:rsidRDefault="004E22C1" w:rsidP="00073FC6">
            <w:pPr>
              <w:pStyle w:val="Tablebody-"/>
              <w:jc w:val="left"/>
              <w:rPr>
                <w:lang w:val="en-US"/>
              </w:rPr>
            </w:pPr>
            <w:r w:rsidRPr="009D3012">
              <w:rPr>
                <w:lang w:val="en-US"/>
              </w:rPr>
              <w:t>Moderate water saturation, with de-icing agent</w:t>
            </w:r>
          </w:p>
        </w:tc>
        <w:tc>
          <w:tcPr>
            <w:tcW w:w="4536" w:type="dxa"/>
            <w:vAlign w:val="center"/>
          </w:tcPr>
          <w:p w14:paraId="270388EF" w14:textId="77777777" w:rsidR="004E22C1" w:rsidRPr="009D3012" w:rsidRDefault="004E22C1" w:rsidP="00073FC6">
            <w:pPr>
              <w:pStyle w:val="Tablebody-"/>
              <w:jc w:val="left"/>
              <w:rPr>
                <w:lang w:val="en-US"/>
              </w:rPr>
            </w:pPr>
            <w:r w:rsidRPr="009D3012">
              <w:rPr>
                <w:lang w:val="en-US"/>
              </w:rPr>
              <w:t>Vertical concrete surfaces of road structures exposed to freezing and airborne de-icing agents.</w:t>
            </w:r>
          </w:p>
        </w:tc>
      </w:tr>
      <w:tr w:rsidR="004E22C1" w:rsidRPr="001455DC" w14:paraId="36DBE3CB" w14:textId="77777777" w:rsidTr="00073FC6">
        <w:trPr>
          <w:cantSplit/>
        </w:trPr>
        <w:tc>
          <w:tcPr>
            <w:tcW w:w="680" w:type="dxa"/>
            <w:vAlign w:val="center"/>
          </w:tcPr>
          <w:p w14:paraId="65EE0717" w14:textId="77777777" w:rsidR="004E22C1" w:rsidRPr="001455DC" w:rsidRDefault="004E22C1" w:rsidP="00073FC6">
            <w:pPr>
              <w:pStyle w:val="Tablebody-"/>
              <w:jc w:val="left"/>
            </w:pPr>
            <w:r w:rsidRPr="001455DC">
              <w:t>XF3</w:t>
            </w:r>
          </w:p>
        </w:tc>
        <w:tc>
          <w:tcPr>
            <w:tcW w:w="4536" w:type="dxa"/>
            <w:vAlign w:val="center"/>
          </w:tcPr>
          <w:p w14:paraId="7792E055" w14:textId="77777777" w:rsidR="004E22C1" w:rsidRPr="009D3012" w:rsidRDefault="004E22C1" w:rsidP="00073FC6">
            <w:pPr>
              <w:pStyle w:val="Tablebody-"/>
              <w:jc w:val="left"/>
              <w:rPr>
                <w:lang w:val="en-US"/>
              </w:rPr>
            </w:pPr>
            <w:r w:rsidRPr="009D3012">
              <w:rPr>
                <w:lang w:val="en-US"/>
              </w:rPr>
              <w:t>High water saturation, without de-icing agents</w:t>
            </w:r>
          </w:p>
        </w:tc>
        <w:tc>
          <w:tcPr>
            <w:tcW w:w="4536" w:type="dxa"/>
            <w:vAlign w:val="center"/>
          </w:tcPr>
          <w:p w14:paraId="58B51B0F" w14:textId="77777777" w:rsidR="004E22C1" w:rsidRPr="009D3012" w:rsidRDefault="004E22C1" w:rsidP="00073FC6">
            <w:pPr>
              <w:pStyle w:val="Tablebody-"/>
              <w:jc w:val="left"/>
              <w:rPr>
                <w:lang w:val="en-US"/>
              </w:rPr>
            </w:pPr>
            <w:r w:rsidRPr="009D3012">
              <w:rPr>
                <w:lang w:val="en-US"/>
              </w:rPr>
              <w:t>Horizontal concrete surfaces exposed to rain and freezing.</w:t>
            </w:r>
          </w:p>
        </w:tc>
      </w:tr>
      <w:tr w:rsidR="004E22C1" w:rsidRPr="001455DC" w14:paraId="019DCE5C" w14:textId="77777777" w:rsidTr="00073FC6">
        <w:trPr>
          <w:cantSplit/>
        </w:trPr>
        <w:tc>
          <w:tcPr>
            <w:tcW w:w="680" w:type="dxa"/>
            <w:vAlign w:val="center"/>
          </w:tcPr>
          <w:p w14:paraId="2CBEB851" w14:textId="77777777" w:rsidR="004E22C1" w:rsidRPr="001455DC" w:rsidRDefault="004E22C1" w:rsidP="00073FC6">
            <w:pPr>
              <w:pStyle w:val="Tablebody-"/>
              <w:jc w:val="left"/>
            </w:pPr>
            <w:r w:rsidRPr="001455DC">
              <w:t>XF4</w:t>
            </w:r>
          </w:p>
        </w:tc>
        <w:tc>
          <w:tcPr>
            <w:tcW w:w="4536" w:type="dxa"/>
            <w:vAlign w:val="center"/>
          </w:tcPr>
          <w:p w14:paraId="2BB1BF8A" w14:textId="77777777" w:rsidR="004E22C1" w:rsidRPr="009D3012" w:rsidRDefault="004E22C1" w:rsidP="00073FC6">
            <w:pPr>
              <w:pStyle w:val="Tablebody-"/>
              <w:jc w:val="left"/>
              <w:rPr>
                <w:lang w:val="en-US"/>
              </w:rPr>
            </w:pPr>
            <w:r w:rsidRPr="009D3012">
              <w:rPr>
                <w:lang w:val="en-US"/>
              </w:rPr>
              <w:t>High water saturation with de-icing agents or sea water</w:t>
            </w:r>
          </w:p>
        </w:tc>
        <w:tc>
          <w:tcPr>
            <w:tcW w:w="4536" w:type="dxa"/>
            <w:vAlign w:val="center"/>
          </w:tcPr>
          <w:p w14:paraId="5D0DC8E1" w14:textId="77777777" w:rsidR="004E22C1" w:rsidRPr="009D3012" w:rsidRDefault="004E22C1" w:rsidP="00073FC6">
            <w:pPr>
              <w:pStyle w:val="Tablebody-"/>
              <w:jc w:val="left"/>
              <w:rPr>
                <w:lang w:val="en-US"/>
              </w:rPr>
            </w:pPr>
            <w:r w:rsidRPr="009D3012">
              <w:rPr>
                <w:lang w:val="en-US"/>
              </w:rPr>
              <w:t>Road and bridge decks exposed to de-icing agents;</w:t>
            </w:r>
          </w:p>
          <w:p w14:paraId="74E03EF8" w14:textId="77777777" w:rsidR="004E22C1" w:rsidRPr="009D3012" w:rsidRDefault="004E22C1" w:rsidP="00073FC6">
            <w:pPr>
              <w:pStyle w:val="Tablebody-"/>
              <w:jc w:val="left"/>
              <w:rPr>
                <w:lang w:val="en-US"/>
              </w:rPr>
            </w:pPr>
            <w:r w:rsidRPr="009D3012">
              <w:rPr>
                <w:lang w:val="en-US"/>
              </w:rPr>
              <w:t>concrete surfaces exposed to direct spray containing de-icing agents and freezing;</w:t>
            </w:r>
          </w:p>
          <w:p w14:paraId="59DCAB20" w14:textId="77777777" w:rsidR="004E22C1" w:rsidRPr="009D3012" w:rsidRDefault="004E22C1" w:rsidP="00073FC6">
            <w:pPr>
              <w:pStyle w:val="Tablebody-"/>
              <w:jc w:val="left"/>
              <w:rPr>
                <w:lang w:val="en-US"/>
              </w:rPr>
            </w:pPr>
            <w:r w:rsidRPr="009D3012">
              <w:rPr>
                <w:lang w:val="en-US"/>
              </w:rPr>
              <w:t>splash zone of marine structures exposed to freezing.</w:t>
            </w:r>
          </w:p>
        </w:tc>
      </w:tr>
      <w:tr w:rsidR="004E22C1" w:rsidRPr="001455DC" w14:paraId="58D742E0" w14:textId="77777777" w:rsidTr="00073FC6">
        <w:trPr>
          <w:cantSplit/>
        </w:trPr>
        <w:tc>
          <w:tcPr>
            <w:tcW w:w="9752" w:type="dxa"/>
            <w:gridSpan w:val="3"/>
            <w:vAlign w:val="center"/>
          </w:tcPr>
          <w:p w14:paraId="1E0249D5" w14:textId="77777777" w:rsidR="004E22C1" w:rsidRPr="001455DC" w:rsidRDefault="004E22C1" w:rsidP="00073FC6">
            <w:pPr>
              <w:pStyle w:val="Tablebody-"/>
              <w:jc w:val="left"/>
              <w:rPr>
                <w:b/>
                <w:bCs/>
              </w:rPr>
            </w:pPr>
            <w:r w:rsidRPr="001455DC">
              <w:rPr>
                <w:b/>
                <w:bCs/>
              </w:rPr>
              <w:t>6. Chemical attack</w:t>
            </w:r>
          </w:p>
        </w:tc>
      </w:tr>
      <w:tr w:rsidR="004E22C1" w:rsidRPr="001455DC" w14:paraId="4B35DDAB" w14:textId="77777777" w:rsidTr="00073FC6">
        <w:trPr>
          <w:cantSplit/>
        </w:trPr>
        <w:tc>
          <w:tcPr>
            <w:tcW w:w="9752" w:type="dxa"/>
            <w:gridSpan w:val="3"/>
            <w:vAlign w:val="center"/>
          </w:tcPr>
          <w:p w14:paraId="552D7031" w14:textId="77777777" w:rsidR="004E22C1" w:rsidRPr="009D3012" w:rsidRDefault="004E22C1" w:rsidP="00073FC6">
            <w:pPr>
              <w:pStyle w:val="Tablebody-"/>
              <w:jc w:val="left"/>
              <w:rPr>
                <w:lang w:val="en-US"/>
              </w:rPr>
            </w:pPr>
            <w:r w:rsidRPr="009D3012">
              <w:rPr>
                <w:lang w:val="en-US"/>
              </w:rPr>
              <w:t>Where concrete is exposed to chemical attack from natural soils and ground water, the exposure shall be classified as follows:</w:t>
            </w:r>
          </w:p>
        </w:tc>
      </w:tr>
      <w:tr w:rsidR="004E22C1" w:rsidRPr="001455DC" w14:paraId="3C4DEB08" w14:textId="77777777" w:rsidTr="00073FC6">
        <w:trPr>
          <w:cantSplit/>
        </w:trPr>
        <w:tc>
          <w:tcPr>
            <w:tcW w:w="680" w:type="dxa"/>
            <w:vAlign w:val="center"/>
          </w:tcPr>
          <w:p w14:paraId="6C85C91A" w14:textId="77777777" w:rsidR="004E22C1" w:rsidRPr="001455DC" w:rsidRDefault="004E22C1" w:rsidP="00073FC6">
            <w:pPr>
              <w:pStyle w:val="Tablebody-"/>
              <w:jc w:val="left"/>
            </w:pPr>
            <w:r w:rsidRPr="001455DC">
              <w:t>XA1</w:t>
            </w:r>
          </w:p>
        </w:tc>
        <w:tc>
          <w:tcPr>
            <w:tcW w:w="4536" w:type="dxa"/>
            <w:vAlign w:val="center"/>
          </w:tcPr>
          <w:p w14:paraId="6380DE6F" w14:textId="0BF7788E" w:rsidR="004E22C1" w:rsidRPr="001455DC" w:rsidRDefault="004E22C1">
            <w:pPr>
              <w:pStyle w:val="Tablebody-"/>
              <w:jc w:val="left"/>
            </w:pPr>
            <w:r w:rsidRPr="001455DC">
              <w:t>Slightly aggressive chemical environment</w:t>
            </w:r>
          </w:p>
        </w:tc>
        <w:tc>
          <w:tcPr>
            <w:tcW w:w="4536" w:type="dxa"/>
            <w:vAlign w:val="center"/>
          </w:tcPr>
          <w:p w14:paraId="61E2290E" w14:textId="0F9724B2" w:rsidR="004E22C1" w:rsidRPr="009D3012" w:rsidRDefault="004E22C1" w:rsidP="00073FC6">
            <w:pPr>
              <w:pStyle w:val="Tablebody-"/>
              <w:jc w:val="left"/>
              <w:rPr>
                <w:lang w:val="en-US"/>
              </w:rPr>
            </w:pPr>
            <w:r w:rsidRPr="009D3012">
              <w:rPr>
                <w:lang w:val="en-US"/>
              </w:rPr>
              <w:t>Natural soils and ground water</w:t>
            </w:r>
            <w:r w:rsidR="00023A0D" w:rsidRPr="009D3012">
              <w:rPr>
                <w:lang w:val="en-US"/>
              </w:rPr>
              <w:t xml:space="preserve"> according to Table 6.2</w:t>
            </w:r>
            <w:r w:rsidRPr="009D3012">
              <w:rPr>
                <w:lang w:val="en-US"/>
              </w:rPr>
              <w:t>.</w:t>
            </w:r>
          </w:p>
        </w:tc>
      </w:tr>
      <w:tr w:rsidR="004E22C1" w:rsidRPr="001455DC" w14:paraId="74187947" w14:textId="77777777" w:rsidTr="00073FC6">
        <w:trPr>
          <w:cantSplit/>
        </w:trPr>
        <w:tc>
          <w:tcPr>
            <w:tcW w:w="680" w:type="dxa"/>
            <w:vAlign w:val="center"/>
          </w:tcPr>
          <w:p w14:paraId="143E6FCB" w14:textId="77777777" w:rsidR="004E22C1" w:rsidRPr="001455DC" w:rsidRDefault="004E22C1" w:rsidP="00073FC6">
            <w:pPr>
              <w:pStyle w:val="Tablebody-"/>
              <w:jc w:val="left"/>
            </w:pPr>
            <w:r w:rsidRPr="001455DC">
              <w:t>XA2</w:t>
            </w:r>
          </w:p>
        </w:tc>
        <w:tc>
          <w:tcPr>
            <w:tcW w:w="4536" w:type="dxa"/>
            <w:vAlign w:val="center"/>
          </w:tcPr>
          <w:p w14:paraId="3A538913" w14:textId="244C2A71" w:rsidR="004E22C1" w:rsidRPr="001455DC" w:rsidRDefault="004E22C1">
            <w:pPr>
              <w:pStyle w:val="Tablebody-"/>
              <w:jc w:val="left"/>
            </w:pPr>
            <w:r w:rsidRPr="001455DC">
              <w:t xml:space="preserve">Moderately aggressive chemical environment </w:t>
            </w:r>
          </w:p>
        </w:tc>
        <w:tc>
          <w:tcPr>
            <w:tcW w:w="4536" w:type="dxa"/>
            <w:vAlign w:val="center"/>
          </w:tcPr>
          <w:p w14:paraId="31BE7EF0" w14:textId="08C7B0A6" w:rsidR="004E22C1" w:rsidRPr="009D3012" w:rsidRDefault="004E22C1" w:rsidP="00073FC6">
            <w:pPr>
              <w:pStyle w:val="Tablebody-"/>
              <w:jc w:val="left"/>
              <w:rPr>
                <w:lang w:val="en-US"/>
              </w:rPr>
            </w:pPr>
            <w:r w:rsidRPr="009D3012">
              <w:rPr>
                <w:lang w:val="en-US"/>
              </w:rPr>
              <w:t>Natural soils and ground water</w:t>
            </w:r>
            <w:r w:rsidR="00023A0D" w:rsidRPr="009D3012">
              <w:rPr>
                <w:lang w:val="en-US"/>
              </w:rPr>
              <w:t xml:space="preserve"> according to Table 6.2</w:t>
            </w:r>
            <w:r w:rsidRPr="009D3012">
              <w:rPr>
                <w:lang w:val="en-US"/>
              </w:rPr>
              <w:t>.</w:t>
            </w:r>
          </w:p>
        </w:tc>
      </w:tr>
      <w:tr w:rsidR="004E22C1" w:rsidRPr="001455DC" w14:paraId="0063D8D1" w14:textId="77777777" w:rsidTr="00073FC6">
        <w:trPr>
          <w:cantSplit/>
        </w:trPr>
        <w:tc>
          <w:tcPr>
            <w:tcW w:w="680" w:type="dxa"/>
            <w:vAlign w:val="center"/>
          </w:tcPr>
          <w:p w14:paraId="69F18C8E" w14:textId="77777777" w:rsidR="004E22C1" w:rsidRPr="001455DC" w:rsidRDefault="004E22C1" w:rsidP="00073FC6">
            <w:pPr>
              <w:pStyle w:val="Tablebody-"/>
              <w:jc w:val="left"/>
            </w:pPr>
            <w:r w:rsidRPr="001455DC">
              <w:t>XA3</w:t>
            </w:r>
          </w:p>
        </w:tc>
        <w:tc>
          <w:tcPr>
            <w:tcW w:w="4536" w:type="dxa"/>
            <w:vAlign w:val="center"/>
          </w:tcPr>
          <w:p w14:paraId="72AA15D9" w14:textId="1904F17E" w:rsidR="004E22C1" w:rsidRPr="001455DC" w:rsidRDefault="004E22C1">
            <w:pPr>
              <w:pStyle w:val="Tablebody-"/>
              <w:jc w:val="left"/>
            </w:pPr>
            <w:r w:rsidRPr="001455DC">
              <w:t xml:space="preserve">Highly aggressive chemical environment </w:t>
            </w:r>
          </w:p>
        </w:tc>
        <w:tc>
          <w:tcPr>
            <w:tcW w:w="4536" w:type="dxa"/>
            <w:vAlign w:val="center"/>
          </w:tcPr>
          <w:p w14:paraId="0215261D" w14:textId="49582F19" w:rsidR="004E22C1" w:rsidRPr="009D3012" w:rsidRDefault="004E22C1" w:rsidP="00073FC6">
            <w:pPr>
              <w:pStyle w:val="Tablebody-"/>
              <w:jc w:val="left"/>
              <w:rPr>
                <w:lang w:val="en-US"/>
              </w:rPr>
            </w:pPr>
            <w:r w:rsidRPr="009D3012">
              <w:rPr>
                <w:lang w:val="en-US"/>
              </w:rPr>
              <w:t>Natural soils and ground water</w:t>
            </w:r>
            <w:r w:rsidR="00023A0D" w:rsidRPr="009D3012">
              <w:rPr>
                <w:lang w:val="en-US"/>
              </w:rPr>
              <w:t xml:space="preserve"> according to Table 6.2</w:t>
            </w:r>
            <w:r w:rsidRPr="009D3012">
              <w:rPr>
                <w:lang w:val="en-US"/>
              </w:rPr>
              <w:t>.</w:t>
            </w:r>
          </w:p>
        </w:tc>
      </w:tr>
      <w:tr w:rsidR="004E22C1" w:rsidRPr="001455DC" w14:paraId="2F0568FA" w14:textId="77777777" w:rsidTr="00073FC6">
        <w:trPr>
          <w:cantSplit/>
        </w:trPr>
        <w:tc>
          <w:tcPr>
            <w:tcW w:w="9752" w:type="dxa"/>
            <w:gridSpan w:val="3"/>
            <w:vAlign w:val="center"/>
          </w:tcPr>
          <w:p w14:paraId="118178D6" w14:textId="77777777" w:rsidR="004E22C1" w:rsidRPr="009D3012" w:rsidRDefault="004E22C1" w:rsidP="00073FC6">
            <w:pPr>
              <w:pStyle w:val="Tablebody-"/>
              <w:jc w:val="left"/>
              <w:rPr>
                <w:b/>
                <w:bCs/>
                <w:lang w:val="en-US"/>
              </w:rPr>
            </w:pPr>
            <w:r w:rsidRPr="009D3012">
              <w:rPr>
                <w:b/>
                <w:bCs/>
                <w:lang w:val="en-US"/>
              </w:rPr>
              <w:t>7. Mechanical attack of concrete by abrasion</w:t>
            </w:r>
          </w:p>
        </w:tc>
      </w:tr>
      <w:tr w:rsidR="004E22C1" w:rsidRPr="001455DC" w14:paraId="74A484F4" w14:textId="77777777" w:rsidTr="00073FC6">
        <w:trPr>
          <w:cantSplit/>
        </w:trPr>
        <w:tc>
          <w:tcPr>
            <w:tcW w:w="9752" w:type="dxa"/>
            <w:gridSpan w:val="3"/>
            <w:vAlign w:val="center"/>
          </w:tcPr>
          <w:p w14:paraId="7D991416" w14:textId="77777777" w:rsidR="004E22C1" w:rsidRPr="009D3012" w:rsidRDefault="004E22C1" w:rsidP="00073FC6">
            <w:pPr>
              <w:pStyle w:val="Tablebody-"/>
              <w:jc w:val="left"/>
              <w:rPr>
                <w:lang w:val="en-US"/>
              </w:rPr>
            </w:pPr>
            <w:r w:rsidRPr="009D3012">
              <w:rPr>
                <w:lang w:val="en-US"/>
              </w:rPr>
              <w:t>Where concrete is exposed to mechanical abrasion, the exposure shall be classified as follows:</w:t>
            </w:r>
          </w:p>
        </w:tc>
      </w:tr>
      <w:tr w:rsidR="004E22C1" w:rsidRPr="001455DC" w14:paraId="6F46AE42" w14:textId="77777777" w:rsidTr="00073FC6">
        <w:trPr>
          <w:cantSplit/>
        </w:trPr>
        <w:tc>
          <w:tcPr>
            <w:tcW w:w="680" w:type="dxa"/>
            <w:vAlign w:val="center"/>
          </w:tcPr>
          <w:p w14:paraId="668D734F" w14:textId="77777777" w:rsidR="004E22C1" w:rsidRPr="001455DC" w:rsidRDefault="004E22C1" w:rsidP="00073FC6">
            <w:pPr>
              <w:pStyle w:val="Tablebody-"/>
              <w:jc w:val="left"/>
            </w:pPr>
            <w:r w:rsidRPr="001455DC">
              <w:t>XM1</w:t>
            </w:r>
          </w:p>
        </w:tc>
        <w:tc>
          <w:tcPr>
            <w:tcW w:w="4536" w:type="dxa"/>
            <w:vAlign w:val="center"/>
          </w:tcPr>
          <w:p w14:paraId="5B8D827A" w14:textId="77777777" w:rsidR="004E22C1" w:rsidRPr="001455DC" w:rsidRDefault="004E22C1" w:rsidP="00073FC6">
            <w:pPr>
              <w:pStyle w:val="Tablebody-"/>
              <w:jc w:val="left"/>
            </w:pPr>
            <w:r w:rsidRPr="001455DC">
              <w:rPr>
                <w:lang w:eastAsia="de-DE"/>
              </w:rPr>
              <w:t>Moderate abrasion</w:t>
            </w:r>
          </w:p>
        </w:tc>
        <w:tc>
          <w:tcPr>
            <w:tcW w:w="4536" w:type="dxa"/>
            <w:vAlign w:val="center"/>
          </w:tcPr>
          <w:p w14:paraId="5ED367EC" w14:textId="77777777" w:rsidR="004E22C1" w:rsidRPr="009D3012" w:rsidRDefault="004E22C1" w:rsidP="00073FC6">
            <w:pPr>
              <w:pStyle w:val="Tablebody-"/>
              <w:jc w:val="left"/>
              <w:rPr>
                <w:lang w:val="en-US"/>
              </w:rPr>
            </w:pPr>
            <w:r w:rsidRPr="009D3012">
              <w:rPr>
                <w:lang w:val="en-US"/>
              </w:rPr>
              <w:t>Members of industrial sites frequented by vehicles with pneumatic tyres.</w:t>
            </w:r>
          </w:p>
        </w:tc>
      </w:tr>
      <w:tr w:rsidR="004E22C1" w:rsidRPr="001455DC" w14:paraId="2ED83F0E" w14:textId="77777777" w:rsidTr="00073FC6">
        <w:trPr>
          <w:cantSplit/>
        </w:trPr>
        <w:tc>
          <w:tcPr>
            <w:tcW w:w="680" w:type="dxa"/>
            <w:vAlign w:val="center"/>
          </w:tcPr>
          <w:p w14:paraId="05981EE7" w14:textId="77777777" w:rsidR="004E22C1" w:rsidRPr="001455DC" w:rsidRDefault="004E22C1" w:rsidP="00073FC6">
            <w:pPr>
              <w:pStyle w:val="Tablebody-"/>
              <w:jc w:val="left"/>
            </w:pPr>
            <w:r w:rsidRPr="001455DC">
              <w:t>XM2</w:t>
            </w:r>
          </w:p>
        </w:tc>
        <w:tc>
          <w:tcPr>
            <w:tcW w:w="4536" w:type="dxa"/>
            <w:vAlign w:val="center"/>
          </w:tcPr>
          <w:p w14:paraId="37E64063" w14:textId="77777777" w:rsidR="004E22C1" w:rsidRPr="001455DC" w:rsidRDefault="004E22C1" w:rsidP="00073FC6">
            <w:pPr>
              <w:pStyle w:val="Tablebody-"/>
              <w:jc w:val="left"/>
            </w:pPr>
            <w:r w:rsidRPr="001455DC">
              <w:rPr>
                <w:lang w:eastAsia="de-DE"/>
              </w:rPr>
              <w:t>Heavy abrasion</w:t>
            </w:r>
          </w:p>
        </w:tc>
        <w:tc>
          <w:tcPr>
            <w:tcW w:w="4536" w:type="dxa"/>
            <w:vAlign w:val="center"/>
          </w:tcPr>
          <w:p w14:paraId="1740DFD9" w14:textId="77777777" w:rsidR="004E22C1" w:rsidRPr="009D3012" w:rsidRDefault="004E22C1" w:rsidP="00073FC6">
            <w:pPr>
              <w:pStyle w:val="Tablebody-"/>
              <w:jc w:val="left"/>
              <w:rPr>
                <w:lang w:val="en-US"/>
              </w:rPr>
            </w:pPr>
            <w:r w:rsidRPr="009D3012">
              <w:rPr>
                <w:lang w:val="en-US"/>
              </w:rPr>
              <w:t>Members of industrial sites frequented by fork lifts with pneumatic or solid rubber tyres.</w:t>
            </w:r>
          </w:p>
        </w:tc>
      </w:tr>
      <w:tr w:rsidR="004E22C1" w:rsidRPr="001455DC" w14:paraId="238393A5" w14:textId="77777777" w:rsidTr="00073FC6">
        <w:trPr>
          <w:cantSplit/>
        </w:trPr>
        <w:tc>
          <w:tcPr>
            <w:tcW w:w="680" w:type="dxa"/>
            <w:vAlign w:val="center"/>
          </w:tcPr>
          <w:p w14:paraId="38F7D0E8" w14:textId="77777777" w:rsidR="004E22C1" w:rsidRPr="001455DC" w:rsidRDefault="004E22C1" w:rsidP="00073FC6">
            <w:pPr>
              <w:pStyle w:val="Tablebody-"/>
              <w:jc w:val="left"/>
            </w:pPr>
            <w:r w:rsidRPr="001455DC">
              <w:t>XM3</w:t>
            </w:r>
          </w:p>
        </w:tc>
        <w:tc>
          <w:tcPr>
            <w:tcW w:w="4536" w:type="dxa"/>
            <w:vAlign w:val="center"/>
          </w:tcPr>
          <w:p w14:paraId="16161F70" w14:textId="77777777" w:rsidR="004E22C1" w:rsidRPr="001455DC" w:rsidRDefault="004E22C1" w:rsidP="00073FC6">
            <w:pPr>
              <w:pStyle w:val="Tablebody-"/>
              <w:jc w:val="left"/>
            </w:pPr>
            <w:r w:rsidRPr="001455DC">
              <w:rPr>
                <w:lang w:eastAsia="de-DE"/>
              </w:rPr>
              <w:t>Extreme abrasion</w:t>
            </w:r>
          </w:p>
        </w:tc>
        <w:tc>
          <w:tcPr>
            <w:tcW w:w="4536" w:type="dxa"/>
            <w:vAlign w:val="center"/>
          </w:tcPr>
          <w:p w14:paraId="69C0C647" w14:textId="77777777" w:rsidR="004E22C1" w:rsidRPr="009D3012" w:rsidRDefault="004E22C1" w:rsidP="00073FC6">
            <w:pPr>
              <w:pStyle w:val="Tablebody-"/>
              <w:jc w:val="left"/>
              <w:rPr>
                <w:lang w:val="en-US"/>
              </w:rPr>
            </w:pPr>
            <w:r w:rsidRPr="009D3012">
              <w:rPr>
                <w:lang w:val="en-US"/>
              </w:rPr>
              <w:t>Members of industrial sites frequented by fork lifts with elastomer or steel tyres or track vehicles.</w:t>
            </w:r>
          </w:p>
        </w:tc>
      </w:tr>
      <w:tr w:rsidR="004E22C1" w:rsidRPr="001455DC" w14:paraId="3D398AAF" w14:textId="77777777" w:rsidTr="00073FC6">
        <w:trPr>
          <w:cnfStyle w:val="010000000000" w:firstRow="0" w:lastRow="1" w:firstColumn="0" w:lastColumn="0" w:oddVBand="0" w:evenVBand="0" w:oddHBand="0" w:evenHBand="0" w:firstRowFirstColumn="0" w:firstRowLastColumn="0" w:lastRowFirstColumn="0" w:lastRowLastColumn="0"/>
          <w:cantSplit/>
        </w:trPr>
        <w:tc>
          <w:tcPr>
            <w:tcW w:w="9752" w:type="dxa"/>
            <w:gridSpan w:val="3"/>
            <w:vAlign w:val="center"/>
          </w:tcPr>
          <w:p w14:paraId="09C3F278" w14:textId="77AEC1E0" w:rsidR="004E22C1" w:rsidRPr="009D3012" w:rsidRDefault="004E22C1" w:rsidP="00B078F1">
            <w:pPr>
              <w:pStyle w:val="Tablefooternote"/>
              <w:rPr>
                <w:lang w:val="en-US"/>
              </w:rPr>
            </w:pPr>
            <w:r w:rsidRPr="009D3012">
              <w:rPr>
                <w:lang w:val="en-US"/>
              </w:rPr>
              <w:t>NOTE</w:t>
            </w:r>
            <w:r w:rsidR="00661029" w:rsidRPr="009D3012">
              <w:rPr>
                <w:lang w:val="en-US"/>
              </w:rPr>
              <w:t xml:space="preserve"> 3</w:t>
            </w:r>
            <w:r w:rsidR="00B078F1">
              <w:rPr>
                <w:lang w:val="en-US"/>
              </w:rPr>
              <w:tab/>
              <w:t xml:space="preserve">    </w:t>
            </w:r>
            <w:r w:rsidRPr="009D3012">
              <w:rPr>
                <w:lang w:val="en-US"/>
              </w:rPr>
              <w:t>A National Annex can give different or additional informative examples in Table 6.1.</w:t>
            </w:r>
          </w:p>
        </w:tc>
      </w:tr>
    </w:tbl>
    <w:p w14:paraId="638A320A" w14:textId="77777777" w:rsidR="004E22C1" w:rsidRPr="001455DC" w:rsidRDefault="004E22C1" w:rsidP="007A764A">
      <w:pPr>
        <w:pStyle w:val="a7"/>
      </w:pPr>
    </w:p>
    <w:p w14:paraId="47AE9B00" w14:textId="77777777" w:rsidR="004E22C1" w:rsidRPr="001455DC" w:rsidRDefault="004E22C1" w:rsidP="00DC0C50">
      <w:pPr>
        <w:pStyle w:val="a7"/>
      </w:pPr>
      <w:r w:rsidRPr="001455DC">
        <w:t>(4)</w:t>
      </w:r>
      <w:r w:rsidRPr="001455DC">
        <w:tab/>
        <w:t>In addition to the exposure conditions in Table 6.1, the other particular forms of aggressive or indirect action according to (2) shall be considered.</w:t>
      </w:r>
    </w:p>
    <w:p w14:paraId="107D2206" w14:textId="77777777" w:rsidR="004E22C1" w:rsidRPr="001455DC" w:rsidRDefault="004E22C1" w:rsidP="00073FC6">
      <w:pPr>
        <w:pStyle w:val="a7"/>
        <w:keepLines/>
      </w:pPr>
      <w:r w:rsidRPr="001455DC">
        <w:t>(5)</w:t>
      </w:r>
      <w:r w:rsidRPr="001455DC">
        <w:tab/>
        <w:t>Classification of the exposure with respect to natural chemical attack from the soil and ground water shall refer to Table 6.2, the validity of which is ensured in the case of natural soil and ground water at water/-soil temperatures between 5 °C and 25 °C and a water velocity sufficiently slow to approximate to static conditions. The most onerous value for any single chemical characteristic determines the class. Where two or more aggressive characteristics lead to the same class, the environment shall be classified into the next higher class, unless a special study for this specific case proves that it is not necessary.</w:t>
      </w:r>
    </w:p>
    <w:p w14:paraId="2B8EFD8C" w14:textId="77777777" w:rsidR="004E22C1" w:rsidRPr="001455DC" w:rsidRDefault="004E22C1" w:rsidP="00DC0C50">
      <w:pPr>
        <w:pStyle w:val="a7"/>
      </w:pPr>
      <w:r w:rsidRPr="001455DC">
        <w:rPr>
          <w:bCs/>
        </w:rPr>
        <w:t>(6)</w:t>
      </w:r>
      <w:r w:rsidRPr="001455DC">
        <w:rPr>
          <w:bCs/>
        </w:rPr>
        <w:tab/>
      </w:r>
      <w:r w:rsidRPr="001455DC">
        <w:t>In the case of chemical attack, a special study may be needed to establish the relevant exposure conditions and appropriate protective measures, where there is:</w:t>
      </w:r>
    </w:p>
    <w:p w14:paraId="27A1B4A2" w14:textId="26A01022" w:rsidR="004E22C1" w:rsidRPr="001455DC" w:rsidRDefault="004E22C1" w:rsidP="00DC0C50">
      <w:pPr>
        <w:pStyle w:val="a0"/>
      </w:pPr>
      <w:r w:rsidRPr="001455DC">
        <w:t>values outside the limiting values of Table 6.2,</w:t>
      </w:r>
    </w:p>
    <w:p w14:paraId="019B7D5A" w14:textId="07F67B04" w:rsidR="004E22C1" w:rsidRPr="001455DC" w:rsidRDefault="004E22C1" w:rsidP="00DC0C50">
      <w:pPr>
        <w:pStyle w:val="a0"/>
      </w:pPr>
      <w:r w:rsidRPr="001455DC">
        <w:t>leaching, e.g. due to long-term contact to (soft) water or other liquids (see also XC2),</w:t>
      </w:r>
    </w:p>
    <w:p w14:paraId="452498A6" w14:textId="63FC49A7" w:rsidR="004E22C1" w:rsidRPr="001455DC" w:rsidRDefault="004E22C1" w:rsidP="00DC0C50">
      <w:pPr>
        <w:pStyle w:val="a0"/>
      </w:pPr>
      <w:r w:rsidRPr="001455DC">
        <w:t>other aggressive chemicals,</w:t>
      </w:r>
    </w:p>
    <w:p w14:paraId="2800DF90" w14:textId="53112765" w:rsidR="004E22C1" w:rsidRPr="001455DC" w:rsidRDefault="004E22C1" w:rsidP="00DC0C50">
      <w:pPr>
        <w:pStyle w:val="a0"/>
      </w:pPr>
      <w:r w:rsidRPr="001455DC">
        <w:t>chemically polluted ground or water,</w:t>
      </w:r>
    </w:p>
    <w:p w14:paraId="448D72A6" w14:textId="18AB4A6C" w:rsidR="004E22C1" w:rsidRPr="001455DC" w:rsidRDefault="004E22C1" w:rsidP="00DC0C50">
      <w:pPr>
        <w:pStyle w:val="a0"/>
      </w:pPr>
      <w:r w:rsidRPr="001455DC">
        <w:t>high water velocity in combination with the chemicals in Table 6.2.</w:t>
      </w:r>
    </w:p>
    <w:p w14:paraId="01743442" w14:textId="77777777" w:rsidR="004E22C1" w:rsidRPr="001455DC" w:rsidRDefault="004E22C1" w:rsidP="00DC0C50">
      <w:pPr>
        <w:pStyle w:val="Tabletitle"/>
      </w:pPr>
      <w:bookmarkStart w:id="340" w:name="_Toc54337325"/>
      <w:r w:rsidRPr="001455DC">
        <w:t>Table 6.2 — Limiting values for exposure classes for chemical attack from natural soil and ground water</w:t>
      </w:r>
      <w:bookmarkEnd w:id="340"/>
    </w:p>
    <w:tbl>
      <w:tblPr>
        <w:tblStyle w:val="53"/>
        <w:tblW w:w="9752" w:type="dxa"/>
        <w:tblLayout w:type="fixed"/>
        <w:tblCellMar>
          <w:left w:w="71" w:type="dxa"/>
          <w:right w:w="71" w:type="dxa"/>
        </w:tblCellMar>
        <w:tblLook w:val="0660" w:firstRow="1" w:lastRow="1" w:firstColumn="0" w:lastColumn="0" w:noHBand="1" w:noVBand="1"/>
      </w:tblPr>
      <w:tblGrid>
        <w:gridCol w:w="2433"/>
        <w:gridCol w:w="2275"/>
        <w:gridCol w:w="1626"/>
        <w:gridCol w:w="1625"/>
        <w:gridCol w:w="1793"/>
      </w:tblGrid>
      <w:tr w:rsidR="004E22C1" w:rsidRPr="001455DC" w14:paraId="47CAF017" w14:textId="77777777" w:rsidTr="00073FC6">
        <w:trPr>
          <w:cnfStyle w:val="100000000000" w:firstRow="1" w:lastRow="0" w:firstColumn="0" w:lastColumn="0" w:oddVBand="0" w:evenVBand="0" w:oddHBand="0" w:evenHBand="0" w:firstRowFirstColumn="0" w:firstRowLastColumn="0" w:lastRowFirstColumn="0" w:lastRowLastColumn="0"/>
          <w:trHeight w:val="579"/>
        </w:trPr>
        <w:tc>
          <w:tcPr>
            <w:tcW w:w="2122" w:type="dxa"/>
          </w:tcPr>
          <w:p w14:paraId="6205754E" w14:textId="77777777" w:rsidR="004E22C1" w:rsidRPr="001455DC" w:rsidRDefault="004E22C1" w:rsidP="00073FC6">
            <w:pPr>
              <w:pStyle w:val="Tableheader"/>
            </w:pPr>
            <w:r w:rsidRPr="001455DC">
              <w:t>Chemical characteristic</w:t>
            </w:r>
          </w:p>
        </w:tc>
        <w:tc>
          <w:tcPr>
            <w:tcW w:w="1984" w:type="dxa"/>
          </w:tcPr>
          <w:p w14:paraId="06722D6C" w14:textId="77777777" w:rsidR="004E22C1" w:rsidRPr="001455DC" w:rsidRDefault="004E22C1" w:rsidP="00073FC6">
            <w:pPr>
              <w:pStyle w:val="Tableheader"/>
            </w:pPr>
            <w:r w:rsidRPr="001455DC">
              <w:t>Reference test method</w:t>
            </w:r>
          </w:p>
        </w:tc>
        <w:tc>
          <w:tcPr>
            <w:tcW w:w="1418" w:type="dxa"/>
          </w:tcPr>
          <w:p w14:paraId="65453F61" w14:textId="77777777" w:rsidR="004E22C1" w:rsidRPr="001455DC" w:rsidRDefault="004E22C1" w:rsidP="00073FC6">
            <w:pPr>
              <w:pStyle w:val="Tableheader"/>
            </w:pPr>
            <w:r w:rsidRPr="001455DC">
              <w:t>XA1</w:t>
            </w:r>
          </w:p>
        </w:tc>
        <w:tc>
          <w:tcPr>
            <w:tcW w:w="1417" w:type="dxa"/>
          </w:tcPr>
          <w:p w14:paraId="2C9D6074" w14:textId="77777777" w:rsidR="004E22C1" w:rsidRPr="001455DC" w:rsidRDefault="004E22C1" w:rsidP="00073FC6">
            <w:pPr>
              <w:pStyle w:val="Tableheader"/>
            </w:pPr>
            <w:r w:rsidRPr="001455DC">
              <w:t>XA2</w:t>
            </w:r>
          </w:p>
        </w:tc>
        <w:tc>
          <w:tcPr>
            <w:tcW w:w="1564" w:type="dxa"/>
          </w:tcPr>
          <w:p w14:paraId="2C8A116B" w14:textId="77777777" w:rsidR="004E22C1" w:rsidRPr="001455DC" w:rsidRDefault="004E22C1" w:rsidP="00073FC6">
            <w:pPr>
              <w:pStyle w:val="Tableheader"/>
            </w:pPr>
            <w:r w:rsidRPr="001455DC">
              <w:t>XA3</w:t>
            </w:r>
          </w:p>
        </w:tc>
      </w:tr>
      <w:tr w:rsidR="004E22C1" w:rsidRPr="001455DC" w14:paraId="1D94B2EA" w14:textId="77777777" w:rsidTr="00073FC6">
        <w:trPr>
          <w:trHeight w:val="349"/>
        </w:trPr>
        <w:tc>
          <w:tcPr>
            <w:tcW w:w="8505" w:type="dxa"/>
            <w:gridSpan w:val="5"/>
            <w:vAlign w:val="center"/>
          </w:tcPr>
          <w:p w14:paraId="4F69815D" w14:textId="77777777" w:rsidR="004E22C1" w:rsidRPr="001455DC" w:rsidRDefault="004E22C1" w:rsidP="00073FC6">
            <w:pPr>
              <w:pStyle w:val="Tablebody"/>
              <w:jc w:val="center"/>
              <w:rPr>
                <w:b/>
              </w:rPr>
            </w:pPr>
            <w:r w:rsidRPr="001455DC">
              <w:rPr>
                <w:b/>
              </w:rPr>
              <w:t>Groundwater</w:t>
            </w:r>
          </w:p>
        </w:tc>
      </w:tr>
      <w:tr w:rsidR="004E22C1" w:rsidRPr="001455DC" w14:paraId="1AB2BF21" w14:textId="77777777" w:rsidTr="00073FC6">
        <w:trPr>
          <w:trHeight w:val="426"/>
        </w:trPr>
        <w:tc>
          <w:tcPr>
            <w:tcW w:w="2122" w:type="dxa"/>
            <w:vAlign w:val="center"/>
          </w:tcPr>
          <w:p w14:paraId="6CA08496" w14:textId="5733246D" w:rsidR="004E22C1" w:rsidRPr="001455DC" w:rsidRDefault="004E22C1" w:rsidP="00073FC6">
            <w:pPr>
              <w:pStyle w:val="Tablebody"/>
              <w:jc w:val="left"/>
            </w:pPr>
            <w:r w:rsidRPr="001455DC">
              <w:t>SO</w:t>
            </w:r>
            <w:r w:rsidRPr="001455DC">
              <w:rPr>
                <w:rStyle w:val="CCMCvariablesubscript"/>
              </w:rPr>
              <w:t>4</w:t>
            </w:r>
            <w:r w:rsidRPr="001455DC">
              <w:rPr>
                <w:rStyle w:val="CCMCvariablesuperscript"/>
              </w:rPr>
              <w:t>2</w:t>
            </w:r>
            <w:r w:rsidR="00EC27D2" w:rsidRPr="001455DC">
              <w:rPr>
                <w:rStyle w:val="CCMCvariablesuperscript"/>
                <w:rFonts w:ascii="Cambria Math" w:hAnsi="Cambria Math"/>
              </w:rPr>
              <w:t>−</w:t>
            </w:r>
            <w:r w:rsidRPr="001455DC">
              <w:t xml:space="preserve"> [mg/l]</w:t>
            </w:r>
          </w:p>
        </w:tc>
        <w:tc>
          <w:tcPr>
            <w:tcW w:w="1984" w:type="dxa"/>
            <w:vAlign w:val="center"/>
          </w:tcPr>
          <w:p w14:paraId="650B5691" w14:textId="77777777" w:rsidR="004E22C1" w:rsidRPr="001455DC" w:rsidRDefault="004E22C1" w:rsidP="00073FC6">
            <w:pPr>
              <w:pStyle w:val="Tablebody"/>
              <w:jc w:val="center"/>
            </w:pPr>
            <w:r w:rsidRPr="001455DC">
              <w:t>EN 196</w:t>
            </w:r>
            <w:r w:rsidRPr="001455DC">
              <w:noBreakHyphen/>
              <w:t>2</w:t>
            </w:r>
          </w:p>
        </w:tc>
        <w:tc>
          <w:tcPr>
            <w:tcW w:w="1418" w:type="dxa"/>
            <w:vAlign w:val="center"/>
          </w:tcPr>
          <w:p w14:paraId="78C78FB5" w14:textId="114D1961" w:rsidR="004E22C1" w:rsidRPr="001455DC" w:rsidRDefault="00EC27D2" w:rsidP="00073FC6">
            <w:pPr>
              <w:pStyle w:val="Tablebody"/>
              <w:jc w:val="center"/>
            </w:pPr>
            <w:r w:rsidRPr="001455DC">
              <w:rPr>
                <w:rFonts w:ascii="Cambria Math" w:hAnsi="Cambria Math"/>
              </w:rPr>
              <w:t>≥</w:t>
            </w:r>
            <w:r w:rsidR="00073FC6" w:rsidRPr="001455DC">
              <w:t> </w:t>
            </w:r>
            <w:r w:rsidR="004E22C1" w:rsidRPr="001455DC">
              <w:t>200 and</w:t>
            </w:r>
            <w:r w:rsidR="00073FC6" w:rsidRPr="001455DC">
              <w:t xml:space="preserve"> </w:t>
            </w:r>
            <w:r w:rsidR="00650035" w:rsidRPr="001455DC">
              <w:rPr>
                <w:rFonts w:ascii="Cambria Math" w:hAnsi="Cambria Math"/>
              </w:rPr>
              <w:t>≤</w:t>
            </w:r>
            <w:r w:rsidR="004E22C1" w:rsidRPr="001455DC">
              <w:t> 600</w:t>
            </w:r>
          </w:p>
        </w:tc>
        <w:tc>
          <w:tcPr>
            <w:tcW w:w="1417" w:type="dxa"/>
            <w:vAlign w:val="center"/>
          </w:tcPr>
          <w:p w14:paraId="4470B77B" w14:textId="5423CAA6" w:rsidR="004E22C1" w:rsidRPr="001455DC" w:rsidRDefault="00650035" w:rsidP="00073FC6">
            <w:pPr>
              <w:pStyle w:val="Tablebody"/>
              <w:jc w:val="center"/>
            </w:pPr>
            <w:r w:rsidRPr="001455DC">
              <w:rPr>
                <w:rFonts w:ascii="Cambria Math" w:hAnsi="Cambria Math"/>
              </w:rPr>
              <w:t>&gt;</w:t>
            </w:r>
            <w:r w:rsidR="00073FC6" w:rsidRPr="001455DC">
              <w:t> </w:t>
            </w:r>
            <w:r w:rsidR="004E22C1" w:rsidRPr="001455DC">
              <w:t>600 and</w:t>
            </w:r>
            <w:r w:rsidR="00073FC6" w:rsidRPr="001455DC">
              <w:t xml:space="preserve"> </w:t>
            </w:r>
            <w:r w:rsidRPr="001455DC">
              <w:rPr>
                <w:rFonts w:ascii="Cambria Math" w:hAnsi="Cambria Math"/>
              </w:rPr>
              <w:t>≤</w:t>
            </w:r>
            <w:r w:rsidR="004E22C1" w:rsidRPr="001455DC">
              <w:t> 3</w:t>
            </w:r>
            <w:r w:rsidR="00073FC6" w:rsidRPr="001455DC">
              <w:t> </w:t>
            </w:r>
            <w:r w:rsidR="004E22C1" w:rsidRPr="001455DC">
              <w:t>000</w:t>
            </w:r>
          </w:p>
        </w:tc>
        <w:tc>
          <w:tcPr>
            <w:tcW w:w="1564" w:type="dxa"/>
            <w:vAlign w:val="center"/>
          </w:tcPr>
          <w:p w14:paraId="14EE72B1" w14:textId="4687079E" w:rsidR="004E22C1" w:rsidRPr="001455DC" w:rsidRDefault="00650035" w:rsidP="00073FC6">
            <w:pPr>
              <w:pStyle w:val="Tablebody"/>
              <w:jc w:val="center"/>
            </w:pPr>
            <w:r w:rsidRPr="001455DC">
              <w:rPr>
                <w:rFonts w:ascii="Cambria Math" w:hAnsi="Cambria Math"/>
              </w:rPr>
              <w:t>&gt;</w:t>
            </w:r>
            <w:r w:rsidR="00073FC6" w:rsidRPr="001455DC">
              <w:t> </w:t>
            </w:r>
            <w:r w:rsidR="004E22C1" w:rsidRPr="001455DC">
              <w:t>3</w:t>
            </w:r>
            <w:r w:rsidR="00073FC6" w:rsidRPr="001455DC">
              <w:t> </w:t>
            </w:r>
            <w:r w:rsidR="004E22C1" w:rsidRPr="001455DC">
              <w:t>000 and</w:t>
            </w:r>
            <w:r w:rsidR="00073FC6" w:rsidRPr="001455DC">
              <w:t xml:space="preserve"> </w:t>
            </w:r>
            <w:r w:rsidRPr="001455DC">
              <w:rPr>
                <w:rFonts w:ascii="Cambria Math" w:hAnsi="Cambria Math"/>
              </w:rPr>
              <w:t>≤</w:t>
            </w:r>
            <w:r w:rsidR="004E22C1" w:rsidRPr="001455DC">
              <w:t> 6</w:t>
            </w:r>
            <w:r w:rsidR="00073FC6" w:rsidRPr="001455DC">
              <w:t> </w:t>
            </w:r>
            <w:r w:rsidR="004E22C1" w:rsidRPr="001455DC">
              <w:t>000</w:t>
            </w:r>
          </w:p>
        </w:tc>
      </w:tr>
      <w:tr w:rsidR="004E22C1" w:rsidRPr="001455DC" w14:paraId="65CD241B" w14:textId="77777777" w:rsidTr="00073FC6">
        <w:trPr>
          <w:trHeight w:val="270"/>
        </w:trPr>
        <w:tc>
          <w:tcPr>
            <w:tcW w:w="2122" w:type="dxa"/>
            <w:vAlign w:val="center"/>
          </w:tcPr>
          <w:p w14:paraId="565B0BC3" w14:textId="77777777" w:rsidR="004E22C1" w:rsidRPr="001455DC" w:rsidRDefault="004E22C1" w:rsidP="00073FC6">
            <w:pPr>
              <w:pStyle w:val="Tablebody"/>
              <w:jc w:val="left"/>
            </w:pPr>
            <w:r w:rsidRPr="001455DC">
              <w:t>pH</w:t>
            </w:r>
          </w:p>
        </w:tc>
        <w:tc>
          <w:tcPr>
            <w:tcW w:w="1984" w:type="dxa"/>
            <w:vAlign w:val="center"/>
          </w:tcPr>
          <w:p w14:paraId="7DDF0935" w14:textId="77777777" w:rsidR="004E22C1" w:rsidRPr="001455DC" w:rsidRDefault="004E22C1" w:rsidP="00073FC6">
            <w:pPr>
              <w:pStyle w:val="Tablebody"/>
              <w:jc w:val="center"/>
            </w:pPr>
            <w:r w:rsidRPr="001455DC">
              <w:t>ISO 4316</w:t>
            </w:r>
          </w:p>
        </w:tc>
        <w:tc>
          <w:tcPr>
            <w:tcW w:w="1418" w:type="dxa"/>
            <w:vAlign w:val="center"/>
          </w:tcPr>
          <w:p w14:paraId="43C426EC" w14:textId="041EE203" w:rsidR="004E22C1" w:rsidRPr="001455DC" w:rsidRDefault="00650035" w:rsidP="00073FC6">
            <w:pPr>
              <w:pStyle w:val="Tablebody"/>
              <w:jc w:val="center"/>
            </w:pPr>
            <w:r w:rsidRPr="001455DC">
              <w:rPr>
                <w:rFonts w:ascii="Cambria Math" w:hAnsi="Cambria Math"/>
              </w:rPr>
              <w:t>≤</w:t>
            </w:r>
            <w:r w:rsidR="004E22C1" w:rsidRPr="001455DC">
              <w:t> 6,5 and</w:t>
            </w:r>
            <w:r w:rsidR="00073FC6" w:rsidRPr="001455DC">
              <w:t xml:space="preserve"> </w:t>
            </w:r>
            <w:r w:rsidR="00EC27D2" w:rsidRPr="001455DC">
              <w:rPr>
                <w:rFonts w:ascii="Cambria Math" w:hAnsi="Cambria Math"/>
              </w:rPr>
              <w:t>≥</w:t>
            </w:r>
            <w:r w:rsidR="00073FC6" w:rsidRPr="001455DC">
              <w:t> </w:t>
            </w:r>
            <w:r w:rsidR="004E22C1" w:rsidRPr="001455DC">
              <w:t>5,5</w:t>
            </w:r>
          </w:p>
        </w:tc>
        <w:tc>
          <w:tcPr>
            <w:tcW w:w="1417" w:type="dxa"/>
            <w:vAlign w:val="center"/>
          </w:tcPr>
          <w:p w14:paraId="0198F8D2" w14:textId="2ED4E715" w:rsidR="004E22C1" w:rsidRPr="001455DC" w:rsidRDefault="00650035" w:rsidP="00073FC6">
            <w:pPr>
              <w:pStyle w:val="Tablebody"/>
              <w:jc w:val="center"/>
            </w:pPr>
            <w:r w:rsidRPr="001455DC">
              <w:rPr>
                <w:rFonts w:ascii="Cambria Math" w:hAnsi="Cambria Math"/>
              </w:rPr>
              <w:t>&lt;</w:t>
            </w:r>
            <w:r w:rsidR="004E22C1" w:rsidRPr="001455DC">
              <w:t xml:space="preserve"> 5,5 and</w:t>
            </w:r>
            <w:r w:rsidR="00073FC6" w:rsidRPr="001455DC">
              <w:t xml:space="preserve"> </w:t>
            </w:r>
            <w:r w:rsidR="00EC27D2" w:rsidRPr="001455DC">
              <w:rPr>
                <w:rFonts w:ascii="Cambria Math" w:hAnsi="Cambria Math"/>
              </w:rPr>
              <w:t>≥</w:t>
            </w:r>
            <w:r w:rsidR="00073FC6" w:rsidRPr="001455DC">
              <w:t> </w:t>
            </w:r>
            <w:r w:rsidR="004E22C1" w:rsidRPr="001455DC">
              <w:t>4,5</w:t>
            </w:r>
          </w:p>
        </w:tc>
        <w:tc>
          <w:tcPr>
            <w:tcW w:w="1564" w:type="dxa"/>
            <w:vAlign w:val="center"/>
          </w:tcPr>
          <w:p w14:paraId="4223785B" w14:textId="1B9119DF" w:rsidR="004E22C1" w:rsidRPr="001455DC" w:rsidRDefault="00650035" w:rsidP="00073FC6">
            <w:pPr>
              <w:pStyle w:val="Tablebody"/>
              <w:jc w:val="center"/>
            </w:pPr>
            <w:r w:rsidRPr="001455DC">
              <w:rPr>
                <w:rFonts w:ascii="Cambria Math" w:hAnsi="Cambria Math"/>
              </w:rPr>
              <w:t>&lt;</w:t>
            </w:r>
            <w:r w:rsidR="004E22C1" w:rsidRPr="001455DC">
              <w:t xml:space="preserve"> 4,5 and</w:t>
            </w:r>
            <w:r w:rsidR="00073FC6" w:rsidRPr="001455DC">
              <w:t xml:space="preserve"> </w:t>
            </w:r>
            <w:r w:rsidR="00EC27D2" w:rsidRPr="001455DC">
              <w:rPr>
                <w:rFonts w:ascii="Cambria Math" w:hAnsi="Cambria Math"/>
              </w:rPr>
              <w:t>≥</w:t>
            </w:r>
            <w:r w:rsidR="00073FC6" w:rsidRPr="001455DC">
              <w:t> </w:t>
            </w:r>
            <w:r w:rsidR="004E22C1" w:rsidRPr="001455DC">
              <w:t>4,0</w:t>
            </w:r>
          </w:p>
        </w:tc>
      </w:tr>
      <w:tr w:rsidR="004E22C1" w:rsidRPr="001455DC" w14:paraId="6D47321B" w14:textId="77777777" w:rsidTr="00073FC6">
        <w:trPr>
          <w:trHeight w:val="270"/>
        </w:trPr>
        <w:tc>
          <w:tcPr>
            <w:tcW w:w="2122" w:type="dxa"/>
            <w:vAlign w:val="center"/>
          </w:tcPr>
          <w:p w14:paraId="09EF12FA" w14:textId="77777777" w:rsidR="004E22C1" w:rsidRPr="001455DC" w:rsidRDefault="004E22C1" w:rsidP="00073FC6">
            <w:pPr>
              <w:pStyle w:val="Tablebody"/>
              <w:jc w:val="left"/>
            </w:pPr>
            <w:r w:rsidRPr="001455DC">
              <w:t>CO</w:t>
            </w:r>
            <w:r w:rsidRPr="001455DC">
              <w:rPr>
                <w:rStyle w:val="CCMCvariablesubscript"/>
              </w:rPr>
              <w:t>2</w:t>
            </w:r>
            <w:r w:rsidRPr="001455DC">
              <w:t xml:space="preserve"> [mg/l]</w:t>
            </w:r>
          </w:p>
        </w:tc>
        <w:tc>
          <w:tcPr>
            <w:tcW w:w="1984" w:type="dxa"/>
            <w:vAlign w:val="center"/>
          </w:tcPr>
          <w:p w14:paraId="33B7BB44" w14:textId="77777777" w:rsidR="004E22C1" w:rsidRPr="001455DC" w:rsidRDefault="004E22C1" w:rsidP="00073FC6">
            <w:pPr>
              <w:pStyle w:val="Tablebody"/>
              <w:jc w:val="center"/>
            </w:pPr>
            <w:r w:rsidRPr="001455DC">
              <w:t>EN 13577</w:t>
            </w:r>
          </w:p>
        </w:tc>
        <w:tc>
          <w:tcPr>
            <w:tcW w:w="1418" w:type="dxa"/>
            <w:vAlign w:val="center"/>
          </w:tcPr>
          <w:p w14:paraId="2175B061" w14:textId="0A75C30A" w:rsidR="004E22C1" w:rsidRPr="001455DC" w:rsidRDefault="00EC27D2" w:rsidP="00073FC6">
            <w:pPr>
              <w:pStyle w:val="Tablebody"/>
              <w:jc w:val="center"/>
            </w:pPr>
            <w:r w:rsidRPr="001455DC">
              <w:rPr>
                <w:rFonts w:ascii="Cambria Math" w:hAnsi="Cambria Math"/>
              </w:rPr>
              <w:t>≥</w:t>
            </w:r>
            <w:r w:rsidR="00073FC6" w:rsidRPr="001455DC">
              <w:t> </w:t>
            </w:r>
            <w:r w:rsidR="004E22C1" w:rsidRPr="001455DC">
              <w:t>15 and</w:t>
            </w:r>
            <w:r w:rsidR="00073FC6" w:rsidRPr="001455DC">
              <w:t xml:space="preserve"> </w:t>
            </w:r>
            <w:r w:rsidR="00650035" w:rsidRPr="001455DC">
              <w:rPr>
                <w:rFonts w:ascii="Cambria Math" w:hAnsi="Cambria Math"/>
              </w:rPr>
              <w:t>≤</w:t>
            </w:r>
            <w:r w:rsidR="004E22C1" w:rsidRPr="001455DC">
              <w:t> 40</w:t>
            </w:r>
          </w:p>
        </w:tc>
        <w:tc>
          <w:tcPr>
            <w:tcW w:w="1417" w:type="dxa"/>
            <w:vAlign w:val="center"/>
          </w:tcPr>
          <w:p w14:paraId="7AC7520F" w14:textId="2D8BB4B6" w:rsidR="004E22C1" w:rsidRPr="001455DC" w:rsidRDefault="00650035" w:rsidP="00073FC6">
            <w:pPr>
              <w:pStyle w:val="Tablebody"/>
              <w:jc w:val="center"/>
            </w:pPr>
            <w:r w:rsidRPr="001455DC">
              <w:rPr>
                <w:rFonts w:ascii="Cambria Math" w:hAnsi="Cambria Math"/>
              </w:rPr>
              <w:t>&gt;</w:t>
            </w:r>
            <w:r w:rsidR="00073FC6" w:rsidRPr="001455DC">
              <w:t> </w:t>
            </w:r>
            <w:r w:rsidR="004E22C1" w:rsidRPr="001455DC">
              <w:t>40 and</w:t>
            </w:r>
            <w:r w:rsidR="00073FC6" w:rsidRPr="001455DC">
              <w:t xml:space="preserve"> </w:t>
            </w:r>
            <w:r w:rsidRPr="001455DC">
              <w:rPr>
                <w:rFonts w:ascii="Cambria Math" w:hAnsi="Cambria Math"/>
              </w:rPr>
              <w:t>≤</w:t>
            </w:r>
            <w:r w:rsidR="004E22C1" w:rsidRPr="001455DC">
              <w:t> 100</w:t>
            </w:r>
          </w:p>
        </w:tc>
        <w:tc>
          <w:tcPr>
            <w:tcW w:w="1564" w:type="dxa"/>
            <w:vAlign w:val="center"/>
          </w:tcPr>
          <w:p w14:paraId="4BA3FDAA" w14:textId="1E83303B" w:rsidR="004E22C1" w:rsidRPr="001455DC" w:rsidRDefault="00650035" w:rsidP="00073FC6">
            <w:pPr>
              <w:pStyle w:val="Tablebody"/>
              <w:jc w:val="center"/>
            </w:pPr>
            <w:r w:rsidRPr="001455DC">
              <w:rPr>
                <w:rFonts w:ascii="Cambria Math" w:hAnsi="Cambria Math"/>
              </w:rPr>
              <w:t>&gt;</w:t>
            </w:r>
            <w:r w:rsidR="00073FC6" w:rsidRPr="001455DC">
              <w:t> </w:t>
            </w:r>
            <w:r w:rsidR="004E22C1" w:rsidRPr="001455DC">
              <w:t>100 up to saturation</w:t>
            </w:r>
          </w:p>
        </w:tc>
      </w:tr>
      <w:tr w:rsidR="004E22C1" w:rsidRPr="001455DC" w14:paraId="780D723E" w14:textId="77777777" w:rsidTr="00073FC6">
        <w:trPr>
          <w:trHeight w:val="439"/>
        </w:trPr>
        <w:tc>
          <w:tcPr>
            <w:tcW w:w="2122" w:type="dxa"/>
            <w:vAlign w:val="center"/>
          </w:tcPr>
          <w:p w14:paraId="5F5A1D5C" w14:textId="603ED2D4" w:rsidR="004E22C1" w:rsidRPr="001455DC" w:rsidRDefault="004E22C1" w:rsidP="00073FC6">
            <w:pPr>
              <w:pStyle w:val="Tablebody"/>
              <w:jc w:val="left"/>
            </w:pPr>
            <w:r w:rsidRPr="001455DC">
              <w:t>NH</w:t>
            </w:r>
            <w:r w:rsidRPr="001455DC">
              <w:rPr>
                <w:rStyle w:val="CCMCvariablesubscript"/>
              </w:rPr>
              <w:t>4</w:t>
            </w:r>
            <w:r w:rsidR="00EC27D2" w:rsidRPr="001455DC">
              <w:rPr>
                <w:rStyle w:val="CCMCvariablesuperscript"/>
                <w:rFonts w:ascii="Cambria Math" w:hAnsi="Cambria Math"/>
              </w:rPr>
              <w:t>+</w:t>
            </w:r>
            <w:r w:rsidRPr="001455DC">
              <w:t xml:space="preserve"> [mg/l]</w:t>
            </w:r>
          </w:p>
        </w:tc>
        <w:tc>
          <w:tcPr>
            <w:tcW w:w="1984" w:type="dxa"/>
            <w:vAlign w:val="center"/>
          </w:tcPr>
          <w:p w14:paraId="1F252D76" w14:textId="77777777" w:rsidR="004E22C1" w:rsidRPr="001455DC" w:rsidRDefault="004E22C1" w:rsidP="00073FC6">
            <w:pPr>
              <w:pStyle w:val="Tablebody"/>
              <w:jc w:val="center"/>
            </w:pPr>
            <w:r w:rsidRPr="001455DC">
              <w:t>ISO 7150</w:t>
            </w:r>
            <w:r w:rsidRPr="001455DC">
              <w:noBreakHyphen/>
              <w:t>1</w:t>
            </w:r>
          </w:p>
        </w:tc>
        <w:tc>
          <w:tcPr>
            <w:tcW w:w="1418" w:type="dxa"/>
            <w:vAlign w:val="center"/>
          </w:tcPr>
          <w:p w14:paraId="751562BA" w14:textId="5DD00881" w:rsidR="004E22C1" w:rsidRPr="001455DC" w:rsidRDefault="00EC27D2" w:rsidP="00073FC6">
            <w:pPr>
              <w:pStyle w:val="Tablebody"/>
              <w:jc w:val="center"/>
            </w:pPr>
            <w:r w:rsidRPr="001455DC">
              <w:rPr>
                <w:rFonts w:ascii="Cambria Math" w:hAnsi="Cambria Math"/>
              </w:rPr>
              <w:t>≥</w:t>
            </w:r>
            <w:r w:rsidR="00073FC6" w:rsidRPr="001455DC">
              <w:t> </w:t>
            </w:r>
            <w:r w:rsidR="004E22C1" w:rsidRPr="001455DC">
              <w:t>15 and</w:t>
            </w:r>
            <w:r w:rsidR="00073FC6" w:rsidRPr="001455DC">
              <w:t xml:space="preserve"> </w:t>
            </w:r>
            <w:r w:rsidR="00650035" w:rsidRPr="001455DC">
              <w:rPr>
                <w:rFonts w:ascii="Cambria Math" w:hAnsi="Cambria Math"/>
              </w:rPr>
              <w:t>≤</w:t>
            </w:r>
            <w:r w:rsidR="004E22C1" w:rsidRPr="001455DC">
              <w:t> 30</w:t>
            </w:r>
          </w:p>
        </w:tc>
        <w:tc>
          <w:tcPr>
            <w:tcW w:w="1417" w:type="dxa"/>
            <w:vAlign w:val="center"/>
          </w:tcPr>
          <w:p w14:paraId="5E6CBC3F" w14:textId="482E1D6E" w:rsidR="004E22C1" w:rsidRPr="001455DC" w:rsidRDefault="00650035" w:rsidP="00073FC6">
            <w:pPr>
              <w:pStyle w:val="Tablebody"/>
              <w:jc w:val="center"/>
            </w:pPr>
            <w:r w:rsidRPr="001455DC">
              <w:rPr>
                <w:rFonts w:ascii="Cambria Math" w:hAnsi="Cambria Math"/>
              </w:rPr>
              <w:t>&gt;</w:t>
            </w:r>
            <w:r w:rsidR="00073FC6" w:rsidRPr="001455DC">
              <w:t> </w:t>
            </w:r>
            <w:r w:rsidR="004E22C1" w:rsidRPr="001455DC">
              <w:t>30 and</w:t>
            </w:r>
            <w:r w:rsidR="00073FC6" w:rsidRPr="001455DC">
              <w:t xml:space="preserve"> </w:t>
            </w:r>
            <w:r w:rsidRPr="001455DC">
              <w:rPr>
                <w:rFonts w:ascii="Cambria Math" w:hAnsi="Cambria Math"/>
              </w:rPr>
              <w:t>≤</w:t>
            </w:r>
            <w:r w:rsidR="004E22C1" w:rsidRPr="001455DC">
              <w:t> 60</w:t>
            </w:r>
          </w:p>
        </w:tc>
        <w:tc>
          <w:tcPr>
            <w:tcW w:w="1564" w:type="dxa"/>
            <w:vAlign w:val="center"/>
          </w:tcPr>
          <w:p w14:paraId="7018875A" w14:textId="2C4296CC" w:rsidR="004E22C1" w:rsidRPr="001455DC" w:rsidRDefault="00650035" w:rsidP="00073FC6">
            <w:pPr>
              <w:pStyle w:val="Tablebody"/>
              <w:jc w:val="center"/>
            </w:pPr>
            <w:r w:rsidRPr="001455DC">
              <w:rPr>
                <w:rFonts w:ascii="Cambria Math" w:hAnsi="Cambria Math"/>
              </w:rPr>
              <w:t>&gt;</w:t>
            </w:r>
            <w:r w:rsidR="00073FC6" w:rsidRPr="001455DC">
              <w:t> </w:t>
            </w:r>
            <w:r w:rsidR="004E22C1" w:rsidRPr="001455DC">
              <w:t>60 and</w:t>
            </w:r>
            <w:r w:rsidR="00073FC6" w:rsidRPr="001455DC">
              <w:t xml:space="preserve"> </w:t>
            </w:r>
            <w:r w:rsidRPr="001455DC">
              <w:rPr>
                <w:rFonts w:ascii="Cambria Math" w:hAnsi="Cambria Math"/>
              </w:rPr>
              <w:t>≤</w:t>
            </w:r>
            <w:r w:rsidR="004E22C1" w:rsidRPr="001455DC">
              <w:t> 100</w:t>
            </w:r>
          </w:p>
        </w:tc>
      </w:tr>
      <w:tr w:rsidR="004E22C1" w:rsidRPr="001455DC" w14:paraId="0FC3A93E" w14:textId="77777777" w:rsidTr="00073FC6">
        <w:trPr>
          <w:trHeight w:val="500"/>
        </w:trPr>
        <w:tc>
          <w:tcPr>
            <w:tcW w:w="2122" w:type="dxa"/>
            <w:vAlign w:val="center"/>
          </w:tcPr>
          <w:p w14:paraId="36E499C1" w14:textId="3D10EA41" w:rsidR="004E22C1" w:rsidRPr="001455DC" w:rsidRDefault="004E22C1" w:rsidP="00073FC6">
            <w:pPr>
              <w:pStyle w:val="Tablebody"/>
              <w:jc w:val="left"/>
            </w:pPr>
            <w:r w:rsidRPr="001455DC">
              <w:t>Mg</w:t>
            </w:r>
            <w:r w:rsidRPr="001455DC">
              <w:rPr>
                <w:rStyle w:val="CCMCvariablesuperscript"/>
              </w:rPr>
              <w:t>2</w:t>
            </w:r>
            <w:r w:rsidR="00EC27D2" w:rsidRPr="001455DC">
              <w:rPr>
                <w:rStyle w:val="CCMCvariablesuperscript"/>
                <w:rFonts w:ascii="Cambria Math" w:hAnsi="Cambria Math"/>
              </w:rPr>
              <w:t>+</w:t>
            </w:r>
            <w:r w:rsidRPr="001455DC">
              <w:t xml:space="preserve"> [mg/l]</w:t>
            </w:r>
          </w:p>
        </w:tc>
        <w:tc>
          <w:tcPr>
            <w:tcW w:w="1984" w:type="dxa"/>
            <w:vAlign w:val="center"/>
          </w:tcPr>
          <w:p w14:paraId="7AEB43DF" w14:textId="77777777" w:rsidR="004E22C1" w:rsidRPr="001455DC" w:rsidRDefault="004E22C1" w:rsidP="00073FC6">
            <w:pPr>
              <w:pStyle w:val="Tablebody"/>
              <w:jc w:val="center"/>
            </w:pPr>
            <w:r w:rsidRPr="001455DC">
              <w:t>EN ISO 7980</w:t>
            </w:r>
          </w:p>
        </w:tc>
        <w:tc>
          <w:tcPr>
            <w:tcW w:w="1418" w:type="dxa"/>
            <w:vAlign w:val="center"/>
          </w:tcPr>
          <w:p w14:paraId="0E19B448" w14:textId="13E4240B" w:rsidR="004E22C1" w:rsidRPr="001455DC" w:rsidRDefault="00EC27D2" w:rsidP="00073FC6">
            <w:pPr>
              <w:pStyle w:val="Tablebody"/>
              <w:jc w:val="center"/>
            </w:pPr>
            <w:r w:rsidRPr="001455DC">
              <w:rPr>
                <w:rFonts w:ascii="Cambria Math" w:hAnsi="Cambria Math"/>
              </w:rPr>
              <w:t>≥</w:t>
            </w:r>
            <w:r w:rsidR="00073FC6" w:rsidRPr="001455DC">
              <w:t> </w:t>
            </w:r>
            <w:r w:rsidR="004E22C1" w:rsidRPr="001455DC">
              <w:t>300 and</w:t>
            </w:r>
            <w:r w:rsidR="00073FC6" w:rsidRPr="001455DC">
              <w:t xml:space="preserve"> </w:t>
            </w:r>
            <w:r w:rsidR="00650035" w:rsidRPr="001455DC">
              <w:rPr>
                <w:rFonts w:ascii="Cambria Math" w:hAnsi="Cambria Math"/>
              </w:rPr>
              <w:t>≤</w:t>
            </w:r>
            <w:r w:rsidR="004E22C1" w:rsidRPr="001455DC">
              <w:t> 1</w:t>
            </w:r>
            <w:r w:rsidR="00073FC6" w:rsidRPr="001455DC">
              <w:t> </w:t>
            </w:r>
            <w:r w:rsidR="004E22C1" w:rsidRPr="001455DC">
              <w:t>000</w:t>
            </w:r>
          </w:p>
        </w:tc>
        <w:tc>
          <w:tcPr>
            <w:tcW w:w="1417" w:type="dxa"/>
            <w:vAlign w:val="center"/>
          </w:tcPr>
          <w:p w14:paraId="479B7208" w14:textId="3E7D2559" w:rsidR="004E22C1" w:rsidRPr="001455DC" w:rsidRDefault="00650035" w:rsidP="00073FC6">
            <w:pPr>
              <w:pStyle w:val="Tablebody"/>
              <w:jc w:val="center"/>
            </w:pPr>
            <w:r w:rsidRPr="001455DC">
              <w:rPr>
                <w:rFonts w:ascii="Cambria Math" w:hAnsi="Cambria Math"/>
              </w:rPr>
              <w:t>&gt;</w:t>
            </w:r>
            <w:r w:rsidR="00073FC6" w:rsidRPr="001455DC">
              <w:t> </w:t>
            </w:r>
            <w:r w:rsidR="004E22C1" w:rsidRPr="001455DC">
              <w:t>1</w:t>
            </w:r>
            <w:r w:rsidR="00073FC6" w:rsidRPr="001455DC">
              <w:t> </w:t>
            </w:r>
            <w:r w:rsidR="004E22C1" w:rsidRPr="001455DC">
              <w:t>000 and</w:t>
            </w:r>
            <w:r w:rsidR="00073FC6" w:rsidRPr="001455DC">
              <w:t xml:space="preserve"> </w:t>
            </w:r>
            <w:r w:rsidRPr="001455DC">
              <w:rPr>
                <w:rFonts w:ascii="Cambria Math" w:hAnsi="Cambria Math"/>
              </w:rPr>
              <w:t>≤</w:t>
            </w:r>
            <w:r w:rsidR="004E22C1" w:rsidRPr="001455DC">
              <w:t> 3</w:t>
            </w:r>
            <w:r w:rsidR="00073FC6" w:rsidRPr="001455DC">
              <w:t> </w:t>
            </w:r>
            <w:r w:rsidR="004E22C1" w:rsidRPr="001455DC">
              <w:t>000</w:t>
            </w:r>
          </w:p>
        </w:tc>
        <w:tc>
          <w:tcPr>
            <w:tcW w:w="1564" w:type="dxa"/>
            <w:vAlign w:val="center"/>
          </w:tcPr>
          <w:p w14:paraId="31727A1E" w14:textId="6438FE73" w:rsidR="004E22C1" w:rsidRPr="001455DC" w:rsidRDefault="00650035" w:rsidP="00073FC6">
            <w:pPr>
              <w:pStyle w:val="Tablebody"/>
              <w:jc w:val="center"/>
            </w:pPr>
            <w:r w:rsidRPr="001455DC">
              <w:rPr>
                <w:rFonts w:ascii="Cambria Math" w:hAnsi="Cambria Math"/>
              </w:rPr>
              <w:t>&gt;</w:t>
            </w:r>
            <w:r w:rsidR="00073FC6" w:rsidRPr="001455DC">
              <w:t> </w:t>
            </w:r>
            <w:r w:rsidR="004E22C1" w:rsidRPr="001455DC">
              <w:t>3</w:t>
            </w:r>
            <w:r w:rsidR="00073FC6" w:rsidRPr="001455DC">
              <w:t> </w:t>
            </w:r>
            <w:r w:rsidR="004E22C1" w:rsidRPr="001455DC">
              <w:t>000 up to saturation</w:t>
            </w:r>
          </w:p>
        </w:tc>
      </w:tr>
      <w:tr w:rsidR="004E22C1" w:rsidRPr="001455DC" w14:paraId="2205DE75" w14:textId="77777777" w:rsidTr="00073FC6">
        <w:trPr>
          <w:trHeight w:val="349"/>
        </w:trPr>
        <w:tc>
          <w:tcPr>
            <w:tcW w:w="8505" w:type="dxa"/>
            <w:gridSpan w:val="5"/>
            <w:vAlign w:val="center"/>
          </w:tcPr>
          <w:p w14:paraId="604068EB" w14:textId="77777777" w:rsidR="004E22C1" w:rsidRPr="001455DC" w:rsidRDefault="004E22C1" w:rsidP="00073FC6">
            <w:pPr>
              <w:pStyle w:val="Tablebody"/>
              <w:jc w:val="center"/>
              <w:rPr>
                <w:b/>
              </w:rPr>
            </w:pPr>
            <w:r w:rsidRPr="001455DC">
              <w:rPr>
                <w:b/>
              </w:rPr>
              <w:t>Soil</w:t>
            </w:r>
          </w:p>
        </w:tc>
      </w:tr>
      <w:tr w:rsidR="004E22C1" w:rsidRPr="001455DC" w14:paraId="55DD5D52" w14:textId="77777777" w:rsidTr="00073FC6">
        <w:trPr>
          <w:trHeight w:val="426"/>
        </w:trPr>
        <w:tc>
          <w:tcPr>
            <w:tcW w:w="2122" w:type="dxa"/>
            <w:vAlign w:val="center"/>
          </w:tcPr>
          <w:p w14:paraId="5633F53C" w14:textId="6DB12A57" w:rsidR="004E22C1" w:rsidRPr="009D3012" w:rsidRDefault="004E22C1">
            <w:pPr>
              <w:pStyle w:val="Tablebody"/>
              <w:jc w:val="left"/>
              <w:rPr>
                <w:lang w:val="en-US"/>
              </w:rPr>
            </w:pPr>
            <w:r w:rsidRPr="009D3012">
              <w:rPr>
                <w:lang w:val="en-US"/>
              </w:rPr>
              <w:t>SO</w:t>
            </w:r>
            <w:r w:rsidRPr="009D3012">
              <w:rPr>
                <w:rStyle w:val="CCMCvariablesubscript"/>
                <w:lang w:val="en-US"/>
              </w:rPr>
              <w:t>4</w:t>
            </w:r>
            <w:r w:rsidRPr="009D3012">
              <w:rPr>
                <w:rStyle w:val="CCMCvariablesuperscript"/>
                <w:lang w:val="en-US"/>
              </w:rPr>
              <w:t>2</w:t>
            </w:r>
            <w:r w:rsidR="00EC27D2" w:rsidRPr="009D3012">
              <w:rPr>
                <w:rStyle w:val="CCMCvariablesuperscript"/>
                <w:rFonts w:ascii="Cambria Math" w:hAnsi="Cambria Math"/>
                <w:lang w:val="en-US"/>
              </w:rPr>
              <w:t>−</w:t>
            </w:r>
            <w:r w:rsidRPr="009D3012">
              <w:rPr>
                <w:lang w:val="en-US"/>
              </w:rPr>
              <w:t xml:space="preserve"> [mg/kg]</w:t>
            </w:r>
            <w:r w:rsidRPr="009D3012">
              <w:rPr>
                <w:rStyle w:val="CCMCvariablesuperscript"/>
                <w:lang w:val="en-US"/>
              </w:rPr>
              <w:t>a</w:t>
            </w:r>
            <w:r w:rsidRPr="009D3012">
              <w:rPr>
                <w:lang w:val="en-US"/>
              </w:rPr>
              <w:t xml:space="preserve"> total</w:t>
            </w:r>
          </w:p>
        </w:tc>
        <w:tc>
          <w:tcPr>
            <w:tcW w:w="1984" w:type="dxa"/>
            <w:vAlign w:val="center"/>
          </w:tcPr>
          <w:p w14:paraId="2253EA9F" w14:textId="40B234F4" w:rsidR="004E22C1" w:rsidRPr="001455DC" w:rsidRDefault="004E22C1" w:rsidP="00073FC6">
            <w:pPr>
              <w:pStyle w:val="Tablebody"/>
              <w:jc w:val="center"/>
            </w:pPr>
            <w:r w:rsidRPr="001455DC">
              <w:t>EN 196</w:t>
            </w:r>
            <w:r w:rsidRPr="001455DC">
              <w:noBreakHyphen/>
              <w:t>2</w:t>
            </w:r>
            <w:r w:rsidRPr="001455DC">
              <w:rPr>
                <w:rStyle w:val="CCMCvariablesuperscript"/>
              </w:rPr>
              <w:t>b</w:t>
            </w:r>
          </w:p>
        </w:tc>
        <w:tc>
          <w:tcPr>
            <w:tcW w:w="1418" w:type="dxa"/>
            <w:vAlign w:val="center"/>
          </w:tcPr>
          <w:p w14:paraId="633A419D" w14:textId="77ABFD11" w:rsidR="004E22C1" w:rsidRPr="001455DC" w:rsidRDefault="00EC27D2" w:rsidP="00073FC6">
            <w:pPr>
              <w:pStyle w:val="Tablebody"/>
              <w:jc w:val="center"/>
            </w:pPr>
            <w:r w:rsidRPr="001455DC">
              <w:rPr>
                <w:rFonts w:ascii="Cambria Math" w:hAnsi="Cambria Math"/>
              </w:rPr>
              <w:t>≥</w:t>
            </w:r>
            <w:r w:rsidR="00073FC6" w:rsidRPr="001455DC">
              <w:t> </w:t>
            </w:r>
            <w:r w:rsidR="004E22C1" w:rsidRPr="001455DC">
              <w:t>2</w:t>
            </w:r>
            <w:r w:rsidR="00073FC6" w:rsidRPr="001455DC">
              <w:t> </w:t>
            </w:r>
            <w:r w:rsidR="004E22C1" w:rsidRPr="001455DC">
              <w:t>000 and</w:t>
            </w:r>
            <w:r w:rsidR="00073FC6" w:rsidRPr="001455DC">
              <w:t xml:space="preserve"> </w:t>
            </w:r>
            <w:r w:rsidR="00650035" w:rsidRPr="001455DC">
              <w:rPr>
                <w:rFonts w:ascii="Cambria Math" w:hAnsi="Cambria Math"/>
              </w:rPr>
              <w:t>≤</w:t>
            </w:r>
            <w:r w:rsidR="004E22C1" w:rsidRPr="001455DC">
              <w:t> 3</w:t>
            </w:r>
            <w:r w:rsidR="00073FC6" w:rsidRPr="001455DC">
              <w:t> </w:t>
            </w:r>
            <w:r w:rsidR="004E22C1" w:rsidRPr="001455DC">
              <w:t>000</w:t>
            </w:r>
            <w:r w:rsidR="004E22C1" w:rsidRPr="001455DC">
              <w:rPr>
                <w:rStyle w:val="CCMCvariablesuperscript"/>
              </w:rPr>
              <w:t>c</w:t>
            </w:r>
          </w:p>
        </w:tc>
        <w:tc>
          <w:tcPr>
            <w:tcW w:w="1417" w:type="dxa"/>
            <w:vAlign w:val="center"/>
          </w:tcPr>
          <w:p w14:paraId="479BA955" w14:textId="36CB1C27" w:rsidR="004E22C1" w:rsidRPr="001455DC" w:rsidRDefault="00650035" w:rsidP="00073FC6">
            <w:pPr>
              <w:pStyle w:val="Tablebody"/>
              <w:jc w:val="center"/>
            </w:pPr>
            <w:r w:rsidRPr="001455DC">
              <w:rPr>
                <w:rFonts w:ascii="Cambria Math" w:hAnsi="Cambria Math"/>
              </w:rPr>
              <w:t>&gt;</w:t>
            </w:r>
            <w:r w:rsidR="00073FC6" w:rsidRPr="001455DC">
              <w:t> </w:t>
            </w:r>
            <w:r w:rsidR="004E22C1" w:rsidRPr="001455DC">
              <w:t>3</w:t>
            </w:r>
            <w:r w:rsidR="00073FC6" w:rsidRPr="001455DC">
              <w:t> </w:t>
            </w:r>
            <w:r w:rsidR="004E22C1" w:rsidRPr="001455DC">
              <w:t>000</w:t>
            </w:r>
            <w:r w:rsidR="004E22C1" w:rsidRPr="001455DC">
              <w:rPr>
                <w:rStyle w:val="CCMCvariablesuperscript"/>
              </w:rPr>
              <w:t>c</w:t>
            </w:r>
            <w:r w:rsidR="004E22C1" w:rsidRPr="001455DC">
              <w:t xml:space="preserve"> and</w:t>
            </w:r>
            <w:r w:rsidR="00073FC6" w:rsidRPr="001455DC">
              <w:t xml:space="preserve"> </w:t>
            </w:r>
            <w:r w:rsidRPr="001455DC">
              <w:rPr>
                <w:rFonts w:ascii="Cambria Math" w:hAnsi="Cambria Math"/>
              </w:rPr>
              <w:t>≤</w:t>
            </w:r>
            <w:r w:rsidR="004E22C1" w:rsidRPr="001455DC">
              <w:t> 12</w:t>
            </w:r>
            <w:r w:rsidR="00073FC6" w:rsidRPr="001455DC">
              <w:t> </w:t>
            </w:r>
            <w:r w:rsidR="004E22C1" w:rsidRPr="001455DC">
              <w:t>000</w:t>
            </w:r>
          </w:p>
        </w:tc>
        <w:tc>
          <w:tcPr>
            <w:tcW w:w="1564" w:type="dxa"/>
            <w:vAlign w:val="center"/>
          </w:tcPr>
          <w:p w14:paraId="7A2AC53B" w14:textId="11AB63F5" w:rsidR="004E22C1" w:rsidRPr="001455DC" w:rsidRDefault="00650035" w:rsidP="00073FC6">
            <w:pPr>
              <w:pStyle w:val="Tablebody"/>
              <w:jc w:val="center"/>
            </w:pPr>
            <w:r w:rsidRPr="001455DC">
              <w:rPr>
                <w:rFonts w:ascii="Cambria Math" w:hAnsi="Cambria Math"/>
              </w:rPr>
              <w:t>&gt;</w:t>
            </w:r>
            <w:r w:rsidR="00073FC6" w:rsidRPr="001455DC">
              <w:t> </w:t>
            </w:r>
            <w:r w:rsidR="004E22C1" w:rsidRPr="001455DC">
              <w:t>12</w:t>
            </w:r>
            <w:r w:rsidR="00073FC6" w:rsidRPr="001455DC">
              <w:t> </w:t>
            </w:r>
            <w:r w:rsidR="004E22C1" w:rsidRPr="001455DC">
              <w:t>000 and</w:t>
            </w:r>
            <w:r w:rsidR="00073FC6" w:rsidRPr="001455DC">
              <w:t xml:space="preserve"> </w:t>
            </w:r>
            <w:r w:rsidRPr="001455DC">
              <w:rPr>
                <w:rFonts w:ascii="Cambria Math" w:hAnsi="Cambria Math"/>
              </w:rPr>
              <w:t>≤</w:t>
            </w:r>
            <w:r w:rsidR="004E22C1" w:rsidRPr="001455DC">
              <w:t> 24</w:t>
            </w:r>
            <w:r w:rsidR="00073FC6" w:rsidRPr="001455DC">
              <w:t> </w:t>
            </w:r>
            <w:r w:rsidR="004E22C1" w:rsidRPr="001455DC">
              <w:t>000</w:t>
            </w:r>
          </w:p>
        </w:tc>
      </w:tr>
      <w:tr w:rsidR="004E22C1" w:rsidRPr="001455DC" w14:paraId="41A8F0FB" w14:textId="77777777" w:rsidTr="00073FC6">
        <w:trPr>
          <w:trHeight w:val="500"/>
        </w:trPr>
        <w:tc>
          <w:tcPr>
            <w:tcW w:w="2122" w:type="dxa"/>
            <w:vAlign w:val="center"/>
          </w:tcPr>
          <w:p w14:paraId="2851FA6B" w14:textId="77777777" w:rsidR="004E22C1" w:rsidRPr="009D3012" w:rsidRDefault="004E22C1" w:rsidP="00073FC6">
            <w:pPr>
              <w:pStyle w:val="Tablebody"/>
              <w:jc w:val="left"/>
              <w:rPr>
                <w:lang w:val="en-US"/>
              </w:rPr>
            </w:pPr>
            <w:r w:rsidRPr="009D3012">
              <w:rPr>
                <w:lang w:val="en-US"/>
              </w:rPr>
              <w:t>Acidity according to Baumann Gully [ml/kg]</w:t>
            </w:r>
          </w:p>
        </w:tc>
        <w:tc>
          <w:tcPr>
            <w:tcW w:w="1984" w:type="dxa"/>
            <w:vAlign w:val="center"/>
          </w:tcPr>
          <w:p w14:paraId="6C00965D" w14:textId="0FA65D78" w:rsidR="004E22C1" w:rsidRPr="001455DC" w:rsidRDefault="004E22C1">
            <w:pPr>
              <w:pStyle w:val="Tablebody"/>
              <w:jc w:val="center"/>
            </w:pPr>
            <w:r w:rsidRPr="001455DC">
              <w:t>EN 16502</w:t>
            </w:r>
          </w:p>
        </w:tc>
        <w:tc>
          <w:tcPr>
            <w:tcW w:w="1418" w:type="dxa"/>
            <w:vAlign w:val="center"/>
          </w:tcPr>
          <w:p w14:paraId="6D95502A" w14:textId="179BB02B" w:rsidR="004E22C1" w:rsidRPr="001455DC" w:rsidRDefault="00650035" w:rsidP="00073FC6">
            <w:pPr>
              <w:pStyle w:val="Tablebody"/>
              <w:jc w:val="center"/>
            </w:pPr>
            <w:r w:rsidRPr="001455DC">
              <w:rPr>
                <w:rFonts w:ascii="Cambria Math" w:hAnsi="Cambria Math"/>
              </w:rPr>
              <w:t>&gt;</w:t>
            </w:r>
            <w:r w:rsidR="00073FC6" w:rsidRPr="001455DC">
              <w:t> </w:t>
            </w:r>
            <w:r w:rsidR="004E22C1" w:rsidRPr="001455DC">
              <w:t>200</w:t>
            </w:r>
          </w:p>
        </w:tc>
        <w:tc>
          <w:tcPr>
            <w:tcW w:w="2981" w:type="dxa"/>
            <w:gridSpan w:val="2"/>
            <w:vAlign w:val="center"/>
          </w:tcPr>
          <w:p w14:paraId="14314822" w14:textId="77777777" w:rsidR="004E22C1" w:rsidRPr="001455DC" w:rsidRDefault="004E22C1" w:rsidP="00073FC6">
            <w:pPr>
              <w:pStyle w:val="Tablebody"/>
              <w:jc w:val="center"/>
            </w:pPr>
            <w:r w:rsidRPr="001455DC">
              <w:t>Not encountered in practice</w:t>
            </w:r>
          </w:p>
        </w:tc>
      </w:tr>
      <w:tr w:rsidR="004E22C1" w:rsidRPr="001455DC" w14:paraId="7DFDB2C0" w14:textId="77777777" w:rsidTr="00073FC6">
        <w:trPr>
          <w:cnfStyle w:val="010000000000" w:firstRow="0" w:lastRow="1" w:firstColumn="0" w:lastColumn="0" w:oddVBand="0" w:evenVBand="0" w:oddHBand="0" w:evenHBand="0" w:firstRowFirstColumn="0" w:firstRowLastColumn="0" w:lastRowFirstColumn="0" w:lastRowLastColumn="0"/>
          <w:trHeight w:val="1025"/>
        </w:trPr>
        <w:tc>
          <w:tcPr>
            <w:tcW w:w="8505" w:type="dxa"/>
            <w:gridSpan w:val="5"/>
          </w:tcPr>
          <w:p w14:paraId="0931A29B" w14:textId="7727A788" w:rsidR="004E22C1" w:rsidRPr="009D3012" w:rsidRDefault="004E22C1" w:rsidP="00073FC6">
            <w:pPr>
              <w:pStyle w:val="Tablefooter"/>
              <w:rPr>
                <w:lang w:val="en-US"/>
              </w:rPr>
            </w:pPr>
            <w:r w:rsidRPr="009D3012">
              <w:rPr>
                <w:rStyle w:val="CCMCvariablesuperscript"/>
                <w:lang w:val="en-US"/>
              </w:rPr>
              <w:t>a</w:t>
            </w:r>
            <w:r w:rsidR="00073FC6" w:rsidRPr="009D3012">
              <w:rPr>
                <w:lang w:val="en-US"/>
              </w:rPr>
              <w:tab/>
            </w:r>
            <w:r w:rsidRPr="009D3012">
              <w:rPr>
                <w:lang w:val="en-US"/>
              </w:rPr>
              <w:t>Clay soils with a permeability below 10</w:t>
            </w:r>
            <w:r w:rsidR="00EC27D2" w:rsidRPr="009D3012">
              <w:rPr>
                <w:rStyle w:val="CCMCvariablesuperscript"/>
                <w:rFonts w:ascii="Cambria Math" w:hAnsi="Cambria Math"/>
                <w:lang w:val="en-US"/>
              </w:rPr>
              <w:t>−</w:t>
            </w:r>
            <w:r w:rsidRPr="009D3012">
              <w:rPr>
                <w:rStyle w:val="CCMCvariablesuperscript"/>
                <w:lang w:val="en-US"/>
              </w:rPr>
              <w:t>5</w:t>
            </w:r>
            <w:r w:rsidRPr="009D3012">
              <w:rPr>
                <w:lang w:val="en-US"/>
              </w:rPr>
              <w:t xml:space="preserve"> m/s may be moved into a lower class.</w:t>
            </w:r>
          </w:p>
          <w:p w14:paraId="5037CA7B" w14:textId="56C17DBC" w:rsidR="004E22C1" w:rsidRPr="009D3012" w:rsidRDefault="004E22C1" w:rsidP="00073FC6">
            <w:pPr>
              <w:pStyle w:val="Tablefooter"/>
              <w:rPr>
                <w:lang w:val="en-US"/>
              </w:rPr>
            </w:pPr>
            <w:r w:rsidRPr="009D3012">
              <w:rPr>
                <w:rStyle w:val="CCMCvariablesuperscript"/>
                <w:lang w:val="en-US"/>
              </w:rPr>
              <w:t>b</w:t>
            </w:r>
            <w:r w:rsidR="00073FC6" w:rsidRPr="009D3012">
              <w:rPr>
                <w:lang w:val="en-US"/>
              </w:rPr>
              <w:tab/>
            </w:r>
            <w:r w:rsidRPr="009D3012">
              <w:rPr>
                <w:lang w:val="en-US"/>
              </w:rPr>
              <w:t>The test method prescribes the extraction of SO</w:t>
            </w:r>
            <w:r w:rsidRPr="009D3012">
              <w:rPr>
                <w:rStyle w:val="CCMCvariablesubscript"/>
                <w:lang w:val="en-US"/>
              </w:rPr>
              <w:t>4</w:t>
            </w:r>
            <w:r w:rsidRPr="009D3012">
              <w:rPr>
                <w:rStyle w:val="CCMCvariablesuperscript"/>
                <w:lang w:val="en-US"/>
              </w:rPr>
              <w:t>2</w:t>
            </w:r>
            <w:r w:rsidR="00EC27D2" w:rsidRPr="009D3012">
              <w:rPr>
                <w:rStyle w:val="CCMCvariablesuperscript"/>
                <w:rFonts w:ascii="Cambria Math" w:hAnsi="Cambria Math"/>
                <w:lang w:val="en-US"/>
              </w:rPr>
              <w:t>−</w:t>
            </w:r>
            <w:r w:rsidRPr="009D3012">
              <w:rPr>
                <w:lang w:val="en-US"/>
              </w:rPr>
              <w:t xml:space="preserve"> by hydrochloric acid; alternatively, water extraction may be used, if experience is available in the place of use of the concrete.</w:t>
            </w:r>
          </w:p>
          <w:p w14:paraId="075FB70A" w14:textId="27273A1F" w:rsidR="004E22C1" w:rsidRPr="009D3012" w:rsidRDefault="004E22C1" w:rsidP="00073FC6">
            <w:pPr>
              <w:pStyle w:val="Tablefooter"/>
              <w:rPr>
                <w:lang w:val="en-US"/>
              </w:rPr>
            </w:pPr>
            <w:r w:rsidRPr="009D3012">
              <w:rPr>
                <w:rStyle w:val="CCMCvariablesuperscript"/>
                <w:lang w:val="en-US"/>
              </w:rPr>
              <w:t>c</w:t>
            </w:r>
            <w:r w:rsidR="00073FC6" w:rsidRPr="009D3012">
              <w:rPr>
                <w:lang w:val="en-US"/>
              </w:rPr>
              <w:tab/>
            </w:r>
            <w:r w:rsidRPr="009D3012">
              <w:rPr>
                <w:lang w:val="en-US"/>
              </w:rPr>
              <w:t>The 3 000 mg/kg limit shall be reduced to 2 000 mg/kg, where there is a risk of accumulation of sulfate ions in the concrete due to drying and wetting cycles or capillary suction.</w:t>
            </w:r>
          </w:p>
        </w:tc>
      </w:tr>
    </w:tbl>
    <w:p w14:paraId="08BF71D4" w14:textId="77777777" w:rsidR="004E22C1" w:rsidRPr="001455DC" w:rsidRDefault="004E22C1" w:rsidP="00073FC6">
      <w:pPr>
        <w:pStyle w:val="a7"/>
      </w:pPr>
    </w:p>
    <w:p w14:paraId="337E9215" w14:textId="79DFF677" w:rsidR="004E22C1" w:rsidRPr="001455DC" w:rsidRDefault="004E22C1" w:rsidP="006D682B">
      <w:pPr>
        <w:pStyle w:val="21"/>
      </w:pPr>
      <w:bookmarkStart w:id="341" w:name="_Toc52819924"/>
      <w:bookmarkStart w:id="342" w:name="_Toc54337326"/>
      <w:bookmarkStart w:id="343" w:name="_Toc54337982"/>
      <w:bookmarkStart w:id="344" w:name="_Toc67565345"/>
      <w:r w:rsidRPr="001455DC">
        <w:t>Exposure resistance classes</w:t>
      </w:r>
      <w:bookmarkEnd w:id="341"/>
      <w:bookmarkEnd w:id="342"/>
      <w:bookmarkEnd w:id="343"/>
      <w:bookmarkEnd w:id="344"/>
    </w:p>
    <w:p w14:paraId="19B6EEB9" w14:textId="0320B496" w:rsidR="004E22C1" w:rsidRPr="001455DC" w:rsidRDefault="004E22C1" w:rsidP="00073FC6">
      <w:pPr>
        <w:pStyle w:val="a7"/>
      </w:pPr>
      <w:r w:rsidRPr="001455DC">
        <w:t>(1)</w:t>
      </w:r>
      <w:r w:rsidRPr="001455DC">
        <w:tab/>
        <w:t xml:space="preserve">Exposure resistance classes ERC </w:t>
      </w:r>
      <w:r w:rsidR="00006B36" w:rsidRPr="001455DC">
        <w:t xml:space="preserve">should </w:t>
      </w:r>
      <w:r w:rsidRPr="001455DC">
        <w:t xml:space="preserve">be used to classify concrete with respect to resistance against corrosion induced by carbonation (class XRC) or by chlorides (class XRSD) and damage caused by freeze/thaw attack (XRF). Selection of concrete to resist deterioration and protect against corrosion for all those exposure classes (EC) that are relevant, </w:t>
      </w:r>
      <w:r w:rsidR="00006B36" w:rsidRPr="001455DC">
        <w:t xml:space="preserve">should </w:t>
      </w:r>
      <w:r w:rsidRPr="001455DC">
        <w:t>be based on the exposure resistance classes given in EN 206.</w:t>
      </w:r>
    </w:p>
    <w:p w14:paraId="19F0E070" w14:textId="0650A331" w:rsidR="004E22C1" w:rsidRPr="001455DC" w:rsidRDefault="004E22C1" w:rsidP="00073FC6">
      <w:pPr>
        <w:pStyle w:val="Note"/>
      </w:pPr>
      <w:r w:rsidRPr="001455DC">
        <w:t>NOTE 1</w:t>
      </w:r>
      <w:r w:rsidRPr="001455DC">
        <w:tab/>
        <w:t>As specified in EN 206</w:t>
      </w:r>
      <w:r w:rsidR="00B078F1">
        <w:t>,</w:t>
      </w:r>
      <w:r w:rsidRPr="001455DC">
        <w:t xml:space="preserve"> complemented by the provisions valid in the place of use, the ERC may be satisfied by compliance with relevant limiting values and/or, for some ERCs, by proving the performance in meeting specification of relevant physical characteristics determined using standardized test methods. In the event EN 206 does not refer to ERC, a National Annex or National Application Document to EN 206 can provide the necessary advice on how to implement ERC rules in a country.</w:t>
      </w:r>
    </w:p>
    <w:p w14:paraId="48DEE920" w14:textId="1338FFCA" w:rsidR="004E22C1" w:rsidRPr="001455DC" w:rsidRDefault="004E22C1" w:rsidP="00073FC6">
      <w:pPr>
        <w:pStyle w:val="Note"/>
      </w:pPr>
      <w:r w:rsidRPr="001455DC">
        <w:t>NOTE 2</w:t>
      </w:r>
      <w:r w:rsidRPr="001455DC">
        <w:tab/>
        <w:t>An informative Annex P provides an alternative approach to design cover for durability without use of Exposure Resistance Classes (ERC) based on EN 1992</w:t>
      </w:r>
      <w:r w:rsidRPr="001455DC">
        <w:noBreakHyphen/>
        <w:t>1</w:t>
      </w:r>
      <w:r w:rsidRPr="001455DC">
        <w:noBreakHyphen/>
        <w:t xml:space="preserve">1:2004. A National Annex can choose between </w:t>
      </w:r>
      <w:r w:rsidR="00006B36" w:rsidRPr="001455DC">
        <w:t xml:space="preserve">use of </w:t>
      </w:r>
      <w:r w:rsidRPr="001455DC">
        <w:t xml:space="preserve">ERC according to 6.4 or </w:t>
      </w:r>
      <w:r w:rsidR="00006B36" w:rsidRPr="001455DC">
        <w:t>use of</w:t>
      </w:r>
      <w:r w:rsidRPr="001455DC">
        <w:t xml:space="preserve"> Annex P.</w:t>
      </w:r>
    </w:p>
    <w:p w14:paraId="2AA2528F" w14:textId="77777777" w:rsidR="004E22C1" w:rsidRPr="001455DC" w:rsidRDefault="004E22C1" w:rsidP="00073FC6">
      <w:pPr>
        <w:pStyle w:val="a7"/>
      </w:pPr>
      <w:r w:rsidRPr="001455DC">
        <w:t>(2)</w:t>
      </w:r>
      <w:r w:rsidRPr="001455DC">
        <w:tab/>
        <w:t>The structural design should be based on a realistic strength class consistent with the required exposure resistance class ERC.</w:t>
      </w:r>
    </w:p>
    <w:p w14:paraId="3045FAF0" w14:textId="5E91492B" w:rsidR="004E22C1" w:rsidRPr="001455DC" w:rsidRDefault="004E22C1" w:rsidP="00073FC6">
      <w:pPr>
        <w:pStyle w:val="Note"/>
      </w:pPr>
      <w:r w:rsidRPr="001455DC">
        <w:t>NOTE</w:t>
      </w:r>
      <w:r w:rsidRPr="001455DC">
        <w:tab/>
        <w:t>The composition of the concrete, e.g. the type of binder and the water-binder ratio, affects both the protection of the reinforcement and the resistance of the concrete to attack and may lead to the choice of higher strength classes than required for the structural design.</w:t>
      </w:r>
    </w:p>
    <w:p w14:paraId="07B88B81" w14:textId="77777777" w:rsidR="004E22C1" w:rsidRPr="001455DC" w:rsidRDefault="004E22C1" w:rsidP="00073FC6">
      <w:pPr>
        <w:pStyle w:val="a7"/>
      </w:pPr>
      <w:r w:rsidRPr="001455DC">
        <w:rPr>
          <w:szCs w:val="22"/>
        </w:rPr>
        <w:t>(3)</w:t>
      </w:r>
      <w:r w:rsidRPr="001455DC">
        <w:rPr>
          <w:szCs w:val="22"/>
        </w:rPr>
        <w:tab/>
      </w:r>
      <w:r w:rsidRPr="001455DC">
        <w:t xml:space="preserve">Adequate durability may be assumed against corrosion caused by carbonation or chloride ingress where cover to reinforcement is selected appropriate to the exposure class, exposure resistance class and the design service life and not less than the minimum cover for durability </w:t>
      </w:r>
      <w:r w:rsidRPr="001455DC">
        <w:rPr>
          <w:rStyle w:val="CCMCvariableitalic"/>
        </w:rPr>
        <w:t>c</w:t>
      </w:r>
      <w:r w:rsidRPr="001455DC">
        <w:rPr>
          <w:rStyle w:val="CCMCvariablesubscript"/>
        </w:rPr>
        <w:t>min,dur</w:t>
      </w:r>
      <w:r w:rsidRPr="001455DC">
        <w:t xml:space="preserve"> given in Table 6.3(NDP) and Table 6.4(NDP).</w:t>
      </w:r>
    </w:p>
    <w:p w14:paraId="4DCC7DD3" w14:textId="77777777" w:rsidR="004E22C1" w:rsidRPr="001455DC" w:rsidRDefault="004E22C1" w:rsidP="00073FC6">
      <w:pPr>
        <w:pStyle w:val="a7"/>
      </w:pPr>
      <w:r w:rsidRPr="001455DC">
        <w:t>(4)</w:t>
      </w:r>
      <w:r w:rsidRPr="001455DC">
        <w:tab/>
        <w:t>Concrete shall be specified with a maximum permitted chloride content in accordance with the chloride content classes (Cl) in EN 206.</w:t>
      </w:r>
    </w:p>
    <w:p w14:paraId="3903D6B4" w14:textId="77777777" w:rsidR="004E22C1" w:rsidRPr="001455DC" w:rsidRDefault="004E22C1" w:rsidP="00073FC6">
      <w:pPr>
        <w:pStyle w:val="a7"/>
      </w:pPr>
      <w:r w:rsidRPr="001455DC">
        <w:t>(5)</w:t>
      </w:r>
      <w:r w:rsidRPr="001455DC">
        <w:tab/>
        <w:t>Concrete to resist freeze-thaw attack shall be specified using XRF classes according to EN 206.</w:t>
      </w:r>
    </w:p>
    <w:p w14:paraId="63508311" w14:textId="77777777" w:rsidR="004E22C1" w:rsidRPr="001455DC" w:rsidRDefault="004E22C1" w:rsidP="00073FC6">
      <w:pPr>
        <w:pStyle w:val="a7"/>
      </w:pPr>
      <w:r w:rsidRPr="001455DC">
        <w:t>(6)</w:t>
      </w:r>
      <w:r w:rsidRPr="001455DC">
        <w:tab/>
        <w:t>Adequate durability against chemical attack may be assumed when concrete with a composition documented to be resistant against the potential deterioration mechanisms for the intended design service life is used. Otherwise additional protective measures should be taken, such as linings or durable/replaceable coating.</w:t>
      </w:r>
    </w:p>
    <w:p w14:paraId="22C10E8D" w14:textId="4B170F90" w:rsidR="004E22C1" w:rsidRPr="001455DC" w:rsidRDefault="004E22C1" w:rsidP="00073FC6">
      <w:pPr>
        <w:pStyle w:val="Note"/>
      </w:pPr>
      <w:r w:rsidRPr="001455DC">
        <w:t>NOTE</w:t>
      </w:r>
      <w:r w:rsidR="00B078F1">
        <w:t xml:space="preserve"> </w:t>
      </w:r>
      <w:r w:rsidRPr="001455DC">
        <w:tab/>
        <w:t>Rules on concrete composition to resist the chemical attacks detailed in Table 6.2 are given in EN 206.</w:t>
      </w:r>
    </w:p>
    <w:p w14:paraId="6357F5DC" w14:textId="77777777" w:rsidR="004E22C1" w:rsidRPr="001455DC" w:rsidRDefault="004E22C1" w:rsidP="00073FC6">
      <w:pPr>
        <w:pStyle w:val="a7"/>
      </w:pPr>
      <w:r w:rsidRPr="001455DC">
        <w:t>(7)</w:t>
      </w:r>
      <w:r w:rsidRPr="001455DC">
        <w:tab/>
        <w:t>Adequate durability against mechanical attack may be assumed when concrete with a composition documented to be resistant against the potential abrasion for the intended design service life is used. Otherwise additional protective measures should be taken, such as sacrificial layers according to 6.5.2.2(6).</w:t>
      </w:r>
    </w:p>
    <w:p w14:paraId="407FF36E" w14:textId="3CC3619C" w:rsidR="004E22C1" w:rsidRPr="001455DC" w:rsidRDefault="004E22C1" w:rsidP="00073FC6">
      <w:pPr>
        <w:pStyle w:val="Note"/>
      </w:pPr>
      <w:r w:rsidRPr="001455DC">
        <w:t>NOTE</w:t>
      </w:r>
      <w:r w:rsidR="00B078F1">
        <w:t xml:space="preserve"> </w:t>
      </w:r>
      <w:r w:rsidRPr="001455DC">
        <w:tab/>
      </w:r>
      <w:r w:rsidR="00006B36" w:rsidRPr="001455DC">
        <w:t xml:space="preserve"> </w:t>
      </w:r>
      <w:r w:rsidRPr="001455DC">
        <w:t>Rules on concrete composition to resist the mechanical attacks detailed in Table 6.2 may be given in EN 206 or in its national application document.</w:t>
      </w:r>
    </w:p>
    <w:p w14:paraId="07AA9C21" w14:textId="32ABE08C" w:rsidR="004E22C1" w:rsidRPr="001455DC" w:rsidRDefault="004E22C1" w:rsidP="006D682B">
      <w:pPr>
        <w:pStyle w:val="21"/>
      </w:pPr>
      <w:bookmarkStart w:id="345" w:name="_Toc52819925"/>
      <w:bookmarkStart w:id="346" w:name="_Toc54337327"/>
      <w:bookmarkStart w:id="347" w:name="_Toc54337983"/>
      <w:bookmarkStart w:id="348" w:name="_Toc67565346"/>
      <w:r w:rsidRPr="001455DC">
        <w:t xml:space="preserve">Concrete </w:t>
      </w:r>
      <w:r w:rsidR="00073FC6" w:rsidRPr="001455DC">
        <w:t>c</w:t>
      </w:r>
      <w:r w:rsidRPr="001455DC">
        <w:t>over</w:t>
      </w:r>
      <w:bookmarkEnd w:id="345"/>
      <w:bookmarkEnd w:id="346"/>
      <w:bookmarkEnd w:id="347"/>
      <w:bookmarkEnd w:id="348"/>
    </w:p>
    <w:p w14:paraId="3734574F" w14:textId="1FFF3DB3" w:rsidR="004E22C1" w:rsidRPr="001455DC" w:rsidRDefault="004E22C1" w:rsidP="00243590">
      <w:pPr>
        <w:pStyle w:val="31"/>
      </w:pPr>
      <w:bookmarkStart w:id="349" w:name="_Toc52819926"/>
      <w:bookmarkStart w:id="350" w:name="_Toc54337328"/>
      <w:bookmarkStart w:id="351" w:name="_Toc54337984"/>
      <w:bookmarkStart w:id="352" w:name="_Toc67565347"/>
      <w:r w:rsidRPr="001455DC">
        <w:t>Nominal cover</w:t>
      </w:r>
      <w:bookmarkEnd w:id="349"/>
      <w:bookmarkEnd w:id="350"/>
      <w:bookmarkEnd w:id="351"/>
      <w:bookmarkEnd w:id="352"/>
    </w:p>
    <w:p w14:paraId="6E0649D0" w14:textId="6ED2DEEE" w:rsidR="004E22C1" w:rsidRPr="001455DC" w:rsidRDefault="004E22C1" w:rsidP="00073FC6">
      <w:pPr>
        <w:pStyle w:val="a7"/>
      </w:pPr>
      <w:r w:rsidRPr="001455DC">
        <w:t>(1)</w:t>
      </w:r>
      <w:r w:rsidRPr="001455DC">
        <w:tab/>
        <w:t xml:space="preserve">The nominal cover shall be specified on the execution specification. It is defined as a minimum cover, </w:t>
      </w:r>
      <w:r w:rsidRPr="001455DC">
        <w:rPr>
          <w:rStyle w:val="CCMCvariableitalic"/>
        </w:rPr>
        <w:t>c</w:t>
      </w:r>
      <w:r w:rsidRPr="001455DC">
        <w:rPr>
          <w:rStyle w:val="CCMCvariablesubscript"/>
        </w:rPr>
        <w:t>min</w:t>
      </w:r>
      <w:r w:rsidRPr="001455DC">
        <w:t xml:space="preserve"> (see 6.5.2), plus an allowance in design for deviation, Δ</w:t>
      </w:r>
      <w:r w:rsidRPr="001455DC">
        <w:rPr>
          <w:rStyle w:val="CCMCvariableitalic"/>
        </w:rPr>
        <w:t>c</w:t>
      </w:r>
      <w:r w:rsidRPr="001455DC">
        <w:rPr>
          <w:rStyle w:val="CCMCvariablesubscript"/>
        </w:rPr>
        <w:t>dev</w:t>
      </w:r>
      <w:r w:rsidRPr="001455DC">
        <w:t xml:space="preserve"> (see 6.5.3):</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013FD3" w:rsidRPr="001455DC" w14:paraId="384F8526" w14:textId="77777777" w:rsidTr="00013FD3">
        <w:trPr>
          <w:cantSplit/>
        </w:trPr>
        <w:tc>
          <w:tcPr>
            <w:tcW w:w="8505" w:type="dxa"/>
            <w:vAlign w:val="center"/>
          </w:tcPr>
          <w:p w14:paraId="1DC60774" w14:textId="4FD2F6F1" w:rsidR="00013FD3" w:rsidRPr="001455DC" w:rsidRDefault="00013FD3" w:rsidP="00013FD3">
            <w:pPr>
              <w:pStyle w:val="Formula"/>
              <w:jc w:val="left"/>
            </w:pPr>
            <w:r w:rsidRPr="001455DC">
              <w:rPr>
                <w:rStyle w:val="CCMCvariableitalic"/>
              </w:rPr>
              <w:t>c</w:t>
            </w:r>
            <w:r w:rsidRPr="001455DC">
              <w:rPr>
                <w:rStyle w:val="CCMCvariablesubscript"/>
              </w:rPr>
              <w:t>nom</w:t>
            </w:r>
            <w:r w:rsidRPr="001455DC">
              <w:t> </w:t>
            </w:r>
            <w:r w:rsidR="00EC27D2" w:rsidRPr="001455DC">
              <w:rPr>
                <w:rFonts w:ascii="Cambria Math" w:hAnsi="Cambria Math"/>
              </w:rPr>
              <w:t>=</w:t>
            </w:r>
            <w:r w:rsidRPr="001455DC">
              <w:t> </w:t>
            </w:r>
            <w:r w:rsidRPr="001455DC">
              <w:rPr>
                <w:rStyle w:val="CCMCvariableitalic"/>
              </w:rPr>
              <w:t>c</w:t>
            </w:r>
            <w:r w:rsidRPr="001455DC">
              <w:rPr>
                <w:rStyle w:val="CCMCvariablesubscript"/>
              </w:rPr>
              <w:t>min</w:t>
            </w:r>
            <w:r w:rsidR="00EC27D2" w:rsidRPr="001455DC">
              <w:rPr>
                <w:rFonts w:ascii="Cambria Math" w:hAnsi="Cambria Math"/>
              </w:rPr>
              <w:t> + </w:t>
            </w:r>
            <w:r w:rsidRPr="001455DC">
              <w:t>Δ</w:t>
            </w:r>
            <w:r w:rsidRPr="001455DC">
              <w:rPr>
                <w:rStyle w:val="CCMCvariableitalic"/>
              </w:rPr>
              <w:t>c</w:t>
            </w:r>
            <w:r w:rsidRPr="001455DC">
              <w:rPr>
                <w:rStyle w:val="CCMCvariablesubscript"/>
              </w:rPr>
              <w:t>dev</w:t>
            </w:r>
          </w:p>
        </w:tc>
        <w:tc>
          <w:tcPr>
            <w:tcW w:w="1247" w:type="dxa"/>
            <w:vAlign w:val="center"/>
          </w:tcPr>
          <w:p w14:paraId="51189D18" w14:textId="295DB04E" w:rsidR="00013FD3" w:rsidRPr="001455DC" w:rsidRDefault="00013FD3" w:rsidP="00013FD3">
            <w:pPr>
              <w:pStyle w:val="a7"/>
              <w:jc w:val="right"/>
            </w:pPr>
            <w:r w:rsidRPr="001455DC">
              <w:t>(6.1)</w:t>
            </w:r>
          </w:p>
        </w:tc>
      </w:tr>
    </w:tbl>
    <w:p w14:paraId="042D3AD2" w14:textId="77777777" w:rsidR="004E22C1" w:rsidRPr="001455DC" w:rsidRDefault="004E22C1" w:rsidP="00A35599">
      <w:pPr>
        <w:pStyle w:val="a7"/>
        <w:keepNext/>
      </w:pPr>
      <w:r w:rsidRPr="001455DC">
        <w:t>(2)</w:t>
      </w:r>
      <w:r w:rsidRPr="001455DC">
        <w:tab/>
        <w:t>Sufficient concrete cover shall be provided in order to ensure:</w:t>
      </w:r>
    </w:p>
    <w:p w14:paraId="56363081" w14:textId="4992C4D2" w:rsidR="004E22C1" w:rsidRPr="001455DC" w:rsidRDefault="004E22C1" w:rsidP="00073FC6">
      <w:pPr>
        <w:pStyle w:val="a0"/>
      </w:pPr>
      <w:r w:rsidRPr="001455DC">
        <w:t>the safe transmission of bond forces,</w:t>
      </w:r>
    </w:p>
    <w:p w14:paraId="77EFA7C2" w14:textId="67EE812D" w:rsidR="004E22C1" w:rsidRPr="001455DC" w:rsidRDefault="004E22C1" w:rsidP="00073FC6">
      <w:pPr>
        <w:pStyle w:val="a0"/>
      </w:pPr>
      <w:r w:rsidRPr="001455DC">
        <w:t>the protection of the steel against corrosion (durability),</w:t>
      </w:r>
    </w:p>
    <w:p w14:paraId="4003A567" w14:textId="5D3500D1" w:rsidR="004E22C1" w:rsidRPr="001455DC" w:rsidRDefault="004E22C1" w:rsidP="00073FC6">
      <w:pPr>
        <w:pStyle w:val="a0"/>
      </w:pPr>
      <w:r w:rsidRPr="001455DC">
        <w:t xml:space="preserve">an adequate fire resistance (see </w:t>
      </w:r>
      <w:r w:rsidR="00EF2F27">
        <w:t>pr</w:t>
      </w:r>
      <w:r w:rsidRPr="001455DC">
        <w:t>EN 1992</w:t>
      </w:r>
      <w:r w:rsidRPr="001455DC">
        <w:noBreakHyphen/>
        <w:t>1</w:t>
      </w:r>
      <w:r w:rsidRPr="001455DC">
        <w:noBreakHyphen/>
        <w:t>2, where axis distance is used).</w:t>
      </w:r>
    </w:p>
    <w:p w14:paraId="66ED37DB" w14:textId="084E78CD" w:rsidR="004E22C1" w:rsidRPr="001455DC" w:rsidRDefault="004E22C1" w:rsidP="00073FC6">
      <w:pPr>
        <w:pStyle w:val="a7"/>
      </w:pPr>
      <w:r w:rsidRPr="001455DC">
        <w:t>(3)</w:t>
      </w:r>
      <w:r w:rsidRPr="001455DC">
        <w:tab/>
      </w:r>
      <w:r w:rsidR="004365BE" w:rsidRPr="001455DC">
        <w:rPr>
          <w:bCs/>
          <w:lang w:val="en-US"/>
        </w:rPr>
        <w:t>For bored piles and for diaphragm walls the nominal cover values for durability and bond of this Eurocode apply. The cover values according EN 1536 and EN 1538 considering the type and deviations of execution should be checked additionally. The largest value according to this Eurocode and EN 1536 or EN 1538 applies</w:t>
      </w:r>
      <w:r w:rsidRPr="001455DC">
        <w:t>.</w:t>
      </w:r>
    </w:p>
    <w:p w14:paraId="3584CBCA" w14:textId="1299225D" w:rsidR="004E22C1" w:rsidRPr="001455DC" w:rsidRDefault="004E22C1" w:rsidP="00243590">
      <w:pPr>
        <w:pStyle w:val="31"/>
      </w:pPr>
      <w:bookmarkStart w:id="353" w:name="_Toc52819927"/>
      <w:bookmarkStart w:id="354" w:name="_Toc54337329"/>
      <w:bookmarkStart w:id="355" w:name="_Toc54337985"/>
      <w:bookmarkStart w:id="356" w:name="_Toc67565348"/>
      <w:r w:rsidRPr="001455DC">
        <w:t>Minimum cover</w:t>
      </w:r>
      <w:bookmarkEnd w:id="353"/>
      <w:bookmarkEnd w:id="354"/>
      <w:bookmarkEnd w:id="355"/>
      <w:bookmarkEnd w:id="356"/>
    </w:p>
    <w:p w14:paraId="428AC831" w14:textId="17C800C9" w:rsidR="004E22C1" w:rsidRPr="001455DC" w:rsidRDefault="004E22C1" w:rsidP="00243590">
      <w:pPr>
        <w:pStyle w:val="41"/>
      </w:pPr>
      <w:bookmarkStart w:id="357" w:name="_Toc52819928"/>
      <w:bookmarkStart w:id="358" w:name="_Toc54337986"/>
      <w:r w:rsidRPr="001455DC">
        <w:t>General</w:t>
      </w:r>
      <w:bookmarkEnd w:id="357"/>
      <w:bookmarkEnd w:id="358"/>
    </w:p>
    <w:p w14:paraId="18A97CDE" w14:textId="77777777" w:rsidR="00013FD3" w:rsidRPr="001455DC" w:rsidRDefault="004E22C1" w:rsidP="00013FD3">
      <w:pPr>
        <w:pStyle w:val="a7"/>
      </w:pPr>
      <w:r w:rsidRPr="001455DC">
        <w:t>(1)</w:t>
      </w:r>
      <w:r w:rsidRPr="001455DC">
        <w:tab/>
        <w:t xml:space="preserve">The value for </w:t>
      </w:r>
      <w:r w:rsidRPr="001455DC">
        <w:rPr>
          <w:rStyle w:val="CCMCvariableitalic"/>
        </w:rPr>
        <w:t>c</w:t>
      </w:r>
      <w:r w:rsidRPr="001455DC">
        <w:rPr>
          <w:rStyle w:val="CCMCvariablesubscript"/>
        </w:rPr>
        <w:t>min</w:t>
      </w:r>
      <w:r w:rsidRPr="001455DC">
        <w:t xml:space="preserve"> shall satisfy the requirements for both bond and durability:</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013FD3" w:rsidRPr="001455DC" w14:paraId="6D32826C" w14:textId="77777777" w:rsidTr="00013FD3">
        <w:trPr>
          <w:cantSplit/>
        </w:trPr>
        <w:tc>
          <w:tcPr>
            <w:tcW w:w="8505" w:type="dxa"/>
            <w:vAlign w:val="center"/>
          </w:tcPr>
          <w:p w14:paraId="392807F2" w14:textId="3A31E813" w:rsidR="00013FD3" w:rsidRPr="001455DC" w:rsidRDefault="00013FD3" w:rsidP="00013FD3">
            <w:pPr>
              <w:pStyle w:val="Formula"/>
              <w:jc w:val="left"/>
            </w:pPr>
            <w:r w:rsidRPr="001455DC">
              <w:rPr>
                <w:rStyle w:val="CCMCvariableitalic"/>
              </w:rPr>
              <w:t>c</w:t>
            </w:r>
            <w:r w:rsidRPr="001455DC">
              <w:rPr>
                <w:rStyle w:val="CCMCvariablesubscript"/>
              </w:rPr>
              <w:t>min</w:t>
            </w:r>
            <w:r w:rsidRPr="001455DC">
              <w:t> </w:t>
            </w:r>
            <w:r w:rsidR="00EC27D2" w:rsidRPr="001455DC">
              <w:rPr>
                <w:rFonts w:ascii="Cambria Math" w:hAnsi="Cambria Math"/>
              </w:rPr>
              <w:t>=</w:t>
            </w:r>
            <w:r w:rsidRPr="001455DC">
              <w:t> max {</w:t>
            </w:r>
            <w:r w:rsidRPr="001455DC">
              <w:rPr>
                <w:rStyle w:val="CCMCvariableitalic"/>
              </w:rPr>
              <w:t>c</w:t>
            </w:r>
            <w:r w:rsidRPr="001455DC">
              <w:rPr>
                <w:rStyle w:val="CCMCvariablesubscript"/>
              </w:rPr>
              <w:t>min,dur</w:t>
            </w:r>
            <w:r w:rsidRPr="001455DC">
              <w:t> </w:t>
            </w:r>
            <w:r w:rsidR="00EC27D2" w:rsidRPr="001455DC">
              <w:rPr>
                <w:rFonts w:ascii="Cambria Math" w:hAnsi="Cambria Math"/>
              </w:rPr>
              <w:t>−</w:t>
            </w:r>
            <w:r w:rsidRPr="001455DC">
              <w:t> Δ</w:t>
            </w:r>
            <w:r w:rsidRPr="001455DC">
              <w:rPr>
                <w:rStyle w:val="CCMCvariableitalic"/>
              </w:rPr>
              <w:t>c</w:t>
            </w:r>
            <w:r w:rsidRPr="001455DC">
              <w:rPr>
                <w:rStyle w:val="CCMCvariablesubscript"/>
              </w:rPr>
              <w:t>dur,red</w:t>
            </w:r>
            <w:r w:rsidR="00EC27D2" w:rsidRPr="001455DC">
              <w:rPr>
                <w:rFonts w:ascii="Cambria Math" w:hAnsi="Cambria Math"/>
              </w:rPr>
              <w:t> + </w:t>
            </w:r>
            <w:r w:rsidRPr="001455DC">
              <w:t>Δ</w:t>
            </w:r>
            <w:r w:rsidRPr="001455DC">
              <w:rPr>
                <w:rStyle w:val="CCMCvariableitalic"/>
              </w:rPr>
              <w:t>c</w:t>
            </w:r>
            <w:r w:rsidRPr="001455DC">
              <w:rPr>
                <w:rStyle w:val="CCMCvariablesubscript"/>
              </w:rPr>
              <w:t>dur,abr</w:t>
            </w:r>
            <w:r w:rsidRPr="001455DC">
              <w:t xml:space="preserve">; </w:t>
            </w:r>
            <w:r w:rsidRPr="001455DC">
              <w:rPr>
                <w:rStyle w:val="CCMCvariableitalic"/>
              </w:rPr>
              <w:t>c</w:t>
            </w:r>
            <w:r w:rsidRPr="001455DC">
              <w:rPr>
                <w:rStyle w:val="CCMCvariablesubscript"/>
              </w:rPr>
              <w:t>min,b</w:t>
            </w:r>
            <w:r w:rsidRPr="001455DC">
              <w:t>; 10 mm}</w:t>
            </w:r>
          </w:p>
        </w:tc>
        <w:tc>
          <w:tcPr>
            <w:tcW w:w="1247" w:type="dxa"/>
            <w:vAlign w:val="center"/>
          </w:tcPr>
          <w:p w14:paraId="4FC5AAB3" w14:textId="674D77AF" w:rsidR="00013FD3" w:rsidRPr="001455DC" w:rsidRDefault="00013FD3" w:rsidP="00013FD3">
            <w:pPr>
              <w:pStyle w:val="a7"/>
              <w:jc w:val="right"/>
            </w:pPr>
            <w:r w:rsidRPr="001455DC">
              <w:t>(6.2)</w:t>
            </w:r>
          </w:p>
        </w:tc>
      </w:tr>
    </w:tbl>
    <w:p w14:paraId="0FCCEB5C" w14:textId="77777777" w:rsidR="00013FD3" w:rsidRPr="001455DC" w:rsidRDefault="00013FD3" w:rsidP="00A35599">
      <w:pPr>
        <w:pStyle w:val="a7"/>
        <w:keepNext/>
      </w:pPr>
      <w:r w:rsidRPr="001455DC">
        <w:t>where</w:t>
      </w:r>
    </w:p>
    <w:tbl>
      <w:tblPr>
        <w:tblW w:w="9413" w:type="dxa"/>
        <w:tblInd w:w="397" w:type="dxa"/>
        <w:tblLayout w:type="fixed"/>
        <w:tblCellMar>
          <w:left w:w="28" w:type="dxa"/>
          <w:right w:w="28" w:type="dxa"/>
        </w:tblCellMar>
        <w:tblLook w:val="04A0" w:firstRow="1" w:lastRow="0" w:firstColumn="1" w:lastColumn="0" w:noHBand="0" w:noVBand="1"/>
      </w:tblPr>
      <w:tblGrid>
        <w:gridCol w:w="851"/>
        <w:gridCol w:w="8562"/>
      </w:tblGrid>
      <w:tr w:rsidR="00013FD3" w:rsidRPr="001455DC" w14:paraId="2C66E569" w14:textId="77777777" w:rsidTr="00013FD3">
        <w:trPr>
          <w:cantSplit/>
        </w:trPr>
        <w:tc>
          <w:tcPr>
            <w:tcW w:w="851" w:type="dxa"/>
          </w:tcPr>
          <w:p w14:paraId="436DD049" w14:textId="1ED132B2" w:rsidR="00013FD3" w:rsidRPr="001455DC" w:rsidRDefault="00013FD3" w:rsidP="00B078F1">
            <w:pPr>
              <w:pStyle w:val="Tablebody"/>
              <w:spacing w:after="120"/>
            </w:pPr>
            <w:r w:rsidRPr="001455DC">
              <w:rPr>
                <w:rStyle w:val="CCMCvariableitalic"/>
              </w:rPr>
              <w:t>c</w:t>
            </w:r>
            <w:r w:rsidRPr="001455DC">
              <w:rPr>
                <w:rStyle w:val="CCMCvariablesubscript"/>
              </w:rPr>
              <w:t>min,dur</w:t>
            </w:r>
          </w:p>
        </w:tc>
        <w:tc>
          <w:tcPr>
            <w:tcW w:w="8562" w:type="dxa"/>
          </w:tcPr>
          <w:p w14:paraId="66DC4C45" w14:textId="79D3F337" w:rsidR="00013FD3" w:rsidRPr="001455DC" w:rsidRDefault="00013FD3" w:rsidP="00B078F1">
            <w:pPr>
              <w:pStyle w:val="Tablebody"/>
              <w:spacing w:after="120"/>
            </w:pPr>
            <w:r w:rsidRPr="001455DC">
              <w:t>minimum cover required for environmental conditions, see 6.5.2.2;</w:t>
            </w:r>
          </w:p>
        </w:tc>
      </w:tr>
      <w:tr w:rsidR="00013FD3" w:rsidRPr="001455DC" w14:paraId="7DF6EE6F" w14:textId="77777777" w:rsidTr="009D3012">
        <w:trPr>
          <w:cantSplit/>
        </w:trPr>
        <w:tc>
          <w:tcPr>
            <w:tcW w:w="851" w:type="dxa"/>
          </w:tcPr>
          <w:p w14:paraId="027BA7AB" w14:textId="40880E44" w:rsidR="00013FD3" w:rsidRPr="001455DC" w:rsidRDefault="00013FD3" w:rsidP="00B078F1">
            <w:pPr>
              <w:pStyle w:val="Tablebody"/>
              <w:spacing w:after="120"/>
            </w:pPr>
            <w:r w:rsidRPr="001455DC">
              <w:t>∆</w:t>
            </w:r>
            <w:r w:rsidRPr="001455DC">
              <w:rPr>
                <w:rStyle w:val="CCMCvariableitalic"/>
              </w:rPr>
              <w:t>c</w:t>
            </w:r>
            <w:r w:rsidRPr="001455DC">
              <w:rPr>
                <w:rStyle w:val="CCMCvariablesubscript"/>
              </w:rPr>
              <w:t>dur,red</w:t>
            </w:r>
          </w:p>
        </w:tc>
        <w:tc>
          <w:tcPr>
            <w:tcW w:w="8562" w:type="dxa"/>
          </w:tcPr>
          <w:p w14:paraId="5CDBF947" w14:textId="457D0D8A" w:rsidR="00013FD3" w:rsidRPr="001455DC" w:rsidRDefault="00CF1E6A" w:rsidP="00B078F1">
            <w:pPr>
              <w:pStyle w:val="Tablebody"/>
              <w:spacing w:after="120"/>
              <w:jc w:val="left"/>
            </w:pPr>
            <w:r w:rsidRPr="001455DC">
              <w:t>eduction of minimum cover for use of additional concrete protection or use of special measures for protection of reinforcing steel, see 6.5.2.2(5) and 6.5.2.2(10)</w:t>
            </w:r>
          </w:p>
        </w:tc>
      </w:tr>
      <w:tr w:rsidR="00013FD3" w:rsidRPr="001455DC" w14:paraId="52D6D9B6" w14:textId="77777777" w:rsidTr="00013FD3">
        <w:trPr>
          <w:cantSplit/>
        </w:trPr>
        <w:tc>
          <w:tcPr>
            <w:tcW w:w="851" w:type="dxa"/>
          </w:tcPr>
          <w:p w14:paraId="052620C6" w14:textId="7C5E47B0" w:rsidR="00013FD3" w:rsidRPr="001455DC" w:rsidRDefault="00013FD3" w:rsidP="00B078F1">
            <w:pPr>
              <w:pStyle w:val="Tablebody"/>
              <w:spacing w:after="120"/>
            </w:pPr>
            <w:r w:rsidRPr="001455DC">
              <w:t>∆</w:t>
            </w:r>
            <w:r w:rsidRPr="001455DC">
              <w:rPr>
                <w:rStyle w:val="CCMCvariableitalic"/>
              </w:rPr>
              <w:t>c</w:t>
            </w:r>
            <w:r w:rsidRPr="001455DC">
              <w:rPr>
                <w:rStyle w:val="CCMCvariablesubscript"/>
              </w:rPr>
              <w:t>dur,abr</w:t>
            </w:r>
          </w:p>
        </w:tc>
        <w:tc>
          <w:tcPr>
            <w:tcW w:w="8562" w:type="dxa"/>
          </w:tcPr>
          <w:p w14:paraId="22C3F691" w14:textId="697D4265" w:rsidR="00013FD3" w:rsidRPr="001455DC" w:rsidRDefault="00013FD3" w:rsidP="00B078F1">
            <w:pPr>
              <w:pStyle w:val="Tablebody"/>
              <w:spacing w:after="120"/>
            </w:pPr>
            <w:r w:rsidRPr="001455DC">
              <w:t>additional minimum cover for abrasion, see 6.5.2.2(</w:t>
            </w:r>
            <w:r w:rsidR="00CF1E6A" w:rsidRPr="001455DC">
              <w:t>6</w:t>
            </w:r>
            <w:r w:rsidRPr="001455DC">
              <w:t>);</w:t>
            </w:r>
          </w:p>
        </w:tc>
      </w:tr>
      <w:tr w:rsidR="00013FD3" w:rsidRPr="001455DC" w14:paraId="42E7DC56" w14:textId="77777777" w:rsidTr="00013FD3">
        <w:trPr>
          <w:cantSplit/>
        </w:trPr>
        <w:tc>
          <w:tcPr>
            <w:tcW w:w="851" w:type="dxa"/>
          </w:tcPr>
          <w:p w14:paraId="29DC6743" w14:textId="369FEFE9" w:rsidR="00013FD3" w:rsidRPr="001455DC" w:rsidRDefault="00594617" w:rsidP="00B078F1">
            <w:pPr>
              <w:pStyle w:val="Tablebody"/>
              <w:spacing w:after="120"/>
            </w:pPr>
            <w:r w:rsidRPr="001455DC">
              <w:rPr>
                <w:rStyle w:val="CCMCvariableitalic"/>
              </w:rPr>
              <w:t>c</w:t>
            </w:r>
            <w:r w:rsidRPr="001455DC">
              <w:rPr>
                <w:rStyle w:val="CCMCvariablesubscript"/>
              </w:rPr>
              <w:t>min,b</w:t>
            </w:r>
          </w:p>
        </w:tc>
        <w:tc>
          <w:tcPr>
            <w:tcW w:w="8562" w:type="dxa"/>
          </w:tcPr>
          <w:p w14:paraId="077231A9" w14:textId="0AF32E89" w:rsidR="00013FD3" w:rsidRPr="001455DC" w:rsidRDefault="00013FD3" w:rsidP="00B078F1">
            <w:pPr>
              <w:pStyle w:val="Tablebody"/>
              <w:spacing w:after="120"/>
            </w:pPr>
            <w:r w:rsidRPr="001455DC">
              <w:t>minimum cover for bond requirement, see 6.5.2.3.</w:t>
            </w:r>
          </w:p>
        </w:tc>
      </w:tr>
    </w:tbl>
    <w:p w14:paraId="2101B5B6" w14:textId="77777777" w:rsidR="004E22C1" w:rsidRPr="001455DC" w:rsidRDefault="004E22C1" w:rsidP="00594617">
      <w:pPr>
        <w:pStyle w:val="a7"/>
      </w:pPr>
      <w:r w:rsidRPr="001455DC">
        <w:t>(2)</w:t>
      </w:r>
      <w:r w:rsidRPr="001455DC">
        <w:tab/>
        <w:t>For concrete cast directly against soil surface, the minimum cover should be increased by ∆</w:t>
      </w:r>
      <w:r w:rsidRPr="001455DC">
        <w:rPr>
          <w:rStyle w:val="CCMCvariableitalic"/>
        </w:rPr>
        <w:t>c</w:t>
      </w:r>
      <w:r w:rsidRPr="001455DC">
        <w:rPr>
          <w:rStyle w:val="CCMCvariablesubscript"/>
        </w:rPr>
        <w:t>min</w:t>
      </w:r>
      <w:r w:rsidRPr="001455DC">
        <w:t xml:space="preserve"> considering the increased uncertainty and variability of concrete and the reduced compaction against soil.</w:t>
      </w:r>
    </w:p>
    <w:p w14:paraId="59A4DABC" w14:textId="77777777" w:rsidR="004E22C1" w:rsidRPr="001455DC" w:rsidRDefault="004E22C1" w:rsidP="00594617">
      <w:pPr>
        <w:pStyle w:val="Note"/>
        <w:keepNext/>
        <w:spacing w:after="120"/>
      </w:pPr>
      <w:r w:rsidRPr="001455DC">
        <w:t>NOTE</w:t>
      </w:r>
      <w:r w:rsidRPr="001455DC">
        <w:tab/>
        <w:t>Unless a National Annex gives other values the following values can be used:</w:t>
      </w:r>
    </w:p>
    <w:p w14:paraId="24685369" w14:textId="296E1BC4" w:rsidR="004E22C1" w:rsidRPr="001455DC" w:rsidRDefault="004E22C1" w:rsidP="00594617">
      <w:pPr>
        <w:pStyle w:val="Note"/>
      </w:pPr>
      <w:r w:rsidRPr="001455DC">
        <w:t>∆</w:t>
      </w:r>
      <w:r w:rsidRPr="001455DC">
        <w:rPr>
          <w:rStyle w:val="CCMCvariableitalic"/>
        </w:rPr>
        <w:t>c</w:t>
      </w:r>
      <w:r w:rsidRPr="001455DC">
        <w:rPr>
          <w:rStyle w:val="CCMCvariablesubscript"/>
        </w:rPr>
        <w:t>min</w:t>
      </w:r>
      <w:r w:rsidRPr="001455DC">
        <w:t> </w:t>
      </w:r>
      <w:r w:rsidR="00EC27D2" w:rsidRPr="001455DC">
        <w:rPr>
          <w:rFonts w:ascii="Cambria Math" w:hAnsi="Cambria Math"/>
        </w:rPr>
        <w:t>=</w:t>
      </w:r>
      <w:r w:rsidRPr="001455DC">
        <w:t> </w:t>
      </w:r>
      <w:r w:rsidR="00EC27D2" w:rsidRPr="001455DC">
        <w:rPr>
          <w:rFonts w:ascii="Cambria Math" w:hAnsi="Cambria Math"/>
        </w:rPr>
        <w:t>+</w:t>
      </w:r>
      <w:r w:rsidRPr="001455DC">
        <w:t>5 mm for casting against a lateral soil surface, ∆</w:t>
      </w:r>
      <w:r w:rsidRPr="001455DC">
        <w:rPr>
          <w:rStyle w:val="CCMCvariableitalic"/>
        </w:rPr>
        <w:t>c</w:t>
      </w:r>
      <w:r w:rsidRPr="001455DC">
        <w:rPr>
          <w:rStyle w:val="CCMCvariablesubscript"/>
        </w:rPr>
        <w:t>min</w:t>
      </w:r>
      <w:r w:rsidRPr="001455DC">
        <w:t> </w:t>
      </w:r>
      <w:r w:rsidR="00EC27D2" w:rsidRPr="001455DC">
        <w:rPr>
          <w:rFonts w:ascii="Cambria Math" w:hAnsi="Cambria Math"/>
        </w:rPr>
        <w:t>=</w:t>
      </w:r>
      <w:r w:rsidRPr="001455DC">
        <w:t> 0 mm for a horizontal soil ground surface.</w:t>
      </w:r>
    </w:p>
    <w:p w14:paraId="5154B950" w14:textId="282E1C53" w:rsidR="004E22C1" w:rsidRPr="001455DC" w:rsidRDefault="004E22C1" w:rsidP="00594617">
      <w:pPr>
        <w:pStyle w:val="a7"/>
      </w:pPr>
      <w:r w:rsidRPr="001455DC">
        <w:t>(3)</w:t>
      </w:r>
      <w:r w:rsidRPr="001455DC">
        <w:tab/>
        <w:t>Minimum cover to post-installed reinforcing bars with respect to the transfer of bond forces and durability is given in 6.5.2 and with respect to drilling and installation in 11.4.8(3).</w:t>
      </w:r>
    </w:p>
    <w:p w14:paraId="3A56078E" w14:textId="523405A3" w:rsidR="004E22C1" w:rsidRPr="001455DC" w:rsidRDefault="004E22C1" w:rsidP="00243590">
      <w:pPr>
        <w:pStyle w:val="41"/>
      </w:pPr>
      <w:bookmarkStart w:id="359" w:name="_Toc52819929"/>
      <w:bookmarkStart w:id="360" w:name="_Toc54337987"/>
      <w:r w:rsidRPr="001455DC">
        <w:t>Minimum cover for durability</w:t>
      </w:r>
      <w:bookmarkEnd w:id="359"/>
      <w:bookmarkEnd w:id="360"/>
    </w:p>
    <w:p w14:paraId="116CB618" w14:textId="2E018F7E" w:rsidR="004E22C1" w:rsidRPr="001455DC" w:rsidRDefault="004E22C1" w:rsidP="00594617">
      <w:pPr>
        <w:pStyle w:val="a7"/>
      </w:pPr>
      <w:r w:rsidRPr="001455DC">
        <w:t>(1)</w:t>
      </w:r>
      <w:r w:rsidRPr="001455DC">
        <w:tab/>
        <w:t xml:space="preserve">The minimum concrete covers </w:t>
      </w:r>
      <w:r w:rsidRPr="001455DC">
        <w:rPr>
          <w:rStyle w:val="CCMCvariableitalic"/>
        </w:rPr>
        <w:t>c</w:t>
      </w:r>
      <w:r w:rsidRPr="001455DC">
        <w:rPr>
          <w:rStyle w:val="CCMCvariablesubscript"/>
        </w:rPr>
        <w:t>min,dur</w:t>
      </w:r>
      <w:r w:rsidRPr="001455DC">
        <w:t xml:space="preserve"> dependent on design service life, exposure class and exposure resistance class (ERC) are given in Table 6.3(NDP) and Table 6.4(NDP).</w:t>
      </w:r>
    </w:p>
    <w:p w14:paraId="12927297" w14:textId="77777777" w:rsidR="004E22C1" w:rsidRPr="001455DC" w:rsidRDefault="004E22C1" w:rsidP="00594617">
      <w:pPr>
        <w:pStyle w:val="Note"/>
      </w:pPr>
      <w:r w:rsidRPr="001455DC">
        <w:t>NOTE 1</w:t>
      </w:r>
      <w:r w:rsidRPr="001455DC">
        <w:tab/>
        <w:t>The recommended minimum covers apply unless a National Annex gives other values.</w:t>
      </w:r>
    </w:p>
    <w:p w14:paraId="1742C35B" w14:textId="6B70AB27" w:rsidR="004E22C1" w:rsidRPr="001455DC" w:rsidRDefault="004E22C1" w:rsidP="00594617">
      <w:pPr>
        <w:pStyle w:val="Note"/>
      </w:pPr>
      <w:r w:rsidRPr="001455DC">
        <w:t>NOTE 2</w:t>
      </w:r>
      <w:r w:rsidRPr="001455DC">
        <w:tab/>
        <w:t xml:space="preserve">Additional and intermediate or a selection of exposure resistance classes </w:t>
      </w:r>
      <w:r w:rsidR="00B078F1">
        <w:t>can</w:t>
      </w:r>
      <w:r w:rsidRPr="001455DC">
        <w:t xml:space="preserve"> be applied according to a National Annex with correspondingly adjusted minimum cover for durability, provided they are based on the same methodology and give protection against deterioration consistent with that inherent in Table 6.3(NDP) and Table (6.4(NDP).</w:t>
      </w:r>
    </w:p>
    <w:p w14:paraId="774D2BE2" w14:textId="77777777" w:rsidR="004E22C1" w:rsidRPr="001455DC" w:rsidRDefault="004E22C1" w:rsidP="00594617">
      <w:pPr>
        <w:pStyle w:val="Tabletitle"/>
      </w:pPr>
      <w:bookmarkStart w:id="361" w:name="_Toc54337330"/>
      <w:r w:rsidRPr="001455DC">
        <w:t xml:space="preserve">Table 6.3(NDP) — Minimum concrete cover </w:t>
      </w:r>
      <w:r w:rsidRPr="001455DC">
        <w:rPr>
          <w:rStyle w:val="CCMCvariableitalic"/>
        </w:rPr>
        <w:t>c</w:t>
      </w:r>
      <w:r w:rsidRPr="001455DC">
        <w:rPr>
          <w:rStyle w:val="CCMCvariablesubscript"/>
        </w:rPr>
        <w:t>min,dur</w:t>
      </w:r>
      <w:r w:rsidRPr="001455DC">
        <w:t xml:space="preserve"> for carbon steel — Carbonation</w:t>
      </w:r>
      <w:bookmarkEnd w:id="361"/>
    </w:p>
    <w:tbl>
      <w:tblPr>
        <w:tblStyle w:val="53"/>
        <w:tblW w:w="9752" w:type="dxa"/>
        <w:tblLayout w:type="fixed"/>
        <w:tblLook w:val="0660" w:firstRow="1" w:lastRow="1" w:firstColumn="0" w:lastColumn="0" w:noHBand="1" w:noVBand="1"/>
      </w:tblPr>
      <w:tblGrid>
        <w:gridCol w:w="1500"/>
        <w:gridCol w:w="1030"/>
        <w:gridCol w:w="1030"/>
        <w:gridCol w:w="1032"/>
        <w:gridCol w:w="1032"/>
        <w:gridCol w:w="1032"/>
        <w:gridCol w:w="1032"/>
        <w:gridCol w:w="1032"/>
        <w:gridCol w:w="1032"/>
      </w:tblGrid>
      <w:tr w:rsidR="004E22C1" w:rsidRPr="001455DC" w14:paraId="219E42D1" w14:textId="77777777" w:rsidTr="00594617">
        <w:trPr>
          <w:cnfStyle w:val="100000000000" w:firstRow="1" w:lastRow="0" w:firstColumn="0" w:lastColumn="0" w:oddVBand="0" w:evenVBand="0" w:oddHBand="0" w:evenHBand="0" w:firstRowFirstColumn="0" w:firstRowLastColumn="0" w:lastRowFirstColumn="0" w:lastRowLastColumn="0"/>
          <w:cantSplit/>
          <w:tblHeader/>
        </w:trPr>
        <w:tc>
          <w:tcPr>
            <w:tcW w:w="1120" w:type="dxa"/>
            <w:vMerge w:val="restart"/>
          </w:tcPr>
          <w:p w14:paraId="66997549" w14:textId="20367B67" w:rsidR="004E22C1" w:rsidRPr="001455DC" w:rsidRDefault="004E22C1" w:rsidP="00B078F1">
            <w:pPr>
              <w:pStyle w:val="Tableheader"/>
              <w:keepNext/>
            </w:pPr>
            <w:r w:rsidRPr="001455DC">
              <w:t>ERC</w:t>
            </w:r>
          </w:p>
        </w:tc>
        <w:tc>
          <w:tcPr>
            <w:tcW w:w="6158" w:type="dxa"/>
            <w:gridSpan w:val="8"/>
          </w:tcPr>
          <w:p w14:paraId="283558D9" w14:textId="77777777" w:rsidR="004E22C1" w:rsidRPr="001455DC" w:rsidRDefault="004E22C1" w:rsidP="00B078F1">
            <w:pPr>
              <w:pStyle w:val="Tableheader"/>
              <w:keepNext/>
            </w:pPr>
            <w:r w:rsidRPr="001455DC">
              <w:t>Exposure class (carbonation)</w:t>
            </w:r>
          </w:p>
        </w:tc>
      </w:tr>
      <w:tr w:rsidR="004E22C1" w:rsidRPr="001455DC" w14:paraId="4B4E2253" w14:textId="77777777" w:rsidTr="00594617">
        <w:trPr>
          <w:cnfStyle w:val="100000000000" w:firstRow="1" w:lastRow="0" w:firstColumn="0" w:lastColumn="0" w:oddVBand="0" w:evenVBand="0" w:oddHBand="0" w:evenHBand="0" w:firstRowFirstColumn="0" w:firstRowLastColumn="0" w:lastRowFirstColumn="0" w:lastRowLastColumn="0"/>
          <w:cantSplit/>
          <w:tblHeader/>
        </w:trPr>
        <w:tc>
          <w:tcPr>
            <w:tcW w:w="1120" w:type="dxa"/>
            <w:vMerge/>
            <w:hideMark/>
          </w:tcPr>
          <w:p w14:paraId="4F76186D" w14:textId="77777777" w:rsidR="004E22C1" w:rsidRPr="001455DC" w:rsidRDefault="004E22C1" w:rsidP="00B078F1">
            <w:pPr>
              <w:pStyle w:val="Tableheader"/>
              <w:keepNext/>
            </w:pPr>
          </w:p>
        </w:tc>
        <w:tc>
          <w:tcPr>
            <w:tcW w:w="1538" w:type="dxa"/>
            <w:gridSpan w:val="2"/>
            <w:hideMark/>
          </w:tcPr>
          <w:p w14:paraId="0093F8E6" w14:textId="77777777" w:rsidR="004E22C1" w:rsidRPr="001455DC" w:rsidRDefault="004E22C1" w:rsidP="00B078F1">
            <w:pPr>
              <w:pStyle w:val="Tableheader"/>
              <w:keepNext/>
            </w:pPr>
            <w:r w:rsidRPr="001455DC">
              <w:t>XC1</w:t>
            </w:r>
          </w:p>
        </w:tc>
        <w:tc>
          <w:tcPr>
            <w:tcW w:w="1540" w:type="dxa"/>
            <w:gridSpan w:val="2"/>
            <w:hideMark/>
          </w:tcPr>
          <w:p w14:paraId="47C0473A" w14:textId="77777777" w:rsidR="004E22C1" w:rsidRPr="001455DC" w:rsidRDefault="004E22C1" w:rsidP="00B078F1">
            <w:pPr>
              <w:pStyle w:val="Tableheader"/>
              <w:keepNext/>
            </w:pPr>
            <w:r w:rsidRPr="001455DC">
              <w:t>XC2</w:t>
            </w:r>
          </w:p>
        </w:tc>
        <w:tc>
          <w:tcPr>
            <w:tcW w:w="1540" w:type="dxa"/>
            <w:gridSpan w:val="2"/>
            <w:hideMark/>
          </w:tcPr>
          <w:p w14:paraId="36795457" w14:textId="77777777" w:rsidR="004E22C1" w:rsidRPr="001455DC" w:rsidRDefault="004E22C1" w:rsidP="00B078F1">
            <w:pPr>
              <w:pStyle w:val="Tableheader"/>
              <w:keepNext/>
            </w:pPr>
            <w:r w:rsidRPr="001455DC">
              <w:t>XC3</w:t>
            </w:r>
          </w:p>
        </w:tc>
        <w:tc>
          <w:tcPr>
            <w:tcW w:w="1540" w:type="dxa"/>
            <w:gridSpan w:val="2"/>
            <w:hideMark/>
          </w:tcPr>
          <w:p w14:paraId="67A54B7F" w14:textId="77777777" w:rsidR="004E22C1" w:rsidRPr="001455DC" w:rsidRDefault="004E22C1" w:rsidP="00B078F1">
            <w:pPr>
              <w:pStyle w:val="Tableheader"/>
              <w:keepNext/>
            </w:pPr>
            <w:r w:rsidRPr="001455DC">
              <w:t>XC4</w:t>
            </w:r>
          </w:p>
        </w:tc>
      </w:tr>
      <w:tr w:rsidR="004E22C1" w:rsidRPr="001455DC" w14:paraId="79E2D421" w14:textId="77777777" w:rsidTr="00594617">
        <w:trPr>
          <w:cnfStyle w:val="100000000000" w:firstRow="1" w:lastRow="0" w:firstColumn="0" w:lastColumn="0" w:oddVBand="0" w:evenVBand="0" w:oddHBand="0" w:evenHBand="0" w:firstRowFirstColumn="0" w:firstRowLastColumn="0" w:lastRowFirstColumn="0" w:lastRowLastColumn="0"/>
          <w:cantSplit/>
          <w:tblHeader/>
        </w:trPr>
        <w:tc>
          <w:tcPr>
            <w:tcW w:w="1120" w:type="dxa"/>
            <w:vMerge/>
          </w:tcPr>
          <w:p w14:paraId="0F87A62B" w14:textId="77777777" w:rsidR="004E22C1" w:rsidRPr="001455DC" w:rsidRDefault="004E22C1" w:rsidP="00B078F1">
            <w:pPr>
              <w:pStyle w:val="Tableheader"/>
              <w:keepNext/>
            </w:pPr>
          </w:p>
        </w:tc>
        <w:tc>
          <w:tcPr>
            <w:tcW w:w="6158" w:type="dxa"/>
            <w:gridSpan w:val="8"/>
          </w:tcPr>
          <w:p w14:paraId="61FE7531" w14:textId="77777777" w:rsidR="004E22C1" w:rsidRPr="001455DC" w:rsidRDefault="004E22C1" w:rsidP="00B078F1">
            <w:pPr>
              <w:pStyle w:val="Tableheader"/>
              <w:keepNext/>
            </w:pPr>
            <w:r w:rsidRPr="001455DC">
              <w:t>Design service life (years)</w:t>
            </w:r>
          </w:p>
        </w:tc>
      </w:tr>
      <w:tr w:rsidR="004E22C1" w:rsidRPr="001455DC" w14:paraId="5577D1ED" w14:textId="77777777" w:rsidTr="00594617">
        <w:trPr>
          <w:cnfStyle w:val="100000000000" w:firstRow="1" w:lastRow="0" w:firstColumn="0" w:lastColumn="0" w:oddVBand="0" w:evenVBand="0" w:oddHBand="0" w:evenHBand="0" w:firstRowFirstColumn="0" w:firstRowLastColumn="0" w:lastRowFirstColumn="0" w:lastRowLastColumn="0"/>
          <w:cantSplit/>
          <w:tblHeader/>
        </w:trPr>
        <w:tc>
          <w:tcPr>
            <w:tcW w:w="1120" w:type="dxa"/>
            <w:vMerge/>
            <w:hideMark/>
          </w:tcPr>
          <w:p w14:paraId="0DF0F572" w14:textId="77777777" w:rsidR="004E22C1" w:rsidRPr="001455DC" w:rsidRDefault="004E22C1" w:rsidP="00B078F1">
            <w:pPr>
              <w:pStyle w:val="Tableheader"/>
              <w:keepNext/>
            </w:pPr>
          </w:p>
        </w:tc>
        <w:tc>
          <w:tcPr>
            <w:tcW w:w="769" w:type="dxa"/>
            <w:hideMark/>
          </w:tcPr>
          <w:p w14:paraId="7004C8D7" w14:textId="77777777" w:rsidR="004E22C1" w:rsidRPr="001455DC" w:rsidRDefault="004E22C1" w:rsidP="00B078F1">
            <w:pPr>
              <w:pStyle w:val="Tableheader"/>
              <w:keepNext/>
            </w:pPr>
            <w:r w:rsidRPr="001455DC">
              <w:t>50</w:t>
            </w:r>
          </w:p>
        </w:tc>
        <w:tc>
          <w:tcPr>
            <w:tcW w:w="769" w:type="dxa"/>
            <w:hideMark/>
          </w:tcPr>
          <w:p w14:paraId="0299C351" w14:textId="77777777" w:rsidR="004E22C1" w:rsidRPr="001455DC" w:rsidRDefault="004E22C1" w:rsidP="00B078F1">
            <w:pPr>
              <w:pStyle w:val="Tableheader"/>
              <w:keepNext/>
            </w:pPr>
            <w:r w:rsidRPr="001455DC">
              <w:t>100</w:t>
            </w:r>
          </w:p>
        </w:tc>
        <w:tc>
          <w:tcPr>
            <w:tcW w:w="770" w:type="dxa"/>
            <w:hideMark/>
          </w:tcPr>
          <w:p w14:paraId="5FE69A6B" w14:textId="77777777" w:rsidR="004E22C1" w:rsidRPr="001455DC" w:rsidRDefault="004E22C1" w:rsidP="00B078F1">
            <w:pPr>
              <w:pStyle w:val="Tableheader"/>
              <w:keepNext/>
            </w:pPr>
            <w:r w:rsidRPr="001455DC">
              <w:t>50</w:t>
            </w:r>
          </w:p>
        </w:tc>
        <w:tc>
          <w:tcPr>
            <w:tcW w:w="770" w:type="dxa"/>
            <w:hideMark/>
          </w:tcPr>
          <w:p w14:paraId="2CBEEA38" w14:textId="77777777" w:rsidR="004E22C1" w:rsidRPr="001455DC" w:rsidRDefault="004E22C1" w:rsidP="00B078F1">
            <w:pPr>
              <w:pStyle w:val="Tableheader"/>
              <w:keepNext/>
            </w:pPr>
            <w:r w:rsidRPr="001455DC">
              <w:t>100</w:t>
            </w:r>
          </w:p>
        </w:tc>
        <w:tc>
          <w:tcPr>
            <w:tcW w:w="770" w:type="dxa"/>
            <w:hideMark/>
          </w:tcPr>
          <w:p w14:paraId="332C2DAD" w14:textId="77777777" w:rsidR="004E22C1" w:rsidRPr="001455DC" w:rsidRDefault="004E22C1" w:rsidP="00B078F1">
            <w:pPr>
              <w:pStyle w:val="Tableheader"/>
              <w:keepNext/>
            </w:pPr>
            <w:r w:rsidRPr="001455DC">
              <w:t>50</w:t>
            </w:r>
          </w:p>
        </w:tc>
        <w:tc>
          <w:tcPr>
            <w:tcW w:w="770" w:type="dxa"/>
            <w:hideMark/>
          </w:tcPr>
          <w:p w14:paraId="40E11CB1" w14:textId="77777777" w:rsidR="004E22C1" w:rsidRPr="001455DC" w:rsidRDefault="004E22C1" w:rsidP="00B078F1">
            <w:pPr>
              <w:pStyle w:val="Tableheader"/>
              <w:keepNext/>
            </w:pPr>
            <w:r w:rsidRPr="001455DC">
              <w:t>100</w:t>
            </w:r>
          </w:p>
        </w:tc>
        <w:tc>
          <w:tcPr>
            <w:tcW w:w="770" w:type="dxa"/>
            <w:hideMark/>
          </w:tcPr>
          <w:p w14:paraId="171679C9" w14:textId="77777777" w:rsidR="004E22C1" w:rsidRPr="001455DC" w:rsidRDefault="004E22C1" w:rsidP="00B078F1">
            <w:pPr>
              <w:pStyle w:val="Tableheader"/>
              <w:keepNext/>
            </w:pPr>
            <w:r w:rsidRPr="001455DC">
              <w:t>50</w:t>
            </w:r>
          </w:p>
        </w:tc>
        <w:tc>
          <w:tcPr>
            <w:tcW w:w="770" w:type="dxa"/>
            <w:hideMark/>
          </w:tcPr>
          <w:p w14:paraId="544AD26F" w14:textId="77777777" w:rsidR="004E22C1" w:rsidRPr="001455DC" w:rsidRDefault="004E22C1" w:rsidP="00B078F1">
            <w:pPr>
              <w:pStyle w:val="Tableheader"/>
              <w:keepNext/>
            </w:pPr>
            <w:r w:rsidRPr="001455DC">
              <w:t>100</w:t>
            </w:r>
          </w:p>
        </w:tc>
      </w:tr>
      <w:tr w:rsidR="004E22C1" w:rsidRPr="001455DC" w14:paraId="720B373D" w14:textId="77777777" w:rsidTr="00594617">
        <w:trPr>
          <w:cantSplit/>
        </w:trPr>
        <w:tc>
          <w:tcPr>
            <w:tcW w:w="1120" w:type="dxa"/>
            <w:vAlign w:val="center"/>
          </w:tcPr>
          <w:p w14:paraId="70BD569F" w14:textId="77777777" w:rsidR="004E22C1" w:rsidRPr="001455DC" w:rsidRDefault="004E22C1" w:rsidP="00B078F1">
            <w:pPr>
              <w:pStyle w:val="Tablebody"/>
              <w:keepNext/>
              <w:jc w:val="left"/>
              <w:rPr>
                <w:b/>
                <w:bCs/>
              </w:rPr>
            </w:pPr>
            <w:r w:rsidRPr="001455DC">
              <w:rPr>
                <w:b/>
                <w:bCs/>
              </w:rPr>
              <w:t>XRC 0,5</w:t>
            </w:r>
          </w:p>
        </w:tc>
        <w:tc>
          <w:tcPr>
            <w:tcW w:w="769" w:type="dxa"/>
            <w:vAlign w:val="center"/>
          </w:tcPr>
          <w:p w14:paraId="2AB116B0" w14:textId="77777777" w:rsidR="004E22C1" w:rsidRPr="001455DC" w:rsidRDefault="004E22C1" w:rsidP="00B078F1">
            <w:pPr>
              <w:pStyle w:val="Tablebody"/>
              <w:keepNext/>
              <w:jc w:val="center"/>
              <w:rPr>
                <w:b/>
              </w:rPr>
            </w:pPr>
            <w:r w:rsidRPr="001455DC">
              <w:rPr>
                <w:b/>
              </w:rPr>
              <w:t>10</w:t>
            </w:r>
          </w:p>
        </w:tc>
        <w:tc>
          <w:tcPr>
            <w:tcW w:w="769" w:type="dxa"/>
            <w:vAlign w:val="center"/>
          </w:tcPr>
          <w:p w14:paraId="66C01A67" w14:textId="77777777" w:rsidR="004E22C1" w:rsidRPr="001455DC" w:rsidRDefault="004E22C1" w:rsidP="00B078F1">
            <w:pPr>
              <w:pStyle w:val="Tablebody"/>
              <w:keepNext/>
              <w:jc w:val="center"/>
            </w:pPr>
            <w:r w:rsidRPr="001455DC">
              <w:t>10</w:t>
            </w:r>
          </w:p>
        </w:tc>
        <w:tc>
          <w:tcPr>
            <w:tcW w:w="770" w:type="dxa"/>
            <w:vAlign w:val="center"/>
          </w:tcPr>
          <w:p w14:paraId="72C1D1A8" w14:textId="77777777" w:rsidR="004E22C1" w:rsidRPr="001455DC" w:rsidRDefault="004E22C1" w:rsidP="00B078F1">
            <w:pPr>
              <w:pStyle w:val="Tablebody"/>
              <w:keepNext/>
              <w:jc w:val="center"/>
              <w:rPr>
                <w:b/>
                <w:bCs/>
              </w:rPr>
            </w:pPr>
            <w:r w:rsidRPr="001455DC">
              <w:rPr>
                <w:b/>
                <w:bCs/>
              </w:rPr>
              <w:t>10</w:t>
            </w:r>
          </w:p>
        </w:tc>
        <w:tc>
          <w:tcPr>
            <w:tcW w:w="770" w:type="dxa"/>
            <w:vAlign w:val="center"/>
          </w:tcPr>
          <w:p w14:paraId="10951DFC" w14:textId="77777777" w:rsidR="004E22C1" w:rsidRPr="001455DC" w:rsidRDefault="004E22C1" w:rsidP="00B078F1">
            <w:pPr>
              <w:pStyle w:val="Tablebody"/>
              <w:keepNext/>
              <w:jc w:val="center"/>
            </w:pPr>
            <w:r w:rsidRPr="001455DC">
              <w:t>10</w:t>
            </w:r>
          </w:p>
        </w:tc>
        <w:tc>
          <w:tcPr>
            <w:tcW w:w="770" w:type="dxa"/>
            <w:vAlign w:val="center"/>
          </w:tcPr>
          <w:p w14:paraId="43ABFB14" w14:textId="77777777" w:rsidR="004E22C1" w:rsidRPr="001455DC" w:rsidRDefault="004E22C1" w:rsidP="00B078F1">
            <w:pPr>
              <w:pStyle w:val="Tablebody"/>
              <w:keepNext/>
              <w:jc w:val="center"/>
              <w:rPr>
                <w:b/>
                <w:bCs/>
              </w:rPr>
            </w:pPr>
            <w:r w:rsidRPr="001455DC">
              <w:rPr>
                <w:b/>
                <w:bCs/>
              </w:rPr>
              <w:t>10</w:t>
            </w:r>
          </w:p>
        </w:tc>
        <w:tc>
          <w:tcPr>
            <w:tcW w:w="770" w:type="dxa"/>
            <w:vAlign w:val="center"/>
          </w:tcPr>
          <w:p w14:paraId="37CC0063" w14:textId="77777777" w:rsidR="004E22C1" w:rsidRPr="001455DC" w:rsidRDefault="004E22C1" w:rsidP="00B078F1">
            <w:pPr>
              <w:pStyle w:val="Tablebody"/>
              <w:keepNext/>
              <w:jc w:val="center"/>
            </w:pPr>
            <w:r w:rsidRPr="001455DC">
              <w:t>10</w:t>
            </w:r>
          </w:p>
        </w:tc>
        <w:tc>
          <w:tcPr>
            <w:tcW w:w="770" w:type="dxa"/>
            <w:vAlign w:val="center"/>
          </w:tcPr>
          <w:p w14:paraId="2837B2CE" w14:textId="77777777" w:rsidR="004E22C1" w:rsidRPr="001455DC" w:rsidRDefault="004E22C1" w:rsidP="00B078F1">
            <w:pPr>
              <w:pStyle w:val="Tablebody"/>
              <w:keepNext/>
              <w:jc w:val="center"/>
              <w:rPr>
                <w:b/>
                <w:bCs/>
              </w:rPr>
            </w:pPr>
            <w:r w:rsidRPr="001455DC">
              <w:rPr>
                <w:b/>
                <w:bCs/>
              </w:rPr>
              <w:t>10</w:t>
            </w:r>
          </w:p>
        </w:tc>
        <w:tc>
          <w:tcPr>
            <w:tcW w:w="770" w:type="dxa"/>
            <w:vAlign w:val="center"/>
          </w:tcPr>
          <w:p w14:paraId="7BD33E55" w14:textId="77777777" w:rsidR="004E22C1" w:rsidRPr="001455DC" w:rsidRDefault="004E22C1" w:rsidP="00B078F1">
            <w:pPr>
              <w:pStyle w:val="Tablebody"/>
              <w:keepNext/>
              <w:jc w:val="center"/>
            </w:pPr>
            <w:r w:rsidRPr="001455DC">
              <w:t>10</w:t>
            </w:r>
          </w:p>
        </w:tc>
      </w:tr>
      <w:tr w:rsidR="004E22C1" w:rsidRPr="001455DC" w14:paraId="2A72AF01" w14:textId="77777777" w:rsidTr="00594617">
        <w:trPr>
          <w:cantSplit/>
        </w:trPr>
        <w:tc>
          <w:tcPr>
            <w:tcW w:w="1120" w:type="dxa"/>
            <w:vAlign w:val="center"/>
            <w:hideMark/>
          </w:tcPr>
          <w:p w14:paraId="335322CF" w14:textId="77777777" w:rsidR="004E22C1" w:rsidRPr="001455DC" w:rsidRDefault="004E22C1" w:rsidP="00B078F1">
            <w:pPr>
              <w:pStyle w:val="Tablebody"/>
              <w:keepNext/>
              <w:jc w:val="left"/>
              <w:rPr>
                <w:b/>
                <w:bCs/>
              </w:rPr>
            </w:pPr>
            <w:r w:rsidRPr="001455DC">
              <w:rPr>
                <w:b/>
                <w:bCs/>
              </w:rPr>
              <w:t>XRC 1</w:t>
            </w:r>
          </w:p>
        </w:tc>
        <w:tc>
          <w:tcPr>
            <w:tcW w:w="769" w:type="dxa"/>
            <w:vAlign w:val="center"/>
          </w:tcPr>
          <w:p w14:paraId="176B3E96" w14:textId="77777777" w:rsidR="004E22C1" w:rsidRPr="001455DC" w:rsidRDefault="004E22C1" w:rsidP="00B078F1">
            <w:pPr>
              <w:pStyle w:val="Tablebody"/>
              <w:keepNext/>
              <w:jc w:val="center"/>
              <w:rPr>
                <w:b/>
              </w:rPr>
            </w:pPr>
            <w:r w:rsidRPr="001455DC">
              <w:rPr>
                <w:b/>
              </w:rPr>
              <w:t>10</w:t>
            </w:r>
          </w:p>
        </w:tc>
        <w:tc>
          <w:tcPr>
            <w:tcW w:w="769" w:type="dxa"/>
            <w:vAlign w:val="center"/>
          </w:tcPr>
          <w:p w14:paraId="084CBCBD" w14:textId="77777777" w:rsidR="004E22C1" w:rsidRPr="001455DC" w:rsidRDefault="004E22C1" w:rsidP="00B078F1">
            <w:pPr>
              <w:pStyle w:val="Tablebody"/>
              <w:keepNext/>
              <w:jc w:val="center"/>
            </w:pPr>
            <w:r w:rsidRPr="001455DC">
              <w:t>10</w:t>
            </w:r>
          </w:p>
        </w:tc>
        <w:tc>
          <w:tcPr>
            <w:tcW w:w="770" w:type="dxa"/>
            <w:vAlign w:val="center"/>
          </w:tcPr>
          <w:p w14:paraId="02F153A3" w14:textId="77777777" w:rsidR="004E22C1" w:rsidRPr="001455DC" w:rsidRDefault="004E22C1" w:rsidP="00B078F1">
            <w:pPr>
              <w:pStyle w:val="Tablebody"/>
              <w:keepNext/>
              <w:jc w:val="center"/>
              <w:rPr>
                <w:b/>
                <w:bCs/>
              </w:rPr>
            </w:pPr>
            <w:r w:rsidRPr="001455DC">
              <w:rPr>
                <w:b/>
                <w:bCs/>
              </w:rPr>
              <w:t>10</w:t>
            </w:r>
          </w:p>
        </w:tc>
        <w:tc>
          <w:tcPr>
            <w:tcW w:w="770" w:type="dxa"/>
            <w:vAlign w:val="center"/>
          </w:tcPr>
          <w:p w14:paraId="7F2257CC" w14:textId="77777777" w:rsidR="004E22C1" w:rsidRPr="001455DC" w:rsidRDefault="004E22C1" w:rsidP="00B078F1">
            <w:pPr>
              <w:pStyle w:val="Tablebody"/>
              <w:keepNext/>
              <w:jc w:val="center"/>
            </w:pPr>
            <w:r w:rsidRPr="001455DC">
              <w:t>10</w:t>
            </w:r>
          </w:p>
        </w:tc>
        <w:tc>
          <w:tcPr>
            <w:tcW w:w="770" w:type="dxa"/>
            <w:vAlign w:val="center"/>
          </w:tcPr>
          <w:p w14:paraId="638F272B" w14:textId="77777777" w:rsidR="004E22C1" w:rsidRPr="001455DC" w:rsidRDefault="004E22C1" w:rsidP="00B078F1">
            <w:pPr>
              <w:pStyle w:val="Tablebody"/>
              <w:keepNext/>
              <w:jc w:val="center"/>
              <w:rPr>
                <w:b/>
                <w:bCs/>
              </w:rPr>
            </w:pPr>
            <w:r w:rsidRPr="001455DC">
              <w:rPr>
                <w:b/>
                <w:bCs/>
              </w:rPr>
              <w:t>10</w:t>
            </w:r>
          </w:p>
        </w:tc>
        <w:tc>
          <w:tcPr>
            <w:tcW w:w="770" w:type="dxa"/>
            <w:vAlign w:val="center"/>
          </w:tcPr>
          <w:p w14:paraId="05DE8959" w14:textId="77777777" w:rsidR="004E22C1" w:rsidRPr="001455DC" w:rsidRDefault="004E22C1" w:rsidP="00B078F1">
            <w:pPr>
              <w:pStyle w:val="Tablebody"/>
              <w:keepNext/>
              <w:jc w:val="center"/>
            </w:pPr>
            <w:r w:rsidRPr="001455DC">
              <w:t>15</w:t>
            </w:r>
          </w:p>
        </w:tc>
        <w:tc>
          <w:tcPr>
            <w:tcW w:w="770" w:type="dxa"/>
            <w:vAlign w:val="center"/>
          </w:tcPr>
          <w:p w14:paraId="4547BDF3" w14:textId="77777777" w:rsidR="004E22C1" w:rsidRPr="001455DC" w:rsidRDefault="004E22C1" w:rsidP="00B078F1">
            <w:pPr>
              <w:pStyle w:val="Tablebody"/>
              <w:keepNext/>
              <w:jc w:val="center"/>
              <w:rPr>
                <w:b/>
                <w:bCs/>
              </w:rPr>
            </w:pPr>
            <w:r w:rsidRPr="001455DC">
              <w:rPr>
                <w:b/>
                <w:bCs/>
              </w:rPr>
              <w:t>10</w:t>
            </w:r>
          </w:p>
        </w:tc>
        <w:tc>
          <w:tcPr>
            <w:tcW w:w="770" w:type="dxa"/>
            <w:vAlign w:val="center"/>
          </w:tcPr>
          <w:p w14:paraId="6C4EE9F8" w14:textId="77777777" w:rsidR="004E22C1" w:rsidRPr="001455DC" w:rsidRDefault="004E22C1" w:rsidP="00B078F1">
            <w:pPr>
              <w:pStyle w:val="Tablebody"/>
              <w:keepNext/>
              <w:jc w:val="center"/>
            </w:pPr>
            <w:r w:rsidRPr="001455DC">
              <w:t>15</w:t>
            </w:r>
          </w:p>
        </w:tc>
      </w:tr>
      <w:tr w:rsidR="004E22C1" w:rsidRPr="001455DC" w14:paraId="2368C24B" w14:textId="77777777" w:rsidTr="00594617">
        <w:trPr>
          <w:cantSplit/>
        </w:trPr>
        <w:tc>
          <w:tcPr>
            <w:tcW w:w="1120" w:type="dxa"/>
            <w:vAlign w:val="center"/>
            <w:hideMark/>
          </w:tcPr>
          <w:p w14:paraId="0CB08006" w14:textId="77777777" w:rsidR="004E22C1" w:rsidRPr="001455DC" w:rsidRDefault="004E22C1" w:rsidP="00B078F1">
            <w:pPr>
              <w:pStyle w:val="Tablebody"/>
              <w:keepNext/>
              <w:jc w:val="left"/>
              <w:rPr>
                <w:b/>
                <w:bCs/>
              </w:rPr>
            </w:pPr>
            <w:r w:rsidRPr="001455DC">
              <w:rPr>
                <w:b/>
                <w:bCs/>
              </w:rPr>
              <w:t>XRC 2</w:t>
            </w:r>
          </w:p>
        </w:tc>
        <w:tc>
          <w:tcPr>
            <w:tcW w:w="769" w:type="dxa"/>
            <w:vAlign w:val="center"/>
          </w:tcPr>
          <w:p w14:paraId="6A2C24AB" w14:textId="77777777" w:rsidR="004E22C1" w:rsidRPr="001455DC" w:rsidRDefault="004E22C1" w:rsidP="00B078F1">
            <w:pPr>
              <w:pStyle w:val="Tablebody"/>
              <w:keepNext/>
              <w:jc w:val="center"/>
              <w:rPr>
                <w:b/>
              </w:rPr>
            </w:pPr>
            <w:r w:rsidRPr="001455DC">
              <w:rPr>
                <w:b/>
              </w:rPr>
              <w:t>10</w:t>
            </w:r>
          </w:p>
        </w:tc>
        <w:tc>
          <w:tcPr>
            <w:tcW w:w="769" w:type="dxa"/>
            <w:vAlign w:val="center"/>
          </w:tcPr>
          <w:p w14:paraId="3A87A0B1" w14:textId="77777777" w:rsidR="004E22C1" w:rsidRPr="001455DC" w:rsidRDefault="004E22C1" w:rsidP="00B078F1">
            <w:pPr>
              <w:pStyle w:val="Tablebody"/>
              <w:keepNext/>
              <w:jc w:val="center"/>
            </w:pPr>
            <w:r w:rsidRPr="001455DC">
              <w:t>15</w:t>
            </w:r>
          </w:p>
        </w:tc>
        <w:tc>
          <w:tcPr>
            <w:tcW w:w="770" w:type="dxa"/>
            <w:vAlign w:val="center"/>
          </w:tcPr>
          <w:p w14:paraId="002C87B6" w14:textId="77777777" w:rsidR="004E22C1" w:rsidRPr="001455DC" w:rsidRDefault="004E22C1" w:rsidP="00B078F1">
            <w:pPr>
              <w:pStyle w:val="Tablebody"/>
              <w:keepNext/>
              <w:jc w:val="center"/>
              <w:rPr>
                <w:b/>
                <w:bCs/>
              </w:rPr>
            </w:pPr>
            <w:r w:rsidRPr="001455DC">
              <w:rPr>
                <w:b/>
                <w:bCs/>
              </w:rPr>
              <w:t>10</w:t>
            </w:r>
          </w:p>
        </w:tc>
        <w:tc>
          <w:tcPr>
            <w:tcW w:w="770" w:type="dxa"/>
            <w:vAlign w:val="center"/>
          </w:tcPr>
          <w:p w14:paraId="475F09B0" w14:textId="77777777" w:rsidR="004E22C1" w:rsidRPr="001455DC" w:rsidRDefault="004E22C1" w:rsidP="00B078F1">
            <w:pPr>
              <w:pStyle w:val="Tablebody"/>
              <w:keepNext/>
              <w:jc w:val="center"/>
            </w:pPr>
            <w:r w:rsidRPr="001455DC">
              <w:t>15</w:t>
            </w:r>
          </w:p>
        </w:tc>
        <w:tc>
          <w:tcPr>
            <w:tcW w:w="770" w:type="dxa"/>
            <w:vAlign w:val="center"/>
          </w:tcPr>
          <w:p w14:paraId="2403841A" w14:textId="77777777" w:rsidR="004E22C1" w:rsidRPr="001455DC" w:rsidRDefault="004E22C1" w:rsidP="00B078F1">
            <w:pPr>
              <w:pStyle w:val="Tablebody"/>
              <w:keepNext/>
              <w:jc w:val="center"/>
              <w:rPr>
                <w:b/>
                <w:bCs/>
              </w:rPr>
            </w:pPr>
            <w:r w:rsidRPr="001455DC">
              <w:rPr>
                <w:b/>
                <w:bCs/>
              </w:rPr>
              <w:t>15</w:t>
            </w:r>
          </w:p>
        </w:tc>
        <w:tc>
          <w:tcPr>
            <w:tcW w:w="770" w:type="dxa"/>
            <w:vAlign w:val="center"/>
          </w:tcPr>
          <w:p w14:paraId="35EF8F2B" w14:textId="77777777" w:rsidR="004E22C1" w:rsidRPr="001455DC" w:rsidRDefault="004E22C1" w:rsidP="00B078F1">
            <w:pPr>
              <w:pStyle w:val="Tablebody"/>
              <w:keepNext/>
              <w:jc w:val="center"/>
            </w:pPr>
            <w:r w:rsidRPr="001455DC">
              <w:t>25</w:t>
            </w:r>
          </w:p>
        </w:tc>
        <w:tc>
          <w:tcPr>
            <w:tcW w:w="770" w:type="dxa"/>
            <w:vAlign w:val="center"/>
          </w:tcPr>
          <w:p w14:paraId="42544787" w14:textId="77777777" w:rsidR="004E22C1" w:rsidRPr="001455DC" w:rsidRDefault="004E22C1" w:rsidP="00B078F1">
            <w:pPr>
              <w:pStyle w:val="Tablebody"/>
              <w:keepNext/>
              <w:jc w:val="center"/>
              <w:rPr>
                <w:b/>
                <w:bCs/>
              </w:rPr>
            </w:pPr>
            <w:r w:rsidRPr="001455DC">
              <w:rPr>
                <w:b/>
                <w:bCs/>
              </w:rPr>
              <w:t>15</w:t>
            </w:r>
          </w:p>
        </w:tc>
        <w:tc>
          <w:tcPr>
            <w:tcW w:w="770" w:type="dxa"/>
            <w:vAlign w:val="center"/>
          </w:tcPr>
          <w:p w14:paraId="3648D6E4" w14:textId="77777777" w:rsidR="004E22C1" w:rsidRPr="001455DC" w:rsidRDefault="004E22C1" w:rsidP="00B078F1">
            <w:pPr>
              <w:pStyle w:val="Tablebody"/>
              <w:keepNext/>
              <w:jc w:val="center"/>
            </w:pPr>
            <w:r w:rsidRPr="001455DC">
              <w:t>25</w:t>
            </w:r>
          </w:p>
        </w:tc>
      </w:tr>
      <w:tr w:rsidR="004E22C1" w:rsidRPr="001455DC" w14:paraId="61EAB704" w14:textId="77777777" w:rsidTr="00594617">
        <w:trPr>
          <w:cantSplit/>
        </w:trPr>
        <w:tc>
          <w:tcPr>
            <w:tcW w:w="1120" w:type="dxa"/>
            <w:vAlign w:val="center"/>
            <w:hideMark/>
          </w:tcPr>
          <w:p w14:paraId="04F28C72" w14:textId="77777777" w:rsidR="004E22C1" w:rsidRPr="001455DC" w:rsidRDefault="004E22C1" w:rsidP="00B078F1">
            <w:pPr>
              <w:pStyle w:val="Tablebody"/>
              <w:keepNext/>
              <w:jc w:val="left"/>
              <w:rPr>
                <w:b/>
                <w:bCs/>
              </w:rPr>
            </w:pPr>
            <w:r w:rsidRPr="001455DC">
              <w:rPr>
                <w:b/>
                <w:bCs/>
              </w:rPr>
              <w:t>XRC 3</w:t>
            </w:r>
          </w:p>
        </w:tc>
        <w:tc>
          <w:tcPr>
            <w:tcW w:w="769" w:type="dxa"/>
            <w:vAlign w:val="center"/>
          </w:tcPr>
          <w:p w14:paraId="680292AE" w14:textId="77777777" w:rsidR="004E22C1" w:rsidRPr="001455DC" w:rsidRDefault="004E22C1" w:rsidP="00B078F1">
            <w:pPr>
              <w:pStyle w:val="Tablebody"/>
              <w:keepNext/>
              <w:jc w:val="center"/>
              <w:rPr>
                <w:b/>
              </w:rPr>
            </w:pPr>
            <w:r w:rsidRPr="001455DC">
              <w:rPr>
                <w:b/>
              </w:rPr>
              <w:t>10</w:t>
            </w:r>
          </w:p>
        </w:tc>
        <w:tc>
          <w:tcPr>
            <w:tcW w:w="769" w:type="dxa"/>
            <w:vAlign w:val="center"/>
          </w:tcPr>
          <w:p w14:paraId="45C20FED" w14:textId="77777777" w:rsidR="004E22C1" w:rsidRPr="001455DC" w:rsidRDefault="004E22C1" w:rsidP="00B078F1">
            <w:pPr>
              <w:pStyle w:val="Tablebody"/>
              <w:keepNext/>
              <w:jc w:val="center"/>
            </w:pPr>
            <w:r w:rsidRPr="001455DC">
              <w:t>15</w:t>
            </w:r>
          </w:p>
        </w:tc>
        <w:tc>
          <w:tcPr>
            <w:tcW w:w="770" w:type="dxa"/>
            <w:vAlign w:val="center"/>
          </w:tcPr>
          <w:p w14:paraId="40E9D475" w14:textId="77777777" w:rsidR="004E22C1" w:rsidRPr="001455DC" w:rsidRDefault="004E22C1" w:rsidP="00B078F1">
            <w:pPr>
              <w:pStyle w:val="Tablebody"/>
              <w:keepNext/>
              <w:jc w:val="center"/>
              <w:rPr>
                <w:b/>
                <w:bCs/>
              </w:rPr>
            </w:pPr>
            <w:r w:rsidRPr="001455DC">
              <w:rPr>
                <w:b/>
                <w:bCs/>
              </w:rPr>
              <w:t>15</w:t>
            </w:r>
          </w:p>
        </w:tc>
        <w:tc>
          <w:tcPr>
            <w:tcW w:w="770" w:type="dxa"/>
            <w:vAlign w:val="center"/>
          </w:tcPr>
          <w:p w14:paraId="658872C7" w14:textId="77777777" w:rsidR="004E22C1" w:rsidRPr="001455DC" w:rsidRDefault="004E22C1" w:rsidP="00B078F1">
            <w:pPr>
              <w:pStyle w:val="Tablebody"/>
              <w:keepNext/>
              <w:jc w:val="center"/>
            </w:pPr>
            <w:r w:rsidRPr="001455DC">
              <w:t>20</w:t>
            </w:r>
          </w:p>
        </w:tc>
        <w:tc>
          <w:tcPr>
            <w:tcW w:w="770" w:type="dxa"/>
            <w:vAlign w:val="center"/>
          </w:tcPr>
          <w:p w14:paraId="3EA83A2C" w14:textId="77777777" w:rsidR="004E22C1" w:rsidRPr="001455DC" w:rsidRDefault="004E22C1" w:rsidP="00B078F1">
            <w:pPr>
              <w:pStyle w:val="Tablebody"/>
              <w:keepNext/>
              <w:jc w:val="center"/>
              <w:rPr>
                <w:b/>
                <w:bCs/>
              </w:rPr>
            </w:pPr>
            <w:r w:rsidRPr="001455DC">
              <w:rPr>
                <w:b/>
                <w:bCs/>
              </w:rPr>
              <w:t>20</w:t>
            </w:r>
          </w:p>
        </w:tc>
        <w:tc>
          <w:tcPr>
            <w:tcW w:w="770" w:type="dxa"/>
            <w:vAlign w:val="center"/>
          </w:tcPr>
          <w:p w14:paraId="56CC89D1" w14:textId="77777777" w:rsidR="004E22C1" w:rsidRPr="001455DC" w:rsidRDefault="004E22C1" w:rsidP="00B078F1">
            <w:pPr>
              <w:pStyle w:val="Tablebody"/>
              <w:keepNext/>
              <w:jc w:val="center"/>
            </w:pPr>
            <w:r w:rsidRPr="001455DC">
              <w:t>30</w:t>
            </w:r>
          </w:p>
        </w:tc>
        <w:tc>
          <w:tcPr>
            <w:tcW w:w="770" w:type="dxa"/>
            <w:vAlign w:val="center"/>
          </w:tcPr>
          <w:p w14:paraId="7FCFFCF9" w14:textId="77777777" w:rsidR="004E22C1" w:rsidRPr="001455DC" w:rsidRDefault="004E22C1" w:rsidP="00B078F1">
            <w:pPr>
              <w:pStyle w:val="Tablebody"/>
              <w:keepNext/>
              <w:jc w:val="center"/>
              <w:rPr>
                <w:b/>
                <w:bCs/>
              </w:rPr>
            </w:pPr>
            <w:r w:rsidRPr="001455DC">
              <w:rPr>
                <w:b/>
                <w:bCs/>
              </w:rPr>
              <w:t>20</w:t>
            </w:r>
          </w:p>
        </w:tc>
        <w:tc>
          <w:tcPr>
            <w:tcW w:w="770" w:type="dxa"/>
            <w:vAlign w:val="center"/>
          </w:tcPr>
          <w:p w14:paraId="6928EBCB" w14:textId="77777777" w:rsidR="004E22C1" w:rsidRPr="001455DC" w:rsidRDefault="004E22C1" w:rsidP="00B078F1">
            <w:pPr>
              <w:pStyle w:val="Tablebody"/>
              <w:keepNext/>
              <w:jc w:val="center"/>
            </w:pPr>
            <w:r w:rsidRPr="001455DC">
              <w:t>30</w:t>
            </w:r>
          </w:p>
        </w:tc>
      </w:tr>
      <w:tr w:rsidR="004E22C1" w:rsidRPr="001455DC" w14:paraId="26E8F8C7" w14:textId="77777777" w:rsidTr="00594617">
        <w:trPr>
          <w:cantSplit/>
        </w:trPr>
        <w:tc>
          <w:tcPr>
            <w:tcW w:w="1120" w:type="dxa"/>
            <w:vAlign w:val="center"/>
            <w:hideMark/>
          </w:tcPr>
          <w:p w14:paraId="047C005B" w14:textId="77777777" w:rsidR="004E22C1" w:rsidRPr="001455DC" w:rsidRDefault="004E22C1" w:rsidP="00B078F1">
            <w:pPr>
              <w:pStyle w:val="Tablebody"/>
              <w:keepNext/>
              <w:jc w:val="left"/>
              <w:rPr>
                <w:b/>
                <w:bCs/>
              </w:rPr>
            </w:pPr>
            <w:r w:rsidRPr="001455DC">
              <w:rPr>
                <w:b/>
                <w:bCs/>
              </w:rPr>
              <w:t>XRC 4</w:t>
            </w:r>
          </w:p>
        </w:tc>
        <w:tc>
          <w:tcPr>
            <w:tcW w:w="769" w:type="dxa"/>
            <w:vAlign w:val="center"/>
          </w:tcPr>
          <w:p w14:paraId="242645C1" w14:textId="77777777" w:rsidR="004E22C1" w:rsidRPr="001455DC" w:rsidRDefault="004E22C1" w:rsidP="00B078F1">
            <w:pPr>
              <w:pStyle w:val="Tablebody"/>
              <w:keepNext/>
              <w:jc w:val="center"/>
              <w:rPr>
                <w:b/>
              </w:rPr>
            </w:pPr>
            <w:r w:rsidRPr="001455DC">
              <w:rPr>
                <w:b/>
              </w:rPr>
              <w:t>10</w:t>
            </w:r>
          </w:p>
        </w:tc>
        <w:tc>
          <w:tcPr>
            <w:tcW w:w="769" w:type="dxa"/>
            <w:vAlign w:val="center"/>
          </w:tcPr>
          <w:p w14:paraId="6B4EB468" w14:textId="77777777" w:rsidR="004E22C1" w:rsidRPr="001455DC" w:rsidRDefault="004E22C1" w:rsidP="00B078F1">
            <w:pPr>
              <w:pStyle w:val="Tablebody"/>
              <w:keepNext/>
              <w:jc w:val="center"/>
            </w:pPr>
            <w:r w:rsidRPr="001455DC">
              <w:t>20</w:t>
            </w:r>
          </w:p>
        </w:tc>
        <w:tc>
          <w:tcPr>
            <w:tcW w:w="770" w:type="dxa"/>
            <w:vAlign w:val="center"/>
          </w:tcPr>
          <w:p w14:paraId="456BFBEF" w14:textId="77777777" w:rsidR="004E22C1" w:rsidRPr="001455DC" w:rsidRDefault="004E22C1" w:rsidP="00B078F1">
            <w:pPr>
              <w:pStyle w:val="Tablebody"/>
              <w:keepNext/>
              <w:jc w:val="center"/>
              <w:rPr>
                <w:b/>
                <w:bCs/>
              </w:rPr>
            </w:pPr>
            <w:r w:rsidRPr="001455DC">
              <w:rPr>
                <w:b/>
                <w:bCs/>
              </w:rPr>
              <w:t>15</w:t>
            </w:r>
          </w:p>
        </w:tc>
        <w:tc>
          <w:tcPr>
            <w:tcW w:w="770" w:type="dxa"/>
            <w:vAlign w:val="center"/>
          </w:tcPr>
          <w:p w14:paraId="5AACC6EE" w14:textId="77777777" w:rsidR="004E22C1" w:rsidRPr="001455DC" w:rsidRDefault="004E22C1" w:rsidP="00B078F1">
            <w:pPr>
              <w:pStyle w:val="Tablebody"/>
              <w:keepNext/>
              <w:jc w:val="center"/>
            </w:pPr>
            <w:r w:rsidRPr="001455DC">
              <w:t>25</w:t>
            </w:r>
          </w:p>
        </w:tc>
        <w:tc>
          <w:tcPr>
            <w:tcW w:w="770" w:type="dxa"/>
            <w:vAlign w:val="center"/>
          </w:tcPr>
          <w:p w14:paraId="315880C3" w14:textId="77777777" w:rsidR="004E22C1" w:rsidRPr="001455DC" w:rsidRDefault="004E22C1" w:rsidP="00B078F1">
            <w:pPr>
              <w:pStyle w:val="Tablebody"/>
              <w:keepNext/>
              <w:jc w:val="center"/>
              <w:rPr>
                <w:b/>
                <w:bCs/>
              </w:rPr>
            </w:pPr>
            <w:r w:rsidRPr="001455DC">
              <w:rPr>
                <w:b/>
                <w:bCs/>
              </w:rPr>
              <w:t>25</w:t>
            </w:r>
          </w:p>
        </w:tc>
        <w:tc>
          <w:tcPr>
            <w:tcW w:w="770" w:type="dxa"/>
            <w:vAlign w:val="center"/>
          </w:tcPr>
          <w:p w14:paraId="2B508CB0" w14:textId="77777777" w:rsidR="004E22C1" w:rsidRPr="001455DC" w:rsidRDefault="004E22C1" w:rsidP="00B078F1">
            <w:pPr>
              <w:pStyle w:val="Tablebody"/>
              <w:keepNext/>
              <w:jc w:val="center"/>
            </w:pPr>
            <w:r w:rsidRPr="001455DC">
              <w:t>35</w:t>
            </w:r>
          </w:p>
        </w:tc>
        <w:tc>
          <w:tcPr>
            <w:tcW w:w="770" w:type="dxa"/>
            <w:vAlign w:val="center"/>
          </w:tcPr>
          <w:p w14:paraId="4C31F93A" w14:textId="77777777" w:rsidR="004E22C1" w:rsidRPr="001455DC" w:rsidRDefault="004E22C1" w:rsidP="00B078F1">
            <w:pPr>
              <w:pStyle w:val="Tablebody"/>
              <w:keepNext/>
              <w:jc w:val="center"/>
              <w:rPr>
                <w:b/>
                <w:bCs/>
              </w:rPr>
            </w:pPr>
            <w:r w:rsidRPr="001455DC">
              <w:rPr>
                <w:b/>
                <w:bCs/>
              </w:rPr>
              <w:t>25</w:t>
            </w:r>
          </w:p>
        </w:tc>
        <w:tc>
          <w:tcPr>
            <w:tcW w:w="770" w:type="dxa"/>
            <w:vAlign w:val="center"/>
          </w:tcPr>
          <w:p w14:paraId="3433163D" w14:textId="77777777" w:rsidR="004E22C1" w:rsidRPr="001455DC" w:rsidRDefault="004E22C1" w:rsidP="00B078F1">
            <w:pPr>
              <w:pStyle w:val="Tablebody"/>
              <w:keepNext/>
              <w:jc w:val="center"/>
            </w:pPr>
            <w:r w:rsidRPr="001455DC">
              <w:t>40</w:t>
            </w:r>
          </w:p>
        </w:tc>
      </w:tr>
      <w:tr w:rsidR="004E22C1" w:rsidRPr="001455DC" w14:paraId="03C6B3A7" w14:textId="77777777" w:rsidTr="00594617">
        <w:trPr>
          <w:cantSplit/>
        </w:trPr>
        <w:tc>
          <w:tcPr>
            <w:tcW w:w="1120" w:type="dxa"/>
            <w:vAlign w:val="center"/>
            <w:hideMark/>
          </w:tcPr>
          <w:p w14:paraId="529CC33B" w14:textId="77777777" w:rsidR="004E22C1" w:rsidRPr="001455DC" w:rsidRDefault="004E22C1" w:rsidP="00B078F1">
            <w:pPr>
              <w:pStyle w:val="Tablebody"/>
              <w:keepNext/>
              <w:jc w:val="left"/>
              <w:rPr>
                <w:b/>
                <w:bCs/>
              </w:rPr>
            </w:pPr>
            <w:r w:rsidRPr="001455DC">
              <w:rPr>
                <w:b/>
                <w:bCs/>
              </w:rPr>
              <w:t>XRC 5</w:t>
            </w:r>
          </w:p>
        </w:tc>
        <w:tc>
          <w:tcPr>
            <w:tcW w:w="769" w:type="dxa"/>
            <w:vAlign w:val="center"/>
          </w:tcPr>
          <w:p w14:paraId="62FA9F93" w14:textId="77777777" w:rsidR="004E22C1" w:rsidRPr="001455DC" w:rsidRDefault="004E22C1" w:rsidP="00B078F1">
            <w:pPr>
              <w:pStyle w:val="Tablebody"/>
              <w:keepNext/>
              <w:jc w:val="center"/>
              <w:rPr>
                <w:b/>
              </w:rPr>
            </w:pPr>
            <w:r w:rsidRPr="001455DC">
              <w:rPr>
                <w:b/>
              </w:rPr>
              <w:t>15</w:t>
            </w:r>
          </w:p>
        </w:tc>
        <w:tc>
          <w:tcPr>
            <w:tcW w:w="769" w:type="dxa"/>
            <w:vAlign w:val="center"/>
          </w:tcPr>
          <w:p w14:paraId="43C8AEE2" w14:textId="77777777" w:rsidR="004E22C1" w:rsidRPr="001455DC" w:rsidRDefault="004E22C1" w:rsidP="00B078F1">
            <w:pPr>
              <w:pStyle w:val="Tablebody"/>
              <w:keepNext/>
              <w:jc w:val="center"/>
            </w:pPr>
            <w:r w:rsidRPr="001455DC">
              <w:t>25</w:t>
            </w:r>
          </w:p>
        </w:tc>
        <w:tc>
          <w:tcPr>
            <w:tcW w:w="770" w:type="dxa"/>
            <w:vAlign w:val="center"/>
          </w:tcPr>
          <w:p w14:paraId="04E9DDD6" w14:textId="77777777" w:rsidR="004E22C1" w:rsidRPr="001455DC" w:rsidRDefault="004E22C1" w:rsidP="00B078F1">
            <w:pPr>
              <w:pStyle w:val="Tablebody"/>
              <w:keepNext/>
              <w:jc w:val="center"/>
              <w:rPr>
                <w:b/>
                <w:bCs/>
              </w:rPr>
            </w:pPr>
            <w:r w:rsidRPr="001455DC">
              <w:rPr>
                <w:b/>
                <w:bCs/>
              </w:rPr>
              <w:t>20</w:t>
            </w:r>
          </w:p>
        </w:tc>
        <w:tc>
          <w:tcPr>
            <w:tcW w:w="770" w:type="dxa"/>
            <w:vAlign w:val="center"/>
          </w:tcPr>
          <w:p w14:paraId="1AF00408" w14:textId="77777777" w:rsidR="004E22C1" w:rsidRPr="001455DC" w:rsidRDefault="004E22C1" w:rsidP="00B078F1">
            <w:pPr>
              <w:pStyle w:val="Tablebody"/>
              <w:keepNext/>
              <w:jc w:val="center"/>
            </w:pPr>
            <w:r w:rsidRPr="001455DC">
              <w:t>30</w:t>
            </w:r>
          </w:p>
        </w:tc>
        <w:tc>
          <w:tcPr>
            <w:tcW w:w="770" w:type="dxa"/>
            <w:vAlign w:val="center"/>
          </w:tcPr>
          <w:p w14:paraId="04D75D9C" w14:textId="77777777" w:rsidR="004E22C1" w:rsidRPr="001455DC" w:rsidRDefault="004E22C1" w:rsidP="00B078F1">
            <w:pPr>
              <w:pStyle w:val="Tablebody"/>
              <w:keepNext/>
              <w:jc w:val="center"/>
              <w:rPr>
                <w:b/>
                <w:bCs/>
              </w:rPr>
            </w:pPr>
            <w:r w:rsidRPr="001455DC">
              <w:rPr>
                <w:b/>
                <w:bCs/>
              </w:rPr>
              <w:t>25</w:t>
            </w:r>
          </w:p>
        </w:tc>
        <w:tc>
          <w:tcPr>
            <w:tcW w:w="770" w:type="dxa"/>
            <w:vAlign w:val="center"/>
          </w:tcPr>
          <w:p w14:paraId="552ECDB6" w14:textId="77777777" w:rsidR="004E22C1" w:rsidRPr="009D3012" w:rsidRDefault="004E22C1" w:rsidP="00B078F1">
            <w:pPr>
              <w:pStyle w:val="Tablebody"/>
              <w:keepNext/>
              <w:jc w:val="center"/>
              <w:rPr>
                <w:rStyle w:val="CCMCvariableitalic"/>
              </w:rPr>
            </w:pPr>
            <w:r w:rsidRPr="009D3012">
              <w:t>45</w:t>
            </w:r>
          </w:p>
        </w:tc>
        <w:tc>
          <w:tcPr>
            <w:tcW w:w="770" w:type="dxa"/>
            <w:vAlign w:val="center"/>
          </w:tcPr>
          <w:p w14:paraId="7F96A71D" w14:textId="77777777" w:rsidR="004E22C1" w:rsidRPr="001455DC" w:rsidRDefault="004E22C1" w:rsidP="00B078F1">
            <w:pPr>
              <w:pStyle w:val="Tablebody"/>
              <w:keepNext/>
              <w:jc w:val="center"/>
              <w:rPr>
                <w:b/>
                <w:bCs/>
              </w:rPr>
            </w:pPr>
            <w:r w:rsidRPr="001455DC">
              <w:rPr>
                <w:b/>
                <w:bCs/>
              </w:rPr>
              <w:t>30</w:t>
            </w:r>
          </w:p>
        </w:tc>
        <w:tc>
          <w:tcPr>
            <w:tcW w:w="770" w:type="dxa"/>
            <w:vAlign w:val="center"/>
          </w:tcPr>
          <w:p w14:paraId="5196083B" w14:textId="77777777" w:rsidR="004E22C1" w:rsidRPr="009D3012" w:rsidRDefault="004E22C1" w:rsidP="00B078F1">
            <w:pPr>
              <w:pStyle w:val="Tablebody"/>
              <w:keepNext/>
              <w:jc w:val="center"/>
              <w:rPr>
                <w:rStyle w:val="CCMCvariableitalic"/>
              </w:rPr>
            </w:pPr>
            <w:r w:rsidRPr="009D3012">
              <w:t>45</w:t>
            </w:r>
          </w:p>
        </w:tc>
      </w:tr>
      <w:tr w:rsidR="004E22C1" w:rsidRPr="001455DC" w14:paraId="29CFA9A2" w14:textId="77777777" w:rsidTr="00594617">
        <w:trPr>
          <w:cantSplit/>
        </w:trPr>
        <w:tc>
          <w:tcPr>
            <w:tcW w:w="1120" w:type="dxa"/>
            <w:vAlign w:val="center"/>
          </w:tcPr>
          <w:p w14:paraId="78E6B693" w14:textId="77777777" w:rsidR="004E22C1" w:rsidRPr="001455DC" w:rsidRDefault="004E22C1" w:rsidP="00B078F1">
            <w:pPr>
              <w:pStyle w:val="Tablebody"/>
              <w:keepNext/>
              <w:jc w:val="left"/>
              <w:rPr>
                <w:b/>
                <w:bCs/>
              </w:rPr>
            </w:pPr>
            <w:r w:rsidRPr="001455DC">
              <w:rPr>
                <w:b/>
                <w:bCs/>
              </w:rPr>
              <w:t>XRC 6</w:t>
            </w:r>
          </w:p>
        </w:tc>
        <w:tc>
          <w:tcPr>
            <w:tcW w:w="769" w:type="dxa"/>
            <w:vAlign w:val="center"/>
          </w:tcPr>
          <w:p w14:paraId="45F72C59" w14:textId="77777777" w:rsidR="004E22C1" w:rsidRPr="001455DC" w:rsidRDefault="004E22C1" w:rsidP="00B078F1">
            <w:pPr>
              <w:pStyle w:val="Tablebody"/>
              <w:keepNext/>
              <w:jc w:val="center"/>
              <w:rPr>
                <w:b/>
              </w:rPr>
            </w:pPr>
            <w:r w:rsidRPr="001455DC">
              <w:rPr>
                <w:b/>
              </w:rPr>
              <w:t>15</w:t>
            </w:r>
          </w:p>
        </w:tc>
        <w:tc>
          <w:tcPr>
            <w:tcW w:w="769" w:type="dxa"/>
            <w:vAlign w:val="center"/>
          </w:tcPr>
          <w:p w14:paraId="366D316B" w14:textId="77777777" w:rsidR="004E22C1" w:rsidRPr="001455DC" w:rsidRDefault="004E22C1" w:rsidP="00B078F1">
            <w:pPr>
              <w:pStyle w:val="Tablebody"/>
              <w:keepNext/>
              <w:jc w:val="center"/>
            </w:pPr>
            <w:r w:rsidRPr="001455DC">
              <w:t>25</w:t>
            </w:r>
          </w:p>
        </w:tc>
        <w:tc>
          <w:tcPr>
            <w:tcW w:w="770" w:type="dxa"/>
            <w:vAlign w:val="center"/>
          </w:tcPr>
          <w:p w14:paraId="160D9C9B" w14:textId="77777777" w:rsidR="004E22C1" w:rsidRPr="001455DC" w:rsidRDefault="004E22C1" w:rsidP="00B078F1">
            <w:pPr>
              <w:pStyle w:val="Tablebody"/>
              <w:keepNext/>
              <w:jc w:val="center"/>
              <w:rPr>
                <w:b/>
                <w:bCs/>
              </w:rPr>
            </w:pPr>
            <w:r w:rsidRPr="001455DC">
              <w:rPr>
                <w:b/>
                <w:bCs/>
              </w:rPr>
              <w:t>25</w:t>
            </w:r>
          </w:p>
        </w:tc>
        <w:tc>
          <w:tcPr>
            <w:tcW w:w="770" w:type="dxa"/>
            <w:vAlign w:val="center"/>
          </w:tcPr>
          <w:p w14:paraId="233DABC5" w14:textId="77777777" w:rsidR="004E22C1" w:rsidRPr="001455DC" w:rsidRDefault="004E22C1" w:rsidP="00B078F1">
            <w:pPr>
              <w:pStyle w:val="Tablebody"/>
              <w:keepNext/>
              <w:jc w:val="center"/>
            </w:pPr>
            <w:r w:rsidRPr="001455DC">
              <w:t>35</w:t>
            </w:r>
          </w:p>
        </w:tc>
        <w:tc>
          <w:tcPr>
            <w:tcW w:w="770" w:type="dxa"/>
            <w:vAlign w:val="center"/>
          </w:tcPr>
          <w:p w14:paraId="0FF366A8" w14:textId="77777777" w:rsidR="004E22C1" w:rsidRPr="001455DC" w:rsidRDefault="004E22C1" w:rsidP="00B078F1">
            <w:pPr>
              <w:pStyle w:val="Tablebody"/>
              <w:keepNext/>
              <w:jc w:val="center"/>
              <w:rPr>
                <w:b/>
                <w:bCs/>
              </w:rPr>
            </w:pPr>
            <w:r w:rsidRPr="001455DC">
              <w:rPr>
                <w:b/>
                <w:bCs/>
              </w:rPr>
              <w:t>35</w:t>
            </w:r>
          </w:p>
        </w:tc>
        <w:tc>
          <w:tcPr>
            <w:tcW w:w="770" w:type="dxa"/>
            <w:vAlign w:val="center"/>
          </w:tcPr>
          <w:p w14:paraId="07B5F674" w14:textId="77777777" w:rsidR="004E22C1" w:rsidRPr="001455DC" w:rsidRDefault="004E22C1" w:rsidP="00B078F1">
            <w:pPr>
              <w:pStyle w:val="Tablebody"/>
              <w:keepNext/>
              <w:jc w:val="center"/>
            </w:pPr>
            <w:r w:rsidRPr="001455DC">
              <w:t>55</w:t>
            </w:r>
          </w:p>
        </w:tc>
        <w:tc>
          <w:tcPr>
            <w:tcW w:w="770" w:type="dxa"/>
            <w:vAlign w:val="center"/>
          </w:tcPr>
          <w:p w14:paraId="6ABC7530" w14:textId="77777777" w:rsidR="004E22C1" w:rsidRPr="001455DC" w:rsidRDefault="004E22C1" w:rsidP="00B078F1">
            <w:pPr>
              <w:pStyle w:val="Tablebody"/>
              <w:keepNext/>
              <w:jc w:val="center"/>
              <w:rPr>
                <w:b/>
                <w:bCs/>
              </w:rPr>
            </w:pPr>
            <w:r w:rsidRPr="001455DC">
              <w:rPr>
                <w:b/>
                <w:bCs/>
              </w:rPr>
              <w:t>40</w:t>
            </w:r>
          </w:p>
        </w:tc>
        <w:tc>
          <w:tcPr>
            <w:tcW w:w="770" w:type="dxa"/>
            <w:vAlign w:val="center"/>
          </w:tcPr>
          <w:p w14:paraId="5AE8A35A" w14:textId="77777777" w:rsidR="004E22C1" w:rsidRPr="001455DC" w:rsidRDefault="004E22C1" w:rsidP="00B078F1">
            <w:pPr>
              <w:pStyle w:val="Tablebody"/>
              <w:keepNext/>
              <w:jc w:val="center"/>
            </w:pPr>
            <w:r w:rsidRPr="001455DC">
              <w:t>55</w:t>
            </w:r>
          </w:p>
        </w:tc>
      </w:tr>
      <w:tr w:rsidR="004E22C1" w:rsidRPr="001455DC" w14:paraId="6AB28412" w14:textId="77777777" w:rsidTr="00594617">
        <w:trPr>
          <w:cantSplit/>
        </w:trPr>
        <w:tc>
          <w:tcPr>
            <w:tcW w:w="1120" w:type="dxa"/>
            <w:vAlign w:val="center"/>
            <w:hideMark/>
          </w:tcPr>
          <w:p w14:paraId="1EAB81F2" w14:textId="77777777" w:rsidR="004E22C1" w:rsidRPr="001455DC" w:rsidRDefault="004E22C1" w:rsidP="00B078F1">
            <w:pPr>
              <w:pStyle w:val="Tablebody"/>
              <w:keepNext/>
              <w:jc w:val="left"/>
              <w:rPr>
                <w:b/>
                <w:bCs/>
              </w:rPr>
            </w:pPr>
            <w:r w:rsidRPr="001455DC">
              <w:rPr>
                <w:b/>
                <w:bCs/>
              </w:rPr>
              <w:t>XRC 7</w:t>
            </w:r>
          </w:p>
        </w:tc>
        <w:tc>
          <w:tcPr>
            <w:tcW w:w="769" w:type="dxa"/>
            <w:vAlign w:val="center"/>
          </w:tcPr>
          <w:p w14:paraId="34A4EF71" w14:textId="77777777" w:rsidR="004E22C1" w:rsidRPr="001455DC" w:rsidRDefault="004E22C1" w:rsidP="00B078F1">
            <w:pPr>
              <w:pStyle w:val="Tablebody"/>
              <w:keepNext/>
              <w:jc w:val="center"/>
              <w:rPr>
                <w:b/>
              </w:rPr>
            </w:pPr>
            <w:r w:rsidRPr="001455DC">
              <w:rPr>
                <w:b/>
              </w:rPr>
              <w:t>15</w:t>
            </w:r>
          </w:p>
        </w:tc>
        <w:tc>
          <w:tcPr>
            <w:tcW w:w="769" w:type="dxa"/>
            <w:vAlign w:val="center"/>
          </w:tcPr>
          <w:p w14:paraId="36828350" w14:textId="77777777" w:rsidR="004E22C1" w:rsidRPr="009D3012" w:rsidRDefault="004E22C1" w:rsidP="00B078F1">
            <w:pPr>
              <w:pStyle w:val="Tablebody"/>
              <w:keepNext/>
              <w:jc w:val="center"/>
              <w:rPr>
                <w:rStyle w:val="CCMCvariableitalic"/>
              </w:rPr>
            </w:pPr>
            <w:r w:rsidRPr="009D3012">
              <w:t>30</w:t>
            </w:r>
          </w:p>
        </w:tc>
        <w:tc>
          <w:tcPr>
            <w:tcW w:w="770" w:type="dxa"/>
            <w:vAlign w:val="center"/>
          </w:tcPr>
          <w:p w14:paraId="47F475EB" w14:textId="77777777" w:rsidR="004E22C1" w:rsidRPr="001455DC" w:rsidRDefault="004E22C1" w:rsidP="00B078F1">
            <w:pPr>
              <w:pStyle w:val="Tablebody"/>
              <w:keepNext/>
              <w:jc w:val="center"/>
              <w:rPr>
                <w:b/>
                <w:bCs/>
              </w:rPr>
            </w:pPr>
            <w:r w:rsidRPr="001455DC">
              <w:rPr>
                <w:b/>
                <w:bCs/>
              </w:rPr>
              <w:t>25</w:t>
            </w:r>
          </w:p>
        </w:tc>
        <w:tc>
          <w:tcPr>
            <w:tcW w:w="770" w:type="dxa"/>
            <w:vAlign w:val="center"/>
          </w:tcPr>
          <w:p w14:paraId="085C9AC1" w14:textId="77777777" w:rsidR="004E22C1" w:rsidRPr="009D3012" w:rsidRDefault="004E22C1" w:rsidP="00B078F1">
            <w:pPr>
              <w:pStyle w:val="Tablebody"/>
              <w:keepNext/>
              <w:jc w:val="center"/>
              <w:rPr>
                <w:rStyle w:val="CCMCvariableitalic"/>
              </w:rPr>
            </w:pPr>
            <w:r w:rsidRPr="009D3012">
              <w:t>40</w:t>
            </w:r>
          </w:p>
        </w:tc>
        <w:tc>
          <w:tcPr>
            <w:tcW w:w="770" w:type="dxa"/>
            <w:vAlign w:val="center"/>
          </w:tcPr>
          <w:p w14:paraId="63A9A48B" w14:textId="77777777" w:rsidR="004E22C1" w:rsidRPr="009D3012" w:rsidRDefault="004E22C1" w:rsidP="00B078F1">
            <w:pPr>
              <w:pStyle w:val="Tablebody"/>
              <w:keepNext/>
              <w:jc w:val="center"/>
              <w:rPr>
                <w:rStyle w:val="CCMCvariableitalic"/>
                <w:b/>
                <w:bCs/>
              </w:rPr>
            </w:pPr>
            <w:r w:rsidRPr="009D3012">
              <w:rPr>
                <w:b/>
                <w:bCs/>
              </w:rPr>
              <w:t>40</w:t>
            </w:r>
          </w:p>
        </w:tc>
        <w:tc>
          <w:tcPr>
            <w:tcW w:w="770" w:type="dxa"/>
            <w:vAlign w:val="center"/>
          </w:tcPr>
          <w:p w14:paraId="7E1A5ECE" w14:textId="77777777" w:rsidR="004E22C1" w:rsidRPr="009D3012" w:rsidRDefault="004E22C1" w:rsidP="00B078F1">
            <w:pPr>
              <w:pStyle w:val="Tablebody"/>
              <w:keepNext/>
              <w:jc w:val="center"/>
              <w:rPr>
                <w:rStyle w:val="CCMCvariableitalic"/>
              </w:rPr>
            </w:pPr>
            <w:r w:rsidRPr="009D3012">
              <w:t>60</w:t>
            </w:r>
          </w:p>
        </w:tc>
        <w:tc>
          <w:tcPr>
            <w:tcW w:w="770" w:type="dxa"/>
            <w:vAlign w:val="center"/>
          </w:tcPr>
          <w:p w14:paraId="54B3FDC5" w14:textId="77777777" w:rsidR="004E22C1" w:rsidRPr="009D3012" w:rsidRDefault="004E22C1" w:rsidP="00B078F1">
            <w:pPr>
              <w:pStyle w:val="Tablebody"/>
              <w:keepNext/>
              <w:jc w:val="center"/>
              <w:rPr>
                <w:rStyle w:val="CCMCvariableitalic"/>
                <w:b/>
                <w:bCs/>
              </w:rPr>
            </w:pPr>
            <w:r w:rsidRPr="009D3012">
              <w:rPr>
                <w:b/>
                <w:bCs/>
              </w:rPr>
              <w:t>45</w:t>
            </w:r>
          </w:p>
        </w:tc>
        <w:tc>
          <w:tcPr>
            <w:tcW w:w="770" w:type="dxa"/>
            <w:vAlign w:val="center"/>
          </w:tcPr>
          <w:p w14:paraId="181B4F00" w14:textId="77777777" w:rsidR="004E22C1" w:rsidRPr="009D3012" w:rsidRDefault="004E22C1" w:rsidP="00B078F1">
            <w:pPr>
              <w:pStyle w:val="Tablebody"/>
              <w:keepNext/>
              <w:jc w:val="center"/>
              <w:rPr>
                <w:rStyle w:val="CCMCvariableitalic"/>
              </w:rPr>
            </w:pPr>
            <w:r w:rsidRPr="009D3012">
              <w:t>60</w:t>
            </w:r>
          </w:p>
        </w:tc>
      </w:tr>
      <w:tr w:rsidR="004E22C1" w:rsidRPr="001455DC" w14:paraId="7E7BA7FE" w14:textId="77777777" w:rsidTr="00594617">
        <w:trPr>
          <w:cnfStyle w:val="010000000000" w:firstRow="0" w:lastRow="1" w:firstColumn="0" w:lastColumn="0" w:oddVBand="0" w:evenVBand="0" w:oddHBand="0" w:evenHBand="0" w:firstRowFirstColumn="0" w:firstRowLastColumn="0" w:lastRowFirstColumn="0" w:lastRowLastColumn="0"/>
          <w:cantSplit/>
        </w:trPr>
        <w:tc>
          <w:tcPr>
            <w:tcW w:w="7278" w:type="dxa"/>
            <w:gridSpan w:val="9"/>
          </w:tcPr>
          <w:p w14:paraId="5D8194E8" w14:textId="77777777" w:rsidR="004E22C1" w:rsidRPr="009D3012" w:rsidRDefault="004E22C1" w:rsidP="00B078F1">
            <w:pPr>
              <w:pStyle w:val="Tablefooternote"/>
              <w:tabs>
                <w:tab w:val="clear" w:pos="680"/>
                <w:tab w:val="left" w:pos="851"/>
              </w:tabs>
              <w:rPr>
                <w:lang w:val="en-US"/>
              </w:rPr>
            </w:pPr>
            <w:r w:rsidRPr="009D3012">
              <w:rPr>
                <w:lang w:val="en-US"/>
              </w:rPr>
              <w:t>NOTE 1</w:t>
            </w:r>
            <w:r w:rsidRPr="009D3012">
              <w:rPr>
                <w:lang w:val="en-US"/>
              </w:rPr>
              <w:tab/>
              <w:t>The designation of XRC classes for resistance against corrosion induced by carbonation is derived from the carbonation depth [mm] (characteristic value 90 % fractile) assumed to be obtained after 50 years under reference conditions (400 ppm CO</w:t>
            </w:r>
            <w:r w:rsidRPr="009D3012">
              <w:rPr>
                <w:rStyle w:val="CCMCvariablesubscript"/>
                <w:lang w:val="en-US"/>
              </w:rPr>
              <w:t>2</w:t>
            </w:r>
            <w:r w:rsidRPr="009D3012">
              <w:rPr>
                <w:lang w:val="en-US"/>
              </w:rPr>
              <w:t xml:space="preserve"> in a constant 65 %-</w:t>
            </w:r>
            <w:r w:rsidRPr="009D3012">
              <w:rPr>
                <w:rStyle w:val="CCMCvariableitalic"/>
                <w:lang w:val="en-US"/>
              </w:rPr>
              <w:t>RH</w:t>
            </w:r>
            <w:r w:rsidRPr="009D3012">
              <w:rPr>
                <w:lang w:val="en-US"/>
              </w:rPr>
              <w:t xml:space="preserve"> environment and at 20 °C). XRC has the dimension of a carbonation rate [mm/</w:t>
            </w:r>
            <w:r w:rsidRPr="009D3012">
              <w:rPr>
                <w:rFonts w:ascii="Cambria Math" w:hAnsi="Cambria Math" w:cs="Cambria Math" w:hint="eastAsia"/>
                <w:lang w:val="en-US"/>
              </w:rPr>
              <w:t>√</w:t>
            </w:r>
            <w:r w:rsidRPr="009D3012">
              <w:rPr>
                <w:lang w:val="en-US"/>
              </w:rPr>
              <w:t>(years)].</w:t>
            </w:r>
          </w:p>
          <w:p w14:paraId="4F3A7779" w14:textId="77777777" w:rsidR="004E22C1" w:rsidRPr="009D3012" w:rsidRDefault="004E22C1" w:rsidP="00B078F1">
            <w:pPr>
              <w:pStyle w:val="Tablefooternote"/>
              <w:tabs>
                <w:tab w:val="clear" w:pos="680"/>
                <w:tab w:val="left" w:pos="851"/>
              </w:tabs>
              <w:rPr>
                <w:lang w:val="en-US"/>
              </w:rPr>
            </w:pPr>
            <w:r w:rsidRPr="009D3012">
              <w:rPr>
                <w:lang w:val="en-US"/>
              </w:rPr>
              <w:t>NOTE 2</w:t>
            </w:r>
            <w:r w:rsidRPr="009D3012">
              <w:rPr>
                <w:lang w:val="en-US"/>
              </w:rPr>
              <w:tab/>
              <w:t xml:space="preserve">The recommended minimum concrete cover values </w:t>
            </w:r>
            <w:r w:rsidRPr="009D3012">
              <w:rPr>
                <w:rStyle w:val="CCMCvariableitalic"/>
                <w:lang w:val="en-US"/>
              </w:rPr>
              <w:t>c</w:t>
            </w:r>
            <w:r w:rsidRPr="009D3012">
              <w:rPr>
                <w:rStyle w:val="CCMCvariablesubscript"/>
                <w:lang w:val="en-US"/>
              </w:rPr>
              <w:t>min,dur</w:t>
            </w:r>
            <w:r w:rsidRPr="009D3012">
              <w:rPr>
                <w:lang w:val="en-US"/>
              </w:rPr>
              <w:t xml:space="preserve"> assume execution and curing according to EN 13670 with at least Execution Class 2 and Curing Class 2.</w:t>
            </w:r>
          </w:p>
          <w:p w14:paraId="39A15D0E" w14:textId="27F5EC57" w:rsidR="004E22C1" w:rsidRPr="009D3012" w:rsidRDefault="004E22C1" w:rsidP="00B078F1">
            <w:pPr>
              <w:pStyle w:val="Tablefooternote"/>
              <w:tabs>
                <w:tab w:val="clear" w:pos="680"/>
                <w:tab w:val="left" w:pos="851"/>
              </w:tabs>
              <w:rPr>
                <w:lang w:val="en-US"/>
              </w:rPr>
            </w:pPr>
            <w:r w:rsidRPr="009D3012">
              <w:rPr>
                <w:lang w:val="en-US"/>
              </w:rPr>
              <w:t>NOTE 3</w:t>
            </w:r>
            <w:r w:rsidRPr="009D3012">
              <w:rPr>
                <w:lang w:val="en-US"/>
              </w:rPr>
              <w:tab/>
              <w:t>The minimum covers can be increased by an additional safety element ∆</w:t>
            </w:r>
            <w:r w:rsidRPr="009D3012">
              <w:rPr>
                <w:rStyle w:val="CCMCvariableitalic"/>
                <w:lang w:val="en-US"/>
              </w:rPr>
              <w:t>c</w:t>
            </w:r>
            <w:r w:rsidRPr="009D3012">
              <w:rPr>
                <w:rStyle w:val="CCMCvariablesubscript"/>
                <w:lang w:val="en-US"/>
              </w:rPr>
              <w:t>dur,</w:t>
            </w:r>
            <w:r w:rsidRPr="001455DC">
              <w:rPr>
                <w:rStyle w:val="CCMCvariablesubscript"/>
              </w:rPr>
              <w:t>γ</w:t>
            </w:r>
            <w:r w:rsidRPr="009D3012">
              <w:rPr>
                <w:lang w:val="en-US"/>
              </w:rPr>
              <w:t xml:space="preserve"> considering special requirements (e.g. more extreme environmental conditions).</w:t>
            </w:r>
          </w:p>
        </w:tc>
      </w:tr>
    </w:tbl>
    <w:p w14:paraId="68E8A72B" w14:textId="77777777" w:rsidR="004E22C1" w:rsidRPr="001455DC" w:rsidRDefault="004E22C1" w:rsidP="00594617">
      <w:pPr>
        <w:pStyle w:val="a7"/>
      </w:pPr>
    </w:p>
    <w:p w14:paraId="40620C0A" w14:textId="77777777" w:rsidR="004E22C1" w:rsidRPr="001455DC" w:rsidRDefault="004E22C1" w:rsidP="00594617">
      <w:pPr>
        <w:pStyle w:val="Tabletitle"/>
      </w:pPr>
      <w:bookmarkStart w:id="362" w:name="_Toc54337331"/>
      <w:r w:rsidRPr="001455DC">
        <w:t xml:space="preserve">Table 6.4(NDP) — Minimum concrete cover </w:t>
      </w:r>
      <w:r w:rsidRPr="001455DC">
        <w:rPr>
          <w:rStyle w:val="CCMCvariableitalic"/>
        </w:rPr>
        <w:t>c</w:t>
      </w:r>
      <w:r w:rsidRPr="001455DC">
        <w:rPr>
          <w:rStyle w:val="CCMCvariablesubscript"/>
        </w:rPr>
        <w:t>min,dur</w:t>
      </w:r>
      <w:r w:rsidRPr="001455DC">
        <w:t xml:space="preserve"> for carbon steel — Chlorides</w:t>
      </w:r>
      <w:bookmarkEnd w:id="362"/>
    </w:p>
    <w:tbl>
      <w:tblPr>
        <w:tblStyle w:val="53"/>
        <w:tblW w:w="9752" w:type="dxa"/>
        <w:tblLayout w:type="fixed"/>
        <w:tblLook w:val="0660" w:firstRow="1" w:lastRow="1" w:firstColumn="0" w:lastColumn="0" w:noHBand="1" w:noVBand="1"/>
      </w:tblPr>
      <w:tblGrid>
        <w:gridCol w:w="1417"/>
        <w:gridCol w:w="693"/>
        <w:gridCol w:w="694"/>
        <w:gridCol w:w="694"/>
        <w:gridCol w:w="694"/>
        <w:gridCol w:w="695"/>
        <w:gridCol w:w="695"/>
        <w:gridCol w:w="695"/>
        <w:gridCol w:w="695"/>
        <w:gridCol w:w="695"/>
        <w:gridCol w:w="695"/>
        <w:gridCol w:w="695"/>
        <w:gridCol w:w="695"/>
      </w:tblGrid>
      <w:tr w:rsidR="004E22C1" w:rsidRPr="001455DC" w14:paraId="01BF764E" w14:textId="77777777" w:rsidTr="000170A7">
        <w:trPr>
          <w:cnfStyle w:val="100000000000" w:firstRow="1" w:lastRow="0" w:firstColumn="0" w:lastColumn="0" w:oddVBand="0" w:evenVBand="0" w:oddHBand="0" w:evenHBand="0" w:firstRowFirstColumn="0" w:firstRowLastColumn="0" w:lastRowFirstColumn="0" w:lastRowLastColumn="0"/>
          <w:cantSplit/>
          <w:tblHeader/>
        </w:trPr>
        <w:tc>
          <w:tcPr>
            <w:tcW w:w="1417" w:type="dxa"/>
            <w:vMerge w:val="restart"/>
          </w:tcPr>
          <w:p w14:paraId="0C74B94C" w14:textId="4BCD0580" w:rsidR="004E22C1" w:rsidRPr="001455DC" w:rsidRDefault="004E22C1" w:rsidP="00B078F1">
            <w:pPr>
              <w:pStyle w:val="Tableheader"/>
              <w:keepNext/>
            </w:pPr>
            <w:r w:rsidRPr="001455DC">
              <w:t>ERC</w:t>
            </w:r>
          </w:p>
        </w:tc>
        <w:tc>
          <w:tcPr>
            <w:tcW w:w="8335" w:type="dxa"/>
            <w:gridSpan w:val="12"/>
          </w:tcPr>
          <w:p w14:paraId="74F54E08" w14:textId="77777777" w:rsidR="004E22C1" w:rsidRPr="001455DC" w:rsidRDefault="004E22C1" w:rsidP="00B078F1">
            <w:pPr>
              <w:pStyle w:val="Tableheader"/>
              <w:keepNext/>
            </w:pPr>
            <w:r w:rsidRPr="001455DC">
              <w:t>Exposure class (chlorides)</w:t>
            </w:r>
          </w:p>
        </w:tc>
      </w:tr>
      <w:tr w:rsidR="004E22C1" w:rsidRPr="001455DC" w14:paraId="7E055FD5" w14:textId="77777777" w:rsidTr="000170A7">
        <w:trPr>
          <w:cnfStyle w:val="100000000000" w:firstRow="1" w:lastRow="0" w:firstColumn="0" w:lastColumn="0" w:oddVBand="0" w:evenVBand="0" w:oddHBand="0" w:evenHBand="0" w:firstRowFirstColumn="0" w:firstRowLastColumn="0" w:lastRowFirstColumn="0" w:lastRowLastColumn="0"/>
          <w:cantSplit/>
          <w:tblHeader/>
        </w:trPr>
        <w:tc>
          <w:tcPr>
            <w:tcW w:w="1417" w:type="dxa"/>
            <w:vMerge/>
            <w:hideMark/>
          </w:tcPr>
          <w:p w14:paraId="292A494E" w14:textId="77777777" w:rsidR="004E22C1" w:rsidRPr="001455DC" w:rsidRDefault="004E22C1" w:rsidP="00B078F1">
            <w:pPr>
              <w:pStyle w:val="Tableheader"/>
              <w:keepNext/>
            </w:pPr>
          </w:p>
        </w:tc>
        <w:tc>
          <w:tcPr>
            <w:tcW w:w="1387" w:type="dxa"/>
            <w:gridSpan w:val="2"/>
            <w:hideMark/>
          </w:tcPr>
          <w:p w14:paraId="564B0D4E" w14:textId="77777777" w:rsidR="004E22C1" w:rsidRPr="001455DC" w:rsidRDefault="004E22C1" w:rsidP="00B078F1">
            <w:pPr>
              <w:pStyle w:val="Tableheader"/>
              <w:keepNext/>
            </w:pPr>
            <w:r w:rsidRPr="001455DC">
              <w:t>XS1</w:t>
            </w:r>
          </w:p>
        </w:tc>
        <w:tc>
          <w:tcPr>
            <w:tcW w:w="1388" w:type="dxa"/>
            <w:gridSpan w:val="2"/>
            <w:hideMark/>
          </w:tcPr>
          <w:p w14:paraId="184A3D42" w14:textId="77777777" w:rsidR="004E22C1" w:rsidRPr="001455DC" w:rsidRDefault="004E22C1" w:rsidP="00B078F1">
            <w:pPr>
              <w:pStyle w:val="Tableheader"/>
              <w:keepNext/>
            </w:pPr>
            <w:r w:rsidRPr="001455DC">
              <w:t>XS2</w:t>
            </w:r>
          </w:p>
        </w:tc>
        <w:tc>
          <w:tcPr>
            <w:tcW w:w="1390" w:type="dxa"/>
            <w:gridSpan w:val="2"/>
            <w:tcBorders>
              <w:right w:val="single" w:sz="12" w:space="0" w:color="000000"/>
            </w:tcBorders>
            <w:hideMark/>
          </w:tcPr>
          <w:p w14:paraId="731CD13C" w14:textId="77777777" w:rsidR="004E22C1" w:rsidRPr="001455DC" w:rsidRDefault="004E22C1" w:rsidP="00B078F1">
            <w:pPr>
              <w:pStyle w:val="Tableheader"/>
              <w:keepNext/>
            </w:pPr>
            <w:r w:rsidRPr="001455DC">
              <w:t>XS3</w:t>
            </w:r>
          </w:p>
        </w:tc>
        <w:tc>
          <w:tcPr>
            <w:tcW w:w="1390" w:type="dxa"/>
            <w:gridSpan w:val="2"/>
            <w:tcBorders>
              <w:left w:val="single" w:sz="12" w:space="0" w:color="000000"/>
            </w:tcBorders>
          </w:tcPr>
          <w:p w14:paraId="3393D6D8" w14:textId="77777777" w:rsidR="004E22C1" w:rsidRPr="001455DC" w:rsidRDefault="004E22C1" w:rsidP="00B078F1">
            <w:pPr>
              <w:pStyle w:val="Tableheader"/>
              <w:keepNext/>
            </w:pPr>
            <w:r w:rsidRPr="001455DC">
              <w:t>XD1</w:t>
            </w:r>
          </w:p>
        </w:tc>
        <w:tc>
          <w:tcPr>
            <w:tcW w:w="1390" w:type="dxa"/>
            <w:gridSpan w:val="2"/>
          </w:tcPr>
          <w:p w14:paraId="49A5F39C" w14:textId="77777777" w:rsidR="004E22C1" w:rsidRPr="001455DC" w:rsidRDefault="004E22C1" w:rsidP="00B078F1">
            <w:pPr>
              <w:pStyle w:val="Tableheader"/>
              <w:keepNext/>
            </w:pPr>
            <w:r w:rsidRPr="001455DC">
              <w:t>XD2</w:t>
            </w:r>
          </w:p>
        </w:tc>
        <w:tc>
          <w:tcPr>
            <w:tcW w:w="1390" w:type="dxa"/>
            <w:gridSpan w:val="2"/>
          </w:tcPr>
          <w:p w14:paraId="7E7F8B06" w14:textId="77777777" w:rsidR="004E22C1" w:rsidRPr="001455DC" w:rsidRDefault="004E22C1" w:rsidP="00B078F1">
            <w:pPr>
              <w:pStyle w:val="Tableheader"/>
              <w:keepNext/>
            </w:pPr>
            <w:r w:rsidRPr="001455DC">
              <w:t>XD3</w:t>
            </w:r>
          </w:p>
        </w:tc>
      </w:tr>
      <w:tr w:rsidR="004E22C1" w:rsidRPr="001455DC" w14:paraId="42DAFA7E" w14:textId="77777777" w:rsidTr="000170A7">
        <w:trPr>
          <w:cnfStyle w:val="100000000000" w:firstRow="1" w:lastRow="0" w:firstColumn="0" w:lastColumn="0" w:oddVBand="0" w:evenVBand="0" w:oddHBand="0" w:evenHBand="0" w:firstRowFirstColumn="0" w:firstRowLastColumn="0" w:lastRowFirstColumn="0" w:lastRowLastColumn="0"/>
          <w:cantSplit/>
          <w:tblHeader/>
        </w:trPr>
        <w:tc>
          <w:tcPr>
            <w:tcW w:w="1417" w:type="dxa"/>
            <w:vMerge/>
          </w:tcPr>
          <w:p w14:paraId="2F3A7BEB" w14:textId="77777777" w:rsidR="004E22C1" w:rsidRPr="001455DC" w:rsidRDefault="004E22C1" w:rsidP="00B078F1">
            <w:pPr>
              <w:pStyle w:val="Tableheader"/>
              <w:keepNext/>
            </w:pPr>
          </w:p>
        </w:tc>
        <w:tc>
          <w:tcPr>
            <w:tcW w:w="4165" w:type="dxa"/>
            <w:gridSpan w:val="6"/>
            <w:tcBorders>
              <w:right w:val="single" w:sz="12" w:space="0" w:color="000000"/>
            </w:tcBorders>
          </w:tcPr>
          <w:p w14:paraId="71B0C4DA" w14:textId="77777777" w:rsidR="004E22C1" w:rsidRPr="001455DC" w:rsidRDefault="004E22C1" w:rsidP="00B078F1">
            <w:pPr>
              <w:pStyle w:val="Tableheader"/>
              <w:keepNext/>
            </w:pPr>
            <w:r w:rsidRPr="001455DC">
              <w:t>Design service life (years)</w:t>
            </w:r>
          </w:p>
        </w:tc>
        <w:tc>
          <w:tcPr>
            <w:tcW w:w="4170" w:type="dxa"/>
            <w:gridSpan w:val="6"/>
            <w:tcBorders>
              <w:left w:val="single" w:sz="12" w:space="0" w:color="000000"/>
            </w:tcBorders>
          </w:tcPr>
          <w:p w14:paraId="257CE146" w14:textId="77777777" w:rsidR="004E22C1" w:rsidRPr="001455DC" w:rsidRDefault="004E22C1" w:rsidP="00B078F1">
            <w:pPr>
              <w:pStyle w:val="Tableheader"/>
              <w:keepNext/>
            </w:pPr>
            <w:r w:rsidRPr="001455DC">
              <w:t>Design service life (years)</w:t>
            </w:r>
          </w:p>
        </w:tc>
      </w:tr>
      <w:tr w:rsidR="004E22C1" w:rsidRPr="001455DC" w14:paraId="7EAA946D" w14:textId="77777777" w:rsidTr="000170A7">
        <w:trPr>
          <w:cnfStyle w:val="100000000000" w:firstRow="1" w:lastRow="0" w:firstColumn="0" w:lastColumn="0" w:oddVBand="0" w:evenVBand="0" w:oddHBand="0" w:evenHBand="0" w:firstRowFirstColumn="0" w:firstRowLastColumn="0" w:lastRowFirstColumn="0" w:lastRowLastColumn="0"/>
          <w:cantSplit/>
          <w:tblHeader/>
        </w:trPr>
        <w:tc>
          <w:tcPr>
            <w:tcW w:w="1417" w:type="dxa"/>
            <w:vMerge/>
            <w:hideMark/>
          </w:tcPr>
          <w:p w14:paraId="65C89939" w14:textId="77777777" w:rsidR="004E22C1" w:rsidRPr="001455DC" w:rsidRDefault="004E22C1" w:rsidP="00B078F1">
            <w:pPr>
              <w:pStyle w:val="Tableheader"/>
              <w:keepNext/>
            </w:pPr>
          </w:p>
        </w:tc>
        <w:tc>
          <w:tcPr>
            <w:tcW w:w="693" w:type="dxa"/>
            <w:hideMark/>
          </w:tcPr>
          <w:p w14:paraId="5BAB1DA9" w14:textId="77777777" w:rsidR="004E22C1" w:rsidRPr="001455DC" w:rsidRDefault="004E22C1" w:rsidP="00B078F1">
            <w:pPr>
              <w:pStyle w:val="Tableheader"/>
              <w:keepNext/>
            </w:pPr>
            <w:r w:rsidRPr="001455DC">
              <w:t>50</w:t>
            </w:r>
          </w:p>
        </w:tc>
        <w:tc>
          <w:tcPr>
            <w:tcW w:w="694" w:type="dxa"/>
            <w:hideMark/>
          </w:tcPr>
          <w:p w14:paraId="4E9DC332" w14:textId="77777777" w:rsidR="004E22C1" w:rsidRPr="001455DC" w:rsidRDefault="004E22C1" w:rsidP="00B078F1">
            <w:pPr>
              <w:pStyle w:val="Tableheader"/>
              <w:keepNext/>
            </w:pPr>
            <w:r w:rsidRPr="001455DC">
              <w:t>100</w:t>
            </w:r>
          </w:p>
        </w:tc>
        <w:tc>
          <w:tcPr>
            <w:tcW w:w="694" w:type="dxa"/>
            <w:hideMark/>
          </w:tcPr>
          <w:p w14:paraId="15563719" w14:textId="77777777" w:rsidR="004E22C1" w:rsidRPr="001455DC" w:rsidRDefault="004E22C1" w:rsidP="00B078F1">
            <w:pPr>
              <w:pStyle w:val="Tableheader"/>
              <w:keepNext/>
            </w:pPr>
            <w:r w:rsidRPr="001455DC">
              <w:t>50</w:t>
            </w:r>
          </w:p>
        </w:tc>
        <w:tc>
          <w:tcPr>
            <w:tcW w:w="694" w:type="dxa"/>
            <w:hideMark/>
          </w:tcPr>
          <w:p w14:paraId="278C7D12" w14:textId="77777777" w:rsidR="004E22C1" w:rsidRPr="001455DC" w:rsidRDefault="004E22C1" w:rsidP="00B078F1">
            <w:pPr>
              <w:pStyle w:val="Tableheader"/>
              <w:keepNext/>
            </w:pPr>
            <w:r w:rsidRPr="001455DC">
              <w:t>100</w:t>
            </w:r>
          </w:p>
        </w:tc>
        <w:tc>
          <w:tcPr>
            <w:tcW w:w="695" w:type="dxa"/>
            <w:hideMark/>
          </w:tcPr>
          <w:p w14:paraId="53A6DDDA" w14:textId="77777777" w:rsidR="004E22C1" w:rsidRPr="001455DC" w:rsidRDefault="004E22C1" w:rsidP="00B078F1">
            <w:pPr>
              <w:pStyle w:val="Tableheader"/>
              <w:keepNext/>
            </w:pPr>
            <w:r w:rsidRPr="001455DC">
              <w:t>50</w:t>
            </w:r>
          </w:p>
        </w:tc>
        <w:tc>
          <w:tcPr>
            <w:tcW w:w="695" w:type="dxa"/>
            <w:tcBorders>
              <w:right w:val="single" w:sz="12" w:space="0" w:color="000000"/>
            </w:tcBorders>
            <w:hideMark/>
          </w:tcPr>
          <w:p w14:paraId="4399C485" w14:textId="77777777" w:rsidR="004E22C1" w:rsidRPr="001455DC" w:rsidRDefault="004E22C1" w:rsidP="00B078F1">
            <w:pPr>
              <w:pStyle w:val="Tableheader"/>
              <w:keepNext/>
            </w:pPr>
            <w:r w:rsidRPr="001455DC">
              <w:t>100</w:t>
            </w:r>
          </w:p>
        </w:tc>
        <w:tc>
          <w:tcPr>
            <w:tcW w:w="695" w:type="dxa"/>
            <w:tcBorders>
              <w:left w:val="single" w:sz="12" w:space="0" w:color="000000"/>
            </w:tcBorders>
          </w:tcPr>
          <w:p w14:paraId="7D14F15D" w14:textId="77777777" w:rsidR="004E22C1" w:rsidRPr="001455DC" w:rsidRDefault="004E22C1" w:rsidP="00B078F1">
            <w:pPr>
              <w:pStyle w:val="Tableheader"/>
              <w:keepNext/>
            </w:pPr>
            <w:r w:rsidRPr="001455DC">
              <w:t>50</w:t>
            </w:r>
          </w:p>
        </w:tc>
        <w:tc>
          <w:tcPr>
            <w:tcW w:w="695" w:type="dxa"/>
          </w:tcPr>
          <w:p w14:paraId="277C6ED4" w14:textId="77777777" w:rsidR="004E22C1" w:rsidRPr="001455DC" w:rsidRDefault="004E22C1" w:rsidP="00B078F1">
            <w:pPr>
              <w:pStyle w:val="Tableheader"/>
              <w:keepNext/>
            </w:pPr>
            <w:r w:rsidRPr="001455DC">
              <w:t>100</w:t>
            </w:r>
          </w:p>
        </w:tc>
        <w:tc>
          <w:tcPr>
            <w:tcW w:w="695" w:type="dxa"/>
          </w:tcPr>
          <w:p w14:paraId="6BB4802C" w14:textId="77777777" w:rsidR="004E22C1" w:rsidRPr="001455DC" w:rsidRDefault="004E22C1" w:rsidP="00B078F1">
            <w:pPr>
              <w:pStyle w:val="Tableheader"/>
              <w:keepNext/>
            </w:pPr>
            <w:r w:rsidRPr="001455DC">
              <w:t>50</w:t>
            </w:r>
          </w:p>
        </w:tc>
        <w:tc>
          <w:tcPr>
            <w:tcW w:w="695" w:type="dxa"/>
          </w:tcPr>
          <w:p w14:paraId="06A60AEE" w14:textId="77777777" w:rsidR="004E22C1" w:rsidRPr="001455DC" w:rsidRDefault="004E22C1" w:rsidP="00B078F1">
            <w:pPr>
              <w:pStyle w:val="Tableheader"/>
              <w:keepNext/>
            </w:pPr>
            <w:r w:rsidRPr="001455DC">
              <w:t>100</w:t>
            </w:r>
          </w:p>
        </w:tc>
        <w:tc>
          <w:tcPr>
            <w:tcW w:w="695" w:type="dxa"/>
          </w:tcPr>
          <w:p w14:paraId="2AFDF227" w14:textId="77777777" w:rsidR="004E22C1" w:rsidRPr="001455DC" w:rsidRDefault="004E22C1" w:rsidP="00B078F1">
            <w:pPr>
              <w:pStyle w:val="Tableheader"/>
              <w:keepNext/>
            </w:pPr>
            <w:r w:rsidRPr="001455DC">
              <w:t>50</w:t>
            </w:r>
          </w:p>
        </w:tc>
        <w:tc>
          <w:tcPr>
            <w:tcW w:w="695" w:type="dxa"/>
          </w:tcPr>
          <w:p w14:paraId="6B3F83A7" w14:textId="77777777" w:rsidR="004E22C1" w:rsidRPr="001455DC" w:rsidRDefault="004E22C1" w:rsidP="00B078F1">
            <w:pPr>
              <w:pStyle w:val="Tableheader"/>
              <w:keepNext/>
            </w:pPr>
            <w:r w:rsidRPr="001455DC">
              <w:t>100</w:t>
            </w:r>
          </w:p>
        </w:tc>
      </w:tr>
      <w:tr w:rsidR="004E22C1" w:rsidRPr="001455DC" w14:paraId="55B9A8AB" w14:textId="77777777" w:rsidTr="000170A7">
        <w:trPr>
          <w:cantSplit/>
        </w:trPr>
        <w:tc>
          <w:tcPr>
            <w:tcW w:w="1417" w:type="dxa"/>
            <w:vAlign w:val="center"/>
            <w:hideMark/>
          </w:tcPr>
          <w:p w14:paraId="710D160D" w14:textId="77777777" w:rsidR="004E22C1" w:rsidRPr="001455DC" w:rsidRDefault="004E22C1" w:rsidP="00B078F1">
            <w:pPr>
              <w:pStyle w:val="Tablebody"/>
              <w:keepNext/>
              <w:jc w:val="left"/>
              <w:rPr>
                <w:b/>
                <w:bCs/>
              </w:rPr>
            </w:pPr>
            <w:r w:rsidRPr="001455DC">
              <w:rPr>
                <w:b/>
                <w:bCs/>
              </w:rPr>
              <w:t>XRDS 0,5</w:t>
            </w:r>
          </w:p>
        </w:tc>
        <w:tc>
          <w:tcPr>
            <w:tcW w:w="693" w:type="dxa"/>
            <w:vAlign w:val="center"/>
          </w:tcPr>
          <w:p w14:paraId="1E13E5B0" w14:textId="77777777" w:rsidR="004E22C1" w:rsidRPr="001455DC" w:rsidRDefault="004E22C1" w:rsidP="00B078F1">
            <w:pPr>
              <w:pStyle w:val="Tablebody"/>
              <w:keepNext/>
              <w:jc w:val="center"/>
              <w:rPr>
                <w:b/>
              </w:rPr>
            </w:pPr>
            <w:r w:rsidRPr="001455DC">
              <w:rPr>
                <w:b/>
              </w:rPr>
              <w:t>20</w:t>
            </w:r>
          </w:p>
        </w:tc>
        <w:tc>
          <w:tcPr>
            <w:tcW w:w="694" w:type="dxa"/>
            <w:vAlign w:val="center"/>
          </w:tcPr>
          <w:p w14:paraId="7C5F593D" w14:textId="77777777" w:rsidR="004E22C1" w:rsidRPr="001455DC" w:rsidRDefault="004E22C1" w:rsidP="00B078F1">
            <w:pPr>
              <w:pStyle w:val="Tablebody"/>
              <w:keepNext/>
              <w:jc w:val="center"/>
            </w:pPr>
            <w:r w:rsidRPr="001455DC">
              <w:t>20</w:t>
            </w:r>
          </w:p>
        </w:tc>
        <w:tc>
          <w:tcPr>
            <w:tcW w:w="694" w:type="dxa"/>
            <w:vAlign w:val="center"/>
          </w:tcPr>
          <w:p w14:paraId="70EF8439" w14:textId="77777777" w:rsidR="004E22C1" w:rsidRPr="001455DC" w:rsidRDefault="004E22C1" w:rsidP="00B078F1">
            <w:pPr>
              <w:pStyle w:val="Tablebody"/>
              <w:keepNext/>
              <w:jc w:val="center"/>
              <w:rPr>
                <w:b/>
                <w:bCs/>
              </w:rPr>
            </w:pPr>
            <w:r w:rsidRPr="001455DC">
              <w:rPr>
                <w:b/>
                <w:bCs/>
              </w:rPr>
              <w:t>20</w:t>
            </w:r>
          </w:p>
        </w:tc>
        <w:tc>
          <w:tcPr>
            <w:tcW w:w="694" w:type="dxa"/>
            <w:vAlign w:val="center"/>
          </w:tcPr>
          <w:p w14:paraId="2FB083B5" w14:textId="77777777" w:rsidR="004E22C1" w:rsidRPr="001455DC" w:rsidRDefault="004E22C1" w:rsidP="00B078F1">
            <w:pPr>
              <w:pStyle w:val="Tablebody"/>
              <w:keepNext/>
              <w:jc w:val="center"/>
            </w:pPr>
            <w:r w:rsidRPr="001455DC">
              <w:t>30</w:t>
            </w:r>
          </w:p>
        </w:tc>
        <w:tc>
          <w:tcPr>
            <w:tcW w:w="695" w:type="dxa"/>
            <w:vAlign w:val="center"/>
          </w:tcPr>
          <w:p w14:paraId="21B97A1E" w14:textId="77777777" w:rsidR="004E22C1" w:rsidRPr="001455DC" w:rsidRDefault="004E22C1" w:rsidP="00B078F1">
            <w:pPr>
              <w:pStyle w:val="Tablebody"/>
              <w:keepNext/>
              <w:jc w:val="center"/>
              <w:rPr>
                <w:b/>
                <w:bCs/>
              </w:rPr>
            </w:pPr>
            <w:r w:rsidRPr="001455DC">
              <w:rPr>
                <w:b/>
                <w:bCs/>
              </w:rPr>
              <w:t>30</w:t>
            </w:r>
          </w:p>
        </w:tc>
        <w:tc>
          <w:tcPr>
            <w:tcW w:w="695" w:type="dxa"/>
            <w:tcBorders>
              <w:right w:val="single" w:sz="12" w:space="0" w:color="000000"/>
            </w:tcBorders>
            <w:vAlign w:val="center"/>
          </w:tcPr>
          <w:p w14:paraId="638E8FB0" w14:textId="77777777" w:rsidR="004E22C1" w:rsidRPr="001455DC" w:rsidRDefault="004E22C1" w:rsidP="00B078F1">
            <w:pPr>
              <w:pStyle w:val="Tablebody"/>
              <w:keepNext/>
              <w:jc w:val="center"/>
            </w:pPr>
            <w:r w:rsidRPr="001455DC">
              <w:t>40</w:t>
            </w:r>
          </w:p>
        </w:tc>
        <w:tc>
          <w:tcPr>
            <w:tcW w:w="695" w:type="dxa"/>
            <w:tcBorders>
              <w:left w:val="single" w:sz="12" w:space="0" w:color="000000"/>
            </w:tcBorders>
            <w:vAlign w:val="center"/>
          </w:tcPr>
          <w:p w14:paraId="6F2B3504" w14:textId="77777777" w:rsidR="004E22C1" w:rsidRPr="001455DC" w:rsidRDefault="004E22C1" w:rsidP="00B078F1">
            <w:pPr>
              <w:pStyle w:val="Tablebody"/>
              <w:keepNext/>
              <w:jc w:val="center"/>
              <w:rPr>
                <w:b/>
                <w:bCs/>
              </w:rPr>
            </w:pPr>
            <w:r w:rsidRPr="001455DC">
              <w:rPr>
                <w:b/>
                <w:bCs/>
              </w:rPr>
              <w:t>20</w:t>
            </w:r>
          </w:p>
        </w:tc>
        <w:tc>
          <w:tcPr>
            <w:tcW w:w="695" w:type="dxa"/>
            <w:vAlign w:val="center"/>
          </w:tcPr>
          <w:p w14:paraId="679DD1BD" w14:textId="77777777" w:rsidR="004E22C1" w:rsidRPr="001455DC" w:rsidRDefault="004E22C1" w:rsidP="00B078F1">
            <w:pPr>
              <w:pStyle w:val="Tablebody"/>
              <w:keepNext/>
              <w:jc w:val="center"/>
            </w:pPr>
            <w:r w:rsidRPr="001455DC">
              <w:t>20</w:t>
            </w:r>
          </w:p>
        </w:tc>
        <w:tc>
          <w:tcPr>
            <w:tcW w:w="695" w:type="dxa"/>
            <w:vAlign w:val="center"/>
          </w:tcPr>
          <w:p w14:paraId="2C842018" w14:textId="77777777" w:rsidR="004E22C1" w:rsidRPr="001455DC" w:rsidRDefault="004E22C1" w:rsidP="00B078F1">
            <w:pPr>
              <w:pStyle w:val="Tablebody"/>
              <w:keepNext/>
              <w:jc w:val="center"/>
              <w:rPr>
                <w:b/>
                <w:bCs/>
              </w:rPr>
            </w:pPr>
            <w:r w:rsidRPr="001455DC">
              <w:rPr>
                <w:b/>
                <w:bCs/>
              </w:rPr>
              <w:t>20</w:t>
            </w:r>
          </w:p>
        </w:tc>
        <w:tc>
          <w:tcPr>
            <w:tcW w:w="695" w:type="dxa"/>
            <w:vAlign w:val="center"/>
          </w:tcPr>
          <w:p w14:paraId="63D009CA" w14:textId="77777777" w:rsidR="004E22C1" w:rsidRPr="001455DC" w:rsidRDefault="004E22C1" w:rsidP="00B078F1">
            <w:pPr>
              <w:pStyle w:val="Tablebody"/>
              <w:keepNext/>
              <w:jc w:val="center"/>
            </w:pPr>
            <w:r w:rsidRPr="001455DC">
              <w:t>30</w:t>
            </w:r>
          </w:p>
        </w:tc>
        <w:tc>
          <w:tcPr>
            <w:tcW w:w="695" w:type="dxa"/>
            <w:vAlign w:val="center"/>
          </w:tcPr>
          <w:p w14:paraId="3F1478C1" w14:textId="77777777" w:rsidR="004E22C1" w:rsidRPr="001455DC" w:rsidRDefault="004E22C1" w:rsidP="00B078F1">
            <w:pPr>
              <w:pStyle w:val="Tablebody"/>
              <w:keepNext/>
              <w:jc w:val="center"/>
              <w:rPr>
                <w:b/>
                <w:bCs/>
              </w:rPr>
            </w:pPr>
            <w:r w:rsidRPr="001455DC">
              <w:rPr>
                <w:b/>
                <w:bCs/>
              </w:rPr>
              <w:t>30</w:t>
            </w:r>
          </w:p>
        </w:tc>
        <w:tc>
          <w:tcPr>
            <w:tcW w:w="695" w:type="dxa"/>
            <w:vAlign w:val="center"/>
          </w:tcPr>
          <w:p w14:paraId="0F694CF2" w14:textId="77777777" w:rsidR="004E22C1" w:rsidRPr="001455DC" w:rsidRDefault="004E22C1" w:rsidP="00B078F1">
            <w:pPr>
              <w:pStyle w:val="Tablebody"/>
              <w:keepNext/>
              <w:jc w:val="center"/>
            </w:pPr>
            <w:r w:rsidRPr="001455DC">
              <w:t>40</w:t>
            </w:r>
          </w:p>
        </w:tc>
      </w:tr>
      <w:tr w:rsidR="004E22C1" w:rsidRPr="001455DC" w14:paraId="544416D9" w14:textId="77777777" w:rsidTr="000170A7">
        <w:trPr>
          <w:cantSplit/>
        </w:trPr>
        <w:tc>
          <w:tcPr>
            <w:tcW w:w="1417" w:type="dxa"/>
            <w:vAlign w:val="center"/>
            <w:hideMark/>
          </w:tcPr>
          <w:p w14:paraId="4E889045" w14:textId="77777777" w:rsidR="004E22C1" w:rsidRPr="001455DC" w:rsidRDefault="004E22C1" w:rsidP="00B078F1">
            <w:pPr>
              <w:pStyle w:val="Tablebody"/>
              <w:keepNext/>
              <w:jc w:val="left"/>
              <w:rPr>
                <w:b/>
                <w:bCs/>
              </w:rPr>
            </w:pPr>
            <w:r w:rsidRPr="001455DC">
              <w:rPr>
                <w:b/>
                <w:bCs/>
              </w:rPr>
              <w:t>XRDS 1</w:t>
            </w:r>
          </w:p>
        </w:tc>
        <w:tc>
          <w:tcPr>
            <w:tcW w:w="693" w:type="dxa"/>
            <w:vAlign w:val="center"/>
          </w:tcPr>
          <w:p w14:paraId="68139356" w14:textId="77777777" w:rsidR="004E22C1" w:rsidRPr="001455DC" w:rsidRDefault="004E22C1" w:rsidP="00B078F1">
            <w:pPr>
              <w:pStyle w:val="Tablebody"/>
              <w:keepNext/>
              <w:jc w:val="center"/>
              <w:rPr>
                <w:b/>
              </w:rPr>
            </w:pPr>
            <w:r w:rsidRPr="001455DC">
              <w:rPr>
                <w:b/>
              </w:rPr>
              <w:t>20</w:t>
            </w:r>
          </w:p>
        </w:tc>
        <w:tc>
          <w:tcPr>
            <w:tcW w:w="694" w:type="dxa"/>
            <w:vAlign w:val="center"/>
          </w:tcPr>
          <w:p w14:paraId="52083623" w14:textId="77777777" w:rsidR="004E22C1" w:rsidRPr="001455DC" w:rsidRDefault="004E22C1" w:rsidP="00B078F1">
            <w:pPr>
              <w:pStyle w:val="Tablebody"/>
              <w:keepNext/>
              <w:jc w:val="center"/>
            </w:pPr>
            <w:r w:rsidRPr="001455DC">
              <w:t>25</w:t>
            </w:r>
          </w:p>
        </w:tc>
        <w:tc>
          <w:tcPr>
            <w:tcW w:w="694" w:type="dxa"/>
            <w:vAlign w:val="center"/>
          </w:tcPr>
          <w:p w14:paraId="2011CC23" w14:textId="77777777" w:rsidR="004E22C1" w:rsidRPr="001455DC" w:rsidRDefault="004E22C1" w:rsidP="00B078F1">
            <w:pPr>
              <w:pStyle w:val="Tablebody"/>
              <w:keepNext/>
              <w:jc w:val="center"/>
              <w:rPr>
                <w:b/>
                <w:bCs/>
              </w:rPr>
            </w:pPr>
            <w:r w:rsidRPr="001455DC">
              <w:rPr>
                <w:b/>
                <w:bCs/>
              </w:rPr>
              <w:t>25</w:t>
            </w:r>
          </w:p>
        </w:tc>
        <w:tc>
          <w:tcPr>
            <w:tcW w:w="694" w:type="dxa"/>
            <w:vAlign w:val="center"/>
          </w:tcPr>
          <w:p w14:paraId="65D11203" w14:textId="77777777" w:rsidR="004E22C1" w:rsidRPr="001455DC" w:rsidRDefault="004E22C1" w:rsidP="00B078F1">
            <w:pPr>
              <w:pStyle w:val="Tablebody"/>
              <w:keepNext/>
              <w:jc w:val="center"/>
            </w:pPr>
            <w:r w:rsidRPr="001455DC">
              <w:t>35</w:t>
            </w:r>
          </w:p>
        </w:tc>
        <w:tc>
          <w:tcPr>
            <w:tcW w:w="695" w:type="dxa"/>
            <w:vAlign w:val="center"/>
          </w:tcPr>
          <w:p w14:paraId="20ACD8E1" w14:textId="77777777" w:rsidR="004E22C1" w:rsidRPr="001455DC" w:rsidRDefault="004E22C1" w:rsidP="00B078F1">
            <w:pPr>
              <w:pStyle w:val="Tablebody"/>
              <w:keepNext/>
              <w:jc w:val="center"/>
              <w:rPr>
                <w:b/>
                <w:bCs/>
              </w:rPr>
            </w:pPr>
            <w:r w:rsidRPr="001455DC">
              <w:rPr>
                <w:b/>
                <w:bCs/>
              </w:rPr>
              <w:t>35</w:t>
            </w:r>
          </w:p>
        </w:tc>
        <w:tc>
          <w:tcPr>
            <w:tcW w:w="695" w:type="dxa"/>
            <w:tcBorders>
              <w:right w:val="single" w:sz="12" w:space="0" w:color="000000"/>
            </w:tcBorders>
            <w:vAlign w:val="center"/>
          </w:tcPr>
          <w:p w14:paraId="2208F6C6" w14:textId="77777777" w:rsidR="004E22C1" w:rsidRPr="001455DC" w:rsidRDefault="004E22C1" w:rsidP="00B078F1">
            <w:pPr>
              <w:pStyle w:val="Tablebody"/>
              <w:keepNext/>
              <w:jc w:val="center"/>
            </w:pPr>
            <w:r w:rsidRPr="001455DC">
              <w:t>45</w:t>
            </w:r>
          </w:p>
        </w:tc>
        <w:tc>
          <w:tcPr>
            <w:tcW w:w="695" w:type="dxa"/>
            <w:tcBorders>
              <w:left w:val="single" w:sz="12" w:space="0" w:color="000000"/>
            </w:tcBorders>
            <w:vAlign w:val="center"/>
          </w:tcPr>
          <w:p w14:paraId="4CEFC4E6" w14:textId="77777777" w:rsidR="004E22C1" w:rsidRPr="001455DC" w:rsidRDefault="004E22C1" w:rsidP="00B078F1">
            <w:pPr>
              <w:pStyle w:val="Tablebody"/>
              <w:keepNext/>
              <w:jc w:val="center"/>
              <w:rPr>
                <w:b/>
                <w:bCs/>
              </w:rPr>
            </w:pPr>
            <w:r w:rsidRPr="001455DC">
              <w:rPr>
                <w:b/>
                <w:bCs/>
              </w:rPr>
              <w:t>20</w:t>
            </w:r>
          </w:p>
        </w:tc>
        <w:tc>
          <w:tcPr>
            <w:tcW w:w="695" w:type="dxa"/>
            <w:vAlign w:val="center"/>
          </w:tcPr>
          <w:p w14:paraId="25618386" w14:textId="77777777" w:rsidR="004E22C1" w:rsidRPr="001455DC" w:rsidRDefault="004E22C1" w:rsidP="00B078F1">
            <w:pPr>
              <w:pStyle w:val="Tablebody"/>
              <w:keepNext/>
              <w:jc w:val="center"/>
            </w:pPr>
            <w:r w:rsidRPr="001455DC">
              <w:t>25</w:t>
            </w:r>
          </w:p>
        </w:tc>
        <w:tc>
          <w:tcPr>
            <w:tcW w:w="695" w:type="dxa"/>
            <w:vAlign w:val="center"/>
          </w:tcPr>
          <w:p w14:paraId="28FF6899" w14:textId="77777777" w:rsidR="004E22C1" w:rsidRPr="001455DC" w:rsidRDefault="004E22C1" w:rsidP="00B078F1">
            <w:pPr>
              <w:pStyle w:val="Tablebody"/>
              <w:keepNext/>
              <w:jc w:val="center"/>
              <w:rPr>
                <w:b/>
                <w:bCs/>
              </w:rPr>
            </w:pPr>
            <w:r w:rsidRPr="001455DC">
              <w:rPr>
                <w:b/>
                <w:bCs/>
              </w:rPr>
              <w:t>25</w:t>
            </w:r>
          </w:p>
        </w:tc>
        <w:tc>
          <w:tcPr>
            <w:tcW w:w="695" w:type="dxa"/>
            <w:vAlign w:val="center"/>
          </w:tcPr>
          <w:p w14:paraId="695C82E8" w14:textId="77777777" w:rsidR="004E22C1" w:rsidRPr="001455DC" w:rsidRDefault="004E22C1" w:rsidP="00B078F1">
            <w:pPr>
              <w:pStyle w:val="Tablebody"/>
              <w:keepNext/>
              <w:jc w:val="center"/>
            </w:pPr>
            <w:r w:rsidRPr="001455DC">
              <w:t>35</w:t>
            </w:r>
          </w:p>
        </w:tc>
        <w:tc>
          <w:tcPr>
            <w:tcW w:w="695" w:type="dxa"/>
            <w:vAlign w:val="center"/>
          </w:tcPr>
          <w:p w14:paraId="1D16E982" w14:textId="77777777" w:rsidR="004E22C1" w:rsidRPr="001455DC" w:rsidRDefault="004E22C1" w:rsidP="00B078F1">
            <w:pPr>
              <w:pStyle w:val="Tablebody"/>
              <w:keepNext/>
              <w:jc w:val="center"/>
              <w:rPr>
                <w:b/>
                <w:bCs/>
              </w:rPr>
            </w:pPr>
            <w:r w:rsidRPr="001455DC">
              <w:rPr>
                <w:b/>
                <w:bCs/>
              </w:rPr>
              <w:t>35</w:t>
            </w:r>
          </w:p>
        </w:tc>
        <w:tc>
          <w:tcPr>
            <w:tcW w:w="695" w:type="dxa"/>
            <w:vAlign w:val="center"/>
          </w:tcPr>
          <w:p w14:paraId="1308D0EF" w14:textId="77777777" w:rsidR="004E22C1" w:rsidRPr="001455DC" w:rsidRDefault="004E22C1" w:rsidP="00B078F1">
            <w:pPr>
              <w:pStyle w:val="Tablebody"/>
              <w:keepNext/>
              <w:jc w:val="center"/>
            </w:pPr>
            <w:r w:rsidRPr="001455DC">
              <w:t>45</w:t>
            </w:r>
          </w:p>
        </w:tc>
      </w:tr>
      <w:tr w:rsidR="004E22C1" w:rsidRPr="001455DC" w14:paraId="787838D9" w14:textId="77777777" w:rsidTr="000170A7">
        <w:trPr>
          <w:cantSplit/>
        </w:trPr>
        <w:tc>
          <w:tcPr>
            <w:tcW w:w="1417" w:type="dxa"/>
            <w:vAlign w:val="center"/>
            <w:hideMark/>
          </w:tcPr>
          <w:p w14:paraId="532D5B3F" w14:textId="77777777" w:rsidR="004E22C1" w:rsidRPr="001455DC" w:rsidRDefault="004E22C1" w:rsidP="00B078F1">
            <w:pPr>
              <w:pStyle w:val="Tablebody"/>
              <w:keepNext/>
              <w:jc w:val="left"/>
              <w:rPr>
                <w:b/>
                <w:bCs/>
              </w:rPr>
            </w:pPr>
            <w:r w:rsidRPr="001455DC">
              <w:rPr>
                <w:b/>
                <w:bCs/>
              </w:rPr>
              <w:t>XRDS 1,5</w:t>
            </w:r>
          </w:p>
        </w:tc>
        <w:tc>
          <w:tcPr>
            <w:tcW w:w="693" w:type="dxa"/>
            <w:vAlign w:val="center"/>
          </w:tcPr>
          <w:p w14:paraId="0E12669E" w14:textId="77777777" w:rsidR="004E22C1" w:rsidRPr="001455DC" w:rsidRDefault="004E22C1" w:rsidP="00B078F1">
            <w:pPr>
              <w:pStyle w:val="Tablebody"/>
              <w:keepNext/>
              <w:jc w:val="center"/>
              <w:rPr>
                <w:b/>
              </w:rPr>
            </w:pPr>
            <w:r w:rsidRPr="001455DC">
              <w:rPr>
                <w:b/>
              </w:rPr>
              <w:t>25</w:t>
            </w:r>
          </w:p>
        </w:tc>
        <w:tc>
          <w:tcPr>
            <w:tcW w:w="694" w:type="dxa"/>
            <w:vAlign w:val="center"/>
          </w:tcPr>
          <w:p w14:paraId="72F76FFF" w14:textId="77777777" w:rsidR="004E22C1" w:rsidRPr="001455DC" w:rsidRDefault="004E22C1" w:rsidP="00B078F1">
            <w:pPr>
              <w:pStyle w:val="Tablebody"/>
              <w:keepNext/>
              <w:jc w:val="center"/>
            </w:pPr>
            <w:r w:rsidRPr="001455DC">
              <w:t>30</w:t>
            </w:r>
          </w:p>
        </w:tc>
        <w:tc>
          <w:tcPr>
            <w:tcW w:w="694" w:type="dxa"/>
            <w:vAlign w:val="center"/>
          </w:tcPr>
          <w:p w14:paraId="1990771C" w14:textId="77777777" w:rsidR="004E22C1" w:rsidRPr="001455DC" w:rsidRDefault="004E22C1" w:rsidP="00B078F1">
            <w:pPr>
              <w:pStyle w:val="Tablebody"/>
              <w:keepNext/>
              <w:jc w:val="center"/>
              <w:rPr>
                <w:b/>
                <w:bCs/>
              </w:rPr>
            </w:pPr>
            <w:r w:rsidRPr="001455DC">
              <w:rPr>
                <w:b/>
                <w:bCs/>
              </w:rPr>
              <w:t>30</w:t>
            </w:r>
          </w:p>
        </w:tc>
        <w:tc>
          <w:tcPr>
            <w:tcW w:w="694" w:type="dxa"/>
            <w:vAlign w:val="center"/>
          </w:tcPr>
          <w:p w14:paraId="56362F2F" w14:textId="77777777" w:rsidR="004E22C1" w:rsidRPr="001455DC" w:rsidRDefault="004E22C1" w:rsidP="00B078F1">
            <w:pPr>
              <w:pStyle w:val="Tablebody"/>
              <w:keepNext/>
              <w:jc w:val="center"/>
            </w:pPr>
            <w:r w:rsidRPr="001455DC">
              <w:t>40</w:t>
            </w:r>
          </w:p>
        </w:tc>
        <w:tc>
          <w:tcPr>
            <w:tcW w:w="695" w:type="dxa"/>
            <w:vAlign w:val="center"/>
          </w:tcPr>
          <w:p w14:paraId="77BCF8E2" w14:textId="77777777" w:rsidR="004E22C1" w:rsidRPr="001455DC" w:rsidRDefault="004E22C1" w:rsidP="00B078F1">
            <w:pPr>
              <w:pStyle w:val="Tablebody"/>
              <w:keepNext/>
              <w:jc w:val="center"/>
              <w:rPr>
                <w:b/>
                <w:bCs/>
              </w:rPr>
            </w:pPr>
            <w:r w:rsidRPr="001455DC">
              <w:rPr>
                <w:b/>
                <w:bCs/>
              </w:rPr>
              <w:t>40</w:t>
            </w:r>
          </w:p>
        </w:tc>
        <w:tc>
          <w:tcPr>
            <w:tcW w:w="695" w:type="dxa"/>
            <w:tcBorders>
              <w:right w:val="single" w:sz="12" w:space="0" w:color="000000"/>
            </w:tcBorders>
            <w:vAlign w:val="center"/>
          </w:tcPr>
          <w:p w14:paraId="27A4FC00" w14:textId="77777777" w:rsidR="004E22C1" w:rsidRPr="009D3012" w:rsidRDefault="004E22C1" w:rsidP="00B078F1">
            <w:pPr>
              <w:pStyle w:val="Tablebody"/>
              <w:keepNext/>
              <w:jc w:val="center"/>
              <w:rPr>
                <w:rStyle w:val="CCMCvariableitalic"/>
              </w:rPr>
            </w:pPr>
            <w:r w:rsidRPr="009D3012">
              <w:t>50</w:t>
            </w:r>
          </w:p>
        </w:tc>
        <w:tc>
          <w:tcPr>
            <w:tcW w:w="695" w:type="dxa"/>
            <w:tcBorders>
              <w:left w:val="single" w:sz="12" w:space="0" w:color="000000"/>
            </w:tcBorders>
            <w:vAlign w:val="center"/>
          </w:tcPr>
          <w:p w14:paraId="7F645640" w14:textId="77777777" w:rsidR="004E22C1" w:rsidRPr="001455DC" w:rsidRDefault="004E22C1" w:rsidP="00B078F1">
            <w:pPr>
              <w:pStyle w:val="Tablebody"/>
              <w:keepNext/>
              <w:jc w:val="center"/>
              <w:rPr>
                <w:b/>
                <w:bCs/>
              </w:rPr>
            </w:pPr>
            <w:r w:rsidRPr="001455DC">
              <w:rPr>
                <w:b/>
                <w:bCs/>
              </w:rPr>
              <w:t>25</w:t>
            </w:r>
          </w:p>
        </w:tc>
        <w:tc>
          <w:tcPr>
            <w:tcW w:w="695" w:type="dxa"/>
            <w:vAlign w:val="center"/>
          </w:tcPr>
          <w:p w14:paraId="474DD5AD" w14:textId="77777777" w:rsidR="004E22C1" w:rsidRPr="009D3012" w:rsidRDefault="004E22C1" w:rsidP="00B078F1">
            <w:pPr>
              <w:pStyle w:val="Tablebody"/>
              <w:keepNext/>
              <w:jc w:val="center"/>
              <w:rPr>
                <w:rStyle w:val="CCMCvariableitalic"/>
              </w:rPr>
            </w:pPr>
            <w:r w:rsidRPr="009D3012">
              <w:t>30</w:t>
            </w:r>
          </w:p>
        </w:tc>
        <w:tc>
          <w:tcPr>
            <w:tcW w:w="695" w:type="dxa"/>
            <w:vAlign w:val="center"/>
          </w:tcPr>
          <w:p w14:paraId="100B3494" w14:textId="77777777" w:rsidR="004E22C1" w:rsidRPr="001455DC" w:rsidRDefault="004E22C1" w:rsidP="00B078F1">
            <w:pPr>
              <w:pStyle w:val="Tablebody"/>
              <w:keepNext/>
              <w:jc w:val="center"/>
              <w:rPr>
                <w:b/>
                <w:bCs/>
              </w:rPr>
            </w:pPr>
            <w:r w:rsidRPr="001455DC">
              <w:rPr>
                <w:b/>
                <w:bCs/>
              </w:rPr>
              <w:t>30</w:t>
            </w:r>
          </w:p>
        </w:tc>
        <w:tc>
          <w:tcPr>
            <w:tcW w:w="695" w:type="dxa"/>
            <w:vAlign w:val="center"/>
          </w:tcPr>
          <w:p w14:paraId="18ECC65E" w14:textId="77777777" w:rsidR="004E22C1" w:rsidRPr="001455DC" w:rsidRDefault="004E22C1" w:rsidP="00B078F1">
            <w:pPr>
              <w:pStyle w:val="Tablebody"/>
              <w:keepNext/>
              <w:jc w:val="center"/>
            </w:pPr>
            <w:r w:rsidRPr="001455DC">
              <w:t>40</w:t>
            </w:r>
          </w:p>
        </w:tc>
        <w:tc>
          <w:tcPr>
            <w:tcW w:w="695" w:type="dxa"/>
            <w:vAlign w:val="center"/>
          </w:tcPr>
          <w:p w14:paraId="4E82CB41" w14:textId="77777777" w:rsidR="004E22C1" w:rsidRPr="001455DC" w:rsidRDefault="004E22C1" w:rsidP="00B078F1">
            <w:pPr>
              <w:pStyle w:val="Tablebody"/>
              <w:keepNext/>
              <w:jc w:val="center"/>
              <w:rPr>
                <w:b/>
                <w:bCs/>
              </w:rPr>
            </w:pPr>
            <w:r w:rsidRPr="001455DC">
              <w:rPr>
                <w:b/>
                <w:bCs/>
              </w:rPr>
              <w:t>40</w:t>
            </w:r>
          </w:p>
        </w:tc>
        <w:tc>
          <w:tcPr>
            <w:tcW w:w="695" w:type="dxa"/>
            <w:vAlign w:val="center"/>
          </w:tcPr>
          <w:p w14:paraId="0ABC64EB" w14:textId="77777777" w:rsidR="004E22C1" w:rsidRPr="001455DC" w:rsidRDefault="004E22C1" w:rsidP="00B078F1">
            <w:pPr>
              <w:pStyle w:val="Tablebody"/>
              <w:keepNext/>
              <w:jc w:val="center"/>
            </w:pPr>
            <w:r w:rsidRPr="001455DC">
              <w:t>50</w:t>
            </w:r>
          </w:p>
        </w:tc>
      </w:tr>
      <w:tr w:rsidR="004E22C1" w:rsidRPr="001455DC" w14:paraId="6067C0C5" w14:textId="77777777" w:rsidTr="000170A7">
        <w:trPr>
          <w:cantSplit/>
        </w:trPr>
        <w:tc>
          <w:tcPr>
            <w:tcW w:w="1417" w:type="dxa"/>
            <w:vAlign w:val="center"/>
          </w:tcPr>
          <w:p w14:paraId="3729E6DA" w14:textId="77777777" w:rsidR="004E22C1" w:rsidRPr="001455DC" w:rsidRDefault="004E22C1" w:rsidP="00B078F1">
            <w:pPr>
              <w:pStyle w:val="Tablebody"/>
              <w:keepNext/>
              <w:jc w:val="left"/>
              <w:rPr>
                <w:b/>
                <w:bCs/>
              </w:rPr>
            </w:pPr>
            <w:r w:rsidRPr="001455DC">
              <w:rPr>
                <w:b/>
                <w:bCs/>
              </w:rPr>
              <w:t>XRDS 2</w:t>
            </w:r>
          </w:p>
        </w:tc>
        <w:tc>
          <w:tcPr>
            <w:tcW w:w="693" w:type="dxa"/>
            <w:vAlign w:val="center"/>
          </w:tcPr>
          <w:p w14:paraId="5D8A0326" w14:textId="77777777" w:rsidR="004E22C1" w:rsidRPr="001455DC" w:rsidRDefault="004E22C1" w:rsidP="00B078F1">
            <w:pPr>
              <w:pStyle w:val="Tablebody"/>
              <w:keepNext/>
              <w:jc w:val="center"/>
              <w:rPr>
                <w:b/>
              </w:rPr>
            </w:pPr>
            <w:r w:rsidRPr="001455DC">
              <w:rPr>
                <w:b/>
              </w:rPr>
              <w:t>25</w:t>
            </w:r>
          </w:p>
        </w:tc>
        <w:tc>
          <w:tcPr>
            <w:tcW w:w="694" w:type="dxa"/>
            <w:vAlign w:val="center"/>
          </w:tcPr>
          <w:p w14:paraId="12A7AD5D" w14:textId="77777777" w:rsidR="004E22C1" w:rsidRPr="001455DC" w:rsidRDefault="004E22C1" w:rsidP="00B078F1">
            <w:pPr>
              <w:pStyle w:val="Tablebody"/>
              <w:keepNext/>
              <w:jc w:val="center"/>
            </w:pPr>
            <w:r w:rsidRPr="001455DC">
              <w:t>30</w:t>
            </w:r>
          </w:p>
        </w:tc>
        <w:tc>
          <w:tcPr>
            <w:tcW w:w="694" w:type="dxa"/>
            <w:vAlign w:val="center"/>
          </w:tcPr>
          <w:p w14:paraId="45B2731F" w14:textId="77777777" w:rsidR="004E22C1" w:rsidRPr="001455DC" w:rsidRDefault="004E22C1" w:rsidP="00B078F1">
            <w:pPr>
              <w:pStyle w:val="Tablebody"/>
              <w:keepNext/>
              <w:jc w:val="center"/>
              <w:rPr>
                <w:b/>
                <w:bCs/>
              </w:rPr>
            </w:pPr>
            <w:r w:rsidRPr="001455DC">
              <w:rPr>
                <w:b/>
                <w:bCs/>
              </w:rPr>
              <w:t>35</w:t>
            </w:r>
          </w:p>
        </w:tc>
        <w:tc>
          <w:tcPr>
            <w:tcW w:w="694" w:type="dxa"/>
            <w:vAlign w:val="center"/>
          </w:tcPr>
          <w:p w14:paraId="69F737CA" w14:textId="77777777" w:rsidR="004E22C1" w:rsidRPr="001455DC" w:rsidRDefault="004E22C1" w:rsidP="00B078F1">
            <w:pPr>
              <w:pStyle w:val="Tablebody"/>
              <w:keepNext/>
              <w:jc w:val="center"/>
            </w:pPr>
            <w:r w:rsidRPr="001455DC">
              <w:t>45</w:t>
            </w:r>
          </w:p>
        </w:tc>
        <w:tc>
          <w:tcPr>
            <w:tcW w:w="695" w:type="dxa"/>
            <w:vAlign w:val="center"/>
          </w:tcPr>
          <w:p w14:paraId="4C241DD1" w14:textId="77777777" w:rsidR="004E22C1" w:rsidRPr="001455DC" w:rsidRDefault="004E22C1" w:rsidP="00B078F1">
            <w:pPr>
              <w:pStyle w:val="Tablebody"/>
              <w:keepNext/>
              <w:jc w:val="center"/>
              <w:rPr>
                <w:b/>
                <w:bCs/>
              </w:rPr>
            </w:pPr>
            <w:r w:rsidRPr="001455DC">
              <w:rPr>
                <w:b/>
                <w:bCs/>
              </w:rPr>
              <w:t>45</w:t>
            </w:r>
          </w:p>
        </w:tc>
        <w:tc>
          <w:tcPr>
            <w:tcW w:w="695" w:type="dxa"/>
            <w:tcBorders>
              <w:right w:val="single" w:sz="12" w:space="0" w:color="000000"/>
            </w:tcBorders>
            <w:vAlign w:val="center"/>
          </w:tcPr>
          <w:p w14:paraId="2098C82C" w14:textId="77777777" w:rsidR="004E22C1" w:rsidRPr="001455DC" w:rsidRDefault="004E22C1" w:rsidP="00B078F1">
            <w:pPr>
              <w:pStyle w:val="Tablebody"/>
              <w:keepNext/>
              <w:jc w:val="center"/>
            </w:pPr>
            <w:r w:rsidRPr="001455DC">
              <w:t>55</w:t>
            </w:r>
          </w:p>
        </w:tc>
        <w:tc>
          <w:tcPr>
            <w:tcW w:w="695" w:type="dxa"/>
            <w:tcBorders>
              <w:left w:val="single" w:sz="12" w:space="0" w:color="000000"/>
            </w:tcBorders>
            <w:vAlign w:val="center"/>
          </w:tcPr>
          <w:p w14:paraId="20441362" w14:textId="77777777" w:rsidR="004E22C1" w:rsidRPr="001455DC" w:rsidRDefault="004E22C1" w:rsidP="00B078F1">
            <w:pPr>
              <w:pStyle w:val="Tablebody"/>
              <w:keepNext/>
              <w:jc w:val="center"/>
              <w:rPr>
                <w:b/>
                <w:bCs/>
              </w:rPr>
            </w:pPr>
            <w:r w:rsidRPr="001455DC">
              <w:rPr>
                <w:b/>
                <w:bCs/>
              </w:rPr>
              <w:t>25</w:t>
            </w:r>
          </w:p>
        </w:tc>
        <w:tc>
          <w:tcPr>
            <w:tcW w:w="695" w:type="dxa"/>
            <w:vAlign w:val="center"/>
          </w:tcPr>
          <w:p w14:paraId="6EA85072" w14:textId="77777777" w:rsidR="004E22C1" w:rsidRPr="001455DC" w:rsidRDefault="004E22C1" w:rsidP="00B078F1">
            <w:pPr>
              <w:pStyle w:val="Tablebody"/>
              <w:keepNext/>
              <w:jc w:val="center"/>
            </w:pPr>
            <w:r w:rsidRPr="001455DC">
              <w:t>30</w:t>
            </w:r>
          </w:p>
        </w:tc>
        <w:tc>
          <w:tcPr>
            <w:tcW w:w="695" w:type="dxa"/>
            <w:vAlign w:val="center"/>
          </w:tcPr>
          <w:p w14:paraId="4A2307F2" w14:textId="77777777" w:rsidR="004E22C1" w:rsidRPr="001455DC" w:rsidRDefault="004E22C1" w:rsidP="00B078F1">
            <w:pPr>
              <w:pStyle w:val="Tablebody"/>
              <w:keepNext/>
              <w:jc w:val="center"/>
              <w:rPr>
                <w:b/>
                <w:bCs/>
              </w:rPr>
            </w:pPr>
            <w:r w:rsidRPr="001455DC">
              <w:rPr>
                <w:b/>
                <w:bCs/>
              </w:rPr>
              <w:t>35</w:t>
            </w:r>
          </w:p>
        </w:tc>
        <w:tc>
          <w:tcPr>
            <w:tcW w:w="695" w:type="dxa"/>
            <w:vAlign w:val="center"/>
          </w:tcPr>
          <w:p w14:paraId="3CF4A35C" w14:textId="77777777" w:rsidR="004E22C1" w:rsidRPr="001455DC" w:rsidRDefault="004E22C1" w:rsidP="00B078F1">
            <w:pPr>
              <w:pStyle w:val="Tablebody"/>
              <w:keepNext/>
              <w:jc w:val="center"/>
            </w:pPr>
            <w:r w:rsidRPr="001455DC">
              <w:t>45</w:t>
            </w:r>
          </w:p>
        </w:tc>
        <w:tc>
          <w:tcPr>
            <w:tcW w:w="695" w:type="dxa"/>
            <w:vAlign w:val="center"/>
          </w:tcPr>
          <w:p w14:paraId="102BCF1A" w14:textId="77777777" w:rsidR="004E22C1" w:rsidRPr="001455DC" w:rsidRDefault="004E22C1" w:rsidP="00B078F1">
            <w:pPr>
              <w:pStyle w:val="Tablebody"/>
              <w:keepNext/>
              <w:jc w:val="center"/>
              <w:rPr>
                <w:b/>
                <w:bCs/>
              </w:rPr>
            </w:pPr>
            <w:r w:rsidRPr="001455DC">
              <w:rPr>
                <w:b/>
                <w:bCs/>
              </w:rPr>
              <w:t>45</w:t>
            </w:r>
          </w:p>
        </w:tc>
        <w:tc>
          <w:tcPr>
            <w:tcW w:w="695" w:type="dxa"/>
            <w:vAlign w:val="center"/>
          </w:tcPr>
          <w:p w14:paraId="7BB4C147" w14:textId="77777777" w:rsidR="004E22C1" w:rsidRPr="001455DC" w:rsidRDefault="004E22C1" w:rsidP="00B078F1">
            <w:pPr>
              <w:pStyle w:val="Tablebody"/>
              <w:keepNext/>
              <w:jc w:val="center"/>
            </w:pPr>
            <w:r w:rsidRPr="001455DC">
              <w:t>55</w:t>
            </w:r>
          </w:p>
        </w:tc>
      </w:tr>
      <w:tr w:rsidR="004E22C1" w:rsidRPr="001455DC" w14:paraId="419DB3B8" w14:textId="77777777" w:rsidTr="000170A7">
        <w:trPr>
          <w:cantSplit/>
        </w:trPr>
        <w:tc>
          <w:tcPr>
            <w:tcW w:w="1417" w:type="dxa"/>
            <w:vAlign w:val="center"/>
            <w:hideMark/>
          </w:tcPr>
          <w:p w14:paraId="075B28B3" w14:textId="77777777" w:rsidR="004E22C1" w:rsidRPr="001455DC" w:rsidRDefault="004E22C1" w:rsidP="00B078F1">
            <w:pPr>
              <w:pStyle w:val="Tablebody"/>
              <w:keepNext/>
              <w:jc w:val="left"/>
              <w:rPr>
                <w:b/>
                <w:bCs/>
              </w:rPr>
            </w:pPr>
            <w:r w:rsidRPr="001455DC">
              <w:rPr>
                <w:b/>
                <w:bCs/>
              </w:rPr>
              <w:t>XRDS 3</w:t>
            </w:r>
          </w:p>
        </w:tc>
        <w:tc>
          <w:tcPr>
            <w:tcW w:w="693" w:type="dxa"/>
            <w:vAlign w:val="center"/>
          </w:tcPr>
          <w:p w14:paraId="4F351A6B" w14:textId="77777777" w:rsidR="004E22C1" w:rsidRPr="001455DC" w:rsidRDefault="004E22C1" w:rsidP="00B078F1">
            <w:pPr>
              <w:pStyle w:val="Tablebody"/>
              <w:keepNext/>
              <w:jc w:val="center"/>
              <w:rPr>
                <w:b/>
              </w:rPr>
            </w:pPr>
            <w:r w:rsidRPr="001455DC">
              <w:rPr>
                <w:b/>
              </w:rPr>
              <w:t>30</w:t>
            </w:r>
          </w:p>
        </w:tc>
        <w:tc>
          <w:tcPr>
            <w:tcW w:w="694" w:type="dxa"/>
            <w:vAlign w:val="center"/>
          </w:tcPr>
          <w:p w14:paraId="434347F9" w14:textId="77777777" w:rsidR="004E22C1" w:rsidRPr="001455DC" w:rsidRDefault="004E22C1" w:rsidP="00B078F1">
            <w:pPr>
              <w:pStyle w:val="Tablebody"/>
              <w:keepNext/>
              <w:jc w:val="center"/>
            </w:pPr>
            <w:r w:rsidRPr="001455DC">
              <w:t>35</w:t>
            </w:r>
          </w:p>
        </w:tc>
        <w:tc>
          <w:tcPr>
            <w:tcW w:w="694" w:type="dxa"/>
            <w:vAlign w:val="center"/>
          </w:tcPr>
          <w:p w14:paraId="072CF1C7" w14:textId="77777777" w:rsidR="004E22C1" w:rsidRPr="001455DC" w:rsidRDefault="004E22C1" w:rsidP="00B078F1">
            <w:pPr>
              <w:pStyle w:val="Tablebody"/>
              <w:keepNext/>
              <w:jc w:val="center"/>
              <w:rPr>
                <w:b/>
                <w:bCs/>
              </w:rPr>
            </w:pPr>
            <w:r w:rsidRPr="001455DC">
              <w:rPr>
                <w:b/>
                <w:bCs/>
              </w:rPr>
              <w:t>40</w:t>
            </w:r>
          </w:p>
        </w:tc>
        <w:tc>
          <w:tcPr>
            <w:tcW w:w="694" w:type="dxa"/>
            <w:vAlign w:val="center"/>
          </w:tcPr>
          <w:p w14:paraId="62441C5C" w14:textId="77777777" w:rsidR="004E22C1" w:rsidRPr="001455DC" w:rsidRDefault="004E22C1" w:rsidP="00B078F1">
            <w:pPr>
              <w:pStyle w:val="Tablebody"/>
              <w:keepNext/>
              <w:jc w:val="center"/>
            </w:pPr>
            <w:r w:rsidRPr="001455DC">
              <w:t>50</w:t>
            </w:r>
          </w:p>
        </w:tc>
        <w:tc>
          <w:tcPr>
            <w:tcW w:w="695" w:type="dxa"/>
            <w:vAlign w:val="center"/>
          </w:tcPr>
          <w:p w14:paraId="6A00D0AF" w14:textId="77777777" w:rsidR="004E22C1" w:rsidRPr="001455DC" w:rsidRDefault="004E22C1" w:rsidP="00B078F1">
            <w:pPr>
              <w:pStyle w:val="Tablebody"/>
              <w:keepNext/>
              <w:jc w:val="center"/>
              <w:rPr>
                <w:b/>
                <w:bCs/>
              </w:rPr>
            </w:pPr>
            <w:r w:rsidRPr="001455DC">
              <w:rPr>
                <w:b/>
                <w:bCs/>
              </w:rPr>
              <w:t>55</w:t>
            </w:r>
          </w:p>
        </w:tc>
        <w:tc>
          <w:tcPr>
            <w:tcW w:w="695" w:type="dxa"/>
            <w:tcBorders>
              <w:right w:val="single" w:sz="12" w:space="0" w:color="000000"/>
            </w:tcBorders>
            <w:vAlign w:val="center"/>
          </w:tcPr>
          <w:p w14:paraId="3C52AC8E" w14:textId="77777777" w:rsidR="004E22C1" w:rsidRPr="009D3012" w:rsidRDefault="004E22C1" w:rsidP="00B078F1">
            <w:pPr>
              <w:pStyle w:val="Tablebody"/>
              <w:keepNext/>
              <w:jc w:val="center"/>
              <w:rPr>
                <w:rStyle w:val="CCMCvariableitalic"/>
              </w:rPr>
            </w:pPr>
            <w:r w:rsidRPr="009D3012">
              <w:t>65</w:t>
            </w:r>
          </w:p>
        </w:tc>
        <w:tc>
          <w:tcPr>
            <w:tcW w:w="695" w:type="dxa"/>
            <w:tcBorders>
              <w:left w:val="single" w:sz="12" w:space="0" w:color="000000"/>
            </w:tcBorders>
            <w:vAlign w:val="center"/>
          </w:tcPr>
          <w:p w14:paraId="4AB29B67" w14:textId="77777777" w:rsidR="004E22C1" w:rsidRPr="001455DC" w:rsidRDefault="004E22C1" w:rsidP="00B078F1">
            <w:pPr>
              <w:pStyle w:val="Tablebody"/>
              <w:keepNext/>
              <w:jc w:val="center"/>
              <w:rPr>
                <w:b/>
                <w:bCs/>
              </w:rPr>
            </w:pPr>
            <w:r w:rsidRPr="001455DC">
              <w:rPr>
                <w:b/>
                <w:bCs/>
              </w:rPr>
              <w:t>30</w:t>
            </w:r>
          </w:p>
        </w:tc>
        <w:tc>
          <w:tcPr>
            <w:tcW w:w="695" w:type="dxa"/>
            <w:vAlign w:val="center"/>
          </w:tcPr>
          <w:p w14:paraId="410093C3" w14:textId="77777777" w:rsidR="004E22C1" w:rsidRPr="009D3012" w:rsidRDefault="004E22C1" w:rsidP="00B078F1">
            <w:pPr>
              <w:pStyle w:val="Tablebody"/>
              <w:keepNext/>
              <w:jc w:val="center"/>
              <w:rPr>
                <w:rStyle w:val="CCMCvariableitalic"/>
              </w:rPr>
            </w:pPr>
            <w:r w:rsidRPr="009D3012">
              <w:t>35</w:t>
            </w:r>
          </w:p>
        </w:tc>
        <w:tc>
          <w:tcPr>
            <w:tcW w:w="695" w:type="dxa"/>
            <w:vAlign w:val="center"/>
          </w:tcPr>
          <w:p w14:paraId="4E317568" w14:textId="77777777" w:rsidR="004E22C1" w:rsidRPr="001455DC" w:rsidRDefault="004E22C1" w:rsidP="00B078F1">
            <w:pPr>
              <w:pStyle w:val="Tablebody"/>
              <w:keepNext/>
              <w:jc w:val="center"/>
              <w:rPr>
                <w:b/>
                <w:bCs/>
              </w:rPr>
            </w:pPr>
            <w:r w:rsidRPr="001455DC">
              <w:rPr>
                <w:b/>
                <w:bCs/>
              </w:rPr>
              <w:t>40</w:t>
            </w:r>
          </w:p>
        </w:tc>
        <w:tc>
          <w:tcPr>
            <w:tcW w:w="695" w:type="dxa"/>
            <w:vAlign w:val="center"/>
          </w:tcPr>
          <w:p w14:paraId="5A720141" w14:textId="77777777" w:rsidR="004E22C1" w:rsidRPr="001455DC" w:rsidRDefault="004E22C1" w:rsidP="00B078F1">
            <w:pPr>
              <w:pStyle w:val="Tablebody"/>
              <w:keepNext/>
              <w:jc w:val="center"/>
            </w:pPr>
            <w:r w:rsidRPr="001455DC">
              <w:t>50</w:t>
            </w:r>
          </w:p>
        </w:tc>
        <w:tc>
          <w:tcPr>
            <w:tcW w:w="695" w:type="dxa"/>
            <w:vAlign w:val="center"/>
          </w:tcPr>
          <w:p w14:paraId="62A6F8B9" w14:textId="77777777" w:rsidR="004E22C1" w:rsidRPr="001455DC" w:rsidRDefault="004E22C1" w:rsidP="00B078F1">
            <w:pPr>
              <w:pStyle w:val="Tablebody"/>
              <w:keepNext/>
              <w:jc w:val="center"/>
              <w:rPr>
                <w:b/>
                <w:bCs/>
              </w:rPr>
            </w:pPr>
            <w:r w:rsidRPr="001455DC">
              <w:rPr>
                <w:b/>
                <w:bCs/>
              </w:rPr>
              <w:t>55</w:t>
            </w:r>
          </w:p>
        </w:tc>
        <w:tc>
          <w:tcPr>
            <w:tcW w:w="695" w:type="dxa"/>
            <w:vAlign w:val="center"/>
          </w:tcPr>
          <w:p w14:paraId="3AA0B071" w14:textId="77777777" w:rsidR="004E22C1" w:rsidRPr="001455DC" w:rsidRDefault="004E22C1" w:rsidP="00B078F1">
            <w:pPr>
              <w:pStyle w:val="Tablebody"/>
              <w:keepNext/>
              <w:jc w:val="center"/>
            </w:pPr>
            <w:r w:rsidRPr="001455DC">
              <w:t>65</w:t>
            </w:r>
          </w:p>
        </w:tc>
      </w:tr>
      <w:tr w:rsidR="004E22C1" w:rsidRPr="001455DC" w14:paraId="37730A29" w14:textId="77777777" w:rsidTr="000170A7">
        <w:trPr>
          <w:cantSplit/>
        </w:trPr>
        <w:tc>
          <w:tcPr>
            <w:tcW w:w="1417" w:type="dxa"/>
            <w:vAlign w:val="center"/>
            <w:hideMark/>
          </w:tcPr>
          <w:p w14:paraId="5A047D6C" w14:textId="77777777" w:rsidR="004E22C1" w:rsidRPr="001455DC" w:rsidRDefault="004E22C1" w:rsidP="00B078F1">
            <w:pPr>
              <w:pStyle w:val="Tablebody"/>
              <w:keepNext/>
              <w:jc w:val="left"/>
              <w:rPr>
                <w:b/>
                <w:bCs/>
              </w:rPr>
            </w:pPr>
            <w:r w:rsidRPr="001455DC">
              <w:rPr>
                <w:b/>
                <w:bCs/>
              </w:rPr>
              <w:t>XRDS 4</w:t>
            </w:r>
          </w:p>
        </w:tc>
        <w:tc>
          <w:tcPr>
            <w:tcW w:w="693" w:type="dxa"/>
            <w:vAlign w:val="center"/>
          </w:tcPr>
          <w:p w14:paraId="794C816E" w14:textId="77777777" w:rsidR="004E22C1" w:rsidRPr="001455DC" w:rsidRDefault="004E22C1" w:rsidP="00B078F1">
            <w:pPr>
              <w:pStyle w:val="Tablebody"/>
              <w:keepNext/>
              <w:jc w:val="center"/>
              <w:rPr>
                <w:b/>
              </w:rPr>
            </w:pPr>
            <w:r w:rsidRPr="001455DC">
              <w:rPr>
                <w:b/>
              </w:rPr>
              <w:t>30</w:t>
            </w:r>
          </w:p>
        </w:tc>
        <w:tc>
          <w:tcPr>
            <w:tcW w:w="694" w:type="dxa"/>
            <w:vAlign w:val="center"/>
          </w:tcPr>
          <w:p w14:paraId="070E5A11" w14:textId="77777777" w:rsidR="004E22C1" w:rsidRPr="009D3012" w:rsidRDefault="004E22C1" w:rsidP="00B078F1">
            <w:pPr>
              <w:pStyle w:val="Tablebody"/>
              <w:keepNext/>
              <w:jc w:val="center"/>
              <w:rPr>
                <w:rStyle w:val="CCMCvariableitalic"/>
              </w:rPr>
            </w:pPr>
            <w:r w:rsidRPr="009D3012">
              <w:t>40</w:t>
            </w:r>
          </w:p>
        </w:tc>
        <w:tc>
          <w:tcPr>
            <w:tcW w:w="694" w:type="dxa"/>
            <w:vAlign w:val="center"/>
          </w:tcPr>
          <w:p w14:paraId="4CA1F074" w14:textId="77777777" w:rsidR="004E22C1" w:rsidRPr="001455DC" w:rsidRDefault="004E22C1" w:rsidP="00B078F1">
            <w:pPr>
              <w:pStyle w:val="Tablebody"/>
              <w:keepNext/>
              <w:jc w:val="center"/>
              <w:rPr>
                <w:b/>
                <w:bCs/>
              </w:rPr>
            </w:pPr>
            <w:r w:rsidRPr="001455DC">
              <w:rPr>
                <w:b/>
                <w:bCs/>
              </w:rPr>
              <w:t>50</w:t>
            </w:r>
          </w:p>
        </w:tc>
        <w:tc>
          <w:tcPr>
            <w:tcW w:w="694" w:type="dxa"/>
            <w:vAlign w:val="center"/>
          </w:tcPr>
          <w:p w14:paraId="7B926768" w14:textId="77777777" w:rsidR="004E22C1" w:rsidRPr="009D3012" w:rsidRDefault="004E22C1" w:rsidP="00B078F1">
            <w:pPr>
              <w:pStyle w:val="Tablebody"/>
              <w:keepNext/>
              <w:jc w:val="center"/>
              <w:rPr>
                <w:rStyle w:val="CCMCvariableitalic"/>
              </w:rPr>
            </w:pPr>
            <w:r w:rsidRPr="009D3012">
              <w:t>60</w:t>
            </w:r>
          </w:p>
        </w:tc>
        <w:tc>
          <w:tcPr>
            <w:tcW w:w="695" w:type="dxa"/>
            <w:vAlign w:val="center"/>
          </w:tcPr>
          <w:p w14:paraId="3A95F5BF" w14:textId="77777777" w:rsidR="004E22C1" w:rsidRPr="009D3012" w:rsidRDefault="004E22C1" w:rsidP="00B078F1">
            <w:pPr>
              <w:pStyle w:val="Tablebody"/>
              <w:keepNext/>
              <w:jc w:val="center"/>
              <w:rPr>
                <w:rStyle w:val="CCMCvariableitalic"/>
                <w:b/>
                <w:bCs/>
              </w:rPr>
            </w:pPr>
            <w:r w:rsidRPr="009D3012">
              <w:rPr>
                <w:b/>
                <w:bCs/>
              </w:rPr>
              <w:t>60</w:t>
            </w:r>
          </w:p>
        </w:tc>
        <w:tc>
          <w:tcPr>
            <w:tcW w:w="695" w:type="dxa"/>
            <w:tcBorders>
              <w:right w:val="single" w:sz="12" w:space="0" w:color="000000"/>
            </w:tcBorders>
            <w:vAlign w:val="center"/>
          </w:tcPr>
          <w:p w14:paraId="260168B2" w14:textId="77777777" w:rsidR="004E22C1" w:rsidRPr="009D3012" w:rsidRDefault="004E22C1" w:rsidP="00B078F1">
            <w:pPr>
              <w:pStyle w:val="Tablebody"/>
              <w:keepNext/>
              <w:jc w:val="center"/>
              <w:rPr>
                <w:rStyle w:val="CCMCvariableitalic"/>
              </w:rPr>
            </w:pPr>
            <w:r w:rsidRPr="009D3012">
              <w:t>80</w:t>
            </w:r>
          </w:p>
        </w:tc>
        <w:tc>
          <w:tcPr>
            <w:tcW w:w="695" w:type="dxa"/>
            <w:tcBorders>
              <w:left w:val="single" w:sz="12" w:space="0" w:color="000000"/>
            </w:tcBorders>
            <w:vAlign w:val="center"/>
          </w:tcPr>
          <w:p w14:paraId="1F1A3302" w14:textId="77777777" w:rsidR="004E22C1" w:rsidRPr="009D3012" w:rsidRDefault="004E22C1" w:rsidP="00B078F1">
            <w:pPr>
              <w:pStyle w:val="Tablebody"/>
              <w:keepNext/>
              <w:jc w:val="center"/>
              <w:rPr>
                <w:rStyle w:val="CCMCvariableitalic"/>
                <w:b/>
                <w:bCs/>
              </w:rPr>
            </w:pPr>
            <w:r w:rsidRPr="009D3012">
              <w:rPr>
                <w:b/>
                <w:bCs/>
              </w:rPr>
              <w:t>30</w:t>
            </w:r>
          </w:p>
        </w:tc>
        <w:tc>
          <w:tcPr>
            <w:tcW w:w="695" w:type="dxa"/>
            <w:vAlign w:val="center"/>
          </w:tcPr>
          <w:p w14:paraId="4B238BFF" w14:textId="77777777" w:rsidR="004E22C1" w:rsidRPr="009D3012" w:rsidRDefault="004E22C1" w:rsidP="00B078F1">
            <w:pPr>
              <w:pStyle w:val="Tablebody"/>
              <w:keepNext/>
              <w:jc w:val="center"/>
              <w:rPr>
                <w:rStyle w:val="CCMCvariableitalic"/>
              </w:rPr>
            </w:pPr>
            <w:r w:rsidRPr="009D3012">
              <w:t>40</w:t>
            </w:r>
          </w:p>
        </w:tc>
        <w:tc>
          <w:tcPr>
            <w:tcW w:w="695" w:type="dxa"/>
            <w:vAlign w:val="center"/>
          </w:tcPr>
          <w:p w14:paraId="2DBE9F49" w14:textId="77777777" w:rsidR="004E22C1" w:rsidRPr="001455DC" w:rsidRDefault="004E22C1" w:rsidP="00B078F1">
            <w:pPr>
              <w:pStyle w:val="Tablebody"/>
              <w:keepNext/>
              <w:jc w:val="center"/>
              <w:rPr>
                <w:b/>
                <w:bCs/>
              </w:rPr>
            </w:pPr>
            <w:r w:rsidRPr="001455DC">
              <w:rPr>
                <w:b/>
                <w:bCs/>
              </w:rPr>
              <w:t>50</w:t>
            </w:r>
          </w:p>
        </w:tc>
        <w:tc>
          <w:tcPr>
            <w:tcW w:w="695" w:type="dxa"/>
            <w:vAlign w:val="center"/>
          </w:tcPr>
          <w:p w14:paraId="04F191B5" w14:textId="77777777" w:rsidR="004E22C1" w:rsidRPr="001455DC" w:rsidRDefault="004E22C1" w:rsidP="00B078F1">
            <w:pPr>
              <w:pStyle w:val="Tablebody"/>
              <w:keepNext/>
              <w:jc w:val="center"/>
            </w:pPr>
            <w:r w:rsidRPr="001455DC">
              <w:t>60</w:t>
            </w:r>
          </w:p>
        </w:tc>
        <w:tc>
          <w:tcPr>
            <w:tcW w:w="695" w:type="dxa"/>
            <w:vAlign w:val="center"/>
          </w:tcPr>
          <w:p w14:paraId="426F8C98" w14:textId="77777777" w:rsidR="004E22C1" w:rsidRPr="001455DC" w:rsidRDefault="004E22C1" w:rsidP="00B078F1">
            <w:pPr>
              <w:pStyle w:val="Tablebody"/>
              <w:keepNext/>
              <w:jc w:val="center"/>
              <w:rPr>
                <w:b/>
                <w:bCs/>
              </w:rPr>
            </w:pPr>
            <w:r w:rsidRPr="001455DC">
              <w:rPr>
                <w:b/>
                <w:bCs/>
              </w:rPr>
              <w:t>60</w:t>
            </w:r>
          </w:p>
        </w:tc>
        <w:tc>
          <w:tcPr>
            <w:tcW w:w="695" w:type="dxa"/>
            <w:vAlign w:val="center"/>
          </w:tcPr>
          <w:p w14:paraId="4C7173C4" w14:textId="77777777" w:rsidR="004E22C1" w:rsidRPr="001455DC" w:rsidRDefault="004E22C1" w:rsidP="00B078F1">
            <w:pPr>
              <w:pStyle w:val="Tablebody"/>
              <w:keepNext/>
              <w:jc w:val="center"/>
            </w:pPr>
            <w:r w:rsidRPr="001455DC">
              <w:t>80</w:t>
            </w:r>
          </w:p>
        </w:tc>
      </w:tr>
      <w:tr w:rsidR="000170A7" w:rsidRPr="001455DC" w14:paraId="1F198EB7" w14:textId="77777777" w:rsidTr="009D3012">
        <w:trPr>
          <w:cantSplit/>
        </w:trPr>
        <w:tc>
          <w:tcPr>
            <w:tcW w:w="1417" w:type="dxa"/>
            <w:vAlign w:val="center"/>
            <w:hideMark/>
          </w:tcPr>
          <w:p w14:paraId="53598635" w14:textId="77777777" w:rsidR="000170A7" w:rsidRPr="001455DC" w:rsidRDefault="000170A7" w:rsidP="00B078F1">
            <w:pPr>
              <w:pStyle w:val="Tablebody"/>
              <w:keepNext/>
              <w:jc w:val="left"/>
              <w:rPr>
                <w:b/>
                <w:bCs/>
              </w:rPr>
            </w:pPr>
            <w:r w:rsidRPr="001455DC">
              <w:rPr>
                <w:b/>
                <w:bCs/>
              </w:rPr>
              <w:t>XRDS 5</w:t>
            </w:r>
          </w:p>
        </w:tc>
        <w:tc>
          <w:tcPr>
            <w:tcW w:w="693" w:type="dxa"/>
            <w:vAlign w:val="center"/>
          </w:tcPr>
          <w:p w14:paraId="2C7E8BC0" w14:textId="77777777" w:rsidR="000170A7" w:rsidRPr="001455DC" w:rsidRDefault="000170A7" w:rsidP="00B078F1">
            <w:pPr>
              <w:pStyle w:val="Tablebody"/>
              <w:keepNext/>
              <w:jc w:val="center"/>
              <w:rPr>
                <w:b/>
              </w:rPr>
            </w:pPr>
            <w:r w:rsidRPr="001455DC">
              <w:rPr>
                <w:b/>
              </w:rPr>
              <w:t>35</w:t>
            </w:r>
          </w:p>
        </w:tc>
        <w:tc>
          <w:tcPr>
            <w:tcW w:w="694" w:type="dxa"/>
            <w:vAlign w:val="center"/>
          </w:tcPr>
          <w:p w14:paraId="0DC41F31" w14:textId="77777777" w:rsidR="000170A7" w:rsidRPr="001455DC" w:rsidRDefault="000170A7" w:rsidP="00B078F1">
            <w:pPr>
              <w:pStyle w:val="Tablebody"/>
              <w:keepNext/>
              <w:jc w:val="center"/>
            </w:pPr>
            <w:r w:rsidRPr="001455DC">
              <w:t>45</w:t>
            </w:r>
          </w:p>
        </w:tc>
        <w:tc>
          <w:tcPr>
            <w:tcW w:w="694" w:type="dxa"/>
            <w:vAlign w:val="center"/>
          </w:tcPr>
          <w:p w14:paraId="37ED577E" w14:textId="77777777" w:rsidR="000170A7" w:rsidRPr="001455DC" w:rsidRDefault="000170A7" w:rsidP="00B078F1">
            <w:pPr>
              <w:pStyle w:val="Tablebody"/>
              <w:keepNext/>
              <w:jc w:val="center"/>
              <w:rPr>
                <w:b/>
                <w:bCs/>
              </w:rPr>
            </w:pPr>
            <w:r w:rsidRPr="001455DC">
              <w:rPr>
                <w:b/>
                <w:bCs/>
              </w:rPr>
              <w:t>60</w:t>
            </w:r>
          </w:p>
        </w:tc>
        <w:tc>
          <w:tcPr>
            <w:tcW w:w="694" w:type="dxa"/>
            <w:vAlign w:val="center"/>
          </w:tcPr>
          <w:p w14:paraId="27425B8F" w14:textId="77777777" w:rsidR="000170A7" w:rsidRPr="001455DC" w:rsidRDefault="000170A7" w:rsidP="00B078F1">
            <w:pPr>
              <w:pStyle w:val="Tablebody"/>
              <w:keepNext/>
              <w:jc w:val="center"/>
            </w:pPr>
            <w:r w:rsidRPr="001455DC">
              <w:t>70</w:t>
            </w:r>
          </w:p>
        </w:tc>
        <w:tc>
          <w:tcPr>
            <w:tcW w:w="695" w:type="dxa"/>
            <w:vAlign w:val="center"/>
          </w:tcPr>
          <w:p w14:paraId="37BF4E2C" w14:textId="77777777" w:rsidR="000170A7" w:rsidRPr="001455DC" w:rsidRDefault="000170A7" w:rsidP="00B078F1">
            <w:pPr>
              <w:pStyle w:val="Tablebody"/>
              <w:keepNext/>
              <w:jc w:val="center"/>
              <w:rPr>
                <w:b/>
                <w:bCs/>
              </w:rPr>
            </w:pPr>
            <w:r w:rsidRPr="001455DC">
              <w:rPr>
                <w:b/>
                <w:bCs/>
              </w:rPr>
              <w:t>70</w:t>
            </w:r>
          </w:p>
        </w:tc>
        <w:tc>
          <w:tcPr>
            <w:tcW w:w="695" w:type="dxa"/>
            <w:tcBorders>
              <w:right w:val="single" w:sz="12" w:space="0" w:color="000000"/>
            </w:tcBorders>
          </w:tcPr>
          <w:p w14:paraId="4126C3ED" w14:textId="0568FFAD" w:rsidR="000170A7" w:rsidRPr="001455DC" w:rsidRDefault="000170A7" w:rsidP="00B078F1">
            <w:pPr>
              <w:pStyle w:val="Tablebody"/>
              <w:keepNext/>
              <w:jc w:val="center"/>
            </w:pPr>
            <w:r w:rsidRPr="001455DC">
              <w:t>—</w:t>
            </w:r>
          </w:p>
        </w:tc>
        <w:tc>
          <w:tcPr>
            <w:tcW w:w="695" w:type="dxa"/>
            <w:tcBorders>
              <w:left w:val="single" w:sz="12" w:space="0" w:color="000000"/>
            </w:tcBorders>
            <w:vAlign w:val="center"/>
          </w:tcPr>
          <w:p w14:paraId="0737420E" w14:textId="77777777" w:rsidR="000170A7" w:rsidRPr="001455DC" w:rsidRDefault="000170A7" w:rsidP="00B078F1">
            <w:pPr>
              <w:pStyle w:val="Tablebody"/>
              <w:keepNext/>
              <w:jc w:val="center"/>
              <w:rPr>
                <w:b/>
                <w:bCs/>
              </w:rPr>
            </w:pPr>
            <w:r w:rsidRPr="001455DC">
              <w:rPr>
                <w:b/>
                <w:bCs/>
              </w:rPr>
              <w:t>35</w:t>
            </w:r>
          </w:p>
        </w:tc>
        <w:tc>
          <w:tcPr>
            <w:tcW w:w="695" w:type="dxa"/>
            <w:vAlign w:val="center"/>
          </w:tcPr>
          <w:p w14:paraId="6DEDB63A" w14:textId="77777777" w:rsidR="000170A7" w:rsidRPr="001455DC" w:rsidRDefault="000170A7" w:rsidP="00B078F1">
            <w:pPr>
              <w:pStyle w:val="Tablebody"/>
              <w:keepNext/>
              <w:jc w:val="center"/>
            </w:pPr>
            <w:r w:rsidRPr="001455DC">
              <w:t>45</w:t>
            </w:r>
          </w:p>
        </w:tc>
        <w:tc>
          <w:tcPr>
            <w:tcW w:w="695" w:type="dxa"/>
            <w:vAlign w:val="center"/>
          </w:tcPr>
          <w:p w14:paraId="5374B02D" w14:textId="77777777" w:rsidR="000170A7" w:rsidRPr="001455DC" w:rsidRDefault="000170A7" w:rsidP="00B078F1">
            <w:pPr>
              <w:pStyle w:val="Tablebody"/>
              <w:keepNext/>
              <w:jc w:val="center"/>
              <w:rPr>
                <w:b/>
                <w:bCs/>
              </w:rPr>
            </w:pPr>
            <w:r w:rsidRPr="001455DC">
              <w:rPr>
                <w:b/>
                <w:bCs/>
              </w:rPr>
              <w:t>60</w:t>
            </w:r>
          </w:p>
        </w:tc>
        <w:tc>
          <w:tcPr>
            <w:tcW w:w="695" w:type="dxa"/>
            <w:vAlign w:val="center"/>
          </w:tcPr>
          <w:p w14:paraId="3E9797C6" w14:textId="77777777" w:rsidR="000170A7" w:rsidRPr="001455DC" w:rsidRDefault="000170A7" w:rsidP="00B078F1">
            <w:pPr>
              <w:pStyle w:val="Tablebody"/>
              <w:keepNext/>
              <w:jc w:val="center"/>
            </w:pPr>
            <w:r w:rsidRPr="001455DC">
              <w:t>70</w:t>
            </w:r>
          </w:p>
        </w:tc>
        <w:tc>
          <w:tcPr>
            <w:tcW w:w="695" w:type="dxa"/>
            <w:vAlign w:val="center"/>
          </w:tcPr>
          <w:p w14:paraId="58A65035" w14:textId="77777777" w:rsidR="000170A7" w:rsidRPr="001455DC" w:rsidRDefault="000170A7" w:rsidP="00B078F1">
            <w:pPr>
              <w:pStyle w:val="Tablebody"/>
              <w:keepNext/>
              <w:jc w:val="center"/>
              <w:rPr>
                <w:b/>
                <w:bCs/>
              </w:rPr>
            </w:pPr>
            <w:r w:rsidRPr="001455DC">
              <w:rPr>
                <w:b/>
                <w:bCs/>
              </w:rPr>
              <w:t>70</w:t>
            </w:r>
          </w:p>
        </w:tc>
        <w:tc>
          <w:tcPr>
            <w:tcW w:w="695" w:type="dxa"/>
          </w:tcPr>
          <w:p w14:paraId="7F5FF3D1" w14:textId="2825414D" w:rsidR="000170A7" w:rsidRPr="001455DC" w:rsidRDefault="000170A7" w:rsidP="00B078F1">
            <w:pPr>
              <w:pStyle w:val="Tablebody"/>
              <w:keepNext/>
              <w:jc w:val="center"/>
            </w:pPr>
            <w:r w:rsidRPr="001455DC">
              <w:t>—</w:t>
            </w:r>
          </w:p>
        </w:tc>
      </w:tr>
      <w:tr w:rsidR="000170A7" w:rsidRPr="001455DC" w14:paraId="3D20B36C" w14:textId="77777777" w:rsidTr="009D3012">
        <w:trPr>
          <w:cantSplit/>
        </w:trPr>
        <w:tc>
          <w:tcPr>
            <w:tcW w:w="1417" w:type="dxa"/>
            <w:vAlign w:val="center"/>
          </w:tcPr>
          <w:p w14:paraId="3284CAA3" w14:textId="77777777" w:rsidR="000170A7" w:rsidRPr="001455DC" w:rsidRDefault="000170A7" w:rsidP="00B078F1">
            <w:pPr>
              <w:pStyle w:val="Tablebody"/>
              <w:keepNext/>
              <w:jc w:val="left"/>
              <w:rPr>
                <w:b/>
                <w:bCs/>
              </w:rPr>
            </w:pPr>
            <w:r w:rsidRPr="001455DC">
              <w:rPr>
                <w:b/>
                <w:bCs/>
              </w:rPr>
              <w:t>XRDS 6</w:t>
            </w:r>
          </w:p>
        </w:tc>
        <w:tc>
          <w:tcPr>
            <w:tcW w:w="693" w:type="dxa"/>
            <w:vAlign w:val="center"/>
          </w:tcPr>
          <w:p w14:paraId="2B5EA5FC" w14:textId="77777777" w:rsidR="000170A7" w:rsidRPr="001455DC" w:rsidRDefault="000170A7" w:rsidP="00B078F1">
            <w:pPr>
              <w:pStyle w:val="Tablebody"/>
              <w:keepNext/>
              <w:jc w:val="center"/>
              <w:rPr>
                <w:b/>
              </w:rPr>
            </w:pPr>
            <w:r w:rsidRPr="001455DC">
              <w:rPr>
                <w:b/>
              </w:rPr>
              <w:t>40</w:t>
            </w:r>
          </w:p>
        </w:tc>
        <w:tc>
          <w:tcPr>
            <w:tcW w:w="694" w:type="dxa"/>
            <w:vAlign w:val="center"/>
          </w:tcPr>
          <w:p w14:paraId="6912750F" w14:textId="77777777" w:rsidR="000170A7" w:rsidRPr="001455DC" w:rsidRDefault="000170A7" w:rsidP="00B078F1">
            <w:pPr>
              <w:pStyle w:val="Tablebody"/>
              <w:keepNext/>
              <w:jc w:val="center"/>
            </w:pPr>
            <w:r w:rsidRPr="001455DC">
              <w:t>50</w:t>
            </w:r>
          </w:p>
        </w:tc>
        <w:tc>
          <w:tcPr>
            <w:tcW w:w="694" w:type="dxa"/>
            <w:vAlign w:val="center"/>
          </w:tcPr>
          <w:p w14:paraId="0421A95A" w14:textId="77777777" w:rsidR="000170A7" w:rsidRPr="001455DC" w:rsidRDefault="000170A7" w:rsidP="00B078F1">
            <w:pPr>
              <w:pStyle w:val="Tablebody"/>
              <w:keepNext/>
              <w:jc w:val="center"/>
              <w:rPr>
                <w:b/>
                <w:bCs/>
              </w:rPr>
            </w:pPr>
            <w:r w:rsidRPr="001455DC">
              <w:rPr>
                <w:b/>
                <w:bCs/>
              </w:rPr>
              <w:t>65</w:t>
            </w:r>
          </w:p>
        </w:tc>
        <w:tc>
          <w:tcPr>
            <w:tcW w:w="694" w:type="dxa"/>
            <w:vAlign w:val="center"/>
          </w:tcPr>
          <w:p w14:paraId="1A6AA090" w14:textId="77777777" w:rsidR="000170A7" w:rsidRPr="001455DC" w:rsidRDefault="000170A7" w:rsidP="00B078F1">
            <w:pPr>
              <w:pStyle w:val="Tablebody"/>
              <w:keepNext/>
              <w:jc w:val="center"/>
            </w:pPr>
            <w:r w:rsidRPr="001455DC">
              <w:t>80</w:t>
            </w:r>
          </w:p>
        </w:tc>
        <w:tc>
          <w:tcPr>
            <w:tcW w:w="695" w:type="dxa"/>
          </w:tcPr>
          <w:p w14:paraId="079E7701" w14:textId="3846FC51" w:rsidR="000170A7" w:rsidRPr="001455DC" w:rsidRDefault="000170A7" w:rsidP="00B078F1">
            <w:pPr>
              <w:pStyle w:val="Tablebody"/>
              <w:keepNext/>
              <w:jc w:val="center"/>
              <w:rPr>
                <w:b/>
                <w:bCs/>
              </w:rPr>
            </w:pPr>
            <w:r w:rsidRPr="001455DC">
              <w:t>—</w:t>
            </w:r>
          </w:p>
        </w:tc>
        <w:tc>
          <w:tcPr>
            <w:tcW w:w="695" w:type="dxa"/>
            <w:tcBorders>
              <w:right w:val="single" w:sz="12" w:space="0" w:color="000000"/>
            </w:tcBorders>
          </w:tcPr>
          <w:p w14:paraId="654807CD" w14:textId="164A84FF" w:rsidR="000170A7" w:rsidRPr="001455DC" w:rsidRDefault="000170A7" w:rsidP="00B078F1">
            <w:pPr>
              <w:pStyle w:val="Tablebody"/>
              <w:keepNext/>
              <w:jc w:val="center"/>
            </w:pPr>
            <w:r w:rsidRPr="001455DC">
              <w:t>—</w:t>
            </w:r>
          </w:p>
        </w:tc>
        <w:tc>
          <w:tcPr>
            <w:tcW w:w="695" w:type="dxa"/>
            <w:tcBorders>
              <w:left w:val="single" w:sz="12" w:space="0" w:color="000000"/>
            </w:tcBorders>
            <w:vAlign w:val="center"/>
          </w:tcPr>
          <w:p w14:paraId="17602448" w14:textId="77777777" w:rsidR="000170A7" w:rsidRPr="001455DC" w:rsidRDefault="000170A7" w:rsidP="00B078F1">
            <w:pPr>
              <w:pStyle w:val="Tablebody"/>
              <w:keepNext/>
              <w:jc w:val="center"/>
              <w:rPr>
                <w:b/>
                <w:bCs/>
              </w:rPr>
            </w:pPr>
            <w:r w:rsidRPr="001455DC">
              <w:rPr>
                <w:b/>
                <w:bCs/>
              </w:rPr>
              <w:t>40</w:t>
            </w:r>
          </w:p>
        </w:tc>
        <w:tc>
          <w:tcPr>
            <w:tcW w:w="695" w:type="dxa"/>
            <w:vAlign w:val="center"/>
          </w:tcPr>
          <w:p w14:paraId="5E5CABB5" w14:textId="77777777" w:rsidR="000170A7" w:rsidRPr="001455DC" w:rsidRDefault="000170A7" w:rsidP="00B078F1">
            <w:pPr>
              <w:pStyle w:val="Tablebody"/>
              <w:keepNext/>
              <w:jc w:val="center"/>
            </w:pPr>
            <w:r w:rsidRPr="001455DC">
              <w:t>50</w:t>
            </w:r>
          </w:p>
        </w:tc>
        <w:tc>
          <w:tcPr>
            <w:tcW w:w="695" w:type="dxa"/>
            <w:vAlign w:val="center"/>
          </w:tcPr>
          <w:p w14:paraId="24341885" w14:textId="77777777" w:rsidR="000170A7" w:rsidRPr="001455DC" w:rsidRDefault="000170A7" w:rsidP="00B078F1">
            <w:pPr>
              <w:pStyle w:val="Tablebody"/>
              <w:keepNext/>
              <w:jc w:val="center"/>
              <w:rPr>
                <w:b/>
                <w:bCs/>
              </w:rPr>
            </w:pPr>
            <w:r w:rsidRPr="001455DC">
              <w:rPr>
                <w:b/>
                <w:bCs/>
              </w:rPr>
              <w:t>65</w:t>
            </w:r>
          </w:p>
        </w:tc>
        <w:tc>
          <w:tcPr>
            <w:tcW w:w="695" w:type="dxa"/>
            <w:vAlign w:val="center"/>
          </w:tcPr>
          <w:p w14:paraId="7D9D7104" w14:textId="77777777" w:rsidR="000170A7" w:rsidRPr="001455DC" w:rsidRDefault="000170A7" w:rsidP="00B078F1">
            <w:pPr>
              <w:pStyle w:val="Tablebody"/>
              <w:keepNext/>
              <w:jc w:val="center"/>
            </w:pPr>
            <w:r w:rsidRPr="001455DC">
              <w:t>80</w:t>
            </w:r>
          </w:p>
        </w:tc>
        <w:tc>
          <w:tcPr>
            <w:tcW w:w="695" w:type="dxa"/>
          </w:tcPr>
          <w:p w14:paraId="1C05AA54" w14:textId="43DCEEBF" w:rsidR="000170A7" w:rsidRPr="001455DC" w:rsidRDefault="000170A7" w:rsidP="00B078F1">
            <w:pPr>
              <w:pStyle w:val="Tablebody"/>
              <w:keepNext/>
              <w:jc w:val="center"/>
              <w:rPr>
                <w:b/>
                <w:bCs/>
              </w:rPr>
            </w:pPr>
            <w:r w:rsidRPr="001455DC">
              <w:t>—</w:t>
            </w:r>
          </w:p>
        </w:tc>
        <w:tc>
          <w:tcPr>
            <w:tcW w:w="695" w:type="dxa"/>
          </w:tcPr>
          <w:p w14:paraId="2064265E" w14:textId="0DBFF380" w:rsidR="000170A7" w:rsidRPr="001455DC" w:rsidRDefault="000170A7" w:rsidP="00B078F1">
            <w:pPr>
              <w:pStyle w:val="Tablebody"/>
              <w:keepNext/>
              <w:jc w:val="center"/>
            </w:pPr>
            <w:r w:rsidRPr="001455DC">
              <w:t>—</w:t>
            </w:r>
          </w:p>
        </w:tc>
      </w:tr>
      <w:tr w:rsidR="000170A7" w:rsidRPr="001455DC" w14:paraId="31FC884A" w14:textId="77777777" w:rsidTr="009D3012">
        <w:trPr>
          <w:cantSplit/>
        </w:trPr>
        <w:tc>
          <w:tcPr>
            <w:tcW w:w="1417" w:type="dxa"/>
            <w:vAlign w:val="center"/>
          </w:tcPr>
          <w:p w14:paraId="2A9016D2" w14:textId="77777777" w:rsidR="000170A7" w:rsidRPr="001455DC" w:rsidRDefault="000170A7" w:rsidP="00B078F1">
            <w:pPr>
              <w:pStyle w:val="Tablebody"/>
              <w:keepNext/>
              <w:jc w:val="left"/>
              <w:rPr>
                <w:b/>
                <w:bCs/>
              </w:rPr>
            </w:pPr>
            <w:r w:rsidRPr="001455DC">
              <w:rPr>
                <w:b/>
                <w:bCs/>
              </w:rPr>
              <w:t>XRDS 8</w:t>
            </w:r>
          </w:p>
        </w:tc>
        <w:tc>
          <w:tcPr>
            <w:tcW w:w="693" w:type="dxa"/>
            <w:vAlign w:val="center"/>
          </w:tcPr>
          <w:p w14:paraId="74C82EEF" w14:textId="77777777" w:rsidR="000170A7" w:rsidRPr="001455DC" w:rsidRDefault="000170A7" w:rsidP="00B078F1">
            <w:pPr>
              <w:pStyle w:val="Tablebody"/>
              <w:keepNext/>
              <w:jc w:val="center"/>
              <w:rPr>
                <w:b/>
              </w:rPr>
            </w:pPr>
            <w:r w:rsidRPr="001455DC">
              <w:rPr>
                <w:b/>
              </w:rPr>
              <w:t>45</w:t>
            </w:r>
          </w:p>
        </w:tc>
        <w:tc>
          <w:tcPr>
            <w:tcW w:w="694" w:type="dxa"/>
            <w:vAlign w:val="center"/>
          </w:tcPr>
          <w:p w14:paraId="3EBD6CF4" w14:textId="77777777" w:rsidR="000170A7" w:rsidRPr="001455DC" w:rsidRDefault="000170A7" w:rsidP="00B078F1">
            <w:pPr>
              <w:pStyle w:val="Tablebody"/>
              <w:keepNext/>
              <w:jc w:val="center"/>
            </w:pPr>
            <w:r w:rsidRPr="001455DC">
              <w:t>55</w:t>
            </w:r>
          </w:p>
        </w:tc>
        <w:tc>
          <w:tcPr>
            <w:tcW w:w="694" w:type="dxa"/>
            <w:vAlign w:val="center"/>
          </w:tcPr>
          <w:p w14:paraId="0409964D" w14:textId="77777777" w:rsidR="000170A7" w:rsidRPr="001455DC" w:rsidRDefault="000170A7" w:rsidP="00B078F1">
            <w:pPr>
              <w:pStyle w:val="Tablebody"/>
              <w:keepNext/>
              <w:jc w:val="center"/>
              <w:rPr>
                <w:b/>
                <w:bCs/>
              </w:rPr>
            </w:pPr>
            <w:r w:rsidRPr="001455DC">
              <w:rPr>
                <w:b/>
                <w:bCs/>
              </w:rPr>
              <w:t>75</w:t>
            </w:r>
          </w:p>
        </w:tc>
        <w:tc>
          <w:tcPr>
            <w:tcW w:w="694" w:type="dxa"/>
            <w:vAlign w:val="center"/>
          </w:tcPr>
          <w:p w14:paraId="7ED7AA49" w14:textId="17ED2E60" w:rsidR="000170A7" w:rsidRPr="001455DC" w:rsidRDefault="000170A7" w:rsidP="00B078F1">
            <w:pPr>
              <w:pStyle w:val="Tablebody"/>
              <w:keepNext/>
              <w:jc w:val="center"/>
            </w:pPr>
            <w:r w:rsidRPr="001455DC">
              <w:t>—</w:t>
            </w:r>
          </w:p>
        </w:tc>
        <w:tc>
          <w:tcPr>
            <w:tcW w:w="695" w:type="dxa"/>
          </w:tcPr>
          <w:p w14:paraId="32ACBA11" w14:textId="0118C72F" w:rsidR="000170A7" w:rsidRPr="001455DC" w:rsidRDefault="000170A7" w:rsidP="00B078F1">
            <w:pPr>
              <w:pStyle w:val="Tablebody"/>
              <w:keepNext/>
              <w:jc w:val="center"/>
              <w:rPr>
                <w:b/>
                <w:bCs/>
              </w:rPr>
            </w:pPr>
            <w:r w:rsidRPr="001455DC">
              <w:t>—</w:t>
            </w:r>
          </w:p>
        </w:tc>
        <w:tc>
          <w:tcPr>
            <w:tcW w:w="695" w:type="dxa"/>
            <w:tcBorders>
              <w:right w:val="single" w:sz="12" w:space="0" w:color="000000"/>
            </w:tcBorders>
          </w:tcPr>
          <w:p w14:paraId="276AE848" w14:textId="2E9E134B" w:rsidR="000170A7" w:rsidRPr="001455DC" w:rsidRDefault="000170A7" w:rsidP="00B078F1">
            <w:pPr>
              <w:pStyle w:val="Tablebody"/>
              <w:keepNext/>
              <w:jc w:val="center"/>
            </w:pPr>
            <w:r w:rsidRPr="001455DC">
              <w:t>—</w:t>
            </w:r>
          </w:p>
        </w:tc>
        <w:tc>
          <w:tcPr>
            <w:tcW w:w="695" w:type="dxa"/>
            <w:tcBorders>
              <w:left w:val="single" w:sz="12" w:space="0" w:color="000000"/>
            </w:tcBorders>
            <w:vAlign w:val="center"/>
          </w:tcPr>
          <w:p w14:paraId="4B5DDE48" w14:textId="77777777" w:rsidR="000170A7" w:rsidRPr="001455DC" w:rsidRDefault="000170A7" w:rsidP="00B078F1">
            <w:pPr>
              <w:pStyle w:val="Tablebody"/>
              <w:keepNext/>
              <w:jc w:val="center"/>
              <w:rPr>
                <w:b/>
                <w:bCs/>
              </w:rPr>
            </w:pPr>
            <w:r w:rsidRPr="001455DC">
              <w:rPr>
                <w:b/>
                <w:bCs/>
              </w:rPr>
              <w:t>45</w:t>
            </w:r>
          </w:p>
        </w:tc>
        <w:tc>
          <w:tcPr>
            <w:tcW w:w="695" w:type="dxa"/>
            <w:vAlign w:val="center"/>
          </w:tcPr>
          <w:p w14:paraId="6B255EF9" w14:textId="77777777" w:rsidR="000170A7" w:rsidRPr="001455DC" w:rsidRDefault="000170A7" w:rsidP="00B078F1">
            <w:pPr>
              <w:pStyle w:val="Tablebody"/>
              <w:keepNext/>
              <w:jc w:val="center"/>
            </w:pPr>
            <w:r w:rsidRPr="001455DC">
              <w:t>55</w:t>
            </w:r>
          </w:p>
        </w:tc>
        <w:tc>
          <w:tcPr>
            <w:tcW w:w="695" w:type="dxa"/>
            <w:vAlign w:val="center"/>
          </w:tcPr>
          <w:p w14:paraId="13B9691A" w14:textId="77777777" w:rsidR="000170A7" w:rsidRPr="001455DC" w:rsidRDefault="000170A7" w:rsidP="00B078F1">
            <w:pPr>
              <w:pStyle w:val="Tablebody"/>
              <w:keepNext/>
              <w:jc w:val="center"/>
              <w:rPr>
                <w:b/>
                <w:bCs/>
              </w:rPr>
            </w:pPr>
            <w:r w:rsidRPr="001455DC">
              <w:rPr>
                <w:b/>
                <w:bCs/>
              </w:rPr>
              <w:t>75</w:t>
            </w:r>
          </w:p>
        </w:tc>
        <w:tc>
          <w:tcPr>
            <w:tcW w:w="695" w:type="dxa"/>
          </w:tcPr>
          <w:p w14:paraId="4B01BAA0" w14:textId="0156E716" w:rsidR="000170A7" w:rsidRPr="001455DC" w:rsidRDefault="000170A7" w:rsidP="00B078F1">
            <w:pPr>
              <w:pStyle w:val="Tablebody"/>
              <w:keepNext/>
              <w:jc w:val="center"/>
            </w:pPr>
            <w:r w:rsidRPr="001455DC">
              <w:t>—</w:t>
            </w:r>
          </w:p>
        </w:tc>
        <w:tc>
          <w:tcPr>
            <w:tcW w:w="695" w:type="dxa"/>
          </w:tcPr>
          <w:p w14:paraId="1C615E19" w14:textId="7DEBF6DD" w:rsidR="000170A7" w:rsidRPr="001455DC" w:rsidRDefault="000170A7" w:rsidP="00B078F1">
            <w:pPr>
              <w:pStyle w:val="Tablebody"/>
              <w:keepNext/>
              <w:jc w:val="center"/>
              <w:rPr>
                <w:b/>
                <w:bCs/>
              </w:rPr>
            </w:pPr>
            <w:r w:rsidRPr="001455DC">
              <w:t>—</w:t>
            </w:r>
          </w:p>
        </w:tc>
        <w:tc>
          <w:tcPr>
            <w:tcW w:w="695" w:type="dxa"/>
          </w:tcPr>
          <w:p w14:paraId="5E63B3FB" w14:textId="606A89DD" w:rsidR="000170A7" w:rsidRPr="001455DC" w:rsidRDefault="000170A7" w:rsidP="00B078F1">
            <w:pPr>
              <w:pStyle w:val="Tablebody"/>
              <w:keepNext/>
              <w:jc w:val="center"/>
            </w:pPr>
            <w:r w:rsidRPr="001455DC">
              <w:t>—</w:t>
            </w:r>
          </w:p>
        </w:tc>
      </w:tr>
      <w:tr w:rsidR="000170A7" w:rsidRPr="001455DC" w14:paraId="504BFE8D" w14:textId="77777777" w:rsidTr="009D3012">
        <w:trPr>
          <w:cantSplit/>
        </w:trPr>
        <w:tc>
          <w:tcPr>
            <w:tcW w:w="1417" w:type="dxa"/>
            <w:vAlign w:val="center"/>
          </w:tcPr>
          <w:p w14:paraId="40054C22" w14:textId="77777777" w:rsidR="000170A7" w:rsidRPr="001455DC" w:rsidRDefault="000170A7" w:rsidP="00B078F1">
            <w:pPr>
              <w:pStyle w:val="Tablebody"/>
              <w:keepNext/>
              <w:jc w:val="left"/>
              <w:rPr>
                <w:b/>
                <w:bCs/>
              </w:rPr>
            </w:pPr>
            <w:r w:rsidRPr="001455DC">
              <w:rPr>
                <w:b/>
                <w:bCs/>
              </w:rPr>
              <w:t>XRDS 10</w:t>
            </w:r>
          </w:p>
        </w:tc>
        <w:tc>
          <w:tcPr>
            <w:tcW w:w="693" w:type="dxa"/>
            <w:vAlign w:val="center"/>
          </w:tcPr>
          <w:p w14:paraId="2646989C" w14:textId="77777777" w:rsidR="000170A7" w:rsidRPr="001455DC" w:rsidRDefault="000170A7" w:rsidP="00B078F1">
            <w:pPr>
              <w:pStyle w:val="Tablebody"/>
              <w:keepNext/>
              <w:jc w:val="center"/>
              <w:rPr>
                <w:b/>
              </w:rPr>
            </w:pPr>
            <w:r w:rsidRPr="001455DC">
              <w:rPr>
                <w:b/>
              </w:rPr>
              <w:t>50</w:t>
            </w:r>
          </w:p>
        </w:tc>
        <w:tc>
          <w:tcPr>
            <w:tcW w:w="694" w:type="dxa"/>
            <w:vAlign w:val="center"/>
          </w:tcPr>
          <w:p w14:paraId="7D594D7E" w14:textId="77777777" w:rsidR="000170A7" w:rsidRPr="001455DC" w:rsidRDefault="000170A7" w:rsidP="00B078F1">
            <w:pPr>
              <w:pStyle w:val="Tablebody"/>
              <w:keepNext/>
              <w:jc w:val="center"/>
            </w:pPr>
            <w:r w:rsidRPr="001455DC">
              <w:t>65</w:t>
            </w:r>
          </w:p>
        </w:tc>
        <w:tc>
          <w:tcPr>
            <w:tcW w:w="694" w:type="dxa"/>
            <w:vAlign w:val="center"/>
          </w:tcPr>
          <w:p w14:paraId="65FEDD26" w14:textId="77777777" w:rsidR="000170A7" w:rsidRPr="001455DC" w:rsidRDefault="000170A7" w:rsidP="00B078F1">
            <w:pPr>
              <w:pStyle w:val="Tablebody"/>
              <w:keepNext/>
              <w:jc w:val="center"/>
              <w:rPr>
                <w:b/>
                <w:bCs/>
              </w:rPr>
            </w:pPr>
            <w:r w:rsidRPr="001455DC">
              <w:rPr>
                <w:b/>
                <w:bCs/>
              </w:rPr>
              <w:t>80</w:t>
            </w:r>
          </w:p>
        </w:tc>
        <w:tc>
          <w:tcPr>
            <w:tcW w:w="694" w:type="dxa"/>
            <w:vAlign w:val="center"/>
          </w:tcPr>
          <w:p w14:paraId="7D76D6BD" w14:textId="7237BD92" w:rsidR="000170A7" w:rsidRPr="001455DC" w:rsidRDefault="000170A7" w:rsidP="00B078F1">
            <w:pPr>
              <w:pStyle w:val="Tablebody"/>
              <w:keepNext/>
              <w:jc w:val="center"/>
            </w:pPr>
            <w:r w:rsidRPr="001455DC">
              <w:t>—</w:t>
            </w:r>
          </w:p>
        </w:tc>
        <w:tc>
          <w:tcPr>
            <w:tcW w:w="695" w:type="dxa"/>
          </w:tcPr>
          <w:p w14:paraId="53190BFE" w14:textId="5F708585" w:rsidR="000170A7" w:rsidRPr="001455DC" w:rsidRDefault="000170A7" w:rsidP="00B078F1">
            <w:pPr>
              <w:pStyle w:val="Tablebody"/>
              <w:keepNext/>
              <w:jc w:val="center"/>
              <w:rPr>
                <w:b/>
                <w:bCs/>
              </w:rPr>
            </w:pPr>
            <w:r w:rsidRPr="001455DC">
              <w:t>—</w:t>
            </w:r>
          </w:p>
        </w:tc>
        <w:tc>
          <w:tcPr>
            <w:tcW w:w="695" w:type="dxa"/>
            <w:tcBorders>
              <w:right w:val="single" w:sz="12" w:space="0" w:color="000000"/>
            </w:tcBorders>
          </w:tcPr>
          <w:p w14:paraId="02EDE884" w14:textId="7ABF2657" w:rsidR="000170A7" w:rsidRPr="001455DC" w:rsidRDefault="000170A7" w:rsidP="00B078F1">
            <w:pPr>
              <w:pStyle w:val="Tablebody"/>
              <w:keepNext/>
              <w:jc w:val="center"/>
            </w:pPr>
            <w:r w:rsidRPr="001455DC">
              <w:t>—</w:t>
            </w:r>
          </w:p>
        </w:tc>
        <w:tc>
          <w:tcPr>
            <w:tcW w:w="695" w:type="dxa"/>
            <w:tcBorders>
              <w:left w:val="single" w:sz="12" w:space="0" w:color="000000"/>
              <w:bottom w:val="single" w:sz="6" w:space="0" w:color="000000"/>
            </w:tcBorders>
            <w:vAlign w:val="center"/>
          </w:tcPr>
          <w:p w14:paraId="7BFDD03D" w14:textId="77777777" w:rsidR="000170A7" w:rsidRPr="001455DC" w:rsidRDefault="000170A7" w:rsidP="00B078F1">
            <w:pPr>
              <w:pStyle w:val="Tablebody"/>
              <w:keepNext/>
              <w:jc w:val="center"/>
              <w:rPr>
                <w:b/>
                <w:bCs/>
              </w:rPr>
            </w:pPr>
            <w:r w:rsidRPr="001455DC">
              <w:rPr>
                <w:b/>
                <w:bCs/>
              </w:rPr>
              <w:t>50</w:t>
            </w:r>
          </w:p>
        </w:tc>
        <w:tc>
          <w:tcPr>
            <w:tcW w:w="695" w:type="dxa"/>
            <w:vAlign w:val="center"/>
          </w:tcPr>
          <w:p w14:paraId="532AAE85" w14:textId="77777777" w:rsidR="000170A7" w:rsidRPr="001455DC" w:rsidRDefault="000170A7" w:rsidP="00B078F1">
            <w:pPr>
              <w:pStyle w:val="Tablebody"/>
              <w:keepNext/>
              <w:jc w:val="center"/>
            </w:pPr>
            <w:r w:rsidRPr="001455DC">
              <w:t>65</w:t>
            </w:r>
          </w:p>
        </w:tc>
        <w:tc>
          <w:tcPr>
            <w:tcW w:w="695" w:type="dxa"/>
            <w:vAlign w:val="center"/>
          </w:tcPr>
          <w:p w14:paraId="2776068D" w14:textId="77777777" w:rsidR="000170A7" w:rsidRPr="001455DC" w:rsidRDefault="000170A7" w:rsidP="00B078F1">
            <w:pPr>
              <w:pStyle w:val="Tablebody"/>
              <w:keepNext/>
              <w:jc w:val="center"/>
              <w:rPr>
                <w:b/>
                <w:bCs/>
              </w:rPr>
            </w:pPr>
            <w:r w:rsidRPr="001455DC">
              <w:rPr>
                <w:b/>
                <w:bCs/>
              </w:rPr>
              <w:t>80</w:t>
            </w:r>
          </w:p>
        </w:tc>
        <w:tc>
          <w:tcPr>
            <w:tcW w:w="695" w:type="dxa"/>
          </w:tcPr>
          <w:p w14:paraId="75E607B7" w14:textId="122ECE72" w:rsidR="000170A7" w:rsidRPr="001455DC" w:rsidRDefault="000170A7" w:rsidP="00B078F1">
            <w:pPr>
              <w:pStyle w:val="Tablebody"/>
              <w:keepNext/>
              <w:jc w:val="center"/>
            </w:pPr>
            <w:r w:rsidRPr="001455DC">
              <w:t>—</w:t>
            </w:r>
          </w:p>
        </w:tc>
        <w:tc>
          <w:tcPr>
            <w:tcW w:w="695" w:type="dxa"/>
          </w:tcPr>
          <w:p w14:paraId="14C2F60A" w14:textId="28B2A230" w:rsidR="000170A7" w:rsidRPr="001455DC" w:rsidRDefault="000170A7" w:rsidP="00B078F1">
            <w:pPr>
              <w:pStyle w:val="Tablebody"/>
              <w:keepNext/>
              <w:jc w:val="center"/>
              <w:rPr>
                <w:b/>
                <w:bCs/>
              </w:rPr>
            </w:pPr>
            <w:r w:rsidRPr="001455DC">
              <w:t>—</w:t>
            </w:r>
          </w:p>
        </w:tc>
        <w:tc>
          <w:tcPr>
            <w:tcW w:w="695" w:type="dxa"/>
          </w:tcPr>
          <w:p w14:paraId="1665892B" w14:textId="6804DCCF" w:rsidR="000170A7" w:rsidRPr="001455DC" w:rsidRDefault="000170A7" w:rsidP="00B078F1">
            <w:pPr>
              <w:pStyle w:val="Tablebody"/>
              <w:keepNext/>
              <w:jc w:val="center"/>
            </w:pPr>
            <w:r w:rsidRPr="001455DC">
              <w:t>—</w:t>
            </w:r>
          </w:p>
        </w:tc>
      </w:tr>
      <w:tr w:rsidR="004E22C1" w:rsidRPr="001455DC" w14:paraId="1E99639C" w14:textId="77777777" w:rsidTr="000170A7">
        <w:trPr>
          <w:cnfStyle w:val="010000000000" w:firstRow="0" w:lastRow="1" w:firstColumn="0" w:lastColumn="0" w:oddVBand="0" w:evenVBand="0" w:oddHBand="0" w:evenHBand="0" w:firstRowFirstColumn="0" w:firstRowLastColumn="0" w:lastRowFirstColumn="0" w:lastRowLastColumn="0"/>
          <w:cantSplit/>
        </w:trPr>
        <w:tc>
          <w:tcPr>
            <w:tcW w:w="9752" w:type="dxa"/>
            <w:gridSpan w:val="13"/>
            <w:vAlign w:val="center"/>
          </w:tcPr>
          <w:p w14:paraId="0E714F74" w14:textId="6E836B8A" w:rsidR="004E22C1" w:rsidRPr="009D3012" w:rsidRDefault="004E22C1" w:rsidP="00B078F1">
            <w:pPr>
              <w:pStyle w:val="Tablefooternote"/>
              <w:tabs>
                <w:tab w:val="clear" w:pos="680"/>
                <w:tab w:val="left" w:pos="851"/>
              </w:tabs>
              <w:rPr>
                <w:lang w:val="en-US"/>
              </w:rPr>
            </w:pPr>
            <w:r w:rsidRPr="009D3012">
              <w:rPr>
                <w:lang w:val="en-US"/>
              </w:rPr>
              <w:t>NOTE 1</w:t>
            </w:r>
            <w:r w:rsidRPr="009D3012">
              <w:rPr>
                <w:lang w:val="en-US"/>
              </w:rPr>
              <w:tab/>
              <w:t>The designation of XRDS classes for resistance against corrosion induced by chloride ingress is derived from the depth of chlorides penetration [mm] (characteristic value 90 % fractile), corres-ponding to a reference chlorides concentration (0,6 % by mass of bindercement</w:t>
            </w:r>
            <w:r w:rsidR="00EC27D2" w:rsidRPr="009D3012">
              <w:rPr>
                <w:rFonts w:ascii="Cambria Math" w:hAnsi="Cambria Math"/>
                <w:lang w:val="en-US"/>
              </w:rPr>
              <w:t> + </w:t>
            </w:r>
            <w:r w:rsidRPr="009D3012">
              <w:rPr>
                <w:lang w:val="en-US"/>
              </w:rPr>
              <w:t>type II additions), assumed to be obtained after 50 years on a concrete exposed to one-sided penetration of reference seawater (30</w:t>
            </w:r>
            <w:r w:rsidR="00A35599" w:rsidRPr="009D3012">
              <w:rPr>
                <w:lang w:val="en-US"/>
              </w:rPr>
              <w:t> </w:t>
            </w:r>
            <w:r w:rsidRPr="009D3012">
              <w:rPr>
                <w:lang w:val="en-US"/>
              </w:rPr>
              <w:t>g/l NaCl) at 20 °C. XRDS has the dimension of a diffusion coefficient [10</w:t>
            </w:r>
            <w:r w:rsidR="00EC27D2" w:rsidRPr="009D3012">
              <w:rPr>
                <w:rStyle w:val="CCMCvariablesuperscript"/>
                <w:rFonts w:ascii="Cambria Math" w:hAnsi="Cambria Math"/>
                <w:lang w:val="en-US"/>
              </w:rPr>
              <w:t>−</w:t>
            </w:r>
            <w:r w:rsidRPr="009D3012">
              <w:rPr>
                <w:rStyle w:val="CCMCvariablesuperscript"/>
                <w:lang w:val="en-US"/>
              </w:rPr>
              <w:t>13</w:t>
            </w:r>
            <w:r w:rsidRPr="009D3012">
              <w:rPr>
                <w:lang w:val="en-US"/>
              </w:rPr>
              <w:t> m²/s].</w:t>
            </w:r>
          </w:p>
          <w:p w14:paraId="2C01BBA8" w14:textId="77777777" w:rsidR="004E22C1" w:rsidRPr="009D3012" w:rsidRDefault="004E22C1" w:rsidP="00B078F1">
            <w:pPr>
              <w:pStyle w:val="Tablefooternote"/>
              <w:tabs>
                <w:tab w:val="clear" w:pos="680"/>
                <w:tab w:val="left" w:pos="851"/>
              </w:tabs>
              <w:rPr>
                <w:lang w:val="en-US"/>
              </w:rPr>
            </w:pPr>
            <w:r w:rsidRPr="009D3012">
              <w:rPr>
                <w:lang w:val="en-US"/>
              </w:rPr>
              <w:t>NOTE 2</w:t>
            </w:r>
            <w:r w:rsidRPr="009D3012">
              <w:rPr>
                <w:lang w:val="en-US"/>
              </w:rPr>
              <w:tab/>
              <w:t xml:space="preserve">The recommended minimum concrete cover values </w:t>
            </w:r>
            <w:r w:rsidRPr="009D3012">
              <w:rPr>
                <w:rStyle w:val="CCMCvariableitalic"/>
                <w:lang w:val="en-US"/>
              </w:rPr>
              <w:t>c</w:t>
            </w:r>
            <w:r w:rsidRPr="009D3012">
              <w:rPr>
                <w:rStyle w:val="CCMCvariablesubscript"/>
                <w:lang w:val="en-US"/>
              </w:rPr>
              <w:t>min,dur</w:t>
            </w:r>
            <w:r w:rsidRPr="009D3012">
              <w:rPr>
                <w:lang w:val="en-US"/>
              </w:rPr>
              <w:t xml:space="preserve"> assume execution and curing according to EN 13670 with at least Execution Class 2 and Curing Class 2.</w:t>
            </w:r>
          </w:p>
          <w:p w14:paraId="72A427D7" w14:textId="1358E149" w:rsidR="004E22C1" w:rsidRPr="009D3012" w:rsidRDefault="004E22C1" w:rsidP="00B078F1">
            <w:pPr>
              <w:pStyle w:val="Tablefooternote"/>
              <w:tabs>
                <w:tab w:val="clear" w:pos="680"/>
                <w:tab w:val="left" w:pos="851"/>
              </w:tabs>
              <w:rPr>
                <w:lang w:val="en-US"/>
              </w:rPr>
            </w:pPr>
            <w:r w:rsidRPr="009D3012">
              <w:rPr>
                <w:lang w:val="en-US"/>
              </w:rPr>
              <w:t>NOTE 3</w:t>
            </w:r>
            <w:r w:rsidRPr="009D3012">
              <w:rPr>
                <w:lang w:val="en-US"/>
              </w:rPr>
              <w:tab/>
              <w:t>The minimum covers can be increased by an additional safety element ∆</w:t>
            </w:r>
            <w:r w:rsidRPr="009D3012">
              <w:rPr>
                <w:rStyle w:val="CCMCvariableitalic"/>
                <w:lang w:val="en-US"/>
              </w:rPr>
              <w:t>c</w:t>
            </w:r>
            <w:r w:rsidRPr="009D3012">
              <w:rPr>
                <w:rStyle w:val="CCMCvariablesubscript"/>
                <w:lang w:val="en-US"/>
              </w:rPr>
              <w:t>dur,</w:t>
            </w:r>
            <w:r w:rsidRPr="001455DC">
              <w:rPr>
                <w:rStyle w:val="CCMCvariablesubscript"/>
              </w:rPr>
              <w:t>γ</w:t>
            </w:r>
            <w:r w:rsidRPr="009D3012">
              <w:rPr>
                <w:lang w:val="en-US"/>
              </w:rPr>
              <w:t xml:space="preserve"> considering special requirements (e. g. more extreme environmental conditions).</w:t>
            </w:r>
          </w:p>
        </w:tc>
      </w:tr>
    </w:tbl>
    <w:p w14:paraId="7D8F1EED" w14:textId="77777777" w:rsidR="004E22C1" w:rsidRPr="001455DC" w:rsidRDefault="004E22C1" w:rsidP="00B078F1">
      <w:pPr>
        <w:pStyle w:val="a7"/>
        <w:spacing w:before="0" w:after="0"/>
      </w:pPr>
    </w:p>
    <w:p w14:paraId="76A26055" w14:textId="3B0B2457" w:rsidR="004E22C1" w:rsidRPr="001455DC" w:rsidRDefault="004E22C1" w:rsidP="00036848">
      <w:pPr>
        <w:pStyle w:val="a7"/>
      </w:pPr>
      <w:r w:rsidRPr="001455DC">
        <w:t>(2)</w:t>
      </w:r>
      <w:r w:rsidRPr="001455DC">
        <w:tab/>
        <w:t xml:space="preserve">For temporary structures or for structures with a design service life of 30 years or less, </w:t>
      </w:r>
      <w:r w:rsidRPr="001455DC">
        <w:rPr>
          <w:rStyle w:val="CCMCvariableitalic"/>
        </w:rPr>
        <w:t>c</w:t>
      </w:r>
      <w:r w:rsidRPr="001455DC">
        <w:rPr>
          <w:rStyle w:val="CCMCvariablesubscript"/>
        </w:rPr>
        <w:t>min,dur</w:t>
      </w:r>
      <w:r w:rsidRPr="001455DC">
        <w:t xml:space="preserve"> for a design service life of 50 years</w:t>
      </w:r>
      <w:r w:rsidRPr="001455DC">
        <w:rPr>
          <w:lang w:eastAsia="en-GB"/>
        </w:rPr>
        <w:t xml:space="preserve"> </w:t>
      </w:r>
      <w:r w:rsidRPr="001455DC">
        <w:t xml:space="preserve">according to Table 6.3(NDP) and Table 6.4(NDP) may be reduced by </w:t>
      </w:r>
      <w:r w:rsidR="00A35599" w:rsidRPr="001455DC">
        <w:rPr>
          <w:rFonts w:ascii="Cambria Math" w:hAnsi="Cambria Math"/>
        </w:rPr>
        <w:t>−</w:t>
      </w:r>
      <w:r w:rsidRPr="001455DC">
        <w:t>Δ</w:t>
      </w:r>
      <w:r w:rsidRPr="001455DC">
        <w:rPr>
          <w:rStyle w:val="CCMCvariableitalic"/>
        </w:rPr>
        <w:t>c</w:t>
      </w:r>
      <w:r w:rsidRPr="001455DC">
        <w:rPr>
          <w:rStyle w:val="CCMCvariablesubscript"/>
        </w:rPr>
        <w:t>min,30</w:t>
      </w:r>
      <w:r w:rsidRPr="001455DC">
        <w:t>.</w:t>
      </w:r>
    </w:p>
    <w:p w14:paraId="4E568EFF" w14:textId="35EE3498" w:rsidR="004E22C1" w:rsidRPr="001455DC" w:rsidRDefault="004E22C1" w:rsidP="00036848">
      <w:pPr>
        <w:pStyle w:val="Note"/>
      </w:pPr>
      <w:r w:rsidRPr="001455DC">
        <w:t>NOTE</w:t>
      </w:r>
      <w:r w:rsidR="00B078F1">
        <w:t xml:space="preserve"> </w:t>
      </w:r>
      <w:r w:rsidR="00CF1E6A" w:rsidRPr="001455DC">
        <w:t xml:space="preserve"> </w:t>
      </w:r>
      <w:r w:rsidRPr="001455DC">
        <w:tab/>
        <w:t xml:space="preserve">The reduction of the cover is </w:t>
      </w:r>
      <w:r w:rsidR="00A35599" w:rsidRPr="001455DC">
        <w:rPr>
          <w:rFonts w:ascii="Cambria Math" w:hAnsi="Cambria Math"/>
        </w:rPr>
        <w:t>−</w:t>
      </w:r>
      <w:r w:rsidRPr="001455DC">
        <w:t>Δ</w:t>
      </w:r>
      <w:r w:rsidRPr="001455DC">
        <w:rPr>
          <w:rStyle w:val="CCMCvariableitalic"/>
        </w:rPr>
        <w:t>c</w:t>
      </w:r>
      <w:r w:rsidRPr="001455DC">
        <w:rPr>
          <w:rStyle w:val="CCMCvariablesubscript"/>
        </w:rPr>
        <w:t>min,30</w:t>
      </w:r>
      <w:r w:rsidRPr="001455DC">
        <w:t> </w:t>
      </w:r>
      <w:r w:rsidR="00650035" w:rsidRPr="001455DC">
        <w:rPr>
          <w:rFonts w:ascii="Cambria Math" w:hAnsi="Cambria Math"/>
        </w:rPr>
        <w:t>≤</w:t>
      </w:r>
      <w:r w:rsidRPr="001455DC">
        <w:t> 5 mm unless a National Annex gives a different value.</w:t>
      </w:r>
    </w:p>
    <w:p w14:paraId="69B898B0" w14:textId="39829C02" w:rsidR="004E22C1" w:rsidRPr="001455DC" w:rsidRDefault="004E22C1" w:rsidP="00036848">
      <w:pPr>
        <w:pStyle w:val="a7"/>
      </w:pPr>
      <w:r w:rsidRPr="001455DC">
        <w:t>(3)</w:t>
      </w:r>
      <w:r w:rsidRPr="001455DC">
        <w:tab/>
        <w:t xml:space="preserve">The values of </w:t>
      </w:r>
      <w:r w:rsidRPr="001455DC">
        <w:rPr>
          <w:rStyle w:val="CCMCvariableitalic"/>
        </w:rPr>
        <w:t>c</w:t>
      </w:r>
      <w:r w:rsidRPr="001455DC">
        <w:rPr>
          <w:rStyle w:val="CCMCvariablesubscript"/>
        </w:rPr>
        <w:t>min,dur</w:t>
      </w:r>
      <w:r w:rsidRPr="001455DC">
        <w:t xml:space="preserve"> given in Table 6.3(NDP) and Table 6.4(NDP) may be reduced </w:t>
      </w:r>
      <w:r w:rsidR="00A35599" w:rsidRPr="001455DC">
        <w:rPr>
          <w:rFonts w:ascii="Cambria Math" w:hAnsi="Cambria Math"/>
        </w:rPr>
        <w:t>−</w:t>
      </w:r>
      <w:r w:rsidRPr="001455DC">
        <w:t>Δ</w:t>
      </w:r>
      <w:r w:rsidRPr="001455DC">
        <w:rPr>
          <w:rStyle w:val="CCMCvariableitalic"/>
        </w:rPr>
        <w:t>c</w:t>
      </w:r>
      <w:r w:rsidRPr="001455DC">
        <w:rPr>
          <w:rStyle w:val="CCMCvariablesubscript"/>
        </w:rPr>
        <w:t>min,exc</w:t>
      </w:r>
      <w:r w:rsidRPr="001455DC">
        <w:t xml:space="preserve"> under the following conditions:</w:t>
      </w:r>
    </w:p>
    <w:p w14:paraId="69C67FC9" w14:textId="77777777" w:rsidR="004E22C1" w:rsidRPr="001455DC" w:rsidRDefault="004E22C1" w:rsidP="008656B4">
      <w:pPr>
        <w:pStyle w:val="a7"/>
        <w:ind w:left="397" w:hanging="397"/>
      </w:pPr>
      <w:r w:rsidRPr="001455DC">
        <w:t>(i)</w:t>
      </w:r>
      <w:r w:rsidRPr="001455DC">
        <w:tab/>
        <w:t>superior compaction of concrete can be ensured by geometrical characteristics, placement and curing (e.g. members with slab geometry with positions of reinforcement not affected by construction process);</w:t>
      </w:r>
    </w:p>
    <w:p w14:paraId="7F2138C7" w14:textId="77777777" w:rsidR="004E22C1" w:rsidRPr="001455DC" w:rsidRDefault="004E22C1" w:rsidP="008656B4">
      <w:pPr>
        <w:pStyle w:val="a7"/>
        <w:ind w:left="397" w:hanging="397"/>
      </w:pPr>
      <w:r w:rsidRPr="001455DC">
        <w:t>(ii)</w:t>
      </w:r>
      <w:r w:rsidRPr="001455DC">
        <w:tab/>
        <w:t>or curing complies with at least curing Class 3 of EN 13670.</w:t>
      </w:r>
    </w:p>
    <w:p w14:paraId="388C26AD" w14:textId="4100E5BE" w:rsidR="004E22C1" w:rsidRPr="001455DC" w:rsidRDefault="004E22C1" w:rsidP="00036848">
      <w:pPr>
        <w:pStyle w:val="Note"/>
      </w:pPr>
      <w:r w:rsidRPr="001455DC">
        <w:t>NOTE</w:t>
      </w:r>
      <w:r w:rsidR="00B078F1">
        <w:t xml:space="preserve"> </w:t>
      </w:r>
      <w:r w:rsidRPr="001455DC">
        <w:tab/>
        <w:t>The reduction of the cover is –Δ</w:t>
      </w:r>
      <w:r w:rsidRPr="001455DC">
        <w:rPr>
          <w:rStyle w:val="CCMCvariableitalic"/>
        </w:rPr>
        <w:t>c</w:t>
      </w:r>
      <w:r w:rsidRPr="001455DC">
        <w:rPr>
          <w:rStyle w:val="CCMCvariablesubscript"/>
        </w:rPr>
        <w:t>min,exc</w:t>
      </w:r>
      <w:r w:rsidRPr="001455DC">
        <w:t> </w:t>
      </w:r>
      <w:r w:rsidR="00650035" w:rsidRPr="001455DC">
        <w:rPr>
          <w:rFonts w:ascii="Cambria Math" w:hAnsi="Cambria Math"/>
        </w:rPr>
        <w:t>≤</w:t>
      </w:r>
      <w:r w:rsidRPr="001455DC">
        <w:t> 5</w:t>
      </w:r>
      <w:r w:rsidR="008656B4" w:rsidRPr="001455DC">
        <w:t> </w:t>
      </w:r>
      <w:r w:rsidRPr="001455DC">
        <w:t>mm unless a National Annex gives a different value.</w:t>
      </w:r>
    </w:p>
    <w:p w14:paraId="73B48267" w14:textId="699B5882" w:rsidR="004E22C1" w:rsidRPr="001455DC" w:rsidRDefault="004E22C1" w:rsidP="00036848">
      <w:pPr>
        <w:pStyle w:val="a7"/>
        <w:rPr>
          <w:bCs/>
          <w:szCs w:val="22"/>
        </w:rPr>
      </w:pPr>
      <w:r w:rsidRPr="001455DC">
        <w:t>(4)</w:t>
      </w:r>
      <w:r w:rsidRPr="001455DC">
        <w:tab/>
        <w:t xml:space="preserve">For prestressing tendons, pre- or post-tensioned, the cover values in Table 6.3(NDP) and Table 6.4(NDP) should be increased by </w:t>
      </w:r>
      <w:r w:rsidR="00EC27D2" w:rsidRPr="001455DC">
        <w:rPr>
          <w:rFonts w:ascii="Cambria Math" w:hAnsi="Cambria Math"/>
        </w:rPr>
        <w:t>+</w:t>
      </w:r>
      <w:r w:rsidRPr="001455DC">
        <w:t>10 mm, except where the internal bonded post-tensioning systems are provided with protection level 2 or 3 according to 5.4.1, and internal unbonded prestressing tendons are encased in corrosion resistant sheaths.</w:t>
      </w:r>
    </w:p>
    <w:p w14:paraId="6EFB952A" w14:textId="77777777" w:rsidR="004E22C1" w:rsidRPr="009D3012" w:rsidRDefault="004E22C1" w:rsidP="009D3012">
      <w:pPr>
        <w:pStyle w:val="a7"/>
      </w:pPr>
      <w:r w:rsidRPr="009D3012">
        <w:t>(5)</w:t>
      </w:r>
      <w:r w:rsidRPr="009D3012">
        <w:tab/>
        <w:t>Where the concrete is provided with an additional protection (e.g. surface coating) the minimum cover may be reduced by Δ</w:t>
      </w:r>
      <w:r w:rsidRPr="009D3012">
        <w:rPr>
          <w:rStyle w:val="CCMCvariableitalic"/>
        </w:rPr>
        <w:t>c</w:t>
      </w:r>
      <w:r w:rsidRPr="009D3012">
        <w:rPr>
          <w:rStyle w:val="CCMCvariablesubscript"/>
        </w:rPr>
        <w:t>dur,red</w:t>
      </w:r>
      <w:r w:rsidRPr="009D3012">
        <w:t>. The value to be used shall be established based on experience or testing in line with provisions valid in the project.</w:t>
      </w:r>
    </w:p>
    <w:p w14:paraId="44964DE4" w14:textId="4607CECA" w:rsidR="004E22C1" w:rsidRPr="001455DC" w:rsidRDefault="004E22C1" w:rsidP="008656B4">
      <w:pPr>
        <w:pStyle w:val="Note"/>
      </w:pPr>
      <w:r w:rsidRPr="001455DC">
        <w:t>NOTE</w:t>
      </w:r>
      <w:r w:rsidR="00B078F1">
        <w:t xml:space="preserve"> </w:t>
      </w:r>
      <w:r w:rsidRPr="001455DC">
        <w:tab/>
        <w:t>The reduction of the cover is Δ</w:t>
      </w:r>
      <w:r w:rsidRPr="001455DC">
        <w:rPr>
          <w:rStyle w:val="CCMCvariableitalic"/>
        </w:rPr>
        <w:t>c</w:t>
      </w:r>
      <w:r w:rsidRPr="001455DC">
        <w:rPr>
          <w:rStyle w:val="CCMCvariablesubscript"/>
        </w:rPr>
        <w:t>dur,red</w:t>
      </w:r>
      <w:r w:rsidRPr="001455DC">
        <w:t> </w:t>
      </w:r>
      <w:r w:rsidR="00650035" w:rsidRPr="001455DC">
        <w:rPr>
          <w:rFonts w:ascii="Cambria Math" w:hAnsi="Cambria Math"/>
        </w:rPr>
        <w:t>≤</w:t>
      </w:r>
      <w:r w:rsidRPr="001455DC">
        <w:t> 10 mm, unless a National Annex gives a different value.</w:t>
      </w:r>
    </w:p>
    <w:p w14:paraId="5536F161" w14:textId="77777777" w:rsidR="004E22C1" w:rsidRPr="001455DC" w:rsidRDefault="004E22C1" w:rsidP="008656B4">
      <w:pPr>
        <w:pStyle w:val="a7"/>
      </w:pPr>
      <w:r w:rsidRPr="001455DC">
        <w:t>(6)</w:t>
      </w:r>
      <w:r w:rsidRPr="001455DC">
        <w:tab/>
        <w:t>For concrete abrasion according to XM classes according to Table 6.1, special attention should be given on the requirements to concrete mixes in EN 206. Optionally concrete abrasion may be allowed for by increasing the concrete cover (sacrificial layer) with ∆</w:t>
      </w:r>
      <w:r w:rsidRPr="001455DC">
        <w:rPr>
          <w:rStyle w:val="CCMCvariableitalic"/>
        </w:rPr>
        <w:t>c</w:t>
      </w:r>
      <w:r w:rsidRPr="001455DC">
        <w:rPr>
          <w:rStyle w:val="CCMCvariablesubscript"/>
        </w:rPr>
        <w:t>dur,abr</w:t>
      </w:r>
      <w:r w:rsidRPr="001455DC">
        <w:t>.</w:t>
      </w:r>
    </w:p>
    <w:p w14:paraId="37D6F001" w14:textId="291BC738" w:rsidR="004E22C1" w:rsidRPr="001455DC" w:rsidRDefault="004E22C1" w:rsidP="008656B4">
      <w:pPr>
        <w:pStyle w:val="Note"/>
        <w:keepNext/>
        <w:spacing w:after="120"/>
      </w:pPr>
      <w:r w:rsidRPr="001455DC">
        <w:t>NOTE</w:t>
      </w:r>
      <w:r w:rsidR="00B078F1">
        <w:t xml:space="preserve"> </w:t>
      </w:r>
      <w:r w:rsidRPr="001455DC">
        <w:tab/>
        <w:t>The following values of ∆</w:t>
      </w:r>
      <w:r w:rsidRPr="001455DC">
        <w:rPr>
          <w:rStyle w:val="CCMCvariableitalic"/>
        </w:rPr>
        <w:t>c</w:t>
      </w:r>
      <w:r w:rsidRPr="001455DC">
        <w:rPr>
          <w:rStyle w:val="CCMCvariablesubscript"/>
        </w:rPr>
        <w:t>dur,abr</w:t>
      </w:r>
      <w:r w:rsidRPr="001455DC">
        <w:t xml:space="preserve"> as optional sacrificial layer apply, unless a National Annex gives different values:</w:t>
      </w:r>
    </w:p>
    <w:p w14:paraId="4BC22111" w14:textId="07D4BA66" w:rsidR="004E22C1" w:rsidRPr="001455DC" w:rsidRDefault="004E22C1" w:rsidP="008656B4">
      <w:pPr>
        <w:pStyle w:val="a0"/>
        <w:rPr>
          <w:sz w:val="20"/>
        </w:rPr>
      </w:pPr>
      <w:r w:rsidRPr="001455DC">
        <w:rPr>
          <w:sz w:val="20"/>
        </w:rPr>
        <w:t>for XM1: ∆</w:t>
      </w:r>
      <w:r w:rsidRPr="001455DC">
        <w:rPr>
          <w:rStyle w:val="CCMCvariableitalic"/>
          <w:sz w:val="20"/>
        </w:rPr>
        <w:t>c</w:t>
      </w:r>
      <w:r w:rsidRPr="001455DC">
        <w:rPr>
          <w:rStyle w:val="CCMCvariablesubscript"/>
          <w:sz w:val="20"/>
        </w:rPr>
        <w:t>dur,abr</w:t>
      </w:r>
      <w:r w:rsidRPr="001455DC">
        <w:rPr>
          <w:sz w:val="20"/>
        </w:rPr>
        <w:t> </w:t>
      </w:r>
      <w:r w:rsidR="00EC27D2" w:rsidRPr="001455DC">
        <w:rPr>
          <w:rFonts w:ascii="Cambria Math" w:hAnsi="Cambria Math"/>
          <w:sz w:val="20"/>
        </w:rPr>
        <w:t>=</w:t>
      </w:r>
      <w:r w:rsidRPr="001455DC">
        <w:rPr>
          <w:sz w:val="20"/>
        </w:rPr>
        <w:t> </w:t>
      </w:r>
      <w:r w:rsidR="00EC27D2" w:rsidRPr="001455DC">
        <w:rPr>
          <w:rFonts w:ascii="Cambria Math" w:hAnsi="Cambria Math"/>
          <w:sz w:val="20"/>
        </w:rPr>
        <w:t>+</w:t>
      </w:r>
      <w:r w:rsidRPr="001455DC">
        <w:rPr>
          <w:sz w:val="20"/>
        </w:rPr>
        <w:t>5 mm,</w:t>
      </w:r>
    </w:p>
    <w:p w14:paraId="717B66AF" w14:textId="1716F18B" w:rsidR="004E22C1" w:rsidRPr="001455DC" w:rsidRDefault="004E22C1" w:rsidP="008656B4">
      <w:pPr>
        <w:pStyle w:val="a0"/>
        <w:rPr>
          <w:sz w:val="20"/>
        </w:rPr>
      </w:pPr>
      <w:r w:rsidRPr="001455DC">
        <w:rPr>
          <w:sz w:val="20"/>
        </w:rPr>
        <w:t>for XM2: ∆</w:t>
      </w:r>
      <w:r w:rsidRPr="001455DC">
        <w:rPr>
          <w:rStyle w:val="CCMCvariableitalic"/>
          <w:sz w:val="20"/>
        </w:rPr>
        <w:t>c</w:t>
      </w:r>
      <w:r w:rsidRPr="001455DC">
        <w:rPr>
          <w:rStyle w:val="CCMCvariablesubscript"/>
          <w:sz w:val="20"/>
        </w:rPr>
        <w:t>dur,abr</w:t>
      </w:r>
      <w:r w:rsidRPr="001455DC">
        <w:rPr>
          <w:sz w:val="20"/>
        </w:rPr>
        <w:t> </w:t>
      </w:r>
      <w:r w:rsidR="00EC27D2" w:rsidRPr="001455DC">
        <w:rPr>
          <w:rFonts w:ascii="Cambria Math" w:hAnsi="Cambria Math"/>
          <w:sz w:val="20"/>
        </w:rPr>
        <w:t>=</w:t>
      </w:r>
      <w:r w:rsidRPr="001455DC">
        <w:rPr>
          <w:sz w:val="20"/>
        </w:rPr>
        <w:t> </w:t>
      </w:r>
      <w:r w:rsidR="00EC27D2" w:rsidRPr="001455DC">
        <w:rPr>
          <w:rFonts w:ascii="Cambria Math" w:hAnsi="Cambria Math"/>
          <w:sz w:val="20"/>
        </w:rPr>
        <w:t>+</w:t>
      </w:r>
      <w:r w:rsidRPr="001455DC">
        <w:rPr>
          <w:sz w:val="20"/>
        </w:rPr>
        <w:t>10 mm,</w:t>
      </w:r>
    </w:p>
    <w:p w14:paraId="261F3BCA" w14:textId="52DE4929" w:rsidR="004E22C1" w:rsidRPr="001455DC" w:rsidRDefault="004E22C1" w:rsidP="008656B4">
      <w:pPr>
        <w:pStyle w:val="a0"/>
        <w:rPr>
          <w:sz w:val="20"/>
        </w:rPr>
      </w:pPr>
      <w:r w:rsidRPr="001455DC">
        <w:rPr>
          <w:sz w:val="20"/>
        </w:rPr>
        <w:t>for XM3: ∆</w:t>
      </w:r>
      <w:r w:rsidRPr="001455DC">
        <w:rPr>
          <w:rStyle w:val="CCMCvariableitalic"/>
          <w:sz w:val="20"/>
        </w:rPr>
        <w:t>c</w:t>
      </w:r>
      <w:r w:rsidRPr="001455DC">
        <w:rPr>
          <w:rStyle w:val="CCMCvariablesubscript"/>
          <w:sz w:val="20"/>
        </w:rPr>
        <w:t>dur,abr</w:t>
      </w:r>
      <w:r w:rsidRPr="001455DC">
        <w:rPr>
          <w:sz w:val="20"/>
        </w:rPr>
        <w:t> </w:t>
      </w:r>
      <w:r w:rsidR="00EC27D2" w:rsidRPr="001455DC">
        <w:rPr>
          <w:rFonts w:ascii="Cambria Math" w:hAnsi="Cambria Math"/>
          <w:sz w:val="20"/>
        </w:rPr>
        <w:t>=</w:t>
      </w:r>
      <w:r w:rsidRPr="001455DC">
        <w:rPr>
          <w:sz w:val="20"/>
        </w:rPr>
        <w:t> </w:t>
      </w:r>
      <w:r w:rsidR="00EC27D2" w:rsidRPr="001455DC">
        <w:rPr>
          <w:rFonts w:ascii="Cambria Math" w:hAnsi="Cambria Math"/>
          <w:sz w:val="20"/>
        </w:rPr>
        <w:t>+</w:t>
      </w:r>
      <w:r w:rsidRPr="001455DC">
        <w:rPr>
          <w:sz w:val="20"/>
        </w:rPr>
        <w:t>15 mm.</w:t>
      </w:r>
    </w:p>
    <w:p w14:paraId="174583BC" w14:textId="77777777" w:rsidR="004E22C1" w:rsidRPr="001455DC" w:rsidRDefault="004E22C1" w:rsidP="008656B4">
      <w:pPr>
        <w:pStyle w:val="a7"/>
      </w:pPr>
      <w:r w:rsidRPr="001455DC">
        <w:t>(7)</w:t>
      </w:r>
      <w:r w:rsidRPr="001455DC">
        <w:tab/>
        <w:t>For concrete surfaces subjected to abrasion from moving objects like vehicles and wheels and not protected by asphalt, the selection of XM class and optionally increase of concrete cover for abrasion should be considered based on an assessment taking account of factors such as annual daily traffic load, type of traffic, use of studded tyres as well as the concrete composition.</w:t>
      </w:r>
    </w:p>
    <w:p w14:paraId="60DB847C" w14:textId="1E755ED2" w:rsidR="004E22C1" w:rsidRPr="001455DC" w:rsidRDefault="004E22C1" w:rsidP="008656B4">
      <w:pPr>
        <w:pStyle w:val="Note"/>
      </w:pPr>
      <w:r w:rsidRPr="001455DC">
        <w:t>NOTE</w:t>
      </w:r>
      <w:r w:rsidR="00B078F1">
        <w:t xml:space="preserve"> </w:t>
      </w:r>
      <w:r w:rsidRPr="001455DC">
        <w:tab/>
        <w:t xml:space="preserve">Provisions for </w:t>
      </w:r>
      <w:r w:rsidR="008656B4" w:rsidRPr="001455DC">
        <w:t>assessment</w:t>
      </w:r>
      <w:r w:rsidRPr="001455DC">
        <w:t xml:space="preserve"> of abrasion valid in a country </w:t>
      </w:r>
      <w:r w:rsidR="00B078F1">
        <w:t>can</w:t>
      </w:r>
      <w:r w:rsidRPr="001455DC">
        <w:t xml:space="preserve"> be given in a National Annex.</w:t>
      </w:r>
    </w:p>
    <w:p w14:paraId="607663EF" w14:textId="77777777" w:rsidR="004E22C1" w:rsidRPr="001455DC" w:rsidRDefault="004E22C1" w:rsidP="008656B4">
      <w:pPr>
        <w:pStyle w:val="a7"/>
      </w:pPr>
      <w:r w:rsidRPr="001455DC">
        <w:t>(8)</w:t>
      </w:r>
      <w:r w:rsidRPr="001455DC">
        <w:tab/>
        <w:t>Where in-situ concrete is placed against other concrete elements (precast or in-situ) the minimum concrete cover of the reinforcement to the interface may be reduced to a value corresponding to the requirement for bond provided that:</w:t>
      </w:r>
    </w:p>
    <w:p w14:paraId="38E4AE54" w14:textId="5C3EB3D8" w:rsidR="004E22C1" w:rsidRPr="001455DC" w:rsidRDefault="004E22C1" w:rsidP="008656B4">
      <w:pPr>
        <w:pStyle w:val="a0"/>
      </w:pPr>
      <w:r w:rsidRPr="001455DC">
        <w:t xml:space="preserve">the concrete strength is at least </w:t>
      </w:r>
      <w:r w:rsidRPr="001455DC">
        <w:rPr>
          <w:rStyle w:val="CCMCvariableitalic"/>
        </w:rPr>
        <w:t>f</w:t>
      </w:r>
      <w:r w:rsidRPr="001455DC">
        <w:rPr>
          <w:rStyle w:val="CCMCvariablesubscript"/>
        </w:rPr>
        <w:t>ck</w:t>
      </w:r>
      <w:r w:rsidRPr="001455DC">
        <w:t> </w:t>
      </w:r>
      <w:r w:rsidR="00EC27D2" w:rsidRPr="001455DC">
        <w:rPr>
          <w:rFonts w:ascii="Cambria Math" w:hAnsi="Cambria Math"/>
        </w:rPr>
        <w:t>≥</w:t>
      </w:r>
      <w:r w:rsidR="00073FC6" w:rsidRPr="001455DC">
        <w:t> </w:t>
      </w:r>
      <w:r w:rsidRPr="001455DC">
        <w:t>25 MPa,</w:t>
      </w:r>
    </w:p>
    <w:p w14:paraId="38009293" w14:textId="241DFC6F" w:rsidR="004E22C1" w:rsidRPr="001455DC" w:rsidRDefault="004E22C1" w:rsidP="008656B4">
      <w:pPr>
        <w:pStyle w:val="a0"/>
      </w:pPr>
      <w:r w:rsidRPr="001455DC">
        <w:t>the interface is rough see 8.2.6(6).</w:t>
      </w:r>
    </w:p>
    <w:p w14:paraId="0903E4E0" w14:textId="77777777" w:rsidR="004E22C1" w:rsidRPr="001455DC" w:rsidRDefault="004E22C1" w:rsidP="008656B4">
      <w:pPr>
        <w:pStyle w:val="a7"/>
      </w:pPr>
      <w:r w:rsidRPr="001455DC">
        <w:t>(9)</w:t>
      </w:r>
      <w:r w:rsidRPr="001455DC">
        <w:tab/>
        <w:t>Where concrete is exposed to freeze/thaw attack or chemical attack (classes XF and XA) in addition to classes XC, XD or XS, cover in accordance with Table 6.3(NDP), Table 6.4(NDP) and Table 6.5(NDP) may be considered sufficient.</w:t>
      </w:r>
    </w:p>
    <w:p w14:paraId="7570262F" w14:textId="77777777" w:rsidR="004E22C1" w:rsidRPr="001455DC" w:rsidRDefault="004E22C1" w:rsidP="008656B4">
      <w:pPr>
        <w:pStyle w:val="a7"/>
      </w:pPr>
      <w:r w:rsidRPr="001455DC">
        <w:t>(10)</w:t>
      </w:r>
      <w:r w:rsidRPr="001455DC">
        <w:tab/>
        <w:t>Where special measures according to 6.2(3) are taken, the minimum cover may be reduced by Δ</w:t>
      </w:r>
      <w:r w:rsidRPr="001455DC">
        <w:rPr>
          <w:rStyle w:val="CCMCvariableitalic"/>
        </w:rPr>
        <w:t>c</w:t>
      </w:r>
      <w:r w:rsidRPr="001455DC">
        <w:rPr>
          <w:rStyle w:val="CCMCvariablesubscript"/>
        </w:rPr>
        <w:t>dur,red</w:t>
      </w:r>
      <w:r w:rsidRPr="001455DC">
        <w:t>. The value to be used shall be established based on experience or testing in line with provisions valid in the project.</w:t>
      </w:r>
    </w:p>
    <w:p w14:paraId="6A75DDD8" w14:textId="3BDF7578" w:rsidR="004E22C1" w:rsidRPr="001455DC" w:rsidRDefault="004E22C1" w:rsidP="008656B4">
      <w:pPr>
        <w:pStyle w:val="Note"/>
        <w:rPr>
          <w:rFonts w:eastAsiaTheme="minorHAnsi"/>
        </w:rPr>
      </w:pPr>
      <w:r w:rsidRPr="001455DC">
        <w:rPr>
          <w:bCs/>
        </w:rPr>
        <w:t>NOTE</w:t>
      </w:r>
      <w:r w:rsidR="00B078F1">
        <w:rPr>
          <w:bCs/>
        </w:rPr>
        <w:t xml:space="preserve"> </w:t>
      </w:r>
      <w:r w:rsidRPr="001455DC">
        <w:rPr>
          <w:bCs/>
        </w:rPr>
        <w:tab/>
      </w:r>
      <w:r w:rsidRPr="001455DC">
        <w:t>The reduction of the cover Δ</w:t>
      </w:r>
      <w:r w:rsidRPr="001455DC">
        <w:rPr>
          <w:rStyle w:val="CCMCvariableitalic"/>
        </w:rPr>
        <w:t>c</w:t>
      </w:r>
      <w:r w:rsidRPr="001455DC">
        <w:rPr>
          <w:rStyle w:val="CCMCvariablesubscript"/>
        </w:rPr>
        <w:t>dur,red</w:t>
      </w:r>
      <w:r w:rsidRPr="001455DC">
        <w:t xml:space="preserve"> is given in a National Annex.</w:t>
      </w:r>
    </w:p>
    <w:p w14:paraId="46CCA293" w14:textId="06352732" w:rsidR="004E22C1" w:rsidRPr="001455DC" w:rsidRDefault="004E22C1" w:rsidP="00243590">
      <w:pPr>
        <w:pStyle w:val="41"/>
      </w:pPr>
      <w:bookmarkStart w:id="363" w:name="_Toc52819930"/>
      <w:bookmarkStart w:id="364" w:name="_Toc54337988"/>
      <w:r w:rsidRPr="001455DC">
        <w:t>Minimum cover for bond</w:t>
      </w:r>
      <w:bookmarkEnd w:id="363"/>
      <w:bookmarkEnd w:id="364"/>
    </w:p>
    <w:p w14:paraId="3385CBF4" w14:textId="77777777" w:rsidR="004E22C1" w:rsidRPr="001455DC" w:rsidRDefault="004E22C1" w:rsidP="008656B4">
      <w:pPr>
        <w:pStyle w:val="a7"/>
      </w:pPr>
      <w:r w:rsidRPr="001455DC">
        <w:t>(1)</w:t>
      </w:r>
      <w:r w:rsidRPr="001455DC">
        <w:tab/>
        <w:t xml:space="preserve">In order to transmit bond forces safely and to ensure adequate compaction of the concrete, the minimum cover should not be less than </w:t>
      </w:r>
      <w:r w:rsidRPr="001455DC">
        <w:rPr>
          <w:rStyle w:val="CCMCvariableitalic"/>
        </w:rPr>
        <w:t>c</w:t>
      </w:r>
      <w:r w:rsidRPr="001455DC">
        <w:rPr>
          <w:rStyle w:val="CCMCvariablesubscript"/>
        </w:rPr>
        <w:t>min,b</w:t>
      </w:r>
      <w:r w:rsidRPr="001455DC">
        <w:t xml:space="preserve"> given in Tables 6.5 and 6.6.</w:t>
      </w:r>
    </w:p>
    <w:p w14:paraId="2EEE0E5B" w14:textId="77777777" w:rsidR="004E22C1" w:rsidRPr="001455DC" w:rsidRDefault="004E22C1" w:rsidP="008656B4">
      <w:pPr>
        <w:pStyle w:val="Note"/>
      </w:pPr>
      <w:r w:rsidRPr="001455DC">
        <w:t>NOTE 1</w:t>
      </w:r>
      <w:r w:rsidRPr="001455DC">
        <w:tab/>
        <w:t xml:space="preserve">The minimum concrete cover values </w:t>
      </w:r>
      <w:r w:rsidRPr="001455DC">
        <w:rPr>
          <w:rStyle w:val="CCMCvariableitalic"/>
        </w:rPr>
        <w:t>c</w:t>
      </w:r>
      <w:r w:rsidRPr="001455DC">
        <w:rPr>
          <w:rStyle w:val="CCMCvariablesubscript"/>
        </w:rPr>
        <w:t>min,b</w:t>
      </w:r>
      <w:r w:rsidRPr="001455DC">
        <w:t xml:space="preserve"> assume execution and curing according to EN 13670 with at least Execution Class 2 and Curing Class 2.</w:t>
      </w:r>
    </w:p>
    <w:p w14:paraId="7DA9942B" w14:textId="77777777" w:rsidR="004E22C1" w:rsidRPr="001455DC" w:rsidRDefault="004E22C1" w:rsidP="008656B4">
      <w:pPr>
        <w:pStyle w:val="Note"/>
      </w:pPr>
      <w:r w:rsidRPr="001455DC">
        <w:t>NOTE 2</w:t>
      </w:r>
      <w:r w:rsidRPr="001455DC">
        <w:tab/>
        <w:t xml:space="preserve">For minimum concrete cover values </w:t>
      </w:r>
      <w:r w:rsidRPr="001455DC">
        <w:rPr>
          <w:rStyle w:val="CCMCvariableitalic"/>
        </w:rPr>
        <w:t>c</w:t>
      </w:r>
      <w:r w:rsidRPr="001455DC">
        <w:rPr>
          <w:rStyle w:val="CCMCvariablesubscript"/>
        </w:rPr>
        <w:t>min,b</w:t>
      </w:r>
      <w:r w:rsidRPr="001455DC">
        <w:t xml:space="preserve"> of pre-tensioning tendons see 13.5.1, Table 13.1.</w:t>
      </w:r>
    </w:p>
    <w:p w14:paraId="6DA63107" w14:textId="1ED295E5" w:rsidR="004E22C1" w:rsidRPr="001455DC" w:rsidRDefault="004E22C1" w:rsidP="008656B4">
      <w:pPr>
        <w:pStyle w:val="Tabletitle"/>
      </w:pPr>
      <w:bookmarkStart w:id="365" w:name="_Toc54337332"/>
      <w:r w:rsidRPr="001455DC">
        <w:t xml:space="preserve">Table 6.5 — Minimum cover </w:t>
      </w:r>
      <w:r w:rsidRPr="001455DC">
        <w:rPr>
          <w:rStyle w:val="CCMCvariableitalic"/>
        </w:rPr>
        <w:t>c</w:t>
      </w:r>
      <w:r w:rsidRPr="001455DC">
        <w:rPr>
          <w:rStyle w:val="CCMCvariablesubscript"/>
        </w:rPr>
        <w:t>min,b</w:t>
      </w:r>
      <w:r w:rsidRPr="001455DC">
        <w:t xml:space="preserve"> for reinforcing steel</w:t>
      </w:r>
      <w:bookmarkEnd w:id="365"/>
    </w:p>
    <w:tbl>
      <w:tblPr>
        <w:tblStyle w:val="53"/>
        <w:tblW w:w="9752" w:type="dxa"/>
        <w:tblLayout w:type="fixed"/>
        <w:tblLook w:val="0660" w:firstRow="1" w:lastRow="1" w:firstColumn="0" w:lastColumn="0" w:noHBand="1" w:noVBand="1"/>
      </w:tblPr>
      <w:tblGrid>
        <w:gridCol w:w="2460"/>
        <w:gridCol w:w="7292"/>
      </w:tblGrid>
      <w:tr w:rsidR="004E22C1" w:rsidRPr="001455DC" w14:paraId="30975D82" w14:textId="77777777" w:rsidTr="008656B4">
        <w:trPr>
          <w:cnfStyle w:val="100000000000" w:firstRow="1" w:lastRow="0" w:firstColumn="0" w:lastColumn="0" w:oddVBand="0" w:evenVBand="0" w:oddHBand="0" w:evenHBand="0" w:firstRowFirstColumn="0" w:firstRowLastColumn="0" w:lastRowFirstColumn="0" w:lastRowLastColumn="0"/>
          <w:cantSplit/>
          <w:tblHeader/>
        </w:trPr>
        <w:tc>
          <w:tcPr>
            <w:tcW w:w="2010" w:type="dxa"/>
          </w:tcPr>
          <w:p w14:paraId="1BB3B9AE" w14:textId="77777777" w:rsidR="004E22C1" w:rsidRPr="001455DC" w:rsidRDefault="004E22C1" w:rsidP="008656B4">
            <w:pPr>
              <w:pStyle w:val="Tableheader"/>
              <w:keepNext/>
            </w:pPr>
            <w:r w:rsidRPr="001455DC">
              <w:t>Steel type</w:t>
            </w:r>
          </w:p>
        </w:tc>
        <w:tc>
          <w:tcPr>
            <w:tcW w:w="5959" w:type="dxa"/>
          </w:tcPr>
          <w:p w14:paraId="58E6FD7C" w14:textId="1A403B4B" w:rsidR="004E22C1" w:rsidRPr="001455DC" w:rsidRDefault="004E22C1" w:rsidP="008656B4">
            <w:pPr>
              <w:pStyle w:val="Tableheader"/>
              <w:keepNext/>
              <w:rPr>
                <w:b w:val="0"/>
                <w:bCs/>
              </w:rPr>
            </w:pPr>
            <w:r w:rsidRPr="001455DC">
              <w:rPr>
                <w:rStyle w:val="CCMCvariableitalic"/>
                <w:b w:val="0"/>
                <w:bCs/>
              </w:rPr>
              <w:t>c</w:t>
            </w:r>
            <w:r w:rsidRPr="001455DC">
              <w:rPr>
                <w:rStyle w:val="CCMCvariablesubscript"/>
                <w:b w:val="0"/>
                <w:bCs/>
              </w:rPr>
              <w:t>min,b</w:t>
            </w:r>
            <w:r w:rsidRPr="001455DC">
              <w:rPr>
                <w:rStyle w:val="CCMCvariablesuperscript"/>
                <w:b w:val="0"/>
                <w:bCs/>
              </w:rPr>
              <w:t>a</w:t>
            </w:r>
          </w:p>
        </w:tc>
      </w:tr>
      <w:tr w:rsidR="004E22C1" w:rsidRPr="001455DC" w14:paraId="113FCA3F" w14:textId="77777777" w:rsidTr="008656B4">
        <w:trPr>
          <w:cantSplit/>
        </w:trPr>
        <w:tc>
          <w:tcPr>
            <w:tcW w:w="2010" w:type="dxa"/>
          </w:tcPr>
          <w:p w14:paraId="39EB0770" w14:textId="77777777" w:rsidR="004E22C1" w:rsidRPr="001455DC" w:rsidRDefault="004E22C1" w:rsidP="008656B4">
            <w:pPr>
              <w:pStyle w:val="Tablebody"/>
              <w:keepNext/>
            </w:pPr>
            <w:r w:rsidRPr="001455DC">
              <w:t>Separated bars</w:t>
            </w:r>
          </w:p>
        </w:tc>
        <w:tc>
          <w:tcPr>
            <w:tcW w:w="5959" w:type="dxa"/>
          </w:tcPr>
          <w:p w14:paraId="08892AE8" w14:textId="77777777" w:rsidR="004E22C1" w:rsidRPr="001455DC" w:rsidRDefault="004E22C1" w:rsidP="008656B4">
            <w:pPr>
              <w:pStyle w:val="Tablebody"/>
              <w:keepNext/>
            </w:pPr>
            <w:r w:rsidRPr="001455DC">
              <w:t>Diameter of bar</w:t>
            </w:r>
          </w:p>
        </w:tc>
      </w:tr>
      <w:tr w:rsidR="004E22C1" w:rsidRPr="001455DC" w14:paraId="7E0658FF" w14:textId="77777777" w:rsidTr="008656B4">
        <w:trPr>
          <w:cantSplit/>
        </w:trPr>
        <w:tc>
          <w:tcPr>
            <w:tcW w:w="2010" w:type="dxa"/>
          </w:tcPr>
          <w:p w14:paraId="573E7CB2" w14:textId="77777777" w:rsidR="004E22C1" w:rsidRPr="001455DC" w:rsidRDefault="004E22C1" w:rsidP="008656B4">
            <w:pPr>
              <w:pStyle w:val="Tablebody"/>
              <w:keepNext/>
            </w:pPr>
            <w:r w:rsidRPr="001455DC">
              <w:t>Bundled bars</w:t>
            </w:r>
          </w:p>
        </w:tc>
        <w:tc>
          <w:tcPr>
            <w:tcW w:w="5959" w:type="dxa"/>
          </w:tcPr>
          <w:p w14:paraId="1342A025" w14:textId="77777777" w:rsidR="004E22C1" w:rsidRPr="001455DC" w:rsidRDefault="004E22C1" w:rsidP="008656B4">
            <w:pPr>
              <w:pStyle w:val="Tablebody"/>
              <w:keepNext/>
            </w:pPr>
            <w:r w:rsidRPr="001455DC">
              <w:t xml:space="preserve">Equivalent diameter </w:t>
            </w:r>
            <w:r w:rsidRPr="001455DC">
              <w:rPr>
                <w:rStyle w:val="CCMCvariableitalic"/>
              </w:rPr>
              <w:t>ϕ</w:t>
            </w:r>
            <w:r w:rsidRPr="001455DC">
              <w:rPr>
                <w:rStyle w:val="CCMCvariablesubscript"/>
              </w:rPr>
              <w:t>b</w:t>
            </w:r>
            <w:r w:rsidRPr="001455DC">
              <w:t xml:space="preserve"> (see 11.4.3)</w:t>
            </w:r>
          </w:p>
        </w:tc>
      </w:tr>
      <w:tr w:rsidR="004E22C1" w:rsidRPr="001455DC" w14:paraId="6354DD9D" w14:textId="77777777" w:rsidTr="008656B4">
        <w:trPr>
          <w:cnfStyle w:val="010000000000" w:firstRow="0" w:lastRow="1" w:firstColumn="0" w:lastColumn="0" w:oddVBand="0" w:evenVBand="0" w:oddHBand="0" w:evenHBand="0" w:firstRowFirstColumn="0" w:firstRowLastColumn="0" w:lastRowFirstColumn="0" w:lastRowLastColumn="0"/>
          <w:cantSplit/>
        </w:trPr>
        <w:tc>
          <w:tcPr>
            <w:tcW w:w="7969" w:type="dxa"/>
            <w:gridSpan w:val="2"/>
          </w:tcPr>
          <w:p w14:paraId="60882DE0" w14:textId="12DE2FB0" w:rsidR="004E22C1" w:rsidRPr="009D3012" w:rsidRDefault="004E22C1" w:rsidP="00A35599">
            <w:pPr>
              <w:pStyle w:val="Tablefooter"/>
              <w:keepNext/>
              <w:rPr>
                <w:lang w:val="en-US"/>
              </w:rPr>
            </w:pPr>
            <w:r w:rsidRPr="009D3012">
              <w:rPr>
                <w:rStyle w:val="CCMCvariablesuperscript"/>
                <w:lang w:val="en-US"/>
              </w:rPr>
              <w:t>a</w:t>
            </w:r>
            <w:r w:rsidR="008656B4" w:rsidRPr="009D3012">
              <w:rPr>
                <w:lang w:val="en-US"/>
              </w:rPr>
              <w:tab/>
            </w:r>
            <w:r w:rsidRPr="009D3012">
              <w:rPr>
                <w:lang w:val="en-US"/>
              </w:rPr>
              <w:t xml:space="preserve">Where the specified maximum aggregate size </w:t>
            </w:r>
            <w:r w:rsidRPr="009D3012">
              <w:rPr>
                <w:rStyle w:val="CCMCvariableitalic"/>
                <w:lang w:val="en-US"/>
              </w:rPr>
              <w:t>D</w:t>
            </w:r>
            <w:r w:rsidRPr="009D3012">
              <w:rPr>
                <w:rStyle w:val="CCMCvariablesubscript"/>
                <w:lang w:val="en-US"/>
              </w:rPr>
              <w:t>upper</w:t>
            </w:r>
            <w:r w:rsidRPr="009D3012">
              <w:rPr>
                <w:lang w:val="en-US"/>
              </w:rPr>
              <w:t xml:space="preserve"> is</w:t>
            </w:r>
            <w:r w:rsidR="008656B4" w:rsidRPr="009D3012">
              <w:rPr>
                <w:lang w:val="en-US"/>
              </w:rPr>
              <w:t xml:space="preserve"> </w:t>
            </w:r>
            <w:r w:rsidR="00650035" w:rsidRPr="009D3012">
              <w:rPr>
                <w:rFonts w:ascii="Cambria Math" w:hAnsi="Cambria Math"/>
                <w:lang w:val="en-US"/>
              </w:rPr>
              <w:t>&gt;</w:t>
            </w:r>
            <w:r w:rsidR="00073FC6" w:rsidRPr="009D3012">
              <w:rPr>
                <w:lang w:val="en-US"/>
              </w:rPr>
              <w:t> </w:t>
            </w:r>
            <w:r w:rsidRPr="009D3012">
              <w:rPr>
                <w:lang w:val="en-US"/>
              </w:rPr>
              <w:t xml:space="preserve">32 mm, the minimum cover </w:t>
            </w:r>
            <w:r w:rsidRPr="009D3012">
              <w:rPr>
                <w:rStyle w:val="CCMCvariableitalic"/>
                <w:lang w:val="en-US"/>
              </w:rPr>
              <w:t>c</w:t>
            </w:r>
            <w:r w:rsidRPr="009D3012">
              <w:rPr>
                <w:rStyle w:val="CCMCvariablesubscript"/>
                <w:lang w:val="en-US"/>
              </w:rPr>
              <w:t>min,b</w:t>
            </w:r>
            <w:r w:rsidRPr="009D3012">
              <w:rPr>
                <w:lang w:val="en-US"/>
              </w:rPr>
              <w:t xml:space="preserve"> should be increased by 5 mm.</w:t>
            </w:r>
          </w:p>
        </w:tc>
      </w:tr>
    </w:tbl>
    <w:p w14:paraId="49C6B7D0" w14:textId="77777777" w:rsidR="004E22C1" w:rsidRPr="001455DC" w:rsidRDefault="004E22C1" w:rsidP="00A35599">
      <w:pPr>
        <w:pStyle w:val="a7"/>
        <w:keepNext/>
      </w:pPr>
    </w:p>
    <w:p w14:paraId="67866FFD" w14:textId="77777777" w:rsidR="004E22C1" w:rsidRPr="001455DC" w:rsidRDefault="004E22C1" w:rsidP="008656B4">
      <w:pPr>
        <w:pStyle w:val="Tabletitle"/>
      </w:pPr>
      <w:bookmarkStart w:id="366" w:name="_Toc54337333"/>
      <w:r w:rsidRPr="001455DC">
        <w:t xml:space="preserve">Table 6.6 — Minimum cover </w:t>
      </w:r>
      <w:r w:rsidRPr="001455DC">
        <w:rPr>
          <w:rStyle w:val="CCMCvariableitalic"/>
        </w:rPr>
        <w:t>c</w:t>
      </w:r>
      <w:r w:rsidRPr="001455DC">
        <w:rPr>
          <w:rStyle w:val="CCMCvariablesubscript"/>
        </w:rPr>
        <w:t>min,b</w:t>
      </w:r>
      <w:r w:rsidRPr="001455DC">
        <w:t xml:space="preserve"> for post-tensioning ducts</w:t>
      </w:r>
      <w:bookmarkEnd w:id="366"/>
    </w:p>
    <w:tbl>
      <w:tblPr>
        <w:tblStyle w:val="53"/>
        <w:tblW w:w="9752" w:type="dxa"/>
        <w:tblLayout w:type="fixed"/>
        <w:tblLook w:val="0660" w:firstRow="1" w:lastRow="1" w:firstColumn="0" w:lastColumn="0" w:noHBand="1" w:noVBand="1"/>
      </w:tblPr>
      <w:tblGrid>
        <w:gridCol w:w="2119"/>
        <w:gridCol w:w="3636"/>
        <w:gridCol w:w="3997"/>
      </w:tblGrid>
      <w:tr w:rsidR="004E22C1" w:rsidRPr="001455DC" w14:paraId="46BA9935" w14:textId="77777777" w:rsidTr="00704975">
        <w:trPr>
          <w:cnfStyle w:val="100000000000" w:firstRow="1" w:lastRow="0" w:firstColumn="0" w:lastColumn="0" w:oddVBand="0" w:evenVBand="0" w:oddHBand="0" w:evenHBand="0" w:firstRowFirstColumn="0" w:firstRowLastColumn="0" w:lastRowFirstColumn="0" w:lastRowLastColumn="0"/>
          <w:cantSplit/>
          <w:tblHeader/>
        </w:trPr>
        <w:tc>
          <w:tcPr>
            <w:tcW w:w="1732" w:type="dxa"/>
            <w:vMerge w:val="restart"/>
          </w:tcPr>
          <w:p w14:paraId="2B833D6A" w14:textId="77777777" w:rsidR="004E22C1" w:rsidRPr="001455DC" w:rsidRDefault="004E22C1" w:rsidP="008656B4">
            <w:pPr>
              <w:pStyle w:val="Tableheader"/>
              <w:keepNext/>
            </w:pPr>
            <w:r w:rsidRPr="001455DC">
              <w:t>Duct type</w:t>
            </w:r>
          </w:p>
        </w:tc>
        <w:tc>
          <w:tcPr>
            <w:tcW w:w="6237" w:type="dxa"/>
            <w:gridSpan w:val="2"/>
          </w:tcPr>
          <w:p w14:paraId="64D7D2B0" w14:textId="77777777" w:rsidR="004E22C1" w:rsidRPr="001455DC" w:rsidRDefault="004E22C1" w:rsidP="008656B4">
            <w:pPr>
              <w:pStyle w:val="Tableheader"/>
              <w:keepNext/>
            </w:pPr>
            <w:r w:rsidRPr="001455DC">
              <w:rPr>
                <w:rStyle w:val="CCMCvariableitalic"/>
              </w:rPr>
              <w:t>c</w:t>
            </w:r>
            <w:r w:rsidRPr="001455DC">
              <w:rPr>
                <w:rStyle w:val="CCMCvariablesubscript"/>
              </w:rPr>
              <w:t>min,b</w:t>
            </w:r>
            <w:r w:rsidRPr="001455DC">
              <w:t xml:space="preserve"> </w:t>
            </w:r>
          </w:p>
        </w:tc>
      </w:tr>
      <w:tr w:rsidR="004E22C1" w:rsidRPr="001455DC" w14:paraId="55B270A4" w14:textId="77777777" w:rsidTr="00704975">
        <w:trPr>
          <w:cnfStyle w:val="100000000000" w:firstRow="1" w:lastRow="0" w:firstColumn="0" w:lastColumn="0" w:oddVBand="0" w:evenVBand="0" w:oddHBand="0" w:evenHBand="0" w:firstRowFirstColumn="0" w:firstRowLastColumn="0" w:lastRowFirstColumn="0" w:lastRowLastColumn="0"/>
          <w:cantSplit/>
          <w:tblHeader/>
        </w:trPr>
        <w:tc>
          <w:tcPr>
            <w:tcW w:w="1732" w:type="dxa"/>
            <w:vMerge/>
          </w:tcPr>
          <w:p w14:paraId="7F9455F9" w14:textId="77777777" w:rsidR="004E22C1" w:rsidRPr="001455DC" w:rsidRDefault="004E22C1" w:rsidP="008656B4">
            <w:pPr>
              <w:pStyle w:val="Tableheader"/>
              <w:keepNext/>
            </w:pPr>
          </w:p>
        </w:tc>
        <w:tc>
          <w:tcPr>
            <w:tcW w:w="2971" w:type="dxa"/>
          </w:tcPr>
          <w:p w14:paraId="78B33BD9" w14:textId="024A87DD" w:rsidR="004E22C1" w:rsidRPr="001455DC" w:rsidRDefault="004E22C1" w:rsidP="000250B6">
            <w:pPr>
              <w:pStyle w:val="Tableheader"/>
              <w:keepNext/>
              <w:rPr>
                <w:b w:val="0"/>
              </w:rPr>
            </w:pPr>
            <w:r w:rsidRPr="001455DC">
              <w:rPr>
                <w:bCs/>
              </w:rPr>
              <w:t xml:space="preserve">with transverse </w:t>
            </w:r>
            <w:r w:rsidR="00EF011C" w:rsidRPr="001455DC">
              <w:rPr>
                <w:bCs/>
              </w:rPr>
              <w:t>reinforcement</w:t>
            </w:r>
            <w:r w:rsidR="000250B6">
              <w:rPr>
                <w:rStyle w:val="CCMCvariablesuperscript"/>
              </w:rPr>
              <w:t>a</w:t>
            </w:r>
          </w:p>
        </w:tc>
        <w:tc>
          <w:tcPr>
            <w:tcW w:w="3266" w:type="dxa"/>
          </w:tcPr>
          <w:p w14:paraId="0F0BE08E" w14:textId="77B452E5" w:rsidR="004E22C1" w:rsidRPr="001455DC" w:rsidRDefault="004E22C1" w:rsidP="008656B4">
            <w:pPr>
              <w:pStyle w:val="Tableheader"/>
              <w:keepNext/>
              <w:rPr>
                <w:b w:val="0"/>
              </w:rPr>
            </w:pPr>
            <w:r w:rsidRPr="001455DC">
              <w:rPr>
                <w:bCs/>
              </w:rPr>
              <w:t xml:space="preserve">without transverse </w:t>
            </w:r>
            <w:r w:rsidR="00EF011C" w:rsidRPr="001455DC">
              <w:rPr>
                <w:bCs/>
              </w:rPr>
              <w:t>reinforcement</w:t>
            </w:r>
            <w:r w:rsidR="000250B6">
              <w:rPr>
                <w:rStyle w:val="CCMCvariablesuperscript"/>
              </w:rPr>
              <w:t>a</w:t>
            </w:r>
          </w:p>
        </w:tc>
      </w:tr>
      <w:tr w:rsidR="004E22C1" w:rsidRPr="001455DC" w14:paraId="38866108" w14:textId="77777777" w:rsidTr="008656B4">
        <w:trPr>
          <w:cantSplit/>
        </w:trPr>
        <w:tc>
          <w:tcPr>
            <w:tcW w:w="1732" w:type="dxa"/>
          </w:tcPr>
          <w:p w14:paraId="3998213D" w14:textId="77777777" w:rsidR="004E22C1" w:rsidRPr="001455DC" w:rsidRDefault="004E22C1" w:rsidP="008656B4">
            <w:pPr>
              <w:pStyle w:val="Tablebody"/>
              <w:keepNext/>
            </w:pPr>
            <w:r w:rsidRPr="001455DC">
              <w:t>circular duct</w:t>
            </w:r>
          </w:p>
        </w:tc>
        <w:tc>
          <w:tcPr>
            <w:tcW w:w="2971" w:type="dxa"/>
          </w:tcPr>
          <w:p w14:paraId="1C3FFCF3" w14:textId="3CC3D781" w:rsidR="004E22C1" w:rsidRPr="001455DC" w:rsidRDefault="004E22C1" w:rsidP="008656B4">
            <w:pPr>
              <w:pStyle w:val="Tablebody"/>
              <w:keepNext/>
              <w:jc w:val="center"/>
            </w:pPr>
            <w:r w:rsidRPr="001455DC">
              <w:t>0,5</w:t>
            </w:r>
            <w:r w:rsidRPr="001455DC">
              <w:rPr>
                <w:rStyle w:val="CCMCvariableitalic"/>
              </w:rPr>
              <w:t>ϕ</w:t>
            </w:r>
            <w:r w:rsidRPr="001455DC">
              <w:rPr>
                <w:rStyle w:val="CCMCvariablesubscript"/>
              </w:rPr>
              <w:t>duct</w:t>
            </w:r>
            <w:r w:rsidRPr="001455DC">
              <w:t> </w:t>
            </w:r>
            <w:r w:rsidR="00650035" w:rsidRPr="001455DC">
              <w:rPr>
                <w:rFonts w:ascii="Cambria Math" w:hAnsi="Cambria Math"/>
              </w:rPr>
              <w:t>≤</w:t>
            </w:r>
            <w:r w:rsidRPr="001455DC">
              <w:t> 80 mm</w:t>
            </w:r>
          </w:p>
        </w:tc>
        <w:tc>
          <w:tcPr>
            <w:tcW w:w="3266" w:type="dxa"/>
          </w:tcPr>
          <w:p w14:paraId="5DD7BD4F" w14:textId="6E42D18E" w:rsidR="004E22C1" w:rsidRPr="001455DC" w:rsidRDefault="004E22C1" w:rsidP="008656B4">
            <w:pPr>
              <w:pStyle w:val="Tablebody"/>
              <w:keepNext/>
              <w:jc w:val="center"/>
            </w:pPr>
            <w:r w:rsidRPr="001455DC">
              <w:t>1,0</w:t>
            </w:r>
            <w:r w:rsidRPr="001455DC">
              <w:rPr>
                <w:rStyle w:val="CCMCvariableitalic"/>
              </w:rPr>
              <w:t>ϕ</w:t>
            </w:r>
            <w:r w:rsidRPr="001455DC">
              <w:rPr>
                <w:rStyle w:val="CCMCvariablesubscript"/>
              </w:rPr>
              <w:t>duct</w:t>
            </w:r>
            <w:r w:rsidRPr="001455DC">
              <w:t> </w:t>
            </w:r>
            <w:r w:rsidR="00650035" w:rsidRPr="001455DC">
              <w:rPr>
                <w:rFonts w:ascii="Cambria Math" w:hAnsi="Cambria Math"/>
              </w:rPr>
              <w:t>≤</w:t>
            </w:r>
            <w:r w:rsidRPr="001455DC">
              <w:t> 80 mm</w:t>
            </w:r>
          </w:p>
        </w:tc>
      </w:tr>
      <w:tr w:rsidR="004E22C1" w:rsidRPr="001455DC" w14:paraId="511E0F43" w14:textId="77777777" w:rsidTr="008656B4">
        <w:trPr>
          <w:cantSplit/>
        </w:trPr>
        <w:tc>
          <w:tcPr>
            <w:tcW w:w="1732" w:type="dxa"/>
          </w:tcPr>
          <w:p w14:paraId="164547E0" w14:textId="77777777" w:rsidR="004E22C1" w:rsidRPr="001455DC" w:rsidRDefault="004E22C1" w:rsidP="008656B4">
            <w:pPr>
              <w:pStyle w:val="Tablebody"/>
              <w:keepNext/>
            </w:pPr>
            <w:r w:rsidRPr="001455DC">
              <w:t>rectangular duct</w:t>
            </w:r>
          </w:p>
        </w:tc>
        <w:tc>
          <w:tcPr>
            <w:tcW w:w="2971" w:type="dxa"/>
          </w:tcPr>
          <w:p w14:paraId="7AE3194A" w14:textId="2BE849E8" w:rsidR="004E22C1" w:rsidRPr="001455DC" w:rsidRDefault="00EC27D2" w:rsidP="008656B4">
            <w:pPr>
              <w:pStyle w:val="Tablebody"/>
              <w:keepNext/>
              <w:jc w:val="center"/>
            </w:pPr>
            <w:r w:rsidRPr="001455DC">
              <w:rPr>
                <w:rFonts w:ascii="Cambria Math" w:hAnsi="Cambria Math"/>
              </w:rPr>
              <w:t>≥</w:t>
            </w:r>
            <w:r w:rsidR="00073FC6" w:rsidRPr="001455DC">
              <w:t> </w:t>
            </w:r>
            <w:r w:rsidR="004E22C1" w:rsidRPr="001455DC">
              <w:t>max{</w:t>
            </w:r>
            <w:r w:rsidR="004E22C1" w:rsidRPr="001455DC">
              <w:rPr>
                <w:rStyle w:val="CCMCvariableitalic"/>
              </w:rPr>
              <w:t>a</w:t>
            </w:r>
            <w:r w:rsidR="004E22C1" w:rsidRPr="001455DC">
              <w:t xml:space="preserve">; </w:t>
            </w:r>
            <w:r w:rsidR="004E22C1" w:rsidRPr="001455DC">
              <w:rPr>
                <w:rStyle w:val="CCMCvariableitalic"/>
              </w:rPr>
              <w:t>b</w:t>
            </w:r>
            <w:r w:rsidR="004E22C1" w:rsidRPr="001455DC">
              <w:t>/3}</w:t>
            </w:r>
            <w:r w:rsidR="004E22C1" w:rsidRPr="001455DC">
              <w:rPr>
                <w:rStyle w:val="CCMCvariablesuperscript"/>
              </w:rPr>
              <w:t>b</w:t>
            </w:r>
            <w:r w:rsidR="004E22C1" w:rsidRPr="001455DC">
              <w:t> </w:t>
            </w:r>
            <w:r w:rsidR="00650035" w:rsidRPr="001455DC">
              <w:rPr>
                <w:rFonts w:ascii="Cambria Math" w:hAnsi="Cambria Math"/>
              </w:rPr>
              <w:t>≤</w:t>
            </w:r>
            <w:r w:rsidR="004E22C1" w:rsidRPr="001455DC">
              <w:t> 80 mm</w:t>
            </w:r>
          </w:p>
        </w:tc>
        <w:tc>
          <w:tcPr>
            <w:tcW w:w="3266" w:type="dxa"/>
          </w:tcPr>
          <w:p w14:paraId="754E1F92" w14:textId="0968103E" w:rsidR="004E22C1" w:rsidRPr="001455DC" w:rsidRDefault="00EC27D2" w:rsidP="008656B4">
            <w:pPr>
              <w:pStyle w:val="Tablebody"/>
              <w:keepNext/>
              <w:jc w:val="center"/>
            </w:pPr>
            <w:r w:rsidRPr="001455DC">
              <w:rPr>
                <w:rFonts w:ascii="Cambria Math" w:hAnsi="Cambria Math"/>
              </w:rPr>
              <w:t>≥</w:t>
            </w:r>
            <w:r w:rsidR="00073FC6" w:rsidRPr="001455DC">
              <w:t> </w:t>
            </w:r>
            <w:r w:rsidR="004E22C1" w:rsidRPr="001455DC">
              <w:t>max{</w:t>
            </w:r>
            <w:r w:rsidR="004E22C1" w:rsidRPr="001455DC">
              <w:rPr>
                <w:rStyle w:val="CCMCvariableitalic"/>
              </w:rPr>
              <w:t>a</w:t>
            </w:r>
            <w:r w:rsidR="004E22C1" w:rsidRPr="001455DC">
              <w:t xml:space="preserve">; </w:t>
            </w:r>
            <w:r w:rsidR="004E22C1" w:rsidRPr="001455DC">
              <w:rPr>
                <w:rStyle w:val="CCMCvariableitalic"/>
              </w:rPr>
              <w:t>b</w:t>
            </w:r>
            <w:r w:rsidR="004E22C1" w:rsidRPr="001455DC">
              <w:t>/2}</w:t>
            </w:r>
            <w:r w:rsidR="004E22C1" w:rsidRPr="001455DC">
              <w:rPr>
                <w:rStyle w:val="CCMCvariablesuperscript"/>
              </w:rPr>
              <w:t>b</w:t>
            </w:r>
            <w:r w:rsidR="004E22C1" w:rsidRPr="001455DC">
              <w:t> </w:t>
            </w:r>
            <w:r w:rsidR="00650035" w:rsidRPr="001455DC">
              <w:rPr>
                <w:rFonts w:ascii="Cambria Math" w:hAnsi="Cambria Math"/>
              </w:rPr>
              <w:t>≤</w:t>
            </w:r>
            <w:r w:rsidR="004E22C1" w:rsidRPr="001455DC">
              <w:t> 80 mm</w:t>
            </w:r>
          </w:p>
        </w:tc>
      </w:tr>
      <w:tr w:rsidR="004E22C1" w:rsidRPr="001455DC" w14:paraId="11FD11EE" w14:textId="77777777" w:rsidTr="008656B4">
        <w:trPr>
          <w:cnfStyle w:val="010000000000" w:firstRow="0" w:lastRow="1" w:firstColumn="0" w:lastColumn="0" w:oddVBand="0" w:evenVBand="0" w:oddHBand="0" w:evenHBand="0" w:firstRowFirstColumn="0" w:firstRowLastColumn="0" w:lastRowFirstColumn="0" w:lastRowLastColumn="0"/>
          <w:cantSplit/>
        </w:trPr>
        <w:tc>
          <w:tcPr>
            <w:tcW w:w="7969" w:type="dxa"/>
            <w:gridSpan w:val="3"/>
          </w:tcPr>
          <w:p w14:paraId="093C547C" w14:textId="4531957A" w:rsidR="004E22C1" w:rsidRPr="009D3012" w:rsidRDefault="004E22C1" w:rsidP="008656B4">
            <w:pPr>
              <w:pStyle w:val="Tablefooter"/>
              <w:rPr>
                <w:iCs/>
                <w:lang w:val="en-US"/>
              </w:rPr>
            </w:pPr>
            <w:r w:rsidRPr="009D3012">
              <w:rPr>
                <w:rStyle w:val="CCMCvariablesuperscript"/>
                <w:lang w:val="en-US"/>
              </w:rPr>
              <w:t>a</w:t>
            </w:r>
            <w:r w:rsidR="008656B4" w:rsidRPr="009D3012">
              <w:rPr>
                <w:lang w:val="en-US"/>
              </w:rPr>
              <w:tab/>
            </w:r>
            <w:r w:rsidRPr="009D3012">
              <w:rPr>
                <w:lang w:val="en-US"/>
              </w:rPr>
              <w:t>in cover</w:t>
            </w:r>
          </w:p>
          <w:p w14:paraId="6A81D609" w14:textId="7FF580D2" w:rsidR="004E22C1" w:rsidRPr="009D3012" w:rsidRDefault="004E22C1" w:rsidP="008656B4">
            <w:pPr>
              <w:pStyle w:val="Tablefooter"/>
              <w:rPr>
                <w:rStyle w:val="CCMCvariableitalic"/>
                <w:lang w:val="en-US"/>
              </w:rPr>
            </w:pPr>
            <w:r w:rsidRPr="009D3012">
              <w:rPr>
                <w:rStyle w:val="CCMCvariablesuperscript"/>
                <w:lang w:val="en-US"/>
              </w:rPr>
              <w:t>b</w:t>
            </w:r>
            <w:r w:rsidR="008656B4" w:rsidRPr="009D3012">
              <w:rPr>
                <w:lang w:val="en-US"/>
              </w:rPr>
              <w:tab/>
            </w:r>
            <w:r w:rsidRPr="009D3012">
              <w:rPr>
                <w:lang w:val="en-US"/>
              </w:rPr>
              <w:t xml:space="preserve">where </w:t>
            </w:r>
            <w:r w:rsidRPr="009D3012">
              <w:rPr>
                <w:rStyle w:val="CCMCvariableitalic"/>
                <w:lang w:val="en-US"/>
              </w:rPr>
              <w:t>a</w:t>
            </w:r>
            <w:r w:rsidRPr="009D3012">
              <w:rPr>
                <w:lang w:val="en-US"/>
              </w:rPr>
              <w:t> </w:t>
            </w:r>
            <w:r w:rsidR="00650035" w:rsidRPr="009D3012">
              <w:rPr>
                <w:rFonts w:ascii="Cambria Math" w:hAnsi="Cambria Math"/>
                <w:lang w:val="en-US"/>
              </w:rPr>
              <w:t>≤</w:t>
            </w:r>
            <w:r w:rsidRPr="009D3012">
              <w:rPr>
                <w:lang w:val="en-US"/>
              </w:rPr>
              <w:t> </w:t>
            </w:r>
            <w:r w:rsidRPr="009D3012">
              <w:rPr>
                <w:rStyle w:val="CCMCvariableitalic"/>
                <w:lang w:val="en-US"/>
              </w:rPr>
              <w:t>b</w:t>
            </w:r>
          </w:p>
        </w:tc>
      </w:tr>
    </w:tbl>
    <w:p w14:paraId="34A59833" w14:textId="77777777" w:rsidR="004E22C1" w:rsidRPr="001455DC" w:rsidRDefault="004E22C1" w:rsidP="008656B4">
      <w:pPr>
        <w:pStyle w:val="a7"/>
      </w:pPr>
    </w:p>
    <w:p w14:paraId="7B2109F5" w14:textId="7A64AE1B" w:rsidR="004E22C1" w:rsidRPr="001455DC" w:rsidRDefault="004E22C1" w:rsidP="00243590">
      <w:pPr>
        <w:pStyle w:val="31"/>
      </w:pPr>
      <w:bookmarkStart w:id="367" w:name="_Toc56582437"/>
      <w:bookmarkStart w:id="368" w:name="_Toc56595488"/>
      <w:bookmarkStart w:id="369" w:name="_Toc52819931"/>
      <w:bookmarkStart w:id="370" w:name="_Toc54337334"/>
      <w:bookmarkStart w:id="371" w:name="_Toc54337989"/>
      <w:bookmarkStart w:id="372" w:name="_Toc67565349"/>
      <w:bookmarkEnd w:id="367"/>
      <w:bookmarkEnd w:id="368"/>
      <w:r w:rsidRPr="001455DC">
        <w:t>Allowance in design for deviation</w:t>
      </w:r>
      <w:bookmarkEnd w:id="369"/>
      <w:bookmarkEnd w:id="370"/>
      <w:bookmarkEnd w:id="371"/>
      <w:bookmarkEnd w:id="372"/>
    </w:p>
    <w:p w14:paraId="3D87E62E" w14:textId="7843CE85" w:rsidR="004E22C1" w:rsidRPr="001455DC" w:rsidRDefault="004E22C1" w:rsidP="008656B4">
      <w:pPr>
        <w:pStyle w:val="a7"/>
      </w:pPr>
      <w:r w:rsidRPr="001455DC">
        <w:t>(1)</w:t>
      </w:r>
      <w:r w:rsidRPr="001455DC">
        <w:tab/>
        <w:t xml:space="preserve">To calculate the nominal cover </w:t>
      </w:r>
      <w:r w:rsidRPr="001455DC">
        <w:rPr>
          <w:rStyle w:val="CCMCvariableitalic"/>
        </w:rPr>
        <w:t>c</w:t>
      </w:r>
      <w:r w:rsidRPr="001455DC">
        <w:rPr>
          <w:rStyle w:val="CCMCvariablesubscript"/>
        </w:rPr>
        <w:t>nom</w:t>
      </w:r>
      <w:r w:rsidRPr="001455DC">
        <w:t xml:space="preserve">, an addition to the minimum cover </w:t>
      </w:r>
      <w:r w:rsidRPr="001455DC">
        <w:rPr>
          <w:rStyle w:val="CCMCvariableitalic"/>
        </w:rPr>
        <w:t>c</w:t>
      </w:r>
      <w:r w:rsidRPr="001455DC">
        <w:rPr>
          <w:rStyle w:val="CCMCvariablesubscript"/>
        </w:rPr>
        <w:t>min</w:t>
      </w:r>
      <w:r w:rsidRPr="001455DC">
        <w:t xml:space="preserve"> shall be made in design to allow for the deviation Δ</w:t>
      </w:r>
      <w:r w:rsidRPr="001455DC">
        <w:rPr>
          <w:rStyle w:val="CCMCvariableitalic"/>
        </w:rPr>
        <w:t>c</w:t>
      </w:r>
      <w:r w:rsidRPr="001455DC">
        <w:rPr>
          <w:rStyle w:val="CCMCvariablesubscript"/>
        </w:rPr>
        <w:t>dev</w:t>
      </w:r>
      <w:r w:rsidRPr="001455DC">
        <w:t xml:space="preserve"> which shall be taken as the absolute value of the accepted negative deviation specified in the execution specification</w:t>
      </w:r>
      <w:r w:rsidR="006D682B">
        <w:t>,</w:t>
      </w:r>
      <w:r w:rsidRPr="001455DC">
        <w:t xml:space="preserve"> e.g. given on the construction drawings (see EN 13670). Values for Δ</w:t>
      </w:r>
      <w:r w:rsidRPr="001455DC">
        <w:rPr>
          <w:rStyle w:val="CCMCvariableitalic"/>
        </w:rPr>
        <w:t>c</w:t>
      </w:r>
      <w:r w:rsidRPr="001455DC">
        <w:rPr>
          <w:rStyle w:val="CCMCvariablesubscript"/>
        </w:rPr>
        <w:t>dev</w:t>
      </w:r>
      <w:r w:rsidRPr="001455DC">
        <w:t xml:space="preserve"> are given in Table 6.7(NDP).</w:t>
      </w:r>
    </w:p>
    <w:p w14:paraId="21963506" w14:textId="77777777" w:rsidR="004E22C1" w:rsidRPr="001455DC" w:rsidRDefault="004E22C1" w:rsidP="008656B4">
      <w:pPr>
        <w:pStyle w:val="Note"/>
      </w:pPr>
      <w:r w:rsidRPr="001455DC">
        <w:t>NOTE</w:t>
      </w:r>
      <w:r w:rsidRPr="001455DC">
        <w:tab/>
        <w:t>Cases and values of Table 6.7(NDP) apply, unless a National Annex gives different cases and values.</w:t>
      </w:r>
    </w:p>
    <w:p w14:paraId="1A7CF781" w14:textId="77777777" w:rsidR="004E22C1" w:rsidRPr="001455DC" w:rsidRDefault="004E22C1" w:rsidP="008656B4">
      <w:pPr>
        <w:pStyle w:val="Tabletitle"/>
      </w:pPr>
      <w:bookmarkStart w:id="373" w:name="_Toc54337335"/>
      <w:r w:rsidRPr="001455DC">
        <w:t>Table 6.7(NDP) — Allowance for deviation Δ</w:t>
      </w:r>
      <w:r w:rsidRPr="001455DC">
        <w:rPr>
          <w:rStyle w:val="CCMCvariableitalic"/>
        </w:rPr>
        <w:t>c</w:t>
      </w:r>
      <w:r w:rsidRPr="001455DC">
        <w:rPr>
          <w:rStyle w:val="CCMCvariablesubscript"/>
        </w:rPr>
        <w:t>dev</w:t>
      </w:r>
      <w:bookmarkEnd w:id="373"/>
    </w:p>
    <w:tbl>
      <w:tblPr>
        <w:tblStyle w:val="53"/>
        <w:tblW w:w="9752" w:type="dxa"/>
        <w:tblLayout w:type="fixed"/>
        <w:tblLook w:val="0660" w:firstRow="1" w:lastRow="1" w:firstColumn="0" w:lastColumn="0" w:noHBand="1" w:noVBand="1"/>
      </w:tblPr>
      <w:tblGrid>
        <w:gridCol w:w="516"/>
        <w:gridCol w:w="6501"/>
        <w:gridCol w:w="2735"/>
      </w:tblGrid>
      <w:tr w:rsidR="004E22C1" w:rsidRPr="001455DC" w14:paraId="5D204EEA" w14:textId="77777777" w:rsidTr="008656B4">
        <w:trPr>
          <w:cnfStyle w:val="100000000000" w:firstRow="1" w:lastRow="0" w:firstColumn="0" w:lastColumn="0" w:oddVBand="0" w:evenVBand="0" w:oddHBand="0" w:evenHBand="0" w:firstRowFirstColumn="0" w:firstRowLastColumn="0" w:lastRowFirstColumn="0" w:lastRowLastColumn="0"/>
          <w:tblHeader/>
        </w:trPr>
        <w:tc>
          <w:tcPr>
            <w:tcW w:w="450" w:type="dxa"/>
          </w:tcPr>
          <w:p w14:paraId="472FDEEA" w14:textId="20FE8BF3" w:rsidR="004E22C1" w:rsidRPr="009D3012" w:rsidRDefault="008656B4" w:rsidP="008656B4">
            <w:pPr>
              <w:pStyle w:val="Tableheader"/>
              <w:keepNext/>
              <w:rPr>
                <w:lang w:val="en-US"/>
              </w:rPr>
            </w:pPr>
            <w:r w:rsidRPr="009D3012">
              <w:rPr>
                <w:lang w:val="en-US"/>
              </w:rPr>
              <w:t> </w:t>
            </w:r>
          </w:p>
        </w:tc>
        <w:tc>
          <w:tcPr>
            <w:tcW w:w="5670" w:type="dxa"/>
          </w:tcPr>
          <w:p w14:paraId="128782B0" w14:textId="77777777" w:rsidR="004E22C1" w:rsidRPr="001455DC" w:rsidRDefault="004E22C1" w:rsidP="008656B4">
            <w:pPr>
              <w:pStyle w:val="Tableheader"/>
              <w:keepNext/>
            </w:pPr>
            <w:r w:rsidRPr="001455DC">
              <w:t>Case</w:t>
            </w:r>
          </w:p>
        </w:tc>
        <w:tc>
          <w:tcPr>
            <w:tcW w:w="2385" w:type="dxa"/>
          </w:tcPr>
          <w:p w14:paraId="73AD5EF2" w14:textId="77777777" w:rsidR="004E22C1" w:rsidRPr="001455DC" w:rsidRDefault="004E22C1" w:rsidP="008656B4">
            <w:pPr>
              <w:pStyle w:val="Tableheader"/>
              <w:keepNext/>
              <w:rPr>
                <w:bCs/>
              </w:rPr>
            </w:pPr>
            <w:r w:rsidRPr="001455DC">
              <w:rPr>
                <w:bCs/>
              </w:rPr>
              <w:t>Δ</w:t>
            </w:r>
            <w:r w:rsidRPr="001455DC">
              <w:rPr>
                <w:rStyle w:val="CCMCvariableitalic"/>
                <w:bCs/>
              </w:rPr>
              <w:t>c</w:t>
            </w:r>
            <w:r w:rsidRPr="001455DC">
              <w:rPr>
                <w:rStyle w:val="CCMCvariablesubscript"/>
                <w:bCs/>
              </w:rPr>
              <w:t>dev</w:t>
            </w:r>
          </w:p>
        </w:tc>
      </w:tr>
      <w:tr w:rsidR="004E22C1" w:rsidRPr="001455DC" w14:paraId="6F2BA03E" w14:textId="77777777" w:rsidTr="008656B4">
        <w:tc>
          <w:tcPr>
            <w:tcW w:w="450" w:type="dxa"/>
            <w:vAlign w:val="center"/>
          </w:tcPr>
          <w:p w14:paraId="3B806184" w14:textId="77777777" w:rsidR="004E22C1" w:rsidRPr="001455DC" w:rsidRDefault="004E22C1" w:rsidP="008656B4">
            <w:pPr>
              <w:pStyle w:val="Tablebody"/>
              <w:keepNext/>
              <w:jc w:val="center"/>
            </w:pPr>
            <w:r w:rsidRPr="001455DC">
              <w:t>1</w:t>
            </w:r>
          </w:p>
        </w:tc>
        <w:tc>
          <w:tcPr>
            <w:tcW w:w="5670" w:type="dxa"/>
            <w:vAlign w:val="center"/>
          </w:tcPr>
          <w:p w14:paraId="4729DE1E" w14:textId="77777777" w:rsidR="004E22C1" w:rsidRPr="009D3012" w:rsidRDefault="004E22C1" w:rsidP="008656B4">
            <w:pPr>
              <w:pStyle w:val="Tablebody"/>
              <w:keepNext/>
              <w:jc w:val="left"/>
              <w:rPr>
                <w:lang w:val="en-US"/>
              </w:rPr>
            </w:pPr>
            <w:r w:rsidRPr="009D3012">
              <w:rPr>
                <w:lang w:val="en-US"/>
              </w:rPr>
              <w:t>In general: for execution in Tolerance class 1 according to EN 13670</w:t>
            </w:r>
          </w:p>
        </w:tc>
        <w:tc>
          <w:tcPr>
            <w:tcW w:w="2385" w:type="dxa"/>
            <w:vAlign w:val="center"/>
          </w:tcPr>
          <w:p w14:paraId="2C3B0495" w14:textId="77777777" w:rsidR="004E22C1" w:rsidRPr="001455DC" w:rsidRDefault="004E22C1" w:rsidP="008656B4">
            <w:pPr>
              <w:pStyle w:val="Tablebody"/>
              <w:keepNext/>
              <w:jc w:val="center"/>
            </w:pPr>
            <w:r w:rsidRPr="001455DC">
              <w:t>10 mm</w:t>
            </w:r>
          </w:p>
        </w:tc>
      </w:tr>
      <w:tr w:rsidR="004E22C1" w:rsidRPr="001455DC" w14:paraId="41F44271" w14:textId="77777777" w:rsidTr="008656B4">
        <w:tc>
          <w:tcPr>
            <w:tcW w:w="450" w:type="dxa"/>
            <w:vAlign w:val="center"/>
          </w:tcPr>
          <w:p w14:paraId="77AF5BBD" w14:textId="77777777" w:rsidR="004E22C1" w:rsidRPr="001455DC" w:rsidRDefault="004E22C1" w:rsidP="008656B4">
            <w:pPr>
              <w:pStyle w:val="Tablebody"/>
              <w:keepNext/>
              <w:jc w:val="center"/>
            </w:pPr>
            <w:r w:rsidRPr="001455DC">
              <w:t>2</w:t>
            </w:r>
          </w:p>
        </w:tc>
        <w:tc>
          <w:tcPr>
            <w:tcW w:w="5670" w:type="dxa"/>
            <w:vAlign w:val="center"/>
          </w:tcPr>
          <w:p w14:paraId="1D5F4D2F" w14:textId="77777777" w:rsidR="004E22C1" w:rsidRPr="009D3012" w:rsidRDefault="004E22C1" w:rsidP="008656B4">
            <w:pPr>
              <w:pStyle w:val="Tablebody"/>
              <w:keepNext/>
              <w:jc w:val="left"/>
              <w:rPr>
                <w:lang w:val="en-US"/>
              </w:rPr>
            </w:pPr>
            <w:r w:rsidRPr="009D3012">
              <w:rPr>
                <w:lang w:val="en-US"/>
              </w:rPr>
              <w:t>For execution in Tolerance class 2 according to EN 13670</w:t>
            </w:r>
          </w:p>
        </w:tc>
        <w:tc>
          <w:tcPr>
            <w:tcW w:w="2385" w:type="dxa"/>
            <w:vAlign w:val="center"/>
          </w:tcPr>
          <w:p w14:paraId="6C20D0B9" w14:textId="77777777" w:rsidR="004E22C1" w:rsidRPr="001455DC" w:rsidRDefault="004E22C1" w:rsidP="008656B4">
            <w:pPr>
              <w:pStyle w:val="Tablebody"/>
              <w:keepNext/>
              <w:jc w:val="center"/>
            </w:pPr>
            <w:r w:rsidRPr="001455DC">
              <w:t>5 mm</w:t>
            </w:r>
          </w:p>
        </w:tc>
      </w:tr>
      <w:tr w:rsidR="004E22C1" w:rsidRPr="001455DC" w14:paraId="1A17DF83" w14:textId="77777777" w:rsidTr="008656B4">
        <w:tc>
          <w:tcPr>
            <w:tcW w:w="450" w:type="dxa"/>
            <w:vAlign w:val="center"/>
          </w:tcPr>
          <w:p w14:paraId="52A5BEFE" w14:textId="77777777" w:rsidR="004E22C1" w:rsidRPr="001455DC" w:rsidRDefault="004E22C1" w:rsidP="008656B4">
            <w:pPr>
              <w:pStyle w:val="Tablebody"/>
              <w:keepNext/>
              <w:jc w:val="center"/>
            </w:pPr>
            <w:r w:rsidRPr="001455DC">
              <w:t>3</w:t>
            </w:r>
          </w:p>
        </w:tc>
        <w:tc>
          <w:tcPr>
            <w:tcW w:w="5670" w:type="dxa"/>
            <w:vAlign w:val="center"/>
          </w:tcPr>
          <w:p w14:paraId="3B9CFD3A" w14:textId="77777777" w:rsidR="004E22C1" w:rsidRPr="009D3012" w:rsidRDefault="004E22C1" w:rsidP="008656B4">
            <w:pPr>
              <w:pStyle w:val="Tablebody"/>
              <w:keepNext/>
              <w:jc w:val="left"/>
              <w:rPr>
                <w:lang w:val="en-US"/>
              </w:rPr>
            </w:pPr>
            <w:r w:rsidRPr="009D3012">
              <w:rPr>
                <w:lang w:val="en-US"/>
              </w:rPr>
              <w:t>Where fabrication is subjected to a quality assurance system, in which the systematic monitoring includes measurements of the cover</w:t>
            </w:r>
          </w:p>
        </w:tc>
        <w:tc>
          <w:tcPr>
            <w:tcW w:w="2385" w:type="dxa"/>
            <w:vAlign w:val="center"/>
          </w:tcPr>
          <w:p w14:paraId="10AB6394" w14:textId="77777777" w:rsidR="004E22C1" w:rsidRPr="001455DC" w:rsidRDefault="004E22C1" w:rsidP="008656B4">
            <w:pPr>
              <w:pStyle w:val="Tablebody"/>
              <w:keepNext/>
              <w:jc w:val="center"/>
            </w:pPr>
            <w:r w:rsidRPr="001455DC">
              <w:t>5 mm</w:t>
            </w:r>
          </w:p>
        </w:tc>
      </w:tr>
      <w:tr w:rsidR="004E22C1" w:rsidRPr="001455DC" w14:paraId="7F7E661B" w14:textId="77777777" w:rsidTr="008656B4">
        <w:tc>
          <w:tcPr>
            <w:tcW w:w="450" w:type="dxa"/>
            <w:vAlign w:val="center"/>
          </w:tcPr>
          <w:p w14:paraId="20E667A7" w14:textId="77777777" w:rsidR="004E22C1" w:rsidRPr="001455DC" w:rsidRDefault="004E22C1" w:rsidP="008656B4">
            <w:pPr>
              <w:pStyle w:val="Tablebody"/>
              <w:keepNext/>
              <w:jc w:val="center"/>
            </w:pPr>
            <w:r w:rsidRPr="001455DC">
              <w:t>4</w:t>
            </w:r>
          </w:p>
        </w:tc>
        <w:tc>
          <w:tcPr>
            <w:tcW w:w="5670" w:type="dxa"/>
            <w:vAlign w:val="center"/>
          </w:tcPr>
          <w:p w14:paraId="42233AF3" w14:textId="77777777" w:rsidR="004E22C1" w:rsidRPr="009D3012" w:rsidRDefault="004E22C1" w:rsidP="008656B4">
            <w:pPr>
              <w:pStyle w:val="Tablebody"/>
              <w:keepNext/>
              <w:jc w:val="left"/>
              <w:rPr>
                <w:lang w:val="en-US"/>
              </w:rPr>
            </w:pPr>
            <w:r w:rsidRPr="009D3012">
              <w:rPr>
                <w:lang w:val="en-US"/>
              </w:rPr>
              <w:t>Where it can be assured that an accurate measurement device is used for systematic monitoring and non conforming members are rejected (e.g. precast elements)</w:t>
            </w:r>
          </w:p>
        </w:tc>
        <w:tc>
          <w:tcPr>
            <w:tcW w:w="2385" w:type="dxa"/>
            <w:vAlign w:val="center"/>
          </w:tcPr>
          <w:p w14:paraId="5C99487A" w14:textId="77777777" w:rsidR="004E22C1" w:rsidRPr="001455DC" w:rsidRDefault="004E22C1" w:rsidP="008656B4">
            <w:pPr>
              <w:pStyle w:val="Tablebody"/>
              <w:keepNext/>
              <w:jc w:val="center"/>
            </w:pPr>
            <w:r w:rsidRPr="001455DC">
              <w:t>0 mm</w:t>
            </w:r>
          </w:p>
        </w:tc>
      </w:tr>
      <w:tr w:rsidR="004E22C1" w:rsidRPr="001455DC" w14:paraId="4E858FD9" w14:textId="77777777" w:rsidTr="008656B4">
        <w:tc>
          <w:tcPr>
            <w:tcW w:w="450" w:type="dxa"/>
            <w:vAlign w:val="center"/>
          </w:tcPr>
          <w:p w14:paraId="2F200854" w14:textId="77777777" w:rsidR="004E22C1" w:rsidRPr="001455DC" w:rsidRDefault="004E22C1" w:rsidP="008656B4">
            <w:pPr>
              <w:pStyle w:val="Tablebody"/>
              <w:keepNext/>
              <w:jc w:val="center"/>
            </w:pPr>
            <w:r w:rsidRPr="001455DC">
              <w:t>5</w:t>
            </w:r>
          </w:p>
        </w:tc>
        <w:tc>
          <w:tcPr>
            <w:tcW w:w="5670" w:type="dxa"/>
            <w:vAlign w:val="center"/>
          </w:tcPr>
          <w:p w14:paraId="7AEC555B" w14:textId="77777777" w:rsidR="004E22C1" w:rsidRPr="009D3012" w:rsidRDefault="004E22C1" w:rsidP="008656B4">
            <w:pPr>
              <w:pStyle w:val="Tablebody"/>
              <w:keepNext/>
              <w:jc w:val="left"/>
              <w:rPr>
                <w:lang w:val="en-US"/>
              </w:rPr>
            </w:pPr>
            <w:r w:rsidRPr="009D3012">
              <w:rPr>
                <w:lang w:val="en-US"/>
              </w:rPr>
              <w:t>For concrete members in exposure class XC1, where the risk of corrosion is insignificant</w:t>
            </w:r>
          </w:p>
        </w:tc>
        <w:tc>
          <w:tcPr>
            <w:tcW w:w="2385" w:type="dxa"/>
            <w:vAlign w:val="center"/>
          </w:tcPr>
          <w:p w14:paraId="579371E7" w14:textId="77777777" w:rsidR="004E22C1" w:rsidRPr="001455DC" w:rsidRDefault="004E22C1" w:rsidP="008656B4">
            <w:pPr>
              <w:pStyle w:val="Tablebody"/>
              <w:keepNext/>
              <w:jc w:val="center"/>
            </w:pPr>
            <w:r w:rsidRPr="001455DC">
              <w:t>5 mm</w:t>
            </w:r>
          </w:p>
        </w:tc>
      </w:tr>
      <w:tr w:rsidR="004E22C1" w:rsidRPr="001455DC" w14:paraId="71FF218F" w14:textId="77777777" w:rsidTr="008656B4">
        <w:tc>
          <w:tcPr>
            <w:tcW w:w="450" w:type="dxa"/>
            <w:vAlign w:val="center"/>
          </w:tcPr>
          <w:p w14:paraId="74EC4501" w14:textId="77777777" w:rsidR="004E22C1" w:rsidRPr="001455DC" w:rsidRDefault="004E22C1" w:rsidP="008656B4">
            <w:pPr>
              <w:pStyle w:val="Tablebody"/>
              <w:keepNext/>
              <w:jc w:val="center"/>
            </w:pPr>
            <w:r w:rsidRPr="001455DC">
              <w:t>6</w:t>
            </w:r>
          </w:p>
        </w:tc>
        <w:tc>
          <w:tcPr>
            <w:tcW w:w="5670" w:type="dxa"/>
            <w:vAlign w:val="center"/>
          </w:tcPr>
          <w:p w14:paraId="27203B04" w14:textId="77777777" w:rsidR="004E22C1" w:rsidRPr="009D3012" w:rsidRDefault="004E22C1" w:rsidP="008656B4">
            <w:pPr>
              <w:pStyle w:val="Tablebody"/>
              <w:keepNext/>
              <w:jc w:val="left"/>
              <w:rPr>
                <w:lang w:val="en-US"/>
              </w:rPr>
            </w:pPr>
            <w:r w:rsidRPr="009D3012">
              <w:rPr>
                <w:lang w:val="en-US"/>
              </w:rPr>
              <w:t>For concrete cast against surfaces with exposed aggregate (e.g. interfaces)</w:t>
            </w:r>
          </w:p>
        </w:tc>
        <w:tc>
          <w:tcPr>
            <w:tcW w:w="2385" w:type="dxa"/>
            <w:vAlign w:val="center"/>
          </w:tcPr>
          <w:p w14:paraId="1A84C17A" w14:textId="77777777" w:rsidR="004E22C1" w:rsidRPr="001455DC" w:rsidRDefault="004E22C1" w:rsidP="008656B4">
            <w:pPr>
              <w:pStyle w:val="Tablebody"/>
              <w:keepNext/>
              <w:jc w:val="center"/>
            </w:pPr>
            <w:r w:rsidRPr="001455DC">
              <w:t>5 mm</w:t>
            </w:r>
          </w:p>
        </w:tc>
      </w:tr>
      <w:tr w:rsidR="004E22C1" w:rsidRPr="001455DC" w14:paraId="69DA794E" w14:textId="77777777" w:rsidTr="008656B4">
        <w:tc>
          <w:tcPr>
            <w:tcW w:w="450" w:type="dxa"/>
            <w:vAlign w:val="center"/>
          </w:tcPr>
          <w:p w14:paraId="63B76CA6" w14:textId="77777777" w:rsidR="004E22C1" w:rsidRPr="001455DC" w:rsidRDefault="004E22C1" w:rsidP="008656B4">
            <w:pPr>
              <w:pStyle w:val="Tablebody"/>
              <w:keepNext/>
              <w:jc w:val="center"/>
            </w:pPr>
            <w:r w:rsidRPr="001455DC">
              <w:t>7</w:t>
            </w:r>
          </w:p>
        </w:tc>
        <w:tc>
          <w:tcPr>
            <w:tcW w:w="5670" w:type="dxa"/>
            <w:vAlign w:val="center"/>
          </w:tcPr>
          <w:p w14:paraId="0ED00655" w14:textId="77F1D2C6" w:rsidR="004E22C1" w:rsidRPr="009D3012" w:rsidRDefault="004E22C1" w:rsidP="008656B4">
            <w:pPr>
              <w:pStyle w:val="Tablebody"/>
              <w:keepNext/>
              <w:jc w:val="left"/>
              <w:rPr>
                <w:lang w:val="en-US"/>
              </w:rPr>
            </w:pPr>
            <w:r w:rsidRPr="009D3012">
              <w:rPr>
                <w:lang w:val="en-US"/>
              </w:rPr>
              <w:t>For concrete cast against unevenness due to formwork or excavation sheeting (e.g. ribbed finishes or architectural textures)</w:t>
            </w:r>
          </w:p>
        </w:tc>
        <w:tc>
          <w:tcPr>
            <w:tcW w:w="2385" w:type="dxa"/>
            <w:vAlign w:val="center"/>
          </w:tcPr>
          <w:p w14:paraId="5D8F9F2D" w14:textId="2E596DA0" w:rsidR="004E22C1" w:rsidRPr="001455DC" w:rsidRDefault="004E22C1" w:rsidP="008656B4">
            <w:pPr>
              <w:pStyle w:val="Tablebody"/>
              <w:keepNext/>
              <w:jc w:val="center"/>
            </w:pPr>
            <w:r w:rsidRPr="001455DC">
              <w:t>10 mm</w:t>
            </w:r>
            <w:r w:rsidR="00EC27D2" w:rsidRPr="001455DC">
              <w:rPr>
                <w:rFonts w:ascii="Cambria Math" w:hAnsi="Cambria Math"/>
              </w:rPr>
              <w:t> + </w:t>
            </w:r>
            <w:r w:rsidRPr="001455DC">
              <w:t>dimension of unevenness</w:t>
            </w:r>
          </w:p>
        </w:tc>
      </w:tr>
      <w:tr w:rsidR="004E22C1" w:rsidRPr="001455DC" w14:paraId="4CDE2317" w14:textId="77777777" w:rsidTr="008656B4">
        <w:tc>
          <w:tcPr>
            <w:tcW w:w="450" w:type="dxa"/>
            <w:vAlign w:val="center"/>
          </w:tcPr>
          <w:p w14:paraId="7D6C9E1E" w14:textId="77777777" w:rsidR="004E22C1" w:rsidRPr="001455DC" w:rsidRDefault="004E22C1" w:rsidP="008656B4">
            <w:pPr>
              <w:pStyle w:val="Tablebody"/>
              <w:keepNext/>
              <w:jc w:val="center"/>
            </w:pPr>
            <w:r w:rsidRPr="001455DC">
              <w:t>8</w:t>
            </w:r>
          </w:p>
        </w:tc>
        <w:tc>
          <w:tcPr>
            <w:tcW w:w="5670" w:type="dxa"/>
            <w:vAlign w:val="center"/>
          </w:tcPr>
          <w:p w14:paraId="4AFADD9C" w14:textId="74A2C188" w:rsidR="004E22C1" w:rsidRPr="009D3012" w:rsidRDefault="004E22C1" w:rsidP="008656B4">
            <w:pPr>
              <w:pStyle w:val="Tablebody"/>
              <w:keepNext/>
              <w:jc w:val="left"/>
              <w:rPr>
                <w:lang w:val="en-US"/>
              </w:rPr>
            </w:pPr>
            <w:r w:rsidRPr="009D3012">
              <w:rPr>
                <w:lang w:val="en-US"/>
              </w:rPr>
              <w:t>Concrete cast against prepared ground (including uneven blinding layer)</w:t>
            </w:r>
            <w:r w:rsidRPr="009D3012">
              <w:rPr>
                <w:rStyle w:val="CCMCvariablesuperscript"/>
                <w:lang w:val="en-US"/>
              </w:rPr>
              <w:t>a</w:t>
            </w:r>
          </w:p>
        </w:tc>
        <w:tc>
          <w:tcPr>
            <w:tcW w:w="2385" w:type="dxa"/>
            <w:vAlign w:val="center"/>
          </w:tcPr>
          <w:p w14:paraId="15147521" w14:textId="01422C0F" w:rsidR="004E22C1" w:rsidRPr="001455DC" w:rsidRDefault="004E22C1" w:rsidP="008656B4">
            <w:pPr>
              <w:pStyle w:val="Tablebody"/>
              <w:keepNext/>
              <w:jc w:val="center"/>
            </w:pPr>
            <w:r w:rsidRPr="001455DC">
              <w:t>40 mm</w:t>
            </w:r>
            <w:r w:rsidR="00EF011C" w:rsidRPr="001455DC">
              <w:rPr>
                <w:rStyle w:val="CCMCvariablesuperscript"/>
              </w:rPr>
              <w:t>a</w:t>
            </w:r>
          </w:p>
        </w:tc>
      </w:tr>
      <w:tr w:rsidR="004E22C1" w:rsidRPr="001455DC" w14:paraId="4B45C6B6" w14:textId="77777777" w:rsidTr="008656B4">
        <w:tc>
          <w:tcPr>
            <w:tcW w:w="450" w:type="dxa"/>
            <w:vAlign w:val="center"/>
          </w:tcPr>
          <w:p w14:paraId="00F51ABA" w14:textId="77777777" w:rsidR="004E22C1" w:rsidRPr="001455DC" w:rsidRDefault="004E22C1" w:rsidP="008656B4">
            <w:pPr>
              <w:pStyle w:val="Tablebody"/>
              <w:keepNext/>
              <w:jc w:val="center"/>
            </w:pPr>
            <w:r w:rsidRPr="001455DC">
              <w:t>9</w:t>
            </w:r>
          </w:p>
        </w:tc>
        <w:tc>
          <w:tcPr>
            <w:tcW w:w="5670" w:type="dxa"/>
            <w:vAlign w:val="center"/>
          </w:tcPr>
          <w:p w14:paraId="560EFE3A" w14:textId="21ACA991" w:rsidR="004E22C1" w:rsidRPr="009D3012" w:rsidRDefault="004E22C1" w:rsidP="008656B4">
            <w:pPr>
              <w:pStyle w:val="Tablebody"/>
              <w:keepNext/>
              <w:jc w:val="left"/>
              <w:rPr>
                <w:lang w:val="en-US"/>
              </w:rPr>
            </w:pPr>
            <w:r w:rsidRPr="009D3012">
              <w:rPr>
                <w:lang w:val="en-US"/>
              </w:rPr>
              <w:t>Concrete cast directly against unprepared soil</w:t>
            </w:r>
            <w:r w:rsidRPr="009D3012">
              <w:rPr>
                <w:rStyle w:val="CCMCvariablesuperscript"/>
                <w:lang w:val="en-US"/>
              </w:rPr>
              <w:t>a</w:t>
            </w:r>
          </w:p>
        </w:tc>
        <w:tc>
          <w:tcPr>
            <w:tcW w:w="2385" w:type="dxa"/>
            <w:vAlign w:val="center"/>
          </w:tcPr>
          <w:p w14:paraId="183BDACE" w14:textId="4CF15EFF" w:rsidR="004E22C1" w:rsidRPr="001455DC" w:rsidRDefault="004E22C1" w:rsidP="008656B4">
            <w:pPr>
              <w:pStyle w:val="Tablebody"/>
              <w:keepNext/>
              <w:jc w:val="center"/>
            </w:pPr>
            <w:r w:rsidRPr="001455DC">
              <w:t>75 mm</w:t>
            </w:r>
            <w:r w:rsidR="00EF011C" w:rsidRPr="001455DC">
              <w:rPr>
                <w:rStyle w:val="CCMCvariablesuperscript"/>
              </w:rPr>
              <w:t>a</w:t>
            </w:r>
          </w:p>
        </w:tc>
      </w:tr>
      <w:tr w:rsidR="004E22C1" w:rsidRPr="001455DC" w14:paraId="2C60AFD2" w14:textId="77777777" w:rsidTr="008656B4">
        <w:tc>
          <w:tcPr>
            <w:tcW w:w="450" w:type="dxa"/>
            <w:vAlign w:val="center"/>
          </w:tcPr>
          <w:p w14:paraId="4EE4FE98" w14:textId="77777777" w:rsidR="004E22C1" w:rsidRPr="001455DC" w:rsidRDefault="004E22C1" w:rsidP="008656B4">
            <w:pPr>
              <w:pStyle w:val="Tablebody"/>
              <w:keepNext/>
              <w:jc w:val="center"/>
            </w:pPr>
            <w:r w:rsidRPr="001455DC">
              <w:t>10</w:t>
            </w:r>
          </w:p>
        </w:tc>
        <w:tc>
          <w:tcPr>
            <w:tcW w:w="5670" w:type="dxa"/>
            <w:vAlign w:val="center"/>
          </w:tcPr>
          <w:p w14:paraId="4207FC30" w14:textId="77777777" w:rsidR="004E22C1" w:rsidRPr="001455DC" w:rsidRDefault="004E22C1" w:rsidP="008656B4">
            <w:pPr>
              <w:pStyle w:val="Tablebody"/>
              <w:keepNext/>
              <w:jc w:val="left"/>
            </w:pPr>
            <w:r w:rsidRPr="001455DC">
              <w:t>Post-installed reinforcing bars</w:t>
            </w:r>
          </w:p>
        </w:tc>
        <w:tc>
          <w:tcPr>
            <w:tcW w:w="2385" w:type="dxa"/>
            <w:vAlign w:val="center"/>
          </w:tcPr>
          <w:p w14:paraId="476297A7" w14:textId="77777777" w:rsidR="004E22C1" w:rsidRPr="009D3012" w:rsidRDefault="004E22C1" w:rsidP="008656B4">
            <w:pPr>
              <w:pStyle w:val="Tablebody"/>
              <w:keepNext/>
              <w:jc w:val="center"/>
              <w:rPr>
                <w:lang w:val="en-US"/>
              </w:rPr>
            </w:pPr>
            <w:r w:rsidRPr="009D3012">
              <w:rPr>
                <w:lang w:val="en-US"/>
              </w:rPr>
              <w:t>5 mm or according to project specification</w:t>
            </w:r>
          </w:p>
        </w:tc>
      </w:tr>
      <w:tr w:rsidR="004E22C1" w:rsidRPr="001455DC" w14:paraId="554C3900" w14:textId="77777777" w:rsidTr="008656B4">
        <w:trPr>
          <w:cnfStyle w:val="010000000000" w:firstRow="0" w:lastRow="1" w:firstColumn="0" w:lastColumn="0" w:oddVBand="0" w:evenVBand="0" w:oddHBand="0" w:evenHBand="0" w:firstRowFirstColumn="0" w:firstRowLastColumn="0" w:lastRowFirstColumn="0" w:lastRowLastColumn="0"/>
        </w:trPr>
        <w:tc>
          <w:tcPr>
            <w:tcW w:w="8505" w:type="dxa"/>
            <w:gridSpan w:val="3"/>
            <w:vAlign w:val="center"/>
          </w:tcPr>
          <w:p w14:paraId="1445D014" w14:textId="45AC90EB" w:rsidR="004E22C1" w:rsidRPr="009D3012" w:rsidRDefault="004E22C1" w:rsidP="008656B4">
            <w:pPr>
              <w:pStyle w:val="Tablefooter"/>
              <w:rPr>
                <w:lang w:val="en-US"/>
              </w:rPr>
            </w:pPr>
            <w:r w:rsidRPr="009D3012">
              <w:rPr>
                <w:rStyle w:val="CCMCvariablesuperscript"/>
                <w:lang w:val="en-US"/>
              </w:rPr>
              <w:t>a</w:t>
            </w:r>
            <w:r w:rsidR="008656B4" w:rsidRPr="009D3012">
              <w:rPr>
                <w:lang w:val="en-US"/>
              </w:rPr>
              <w:tab/>
            </w:r>
            <w:r w:rsidR="00EF011C" w:rsidRPr="009D3012">
              <w:rPr>
                <w:sz w:val="18"/>
                <w:szCs w:val="18"/>
                <w:lang w:val="en-US"/>
              </w:rPr>
              <w:t xml:space="preserve">These allowances for deviation </w:t>
            </w:r>
            <w:r w:rsidR="00EF011C" w:rsidRPr="001455DC">
              <w:rPr>
                <w:rFonts w:cs="Arial"/>
                <w:sz w:val="18"/>
                <w:szCs w:val="18"/>
              </w:rPr>
              <w:sym w:font="Symbol" w:char="F044"/>
            </w:r>
            <w:r w:rsidR="00EF011C" w:rsidRPr="009D3012">
              <w:rPr>
                <w:rFonts w:cs="Arial"/>
                <w:i/>
                <w:sz w:val="18"/>
                <w:szCs w:val="18"/>
                <w:lang w:val="en-US"/>
              </w:rPr>
              <w:t>c</w:t>
            </w:r>
            <w:r w:rsidR="00EF011C" w:rsidRPr="009D3012">
              <w:rPr>
                <w:rFonts w:cs="Arial"/>
                <w:sz w:val="18"/>
                <w:szCs w:val="18"/>
                <w:vertAlign w:val="subscript"/>
                <w:lang w:val="en-US"/>
              </w:rPr>
              <w:t>dev</w:t>
            </w:r>
            <w:r w:rsidR="00EF011C" w:rsidRPr="009D3012">
              <w:rPr>
                <w:sz w:val="18"/>
                <w:szCs w:val="18"/>
                <w:lang w:val="en-US"/>
              </w:rPr>
              <w:t xml:space="preserve"> apply for the nominal cover according to this Eurocode also for bored piles and for diaphragm walls unless a National Annex gives other special values.</w:t>
            </w:r>
          </w:p>
        </w:tc>
      </w:tr>
    </w:tbl>
    <w:p w14:paraId="68339581" w14:textId="77777777" w:rsidR="004E22C1" w:rsidRPr="001455DC" w:rsidRDefault="004E22C1" w:rsidP="008656B4">
      <w:pPr>
        <w:pStyle w:val="a7"/>
      </w:pPr>
    </w:p>
    <w:p w14:paraId="1DFB7445" w14:textId="68F5B70C" w:rsidR="004E22C1" w:rsidRPr="001455DC" w:rsidRDefault="008656B4" w:rsidP="008656B4">
      <w:pPr>
        <w:pStyle w:val="1"/>
        <w:pageBreakBefore/>
      </w:pPr>
      <w:bookmarkStart w:id="374" w:name="_Toc54337124"/>
      <w:bookmarkStart w:id="375" w:name="_Toc54337336"/>
      <w:bookmarkStart w:id="376" w:name="_Toc54337990"/>
      <w:bookmarkStart w:id="377" w:name="_Toc67565350"/>
      <w:r w:rsidRPr="001455DC">
        <w:t>Structural analysis</w:t>
      </w:r>
      <w:bookmarkEnd w:id="374"/>
      <w:bookmarkEnd w:id="375"/>
      <w:bookmarkEnd w:id="376"/>
      <w:bookmarkEnd w:id="377"/>
    </w:p>
    <w:p w14:paraId="52A83EF3" w14:textId="683DDC07" w:rsidR="004E22C1" w:rsidRPr="001455DC" w:rsidRDefault="004E22C1" w:rsidP="006D682B">
      <w:pPr>
        <w:pStyle w:val="21"/>
      </w:pPr>
      <w:bookmarkStart w:id="378" w:name="_Ref513832377"/>
      <w:bookmarkStart w:id="379" w:name="_Toc52819933"/>
      <w:bookmarkStart w:id="380" w:name="_Toc54337337"/>
      <w:bookmarkStart w:id="381" w:name="_Toc54337991"/>
      <w:bookmarkStart w:id="382" w:name="_Toc67565351"/>
      <w:r w:rsidRPr="001455DC">
        <w:t>General</w:t>
      </w:r>
      <w:bookmarkEnd w:id="378"/>
      <w:bookmarkEnd w:id="379"/>
      <w:bookmarkEnd w:id="380"/>
      <w:bookmarkEnd w:id="381"/>
      <w:bookmarkEnd w:id="382"/>
    </w:p>
    <w:p w14:paraId="1B83DFD9" w14:textId="093CCC32" w:rsidR="004E22C1" w:rsidRPr="001455DC" w:rsidRDefault="004E22C1" w:rsidP="008656B4">
      <w:pPr>
        <w:pStyle w:val="Note"/>
      </w:pPr>
      <w:r w:rsidRPr="001455DC">
        <w:t>NOTE</w:t>
      </w:r>
      <w:r w:rsidRPr="001455DC">
        <w:tab/>
        <w:t xml:space="preserve">In </w:t>
      </w:r>
      <w:r w:rsidR="001710FF" w:rsidRPr="001455DC">
        <w:t>Clause </w:t>
      </w:r>
      <w:r w:rsidRPr="001455DC">
        <w:t>7</w:t>
      </w:r>
      <w:r w:rsidR="006D682B">
        <w:t>,</w:t>
      </w:r>
      <w:r w:rsidRPr="001455DC">
        <w:t xml:space="preserve"> compressive normal forces are considered with positive value.</w:t>
      </w:r>
    </w:p>
    <w:p w14:paraId="2D2F4D11" w14:textId="77777777" w:rsidR="004E22C1" w:rsidRPr="001455DC" w:rsidRDefault="004E22C1" w:rsidP="008656B4">
      <w:pPr>
        <w:pStyle w:val="a7"/>
      </w:pPr>
      <w:r w:rsidRPr="001455DC">
        <w:rPr>
          <w:szCs w:val="22"/>
        </w:rPr>
        <w:t>(1)</w:t>
      </w:r>
      <w:r w:rsidRPr="001455DC">
        <w:rPr>
          <w:szCs w:val="22"/>
        </w:rPr>
        <w:tab/>
      </w:r>
      <w:r w:rsidRPr="001455DC">
        <w:t>The purpose of structural analysis is to establish the distribution of either internal forces, or stresses, strains and displacements, over the whole or part of a structure.</w:t>
      </w:r>
    </w:p>
    <w:p w14:paraId="0AAC58B9" w14:textId="77777777" w:rsidR="004E22C1" w:rsidRPr="001455DC" w:rsidRDefault="004E22C1" w:rsidP="008656B4">
      <w:pPr>
        <w:pStyle w:val="a7"/>
      </w:pPr>
      <w:r w:rsidRPr="001455DC">
        <w:t>(2)</w:t>
      </w:r>
      <w:r w:rsidRPr="001455DC">
        <w:tab/>
        <w:t>Analyses shall be carried out using idealisations of both the structure and its geometry (see 7.2) and the behaviour of the structure (see 7.3). The idealisations selected shall be appropriate to the problem being considered.</w:t>
      </w:r>
    </w:p>
    <w:p w14:paraId="10D478FE" w14:textId="77777777" w:rsidR="004E22C1" w:rsidRPr="001455DC" w:rsidRDefault="004E22C1" w:rsidP="008656B4">
      <w:pPr>
        <w:pStyle w:val="a7"/>
      </w:pPr>
      <w:r w:rsidRPr="001455DC">
        <w:t>(3)</w:t>
      </w:r>
      <w:r w:rsidRPr="001455DC">
        <w:tab/>
        <w:t>The effect of the geometry and properties of the structure on its behaviour at each stage of construction shall be considered in the design.</w:t>
      </w:r>
    </w:p>
    <w:p w14:paraId="42325C33" w14:textId="77777777" w:rsidR="004E22C1" w:rsidRPr="001455DC" w:rsidRDefault="004E22C1" w:rsidP="008656B4">
      <w:pPr>
        <w:pStyle w:val="a7"/>
      </w:pPr>
      <w:r w:rsidRPr="001455DC">
        <w:t>(4)</w:t>
      </w:r>
      <w:r w:rsidRPr="001455DC">
        <w:tab/>
        <w:t>Common idealisations in behaviour of the structure used for analysis are:</w:t>
      </w:r>
    </w:p>
    <w:p w14:paraId="2107E5A6" w14:textId="464D2BEB" w:rsidR="004E22C1" w:rsidRPr="001455DC" w:rsidRDefault="004E22C1" w:rsidP="008656B4">
      <w:pPr>
        <w:pStyle w:val="a0"/>
      </w:pPr>
      <w:r w:rsidRPr="001455DC">
        <w:t>linear elastic behaviour (see 7.3.1),</w:t>
      </w:r>
    </w:p>
    <w:p w14:paraId="4701D1F8" w14:textId="5E7DD841" w:rsidR="004E22C1" w:rsidRPr="001455DC" w:rsidRDefault="004E22C1" w:rsidP="008656B4">
      <w:pPr>
        <w:pStyle w:val="a0"/>
      </w:pPr>
      <w:r w:rsidRPr="001455DC">
        <w:t>linear elastic behaviour with limited redistribution (see 7.3.2),</w:t>
      </w:r>
    </w:p>
    <w:p w14:paraId="2BE0E791" w14:textId="0EC15E48" w:rsidR="004E22C1" w:rsidRPr="001455DC" w:rsidRDefault="004E22C1" w:rsidP="008656B4">
      <w:pPr>
        <w:pStyle w:val="a0"/>
      </w:pPr>
      <w:r w:rsidRPr="001455DC">
        <w:t>plastic behaviour (see 7.3.3), including strut and tie models and stress field models (see 7.3.3.4),</w:t>
      </w:r>
    </w:p>
    <w:p w14:paraId="6E2082A9" w14:textId="08406EED" w:rsidR="004E22C1" w:rsidRPr="001455DC" w:rsidRDefault="004E22C1" w:rsidP="008656B4">
      <w:pPr>
        <w:pStyle w:val="a0"/>
      </w:pPr>
      <w:r w:rsidRPr="001455DC">
        <w:t>non-linear behaviour (see 7.3.4).</w:t>
      </w:r>
    </w:p>
    <w:p w14:paraId="70417731" w14:textId="77777777" w:rsidR="004E22C1" w:rsidRPr="001455DC" w:rsidRDefault="004E22C1" w:rsidP="008656B4">
      <w:pPr>
        <w:pStyle w:val="a7"/>
      </w:pPr>
      <w:r w:rsidRPr="001455DC">
        <w:t>(5)</w:t>
      </w:r>
      <w:r w:rsidRPr="001455DC">
        <w:tab/>
        <w:t>Imperfections and second order effects shall be considered where they are significant (see 7.4).</w:t>
      </w:r>
    </w:p>
    <w:p w14:paraId="1A867EED" w14:textId="19EF1F12" w:rsidR="004E22C1" w:rsidRPr="001455DC" w:rsidRDefault="004E22C1" w:rsidP="008656B4">
      <w:pPr>
        <w:pStyle w:val="a7"/>
      </w:pPr>
      <w:r w:rsidRPr="001455DC">
        <w:t>(6)</w:t>
      </w:r>
      <w:r w:rsidRPr="001455DC">
        <w:tab/>
        <w:t>Structural analysis shall be performed consistently with the design. A specific stiffness (e.g. torsional) or restraint at supports (e.g. moment) may be reduced or neglected in the analysis for both ultimate and serviceability limit states if the member is designed consistently with these assumptions and the minimum reinforcement provisions for crack control and robustness are fulfilled.</w:t>
      </w:r>
    </w:p>
    <w:p w14:paraId="34C001C5" w14:textId="429F36C7" w:rsidR="004E22C1" w:rsidRPr="001455DC" w:rsidRDefault="004E22C1" w:rsidP="008656B4">
      <w:pPr>
        <w:pStyle w:val="a7"/>
        <w:rPr>
          <w:szCs w:val="22"/>
        </w:rPr>
      </w:pPr>
      <w:r w:rsidRPr="001455DC">
        <w:rPr>
          <w:szCs w:val="22"/>
        </w:rPr>
        <w:t>(7)</w:t>
      </w:r>
      <w:r w:rsidRPr="001455DC">
        <w:rPr>
          <w:szCs w:val="22"/>
        </w:rPr>
        <w:tab/>
      </w:r>
      <w:bookmarkStart w:id="383" w:name="_Ref461614943"/>
      <w:bookmarkStart w:id="384" w:name="_Ref514406888"/>
      <w:r w:rsidRPr="001455DC">
        <w:rPr>
          <w:rFonts w:eastAsiaTheme="majorEastAsia" w:cstheme="majorBidi"/>
          <w:bCs/>
          <w:szCs w:val="22"/>
        </w:rPr>
        <w:t>Local</w:t>
      </w:r>
      <w:r w:rsidRPr="001455DC">
        <w:rPr>
          <w:szCs w:val="22"/>
        </w:rPr>
        <w:t xml:space="preserve"> analyses may be necessary where the assumption that plane sections remain plane (linear strain distribution) is not valid.</w:t>
      </w:r>
    </w:p>
    <w:p w14:paraId="4510BAD5" w14:textId="77777777" w:rsidR="004E22C1" w:rsidRPr="001455DC" w:rsidRDefault="004E22C1" w:rsidP="008656B4">
      <w:pPr>
        <w:pStyle w:val="Note"/>
        <w:keepNext/>
        <w:spacing w:after="120"/>
      </w:pPr>
      <w:r w:rsidRPr="001455DC">
        <w:t>NOTE</w:t>
      </w:r>
      <w:r w:rsidRPr="001455DC">
        <w:tab/>
        <w:t>Examples of such cases are:</w:t>
      </w:r>
    </w:p>
    <w:p w14:paraId="2DDC562C" w14:textId="7208B916" w:rsidR="004E22C1" w:rsidRPr="001455DC" w:rsidRDefault="004E22C1" w:rsidP="008656B4">
      <w:pPr>
        <w:pStyle w:val="a0"/>
        <w:rPr>
          <w:sz w:val="20"/>
        </w:rPr>
      </w:pPr>
      <w:r w:rsidRPr="001455DC">
        <w:rPr>
          <w:sz w:val="20"/>
        </w:rPr>
        <w:t>in the vicinity of supports,</w:t>
      </w:r>
    </w:p>
    <w:p w14:paraId="78E292D3" w14:textId="5996E56D" w:rsidR="004E22C1" w:rsidRPr="001455DC" w:rsidRDefault="004E22C1" w:rsidP="008656B4">
      <w:pPr>
        <w:pStyle w:val="a0"/>
        <w:rPr>
          <w:sz w:val="20"/>
        </w:rPr>
      </w:pPr>
      <w:r w:rsidRPr="001455DC">
        <w:rPr>
          <w:sz w:val="20"/>
        </w:rPr>
        <w:t>in the vicinity of concentrated loads,</w:t>
      </w:r>
    </w:p>
    <w:p w14:paraId="27279560" w14:textId="66FF6F08" w:rsidR="004E22C1" w:rsidRPr="001455DC" w:rsidRDefault="004E22C1" w:rsidP="008656B4">
      <w:pPr>
        <w:pStyle w:val="a0"/>
        <w:rPr>
          <w:sz w:val="20"/>
        </w:rPr>
      </w:pPr>
      <w:r w:rsidRPr="001455DC">
        <w:rPr>
          <w:sz w:val="20"/>
        </w:rPr>
        <w:t>in beam-column intersections,</w:t>
      </w:r>
    </w:p>
    <w:p w14:paraId="349A4CEE" w14:textId="4F4F91B7" w:rsidR="004E22C1" w:rsidRPr="001455DC" w:rsidRDefault="004E22C1" w:rsidP="008656B4">
      <w:pPr>
        <w:pStyle w:val="a0"/>
        <w:rPr>
          <w:sz w:val="20"/>
        </w:rPr>
      </w:pPr>
      <w:r w:rsidRPr="001455DC">
        <w:rPr>
          <w:sz w:val="20"/>
        </w:rPr>
        <w:t>in anchorage zones,</w:t>
      </w:r>
    </w:p>
    <w:p w14:paraId="1E862420" w14:textId="24F7EA39" w:rsidR="004E22C1" w:rsidRPr="001455DC" w:rsidRDefault="004E22C1" w:rsidP="008656B4">
      <w:pPr>
        <w:pStyle w:val="a0"/>
        <w:rPr>
          <w:sz w:val="20"/>
        </w:rPr>
      </w:pPr>
      <w:r w:rsidRPr="001455DC">
        <w:rPr>
          <w:sz w:val="20"/>
        </w:rPr>
        <w:t>at changes in cross section.</w:t>
      </w:r>
    </w:p>
    <w:p w14:paraId="1B24950D" w14:textId="7009555B" w:rsidR="004E22C1" w:rsidRPr="001455DC" w:rsidRDefault="004E22C1" w:rsidP="006D682B">
      <w:pPr>
        <w:pStyle w:val="21"/>
      </w:pPr>
      <w:bookmarkStart w:id="385" w:name="_Toc52819934"/>
      <w:bookmarkStart w:id="386" w:name="_Toc54337338"/>
      <w:bookmarkStart w:id="387" w:name="_Toc54337992"/>
      <w:bookmarkStart w:id="388" w:name="_Toc67565352"/>
      <w:r w:rsidRPr="001455DC">
        <w:t>Structural modelling for analysis</w:t>
      </w:r>
      <w:bookmarkEnd w:id="383"/>
      <w:bookmarkEnd w:id="384"/>
      <w:bookmarkEnd w:id="385"/>
      <w:bookmarkEnd w:id="386"/>
      <w:bookmarkEnd w:id="387"/>
      <w:bookmarkEnd w:id="388"/>
    </w:p>
    <w:p w14:paraId="6576DAC1" w14:textId="6647EAD8" w:rsidR="004E22C1" w:rsidRPr="001455DC" w:rsidRDefault="004E22C1" w:rsidP="00243590">
      <w:pPr>
        <w:pStyle w:val="31"/>
      </w:pPr>
      <w:bookmarkStart w:id="389" w:name="_Toc52819935"/>
      <w:bookmarkStart w:id="390" w:name="_Toc54337339"/>
      <w:bookmarkStart w:id="391" w:name="_Toc54337993"/>
      <w:bookmarkStart w:id="392" w:name="_Toc67565353"/>
      <w:r w:rsidRPr="001455DC">
        <w:t>Geometric imperfections</w:t>
      </w:r>
      <w:bookmarkEnd w:id="389"/>
      <w:bookmarkEnd w:id="390"/>
      <w:bookmarkEnd w:id="391"/>
      <w:bookmarkEnd w:id="392"/>
    </w:p>
    <w:p w14:paraId="1BB2FF73" w14:textId="55E150D1" w:rsidR="004E22C1" w:rsidRPr="001455DC" w:rsidRDefault="004E22C1" w:rsidP="00243590">
      <w:pPr>
        <w:pStyle w:val="41"/>
      </w:pPr>
      <w:bookmarkStart w:id="393" w:name="_Toc52819936"/>
      <w:bookmarkStart w:id="394" w:name="_Toc54337994"/>
      <w:r w:rsidRPr="001455DC">
        <w:t>General</w:t>
      </w:r>
      <w:bookmarkEnd w:id="393"/>
      <w:bookmarkEnd w:id="394"/>
    </w:p>
    <w:p w14:paraId="3CFE9061" w14:textId="77777777" w:rsidR="004E22C1" w:rsidRPr="001455DC" w:rsidRDefault="004E22C1" w:rsidP="008656B4">
      <w:pPr>
        <w:pStyle w:val="a7"/>
      </w:pPr>
      <w:r w:rsidRPr="001455DC">
        <w:t>(1)</w:t>
      </w:r>
      <w:r w:rsidRPr="001455DC">
        <w:tab/>
        <w:t>The unfavourable effects of possible deviations in the geometry of the structure and the position of loads shall be considered in the analysis of members and structures.</w:t>
      </w:r>
    </w:p>
    <w:p w14:paraId="0CF5BC86" w14:textId="77777777" w:rsidR="004E22C1" w:rsidRPr="001455DC" w:rsidRDefault="004E22C1" w:rsidP="008656B4">
      <w:pPr>
        <w:pStyle w:val="a7"/>
      </w:pPr>
      <w:r w:rsidRPr="001455DC">
        <w:t>(2)</w:t>
      </w:r>
      <w:r w:rsidRPr="001455DC">
        <w:tab/>
        <w:t>Deviations in cross section dimensions comply with tolerance class 1 of EN 13670 are considered in the partial factors for materials and generally may be neglected in structural analysis.</w:t>
      </w:r>
    </w:p>
    <w:p w14:paraId="4A4E07A4" w14:textId="77777777" w:rsidR="004E22C1" w:rsidRPr="001455DC" w:rsidRDefault="004E22C1" w:rsidP="00A35599">
      <w:pPr>
        <w:pStyle w:val="a7"/>
        <w:keepLines/>
      </w:pPr>
      <w:r w:rsidRPr="001455DC">
        <w:t>(3)</w:t>
      </w:r>
      <w:r w:rsidRPr="001455DC">
        <w:tab/>
        <w:t>Maximum deviations from theoretical geometry may be specified by the relevant authority or agreed for a specific project by the relevant parties. Where project specific execution specifications define stricter maximum deviations (e.g. when carrying out the assessment of an existing structure) as described in 7.2.1.2(1), the effect of imperfections should be based on these maximum deviations multiplied by 1,2.</w:t>
      </w:r>
    </w:p>
    <w:p w14:paraId="2E8809CD" w14:textId="77777777" w:rsidR="004E22C1" w:rsidRPr="001455DC" w:rsidRDefault="004E22C1" w:rsidP="008656B4">
      <w:pPr>
        <w:pStyle w:val="a7"/>
      </w:pPr>
      <w:r w:rsidRPr="001455DC">
        <w:t>(4)</w:t>
      </w:r>
      <w:r w:rsidRPr="001455DC">
        <w:tab/>
        <w:t>For members with an axial load, other than internal prestressing, imperfections and their effects shall be considered in ultimate limit states to determine the first order effects where relevant.</w:t>
      </w:r>
    </w:p>
    <w:p w14:paraId="33ECD48A" w14:textId="77777777" w:rsidR="004E22C1" w:rsidRPr="001455DC" w:rsidRDefault="004E22C1" w:rsidP="008656B4">
      <w:pPr>
        <w:pStyle w:val="a7"/>
      </w:pPr>
      <w:r w:rsidRPr="001455DC">
        <w:t>(5)</w:t>
      </w:r>
      <w:r w:rsidRPr="001455DC">
        <w:tab/>
        <w:t>Imperfections may be neglected for serviceability limit state.</w:t>
      </w:r>
    </w:p>
    <w:p w14:paraId="1FA28E86" w14:textId="3FE64009" w:rsidR="004E22C1" w:rsidRPr="001455DC" w:rsidRDefault="004E22C1" w:rsidP="00243590">
      <w:pPr>
        <w:pStyle w:val="41"/>
      </w:pPr>
      <w:bookmarkStart w:id="395" w:name="_Ref515278301"/>
      <w:bookmarkStart w:id="396" w:name="_Toc52819937"/>
      <w:bookmarkStart w:id="397" w:name="_Toc54337995"/>
      <w:r w:rsidRPr="001455DC">
        <w:t>Representation of imperfections</w:t>
      </w:r>
      <w:bookmarkEnd w:id="395"/>
      <w:bookmarkEnd w:id="396"/>
      <w:bookmarkEnd w:id="397"/>
    </w:p>
    <w:p w14:paraId="3A425CBC" w14:textId="77777777" w:rsidR="004E22C1" w:rsidRPr="001455DC" w:rsidRDefault="004E22C1" w:rsidP="008656B4">
      <w:pPr>
        <w:pStyle w:val="a7"/>
      </w:pPr>
      <w:r w:rsidRPr="001455DC">
        <w:t>(1)</w:t>
      </w:r>
      <w:r w:rsidRPr="001455DC">
        <w:tab/>
        <w:t>The following provisions apply for members and structures with an axial load and execution deviations according to EN 13670. If project-specific execution specifications for maximum deviations apply, these provisions should be modified in accordance with 7.2.1.1(3).</w:t>
      </w:r>
    </w:p>
    <w:p w14:paraId="289D8CA7" w14:textId="77777777" w:rsidR="00864638" w:rsidRPr="001455DC" w:rsidRDefault="004E22C1" w:rsidP="00864638">
      <w:pPr>
        <w:pStyle w:val="a7"/>
      </w:pPr>
      <w:r w:rsidRPr="001455DC">
        <w:t>(2)</w:t>
      </w:r>
      <w:r w:rsidRPr="001455DC">
        <w:tab/>
        <w:t xml:space="preserve">Imperfections may be represented by an inclination </w:t>
      </w:r>
      <w:r w:rsidRPr="001455DC">
        <w:rPr>
          <w:rStyle w:val="CCMCvariableitalic"/>
        </w:rPr>
        <w:t>θ</w:t>
      </w:r>
      <w:r w:rsidRPr="001455DC">
        <w:rPr>
          <w:rStyle w:val="CCMCvariablesubscript"/>
        </w:rPr>
        <w:t>i</w:t>
      </w:r>
      <w:r w:rsidRPr="001455DC">
        <w:t xml:space="preserve"> (see Figure 7.1), given by Formula (7.1):</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864638" w:rsidRPr="001455DC" w14:paraId="74FAAABB" w14:textId="77777777" w:rsidTr="00C603BE">
        <w:trPr>
          <w:cantSplit/>
        </w:trPr>
        <w:tc>
          <w:tcPr>
            <w:tcW w:w="8505" w:type="dxa"/>
            <w:vAlign w:val="center"/>
          </w:tcPr>
          <w:p w14:paraId="3F29AEF2" w14:textId="6140582B" w:rsidR="00864638" w:rsidRPr="001455DC" w:rsidRDefault="00231E33" w:rsidP="00C603BE">
            <w:pPr>
              <w:pStyle w:val="Formula"/>
              <w:jc w:val="left"/>
            </w:pPr>
            <m:oMathPara>
              <m:oMathParaPr>
                <m:jc m:val="left"/>
              </m:oMathParaPr>
              <m:oMath>
                <m:sSub>
                  <m:sSubPr>
                    <m:ctrlPr>
                      <w:rPr>
                        <w:rFonts w:ascii="Cambria Math" w:hAnsi="Cambria Math"/>
                      </w:rPr>
                    </m:ctrlPr>
                  </m:sSubPr>
                  <m:e>
                    <m:r>
                      <w:rPr>
                        <w:rFonts w:ascii="Cambria Math" w:hAnsi="Cambria Math"/>
                      </w:rPr>
                      <m:t>θ</m:t>
                    </m:r>
                  </m:e>
                  <m:sub>
                    <m:r>
                      <m:rPr>
                        <m:sty m:val="p"/>
                      </m:rP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α</m:t>
                    </m:r>
                  </m:e>
                  <m:sub>
                    <m:r>
                      <m:rPr>
                        <m:sty m:val="p"/>
                      </m:rPr>
                      <w:rPr>
                        <w:rFonts w:ascii="Cambria Math" w:hAnsi="Cambria Math"/>
                      </w:rPr>
                      <m:t>h</m:t>
                    </m:r>
                  </m:sub>
                </m:sSub>
                <m:r>
                  <w:rPr>
                    <w:rFonts w:ascii="Cambria Math" w:hAnsi="Cambria Math"/>
                  </w:rPr>
                  <m:t>⋅</m:t>
                </m:r>
                <m:sSub>
                  <m:sSubPr>
                    <m:ctrlPr>
                      <w:rPr>
                        <w:rFonts w:ascii="Cambria Math" w:hAnsi="Cambria Math"/>
                      </w:rPr>
                    </m:ctrlPr>
                  </m:sSubPr>
                  <m:e>
                    <m:r>
                      <w:rPr>
                        <w:rFonts w:ascii="Cambria Math" w:hAnsi="Cambria Math"/>
                      </w:rPr>
                      <m:t>α</m:t>
                    </m:r>
                  </m:e>
                  <m:sub>
                    <m:r>
                      <m:rPr>
                        <m:sty m:val="p"/>
                      </m:rPr>
                      <w:rPr>
                        <w:rFonts w:ascii="Cambria Math" w:hAnsi="Cambria Math"/>
                      </w:rPr>
                      <m:t>m</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200</m:t>
                    </m:r>
                  </m:den>
                </m:f>
              </m:oMath>
            </m:oMathPara>
          </w:p>
        </w:tc>
        <w:tc>
          <w:tcPr>
            <w:tcW w:w="1247" w:type="dxa"/>
            <w:vAlign w:val="center"/>
          </w:tcPr>
          <w:p w14:paraId="3D29504F" w14:textId="2AEC2EA0" w:rsidR="00864638" w:rsidRPr="001455DC" w:rsidRDefault="00864638">
            <w:pPr>
              <w:pStyle w:val="a7"/>
              <w:jc w:val="right"/>
            </w:pPr>
            <w:r w:rsidRPr="001455DC">
              <w:t>(7.1)</w:t>
            </w:r>
          </w:p>
        </w:tc>
      </w:tr>
    </w:tbl>
    <w:p w14:paraId="5F52E11B" w14:textId="3ECFD0E1" w:rsidR="004E22C1" w:rsidRPr="001455DC" w:rsidRDefault="004E22C1"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7598"/>
        <w:gridCol w:w="1247"/>
      </w:tblGrid>
      <w:tr w:rsidR="00D9118B" w:rsidRPr="001455DC" w14:paraId="6743001D" w14:textId="77777777" w:rsidTr="00C603BE">
        <w:trPr>
          <w:cantSplit/>
        </w:trPr>
        <w:tc>
          <w:tcPr>
            <w:tcW w:w="567" w:type="dxa"/>
          </w:tcPr>
          <w:p w14:paraId="25054AF0" w14:textId="7046774E" w:rsidR="00D9118B" w:rsidRPr="001455DC" w:rsidRDefault="00D9118B" w:rsidP="006D682B">
            <w:pPr>
              <w:pStyle w:val="Tablebody"/>
              <w:spacing w:after="180"/>
            </w:pPr>
            <w:r w:rsidRPr="001455DC">
              <w:rPr>
                <w:rStyle w:val="CCMCvariableitalic"/>
              </w:rPr>
              <w:t>α</w:t>
            </w:r>
            <w:r w:rsidRPr="001455DC">
              <w:rPr>
                <w:rStyle w:val="CCMCvariablesubscript"/>
              </w:rPr>
              <w:t>h</w:t>
            </w:r>
          </w:p>
        </w:tc>
        <w:tc>
          <w:tcPr>
            <w:tcW w:w="8845" w:type="dxa"/>
            <w:gridSpan w:val="2"/>
          </w:tcPr>
          <w:p w14:paraId="5718A371" w14:textId="1E6F4392" w:rsidR="00D9118B" w:rsidRPr="001455DC" w:rsidRDefault="00D9118B" w:rsidP="006D682B">
            <w:pPr>
              <w:pStyle w:val="Tablebody"/>
              <w:spacing w:after="180"/>
            </w:pPr>
            <w:r w:rsidRPr="001455DC">
              <w:t>is the reduction coefficient for length or height:</w:t>
            </w:r>
          </w:p>
        </w:tc>
      </w:tr>
      <w:tr w:rsidR="00D9118B" w:rsidRPr="001455DC" w14:paraId="2A036844" w14:textId="77777777" w:rsidTr="00D9118B">
        <w:trPr>
          <w:cantSplit/>
        </w:trPr>
        <w:tc>
          <w:tcPr>
            <w:tcW w:w="567" w:type="dxa"/>
          </w:tcPr>
          <w:p w14:paraId="368E3462" w14:textId="14A149C3" w:rsidR="00D9118B" w:rsidRPr="001455DC" w:rsidRDefault="00D9118B" w:rsidP="006D682B">
            <w:pPr>
              <w:pStyle w:val="Tablebody"/>
              <w:spacing w:after="180"/>
            </w:pPr>
            <w:r w:rsidRPr="001455DC">
              <w:t> </w:t>
            </w:r>
          </w:p>
        </w:tc>
        <w:tc>
          <w:tcPr>
            <w:tcW w:w="7598" w:type="dxa"/>
            <w:vAlign w:val="center"/>
          </w:tcPr>
          <w:p w14:paraId="3FECF2BC" w14:textId="41C57044" w:rsidR="00D9118B" w:rsidRPr="001455DC" w:rsidRDefault="00F0708F" w:rsidP="006D682B">
            <w:pPr>
              <w:pStyle w:val="Formula"/>
              <w:spacing w:after="180"/>
              <w:jc w:val="left"/>
            </w:pPr>
            <m:oMathPara>
              <m:oMathParaPr>
                <m:jc m:val="left"/>
              </m:oMathParaPr>
              <m:oMath>
                <m:r>
                  <w:rPr>
                    <w:rFonts w:ascii="Cambria Math" w:hAnsi="Cambria Math"/>
                  </w:rPr>
                  <m:t>0,4 ≤</m:t>
                </m:r>
                <m:sSub>
                  <m:sSubPr>
                    <m:ctrlPr>
                      <w:rPr>
                        <w:rFonts w:ascii="Cambria Math" w:hAnsi="Cambria Math"/>
                      </w:rPr>
                    </m:ctrlPr>
                  </m:sSubPr>
                  <m:e>
                    <m:r>
                      <w:rPr>
                        <w:rFonts w:ascii="Cambria Math" w:hAnsi="Cambria Math"/>
                      </w:rPr>
                      <m:t>α</m:t>
                    </m:r>
                  </m:e>
                  <m:sub>
                    <m:r>
                      <m:rPr>
                        <m:sty m:val="p"/>
                      </m:rPr>
                      <w:rPr>
                        <w:rFonts w:ascii="Cambria Math" w:hAnsi="Cambria Math"/>
                      </w:rPr>
                      <m:t>h</m:t>
                    </m:r>
                  </m:sub>
                </m:sSub>
                <m:r>
                  <w:rPr>
                    <w:rFonts w:ascii="Cambria Math" w:hAnsi="Cambria Math"/>
                  </w:rPr>
                  <m:t>=</m:t>
                </m:r>
                <m:f>
                  <m:fPr>
                    <m:ctrlPr>
                      <w:rPr>
                        <w:rFonts w:ascii="Cambria Math" w:hAnsi="Cambria Math"/>
                      </w:rPr>
                    </m:ctrlPr>
                  </m:fPr>
                  <m:num>
                    <m:r>
                      <w:rPr>
                        <w:rFonts w:ascii="Cambria Math" w:hAnsi="Cambria Math"/>
                      </w:rPr>
                      <m:t>2</m:t>
                    </m:r>
                  </m:num>
                  <m:den>
                    <m:rad>
                      <m:radPr>
                        <m:degHide m:val="1"/>
                        <m:ctrlPr>
                          <w:rPr>
                            <w:rFonts w:ascii="Cambria Math" w:hAnsi="Cambria Math"/>
                          </w:rPr>
                        </m:ctrlPr>
                      </m:radPr>
                      <m:deg/>
                      <m:e>
                        <m:r>
                          <w:rPr>
                            <w:rFonts w:ascii="Cambria Math" w:hAnsi="Cambria Math"/>
                          </w:rPr>
                          <m:t>l</m:t>
                        </m:r>
                      </m:e>
                    </m:rad>
                  </m:den>
                </m:f>
                <m:r>
                  <w:rPr>
                    <w:rFonts w:ascii="Cambria Math" w:hAnsi="Cambria Math"/>
                  </w:rPr>
                  <m:t xml:space="preserve"> ≤1,0;</m:t>
                </m:r>
              </m:oMath>
            </m:oMathPara>
          </w:p>
        </w:tc>
        <w:tc>
          <w:tcPr>
            <w:tcW w:w="1247" w:type="dxa"/>
            <w:vAlign w:val="center"/>
          </w:tcPr>
          <w:p w14:paraId="087C778F" w14:textId="4E70A6C3" w:rsidR="00D9118B" w:rsidRPr="001455DC" w:rsidRDefault="00D9118B">
            <w:pPr>
              <w:pStyle w:val="Tablebody"/>
              <w:jc w:val="right"/>
            </w:pPr>
            <w:r w:rsidRPr="001455DC">
              <w:t>(7.</w:t>
            </w:r>
            <w:r w:rsidR="00F0708F" w:rsidRPr="001455DC">
              <w:t>2</w:t>
            </w:r>
            <w:r w:rsidRPr="001455DC">
              <w:t>)</w:t>
            </w:r>
          </w:p>
        </w:tc>
      </w:tr>
      <w:tr w:rsidR="00D9118B" w:rsidRPr="001455DC" w14:paraId="4036C703" w14:textId="77777777" w:rsidTr="00C603BE">
        <w:trPr>
          <w:cantSplit/>
        </w:trPr>
        <w:tc>
          <w:tcPr>
            <w:tcW w:w="567" w:type="dxa"/>
          </w:tcPr>
          <w:p w14:paraId="1D4C9CC7" w14:textId="46AA37BC" w:rsidR="00D9118B" w:rsidRPr="001455DC" w:rsidRDefault="00D9118B" w:rsidP="006D682B">
            <w:pPr>
              <w:pStyle w:val="Tablebody"/>
              <w:spacing w:after="180"/>
            </w:pPr>
            <w:r w:rsidRPr="001455DC">
              <w:rPr>
                <w:rStyle w:val="CCMCvariableitalic"/>
              </w:rPr>
              <w:t>α</w:t>
            </w:r>
            <w:r w:rsidRPr="001455DC">
              <w:rPr>
                <w:rStyle w:val="CCMCvariablesubscript"/>
              </w:rPr>
              <w:t>m</w:t>
            </w:r>
          </w:p>
        </w:tc>
        <w:tc>
          <w:tcPr>
            <w:tcW w:w="8845" w:type="dxa"/>
            <w:gridSpan w:val="2"/>
          </w:tcPr>
          <w:p w14:paraId="1F2742B4" w14:textId="66123CC7" w:rsidR="00D9118B" w:rsidRPr="001455DC" w:rsidRDefault="00D9118B" w:rsidP="006D682B">
            <w:pPr>
              <w:pStyle w:val="Tablebody"/>
              <w:spacing w:after="180"/>
            </w:pPr>
            <w:r w:rsidRPr="001455DC">
              <w:t>is the reduction coefficient for the number of members:</w:t>
            </w:r>
          </w:p>
        </w:tc>
      </w:tr>
      <w:tr w:rsidR="00D9118B" w:rsidRPr="001455DC" w14:paraId="724700BF" w14:textId="77777777" w:rsidTr="00C603BE">
        <w:trPr>
          <w:cantSplit/>
        </w:trPr>
        <w:tc>
          <w:tcPr>
            <w:tcW w:w="567" w:type="dxa"/>
          </w:tcPr>
          <w:p w14:paraId="1D5D3BB1" w14:textId="0A978433" w:rsidR="00D9118B" w:rsidRPr="001455DC" w:rsidRDefault="00D9118B" w:rsidP="006D682B">
            <w:pPr>
              <w:pStyle w:val="Tablebody"/>
              <w:spacing w:after="180"/>
            </w:pPr>
            <w:r w:rsidRPr="001455DC">
              <w:t> </w:t>
            </w:r>
          </w:p>
        </w:tc>
        <w:tc>
          <w:tcPr>
            <w:tcW w:w="7598" w:type="dxa"/>
            <w:vAlign w:val="center"/>
          </w:tcPr>
          <w:p w14:paraId="1CC7B092" w14:textId="77FEFB4B" w:rsidR="00D9118B" w:rsidRPr="001455DC" w:rsidRDefault="00231E33" w:rsidP="006D682B">
            <w:pPr>
              <w:pStyle w:val="Formula"/>
              <w:spacing w:after="180"/>
              <w:jc w:val="left"/>
            </w:pPr>
            <m:oMathPara>
              <m:oMathParaPr>
                <m:jc m:val="left"/>
              </m:oMathParaPr>
              <m:oMath>
                <m:sSub>
                  <m:sSubPr>
                    <m:ctrlPr>
                      <w:rPr>
                        <w:rFonts w:ascii="Cambria Math" w:hAnsi="Cambria Math"/>
                      </w:rPr>
                    </m:ctrlPr>
                  </m:sSubPr>
                  <m:e>
                    <m:r>
                      <w:rPr>
                        <w:rFonts w:ascii="Cambria Math" w:hAnsi="Cambria Math"/>
                      </w:rPr>
                      <m:t>α</m:t>
                    </m:r>
                  </m:e>
                  <m:sub>
                    <m:r>
                      <m:rPr>
                        <m:sty m:val="p"/>
                      </m:rPr>
                      <w:rPr>
                        <w:rFonts w:ascii="Cambria Math" w:hAnsi="Cambria Math"/>
                      </w:rPr>
                      <m:t>m</m:t>
                    </m:r>
                  </m:sub>
                </m:sSub>
                <m:r>
                  <w:rPr>
                    <w:rFonts w:ascii="Cambria Math" w:hAnsi="Cambria Math"/>
                  </w:rPr>
                  <m:t>=</m:t>
                </m:r>
                <m:rad>
                  <m:radPr>
                    <m:degHide m:val="1"/>
                    <m:ctrlPr>
                      <w:rPr>
                        <w:rFonts w:ascii="Cambria Math" w:hAnsi="Cambria Math"/>
                      </w:rPr>
                    </m:ctrlPr>
                  </m:radPr>
                  <m:deg/>
                  <m:e>
                    <m:r>
                      <w:rPr>
                        <w:rFonts w:ascii="Cambria Math" w:hAnsi="Cambria Math"/>
                      </w:rPr>
                      <m:t xml:space="preserve">0,5 </m:t>
                    </m:r>
                    <m:d>
                      <m:dPr>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m</m:t>
                            </m:r>
                          </m:den>
                        </m:f>
                      </m:e>
                    </m:d>
                  </m:e>
                </m:rad>
                <m:r>
                  <w:rPr>
                    <w:rFonts w:ascii="Cambria Math" w:hAnsi="Cambria Math"/>
                  </w:rPr>
                  <m:t>;</m:t>
                </m:r>
              </m:oMath>
            </m:oMathPara>
          </w:p>
        </w:tc>
        <w:tc>
          <w:tcPr>
            <w:tcW w:w="1247" w:type="dxa"/>
            <w:vAlign w:val="center"/>
          </w:tcPr>
          <w:p w14:paraId="33CD9E84" w14:textId="52BA5A4F" w:rsidR="00D9118B" w:rsidRPr="001455DC" w:rsidRDefault="00D9118B">
            <w:pPr>
              <w:pStyle w:val="Tablebody"/>
              <w:jc w:val="right"/>
            </w:pPr>
            <w:r w:rsidRPr="001455DC">
              <w:t>(7.</w:t>
            </w:r>
            <w:r w:rsidR="00F0708F" w:rsidRPr="001455DC">
              <w:t>3</w:t>
            </w:r>
            <w:r w:rsidRPr="001455DC">
              <w:t>)</w:t>
            </w:r>
          </w:p>
        </w:tc>
      </w:tr>
      <w:tr w:rsidR="00D9118B" w:rsidRPr="001455DC" w14:paraId="13F155A9" w14:textId="77777777" w:rsidTr="00C603BE">
        <w:trPr>
          <w:cantSplit/>
        </w:trPr>
        <w:tc>
          <w:tcPr>
            <w:tcW w:w="567" w:type="dxa"/>
          </w:tcPr>
          <w:p w14:paraId="351167D9" w14:textId="68664CFC" w:rsidR="00D9118B" w:rsidRPr="001455DC" w:rsidRDefault="00D9118B" w:rsidP="006D682B">
            <w:pPr>
              <w:pStyle w:val="Tablebody"/>
              <w:spacing w:after="180"/>
            </w:pPr>
            <w:r w:rsidRPr="001455DC">
              <w:rPr>
                <w:rStyle w:val="CCMCvariableitalic"/>
              </w:rPr>
              <w:t>l</w:t>
            </w:r>
          </w:p>
        </w:tc>
        <w:tc>
          <w:tcPr>
            <w:tcW w:w="8845" w:type="dxa"/>
            <w:gridSpan w:val="2"/>
          </w:tcPr>
          <w:p w14:paraId="77C9CE04" w14:textId="6D51321D" w:rsidR="00D9118B" w:rsidRPr="001455DC" w:rsidRDefault="00D9118B" w:rsidP="006D682B">
            <w:pPr>
              <w:pStyle w:val="Tablebody"/>
              <w:spacing w:after="180"/>
            </w:pPr>
            <w:r w:rsidRPr="001455DC">
              <w:t>is the length or height [m], see (3);</w:t>
            </w:r>
          </w:p>
        </w:tc>
      </w:tr>
      <w:tr w:rsidR="00D9118B" w:rsidRPr="001455DC" w14:paraId="03B12A07" w14:textId="77777777" w:rsidTr="00C603BE">
        <w:trPr>
          <w:cantSplit/>
        </w:trPr>
        <w:tc>
          <w:tcPr>
            <w:tcW w:w="567" w:type="dxa"/>
          </w:tcPr>
          <w:p w14:paraId="478051C2" w14:textId="0820E441" w:rsidR="00D9118B" w:rsidRPr="001455DC" w:rsidRDefault="00D9118B" w:rsidP="006D682B">
            <w:pPr>
              <w:pStyle w:val="Tablebody"/>
              <w:spacing w:after="180"/>
            </w:pPr>
            <w:r w:rsidRPr="001455DC">
              <w:rPr>
                <w:rStyle w:val="CCMCvariableitalic"/>
              </w:rPr>
              <w:t>m</w:t>
            </w:r>
          </w:p>
        </w:tc>
        <w:tc>
          <w:tcPr>
            <w:tcW w:w="8845" w:type="dxa"/>
            <w:gridSpan w:val="2"/>
          </w:tcPr>
          <w:p w14:paraId="20CD6BE6" w14:textId="721CF7B4" w:rsidR="00D9118B" w:rsidRPr="001455DC" w:rsidRDefault="00D9118B" w:rsidP="006D682B">
            <w:pPr>
              <w:pStyle w:val="Tablebody"/>
              <w:spacing w:after="180"/>
            </w:pPr>
            <w:r w:rsidRPr="001455DC">
              <w:t>is the number of load bearing members in one section that bear a significant part of the vertical load and that, due to their inclination, contribute to the effect considered.</w:t>
            </w:r>
          </w:p>
        </w:tc>
      </w:tr>
    </w:tbl>
    <w:p w14:paraId="35193942" w14:textId="52276FE0" w:rsidR="004E22C1" w:rsidRPr="001455DC" w:rsidRDefault="004E22C1" w:rsidP="00864638">
      <w:pPr>
        <w:pStyle w:val="a7"/>
      </w:pPr>
      <w:r w:rsidRPr="001455DC">
        <w:t>(3)</w:t>
      </w:r>
      <w:r w:rsidRPr="001455DC">
        <w:tab/>
        <w:t>In Formula (7.</w:t>
      </w:r>
      <w:r w:rsidR="00F0708F" w:rsidRPr="001455DC">
        <w:t>2</w:t>
      </w:r>
      <w:r w:rsidRPr="001455DC">
        <w:t>)</w:t>
      </w:r>
      <w:r w:rsidR="00F0708F" w:rsidRPr="001455DC">
        <w:t xml:space="preserve"> and (7.3)</w:t>
      </w:r>
      <w:r w:rsidRPr="001455DC">
        <w:t xml:space="preserve">, the values of </w:t>
      </w:r>
      <w:r w:rsidRPr="001455DC">
        <w:rPr>
          <w:rStyle w:val="CCMCvariableitalic"/>
        </w:rPr>
        <w:t>l</w:t>
      </w:r>
      <w:r w:rsidRPr="001455DC">
        <w:t xml:space="preserve"> and </w:t>
      </w:r>
      <w:r w:rsidRPr="001455DC">
        <w:rPr>
          <w:rStyle w:val="CCMCvariableitalic"/>
        </w:rPr>
        <w:t>m</w:t>
      </w:r>
      <w:r w:rsidRPr="001455DC">
        <w:t xml:space="preserve"> should be taken as follows, depending on the effect considered (see also Figure 7.1):</w:t>
      </w:r>
    </w:p>
    <w:p w14:paraId="23B67630" w14:textId="3A7D597A" w:rsidR="004E22C1" w:rsidRPr="001455DC" w:rsidRDefault="004E22C1" w:rsidP="006D682B">
      <w:pPr>
        <w:pStyle w:val="a0"/>
        <w:spacing w:after="200"/>
      </w:pPr>
      <w:r w:rsidRPr="001455DC">
        <w:t xml:space="preserve">effect on isolated member: </w:t>
      </w:r>
      <w:r w:rsidRPr="001455DC">
        <w:rPr>
          <w:rStyle w:val="CCMCvariableitalic"/>
        </w:rPr>
        <w:t>l</w:t>
      </w:r>
      <w:r w:rsidRPr="001455DC">
        <w:t> </w:t>
      </w:r>
      <w:r w:rsidR="00EC27D2" w:rsidRPr="001455DC">
        <w:rPr>
          <w:rFonts w:ascii="Cambria Math" w:hAnsi="Cambria Math"/>
        </w:rPr>
        <w:t>=</w:t>
      </w:r>
      <w:r w:rsidRPr="001455DC">
        <w:t xml:space="preserve"> actual length of member, </w:t>
      </w:r>
      <w:r w:rsidRPr="001455DC">
        <w:rPr>
          <w:rStyle w:val="CCMCvariableitalic"/>
        </w:rPr>
        <w:t>m</w:t>
      </w:r>
      <w:r w:rsidRPr="001455DC">
        <w:t xml:space="preserve"> </w:t>
      </w:r>
      <w:r w:rsidR="00EC27D2" w:rsidRPr="001455DC">
        <w:rPr>
          <w:rFonts w:ascii="Cambria Math" w:hAnsi="Cambria Math"/>
        </w:rPr>
        <w:t>=</w:t>
      </w:r>
      <w:r w:rsidRPr="001455DC">
        <w:t>1;</w:t>
      </w:r>
    </w:p>
    <w:p w14:paraId="29E0E7C8" w14:textId="4DFBC2C9" w:rsidR="004E22C1" w:rsidRPr="001455DC" w:rsidRDefault="004E22C1" w:rsidP="006D682B">
      <w:pPr>
        <w:pStyle w:val="a0"/>
        <w:spacing w:after="200"/>
      </w:pPr>
      <w:r w:rsidRPr="001455DC">
        <w:t xml:space="preserve">effect on bracing system: </w:t>
      </w:r>
      <w:r w:rsidRPr="001455DC">
        <w:rPr>
          <w:rStyle w:val="CCMCvariableitalic"/>
        </w:rPr>
        <w:t>l</w:t>
      </w:r>
      <w:r w:rsidRPr="001455DC">
        <w:t> </w:t>
      </w:r>
      <w:r w:rsidR="00EC27D2" w:rsidRPr="001455DC">
        <w:rPr>
          <w:rFonts w:ascii="Cambria Math" w:hAnsi="Cambria Math"/>
        </w:rPr>
        <w:t>=</w:t>
      </w:r>
      <w:r w:rsidRPr="001455DC">
        <w:t xml:space="preserve"> height of the structure, </w:t>
      </w:r>
      <w:r w:rsidRPr="001455DC">
        <w:rPr>
          <w:rStyle w:val="CCMCvariableitalic"/>
        </w:rPr>
        <w:t>m</w:t>
      </w:r>
      <w:r w:rsidRPr="001455DC">
        <w:t> </w:t>
      </w:r>
      <w:r w:rsidR="00EC27D2" w:rsidRPr="001455DC">
        <w:rPr>
          <w:rFonts w:ascii="Cambria Math" w:hAnsi="Cambria Math"/>
        </w:rPr>
        <w:t>=</w:t>
      </w:r>
      <w:r w:rsidRPr="001455DC">
        <w:t xml:space="preserve"> number of vertical members </w:t>
      </w:r>
      <w:r w:rsidR="004F0614" w:rsidRPr="001455DC">
        <w:t>between two adjacent levels</w:t>
      </w:r>
      <w:r w:rsidRPr="001455DC">
        <w:t xml:space="preserve"> contributing to the horizontal force on the bracing system;</w:t>
      </w:r>
    </w:p>
    <w:p w14:paraId="34289D0D" w14:textId="4E6C6DC3" w:rsidR="004E22C1" w:rsidRPr="001455DC" w:rsidRDefault="004E22C1" w:rsidP="006D682B">
      <w:pPr>
        <w:pStyle w:val="a0"/>
        <w:spacing w:after="200"/>
      </w:pPr>
      <w:r w:rsidRPr="001455DC">
        <w:t xml:space="preserve">effect on intermediate or end diaphragms distributing the horizontal loads: </w:t>
      </w:r>
      <w:r w:rsidRPr="001455DC">
        <w:rPr>
          <w:rStyle w:val="CCMCvariableitalic"/>
        </w:rPr>
        <w:t>l</w:t>
      </w:r>
      <w:r w:rsidRPr="001455DC">
        <w:t> </w:t>
      </w:r>
      <w:r w:rsidR="00EC27D2" w:rsidRPr="001455DC">
        <w:rPr>
          <w:rFonts w:ascii="Cambria Math" w:hAnsi="Cambria Math"/>
        </w:rPr>
        <w:t>=</w:t>
      </w:r>
      <w:r w:rsidRPr="001455DC">
        <w:t xml:space="preserve"> storey height, </w:t>
      </w:r>
      <w:r w:rsidRPr="001455DC">
        <w:rPr>
          <w:rStyle w:val="CCMCvariableitalic"/>
        </w:rPr>
        <w:t>m</w:t>
      </w:r>
      <w:r w:rsidRPr="001455DC">
        <w:t> </w:t>
      </w:r>
      <w:r w:rsidR="00EC27D2" w:rsidRPr="001455DC">
        <w:rPr>
          <w:rFonts w:ascii="Cambria Math" w:hAnsi="Cambria Math"/>
        </w:rPr>
        <w:t>=</w:t>
      </w:r>
      <w:r w:rsidRPr="001455DC">
        <w:t xml:space="preserve"> number of vertical braced elements </w:t>
      </w:r>
      <w:r w:rsidR="004F0614" w:rsidRPr="001455DC">
        <w:t>between tow adjacent levels</w:t>
      </w:r>
      <w:r w:rsidRPr="001455DC">
        <w:t xml:space="preserve"> contributing to the total horizontal force on the section.</w:t>
      </w:r>
    </w:p>
    <w:p w14:paraId="151DDACF" w14:textId="66849883" w:rsidR="004E22C1" w:rsidRPr="001455DC" w:rsidRDefault="004E22C1" w:rsidP="00864638">
      <w:pPr>
        <w:pStyle w:val="a7"/>
      </w:pPr>
      <w:r w:rsidRPr="001455DC">
        <w:t>(4)</w:t>
      </w:r>
      <w:r w:rsidRPr="001455DC">
        <w:tab/>
        <w:t xml:space="preserve">Alternatively (e.g. arches), the imperfection of the structural geometry may be determined from the governing buckling mode. Each mode shape may be idealized by a sinusoidal profile. The amplitude should be taken as </w:t>
      </w:r>
      <w:r w:rsidRPr="001455DC">
        <w:rPr>
          <w:rStyle w:val="CCMCvariableitalic"/>
        </w:rPr>
        <w:t>a</w:t>
      </w:r>
      <w:r w:rsidRPr="001455DC">
        <w:rPr>
          <w:rStyle w:val="CCMCvariablesubscript"/>
        </w:rPr>
        <w:t>i</w:t>
      </w:r>
      <w:r w:rsidRPr="001455DC">
        <w:t> </w:t>
      </w:r>
      <w:r w:rsidR="00EC27D2" w:rsidRPr="001455DC">
        <w:rPr>
          <w:rFonts w:ascii="Cambria Math" w:hAnsi="Cambria Math"/>
        </w:rPr>
        <w:t>=</w:t>
      </w:r>
      <w:r w:rsidRPr="001455DC">
        <w:t> </w:t>
      </w:r>
      <w:r w:rsidRPr="001455DC">
        <w:rPr>
          <w:rStyle w:val="CCMCvariableitalic"/>
        </w:rPr>
        <w:t>θ</w:t>
      </w:r>
      <w:r w:rsidRPr="001455DC">
        <w:rPr>
          <w:rStyle w:val="CCMCvariablesubscript"/>
        </w:rPr>
        <w:t>i</w:t>
      </w:r>
      <w:r w:rsidRPr="001455DC">
        <w:t> </w:t>
      </w:r>
      <w:r w:rsidR="00C74721" w:rsidRPr="001455DC">
        <w:rPr>
          <w:rFonts w:ascii="Cambria Math" w:hAnsi="Cambria Math"/>
        </w:rPr>
        <w:t>⋅</w:t>
      </w:r>
      <w:r w:rsidRPr="001455DC">
        <w:t> </w:t>
      </w:r>
      <w:r w:rsidRPr="001455DC">
        <w:rPr>
          <w:rStyle w:val="CCMCvariableitalic"/>
        </w:rPr>
        <w:t>l</w:t>
      </w:r>
      <w:r w:rsidRPr="001455DC">
        <w:rPr>
          <w:rStyle w:val="CCMCvariablesubscript"/>
        </w:rPr>
        <w:t>aw</w:t>
      </w:r>
      <w:r w:rsidRPr="001455DC">
        <w:t xml:space="preserve">/2, where </w:t>
      </w:r>
      <w:r w:rsidRPr="001455DC">
        <w:rPr>
          <w:rStyle w:val="CCMCvariableitalic"/>
        </w:rPr>
        <w:t>l</w:t>
      </w:r>
      <w:r w:rsidRPr="001455DC">
        <w:rPr>
          <w:rStyle w:val="CCMCvariablesubscript"/>
        </w:rPr>
        <w:t>aw</w:t>
      </w:r>
      <w:r w:rsidRPr="001455DC">
        <w:t xml:space="preserve"> is half of the wavelength.</w:t>
      </w:r>
    </w:p>
    <w:p w14:paraId="355FFDEF" w14:textId="77777777" w:rsidR="004E22C1" w:rsidRPr="001455DC" w:rsidRDefault="004E22C1" w:rsidP="00A35599">
      <w:pPr>
        <w:pStyle w:val="a7"/>
        <w:keepNext/>
      </w:pPr>
      <w:r w:rsidRPr="001455DC">
        <w:t>(5)</w:t>
      </w:r>
      <w:r w:rsidRPr="001455DC">
        <w:tab/>
        <w:t>For isolated members, the effect of imperfections may be taken into account in two alternative ways:</w:t>
      </w:r>
    </w:p>
    <w:p w14:paraId="498CC79A" w14:textId="30BBBC64" w:rsidR="00864638" w:rsidRPr="001455DC" w:rsidRDefault="004E22C1" w:rsidP="00082680">
      <w:pPr>
        <w:pStyle w:val="a0"/>
        <w:keepNext/>
        <w:numPr>
          <w:ilvl w:val="0"/>
          <w:numId w:val="18"/>
        </w:numPr>
        <w:spacing w:after="200"/>
      </w:pPr>
      <w:r w:rsidRPr="001455DC">
        <w:t xml:space="preserve">For statically determined members, as an eccentricity </w:t>
      </w:r>
      <w:r w:rsidRPr="001455DC">
        <w:rPr>
          <w:rStyle w:val="CCMCvariableitalic"/>
        </w:rPr>
        <w:t>e</w:t>
      </w:r>
      <w:r w:rsidRPr="001455DC">
        <w:rPr>
          <w:rStyle w:val="CCMCvariablesubscript"/>
        </w:rPr>
        <w:t>i</w:t>
      </w:r>
      <w:r w:rsidRPr="001455DC">
        <w:t xml:space="preserve"> given by</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D9118B" w:rsidRPr="001455DC" w14:paraId="14545F89" w14:textId="77777777" w:rsidTr="00C603BE">
        <w:trPr>
          <w:cantSplit/>
        </w:trPr>
        <w:tc>
          <w:tcPr>
            <w:tcW w:w="8505" w:type="dxa"/>
            <w:vAlign w:val="center"/>
          </w:tcPr>
          <w:p w14:paraId="673A5EC6" w14:textId="47D276ED" w:rsidR="00D9118B" w:rsidRPr="001455DC" w:rsidRDefault="00231E33" w:rsidP="00C603BE">
            <w:pPr>
              <w:pStyle w:val="Formula"/>
              <w:jc w:val="left"/>
            </w:pPr>
            <m:oMathPara>
              <m:oMathParaPr>
                <m:jc m:val="left"/>
              </m:oMathParaPr>
              <m:oMath>
                <m:sSub>
                  <m:sSubPr>
                    <m:ctrlPr>
                      <w:rPr>
                        <w:rFonts w:ascii="Cambria Math" w:hAnsi="Cambria Math"/>
                      </w:rPr>
                    </m:ctrlPr>
                  </m:sSubPr>
                  <m:e>
                    <m:r>
                      <w:rPr>
                        <w:rFonts w:ascii="Cambria Math" w:hAnsi="Cambria Math"/>
                      </w:rPr>
                      <m:t>e</m:t>
                    </m:r>
                  </m:e>
                  <m:sub>
                    <m:r>
                      <m:rPr>
                        <m:sty m:val="p"/>
                      </m:rP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θ</m:t>
                    </m:r>
                  </m:e>
                  <m:sub>
                    <m:r>
                      <m:rPr>
                        <m:sty m:val="p"/>
                      </m:rPr>
                      <w:rPr>
                        <w:rFonts w:ascii="Cambria Math" w:hAnsi="Cambria Math"/>
                      </w:rPr>
                      <m:t>i</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0</m:t>
                        </m:r>
                      </m:sub>
                    </m:sSub>
                  </m:num>
                  <m:den>
                    <m:r>
                      <w:rPr>
                        <w:rFonts w:ascii="Cambria Math" w:hAnsi="Cambria Math"/>
                      </w:rPr>
                      <m:t>2</m:t>
                    </m:r>
                  </m:den>
                </m:f>
              </m:oMath>
            </m:oMathPara>
          </w:p>
        </w:tc>
        <w:tc>
          <w:tcPr>
            <w:tcW w:w="1247" w:type="dxa"/>
            <w:vAlign w:val="center"/>
          </w:tcPr>
          <w:p w14:paraId="4552CB77" w14:textId="2D37070B" w:rsidR="00D9118B" w:rsidRPr="001455DC" w:rsidRDefault="00D9118B">
            <w:pPr>
              <w:pStyle w:val="a7"/>
              <w:jc w:val="right"/>
            </w:pPr>
            <w:r w:rsidRPr="001455DC">
              <w:t>(7.</w:t>
            </w:r>
            <w:r w:rsidR="004F0614" w:rsidRPr="001455DC">
              <w:t>4</w:t>
            </w:r>
            <w:r w:rsidRPr="001455DC">
              <w:t>)</w:t>
            </w:r>
          </w:p>
        </w:tc>
      </w:tr>
    </w:tbl>
    <w:p w14:paraId="03E1D34E" w14:textId="77777777" w:rsidR="00D9118B" w:rsidRPr="001455DC" w:rsidRDefault="00D9118B" w:rsidP="006D682B">
      <w:pPr>
        <w:pStyle w:val="a7"/>
        <w:spacing w:after="200"/>
      </w:pPr>
      <w:r w:rsidRPr="001455DC">
        <w:t xml:space="preserve">where </w:t>
      </w:r>
      <w:r w:rsidRPr="001455DC">
        <w:rPr>
          <w:rStyle w:val="CCMCvariableitalic"/>
        </w:rPr>
        <w:t>l</w:t>
      </w:r>
      <w:r w:rsidRPr="001455DC">
        <w:rPr>
          <w:rStyle w:val="CCMCvariablesubscript"/>
        </w:rPr>
        <w:t>0</w:t>
      </w:r>
      <w:r w:rsidRPr="001455DC">
        <w:t xml:space="preserve"> is the effective length.</w:t>
      </w:r>
    </w:p>
    <w:p w14:paraId="09740439" w14:textId="1DE5FD7D" w:rsidR="00D9118B" w:rsidRPr="001455DC" w:rsidRDefault="00D9118B" w:rsidP="006D682B">
      <w:pPr>
        <w:pStyle w:val="a7"/>
        <w:spacing w:after="200"/>
      </w:pPr>
      <w:r w:rsidRPr="001455DC">
        <w:t xml:space="preserve">For walls and isolated columns in braced systems, </w:t>
      </w:r>
      <w:r w:rsidRPr="001455DC">
        <w:rPr>
          <w:rStyle w:val="CCMCvariableitalic"/>
        </w:rPr>
        <w:t>e</w:t>
      </w:r>
      <w:r w:rsidRPr="001455DC">
        <w:rPr>
          <w:rStyle w:val="CCMCvariablesubscript"/>
        </w:rPr>
        <w:t>i</w:t>
      </w:r>
      <w:r w:rsidRPr="001455DC">
        <w:t> </w:t>
      </w:r>
      <w:r w:rsidR="00EC27D2" w:rsidRPr="001455DC">
        <w:rPr>
          <w:rFonts w:ascii="Cambria Math" w:hAnsi="Cambria Math"/>
        </w:rPr>
        <w:t>=</w:t>
      </w:r>
      <w:r w:rsidRPr="001455DC">
        <w:t> </w:t>
      </w:r>
      <w:r w:rsidRPr="001455DC">
        <w:rPr>
          <w:rStyle w:val="CCMCvariableitalic"/>
        </w:rPr>
        <w:t>l</w:t>
      </w:r>
      <w:r w:rsidRPr="001455DC">
        <w:rPr>
          <w:rStyle w:val="CCMCvariablesubscript"/>
        </w:rPr>
        <w:t>0</w:t>
      </w:r>
      <w:r w:rsidRPr="001455DC">
        <w:t xml:space="preserve">/400 may always be used as a simplification, corresponding to </w:t>
      </w:r>
      <w:r w:rsidRPr="001455DC">
        <w:rPr>
          <w:rStyle w:val="CCMCvariableitalic"/>
        </w:rPr>
        <w:t>α</w:t>
      </w:r>
      <w:r w:rsidRPr="001455DC">
        <w:rPr>
          <w:rStyle w:val="CCMCvariablesubscript"/>
        </w:rPr>
        <w:t>h</w:t>
      </w:r>
      <w:r w:rsidRPr="001455DC">
        <w:t> </w:t>
      </w:r>
      <w:r w:rsidR="00EC27D2" w:rsidRPr="001455DC">
        <w:rPr>
          <w:rFonts w:ascii="Cambria Math" w:hAnsi="Cambria Math"/>
        </w:rPr>
        <w:t>=</w:t>
      </w:r>
      <w:r w:rsidRPr="001455DC">
        <w:t> 1</w:t>
      </w:r>
      <w:r w:rsidR="004F0614" w:rsidRPr="001455DC">
        <w:t>,0</w:t>
      </w:r>
      <w:r w:rsidRPr="001455DC">
        <w:t>.</w:t>
      </w:r>
    </w:p>
    <w:p w14:paraId="49F3D7AC" w14:textId="71073082" w:rsidR="00D9118B" w:rsidRPr="001455DC" w:rsidRDefault="00D9118B" w:rsidP="00082680">
      <w:pPr>
        <w:pStyle w:val="a0"/>
        <w:numPr>
          <w:ilvl w:val="0"/>
          <w:numId w:val="18"/>
        </w:numPr>
        <w:spacing w:after="200"/>
      </w:pPr>
      <w:r w:rsidRPr="001455DC">
        <w:t xml:space="preserve">For both statically determinate and indeterminate members as a fictitious transverse force </w:t>
      </w:r>
      <w:r w:rsidRPr="001455DC">
        <w:rPr>
          <w:rStyle w:val="CCMCvariableitalic"/>
        </w:rPr>
        <w:t>F</w:t>
      </w:r>
      <w:r w:rsidRPr="001455DC">
        <w:rPr>
          <w:rStyle w:val="CCMCvariablesubscript"/>
        </w:rPr>
        <w:t>H,i</w:t>
      </w:r>
      <w:r w:rsidRPr="001455DC">
        <w:t xml:space="preserve"> in the position that gives maximum moment:</w:t>
      </w:r>
    </w:p>
    <w:p w14:paraId="687587FC" w14:textId="77777777" w:rsidR="00864638" w:rsidRPr="001455DC" w:rsidRDefault="004E22C1" w:rsidP="006D682B">
      <w:pPr>
        <w:pStyle w:val="a7"/>
        <w:spacing w:after="200"/>
      </w:pPr>
      <w:r w:rsidRPr="001455DC">
        <w:t>for unbraced members (see Figure 7.1 a1)):</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864638" w:rsidRPr="001455DC" w14:paraId="6DA65993" w14:textId="77777777" w:rsidTr="00C603BE">
        <w:trPr>
          <w:cantSplit/>
        </w:trPr>
        <w:tc>
          <w:tcPr>
            <w:tcW w:w="8505" w:type="dxa"/>
            <w:vAlign w:val="center"/>
          </w:tcPr>
          <w:p w14:paraId="7FEEB0A0" w14:textId="599540A2" w:rsidR="00864638" w:rsidRPr="001455DC" w:rsidRDefault="00231E33" w:rsidP="006D682B">
            <w:pPr>
              <w:pStyle w:val="Formula"/>
              <w:spacing w:after="200"/>
              <w:jc w:val="left"/>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H,i</m:t>
                    </m:r>
                  </m:sub>
                </m:sSub>
                <m:r>
                  <w:rPr>
                    <w:rFonts w:ascii="Cambria Math" w:hAnsi="Cambria Math"/>
                  </w:rPr>
                  <m:t>=</m:t>
                </m:r>
                <m:sSub>
                  <m:sSubPr>
                    <m:ctrlPr>
                      <w:rPr>
                        <w:rFonts w:ascii="Cambria Math" w:hAnsi="Cambria Math"/>
                      </w:rPr>
                    </m:ctrlPr>
                  </m:sSubPr>
                  <m:e>
                    <m:r>
                      <w:rPr>
                        <w:rFonts w:ascii="Cambria Math" w:hAnsi="Cambria Math"/>
                      </w:rPr>
                      <m:t>θ</m:t>
                    </m:r>
                  </m:e>
                  <m:sub>
                    <m:r>
                      <m:rPr>
                        <m:sty m:val="p"/>
                      </m:rP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V,i</m:t>
                    </m:r>
                  </m:sub>
                </m:sSub>
              </m:oMath>
            </m:oMathPara>
          </w:p>
        </w:tc>
        <w:tc>
          <w:tcPr>
            <w:tcW w:w="1247" w:type="dxa"/>
            <w:vAlign w:val="center"/>
          </w:tcPr>
          <w:p w14:paraId="02FAE16A" w14:textId="33160C1C" w:rsidR="00864638" w:rsidRPr="001455DC" w:rsidRDefault="00864638" w:rsidP="006D682B">
            <w:pPr>
              <w:pStyle w:val="a7"/>
              <w:spacing w:after="200"/>
              <w:jc w:val="right"/>
            </w:pPr>
            <w:r w:rsidRPr="001455DC">
              <w:t>(7.</w:t>
            </w:r>
            <w:r w:rsidR="004F0614" w:rsidRPr="001455DC">
              <w:t>5</w:t>
            </w:r>
            <w:r w:rsidRPr="001455DC">
              <w:t>)</w:t>
            </w:r>
          </w:p>
        </w:tc>
      </w:tr>
    </w:tbl>
    <w:p w14:paraId="47CBD01F" w14:textId="77777777" w:rsidR="00864638" w:rsidRPr="001455DC" w:rsidRDefault="004E22C1" w:rsidP="006D682B">
      <w:pPr>
        <w:pStyle w:val="a7"/>
        <w:spacing w:after="200"/>
      </w:pPr>
      <w:r w:rsidRPr="001455DC">
        <w:t>for braced members (see Figure 7.1 a2)):</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864638" w:rsidRPr="001455DC" w14:paraId="69297D41" w14:textId="77777777" w:rsidTr="00C603BE">
        <w:trPr>
          <w:cantSplit/>
        </w:trPr>
        <w:tc>
          <w:tcPr>
            <w:tcW w:w="8505" w:type="dxa"/>
            <w:vAlign w:val="center"/>
          </w:tcPr>
          <w:p w14:paraId="70FC13F8" w14:textId="1EAD83D4" w:rsidR="00864638" w:rsidRPr="001455DC" w:rsidRDefault="00231E33" w:rsidP="006D682B">
            <w:pPr>
              <w:pStyle w:val="Formula"/>
              <w:spacing w:after="200"/>
              <w:jc w:val="left"/>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H,i</m:t>
                    </m:r>
                  </m:sub>
                </m:sSub>
                <m:r>
                  <w:rPr>
                    <w:rFonts w:ascii="Cambria Math" w:hAnsi="Cambria Math"/>
                  </w:rPr>
                  <m:t>=2⋅</m:t>
                </m:r>
                <m:sSub>
                  <m:sSubPr>
                    <m:ctrlPr>
                      <w:rPr>
                        <w:rFonts w:ascii="Cambria Math" w:hAnsi="Cambria Math"/>
                      </w:rPr>
                    </m:ctrlPr>
                  </m:sSubPr>
                  <m:e>
                    <m:r>
                      <w:rPr>
                        <w:rFonts w:ascii="Cambria Math" w:hAnsi="Cambria Math"/>
                      </w:rPr>
                      <m:t>θ</m:t>
                    </m:r>
                  </m:e>
                  <m:sub>
                    <m:r>
                      <m:rPr>
                        <m:sty m:val="p"/>
                      </m:rP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V,i</m:t>
                    </m:r>
                  </m:sub>
                </m:sSub>
              </m:oMath>
            </m:oMathPara>
          </w:p>
        </w:tc>
        <w:tc>
          <w:tcPr>
            <w:tcW w:w="1247" w:type="dxa"/>
            <w:vAlign w:val="center"/>
          </w:tcPr>
          <w:p w14:paraId="119701B7" w14:textId="6FDB6337" w:rsidR="00864638" w:rsidRPr="001455DC" w:rsidRDefault="00864638" w:rsidP="006D682B">
            <w:pPr>
              <w:pStyle w:val="a7"/>
              <w:spacing w:after="200"/>
              <w:jc w:val="right"/>
            </w:pPr>
            <w:r w:rsidRPr="001455DC">
              <w:t>(7.</w:t>
            </w:r>
            <w:r w:rsidR="004F0614" w:rsidRPr="001455DC">
              <w:t>6</w:t>
            </w:r>
            <w:r w:rsidRPr="001455DC">
              <w:t>)</w:t>
            </w:r>
          </w:p>
        </w:tc>
      </w:tr>
    </w:tbl>
    <w:p w14:paraId="17501ED1" w14:textId="77777777" w:rsidR="004E22C1" w:rsidRPr="001455DC" w:rsidRDefault="004E22C1" w:rsidP="006D682B">
      <w:pPr>
        <w:pStyle w:val="a7"/>
        <w:spacing w:after="200"/>
      </w:pPr>
      <w:r w:rsidRPr="001455DC">
        <w:t xml:space="preserve">where </w:t>
      </w:r>
      <w:r w:rsidRPr="001455DC">
        <w:rPr>
          <w:rStyle w:val="CCMCvariableitalic"/>
        </w:rPr>
        <w:t>F</w:t>
      </w:r>
      <w:r w:rsidRPr="001455DC">
        <w:rPr>
          <w:rStyle w:val="CCMCvariablesubscript"/>
        </w:rPr>
        <w:t>V</w:t>
      </w:r>
      <w:r w:rsidRPr="001455DC">
        <w:t xml:space="preserve"> is the vertical load.</w:t>
      </w:r>
    </w:p>
    <w:p w14:paraId="77BAF690" w14:textId="154ABD9A" w:rsidR="004E22C1" w:rsidRPr="001455DC" w:rsidRDefault="004E22C1" w:rsidP="006D682B">
      <w:pPr>
        <w:pStyle w:val="a7"/>
        <w:spacing w:after="200"/>
      </w:pPr>
      <w:r w:rsidRPr="001455DC">
        <w:t xml:space="preserve">For walls and isolated columns in braced systems </w:t>
      </w:r>
      <w:r w:rsidRPr="001455DC">
        <w:rPr>
          <w:rStyle w:val="CCMCvariableitalic"/>
        </w:rPr>
        <w:t>θ</w:t>
      </w:r>
      <w:r w:rsidRPr="001455DC">
        <w:rPr>
          <w:rStyle w:val="CCMCvariablesubscript"/>
        </w:rPr>
        <w:t>i</w:t>
      </w:r>
      <w:r w:rsidRPr="001455DC">
        <w:t> </w:t>
      </w:r>
      <w:r w:rsidR="00EC27D2" w:rsidRPr="001455DC">
        <w:rPr>
          <w:rFonts w:ascii="Cambria Math" w:hAnsi="Cambria Math"/>
        </w:rPr>
        <w:t>=</w:t>
      </w:r>
      <w:r w:rsidRPr="001455DC">
        <w:t xml:space="preserve"> 1/200 may always be used as a simplification, corresponding to </w:t>
      </w:r>
      <w:r w:rsidRPr="001455DC">
        <w:rPr>
          <w:rStyle w:val="CCMCvariableitalic"/>
        </w:rPr>
        <w:t>α</w:t>
      </w:r>
      <w:r w:rsidRPr="001455DC">
        <w:rPr>
          <w:rStyle w:val="CCMCvariablesubscript"/>
        </w:rPr>
        <w:t>h</w:t>
      </w:r>
      <w:r w:rsidRPr="001455DC">
        <w:t> </w:t>
      </w:r>
      <w:r w:rsidR="00EC27D2" w:rsidRPr="001455DC">
        <w:rPr>
          <w:rFonts w:ascii="Cambria Math" w:hAnsi="Cambria Math"/>
        </w:rPr>
        <w:t>=</w:t>
      </w:r>
      <w:r w:rsidRPr="001455DC">
        <w:t> 1.</w:t>
      </w:r>
    </w:p>
    <w:p w14:paraId="5A91ECD2" w14:textId="77777777" w:rsidR="004E22C1" w:rsidRPr="001455DC" w:rsidRDefault="004E22C1" w:rsidP="00864638">
      <w:pPr>
        <w:pStyle w:val="a7"/>
      </w:pPr>
      <w:r w:rsidRPr="001455DC">
        <w:t xml:space="preserve">The force </w:t>
      </w:r>
      <w:r w:rsidRPr="001455DC">
        <w:rPr>
          <w:rStyle w:val="CCMCvariableitalic"/>
        </w:rPr>
        <w:t>F</w:t>
      </w:r>
      <w:r w:rsidRPr="001455DC">
        <w:rPr>
          <w:rStyle w:val="CCMCvariablesubscript"/>
        </w:rPr>
        <w:t>H,i</w:t>
      </w:r>
      <w:r w:rsidRPr="001455DC">
        <w:t xml:space="preserve"> may be substituted by some other equivalent transverse action. Since the force </w:t>
      </w:r>
      <w:r w:rsidRPr="001455DC">
        <w:rPr>
          <w:rStyle w:val="CCMCvariableitalic"/>
        </w:rPr>
        <w:t>F</w:t>
      </w:r>
      <w:r w:rsidRPr="001455DC">
        <w:rPr>
          <w:rStyle w:val="CCMCvariablesubscript"/>
        </w:rPr>
        <w:t>H,i</w:t>
      </w:r>
      <w:r w:rsidRPr="001455DC">
        <w:t xml:space="preserve"> is fictitious, it should not be added to the forces transmitted by the isolated member to other members of the structure.</w:t>
      </w:r>
    </w:p>
    <w:tbl>
      <w:tblPr>
        <w:tblStyle w:val="a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0"/>
        <w:gridCol w:w="3140"/>
        <w:gridCol w:w="3362"/>
      </w:tblGrid>
      <w:tr w:rsidR="006D682B" w:rsidRPr="001455DC" w14:paraId="4E0E1639" w14:textId="77777777" w:rsidTr="006D682B">
        <w:trPr>
          <w:cantSplit/>
          <w:jc w:val="center"/>
        </w:trPr>
        <w:tc>
          <w:tcPr>
            <w:tcW w:w="3250" w:type="dxa"/>
          </w:tcPr>
          <w:p w14:paraId="4D2732F1" w14:textId="7605198E" w:rsidR="006D682B" w:rsidRDefault="006D682B" w:rsidP="005B4A74">
            <w:pPr>
              <w:pStyle w:val="FigureImage"/>
              <w:rPr>
                <w:noProof/>
                <w:lang w:eastAsia="en-GB"/>
              </w:rPr>
            </w:pPr>
            <w:r>
              <w:rPr>
                <w:noProof/>
                <w:lang w:eastAsia="en-GB"/>
              </w:rPr>
              <w:fldChar w:fldCharType="begin"/>
            </w:r>
            <w:r>
              <w:rPr>
                <w:rFonts w:cs="Times New Roman"/>
                <w:noProof/>
                <w:lang w:eastAsia="en-GB"/>
              </w:rPr>
              <w:instrText xml:space="preserve"> INCLUDEPICTURE  "Y:\\STD_MGT\\STDDEL\\PRODUCTION\\etrans\\Download\\Z_FIRST_DEL\\SV\\00250\\00250269\\41_e_dr\\7_001a1.tif" \* MERGEFORMATINET </w:instrText>
            </w:r>
            <w:r>
              <w:rPr>
                <w:noProof/>
                <w:lang w:eastAsia="en-GB"/>
              </w:rPr>
              <w:fldChar w:fldCharType="separate"/>
            </w:r>
            <w:r>
              <w:rPr>
                <w:noProof/>
                <w:lang w:eastAsia="en-GB"/>
              </w:rPr>
              <w:fldChar w:fldCharType="begin"/>
            </w:r>
            <w:r>
              <w:rPr>
                <w:noProof/>
                <w:lang w:eastAsia="en-GB"/>
              </w:rPr>
              <w:instrText xml:space="preserve"> INCLUDEPICTURE  "Y:\\STD_MGT\\STDDEL\\PRODUCTION\\Standards\\00250\\269\\41_e_dr\\7_001a1.tif" \* MERGEFORMATINET </w:instrText>
            </w:r>
            <w:r>
              <w:rPr>
                <w:noProof/>
                <w:lang w:eastAsia="en-GB"/>
              </w:rPr>
              <w:fldChar w:fldCharType="separate"/>
            </w:r>
            <w:r>
              <w:rPr>
                <w:noProof/>
                <w:lang w:eastAsia="en-GB"/>
              </w:rPr>
              <w:fldChar w:fldCharType="begin"/>
            </w:r>
            <w:r>
              <w:rPr>
                <w:noProof/>
                <w:lang w:eastAsia="en-GB"/>
              </w:rPr>
              <w:instrText xml:space="preserve"> INCLUDEPICTURE  "Y:\\STD_MGT\\STDDEL\\PRODUCTION\\Standards\\00250\\269\\41_e_dr\\7_001a1.tif" \* MERGEFORMATINET </w:instrText>
            </w:r>
            <w:r>
              <w:rPr>
                <w:noProof/>
                <w:lang w:eastAsia="en-GB"/>
              </w:rPr>
              <w:fldChar w:fldCharType="separate"/>
            </w:r>
            <w:r>
              <w:rPr>
                <w:noProof/>
                <w:lang w:eastAsia="en-GB"/>
              </w:rPr>
              <w:fldChar w:fldCharType="begin"/>
            </w:r>
            <w:r>
              <w:rPr>
                <w:noProof/>
                <w:lang w:eastAsia="en-GB"/>
              </w:rPr>
              <w:instrText xml:space="preserve"> INCLUDEPICTURE  "Y:\\STD_MGT\\STDDEL\\PRODUCTION\\Standards\\00250\\269\\41_e_dr\\7_001a1.tif" \* MERGEFORMATINET </w:instrText>
            </w:r>
            <w:r>
              <w:rPr>
                <w:noProof/>
                <w:lang w:eastAsia="en-GB"/>
              </w:rPr>
              <w:fldChar w:fldCharType="separate"/>
            </w:r>
            <w:r>
              <w:rPr>
                <w:noProof/>
                <w:lang w:eastAsia="en-GB"/>
              </w:rPr>
              <w:fldChar w:fldCharType="begin"/>
            </w:r>
            <w:r>
              <w:rPr>
                <w:noProof/>
                <w:lang w:eastAsia="en-GB"/>
              </w:rPr>
              <w:instrText xml:space="preserve"> INCLUDEPICTURE  "Y:\\STD_MGT\\STDDEL\\PRODUCTION\\Standards\\00250\\269\\41_e_dr\\7_001a1.tif" \* MERGEFORMATINET </w:instrText>
            </w:r>
            <w:r>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"Y:\\STD_MGT\\STDDEL\\PRODUCTION\\Standards\\00250\\269\\41_e_dr\\7_001a1.tif"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w:instrText>
            </w:r>
            <w:r w:rsidR="00231E33">
              <w:rPr>
                <w:noProof/>
                <w:lang w:eastAsia="en-GB"/>
              </w:rPr>
              <w:instrText>URE  "C:\\Users\\a.dionysiou\\AppData\\Local\\Temp\\Temp1_00250269_e_20210902.zip.zip\\41_e_dr\\7_001a1.tif"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305989B8">
                <v:shape id="_x0000_i1133" type="#_x0000_t75" style="width:102.75pt;height:100.5pt">
                  <v:imagedata r:id="rId236" r:href="rId237"/>
                </v:shape>
              </w:pict>
            </w:r>
            <w:r w:rsidR="00231E33">
              <w:rPr>
                <w:rFonts w:cs="Times New Roman"/>
                <w:noProof/>
                <w:lang w:eastAsia="en-GB"/>
              </w:rPr>
              <w:fldChar w:fldCharType="end"/>
            </w:r>
            <w:r w:rsidR="000250B6">
              <w:rPr>
                <w:noProof/>
                <w:lang w:eastAsia="en-GB"/>
              </w:rPr>
              <w:fldChar w:fldCharType="end"/>
            </w:r>
            <w:r>
              <w:rPr>
                <w:noProof/>
                <w:lang w:eastAsia="en-GB"/>
              </w:rPr>
              <w:fldChar w:fldCharType="end"/>
            </w:r>
            <w:r>
              <w:rPr>
                <w:noProof/>
                <w:lang w:eastAsia="en-GB"/>
              </w:rPr>
              <w:fldChar w:fldCharType="end"/>
            </w:r>
            <w:r>
              <w:rPr>
                <w:noProof/>
                <w:lang w:eastAsia="en-GB"/>
              </w:rPr>
              <w:fldChar w:fldCharType="end"/>
            </w:r>
            <w:r>
              <w:rPr>
                <w:noProof/>
                <w:lang w:eastAsia="en-GB"/>
              </w:rPr>
              <w:fldChar w:fldCharType="end"/>
            </w:r>
            <w:r>
              <w:rPr>
                <w:noProof/>
                <w:lang w:eastAsia="en-GB"/>
              </w:rPr>
              <w:fldChar w:fldCharType="end"/>
            </w:r>
          </w:p>
        </w:tc>
        <w:tc>
          <w:tcPr>
            <w:tcW w:w="3140" w:type="dxa"/>
          </w:tcPr>
          <w:p w14:paraId="73DA1D7E" w14:textId="31B1A39C" w:rsidR="006D682B" w:rsidRDefault="006D682B" w:rsidP="005B4A74">
            <w:pPr>
              <w:pStyle w:val="FigureImage"/>
              <w:rPr>
                <w:noProof/>
                <w:lang w:eastAsia="en-GB"/>
              </w:rPr>
            </w:pPr>
            <w:r>
              <w:rPr>
                <w:noProof/>
                <w:lang w:eastAsia="en-GB"/>
              </w:rPr>
              <w:fldChar w:fldCharType="begin"/>
            </w:r>
            <w:r>
              <w:rPr>
                <w:rFonts w:cs="Times New Roman"/>
                <w:noProof/>
                <w:lang w:eastAsia="en-GB"/>
              </w:rPr>
              <w:instrText xml:space="preserve"> INCLUDEPICTURE  "Y:\\STD_MGT\\STDDEL\\PRODUCTION\\etrans\\Download\\Z_FIRST_DEL\\SV\\00250\\00250269\\41_e_dr\\7_001a2.tif" \* MERGEFORMATINET </w:instrText>
            </w:r>
            <w:r>
              <w:rPr>
                <w:noProof/>
                <w:lang w:eastAsia="en-GB"/>
              </w:rPr>
              <w:fldChar w:fldCharType="separate"/>
            </w:r>
            <w:r>
              <w:rPr>
                <w:noProof/>
                <w:lang w:eastAsia="en-GB"/>
              </w:rPr>
              <w:fldChar w:fldCharType="begin"/>
            </w:r>
            <w:r>
              <w:rPr>
                <w:noProof/>
                <w:lang w:eastAsia="en-GB"/>
              </w:rPr>
              <w:instrText xml:space="preserve"> INCLUDEPICTURE  "Y:\\STD_MGT\\STDDEL\\PRODUCTION\\Standards\\00250\\269\\41_e_dr\\7_001a2.tif" \* MERGEFORMATINET </w:instrText>
            </w:r>
            <w:r>
              <w:rPr>
                <w:noProof/>
                <w:lang w:eastAsia="en-GB"/>
              </w:rPr>
              <w:fldChar w:fldCharType="separate"/>
            </w:r>
            <w:r>
              <w:rPr>
                <w:noProof/>
                <w:lang w:eastAsia="en-GB"/>
              </w:rPr>
              <w:fldChar w:fldCharType="begin"/>
            </w:r>
            <w:r>
              <w:rPr>
                <w:noProof/>
                <w:lang w:eastAsia="en-GB"/>
              </w:rPr>
              <w:instrText xml:space="preserve"> INCLUDEPICTURE  "Y:\\STD_MGT\\STDDEL\\PRODUCTION\\Standards\\00250\\269\\41_e_dr\\7_001a2.tif" \* MERGEFORMATINET </w:instrText>
            </w:r>
            <w:r>
              <w:rPr>
                <w:noProof/>
                <w:lang w:eastAsia="en-GB"/>
              </w:rPr>
              <w:fldChar w:fldCharType="separate"/>
            </w:r>
            <w:r>
              <w:rPr>
                <w:noProof/>
                <w:lang w:eastAsia="en-GB"/>
              </w:rPr>
              <w:fldChar w:fldCharType="begin"/>
            </w:r>
            <w:r>
              <w:rPr>
                <w:noProof/>
                <w:lang w:eastAsia="en-GB"/>
              </w:rPr>
              <w:instrText xml:space="preserve"> INCLUDEPICTURE  "Y:\\STD_MGT\\STDDEL\\PRODUCTION\\Standards\\00250\\269\\41_e_dr\\7_001a2.tif" \* MERGEFORMATINET </w:instrText>
            </w:r>
            <w:r>
              <w:rPr>
                <w:noProof/>
                <w:lang w:eastAsia="en-GB"/>
              </w:rPr>
              <w:fldChar w:fldCharType="separate"/>
            </w:r>
            <w:r>
              <w:rPr>
                <w:noProof/>
                <w:lang w:eastAsia="en-GB"/>
              </w:rPr>
              <w:fldChar w:fldCharType="begin"/>
            </w:r>
            <w:r>
              <w:rPr>
                <w:noProof/>
                <w:lang w:eastAsia="en-GB"/>
              </w:rPr>
              <w:instrText xml:space="preserve"> INCLUDEPICTURE  "Y:\\STD_MGT\\STDDEL\\PRODUCTION\\Standards\\00250\\269\\41_e_dr\\7_001a2.tif" \* MERGEFORMATINET </w:instrText>
            </w:r>
            <w:r>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"Y:\\STD_MGT\\STDDEL\\PRODUCTION\\Standards\\00250\\269\\41_e_dr\\7_001a2.tif"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w:instrText>
            </w:r>
            <w:r w:rsidR="00231E33">
              <w:rPr>
                <w:noProof/>
                <w:lang w:eastAsia="en-GB"/>
              </w:rPr>
              <w:instrText>\\Local\\Temp\\Temp1_00250269_e_20210902.zip.zip\\41_e_dr\\7_001a2.tif"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3DE267B7">
                <v:shape id="_x0000_i1134" type="#_x0000_t75" style="width:125.25pt;height:105.75pt">
                  <v:imagedata r:id="rId238" r:href="rId239"/>
                </v:shape>
              </w:pict>
            </w:r>
            <w:r w:rsidR="00231E33">
              <w:rPr>
                <w:rFonts w:cs="Times New Roman"/>
                <w:noProof/>
                <w:lang w:eastAsia="en-GB"/>
              </w:rPr>
              <w:fldChar w:fldCharType="end"/>
            </w:r>
            <w:r w:rsidR="000250B6">
              <w:rPr>
                <w:noProof/>
                <w:lang w:eastAsia="en-GB"/>
              </w:rPr>
              <w:fldChar w:fldCharType="end"/>
            </w:r>
            <w:r>
              <w:rPr>
                <w:noProof/>
                <w:lang w:eastAsia="en-GB"/>
              </w:rPr>
              <w:fldChar w:fldCharType="end"/>
            </w:r>
            <w:r>
              <w:rPr>
                <w:noProof/>
                <w:lang w:eastAsia="en-GB"/>
              </w:rPr>
              <w:fldChar w:fldCharType="end"/>
            </w:r>
            <w:r>
              <w:rPr>
                <w:noProof/>
                <w:lang w:eastAsia="en-GB"/>
              </w:rPr>
              <w:fldChar w:fldCharType="end"/>
            </w:r>
            <w:r>
              <w:rPr>
                <w:noProof/>
                <w:lang w:eastAsia="en-GB"/>
              </w:rPr>
              <w:fldChar w:fldCharType="end"/>
            </w:r>
            <w:r>
              <w:rPr>
                <w:noProof/>
                <w:lang w:eastAsia="en-GB"/>
              </w:rPr>
              <w:fldChar w:fldCharType="end"/>
            </w:r>
          </w:p>
        </w:tc>
        <w:tc>
          <w:tcPr>
            <w:tcW w:w="3362" w:type="dxa"/>
          </w:tcPr>
          <w:p w14:paraId="11AA51BA" w14:textId="599B824B" w:rsidR="006D682B" w:rsidRDefault="006D682B" w:rsidP="005B4A74">
            <w:pPr>
              <w:pStyle w:val="FigureImage"/>
              <w:rPr>
                <w:noProof/>
                <w:lang w:eastAsia="en-GB"/>
              </w:rPr>
            </w:pPr>
          </w:p>
        </w:tc>
      </w:tr>
      <w:tr w:rsidR="006D682B" w:rsidRPr="001455DC" w14:paraId="220EBEBD" w14:textId="77777777" w:rsidTr="006D682B">
        <w:trPr>
          <w:cantSplit/>
          <w:jc w:val="center"/>
        </w:trPr>
        <w:tc>
          <w:tcPr>
            <w:tcW w:w="3250" w:type="dxa"/>
          </w:tcPr>
          <w:p w14:paraId="7878A020" w14:textId="30A062C1" w:rsidR="006D682B" w:rsidRDefault="006D682B" w:rsidP="005B4A74">
            <w:pPr>
              <w:pStyle w:val="FigureImage"/>
              <w:rPr>
                <w:noProof/>
                <w:lang w:eastAsia="en-GB"/>
              </w:rPr>
            </w:pPr>
            <w:r w:rsidRPr="009D3012">
              <w:t>a1) unbraced</w:t>
            </w:r>
          </w:p>
        </w:tc>
        <w:tc>
          <w:tcPr>
            <w:tcW w:w="3140" w:type="dxa"/>
          </w:tcPr>
          <w:p w14:paraId="46A3E742" w14:textId="73B7820A" w:rsidR="006D682B" w:rsidRDefault="006D682B" w:rsidP="005B4A74">
            <w:pPr>
              <w:pStyle w:val="FigureImage"/>
              <w:rPr>
                <w:noProof/>
                <w:lang w:eastAsia="en-GB"/>
              </w:rPr>
            </w:pPr>
            <w:r w:rsidRPr="009D3012">
              <w:t>a2) braced</w:t>
            </w:r>
          </w:p>
        </w:tc>
        <w:tc>
          <w:tcPr>
            <w:tcW w:w="3362" w:type="dxa"/>
          </w:tcPr>
          <w:p w14:paraId="18EB9DBB" w14:textId="77041C1D" w:rsidR="006D682B" w:rsidRDefault="006D682B" w:rsidP="005B4A74">
            <w:pPr>
              <w:pStyle w:val="FigureImage"/>
              <w:rPr>
                <w:noProof/>
                <w:lang w:eastAsia="en-GB"/>
              </w:rPr>
            </w:pPr>
          </w:p>
        </w:tc>
      </w:tr>
      <w:tr w:rsidR="006D682B" w:rsidRPr="001455DC" w14:paraId="4D4031B8" w14:textId="77777777" w:rsidTr="006D682B">
        <w:trPr>
          <w:cantSplit/>
          <w:jc w:val="center"/>
        </w:trPr>
        <w:tc>
          <w:tcPr>
            <w:tcW w:w="9752" w:type="dxa"/>
            <w:gridSpan w:val="3"/>
          </w:tcPr>
          <w:p w14:paraId="369D57DB" w14:textId="12A7197F" w:rsidR="006D682B" w:rsidRPr="00036609" w:rsidRDefault="006D682B" w:rsidP="006D682B">
            <w:pPr>
              <w:pStyle w:val="FigureText"/>
              <w:jc w:val="center"/>
              <w:rPr>
                <w:rFonts w:eastAsia="Calibri" w:cs="Times New Roman"/>
              </w:rPr>
            </w:pPr>
            <w:r w:rsidRPr="00036609">
              <w:t>a) Isolated members with eccentric axial force or lateral force</w:t>
            </w:r>
          </w:p>
        </w:tc>
      </w:tr>
      <w:tr w:rsidR="005B4A74" w:rsidRPr="001455DC" w14:paraId="70EB36BA" w14:textId="77777777" w:rsidTr="006D682B">
        <w:trPr>
          <w:cantSplit/>
          <w:jc w:val="center"/>
        </w:trPr>
        <w:tc>
          <w:tcPr>
            <w:tcW w:w="3250" w:type="dxa"/>
          </w:tcPr>
          <w:p w14:paraId="68C19D19" w14:textId="5AB706A8" w:rsidR="005B4A74" w:rsidRPr="001455DC" w:rsidRDefault="00723CF7" w:rsidP="005B4A74">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"Y:\\STD_MGT\\STDDEL\\PRODUCTION\\etrans\\Download\\Z_FIRST_DEL\\SV\\00250\\00250269\\41_e_dr\\7_001b.tif"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"Y:\\STD_MGT\\STDDEL\\PRODUCTION\\Standards\\00250\\269\\41_e_dr\\7_001b.tif"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"Y:\\STD_MGT\\STDDEL\\PRODUCTION\\Standards\\00250\\269\\41_e_dr\\7_001b.tif"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"Y:\\STD_MGT\\STDDEL\\PRODUCTION\\Standards\\00250\\269\\41_e_dr\\7_001b.tif"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"Y:\\STD_MGT\\STDDEL\\PRODUCTION\\Standards\\00250\\269\\41_e_dr\\7_001b.tif"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"Y:\\STD_MGT\\STDDEL\\PRODUCTION\\Standards\\00250\\269\\41_e_dr\\7_001b.tif"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w:instrText>
            </w:r>
            <w:r w:rsidR="00231E33">
              <w:rPr>
                <w:noProof/>
                <w:lang w:eastAsia="en-GB"/>
              </w:rPr>
              <w:instrText>l\\Temp\\Temp1_00250269_e_20210902.zip.zip\\41_e_dr\\7_001b.tif"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293B66E7">
                <v:shape id="_x0000_i1135" type="#_x0000_t75" style="width:102.75pt;height:85.5pt">
                  <v:imagedata r:id="rId240" r:href="rId241"/>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3140" w:type="dxa"/>
          </w:tcPr>
          <w:p w14:paraId="66B4B985" w14:textId="7453EF05" w:rsidR="005B4A74" w:rsidRPr="001455DC" w:rsidRDefault="00723CF7" w:rsidP="005B4A74">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"Y:\\STD_MGT\\STDDEL\\PRODUCTION\\etrans\\Download\\Z_FIRST_DEL\\SV\\00250\\00250269\\41_e_dr\\7_001c1.tif"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"Y:\\STD_MGT\\STDDEL\\PRODUCTION\\Standards\\00250\\269\\41_e_dr\\7_001c1.tif"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"Y:\\STD_MGT\\STDDEL\\PRODUCTION\\Standards\\00250\\269\\41_e_dr\\7_001c1.tif"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"Y:\\STD_MGT\\STDDEL\\PRODUCTION\\Standards\\00250\\269\\41_e_dr\\7_001c1.tif"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"Y:\\STD_MGT\\STDDEL\\PRODUCTION\\Standards\\00250\\269\\41_e_dr\\7_001c1.tif"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"Y:\\STD_MGT\\STDDEL\\PRODUCTION\\Standards\\00250\\269\\41_e_dr\\7_001c1.tif"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w:instrText>
            </w:r>
            <w:r w:rsidR="00231E33">
              <w:rPr>
                <w:noProof/>
                <w:lang w:eastAsia="en-GB"/>
              </w:rPr>
              <w:instrText>\\Local\\Temp\\Temp1_00250269_e_20210902.zip.zip\\41_e_dr\\7_001c1.tif"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66E7714D">
                <v:shape id="_x0000_i1136" type="#_x0000_t75" style="width:79.5pt;height:95.25pt">
                  <v:imagedata r:id="rId242" r:href="rId243"/>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3362" w:type="dxa"/>
          </w:tcPr>
          <w:p w14:paraId="3E3E23AB" w14:textId="1664C9E5" w:rsidR="005B4A74" w:rsidRPr="001455DC" w:rsidRDefault="00723CF7" w:rsidP="005B4A74">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"Y:\\STD_MGT\\STDDEL\\PRODUCTION\\etrans\\Download\\Z_FIRST_DEL\\SV\\00250\\00250269\\41_e_dr\\7_001c2.tif"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"Y:\\STD_MGT\\STDDEL\\PRODUCTION\\Standards\\00250\\269\\41_e_dr\\7_001c2.tif"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"Y:\\STD_MGT\\STDDEL\\PRODUCTION\\Standards\\00250\\269\\41_e_dr\\7_001c2.tif"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"Y:\\STD_MGT\\STDDEL\\PRODUCTION\\Standards\\00250\\269\\41_e_dr\\7_001c2.tif"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"Y:\\STD_MGT\\STDDEL\\PRODUCTION\\Standards\\00250\\269\\41_e_dr\\7_001c2.tif"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"Y:\\STD_MGT\\STDDEL\\PRODUCTION\\Standards\\00250\\269\\41_e_dr\\7_001c2.tif"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"C:\\Users\\a.dionysiou\\AppData\\Local\\Temp\\Temp1_00250269_e_20210902.zip.zip\\41_e_dr\\7_001c2.tif"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57F27874">
                <v:shape id="_x0000_i1137" type="#_x0000_t75" style="width:71.25pt;height:74.25pt">
                  <v:imagedata r:id="rId244" r:href="rId245"/>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4E22C1" w:rsidRPr="000C3015" w14:paraId="1E905B10" w14:textId="77777777" w:rsidTr="006D682B">
        <w:trPr>
          <w:cantSplit/>
          <w:jc w:val="center"/>
        </w:trPr>
        <w:tc>
          <w:tcPr>
            <w:tcW w:w="3250" w:type="dxa"/>
            <w:vAlign w:val="center"/>
          </w:tcPr>
          <w:p w14:paraId="6A73F53F" w14:textId="472938AF" w:rsidR="004E22C1" w:rsidRPr="009D3012" w:rsidRDefault="004E22C1" w:rsidP="005B4A74">
            <w:pPr>
              <w:pStyle w:val="Tablebody"/>
              <w:jc w:val="center"/>
            </w:pPr>
            <w:r w:rsidRPr="009D3012">
              <w:t>b) Bracing system</w:t>
            </w:r>
          </w:p>
          <w:p w14:paraId="7D945384" w14:textId="12662544" w:rsidR="004E22C1" w:rsidRPr="009D3012" w:rsidRDefault="004E22C1">
            <w:pPr>
              <w:pStyle w:val="Tablebody"/>
              <w:jc w:val="center"/>
            </w:pPr>
            <w:r w:rsidRPr="000C3015">
              <w:t>(</w:t>
            </w:r>
            <w:r w:rsidR="00711AAE" w:rsidRPr="009D3012">
              <w:rPr>
                <w:i/>
              </w:rPr>
              <w:t>m</w:t>
            </w:r>
            <w:r w:rsidR="00711AAE">
              <w:rPr>
                <w:rStyle w:val="CCMCvariablesubscript"/>
              </w:rPr>
              <w:t>1</w:t>
            </w:r>
            <w:r w:rsidRPr="000C3015">
              <w:t> </w:t>
            </w:r>
            <w:r w:rsidR="00EC27D2" w:rsidRPr="000C3015">
              <w:rPr>
                <w:rFonts w:ascii="Cambria Math" w:hAnsi="Cambria Math"/>
              </w:rPr>
              <w:t>=</w:t>
            </w:r>
            <w:r w:rsidRPr="000C3015">
              <w:t> 3 i.e.</w:t>
            </w:r>
            <w:r w:rsidRPr="009D3012">
              <w:t xml:space="preserve"> </w:t>
            </w:r>
            <w:r w:rsidRPr="000C3015">
              <w:t>2 columns plus 1 bracing wall)</w:t>
            </w:r>
          </w:p>
        </w:tc>
        <w:tc>
          <w:tcPr>
            <w:tcW w:w="3140" w:type="dxa"/>
            <w:vAlign w:val="center"/>
          </w:tcPr>
          <w:p w14:paraId="3E54E2CB" w14:textId="73B05746" w:rsidR="004E22C1" w:rsidRPr="009D3012" w:rsidRDefault="004E22C1">
            <w:pPr>
              <w:pStyle w:val="Tablebody"/>
              <w:jc w:val="center"/>
            </w:pPr>
            <w:r w:rsidRPr="009D3012">
              <w:t xml:space="preserve">c1) Intermediate diaphragm </w:t>
            </w:r>
            <w:r w:rsidRPr="000C3015">
              <w:t>(</w:t>
            </w:r>
            <w:r w:rsidR="00711AAE" w:rsidRPr="009D3012">
              <w:rPr>
                <w:i/>
              </w:rPr>
              <w:t>m</w:t>
            </w:r>
            <w:r w:rsidR="00711AAE">
              <w:rPr>
                <w:rStyle w:val="CCMCvariablesubscript"/>
              </w:rPr>
              <w:t>2</w:t>
            </w:r>
            <w:r w:rsidRPr="000C3015">
              <w:t> </w:t>
            </w:r>
            <w:r w:rsidR="00EC27D2" w:rsidRPr="000C3015">
              <w:rPr>
                <w:rFonts w:ascii="Cambria Math" w:hAnsi="Cambria Math"/>
              </w:rPr>
              <w:t>=</w:t>
            </w:r>
            <w:r w:rsidRPr="000C3015">
              <w:t xml:space="preserve"> number of columns in section; </w:t>
            </w:r>
            <w:r w:rsidRPr="000C3015">
              <w:rPr>
                <w:rStyle w:val="CCMCvariableitalic"/>
              </w:rPr>
              <w:t>l</w:t>
            </w:r>
            <w:r w:rsidRPr="000C3015">
              <w:t> </w:t>
            </w:r>
            <w:r w:rsidR="00EC27D2" w:rsidRPr="000C3015">
              <w:rPr>
                <w:rFonts w:ascii="Cambria Math" w:hAnsi="Cambria Math"/>
              </w:rPr>
              <w:t>=</w:t>
            </w:r>
            <w:r w:rsidRPr="000C3015">
              <w:t> height between diaphragms)</w:t>
            </w:r>
          </w:p>
        </w:tc>
        <w:tc>
          <w:tcPr>
            <w:tcW w:w="3362" w:type="dxa"/>
            <w:vAlign w:val="center"/>
          </w:tcPr>
          <w:p w14:paraId="598D58B1" w14:textId="5D2FF914" w:rsidR="004E22C1" w:rsidRPr="009D3012" w:rsidRDefault="004E22C1">
            <w:pPr>
              <w:pStyle w:val="Tablebody"/>
              <w:jc w:val="center"/>
            </w:pPr>
            <w:r w:rsidRPr="009D3012">
              <w:t xml:space="preserve">c2) </w:t>
            </w:r>
            <w:r w:rsidR="00403E41" w:rsidRPr="009D3012">
              <w:t xml:space="preserve">Top </w:t>
            </w:r>
            <w:r w:rsidRPr="009D3012">
              <w:t xml:space="preserve">diaphragm </w:t>
            </w:r>
            <w:r w:rsidRPr="000C3015">
              <w:t>(</w:t>
            </w:r>
            <w:r w:rsidR="00711AAE" w:rsidRPr="00021100">
              <w:rPr>
                <w:i/>
              </w:rPr>
              <w:t>m</w:t>
            </w:r>
            <w:r w:rsidR="00711AAE">
              <w:rPr>
                <w:rStyle w:val="CCMCvariablesubscript"/>
              </w:rPr>
              <w:t>2</w:t>
            </w:r>
            <w:r w:rsidR="00711AAE" w:rsidRPr="00021100">
              <w:t> </w:t>
            </w:r>
            <w:r w:rsidRPr="000C3015">
              <w:t> </w:t>
            </w:r>
            <w:r w:rsidR="00EC27D2" w:rsidRPr="000C3015">
              <w:rPr>
                <w:rFonts w:ascii="Cambria Math" w:hAnsi="Cambria Math"/>
              </w:rPr>
              <w:t>=</w:t>
            </w:r>
            <w:r w:rsidRPr="000C3015">
              <w:t xml:space="preserve"> number of columns in section; </w:t>
            </w:r>
            <w:r w:rsidRPr="000C3015">
              <w:rPr>
                <w:rStyle w:val="CCMCvariableitalic"/>
              </w:rPr>
              <w:t>l</w:t>
            </w:r>
            <w:r w:rsidRPr="000C3015">
              <w:t> </w:t>
            </w:r>
            <w:r w:rsidR="00EC27D2" w:rsidRPr="000C3015">
              <w:rPr>
                <w:rFonts w:ascii="Cambria Math" w:hAnsi="Cambria Math"/>
              </w:rPr>
              <w:t>=</w:t>
            </w:r>
            <w:r w:rsidRPr="000C3015">
              <w:t> height between diaphragms)</w:t>
            </w:r>
          </w:p>
        </w:tc>
      </w:tr>
    </w:tbl>
    <w:p w14:paraId="5ECB11CD" w14:textId="1B80E839" w:rsidR="000C0670" w:rsidRPr="009D3012" w:rsidRDefault="00711AAE" w:rsidP="000C0670">
      <w:pPr>
        <w:pStyle w:val="KeyText"/>
        <w:rPr>
          <w:i/>
        </w:rPr>
      </w:pPr>
      <w:r w:rsidRPr="00711AAE">
        <w:rPr>
          <w:b/>
        </w:rPr>
        <w:t>Key</w:t>
      </w:r>
    </w:p>
    <w:tbl>
      <w:tblPr>
        <w:tblW w:w="0" w:type="auto"/>
        <w:tblInd w:w="-100" w:type="dxa"/>
        <w:tblCellMar>
          <w:left w:w="100" w:type="dxa"/>
        </w:tblCellMar>
        <w:tblLook w:val="0000" w:firstRow="0" w:lastRow="0" w:firstColumn="0" w:lastColumn="0" w:noHBand="0" w:noVBand="0"/>
      </w:tblPr>
      <w:tblGrid>
        <w:gridCol w:w="440"/>
        <w:gridCol w:w="3174"/>
      </w:tblGrid>
      <w:tr w:rsidR="000C0670" w:rsidRPr="000C0670" w14:paraId="2AC215D5" w14:textId="77777777" w:rsidTr="000C0670">
        <w:tc>
          <w:tcPr>
            <w:tcW w:w="0" w:type="auto"/>
            <w:shd w:val="clear" w:color="auto" w:fill="auto"/>
          </w:tcPr>
          <w:p w14:paraId="311454B7" w14:textId="77777777" w:rsidR="000C0670" w:rsidRPr="000C0670" w:rsidRDefault="000C0670" w:rsidP="00A46F70">
            <w:pPr>
              <w:pStyle w:val="KeyText"/>
              <w:tabs>
                <w:tab w:val="clear" w:pos="346"/>
              </w:tabs>
              <w:ind w:left="0" w:firstLine="0"/>
              <w:rPr>
                <w:rStyle w:val="CCMCvariablesubscript"/>
              </w:rPr>
            </w:pPr>
            <w:r w:rsidRPr="000C0670">
              <w:rPr>
                <w:i/>
              </w:rPr>
              <w:t>m</w:t>
            </w:r>
            <w:r w:rsidRPr="000C0670">
              <w:rPr>
                <w:rStyle w:val="CCMCvariablesubscript"/>
              </w:rPr>
              <w:t>1</w:t>
            </w:r>
          </w:p>
        </w:tc>
        <w:tc>
          <w:tcPr>
            <w:tcW w:w="0" w:type="auto"/>
            <w:shd w:val="clear" w:color="auto" w:fill="auto"/>
          </w:tcPr>
          <w:p w14:paraId="7402CEBD" w14:textId="77777777" w:rsidR="000C0670" w:rsidRPr="000C0670" w:rsidRDefault="000C0670" w:rsidP="00A46F70">
            <w:pPr>
              <w:pStyle w:val="KeyText"/>
              <w:tabs>
                <w:tab w:val="clear" w:pos="346"/>
              </w:tabs>
              <w:ind w:left="0" w:firstLine="0"/>
            </w:pPr>
            <w:r w:rsidRPr="000C0670">
              <w:t>3 i.e. 2 columns plus 1 bracing wall</w:t>
            </w:r>
          </w:p>
        </w:tc>
      </w:tr>
      <w:tr w:rsidR="000C0670" w:rsidRPr="000C0670" w14:paraId="0E9A864F" w14:textId="77777777" w:rsidTr="000C0670">
        <w:tc>
          <w:tcPr>
            <w:tcW w:w="0" w:type="auto"/>
            <w:shd w:val="clear" w:color="auto" w:fill="auto"/>
          </w:tcPr>
          <w:p w14:paraId="72CC58E1" w14:textId="77777777" w:rsidR="000C0670" w:rsidRPr="000C0670" w:rsidRDefault="000C0670" w:rsidP="00A46F70">
            <w:pPr>
              <w:pStyle w:val="KeyText"/>
              <w:tabs>
                <w:tab w:val="clear" w:pos="346"/>
              </w:tabs>
              <w:ind w:left="0" w:firstLine="0"/>
              <w:rPr>
                <w:rStyle w:val="CCMCvariablesubscript"/>
              </w:rPr>
            </w:pPr>
            <w:r w:rsidRPr="000C0670">
              <w:rPr>
                <w:i/>
              </w:rPr>
              <w:t>m</w:t>
            </w:r>
            <w:r w:rsidRPr="000C0670">
              <w:rPr>
                <w:rStyle w:val="CCMCvariablesubscript"/>
              </w:rPr>
              <w:t>2</w:t>
            </w:r>
          </w:p>
        </w:tc>
        <w:tc>
          <w:tcPr>
            <w:tcW w:w="0" w:type="auto"/>
            <w:shd w:val="clear" w:color="auto" w:fill="auto"/>
          </w:tcPr>
          <w:p w14:paraId="247A9B0A" w14:textId="77777777" w:rsidR="000C0670" w:rsidRPr="000C0670" w:rsidRDefault="000C0670" w:rsidP="00A46F70">
            <w:pPr>
              <w:pStyle w:val="KeyText"/>
              <w:tabs>
                <w:tab w:val="clear" w:pos="346"/>
              </w:tabs>
              <w:ind w:left="0" w:firstLine="0"/>
            </w:pPr>
            <w:r w:rsidRPr="000C0670">
              <w:t>number of columns in section</w:t>
            </w:r>
          </w:p>
        </w:tc>
      </w:tr>
      <w:tr w:rsidR="000C0670" w:rsidRPr="009D3012" w14:paraId="1A9D3181" w14:textId="77777777" w:rsidTr="000C0670">
        <w:tc>
          <w:tcPr>
            <w:tcW w:w="0" w:type="auto"/>
            <w:shd w:val="clear" w:color="auto" w:fill="auto"/>
          </w:tcPr>
          <w:p w14:paraId="591F369A" w14:textId="77777777" w:rsidR="000C0670" w:rsidRPr="000C0670" w:rsidRDefault="000C0670" w:rsidP="00A46F70">
            <w:pPr>
              <w:pStyle w:val="KeyText"/>
              <w:tabs>
                <w:tab w:val="clear" w:pos="346"/>
              </w:tabs>
              <w:ind w:left="0" w:firstLine="0"/>
            </w:pPr>
            <w:r w:rsidRPr="000C0670">
              <w:rPr>
                <w:rStyle w:val="CCMCvariableitalic"/>
              </w:rPr>
              <w:t>l</w:t>
            </w:r>
            <w:r w:rsidRPr="000C0670">
              <w:t> </w:t>
            </w:r>
          </w:p>
        </w:tc>
        <w:tc>
          <w:tcPr>
            <w:tcW w:w="0" w:type="auto"/>
            <w:shd w:val="clear" w:color="auto" w:fill="auto"/>
          </w:tcPr>
          <w:p w14:paraId="1D7E8ABD" w14:textId="77777777" w:rsidR="000C0670" w:rsidRPr="009D3012" w:rsidRDefault="000C0670" w:rsidP="00A46F70">
            <w:pPr>
              <w:pStyle w:val="KeyText"/>
              <w:tabs>
                <w:tab w:val="clear" w:pos="346"/>
              </w:tabs>
              <w:ind w:left="0" w:firstLine="0"/>
            </w:pPr>
            <w:r w:rsidRPr="000C0670">
              <w:t xml:space="preserve">height between diaphragms </w:t>
            </w:r>
          </w:p>
        </w:tc>
      </w:tr>
    </w:tbl>
    <w:p w14:paraId="337806ED" w14:textId="3CA21535" w:rsidR="00711AAE" w:rsidRPr="009D3012" w:rsidRDefault="00711AAE" w:rsidP="000C0670">
      <w:pPr>
        <w:pStyle w:val="KeyText"/>
      </w:pPr>
    </w:p>
    <w:p w14:paraId="59E1665B" w14:textId="0D6AFD5A" w:rsidR="005B4A74" w:rsidRPr="001455DC" w:rsidRDefault="005B4A74" w:rsidP="005B4A74">
      <w:pPr>
        <w:pStyle w:val="Figuretitle"/>
      </w:pPr>
      <w:r w:rsidRPr="001455DC">
        <w:t>Figure 7.1 — Examples of the effect of geometric imperfections</w:t>
      </w:r>
    </w:p>
    <w:p w14:paraId="20A38F7B" w14:textId="7B348A60" w:rsidR="004E22C1" w:rsidRPr="001455DC" w:rsidRDefault="004E22C1" w:rsidP="005B4A74">
      <w:pPr>
        <w:pStyle w:val="a7"/>
      </w:pPr>
      <w:r w:rsidRPr="001455DC">
        <w:rPr>
          <w:rFonts w:eastAsiaTheme="minorHAnsi"/>
        </w:rPr>
        <w:t>(6)</w:t>
      </w:r>
      <w:r w:rsidRPr="001455DC">
        <w:rPr>
          <w:rFonts w:eastAsiaTheme="minorHAnsi"/>
        </w:rPr>
        <w:tab/>
      </w:r>
      <w:r w:rsidRPr="001455DC">
        <w:t xml:space="preserve">For structures, the effect of the inclination </w:t>
      </w:r>
      <w:r w:rsidRPr="001455DC">
        <w:rPr>
          <w:rStyle w:val="CCMCvariableitalic"/>
        </w:rPr>
        <w:t>θ</w:t>
      </w:r>
      <w:r w:rsidRPr="001455DC">
        <w:rPr>
          <w:rStyle w:val="CCMCvariablesubscript"/>
        </w:rPr>
        <w:t>i</w:t>
      </w:r>
      <w:r w:rsidRPr="001455DC">
        <w:t xml:space="preserve"> may be represented by the fictitious transverse forces, indicated in Formulae (7.</w:t>
      </w:r>
      <w:r w:rsidR="00403E41" w:rsidRPr="001455DC">
        <w:t>7</w:t>
      </w:r>
      <w:r w:rsidRPr="001455DC">
        <w:t>), (7.</w:t>
      </w:r>
      <w:r w:rsidR="00403E41" w:rsidRPr="001455DC">
        <w:t>8</w:t>
      </w:r>
      <w:r w:rsidRPr="001455DC">
        <w:t>) and (7.</w:t>
      </w:r>
      <w:r w:rsidR="00403E41" w:rsidRPr="001455DC">
        <w:t>9</w:t>
      </w:r>
      <w:r w:rsidRPr="001455DC">
        <w:t>), to be included in the analysis together with other actions. Equal and opposite forces should be applied at the level of foundations so that no reactions are transmitted to the foundations due to these fictitious forces.</w:t>
      </w:r>
    </w:p>
    <w:p w14:paraId="68483D82" w14:textId="77777777" w:rsidR="005B4A74" w:rsidRPr="001455DC" w:rsidRDefault="004E22C1" w:rsidP="005B4A74">
      <w:pPr>
        <w:pStyle w:val="a7"/>
        <w:keepNext/>
      </w:pPr>
      <w:r w:rsidRPr="001455DC">
        <w:t>Effect on bracing system (see Figure 7.1 b)):</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5B4A74" w:rsidRPr="001455DC" w14:paraId="271A3B97" w14:textId="77777777" w:rsidTr="00C603BE">
        <w:trPr>
          <w:cantSplit/>
        </w:trPr>
        <w:tc>
          <w:tcPr>
            <w:tcW w:w="8505" w:type="dxa"/>
            <w:vAlign w:val="center"/>
          </w:tcPr>
          <w:p w14:paraId="366C88C8" w14:textId="4D4547AA" w:rsidR="005B4A74" w:rsidRPr="001455DC" w:rsidRDefault="00231E33" w:rsidP="00C603BE">
            <w:pPr>
              <w:pStyle w:val="Formula"/>
              <w:jc w:val="left"/>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H,i</m:t>
                    </m:r>
                  </m:sub>
                </m:sSub>
                <m:r>
                  <w:rPr>
                    <w:rFonts w:ascii="Cambria Math" w:hAnsi="Cambria Math"/>
                  </w:rPr>
                  <m:t>=</m:t>
                </m:r>
                <m:sSub>
                  <m:sSubPr>
                    <m:ctrlPr>
                      <w:rPr>
                        <w:rFonts w:ascii="Cambria Math" w:hAnsi="Cambria Math"/>
                      </w:rPr>
                    </m:ctrlPr>
                  </m:sSubPr>
                  <m:e>
                    <m:r>
                      <w:rPr>
                        <w:rFonts w:ascii="Cambria Math" w:hAnsi="Cambria Math"/>
                      </w:rPr>
                      <m:t>θ</m:t>
                    </m:r>
                  </m:e>
                  <m:sub>
                    <m:r>
                      <m:rPr>
                        <m:sty m:val="p"/>
                      </m:rPr>
                      <w:rPr>
                        <w:rFonts w:ascii="Cambria Math" w:hAnsi="Cambria Math"/>
                      </w:rPr>
                      <m:t>i</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N</m:t>
                        </m:r>
                      </m:e>
                      <m:sub>
                        <m:r>
                          <m:rPr>
                            <m:sty m:val="p"/>
                          </m:rPr>
                          <w:rPr>
                            <w:rFonts w:ascii="Cambria Math" w:hAnsi="Cambria Math"/>
                          </w:rPr>
                          <m:t>b</m:t>
                        </m:r>
                      </m:sub>
                    </m:sSub>
                    <m: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a</m:t>
                        </m:r>
                      </m:sub>
                    </m:sSub>
                  </m:e>
                </m:d>
              </m:oMath>
            </m:oMathPara>
          </w:p>
        </w:tc>
        <w:tc>
          <w:tcPr>
            <w:tcW w:w="1247" w:type="dxa"/>
            <w:vAlign w:val="center"/>
          </w:tcPr>
          <w:p w14:paraId="7CC8315A" w14:textId="29AD6CCD" w:rsidR="005B4A74" w:rsidRPr="001455DC" w:rsidRDefault="005B4A74">
            <w:pPr>
              <w:pStyle w:val="a7"/>
              <w:jc w:val="right"/>
            </w:pPr>
            <w:r w:rsidRPr="001455DC">
              <w:t>(7.</w:t>
            </w:r>
            <w:r w:rsidR="00403E41" w:rsidRPr="001455DC">
              <w:t>7</w:t>
            </w:r>
            <w:r w:rsidRPr="001455DC">
              <w:t>)</w:t>
            </w:r>
          </w:p>
        </w:tc>
      </w:tr>
    </w:tbl>
    <w:p w14:paraId="2DF6E4CC" w14:textId="7D33CBE9" w:rsidR="004E22C1" w:rsidRPr="001455DC" w:rsidRDefault="004E22C1" w:rsidP="005B4A74">
      <w:pPr>
        <w:pStyle w:val="a7"/>
        <w:rPr>
          <w:szCs w:val="22"/>
        </w:rPr>
      </w:pPr>
      <w:r w:rsidRPr="001455DC">
        <w:t>The overall effect of geometrical imperfections may be addressed by designing the structure to take account of equivalent horizontal loads acting at the centroid of the individual intermediate diaphragms. In this case, the load is determined according to Formula (7.</w:t>
      </w:r>
      <w:r w:rsidR="00403E41" w:rsidRPr="001455DC">
        <w:t>7</w:t>
      </w:r>
      <w:r w:rsidRPr="001455DC">
        <w:t>) by replacing (</w:t>
      </w:r>
      <w:r w:rsidRPr="001455DC">
        <w:rPr>
          <w:rStyle w:val="CCMCvariableitalic"/>
        </w:rPr>
        <w:t>N</w:t>
      </w:r>
      <w:r w:rsidRPr="001455DC">
        <w:rPr>
          <w:rStyle w:val="CCMCvariablesubscript"/>
        </w:rPr>
        <w:t>b</w:t>
      </w:r>
      <w:r w:rsidRPr="001455DC">
        <w:t> </w:t>
      </w:r>
      <w:r w:rsidR="00EC27D2" w:rsidRPr="001455DC">
        <w:rPr>
          <w:rFonts w:ascii="Cambria Math" w:hAnsi="Cambria Math"/>
        </w:rPr>
        <w:t>−</w:t>
      </w:r>
      <w:r w:rsidRPr="001455DC">
        <w:t> </w:t>
      </w:r>
      <w:r w:rsidRPr="001455DC">
        <w:rPr>
          <w:rStyle w:val="CCMCvariableitalic"/>
        </w:rPr>
        <w:t>N</w:t>
      </w:r>
      <w:r w:rsidRPr="001455DC">
        <w:rPr>
          <w:rStyle w:val="CCMCvariablesubscript"/>
        </w:rPr>
        <w:t>a</w:t>
      </w:r>
      <w:r w:rsidRPr="001455DC">
        <w:t>) with the total vertical load acting on the actual intermediate diaphragm.</w:t>
      </w:r>
    </w:p>
    <w:p w14:paraId="3A314EEE" w14:textId="2624E2BF" w:rsidR="005B4A74" w:rsidRPr="001455DC" w:rsidRDefault="004E22C1" w:rsidP="005B4A74">
      <w:pPr>
        <w:pStyle w:val="a7"/>
        <w:keepNext/>
      </w:pPr>
      <w:r w:rsidRPr="001455DC">
        <w:t xml:space="preserve">Effect on </w:t>
      </w:r>
      <w:r w:rsidRPr="001455DC">
        <w:rPr>
          <w:szCs w:val="19"/>
        </w:rPr>
        <w:t>intermediate</w:t>
      </w:r>
      <w:r w:rsidRPr="001455DC">
        <w:t xml:space="preserve"> diaphragm (see Figure 7.1</w:t>
      </w:r>
      <w:r w:rsidR="00403E41" w:rsidRPr="001455DC">
        <w:t>,</w:t>
      </w:r>
      <w:r w:rsidRPr="001455DC">
        <w:t xml:space="preserve"> c1)):</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5B4A74" w:rsidRPr="001455DC" w14:paraId="0DD5DF03" w14:textId="77777777" w:rsidTr="00C603BE">
        <w:trPr>
          <w:cantSplit/>
        </w:trPr>
        <w:tc>
          <w:tcPr>
            <w:tcW w:w="8505" w:type="dxa"/>
            <w:vAlign w:val="center"/>
          </w:tcPr>
          <w:p w14:paraId="10ADC805" w14:textId="39E56704" w:rsidR="005B4A74" w:rsidRPr="001455DC" w:rsidRDefault="00231E33" w:rsidP="00C603BE">
            <w:pPr>
              <w:pStyle w:val="Formula"/>
              <w:jc w:val="left"/>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H,i</m:t>
                    </m:r>
                  </m:sub>
                </m:sSub>
                <m:r>
                  <w:rPr>
                    <w:rFonts w:ascii="Cambria Math" w:hAnsi="Cambria Math"/>
                  </w:rPr>
                  <m:t>=</m:t>
                </m:r>
                <m:sSub>
                  <m:sSubPr>
                    <m:ctrlPr>
                      <w:rPr>
                        <w:rFonts w:ascii="Cambria Math" w:hAnsi="Cambria Math"/>
                      </w:rPr>
                    </m:ctrlPr>
                  </m:sSubPr>
                  <m:e>
                    <m:r>
                      <w:rPr>
                        <w:rFonts w:ascii="Cambria Math" w:hAnsi="Cambria Math"/>
                      </w:rPr>
                      <m:t>θ</m:t>
                    </m:r>
                  </m:e>
                  <m:sub>
                    <m:r>
                      <m:rPr>
                        <m:sty m:val="p"/>
                      </m:rPr>
                      <w:rPr>
                        <w:rFonts w:ascii="Cambria Math" w:hAnsi="Cambria Math"/>
                      </w:rPr>
                      <m:t>i</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N</m:t>
                        </m:r>
                      </m:e>
                      <m:sub>
                        <m:r>
                          <m:rPr>
                            <m:sty m:val="p"/>
                          </m:rPr>
                          <w:rPr>
                            <w:rFonts w:ascii="Cambria Math" w:hAnsi="Cambria Math"/>
                          </w:rPr>
                          <m:t>b</m:t>
                        </m:r>
                      </m:sub>
                    </m:sSub>
                    <m: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a</m:t>
                        </m:r>
                      </m:sub>
                    </m:sSub>
                  </m:e>
                </m:d>
                <m:r>
                  <w:rPr>
                    <w:rFonts w:ascii="Cambria Math" w:hAnsi="Cambria Math"/>
                  </w:rPr>
                  <m:t>/2</m:t>
                </m:r>
              </m:oMath>
            </m:oMathPara>
          </w:p>
        </w:tc>
        <w:tc>
          <w:tcPr>
            <w:tcW w:w="1247" w:type="dxa"/>
            <w:vAlign w:val="center"/>
          </w:tcPr>
          <w:p w14:paraId="75DF2D32" w14:textId="4722A8DF" w:rsidR="005B4A74" w:rsidRPr="001455DC" w:rsidRDefault="005B4A74">
            <w:pPr>
              <w:pStyle w:val="a7"/>
              <w:jc w:val="right"/>
            </w:pPr>
            <w:r w:rsidRPr="001455DC">
              <w:t>(7.</w:t>
            </w:r>
            <w:r w:rsidR="00403E41" w:rsidRPr="001455DC">
              <w:t>8</w:t>
            </w:r>
            <w:r w:rsidRPr="001455DC">
              <w:t>)</w:t>
            </w:r>
          </w:p>
        </w:tc>
      </w:tr>
    </w:tbl>
    <w:p w14:paraId="3320539B" w14:textId="17B55D56" w:rsidR="005B4A74" w:rsidRPr="001455DC" w:rsidRDefault="004E22C1" w:rsidP="005B4A74">
      <w:pPr>
        <w:pStyle w:val="a7"/>
        <w:keepNext/>
      </w:pPr>
      <w:r w:rsidRPr="001455DC">
        <w:t xml:space="preserve">Effect on </w:t>
      </w:r>
      <w:r w:rsidR="00403E41" w:rsidRPr="001455DC">
        <w:t xml:space="preserve">top </w:t>
      </w:r>
      <w:r w:rsidRPr="001455DC">
        <w:t>diaphragm (see Figure 7.1</w:t>
      </w:r>
      <w:r w:rsidR="00403E41" w:rsidRPr="001455DC">
        <w:t>,</w:t>
      </w:r>
      <w:r w:rsidRPr="001455DC">
        <w:t xml:space="preserve"> c2)):</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5B4A74" w:rsidRPr="001455DC" w14:paraId="0CCD4F3D" w14:textId="77777777" w:rsidTr="00C603BE">
        <w:trPr>
          <w:cantSplit/>
        </w:trPr>
        <w:tc>
          <w:tcPr>
            <w:tcW w:w="8505" w:type="dxa"/>
            <w:vAlign w:val="center"/>
          </w:tcPr>
          <w:p w14:paraId="7A343081" w14:textId="276DF0F5" w:rsidR="005B4A74" w:rsidRPr="001455DC" w:rsidRDefault="00231E33" w:rsidP="00C603BE">
            <w:pPr>
              <w:pStyle w:val="Formula"/>
              <w:jc w:val="left"/>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H,i</m:t>
                    </m:r>
                  </m:sub>
                </m:sSub>
                <m:r>
                  <w:rPr>
                    <w:rFonts w:ascii="Cambria Math" w:hAnsi="Cambria Math"/>
                  </w:rPr>
                  <m:t>=</m:t>
                </m:r>
                <m:sSub>
                  <m:sSubPr>
                    <m:ctrlPr>
                      <w:rPr>
                        <w:rFonts w:ascii="Cambria Math" w:hAnsi="Cambria Math"/>
                      </w:rPr>
                    </m:ctrlPr>
                  </m:sSubPr>
                  <m:e>
                    <m:r>
                      <w:rPr>
                        <w:rFonts w:ascii="Cambria Math" w:hAnsi="Cambria Math"/>
                      </w:rPr>
                      <m:t>θ</m:t>
                    </m:r>
                  </m:e>
                  <m:sub>
                    <m:r>
                      <m:rPr>
                        <m:sty m:val="p"/>
                      </m:rP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a</m:t>
                    </m:r>
                  </m:sub>
                </m:sSub>
              </m:oMath>
            </m:oMathPara>
          </w:p>
        </w:tc>
        <w:tc>
          <w:tcPr>
            <w:tcW w:w="1247" w:type="dxa"/>
            <w:vAlign w:val="center"/>
          </w:tcPr>
          <w:p w14:paraId="3F35C4D7" w14:textId="23CA7C6B" w:rsidR="005B4A74" w:rsidRPr="001455DC" w:rsidRDefault="005B4A74">
            <w:pPr>
              <w:pStyle w:val="a7"/>
              <w:jc w:val="right"/>
            </w:pPr>
            <w:r w:rsidRPr="001455DC">
              <w:t>(7.</w:t>
            </w:r>
            <w:r w:rsidR="00403E41" w:rsidRPr="001455DC">
              <w:t>9</w:t>
            </w:r>
            <w:r w:rsidRPr="001455DC">
              <w:t>)</w:t>
            </w:r>
          </w:p>
        </w:tc>
      </w:tr>
    </w:tbl>
    <w:p w14:paraId="2762DDF5" w14:textId="77777777" w:rsidR="004E22C1" w:rsidRPr="001455DC" w:rsidRDefault="004E22C1" w:rsidP="005B4A74">
      <w:pPr>
        <w:pStyle w:val="a7"/>
      </w:pPr>
      <w:r w:rsidRPr="001455DC">
        <w:t xml:space="preserve">where </w:t>
      </w:r>
      <w:r w:rsidRPr="001455DC">
        <w:rPr>
          <w:rStyle w:val="CCMCvariableitalic"/>
        </w:rPr>
        <w:t>N</w:t>
      </w:r>
      <w:r w:rsidRPr="001455DC">
        <w:rPr>
          <w:rStyle w:val="CCMCvariablesubscript"/>
        </w:rPr>
        <w:t>a</w:t>
      </w:r>
      <w:r w:rsidRPr="001455DC">
        <w:t xml:space="preserve"> and </w:t>
      </w:r>
      <w:r w:rsidRPr="001455DC">
        <w:rPr>
          <w:rStyle w:val="CCMCvariableitalic"/>
        </w:rPr>
        <w:t>N</w:t>
      </w:r>
      <w:r w:rsidRPr="001455DC">
        <w:rPr>
          <w:rStyle w:val="CCMCvariablesubscript"/>
        </w:rPr>
        <w:t>b</w:t>
      </w:r>
      <w:r w:rsidRPr="001455DC">
        <w:t xml:space="preserve"> are axial forces contributing to </w:t>
      </w:r>
      <w:r w:rsidRPr="001455DC">
        <w:rPr>
          <w:rStyle w:val="CCMCvariableitalic"/>
        </w:rPr>
        <w:t>F</w:t>
      </w:r>
      <w:r w:rsidRPr="001455DC">
        <w:rPr>
          <w:rStyle w:val="CCMCvariablesubscript"/>
        </w:rPr>
        <w:t>H,i</w:t>
      </w:r>
      <w:r w:rsidRPr="001455DC">
        <w:t>.</w:t>
      </w:r>
    </w:p>
    <w:p w14:paraId="16E9D606" w14:textId="77777777" w:rsidR="004E22C1" w:rsidRPr="001455DC" w:rsidRDefault="004E22C1" w:rsidP="005B4A74">
      <w:pPr>
        <w:pStyle w:val="a7"/>
        <w:rPr>
          <w:szCs w:val="22"/>
        </w:rPr>
      </w:pPr>
      <w:r w:rsidRPr="001455DC">
        <w:t xml:space="preserve">In the determination of the first order internal forces due to the combination of actions in the persistent and transient or the accidental design situation the horizontal forces </w:t>
      </w:r>
      <w:r w:rsidRPr="001455DC">
        <w:rPr>
          <w:rStyle w:val="CCMCvariableitalic"/>
        </w:rPr>
        <w:t>F</w:t>
      </w:r>
      <w:r w:rsidRPr="001455DC">
        <w:rPr>
          <w:rStyle w:val="CCMCvariablesubscript"/>
        </w:rPr>
        <w:t>H,i</w:t>
      </w:r>
      <w:r w:rsidRPr="001455DC">
        <w:t xml:space="preserve"> should be considered in the same load case as the corresponding axial force </w:t>
      </w:r>
      <w:r w:rsidRPr="001455DC">
        <w:rPr>
          <w:rStyle w:val="CCMCvariableitalic"/>
        </w:rPr>
        <w:t>N</w:t>
      </w:r>
      <w:r w:rsidRPr="001455DC">
        <w:t>.</w:t>
      </w:r>
    </w:p>
    <w:p w14:paraId="23C46BBD" w14:textId="2A13D5FC" w:rsidR="004E22C1" w:rsidRPr="001455DC" w:rsidRDefault="004E22C1" w:rsidP="00243590">
      <w:pPr>
        <w:pStyle w:val="31"/>
      </w:pPr>
      <w:bookmarkStart w:id="398" w:name="_Toc52819938"/>
      <w:bookmarkStart w:id="399" w:name="_Toc54337340"/>
      <w:bookmarkStart w:id="400" w:name="_Toc54337996"/>
      <w:bookmarkStart w:id="401" w:name="_Toc67565354"/>
      <w:r w:rsidRPr="001455DC">
        <w:t>Ideali</w:t>
      </w:r>
      <w:r w:rsidR="00403E41" w:rsidRPr="001455DC">
        <w:t>s</w:t>
      </w:r>
      <w:r w:rsidRPr="001455DC">
        <w:t>ation of the structure</w:t>
      </w:r>
      <w:bookmarkEnd w:id="398"/>
      <w:bookmarkEnd w:id="399"/>
      <w:bookmarkEnd w:id="400"/>
      <w:bookmarkEnd w:id="401"/>
    </w:p>
    <w:p w14:paraId="4165F70B" w14:textId="77777777" w:rsidR="004E22C1" w:rsidRPr="001455DC" w:rsidRDefault="004E22C1" w:rsidP="005B4A74">
      <w:pPr>
        <w:pStyle w:val="a7"/>
      </w:pPr>
      <w:r w:rsidRPr="001455DC">
        <w:t>(1)</w:t>
      </w:r>
      <w:r w:rsidRPr="001455DC">
        <w:tab/>
        <w:t>The structure should be idealized with suitable models considering static and geometrical boundary conditions as well as the transfer of support reactions.</w:t>
      </w:r>
    </w:p>
    <w:p w14:paraId="7FC34279" w14:textId="77777777" w:rsidR="004E22C1" w:rsidRPr="001455DC" w:rsidRDefault="004E22C1" w:rsidP="005B4A74">
      <w:pPr>
        <w:pStyle w:val="a7"/>
      </w:pPr>
      <w:r w:rsidRPr="001455DC">
        <w:t>(2)</w:t>
      </w:r>
      <w:r w:rsidRPr="001455DC">
        <w:tab/>
        <w:t>Significant asymmetry in geometry or loading should be considered either by a 3D-model or by adjusted planar models.</w:t>
      </w:r>
    </w:p>
    <w:p w14:paraId="00DA283A" w14:textId="77777777" w:rsidR="004E22C1" w:rsidRPr="001455DC" w:rsidRDefault="004E22C1" w:rsidP="005B4A74">
      <w:pPr>
        <w:pStyle w:val="a7"/>
      </w:pPr>
      <w:r w:rsidRPr="001455DC">
        <w:t>(3)</w:t>
      </w:r>
      <w:r w:rsidRPr="001455DC">
        <w:tab/>
        <w:t>Interaction of soil and structure should be considered appropriately and consistently with 4.2.1.4. Non-linear behaviour in the soil-structure interaction should be considered.</w:t>
      </w:r>
    </w:p>
    <w:p w14:paraId="4C45EDBF" w14:textId="77777777" w:rsidR="004E22C1" w:rsidRPr="001455DC" w:rsidRDefault="004E22C1" w:rsidP="005B4A74">
      <w:pPr>
        <w:pStyle w:val="a7"/>
      </w:pPr>
      <w:r w:rsidRPr="001455DC">
        <w:t>(4)</w:t>
      </w:r>
      <w:r w:rsidRPr="001455DC">
        <w:tab/>
        <w:t>Ribbed or waffle or void enclosing slabs may be treated as solid members for the purposes of analysis, provided that the flange or structural topping and transverse ribs have sufficient torsional stiffness. This may be assumed provided that:</w:t>
      </w:r>
    </w:p>
    <w:p w14:paraId="31BE8677" w14:textId="0DFC9075" w:rsidR="004E22C1" w:rsidRPr="001455DC" w:rsidRDefault="004E22C1" w:rsidP="005B4A74">
      <w:pPr>
        <w:pStyle w:val="a0"/>
      </w:pPr>
      <w:r w:rsidRPr="001455DC">
        <w:t>the rib spacing does not exceed 1</w:t>
      </w:r>
      <w:r w:rsidR="00036609">
        <w:t> </w:t>
      </w:r>
      <w:r w:rsidRPr="001455DC">
        <w:t>500 mm,</w:t>
      </w:r>
    </w:p>
    <w:p w14:paraId="75394C82" w14:textId="04C7D672" w:rsidR="004E22C1" w:rsidRPr="001455DC" w:rsidRDefault="004E22C1" w:rsidP="005B4A74">
      <w:pPr>
        <w:pStyle w:val="a0"/>
      </w:pPr>
      <w:r w:rsidRPr="001455DC">
        <w:t>the depth of the rib below the flange does not exceed 4 times its width, or the space between voids,</w:t>
      </w:r>
    </w:p>
    <w:p w14:paraId="323909CB" w14:textId="55F45AB9" w:rsidR="004E22C1" w:rsidRPr="001455DC" w:rsidRDefault="004E22C1" w:rsidP="005B4A74">
      <w:pPr>
        <w:pStyle w:val="a0"/>
      </w:pPr>
      <w:r w:rsidRPr="001455DC">
        <w:t>transverse ribs are provided at a clear spacing not exceeding 10 times the overall depth of the slab. This applies also to the biggest horizontal void dimension, and</w:t>
      </w:r>
    </w:p>
    <w:p w14:paraId="5139803F" w14:textId="073E4242" w:rsidR="004E22C1" w:rsidRPr="001455DC" w:rsidRDefault="004E22C1" w:rsidP="005B4A74">
      <w:pPr>
        <w:pStyle w:val="a0"/>
      </w:pPr>
      <w:r w:rsidRPr="001455DC">
        <w:t>the flange thickness is at least 1/10 of the clear distance between ribs, the smallest horizontal void dimension or 50 mm, whichever is the greater. The minimum flange thickness of 50 mm may be reduced to 40 mm where permanent blocks are incorporated between the ribs.</w:t>
      </w:r>
    </w:p>
    <w:p w14:paraId="25F9C003" w14:textId="5604F877" w:rsidR="004E22C1" w:rsidRPr="001455DC" w:rsidRDefault="004E22C1" w:rsidP="005B4A74">
      <w:pPr>
        <w:pStyle w:val="a7"/>
      </w:pPr>
      <w:r w:rsidRPr="001455DC">
        <w:t>(5)</w:t>
      </w:r>
      <w:r w:rsidRPr="001455DC">
        <w:tab/>
        <w:t xml:space="preserve">Where a beam or slab is monolithic with its supports, the critical design moment at the support </w:t>
      </w:r>
      <w:r w:rsidR="00403E41" w:rsidRPr="001455DC">
        <w:t xml:space="preserve">may </w:t>
      </w:r>
      <w:r w:rsidRPr="001455DC">
        <w:t>be taken as that at the face of the support. The design moment and reaction transferred to the supporting element (e.g. column, wall, etc.) should be generally taken as the greater of the elastic or redistributed values.</w:t>
      </w:r>
    </w:p>
    <w:p w14:paraId="794805BC" w14:textId="421798AC" w:rsidR="004E22C1" w:rsidRPr="001455DC" w:rsidRDefault="004E22C1" w:rsidP="00243590">
      <w:pPr>
        <w:pStyle w:val="31"/>
      </w:pPr>
      <w:bookmarkStart w:id="402" w:name="_Toc52819939"/>
      <w:bookmarkStart w:id="403" w:name="_Toc54337341"/>
      <w:bookmarkStart w:id="404" w:name="_Toc54337997"/>
      <w:bookmarkStart w:id="405" w:name="_Toc67565355"/>
      <w:r w:rsidRPr="001455DC">
        <w:t>Geometric data</w:t>
      </w:r>
      <w:bookmarkEnd w:id="402"/>
      <w:bookmarkEnd w:id="403"/>
      <w:bookmarkEnd w:id="404"/>
      <w:bookmarkEnd w:id="405"/>
    </w:p>
    <w:p w14:paraId="5B10E48C" w14:textId="77777777" w:rsidR="004E22C1" w:rsidRPr="001455DC" w:rsidRDefault="004E22C1" w:rsidP="005B4A74">
      <w:pPr>
        <w:pStyle w:val="a7"/>
      </w:pPr>
      <w:r w:rsidRPr="001455DC">
        <w:t>(1)</w:t>
      </w:r>
      <w:r w:rsidRPr="001455DC">
        <w:tab/>
        <w:t>The effect of non-uniform stress distribution across wide flanges in T-beams should be considered at ULS where brittle behaviour may be expected and at SLS where relevant (stress limitations, deflections).</w:t>
      </w:r>
    </w:p>
    <w:p w14:paraId="321CB463" w14:textId="77777777" w:rsidR="004E22C1" w:rsidRPr="001455DC" w:rsidRDefault="004E22C1" w:rsidP="00C603BE">
      <w:pPr>
        <w:pStyle w:val="a7"/>
        <w:keepNext/>
      </w:pPr>
      <w:r w:rsidRPr="001455DC">
        <w:t>(2)</w:t>
      </w:r>
      <w:r w:rsidRPr="001455DC">
        <w:tab/>
        <w:t xml:space="preserve">In the absence of a more detailed analysis, the effective width of the flange may be calculated based on the distance </w:t>
      </w:r>
      <w:r w:rsidRPr="001455DC">
        <w:rPr>
          <w:rStyle w:val="CCMCvariableitalic"/>
          <w:szCs w:val="22"/>
        </w:rPr>
        <w:t>l</w:t>
      </w:r>
      <w:r w:rsidRPr="001455DC">
        <w:rPr>
          <w:rStyle w:val="CCMCvariablesubscript"/>
          <w:szCs w:val="22"/>
        </w:rPr>
        <w:t>0b</w:t>
      </w:r>
      <w:r w:rsidRPr="001455DC">
        <w:t xml:space="preserve"> between points of zero moment. The length </w:t>
      </w:r>
      <w:r w:rsidRPr="001455DC">
        <w:rPr>
          <w:rStyle w:val="CCMCvariableitalic"/>
          <w:szCs w:val="22"/>
        </w:rPr>
        <w:t>l</w:t>
      </w:r>
      <w:r w:rsidRPr="001455DC">
        <w:rPr>
          <w:rStyle w:val="CCMCvariablesubscript"/>
          <w:szCs w:val="22"/>
        </w:rPr>
        <w:t>0b</w:t>
      </w:r>
      <w:r w:rsidRPr="001455DC">
        <w:t xml:space="preserve"> may be obtained from Figure 7.2 if all of the following conditions are fulfilled:</w:t>
      </w:r>
    </w:p>
    <w:p w14:paraId="12411887" w14:textId="3DBC8B0F" w:rsidR="004E22C1" w:rsidRPr="001455DC" w:rsidRDefault="004E22C1" w:rsidP="00C603BE">
      <w:pPr>
        <w:pStyle w:val="a0"/>
      </w:pPr>
      <w:r w:rsidRPr="001455DC">
        <w:t>loading is predominantly uniform,</w:t>
      </w:r>
    </w:p>
    <w:p w14:paraId="6656AF5C" w14:textId="0A8B27BE" w:rsidR="004E22C1" w:rsidRPr="001455DC" w:rsidRDefault="004E22C1" w:rsidP="00C603BE">
      <w:pPr>
        <w:pStyle w:val="a0"/>
      </w:pPr>
      <w:r w:rsidRPr="001455DC">
        <w:t>the cross section is constant,</w:t>
      </w:r>
    </w:p>
    <w:p w14:paraId="26923EBB" w14:textId="34C0179C" w:rsidR="004E22C1" w:rsidRPr="001455DC" w:rsidRDefault="004E22C1" w:rsidP="008D37B2">
      <w:pPr>
        <w:pStyle w:val="a0"/>
        <w:keepNext/>
      </w:pPr>
      <w:r w:rsidRPr="001455DC">
        <w:t xml:space="preserve">the length of the cantilever, </w:t>
      </w:r>
      <w:r w:rsidRPr="001455DC">
        <w:rPr>
          <w:rStyle w:val="CCMCvariableitalic"/>
        </w:rPr>
        <w:t>l</w:t>
      </w:r>
      <w:r w:rsidRPr="001455DC">
        <w:rPr>
          <w:rStyle w:val="CCMCvariablesubscript"/>
        </w:rPr>
        <w:t>3</w:t>
      </w:r>
      <w:r w:rsidRPr="001455DC">
        <w:t>, is less than half the adjacent span and</w:t>
      </w:r>
    </w:p>
    <w:p w14:paraId="537D4B66" w14:textId="398518DD" w:rsidR="004E22C1" w:rsidRPr="001455DC" w:rsidRDefault="004E22C1" w:rsidP="00C603BE">
      <w:pPr>
        <w:pStyle w:val="a0"/>
      </w:pPr>
      <w:r w:rsidRPr="001455DC">
        <w:t>the ratio of adjacent spans lies between 2/3 and 1,5.</w:t>
      </w:r>
    </w:p>
    <w:p w14:paraId="08C25C21" w14:textId="6D98716A" w:rsidR="004E22C1" w:rsidRPr="001455DC" w:rsidRDefault="00723CF7" w:rsidP="00C603BE">
      <w:pPr>
        <w:pStyle w:val="FigureImage"/>
      </w:pPr>
      <w:r>
        <w:rPr>
          <w:noProof/>
          <w:lang w:eastAsia="en-GB"/>
        </w:rPr>
        <w:fldChar w:fldCharType="begin"/>
      </w:r>
      <w:r>
        <w:rPr>
          <w:noProof/>
          <w:lang w:eastAsia="en-GB"/>
        </w:rPr>
        <w:instrText xml:space="preserve"> INCLUDEPICTURE  "Y:\\STD_MGT\\STDDEL\\PRODUCTION\\etrans\\Download\\Z_FIRST_DEL\\SV\\00250\\00250269\\41_e_dr\\7_002.tif"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"Y:\\STD_MGT\\STDDEL\\PRODUCTION\\Standards\\00250\\269\\41_e_dr\\7_002.tif"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"Y:\\STD_MGT\\STDDEL\\PRODUCTION\\Standards\\00250\\269\\41_e_dr\\7_002.tif"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"Y:\\STD_MGT\\STDDEL\\PRODUCTION\\Standards\\00250\\269\\41_e_dr\\7_002.tif"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"Y:\\STD_MGT\\STDDEL\\PRODUCTION\\Standards\\00250\\269\\41_e_dr\\7_002.tif"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"Y:\\STD_MGT\\STDDEL\\PRODUCTION\\Standards\\00250\\269\\41_e_dr\\7_002.tif"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"C:\\Users\\a.dionysiou\\AppData\\Local\\Temp\\Temp1_00250269_e_20210902.zip.zip\\41_e_dr\\7_002.tif"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0C03E00C">
          <v:shape id="_x0000_i1138" type="#_x0000_t75" style="width:229.5pt;height:93.75pt">
            <v:imagedata r:id="rId246" r:href="rId247"/>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235509D3" w14:textId="77777777" w:rsidR="004E22C1" w:rsidRPr="001455DC" w:rsidRDefault="004E22C1" w:rsidP="00C603BE">
      <w:pPr>
        <w:pStyle w:val="Figuretitle"/>
      </w:pPr>
      <w:r w:rsidRPr="001455DC">
        <w:t xml:space="preserve">Figure 7.2 — Definition of </w:t>
      </w:r>
      <w:r w:rsidRPr="001455DC">
        <w:rPr>
          <w:rStyle w:val="CCMCvariableitalic"/>
        </w:rPr>
        <w:t>l</w:t>
      </w:r>
      <w:r w:rsidRPr="001455DC">
        <w:rPr>
          <w:rStyle w:val="CCMCvariablesubscript"/>
        </w:rPr>
        <w:t>0b</w:t>
      </w:r>
      <w:r w:rsidRPr="001455DC">
        <w:t xml:space="preserve"> for calculation of effective flange width</w:t>
      </w:r>
    </w:p>
    <w:p w14:paraId="708D29D0" w14:textId="77777777" w:rsidR="00C603BE" w:rsidRPr="001455DC" w:rsidRDefault="004E22C1" w:rsidP="00C603BE">
      <w:pPr>
        <w:pStyle w:val="a7"/>
        <w:keepNext/>
      </w:pPr>
      <w:r w:rsidRPr="001455DC">
        <w:t>(3)</w:t>
      </w:r>
      <w:r w:rsidRPr="001455DC">
        <w:tab/>
        <w:t xml:space="preserve">In the absence of a more detailed analysis, the effective flange width </w:t>
      </w:r>
      <w:r w:rsidRPr="001455DC">
        <w:rPr>
          <w:rStyle w:val="CCMCvariableitalic"/>
          <w:szCs w:val="22"/>
        </w:rPr>
        <w:t>b</w:t>
      </w:r>
      <w:r w:rsidRPr="001455DC">
        <w:rPr>
          <w:rStyle w:val="CCMCvariablesubscript"/>
          <w:szCs w:val="22"/>
        </w:rPr>
        <w:t>eff</w:t>
      </w:r>
      <w:r w:rsidRPr="001455DC">
        <w:t xml:space="preserve"> for a T beam or L beam may be derived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C603BE" w:rsidRPr="001455DC" w14:paraId="2474AC76" w14:textId="77777777" w:rsidTr="00C603BE">
        <w:trPr>
          <w:cantSplit/>
        </w:trPr>
        <w:tc>
          <w:tcPr>
            <w:tcW w:w="8505" w:type="dxa"/>
            <w:vAlign w:val="center"/>
          </w:tcPr>
          <w:p w14:paraId="728A0F90" w14:textId="386A89D4" w:rsidR="00C603BE" w:rsidRPr="001455DC" w:rsidRDefault="00231E33" w:rsidP="00C603BE">
            <w:pPr>
              <w:pStyle w:val="Formula"/>
              <w:jc w:val="left"/>
            </w:pPr>
            <m:oMathPara>
              <m:oMathParaPr>
                <m:jc m:val="left"/>
              </m:oMathParaPr>
              <m:oMath>
                <m:sSub>
                  <m:sSubPr>
                    <m:ctrlPr>
                      <w:rPr>
                        <w:rFonts w:ascii="Cambria Math" w:hAnsi="Cambria Math"/>
                      </w:rPr>
                    </m:ctrlPr>
                  </m:sSubPr>
                  <m:e>
                    <m:r>
                      <w:rPr>
                        <w:rFonts w:ascii="Cambria Math" w:hAnsi="Cambria Math"/>
                      </w:rPr>
                      <m:t>b</m:t>
                    </m:r>
                  </m:e>
                  <m:sub>
                    <m:r>
                      <m:rPr>
                        <m:sty m:val="p"/>
                      </m:rPr>
                      <w:rPr>
                        <w:rFonts w:ascii="Cambria Math" w:hAnsi="Cambria Math"/>
                      </w:rPr>
                      <m:t>eff</m:t>
                    </m:r>
                  </m:sub>
                </m:sSub>
                <m:r>
                  <w:rPr>
                    <w:rFonts w:ascii="Cambria Math" w:hAnsi="Cambria Math"/>
                  </w:rPr>
                  <m:t>=</m:t>
                </m:r>
                <m:r>
                  <w:rPr>
                    <w:rFonts w:ascii="Cambria Math" w:hAnsi="Cambria Math" w:hint="eastAsia"/>
                  </w:rPr>
                  <m:t>∑</m:t>
                </m:r>
                <m:sSub>
                  <m:sSubPr>
                    <m:ctrlPr>
                      <w:rPr>
                        <w:rFonts w:ascii="Cambria Math" w:hAnsi="Cambria Math"/>
                      </w:rPr>
                    </m:ctrlPr>
                  </m:sSubPr>
                  <m:e>
                    <m:r>
                      <w:rPr>
                        <w:rFonts w:ascii="Cambria Math" w:hAnsi="Cambria Math"/>
                      </w:rPr>
                      <m:t>b</m:t>
                    </m:r>
                  </m:e>
                  <m:sub>
                    <m:r>
                      <m:rPr>
                        <m:sty m:val="p"/>
                      </m:rPr>
                      <w:rPr>
                        <w:rFonts w:ascii="Cambria Math" w:hAnsi="Cambria Math"/>
                      </w:rPr>
                      <m:t>eff,i</m:t>
                    </m:r>
                  </m:sub>
                </m:sSub>
                <m: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w</m:t>
                    </m:r>
                  </m:sub>
                </m:sSub>
                <m:r>
                  <w:rPr>
                    <w:rFonts w:ascii="Cambria Math" w:hAnsi="Cambria Math"/>
                  </w:rPr>
                  <m:t>≤b</m:t>
                </m:r>
              </m:oMath>
            </m:oMathPara>
          </w:p>
        </w:tc>
        <w:tc>
          <w:tcPr>
            <w:tcW w:w="1247" w:type="dxa"/>
            <w:vAlign w:val="center"/>
          </w:tcPr>
          <w:p w14:paraId="35840305" w14:textId="42B1B23E" w:rsidR="00C603BE" w:rsidRPr="001455DC" w:rsidRDefault="00C603BE">
            <w:pPr>
              <w:pStyle w:val="a7"/>
              <w:jc w:val="right"/>
            </w:pPr>
            <w:r w:rsidRPr="001455DC">
              <w:t>(7.</w:t>
            </w:r>
            <w:r w:rsidR="00403E41" w:rsidRPr="001455DC">
              <w:t>10</w:t>
            </w:r>
            <w:r w:rsidRPr="001455DC">
              <w:t>)</w:t>
            </w:r>
          </w:p>
        </w:tc>
      </w:tr>
    </w:tbl>
    <w:p w14:paraId="7E143CC1" w14:textId="77777777" w:rsidR="00C603BE" w:rsidRPr="001455DC" w:rsidRDefault="004E22C1" w:rsidP="00A35599">
      <w:pPr>
        <w:pStyle w:val="a7"/>
        <w:keepNext/>
      </w:pPr>
      <w:r w:rsidRPr="001455DC">
        <w:t>where</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C603BE" w:rsidRPr="001455DC" w14:paraId="34745E11" w14:textId="77777777" w:rsidTr="00C603BE">
        <w:trPr>
          <w:cantSplit/>
        </w:trPr>
        <w:tc>
          <w:tcPr>
            <w:tcW w:w="8505" w:type="dxa"/>
            <w:vAlign w:val="center"/>
          </w:tcPr>
          <w:p w14:paraId="696BA8A7" w14:textId="226A11CB" w:rsidR="00C603BE" w:rsidRPr="009D3012" w:rsidRDefault="00231E33" w:rsidP="00C603BE">
            <w:pPr>
              <w:pStyle w:val="Formula"/>
              <w:jc w:val="left"/>
              <w:rPr>
                <w:lang w:val="de-DE"/>
              </w:rPr>
            </w:pPr>
            <m:oMathPara>
              <m:oMathParaPr>
                <m:jc m:val="left"/>
              </m:oMathParaPr>
              <m:oMath>
                <m:sSub>
                  <m:sSubPr>
                    <m:ctrlPr>
                      <w:rPr>
                        <w:rFonts w:ascii="Cambria Math" w:hAnsi="Cambria Math"/>
                      </w:rPr>
                    </m:ctrlPr>
                  </m:sSubPr>
                  <m:e>
                    <m:r>
                      <w:rPr>
                        <w:rFonts w:ascii="Cambria Math" w:hAnsi="Cambria Math"/>
                      </w:rPr>
                      <m:t>b</m:t>
                    </m:r>
                  </m:e>
                  <m:sub>
                    <m:r>
                      <m:rPr>
                        <m:sty m:val="p"/>
                      </m:rPr>
                      <w:rPr>
                        <w:rFonts w:ascii="Cambria Math" w:hAnsi="Cambria Math"/>
                        <w:lang w:val="de-DE"/>
                      </w:rPr>
                      <m:t>eff,i</m:t>
                    </m:r>
                  </m:sub>
                </m:sSub>
                <m:r>
                  <w:rPr>
                    <w:rFonts w:ascii="Cambria Math" w:hAnsi="Cambria Math"/>
                    <w:lang w:val="de-DE"/>
                  </w:rPr>
                  <m:t>=</m:t>
                </m:r>
                <m:r>
                  <m:rPr>
                    <m:nor/>
                  </m:rPr>
                  <w:rPr>
                    <w:rFonts w:ascii="Cambria Math" w:hAnsi="Cambria Math"/>
                    <w:lang w:val="de-DE"/>
                  </w:rPr>
                  <m:t>min</m:t>
                </m:r>
                <m:d>
                  <m:dPr>
                    <m:begChr m:val="{"/>
                    <m:endChr m:val="}"/>
                    <m:ctrlPr>
                      <w:rPr>
                        <w:rFonts w:ascii="Cambria Math" w:hAnsi="Cambria Math"/>
                      </w:rPr>
                    </m:ctrlPr>
                  </m:dPr>
                  <m:e>
                    <m:sSub>
                      <m:sSubPr>
                        <m:ctrlPr>
                          <w:rPr>
                            <w:rFonts w:ascii="Cambria Math" w:hAnsi="Cambria Math"/>
                          </w:rPr>
                        </m:ctrlPr>
                      </m:sSubPr>
                      <m:e>
                        <m:sSub>
                          <m:sSubPr>
                            <m:ctrlPr>
                              <w:rPr>
                                <w:rFonts w:ascii="Cambria Math" w:hAnsi="Cambria Math"/>
                              </w:rPr>
                            </m:ctrlPr>
                          </m:sSubPr>
                          <m:e>
                            <m:r>
                              <w:rPr>
                                <w:rFonts w:ascii="Cambria Math" w:hAnsi="Cambria Math"/>
                                <w:lang w:val="de-DE"/>
                              </w:rPr>
                              <m:t>0,2</m:t>
                            </m:r>
                            <m:r>
                              <w:rPr>
                                <w:rFonts w:ascii="Cambria Math" w:hAnsi="Cambria Math"/>
                              </w:rPr>
                              <m:t>b</m:t>
                            </m:r>
                          </m:e>
                          <m:sub>
                            <m:r>
                              <m:rPr>
                                <m:sty m:val="p"/>
                              </m:rPr>
                              <w:rPr>
                                <w:rFonts w:ascii="Cambria Math" w:hAnsi="Cambria Math"/>
                                <w:lang w:val="de-DE"/>
                              </w:rPr>
                              <m:t>i</m:t>
                            </m:r>
                          </m:sub>
                        </m:sSub>
                        <m:r>
                          <w:rPr>
                            <w:rFonts w:ascii="Cambria Math" w:hAnsi="Cambria Math"/>
                            <w:lang w:val="de-DE"/>
                          </w:rPr>
                          <m:t>+0,1</m:t>
                        </m:r>
                        <m:r>
                          <w:rPr>
                            <w:rFonts w:ascii="Cambria Math" w:hAnsi="Cambria Math"/>
                          </w:rPr>
                          <m:t>l</m:t>
                        </m:r>
                      </m:e>
                      <m:sub>
                        <m:r>
                          <w:rPr>
                            <w:rFonts w:ascii="Cambria Math" w:hAnsi="Cambria Math"/>
                            <w:lang w:val="de-DE"/>
                          </w:rPr>
                          <m:t>0</m:t>
                        </m:r>
                        <m:r>
                          <m:rPr>
                            <m:sty m:val="p"/>
                          </m:rPr>
                          <w:rPr>
                            <w:rFonts w:ascii="Cambria Math" w:hAnsi="Cambria Math"/>
                            <w:lang w:val="de-DE"/>
                          </w:rPr>
                          <m:t>b</m:t>
                        </m:r>
                      </m:sub>
                    </m:sSub>
                    <m:r>
                      <w:rPr>
                        <w:rFonts w:ascii="Cambria Math" w:hAnsi="Cambria Math"/>
                        <w:lang w:val="de-DE"/>
                      </w:rPr>
                      <m:t xml:space="preserve">; </m:t>
                    </m:r>
                    <m:sSub>
                      <m:sSubPr>
                        <m:ctrlPr>
                          <w:rPr>
                            <w:rFonts w:ascii="Cambria Math" w:hAnsi="Cambria Math"/>
                          </w:rPr>
                        </m:ctrlPr>
                      </m:sSubPr>
                      <m:e>
                        <m:r>
                          <w:rPr>
                            <w:rFonts w:ascii="Cambria Math" w:hAnsi="Cambria Math"/>
                            <w:lang w:val="de-DE"/>
                          </w:rPr>
                          <m:t>0,2</m:t>
                        </m:r>
                        <m:r>
                          <w:rPr>
                            <w:rFonts w:ascii="Cambria Math" w:hAnsi="Cambria Math"/>
                          </w:rPr>
                          <m:t>l</m:t>
                        </m:r>
                      </m:e>
                      <m:sub>
                        <m:r>
                          <w:rPr>
                            <w:rFonts w:ascii="Cambria Math" w:hAnsi="Cambria Math"/>
                            <w:lang w:val="de-DE"/>
                          </w:rPr>
                          <m:t>0</m:t>
                        </m:r>
                        <m:r>
                          <m:rPr>
                            <m:sty m:val="p"/>
                          </m:rPr>
                          <w:rPr>
                            <w:rFonts w:ascii="Cambria Math" w:hAnsi="Cambria Math"/>
                            <w:lang w:val="de-DE"/>
                          </w:rPr>
                          <m:t>b</m:t>
                        </m:r>
                      </m:sub>
                    </m:sSub>
                    <m:r>
                      <w:rPr>
                        <w:rFonts w:ascii="Cambria Math" w:hAnsi="Cambria Math"/>
                        <w:lang w:val="de-DE"/>
                      </w:rPr>
                      <m:t xml:space="preserve">; </m:t>
                    </m:r>
                    <m:sSub>
                      <m:sSubPr>
                        <m:ctrlPr>
                          <w:rPr>
                            <w:rFonts w:ascii="Cambria Math" w:hAnsi="Cambria Math"/>
                          </w:rPr>
                        </m:ctrlPr>
                      </m:sSubPr>
                      <m:e>
                        <m:r>
                          <w:rPr>
                            <w:rFonts w:ascii="Cambria Math" w:hAnsi="Cambria Math"/>
                          </w:rPr>
                          <m:t>b</m:t>
                        </m:r>
                      </m:e>
                      <m:sub>
                        <m:r>
                          <m:rPr>
                            <m:sty m:val="p"/>
                          </m:rPr>
                          <w:rPr>
                            <w:rFonts w:ascii="Cambria Math" w:hAnsi="Cambria Math"/>
                            <w:lang w:val="de-DE"/>
                          </w:rPr>
                          <m:t>i</m:t>
                        </m:r>
                      </m:sub>
                    </m:sSub>
                  </m:e>
                </m:d>
              </m:oMath>
            </m:oMathPara>
          </w:p>
        </w:tc>
        <w:tc>
          <w:tcPr>
            <w:tcW w:w="1247" w:type="dxa"/>
            <w:vAlign w:val="center"/>
          </w:tcPr>
          <w:p w14:paraId="62320846" w14:textId="360FCB84" w:rsidR="00C603BE" w:rsidRPr="001455DC" w:rsidRDefault="00C603BE">
            <w:pPr>
              <w:pStyle w:val="a7"/>
              <w:jc w:val="right"/>
            </w:pPr>
            <w:r w:rsidRPr="001455DC">
              <w:t>(7.</w:t>
            </w:r>
            <w:r w:rsidR="00403E41" w:rsidRPr="001455DC">
              <w:t>11</w:t>
            </w:r>
            <w:r w:rsidRPr="001455DC">
              <w:t>)</w:t>
            </w:r>
          </w:p>
        </w:tc>
      </w:tr>
    </w:tbl>
    <w:p w14:paraId="628F6F02" w14:textId="46FD8909" w:rsidR="004E22C1" w:rsidRPr="001455DC" w:rsidRDefault="004E22C1" w:rsidP="00C603BE">
      <w:pPr>
        <w:pStyle w:val="a7"/>
        <w:rPr>
          <w:bCs/>
          <w:noProof/>
          <w:lang w:eastAsia="de-DE"/>
        </w:rPr>
      </w:pPr>
      <w:r w:rsidRPr="001455DC">
        <w:t>(for the notations see Figures 7.2 and 7.3)</w:t>
      </w:r>
    </w:p>
    <w:p w14:paraId="33A298E3" w14:textId="24FC8EB1" w:rsidR="004E22C1" w:rsidRPr="001455DC" w:rsidRDefault="00723CF7" w:rsidP="00C603BE">
      <w:pPr>
        <w:pStyle w:val="FigureImage"/>
      </w:pPr>
      <w:r>
        <w:rPr>
          <w:noProof/>
          <w:lang w:eastAsia="en-GB"/>
        </w:rPr>
        <w:fldChar w:fldCharType="begin"/>
      </w:r>
      <w:r>
        <w:rPr>
          <w:noProof/>
          <w:lang w:eastAsia="en-GB"/>
        </w:rPr>
        <w:instrText xml:space="preserve"> INCLUDEPICTURE  "Y:\\STD_MGT\\STDDEL\\PRODUCTION\\etrans\\Download\\Z_FIRST_DEL\\SV\\00250\\00250269\\41_e_dr\\7_003.tif"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"Y:\\STD_MGT\\STDDEL\\PRODUCTION\\Standards\\00250\\269\\41_e_dr\\7_003.tif"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"Y:\\STD_MGT\\STDDEL\\PRODUCTION\\Standards\\00250\\269\\41_e_dr\\7_003.tif"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"Y:\\STD_MGT\\STDDEL\\PRODUCTION\\Standards\\00250\\269\\41_e_dr\\7_003.tif"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"Y:\\STD_MGT\\STDDEL\\PRODUCTION\\Standards\\00250\\269\\41_e_dr\\7_003.tif"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"Y:\\STD_MGT\\STDDEL\\PRODUCTION\\Standards\\00250\\269\\41_e_dr\\7_003.tif"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"C:\\Users\\a.dionysiou\\AppData\\Local\\Temp\\Temp1_00250269_e_20210902.zip.zip\\41_e_dr\\7_003.tif"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0BB6E10A">
          <v:shape id="_x0000_i1139" type="#_x0000_t75" style="width:270.75pt;height:155.25pt">
            <v:imagedata r:id="rId248" r:href="rId249"/>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7FD00B49" w14:textId="77777777" w:rsidR="004E22C1" w:rsidRPr="001455DC" w:rsidRDefault="004E22C1" w:rsidP="00C603BE">
      <w:pPr>
        <w:pStyle w:val="Figuretitle"/>
      </w:pPr>
      <w:r w:rsidRPr="001455DC">
        <w:t>Figure 7.3 — Effective flange width parameters</w:t>
      </w:r>
    </w:p>
    <w:p w14:paraId="6B4DF304" w14:textId="77777777" w:rsidR="004E22C1" w:rsidRPr="001455DC" w:rsidRDefault="004E22C1" w:rsidP="00C603BE">
      <w:pPr>
        <w:pStyle w:val="a7"/>
        <w:rPr>
          <w:szCs w:val="22"/>
        </w:rPr>
      </w:pPr>
      <w:r w:rsidRPr="001455DC">
        <w:rPr>
          <w:szCs w:val="22"/>
        </w:rPr>
        <w:t>(4)</w:t>
      </w:r>
      <w:r w:rsidRPr="001455DC">
        <w:rPr>
          <w:szCs w:val="22"/>
        </w:rPr>
        <w:tab/>
        <w:t>For structural analysis, where a great accuracy is not required, a constant width of the effective flange may be assumed over the whole span. In this case, the value applicable to the span section should be adopted.</w:t>
      </w:r>
    </w:p>
    <w:p w14:paraId="2870D844" w14:textId="77777777" w:rsidR="004E22C1" w:rsidRPr="001455DC" w:rsidRDefault="004E22C1" w:rsidP="00C603BE">
      <w:pPr>
        <w:pStyle w:val="a7"/>
        <w:rPr>
          <w:szCs w:val="22"/>
        </w:rPr>
      </w:pPr>
      <w:r w:rsidRPr="001455DC">
        <w:rPr>
          <w:szCs w:val="22"/>
        </w:rPr>
        <w:t>(5)</w:t>
      </w:r>
      <w:r w:rsidRPr="001455DC">
        <w:rPr>
          <w:szCs w:val="22"/>
        </w:rPr>
        <w:tab/>
        <w:t>The span of a beam or slab should be the distance between centrelines of supporting members or bearings, in general. Reductions of this length may be permitted accounting for the support dimensions if the resulting eccentricities are accounted for in the design of supporting elements. Generally, the support reaction may be assumed to be distributed in a length equal to the minimum of the support width or the beam or slab height. For elastomeric bearings the stress should be assumed to be evenly distributed over the whole area of the support.</w:t>
      </w:r>
    </w:p>
    <w:p w14:paraId="0C256D44" w14:textId="7298106B" w:rsidR="004E22C1" w:rsidRPr="001455DC" w:rsidRDefault="004E22C1" w:rsidP="00C603BE">
      <w:pPr>
        <w:pStyle w:val="a7"/>
        <w:rPr>
          <w:szCs w:val="22"/>
        </w:rPr>
      </w:pPr>
      <w:r w:rsidRPr="001455DC">
        <w:rPr>
          <w:szCs w:val="22"/>
        </w:rPr>
        <w:t>(6)</w:t>
      </w:r>
      <w:r w:rsidRPr="001455DC">
        <w:rPr>
          <w:szCs w:val="22"/>
        </w:rPr>
        <w:tab/>
        <w:t>Continuous beams and one-way slabs may be analysed assuming that the supports provide no rotational restraint.</w:t>
      </w:r>
    </w:p>
    <w:p w14:paraId="6B68917A" w14:textId="77777777" w:rsidR="00C603BE" w:rsidRPr="001455DC" w:rsidRDefault="004E22C1" w:rsidP="00C603BE">
      <w:pPr>
        <w:pStyle w:val="a7"/>
        <w:keepNext/>
      </w:pPr>
      <w:r w:rsidRPr="001455DC">
        <w:rPr>
          <w:szCs w:val="22"/>
        </w:rPr>
        <w:t>(7)</w:t>
      </w:r>
      <w:r w:rsidRPr="001455DC">
        <w:rPr>
          <w:szCs w:val="22"/>
        </w:rPr>
        <w:tab/>
        <w:t>Where a supporting member is modelled as line or point support, the peak bending moment at the line or point support may be reduced based on the assumed distribution of the support reaction. For a uniformly distributed support reaction, the peak moment, may be reduced by an amount Δ</w:t>
      </w:r>
      <w:r w:rsidRPr="001455DC">
        <w:rPr>
          <w:rStyle w:val="CCMCvariableitalic"/>
          <w:szCs w:val="22"/>
        </w:rPr>
        <w:t>M</w:t>
      </w:r>
      <w:r w:rsidRPr="001455DC">
        <w:rPr>
          <w:rStyle w:val="CCMCvariablesubscript"/>
          <w:szCs w:val="22"/>
        </w:rPr>
        <w:t>Ed</w:t>
      </w:r>
      <w:r w:rsidRPr="001455DC">
        <w:rPr>
          <w:szCs w:val="22"/>
        </w:rPr>
        <w:t xml:space="preserve"> as follows: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C603BE" w:rsidRPr="001455DC" w14:paraId="00E46097" w14:textId="77777777" w:rsidTr="00C603BE">
        <w:trPr>
          <w:cantSplit/>
        </w:trPr>
        <w:tc>
          <w:tcPr>
            <w:tcW w:w="8505" w:type="dxa"/>
            <w:vAlign w:val="center"/>
          </w:tcPr>
          <w:p w14:paraId="25A1DBD3" w14:textId="1D357717" w:rsidR="00C603BE" w:rsidRPr="001455DC" w:rsidRDefault="007A764A" w:rsidP="00036609">
            <w:pPr>
              <w:pStyle w:val="Formula"/>
              <w:keepNext/>
              <w:keepLines/>
              <w:jc w:val="left"/>
            </w:pPr>
            <m:oMathPara>
              <m:oMathParaPr>
                <m:jc m:val="left"/>
              </m:oMathParaPr>
              <m:oMath>
                <m:r>
                  <m:rPr>
                    <m:sty m:val="p"/>
                  </m:rPr>
                  <w:rPr>
                    <w:rFonts w:ascii="Cambria Math" w:hAnsi="Cambria Math"/>
                  </w:rPr>
                  <m:t>Δ</m:t>
                </m:r>
                <m:sSub>
                  <m:sSubPr>
                    <m:ctrlPr>
                      <w:rPr>
                        <w:rFonts w:ascii="Cambria Math" w:hAnsi="Cambria Math"/>
                      </w:rPr>
                    </m:ctrlPr>
                  </m:sSubPr>
                  <m:e>
                    <m:r>
                      <w:rPr>
                        <w:rFonts w:ascii="Cambria Math" w:hAnsi="Cambria Math"/>
                      </w:rPr>
                      <m:t>M</m:t>
                    </m:r>
                  </m:e>
                  <m:sub>
                    <m:r>
                      <m:rPr>
                        <m:sty m:val="p"/>
                      </m:rPr>
                      <w:rPr>
                        <w:rFonts w:ascii="Cambria Math" w:hAnsi="Cambria Math"/>
                      </w:rPr>
                      <m:t>Ed</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Ed,sup</m:t>
                        </m:r>
                      </m:sub>
                    </m:sSub>
                    <m:r>
                      <w:rPr>
                        <w:rFonts w:ascii="Cambria Math" w:hAnsi="Cambria Math"/>
                      </w:rPr>
                      <m:t>⋅t</m:t>
                    </m:r>
                  </m:num>
                  <m:den>
                    <m:r>
                      <w:rPr>
                        <w:rFonts w:ascii="Cambria Math" w:hAnsi="Cambria Math"/>
                      </w:rPr>
                      <m:t>8</m:t>
                    </m:r>
                  </m:den>
                </m:f>
              </m:oMath>
            </m:oMathPara>
          </w:p>
        </w:tc>
        <w:tc>
          <w:tcPr>
            <w:tcW w:w="1247" w:type="dxa"/>
            <w:vAlign w:val="center"/>
          </w:tcPr>
          <w:p w14:paraId="4D7AF3B6" w14:textId="5D87850C" w:rsidR="00C603BE" w:rsidRPr="001455DC" w:rsidRDefault="00C603BE" w:rsidP="00036609">
            <w:pPr>
              <w:pStyle w:val="a7"/>
              <w:keepNext/>
              <w:keepLines/>
              <w:jc w:val="right"/>
            </w:pPr>
            <w:r w:rsidRPr="001455DC">
              <w:t>(7.</w:t>
            </w:r>
            <w:r w:rsidR="00403E41" w:rsidRPr="001455DC">
              <w:t>12</w:t>
            </w:r>
            <w:r w:rsidRPr="001455DC">
              <w:t>)</w:t>
            </w:r>
          </w:p>
        </w:tc>
      </w:tr>
    </w:tbl>
    <w:p w14:paraId="58F20490" w14:textId="77777777" w:rsidR="00C603BE" w:rsidRPr="001455DC" w:rsidRDefault="00C603BE" w:rsidP="00A35599">
      <w:pPr>
        <w:pStyle w:val="a7"/>
        <w:keepNext/>
      </w:pPr>
      <w:r w:rsidRPr="001455DC">
        <w:t>where</w:t>
      </w:r>
    </w:p>
    <w:tbl>
      <w:tblPr>
        <w:tblW w:w="9413" w:type="dxa"/>
        <w:tblInd w:w="397" w:type="dxa"/>
        <w:tblLayout w:type="fixed"/>
        <w:tblCellMar>
          <w:left w:w="28" w:type="dxa"/>
          <w:right w:w="28" w:type="dxa"/>
        </w:tblCellMar>
        <w:tblLook w:val="04A0" w:firstRow="1" w:lastRow="0" w:firstColumn="1" w:lastColumn="0" w:noHBand="0" w:noVBand="1"/>
      </w:tblPr>
      <w:tblGrid>
        <w:gridCol w:w="851"/>
        <w:gridCol w:w="8562"/>
      </w:tblGrid>
      <w:tr w:rsidR="00C603BE" w:rsidRPr="001455DC" w14:paraId="5233569B" w14:textId="77777777" w:rsidTr="00C603BE">
        <w:trPr>
          <w:cantSplit/>
        </w:trPr>
        <w:tc>
          <w:tcPr>
            <w:tcW w:w="851" w:type="dxa"/>
          </w:tcPr>
          <w:p w14:paraId="57A5EDD7" w14:textId="7D6D636E" w:rsidR="00C603BE" w:rsidRPr="001455DC" w:rsidRDefault="00C603BE" w:rsidP="00C603BE">
            <w:pPr>
              <w:pStyle w:val="Tablebody"/>
            </w:pPr>
            <w:r w:rsidRPr="001455DC">
              <w:rPr>
                <w:rStyle w:val="CCMCvariableitalic"/>
              </w:rPr>
              <w:t>F</w:t>
            </w:r>
            <w:r w:rsidRPr="001455DC">
              <w:rPr>
                <w:rStyle w:val="CCMCvariablesubscript"/>
              </w:rPr>
              <w:t>Ed,sup</w:t>
            </w:r>
          </w:p>
        </w:tc>
        <w:tc>
          <w:tcPr>
            <w:tcW w:w="8562" w:type="dxa"/>
          </w:tcPr>
          <w:p w14:paraId="13A23E0E" w14:textId="6407AED6" w:rsidR="00C603BE" w:rsidRPr="001455DC" w:rsidRDefault="00C603BE" w:rsidP="00C603BE">
            <w:pPr>
              <w:pStyle w:val="Tablebody"/>
            </w:pPr>
            <w:r w:rsidRPr="001455DC">
              <w:rPr>
                <w:rFonts w:eastAsiaTheme="minorHAnsi"/>
              </w:rPr>
              <w:t>is the design support reaction due to the loads applied on the beam or the slab;</w:t>
            </w:r>
          </w:p>
        </w:tc>
      </w:tr>
      <w:tr w:rsidR="00C603BE" w:rsidRPr="001455DC" w14:paraId="0877435E" w14:textId="77777777" w:rsidTr="00C603BE">
        <w:trPr>
          <w:cantSplit/>
        </w:trPr>
        <w:tc>
          <w:tcPr>
            <w:tcW w:w="851" w:type="dxa"/>
          </w:tcPr>
          <w:p w14:paraId="168E6901" w14:textId="203BDB93" w:rsidR="00C603BE" w:rsidRPr="001455DC" w:rsidRDefault="00C603BE" w:rsidP="00C603BE">
            <w:pPr>
              <w:pStyle w:val="Tablebody"/>
            </w:pPr>
            <w:r w:rsidRPr="001455DC">
              <w:rPr>
                <w:rStyle w:val="CCMCvariableitalic"/>
              </w:rPr>
              <w:t>t</w:t>
            </w:r>
          </w:p>
        </w:tc>
        <w:tc>
          <w:tcPr>
            <w:tcW w:w="8562" w:type="dxa"/>
          </w:tcPr>
          <w:p w14:paraId="705F0608" w14:textId="5B456E2D" w:rsidR="00C603BE" w:rsidRPr="001455DC" w:rsidRDefault="00C603BE" w:rsidP="00C603BE">
            <w:pPr>
              <w:pStyle w:val="Tablebody"/>
            </w:pPr>
            <w:r w:rsidRPr="001455DC">
              <w:rPr>
                <w:rFonts w:eastAsiaTheme="minorHAnsi"/>
              </w:rPr>
              <w:t>is the width of the supporting member or of the bearing.</w:t>
            </w:r>
          </w:p>
        </w:tc>
      </w:tr>
    </w:tbl>
    <w:p w14:paraId="680B3742" w14:textId="056913A5" w:rsidR="004E22C1" w:rsidRPr="001455DC" w:rsidRDefault="004E22C1" w:rsidP="006D682B">
      <w:pPr>
        <w:pStyle w:val="21"/>
      </w:pPr>
      <w:bookmarkStart w:id="406" w:name="_Toc52819940"/>
      <w:bookmarkStart w:id="407" w:name="_Toc54337342"/>
      <w:bookmarkStart w:id="408" w:name="_Toc54337998"/>
      <w:bookmarkStart w:id="409" w:name="_Toc67565356"/>
      <w:bookmarkStart w:id="410" w:name="_Ref461622805"/>
      <w:r w:rsidRPr="001455DC">
        <w:t>Methods of analysis</w:t>
      </w:r>
      <w:bookmarkEnd w:id="406"/>
      <w:bookmarkEnd w:id="407"/>
      <w:bookmarkEnd w:id="408"/>
      <w:bookmarkEnd w:id="409"/>
    </w:p>
    <w:p w14:paraId="1153C389" w14:textId="10386F32" w:rsidR="004E22C1" w:rsidRPr="001455DC" w:rsidRDefault="004E22C1" w:rsidP="00243590">
      <w:pPr>
        <w:pStyle w:val="31"/>
      </w:pPr>
      <w:bookmarkStart w:id="411" w:name="_Toc52819941"/>
      <w:bookmarkStart w:id="412" w:name="_Toc54337343"/>
      <w:bookmarkStart w:id="413" w:name="_Toc54337999"/>
      <w:bookmarkStart w:id="414" w:name="_Toc67565357"/>
      <w:r w:rsidRPr="001455DC">
        <w:t>Linear elastic analysis</w:t>
      </w:r>
      <w:bookmarkEnd w:id="410"/>
      <w:bookmarkEnd w:id="411"/>
      <w:bookmarkEnd w:id="412"/>
      <w:bookmarkEnd w:id="413"/>
      <w:bookmarkEnd w:id="414"/>
    </w:p>
    <w:p w14:paraId="5581091A" w14:textId="77777777" w:rsidR="004E22C1" w:rsidRPr="001455DC" w:rsidRDefault="004E22C1" w:rsidP="00C603BE">
      <w:pPr>
        <w:pStyle w:val="a7"/>
      </w:pPr>
      <w:r w:rsidRPr="001455DC">
        <w:rPr>
          <w:rFonts w:eastAsiaTheme="minorHAnsi"/>
        </w:rPr>
        <w:t>(1)</w:t>
      </w:r>
      <w:r w:rsidRPr="001455DC">
        <w:rPr>
          <w:rFonts w:eastAsiaTheme="minorHAnsi"/>
        </w:rPr>
        <w:tab/>
      </w:r>
      <w:r w:rsidRPr="001455DC">
        <w:t>Linear analysis of structures and members based on the theory of elasticity may be used for the calculation of internal forces in both serviceability and ultimate limit states.</w:t>
      </w:r>
    </w:p>
    <w:p w14:paraId="52471C56" w14:textId="77777777" w:rsidR="004E22C1" w:rsidRPr="001455DC" w:rsidRDefault="004E22C1" w:rsidP="00A35599">
      <w:pPr>
        <w:pStyle w:val="a7"/>
        <w:keepNext/>
      </w:pPr>
      <w:r w:rsidRPr="001455DC">
        <w:t>(2)</w:t>
      </w:r>
      <w:r w:rsidRPr="001455DC">
        <w:tab/>
        <w:t>Except when specified otherwise as e.g. in (3), (4) and (5), and for structures designed for earthquake resistance, linear elastic analysis may be carried out for the determination of the action effects assuming:</w:t>
      </w:r>
    </w:p>
    <w:p w14:paraId="0D16ECAE" w14:textId="06FBB5F1" w:rsidR="004E22C1" w:rsidRPr="001455DC" w:rsidRDefault="004E22C1" w:rsidP="00A35599">
      <w:pPr>
        <w:pStyle w:val="a7"/>
        <w:ind w:left="454" w:hanging="454"/>
      </w:pPr>
      <w:r w:rsidRPr="001455DC">
        <w:t>i)</w:t>
      </w:r>
      <w:r w:rsidR="00A35599" w:rsidRPr="001455DC">
        <w:tab/>
      </w:r>
      <w:r w:rsidRPr="001455DC">
        <w:t>uncracked cross sections,</w:t>
      </w:r>
    </w:p>
    <w:p w14:paraId="43829618" w14:textId="1687C2EA" w:rsidR="004E22C1" w:rsidRPr="001455DC" w:rsidRDefault="004E22C1" w:rsidP="00A35599">
      <w:pPr>
        <w:pStyle w:val="a7"/>
        <w:ind w:left="454" w:hanging="454"/>
      </w:pPr>
      <w:r w:rsidRPr="001455DC">
        <w:t>ii)</w:t>
      </w:r>
      <w:r w:rsidR="00A35599" w:rsidRPr="001455DC">
        <w:tab/>
      </w:r>
      <w:r w:rsidRPr="001455DC">
        <w:t>linear stress-strain relationships,</w:t>
      </w:r>
    </w:p>
    <w:p w14:paraId="03C4EA1E" w14:textId="3EBE718D" w:rsidR="004E22C1" w:rsidRPr="001455DC" w:rsidRDefault="004E22C1" w:rsidP="00A35599">
      <w:pPr>
        <w:pStyle w:val="a7"/>
        <w:ind w:left="454" w:hanging="454"/>
      </w:pPr>
      <w:r w:rsidRPr="001455DC">
        <w:t>iii)</w:t>
      </w:r>
      <w:r w:rsidR="00A35599" w:rsidRPr="001455DC">
        <w:tab/>
      </w:r>
      <w:r w:rsidRPr="001455DC">
        <w:t>a mean value of the modulus of elasticity.</w:t>
      </w:r>
    </w:p>
    <w:p w14:paraId="34563ABE" w14:textId="77777777" w:rsidR="004E22C1" w:rsidRPr="001455DC" w:rsidRDefault="004E22C1" w:rsidP="00C603BE">
      <w:pPr>
        <w:pStyle w:val="a7"/>
      </w:pPr>
      <w:r w:rsidRPr="001455DC">
        <w:rPr>
          <w:rFonts w:eastAsiaTheme="minorHAnsi"/>
        </w:rPr>
        <w:t>(3)</w:t>
      </w:r>
      <w:r w:rsidRPr="001455DC">
        <w:rPr>
          <w:rFonts w:eastAsiaTheme="minorHAnsi"/>
        </w:rPr>
        <w:tab/>
      </w:r>
      <w:r w:rsidRPr="001455DC">
        <w:t>A reduced stiffness may be considered in the analysis in member regions where cracking is expected under the relevant load combination. The assumed reduction of stiffness should be consistent with the amount of reinforcement provided in these regions. In case of continuous structures with prestressed and non-prestressed sections, the difference in stiffness between the prestressed and the non-prestressed areas should be considered in SLS.</w:t>
      </w:r>
    </w:p>
    <w:p w14:paraId="6B186D8D" w14:textId="77777777" w:rsidR="004E22C1" w:rsidRPr="001455DC" w:rsidRDefault="004E22C1" w:rsidP="00C603BE">
      <w:pPr>
        <w:pStyle w:val="a7"/>
      </w:pPr>
      <w:r w:rsidRPr="001455DC">
        <w:t>(4)</w:t>
      </w:r>
      <w:r w:rsidRPr="001455DC">
        <w:tab/>
        <w:t>For the determination of the effect of imposed deformations at the serviceability limit state (SLS), cracking should be considered.</w:t>
      </w:r>
    </w:p>
    <w:p w14:paraId="232FB4F5" w14:textId="77777777" w:rsidR="004E22C1" w:rsidRPr="001455DC" w:rsidRDefault="004E22C1" w:rsidP="00C603BE">
      <w:pPr>
        <w:pStyle w:val="a7"/>
      </w:pPr>
      <w:r w:rsidRPr="001455DC">
        <w:t>(5)</w:t>
      </w:r>
      <w:r w:rsidRPr="001455DC">
        <w:tab/>
        <w:t>When the effect of imposed deformations has to be considered at the ultimate limit state (ULS) (see 4.2.1.3 (2)), a reduced stiffness due to cracking and creep and non-linear material behaviour may be assumed.</w:t>
      </w:r>
    </w:p>
    <w:p w14:paraId="0730D158" w14:textId="77777777" w:rsidR="00C603BE" w:rsidRPr="001455DC" w:rsidRDefault="004E22C1" w:rsidP="00C603BE">
      <w:pPr>
        <w:pStyle w:val="a7"/>
        <w:keepNext/>
      </w:pPr>
      <w:r w:rsidRPr="001455DC">
        <w:t>(6)</w:t>
      </w:r>
      <w:r w:rsidRPr="001455DC">
        <w:tab/>
        <w:t xml:space="preserve">Forces or stresses due to differential settlements or shrinkage obtained by linear elastic analysis should be reduced to </w:t>
      </w:r>
      <w:r w:rsidRPr="001455DC">
        <w:rPr>
          <w:rStyle w:val="CCMCvariableitalic"/>
          <w:szCs w:val="22"/>
        </w:rPr>
        <w:t>E</w:t>
      </w:r>
      <w:r w:rsidRPr="001455DC">
        <w:rPr>
          <w:rStyle w:val="CCMCvariablesubscript"/>
          <w:szCs w:val="22"/>
        </w:rPr>
        <w:t>t</w:t>
      </w:r>
      <w:r w:rsidRPr="001455DC">
        <w:t>, to account for creep relaxation:</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C603BE" w:rsidRPr="001455DC" w14:paraId="7F7ADAAE" w14:textId="77777777" w:rsidTr="00C603BE">
        <w:trPr>
          <w:cantSplit/>
        </w:trPr>
        <w:tc>
          <w:tcPr>
            <w:tcW w:w="8505" w:type="dxa"/>
            <w:vAlign w:val="center"/>
          </w:tcPr>
          <w:p w14:paraId="76DBC294" w14:textId="54862848" w:rsidR="00C603BE" w:rsidRPr="001455DC" w:rsidRDefault="00231E33" w:rsidP="00C603BE">
            <w:pPr>
              <w:pStyle w:val="Formula"/>
              <w:jc w:val="left"/>
            </w:pPr>
            <m:oMathPara>
              <m:oMathParaPr>
                <m:jc m:val="left"/>
              </m:oMathParaPr>
              <m:oMath>
                <m:sSub>
                  <m:sSubPr>
                    <m:ctrlPr>
                      <w:rPr>
                        <w:rFonts w:ascii="Cambria Math" w:hAnsi="Cambria Math"/>
                      </w:rPr>
                    </m:ctrlPr>
                  </m:sSubPr>
                  <m:e>
                    <m:r>
                      <w:rPr>
                        <w:rFonts w:ascii="Cambria Math" w:hAnsi="Cambria Math"/>
                      </w:rPr>
                      <m:t>E</m:t>
                    </m:r>
                  </m:e>
                  <m:sub>
                    <m:r>
                      <m:rPr>
                        <m:sty m:val="p"/>
                      </m:rPr>
                      <w:rPr>
                        <w:rFonts w:ascii="Cambria Math" w:hAnsi="Cambria Math"/>
                      </w:rPr>
                      <m:t>t</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t=0</m:t>
                        </m:r>
                      </m:sub>
                    </m:sSub>
                  </m:num>
                  <m:den>
                    <m:r>
                      <w:rPr>
                        <w:rFonts w:ascii="Cambria Math" w:hAnsi="Cambria Math"/>
                      </w:rPr>
                      <m:t>1+χφ</m:t>
                    </m:r>
                    <m:d>
                      <m:dPr>
                        <m:sepChr m:val=""/>
                        <m:ctrlPr>
                          <w:rPr>
                            <w:rFonts w:ascii="Cambria Math" w:hAnsi="Cambria Math"/>
                          </w:rPr>
                        </m:ctrlPr>
                      </m:dPr>
                      <m:e>
                        <m:r>
                          <w:rPr>
                            <w:rFonts w:ascii="Cambria Math" w:hAnsi="Cambria Math"/>
                          </w:rPr>
                          <m:t>t</m:t>
                        </m:r>
                      </m:e>
                      <m:e>
                        <m:r>
                          <w:rPr>
                            <w:rFonts w:ascii="Cambria Math" w:hAnsi="Cambria Math"/>
                          </w:rPr>
                          <m:t>,</m:t>
                        </m:r>
                      </m:e>
                      <m:e>
                        <m:sSub>
                          <m:sSubPr>
                            <m:ctrlPr>
                              <w:rPr>
                                <w:rFonts w:ascii="Cambria Math" w:hAnsi="Cambria Math"/>
                              </w:rPr>
                            </m:ctrlPr>
                          </m:sSubPr>
                          <m:e>
                            <m:r>
                              <w:rPr>
                                <w:rFonts w:ascii="Cambria Math" w:hAnsi="Cambria Math"/>
                              </w:rPr>
                              <m:t>t</m:t>
                            </m:r>
                          </m:e>
                          <m:sub>
                            <m:r>
                              <w:rPr>
                                <w:rFonts w:ascii="Cambria Math" w:hAnsi="Cambria Math"/>
                              </w:rPr>
                              <m:t>0</m:t>
                            </m:r>
                          </m:sub>
                        </m:sSub>
                      </m:e>
                    </m:d>
                  </m:den>
                </m:f>
              </m:oMath>
            </m:oMathPara>
          </w:p>
        </w:tc>
        <w:tc>
          <w:tcPr>
            <w:tcW w:w="1247" w:type="dxa"/>
            <w:vAlign w:val="center"/>
          </w:tcPr>
          <w:p w14:paraId="67C4AF02" w14:textId="330803B6" w:rsidR="00C603BE" w:rsidRPr="001455DC" w:rsidRDefault="00C603BE">
            <w:pPr>
              <w:pStyle w:val="a7"/>
              <w:jc w:val="right"/>
            </w:pPr>
            <w:r w:rsidRPr="001455DC">
              <w:t>(7.</w:t>
            </w:r>
            <w:r w:rsidR="00AB06C9" w:rsidRPr="001455DC">
              <w:t>13</w:t>
            </w:r>
            <w:r w:rsidRPr="001455DC">
              <w:t>)</w:t>
            </w:r>
          </w:p>
        </w:tc>
      </w:tr>
    </w:tbl>
    <w:p w14:paraId="4CA6018A" w14:textId="77777777" w:rsidR="0082181D" w:rsidRPr="001455DC" w:rsidRDefault="0082181D"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82181D" w:rsidRPr="001455DC" w14:paraId="1B425334" w14:textId="77777777" w:rsidTr="0082181D">
        <w:trPr>
          <w:cantSplit/>
        </w:trPr>
        <w:tc>
          <w:tcPr>
            <w:tcW w:w="567" w:type="dxa"/>
          </w:tcPr>
          <w:p w14:paraId="1795F9A8" w14:textId="0C21268D" w:rsidR="0082181D" w:rsidRPr="001455DC" w:rsidRDefault="0082181D" w:rsidP="0082181D">
            <w:pPr>
              <w:pStyle w:val="Tablebody"/>
            </w:pPr>
            <w:r w:rsidRPr="001455DC">
              <w:rPr>
                <w:rStyle w:val="CCMCvariableitalic"/>
              </w:rPr>
              <w:t>E</w:t>
            </w:r>
            <w:r w:rsidRPr="001455DC">
              <w:rPr>
                <w:rStyle w:val="CCMCvariablesubscript"/>
              </w:rPr>
              <w:t>t</w:t>
            </w:r>
          </w:p>
        </w:tc>
        <w:tc>
          <w:tcPr>
            <w:tcW w:w="8845" w:type="dxa"/>
          </w:tcPr>
          <w:p w14:paraId="6F97526F" w14:textId="1476CB5F" w:rsidR="0082181D" w:rsidRPr="001455DC" w:rsidRDefault="0082181D" w:rsidP="0082181D">
            <w:pPr>
              <w:pStyle w:val="Tablebody"/>
            </w:pPr>
            <w:r w:rsidRPr="001455DC">
              <w:t xml:space="preserve">is the internal force or stress at time </w:t>
            </w:r>
            <w:r w:rsidRPr="001455DC">
              <w:rPr>
                <w:rStyle w:val="CCMCvariableitalic"/>
              </w:rPr>
              <w:t>t</w:t>
            </w:r>
            <w:r w:rsidRPr="001455DC">
              <w:t>;</w:t>
            </w:r>
          </w:p>
        </w:tc>
      </w:tr>
      <w:tr w:rsidR="0082181D" w:rsidRPr="001455DC" w14:paraId="1E0C5798" w14:textId="77777777" w:rsidTr="0082181D">
        <w:trPr>
          <w:cantSplit/>
        </w:trPr>
        <w:tc>
          <w:tcPr>
            <w:tcW w:w="567" w:type="dxa"/>
          </w:tcPr>
          <w:p w14:paraId="5A7EB480" w14:textId="16DB3D26" w:rsidR="0082181D" w:rsidRPr="001455DC" w:rsidRDefault="0082181D" w:rsidP="0082181D">
            <w:pPr>
              <w:pStyle w:val="Tablebody"/>
            </w:pPr>
            <w:r w:rsidRPr="001455DC">
              <w:rPr>
                <w:rStyle w:val="CCMCvariableitalic"/>
              </w:rPr>
              <w:t>E</w:t>
            </w:r>
            <w:r w:rsidRPr="001455DC">
              <w:rPr>
                <w:rStyle w:val="CCMCvariableitalicsubscript"/>
              </w:rPr>
              <w:t>t</w:t>
            </w:r>
            <w:r w:rsidR="00EC27D2" w:rsidRPr="001455DC">
              <w:rPr>
                <w:rStyle w:val="CCMCvariablesubscript"/>
                <w:rFonts w:ascii="Cambria Math" w:hAnsi="Cambria Math"/>
              </w:rPr>
              <w:t>=</w:t>
            </w:r>
            <w:r w:rsidRPr="001455DC">
              <w:rPr>
                <w:rStyle w:val="CCMCvariablesubscript"/>
              </w:rPr>
              <w:t>0</w:t>
            </w:r>
          </w:p>
        </w:tc>
        <w:tc>
          <w:tcPr>
            <w:tcW w:w="8845" w:type="dxa"/>
          </w:tcPr>
          <w:p w14:paraId="49DF7EB2" w14:textId="3A17069F" w:rsidR="0082181D" w:rsidRPr="001455DC" w:rsidRDefault="0082181D" w:rsidP="0082181D">
            <w:pPr>
              <w:pStyle w:val="Tablebody"/>
            </w:pPr>
            <w:r w:rsidRPr="001455DC">
              <w:t>is the internal force or stress at the end of construction with no consideration for creep</w:t>
            </w:r>
            <w:r w:rsidRPr="001455DC">
              <w:rPr>
                <w:rStyle w:val="CCMCvariableitalic"/>
              </w:rPr>
              <w:t>;</w:t>
            </w:r>
          </w:p>
        </w:tc>
      </w:tr>
      <w:tr w:rsidR="0082181D" w:rsidRPr="001455DC" w14:paraId="7A7758FE" w14:textId="77777777" w:rsidTr="0082181D">
        <w:trPr>
          <w:cantSplit/>
        </w:trPr>
        <w:tc>
          <w:tcPr>
            <w:tcW w:w="567" w:type="dxa"/>
          </w:tcPr>
          <w:p w14:paraId="37B25E1A" w14:textId="5AB3E02D" w:rsidR="0082181D" w:rsidRPr="001455DC" w:rsidRDefault="0082181D" w:rsidP="0082181D">
            <w:pPr>
              <w:pStyle w:val="Tablebody"/>
            </w:pPr>
            <w:r w:rsidRPr="001455DC">
              <w:rPr>
                <w:rStyle w:val="CCMCvariableitalic"/>
              </w:rPr>
              <w:t>χ</w:t>
            </w:r>
          </w:p>
        </w:tc>
        <w:tc>
          <w:tcPr>
            <w:tcW w:w="8845" w:type="dxa"/>
          </w:tcPr>
          <w:p w14:paraId="50D0EF40" w14:textId="4A70C21C" w:rsidR="0082181D" w:rsidRPr="001455DC" w:rsidRDefault="0082181D" w:rsidP="0082181D">
            <w:pPr>
              <w:pStyle w:val="Tablebody"/>
            </w:pPr>
            <w:r w:rsidRPr="001455DC">
              <w:t>is the aging coefficient which may be taken equal to 0,8 for long term calculations;</w:t>
            </w:r>
          </w:p>
        </w:tc>
      </w:tr>
      <w:tr w:rsidR="0082181D" w:rsidRPr="001455DC" w14:paraId="301DDC63" w14:textId="77777777" w:rsidTr="0082181D">
        <w:trPr>
          <w:cantSplit/>
        </w:trPr>
        <w:tc>
          <w:tcPr>
            <w:tcW w:w="567" w:type="dxa"/>
          </w:tcPr>
          <w:p w14:paraId="65A57CEE" w14:textId="2A537AEA" w:rsidR="0082181D" w:rsidRPr="001455DC" w:rsidRDefault="0082181D" w:rsidP="0082181D">
            <w:pPr>
              <w:pStyle w:val="Tablebody"/>
            </w:pPr>
            <w:r w:rsidRPr="001455DC">
              <w:rPr>
                <w:rStyle w:val="CCMCvariableitalic"/>
              </w:rPr>
              <w:t>φ</w:t>
            </w:r>
          </w:p>
        </w:tc>
        <w:tc>
          <w:tcPr>
            <w:tcW w:w="8845" w:type="dxa"/>
          </w:tcPr>
          <w:p w14:paraId="18B69925" w14:textId="318CECAC" w:rsidR="0082181D" w:rsidRPr="001455DC" w:rsidRDefault="0082181D" w:rsidP="0082181D">
            <w:pPr>
              <w:pStyle w:val="Tablebody"/>
            </w:pPr>
            <w:r w:rsidRPr="001455DC">
              <w:t>is the creep coefficient;</w:t>
            </w:r>
          </w:p>
        </w:tc>
      </w:tr>
      <w:tr w:rsidR="0082181D" w:rsidRPr="001455DC" w14:paraId="02E54A19" w14:textId="77777777" w:rsidTr="0082181D">
        <w:trPr>
          <w:cantSplit/>
        </w:trPr>
        <w:tc>
          <w:tcPr>
            <w:tcW w:w="567" w:type="dxa"/>
          </w:tcPr>
          <w:p w14:paraId="25EC8867" w14:textId="395D9C8D" w:rsidR="0082181D" w:rsidRPr="001455DC" w:rsidRDefault="0082181D" w:rsidP="0082181D">
            <w:pPr>
              <w:pStyle w:val="Tablebody"/>
            </w:pPr>
            <w:r w:rsidRPr="001455DC">
              <w:rPr>
                <w:rStyle w:val="CCMCvariableitalic"/>
              </w:rPr>
              <w:t>t</w:t>
            </w:r>
          </w:p>
        </w:tc>
        <w:tc>
          <w:tcPr>
            <w:tcW w:w="8845" w:type="dxa"/>
          </w:tcPr>
          <w:p w14:paraId="7E399A67" w14:textId="35A07E69" w:rsidR="0082181D" w:rsidRPr="001455DC" w:rsidRDefault="0082181D" w:rsidP="0082181D">
            <w:pPr>
              <w:pStyle w:val="Tablebody"/>
            </w:pPr>
            <w:r w:rsidRPr="001455DC">
              <w:t>is the age of concrete when stresses are being evaluated;</w:t>
            </w:r>
          </w:p>
        </w:tc>
      </w:tr>
      <w:tr w:rsidR="0082181D" w:rsidRPr="001455DC" w14:paraId="45E97E1A" w14:textId="77777777" w:rsidTr="0082181D">
        <w:trPr>
          <w:cantSplit/>
        </w:trPr>
        <w:tc>
          <w:tcPr>
            <w:tcW w:w="567" w:type="dxa"/>
          </w:tcPr>
          <w:p w14:paraId="6B1E3B9B" w14:textId="262393CF" w:rsidR="0082181D" w:rsidRPr="001455DC" w:rsidRDefault="0082181D" w:rsidP="0082181D">
            <w:pPr>
              <w:pStyle w:val="Tablebody"/>
            </w:pPr>
            <w:r w:rsidRPr="001455DC">
              <w:rPr>
                <w:rStyle w:val="CCMCvariableitalic"/>
              </w:rPr>
              <w:t>t</w:t>
            </w:r>
            <w:r w:rsidRPr="001455DC">
              <w:rPr>
                <w:rStyle w:val="CCMCvariablesubscript"/>
              </w:rPr>
              <w:t>0</w:t>
            </w:r>
          </w:p>
        </w:tc>
        <w:tc>
          <w:tcPr>
            <w:tcW w:w="8845" w:type="dxa"/>
          </w:tcPr>
          <w:p w14:paraId="01E193A3" w14:textId="269C1641" w:rsidR="0082181D" w:rsidRPr="001455DC" w:rsidRDefault="0082181D" w:rsidP="0082181D">
            <w:pPr>
              <w:pStyle w:val="Tablebody"/>
            </w:pPr>
            <w:r w:rsidRPr="001455DC">
              <w:t>is the age of concrete when the settlement occurred or when curing ended, as appropriate.</w:t>
            </w:r>
          </w:p>
        </w:tc>
      </w:tr>
    </w:tbl>
    <w:p w14:paraId="116C8116" w14:textId="55833B9A" w:rsidR="0082181D" w:rsidRPr="001455DC" w:rsidRDefault="004E22C1" w:rsidP="0082181D">
      <w:pPr>
        <w:pStyle w:val="a7"/>
        <w:keepNext/>
      </w:pPr>
      <w:r w:rsidRPr="001455DC">
        <w:t>(7)</w:t>
      </w:r>
      <w:r w:rsidRPr="001455DC">
        <w:tab/>
        <w:t>Creep redistribution of internal forces or stresses due to a change in the support conditions may be accounted for by Formula (7.</w:t>
      </w:r>
      <w:r w:rsidR="00AB06C9" w:rsidRPr="001455DC">
        <w:t>14</w:t>
      </w:r>
      <w:r w:rsidRPr="001455DC">
        <w:t>):</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82181D" w:rsidRPr="001455DC" w14:paraId="0B2F7941" w14:textId="77777777" w:rsidTr="0082181D">
        <w:trPr>
          <w:cantSplit/>
        </w:trPr>
        <w:tc>
          <w:tcPr>
            <w:tcW w:w="8505" w:type="dxa"/>
            <w:vAlign w:val="center"/>
          </w:tcPr>
          <w:p w14:paraId="0AA0E337" w14:textId="1D483A0D" w:rsidR="0082181D" w:rsidRPr="001455DC" w:rsidRDefault="00231E33" w:rsidP="0082181D">
            <w:pPr>
              <w:pStyle w:val="Formula"/>
              <w:jc w:val="left"/>
            </w:pPr>
            <m:oMathPara>
              <m:oMathParaPr>
                <m:jc m:val="left"/>
              </m:oMathParaPr>
              <m:oMath>
                <m:sSub>
                  <m:sSubPr>
                    <m:ctrlPr>
                      <w:rPr>
                        <w:rFonts w:ascii="Cambria Math" w:hAnsi="Cambria Math"/>
                      </w:rPr>
                    </m:ctrlPr>
                  </m:sSubPr>
                  <m:e>
                    <m:r>
                      <w:rPr>
                        <w:rFonts w:ascii="Cambria Math" w:hAnsi="Cambria Math"/>
                      </w:rPr>
                      <m:t>E</m:t>
                    </m:r>
                  </m:e>
                  <m:sub>
                    <m:r>
                      <m:rPr>
                        <m:sty m:val="p"/>
                      </m:rP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t=0</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m:rPr>
                            <m:sty m:val="p"/>
                          </m:rPr>
                          <w:rPr>
                            <w:rFonts w:ascii="Cambria Math" w:hAnsi="Cambria Math"/>
                          </w:rPr>
                          <m:t>wc</m:t>
                        </m:r>
                      </m:sub>
                    </m:sSub>
                    <m: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t=0</m:t>
                        </m:r>
                      </m:sub>
                    </m:sSub>
                  </m:e>
                </m:d>
                <m:f>
                  <m:fPr>
                    <m:ctrlPr>
                      <w:rPr>
                        <w:rFonts w:ascii="Cambria Math" w:hAnsi="Cambria Math"/>
                      </w:rPr>
                    </m:ctrlPr>
                  </m:fPr>
                  <m:num>
                    <m:r>
                      <w:rPr>
                        <w:rFonts w:ascii="Cambria Math" w:hAnsi="Cambria Math"/>
                      </w:rPr>
                      <m:t>φ</m:t>
                    </m:r>
                    <m:d>
                      <m:dPr>
                        <m:sepChr m:val=""/>
                        <m:ctrlPr>
                          <w:rPr>
                            <w:rFonts w:ascii="Cambria Math" w:hAnsi="Cambria Math"/>
                          </w:rPr>
                        </m:ctrlPr>
                      </m:dPr>
                      <m:e>
                        <m:r>
                          <w:rPr>
                            <w:rFonts w:ascii="Cambria Math" w:hAnsi="Cambria Math"/>
                          </w:rPr>
                          <m:t>t</m:t>
                        </m:r>
                      </m:e>
                      <m:e>
                        <m:r>
                          <w:rPr>
                            <w:rFonts w:ascii="Cambria Math" w:hAnsi="Cambria Math"/>
                          </w:rPr>
                          <m:t>,</m:t>
                        </m:r>
                      </m:e>
                      <m:e>
                        <m:sSub>
                          <m:sSubPr>
                            <m:ctrlPr>
                              <w:rPr>
                                <w:rFonts w:ascii="Cambria Math" w:hAnsi="Cambria Math"/>
                              </w:rPr>
                            </m:ctrlPr>
                          </m:sSubPr>
                          <m:e>
                            <m:r>
                              <w:rPr>
                                <w:rFonts w:ascii="Cambria Math" w:hAnsi="Cambria Math"/>
                              </w:rPr>
                              <m:t>t</m:t>
                            </m:r>
                          </m:e>
                          <m:sub>
                            <m:r>
                              <w:rPr>
                                <w:rFonts w:ascii="Cambria Math" w:hAnsi="Cambria Math"/>
                              </w:rPr>
                              <m:t>0</m:t>
                            </m:r>
                          </m:sub>
                        </m:sSub>
                      </m:e>
                    </m:d>
                    <m:r>
                      <w:rPr>
                        <w:rFonts w:ascii="Cambria Math" w:hAnsi="Cambria Math"/>
                      </w:rPr>
                      <m:t>-φ</m:t>
                    </m:r>
                    <m:d>
                      <m:dPr>
                        <m:sepChr m:val=""/>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c</m:t>
                            </m:r>
                          </m:sub>
                        </m:sSub>
                      </m:e>
                      <m:e>
                        <m:r>
                          <w:rPr>
                            <w:rFonts w:ascii="Cambria Math" w:hAnsi="Cambria Math"/>
                          </w:rPr>
                          <m:t>,</m:t>
                        </m:r>
                      </m:e>
                      <m:e>
                        <m:sSub>
                          <m:sSubPr>
                            <m:ctrlPr>
                              <w:rPr>
                                <w:rFonts w:ascii="Cambria Math" w:hAnsi="Cambria Math"/>
                              </w:rPr>
                            </m:ctrlPr>
                          </m:sSubPr>
                          <m:e>
                            <m:r>
                              <w:rPr>
                                <w:rFonts w:ascii="Cambria Math" w:hAnsi="Cambria Math"/>
                              </w:rPr>
                              <m:t>t</m:t>
                            </m:r>
                          </m:e>
                          <m:sub>
                            <m:r>
                              <w:rPr>
                                <w:rFonts w:ascii="Cambria Math" w:hAnsi="Cambria Math"/>
                              </w:rPr>
                              <m:t>0</m:t>
                            </m:r>
                          </m:sub>
                        </m:sSub>
                      </m:e>
                    </m:d>
                  </m:num>
                  <m:den>
                    <m:r>
                      <w:rPr>
                        <w:rFonts w:ascii="Cambria Math" w:hAnsi="Cambria Math"/>
                      </w:rPr>
                      <m:t>1+χφ</m:t>
                    </m:r>
                    <m:d>
                      <m:dPr>
                        <m:sepChr m:val=""/>
                        <m:ctrlPr>
                          <w:rPr>
                            <w:rFonts w:ascii="Cambria Math" w:hAnsi="Cambria Math"/>
                          </w:rPr>
                        </m:ctrlPr>
                      </m:dPr>
                      <m:e>
                        <m:r>
                          <w:rPr>
                            <w:rFonts w:ascii="Cambria Math" w:hAnsi="Cambria Math"/>
                          </w:rPr>
                          <m:t>t</m:t>
                        </m:r>
                      </m:e>
                      <m:e>
                        <m:r>
                          <w:rPr>
                            <w:rFonts w:ascii="Cambria Math" w:hAnsi="Cambria Math"/>
                          </w:rPr>
                          <m:t>,</m:t>
                        </m:r>
                      </m:e>
                      <m:e>
                        <m:sSub>
                          <m:sSubPr>
                            <m:ctrlPr>
                              <w:rPr>
                                <w:rFonts w:ascii="Cambria Math" w:hAnsi="Cambria Math"/>
                              </w:rPr>
                            </m:ctrlPr>
                          </m:sSubPr>
                          <m:e>
                            <m:r>
                              <w:rPr>
                                <w:rFonts w:ascii="Cambria Math" w:hAnsi="Cambria Math"/>
                              </w:rPr>
                              <m:t>t</m:t>
                            </m:r>
                          </m:e>
                          <m:sub>
                            <m:r>
                              <m:rPr>
                                <m:sty m:val="p"/>
                              </m:rPr>
                              <w:rPr>
                                <w:rFonts w:ascii="Cambria Math" w:hAnsi="Cambria Math"/>
                              </w:rPr>
                              <m:t>c</m:t>
                            </m:r>
                          </m:sub>
                        </m:sSub>
                      </m:e>
                    </m:d>
                  </m:den>
                </m:f>
              </m:oMath>
            </m:oMathPara>
          </w:p>
        </w:tc>
        <w:tc>
          <w:tcPr>
            <w:tcW w:w="1247" w:type="dxa"/>
            <w:vAlign w:val="center"/>
          </w:tcPr>
          <w:p w14:paraId="59396DA0" w14:textId="26925EA9" w:rsidR="0082181D" w:rsidRPr="001455DC" w:rsidRDefault="0082181D">
            <w:pPr>
              <w:pStyle w:val="a7"/>
              <w:jc w:val="right"/>
            </w:pPr>
            <w:r w:rsidRPr="001455DC">
              <w:t>(7.</w:t>
            </w:r>
            <w:r w:rsidR="00AB06C9" w:rsidRPr="001455DC">
              <w:t>14</w:t>
            </w:r>
            <w:r w:rsidRPr="001455DC">
              <w:t>)</w:t>
            </w:r>
          </w:p>
        </w:tc>
      </w:tr>
    </w:tbl>
    <w:p w14:paraId="13C79CEB" w14:textId="77777777" w:rsidR="0082181D" w:rsidRPr="001455DC" w:rsidRDefault="0082181D"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82181D" w:rsidRPr="001455DC" w14:paraId="11FC5FB8" w14:textId="77777777" w:rsidTr="0082181D">
        <w:trPr>
          <w:cantSplit/>
        </w:trPr>
        <w:tc>
          <w:tcPr>
            <w:tcW w:w="9412" w:type="dxa"/>
            <w:gridSpan w:val="2"/>
          </w:tcPr>
          <w:p w14:paraId="61DDB883" w14:textId="01489FC8" w:rsidR="0082181D" w:rsidRPr="001455DC" w:rsidRDefault="0082181D" w:rsidP="0082181D">
            <w:pPr>
              <w:pStyle w:val="Tablebody"/>
            </w:pPr>
            <w:r w:rsidRPr="001455DC">
              <w:rPr>
                <w:rStyle w:val="CCMCvariableitalic"/>
              </w:rPr>
              <w:t>E</w:t>
            </w:r>
            <w:r w:rsidRPr="001455DC">
              <w:rPr>
                <w:rStyle w:val="CCMCvariablesubscript"/>
              </w:rPr>
              <w:t>t</w:t>
            </w:r>
            <w:r w:rsidRPr="001455DC">
              <w:t xml:space="preserve"> and </w:t>
            </w:r>
            <w:r w:rsidRPr="001455DC">
              <w:rPr>
                <w:rStyle w:val="CCMCvariableitalic"/>
              </w:rPr>
              <w:t>E</w:t>
            </w:r>
            <w:r w:rsidRPr="001455DC">
              <w:rPr>
                <w:rStyle w:val="CCMCvariableitalicsubscript"/>
              </w:rPr>
              <w:t>t</w:t>
            </w:r>
            <w:r w:rsidR="00EC27D2" w:rsidRPr="001455DC">
              <w:rPr>
                <w:rStyle w:val="CCMCvariableitalicsubscript"/>
                <w:rFonts w:ascii="Cambria Math" w:hAnsi="Cambria Math"/>
              </w:rPr>
              <w:t>=</w:t>
            </w:r>
            <w:r w:rsidRPr="001455DC">
              <w:rPr>
                <w:rStyle w:val="CCMCvariableitalicsubscript"/>
              </w:rPr>
              <w:t>0</w:t>
            </w:r>
            <w:r w:rsidRPr="001455DC">
              <w:t xml:space="preserve"> see (5);</w:t>
            </w:r>
          </w:p>
        </w:tc>
      </w:tr>
      <w:tr w:rsidR="0082181D" w:rsidRPr="001455DC" w14:paraId="59D62E00" w14:textId="77777777" w:rsidTr="0082181D">
        <w:trPr>
          <w:cantSplit/>
        </w:trPr>
        <w:tc>
          <w:tcPr>
            <w:tcW w:w="567" w:type="dxa"/>
          </w:tcPr>
          <w:p w14:paraId="19F0DF6D" w14:textId="31F77394" w:rsidR="0082181D" w:rsidRPr="001455DC" w:rsidRDefault="0082181D" w:rsidP="0082181D">
            <w:pPr>
              <w:pStyle w:val="Tablebody"/>
            </w:pPr>
            <w:r w:rsidRPr="001455DC">
              <w:rPr>
                <w:rStyle w:val="CCMCvariableitalic"/>
              </w:rPr>
              <w:t>E</w:t>
            </w:r>
            <w:r w:rsidRPr="001455DC">
              <w:rPr>
                <w:rStyle w:val="CCMCvariablesubscript"/>
              </w:rPr>
              <w:t>wc</w:t>
            </w:r>
          </w:p>
        </w:tc>
        <w:tc>
          <w:tcPr>
            <w:tcW w:w="8845" w:type="dxa"/>
          </w:tcPr>
          <w:p w14:paraId="48B81A4F" w14:textId="79B80C19" w:rsidR="0082181D" w:rsidRPr="001455DC" w:rsidRDefault="0082181D" w:rsidP="0082181D">
            <w:pPr>
              <w:pStyle w:val="Tablebody"/>
            </w:pPr>
            <w:r w:rsidRPr="001455DC">
              <w:t>is the internal force or stress assuming the structure was built without changes in the support conditions;</w:t>
            </w:r>
          </w:p>
        </w:tc>
      </w:tr>
      <w:tr w:rsidR="0082181D" w:rsidRPr="001455DC" w14:paraId="4AB1A752" w14:textId="77777777" w:rsidTr="0082181D">
        <w:trPr>
          <w:cantSplit/>
        </w:trPr>
        <w:tc>
          <w:tcPr>
            <w:tcW w:w="567" w:type="dxa"/>
          </w:tcPr>
          <w:p w14:paraId="08AFA606" w14:textId="0A7707AD" w:rsidR="0082181D" w:rsidRPr="001455DC" w:rsidRDefault="0082181D" w:rsidP="0082181D">
            <w:pPr>
              <w:pStyle w:val="Tablebody"/>
            </w:pPr>
            <w:r w:rsidRPr="001455DC">
              <w:rPr>
                <w:rStyle w:val="CCMCvariableitalic"/>
              </w:rPr>
              <w:t>t</w:t>
            </w:r>
            <w:r w:rsidRPr="001455DC">
              <w:rPr>
                <w:rStyle w:val="CCMCvariablesubscript"/>
              </w:rPr>
              <w:t>0</w:t>
            </w:r>
          </w:p>
        </w:tc>
        <w:tc>
          <w:tcPr>
            <w:tcW w:w="8845" w:type="dxa"/>
          </w:tcPr>
          <w:p w14:paraId="5580D67F" w14:textId="178D1A2B" w:rsidR="0082181D" w:rsidRPr="001455DC" w:rsidRDefault="0082181D" w:rsidP="0082181D">
            <w:pPr>
              <w:pStyle w:val="Tablebody"/>
            </w:pPr>
            <w:r w:rsidRPr="001455DC">
              <w:t>is the age of concrete when the loads producing the force or stress considered are applied;</w:t>
            </w:r>
          </w:p>
        </w:tc>
      </w:tr>
      <w:tr w:rsidR="0082181D" w:rsidRPr="001455DC" w14:paraId="66E55F5A" w14:textId="77777777" w:rsidTr="0082181D">
        <w:trPr>
          <w:cantSplit/>
        </w:trPr>
        <w:tc>
          <w:tcPr>
            <w:tcW w:w="567" w:type="dxa"/>
          </w:tcPr>
          <w:p w14:paraId="1C6CBED2" w14:textId="4AA72E59" w:rsidR="0082181D" w:rsidRPr="001455DC" w:rsidRDefault="0082181D" w:rsidP="0082181D">
            <w:pPr>
              <w:pStyle w:val="Tablebody"/>
            </w:pPr>
            <w:r w:rsidRPr="001455DC">
              <w:rPr>
                <w:rStyle w:val="CCMCvariableitalic"/>
              </w:rPr>
              <w:t>t</w:t>
            </w:r>
            <w:r w:rsidRPr="001455DC">
              <w:rPr>
                <w:rStyle w:val="CCMCvariablesubscript"/>
              </w:rPr>
              <w:t>c</w:t>
            </w:r>
          </w:p>
        </w:tc>
        <w:tc>
          <w:tcPr>
            <w:tcW w:w="8845" w:type="dxa"/>
          </w:tcPr>
          <w:p w14:paraId="12E14373" w14:textId="1649EA68" w:rsidR="0082181D" w:rsidRPr="001455DC" w:rsidRDefault="0082181D" w:rsidP="0082181D">
            <w:pPr>
              <w:pStyle w:val="Tablebody"/>
            </w:pPr>
            <w:r w:rsidRPr="001455DC">
              <w:t>is the age of concrete when support conditions change.</w:t>
            </w:r>
          </w:p>
        </w:tc>
      </w:tr>
    </w:tbl>
    <w:p w14:paraId="6D3BD0C2" w14:textId="1FB4E185" w:rsidR="004E22C1" w:rsidRPr="001455DC" w:rsidRDefault="004E22C1" w:rsidP="00243590">
      <w:pPr>
        <w:pStyle w:val="31"/>
      </w:pPr>
      <w:bookmarkStart w:id="415" w:name="_Ref480897959"/>
      <w:bookmarkStart w:id="416" w:name="_Toc52819942"/>
      <w:bookmarkStart w:id="417" w:name="_Toc54337344"/>
      <w:bookmarkStart w:id="418" w:name="_Toc54338000"/>
      <w:bookmarkStart w:id="419" w:name="_Toc67565358"/>
      <w:r w:rsidRPr="001455DC">
        <w:t>Linear elastic analysis with redistribution</w:t>
      </w:r>
      <w:bookmarkEnd w:id="415"/>
      <w:bookmarkEnd w:id="416"/>
      <w:bookmarkEnd w:id="417"/>
      <w:bookmarkEnd w:id="418"/>
      <w:bookmarkEnd w:id="419"/>
    </w:p>
    <w:p w14:paraId="2AC481F0" w14:textId="378015B4" w:rsidR="004E22C1" w:rsidRPr="001455DC" w:rsidRDefault="004E22C1" w:rsidP="00AF6585">
      <w:pPr>
        <w:pStyle w:val="a7"/>
      </w:pPr>
      <w:r w:rsidRPr="001455DC">
        <w:t>(1)</w:t>
      </w:r>
      <w:r w:rsidRPr="001455DC">
        <w:tab/>
        <w:t>Limited redistribution is allowed for braced slender structures. When redistribution of moments is applied its effects shall be considered on all aspects of design. The resulting distribution of internal forces after redistribution shall remain in equilibrium with the applied loads.</w:t>
      </w:r>
    </w:p>
    <w:p w14:paraId="4FB9978C" w14:textId="77777777" w:rsidR="004E22C1" w:rsidRPr="001455DC" w:rsidRDefault="004E22C1" w:rsidP="00AF6585">
      <w:pPr>
        <w:pStyle w:val="a7"/>
      </w:pPr>
      <w:r w:rsidRPr="001455DC">
        <w:t>(2)</w:t>
      </w:r>
      <w:r w:rsidRPr="001455DC">
        <w:tab/>
        <w:t>Linear analysis with limited redistribution without explicit check on the rotation capacity may be applied to the analysis of structural members for the verification of ULS provided that the following conditions are fulfilled:</w:t>
      </w:r>
    </w:p>
    <w:p w14:paraId="1DF7BB04" w14:textId="60026BB7" w:rsidR="004E22C1" w:rsidRPr="001455DC" w:rsidRDefault="004E22C1" w:rsidP="00AF6585">
      <w:pPr>
        <w:pStyle w:val="a0"/>
      </w:pPr>
      <w:r w:rsidRPr="001455DC">
        <w:t>all members are predominantly subjected to flexure (second order effects are negligible),</w:t>
      </w:r>
    </w:p>
    <w:p w14:paraId="43CE442C" w14:textId="48B38F9E" w:rsidR="004E22C1" w:rsidRPr="001455DC" w:rsidRDefault="004E22C1" w:rsidP="00AF6585">
      <w:pPr>
        <w:pStyle w:val="a0"/>
      </w:pPr>
      <w:r w:rsidRPr="001455DC">
        <w:t>in case of continuous beams or slabs, the ratio of lengths of adjacent spans is in the range of 0,5 to 2,0,</w:t>
      </w:r>
    </w:p>
    <w:p w14:paraId="2B997598" w14:textId="58463975" w:rsidR="00AF6585" w:rsidRPr="001455DC" w:rsidRDefault="00AF6585" w:rsidP="00AF6585">
      <w:pPr>
        <w:pStyle w:val="a0"/>
      </w:pPr>
      <w:r w:rsidRPr="001455DC">
        <w:t xml:space="preserve">the ratio </w:t>
      </w:r>
      <w:r w:rsidRPr="001455DC">
        <w:rPr>
          <w:rStyle w:val="CCMCvariableitalic"/>
        </w:rPr>
        <w:t>δ</w:t>
      </w:r>
      <w:r w:rsidRPr="001455DC">
        <w:rPr>
          <w:rStyle w:val="CCMCvariablesubscript"/>
        </w:rPr>
        <w:t>M</w:t>
      </w:r>
      <w:r w:rsidRPr="001455DC">
        <w:t xml:space="preserve"> of the moment after redistribution to the elastic bending moment complies with the value given by Formula (7.</w:t>
      </w:r>
      <w:r w:rsidR="00AB06C9" w:rsidRPr="001455DC">
        <w:t>15</w:t>
      </w:r>
      <w:r w:rsidRPr="001455DC">
        <w:t>):</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AF6585" w:rsidRPr="001455DC" w14:paraId="3765D7C2" w14:textId="77777777" w:rsidTr="00621828">
        <w:trPr>
          <w:cantSplit/>
        </w:trPr>
        <w:tc>
          <w:tcPr>
            <w:tcW w:w="8505" w:type="dxa"/>
            <w:vAlign w:val="center"/>
          </w:tcPr>
          <w:p w14:paraId="2D4513FC" w14:textId="605B36F1" w:rsidR="00AF6585" w:rsidRPr="001455DC" w:rsidRDefault="00231E33" w:rsidP="00621828">
            <w:pPr>
              <w:pStyle w:val="Formula"/>
              <w:jc w:val="left"/>
            </w:pPr>
            <m:oMathPara>
              <m:oMathParaPr>
                <m:jc m:val="left"/>
              </m:oMathParaPr>
              <m:oMath>
                <m:sSub>
                  <m:sSubPr>
                    <m:ctrlPr>
                      <w:rPr>
                        <w:rFonts w:ascii="Cambria Math" w:hAnsi="Cambria Math"/>
                      </w:rPr>
                    </m:ctrlPr>
                  </m:sSubPr>
                  <m:e>
                    <m:r>
                      <w:rPr>
                        <w:rFonts w:ascii="Cambria Math" w:hAnsi="Cambria Math"/>
                      </w:rPr>
                      <m:t>δ</m:t>
                    </m:r>
                  </m:e>
                  <m:sub>
                    <m:r>
                      <m:rPr>
                        <m:sty m:val="p"/>
                      </m:rPr>
                      <w:rPr>
                        <w:rFonts w:ascii="Cambria Math" w:hAnsi="Cambria Math"/>
                      </w:rPr>
                      <m:t>M</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1+0,7</m:t>
                    </m:r>
                    <m:sSub>
                      <m:sSubPr>
                        <m:ctrlPr>
                          <w:rPr>
                            <w:rFonts w:ascii="Cambria Math" w:hAnsi="Cambria Math"/>
                          </w:rPr>
                        </m:ctrlPr>
                      </m:sSubPr>
                      <m:e>
                        <m:r>
                          <w:rPr>
                            <w:rFonts w:ascii="Cambria Math" w:hAnsi="Cambria Math"/>
                          </w:rPr>
                          <m:t>ε</m:t>
                        </m:r>
                      </m:e>
                      <m:sub>
                        <m:r>
                          <m:rPr>
                            <m:sty m:val="p"/>
                          </m:rPr>
                          <w:rPr>
                            <w:rFonts w:ascii="Cambria Math" w:hAnsi="Cambria Math"/>
                          </w:rPr>
                          <m:t>cu</m:t>
                        </m:r>
                      </m:sub>
                    </m:sSub>
                    <m:r>
                      <w:rPr>
                        <w:rFonts w:ascii="Cambria Math" w:hAnsi="Cambria Math"/>
                      </w:rPr>
                      <m:t>⋅</m:t>
                    </m:r>
                    <m:sSub>
                      <m:sSubPr>
                        <m:ctrlPr>
                          <w:rPr>
                            <w:rFonts w:ascii="Cambria Math" w:hAnsi="Cambria Math"/>
                          </w:rPr>
                        </m:ctrlPr>
                      </m:sSubPr>
                      <m:e>
                        <m:r>
                          <w:rPr>
                            <w:rFonts w:ascii="Cambria Math" w:hAnsi="Cambria Math"/>
                          </w:rPr>
                          <m:t>E</m:t>
                        </m:r>
                      </m:e>
                      <m:sub>
                        <m:r>
                          <m:rPr>
                            <m:sty m:val="p"/>
                          </m:rPr>
                          <w:rPr>
                            <w:rFonts w:ascii="Cambria Math" w:hAnsi="Cambria Math"/>
                          </w:rPr>
                          <m:t>s</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yd</m:t>
                        </m:r>
                      </m:sub>
                    </m:sSub>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x</m:t>
                        </m:r>
                      </m:e>
                      <m:sub>
                        <m:r>
                          <m:rPr>
                            <m:sty m:val="p"/>
                          </m:rPr>
                          <w:rPr>
                            <w:rFonts w:ascii="Cambria Math" w:hAnsi="Cambria Math"/>
                          </w:rPr>
                          <m:t>u</m:t>
                        </m:r>
                      </m:sub>
                    </m:sSub>
                  </m:num>
                  <m:den>
                    <m:r>
                      <w:rPr>
                        <w:rFonts w:ascii="Cambria Math" w:hAnsi="Cambria Math"/>
                      </w:rPr>
                      <m:t>d</m:t>
                    </m:r>
                  </m:den>
                </m:f>
              </m:oMath>
            </m:oMathPara>
          </w:p>
        </w:tc>
        <w:tc>
          <w:tcPr>
            <w:tcW w:w="1247" w:type="dxa"/>
            <w:vAlign w:val="center"/>
          </w:tcPr>
          <w:p w14:paraId="4E1C86A2" w14:textId="191722F6" w:rsidR="00AF6585" w:rsidRPr="001455DC" w:rsidRDefault="00AF6585">
            <w:pPr>
              <w:pStyle w:val="a7"/>
              <w:jc w:val="right"/>
            </w:pPr>
            <w:r w:rsidRPr="001455DC">
              <w:t>(7.</w:t>
            </w:r>
            <w:r w:rsidR="00AB06C9" w:rsidRPr="001455DC">
              <w:t>15</w:t>
            </w:r>
            <w:r w:rsidRPr="001455DC">
              <w:t>)</w:t>
            </w:r>
          </w:p>
        </w:tc>
      </w:tr>
    </w:tbl>
    <w:p w14:paraId="5D00F80C" w14:textId="07655EFE" w:rsidR="004E22C1" w:rsidRPr="001455DC" w:rsidRDefault="00650035" w:rsidP="00AF6585">
      <w:pPr>
        <w:pStyle w:val="Formula"/>
        <w:jc w:val="left"/>
      </w:pPr>
      <w:r w:rsidRPr="001455DC">
        <w:rPr>
          <w:rFonts w:ascii="Cambria Math" w:hAnsi="Cambria Math"/>
        </w:rPr>
        <w:t>≥</w:t>
      </w:r>
      <w:r w:rsidR="00073FC6" w:rsidRPr="001455DC">
        <w:t> </w:t>
      </w:r>
      <w:r w:rsidR="004E22C1" w:rsidRPr="001455DC">
        <w:t>0,7 where Class B or Class C reinforcement is used (see Table 5.5);</w:t>
      </w:r>
    </w:p>
    <w:p w14:paraId="0938D37B" w14:textId="4A9CFA92" w:rsidR="004E22C1" w:rsidRPr="001455DC" w:rsidRDefault="00650035" w:rsidP="00AF6585">
      <w:pPr>
        <w:pStyle w:val="Formula"/>
        <w:jc w:val="left"/>
      </w:pPr>
      <w:r w:rsidRPr="001455DC">
        <w:rPr>
          <w:rFonts w:ascii="Cambria Math" w:hAnsi="Cambria Math"/>
        </w:rPr>
        <w:t>≥</w:t>
      </w:r>
      <w:r w:rsidR="00073FC6" w:rsidRPr="001455DC">
        <w:t> </w:t>
      </w:r>
      <w:r w:rsidR="004E22C1" w:rsidRPr="001455DC">
        <w:t>0,8 where Class A reinforcement is used (see Table 5.5).</w:t>
      </w:r>
    </w:p>
    <w:p w14:paraId="4D400801" w14:textId="27A4E899" w:rsidR="00AF6585" w:rsidRPr="001455DC" w:rsidRDefault="004E22C1" w:rsidP="00AF6585">
      <w:pPr>
        <w:pStyle w:val="a7"/>
        <w:keepNext/>
      </w:pPr>
      <w:r w:rsidRPr="001455DC">
        <w:t xml:space="preserve">In case of prestressed members, </w:t>
      </w:r>
      <w:r w:rsidRPr="001455DC">
        <w:rPr>
          <w:rStyle w:val="CCMCvariableitalic"/>
          <w:szCs w:val="22"/>
        </w:rPr>
        <w:t>f</w:t>
      </w:r>
      <w:r w:rsidRPr="001455DC">
        <w:rPr>
          <w:rStyle w:val="CCMCvariablesubscript"/>
          <w:szCs w:val="22"/>
        </w:rPr>
        <w:t>yd</w:t>
      </w:r>
      <w:r w:rsidRPr="001455DC">
        <w:t xml:space="preserve"> in Formula (7.</w:t>
      </w:r>
      <w:r w:rsidR="00AB06C9" w:rsidRPr="001455DC">
        <w:t>15</w:t>
      </w:r>
      <w:r w:rsidRPr="001455DC">
        <w:t>) shall be replaced by:</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AF6585" w:rsidRPr="001455DC" w14:paraId="51E3F734" w14:textId="77777777" w:rsidTr="00621828">
        <w:trPr>
          <w:cantSplit/>
        </w:trPr>
        <w:tc>
          <w:tcPr>
            <w:tcW w:w="8505" w:type="dxa"/>
            <w:vAlign w:val="center"/>
          </w:tcPr>
          <w:p w14:paraId="2C7FEF66" w14:textId="4D8B3FF2" w:rsidR="00AF6585" w:rsidRPr="001455DC" w:rsidRDefault="007A764A" w:rsidP="00621828">
            <w:pPr>
              <w:pStyle w:val="Formula"/>
              <w:jc w:val="left"/>
            </w:pPr>
            <m:oMathPara>
              <m:oMathParaPr>
                <m:jc m:val="left"/>
              </m:oMathParaPr>
              <m:oMath>
                <m:r>
                  <w:rPr>
                    <w:rFonts w:ascii="Cambria Math" w:hAnsi="Cambria Math"/>
                  </w:rPr>
                  <m:t>f=</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pd</m:t>
                            </m:r>
                          </m:sub>
                        </m:sSub>
                        <m:r>
                          <w:rPr>
                            <w:rFonts w:ascii="Cambria Math" w:hAnsi="Cambria Math"/>
                          </w:rPr>
                          <m:t>-</m:t>
                        </m:r>
                        <m:sSub>
                          <m:sSubPr>
                            <m:ctrlPr>
                              <w:rPr>
                                <w:rFonts w:ascii="Cambria Math" w:hAnsi="Cambria Math"/>
                              </w:rPr>
                            </m:ctrlPr>
                          </m:sSubPr>
                          <m:e>
                            <m:r>
                              <w:rPr>
                                <w:rFonts w:ascii="Cambria Math" w:hAnsi="Cambria Math"/>
                              </w:rPr>
                              <m:t>σ</m:t>
                            </m:r>
                          </m:e>
                          <m:sub>
                            <m:r>
                              <m:rPr>
                                <m:sty m:val="p"/>
                              </m:rPr>
                              <w:rPr>
                                <w:rFonts w:ascii="Cambria Math" w:hAnsi="Cambria Math"/>
                              </w:rPr>
                              <m:t>pm</m:t>
                            </m:r>
                            <m:r>
                              <w:rPr>
                                <w:rFonts w:ascii="Cambria Math" w:hAnsi="Cambria Math"/>
                              </w:rPr>
                              <m:t>,</m:t>
                            </m:r>
                            <m:r>
                              <w:rPr>
                                <w:rFonts w:ascii="Cambria Math" w:hAnsi="Cambria Math" w:hint="eastAsia"/>
                              </w:rPr>
                              <m:t>∞</m:t>
                            </m:r>
                          </m:sub>
                        </m:sSub>
                      </m:e>
                    </m:d>
                    <m:sSub>
                      <m:sSubPr>
                        <m:ctrlPr>
                          <w:rPr>
                            <w:rFonts w:ascii="Cambria Math" w:hAnsi="Cambria Math"/>
                          </w:rPr>
                        </m:ctrlPr>
                      </m:sSubPr>
                      <m:e>
                        <m:r>
                          <w:rPr>
                            <w:rFonts w:ascii="Cambria Math" w:hAnsi="Cambria Math"/>
                          </w:rPr>
                          <m:t>A</m:t>
                        </m:r>
                      </m:e>
                      <m:sub>
                        <m:r>
                          <m:rPr>
                            <m:sty m:val="p"/>
                          </m:rPr>
                          <w:rPr>
                            <w:rFonts w:ascii="Cambria Math" w:hAnsi="Cambria Math"/>
                          </w:rPr>
                          <m:t>p</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yd</m:t>
                        </m:r>
                      </m:sub>
                    </m:sSub>
                    <m:sSub>
                      <m:sSubPr>
                        <m:ctrlPr>
                          <w:rPr>
                            <w:rFonts w:ascii="Cambria Math" w:hAnsi="Cambria Math"/>
                          </w:rPr>
                        </m:ctrlPr>
                      </m:sSubPr>
                      <m:e>
                        <m:r>
                          <w:rPr>
                            <w:rFonts w:ascii="Cambria Math" w:hAnsi="Cambria Math"/>
                          </w:rPr>
                          <m:t>A</m:t>
                        </m:r>
                      </m:e>
                      <m:sub>
                        <m:r>
                          <m:rPr>
                            <m:sty m:val="p"/>
                          </m:rPr>
                          <w:rPr>
                            <w:rFonts w:ascii="Cambria Math" w:hAnsi="Cambria Math"/>
                          </w:rPr>
                          <m:t>s</m:t>
                        </m:r>
                      </m:sub>
                    </m:sSub>
                  </m:num>
                  <m:den>
                    <m:sSub>
                      <m:sSubPr>
                        <m:ctrlPr>
                          <w:rPr>
                            <w:rFonts w:ascii="Cambria Math" w:hAnsi="Cambria Math"/>
                          </w:rPr>
                        </m:ctrlPr>
                      </m:sSubPr>
                      <m:e>
                        <m:r>
                          <w:rPr>
                            <w:rFonts w:ascii="Cambria Math" w:hAnsi="Cambria Math"/>
                          </w:rPr>
                          <m:t>A</m:t>
                        </m:r>
                      </m:e>
                      <m:sub>
                        <m:r>
                          <m:rPr>
                            <m:sty m:val="p"/>
                          </m:rPr>
                          <w:rPr>
                            <w:rFonts w:ascii="Cambria Math" w:hAnsi="Cambria Math"/>
                          </w:rPr>
                          <m:t>p</m:t>
                        </m:r>
                      </m:sub>
                    </m:sSub>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s</m:t>
                        </m:r>
                      </m:sub>
                    </m:sSub>
                  </m:den>
                </m:f>
              </m:oMath>
            </m:oMathPara>
          </w:p>
        </w:tc>
        <w:tc>
          <w:tcPr>
            <w:tcW w:w="1247" w:type="dxa"/>
            <w:vAlign w:val="center"/>
          </w:tcPr>
          <w:p w14:paraId="430FD826" w14:textId="7C7BF604" w:rsidR="00AF6585" w:rsidRPr="001455DC" w:rsidRDefault="00AF6585">
            <w:pPr>
              <w:pStyle w:val="a7"/>
              <w:jc w:val="right"/>
            </w:pPr>
            <w:r w:rsidRPr="001455DC">
              <w:t>(7.</w:t>
            </w:r>
            <w:r w:rsidR="00AB06C9" w:rsidRPr="001455DC">
              <w:t>16</w:t>
            </w:r>
            <w:r w:rsidRPr="001455DC">
              <w:t>)</w:t>
            </w:r>
          </w:p>
        </w:tc>
      </w:tr>
    </w:tbl>
    <w:p w14:paraId="2ECC62CD" w14:textId="36F8F5DB" w:rsidR="00AF6585" w:rsidRPr="001455DC" w:rsidRDefault="00AF6585"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AF6585" w:rsidRPr="001455DC" w14:paraId="4D8BC8A1" w14:textId="77777777" w:rsidTr="00621828">
        <w:trPr>
          <w:cantSplit/>
        </w:trPr>
        <w:tc>
          <w:tcPr>
            <w:tcW w:w="567" w:type="dxa"/>
          </w:tcPr>
          <w:p w14:paraId="19A05F9F" w14:textId="7ED47B4A" w:rsidR="00AF6585" w:rsidRPr="001455DC" w:rsidRDefault="00AF6585" w:rsidP="00621828">
            <w:pPr>
              <w:pStyle w:val="Tablebody"/>
            </w:pPr>
            <w:r w:rsidRPr="001455DC">
              <w:rPr>
                <w:rStyle w:val="CCMCvariableitalic"/>
              </w:rPr>
              <w:t>σ</w:t>
            </w:r>
            <w:r w:rsidRPr="001455DC">
              <w:rPr>
                <w:rStyle w:val="CCMCvariablesubscript"/>
              </w:rPr>
              <w:t>pm,∞</w:t>
            </w:r>
          </w:p>
        </w:tc>
        <w:tc>
          <w:tcPr>
            <w:tcW w:w="8845" w:type="dxa"/>
          </w:tcPr>
          <w:p w14:paraId="38812596" w14:textId="48FF90A5" w:rsidR="00AF6585" w:rsidRPr="001455DC" w:rsidRDefault="00AF6585" w:rsidP="00621828">
            <w:pPr>
              <w:pStyle w:val="Tablebody"/>
            </w:pPr>
            <w:r w:rsidRPr="001455DC">
              <w:t>is the long-term stress level in prestressing tendons at the state of zero (elastic) strain of the concrete at the same level.</w:t>
            </w:r>
          </w:p>
        </w:tc>
      </w:tr>
    </w:tbl>
    <w:p w14:paraId="4B8C2CDD" w14:textId="77777777" w:rsidR="004E22C1" w:rsidRPr="001455DC" w:rsidRDefault="004E22C1" w:rsidP="00AF6585">
      <w:pPr>
        <w:pStyle w:val="a7"/>
      </w:pPr>
      <w:r w:rsidRPr="001455DC">
        <w:t>All values refer to the section of the redistributed moment.</w:t>
      </w:r>
    </w:p>
    <w:p w14:paraId="5BA1F300" w14:textId="77777777" w:rsidR="004E22C1" w:rsidRPr="001455DC" w:rsidRDefault="004E22C1" w:rsidP="00AF6585">
      <w:pPr>
        <w:pStyle w:val="a7"/>
        <w:rPr>
          <w:szCs w:val="22"/>
        </w:rPr>
      </w:pPr>
      <w:r w:rsidRPr="001455DC">
        <w:rPr>
          <w:szCs w:val="22"/>
        </w:rPr>
        <w:t>(3)</w:t>
      </w:r>
      <w:r w:rsidRPr="001455DC">
        <w:rPr>
          <w:szCs w:val="22"/>
        </w:rPr>
        <w:tab/>
        <w:t xml:space="preserve">The arrangement of reinforcement in flat slabs should reflect the behaviour under service conditions, normally leading to a concentration of reinforcement over the columns. The requirements for </w:t>
      </w:r>
      <w:r w:rsidRPr="001455DC">
        <w:t xml:space="preserve">maximum spacing of flexural reinforcement </w:t>
      </w:r>
      <w:r w:rsidRPr="001455DC">
        <w:rPr>
          <w:szCs w:val="22"/>
        </w:rPr>
        <w:t>for solid slabs in 12.3.1 apply.</w:t>
      </w:r>
    </w:p>
    <w:p w14:paraId="6EF4233C" w14:textId="77777777" w:rsidR="004E22C1" w:rsidRPr="001455DC" w:rsidRDefault="004E22C1" w:rsidP="00AF6585">
      <w:pPr>
        <w:pStyle w:val="a7"/>
      </w:pPr>
      <w:r w:rsidRPr="001455DC">
        <w:t>(4)</w:t>
      </w:r>
      <w:r w:rsidRPr="001455DC">
        <w:tab/>
        <w:t xml:space="preserve">Linear analysis with redistribution with an explicit check on the rotation capacity may be applied for the verification of ULS provided that the rotation demand </w:t>
      </w:r>
      <w:r w:rsidRPr="001455DC">
        <w:rPr>
          <w:rStyle w:val="CCMCvariableitalic"/>
        </w:rPr>
        <w:t>θ</w:t>
      </w:r>
      <w:r w:rsidRPr="001455DC">
        <w:rPr>
          <w:rStyle w:val="CCMCvariablesubscript"/>
        </w:rPr>
        <w:t>Ed</w:t>
      </w:r>
      <w:r w:rsidRPr="001455DC">
        <w:t xml:space="preserve"> for the section with the plastic moment resistance is smaller than or equal to the rotation capacity </w:t>
      </w:r>
      <w:r w:rsidRPr="001455DC">
        <w:rPr>
          <w:rStyle w:val="CCMCvariableitalic"/>
        </w:rPr>
        <w:t>θ</w:t>
      </w:r>
      <w:r w:rsidRPr="001455DC">
        <w:rPr>
          <w:rStyle w:val="CCMCvariablesubscript"/>
        </w:rPr>
        <w:t>Rd</w:t>
      </w:r>
      <w:r w:rsidRPr="001455DC">
        <w:t xml:space="preserve"> of the section considered.</w:t>
      </w:r>
    </w:p>
    <w:p w14:paraId="26F8A5A4" w14:textId="77777777" w:rsidR="004E22C1" w:rsidRPr="001455DC" w:rsidRDefault="004E22C1" w:rsidP="00AF6585">
      <w:pPr>
        <w:pStyle w:val="a7"/>
      </w:pPr>
      <w:r w:rsidRPr="001455DC">
        <w:t>The rotation demand follows from the integral of the curvatures where cracking of concrete should be considered and the tensile strength and tension stiffening may be considered.</w:t>
      </w:r>
    </w:p>
    <w:p w14:paraId="54605F71" w14:textId="3A99FFC0" w:rsidR="00AF6585" w:rsidRPr="001455DC" w:rsidRDefault="004E22C1" w:rsidP="00AF6585">
      <w:pPr>
        <w:pStyle w:val="a7"/>
        <w:keepNext/>
      </w:pPr>
      <w:r w:rsidRPr="001455DC">
        <w:t>The rotation capacity may be derived from Formula (7.</w:t>
      </w:r>
      <w:r w:rsidR="00AB06C9" w:rsidRPr="001455DC">
        <w:t>17</w:t>
      </w:r>
      <w:r w:rsidRPr="001455DC">
        <w:t>).</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AF6585" w:rsidRPr="001455DC" w14:paraId="30BD76E4" w14:textId="77777777" w:rsidTr="00621828">
        <w:trPr>
          <w:cantSplit/>
        </w:trPr>
        <w:tc>
          <w:tcPr>
            <w:tcW w:w="8505" w:type="dxa"/>
            <w:vAlign w:val="center"/>
          </w:tcPr>
          <w:p w14:paraId="103A4BE5" w14:textId="42D342E9" w:rsidR="00AF6585" w:rsidRPr="001455DC" w:rsidRDefault="00231E33" w:rsidP="00621828">
            <w:pPr>
              <w:pStyle w:val="Formula"/>
              <w:jc w:val="left"/>
            </w:pPr>
            <m:oMathPara>
              <m:oMathParaPr>
                <m:jc m:val="left"/>
              </m:oMathParaPr>
              <m:oMath>
                <m:sSub>
                  <m:sSubPr>
                    <m:ctrlPr>
                      <w:rPr>
                        <w:rFonts w:ascii="Cambria Math" w:hAnsi="Cambria Math"/>
                      </w:rPr>
                    </m:ctrlPr>
                  </m:sSubPr>
                  <m:e>
                    <m:r>
                      <w:rPr>
                        <w:rFonts w:ascii="Cambria Math" w:hAnsi="Cambria Math"/>
                      </w:rPr>
                      <m:t>θ</m:t>
                    </m:r>
                  </m:e>
                  <m:sub>
                    <m:r>
                      <m:rPr>
                        <m:sty m:val="p"/>
                      </m:rPr>
                      <w:rPr>
                        <w:rFonts w:ascii="Cambria Math" w:hAnsi="Cambria Math"/>
                      </w:rPr>
                      <m:t>Rd</m:t>
                    </m:r>
                  </m:sub>
                </m:sSub>
                <m:r>
                  <w:rPr>
                    <w:rFonts w:ascii="Cambria Math" w:hAnsi="Cambria Math"/>
                  </w:rPr>
                  <m:t>=</m:t>
                </m:r>
                <m:r>
                  <m:rPr>
                    <m:sty m:val="p"/>
                  </m:rPr>
                  <w:rPr>
                    <w:rFonts w:ascii="Cambria Math" w:hAnsi="Cambria Math"/>
                    <w:position w:val="-30"/>
                  </w:rPr>
                  <w:object w:dxaOrig="4280" w:dyaOrig="700" w14:anchorId="0CD16ED6">
                    <v:shape id="_x0000_i1140" type="#_x0000_t75" style="width:3in;height:36.75pt" o:ole="">
                      <v:imagedata r:id="rId250" o:title=""/>
                    </v:shape>
                    <o:OLEObject Type="Embed" ProgID="Equation.DSMT4" ShapeID="_x0000_i1140" DrawAspect="Content" ObjectID="_1692169472" r:id="rId251"/>
                  </w:object>
                </m:r>
              </m:oMath>
            </m:oMathPara>
          </w:p>
        </w:tc>
        <w:tc>
          <w:tcPr>
            <w:tcW w:w="1247" w:type="dxa"/>
            <w:vAlign w:val="center"/>
          </w:tcPr>
          <w:p w14:paraId="277E3B80" w14:textId="3DBAACCD" w:rsidR="00AF6585" w:rsidRPr="001455DC" w:rsidRDefault="00AF6585">
            <w:pPr>
              <w:pStyle w:val="a7"/>
              <w:jc w:val="right"/>
            </w:pPr>
            <w:r w:rsidRPr="001455DC">
              <w:t>(7.</w:t>
            </w:r>
            <w:r w:rsidR="00AB06C9" w:rsidRPr="001455DC">
              <w:t>17</w:t>
            </w:r>
            <w:r w:rsidRPr="001455DC">
              <w:t>)</w:t>
            </w:r>
          </w:p>
        </w:tc>
      </w:tr>
    </w:tbl>
    <w:p w14:paraId="22172360" w14:textId="77777777" w:rsidR="00AF6585" w:rsidRPr="001455DC" w:rsidRDefault="004E22C1" w:rsidP="00A35599">
      <w:pPr>
        <w:pStyle w:val="a7"/>
        <w:keepNext/>
      </w:pPr>
      <w:r w:rsidRPr="001455DC">
        <w:t>where</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AF6585" w:rsidRPr="001455DC" w14:paraId="1F7F3833" w14:textId="77777777" w:rsidTr="00621828">
        <w:trPr>
          <w:cantSplit/>
        </w:trPr>
        <w:tc>
          <w:tcPr>
            <w:tcW w:w="8505" w:type="dxa"/>
            <w:vAlign w:val="center"/>
          </w:tcPr>
          <w:p w14:paraId="6CB4D1B2" w14:textId="3D840B3D" w:rsidR="00AF6585" w:rsidRPr="001455DC" w:rsidRDefault="00231E33" w:rsidP="00D5112B">
            <w:pPr>
              <w:pStyle w:val="Formula"/>
              <w:jc w:val="left"/>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rPr>
                      <m:t>l,pl</m:t>
                    </m:r>
                  </m:sub>
                </m:sSub>
                <m:r>
                  <w:rPr>
                    <w:rFonts w:ascii="Cambria Math" w:hAnsi="Cambria Math"/>
                  </w:rPr>
                  <m:t>=</m:t>
                </m:r>
                <m:r>
                  <m:rPr>
                    <m:sty m:val="p"/>
                  </m:rPr>
                  <w:rPr>
                    <w:rFonts w:ascii="Cambria Math" w:hAnsi="Cambria Math"/>
                    <w:position w:val="-52"/>
                  </w:rPr>
                  <w:object w:dxaOrig="2060" w:dyaOrig="1120" w14:anchorId="7A3C46DF">
                    <v:shape id="_x0000_i1141" type="#_x0000_t75" style="width:100.5pt;height:57.75pt" o:ole="">
                      <v:imagedata r:id="rId252" o:title=""/>
                    </v:shape>
                    <o:OLEObject Type="Embed" ProgID="Equation.DSMT4" ShapeID="_x0000_i1141" DrawAspect="Content" ObjectID="_1692169473" r:id="rId253"/>
                  </w:object>
                </m:r>
              </m:oMath>
            </m:oMathPara>
          </w:p>
        </w:tc>
        <w:tc>
          <w:tcPr>
            <w:tcW w:w="1247" w:type="dxa"/>
            <w:vAlign w:val="center"/>
          </w:tcPr>
          <w:p w14:paraId="6FDD7FDD" w14:textId="0DB00A0A" w:rsidR="00AF6585" w:rsidRPr="001455DC" w:rsidRDefault="00AF6585">
            <w:pPr>
              <w:pStyle w:val="a7"/>
              <w:jc w:val="right"/>
            </w:pPr>
            <w:r w:rsidRPr="001455DC">
              <w:t>(7.</w:t>
            </w:r>
            <w:r w:rsidR="008E2778" w:rsidRPr="001455DC">
              <w:t>18</w:t>
            </w:r>
            <w:r w:rsidRPr="001455DC">
              <w:t>)</w:t>
            </w:r>
          </w:p>
        </w:tc>
      </w:tr>
      <w:tr w:rsidR="00AF6585" w:rsidRPr="001455DC" w14:paraId="783C9890" w14:textId="77777777" w:rsidTr="00621828">
        <w:trPr>
          <w:cantSplit/>
        </w:trPr>
        <w:tc>
          <w:tcPr>
            <w:tcW w:w="8505" w:type="dxa"/>
            <w:vAlign w:val="center"/>
          </w:tcPr>
          <w:p w14:paraId="1E7D5600" w14:textId="47F0424A" w:rsidR="00AF6585" w:rsidRPr="001455DC" w:rsidRDefault="00300618" w:rsidP="00D5112B">
            <w:pPr>
              <w:pStyle w:val="Formula"/>
              <w:tabs>
                <w:tab w:val="clear" w:pos="9749"/>
              </w:tabs>
              <w:jc w:val="left"/>
            </w:pPr>
            <w:r w:rsidRPr="009D3012">
              <w:rPr>
                <w:position w:val="-28"/>
              </w:rPr>
              <w:object w:dxaOrig="3180" w:dyaOrig="660" w14:anchorId="1AC12AA0">
                <v:shape id="_x0000_i1142" type="#_x0000_t75" style="width:158.25pt;height:36.75pt" o:ole="">
                  <v:imagedata r:id="rId254" o:title=""/>
                </v:shape>
                <o:OLEObject Type="Embed" ProgID="Equation.DSMT4" ShapeID="_x0000_i1142" DrawAspect="Content" ObjectID="_1692169474" r:id="rId255"/>
              </w:object>
            </w:r>
          </w:p>
        </w:tc>
        <w:tc>
          <w:tcPr>
            <w:tcW w:w="1247" w:type="dxa"/>
            <w:vAlign w:val="center"/>
          </w:tcPr>
          <w:p w14:paraId="49590C60" w14:textId="672BDF1B" w:rsidR="00AF6585" w:rsidRPr="001455DC" w:rsidRDefault="00AF6585">
            <w:pPr>
              <w:pStyle w:val="a7"/>
              <w:jc w:val="right"/>
            </w:pPr>
            <w:r w:rsidRPr="001455DC">
              <w:t>(7.</w:t>
            </w:r>
            <w:r w:rsidR="00300618" w:rsidRPr="001455DC">
              <w:t>19</w:t>
            </w:r>
            <w:r w:rsidRPr="001455DC">
              <w:t>)</w:t>
            </w:r>
          </w:p>
        </w:tc>
      </w:tr>
      <w:tr w:rsidR="00300618" w:rsidRPr="001455DC" w14:paraId="31B2142D" w14:textId="77777777" w:rsidTr="00621828">
        <w:trPr>
          <w:cantSplit/>
        </w:trPr>
        <w:tc>
          <w:tcPr>
            <w:tcW w:w="8505" w:type="dxa"/>
            <w:vAlign w:val="center"/>
          </w:tcPr>
          <w:p w14:paraId="30FADB51" w14:textId="62BAB7E9" w:rsidR="00300618" w:rsidRPr="001455DC" w:rsidRDefault="00231E33" w:rsidP="00300618">
            <w:pPr>
              <w:pStyle w:val="Formula"/>
              <w:jc w:val="left"/>
            </w:pPr>
            <m:oMathPara>
              <m:oMathParaPr>
                <m:jc m:val="left"/>
              </m:oMathParaPr>
              <m:oMath>
                <m:sSub>
                  <m:sSubPr>
                    <m:ctrlPr>
                      <w:rPr>
                        <w:rFonts w:ascii="Cambria Math" w:hAnsi="Cambria Math"/>
                      </w:rPr>
                    </m:ctrlPr>
                  </m:sSubPr>
                  <m:e>
                    <m:r>
                      <w:rPr>
                        <w:rFonts w:ascii="Cambria Math" w:hAnsi="Cambria Math"/>
                      </w:rPr>
                      <m:t>TS</m:t>
                    </m:r>
                  </m:e>
                  <m:sub>
                    <m:r>
                      <m:rPr>
                        <m:sty m:val="p"/>
                      </m:rPr>
                      <w:rPr>
                        <w:rFonts w:ascii="Cambria Math" w:hAnsi="Cambria Math"/>
                      </w:rPr>
                      <m:t>Mu</m:t>
                    </m:r>
                  </m:sub>
                </m:sSub>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2α</m:t>
                    </m:r>
                  </m:den>
                </m:f>
                <m:r>
                  <w:rPr>
                    <w:rFonts w:ascii="Cambria Math" w:hAnsi="Cambria Math"/>
                  </w:rPr>
                  <m:t>⋅</m:t>
                </m:r>
                <m:d>
                  <m:dPr>
                    <m:ctrlPr>
                      <w:rPr>
                        <w:rFonts w:ascii="Cambria Math" w:hAnsi="Cambria Math"/>
                      </w:rPr>
                    </m:ctrlPr>
                  </m:dPr>
                  <m:e>
                    <m: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ε</m:t>
                            </m:r>
                          </m:e>
                          <m:sub>
                            <m:r>
                              <m:rPr>
                                <m:sty m:val="p"/>
                              </m:rPr>
                              <w:rPr>
                                <w:rFonts w:ascii="Cambria Math" w:hAnsi="Cambria Math"/>
                              </w:rPr>
                              <m:t>yd</m:t>
                            </m:r>
                          </m:sub>
                        </m:sSub>
                      </m:num>
                      <m:den>
                        <m:sSub>
                          <m:sSubPr>
                            <m:ctrlPr>
                              <w:rPr>
                                <w:rFonts w:ascii="Cambria Math" w:hAnsi="Cambria Math"/>
                              </w:rPr>
                            </m:ctrlPr>
                          </m:sSubPr>
                          <m:e>
                            <m:r>
                              <w:rPr>
                                <w:rFonts w:ascii="Cambria Math" w:hAnsi="Cambria Math"/>
                              </w:rPr>
                              <m:t>ε</m:t>
                            </m:r>
                          </m:e>
                          <m:sub>
                            <m:r>
                              <m:rPr>
                                <m:sty m:val="p"/>
                              </m:rPr>
                              <w:rPr>
                                <w:rFonts w:ascii="Cambria Math" w:hAnsi="Cambria Math"/>
                              </w:rPr>
                              <m:t>ud,ef</m:t>
                            </m:r>
                          </m:sub>
                        </m:sSub>
                      </m:den>
                    </m:f>
                  </m:e>
                </m:d>
                <m:r>
                  <w:rPr>
                    <w:rFonts w:ascii="Cambria Math" w:hAnsi="Cambria Math"/>
                  </w:rPr>
                  <m:t xml:space="preserve"> </m:t>
                </m:r>
                <m:r>
                  <m:rPr>
                    <m:nor/>
                  </m:rPr>
                  <w:rPr>
                    <w:rFonts w:ascii="Cambria Math" w:hAnsi="Cambria Math"/>
                  </w:rPr>
                  <m:t>when</m:t>
                </m:r>
                <m:r>
                  <w:rPr>
                    <w:rFonts w:ascii="Cambria Math" w:hAnsi="Cambria Math"/>
                  </w:rPr>
                  <m:t xml:space="preserve"> α≥1</m:t>
                </m:r>
              </m:oMath>
            </m:oMathPara>
          </w:p>
        </w:tc>
        <w:tc>
          <w:tcPr>
            <w:tcW w:w="1247" w:type="dxa"/>
            <w:vAlign w:val="center"/>
          </w:tcPr>
          <w:p w14:paraId="22BC6D19" w14:textId="4CAFC9C9" w:rsidR="00300618" w:rsidRPr="001455DC" w:rsidRDefault="00300618">
            <w:pPr>
              <w:pStyle w:val="a7"/>
              <w:jc w:val="right"/>
            </w:pPr>
            <w:r w:rsidRPr="001455DC">
              <w:t>(7.20)</w:t>
            </w:r>
          </w:p>
        </w:tc>
      </w:tr>
      <w:tr w:rsidR="00300618" w:rsidRPr="001455DC" w14:paraId="50649705" w14:textId="77777777" w:rsidTr="00621828">
        <w:trPr>
          <w:cantSplit/>
        </w:trPr>
        <w:tc>
          <w:tcPr>
            <w:tcW w:w="8505" w:type="dxa"/>
            <w:vAlign w:val="center"/>
          </w:tcPr>
          <w:p w14:paraId="09E92F2C" w14:textId="4E379BC6" w:rsidR="00300618" w:rsidRPr="001455DC" w:rsidRDefault="00231E33">
            <w:pPr>
              <w:pStyle w:val="Formula"/>
              <w:jc w:val="left"/>
            </w:pPr>
            <m:oMathPara>
              <m:oMathParaPr>
                <m:jc m:val="left"/>
              </m:oMathParaPr>
              <m:oMath>
                <m:sSub>
                  <m:sSubPr>
                    <m:ctrlPr>
                      <w:rPr>
                        <w:rFonts w:ascii="Cambria Math" w:hAnsi="Cambria Math"/>
                      </w:rPr>
                    </m:ctrlPr>
                  </m:sSubPr>
                  <m:e>
                    <m:r>
                      <w:rPr>
                        <w:rFonts w:ascii="Cambria Math" w:hAnsi="Cambria Math"/>
                      </w:rPr>
                      <m:t>TS</m:t>
                    </m:r>
                  </m:e>
                  <m:sub>
                    <m:r>
                      <m:rPr>
                        <m:sty m:val="p"/>
                      </m:rPr>
                      <w:rPr>
                        <w:rFonts w:ascii="Cambria Math" w:hAnsi="Cambria Math"/>
                      </w:rPr>
                      <m:t>Mu</m:t>
                    </m:r>
                  </m:sub>
                </m:sSub>
                <m:r>
                  <w:rPr>
                    <w:rFonts w:ascii="Cambria Math" w:hAnsi="Cambria Math"/>
                  </w:rPr>
                  <m:t>=</m:t>
                </m:r>
                <m:f>
                  <m:fPr>
                    <m:ctrlPr>
                      <w:rPr>
                        <w:rFonts w:ascii="Cambria Math" w:hAnsi="Cambria Math"/>
                      </w:rPr>
                    </m:ctrlPr>
                  </m:fPr>
                  <m:num>
                    <m:r>
                      <w:rPr>
                        <w:rFonts w:ascii="Cambria Math" w:hAnsi="Cambria Math"/>
                      </w:rPr>
                      <m:t>α</m:t>
                    </m:r>
                  </m:num>
                  <m:den>
                    <m:r>
                      <w:rPr>
                        <w:rFonts w:ascii="Cambria Math" w:hAnsi="Cambria Math"/>
                      </w:rPr>
                      <m:t>2</m:t>
                    </m:r>
                  </m:den>
                </m:f>
                <m:r>
                  <w:rPr>
                    <w:rFonts w:ascii="Cambria Math" w:hAnsi="Cambria Math"/>
                  </w:rPr>
                  <m:t>⋅</m:t>
                </m:r>
                <m:sSub>
                  <m:sSubPr>
                    <m:ctrlPr>
                      <w:rPr>
                        <w:rFonts w:ascii="Cambria Math" w:hAnsi="Cambria Math"/>
                      </w:rPr>
                    </m:ctrlPr>
                  </m:sSubPr>
                  <m:e>
                    <m:r>
                      <w:rPr>
                        <w:rFonts w:ascii="Cambria Math" w:hAnsi="Cambria Math"/>
                      </w:rPr>
                      <m:t>ε</m:t>
                    </m:r>
                  </m:e>
                  <m:sub>
                    <m:r>
                      <m:rPr>
                        <m:sty m:val="p"/>
                      </m:rPr>
                      <w:rPr>
                        <w:rFonts w:ascii="Cambria Math" w:hAnsi="Cambria Math"/>
                      </w:rPr>
                      <m:t>ud,ef</m:t>
                    </m:r>
                  </m:sub>
                </m:sSub>
                <m: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yd</m:t>
                    </m:r>
                  </m:sub>
                </m:sSub>
                <m:d>
                  <m:dPr>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α</m:t>
                        </m:r>
                      </m:num>
                      <m:den>
                        <m:r>
                          <w:rPr>
                            <w:rFonts w:ascii="Cambria Math" w:hAnsi="Cambria Math"/>
                          </w:rPr>
                          <m:t>2</m:t>
                        </m:r>
                      </m:den>
                    </m:f>
                    <m: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s,ef</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yd</m:t>
                                </m:r>
                              </m:sub>
                            </m:sSub>
                          </m:den>
                        </m:f>
                        <m:r>
                          <w:rPr>
                            <w:rFonts w:ascii="Cambria Math" w:hAnsi="Cambria Math"/>
                          </w:rPr>
                          <m:t>-1</m:t>
                        </m:r>
                      </m:e>
                    </m:d>
                    <m:r>
                      <w:rPr>
                        <w:rFonts w:ascii="Cambria Math" w:hAnsi="Cambria Math"/>
                      </w:rPr>
                      <m:t>⋅</m:t>
                    </m:r>
                    <m:d>
                      <m:dPr>
                        <m:ctrlPr>
                          <w:rPr>
                            <w:rFonts w:ascii="Cambria Math" w:hAnsi="Cambria Math"/>
                          </w:rPr>
                        </m:ctrlPr>
                      </m:dPr>
                      <m:e>
                        <m:r>
                          <w:rPr>
                            <w:rFonts w:ascii="Cambria Math" w:hAnsi="Cambria Math"/>
                          </w:rPr>
                          <m:t>2-</m:t>
                        </m:r>
                        <m:f>
                          <m:fPr>
                            <m:ctrlPr>
                              <w:rPr>
                                <w:rFonts w:ascii="Cambria Math" w:hAnsi="Cambria Math"/>
                              </w:rPr>
                            </m:ctrlPr>
                          </m:fPr>
                          <m:num>
                            <m:r>
                              <w:rPr>
                                <w:rFonts w:ascii="Cambria Math" w:hAnsi="Cambria Math"/>
                              </w:rPr>
                              <m:t>1</m:t>
                            </m:r>
                          </m:num>
                          <m:den>
                            <m:r>
                              <w:rPr>
                                <w:rFonts w:ascii="Cambria Math" w:hAnsi="Cambria Math"/>
                              </w:rPr>
                              <m:t>α</m:t>
                            </m:r>
                          </m:den>
                        </m:f>
                        <m:r>
                          <w:rPr>
                            <w:rFonts w:ascii="Cambria Math" w:hAnsi="Cambria Math"/>
                          </w:rPr>
                          <m:t>-α</m:t>
                        </m:r>
                      </m:e>
                    </m:d>
                  </m:e>
                </m:d>
                <m:r>
                  <w:rPr>
                    <w:rFonts w:ascii="Cambria Math" w:hAnsi="Cambria Math"/>
                  </w:rPr>
                  <m:t xml:space="preserve"> </m:t>
                </m:r>
                <m:r>
                  <m:rPr>
                    <m:nor/>
                  </m:rPr>
                  <w:rPr>
                    <w:rFonts w:ascii="Cambria Math" w:hAnsi="Cambria Math"/>
                  </w:rPr>
                  <m:t>when</m:t>
                </m:r>
                <m:r>
                  <w:rPr>
                    <w:rFonts w:ascii="Cambria Math" w:hAnsi="Cambria Math"/>
                  </w:rPr>
                  <m:t xml:space="preserve"> α&lt;1</m:t>
                </m:r>
              </m:oMath>
            </m:oMathPara>
          </w:p>
        </w:tc>
        <w:tc>
          <w:tcPr>
            <w:tcW w:w="1247" w:type="dxa"/>
            <w:vAlign w:val="center"/>
          </w:tcPr>
          <w:p w14:paraId="51C36773" w14:textId="1FC7581C" w:rsidR="00300618" w:rsidRPr="001455DC" w:rsidRDefault="00300618">
            <w:pPr>
              <w:pStyle w:val="a7"/>
              <w:jc w:val="right"/>
            </w:pPr>
            <w:r w:rsidRPr="001455DC">
              <w:t>(7.21)</w:t>
            </w:r>
          </w:p>
        </w:tc>
      </w:tr>
      <w:tr w:rsidR="00300618" w:rsidRPr="001455DC" w14:paraId="4A4D9F80" w14:textId="77777777" w:rsidTr="00621828">
        <w:trPr>
          <w:cantSplit/>
        </w:trPr>
        <w:tc>
          <w:tcPr>
            <w:tcW w:w="8505" w:type="dxa"/>
            <w:vAlign w:val="center"/>
          </w:tcPr>
          <w:p w14:paraId="704F589D" w14:textId="53A52317" w:rsidR="00300618" w:rsidRPr="001455DC" w:rsidRDefault="00231E33">
            <w:pPr>
              <w:pStyle w:val="Formula"/>
              <w:jc w:val="left"/>
            </w:pPr>
            <m:oMathPara>
              <m:oMathParaPr>
                <m:jc m:val="left"/>
              </m:oMathParaPr>
              <m:oMath>
                <m:sSub>
                  <m:sSubPr>
                    <m:ctrlPr>
                      <w:rPr>
                        <w:rFonts w:ascii="Cambria Math" w:hAnsi="Cambria Math"/>
                      </w:rPr>
                    </m:ctrlPr>
                  </m:sSubPr>
                  <m:e>
                    <m:r>
                      <w:rPr>
                        <w:rFonts w:ascii="Cambria Math" w:hAnsi="Cambria Math"/>
                      </w:rPr>
                      <m:t>TS</m:t>
                    </m:r>
                  </m:e>
                  <m:sub>
                    <m:r>
                      <m:rPr>
                        <m:sty m:val="p"/>
                      </m:rPr>
                      <w:rPr>
                        <w:rFonts w:ascii="Cambria Math" w:hAnsi="Cambria Math"/>
                      </w:rPr>
                      <m:t>My</m:t>
                    </m:r>
                  </m:sub>
                </m:sSub>
                <m:r>
                  <w:rPr>
                    <w:rFonts w:ascii="Cambria Math" w:hAnsi="Cambria Math"/>
                  </w:rPr>
                  <m:t>=1-0,6</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i/>
                              </w:rPr>
                            </m:ctrlPr>
                          </m:sSubPr>
                          <m:e>
                            <m:r>
                              <w:rPr>
                                <w:rFonts w:ascii="Cambria Math" w:hAnsi="Cambria Math"/>
                              </w:rPr>
                              <m:t>M</m:t>
                            </m:r>
                          </m:e>
                          <m:sub>
                            <m:r>
                              <m:rPr>
                                <m:sty m:val="p"/>
                              </m:rPr>
                              <w:rPr>
                                <w:rFonts w:ascii="Cambria Math" w:hAnsi="Cambria Math"/>
                              </w:rPr>
                              <m:t>cr</m:t>
                            </m:r>
                          </m:sub>
                        </m:sSub>
                      </m:num>
                      <m:den>
                        <m:sSub>
                          <m:sSubPr>
                            <m:ctrlPr>
                              <w:rPr>
                                <w:rFonts w:ascii="Cambria Math" w:hAnsi="Cambria Math"/>
                              </w:rPr>
                            </m:ctrlPr>
                          </m:sSubPr>
                          <m:e>
                            <m:r>
                              <w:rPr>
                                <w:rFonts w:ascii="Cambria Math" w:hAnsi="Cambria Math"/>
                              </w:rPr>
                              <m:t>M</m:t>
                            </m:r>
                          </m:e>
                          <m:sub>
                            <m:r>
                              <m:rPr>
                                <m:sty m:val="p"/>
                              </m:rPr>
                              <w:rPr>
                                <w:rFonts w:ascii="Cambria Math" w:hAnsi="Cambria Math"/>
                              </w:rPr>
                              <m:t>y</m:t>
                            </m:r>
                          </m:sub>
                        </m:sSub>
                      </m:den>
                    </m:f>
                  </m:e>
                </m:d>
                <m:r>
                  <w:rPr>
                    <w:rFonts w:ascii="Cambria Math" w:hAnsi="Cambria Math"/>
                  </w:rPr>
                  <m:t>≥0,4</m:t>
                </m:r>
              </m:oMath>
            </m:oMathPara>
          </w:p>
        </w:tc>
        <w:tc>
          <w:tcPr>
            <w:tcW w:w="1247" w:type="dxa"/>
            <w:vAlign w:val="center"/>
          </w:tcPr>
          <w:p w14:paraId="2F0768D6" w14:textId="49AC3A35" w:rsidR="00300618" w:rsidRPr="001455DC" w:rsidRDefault="00300618">
            <w:pPr>
              <w:pStyle w:val="a7"/>
              <w:jc w:val="right"/>
            </w:pPr>
            <w:r w:rsidRPr="001455DC">
              <w:t>(7.22)</w:t>
            </w:r>
            <w:r w:rsidRPr="001455DC" w:rsidDel="00300618">
              <w:t xml:space="preserve"> </w:t>
            </w:r>
          </w:p>
        </w:tc>
      </w:tr>
      <w:tr w:rsidR="00300618" w:rsidRPr="001455DC" w14:paraId="3F4C0A09" w14:textId="77777777" w:rsidTr="00621828">
        <w:trPr>
          <w:cantSplit/>
        </w:trPr>
        <w:tc>
          <w:tcPr>
            <w:tcW w:w="8505" w:type="dxa"/>
            <w:vAlign w:val="center"/>
          </w:tcPr>
          <w:p w14:paraId="1EBDDC42" w14:textId="6F41EF43" w:rsidR="00300618" w:rsidRPr="001455DC" w:rsidRDefault="00300618" w:rsidP="00300618">
            <w:pPr>
              <w:pStyle w:val="Formula"/>
              <w:jc w:val="left"/>
            </w:pPr>
            <m:oMathPara>
              <m:oMathParaPr>
                <m:jc m:val="left"/>
              </m:oMathParaPr>
              <m:oMath>
                <m:r>
                  <w:rPr>
                    <w:rFonts w:ascii="Cambria Math" w:hAnsi="Cambria Math"/>
                  </w:rPr>
                  <m:t>α=</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s,ef</m:t>
                            </m:r>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yd</m:t>
                            </m:r>
                          </m:sub>
                        </m:sSub>
                      </m:e>
                    </m:d>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s</m:t>
                        </m:r>
                      </m:sub>
                    </m:sSub>
                  </m:num>
                  <m:den>
                    <m:r>
                      <m:rPr>
                        <m:sty m:val="p"/>
                      </m:rPr>
                      <w:rPr>
                        <w:rFonts w:ascii="Cambria Math" w:hAnsi="Cambria Math"/>
                      </w:rPr>
                      <m:t>π</m:t>
                    </m:r>
                    <m:r>
                      <w:rPr>
                        <w:rFonts w:ascii="Cambria Math" w:hAnsi="Cambria Math"/>
                      </w:rPr>
                      <m:t>⋅ϕ⋅</m:t>
                    </m:r>
                    <m:f>
                      <m:fPr>
                        <m:ctrlPr>
                          <w:rPr>
                            <w:rFonts w:ascii="Cambria Math" w:hAnsi="Cambria Math"/>
                          </w:rPr>
                        </m:ctrlPr>
                      </m:fPr>
                      <m:num>
                        <m:sSub>
                          <m:sSubPr>
                            <m:ctrlPr>
                              <w:rPr>
                                <w:rFonts w:ascii="Cambria Math" w:hAnsi="Cambria Math"/>
                              </w:rPr>
                            </m:ctrlPr>
                          </m:sSubPr>
                          <m:e>
                            <m:r>
                              <w:rPr>
                                <w:rFonts w:ascii="Cambria Math" w:hAnsi="Cambria Math"/>
                              </w:rPr>
                              <m:t>s</m:t>
                            </m:r>
                          </m:e>
                          <m:sub>
                            <m:r>
                              <m:rPr>
                                <m:sty m:val="p"/>
                              </m:rPr>
                              <w:rPr>
                                <w:rFonts w:ascii="Cambria Math" w:hAnsi="Cambria Math"/>
                              </w:rPr>
                              <m:t>m</m:t>
                            </m:r>
                          </m:sub>
                        </m:sSub>
                      </m:num>
                      <m:den>
                        <m:r>
                          <w:rPr>
                            <w:rFonts w:ascii="Cambria Math" w:hAnsi="Cambria Math"/>
                          </w:rPr>
                          <m:t>2</m:t>
                        </m:r>
                      </m:den>
                    </m:f>
                    <m:r>
                      <w:rPr>
                        <w:rFonts w:ascii="Cambria Math" w:hAnsi="Cambria Math"/>
                      </w:rPr>
                      <m:t>⋅0,3⋅</m:t>
                    </m:r>
                    <m:sSubSup>
                      <m:sSubSupPr>
                        <m:ctrlPr>
                          <w:rPr>
                            <w:rFonts w:ascii="Cambria Math" w:hAnsi="Cambria Math"/>
                          </w:rPr>
                        </m:ctrlPr>
                      </m:sSubSupPr>
                      <m:e>
                        <m:r>
                          <w:rPr>
                            <w:rFonts w:ascii="Cambria Math" w:hAnsi="Cambria Math"/>
                          </w:rPr>
                          <m:t>f</m:t>
                        </m:r>
                      </m:e>
                      <m:sub>
                        <m:r>
                          <m:rPr>
                            <m:sty m:val="p"/>
                          </m:rPr>
                          <w:rPr>
                            <w:rFonts w:ascii="Cambria Math" w:hAnsi="Cambria Math"/>
                          </w:rPr>
                          <m:t>cm</m:t>
                        </m:r>
                      </m:sub>
                      <m:sup>
                        <m:f>
                          <m:fPr>
                            <m:ctrlPr>
                              <w:rPr>
                                <w:rFonts w:ascii="Cambria Math" w:hAnsi="Cambria Math"/>
                              </w:rPr>
                            </m:ctrlPr>
                          </m:fPr>
                          <m:num>
                            <m:r>
                              <w:rPr>
                                <w:rFonts w:ascii="Cambria Math" w:hAnsi="Cambria Math"/>
                              </w:rPr>
                              <m:t>2</m:t>
                            </m:r>
                          </m:num>
                          <m:den>
                            <m:r>
                              <w:rPr>
                                <w:rFonts w:ascii="Cambria Math" w:hAnsi="Cambria Math"/>
                              </w:rPr>
                              <m:t>3</m:t>
                            </m:r>
                          </m:den>
                        </m:f>
                      </m:sup>
                    </m:sSubSup>
                  </m:den>
                </m:f>
              </m:oMath>
            </m:oMathPara>
          </w:p>
        </w:tc>
        <w:tc>
          <w:tcPr>
            <w:tcW w:w="1247" w:type="dxa"/>
            <w:vAlign w:val="center"/>
          </w:tcPr>
          <w:p w14:paraId="74B783E6" w14:textId="4F84C3FE" w:rsidR="00300618" w:rsidRPr="001455DC" w:rsidRDefault="00300618" w:rsidP="00300618">
            <w:pPr>
              <w:pStyle w:val="a7"/>
              <w:jc w:val="right"/>
            </w:pPr>
            <w:r w:rsidRPr="001455DC">
              <w:t>(7.23)</w:t>
            </w:r>
          </w:p>
        </w:tc>
      </w:tr>
    </w:tbl>
    <w:p w14:paraId="5A0F0FD9" w14:textId="507F96D7" w:rsidR="00AF6585" w:rsidRPr="001455DC" w:rsidRDefault="00036609" w:rsidP="00A35599">
      <w:pPr>
        <w:pStyle w:val="a7"/>
        <w:keepNext/>
      </w:pPr>
      <w:r>
        <w:t>w</w:t>
      </w:r>
      <w:r w:rsidR="00AF6585" w:rsidRPr="001455DC">
        <w:t>here</w:t>
      </w:r>
    </w:p>
    <w:tbl>
      <w:tblPr>
        <w:tblW w:w="9413" w:type="dxa"/>
        <w:tblInd w:w="397" w:type="dxa"/>
        <w:tblLayout w:type="fixed"/>
        <w:tblCellMar>
          <w:left w:w="28" w:type="dxa"/>
          <w:right w:w="28" w:type="dxa"/>
        </w:tblCellMar>
        <w:tblLook w:val="04A0" w:firstRow="1" w:lastRow="0" w:firstColumn="1" w:lastColumn="0" w:noHBand="0" w:noVBand="1"/>
      </w:tblPr>
      <w:tblGrid>
        <w:gridCol w:w="851"/>
        <w:gridCol w:w="8562"/>
      </w:tblGrid>
      <w:tr w:rsidR="00730CAA" w:rsidRPr="001455DC" w14:paraId="034B0617" w14:textId="77777777" w:rsidTr="00AF6585">
        <w:trPr>
          <w:cantSplit/>
        </w:trPr>
        <w:tc>
          <w:tcPr>
            <w:tcW w:w="851" w:type="dxa"/>
          </w:tcPr>
          <w:p w14:paraId="1DFFB245" w14:textId="6047EC60" w:rsidR="00730CAA" w:rsidRPr="009D3012" w:rsidRDefault="00730CAA" w:rsidP="00730CAA">
            <w:pPr>
              <w:pStyle w:val="Tablebody"/>
              <w:rPr>
                <w:rStyle w:val="CCMCvariableitalic"/>
              </w:rPr>
            </w:pPr>
            <w:r w:rsidRPr="001455DC">
              <w:rPr>
                <w:rStyle w:val="CCMCvariableitalic"/>
              </w:rPr>
              <w:t>l</w:t>
            </w:r>
            <w:r w:rsidRPr="009D3012">
              <w:rPr>
                <w:rStyle w:val="CCMCvariablesubscript"/>
              </w:rPr>
              <w:t>cf</w:t>
            </w:r>
          </w:p>
        </w:tc>
        <w:tc>
          <w:tcPr>
            <w:tcW w:w="8562" w:type="dxa"/>
          </w:tcPr>
          <w:p w14:paraId="7566C972" w14:textId="3E80CF0C" w:rsidR="00730CAA" w:rsidRPr="009D3012" w:rsidRDefault="00730CAA" w:rsidP="00730CAA">
            <w:pPr>
              <w:pStyle w:val="Tablebody"/>
              <w:rPr>
                <w:i/>
              </w:rPr>
            </w:pPr>
            <w:r w:rsidRPr="009D3012">
              <w:rPr>
                <w:rStyle w:val="CCMCvariableitalic"/>
                <w:i w:val="0"/>
              </w:rPr>
              <w:t>is the distance between the two adjacent points of contraflexure;</w:t>
            </w:r>
          </w:p>
        </w:tc>
      </w:tr>
      <w:tr w:rsidR="00730CAA" w:rsidRPr="001455DC" w14:paraId="0CCF4608" w14:textId="77777777" w:rsidTr="00AF6585">
        <w:trPr>
          <w:cantSplit/>
        </w:trPr>
        <w:tc>
          <w:tcPr>
            <w:tcW w:w="851" w:type="dxa"/>
          </w:tcPr>
          <w:p w14:paraId="0EDFCCCE" w14:textId="3133DE93" w:rsidR="00730CAA" w:rsidRPr="001455DC" w:rsidRDefault="00730CAA" w:rsidP="00730CAA">
            <w:pPr>
              <w:pStyle w:val="Tablebody"/>
            </w:pPr>
            <w:r w:rsidRPr="001455DC">
              <w:rPr>
                <w:rStyle w:val="CCMCvariableitalic"/>
              </w:rPr>
              <w:t>f</w:t>
            </w:r>
            <w:r w:rsidRPr="001455DC">
              <w:rPr>
                <w:rStyle w:val="CCMCvariablesubscript"/>
              </w:rPr>
              <w:t>s,ef</w:t>
            </w:r>
          </w:p>
        </w:tc>
        <w:tc>
          <w:tcPr>
            <w:tcW w:w="8562" w:type="dxa"/>
          </w:tcPr>
          <w:p w14:paraId="3AC0AD90" w14:textId="5C71F1FD" w:rsidR="00730CAA" w:rsidRPr="001455DC" w:rsidRDefault="00730CAA" w:rsidP="00730CAA">
            <w:pPr>
              <w:pStyle w:val="Tablebody"/>
            </w:pPr>
            <w:r w:rsidRPr="001455DC">
              <w:t xml:space="preserve">Is the tensile stress in the reinforcement when </w:t>
            </w:r>
            <w:r w:rsidRPr="001455DC">
              <w:rPr>
                <w:rStyle w:val="CCMCvariableitalic"/>
              </w:rPr>
              <w:t>M</w:t>
            </w:r>
            <w:r w:rsidRPr="001455DC">
              <w:rPr>
                <w:rStyle w:val="CCMCvariablesubscript"/>
              </w:rPr>
              <w:t>Rd</w:t>
            </w:r>
            <w:r w:rsidRPr="001455DC">
              <w:t xml:space="preserve"> is found, assuming a stress-strain-relation for the rebar, see Figure 5.2, with a second ascending branch;</w:t>
            </w:r>
          </w:p>
        </w:tc>
      </w:tr>
      <w:tr w:rsidR="00730CAA" w:rsidRPr="001455DC" w14:paraId="4A7AEAE8" w14:textId="77777777" w:rsidTr="00AF6585">
        <w:trPr>
          <w:cantSplit/>
        </w:trPr>
        <w:tc>
          <w:tcPr>
            <w:tcW w:w="851" w:type="dxa"/>
          </w:tcPr>
          <w:p w14:paraId="77058C83" w14:textId="7AA5D108" w:rsidR="00730CAA" w:rsidRPr="001455DC" w:rsidRDefault="00730CAA" w:rsidP="00730CAA">
            <w:pPr>
              <w:pStyle w:val="Tablebody"/>
            </w:pPr>
            <w:r w:rsidRPr="009D3012">
              <w:rPr>
                <w:i/>
                <w:iCs/>
              </w:rPr>
              <w:sym w:font="Symbol" w:char="F065"/>
            </w:r>
            <w:r w:rsidRPr="009D3012">
              <w:rPr>
                <w:vertAlign w:val="subscript"/>
              </w:rPr>
              <w:t>ud,ef</w:t>
            </w:r>
            <w:r w:rsidRPr="009D3012">
              <w:tab/>
            </w:r>
          </w:p>
        </w:tc>
        <w:tc>
          <w:tcPr>
            <w:tcW w:w="8562" w:type="dxa"/>
          </w:tcPr>
          <w:p w14:paraId="2AEC68BD" w14:textId="3229D9D5" w:rsidR="00730CAA" w:rsidRPr="001455DC" w:rsidRDefault="00730CAA" w:rsidP="00730CAA">
            <w:pPr>
              <w:pStyle w:val="Tablebody"/>
            </w:pPr>
            <w:r w:rsidRPr="009D3012">
              <w:t xml:space="preserve">is the strain in the reinforcement with a stress equal to </w:t>
            </w:r>
            <w:r w:rsidRPr="009D3012">
              <w:rPr>
                <w:i/>
                <w:iCs/>
              </w:rPr>
              <w:t>f</w:t>
            </w:r>
            <w:r w:rsidRPr="009D3012">
              <w:rPr>
                <w:vertAlign w:val="subscript"/>
              </w:rPr>
              <w:t>s,ef</w:t>
            </w:r>
            <w:r w:rsidRPr="009D3012">
              <w:t>;</w:t>
            </w:r>
          </w:p>
        </w:tc>
      </w:tr>
      <w:tr w:rsidR="00730CAA" w:rsidRPr="001455DC" w14:paraId="56E34475" w14:textId="77777777" w:rsidTr="00AF6585">
        <w:trPr>
          <w:cantSplit/>
        </w:trPr>
        <w:tc>
          <w:tcPr>
            <w:tcW w:w="851" w:type="dxa"/>
          </w:tcPr>
          <w:p w14:paraId="41A8E955" w14:textId="2ABAE15C" w:rsidR="00730CAA" w:rsidRPr="009D3012" w:rsidDel="00730CAA" w:rsidRDefault="00730CAA" w:rsidP="00730CAA">
            <w:pPr>
              <w:pStyle w:val="Tablebody"/>
              <w:rPr>
                <w:rStyle w:val="CCMCvariableitalic"/>
              </w:rPr>
            </w:pPr>
            <w:r w:rsidRPr="009D3012">
              <w:rPr>
                <w:i/>
                <w:iCs/>
              </w:rPr>
              <w:t>M</w:t>
            </w:r>
            <w:r w:rsidRPr="009D3012">
              <w:rPr>
                <w:vertAlign w:val="subscript"/>
              </w:rPr>
              <w:t>y</w:t>
            </w:r>
            <w:r w:rsidRPr="009D3012">
              <w:tab/>
            </w:r>
          </w:p>
        </w:tc>
        <w:tc>
          <w:tcPr>
            <w:tcW w:w="8562" w:type="dxa"/>
          </w:tcPr>
          <w:p w14:paraId="080C31E8" w14:textId="5E74324F" w:rsidR="00730CAA" w:rsidRPr="001455DC" w:rsidDel="00730CAA" w:rsidRDefault="00730CAA" w:rsidP="00730CAA">
            <w:pPr>
              <w:pStyle w:val="Tablebody"/>
              <w:rPr>
                <w:rFonts w:ascii="Cambria Math" w:hAnsi="Cambria Math"/>
              </w:rPr>
            </w:pPr>
            <w:r w:rsidRPr="009D3012">
              <w:t xml:space="preserve">is the internal moment when the strain in the tension reinforcement equals </w:t>
            </w:r>
            <w:r w:rsidRPr="009D3012">
              <w:rPr>
                <w:i/>
                <w:iCs/>
              </w:rPr>
              <w:sym w:font="Symbol" w:char="F065"/>
            </w:r>
            <w:r w:rsidRPr="009D3012">
              <w:rPr>
                <w:vertAlign w:val="subscript"/>
              </w:rPr>
              <w:t>yd</w:t>
            </w:r>
          </w:p>
        </w:tc>
      </w:tr>
      <w:tr w:rsidR="00730CAA" w:rsidRPr="001455DC" w14:paraId="3450E580" w14:textId="77777777" w:rsidTr="00AF6585">
        <w:trPr>
          <w:cantSplit/>
        </w:trPr>
        <w:tc>
          <w:tcPr>
            <w:tcW w:w="851" w:type="dxa"/>
          </w:tcPr>
          <w:p w14:paraId="638DFBA0" w14:textId="2A74397A" w:rsidR="00730CAA" w:rsidRPr="009D3012" w:rsidDel="00730CAA" w:rsidRDefault="00730CAA" w:rsidP="00730CAA">
            <w:pPr>
              <w:pStyle w:val="Tablebody"/>
              <w:rPr>
                <w:rStyle w:val="CCMCvariableitalic"/>
              </w:rPr>
            </w:pPr>
            <w:r w:rsidRPr="009D3012">
              <w:rPr>
                <w:i/>
                <w:iCs/>
              </w:rPr>
              <w:t>k</w:t>
            </w:r>
            <w:r w:rsidRPr="009D3012">
              <w:rPr>
                <w:vertAlign w:val="subscript"/>
              </w:rPr>
              <w:t>y</w:t>
            </w:r>
            <w:r w:rsidRPr="009D3012">
              <w:tab/>
            </w:r>
          </w:p>
        </w:tc>
        <w:tc>
          <w:tcPr>
            <w:tcW w:w="8562" w:type="dxa"/>
          </w:tcPr>
          <w:p w14:paraId="58FB1B3D" w14:textId="20AD110F" w:rsidR="00730CAA" w:rsidRPr="009D3012" w:rsidDel="00730CAA" w:rsidRDefault="00730CAA" w:rsidP="009D3012">
            <w:pPr>
              <w:ind w:left="709" w:hanging="709"/>
              <w:rPr>
                <w:rFonts w:ascii="Cambria Math" w:hAnsi="Cambria Math"/>
              </w:rPr>
            </w:pPr>
            <w:r w:rsidRPr="009D3012">
              <w:t>= 1</w:t>
            </w:r>
          </w:p>
        </w:tc>
      </w:tr>
      <w:tr w:rsidR="00730CAA" w:rsidRPr="001455DC" w14:paraId="019F573C" w14:textId="77777777" w:rsidTr="00AF6585">
        <w:trPr>
          <w:cantSplit/>
        </w:trPr>
        <w:tc>
          <w:tcPr>
            <w:tcW w:w="851" w:type="dxa"/>
          </w:tcPr>
          <w:p w14:paraId="74DCC034" w14:textId="39E9B1F7" w:rsidR="00730CAA" w:rsidRPr="009D3012" w:rsidDel="00730CAA" w:rsidRDefault="00730CAA" w:rsidP="00730CAA">
            <w:pPr>
              <w:pStyle w:val="Tablebody"/>
              <w:rPr>
                <w:rStyle w:val="CCMCvariableitalic"/>
              </w:rPr>
            </w:pPr>
            <w:r w:rsidRPr="009D3012">
              <w:rPr>
                <w:i/>
                <w:iCs/>
              </w:rPr>
              <w:t>k</w:t>
            </w:r>
            <w:r w:rsidRPr="009D3012">
              <w:rPr>
                <w:vertAlign w:val="subscript"/>
              </w:rPr>
              <w:t>d</w:t>
            </w:r>
            <w:r w:rsidRPr="009D3012">
              <w:tab/>
            </w:r>
          </w:p>
        </w:tc>
        <w:tc>
          <w:tcPr>
            <w:tcW w:w="8562" w:type="dxa"/>
          </w:tcPr>
          <w:p w14:paraId="53C68313" w14:textId="02CAD212" w:rsidR="00730CAA" w:rsidRPr="001455DC" w:rsidDel="00730CAA" w:rsidRDefault="00730CAA" w:rsidP="00730CAA">
            <w:pPr>
              <w:pStyle w:val="Tablebody"/>
              <w:rPr>
                <w:rFonts w:ascii="Cambria Math" w:hAnsi="Cambria Math"/>
              </w:rPr>
            </w:pPr>
            <w:r w:rsidRPr="009D3012">
              <w:t>= 1</w:t>
            </w:r>
          </w:p>
        </w:tc>
      </w:tr>
      <w:tr w:rsidR="00730CAA" w:rsidRPr="001455DC" w14:paraId="62B1068F" w14:textId="77777777" w:rsidTr="00AF6585">
        <w:trPr>
          <w:cantSplit/>
        </w:trPr>
        <w:tc>
          <w:tcPr>
            <w:tcW w:w="851" w:type="dxa"/>
          </w:tcPr>
          <w:p w14:paraId="313579D0" w14:textId="28779E8F" w:rsidR="00730CAA" w:rsidRPr="009D3012" w:rsidDel="00730CAA" w:rsidRDefault="00730CAA" w:rsidP="00730CAA">
            <w:pPr>
              <w:pStyle w:val="Tablebody"/>
              <w:rPr>
                <w:rStyle w:val="CCMCvariableitalic"/>
              </w:rPr>
            </w:pPr>
            <w:r w:rsidRPr="009D3012">
              <w:rPr>
                <w:i/>
                <w:iCs/>
              </w:rPr>
              <w:sym w:font="Symbol" w:char="F061"/>
            </w:r>
            <w:r w:rsidRPr="009D3012">
              <w:rPr>
                <w:vertAlign w:val="subscript"/>
              </w:rPr>
              <w:sym w:font="Symbol" w:char="F065"/>
            </w:r>
            <w:r w:rsidRPr="009D3012">
              <w:tab/>
            </w:r>
          </w:p>
        </w:tc>
        <w:tc>
          <w:tcPr>
            <w:tcW w:w="8562" w:type="dxa"/>
          </w:tcPr>
          <w:p w14:paraId="6B8EDC94" w14:textId="10D93B6B" w:rsidR="00730CAA" w:rsidRPr="009D3012" w:rsidDel="00730CAA" w:rsidRDefault="00730CAA" w:rsidP="009D3012">
            <w:pPr>
              <w:ind w:left="709" w:hanging="709"/>
              <w:rPr>
                <w:rFonts w:ascii="Cambria Math" w:hAnsi="Cambria Math"/>
              </w:rPr>
            </w:pPr>
            <w:r w:rsidRPr="009D3012">
              <w:t>= 1</w:t>
            </w:r>
          </w:p>
        </w:tc>
      </w:tr>
      <w:tr w:rsidR="00730CAA" w:rsidRPr="001455DC" w14:paraId="0F2CAD4E" w14:textId="77777777" w:rsidTr="00AF6585">
        <w:trPr>
          <w:cantSplit/>
        </w:trPr>
        <w:tc>
          <w:tcPr>
            <w:tcW w:w="851" w:type="dxa"/>
          </w:tcPr>
          <w:p w14:paraId="0248D0DF" w14:textId="69DCA39A" w:rsidR="00730CAA" w:rsidRPr="009D3012" w:rsidRDefault="00730CAA" w:rsidP="00730CAA">
            <w:pPr>
              <w:pStyle w:val="Tablebody"/>
              <w:rPr>
                <w:i/>
                <w:iCs/>
              </w:rPr>
            </w:pPr>
            <w:r w:rsidRPr="009D3012">
              <w:rPr>
                <w:i/>
                <w:iCs/>
              </w:rPr>
              <w:sym w:font="Symbol" w:char="F067"/>
            </w:r>
            <w:r w:rsidRPr="009D3012">
              <w:rPr>
                <w:rFonts w:ascii="Symbol" w:hAnsi="Symbol"/>
                <w:vertAlign w:val="subscript"/>
              </w:rPr>
              <w:t></w:t>
            </w:r>
            <w:r w:rsidRPr="001455DC">
              <w:rPr>
                <w:vertAlign w:val="subscript"/>
              </w:rPr>
              <w:tab/>
            </w:r>
          </w:p>
        </w:tc>
        <w:tc>
          <w:tcPr>
            <w:tcW w:w="8562" w:type="dxa"/>
          </w:tcPr>
          <w:p w14:paraId="3E81A892" w14:textId="21919A64" w:rsidR="00730CAA" w:rsidRPr="009D3012" w:rsidRDefault="00730CAA" w:rsidP="00730CAA">
            <w:pPr>
              <w:ind w:left="709" w:hanging="709"/>
            </w:pPr>
            <w:r w:rsidRPr="009D3012">
              <w:t>is a safety factor for model uncertainty.</w:t>
            </w:r>
          </w:p>
        </w:tc>
      </w:tr>
    </w:tbl>
    <w:p w14:paraId="17533B17" w14:textId="13B09910" w:rsidR="00730CAA" w:rsidRPr="009D3012" w:rsidRDefault="00730CAA" w:rsidP="009D3012">
      <w:pPr>
        <w:pStyle w:val="Note"/>
      </w:pPr>
      <w:bookmarkStart w:id="420" w:name="_Ref480897980"/>
      <w:bookmarkStart w:id="421" w:name="_Toc52819943"/>
      <w:bookmarkStart w:id="422" w:name="_Toc54337345"/>
      <w:bookmarkStart w:id="423" w:name="_Toc54338001"/>
      <w:r w:rsidRPr="009D3012">
        <w:rPr>
          <w:bCs/>
        </w:rPr>
        <w:t>NOTE</w:t>
      </w:r>
      <w:r w:rsidRPr="009D3012">
        <w:rPr>
          <w:bCs/>
        </w:rPr>
        <w:tab/>
      </w:r>
      <w:r w:rsidRPr="009D3012">
        <w:t xml:space="preserve"> The value of </w:t>
      </w:r>
      <w:r w:rsidRPr="009D3012">
        <w:rPr>
          <w:i/>
          <w:iCs/>
        </w:rPr>
        <w:sym w:font="Symbol" w:char="F067"/>
      </w:r>
      <w:r w:rsidRPr="009D3012">
        <w:rPr>
          <w:rFonts w:ascii="Symbol" w:hAnsi="Symbol"/>
          <w:vertAlign w:val="subscript"/>
        </w:rPr>
        <w:t></w:t>
      </w:r>
      <w:r w:rsidRPr="009D3012">
        <w:t xml:space="preserve"> = 3,0 applies unless the National Annex gives a different value.</w:t>
      </w:r>
    </w:p>
    <w:p w14:paraId="49FDA790" w14:textId="39629DF9" w:rsidR="004E22C1" w:rsidRPr="001455DC" w:rsidRDefault="004E22C1" w:rsidP="00243590">
      <w:pPr>
        <w:pStyle w:val="31"/>
      </w:pPr>
      <w:bookmarkStart w:id="424" w:name="_Toc67565359"/>
      <w:r w:rsidRPr="001455DC">
        <w:t>Plastic analysis</w:t>
      </w:r>
      <w:bookmarkEnd w:id="420"/>
      <w:bookmarkEnd w:id="421"/>
      <w:bookmarkEnd w:id="422"/>
      <w:bookmarkEnd w:id="423"/>
      <w:bookmarkEnd w:id="424"/>
    </w:p>
    <w:p w14:paraId="23121BB4" w14:textId="69331FE2" w:rsidR="004E22C1" w:rsidRPr="001455DC" w:rsidRDefault="004E22C1" w:rsidP="00243590">
      <w:pPr>
        <w:pStyle w:val="41"/>
      </w:pPr>
      <w:bookmarkStart w:id="425" w:name="_Toc52819944"/>
      <w:bookmarkStart w:id="426" w:name="_Toc54338002"/>
      <w:r w:rsidRPr="001455DC">
        <w:t>General</w:t>
      </w:r>
      <w:bookmarkEnd w:id="425"/>
      <w:bookmarkEnd w:id="426"/>
    </w:p>
    <w:p w14:paraId="08BD7A72" w14:textId="085F00AA" w:rsidR="004E22C1" w:rsidRPr="001455DC" w:rsidRDefault="004E22C1" w:rsidP="00D5112B">
      <w:pPr>
        <w:pStyle w:val="a7"/>
      </w:pPr>
      <w:r w:rsidRPr="001455DC">
        <w:rPr>
          <w:rFonts w:eastAsiaTheme="minorHAnsi"/>
        </w:rPr>
        <w:t>(1)</w:t>
      </w:r>
      <w:r w:rsidRPr="001455DC">
        <w:rPr>
          <w:rFonts w:eastAsiaTheme="minorHAnsi"/>
        </w:rPr>
        <w:tab/>
      </w:r>
      <w:r w:rsidRPr="001455DC">
        <w:t>Methods based on plastic analysis may be used for the check at ULS only, except for analysis with stress fields and strut and tie models (see 7.3.3.4) which may also be used in SLS in certain conditions (see 9.2.4(7)).</w:t>
      </w:r>
      <w:r w:rsidR="00036609">
        <w:t xml:space="preserve"> </w:t>
      </w:r>
    </w:p>
    <w:p w14:paraId="680F27C6" w14:textId="77777777" w:rsidR="004E22C1" w:rsidRPr="001455DC" w:rsidRDefault="004E22C1" w:rsidP="00D5112B">
      <w:pPr>
        <w:pStyle w:val="a7"/>
      </w:pPr>
      <w:r w:rsidRPr="001455DC">
        <w:t>(2)</w:t>
      </w:r>
      <w:r w:rsidRPr="001455DC">
        <w:tab/>
        <w:t>Plastic analysis should in general be based on the lower bound theorem of limit analysis. Plastic methods based on the upper bound theorem of limit analysis may be used, if it is known by experience that the type of assumed mechanisms can develop.</w:t>
      </w:r>
    </w:p>
    <w:p w14:paraId="2875D842" w14:textId="77777777" w:rsidR="004E22C1" w:rsidRPr="001455DC" w:rsidRDefault="004E22C1" w:rsidP="00D5112B">
      <w:pPr>
        <w:pStyle w:val="a7"/>
      </w:pPr>
      <w:r w:rsidRPr="001455DC">
        <w:t>(3)</w:t>
      </w:r>
      <w:r w:rsidRPr="001455DC">
        <w:tab/>
        <w:t>The plastic deformation capacity of the critical sections shall be sufficient for the envisaged mechanism to be formed.</w:t>
      </w:r>
    </w:p>
    <w:p w14:paraId="4BF62315" w14:textId="77777777" w:rsidR="004E22C1" w:rsidRPr="001455DC" w:rsidRDefault="004E22C1" w:rsidP="00D5112B">
      <w:pPr>
        <w:pStyle w:val="a7"/>
      </w:pPr>
      <w:r w:rsidRPr="001455DC">
        <w:t>(4)</w:t>
      </w:r>
      <w:r w:rsidRPr="001455DC">
        <w:tab/>
        <w:t>The effects of previous applications of loading may be ignored, and a monotonic increase of the intensity of actions may be assumed.</w:t>
      </w:r>
    </w:p>
    <w:p w14:paraId="3CACC4EE" w14:textId="77777777" w:rsidR="004E22C1" w:rsidRPr="001455DC" w:rsidRDefault="004E22C1" w:rsidP="00D5112B">
      <w:pPr>
        <w:pStyle w:val="a7"/>
      </w:pPr>
      <w:r w:rsidRPr="001455DC">
        <w:t>(5)</w:t>
      </w:r>
      <w:r w:rsidRPr="001455DC">
        <w:tab/>
        <w:t>Plastic analysis shall only be used for reinforcement steel in Class B or C. Prestressing steel may be considered as Class B steel.</w:t>
      </w:r>
    </w:p>
    <w:p w14:paraId="4B0BB24E" w14:textId="77777777" w:rsidR="004E22C1" w:rsidRPr="001455DC" w:rsidRDefault="004E22C1" w:rsidP="00D5112B">
      <w:pPr>
        <w:pStyle w:val="a7"/>
      </w:pPr>
      <w:r w:rsidRPr="001455DC">
        <w:t>(6)</w:t>
      </w:r>
      <w:r w:rsidRPr="001455DC">
        <w:tab/>
        <w:t>For plastic analysis the horizontal branch of the stress-strain diagram for the reinforcement (see Figures 5.2 and 5.3) shall be used when determining the sectional capacity of the cross sections.</w:t>
      </w:r>
    </w:p>
    <w:p w14:paraId="1AC43DFE" w14:textId="11A40DE8" w:rsidR="004E22C1" w:rsidRPr="001455DC" w:rsidRDefault="004E22C1" w:rsidP="00243590">
      <w:pPr>
        <w:pStyle w:val="41"/>
      </w:pPr>
      <w:bookmarkStart w:id="427" w:name="_Ref480905312"/>
      <w:bookmarkStart w:id="428" w:name="_Toc52819945"/>
      <w:bookmarkStart w:id="429" w:name="_Toc54338003"/>
      <w:r w:rsidRPr="001455DC">
        <w:t>Analysis for beams, frames and slabs</w:t>
      </w:r>
      <w:bookmarkEnd w:id="427"/>
      <w:r w:rsidRPr="001455DC">
        <w:t xml:space="preserve"> without verification of rotation capacity</w:t>
      </w:r>
      <w:bookmarkEnd w:id="428"/>
      <w:bookmarkEnd w:id="429"/>
    </w:p>
    <w:p w14:paraId="758B0313" w14:textId="77777777" w:rsidR="004E22C1" w:rsidRPr="001455DC" w:rsidRDefault="004E22C1" w:rsidP="00A35599">
      <w:pPr>
        <w:pStyle w:val="a7"/>
        <w:keepNext/>
      </w:pPr>
      <w:r w:rsidRPr="001455DC">
        <w:t>(1)</w:t>
      </w:r>
      <w:r w:rsidRPr="001455DC">
        <w:tab/>
        <w:t>Plastic analysis without any direct check of rotation capacity may be used for the ultimate limit state if all the following conditions are fulfilled:</w:t>
      </w:r>
    </w:p>
    <w:p w14:paraId="7101ECE1" w14:textId="4D7DD2E5" w:rsidR="004E22C1" w:rsidRPr="001455DC" w:rsidRDefault="004E22C1" w:rsidP="00D5112B">
      <w:pPr>
        <w:pStyle w:val="a7"/>
        <w:ind w:left="397" w:hanging="397"/>
      </w:pPr>
      <w:r w:rsidRPr="001455DC">
        <w:rPr>
          <w:rFonts w:eastAsiaTheme="minorHAnsi"/>
        </w:rPr>
        <w:t>i)</w:t>
      </w:r>
      <w:r w:rsidR="00D5112B" w:rsidRPr="001455DC">
        <w:rPr>
          <w:rFonts w:eastAsiaTheme="minorHAnsi"/>
        </w:rPr>
        <w:tab/>
      </w:r>
      <w:r w:rsidRPr="001455DC">
        <w:rPr>
          <w:rFonts w:eastAsiaTheme="minorHAnsi"/>
        </w:rPr>
        <w:t xml:space="preserve">the area of tensile reinforcement is limited such that, at any section where plastic hinges are expected to occur </w:t>
      </w:r>
      <w:r w:rsidRPr="001455DC">
        <w:rPr>
          <w:rStyle w:val="CCMCvariableitalic"/>
        </w:rPr>
        <w:t>x</w:t>
      </w:r>
      <w:r w:rsidRPr="001455DC">
        <w:rPr>
          <w:rStyle w:val="CCMCvariablesubscript"/>
        </w:rPr>
        <w:t>u</w:t>
      </w:r>
      <w:r w:rsidRPr="001455DC">
        <w:rPr>
          <w:rFonts w:eastAsiaTheme="minorHAnsi"/>
        </w:rPr>
        <w:t>/</w:t>
      </w:r>
      <w:r w:rsidRPr="001455DC">
        <w:rPr>
          <w:rStyle w:val="CCMCvariableitalic"/>
        </w:rPr>
        <w:t>d</w:t>
      </w:r>
      <w:r w:rsidRPr="001455DC">
        <w:rPr>
          <w:rFonts w:eastAsiaTheme="minorHAnsi"/>
        </w:rPr>
        <w:t> </w:t>
      </w:r>
      <w:r w:rsidR="00650035" w:rsidRPr="001455DC">
        <w:rPr>
          <w:rFonts w:ascii="Cambria Math" w:eastAsiaTheme="minorHAnsi" w:hAnsi="Cambria Math"/>
        </w:rPr>
        <w:t>≤</w:t>
      </w:r>
      <w:r w:rsidRPr="001455DC">
        <w:rPr>
          <w:rFonts w:eastAsiaTheme="minorHAnsi"/>
        </w:rPr>
        <w:t> 0,25;</w:t>
      </w:r>
    </w:p>
    <w:p w14:paraId="71E9730A" w14:textId="491C7E6A" w:rsidR="004E22C1" w:rsidRPr="001455DC" w:rsidRDefault="004E22C1" w:rsidP="00D5112B">
      <w:pPr>
        <w:pStyle w:val="a7"/>
        <w:ind w:left="397" w:hanging="397"/>
        <w:rPr>
          <w:rFonts w:eastAsiaTheme="minorHAnsi"/>
        </w:rPr>
      </w:pPr>
      <w:r w:rsidRPr="001455DC">
        <w:rPr>
          <w:rFonts w:eastAsiaTheme="minorHAnsi"/>
        </w:rPr>
        <w:t>ii)</w:t>
      </w:r>
      <w:r w:rsidR="00D5112B" w:rsidRPr="001455DC">
        <w:rPr>
          <w:rFonts w:eastAsiaTheme="minorHAnsi"/>
        </w:rPr>
        <w:tab/>
      </w:r>
      <w:r w:rsidRPr="001455DC">
        <w:rPr>
          <w:rFonts w:eastAsiaTheme="minorHAnsi"/>
        </w:rPr>
        <w:t>the ratio of the moments at intermediate supports to the moments in the span is between 0,5 and 2,0.</w:t>
      </w:r>
    </w:p>
    <w:p w14:paraId="2B3E6B5B" w14:textId="303A4281" w:rsidR="004E22C1" w:rsidRPr="001455DC" w:rsidRDefault="004E22C1" w:rsidP="00243590">
      <w:pPr>
        <w:pStyle w:val="41"/>
      </w:pPr>
      <w:bookmarkStart w:id="430" w:name="_Ref480898012"/>
      <w:bookmarkStart w:id="431" w:name="_Ref514154538"/>
      <w:bookmarkStart w:id="432" w:name="_Toc52819947"/>
      <w:bookmarkStart w:id="433" w:name="_Toc54338004"/>
      <w:r w:rsidRPr="001455DC">
        <w:t>Analysis with stress fields and strut-and-tie models</w:t>
      </w:r>
      <w:bookmarkEnd w:id="430"/>
      <w:bookmarkEnd w:id="431"/>
      <w:bookmarkEnd w:id="432"/>
      <w:bookmarkEnd w:id="433"/>
    </w:p>
    <w:p w14:paraId="14A94EA3" w14:textId="77777777" w:rsidR="004E22C1" w:rsidRPr="001455DC" w:rsidRDefault="004E22C1" w:rsidP="00D5112B">
      <w:pPr>
        <w:pStyle w:val="a7"/>
        <w:rPr>
          <w:szCs w:val="22"/>
        </w:rPr>
      </w:pPr>
      <w:r w:rsidRPr="001455DC">
        <w:rPr>
          <w:rFonts w:eastAsiaTheme="minorHAnsi"/>
          <w:szCs w:val="22"/>
        </w:rPr>
        <w:t>(1)</w:t>
      </w:r>
      <w:r w:rsidRPr="001455DC">
        <w:rPr>
          <w:rFonts w:eastAsiaTheme="minorHAnsi"/>
          <w:szCs w:val="22"/>
        </w:rPr>
        <w:tab/>
      </w:r>
      <w:r w:rsidRPr="001455DC">
        <w:rPr>
          <w:szCs w:val="22"/>
        </w:rPr>
        <w:t>Stress fields and strut-and-tie models may be used to determine the action effects in structures and members. This includes deep beams, walls and zones of discontinuities.</w:t>
      </w:r>
    </w:p>
    <w:p w14:paraId="3E3A8F1E" w14:textId="77777777" w:rsidR="004E22C1" w:rsidRPr="001455DC" w:rsidRDefault="004E22C1" w:rsidP="00D5112B">
      <w:pPr>
        <w:pStyle w:val="a7"/>
        <w:rPr>
          <w:szCs w:val="22"/>
        </w:rPr>
      </w:pPr>
      <w:r w:rsidRPr="001455DC">
        <w:rPr>
          <w:szCs w:val="22"/>
        </w:rPr>
        <w:t>(2)</w:t>
      </w:r>
      <w:r w:rsidRPr="001455DC">
        <w:rPr>
          <w:szCs w:val="22"/>
        </w:rPr>
        <w:tab/>
        <w:t>Internal forces in struts and ties may be calculated based on linear elastic analysis, non-linear analysis or plastic analysis.</w:t>
      </w:r>
    </w:p>
    <w:p w14:paraId="67914BCF" w14:textId="5DB62870" w:rsidR="004E22C1" w:rsidRPr="001455DC" w:rsidRDefault="004E22C1" w:rsidP="00243590">
      <w:pPr>
        <w:pStyle w:val="31"/>
      </w:pPr>
      <w:bookmarkStart w:id="434" w:name="_Ref461620815"/>
      <w:bookmarkStart w:id="435" w:name="_Toc52819948"/>
      <w:bookmarkStart w:id="436" w:name="_Toc54337346"/>
      <w:bookmarkStart w:id="437" w:name="_Toc54338005"/>
      <w:bookmarkStart w:id="438" w:name="_Toc67565360"/>
      <w:r w:rsidRPr="001455DC">
        <w:t>Non-linear analysis</w:t>
      </w:r>
      <w:bookmarkEnd w:id="434"/>
      <w:bookmarkEnd w:id="435"/>
      <w:bookmarkEnd w:id="436"/>
      <w:bookmarkEnd w:id="437"/>
      <w:bookmarkEnd w:id="438"/>
    </w:p>
    <w:p w14:paraId="4C164334" w14:textId="77777777" w:rsidR="004E22C1" w:rsidRPr="001455DC" w:rsidRDefault="004E22C1" w:rsidP="00D5112B">
      <w:pPr>
        <w:pStyle w:val="a7"/>
        <w:rPr>
          <w:szCs w:val="22"/>
        </w:rPr>
      </w:pPr>
      <w:r w:rsidRPr="001455DC">
        <w:rPr>
          <w:rFonts w:eastAsiaTheme="minorHAnsi"/>
          <w:szCs w:val="22"/>
        </w:rPr>
        <w:t>(1)</w:t>
      </w:r>
      <w:r w:rsidRPr="001455DC">
        <w:rPr>
          <w:rFonts w:eastAsiaTheme="minorHAnsi"/>
          <w:szCs w:val="22"/>
        </w:rPr>
        <w:tab/>
      </w:r>
      <w:r w:rsidRPr="001455DC">
        <w:rPr>
          <w:szCs w:val="22"/>
        </w:rPr>
        <w:t>Where non-linear methods of analysis are used for verification of ULS or SLS, equilibrium and compatibility shall be satisfied and realistic non-linear behaviour of materials should be considered.</w:t>
      </w:r>
    </w:p>
    <w:p w14:paraId="201658E4" w14:textId="29A92B54" w:rsidR="004C4EDF" w:rsidRPr="001455DC" w:rsidRDefault="004E22C1" w:rsidP="00D5112B">
      <w:pPr>
        <w:pStyle w:val="a7"/>
        <w:rPr>
          <w:szCs w:val="22"/>
        </w:rPr>
      </w:pPr>
      <w:r w:rsidRPr="001455DC">
        <w:rPr>
          <w:szCs w:val="22"/>
        </w:rPr>
        <w:t>(2)</w:t>
      </w:r>
      <w:r w:rsidRPr="001455DC">
        <w:rPr>
          <w:szCs w:val="22"/>
        </w:rPr>
        <w:tab/>
        <w:t xml:space="preserve">The general rules for non-linear analysis procedures given in </w:t>
      </w:r>
      <w:r w:rsidR="00A52A59" w:rsidRPr="0067270F">
        <w:rPr>
          <w:rFonts w:cstheme="minorBidi"/>
          <w:color w:val="000000" w:themeColor="text1"/>
          <w:lang w:eastAsia="en-US"/>
        </w:rPr>
        <w:t>pr</w:t>
      </w:r>
      <w:r w:rsidRPr="001455DC">
        <w:rPr>
          <w:szCs w:val="22"/>
        </w:rPr>
        <w:t xml:space="preserve">EN 1990. </w:t>
      </w:r>
    </w:p>
    <w:p w14:paraId="0D1CF72A" w14:textId="3FA92165" w:rsidR="004E22C1" w:rsidRPr="009D3012" w:rsidRDefault="004E22C1" w:rsidP="00036609">
      <w:pPr>
        <w:pStyle w:val="a7"/>
        <w:rPr>
          <w:szCs w:val="22"/>
          <w:lang w:eastAsia="en-US"/>
        </w:rPr>
      </w:pPr>
      <w:r w:rsidRPr="009D3012">
        <w:t xml:space="preserve">If non-linear methods of analysis are used for verification by numerical simulations, </w:t>
      </w:r>
      <w:r w:rsidRPr="009D3012">
        <w:rPr>
          <w:szCs w:val="22"/>
        </w:rPr>
        <w:t>the specific provisions given in Annex F shall be followed.</w:t>
      </w:r>
    </w:p>
    <w:p w14:paraId="2B42AE7F" w14:textId="77777777" w:rsidR="004E22C1" w:rsidRPr="001455DC" w:rsidRDefault="004E22C1" w:rsidP="00D5112B">
      <w:pPr>
        <w:pStyle w:val="a7"/>
        <w:rPr>
          <w:szCs w:val="22"/>
        </w:rPr>
      </w:pPr>
      <w:r w:rsidRPr="001455DC">
        <w:rPr>
          <w:szCs w:val="22"/>
          <w:lang w:eastAsia="en-US"/>
        </w:rPr>
        <w:t>(3)</w:t>
      </w:r>
      <w:r w:rsidRPr="001455DC">
        <w:rPr>
          <w:szCs w:val="22"/>
          <w:lang w:eastAsia="en-US"/>
        </w:rPr>
        <w:tab/>
      </w:r>
      <w:r w:rsidRPr="001455DC">
        <w:rPr>
          <w:szCs w:val="22"/>
        </w:rPr>
        <w:t>The constitutive material models for concrete, reinforcement and their interaction should capture all relevant features of material behaviour for the specific problem to be considered. Time-dependent material properties of concrete (such as shrinkage and creep), should be considered if necessary.</w:t>
      </w:r>
    </w:p>
    <w:p w14:paraId="382D065E" w14:textId="77777777" w:rsidR="004E22C1" w:rsidRPr="001455DC" w:rsidRDefault="004E22C1" w:rsidP="00D5112B">
      <w:pPr>
        <w:pStyle w:val="a7"/>
        <w:rPr>
          <w:szCs w:val="22"/>
        </w:rPr>
      </w:pPr>
      <w:r w:rsidRPr="001455DC">
        <w:rPr>
          <w:szCs w:val="22"/>
        </w:rPr>
        <w:t>(4)</w:t>
      </w:r>
      <w:r w:rsidRPr="001455DC">
        <w:rPr>
          <w:szCs w:val="22"/>
        </w:rPr>
        <w:tab/>
        <w:t>Non-linear material models and numerical procedures should be validated for each field of application by tests, analytical solutions and/or benchmark test results, including basic tests on materials, structural reference tests and mesh sensitivity studies.</w:t>
      </w:r>
    </w:p>
    <w:p w14:paraId="325A21E3" w14:textId="77777777" w:rsidR="004E22C1" w:rsidRPr="001455DC" w:rsidRDefault="004E22C1" w:rsidP="00D5112B">
      <w:pPr>
        <w:pStyle w:val="a7"/>
        <w:rPr>
          <w:szCs w:val="22"/>
        </w:rPr>
      </w:pPr>
      <w:r w:rsidRPr="001455DC">
        <w:rPr>
          <w:szCs w:val="22"/>
        </w:rPr>
        <w:t>(5)</w:t>
      </w:r>
      <w:r w:rsidRPr="001455DC">
        <w:rPr>
          <w:szCs w:val="22"/>
        </w:rPr>
        <w:tab/>
        <w:t>If material characteristics, such as tensile strength or fracture energy of concrete, have an important influence on the results, a sensitivity analysis of the structural behaviour with respect to such characteristics should be performed.</w:t>
      </w:r>
    </w:p>
    <w:p w14:paraId="46D2BDDB" w14:textId="6F6571FE" w:rsidR="004E22C1" w:rsidRPr="001455DC" w:rsidRDefault="004E22C1" w:rsidP="00D5112B">
      <w:pPr>
        <w:pStyle w:val="a7"/>
        <w:rPr>
          <w:szCs w:val="22"/>
        </w:rPr>
      </w:pPr>
      <w:r w:rsidRPr="001455DC">
        <w:rPr>
          <w:szCs w:val="22"/>
        </w:rPr>
        <w:t>(6)</w:t>
      </w:r>
      <w:r w:rsidRPr="001455DC">
        <w:rPr>
          <w:szCs w:val="22"/>
        </w:rPr>
        <w:tab/>
        <w:t>When analysis and verification are combined, the resistance against bending and axial forces of reinforced or prestressed concrete cross sections shall not depend on the tensile strength of concrete.</w:t>
      </w:r>
    </w:p>
    <w:p w14:paraId="1DCA63D6" w14:textId="77777777" w:rsidR="004E22C1" w:rsidRPr="001455DC" w:rsidRDefault="004E22C1" w:rsidP="00D5112B">
      <w:pPr>
        <w:pStyle w:val="a7"/>
        <w:rPr>
          <w:szCs w:val="22"/>
        </w:rPr>
      </w:pPr>
      <w:r w:rsidRPr="001455DC">
        <w:rPr>
          <w:szCs w:val="22"/>
        </w:rPr>
        <w:t>(7)</w:t>
      </w:r>
      <w:r w:rsidRPr="001455DC">
        <w:rPr>
          <w:szCs w:val="22"/>
        </w:rPr>
        <w:tab/>
        <w:t>A proper description of multi-axial states of stress in concrete should be considered, particularly when tension and compression are combined in the same finite element response.</w:t>
      </w:r>
    </w:p>
    <w:p w14:paraId="7864C415" w14:textId="77777777" w:rsidR="004E22C1" w:rsidRPr="001455DC" w:rsidRDefault="004E22C1" w:rsidP="00D5112B">
      <w:pPr>
        <w:pStyle w:val="a7"/>
        <w:rPr>
          <w:szCs w:val="22"/>
        </w:rPr>
      </w:pPr>
      <w:r w:rsidRPr="001455DC">
        <w:rPr>
          <w:szCs w:val="22"/>
        </w:rPr>
        <w:t>(8)</w:t>
      </w:r>
      <w:r w:rsidRPr="001455DC">
        <w:rPr>
          <w:szCs w:val="22"/>
        </w:rPr>
        <w:tab/>
        <w:t>Modelling of cracking should consider the direction of the reinforcement able to control the crack opening.</w:t>
      </w:r>
    </w:p>
    <w:p w14:paraId="4CC35470" w14:textId="652A7934" w:rsidR="004E22C1" w:rsidRPr="001455DC" w:rsidRDefault="004E22C1" w:rsidP="006D682B">
      <w:pPr>
        <w:pStyle w:val="21"/>
      </w:pPr>
      <w:bookmarkStart w:id="439" w:name="_Ref480898076"/>
      <w:bookmarkStart w:id="440" w:name="_Toc52819949"/>
      <w:bookmarkStart w:id="441" w:name="_Toc54337347"/>
      <w:bookmarkStart w:id="442" w:name="_Toc54338006"/>
      <w:bookmarkStart w:id="443" w:name="_Toc67565361"/>
      <w:r w:rsidRPr="001455DC">
        <w:t>Second order structural analysis of members and systems</w:t>
      </w:r>
      <w:bookmarkEnd w:id="439"/>
      <w:r w:rsidRPr="001455DC">
        <w:t xml:space="preserve"> with axial force</w:t>
      </w:r>
      <w:bookmarkEnd w:id="440"/>
      <w:bookmarkEnd w:id="441"/>
      <w:bookmarkEnd w:id="442"/>
      <w:bookmarkEnd w:id="443"/>
    </w:p>
    <w:p w14:paraId="7C8B1B6F" w14:textId="2978B1C9" w:rsidR="004E22C1" w:rsidRPr="001455DC" w:rsidRDefault="004E22C1" w:rsidP="00243590">
      <w:pPr>
        <w:pStyle w:val="31"/>
      </w:pPr>
      <w:bookmarkStart w:id="444" w:name="_Ref461614024"/>
      <w:bookmarkStart w:id="445" w:name="_Toc52819950"/>
      <w:bookmarkStart w:id="446" w:name="_Toc54337348"/>
      <w:bookmarkStart w:id="447" w:name="_Toc54338007"/>
      <w:bookmarkStart w:id="448" w:name="_Toc67565362"/>
      <w:r w:rsidRPr="001455DC">
        <w:t>General</w:t>
      </w:r>
      <w:bookmarkEnd w:id="444"/>
      <w:bookmarkEnd w:id="445"/>
      <w:bookmarkEnd w:id="446"/>
      <w:bookmarkEnd w:id="447"/>
      <w:bookmarkEnd w:id="448"/>
    </w:p>
    <w:p w14:paraId="7FA86DDA" w14:textId="77777777" w:rsidR="004E22C1" w:rsidRPr="001455DC" w:rsidRDefault="004E22C1" w:rsidP="00D5112B">
      <w:pPr>
        <w:pStyle w:val="a7"/>
      </w:pPr>
      <w:r w:rsidRPr="001455DC">
        <w:t>(1)</w:t>
      </w:r>
      <w:r w:rsidRPr="001455DC">
        <w:tab/>
        <w:t>The provisions of 7.4 should be applied to members (e.g. columns, walls, piles, arches and shells) or structures (e.g. those with a flexible bracing system) in which the structural behaviour is significantly influenced by second order effects.</w:t>
      </w:r>
    </w:p>
    <w:p w14:paraId="7B8B4033" w14:textId="77777777" w:rsidR="004E22C1" w:rsidRPr="001455DC" w:rsidRDefault="004E22C1" w:rsidP="00D5112B">
      <w:pPr>
        <w:pStyle w:val="a7"/>
      </w:pPr>
      <w:r w:rsidRPr="001455DC">
        <w:t>(2)</w:t>
      </w:r>
      <w:r w:rsidRPr="001455DC">
        <w:tab/>
        <w:t>Where second order effects are considered, equilibrium and resistance shall be verified in the deformed state. Deformations shall be calculated considering the relevant effects of cracking, non-linear material properties and creep.</w:t>
      </w:r>
    </w:p>
    <w:p w14:paraId="282AD60C" w14:textId="77777777" w:rsidR="004E22C1" w:rsidRPr="001455DC" w:rsidRDefault="004E22C1" w:rsidP="00D5112B">
      <w:pPr>
        <w:pStyle w:val="a7"/>
      </w:pPr>
      <w:r w:rsidRPr="001455DC">
        <w:t>(3)</w:t>
      </w:r>
      <w:r w:rsidRPr="001455DC">
        <w:tab/>
        <w:t>Second order effects may be ignored if they are not more than 10 % of the corresponding first order effects.</w:t>
      </w:r>
    </w:p>
    <w:p w14:paraId="04D5F559" w14:textId="0A969234" w:rsidR="00D5112B" w:rsidRPr="001455DC" w:rsidRDefault="004E22C1" w:rsidP="00A35599">
      <w:pPr>
        <w:pStyle w:val="a7"/>
        <w:keepNext/>
      </w:pPr>
      <w:r w:rsidRPr="001455DC">
        <w:t>For global second order effects this condition may be considered satisfied if Formula (7.</w:t>
      </w:r>
      <w:r w:rsidR="005A7C45" w:rsidRPr="001455DC">
        <w:t>24</w:t>
      </w:r>
      <w:r w:rsidRPr="001455DC">
        <w:t>) is satisfied:</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D5112B" w:rsidRPr="001455DC" w14:paraId="7D05210A" w14:textId="77777777" w:rsidTr="00621828">
        <w:trPr>
          <w:cantSplit/>
        </w:trPr>
        <w:tc>
          <w:tcPr>
            <w:tcW w:w="8505" w:type="dxa"/>
            <w:vAlign w:val="center"/>
          </w:tcPr>
          <w:p w14:paraId="1F320E7B" w14:textId="68BB7230" w:rsidR="00D5112B" w:rsidRPr="001455DC" w:rsidRDefault="00231E33" w:rsidP="00621828">
            <w:pPr>
              <w:pStyle w:val="Formula"/>
              <w:jc w:val="left"/>
            </w:pPr>
            <m:oMathPara>
              <m:oMathParaPr>
                <m:jc m:val="left"/>
              </m:oMathParaPr>
              <m:oMath>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VB</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VEd</m:t>
                        </m:r>
                      </m:sub>
                    </m:sSub>
                  </m:den>
                </m:f>
                <m:r>
                  <w:rPr>
                    <w:rFonts w:ascii="Cambria Math" w:hAnsi="Cambria Math"/>
                  </w:rPr>
                  <m:t>≥10</m:t>
                </m:r>
              </m:oMath>
            </m:oMathPara>
          </w:p>
        </w:tc>
        <w:tc>
          <w:tcPr>
            <w:tcW w:w="1247" w:type="dxa"/>
            <w:vAlign w:val="center"/>
          </w:tcPr>
          <w:p w14:paraId="5E625288" w14:textId="4D7395DA" w:rsidR="00D5112B" w:rsidRPr="001455DC" w:rsidRDefault="00D5112B">
            <w:pPr>
              <w:pStyle w:val="a7"/>
              <w:jc w:val="right"/>
            </w:pPr>
            <w:bookmarkStart w:id="449" w:name="_Ref515289371"/>
            <w:r w:rsidRPr="001455DC">
              <w:t>(7.</w:t>
            </w:r>
            <w:r w:rsidR="005A7C45" w:rsidRPr="001455DC">
              <w:t>24</w:t>
            </w:r>
            <w:r w:rsidRPr="001455DC">
              <w:t>)</w:t>
            </w:r>
            <w:bookmarkEnd w:id="449"/>
          </w:p>
        </w:tc>
      </w:tr>
    </w:tbl>
    <w:p w14:paraId="6DF84B3B" w14:textId="77777777" w:rsidR="00D5112B" w:rsidRPr="001455DC" w:rsidRDefault="00D5112B"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D5112B" w:rsidRPr="001455DC" w14:paraId="6AB19EB0" w14:textId="77777777" w:rsidTr="00621828">
        <w:trPr>
          <w:cantSplit/>
        </w:trPr>
        <w:tc>
          <w:tcPr>
            <w:tcW w:w="567" w:type="dxa"/>
          </w:tcPr>
          <w:p w14:paraId="696B107D" w14:textId="71C71E0E" w:rsidR="00D5112B" w:rsidRPr="001455DC" w:rsidRDefault="00D5112B" w:rsidP="00621828">
            <w:pPr>
              <w:pStyle w:val="Tablebody"/>
            </w:pPr>
            <w:r w:rsidRPr="001455DC">
              <w:rPr>
                <w:rStyle w:val="CCMCvariableitalic"/>
              </w:rPr>
              <w:t>F</w:t>
            </w:r>
            <w:r w:rsidRPr="001455DC">
              <w:rPr>
                <w:rStyle w:val="CCMCvariablesubscript"/>
              </w:rPr>
              <w:t>VEd</w:t>
            </w:r>
          </w:p>
        </w:tc>
        <w:tc>
          <w:tcPr>
            <w:tcW w:w="8845" w:type="dxa"/>
          </w:tcPr>
          <w:p w14:paraId="4B648791" w14:textId="38EC67AF" w:rsidR="00D5112B" w:rsidRPr="001455DC" w:rsidRDefault="00D5112B" w:rsidP="00621828">
            <w:pPr>
              <w:pStyle w:val="Tablebody"/>
            </w:pPr>
            <w:r w:rsidRPr="001455DC">
              <w:t>is the total design vertical load on the bracing structure and the members braced by it;</w:t>
            </w:r>
          </w:p>
        </w:tc>
      </w:tr>
      <w:tr w:rsidR="00D5112B" w:rsidRPr="001455DC" w14:paraId="35C906F3" w14:textId="77777777" w:rsidTr="00621828">
        <w:trPr>
          <w:cantSplit/>
        </w:trPr>
        <w:tc>
          <w:tcPr>
            <w:tcW w:w="567" w:type="dxa"/>
          </w:tcPr>
          <w:p w14:paraId="3B21BE0C" w14:textId="01593246" w:rsidR="00D5112B" w:rsidRPr="001455DC" w:rsidRDefault="00D5112B" w:rsidP="00621828">
            <w:pPr>
              <w:pStyle w:val="Tablebody"/>
            </w:pPr>
            <w:r w:rsidRPr="001455DC">
              <w:rPr>
                <w:rStyle w:val="CCMCvariableitalic"/>
              </w:rPr>
              <w:t>F</w:t>
            </w:r>
            <w:r w:rsidRPr="001455DC">
              <w:rPr>
                <w:rStyle w:val="CCMCvariablesubscript"/>
              </w:rPr>
              <w:t>VB</w:t>
            </w:r>
          </w:p>
        </w:tc>
        <w:tc>
          <w:tcPr>
            <w:tcW w:w="8845" w:type="dxa"/>
          </w:tcPr>
          <w:p w14:paraId="1884B2B8" w14:textId="0B6E7CD9" w:rsidR="00D5112B" w:rsidRPr="001455DC" w:rsidRDefault="00D5112B" w:rsidP="00621828">
            <w:pPr>
              <w:pStyle w:val="Tablebody"/>
            </w:pPr>
            <w:r w:rsidRPr="001455DC">
              <w:t xml:space="preserve">is the buckling load of the bracing structure determined from a set of forces proportional to </w:t>
            </w:r>
            <w:r w:rsidRPr="001455DC">
              <w:rPr>
                <w:rStyle w:val="CCMCvariableitalic"/>
              </w:rPr>
              <w:t>F</w:t>
            </w:r>
            <w:r w:rsidRPr="001455DC">
              <w:rPr>
                <w:rStyle w:val="CCMCvariablesubscript"/>
              </w:rPr>
              <w:t>VEd</w:t>
            </w:r>
            <w:r w:rsidRPr="001455DC">
              <w:t>.</w:t>
            </w:r>
          </w:p>
        </w:tc>
      </w:tr>
    </w:tbl>
    <w:p w14:paraId="3695F9F3" w14:textId="77777777" w:rsidR="004E22C1" w:rsidRPr="001455DC" w:rsidRDefault="004E22C1" w:rsidP="00D5112B">
      <w:pPr>
        <w:pStyle w:val="Note"/>
      </w:pPr>
      <w:r w:rsidRPr="001455DC">
        <w:t>NOTE</w:t>
      </w:r>
      <w:r w:rsidRPr="001455DC">
        <w:tab/>
      </w:r>
      <w:r w:rsidRPr="001455DC">
        <w:rPr>
          <w:rStyle w:val="CCMCvariableitalic"/>
        </w:rPr>
        <w:t>F</w:t>
      </w:r>
      <w:r w:rsidRPr="001455DC">
        <w:rPr>
          <w:rStyle w:val="CCMCvariablesubscript"/>
        </w:rPr>
        <w:t>VB</w:t>
      </w:r>
      <w:r w:rsidRPr="001455DC">
        <w:t xml:space="preserve"> can be determined according to Formula (O.1). For local second order effects (isolated members), simplified criteria are given in O.4.</w:t>
      </w:r>
    </w:p>
    <w:p w14:paraId="32A2A782" w14:textId="77777777" w:rsidR="004E22C1" w:rsidRPr="001455DC" w:rsidRDefault="004E22C1" w:rsidP="00D5112B">
      <w:pPr>
        <w:pStyle w:val="a7"/>
      </w:pPr>
      <w:r w:rsidRPr="001455DC">
        <w:t>(4)</w:t>
      </w:r>
      <w:r w:rsidRPr="001455DC">
        <w:tab/>
        <w:t>The design moment for ultimate limit state verification shall be the larger of the first order moment and the total design moment including second order effects.</w:t>
      </w:r>
    </w:p>
    <w:p w14:paraId="250103F7" w14:textId="77777777" w:rsidR="004E22C1" w:rsidRPr="001455DC" w:rsidRDefault="004E22C1" w:rsidP="00D5112B">
      <w:pPr>
        <w:pStyle w:val="a7"/>
      </w:pPr>
      <w:r w:rsidRPr="001455DC">
        <w:t>(5)</w:t>
      </w:r>
      <w:r w:rsidRPr="001455DC">
        <w:tab/>
        <w:t>Where relevant, analysis shall include the effect of flexibility of adjacent members and foundations (soil-structure interaction).</w:t>
      </w:r>
    </w:p>
    <w:p w14:paraId="3301D720" w14:textId="77777777" w:rsidR="004E22C1" w:rsidRPr="001455DC" w:rsidRDefault="004E22C1" w:rsidP="00D5112B">
      <w:pPr>
        <w:pStyle w:val="a7"/>
      </w:pPr>
      <w:r w:rsidRPr="001455DC">
        <w:t>(6)</w:t>
      </w:r>
      <w:r w:rsidRPr="001455DC">
        <w:tab/>
        <w:t>The structural behaviour shall be considered in the direction in which deformations can occur, and biaxial bending shall be considered when necessary.</w:t>
      </w:r>
    </w:p>
    <w:p w14:paraId="68A6A989" w14:textId="48258791" w:rsidR="004E22C1" w:rsidRPr="001455DC" w:rsidRDefault="004E22C1" w:rsidP="00243590">
      <w:pPr>
        <w:pStyle w:val="31"/>
      </w:pPr>
      <w:bookmarkStart w:id="450" w:name="_Ref461616131"/>
      <w:bookmarkStart w:id="451" w:name="_Toc52819951"/>
      <w:bookmarkStart w:id="452" w:name="_Toc54337349"/>
      <w:bookmarkStart w:id="453" w:name="_Toc54338008"/>
      <w:bookmarkStart w:id="454" w:name="_Toc67565363"/>
      <w:r w:rsidRPr="001455DC">
        <w:t>Creep</w:t>
      </w:r>
      <w:bookmarkEnd w:id="450"/>
      <w:bookmarkEnd w:id="451"/>
      <w:bookmarkEnd w:id="452"/>
      <w:bookmarkEnd w:id="453"/>
      <w:bookmarkEnd w:id="454"/>
    </w:p>
    <w:p w14:paraId="5CC2CE79" w14:textId="6648B88A" w:rsidR="004E22C1" w:rsidRPr="001455DC" w:rsidRDefault="004E22C1" w:rsidP="00D5112B">
      <w:pPr>
        <w:pStyle w:val="a7"/>
      </w:pPr>
      <w:r w:rsidRPr="001455DC">
        <w:t>(1)</w:t>
      </w:r>
      <w:r w:rsidRPr="001455DC">
        <w:tab/>
        <w:t>The effect of creep shall be considered in second order analysis, with due regard to both the general conditions for creep (see 5.1.5 and B.</w:t>
      </w:r>
      <w:r w:rsidR="001A17A7" w:rsidRPr="001455DC">
        <w:t>5</w:t>
      </w:r>
      <w:r w:rsidRPr="001455DC">
        <w:t>) and the duration of different loads in the load combination considered.</w:t>
      </w:r>
    </w:p>
    <w:p w14:paraId="06259A05" w14:textId="3B1AB9EF" w:rsidR="00D5112B" w:rsidRPr="001455DC" w:rsidRDefault="004E22C1" w:rsidP="00D5112B">
      <w:pPr>
        <w:pStyle w:val="a7"/>
      </w:pPr>
      <w:r w:rsidRPr="001455DC">
        <w:t>(2)</w:t>
      </w:r>
      <w:r w:rsidRPr="001455DC">
        <w:tab/>
        <w:t xml:space="preserve">The duration of loads may be considered in a simplified way by means of an effective creep coefficient, which, used together with the design load, gives a creep deformation corresponding to the quasi-permanent load. For global second order effects, </w:t>
      </w:r>
      <w:r w:rsidRPr="001455DC">
        <w:rPr>
          <w:rStyle w:val="CCMCvariableitalic"/>
        </w:rPr>
        <w:t>φ</w:t>
      </w:r>
      <w:r w:rsidRPr="001455DC">
        <w:rPr>
          <w:rStyle w:val="CCMCvariablesubscript"/>
        </w:rPr>
        <w:t>eff,s</w:t>
      </w:r>
      <w:r w:rsidRPr="001455DC">
        <w:t xml:space="preserve"> may be taken from Formula (7.</w:t>
      </w:r>
      <w:r w:rsidR="005A7C45" w:rsidRPr="001455DC">
        <w:t>25</w:t>
      </w:r>
      <w:r w:rsidRPr="001455DC">
        <w:t xml:space="preserve">). For isolated members and local second order effects, </w:t>
      </w:r>
      <w:r w:rsidRPr="001455DC">
        <w:rPr>
          <w:rStyle w:val="CCMCvariableitalic"/>
        </w:rPr>
        <w:t>φ</w:t>
      </w:r>
      <w:r w:rsidRPr="001455DC">
        <w:rPr>
          <w:rStyle w:val="CCMCvariablesubscript"/>
        </w:rPr>
        <w:t>eff,b</w:t>
      </w:r>
      <w:r w:rsidRPr="001455DC">
        <w:t xml:space="preserve"> may be taken from Formula (7.</w:t>
      </w:r>
      <w:r w:rsidR="005A7C45" w:rsidRPr="001455DC">
        <w:t>26</w:t>
      </w:r>
      <w:r w:rsidRPr="001455DC">
        <w:t>).</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D5112B" w:rsidRPr="001455DC" w14:paraId="09AC636D" w14:textId="77777777" w:rsidTr="00621828">
        <w:trPr>
          <w:cantSplit/>
        </w:trPr>
        <w:tc>
          <w:tcPr>
            <w:tcW w:w="8505" w:type="dxa"/>
            <w:vAlign w:val="center"/>
          </w:tcPr>
          <w:p w14:paraId="6B92733A" w14:textId="7C8D6768" w:rsidR="00D5112B" w:rsidRPr="001455DC" w:rsidRDefault="00231E33" w:rsidP="00621828">
            <w:pPr>
              <w:pStyle w:val="Formula"/>
              <w:jc w:val="left"/>
            </w:pPr>
            <m:oMathPara>
              <m:oMathParaPr>
                <m:jc m:val="left"/>
              </m:oMathParaPr>
              <m:oMath>
                <m:sSub>
                  <m:sSubPr>
                    <m:ctrlPr>
                      <w:rPr>
                        <w:rFonts w:ascii="Cambria Math" w:hAnsi="Cambria Math"/>
                      </w:rPr>
                    </m:ctrlPr>
                  </m:sSubPr>
                  <m:e>
                    <m:r>
                      <w:rPr>
                        <w:rFonts w:ascii="Cambria Math" w:hAnsi="Cambria Math"/>
                      </w:rPr>
                      <m:t>φ</m:t>
                    </m:r>
                  </m:e>
                  <m:sub>
                    <m:r>
                      <m:rPr>
                        <m:sty m:val="p"/>
                      </m:rPr>
                      <w:rPr>
                        <w:rFonts w:ascii="Cambria Math" w:hAnsi="Cambria Math"/>
                      </w:rPr>
                      <m:t>eff,s</m:t>
                    </m:r>
                  </m:sub>
                </m:sSub>
                <m:r>
                  <w:rPr>
                    <w:rFonts w:ascii="Cambria Math" w:hAnsi="Cambria Math"/>
                  </w:rPr>
                  <m:t>=φ</m:t>
                </m:r>
                <m:d>
                  <m:dPr>
                    <m:ctrlPr>
                      <w:rPr>
                        <w:rFonts w:ascii="Cambria Math" w:hAnsi="Cambria Math"/>
                      </w:rPr>
                    </m:ctrlPr>
                  </m:dPr>
                  <m:e>
                    <m:r>
                      <w:rPr>
                        <w:rFonts w:ascii="Cambria Math" w:hAnsi="Cambria Math" w:hint="eastAsia"/>
                      </w:rPr>
                      <m:t>∞</m:t>
                    </m:r>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0</m:t>
                        </m:r>
                      </m:sub>
                    </m:sSub>
                  </m:e>
                </m:d>
                <m:f>
                  <m:fPr>
                    <m:ctrlPr>
                      <w:rPr>
                        <w:rFonts w:ascii="Cambria Math" w:hAnsi="Cambria Math"/>
                      </w:rPr>
                    </m:ctrlPr>
                  </m:fPr>
                  <m:num>
                    <m:sSub>
                      <m:sSubPr>
                        <m:ctrlPr>
                          <w:rPr>
                            <w:rFonts w:ascii="Cambria Math" w:hAnsi="Cambria Math"/>
                          </w:rPr>
                        </m:ctrlPr>
                      </m:sSubPr>
                      <m:e>
                        <m:r>
                          <w:rPr>
                            <w:rFonts w:ascii="Cambria Math" w:hAnsi="Cambria Math"/>
                          </w:rPr>
                          <m:t>δ</m:t>
                        </m:r>
                      </m:e>
                      <m:sub>
                        <m:r>
                          <m:rPr>
                            <m:sty m:val="p"/>
                          </m:rPr>
                          <w:rPr>
                            <w:rFonts w:ascii="Cambria Math" w:hAnsi="Cambria Math"/>
                          </w:rPr>
                          <m:t>0Eqp</m:t>
                        </m:r>
                      </m:sub>
                    </m:sSub>
                  </m:num>
                  <m:den>
                    <m:sSub>
                      <m:sSubPr>
                        <m:ctrlPr>
                          <w:rPr>
                            <w:rFonts w:ascii="Cambria Math" w:hAnsi="Cambria Math"/>
                          </w:rPr>
                        </m:ctrlPr>
                      </m:sSubPr>
                      <m:e>
                        <m:r>
                          <w:rPr>
                            <w:rFonts w:ascii="Cambria Math" w:hAnsi="Cambria Math"/>
                          </w:rPr>
                          <m:t>δ</m:t>
                        </m:r>
                      </m:e>
                      <m:sub>
                        <m:r>
                          <w:rPr>
                            <w:rFonts w:ascii="Cambria Math" w:hAnsi="Cambria Math"/>
                          </w:rPr>
                          <m:t>Ed</m:t>
                        </m:r>
                      </m:sub>
                    </m:sSub>
                  </m:den>
                </m:f>
              </m:oMath>
            </m:oMathPara>
          </w:p>
        </w:tc>
        <w:tc>
          <w:tcPr>
            <w:tcW w:w="1247" w:type="dxa"/>
            <w:vAlign w:val="center"/>
          </w:tcPr>
          <w:p w14:paraId="6C5B67DC" w14:textId="0B5BE3DD" w:rsidR="00D5112B" w:rsidRPr="001455DC" w:rsidRDefault="00D5112B">
            <w:pPr>
              <w:pStyle w:val="a7"/>
              <w:jc w:val="right"/>
            </w:pPr>
            <w:bookmarkStart w:id="455" w:name="_Ref461550486"/>
            <w:r w:rsidRPr="001455DC">
              <w:t>(7.</w:t>
            </w:r>
            <w:r w:rsidR="005A7C45" w:rsidRPr="001455DC">
              <w:t>25</w:t>
            </w:r>
            <w:r w:rsidRPr="001455DC">
              <w:t>)</w:t>
            </w:r>
            <w:bookmarkEnd w:id="455"/>
          </w:p>
        </w:tc>
      </w:tr>
      <w:tr w:rsidR="00D5112B" w:rsidRPr="001455DC" w14:paraId="72574EAF" w14:textId="77777777" w:rsidTr="00621828">
        <w:trPr>
          <w:cantSplit/>
        </w:trPr>
        <w:tc>
          <w:tcPr>
            <w:tcW w:w="8505" w:type="dxa"/>
            <w:vAlign w:val="center"/>
          </w:tcPr>
          <w:p w14:paraId="6443C61B" w14:textId="78C8C28E" w:rsidR="00D5112B" w:rsidRPr="001455DC" w:rsidRDefault="00231E33" w:rsidP="00621828">
            <w:pPr>
              <w:pStyle w:val="Formula"/>
              <w:jc w:val="left"/>
            </w:pPr>
            <m:oMathPara>
              <m:oMathParaPr>
                <m:jc m:val="left"/>
              </m:oMathParaPr>
              <m:oMath>
                <m:sSub>
                  <m:sSubPr>
                    <m:ctrlPr>
                      <w:rPr>
                        <w:rFonts w:ascii="Cambria Math" w:hAnsi="Cambria Math"/>
                      </w:rPr>
                    </m:ctrlPr>
                  </m:sSubPr>
                  <m:e>
                    <m:r>
                      <w:rPr>
                        <w:rFonts w:ascii="Cambria Math" w:hAnsi="Cambria Math"/>
                      </w:rPr>
                      <m:t>φ</m:t>
                    </m:r>
                  </m:e>
                  <m:sub>
                    <m:r>
                      <m:rPr>
                        <m:sty m:val="p"/>
                      </m:rPr>
                      <w:rPr>
                        <w:rFonts w:ascii="Cambria Math" w:hAnsi="Cambria Math"/>
                      </w:rPr>
                      <m:t>eff,b</m:t>
                    </m:r>
                  </m:sub>
                </m:sSub>
                <m:r>
                  <w:rPr>
                    <w:rFonts w:ascii="Cambria Math" w:hAnsi="Cambria Math"/>
                  </w:rPr>
                  <m:t>=φ</m:t>
                </m:r>
                <m:d>
                  <m:dPr>
                    <m:ctrlPr>
                      <w:rPr>
                        <w:rFonts w:ascii="Cambria Math" w:hAnsi="Cambria Math"/>
                      </w:rPr>
                    </m:ctrlPr>
                  </m:dPr>
                  <m:e>
                    <m:r>
                      <w:rPr>
                        <w:rFonts w:ascii="Cambria Math" w:hAnsi="Cambria Math" w:hint="eastAsia"/>
                      </w:rPr>
                      <m:t>∞</m:t>
                    </m:r>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0</m:t>
                        </m:r>
                      </m:sub>
                    </m:sSub>
                  </m:e>
                </m:d>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0Eqp</m:t>
                        </m:r>
                      </m:sub>
                    </m:sSub>
                  </m:num>
                  <m:den>
                    <m:sSub>
                      <m:sSubPr>
                        <m:ctrlPr>
                          <w:rPr>
                            <w:rFonts w:ascii="Cambria Math" w:hAnsi="Cambria Math"/>
                          </w:rPr>
                        </m:ctrlPr>
                      </m:sSubPr>
                      <m:e>
                        <m:r>
                          <w:rPr>
                            <w:rFonts w:ascii="Cambria Math" w:hAnsi="Cambria Math"/>
                          </w:rPr>
                          <m:t>M</m:t>
                        </m:r>
                      </m:e>
                      <m:sub>
                        <m:r>
                          <m:rPr>
                            <m:sty m:val="p"/>
                          </m:rPr>
                          <w:rPr>
                            <w:rFonts w:ascii="Cambria Math" w:hAnsi="Cambria Math"/>
                          </w:rPr>
                          <m:t>0Ed</m:t>
                        </m:r>
                      </m:sub>
                    </m:sSub>
                  </m:den>
                </m:f>
              </m:oMath>
            </m:oMathPara>
          </w:p>
        </w:tc>
        <w:tc>
          <w:tcPr>
            <w:tcW w:w="1247" w:type="dxa"/>
            <w:vAlign w:val="center"/>
          </w:tcPr>
          <w:p w14:paraId="1713EC27" w14:textId="5F414730" w:rsidR="00D5112B" w:rsidRPr="001455DC" w:rsidRDefault="00D5112B">
            <w:pPr>
              <w:pStyle w:val="a7"/>
              <w:jc w:val="right"/>
            </w:pPr>
            <w:bookmarkStart w:id="456" w:name="_Ref461616965"/>
            <w:r w:rsidRPr="001455DC">
              <w:t>(7.</w:t>
            </w:r>
            <w:r w:rsidR="005A7C45" w:rsidRPr="001455DC">
              <w:t>26</w:t>
            </w:r>
            <w:r w:rsidRPr="001455DC">
              <w:t>)</w:t>
            </w:r>
            <w:bookmarkEnd w:id="456"/>
          </w:p>
        </w:tc>
      </w:tr>
    </w:tbl>
    <w:p w14:paraId="47D24844" w14:textId="1107B14A" w:rsidR="00621828" w:rsidRPr="001455DC" w:rsidRDefault="00621828" w:rsidP="00A35599">
      <w:pPr>
        <w:pStyle w:val="a7"/>
        <w:keepNext/>
      </w:pPr>
      <w:r w:rsidRPr="001455DC">
        <w:t>where</w:t>
      </w:r>
    </w:p>
    <w:tbl>
      <w:tblPr>
        <w:tblW w:w="9413" w:type="dxa"/>
        <w:tblInd w:w="397" w:type="dxa"/>
        <w:tblLayout w:type="fixed"/>
        <w:tblCellMar>
          <w:left w:w="28" w:type="dxa"/>
          <w:right w:w="28" w:type="dxa"/>
        </w:tblCellMar>
        <w:tblLook w:val="04A0" w:firstRow="1" w:lastRow="0" w:firstColumn="1" w:lastColumn="0" w:noHBand="0" w:noVBand="1"/>
      </w:tblPr>
      <w:tblGrid>
        <w:gridCol w:w="851"/>
        <w:gridCol w:w="8562"/>
      </w:tblGrid>
      <w:tr w:rsidR="00621828" w:rsidRPr="001455DC" w14:paraId="78B24BDE" w14:textId="77777777" w:rsidTr="00621828">
        <w:trPr>
          <w:cantSplit/>
        </w:trPr>
        <w:tc>
          <w:tcPr>
            <w:tcW w:w="851" w:type="dxa"/>
          </w:tcPr>
          <w:p w14:paraId="692B3610" w14:textId="4D5B83C4" w:rsidR="00621828" w:rsidRPr="001455DC" w:rsidRDefault="00621828" w:rsidP="00621828">
            <w:pPr>
              <w:pStyle w:val="Tablebody"/>
            </w:pPr>
            <w:r w:rsidRPr="001455DC">
              <w:rPr>
                <w:rStyle w:val="CCMCvariableitalic"/>
                <w:szCs w:val="22"/>
              </w:rPr>
              <w:t>φ</w:t>
            </w:r>
            <w:r w:rsidRPr="001455DC">
              <w:rPr>
                <w:szCs w:val="22"/>
              </w:rPr>
              <w:t>(∞,</w:t>
            </w:r>
            <w:r w:rsidRPr="001455DC">
              <w:rPr>
                <w:rStyle w:val="CCMCvariableitalic"/>
                <w:szCs w:val="22"/>
              </w:rPr>
              <w:t>t</w:t>
            </w:r>
            <w:r w:rsidRPr="001455DC">
              <w:rPr>
                <w:rStyle w:val="CCMCvariablesubscript"/>
                <w:szCs w:val="22"/>
              </w:rPr>
              <w:t>0</w:t>
            </w:r>
            <w:r w:rsidRPr="001455DC">
              <w:rPr>
                <w:szCs w:val="22"/>
              </w:rPr>
              <w:t>)</w:t>
            </w:r>
          </w:p>
        </w:tc>
        <w:tc>
          <w:tcPr>
            <w:tcW w:w="8562" w:type="dxa"/>
          </w:tcPr>
          <w:p w14:paraId="39C5EA17" w14:textId="6654D53A" w:rsidR="00621828" w:rsidRPr="001455DC" w:rsidRDefault="00621828">
            <w:pPr>
              <w:pStyle w:val="Tablebody"/>
            </w:pPr>
            <w:r w:rsidRPr="001455DC">
              <w:rPr>
                <w:szCs w:val="22"/>
              </w:rPr>
              <w:t>is the final creep coefficient according to Table 5.2 or B.</w:t>
            </w:r>
            <w:r w:rsidR="001A17A7" w:rsidRPr="001455DC">
              <w:rPr>
                <w:szCs w:val="22"/>
              </w:rPr>
              <w:t>5</w:t>
            </w:r>
            <w:r w:rsidRPr="001455DC">
              <w:rPr>
                <w:szCs w:val="22"/>
              </w:rPr>
              <w:t>;</w:t>
            </w:r>
          </w:p>
        </w:tc>
      </w:tr>
      <w:tr w:rsidR="00621828" w:rsidRPr="001455DC" w14:paraId="63BAFC3C" w14:textId="77777777" w:rsidTr="00621828">
        <w:trPr>
          <w:cantSplit/>
        </w:trPr>
        <w:tc>
          <w:tcPr>
            <w:tcW w:w="851" w:type="dxa"/>
          </w:tcPr>
          <w:p w14:paraId="6B1589D8" w14:textId="3CA0669D" w:rsidR="00621828" w:rsidRPr="001455DC" w:rsidRDefault="00621828" w:rsidP="00621828">
            <w:pPr>
              <w:pStyle w:val="Tablebody"/>
            </w:pPr>
            <w:r w:rsidRPr="001455DC">
              <w:rPr>
                <w:rStyle w:val="CCMCvariableitalic"/>
                <w:szCs w:val="22"/>
              </w:rPr>
              <w:t>δ</w:t>
            </w:r>
            <w:r w:rsidRPr="001455DC">
              <w:rPr>
                <w:rStyle w:val="CCMCvariablesubscript"/>
                <w:szCs w:val="22"/>
              </w:rPr>
              <w:t>0Eqp</w:t>
            </w:r>
          </w:p>
        </w:tc>
        <w:tc>
          <w:tcPr>
            <w:tcW w:w="8562" w:type="dxa"/>
          </w:tcPr>
          <w:p w14:paraId="34560999" w14:textId="5F84F546" w:rsidR="00621828" w:rsidRPr="001455DC" w:rsidRDefault="00621828" w:rsidP="00621828">
            <w:pPr>
              <w:pStyle w:val="Tablebody"/>
            </w:pPr>
            <w:r w:rsidRPr="001455DC">
              <w:rPr>
                <w:szCs w:val="22"/>
              </w:rPr>
              <w:t>is the maximum short-term horizontal deflection due to the quasi permanent load combination determined assuming uncracked cross</w:t>
            </w:r>
            <w:r w:rsidR="00B10711" w:rsidRPr="001455DC">
              <w:rPr>
                <w:szCs w:val="22"/>
              </w:rPr>
              <w:t xml:space="preserve"> </w:t>
            </w:r>
            <w:r w:rsidRPr="001455DC">
              <w:rPr>
                <w:szCs w:val="22"/>
              </w:rPr>
              <w:t>sections;</w:t>
            </w:r>
          </w:p>
        </w:tc>
      </w:tr>
      <w:tr w:rsidR="00621828" w:rsidRPr="001455DC" w14:paraId="7550D8E6" w14:textId="77777777" w:rsidTr="00621828">
        <w:trPr>
          <w:cantSplit/>
        </w:trPr>
        <w:tc>
          <w:tcPr>
            <w:tcW w:w="851" w:type="dxa"/>
          </w:tcPr>
          <w:p w14:paraId="65D309E5" w14:textId="788C1DAB" w:rsidR="00621828" w:rsidRPr="001455DC" w:rsidRDefault="00621828" w:rsidP="00621828">
            <w:pPr>
              <w:pStyle w:val="Tablebody"/>
            </w:pPr>
            <w:r w:rsidRPr="001455DC">
              <w:rPr>
                <w:rStyle w:val="CCMCvariableitalic"/>
                <w:szCs w:val="22"/>
              </w:rPr>
              <w:t>δ</w:t>
            </w:r>
            <w:r w:rsidRPr="001455DC">
              <w:rPr>
                <w:rStyle w:val="CCMCvariablesubscript"/>
                <w:szCs w:val="22"/>
              </w:rPr>
              <w:t>Ed</w:t>
            </w:r>
          </w:p>
        </w:tc>
        <w:tc>
          <w:tcPr>
            <w:tcW w:w="8562" w:type="dxa"/>
          </w:tcPr>
          <w:p w14:paraId="6C2F8010" w14:textId="0AC26B27" w:rsidR="00621828" w:rsidRPr="001455DC" w:rsidRDefault="00621828" w:rsidP="00621828">
            <w:pPr>
              <w:pStyle w:val="Tablebody"/>
            </w:pPr>
            <w:r w:rsidRPr="001455DC">
              <w:rPr>
                <w:szCs w:val="22"/>
              </w:rPr>
              <w:t>is the maximum short-term horizontal deflection due to the relevant load combinations from a first order analysis determined assuming uncracked cross</w:t>
            </w:r>
            <w:r w:rsidR="00B10711" w:rsidRPr="001455DC">
              <w:rPr>
                <w:szCs w:val="22"/>
              </w:rPr>
              <w:t xml:space="preserve"> </w:t>
            </w:r>
            <w:r w:rsidRPr="001455DC">
              <w:rPr>
                <w:szCs w:val="22"/>
              </w:rPr>
              <w:t xml:space="preserve">sections. At least two combinations should be considered: the one corresponding to the combination with dominant horizontal load and the one corresponding to the combination with dominant vertical imposed load, the largest resulting value of </w:t>
            </w:r>
            <w:r w:rsidRPr="001455DC">
              <w:rPr>
                <w:rStyle w:val="CCMCvariableitalic"/>
                <w:szCs w:val="22"/>
              </w:rPr>
              <w:t>φ</w:t>
            </w:r>
            <w:r w:rsidRPr="001455DC">
              <w:rPr>
                <w:rStyle w:val="CCMCvariablesubscript"/>
                <w:szCs w:val="22"/>
              </w:rPr>
              <w:t>ef,b</w:t>
            </w:r>
            <w:r w:rsidRPr="001455DC">
              <w:rPr>
                <w:szCs w:val="22"/>
              </w:rPr>
              <w:t xml:space="preserve"> should be used;</w:t>
            </w:r>
          </w:p>
        </w:tc>
      </w:tr>
      <w:tr w:rsidR="00621828" w:rsidRPr="001455DC" w14:paraId="6B8850A4" w14:textId="77777777" w:rsidTr="00621828">
        <w:trPr>
          <w:cantSplit/>
        </w:trPr>
        <w:tc>
          <w:tcPr>
            <w:tcW w:w="851" w:type="dxa"/>
          </w:tcPr>
          <w:p w14:paraId="50FE7C73" w14:textId="59540907" w:rsidR="00621828" w:rsidRPr="001455DC" w:rsidRDefault="00621828" w:rsidP="00A35599">
            <w:pPr>
              <w:pStyle w:val="Tablebody"/>
              <w:keepNext/>
            </w:pPr>
            <w:r w:rsidRPr="001455DC">
              <w:rPr>
                <w:rStyle w:val="CCMCvariableitalic"/>
                <w:szCs w:val="22"/>
              </w:rPr>
              <w:t>M</w:t>
            </w:r>
            <w:r w:rsidRPr="001455DC">
              <w:rPr>
                <w:rStyle w:val="CCMCvariablesubscript"/>
                <w:szCs w:val="22"/>
              </w:rPr>
              <w:t>0Eqp</w:t>
            </w:r>
          </w:p>
        </w:tc>
        <w:tc>
          <w:tcPr>
            <w:tcW w:w="8562" w:type="dxa"/>
          </w:tcPr>
          <w:p w14:paraId="4DF92EE1" w14:textId="4811C685" w:rsidR="00621828" w:rsidRPr="001455DC" w:rsidRDefault="00621828" w:rsidP="00621828">
            <w:pPr>
              <w:pStyle w:val="Tablebody"/>
            </w:pPr>
            <w:r w:rsidRPr="001455DC">
              <w:rPr>
                <w:szCs w:val="22"/>
              </w:rPr>
              <w:t>is the maximum first order moment due to the quasi-permanent load combination including the effect of the imperfections as described in 7.2.1;</w:t>
            </w:r>
          </w:p>
        </w:tc>
      </w:tr>
      <w:tr w:rsidR="00621828" w:rsidRPr="001455DC" w14:paraId="0ED4F492" w14:textId="77777777" w:rsidTr="00621828">
        <w:trPr>
          <w:cantSplit/>
        </w:trPr>
        <w:tc>
          <w:tcPr>
            <w:tcW w:w="851" w:type="dxa"/>
          </w:tcPr>
          <w:p w14:paraId="4608F09F" w14:textId="238E830C" w:rsidR="00621828" w:rsidRPr="001455DC" w:rsidRDefault="00621828" w:rsidP="00621828">
            <w:pPr>
              <w:pStyle w:val="Tablebody"/>
            </w:pPr>
            <w:r w:rsidRPr="001455DC">
              <w:rPr>
                <w:rStyle w:val="CCMCvariableitalic"/>
                <w:szCs w:val="22"/>
              </w:rPr>
              <w:t>M</w:t>
            </w:r>
            <w:r w:rsidRPr="001455DC">
              <w:rPr>
                <w:rStyle w:val="CCMCvariablesubscript"/>
                <w:szCs w:val="22"/>
              </w:rPr>
              <w:t>0Ed</w:t>
            </w:r>
          </w:p>
        </w:tc>
        <w:tc>
          <w:tcPr>
            <w:tcW w:w="8562" w:type="dxa"/>
          </w:tcPr>
          <w:p w14:paraId="6003DA27" w14:textId="2E46FD6F" w:rsidR="00621828" w:rsidRPr="001455DC" w:rsidRDefault="00621828" w:rsidP="00621828">
            <w:pPr>
              <w:pStyle w:val="Tablebody"/>
            </w:pPr>
            <w:r w:rsidRPr="001455DC">
              <w:rPr>
                <w:szCs w:val="22"/>
              </w:rPr>
              <w:t>is the maximum first order moment due to the relevant load combination.</w:t>
            </w:r>
          </w:p>
        </w:tc>
      </w:tr>
    </w:tbl>
    <w:p w14:paraId="53507EB2" w14:textId="109780AD" w:rsidR="004E22C1" w:rsidRPr="001455DC" w:rsidRDefault="004E22C1" w:rsidP="00621828">
      <w:pPr>
        <w:pStyle w:val="a7"/>
      </w:pPr>
      <w:r w:rsidRPr="001455DC">
        <w:t>(3)</w:t>
      </w:r>
      <w:r w:rsidRPr="001455DC">
        <w:tab/>
        <w:t>As an approximation the ratio between the moments (</w:t>
      </w:r>
      <w:r w:rsidRPr="001455DC">
        <w:rPr>
          <w:rStyle w:val="CCMCvariableitalic"/>
        </w:rPr>
        <w:t>M</w:t>
      </w:r>
      <w:r w:rsidRPr="001455DC">
        <w:rPr>
          <w:rStyle w:val="CCMCvariablesubscript"/>
        </w:rPr>
        <w:t>0Eqp</w:t>
      </w:r>
      <w:r w:rsidRPr="001455DC">
        <w:t>/</w:t>
      </w:r>
      <w:r w:rsidRPr="001455DC">
        <w:rPr>
          <w:rStyle w:val="CCMCvariableitalic"/>
        </w:rPr>
        <w:t>M</w:t>
      </w:r>
      <w:r w:rsidRPr="001455DC">
        <w:rPr>
          <w:rStyle w:val="CCMCvariablesubscript"/>
        </w:rPr>
        <w:t>0Ed</w:t>
      </w:r>
      <w:r w:rsidRPr="001455DC">
        <w:t>) may be replaced by the ratio of vertical loads in the quasi permanent and design situations</w:t>
      </w:r>
    </w:p>
    <w:p w14:paraId="52194CBA" w14:textId="1448CEDF" w:rsidR="004E22C1" w:rsidRPr="001455DC" w:rsidRDefault="004E22C1" w:rsidP="00621828">
      <w:pPr>
        <w:pStyle w:val="a7"/>
      </w:pPr>
      <w:r w:rsidRPr="001455DC">
        <w:t>(4)</w:t>
      </w:r>
      <w:r w:rsidRPr="001455DC">
        <w:tab/>
        <w:t xml:space="preserve">Where global and local analysis are combined, </w:t>
      </w:r>
      <w:r w:rsidRPr="001455DC">
        <w:rPr>
          <w:rStyle w:val="CCMCvariableitalic"/>
        </w:rPr>
        <w:t>φ</w:t>
      </w:r>
      <w:r w:rsidRPr="001455DC">
        <w:rPr>
          <w:rStyle w:val="CCMCvariablesubscript"/>
        </w:rPr>
        <w:t>eff</w:t>
      </w:r>
      <w:r w:rsidRPr="001455DC">
        <w:t xml:space="preserve"> should be taken as the maximum of </w:t>
      </w:r>
      <w:r w:rsidRPr="001455DC">
        <w:rPr>
          <w:rStyle w:val="CCMCvariableitalic"/>
        </w:rPr>
        <w:t>φ</w:t>
      </w:r>
      <w:r w:rsidRPr="001455DC">
        <w:rPr>
          <w:rStyle w:val="CCMCvariablesubscript"/>
        </w:rPr>
        <w:t>eff,s</w:t>
      </w:r>
      <w:r w:rsidRPr="001455DC">
        <w:t xml:space="preserve"> and </w:t>
      </w:r>
      <w:r w:rsidRPr="001455DC">
        <w:rPr>
          <w:rStyle w:val="CCMCvariableitalic"/>
        </w:rPr>
        <w:t>φ</w:t>
      </w:r>
      <w:r w:rsidRPr="001455DC">
        <w:rPr>
          <w:rStyle w:val="CCMCvariablesubscript"/>
        </w:rPr>
        <w:t>eff,b</w:t>
      </w:r>
      <w:r w:rsidRPr="001455DC">
        <w:t xml:space="preserve"> unless it is demonstrated that local second order effects are not determining, in which case </w:t>
      </w:r>
      <w:r w:rsidRPr="001455DC">
        <w:rPr>
          <w:rStyle w:val="CCMCvariableitalic"/>
        </w:rPr>
        <w:t>φ</w:t>
      </w:r>
      <w:r w:rsidRPr="001455DC">
        <w:rPr>
          <w:rStyle w:val="CCMCvariablesubscript"/>
        </w:rPr>
        <w:t>eff</w:t>
      </w:r>
      <w:r w:rsidR="00621828" w:rsidRPr="001455DC">
        <w:t> </w:t>
      </w:r>
      <w:r w:rsidR="00EC27D2" w:rsidRPr="001455DC">
        <w:rPr>
          <w:rFonts w:ascii="Cambria Math" w:hAnsi="Cambria Math"/>
        </w:rPr>
        <w:t>=</w:t>
      </w:r>
      <w:r w:rsidR="00621828" w:rsidRPr="001455DC">
        <w:t> </w:t>
      </w:r>
      <w:r w:rsidRPr="001455DC">
        <w:rPr>
          <w:rStyle w:val="CCMCvariableitalic"/>
        </w:rPr>
        <w:t>φ</w:t>
      </w:r>
      <w:r w:rsidRPr="001455DC">
        <w:rPr>
          <w:rStyle w:val="CCMCvariablesubscript"/>
        </w:rPr>
        <w:t>eff,s</w:t>
      </w:r>
      <w:r w:rsidRPr="001455DC">
        <w:t>.</w:t>
      </w:r>
    </w:p>
    <w:p w14:paraId="2FA16226" w14:textId="1980497B" w:rsidR="004E22C1" w:rsidRPr="001455DC" w:rsidRDefault="004E22C1" w:rsidP="00243590">
      <w:pPr>
        <w:pStyle w:val="31"/>
      </w:pPr>
      <w:bookmarkStart w:id="457" w:name="_Toc52819952"/>
      <w:bookmarkStart w:id="458" w:name="_Toc54337350"/>
      <w:bookmarkStart w:id="459" w:name="_Toc54338009"/>
      <w:bookmarkStart w:id="460" w:name="_Toc67565364"/>
      <w:r w:rsidRPr="001455DC">
        <w:t>Methods of analysis</w:t>
      </w:r>
      <w:bookmarkEnd w:id="457"/>
      <w:bookmarkEnd w:id="458"/>
      <w:bookmarkEnd w:id="459"/>
      <w:bookmarkEnd w:id="460"/>
    </w:p>
    <w:p w14:paraId="5D3F18D4" w14:textId="4E7FD7A2" w:rsidR="004E22C1" w:rsidRPr="001455DC" w:rsidRDefault="004E22C1" w:rsidP="00243590">
      <w:pPr>
        <w:pStyle w:val="41"/>
      </w:pPr>
      <w:bookmarkStart w:id="461" w:name="_Toc52819953"/>
      <w:bookmarkStart w:id="462" w:name="_Toc54338010"/>
      <w:r w:rsidRPr="001455DC">
        <w:t>General</w:t>
      </w:r>
      <w:bookmarkEnd w:id="461"/>
      <w:bookmarkEnd w:id="462"/>
    </w:p>
    <w:p w14:paraId="58A872BA" w14:textId="77777777" w:rsidR="004E22C1" w:rsidRPr="001455DC" w:rsidRDefault="004E22C1" w:rsidP="00057E65">
      <w:pPr>
        <w:pStyle w:val="a7"/>
      </w:pPr>
      <w:r w:rsidRPr="001455DC">
        <w:t>(1)</w:t>
      </w:r>
      <w:r w:rsidRPr="001455DC">
        <w:tab/>
        <w:t>Either one of the following three methods of analysis may be used:</w:t>
      </w:r>
    </w:p>
    <w:p w14:paraId="5146311F" w14:textId="29CC62DD" w:rsidR="004E22C1" w:rsidRPr="001455DC" w:rsidRDefault="004E22C1" w:rsidP="00057E65">
      <w:pPr>
        <w:pStyle w:val="a0"/>
      </w:pPr>
      <w:r w:rsidRPr="001455DC">
        <w:t>a simplified method based on nominal curvature, which only accounts for local second order effects (see 7.4.3.2),</w:t>
      </w:r>
    </w:p>
    <w:p w14:paraId="0CD74D27" w14:textId="1FC6DA0D" w:rsidR="004E22C1" w:rsidRPr="001455DC" w:rsidRDefault="004E22C1" w:rsidP="00057E65">
      <w:pPr>
        <w:pStyle w:val="a0"/>
      </w:pPr>
      <w:r w:rsidRPr="001455DC">
        <w:t>a second order linear elastic analysis method based either on a reduced stiffness values (see 7.4.3.2), or on a moment magnification factor and</w:t>
      </w:r>
    </w:p>
    <w:p w14:paraId="3AB7914F" w14:textId="075CA8D4" w:rsidR="004E22C1" w:rsidRPr="001455DC" w:rsidRDefault="004E22C1" w:rsidP="00057E65">
      <w:pPr>
        <w:pStyle w:val="a0"/>
      </w:pPr>
      <w:r w:rsidRPr="001455DC">
        <w:t>a general, fully non-linear analysis method (see 7.4.3.3).</w:t>
      </w:r>
    </w:p>
    <w:p w14:paraId="2F4E49C2" w14:textId="3E82CAD8" w:rsidR="004E22C1" w:rsidRPr="001455DC" w:rsidRDefault="004E22C1" w:rsidP="00057E65">
      <w:pPr>
        <w:pStyle w:val="Note"/>
        <w:keepNext/>
        <w:spacing w:after="120"/>
      </w:pPr>
      <w:r w:rsidRPr="001455DC">
        <w:t>NOTE</w:t>
      </w:r>
      <w:r w:rsidR="00DC6F37" w:rsidRPr="001455DC">
        <w:t xml:space="preserve"> </w:t>
      </w:r>
      <w:r w:rsidR="00DC6F37" w:rsidRPr="001455DC">
        <w:tab/>
        <w:t>An example of a method based on:</w:t>
      </w:r>
    </w:p>
    <w:p w14:paraId="69706AF2" w14:textId="5F958026" w:rsidR="004E22C1" w:rsidRPr="001455DC" w:rsidRDefault="004E22C1" w:rsidP="00057E65">
      <w:pPr>
        <w:pStyle w:val="a0"/>
        <w:rPr>
          <w:sz w:val="20"/>
        </w:rPr>
      </w:pPr>
      <w:r w:rsidRPr="001455DC">
        <w:rPr>
          <w:sz w:val="20"/>
        </w:rPr>
        <w:t>nominal curvature is given in O.7.</w:t>
      </w:r>
    </w:p>
    <w:p w14:paraId="18C3AD18" w14:textId="1CECD00C" w:rsidR="004E22C1" w:rsidRPr="001455DC" w:rsidRDefault="004E22C1" w:rsidP="00057E65">
      <w:pPr>
        <w:pStyle w:val="a0"/>
        <w:rPr>
          <w:sz w:val="20"/>
        </w:rPr>
      </w:pPr>
      <w:r w:rsidRPr="001455DC">
        <w:rPr>
          <w:sz w:val="20"/>
        </w:rPr>
        <w:t>a reduced stiffness value is given in O.8.</w:t>
      </w:r>
    </w:p>
    <w:p w14:paraId="25D429C4" w14:textId="43F62304" w:rsidR="004E22C1" w:rsidRPr="001455DC" w:rsidRDefault="004E22C1" w:rsidP="00057E65">
      <w:pPr>
        <w:pStyle w:val="a0"/>
        <w:rPr>
          <w:sz w:val="20"/>
        </w:rPr>
      </w:pPr>
      <w:r w:rsidRPr="001455DC">
        <w:rPr>
          <w:sz w:val="20"/>
        </w:rPr>
        <w:t>a moment magnification factor is given in O.6.2.</w:t>
      </w:r>
    </w:p>
    <w:p w14:paraId="575318F2" w14:textId="40E06DBB" w:rsidR="004E22C1" w:rsidRPr="001455DC" w:rsidRDefault="004E22C1" w:rsidP="00243590">
      <w:pPr>
        <w:pStyle w:val="41"/>
      </w:pPr>
      <w:bookmarkStart w:id="463" w:name="_Ref515291130"/>
      <w:bookmarkStart w:id="464" w:name="_Toc52819954"/>
      <w:bookmarkStart w:id="465" w:name="_Toc54338011"/>
      <w:r w:rsidRPr="001455DC">
        <w:t>Simplified methods based on nominal curvature and second order linear analysis</w:t>
      </w:r>
      <w:bookmarkEnd w:id="463"/>
      <w:bookmarkEnd w:id="464"/>
      <w:bookmarkEnd w:id="465"/>
    </w:p>
    <w:p w14:paraId="29F0E677" w14:textId="533DCF7A" w:rsidR="004E22C1" w:rsidRPr="001455DC" w:rsidRDefault="004E22C1" w:rsidP="00057E65">
      <w:pPr>
        <w:pStyle w:val="a7"/>
      </w:pPr>
      <w:r w:rsidRPr="001455DC">
        <w:t>(1)</w:t>
      </w:r>
      <w:r w:rsidRPr="001455DC">
        <w:tab/>
        <w:t>The methods based on the nominal curvature and on second order linear elastic analysis should use an effective stiffness. This stiffness may conservatively be taken as the stiffness corresponding to the situation where yielding occurs (see Figure 7.</w:t>
      </w:r>
      <w:r w:rsidR="0050341E">
        <w:t>4</w:t>
      </w:r>
      <w:r w:rsidR="0050341E" w:rsidRPr="001455DC">
        <w:t>a</w:t>
      </w:r>
      <w:r w:rsidRPr="001455DC">
        <w:t>)). For global effects, when yielding takes place successively at different locations, the stiffness corresponding to the situation for which the last plastic hinge develops may be conservatively used (see Figure 7.</w:t>
      </w:r>
      <w:r w:rsidR="0050341E">
        <w:t>4</w:t>
      </w:r>
      <w:r w:rsidR="0050341E" w:rsidRPr="001455DC">
        <w:t>b</w:t>
      </w:r>
      <w:r w:rsidRPr="001455DC">
        <w:t>)). Other less conservative estimates may also be used where justified.</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4875"/>
        <w:gridCol w:w="4876"/>
      </w:tblGrid>
      <w:tr w:rsidR="00057E65" w:rsidRPr="001455DC" w14:paraId="06AD3218" w14:textId="77777777" w:rsidTr="00057E65">
        <w:trPr>
          <w:cantSplit/>
          <w:jc w:val="center"/>
        </w:trPr>
        <w:tc>
          <w:tcPr>
            <w:tcW w:w="4876" w:type="dxa"/>
            <w:vAlign w:val="center"/>
          </w:tcPr>
          <w:p w14:paraId="0EF5281C" w14:textId="3EB0D80E" w:rsidR="00057E65" w:rsidRPr="001455DC" w:rsidRDefault="00723CF7" w:rsidP="00057E65">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"Y:\\STD_MGT\\STDDEL\\PRODUCTION\\etrans\\Download\\Z_FIRST_DEL\\SV\\00250\\00250269\\41_e_dr\\7_004a.tif"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"Y:\\STD_MGT\\STDDEL\\PRODUCTION\\Standards\\00250\\269\\41_e_dr\\7_004a.tif"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"Y:\\STD_MGT\\STDDEL\\PRODUCTION\\Standards\\00250\\269\\41_e_dr\\7_004a.tif"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"Y:\\STD_MGT\\STDDEL\\PRODUCTION\\Standards\\00250\\269\\41_e_dr\\7_004a.tif"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"Y:\\STD_MGT\\STDDEL\\PRODUCTION\\Standards\\00250\\269\\41_e_dr\\7_004a.tif"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"Y:\\STD_MGT\\STDDEL\\PRODUCTION\\Standards\\00250\\269\\41_e_dr\\7_004a.tif"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w:instrText>
            </w:r>
            <w:r w:rsidR="00231E33">
              <w:rPr>
                <w:noProof/>
                <w:lang w:eastAsia="en-GB"/>
              </w:rPr>
              <w:instrText>l\\Temp\\Temp1_00250269_e_20210902.zip.zip\\41_e_dr\\7_004a.tif"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01E3E459">
                <v:shape id="_x0000_i1143" type="#_x0000_t75" style="width:117pt;height:92.25pt">
                  <v:imagedata r:id="rId256" r:href="rId257"/>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4876" w:type="dxa"/>
            <w:vAlign w:val="center"/>
          </w:tcPr>
          <w:p w14:paraId="6E106986" w14:textId="19AAA2F3" w:rsidR="00057E65" w:rsidRPr="001455DC" w:rsidRDefault="00723CF7" w:rsidP="00057E65">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"Y:\\STD_MGT\\STDDEL\\PRODUCTION\\etrans\\Download\\Z_FIRST_DEL\\SV\\00250\\00250269\\41_e_dr\\7_004b.tif"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"Y:\\STD_MGT\\STDDEL\\PRODUCTION\\Standards\\00250\\269\\41_e_dr\\7_004b.tif"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"Y:\\STD_MGT\\STDDEL\\PRODUCTION\\Standards\\00250\\269\\41_e_dr\\7_004b.tif"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"Y:\\STD_MGT\\STDDEL\\PRODUCTION\\Standards\\00250\\269\\41_e_dr\\7_004b.tif"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"Y:\\STD_MGT\\STDDEL\\PRODUCTION\\Standards\\00250\\269\\41_e_dr\\7_004b.tif"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"Y:\\STD_MGT\\STDDEL\\PRODUCTION\\Standards\\00250\\269\\41_e_dr\\7_004b.tif"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"C:\\Users\\a.dionysiou\\AppData\\Local\\Temp\\Temp1_00250269_e_20210902.zip.zip\\41_e_dr\\7_004b.tif"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1EBBE826">
                <v:shape id="_x0000_i1144" type="#_x0000_t75" style="width:121.5pt;height:90.75pt">
                  <v:imagedata r:id="rId258" r:href="rId259"/>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057E65" w:rsidRPr="003B405C" w14:paraId="30150A6C" w14:textId="77777777" w:rsidTr="00057E65">
        <w:trPr>
          <w:cantSplit/>
          <w:jc w:val="center"/>
        </w:trPr>
        <w:tc>
          <w:tcPr>
            <w:tcW w:w="4876" w:type="dxa"/>
            <w:vAlign w:val="center"/>
          </w:tcPr>
          <w:p w14:paraId="18E1DF35" w14:textId="2C5C25F9" w:rsidR="00057E65" w:rsidRPr="003B405C" w:rsidRDefault="00057E65" w:rsidP="00057E65">
            <w:pPr>
              <w:pStyle w:val="FigureText"/>
              <w:jc w:val="center"/>
            </w:pPr>
            <w:r w:rsidRPr="009D3012">
              <w:t>a) local effects</w:t>
            </w:r>
          </w:p>
        </w:tc>
        <w:tc>
          <w:tcPr>
            <w:tcW w:w="4876" w:type="dxa"/>
            <w:vAlign w:val="center"/>
          </w:tcPr>
          <w:p w14:paraId="2C3CB5BE" w14:textId="0449F20E" w:rsidR="00057E65" w:rsidRPr="003B405C" w:rsidRDefault="00057E65" w:rsidP="00057E65">
            <w:pPr>
              <w:pStyle w:val="FigureText"/>
              <w:jc w:val="center"/>
            </w:pPr>
            <w:r w:rsidRPr="009D3012">
              <w:t>b) global effects</w:t>
            </w:r>
          </w:p>
        </w:tc>
      </w:tr>
    </w:tbl>
    <w:p w14:paraId="686D0D96" w14:textId="054D59BC" w:rsidR="004E22C1" w:rsidRPr="001455DC" w:rsidRDefault="004E22C1" w:rsidP="00057E65">
      <w:pPr>
        <w:pStyle w:val="Figuretitle"/>
      </w:pPr>
      <w:bookmarkStart w:id="466" w:name="_Toc52819955"/>
      <w:r w:rsidRPr="001455DC">
        <w:t>Figure 7.</w:t>
      </w:r>
      <w:r w:rsidR="0050341E">
        <w:t>4</w:t>
      </w:r>
      <w:r w:rsidR="0050341E" w:rsidRPr="001455DC">
        <w:t> </w:t>
      </w:r>
      <w:r w:rsidRPr="001455DC">
        <w:t>— Possible equivalent stiffness</w:t>
      </w:r>
      <w:bookmarkEnd w:id="466"/>
    </w:p>
    <w:p w14:paraId="2003EAD3" w14:textId="5672FCE7" w:rsidR="003019FC" w:rsidRPr="00036609" w:rsidRDefault="003019FC" w:rsidP="009D3012">
      <w:pPr>
        <w:pStyle w:val="Note"/>
        <w:rPr>
          <w:bCs/>
        </w:rPr>
      </w:pPr>
      <w:r w:rsidRPr="009D3012">
        <w:rPr>
          <w:bCs/>
        </w:rPr>
        <w:t xml:space="preserve">NOTE </w:t>
      </w:r>
      <w:r w:rsidRPr="009D3012">
        <w:rPr>
          <w:bCs/>
        </w:rPr>
        <w:tab/>
      </w:r>
      <w:r w:rsidRPr="009D3012">
        <w:t>Annex O provides complementary guidance to simplified methods for second order structural analysis of members and systems.</w:t>
      </w:r>
    </w:p>
    <w:p w14:paraId="3AAF138D" w14:textId="7CDE6C08" w:rsidR="004E22C1" w:rsidRPr="001455DC" w:rsidRDefault="004E22C1" w:rsidP="00243590">
      <w:pPr>
        <w:pStyle w:val="41"/>
      </w:pPr>
      <w:bookmarkStart w:id="467" w:name="_Ref461613956"/>
      <w:bookmarkStart w:id="468" w:name="_Toc52819956"/>
      <w:bookmarkStart w:id="469" w:name="_Toc54338012"/>
      <w:r w:rsidRPr="001455DC">
        <w:t>General non-linear analysis method</w:t>
      </w:r>
      <w:bookmarkEnd w:id="467"/>
      <w:bookmarkEnd w:id="468"/>
      <w:bookmarkEnd w:id="469"/>
    </w:p>
    <w:p w14:paraId="698DDCD1" w14:textId="033CF82B" w:rsidR="004E22C1" w:rsidRPr="001455DC" w:rsidRDefault="004E22C1" w:rsidP="00057E65">
      <w:pPr>
        <w:pStyle w:val="a7"/>
      </w:pPr>
      <w:r w:rsidRPr="001455DC">
        <w:t>(1)</w:t>
      </w:r>
      <w:r w:rsidRPr="001455DC">
        <w:tab/>
        <w:t>For the general method based on full non-linear analysis, including geometric non-linearity i.e. second order effects, the general rules for non-linear analysis given in 7.3.4 shall apply.</w:t>
      </w:r>
    </w:p>
    <w:p w14:paraId="025D1A8B" w14:textId="77777777" w:rsidR="004E22C1" w:rsidRPr="001455DC" w:rsidRDefault="004E22C1" w:rsidP="00057E65">
      <w:pPr>
        <w:pStyle w:val="a7"/>
      </w:pPr>
      <w:r w:rsidRPr="001455DC">
        <w:t>(2)</w:t>
      </w:r>
      <w:r w:rsidRPr="001455DC">
        <w:tab/>
        <w:t>Stress-strain curves for concrete and reinforcement suitable for overall analysis shall be used. The effect of creep shall be considered.</w:t>
      </w:r>
    </w:p>
    <w:p w14:paraId="48CFE717" w14:textId="77777777" w:rsidR="004E22C1" w:rsidRPr="001455DC" w:rsidRDefault="004E22C1" w:rsidP="00057E65">
      <w:pPr>
        <w:pStyle w:val="a7"/>
      </w:pPr>
      <w:r w:rsidRPr="001455DC">
        <w:t>(3)</w:t>
      </w:r>
      <w:r w:rsidRPr="001455DC">
        <w:tab/>
        <w:t>Stress-strain relationships given in 5.1.6, (Formula (5.6)) for concrete and in 5.2.4 (Figure 5.2) for reinforcing steel and in 5.3.3 (Figure 5.3) for prestressing steel may be used. With stress-strain diagrams based on design values, a design value of the ultimate load is obtained directly from analysis.</w:t>
      </w:r>
    </w:p>
    <w:p w14:paraId="38C8A6F2" w14:textId="480CEEB0" w:rsidR="00057E65" w:rsidRPr="001455DC" w:rsidRDefault="004E22C1" w:rsidP="00057E65">
      <w:pPr>
        <w:pStyle w:val="a7"/>
      </w:pPr>
      <w:r w:rsidRPr="001455DC">
        <w:t xml:space="preserve">When Formula (5.6) is used to determine the stress-strain relationships for concrete, </w:t>
      </w:r>
      <w:r w:rsidRPr="001455DC">
        <w:rPr>
          <w:rStyle w:val="CCMCvariableitalic"/>
        </w:rPr>
        <w:t>f</w:t>
      </w:r>
      <w:r w:rsidRPr="001455DC">
        <w:rPr>
          <w:rStyle w:val="CCMCvariablesubscript"/>
        </w:rPr>
        <w:t>cm</w:t>
      </w:r>
      <w:r w:rsidRPr="001455DC">
        <w:t xml:space="preserve"> shall be substituted by the design compressive strength </w:t>
      </w:r>
      <w:r w:rsidRPr="001455DC">
        <w:rPr>
          <w:rStyle w:val="CCMCvariableitalic"/>
        </w:rPr>
        <w:t>f</w:t>
      </w:r>
      <w:r w:rsidRPr="001455DC">
        <w:rPr>
          <w:rStyle w:val="CCMCvariablesubscript"/>
        </w:rPr>
        <w:t>cd</w:t>
      </w:r>
      <w:r w:rsidRPr="001455DC">
        <w:t xml:space="preserve"> (except in Formulae (5.9) and (5.10) for </w:t>
      </w:r>
      <w:r w:rsidRPr="001455DC">
        <w:rPr>
          <w:rStyle w:val="CCMCvariableitalic"/>
        </w:rPr>
        <w:t>ε</w:t>
      </w:r>
      <w:r w:rsidRPr="001455DC">
        <w:rPr>
          <w:rStyle w:val="CCMCvariablesubscript"/>
        </w:rPr>
        <w:t>c1</w:t>
      </w:r>
      <w:r w:rsidRPr="001455DC">
        <w:t xml:space="preserve"> and </w:t>
      </w:r>
      <w:r w:rsidRPr="001455DC">
        <w:rPr>
          <w:rStyle w:val="CCMCvariableitalic"/>
        </w:rPr>
        <w:t>ε</w:t>
      </w:r>
      <w:r w:rsidRPr="001455DC">
        <w:rPr>
          <w:rStyle w:val="CCMCvariablesubscript"/>
        </w:rPr>
        <w:t>cu1</w:t>
      </w:r>
      <w:r w:rsidRPr="001455DC">
        <w:t xml:space="preserve">) and </w:t>
      </w:r>
      <w:r w:rsidRPr="001455DC">
        <w:rPr>
          <w:rStyle w:val="CCMCvariableitalic"/>
        </w:rPr>
        <w:t>E</w:t>
      </w:r>
      <w:r w:rsidRPr="001455DC">
        <w:rPr>
          <w:rStyle w:val="CCMCvariablesubscript"/>
        </w:rPr>
        <w:t>cm</w:t>
      </w:r>
      <w:r w:rsidRPr="001455DC">
        <w:t xml:space="preserve"> shall be substituted by </w:t>
      </w:r>
      <w:r w:rsidRPr="001455DC">
        <w:rPr>
          <w:rStyle w:val="CCMCvariableitalic"/>
        </w:rPr>
        <w:t>E</w:t>
      </w:r>
      <w:r w:rsidRPr="001455DC">
        <w:rPr>
          <w:rStyle w:val="CCMCvariablesubscript"/>
        </w:rPr>
        <w:t>cd</w:t>
      </w:r>
      <w:r w:rsidRPr="001455DC">
        <w:t xml:space="preserve"> given in Formula (7.</w:t>
      </w:r>
      <w:r w:rsidR="00570B69" w:rsidRPr="001455DC">
        <w:t>27</w:t>
      </w:r>
      <w:r w:rsidRPr="001455DC">
        <w:t>):</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057E65" w:rsidRPr="001455DC" w14:paraId="4D7ABCE3" w14:textId="77777777" w:rsidTr="00057E65">
        <w:trPr>
          <w:cantSplit/>
        </w:trPr>
        <w:tc>
          <w:tcPr>
            <w:tcW w:w="8505" w:type="dxa"/>
            <w:vAlign w:val="center"/>
          </w:tcPr>
          <w:bookmarkStart w:id="470" w:name="OLE_LINK2"/>
          <w:p w14:paraId="04B95F18" w14:textId="7B9AEB04" w:rsidR="00057E65" w:rsidRPr="001455DC" w:rsidRDefault="00231E33" w:rsidP="00057E65">
            <w:pPr>
              <w:pStyle w:val="Formula"/>
              <w:jc w:val="left"/>
            </w:pPr>
            <m:oMathPara>
              <m:oMathParaPr>
                <m:jc m:val="left"/>
              </m:oMathParaPr>
              <m:oMath>
                <m:sSub>
                  <m:sSubPr>
                    <m:ctrlPr>
                      <w:rPr>
                        <w:rFonts w:ascii="Cambria Math" w:hAnsi="Cambria Math"/>
                      </w:rPr>
                    </m:ctrlPr>
                  </m:sSubPr>
                  <m:e>
                    <m:r>
                      <w:rPr>
                        <w:rFonts w:ascii="Cambria Math" w:hAnsi="Cambria Math"/>
                      </w:rPr>
                      <m:t>E</m:t>
                    </m:r>
                  </m:e>
                  <m:sub>
                    <m:r>
                      <m:rPr>
                        <m:sty m:val="p"/>
                      </m:rPr>
                      <w:rPr>
                        <w:rFonts w:ascii="Cambria Math" w:hAnsi="Cambria Math"/>
                      </w:rPr>
                      <m:t>cd</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E</m:t>
                        </m:r>
                      </m:e>
                      <m:sub>
                        <m:r>
                          <m:rPr>
                            <m:sty m:val="p"/>
                          </m:rPr>
                          <w:rPr>
                            <w:rFonts w:ascii="Cambria Math" w:hAnsi="Cambria Math"/>
                          </w:rPr>
                          <m:t>cm</m:t>
                        </m:r>
                      </m:sub>
                    </m:sSub>
                  </m:num>
                  <m:den>
                    <m:sSub>
                      <m:sSubPr>
                        <m:ctrlPr>
                          <w:rPr>
                            <w:rFonts w:ascii="Cambria Math" w:hAnsi="Cambria Math"/>
                          </w:rPr>
                        </m:ctrlPr>
                      </m:sSubPr>
                      <m:e>
                        <m:r>
                          <w:rPr>
                            <w:rFonts w:ascii="Cambria Math" w:hAnsi="Cambria Math"/>
                          </w:rPr>
                          <m:t>γ</m:t>
                        </m:r>
                      </m:e>
                      <m:sub>
                        <m:r>
                          <m:rPr>
                            <m:sty m:val="p"/>
                          </m:rPr>
                          <w:rPr>
                            <w:rFonts w:ascii="Cambria Math" w:hAnsi="Cambria Math"/>
                          </w:rPr>
                          <m:t>cE</m:t>
                        </m:r>
                      </m:sub>
                    </m:sSub>
                  </m:den>
                </m:f>
              </m:oMath>
            </m:oMathPara>
            <w:bookmarkEnd w:id="470"/>
          </w:p>
        </w:tc>
        <w:tc>
          <w:tcPr>
            <w:tcW w:w="1247" w:type="dxa"/>
            <w:vAlign w:val="center"/>
          </w:tcPr>
          <w:p w14:paraId="5681D2A4" w14:textId="332DB4DF" w:rsidR="00057E65" w:rsidRPr="001455DC" w:rsidRDefault="00057E65">
            <w:pPr>
              <w:pStyle w:val="a7"/>
              <w:jc w:val="right"/>
            </w:pPr>
            <w:r w:rsidRPr="001455DC">
              <w:t>(7.</w:t>
            </w:r>
            <w:r w:rsidR="00570B69" w:rsidRPr="001455DC">
              <w:t>27</w:t>
            </w:r>
            <w:r w:rsidRPr="001455DC">
              <w:t>)</w:t>
            </w:r>
          </w:p>
        </w:tc>
      </w:tr>
    </w:tbl>
    <w:p w14:paraId="36162AAA" w14:textId="2A5D9F5F" w:rsidR="004E22C1" w:rsidRPr="001455DC" w:rsidRDefault="004E22C1" w:rsidP="00057E65">
      <w:pPr>
        <w:pStyle w:val="a7"/>
      </w:pPr>
      <w:r w:rsidRPr="001455DC">
        <w:t>(4)</w:t>
      </w:r>
      <w:r w:rsidRPr="001455DC">
        <w:tab/>
        <w:t>In the absence of more refined models, creep may be taken into account by multiplying all strain values in the concrete stress-strain diagram according to 7.4.3.3(3) with a factor (1</w:t>
      </w:r>
      <w:r w:rsidR="00EC27D2" w:rsidRPr="001455DC">
        <w:rPr>
          <w:rFonts w:ascii="Cambria Math" w:hAnsi="Cambria Math"/>
        </w:rPr>
        <w:t> + </w:t>
      </w:r>
      <w:r w:rsidRPr="001455DC">
        <w:rPr>
          <w:rStyle w:val="CCMCvariableitalic"/>
        </w:rPr>
        <w:t>φ</w:t>
      </w:r>
      <w:r w:rsidRPr="001455DC">
        <w:rPr>
          <w:rStyle w:val="CCMCvariablesubscript"/>
        </w:rPr>
        <w:t>eff</w:t>
      </w:r>
      <w:r w:rsidRPr="001455DC">
        <w:t xml:space="preserve">), where </w:t>
      </w:r>
      <w:r w:rsidRPr="001455DC">
        <w:rPr>
          <w:rStyle w:val="CCMCvariableitalic"/>
        </w:rPr>
        <w:t>φ</w:t>
      </w:r>
      <w:r w:rsidRPr="001455DC">
        <w:rPr>
          <w:rStyle w:val="CCMCvariablesubscript"/>
        </w:rPr>
        <w:t>eff</w:t>
      </w:r>
      <w:r w:rsidRPr="001455DC">
        <w:t xml:space="preserve"> is the effective creep ratio according to 7.4.2 (4).</w:t>
      </w:r>
    </w:p>
    <w:p w14:paraId="0B6F8D6F" w14:textId="77777777" w:rsidR="004E22C1" w:rsidRPr="001455DC" w:rsidRDefault="004E22C1" w:rsidP="00057E65">
      <w:pPr>
        <w:pStyle w:val="a7"/>
      </w:pPr>
      <w:r w:rsidRPr="001455DC">
        <w:t>(5)</w:t>
      </w:r>
      <w:r w:rsidRPr="001455DC">
        <w:tab/>
        <w:t>The favourable effect of tension stiffening may be considered in the determination of the stiffness provided that 7.3.4(6) is fulfilled.</w:t>
      </w:r>
    </w:p>
    <w:p w14:paraId="51918E5A" w14:textId="77777777" w:rsidR="004E22C1" w:rsidRPr="001455DC" w:rsidRDefault="004E22C1" w:rsidP="00057E65">
      <w:pPr>
        <w:pStyle w:val="a7"/>
      </w:pPr>
      <w:r w:rsidRPr="001455DC">
        <w:t>(6)</w:t>
      </w:r>
      <w:r w:rsidRPr="001455DC">
        <w:tab/>
        <w:t>Normally, conditions of equilibrium and strain compatibility should be satisfied in a number of cross sections. As a simplification, this condition may be imposed only at the critical cross section(s), assuming a relevant variation of the curvature in between, e.g. similar to the first order moment or simplified in another appropriate way.</w:t>
      </w:r>
    </w:p>
    <w:p w14:paraId="580EE0EB" w14:textId="66299812" w:rsidR="004E22C1" w:rsidRPr="001455DC" w:rsidRDefault="004E22C1" w:rsidP="00243590">
      <w:pPr>
        <w:pStyle w:val="31"/>
      </w:pPr>
      <w:bookmarkStart w:id="471" w:name="_Ref514405231"/>
      <w:bookmarkStart w:id="472" w:name="_Toc52819957"/>
      <w:bookmarkStart w:id="473" w:name="_Toc54337351"/>
      <w:bookmarkStart w:id="474" w:name="_Toc54338013"/>
      <w:bookmarkStart w:id="475" w:name="_Toc67565365"/>
      <w:r w:rsidRPr="001455DC">
        <w:t>Compression member with biaxial bending</w:t>
      </w:r>
      <w:bookmarkEnd w:id="471"/>
      <w:bookmarkEnd w:id="472"/>
      <w:bookmarkEnd w:id="473"/>
      <w:bookmarkEnd w:id="474"/>
      <w:bookmarkEnd w:id="475"/>
    </w:p>
    <w:p w14:paraId="4DD7897D" w14:textId="77777777" w:rsidR="004E22C1" w:rsidRPr="001455DC" w:rsidRDefault="004E22C1" w:rsidP="00057E65">
      <w:pPr>
        <w:pStyle w:val="a7"/>
      </w:pPr>
      <w:r w:rsidRPr="001455DC">
        <w:t>(1)</w:t>
      </w:r>
      <w:r w:rsidRPr="001455DC">
        <w:tab/>
        <w:t>The general method in 7.4.3.3 may be used for biaxial bending. If simplified methods are used, provisions (3) and (4) apply.</w:t>
      </w:r>
    </w:p>
    <w:p w14:paraId="60C24C63" w14:textId="7B80AE2B" w:rsidR="004E22C1" w:rsidRPr="001455DC" w:rsidRDefault="004E22C1" w:rsidP="00057E65">
      <w:pPr>
        <w:pStyle w:val="a7"/>
      </w:pPr>
      <w:r w:rsidRPr="001455DC">
        <w:t>(2)</w:t>
      </w:r>
      <w:r w:rsidRPr="001455DC">
        <w:tab/>
        <w:t>The cross</w:t>
      </w:r>
      <w:r w:rsidR="00B10711" w:rsidRPr="001455DC">
        <w:t xml:space="preserve"> </w:t>
      </w:r>
      <w:r w:rsidRPr="001455DC">
        <w:t>section of the member with the critical combination of moments should be used for verifications.</w:t>
      </w:r>
    </w:p>
    <w:p w14:paraId="18F952DA" w14:textId="77777777" w:rsidR="004E22C1" w:rsidRPr="001455DC" w:rsidRDefault="004E22C1" w:rsidP="00057E65">
      <w:pPr>
        <w:pStyle w:val="a7"/>
      </w:pPr>
      <w:r w:rsidRPr="001455DC">
        <w:t>(3)</w:t>
      </w:r>
      <w:r w:rsidRPr="001455DC">
        <w:tab/>
      </w:r>
      <w:r w:rsidRPr="001455DC">
        <w:rPr>
          <w:szCs w:val="19"/>
        </w:rPr>
        <w:t>Separate design in each principal direction taking into account second order effects,</w:t>
      </w:r>
      <w:r w:rsidRPr="001455DC">
        <w:t xml:space="preserve"> disregarding biaxial bending interaction, may be used as a first step. Imperfections should be considered only in the direction where they will have the most unfavourable effect.</w:t>
      </w:r>
    </w:p>
    <w:p w14:paraId="7B9059F7" w14:textId="145D0243" w:rsidR="00057E65" w:rsidRPr="001455DC" w:rsidRDefault="004E22C1" w:rsidP="00057E65">
      <w:pPr>
        <w:pStyle w:val="a7"/>
      </w:pPr>
      <w:r w:rsidRPr="001455DC">
        <w:t>(4)</w:t>
      </w:r>
      <w:r w:rsidRPr="001455DC">
        <w:tab/>
        <w:t>Further checks may be omitted if the slenderness ratio satisfies the following condition</w:t>
      </w:r>
      <w:r w:rsidR="00036609">
        <w:t>:</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057E65" w:rsidRPr="001455DC" w14:paraId="3FC7CF69" w14:textId="77777777" w:rsidTr="00057E65">
        <w:trPr>
          <w:cantSplit/>
        </w:trPr>
        <w:tc>
          <w:tcPr>
            <w:tcW w:w="8505" w:type="dxa"/>
            <w:vAlign w:val="center"/>
          </w:tcPr>
          <w:p w14:paraId="6BD8563C" w14:textId="2582B620" w:rsidR="00057E65" w:rsidRPr="001455DC" w:rsidRDefault="008A48D7" w:rsidP="00057E65">
            <w:pPr>
              <w:pStyle w:val="Formula"/>
              <w:jc w:val="left"/>
            </w:pPr>
            <m:oMathPara>
              <m:oMathParaPr>
                <m:jc m:val="left"/>
              </m:oMathParaPr>
              <m:oMath>
                <m:r>
                  <w:rPr>
                    <w:rFonts w:ascii="Cambria Math" w:hAnsi="Cambria Math"/>
                  </w:rPr>
                  <m:t>0,5≤</m:t>
                </m:r>
                <m:f>
                  <m:fPr>
                    <m:ctrlPr>
                      <w:rPr>
                        <w:rFonts w:ascii="Cambria Math" w:hAnsi="Cambria Math"/>
                      </w:rPr>
                    </m:ctrlPr>
                  </m:fPr>
                  <m:num>
                    <m:sSub>
                      <m:sSubPr>
                        <m:ctrlPr>
                          <w:rPr>
                            <w:rFonts w:ascii="Cambria Math" w:hAnsi="Cambria Math"/>
                          </w:rPr>
                        </m:ctrlPr>
                      </m:sSubPr>
                      <m:e>
                        <m:r>
                          <w:rPr>
                            <w:rFonts w:ascii="Cambria Math" w:hAnsi="Cambria Math"/>
                          </w:rPr>
                          <m:t>λ</m:t>
                        </m:r>
                      </m:e>
                      <m:sub>
                        <m:r>
                          <m:rPr>
                            <m:sty m:val="p"/>
                          </m:rPr>
                          <w:rPr>
                            <w:rFonts w:ascii="Cambria Math" w:hAnsi="Cambria Math"/>
                          </w:rPr>
                          <m:t>y</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z</m:t>
                        </m:r>
                      </m:sub>
                    </m:sSub>
                  </m:den>
                </m:f>
                <m:r>
                  <w:rPr>
                    <w:rFonts w:ascii="Cambria Math" w:hAnsi="Cambria Math"/>
                  </w:rPr>
                  <m:t>≤2</m:t>
                </m:r>
              </m:oMath>
            </m:oMathPara>
          </w:p>
        </w:tc>
        <w:tc>
          <w:tcPr>
            <w:tcW w:w="1247" w:type="dxa"/>
            <w:vAlign w:val="center"/>
          </w:tcPr>
          <w:p w14:paraId="65711F3A" w14:textId="12A69BB0" w:rsidR="00057E65" w:rsidRPr="001455DC" w:rsidRDefault="00057E65">
            <w:pPr>
              <w:pStyle w:val="a7"/>
              <w:jc w:val="right"/>
            </w:pPr>
            <w:bookmarkStart w:id="476" w:name="_Ref480892951"/>
            <w:r w:rsidRPr="001455DC">
              <w:t>(7.</w:t>
            </w:r>
            <w:r w:rsidR="00570B69" w:rsidRPr="001455DC">
              <w:t>28</w:t>
            </w:r>
            <w:r w:rsidRPr="001455DC">
              <w:t>)</w:t>
            </w:r>
            <w:bookmarkEnd w:id="476"/>
          </w:p>
        </w:tc>
      </w:tr>
    </w:tbl>
    <w:p w14:paraId="3D443966" w14:textId="43D072AC" w:rsidR="00057E65" w:rsidRPr="001455DC" w:rsidRDefault="004E22C1" w:rsidP="00057E65">
      <w:pPr>
        <w:pStyle w:val="a7"/>
      </w:pPr>
      <w:r w:rsidRPr="001455DC">
        <w:t xml:space="preserve">and if the ratio of the dimensionless eccentricities </w:t>
      </w:r>
      <w:r w:rsidRPr="001455DC">
        <w:rPr>
          <w:rStyle w:val="CCMCvariableitalic"/>
          <w:szCs w:val="22"/>
        </w:rPr>
        <w:t>e</w:t>
      </w:r>
      <w:r w:rsidR="00057E65" w:rsidRPr="001455DC">
        <w:rPr>
          <w:rFonts w:ascii="Cambria Math" w:hAnsi="Cambria Math" w:hint="eastAsia"/>
        </w:rPr>
        <w:t>′</w:t>
      </w:r>
      <w:r w:rsidRPr="001455DC">
        <w:rPr>
          <w:rStyle w:val="CCMCvariablesubscript"/>
          <w:szCs w:val="22"/>
        </w:rPr>
        <w:t>y</w:t>
      </w:r>
      <w:r w:rsidRPr="001455DC">
        <w:t xml:space="preserve"> and </w:t>
      </w:r>
      <w:r w:rsidRPr="001455DC">
        <w:rPr>
          <w:rStyle w:val="CCMCvariableitalic"/>
          <w:szCs w:val="22"/>
        </w:rPr>
        <w:t>e</w:t>
      </w:r>
      <w:r w:rsidR="00057E65" w:rsidRPr="001455DC">
        <w:rPr>
          <w:rFonts w:ascii="Cambria Math" w:hAnsi="Cambria Math" w:hint="eastAsia"/>
        </w:rPr>
        <w:t>′</w:t>
      </w:r>
      <w:r w:rsidRPr="001455DC">
        <w:rPr>
          <w:rStyle w:val="CCMCvariablesubscript"/>
          <w:szCs w:val="22"/>
        </w:rPr>
        <w:t>z</w:t>
      </w:r>
      <w:r w:rsidRPr="001455DC">
        <w:t xml:space="preserve"> (see Figure 7.</w:t>
      </w:r>
      <w:r w:rsidR="0050341E">
        <w:t>5</w:t>
      </w:r>
      <w:r w:rsidRPr="001455DC">
        <w:t>) satisfy one the following conditions: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057E65" w:rsidRPr="001455DC" w14:paraId="32F50BB6" w14:textId="77777777" w:rsidTr="00057E65">
        <w:trPr>
          <w:cantSplit/>
        </w:trPr>
        <w:tc>
          <w:tcPr>
            <w:tcW w:w="8505" w:type="dxa"/>
            <w:vAlign w:val="center"/>
          </w:tcPr>
          <w:p w14:paraId="7D5ADE09" w14:textId="6A918BF5" w:rsidR="00057E65" w:rsidRPr="001455DC" w:rsidRDefault="00231E33" w:rsidP="00057E65">
            <w:pPr>
              <w:pStyle w:val="Formula"/>
              <w:jc w:val="left"/>
            </w:pPr>
            <m:oMathPara>
              <m:oMathParaPr>
                <m:jc m:val="left"/>
              </m:oMathParaPr>
              <m:oMath>
                <m:f>
                  <m:fPr>
                    <m:ctrlPr>
                      <w:rPr>
                        <w:rFonts w:ascii="Cambria Math" w:hAnsi="Cambria Math"/>
                      </w:rPr>
                    </m:ctrlPr>
                  </m:fPr>
                  <m:num>
                    <m:r>
                      <w:rPr>
                        <w:rFonts w:ascii="Cambria Math" w:hAnsi="Cambria Math"/>
                      </w:rPr>
                      <m:t>e</m:t>
                    </m:r>
                    <m:sSub>
                      <m:sSubPr>
                        <m:ctrlPr>
                          <w:rPr>
                            <w:rFonts w:ascii="Cambria Math" w:hAnsi="Cambria Math"/>
                          </w:rPr>
                        </m:ctrlPr>
                      </m:sSubPr>
                      <m:e>
                        <m:r>
                          <w:rPr>
                            <w:rFonts w:ascii="Cambria Math" w:hAnsi="Cambria Math" w:hint="eastAsia"/>
                          </w:rPr>
                          <m:t>'</m:t>
                        </m:r>
                      </m:e>
                      <m:sub>
                        <m:r>
                          <m:rPr>
                            <m:sty m:val="p"/>
                          </m:rPr>
                          <w:rPr>
                            <w:rFonts w:ascii="Cambria Math" w:hAnsi="Cambria Math"/>
                          </w:rPr>
                          <m:t>y</m:t>
                        </m:r>
                      </m:sub>
                    </m:sSub>
                  </m:num>
                  <m:den>
                    <m:r>
                      <w:rPr>
                        <w:rFonts w:ascii="Cambria Math" w:hAnsi="Cambria Math"/>
                      </w:rPr>
                      <m:t>e</m:t>
                    </m:r>
                    <m:sSub>
                      <m:sSubPr>
                        <m:ctrlPr>
                          <w:rPr>
                            <w:rFonts w:ascii="Cambria Math" w:hAnsi="Cambria Math"/>
                          </w:rPr>
                        </m:ctrlPr>
                      </m:sSubPr>
                      <m:e>
                        <m:r>
                          <w:rPr>
                            <w:rFonts w:ascii="Cambria Math" w:hAnsi="Cambria Math" w:hint="eastAsia"/>
                          </w:rPr>
                          <m:t>'</m:t>
                        </m:r>
                      </m:e>
                      <m:sub>
                        <m:r>
                          <m:rPr>
                            <m:sty m:val="p"/>
                          </m:rPr>
                          <w:rPr>
                            <w:rFonts w:ascii="Cambria Math" w:hAnsi="Cambria Math"/>
                          </w:rPr>
                          <m:t>z</m:t>
                        </m:r>
                      </m:sub>
                    </m:sSub>
                  </m:den>
                </m:f>
                <m:r>
                  <w:rPr>
                    <w:rFonts w:ascii="Cambria Math" w:hAnsi="Cambria Math"/>
                  </w:rPr>
                  <m:t xml:space="preserve">≤0,2  </m:t>
                </m:r>
                <m:r>
                  <m:rPr>
                    <m:nor/>
                  </m:rPr>
                  <w:rPr>
                    <w:rFonts w:ascii="Cambria Math" w:hAnsi="Cambria Math"/>
                  </w:rPr>
                  <m:t>or</m:t>
                </m:r>
                <m:r>
                  <w:rPr>
                    <w:rFonts w:ascii="Cambria Math" w:hAnsi="Cambria Math"/>
                  </w:rPr>
                  <m:t xml:space="preserve">  </m:t>
                </m:r>
                <m:f>
                  <m:fPr>
                    <m:ctrlPr>
                      <w:rPr>
                        <w:rFonts w:ascii="Cambria Math" w:hAnsi="Cambria Math"/>
                      </w:rPr>
                    </m:ctrlPr>
                  </m:fPr>
                  <m:num>
                    <m:r>
                      <w:rPr>
                        <w:rFonts w:ascii="Cambria Math" w:hAnsi="Cambria Math"/>
                      </w:rPr>
                      <m:t>e</m:t>
                    </m:r>
                    <m:sSub>
                      <m:sSubPr>
                        <m:ctrlPr>
                          <w:rPr>
                            <w:rFonts w:ascii="Cambria Math" w:hAnsi="Cambria Math"/>
                          </w:rPr>
                        </m:ctrlPr>
                      </m:sSubPr>
                      <m:e>
                        <m:r>
                          <w:rPr>
                            <w:rFonts w:ascii="Cambria Math" w:hAnsi="Cambria Math" w:hint="eastAsia"/>
                          </w:rPr>
                          <m:t>'</m:t>
                        </m:r>
                      </m:e>
                      <m:sub>
                        <m:r>
                          <m:rPr>
                            <m:sty m:val="p"/>
                          </m:rPr>
                          <w:rPr>
                            <w:rFonts w:ascii="Cambria Math" w:hAnsi="Cambria Math"/>
                          </w:rPr>
                          <m:t>y</m:t>
                        </m:r>
                      </m:sub>
                    </m:sSub>
                  </m:num>
                  <m:den>
                    <m:r>
                      <w:rPr>
                        <w:rFonts w:ascii="Cambria Math" w:hAnsi="Cambria Math"/>
                      </w:rPr>
                      <m:t>e</m:t>
                    </m:r>
                    <m:sSub>
                      <m:sSubPr>
                        <m:ctrlPr>
                          <w:rPr>
                            <w:rFonts w:ascii="Cambria Math" w:hAnsi="Cambria Math"/>
                          </w:rPr>
                        </m:ctrlPr>
                      </m:sSubPr>
                      <m:e>
                        <m:r>
                          <w:rPr>
                            <w:rFonts w:ascii="Cambria Math" w:hAnsi="Cambria Math" w:hint="eastAsia"/>
                          </w:rPr>
                          <m:t>'</m:t>
                        </m:r>
                      </m:e>
                      <m:sub>
                        <m:r>
                          <m:rPr>
                            <m:sty m:val="p"/>
                          </m:rPr>
                          <w:rPr>
                            <w:rFonts w:ascii="Cambria Math" w:hAnsi="Cambria Math"/>
                          </w:rPr>
                          <m:t>z</m:t>
                        </m:r>
                      </m:sub>
                    </m:sSub>
                  </m:den>
                </m:f>
                <m:r>
                  <w:rPr>
                    <w:rFonts w:ascii="Cambria Math" w:hAnsi="Cambria Math"/>
                  </w:rPr>
                  <m:t>≥5</m:t>
                </m:r>
              </m:oMath>
            </m:oMathPara>
          </w:p>
        </w:tc>
        <w:tc>
          <w:tcPr>
            <w:tcW w:w="1247" w:type="dxa"/>
            <w:vAlign w:val="center"/>
          </w:tcPr>
          <w:p w14:paraId="2204F343" w14:textId="1CAF705A" w:rsidR="00057E65" w:rsidRPr="001455DC" w:rsidRDefault="00057E65">
            <w:pPr>
              <w:pStyle w:val="a7"/>
              <w:jc w:val="right"/>
            </w:pPr>
            <w:r w:rsidRPr="001455DC">
              <w:t>(7.2</w:t>
            </w:r>
            <w:r w:rsidR="00570B69" w:rsidRPr="001455DC">
              <w:t>9</w:t>
            </w:r>
            <w:r w:rsidRPr="001455DC">
              <w:t>)</w:t>
            </w:r>
          </w:p>
        </w:tc>
      </w:tr>
    </w:tbl>
    <w:p w14:paraId="32519DE2" w14:textId="77777777" w:rsidR="00057E65" w:rsidRPr="001455DC" w:rsidRDefault="00057E65"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2098"/>
        <w:gridCol w:w="7314"/>
      </w:tblGrid>
      <w:tr w:rsidR="00057E65" w:rsidRPr="001455DC" w14:paraId="3AE283F3" w14:textId="77777777" w:rsidTr="00A35599">
        <w:trPr>
          <w:cantSplit/>
        </w:trPr>
        <w:tc>
          <w:tcPr>
            <w:tcW w:w="2098" w:type="dxa"/>
          </w:tcPr>
          <w:p w14:paraId="0022B149" w14:textId="4AC9D0D0" w:rsidR="00057E65" w:rsidRPr="001455DC" w:rsidRDefault="00057E65" w:rsidP="00057E65">
            <w:pPr>
              <w:pStyle w:val="Tablebody"/>
            </w:pPr>
            <w:r w:rsidRPr="001455DC">
              <w:rPr>
                <w:rStyle w:val="CCMCvariableitalic"/>
                <w:szCs w:val="22"/>
              </w:rPr>
              <w:t>λ</w:t>
            </w:r>
            <w:r w:rsidRPr="001455DC">
              <w:rPr>
                <w:rStyle w:val="CCMCvariablesubscript"/>
              </w:rPr>
              <w:t>y</w:t>
            </w:r>
            <w:r w:rsidRPr="001455DC">
              <w:rPr>
                <w:szCs w:val="22"/>
              </w:rPr>
              <w:t xml:space="preserve">, </w:t>
            </w:r>
            <w:r w:rsidRPr="001455DC">
              <w:rPr>
                <w:rStyle w:val="CCMCvariableitalic"/>
                <w:szCs w:val="22"/>
              </w:rPr>
              <w:t>λ</w:t>
            </w:r>
            <w:r w:rsidRPr="001455DC">
              <w:rPr>
                <w:rStyle w:val="CCMCvariablesubscript"/>
              </w:rPr>
              <w:t>z</w:t>
            </w:r>
          </w:p>
        </w:tc>
        <w:tc>
          <w:tcPr>
            <w:tcW w:w="7314" w:type="dxa"/>
          </w:tcPr>
          <w:p w14:paraId="4DF7EA40" w14:textId="16C12F1B" w:rsidR="00057E65" w:rsidRPr="001455DC" w:rsidRDefault="00057E65" w:rsidP="00057E65">
            <w:pPr>
              <w:pStyle w:val="Tablebody"/>
            </w:pPr>
            <w:r w:rsidRPr="001455DC">
              <w:rPr>
                <w:szCs w:val="22"/>
              </w:rPr>
              <w:t xml:space="preserve">are the slenderness ratios </w:t>
            </w:r>
            <w:r w:rsidRPr="001455DC">
              <w:rPr>
                <w:rStyle w:val="CCMCvariableitalic"/>
                <w:szCs w:val="22"/>
              </w:rPr>
              <w:t>l</w:t>
            </w:r>
            <w:r w:rsidRPr="001455DC">
              <w:rPr>
                <w:rStyle w:val="CCMCvariablesubscript"/>
                <w:szCs w:val="22"/>
              </w:rPr>
              <w:t>0</w:t>
            </w:r>
            <w:r w:rsidRPr="001455DC">
              <w:rPr>
                <w:szCs w:val="22"/>
              </w:rPr>
              <w:t>/</w:t>
            </w:r>
            <w:r w:rsidRPr="001455DC">
              <w:rPr>
                <w:rStyle w:val="CCMCvariableitalic"/>
                <w:szCs w:val="22"/>
              </w:rPr>
              <w:t>i</w:t>
            </w:r>
            <w:r w:rsidRPr="001455DC">
              <w:rPr>
                <w:szCs w:val="22"/>
              </w:rPr>
              <w:t xml:space="preserve"> with respect to </w:t>
            </w:r>
            <w:r w:rsidRPr="001455DC">
              <w:rPr>
                <w:rStyle w:val="CCMCvariableitalic"/>
                <w:szCs w:val="22"/>
              </w:rPr>
              <w:t>y</w:t>
            </w:r>
            <w:r w:rsidRPr="001455DC">
              <w:rPr>
                <w:szCs w:val="22"/>
              </w:rPr>
              <w:t xml:space="preserve">- and </w:t>
            </w:r>
            <w:r w:rsidRPr="001455DC">
              <w:rPr>
                <w:rStyle w:val="CCMCvariableitalic"/>
                <w:szCs w:val="22"/>
              </w:rPr>
              <w:t>z</w:t>
            </w:r>
            <w:r w:rsidRPr="001455DC">
              <w:rPr>
                <w:szCs w:val="22"/>
              </w:rPr>
              <w:t>-axis respectively;</w:t>
            </w:r>
          </w:p>
        </w:tc>
      </w:tr>
      <w:tr w:rsidR="00057E65" w:rsidRPr="001455DC" w14:paraId="715A5BAD" w14:textId="77777777" w:rsidTr="00A35599">
        <w:trPr>
          <w:cantSplit/>
        </w:trPr>
        <w:tc>
          <w:tcPr>
            <w:tcW w:w="2098" w:type="dxa"/>
          </w:tcPr>
          <w:p w14:paraId="1EECDC51" w14:textId="6F0DB0C2" w:rsidR="00057E65" w:rsidRPr="001455DC" w:rsidRDefault="00057E65" w:rsidP="00057E65">
            <w:pPr>
              <w:pStyle w:val="Tablebody"/>
            </w:pPr>
            <w:r w:rsidRPr="001455DC">
              <w:rPr>
                <w:rStyle w:val="CCMCvariableitalic"/>
                <w:szCs w:val="22"/>
              </w:rPr>
              <w:t>i</w:t>
            </w:r>
            <w:r w:rsidRPr="001455DC">
              <w:rPr>
                <w:rStyle w:val="CCMCvariablesubscript"/>
              </w:rPr>
              <w:t>y</w:t>
            </w:r>
            <w:r w:rsidRPr="001455DC">
              <w:rPr>
                <w:szCs w:val="22"/>
              </w:rPr>
              <w:t xml:space="preserve">, </w:t>
            </w:r>
            <w:r w:rsidRPr="001455DC">
              <w:rPr>
                <w:rStyle w:val="CCMCvariableitalic"/>
                <w:szCs w:val="22"/>
              </w:rPr>
              <w:t>i</w:t>
            </w:r>
            <w:r w:rsidRPr="001455DC">
              <w:rPr>
                <w:rStyle w:val="CCMCvariablesubscript"/>
              </w:rPr>
              <w:t>z</w:t>
            </w:r>
          </w:p>
        </w:tc>
        <w:tc>
          <w:tcPr>
            <w:tcW w:w="7314" w:type="dxa"/>
          </w:tcPr>
          <w:p w14:paraId="7FCCDD7F" w14:textId="3D2C9BDD" w:rsidR="00057E65" w:rsidRPr="001455DC" w:rsidRDefault="00057E65" w:rsidP="00057E65">
            <w:pPr>
              <w:pStyle w:val="Tablebody"/>
            </w:pPr>
            <w:r w:rsidRPr="001455DC">
              <w:rPr>
                <w:szCs w:val="22"/>
              </w:rPr>
              <w:t xml:space="preserve">are the radii of gyration with respect to </w:t>
            </w:r>
            <w:r w:rsidRPr="001455DC">
              <w:rPr>
                <w:rStyle w:val="CCMCvariableitalic"/>
                <w:szCs w:val="22"/>
              </w:rPr>
              <w:t>y</w:t>
            </w:r>
            <w:r w:rsidRPr="001455DC">
              <w:rPr>
                <w:szCs w:val="22"/>
              </w:rPr>
              <w:t xml:space="preserve">- and </w:t>
            </w:r>
            <w:r w:rsidRPr="001455DC">
              <w:rPr>
                <w:rStyle w:val="CCMCvariableitalic"/>
                <w:szCs w:val="22"/>
              </w:rPr>
              <w:t>z</w:t>
            </w:r>
            <w:r w:rsidRPr="001455DC">
              <w:rPr>
                <w:szCs w:val="22"/>
              </w:rPr>
              <w:t>-axis respectively;</w:t>
            </w:r>
          </w:p>
        </w:tc>
      </w:tr>
      <w:tr w:rsidR="00057E65" w:rsidRPr="001455DC" w14:paraId="709E500A" w14:textId="77777777" w:rsidTr="00A35599">
        <w:trPr>
          <w:cantSplit/>
        </w:trPr>
        <w:tc>
          <w:tcPr>
            <w:tcW w:w="2098" w:type="dxa"/>
          </w:tcPr>
          <w:p w14:paraId="327BF682" w14:textId="35C1AC7C" w:rsidR="00057E65" w:rsidRPr="00FA575F" w:rsidRDefault="00057E65" w:rsidP="00057E65">
            <w:pPr>
              <w:pStyle w:val="Tablebody"/>
            </w:pPr>
            <w:r w:rsidRPr="00FA575F">
              <w:rPr>
                <w:rStyle w:val="CCMCvariableitalic"/>
                <w:szCs w:val="22"/>
              </w:rPr>
              <w:t>e</w:t>
            </w:r>
            <w:r w:rsidRPr="00FA575F">
              <w:t>′</w:t>
            </w:r>
            <w:r w:rsidRPr="00FA575F">
              <w:rPr>
                <w:rStyle w:val="CCMCvariablesubscript"/>
                <w:szCs w:val="22"/>
              </w:rPr>
              <w:t>z</w:t>
            </w:r>
            <w:r w:rsidR="00EC27D2" w:rsidRPr="00FA575F">
              <w:rPr>
                <w:rStyle w:val="CCMCvariableitalic"/>
                <w:rFonts w:ascii="Cambria Math" w:hAnsi="Cambria Math"/>
                <w:szCs w:val="22"/>
              </w:rPr>
              <w:t>=</w:t>
            </w:r>
            <w:r w:rsidRPr="00FA575F">
              <w:rPr>
                <w:szCs w:val="22"/>
              </w:rPr>
              <w:t xml:space="preserve"> </w:t>
            </w:r>
            <w:r w:rsidRPr="00FA575F">
              <w:rPr>
                <w:rStyle w:val="CCMCvariableitalic"/>
                <w:szCs w:val="22"/>
              </w:rPr>
              <w:t>M</w:t>
            </w:r>
            <w:r w:rsidRPr="00FA575F">
              <w:rPr>
                <w:rStyle w:val="CCMCvariablesubscript"/>
                <w:szCs w:val="22"/>
              </w:rPr>
              <w:t>Edy</w:t>
            </w:r>
            <w:r w:rsidRPr="00FA575F">
              <w:rPr>
                <w:szCs w:val="22"/>
              </w:rPr>
              <w:t>/|(</w:t>
            </w:r>
            <w:r w:rsidRPr="00FA575F">
              <w:rPr>
                <w:rStyle w:val="CCMCvariableitalic"/>
                <w:szCs w:val="22"/>
              </w:rPr>
              <w:t>N</w:t>
            </w:r>
            <w:r w:rsidRPr="00FA575F">
              <w:rPr>
                <w:rStyle w:val="CCMCvariablesubscript"/>
                <w:szCs w:val="22"/>
              </w:rPr>
              <w:t>Ed</w:t>
            </w:r>
            <w:r w:rsidRPr="00FA575F">
              <w:rPr>
                <w:szCs w:val="22"/>
              </w:rPr>
              <w:t> </w:t>
            </w:r>
            <w:r w:rsidRPr="00FA575F">
              <w:rPr>
                <w:rFonts w:ascii="Cambria Math" w:hAnsi="Cambria Math" w:cs="Cambria Math"/>
                <w:szCs w:val="22"/>
              </w:rPr>
              <w:t>⋅</w:t>
            </w:r>
            <w:r w:rsidRPr="00FA575F">
              <w:rPr>
                <w:szCs w:val="22"/>
              </w:rPr>
              <w:t> </w:t>
            </w:r>
            <w:r w:rsidRPr="00FA575F">
              <w:rPr>
                <w:rStyle w:val="CCMCvariableitalic"/>
                <w:szCs w:val="22"/>
              </w:rPr>
              <w:t>b</w:t>
            </w:r>
            <w:r w:rsidRPr="00FA575F">
              <w:rPr>
                <w:szCs w:val="22"/>
              </w:rPr>
              <w:t>)|</w:t>
            </w:r>
          </w:p>
        </w:tc>
        <w:tc>
          <w:tcPr>
            <w:tcW w:w="7314" w:type="dxa"/>
          </w:tcPr>
          <w:p w14:paraId="58AC9A0A" w14:textId="1761F38C" w:rsidR="00057E65" w:rsidRPr="001455DC" w:rsidRDefault="00057E65" w:rsidP="00057E65">
            <w:pPr>
              <w:pStyle w:val="Tablebody"/>
            </w:pPr>
            <w:r w:rsidRPr="001455DC">
              <w:rPr>
                <w:szCs w:val="22"/>
              </w:rPr>
              <w:t xml:space="preserve">is the dimensionless eccentricity along the </w:t>
            </w:r>
            <w:r w:rsidRPr="001455DC">
              <w:rPr>
                <w:rStyle w:val="CCMCvariableitalic"/>
                <w:szCs w:val="22"/>
              </w:rPr>
              <w:t>z</w:t>
            </w:r>
            <w:r w:rsidRPr="001455DC">
              <w:rPr>
                <w:szCs w:val="22"/>
              </w:rPr>
              <w:t>-axis;</w:t>
            </w:r>
          </w:p>
        </w:tc>
      </w:tr>
      <w:tr w:rsidR="00057E65" w:rsidRPr="001455DC" w14:paraId="13111B59" w14:textId="77777777" w:rsidTr="00A35599">
        <w:trPr>
          <w:cantSplit/>
        </w:trPr>
        <w:tc>
          <w:tcPr>
            <w:tcW w:w="2098" w:type="dxa"/>
          </w:tcPr>
          <w:p w14:paraId="3D7ABEA0" w14:textId="229B536D" w:rsidR="00057E65" w:rsidRPr="00FA575F" w:rsidRDefault="00057E65" w:rsidP="00057E65">
            <w:pPr>
              <w:pStyle w:val="Tablebody"/>
              <w:rPr>
                <w:lang w:val="es-ES"/>
              </w:rPr>
            </w:pPr>
            <w:r w:rsidRPr="00FA575F">
              <w:rPr>
                <w:rStyle w:val="CCMCvariableitalic"/>
                <w:szCs w:val="22"/>
                <w:lang w:val="es-ES"/>
              </w:rPr>
              <w:t>e</w:t>
            </w:r>
            <w:r w:rsidRPr="00FA575F">
              <w:rPr>
                <w:lang w:val="es-ES"/>
              </w:rPr>
              <w:t>′</w:t>
            </w:r>
            <w:r w:rsidRPr="00FA575F">
              <w:rPr>
                <w:rStyle w:val="CCMCvariablesubscript"/>
                <w:szCs w:val="22"/>
                <w:lang w:val="es-ES"/>
              </w:rPr>
              <w:t>y</w:t>
            </w:r>
            <w:r w:rsidRPr="00FA575F">
              <w:rPr>
                <w:szCs w:val="22"/>
                <w:lang w:val="es-ES"/>
              </w:rPr>
              <w:t> </w:t>
            </w:r>
            <w:r w:rsidR="00EC27D2" w:rsidRPr="00FA575F">
              <w:rPr>
                <w:rFonts w:ascii="Cambria Math" w:hAnsi="Cambria Math"/>
                <w:szCs w:val="22"/>
                <w:lang w:val="es-ES"/>
              </w:rPr>
              <w:t>=</w:t>
            </w:r>
            <w:r w:rsidRPr="00FA575F">
              <w:rPr>
                <w:szCs w:val="22"/>
                <w:lang w:val="es-ES"/>
              </w:rPr>
              <w:t> </w:t>
            </w:r>
            <w:r w:rsidRPr="00FA575F">
              <w:rPr>
                <w:rStyle w:val="CCMCvariableitalic"/>
                <w:szCs w:val="22"/>
                <w:lang w:val="es-ES"/>
              </w:rPr>
              <w:t>M</w:t>
            </w:r>
            <w:r w:rsidRPr="00FA575F">
              <w:rPr>
                <w:rStyle w:val="CCMCvariablesubscript"/>
                <w:szCs w:val="22"/>
                <w:lang w:val="es-ES"/>
              </w:rPr>
              <w:t>Edz</w:t>
            </w:r>
            <w:r w:rsidRPr="00FA575F">
              <w:rPr>
                <w:szCs w:val="22"/>
                <w:lang w:val="es-ES"/>
              </w:rPr>
              <w:t>/</w:t>
            </w:r>
            <w:r w:rsidRPr="00FA575F">
              <w:rPr>
                <w:lang w:val="es-ES"/>
              </w:rPr>
              <w:t>|</w:t>
            </w:r>
            <w:r w:rsidRPr="00FA575F">
              <w:rPr>
                <w:rStyle w:val="CCMCvariableitalic"/>
                <w:szCs w:val="22"/>
                <w:lang w:val="es-ES"/>
              </w:rPr>
              <w:t>N</w:t>
            </w:r>
            <w:r w:rsidRPr="00FA575F">
              <w:rPr>
                <w:rStyle w:val="CCMCvariablesubscript"/>
                <w:szCs w:val="22"/>
                <w:lang w:val="es-ES"/>
              </w:rPr>
              <w:t>Ed</w:t>
            </w:r>
            <w:r w:rsidRPr="00FA575F">
              <w:rPr>
                <w:szCs w:val="22"/>
                <w:lang w:val="es-ES"/>
              </w:rPr>
              <w:t> </w:t>
            </w:r>
            <w:r w:rsidRPr="00FA575F">
              <w:rPr>
                <w:rFonts w:ascii="Cambria Math" w:hAnsi="Cambria Math" w:cs="Cambria Math"/>
                <w:szCs w:val="22"/>
                <w:lang w:val="es-ES"/>
              </w:rPr>
              <w:t>⋅</w:t>
            </w:r>
            <w:r w:rsidRPr="00FA575F">
              <w:rPr>
                <w:szCs w:val="22"/>
                <w:lang w:val="es-ES"/>
              </w:rPr>
              <w:t> </w:t>
            </w:r>
            <w:r w:rsidRPr="00FA575F">
              <w:rPr>
                <w:rStyle w:val="CCMCvariableitalic"/>
                <w:szCs w:val="22"/>
                <w:lang w:val="es-ES"/>
              </w:rPr>
              <w:t>h</w:t>
            </w:r>
            <w:r w:rsidRPr="00FA575F">
              <w:rPr>
                <w:szCs w:val="22"/>
                <w:lang w:val="es-ES"/>
              </w:rPr>
              <w:t>)|</w:t>
            </w:r>
          </w:p>
        </w:tc>
        <w:tc>
          <w:tcPr>
            <w:tcW w:w="7314" w:type="dxa"/>
          </w:tcPr>
          <w:p w14:paraId="28EFD026" w14:textId="19D9280D" w:rsidR="00057E65" w:rsidRPr="001455DC" w:rsidRDefault="00057E65" w:rsidP="00057E65">
            <w:pPr>
              <w:pStyle w:val="Tablebody"/>
            </w:pPr>
            <w:r w:rsidRPr="001455DC">
              <w:rPr>
                <w:szCs w:val="22"/>
              </w:rPr>
              <w:t xml:space="preserve">is the dimensionless eccentricity along the </w:t>
            </w:r>
            <w:r w:rsidRPr="001455DC">
              <w:rPr>
                <w:rStyle w:val="CCMCvariableitalic"/>
                <w:szCs w:val="22"/>
              </w:rPr>
              <w:t>y</w:t>
            </w:r>
            <w:r w:rsidRPr="001455DC">
              <w:rPr>
                <w:szCs w:val="22"/>
              </w:rPr>
              <w:t>-axis;</w:t>
            </w:r>
          </w:p>
        </w:tc>
      </w:tr>
    </w:tbl>
    <w:p w14:paraId="476C648F" w14:textId="0EB4BAB8" w:rsidR="004E22C1" w:rsidRPr="001455DC" w:rsidRDefault="004E22C1" w:rsidP="00057E65">
      <w:pPr>
        <w:pStyle w:val="a7"/>
      </w:pPr>
      <w:r w:rsidRPr="001455DC">
        <w:t xml:space="preserve">For non-rectangular sections, </w:t>
      </w:r>
      <w:r w:rsidRPr="001455DC">
        <w:rPr>
          <w:rStyle w:val="CCMCvariableitalic"/>
          <w:szCs w:val="22"/>
        </w:rPr>
        <w:t>b</w:t>
      </w:r>
      <w:r w:rsidRPr="001455DC">
        <w:t xml:space="preserve"> and </w:t>
      </w:r>
      <w:r w:rsidRPr="001455DC">
        <w:rPr>
          <w:rStyle w:val="CCMCvariableitalic"/>
          <w:szCs w:val="22"/>
        </w:rPr>
        <w:t>h</w:t>
      </w:r>
      <w:r w:rsidRPr="001455DC">
        <w:t xml:space="preserve"> shall be replaced by </w:t>
      </w:r>
      <m:oMath>
        <m:sSub>
          <m:sSubPr>
            <m:ctrlPr>
              <w:rPr>
                <w:rFonts w:ascii="Cambria Math" w:hAnsi="Cambria Math"/>
              </w:rPr>
            </m:ctrlPr>
          </m:sSubPr>
          <m:e>
            <m:r>
              <w:rPr>
                <w:rFonts w:ascii="Cambria Math" w:hAnsi="Cambria Math"/>
              </w:rPr>
              <m:t>b</m:t>
            </m:r>
          </m:e>
          <m:sub>
            <m:r>
              <m:rPr>
                <m:sty m:val="p"/>
              </m:rPr>
              <w:rPr>
                <w:rFonts w:ascii="Cambria Math" w:hAnsi="Cambria Math"/>
              </w:rPr>
              <m:t>eq</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y</m:t>
            </m:r>
          </m:sub>
        </m:sSub>
        <m:rad>
          <m:radPr>
            <m:degHide m:val="1"/>
            <m:ctrlPr>
              <w:rPr>
                <w:rFonts w:ascii="Cambria Math" w:hAnsi="Cambria Math"/>
              </w:rPr>
            </m:ctrlPr>
          </m:radPr>
          <m:deg/>
          <m:e>
            <m:r>
              <w:rPr>
                <w:rFonts w:ascii="Cambria Math" w:hAnsi="Cambria Math"/>
              </w:rPr>
              <m:t>12</m:t>
            </m:r>
          </m:e>
        </m:rad>
        <m:r>
          <w:rPr>
            <w:rFonts w:ascii="Cambria Math" w:hAnsi="Cambria Math"/>
          </w:rPr>
          <m:t xml:space="preserve">  </m:t>
        </m:r>
        <m:r>
          <m:rPr>
            <m:nor/>
          </m:rPr>
          <w:rPr>
            <w:rFonts w:ascii="Cambria Math" w:hAnsi="Cambria Math"/>
          </w:rPr>
          <m:t>and</m:t>
        </m:r>
        <m:r>
          <w:rPr>
            <w:rFonts w:ascii="Cambria Math" w:hAnsi="Cambria Math"/>
          </w:rPr>
          <m:t xml:space="preserve">  </m:t>
        </m:r>
        <m:sSub>
          <m:sSubPr>
            <m:ctrlPr>
              <w:rPr>
                <w:rFonts w:ascii="Cambria Math" w:hAnsi="Cambria Math"/>
              </w:rPr>
            </m:ctrlPr>
          </m:sSubPr>
          <m:e>
            <m:r>
              <w:rPr>
                <w:rFonts w:ascii="Cambria Math" w:hAnsi="Cambria Math"/>
              </w:rPr>
              <m:t>h</m:t>
            </m:r>
          </m:e>
          <m:sub>
            <m:r>
              <m:rPr>
                <m:sty m:val="p"/>
              </m:rPr>
              <w:rPr>
                <w:rFonts w:ascii="Cambria Math" w:hAnsi="Cambria Math"/>
              </w:rPr>
              <m:t>eq</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z</m:t>
            </m:r>
          </m:sub>
        </m:sSub>
        <m:rad>
          <m:radPr>
            <m:degHide m:val="1"/>
            <m:ctrlPr>
              <w:rPr>
                <w:rFonts w:ascii="Cambria Math" w:hAnsi="Cambria Math"/>
              </w:rPr>
            </m:ctrlPr>
          </m:radPr>
          <m:deg/>
          <m:e>
            <m:r>
              <w:rPr>
                <w:rFonts w:ascii="Cambria Math" w:hAnsi="Cambria Math"/>
              </w:rPr>
              <m:t>12</m:t>
            </m:r>
          </m:e>
        </m:rad>
      </m:oMath>
      <w:r w:rsidRPr="001455DC">
        <w:t>.</w:t>
      </w:r>
    </w:p>
    <w:p w14:paraId="245A89F5" w14:textId="757003C3" w:rsidR="004E22C1" w:rsidRPr="001455DC" w:rsidRDefault="004E22C1" w:rsidP="00057E65">
      <w:pPr>
        <w:pStyle w:val="a7"/>
      </w:pPr>
      <w:r w:rsidRPr="001455DC">
        <w:t>(5)</w:t>
      </w:r>
      <w:r w:rsidRPr="001455DC">
        <w:tab/>
        <w:t>If all of the conditions of formulae (7.</w:t>
      </w:r>
      <w:r w:rsidR="00570B69" w:rsidRPr="001455DC">
        <w:t>28</w:t>
      </w:r>
      <w:r w:rsidRPr="001455DC">
        <w:t>) and (7.</w:t>
      </w:r>
      <w:r w:rsidR="00570B69" w:rsidRPr="001455DC">
        <w:t>29</w:t>
      </w:r>
      <w:r w:rsidRPr="001455DC">
        <w:t>) are not fulfilled, biaxial bending should be taken into account including second order effects in each direction.</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4876"/>
        <w:gridCol w:w="4875"/>
      </w:tblGrid>
      <w:tr w:rsidR="00057E65" w:rsidRPr="001455DC" w14:paraId="4CA5C5A7" w14:textId="77777777" w:rsidTr="00057E65">
        <w:trPr>
          <w:cantSplit/>
          <w:jc w:val="center"/>
        </w:trPr>
        <w:tc>
          <w:tcPr>
            <w:tcW w:w="4876" w:type="dxa"/>
            <w:vAlign w:val="center"/>
          </w:tcPr>
          <w:p w14:paraId="12F075EC" w14:textId="48DEEAE0" w:rsidR="00057E65" w:rsidRPr="001455DC" w:rsidRDefault="00723CF7" w:rsidP="00057E65">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"Y:\\STD_MGT\\STDDEL\\PRODUCTION\\etrans\\Download\\Z_FIRST_DEL\\SV\\00250\\00250269\\41_e_dr\\7_005a.tif"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"Y:\\STD_MGT\\STDDEL\\PRODUCTION\\Standards\\00250\\269\\41_e_dr\\7_005a.tif"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"Y:\\STD_MGT\\STDDEL\\PRODUCTION\\Standards\\00250\\269\\41_e_dr\\7_005a.tif"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"Y:\\STD_MGT\\STDDEL\\PRODUCTION\\Standards\\00250\\269\\41_e_dr\\7_005a.tif"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"Y:\\STD_MGT\\STDDEL\\PRODUCTION\\Standards\\00250\\269\\41_e_dr\\7_005a.tif"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"Y:\\STD_MGT\\STDDEL\\PRODUCTION\\Standards\\00250\\269\\41_e_dr\\7_005a.tif"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"C:\\Users\\a.dionysiou\\AppData\\Local\\Temp\\Temp1_00250269_e_20210902.zip.zip\\41_e_dr\\7_005a.tif"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29C5CE07">
                <v:shape id="_x0000_i1145" type="#_x0000_t75" style="width:180.75pt;height:149.25pt">
                  <v:imagedata r:id="rId260" r:href="rId261"/>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4876" w:type="dxa"/>
            <w:vAlign w:val="center"/>
          </w:tcPr>
          <w:p w14:paraId="2DE88792" w14:textId="3DC4125A" w:rsidR="00057E65" w:rsidRPr="001455DC" w:rsidRDefault="00723CF7" w:rsidP="00057E65">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"Y:\\STD_MGT\\STDDEL\\PRODUCTION\\etrans\\Download\\Z_FIRST_DEL\\SV\\00250\\00250269\\41_e_dr\\7_005b.tif"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"Y:\\STD_MGT\\STDDEL\\PRODUCTION\\Standards\\00250\\269\\41_e_dr\\7_005b.tif"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"Y:\\STD_MGT\\STDDEL\\PRODUCTION\\Standards\\00250\\269\\41_e_dr\\7_005b.tif"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"Y:\\STD_MGT\\STDDEL\\PRODUCTION\\Standards\\00250\\269\\41_e_dr\\7_005b.tif"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"Y:\\STD_MGT\\STDDEL\\PRODUCTION\\Standards\\00250\\269\\41_e_dr\\7_005b.tif"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"Y:\\STD_MGT\\STDDEL\\PRODUCTION\\Standards\\00250\\269\\41_e_dr\\7_005b.tif"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w:instrText>
            </w:r>
            <w:r w:rsidR="00231E33">
              <w:rPr>
                <w:noProof/>
                <w:lang w:eastAsia="en-GB"/>
              </w:rPr>
              <w:instrText>\\Temp\\Temp1_00250269_e_20210902.zip.zip\\41_e_dr\\7_005b.tif"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247DB351">
                <v:shape id="_x0000_i1146" type="#_x0000_t75" style="width:162.75pt;height:129.75pt">
                  <v:imagedata r:id="rId262" r:href="rId263"/>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057E65" w:rsidRPr="001455DC" w14:paraId="728FF062" w14:textId="77777777" w:rsidTr="00057E65">
        <w:trPr>
          <w:cantSplit/>
          <w:jc w:val="center"/>
        </w:trPr>
        <w:tc>
          <w:tcPr>
            <w:tcW w:w="4876" w:type="dxa"/>
            <w:vAlign w:val="center"/>
          </w:tcPr>
          <w:p w14:paraId="0E9C7ACD" w14:textId="6B1BCFD1" w:rsidR="00057E65" w:rsidRPr="001455DC" w:rsidRDefault="00057E65" w:rsidP="00057E65">
            <w:pPr>
              <w:pStyle w:val="FigureText"/>
              <w:jc w:val="center"/>
            </w:pPr>
            <w:r w:rsidRPr="009D3012">
              <w:t>a) rectangular</w:t>
            </w:r>
          </w:p>
        </w:tc>
        <w:tc>
          <w:tcPr>
            <w:tcW w:w="4876" w:type="dxa"/>
            <w:vAlign w:val="center"/>
          </w:tcPr>
          <w:p w14:paraId="241FC9DD" w14:textId="525C6A8A" w:rsidR="00057E65" w:rsidRPr="001455DC" w:rsidRDefault="00057E65" w:rsidP="00057E65">
            <w:pPr>
              <w:pStyle w:val="FigureText"/>
              <w:jc w:val="center"/>
            </w:pPr>
            <w:r w:rsidRPr="009D3012">
              <w:t>b) general cross section</w:t>
            </w:r>
          </w:p>
        </w:tc>
      </w:tr>
    </w:tbl>
    <w:p w14:paraId="2433864A" w14:textId="2ECC0514" w:rsidR="004E22C1" w:rsidRPr="001455DC" w:rsidRDefault="004E22C1" w:rsidP="00057E65">
      <w:pPr>
        <w:pStyle w:val="Figuretitle"/>
      </w:pPr>
      <w:r w:rsidRPr="001455DC">
        <w:t>Figure 7.</w:t>
      </w:r>
      <w:r w:rsidR="00E751B2">
        <w:t>5</w:t>
      </w:r>
      <w:r w:rsidR="00E751B2" w:rsidRPr="001455DC">
        <w:t> </w:t>
      </w:r>
      <w:r w:rsidRPr="001455DC">
        <w:t xml:space="preserve">— Definition of eccentricities </w:t>
      </w:r>
      <w:r w:rsidRPr="001455DC">
        <w:rPr>
          <w:rStyle w:val="CCMCvariableitalic"/>
        </w:rPr>
        <w:t>e</w:t>
      </w:r>
      <w:r w:rsidRPr="001455DC">
        <w:rPr>
          <w:rStyle w:val="CCMCvariablesubscript"/>
        </w:rPr>
        <w:t>y</w:t>
      </w:r>
      <w:r w:rsidRPr="001455DC">
        <w:t xml:space="preserve"> and </w:t>
      </w:r>
      <w:r w:rsidRPr="001455DC">
        <w:rPr>
          <w:rStyle w:val="CCMCvariableitalic"/>
        </w:rPr>
        <w:t>e</w:t>
      </w:r>
      <w:r w:rsidRPr="001455DC">
        <w:rPr>
          <w:rStyle w:val="CCMCvariablesubscript"/>
        </w:rPr>
        <w:t>z</w:t>
      </w:r>
    </w:p>
    <w:p w14:paraId="67B38AF0" w14:textId="23E8074D" w:rsidR="004E22C1" w:rsidRPr="001455DC" w:rsidRDefault="004E22C1" w:rsidP="006D682B">
      <w:pPr>
        <w:pStyle w:val="21"/>
      </w:pPr>
      <w:bookmarkStart w:id="477" w:name="_Toc52819958"/>
      <w:bookmarkStart w:id="478" w:name="_Toc54337352"/>
      <w:bookmarkStart w:id="479" w:name="_Toc54338014"/>
      <w:bookmarkStart w:id="480" w:name="_Toc67565366"/>
      <w:r w:rsidRPr="001455DC">
        <w:t>Lateral instability of slender beams</w:t>
      </w:r>
      <w:bookmarkEnd w:id="477"/>
      <w:bookmarkEnd w:id="478"/>
      <w:bookmarkEnd w:id="479"/>
      <w:bookmarkEnd w:id="480"/>
    </w:p>
    <w:p w14:paraId="6DE61305" w14:textId="4F2C7DBC" w:rsidR="004E22C1" w:rsidRPr="001455DC" w:rsidRDefault="004E22C1" w:rsidP="00057E65">
      <w:pPr>
        <w:pStyle w:val="a7"/>
      </w:pPr>
      <w:r w:rsidRPr="001455DC">
        <w:t>(1)</w:t>
      </w:r>
      <w:r w:rsidRPr="001455DC">
        <w:tab/>
        <w:t>Lateral instability of slender beams shall be considered where necessary, e.g. for precast beams during transport and erection, for beams without sufficient lateral bracing in the finished structure</w:t>
      </w:r>
      <w:r w:rsidR="00036609">
        <w:t>,</w:t>
      </w:r>
      <w:r w:rsidRPr="001455DC">
        <w:t xml:space="preserve"> etc. </w:t>
      </w:r>
      <w:r w:rsidR="00570B69" w:rsidRPr="001455DC">
        <w:t>g</w:t>
      </w:r>
      <w:r w:rsidRPr="001455DC">
        <w:t>eometric imperfections shall be considered in the calculation of effects due to lateral instability.</w:t>
      </w:r>
    </w:p>
    <w:p w14:paraId="2E748DFE" w14:textId="0CF00F41" w:rsidR="004E22C1" w:rsidRPr="001455DC" w:rsidRDefault="004E22C1" w:rsidP="00057E65">
      <w:pPr>
        <w:pStyle w:val="a7"/>
      </w:pPr>
      <w:r w:rsidRPr="001455DC">
        <w:t>(2)</w:t>
      </w:r>
      <w:r w:rsidRPr="001455DC">
        <w:tab/>
        <w:t xml:space="preserve">In absence of project-specific execution specifications which define maximum deviations, a lateral deflection of </w:t>
      </w:r>
      <w:r w:rsidRPr="001455DC">
        <w:rPr>
          <w:rStyle w:val="CCMCvariableitalic"/>
        </w:rPr>
        <w:t>l</w:t>
      </w:r>
      <w:r w:rsidRPr="001455DC">
        <w:t xml:space="preserve">/300 should be assumed as a geometric imperfection in the verification of beams in unbraced conditions, with </w:t>
      </w:r>
      <w:r w:rsidRPr="001455DC">
        <w:rPr>
          <w:rStyle w:val="CCMCvariableitalic"/>
        </w:rPr>
        <w:t>l</w:t>
      </w:r>
      <w:r w:rsidRPr="001455DC">
        <w:t> </w:t>
      </w:r>
      <w:r w:rsidR="00EC27D2" w:rsidRPr="001455DC">
        <w:rPr>
          <w:rFonts w:ascii="Cambria Math" w:hAnsi="Cambria Math"/>
        </w:rPr>
        <w:t>=</w:t>
      </w:r>
      <w:r w:rsidRPr="001455DC">
        <w:t> total length of beam. In finished structures, bracing from connected members may be considered.</w:t>
      </w:r>
    </w:p>
    <w:p w14:paraId="487827C2" w14:textId="77777777" w:rsidR="004E22C1" w:rsidRPr="001455DC" w:rsidRDefault="004E22C1" w:rsidP="008D37B2">
      <w:pPr>
        <w:pStyle w:val="a7"/>
        <w:keepNext/>
      </w:pPr>
      <w:r w:rsidRPr="001455DC">
        <w:t>(3)</w:t>
      </w:r>
      <w:r w:rsidRPr="001455DC">
        <w:tab/>
        <w:t>Second order effects in connection with lateral instability may be ignored if the following conditions are fulfilled:</w:t>
      </w:r>
    </w:p>
    <w:p w14:paraId="7562D539" w14:textId="091AED25" w:rsidR="00057E65" w:rsidRPr="001455DC" w:rsidRDefault="00EC27D2" w:rsidP="008D37B2">
      <w:pPr>
        <w:pStyle w:val="a7"/>
        <w:keepNext/>
        <w:ind w:left="357" w:hanging="357"/>
      </w:pPr>
      <w:r w:rsidRPr="001455DC">
        <w:t>—</w:t>
      </w:r>
      <w:r w:rsidR="004E22C1" w:rsidRPr="001455DC">
        <w:tab/>
        <w:t>persistent design situations: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057E65" w:rsidRPr="001455DC" w14:paraId="3B1F55B8" w14:textId="77777777" w:rsidTr="00057E65">
        <w:trPr>
          <w:cantSplit/>
        </w:trPr>
        <w:tc>
          <w:tcPr>
            <w:tcW w:w="8505" w:type="dxa"/>
            <w:vAlign w:val="center"/>
          </w:tcPr>
          <w:p w14:paraId="6B9AD760" w14:textId="35E598D9" w:rsidR="00057E65" w:rsidRPr="001455DC" w:rsidRDefault="00231E33" w:rsidP="00057E65">
            <w:pPr>
              <w:pStyle w:val="Formula"/>
              <w:jc w:val="left"/>
            </w:pPr>
            <m:oMathPara>
              <m:oMathParaPr>
                <m:jc m:val="left"/>
              </m:oMathParaPr>
              <m:oMath>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0</m:t>
                        </m:r>
                        <m:r>
                          <m:rPr>
                            <m:sty m:val="p"/>
                          </m:rPr>
                          <w:rPr>
                            <w:rFonts w:ascii="Cambria Math" w:hAnsi="Cambria Math"/>
                          </w:rPr>
                          <m:t>t</m:t>
                        </m:r>
                      </m:sub>
                    </m:sSub>
                  </m:num>
                  <m:den>
                    <m:r>
                      <w:rPr>
                        <w:rFonts w:ascii="Cambria Math" w:hAnsi="Cambria Math"/>
                      </w:rPr>
                      <m:t>b</m:t>
                    </m:r>
                  </m:den>
                </m:f>
                <m:r>
                  <w:rPr>
                    <w:rFonts w:ascii="Cambria Math" w:hAnsi="Cambria Math"/>
                  </w:rPr>
                  <m:t>≤</m:t>
                </m:r>
                <m:f>
                  <m:fPr>
                    <m:ctrlPr>
                      <w:rPr>
                        <w:rFonts w:ascii="Cambria Math" w:hAnsi="Cambria Math"/>
                      </w:rPr>
                    </m:ctrlPr>
                  </m:fPr>
                  <m:num>
                    <m:r>
                      <w:rPr>
                        <w:rFonts w:ascii="Cambria Math" w:hAnsi="Cambria Math"/>
                      </w:rPr>
                      <m:t>50</m:t>
                    </m:r>
                  </m:num>
                  <m:den>
                    <m:sSup>
                      <m:sSupPr>
                        <m:ctrlPr>
                          <w:rPr>
                            <w:rFonts w:ascii="Cambria Math" w:hAnsi="Cambria Math"/>
                          </w:rPr>
                        </m:ctrlPr>
                      </m:sSupPr>
                      <m:e>
                        <m:d>
                          <m:dPr>
                            <m:sepChr m:val=""/>
                            <m:ctrlPr>
                              <w:rPr>
                                <w:rFonts w:ascii="Cambria Math" w:hAnsi="Cambria Math"/>
                              </w:rPr>
                            </m:ctrlPr>
                          </m:dPr>
                          <m:e>
                            <m:r>
                              <w:rPr>
                                <w:rFonts w:ascii="Cambria Math" w:hAnsi="Cambria Math"/>
                              </w:rPr>
                              <m:t>h</m:t>
                            </m:r>
                          </m:e>
                          <m:e>
                            <m:r>
                              <w:rPr>
                                <w:rFonts w:ascii="Cambria Math" w:hAnsi="Cambria Math"/>
                              </w:rPr>
                              <m:t>/</m:t>
                            </m:r>
                          </m:e>
                          <m:e>
                            <m:r>
                              <w:rPr>
                                <w:rFonts w:ascii="Cambria Math" w:hAnsi="Cambria Math"/>
                              </w:rPr>
                              <m:t>b</m:t>
                            </m:r>
                          </m:e>
                        </m:d>
                      </m:e>
                      <m:sup>
                        <m:f>
                          <m:fPr>
                            <m:type m:val="lin"/>
                            <m:ctrlPr>
                              <w:rPr>
                                <w:rFonts w:ascii="Cambria Math" w:hAnsi="Cambria Math"/>
                              </w:rPr>
                            </m:ctrlPr>
                          </m:fPr>
                          <m:num>
                            <m:r>
                              <w:rPr>
                                <w:rFonts w:ascii="Cambria Math" w:hAnsi="Cambria Math"/>
                              </w:rPr>
                              <m:t>1</m:t>
                            </m:r>
                          </m:num>
                          <m:den>
                            <m:r>
                              <w:rPr>
                                <w:rFonts w:ascii="Cambria Math" w:hAnsi="Cambria Math"/>
                              </w:rPr>
                              <m:t>3</m:t>
                            </m:r>
                          </m:den>
                        </m:f>
                      </m:sup>
                    </m:sSup>
                  </m:den>
                </m:f>
              </m:oMath>
            </m:oMathPara>
          </w:p>
        </w:tc>
        <w:tc>
          <w:tcPr>
            <w:tcW w:w="1247" w:type="dxa"/>
            <w:vAlign w:val="center"/>
          </w:tcPr>
          <w:p w14:paraId="2E457ED4" w14:textId="5B9C351B" w:rsidR="00057E65" w:rsidRPr="001455DC" w:rsidRDefault="00057E65">
            <w:pPr>
              <w:pStyle w:val="a7"/>
              <w:jc w:val="right"/>
            </w:pPr>
            <w:bookmarkStart w:id="481" w:name="_Ref514406074"/>
            <w:r w:rsidRPr="001455DC">
              <w:t>(7.</w:t>
            </w:r>
            <w:r w:rsidR="00570B69" w:rsidRPr="001455DC">
              <w:t>30</w:t>
            </w:r>
            <w:r w:rsidRPr="001455DC">
              <w:t>)</w:t>
            </w:r>
            <w:bookmarkEnd w:id="481"/>
          </w:p>
        </w:tc>
      </w:tr>
    </w:tbl>
    <w:p w14:paraId="3974FF2A" w14:textId="47A8563E" w:rsidR="00057E65" w:rsidRPr="001455DC" w:rsidRDefault="00EC27D2" w:rsidP="008D37B2">
      <w:pPr>
        <w:pStyle w:val="a7"/>
        <w:keepNext/>
        <w:ind w:left="357" w:hanging="357"/>
      </w:pPr>
      <w:r w:rsidRPr="001455DC">
        <w:t>—</w:t>
      </w:r>
      <w:r w:rsidR="004E22C1" w:rsidRPr="001455DC">
        <w:tab/>
        <w:t>transient design situations: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057E65" w:rsidRPr="001455DC" w14:paraId="01573287" w14:textId="77777777" w:rsidTr="00057E65">
        <w:trPr>
          <w:cantSplit/>
        </w:trPr>
        <w:tc>
          <w:tcPr>
            <w:tcW w:w="8505" w:type="dxa"/>
            <w:vAlign w:val="center"/>
          </w:tcPr>
          <w:p w14:paraId="586DB178" w14:textId="211B8E1B" w:rsidR="00057E65" w:rsidRPr="001455DC" w:rsidRDefault="00231E33" w:rsidP="00057E65">
            <w:pPr>
              <w:pStyle w:val="Formula"/>
              <w:jc w:val="left"/>
            </w:pPr>
            <m:oMathPara>
              <m:oMathParaPr>
                <m:jc m:val="left"/>
              </m:oMathParaPr>
              <m:oMath>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0</m:t>
                        </m:r>
                        <m:r>
                          <m:rPr>
                            <m:sty m:val="p"/>
                          </m:rPr>
                          <w:rPr>
                            <w:rFonts w:ascii="Cambria Math" w:hAnsi="Cambria Math"/>
                          </w:rPr>
                          <m:t>t</m:t>
                        </m:r>
                      </m:sub>
                    </m:sSub>
                  </m:num>
                  <m:den>
                    <m:r>
                      <w:rPr>
                        <w:rFonts w:ascii="Cambria Math" w:hAnsi="Cambria Math"/>
                      </w:rPr>
                      <m:t>b</m:t>
                    </m:r>
                  </m:den>
                </m:f>
                <m:r>
                  <w:rPr>
                    <w:rFonts w:ascii="Cambria Math" w:hAnsi="Cambria Math"/>
                  </w:rPr>
                  <m:t>≤</m:t>
                </m:r>
                <m:f>
                  <m:fPr>
                    <m:ctrlPr>
                      <w:rPr>
                        <w:rFonts w:ascii="Cambria Math" w:hAnsi="Cambria Math"/>
                      </w:rPr>
                    </m:ctrlPr>
                  </m:fPr>
                  <m:num>
                    <m:r>
                      <w:rPr>
                        <w:rFonts w:ascii="Cambria Math" w:hAnsi="Cambria Math"/>
                      </w:rPr>
                      <m:t>70</m:t>
                    </m:r>
                  </m:num>
                  <m:den>
                    <m:sSup>
                      <m:sSupPr>
                        <m:ctrlPr>
                          <w:rPr>
                            <w:rFonts w:ascii="Cambria Math" w:hAnsi="Cambria Math"/>
                          </w:rPr>
                        </m:ctrlPr>
                      </m:sSupPr>
                      <m:e>
                        <m:d>
                          <m:dPr>
                            <m:sepChr m:val=""/>
                            <m:ctrlPr>
                              <w:rPr>
                                <w:rFonts w:ascii="Cambria Math" w:hAnsi="Cambria Math"/>
                              </w:rPr>
                            </m:ctrlPr>
                          </m:dPr>
                          <m:e>
                            <m:r>
                              <w:rPr>
                                <w:rFonts w:ascii="Cambria Math" w:hAnsi="Cambria Math"/>
                              </w:rPr>
                              <m:t>h</m:t>
                            </m:r>
                          </m:e>
                          <m:e>
                            <m:r>
                              <w:rPr>
                                <w:rFonts w:ascii="Cambria Math" w:hAnsi="Cambria Math"/>
                              </w:rPr>
                              <m:t>/</m:t>
                            </m:r>
                          </m:e>
                          <m:e>
                            <m:r>
                              <w:rPr>
                                <w:rFonts w:ascii="Cambria Math" w:hAnsi="Cambria Math"/>
                              </w:rPr>
                              <m:t>b</m:t>
                            </m:r>
                          </m:e>
                        </m:d>
                      </m:e>
                      <m:sup>
                        <m:f>
                          <m:fPr>
                            <m:type m:val="lin"/>
                            <m:ctrlPr>
                              <w:rPr>
                                <w:rFonts w:ascii="Cambria Math" w:hAnsi="Cambria Math"/>
                              </w:rPr>
                            </m:ctrlPr>
                          </m:fPr>
                          <m:num>
                            <m:r>
                              <w:rPr>
                                <w:rFonts w:ascii="Cambria Math" w:hAnsi="Cambria Math"/>
                              </w:rPr>
                              <m:t>1</m:t>
                            </m:r>
                          </m:num>
                          <m:den>
                            <m:r>
                              <w:rPr>
                                <w:rFonts w:ascii="Cambria Math" w:hAnsi="Cambria Math"/>
                              </w:rPr>
                              <m:t>3</m:t>
                            </m:r>
                          </m:den>
                        </m:f>
                      </m:sup>
                    </m:sSup>
                  </m:den>
                </m:f>
              </m:oMath>
            </m:oMathPara>
          </w:p>
        </w:tc>
        <w:tc>
          <w:tcPr>
            <w:tcW w:w="1247" w:type="dxa"/>
            <w:vAlign w:val="center"/>
          </w:tcPr>
          <w:p w14:paraId="033E1FD0" w14:textId="12AE3A35" w:rsidR="00057E65" w:rsidRPr="001455DC" w:rsidRDefault="00057E65" w:rsidP="00057E65">
            <w:pPr>
              <w:pStyle w:val="a7"/>
              <w:jc w:val="right"/>
            </w:pPr>
            <w:bookmarkStart w:id="482" w:name="_Ref514406076"/>
            <w:r w:rsidRPr="001455DC">
              <w:t>(7.</w:t>
            </w:r>
            <w:r w:rsidR="00570B69" w:rsidRPr="001455DC">
              <w:t>31</w:t>
            </w:r>
            <w:r w:rsidRPr="001455DC">
              <w:t>)</w:t>
            </w:r>
            <w:bookmarkEnd w:id="482"/>
          </w:p>
        </w:tc>
      </w:tr>
    </w:tbl>
    <w:p w14:paraId="541FF197" w14:textId="77777777" w:rsidR="00057E65" w:rsidRPr="001455DC" w:rsidRDefault="00057E65"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057E65" w:rsidRPr="001455DC" w14:paraId="6D3797AF" w14:textId="77777777" w:rsidTr="00057E65">
        <w:trPr>
          <w:cantSplit/>
        </w:trPr>
        <w:tc>
          <w:tcPr>
            <w:tcW w:w="567" w:type="dxa"/>
          </w:tcPr>
          <w:p w14:paraId="6884181A" w14:textId="561B4064" w:rsidR="00057E65" w:rsidRPr="001455DC" w:rsidRDefault="00057E65" w:rsidP="00057E65">
            <w:pPr>
              <w:pStyle w:val="Tablebody"/>
            </w:pPr>
            <w:r w:rsidRPr="001455DC">
              <w:rPr>
                <w:rStyle w:val="CCMCvariableitalic"/>
                <w:szCs w:val="22"/>
              </w:rPr>
              <w:t>l</w:t>
            </w:r>
            <w:r w:rsidRPr="001455DC">
              <w:rPr>
                <w:rStyle w:val="CCMCvariablesubscript"/>
                <w:szCs w:val="22"/>
              </w:rPr>
              <w:t>0t</w:t>
            </w:r>
          </w:p>
        </w:tc>
        <w:tc>
          <w:tcPr>
            <w:tcW w:w="8845" w:type="dxa"/>
          </w:tcPr>
          <w:p w14:paraId="2E9D8D04" w14:textId="27A2ACAA" w:rsidR="00057E65" w:rsidRPr="001455DC" w:rsidRDefault="00057E65" w:rsidP="00057E65">
            <w:pPr>
              <w:pStyle w:val="Tablebody"/>
            </w:pPr>
            <w:r w:rsidRPr="001455DC">
              <w:rPr>
                <w:szCs w:val="22"/>
              </w:rPr>
              <w:t>is the distance between torsional restraints;</w:t>
            </w:r>
          </w:p>
        </w:tc>
      </w:tr>
      <w:tr w:rsidR="00057E65" w:rsidRPr="001455DC" w14:paraId="71B7E92C" w14:textId="77777777" w:rsidTr="00057E65">
        <w:trPr>
          <w:cantSplit/>
        </w:trPr>
        <w:tc>
          <w:tcPr>
            <w:tcW w:w="567" w:type="dxa"/>
          </w:tcPr>
          <w:p w14:paraId="08C30E7C" w14:textId="6A82469F" w:rsidR="00057E65" w:rsidRPr="001455DC" w:rsidRDefault="00057E65" w:rsidP="00057E65">
            <w:pPr>
              <w:pStyle w:val="Tablebody"/>
            </w:pPr>
            <w:r w:rsidRPr="001455DC">
              <w:rPr>
                <w:rStyle w:val="CCMCvariableitalic"/>
                <w:szCs w:val="22"/>
              </w:rPr>
              <w:t>h</w:t>
            </w:r>
          </w:p>
        </w:tc>
        <w:tc>
          <w:tcPr>
            <w:tcW w:w="8845" w:type="dxa"/>
          </w:tcPr>
          <w:p w14:paraId="3E0F72E7" w14:textId="74EF77B5" w:rsidR="00057E65" w:rsidRPr="001455DC" w:rsidRDefault="00057E65" w:rsidP="00057E65">
            <w:pPr>
              <w:pStyle w:val="Tablebody"/>
            </w:pPr>
            <w:r w:rsidRPr="001455DC">
              <w:rPr>
                <w:szCs w:val="22"/>
              </w:rPr>
              <w:t xml:space="preserve">is the total depth of the beam in central part of </w:t>
            </w:r>
            <w:r w:rsidRPr="001455DC">
              <w:rPr>
                <w:rStyle w:val="CCMCvariableitalic"/>
                <w:szCs w:val="22"/>
              </w:rPr>
              <w:t>l</w:t>
            </w:r>
            <w:r w:rsidRPr="001455DC">
              <w:rPr>
                <w:rStyle w:val="CCMCvariablesubscript"/>
                <w:szCs w:val="22"/>
              </w:rPr>
              <w:t>0t</w:t>
            </w:r>
            <w:r w:rsidRPr="001455DC">
              <w:rPr>
                <w:szCs w:val="22"/>
              </w:rPr>
              <w:t>;</w:t>
            </w:r>
          </w:p>
        </w:tc>
      </w:tr>
      <w:tr w:rsidR="00057E65" w:rsidRPr="001455DC" w14:paraId="28901856" w14:textId="77777777" w:rsidTr="00057E65">
        <w:trPr>
          <w:cantSplit/>
        </w:trPr>
        <w:tc>
          <w:tcPr>
            <w:tcW w:w="567" w:type="dxa"/>
          </w:tcPr>
          <w:p w14:paraId="37793459" w14:textId="6F0ABC8A" w:rsidR="00057E65" w:rsidRPr="001455DC" w:rsidRDefault="00057E65" w:rsidP="00057E65">
            <w:pPr>
              <w:pStyle w:val="Tablebody"/>
            </w:pPr>
            <w:r w:rsidRPr="001455DC">
              <w:rPr>
                <w:rStyle w:val="CCMCvariableitalic"/>
                <w:szCs w:val="22"/>
              </w:rPr>
              <w:t>b</w:t>
            </w:r>
          </w:p>
        </w:tc>
        <w:tc>
          <w:tcPr>
            <w:tcW w:w="8845" w:type="dxa"/>
          </w:tcPr>
          <w:p w14:paraId="3FD9FB72" w14:textId="5407AF81" w:rsidR="00057E65" w:rsidRPr="001455DC" w:rsidRDefault="00057E65" w:rsidP="00057E65">
            <w:pPr>
              <w:pStyle w:val="Tablebody"/>
            </w:pPr>
            <w:r w:rsidRPr="001455DC">
              <w:rPr>
                <w:szCs w:val="22"/>
              </w:rPr>
              <w:t>is the width of the compression flange.</w:t>
            </w:r>
          </w:p>
        </w:tc>
      </w:tr>
    </w:tbl>
    <w:p w14:paraId="547FC045" w14:textId="77777777" w:rsidR="004E22C1" w:rsidRPr="001455DC" w:rsidRDefault="004E22C1" w:rsidP="00057E65">
      <w:pPr>
        <w:pStyle w:val="a7"/>
      </w:pPr>
      <w:r w:rsidRPr="001455DC">
        <w:t>(4)</w:t>
      </w:r>
      <w:r w:rsidRPr="001455DC">
        <w:tab/>
        <w:t>Torsion associated with lateral instability should be considered in the design of members supporting slender beams.</w:t>
      </w:r>
    </w:p>
    <w:p w14:paraId="43FFFC98" w14:textId="7C79347D" w:rsidR="004E22C1" w:rsidRPr="001455DC" w:rsidRDefault="004E22C1" w:rsidP="006D682B">
      <w:pPr>
        <w:pStyle w:val="21"/>
      </w:pPr>
      <w:bookmarkStart w:id="483" w:name="_Toc52819959"/>
      <w:bookmarkStart w:id="484" w:name="_Toc54337353"/>
      <w:bookmarkStart w:id="485" w:name="_Toc54338015"/>
      <w:bookmarkStart w:id="486" w:name="_Toc67565367"/>
      <w:r w:rsidRPr="001455DC">
        <w:t>Prestressed members and structures</w:t>
      </w:r>
      <w:bookmarkEnd w:id="483"/>
      <w:bookmarkEnd w:id="484"/>
      <w:bookmarkEnd w:id="485"/>
      <w:bookmarkEnd w:id="486"/>
    </w:p>
    <w:p w14:paraId="4E8A31C7" w14:textId="6D26AC30" w:rsidR="004E22C1" w:rsidRPr="001455DC" w:rsidRDefault="004E22C1" w:rsidP="00243590">
      <w:pPr>
        <w:pStyle w:val="31"/>
      </w:pPr>
      <w:bookmarkStart w:id="487" w:name="_Toc52819960"/>
      <w:bookmarkStart w:id="488" w:name="_Toc54337354"/>
      <w:bookmarkStart w:id="489" w:name="_Toc54338016"/>
      <w:bookmarkStart w:id="490" w:name="_Toc67565368"/>
      <w:r w:rsidRPr="001455DC">
        <w:t>General</w:t>
      </w:r>
      <w:bookmarkEnd w:id="487"/>
      <w:bookmarkEnd w:id="488"/>
      <w:bookmarkEnd w:id="489"/>
      <w:bookmarkEnd w:id="490"/>
    </w:p>
    <w:p w14:paraId="26A481FA" w14:textId="77777777" w:rsidR="004E22C1" w:rsidRPr="001455DC" w:rsidRDefault="004E22C1" w:rsidP="00380BA8">
      <w:pPr>
        <w:pStyle w:val="a7"/>
      </w:pPr>
      <w:r w:rsidRPr="001455DC">
        <w:t>(1)</w:t>
      </w:r>
      <w:r w:rsidRPr="001455DC">
        <w:tab/>
        <w:t>The effects of prestressing may be considered by one of the following equivalent approaches:</w:t>
      </w:r>
    </w:p>
    <w:p w14:paraId="101B0FC4" w14:textId="14BD68AD" w:rsidR="004E22C1" w:rsidRPr="001455DC" w:rsidRDefault="004E22C1" w:rsidP="00082680">
      <w:pPr>
        <w:pStyle w:val="a0"/>
        <w:numPr>
          <w:ilvl w:val="0"/>
          <w:numId w:val="19"/>
        </w:numPr>
        <w:spacing w:after="240"/>
      </w:pPr>
      <w:r w:rsidRPr="001455DC">
        <w:t>self-equilibrated state of stresses in the concrete and the tendons (approach also known as prestressing considered on the side of resistance). In this case, the internal forces due prestressing are due only to external restraints (statically indetermin</w:t>
      </w:r>
      <w:r w:rsidR="00570B69" w:rsidRPr="001455DC">
        <w:t>at</w:t>
      </w:r>
      <w:r w:rsidRPr="001455DC">
        <w:t>e component of prestressing);</w:t>
      </w:r>
    </w:p>
    <w:p w14:paraId="793891AA" w14:textId="77777777" w:rsidR="004E22C1" w:rsidRPr="001455DC" w:rsidRDefault="004E22C1" w:rsidP="00036609">
      <w:pPr>
        <w:pStyle w:val="Note"/>
        <w:ind w:left="360"/>
      </w:pPr>
      <w:r w:rsidRPr="001455DC">
        <w:t>NOTE</w:t>
      </w:r>
      <w:r w:rsidRPr="001455DC">
        <w:tab/>
        <w:t>In this case the effect of prestressing can be modelled by imposing on the sections of the structure an axial strain equal to the prestressing force divided by the axial stiffness of the section and a curvature equal to the prestressing force times the eccentricity of prestressing with respect to the centroid divided by the flexural stiffness of the section.</w:t>
      </w:r>
    </w:p>
    <w:p w14:paraId="0A392132" w14:textId="56A196D8" w:rsidR="004E22C1" w:rsidRPr="001455DC" w:rsidRDefault="004E22C1" w:rsidP="00082680">
      <w:pPr>
        <w:pStyle w:val="a0"/>
        <w:keepLines/>
        <w:numPr>
          <w:ilvl w:val="0"/>
          <w:numId w:val="19"/>
        </w:numPr>
        <w:spacing w:after="240"/>
      </w:pPr>
      <w:r w:rsidRPr="001455DC">
        <w:t>set of self-equilibrated system of forces (anchorage, deviation and friction forces) exerted by the tendons on the concrete member (approach also known as prestressing considered as external action). In this case, the internal forces include both the statically determined and the statically indetermin</w:t>
      </w:r>
      <w:r w:rsidR="00570B69" w:rsidRPr="001455DC">
        <w:t>ate</w:t>
      </w:r>
      <w:r w:rsidRPr="001455DC">
        <w:t xml:space="preserve"> components of prestressing.</w:t>
      </w:r>
    </w:p>
    <w:p w14:paraId="4CBB2726" w14:textId="397D7F80" w:rsidR="004E22C1" w:rsidRPr="001455DC" w:rsidRDefault="004E22C1" w:rsidP="00380BA8">
      <w:pPr>
        <w:pStyle w:val="a7"/>
      </w:pPr>
      <w:r w:rsidRPr="001455DC">
        <w:t>(2)</w:t>
      </w:r>
      <w:r w:rsidRPr="001455DC">
        <w:tab/>
        <w:t>Since the internal forces resulting from the two approaches are different, the resistance of sections and members shall be verified consistently, according to 7.6.5(1).</w:t>
      </w:r>
    </w:p>
    <w:p w14:paraId="42D9A82F" w14:textId="7FA893CA" w:rsidR="004E22C1" w:rsidRPr="001455DC" w:rsidRDefault="004E22C1" w:rsidP="00243590">
      <w:pPr>
        <w:pStyle w:val="31"/>
      </w:pPr>
      <w:bookmarkStart w:id="491" w:name="_Toc52819961"/>
      <w:bookmarkStart w:id="492" w:name="_Toc54337355"/>
      <w:bookmarkStart w:id="493" w:name="_Toc54338017"/>
      <w:bookmarkStart w:id="494" w:name="_Toc67565369"/>
      <w:r w:rsidRPr="001455DC">
        <w:t>Prestressing force</w:t>
      </w:r>
      <w:bookmarkEnd w:id="491"/>
      <w:bookmarkEnd w:id="492"/>
      <w:bookmarkEnd w:id="493"/>
      <w:bookmarkEnd w:id="494"/>
    </w:p>
    <w:p w14:paraId="3315E293" w14:textId="77777777" w:rsidR="004E22C1" w:rsidRPr="001455DC" w:rsidRDefault="004E22C1" w:rsidP="00380BA8">
      <w:pPr>
        <w:pStyle w:val="a7"/>
      </w:pPr>
      <w:r w:rsidRPr="001455DC">
        <w:t>(1)</w:t>
      </w:r>
      <w:r w:rsidRPr="001455DC">
        <w:tab/>
        <w:t xml:space="preserve">At a given time </w:t>
      </w:r>
      <w:r w:rsidRPr="001455DC">
        <w:rPr>
          <w:rStyle w:val="CCMCvariableitalic"/>
        </w:rPr>
        <w:t>t</w:t>
      </w:r>
      <w:r w:rsidRPr="001455DC">
        <w:t xml:space="preserve"> and distance </w:t>
      </w:r>
      <w:r w:rsidRPr="001455DC">
        <w:rPr>
          <w:rStyle w:val="CCMCvariableitalic"/>
        </w:rPr>
        <w:t>x</w:t>
      </w:r>
      <w:r w:rsidRPr="001455DC">
        <w:t xml:space="preserve"> (or arc length) from the active end of the tendon the mean prestress stress </w:t>
      </w:r>
      <w:r w:rsidRPr="001455DC">
        <w:rPr>
          <w:rStyle w:val="CCMCvariableitalic"/>
        </w:rPr>
        <w:t>σ</w:t>
      </w:r>
      <w:r w:rsidRPr="001455DC">
        <w:rPr>
          <w:rStyle w:val="CCMCvariablesubscript"/>
        </w:rPr>
        <w:t>p,mt</w:t>
      </w:r>
      <w:r w:rsidRPr="001455DC">
        <w:t>(</w:t>
      </w:r>
      <w:r w:rsidRPr="001455DC">
        <w:rPr>
          <w:rStyle w:val="CCMCvariableitalic"/>
        </w:rPr>
        <w:t>x</w:t>
      </w:r>
      <w:r w:rsidRPr="001455DC">
        <w:t xml:space="preserve">) should be taken equal to the maximum stress </w:t>
      </w:r>
      <w:r w:rsidRPr="001455DC">
        <w:rPr>
          <w:rStyle w:val="CCMCvariableitalic"/>
        </w:rPr>
        <w:t>σ</w:t>
      </w:r>
      <w:r w:rsidRPr="001455DC">
        <w:rPr>
          <w:rStyle w:val="CCMCvariablesubscript"/>
        </w:rPr>
        <w:t>p,max</w:t>
      </w:r>
      <w:r w:rsidRPr="001455DC">
        <w:t xml:space="preserve"> imposed at the active end, minus the immediate losses (see 7.6.3) and the time dependent losses (see 7.6.4), using absolute values for all losses.</w:t>
      </w:r>
    </w:p>
    <w:p w14:paraId="69A1F086" w14:textId="77777777" w:rsidR="004E22C1" w:rsidRPr="001455DC" w:rsidRDefault="004E22C1" w:rsidP="00380BA8">
      <w:pPr>
        <w:pStyle w:val="a7"/>
      </w:pPr>
      <w:r w:rsidRPr="001455DC">
        <w:t>(2)</w:t>
      </w:r>
      <w:r w:rsidRPr="001455DC">
        <w:tab/>
        <w:t>Short-term prestressing stresses shall be limited to the values given in Table 7.1.</w:t>
      </w:r>
    </w:p>
    <w:p w14:paraId="04953DB1" w14:textId="77777777" w:rsidR="004E22C1" w:rsidRPr="001455DC" w:rsidRDefault="004E22C1" w:rsidP="00036609">
      <w:pPr>
        <w:pStyle w:val="Tabletitle"/>
        <w:keepLines/>
      </w:pPr>
      <w:bookmarkStart w:id="495" w:name="_Toc54337356"/>
      <w:r w:rsidRPr="001455DC">
        <w:t>Table 7.1 — Limits to short-term prestressing stresses</w:t>
      </w:r>
      <w:bookmarkEnd w:id="495"/>
      <w:r w:rsidRPr="001455DC">
        <w:t xml:space="preserve"> </w:t>
      </w:r>
    </w:p>
    <w:tbl>
      <w:tblPr>
        <w:tblStyle w:val="53"/>
        <w:tblW w:w="9752" w:type="dxa"/>
        <w:tblLayout w:type="fixed"/>
        <w:tblLook w:val="0660" w:firstRow="1" w:lastRow="1" w:firstColumn="0" w:lastColumn="0" w:noHBand="1" w:noVBand="1"/>
      </w:tblPr>
      <w:tblGrid>
        <w:gridCol w:w="7567"/>
        <w:gridCol w:w="2185"/>
      </w:tblGrid>
      <w:tr w:rsidR="004E22C1" w:rsidRPr="001455DC" w14:paraId="2C9010A0" w14:textId="77777777" w:rsidTr="00380BA8">
        <w:trPr>
          <w:cnfStyle w:val="100000000000" w:firstRow="1" w:lastRow="0" w:firstColumn="0" w:lastColumn="0" w:oddVBand="0" w:evenVBand="0" w:oddHBand="0" w:evenHBand="0" w:firstRowFirstColumn="0" w:firstRowLastColumn="0" w:lastRowFirstColumn="0" w:lastRowLastColumn="0"/>
          <w:cantSplit/>
        </w:trPr>
        <w:tc>
          <w:tcPr>
            <w:tcW w:w="6404" w:type="dxa"/>
            <w:noWrap/>
            <w:hideMark/>
          </w:tcPr>
          <w:p w14:paraId="6C6C7030" w14:textId="77777777" w:rsidR="004E22C1" w:rsidRPr="001455DC" w:rsidRDefault="004E22C1" w:rsidP="00036609">
            <w:pPr>
              <w:pStyle w:val="Tableheader"/>
              <w:keepNext/>
              <w:keepLines/>
            </w:pPr>
            <w:r w:rsidRPr="001455DC">
              <w:t>Stress being limited</w:t>
            </w:r>
          </w:p>
        </w:tc>
        <w:tc>
          <w:tcPr>
            <w:tcW w:w="1849" w:type="dxa"/>
            <w:noWrap/>
            <w:hideMark/>
          </w:tcPr>
          <w:p w14:paraId="1718C6D1" w14:textId="77777777" w:rsidR="004E22C1" w:rsidRPr="001455DC" w:rsidRDefault="004E22C1" w:rsidP="00036609">
            <w:pPr>
              <w:pStyle w:val="Tableheader"/>
              <w:keepNext/>
              <w:keepLines/>
            </w:pPr>
            <w:r w:rsidRPr="001455DC">
              <w:t>Stress limit</w:t>
            </w:r>
          </w:p>
        </w:tc>
      </w:tr>
      <w:tr w:rsidR="004E22C1" w:rsidRPr="001455DC" w14:paraId="234CA3B1" w14:textId="77777777" w:rsidTr="00380BA8">
        <w:trPr>
          <w:cantSplit/>
        </w:trPr>
        <w:tc>
          <w:tcPr>
            <w:tcW w:w="6404" w:type="dxa"/>
            <w:vMerge w:val="restart"/>
            <w:noWrap/>
            <w:vAlign w:val="center"/>
            <w:hideMark/>
          </w:tcPr>
          <w:p w14:paraId="2DDA95A7" w14:textId="77777777" w:rsidR="004E22C1" w:rsidRPr="009D3012" w:rsidRDefault="004E22C1" w:rsidP="00380BA8">
            <w:pPr>
              <w:pStyle w:val="Tablebody"/>
              <w:jc w:val="left"/>
              <w:rPr>
                <w:lang w:val="en-US"/>
              </w:rPr>
            </w:pPr>
            <w:r w:rsidRPr="009D3012">
              <w:rPr>
                <w:lang w:val="en-US"/>
              </w:rPr>
              <w:t xml:space="preserve">Maximum stressing stress </w:t>
            </w:r>
            <w:r w:rsidRPr="001455DC">
              <w:rPr>
                <w:rStyle w:val="CCMCvariableitalic"/>
              </w:rPr>
              <w:t>σ</w:t>
            </w:r>
            <w:r w:rsidRPr="009D3012">
              <w:rPr>
                <w:rStyle w:val="CCMCvariablesubscript"/>
                <w:lang w:val="en-US"/>
              </w:rPr>
              <w:t>p,max</w:t>
            </w:r>
          </w:p>
        </w:tc>
        <w:tc>
          <w:tcPr>
            <w:tcW w:w="1849" w:type="dxa"/>
            <w:noWrap/>
            <w:vAlign w:val="center"/>
            <w:hideMark/>
          </w:tcPr>
          <w:p w14:paraId="35AC051B" w14:textId="77777777" w:rsidR="004E22C1" w:rsidRPr="001455DC" w:rsidRDefault="004E22C1" w:rsidP="00380BA8">
            <w:pPr>
              <w:pStyle w:val="Tablebody"/>
              <w:jc w:val="center"/>
            </w:pPr>
            <w:r w:rsidRPr="001455DC">
              <w:rPr>
                <w:rFonts w:ascii="Cambria Math" w:hAnsi="Cambria Math"/>
              </w:rPr>
              <w:t>≤ </w:t>
            </w:r>
            <w:r w:rsidRPr="001455DC">
              <w:t>0,8</w:t>
            </w:r>
            <w:r w:rsidRPr="001455DC">
              <w:rPr>
                <w:rStyle w:val="CCMCvariableitalic"/>
              </w:rPr>
              <w:t>f</w:t>
            </w:r>
            <w:r w:rsidRPr="001455DC">
              <w:rPr>
                <w:rStyle w:val="CCMCvariablesubscript"/>
              </w:rPr>
              <w:t>pk</w:t>
            </w:r>
          </w:p>
        </w:tc>
      </w:tr>
      <w:tr w:rsidR="004E22C1" w:rsidRPr="001455DC" w14:paraId="05C5398C" w14:textId="77777777" w:rsidTr="00380BA8">
        <w:trPr>
          <w:cantSplit/>
        </w:trPr>
        <w:tc>
          <w:tcPr>
            <w:tcW w:w="6404" w:type="dxa"/>
            <w:vMerge/>
            <w:vAlign w:val="center"/>
            <w:hideMark/>
          </w:tcPr>
          <w:p w14:paraId="4E3090B2" w14:textId="77777777" w:rsidR="004E22C1" w:rsidRPr="001455DC" w:rsidRDefault="004E22C1" w:rsidP="00380BA8">
            <w:pPr>
              <w:pStyle w:val="Tablebody"/>
              <w:jc w:val="left"/>
            </w:pPr>
          </w:p>
        </w:tc>
        <w:tc>
          <w:tcPr>
            <w:tcW w:w="1849" w:type="dxa"/>
            <w:noWrap/>
            <w:vAlign w:val="center"/>
            <w:hideMark/>
          </w:tcPr>
          <w:p w14:paraId="382BDCDF" w14:textId="64723092" w:rsidR="004E22C1" w:rsidRPr="001455DC" w:rsidRDefault="00650035" w:rsidP="00380BA8">
            <w:pPr>
              <w:pStyle w:val="Tablebody"/>
              <w:jc w:val="center"/>
            </w:pPr>
            <w:r w:rsidRPr="001455DC">
              <w:rPr>
                <w:rFonts w:ascii="Cambria Math" w:hAnsi="Cambria Math"/>
              </w:rPr>
              <w:t>≤</w:t>
            </w:r>
            <w:r w:rsidR="004E22C1" w:rsidRPr="001455DC">
              <w:t> 0,9</w:t>
            </w:r>
            <w:r w:rsidR="004E22C1" w:rsidRPr="001455DC">
              <w:rPr>
                <w:rStyle w:val="CCMCvariableitalic"/>
              </w:rPr>
              <w:t>f</w:t>
            </w:r>
            <w:r w:rsidR="004E22C1" w:rsidRPr="001455DC">
              <w:rPr>
                <w:rStyle w:val="CCMCvariablesubscript"/>
              </w:rPr>
              <w:t>p0,1k</w:t>
            </w:r>
          </w:p>
        </w:tc>
      </w:tr>
      <w:tr w:rsidR="004E22C1" w:rsidRPr="001455DC" w14:paraId="7B73D773" w14:textId="77777777" w:rsidTr="00380BA8">
        <w:trPr>
          <w:cantSplit/>
        </w:trPr>
        <w:tc>
          <w:tcPr>
            <w:tcW w:w="6404" w:type="dxa"/>
            <w:vAlign w:val="center"/>
            <w:hideMark/>
          </w:tcPr>
          <w:p w14:paraId="7A3D5DDD" w14:textId="2D312EDB" w:rsidR="004E22C1" w:rsidRPr="009D3012" w:rsidRDefault="004E22C1" w:rsidP="00380BA8">
            <w:pPr>
              <w:pStyle w:val="Tablebody"/>
              <w:jc w:val="left"/>
              <w:rPr>
                <w:lang w:val="en-US"/>
              </w:rPr>
            </w:pPr>
            <w:r w:rsidRPr="009D3012">
              <w:rPr>
                <w:lang w:val="en-US"/>
              </w:rPr>
              <w:t>Overstressing</w:t>
            </w:r>
            <w:r w:rsidRPr="009D3012">
              <w:rPr>
                <w:rStyle w:val="CCMCvariablesuperscript"/>
                <w:lang w:val="en-US"/>
              </w:rPr>
              <w:t>a</w:t>
            </w:r>
            <w:r w:rsidRPr="009D3012">
              <w:rPr>
                <w:lang w:val="en-US"/>
              </w:rPr>
              <w:t xml:space="preserve"> (e.g. for the occurrence of unexpectedly high friction)</w:t>
            </w:r>
          </w:p>
        </w:tc>
        <w:tc>
          <w:tcPr>
            <w:tcW w:w="1849" w:type="dxa"/>
            <w:noWrap/>
            <w:vAlign w:val="center"/>
            <w:hideMark/>
          </w:tcPr>
          <w:p w14:paraId="1F46D55B" w14:textId="1A320365" w:rsidR="004E22C1" w:rsidRPr="001455DC" w:rsidRDefault="00650035" w:rsidP="00380BA8">
            <w:pPr>
              <w:pStyle w:val="Tablebody"/>
              <w:jc w:val="center"/>
            </w:pPr>
            <w:r w:rsidRPr="001455DC">
              <w:rPr>
                <w:rFonts w:ascii="Cambria Math" w:hAnsi="Cambria Math"/>
              </w:rPr>
              <w:t>≤</w:t>
            </w:r>
            <w:r w:rsidR="004E22C1" w:rsidRPr="001455DC">
              <w:t> 0,95</w:t>
            </w:r>
            <w:r w:rsidR="004E22C1" w:rsidRPr="001455DC">
              <w:rPr>
                <w:rStyle w:val="CCMCvariableitalic"/>
              </w:rPr>
              <w:t>f</w:t>
            </w:r>
            <w:r w:rsidR="004E22C1" w:rsidRPr="001455DC">
              <w:rPr>
                <w:rStyle w:val="CCMCvariablesubscript"/>
              </w:rPr>
              <w:t>p0,1k</w:t>
            </w:r>
          </w:p>
        </w:tc>
      </w:tr>
      <w:tr w:rsidR="004E22C1" w:rsidRPr="001455DC" w14:paraId="55BB4FA7" w14:textId="77777777" w:rsidTr="00380BA8">
        <w:trPr>
          <w:cantSplit/>
        </w:trPr>
        <w:tc>
          <w:tcPr>
            <w:tcW w:w="6404" w:type="dxa"/>
            <w:vMerge w:val="restart"/>
            <w:vAlign w:val="center"/>
            <w:hideMark/>
          </w:tcPr>
          <w:p w14:paraId="261D5D5A" w14:textId="37896695" w:rsidR="004E22C1" w:rsidRPr="009D3012" w:rsidRDefault="004E22C1" w:rsidP="00380BA8">
            <w:pPr>
              <w:pStyle w:val="Tablebody"/>
              <w:jc w:val="left"/>
              <w:rPr>
                <w:lang w:val="en-US"/>
              </w:rPr>
            </w:pPr>
            <w:r w:rsidRPr="009D3012">
              <w:rPr>
                <w:lang w:val="en-US"/>
              </w:rPr>
              <w:t>Maximum stress after prestress transfer/anchoring</w:t>
            </w:r>
            <w:r w:rsidRPr="009D3012">
              <w:rPr>
                <w:rStyle w:val="CCMCvariablesuperscript"/>
                <w:lang w:val="en-US"/>
              </w:rPr>
              <w:t>b</w:t>
            </w:r>
            <w:r w:rsidR="00380BA8" w:rsidRPr="009D3012">
              <w:rPr>
                <w:lang w:val="en-US"/>
              </w:rPr>
              <w:t xml:space="preserve"> </w:t>
            </w:r>
            <w:r w:rsidRPr="001455DC">
              <w:rPr>
                <w:rStyle w:val="CCMCvariableitalic"/>
              </w:rPr>
              <w:t>σ</w:t>
            </w:r>
            <w:r w:rsidRPr="009D3012">
              <w:rPr>
                <w:rStyle w:val="CCMCvariablesubscript"/>
                <w:lang w:val="en-US"/>
              </w:rPr>
              <w:t>p,m0</w:t>
            </w:r>
            <w:r w:rsidRPr="009D3012">
              <w:rPr>
                <w:iCs/>
                <w:lang w:val="en-US"/>
              </w:rPr>
              <w:t>(</w:t>
            </w:r>
            <w:r w:rsidRPr="009D3012">
              <w:rPr>
                <w:rStyle w:val="CCMCvariableitalic"/>
                <w:lang w:val="en-US"/>
              </w:rPr>
              <w:t>x</w:t>
            </w:r>
            <w:r w:rsidRPr="009D3012">
              <w:rPr>
                <w:iCs/>
                <w:lang w:val="en-US"/>
              </w:rPr>
              <w:t>)</w:t>
            </w:r>
          </w:p>
        </w:tc>
        <w:tc>
          <w:tcPr>
            <w:tcW w:w="1849" w:type="dxa"/>
            <w:noWrap/>
            <w:vAlign w:val="center"/>
            <w:hideMark/>
          </w:tcPr>
          <w:p w14:paraId="4F9301DD" w14:textId="52524691" w:rsidR="004E22C1" w:rsidRPr="001455DC" w:rsidRDefault="00650035" w:rsidP="00380BA8">
            <w:pPr>
              <w:pStyle w:val="Tablebody"/>
              <w:jc w:val="center"/>
            </w:pPr>
            <w:r w:rsidRPr="001455DC">
              <w:rPr>
                <w:rFonts w:ascii="Cambria Math" w:hAnsi="Cambria Math"/>
              </w:rPr>
              <w:t>≤</w:t>
            </w:r>
            <w:r w:rsidR="004E22C1" w:rsidRPr="001455DC">
              <w:t> 0,75</w:t>
            </w:r>
            <w:r w:rsidR="004E22C1" w:rsidRPr="001455DC">
              <w:rPr>
                <w:rStyle w:val="CCMCvariableitalic"/>
              </w:rPr>
              <w:t>f</w:t>
            </w:r>
            <w:r w:rsidR="004E22C1" w:rsidRPr="001455DC">
              <w:rPr>
                <w:rStyle w:val="CCMCvariablesubscript"/>
              </w:rPr>
              <w:t>pk</w:t>
            </w:r>
          </w:p>
        </w:tc>
      </w:tr>
      <w:tr w:rsidR="004E22C1" w:rsidRPr="001455DC" w14:paraId="15F4066D" w14:textId="77777777" w:rsidTr="00380BA8">
        <w:trPr>
          <w:cantSplit/>
        </w:trPr>
        <w:tc>
          <w:tcPr>
            <w:tcW w:w="6404" w:type="dxa"/>
            <w:vMerge/>
            <w:hideMark/>
          </w:tcPr>
          <w:p w14:paraId="0DEBA7BE" w14:textId="77777777" w:rsidR="004E22C1" w:rsidRPr="001455DC" w:rsidRDefault="004E22C1" w:rsidP="00DD2588">
            <w:pPr>
              <w:rPr>
                <w:lang w:eastAsia="es-ES"/>
              </w:rPr>
            </w:pPr>
          </w:p>
        </w:tc>
        <w:tc>
          <w:tcPr>
            <w:tcW w:w="1849" w:type="dxa"/>
            <w:noWrap/>
            <w:vAlign w:val="center"/>
            <w:hideMark/>
          </w:tcPr>
          <w:p w14:paraId="248ED0FB" w14:textId="32991782" w:rsidR="004E22C1" w:rsidRPr="001455DC" w:rsidRDefault="00650035" w:rsidP="00380BA8">
            <w:pPr>
              <w:pStyle w:val="Tablebody"/>
              <w:jc w:val="center"/>
            </w:pPr>
            <w:r w:rsidRPr="001455DC">
              <w:rPr>
                <w:rFonts w:ascii="Cambria Math" w:hAnsi="Cambria Math"/>
              </w:rPr>
              <w:t>≤</w:t>
            </w:r>
            <w:r w:rsidR="004E22C1" w:rsidRPr="001455DC">
              <w:t> 0,85</w:t>
            </w:r>
            <w:r w:rsidR="004E22C1" w:rsidRPr="001455DC">
              <w:rPr>
                <w:rStyle w:val="CCMCvariableitalic"/>
              </w:rPr>
              <w:t>f</w:t>
            </w:r>
            <w:r w:rsidR="004E22C1" w:rsidRPr="001455DC">
              <w:rPr>
                <w:rStyle w:val="CCMCvariablesubscript"/>
              </w:rPr>
              <w:t>p0,1k</w:t>
            </w:r>
          </w:p>
        </w:tc>
      </w:tr>
      <w:tr w:rsidR="004E22C1" w:rsidRPr="001455DC" w14:paraId="60FD8D18" w14:textId="77777777" w:rsidTr="00380BA8">
        <w:trPr>
          <w:cnfStyle w:val="010000000000" w:firstRow="0" w:lastRow="1" w:firstColumn="0" w:lastColumn="0" w:oddVBand="0" w:evenVBand="0" w:oddHBand="0" w:evenHBand="0" w:firstRowFirstColumn="0" w:firstRowLastColumn="0" w:lastRowFirstColumn="0" w:lastRowLastColumn="0"/>
          <w:cantSplit/>
        </w:trPr>
        <w:tc>
          <w:tcPr>
            <w:tcW w:w="8253" w:type="dxa"/>
            <w:gridSpan w:val="2"/>
          </w:tcPr>
          <w:p w14:paraId="4DA743E3" w14:textId="4BDAB48E" w:rsidR="004E22C1" w:rsidRPr="009D3012" w:rsidRDefault="004E22C1" w:rsidP="00380BA8">
            <w:pPr>
              <w:pStyle w:val="Tablefooter"/>
              <w:rPr>
                <w:lang w:val="en-US"/>
              </w:rPr>
            </w:pPr>
            <w:r w:rsidRPr="009D3012">
              <w:rPr>
                <w:rStyle w:val="CCMCvariablesuperscript"/>
                <w:lang w:val="en-US"/>
              </w:rPr>
              <w:t>a</w:t>
            </w:r>
            <w:r w:rsidR="00380BA8" w:rsidRPr="009D3012">
              <w:rPr>
                <w:lang w:val="en-US"/>
              </w:rPr>
              <w:tab/>
            </w:r>
            <w:r w:rsidRPr="009D3012">
              <w:rPr>
                <w:lang w:val="en-US"/>
              </w:rPr>
              <w:t xml:space="preserve">Overstressing is permitted only if the force in the jack can be measured to an accuracy of </w:t>
            </w:r>
            <w:r w:rsidR="00650035" w:rsidRPr="009D3012">
              <w:rPr>
                <w:rFonts w:ascii="Cambria Math" w:hAnsi="Cambria Math"/>
                <w:lang w:val="en-US"/>
              </w:rPr>
              <w:t>±</w:t>
            </w:r>
            <w:r w:rsidRPr="009D3012">
              <w:rPr>
                <w:lang w:val="en-US"/>
              </w:rPr>
              <w:t>5 % of the final value of the prestressing force.</w:t>
            </w:r>
          </w:p>
          <w:p w14:paraId="24E42F76" w14:textId="4EC8B550" w:rsidR="004E22C1" w:rsidRPr="009D3012" w:rsidRDefault="004E22C1" w:rsidP="00380BA8">
            <w:pPr>
              <w:pStyle w:val="Tablefooter"/>
              <w:rPr>
                <w:lang w:val="en-US"/>
              </w:rPr>
            </w:pPr>
            <w:r w:rsidRPr="009D3012">
              <w:rPr>
                <w:rStyle w:val="CCMCvariablesuperscript"/>
                <w:lang w:val="en-US"/>
              </w:rPr>
              <w:t>b</w:t>
            </w:r>
            <w:r w:rsidR="00380BA8" w:rsidRPr="009D3012">
              <w:rPr>
                <w:lang w:val="en-US"/>
              </w:rPr>
              <w:tab/>
            </w:r>
            <w:r w:rsidRPr="009D3012">
              <w:rPr>
                <w:lang w:val="en-US"/>
              </w:rPr>
              <w:t>The stress after transfer/anchoring is determined by subtracting the immediate losses (see 7.6.3) from the stress imposed at the active end.</w:t>
            </w:r>
          </w:p>
        </w:tc>
      </w:tr>
    </w:tbl>
    <w:p w14:paraId="7A1AB9A4" w14:textId="77777777" w:rsidR="004E22C1" w:rsidRPr="001455DC" w:rsidRDefault="004E22C1" w:rsidP="00380BA8">
      <w:pPr>
        <w:pStyle w:val="a7"/>
      </w:pPr>
    </w:p>
    <w:p w14:paraId="6F21E3EA" w14:textId="30D33055" w:rsidR="00380BA8" w:rsidRPr="001455DC" w:rsidRDefault="004E22C1" w:rsidP="00380BA8">
      <w:pPr>
        <w:pStyle w:val="a7"/>
      </w:pPr>
      <w:r w:rsidRPr="001455DC">
        <w:t>(3)</w:t>
      </w:r>
      <w:r w:rsidRPr="001455DC">
        <w:tab/>
        <w:t xml:space="preserve">The mean value of the prestress stress </w:t>
      </w:r>
      <w:r w:rsidRPr="001455DC">
        <w:rPr>
          <w:rStyle w:val="CCMCvariableitalic"/>
        </w:rPr>
        <w:t>σ</w:t>
      </w:r>
      <w:r w:rsidRPr="001455DC">
        <w:rPr>
          <w:rStyle w:val="CCMCvariablesubscript"/>
        </w:rPr>
        <w:t>p,mt</w:t>
      </w:r>
      <w:r w:rsidRPr="001455DC">
        <w:t>(</w:t>
      </w:r>
      <w:r w:rsidRPr="001455DC">
        <w:rPr>
          <w:rStyle w:val="CCMCvariableitalic"/>
        </w:rPr>
        <w:t>x</w:t>
      </w:r>
      <w:r w:rsidRPr="001455DC">
        <w:t xml:space="preserve">) at the time </w:t>
      </w:r>
      <w:r w:rsidRPr="001455DC">
        <w:rPr>
          <w:rStyle w:val="CCMCvariableitalic"/>
        </w:rPr>
        <w:t>t</w:t>
      </w:r>
      <w:r w:rsidRPr="001455DC">
        <w:t> </w:t>
      </w:r>
      <w:r w:rsidR="00650035" w:rsidRPr="001455DC">
        <w:rPr>
          <w:rFonts w:ascii="Cambria Math" w:hAnsi="Cambria Math"/>
        </w:rPr>
        <w:t>&gt;</w:t>
      </w:r>
      <w:r w:rsidR="00073FC6" w:rsidRPr="001455DC">
        <w:t> </w:t>
      </w:r>
      <w:r w:rsidRPr="001455DC">
        <w:rPr>
          <w:rStyle w:val="CCMCvariableitalic"/>
        </w:rPr>
        <w:t>t</w:t>
      </w:r>
      <w:r w:rsidRPr="001455DC">
        <w:rPr>
          <w:rStyle w:val="CCMCvariablesubscript"/>
        </w:rPr>
        <w:t>0</w:t>
      </w:r>
      <w:r w:rsidRPr="001455DC">
        <w:t xml:space="preserve"> should be determined taking into account the prestressing method. In addition to the immediate losses Δ</w:t>
      </w:r>
      <w:r w:rsidRPr="001455DC">
        <w:rPr>
          <w:rStyle w:val="CCMCvariableitalic"/>
        </w:rPr>
        <w:t>σ</w:t>
      </w:r>
      <w:r w:rsidRPr="001455DC">
        <w:rPr>
          <w:rStyle w:val="CCMCvariablesubscript"/>
        </w:rPr>
        <w:t>p,i</w:t>
      </w:r>
      <w:r w:rsidRPr="001455DC">
        <w:t xml:space="preserve"> given in 7.6.3 time-dependent losses of prestress Δ</w:t>
      </w:r>
      <w:r w:rsidRPr="001455DC">
        <w:rPr>
          <w:rStyle w:val="CCMCvariableitalic"/>
        </w:rPr>
        <w:t>σ</w:t>
      </w:r>
      <w:r w:rsidRPr="001455DC">
        <w:rPr>
          <w:rStyle w:val="CCMCvariablesubscript"/>
        </w:rPr>
        <w:t>p,c</w:t>
      </w:r>
      <w:r w:rsidR="00EC27D2" w:rsidRPr="001455DC">
        <w:rPr>
          <w:rStyle w:val="CCMCvariablesubscript"/>
          <w:rFonts w:ascii="Cambria Math" w:hAnsi="Cambria Math"/>
        </w:rPr>
        <w:t>+</w:t>
      </w:r>
      <w:r w:rsidRPr="001455DC">
        <w:rPr>
          <w:rStyle w:val="CCMCvariablesubscript"/>
        </w:rPr>
        <w:t>s</w:t>
      </w:r>
      <w:r w:rsidR="00EC27D2" w:rsidRPr="001455DC">
        <w:rPr>
          <w:rStyle w:val="CCMCvariablesubscript"/>
          <w:rFonts w:ascii="Cambria Math" w:hAnsi="Cambria Math"/>
        </w:rPr>
        <w:t>+</w:t>
      </w:r>
      <w:r w:rsidRPr="001455DC">
        <w:rPr>
          <w:rStyle w:val="CCMCvariablesubscript"/>
        </w:rPr>
        <w:t>r</w:t>
      </w:r>
      <w:r w:rsidRPr="001455DC">
        <w:t>(</w:t>
      </w:r>
      <w:r w:rsidRPr="001455DC">
        <w:rPr>
          <w:rStyle w:val="CCMCvariableitalic"/>
        </w:rPr>
        <w:t>x</w:t>
      </w:r>
      <w:r w:rsidRPr="001455DC">
        <w:t>) given in 7.6.4</w:t>
      </w:r>
      <w:r w:rsidRPr="001455DC">
        <w:rPr>
          <w:szCs w:val="22"/>
        </w:rPr>
        <w:t xml:space="preserve"> </w:t>
      </w:r>
      <w:r w:rsidRPr="001455DC">
        <w:t>as a result of creep and shrinkage of the concrete and long-term relaxation of the prestressing steel should be considered:</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380BA8" w:rsidRPr="001455DC" w14:paraId="1B5E813F" w14:textId="77777777" w:rsidTr="00380BA8">
        <w:trPr>
          <w:cantSplit/>
        </w:trPr>
        <w:tc>
          <w:tcPr>
            <w:tcW w:w="8505" w:type="dxa"/>
            <w:vAlign w:val="center"/>
          </w:tcPr>
          <w:p w14:paraId="02317EB3" w14:textId="6679D950" w:rsidR="00380BA8" w:rsidRPr="001455DC" w:rsidRDefault="00380BA8" w:rsidP="00380BA8">
            <w:pPr>
              <w:pStyle w:val="Formula"/>
              <w:jc w:val="left"/>
            </w:pPr>
            <w:r w:rsidRPr="001455DC">
              <w:rPr>
                <w:rStyle w:val="CCMCvariableitalic"/>
              </w:rPr>
              <w:t>σ</w:t>
            </w:r>
            <w:r w:rsidRPr="001455DC">
              <w:rPr>
                <w:rStyle w:val="CCMCvariablesubscript"/>
              </w:rPr>
              <w:t>p,mt</w:t>
            </w:r>
            <w:r w:rsidRPr="001455DC">
              <w:t xml:space="preserve"> (</w:t>
            </w:r>
            <w:r w:rsidRPr="001455DC">
              <w:rPr>
                <w:rStyle w:val="CCMCvariableitalic"/>
              </w:rPr>
              <w:t>x</w:t>
            </w:r>
            <w:r w:rsidRPr="001455DC">
              <w:t>) </w:t>
            </w:r>
            <w:r w:rsidR="00EC27D2" w:rsidRPr="001455DC">
              <w:rPr>
                <w:rFonts w:ascii="Cambria Math" w:hAnsi="Cambria Math"/>
              </w:rPr>
              <w:t>=</w:t>
            </w:r>
            <w:r w:rsidRPr="001455DC">
              <w:t> </w:t>
            </w:r>
            <w:r w:rsidRPr="001455DC">
              <w:rPr>
                <w:rStyle w:val="CCMCvariableitalic"/>
              </w:rPr>
              <w:t>σ</w:t>
            </w:r>
            <w:r w:rsidRPr="001455DC">
              <w:rPr>
                <w:rStyle w:val="CCMCvariablesubscript"/>
              </w:rPr>
              <w:t>p,m0</w:t>
            </w:r>
            <w:r w:rsidRPr="001455DC">
              <w:t>(</w:t>
            </w:r>
            <w:r w:rsidRPr="001455DC">
              <w:rPr>
                <w:rStyle w:val="CCMCvariableitalic"/>
              </w:rPr>
              <w:t>x</w:t>
            </w:r>
            <w:r w:rsidRPr="001455DC">
              <w:t>) </w:t>
            </w:r>
            <w:r w:rsidR="00EC27D2" w:rsidRPr="001455DC">
              <w:rPr>
                <w:rFonts w:ascii="Cambria Math" w:hAnsi="Cambria Math"/>
              </w:rPr>
              <w:t>−</w:t>
            </w:r>
            <w:r w:rsidRPr="001455DC">
              <w:t> Δ</w:t>
            </w:r>
            <w:r w:rsidRPr="001455DC">
              <w:rPr>
                <w:rStyle w:val="CCMCvariableitalic"/>
              </w:rPr>
              <w:t>σ</w:t>
            </w:r>
            <w:r w:rsidRPr="001455DC">
              <w:rPr>
                <w:rStyle w:val="CCMCvariablesubscript"/>
              </w:rPr>
              <w:t>p,c</w:t>
            </w:r>
            <w:r w:rsidR="00EC27D2" w:rsidRPr="001455DC">
              <w:rPr>
                <w:rStyle w:val="CCMCvariablesubscript"/>
                <w:rFonts w:ascii="Cambria Math" w:hAnsi="Cambria Math"/>
              </w:rPr>
              <w:t>+</w:t>
            </w:r>
            <w:r w:rsidRPr="001455DC">
              <w:rPr>
                <w:rStyle w:val="CCMCvariablesubscript"/>
              </w:rPr>
              <w:t>s</w:t>
            </w:r>
            <w:r w:rsidR="00EC27D2" w:rsidRPr="001455DC">
              <w:rPr>
                <w:rStyle w:val="CCMCvariablesubscript"/>
                <w:rFonts w:ascii="Cambria Math" w:hAnsi="Cambria Math"/>
              </w:rPr>
              <w:t>+</w:t>
            </w:r>
            <w:r w:rsidRPr="001455DC">
              <w:rPr>
                <w:rStyle w:val="CCMCvariablesubscript"/>
              </w:rPr>
              <w:t>r</w:t>
            </w:r>
            <w:r w:rsidRPr="001455DC">
              <w:t>(</w:t>
            </w:r>
            <w:r w:rsidRPr="001455DC">
              <w:rPr>
                <w:rStyle w:val="CCMCvariableitalic"/>
              </w:rPr>
              <w:t>x</w:t>
            </w:r>
            <w:r w:rsidRPr="001455DC">
              <w:t>)</w:t>
            </w:r>
          </w:p>
        </w:tc>
        <w:tc>
          <w:tcPr>
            <w:tcW w:w="1247" w:type="dxa"/>
            <w:vAlign w:val="center"/>
          </w:tcPr>
          <w:p w14:paraId="3FD64D41" w14:textId="1024BFD4" w:rsidR="00380BA8" w:rsidRPr="001455DC" w:rsidRDefault="00380BA8">
            <w:pPr>
              <w:pStyle w:val="a7"/>
              <w:jc w:val="right"/>
            </w:pPr>
            <w:r w:rsidRPr="001455DC">
              <w:t>(7.</w:t>
            </w:r>
            <w:r w:rsidR="00842E57" w:rsidRPr="001455DC">
              <w:t>32</w:t>
            </w:r>
            <w:r w:rsidRPr="001455DC">
              <w:t>)</w:t>
            </w:r>
          </w:p>
        </w:tc>
      </w:tr>
    </w:tbl>
    <w:p w14:paraId="15A7F355" w14:textId="77A0D994" w:rsidR="004E22C1" w:rsidRPr="001455DC" w:rsidRDefault="004E22C1" w:rsidP="00243590">
      <w:pPr>
        <w:pStyle w:val="31"/>
      </w:pPr>
      <w:bookmarkStart w:id="496" w:name="_Ref515292904"/>
      <w:bookmarkStart w:id="497" w:name="_Toc52819962"/>
      <w:bookmarkStart w:id="498" w:name="_Ref480911479"/>
      <w:bookmarkStart w:id="499" w:name="_Toc54337357"/>
      <w:bookmarkStart w:id="500" w:name="_Toc54338018"/>
      <w:bookmarkStart w:id="501" w:name="_Toc67565370"/>
      <w:r w:rsidRPr="001455DC">
        <w:t>Immediate losses of prestress</w:t>
      </w:r>
      <w:bookmarkEnd w:id="496"/>
      <w:bookmarkEnd w:id="497"/>
      <w:bookmarkEnd w:id="498"/>
      <w:bookmarkEnd w:id="499"/>
      <w:bookmarkEnd w:id="500"/>
      <w:bookmarkEnd w:id="501"/>
    </w:p>
    <w:p w14:paraId="672EC477" w14:textId="70C7FA33" w:rsidR="004E22C1" w:rsidRPr="001455DC" w:rsidRDefault="004E22C1" w:rsidP="00243590">
      <w:pPr>
        <w:pStyle w:val="41"/>
      </w:pPr>
      <w:bookmarkStart w:id="502" w:name="_Toc52819963"/>
      <w:bookmarkStart w:id="503" w:name="_Toc54338019"/>
      <w:r w:rsidRPr="001455DC">
        <w:t>General</w:t>
      </w:r>
      <w:bookmarkEnd w:id="502"/>
      <w:bookmarkEnd w:id="503"/>
    </w:p>
    <w:p w14:paraId="0833F91A" w14:textId="77777777" w:rsidR="004E22C1" w:rsidRPr="001455DC" w:rsidRDefault="004E22C1" w:rsidP="00380BA8">
      <w:pPr>
        <w:pStyle w:val="a7"/>
      </w:pPr>
      <w:r w:rsidRPr="001455DC">
        <w:t>(1)</w:t>
      </w:r>
      <w:r w:rsidRPr="001455DC">
        <w:tab/>
        <w:t>When determining the immediate losses Δ</w:t>
      </w:r>
      <w:r w:rsidRPr="001455DC">
        <w:rPr>
          <w:rStyle w:val="CCMCvariableitalic"/>
        </w:rPr>
        <w:t>σ</w:t>
      </w:r>
      <w:r w:rsidRPr="001455DC">
        <w:rPr>
          <w:rStyle w:val="CCMCvariablesubscript"/>
        </w:rPr>
        <w:t>p,i</w:t>
      </w:r>
      <w:r w:rsidRPr="001455DC">
        <w:t>(</w:t>
      </w:r>
      <w:r w:rsidRPr="001455DC">
        <w:rPr>
          <w:rStyle w:val="CCMCvariableitalic"/>
        </w:rPr>
        <w:t>x</w:t>
      </w:r>
      <w:r w:rsidRPr="001455DC">
        <w:t>) the following influences should be considered for pre-tensioning and post-tensioning where relevant:</w:t>
      </w:r>
    </w:p>
    <w:p w14:paraId="4CE81530" w14:textId="35EF5434" w:rsidR="004E22C1" w:rsidRPr="001455DC" w:rsidRDefault="004E22C1" w:rsidP="00380BA8">
      <w:pPr>
        <w:pStyle w:val="a0"/>
      </w:pPr>
      <w:r w:rsidRPr="001455DC">
        <w:t>during the stressing process: losses due to friction between the prestressing steel and duct or deviation devices Δ</w:t>
      </w:r>
      <w:r w:rsidRPr="001455DC">
        <w:rPr>
          <w:rStyle w:val="CCMCvariableitalic"/>
        </w:rPr>
        <w:t>σ</w:t>
      </w:r>
      <w:r w:rsidRPr="001455DC">
        <w:rPr>
          <w:rStyle w:val="CCMCvariablesubscript"/>
        </w:rPr>
        <w:t>p,μ</w:t>
      </w:r>
      <w:r w:rsidRPr="001455DC">
        <w:t>(</w:t>
      </w:r>
      <w:r w:rsidRPr="001455DC">
        <w:rPr>
          <w:rStyle w:val="CCMCvariableitalic"/>
        </w:rPr>
        <w:t>x</w:t>
      </w:r>
      <w:r w:rsidRPr="001455DC">
        <w:t>), see 7.6.3.2,</w:t>
      </w:r>
    </w:p>
    <w:p w14:paraId="7E81BBDC" w14:textId="352D1F4B" w:rsidR="004E22C1" w:rsidRPr="001455DC" w:rsidRDefault="004E22C1" w:rsidP="00380BA8">
      <w:pPr>
        <w:pStyle w:val="a0"/>
      </w:pPr>
      <w:r w:rsidRPr="001455DC">
        <w:t>during the stressing process: losses due to anchorage seating (e.g. wedge draw-in) Δ</w:t>
      </w:r>
      <w:r w:rsidRPr="001455DC">
        <w:rPr>
          <w:rStyle w:val="CCMCvariableitalic"/>
        </w:rPr>
        <w:t>σ</w:t>
      </w:r>
      <w:r w:rsidRPr="001455DC">
        <w:rPr>
          <w:rStyle w:val="CCMCvariablesubscript"/>
        </w:rPr>
        <w:t>p,sl</w:t>
      </w:r>
      <w:r w:rsidRPr="001455DC">
        <w:t>, see 7.6.3.3,</w:t>
      </w:r>
    </w:p>
    <w:p w14:paraId="5210D690" w14:textId="338E5D93" w:rsidR="004E22C1" w:rsidRPr="001455DC" w:rsidRDefault="004E22C1" w:rsidP="00380BA8">
      <w:pPr>
        <w:pStyle w:val="a0"/>
      </w:pPr>
      <w:r w:rsidRPr="001455DC">
        <w:t>at the transfer of prestress to concrete: losses due to instantaneous deformation of concrete Δ</w:t>
      </w:r>
      <w:r w:rsidRPr="001455DC">
        <w:rPr>
          <w:rStyle w:val="CCMCvariableitalic"/>
        </w:rPr>
        <w:t>σ</w:t>
      </w:r>
      <w:r w:rsidRPr="001455DC">
        <w:rPr>
          <w:rStyle w:val="CCMCvariablesubscript"/>
        </w:rPr>
        <w:t>p,el</w:t>
      </w:r>
      <w:r w:rsidRPr="001455DC">
        <w:t>, see 7.6.3.4,</w:t>
      </w:r>
    </w:p>
    <w:p w14:paraId="6B044507" w14:textId="6CDFD5F2" w:rsidR="004E22C1" w:rsidRPr="001455DC" w:rsidRDefault="004E22C1" w:rsidP="00380BA8">
      <w:pPr>
        <w:pStyle w:val="a0"/>
      </w:pPr>
      <w:r w:rsidRPr="001455DC">
        <w:t>losses due to short-term relaxation of the pretensioning tendons during the period which elapses between the tensioning of the tendons and prestressing of the concrete Δ</w:t>
      </w:r>
      <w:r w:rsidRPr="001455DC">
        <w:rPr>
          <w:rStyle w:val="CCMCvariableitalic"/>
        </w:rPr>
        <w:t>σ</w:t>
      </w:r>
      <w:r w:rsidRPr="001455DC">
        <w:rPr>
          <w:rStyle w:val="CCMCvariablesubscript"/>
        </w:rPr>
        <w:t>pr</w:t>
      </w:r>
      <w:r w:rsidRPr="001455DC">
        <w:t xml:space="preserve"> (where relevant), see B.</w:t>
      </w:r>
      <w:r w:rsidR="00CB451A" w:rsidRPr="001455DC">
        <w:t>9</w:t>
      </w:r>
      <w:r w:rsidRPr="001455DC">
        <w:t xml:space="preserve">. </w:t>
      </w:r>
      <w:r w:rsidRPr="001455DC">
        <w:rPr>
          <w:szCs w:val="19"/>
        </w:rPr>
        <w:t>In case of heat curing, losses due to shrinkage and relaxation are modified and should be assessed accordingly; direct thermal effect should also be considered (see 13.4.2).</w:t>
      </w:r>
    </w:p>
    <w:p w14:paraId="1DD8FAE8" w14:textId="2C880CBE" w:rsidR="004E22C1" w:rsidRPr="001455DC" w:rsidRDefault="004E22C1" w:rsidP="00243590">
      <w:pPr>
        <w:pStyle w:val="41"/>
      </w:pPr>
      <w:bookmarkStart w:id="504" w:name="_Toc52819964"/>
      <w:bookmarkStart w:id="505" w:name="_Toc54338020"/>
      <w:r w:rsidRPr="001455DC">
        <w:t>Losses due to friction</w:t>
      </w:r>
      <w:bookmarkEnd w:id="504"/>
      <w:bookmarkEnd w:id="505"/>
    </w:p>
    <w:p w14:paraId="7C64F656" w14:textId="77777777" w:rsidR="00380BA8" w:rsidRPr="001455DC" w:rsidRDefault="004E22C1" w:rsidP="00380BA8">
      <w:pPr>
        <w:pStyle w:val="a7"/>
      </w:pPr>
      <w:r w:rsidRPr="001455DC">
        <w:t>(1)</w:t>
      </w:r>
      <w:r w:rsidRPr="001455DC">
        <w:tab/>
        <w:t>The losses due to friction Δ</w:t>
      </w:r>
      <w:r w:rsidRPr="001455DC">
        <w:rPr>
          <w:rStyle w:val="CCMCvariableitalic"/>
        </w:rPr>
        <w:t>σ</w:t>
      </w:r>
      <w:r w:rsidRPr="001455DC">
        <w:rPr>
          <w:rStyle w:val="CCMCvariablesubscript"/>
        </w:rPr>
        <w:t>p,μ</w:t>
      </w:r>
      <w:r w:rsidRPr="001455DC">
        <w:t xml:space="preserve"> (</w:t>
      </w:r>
      <w:r w:rsidRPr="001455DC">
        <w:rPr>
          <w:rStyle w:val="CCMCvariableitalic"/>
        </w:rPr>
        <w:t>x</w:t>
      </w:r>
      <w:r w:rsidRPr="001455DC">
        <w:t>) in prestressing tendons should be estimated from:</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380BA8" w:rsidRPr="001455DC" w14:paraId="0F6C3C1A" w14:textId="77777777" w:rsidTr="00380BA8">
        <w:trPr>
          <w:cantSplit/>
        </w:trPr>
        <w:tc>
          <w:tcPr>
            <w:tcW w:w="8505" w:type="dxa"/>
            <w:vAlign w:val="center"/>
          </w:tcPr>
          <w:p w14:paraId="484B2D97" w14:textId="621F8C03" w:rsidR="00380BA8" w:rsidRPr="001455DC" w:rsidRDefault="008A48D7">
            <w:pPr>
              <w:pStyle w:val="Formula"/>
              <w:jc w:val="left"/>
            </w:pPr>
            <m:oMathPara>
              <m:oMathParaPr>
                <m:jc m:val="left"/>
              </m:oMathParaPr>
              <m:oMath>
                <m:r>
                  <w:rPr>
                    <w:rFonts w:ascii="Cambria Math" w:hAnsi="Cambria Math"/>
                  </w:rPr>
                  <m:t>Δ</m:t>
                </m:r>
                <m:sSub>
                  <m:sSubPr>
                    <m:ctrlPr>
                      <w:rPr>
                        <w:rFonts w:ascii="Cambria Math" w:hAnsi="Cambria Math"/>
                      </w:rPr>
                    </m:ctrlPr>
                  </m:sSubPr>
                  <m:e>
                    <m:r>
                      <w:rPr>
                        <w:rFonts w:ascii="Cambria Math" w:hAnsi="Cambria Math"/>
                      </w:rPr>
                      <m:t>σ</m:t>
                    </m:r>
                  </m:e>
                  <m:sub>
                    <m:r>
                      <m:rPr>
                        <m:sty m:val="p"/>
                      </m:rPr>
                      <w:rPr>
                        <w:rFonts w:ascii="Cambria Math" w:hAnsi="Cambria Math"/>
                      </w:rPr>
                      <m:t>p,μ</m:t>
                    </m:r>
                  </m:sub>
                </m:sSub>
                <m:r>
                  <w:rPr>
                    <w:rFonts w:ascii="Cambria Math" w:hAnsi="Cambria Math"/>
                  </w:rPr>
                  <m:t>=</m:t>
                </m:r>
                <m:sSub>
                  <m:sSubPr>
                    <m:ctrlPr>
                      <w:rPr>
                        <w:rFonts w:ascii="Cambria Math" w:hAnsi="Cambria Math"/>
                      </w:rPr>
                    </m:ctrlPr>
                  </m:sSubPr>
                  <m:e>
                    <m:r>
                      <w:rPr>
                        <w:rFonts w:ascii="Cambria Math" w:hAnsi="Cambria Math"/>
                      </w:rPr>
                      <m:t>σ</m:t>
                    </m:r>
                  </m:e>
                  <m:sub>
                    <m:r>
                      <m:rPr>
                        <m:sty m:val="p"/>
                      </m:rPr>
                      <w:rPr>
                        <w:rFonts w:ascii="Cambria Math" w:hAnsi="Cambria Math"/>
                      </w:rPr>
                      <m:t>p,max</m:t>
                    </m:r>
                  </m:sub>
                </m:sSub>
                <m:d>
                  <m:dPr>
                    <m:begChr m:val="["/>
                    <m:endChr m:val="]"/>
                    <m:ctrlPr>
                      <w:rPr>
                        <w:rFonts w:ascii="Cambria Math" w:hAnsi="Cambria Math"/>
                      </w:rPr>
                    </m:ctrlPr>
                  </m:dPr>
                  <m:e>
                    <m:sSup>
                      <m:sSupPr>
                        <m:ctrlPr>
                          <w:rPr>
                            <w:rFonts w:ascii="Cambria Math" w:hAnsi="Cambria Math"/>
                          </w:rPr>
                        </m:ctrlPr>
                      </m:sSupPr>
                      <m:e>
                        <m:r>
                          <w:rPr>
                            <w:rFonts w:ascii="Cambria Math"/>
                          </w:rPr>
                          <m:t>1</m:t>
                        </m:r>
                        <m:r>
                          <w:rPr>
                            <w:rFonts w:ascii="Cambria Math"/>
                          </w:rPr>
                          <m:t>-</m:t>
                        </m:r>
                        <m:r>
                          <w:rPr>
                            <w:rFonts w:ascii="Cambria Math" w:hAnsi="Cambria Math"/>
                          </w:rPr>
                          <m:t>exp</m:t>
                        </m:r>
                        <m:d>
                          <m:dPr>
                            <m:ctrlPr>
                              <w:rPr>
                                <w:rFonts w:ascii="Cambria Math" w:hAnsi="Cambria Math"/>
                                <w:i/>
                              </w:rPr>
                            </m:ctrlPr>
                          </m:dPr>
                          <m:e>
                            <m:r>
                              <w:rPr>
                                <w:rFonts w:ascii="Cambria Math" w:hAnsi="Cambria Math"/>
                              </w:rPr>
                              <m:t>-μ</m:t>
                            </m:r>
                            <m:d>
                              <m:dPr>
                                <m:ctrlPr>
                                  <w:rPr>
                                    <w:rFonts w:ascii="Cambria Math" w:hAnsi="Cambria Math"/>
                                  </w:rPr>
                                </m:ctrlPr>
                              </m:dPr>
                              <m:e>
                                <m:sSub>
                                  <m:sSubPr>
                                    <m:ctrlPr>
                                      <w:rPr>
                                        <w:rFonts w:ascii="Cambria Math" w:hAnsi="Cambria Math"/>
                                      </w:rPr>
                                    </m:ctrlPr>
                                  </m:sSubPr>
                                  <m:e>
                                    <m:r>
                                      <w:rPr>
                                        <w:rFonts w:ascii="Cambria Math" w:hAnsi="Cambria Math"/>
                                      </w:rPr>
                                      <m:t>α</m:t>
                                    </m:r>
                                  </m:e>
                                  <m:sub>
                                    <m:r>
                                      <m:rPr>
                                        <m:sty m:val="p"/>
                                      </m:rPr>
                                      <w:rPr>
                                        <w:rFonts w:ascii="Cambria Math" w:hAnsi="Cambria Math"/>
                                      </w:rPr>
                                      <m:t>μ</m:t>
                                    </m:r>
                                  </m:sub>
                                </m:sSub>
                                <m: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μ</m:t>
                                    </m:r>
                                  </m:sub>
                                </m:sSub>
                                <m:r>
                                  <w:rPr>
                                    <w:rFonts w:ascii="Cambria Math" w:hAnsi="Cambria Math"/>
                                  </w:rPr>
                                  <m:t>x</m:t>
                                </m:r>
                              </m:e>
                            </m:d>
                          </m:e>
                        </m:d>
                      </m:e>
                      <m:sup/>
                    </m:sSup>
                  </m:e>
                </m:d>
              </m:oMath>
            </m:oMathPara>
          </w:p>
        </w:tc>
        <w:tc>
          <w:tcPr>
            <w:tcW w:w="1247" w:type="dxa"/>
            <w:vAlign w:val="center"/>
          </w:tcPr>
          <w:p w14:paraId="0720C683" w14:textId="6F4B4CE4" w:rsidR="00380BA8" w:rsidRPr="001455DC" w:rsidRDefault="00380BA8">
            <w:pPr>
              <w:pStyle w:val="a7"/>
              <w:jc w:val="right"/>
            </w:pPr>
            <w:r w:rsidRPr="001455DC">
              <w:t>(7.</w:t>
            </w:r>
            <w:r w:rsidR="00842E57" w:rsidRPr="001455DC">
              <w:t>33</w:t>
            </w:r>
            <w:r w:rsidRPr="001455DC">
              <w:t>)</w:t>
            </w:r>
          </w:p>
        </w:tc>
      </w:tr>
    </w:tbl>
    <w:p w14:paraId="6319D6B4" w14:textId="77777777" w:rsidR="00380BA8" w:rsidRPr="001455DC" w:rsidRDefault="00380BA8"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380BA8" w:rsidRPr="001455DC" w14:paraId="4D017376" w14:textId="77777777" w:rsidTr="00380BA8">
        <w:trPr>
          <w:cantSplit/>
        </w:trPr>
        <w:tc>
          <w:tcPr>
            <w:tcW w:w="567" w:type="dxa"/>
          </w:tcPr>
          <w:p w14:paraId="714EB09F" w14:textId="244C7493" w:rsidR="00380BA8" w:rsidRPr="001455DC" w:rsidRDefault="00380BA8" w:rsidP="00380BA8">
            <w:pPr>
              <w:pStyle w:val="Tablebody"/>
            </w:pPr>
            <w:r w:rsidRPr="001455DC">
              <w:rPr>
                <w:rStyle w:val="CCMCvariableitalic"/>
              </w:rPr>
              <w:t>α</w:t>
            </w:r>
            <w:r w:rsidRPr="001455DC">
              <w:rPr>
                <w:rStyle w:val="CCMCvariablesubscript"/>
              </w:rPr>
              <w:t>μ</w:t>
            </w:r>
          </w:p>
        </w:tc>
        <w:tc>
          <w:tcPr>
            <w:tcW w:w="8845" w:type="dxa"/>
          </w:tcPr>
          <w:p w14:paraId="72DABFEA" w14:textId="14EFB561" w:rsidR="00380BA8" w:rsidRPr="001455DC" w:rsidRDefault="00380BA8" w:rsidP="00380BA8">
            <w:pPr>
              <w:pStyle w:val="Tablebody"/>
            </w:pPr>
            <w:r w:rsidRPr="001455DC">
              <w:t xml:space="preserve">is the sum of the absolute values of angular deviations over a distance </w:t>
            </w:r>
            <w:r w:rsidRPr="001455DC">
              <w:rPr>
                <w:rStyle w:val="CCMCvariableitalic"/>
              </w:rPr>
              <w:t>x</w:t>
            </w:r>
            <w:r w:rsidRPr="001455DC">
              <w:t>;</w:t>
            </w:r>
          </w:p>
        </w:tc>
      </w:tr>
      <w:tr w:rsidR="00380BA8" w:rsidRPr="001455DC" w14:paraId="17CBF885" w14:textId="77777777" w:rsidTr="00380BA8">
        <w:trPr>
          <w:cantSplit/>
        </w:trPr>
        <w:tc>
          <w:tcPr>
            <w:tcW w:w="567" w:type="dxa"/>
          </w:tcPr>
          <w:p w14:paraId="4BB74EA8" w14:textId="1BE86F6C" w:rsidR="00380BA8" w:rsidRPr="001455DC" w:rsidRDefault="00380BA8" w:rsidP="00380BA8">
            <w:pPr>
              <w:pStyle w:val="Tablebody"/>
            </w:pPr>
            <w:r w:rsidRPr="001455DC">
              <w:rPr>
                <w:rStyle w:val="CCMCvariableitalic"/>
              </w:rPr>
              <w:t>μ</w:t>
            </w:r>
          </w:p>
        </w:tc>
        <w:tc>
          <w:tcPr>
            <w:tcW w:w="8845" w:type="dxa"/>
          </w:tcPr>
          <w:p w14:paraId="5251663C" w14:textId="135FA455" w:rsidR="00380BA8" w:rsidRPr="001455DC" w:rsidRDefault="00380BA8" w:rsidP="00380BA8">
            <w:pPr>
              <w:pStyle w:val="Tablebody"/>
            </w:pPr>
            <w:r w:rsidRPr="001455DC">
              <w:t>is the coefficient of friction between the tendon and its duct or deviation device;</w:t>
            </w:r>
          </w:p>
        </w:tc>
      </w:tr>
      <w:tr w:rsidR="00380BA8" w:rsidRPr="001455DC" w14:paraId="410802E2" w14:textId="77777777" w:rsidTr="00380BA8">
        <w:trPr>
          <w:cantSplit/>
        </w:trPr>
        <w:tc>
          <w:tcPr>
            <w:tcW w:w="567" w:type="dxa"/>
          </w:tcPr>
          <w:p w14:paraId="0709CF4D" w14:textId="50BDC982" w:rsidR="00380BA8" w:rsidRPr="001455DC" w:rsidRDefault="00380BA8" w:rsidP="00380BA8">
            <w:pPr>
              <w:pStyle w:val="Tablebody"/>
            </w:pPr>
            <w:r w:rsidRPr="001455DC">
              <w:rPr>
                <w:rStyle w:val="CCMCvariableitalic"/>
              </w:rPr>
              <w:t>k</w:t>
            </w:r>
            <w:r w:rsidRPr="001455DC">
              <w:rPr>
                <w:rStyle w:val="CCMCvariablesubscript"/>
              </w:rPr>
              <w:t>μ</w:t>
            </w:r>
          </w:p>
        </w:tc>
        <w:tc>
          <w:tcPr>
            <w:tcW w:w="8845" w:type="dxa"/>
          </w:tcPr>
          <w:p w14:paraId="1E626D4E" w14:textId="3B956029" w:rsidR="00380BA8" w:rsidRPr="001455DC" w:rsidRDefault="00380BA8" w:rsidP="00380BA8">
            <w:pPr>
              <w:pStyle w:val="Tablebody"/>
            </w:pPr>
            <w:r w:rsidRPr="001455DC">
              <w:t>is an unintentional angular deviation for internal post-tensioning tendons -per unit length- (curvature), and</w:t>
            </w:r>
          </w:p>
        </w:tc>
      </w:tr>
      <w:tr w:rsidR="00380BA8" w:rsidRPr="001455DC" w14:paraId="482E6A00" w14:textId="77777777" w:rsidTr="00380BA8">
        <w:trPr>
          <w:cantSplit/>
        </w:trPr>
        <w:tc>
          <w:tcPr>
            <w:tcW w:w="567" w:type="dxa"/>
          </w:tcPr>
          <w:p w14:paraId="16BD0846" w14:textId="0D36BE66" w:rsidR="00380BA8" w:rsidRPr="001455DC" w:rsidRDefault="00380BA8" w:rsidP="00380BA8">
            <w:pPr>
              <w:pStyle w:val="Tablebody"/>
            </w:pPr>
            <w:r w:rsidRPr="001455DC">
              <w:rPr>
                <w:rStyle w:val="CCMCvariableitalic"/>
              </w:rPr>
              <w:t>x</w:t>
            </w:r>
          </w:p>
        </w:tc>
        <w:tc>
          <w:tcPr>
            <w:tcW w:w="8845" w:type="dxa"/>
          </w:tcPr>
          <w:p w14:paraId="6CF32DBC" w14:textId="3DF7D59A" w:rsidR="00380BA8" w:rsidRPr="001455DC" w:rsidRDefault="00380BA8" w:rsidP="00380BA8">
            <w:pPr>
              <w:pStyle w:val="Tablebody"/>
            </w:pPr>
            <w:r w:rsidRPr="001455DC">
              <w:t xml:space="preserve">is the distance along the tendon from the point where the prestressing stress is equal to </w:t>
            </w:r>
            <w:r w:rsidRPr="001455DC">
              <w:rPr>
                <w:rStyle w:val="CCMCvariableitalic"/>
              </w:rPr>
              <w:t>σ</w:t>
            </w:r>
            <w:r w:rsidRPr="001455DC">
              <w:rPr>
                <w:rStyle w:val="CCMCvariablesubscript"/>
              </w:rPr>
              <w:t>p,max</w:t>
            </w:r>
            <w:r w:rsidRPr="001455DC">
              <w:t xml:space="preserve"> (the force at the active end during tensioning).</w:t>
            </w:r>
          </w:p>
        </w:tc>
      </w:tr>
    </w:tbl>
    <w:p w14:paraId="77C7B845" w14:textId="77777777" w:rsidR="004E22C1" w:rsidRPr="001455DC" w:rsidRDefault="004E22C1" w:rsidP="00380BA8">
      <w:pPr>
        <w:pStyle w:val="Note"/>
      </w:pPr>
      <w:r w:rsidRPr="001455DC">
        <w:t>NOTE 1</w:t>
      </w:r>
      <w:r w:rsidRPr="001455DC">
        <w:tab/>
        <w:t xml:space="preserve">The values </w:t>
      </w:r>
      <w:r w:rsidRPr="001455DC">
        <w:rPr>
          <w:rStyle w:val="CCMCvariableitalic"/>
        </w:rPr>
        <w:t>μ</w:t>
      </w:r>
      <w:r w:rsidRPr="001455DC">
        <w:t xml:space="preserve"> and </w:t>
      </w:r>
      <w:r w:rsidRPr="001455DC">
        <w:rPr>
          <w:rStyle w:val="CCMCvariableitalic"/>
        </w:rPr>
        <w:t>k</w:t>
      </w:r>
      <w:r w:rsidRPr="001455DC">
        <w:rPr>
          <w:rStyle w:val="CCMCvariablesubscript"/>
        </w:rPr>
        <w:t>μ</w:t>
      </w:r>
      <w:r w:rsidRPr="001455DC">
        <w:t xml:space="preserve"> can be found in the technical documentation of post-tensioning system.</w:t>
      </w:r>
    </w:p>
    <w:p w14:paraId="43F51A70" w14:textId="77777777" w:rsidR="004E22C1" w:rsidRPr="001455DC" w:rsidRDefault="004E22C1" w:rsidP="00380BA8">
      <w:pPr>
        <w:pStyle w:val="Note"/>
      </w:pPr>
      <w:r w:rsidRPr="001455DC">
        <w:t>NOTE 2</w:t>
      </w:r>
      <w:r w:rsidRPr="001455DC">
        <w:tab/>
        <w:t xml:space="preserve">The value </w:t>
      </w:r>
      <w:r w:rsidRPr="001455DC">
        <w:rPr>
          <w:rStyle w:val="CCMCvariableitalic"/>
        </w:rPr>
        <w:t>μ</w:t>
      </w:r>
      <w:r w:rsidRPr="001455DC">
        <w:t xml:space="preserve"> depends on the surface characteristics of the tendons and the duct or deviation device, on the presence of rust, on the elongation of the tendon and on the tendon profile.</w:t>
      </w:r>
    </w:p>
    <w:p w14:paraId="2D041FC4" w14:textId="77777777" w:rsidR="004E22C1" w:rsidRPr="001455DC" w:rsidRDefault="004E22C1" w:rsidP="00380BA8">
      <w:pPr>
        <w:pStyle w:val="Note"/>
      </w:pPr>
      <w:r w:rsidRPr="001455DC">
        <w:t>NOTE 3</w:t>
      </w:r>
      <w:r w:rsidRPr="001455DC">
        <w:tab/>
        <w:t xml:space="preserve">The value </w:t>
      </w:r>
      <w:r w:rsidRPr="001455DC">
        <w:rPr>
          <w:rStyle w:val="CCMCvariableitalic"/>
        </w:rPr>
        <w:t>k</w:t>
      </w:r>
      <w:r w:rsidRPr="001455DC">
        <w:rPr>
          <w:rStyle w:val="CCMCvariablesubscript"/>
        </w:rPr>
        <w:t>μ</w:t>
      </w:r>
      <w:r w:rsidRPr="001455DC">
        <w:t xml:space="preserve"> for unintentional angular deviation depends on the quality of workmanship, on the distance between tendon supports, on the type of duct or sheath employed, and on the degree of vibration used in placing the concrete.</w:t>
      </w:r>
    </w:p>
    <w:p w14:paraId="12437D52" w14:textId="36D1C60F" w:rsidR="004E22C1" w:rsidRPr="001455DC" w:rsidRDefault="004E22C1" w:rsidP="00380BA8">
      <w:pPr>
        <w:pStyle w:val="a7"/>
      </w:pPr>
      <w:r w:rsidRPr="001455DC">
        <w:t>(2)</w:t>
      </w:r>
      <w:r w:rsidRPr="001455DC">
        <w:tab/>
        <w:t xml:space="preserve">In the absence of more precise data, the values for </w:t>
      </w:r>
      <w:r w:rsidRPr="001455DC">
        <w:rPr>
          <w:rStyle w:val="CCMCvariableitalic"/>
        </w:rPr>
        <w:t>μ</w:t>
      </w:r>
      <w:r w:rsidRPr="001455DC">
        <w:t xml:space="preserve"> given in Table 7.2 may be used, in Formula (7.</w:t>
      </w:r>
      <w:r w:rsidR="00842E57" w:rsidRPr="001455DC">
        <w:t>33</w:t>
      </w:r>
      <w:r w:rsidRPr="001455DC">
        <w:t>).</w:t>
      </w:r>
    </w:p>
    <w:p w14:paraId="422B6178" w14:textId="2710B7C6" w:rsidR="004E22C1" w:rsidRPr="001455DC" w:rsidRDefault="004E22C1" w:rsidP="00380BA8">
      <w:pPr>
        <w:pStyle w:val="a7"/>
      </w:pPr>
      <w:r w:rsidRPr="001455DC">
        <w:t>(3)</w:t>
      </w:r>
      <w:r w:rsidRPr="001455DC">
        <w:tab/>
        <w:t>In the absence of more precise data, values for unintentional angular deviation for internal post-tensioning tendons will generally be in the range 0,005 </w:t>
      </w:r>
      <w:r w:rsidR="00650035" w:rsidRPr="001455DC">
        <w:rPr>
          <w:rFonts w:ascii="Cambria Math" w:hAnsi="Cambria Math"/>
        </w:rPr>
        <w:t>&lt;</w:t>
      </w:r>
      <w:r w:rsidRPr="001455DC">
        <w:t> </w:t>
      </w:r>
      <w:r w:rsidRPr="001455DC">
        <w:rPr>
          <w:rStyle w:val="CCMCvariableitalic"/>
        </w:rPr>
        <w:t>k</w:t>
      </w:r>
      <w:r w:rsidRPr="001455DC">
        <w:rPr>
          <w:rStyle w:val="CCMCvariablesubscript"/>
        </w:rPr>
        <w:t>μ</w:t>
      </w:r>
      <w:r w:rsidRPr="001455DC">
        <w:rPr>
          <w:szCs w:val="22"/>
        </w:rPr>
        <w:t> </w:t>
      </w:r>
      <w:r w:rsidR="00650035" w:rsidRPr="001455DC">
        <w:rPr>
          <w:rFonts w:ascii="Cambria Math" w:hAnsi="Cambria Math"/>
          <w:szCs w:val="22"/>
        </w:rPr>
        <w:t>&lt;</w:t>
      </w:r>
      <w:r w:rsidRPr="001455DC">
        <w:rPr>
          <w:szCs w:val="22"/>
        </w:rPr>
        <w:t> </w:t>
      </w:r>
      <w:r w:rsidRPr="001455DC">
        <w:t>0,01 per metre. For pre-tensioning tendons and external tendons, the losses of prestress due to unintentional angular displacement may be ignored.</w:t>
      </w:r>
    </w:p>
    <w:p w14:paraId="154718A8" w14:textId="77777777" w:rsidR="004E22C1" w:rsidRPr="001455DC" w:rsidRDefault="004E22C1" w:rsidP="00380BA8">
      <w:pPr>
        <w:pStyle w:val="Tabletitle"/>
      </w:pPr>
      <w:bookmarkStart w:id="506" w:name="_Toc54337358"/>
      <w:r w:rsidRPr="001455DC">
        <w:t xml:space="preserve">Table 7.2 — Coefficients of friction </w:t>
      </w:r>
      <w:r w:rsidRPr="001455DC">
        <w:rPr>
          <w:rStyle w:val="CCMCvariableitalic"/>
        </w:rPr>
        <w:t>μ</w:t>
      </w:r>
      <w:r w:rsidRPr="001455DC">
        <w:t xml:space="preserve"> of internal post-tensioning tendons and external tendons to be used in the absence of more precise data</w:t>
      </w:r>
      <w:bookmarkEnd w:id="506"/>
    </w:p>
    <w:tbl>
      <w:tblPr>
        <w:tblStyle w:val="53"/>
        <w:tblW w:w="9752" w:type="dxa"/>
        <w:tblLayout w:type="fixed"/>
        <w:tblLook w:val="0620" w:firstRow="1" w:lastRow="0" w:firstColumn="0" w:lastColumn="0" w:noHBand="1" w:noVBand="1"/>
      </w:tblPr>
      <w:tblGrid>
        <w:gridCol w:w="2197"/>
        <w:gridCol w:w="1688"/>
        <w:gridCol w:w="1858"/>
        <w:gridCol w:w="2320"/>
        <w:gridCol w:w="1689"/>
      </w:tblGrid>
      <w:tr w:rsidR="004E22C1" w:rsidRPr="001455DC" w14:paraId="714B3B00" w14:textId="77777777" w:rsidTr="00842E57">
        <w:trPr>
          <w:cnfStyle w:val="100000000000" w:firstRow="1" w:lastRow="0" w:firstColumn="0" w:lastColumn="0" w:oddVBand="0" w:evenVBand="0" w:oddHBand="0" w:evenHBand="0" w:firstRowFirstColumn="0" w:firstRowLastColumn="0" w:lastRowFirstColumn="0" w:lastRowLastColumn="0"/>
          <w:cantSplit/>
          <w:tblHeader/>
        </w:trPr>
        <w:tc>
          <w:tcPr>
            <w:tcW w:w="2197" w:type="dxa"/>
            <w:vMerge w:val="restart"/>
          </w:tcPr>
          <w:p w14:paraId="63899343" w14:textId="77777777" w:rsidR="004E22C1" w:rsidRPr="001455DC" w:rsidRDefault="004E22C1" w:rsidP="00380BA8">
            <w:pPr>
              <w:pStyle w:val="Tableheader"/>
            </w:pPr>
            <w:r w:rsidRPr="001455DC">
              <w:t>Type of prestressing steel</w:t>
            </w:r>
          </w:p>
        </w:tc>
        <w:tc>
          <w:tcPr>
            <w:tcW w:w="3546" w:type="dxa"/>
            <w:gridSpan w:val="2"/>
          </w:tcPr>
          <w:p w14:paraId="2FE34DF4" w14:textId="77777777" w:rsidR="004E22C1" w:rsidRPr="001455DC" w:rsidRDefault="004E22C1" w:rsidP="00380BA8">
            <w:pPr>
              <w:pStyle w:val="Tableheader"/>
            </w:pPr>
            <w:r w:rsidRPr="001455DC">
              <w:t>Internal tendons</w:t>
            </w:r>
          </w:p>
        </w:tc>
        <w:tc>
          <w:tcPr>
            <w:tcW w:w="2320" w:type="dxa"/>
          </w:tcPr>
          <w:p w14:paraId="3E325099" w14:textId="77777777" w:rsidR="004E22C1" w:rsidRPr="001455DC" w:rsidRDefault="004E22C1" w:rsidP="00380BA8">
            <w:pPr>
              <w:pStyle w:val="Tableheader"/>
            </w:pPr>
            <w:r w:rsidRPr="001455DC">
              <w:t>Greased and sheathed strand</w:t>
            </w:r>
          </w:p>
        </w:tc>
        <w:tc>
          <w:tcPr>
            <w:tcW w:w="1689" w:type="dxa"/>
          </w:tcPr>
          <w:p w14:paraId="2B4AD7F2" w14:textId="77777777" w:rsidR="004E22C1" w:rsidRPr="001455DC" w:rsidRDefault="004E22C1" w:rsidP="00380BA8">
            <w:pPr>
              <w:pStyle w:val="Tableheader"/>
            </w:pPr>
            <w:r w:rsidRPr="001455DC">
              <w:t>External tendons</w:t>
            </w:r>
          </w:p>
        </w:tc>
      </w:tr>
      <w:tr w:rsidR="004E22C1" w:rsidRPr="001455DC" w14:paraId="124837EF" w14:textId="77777777" w:rsidTr="00842E57">
        <w:trPr>
          <w:cnfStyle w:val="100000000000" w:firstRow="1" w:lastRow="0" w:firstColumn="0" w:lastColumn="0" w:oddVBand="0" w:evenVBand="0" w:oddHBand="0" w:evenHBand="0" w:firstRowFirstColumn="0" w:firstRowLastColumn="0" w:lastRowFirstColumn="0" w:lastRowLastColumn="0"/>
          <w:cantSplit/>
          <w:tblHeader/>
        </w:trPr>
        <w:tc>
          <w:tcPr>
            <w:tcW w:w="2197" w:type="dxa"/>
            <w:vMerge/>
          </w:tcPr>
          <w:p w14:paraId="6E2351E7" w14:textId="77777777" w:rsidR="004E22C1" w:rsidRPr="001455DC" w:rsidRDefault="004E22C1" w:rsidP="00380BA8">
            <w:pPr>
              <w:pStyle w:val="Tableheader"/>
            </w:pPr>
          </w:p>
        </w:tc>
        <w:tc>
          <w:tcPr>
            <w:tcW w:w="1688" w:type="dxa"/>
          </w:tcPr>
          <w:p w14:paraId="5C0A0221" w14:textId="77777777" w:rsidR="004E22C1" w:rsidRPr="001455DC" w:rsidRDefault="004E22C1" w:rsidP="00380BA8">
            <w:pPr>
              <w:pStyle w:val="Tableheader"/>
            </w:pPr>
            <w:r w:rsidRPr="001455DC">
              <w:t>metal duct</w:t>
            </w:r>
          </w:p>
        </w:tc>
        <w:tc>
          <w:tcPr>
            <w:tcW w:w="1858" w:type="dxa"/>
          </w:tcPr>
          <w:p w14:paraId="07008588" w14:textId="77777777" w:rsidR="004E22C1" w:rsidRPr="001455DC" w:rsidRDefault="004E22C1" w:rsidP="00380BA8">
            <w:pPr>
              <w:pStyle w:val="Tableheader"/>
            </w:pPr>
            <w:r w:rsidRPr="001455DC">
              <w:t>polymer duct</w:t>
            </w:r>
          </w:p>
        </w:tc>
        <w:tc>
          <w:tcPr>
            <w:tcW w:w="2320" w:type="dxa"/>
          </w:tcPr>
          <w:p w14:paraId="3A0F6835" w14:textId="77777777" w:rsidR="004E22C1" w:rsidRPr="001455DC" w:rsidRDefault="004E22C1" w:rsidP="00380BA8">
            <w:pPr>
              <w:pStyle w:val="Tableheader"/>
            </w:pPr>
            <w:r w:rsidRPr="001455DC">
              <w:t xml:space="preserve">PE duct </w:t>
            </w:r>
          </w:p>
        </w:tc>
        <w:tc>
          <w:tcPr>
            <w:tcW w:w="1689" w:type="dxa"/>
          </w:tcPr>
          <w:p w14:paraId="7C1D7CC3" w14:textId="77777777" w:rsidR="004E22C1" w:rsidRPr="001455DC" w:rsidRDefault="004E22C1" w:rsidP="00380BA8">
            <w:pPr>
              <w:pStyle w:val="Tableheader"/>
            </w:pPr>
            <w:r w:rsidRPr="001455DC">
              <w:t xml:space="preserve">PE duct </w:t>
            </w:r>
          </w:p>
        </w:tc>
      </w:tr>
      <w:tr w:rsidR="004E22C1" w:rsidRPr="001455DC" w14:paraId="331AFBB2" w14:textId="77777777" w:rsidTr="00842E57">
        <w:trPr>
          <w:cantSplit/>
        </w:trPr>
        <w:tc>
          <w:tcPr>
            <w:tcW w:w="2197" w:type="dxa"/>
            <w:vAlign w:val="center"/>
          </w:tcPr>
          <w:p w14:paraId="77967F4C" w14:textId="2420F403" w:rsidR="004E22C1" w:rsidRPr="001455DC" w:rsidRDefault="004E22C1" w:rsidP="00380BA8">
            <w:pPr>
              <w:pStyle w:val="Tablebody"/>
              <w:jc w:val="left"/>
            </w:pPr>
            <w:r w:rsidRPr="001455DC">
              <w:t>cold drawn wire</w:t>
            </w:r>
          </w:p>
        </w:tc>
        <w:tc>
          <w:tcPr>
            <w:tcW w:w="1688" w:type="dxa"/>
          </w:tcPr>
          <w:p w14:paraId="639E7EA5" w14:textId="1F3DCAF1" w:rsidR="004E22C1" w:rsidRPr="001455DC" w:rsidRDefault="004E22C1" w:rsidP="00380BA8">
            <w:pPr>
              <w:pStyle w:val="Tablebody"/>
              <w:jc w:val="center"/>
            </w:pPr>
            <w:r w:rsidRPr="001455DC">
              <w:t>0,17</w:t>
            </w:r>
          </w:p>
        </w:tc>
        <w:tc>
          <w:tcPr>
            <w:tcW w:w="1858" w:type="dxa"/>
          </w:tcPr>
          <w:p w14:paraId="526D597B" w14:textId="77777777" w:rsidR="004E22C1" w:rsidRPr="001455DC" w:rsidRDefault="004E22C1" w:rsidP="00380BA8">
            <w:pPr>
              <w:pStyle w:val="Tablebody"/>
              <w:jc w:val="center"/>
            </w:pPr>
            <w:r w:rsidRPr="001455DC">
              <w:t>0,12</w:t>
            </w:r>
          </w:p>
        </w:tc>
        <w:tc>
          <w:tcPr>
            <w:tcW w:w="2320" w:type="dxa"/>
          </w:tcPr>
          <w:p w14:paraId="480E9FD8" w14:textId="28A7F169" w:rsidR="004E22C1" w:rsidRPr="001455DC" w:rsidRDefault="00842E57" w:rsidP="00380BA8">
            <w:pPr>
              <w:pStyle w:val="Tablebody"/>
              <w:jc w:val="center"/>
            </w:pPr>
            <w:r w:rsidRPr="001455DC">
              <w:t>—</w:t>
            </w:r>
          </w:p>
        </w:tc>
        <w:tc>
          <w:tcPr>
            <w:tcW w:w="1689" w:type="dxa"/>
          </w:tcPr>
          <w:p w14:paraId="74170B57" w14:textId="77777777" w:rsidR="004E22C1" w:rsidRPr="001455DC" w:rsidRDefault="004E22C1" w:rsidP="00380BA8">
            <w:pPr>
              <w:pStyle w:val="Tablebody"/>
              <w:jc w:val="center"/>
            </w:pPr>
            <w:r w:rsidRPr="001455DC">
              <w:t>0,10</w:t>
            </w:r>
          </w:p>
        </w:tc>
      </w:tr>
      <w:tr w:rsidR="004E22C1" w:rsidRPr="001455DC" w14:paraId="04FAB96F" w14:textId="77777777" w:rsidTr="00842E57">
        <w:trPr>
          <w:cantSplit/>
        </w:trPr>
        <w:tc>
          <w:tcPr>
            <w:tcW w:w="2197" w:type="dxa"/>
            <w:vAlign w:val="center"/>
          </w:tcPr>
          <w:p w14:paraId="2D36B581" w14:textId="209F4DB4" w:rsidR="004E22C1" w:rsidRPr="001455DC" w:rsidRDefault="004E22C1" w:rsidP="00380BA8">
            <w:pPr>
              <w:pStyle w:val="Tablebody"/>
              <w:jc w:val="left"/>
            </w:pPr>
            <w:r w:rsidRPr="001455DC">
              <w:t>strand</w:t>
            </w:r>
          </w:p>
        </w:tc>
        <w:tc>
          <w:tcPr>
            <w:tcW w:w="1688" w:type="dxa"/>
          </w:tcPr>
          <w:p w14:paraId="26DDE789" w14:textId="1A74B72D" w:rsidR="004E22C1" w:rsidRPr="001455DC" w:rsidRDefault="004E22C1" w:rsidP="00380BA8">
            <w:pPr>
              <w:pStyle w:val="Tablebody"/>
              <w:jc w:val="center"/>
            </w:pPr>
            <w:r w:rsidRPr="001455DC">
              <w:t>0,19</w:t>
            </w:r>
          </w:p>
        </w:tc>
        <w:tc>
          <w:tcPr>
            <w:tcW w:w="1858" w:type="dxa"/>
          </w:tcPr>
          <w:p w14:paraId="2A084C29" w14:textId="77777777" w:rsidR="004E22C1" w:rsidRPr="001455DC" w:rsidRDefault="004E22C1" w:rsidP="00380BA8">
            <w:pPr>
              <w:pStyle w:val="Tablebody"/>
              <w:jc w:val="center"/>
            </w:pPr>
            <w:r w:rsidRPr="001455DC">
              <w:t>0,14</w:t>
            </w:r>
          </w:p>
        </w:tc>
        <w:tc>
          <w:tcPr>
            <w:tcW w:w="2320" w:type="dxa"/>
          </w:tcPr>
          <w:p w14:paraId="1B5E8F1F" w14:textId="77777777" w:rsidR="004E22C1" w:rsidRPr="001455DC" w:rsidRDefault="004E22C1" w:rsidP="00380BA8">
            <w:pPr>
              <w:pStyle w:val="Tablebody"/>
              <w:jc w:val="center"/>
            </w:pPr>
            <w:r w:rsidRPr="001455DC">
              <w:t>0,05</w:t>
            </w:r>
          </w:p>
        </w:tc>
        <w:tc>
          <w:tcPr>
            <w:tcW w:w="1689" w:type="dxa"/>
          </w:tcPr>
          <w:p w14:paraId="15A56404" w14:textId="77777777" w:rsidR="004E22C1" w:rsidRPr="001455DC" w:rsidRDefault="004E22C1" w:rsidP="00380BA8">
            <w:pPr>
              <w:pStyle w:val="Tablebody"/>
              <w:jc w:val="center"/>
            </w:pPr>
            <w:r w:rsidRPr="001455DC">
              <w:t>0,12</w:t>
            </w:r>
          </w:p>
        </w:tc>
      </w:tr>
      <w:tr w:rsidR="00842E57" w:rsidRPr="001455DC" w14:paraId="463591FF" w14:textId="77777777" w:rsidTr="00842E57">
        <w:trPr>
          <w:cantSplit/>
        </w:trPr>
        <w:tc>
          <w:tcPr>
            <w:tcW w:w="2197" w:type="dxa"/>
            <w:vAlign w:val="center"/>
          </w:tcPr>
          <w:p w14:paraId="21A891D8" w14:textId="0AA40973" w:rsidR="00842E57" w:rsidRPr="001455DC" w:rsidRDefault="00842E57" w:rsidP="00842E57">
            <w:pPr>
              <w:pStyle w:val="Tablebody"/>
              <w:jc w:val="left"/>
            </w:pPr>
            <w:r w:rsidRPr="001455DC">
              <w:t>deformed bar</w:t>
            </w:r>
          </w:p>
        </w:tc>
        <w:tc>
          <w:tcPr>
            <w:tcW w:w="1688" w:type="dxa"/>
          </w:tcPr>
          <w:p w14:paraId="5AEFDFFD" w14:textId="520B3AEC" w:rsidR="00842E57" w:rsidRPr="001455DC" w:rsidRDefault="00842E57" w:rsidP="00842E57">
            <w:pPr>
              <w:pStyle w:val="Tablebody"/>
              <w:jc w:val="center"/>
            </w:pPr>
            <w:r w:rsidRPr="001455DC">
              <w:t>0,65</w:t>
            </w:r>
          </w:p>
        </w:tc>
        <w:tc>
          <w:tcPr>
            <w:tcW w:w="1858" w:type="dxa"/>
          </w:tcPr>
          <w:p w14:paraId="3F70C28E" w14:textId="4DE51951" w:rsidR="00842E57" w:rsidRPr="001455DC" w:rsidRDefault="00842E57" w:rsidP="00842E57">
            <w:pPr>
              <w:pStyle w:val="Tablebody"/>
              <w:jc w:val="center"/>
            </w:pPr>
            <w:r w:rsidRPr="001455DC">
              <w:t>—</w:t>
            </w:r>
          </w:p>
        </w:tc>
        <w:tc>
          <w:tcPr>
            <w:tcW w:w="2320" w:type="dxa"/>
          </w:tcPr>
          <w:p w14:paraId="63E48CAA" w14:textId="69091FE6" w:rsidR="00842E57" w:rsidRPr="001455DC" w:rsidRDefault="00842E57" w:rsidP="00842E57">
            <w:pPr>
              <w:pStyle w:val="Tablebody"/>
              <w:jc w:val="center"/>
            </w:pPr>
            <w:r w:rsidRPr="001455DC">
              <w:t>—</w:t>
            </w:r>
          </w:p>
        </w:tc>
        <w:tc>
          <w:tcPr>
            <w:tcW w:w="1689" w:type="dxa"/>
          </w:tcPr>
          <w:p w14:paraId="51F52FBF" w14:textId="1E19B4D7" w:rsidR="00842E57" w:rsidRPr="001455DC" w:rsidRDefault="00842E57" w:rsidP="00842E57">
            <w:pPr>
              <w:pStyle w:val="Tablebody"/>
              <w:jc w:val="center"/>
            </w:pPr>
            <w:r w:rsidRPr="001455DC">
              <w:t>—</w:t>
            </w:r>
          </w:p>
        </w:tc>
      </w:tr>
      <w:tr w:rsidR="00842E57" w:rsidRPr="001455DC" w14:paraId="0EA30FB2" w14:textId="77777777" w:rsidTr="00842E57">
        <w:trPr>
          <w:cantSplit/>
        </w:trPr>
        <w:tc>
          <w:tcPr>
            <w:tcW w:w="2197" w:type="dxa"/>
            <w:vAlign w:val="center"/>
          </w:tcPr>
          <w:p w14:paraId="102EB4CA" w14:textId="13E047C7" w:rsidR="00842E57" w:rsidRPr="001455DC" w:rsidRDefault="00842E57" w:rsidP="00842E57">
            <w:pPr>
              <w:pStyle w:val="Tablebody"/>
              <w:jc w:val="left"/>
            </w:pPr>
            <w:r w:rsidRPr="001455DC">
              <w:t>smooth round bar</w:t>
            </w:r>
          </w:p>
        </w:tc>
        <w:tc>
          <w:tcPr>
            <w:tcW w:w="1688" w:type="dxa"/>
          </w:tcPr>
          <w:p w14:paraId="6ADA51FE" w14:textId="1E2E612E" w:rsidR="00842E57" w:rsidRPr="001455DC" w:rsidRDefault="00842E57" w:rsidP="00842E57">
            <w:pPr>
              <w:pStyle w:val="Tablebody"/>
              <w:jc w:val="center"/>
            </w:pPr>
            <w:r w:rsidRPr="001455DC">
              <w:t>0,33</w:t>
            </w:r>
          </w:p>
        </w:tc>
        <w:tc>
          <w:tcPr>
            <w:tcW w:w="1858" w:type="dxa"/>
          </w:tcPr>
          <w:p w14:paraId="54886858" w14:textId="5B3B605D" w:rsidR="00842E57" w:rsidRPr="001455DC" w:rsidRDefault="00842E57" w:rsidP="00842E57">
            <w:pPr>
              <w:pStyle w:val="Tablebody"/>
              <w:jc w:val="center"/>
            </w:pPr>
            <w:r w:rsidRPr="001455DC">
              <w:t>—</w:t>
            </w:r>
          </w:p>
        </w:tc>
        <w:tc>
          <w:tcPr>
            <w:tcW w:w="2320" w:type="dxa"/>
          </w:tcPr>
          <w:p w14:paraId="1017E78A" w14:textId="0FECBBD6" w:rsidR="00842E57" w:rsidRPr="001455DC" w:rsidRDefault="00842E57" w:rsidP="00842E57">
            <w:pPr>
              <w:pStyle w:val="Tablebody"/>
              <w:jc w:val="center"/>
            </w:pPr>
            <w:r w:rsidRPr="001455DC">
              <w:t>—</w:t>
            </w:r>
          </w:p>
        </w:tc>
        <w:tc>
          <w:tcPr>
            <w:tcW w:w="1689" w:type="dxa"/>
          </w:tcPr>
          <w:p w14:paraId="001A5E5F" w14:textId="07EEB160" w:rsidR="00842E57" w:rsidRPr="001455DC" w:rsidRDefault="00842E57" w:rsidP="00842E57">
            <w:pPr>
              <w:pStyle w:val="Tablebody"/>
              <w:jc w:val="center"/>
            </w:pPr>
            <w:r w:rsidRPr="001455DC">
              <w:t>—</w:t>
            </w:r>
          </w:p>
        </w:tc>
      </w:tr>
    </w:tbl>
    <w:p w14:paraId="209DE773" w14:textId="77777777" w:rsidR="004E22C1" w:rsidRPr="001455DC" w:rsidRDefault="004E22C1" w:rsidP="00380BA8">
      <w:pPr>
        <w:pStyle w:val="a7"/>
      </w:pPr>
    </w:p>
    <w:p w14:paraId="64C4E911" w14:textId="2C0AFE9B" w:rsidR="004E22C1" w:rsidRPr="001455DC" w:rsidRDefault="004E22C1" w:rsidP="00243590">
      <w:pPr>
        <w:pStyle w:val="41"/>
      </w:pPr>
      <w:bookmarkStart w:id="507" w:name="_Toc52819965"/>
      <w:bookmarkStart w:id="508" w:name="_Toc54338021"/>
      <w:r w:rsidRPr="001455DC">
        <w:t>Losses due to anchorage seating</w:t>
      </w:r>
      <w:bookmarkEnd w:id="507"/>
      <w:bookmarkEnd w:id="508"/>
    </w:p>
    <w:p w14:paraId="712E2FBA" w14:textId="77777777" w:rsidR="004E22C1" w:rsidRPr="001455DC" w:rsidRDefault="004E22C1" w:rsidP="00380BA8">
      <w:pPr>
        <w:pStyle w:val="a7"/>
      </w:pPr>
      <w:r w:rsidRPr="001455DC">
        <w:t>(1)</w:t>
      </w:r>
      <w:r w:rsidRPr="001455DC">
        <w:tab/>
        <w:t>Account should be taken of the losses due to anchorage seating, during the operation of anchoring the prestressing steel after tensioning.</w:t>
      </w:r>
    </w:p>
    <w:p w14:paraId="13E9EAC2" w14:textId="77777777" w:rsidR="004E22C1" w:rsidRPr="001455DC" w:rsidRDefault="004E22C1" w:rsidP="00380BA8">
      <w:pPr>
        <w:pStyle w:val="Note"/>
        <w:rPr>
          <w:szCs w:val="22"/>
        </w:rPr>
      </w:pPr>
      <w:r w:rsidRPr="001455DC">
        <w:t>NOTE</w:t>
      </w:r>
      <w:r w:rsidRPr="001455DC">
        <w:tab/>
        <w:t>Values for anchorage seating are given in the technical documentation of post-tensioning system</w:t>
      </w:r>
    </w:p>
    <w:p w14:paraId="0FDFD571" w14:textId="3CD653DB" w:rsidR="004E22C1" w:rsidRPr="001455DC" w:rsidRDefault="004E22C1" w:rsidP="00243590">
      <w:pPr>
        <w:pStyle w:val="41"/>
      </w:pPr>
      <w:bookmarkStart w:id="509" w:name="_Toc52819966"/>
      <w:bookmarkStart w:id="510" w:name="_Toc54338022"/>
      <w:r w:rsidRPr="001455DC">
        <w:t>Losses due to the instantaneous deformation of concrete</w:t>
      </w:r>
      <w:bookmarkEnd w:id="509"/>
      <w:bookmarkEnd w:id="510"/>
    </w:p>
    <w:p w14:paraId="190C1609" w14:textId="77777777" w:rsidR="004E22C1" w:rsidRPr="001455DC" w:rsidRDefault="004E22C1" w:rsidP="00380BA8">
      <w:pPr>
        <w:pStyle w:val="a7"/>
      </w:pPr>
      <w:r w:rsidRPr="001455DC">
        <w:t>(1)</w:t>
      </w:r>
      <w:r w:rsidRPr="001455DC">
        <w:tab/>
        <w:t>Where relevant, account should be taken of the loss in tendon force corresponding to the deformation of concrete Δ</w:t>
      </w:r>
      <w:r w:rsidRPr="001455DC">
        <w:rPr>
          <w:rStyle w:val="CCMCvariableitalic"/>
        </w:rPr>
        <w:t>σ</w:t>
      </w:r>
      <w:r w:rsidRPr="001455DC">
        <w:rPr>
          <w:rStyle w:val="CCMCvariablesubscript"/>
        </w:rPr>
        <w:t>p,el</w:t>
      </w:r>
      <w:r w:rsidRPr="001455DC">
        <w:t>, considering the tensioning programme in which the tendons are stressed.</w:t>
      </w:r>
    </w:p>
    <w:p w14:paraId="2D0A4A41" w14:textId="77777777" w:rsidR="00380BA8" w:rsidRPr="001455DC" w:rsidRDefault="004E22C1" w:rsidP="008D37B2">
      <w:pPr>
        <w:pStyle w:val="a7"/>
        <w:keepNext/>
      </w:pPr>
      <w:r w:rsidRPr="001455DC">
        <w:t>(2)</w:t>
      </w:r>
      <w:r w:rsidRPr="001455DC">
        <w:tab/>
        <w:t>This loss Δ</w:t>
      </w:r>
      <w:r w:rsidRPr="001455DC">
        <w:rPr>
          <w:rStyle w:val="CCMCvariableitalic"/>
        </w:rPr>
        <w:t>σ</w:t>
      </w:r>
      <w:r w:rsidRPr="001455DC">
        <w:rPr>
          <w:rStyle w:val="CCMCvariablesubscript"/>
        </w:rPr>
        <w:t>p,el</w:t>
      </w:r>
      <w:r w:rsidRPr="001455DC">
        <w:t xml:space="preserve"> may be assumed as a mean loss in each tendon as follows: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380BA8" w:rsidRPr="001455DC" w14:paraId="69C66EC8" w14:textId="77777777" w:rsidTr="00380BA8">
        <w:trPr>
          <w:cantSplit/>
        </w:trPr>
        <w:tc>
          <w:tcPr>
            <w:tcW w:w="8505" w:type="dxa"/>
            <w:vAlign w:val="center"/>
          </w:tcPr>
          <w:p w14:paraId="7ECF5F86" w14:textId="36988D9B" w:rsidR="00380BA8" w:rsidRPr="001455DC" w:rsidRDefault="00231E33" w:rsidP="00380BA8">
            <w:pPr>
              <w:pStyle w:val="Formula"/>
              <w:jc w:val="left"/>
            </w:pPr>
            <m:oMathPara>
              <m:oMathParaPr>
                <m:jc m:val="left"/>
              </m:oMathParaPr>
              <m:oMath>
                <m:sSub>
                  <m:sSubPr>
                    <m:ctrlPr>
                      <w:rPr>
                        <w:rFonts w:ascii="Cambria Math" w:hAnsi="Cambria Math"/>
                      </w:rPr>
                    </m:ctrlPr>
                  </m:sSubPr>
                  <m:e>
                    <m:r>
                      <m:rPr>
                        <m:sty m:val="p"/>
                      </m:rPr>
                      <w:rPr>
                        <w:rFonts w:ascii="Cambria Math" w:hAnsi="Cambria Math"/>
                      </w:rPr>
                      <m:t>Δ</m:t>
                    </m:r>
                    <m:r>
                      <w:rPr>
                        <w:rFonts w:ascii="Cambria Math" w:hAnsi="Cambria Math"/>
                      </w:rPr>
                      <m:t>σ</m:t>
                    </m:r>
                  </m:e>
                  <m:sub>
                    <m:r>
                      <m:rPr>
                        <m:sty m:val="p"/>
                      </m:rPr>
                      <w:rPr>
                        <w:rFonts w:ascii="Cambria Math" w:hAnsi="Cambria Math"/>
                      </w:rPr>
                      <m:t>p,el</m:t>
                    </m:r>
                  </m:sub>
                </m:sSub>
                <m:r>
                  <w:rPr>
                    <w:rFonts w:ascii="Cambria Math" w:hAnsi="Cambria Math"/>
                  </w:rPr>
                  <m:t>=</m:t>
                </m:r>
                <m:sSub>
                  <m:sSubPr>
                    <m:ctrlPr>
                      <w:rPr>
                        <w:rFonts w:ascii="Cambria Math" w:hAnsi="Cambria Math"/>
                      </w:rPr>
                    </m:ctrlPr>
                  </m:sSubPr>
                  <m:e>
                    <m:r>
                      <w:rPr>
                        <w:rFonts w:ascii="Cambria Math" w:hAnsi="Cambria Math"/>
                      </w:rPr>
                      <m:t>E</m:t>
                    </m:r>
                  </m:e>
                  <m:sub>
                    <m:r>
                      <m:rPr>
                        <m:sty m:val="p"/>
                      </m:rPr>
                      <w:rPr>
                        <w:rFonts w:ascii="Cambria Math" w:hAnsi="Cambria Math"/>
                      </w:rPr>
                      <m:t>p</m:t>
                    </m:r>
                  </m:sub>
                </m:sSub>
                <m:r>
                  <w:rPr>
                    <w:rFonts w:ascii="Cambria Math" w:hAnsi="Cambria Math" w:hint="eastAsia"/>
                  </w:rPr>
                  <m:t>∑</m:t>
                </m:r>
                <m:r>
                  <w:rPr>
                    <w:rFonts w:ascii="Cambria Math" w:hAnsi="Cambria Math"/>
                  </w:rPr>
                  <m:t>j</m:t>
                </m:r>
                <m:f>
                  <m:fPr>
                    <m:ctrlPr>
                      <w:rPr>
                        <w:rFonts w:ascii="Cambria Math" w:hAnsi="Cambria Math"/>
                      </w:rPr>
                    </m:ctrlPr>
                  </m:fPr>
                  <m:num>
                    <m:r>
                      <m:rPr>
                        <m:sty m:val="p"/>
                      </m:rPr>
                      <w:rPr>
                        <w:rFonts w:ascii="Cambria Math" w:hAnsi="Cambria Math"/>
                      </w:rPr>
                      <m:t>Δ</m:t>
                    </m:r>
                    <m:sSub>
                      <m:sSubPr>
                        <m:ctrlPr>
                          <w:rPr>
                            <w:rFonts w:ascii="Cambria Math" w:hAnsi="Cambria Math"/>
                          </w:rPr>
                        </m:ctrlPr>
                      </m:sSubPr>
                      <m:e>
                        <m:r>
                          <w:rPr>
                            <w:rFonts w:ascii="Cambria Math" w:hAnsi="Cambria Math"/>
                          </w:rPr>
                          <m:t>σ</m:t>
                        </m:r>
                      </m:e>
                      <m:sub>
                        <m:r>
                          <m:rPr>
                            <m:sty m:val="p"/>
                          </m:rPr>
                          <w:rPr>
                            <w:rFonts w:ascii="Cambria Math" w:hAnsi="Cambria Math"/>
                          </w:rPr>
                          <m:t>cp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E</m:t>
                        </m:r>
                      </m:e>
                      <m:sub>
                        <m:r>
                          <m:rPr>
                            <m:sty m:val="p"/>
                          </m:rPr>
                          <w:rPr>
                            <w:rFonts w:ascii="Cambria Math" w:hAnsi="Cambria Math"/>
                          </w:rPr>
                          <m:t>cm</m:t>
                        </m:r>
                      </m:sub>
                    </m:sSub>
                    <m:d>
                      <m:dPr>
                        <m:ctrlPr>
                          <w:rPr>
                            <w:rFonts w:ascii="Cambria Math" w:hAnsi="Cambria Math"/>
                          </w:rPr>
                        </m:ctrlPr>
                      </m:dPr>
                      <m:e>
                        <m:r>
                          <w:rPr>
                            <w:rFonts w:ascii="Cambria Math" w:hAnsi="Cambria Math"/>
                          </w:rPr>
                          <m:t>t</m:t>
                        </m:r>
                      </m:e>
                    </m:d>
                  </m:den>
                </m:f>
              </m:oMath>
            </m:oMathPara>
          </w:p>
        </w:tc>
        <w:tc>
          <w:tcPr>
            <w:tcW w:w="1247" w:type="dxa"/>
            <w:vAlign w:val="center"/>
          </w:tcPr>
          <w:p w14:paraId="7490958E" w14:textId="6B175EED" w:rsidR="00380BA8" w:rsidRPr="001455DC" w:rsidRDefault="00380BA8">
            <w:pPr>
              <w:pStyle w:val="a7"/>
              <w:jc w:val="right"/>
            </w:pPr>
            <w:r w:rsidRPr="001455DC">
              <w:t>(7.</w:t>
            </w:r>
            <w:r w:rsidR="00A00DDC" w:rsidRPr="001455DC">
              <w:t>34</w:t>
            </w:r>
            <w:r w:rsidRPr="001455DC">
              <w:t>)</w:t>
            </w:r>
          </w:p>
        </w:tc>
      </w:tr>
    </w:tbl>
    <w:p w14:paraId="5C77B08D" w14:textId="77777777" w:rsidR="00380BA8" w:rsidRPr="001455DC" w:rsidRDefault="00380BA8" w:rsidP="00A35599">
      <w:pPr>
        <w:pStyle w:val="a7"/>
        <w:keepNext/>
      </w:pPr>
      <w:r w:rsidRPr="001455DC">
        <w:t>where</w:t>
      </w:r>
    </w:p>
    <w:tbl>
      <w:tblPr>
        <w:tblW w:w="9413" w:type="dxa"/>
        <w:tblInd w:w="397" w:type="dxa"/>
        <w:tblLayout w:type="fixed"/>
        <w:tblCellMar>
          <w:left w:w="28" w:type="dxa"/>
          <w:right w:w="28" w:type="dxa"/>
        </w:tblCellMar>
        <w:tblLook w:val="04A0" w:firstRow="1" w:lastRow="0" w:firstColumn="1" w:lastColumn="0" w:noHBand="0" w:noVBand="1"/>
      </w:tblPr>
      <w:tblGrid>
        <w:gridCol w:w="851"/>
        <w:gridCol w:w="8562"/>
      </w:tblGrid>
      <w:tr w:rsidR="00380BA8" w:rsidRPr="001455DC" w14:paraId="33F6578A" w14:textId="77777777" w:rsidTr="00056CF9">
        <w:trPr>
          <w:cantSplit/>
        </w:trPr>
        <w:tc>
          <w:tcPr>
            <w:tcW w:w="851" w:type="dxa"/>
          </w:tcPr>
          <w:p w14:paraId="76BD09EE" w14:textId="02657032" w:rsidR="00380BA8" w:rsidRPr="001455DC" w:rsidRDefault="00056CF9" w:rsidP="00380BA8">
            <w:pPr>
              <w:pStyle w:val="Tablebody"/>
            </w:pPr>
            <w:r w:rsidRPr="001455DC">
              <w:t>Δ</w:t>
            </w:r>
            <w:r w:rsidRPr="001455DC">
              <w:rPr>
                <w:rStyle w:val="CCMCvariableitalic"/>
              </w:rPr>
              <w:t>σ</w:t>
            </w:r>
            <w:r w:rsidRPr="001455DC">
              <w:rPr>
                <w:rStyle w:val="CCMCvariablesubscript"/>
              </w:rPr>
              <w:t>cp</w:t>
            </w:r>
            <w:r w:rsidRPr="001455DC">
              <w:t>(</w:t>
            </w:r>
            <w:r w:rsidRPr="001455DC">
              <w:rPr>
                <w:rStyle w:val="CCMCvariableitalic"/>
              </w:rPr>
              <w:t>t</w:t>
            </w:r>
            <w:r w:rsidRPr="001455DC">
              <w:t>)</w:t>
            </w:r>
          </w:p>
        </w:tc>
        <w:tc>
          <w:tcPr>
            <w:tcW w:w="8562" w:type="dxa"/>
          </w:tcPr>
          <w:p w14:paraId="4D32E134" w14:textId="3552497F" w:rsidR="00380BA8" w:rsidRPr="001455DC" w:rsidRDefault="00056CF9" w:rsidP="00380BA8">
            <w:pPr>
              <w:pStyle w:val="Tablebody"/>
            </w:pPr>
            <w:r w:rsidRPr="001455DC">
              <w:t xml:space="preserve">is the variation of stress in concrete at the centroid of the tendons when </w:t>
            </w:r>
            <w:r w:rsidRPr="001455DC">
              <w:rPr>
                <w:rStyle w:val="CCMCvariableitalic"/>
              </w:rPr>
              <w:t>n</w:t>
            </w:r>
            <w:r w:rsidRPr="001455DC">
              <w:t xml:space="preserve"> tendons are stressed at time </w:t>
            </w:r>
            <w:r w:rsidRPr="001455DC">
              <w:rPr>
                <w:rStyle w:val="CCMCvariableitalic"/>
              </w:rPr>
              <w:t>t</w:t>
            </w:r>
            <w:r w:rsidRPr="001455DC">
              <w:t>;</w:t>
            </w:r>
          </w:p>
        </w:tc>
      </w:tr>
      <w:tr w:rsidR="00380BA8" w:rsidRPr="001455DC" w14:paraId="66EDA0AD" w14:textId="77777777" w:rsidTr="00056CF9">
        <w:trPr>
          <w:cantSplit/>
        </w:trPr>
        <w:tc>
          <w:tcPr>
            <w:tcW w:w="851" w:type="dxa"/>
          </w:tcPr>
          <w:p w14:paraId="0C892632" w14:textId="44C53574" w:rsidR="00380BA8" w:rsidRPr="001455DC" w:rsidRDefault="00056CF9" w:rsidP="00380BA8">
            <w:pPr>
              <w:pStyle w:val="Tablebody"/>
            </w:pPr>
            <w:r w:rsidRPr="001455DC">
              <w:rPr>
                <w:rStyle w:val="CCMCvariableitalic"/>
              </w:rPr>
              <w:t>j</w:t>
            </w:r>
          </w:p>
        </w:tc>
        <w:tc>
          <w:tcPr>
            <w:tcW w:w="8562" w:type="dxa"/>
          </w:tcPr>
          <w:p w14:paraId="048B1692" w14:textId="5848F91B" w:rsidR="00380BA8" w:rsidRPr="001455DC" w:rsidRDefault="00056CF9" w:rsidP="00380BA8">
            <w:pPr>
              <w:pStyle w:val="Tablebody"/>
            </w:pPr>
            <w:r w:rsidRPr="001455DC">
              <w:t>is a coefficient equal to:</w:t>
            </w:r>
          </w:p>
        </w:tc>
      </w:tr>
      <w:tr w:rsidR="00380BA8" w:rsidRPr="001455DC" w14:paraId="556B6E80" w14:textId="77777777" w:rsidTr="00056CF9">
        <w:trPr>
          <w:cantSplit/>
        </w:trPr>
        <w:tc>
          <w:tcPr>
            <w:tcW w:w="851" w:type="dxa"/>
          </w:tcPr>
          <w:p w14:paraId="4539EB2F" w14:textId="1CE8C8BB" w:rsidR="00380BA8" w:rsidRPr="001455DC" w:rsidRDefault="00056CF9" w:rsidP="00380BA8">
            <w:pPr>
              <w:pStyle w:val="Tablebody"/>
            </w:pPr>
            <w:r w:rsidRPr="001455DC">
              <w:t> </w:t>
            </w:r>
          </w:p>
        </w:tc>
        <w:tc>
          <w:tcPr>
            <w:tcW w:w="8562" w:type="dxa"/>
          </w:tcPr>
          <w:p w14:paraId="5A0037D9" w14:textId="3940D820" w:rsidR="00380BA8" w:rsidRPr="001455DC" w:rsidRDefault="00056CF9" w:rsidP="00056CF9">
            <w:pPr>
              <w:pStyle w:val="Tablebody"/>
              <w:ind w:left="357" w:hanging="357"/>
            </w:pPr>
            <w:r w:rsidRPr="001455DC">
              <w:t>—</w:t>
            </w:r>
            <w:r w:rsidRPr="001455DC">
              <w:tab/>
            </w:r>
            <w:r w:rsidRPr="001455DC">
              <w:rPr>
                <w:rStyle w:val="CCMCvariableitalic"/>
              </w:rPr>
              <w:t>j</w:t>
            </w:r>
            <w:r w:rsidRPr="001455DC">
              <w:t> </w:t>
            </w:r>
            <w:r w:rsidR="00EC27D2" w:rsidRPr="001455DC">
              <w:rPr>
                <w:rFonts w:ascii="Cambria Math" w:hAnsi="Cambria Math"/>
              </w:rPr>
              <w:t>=</w:t>
            </w:r>
            <w:r w:rsidRPr="001455DC">
              <w:t> (</w:t>
            </w:r>
            <w:r w:rsidRPr="001455DC">
              <w:rPr>
                <w:rStyle w:val="CCMCvariableitalic"/>
              </w:rPr>
              <w:t>n</w:t>
            </w:r>
            <w:r w:rsidR="00EC0A75" w:rsidRPr="001455DC">
              <w:t> </w:t>
            </w:r>
            <w:r w:rsidR="00EC0A75" w:rsidRPr="001455DC">
              <w:rPr>
                <w:rFonts w:ascii="Cambria Math" w:hAnsi="Cambria Math"/>
              </w:rPr>
              <w:t>−</w:t>
            </w:r>
            <w:r w:rsidR="00EC0A75" w:rsidRPr="001455DC">
              <w:t> </w:t>
            </w:r>
            <w:r w:rsidRPr="001455DC">
              <w:t>1)/2</w:t>
            </w:r>
            <w:r w:rsidRPr="001455DC">
              <w:rPr>
                <w:rStyle w:val="CCMCvariableitalic"/>
              </w:rPr>
              <w:t>n</w:t>
            </w:r>
            <w:r w:rsidRPr="001455DC">
              <w:t xml:space="preserve"> for variations due to prestressing where </w:t>
            </w:r>
            <w:r w:rsidRPr="001455DC">
              <w:rPr>
                <w:rStyle w:val="CCMCvariableitalic"/>
              </w:rPr>
              <w:t>n</w:t>
            </w:r>
            <w:r w:rsidRPr="001455DC">
              <w:t xml:space="preserve"> is the number of identical tendons successively stressed (typical for post-tensioning),</w:t>
            </w:r>
          </w:p>
        </w:tc>
      </w:tr>
      <w:tr w:rsidR="00380BA8" w:rsidRPr="001455DC" w14:paraId="6CF77453" w14:textId="77777777" w:rsidTr="00056CF9">
        <w:trPr>
          <w:cantSplit/>
        </w:trPr>
        <w:tc>
          <w:tcPr>
            <w:tcW w:w="851" w:type="dxa"/>
          </w:tcPr>
          <w:p w14:paraId="157B0935" w14:textId="296960A9" w:rsidR="00380BA8" w:rsidRPr="001455DC" w:rsidRDefault="00056CF9" w:rsidP="00380BA8">
            <w:pPr>
              <w:pStyle w:val="Tablebody"/>
            </w:pPr>
            <w:r w:rsidRPr="001455DC">
              <w:t> </w:t>
            </w:r>
          </w:p>
        </w:tc>
        <w:tc>
          <w:tcPr>
            <w:tcW w:w="8562" w:type="dxa"/>
          </w:tcPr>
          <w:p w14:paraId="2C1CEE87" w14:textId="07259569" w:rsidR="00380BA8" w:rsidRPr="001455DC" w:rsidRDefault="00056CF9" w:rsidP="00056CF9">
            <w:pPr>
              <w:pStyle w:val="Tablebody"/>
              <w:ind w:left="357" w:hanging="357"/>
            </w:pPr>
            <w:r w:rsidRPr="001455DC">
              <w:t>—</w:t>
            </w:r>
            <w:r w:rsidRPr="001455DC">
              <w:tab/>
            </w:r>
            <w:r w:rsidRPr="001455DC">
              <w:rPr>
                <w:rStyle w:val="CCMCvariableitalic"/>
              </w:rPr>
              <w:t>j</w:t>
            </w:r>
            <w:r w:rsidRPr="001455DC">
              <w:t> </w:t>
            </w:r>
            <w:r w:rsidR="00EC27D2" w:rsidRPr="001455DC">
              <w:rPr>
                <w:rFonts w:ascii="Cambria Math" w:hAnsi="Cambria Math"/>
              </w:rPr>
              <w:t>=</w:t>
            </w:r>
            <w:r w:rsidRPr="001455DC">
              <w:t xml:space="preserve"> 1 for variations due to prestressing where </w:t>
            </w:r>
            <w:r w:rsidRPr="001455DC">
              <w:rPr>
                <w:rStyle w:val="CCMCvariableitalic"/>
              </w:rPr>
              <w:t>n</w:t>
            </w:r>
            <w:r w:rsidRPr="001455DC">
              <w:t xml:space="preserve"> is the number of identical tendons simultaneously stressed (typical for pre-tensioning) or due to permanent actions applied after prestressing.</w:t>
            </w:r>
          </w:p>
        </w:tc>
      </w:tr>
    </w:tbl>
    <w:p w14:paraId="7673F428" w14:textId="5149BDB8" w:rsidR="004E22C1" w:rsidRPr="001455DC" w:rsidRDefault="004E22C1" w:rsidP="00243590">
      <w:pPr>
        <w:pStyle w:val="31"/>
      </w:pPr>
      <w:bookmarkStart w:id="511" w:name="_Ref515292933"/>
      <w:bookmarkStart w:id="512" w:name="_Toc52819967"/>
      <w:bookmarkStart w:id="513" w:name="_Toc54337359"/>
      <w:bookmarkStart w:id="514" w:name="_Toc54338023"/>
      <w:bookmarkStart w:id="515" w:name="_Toc67565371"/>
      <w:r w:rsidRPr="001455DC">
        <w:t>Time dependent losses of prestress</w:t>
      </w:r>
      <w:bookmarkEnd w:id="511"/>
      <w:bookmarkEnd w:id="512"/>
      <w:bookmarkEnd w:id="513"/>
      <w:bookmarkEnd w:id="514"/>
      <w:bookmarkEnd w:id="515"/>
    </w:p>
    <w:p w14:paraId="596A9625" w14:textId="77777777" w:rsidR="004E22C1" w:rsidRPr="001455DC" w:rsidRDefault="004E22C1" w:rsidP="00056CF9">
      <w:pPr>
        <w:pStyle w:val="a7"/>
      </w:pPr>
      <w:r w:rsidRPr="001455DC">
        <w:t>(1)</w:t>
      </w:r>
      <w:r w:rsidRPr="001455DC">
        <w:tab/>
        <w:t>The time dependent losses should be calculated by considering the following two reductions of stress:</w:t>
      </w:r>
    </w:p>
    <w:p w14:paraId="690EEDC5" w14:textId="5BB60DC9" w:rsidR="004E22C1" w:rsidRPr="001455DC" w:rsidRDefault="004E22C1" w:rsidP="00082680">
      <w:pPr>
        <w:pStyle w:val="a0"/>
        <w:numPr>
          <w:ilvl w:val="0"/>
          <w:numId w:val="20"/>
        </w:numPr>
      </w:pPr>
      <w:r w:rsidRPr="001455DC">
        <w:t>That due to the reduction of strain, caused by the deformation of concrete due to creep and shrinkage, under the quasi-permanent loads, and</w:t>
      </w:r>
    </w:p>
    <w:p w14:paraId="7CC480B8" w14:textId="7AA1ACFE" w:rsidR="004E22C1" w:rsidRPr="001455DC" w:rsidRDefault="004E22C1" w:rsidP="00082680">
      <w:pPr>
        <w:pStyle w:val="a0"/>
        <w:numPr>
          <w:ilvl w:val="0"/>
          <w:numId w:val="20"/>
        </w:numPr>
      </w:pPr>
      <w:r w:rsidRPr="001455DC">
        <w:t>That due to the reduction of stress in the steel due to the relaxation under tension (see B.</w:t>
      </w:r>
      <w:r w:rsidR="00CB451A" w:rsidRPr="001455DC">
        <w:t>9</w:t>
      </w:r>
      <w:r w:rsidRPr="001455DC">
        <w:t>).</w:t>
      </w:r>
    </w:p>
    <w:p w14:paraId="198B111A" w14:textId="77777777" w:rsidR="004E22C1" w:rsidRPr="001455DC" w:rsidRDefault="004E22C1" w:rsidP="00056CF9">
      <w:pPr>
        <w:pStyle w:val="a7"/>
      </w:pPr>
      <w:r w:rsidRPr="001455DC">
        <w:t>The interaction between the relaxation of prestressing steel and the concrete deformation due to creep and shrinkage may generally and approximately be considered by applying a reduction factor of 0,8 on the stress relaxation. More refined methods may be used for the calculation of relaxation losses, taking into account the variation of the tendon elongation due to creep and shrinkage of concrete.</w:t>
      </w:r>
    </w:p>
    <w:p w14:paraId="050F5144" w14:textId="27769911" w:rsidR="00056CF9" w:rsidRPr="001455DC" w:rsidRDefault="004E22C1" w:rsidP="00056CF9">
      <w:pPr>
        <w:pStyle w:val="a7"/>
      </w:pPr>
      <w:r w:rsidRPr="001455DC">
        <w:t>(2)</w:t>
      </w:r>
      <w:r w:rsidRPr="001455DC">
        <w:tab/>
        <w:t>Time dependent losses of stress in the tendons due to creep, shrinkage and relaxation at location</w:t>
      </w:r>
      <w:r w:rsidR="00056CF9" w:rsidRPr="001455DC">
        <w:t> </w:t>
      </w:r>
      <w:r w:rsidRPr="001455DC">
        <w:rPr>
          <w:rStyle w:val="CCMCvariableitalic"/>
          <w:szCs w:val="22"/>
        </w:rPr>
        <w:t>x</w:t>
      </w:r>
      <w:r w:rsidRPr="001455DC">
        <w:t xml:space="preserve">, at time </w:t>
      </w:r>
      <w:r w:rsidRPr="001455DC">
        <w:rPr>
          <w:rStyle w:val="CCMCvariableitalic"/>
          <w:szCs w:val="22"/>
        </w:rPr>
        <w:t>t</w:t>
      </w:r>
      <w:r w:rsidRPr="001455DC">
        <w:t xml:space="preserve"> under the quasi-permanent combination of actions for members with a non-composite cross section may be evaluated by Formula (7.</w:t>
      </w:r>
      <w:r w:rsidR="00A00DDC" w:rsidRPr="001455DC">
        <w:t>35</w:t>
      </w:r>
      <w:r w:rsidRPr="001455DC">
        <w:t>).</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056CF9" w:rsidRPr="001455DC" w14:paraId="4D60D4E0" w14:textId="77777777" w:rsidTr="00056CF9">
        <w:trPr>
          <w:cantSplit/>
        </w:trPr>
        <w:tc>
          <w:tcPr>
            <w:tcW w:w="8505" w:type="dxa"/>
            <w:vAlign w:val="center"/>
          </w:tcPr>
          <w:p w14:paraId="37AD63C3" w14:textId="04144234" w:rsidR="00056CF9" w:rsidRPr="001455DC" w:rsidRDefault="008A48D7" w:rsidP="00056CF9">
            <w:pPr>
              <w:pStyle w:val="Formula"/>
              <w:jc w:val="left"/>
            </w:pPr>
            <m:oMathPara>
              <m:oMathParaPr>
                <m:jc m:val="left"/>
              </m:oMathParaPr>
              <m:oMath>
                <m:r>
                  <m:rPr>
                    <m:sty m:val="p"/>
                  </m:rPr>
                  <w:rPr>
                    <w:rFonts w:ascii="Cambria Math" w:hAnsi="Cambria Math"/>
                  </w:rPr>
                  <m:t>Δ</m:t>
                </m:r>
                <m:sSub>
                  <m:sSubPr>
                    <m:ctrlPr>
                      <w:rPr>
                        <w:rFonts w:ascii="Cambria Math" w:hAnsi="Cambria Math"/>
                      </w:rPr>
                    </m:ctrlPr>
                  </m:sSubPr>
                  <m:e>
                    <m:r>
                      <w:rPr>
                        <w:rFonts w:ascii="Cambria Math" w:hAnsi="Cambria Math"/>
                      </w:rPr>
                      <m:t>σ</m:t>
                    </m:r>
                  </m:e>
                  <m:sub>
                    <m:r>
                      <m:rPr>
                        <m:sty m:val="p"/>
                      </m:rPr>
                      <w:rPr>
                        <w:rFonts w:ascii="Cambria Math" w:hAnsi="Cambria Math"/>
                      </w:rPr>
                      <m:t>p,c+s+r</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ε</m:t>
                        </m:r>
                      </m:e>
                      <m:sub>
                        <m:r>
                          <m:rPr>
                            <m:sty m:val="p"/>
                          </m:rPr>
                          <w:rPr>
                            <w:rFonts w:ascii="Cambria Math" w:hAnsi="Cambria Math"/>
                          </w:rPr>
                          <m:t>cs</m:t>
                        </m:r>
                      </m:sub>
                    </m:sSub>
                    <m:sSub>
                      <m:sSubPr>
                        <m:ctrlPr>
                          <w:rPr>
                            <w:rFonts w:ascii="Cambria Math" w:hAnsi="Cambria Math"/>
                          </w:rPr>
                        </m:ctrlPr>
                      </m:sSubPr>
                      <m:e>
                        <m:r>
                          <w:rPr>
                            <w:rFonts w:ascii="Cambria Math" w:hAnsi="Cambria Math"/>
                          </w:rPr>
                          <m:t>E</m:t>
                        </m:r>
                      </m:e>
                      <m:sub>
                        <m:r>
                          <m:rPr>
                            <m:sty m:val="p"/>
                          </m:rPr>
                          <w:rPr>
                            <w:rFonts w:ascii="Cambria Math" w:hAnsi="Cambria Math"/>
                          </w:rPr>
                          <m:t>p</m:t>
                        </m:r>
                      </m:sub>
                    </m:sSub>
                    <m:r>
                      <w:rPr>
                        <w:rFonts w:ascii="Cambria Math" w:hAnsi="Cambria Math"/>
                      </w:rPr>
                      <m:t>+0,8</m:t>
                    </m:r>
                    <m:r>
                      <m:rPr>
                        <m:sty m:val="p"/>
                      </m:rPr>
                      <w:rPr>
                        <w:rFonts w:ascii="Cambria Math" w:hAnsi="Cambria Math"/>
                      </w:rPr>
                      <m:t>Δ</m:t>
                    </m:r>
                    <m:sSub>
                      <m:sSubPr>
                        <m:ctrlPr>
                          <w:rPr>
                            <w:rFonts w:ascii="Cambria Math" w:hAnsi="Cambria Math"/>
                          </w:rPr>
                        </m:ctrlPr>
                      </m:sSubPr>
                      <m:e>
                        <m:r>
                          <w:rPr>
                            <w:rFonts w:ascii="Cambria Math" w:hAnsi="Cambria Math"/>
                          </w:rPr>
                          <m:t>σ</m:t>
                        </m:r>
                      </m:e>
                      <m:sub>
                        <m:r>
                          <m:rPr>
                            <m:sty m:val="p"/>
                          </m:rPr>
                          <w:rPr>
                            <w:rFonts w:ascii="Cambria Math" w:hAnsi="Cambria Math"/>
                          </w:rPr>
                          <m:t>pr</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E</m:t>
                            </m:r>
                          </m:e>
                          <m:sub>
                            <m:r>
                              <m:rPr>
                                <m:sty m:val="p"/>
                              </m:rPr>
                              <w:rPr>
                                <w:rFonts w:ascii="Cambria Math" w:hAnsi="Cambria Math"/>
                              </w:rPr>
                              <m:t>p</m:t>
                            </m:r>
                          </m:sub>
                        </m:sSub>
                      </m:num>
                      <m:den>
                        <m:sSub>
                          <m:sSubPr>
                            <m:ctrlPr>
                              <w:rPr>
                                <w:rFonts w:ascii="Cambria Math" w:hAnsi="Cambria Math"/>
                              </w:rPr>
                            </m:ctrlPr>
                          </m:sSubPr>
                          <m:e>
                            <m:r>
                              <w:rPr>
                                <w:rFonts w:ascii="Cambria Math" w:hAnsi="Cambria Math"/>
                              </w:rPr>
                              <m:t>E</m:t>
                            </m:r>
                          </m:e>
                          <m:sub>
                            <m:r>
                              <m:rPr>
                                <m:sty m:val="p"/>
                              </m:rPr>
                              <w:rPr>
                                <w:rFonts w:ascii="Cambria Math" w:hAnsi="Cambria Math"/>
                              </w:rPr>
                              <m:t>cm</m:t>
                            </m:r>
                          </m:sub>
                        </m:sSub>
                      </m:den>
                    </m:f>
                    <m:r>
                      <w:rPr>
                        <w:rFonts w:ascii="Cambria Math" w:hAnsi="Cambria Math"/>
                      </w:rPr>
                      <m:t>φ</m:t>
                    </m:r>
                    <m:d>
                      <m:dPr>
                        <m:sepChr m:val=""/>
                        <m:ctrlPr>
                          <w:rPr>
                            <w:rFonts w:ascii="Cambria Math" w:hAnsi="Cambria Math"/>
                          </w:rPr>
                        </m:ctrlPr>
                      </m:dPr>
                      <m:e>
                        <m:r>
                          <w:rPr>
                            <w:rFonts w:ascii="Cambria Math" w:hAnsi="Cambria Math"/>
                          </w:rPr>
                          <m:t>t</m:t>
                        </m:r>
                      </m:e>
                      <m:e>
                        <m:r>
                          <w:rPr>
                            <w:rFonts w:ascii="Cambria Math" w:hAnsi="Cambria Math"/>
                          </w:rPr>
                          <m:t>,</m:t>
                        </m:r>
                      </m:e>
                      <m:e>
                        <m:sSub>
                          <m:sSubPr>
                            <m:ctrlPr>
                              <w:rPr>
                                <w:rFonts w:ascii="Cambria Math" w:hAnsi="Cambria Math"/>
                              </w:rPr>
                            </m:ctrlPr>
                          </m:sSubPr>
                          <m:e>
                            <m:r>
                              <w:rPr>
                                <w:rFonts w:ascii="Cambria Math" w:hAnsi="Cambria Math"/>
                              </w:rPr>
                              <m:t>t</m:t>
                            </m:r>
                          </m:e>
                          <m:sub>
                            <m:r>
                              <w:rPr>
                                <w:rFonts w:ascii="Cambria Math" w:hAnsi="Cambria Math"/>
                              </w:rPr>
                              <m:t>0</m:t>
                            </m:r>
                          </m:sub>
                        </m:sSub>
                      </m:e>
                    </m:d>
                    <m:sSub>
                      <m:sSubPr>
                        <m:ctrlPr>
                          <w:rPr>
                            <w:rFonts w:ascii="Cambria Math" w:hAnsi="Cambria Math"/>
                          </w:rPr>
                        </m:ctrlPr>
                      </m:sSubPr>
                      <m:e>
                        <m:r>
                          <w:rPr>
                            <w:rFonts w:ascii="Cambria Math" w:hAnsi="Cambria Math"/>
                          </w:rPr>
                          <m:t>σ</m:t>
                        </m:r>
                      </m:e>
                      <m:sub>
                        <m:r>
                          <m:rPr>
                            <m:sty m:val="p"/>
                          </m:rPr>
                          <w:rPr>
                            <w:rFonts w:ascii="Cambria Math" w:hAnsi="Cambria Math"/>
                          </w:rPr>
                          <m:t>cp,QP</m:t>
                        </m:r>
                      </m:sub>
                    </m:sSub>
                  </m:num>
                  <m:den>
                    <m: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E</m:t>
                            </m:r>
                          </m:e>
                          <m:sub>
                            <m:r>
                              <m:rPr>
                                <m:sty m:val="p"/>
                              </m:rPr>
                              <w:rPr>
                                <w:rFonts w:ascii="Cambria Math" w:hAnsi="Cambria Math"/>
                              </w:rPr>
                              <m:t>p</m:t>
                            </m:r>
                          </m:sub>
                        </m:sSub>
                      </m:num>
                      <m:den>
                        <m:sSub>
                          <m:sSubPr>
                            <m:ctrlPr>
                              <w:rPr>
                                <w:rFonts w:ascii="Cambria Math" w:hAnsi="Cambria Math"/>
                              </w:rPr>
                            </m:ctrlPr>
                          </m:sSubPr>
                          <m:e>
                            <m:r>
                              <w:rPr>
                                <w:rFonts w:ascii="Cambria Math" w:hAnsi="Cambria Math"/>
                              </w:rPr>
                              <m:t>E</m:t>
                            </m:r>
                          </m:e>
                          <m:sub>
                            <m:r>
                              <m:rPr>
                                <m:sty m:val="p"/>
                              </m:rPr>
                              <w:rPr>
                                <w:rFonts w:ascii="Cambria Math" w:hAnsi="Cambria Math"/>
                              </w:rPr>
                              <m:t>cm</m:t>
                            </m:r>
                          </m:sub>
                        </m:sSub>
                      </m:den>
                    </m:f>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p</m:t>
                            </m:r>
                          </m:sub>
                        </m:sSub>
                      </m:num>
                      <m:den>
                        <m:sSub>
                          <m:sSubPr>
                            <m:ctrlPr>
                              <w:rPr>
                                <w:rFonts w:ascii="Cambria Math" w:hAnsi="Cambria Math"/>
                              </w:rPr>
                            </m:ctrlPr>
                          </m:sSubPr>
                          <m:e>
                            <m:r>
                              <w:rPr>
                                <w:rFonts w:ascii="Cambria Math" w:hAnsi="Cambria Math"/>
                              </w:rPr>
                              <m:t>A</m:t>
                            </m:r>
                          </m:e>
                          <m:sub>
                            <m:r>
                              <m:rPr>
                                <m:sty m:val="p"/>
                              </m:rPr>
                              <w:rPr>
                                <w:rFonts w:ascii="Cambria Math" w:hAnsi="Cambria Math"/>
                              </w:rPr>
                              <m:t>c</m:t>
                            </m:r>
                          </m:sub>
                        </m:sSub>
                      </m:den>
                    </m:f>
                    <m:d>
                      <m:dPr>
                        <m:sepChr m:val=""/>
                        <m:ctrlPr>
                          <w:rPr>
                            <w:rFonts w:ascii="Cambria Math" w:hAnsi="Cambria Math"/>
                          </w:rPr>
                        </m:ctrlPr>
                      </m:dPr>
                      <m:e>
                        <m: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c</m:t>
                                </m:r>
                              </m:sub>
                            </m:sSub>
                          </m:num>
                          <m:den>
                            <m:sSub>
                              <m:sSubPr>
                                <m:ctrlPr>
                                  <w:rPr>
                                    <w:rFonts w:ascii="Cambria Math" w:hAnsi="Cambria Math"/>
                                  </w:rPr>
                                </m:ctrlPr>
                              </m:sSubPr>
                              <m:e>
                                <m:r>
                                  <w:rPr>
                                    <w:rFonts w:ascii="Cambria Math" w:hAnsi="Cambria Math"/>
                                  </w:rPr>
                                  <m:t>I</m:t>
                                </m:r>
                              </m:e>
                              <m:sub>
                                <m:r>
                                  <m:rPr>
                                    <m:sty m:val="p"/>
                                  </m:rPr>
                                  <w:rPr>
                                    <w:rFonts w:ascii="Cambria Math" w:hAnsi="Cambria Math"/>
                                  </w:rPr>
                                  <m:t>c</m:t>
                                </m:r>
                              </m:sub>
                            </m:sSub>
                          </m:den>
                        </m:f>
                      </m:e>
                      <m:e>
                        <m:sSubSup>
                          <m:sSubSupPr>
                            <m:ctrlPr>
                              <w:rPr>
                                <w:rFonts w:ascii="Cambria Math" w:hAnsi="Cambria Math"/>
                              </w:rPr>
                            </m:ctrlPr>
                          </m:sSubSupPr>
                          <m:e>
                            <m:r>
                              <w:rPr>
                                <w:rFonts w:ascii="Cambria Math" w:hAnsi="Cambria Math"/>
                              </w:rPr>
                              <m:t>z</m:t>
                            </m:r>
                          </m:e>
                          <m:sub>
                            <m:r>
                              <m:rPr>
                                <m:sty m:val="p"/>
                              </m:rPr>
                              <w:rPr>
                                <w:rFonts w:ascii="Cambria Math" w:hAnsi="Cambria Math"/>
                              </w:rPr>
                              <m:t>cp</m:t>
                            </m:r>
                          </m:sub>
                          <m:sup>
                            <m:r>
                              <w:rPr>
                                <w:rFonts w:ascii="Cambria Math" w:hAnsi="Cambria Math"/>
                              </w:rPr>
                              <m:t>2</m:t>
                            </m:r>
                          </m:sup>
                        </m:sSubSup>
                      </m:e>
                    </m:d>
                    <m:d>
                      <m:dPr>
                        <m:begChr m:val="["/>
                        <m:sepChr m:val=""/>
                        <m:endChr m:val="]"/>
                        <m:ctrlPr>
                          <w:rPr>
                            <w:rFonts w:ascii="Cambria Math" w:hAnsi="Cambria Math"/>
                          </w:rPr>
                        </m:ctrlPr>
                      </m:dPr>
                      <m:e>
                        <m:r>
                          <w:rPr>
                            <w:rFonts w:ascii="Cambria Math" w:hAnsi="Cambria Math"/>
                          </w:rPr>
                          <m:t>1+0,8φ</m:t>
                        </m:r>
                      </m:e>
                      <m:e>
                        <m:d>
                          <m:dPr>
                            <m:sepChr m:val=""/>
                            <m:ctrlPr>
                              <w:rPr>
                                <w:rFonts w:ascii="Cambria Math" w:hAnsi="Cambria Math"/>
                              </w:rPr>
                            </m:ctrlPr>
                          </m:dPr>
                          <m:e>
                            <m:r>
                              <w:rPr>
                                <w:rFonts w:ascii="Cambria Math" w:hAnsi="Cambria Math"/>
                              </w:rPr>
                              <m:t>t</m:t>
                            </m:r>
                          </m:e>
                          <m:e>
                            <m:r>
                              <w:rPr>
                                <w:rFonts w:ascii="Cambria Math" w:hAnsi="Cambria Math"/>
                              </w:rPr>
                              <m:t>,</m:t>
                            </m:r>
                          </m:e>
                          <m:e>
                            <m:sSub>
                              <m:sSubPr>
                                <m:ctrlPr>
                                  <w:rPr>
                                    <w:rFonts w:ascii="Cambria Math" w:hAnsi="Cambria Math"/>
                                  </w:rPr>
                                </m:ctrlPr>
                              </m:sSubPr>
                              <m:e>
                                <m:r>
                                  <w:rPr>
                                    <w:rFonts w:ascii="Cambria Math" w:hAnsi="Cambria Math"/>
                                  </w:rPr>
                                  <m:t>t</m:t>
                                </m:r>
                              </m:e>
                              <m:sub>
                                <m:r>
                                  <w:rPr>
                                    <w:rFonts w:ascii="Cambria Math" w:hAnsi="Cambria Math"/>
                                  </w:rPr>
                                  <m:t>0</m:t>
                                </m:r>
                              </m:sub>
                            </m:sSub>
                          </m:e>
                        </m:d>
                      </m:e>
                    </m:d>
                  </m:den>
                </m:f>
              </m:oMath>
            </m:oMathPara>
          </w:p>
        </w:tc>
        <w:tc>
          <w:tcPr>
            <w:tcW w:w="1247" w:type="dxa"/>
            <w:vAlign w:val="center"/>
          </w:tcPr>
          <w:p w14:paraId="11D90350" w14:textId="0BDAE058" w:rsidR="00056CF9" w:rsidRPr="001455DC" w:rsidRDefault="00056CF9">
            <w:pPr>
              <w:pStyle w:val="a7"/>
              <w:jc w:val="right"/>
            </w:pPr>
            <w:r w:rsidRPr="001455DC">
              <w:t>(7.</w:t>
            </w:r>
            <w:r w:rsidR="00A00DDC" w:rsidRPr="001455DC">
              <w:t>35</w:t>
            </w:r>
            <w:r w:rsidRPr="001455DC">
              <w:t>)</w:t>
            </w:r>
          </w:p>
        </w:tc>
      </w:tr>
    </w:tbl>
    <w:p w14:paraId="5BCD76AD" w14:textId="5900649B" w:rsidR="00056CF9" w:rsidRPr="001455DC" w:rsidRDefault="00056CF9" w:rsidP="00A35599">
      <w:pPr>
        <w:pStyle w:val="a7"/>
        <w:keepNext/>
      </w:pPr>
      <w:r w:rsidRPr="001455DC">
        <w:t>where</w:t>
      </w:r>
    </w:p>
    <w:tbl>
      <w:tblPr>
        <w:tblW w:w="9413" w:type="dxa"/>
        <w:tblInd w:w="397" w:type="dxa"/>
        <w:tblLayout w:type="fixed"/>
        <w:tblCellMar>
          <w:left w:w="28" w:type="dxa"/>
          <w:right w:w="28" w:type="dxa"/>
        </w:tblCellMar>
        <w:tblLook w:val="04A0" w:firstRow="1" w:lastRow="0" w:firstColumn="1" w:lastColumn="0" w:noHBand="0" w:noVBand="1"/>
      </w:tblPr>
      <w:tblGrid>
        <w:gridCol w:w="851"/>
        <w:gridCol w:w="8562"/>
      </w:tblGrid>
      <w:tr w:rsidR="00056CF9" w:rsidRPr="001455DC" w14:paraId="2F061203" w14:textId="77777777" w:rsidTr="00056CF9">
        <w:trPr>
          <w:cantSplit/>
        </w:trPr>
        <w:tc>
          <w:tcPr>
            <w:tcW w:w="851" w:type="dxa"/>
          </w:tcPr>
          <w:p w14:paraId="744EC4FA" w14:textId="206CE7EB" w:rsidR="00056CF9" w:rsidRPr="001455DC" w:rsidRDefault="00056CF9" w:rsidP="00056CF9">
            <w:pPr>
              <w:pStyle w:val="Tablebody"/>
            </w:pPr>
            <w:r w:rsidRPr="001455DC">
              <w:t>Δ</w:t>
            </w:r>
            <w:r w:rsidRPr="001455DC">
              <w:rPr>
                <w:rStyle w:val="CCMCvariableitalic"/>
              </w:rPr>
              <w:t>σ</w:t>
            </w:r>
            <w:r w:rsidRPr="001455DC">
              <w:rPr>
                <w:rStyle w:val="CCMCvariablesubscript"/>
              </w:rPr>
              <w:t>pr</w:t>
            </w:r>
          </w:p>
        </w:tc>
        <w:tc>
          <w:tcPr>
            <w:tcW w:w="8562" w:type="dxa"/>
          </w:tcPr>
          <w:p w14:paraId="0CE7ADE0" w14:textId="1826FFDB" w:rsidR="00056CF9" w:rsidRPr="001455DC" w:rsidRDefault="00056CF9" w:rsidP="00056CF9">
            <w:pPr>
              <w:pStyle w:val="Tablebody"/>
            </w:pPr>
            <w:r w:rsidRPr="001455DC">
              <w:t xml:space="preserve">is the absolute value of the variation of stress in the tendons at location </w:t>
            </w:r>
            <w:r w:rsidRPr="001455DC">
              <w:rPr>
                <w:rStyle w:val="CCMCvariableitalic"/>
              </w:rPr>
              <w:t>x</w:t>
            </w:r>
            <w:r w:rsidRPr="001455DC">
              <w:t xml:space="preserve">, at time </w:t>
            </w:r>
            <w:r w:rsidRPr="001455DC">
              <w:rPr>
                <w:rStyle w:val="CCMCvariableitalic"/>
              </w:rPr>
              <w:t>t</w:t>
            </w:r>
            <w:r w:rsidRPr="001455DC">
              <w:t xml:space="preserve">, due to the relaxation of the prestressing steel. It should be determined for the initial stress in the tendons due to initial prestress and quasi-permanent combination of actions </w:t>
            </w:r>
            <w:r w:rsidRPr="001455DC">
              <w:rPr>
                <w:rStyle w:val="CCMCvariableitalic"/>
              </w:rPr>
              <w:t>σ</w:t>
            </w:r>
            <w:r w:rsidRPr="001455DC">
              <w:rPr>
                <w:rStyle w:val="CCMCvariablesubscript"/>
              </w:rPr>
              <w:t>pr</w:t>
            </w:r>
            <w:r w:rsidRPr="001455DC">
              <w:t> </w:t>
            </w:r>
            <w:r w:rsidR="00EC27D2" w:rsidRPr="001455DC">
              <w:rPr>
                <w:rFonts w:ascii="Cambria Math" w:hAnsi="Cambria Math"/>
              </w:rPr>
              <w:t>=</w:t>
            </w:r>
            <w:r w:rsidRPr="001455DC">
              <w:t> </w:t>
            </w:r>
            <w:r w:rsidRPr="001455DC">
              <w:rPr>
                <w:rStyle w:val="CCMCvariableitalic"/>
              </w:rPr>
              <w:t>σ</w:t>
            </w:r>
            <w:r w:rsidRPr="001455DC">
              <w:rPr>
                <w:rStyle w:val="CCMCvariablesubscript"/>
              </w:rPr>
              <w:t>pr</w:t>
            </w:r>
            <w:r w:rsidRPr="001455DC">
              <w:t>(</w:t>
            </w:r>
            <w:r w:rsidRPr="001455DC">
              <w:rPr>
                <w:rStyle w:val="CCMCvariableitalic"/>
              </w:rPr>
              <w:t>G</w:t>
            </w:r>
            <w:r w:rsidR="00EC27D2" w:rsidRPr="001455DC">
              <w:rPr>
                <w:rFonts w:ascii="Cambria Math" w:hAnsi="Cambria Math"/>
              </w:rPr>
              <w:t> + </w:t>
            </w:r>
            <w:r w:rsidRPr="001455DC">
              <w:rPr>
                <w:rStyle w:val="CCMCvariableitalic"/>
              </w:rPr>
              <w:t>P</w:t>
            </w:r>
            <w:r w:rsidRPr="001455DC">
              <w:rPr>
                <w:rStyle w:val="CCMCvariablesubscript"/>
              </w:rPr>
              <w:t>m0</w:t>
            </w:r>
            <w:r w:rsidR="00EC27D2" w:rsidRPr="001455DC">
              <w:rPr>
                <w:rFonts w:ascii="Cambria Math" w:hAnsi="Cambria Math"/>
              </w:rPr>
              <w:t> + </w:t>
            </w:r>
            <w:r w:rsidRPr="001455DC">
              <w:rPr>
                <w:rStyle w:val="CCMCvariableitalic"/>
              </w:rPr>
              <w:t>ψ</w:t>
            </w:r>
            <w:r w:rsidRPr="001455DC">
              <w:rPr>
                <w:rStyle w:val="CCMCvariablesubscript"/>
              </w:rPr>
              <w:t>2</w:t>
            </w:r>
            <w:r w:rsidRPr="001455DC">
              <w:rPr>
                <w:rStyle w:val="CCMCvariableitalic"/>
              </w:rPr>
              <w:t>Q</w:t>
            </w:r>
            <w:r w:rsidRPr="001455DC">
              <w:t>);</w:t>
            </w:r>
          </w:p>
        </w:tc>
      </w:tr>
      <w:tr w:rsidR="00056CF9" w:rsidRPr="001455DC" w14:paraId="5232A0D2" w14:textId="77777777" w:rsidTr="00056CF9">
        <w:trPr>
          <w:cantSplit/>
        </w:trPr>
        <w:tc>
          <w:tcPr>
            <w:tcW w:w="851" w:type="dxa"/>
          </w:tcPr>
          <w:p w14:paraId="16EDDA4E" w14:textId="20162199" w:rsidR="00056CF9" w:rsidRPr="001455DC" w:rsidRDefault="00056CF9" w:rsidP="00056CF9">
            <w:pPr>
              <w:pStyle w:val="Tablebody"/>
            </w:pPr>
            <w:r w:rsidRPr="001455DC">
              <w:rPr>
                <w:rStyle w:val="CCMCvariableitalic"/>
              </w:rPr>
              <w:t>σ</w:t>
            </w:r>
            <w:r w:rsidRPr="001455DC">
              <w:rPr>
                <w:rStyle w:val="CCMCvariablesubscript"/>
              </w:rPr>
              <w:t>cp,QP</w:t>
            </w:r>
          </w:p>
        </w:tc>
        <w:tc>
          <w:tcPr>
            <w:tcW w:w="8562" w:type="dxa"/>
          </w:tcPr>
          <w:p w14:paraId="3DDC9450" w14:textId="66DD482A" w:rsidR="00056CF9" w:rsidRPr="001455DC" w:rsidRDefault="00056CF9">
            <w:pPr>
              <w:pStyle w:val="Tablebody"/>
            </w:pPr>
            <w:r w:rsidRPr="001455DC">
              <w:t xml:space="preserve">is the stress in the concrete adjacent to the tendons, due to self-weight and initial prestress and other quasi-permanent actions where relevant. The value of </w:t>
            </w:r>
            <w:r w:rsidRPr="001455DC">
              <w:rPr>
                <w:rStyle w:val="CCMCvariableitalic"/>
              </w:rPr>
              <w:t>σ</w:t>
            </w:r>
            <w:r w:rsidRPr="001455DC">
              <w:rPr>
                <w:rStyle w:val="CCMCvariablesubscript"/>
              </w:rPr>
              <w:t>cp,Q</w:t>
            </w:r>
            <w:r w:rsidRPr="001455DC">
              <w:rPr>
                <w:rStyle w:val="CCMCvariableitalic"/>
              </w:rPr>
              <w:t>P</w:t>
            </w:r>
            <w:r w:rsidRPr="001455DC">
              <w:t xml:space="preserve"> can be the effect of part of self-weight and initial prestress or the effect of a full quasi-permanent combination of actions [</w:t>
            </w:r>
            <w:r w:rsidRPr="001455DC">
              <w:rPr>
                <w:rStyle w:val="CCMCvariableitalic"/>
              </w:rPr>
              <w:t>σ</w:t>
            </w:r>
            <w:r w:rsidRPr="001455DC">
              <w:rPr>
                <w:rStyle w:val="CCMCvariablesubscript"/>
              </w:rPr>
              <w:t>cp</w:t>
            </w:r>
            <w:r w:rsidRPr="001455DC">
              <w:t> </w:t>
            </w:r>
            <w:r w:rsidRPr="001455DC">
              <w:rPr>
                <w:rFonts w:ascii="Cambria Math" w:hAnsi="Cambria Math" w:cs="Cambria Math"/>
              </w:rPr>
              <w:t>⋅</w:t>
            </w:r>
            <w:r w:rsidRPr="001455DC">
              <w:t> (</w:t>
            </w:r>
            <w:r w:rsidRPr="001455DC">
              <w:rPr>
                <w:rStyle w:val="CCMCvariableitalic"/>
              </w:rPr>
              <w:t>G</w:t>
            </w:r>
            <w:r w:rsidR="00EC27D2" w:rsidRPr="001455DC">
              <w:rPr>
                <w:rFonts w:ascii="Cambria Math" w:hAnsi="Cambria Math"/>
              </w:rPr>
              <w:t> + </w:t>
            </w:r>
            <w:r w:rsidRPr="001455DC">
              <w:rPr>
                <w:rStyle w:val="CCMCvariableitalic"/>
              </w:rPr>
              <w:t>P</w:t>
            </w:r>
            <w:r w:rsidRPr="001455DC">
              <w:rPr>
                <w:rStyle w:val="CCMCvariablesubscript"/>
              </w:rPr>
              <w:t>m0</w:t>
            </w:r>
            <w:r w:rsidR="00EC27D2" w:rsidRPr="001455DC">
              <w:rPr>
                <w:rFonts w:ascii="Cambria Math" w:hAnsi="Cambria Math"/>
              </w:rPr>
              <w:t> + </w:t>
            </w:r>
            <w:r w:rsidRPr="001455DC">
              <w:rPr>
                <w:rStyle w:val="CCMCvariableitalic"/>
              </w:rPr>
              <w:t>ψ</w:t>
            </w:r>
            <w:r w:rsidRPr="001455DC">
              <w:rPr>
                <w:rStyle w:val="CCMCvariablesubscript"/>
              </w:rPr>
              <w:t>2</w:t>
            </w:r>
            <w:r w:rsidRPr="001455DC">
              <w:rPr>
                <w:rStyle w:val="CCMCvariableitalic"/>
              </w:rPr>
              <w:t>Q</w:t>
            </w:r>
            <w:r w:rsidRPr="001455DC">
              <w:t>)], depending on the stage of construction considered (see B.</w:t>
            </w:r>
            <w:r w:rsidR="00EE3F01" w:rsidRPr="001455DC">
              <w:t>8</w:t>
            </w:r>
            <w:r w:rsidRPr="001455DC">
              <w:t>);</w:t>
            </w:r>
          </w:p>
        </w:tc>
      </w:tr>
      <w:tr w:rsidR="00056CF9" w:rsidRPr="001455DC" w14:paraId="33B7B2FC" w14:textId="77777777" w:rsidTr="00056CF9">
        <w:trPr>
          <w:cantSplit/>
        </w:trPr>
        <w:tc>
          <w:tcPr>
            <w:tcW w:w="851" w:type="dxa"/>
          </w:tcPr>
          <w:p w14:paraId="4ABACE30" w14:textId="0BBEC2FB" w:rsidR="00056CF9" w:rsidRPr="009D3012" w:rsidRDefault="00056CF9" w:rsidP="00056CF9">
            <w:pPr>
              <w:pStyle w:val="Tablebody"/>
              <w:rPr>
                <w:rStyle w:val="CCMCvariableitalic"/>
              </w:rPr>
            </w:pPr>
            <w:r w:rsidRPr="001455DC">
              <w:rPr>
                <w:rStyle w:val="CCMCvariableitalic"/>
              </w:rPr>
              <w:t>z</w:t>
            </w:r>
            <w:r w:rsidRPr="001455DC">
              <w:rPr>
                <w:rStyle w:val="CCMCvariablesubscript"/>
              </w:rPr>
              <w:t>cp</w:t>
            </w:r>
          </w:p>
        </w:tc>
        <w:tc>
          <w:tcPr>
            <w:tcW w:w="8562" w:type="dxa"/>
          </w:tcPr>
          <w:p w14:paraId="7B84E0F9" w14:textId="3BBCD71B" w:rsidR="00056CF9" w:rsidRPr="001455DC" w:rsidRDefault="00056CF9" w:rsidP="00056CF9">
            <w:pPr>
              <w:pStyle w:val="Tablebody"/>
            </w:pPr>
            <w:r w:rsidRPr="001455DC">
              <w:t>is the distance between the centroid of the concrete section and the tendons.</w:t>
            </w:r>
          </w:p>
        </w:tc>
      </w:tr>
    </w:tbl>
    <w:p w14:paraId="74E3E2F8" w14:textId="522655F0" w:rsidR="004E22C1" w:rsidRPr="001455DC" w:rsidRDefault="004E22C1" w:rsidP="00056CF9">
      <w:pPr>
        <w:pStyle w:val="Note"/>
      </w:pPr>
      <w:r w:rsidRPr="001455DC">
        <w:t>NOTE</w:t>
      </w:r>
      <w:r w:rsidRPr="001455DC">
        <w:tab/>
        <w:t>It is conservative to adopt a value of 1,0 for the denominator of Formula (7.</w:t>
      </w:r>
      <w:r w:rsidR="00A00DDC" w:rsidRPr="001455DC">
        <w:t>35</w:t>
      </w:r>
      <w:r w:rsidRPr="001455DC">
        <w:t>).</w:t>
      </w:r>
    </w:p>
    <w:p w14:paraId="65874112" w14:textId="23BBBA7F" w:rsidR="004E22C1" w:rsidRPr="001455DC" w:rsidRDefault="004E22C1" w:rsidP="00056CF9">
      <w:pPr>
        <w:pStyle w:val="a7"/>
      </w:pPr>
      <w:r w:rsidRPr="001455DC">
        <w:t>(3)</w:t>
      </w:r>
      <w:r w:rsidRPr="001455DC">
        <w:tab/>
        <w:t>Formula (7.</w:t>
      </w:r>
      <w:r w:rsidR="00A00DDC" w:rsidRPr="001455DC">
        <w:t>35</w:t>
      </w:r>
      <w:r w:rsidRPr="001455DC">
        <w:t>) applies to bonded tendons when local values of stresses are used and to unbonded tendons when mean values of stresses are used. The mean values should be calculated between straight sections limited by the idealised deviation points for external tendons or along the entire length in case of internal tendons.</w:t>
      </w:r>
    </w:p>
    <w:p w14:paraId="10D84ED8" w14:textId="72725B3E" w:rsidR="004E22C1" w:rsidRPr="001455DC" w:rsidRDefault="004E22C1" w:rsidP="00243590">
      <w:pPr>
        <w:pStyle w:val="31"/>
      </w:pPr>
      <w:bookmarkStart w:id="516" w:name="_Ref481425522"/>
      <w:bookmarkStart w:id="517" w:name="_Toc52819968"/>
      <w:bookmarkStart w:id="518" w:name="_Toc54337360"/>
      <w:bookmarkStart w:id="519" w:name="_Toc54338024"/>
      <w:bookmarkStart w:id="520" w:name="_Toc67565372"/>
      <w:bookmarkStart w:id="521" w:name="_Hlk514494696"/>
      <w:r w:rsidRPr="001455DC">
        <w:t>Effects of prestressing at ultimate limit state</w:t>
      </w:r>
      <w:bookmarkEnd w:id="516"/>
      <w:bookmarkEnd w:id="517"/>
      <w:bookmarkEnd w:id="518"/>
      <w:bookmarkEnd w:id="519"/>
      <w:bookmarkEnd w:id="520"/>
    </w:p>
    <w:p w14:paraId="55557F3F" w14:textId="59CDE49D" w:rsidR="004E22C1" w:rsidRPr="001455DC" w:rsidRDefault="004E22C1" w:rsidP="00056CF9">
      <w:pPr>
        <w:pStyle w:val="a7"/>
      </w:pPr>
      <w:r w:rsidRPr="001455DC">
        <w:t>(1)</w:t>
      </w:r>
      <w:r w:rsidRPr="001455DC">
        <w:tab/>
        <w:t xml:space="preserve">The statically determinated component of prestressing may be considered either as an external action or as a resistance when verifying the Ultimate Limit State for flexural resistance (see 7.6.1(1)). In the first case, when determining the flexural capacity of the section, the resistance of the tendon shall be limited to </w:t>
      </w:r>
      <w:r w:rsidRPr="001455DC">
        <w:rPr>
          <w:rStyle w:val="CCMCvariableitalic"/>
        </w:rPr>
        <w:t>f</w:t>
      </w:r>
      <w:r w:rsidRPr="001455DC">
        <w:rPr>
          <w:rStyle w:val="CCMCvariablesubscript"/>
        </w:rPr>
        <w:t>pd</w:t>
      </w:r>
      <w:r w:rsidRPr="001455DC">
        <w:t> </w:t>
      </w:r>
      <w:r w:rsidR="00EC27D2" w:rsidRPr="001455DC">
        <w:rPr>
          <w:rFonts w:ascii="Cambria Math" w:hAnsi="Cambria Math"/>
        </w:rPr>
        <w:t>−</w:t>
      </w:r>
      <w:r w:rsidRPr="001455DC">
        <w:t> </w:t>
      </w:r>
      <w:r w:rsidRPr="001455DC">
        <w:rPr>
          <w:rStyle w:val="CCMCvariableitalic"/>
        </w:rPr>
        <w:t>σ</w:t>
      </w:r>
      <w:r w:rsidRPr="001455DC">
        <w:rPr>
          <w:rStyle w:val="CCMCvariablesubscript"/>
        </w:rPr>
        <w:t>pd</w:t>
      </w:r>
      <w:r w:rsidRPr="001455DC">
        <w:t xml:space="preserve">. In the second case it shall be limited to </w:t>
      </w:r>
      <w:r w:rsidRPr="001455DC">
        <w:rPr>
          <w:rStyle w:val="CCMCvariableitalic"/>
        </w:rPr>
        <w:t>f</w:t>
      </w:r>
      <w:r w:rsidRPr="001455DC">
        <w:rPr>
          <w:rStyle w:val="CCMCvariablesubscript"/>
        </w:rPr>
        <w:t>pd</w:t>
      </w:r>
      <w:r w:rsidRPr="001455DC">
        <w:t>.</w:t>
      </w:r>
    </w:p>
    <w:p w14:paraId="4BFF785D" w14:textId="0B14D54F" w:rsidR="004E22C1" w:rsidRPr="001455DC" w:rsidRDefault="004E22C1" w:rsidP="00056CF9">
      <w:pPr>
        <w:pStyle w:val="a7"/>
      </w:pPr>
      <w:r w:rsidRPr="001455DC">
        <w:t>(2)</w:t>
      </w:r>
      <w:r w:rsidRPr="001455DC">
        <w:tab/>
        <w:t xml:space="preserve">In general, the design value of the prestressing stress as external action may be determined as </w:t>
      </w:r>
      <w:r w:rsidRPr="001455DC">
        <w:rPr>
          <w:rStyle w:val="CCMCvariableitalic"/>
        </w:rPr>
        <w:t>σ</w:t>
      </w:r>
      <w:r w:rsidRPr="001455DC">
        <w:rPr>
          <w:rStyle w:val="CCMCvariablesubscript"/>
        </w:rPr>
        <w:t>pd,t</w:t>
      </w:r>
      <w:r w:rsidRPr="001455DC">
        <w:t>(</w:t>
      </w:r>
      <w:r w:rsidRPr="001455DC">
        <w:rPr>
          <w:rStyle w:val="CCMCvariableitalic"/>
        </w:rPr>
        <w:t>x</w:t>
      </w:r>
      <w:r w:rsidRPr="001455DC">
        <w:t>) </w:t>
      </w:r>
      <w:r w:rsidR="00EC27D2" w:rsidRPr="001455DC">
        <w:rPr>
          <w:rFonts w:ascii="Cambria Math" w:hAnsi="Cambria Math"/>
        </w:rPr>
        <w:t>=</w:t>
      </w:r>
      <w:r w:rsidRPr="001455DC">
        <w:t> </w:t>
      </w:r>
      <w:r w:rsidRPr="001455DC">
        <w:rPr>
          <w:rStyle w:val="CCMCvariableitalic"/>
        </w:rPr>
        <w:t>γ</w:t>
      </w:r>
      <w:r w:rsidRPr="001455DC">
        <w:rPr>
          <w:rStyle w:val="CCMCvariablesubscript"/>
        </w:rPr>
        <w:t>P</w:t>
      </w:r>
      <w:r w:rsidRPr="001455DC">
        <w:rPr>
          <w:rStyle w:val="CCMCvariableitalic"/>
        </w:rPr>
        <w:t>σ</w:t>
      </w:r>
      <w:r w:rsidRPr="001455DC">
        <w:rPr>
          <w:rStyle w:val="CCMCvariablesubscript"/>
        </w:rPr>
        <w:t>p,mt</w:t>
      </w:r>
      <w:r w:rsidRPr="001455DC">
        <w:t>(</w:t>
      </w:r>
      <w:r w:rsidRPr="001455DC">
        <w:rPr>
          <w:rStyle w:val="CCMCvariableitalic"/>
        </w:rPr>
        <w:t>x</w:t>
      </w:r>
      <w:r w:rsidRPr="001455DC">
        <w:t>).</w:t>
      </w:r>
    </w:p>
    <w:p w14:paraId="22B977E1" w14:textId="17386D78" w:rsidR="004E22C1" w:rsidRPr="001455DC" w:rsidRDefault="004E22C1" w:rsidP="00056CF9">
      <w:pPr>
        <w:pStyle w:val="a7"/>
        <w:rPr>
          <w:szCs w:val="22"/>
        </w:rPr>
      </w:pPr>
      <w:r w:rsidRPr="001455DC">
        <w:t>(3)</w:t>
      </w:r>
      <w:r w:rsidRPr="001455DC">
        <w:tab/>
        <w:t>For prestressed members with unbonded tendons, the deformation of the whole member should generally be taken into account, when calculating the increase of the stress in the prestressing steel. If no detailed calculation is made</w:t>
      </w:r>
      <w:r w:rsidRPr="001455DC">
        <w:rPr>
          <w:szCs w:val="19"/>
        </w:rPr>
        <w:t xml:space="preserve"> and if the distance between fixed points does not exceed one span</w:t>
      </w:r>
      <w:r w:rsidRPr="001455DC">
        <w:t>, it may be assumed that the increase of the stress at ultimate limit state due to the deformation of the member before reaching failure is Δ</w:t>
      </w:r>
      <w:r w:rsidRPr="001455DC">
        <w:rPr>
          <w:rStyle w:val="CCMCvariableitalic"/>
        </w:rPr>
        <w:t>σ</w:t>
      </w:r>
      <w:r w:rsidRPr="001455DC">
        <w:rPr>
          <w:rStyle w:val="CCMCvariablesubscript"/>
        </w:rPr>
        <w:t>p,ULS</w:t>
      </w:r>
      <w:r w:rsidRPr="001455DC">
        <w:t> </w:t>
      </w:r>
      <w:r w:rsidR="00EC27D2" w:rsidRPr="001455DC">
        <w:rPr>
          <w:rFonts w:ascii="Cambria Math" w:hAnsi="Cambria Math"/>
        </w:rPr>
        <w:t>=</w:t>
      </w:r>
      <w:r w:rsidRPr="001455DC">
        <w:t> </w:t>
      </w:r>
      <w:r w:rsidRPr="001455DC">
        <w:rPr>
          <w:szCs w:val="19"/>
        </w:rPr>
        <w:t>100 MPa.</w:t>
      </w:r>
    </w:p>
    <w:p w14:paraId="4038C263" w14:textId="3DFABDEA" w:rsidR="004E22C1" w:rsidRPr="001455DC" w:rsidRDefault="004E22C1" w:rsidP="00056CF9">
      <w:pPr>
        <w:pStyle w:val="a7"/>
      </w:pPr>
      <w:r w:rsidRPr="001455DC">
        <w:rPr>
          <w:szCs w:val="22"/>
        </w:rPr>
        <w:t>(4)</w:t>
      </w:r>
      <w:r w:rsidRPr="001455DC">
        <w:rPr>
          <w:szCs w:val="22"/>
        </w:rPr>
        <w:tab/>
      </w:r>
      <w:r w:rsidRPr="001455DC">
        <w:t>If the stress increase in unbonded tendons is calculated for prestressed members using the deformation state of the whole member the mean values of the material properties should be used. The design value of the stress increase Δ</w:t>
      </w:r>
      <w:r w:rsidRPr="001455DC">
        <w:rPr>
          <w:rStyle w:val="CCMCvariableitalic"/>
        </w:rPr>
        <w:t>σ</w:t>
      </w:r>
      <w:r w:rsidRPr="001455DC">
        <w:rPr>
          <w:rStyle w:val="CCMCvariablesubscript"/>
        </w:rPr>
        <w:t>pd</w:t>
      </w:r>
      <w:r w:rsidRPr="001455DC">
        <w:t> </w:t>
      </w:r>
      <w:r w:rsidR="00EC27D2" w:rsidRPr="001455DC">
        <w:rPr>
          <w:rFonts w:ascii="Cambria Math" w:hAnsi="Cambria Math"/>
        </w:rPr>
        <w:t>=</w:t>
      </w:r>
      <w:r w:rsidRPr="001455DC">
        <w:t> Δ</w:t>
      </w:r>
      <w:r w:rsidRPr="001455DC">
        <w:rPr>
          <w:rStyle w:val="CCMCvariableitalic"/>
        </w:rPr>
        <w:t>σ</w:t>
      </w:r>
      <w:r w:rsidRPr="001455DC">
        <w:rPr>
          <w:rStyle w:val="CCMCvariablesubscript"/>
        </w:rPr>
        <w:t>p</w:t>
      </w:r>
      <w:r w:rsidRPr="001455DC">
        <w:t> </w:t>
      </w:r>
      <w:r w:rsidRPr="001455DC">
        <w:rPr>
          <w:rFonts w:ascii="Cambria Math" w:hAnsi="Cambria Math" w:cs="Cambria Math"/>
        </w:rPr>
        <w:t>⋅</w:t>
      </w:r>
      <w:r w:rsidRPr="001455DC">
        <w:t> </w:t>
      </w:r>
      <w:r w:rsidRPr="001455DC">
        <w:rPr>
          <w:rStyle w:val="CCMCvariableitalic"/>
        </w:rPr>
        <w:t>γ</w:t>
      </w:r>
      <w:r w:rsidRPr="001455DC">
        <w:rPr>
          <w:rStyle w:val="CCMCvariablesubscript"/>
        </w:rPr>
        <w:t>ΔP</w:t>
      </w:r>
      <w:r w:rsidRPr="001455DC">
        <w:t xml:space="preserve"> should be determined by applying partial safety factors </w:t>
      </w:r>
      <w:r w:rsidRPr="001455DC">
        <w:rPr>
          <w:rStyle w:val="CCMCvariableitalic"/>
        </w:rPr>
        <w:t>γ</w:t>
      </w:r>
      <w:r w:rsidRPr="001455DC">
        <w:rPr>
          <w:rStyle w:val="CCMCvariablesubscript"/>
        </w:rPr>
        <w:t>ΔP,sup</w:t>
      </w:r>
      <w:r w:rsidRPr="001455DC">
        <w:t xml:space="preserve"> or </w:t>
      </w:r>
      <w:r w:rsidRPr="001455DC">
        <w:rPr>
          <w:rStyle w:val="CCMCvariableitalic"/>
        </w:rPr>
        <w:t>γ</w:t>
      </w:r>
      <w:r w:rsidRPr="001455DC">
        <w:rPr>
          <w:rStyle w:val="CCMCvariablesubscript"/>
        </w:rPr>
        <w:t>ΔP,inf</w:t>
      </w:r>
      <w:r w:rsidRPr="001455DC">
        <w:t>, according to 4.3.2.</w:t>
      </w:r>
    </w:p>
    <w:p w14:paraId="5C862D06" w14:textId="77777777" w:rsidR="004E22C1" w:rsidRPr="001455DC" w:rsidRDefault="004E22C1" w:rsidP="00056CF9">
      <w:pPr>
        <w:pStyle w:val="a7"/>
      </w:pPr>
      <w:r w:rsidRPr="001455DC">
        <w:t>(5)</w:t>
      </w:r>
      <w:r w:rsidRPr="001455DC">
        <w:tab/>
        <w:t>For external prestressing tendons, the strain in the prestressing steel between two subsequent fixed points may be assumed to be constant. The strain in the prestressing steel should then be taken equal to the initial strain, determined just after completion of the prestressing operation, increased by the strain resulting from the structural deformation between the contact points considered, considering time-dependent losses. A deviator in an external tendon may be considered as a fixed point if the difference of tendon force between the two ends of the deviation point is smaller than the friction loss of the tendon in the deviation point.</w:t>
      </w:r>
    </w:p>
    <w:p w14:paraId="227A2FF3" w14:textId="12BC70E5" w:rsidR="004E22C1" w:rsidRPr="001455DC" w:rsidRDefault="00056CF9" w:rsidP="00056CF9">
      <w:pPr>
        <w:pStyle w:val="1"/>
        <w:pageBreakBefore/>
      </w:pPr>
      <w:bookmarkStart w:id="522" w:name="_Toc52819969"/>
      <w:bookmarkStart w:id="523" w:name="_Toc54337125"/>
      <w:bookmarkStart w:id="524" w:name="_Toc54337361"/>
      <w:bookmarkStart w:id="525" w:name="_Toc54338025"/>
      <w:bookmarkStart w:id="526" w:name="_Toc67565373"/>
      <w:bookmarkEnd w:id="521"/>
      <w:r w:rsidRPr="001455DC">
        <w:t>Ultimate Limit States</w:t>
      </w:r>
      <w:r w:rsidR="004E22C1" w:rsidRPr="001455DC">
        <w:t xml:space="preserve"> (ULS)</w:t>
      </w:r>
      <w:bookmarkEnd w:id="522"/>
      <w:bookmarkEnd w:id="523"/>
      <w:bookmarkEnd w:id="524"/>
      <w:bookmarkEnd w:id="525"/>
      <w:bookmarkEnd w:id="526"/>
    </w:p>
    <w:p w14:paraId="448E3EEA" w14:textId="6829BCF4" w:rsidR="004E22C1" w:rsidRPr="001455DC" w:rsidRDefault="004E22C1" w:rsidP="006D682B">
      <w:pPr>
        <w:pStyle w:val="21"/>
      </w:pPr>
      <w:bookmarkStart w:id="527" w:name="_Toc438630381"/>
      <w:bookmarkStart w:id="528" w:name="_Toc52819970"/>
      <w:bookmarkStart w:id="529" w:name="_Toc54337362"/>
      <w:bookmarkStart w:id="530" w:name="_Toc54338026"/>
      <w:bookmarkStart w:id="531" w:name="_Toc67565374"/>
      <w:r w:rsidRPr="001455DC">
        <w:t>Bending with or without axial force</w:t>
      </w:r>
      <w:bookmarkEnd w:id="527"/>
      <w:bookmarkEnd w:id="528"/>
      <w:bookmarkEnd w:id="529"/>
      <w:bookmarkEnd w:id="530"/>
      <w:bookmarkEnd w:id="531"/>
    </w:p>
    <w:p w14:paraId="20107558" w14:textId="2ADC8010" w:rsidR="004E22C1" w:rsidRPr="001455DC" w:rsidRDefault="004E22C1" w:rsidP="00243590">
      <w:pPr>
        <w:pStyle w:val="31"/>
      </w:pPr>
      <w:bookmarkStart w:id="532" w:name="_Toc52819971"/>
      <w:bookmarkStart w:id="533" w:name="_Toc54337363"/>
      <w:bookmarkStart w:id="534" w:name="_Toc54338027"/>
      <w:bookmarkStart w:id="535" w:name="_Toc67565375"/>
      <w:r w:rsidRPr="001455DC">
        <w:t>General</w:t>
      </w:r>
      <w:bookmarkEnd w:id="532"/>
      <w:bookmarkEnd w:id="533"/>
      <w:bookmarkEnd w:id="534"/>
      <w:bookmarkEnd w:id="535"/>
    </w:p>
    <w:p w14:paraId="32727EBF" w14:textId="77777777" w:rsidR="004E22C1" w:rsidRPr="001455DC" w:rsidRDefault="004E22C1" w:rsidP="00056CF9">
      <w:pPr>
        <w:pStyle w:val="a7"/>
      </w:pPr>
      <w:r w:rsidRPr="001455DC">
        <w:t>(1)</w:t>
      </w:r>
      <w:r w:rsidRPr="001455DC">
        <w:tab/>
        <w:t>8.1 applies to undisturbed regions of beams, slabs and similar types of members for which plane sections remain approximately plane before and after loading. The discontinuity regions of beams and other members in which plane sections do not remain plane may be designed and detailed according to the general approach provided in 8.5.</w:t>
      </w:r>
    </w:p>
    <w:p w14:paraId="6D752DB1" w14:textId="73EE5999" w:rsidR="004E22C1" w:rsidRPr="001455DC" w:rsidRDefault="004E22C1" w:rsidP="008D37B2">
      <w:pPr>
        <w:pStyle w:val="a7"/>
        <w:keepNext/>
      </w:pPr>
      <w:r w:rsidRPr="001455DC">
        <w:t>(2)</w:t>
      </w:r>
      <w:r w:rsidRPr="001455DC">
        <w:tab/>
        <w:t>When determining the ultimate moment resistance of reinforced or prestressed concrete cross</w:t>
      </w:r>
      <w:r w:rsidR="00B10711" w:rsidRPr="001455DC">
        <w:t xml:space="preserve"> </w:t>
      </w:r>
      <w:r w:rsidRPr="001455DC">
        <w:t>sections, the following assumptions shall be made:</w:t>
      </w:r>
    </w:p>
    <w:p w14:paraId="4366C401" w14:textId="6E3911B2" w:rsidR="004E22C1" w:rsidRPr="001455DC" w:rsidRDefault="004E22C1" w:rsidP="00056CF9">
      <w:pPr>
        <w:pStyle w:val="a0"/>
      </w:pPr>
      <w:r w:rsidRPr="001455DC">
        <w:t>plane sections remain plane,</w:t>
      </w:r>
    </w:p>
    <w:p w14:paraId="587A38FF" w14:textId="3550246E" w:rsidR="004E22C1" w:rsidRPr="001455DC" w:rsidRDefault="004E22C1" w:rsidP="00056CF9">
      <w:pPr>
        <w:pStyle w:val="a0"/>
      </w:pPr>
      <w:r w:rsidRPr="001455DC">
        <w:t>the change in strain in bonded reinforcement or bonded prestressing tendons, whether in tension or in compression, is the same as the change in strain in the surrounding concrete,</w:t>
      </w:r>
    </w:p>
    <w:p w14:paraId="63E97849" w14:textId="326D4996" w:rsidR="004E22C1" w:rsidRPr="001455DC" w:rsidRDefault="004E22C1" w:rsidP="00056CF9">
      <w:pPr>
        <w:pStyle w:val="a0"/>
      </w:pPr>
      <w:r w:rsidRPr="001455DC">
        <w:t>the tensile strength of concrete is ignored,</w:t>
      </w:r>
    </w:p>
    <w:p w14:paraId="0EB866B5" w14:textId="6F79ED52" w:rsidR="004E22C1" w:rsidRPr="001455DC" w:rsidRDefault="004E22C1" w:rsidP="00056CF9">
      <w:pPr>
        <w:pStyle w:val="a0"/>
      </w:pPr>
      <w:r w:rsidRPr="001455DC">
        <w:t>the stresses in the concrete in compression are derived from the design stress distributions given in 8.1.2,</w:t>
      </w:r>
    </w:p>
    <w:p w14:paraId="5348ED98" w14:textId="101DB0EB" w:rsidR="004E22C1" w:rsidRPr="001455DC" w:rsidRDefault="004E22C1" w:rsidP="00056CF9">
      <w:pPr>
        <w:pStyle w:val="a0"/>
      </w:pPr>
      <w:r w:rsidRPr="001455DC">
        <w:t>the stresses in the reinforcing or prestressing steel are derived from the design stress-strain relationships in 5.2 (Figure 5.2) and 5.3 (Figure 5.3),</w:t>
      </w:r>
    </w:p>
    <w:p w14:paraId="2FCFB0C5" w14:textId="7E47FDB2" w:rsidR="004E22C1" w:rsidRPr="001455DC" w:rsidRDefault="004E22C1" w:rsidP="00056CF9">
      <w:pPr>
        <w:pStyle w:val="a0"/>
      </w:pPr>
      <w:r w:rsidRPr="001455DC">
        <w:t>the strain difference between prestressing steel and surrounding concrete is considered when assessing the stresses in the tendons with due regard to time-dependent losses at the time considered.</w:t>
      </w:r>
    </w:p>
    <w:p w14:paraId="4DBD3328" w14:textId="77777777" w:rsidR="004E22C1" w:rsidRPr="001455DC" w:rsidRDefault="004E22C1" w:rsidP="00056CF9">
      <w:pPr>
        <w:pStyle w:val="a7"/>
      </w:pPr>
      <w:r w:rsidRPr="001455DC">
        <w:t>(3)</w:t>
      </w:r>
      <w:r w:rsidRPr="001455DC">
        <w:tab/>
        <w:t xml:space="preserve">The compressive strain in the concrete shall be limited to </w:t>
      </w:r>
      <w:r w:rsidRPr="001455DC">
        <w:rPr>
          <w:rStyle w:val="CCMCvariableitalic"/>
        </w:rPr>
        <w:t>ε</w:t>
      </w:r>
      <w:r w:rsidRPr="001455DC">
        <w:rPr>
          <w:rStyle w:val="CCMCvariablesubscript"/>
        </w:rPr>
        <w:t>cu</w:t>
      </w:r>
      <w:r w:rsidRPr="001455DC">
        <w:t>, see 8.1.2(1), unless the concrete is confined, see 8.1.4.</w:t>
      </w:r>
    </w:p>
    <w:p w14:paraId="6E606B35" w14:textId="77777777" w:rsidR="004E22C1" w:rsidRPr="001455DC" w:rsidRDefault="004E22C1" w:rsidP="00056CF9">
      <w:pPr>
        <w:pStyle w:val="a7"/>
      </w:pPr>
      <w:r w:rsidRPr="001455DC">
        <w:t>(4)</w:t>
      </w:r>
      <w:r w:rsidRPr="001455DC">
        <w:tab/>
        <w:t xml:space="preserve">The strains in the reinforcing steel and the prestressing steel shall be limited to </w:t>
      </w:r>
      <w:r w:rsidRPr="001455DC">
        <w:rPr>
          <w:rStyle w:val="CCMCvariableitalic"/>
        </w:rPr>
        <w:t>ε</w:t>
      </w:r>
      <w:r w:rsidRPr="001455DC">
        <w:rPr>
          <w:rStyle w:val="CCMCvariablesubscript"/>
        </w:rPr>
        <w:t>ud</w:t>
      </w:r>
      <w:r w:rsidRPr="001455DC">
        <w:t xml:space="preserve"> (where applicable); see 5.2.4(2) and 5.3.3(2) respectively.</w:t>
      </w:r>
    </w:p>
    <w:p w14:paraId="3F3AC274" w14:textId="19F03D04" w:rsidR="009E3C24" w:rsidRPr="001455DC" w:rsidRDefault="004E22C1" w:rsidP="009E3C24">
      <w:pPr>
        <w:pStyle w:val="a7"/>
      </w:pPr>
      <w:r w:rsidRPr="001455DC">
        <w:t>(5)</w:t>
      </w:r>
      <w:r w:rsidRPr="001455DC">
        <w:tab/>
        <w:t>Cross</w:t>
      </w:r>
      <w:r w:rsidR="00B10711" w:rsidRPr="001455DC">
        <w:t xml:space="preserve"> </w:t>
      </w:r>
      <w:r w:rsidRPr="001455DC">
        <w:t xml:space="preserve">sections loaded by an axial compression force </w:t>
      </w:r>
      <w:r w:rsidRPr="001455DC">
        <w:rPr>
          <w:rStyle w:val="CCMCvariableitalic"/>
        </w:rPr>
        <w:t>N</w:t>
      </w:r>
      <w:r w:rsidRPr="001455DC">
        <w:rPr>
          <w:rStyle w:val="CCMCvariablesubscript"/>
        </w:rPr>
        <w:t>Ed</w:t>
      </w:r>
      <w:r w:rsidRPr="001455DC">
        <w:t>, unless second order effect and the effect of imposed deformations have been accounted for, should be designed for a minimum moment of at least</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9E3C24" w:rsidRPr="001455DC" w14:paraId="27E0C04B" w14:textId="77777777" w:rsidTr="009E3C24">
        <w:trPr>
          <w:cantSplit/>
        </w:trPr>
        <w:tc>
          <w:tcPr>
            <w:tcW w:w="8505" w:type="dxa"/>
            <w:vAlign w:val="center"/>
          </w:tcPr>
          <w:p w14:paraId="4C42B1A2" w14:textId="5A85A6F0" w:rsidR="009E3C24" w:rsidRPr="001455DC" w:rsidRDefault="009E3C24" w:rsidP="009E3C24">
            <w:pPr>
              <w:pStyle w:val="Formula"/>
              <w:jc w:val="left"/>
            </w:pPr>
            <w:r w:rsidRPr="001455DC">
              <w:rPr>
                <w:rStyle w:val="CCMCvariableitalic"/>
              </w:rPr>
              <w:t>M</w:t>
            </w:r>
            <w:r w:rsidRPr="001455DC">
              <w:rPr>
                <w:rStyle w:val="CCMCvariablesubscript"/>
              </w:rPr>
              <w:t>Ed,min</w:t>
            </w:r>
            <w:r w:rsidRPr="001455DC">
              <w:t> </w:t>
            </w:r>
            <w:r w:rsidR="00EC27D2" w:rsidRPr="001455DC">
              <w:rPr>
                <w:rFonts w:ascii="Cambria Math" w:hAnsi="Cambria Math"/>
              </w:rPr>
              <w:t>=</w:t>
            </w:r>
            <w:r w:rsidRPr="001455DC">
              <w:t> </w:t>
            </w:r>
            <w:r w:rsidR="00650035" w:rsidRPr="001455DC">
              <w:rPr>
                <w:rFonts w:ascii="Cambria Math" w:hAnsi="Cambria Math"/>
              </w:rPr>
              <w:t>±</w:t>
            </w:r>
            <w:r w:rsidRPr="001455DC">
              <w:rPr>
                <w:rStyle w:val="CCMCvariableitalic"/>
              </w:rPr>
              <w:t>N</w:t>
            </w:r>
            <w:r w:rsidRPr="001455DC">
              <w:rPr>
                <w:rStyle w:val="CCMCvariablesubscript"/>
              </w:rPr>
              <w:t>Ed</w:t>
            </w:r>
            <w:r w:rsidRPr="001455DC">
              <w:t> </w:t>
            </w:r>
            <w:r w:rsidRPr="001455DC">
              <w:rPr>
                <w:rFonts w:ascii="Cambria Math" w:hAnsi="Cambria Math" w:cs="Cambria Math"/>
              </w:rPr>
              <w:t>⋅</w:t>
            </w:r>
            <w:r w:rsidRPr="001455DC">
              <w:t> </w:t>
            </w:r>
            <w:r w:rsidRPr="001455DC">
              <w:rPr>
                <w:rStyle w:val="CCMCvariableitalic"/>
              </w:rPr>
              <w:t>e</w:t>
            </w:r>
            <w:r w:rsidRPr="001455DC">
              <w:rPr>
                <w:rStyle w:val="CCMCvariablesubscript"/>
              </w:rPr>
              <w:t>d,min</w:t>
            </w:r>
          </w:p>
        </w:tc>
        <w:tc>
          <w:tcPr>
            <w:tcW w:w="1247" w:type="dxa"/>
            <w:vAlign w:val="center"/>
          </w:tcPr>
          <w:p w14:paraId="35A5775B" w14:textId="306194CD" w:rsidR="009E3C24" w:rsidRPr="001455DC" w:rsidRDefault="009E3C24">
            <w:pPr>
              <w:pStyle w:val="a7"/>
              <w:jc w:val="right"/>
            </w:pPr>
            <w:r w:rsidRPr="001455DC">
              <w:t>(8.</w:t>
            </w:r>
            <w:r w:rsidR="00A00DDC" w:rsidRPr="001455DC">
              <w:t>1</w:t>
            </w:r>
            <w:r w:rsidRPr="001455DC">
              <w:t>)</w:t>
            </w:r>
          </w:p>
        </w:tc>
      </w:tr>
    </w:tbl>
    <w:p w14:paraId="2CD8EF7C" w14:textId="77777777" w:rsidR="009E3C24" w:rsidRPr="001455DC" w:rsidRDefault="004E22C1" w:rsidP="00A35599">
      <w:pPr>
        <w:pStyle w:val="a7"/>
        <w:keepNext/>
      </w:pPr>
      <w:r w:rsidRPr="001455DC">
        <w:t>where</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9E3C24" w:rsidRPr="001455DC" w14:paraId="665F72DF" w14:textId="77777777" w:rsidTr="009E3C24">
        <w:trPr>
          <w:cantSplit/>
        </w:trPr>
        <w:tc>
          <w:tcPr>
            <w:tcW w:w="8505" w:type="dxa"/>
            <w:vAlign w:val="center"/>
          </w:tcPr>
          <w:p w14:paraId="19684629" w14:textId="0EA5762E" w:rsidR="009E3C24" w:rsidRPr="001455DC" w:rsidRDefault="009E3C24" w:rsidP="009E3C24">
            <w:pPr>
              <w:pStyle w:val="Formula"/>
              <w:jc w:val="left"/>
            </w:pPr>
            <w:r w:rsidRPr="001455DC">
              <w:rPr>
                <w:rStyle w:val="CCMCvariableitalic"/>
              </w:rPr>
              <w:t>e</w:t>
            </w:r>
            <w:r w:rsidRPr="001455DC">
              <w:rPr>
                <w:rStyle w:val="CCMCvariablesubscript"/>
              </w:rPr>
              <w:t>d,min</w:t>
            </w:r>
            <w:r w:rsidRPr="001455DC">
              <w:t> </w:t>
            </w:r>
            <w:r w:rsidR="00EC27D2" w:rsidRPr="001455DC">
              <w:rPr>
                <w:rFonts w:ascii="Cambria Math" w:hAnsi="Cambria Math"/>
              </w:rPr>
              <w:t>=</w:t>
            </w:r>
            <w:r w:rsidRPr="001455DC">
              <w:t> max{</w:t>
            </w:r>
            <w:r w:rsidRPr="001455DC">
              <w:rPr>
                <w:rStyle w:val="CCMCvariableitalic"/>
              </w:rPr>
              <w:t>h</w:t>
            </w:r>
            <w:r w:rsidRPr="001455DC">
              <w:t>/30; 20 mm}</w:t>
            </w:r>
          </w:p>
        </w:tc>
        <w:tc>
          <w:tcPr>
            <w:tcW w:w="1247" w:type="dxa"/>
            <w:vAlign w:val="center"/>
          </w:tcPr>
          <w:p w14:paraId="50584BC4" w14:textId="16318CCB" w:rsidR="009E3C24" w:rsidRPr="001455DC" w:rsidRDefault="009E3C24">
            <w:pPr>
              <w:pStyle w:val="a7"/>
              <w:jc w:val="right"/>
            </w:pPr>
          </w:p>
        </w:tc>
      </w:tr>
    </w:tbl>
    <w:p w14:paraId="1E06508F" w14:textId="77777777" w:rsidR="004E22C1" w:rsidRPr="001455DC" w:rsidRDefault="004E22C1" w:rsidP="009E3C24">
      <w:pPr>
        <w:pStyle w:val="a7"/>
      </w:pPr>
      <w:r w:rsidRPr="001455DC">
        <w:t>(6)</w:t>
      </w:r>
      <w:r w:rsidRPr="001455DC">
        <w:tab/>
        <w:t>Limiting strain distributions in a cross section should be those shown in Figure 8.1.</w:t>
      </w:r>
    </w:p>
    <w:p w14:paraId="734D4F2B" w14:textId="0AF4D678" w:rsidR="004E22C1" w:rsidRPr="001455DC" w:rsidRDefault="00723CF7" w:rsidP="00056CF9">
      <w:pPr>
        <w:pStyle w:val="FigureImage"/>
      </w:pPr>
      <w:r>
        <w:rPr>
          <w:noProof/>
          <w:lang w:eastAsia="en-GB"/>
        </w:rPr>
        <w:fldChar w:fldCharType="begin"/>
      </w:r>
      <w:r>
        <w:rPr>
          <w:noProof/>
          <w:lang w:eastAsia="en-GB"/>
        </w:rPr>
        <w:instrText xml:space="preserve"> INCLUDEPICTURE  "Y:\\STD_MGT\\STDDEL\\PRODUCTION\\etrans\\Download\\Z_FIRST_DEL\\SV\\00250\\00250269\\41_e_dr\\8_001.tif"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"Y:\\STD_MGT\\STDDEL\\PRODUCTION\\Standards\\00250\\269\\41_e_dr\\8_001.tif"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"Y:\\STD_MGT\\STDDEL\\PRODUCTION\\Standards\\00250\\269\\41_e_dr\\8_001.tif"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"Y:\\STD_MGT\\STDDEL\\PRODUCTION\\Standards\\00250\\269\\41_e_dr\\8_001.tif"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"Y:\\STD_MGT\\STDDEL\\PRODUCTION\\Standards\\00250\\269\\41_e_dr\\8_001.tif"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"Y:\\STD_MGT\\STDDEL\\PRODUCTION\\Standards\\00250\\269\\41_e_dr\\8_001.tif"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"C:\\Users\\a.dionysiou\\AppData\\Local\\Temp\\Temp1_00250269_e_20210902.zip.zip\\41_e_dr\\8_001.tif"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0554FCED">
          <v:shape id="_x0000_i1147" type="#_x0000_t75" style="width:338.25pt;height:117pt">
            <v:imagedata r:id="rId264" r:href="rId265"/>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78B4DAC0" w14:textId="77777777" w:rsidR="00056CF9" w:rsidRPr="001455DC" w:rsidRDefault="00056CF9" w:rsidP="00056CF9">
      <w:pPr>
        <w:pStyle w:val="KeyTitle"/>
      </w:pPr>
      <w:r w:rsidRPr="001455DC">
        <w:t>Key</w:t>
      </w:r>
    </w:p>
    <w:tbl>
      <w:tblPr>
        <w:tblW w:w="9809" w:type="dxa"/>
        <w:tblLayout w:type="fixed"/>
        <w:tblCellMar>
          <w:left w:w="28" w:type="dxa"/>
          <w:right w:w="28" w:type="dxa"/>
        </w:tblCellMar>
        <w:tblLook w:val="0000" w:firstRow="0" w:lastRow="0" w:firstColumn="0" w:lastColumn="0" w:noHBand="0" w:noVBand="0"/>
      </w:tblPr>
      <w:tblGrid>
        <w:gridCol w:w="397"/>
        <w:gridCol w:w="9412"/>
      </w:tblGrid>
      <w:tr w:rsidR="00056CF9" w:rsidRPr="001455DC" w14:paraId="1A54464C" w14:textId="77777777" w:rsidTr="00056CF9">
        <w:tc>
          <w:tcPr>
            <w:tcW w:w="397" w:type="dxa"/>
            <w:shd w:val="clear" w:color="auto" w:fill="auto"/>
          </w:tcPr>
          <w:p w14:paraId="4D38FB66" w14:textId="17588C19" w:rsidR="00056CF9" w:rsidRPr="001455DC" w:rsidRDefault="00056CF9" w:rsidP="00056CF9">
            <w:pPr>
              <w:pStyle w:val="KeyText"/>
              <w:tabs>
                <w:tab w:val="clear" w:pos="346"/>
              </w:tabs>
              <w:ind w:left="0" w:firstLine="0"/>
            </w:pPr>
            <w:r w:rsidRPr="001455DC">
              <w:t>1</w:t>
            </w:r>
          </w:p>
        </w:tc>
        <w:tc>
          <w:tcPr>
            <w:tcW w:w="9412" w:type="dxa"/>
            <w:shd w:val="clear" w:color="auto" w:fill="auto"/>
          </w:tcPr>
          <w:p w14:paraId="1E115771" w14:textId="77B685A0" w:rsidR="00056CF9" w:rsidRPr="001455DC" w:rsidRDefault="000C0670">
            <w:pPr>
              <w:pStyle w:val="KeyText"/>
              <w:tabs>
                <w:tab w:val="clear" w:pos="346"/>
              </w:tabs>
              <w:ind w:left="0" w:firstLine="0"/>
            </w:pPr>
            <w:r>
              <w:t>t</w:t>
            </w:r>
            <w:r w:rsidR="00BB3882" w:rsidRPr="001455DC">
              <w:t xml:space="preserve">ensile </w:t>
            </w:r>
            <w:r w:rsidR="00056CF9" w:rsidRPr="001455DC">
              <w:t>strain limit of reinforcing steel</w:t>
            </w:r>
          </w:p>
        </w:tc>
      </w:tr>
      <w:tr w:rsidR="00056CF9" w:rsidRPr="001455DC" w14:paraId="36098EF6" w14:textId="77777777" w:rsidTr="00056CF9">
        <w:tc>
          <w:tcPr>
            <w:tcW w:w="397" w:type="dxa"/>
            <w:shd w:val="clear" w:color="auto" w:fill="auto"/>
          </w:tcPr>
          <w:p w14:paraId="2E198696" w14:textId="3B03688F" w:rsidR="00056CF9" w:rsidRPr="001455DC" w:rsidRDefault="00056CF9" w:rsidP="00056CF9">
            <w:pPr>
              <w:pStyle w:val="KeyText"/>
              <w:tabs>
                <w:tab w:val="clear" w:pos="346"/>
              </w:tabs>
              <w:ind w:left="0" w:firstLine="0"/>
            </w:pPr>
            <w:r w:rsidRPr="001455DC">
              <w:t>2</w:t>
            </w:r>
          </w:p>
        </w:tc>
        <w:tc>
          <w:tcPr>
            <w:tcW w:w="9412" w:type="dxa"/>
            <w:shd w:val="clear" w:color="auto" w:fill="auto"/>
          </w:tcPr>
          <w:p w14:paraId="244CEC14" w14:textId="6F0C7CB6" w:rsidR="00056CF9" w:rsidRPr="001455DC" w:rsidRDefault="000C0670" w:rsidP="00056CF9">
            <w:pPr>
              <w:pStyle w:val="KeyText"/>
              <w:tabs>
                <w:tab w:val="clear" w:pos="346"/>
              </w:tabs>
              <w:ind w:left="0" w:firstLine="0"/>
            </w:pPr>
            <w:r>
              <w:t>c</w:t>
            </w:r>
            <w:r w:rsidR="00056CF9" w:rsidRPr="001455DC">
              <w:t>ompressi</w:t>
            </w:r>
            <w:r w:rsidR="00BB3882" w:rsidRPr="001455DC">
              <w:t>ve</w:t>
            </w:r>
            <w:r w:rsidR="00056CF9" w:rsidRPr="001455DC">
              <w:t xml:space="preserve"> strain limit of concrete</w:t>
            </w:r>
          </w:p>
        </w:tc>
      </w:tr>
    </w:tbl>
    <w:p w14:paraId="495D3EDD" w14:textId="77777777" w:rsidR="004E22C1" w:rsidRPr="001455DC" w:rsidRDefault="004E22C1" w:rsidP="00056CF9">
      <w:pPr>
        <w:pStyle w:val="Figuretitle"/>
      </w:pPr>
      <w:r w:rsidRPr="001455DC">
        <w:t>Figure 8.1 — Possible strain distributions in the ultimate limit state</w:t>
      </w:r>
    </w:p>
    <w:p w14:paraId="194190C9" w14:textId="77777777" w:rsidR="004E22C1" w:rsidRPr="001455DC" w:rsidRDefault="004E22C1" w:rsidP="009E3C24">
      <w:pPr>
        <w:pStyle w:val="a7"/>
        <w:rPr>
          <w:iCs/>
        </w:rPr>
      </w:pPr>
      <w:r w:rsidRPr="001455DC">
        <w:t>(7)</w:t>
      </w:r>
      <w:r w:rsidRPr="001455DC">
        <w:tab/>
        <w:t>For prestressed members with permanently unbonded tendons, 7.6.5 applies.</w:t>
      </w:r>
    </w:p>
    <w:p w14:paraId="309563C9" w14:textId="77777777" w:rsidR="009E3C24" w:rsidRPr="001455DC" w:rsidRDefault="004E22C1" w:rsidP="008D37B2">
      <w:pPr>
        <w:pStyle w:val="a7"/>
        <w:keepNext/>
      </w:pPr>
      <w:r w:rsidRPr="001455DC">
        <w:t>(8)</w:t>
      </w:r>
      <w:r w:rsidRPr="001455DC">
        <w:tab/>
        <w:t>In the absence of an accurate cross section design for biaxial bending, the following simplified criterion may be used:</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9E3C24" w:rsidRPr="001455DC" w14:paraId="3D1A76A3" w14:textId="77777777" w:rsidTr="009E3C24">
        <w:trPr>
          <w:cantSplit/>
        </w:trPr>
        <w:tc>
          <w:tcPr>
            <w:tcW w:w="8505" w:type="dxa"/>
            <w:vAlign w:val="center"/>
          </w:tcPr>
          <w:p w14:paraId="6E21F40D" w14:textId="3F856CDB" w:rsidR="009E3C24" w:rsidRPr="001455DC" w:rsidRDefault="00231E33" w:rsidP="009E3C24">
            <w:pPr>
              <w:pStyle w:val="Formula"/>
              <w:jc w:val="left"/>
            </w:pPr>
            <m:oMathPara>
              <m:oMathParaPr>
                <m:jc m:val="left"/>
              </m:oMathParaP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Edz</m:t>
                                </m:r>
                              </m:sub>
                            </m:sSub>
                            <m:r>
                              <w:rPr>
                                <w:rFonts w:ascii="Cambria Math" w:hAnsi="Cambria Math"/>
                              </w:rPr>
                              <m:t>|</m:t>
                            </m:r>
                          </m:num>
                          <m:den>
                            <m:sSub>
                              <m:sSubPr>
                                <m:ctrlPr>
                                  <w:rPr>
                                    <w:rFonts w:ascii="Cambria Math" w:hAnsi="Cambria Math"/>
                                  </w:rPr>
                                </m:ctrlPr>
                              </m:sSubPr>
                              <m:e>
                                <m:r>
                                  <w:rPr>
                                    <w:rFonts w:ascii="Cambria Math" w:hAnsi="Cambria Math"/>
                                  </w:rPr>
                                  <m:t>M</m:t>
                                </m:r>
                              </m:e>
                              <m:sub>
                                <m:r>
                                  <m:rPr>
                                    <m:sty m:val="p"/>
                                  </m:rPr>
                                  <w:rPr>
                                    <w:rFonts w:ascii="Cambria Math" w:hAnsi="Cambria Math"/>
                                  </w:rPr>
                                  <m:t>Rdz,N</m:t>
                                </m:r>
                              </m:sub>
                            </m:sSub>
                          </m:den>
                        </m:f>
                      </m:e>
                    </m:d>
                  </m:e>
                  <m:sup>
                    <m:sSub>
                      <m:sSubPr>
                        <m:ctrlPr>
                          <w:rPr>
                            <w:rFonts w:ascii="Cambria Math" w:hAnsi="Cambria Math"/>
                          </w:rPr>
                        </m:ctrlPr>
                      </m:sSubPr>
                      <m:e>
                        <m:r>
                          <w:rPr>
                            <w:rFonts w:ascii="Cambria Math" w:hAnsi="Cambria Math"/>
                          </w:rPr>
                          <m:t>a</m:t>
                        </m:r>
                      </m:e>
                      <m:sub>
                        <m:r>
                          <m:rPr>
                            <m:sty m:val="p"/>
                          </m:rPr>
                          <w:rPr>
                            <w:rFonts w:ascii="Cambria Math" w:hAnsi="Cambria Math"/>
                          </w:rPr>
                          <m:t>N</m:t>
                        </m:r>
                      </m:sub>
                    </m:sSub>
                  </m:sup>
                </m:sSup>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Edy</m:t>
                                </m:r>
                              </m:sub>
                            </m:sSub>
                            <m:r>
                              <w:rPr>
                                <w:rFonts w:ascii="Cambria Math" w:hAnsi="Cambria Math"/>
                              </w:rPr>
                              <m:t>|</m:t>
                            </m:r>
                          </m:num>
                          <m:den>
                            <m:sSub>
                              <m:sSubPr>
                                <m:ctrlPr>
                                  <w:rPr>
                                    <w:rFonts w:ascii="Cambria Math" w:hAnsi="Cambria Math"/>
                                  </w:rPr>
                                </m:ctrlPr>
                              </m:sSubPr>
                              <m:e>
                                <m:r>
                                  <w:rPr>
                                    <w:rFonts w:ascii="Cambria Math" w:hAnsi="Cambria Math"/>
                                  </w:rPr>
                                  <m:t>M</m:t>
                                </m:r>
                              </m:e>
                              <m:sub>
                                <m:r>
                                  <m:rPr>
                                    <m:sty m:val="p"/>
                                  </m:rPr>
                                  <w:rPr>
                                    <w:rFonts w:ascii="Cambria Math" w:hAnsi="Cambria Math"/>
                                  </w:rPr>
                                  <m:t>Rdy,N</m:t>
                                </m:r>
                              </m:sub>
                            </m:sSub>
                          </m:den>
                        </m:f>
                      </m:e>
                    </m:d>
                  </m:e>
                  <m:sup>
                    <m:sSub>
                      <m:sSubPr>
                        <m:ctrlPr>
                          <w:rPr>
                            <w:rFonts w:ascii="Cambria Math" w:hAnsi="Cambria Math"/>
                          </w:rPr>
                        </m:ctrlPr>
                      </m:sSubPr>
                      <m:e>
                        <m:r>
                          <w:rPr>
                            <w:rFonts w:ascii="Cambria Math" w:hAnsi="Cambria Math"/>
                          </w:rPr>
                          <m:t>a</m:t>
                        </m:r>
                      </m:e>
                      <m:sub>
                        <m:r>
                          <m:rPr>
                            <m:sty m:val="p"/>
                          </m:rPr>
                          <w:rPr>
                            <w:rFonts w:ascii="Cambria Math" w:hAnsi="Cambria Math"/>
                          </w:rPr>
                          <m:t>N</m:t>
                        </m:r>
                      </m:sub>
                    </m:sSub>
                  </m:sup>
                </m:sSup>
                <m:r>
                  <w:rPr>
                    <w:rFonts w:ascii="Cambria Math" w:hAnsi="Cambria Math"/>
                  </w:rPr>
                  <m:t>≤1,0</m:t>
                </m:r>
              </m:oMath>
            </m:oMathPara>
          </w:p>
        </w:tc>
        <w:tc>
          <w:tcPr>
            <w:tcW w:w="1247" w:type="dxa"/>
            <w:vAlign w:val="center"/>
          </w:tcPr>
          <w:p w14:paraId="279C955A" w14:textId="478D983F" w:rsidR="009E3C24" w:rsidRPr="001455DC" w:rsidRDefault="009E3C24">
            <w:pPr>
              <w:pStyle w:val="a7"/>
              <w:jc w:val="right"/>
            </w:pPr>
            <w:r w:rsidRPr="001455DC">
              <w:t>(8.</w:t>
            </w:r>
            <w:r w:rsidR="00F62E9C" w:rsidRPr="001455DC">
              <w:t>2</w:t>
            </w:r>
            <w:r w:rsidRPr="001455DC">
              <w:t>)</w:t>
            </w:r>
          </w:p>
        </w:tc>
      </w:tr>
    </w:tbl>
    <w:p w14:paraId="2F9D5CC8" w14:textId="77777777" w:rsidR="009E3C24" w:rsidRPr="001455DC" w:rsidRDefault="009E3C24" w:rsidP="00A35599">
      <w:pPr>
        <w:pStyle w:val="a7"/>
        <w:keepNext/>
      </w:pPr>
      <w:r w:rsidRPr="001455DC">
        <w:t>where</w:t>
      </w:r>
    </w:p>
    <w:tbl>
      <w:tblPr>
        <w:tblW w:w="9413" w:type="dxa"/>
        <w:tblInd w:w="397" w:type="dxa"/>
        <w:tblLayout w:type="fixed"/>
        <w:tblCellMar>
          <w:left w:w="28" w:type="dxa"/>
          <w:right w:w="28" w:type="dxa"/>
        </w:tblCellMar>
        <w:tblLook w:val="04A0" w:firstRow="1" w:lastRow="0" w:firstColumn="1" w:lastColumn="0" w:noHBand="0" w:noVBand="1"/>
      </w:tblPr>
      <w:tblGrid>
        <w:gridCol w:w="851"/>
        <w:gridCol w:w="357"/>
        <w:gridCol w:w="1418"/>
        <w:gridCol w:w="1134"/>
        <w:gridCol w:w="1134"/>
        <w:gridCol w:w="1134"/>
        <w:gridCol w:w="2137"/>
        <w:gridCol w:w="1248"/>
      </w:tblGrid>
      <w:tr w:rsidR="009E3C24" w:rsidRPr="001455DC" w14:paraId="1FCA560C" w14:textId="77777777" w:rsidTr="009E3C24">
        <w:trPr>
          <w:cantSplit/>
        </w:trPr>
        <w:tc>
          <w:tcPr>
            <w:tcW w:w="851" w:type="dxa"/>
          </w:tcPr>
          <w:p w14:paraId="42FD22C6" w14:textId="4A8C3EF5" w:rsidR="009E3C24" w:rsidRPr="001455DC" w:rsidRDefault="009E3C24" w:rsidP="009E3C24">
            <w:pPr>
              <w:pStyle w:val="Tablebody"/>
            </w:pPr>
            <w:r w:rsidRPr="001455DC">
              <w:rPr>
                <w:rStyle w:val="CCMCvariableitalic"/>
                <w:szCs w:val="22"/>
              </w:rPr>
              <w:t>M</w:t>
            </w:r>
            <w:r w:rsidRPr="001455DC">
              <w:rPr>
                <w:rStyle w:val="CCMCvariablesubscript"/>
                <w:szCs w:val="22"/>
              </w:rPr>
              <w:t>Edz/y</w:t>
            </w:r>
          </w:p>
        </w:tc>
        <w:tc>
          <w:tcPr>
            <w:tcW w:w="8562" w:type="dxa"/>
            <w:gridSpan w:val="7"/>
          </w:tcPr>
          <w:p w14:paraId="042BCFAA" w14:textId="1AA6B4BB" w:rsidR="009E3C24" w:rsidRPr="001455DC" w:rsidRDefault="009E3C24" w:rsidP="009E3C24">
            <w:pPr>
              <w:pStyle w:val="Tablebody"/>
            </w:pPr>
            <w:r w:rsidRPr="001455DC">
              <w:rPr>
                <w:szCs w:val="22"/>
              </w:rPr>
              <w:t>is the design moment about the respective axis, including a 2</w:t>
            </w:r>
            <w:r w:rsidRPr="001455DC">
              <w:rPr>
                <w:rStyle w:val="CCMCvariablesuperscript"/>
                <w:szCs w:val="22"/>
              </w:rPr>
              <w:t>nd</w:t>
            </w:r>
            <w:r w:rsidRPr="001455DC">
              <w:rPr>
                <w:szCs w:val="22"/>
              </w:rPr>
              <w:t xml:space="preserve"> order moment;</w:t>
            </w:r>
          </w:p>
        </w:tc>
      </w:tr>
      <w:tr w:rsidR="009E3C24" w:rsidRPr="001455DC" w14:paraId="71396131" w14:textId="77777777" w:rsidTr="009E3C24">
        <w:trPr>
          <w:cantSplit/>
        </w:trPr>
        <w:tc>
          <w:tcPr>
            <w:tcW w:w="851" w:type="dxa"/>
          </w:tcPr>
          <w:p w14:paraId="3053C10F" w14:textId="7BAFCB9C" w:rsidR="009E3C24" w:rsidRPr="001455DC" w:rsidRDefault="009E3C24" w:rsidP="009E3C24">
            <w:pPr>
              <w:pStyle w:val="Tablebody"/>
            </w:pPr>
            <w:r w:rsidRPr="001455DC">
              <w:rPr>
                <w:rStyle w:val="CCMCvariableitalic"/>
                <w:szCs w:val="22"/>
              </w:rPr>
              <w:t>M</w:t>
            </w:r>
            <w:r w:rsidRPr="001455DC">
              <w:rPr>
                <w:rStyle w:val="CCMCvariablesubscript"/>
                <w:szCs w:val="22"/>
              </w:rPr>
              <w:t>Rdz/y,N</w:t>
            </w:r>
          </w:p>
        </w:tc>
        <w:tc>
          <w:tcPr>
            <w:tcW w:w="8562" w:type="dxa"/>
            <w:gridSpan w:val="7"/>
          </w:tcPr>
          <w:p w14:paraId="182226DB" w14:textId="1C67A218" w:rsidR="009E3C24" w:rsidRPr="001455DC" w:rsidRDefault="009E3C24" w:rsidP="009E3C24">
            <w:pPr>
              <w:pStyle w:val="Tablebody"/>
            </w:pPr>
            <w:r w:rsidRPr="001455DC">
              <w:rPr>
                <w:szCs w:val="22"/>
              </w:rPr>
              <w:t>is the moment resistance in the respective direction for the given axial</w:t>
            </w:r>
            <w:r w:rsidRPr="001455DC">
              <w:rPr>
                <w:szCs w:val="22"/>
              </w:rPr>
              <w:tab/>
              <w:t>compression force;</w:t>
            </w:r>
          </w:p>
        </w:tc>
      </w:tr>
      <w:tr w:rsidR="009E3C24" w:rsidRPr="001455DC" w14:paraId="20EFF8F9" w14:textId="77777777" w:rsidTr="009E3C24">
        <w:trPr>
          <w:cantSplit/>
        </w:trPr>
        <w:tc>
          <w:tcPr>
            <w:tcW w:w="851" w:type="dxa"/>
          </w:tcPr>
          <w:p w14:paraId="41529980" w14:textId="6465F6F8" w:rsidR="009E3C24" w:rsidRPr="001455DC" w:rsidRDefault="009E3C24" w:rsidP="009E3C24">
            <w:pPr>
              <w:pStyle w:val="Tablebody"/>
            </w:pPr>
            <w:r w:rsidRPr="001455DC">
              <w:rPr>
                <w:rStyle w:val="CCMCvariableitalic"/>
                <w:szCs w:val="22"/>
              </w:rPr>
              <w:t>a</w:t>
            </w:r>
            <w:r w:rsidRPr="001455DC">
              <w:rPr>
                <w:rStyle w:val="CCMCvariablesubscript"/>
                <w:szCs w:val="22"/>
              </w:rPr>
              <w:t>N</w:t>
            </w:r>
          </w:p>
        </w:tc>
        <w:tc>
          <w:tcPr>
            <w:tcW w:w="8562" w:type="dxa"/>
            <w:gridSpan w:val="7"/>
          </w:tcPr>
          <w:p w14:paraId="18D7915A" w14:textId="2B50CC8E" w:rsidR="009E3C24" w:rsidRPr="001455DC" w:rsidRDefault="009E3C24" w:rsidP="009E3C24">
            <w:pPr>
              <w:pStyle w:val="Tablebody"/>
            </w:pPr>
            <w:r w:rsidRPr="001455DC">
              <w:rPr>
                <w:szCs w:val="22"/>
              </w:rPr>
              <w:t>is the exponent whose value is determined as follows:</w:t>
            </w:r>
          </w:p>
        </w:tc>
      </w:tr>
      <w:tr w:rsidR="009E3C24" w:rsidRPr="001455DC" w14:paraId="09ACBF00" w14:textId="77777777" w:rsidTr="009E3C24">
        <w:trPr>
          <w:cantSplit/>
        </w:trPr>
        <w:tc>
          <w:tcPr>
            <w:tcW w:w="851" w:type="dxa"/>
          </w:tcPr>
          <w:p w14:paraId="7543B146" w14:textId="0D28B06C" w:rsidR="009E3C24" w:rsidRPr="001455DC" w:rsidRDefault="009E3C24" w:rsidP="009E3C24">
            <w:pPr>
              <w:pStyle w:val="Tablebody"/>
            </w:pPr>
            <w:r w:rsidRPr="001455DC">
              <w:t> </w:t>
            </w:r>
          </w:p>
        </w:tc>
        <w:tc>
          <w:tcPr>
            <w:tcW w:w="8562" w:type="dxa"/>
            <w:gridSpan w:val="7"/>
          </w:tcPr>
          <w:p w14:paraId="40F4C816" w14:textId="5393C342" w:rsidR="009E3C24" w:rsidRPr="001455DC" w:rsidRDefault="00EC27D2" w:rsidP="009E3C24">
            <w:pPr>
              <w:pStyle w:val="Tablebody"/>
              <w:ind w:left="357" w:hanging="357"/>
            </w:pPr>
            <w:r w:rsidRPr="001455DC">
              <w:rPr>
                <w:rFonts w:ascii="Cambria Math" w:hAnsi="Cambria Math"/>
              </w:rPr>
              <w:t>—</w:t>
            </w:r>
            <w:r w:rsidR="009E3C24" w:rsidRPr="001455DC">
              <w:tab/>
              <w:t xml:space="preserve">for circular and elliptical cross sections: </w:t>
            </w:r>
            <w:r w:rsidR="009E3C24" w:rsidRPr="001455DC">
              <w:rPr>
                <w:rStyle w:val="CCMCvariableitalic"/>
              </w:rPr>
              <w:t>a</w:t>
            </w:r>
            <w:r w:rsidR="009E3C24" w:rsidRPr="001455DC">
              <w:rPr>
                <w:rStyle w:val="CCMCvariablesubscript"/>
              </w:rPr>
              <w:t>N</w:t>
            </w:r>
            <w:r w:rsidR="009E3C24" w:rsidRPr="001455DC">
              <w:t> </w:t>
            </w:r>
            <w:r w:rsidRPr="001455DC">
              <w:rPr>
                <w:rFonts w:ascii="Cambria Math" w:hAnsi="Cambria Math"/>
              </w:rPr>
              <w:t>=</w:t>
            </w:r>
            <w:r w:rsidR="009E3C24" w:rsidRPr="001455DC">
              <w:t> 2</w:t>
            </w:r>
          </w:p>
        </w:tc>
      </w:tr>
      <w:tr w:rsidR="009E3C24" w:rsidRPr="001455DC" w14:paraId="654177BA" w14:textId="77777777" w:rsidTr="009E3C24">
        <w:trPr>
          <w:cantSplit/>
        </w:trPr>
        <w:tc>
          <w:tcPr>
            <w:tcW w:w="851" w:type="dxa"/>
          </w:tcPr>
          <w:p w14:paraId="754A3975" w14:textId="3733654E" w:rsidR="009E3C24" w:rsidRPr="001455DC" w:rsidRDefault="009E3C24" w:rsidP="009E3C24">
            <w:pPr>
              <w:pStyle w:val="Tablebody"/>
            </w:pPr>
            <w:r w:rsidRPr="001455DC">
              <w:t> </w:t>
            </w:r>
          </w:p>
        </w:tc>
        <w:tc>
          <w:tcPr>
            <w:tcW w:w="8562" w:type="dxa"/>
            <w:gridSpan w:val="7"/>
          </w:tcPr>
          <w:p w14:paraId="3B8B2CC6" w14:textId="076C1119" w:rsidR="009E3C24" w:rsidRPr="001455DC" w:rsidRDefault="00EC27D2" w:rsidP="009E3C24">
            <w:pPr>
              <w:pStyle w:val="Tablebody"/>
              <w:ind w:left="357" w:hanging="357"/>
            </w:pPr>
            <w:r w:rsidRPr="001455DC">
              <w:t>—</w:t>
            </w:r>
            <w:r w:rsidR="009E3C24" w:rsidRPr="001455DC">
              <w:tab/>
              <w:t>for rectangular cross sections:</w:t>
            </w:r>
          </w:p>
        </w:tc>
      </w:tr>
      <w:tr w:rsidR="009E3C24" w:rsidRPr="001455DC" w14:paraId="18462F62" w14:textId="5A180F92" w:rsidTr="009E3C24">
        <w:trPr>
          <w:cantSplit/>
        </w:trPr>
        <w:tc>
          <w:tcPr>
            <w:tcW w:w="851" w:type="dxa"/>
          </w:tcPr>
          <w:p w14:paraId="26B98C13" w14:textId="7AD023D2" w:rsidR="009E3C24" w:rsidRPr="001455DC" w:rsidRDefault="009E3C24" w:rsidP="009E3C24">
            <w:pPr>
              <w:pStyle w:val="Tablebody"/>
            </w:pPr>
            <w:r w:rsidRPr="001455DC">
              <w:t> </w:t>
            </w:r>
          </w:p>
        </w:tc>
        <w:tc>
          <w:tcPr>
            <w:tcW w:w="357" w:type="dxa"/>
            <w:tcBorders>
              <w:right w:val="single" w:sz="6" w:space="0" w:color="auto"/>
            </w:tcBorders>
          </w:tcPr>
          <w:p w14:paraId="3EE05975" w14:textId="39D5698C" w:rsidR="009E3C24" w:rsidRPr="001455DC" w:rsidRDefault="009E3C24" w:rsidP="009E3C24">
            <w:pPr>
              <w:pStyle w:val="Tablebody"/>
            </w:pPr>
            <w:r w:rsidRPr="001455DC">
              <w:t> </w:t>
            </w:r>
          </w:p>
        </w:tc>
        <w:tc>
          <w:tcPr>
            <w:tcW w:w="1418" w:type="dxa"/>
            <w:tcBorders>
              <w:top w:val="single" w:sz="6" w:space="0" w:color="auto"/>
              <w:left w:val="single" w:sz="6" w:space="0" w:color="auto"/>
              <w:bottom w:val="single" w:sz="6" w:space="0" w:color="auto"/>
              <w:right w:val="single" w:sz="6" w:space="0" w:color="auto"/>
            </w:tcBorders>
            <w:vAlign w:val="center"/>
          </w:tcPr>
          <w:p w14:paraId="3FD4BF23" w14:textId="2B08C409" w:rsidR="009E3C24" w:rsidRPr="001455DC" w:rsidRDefault="009E3C24" w:rsidP="009E3C24">
            <w:pPr>
              <w:pStyle w:val="Tablebody"/>
              <w:jc w:val="center"/>
            </w:pPr>
            <w:r w:rsidRPr="001455DC">
              <w:t>|</w:t>
            </w:r>
            <w:r w:rsidRPr="001455DC">
              <w:rPr>
                <w:rStyle w:val="CCMCvariableitalic"/>
                <w:szCs w:val="22"/>
              </w:rPr>
              <w:t>N</w:t>
            </w:r>
            <w:r w:rsidRPr="001455DC">
              <w:rPr>
                <w:rStyle w:val="CCMCvariablesubscript"/>
                <w:szCs w:val="22"/>
              </w:rPr>
              <w:t>Ed</w:t>
            </w:r>
            <w:r w:rsidRPr="001455DC">
              <w:rPr>
                <w:szCs w:val="22"/>
              </w:rPr>
              <w:t>|/</w:t>
            </w:r>
            <w:r w:rsidRPr="001455DC">
              <w:rPr>
                <w:rStyle w:val="CCMCvariableitalic"/>
                <w:szCs w:val="22"/>
              </w:rPr>
              <w:t>N</w:t>
            </w:r>
            <w:r w:rsidRPr="001455DC">
              <w:rPr>
                <w:rStyle w:val="CCMCvariablesubscript"/>
                <w:szCs w:val="22"/>
              </w:rPr>
              <w:t>Rd,0</w:t>
            </w:r>
          </w:p>
        </w:tc>
        <w:tc>
          <w:tcPr>
            <w:tcW w:w="1134" w:type="dxa"/>
            <w:tcBorders>
              <w:top w:val="single" w:sz="6" w:space="0" w:color="auto"/>
              <w:left w:val="single" w:sz="6" w:space="0" w:color="auto"/>
              <w:bottom w:val="single" w:sz="6" w:space="0" w:color="auto"/>
              <w:right w:val="single" w:sz="6" w:space="0" w:color="auto"/>
            </w:tcBorders>
            <w:vAlign w:val="center"/>
          </w:tcPr>
          <w:p w14:paraId="5FB56F30" w14:textId="3212514F" w:rsidR="009E3C24" w:rsidRPr="001455DC" w:rsidRDefault="009E3C24" w:rsidP="009E3C24">
            <w:pPr>
              <w:pStyle w:val="Tablebody"/>
              <w:jc w:val="center"/>
            </w:pPr>
            <w:r w:rsidRPr="001455DC">
              <w:rPr>
                <w:szCs w:val="22"/>
              </w:rPr>
              <w:t>0,1</w:t>
            </w:r>
          </w:p>
        </w:tc>
        <w:tc>
          <w:tcPr>
            <w:tcW w:w="1134" w:type="dxa"/>
            <w:tcBorders>
              <w:top w:val="single" w:sz="6" w:space="0" w:color="auto"/>
              <w:left w:val="single" w:sz="6" w:space="0" w:color="auto"/>
              <w:bottom w:val="single" w:sz="6" w:space="0" w:color="auto"/>
              <w:right w:val="single" w:sz="6" w:space="0" w:color="auto"/>
            </w:tcBorders>
            <w:vAlign w:val="center"/>
          </w:tcPr>
          <w:p w14:paraId="4E777D99" w14:textId="42BE5670" w:rsidR="009E3C24" w:rsidRPr="001455DC" w:rsidRDefault="009E3C24" w:rsidP="009E3C24">
            <w:pPr>
              <w:pStyle w:val="Tablebody"/>
              <w:jc w:val="center"/>
            </w:pPr>
            <w:r w:rsidRPr="001455DC">
              <w:rPr>
                <w:szCs w:val="22"/>
              </w:rPr>
              <w:t>0,7</w:t>
            </w:r>
          </w:p>
        </w:tc>
        <w:tc>
          <w:tcPr>
            <w:tcW w:w="1134" w:type="dxa"/>
            <w:tcBorders>
              <w:top w:val="single" w:sz="6" w:space="0" w:color="auto"/>
              <w:left w:val="single" w:sz="6" w:space="0" w:color="auto"/>
              <w:bottom w:val="single" w:sz="6" w:space="0" w:color="auto"/>
              <w:right w:val="single" w:sz="6" w:space="0" w:color="auto"/>
            </w:tcBorders>
            <w:vAlign w:val="center"/>
          </w:tcPr>
          <w:p w14:paraId="373F73B1" w14:textId="4E083310" w:rsidR="009E3C24" w:rsidRPr="001455DC" w:rsidRDefault="009E3C24" w:rsidP="009E3C24">
            <w:pPr>
              <w:pStyle w:val="Tablebody"/>
              <w:jc w:val="center"/>
            </w:pPr>
            <w:r w:rsidRPr="001455DC">
              <w:rPr>
                <w:szCs w:val="22"/>
              </w:rPr>
              <w:t>1,0</w:t>
            </w:r>
          </w:p>
        </w:tc>
        <w:tc>
          <w:tcPr>
            <w:tcW w:w="3385" w:type="dxa"/>
            <w:gridSpan w:val="2"/>
            <w:tcBorders>
              <w:left w:val="single" w:sz="6" w:space="0" w:color="auto"/>
            </w:tcBorders>
          </w:tcPr>
          <w:p w14:paraId="681A38AA" w14:textId="09E80632" w:rsidR="009E3C24" w:rsidRPr="001455DC" w:rsidRDefault="009E3C24" w:rsidP="009E3C24">
            <w:pPr>
              <w:pStyle w:val="Tablebody"/>
              <w:rPr>
                <w:szCs w:val="22"/>
              </w:rPr>
            </w:pPr>
            <w:r w:rsidRPr="001455DC">
              <w:rPr>
                <w:szCs w:val="22"/>
              </w:rPr>
              <w:t> </w:t>
            </w:r>
          </w:p>
        </w:tc>
      </w:tr>
      <w:tr w:rsidR="009E3C24" w:rsidRPr="001455DC" w14:paraId="1379ED50" w14:textId="50FCCFC9" w:rsidTr="009E3C24">
        <w:trPr>
          <w:cantSplit/>
        </w:trPr>
        <w:tc>
          <w:tcPr>
            <w:tcW w:w="851" w:type="dxa"/>
          </w:tcPr>
          <w:p w14:paraId="6C65385E" w14:textId="155A34FE" w:rsidR="009E3C24" w:rsidRPr="001455DC" w:rsidRDefault="009E3C24" w:rsidP="009E3C24">
            <w:pPr>
              <w:pStyle w:val="Tablebody"/>
            </w:pPr>
            <w:r w:rsidRPr="001455DC">
              <w:t> </w:t>
            </w:r>
          </w:p>
        </w:tc>
        <w:tc>
          <w:tcPr>
            <w:tcW w:w="357" w:type="dxa"/>
            <w:tcBorders>
              <w:right w:val="single" w:sz="6" w:space="0" w:color="auto"/>
            </w:tcBorders>
          </w:tcPr>
          <w:p w14:paraId="58D9ADBE" w14:textId="62013139" w:rsidR="009E3C24" w:rsidRPr="001455DC" w:rsidRDefault="009E3C24" w:rsidP="009E3C24">
            <w:pPr>
              <w:pStyle w:val="Tablebody"/>
            </w:pPr>
            <w:r w:rsidRPr="001455DC">
              <w:t> </w:t>
            </w:r>
          </w:p>
        </w:tc>
        <w:tc>
          <w:tcPr>
            <w:tcW w:w="1418" w:type="dxa"/>
            <w:tcBorders>
              <w:top w:val="single" w:sz="6" w:space="0" w:color="auto"/>
              <w:left w:val="single" w:sz="6" w:space="0" w:color="auto"/>
              <w:bottom w:val="single" w:sz="6" w:space="0" w:color="auto"/>
              <w:right w:val="single" w:sz="6" w:space="0" w:color="auto"/>
            </w:tcBorders>
            <w:vAlign w:val="center"/>
          </w:tcPr>
          <w:p w14:paraId="31EB2C2A" w14:textId="3A73F271" w:rsidR="009E3C24" w:rsidRPr="001455DC" w:rsidRDefault="009E3C24" w:rsidP="009E3C24">
            <w:pPr>
              <w:pStyle w:val="Tablebody"/>
              <w:jc w:val="center"/>
            </w:pPr>
            <w:r w:rsidRPr="001455DC">
              <w:rPr>
                <w:rStyle w:val="CCMCvariableitalic"/>
                <w:szCs w:val="22"/>
              </w:rPr>
              <w:t>a</w:t>
            </w:r>
            <w:r w:rsidRPr="001455DC">
              <w:rPr>
                <w:rStyle w:val="CCMCvariablesubscript"/>
                <w:szCs w:val="22"/>
              </w:rPr>
              <w:t>N</w:t>
            </w:r>
          </w:p>
        </w:tc>
        <w:tc>
          <w:tcPr>
            <w:tcW w:w="1134" w:type="dxa"/>
            <w:tcBorders>
              <w:top w:val="single" w:sz="6" w:space="0" w:color="auto"/>
              <w:left w:val="single" w:sz="6" w:space="0" w:color="auto"/>
              <w:bottom w:val="single" w:sz="6" w:space="0" w:color="auto"/>
              <w:right w:val="single" w:sz="6" w:space="0" w:color="auto"/>
            </w:tcBorders>
            <w:vAlign w:val="center"/>
          </w:tcPr>
          <w:p w14:paraId="260A0E71" w14:textId="467F2563" w:rsidR="009E3C24" w:rsidRPr="001455DC" w:rsidRDefault="009E3C24" w:rsidP="009E3C24">
            <w:pPr>
              <w:pStyle w:val="Tablebody"/>
              <w:jc w:val="center"/>
            </w:pPr>
            <w:r w:rsidRPr="001455DC">
              <w:rPr>
                <w:szCs w:val="22"/>
              </w:rPr>
              <w:t>1,0</w:t>
            </w:r>
          </w:p>
        </w:tc>
        <w:tc>
          <w:tcPr>
            <w:tcW w:w="1134" w:type="dxa"/>
            <w:tcBorders>
              <w:top w:val="single" w:sz="6" w:space="0" w:color="auto"/>
              <w:left w:val="single" w:sz="6" w:space="0" w:color="auto"/>
              <w:bottom w:val="single" w:sz="6" w:space="0" w:color="auto"/>
              <w:right w:val="single" w:sz="6" w:space="0" w:color="auto"/>
            </w:tcBorders>
            <w:vAlign w:val="center"/>
          </w:tcPr>
          <w:p w14:paraId="6AD8CDF4" w14:textId="46392E16" w:rsidR="009E3C24" w:rsidRPr="001455DC" w:rsidRDefault="009E3C24" w:rsidP="009E3C24">
            <w:pPr>
              <w:pStyle w:val="Tablebody"/>
              <w:jc w:val="center"/>
            </w:pPr>
            <w:r w:rsidRPr="001455DC">
              <w:rPr>
                <w:szCs w:val="22"/>
              </w:rPr>
              <w:t>1,5</w:t>
            </w:r>
          </w:p>
        </w:tc>
        <w:tc>
          <w:tcPr>
            <w:tcW w:w="1134" w:type="dxa"/>
            <w:tcBorders>
              <w:top w:val="single" w:sz="6" w:space="0" w:color="auto"/>
              <w:left w:val="single" w:sz="6" w:space="0" w:color="auto"/>
              <w:bottom w:val="single" w:sz="6" w:space="0" w:color="auto"/>
              <w:right w:val="single" w:sz="6" w:space="0" w:color="auto"/>
            </w:tcBorders>
            <w:vAlign w:val="center"/>
          </w:tcPr>
          <w:p w14:paraId="023056AD" w14:textId="3BC25FE3" w:rsidR="009E3C24" w:rsidRPr="001455DC" w:rsidRDefault="009E3C24" w:rsidP="009E3C24">
            <w:pPr>
              <w:pStyle w:val="Tablebody"/>
              <w:jc w:val="center"/>
            </w:pPr>
            <w:r w:rsidRPr="001455DC">
              <w:rPr>
                <w:szCs w:val="22"/>
              </w:rPr>
              <w:t>2,0</w:t>
            </w:r>
          </w:p>
        </w:tc>
        <w:tc>
          <w:tcPr>
            <w:tcW w:w="3385" w:type="dxa"/>
            <w:gridSpan w:val="2"/>
            <w:tcBorders>
              <w:left w:val="single" w:sz="6" w:space="0" w:color="auto"/>
            </w:tcBorders>
          </w:tcPr>
          <w:p w14:paraId="0DBC3FCB" w14:textId="25426F87" w:rsidR="009E3C24" w:rsidRPr="001455DC" w:rsidRDefault="009E3C24" w:rsidP="009E3C24">
            <w:pPr>
              <w:pStyle w:val="Tablebody"/>
              <w:rPr>
                <w:szCs w:val="22"/>
              </w:rPr>
            </w:pPr>
            <w:r w:rsidRPr="001455DC">
              <w:rPr>
                <w:szCs w:val="22"/>
              </w:rPr>
              <w:t> </w:t>
            </w:r>
          </w:p>
        </w:tc>
      </w:tr>
      <w:tr w:rsidR="009E3C24" w:rsidRPr="001455DC" w14:paraId="0C8D7433" w14:textId="77777777" w:rsidTr="009E3C24">
        <w:trPr>
          <w:cantSplit/>
        </w:trPr>
        <w:tc>
          <w:tcPr>
            <w:tcW w:w="851" w:type="dxa"/>
          </w:tcPr>
          <w:p w14:paraId="3A86D17C" w14:textId="1AE1B5D1" w:rsidR="009E3C24" w:rsidRPr="001455DC" w:rsidRDefault="009E3C24" w:rsidP="009E3C24">
            <w:pPr>
              <w:pStyle w:val="Tablebody"/>
            </w:pPr>
            <w:r w:rsidRPr="001455DC">
              <w:t> </w:t>
            </w:r>
          </w:p>
        </w:tc>
        <w:tc>
          <w:tcPr>
            <w:tcW w:w="8562" w:type="dxa"/>
            <w:gridSpan w:val="7"/>
          </w:tcPr>
          <w:p w14:paraId="611F65B3" w14:textId="6971E4E6" w:rsidR="009E3C24" w:rsidRPr="001455DC" w:rsidRDefault="009E3C24" w:rsidP="009E3C24">
            <w:pPr>
              <w:pStyle w:val="Tablebody"/>
            </w:pPr>
            <w:r w:rsidRPr="001455DC">
              <w:rPr>
                <w:szCs w:val="22"/>
              </w:rPr>
              <w:t>with linear interpolation for intermediate values;</w:t>
            </w:r>
          </w:p>
        </w:tc>
      </w:tr>
      <w:tr w:rsidR="009E3C24" w:rsidRPr="001455DC" w14:paraId="14EE30A5" w14:textId="77777777" w:rsidTr="009E3C24">
        <w:trPr>
          <w:cantSplit/>
        </w:trPr>
        <w:tc>
          <w:tcPr>
            <w:tcW w:w="851" w:type="dxa"/>
          </w:tcPr>
          <w:p w14:paraId="5761F32D" w14:textId="7C3A8FC1" w:rsidR="009E3C24" w:rsidRPr="001455DC" w:rsidRDefault="009E3C24" w:rsidP="009E3C24">
            <w:pPr>
              <w:pStyle w:val="Tablebody"/>
            </w:pPr>
            <w:r w:rsidRPr="001455DC">
              <w:rPr>
                <w:rStyle w:val="CCMCvariableitalic"/>
                <w:szCs w:val="22"/>
              </w:rPr>
              <w:t>N</w:t>
            </w:r>
            <w:r w:rsidRPr="001455DC">
              <w:rPr>
                <w:rStyle w:val="CCMCvariablesubscript"/>
                <w:szCs w:val="22"/>
              </w:rPr>
              <w:t>Rd,0</w:t>
            </w:r>
          </w:p>
        </w:tc>
        <w:tc>
          <w:tcPr>
            <w:tcW w:w="8562" w:type="dxa"/>
            <w:gridSpan w:val="7"/>
          </w:tcPr>
          <w:p w14:paraId="63BAEB9F" w14:textId="6F527E32" w:rsidR="009E3C24" w:rsidRPr="001455DC" w:rsidRDefault="009E3C24" w:rsidP="009E3C24">
            <w:pPr>
              <w:pStyle w:val="Tablebody"/>
              <w:rPr>
                <w:szCs w:val="22"/>
              </w:rPr>
            </w:pPr>
            <w:r w:rsidRPr="001455DC">
              <w:rPr>
                <w:szCs w:val="22"/>
              </w:rPr>
              <w:t>is the design value of axial resistance under compression without consideration of confinement:</w:t>
            </w:r>
          </w:p>
        </w:tc>
      </w:tr>
      <w:tr w:rsidR="009E3C24" w:rsidRPr="001455DC" w14:paraId="249B0818" w14:textId="77777777" w:rsidTr="009E3C24">
        <w:trPr>
          <w:cantSplit/>
        </w:trPr>
        <w:tc>
          <w:tcPr>
            <w:tcW w:w="851" w:type="dxa"/>
          </w:tcPr>
          <w:p w14:paraId="34265E98" w14:textId="42AE9AF4" w:rsidR="009E3C24" w:rsidRPr="001455DC" w:rsidRDefault="009E3C24" w:rsidP="009E3C24">
            <w:pPr>
              <w:pStyle w:val="Tablebody"/>
            </w:pPr>
            <w:r w:rsidRPr="001455DC">
              <w:t> </w:t>
            </w:r>
          </w:p>
        </w:tc>
        <w:tc>
          <w:tcPr>
            <w:tcW w:w="7314" w:type="dxa"/>
            <w:gridSpan w:val="6"/>
            <w:vAlign w:val="center"/>
          </w:tcPr>
          <w:p w14:paraId="0425C8B6" w14:textId="7A15E9F0" w:rsidR="009E3C24" w:rsidRPr="001455DC" w:rsidRDefault="009E3C24" w:rsidP="009E3C24">
            <w:pPr>
              <w:pStyle w:val="Formula"/>
              <w:jc w:val="left"/>
            </w:pPr>
            <w:r w:rsidRPr="001455DC">
              <w:rPr>
                <w:rStyle w:val="CCMCvariableitalic"/>
                <w:szCs w:val="22"/>
              </w:rPr>
              <w:t>N</w:t>
            </w:r>
            <w:r w:rsidRPr="001455DC">
              <w:rPr>
                <w:rStyle w:val="CCMCvariablesubscript"/>
                <w:szCs w:val="22"/>
              </w:rPr>
              <w:t>Rd,0</w:t>
            </w:r>
            <w:r w:rsidRPr="001455DC">
              <w:rPr>
                <w:szCs w:val="22"/>
              </w:rPr>
              <w:t> </w:t>
            </w:r>
            <w:r w:rsidR="00EC27D2" w:rsidRPr="001455DC">
              <w:rPr>
                <w:rFonts w:ascii="Cambria Math" w:hAnsi="Cambria Math"/>
                <w:szCs w:val="22"/>
              </w:rPr>
              <w:t>=</w:t>
            </w:r>
            <w:r w:rsidRPr="001455DC">
              <w:rPr>
                <w:szCs w:val="22"/>
              </w:rPr>
              <w:t> </w:t>
            </w:r>
            <w:r w:rsidRPr="001455DC">
              <w:rPr>
                <w:rStyle w:val="CCMCvariableitalic"/>
                <w:szCs w:val="22"/>
              </w:rPr>
              <w:t>A</w:t>
            </w:r>
            <w:r w:rsidRPr="001455DC">
              <w:rPr>
                <w:rStyle w:val="CCMCvariablesubscript"/>
                <w:szCs w:val="22"/>
              </w:rPr>
              <w:t>c</w:t>
            </w:r>
            <w:r w:rsidRPr="001455DC">
              <w:rPr>
                <w:rStyle w:val="CCMCvariableitalic"/>
                <w:szCs w:val="22"/>
              </w:rPr>
              <w:t>f</w:t>
            </w:r>
            <w:r w:rsidRPr="001455DC">
              <w:rPr>
                <w:rStyle w:val="CCMCvariablesubscript"/>
                <w:szCs w:val="22"/>
              </w:rPr>
              <w:t>cd</w:t>
            </w:r>
            <w:r w:rsidR="00EC27D2" w:rsidRPr="001455DC">
              <w:rPr>
                <w:rFonts w:ascii="Cambria Math" w:hAnsi="Cambria Math"/>
                <w:szCs w:val="22"/>
              </w:rPr>
              <w:t> + </w:t>
            </w:r>
            <w:r w:rsidRPr="001455DC">
              <w:rPr>
                <w:rStyle w:val="CCMCvariableitalic"/>
                <w:szCs w:val="22"/>
              </w:rPr>
              <w:t>A</w:t>
            </w:r>
            <w:r w:rsidRPr="001455DC">
              <w:rPr>
                <w:rStyle w:val="CCMCvariablesubscript"/>
                <w:szCs w:val="22"/>
              </w:rPr>
              <w:t>s</w:t>
            </w:r>
            <w:r w:rsidRPr="001455DC">
              <w:rPr>
                <w:rStyle w:val="CCMCvariableitalic"/>
                <w:szCs w:val="22"/>
              </w:rPr>
              <w:t>f</w:t>
            </w:r>
            <w:r w:rsidRPr="001455DC">
              <w:rPr>
                <w:rStyle w:val="CCMCvariablesubscript"/>
                <w:szCs w:val="22"/>
              </w:rPr>
              <w:t>yd</w:t>
            </w:r>
          </w:p>
        </w:tc>
        <w:tc>
          <w:tcPr>
            <w:tcW w:w="1248" w:type="dxa"/>
            <w:vAlign w:val="center"/>
          </w:tcPr>
          <w:p w14:paraId="3F07AD95" w14:textId="1E1693D0" w:rsidR="009E3C24" w:rsidRPr="001455DC" w:rsidRDefault="009E3C24">
            <w:pPr>
              <w:pStyle w:val="Tablebody"/>
              <w:jc w:val="right"/>
            </w:pPr>
            <w:r w:rsidRPr="001455DC">
              <w:rPr>
                <w:szCs w:val="22"/>
              </w:rPr>
              <w:t>(8.</w:t>
            </w:r>
            <w:r w:rsidR="00F62E9C" w:rsidRPr="001455DC">
              <w:rPr>
                <w:szCs w:val="22"/>
              </w:rPr>
              <w:t>3</w:t>
            </w:r>
            <w:r w:rsidRPr="001455DC">
              <w:rPr>
                <w:szCs w:val="22"/>
              </w:rPr>
              <w:t>)</w:t>
            </w:r>
          </w:p>
        </w:tc>
      </w:tr>
    </w:tbl>
    <w:p w14:paraId="3DB9710C" w14:textId="7734A313" w:rsidR="004E22C1" w:rsidRPr="001455DC" w:rsidRDefault="004E22C1" w:rsidP="00243590">
      <w:pPr>
        <w:pStyle w:val="31"/>
      </w:pPr>
      <w:bookmarkStart w:id="536" w:name="_Toc52819972"/>
      <w:bookmarkStart w:id="537" w:name="_Toc54337364"/>
      <w:bookmarkStart w:id="538" w:name="_Toc54338028"/>
      <w:bookmarkStart w:id="539" w:name="_Toc67565376"/>
      <w:r w:rsidRPr="001455DC">
        <w:t>Stress distribution in the compression zones</w:t>
      </w:r>
      <w:bookmarkEnd w:id="536"/>
      <w:bookmarkEnd w:id="537"/>
      <w:bookmarkEnd w:id="538"/>
      <w:bookmarkEnd w:id="539"/>
    </w:p>
    <w:p w14:paraId="68E9A66C" w14:textId="63314DC1" w:rsidR="009E3C24" w:rsidRPr="001455DC" w:rsidRDefault="004E22C1" w:rsidP="009E3C24">
      <w:pPr>
        <w:pStyle w:val="a7"/>
      </w:pPr>
      <w:r w:rsidRPr="001455DC">
        <w:t>(1)</w:t>
      </w:r>
      <w:r w:rsidRPr="001455DC">
        <w:tab/>
        <w:t>For the design of cross</w:t>
      </w:r>
      <w:r w:rsidR="00B10711" w:rsidRPr="001455DC">
        <w:t xml:space="preserve"> </w:t>
      </w:r>
      <w:r w:rsidRPr="001455DC">
        <w:t>sections, the following stress distribution may be used, see Figure 8.2c) (compressive strain shown positive):</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252"/>
        <w:gridCol w:w="4253"/>
        <w:gridCol w:w="1247"/>
      </w:tblGrid>
      <w:tr w:rsidR="008419FA" w:rsidRPr="001455DC" w14:paraId="092D8FF0" w14:textId="77777777" w:rsidTr="008419FA">
        <w:trPr>
          <w:cantSplit/>
        </w:trPr>
        <w:tc>
          <w:tcPr>
            <w:tcW w:w="4252" w:type="dxa"/>
            <w:vAlign w:val="center"/>
          </w:tcPr>
          <w:p w14:paraId="5B76D737" w14:textId="4E85AED7" w:rsidR="008419FA" w:rsidRPr="001455DC" w:rsidRDefault="00231E33" w:rsidP="009E3C24">
            <w:pPr>
              <w:pStyle w:val="Formula"/>
              <w:tabs>
                <w:tab w:val="clear" w:pos="9749"/>
              </w:tabs>
              <w:jc w:val="left"/>
            </w:pPr>
            <m:oMathPara>
              <m:oMathParaPr>
                <m:jc m:val="left"/>
              </m:oMathParaPr>
              <m:oMath>
                <m:sSub>
                  <m:sSubPr>
                    <m:ctrlPr>
                      <w:rPr>
                        <w:rFonts w:ascii="Cambria Math" w:hAnsi="Cambria Math"/>
                      </w:rPr>
                    </m:ctrlPr>
                  </m:sSubPr>
                  <m:e>
                    <m:r>
                      <w:rPr>
                        <w:rFonts w:ascii="Cambria Math" w:hAnsi="Cambria Math"/>
                      </w:rPr>
                      <m:t>σ</m:t>
                    </m:r>
                  </m:e>
                  <m:sub>
                    <m:r>
                      <m:rPr>
                        <m:sty m:val="p"/>
                      </m:rPr>
                      <w:rPr>
                        <w:rFonts w:ascii="Cambria Math" w:hAnsi="Cambria Math"/>
                      </w:rPr>
                      <m:t>cd</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cd</m:t>
                    </m:r>
                  </m:sub>
                </m:sSub>
                <m:r>
                  <w:rPr>
                    <w:rFonts w:ascii="Cambria Math" w:hAnsi="Cambria Math"/>
                  </w:rPr>
                  <m:t xml:space="preserve"> </m:t>
                </m:r>
                <m:d>
                  <m:dPr>
                    <m:begChr m:val="["/>
                    <m:sepChr m:val=""/>
                    <m:endChr m:val="]"/>
                    <m:ctrlPr>
                      <w:rPr>
                        <w:rFonts w:ascii="Cambria Math" w:hAnsi="Cambria Math"/>
                      </w:rPr>
                    </m:ctrlPr>
                  </m:dPr>
                  <m:e>
                    <m:r>
                      <w:rPr>
                        <w:rFonts w:ascii="Cambria Math" w:hAnsi="Cambria Math"/>
                      </w:rPr>
                      <m:t>1</m:t>
                    </m:r>
                  </m:e>
                  <m:e>
                    <m:r>
                      <w:rPr>
                        <w:rFonts w:ascii="Cambria Math" w:hAnsi="Cambria Math"/>
                      </w:rPr>
                      <m:t xml:space="preserve"> </m:t>
                    </m:r>
                  </m:e>
                  <m:e>
                    <m:r>
                      <w:rPr>
                        <w:rFonts w:ascii="Cambria Math" w:hAnsi="Cambria Math"/>
                      </w:rPr>
                      <m:t>-</m:t>
                    </m:r>
                  </m:e>
                  <m:e>
                    <m:r>
                      <w:rPr>
                        <w:rFonts w:ascii="Cambria Math" w:hAnsi="Cambria Math"/>
                      </w:rPr>
                      <m:t xml:space="preserve"> </m:t>
                    </m:r>
                  </m:e>
                  <m:e>
                    <m:sSup>
                      <m:sSupPr>
                        <m:ctrlPr>
                          <w:rPr>
                            <w:rFonts w:ascii="Cambria Math" w:hAnsi="Cambria Math"/>
                          </w:rPr>
                        </m:ctrlPr>
                      </m:sSupPr>
                      <m:e>
                        <m:d>
                          <m:dPr>
                            <m:sepChr m:val=""/>
                            <m:ctrlPr>
                              <w:rPr>
                                <w:rFonts w:ascii="Cambria Math" w:hAnsi="Cambria Math"/>
                              </w:rPr>
                            </m:ctrlPr>
                          </m:dPr>
                          <m:e>
                            <m:r>
                              <w:rPr>
                                <w:rFonts w:ascii="Cambria Math" w:hAnsi="Cambria Math"/>
                              </w:rPr>
                              <m:t>1</m:t>
                            </m:r>
                          </m:e>
                          <m:e>
                            <m:r>
                              <w:rPr>
                                <w:rFonts w:ascii="Cambria Math" w:hAnsi="Cambria Math"/>
                              </w:rPr>
                              <m:t xml:space="preserve"> </m:t>
                            </m:r>
                          </m:e>
                          <m:e>
                            <m:r>
                              <w:rPr>
                                <w:rFonts w:ascii="Cambria Math" w:hAnsi="Cambria Math"/>
                              </w:rPr>
                              <m:t>-</m:t>
                            </m:r>
                          </m:e>
                          <m:e>
                            <m:r>
                              <w:rPr>
                                <w:rFonts w:ascii="Cambria Math" w:hAnsi="Cambria Math"/>
                              </w:rPr>
                              <m:t xml:space="preserve"> </m:t>
                            </m:r>
                          </m:e>
                          <m:e>
                            <m:f>
                              <m:fPr>
                                <m:ctrlPr>
                                  <w:rPr>
                                    <w:rFonts w:ascii="Cambria Math" w:hAnsi="Cambria Math"/>
                                  </w:rPr>
                                </m:ctrlPr>
                              </m:fPr>
                              <m:num>
                                <m:sSub>
                                  <m:sSubPr>
                                    <m:ctrlPr>
                                      <w:rPr>
                                        <w:rFonts w:ascii="Cambria Math" w:hAnsi="Cambria Math"/>
                                      </w:rPr>
                                    </m:ctrlPr>
                                  </m:sSubPr>
                                  <m:e>
                                    <m:r>
                                      <w:rPr>
                                        <w:rFonts w:ascii="Cambria Math" w:hAnsi="Cambria Math"/>
                                      </w:rPr>
                                      <m:t>ε</m:t>
                                    </m:r>
                                  </m:e>
                                  <m:sub>
                                    <m:r>
                                      <m:rPr>
                                        <m:sty m:val="p"/>
                                      </m:rPr>
                                      <w:rPr>
                                        <w:rFonts w:ascii="Cambria Math" w:hAnsi="Cambria Math"/>
                                      </w:rPr>
                                      <m:t>c</m:t>
                                    </m:r>
                                  </m:sub>
                                </m:sSub>
                              </m:num>
                              <m:den>
                                <m:sSub>
                                  <m:sSubPr>
                                    <m:ctrlPr>
                                      <w:rPr>
                                        <w:rFonts w:ascii="Cambria Math" w:hAnsi="Cambria Math"/>
                                      </w:rPr>
                                    </m:ctrlPr>
                                  </m:sSubPr>
                                  <m:e>
                                    <m:r>
                                      <w:rPr>
                                        <w:rFonts w:ascii="Cambria Math" w:hAnsi="Cambria Math"/>
                                      </w:rPr>
                                      <m:t>ε</m:t>
                                    </m:r>
                                  </m:e>
                                  <m:sub>
                                    <m:r>
                                      <m:rPr>
                                        <m:sty m:val="p"/>
                                      </m:rPr>
                                      <w:rPr>
                                        <w:rFonts w:ascii="Cambria Math" w:hAnsi="Cambria Math"/>
                                      </w:rPr>
                                      <m:t>c</m:t>
                                    </m:r>
                                    <m:r>
                                      <w:rPr>
                                        <w:rFonts w:ascii="Cambria Math" w:hAnsi="Cambria Math"/>
                                      </w:rPr>
                                      <m:t>2</m:t>
                                    </m:r>
                                  </m:sub>
                                </m:sSub>
                              </m:den>
                            </m:f>
                          </m:e>
                        </m:d>
                      </m:e>
                      <m:sup>
                        <m:r>
                          <w:rPr>
                            <w:rFonts w:ascii="Cambria Math" w:hAnsi="Cambria Math"/>
                          </w:rPr>
                          <m:t>2</m:t>
                        </m:r>
                      </m:sup>
                    </m:sSup>
                  </m:e>
                </m:d>
              </m:oMath>
            </m:oMathPara>
          </w:p>
        </w:tc>
        <w:tc>
          <w:tcPr>
            <w:tcW w:w="4253" w:type="dxa"/>
            <w:vAlign w:val="center"/>
          </w:tcPr>
          <w:p w14:paraId="66A2793D" w14:textId="3D975A4E" w:rsidR="008419FA" w:rsidRPr="001455DC" w:rsidRDefault="008419FA" w:rsidP="009E3C24">
            <w:pPr>
              <w:pStyle w:val="Formula"/>
              <w:tabs>
                <w:tab w:val="clear" w:pos="9749"/>
              </w:tabs>
              <w:jc w:val="left"/>
            </w:pPr>
            <m:oMathPara>
              <m:oMathParaPr>
                <m:jc m:val="left"/>
              </m:oMathParaPr>
              <m:oMath>
                <m:r>
                  <m:rPr>
                    <m:sty m:val="p"/>
                  </m:rPr>
                  <w:rPr>
                    <w:rFonts w:ascii="Cambria Math" w:hAnsi="Cambria Math"/>
                  </w:rPr>
                  <m:t>for 0≤</m:t>
                </m:r>
                <m:sSub>
                  <m:sSubPr>
                    <m:ctrlPr>
                      <w:rPr>
                        <w:rFonts w:ascii="Cambria Math" w:hAnsi="Cambria Math"/>
                        <w:i/>
                      </w:rPr>
                    </m:ctrlPr>
                  </m:sSubPr>
                  <m:e>
                    <m:r>
                      <w:rPr>
                        <w:rFonts w:ascii="Cambria Math" w:hAnsi="Cambria Math"/>
                      </w:rPr>
                      <m:t>ε</m:t>
                    </m:r>
                    <m:ctrlPr>
                      <w:rPr>
                        <w:rFonts w:ascii="Cambria Math" w:hAnsi="Cambria Math"/>
                      </w:rPr>
                    </m:ctrlPr>
                  </m:e>
                  <m:sub>
                    <m:r>
                      <m:rPr>
                        <m:sty m:val="p"/>
                      </m:rPr>
                      <w:rPr>
                        <w:rFonts w:ascii="Cambria Math" w:hAnsi="Cambria Math"/>
                      </w:rPr>
                      <m:t>c</m:t>
                    </m:r>
                  </m:sub>
                </m:sSub>
                <m:r>
                  <m:rPr>
                    <m:sty m:val="p"/>
                  </m:rPr>
                  <w:rPr>
                    <w:rFonts w:ascii="Cambria Math" w:hAnsi="Cambria Math"/>
                  </w:rPr>
                  <m:t>≤</m:t>
                </m:r>
                <m:sSub>
                  <m:sSubPr>
                    <m:ctrlPr>
                      <w:rPr>
                        <w:rFonts w:ascii="Cambria Math" w:hAnsi="Cambria Math"/>
                        <w:i/>
                      </w:rPr>
                    </m:ctrlPr>
                  </m:sSubPr>
                  <m:e>
                    <m:r>
                      <w:rPr>
                        <w:rFonts w:ascii="Cambria Math" w:hAnsi="Cambria Math"/>
                      </w:rPr>
                      <m:t>ε</m:t>
                    </m:r>
                    <m:ctrlPr>
                      <w:rPr>
                        <w:rFonts w:ascii="Cambria Math" w:hAnsi="Cambria Math"/>
                      </w:rPr>
                    </m:ctrlPr>
                  </m:e>
                  <m:sub>
                    <m:r>
                      <m:rPr>
                        <m:sty m:val="p"/>
                      </m:rPr>
                      <w:rPr>
                        <w:rFonts w:ascii="Cambria Math" w:hAnsi="Cambria Math"/>
                      </w:rPr>
                      <m:t>c2</m:t>
                    </m:r>
                  </m:sub>
                </m:sSub>
              </m:oMath>
            </m:oMathPara>
          </w:p>
        </w:tc>
        <w:tc>
          <w:tcPr>
            <w:tcW w:w="1247" w:type="dxa"/>
            <w:vAlign w:val="center"/>
          </w:tcPr>
          <w:p w14:paraId="02120A9B" w14:textId="7580D1FB" w:rsidR="008419FA" w:rsidRPr="001455DC" w:rsidRDefault="008419FA">
            <w:pPr>
              <w:pStyle w:val="a7"/>
              <w:jc w:val="right"/>
            </w:pPr>
            <w:r w:rsidRPr="001455DC">
              <w:t>(8.</w:t>
            </w:r>
            <w:r w:rsidR="00F62E9C" w:rsidRPr="001455DC">
              <w:t>4a</w:t>
            </w:r>
            <w:r w:rsidRPr="001455DC">
              <w:t>)</w:t>
            </w:r>
          </w:p>
        </w:tc>
      </w:tr>
      <w:tr w:rsidR="008419FA" w:rsidRPr="001455DC" w14:paraId="19DAC983" w14:textId="77777777" w:rsidTr="008419FA">
        <w:trPr>
          <w:cantSplit/>
        </w:trPr>
        <w:tc>
          <w:tcPr>
            <w:tcW w:w="4252" w:type="dxa"/>
            <w:vAlign w:val="center"/>
          </w:tcPr>
          <w:p w14:paraId="54459007" w14:textId="02748CBD" w:rsidR="008419FA" w:rsidRPr="001455DC" w:rsidRDefault="00231E33" w:rsidP="009E3C24">
            <w:pPr>
              <w:pStyle w:val="Formula"/>
              <w:tabs>
                <w:tab w:val="clear" w:pos="9749"/>
              </w:tabs>
              <w:jc w:val="left"/>
            </w:pPr>
            <m:oMathPara>
              <m:oMathParaPr>
                <m:jc m:val="left"/>
              </m:oMathParaPr>
              <m:oMath>
                <m:sSub>
                  <m:sSubPr>
                    <m:ctrlPr>
                      <w:rPr>
                        <w:rFonts w:ascii="Cambria Math" w:hAnsi="Cambria Math"/>
                      </w:rPr>
                    </m:ctrlPr>
                  </m:sSubPr>
                  <m:e>
                    <m:r>
                      <w:rPr>
                        <w:rFonts w:ascii="Cambria Math" w:hAnsi="Cambria Math"/>
                      </w:rPr>
                      <m:t>σ</m:t>
                    </m:r>
                  </m:e>
                  <m:sub>
                    <m:r>
                      <m:rPr>
                        <m:sty m:val="p"/>
                      </m:rPr>
                      <w:rPr>
                        <w:rFonts w:ascii="Cambria Math" w:hAnsi="Cambria Math"/>
                      </w:rPr>
                      <m:t>cd</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cd</m:t>
                    </m:r>
                  </m:sub>
                </m:sSub>
              </m:oMath>
            </m:oMathPara>
          </w:p>
        </w:tc>
        <w:tc>
          <w:tcPr>
            <w:tcW w:w="4253" w:type="dxa"/>
            <w:vAlign w:val="center"/>
          </w:tcPr>
          <w:p w14:paraId="170463A0" w14:textId="06CD24CB" w:rsidR="008419FA" w:rsidRPr="001455DC" w:rsidRDefault="008419FA" w:rsidP="009E3C24">
            <w:pPr>
              <w:pStyle w:val="Formula"/>
              <w:tabs>
                <w:tab w:val="clear" w:pos="9749"/>
              </w:tabs>
              <w:jc w:val="left"/>
            </w:pPr>
            <m:oMathPara>
              <m:oMathParaPr>
                <m:jc m:val="left"/>
              </m:oMathParaPr>
              <m:oMath>
                <m:r>
                  <m:rPr>
                    <m:nor/>
                  </m:rPr>
                  <w:rPr>
                    <w:rFonts w:ascii="Cambria Math" w:hAnsi="Cambria Math"/>
                  </w:rPr>
                  <m:t>for</m:t>
                </m:r>
                <m:r>
                  <w:rPr>
                    <w:rFonts w:ascii="Cambria Math" w:hAnsi="Cambria Math"/>
                  </w:rPr>
                  <m:t xml:space="preserve"> </m:t>
                </m:r>
                <m:sSub>
                  <m:sSubPr>
                    <m:ctrlPr>
                      <w:rPr>
                        <w:rFonts w:ascii="Cambria Math" w:hAnsi="Cambria Math"/>
                        <w:i/>
                      </w:rPr>
                    </m:ctrlPr>
                  </m:sSubPr>
                  <m:e>
                    <m:r>
                      <w:rPr>
                        <w:rFonts w:ascii="Cambria Math" w:hAnsi="Cambria Math"/>
                      </w:rPr>
                      <m:t>ε</m:t>
                    </m:r>
                  </m:e>
                  <m:sub>
                    <m:r>
                      <m:rPr>
                        <m:sty m:val="p"/>
                      </m:rPr>
                      <w:rPr>
                        <w:rFonts w:ascii="Cambria Math" w:hAnsi="Cambria Math"/>
                      </w:rPr>
                      <m:t>c</m:t>
                    </m:r>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ε</m:t>
                    </m:r>
                  </m:e>
                  <m:sub>
                    <m:r>
                      <m:rPr>
                        <m:sty m:val="p"/>
                      </m:rP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ε</m:t>
                    </m:r>
                  </m:e>
                  <m:sub>
                    <m:r>
                      <m:rPr>
                        <m:sty m:val="p"/>
                      </m:rPr>
                      <w:rPr>
                        <w:rFonts w:ascii="Cambria Math" w:hAnsi="Cambria Math"/>
                      </w:rPr>
                      <m:t>cu</m:t>
                    </m:r>
                  </m:sub>
                </m:sSub>
              </m:oMath>
            </m:oMathPara>
          </w:p>
        </w:tc>
        <w:tc>
          <w:tcPr>
            <w:tcW w:w="1247" w:type="dxa"/>
            <w:vAlign w:val="center"/>
          </w:tcPr>
          <w:p w14:paraId="1E6EC07A" w14:textId="6A048776" w:rsidR="008419FA" w:rsidRPr="001455DC" w:rsidRDefault="008419FA">
            <w:pPr>
              <w:pStyle w:val="a7"/>
              <w:jc w:val="right"/>
            </w:pPr>
            <w:r w:rsidRPr="001455DC">
              <w:t>(8.</w:t>
            </w:r>
            <w:r w:rsidR="00F62E9C" w:rsidRPr="001455DC">
              <w:t>4b</w:t>
            </w:r>
            <w:r w:rsidRPr="001455DC">
              <w:t>)</w:t>
            </w:r>
          </w:p>
        </w:tc>
      </w:tr>
    </w:tbl>
    <w:p w14:paraId="2C559DBC" w14:textId="77777777" w:rsidR="009E3C24" w:rsidRPr="001455DC" w:rsidRDefault="009E3C24"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9E3C24" w:rsidRPr="001455DC" w14:paraId="66C3F4E3" w14:textId="77777777" w:rsidTr="009E3C24">
        <w:trPr>
          <w:cantSplit/>
        </w:trPr>
        <w:tc>
          <w:tcPr>
            <w:tcW w:w="567" w:type="dxa"/>
          </w:tcPr>
          <w:p w14:paraId="6B9112E1" w14:textId="1FB54518" w:rsidR="009E3C24" w:rsidRPr="001455DC" w:rsidRDefault="009E3C24" w:rsidP="009E3C24">
            <w:pPr>
              <w:pStyle w:val="Tablebody"/>
            </w:pPr>
            <w:r w:rsidRPr="001455DC">
              <w:rPr>
                <w:rStyle w:val="CCMCvariableitalic"/>
              </w:rPr>
              <w:t>ε</w:t>
            </w:r>
            <w:r w:rsidRPr="001455DC">
              <w:rPr>
                <w:rStyle w:val="CCMCvariablesubscript"/>
              </w:rPr>
              <w:t>c2</w:t>
            </w:r>
          </w:p>
        </w:tc>
        <w:tc>
          <w:tcPr>
            <w:tcW w:w="8845" w:type="dxa"/>
          </w:tcPr>
          <w:p w14:paraId="378E3CEC" w14:textId="70654204" w:rsidR="009E3C24" w:rsidRPr="001455DC" w:rsidRDefault="00EC27D2" w:rsidP="009E3C24">
            <w:pPr>
              <w:pStyle w:val="Tablebody"/>
            </w:pPr>
            <w:r w:rsidRPr="001455DC">
              <w:rPr>
                <w:rFonts w:ascii="Cambria Math" w:hAnsi="Cambria Math"/>
              </w:rPr>
              <w:t>=</w:t>
            </w:r>
            <w:r w:rsidR="009E3C24" w:rsidRPr="001455DC">
              <w:t> 0,002</w:t>
            </w:r>
          </w:p>
        </w:tc>
      </w:tr>
      <w:tr w:rsidR="009E3C24" w:rsidRPr="001455DC" w14:paraId="4A87BDBB" w14:textId="77777777" w:rsidTr="009E3C24">
        <w:trPr>
          <w:cantSplit/>
        </w:trPr>
        <w:tc>
          <w:tcPr>
            <w:tcW w:w="567" w:type="dxa"/>
          </w:tcPr>
          <w:p w14:paraId="0696896D" w14:textId="249074B9" w:rsidR="009E3C24" w:rsidRPr="001455DC" w:rsidRDefault="009E3C24" w:rsidP="009E3C24">
            <w:pPr>
              <w:pStyle w:val="Tablebody"/>
            </w:pPr>
            <w:r w:rsidRPr="001455DC">
              <w:rPr>
                <w:rStyle w:val="CCMCvariableitalic"/>
              </w:rPr>
              <w:t>ε</w:t>
            </w:r>
            <w:r w:rsidRPr="001455DC">
              <w:rPr>
                <w:rStyle w:val="CCMCvariablesubscript"/>
              </w:rPr>
              <w:t>cu</w:t>
            </w:r>
          </w:p>
        </w:tc>
        <w:tc>
          <w:tcPr>
            <w:tcW w:w="8845" w:type="dxa"/>
          </w:tcPr>
          <w:p w14:paraId="5822CFB8" w14:textId="31E7F2B6" w:rsidR="009E3C24" w:rsidRPr="001455DC" w:rsidRDefault="00EC27D2" w:rsidP="009E3C24">
            <w:pPr>
              <w:pStyle w:val="Tablebody"/>
            </w:pPr>
            <w:r w:rsidRPr="001455DC">
              <w:rPr>
                <w:rFonts w:ascii="Cambria Math" w:hAnsi="Cambria Math"/>
              </w:rPr>
              <w:t>=</w:t>
            </w:r>
            <w:r w:rsidR="009E3C24" w:rsidRPr="001455DC">
              <w:t> 0,0035</w:t>
            </w:r>
          </w:p>
        </w:tc>
      </w:tr>
    </w:tbl>
    <w:p w14:paraId="6F01B4AC" w14:textId="5286734D" w:rsidR="004E22C1" w:rsidRPr="001455DC" w:rsidRDefault="004E22C1" w:rsidP="008419FA">
      <w:pPr>
        <w:pStyle w:val="a7"/>
      </w:pPr>
    </w:p>
    <w:tbl>
      <w:tblPr>
        <w:tblStyle w:val="a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9752"/>
      </w:tblGrid>
      <w:tr w:rsidR="005D42C7" w:rsidRPr="001455DC" w14:paraId="6F8E168E" w14:textId="77777777" w:rsidTr="00E7421B">
        <w:trPr>
          <w:cantSplit/>
          <w:jc w:val="center"/>
        </w:trPr>
        <w:tc>
          <w:tcPr>
            <w:tcW w:w="9752" w:type="dxa"/>
          </w:tcPr>
          <w:p w14:paraId="61D97C9A" w14:textId="0C62DAF1" w:rsidR="005D42C7" w:rsidRPr="001455DC" w:rsidRDefault="00723CF7" w:rsidP="008419FA">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"Y:\\STD_MGT\\STDDEL\\PRODUCTION\\etrans\\Download\\Z_FIRST_DEL\\SV\\00250\\00250269\\41_e_dr\\8_002.tif"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"Y:\\STD_MGT\\STDDEL\\PRODUCTION\\Standards\\00250\\269\\41_e_dr\\8_002.tif"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"Y:\\STD_MGT\\STDDEL\\PRODUCTION\\Standards\\00250\\269\\41_e_dr\\8_002.tif"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"Y:\\STD_MGT\\STDDEL\\PRODUCTION\\Standards\\00250\\269\\41_e_dr\\8_002.tif"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"Y:\\STD_MGT\\STDDEL\\PRODUCTION\\Standards\\00250\\269\\41_e_dr\\8_002.tif"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"Y:\\STD_MGT\\STDDEL\\PRODUCTION\\Standards\\00250\\269\\41_e_dr\\8_002.tif"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"C:\\Users\\a.dionysiou\\AppData\\Local\\Temp\\Temp1_00250269_e_20210902.zip.zip\\41_e_dr\\8_002.tif"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2877C30D">
                <v:shape id="_x0000_i1148" type="#_x0000_t75" style="width:293.25pt;height:107.25pt">
                  <v:imagedata r:id="rId266" r:href="rId267"/>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5D42C7" w:rsidRPr="001455DC" w14:paraId="36C23A0A" w14:textId="77777777" w:rsidTr="00E7421B">
        <w:trPr>
          <w:cantSplit/>
          <w:jc w:val="center"/>
        </w:trPr>
        <w:tc>
          <w:tcPr>
            <w:tcW w:w="9752" w:type="dxa"/>
          </w:tcPr>
          <w:p w14:paraId="7327CBEB" w14:textId="77777777" w:rsidR="005D42C7" w:rsidRPr="001455DC" w:rsidRDefault="005D42C7" w:rsidP="009D3012">
            <w:pPr>
              <w:pStyle w:val="Tablebody"/>
              <w:keepNext/>
              <w:jc w:val="left"/>
              <w:rPr>
                <w:bCs/>
              </w:rPr>
            </w:pPr>
            <w:r w:rsidRPr="009D3012">
              <w:rPr>
                <w:bCs/>
              </w:rPr>
              <w:t>a) cross section</w:t>
            </w:r>
          </w:p>
          <w:p w14:paraId="2C4BD408" w14:textId="74120A73" w:rsidR="005D42C7" w:rsidRPr="001455DC" w:rsidRDefault="005D42C7" w:rsidP="009D3012">
            <w:pPr>
              <w:pStyle w:val="Tablebody"/>
              <w:keepNext/>
              <w:jc w:val="left"/>
              <w:rPr>
                <w:bCs/>
              </w:rPr>
            </w:pPr>
            <w:r w:rsidRPr="009D3012">
              <w:rPr>
                <w:bCs/>
              </w:rPr>
              <w:t>b) assumed strain distribution</w:t>
            </w:r>
          </w:p>
          <w:p w14:paraId="5142303C" w14:textId="7341544C" w:rsidR="005D42C7" w:rsidRPr="001455DC" w:rsidRDefault="005D42C7" w:rsidP="009D3012">
            <w:pPr>
              <w:pStyle w:val="Tablebody"/>
              <w:keepNext/>
              <w:jc w:val="left"/>
              <w:rPr>
                <w:bCs/>
              </w:rPr>
            </w:pPr>
            <w:r w:rsidRPr="009D3012">
              <w:rPr>
                <w:bCs/>
              </w:rPr>
              <w:t>c) parabola-rectangle stress distribution</w:t>
            </w:r>
          </w:p>
          <w:p w14:paraId="1DBB5540" w14:textId="49F1832D" w:rsidR="005D42C7" w:rsidRPr="009D3012" w:rsidRDefault="005D42C7" w:rsidP="009D3012">
            <w:pPr>
              <w:pStyle w:val="Tablebody"/>
              <w:keepNext/>
              <w:jc w:val="left"/>
              <w:rPr>
                <w:bCs/>
              </w:rPr>
            </w:pPr>
            <w:r w:rsidRPr="009D3012">
              <w:rPr>
                <w:bCs/>
              </w:rPr>
              <w:t>d) rectangular stress distribution</w:t>
            </w:r>
          </w:p>
        </w:tc>
      </w:tr>
    </w:tbl>
    <w:p w14:paraId="490A031B" w14:textId="77777777" w:rsidR="004E22C1" w:rsidRPr="001455DC" w:rsidRDefault="004E22C1" w:rsidP="009E3C24">
      <w:pPr>
        <w:pStyle w:val="Figuretitle"/>
      </w:pPr>
      <w:r w:rsidRPr="001455DC">
        <w:t>Figure 8.2 — Stress distributions within the compression zone</w:t>
      </w:r>
    </w:p>
    <w:p w14:paraId="202608CA" w14:textId="74D68EB9" w:rsidR="004E22C1" w:rsidRPr="001455DC" w:rsidRDefault="004E22C1" w:rsidP="008419FA">
      <w:pPr>
        <w:pStyle w:val="a7"/>
      </w:pPr>
      <w:r w:rsidRPr="001455DC">
        <w:t>(2)</w:t>
      </w:r>
      <w:r w:rsidRPr="001455DC">
        <w:tab/>
        <w:t xml:space="preserve">Alternatively, a rectangular stress </w:t>
      </w:r>
      <w:r w:rsidR="00F62E9C" w:rsidRPr="001455DC">
        <w:t xml:space="preserve">block </w:t>
      </w:r>
      <w:r w:rsidRPr="001455DC">
        <w:t>distribution as given in Figure 8.2d) may be assumed.</w:t>
      </w:r>
    </w:p>
    <w:p w14:paraId="6E2BE906" w14:textId="44417C54" w:rsidR="004E22C1" w:rsidRPr="001455DC" w:rsidRDefault="004E22C1" w:rsidP="00243590">
      <w:pPr>
        <w:pStyle w:val="31"/>
      </w:pPr>
      <w:bookmarkStart w:id="540" w:name="_Toc52819973"/>
      <w:bookmarkStart w:id="541" w:name="_Toc54337365"/>
      <w:bookmarkStart w:id="542" w:name="_Toc54338029"/>
      <w:bookmarkStart w:id="543" w:name="_Toc67565377"/>
      <w:r w:rsidRPr="001455DC">
        <w:t>Bending in slabs</w:t>
      </w:r>
      <w:bookmarkEnd w:id="540"/>
      <w:bookmarkEnd w:id="541"/>
      <w:bookmarkEnd w:id="542"/>
      <w:bookmarkEnd w:id="543"/>
    </w:p>
    <w:p w14:paraId="0BEC1BA4" w14:textId="27110219" w:rsidR="008419FA" w:rsidRPr="001455DC" w:rsidRDefault="004E22C1" w:rsidP="008419FA">
      <w:pPr>
        <w:pStyle w:val="a7"/>
      </w:pPr>
      <w:r w:rsidRPr="001455DC">
        <w:t>(1)</w:t>
      </w:r>
      <w:r w:rsidRPr="001455DC">
        <w:tab/>
        <w:t xml:space="preserve">Orthogonally reinforced solid slab elements with bending and torsional moments where the thickness of the compression zone </w:t>
      </w:r>
      <w:r w:rsidRPr="001455DC">
        <w:rPr>
          <w:rStyle w:val="CCMCvariableitalic"/>
        </w:rPr>
        <w:t>x</w:t>
      </w:r>
      <w:r w:rsidRPr="001455DC">
        <w:t> </w:t>
      </w:r>
      <w:r w:rsidR="00650035" w:rsidRPr="001455DC">
        <w:rPr>
          <w:rFonts w:ascii="Cambria Math" w:hAnsi="Cambria Math"/>
        </w:rPr>
        <w:t>≤</w:t>
      </w:r>
      <w:r w:rsidRPr="001455DC">
        <w:t> 0,25d and the torsional moment is not larger than 0,5 times the largest bending moment, may be designed using the following formulae:</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8419FA" w:rsidRPr="001455DC" w14:paraId="102AB1D1" w14:textId="77777777" w:rsidTr="008419FA">
        <w:trPr>
          <w:cantSplit/>
        </w:trPr>
        <w:tc>
          <w:tcPr>
            <w:tcW w:w="8505" w:type="dxa"/>
            <w:vAlign w:val="center"/>
          </w:tcPr>
          <w:p w14:paraId="4AEA5ED3" w14:textId="09C91EAA" w:rsidR="008419FA" w:rsidRPr="001455DC" w:rsidRDefault="00231E33" w:rsidP="008419FA">
            <w:pPr>
              <w:pStyle w:val="Formula"/>
              <w:tabs>
                <w:tab w:val="clear" w:pos="9749"/>
              </w:tabs>
              <w:jc w:val="left"/>
            </w:pPr>
            <m:oMathPara>
              <m:oMathParaPr>
                <m:jc m:val="left"/>
              </m:oMathParaPr>
              <m:oMath>
                <m:sSub>
                  <m:sSubPr>
                    <m:ctrlPr>
                      <w:rPr>
                        <w:rFonts w:ascii="Cambria Math" w:hAnsi="Cambria Math"/>
                      </w:rPr>
                    </m:ctrlPr>
                  </m:sSubPr>
                  <m:e>
                    <m:r>
                      <w:rPr>
                        <w:rFonts w:ascii="Cambria Math" w:hAnsi="Cambria Math"/>
                      </w:rPr>
                      <m:t>m</m:t>
                    </m:r>
                  </m:e>
                  <m:sub>
                    <m:r>
                      <m:rPr>
                        <m:sty m:val="p"/>
                      </m:rPr>
                      <w:rPr>
                        <w:rFonts w:ascii="Cambria Math" w:hAnsi="Cambria Math"/>
                      </w:rPr>
                      <m:t>Rdx</m:t>
                    </m:r>
                  </m:sub>
                </m:sSub>
                <m: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Edx</m:t>
                    </m:r>
                  </m:sub>
                </m:sSub>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m</m:t>
                        </m:r>
                      </m:e>
                      <m:sub>
                        <m:r>
                          <m:rPr>
                            <m:sty m:val="p"/>
                          </m:rPr>
                          <w:rPr>
                            <w:rFonts w:ascii="Cambria Math" w:hAnsi="Cambria Math"/>
                          </w:rPr>
                          <m:t>Edxy</m:t>
                        </m:r>
                      </m:sub>
                    </m:sSub>
                  </m:e>
                </m:d>
              </m:oMath>
            </m:oMathPara>
          </w:p>
        </w:tc>
        <w:tc>
          <w:tcPr>
            <w:tcW w:w="1247" w:type="dxa"/>
            <w:vAlign w:val="center"/>
          </w:tcPr>
          <w:p w14:paraId="1C44A2EA" w14:textId="03E6954F" w:rsidR="008419FA" w:rsidRPr="001455DC" w:rsidRDefault="008419FA">
            <w:pPr>
              <w:pStyle w:val="a7"/>
              <w:jc w:val="right"/>
            </w:pPr>
            <w:r w:rsidRPr="001455DC">
              <w:t>(8.</w:t>
            </w:r>
            <w:r w:rsidR="006E5B3C" w:rsidRPr="001455DC">
              <w:t>5a</w:t>
            </w:r>
            <w:r w:rsidRPr="001455DC">
              <w:t>)</w:t>
            </w:r>
          </w:p>
        </w:tc>
      </w:tr>
      <w:tr w:rsidR="008419FA" w:rsidRPr="001455DC" w14:paraId="6E31A716" w14:textId="77777777" w:rsidTr="008419FA">
        <w:trPr>
          <w:cantSplit/>
        </w:trPr>
        <w:tc>
          <w:tcPr>
            <w:tcW w:w="8505" w:type="dxa"/>
            <w:vAlign w:val="center"/>
          </w:tcPr>
          <w:p w14:paraId="7BED25B6" w14:textId="318DB57E" w:rsidR="008419FA" w:rsidRPr="001455DC" w:rsidRDefault="00231E33" w:rsidP="008419FA">
            <w:pPr>
              <w:pStyle w:val="Formula"/>
              <w:tabs>
                <w:tab w:val="clear" w:pos="9749"/>
              </w:tabs>
              <w:jc w:val="left"/>
            </w:pPr>
            <m:oMathPara>
              <m:oMathParaPr>
                <m:jc m:val="left"/>
              </m:oMathParaPr>
              <m:oMath>
                <m:sSub>
                  <m:sSubPr>
                    <m:ctrlPr>
                      <w:rPr>
                        <w:rFonts w:ascii="Cambria Math" w:hAnsi="Cambria Math"/>
                      </w:rPr>
                    </m:ctrlPr>
                  </m:sSubPr>
                  <m:e>
                    <m:r>
                      <w:rPr>
                        <w:rFonts w:ascii="Cambria Math" w:hAnsi="Cambria Math"/>
                      </w:rPr>
                      <m:t>m</m:t>
                    </m:r>
                  </m:e>
                  <m:sub>
                    <m:r>
                      <m:rPr>
                        <m:sty m:val="p"/>
                      </m:rPr>
                      <w:rPr>
                        <w:rFonts w:ascii="Cambria Math" w:hAnsi="Cambria Math"/>
                      </w:rPr>
                      <m:t>Rdy</m:t>
                    </m:r>
                  </m:sub>
                </m:sSub>
                <m: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Edy</m:t>
                    </m:r>
                  </m:sub>
                </m:sSub>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m</m:t>
                        </m:r>
                      </m:e>
                      <m:sub>
                        <m:r>
                          <m:rPr>
                            <m:sty m:val="p"/>
                          </m:rPr>
                          <w:rPr>
                            <w:rFonts w:ascii="Cambria Math" w:hAnsi="Cambria Math"/>
                          </w:rPr>
                          <m:t>Edxy</m:t>
                        </m:r>
                      </m:sub>
                    </m:sSub>
                  </m:e>
                </m:d>
              </m:oMath>
            </m:oMathPara>
          </w:p>
        </w:tc>
        <w:tc>
          <w:tcPr>
            <w:tcW w:w="1247" w:type="dxa"/>
            <w:vAlign w:val="center"/>
          </w:tcPr>
          <w:p w14:paraId="53CCADBA" w14:textId="3FFAB5E4" w:rsidR="008419FA" w:rsidRPr="001455DC" w:rsidRDefault="008419FA" w:rsidP="008419FA">
            <w:pPr>
              <w:pStyle w:val="a7"/>
              <w:jc w:val="right"/>
            </w:pPr>
            <w:r w:rsidRPr="001455DC">
              <w:t>(8.</w:t>
            </w:r>
            <w:r w:rsidR="006E5B3C" w:rsidRPr="001455DC">
              <w:t>5</w:t>
            </w:r>
            <w:r w:rsidRPr="001455DC">
              <w:t>b)</w:t>
            </w:r>
          </w:p>
        </w:tc>
      </w:tr>
      <w:tr w:rsidR="008419FA" w:rsidRPr="001455DC" w14:paraId="6730FEB2" w14:textId="77777777" w:rsidTr="008419FA">
        <w:trPr>
          <w:cantSplit/>
        </w:trPr>
        <w:tc>
          <w:tcPr>
            <w:tcW w:w="8505" w:type="dxa"/>
            <w:vAlign w:val="center"/>
          </w:tcPr>
          <w:p w14:paraId="120F2BB8" w14:textId="3AFE5F7A" w:rsidR="008419FA" w:rsidRPr="001455DC" w:rsidRDefault="008A48D7" w:rsidP="008419FA">
            <w:pPr>
              <w:pStyle w:val="Formula"/>
              <w:tabs>
                <w:tab w:val="clear" w:pos="9749"/>
              </w:tabs>
              <w:jc w:val="left"/>
            </w:pPr>
            <m:oMathPara>
              <m:oMathParaPr>
                <m:jc m:val="left"/>
              </m:oMathParaPr>
              <m:oMath>
                <m:r>
                  <w:rPr>
                    <w:rFonts w:ascii="Cambria Math" w:hAnsi="Cambria Math"/>
                  </w:rPr>
                  <m:t>m</m:t>
                </m:r>
                <m:sSub>
                  <m:sSubPr>
                    <m:ctrlPr>
                      <w:rPr>
                        <w:rFonts w:ascii="Cambria Math" w:hAnsi="Cambria Math"/>
                      </w:rPr>
                    </m:ctrlPr>
                  </m:sSubPr>
                  <m:e>
                    <m:r>
                      <w:rPr>
                        <w:rFonts w:ascii="Cambria Math" w:hAnsi="Cambria Math" w:hint="eastAsia"/>
                      </w:rPr>
                      <m:t>'</m:t>
                    </m:r>
                  </m:e>
                  <m:sub>
                    <m:r>
                      <m:rPr>
                        <m:sty m:val="p"/>
                      </m:rPr>
                      <w:rPr>
                        <w:rFonts w:ascii="Cambria Math" w:hAnsi="Cambria Math"/>
                      </w:rPr>
                      <m:t>Rdx</m:t>
                    </m:r>
                  </m:sub>
                </m:sSub>
                <m: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Edx</m:t>
                    </m:r>
                  </m:sub>
                </m:sSub>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m</m:t>
                        </m:r>
                      </m:e>
                      <m:sub>
                        <m:r>
                          <m:rPr>
                            <m:sty m:val="p"/>
                          </m:rPr>
                          <w:rPr>
                            <w:rFonts w:ascii="Cambria Math" w:hAnsi="Cambria Math"/>
                          </w:rPr>
                          <m:t>Edxy</m:t>
                        </m:r>
                      </m:sub>
                    </m:sSub>
                  </m:e>
                </m:d>
              </m:oMath>
            </m:oMathPara>
          </w:p>
        </w:tc>
        <w:tc>
          <w:tcPr>
            <w:tcW w:w="1247" w:type="dxa"/>
            <w:vAlign w:val="center"/>
          </w:tcPr>
          <w:p w14:paraId="6B0CDAC1" w14:textId="1020BC87" w:rsidR="008419FA" w:rsidRPr="001455DC" w:rsidRDefault="008419FA" w:rsidP="008419FA">
            <w:pPr>
              <w:pStyle w:val="a7"/>
              <w:jc w:val="right"/>
            </w:pPr>
            <w:r w:rsidRPr="001455DC">
              <w:t>(8.</w:t>
            </w:r>
            <w:r w:rsidR="006E5B3C" w:rsidRPr="001455DC">
              <w:t>5</w:t>
            </w:r>
            <w:r w:rsidRPr="001455DC">
              <w:t>c)</w:t>
            </w:r>
          </w:p>
        </w:tc>
      </w:tr>
      <w:tr w:rsidR="008419FA" w:rsidRPr="001455DC" w14:paraId="5974F753" w14:textId="77777777" w:rsidTr="008419FA">
        <w:trPr>
          <w:cantSplit/>
        </w:trPr>
        <w:tc>
          <w:tcPr>
            <w:tcW w:w="8505" w:type="dxa"/>
            <w:vAlign w:val="center"/>
          </w:tcPr>
          <w:p w14:paraId="703E7A4C" w14:textId="6F7C21C2" w:rsidR="008419FA" w:rsidRPr="001455DC" w:rsidRDefault="008A48D7" w:rsidP="008419FA">
            <w:pPr>
              <w:pStyle w:val="Formula"/>
              <w:tabs>
                <w:tab w:val="clear" w:pos="9749"/>
              </w:tabs>
              <w:jc w:val="left"/>
            </w:pPr>
            <m:oMathPara>
              <m:oMathParaPr>
                <m:jc m:val="left"/>
              </m:oMathParaPr>
              <m:oMath>
                <m:r>
                  <w:rPr>
                    <w:rFonts w:ascii="Cambria Math" w:hAnsi="Cambria Math"/>
                  </w:rPr>
                  <m:t>m</m:t>
                </m:r>
                <m:sSub>
                  <m:sSubPr>
                    <m:ctrlPr>
                      <w:rPr>
                        <w:rFonts w:ascii="Cambria Math" w:hAnsi="Cambria Math"/>
                      </w:rPr>
                    </m:ctrlPr>
                  </m:sSubPr>
                  <m:e>
                    <m:r>
                      <w:rPr>
                        <w:rFonts w:ascii="Cambria Math" w:hAnsi="Cambria Math" w:hint="eastAsia"/>
                      </w:rPr>
                      <m:t>'</m:t>
                    </m:r>
                  </m:e>
                  <m:sub>
                    <m:r>
                      <m:rPr>
                        <m:sty m:val="p"/>
                      </m:rPr>
                      <w:rPr>
                        <w:rFonts w:ascii="Cambria Math" w:hAnsi="Cambria Math"/>
                      </w:rPr>
                      <m:t>Rdy</m:t>
                    </m:r>
                  </m:sub>
                </m:sSub>
                <m: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Edy</m:t>
                    </m:r>
                  </m:sub>
                </m:sSub>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m</m:t>
                        </m:r>
                      </m:e>
                      <m:sub>
                        <m:r>
                          <m:rPr>
                            <m:sty m:val="p"/>
                          </m:rPr>
                          <w:rPr>
                            <w:rFonts w:ascii="Cambria Math" w:hAnsi="Cambria Math"/>
                          </w:rPr>
                          <m:t>Edxy</m:t>
                        </m:r>
                      </m:sub>
                    </m:sSub>
                  </m:e>
                </m:d>
              </m:oMath>
            </m:oMathPara>
          </w:p>
        </w:tc>
        <w:tc>
          <w:tcPr>
            <w:tcW w:w="1247" w:type="dxa"/>
            <w:vAlign w:val="center"/>
          </w:tcPr>
          <w:p w14:paraId="27E6B9DC" w14:textId="52ED5292" w:rsidR="008419FA" w:rsidRPr="001455DC" w:rsidRDefault="008419FA" w:rsidP="008419FA">
            <w:pPr>
              <w:pStyle w:val="a7"/>
              <w:jc w:val="right"/>
            </w:pPr>
            <w:r w:rsidRPr="001455DC">
              <w:t>(8.</w:t>
            </w:r>
            <w:r w:rsidR="006E5B3C" w:rsidRPr="001455DC">
              <w:t>5</w:t>
            </w:r>
            <w:r w:rsidRPr="001455DC">
              <w:t>d)</w:t>
            </w:r>
          </w:p>
        </w:tc>
      </w:tr>
    </w:tbl>
    <w:p w14:paraId="1D7B7DAF" w14:textId="77777777" w:rsidR="004E22C1" w:rsidRPr="001455DC" w:rsidRDefault="004E22C1" w:rsidP="008419FA">
      <w:pPr>
        <w:pStyle w:val="a7"/>
      </w:pPr>
      <w:r w:rsidRPr="001455DC">
        <w:t xml:space="preserve">where </w:t>
      </w:r>
      <w:r w:rsidRPr="001455DC">
        <w:rPr>
          <w:rStyle w:val="CCMCvariableitalic"/>
        </w:rPr>
        <w:t>x</w:t>
      </w:r>
      <w:r w:rsidRPr="001455DC">
        <w:t xml:space="preserve"> and </w:t>
      </w:r>
      <w:r w:rsidRPr="001455DC">
        <w:rPr>
          <w:rStyle w:val="CCMCvariableitalic"/>
        </w:rPr>
        <w:t>y</w:t>
      </w:r>
      <w:r w:rsidRPr="001455DC">
        <w:t xml:space="preserve"> are local axes parallel to the reinforcement.</w:t>
      </w:r>
    </w:p>
    <w:p w14:paraId="259165F0" w14:textId="64D6D96F" w:rsidR="004E22C1" w:rsidRPr="001455DC" w:rsidRDefault="004E22C1" w:rsidP="008419FA">
      <w:pPr>
        <w:pStyle w:val="a7"/>
      </w:pPr>
      <w:r w:rsidRPr="001455DC">
        <w:t>(2)</w:t>
      </w:r>
      <w:r w:rsidRPr="001455DC">
        <w:tab/>
        <w:t xml:space="preserve">Alternatively, or in cases not complying with the requirements of (1), the </w:t>
      </w:r>
      <w:r w:rsidR="006E5B3C" w:rsidRPr="001455DC">
        <w:t>F</w:t>
      </w:r>
      <w:r w:rsidRPr="001455DC">
        <w:t>ormula (G.18) in G.</w:t>
      </w:r>
      <w:r w:rsidR="008D35BC" w:rsidRPr="001455DC">
        <w:t>4</w:t>
      </w:r>
      <w:r w:rsidRPr="001455DC">
        <w:t>(5) may be used.</w:t>
      </w:r>
    </w:p>
    <w:p w14:paraId="560066FA" w14:textId="296C5201" w:rsidR="004E22C1" w:rsidRPr="001455DC" w:rsidRDefault="004E22C1" w:rsidP="00243590">
      <w:pPr>
        <w:pStyle w:val="31"/>
      </w:pPr>
      <w:bookmarkStart w:id="544" w:name="_Toc52819974"/>
      <w:bookmarkStart w:id="545" w:name="_Toc54337366"/>
      <w:bookmarkStart w:id="546" w:name="_Toc54338030"/>
      <w:bookmarkStart w:id="547" w:name="_Toc67565378"/>
      <w:r w:rsidRPr="001455DC">
        <w:t>Confined concrete</w:t>
      </w:r>
      <w:bookmarkEnd w:id="544"/>
      <w:bookmarkEnd w:id="545"/>
      <w:bookmarkEnd w:id="546"/>
      <w:bookmarkEnd w:id="547"/>
    </w:p>
    <w:p w14:paraId="687B66E6" w14:textId="77777777" w:rsidR="004E22C1" w:rsidRPr="001455DC" w:rsidRDefault="004E22C1" w:rsidP="008419FA">
      <w:pPr>
        <w:pStyle w:val="a7"/>
      </w:pPr>
      <w:r w:rsidRPr="001455DC">
        <w:t>(1)</w:t>
      </w:r>
      <w:r w:rsidRPr="001455DC">
        <w:tab/>
        <w:t>The concrete compressive design strength may be enhanced by the favourable effect of confinement reinforcement or of triaxial compressive stresses.</w:t>
      </w:r>
    </w:p>
    <w:p w14:paraId="292E5AC6" w14:textId="1C20DD99" w:rsidR="008419FA" w:rsidRPr="001455DC" w:rsidRDefault="004E22C1" w:rsidP="008419FA">
      <w:pPr>
        <w:pStyle w:val="a7"/>
      </w:pPr>
      <w:r w:rsidRPr="001455DC">
        <w:t>(2)</w:t>
      </w:r>
      <w:r w:rsidRPr="001455DC">
        <w:tab/>
        <w:t xml:space="preserve">The compressive strength increase of a concrete with </w:t>
      </w:r>
      <w:r w:rsidRPr="001455DC">
        <w:rPr>
          <w:rStyle w:val="CCMCvariableitalic"/>
        </w:rPr>
        <w:t>d</w:t>
      </w:r>
      <w:r w:rsidRPr="001455DC">
        <w:rPr>
          <w:rStyle w:val="CCMCvariablesubscript"/>
        </w:rPr>
        <w:t>dg</w:t>
      </w:r>
      <w:r w:rsidRPr="001455DC">
        <w:t> </w:t>
      </w:r>
      <w:r w:rsidR="00650035" w:rsidRPr="001455DC">
        <w:rPr>
          <w:rFonts w:ascii="Cambria Math" w:hAnsi="Cambria Math"/>
        </w:rPr>
        <w:t>≥</w:t>
      </w:r>
      <w:r w:rsidR="00073FC6" w:rsidRPr="001455DC">
        <w:t> </w:t>
      </w:r>
      <w:r w:rsidRPr="001455DC">
        <w:t xml:space="preserve">32 mm due to a transverse compressive stress </w:t>
      </w:r>
      <w:r w:rsidRPr="001455DC">
        <w:rPr>
          <w:rStyle w:val="CCMCvariableitalic"/>
        </w:rPr>
        <w:t>σ</w:t>
      </w:r>
      <w:r w:rsidRPr="001455DC">
        <w:rPr>
          <w:rStyle w:val="CCMCvariablesubscript"/>
        </w:rPr>
        <w:t>c2d</w:t>
      </w:r>
      <w:r w:rsidRPr="001455DC">
        <w:t xml:space="preserve"> may be calculated according to:</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252"/>
        <w:gridCol w:w="4253"/>
        <w:gridCol w:w="1247"/>
      </w:tblGrid>
      <w:tr w:rsidR="008419FA" w:rsidRPr="001455DC" w14:paraId="77FF79AB" w14:textId="77777777" w:rsidTr="008419FA">
        <w:trPr>
          <w:cantSplit/>
        </w:trPr>
        <w:tc>
          <w:tcPr>
            <w:tcW w:w="4252" w:type="dxa"/>
            <w:vAlign w:val="center"/>
          </w:tcPr>
          <w:p w14:paraId="533C6E91" w14:textId="6398CF48" w:rsidR="008419FA" w:rsidRPr="001455DC" w:rsidRDefault="008A48D7" w:rsidP="008419FA">
            <w:pPr>
              <w:pStyle w:val="Formula"/>
              <w:tabs>
                <w:tab w:val="clear" w:pos="9749"/>
              </w:tabs>
            </w:pPr>
            <m:oMathPara>
              <m:oMathParaPr>
                <m:jc m:val="left"/>
              </m:oMathParaPr>
              <m:oMath>
                <m:r>
                  <m:rPr>
                    <m:sty m:val="p"/>
                  </m:rPr>
                  <w:rPr>
                    <w:rFonts w:ascii="Cambria Math" w:hAnsi="Cambria Math"/>
                  </w:rPr>
                  <m:t>Δ</m:t>
                </m:r>
                <m:sSub>
                  <m:sSubPr>
                    <m:ctrlPr>
                      <w:rPr>
                        <w:rFonts w:ascii="Cambria Math" w:hAnsi="Cambria Math"/>
                      </w:rPr>
                    </m:ctrlPr>
                  </m:sSubPr>
                  <m:e>
                    <m:r>
                      <w:rPr>
                        <w:rFonts w:ascii="Cambria Math" w:hAnsi="Cambria Math"/>
                      </w:rPr>
                      <m:t>f</m:t>
                    </m:r>
                  </m:e>
                  <m:sub>
                    <m:r>
                      <m:rPr>
                        <m:sty m:val="p"/>
                      </m:rPr>
                      <w:rPr>
                        <w:rFonts w:ascii="Cambria Math" w:hAnsi="Cambria Math"/>
                      </w:rPr>
                      <m:t>cd</m:t>
                    </m:r>
                  </m:sub>
                </m:sSub>
                <m:r>
                  <w:rPr>
                    <w:rFonts w:ascii="Cambria Math" w:hAnsi="Cambria Math"/>
                  </w:rPr>
                  <m:t>=4⋅</m:t>
                </m:r>
                <m:sSub>
                  <m:sSubPr>
                    <m:ctrlPr>
                      <w:rPr>
                        <w:rFonts w:ascii="Cambria Math" w:hAnsi="Cambria Math"/>
                      </w:rPr>
                    </m:ctrlPr>
                  </m:sSubPr>
                  <m:e>
                    <m:r>
                      <w:rPr>
                        <w:rFonts w:ascii="Cambria Math" w:hAnsi="Cambria Math"/>
                      </w:rPr>
                      <m:t>σ</m:t>
                    </m:r>
                  </m:e>
                  <m:sub>
                    <m:r>
                      <m:rPr>
                        <m:sty m:val="p"/>
                      </m:rPr>
                      <w:rPr>
                        <w:rFonts w:ascii="Cambria Math" w:hAnsi="Cambria Math"/>
                      </w:rPr>
                      <m:t>c2d</m:t>
                    </m:r>
                  </m:sub>
                </m:sSub>
              </m:oMath>
            </m:oMathPara>
          </w:p>
        </w:tc>
        <w:tc>
          <w:tcPr>
            <w:tcW w:w="4253" w:type="dxa"/>
            <w:vAlign w:val="center"/>
          </w:tcPr>
          <w:p w14:paraId="725D34FE" w14:textId="795CD853" w:rsidR="008419FA" w:rsidRPr="001455DC" w:rsidRDefault="008419FA" w:rsidP="008419FA">
            <w:pPr>
              <w:pStyle w:val="Formula"/>
              <w:tabs>
                <w:tab w:val="clear" w:pos="9749"/>
              </w:tabs>
              <w:jc w:val="left"/>
            </w:pPr>
            <m:oMathPara>
              <m:oMathParaPr>
                <m:jc m:val="left"/>
              </m:oMathParaPr>
              <m:oMath>
                <m:r>
                  <m:rPr>
                    <m:sty m:val="p"/>
                  </m:rPr>
                  <w:rPr>
                    <w:rFonts w:ascii="Cambria Math" w:hAnsi="Cambria Math"/>
                  </w:rPr>
                  <m:t xml:space="preserve">for </m:t>
                </m:r>
                <m:sSub>
                  <m:sSubPr>
                    <m:ctrlPr>
                      <w:rPr>
                        <w:rFonts w:ascii="Cambria Math" w:hAnsi="Cambria Math"/>
                        <w:i/>
                      </w:rPr>
                    </m:ctrlPr>
                  </m:sSubPr>
                  <m:e>
                    <m:r>
                      <w:rPr>
                        <w:rFonts w:ascii="Cambria Math" w:hAnsi="Cambria Math"/>
                      </w:rPr>
                      <m:t>σ</m:t>
                    </m:r>
                    <m:ctrlPr>
                      <w:rPr>
                        <w:rFonts w:ascii="Cambria Math" w:hAnsi="Cambria Math"/>
                      </w:rPr>
                    </m:ctrlPr>
                  </m:e>
                  <m:sub>
                    <m:r>
                      <m:rPr>
                        <m:sty m:val="p"/>
                      </m:rPr>
                      <w:rPr>
                        <w:rFonts w:ascii="Cambria Math" w:hAnsi="Cambria Math"/>
                      </w:rPr>
                      <m:t>c2d</m:t>
                    </m:r>
                  </m:sub>
                </m:sSub>
                <m:r>
                  <m:rPr>
                    <m:sty m:val="p"/>
                  </m:rPr>
                  <w:rPr>
                    <w:rFonts w:ascii="Cambria Math" w:hAnsi="Cambria Math"/>
                  </w:rPr>
                  <m:t>≤0,6</m:t>
                </m:r>
                <m:sSub>
                  <m:sSubPr>
                    <m:ctrlPr>
                      <w:rPr>
                        <w:rFonts w:ascii="Cambria Math" w:hAnsi="Cambria Math"/>
                        <w:i/>
                      </w:rPr>
                    </m:ctrlPr>
                  </m:sSubPr>
                  <m:e>
                    <m:r>
                      <w:rPr>
                        <w:rFonts w:ascii="Cambria Math" w:hAnsi="Cambria Math"/>
                      </w:rPr>
                      <m:t>f</m:t>
                    </m:r>
                  </m:e>
                  <m:sub>
                    <m:r>
                      <m:rPr>
                        <m:sty m:val="p"/>
                      </m:rPr>
                      <w:rPr>
                        <w:rFonts w:ascii="Cambria Math" w:hAnsi="Cambria Math"/>
                      </w:rPr>
                      <m:t>cd</m:t>
                    </m:r>
                  </m:sub>
                </m:sSub>
              </m:oMath>
            </m:oMathPara>
          </w:p>
        </w:tc>
        <w:tc>
          <w:tcPr>
            <w:tcW w:w="1247" w:type="dxa"/>
            <w:vAlign w:val="center"/>
          </w:tcPr>
          <w:p w14:paraId="7CC6F705" w14:textId="21606579" w:rsidR="008419FA" w:rsidRPr="001455DC" w:rsidRDefault="008419FA">
            <w:pPr>
              <w:pStyle w:val="a7"/>
              <w:jc w:val="right"/>
            </w:pPr>
            <w:r w:rsidRPr="001455DC">
              <w:t>(8.</w:t>
            </w:r>
            <w:r w:rsidR="006E5B3C" w:rsidRPr="001455DC">
              <w:t>6a</w:t>
            </w:r>
            <w:r w:rsidRPr="001455DC">
              <w:t>)</w:t>
            </w:r>
          </w:p>
        </w:tc>
      </w:tr>
      <w:tr w:rsidR="008419FA" w:rsidRPr="001455DC" w14:paraId="1A5130D0" w14:textId="77777777" w:rsidTr="008419FA">
        <w:trPr>
          <w:cantSplit/>
        </w:trPr>
        <w:tc>
          <w:tcPr>
            <w:tcW w:w="4252" w:type="dxa"/>
            <w:vAlign w:val="center"/>
          </w:tcPr>
          <w:p w14:paraId="0BE1DE8A" w14:textId="391C0A13" w:rsidR="008419FA" w:rsidRPr="001455DC" w:rsidRDefault="008A48D7" w:rsidP="008419FA">
            <w:pPr>
              <w:pStyle w:val="Formula"/>
              <w:tabs>
                <w:tab w:val="clear" w:pos="9749"/>
              </w:tabs>
            </w:pPr>
            <m:oMathPara>
              <m:oMathParaPr>
                <m:jc m:val="left"/>
              </m:oMathParaPr>
              <m:oMath>
                <m:r>
                  <m:rPr>
                    <m:sty m:val="p"/>
                  </m:rPr>
                  <w:rPr>
                    <w:rFonts w:ascii="Cambria Math" w:hAnsi="Cambria Math"/>
                  </w:rPr>
                  <m:t>Δ</m:t>
                </m:r>
                <m:sSub>
                  <m:sSubPr>
                    <m:ctrlPr>
                      <w:rPr>
                        <w:rFonts w:ascii="Cambria Math" w:hAnsi="Cambria Math"/>
                      </w:rPr>
                    </m:ctrlPr>
                  </m:sSubPr>
                  <m:e>
                    <m:r>
                      <w:rPr>
                        <w:rFonts w:ascii="Cambria Math" w:hAnsi="Cambria Math"/>
                      </w:rPr>
                      <m:t>f</m:t>
                    </m:r>
                  </m:e>
                  <m:sub>
                    <m:r>
                      <m:rPr>
                        <m:sty m:val="p"/>
                      </m:rPr>
                      <w:rPr>
                        <w:rFonts w:ascii="Cambria Math" w:hAnsi="Cambria Math"/>
                      </w:rPr>
                      <m:t>cd</m:t>
                    </m:r>
                  </m:sub>
                </m:sSub>
                <m:r>
                  <w:rPr>
                    <w:rFonts w:ascii="Cambria Math" w:hAnsi="Cambria Math"/>
                  </w:rPr>
                  <m:t>=3,5⋅</m:t>
                </m:r>
                <m:sSubSup>
                  <m:sSubSupPr>
                    <m:ctrlPr>
                      <w:rPr>
                        <w:rFonts w:ascii="Cambria Math" w:hAnsi="Cambria Math"/>
                      </w:rPr>
                    </m:ctrlPr>
                  </m:sSubSupPr>
                  <m:e>
                    <m:r>
                      <w:rPr>
                        <w:rFonts w:ascii="Cambria Math" w:hAnsi="Cambria Math"/>
                      </w:rPr>
                      <m:t>σ</m:t>
                    </m:r>
                  </m:e>
                  <m:sub>
                    <m:r>
                      <m:rPr>
                        <m:sty m:val="p"/>
                      </m:rPr>
                      <w:rPr>
                        <w:rFonts w:ascii="Cambria Math" w:hAnsi="Cambria Math"/>
                      </w:rPr>
                      <m:t>c2d</m:t>
                    </m:r>
                  </m:sub>
                  <m:sup>
                    <m:f>
                      <m:fPr>
                        <m:type m:val="lin"/>
                        <m:ctrlPr>
                          <w:rPr>
                            <w:rFonts w:ascii="Cambria Math" w:hAnsi="Cambria Math"/>
                          </w:rPr>
                        </m:ctrlPr>
                      </m:fPr>
                      <m:num>
                        <m:r>
                          <w:rPr>
                            <w:rFonts w:ascii="Cambria Math" w:hAnsi="Cambria Math"/>
                          </w:rPr>
                          <m:t>3</m:t>
                        </m:r>
                      </m:num>
                      <m:den>
                        <m:r>
                          <w:rPr>
                            <w:rFonts w:ascii="Cambria Math" w:hAnsi="Cambria Math"/>
                          </w:rPr>
                          <m:t>4</m:t>
                        </m:r>
                      </m:den>
                    </m:f>
                  </m:sup>
                </m:sSubSup>
                <m:r>
                  <w:rPr>
                    <w:rFonts w:ascii="Cambria Math" w:hAnsi="Cambria Math"/>
                  </w:rPr>
                  <m:t>⋅</m:t>
                </m:r>
                <m:sSubSup>
                  <m:sSubSupPr>
                    <m:ctrlPr>
                      <w:rPr>
                        <w:rFonts w:ascii="Cambria Math" w:hAnsi="Cambria Math"/>
                      </w:rPr>
                    </m:ctrlPr>
                  </m:sSubSupPr>
                  <m:e>
                    <m:r>
                      <w:rPr>
                        <w:rFonts w:ascii="Cambria Math" w:hAnsi="Cambria Math"/>
                      </w:rPr>
                      <m:t>f</m:t>
                    </m:r>
                  </m:e>
                  <m:sub>
                    <m:r>
                      <m:rPr>
                        <m:sty m:val="p"/>
                      </m:rPr>
                      <w:rPr>
                        <w:rFonts w:ascii="Cambria Math" w:hAnsi="Cambria Math"/>
                      </w:rPr>
                      <m:t>cd</m:t>
                    </m:r>
                  </m:sub>
                  <m:sup>
                    <m:f>
                      <m:fPr>
                        <m:type m:val="lin"/>
                        <m:ctrlPr>
                          <w:rPr>
                            <w:rFonts w:ascii="Cambria Math" w:hAnsi="Cambria Math"/>
                          </w:rPr>
                        </m:ctrlPr>
                      </m:fPr>
                      <m:num>
                        <m:r>
                          <w:rPr>
                            <w:rFonts w:ascii="Cambria Math" w:hAnsi="Cambria Math"/>
                          </w:rPr>
                          <m:t>1</m:t>
                        </m:r>
                      </m:num>
                      <m:den>
                        <m:r>
                          <w:rPr>
                            <w:rFonts w:ascii="Cambria Math" w:hAnsi="Cambria Math"/>
                          </w:rPr>
                          <m:t>4</m:t>
                        </m:r>
                      </m:den>
                    </m:f>
                  </m:sup>
                </m:sSubSup>
              </m:oMath>
            </m:oMathPara>
          </w:p>
        </w:tc>
        <w:tc>
          <w:tcPr>
            <w:tcW w:w="4253" w:type="dxa"/>
            <w:vAlign w:val="center"/>
          </w:tcPr>
          <w:p w14:paraId="1EEB82E5" w14:textId="2C6DCA21" w:rsidR="008419FA" w:rsidRPr="001455DC" w:rsidRDefault="008419FA" w:rsidP="008419FA">
            <w:pPr>
              <w:pStyle w:val="Formula"/>
              <w:tabs>
                <w:tab w:val="clear" w:pos="9749"/>
              </w:tabs>
              <w:jc w:val="left"/>
            </w:pPr>
            <m:oMathPara>
              <m:oMathParaPr>
                <m:jc m:val="left"/>
              </m:oMathParaPr>
              <m:oMath>
                <m:r>
                  <m:rPr>
                    <m:sty m:val="p"/>
                  </m:rPr>
                  <w:rPr>
                    <w:rFonts w:ascii="Cambria Math" w:hAnsi="Cambria Math"/>
                  </w:rPr>
                  <m:t xml:space="preserve">for </m:t>
                </m:r>
                <m:sSub>
                  <m:sSubPr>
                    <m:ctrlPr>
                      <w:rPr>
                        <w:rFonts w:ascii="Cambria Math" w:hAnsi="Cambria Math"/>
                        <w:i/>
                      </w:rPr>
                    </m:ctrlPr>
                  </m:sSubPr>
                  <m:e>
                    <m:r>
                      <w:rPr>
                        <w:rFonts w:ascii="Cambria Math" w:hAnsi="Cambria Math"/>
                      </w:rPr>
                      <m:t>σ</m:t>
                    </m:r>
                    <m:ctrlPr>
                      <w:rPr>
                        <w:rFonts w:ascii="Cambria Math" w:hAnsi="Cambria Math"/>
                      </w:rPr>
                    </m:ctrlPr>
                  </m:e>
                  <m:sub>
                    <m:r>
                      <m:rPr>
                        <m:sty m:val="p"/>
                      </m:rPr>
                      <w:rPr>
                        <w:rFonts w:ascii="Cambria Math" w:hAnsi="Cambria Math"/>
                      </w:rPr>
                      <m:t>c2d</m:t>
                    </m:r>
                  </m:sub>
                </m:sSub>
                <m:r>
                  <m:rPr>
                    <m:sty m:val="p"/>
                  </m:rPr>
                  <w:rPr>
                    <w:rFonts w:ascii="Cambria Math" w:hAnsi="Cambria Math"/>
                  </w:rPr>
                  <m:t>&gt;0,6</m:t>
                </m:r>
                <m:sSub>
                  <m:sSubPr>
                    <m:ctrlPr>
                      <w:rPr>
                        <w:rFonts w:ascii="Cambria Math" w:hAnsi="Cambria Math"/>
                        <w:i/>
                      </w:rPr>
                    </m:ctrlPr>
                  </m:sSubPr>
                  <m:e>
                    <m:r>
                      <w:rPr>
                        <w:rFonts w:ascii="Cambria Math" w:hAnsi="Cambria Math"/>
                      </w:rPr>
                      <m:t>f</m:t>
                    </m:r>
                  </m:e>
                  <m:sub>
                    <m:r>
                      <m:rPr>
                        <m:sty m:val="p"/>
                      </m:rPr>
                      <w:rPr>
                        <w:rFonts w:ascii="Cambria Math" w:hAnsi="Cambria Math"/>
                      </w:rPr>
                      <m:t>cd</m:t>
                    </m:r>
                  </m:sub>
                </m:sSub>
              </m:oMath>
            </m:oMathPara>
          </w:p>
        </w:tc>
        <w:tc>
          <w:tcPr>
            <w:tcW w:w="1247" w:type="dxa"/>
            <w:vAlign w:val="center"/>
          </w:tcPr>
          <w:p w14:paraId="4C0942B6" w14:textId="0A2186E3" w:rsidR="008419FA" w:rsidRPr="001455DC" w:rsidRDefault="008419FA" w:rsidP="008419FA">
            <w:pPr>
              <w:pStyle w:val="a7"/>
              <w:jc w:val="right"/>
            </w:pPr>
            <w:r w:rsidRPr="001455DC">
              <w:t>(8.</w:t>
            </w:r>
            <w:r w:rsidR="006E5B3C" w:rsidRPr="001455DC">
              <w:t>6</w:t>
            </w:r>
            <w:r w:rsidRPr="001455DC">
              <w:t>b)</w:t>
            </w:r>
          </w:p>
        </w:tc>
      </w:tr>
    </w:tbl>
    <w:p w14:paraId="6ADF2042" w14:textId="43406138" w:rsidR="004E22C1" w:rsidRPr="001455DC" w:rsidRDefault="004E22C1" w:rsidP="008419FA">
      <w:pPr>
        <w:pStyle w:val="a7"/>
      </w:pPr>
      <w:r w:rsidRPr="001455DC">
        <w:t xml:space="preserve">In case of concrete with </w:t>
      </w:r>
      <w:r w:rsidRPr="001455DC">
        <w:rPr>
          <w:rStyle w:val="CCMCvariableitalic"/>
        </w:rPr>
        <w:t>d</w:t>
      </w:r>
      <w:r w:rsidRPr="001455DC">
        <w:rPr>
          <w:rStyle w:val="CCMCvariablesubscript"/>
        </w:rPr>
        <w:t>dg</w:t>
      </w:r>
      <w:r w:rsidRPr="001455DC">
        <w:t> </w:t>
      </w:r>
      <w:r w:rsidR="00650035" w:rsidRPr="001455DC">
        <w:rPr>
          <w:rFonts w:ascii="Cambria Math" w:hAnsi="Cambria Math"/>
        </w:rPr>
        <w:t>&lt;</w:t>
      </w:r>
      <w:r w:rsidRPr="001455DC">
        <w:t> 32 mm, the strength increase Δ</w:t>
      </w:r>
      <w:r w:rsidRPr="001455DC">
        <w:rPr>
          <w:rStyle w:val="CCMCvariableitalic"/>
        </w:rPr>
        <w:t>f</w:t>
      </w:r>
      <w:r w:rsidRPr="001455DC">
        <w:rPr>
          <w:rStyle w:val="CCMCvariablesubscript"/>
        </w:rPr>
        <w:t>cd</w:t>
      </w:r>
      <w:r w:rsidRPr="001455DC">
        <w:t xml:space="preserve"> according to Formula</w:t>
      </w:r>
      <w:r w:rsidR="006E5B3C" w:rsidRPr="001455DC">
        <w:t>e</w:t>
      </w:r>
      <w:r w:rsidRPr="001455DC">
        <w:t> (8.</w:t>
      </w:r>
      <w:r w:rsidR="006E5B3C" w:rsidRPr="001455DC">
        <w:t>6</w:t>
      </w:r>
      <w:r w:rsidRPr="001455DC">
        <w:t xml:space="preserve">) shall be reduced by factor </w:t>
      </w:r>
      <w:r w:rsidRPr="001455DC">
        <w:rPr>
          <w:rStyle w:val="CCMCvariableitalic"/>
        </w:rPr>
        <w:t>d</w:t>
      </w:r>
      <w:r w:rsidRPr="001455DC">
        <w:rPr>
          <w:rStyle w:val="CCMCvariablesubscript"/>
        </w:rPr>
        <w:t>dg</w:t>
      </w:r>
      <w:r w:rsidRPr="001455DC">
        <w:t>/32 mm.</w:t>
      </w:r>
    </w:p>
    <w:p w14:paraId="06249D12" w14:textId="310E8FD1" w:rsidR="008419FA" w:rsidRPr="001455DC" w:rsidRDefault="008419FA"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8419FA" w:rsidRPr="001455DC" w14:paraId="55F3E9CD" w14:textId="77777777" w:rsidTr="008419FA">
        <w:trPr>
          <w:cantSplit/>
        </w:trPr>
        <w:tc>
          <w:tcPr>
            <w:tcW w:w="567" w:type="dxa"/>
          </w:tcPr>
          <w:p w14:paraId="45AA7D8D" w14:textId="4B2FC8AE" w:rsidR="008419FA" w:rsidRPr="001455DC" w:rsidRDefault="008419FA" w:rsidP="008419FA">
            <w:pPr>
              <w:pStyle w:val="Tablebody"/>
            </w:pPr>
            <w:r w:rsidRPr="001455DC">
              <w:rPr>
                <w:rStyle w:val="CCMCvariableitalic"/>
              </w:rPr>
              <w:t>d</w:t>
            </w:r>
            <w:r w:rsidRPr="001455DC">
              <w:rPr>
                <w:rStyle w:val="CCMCvariablesubscript"/>
              </w:rPr>
              <w:t>dg</w:t>
            </w:r>
          </w:p>
        </w:tc>
        <w:tc>
          <w:tcPr>
            <w:tcW w:w="8845" w:type="dxa"/>
          </w:tcPr>
          <w:p w14:paraId="389F6509" w14:textId="0F26EEFD" w:rsidR="008419FA" w:rsidRPr="001455DC" w:rsidRDefault="008419FA" w:rsidP="008419FA">
            <w:pPr>
              <w:pStyle w:val="Tablebody"/>
            </w:pPr>
            <w:r w:rsidRPr="001455DC">
              <w:rPr>
                <w:lang w:eastAsia="de-CH"/>
              </w:rPr>
              <w:t>is defined in 8.2.1(4),</w:t>
            </w:r>
          </w:p>
        </w:tc>
      </w:tr>
      <w:tr w:rsidR="008419FA" w:rsidRPr="001455DC" w14:paraId="5BE25F8E" w14:textId="77777777" w:rsidTr="008419FA">
        <w:trPr>
          <w:cantSplit/>
        </w:trPr>
        <w:tc>
          <w:tcPr>
            <w:tcW w:w="567" w:type="dxa"/>
          </w:tcPr>
          <w:p w14:paraId="095D4E05" w14:textId="5EAB4B35" w:rsidR="008419FA" w:rsidRPr="001455DC" w:rsidRDefault="008419FA" w:rsidP="008419FA">
            <w:pPr>
              <w:pStyle w:val="Tablebody"/>
            </w:pPr>
            <w:r w:rsidRPr="001455DC">
              <w:rPr>
                <w:rStyle w:val="CCMCvariableitalic"/>
              </w:rPr>
              <w:t>σ</w:t>
            </w:r>
            <w:r w:rsidRPr="001455DC">
              <w:rPr>
                <w:rStyle w:val="CCMCvariablesubscript"/>
              </w:rPr>
              <w:t>c2d</w:t>
            </w:r>
          </w:p>
        </w:tc>
        <w:tc>
          <w:tcPr>
            <w:tcW w:w="8845" w:type="dxa"/>
          </w:tcPr>
          <w:p w14:paraId="5B86C28C" w14:textId="17DE885F" w:rsidR="008419FA" w:rsidRPr="001455DC" w:rsidRDefault="008419FA">
            <w:pPr>
              <w:pStyle w:val="Tablebody"/>
            </w:pPr>
            <w:r w:rsidRPr="001455DC">
              <w:t xml:space="preserve">refers to the absolute value of the minimum principal transverse </w:t>
            </w:r>
            <w:r w:rsidR="006E5B3C" w:rsidRPr="001455DC">
              <w:t xml:space="preserve">compressive </w:t>
            </w:r>
            <w:r w:rsidRPr="001455DC">
              <w:t>stress.</w:t>
            </w:r>
          </w:p>
        </w:tc>
      </w:tr>
    </w:tbl>
    <w:p w14:paraId="132BA279" w14:textId="4F2274FC" w:rsidR="004E22C1" w:rsidRPr="001455DC" w:rsidRDefault="004E22C1" w:rsidP="008419FA">
      <w:pPr>
        <w:pStyle w:val="Note"/>
        <w:rPr>
          <w:lang w:eastAsia="de-CH"/>
        </w:rPr>
      </w:pPr>
      <w:r w:rsidRPr="001455DC">
        <w:t>NOTE</w:t>
      </w:r>
      <w:r w:rsidRPr="001455DC">
        <w:tab/>
        <w:t>Provided that the strength increase Δ</w:t>
      </w:r>
      <w:r w:rsidRPr="001455DC">
        <w:rPr>
          <w:rStyle w:val="CCMCvariableitalic"/>
        </w:rPr>
        <w:t>f</w:t>
      </w:r>
      <w:r w:rsidRPr="001455DC">
        <w:rPr>
          <w:rStyle w:val="CCMCvariablesubscript"/>
        </w:rPr>
        <w:t>cd</w:t>
      </w:r>
      <w:r w:rsidRPr="001455DC">
        <w:t xml:space="preserve"> is reduced by factor </w:t>
      </w:r>
      <w:r w:rsidRPr="001455DC">
        <w:rPr>
          <w:rStyle w:val="CCMCvariableitalic"/>
        </w:rPr>
        <w:t>d</w:t>
      </w:r>
      <w:r w:rsidRPr="001455DC">
        <w:rPr>
          <w:rStyle w:val="CCMCvariablesubscript"/>
        </w:rPr>
        <w:t>dg</w:t>
      </w:r>
      <w:r w:rsidRPr="001455DC">
        <w:t>/32 mm, Formula</w:t>
      </w:r>
      <w:r w:rsidR="006E5B3C" w:rsidRPr="001455DC">
        <w:t>e</w:t>
      </w:r>
      <w:r w:rsidRPr="001455DC">
        <w:t> (8.</w:t>
      </w:r>
      <w:r w:rsidR="006E5B3C" w:rsidRPr="001455DC">
        <w:t>6</w:t>
      </w:r>
      <w:r w:rsidRPr="001455DC">
        <w:t xml:space="preserve">) apply also for concrete and mortar with </w:t>
      </w:r>
      <w:r w:rsidRPr="001455DC">
        <w:rPr>
          <w:rStyle w:val="CCMCvariableitalic"/>
        </w:rPr>
        <w:t>d</w:t>
      </w:r>
      <w:r w:rsidRPr="001455DC">
        <w:rPr>
          <w:rStyle w:val="CCMCvariablesubscript"/>
        </w:rPr>
        <w:t>dg</w:t>
      </w:r>
      <w:r w:rsidRPr="001455DC">
        <w:t> </w:t>
      </w:r>
      <w:r w:rsidR="00650035" w:rsidRPr="001455DC">
        <w:rPr>
          <w:rFonts w:ascii="Cambria Math" w:hAnsi="Cambria Math"/>
        </w:rPr>
        <w:t>&lt;</w:t>
      </w:r>
      <w:r w:rsidRPr="001455DC">
        <w:t> 24 mm.</w:t>
      </w:r>
    </w:p>
    <w:p w14:paraId="13101FF1" w14:textId="77777777" w:rsidR="008419FA" w:rsidRPr="001455DC" w:rsidRDefault="004E22C1" w:rsidP="008419FA">
      <w:pPr>
        <w:pStyle w:val="a7"/>
      </w:pPr>
      <w:r w:rsidRPr="001455DC">
        <w:t>(3)</w:t>
      </w:r>
      <w:r w:rsidRPr="001455DC">
        <w:tab/>
        <w:t xml:space="preserve">The confinement stress </w:t>
      </w:r>
      <w:r w:rsidRPr="001455DC">
        <w:rPr>
          <w:rStyle w:val="CCMCvariableitalic"/>
        </w:rPr>
        <w:t>σ</w:t>
      </w:r>
      <w:r w:rsidRPr="001455DC">
        <w:rPr>
          <w:rStyle w:val="CCMCvariablesubscript"/>
        </w:rPr>
        <w:t>c2d</w:t>
      </w:r>
      <w:r w:rsidRPr="001455DC">
        <w:t xml:space="preserve"> resulting from confinement reinforcement may be calculated as:</w:t>
      </w:r>
    </w:p>
    <w:tbl>
      <w:tblPr>
        <w:tblStyle w:val="ad"/>
        <w:tblW w:w="9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536"/>
        <w:gridCol w:w="964"/>
        <w:gridCol w:w="4253"/>
      </w:tblGrid>
      <w:tr w:rsidR="008419FA" w:rsidRPr="001455DC" w14:paraId="2887C96F" w14:textId="77777777" w:rsidTr="000C7FE6">
        <w:trPr>
          <w:cantSplit/>
        </w:trPr>
        <w:tc>
          <w:tcPr>
            <w:tcW w:w="4536" w:type="dxa"/>
            <w:vAlign w:val="center"/>
          </w:tcPr>
          <w:p w14:paraId="6CA614B3" w14:textId="771273EC" w:rsidR="008419FA" w:rsidRPr="001455DC" w:rsidRDefault="00231E33" w:rsidP="008419FA">
            <w:pPr>
              <w:pStyle w:val="Formula"/>
              <w:tabs>
                <w:tab w:val="clear" w:pos="9749"/>
              </w:tabs>
            </w:pPr>
            <m:oMathPara>
              <m:oMathParaPr>
                <m:jc m:val="left"/>
              </m:oMathParaPr>
              <m:oMath>
                <m:sSub>
                  <m:sSubPr>
                    <m:ctrlPr>
                      <w:rPr>
                        <w:rFonts w:ascii="Cambria Math" w:hAnsi="Cambria Math"/>
                      </w:rPr>
                    </m:ctrlPr>
                  </m:sSubPr>
                  <m:e>
                    <m:r>
                      <w:rPr>
                        <w:rFonts w:ascii="Cambria Math" w:hAnsi="Cambria Math"/>
                      </w:rPr>
                      <m:t>σ</m:t>
                    </m:r>
                  </m:e>
                  <m:sub>
                    <m:r>
                      <m:rPr>
                        <m:sty m:val="p"/>
                      </m:rPr>
                      <w:rPr>
                        <w:rFonts w:ascii="Cambria Math" w:hAnsi="Cambria Math"/>
                      </w:rPr>
                      <m:t>c2d</m:t>
                    </m:r>
                  </m:sub>
                </m:sSub>
                <m:r>
                  <w:rPr>
                    <w:rFonts w:ascii="Cambria Math" w:hAnsi="Cambria Math"/>
                  </w:rPr>
                  <m:t>=</m:t>
                </m:r>
                <m:f>
                  <m:fPr>
                    <m:ctrlPr>
                      <w:rPr>
                        <w:rFonts w:ascii="Cambria Math" w:hAnsi="Cambria Math"/>
                      </w:rPr>
                    </m:ctrlPr>
                  </m:fPr>
                  <m:num>
                    <m:r>
                      <w:rPr>
                        <w:rFonts w:ascii="Cambria Math" w:hAnsi="Cambria Math"/>
                      </w:rPr>
                      <m:t>2</m:t>
                    </m:r>
                    <m:sSub>
                      <m:sSubPr>
                        <m:ctrlPr>
                          <w:rPr>
                            <w:rFonts w:ascii="Cambria Math" w:hAnsi="Cambria Math"/>
                          </w:rPr>
                        </m:ctrlPr>
                      </m:sSubPr>
                      <m:e>
                        <m:r>
                          <w:rPr>
                            <w:rFonts w:ascii="Cambria Math" w:hAnsi="Cambria Math"/>
                          </w:rPr>
                          <m:t>A</m:t>
                        </m:r>
                      </m:e>
                      <m:sub>
                        <m:r>
                          <m:rPr>
                            <m:sty m:val="p"/>
                          </m:rPr>
                          <w:rPr>
                            <w:rFonts w:ascii="Cambria Math" w:hAnsi="Cambria Math"/>
                          </w:rPr>
                          <m:t>s,conf</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yd</m:t>
                        </m:r>
                      </m:sub>
                    </m:sSub>
                  </m:num>
                  <m:den>
                    <m:sSub>
                      <m:sSubPr>
                        <m:ctrlPr>
                          <w:rPr>
                            <w:rFonts w:ascii="Cambria Math" w:hAnsi="Cambria Math"/>
                          </w:rPr>
                        </m:ctrlPr>
                      </m:sSubPr>
                      <m:e>
                        <m:r>
                          <w:rPr>
                            <w:rFonts w:ascii="Cambria Math" w:hAnsi="Cambria Math"/>
                          </w:rPr>
                          <m:t>b</m:t>
                        </m:r>
                      </m:e>
                      <m:sub>
                        <m:r>
                          <m:rPr>
                            <m:sty m:val="p"/>
                          </m:rPr>
                          <w:rPr>
                            <w:rFonts w:ascii="Cambria Math" w:hAnsi="Cambria Math"/>
                          </w:rPr>
                          <m:t>cs</m:t>
                        </m:r>
                      </m:sub>
                    </m:sSub>
                    <m:r>
                      <w:rPr>
                        <w:rFonts w:ascii="Cambria Math" w:hAnsi="Cambria Math"/>
                      </w:rPr>
                      <m:t>⋅s</m:t>
                    </m:r>
                  </m:den>
                </m:f>
              </m:oMath>
            </m:oMathPara>
          </w:p>
        </w:tc>
        <w:tc>
          <w:tcPr>
            <w:tcW w:w="964" w:type="dxa"/>
            <w:vAlign w:val="center"/>
          </w:tcPr>
          <w:p w14:paraId="3A75010D" w14:textId="77EEC488" w:rsidR="008419FA" w:rsidRPr="001455DC" w:rsidRDefault="004F5434">
            <w:pPr>
              <w:pStyle w:val="a7"/>
              <w:jc w:val="left"/>
            </w:pPr>
            <w:r w:rsidRPr="001455DC">
              <w:t>(8.</w:t>
            </w:r>
            <w:r w:rsidR="006E5B3C" w:rsidRPr="001455DC">
              <w:t>7a</w:t>
            </w:r>
            <w:r w:rsidRPr="001455DC">
              <w:t>)</w:t>
            </w:r>
          </w:p>
        </w:tc>
        <w:tc>
          <w:tcPr>
            <w:tcW w:w="4253" w:type="dxa"/>
            <w:vAlign w:val="center"/>
          </w:tcPr>
          <w:p w14:paraId="35B62A76" w14:textId="1713353D" w:rsidR="008419FA" w:rsidRPr="001455DC" w:rsidRDefault="004F5434" w:rsidP="004F5434">
            <w:pPr>
              <w:pStyle w:val="a7"/>
              <w:jc w:val="left"/>
            </w:pPr>
            <w:r w:rsidRPr="001455DC">
              <w:t>for circular and square members in compression with single confinement reinforcement (Figure 8.3a) and b))</w:t>
            </w:r>
          </w:p>
        </w:tc>
      </w:tr>
      <w:tr w:rsidR="004F5434" w:rsidRPr="001455DC" w14:paraId="512FA13A" w14:textId="77777777" w:rsidTr="000C7FE6">
        <w:trPr>
          <w:cantSplit/>
        </w:trPr>
        <w:tc>
          <w:tcPr>
            <w:tcW w:w="4536" w:type="dxa"/>
            <w:vAlign w:val="center"/>
          </w:tcPr>
          <w:p w14:paraId="19AC7C61" w14:textId="745D6B44" w:rsidR="004F5434" w:rsidRPr="001455DC" w:rsidRDefault="00231E33" w:rsidP="008419FA">
            <w:pPr>
              <w:pStyle w:val="Formula"/>
              <w:tabs>
                <w:tab w:val="clear" w:pos="9749"/>
              </w:tabs>
            </w:pPr>
            <m:oMathPara>
              <m:oMathParaPr>
                <m:jc m:val="left"/>
              </m:oMathParaPr>
              <m:oMath>
                <m:sSub>
                  <m:sSubPr>
                    <m:ctrlPr>
                      <w:rPr>
                        <w:rFonts w:ascii="Cambria Math" w:hAnsi="Cambria Math"/>
                      </w:rPr>
                    </m:ctrlPr>
                  </m:sSubPr>
                  <m:e>
                    <m:r>
                      <w:rPr>
                        <w:rFonts w:ascii="Cambria Math" w:hAnsi="Cambria Math"/>
                      </w:rPr>
                      <m:t>σ</m:t>
                    </m:r>
                  </m:e>
                  <m:sub>
                    <m:r>
                      <m:rPr>
                        <m:sty m:val="p"/>
                      </m:rPr>
                      <w:rPr>
                        <w:rFonts w:ascii="Cambria Math" w:hAnsi="Cambria Math"/>
                      </w:rPr>
                      <m:t>c2d</m:t>
                    </m:r>
                  </m:sub>
                </m:sSub>
                <m:r>
                  <w:rPr>
                    <w:rFonts w:ascii="Cambria Math" w:hAnsi="Cambria Math"/>
                  </w:rPr>
                  <m:t>=</m:t>
                </m:r>
                <m:f>
                  <m:fPr>
                    <m:ctrlPr>
                      <w:rPr>
                        <w:rFonts w:ascii="Cambria Math" w:hAnsi="Cambria Math"/>
                      </w:rPr>
                    </m:ctrlPr>
                  </m:fPr>
                  <m:num>
                    <m:r>
                      <w:rPr>
                        <w:rFonts w:ascii="Cambria Math" w:hAnsi="Cambria Math"/>
                      </w:rPr>
                      <m:t>2</m:t>
                    </m:r>
                    <m:sSub>
                      <m:sSubPr>
                        <m:ctrlPr>
                          <w:rPr>
                            <w:rFonts w:ascii="Cambria Math" w:hAnsi="Cambria Math"/>
                          </w:rPr>
                        </m:ctrlPr>
                      </m:sSubPr>
                      <m:e>
                        <m:r>
                          <w:rPr>
                            <w:rFonts w:ascii="Cambria Math" w:hAnsi="Cambria Math"/>
                          </w:rPr>
                          <m:t>A</m:t>
                        </m:r>
                      </m:e>
                      <m:sub>
                        <m:r>
                          <m:rPr>
                            <m:sty m:val="p"/>
                          </m:rPr>
                          <w:rPr>
                            <w:rFonts w:ascii="Cambria Math" w:hAnsi="Cambria Math"/>
                          </w:rPr>
                          <m:t>s,conf</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yd</m:t>
                        </m:r>
                      </m:sub>
                    </m:sSub>
                  </m:num>
                  <m:den>
                    <m:r>
                      <m:rPr>
                        <m:sty m:val="p"/>
                      </m:rPr>
                      <w:rPr>
                        <w:rFonts w:ascii="Cambria Math" w:hAnsi="Cambria Math"/>
                      </w:rPr>
                      <m:t>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b</m:t>
                            </m:r>
                          </m:e>
                          <m:sub>
                            <m:r>
                              <m:rPr>
                                <m:sty m:val="p"/>
                              </m:rPr>
                              <w:rPr>
                                <w:rFonts w:ascii="Cambria Math" w:hAnsi="Cambria Math"/>
                              </w:rPr>
                              <m:t>csx</m:t>
                            </m:r>
                          </m:sub>
                        </m:sSub>
                        <m: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csy</m:t>
                            </m:r>
                          </m:sub>
                        </m:sSub>
                      </m:e>
                    </m:d>
                    <m:r>
                      <w:rPr>
                        <w:rFonts w:ascii="Cambria Math" w:hAnsi="Cambria Math"/>
                      </w:rPr>
                      <m:t>⋅s</m:t>
                    </m:r>
                  </m:den>
                </m:f>
              </m:oMath>
            </m:oMathPara>
          </w:p>
        </w:tc>
        <w:tc>
          <w:tcPr>
            <w:tcW w:w="964" w:type="dxa"/>
            <w:vAlign w:val="center"/>
          </w:tcPr>
          <w:p w14:paraId="092C603F" w14:textId="1DF67F35" w:rsidR="004F5434" w:rsidRPr="001455DC" w:rsidRDefault="004F5434" w:rsidP="008419FA">
            <w:pPr>
              <w:pStyle w:val="a7"/>
              <w:jc w:val="left"/>
            </w:pPr>
            <w:r w:rsidRPr="001455DC">
              <w:t>(8.</w:t>
            </w:r>
            <w:r w:rsidR="006E5B3C" w:rsidRPr="001455DC">
              <w:t>7</w:t>
            </w:r>
            <w:r w:rsidRPr="001455DC">
              <w:t>b)</w:t>
            </w:r>
          </w:p>
        </w:tc>
        <w:tc>
          <w:tcPr>
            <w:tcW w:w="4253" w:type="dxa"/>
            <w:vAlign w:val="center"/>
          </w:tcPr>
          <w:p w14:paraId="0674FD8C" w14:textId="1697E3E1" w:rsidR="004F5434" w:rsidRPr="001455DC" w:rsidRDefault="004F5434" w:rsidP="004F5434">
            <w:pPr>
              <w:pStyle w:val="a7"/>
              <w:jc w:val="left"/>
            </w:pPr>
            <w:r w:rsidRPr="001455DC">
              <w:t>for rectangular members in compression with single confinement reinforcement (</w:t>
            </w:r>
            <w:r w:rsidRPr="001455DC">
              <w:rPr>
                <w:rStyle w:val="CCMCvariableitalic"/>
              </w:rPr>
              <w:t>b</w:t>
            </w:r>
            <w:r w:rsidRPr="001455DC">
              <w:rPr>
                <w:rStyle w:val="CCMCvariablesubscript"/>
              </w:rPr>
              <w:t>csx</w:t>
            </w:r>
            <w:r w:rsidRPr="001455DC">
              <w:t xml:space="preserve"> and </w:t>
            </w:r>
            <w:r w:rsidRPr="001455DC">
              <w:rPr>
                <w:rStyle w:val="CCMCvariableitalic"/>
              </w:rPr>
              <w:t>b</w:t>
            </w:r>
            <w:r w:rsidRPr="001455DC">
              <w:rPr>
                <w:rStyle w:val="CCMCvariablesubscript"/>
              </w:rPr>
              <w:t>csy</w:t>
            </w:r>
            <w:r w:rsidRPr="001455DC">
              <w:t xml:space="preserve"> according to Figure 8.3c))</w:t>
            </w:r>
          </w:p>
        </w:tc>
      </w:tr>
      <w:tr w:rsidR="004F5434" w:rsidRPr="001455DC" w14:paraId="0968379A" w14:textId="77777777" w:rsidTr="000C7FE6">
        <w:trPr>
          <w:cantSplit/>
        </w:trPr>
        <w:tc>
          <w:tcPr>
            <w:tcW w:w="4536" w:type="dxa"/>
            <w:vAlign w:val="center"/>
          </w:tcPr>
          <w:p w14:paraId="283E8A57" w14:textId="71DA4CD3" w:rsidR="004F5434" w:rsidRPr="001455DC" w:rsidRDefault="00231E33" w:rsidP="008419FA">
            <w:pPr>
              <w:pStyle w:val="Formula"/>
              <w:tabs>
                <w:tab w:val="clear" w:pos="9749"/>
              </w:tabs>
            </w:pPr>
            <m:oMathPara>
              <m:oMathParaPr>
                <m:jc m:val="left"/>
              </m:oMathParaPr>
              <m:oMath>
                <m:sSub>
                  <m:sSubPr>
                    <m:ctrlPr>
                      <w:rPr>
                        <w:rFonts w:ascii="Cambria Math" w:hAnsi="Cambria Math"/>
                      </w:rPr>
                    </m:ctrlPr>
                  </m:sSubPr>
                  <m:e>
                    <m:r>
                      <w:rPr>
                        <w:rFonts w:ascii="Cambria Math" w:hAnsi="Cambria Math"/>
                      </w:rPr>
                      <m:t>σ</m:t>
                    </m:r>
                  </m:e>
                  <m:sub>
                    <m:r>
                      <m:rPr>
                        <m:sty m:val="p"/>
                      </m:rPr>
                      <w:rPr>
                        <w:rFonts w:ascii="Cambria Math" w:hAnsi="Cambria Math"/>
                      </w:rPr>
                      <m:t>c2d</m:t>
                    </m:r>
                  </m:sub>
                </m:sSub>
                <m:r>
                  <w:rPr>
                    <w:rFonts w:ascii="Cambria Math" w:hAnsi="Cambria Math"/>
                  </w:rPr>
                  <m:t>=</m:t>
                </m:r>
                <m:r>
                  <m:rPr>
                    <m:sty m:val="p"/>
                  </m:rPr>
                  <w:rPr>
                    <w:rFonts w:ascii="Cambria Math" w:hAnsi="Cambria Math"/>
                  </w:rPr>
                  <m:t>min</m:t>
                </m:r>
                <m:d>
                  <m:dPr>
                    <m:begChr m:val="{"/>
                    <m:endChr m:val="}"/>
                    <m:ctrlPr>
                      <w:rPr>
                        <w:rFonts w:ascii="Cambria Math" w:hAnsi="Cambria Math"/>
                      </w:rPr>
                    </m:ctrlPr>
                  </m:dPr>
                  <m:e>
                    <m:f>
                      <m:fPr>
                        <m:ctrlPr>
                          <w:rPr>
                            <w:rFonts w:ascii="Cambria Math" w:hAnsi="Cambria Math"/>
                          </w:rPr>
                        </m:ctrlPr>
                      </m:fPr>
                      <m:num>
                        <m:r>
                          <w:rPr>
                            <w:rFonts w:ascii="Cambria Math" w:hAnsi="Cambria Math"/>
                          </w:rPr>
                          <m:t>Σ</m:t>
                        </m:r>
                        <m:sSub>
                          <m:sSubPr>
                            <m:ctrlPr>
                              <w:rPr>
                                <w:rFonts w:ascii="Cambria Math" w:hAnsi="Cambria Math"/>
                              </w:rPr>
                            </m:ctrlPr>
                          </m:sSubPr>
                          <m:e>
                            <m:r>
                              <w:rPr>
                                <w:rFonts w:ascii="Cambria Math" w:hAnsi="Cambria Math"/>
                              </w:rPr>
                              <m:t>A</m:t>
                            </m:r>
                          </m:e>
                          <m:sub>
                            <m:r>
                              <m:rPr>
                                <m:sty m:val="p"/>
                              </m:rPr>
                              <w:rPr>
                                <w:rFonts w:ascii="Cambria Math" w:hAnsi="Cambria Math"/>
                              </w:rPr>
                              <m:t>s,confx</m:t>
                            </m:r>
                          </m:sub>
                        </m:sSub>
                      </m:num>
                      <m:den>
                        <m:sSub>
                          <m:sSubPr>
                            <m:ctrlPr>
                              <w:rPr>
                                <w:rFonts w:ascii="Cambria Math" w:hAnsi="Cambria Math"/>
                              </w:rPr>
                            </m:ctrlPr>
                          </m:sSubPr>
                          <m:e>
                            <m:r>
                              <w:rPr>
                                <w:rFonts w:ascii="Cambria Math" w:hAnsi="Cambria Math"/>
                              </w:rPr>
                              <m:t>b</m:t>
                            </m:r>
                          </m:e>
                          <m:sub>
                            <m:r>
                              <m:rPr>
                                <m:sty m:val="p"/>
                              </m:rPr>
                              <w:rPr>
                                <w:rFonts w:ascii="Cambria Math" w:hAnsi="Cambria Math"/>
                              </w:rPr>
                              <m:t>csy</m:t>
                            </m:r>
                          </m:sub>
                        </m:sSub>
                      </m:den>
                    </m:f>
                    <m:r>
                      <w:rPr>
                        <w:rFonts w:ascii="Cambria Math" w:hAnsi="Cambria Math"/>
                      </w:rPr>
                      <m:t xml:space="preserve">; </m:t>
                    </m:r>
                    <m:f>
                      <m:fPr>
                        <m:ctrlPr>
                          <w:rPr>
                            <w:rFonts w:ascii="Cambria Math" w:hAnsi="Cambria Math"/>
                          </w:rPr>
                        </m:ctrlPr>
                      </m:fPr>
                      <m:num>
                        <m:r>
                          <w:rPr>
                            <w:rFonts w:ascii="Cambria Math" w:hAnsi="Cambria Math"/>
                          </w:rPr>
                          <m:t>Σ</m:t>
                        </m:r>
                        <m:sSub>
                          <m:sSubPr>
                            <m:ctrlPr>
                              <w:rPr>
                                <w:rFonts w:ascii="Cambria Math" w:hAnsi="Cambria Math"/>
                              </w:rPr>
                            </m:ctrlPr>
                          </m:sSubPr>
                          <m:e>
                            <m:r>
                              <w:rPr>
                                <w:rFonts w:ascii="Cambria Math" w:hAnsi="Cambria Math"/>
                              </w:rPr>
                              <m:t>A</m:t>
                            </m:r>
                          </m:e>
                          <m:sub>
                            <m:r>
                              <m:rPr>
                                <m:sty m:val="p"/>
                              </m:rPr>
                              <w:rPr>
                                <w:rFonts w:ascii="Cambria Math" w:hAnsi="Cambria Math"/>
                              </w:rPr>
                              <m:t>s,confy</m:t>
                            </m:r>
                          </m:sub>
                        </m:sSub>
                      </m:num>
                      <m:den>
                        <m:sSub>
                          <m:sSubPr>
                            <m:ctrlPr>
                              <w:rPr>
                                <w:rFonts w:ascii="Cambria Math" w:hAnsi="Cambria Math"/>
                              </w:rPr>
                            </m:ctrlPr>
                          </m:sSubPr>
                          <m:e>
                            <m:r>
                              <w:rPr>
                                <w:rFonts w:ascii="Cambria Math" w:hAnsi="Cambria Math"/>
                              </w:rPr>
                              <m:t>b</m:t>
                            </m:r>
                          </m:e>
                          <m:sub>
                            <m:r>
                              <m:rPr>
                                <m:sty m:val="p"/>
                              </m:rPr>
                              <w:rPr>
                                <w:rFonts w:ascii="Cambria Math" w:hAnsi="Cambria Math"/>
                              </w:rPr>
                              <m:t>csx</m:t>
                            </m:r>
                          </m:sub>
                        </m:sSub>
                      </m:den>
                    </m:f>
                  </m:e>
                </m:d>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yd</m:t>
                        </m:r>
                      </m:sub>
                    </m:sSub>
                  </m:num>
                  <m:den>
                    <m:r>
                      <w:rPr>
                        <w:rFonts w:ascii="Cambria Math" w:hAnsi="Cambria Math"/>
                      </w:rPr>
                      <m:t>s</m:t>
                    </m:r>
                  </m:den>
                </m:f>
              </m:oMath>
            </m:oMathPara>
          </w:p>
        </w:tc>
        <w:tc>
          <w:tcPr>
            <w:tcW w:w="964" w:type="dxa"/>
            <w:vAlign w:val="center"/>
          </w:tcPr>
          <w:p w14:paraId="024DFBB5" w14:textId="147ADA04" w:rsidR="004F5434" w:rsidRPr="001455DC" w:rsidRDefault="004F5434" w:rsidP="008419FA">
            <w:pPr>
              <w:pStyle w:val="a7"/>
              <w:jc w:val="left"/>
            </w:pPr>
            <w:r w:rsidRPr="001455DC">
              <w:t>(8.</w:t>
            </w:r>
            <w:r w:rsidR="006E5B3C" w:rsidRPr="001455DC">
              <w:t>7</w:t>
            </w:r>
            <w:r w:rsidRPr="001455DC">
              <w:t>c)</w:t>
            </w:r>
          </w:p>
        </w:tc>
        <w:tc>
          <w:tcPr>
            <w:tcW w:w="4253" w:type="dxa"/>
            <w:vAlign w:val="center"/>
          </w:tcPr>
          <w:p w14:paraId="04BE08E7" w14:textId="6259B405" w:rsidR="004F5434" w:rsidRPr="001455DC" w:rsidRDefault="004F5434" w:rsidP="004F5434">
            <w:pPr>
              <w:pStyle w:val="a7"/>
              <w:jc w:val="left"/>
            </w:pPr>
            <w:r w:rsidRPr="001455DC">
              <w:t>for members in compression with multiple confinement reinforcement (Figure 8.3c))</w:t>
            </w:r>
          </w:p>
        </w:tc>
      </w:tr>
      <w:tr w:rsidR="004F5434" w:rsidRPr="001455DC" w14:paraId="473C299D" w14:textId="77777777" w:rsidTr="000C7FE6">
        <w:trPr>
          <w:cantSplit/>
        </w:trPr>
        <w:tc>
          <w:tcPr>
            <w:tcW w:w="4536" w:type="dxa"/>
            <w:vAlign w:val="center"/>
          </w:tcPr>
          <w:p w14:paraId="50E07F42" w14:textId="2679A837" w:rsidR="004F5434" w:rsidRPr="001455DC" w:rsidRDefault="00231E33" w:rsidP="008419FA">
            <w:pPr>
              <w:pStyle w:val="Formula"/>
              <w:tabs>
                <w:tab w:val="clear" w:pos="9749"/>
              </w:tabs>
            </w:pPr>
            <m:oMathPara>
              <m:oMathParaPr>
                <m:jc m:val="left"/>
              </m:oMathParaPr>
              <m:oMath>
                <m:sSub>
                  <m:sSubPr>
                    <m:ctrlPr>
                      <w:rPr>
                        <w:rFonts w:ascii="Cambria Math" w:hAnsi="Cambria Math"/>
                      </w:rPr>
                    </m:ctrlPr>
                  </m:sSubPr>
                  <m:e>
                    <m:r>
                      <w:rPr>
                        <w:rFonts w:ascii="Cambria Math" w:hAnsi="Cambria Math"/>
                      </w:rPr>
                      <m:t>σ</m:t>
                    </m:r>
                  </m:e>
                  <m:sub>
                    <m:r>
                      <m:rPr>
                        <m:sty m:val="p"/>
                      </m:rPr>
                      <w:rPr>
                        <w:rFonts w:ascii="Cambria Math" w:hAnsi="Cambria Math"/>
                      </w:rPr>
                      <m:t>c2d</m:t>
                    </m:r>
                  </m:sub>
                </m:sSub>
                <m:r>
                  <w:rPr>
                    <w:rFonts w:ascii="Cambria Math" w:hAnsi="Cambria Math"/>
                  </w:rPr>
                  <m:t>=</m:t>
                </m:r>
                <m:r>
                  <m:rPr>
                    <m:sty m:val="p"/>
                  </m:rPr>
                  <w:rPr>
                    <w:rFonts w:ascii="Cambria Math" w:hAnsi="Cambria Math"/>
                  </w:rPr>
                  <m:t>min</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Σ</m:t>
                        </m:r>
                        <m:sSub>
                          <m:sSubPr>
                            <m:ctrlPr>
                              <w:rPr>
                                <w:rFonts w:ascii="Cambria Math" w:hAnsi="Cambria Math"/>
                              </w:rPr>
                            </m:ctrlPr>
                          </m:sSubPr>
                          <m:e>
                            <m:r>
                              <w:rPr>
                                <w:rFonts w:ascii="Cambria Math" w:hAnsi="Cambria Math"/>
                              </w:rPr>
                              <m:t>A</m:t>
                            </m:r>
                          </m:e>
                          <m:sub>
                            <m:r>
                              <m:rPr>
                                <m:sty m:val="p"/>
                              </m:rPr>
                              <w:rPr>
                                <w:rFonts w:ascii="Cambria Math" w:hAnsi="Cambria Math"/>
                              </w:rPr>
                              <m:t>s,confx</m:t>
                            </m:r>
                          </m:sub>
                        </m:sSub>
                      </m:num>
                      <m:den>
                        <m:sSub>
                          <m:sSubPr>
                            <m:ctrlPr>
                              <w:rPr>
                                <w:rFonts w:ascii="Cambria Math" w:hAnsi="Cambria Math"/>
                              </w:rPr>
                            </m:ctrlPr>
                          </m:sSubPr>
                          <m:e>
                            <m:r>
                              <w:rPr>
                                <w:rFonts w:ascii="Cambria Math" w:hAnsi="Cambria Math"/>
                              </w:rPr>
                              <m:t>b</m:t>
                            </m:r>
                          </m:e>
                          <m:sub>
                            <m:r>
                              <m:rPr>
                                <m:sty m:val="p"/>
                              </m:rPr>
                              <w:rPr>
                                <w:rFonts w:ascii="Cambria Math" w:hAnsi="Cambria Math"/>
                              </w:rPr>
                              <m:t>csy</m:t>
                            </m:r>
                          </m:sub>
                        </m:sSub>
                      </m:den>
                    </m:f>
                    <m: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s,confy</m:t>
                            </m:r>
                          </m:sub>
                        </m:sSub>
                      </m:num>
                      <m:den>
                        <m:sSub>
                          <m:sSubPr>
                            <m:ctrlPr>
                              <w:rPr>
                                <w:rFonts w:ascii="Cambria Math" w:hAnsi="Cambria Math"/>
                              </w:rPr>
                            </m:ctrlPr>
                          </m:sSubPr>
                          <m:e>
                            <m:r>
                              <w:rPr>
                                <w:rFonts w:ascii="Cambria Math" w:hAnsi="Cambria Math"/>
                              </w:rPr>
                              <m:t>x</m:t>
                            </m:r>
                          </m:e>
                          <m:sub>
                            <m:r>
                              <m:rPr>
                                <m:sty m:val="p"/>
                              </m:rPr>
                              <w:rPr>
                                <w:rFonts w:ascii="Cambria Math" w:hAnsi="Cambria Math"/>
                              </w:rPr>
                              <m:t>cs</m:t>
                            </m:r>
                          </m:sub>
                        </m:sSub>
                      </m:den>
                    </m:f>
                  </m:e>
                </m:d>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yd</m:t>
                        </m:r>
                      </m:sub>
                    </m:sSub>
                  </m:num>
                  <m:den>
                    <m:r>
                      <w:rPr>
                        <w:rFonts w:ascii="Cambria Math" w:hAnsi="Cambria Math"/>
                      </w:rPr>
                      <m:t>s</m:t>
                    </m:r>
                  </m:den>
                </m:f>
              </m:oMath>
            </m:oMathPara>
          </w:p>
        </w:tc>
        <w:tc>
          <w:tcPr>
            <w:tcW w:w="964" w:type="dxa"/>
            <w:vAlign w:val="center"/>
          </w:tcPr>
          <w:p w14:paraId="4F7EDFB1" w14:textId="480A830D" w:rsidR="004F5434" w:rsidRPr="001455DC" w:rsidRDefault="004F5434" w:rsidP="008419FA">
            <w:pPr>
              <w:pStyle w:val="a7"/>
              <w:jc w:val="left"/>
            </w:pPr>
            <w:r w:rsidRPr="001455DC">
              <w:t>(8.</w:t>
            </w:r>
            <w:r w:rsidR="006E5B3C" w:rsidRPr="001455DC">
              <w:t>7</w:t>
            </w:r>
            <w:r w:rsidRPr="001455DC">
              <w:t>d)</w:t>
            </w:r>
          </w:p>
        </w:tc>
        <w:tc>
          <w:tcPr>
            <w:tcW w:w="4253" w:type="dxa"/>
            <w:vAlign w:val="center"/>
          </w:tcPr>
          <w:p w14:paraId="51586589" w14:textId="1BEAB929" w:rsidR="004F5434" w:rsidRPr="001455DC" w:rsidRDefault="004F5434" w:rsidP="004F5434">
            <w:pPr>
              <w:pStyle w:val="a7"/>
              <w:jc w:val="left"/>
            </w:pPr>
            <w:r w:rsidRPr="001455DC">
              <w:t>for compression zones (Figure 8.3d))</w:t>
            </w:r>
          </w:p>
        </w:tc>
      </w:tr>
    </w:tbl>
    <w:p w14:paraId="267F6512" w14:textId="4417FA8F" w:rsidR="008419FA" w:rsidRPr="001455DC" w:rsidRDefault="008419FA" w:rsidP="00A35599">
      <w:pPr>
        <w:pStyle w:val="a7"/>
        <w:keepNext/>
      </w:pPr>
      <w:r w:rsidRPr="001455DC">
        <w:t>where</w:t>
      </w:r>
    </w:p>
    <w:tbl>
      <w:tblPr>
        <w:tblW w:w="9413" w:type="dxa"/>
        <w:tblInd w:w="397" w:type="dxa"/>
        <w:tblLayout w:type="fixed"/>
        <w:tblCellMar>
          <w:left w:w="28" w:type="dxa"/>
          <w:right w:w="28" w:type="dxa"/>
        </w:tblCellMar>
        <w:tblLook w:val="04A0" w:firstRow="1" w:lastRow="0" w:firstColumn="1" w:lastColumn="0" w:noHBand="0" w:noVBand="1"/>
      </w:tblPr>
      <w:tblGrid>
        <w:gridCol w:w="851"/>
        <w:gridCol w:w="8562"/>
      </w:tblGrid>
      <w:tr w:rsidR="008419FA" w:rsidRPr="001455DC" w14:paraId="75329679" w14:textId="77777777" w:rsidTr="008419FA">
        <w:trPr>
          <w:cantSplit/>
        </w:trPr>
        <w:tc>
          <w:tcPr>
            <w:tcW w:w="851" w:type="dxa"/>
          </w:tcPr>
          <w:p w14:paraId="005520FC" w14:textId="14DA4F98" w:rsidR="008419FA" w:rsidRPr="001455DC" w:rsidRDefault="008419FA" w:rsidP="008419FA">
            <w:pPr>
              <w:pStyle w:val="Tablebody"/>
            </w:pPr>
            <w:r w:rsidRPr="001455DC">
              <w:rPr>
                <w:rStyle w:val="CCMCvariableitalic"/>
              </w:rPr>
              <w:t>A</w:t>
            </w:r>
            <w:r w:rsidRPr="001455DC">
              <w:rPr>
                <w:rStyle w:val="CCMCvariablesubscript"/>
              </w:rPr>
              <w:t>s,conf</w:t>
            </w:r>
          </w:p>
        </w:tc>
        <w:tc>
          <w:tcPr>
            <w:tcW w:w="8562" w:type="dxa"/>
          </w:tcPr>
          <w:p w14:paraId="5CDF14EC" w14:textId="466B4DDD" w:rsidR="008419FA" w:rsidRPr="001455DC" w:rsidRDefault="008419FA" w:rsidP="008419FA">
            <w:pPr>
              <w:pStyle w:val="Tablebody"/>
            </w:pPr>
            <w:r w:rsidRPr="001455DC">
              <w:t>is the cross sectional area of one leg of confinement reinforcement;</w:t>
            </w:r>
          </w:p>
        </w:tc>
      </w:tr>
      <w:tr w:rsidR="008419FA" w:rsidRPr="001455DC" w14:paraId="23B44125" w14:textId="77777777" w:rsidTr="008419FA">
        <w:trPr>
          <w:cantSplit/>
        </w:trPr>
        <w:tc>
          <w:tcPr>
            <w:tcW w:w="851" w:type="dxa"/>
          </w:tcPr>
          <w:p w14:paraId="30C38809" w14:textId="75511FC3" w:rsidR="008419FA" w:rsidRPr="001455DC" w:rsidRDefault="008419FA" w:rsidP="008419FA">
            <w:pPr>
              <w:pStyle w:val="Tablebody"/>
            </w:pPr>
            <w:r w:rsidRPr="001455DC">
              <w:rPr>
                <w:rStyle w:val="CCMCvariableitalic"/>
              </w:rPr>
              <w:t>b</w:t>
            </w:r>
            <w:r w:rsidRPr="001455DC">
              <w:rPr>
                <w:rStyle w:val="CCMCvariablesubscript"/>
              </w:rPr>
              <w:t>cs</w:t>
            </w:r>
          </w:p>
        </w:tc>
        <w:tc>
          <w:tcPr>
            <w:tcW w:w="8562" w:type="dxa"/>
          </w:tcPr>
          <w:p w14:paraId="58468048" w14:textId="4354982C" w:rsidR="008419FA" w:rsidRPr="001455DC" w:rsidRDefault="008419FA" w:rsidP="008419FA">
            <w:pPr>
              <w:pStyle w:val="Tablebody"/>
            </w:pPr>
            <w:r w:rsidRPr="001455DC">
              <w:t>is the width of the confinement core (to its centreline, see Figure 8.3);</w:t>
            </w:r>
          </w:p>
        </w:tc>
      </w:tr>
      <w:tr w:rsidR="008419FA" w:rsidRPr="001455DC" w14:paraId="44249590" w14:textId="77777777" w:rsidTr="008419FA">
        <w:trPr>
          <w:cantSplit/>
        </w:trPr>
        <w:tc>
          <w:tcPr>
            <w:tcW w:w="851" w:type="dxa"/>
          </w:tcPr>
          <w:p w14:paraId="6F4636AF" w14:textId="06EC9B04" w:rsidR="008419FA" w:rsidRPr="009D3012" w:rsidRDefault="008419FA" w:rsidP="008419FA">
            <w:pPr>
              <w:pStyle w:val="Tablebody"/>
              <w:rPr>
                <w:rStyle w:val="CCMCvariableitalic"/>
              </w:rPr>
            </w:pPr>
            <w:r w:rsidRPr="001455DC">
              <w:rPr>
                <w:rStyle w:val="CCMCvariableitalic"/>
              </w:rPr>
              <w:t>s</w:t>
            </w:r>
          </w:p>
        </w:tc>
        <w:tc>
          <w:tcPr>
            <w:tcW w:w="8562" w:type="dxa"/>
          </w:tcPr>
          <w:p w14:paraId="73ACB83B" w14:textId="0878CE78" w:rsidR="008419FA" w:rsidRPr="001455DC" w:rsidRDefault="008419FA" w:rsidP="008419FA">
            <w:pPr>
              <w:pStyle w:val="Tablebody"/>
            </w:pPr>
            <w:r w:rsidRPr="001455DC">
              <w:t>is the spacing of confinement reinforcement.</w:t>
            </w:r>
          </w:p>
        </w:tc>
      </w:tr>
    </w:tbl>
    <w:p w14:paraId="3CD4E213" w14:textId="1861528F" w:rsidR="004E22C1" w:rsidRPr="001455DC" w:rsidRDefault="00723CF7" w:rsidP="008419FA">
      <w:pPr>
        <w:pStyle w:val="FigureImage"/>
      </w:pPr>
      <w:r>
        <w:rPr>
          <w:noProof/>
          <w:lang w:eastAsia="en-GB"/>
        </w:rPr>
        <w:fldChar w:fldCharType="begin"/>
      </w:r>
      <w:r>
        <w:rPr>
          <w:noProof/>
          <w:lang w:eastAsia="en-GB"/>
        </w:rPr>
        <w:instrText xml:space="preserve"> INCLUDEPICTURE  "Y:\\STD_MGT\\STDDEL\\PRODUCTION\\etrans\\Download\\Z_FIRST_DEL\\SV\\00250\\00250269\\41_e_dr\\8_003.tif"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"Y:\\STD_MGT\\STDDEL\\PRODUCTION\\Standards\\00250\\269\\41_e_dr\\8_003.tif"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"Y:\\STD_MGT\\STDDEL\\PRODUCTION\\Standards\\00250\\269\\41_e_dr\\8_003.tif"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"Y:\\STD_MGT\\STDDEL\\PRODUCTION\\Standards\\00250\\269\\41_e_dr\\8_003.tif"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"Y:\\STD_MGT\\STDDEL\\PRODUCTION\\Standards\\00250\\269\\41_e_dr\\8_003.tif"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"Y:\\STD_MGT\\STDDEL\\PRODUCTION\\Standards\\00250\\269\\41_e_dr\\8_003.tif"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w:instrText>
      </w:r>
      <w:r w:rsidR="00231E33">
        <w:rPr>
          <w:noProof/>
          <w:lang w:eastAsia="en-GB"/>
        </w:rPr>
        <w:instrText>mp\\Temp1_00250269_e_20210902.zip.zip\\41_e_dr\\8_003.tif"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158290FB">
          <v:shape id="_x0000_i1149" type="#_x0000_t75" style="width:476.25pt;height:153pt">
            <v:imagedata r:id="rId268" r:href="rId269"/>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642A9B28" w14:textId="77777777" w:rsidR="004F5434" w:rsidRPr="001455DC" w:rsidRDefault="004F5434" w:rsidP="004F5434">
      <w:pPr>
        <w:pStyle w:val="KeyTitle"/>
      </w:pPr>
      <w:r w:rsidRPr="001455DC">
        <w:t>Key</w:t>
      </w:r>
    </w:p>
    <w:tbl>
      <w:tblPr>
        <w:tblW w:w="9809" w:type="dxa"/>
        <w:tblLayout w:type="fixed"/>
        <w:tblCellMar>
          <w:left w:w="28" w:type="dxa"/>
          <w:right w:w="28" w:type="dxa"/>
        </w:tblCellMar>
        <w:tblLook w:val="0000" w:firstRow="0" w:lastRow="0" w:firstColumn="0" w:lastColumn="0" w:noHBand="0" w:noVBand="0"/>
      </w:tblPr>
      <w:tblGrid>
        <w:gridCol w:w="397"/>
        <w:gridCol w:w="9412"/>
      </w:tblGrid>
      <w:tr w:rsidR="004F5434" w:rsidRPr="001455DC" w14:paraId="33CB6F7B" w14:textId="77777777" w:rsidTr="004F5434">
        <w:tc>
          <w:tcPr>
            <w:tcW w:w="397" w:type="dxa"/>
            <w:shd w:val="clear" w:color="auto" w:fill="auto"/>
          </w:tcPr>
          <w:p w14:paraId="518F4424" w14:textId="5B5EB4D0" w:rsidR="004F5434" w:rsidRPr="001455DC" w:rsidRDefault="004F5434" w:rsidP="004F5434">
            <w:pPr>
              <w:pStyle w:val="KeyText"/>
              <w:tabs>
                <w:tab w:val="clear" w:pos="346"/>
              </w:tabs>
              <w:ind w:left="0" w:firstLine="0"/>
            </w:pPr>
            <w:r w:rsidRPr="001455DC">
              <w:t>A</w:t>
            </w:r>
          </w:p>
        </w:tc>
        <w:tc>
          <w:tcPr>
            <w:tcW w:w="9412" w:type="dxa"/>
            <w:shd w:val="clear" w:color="auto" w:fill="auto"/>
          </w:tcPr>
          <w:p w14:paraId="00360787" w14:textId="4F80D7DB" w:rsidR="004F5434" w:rsidRPr="001455DC" w:rsidRDefault="00036609" w:rsidP="004F5434">
            <w:pPr>
              <w:pStyle w:val="KeyText"/>
              <w:tabs>
                <w:tab w:val="clear" w:pos="346"/>
              </w:tabs>
              <w:ind w:left="0" w:firstLine="0"/>
            </w:pPr>
            <w:r>
              <w:t>n</w:t>
            </w:r>
            <w:r w:rsidR="004F5434" w:rsidRPr="001455DC">
              <w:t>eutral axis</w:t>
            </w:r>
          </w:p>
        </w:tc>
      </w:tr>
    </w:tbl>
    <w:p w14:paraId="4FD56BDE" w14:textId="77777777" w:rsidR="004E22C1" w:rsidRPr="001455DC" w:rsidRDefault="004E22C1" w:rsidP="004F5434">
      <w:pPr>
        <w:pStyle w:val="Figuretitle"/>
      </w:pPr>
      <w:r w:rsidRPr="001455DC">
        <w:t>Figure 8.3 — Definition of dimensions of confinement reinforcement</w:t>
      </w:r>
    </w:p>
    <w:p w14:paraId="187D63DD" w14:textId="77777777" w:rsidR="004F5434" w:rsidRPr="001455DC" w:rsidRDefault="004E22C1" w:rsidP="004F5434">
      <w:pPr>
        <w:pStyle w:val="a7"/>
      </w:pPr>
      <w:r w:rsidRPr="001455DC">
        <w:t>(4)</w:t>
      </w:r>
      <w:r w:rsidRPr="001455DC">
        <w:tab/>
        <w:t>The strength increase in the confined zones shown in Figure 8.3 may be smeared over the compression zone by considering following average strength:</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F5434" w:rsidRPr="001455DC" w14:paraId="153F0323" w14:textId="77777777" w:rsidTr="004F5434">
        <w:trPr>
          <w:cantSplit/>
        </w:trPr>
        <w:tc>
          <w:tcPr>
            <w:tcW w:w="8505" w:type="dxa"/>
            <w:vAlign w:val="center"/>
          </w:tcPr>
          <w:p w14:paraId="1D6CE6CF" w14:textId="450EE9D2" w:rsidR="004F5434" w:rsidRPr="001455DC" w:rsidRDefault="00231E33" w:rsidP="004F5434">
            <w:pPr>
              <w:pStyle w:val="Formula"/>
              <w:tabs>
                <w:tab w:val="clear" w:pos="9749"/>
              </w:tabs>
              <w:jc w:val="left"/>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cd,c</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cd</m:t>
                    </m:r>
                  </m:sub>
                </m:sSub>
                <m: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conf,b</m:t>
                    </m:r>
                  </m:sub>
                </m:sSub>
                <m: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conf,s</m:t>
                    </m:r>
                  </m:sub>
                </m:sSub>
                <m:r>
                  <w:rPr>
                    <w:rFonts w:ascii="Cambria Math" w:hAnsi="Cambria Math"/>
                  </w:rPr>
                  <m:t>⋅</m:t>
                </m:r>
                <m:r>
                  <m:rPr>
                    <m:sty m:val="p"/>
                  </m:rPr>
                  <w:rPr>
                    <w:rFonts w:ascii="Cambria Math" w:hAnsi="Cambria Math"/>
                  </w:rPr>
                  <m:t>Δ</m:t>
                </m:r>
                <m:sSub>
                  <m:sSubPr>
                    <m:ctrlPr>
                      <w:rPr>
                        <w:rFonts w:ascii="Cambria Math" w:hAnsi="Cambria Math"/>
                      </w:rPr>
                    </m:ctrlPr>
                  </m:sSubPr>
                  <m:e>
                    <m:r>
                      <w:rPr>
                        <w:rFonts w:ascii="Cambria Math" w:hAnsi="Cambria Math"/>
                      </w:rPr>
                      <m:t>f</m:t>
                    </m:r>
                  </m:e>
                  <m:sub>
                    <m:r>
                      <m:rPr>
                        <m:sty m:val="p"/>
                      </m:rPr>
                      <w:rPr>
                        <w:rFonts w:ascii="Cambria Math" w:hAnsi="Cambria Math"/>
                      </w:rPr>
                      <m:t>cd</m:t>
                    </m:r>
                  </m:sub>
                </m:sSub>
              </m:oMath>
            </m:oMathPara>
          </w:p>
        </w:tc>
        <w:tc>
          <w:tcPr>
            <w:tcW w:w="1247" w:type="dxa"/>
            <w:vAlign w:val="center"/>
          </w:tcPr>
          <w:p w14:paraId="75DF5EA6" w14:textId="307AABBB" w:rsidR="004F5434" w:rsidRPr="001455DC" w:rsidRDefault="004F5434">
            <w:pPr>
              <w:pStyle w:val="a7"/>
              <w:jc w:val="right"/>
            </w:pPr>
            <w:r w:rsidRPr="001455DC">
              <w:t>(8.</w:t>
            </w:r>
            <w:r w:rsidR="006E5B3C" w:rsidRPr="001455DC">
              <w:t>8</w:t>
            </w:r>
            <w:r w:rsidRPr="001455DC">
              <w:t>)</w:t>
            </w:r>
          </w:p>
        </w:tc>
      </w:tr>
    </w:tbl>
    <w:p w14:paraId="49BB410E" w14:textId="77777777" w:rsidR="004E22C1" w:rsidRPr="001455DC" w:rsidRDefault="004E22C1" w:rsidP="004F5434">
      <w:pPr>
        <w:pStyle w:val="a7"/>
      </w:pPr>
      <w:r w:rsidRPr="001455DC">
        <w:t xml:space="preserve">where the effectiveness factors </w:t>
      </w:r>
      <w:r w:rsidRPr="001455DC">
        <w:rPr>
          <w:rStyle w:val="CCMCvariableitalic"/>
        </w:rPr>
        <w:t>k</w:t>
      </w:r>
      <w:r w:rsidRPr="001455DC">
        <w:rPr>
          <w:rStyle w:val="CCMCvariablesubscript"/>
        </w:rPr>
        <w:t>conf,b</w:t>
      </w:r>
      <w:r w:rsidRPr="001455DC">
        <w:t xml:space="preserve"> and </w:t>
      </w:r>
      <w:r w:rsidRPr="001455DC">
        <w:rPr>
          <w:rStyle w:val="CCMCvariableitalic"/>
        </w:rPr>
        <w:t>k</w:t>
      </w:r>
      <w:r w:rsidRPr="001455DC">
        <w:rPr>
          <w:rStyle w:val="CCMCvariablesubscript"/>
        </w:rPr>
        <w:t>conf,s</w:t>
      </w:r>
      <w:r w:rsidRPr="001455DC">
        <w:t xml:space="preserve"> are defined in Table 8.1.</w:t>
      </w:r>
    </w:p>
    <w:p w14:paraId="2FBB94A6" w14:textId="77777777" w:rsidR="004E22C1" w:rsidRPr="001455DC" w:rsidRDefault="004E22C1" w:rsidP="004F5434">
      <w:pPr>
        <w:pStyle w:val="Tabletitle"/>
      </w:pPr>
      <w:bookmarkStart w:id="548" w:name="_Toc54337367"/>
      <w:r w:rsidRPr="001455DC">
        <w:t xml:space="preserve">Table 8.1 — Effectiveness factors </w:t>
      </w:r>
      <w:r w:rsidRPr="001455DC">
        <w:rPr>
          <w:rStyle w:val="CCMCvariableitalic"/>
        </w:rPr>
        <w:t>k</w:t>
      </w:r>
      <w:r w:rsidRPr="001455DC">
        <w:rPr>
          <w:rStyle w:val="CCMCvariablesubscript"/>
        </w:rPr>
        <w:t>conf,b</w:t>
      </w:r>
      <w:r w:rsidRPr="001455DC">
        <w:t xml:space="preserve"> and </w:t>
      </w:r>
      <w:r w:rsidRPr="001455DC">
        <w:rPr>
          <w:rStyle w:val="CCMCvariableitalic"/>
        </w:rPr>
        <w:t>k</w:t>
      </w:r>
      <w:r w:rsidRPr="001455DC">
        <w:rPr>
          <w:rStyle w:val="CCMCvariablesubscript"/>
        </w:rPr>
        <w:t>conf,s</w:t>
      </w:r>
      <w:r w:rsidRPr="001455DC">
        <w:t xml:space="preserve"> for confinement reinforcement</w:t>
      </w:r>
      <w:bookmarkEnd w:id="548"/>
    </w:p>
    <w:tbl>
      <w:tblPr>
        <w:tblStyle w:val="53"/>
        <w:tblW w:w="9696" w:type="dxa"/>
        <w:tblLayout w:type="fixed"/>
        <w:tblCellMar>
          <w:left w:w="56" w:type="dxa"/>
          <w:right w:w="56" w:type="dxa"/>
        </w:tblCellMar>
        <w:tblLook w:val="0620" w:firstRow="1" w:lastRow="0" w:firstColumn="0" w:lastColumn="0" w:noHBand="1" w:noVBand="1"/>
      </w:tblPr>
      <w:tblGrid>
        <w:gridCol w:w="340"/>
        <w:gridCol w:w="3232"/>
        <w:gridCol w:w="2438"/>
        <w:gridCol w:w="3686"/>
      </w:tblGrid>
      <w:tr w:rsidR="004E22C1" w:rsidRPr="001455DC" w14:paraId="1CF59665" w14:textId="77777777" w:rsidTr="00DA5CB7">
        <w:trPr>
          <w:cnfStyle w:val="100000000000" w:firstRow="1" w:lastRow="0" w:firstColumn="0" w:lastColumn="0" w:oddVBand="0" w:evenVBand="0" w:oddHBand="0" w:evenHBand="0" w:firstRowFirstColumn="0" w:firstRowLastColumn="0" w:lastRowFirstColumn="0" w:lastRowLastColumn="0"/>
          <w:cantSplit/>
          <w:tblHeader/>
        </w:trPr>
        <w:tc>
          <w:tcPr>
            <w:tcW w:w="340" w:type="dxa"/>
          </w:tcPr>
          <w:p w14:paraId="4A42609F" w14:textId="558CD11F" w:rsidR="004E22C1" w:rsidRPr="009D3012" w:rsidRDefault="00DA5CB7" w:rsidP="00DA5CB7">
            <w:pPr>
              <w:pStyle w:val="Tableheader-"/>
              <w:rPr>
                <w:lang w:val="en-US"/>
              </w:rPr>
            </w:pPr>
            <w:r w:rsidRPr="009D3012">
              <w:rPr>
                <w:lang w:val="en-US"/>
              </w:rPr>
              <w:t> </w:t>
            </w:r>
          </w:p>
        </w:tc>
        <w:tc>
          <w:tcPr>
            <w:tcW w:w="3232" w:type="dxa"/>
          </w:tcPr>
          <w:p w14:paraId="6F819611" w14:textId="77777777" w:rsidR="004E22C1" w:rsidRPr="009D3012" w:rsidRDefault="004E22C1" w:rsidP="00DA5CB7">
            <w:pPr>
              <w:pStyle w:val="Tableheader-"/>
              <w:rPr>
                <w:lang w:val="en-US"/>
              </w:rPr>
            </w:pPr>
            <w:r w:rsidRPr="009D3012">
              <w:rPr>
                <w:lang w:val="en-US"/>
              </w:rPr>
              <w:t>Shape of compression zone and confinement reinforcement</w:t>
            </w:r>
          </w:p>
        </w:tc>
        <w:tc>
          <w:tcPr>
            <w:tcW w:w="2438" w:type="dxa"/>
          </w:tcPr>
          <w:p w14:paraId="5966F001" w14:textId="77777777" w:rsidR="004E22C1" w:rsidRPr="001455DC" w:rsidRDefault="004E22C1" w:rsidP="00DA5CB7">
            <w:pPr>
              <w:pStyle w:val="Tableheader-"/>
            </w:pPr>
            <w:r w:rsidRPr="001455DC">
              <w:rPr>
                <w:rStyle w:val="CCMCvariableitalic"/>
              </w:rPr>
              <w:t>k</w:t>
            </w:r>
            <w:r w:rsidRPr="001455DC">
              <w:rPr>
                <w:rStyle w:val="CCMCvariablesubscript"/>
              </w:rPr>
              <w:t>conf,b</w:t>
            </w:r>
          </w:p>
        </w:tc>
        <w:tc>
          <w:tcPr>
            <w:tcW w:w="3686" w:type="dxa"/>
          </w:tcPr>
          <w:p w14:paraId="5D122A82" w14:textId="77777777" w:rsidR="004E22C1" w:rsidRPr="001455DC" w:rsidRDefault="004E22C1" w:rsidP="00DA5CB7">
            <w:pPr>
              <w:pStyle w:val="Tableheader-"/>
            </w:pPr>
            <w:r w:rsidRPr="001455DC">
              <w:rPr>
                <w:rStyle w:val="CCMCvariableitalic"/>
              </w:rPr>
              <w:t>k</w:t>
            </w:r>
            <w:r w:rsidRPr="001455DC">
              <w:rPr>
                <w:rStyle w:val="CCMCvariablesubscript"/>
              </w:rPr>
              <w:t>conf,s</w:t>
            </w:r>
          </w:p>
        </w:tc>
      </w:tr>
      <w:tr w:rsidR="004E22C1" w:rsidRPr="001455DC" w14:paraId="7A9EF1BB" w14:textId="77777777" w:rsidTr="00DA5CB7">
        <w:trPr>
          <w:cantSplit/>
        </w:trPr>
        <w:tc>
          <w:tcPr>
            <w:tcW w:w="340" w:type="dxa"/>
            <w:vAlign w:val="center"/>
          </w:tcPr>
          <w:p w14:paraId="14975A04" w14:textId="77777777" w:rsidR="004E22C1" w:rsidRPr="001455DC" w:rsidRDefault="004E22C1" w:rsidP="00DA5CB7">
            <w:pPr>
              <w:pStyle w:val="Tablebody-"/>
              <w:jc w:val="center"/>
            </w:pPr>
            <w:r w:rsidRPr="001455DC">
              <w:t>a)</w:t>
            </w:r>
          </w:p>
        </w:tc>
        <w:tc>
          <w:tcPr>
            <w:tcW w:w="3232" w:type="dxa"/>
            <w:vAlign w:val="center"/>
          </w:tcPr>
          <w:p w14:paraId="0D64FD35" w14:textId="77777777" w:rsidR="004E22C1" w:rsidRPr="009D3012" w:rsidRDefault="004E22C1" w:rsidP="00DA5CB7">
            <w:pPr>
              <w:pStyle w:val="Tablebody-"/>
              <w:jc w:val="left"/>
              <w:rPr>
                <w:lang w:val="en-US"/>
              </w:rPr>
            </w:pPr>
            <w:r w:rsidRPr="009D3012">
              <w:rPr>
                <w:lang w:val="en-US"/>
              </w:rPr>
              <w:t>square members in compression with single confinement reinforcement (Figure 8.3a))</w:t>
            </w:r>
          </w:p>
        </w:tc>
        <w:tc>
          <w:tcPr>
            <w:tcW w:w="2438" w:type="dxa"/>
            <w:vAlign w:val="center"/>
          </w:tcPr>
          <w:p w14:paraId="7652A51B" w14:textId="652754A9" w:rsidR="004E22C1" w:rsidRPr="001455DC" w:rsidRDefault="00231E33" w:rsidP="00DA5CB7">
            <w:pPr>
              <w:pStyle w:val="Tablebody-"/>
              <w:jc w:val="center"/>
            </w:pPr>
            <m:oMathPara>
              <m:oMath>
                <m:sSub>
                  <m:sSubPr>
                    <m:ctrlPr>
                      <w:rPr>
                        <w:rFonts w:ascii="Cambria Math" w:hAnsi="Cambria Math"/>
                      </w:rPr>
                    </m:ctrlPr>
                  </m:sSubPr>
                  <m:e>
                    <m:r>
                      <w:rPr>
                        <w:rFonts w:ascii="Cambria Math" w:hAnsi="Cambria Math"/>
                      </w:rPr>
                      <m:t>k</m:t>
                    </m:r>
                  </m:e>
                  <m:sub>
                    <m:r>
                      <m:rPr>
                        <m:sty m:val="p"/>
                      </m:rPr>
                      <w:rPr>
                        <w:rFonts w:ascii="Cambria Math" w:hAnsi="Cambria Math"/>
                      </w:rPr>
                      <m:t>conf,b</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3</m:t>
                    </m:r>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cs</m:t>
                                </m:r>
                              </m:sub>
                            </m:sSub>
                          </m:num>
                          <m:den>
                            <m:r>
                              <w:rPr>
                                <w:rFonts w:ascii="Cambria Math" w:hAnsi="Cambria Math"/>
                              </w:rPr>
                              <m:t>b</m:t>
                            </m:r>
                          </m:den>
                        </m:f>
                      </m:e>
                    </m:d>
                  </m:e>
                  <m:sup>
                    <m:r>
                      <w:rPr>
                        <w:rFonts w:ascii="Cambria Math" w:hAnsi="Cambria Math"/>
                      </w:rPr>
                      <m:t>2</m:t>
                    </m:r>
                  </m:sup>
                </m:sSup>
              </m:oMath>
            </m:oMathPara>
          </w:p>
        </w:tc>
        <w:tc>
          <w:tcPr>
            <w:tcW w:w="3686" w:type="dxa"/>
            <w:vMerge w:val="restart"/>
            <w:vAlign w:val="center"/>
          </w:tcPr>
          <w:p w14:paraId="79DB33CA" w14:textId="77777777" w:rsidR="00DA5CB7" w:rsidRPr="001455DC" w:rsidRDefault="00231E33" w:rsidP="00DA5CB7">
            <w:pPr>
              <w:pStyle w:val="Tablebody-"/>
              <w:jc w:val="center"/>
            </w:pPr>
            <m:oMathPara>
              <m:oMath>
                <m:sSub>
                  <m:sSubPr>
                    <m:ctrlPr>
                      <w:rPr>
                        <w:rFonts w:ascii="Cambria Math" w:hAnsi="Cambria Math"/>
                      </w:rPr>
                    </m:ctrlPr>
                  </m:sSubPr>
                  <m:e>
                    <m:r>
                      <w:rPr>
                        <w:rFonts w:ascii="Cambria Math" w:hAnsi="Cambria Math"/>
                      </w:rPr>
                      <m:t>k</m:t>
                    </m:r>
                  </m:e>
                  <m:sub>
                    <m:r>
                      <m:rPr>
                        <m:sty m:val="p"/>
                      </m:rPr>
                      <w:rPr>
                        <w:rFonts w:ascii="Cambria Math" w:hAnsi="Cambria Math"/>
                      </w:rPr>
                      <m:t>conf,s</m:t>
                    </m:r>
                  </m:sub>
                </m:sSub>
                <m:r>
                  <w:rPr>
                    <w:rFonts w:ascii="Cambria Math" w:hAnsi="Cambria Math"/>
                  </w:rPr>
                  <m:t>=</m:t>
                </m:r>
                <m:sSup>
                  <m:sSupPr>
                    <m:ctrlPr>
                      <w:rPr>
                        <w:rFonts w:ascii="Cambria Math" w:hAnsi="Cambria Math"/>
                      </w:rPr>
                    </m:ctrlPr>
                  </m:sSupPr>
                  <m:e>
                    <m:d>
                      <m:dPr>
                        <m:sepChr m:val=""/>
                        <m:ctrlPr>
                          <w:rPr>
                            <w:rFonts w:ascii="Cambria Math" w:hAnsi="Cambria Math"/>
                          </w:rPr>
                        </m:ctrlPr>
                      </m:dPr>
                      <m:e>
                        <m:r>
                          <w:rPr>
                            <w:rFonts w:ascii="Cambria Math" w:hAnsi="Cambria Math"/>
                          </w:rPr>
                          <m:t>1</m:t>
                        </m:r>
                      </m:e>
                      <m:e>
                        <m:r>
                          <w:rPr>
                            <w:rFonts w:ascii="Cambria Math" w:hAnsi="Cambria Math"/>
                          </w:rPr>
                          <m:t>-</m:t>
                        </m:r>
                      </m:e>
                      <m:e>
                        <m:f>
                          <m:fPr>
                            <m:ctrlPr>
                              <w:rPr>
                                <w:rFonts w:ascii="Cambria Math" w:hAnsi="Cambria Math"/>
                              </w:rPr>
                            </m:ctrlPr>
                          </m:fPr>
                          <m:num>
                            <m:r>
                              <w:rPr>
                                <w:rFonts w:ascii="Cambria Math" w:hAnsi="Cambria Math"/>
                              </w:rPr>
                              <m:t>s</m:t>
                            </m:r>
                          </m:num>
                          <m:den>
                            <m:r>
                              <w:rPr>
                                <w:rFonts w:ascii="Cambria Math" w:hAnsi="Cambria Math"/>
                              </w:rPr>
                              <m:t>2</m:t>
                            </m:r>
                            <m:sSub>
                              <m:sSubPr>
                                <m:ctrlPr>
                                  <w:rPr>
                                    <w:rFonts w:ascii="Cambria Math" w:hAnsi="Cambria Math"/>
                                  </w:rPr>
                                </m:ctrlPr>
                              </m:sSubPr>
                              <m:e>
                                <m:r>
                                  <w:rPr>
                                    <w:rFonts w:ascii="Cambria Math" w:hAnsi="Cambria Math"/>
                                  </w:rPr>
                                  <m:t>b</m:t>
                                </m:r>
                              </m:e>
                              <m:sub>
                                <m:r>
                                  <m:rPr>
                                    <m:sty m:val="p"/>
                                  </m:rPr>
                                  <w:rPr>
                                    <w:rFonts w:ascii="Cambria Math" w:hAnsi="Cambria Math"/>
                                  </w:rPr>
                                  <m:t>cs</m:t>
                                </m:r>
                              </m:sub>
                            </m:sSub>
                          </m:den>
                        </m:f>
                      </m:e>
                    </m:d>
                  </m:e>
                  <m:sup>
                    <m:r>
                      <w:rPr>
                        <w:rFonts w:ascii="Cambria Math" w:hAnsi="Cambria Math"/>
                      </w:rPr>
                      <m:t>2</m:t>
                    </m:r>
                  </m:sup>
                </m:sSup>
              </m:oMath>
            </m:oMathPara>
          </w:p>
          <w:p w14:paraId="4F3DEC1C" w14:textId="15B5C88B" w:rsidR="00DA5CB7" w:rsidRPr="001455DC" w:rsidRDefault="00DA5CB7" w:rsidP="00A35599">
            <w:pPr>
              <w:pStyle w:val="Tablebody-"/>
              <w:keepNext/>
              <w:jc w:val="center"/>
            </w:pPr>
            <w:r w:rsidRPr="001455DC">
              <w:t>where</w:t>
            </w:r>
          </w:p>
          <w:p w14:paraId="5B94E841" w14:textId="60EF3B7F" w:rsidR="00DA5CB7" w:rsidRPr="001455DC" w:rsidRDefault="00DA5CB7" w:rsidP="00DA5CB7">
            <w:pPr>
              <w:pStyle w:val="Tablebody-"/>
              <w:jc w:val="center"/>
            </w:pPr>
            <m:oMathPara>
              <m:oMath>
                <m:r>
                  <w:rPr>
                    <w:rFonts w:ascii="Cambria Math" w:hAnsi="Cambria Math"/>
                  </w:rPr>
                  <m:t>1-</m:t>
                </m:r>
                <m:f>
                  <m:fPr>
                    <m:ctrlPr>
                      <w:rPr>
                        <w:rFonts w:ascii="Cambria Math" w:hAnsi="Cambria Math"/>
                      </w:rPr>
                    </m:ctrlPr>
                  </m:fPr>
                  <m:num>
                    <m:r>
                      <w:rPr>
                        <w:rFonts w:ascii="Cambria Math" w:hAnsi="Cambria Math"/>
                      </w:rPr>
                      <m:t>s</m:t>
                    </m:r>
                  </m:num>
                  <m:den>
                    <m:r>
                      <w:rPr>
                        <w:rFonts w:ascii="Cambria Math" w:hAnsi="Cambria Math"/>
                      </w:rPr>
                      <m:t>2</m:t>
                    </m:r>
                    <m:sSub>
                      <m:sSubPr>
                        <m:ctrlPr>
                          <w:rPr>
                            <w:rFonts w:ascii="Cambria Math" w:hAnsi="Cambria Math"/>
                          </w:rPr>
                        </m:ctrlPr>
                      </m:sSubPr>
                      <m:e>
                        <m:r>
                          <w:rPr>
                            <w:rFonts w:ascii="Cambria Math" w:hAnsi="Cambria Math"/>
                          </w:rPr>
                          <m:t>b</m:t>
                        </m:r>
                      </m:e>
                      <m:sub>
                        <m:r>
                          <m:rPr>
                            <m:sty m:val="p"/>
                          </m:rPr>
                          <w:rPr>
                            <w:rFonts w:ascii="Cambria Math" w:hAnsi="Cambria Math"/>
                          </w:rPr>
                          <m:t>cs</m:t>
                        </m:r>
                      </m:sub>
                    </m:sSub>
                  </m:den>
                </m:f>
                <m:r>
                  <w:rPr>
                    <w:rFonts w:ascii="Cambria Math" w:hAnsi="Cambria Math"/>
                  </w:rPr>
                  <m:t>≥0</m:t>
                </m:r>
              </m:oMath>
            </m:oMathPara>
          </w:p>
        </w:tc>
      </w:tr>
      <w:tr w:rsidR="004E22C1" w:rsidRPr="001455DC" w14:paraId="6B7828B6" w14:textId="77777777" w:rsidTr="00DA5CB7">
        <w:trPr>
          <w:cantSplit/>
        </w:trPr>
        <w:tc>
          <w:tcPr>
            <w:tcW w:w="340" w:type="dxa"/>
            <w:vAlign w:val="center"/>
          </w:tcPr>
          <w:p w14:paraId="3EAC9742" w14:textId="77777777" w:rsidR="004E22C1" w:rsidRPr="001455DC" w:rsidRDefault="004E22C1" w:rsidP="00DA5CB7">
            <w:pPr>
              <w:pStyle w:val="Tablebody-"/>
              <w:jc w:val="center"/>
            </w:pPr>
            <w:r w:rsidRPr="001455DC">
              <w:t>b)</w:t>
            </w:r>
          </w:p>
        </w:tc>
        <w:tc>
          <w:tcPr>
            <w:tcW w:w="3232" w:type="dxa"/>
            <w:vAlign w:val="center"/>
          </w:tcPr>
          <w:p w14:paraId="7E33906C" w14:textId="77777777" w:rsidR="004E22C1" w:rsidRPr="009D3012" w:rsidRDefault="004E22C1" w:rsidP="00DA5CB7">
            <w:pPr>
              <w:pStyle w:val="Tablebody-"/>
              <w:jc w:val="left"/>
              <w:rPr>
                <w:lang w:val="en-US"/>
              </w:rPr>
            </w:pPr>
            <w:r w:rsidRPr="009D3012">
              <w:rPr>
                <w:lang w:val="en-US"/>
              </w:rPr>
              <w:t>circular member in compression with circular confinement reinforcement (Figure 8.3b))</w:t>
            </w:r>
          </w:p>
        </w:tc>
        <w:tc>
          <w:tcPr>
            <w:tcW w:w="2438" w:type="dxa"/>
            <w:vAlign w:val="center"/>
          </w:tcPr>
          <w:p w14:paraId="1B386A16" w14:textId="55A59906" w:rsidR="004E22C1" w:rsidRPr="001455DC" w:rsidRDefault="00231E33" w:rsidP="00DA5CB7">
            <w:pPr>
              <w:pStyle w:val="Tablebody-"/>
              <w:jc w:val="center"/>
            </w:pPr>
            <m:oMathPara>
              <m:oMath>
                <m:sSub>
                  <m:sSubPr>
                    <m:ctrlPr>
                      <w:rPr>
                        <w:rFonts w:ascii="Cambria Math" w:hAnsi="Cambria Math"/>
                      </w:rPr>
                    </m:ctrlPr>
                  </m:sSubPr>
                  <m:e>
                    <m:r>
                      <w:rPr>
                        <w:rFonts w:ascii="Cambria Math" w:hAnsi="Cambria Math"/>
                      </w:rPr>
                      <m:t>k</m:t>
                    </m:r>
                  </m:e>
                  <m:sub>
                    <m:r>
                      <m:rPr>
                        <m:sty m:val="p"/>
                      </m:rPr>
                      <w:rPr>
                        <w:rFonts w:ascii="Cambria Math" w:hAnsi="Cambria Math"/>
                      </w:rPr>
                      <m:t>conf,b</m:t>
                    </m:r>
                  </m:sub>
                </m:sSub>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cs</m:t>
                                </m:r>
                              </m:sub>
                            </m:sSub>
                          </m:num>
                          <m:den>
                            <m:r>
                              <w:rPr>
                                <w:rFonts w:ascii="Cambria Math" w:hAnsi="Cambria Math"/>
                              </w:rPr>
                              <m:t>b</m:t>
                            </m:r>
                          </m:den>
                        </m:f>
                      </m:e>
                    </m:d>
                  </m:e>
                  <m:sup>
                    <m:r>
                      <w:rPr>
                        <w:rFonts w:ascii="Cambria Math" w:hAnsi="Cambria Math"/>
                      </w:rPr>
                      <m:t>2</m:t>
                    </m:r>
                  </m:sup>
                </m:sSup>
              </m:oMath>
            </m:oMathPara>
          </w:p>
        </w:tc>
        <w:tc>
          <w:tcPr>
            <w:tcW w:w="3686" w:type="dxa"/>
            <w:vMerge/>
            <w:vAlign w:val="center"/>
          </w:tcPr>
          <w:p w14:paraId="5E4A825E" w14:textId="77777777" w:rsidR="004E22C1" w:rsidRPr="001455DC" w:rsidRDefault="004E22C1" w:rsidP="00DA5CB7">
            <w:pPr>
              <w:pStyle w:val="Tablebody-"/>
              <w:jc w:val="center"/>
            </w:pPr>
          </w:p>
        </w:tc>
      </w:tr>
      <w:tr w:rsidR="004E22C1" w:rsidRPr="001455DC" w14:paraId="01C2E7CD" w14:textId="77777777" w:rsidTr="00DA5CB7">
        <w:trPr>
          <w:cantSplit/>
        </w:trPr>
        <w:tc>
          <w:tcPr>
            <w:tcW w:w="340" w:type="dxa"/>
            <w:vAlign w:val="center"/>
          </w:tcPr>
          <w:p w14:paraId="7BBEC2C7" w14:textId="77777777" w:rsidR="004E22C1" w:rsidRPr="001455DC" w:rsidRDefault="004E22C1" w:rsidP="00DA5CB7">
            <w:pPr>
              <w:pStyle w:val="Tablebody-"/>
              <w:jc w:val="center"/>
            </w:pPr>
            <w:bookmarkStart w:id="549" w:name="_Hlk52361834"/>
            <w:r w:rsidRPr="001455DC">
              <w:t>c)</w:t>
            </w:r>
          </w:p>
        </w:tc>
        <w:tc>
          <w:tcPr>
            <w:tcW w:w="3232" w:type="dxa"/>
            <w:vAlign w:val="center"/>
          </w:tcPr>
          <w:p w14:paraId="60434573" w14:textId="2DAEEFA4" w:rsidR="004E22C1" w:rsidRPr="009D3012" w:rsidRDefault="000C7FE6" w:rsidP="00DA5CB7">
            <w:pPr>
              <w:pStyle w:val="Tablebody-"/>
              <w:ind w:left="284" w:hanging="284"/>
              <w:jc w:val="left"/>
              <w:rPr>
                <w:lang w:val="en-US"/>
              </w:rPr>
            </w:pPr>
            <w:r w:rsidRPr="009D3012">
              <w:rPr>
                <w:lang w:val="en-US"/>
              </w:rPr>
              <w:t>—</w:t>
            </w:r>
            <w:r w:rsidR="004E22C1" w:rsidRPr="009D3012">
              <w:rPr>
                <w:lang w:val="en-US"/>
              </w:rPr>
              <w:tab/>
              <w:t>for square and rectangular members in compression with multiple confinement reinforcement,</w:t>
            </w:r>
          </w:p>
          <w:p w14:paraId="0FCC420B" w14:textId="04ADFC0A" w:rsidR="004E22C1" w:rsidRPr="009D3012" w:rsidRDefault="000C7FE6" w:rsidP="00DA5CB7">
            <w:pPr>
              <w:pStyle w:val="Tablebody-"/>
              <w:ind w:left="284" w:hanging="284"/>
              <w:jc w:val="left"/>
              <w:rPr>
                <w:lang w:val="en-US"/>
              </w:rPr>
            </w:pPr>
            <w:r w:rsidRPr="009D3012">
              <w:rPr>
                <w:lang w:val="en-US"/>
              </w:rPr>
              <w:t>—</w:t>
            </w:r>
            <w:r w:rsidR="004E22C1" w:rsidRPr="009D3012">
              <w:rPr>
                <w:lang w:val="en-US"/>
              </w:rPr>
              <w:tab/>
              <w:t>for rectangular sections with single confinement reinforcement or</w:t>
            </w:r>
          </w:p>
          <w:p w14:paraId="2A0E5DBD" w14:textId="579F895C" w:rsidR="004E22C1" w:rsidRPr="009D3012" w:rsidRDefault="000C7FE6" w:rsidP="00DA5CB7">
            <w:pPr>
              <w:pStyle w:val="Tablebody-"/>
              <w:ind w:left="284" w:hanging="284"/>
              <w:jc w:val="left"/>
              <w:rPr>
                <w:lang w:val="en-US"/>
              </w:rPr>
            </w:pPr>
            <w:r w:rsidRPr="009D3012">
              <w:rPr>
                <w:lang w:val="en-US"/>
              </w:rPr>
              <w:t>—</w:t>
            </w:r>
            <w:r w:rsidR="004E22C1" w:rsidRPr="009D3012">
              <w:rPr>
                <w:lang w:val="en-US"/>
              </w:rPr>
              <w:tab/>
              <w:t>for a refined calculation of square sections with single confinement reinforcement (Figure 8.3c)),</w:t>
            </w:r>
          </w:p>
          <w:p w14:paraId="042EE8EA" w14:textId="77777777" w:rsidR="004E22C1" w:rsidRPr="009D3012" w:rsidRDefault="004E22C1" w:rsidP="00DA5CB7">
            <w:pPr>
              <w:pStyle w:val="Tablebody-"/>
              <w:jc w:val="left"/>
              <w:rPr>
                <w:lang w:val="en-US"/>
              </w:rPr>
            </w:pPr>
            <w:r w:rsidRPr="009D3012">
              <w:rPr>
                <w:rStyle w:val="CCMCvariableitalic"/>
                <w:lang w:val="en-US"/>
              </w:rPr>
              <w:t>b</w:t>
            </w:r>
            <w:r w:rsidRPr="009D3012">
              <w:rPr>
                <w:rStyle w:val="CCMCvariablesubscript"/>
                <w:lang w:val="en-US"/>
              </w:rPr>
              <w:t>i</w:t>
            </w:r>
            <w:r w:rsidRPr="009D3012">
              <w:rPr>
                <w:iCs/>
                <w:lang w:val="en-US"/>
              </w:rPr>
              <w:t xml:space="preserve"> </w:t>
            </w:r>
            <w:r w:rsidRPr="009D3012">
              <w:rPr>
                <w:lang w:val="en-US"/>
              </w:rPr>
              <w:t>refer to all spaces between longitudinal reinforcement bars fixed by confinement reinforcement</w:t>
            </w:r>
          </w:p>
          <w:p w14:paraId="16AA16E7" w14:textId="38314765" w:rsidR="004E22C1" w:rsidRPr="009D3012" w:rsidRDefault="004E22C1" w:rsidP="00DA5CB7">
            <w:pPr>
              <w:pStyle w:val="Tablebody-"/>
              <w:jc w:val="left"/>
              <w:rPr>
                <w:lang w:val="en-US"/>
              </w:rPr>
            </w:pPr>
            <w:r w:rsidRPr="009D3012">
              <w:rPr>
                <w:lang w:val="en-US"/>
              </w:rPr>
              <w:t>(</w:t>
            </w:r>
            <m:oMath>
              <m:r>
                <m:rPr>
                  <m:sty m:val="p"/>
                </m:rPr>
                <w:rPr>
                  <w:rFonts w:ascii="Cambria Math" w:hAnsi="Cambria Math"/>
                </w:rPr>
                <m:t>Σ</m:t>
              </m:r>
              <m:sSubSup>
                <m:sSubSupPr>
                  <m:ctrlPr>
                    <w:rPr>
                      <w:rFonts w:ascii="Cambria Math" w:hAnsi="Cambria Math"/>
                    </w:rPr>
                  </m:ctrlPr>
                </m:sSubSupPr>
                <m:e>
                  <m:r>
                    <w:rPr>
                      <w:rFonts w:ascii="Cambria Math" w:hAnsi="Cambria Math"/>
                    </w:rPr>
                    <m:t>b</m:t>
                  </m:r>
                </m:e>
                <m:sub>
                  <m:r>
                    <w:rPr>
                      <w:rFonts w:ascii="Cambria Math" w:hAnsi="Cambria Math"/>
                    </w:rPr>
                    <m:t>i</m:t>
                  </m:r>
                </m:sub>
                <m:sup>
                  <m:r>
                    <w:rPr>
                      <w:rFonts w:ascii="Cambria Math" w:hAnsi="Cambria Math"/>
                      <w:lang w:val="en-US"/>
                    </w:rPr>
                    <m:t>2</m:t>
                  </m:r>
                </m:sup>
              </m:sSubSup>
              <m:r>
                <w:rPr>
                  <w:rFonts w:ascii="Cambria Math" w:hAnsi="Cambria Math"/>
                  <w:lang w:val="en-US"/>
                </w:rPr>
                <m:t>=4</m:t>
              </m:r>
              <m:sSubSup>
                <m:sSubSupPr>
                  <m:ctrlPr>
                    <w:rPr>
                      <w:rFonts w:ascii="Cambria Math" w:hAnsi="Cambria Math"/>
                    </w:rPr>
                  </m:ctrlPr>
                </m:sSubSupPr>
                <m:e>
                  <m:r>
                    <w:rPr>
                      <w:rFonts w:ascii="Cambria Math" w:hAnsi="Cambria Math"/>
                    </w:rPr>
                    <m:t>b</m:t>
                  </m:r>
                </m:e>
                <m:sub>
                  <m:r>
                    <w:rPr>
                      <w:rFonts w:ascii="Cambria Math" w:hAnsi="Cambria Math"/>
                      <w:lang w:val="en-US"/>
                    </w:rPr>
                    <m:t>1</m:t>
                  </m:r>
                </m:sub>
                <m:sup>
                  <m:r>
                    <w:rPr>
                      <w:rFonts w:ascii="Cambria Math" w:hAnsi="Cambria Math"/>
                      <w:lang w:val="en-US"/>
                    </w:rPr>
                    <m:t>2</m:t>
                  </m:r>
                </m:sup>
              </m:sSubSup>
              <m:r>
                <w:rPr>
                  <w:rFonts w:ascii="Cambria Math" w:hAnsi="Cambria Math"/>
                  <w:lang w:val="en-US"/>
                </w:rPr>
                <m:t>+2</m:t>
              </m:r>
              <m:sSubSup>
                <m:sSubSupPr>
                  <m:ctrlPr>
                    <w:rPr>
                      <w:rFonts w:ascii="Cambria Math" w:hAnsi="Cambria Math"/>
                    </w:rPr>
                  </m:ctrlPr>
                </m:sSubSupPr>
                <m:e>
                  <m:r>
                    <w:rPr>
                      <w:rFonts w:ascii="Cambria Math" w:hAnsi="Cambria Math"/>
                    </w:rPr>
                    <m:t>b</m:t>
                  </m:r>
                </m:e>
                <m:sub>
                  <m:r>
                    <w:rPr>
                      <w:rFonts w:ascii="Cambria Math" w:hAnsi="Cambria Math"/>
                      <w:lang w:val="en-US"/>
                    </w:rPr>
                    <m:t>2</m:t>
                  </m:r>
                </m:sub>
                <m:sup>
                  <m:r>
                    <w:rPr>
                      <w:rFonts w:ascii="Cambria Math" w:hAnsi="Cambria Math"/>
                      <w:lang w:val="en-US"/>
                    </w:rPr>
                    <m:t>2</m:t>
                  </m:r>
                </m:sup>
              </m:sSubSup>
            </m:oMath>
            <w:r w:rsidR="00DA5CB7" w:rsidRPr="009D3012">
              <w:rPr>
                <w:lang w:val="en-US"/>
              </w:rPr>
              <w:t xml:space="preserve"> </w:t>
            </w:r>
            <w:r w:rsidRPr="009D3012">
              <w:rPr>
                <w:lang w:val="en-US"/>
              </w:rPr>
              <w:t>in the example of Figure 8.3c))</w:t>
            </w:r>
          </w:p>
        </w:tc>
        <w:tc>
          <w:tcPr>
            <w:tcW w:w="2438" w:type="dxa"/>
            <w:vAlign w:val="center"/>
          </w:tcPr>
          <w:p w14:paraId="163D50BF" w14:textId="71DADC18" w:rsidR="004E22C1" w:rsidRPr="001455DC" w:rsidRDefault="00231E33" w:rsidP="00DA5CB7">
            <w:pPr>
              <w:pStyle w:val="Tablebody-"/>
              <w:jc w:val="center"/>
            </w:pPr>
            <m:oMathPara>
              <m:oMath>
                <m:sSub>
                  <m:sSubPr>
                    <m:ctrlPr>
                      <w:rPr>
                        <w:rFonts w:ascii="Cambria Math" w:hAnsi="Cambria Math"/>
                      </w:rPr>
                    </m:ctrlPr>
                  </m:sSubPr>
                  <m:e>
                    <m:r>
                      <w:rPr>
                        <w:rFonts w:ascii="Cambria Math" w:hAnsi="Cambria Math"/>
                      </w:rPr>
                      <m:t>k</m:t>
                    </m:r>
                  </m:e>
                  <m:sub>
                    <m:r>
                      <m:rPr>
                        <m:sty m:val="p"/>
                      </m:rPr>
                      <w:rPr>
                        <w:rFonts w:ascii="Cambria Math" w:hAnsi="Cambria Math"/>
                      </w:rPr>
                      <m:t>conf,b</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csx</m:t>
                        </m:r>
                      </m:sub>
                    </m:sSub>
                    <m: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csy</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6</m:t>
                        </m:r>
                      </m:den>
                    </m:f>
                    <m:r>
                      <m:rPr>
                        <m:sty m:val="p"/>
                      </m:rPr>
                      <w:rPr>
                        <w:rFonts w:ascii="Cambria Math" w:hAnsi="Cambria Math"/>
                      </w:rPr>
                      <m:t>Σ</m:t>
                    </m:r>
                    <m:sSubSup>
                      <m:sSubSupPr>
                        <m:ctrlPr>
                          <w:rPr>
                            <w:rFonts w:ascii="Cambria Math" w:hAnsi="Cambria Math"/>
                          </w:rPr>
                        </m:ctrlPr>
                      </m:sSubSupPr>
                      <m:e>
                        <m:r>
                          <w:rPr>
                            <w:rFonts w:ascii="Cambria Math" w:hAnsi="Cambria Math"/>
                          </w:rPr>
                          <m:t>b</m:t>
                        </m:r>
                      </m:e>
                      <m:sub>
                        <m:r>
                          <m:rPr>
                            <m:sty m:val="p"/>
                          </m:rPr>
                          <w:rPr>
                            <w:rFonts w:ascii="Cambria Math" w:hAnsi="Cambria Math"/>
                          </w:rPr>
                          <m:t>i</m:t>
                        </m:r>
                      </m:sub>
                      <m:sup>
                        <m:r>
                          <w:rPr>
                            <w:rFonts w:ascii="Cambria Math" w:hAnsi="Cambria Math"/>
                          </w:rPr>
                          <m:t>2</m:t>
                        </m:r>
                      </m:sup>
                    </m:sSubSup>
                  </m:num>
                  <m:den>
                    <m:sSub>
                      <m:sSubPr>
                        <m:ctrlPr>
                          <w:rPr>
                            <w:rFonts w:ascii="Cambria Math" w:hAnsi="Cambria Math"/>
                          </w:rPr>
                        </m:ctrlPr>
                      </m:sSubPr>
                      <m:e>
                        <m:r>
                          <w:rPr>
                            <w:rFonts w:ascii="Cambria Math" w:hAnsi="Cambria Math"/>
                          </w:rPr>
                          <m:t>b</m:t>
                        </m:r>
                      </m:e>
                      <m:sub>
                        <m:r>
                          <m:rPr>
                            <m:sty m:val="p"/>
                          </m:rPr>
                          <w:rPr>
                            <w:rFonts w:ascii="Cambria Math" w:hAnsi="Cambria Math"/>
                          </w:rPr>
                          <m:t>x</m:t>
                        </m:r>
                      </m:sub>
                    </m:sSub>
                    <m: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y</m:t>
                        </m:r>
                      </m:sub>
                    </m:sSub>
                  </m:den>
                </m:f>
              </m:oMath>
            </m:oMathPara>
          </w:p>
        </w:tc>
        <w:tc>
          <w:tcPr>
            <w:tcW w:w="3686" w:type="dxa"/>
            <w:vAlign w:val="center"/>
          </w:tcPr>
          <w:p w14:paraId="494F6509" w14:textId="524A5CBB" w:rsidR="004E22C1" w:rsidRPr="001455DC" w:rsidRDefault="00231E33" w:rsidP="00DA5CB7">
            <w:pPr>
              <w:pStyle w:val="Tablebody-"/>
              <w:jc w:val="center"/>
            </w:pPr>
            <m:oMathPara>
              <m:oMath>
                <m:sSub>
                  <m:sSubPr>
                    <m:ctrlPr>
                      <w:rPr>
                        <w:rFonts w:ascii="Cambria Math" w:hAnsi="Cambria Math"/>
                      </w:rPr>
                    </m:ctrlPr>
                  </m:sSubPr>
                  <m:e>
                    <m:r>
                      <w:rPr>
                        <w:rFonts w:ascii="Cambria Math" w:hAnsi="Cambria Math"/>
                      </w:rPr>
                      <m:t>k</m:t>
                    </m:r>
                  </m:e>
                  <m:sub>
                    <m:r>
                      <m:rPr>
                        <m:sty m:val="p"/>
                      </m:rPr>
                      <w:rPr>
                        <w:rFonts w:ascii="Cambria Math" w:hAnsi="Cambria Math"/>
                      </w:rPr>
                      <m:t>conf,s</m:t>
                    </m:r>
                  </m:sub>
                </m:sSub>
                <m:r>
                  <w:rPr>
                    <w:rFonts w:ascii="Cambria Math" w:hAnsi="Cambria Math"/>
                  </w:rPr>
                  <m:t>=</m:t>
                </m:r>
                <m:d>
                  <m:dPr>
                    <m:sepChr m:val=""/>
                    <m:ctrlPr>
                      <w:rPr>
                        <w:rFonts w:ascii="Cambria Math" w:hAnsi="Cambria Math"/>
                      </w:rPr>
                    </m:ctrlPr>
                  </m:dPr>
                  <m:e>
                    <m:r>
                      <w:rPr>
                        <w:rFonts w:ascii="Cambria Math" w:hAnsi="Cambria Math"/>
                      </w:rPr>
                      <m:t>1</m:t>
                    </m:r>
                  </m:e>
                  <m:e>
                    <m:r>
                      <w:rPr>
                        <w:rFonts w:ascii="Cambria Math" w:hAnsi="Cambria Math"/>
                      </w:rPr>
                      <m:t>-</m:t>
                    </m:r>
                  </m:e>
                  <m:e>
                    <m:f>
                      <m:fPr>
                        <m:ctrlPr>
                          <w:rPr>
                            <w:rFonts w:ascii="Cambria Math" w:hAnsi="Cambria Math"/>
                          </w:rPr>
                        </m:ctrlPr>
                      </m:fPr>
                      <m:num>
                        <m:r>
                          <w:rPr>
                            <w:rFonts w:ascii="Cambria Math" w:hAnsi="Cambria Math"/>
                          </w:rPr>
                          <m:t>s</m:t>
                        </m:r>
                      </m:num>
                      <m:den>
                        <m:r>
                          <w:rPr>
                            <w:rFonts w:ascii="Cambria Math" w:hAnsi="Cambria Math"/>
                          </w:rPr>
                          <m:t>2</m:t>
                        </m:r>
                        <m:sSub>
                          <m:sSubPr>
                            <m:ctrlPr>
                              <w:rPr>
                                <w:rFonts w:ascii="Cambria Math" w:hAnsi="Cambria Math"/>
                              </w:rPr>
                            </m:ctrlPr>
                          </m:sSubPr>
                          <m:e>
                            <m:r>
                              <w:rPr>
                                <w:rFonts w:ascii="Cambria Math" w:hAnsi="Cambria Math"/>
                              </w:rPr>
                              <m:t>b</m:t>
                            </m:r>
                          </m:e>
                          <m:sub>
                            <m:r>
                              <m:rPr>
                                <m:sty m:val="p"/>
                              </m:rPr>
                              <w:rPr>
                                <w:rFonts w:ascii="Cambria Math" w:hAnsi="Cambria Math"/>
                              </w:rPr>
                              <m:t>csx</m:t>
                            </m:r>
                          </m:sub>
                        </m:sSub>
                      </m:den>
                    </m:f>
                  </m:e>
                </m:d>
                <m:d>
                  <m:dPr>
                    <m:sepChr m:val=""/>
                    <m:ctrlPr>
                      <w:rPr>
                        <w:rFonts w:ascii="Cambria Math" w:hAnsi="Cambria Math"/>
                      </w:rPr>
                    </m:ctrlPr>
                  </m:dPr>
                  <m:e>
                    <m:r>
                      <w:rPr>
                        <w:rFonts w:ascii="Cambria Math" w:hAnsi="Cambria Math"/>
                      </w:rPr>
                      <m:t>1</m:t>
                    </m:r>
                  </m:e>
                  <m:e>
                    <m:r>
                      <w:rPr>
                        <w:rFonts w:ascii="Cambria Math" w:hAnsi="Cambria Math"/>
                      </w:rPr>
                      <m:t>-</m:t>
                    </m:r>
                  </m:e>
                  <m:e>
                    <m:f>
                      <m:fPr>
                        <m:ctrlPr>
                          <w:rPr>
                            <w:rFonts w:ascii="Cambria Math" w:hAnsi="Cambria Math"/>
                          </w:rPr>
                        </m:ctrlPr>
                      </m:fPr>
                      <m:num>
                        <m:r>
                          <w:rPr>
                            <w:rFonts w:ascii="Cambria Math" w:hAnsi="Cambria Math"/>
                          </w:rPr>
                          <m:t>s</m:t>
                        </m:r>
                      </m:num>
                      <m:den>
                        <m:r>
                          <w:rPr>
                            <w:rFonts w:ascii="Cambria Math" w:hAnsi="Cambria Math"/>
                          </w:rPr>
                          <m:t>2</m:t>
                        </m:r>
                        <m:sSub>
                          <m:sSubPr>
                            <m:ctrlPr>
                              <w:rPr>
                                <w:rFonts w:ascii="Cambria Math" w:hAnsi="Cambria Math"/>
                              </w:rPr>
                            </m:ctrlPr>
                          </m:sSubPr>
                          <m:e>
                            <m:r>
                              <w:rPr>
                                <w:rFonts w:ascii="Cambria Math" w:hAnsi="Cambria Math"/>
                              </w:rPr>
                              <m:t>b</m:t>
                            </m:r>
                          </m:e>
                          <m:sub>
                            <m:r>
                              <m:rPr>
                                <m:sty m:val="p"/>
                              </m:rPr>
                              <w:rPr>
                                <w:rFonts w:ascii="Cambria Math" w:hAnsi="Cambria Math"/>
                              </w:rPr>
                              <m:t>csy</m:t>
                            </m:r>
                          </m:sub>
                        </m:sSub>
                      </m:den>
                    </m:f>
                  </m:e>
                </m:d>
              </m:oMath>
            </m:oMathPara>
          </w:p>
          <w:p w14:paraId="61E21113" w14:textId="77777777" w:rsidR="00DA5CB7" w:rsidRPr="009D3012" w:rsidRDefault="004E22C1" w:rsidP="00A35599">
            <w:pPr>
              <w:pStyle w:val="Tablebody-"/>
              <w:keepNext/>
              <w:jc w:val="center"/>
              <w:rPr>
                <w:lang w:val="en-US"/>
              </w:rPr>
            </w:pPr>
            <w:r w:rsidRPr="009D3012">
              <w:rPr>
                <w:lang w:val="en-US"/>
              </w:rPr>
              <w:t>where</w:t>
            </w:r>
          </w:p>
          <w:p w14:paraId="1303543A" w14:textId="38101884" w:rsidR="004E22C1" w:rsidRPr="009D3012" w:rsidRDefault="00DA5CB7" w:rsidP="00DA5CB7">
            <w:pPr>
              <w:pStyle w:val="Tablebody-"/>
              <w:jc w:val="center"/>
              <w:rPr>
                <w:lang w:val="en-US"/>
              </w:rPr>
            </w:pPr>
            <m:oMathPara>
              <m:oMath>
                <m:r>
                  <w:rPr>
                    <w:rFonts w:ascii="Cambria Math" w:hAnsi="Cambria Math"/>
                    <w:lang w:val="en-US"/>
                  </w:rPr>
                  <m:t>1-</m:t>
                </m:r>
                <m:f>
                  <m:fPr>
                    <m:ctrlPr>
                      <w:rPr>
                        <w:rFonts w:ascii="Cambria Math" w:hAnsi="Cambria Math"/>
                      </w:rPr>
                    </m:ctrlPr>
                  </m:fPr>
                  <m:num>
                    <m:r>
                      <w:rPr>
                        <w:rFonts w:ascii="Cambria Math" w:hAnsi="Cambria Math"/>
                      </w:rPr>
                      <m:t>s</m:t>
                    </m:r>
                  </m:num>
                  <m:den>
                    <m:r>
                      <w:rPr>
                        <w:rFonts w:ascii="Cambria Math" w:hAnsi="Cambria Math"/>
                        <w:lang w:val="en-US"/>
                      </w:rPr>
                      <m:t>2</m:t>
                    </m:r>
                    <m:sSub>
                      <m:sSubPr>
                        <m:ctrlPr>
                          <w:rPr>
                            <w:rFonts w:ascii="Cambria Math" w:hAnsi="Cambria Math"/>
                          </w:rPr>
                        </m:ctrlPr>
                      </m:sSubPr>
                      <m:e>
                        <m:r>
                          <w:rPr>
                            <w:rFonts w:ascii="Cambria Math" w:hAnsi="Cambria Math"/>
                          </w:rPr>
                          <m:t>b</m:t>
                        </m:r>
                      </m:e>
                      <m:sub>
                        <m:r>
                          <m:rPr>
                            <m:sty m:val="p"/>
                          </m:rPr>
                          <w:rPr>
                            <w:rFonts w:ascii="Cambria Math" w:hAnsi="Cambria Math"/>
                            <w:lang w:val="en-US"/>
                          </w:rPr>
                          <m:t>csx</m:t>
                        </m:r>
                      </m:sub>
                    </m:sSub>
                  </m:den>
                </m:f>
                <m:r>
                  <w:rPr>
                    <w:rFonts w:ascii="Cambria Math" w:hAnsi="Cambria Math"/>
                    <w:lang w:val="en-US"/>
                  </w:rPr>
                  <m:t xml:space="preserve">≥0 </m:t>
                </m:r>
                <m:r>
                  <m:rPr>
                    <m:nor/>
                  </m:rPr>
                  <w:rPr>
                    <w:rFonts w:ascii="Cambria Math" w:hAnsi="Cambria Math"/>
                    <w:lang w:val="en-US"/>
                  </w:rPr>
                  <m:t>and</m:t>
                </m:r>
                <m:r>
                  <w:rPr>
                    <w:rFonts w:ascii="Cambria Math" w:hAnsi="Cambria Math"/>
                    <w:lang w:val="en-US"/>
                  </w:rPr>
                  <m:t xml:space="preserve"> 1-</m:t>
                </m:r>
                <m:f>
                  <m:fPr>
                    <m:ctrlPr>
                      <w:rPr>
                        <w:rFonts w:ascii="Cambria Math" w:hAnsi="Cambria Math"/>
                      </w:rPr>
                    </m:ctrlPr>
                  </m:fPr>
                  <m:num>
                    <m:r>
                      <w:rPr>
                        <w:rFonts w:ascii="Cambria Math" w:hAnsi="Cambria Math"/>
                      </w:rPr>
                      <m:t>s</m:t>
                    </m:r>
                  </m:num>
                  <m:den>
                    <m:r>
                      <w:rPr>
                        <w:rFonts w:ascii="Cambria Math" w:hAnsi="Cambria Math"/>
                        <w:lang w:val="en-US"/>
                      </w:rPr>
                      <m:t>2</m:t>
                    </m:r>
                    <m:sSub>
                      <m:sSubPr>
                        <m:ctrlPr>
                          <w:rPr>
                            <w:rFonts w:ascii="Cambria Math" w:hAnsi="Cambria Math"/>
                          </w:rPr>
                        </m:ctrlPr>
                      </m:sSubPr>
                      <m:e>
                        <m:r>
                          <w:rPr>
                            <w:rFonts w:ascii="Cambria Math" w:hAnsi="Cambria Math"/>
                          </w:rPr>
                          <m:t>b</m:t>
                        </m:r>
                      </m:e>
                      <m:sub>
                        <m:r>
                          <m:rPr>
                            <m:sty m:val="p"/>
                          </m:rPr>
                          <w:rPr>
                            <w:rFonts w:ascii="Cambria Math" w:hAnsi="Cambria Math"/>
                            <w:lang w:val="en-US"/>
                          </w:rPr>
                          <m:t>csy</m:t>
                        </m:r>
                      </m:sub>
                    </m:sSub>
                  </m:den>
                </m:f>
                <m:r>
                  <w:rPr>
                    <w:rFonts w:ascii="Cambria Math" w:hAnsi="Cambria Math"/>
                    <w:lang w:val="en-US"/>
                  </w:rPr>
                  <m:t>≥0</m:t>
                </m:r>
              </m:oMath>
            </m:oMathPara>
          </w:p>
        </w:tc>
      </w:tr>
      <w:bookmarkEnd w:id="549"/>
      <w:tr w:rsidR="004E22C1" w:rsidRPr="001455DC" w14:paraId="5AF5F9F1" w14:textId="77777777" w:rsidTr="00DA5CB7">
        <w:trPr>
          <w:cantSplit/>
        </w:trPr>
        <w:tc>
          <w:tcPr>
            <w:tcW w:w="340" w:type="dxa"/>
            <w:vAlign w:val="center"/>
          </w:tcPr>
          <w:p w14:paraId="2D4355D3" w14:textId="77777777" w:rsidR="004E22C1" w:rsidRPr="001455DC" w:rsidRDefault="004E22C1" w:rsidP="00DA5CB7">
            <w:pPr>
              <w:pStyle w:val="Tablebody-"/>
              <w:jc w:val="center"/>
            </w:pPr>
            <w:r w:rsidRPr="001455DC">
              <w:t>d)</w:t>
            </w:r>
          </w:p>
        </w:tc>
        <w:tc>
          <w:tcPr>
            <w:tcW w:w="3232" w:type="dxa"/>
            <w:vAlign w:val="center"/>
          </w:tcPr>
          <w:p w14:paraId="0B405BE5" w14:textId="77777777" w:rsidR="004E22C1" w:rsidRPr="009D3012" w:rsidRDefault="004E22C1" w:rsidP="00DA5CB7">
            <w:pPr>
              <w:pStyle w:val="Tablebody-"/>
              <w:rPr>
                <w:lang w:val="en-US"/>
              </w:rPr>
            </w:pPr>
            <w:r w:rsidRPr="009D3012">
              <w:rPr>
                <w:lang w:val="en-US"/>
              </w:rPr>
              <w:t>compression zones due to bending and axial force (Figure 8.3d))</w:t>
            </w:r>
          </w:p>
        </w:tc>
        <w:tc>
          <w:tcPr>
            <w:tcW w:w="2438" w:type="dxa"/>
            <w:vAlign w:val="center"/>
          </w:tcPr>
          <w:p w14:paraId="3F121B4F" w14:textId="77777777" w:rsidR="004E22C1" w:rsidRPr="009D3012" w:rsidRDefault="004E22C1" w:rsidP="00DA5CB7">
            <w:pPr>
              <w:pStyle w:val="Tablebody-"/>
              <w:jc w:val="center"/>
              <w:rPr>
                <w:lang w:val="en-US"/>
              </w:rPr>
            </w:pPr>
            <w:r w:rsidRPr="009D3012">
              <w:rPr>
                <w:lang w:val="en-US"/>
              </w:rPr>
              <w:t>According to a), b) or c) depending on the shape of the confinement reinforcement</w:t>
            </w:r>
          </w:p>
        </w:tc>
        <w:tc>
          <w:tcPr>
            <w:tcW w:w="3686" w:type="dxa"/>
            <w:vAlign w:val="center"/>
          </w:tcPr>
          <w:p w14:paraId="34AE8B9A" w14:textId="788288C7" w:rsidR="004E22C1" w:rsidRPr="001455DC" w:rsidRDefault="00231E33" w:rsidP="00DA5CB7">
            <w:pPr>
              <w:pStyle w:val="Tablebody-"/>
              <w:jc w:val="center"/>
            </w:pPr>
            <m:oMathPara>
              <m:oMath>
                <m:sSub>
                  <m:sSubPr>
                    <m:ctrlPr>
                      <w:rPr>
                        <w:rFonts w:ascii="Cambria Math" w:hAnsi="Cambria Math"/>
                      </w:rPr>
                    </m:ctrlPr>
                  </m:sSubPr>
                  <m:e>
                    <m:r>
                      <w:rPr>
                        <w:rFonts w:ascii="Cambria Math" w:hAnsi="Cambria Math"/>
                      </w:rPr>
                      <m:t>k</m:t>
                    </m:r>
                  </m:e>
                  <m:sub>
                    <m:r>
                      <m:rPr>
                        <m:sty m:val="p"/>
                      </m:rPr>
                      <w:rPr>
                        <w:rFonts w:ascii="Cambria Math" w:hAnsi="Cambria Math"/>
                      </w:rPr>
                      <m:t>conf,s</m:t>
                    </m:r>
                  </m:sub>
                </m:sSub>
                <m:r>
                  <w:rPr>
                    <w:rFonts w:ascii="Cambria Math" w:hAnsi="Cambria Math"/>
                  </w:rPr>
                  <m:t>=</m:t>
                </m:r>
                <m:d>
                  <m:dPr>
                    <m:sepChr m:val=""/>
                    <m:ctrlPr>
                      <w:rPr>
                        <w:rFonts w:ascii="Cambria Math" w:hAnsi="Cambria Math"/>
                      </w:rPr>
                    </m:ctrlPr>
                  </m:dPr>
                  <m:e>
                    <m:r>
                      <w:rPr>
                        <w:rFonts w:ascii="Cambria Math" w:hAnsi="Cambria Math"/>
                      </w:rPr>
                      <m:t>1</m:t>
                    </m:r>
                  </m:e>
                  <m:e>
                    <m:r>
                      <w:rPr>
                        <w:rFonts w:ascii="Cambria Math" w:hAnsi="Cambria Math"/>
                      </w:rPr>
                      <m:t>-</m:t>
                    </m:r>
                  </m:e>
                  <m:e>
                    <m:f>
                      <m:fPr>
                        <m:ctrlPr>
                          <w:rPr>
                            <w:rFonts w:ascii="Cambria Math" w:hAnsi="Cambria Math"/>
                          </w:rPr>
                        </m:ctrlPr>
                      </m:fPr>
                      <m:num>
                        <m:r>
                          <w:rPr>
                            <w:rFonts w:ascii="Cambria Math" w:hAnsi="Cambria Math"/>
                          </w:rPr>
                          <m:t>s</m:t>
                        </m:r>
                      </m:num>
                      <m:den>
                        <m:r>
                          <w:rPr>
                            <w:rFonts w:ascii="Cambria Math" w:hAnsi="Cambria Math"/>
                          </w:rPr>
                          <m:t>4</m:t>
                        </m:r>
                        <m:sSub>
                          <m:sSubPr>
                            <m:ctrlPr>
                              <w:rPr>
                                <w:rFonts w:ascii="Cambria Math" w:hAnsi="Cambria Math"/>
                              </w:rPr>
                            </m:ctrlPr>
                          </m:sSubPr>
                          <m:e>
                            <m:r>
                              <w:rPr>
                                <w:rFonts w:ascii="Cambria Math" w:hAnsi="Cambria Math"/>
                              </w:rPr>
                              <m:t>x</m:t>
                            </m:r>
                          </m:e>
                          <m:sub>
                            <m:r>
                              <m:rPr>
                                <m:sty m:val="p"/>
                              </m:rPr>
                              <w:rPr>
                                <w:rFonts w:ascii="Cambria Math" w:hAnsi="Cambria Math"/>
                              </w:rPr>
                              <m:t>cs</m:t>
                            </m:r>
                          </m:sub>
                        </m:sSub>
                      </m:den>
                    </m:f>
                  </m:e>
                </m:d>
                <m:d>
                  <m:dPr>
                    <m:sepChr m:val=""/>
                    <m:ctrlPr>
                      <w:rPr>
                        <w:rFonts w:ascii="Cambria Math" w:hAnsi="Cambria Math"/>
                      </w:rPr>
                    </m:ctrlPr>
                  </m:dPr>
                  <m:e>
                    <m:r>
                      <w:rPr>
                        <w:rFonts w:ascii="Cambria Math" w:hAnsi="Cambria Math"/>
                      </w:rPr>
                      <m:t>1</m:t>
                    </m:r>
                  </m:e>
                  <m:e>
                    <m:r>
                      <w:rPr>
                        <w:rFonts w:ascii="Cambria Math" w:hAnsi="Cambria Math"/>
                      </w:rPr>
                      <m:t>-</m:t>
                    </m:r>
                  </m:e>
                  <m:e>
                    <m:f>
                      <m:fPr>
                        <m:ctrlPr>
                          <w:rPr>
                            <w:rFonts w:ascii="Cambria Math" w:hAnsi="Cambria Math"/>
                          </w:rPr>
                        </m:ctrlPr>
                      </m:fPr>
                      <m:num>
                        <m:r>
                          <w:rPr>
                            <w:rFonts w:ascii="Cambria Math" w:hAnsi="Cambria Math"/>
                          </w:rPr>
                          <m:t>s</m:t>
                        </m:r>
                      </m:num>
                      <m:den>
                        <m:r>
                          <w:rPr>
                            <w:rFonts w:ascii="Cambria Math" w:hAnsi="Cambria Math"/>
                          </w:rPr>
                          <m:t>2</m:t>
                        </m:r>
                        <m:sSub>
                          <m:sSubPr>
                            <m:ctrlPr>
                              <w:rPr>
                                <w:rFonts w:ascii="Cambria Math" w:hAnsi="Cambria Math"/>
                              </w:rPr>
                            </m:ctrlPr>
                          </m:sSubPr>
                          <m:e>
                            <m:r>
                              <w:rPr>
                                <w:rFonts w:ascii="Cambria Math" w:hAnsi="Cambria Math"/>
                              </w:rPr>
                              <m:t>b</m:t>
                            </m:r>
                          </m:e>
                          <m:sub>
                            <m:r>
                              <m:rPr>
                                <m:sty m:val="p"/>
                              </m:rPr>
                              <w:rPr>
                                <w:rFonts w:ascii="Cambria Math" w:hAnsi="Cambria Math"/>
                              </w:rPr>
                              <m:t>csy</m:t>
                            </m:r>
                          </m:sub>
                        </m:sSub>
                      </m:den>
                    </m:f>
                  </m:e>
                </m:d>
              </m:oMath>
            </m:oMathPara>
          </w:p>
          <w:p w14:paraId="272E6DFC" w14:textId="77777777" w:rsidR="004E22C1" w:rsidRPr="009D3012" w:rsidRDefault="004E22C1" w:rsidP="00DA5CB7">
            <w:pPr>
              <w:pStyle w:val="Tablebody-"/>
              <w:jc w:val="center"/>
              <w:rPr>
                <w:lang w:val="en-US"/>
              </w:rPr>
            </w:pPr>
            <w:r w:rsidRPr="009D3012">
              <w:rPr>
                <w:lang w:val="en-US"/>
              </w:rPr>
              <w:t xml:space="preserve">where </w:t>
            </w:r>
            <w:r w:rsidRPr="009D3012">
              <w:rPr>
                <w:rStyle w:val="CCMCvariableitalic"/>
                <w:lang w:val="en-US"/>
              </w:rPr>
              <w:t>x</w:t>
            </w:r>
            <w:r w:rsidRPr="009D3012">
              <w:rPr>
                <w:rStyle w:val="CCMCvariablesubscript"/>
                <w:lang w:val="en-US"/>
              </w:rPr>
              <w:t>cs</w:t>
            </w:r>
            <w:r w:rsidRPr="009D3012">
              <w:rPr>
                <w:lang w:val="en-US"/>
              </w:rPr>
              <w:t xml:space="preserve"> should not be taken</w:t>
            </w:r>
          </w:p>
          <w:p w14:paraId="3B3E2A9F" w14:textId="4D2BCD8E" w:rsidR="004E22C1" w:rsidRPr="009D3012" w:rsidRDefault="00DA5CB7" w:rsidP="00DA5CB7">
            <w:pPr>
              <w:pStyle w:val="Tablebody-"/>
              <w:jc w:val="center"/>
              <w:rPr>
                <w:sz w:val="19"/>
                <w:szCs w:val="19"/>
                <w:lang w:val="en-US"/>
              </w:rPr>
            </w:pPr>
            <m:oMathPara>
              <m:oMath>
                <m:r>
                  <w:rPr>
                    <w:rFonts w:ascii="Cambria Math" w:hAnsi="Cambria Math"/>
                    <w:lang w:val="en-US"/>
                  </w:rPr>
                  <m:t>&gt;</m:t>
                </m:r>
                <m:f>
                  <m:fPr>
                    <m:type m:val="lin"/>
                    <m:ctrlPr>
                      <w:rPr>
                        <w:rFonts w:ascii="Cambria Math" w:hAnsi="Cambria Math"/>
                        <w:i/>
                      </w:rPr>
                    </m:ctrlPr>
                  </m:fPr>
                  <m:num>
                    <m:sSub>
                      <m:sSubPr>
                        <m:ctrlPr>
                          <w:rPr>
                            <w:rFonts w:ascii="Cambria Math" w:hAnsi="Cambria Math"/>
                            <w:i/>
                          </w:rPr>
                        </m:ctrlPr>
                      </m:sSubPr>
                      <m:e>
                        <m:r>
                          <w:rPr>
                            <w:rFonts w:ascii="Cambria Math" w:hAnsi="Cambria Math"/>
                          </w:rPr>
                          <m:t>b</m:t>
                        </m:r>
                      </m:e>
                      <m:sub>
                        <m:r>
                          <m:rPr>
                            <m:sty m:val="p"/>
                          </m:rPr>
                          <w:rPr>
                            <w:rFonts w:ascii="Cambria Math" w:hAnsi="Cambria Math"/>
                            <w:lang w:val="en-US"/>
                          </w:rPr>
                          <m:t>csx</m:t>
                        </m:r>
                      </m:sub>
                    </m:sSub>
                  </m:num>
                  <m:den>
                    <m:r>
                      <w:rPr>
                        <w:rFonts w:ascii="Cambria Math" w:hAnsi="Cambria Math"/>
                        <w:lang w:val="en-US"/>
                      </w:rPr>
                      <m:t>2</m:t>
                    </m:r>
                  </m:den>
                </m:f>
                <m:r>
                  <w:rPr>
                    <w:rFonts w:ascii="Cambria Math" w:hAnsi="Cambria Math"/>
                    <w:lang w:val="en-US"/>
                  </w:rPr>
                  <m:t>, 1-</m:t>
                </m:r>
                <m:f>
                  <m:fPr>
                    <m:ctrlPr>
                      <w:rPr>
                        <w:rFonts w:ascii="Cambria Math" w:hAnsi="Cambria Math"/>
                      </w:rPr>
                    </m:ctrlPr>
                  </m:fPr>
                  <m:num>
                    <m:r>
                      <w:rPr>
                        <w:rFonts w:ascii="Cambria Math" w:hAnsi="Cambria Math"/>
                      </w:rPr>
                      <m:t>s</m:t>
                    </m:r>
                  </m:num>
                  <m:den>
                    <m:r>
                      <w:rPr>
                        <w:rFonts w:ascii="Cambria Math" w:hAnsi="Cambria Math"/>
                        <w:lang w:val="en-US"/>
                      </w:rPr>
                      <m:t>4</m:t>
                    </m:r>
                    <m:sSub>
                      <m:sSubPr>
                        <m:ctrlPr>
                          <w:rPr>
                            <w:rFonts w:ascii="Cambria Math" w:hAnsi="Cambria Math"/>
                          </w:rPr>
                        </m:ctrlPr>
                      </m:sSubPr>
                      <m:e>
                        <m:r>
                          <w:rPr>
                            <w:rFonts w:ascii="Cambria Math" w:hAnsi="Cambria Math"/>
                          </w:rPr>
                          <m:t>x</m:t>
                        </m:r>
                      </m:e>
                      <m:sub>
                        <m:r>
                          <m:rPr>
                            <m:sty m:val="p"/>
                          </m:rPr>
                          <w:rPr>
                            <w:rFonts w:ascii="Cambria Math" w:hAnsi="Cambria Math"/>
                            <w:lang w:val="en-US"/>
                          </w:rPr>
                          <m:t>cs</m:t>
                        </m:r>
                      </m:sub>
                    </m:sSub>
                  </m:den>
                </m:f>
                <m:r>
                  <w:rPr>
                    <w:rFonts w:ascii="Cambria Math" w:hAnsi="Cambria Math"/>
                    <w:lang w:val="en-US"/>
                  </w:rPr>
                  <m:t xml:space="preserve">≥0 </m:t>
                </m:r>
                <m:r>
                  <m:rPr>
                    <m:nor/>
                  </m:rPr>
                  <w:rPr>
                    <w:rFonts w:ascii="Cambria Math" w:hAnsi="Cambria Math"/>
                    <w:lang w:val="en-US"/>
                  </w:rPr>
                  <m:t>and</m:t>
                </m:r>
                <m:r>
                  <w:rPr>
                    <w:rFonts w:ascii="Cambria Math" w:hAnsi="Cambria Math"/>
                    <w:lang w:val="en-US"/>
                  </w:rPr>
                  <m:t xml:space="preserve"> 1-</m:t>
                </m:r>
                <m:f>
                  <m:fPr>
                    <m:ctrlPr>
                      <w:rPr>
                        <w:rFonts w:ascii="Cambria Math" w:hAnsi="Cambria Math"/>
                      </w:rPr>
                    </m:ctrlPr>
                  </m:fPr>
                  <m:num>
                    <m:r>
                      <w:rPr>
                        <w:rFonts w:ascii="Cambria Math" w:hAnsi="Cambria Math"/>
                      </w:rPr>
                      <m:t>s</m:t>
                    </m:r>
                  </m:num>
                  <m:den>
                    <m:r>
                      <w:rPr>
                        <w:rFonts w:ascii="Cambria Math" w:hAnsi="Cambria Math"/>
                        <w:lang w:val="en-US"/>
                      </w:rPr>
                      <m:t>2</m:t>
                    </m:r>
                    <m:sSub>
                      <m:sSubPr>
                        <m:ctrlPr>
                          <w:rPr>
                            <w:rFonts w:ascii="Cambria Math" w:hAnsi="Cambria Math"/>
                          </w:rPr>
                        </m:ctrlPr>
                      </m:sSubPr>
                      <m:e>
                        <m:r>
                          <w:rPr>
                            <w:rFonts w:ascii="Cambria Math" w:hAnsi="Cambria Math"/>
                          </w:rPr>
                          <m:t>b</m:t>
                        </m:r>
                      </m:e>
                      <m:sub>
                        <m:r>
                          <m:rPr>
                            <m:sty m:val="p"/>
                          </m:rPr>
                          <w:rPr>
                            <w:rFonts w:ascii="Cambria Math" w:hAnsi="Cambria Math"/>
                            <w:lang w:val="en-US"/>
                          </w:rPr>
                          <m:t>csy</m:t>
                        </m:r>
                      </m:sub>
                    </m:sSub>
                  </m:den>
                </m:f>
                <m:r>
                  <w:rPr>
                    <w:rFonts w:ascii="Cambria Math" w:hAnsi="Cambria Math"/>
                    <w:lang w:val="en-US"/>
                  </w:rPr>
                  <m:t>≥0</m:t>
                </m:r>
              </m:oMath>
            </m:oMathPara>
          </w:p>
        </w:tc>
      </w:tr>
    </w:tbl>
    <w:p w14:paraId="298266C6" w14:textId="77777777" w:rsidR="004E22C1" w:rsidRPr="001455DC" w:rsidRDefault="004E22C1" w:rsidP="004F5434">
      <w:pPr>
        <w:pStyle w:val="a7"/>
      </w:pPr>
    </w:p>
    <w:p w14:paraId="087507A2" w14:textId="6D1AE166" w:rsidR="004F5434" w:rsidRPr="001455DC" w:rsidRDefault="004E22C1" w:rsidP="004F5434">
      <w:pPr>
        <w:pStyle w:val="a7"/>
      </w:pPr>
      <w:r w:rsidRPr="001455DC">
        <w:t>(5)</w:t>
      </w:r>
      <w:r w:rsidRPr="001455DC">
        <w:tab/>
        <w:t>The effect of confinement on the strain limitations in concrete may be determined in accordance with Formula (8.</w:t>
      </w:r>
      <w:r w:rsidR="006E5B3C" w:rsidRPr="001455DC">
        <w:t>9</w:t>
      </w:r>
      <w:r w:rsidRPr="001455DC">
        <w:t>). However, if these enhancements to the strains are included in design, then the concrete area between the free surface and the axis of the confinement reinforcement should not be included in any strength verifications.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F5434" w:rsidRPr="001455DC" w14:paraId="3FB5D015" w14:textId="77777777" w:rsidTr="004F5434">
        <w:trPr>
          <w:cantSplit/>
        </w:trPr>
        <w:tc>
          <w:tcPr>
            <w:tcW w:w="8505" w:type="dxa"/>
            <w:vAlign w:val="center"/>
          </w:tcPr>
          <w:p w14:paraId="0CB2901F" w14:textId="38B523BC" w:rsidR="004F5434" w:rsidRPr="001455DC" w:rsidRDefault="00231E33" w:rsidP="004F5434">
            <w:pPr>
              <w:pStyle w:val="Formula"/>
              <w:tabs>
                <w:tab w:val="clear" w:pos="9749"/>
              </w:tabs>
              <w:jc w:val="left"/>
            </w:pPr>
            <m:oMathPara>
              <m:oMathParaPr>
                <m:jc m:val="left"/>
              </m:oMathParaPr>
              <m:oMath>
                <m:sSub>
                  <m:sSubPr>
                    <m:ctrlPr>
                      <w:rPr>
                        <w:rFonts w:ascii="Cambria Math" w:hAnsi="Cambria Math"/>
                      </w:rPr>
                    </m:ctrlPr>
                  </m:sSubPr>
                  <m:e>
                    <m:r>
                      <w:rPr>
                        <w:rFonts w:ascii="Cambria Math" w:hAnsi="Cambria Math"/>
                      </w:rPr>
                      <m:t>ε</m:t>
                    </m:r>
                  </m:e>
                  <m:sub>
                    <m:r>
                      <m:rPr>
                        <m:sty m:val="p"/>
                      </m:rPr>
                      <w:rPr>
                        <w:rFonts w:ascii="Cambria Math" w:hAnsi="Cambria Math"/>
                      </w:rPr>
                      <m:t>c2,c</m:t>
                    </m:r>
                  </m:sub>
                </m:sSub>
                <m:r>
                  <w:rPr>
                    <w:rFonts w:ascii="Cambria Math" w:hAnsi="Cambria Math"/>
                  </w:rPr>
                  <m:t>=</m:t>
                </m:r>
                <m:sSub>
                  <m:sSubPr>
                    <m:ctrlPr>
                      <w:rPr>
                        <w:rFonts w:ascii="Cambria Math" w:hAnsi="Cambria Math"/>
                      </w:rPr>
                    </m:ctrlPr>
                  </m:sSubPr>
                  <m:e>
                    <m:r>
                      <w:rPr>
                        <w:rFonts w:ascii="Cambria Math" w:hAnsi="Cambria Math"/>
                      </w:rPr>
                      <m:t>ε</m:t>
                    </m:r>
                  </m:e>
                  <m:sub>
                    <m:r>
                      <m:rPr>
                        <m:sty m:val="p"/>
                      </m:rPr>
                      <w:rPr>
                        <w:rFonts w:ascii="Cambria Math" w:hAnsi="Cambria Math"/>
                      </w:rPr>
                      <m:t>c</m:t>
                    </m:r>
                    <m:r>
                      <w:rPr>
                        <w:rFonts w:ascii="Cambria Math" w:hAnsi="Cambria Math"/>
                      </w:rPr>
                      <m:t>2</m:t>
                    </m:r>
                  </m:sub>
                </m:sSub>
                <m:d>
                  <m:dPr>
                    <m:ctrlPr>
                      <w:rPr>
                        <w:rFonts w:ascii="Cambria Math" w:hAnsi="Cambria Math"/>
                      </w:rPr>
                    </m:ctrlPr>
                  </m:dPr>
                  <m:e>
                    <m:r>
                      <w:rPr>
                        <w:rFonts w:ascii="Cambria Math" w:hAnsi="Cambria Math"/>
                      </w:rPr>
                      <m:t>1+5</m:t>
                    </m:r>
                    <m:f>
                      <m:fPr>
                        <m:ctrlPr>
                          <w:rPr>
                            <w:rFonts w:ascii="Cambria Math" w:hAnsi="Cambria Math"/>
                          </w:rPr>
                        </m:ctrlPr>
                      </m:fPr>
                      <m:num>
                        <m:r>
                          <m:rPr>
                            <m:sty m:val="p"/>
                          </m:rPr>
                          <w:rPr>
                            <w:rFonts w:ascii="Cambria Math" w:hAnsi="Cambria Math"/>
                          </w:rPr>
                          <m:t>Δ</m:t>
                        </m:r>
                        <m:sSub>
                          <m:sSubPr>
                            <m:ctrlPr>
                              <w:rPr>
                                <w:rFonts w:ascii="Cambria Math" w:hAnsi="Cambria Math"/>
                              </w:rPr>
                            </m:ctrlPr>
                          </m:sSubPr>
                          <m:e>
                            <m:r>
                              <w:rPr>
                                <w:rFonts w:ascii="Cambria Math" w:hAnsi="Cambria Math"/>
                              </w:rPr>
                              <m:t>f</m:t>
                            </m:r>
                          </m:e>
                          <m:sub>
                            <m:r>
                              <m:rPr>
                                <m:sty m:val="p"/>
                              </m:rPr>
                              <w:rPr>
                                <w:rFonts w:ascii="Cambria Math" w:hAnsi="Cambria Math"/>
                              </w:rPr>
                              <m:t>cd</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cd</m:t>
                            </m:r>
                          </m:sub>
                        </m:sSub>
                      </m:den>
                    </m:f>
                  </m:e>
                </m:d>
              </m:oMath>
            </m:oMathPara>
          </w:p>
        </w:tc>
        <w:tc>
          <w:tcPr>
            <w:tcW w:w="1247" w:type="dxa"/>
            <w:vAlign w:val="center"/>
          </w:tcPr>
          <w:p w14:paraId="394FA691" w14:textId="3B45F64C" w:rsidR="004F5434" w:rsidRPr="001455DC" w:rsidRDefault="004F5434">
            <w:pPr>
              <w:pStyle w:val="a7"/>
              <w:jc w:val="right"/>
            </w:pPr>
            <w:r w:rsidRPr="001455DC">
              <w:t>(8.</w:t>
            </w:r>
            <w:r w:rsidR="006E5B3C" w:rsidRPr="001455DC">
              <w:t>9a</w:t>
            </w:r>
            <w:r w:rsidRPr="001455DC">
              <w:t>)</w:t>
            </w:r>
          </w:p>
        </w:tc>
      </w:tr>
      <w:tr w:rsidR="004F5434" w:rsidRPr="001455DC" w14:paraId="4544C124" w14:textId="77777777" w:rsidTr="004F5434">
        <w:trPr>
          <w:cantSplit/>
        </w:trPr>
        <w:tc>
          <w:tcPr>
            <w:tcW w:w="8505" w:type="dxa"/>
            <w:vAlign w:val="center"/>
          </w:tcPr>
          <w:p w14:paraId="65E663B0" w14:textId="23F1B228" w:rsidR="004F5434" w:rsidRPr="001455DC" w:rsidRDefault="00231E33" w:rsidP="004F5434">
            <w:pPr>
              <w:pStyle w:val="Formula"/>
              <w:tabs>
                <w:tab w:val="clear" w:pos="9749"/>
              </w:tabs>
              <w:jc w:val="left"/>
            </w:pPr>
            <m:oMathPara>
              <m:oMathParaPr>
                <m:jc m:val="left"/>
              </m:oMathParaPr>
              <m:oMath>
                <m:sSub>
                  <m:sSubPr>
                    <m:ctrlPr>
                      <w:rPr>
                        <w:rFonts w:ascii="Cambria Math" w:hAnsi="Cambria Math"/>
                      </w:rPr>
                    </m:ctrlPr>
                  </m:sSubPr>
                  <m:e>
                    <m:r>
                      <w:rPr>
                        <w:rFonts w:ascii="Cambria Math" w:hAnsi="Cambria Math"/>
                      </w:rPr>
                      <m:t>ε</m:t>
                    </m:r>
                  </m:e>
                  <m:sub>
                    <m:r>
                      <m:rPr>
                        <m:sty m:val="p"/>
                      </m:rPr>
                      <w:rPr>
                        <w:rFonts w:ascii="Cambria Math" w:hAnsi="Cambria Math"/>
                      </w:rPr>
                      <m:t>cu,c</m:t>
                    </m:r>
                  </m:sub>
                </m:sSub>
                <m:r>
                  <w:rPr>
                    <w:rFonts w:ascii="Cambria Math" w:hAnsi="Cambria Math"/>
                  </w:rPr>
                  <m:t>=</m:t>
                </m:r>
                <m:sSub>
                  <m:sSubPr>
                    <m:ctrlPr>
                      <w:rPr>
                        <w:rFonts w:ascii="Cambria Math" w:hAnsi="Cambria Math"/>
                      </w:rPr>
                    </m:ctrlPr>
                  </m:sSubPr>
                  <m:e>
                    <m:r>
                      <w:rPr>
                        <w:rFonts w:ascii="Cambria Math" w:hAnsi="Cambria Math"/>
                      </w:rPr>
                      <m:t>ε</m:t>
                    </m:r>
                  </m:e>
                  <m:sub>
                    <m:r>
                      <m:rPr>
                        <m:sty m:val="p"/>
                      </m:rPr>
                      <w:rPr>
                        <w:rFonts w:ascii="Cambria Math" w:hAnsi="Cambria Math"/>
                      </w:rPr>
                      <m:t>cu</m:t>
                    </m:r>
                  </m:sub>
                </m:sSub>
                <m:r>
                  <w:rPr>
                    <w:rFonts w:ascii="Cambria Math" w:hAnsi="Cambria Math"/>
                  </w:rPr>
                  <m:t>+0,2</m:t>
                </m:r>
                <m:f>
                  <m:fPr>
                    <m:ctrlPr>
                      <w:rPr>
                        <w:rFonts w:ascii="Cambria Math" w:hAnsi="Cambria Math"/>
                      </w:rPr>
                    </m:ctrlPr>
                  </m:fPr>
                  <m:num>
                    <m:sSub>
                      <m:sSubPr>
                        <m:ctrlPr>
                          <w:rPr>
                            <w:rFonts w:ascii="Cambria Math" w:hAnsi="Cambria Math"/>
                          </w:rPr>
                        </m:ctrlPr>
                      </m:sSubPr>
                      <m:e>
                        <m:r>
                          <w:rPr>
                            <w:rFonts w:ascii="Cambria Math" w:hAnsi="Cambria Math"/>
                          </w:rPr>
                          <m:t>σ</m:t>
                        </m:r>
                      </m:e>
                      <m:sub>
                        <m:r>
                          <m:rPr>
                            <m:sty m:val="p"/>
                          </m:rPr>
                          <w:rPr>
                            <w:rFonts w:ascii="Cambria Math" w:hAnsi="Cambria Math"/>
                          </w:rPr>
                          <m:t>c2d</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cd</m:t>
                        </m:r>
                      </m:sub>
                    </m:sSub>
                  </m:den>
                </m:f>
              </m:oMath>
            </m:oMathPara>
          </w:p>
        </w:tc>
        <w:tc>
          <w:tcPr>
            <w:tcW w:w="1247" w:type="dxa"/>
            <w:vAlign w:val="center"/>
          </w:tcPr>
          <w:p w14:paraId="528B4E39" w14:textId="06069F59" w:rsidR="004F5434" w:rsidRPr="001455DC" w:rsidRDefault="004F5434" w:rsidP="004F5434">
            <w:pPr>
              <w:pStyle w:val="a7"/>
              <w:jc w:val="right"/>
            </w:pPr>
            <w:r w:rsidRPr="001455DC">
              <w:t>(8.</w:t>
            </w:r>
            <w:r w:rsidR="006E5B3C" w:rsidRPr="001455DC">
              <w:t>9</w:t>
            </w:r>
            <w:r w:rsidRPr="001455DC">
              <w:t>b)</w:t>
            </w:r>
          </w:p>
        </w:tc>
      </w:tr>
    </w:tbl>
    <w:p w14:paraId="2ACBEFAA" w14:textId="307C4EC4" w:rsidR="004E22C1" w:rsidRPr="001455DC" w:rsidRDefault="004E22C1" w:rsidP="006D682B">
      <w:pPr>
        <w:pStyle w:val="21"/>
        <w:rPr>
          <w:lang w:eastAsia="de-CH"/>
        </w:rPr>
      </w:pPr>
      <w:bookmarkStart w:id="550" w:name="_Toc52819975"/>
      <w:bookmarkStart w:id="551" w:name="_Toc54337368"/>
      <w:bookmarkStart w:id="552" w:name="_Toc54338031"/>
      <w:bookmarkStart w:id="553" w:name="_Toc67565379"/>
      <w:r w:rsidRPr="001455DC">
        <w:t>Shear</w:t>
      </w:r>
      <w:bookmarkEnd w:id="550"/>
      <w:bookmarkEnd w:id="551"/>
      <w:bookmarkEnd w:id="552"/>
      <w:bookmarkEnd w:id="553"/>
    </w:p>
    <w:p w14:paraId="6CB62399" w14:textId="5E16F055" w:rsidR="004E22C1" w:rsidRPr="001455DC" w:rsidRDefault="004E22C1" w:rsidP="00243590">
      <w:pPr>
        <w:pStyle w:val="31"/>
        <w:rPr>
          <w:lang w:eastAsia="de-CH"/>
        </w:rPr>
      </w:pPr>
      <w:bookmarkStart w:id="554" w:name="_Toc52819976"/>
      <w:bookmarkStart w:id="555" w:name="_Toc54337369"/>
      <w:bookmarkStart w:id="556" w:name="_Toc54338032"/>
      <w:bookmarkStart w:id="557" w:name="_Toc67565380"/>
      <w:r w:rsidRPr="001455DC">
        <w:t>General verification procedure</w:t>
      </w:r>
      <w:bookmarkEnd w:id="554"/>
      <w:bookmarkEnd w:id="555"/>
      <w:bookmarkEnd w:id="556"/>
      <w:bookmarkEnd w:id="557"/>
    </w:p>
    <w:p w14:paraId="2280926E" w14:textId="77777777" w:rsidR="004E22C1" w:rsidRPr="001455DC" w:rsidRDefault="004E22C1" w:rsidP="004F5434">
      <w:pPr>
        <w:pStyle w:val="a7"/>
      </w:pPr>
      <w:r w:rsidRPr="001455DC">
        <w:t>(1)</w:t>
      </w:r>
      <w:r w:rsidRPr="001455DC">
        <w:tab/>
        <w:t>The shear resistance of linear members and the out-of-plane shear resistance of planar members shall be verified according to the following procedure:</w:t>
      </w:r>
    </w:p>
    <w:p w14:paraId="0A3C780F" w14:textId="77777777" w:rsidR="004F5434" w:rsidRPr="001455DC" w:rsidRDefault="004E22C1" w:rsidP="004F5434">
      <w:pPr>
        <w:pStyle w:val="a7"/>
        <w:ind w:left="567" w:hanging="567"/>
      </w:pPr>
      <w:r w:rsidRPr="001455DC">
        <w:t>(i)</w:t>
      </w:r>
      <w:r w:rsidRPr="001455DC">
        <w:tab/>
        <w:t>Detailed verification of the shear resistance may be omitted, provided that</w:t>
      </w:r>
    </w:p>
    <w:p w14:paraId="484F6DAD" w14:textId="1C156204" w:rsidR="004F5434" w:rsidRPr="001455DC" w:rsidRDefault="004E22C1" w:rsidP="004F5434">
      <w:pPr>
        <w:pStyle w:val="Formula"/>
        <w:tabs>
          <w:tab w:val="clear" w:pos="9749"/>
        </w:tabs>
        <w:jc w:val="left"/>
      </w:pPr>
      <w:r w:rsidRPr="001455DC">
        <w:rPr>
          <w:rStyle w:val="CCMCvariableitalic"/>
        </w:rPr>
        <w:t>τ</w:t>
      </w:r>
      <w:r w:rsidRPr="001455DC">
        <w:rPr>
          <w:rStyle w:val="CCMCvariablesubscript"/>
        </w:rPr>
        <w:t>Ed</w:t>
      </w:r>
      <w:r w:rsidRPr="001455DC">
        <w:t> </w:t>
      </w:r>
      <w:r w:rsidR="00650035" w:rsidRPr="001455DC">
        <w:rPr>
          <w:rFonts w:ascii="Cambria Math" w:hAnsi="Cambria Math"/>
        </w:rPr>
        <w:t>≤</w:t>
      </w:r>
      <w:r w:rsidRPr="001455DC">
        <w:t> </w:t>
      </w:r>
      <w:r w:rsidRPr="001455DC">
        <w:rPr>
          <w:rStyle w:val="CCMCvariableitalic"/>
        </w:rPr>
        <w:t>τ</w:t>
      </w:r>
      <w:r w:rsidRPr="001455DC">
        <w:rPr>
          <w:rStyle w:val="CCMCvariablesubscript"/>
        </w:rPr>
        <w:t>Rdc,min</w:t>
      </w:r>
    </w:p>
    <w:p w14:paraId="397E4487" w14:textId="2958A219" w:rsidR="004E22C1" w:rsidRPr="001455DC" w:rsidRDefault="004E22C1" w:rsidP="004F5434">
      <w:pPr>
        <w:pStyle w:val="a7"/>
      </w:pPr>
      <w:r w:rsidRPr="001455DC">
        <w:t>according to 8.2.1(4)</w:t>
      </w:r>
    </w:p>
    <w:p w14:paraId="233D00BA" w14:textId="77777777" w:rsidR="004F5434" w:rsidRPr="001455DC" w:rsidRDefault="004E22C1" w:rsidP="00A35599">
      <w:pPr>
        <w:pStyle w:val="a7"/>
        <w:keepNext/>
        <w:ind w:left="567" w:hanging="567"/>
      </w:pPr>
      <w:r w:rsidRPr="001455DC">
        <w:t>(ii)</w:t>
      </w:r>
      <w:r w:rsidRPr="001455DC">
        <w:tab/>
        <w:t>No calculated shear reinforcement is required in regions of the members where</w:t>
      </w:r>
    </w:p>
    <w:p w14:paraId="3328EC04" w14:textId="6092DA8A" w:rsidR="004F5434" w:rsidRPr="001455DC" w:rsidRDefault="004E22C1" w:rsidP="004F5434">
      <w:pPr>
        <w:pStyle w:val="Formula"/>
        <w:tabs>
          <w:tab w:val="clear" w:pos="9749"/>
        </w:tabs>
        <w:jc w:val="left"/>
      </w:pPr>
      <w:r w:rsidRPr="001455DC">
        <w:rPr>
          <w:rStyle w:val="CCMCvariableitalic"/>
        </w:rPr>
        <w:t>τ</w:t>
      </w:r>
      <w:r w:rsidRPr="001455DC">
        <w:rPr>
          <w:rStyle w:val="CCMCvariablesubscript"/>
        </w:rPr>
        <w:t>Ed</w:t>
      </w:r>
      <w:r w:rsidRPr="001455DC">
        <w:t> </w:t>
      </w:r>
      <w:r w:rsidR="00650035" w:rsidRPr="001455DC">
        <w:rPr>
          <w:rFonts w:ascii="Cambria Math" w:hAnsi="Cambria Math"/>
        </w:rPr>
        <w:t>≤</w:t>
      </w:r>
      <w:r w:rsidRPr="001455DC">
        <w:t> </w:t>
      </w:r>
      <w:r w:rsidRPr="001455DC">
        <w:rPr>
          <w:rStyle w:val="CCMCvariableitalic"/>
        </w:rPr>
        <w:t>τ</w:t>
      </w:r>
      <w:r w:rsidRPr="001455DC">
        <w:rPr>
          <w:rStyle w:val="CCMCvariablesubscript"/>
        </w:rPr>
        <w:t>Rd,c</w:t>
      </w:r>
    </w:p>
    <w:p w14:paraId="3C17BC38" w14:textId="76E10FD2" w:rsidR="004E22C1" w:rsidRPr="001455DC" w:rsidRDefault="004E22C1" w:rsidP="004F5434">
      <w:pPr>
        <w:pStyle w:val="a7"/>
      </w:pPr>
      <w:r w:rsidRPr="001455DC">
        <w:t>according to 8.2.2 and 8.4.3</w:t>
      </w:r>
    </w:p>
    <w:p w14:paraId="759C8DA0" w14:textId="77777777" w:rsidR="004E22C1" w:rsidRPr="001455DC" w:rsidRDefault="004E22C1" w:rsidP="004F5434">
      <w:pPr>
        <w:pStyle w:val="a7"/>
        <w:ind w:left="567" w:hanging="567"/>
      </w:pPr>
      <w:r w:rsidRPr="001455DC">
        <w:t>(iii)</w:t>
      </w:r>
      <w:r w:rsidRPr="001455DC">
        <w:tab/>
        <w:t>Otherwise, shear reinforcement shall be designed according to 8.2.3 and 8.4.4:</w:t>
      </w:r>
    </w:p>
    <w:p w14:paraId="11F238CD" w14:textId="574FB89B" w:rsidR="004E22C1" w:rsidRPr="001455DC" w:rsidRDefault="004E22C1" w:rsidP="004F5434">
      <w:pPr>
        <w:pStyle w:val="Formula"/>
        <w:tabs>
          <w:tab w:val="clear" w:pos="9749"/>
        </w:tabs>
        <w:jc w:val="left"/>
        <w:rPr>
          <w:lang w:eastAsia="de-CH"/>
        </w:rPr>
      </w:pPr>
      <w:r w:rsidRPr="001455DC">
        <w:rPr>
          <w:rStyle w:val="CCMCvariableitalic"/>
        </w:rPr>
        <w:t>τ</w:t>
      </w:r>
      <w:r w:rsidRPr="001455DC">
        <w:rPr>
          <w:rStyle w:val="CCMCvariablesubscript"/>
        </w:rPr>
        <w:t>Ed</w:t>
      </w:r>
      <w:r w:rsidRPr="001455DC">
        <w:rPr>
          <w:lang w:eastAsia="de-CH"/>
        </w:rPr>
        <w:t> </w:t>
      </w:r>
      <w:r w:rsidR="00650035" w:rsidRPr="001455DC">
        <w:rPr>
          <w:rFonts w:ascii="Cambria Math" w:hAnsi="Cambria Math"/>
          <w:lang w:eastAsia="de-CH"/>
        </w:rPr>
        <w:t>≤</w:t>
      </w:r>
      <w:r w:rsidRPr="001455DC">
        <w:rPr>
          <w:lang w:eastAsia="de-CH"/>
        </w:rPr>
        <w:t> </w:t>
      </w:r>
      <w:r w:rsidRPr="001455DC">
        <w:rPr>
          <w:rStyle w:val="CCMCvariableitalic"/>
        </w:rPr>
        <w:t>τ</w:t>
      </w:r>
      <w:r w:rsidRPr="001455DC">
        <w:rPr>
          <w:rStyle w:val="CCMCvariablesubscript"/>
        </w:rPr>
        <w:t>Rd</w:t>
      </w:r>
    </w:p>
    <w:p w14:paraId="1479C5C0" w14:textId="5841A49E" w:rsidR="004E22C1" w:rsidRPr="001455DC" w:rsidRDefault="004E22C1" w:rsidP="004F5434">
      <w:pPr>
        <w:pStyle w:val="a7"/>
      </w:pPr>
      <w:r w:rsidRPr="001455DC">
        <w:t>(2)</w:t>
      </w:r>
      <w:r w:rsidRPr="001455DC">
        <w:tab/>
        <w:t xml:space="preserve">When, on the basis of the design shear calculation, no shear reinforcement is required, minimum shear reinforcement may nevertheless be necessary according to </w:t>
      </w:r>
      <w:r w:rsidR="001710FF" w:rsidRPr="001455DC">
        <w:t>Clause </w:t>
      </w:r>
      <w:r w:rsidRPr="001455DC">
        <w:t>12.</w:t>
      </w:r>
    </w:p>
    <w:p w14:paraId="1EA40FD9" w14:textId="11E3037C" w:rsidR="004E22C1" w:rsidRPr="001455DC" w:rsidRDefault="004E22C1" w:rsidP="004F5434">
      <w:pPr>
        <w:pStyle w:val="a7"/>
      </w:pPr>
      <w:r w:rsidRPr="001455DC">
        <w:t xml:space="preserve">For statically determined linear members with </w:t>
      </w:r>
      <w:r w:rsidRPr="001455DC">
        <w:rPr>
          <w:rStyle w:val="CCMCvariableitalic"/>
        </w:rPr>
        <w:t>d</w:t>
      </w:r>
      <w:r w:rsidRPr="001455DC">
        <w:t> </w:t>
      </w:r>
      <w:r w:rsidR="00650035" w:rsidRPr="001455DC">
        <w:rPr>
          <w:rFonts w:ascii="Cambria Math" w:hAnsi="Cambria Math"/>
        </w:rPr>
        <w:t>&gt;</w:t>
      </w:r>
      <w:r w:rsidR="00073FC6" w:rsidRPr="001455DC">
        <w:t> </w:t>
      </w:r>
      <w:r w:rsidRPr="001455DC">
        <w:t>500 mm, minimum shear reinforcement shall be provided. In exceptions where this were not possible, the verification methods according to I.8.</w:t>
      </w:r>
      <w:r w:rsidR="00373D4E" w:rsidRPr="001455DC">
        <w:t>3</w:t>
      </w:r>
      <w:r w:rsidRPr="001455DC">
        <w:t>.</w:t>
      </w:r>
      <w:r w:rsidR="00373D4E" w:rsidRPr="001455DC">
        <w:t>1</w:t>
      </w:r>
      <w:r w:rsidRPr="001455DC">
        <w:t>(3) shall be used.</w:t>
      </w:r>
    </w:p>
    <w:p w14:paraId="7E19719F" w14:textId="77777777" w:rsidR="004F5434" w:rsidRPr="001455DC" w:rsidRDefault="004E22C1" w:rsidP="008D37B2">
      <w:pPr>
        <w:pStyle w:val="a7"/>
        <w:keepNext/>
      </w:pPr>
      <w:r w:rsidRPr="001455DC">
        <w:t>(3)</w:t>
      </w:r>
      <w:r w:rsidRPr="001455DC">
        <w:tab/>
        <w:t xml:space="preserve">In regions of members without geometric discontinuities, the average shear stress over the cross section </w:t>
      </w:r>
      <w:r w:rsidRPr="001455DC">
        <w:rPr>
          <w:rStyle w:val="CCMCvariableitalic"/>
        </w:rPr>
        <w:t>τ</w:t>
      </w:r>
      <w:r w:rsidRPr="001455DC">
        <w:rPr>
          <w:rStyle w:val="CCMCvariablesubscript"/>
        </w:rPr>
        <w:t>Ed</w:t>
      </w:r>
      <w:r w:rsidRPr="001455DC">
        <w:t xml:space="preserve"> is defined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F5434" w:rsidRPr="001455DC" w14:paraId="4A1450C4" w14:textId="77777777" w:rsidTr="004F5434">
        <w:trPr>
          <w:cantSplit/>
        </w:trPr>
        <w:tc>
          <w:tcPr>
            <w:tcW w:w="8505" w:type="dxa"/>
            <w:vAlign w:val="center"/>
          </w:tcPr>
          <w:p w14:paraId="3128E888" w14:textId="4CDF6040" w:rsidR="004F5434" w:rsidRPr="001455DC" w:rsidRDefault="00231E33" w:rsidP="004F5434">
            <w:pPr>
              <w:pStyle w:val="Formula"/>
              <w:tabs>
                <w:tab w:val="clear" w:pos="9749"/>
              </w:tabs>
              <w:jc w:val="left"/>
            </w:pPr>
            <m:oMathPara>
              <m:oMathParaPr>
                <m:jc m:val="left"/>
              </m:oMathParaPr>
              <m:oMath>
                <m:sSub>
                  <m:sSubPr>
                    <m:ctrlPr>
                      <w:rPr>
                        <w:rFonts w:ascii="Cambria Math" w:hAnsi="Cambria Math"/>
                        <w:lang w:eastAsia="de-CH"/>
                      </w:rPr>
                    </m:ctrlPr>
                  </m:sSubPr>
                  <m:e>
                    <m:r>
                      <w:rPr>
                        <w:rFonts w:ascii="Cambria Math" w:hAnsi="Cambria Math"/>
                      </w:rPr>
                      <m:t>τ</m:t>
                    </m:r>
                  </m:e>
                  <m:sub>
                    <m:r>
                      <m:rPr>
                        <m:sty m:val="p"/>
                      </m:rPr>
                      <w:rPr>
                        <w:rFonts w:ascii="Cambria Math" w:hAnsi="Cambria Math"/>
                      </w:rPr>
                      <m:t>Ed</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Ed</m:t>
                        </m:r>
                      </m:sub>
                    </m:sSub>
                  </m:num>
                  <m:den>
                    <m:sSub>
                      <m:sSubPr>
                        <m:ctrlPr>
                          <w:rPr>
                            <w:rFonts w:ascii="Cambria Math" w:hAnsi="Cambria Math"/>
                          </w:rPr>
                        </m:ctrlPr>
                      </m:sSubPr>
                      <m:e>
                        <m:r>
                          <w:rPr>
                            <w:rFonts w:ascii="Cambria Math" w:hAnsi="Cambria Math"/>
                          </w:rPr>
                          <m:t>b</m:t>
                        </m:r>
                      </m:e>
                      <m:sub>
                        <m:r>
                          <m:rPr>
                            <m:sty m:val="p"/>
                          </m:rPr>
                          <w:rPr>
                            <w:rFonts w:ascii="Cambria Math" w:hAnsi="Cambria Math"/>
                          </w:rPr>
                          <m:t>w</m:t>
                        </m:r>
                      </m:sub>
                    </m:sSub>
                    <m:r>
                      <w:rPr>
                        <w:rFonts w:ascii="Cambria Math" w:hAnsi="Cambria Math"/>
                      </w:rPr>
                      <m:t>⋅z</m:t>
                    </m:r>
                  </m:den>
                </m:f>
              </m:oMath>
            </m:oMathPara>
          </w:p>
        </w:tc>
        <w:tc>
          <w:tcPr>
            <w:tcW w:w="1247" w:type="dxa"/>
            <w:vAlign w:val="center"/>
          </w:tcPr>
          <w:p w14:paraId="096D8858" w14:textId="4D096764" w:rsidR="004F5434" w:rsidRPr="001455DC" w:rsidRDefault="004F5434">
            <w:pPr>
              <w:pStyle w:val="a7"/>
              <w:jc w:val="right"/>
            </w:pPr>
            <w:r w:rsidRPr="001455DC">
              <w:rPr>
                <w:lang w:eastAsia="de-CH"/>
              </w:rPr>
              <w:t>(8.</w:t>
            </w:r>
            <w:r w:rsidR="006E5B3C" w:rsidRPr="001455DC">
              <w:rPr>
                <w:lang w:eastAsia="de-CH"/>
              </w:rPr>
              <w:t>10a</w:t>
            </w:r>
            <w:r w:rsidRPr="001455DC">
              <w:rPr>
                <w:lang w:eastAsia="de-CH"/>
              </w:rPr>
              <w:t>)</w:t>
            </w:r>
          </w:p>
        </w:tc>
      </w:tr>
    </w:tbl>
    <w:p w14:paraId="28324BB7" w14:textId="57626E19" w:rsidR="004F5434" w:rsidRPr="001455DC" w:rsidRDefault="004F5434" w:rsidP="004F5434">
      <w:pPr>
        <w:pStyle w:val="a7"/>
      </w:pPr>
      <w:r w:rsidRPr="001455DC">
        <w:t>or</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F5434" w:rsidRPr="001455DC" w14:paraId="14A4033A" w14:textId="77777777" w:rsidTr="004F5434">
        <w:trPr>
          <w:cantSplit/>
        </w:trPr>
        <w:tc>
          <w:tcPr>
            <w:tcW w:w="8505" w:type="dxa"/>
            <w:vAlign w:val="center"/>
          </w:tcPr>
          <w:p w14:paraId="086B3CE8" w14:textId="17F27F1D" w:rsidR="004F5434" w:rsidRPr="001455DC" w:rsidRDefault="00231E33" w:rsidP="004F5434">
            <w:pPr>
              <w:pStyle w:val="Formula"/>
              <w:tabs>
                <w:tab w:val="clear" w:pos="9749"/>
              </w:tabs>
              <w:jc w:val="left"/>
            </w:pPr>
            <m:oMathPara>
              <m:oMathParaPr>
                <m:jc m:val="left"/>
              </m:oMathParaPr>
              <m:oMath>
                <m:sSub>
                  <m:sSubPr>
                    <m:ctrlPr>
                      <w:rPr>
                        <w:rFonts w:ascii="Cambria Math" w:hAnsi="Cambria Math"/>
                        <w:lang w:eastAsia="de-CH"/>
                      </w:rPr>
                    </m:ctrlPr>
                  </m:sSubPr>
                  <m:e>
                    <m:r>
                      <w:rPr>
                        <w:rFonts w:ascii="Cambria Math" w:hAnsi="Cambria Math"/>
                      </w:rPr>
                      <m:t>τ</m:t>
                    </m:r>
                  </m:e>
                  <m:sub>
                    <m:r>
                      <m:rPr>
                        <m:sty m:val="p"/>
                      </m:rPr>
                      <w:rPr>
                        <w:rFonts w:ascii="Cambria Math" w:hAnsi="Cambria Math"/>
                      </w:rPr>
                      <m:t>Ed</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Ed</m:t>
                        </m:r>
                      </m:sub>
                    </m:sSub>
                  </m:num>
                  <m:den>
                    <m:r>
                      <w:rPr>
                        <w:rFonts w:ascii="Cambria Math" w:hAnsi="Cambria Math"/>
                      </w:rPr>
                      <m:t>z</m:t>
                    </m:r>
                  </m:den>
                </m:f>
              </m:oMath>
            </m:oMathPara>
          </w:p>
        </w:tc>
        <w:tc>
          <w:tcPr>
            <w:tcW w:w="1247" w:type="dxa"/>
            <w:vAlign w:val="center"/>
          </w:tcPr>
          <w:p w14:paraId="150C519F" w14:textId="7CD03BC5" w:rsidR="004F5434" w:rsidRPr="001455DC" w:rsidRDefault="004F5434" w:rsidP="004F5434">
            <w:pPr>
              <w:pStyle w:val="a7"/>
              <w:jc w:val="right"/>
            </w:pPr>
            <w:r w:rsidRPr="001455DC">
              <w:rPr>
                <w:lang w:eastAsia="de-CH"/>
              </w:rPr>
              <w:t>(8.</w:t>
            </w:r>
            <w:r w:rsidR="006E5B3C" w:rsidRPr="001455DC">
              <w:rPr>
                <w:lang w:eastAsia="de-CH"/>
              </w:rPr>
              <w:t>10</w:t>
            </w:r>
            <w:r w:rsidRPr="001455DC">
              <w:rPr>
                <w:lang w:eastAsia="de-CH"/>
              </w:rPr>
              <w:t>b)</w:t>
            </w:r>
          </w:p>
        </w:tc>
      </w:tr>
    </w:tbl>
    <w:p w14:paraId="7FCA8BD6" w14:textId="77777777" w:rsidR="001778AA" w:rsidRPr="001455DC" w:rsidRDefault="001778AA"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1778AA" w:rsidRPr="001455DC" w14:paraId="2F06928D" w14:textId="77777777" w:rsidTr="001778AA">
        <w:trPr>
          <w:cantSplit/>
        </w:trPr>
        <w:tc>
          <w:tcPr>
            <w:tcW w:w="567" w:type="dxa"/>
          </w:tcPr>
          <w:p w14:paraId="18639BF6" w14:textId="3DD06D86" w:rsidR="001778AA" w:rsidRPr="001455DC" w:rsidRDefault="001778AA" w:rsidP="00036609">
            <w:pPr>
              <w:pStyle w:val="Tablebody"/>
              <w:spacing w:after="160"/>
            </w:pPr>
            <w:r w:rsidRPr="001455DC">
              <w:rPr>
                <w:rStyle w:val="CCMCvariableitalic"/>
              </w:rPr>
              <w:t>V</w:t>
            </w:r>
            <w:r w:rsidRPr="001455DC">
              <w:rPr>
                <w:rStyle w:val="CCMCvariablesubscript"/>
              </w:rPr>
              <w:t>Ed</w:t>
            </w:r>
          </w:p>
        </w:tc>
        <w:tc>
          <w:tcPr>
            <w:tcW w:w="8845" w:type="dxa"/>
          </w:tcPr>
          <w:p w14:paraId="4062F2BA" w14:textId="6598FDF4" w:rsidR="001778AA" w:rsidRPr="001455DC" w:rsidRDefault="001778AA" w:rsidP="00036609">
            <w:pPr>
              <w:pStyle w:val="Tablebody"/>
              <w:spacing w:after="160"/>
            </w:pPr>
            <w:r w:rsidRPr="001455DC">
              <w:rPr>
                <w:lang w:eastAsia="de-CH"/>
              </w:rPr>
              <w:t>is the design shear force in linear members,</w:t>
            </w:r>
          </w:p>
        </w:tc>
      </w:tr>
      <w:tr w:rsidR="001778AA" w:rsidRPr="001455DC" w14:paraId="2670F708" w14:textId="77777777" w:rsidTr="001778AA">
        <w:trPr>
          <w:cantSplit/>
        </w:trPr>
        <w:tc>
          <w:tcPr>
            <w:tcW w:w="567" w:type="dxa"/>
          </w:tcPr>
          <w:p w14:paraId="2A3101EB" w14:textId="0D7A7595" w:rsidR="001778AA" w:rsidRPr="001455DC" w:rsidRDefault="001778AA" w:rsidP="00036609">
            <w:pPr>
              <w:pStyle w:val="Tablebody"/>
              <w:spacing w:after="160"/>
            </w:pPr>
            <w:r w:rsidRPr="001455DC">
              <w:rPr>
                <w:rStyle w:val="CCMCvariableitalic"/>
              </w:rPr>
              <w:t>v</w:t>
            </w:r>
            <w:r w:rsidRPr="001455DC">
              <w:rPr>
                <w:rStyle w:val="CCMCvariablesubscript"/>
              </w:rPr>
              <w:t>Ed</w:t>
            </w:r>
          </w:p>
        </w:tc>
        <w:tc>
          <w:tcPr>
            <w:tcW w:w="8845" w:type="dxa"/>
          </w:tcPr>
          <w:p w14:paraId="35234DEB" w14:textId="70F5E8BC" w:rsidR="001778AA" w:rsidRPr="001455DC" w:rsidRDefault="001778AA" w:rsidP="00036609">
            <w:pPr>
              <w:pStyle w:val="Tablebody"/>
              <w:spacing w:after="160"/>
            </w:pPr>
            <w:r w:rsidRPr="001455DC">
              <w:rPr>
                <w:lang w:eastAsia="de-CH"/>
              </w:rPr>
              <w:t>is the design shear force per unit width in planar members,</w:t>
            </w:r>
          </w:p>
        </w:tc>
      </w:tr>
      <w:tr w:rsidR="001778AA" w:rsidRPr="001455DC" w14:paraId="0C8E6AC0" w14:textId="77777777" w:rsidTr="001778AA">
        <w:trPr>
          <w:cantSplit/>
        </w:trPr>
        <w:tc>
          <w:tcPr>
            <w:tcW w:w="567" w:type="dxa"/>
          </w:tcPr>
          <w:p w14:paraId="56C1AC65" w14:textId="228E5158" w:rsidR="001778AA" w:rsidRPr="001455DC" w:rsidRDefault="001778AA" w:rsidP="00036609">
            <w:pPr>
              <w:pStyle w:val="Tablebody"/>
              <w:keepNext/>
              <w:spacing w:after="160"/>
            </w:pPr>
            <w:r w:rsidRPr="001455DC">
              <w:rPr>
                <w:rStyle w:val="CCMCvariableitalic"/>
              </w:rPr>
              <w:t>b</w:t>
            </w:r>
            <w:r w:rsidRPr="001455DC">
              <w:rPr>
                <w:rStyle w:val="CCMCvariablesubscript"/>
              </w:rPr>
              <w:t>w</w:t>
            </w:r>
          </w:p>
        </w:tc>
        <w:tc>
          <w:tcPr>
            <w:tcW w:w="8845" w:type="dxa"/>
          </w:tcPr>
          <w:p w14:paraId="5EFF8B43" w14:textId="0DC83DBE" w:rsidR="001778AA" w:rsidRPr="001455DC" w:rsidRDefault="001778AA" w:rsidP="00036609">
            <w:pPr>
              <w:pStyle w:val="Tablebody"/>
              <w:spacing w:after="160"/>
            </w:pPr>
            <w:r w:rsidRPr="001455DC">
              <w:rPr>
                <w:lang w:eastAsia="de-CH"/>
              </w:rPr>
              <w:t xml:space="preserve">is the width of the cross section of linear members. The width </w:t>
            </w:r>
            <w:r w:rsidRPr="001455DC">
              <w:rPr>
                <w:rStyle w:val="CCMCvariableitalic"/>
              </w:rPr>
              <w:t>b</w:t>
            </w:r>
            <w:r w:rsidRPr="001455DC">
              <w:rPr>
                <w:rStyle w:val="CCMCvariablesubscript"/>
              </w:rPr>
              <w:t>w</w:t>
            </w:r>
            <w:r w:rsidRPr="001455DC">
              <w:rPr>
                <w:lang w:eastAsia="de-CH"/>
              </w:rPr>
              <w:t xml:space="preserve"> for cross sections with variable width and for circular cross sections is defined in 8.2.3(9);</w:t>
            </w:r>
          </w:p>
        </w:tc>
      </w:tr>
      <w:tr w:rsidR="001778AA" w:rsidRPr="001455DC" w14:paraId="3004366A" w14:textId="77777777" w:rsidTr="001778AA">
        <w:trPr>
          <w:cantSplit/>
        </w:trPr>
        <w:tc>
          <w:tcPr>
            <w:tcW w:w="567" w:type="dxa"/>
          </w:tcPr>
          <w:p w14:paraId="2F1CCA12" w14:textId="4AD50121" w:rsidR="001778AA" w:rsidRPr="009D3012" w:rsidRDefault="001778AA" w:rsidP="00036609">
            <w:pPr>
              <w:pStyle w:val="Tablebody"/>
              <w:spacing w:after="160"/>
              <w:rPr>
                <w:rStyle w:val="CCMCvariableitalic"/>
              </w:rPr>
            </w:pPr>
            <w:r w:rsidRPr="001455DC">
              <w:rPr>
                <w:rStyle w:val="CCMCvariableitalic"/>
              </w:rPr>
              <w:t>z</w:t>
            </w:r>
          </w:p>
        </w:tc>
        <w:tc>
          <w:tcPr>
            <w:tcW w:w="8845" w:type="dxa"/>
          </w:tcPr>
          <w:p w14:paraId="7E80D8A5" w14:textId="67A7535D" w:rsidR="001778AA" w:rsidRPr="001455DC" w:rsidRDefault="001778AA" w:rsidP="00036609">
            <w:pPr>
              <w:pStyle w:val="Tablebody"/>
              <w:spacing w:after="160"/>
            </w:pPr>
            <w:r w:rsidRPr="001455DC">
              <w:rPr>
                <w:lang w:eastAsia="de-CH"/>
              </w:rPr>
              <w:t xml:space="preserve">is the lever arm for the shear stress calculation defined as </w:t>
            </w:r>
            <w:r w:rsidRPr="001455DC">
              <w:rPr>
                <w:rStyle w:val="CCMCvariableitalic"/>
              </w:rPr>
              <w:t>z</w:t>
            </w:r>
            <w:r w:rsidRPr="001455DC">
              <w:t> </w:t>
            </w:r>
            <w:r w:rsidR="00EC27D2" w:rsidRPr="001455DC">
              <w:rPr>
                <w:rFonts w:ascii="Cambria Math" w:hAnsi="Cambria Math"/>
              </w:rPr>
              <w:t>=</w:t>
            </w:r>
            <w:r w:rsidRPr="001455DC">
              <w:t> </w:t>
            </w:r>
            <w:r w:rsidRPr="001455DC">
              <w:rPr>
                <w:lang w:eastAsia="de-CH"/>
              </w:rPr>
              <w:t>0,9</w:t>
            </w:r>
            <w:r w:rsidRPr="001455DC">
              <w:rPr>
                <w:rStyle w:val="CCMCvariableitalic"/>
              </w:rPr>
              <w:t>d</w:t>
            </w:r>
            <w:r w:rsidRPr="001455DC">
              <w:rPr>
                <w:lang w:eastAsia="de-CH"/>
              </w:rPr>
              <w:t xml:space="preserve">; where </w:t>
            </w:r>
            <w:r w:rsidRPr="001455DC">
              <w:rPr>
                <w:rStyle w:val="CCMCvariableitalic"/>
              </w:rPr>
              <w:t>d</w:t>
            </w:r>
            <w:r w:rsidRPr="001455DC">
              <w:rPr>
                <w:lang w:eastAsia="de-CH"/>
              </w:rPr>
              <w:t xml:space="preserve"> refers to the centroid of tensile reinforcement.</w:t>
            </w:r>
          </w:p>
        </w:tc>
      </w:tr>
    </w:tbl>
    <w:p w14:paraId="11ACAAA8" w14:textId="1F6B77C8" w:rsidR="004E22C1" w:rsidRPr="001455DC" w:rsidRDefault="004E22C1" w:rsidP="004F5434">
      <w:pPr>
        <w:pStyle w:val="Note"/>
      </w:pPr>
      <w:r w:rsidRPr="001455DC">
        <w:t>NOTE</w:t>
      </w:r>
      <w:r w:rsidRPr="001455DC">
        <w:tab/>
        <w:t xml:space="preserve">For </w:t>
      </w:r>
      <w:r w:rsidRPr="001455DC">
        <w:rPr>
          <w:rStyle w:val="CCMCvariableitalic"/>
        </w:rPr>
        <w:t>d</w:t>
      </w:r>
      <w:r w:rsidRPr="001455DC">
        <w:t xml:space="preserve"> the nominal effective depth </w:t>
      </w:r>
      <w:r w:rsidRPr="001455DC">
        <w:rPr>
          <w:rStyle w:val="CCMCvariableitalic"/>
        </w:rPr>
        <w:t>d</w:t>
      </w:r>
      <w:r w:rsidRPr="001455DC">
        <w:rPr>
          <w:rStyle w:val="CCMCvariablesubscript"/>
        </w:rPr>
        <w:t>nom</w:t>
      </w:r>
      <w:r w:rsidRPr="001455DC">
        <w:t xml:space="preserve"> or the design value </w:t>
      </w:r>
      <w:r w:rsidRPr="001455DC">
        <w:rPr>
          <w:rStyle w:val="CCMCvariableitalic"/>
        </w:rPr>
        <w:t>d</w:t>
      </w:r>
      <w:r w:rsidRPr="001455DC">
        <w:rPr>
          <w:rStyle w:val="CCMCvariablesubscript"/>
        </w:rPr>
        <w:t>d</w:t>
      </w:r>
      <w:r w:rsidRPr="001455DC">
        <w:t xml:space="preserve"> can be used (see A(</w:t>
      </w:r>
      <w:r w:rsidR="009B729F" w:rsidRPr="001455DC">
        <w:t>6</w:t>
      </w:r>
      <w:r w:rsidRPr="001455DC">
        <w:t xml:space="preserve">)). A National Annex can give advice for using </w:t>
      </w:r>
      <w:r w:rsidRPr="001455DC">
        <w:rPr>
          <w:rStyle w:val="CCMCvariableitalic"/>
        </w:rPr>
        <w:t>d</w:t>
      </w:r>
      <w:r w:rsidRPr="001455DC">
        <w:rPr>
          <w:rStyle w:val="CCMCvariablesubscript"/>
        </w:rPr>
        <w:t>d</w:t>
      </w:r>
      <w:r w:rsidRPr="001455DC">
        <w:t>.</w:t>
      </w:r>
    </w:p>
    <w:p w14:paraId="20048CE6" w14:textId="77777777" w:rsidR="004F5434" w:rsidRPr="001455DC" w:rsidRDefault="004E22C1" w:rsidP="00036609">
      <w:pPr>
        <w:pStyle w:val="a7"/>
        <w:keepNext/>
        <w:keepLines/>
      </w:pPr>
      <w:r w:rsidRPr="001455DC">
        <w:rPr>
          <w:szCs w:val="22"/>
        </w:rPr>
        <w:t>(4)</w:t>
      </w:r>
      <w:r w:rsidRPr="001455DC">
        <w:rPr>
          <w:szCs w:val="22"/>
        </w:rPr>
        <w:tab/>
      </w:r>
      <w:r w:rsidRPr="001455DC">
        <w:t>The minimum shear stress resistance may be calculated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F5434" w:rsidRPr="001455DC" w14:paraId="4357640C" w14:textId="77777777" w:rsidTr="004F5434">
        <w:trPr>
          <w:cantSplit/>
        </w:trPr>
        <w:tc>
          <w:tcPr>
            <w:tcW w:w="8505" w:type="dxa"/>
            <w:vAlign w:val="center"/>
          </w:tcPr>
          <w:p w14:paraId="699E071A" w14:textId="2318EFBB" w:rsidR="004F5434" w:rsidRPr="001455DC" w:rsidRDefault="00231E33" w:rsidP="00036609">
            <w:pPr>
              <w:pStyle w:val="Formula"/>
              <w:keepNext/>
              <w:keepLines/>
            </w:pPr>
            <m:oMathPara>
              <m:oMathParaPr>
                <m:jc m:val="left"/>
              </m:oMathParaPr>
              <m:oMath>
                <m:sSub>
                  <m:sSubPr>
                    <m:ctrlPr>
                      <w:rPr>
                        <w:rFonts w:ascii="Cambria Math" w:hAnsi="Cambria Math"/>
                      </w:rPr>
                    </m:ctrlPr>
                  </m:sSubPr>
                  <m:e>
                    <m:r>
                      <w:rPr>
                        <w:rFonts w:ascii="Cambria Math" w:hAnsi="Cambria Math"/>
                      </w:rPr>
                      <m:t>τ</m:t>
                    </m:r>
                  </m:e>
                  <m:sub>
                    <m:r>
                      <m:rPr>
                        <m:sty m:val="p"/>
                      </m:rPr>
                      <w:rPr>
                        <w:rFonts w:ascii="Cambria Math" w:hAnsi="Cambria Math"/>
                      </w:rPr>
                      <m:t>Rdc,min</m:t>
                    </m:r>
                  </m:sub>
                </m:sSub>
                <m:r>
                  <w:rPr>
                    <w:rFonts w:ascii="Cambria Math" w:hAnsi="Cambria Math"/>
                  </w:rPr>
                  <m:t>=</m:t>
                </m:r>
                <m:f>
                  <m:fPr>
                    <m:ctrlPr>
                      <w:rPr>
                        <w:rFonts w:ascii="Cambria Math" w:hAnsi="Cambria Math"/>
                      </w:rPr>
                    </m:ctrlPr>
                  </m:fPr>
                  <m:num>
                    <m:r>
                      <w:rPr>
                        <w:rFonts w:ascii="Cambria Math" w:hAnsi="Cambria Math"/>
                      </w:rPr>
                      <m:t>11</m:t>
                    </m:r>
                  </m:num>
                  <m:den>
                    <m:sSub>
                      <m:sSubPr>
                        <m:ctrlPr>
                          <w:rPr>
                            <w:rFonts w:ascii="Cambria Math" w:hAnsi="Cambria Math"/>
                          </w:rPr>
                        </m:ctrlPr>
                      </m:sSubPr>
                      <m:e>
                        <m:r>
                          <w:rPr>
                            <w:rFonts w:ascii="Cambria Math" w:hAnsi="Cambria Math"/>
                          </w:rPr>
                          <m:t>γ</m:t>
                        </m:r>
                      </m:e>
                      <m:sub>
                        <m:r>
                          <m:rPr>
                            <m:sty m:val="p"/>
                          </m:rPr>
                          <w:rPr>
                            <w:rFonts w:ascii="Cambria Math" w:hAnsi="Cambria Math"/>
                          </w:rPr>
                          <m:t>V</m:t>
                        </m:r>
                      </m:sub>
                    </m:sSub>
                  </m:den>
                </m:f>
                <m:r>
                  <w:rPr>
                    <w:rFonts w:ascii="Cambria Math" w:hAnsi="Cambria Math"/>
                  </w:rPr>
                  <m:t>⋅</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ck</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yd</m:t>
                            </m:r>
                          </m:sub>
                        </m:sSub>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dg</m:t>
                            </m:r>
                          </m:sub>
                        </m:sSub>
                      </m:num>
                      <m:den>
                        <m:r>
                          <w:rPr>
                            <w:rFonts w:ascii="Cambria Math" w:hAnsi="Cambria Math"/>
                          </w:rPr>
                          <m:t>d</m:t>
                        </m:r>
                      </m:den>
                    </m:f>
                  </m:e>
                </m:rad>
              </m:oMath>
            </m:oMathPara>
          </w:p>
        </w:tc>
        <w:tc>
          <w:tcPr>
            <w:tcW w:w="1247" w:type="dxa"/>
            <w:vAlign w:val="center"/>
          </w:tcPr>
          <w:p w14:paraId="6E836F72" w14:textId="07BBAEA9" w:rsidR="004F5434" w:rsidRPr="001455DC" w:rsidRDefault="004F5434" w:rsidP="00036609">
            <w:pPr>
              <w:pStyle w:val="a7"/>
              <w:keepNext/>
              <w:keepLines/>
              <w:jc w:val="right"/>
            </w:pPr>
            <w:r w:rsidRPr="001455DC">
              <w:rPr>
                <w:lang w:eastAsia="de-CH"/>
              </w:rPr>
              <w:t>(8.</w:t>
            </w:r>
            <w:r w:rsidR="009B729F" w:rsidRPr="001455DC">
              <w:rPr>
                <w:lang w:eastAsia="de-CH"/>
              </w:rPr>
              <w:t>11</w:t>
            </w:r>
            <w:r w:rsidRPr="001455DC">
              <w:rPr>
                <w:lang w:eastAsia="de-CH"/>
              </w:rPr>
              <w:t>)</w:t>
            </w:r>
          </w:p>
        </w:tc>
      </w:tr>
    </w:tbl>
    <w:p w14:paraId="4E7E10E0" w14:textId="3395B5EC" w:rsidR="001778AA" w:rsidRPr="001455DC" w:rsidRDefault="001778AA"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9B729F" w:rsidRPr="001455DC" w14:paraId="6365CFAB" w14:textId="77777777" w:rsidTr="001778AA">
        <w:trPr>
          <w:cantSplit/>
        </w:trPr>
        <w:tc>
          <w:tcPr>
            <w:tcW w:w="567" w:type="dxa"/>
          </w:tcPr>
          <w:p w14:paraId="6F588787" w14:textId="3E809E53" w:rsidR="009B729F" w:rsidRPr="009D3012" w:rsidRDefault="009B729F">
            <w:pPr>
              <w:pStyle w:val="Tablebody"/>
              <w:rPr>
                <w:rStyle w:val="CCMCvariableitalic"/>
              </w:rPr>
            </w:pPr>
            <w:r w:rsidRPr="009D3012">
              <w:rPr>
                <w:rFonts w:cs="Arial"/>
                <w:i/>
                <w:lang w:eastAsia="de-CH"/>
              </w:rPr>
              <w:sym w:font="Symbol" w:char="F067"/>
            </w:r>
            <w:r w:rsidRPr="009D3012">
              <w:rPr>
                <w:rFonts w:cs="Arial"/>
                <w:vertAlign w:val="subscript"/>
                <w:lang w:eastAsia="de-CH"/>
              </w:rPr>
              <w:t>V</w:t>
            </w:r>
          </w:p>
        </w:tc>
        <w:tc>
          <w:tcPr>
            <w:tcW w:w="8845" w:type="dxa"/>
          </w:tcPr>
          <w:p w14:paraId="32543443" w14:textId="3638A458" w:rsidR="009B729F" w:rsidRPr="001455DC" w:rsidRDefault="009B729F" w:rsidP="001778AA">
            <w:pPr>
              <w:pStyle w:val="Tablebody"/>
              <w:rPr>
                <w:lang w:eastAsia="de-CH"/>
              </w:rPr>
            </w:pPr>
            <w:r w:rsidRPr="009D3012">
              <w:rPr>
                <w:rFonts w:cs="Arial"/>
                <w:lang w:eastAsia="de-CH"/>
              </w:rPr>
              <w:t>is the partial factor for shear design according to Table 4.3(NDP) or Table A.1(NDP),</w:t>
            </w:r>
          </w:p>
        </w:tc>
      </w:tr>
      <w:tr w:rsidR="001778AA" w:rsidRPr="001455DC" w14:paraId="3442869C" w14:textId="77777777" w:rsidTr="001778AA">
        <w:trPr>
          <w:cantSplit/>
        </w:trPr>
        <w:tc>
          <w:tcPr>
            <w:tcW w:w="567" w:type="dxa"/>
          </w:tcPr>
          <w:p w14:paraId="555A446E" w14:textId="1506DE0A" w:rsidR="001778AA" w:rsidRPr="001455DC" w:rsidRDefault="001778AA" w:rsidP="001778AA">
            <w:pPr>
              <w:pStyle w:val="Tablebody"/>
            </w:pPr>
            <w:r w:rsidRPr="001455DC">
              <w:rPr>
                <w:rStyle w:val="CCMCvariableitalic"/>
              </w:rPr>
              <w:t>f</w:t>
            </w:r>
            <w:r w:rsidRPr="001455DC">
              <w:rPr>
                <w:rStyle w:val="CCMCvariablesubscript"/>
              </w:rPr>
              <w:t>yd</w:t>
            </w:r>
          </w:p>
        </w:tc>
        <w:tc>
          <w:tcPr>
            <w:tcW w:w="8845" w:type="dxa"/>
          </w:tcPr>
          <w:p w14:paraId="03000EC0" w14:textId="46284A95" w:rsidR="001778AA" w:rsidRPr="001455DC" w:rsidRDefault="001778AA" w:rsidP="001778AA">
            <w:pPr>
              <w:pStyle w:val="Tablebody"/>
            </w:pPr>
            <w:r w:rsidRPr="001455DC">
              <w:rPr>
                <w:lang w:eastAsia="de-CH"/>
              </w:rPr>
              <w:t xml:space="preserve">is the </w:t>
            </w:r>
            <w:r w:rsidR="009B729F" w:rsidRPr="001455DC">
              <w:rPr>
                <w:lang w:eastAsia="de-CH"/>
              </w:rPr>
              <w:t>design</w:t>
            </w:r>
            <w:r w:rsidRPr="001455DC">
              <w:rPr>
                <w:lang w:eastAsia="de-CH"/>
              </w:rPr>
              <w:t xml:space="preserve"> value of the yield strength which has been used to design the flexural reinforcement,</w:t>
            </w:r>
          </w:p>
        </w:tc>
      </w:tr>
      <w:tr w:rsidR="001778AA" w:rsidRPr="001455DC" w14:paraId="2857C8CA" w14:textId="77777777" w:rsidTr="001778AA">
        <w:trPr>
          <w:cantSplit/>
        </w:trPr>
        <w:tc>
          <w:tcPr>
            <w:tcW w:w="567" w:type="dxa"/>
          </w:tcPr>
          <w:p w14:paraId="7732E49D" w14:textId="1E4F12CF" w:rsidR="001778AA" w:rsidRPr="001455DC" w:rsidRDefault="001778AA" w:rsidP="001778AA">
            <w:pPr>
              <w:pStyle w:val="Tablebody"/>
            </w:pPr>
            <w:r w:rsidRPr="001455DC">
              <w:rPr>
                <w:rStyle w:val="CCMCvariableitalic"/>
              </w:rPr>
              <w:t>d</w:t>
            </w:r>
          </w:p>
        </w:tc>
        <w:tc>
          <w:tcPr>
            <w:tcW w:w="8845" w:type="dxa"/>
          </w:tcPr>
          <w:p w14:paraId="767958FD" w14:textId="15A479AD" w:rsidR="001778AA" w:rsidRPr="001455DC" w:rsidRDefault="001778AA">
            <w:pPr>
              <w:pStyle w:val="Tablebody"/>
            </w:pPr>
            <w:r w:rsidRPr="001455DC">
              <w:rPr>
                <w:lang w:eastAsia="de-CH"/>
              </w:rPr>
              <w:t xml:space="preserve">is the effective depth of the flexural reinforcement </w:t>
            </w:r>
            <w:r w:rsidR="003509FA" w:rsidRPr="001455DC">
              <w:rPr>
                <w:lang w:eastAsia="de-CH"/>
              </w:rPr>
              <w:t xml:space="preserve">(mm) </w:t>
            </w:r>
            <w:r w:rsidRPr="001455DC">
              <w:rPr>
                <w:lang w:eastAsia="de-CH"/>
              </w:rPr>
              <w:t>for prestressed members see 8.2.2(</w:t>
            </w:r>
            <w:r w:rsidR="003509FA" w:rsidRPr="001455DC">
              <w:rPr>
                <w:lang w:eastAsia="de-CH"/>
              </w:rPr>
              <w:t>6</w:t>
            </w:r>
            <w:r w:rsidRPr="001455DC">
              <w:rPr>
                <w:lang w:eastAsia="de-CH"/>
              </w:rPr>
              <w:t>),</w:t>
            </w:r>
          </w:p>
        </w:tc>
      </w:tr>
    </w:tbl>
    <w:p w14:paraId="134A24AE" w14:textId="1D2D144E" w:rsidR="003509FA" w:rsidRPr="009D3012" w:rsidRDefault="00036609" w:rsidP="009D3012">
      <w:pPr>
        <w:pStyle w:val="Note"/>
      </w:pPr>
      <w:r>
        <w:t>NOTE 1</w:t>
      </w:r>
      <w:r w:rsidR="003509FA" w:rsidRPr="009D3012">
        <w:t xml:space="preserve"> For </w:t>
      </w:r>
      <w:r w:rsidR="003509FA" w:rsidRPr="009D3012">
        <w:rPr>
          <w:i/>
        </w:rPr>
        <w:t>d</w:t>
      </w:r>
      <w:r w:rsidR="003509FA" w:rsidRPr="009D3012">
        <w:t xml:space="preserve"> the nominal effective depth </w:t>
      </w:r>
      <w:r w:rsidR="003509FA" w:rsidRPr="009D3012">
        <w:rPr>
          <w:i/>
        </w:rPr>
        <w:t>d</w:t>
      </w:r>
      <w:r w:rsidR="003509FA" w:rsidRPr="009D3012">
        <w:rPr>
          <w:vertAlign w:val="subscript"/>
        </w:rPr>
        <w:t>nom</w:t>
      </w:r>
      <w:r w:rsidR="003509FA" w:rsidRPr="009D3012">
        <w:t xml:space="preserve"> or the design value </w:t>
      </w:r>
      <w:r w:rsidR="003509FA" w:rsidRPr="009D3012">
        <w:rPr>
          <w:i/>
        </w:rPr>
        <w:t>d</w:t>
      </w:r>
      <w:r w:rsidR="003509FA" w:rsidRPr="009D3012">
        <w:rPr>
          <w:vertAlign w:val="subscript"/>
        </w:rPr>
        <w:t>d</w:t>
      </w:r>
      <w:r w:rsidR="003509FA" w:rsidRPr="009D3012">
        <w:t xml:space="preserve"> can be used (see A(6)). A National Annex can give advice for using </w:t>
      </w:r>
      <w:r w:rsidR="003509FA" w:rsidRPr="009D3012">
        <w:rPr>
          <w:i/>
        </w:rPr>
        <w:t>d</w:t>
      </w:r>
      <w:r w:rsidR="003509FA" w:rsidRPr="009D3012">
        <w:rPr>
          <w:vertAlign w:val="subscript"/>
        </w:rPr>
        <w:t>d</w:t>
      </w:r>
      <w:r w:rsidR="003509FA" w:rsidRPr="009D3012">
        <w:t>.</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1778AA" w:rsidRPr="001455DC" w14:paraId="15F6D386" w14:textId="77777777" w:rsidTr="001778AA">
        <w:trPr>
          <w:cantSplit/>
        </w:trPr>
        <w:tc>
          <w:tcPr>
            <w:tcW w:w="567" w:type="dxa"/>
          </w:tcPr>
          <w:p w14:paraId="4ABEAFFE" w14:textId="5DEE1FE3" w:rsidR="001778AA" w:rsidRPr="001455DC" w:rsidRDefault="001778AA" w:rsidP="001778AA">
            <w:pPr>
              <w:pStyle w:val="Tablebody"/>
            </w:pPr>
            <w:r w:rsidRPr="001455DC">
              <w:rPr>
                <w:rStyle w:val="CCMCvariableitalic"/>
              </w:rPr>
              <w:t>d</w:t>
            </w:r>
            <w:r w:rsidRPr="001455DC">
              <w:rPr>
                <w:rStyle w:val="CCMCvariablesubscript"/>
              </w:rPr>
              <w:t>dg</w:t>
            </w:r>
          </w:p>
        </w:tc>
        <w:tc>
          <w:tcPr>
            <w:tcW w:w="8845" w:type="dxa"/>
          </w:tcPr>
          <w:p w14:paraId="10728F79" w14:textId="23D81324" w:rsidR="001778AA" w:rsidRPr="001455DC" w:rsidRDefault="001778AA" w:rsidP="001778AA">
            <w:pPr>
              <w:pStyle w:val="Tablebody"/>
            </w:pPr>
            <w:r w:rsidRPr="001455DC">
              <w:rPr>
                <w:lang w:eastAsia="de-CH"/>
              </w:rPr>
              <w:t>is a size parameter describing the failure zone roughness,</w:t>
            </w:r>
            <w:r w:rsidRPr="001455DC">
              <w:rPr>
                <w:szCs w:val="22"/>
                <w:lang w:eastAsia="de-CH"/>
              </w:rPr>
              <w:t xml:space="preserve"> </w:t>
            </w:r>
            <w:r w:rsidRPr="001455DC">
              <w:rPr>
                <w:lang w:eastAsia="de-CH"/>
              </w:rPr>
              <w:t xml:space="preserve">which depends on the concrete type and its aggregate properties. </w:t>
            </w:r>
            <w:r w:rsidRPr="001455DC">
              <w:rPr>
                <w:rStyle w:val="CCMCvariableitalic"/>
              </w:rPr>
              <w:t>d</w:t>
            </w:r>
            <w:r w:rsidRPr="001455DC">
              <w:rPr>
                <w:rStyle w:val="CCMCvariablesubscript"/>
              </w:rPr>
              <w:t>dg</w:t>
            </w:r>
            <w:r w:rsidRPr="001455DC">
              <w:rPr>
                <w:lang w:eastAsia="de-CH"/>
              </w:rPr>
              <w:t xml:space="preserve"> </w:t>
            </w:r>
            <w:r w:rsidR="003509FA" w:rsidRPr="001455DC">
              <w:rPr>
                <w:lang w:eastAsia="de-CH"/>
              </w:rPr>
              <w:t xml:space="preserve">(mm) </w:t>
            </w:r>
            <w:r w:rsidRPr="001455DC">
              <w:rPr>
                <w:lang w:eastAsia="de-CH"/>
              </w:rPr>
              <w:t>may be taken as:</w:t>
            </w:r>
          </w:p>
        </w:tc>
      </w:tr>
      <w:tr w:rsidR="001778AA" w:rsidRPr="001455DC" w14:paraId="60313BC7" w14:textId="77777777" w:rsidTr="001778AA">
        <w:trPr>
          <w:cantSplit/>
        </w:trPr>
        <w:tc>
          <w:tcPr>
            <w:tcW w:w="567" w:type="dxa"/>
          </w:tcPr>
          <w:p w14:paraId="391D88DB" w14:textId="358E8A27" w:rsidR="001778AA" w:rsidRPr="001455DC" w:rsidRDefault="001778AA" w:rsidP="001778AA">
            <w:pPr>
              <w:pStyle w:val="Tablebody"/>
            </w:pPr>
            <w:r w:rsidRPr="001455DC">
              <w:t> </w:t>
            </w:r>
          </w:p>
        </w:tc>
        <w:tc>
          <w:tcPr>
            <w:tcW w:w="8845" w:type="dxa"/>
          </w:tcPr>
          <w:p w14:paraId="3D1816D8" w14:textId="05D54ADB" w:rsidR="001778AA" w:rsidRPr="001455DC" w:rsidRDefault="00EC27D2" w:rsidP="001778AA">
            <w:pPr>
              <w:pStyle w:val="Tablebody"/>
              <w:ind w:left="357" w:hanging="357"/>
            </w:pPr>
            <w:r w:rsidRPr="001455DC">
              <w:rPr>
                <w:lang w:eastAsia="de-CH"/>
              </w:rPr>
              <w:t>—</w:t>
            </w:r>
            <w:r w:rsidR="001778AA" w:rsidRPr="001455DC">
              <w:rPr>
                <w:lang w:eastAsia="de-CH"/>
              </w:rPr>
              <w:tab/>
              <w:t>16 mm</w:t>
            </w:r>
            <w:r w:rsidRPr="001455DC">
              <w:rPr>
                <w:rFonts w:ascii="Cambria Math" w:hAnsi="Cambria Math"/>
                <w:lang w:eastAsia="de-CH"/>
              </w:rPr>
              <w:t> + </w:t>
            </w:r>
            <w:r w:rsidR="001778AA" w:rsidRPr="001455DC">
              <w:rPr>
                <w:rStyle w:val="CCMCvariableitalic"/>
              </w:rPr>
              <w:t>D</w:t>
            </w:r>
            <w:r w:rsidR="001778AA" w:rsidRPr="001455DC">
              <w:rPr>
                <w:rStyle w:val="CCMCvariablesubscript"/>
              </w:rPr>
              <w:t>lower</w:t>
            </w:r>
            <w:r w:rsidR="001778AA" w:rsidRPr="001455DC">
              <w:rPr>
                <w:lang w:eastAsia="de-CH"/>
              </w:rPr>
              <w:t> </w:t>
            </w:r>
            <w:r w:rsidR="00650035" w:rsidRPr="001455DC">
              <w:rPr>
                <w:rFonts w:ascii="Cambria Math" w:hAnsi="Cambria Math"/>
                <w:lang w:eastAsia="de-CH"/>
              </w:rPr>
              <w:t>≤</w:t>
            </w:r>
            <w:r w:rsidR="001778AA" w:rsidRPr="001455DC">
              <w:rPr>
                <w:lang w:eastAsia="de-CH"/>
              </w:rPr>
              <w:t xml:space="preserve"> 40 mm for concrete with </w:t>
            </w:r>
            <w:r w:rsidR="001778AA" w:rsidRPr="001455DC">
              <w:rPr>
                <w:rStyle w:val="CCMCvariableitalic"/>
              </w:rPr>
              <w:t>f</w:t>
            </w:r>
            <w:r w:rsidR="001778AA" w:rsidRPr="001455DC">
              <w:rPr>
                <w:rStyle w:val="CCMCvariablesubscript"/>
              </w:rPr>
              <w:t>ck</w:t>
            </w:r>
            <w:r w:rsidR="001778AA" w:rsidRPr="001455DC">
              <w:rPr>
                <w:lang w:eastAsia="de-CH"/>
              </w:rPr>
              <w:t> </w:t>
            </w:r>
            <w:r w:rsidR="00650035" w:rsidRPr="001455DC">
              <w:rPr>
                <w:rFonts w:ascii="Cambria Math" w:hAnsi="Cambria Math"/>
                <w:lang w:eastAsia="de-CH"/>
              </w:rPr>
              <w:t>≤</w:t>
            </w:r>
            <w:r w:rsidR="001778AA" w:rsidRPr="001455DC">
              <w:rPr>
                <w:lang w:eastAsia="de-CH"/>
              </w:rPr>
              <w:t> 60 MPa,</w:t>
            </w:r>
          </w:p>
        </w:tc>
      </w:tr>
      <w:tr w:rsidR="001778AA" w:rsidRPr="001455DC" w14:paraId="6B562657" w14:textId="77777777" w:rsidTr="001778AA">
        <w:trPr>
          <w:cantSplit/>
        </w:trPr>
        <w:tc>
          <w:tcPr>
            <w:tcW w:w="567" w:type="dxa"/>
          </w:tcPr>
          <w:p w14:paraId="2DA4A826" w14:textId="3856C22D" w:rsidR="001778AA" w:rsidRPr="001455DC" w:rsidRDefault="001778AA" w:rsidP="001778AA">
            <w:pPr>
              <w:pStyle w:val="Tablebody"/>
            </w:pPr>
            <w:r w:rsidRPr="001455DC">
              <w:t> </w:t>
            </w:r>
          </w:p>
        </w:tc>
        <w:tc>
          <w:tcPr>
            <w:tcW w:w="8845" w:type="dxa"/>
          </w:tcPr>
          <w:p w14:paraId="20D375AD" w14:textId="1ED96E3B" w:rsidR="001778AA" w:rsidRPr="001455DC" w:rsidRDefault="00EC27D2" w:rsidP="001778AA">
            <w:pPr>
              <w:pStyle w:val="Tablebody"/>
              <w:ind w:left="357" w:hanging="357"/>
            </w:pPr>
            <w:r w:rsidRPr="001455DC">
              <w:rPr>
                <w:lang w:eastAsia="de-CH"/>
              </w:rPr>
              <w:t>—</w:t>
            </w:r>
            <w:r w:rsidR="001778AA" w:rsidRPr="001455DC">
              <w:rPr>
                <w:lang w:eastAsia="de-CH"/>
              </w:rPr>
              <w:tab/>
              <w:t>16 mm</w:t>
            </w:r>
            <w:r w:rsidRPr="001455DC">
              <w:rPr>
                <w:rFonts w:ascii="Cambria Math" w:hAnsi="Cambria Math"/>
                <w:lang w:eastAsia="de-CH"/>
              </w:rPr>
              <w:t> + </w:t>
            </w:r>
            <w:r w:rsidR="001778AA" w:rsidRPr="001455DC">
              <w:rPr>
                <w:rStyle w:val="CCMCvariableitalic"/>
              </w:rPr>
              <w:t>D</w:t>
            </w:r>
            <w:r w:rsidR="001778AA" w:rsidRPr="001455DC">
              <w:rPr>
                <w:rStyle w:val="CCMCvariablesubscript"/>
              </w:rPr>
              <w:t>lower</w:t>
            </w:r>
            <w:r w:rsidR="001778AA" w:rsidRPr="001455DC">
              <w:rPr>
                <w:lang w:eastAsia="de-CH"/>
              </w:rPr>
              <w:t xml:space="preserve"> (60/</w:t>
            </w:r>
            <w:r w:rsidR="001778AA" w:rsidRPr="001455DC">
              <w:rPr>
                <w:rStyle w:val="CCMCvariableitalic"/>
              </w:rPr>
              <w:t>f</w:t>
            </w:r>
            <w:r w:rsidR="001778AA" w:rsidRPr="001455DC">
              <w:rPr>
                <w:rStyle w:val="CCMCvariablesubscript"/>
              </w:rPr>
              <w:t>ck</w:t>
            </w:r>
            <w:r w:rsidR="001778AA" w:rsidRPr="001455DC">
              <w:rPr>
                <w:lang w:eastAsia="de-CH"/>
              </w:rPr>
              <w:t>)</w:t>
            </w:r>
            <w:r w:rsidR="001778AA" w:rsidRPr="001455DC">
              <w:rPr>
                <w:rStyle w:val="CCMCvariablesuperscript"/>
              </w:rPr>
              <w:t>4</w:t>
            </w:r>
            <w:r w:rsidR="001778AA" w:rsidRPr="001455DC">
              <w:rPr>
                <w:lang w:eastAsia="de-CH"/>
              </w:rPr>
              <w:t> </w:t>
            </w:r>
            <w:r w:rsidR="00650035" w:rsidRPr="001455DC">
              <w:rPr>
                <w:rFonts w:ascii="Cambria Math" w:hAnsi="Cambria Math"/>
                <w:lang w:eastAsia="de-CH"/>
              </w:rPr>
              <w:t>≤</w:t>
            </w:r>
            <w:r w:rsidR="001778AA" w:rsidRPr="001455DC">
              <w:rPr>
                <w:lang w:eastAsia="de-CH"/>
              </w:rPr>
              <w:t xml:space="preserve"> 40 mm for concrete with </w:t>
            </w:r>
            <w:r w:rsidR="001778AA" w:rsidRPr="001455DC">
              <w:rPr>
                <w:rStyle w:val="CCMCvariableitalic"/>
              </w:rPr>
              <w:t>f</w:t>
            </w:r>
            <w:r w:rsidR="001778AA" w:rsidRPr="001455DC">
              <w:rPr>
                <w:rStyle w:val="CCMCvariablesubscript"/>
              </w:rPr>
              <w:t>ck</w:t>
            </w:r>
            <w:r w:rsidR="001778AA" w:rsidRPr="001455DC">
              <w:rPr>
                <w:lang w:eastAsia="de-CH"/>
              </w:rPr>
              <w:t> </w:t>
            </w:r>
            <w:r w:rsidR="00650035" w:rsidRPr="001455DC">
              <w:rPr>
                <w:rFonts w:ascii="Cambria Math" w:hAnsi="Cambria Math"/>
                <w:lang w:eastAsia="de-CH"/>
              </w:rPr>
              <w:t>&gt;</w:t>
            </w:r>
            <w:r w:rsidR="001778AA" w:rsidRPr="001455DC">
              <w:rPr>
                <w:lang w:eastAsia="de-CH"/>
              </w:rPr>
              <w:t> 60 MPa.</w:t>
            </w:r>
          </w:p>
        </w:tc>
      </w:tr>
    </w:tbl>
    <w:p w14:paraId="1852B21D" w14:textId="328E7270" w:rsidR="004E22C1" w:rsidRPr="001455DC" w:rsidRDefault="004E22C1" w:rsidP="001778AA">
      <w:pPr>
        <w:pStyle w:val="Note"/>
      </w:pPr>
      <w:r w:rsidRPr="001455DC">
        <w:rPr>
          <w:bCs/>
        </w:rPr>
        <w:t>NOTE</w:t>
      </w:r>
      <w:r w:rsidR="009B729F" w:rsidRPr="001455DC">
        <w:rPr>
          <w:bCs/>
        </w:rPr>
        <w:t xml:space="preserve"> </w:t>
      </w:r>
      <w:r w:rsidR="00036609">
        <w:rPr>
          <w:bCs/>
        </w:rPr>
        <w:t>2</w:t>
      </w:r>
      <w:r w:rsidRPr="001455DC">
        <w:rPr>
          <w:bCs/>
        </w:rPr>
        <w:tab/>
      </w:r>
      <w:r w:rsidRPr="001455DC">
        <w:t xml:space="preserve">The definition of </w:t>
      </w:r>
      <w:r w:rsidRPr="001455DC">
        <w:rPr>
          <w:rStyle w:val="CCMCvariableitalic"/>
        </w:rPr>
        <w:t>D</w:t>
      </w:r>
      <w:r w:rsidRPr="001455DC">
        <w:t xml:space="preserve"> via </w:t>
      </w:r>
      <w:r w:rsidRPr="001455DC">
        <w:rPr>
          <w:rStyle w:val="CCMCvariableitalic"/>
        </w:rPr>
        <w:t>D</w:t>
      </w:r>
      <w:r w:rsidRPr="001455DC">
        <w:rPr>
          <w:rStyle w:val="CCMCvariablesubscript"/>
        </w:rPr>
        <w:t>lower</w:t>
      </w:r>
      <w:r w:rsidRPr="001455DC">
        <w:t xml:space="preserve"> in EN 12620 can lead to a range of aggregate gradings. Similarly EN 206 does not specify a minimum coarse aggregate content. The model is calibrated against tests carried out with typical gradings. The use of non-typical aggregate gradings where the percentage of larger aggregate sizes in relation to </w:t>
      </w:r>
      <w:r w:rsidRPr="001455DC">
        <w:rPr>
          <w:rStyle w:val="CCMCvariableitalic"/>
        </w:rPr>
        <w:t>D</w:t>
      </w:r>
      <w:r w:rsidRPr="001455DC">
        <w:rPr>
          <w:rStyle w:val="CCMCvariablesubscript"/>
        </w:rPr>
        <w:t>lower</w:t>
      </w:r>
      <w:r w:rsidRPr="001455DC">
        <w:t xml:space="preserve"> is small can result in different behaviour. This can be avoided by specifying grading parameters in addition to </w:t>
      </w:r>
      <w:r w:rsidRPr="001455DC">
        <w:rPr>
          <w:rStyle w:val="CCMCvariableitalic"/>
        </w:rPr>
        <w:t>D</w:t>
      </w:r>
      <w:r w:rsidRPr="001455DC">
        <w:rPr>
          <w:rStyle w:val="CCMCvariablesubscript"/>
        </w:rPr>
        <w:t>lower</w:t>
      </w:r>
      <w:r w:rsidRPr="001455DC">
        <w:t>.</w:t>
      </w:r>
    </w:p>
    <w:p w14:paraId="7EB0F7A1" w14:textId="61DCA090" w:rsidR="004E22C1" w:rsidRPr="001455DC" w:rsidRDefault="004E22C1" w:rsidP="001778AA">
      <w:pPr>
        <w:pStyle w:val="a7"/>
      </w:pPr>
      <w:r w:rsidRPr="001455DC">
        <w:t xml:space="preserve">In case of prestressed members without ordinary reinforcement, </w:t>
      </w:r>
      <w:r w:rsidRPr="001455DC">
        <w:rPr>
          <w:rStyle w:val="CCMCvariableitalic"/>
        </w:rPr>
        <w:t>f</w:t>
      </w:r>
      <w:r w:rsidRPr="001455DC">
        <w:rPr>
          <w:rStyle w:val="CCMCvariablesubscript"/>
        </w:rPr>
        <w:t>yd</w:t>
      </w:r>
      <w:r w:rsidRPr="001455DC">
        <w:t xml:space="preserve"> in Formula (8.</w:t>
      </w:r>
      <w:r w:rsidR="003509FA" w:rsidRPr="001455DC">
        <w:t>11</w:t>
      </w:r>
      <w:r w:rsidRPr="001455DC">
        <w:t xml:space="preserve">) may be replaced by </w:t>
      </w:r>
      <w:r w:rsidRPr="001455DC">
        <w:rPr>
          <w:rStyle w:val="CCMCvariableitalic"/>
        </w:rPr>
        <w:t>f</w:t>
      </w:r>
      <w:r w:rsidRPr="001455DC">
        <w:rPr>
          <w:rStyle w:val="CCMCvariablesubscript"/>
        </w:rPr>
        <w:t>pd</w:t>
      </w:r>
      <w:r w:rsidRPr="001455DC">
        <w:t> </w:t>
      </w:r>
      <w:r w:rsidR="00EC27D2" w:rsidRPr="001455DC">
        <w:rPr>
          <w:rFonts w:ascii="Cambria Math" w:hAnsi="Cambria Math"/>
        </w:rPr>
        <w:t>−</w:t>
      </w:r>
      <w:r w:rsidRPr="001455DC">
        <w:t> </w:t>
      </w:r>
      <w:r w:rsidRPr="001455DC">
        <w:rPr>
          <w:rStyle w:val="CCMCvariableitalic"/>
        </w:rPr>
        <w:t>σ</w:t>
      </w:r>
      <w:r w:rsidRPr="001455DC">
        <w:rPr>
          <w:rStyle w:val="CCMCvariablesubscript"/>
          <w:rFonts w:hint="eastAsia"/>
        </w:rPr>
        <w:t>p</w:t>
      </w:r>
      <w:r w:rsidRPr="001455DC">
        <w:rPr>
          <w:rStyle w:val="CCMCvariablesubscript"/>
          <w:rFonts w:hint="eastAsia"/>
        </w:rPr>
        <w:t>∞</w:t>
      </w:r>
      <w:r w:rsidRPr="001455DC">
        <w:t xml:space="preserve"> where </w:t>
      </w:r>
      <w:r w:rsidRPr="001455DC">
        <w:rPr>
          <w:rStyle w:val="CCMCvariableitalic"/>
        </w:rPr>
        <w:t>σ</w:t>
      </w:r>
      <w:r w:rsidRPr="001455DC">
        <w:rPr>
          <w:rStyle w:val="CCMCvariablesubscript"/>
          <w:rFonts w:hint="eastAsia"/>
        </w:rPr>
        <w:t>p</w:t>
      </w:r>
      <w:r w:rsidRPr="001455DC">
        <w:rPr>
          <w:rStyle w:val="CCMCvariablesubscript"/>
          <w:rFonts w:hint="eastAsia"/>
        </w:rPr>
        <w:t>∞</w:t>
      </w:r>
      <w:r w:rsidRPr="001455DC">
        <w:t xml:space="preserve"> refers to the prestress of the tendons after losses.</w:t>
      </w:r>
    </w:p>
    <w:p w14:paraId="1486190B" w14:textId="77777777" w:rsidR="001778AA" w:rsidRPr="001455DC" w:rsidRDefault="004E22C1" w:rsidP="001778AA">
      <w:pPr>
        <w:pStyle w:val="a7"/>
      </w:pPr>
      <w:r w:rsidRPr="001455DC">
        <w:t>(5)</w:t>
      </w:r>
      <w:r w:rsidRPr="001455DC">
        <w:tab/>
        <w:t xml:space="preserve">In planar members (such as solid slabs and shells) with out-of-plane shear forces </w:t>
      </w:r>
      <w:r w:rsidRPr="001455DC">
        <w:rPr>
          <w:rStyle w:val="CCMCvariableitalic"/>
        </w:rPr>
        <w:t>v</w:t>
      </w:r>
      <w:r w:rsidRPr="001455DC">
        <w:rPr>
          <w:rStyle w:val="CCMCvariablesubscript"/>
        </w:rPr>
        <w:t>Ed,x</w:t>
      </w:r>
      <w:r w:rsidRPr="001455DC">
        <w:t xml:space="preserve"> and </w:t>
      </w:r>
      <w:r w:rsidRPr="001455DC">
        <w:rPr>
          <w:rStyle w:val="CCMCvariableitalic"/>
        </w:rPr>
        <w:t>v</w:t>
      </w:r>
      <w:r w:rsidRPr="001455DC">
        <w:rPr>
          <w:rStyle w:val="CCMCvariablesubscript"/>
        </w:rPr>
        <w:t>Ed,y</w:t>
      </w:r>
      <w:r w:rsidRPr="001455DC">
        <w:t xml:space="preserve"> acting on the cross sections perpendicular to the </w:t>
      </w:r>
      <w:r w:rsidRPr="001455DC">
        <w:rPr>
          <w:rStyle w:val="CCMCvariableitalic"/>
        </w:rPr>
        <w:t>x</w:t>
      </w:r>
      <w:r w:rsidRPr="001455DC">
        <w:t xml:space="preserve"> and </w:t>
      </w:r>
      <w:r w:rsidRPr="001455DC">
        <w:rPr>
          <w:rStyle w:val="CCMCvariableitalic"/>
        </w:rPr>
        <w:t>y</w:t>
      </w:r>
      <w:r w:rsidRPr="001455DC">
        <w:t xml:space="preserve"> directions, the design shear force per unit length (</w:t>
      </w:r>
      <w:r w:rsidRPr="001455DC">
        <w:rPr>
          <w:rStyle w:val="CCMCvariableitalic"/>
        </w:rPr>
        <w:t>v</w:t>
      </w:r>
      <w:r w:rsidRPr="001455DC">
        <w:rPr>
          <w:rStyle w:val="CCMCvariablesubscript"/>
        </w:rPr>
        <w:t>Ed</w:t>
      </w:r>
      <w:r w:rsidRPr="001455DC">
        <w:t>) should be calculated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1778AA" w:rsidRPr="001455DC" w14:paraId="5436BC01" w14:textId="77777777" w:rsidTr="001778AA">
        <w:trPr>
          <w:cantSplit/>
        </w:trPr>
        <w:tc>
          <w:tcPr>
            <w:tcW w:w="8505" w:type="dxa"/>
            <w:vAlign w:val="center"/>
          </w:tcPr>
          <w:p w14:paraId="777B7A15" w14:textId="235BAD63" w:rsidR="001778AA" w:rsidRPr="001455DC" w:rsidRDefault="00231E33" w:rsidP="001778AA">
            <w:pPr>
              <w:pStyle w:val="Formula"/>
              <w:tabs>
                <w:tab w:val="clear" w:pos="9749"/>
              </w:tabs>
              <w:jc w:val="left"/>
            </w:pPr>
            <m:oMathPara>
              <m:oMathParaPr>
                <m:jc m:val="left"/>
              </m:oMathParaPr>
              <m:oMath>
                <m:sSub>
                  <m:sSubPr>
                    <m:ctrlPr>
                      <w:rPr>
                        <w:rFonts w:ascii="Cambria Math" w:hAnsi="Cambria Math"/>
                        <w:lang w:eastAsia="de-CH"/>
                      </w:rPr>
                    </m:ctrlPr>
                  </m:sSubPr>
                  <m:e>
                    <m:r>
                      <w:rPr>
                        <w:rFonts w:ascii="Cambria Math" w:hAnsi="Cambria Math"/>
                      </w:rPr>
                      <m:t>v</m:t>
                    </m:r>
                  </m:e>
                  <m:sub>
                    <m:r>
                      <m:rPr>
                        <m:sty m:val="p"/>
                      </m:rPr>
                      <w:rPr>
                        <w:rFonts w:ascii="Cambria Math" w:hAnsi="Cambria Math"/>
                      </w:rPr>
                      <m:t>Ed</m:t>
                    </m:r>
                  </m:sub>
                </m:sSub>
                <m: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v</m:t>
                        </m:r>
                      </m:e>
                      <m:sub>
                        <m:r>
                          <m:rPr>
                            <m:sty m:val="p"/>
                          </m:rPr>
                          <w:rPr>
                            <w:rFonts w:ascii="Cambria Math" w:hAnsi="Cambria Math"/>
                          </w:rPr>
                          <m:t>Ed,x</m:t>
                        </m:r>
                      </m:sub>
                      <m:sup>
                        <m:r>
                          <w:rPr>
                            <w:rFonts w:ascii="Cambria Math" w:hAnsi="Cambria Math"/>
                          </w:rPr>
                          <m:t>2</m:t>
                        </m:r>
                      </m:sup>
                    </m:sSubSup>
                    <m:r>
                      <w:rPr>
                        <w:rFonts w:ascii="Cambria Math" w:hAnsi="Cambria Math"/>
                      </w:rPr>
                      <m:t>+</m:t>
                    </m:r>
                    <m:sSubSup>
                      <m:sSubSupPr>
                        <m:ctrlPr>
                          <w:rPr>
                            <w:rFonts w:ascii="Cambria Math" w:hAnsi="Cambria Math"/>
                          </w:rPr>
                        </m:ctrlPr>
                      </m:sSubSupPr>
                      <m:e>
                        <m:r>
                          <w:rPr>
                            <w:rFonts w:ascii="Cambria Math" w:hAnsi="Cambria Math"/>
                          </w:rPr>
                          <m:t>v</m:t>
                        </m:r>
                      </m:e>
                      <m:sub>
                        <m:r>
                          <m:rPr>
                            <m:sty m:val="p"/>
                          </m:rPr>
                          <w:rPr>
                            <w:rFonts w:ascii="Cambria Math" w:hAnsi="Cambria Math"/>
                          </w:rPr>
                          <m:t>Ed,y</m:t>
                        </m:r>
                      </m:sub>
                      <m:sup>
                        <m:r>
                          <w:rPr>
                            <w:rFonts w:ascii="Cambria Math" w:hAnsi="Cambria Math"/>
                          </w:rPr>
                          <m:t>2</m:t>
                        </m:r>
                      </m:sup>
                    </m:sSubSup>
                  </m:e>
                </m:rad>
              </m:oMath>
            </m:oMathPara>
          </w:p>
        </w:tc>
        <w:tc>
          <w:tcPr>
            <w:tcW w:w="1247" w:type="dxa"/>
            <w:vAlign w:val="center"/>
          </w:tcPr>
          <w:p w14:paraId="57077595" w14:textId="68088F6C" w:rsidR="001778AA" w:rsidRPr="001455DC" w:rsidRDefault="001778AA">
            <w:pPr>
              <w:pStyle w:val="a7"/>
              <w:jc w:val="right"/>
            </w:pPr>
            <w:r w:rsidRPr="001455DC">
              <w:rPr>
                <w:lang w:eastAsia="de-CH"/>
              </w:rPr>
              <w:t>(8.</w:t>
            </w:r>
            <w:r w:rsidR="003509FA" w:rsidRPr="001455DC">
              <w:rPr>
                <w:lang w:eastAsia="de-CH"/>
              </w:rPr>
              <w:t>12</w:t>
            </w:r>
            <w:r w:rsidRPr="001455DC">
              <w:rPr>
                <w:lang w:eastAsia="de-CH"/>
              </w:rPr>
              <w:t>)</w:t>
            </w:r>
          </w:p>
        </w:tc>
      </w:tr>
    </w:tbl>
    <w:p w14:paraId="048198CF" w14:textId="77777777" w:rsidR="001778AA" w:rsidRPr="001455DC" w:rsidRDefault="004E22C1" w:rsidP="001778AA">
      <w:pPr>
        <w:pStyle w:val="a7"/>
      </w:pPr>
      <w:r w:rsidRPr="001455DC">
        <w:t xml:space="preserve">The effective depth </w:t>
      </w:r>
      <w:r w:rsidRPr="001455DC">
        <w:rPr>
          <w:rStyle w:val="CCMCvariableitalic"/>
        </w:rPr>
        <w:t>d</w:t>
      </w:r>
      <w:r w:rsidRPr="001455DC">
        <w:t xml:space="preserve"> may be taken as a function of the ratio of the shear forces </w:t>
      </w:r>
      <w:r w:rsidRPr="001455DC">
        <w:rPr>
          <w:rStyle w:val="CCMCvariableitalic"/>
        </w:rPr>
        <w:t>v</w:t>
      </w:r>
      <w:r w:rsidRPr="001455DC">
        <w:rPr>
          <w:rStyle w:val="CCMCvariablesubscript"/>
        </w:rPr>
        <w:t>Ed,y</w:t>
      </w:r>
      <w:r w:rsidRPr="001455DC">
        <w:t>/</w:t>
      </w:r>
      <w:r w:rsidRPr="001455DC">
        <w:rPr>
          <w:rStyle w:val="CCMCvariableitalic"/>
        </w:rPr>
        <w:t>v</w:t>
      </w:r>
      <w:r w:rsidRPr="001455DC">
        <w:rPr>
          <w:rStyle w:val="CCMCvariablesubscript"/>
        </w:rPr>
        <w:t>Ed,x</w:t>
      </w:r>
      <w:r w:rsidRPr="001455DC">
        <w:t>:</w:t>
      </w:r>
    </w:p>
    <w:tbl>
      <w:tblPr>
        <w:tblStyle w:val="ad"/>
        <w:tblW w:w="9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2552"/>
        <w:gridCol w:w="5954"/>
        <w:gridCol w:w="1247"/>
      </w:tblGrid>
      <w:tr w:rsidR="001778AA" w:rsidRPr="001455DC" w14:paraId="20A5349A" w14:textId="77777777" w:rsidTr="001778AA">
        <w:trPr>
          <w:cantSplit/>
        </w:trPr>
        <w:tc>
          <w:tcPr>
            <w:tcW w:w="2552" w:type="dxa"/>
            <w:vAlign w:val="center"/>
          </w:tcPr>
          <w:p w14:paraId="7BEE89FF" w14:textId="49790C77" w:rsidR="001778AA" w:rsidRPr="001455DC" w:rsidRDefault="001778AA" w:rsidP="001778AA">
            <w:pPr>
              <w:pStyle w:val="Formula"/>
              <w:tabs>
                <w:tab w:val="clear" w:pos="9749"/>
              </w:tabs>
              <w:ind w:hanging="403"/>
              <w:jc w:val="left"/>
            </w:pPr>
            <w:r w:rsidRPr="001455DC">
              <w:rPr>
                <w:lang w:eastAsia="de-CH"/>
              </w:rPr>
              <w:t>—</w:t>
            </w:r>
            <w:r w:rsidRPr="001455DC">
              <w:rPr>
                <w:lang w:eastAsia="de-CH"/>
              </w:rPr>
              <w:tab/>
            </w:r>
            <w:r w:rsidRPr="001455DC">
              <w:rPr>
                <w:rStyle w:val="CCMCvariableitalic"/>
              </w:rPr>
              <w:t>d</w:t>
            </w:r>
            <w:r w:rsidRPr="001455DC">
              <w:t> </w:t>
            </w:r>
            <w:r w:rsidR="00EC27D2" w:rsidRPr="001455DC">
              <w:rPr>
                <w:rFonts w:ascii="Cambria Math" w:hAnsi="Cambria Math"/>
              </w:rPr>
              <w:t>=</w:t>
            </w:r>
            <w:r w:rsidRPr="001455DC">
              <w:t> </w:t>
            </w:r>
            <w:r w:rsidRPr="001455DC">
              <w:rPr>
                <w:rStyle w:val="CCMCvariableitalic"/>
              </w:rPr>
              <w:t>d</w:t>
            </w:r>
            <w:r w:rsidRPr="001455DC">
              <w:rPr>
                <w:rStyle w:val="CCMCvariablesubscript"/>
              </w:rPr>
              <w:t>x</w:t>
            </w:r>
          </w:p>
        </w:tc>
        <w:tc>
          <w:tcPr>
            <w:tcW w:w="5954" w:type="dxa"/>
            <w:vAlign w:val="center"/>
          </w:tcPr>
          <w:p w14:paraId="7ACFE116" w14:textId="2F95D561" w:rsidR="001778AA" w:rsidRPr="001455DC" w:rsidRDefault="001778AA" w:rsidP="001778AA">
            <w:pPr>
              <w:pStyle w:val="Formula"/>
              <w:tabs>
                <w:tab w:val="clear" w:pos="9749"/>
              </w:tabs>
              <w:jc w:val="left"/>
            </w:pPr>
            <w:r w:rsidRPr="001455DC">
              <w:rPr>
                <w:lang w:eastAsia="de-CH"/>
              </w:rPr>
              <w:t xml:space="preserve">for </w:t>
            </w:r>
            <w:r w:rsidRPr="001455DC">
              <w:rPr>
                <w:rStyle w:val="CCMCvariableitalic"/>
              </w:rPr>
              <w:t>v</w:t>
            </w:r>
            <w:r w:rsidRPr="001455DC">
              <w:rPr>
                <w:rStyle w:val="CCMCvariablesubscript"/>
              </w:rPr>
              <w:t>Ed,y</w:t>
            </w:r>
            <w:r w:rsidRPr="001455DC">
              <w:rPr>
                <w:lang w:eastAsia="de-CH"/>
              </w:rPr>
              <w:t>/</w:t>
            </w:r>
            <w:r w:rsidRPr="001455DC">
              <w:rPr>
                <w:rStyle w:val="CCMCvariableitalic"/>
              </w:rPr>
              <w:t>v</w:t>
            </w:r>
            <w:r w:rsidRPr="001455DC">
              <w:rPr>
                <w:rStyle w:val="CCMCvariablesubscript"/>
              </w:rPr>
              <w:t>Ed,x</w:t>
            </w:r>
            <w:r w:rsidRPr="001455DC">
              <w:rPr>
                <w:lang w:eastAsia="de-CH"/>
              </w:rPr>
              <w:t> </w:t>
            </w:r>
            <w:r w:rsidR="00650035" w:rsidRPr="001455DC">
              <w:rPr>
                <w:rFonts w:ascii="Cambria Math" w:hAnsi="Cambria Math"/>
                <w:lang w:eastAsia="de-CH"/>
              </w:rPr>
              <w:t>≤</w:t>
            </w:r>
            <w:r w:rsidRPr="001455DC">
              <w:rPr>
                <w:lang w:eastAsia="de-CH"/>
              </w:rPr>
              <w:t> 0,5</w:t>
            </w:r>
          </w:p>
        </w:tc>
        <w:tc>
          <w:tcPr>
            <w:tcW w:w="1247" w:type="dxa"/>
            <w:vAlign w:val="center"/>
          </w:tcPr>
          <w:p w14:paraId="13FB096C" w14:textId="2B731DA5" w:rsidR="001778AA" w:rsidRPr="001455DC" w:rsidRDefault="001778AA">
            <w:pPr>
              <w:pStyle w:val="a7"/>
              <w:jc w:val="right"/>
            </w:pPr>
            <w:r w:rsidRPr="001455DC">
              <w:rPr>
                <w:lang w:eastAsia="de-CH"/>
              </w:rPr>
              <w:t>(8.</w:t>
            </w:r>
            <w:r w:rsidR="003509FA" w:rsidRPr="001455DC">
              <w:rPr>
                <w:lang w:eastAsia="de-CH"/>
              </w:rPr>
              <w:t>13a</w:t>
            </w:r>
            <w:r w:rsidRPr="001455DC">
              <w:rPr>
                <w:lang w:eastAsia="de-CH"/>
              </w:rPr>
              <w:t>)</w:t>
            </w:r>
          </w:p>
        </w:tc>
      </w:tr>
      <w:tr w:rsidR="001778AA" w:rsidRPr="001455DC" w14:paraId="5DB77820" w14:textId="77777777" w:rsidTr="001778AA">
        <w:trPr>
          <w:cantSplit/>
        </w:trPr>
        <w:tc>
          <w:tcPr>
            <w:tcW w:w="2552" w:type="dxa"/>
            <w:vAlign w:val="center"/>
          </w:tcPr>
          <w:p w14:paraId="7341E478" w14:textId="4D226590" w:rsidR="001778AA" w:rsidRPr="001455DC" w:rsidRDefault="001778AA" w:rsidP="001778AA">
            <w:pPr>
              <w:pStyle w:val="Formula"/>
              <w:tabs>
                <w:tab w:val="clear" w:pos="9749"/>
              </w:tabs>
              <w:ind w:hanging="403"/>
              <w:jc w:val="left"/>
            </w:pPr>
            <w:r w:rsidRPr="001455DC">
              <w:rPr>
                <w:lang w:eastAsia="de-CH"/>
              </w:rPr>
              <w:t>—</w:t>
            </w:r>
            <w:r w:rsidRPr="001455DC">
              <w:rPr>
                <w:lang w:eastAsia="de-CH"/>
              </w:rPr>
              <w:tab/>
            </w:r>
            <w:r w:rsidRPr="001455DC">
              <w:rPr>
                <w:rStyle w:val="CCMCvariableitalic"/>
              </w:rPr>
              <w:t>d</w:t>
            </w:r>
            <w:r w:rsidRPr="001455DC">
              <w:t> </w:t>
            </w:r>
            <w:r w:rsidR="00EC27D2" w:rsidRPr="001455DC">
              <w:rPr>
                <w:rFonts w:ascii="Cambria Math" w:hAnsi="Cambria Math"/>
              </w:rPr>
              <w:t>=</w:t>
            </w:r>
            <w:r w:rsidRPr="001455DC">
              <w:t> </w:t>
            </w:r>
            <w:r w:rsidRPr="001455DC">
              <w:rPr>
                <w:lang w:eastAsia="de-CH"/>
              </w:rPr>
              <w:t>0,5 </w:t>
            </w:r>
            <w:r w:rsidRPr="001455DC">
              <w:rPr>
                <w:rFonts w:ascii="Cambria Math" w:hAnsi="Cambria Math" w:cs="Cambria Math"/>
                <w:lang w:eastAsia="de-CH"/>
              </w:rPr>
              <w:t>⋅</w:t>
            </w:r>
            <w:r w:rsidRPr="001455DC">
              <w:rPr>
                <w:lang w:eastAsia="de-CH"/>
              </w:rPr>
              <w:t> (</w:t>
            </w:r>
            <w:r w:rsidRPr="001455DC">
              <w:rPr>
                <w:rStyle w:val="CCMCvariableitalic"/>
              </w:rPr>
              <w:t>d</w:t>
            </w:r>
            <w:r w:rsidRPr="001455DC">
              <w:rPr>
                <w:rStyle w:val="CCMCvariablesubscript"/>
              </w:rPr>
              <w:t>x</w:t>
            </w:r>
            <w:r w:rsidR="00EC27D2" w:rsidRPr="001455DC">
              <w:rPr>
                <w:rFonts w:ascii="Cambria Math" w:hAnsi="Cambria Math"/>
                <w:lang w:eastAsia="de-CH"/>
              </w:rPr>
              <w:t> + </w:t>
            </w:r>
            <w:r w:rsidRPr="001455DC">
              <w:rPr>
                <w:rStyle w:val="CCMCvariableitalic"/>
              </w:rPr>
              <w:t>d</w:t>
            </w:r>
            <w:r w:rsidRPr="001455DC">
              <w:rPr>
                <w:rStyle w:val="CCMCvariablesubscript"/>
              </w:rPr>
              <w:t>y</w:t>
            </w:r>
            <w:r w:rsidRPr="001455DC">
              <w:rPr>
                <w:lang w:eastAsia="de-CH"/>
              </w:rPr>
              <w:t>)</w:t>
            </w:r>
          </w:p>
        </w:tc>
        <w:tc>
          <w:tcPr>
            <w:tcW w:w="5954" w:type="dxa"/>
            <w:vAlign w:val="center"/>
          </w:tcPr>
          <w:p w14:paraId="41E6BC77" w14:textId="486E149B" w:rsidR="001778AA" w:rsidRPr="001455DC" w:rsidRDefault="001778AA" w:rsidP="001778AA">
            <w:pPr>
              <w:pStyle w:val="Formula"/>
              <w:tabs>
                <w:tab w:val="clear" w:pos="9749"/>
              </w:tabs>
              <w:jc w:val="left"/>
            </w:pPr>
            <w:r w:rsidRPr="001455DC">
              <w:rPr>
                <w:lang w:eastAsia="de-CH"/>
              </w:rPr>
              <w:t>for 0,5 </w:t>
            </w:r>
            <w:r w:rsidR="00650035" w:rsidRPr="001455DC">
              <w:rPr>
                <w:rFonts w:ascii="Cambria Math" w:hAnsi="Cambria Math"/>
                <w:lang w:eastAsia="de-CH"/>
              </w:rPr>
              <w:t>&lt;</w:t>
            </w:r>
            <w:r w:rsidRPr="001455DC">
              <w:rPr>
                <w:lang w:eastAsia="de-CH"/>
              </w:rPr>
              <w:t> </w:t>
            </w:r>
            <w:r w:rsidRPr="001455DC">
              <w:rPr>
                <w:rStyle w:val="CCMCvariableitalic"/>
              </w:rPr>
              <w:t>v</w:t>
            </w:r>
            <w:r w:rsidRPr="001455DC">
              <w:rPr>
                <w:rStyle w:val="CCMCvariablesubscript"/>
              </w:rPr>
              <w:t>Ed,y</w:t>
            </w:r>
            <w:r w:rsidRPr="001455DC">
              <w:rPr>
                <w:lang w:eastAsia="de-CH"/>
              </w:rPr>
              <w:t>/</w:t>
            </w:r>
            <w:r w:rsidRPr="001455DC">
              <w:rPr>
                <w:rStyle w:val="CCMCvariableitalic"/>
              </w:rPr>
              <w:t>v</w:t>
            </w:r>
            <w:r w:rsidRPr="001455DC">
              <w:rPr>
                <w:rStyle w:val="CCMCvariablesubscript"/>
              </w:rPr>
              <w:t>Ed,x</w:t>
            </w:r>
            <w:r w:rsidRPr="001455DC">
              <w:rPr>
                <w:lang w:eastAsia="de-CH"/>
              </w:rPr>
              <w:t> </w:t>
            </w:r>
            <w:r w:rsidR="00650035" w:rsidRPr="001455DC">
              <w:rPr>
                <w:rFonts w:ascii="Cambria Math" w:hAnsi="Cambria Math"/>
                <w:lang w:eastAsia="de-CH"/>
              </w:rPr>
              <w:t>&lt;</w:t>
            </w:r>
            <w:r w:rsidRPr="001455DC">
              <w:rPr>
                <w:lang w:eastAsia="de-CH"/>
              </w:rPr>
              <w:t> 2</w:t>
            </w:r>
          </w:p>
        </w:tc>
        <w:tc>
          <w:tcPr>
            <w:tcW w:w="1247" w:type="dxa"/>
            <w:vAlign w:val="center"/>
          </w:tcPr>
          <w:p w14:paraId="4BD8F839" w14:textId="7A44FCA2" w:rsidR="001778AA" w:rsidRPr="001455DC" w:rsidRDefault="001778AA" w:rsidP="001778AA">
            <w:pPr>
              <w:pStyle w:val="a7"/>
              <w:jc w:val="right"/>
            </w:pPr>
            <w:r w:rsidRPr="001455DC">
              <w:rPr>
                <w:lang w:eastAsia="de-CH"/>
              </w:rPr>
              <w:t>(8.1</w:t>
            </w:r>
            <w:r w:rsidR="003509FA" w:rsidRPr="001455DC">
              <w:rPr>
                <w:lang w:eastAsia="de-CH"/>
              </w:rPr>
              <w:t>3</w:t>
            </w:r>
            <w:r w:rsidRPr="001455DC">
              <w:rPr>
                <w:lang w:eastAsia="de-CH"/>
              </w:rPr>
              <w:t>b)</w:t>
            </w:r>
          </w:p>
        </w:tc>
      </w:tr>
      <w:tr w:rsidR="001778AA" w:rsidRPr="001455DC" w14:paraId="1666DD0E" w14:textId="77777777" w:rsidTr="001778AA">
        <w:trPr>
          <w:cantSplit/>
        </w:trPr>
        <w:tc>
          <w:tcPr>
            <w:tcW w:w="2552" w:type="dxa"/>
            <w:vAlign w:val="center"/>
          </w:tcPr>
          <w:p w14:paraId="40413005" w14:textId="7FF4E0E3" w:rsidR="001778AA" w:rsidRPr="001455DC" w:rsidRDefault="001778AA" w:rsidP="001778AA">
            <w:pPr>
              <w:pStyle w:val="Formula"/>
              <w:tabs>
                <w:tab w:val="clear" w:pos="9749"/>
              </w:tabs>
              <w:ind w:hanging="403"/>
              <w:jc w:val="left"/>
            </w:pPr>
            <w:r w:rsidRPr="001455DC">
              <w:rPr>
                <w:lang w:eastAsia="de-CH"/>
              </w:rPr>
              <w:t>—</w:t>
            </w:r>
            <w:r w:rsidRPr="001455DC">
              <w:rPr>
                <w:lang w:eastAsia="de-CH"/>
              </w:rPr>
              <w:tab/>
            </w:r>
            <w:r w:rsidRPr="001455DC">
              <w:rPr>
                <w:rStyle w:val="CCMCvariableitalic"/>
              </w:rPr>
              <w:t>d</w:t>
            </w:r>
            <w:r w:rsidRPr="001455DC">
              <w:t> </w:t>
            </w:r>
            <w:r w:rsidR="00EC27D2" w:rsidRPr="001455DC">
              <w:rPr>
                <w:rFonts w:ascii="Cambria Math" w:hAnsi="Cambria Math"/>
              </w:rPr>
              <w:t>=</w:t>
            </w:r>
            <w:r w:rsidRPr="001455DC">
              <w:t> </w:t>
            </w:r>
            <w:r w:rsidRPr="001455DC">
              <w:rPr>
                <w:rStyle w:val="CCMCvariableitalic"/>
              </w:rPr>
              <w:t>d</w:t>
            </w:r>
            <w:r w:rsidRPr="001455DC">
              <w:rPr>
                <w:rStyle w:val="CCMCvariablesubscript"/>
              </w:rPr>
              <w:t>y</w:t>
            </w:r>
          </w:p>
        </w:tc>
        <w:tc>
          <w:tcPr>
            <w:tcW w:w="5954" w:type="dxa"/>
            <w:vAlign w:val="center"/>
          </w:tcPr>
          <w:p w14:paraId="1FDBF43A" w14:textId="7D4D4514" w:rsidR="001778AA" w:rsidRPr="001455DC" w:rsidRDefault="001778AA" w:rsidP="001778AA">
            <w:pPr>
              <w:pStyle w:val="Formula"/>
              <w:tabs>
                <w:tab w:val="clear" w:pos="9749"/>
              </w:tabs>
              <w:jc w:val="left"/>
            </w:pPr>
            <w:r w:rsidRPr="001455DC">
              <w:rPr>
                <w:lang w:eastAsia="de-CH"/>
              </w:rPr>
              <w:t xml:space="preserve">for </w:t>
            </w:r>
            <w:r w:rsidRPr="001455DC">
              <w:rPr>
                <w:rStyle w:val="CCMCvariableitalic"/>
              </w:rPr>
              <w:t>v</w:t>
            </w:r>
            <w:r w:rsidRPr="001455DC">
              <w:rPr>
                <w:rStyle w:val="CCMCvariablesubscript"/>
              </w:rPr>
              <w:t>Ed,y</w:t>
            </w:r>
            <w:r w:rsidRPr="001455DC">
              <w:rPr>
                <w:lang w:eastAsia="de-CH"/>
              </w:rPr>
              <w:t>/</w:t>
            </w:r>
            <w:r w:rsidRPr="001455DC">
              <w:rPr>
                <w:rStyle w:val="CCMCvariableitalic"/>
              </w:rPr>
              <w:t>v</w:t>
            </w:r>
            <w:r w:rsidRPr="001455DC">
              <w:rPr>
                <w:rStyle w:val="CCMCvariablesubscript"/>
              </w:rPr>
              <w:t>Ed,x</w:t>
            </w:r>
            <w:r w:rsidRPr="001455DC">
              <w:rPr>
                <w:lang w:eastAsia="de-CH"/>
              </w:rPr>
              <w:t> </w:t>
            </w:r>
            <w:r w:rsidR="00650035" w:rsidRPr="001455DC">
              <w:rPr>
                <w:rFonts w:ascii="Cambria Math" w:hAnsi="Cambria Math"/>
                <w:lang w:eastAsia="de-CH"/>
              </w:rPr>
              <w:t>≥</w:t>
            </w:r>
            <w:r w:rsidRPr="001455DC">
              <w:rPr>
                <w:lang w:eastAsia="de-CH"/>
              </w:rPr>
              <w:t> 2</w:t>
            </w:r>
          </w:p>
        </w:tc>
        <w:tc>
          <w:tcPr>
            <w:tcW w:w="1247" w:type="dxa"/>
            <w:vAlign w:val="center"/>
          </w:tcPr>
          <w:p w14:paraId="543528B0" w14:textId="439CCDCF" w:rsidR="001778AA" w:rsidRPr="001455DC" w:rsidRDefault="001778AA" w:rsidP="001778AA">
            <w:pPr>
              <w:pStyle w:val="a7"/>
              <w:jc w:val="right"/>
            </w:pPr>
            <w:r w:rsidRPr="001455DC">
              <w:rPr>
                <w:lang w:eastAsia="de-CH"/>
              </w:rPr>
              <w:t>(8.1</w:t>
            </w:r>
            <w:r w:rsidR="003509FA" w:rsidRPr="001455DC">
              <w:rPr>
                <w:lang w:eastAsia="de-CH"/>
              </w:rPr>
              <w:t>3</w:t>
            </w:r>
            <w:r w:rsidRPr="001455DC">
              <w:rPr>
                <w:lang w:eastAsia="de-CH"/>
              </w:rPr>
              <w:t>c)</w:t>
            </w:r>
          </w:p>
        </w:tc>
      </w:tr>
    </w:tbl>
    <w:p w14:paraId="14CFA1A3" w14:textId="77777777" w:rsidR="001778AA" w:rsidRPr="001455DC" w:rsidRDefault="004E22C1" w:rsidP="001778AA">
      <w:pPr>
        <w:pStyle w:val="a7"/>
      </w:pPr>
      <w:r w:rsidRPr="001455DC">
        <w:t xml:space="preserve">Alternatively, the effective depth </w:t>
      </w:r>
      <w:r w:rsidRPr="001455DC">
        <w:rPr>
          <w:rStyle w:val="CCMCvariableitalic"/>
        </w:rPr>
        <w:t>d</w:t>
      </w:r>
      <w:r w:rsidRPr="001455DC">
        <w:t xml:space="preserve"> may be taken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1778AA" w:rsidRPr="001455DC" w14:paraId="390309FF" w14:textId="77777777" w:rsidTr="001778AA">
        <w:trPr>
          <w:cantSplit/>
        </w:trPr>
        <w:tc>
          <w:tcPr>
            <w:tcW w:w="8505" w:type="dxa"/>
            <w:vAlign w:val="center"/>
          </w:tcPr>
          <w:p w14:paraId="7C789DB0" w14:textId="36DE2C08" w:rsidR="001778AA" w:rsidRPr="001455DC" w:rsidRDefault="001778AA" w:rsidP="001778AA">
            <w:pPr>
              <w:pStyle w:val="Formula"/>
              <w:tabs>
                <w:tab w:val="clear" w:pos="9749"/>
              </w:tabs>
              <w:jc w:val="left"/>
            </w:pPr>
            <w:r w:rsidRPr="001455DC">
              <w:rPr>
                <w:rStyle w:val="CCMCvariableitalic"/>
              </w:rPr>
              <w:t>d</w:t>
            </w:r>
            <w:r w:rsidRPr="001455DC">
              <w:t> </w:t>
            </w:r>
            <w:r w:rsidR="00EC27D2" w:rsidRPr="001455DC">
              <w:rPr>
                <w:rFonts w:ascii="Cambria Math" w:hAnsi="Cambria Math"/>
              </w:rPr>
              <w:t>=</w:t>
            </w:r>
            <w:r w:rsidRPr="001455DC">
              <w:t> </w:t>
            </w:r>
            <w:r w:rsidRPr="001455DC">
              <w:rPr>
                <w:rStyle w:val="CCMCvariableitalic"/>
              </w:rPr>
              <w:t>d</w:t>
            </w:r>
            <w:r w:rsidRPr="001455DC">
              <w:rPr>
                <w:rStyle w:val="CCMCvariablesubscript"/>
              </w:rPr>
              <w:t>x</w:t>
            </w:r>
            <w:r w:rsidRPr="001455DC">
              <w:t> </w:t>
            </w:r>
            <w:r w:rsidR="00C74721" w:rsidRPr="001455DC">
              <w:rPr>
                <w:rFonts w:ascii="Cambria Math" w:hAnsi="Cambria Math"/>
              </w:rPr>
              <w:t>⋅</w:t>
            </w:r>
            <w:r w:rsidRPr="001455DC">
              <w:t> cos²</w:t>
            </w:r>
            <w:r w:rsidRPr="001455DC">
              <w:rPr>
                <w:rStyle w:val="CCMCvariableitalic"/>
              </w:rPr>
              <w:t>α</w:t>
            </w:r>
            <w:r w:rsidRPr="001455DC">
              <w:rPr>
                <w:rStyle w:val="CCMCvariablesubscript"/>
              </w:rPr>
              <w:t>v</w:t>
            </w:r>
            <w:r w:rsidR="00EC27D2" w:rsidRPr="001455DC">
              <w:rPr>
                <w:rFonts w:ascii="Cambria Math" w:hAnsi="Cambria Math"/>
              </w:rPr>
              <w:t> + </w:t>
            </w:r>
            <w:r w:rsidRPr="001455DC">
              <w:rPr>
                <w:rStyle w:val="CCMCvariableitalic"/>
              </w:rPr>
              <w:t>d</w:t>
            </w:r>
            <w:r w:rsidRPr="001455DC">
              <w:rPr>
                <w:rStyle w:val="CCMCvariablesubscript"/>
              </w:rPr>
              <w:t>y</w:t>
            </w:r>
            <w:r w:rsidRPr="001455DC">
              <w:t> </w:t>
            </w:r>
            <w:r w:rsidR="00C74721" w:rsidRPr="001455DC">
              <w:rPr>
                <w:rFonts w:ascii="Cambria Math" w:hAnsi="Cambria Math"/>
              </w:rPr>
              <w:t>⋅</w:t>
            </w:r>
            <w:r w:rsidRPr="001455DC">
              <w:t> sin²</w:t>
            </w:r>
            <w:r w:rsidRPr="001455DC">
              <w:rPr>
                <w:rStyle w:val="CCMCvariableitalic"/>
              </w:rPr>
              <w:t>α</w:t>
            </w:r>
            <w:r w:rsidRPr="001455DC">
              <w:rPr>
                <w:rStyle w:val="CCMCvariablesubscript"/>
              </w:rPr>
              <w:t>v</w:t>
            </w:r>
          </w:p>
        </w:tc>
        <w:tc>
          <w:tcPr>
            <w:tcW w:w="1247" w:type="dxa"/>
            <w:vAlign w:val="center"/>
          </w:tcPr>
          <w:p w14:paraId="3A4660F9" w14:textId="71905AE2" w:rsidR="001778AA" w:rsidRPr="001455DC" w:rsidRDefault="001778AA">
            <w:pPr>
              <w:pStyle w:val="a7"/>
              <w:jc w:val="right"/>
            </w:pPr>
            <w:r w:rsidRPr="001455DC">
              <w:rPr>
                <w:lang w:eastAsia="de-CH"/>
              </w:rPr>
              <w:t>(8.1</w:t>
            </w:r>
            <w:r w:rsidR="003509FA" w:rsidRPr="001455DC">
              <w:rPr>
                <w:lang w:eastAsia="de-CH"/>
              </w:rPr>
              <w:t>4</w:t>
            </w:r>
            <w:r w:rsidRPr="001455DC">
              <w:rPr>
                <w:lang w:eastAsia="de-CH"/>
              </w:rPr>
              <w:t>)</w:t>
            </w:r>
          </w:p>
        </w:tc>
      </w:tr>
    </w:tbl>
    <w:p w14:paraId="167ABB44" w14:textId="77777777" w:rsidR="001778AA" w:rsidRPr="001455DC" w:rsidRDefault="004E22C1" w:rsidP="001778AA">
      <w:pPr>
        <w:pStyle w:val="a7"/>
      </w:pPr>
      <w:r w:rsidRPr="001455DC">
        <w:t xml:space="preserve">where the angle </w:t>
      </w:r>
      <w:r w:rsidRPr="001455DC">
        <w:rPr>
          <w:rStyle w:val="CCMCvariableitalic"/>
        </w:rPr>
        <w:t>α</w:t>
      </w:r>
      <w:r w:rsidRPr="001455DC">
        <w:rPr>
          <w:rStyle w:val="CCMCvariablesubscript"/>
        </w:rPr>
        <w:t>v</w:t>
      </w:r>
      <w:r w:rsidRPr="001455DC">
        <w:t xml:space="preserve"> between the principal shear force and x-axis may be taken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1778AA" w:rsidRPr="001455DC" w14:paraId="1B19533D" w14:textId="77777777" w:rsidTr="001778AA">
        <w:trPr>
          <w:cantSplit/>
        </w:trPr>
        <w:tc>
          <w:tcPr>
            <w:tcW w:w="8505" w:type="dxa"/>
            <w:vAlign w:val="center"/>
          </w:tcPr>
          <w:p w14:paraId="7D6ED101" w14:textId="08860AB5" w:rsidR="001778AA" w:rsidRPr="00FA575F" w:rsidRDefault="001778AA" w:rsidP="001778AA">
            <w:pPr>
              <w:pStyle w:val="Formula"/>
              <w:tabs>
                <w:tab w:val="clear" w:pos="9749"/>
              </w:tabs>
              <w:jc w:val="left"/>
              <w:rPr>
                <w:lang w:val="es-ES"/>
              </w:rPr>
            </w:pPr>
            <w:r w:rsidRPr="001455DC">
              <w:rPr>
                <w:rStyle w:val="CCMCvariableitalic"/>
              </w:rPr>
              <w:t>α</w:t>
            </w:r>
            <w:r w:rsidRPr="00FA575F">
              <w:rPr>
                <w:rStyle w:val="CCMCvariablesubscript"/>
                <w:lang w:val="es-ES"/>
              </w:rPr>
              <w:t>v</w:t>
            </w:r>
            <w:r w:rsidRPr="00FA575F">
              <w:rPr>
                <w:lang w:val="es-ES"/>
              </w:rPr>
              <w:t> </w:t>
            </w:r>
            <w:r w:rsidR="00EC27D2" w:rsidRPr="00FA575F">
              <w:rPr>
                <w:rFonts w:ascii="Cambria Math" w:hAnsi="Cambria Math"/>
                <w:lang w:val="es-ES"/>
              </w:rPr>
              <w:t>=</w:t>
            </w:r>
            <w:r w:rsidRPr="00FA575F">
              <w:rPr>
                <w:lang w:val="es-ES"/>
              </w:rPr>
              <w:t> arctan(</w:t>
            </w:r>
            <w:r w:rsidRPr="00FA575F">
              <w:rPr>
                <w:rStyle w:val="CCMCvariableitalic"/>
                <w:lang w:val="es-ES"/>
              </w:rPr>
              <w:t>v</w:t>
            </w:r>
            <w:r w:rsidRPr="00FA575F">
              <w:rPr>
                <w:rStyle w:val="CCMCvariablesubscript"/>
                <w:lang w:val="es-ES"/>
              </w:rPr>
              <w:t>Ed,y</w:t>
            </w:r>
            <w:r w:rsidRPr="00FA575F">
              <w:rPr>
                <w:lang w:val="es-ES" w:eastAsia="de-CH"/>
              </w:rPr>
              <w:t>/</w:t>
            </w:r>
            <w:r w:rsidRPr="00FA575F">
              <w:rPr>
                <w:rStyle w:val="CCMCvariableitalic"/>
                <w:lang w:val="es-ES"/>
              </w:rPr>
              <w:t>v</w:t>
            </w:r>
            <w:r w:rsidRPr="00FA575F">
              <w:rPr>
                <w:rStyle w:val="CCMCvariablesubscript"/>
                <w:lang w:val="es-ES"/>
              </w:rPr>
              <w:t>Ed,x</w:t>
            </w:r>
            <w:r w:rsidRPr="00FA575F">
              <w:rPr>
                <w:lang w:val="es-ES" w:eastAsia="de-CH"/>
              </w:rPr>
              <w:t>)</w:t>
            </w:r>
          </w:p>
        </w:tc>
        <w:tc>
          <w:tcPr>
            <w:tcW w:w="1247" w:type="dxa"/>
            <w:vAlign w:val="center"/>
          </w:tcPr>
          <w:p w14:paraId="1F550123" w14:textId="49FB8464" w:rsidR="001778AA" w:rsidRPr="001455DC" w:rsidRDefault="001778AA" w:rsidP="001778AA">
            <w:pPr>
              <w:pStyle w:val="a7"/>
              <w:jc w:val="right"/>
            </w:pPr>
            <w:r w:rsidRPr="001455DC">
              <w:rPr>
                <w:lang w:eastAsia="de-CH"/>
              </w:rPr>
              <w:t>(8.1</w:t>
            </w:r>
            <w:r w:rsidR="003509FA" w:rsidRPr="001455DC">
              <w:rPr>
                <w:lang w:eastAsia="de-CH"/>
              </w:rPr>
              <w:t>5</w:t>
            </w:r>
            <w:r w:rsidRPr="001455DC">
              <w:rPr>
                <w:lang w:eastAsia="de-CH"/>
              </w:rPr>
              <w:t>)</w:t>
            </w:r>
          </w:p>
        </w:tc>
      </w:tr>
    </w:tbl>
    <w:p w14:paraId="294650F4" w14:textId="77777777" w:rsidR="004E22C1" w:rsidRPr="001455DC" w:rsidRDefault="004E22C1" w:rsidP="001778AA">
      <w:pPr>
        <w:pStyle w:val="a7"/>
      </w:pPr>
      <w:r w:rsidRPr="001455DC">
        <w:t>(6)</w:t>
      </w:r>
      <w:r w:rsidRPr="001455DC">
        <w:tab/>
        <w:t>When the shear force in planar members is not constant along the control section, it may be averaged over a width not larger than 2</w:t>
      </w:r>
      <w:r w:rsidRPr="001455DC">
        <w:rPr>
          <w:rStyle w:val="CCMCvariableitalic"/>
        </w:rPr>
        <w:t>d</w:t>
      </w:r>
      <w:r w:rsidRPr="001455DC">
        <w:t xml:space="preserve"> on both sides from the peak of the shear force. If other internal forces are required for calculation of the shear resistance, they may be also averaged over the same width.</w:t>
      </w:r>
    </w:p>
    <w:p w14:paraId="099C7863" w14:textId="60286521" w:rsidR="004E22C1" w:rsidRPr="001455DC" w:rsidRDefault="004E22C1" w:rsidP="001778AA">
      <w:pPr>
        <w:pStyle w:val="a7"/>
      </w:pPr>
      <w:r w:rsidRPr="001455DC">
        <w:t>(7)</w:t>
      </w:r>
      <w:r w:rsidRPr="001455DC">
        <w:tab/>
        <w:t xml:space="preserve">In members with inclined chords, the design shear force in the web shall account for the influence of inclined forces according to Figure 8.4, replacing </w:t>
      </w:r>
      <w:r w:rsidRPr="001455DC">
        <w:rPr>
          <w:rStyle w:val="CCMCvariableitalic"/>
        </w:rPr>
        <w:t>V</w:t>
      </w:r>
      <w:r w:rsidRPr="001455DC">
        <w:rPr>
          <w:rStyle w:val="CCMCvariablesubscript"/>
        </w:rPr>
        <w:t>Ed</w:t>
      </w:r>
      <w:r w:rsidRPr="001455DC">
        <w:t xml:space="preserve"> by </w:t>
      </w:r>
      <w:r w:rsidRPr="001455DC">
        <w:rPr>
          <w:rStyle w:val="CCMCvariableitalic"/>
        </w:rPr>
        <w:t>V</w:t>
      </w:r>
      <w:r w:rsidRPr="001455DC">
        <w:rPr>
          <w:rStyle w:val="CCMCvariablesubscript"/>
        </w:rPr>
        <w:t>Ed</w:t>
      </w:r>
      <w:r w:rsidRPr="001455DC">
        <w:t> </w:t>
      </w:r>
      <w:r w:rsidR="00EC27D2" w:rsidRPr="001455DC">
        <w:rPr>
          <w:rFonts w:ascii="Cambria Math" w:hAnsi="Cambria Math"/>
        </w:rPr>
        <w:t>−</w:t>
      </w:r>
      <w:r w:rsidRPr="001455DC">
        <w:t> </w:t>
      </w:r>
      <w:r w:rsidRPr="001455DC">
        <w:rPr>
          <w:rStyle w:val="CCMCvariableitalic"/>
        </w:rPr>
        <w:t>V</w:t>
      </w:r>
      <w:r w:rsidRPr="001455DC">
        <w:rPr>
          <w:rStyle w:val="CCMCvariablesubscript"/>
        </w:rPr>
        <w:t>tcd</w:t>
      </w:r>
      <w:r w:rsidRPr="001455DC">
        <w:t> </w:t>
      </w:r>
      <w:r w:rsidR="00EC27D2" w:rsidRPr="001455DC">
        <w:rPr>
          <w:rFonts w:ascii="Cambria Math" w:hAnsi="Cambria Math"/>
        </w:rPr>
        <w:t>−</w:t>
      </w:r>
      <w:r w:rsidRPr="001455DC">
        <w:t> </w:t>
      </w:r>
      <w:r w:rsidRPr="001455DC">
        <w:rPr>
          <w:rStyle w:val="CCMCvariableitalic"/>
        </w:rPr>
        <w:t>V</w:t>
      </w:r>
      <w:r w:rsidRPr="001455DC">
        <w:rPr>
          <w:rStyle w:val="CCMCvariablesubscript"/>
        </w:rPr>
        <w:t>bcd</w:t>
      </w:r>
      <w:r w:rsidRPr="001455DC">
        <w:t>.</w:t>
      </w:r>
    </w:p>
    <w:p w14:paraId="52C315FA" w14:textId="77777777" w:rsidR="004E22C1" w:rsidRPr="001455DC" w:rsidRDefault="004E22C1" w:rsidP="001778AA">
      <w:pPr>
        <w:pStyle w:val="a7"/>
      </w:pPr>
      <w:r w:rsidRPr="001455DC">
        <w:t xml:space="preserve">The favourable effect of </w:t>
      </w:r>
      <w:r w:rsidRPr="001455DC">
        <w:rPr>
          <w:rStyle w:val="CCMCvariableitalic"/>
        </w:rPr>
        <w:t>V</w:t>
      </w:r>
      <w:r w:rsidRPr="001455DC">
        <w:rPr>
          <w:rStyle w:val="CCMCvariablesubscript"/>
        </w:rPr>
        <w:t>tcd</w:t>
      </w:r>
      <w:r w:rsidRPr="001455DC">
        <w:t xml:space="preserve"> and </w:t>
      </w:r>
      <w:r w:rsidRPr="001455DC">
        <w:rPr>
          <w:rStyle w:val="CCMCvariableitalic"/>
        </w:rPr>
        <w:t>V</w:t>
      </w:r>
      <w:r w:rsidRPr="001455DC">
        <w:rPr>
          <w:rStyle w:val="CCMCvariablesubscript"/>
        </w:rPr>
        <w:t>bcd</w:t>
      </w:r>
      <w:r w:rsidRPr="001455DC">
        <w:t xml:space="preserve"> should only be considered for members with shear reinforcement.</w:t>
      </w:r>
    </w:p>
    <w:tbl>
      <w:tblPr>
        <w:tblStyle w:val="a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4876"/>
        <w:gridCol w:w="4876"/>
      </w:tblGrid>
      <w:tr w:rsidR="001778AA" w:rsidRPr="001455DC" w14:paraId="086A116E" w14:textId="77777777" w:rsidTr="001778AA">
        <w:trPr>
          <w:cantSplit/>
          <w:jc w:val="center"/>
        </w:trPr>
        <w:tc>
          <w:tcPr>
            <w:tcW w:w="4876" w:type="dxa"/>
          </w:tcPr>
          <w:p w14:paraId="1DB0953C" w14:textId="3481B914" w:rsidR="001778AA" w:rsidRPr="001455DC" w:rsidRDefault="00723CF7" w:rsidP="001778AA">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"Y:\\STD_MGT\\STDDEL\\PRODUCTION\\etrans\\Download\\Z_FIRST_DEL\\SV\\00250\\00250269\\41_e_dr\\8_004a.tif"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"Y:\\STD_MGT\\STDDEL\\PRODUCTION\\Standards\\00250\\269\\41_e_dr\\8_004a.tif"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"Y:\\STD_MGT\\STDDEL\\PRODUCTION\\Standards\\00250\\269\\41_e_dr\\8_004a.tif"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"Y:\\STD_MGT\\STDDEL\\PRODUCTION\\Standards\\00250\\269\\41_e_dr\\8_004a.tif"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"Y:\\STD_MGT\\STDDEL\\PRODUCTION\\Standards\\00250\\269\\41_e_dr\\8_004a.tif"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"Y:\\STD_MGT\\STDDEL\\PRODUCTION\\Standards\\00250\\269\\41_e_dr\\8_004a.tif"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 xml:space="preserve">INCLUDEPICTURE </w:instrText>
            </w:r>
            <w:r w:rsidR="00231E33">
              <w:rPr>
                <w:noProof/>
                <w:lang w:eastAsia="en-GB"/>
              </w:rPr>
              <w:instrText xml:space="preserve"> "C:\\Users\\a.dionysiou\\AppData\\Local\\Temp\\Temp1_00250269_e_20210902.zip.zip\\41_e_dr\\8_004a.tif"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4D00BD0F">
                <v:shape id="_x0000_i1150" type="#_x0000_t75" style="width:71.25pt;height:77.25pt">
                  <v:imagedata r:id="rId270" r:href="rId271"/>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4876" w:type="dxa"/>
          </w:tcPr>
          <w:p w14:paraId="06A1CE0A" w14:textId="50A5F169" w:rsidR="001778AA" w:rsidRPr="001455DC" w:rsidRDefault="00723CF7" w:rsidP="001778AA">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"Y:\\STD_MGT\\STDDEL\\PRODUCTION\\etrans\\Download\\Z_FIRST_DEL\\SV\\00250\\00250269\\41_e_dr\\8_004b.tif"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"Y:\\STD_MGT\\STDDEL\\PRODUCTION\\Standards\\00250\\269\\41_e_dr\\8_004b.tif"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"Y:\\STD_MGT\\STDDEL\\PRODUCTION\\Standards\\00250\\269\\41_e_dr\\8_004b.tif"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"Y:\\STD_MGT\\STDDEL\\PRODUCTION\\Standards\\00250\\269\\41_e_dr\\8_004b.tif"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"Y:\\STD_MGT\\STDDEL\\PRODUCTION\\Standards\\00250\\269\\41_e_dr\\8_004b.tif"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"Y:\\STD_MGT\\STDDEL\\PRODUCTION\\Standards\\00250\\269\\41_e_dr\\8_004b.tif"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w:instrText>
            </w:r>
            <w:r w:rsidR="00231E33">
              <w:rPr>
                <w:noProof/>
                <w:lang w:eastAsia="en-GB"/>
              </w:rPr>
              <w:instrText>l\\Temp\\Temp1_00250269_e_20210902.zip.zip\\41_e_dr\\8_004b.tif"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3061B40E">
                <v:shape id="_x0000_i1151" type="#_x0000_t75" style="width:138.75pt;height:102.75pt">
                  <v:imagedata r:id="rId272" r:href="rId273"/>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1778AA" w:rsidRPr="001455DC" w14:paraId="3795F68B" w14:textId="77777777" w:rsidTr="001778AA">
        <w:trPr>
          <w:cantSplit/>
          <w:jc w:val="center"/>
        </w:trPr>
        <w:tc>
          <w:tcPr>
            <w:tcW w:w="4876" w:type="dxa"/>
          </w:tcPr>
          <w:p w14:paraId="623B49B8" w14:textId="077D44E0" w:rsidR="001778AA" w:rsidRPr="009D3012" w:rsidRDefault="001778AA" w:rsidP="001778AA">
            <w:pPr>
              <w:pStyle w:val="Tablebody"/>
              <w:keepNext/>
              <w:jc w:val="center"/>
              <w:rPr>
                <w:bCs/>
              </w:rPr>
            </w:pPr>
            <w:r w:rsidRPr="009D3012">
              <w:t>a) internal forces at cross section</w:t>
            </w:r>
          </w:p>
        </w:tc>
        <w:tc>
          <w:tcPr>
            <w:tcW w:w="4876" w:type="dxa"/>
          </w:tcPr>
          <w:p w14:paraId="59CD6484" w14:textId="6EB8B2F8" w:rsidR="001778AA" w:rsidRPr="009D3012" w:rsidRDefault="001778AA" w:rsidP="001778AA">
            <w:pPr>
              <w:pStyle w:val="Tablebody"/>
              <w:keepNext/>
              <w:jc w:val="center"/>
              <w:rPr>
                <w:bCs/>
              </w:rPr>
            </w:pPr>
            <w:r w:rsidRPr="009D3012">
              <w:t>b) compression field, chord and prestressing forces</w:t>
            </w:r>
          </w:p>
        </w:tc>
      </w:tr>
    </w:tbl>
    <w:p w14:paraId="2D008B8A" w14:textId="77777777" w:rsidR="001778AA" w:rsidRPr="001455DC" w:rsidRDefault="001778AA" w:rsidP="001778AA">
      <w:pPr>
        <w:pStyle w:val="KeyTitle"/>
      </w:pPr>
      <w:r w:rsidRPr="001455DC">
        <w:t>Key</w:t>
      </w:r>
    </w:p>
    <w:tbl>
      <w:tblPr>
        <w:tblW w:w="9809" w:type="dxa"/>
        <w:tblLayout w:type="fixed"/>
        <w:tblCellMar>
          <w:left w:w="28" w:type="dxa"/>
          <w:right w:w="28" w:type="dxa"/>
        </w:tblCellMar>
        <w:tblLook w:val="0000" w:firstRow="0" w:lastRow="0" w:firstColumn="0" w:lastColumn="0" w:noHBand="0" w:noVBand="0"/>
      </w:tblPr>
      <w:tblGrid>
        <w:gridCol w:w="397"/>
        <w:gridCol w:w="9412"/>
      </w:tblGrid>
      <w:tr w:rsidR="001778AA" w:rsidRPr="001455DC" w14:paraId="51F96958" w14:textId="77777777" w:rsidTr="001778AA">
        <w:tc>
          <w:tcPr>
            <w:tcW w:w="397" w:type="dxa"/>
            <w:shd w:val="clear" w:color="auto" w:fill="auto"/>
          </w:tcPr>
          <w:p w14:paraId="08F605A0" w14:textId="4BDAA0DD" w:rsidR="001778AA" w:rsidRPr="001455DC" w:rsidRDefault="001778AA" w:rsidP="001778AA">
            <w:pPr>
              <w:pStyle w:val="KeyText"/>
              <w:tabs>
                <w:tab w:val="clear" w:pos="346"/>
              </w:tabs>
              <w:ind w:left="0" w:firstLine="0"/>
            </w:pPr>
            <w:r w:rsidRPr="001455DC">
              <w:t>1</w:t>
            </w:r>
          </w:p>
        </w:tc>
        <w:tc>
          <w:tcPr>
            <w:tcW w:w="9412" w:type="dxa"/>
            <w:shd w:val="clear" w:color="auto" w:fill="auto"/>
          </w:tcPr>
          <w:p w14:paraId="61429274" w14:textId="393E0F74" w:rsidR="001778AA" w:rsidRPr="001455DC" w:rsidRDefault="00A46F70" w:rsidP="001778AA">
            <w:pPr>
              <w:pStyle w:val="KeyText"/>
              <w:tabs>
                <w:tab w:val="clear" w:pos="346"/>
              </w:tabs>
              <w:ind w:left="0" w:firstLine="0"/>
            </w:pPr>
            <w:r>
              <w:rPr>
                <w:lang w:eastAsia="de-CH"/>
              </w:rPr>
              <w:t>d</w:t>
            </w:r>
            <w:r w:rsidR="001778AA" w:rsidRPr="001455DC">
              <w:rPr>
                <w:lang w:eastAsia="de-CH"/>
              </w:rPr>
              <w:t>esign shear force in web</w:t>
            </w:r>
          </w:p>
        </w:tc>
      </w:tr>
    </w:tbl>
    <w:p w14:paraId="6F40E9EE" w14:textId="77777777" w:rsidR="004E22C1" w:rsidRPr="001455DC" w:rsidRDefault="004E22C1" w:rsidP="001778AA">
      <w:pPr>
        <w:pStyle w:val="Figuretitle"/>
      </w:pPr>
      <w:r w:rsidRPr="001455DC">
        <w:t>Figure 8.4 — Shear components for members with inclined chords and/or prestressing</w:t>
      </w:r>
    </w:p>
    <w:p w14:paraId="50657171" w14:textId="77777777" w:rsidR="004E22C1" w:rsidRPr="001455DC" w:rsidRDefault="004E22C1" w:rsidP="008D37B2">
      <w:pPr>
        <w:pStyle w:val="a7"/>
        <w:keepNext/>
      </w:pPr>
      <w:r w:rsidRPr="001455DC">
        <w:t>(8)</w:t>
      </w:r>
      <w:r w:rsidRPr="001455DC">
        <w:tab/>
        <w:t>In members where the statically determinate part of prestressing is considered as an internal action (i.e. considered as resistance</w:t>
      </w:r>
      <w:r w:rsidRPr="001455DC">
        <w:rPr>
          <w:szCs w:val="22"/>
        </w:rPr>
        <w:t xml:space="preserve"> </w:t>
      </w:r>
      <w:r w:rsidRPr="001455DC">
        <w:t xml:space="preserve">and that prestressing effect is not included in the load combination used to determine </w:t>
      </w:r>
      <w:r w:rsidRPr="001455DC">
        <w:rPr>
          <w:rStyle w:val="CCMCvariableitalic"/>
        </w:rPr>
        <w:t>V</w:t>
      </w:r>
      <w:r w:rsidRPr="001455DC">
        <w:rPr>
          <w:rStyle w:val="CCMCvariablesubscript"/>
        </w:rPr>
        <w:t>Ed</w:t>
      </w:r>
      <w:r w:rsidRPr="001455DC">
        <w:t>):</w:t>
      </w:r>
    </w:p>
    <w:p w14:paraId="5EBDCD6C" w14:textId="45B99866" w:rsidR="004E22C1" w:rsidRPr="001455DC" w:rsidRDefault="004E22C1" w:rsidP="001778AA">
      <w:pPr>
        <w:pStyle w:val="a0"/>
      </w:pPr>
      <w:r w:rsidRPr="001455DC">
        <w:t xml:space="preserve">the design shear force in the web should account for the transversal component of the prestressing force according to Figure 8.4, replacing </w:t>
      </w:r>
      <w:r w:rsidRPr="001455DC">
        <w:rPr>
          <w:rStyle w:val="CCMCvariableitalic"/>
        </w:rPr>
        <w:t>V</w:t>
      </w:r>
      <w:r w:rsidRPr="001455DC">
        <w:rPr>
          <w:rStyle w:val="CCMCvariablesubscript"/>
        </w:rPr>
        <w:t>Ed</w:t>
      </w:r>
      <w:r w:rsidRPr="001455DC">
        <w:t xml:space="preserve"> by </w:t>
      </w:r>
      <w:r w:rsidRPr="001455DC">
        <w:rPr>
          <w:rStyle w:val="CCMCvariableitalic"/>
        </w:rPr>
        <w:t>V</w:t>
      </w:r>
      <w:r w:rsidRPr="001455DC">
        <w:rPr>
          <w:rStyle w:val="CCMCvariablesubscript"/>
        </w:rPr>
        <w:t>Ed</w:t>
      </w:r>
      <w:r w:rsidRPr="001455DC">
        <w:t> </w:t>
      </w:r>
      <w:r w:rsidR="00EC27D2" w:rsidRPr="001455DC">
        <w:rPr>
          <w:rFonts w:ascii="Cambria Math" w:hAnsi="Cambria Math"/>
        </w:rPr>
        <w:t>−</w:t>
      </w:r>
      <w:r w:rsidRPr="001455DC">
        <w:t> </w:t>
      </w:r>
      <w:r w:rsidRPr="001455DC">
        <w:rPr>
          <w:rStyle w:val="CCMCvariableitalic"/>
        </w:rPr>
        <w:t>P</w:t>
      </w:r>
      <w:r w:rsidRPr="001455DC">
        <w:rPr>
          <w:rStyle w:val="CCMCvariablesubscript"/>
        </w:rPr>
        <w:t>d</w:t>
      </w:r>
      <w:r w:rsidRPr="001455DC">
        <w:t> ∙ sin</w:t>
      </w:r>
      <w:r w:rsidRPr="001455DC">
        <w:rPr>
          <w:rStyle w:val="CCMCvariableitalic"/>
        </w:rPr>
        <w:t>β</w:t>
      </w:r>
      <w:r w:rsidRPr="001455DC">
        <w:rPr>
          <w:rStyle w:val="CCMCvariablesubscript"/>
        </w:rPr>
        <w:t>p</w:t>
      </w:r>
      <w:r w:rsidRPr="001455DC">
        <w:t>,</w:t>
      </w:r>
    </w:p>
    <w:p w14:paraId="327E8C1D" w14:textId="06418B8D" w:rsidR="004E22C1" w:rsidRPr="001455DC" w:rsidRDefault="004E22C1" w:rsidP="001778AA">
      <w:pPr>
        <w:pStyle w:val="a0"/>
      </w:pPr>
      <w:r w:rsidRPr="001455DC">
        <w:t xml:space="preserve">and where the shear resistance depends on the acting axial force and the bending moment, </w:t>
      </w:r>
      <w:r w:rsidRPr="001455DC">
        <w:rPr>
          <w:rStyle w:val="CCMCvariableitalic"/>
        </w:rPr>
        <w:t>N</w:t>
      </w:r>
      <w:r w:rsidRPr="001455DC">
        <w:rPr>
          <w:rStyle w:val="CCMCvariablesubscript"/>
        </w:rPr>
        <w:t>Ed</w:t>
      </w:r>
      <w:r w:rsidRPr="001455DC">
        <w:t xml:space="preserve"> and </w:t>
      </w:r>
      <w:r w:rsidRPr="001455DC">
        <w:rPr>
          <w:rStyle w:val="CCMCvariableitalic"/>
        </w:rPr>
        <w:t>M</w:t>
      </w:r>
      <w:r w:rsidRPr="001455DC">
        <w:rPr>
          <w:rStyle w:val="CCMCvariablesubscript"/>
        </w:rPr>
        <w:t>Ed</w:t>
      </w:r>
      <w:r w:rsidRPr="001455DC">
        <w:t xml:space="preserve"> should be replaced by </w:t>
      </w:r>
      <w:r w:rsidRPr="001455DC">
        <w:rPr>
          <w:rStyle w:val="CCMCvariableitalic"/>
        </w:rPr>
        <w:t>N</w:t>
      </w:r>
      <w:r w:rsidRPr="001455DC">
        <w:rPr>
          <w:rStyle w:val="CCMCvariablesubscript"/>
        </w:rPr>
        <w:t>Ed</w:t>
      </w:r>
      <w:r w:rsidRPr="001455DC">
        <w:t> </w:t>
      </w:r>
      <w:r w:rsidR="00EC27D2" w:rsidRPr="001455DC">
        <w:rPr>
          <w:rFonts w:ascii="Cambria Math" w:hAnsi="Cambria Math"/>
        </w:rPr>
        <w:t>−</w:t>
      </w:r>
      <w:r w:rsidRPr="001455DC">
        <w:t> </w:t>
      </w:r>
      <w:r w:rsidRPr="001455DC">
        <w:rPr>
          <w:rStyle w:val="CCMCvariableitalic"/>
        </w:rPr>
        <w:t>P</w:t>
      </w:r>
      <w:r w:rsidRPr="001455DC">
        <w:rPr>
          <w:rStyle w:val="CCMCvariablesubscript"/>
        </w:rPr>
        <w:t>d</w:t>
      </w:r>
      <w:r w:rsidRPr="001455DC">
        <w:t> ∙ cos</w:t>
      </w:r>
      <w:r w:rsidRPr="001455DC">
        <w:rPr>
          <w:rStyle w:val="CCMCvariableitalic"/>
        </w:rPr>
        <w:t>β</w:t>
      </w:r>
      <w:r w:rsidRPr="001455DC">
        <w:rPr>
          <w:rStyle w:val="CCMCvariablesubscript"/>
        </w:rPr>
        <w:t>p</w:t>
      </w:r>
      <w:r w:rsidRPr="001455DC">
        <w:t xml:space="preserve"> and </w:t>
      </w:r>
      <w:r w:rsidRPr="001455DC">
        <w:rPr>
          <w:rStyle w:val="CCMCvariableitalic"/>
        </w:rPr>
        <w:t>M</w:t>
      </w:r>
      <w:r w:rsidRPr="001455DC">
        <w:rPr>
          <w:rStyle w:val="CCMCvariablesubscript"/>
        </w:rPr>
        <w:t>Ed</w:t>
      </w:r>
      <w:r w:rsidRPr="001455DC">
        <w:t> </w:t>
      </w:r>
      <w:r w:rsidR="00EC27D2" w:rsidRPr="001455DC">
        <w:rPr>
          <w:rFonts w:ascii="Cambria Math" w:hAnsi="Cambria Math"/>
        </w:rPr>
        <w:t>−</w:t>
      </w:r>
      <w:r w:rsidRPr="001455DC">
        <w:t> </w:t>
      </w:r>
      <w:r w:rsidRPr="001455DC">
        <w:rPr>
          <w:rStyle w:val="CCMCvariableitalic"/>
        </w:rPr>
        <w:t>P</w:t>
      </w:r>
      <w:r w:rsidRPr="001455DC">
        <w:rPr>
          <w:rStyle w:val="CCMCvariablesubscript"/>
        </w:rPr>
        <w:t>d</w:t>
      </w:r>
      <w:r w:rsidRPr="001455DC">
        <w:t> ∙ </w:t>
      </w:r>
      <w:r w:rsidRPr="001455DC">
        <w:rPr>
          <w:rStyle w:val="CCMCvariableitalic"/>
        </w:rPr>
        <w:t>e</w:t>
      </w:r>
      <w:r w:rsidRPr="001455DC">
        <w:rPr>
          <w:rStyle w:val="CCMCvariablesubscript"/>
        </w:rPr>
        <w:t>p</w:t>
      </w:r>
      <w:r w:rsidRPr="001455DC">
        <w:t> ∙ cos</w:t>
      </w:r>
      <w:r w:rsidRPr="001455DC">
        <w:rPr>
          <w:rStyle w:val="CCMCvariableitalic"/>
        </w:rPr>
        <w:t>β</w:t>
      </w:r>
      <w:r w:rsidRPr="001455DC">
        <w:rPr>
          <w:rStyle w:val="CCMCvariablesubscript"/>
        </w:rPr>
        <w:t>p</w:t>
      </w:r>
      <w:r w:rsidRPr="001455DC">
        <w:t>, respectively.</w:t>
      </w:r>
    </w:p>
    <w:p w14:paraId="3BD2133F" w14:textId="77777777" w:rsidR="004E22C1" w:rsidRPr="001455DC" w:rsidRDefault="004E22C1" w:rsidP="001778AA">
      <w:pPr>
        <w:pStyle w:val="a7"/>
      </w:pPr>
      <w:r w:rsidRPr="001455DC">
        <w:t>(9)</w:t>
      </w:r>
      <w:r w:rsidRPr="001455DC">
        <w:tab/>
        <w:t>When a load is applied through the depth of the member (i.e. at the intersection of primary and secondary beams) or applied in tension to the face of the member (i.e. hanging loads), sufficient reinforcement, in addition to that required for shear, shall be provided to carry the load to the face opposite to the direction of load (i.e. the top face in the case of gravity loads).</w:t>
      </w:r>
    </w:p>
    <w:p w14:paraId="05392225" w14:textId="77777777" w:rsidR="004E22C1" w:rsidRPr="001455DC" w:rsidRDefault="004E22C1" w:rsidP="008D37B2">
      <w:pPr>
        <w:pStyle w:val="a7"/>
        <w:keepNext/>
      </w:pPr>
      <w:r w:rsidRPr="001455DC">
        <w:t>(10)</w:t>
      </w:r>
      <w:r w:rsidRPr="001455DC">
        <w:tab/>
        <w:t>In linear members, regions with geometric discontinuities should be designed according to 8.5. In planar members,</w:t>
      </w:r>
    </w:p>
    <w:p w14:paraId="7BDF9923" w14:textId="6EF95384" w:rsidR="004E22C1" w:rsidRPr="001455DC" w:rsidRDefault="004E22C1" w:rsidP="001778AA">
      <w:pPr>
        <w:pStyle w:val="a0"/>
      </w:pPr>
      <w:r w:rsidRPr="001455DC">
        <w:t>regions with variation of cross sections shall be reinforced according to 12.3.1(2) or designed according to 8.5;</w:t>
      </w:r>
    </w:p>
    <w:p w14:paraId="4C02E0A8" w14:textId="5CB82CE2" w:rsidR="004E22C1" w:rsidRPr="001455DC" w:rsidRDefault="004E22C1" w:rsidP="001778AA">
      <w:pPr>
        <w:pStyle w:val="a0"/>
      </w:pPr>
      <w:r w:rsidRPr="001455DC">
        <w:t>regions with inserts shall be verified according to 8.2.2(</w:t>
      </w:r>
      <w:r w:rsidR="003509FA" w:rsidRPr="001455DC">
        <w:t>11</w:t>
      </w:r>
      <w:r w:rsidRPr="001455DC">
        <w:t>) or designed according to 8.5.</w:t>
      </w:r>
    </w:p>
    <w:p w14:paraId="25715A22" w14:textId="209EBCB6" w:rsidR="004E22C1" w:rsidRPr="001455DC" w:rsidRDefault="004E22C1" w:rsidP="008D37B2">
      <w:pPr>
        <w:pStyle w:val="a7"/>
        <w:keepNext/>
      </w:pPr>
      <w:r w:rsidRPr="001455DC">
        <w:t>(11)</w:t>
      </w:r>
      <w:r w:rsidRPr="001455DC">
        <w:tab/>
        <w:t xml:space="preserve">Regions where significant concentrated loads are applied at a distance </w:t>
      </w:r>
      <w:r w:rsidRPr="001455DC">
        <w:rPr>
          <w:rStyle w:val="CCMCvariableitalic"/>
        </w:rPr>
        <w:t>a</w:t>
      </w:r>
      <w:r w:rsidRPr="001455DC">
        <w:rPr>
          <w:rStyle w:val="CCMCvariablesubscript"/>
        </w:rPr>
        <w:t>q</w:t>
      </w:r>
      <w:r w:rsidRPr="001455DC">
        <w:t xml:space="preserve"> less than </w:t>
      </w:r>
      <w:r w:rsidRPr="001455DC">
        <w:rPr>
          <w:rStyle w:val="CCMCvariableitalic"/>
        </w:rPr>
        <w:t>d</w:t>
      </w:r>
      <w:r w:rsidRPr="001455DC">
        <w:t xml:space="preserve"> from a support (Figure 8.5) should be designed as discontinuity regions, by using strut-and-tie models or stress fields as in 8.5 or by accounting for a reduced value of </w:t>
      </w:r>
      <w:r w:rsidRPr="001455DC">
        <w:rPr>
          <w:rStyle w:val="CCMCvariableitalic"/>
        </w:rPr>
        <w:t>τ</w:t>
      </w:r>
      <w:r w:rsidRPr="001455DC">
        <w:rPr>
          <w:rStyle w:val="CCMCvariablesubscript"/>
        </w:rPr>
        <w:t>Ed</w:t>
      </w:r>
      <w:r w:rsidRPr="001455DC">
        <w:t xml:space="preserve"> using the method in 8.2.2(</w:t>
      </w:r>
      <w:r w:rsidR="003509FA" w:rsidRPr="001455DC">
        <w:t>9</w:t>
      </w:r>
      <w:r w:rsidRPr="001455DC">
        <w:t>). In linearly supported planar members without shear reinforcement, further shear verification between the load and the support (</w:t>
      </w:r>
      <w:r w:rsidRPr="001455DC">
        <w:rPr>
          <w:rStyle w:val="CCMCvariableitalic"/>
        </w:rPr>
        <w:t>a</w:t>
      </w:r>
      <w:r w:rsidRPr="001455DC">
        <w:rPr>
          <w:rStyle w:val="CCMCvariablesubscript"/>
        </w:rPr>
        <w:t>q</w:t>
      </w:r>
      <w:r w:rsidRPr="001455DC">
        <w:t> </w:t>
      </w:r>
      <w:r w:rsidR="00650035" w:rsidRPr="001455DC">
        <w:rPr>
          <w:rFonts w:ascii="Cambria Math" w:hAnsi="Cambria Math"/>
        </w:rPr>
        <w:t>&lt;</w:t>
      </w:r>
      <w:r w:rsidRPr="001455DC">
        <w:t> </w:t>
      </w:r>
      <w:r w:rsidRPr="001455DC">
        <w:rPr>
          <w:rStyle w:val="CCMCvariableitalic"/>
        </w:rPr>
        <w:t>d</w:t>
      </w:r>
      <w:r w:rsidRPr="001455DC">
        <w:t xml:space="preserve"> ) may be omitted, provided that:</w:t>
      </w:r>
    </w:p>
    <w:p w14:paraId="089BA0AC" w14:textId="6613990E" w:rsidR="004E22C1" w:rsidRPr="001455DC" w:rsidRDefault="004E22C1" w:rsidP="001778AA">
      <w:pPr>
        <w:pStyle w:val="a0"/>
      </w:pPr>
      <w:r w:rsidRPr="001455DC">
        <w:rPr>
          <w:rStyle w:val="CCMCvariableitalic"/>
        </w:rPr>
        <w:t>τ</w:t>
      </w:r>
      <w:r w:rsidRPr="001455DC">
        <w:rPr>
          <w:rStyle w:val="CCMCvariablesubscript"/>
        </w:rPr>
        <w:t>Ed</w:t>
      </w:r>
      <w:r w:rsidRPr="001455DC">
        <w:t> </w:t>
      </w:r>
      <w:r w:rsidR="00650035" w:rsidRPr="001455DC">
        <w:rPr>
          <w:rFonts w:ascii="Cambria Math" w:hAnsi="Cambria Math"/>
        </w:rPr>
        <w:t>≤</w:t>
      </w:r>
      <w:r w:rsidRPr="001455DC">
        <w:t> 2</w:t>
      </w:r>
      <w:r w:rsidRPr="001455DC">
        <w:rPr>
          <w:rStyle w:val="CCMCvariableitalic"/>
        </w:rPr>
        <w:t>τ</w:t>
      </w:r>
      <w:r w:rsidRPr="001455DC">
        <w:rPr>
          <w:rStyle w:val="CCMCvariablesubscript"/>
        </w:rPr>
        <w:t>Rdc,min</w:t>
      </w:r>
      <w:r w:rsidRPr="001455DC">
        <w:t xml:space="preserve"> and</w:t>
      </w:r>
    </w:p>
    <w:p w14:paraId="556FA38D" w14:textId="01399AE3" w:rsidR="004E22C1" w:rsidRPr="001455DC" w:rsidRDefault="004E22C1" w:rsidP="001778AA">
      <w:pPr>
        <w:pStyle w:val="a0"/>
      </w:pPr>
      <w:r w:rsidRPr="001455DC">
        <w:t>the flexural reinforcement is fully anchored at the support and at the load introduction.</w:t>
      </w:r>
    </w:p>
    <w:p w14:paraId="59AA9386" w14:textId="587C5D1D" w:rsidR="00D32875" w:rsidRDefault="00723CF7" w:rsidP="001778AA">
      <w:pPr>
        <w:pStyle w:val="Figuretitle"/>
        <w:rPr>
          <w:lang w:eastAsia="de-CH"/>
        </w:rPr>
      </w:pPr>
      <w:r>
        <w:rPr>
          <w:noProof/>
          <w:lang w:eastAsia="en-GB"/>
        </w:rPr>
        <w:fldChar w:fldCharType="begin"/>
      </w:r>
      <w:r>
        <w:rPr>
          <w:noProof/>
          <w:lang w:eastAsia="en-GB"/>
        </w:rPr>
        <w:instrText xml:space="preserve"> INCLUDEPICTURE  "Y:\\STD_MGT\\STDDEL\\PRODUCTION\\etrans\\Download\\Z_FIRST_DEL\\SV\\00250\\00250269\\41_e_dr\\8_005.tif"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"Y:\\STD_MGT\\STDDEL\\PRODUCTION\\Standards\\00250\\269\\41_e_dr\\8_005.tif"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"Y:\\STD_MGT\\STDDEL\\PRODUCTION\\Standards\\00250\\269\\41_e_dr\\8_005.tif"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"Y:\\STD_MGT\\STDDEL\\PRODUCTION\\Standards\\00250\\269\\41_e_dr\\8_005.tif"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"Y:\\STD_MGT\\STDDEL\\PRODUCTION\\Standards\\00250\\269\\41_e_dr\\8_005.tif"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"Y:\\STD_MGT\\STDDEL\\PRODUCTION\\Standards\\00250\\269\\41_e_dr\\8_005.tif"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"C:\\Users\\a.dionysiou\\AppData\\Local\\Temp\\Temp1_00250269_e_20210902.zip.zip\\41_e_dr\\8_005.tif" \</w:instrText>
      </w:r>
      <w:r w:rsidR="00231E33">
        <w:rPr>
          <w:noProof/>
          <w:lang w:eastAsia="en-GB"/>
        </w:rPr>
        <w:instrText>*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2F453B21">
          <v:shape id="_x0000_i1152" type="#_x0000_t75" style="width:171pt;height:125.25pt">
            <v:imagedata r:id="rId274" r:href="rId275"/>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1EDDFF08" w14:textId="77777777" w:rsidR="004E22C1" w:rsidRPr="001455DC" w:rsidRDefault="004E22C1" w:rsidP="001778AA">
      <w:pPr>
        <w:pStyle w:val="Figuretitle"/>
      </w:pPr>
      <w:r w:rsidRPr="001455DC">
        <w:t>Figure 8.5 — Examples of loads near supports</w:t>
      </w:r>
    </w:p>
    <w:p w14:paraId="458D875C" w14:textId="2EC4BBFD" w:rsidR="004E22C1" w:rsidRPr="001455DC" w:rsidRDefault="004E22C1" w:rsidP="00243590">
      <w:pPr>
        <w:pStyle w:val="31"/>
      </w:pPr>
      <w:bookmarkStart w:id="558" w:name="_Toc52819977"/>
      <w:bookmarkStart w:id="559" w:name="_Toc54337370"/>
      <w:bookmarkStart w:id="560" w:name="_Toc54338033"/>
      <w:bookmarkStart w:id="561" w:name="_Toc67565381"/>
      <w:r w:rsidRPr="001455DC">
        <w:t>Detailed verification for members not requiring design shear reinforcement</w:t>
      </w:r>
      <w:bookmarkEnd w:id="558"/>
      <w:bookmarkEnd w:id="559"/>
      <w:bookmarkEnd w:id="560"/>
      <w:bookmarkEnd w:id="561"/>
    </w:p>
    <w:p w14:paraId="618EA9C3" w14:textId="77777777" w:rsidR="004E22C1" w:rsidRPr="001455DC" w:rsidRDefault="004E22C1" w:rsidP="001778AA">
      <w:pPr>
        <w:pStyle w:val="a7"/>
      </w:pPr>
      <w:r w:rsidRPr="001455DC">
        <w:t>(1)</w:t>
      </w:r>
      <w:r w:rsidRPr="001455DC">
        <w:tab/>
        <w:t xml:space="preserve">The detailed verification of the shear resistance may be omitted for cross sections that are closer than </w:t>
      </w:r>
      <w:r w:rsidRPr="001455DC">
        <w:rPr>
          <w:rStyle w:val="CCMCvariableitalic"/>
        </w:rPr>
        <w:t>d</w:t>
      </w:r>
      <w:r w:rsidRPr="001455DC">
        <w:t xml:space="preserve"> from the face of the support or from a significant concentrated load (see Figure 8.6). When significant concentrated loads are applied closer than 2</w:t>
      </w:r>
      <w:r w:rsidRPr="001455DC">
        <w:rPr>
          <w:rStyle w:val="CCMCvariableitalic"/>
        </w:rPr>
        <w:t>d</w:t>
      </w:r>
      <w:r w:rsidRPr="001455DC">
        <w:t xml:space="preserve"> from the face of the support, a control section located at a distance </w:t>
      </w:r>
      <w:r w:rsidRPr="001455DC">
        <w:rPr>
          <w:rStyle w:val="CCMCvariableitalic"/>
        </w:rPr>
        <w:t>d</w:t>
      </w:r>
      <w:r w:rsidRPr="001455DC">
        <w:t xml:space="preserve"> from the face of the support should be verified.</w:t>
      </w:r>
    </w:p>
    <w:tbl>
      <w:tblPr>
        <w:tblStyle w:val="a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4876"/>
        <w:gridCol w:w="4876"/>
      </w:tblGrid>
      <w:tr w:rsidR="001778AA" w:rsidRPr="001455DC" w14:paraId="02FE7028" w14:textId="77777777" w:rsidTr="001778AA">
        <w:trPr>
          <w:cantSplit/>
          <w:jc w:val="center"/>
        </w:trPr>
        <w:tc>
          <w:tcPr>
            <w:tcW w:w="4876" w:type="dxa"/>
          </w:tcPr>
          <w:p w14:paraId="2479887F" w14:textId="2AC9A6E9" w:rsidR="001778AA" w:rsidRPr="001455DC" w:rsidRDefault="00723CF7" w:rsidP="001778AA">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"Y:\\STD_MGT\\STDDEL\\PRODUCTION\\etrans\\Download\\Z_FIRST_DEL\\SV\\00250\\00250269\\41_e_dr\\8_006a.tif"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"Y:\\STD_MGT\\STDDEL\\PRODUCTION\\Standards\\00250\\269\\41_e_dr\\8_006a.tif"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"Y:\\STD_MGT\\STDDEL\\PRODUCTION\\Standards\\00250\\269\\41_e_dr\\8_006a.tif"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"Y:\\STD_MGT\\STDDEL\\PRODUCTION\\Standards\\00250\\269\\41_e_dr\\8_006a.tif"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"Y:\\STD_MGT\\STDDEL\\PRODUCTION\\Standards\\00250\\269\\41_e_dr\\8_006a.tif"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"Y:\\STD_MGT\\STDDEL\\PRODUCTION\\Standards\\00250\\269\\41_e_dr\\8_006a.tif"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"C:\\Users\\a.dionysiou\\AppData\\Local\\Temp\\Temp1_00250269_e_20210902.zip.zip\\41_e_dr\\8_006a.tif"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0DFA23C1">
                <v:shape id="_x0000_i1153" type="#_x0000_t75" style="width:119.25pt;height:80.25pt">
                  <v:imagedata r:id="rId276" r:href="rId277"/>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4876" w:type="dxa"/>
          </w:tcPr>
          <w:p w14:paraId="657635E5" w14:textId="6330FF34" w:rsidR="001778AA" w:rsidRPr="001455DC" w:rsidRDefault="00723CF7" w:rsidP="001778AA">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"Y:\\STD_MGT\\STDDEL\\PRODUCTION\\etrans\\Download\\Z_FIRST_DEL\\SV\\00250\\00250269\\41_e_dr\\8_006b.tif"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"Y:\\STD_MGT\\STDDEL\\PRODUCTION\\Standards\\00250\\269\\41_e_dr\\8_006b.tif"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"Y:\\STD_MGT\\STDDEL\\PRODUCTION\\Standards\\00250\\269\\41_e_dr\\8_006b.tif"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"Y:\\STD_MGT\\STDDEL\\PRODUCTION\\Standards\\00250\\269\\41_e_dr\\8_006b.tif"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"Y:\\STD_MGT\\STDDEL\\PRODUCTION\\Standards\\00250\\269\\41_e_dr\\8_006b.tif"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"Y:\\STD_MGT\\STDDEL\\PRODUCTION\\Standards\\00250\\269\\41_e_dr\\8_006b.tif"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w:instrText>
            </w:r>
            <w:r w:rsidR="00231E33">
              <w:rPr>
                <w:noProof/>
                <w:lang w:eastAsia="en-GB"/>
              </w:rPr>
              <w:instrText>l\\Temp\\Temp1_00250269_e_20210902.zip.zip\\41_e_dr\\8_006b.tif"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503A5085">
                <v:shape id="_x0000_i1154" type="#_x0000_t75" style="width:116.25pt;height:80.25pt">
                  <v:imagedata r:id="rId278" r:href="rId279"/>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1778AA" w:rsidRPr="00D32875" w14:paraId="4988E9FC" w14:textId="77777777" w:rsidTr="001778AA">
        <w:trPr>
          <w:cantSplit/>
          <w:jc w:val="center"/>
        </w:trPr>
        <w:tc>
          <w:tcPr>
            <w:tcW w:w="4876" w:type="dxa"/>
          </w:tcPr>
          <w:p w14:paraId="76215976" w14:textId="0BD70C3A" w:rsidR="001778AA" w:rsidRPr="009D3012" w:rsidRDefault="001778AA" w:rsidP="001778AA">
            <w:pPr>
              <w:pStyle w:val="Tablebody"/>
              <w:keepNext/>
              <w:jc w:val="center"/>
              <w:rPr>
                <w:bCs/>
              </w:rPr>
            </w:pPr>
            <w:r w:rsidRPr="009D3012">
              <w:rPr>
                <w:lang w:eastAsia="de-CH"/>
              </w:rPr>
              <w:t>a) distributed loads</w:t>
            </w:r>
          </w:p>
        </w:tc>
        <w:tc>
          <w:tcPr>
            <w:tcW w:w="4876" w:type="dxa"/>
          </w:tcPr>
          <w:p w14:paraId="78720724" w14:textId="398640DC" w:rsidR="001778AA" w:rsidRPr="009D3012" w:rsidRDefault="001778AA" w:rsidP="001778AA">
            <w:pPr>
              <w:pStyle w:val="Tablebody"/>
              <w:keepNext/>
              <w:jc w:val="center"/>
              <w:rPr>
                <w:bCs/>
              </w:rPr>
            </w:pPr>
            <w:r w:rsidRPr="009D3012">
              <w:rPr>
                <w:lang w:eastAsia="de-CH"/>
              </w:rPr>
              <w:t>b) concentrated loads</w:t>
            </w:r>
          </w:p>
        </w:tc>
      </w:tr>
    </w:tbl>
    <w:p w14:paraId="73980B0C" w14:textId="77777777" w:rsidR="001778AA" w:rsidRPr="001455DC" w:rsidRDefault="001778AA" w:rsidP="001778AA">
      <w:pPr>
        <w:pStyle w:val="KeyTitle"/>
      </w:pPr>
      <w:r w:rsidRPr="001455DC">
        <w:t>Key</w:t>
      </w:r>
    </w:p>
    <w:tbl>
      <w:tblPr>
        <w:tblW w:w="9809" w:type="dxa"/>
        <w:tblLayout w:type="fixed"/>
        <w:tblCellMar>
          <w:left w:w="28" w:type="dxa"/>
          <w:right w:w="28" w:type="dxa"/>
        </w:tblCellMar>
        <w:tblLook w:val="0000" w:firstRow="0" w:lastRow="0" w:firstColumn="0" w:lastColumn="0" w:noHBand="0" w:noVBand="0"/>
      </w:tblPr>
      <w:tblGrid>
        <w:gridCol w:w="397"/>
        <w:gridCol w:w="9412"/>
      </w:tblGrid>
      <w:tr w:rsidR="001778AA" w:rsidRPr="001455DC" w14:paraId="1E3906CA" w14:textId="77777777" w:rsidTr="001778AA">
        <w:tc>
          <w:tcPr>
            <w:tcW w:w="397" w:type="dxa"/>
            <w:shd w:val="clear" w:color="auto" w:fill="auto"/>
          </w:tcPr>
          <w:p w14:paraId="2AECCB7D" w14:textId="77777777" w:rsidR="001778AA" w:rsidRPr="001455DC" w:rsidRDefault="001778AA" w:rsidP="001778AA">
            <w:pPr>
              <w:pStyle w:val="KeyText"/>
              <w:tabs>
                <w:tab w:val="clear" w:pos="346"/>
              </w:tabs>
              <w:ind w:left="0" w:firstLine="0"/>
            </w:pPr>
            <w:r w:rsidRPr="001455DC">
              <w:t>1</w:t>
            </w:r>
          </w:p>
        </w:tc>
        <w:tc>
          <w:tcPr>
            <w:tcW w:w="9412" w:type="dxa"/>
            <w:shd w:val="clear" w:color="auto" w:fill="auto"/>
          </w:tcPr>
          <w:p w14:paraId="59474543" w14:textId="0770C9A6" w:rsidR="001778AA" w:rsidRPr="001455DC" w:rsidRDefault="00C840EC" w:rsidP="001778AA">
            <w:pPr>
              <w:pStyle w:val="KeyText"/>
              <w:tabs>
                <w:tab w:val="clear" w:pos="346"/>
              </w:tabs>
              <w:ind w:left="0" w:firstLine="0"/>
            </w:pPr>
            <w:r>
              <w:rPr>
                <w:lang w:eastAsia="de-CH"/>
              </w:rPr>
              <w:t>r</w:t>
            </w:r>
            <w:r w:rsidR="001778AA" w:rsidRPr="001455DC">
              <w:rPr>
                <w:lang w:eastAsia="de-CH"/>
              </w:rPr>
              <w:t xml:space="preserve">egions where shear strength verification may be </w:t>
            </w:r>
            <w:r w:rsidR="009D287A" w:rsidRPr="001455DC">
              <w:rPr>
                <w:lang w:eastAsia="de-CH"/>
              </w:rPr>
              <w:t>omitted</w:t>
            </w:r>
          </w:p>
        </w:tc>
      </w:tr>
    </w:tbl>
    <w:p w14:paraId="72FECEA5" w14:textId="77777777" w:rsidR="004E22C1" w:rsidRPr="001455DC" w:rsidRDefault="004E22C1" w:rsidP="001778AA">
      <w:pPr>
        <w:pStyle w:val="Figuretitle"/>
      </w:pPr>
      <w:r w:rsidRPr="001455DC">
        <w:t>Figure 8.6 — Regions where shear strength verification may be omitted (cases of predominantly loads)</w:t>
      </w:r>
    </w:p>
    <w:p w14:paraId="538EDB5D" w14:textId="77777777" w:rsidR="00B3355A" w:rsidRPr="001455DC" w:rsidRDefault="004E22C1" w:rsidP="00B3355A">
      <w:pPr>
        <w:pStyle w:val="a7"/>
      </w:pPr>
      <w:r w:rsidRPr="001455DC">
        <w:t>(2)</w:t>
      </w:r>
      <w:r w:rsidRPr="001455DC">
        <w:tab/>
        <w:t>The design value of the shear stress resistance should be taken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B3355A" w:rsidRPr="001455DC" w14:paraId="24B71E5F" w14:textId="77777777" w:rsidTr="002A0824">
        <w:trPr>
          <w:cantSplit/>
        </w:trPr>
        <w:tc>
          <w:tcPr>
            <w:tcW w:w="8505" w:type="dxa"/>
            <w:vAlign w:val="center"/>
          </w:tcPr>
          <w:p w14:paraId="2A826A89" w14:textId="6BB39449" w:rsidR="00B3355A" w:rsidRPr="001455DC" w:rsidRDefault="00231E33" w:rsidP="00CE644A">
            <w:pPr>
              <w:pStyle w:val="Formula"/>
            </w:pPr>
            <m:oMathPara>
              <m:oMathParaPr>
                <m:jc m:val="left"/>
              </m:oMathParaPr>
              <m:oMath>
                <m:sSub>
                  <m:sSubPr>
                    <m:ctrlPr>
                      <w:rPr>
                        <w:rFonts w:ascii="Cambria Math" w:hAnsi="Cambria Math"/>
                      </w:rPr>
                    </m:ctrlPr>
                  </m:sSubPr>
                  <m:e>
                    <m:r>
                      <w:rPr>
                        <w:rFonts w:ascii="Cambria Math" w:hAnsi="Cambria Math"/>
                      </w:rPr>
                      <m:t>τ</m:t>
                    </m:r>
                  </m:e>
                  <m:sub>
                    <m:r>
                      <m:rPr>
                        <m:sty m:val="p"/>
                      </m:rPr>
                      <w:rPr>
                        <w:rFonts w:ascii="Cambria Math" w:hAnsi="Cambria Math"/>
                      </w:rPr>
                      <m:t>Rd,c</m:t>
                    </m:r>
                  </m:sub>
                </m:sSub>
                <m:r>
                  <w:rPr>
                    <w:rFonts w:ascii="Cambria Math" w:hAnsi="Cambria Math"/>
                  </w:rPr>
                  <m:t>=</m:t>
                </m:r>
                <m:f>
                  <m:fPr>
                    <m:ctrlPr>
                      <w:rPr>
                        <w:rFonts w:ascii="Cambria Math" w:hAnsi="Cambria Math"/>
                      </w:rPr>
                    </m:ctrlPr>
                  </m:fPr>
                  <m:num>
                    <m:r>
                      <w:rPr>
                        <w:rFonts w:ascii="Cambria Math" w:hAnsi="Cambria Math"/>
                      </w:rPr>
                      <m:t>0,66</m:t>
                    </m:r>
                  </m:num>
                  <m:den>
                    <m:sSub>
                      <m:sSubPr>
                        <m:ctrlPr>
                          <w:rPr>
                            <w:rFonts w:ascii="Cambria Math" w:hAnsi="Cambria Math"/>
                          </w:rPr>
                        </m:ctrlPr>
                      </m:sSubPr>
                      <m:e>
                        <m:r>
                          <w:rPr>
                            <w:rFonts w:ascii="Cambria Math" w:hAnsi="Cambria Math"/>
                          </w:rPr>
                          <m:t>γ</m:t>
                        </m:r>
                      </m:e>
                      <m:sub>
                        <m:r>
                          <m:rPr>
                            <m:sty m:val="p"/>
                          </m:rPr>
                          <w:rPr>
                            <w:rFonts w:ascii="Cambria Math" w:hAnsi="Cambria Math"/>
                          </w:rPr>
                          <m:t>V</m:t>
                        </m:r>
                      </m:sub>
                    </m:sSub>
                  </m:den>
                </m:f>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100</m:t>
                        </m:r>
                        <m:sSub>
                          <m:sSubPr>
                            <m:ctrlPr>
                              <w:rPr>
                                <w:rFonts w:ascii="Cambria Math" w:hAnsi="Cambria Math"/>
                              </w:rPr>
                            </m:ctrlPr>
                          </m:sSubPr>
                          <m:e>
                            <m:r>
                              <w:rPr>
                                <w:rFonts w:ascii="Cambria Math" w:hAnsi="Cambria Math"/>
                              </w:rPr>
                              <m:t>ρ</m:t>
                            </m:r>
                          </m:e>
                          <m:sub>
                            <m:r>
                              <m:rPr>
                                <m:sty m:val="p"/>
                              </m:rPr>
                              <w:rPr>
                                <w:rFonts w:ascii="Cambria Math" w:hAnsi="Cambria Math"/>
                              </w:rPr>
                              <m:t>l</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ck</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dg</m:t>
                                </m:r>
                              </m:sub>
                            </m:sSub>
                          </m:num>
                          <m:den>
                            <m:r>
                              <w:rPr>
                                <w:rFonts w:ascii="Cambria Math" w:hAnsi="Cambria Math"/>
                              </w:rPr>
                              <m:t>d</m:t>
                            </m:r>
                          </m:den>
                        </m:f>
                      </m:e>
                    </m:d>
                  </m:e>
                  <m:sup>
                    <m:f>
                      <m:fPr>
                        <m:ctrlPr>
                          <w:rPr>
                            <w:rFonts w:ascii="Cambria Math" w:hAnsi="Cambria Math"/>
                          </w:rPr>
                        </m:ctrlPr>
                      </m:fPr>
                      <m:num>
                        <m:r>
                          <w:rPr>
                            <w:rFonts w:ascii="Cambria Math" w:hAnsi="Cambria Math"/>
                          </w:rPr>
                          <m:t>1</m:t>
                        </m:r>
                      </m:num>
                      <m:den>
                        <m:r>
                          <w:rPr>
                            <w:rFonts w:ascii="Cambria Math" w:hAnsi="Cambria Math"/>
                          </w:rPr>
                          <m:t>3</m:t>
                        </m:r>
                      </m:den>
                    </m:f>
                  </m:sup>
                </m:sSup>
                <m:r>
                  <w:rPr>
                    <w:rFonts w:ascii="Cambria Math" w:hAnsi="Cambria Math"/>
                  </w:rPr>
                  <m:t>≥</m:t>
                </m:r>
                <m:sSub>
                  <m:sSubPr>
                    <m:ctrlPr>
                      <w:rPr>
                        <w:rFonts w:ascii="Cambria Math" w:hAnsi="Cambria Math"/>
                      </w:rPr>
                    </m:ctrlPr>
                  </m:sSubPr>
                  <m:e>
                    <m:r>
                      <w:rPr>
                        <w:rFonts w:ascii="Cambria Math" w:hAnsi="Cambria Math"/>
                      </w:rPr>
                      <m:t>τ</m:t>
                    </m:r>
                  </m:e>
                  <m:sub>
                    <m:r>
                      <m:rPr>
                        <m:sty m:val="p"/>
                      </m:rPr>
                      <w:rPr>
                        <w:rFonts w:ascii="Cambria Math" w:hAnsi="Cambria Math"/>
                      </w:rPr>
                      <m:t>Rdc,min</m:t>
                    </m:r>
                  </m:sub>
                </m:sSub>
              </m:oMath>
            </m:oMathPara>
          </w:p>
        </w:tc>
        <w:tc>
          <w:tcPr>
            <w:tcW w:w="1247" w:type="dxa"/>
            <w:vAlign w:val="center"/>
          </w:tcPr>
          <w:p w14:paraId="683DC4E3" w14:textId="31FAFB0B" w:rsidR="00B3355A" w:rsidRPr="001455DC" w:rsidRDefault="0078504E">
            <w:pPr>
              <w:pStyle w:val="a7"/>
              <w:jc w:val="right"/>
            </w:pPr>
            <w:r w:rsidRPr="001455DC">
              <w:rPr>
                <w:lang w:eastAsia="de-CH"/>
              </w:rPr>
              <w:t>(8.</w:t>
            </w:r>
            <w:r w:rsidR="009D287A" w:rsidRPr="001455DC">
              <w:rPr>
                <w:lang w:eastAsia="de-CH"/>
              </w:rPr>
              <w:t>16</w:t>
            </w:r>
            <w:r w:rsidRPr="001455DC">
              <w:rPr>
                <w:lang w:eastAsia="de-CH"/>
              </w:rPr>
              <w:t>)</w:t>
            </w:r>
          </w:p>
        </w:tc>
      </w:tr>
    </w:tbl>
    <w:p w14:paraId="6A06D3CB" w14:textId="77777777" w:rsidR="0078504E" w:rsidRPr="001455DC" w:rsidRDefault="00B3355A"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7598"/>
        <w:gridCol w:w="1247"/>
      </w:tblGrid>
      <w:tr w:rsidR="0078504E" w:rsidRPr="001455DC" w14:paraId="56630846" w14:textId="77777777" w:rsidTr="0078504E">
        <w:trPr>
          <w:cantSplit/>
        </w:trPr>
        <w:tc>
          <w:tcPr>
            <w:tcW w:w="8165" w:type="dxa"/>
            <w:gridSpan w:val="2"/>
            <w:vAlign w:val="center"/>
          </w:tcPr>
          <w:p w14:paraId="49DBB59C" w14:textId="3BF1672F" w:rsidR="0078504E" w:rsidRPr="001455DC" w:rsidRDefault="00231E33" w:rsidP="00A84CE8">
            <w:pPr>
              <w:pStyle w:val="Tablebody"/>
            </w:pPr>
            <m:oMathPara>
              <m:oMathParaPr>
                <m:jc m:val="left"/>
              </m:oMathParaPr>
              <m:oMath>
                <m:sSub>
                  <m:sSubPr>
                    <m:ctrlPr>
                      <w:rPr>
                        <w:rFonts w:ascii="Cambria Math" w:hAnsi="Cambria Math"/>
                      </w:rPr>
                    </m:ctrlPr>
                  </m:sSubPr>
                  <m:e>
                    <m:r>
                      <w:rPr>
                        <w:rFonts w:ascii="Cambria Math" w:hAnsi="Cambria Math"/>
                      </w:rPr>
                      <m:t>ρ</m:t>
                    </m:r>
                  </m:e>
                  <m:sub>
                    <m:r>
                      <m:rPr>
                        <m:sty m:val="p"/>
                      </m:rPr>
                      <w:rPr>
                        <w:rFonts w:ascii="Cambria Math" w:hAnsi="Cambria Math"/>
                      </w:rPr>
                      <m:t>l</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sl</m:t>
                        </m:r>
                      </m:sub>
                    </m:sSub>
                  </m:num>
                  <m:den>
                    <m:sSub>
                      <m:sSubPr>
                        <m:ctrlPr>
                          <w:rPr>
                            <w:rFonts w:ascii="Cambria Math" w:hAnsi="Cambria Math"/>
                          </w:rPr>
                        </m:ctrlPr>
                      </m:sSubPr>
                      <m:e>
                        <m:r>
                          <w:rPr>
                            <w:rFonts w:ascii="Cambria Math" w:hAnsi="Cambria Math"/>
                          </w:rPr>
                          <m:t>b</m:t>
                        </m:r>
                      </m:e>
                      <m:sub>
                        <m:r>
                          <m:rPr>
                            <m:sty m:val="p"/>
                          </m:rPr>
                          <w:rPr>
                            <w:rFonts w:ascii="Cambria Math" w:hAnsi="Cambria Math"/>
                          </w:rPr>
                          <m:t>w</m:t>
                        </m:r>
                      </m:sub>
                    </m:sSub>
                    <m:r>
                      <w:rPr>
                        <w:rFonts w:ascii="Cambria Math" w:hAnsi="Cambria Math"/>
                      </w:rPr>
                      <m:t>d</m:t>
                    </m:r>
                  </m:den>
                </m:f>
              </m:oMath>
            </m:oMathPara>
          </w:p>
        </w:tc>
        <w:tc>
          <w:tcPr>
            <w:tcW w:w="1247" w:type="dxa"/>
            <w:vAlign w:val="center"/>
          </w:tcPr>
          <w:p w14:paraId="659D1607" w14:textId="047DA6BF" w:rsidR="0078504E" w:rsidRPr="001455DC" w:rsidRDefault="0078504E">
            <w:pPr>
              <w:pStyle w:val="Tablebody"/>
              <w:jc w:val="right"/>
              <w:rPr>
                <w:szCs w:val="19"/>
              </w:rPr>
            </w:pPr>
            <w:r w:rsidRPr="001455DC">
              <w:rPr>
                <w:lang w:eastAsia="de-CH"/>
              </w:rPr>
              <w:t>(8.</w:t>
            </w:r>
            <w:r w:rsidR="009D287A" w:rsidRPr="001455DC">
              <w:rPr>
                <w:lang w:eastAsia="de-CH"/>
              </w:rPr>
              <w:t>17</w:t>
            </w:r>
            <w:r w:rsidRPr="001455DC">
              <w:rPr>
                <w:lang w:eastAsia="de-CH"/>
              </w:rPr>
              <w:t>)</w:t>
            </w:r>
          </w:p>
        </w:tc>
      </w:tr>
      <w:tr w:rsidR="00B3355A" w:rsidRPr="001455DC" w14:paraId="29DD777C" w14:textId="77777777" w:rsidTr="002A0824">
        <w:trPr>
          <w:cantSplit/>
        </w:trPr>
        <w:tc>
          <w:tcPr>
            <w:tcW w:w="567" w:type="dxa"/>
          </w:tcPr>
          <w:p w14:paraId="1A0199B6" w14:textId="0552A0EE" w:rsidR="00B3355A" w:rsidRPr="001455DC" w:rsidRDefault="00B3355A" w:rsidP="002A0824">
            <w:pPr>
              <w:pStyle w:val="Tablebody"/>
            </w:pPr>
            <w:r w:rsidRPr="001455DC">
              <w:rPr>
                <w:rStyle w:val="CCMCvariableitalic"/>
              </w:rPr>
              <w:t>A</w:t>
            </w:r>
            <w:r w:rsidRPr="001455DC">
              <w:rPr>
                <w:rStyle w:val="CCMCvariablesubscript"/>
              </w:rPr>
              <w:t>sl</w:t>
            </w:r>
          </w:p>
        </w:tc>
        <w:tc>
          <w:tcPr>
            <w:tcW w:w="8845" w:type="dxa"/>
            <w:gridSpan w:val="2"/>
          </w:tcPr>
          <w:p w14:paraId="4A729C28" w14:textId="21034BDF" w:rsidR="00B3355A" w:rsidRPr="001455DC" w:rsidRDefault="00B3355A" w:rsidP="002A0824">
            <w:pPr>
              <w:pStyle w:val="Tablebody"/>
            </w:pPr>
            <w:r w:rsidRPr="001455DC">
              <w:rPr>
                <w:szCs w:val="19"/>
              </w:rPr>
              <w:t xml:space="preserve">is the effective area of tensile reinforcement at the distance </w:t>
            </w:r>
            <w:r w:rsidRPr="001455DC">
              <w:rPr>
                <w:rStyle w:val="CCMCvariableitalic"/>
              </w:rPr>
              <w:t>d</w:t>
            </w:r>
            <w:r w:rsidRPr="001455DC">
              <w:rPr>
                <w:szCs w:val="19"/>
              </w:rPr>
              <w:t xml:space="preserve"> beyond the section considered (see Figure 8.7);</w:t>
            </w:r>
          </w:p>
        </w:tc>
      </w:tr>
      <w:tr w:rsidR="00B3355A" w:rsidRPr="001455DC" w14:paraId="0DF22695" w14:textId="77777777" w:rsidTr="002A0824">
        <w:trPr>
          <w:cantSplit/>
        </w:trPr>
        <w:tc>
          <w:tcPr>
            <w:tcW w:w="567" w:type="dxa"/>
          </w:tcPr>
          <w:p w14:paraId="303D986E" w14:textId="7324F5D5" w:rsidR="00B3355A" w:rsidRPr="001455DC" w:rsidRDefault="00B3355A" w:rsidP="002A0824">
            <w:pPr>
              <w:pStyle w:val="Tablebody"/>
            </w:pPr>
            <w:r w:rsidRPr="001455DC">
              <w:rPr>
                <w:rStyle w:val="CCMCvariableitalic"/>
              </w:rPr>
              <w:t>d</w:t>
            </w:r>
            <w:r w:rsidRPr="001455DC">
              <w:rPr>
                <w:rStyle w:val="CCMCvariablesubscript"/>
              </w:rPr>
              <w:t>dg</w:t>
            </w:r>
          </w:p>
        </w:tc>
        <w:tc>
          <w:tcPr>
            <w:tcW w:w="8845" w:type="dxa"/>
            <w:gridSpan w:val="2"/>
          </w:tcPr>
          <w:p w14:paraId="460D7945" w14:textId="1A98162D" w:rsidR="00B3355A" w:rsidRPr="001455DC" w:rsidRDefault="00B3355A" w:rsidP="002A0824">
            <w:pPr>
              <w:pStyle w:val="Tablebody"/>
            </w:pPr>
            <w:r w:rsidRPr="001455DC">
              <w:rPr>
                <w:lang w:eastAsia="de-CH"/>
              </w:rPr>
              <w:t>is defined in 8.2.1(4)</w:t>
            </w:r>
            <w:r w:rsidRPr="001455DC">
              <w:rPr>
                <w:noProof/>
              </w:rPr>
              <w:t>;</w:t>
            </w:r>
          </w:p>
        </w:tc>
      </w:tr>
      <w:tr w:rsidR="00B3355A" w:rsidRPr="001455DC" w14:paraId="056C0AF6" w14:textId="77777777" w:rsidTr="002A0824">
        <w:trPr>
          <w:cantSplit/>
        </w:trPr>
        <w:tc>
          <w:tcPr>
            <w:tcW w:w="567" w:type="dxa"/>
          </w:tcPr>
          <w:p w14:paraId="1DBEE5CB" w14:textId="1626EEAC" w:rsidR="00B3355A" w:rsidRPr="001455DC" w:rsidRDefault="00B3355A" w:rsidP="002A0824">
            <w:pPr>
              <w:pStyle w:val="Tablebody"/>
            </w:pPr>
            <w:r w:rsidRPr="001455DC">
              <w:rPr>
                <w:rStyle w:val="CCMCvariableitalic"/>
              </w:rPr>
              <w:t>d</w:t>
            </w:r>
          </w:p>
        </w:tc>
        <w:tc>
          <w:tcPr>
            <w:tcW w:w="8845" w:type="dxa"/>
            <w:gridSpan w:val="2"/>
          </w:tcPr>
          <w:p w14:paraId="3F82510C" w14:textId="722F38B4" w:rsidR="00B3355A" w:rsidRPr="001455DC" w:rsidRDefault="00B3355A" w:rsidP="002A0824">
            <w:pPr>
              <w:pStyle w:val="Tablebody"/>
            </w:pPr>
            <w:r w:rsidRPr="001455DC">
              <w:rPr>
                <w:lang w:eastAsia="de-CH"/>
              </w:rPr>
              <w:t xml:space="preserve">is the nominal effective depth </w:t>
            </w:r>
            <w:r w:rsidRPr="001455DC">
              <w:rPr>
                <w:rStyle w:val="CCMCvariableitalic"/>
              </w:rPr>
              <w:t>d</w:t>
            </w:r>
            <w:r w:rsidRPr="001455DC">
              <w:rPr>
                <w:rStyle w:val="CCMCvariablesubscript"/>
              </w:rPr>
              <w:t>nom</w:t>
            </w:r>
            <w:r w:rsidRPr="001455DC">
              <w:rPr>
                <w:lang w:eastAsia="de-CH"/>
              </w:rPr>
              <w:t xml:space="preserve">. The value </w:t>
            </w:r>
            <w:r w:rsidRPr="001455DC">
              <w:rPr>
                <w:rStyle w:val="CCMCvariableitalic"/>
              </w:rPr>
              <w:t>d</w:t>
            </w:r>
            <w:r w:rsidRPr="001455DC">
              <w:rPr>
                <w:lang w:eastAsia="de-CH"/>
              </w:rPr>
              <w:t xml:space="preserve"> may be refined according to (3) and (4) for non-slender members and members with axial force.</w:t>
            </w:r>
          </w:p>
        </w:tc>
      </w:tr>
    </w:tbl>
    <w:p w14:paraId="7485C3EF" w14:textId="77C5700D" w:rsidR="009D287A" w:rsidRPr="009D3012" w:rsidRDefault="009D287A" w:rsidP="009D3012">
      <w:pPr>
        <w:pStyle w:val="a7"/>
        <w:keepNext/>
      </w:pPr>
      <w:r w:rsidRPr="009D3012">
        <w:rPr>
          <w:rFonts w:cs="Arial"/>
          <w:lang w:eastAsia="de-CH"/>
        </w:rPr>
        <w:t xml:space="preserve">The value </w:t>
      </w:r>
      <w:r w:rsidRPr="009D3012">
        <w:rPr>
          <w:rFonts w:cs="Arial"/>
          <w:i/>
          <w:lang w:eastAsia="de-CH"/>
        </w:rPr>
        <w:t xml:space="preserve">d </w:t>
      </w:r>
      <w:r w:rsidRPr="009D3012">
        <w:rPr>
          <w:rFonts w:cs="Arial"/>
          <w:lang w:eastAsia="de-CH"/>
        </w:rPr>
        <w:t>may be refined according to (3) and (4) for non-slender members and members with axial force.</w:t>
      </w:r>
    </w:p>
    <w:p w14:paraId="42A6DC6A" w14:textId="50D86150" w:rsidR="004E22C1" w:rsidRPr="001455DC" w:rsidRDefault="00723CF7" w:rsidP="001778AA">
      <w:pPr>
        <w:pStyle w:val="FigureImage"/>
        <w:rPr>
          <w:lang w:eastAsia="de-CH"/>
        </w:rPr>
      </w:pPr>
      <w:r>
        <w:rPr>
          <w:noProof/>
          <w:lang w:eastAsia="en-GB"/>
        </w:rPr>
        <w:fldChar w:fldCharType="begin"/>
      </w:r>
      <w:r>
        <w:rPr>
          <w:noProof/>
          <w:lang w:eastAsia="en-GB"/>
        </w:rPr>
        <w:instrText xml:space="preserve"> INCLUDEPICTURE  "Y:\\STD_MGT\\STDDEL\\PRODUCTION\\etrans\\Download\\Z_FIRST_DEL\\SV\\00250\\00250269\\41_e_dr\\8_007.tif"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"Y:\\STD_MGT\\STDDEL\\PRODUCTION\\Standards\\00250\\269\\41_e_dr\\8_007.tif"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"Y:\\STD_MGT\\STDDEL\\PRODUCTION\\Standards\\00250\\269\\41_e_dr\\8_007.tif"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"Y:\\STD_MGT\\STDDEL\\PRODUCTION\\Standards\\00250\\269\\41_e_dr\\8_007.tif"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"Y:\\STD_MGT\\STDDEL\\PRODUCTION\\Standards\\00250\\269\\41_e_dr\\8_007.tif"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"Y:\\STD_MGT\\STDDEL\\PRODUCTION\\Standards\\00250\\269\\41_e_dr\\8_007.tif"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"C:\\Users\\a.dionysiou\\AppData\\Local\\Temp\\Temp1_00250269_e_20210902.zip.zip\\41_e_dr\\8_007.tif"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682FDB00">
          <v:shape id="_x0000_i1155" type="#_x0000_t75" style="width:468.75pt;height:143.25pt">
            <v:imagedata r:id="rId280" r:href="rId281"/>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7BF86A33" w14:textId="77777777" w:rsidR="001778AA" w:rsidRPr="001455DC" w:rsidRDefault="001778AA" w:rsidP="001778AA">
      <w:pPr>
        <w:pStyle w:val="KeyTitle"/>
      </w:pPr>
      <w:r w:rsidRPr="001455DC">
        <w:t>Key</w:t>
      </w:r>
    </w:p>
    <w:tbl>
      <w:tblPr>
        <w:tblW w:w="9809" w:type="dxa"/>
        <w:tblLayout w:type="fixed"/>
        <w:tblCellMar>
          <w:left w:w="28" w:type="dxa"/>
          <w:right w:w="28" w:type="dxa"/>
        </w:tblCellMar>
        <w:tblLook w:val="0000" w:firstRow="0" w:lastRow="0" w:firstColumn="0" w:lastColumn="0" w:noHBand="0" w:noVBand="0"/>
      </w:tblPr>
      <w:tblGrid>
        <w:gridCol w:w="2948"/>
        <w:gridCol w:w="6861"/>
      </w:tblGrid>
      <w:tr w:rsidR="001778AA" w:rsidRPr="001455DC" w14:paraId="61BD82DF" w14:textId="77777777" w:rsidTr="001778AA">
        <w:tc>
          <w:tcPr>
            <w:tcW w:w="2948" w:type="dxa"/>
            <w:shd w:val="clear" w:color="auto" w:fill="auto"/>
          </w:tcPr>
          <w:p w14:paraId="040F1773" w14:textId="69FF8C1F" w:rsidR="001778AA" w:rsidRPr="001455DC" w:rsidRDefault="001778AA" w:rsidP="001778AA">
            <w:pPr>
              <w:pStyle w:val="KeyText"/>
              <w:tabs>
                <w:tab w:val="clear" w:pos="346"/>
              </w:tabs>
              <w:ind w:left="0" w:firstLine="0"/>
            </w:pPr>
            <w:r w:rsidRPr="001455DC">
              <w:rPr>
                <w:lang w:eastAsia="de-CH"/>
              </w:rPr>
              <w:t>Control sections A–A and C–C:</w:t>
            </w:r>
          </w:p>
        </w:tc>
        <w:tc>
          <w:tcPr>
            <w:tcW w:w="6861" w:type="dxa"/>
            <w:shd w:val="clear" w:color="auto" w:fill="auto"/>
          </w:tcPr>
          <w:p w14:paraId="52034010" w14:textId="0BAF7302" w:rsidR="001778AA" w:rsidRPr="001455DC" w:rsidRDefault="001778AA" w:rsidP="001778AA">
            <w:pPr>
              <w:pStyle w:val="KeyText"/>
              <w:tabs>
                <w:tab w:val="clear" w:pos="346"/>
              </w:tabs>
              <w:ind w:left="0" w:firstLine="0"/>
            </w:pPr>
            <w:r w:rsidRPr="001455DC">
              <w:rPr>
                <w:lang w:eastAsia="de-CH"/>
              </w:rPr>
              <w:t>Cases where anchored and curtailed reinforcement may be fully accounted for</w:t>
            </w:r>
          </w:p>
        </w:tc>
      </w:tr>
      <w:tr w:rsidR="001778AA" w:rsidRPr="001455DC" w14:paraId="5A70FB3A" w14:textId="77777777" w:rsidTr="001778AA">
        <w:tc>
          <w:tcPr>
            <w:tcW w:w="2948" w:type="dxa"/>
            <w:shd w:val="clear" w:color="auto" w:fill="auto"/>
          </w:tcPr>
          <w:p w14:paraId="74327CC7" w14:textId="72F08683" w:rsidR="001778AA" w:rsidRPr="001455DC" w:rsidRDefault="001778AA" w:rsidP="001778AA">
            <w:pPr>
              <w:pStyle w:val="KeyText"/>
              <w:tabs>
                <w:tab w:val="clear" w:pos="346"/>
              </w:tabs>
              <w:ind w:left="0" w:firstLine="0"/>
            </w:pPr>
            <w:r w:rsidRPr="001455DC">
              <w:rPr>
                <w:lang w:eastAsia="de-CH"/>
              </w:rPr>
              <w:t>Control section B–B:</w:t>
            </w:r>
          </w:p>
        </w:tc>
        <w:tc>
          <w:tcPr>
            <w:tcW w:w="6861" w:type="dxa"/>
            <w:shd w:val="clear" w:color="auto" w:fill="auto"/>
          </w:tcPr>
          <w:p w14:paraId="4FE9E131" w14:textId="64DBBCDC" w:rsidR="001778AA" w:rsidRPr="001455DC" w:rsidRDefault="001778AA" w:rsidP="001778AA">
            <w:pPr>
              <w:pStyle w:val="KeyText"/>
              <w:tabs>
                <w:tab w:val="clear" w:pos="346"/>
              </w:tabs>
              <w:ind w:left="0" w:firstLine="0"/>
              <w:rPr>
                <w:lang w:eastAsia="de-CH"/>
              </w:rPr>
            </w:pPr>
            <w:r w:rsidRPr="001455DC">
              <w:rPr>
                <w:lang w:eastAsia="de-CH"/>
              </w:rPr>
              <w:t>Case where curtailed reinforcement may not be accounted for</w:t>
            </w:r>
          </w:p>
        </w:tc>
      </w:tr>
      <w:tr w:rsidR="001778AA" w:rsidRPr="001455DC" w14:paraId="57390F0D" w14:textId="77777777" w:rsidTr="001778AA">
        <w:tc>
          <w:tcPr>
            <w:tcW w:w="2948" w:type="dxa"/>
            <w:shd w:val="clear" w:color="auto" w:fill="auto"/>
          </w:tcPr>
          <w:p w14:paraId="6311AA94" w14:textId="6CBEB6D8" w:rsidR="001778AA" w:rsidRPr="001455DC" w:rsidRDefault="001778AA" w:rsidP="001778AA">
            <w:pPr>
              <w:pStyle w:val="KeyText"/>
              <w:tabs>
                <w:tab w:val="clear" w:pos="346"/>
              </w:tabs>
              <w:ind w:left="0" w:firstLine="0"/>
            </w:pPr>
            <w:r w:rsidRPr="001455DC">
              <w:rPr>
                <w:lang w:eastAsia="de-CH"/>
              </w:rPr>
              <w:t>Control sections D-D and E–E:</w:t>
            </w:r>
          </w:p>
        </w:tc>
        <w:tc>
          <w:tcPr>
            <w:tcW w:w="6861" w:type="dxa"/>
            <w:shd w:val="clear" w:color="auto" w:fill="auto"/>
          </w:tcPr>
          <w:p w14:paraId="37C9E3E8" w14:textId="5CE93968" w:rsidR="001778AA" w:rsidRPr="001455DC" w:rsidRDefault="001778AA" w:rsidP="001778AA">
            <w:pPr>
              <w:pStyle w:val="KeyText"/>
              <w:tabs>
                <w:tab w:val="clear" w:pos="346"/>
              </w:tabs>
              <w:ind w:left="0" w:firstLine="0"/>
              <w:rPr>
                <w:lang w:eastAsia="de-CH"/>
              </w:rPr>
            </w:pPr>
            <w:r w:rsidRPr="001455DC">
              <w:rPr>
                <w:lang w:eastAsia="de-CH"/>
              </w:rPr>
              <w:t>Cases where curtailed or spliced reinforcement may be partially accounted for</w:t>
            </w:r>
          </w:p>
        </w:tc>
      </w:tr>
    </w:tbl>
    <w:p w14:paraId="4BE09298" w14:textId="77777777" w:rsidR="004E22C1" w:rsidRPr="001455DC" w:rsidRDefault="004E22C1" w:rsidP="001778AA">
      <w:pPr>
        <w:pStyle w:val="Figuretitle"/>
      </w:pPr>
      <w:r w:rsidRPr="001455DC">
        <w:t xml:space="preserve">Figure 8.7 — Definition of </w:t>
      </w:r>
      <w:r w:rsidRPr="001455DC">
        <w:rPr>
          <w:rStyle w:val="CCMCvariableitalic"/>
        </w:rPr>
        <w:t>A</w:t>
      </w:r>
      <w:r w:rsidRPr="001455DC">
        <w:rPr>
          <w:rStyle w:val="CCMCvariablesubscript"/>
        </w:rPr>
        <w:t>sl</w:t>
      </w:r>
      <w:r w:rsidRPr="001455DC">
        <w:t xml:space="preserve"> in Formula (8.13)</w:t>
      </w:r>
    </w:p>
    <w:p w14:paraId="605432E1" w14:textId="6372A761" w:rsidR="0078504E" w:rsidRPr="001455DC" w:rsidRDefault="004E22C1" w:rsidP="00C840EC">
      <w:pPr>
        <w:pStyle w:val="a7"/>
        <w:keepNext/>
        <w:spacing w:after="160"/>
      </w:pPr>
      <w:r w:rsidRPr="001455DC">
        <w:t>(3)</w:t>
      </w:r>
      <w:r w:rsidRPr="001455DC">
        <w:tab/>
        <w:t xml:space="preserve">In members with an effective shear span </w:t>
      </w:r>
      <w:r w:rsidRPr="001455DC">
        <w:rPr>
          <w:rStyle w:val="CCMCvariableitalic"/>
        </w:rPr>
        <w:t>a</w:t>
      </w:r>
      <w:r w:rsidRPr="001455DC">
        <w:rPr>
          <w:rStyle w:val="CCMCvariablesubscript"/>
        </w:rPr>
        <w:t>cs</w:t>
      </w:r>
      <w:r w:rsidRPr="001455DC">
        <w:t xml:space="preserve"> shorter than 4</w:t>
      </w:r>
      <w:r w:rsidRPr="001455DC">
        <w:rPr>
          <w:rStyle w:val="CCMCvariableitalic"/>
        </w:rPr>
        <w:t>d</w:t>
      </w:r>
      <w:r w:rsidRPr="001455DC">
        <w:t xml:space="preserve">, the value of </w:t>
      </w:r>
      <w:r w:rsidRPr="001455DC">
        <w:rPr>
          <w:rStyle w:val="CCMCvariableitalic"/>
        </w:rPr>
        <w:t>d</w:t>
      </w:r>
      <w:r w:rsidR="00604642" w:rsidRPr="001455DC">
        <w:rPr>
          <w:rStyle w:val="CCMCvariablesubscript"/>
        </w:rPr>
        <w:t>nom</w:t>
      </w:r>
      <w:r w:rsidRPr="001455DC">
        <w:t xml:space="preserve"> in Formula (8.</w:t>
      </w:r>
      <w:r w:rsidR="00604642" w:rsidRPr="001455DC">
        <w:t>16</w:t>
      </w:r>
      <w:r w:rsidRPr="001455DC">
        <w:t>) may be replaced by:</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78504E" w:rsidRPr="001455DC" w14:paraId="3AFF8B2C" w14:textId="77777777" w:rsidTr="002A0824">
        <w:trPr>
          <w:cantSplit/>
        </w:trPr>
        <w:tc>
          <w:tcPr>
            <w:tcW w:w="8505" w:type="dxa"/>
            <w:vAlign w:val="center"/>
          </w:tcPr>
          <w:p w14:paraId="1930DBB9" w14:textId="6A3E867E" w:rsidR="0078504E" w:rsidRPr="001455DC" w:rsidRDefault="00231E33" w:rsidP="00C840EC">
            <w:pPr>
              <w:pStyle w:val="Formula"/>
              <w:spacing w:after="160"/>
            </w:pPr>
            <m:oMathPara>
              <m:oMathParaPr>
                <m:jc m:val="left"/>
              </m:oMathParaPr>
              <m:oMath>
                <m:sSub>
                  <m:sSubPr>
                    <m:ctrlPr>
                      <w:rPr>
                        <w:rFonts w:ascii="Cambria Math" w:hAnsi="Cambria Math"/>
                      </w:rPr>
                    </m:ctrlPr>
                  </m:sSubPr>
                  <m:e>
                    <m:r>
                      <w:rPr>
                        <w:rFonts w:ascii="Cambria Math" w:hAnsi="Cambria Math"/>
                      </w:rPr>
                      <m:t>a</m:t>
                    </m:r>
                  </m:e>
                  <m:sub>
                    <m:r>
                      <m:rPr>
                        <m:sty m:val="p"/>
                      </m:rPr>
                      <w:rPr>
                        <w:rFonts w:ascii="Cambria Math" w:hAnsi="Cambria Math"/>
                      </w:rPr>
                      <m:t>v</m:t>
                    </m:r>
                  </m:sub>
                </m:sSub>
                <m:r>
                  <w:rPr>
                    <w:rFonts w:ascii="Cambria Math" w:hAnsi="Cambria Math"/>
                  </w:rPr>
                  <m:t>=</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cs</m:t>
                            </m:r>
                          </m:sub>
                        </m:sSub>
                      </m:num>
                      <m:den>
                        <m:r>
                          <w:rPr>
                            <w:rFonts w:ascii="Cambria Math" w:hAnsi="Cambria Math"/>
                          </w:rPr>
                          <m:t>4</m:t>
                        </m:r>
                      </m:den>
                    </m:f>
                    <m:r>
                      <w:rPr>
                        <w:rFonts w:ascii="Cambria Math" w:hAnsi="Cambria Math"/>
                      </w:rPr>
                      <m:t>⋅d</m:t>
                    </m:r>
                  </m:e>
                </m:rad>
              </m:oMath>
            </m:oMathPara>
          </w:p>
        </w:tc>
        <w:tc>
          <w:tcPr>
            <w:tcW w:w="1247" w:type="dxa"/>
            <w:vAlign w:val="center"/>
          </w:tcPr>
          <w:p w14:paraId="026A16F6" w14:textId="408C24B5" w:rsidR="0078504E" w:rsidRPr="001455DC" w:rsidRDefault="0078504E" w:rsidP="00C840EC">
            <w:pPr>
              <w:pStyle w:val="a7"/>
              <w:spacing w:after="160"/>
              <w:jc w:val="right"/>
            </w:pPr>
            <w:r w:rsidRPr="001455DC">
              <w:rPr>
                <w:lang w:eastAsia="de-CH"/>
              </w:rPr>
              <w:t>(8.</w:t>
            </w:r>
            <w:r w:rsidR="00604642" w:rsidRPr="001455DC">
              <w:rPr>
                <w:lang w:eastAsia="de-CH"/>
              </w:rPr>
              <w:t>18</w:t>
            </w:r>
            <w:r w:rsidRPr="001455DC">
              <w:rPr>
                <w:lang w:eastAsia="de-CH"/>
              </w:rPr>
              <w:t>)</w:t>
            </w:r>
          </w:p>
        </w:tc>
      </w:tr>
    </w:tbl>
    <w:p w14:paraId="4316714C" w14:textId="77777777" w:rsidR="0078504E" w:rsidRPr="001455DC" w:rsidRDefault="004E22C1" w:rsidP="00C840EC">
      <w:pPr>
        <w:pStyle w:val="a7"/>
        <w:keepNext/>
        <w:spacing w:after="160"/>
      </w:pPr>
      <w:r w:rsidRPr="001455DC">
        <w:t xml:space="preserve">Where </w:t>
      </w:r>
      <w:r w:rsidRPr="001455DC">
        <w:rPr>
          <w:rStyle w:val="CCMCvariableitalic"/>
        </w:rPr>
        <w:t>a</w:t>
      </w:r>
      <w:r w:rsidRPr="001455DC">
        <w:rPr>
          <w:rStyle w:val="CCMCvariablesubscript"/>
        </w:rPr>
        <w:t>cs</w:t>
      </w:r>
      <w:r w:rsidRPr="001455DC">
        <w:t xml:space="preserve"> is the effective shear span with respect to the control section. For reinforced concrete members without axial force, it may be calculated as a function of the internal forces at control section:</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78504E" w:rsidRPr="001455DC" w14:paraId="44FFC543" w14:textId="77777777" w:rsidTr="002A0824">
        <w:trPr>
          <w:cantSplit/>
        </w:trPr>
        <w:tc>
          <w:tcPr>
            <w:tcW w:w="8505" w:type="dxa"/>
            <w:vAlign w:val="center"/>
          </w:tcPr>
          <w:p w14:paraId="4F0549B3" w14:textId="1A85FDCF" w:rsidR="0078504E" w:rsidRPr="001455DC" w:rsidRDefault="00231E33" w:rsidP="00C840EC">
            <w:pPr>
              <w:pStyle w:val="Formula"/>
              <w:spacing w:after="160"/>
            </w:pPr>
            <m:oMathPara>
              <m:oMathParaPr>
                <m:jc m:val="left"/>
              </m:oMathParaPr>
              <m:oMath>
                <m:sSub>
                  <m:sSubPr>
                    <m:ctrlPr>
                      <w:rPr>
                        <w:rFonts w:ascii="Cambria Math" w:hAnsi="Cambria Math"/>
                      </w:rPr>
                    </m:ctrlPr>
                  </m:sSubPr>
                  <m:e>
                    <m:r>
                      <w:rPr>
                        <w:rFonts w:ascii="Cambria Math" w:hAnsi="Cambria Math"/>
                      </w:rPr>
                      <m:t>a</m:t>
                    </m:r>
                  </m:e>
                  <m:sub>
                    <m:r>
                      <m:rPr>
                        <m:sty m:val="p"/>
                      </m:rPr>
                      <w:rPr>
                        <w:rFonts w:ascii="Cambria Math" w:hAnsi="Cambria Math"/>
                      </w:rPr>
                      <m:t>cs</m:t>
                    </m:r>
                  </m:sub>
                </m:sSub>
                <m:r>
                  <w:rPr>
                    <w:rFonts w:ascii="Cambria Math" w:hAnsi="Cambria Math"/>
                  </w:rPr>
                  <m:t>=</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Ed</m:t>
                            </m:r>
                          </m:sub>
                        </m:sSub>
                      </m:num>
                      <m:den>
                        <m:sSub>
                          <m:sSubPr>
                            <m:ctrlPr>
                              <w:rPr>
                                <w:rFonts w:ascii="Cambria Math" w:hAnsi="Cambria Math"/>
                              </w:rPr>
                            </m:ctrlPr>
                          </m:sSubPr>
                          <m:e>
                            <m:r>
                              <w:rPr>
                                <w:rFonts w:ascii="Cambria Math" w:hAnsi="Cambria Math"/>
                              </w:rPr>
                              <m:t>V</m:t>
                            </m:r>
                          </m:e>
                          <m:sub>
                            <m:r>
                              <m:rPr>
                                <m:sty m:val="p"/>
                              </m:rPr>
                              <w:rPr>
                                <w:rFonts w:ascii="Cambria Math" w:hAnsi="Cambria Math"/>
                              </w:rPr>
                              <m:t>Ed</m:t>
                            </m:r>
                          </m:sub>
                        </m:sSub>
                      </m:den>
                    </m:f>
                  </m:e>
                </m:d>
                <m:r>
                  <w:rPr>
                    <w:rFonts w:ascii="Cambria Math" w:hAnsi="Cambria Math"/>
                  </w:rPr>
                  <m:t>≥d</m:t>
                </m:r>
              </m:oMath>
            </m:oMathPara>
          </w:p>
        </w:tc>
        <w:tc>
          <w:tcPr>
            <w:tcW w:w="1247" w:type="dxa"/>
            <w:vAlign w:val="center"/>
          </w:tcPr>
          <w:p w14:paraId="18E930BF" w14:textId="5B68FFE1" w:rsidR="0078504E" w:rsidRPr="001455DC" w:rsidRDefault="0078504E" w:rsidP="00C840EC">
            <w:pPr>
              <w:pStyle w:val="a7"/>
              <w:spacing w:after="160"/>
              <w:jc w:val="right"/>
            </w:pPr>
            <w:r w:rsidRPr="001455DC">
              <w:t>(8.</w:t>
            </w:r>
            <w:r w:rsidR="00604642" w:rsidRPr="001455DC">
              <w:t>19</w:t>
            </w:r>
            <w:r w:rsidRPr="001455DC">
              <w:t>)</w:t>
            </w:r>
          </w:p>
        </w:tc>
      </w:tr>
    </w:tbl>
    <w:p w14:paraId="2B52C150" w14:textId="77777777" w:rsidR="004E22C1" w:rsidRPr="001455DC" w:rsidRDefault="004E22C1" w:rsidP="00C840EC">
      <w:pPr>
        <w:pStyle w:val="a7"/>
        <w:spacing w:after="160"/>
      </w:pPr>
      <w:r w:rsidRPr="001455DC">
        <w:t>Only the load case giving maximum shear with coexistent bending and that giving maximum bending with coexistent shear need to be considered.</w:t>
      </w:r>
    </w:p>
    <w:p w14:paraId="36A96B8B" w14:textId="2A93EA77" w:rsidR="0078504E" w:rsidRPr="001455DC" w:rsidRDefault="004E22C1" w:rsidP="00C840EC">
      <w:pPr>
        <w:pStyle w:val="a7"/>
        <w:keepNext/>
        <w:spacing w:after="160"/>
      </w:pPr>
      <w:r w:rsidRPr="001455DC">
        <w:t>(4)</w:t>
      </w:r>
      <w:r w:rsidRPr="001455DC">
        <w:tab/>
        <w:t xml:space="preserve">In presence of axial forces </w:t>
      </w:r>
      <w:r w:rsidRPr="001455DC">
        <w:rPr>
          <w:rStyle w:val="CCMCvariableitalic"/>
        </w:rPr>
        <w:t>N</w:t>
      </w:r>
      <w:r w:rsidRPr="001455DC">
        <w:rPr>
          <w:rStyle w:val="CCMCvariablesubscript"/>
        </w:rPr>
        <w:t>Ed</w:t>
      </w:r>
      <w:r w:rsidRPr="001455DC">
        <w:t xml:space="preserve">, acting at the control section, the value of </w:t>
      </w:r>
      <w:r w:rsidRPr="001455DC">
        <w:rPr>
          <w:rStyle w:val="CCMCvariableitalic"/>
        </w:rPr>
        <w:t>d</w:t>
      </w:r>
      <w:r w:rsidRPr="001455DC">
        <w:t xml:space="preserve"> in Formula (8.</w:t>
      </w:r>
      <w:r w:rsidR="00604642" w:rsidRPr="001455DC">
        <w:t>16</w:t>
      </w:r>
      <w:r w:rsidRPr="001455DC">
        <w:t xml:space="preserve">) or </w:t>
      </w:r>
      <w:r w:rsidRPr="001455DC">
        <w:rPr>
          <w:rStyle w:val="CCMCvariableitalic"/>
        </w:rPr>
        <w:t>a</w:t>
      </w:r>
      <w:r w:rsidRPr="001455DC">
        <w:rPr>
          <w:rStyle w:val="CCMCvariablesubscript"/>
        </w:rPr>
        <w:t>v</w:t>
      </w:r>
      <w:r w:rsidRPr="001455DC">
        <w:t xml:space="preserve"> in Formula (8.</w:t>
      </w:r>
      <w:r w:rsidR="00604642" w:rsidRPr="001455DC">
        <w:t>18</w:t>
      </w:r>
      <w:r w:rsidRPr="001455DC">
        <w:t xml:space="preserve">) should be multiplied by coefficient </w:t>
      </w:r>
      <w:r w:rsidRPr="001455DC">
        <w:rPr>
          <w:rStyle w:val="CCMCvariableitalic"/>
        </w:rPr>
        <w:t>k</w:t>
      </w:r>
      <w:r w:rsidRPr="001455DC">
        <w:rPr>
          <w:rStyle w:val="CCMCvariablesubscript"/>
        </w:rPr>
        <w:t>vp</w:t>
      </w:r>
      <w:r w:rsidRPr="001455DC">
        <w:t xml:space="preserve"> according to Formula (8.</w:t>
      </w:r>
      <w:r w:rsidR="00604642" w:rsidRPr="001455DC">
        <w:t>20</w:t>
      </w:r>
      <w:r w:rsidRPr="001455DC">
        <w:t>):</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78504E" w:rsidRPr="001455DC" w14:paraId="6D17EE7C" w14:textId="77777777" w:rsidTr="002A0824">
        <w:trPr>
          <w:cantSplit/>
        </w:trPr>
        <w:tc>
          <w:tcPr>
            <w:tcW w:w="8505" w:type="dxa"/>
            <w:vAlign w:val="center"/>
          </w:tcPr>
          <w:p w14:paraId="1C8F82FF" w14:textId="37C45BF3" w:rsidR="0078504E" w:rsidRPr="001455DC" w:rsidRDefault="00231E33" w:rsidP="00C840EC">
            <w:pPr>
              <w:pStyle w:val="Formula"/>
              <w:spacing w:after="160"/>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rPr>
                      <m:t>vp</m:t>
                    </m:r>
                  </m:sub>
                </m:sSub>
                <m: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Ed</m:t>
                        </m:r>
                      </m:sub>
                    </m:sSub>
                  </m:num>
                  <m:den>
                    <m:d>
                      <m:dPr>
                        <m:begChr m:val="|"/>
                        <m:endChr m:val="|"/>
                        <m:ctrlPr>
                          <w:rPr>
                            <w:rFonts w:ascii="Cambria Math" w:hAnsi="Cambria Math"/>
                          </w:rPr>
                        </m:ctrlPr>
                      </m:dPr>
                      <m:e>
                        <m:sSub>
                          <m:sSubPr>
                            <m:ctrlPr>
                              <w:rPr>
                                <w:rFonts w:ascii="Cambria Math" w:hAnsi="Cambria Math"/>
                              </w:rPr>
                            </m:ctrlPr>
                          </m:sSubPr>
                          <m:e>
                            <m:r>
                              <w:rPr>
                                <w:rFonts w:ascii="Cambria Math" w:hAnsi="Cambria Math"/>
                              </w:rPr>
                              <m:t>V</m:t>
                            </m:r>
                          </m:e>
                          <m:sub>
                            <m:r>
                              <m:rPr>
                                <m:sty m:val="p"/>
                              </m:rPr>
                              <w:rPr>
                                <w:rFonts w:ascii="Cambria Math" w:hAnsi="Cambria Math"/>
                              </w:rPr>
                              <m:t>Ed</m:t>
                            </m:r>
                          </m:sub>
                        </m:sSub>
                      </m:e>
                    </m:d>
                  </m:den>
                </m:f>
                <m:f>
                  <m:fPr>
                    <m:ctrlPr>
                      <w:rPr>
                        <w:rFonts w:ascii="Cambria Math" w:hAnsi="Cambria Math"/>
                      </w:rPr>
                    </m:ctrlPr>
                  </m:fPr>
                  <m:num>
                    <m:r>
                      <w:rPr>
                        <w:rFonts w:ascii="Cambria Math" w:hAnsi="Cambria Math"/>
                      </w:rPr>
                      <m:t>d</m:t>
                    </m:r>
                  </m:num>
                  <m:den>
                    <m:r>
                      <w:rPr>
                        <w:rFonts w:ascii="Cambria Math" w:hAnsi="Cambria Math"/>
                      </w:rPr>
                      <m:t>3⋅</m:t>
                    </m:r>
                    <m:sSub>
                      <m:sSubPr>
                        <m:ctrlPr>
                          <w:rPr>
                            <w:rFonts w:ascii="Cambria Math" w:hAnsi="Cambria Math"/>
                          </w:rPr>
                        </m:ctrlPr>
                      </m:sSubPr>
                      <m:e>
                        <m:r>
                          <w:rPr>
                            <w:rFonts w:ascii="Cambria Math" w:hAnsi="Cambria Math"/>
                          </w:rPr>
                          <m:t>a</m:t>
                        </m:r>
                      </m:e>
                      <m:sub>
                        <m:r>
                          <m:rPr>
                            <m:sty m:val="p"/>
                          </m:rPr>
                          <w:rPr>
                            <w:rFonts w:ascii="Cambria Math" w:hAnsi="Cambria Math"/>
                          </w:rPr>
                          <m:t>cs</m:t>
                        </m:r>
                      </m:sub>
                    </m:sSub>
                  </m:den>
                </m:f>
                <m:r>
                  <w:rPr>
                    <w:rFonts w:ascii="Cambria Math" w:hAnsi="Cambria Math"/>
                  </w:rPr>
                  <m:t>≥0,1</m:t>
                </m:r>
              </m:oMath>
            </m:oMathPara>
          </w:p>
        </w:tc>
        <w:tc>
          <w:tcPr>
            <w:tcW w:w="1247" w:type="dxa"/>
            <w:vAlign w:val="center"/>
          </w:tcPr>
          <w:p w14:paraId="48A13FC3" w14:textId="07969B58" w:rsidR="0078504E" w:rsidRPr="001455DC" w:rsidRDefault="0078504E" w:rsidP="00C840EC">
            <w:pPr>
              <w:pStyle w:val="a7"/>
              <w:spacing w:after="160"/>
              <w:jc w:val="right"/>
            </w:pPr>
            <w:r w:rsidRPr="001455DC">
              <w:t>(8.</w:t>
            </w:r>
            <w:r w:rsidR="00604642" w:rsidRPr="001455DC">
              <w:t>20</w:t>
            </w:r>
            <w:r w:rsidRPr="001455DC">
              <w:t>)</w:t>
            </w:r>
          </w:p>
        </w:tc>
      </w:tr>
    </w:tbl>
    <w:p w14:paraId="5D9ECF4B" w14:textId="2527CA56" w:rsidR="002C3D36" w:rsidRPr="001455DC" w:rsidRDefault="00611764" w:rsidP="00C840EC">
      <w:pPr>
        <w:pStyle w:val="a7"/>
        <w:spacing w:after="160"/>
        <w:rPr>
          <w:rFonts w:cs="Arial"/>
          <w:lang w:eastAsia="de-CH"/>
        </w:rPr>
      </w:pPr>
      <w:r w:rsidRPr="001455DC">
        <w:rPr>
          <w:rFonts w:cs="Arial"/>
          <w:lang w:eastAsia="de-CH"/>
        </w:rPr>
        <w:t xml:space="preserve">(5) Alternatively to Formulae </w:t>
      </w:r>
      <w:r w:rsidRPr="009D3012">
        <w:rPr>
          <w:rFonts w:cs="Arial"/>
          <w:lang w:eastAsia="de-CH"/>
        </w:rPr>
        <w:t xml:space="preserve">(8.16) </w:t>
      </w:r>
      <w:r w:rsidRPr="001455DC">
        <w:rPr>
          <w:rFonts w:cs="Arial"/>
          <w:lang w:eastAsia="de-CH"/>
        </w:rPr>
        <w:t xml:space="preserve">to </w:t>
      </w:r>
      <w:r w:rsidRPr="009D3012">
        <w:rPr>
          <w:rFonts w:cs="Arial"/>
          <w:lang w:eastAsia="de-CH"/>
        </w:rPr>
        <w:t xml:space="preserve">(8.20) </w:t>
      </w:r>
      <w:r w:rsidRPr="001455DC">
        <w:rPr>
          <w:rFonts w:cs="Arial"/>
          <w:lang w:eastAsia="de-CH"/>
        </w:rPr>
        <w:t xml:space="preserve">the approach considering the effect of compressive normal forces according Formula </w:t>
      </w:r>
      <w:r w:rsidRPr="009D3012">
        <w:rPr>
          <w:rFonts w:cs="Arial"/>
          <w:lang w:eastAsia="de-CH"/>
        </w:rPr>
        <w:t xml:space="preserve">(8.21) </w:t>
      </w:r>
      <w:r w:rsidRPr="001455DC">
        <w:rPr>
          <w:rFonts w:cs="Arial"/>
          <w:lang w:eastAsia="de-CH"/>
        </w:rPr>
        <w:t>may be used:</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611764" w:rsidRPr="001455DC" w14:paraId="61DFCFEE" w14:textId="77777777" w:rsidTr="00611764">
        <w:trPr>
          <w:cantSplit/>
        </w:trPr>
        <w:tc>
          <w:tcPr>
            <w:tcW w:w="8505" w:type="dxa"/>
            <w:vAlign w:val="center"/>
          </w:tcPr>
          <w:p w14:paraId="02F29E38" w14:textId="72B3CBB9" w:rsidR="00611764" w:rsidRPr="009D3012" w:rsidRDefault="00611764" w:rsidP="00C840EC">
            <w:pPr>
              <w:pStyle w:val="Formula"/>
              <w:keepNext/>
              <w:keepLines/>
              <w:spacing w:after="160"/>
              <w:rPr>
                <w:rFonts w:cs="Arial"/>
                <w:lang w:eastAsia="de-CH"/>
              </w:rPr>
            </w:pPr>
            <w:r w:rsidRPr="009D3012">
              <w:rPr>
                <w:rFonts w:cs="Arial"/>
                <w:position w:val="-28"/>
                <w:lang w:eastAsia="de-CH"/>
              </w:rPr>
              <w:object w:dxaOrig="4200" w:dyaOrig="780" w14:anchorId="287FB7BA">
                <v:shape id="_x0000_i1156" type="#_x0000_t75" style="width:186.75pt;height:35.25pt" o:ole="">
                  <v:imagedata r:id="rId282" o:title=""/>
                </v:shape>
                <o:OLEObject Type="Embed" ProgID="Equation.DSMT4" ShapeID="_x0000_i1156" DrawAspect="Content" ObjectID="_1692169475" r:id="rId283"/>
              </w:object>
            </w:r>
          </w:p>
        </w:tc>
        <w:tc>
          <w:tcPr>
            <w:tcW w:w="1247" w:type="dxa"/>
            <w:vAlign w:val="center"/>
          </w:tcPr>
          <w:p w14:paraId="30AC6D09" w14:textId="0EF7D0A6" w:rsidR="00611764" w:rsidRPr="001455DC" w:rsidRDefault="00611764" w:rsidP="00C840EC">
            <w:pPr>
              <w:pStyle w:val="a7"/>
              <w:keepNext/>
              <w:keepLines/>
              <w:spacing w:after="160"/>
              <w:jc w:val="right"/>
            </w:pPr>
            <w:r w:rsidRPr="001455DC">
              <w:t>(8.21)</w:t>
            </w:r>
          </w:p>
        </w:tc>
      </w:tr>
    </w:tbl>
    <w:p w14:paraId="62A5496A" w14:textId="77777777" w:rsidR="00611764" w:rsidRPr="001455DC" w:rsidRDefault="00611764" w:rsidP="00611764">
      <w:pPr>
        <w:pStyle w:val="a7"/>
        <w:keepNext/>
      </w:pPr>
      <w:r w:rsidRPr="001455DC">
        <w:t>where</w:t>
      </w:r>
    </w:p>
    <w:tbl>
      <w:tblPr>
        <w:tblW w:w="9413" w:type="dxa"/>
        <w:tblInd w:w="397" w:type="dxa"/>
        <w:tblLayout w:type="fixed"/>
        <w:tblCellMar>
          <w:left w:w="28" w:type="dxa"/>
          <w:right w:w="28" w:type="dxa"/>
        </w:tblCellMar>
        <w:tblLook w:val="04A0" w:firstRow="1" w:lastRow="0" w:firstColumn="1" w:lastColumn="0" w:noHBand="0" w:noVBand="1"/>
      </w:tblPr>
      <w:tblGrid>
        <w:gridCol w:w="482"/>
        <w:gridCol w:w="8931"/>
      </w:tblGrid>
      <w:tr w:rsidR="00611764" w:rsidRPr="001455DC" w14:paraId="11CAC77A" w14:textId="77777777" w:rsidTr="009D3012">
        <w:trPr>
          <w:cantSplit/>
        </w:trPr>
        <w:tc>
          <w:tcPr>
            <w:tcW w:w="482" w:type="dxa"/>
          </w:tcPr>
          <w:p w14:paraId="79FE4E9B" w14:textId="41F19644" w:rsidR="00611764" w:rsidRPr="001455DC" w:rsidRDefault="00611764" w:rsidP="00C840EC">
            <w:pPr>
              <w:pStyle w:val="Tablebody"/>
              <w:keepNext/>
              <w:spacing w:after="120"/>
            </w:pPr>
            <w:r w:rsidRPr="001455DC">
              <w:rPr>
                <w:i/>
              </w:rPr>
              <w:sym w:font="Symbol" w:char="F073"/>
            </w:r>
            <w:r w:rsidRPr="001455DC">
              <w:rPr>
                <w:iCs/>
                <w:vertAlign w:val="subscript"/>
              </w:rPr>
              <w:t>cp</w:t>
            </w:r>
          </w:p>
        </w:tc>
        <w:tc>
          <w:tcPr>
            <w:tcW w:w="8931" w:type="dxa"/>
          </w:tcPr>
          <w:p w14:paraId="2C1A8E1D" w14:textId="76D86FCE" w:rsidR="00611764" w:rsidRPr="001455DC" w:rsidRDefault="00611764" w:rsidP="00C840EC">
            <w:pPr>
              <w:pStyle w:val="Tablebody"/>
              <w:spacing w:after="120"/>
            </w:pPr>
            <w:r w:rsidRPr="001455DC">
              <w:rPr>
                <w:i/>
              </w:rPr>
              <w:t>= N</w:t>
            </w:r>
            <w:r w:rsidRPr="001455DC">
              <w:rPr>
                <w:iCs/>
                <w:vertAlign w:val="subscript"/>
              </w:rPr>
              <w:t>Ed</w:t>
            </w:r>
            <w:r w:rsidRPr="001455DC">
              <w:rPr>
                <w:i/>
              </w:rPr>
              <w:t xml:space="preserve"> </w:t>
            </w:r>
            <w:r w:rsidRPr="001455DC">
              <w:rPr>
                <w:iCs/>
              </w:rPr>
              <w:t>/</w:t>
            </w:r>
            <w:r w:rsidRPr="001455DC">
              <w:rPr>
                <w:i/>
              </w:rPr>
              <w:t xml:space="preserve"> A</w:t>
            </w:r>
            <w:r w:rsidRPr="001455DC">
              <w:rPr>
                <w:iCs/>
                <w:vertAlign w:val="subscript"/>
              </w:rPr>
              <w:t>c</w:t>
            </w:r>
            <w:r w:rsidRPr="001455DC">
              <w:rPr>
                <w:i/>
              </w:rPr>
              <w:t xml:space="preserve"> </w:t>
            </w:r>
            <w:r w:rsidRPr="001455DC">
              <w:t xml:space="preserve">&lt; 0,2 </w:t>
            </w:r>
            <w:r w:rsidRPr="001455DC">
              <w:rPr>
                <w:i/>
              </w:rPr>
              <w:t>f</w:t>
            </w:r>
            <w:r w:rsidRPr="001455DC">
              <w:rPr>
                <w:iCs/>
                <w:vertAlign w:val="subscript"/>
              </w:rPr>
              <w:t>cd</w:t>
            </w:r>
            <w:r w:rsidRPr="001455DC">
              <w:t xml:space="preserve"> [MPa];</w:t>
            </w:r>
          </w:p>
        </w:tc>
      </w:tr>
      <w:tr w:rsidR="00611764" w:rsidRPr="001455DC" w14:paraId="1B3A630B" w14:textId="77777777" w:rsidTr="009D3012">
        <w:trPr>
          <w:cantSplit/>
        </w:trPr>
        <w:tc>
          <w:tcPr>
            <w:tcW w:w="482" w:type="dxa"/>
          </w:tcPr>
          <w:p w14:paraId="2B535E1A" w14:textId="67304C4D" w:rsidR="00611764" w:rsidRPr="001455DC" w:rsidRDefault="00611764" w:rsidP="00C840EC">
            <w:pPr>
              <w:pStyle w:val="Tablebody"/>
              <w:spacing w:after="120"/>
            </w:pPr>
            <w:r w:rsidRPr="001455DC">
              <w:rPr>
                <w:i/>
              </w:rPr>
              <w:t>N</w:t>
            </w:r>
            <w:r w:rsidRPr="001455DC">
              <w:rPr>
                <w:iCs/>
                <w:vertAlign w:val="subscript"/>
              </w:rPr>
              <w:t>Ed</w:t>
            </w:r>
          </w:p>
        </w:tc>
        <w:tc>
          <w:tcPr>
            <w:tcW w:w="8931" w:type="dxa"/>
          </w:tcPr>
          <w:p w14:paraId="384DC990" w14:textId="6D0583E5" w:rsidR="00611764" w:rsidRPr="001455DC" w:rsidRDefault="00611764" w:rsidP="00C840EC">
            <w:pPr>
              <w:pStyle w:val="Tablebody"/>
              <w:spacing w:after="120"/>
            </w:pPr>
            <w:r w:rsidRPr="001455DC">
              <w:t xml:space="preserve">is the compressive </w:t>
            </w:r>
            <w:r w:rsidR="00B10711" w:rsidRPr="001455DC">
              <w:t xml:space="preserve">axial force in the cross </w:t>
            </w:r>
            <w:r w:rsidRPr="001455DC">
              <w:t>section due to loading or prestressing;</w:t>
            </w:r>
          </w:p>
        </w:tc>
      </w:tr>
      <w:tr w:rsidR="00611764" w:rsidRPr="001455DC" w14:paraId="005597C5" w14:textId="77777777" w:rsidTr="009D3012">
        <w:trPr>
          <w:cantSplit/>
        </w:trPr>
        <w:tc>
          <w:tcPr>
            <w:tcW w:w="482" w:type="dxa"/>
          </w:tcPr>
          <w:p w14:paraId="29F66CA6" w14:textId="4BC28102" w:rsidR="00611764" w:rsidRPr="001455DC" w:rsidRDefault="00611764" w:rsidP="00C840EC">
            <w:pPr>
              <w:pStyle w:val="Tablebody"/>
              <w:spacing w:after="120"/>
            </w:pPr>
            <w:r w:rsidRPr="009D3012">
              <w:rPr>
                <w:rFonts w:cs="Arial"/>
                <w:i/>
                <w:lang w:eastAsia="de-CH"/>
              </w:rPr>
              <w:t>A</w:t>
            </w:r>
            <w:r w:rsidRPr="009D3012">
              <w:rPr>
                <w:rFonts w:cs="Arial"/>
                <w:iCs/>
                <w:vertAlign w:val="subscript"/>
                <w:lang w:eastAsia="de-CH"/>
              </w:rPr>
              <w:t>c</w:t>
            </w:r>
          </w:p>
        </w:tc>
        <w:tc>
          <w:tcPr>
            <w:tcW w:w="8931" w:type="dxa"/>
          </w:tcPr>
          <w:p w14:paraId="6DB2D300" w14:textId="6AC63C7C" w:rsidR="00611764" w:rsidRPr="001455DC" w:rsidRDefault="00611764" w:rsidP="00C840EC">
            <w:pPr>
              <w:pStyle w:val="Tablebody"/>
              <w:spacing w:after="120"/>
            </w:pPr>
            <w:r w:rsidRPr="009D3012">
              <w:rPr>
                <w:rFonts w:cs="Arial"/>
                <w:lang w:eastAsia="de-CH"/>
              </w:rPr>
              <w:t>is the area of concrete cross section.</w:t>
            </w:r>
          </w:p>
        </w:tc>
      </w:tr>
    </w:tbl>
    <w:p w14:paraId="01AEE20B" w14:textId="2175E139" w:rsidR="00611764" w:rsidRPr="009D3012" w:rsidRDefault="00611764" w:rsidP="009D3012">
      <w:pPr>
        <w:pStyle w:val="Note"/>
      </w:pPr>
      <w:r w:rsidRPr="009D3012">
        <w:rPr>
          <w:bCs/>
        </w:rPr>
        <w:t>NOTE</w:t>
      </w:r>
      <w:r w:rsidR="00C840EC">
        <w:rPr>
          <w:bCs/>
        </w:rPr>
        <w:t xml:space="preserve"> </w:t>
      </w:r>
      <w:r w:rsidR="00DB5136" w:rsidRPr="009D3012">
        <w:rPr>
          <w:bCs/>
        </w:rPr>
        <w:tab/>
      </w:r>
      <w:r w:rsidRPr="009D3012">
        <w:t xml:space="preserve">The factor </w:t>
      </w:r>
      <w:r w:rsidRPr="009D3012">
        <w:rPr>
          <w:i/>
          <w:iCs/>
        </w:rPr>
        <w:t>k</w:t>
      </w:r>
      <w:r w:rsidRPr="009D3012">
        <w:rPr>
          <w:vertAlign w:val="subscript"/>
        </w:rPr>
        <w:t>1</w:t>
      </w:r>
      <w:r w:rsidRPr="009D3012">
        <w:t xml:space="preserve"> can be calculated according to Formula (8.22) unless a National Annex gives another value.</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611764" w:rsidRPr="001455DC" w14:paraId="6E09899E" w14:textId="77777777" w:rsidTr="00611764">
        <w:trPr>
          <w:cantSplit/>
        </w:trPr>
        <w:tc>
          <w:tcPr>
            <w:tcW w:w="8505" w:type="dxa"/>
            <w:vAlign w:val="center"/>
          </w:tcPr>
          <w:p w14:paraId="558E2CB7" w14:textId="79CCAE39" w:rsidR="00611764" w:rsidRPr="009D3012" w:rsidRDefault="00611764" w:rsidP="00611764">
            <w:pPr>
              <w:pStyle w:val="Formula"/>
              <w:rPr>
                <w:rFonts w:cs="Arial"/>
                <w:lang w:eastAsia="de-CH"/>
              </w:rPr>
            </w:pPr>
            <w:r w:rsidRPr="009D3012">
              <w:rPr>
                <w:rFonts w:cs="Arial"/>
                <w:position w:val="-28"/>
                <w:sz w:val="18"/>
                <w:szCs w:val="18"/>
                <w:lang w:eastAsia="de-CH"/>
              </w:rPr>
              <w:object w:dxaOrig="3019" w:dyaOrig="660" w14:anchorId="038AAAF2">
                <v:shape id="_x0000_i1157" type="#_x0000_t75" style="width:2in;height:28.5pt" o:ole="">
                  <v:imagedata r:id="rId284" o:title=""/>
                </v:shape>
                <o:OLEObject Type="Embed" ProgID="Equation.DSMT4" ShapeID="_x0000_i1157" DrawAspect="Content" ObjectID="_1692169476" r:id="rId285"/>
              </w:object>
            </w:r>
          </w:p>
        </w:tc>
        <w:tc>
          <w:tcPr>
            <w:tcW w:w="1247" w:type="dxa"/>
            <w:vAlign w:val="center"/>
          </w:tcPr>
          <w:p w14:paraId="4A565BB8" w14:textId="19026BFC" w:rsidR="00611764" w:rsidRPr="001455DC" w:rsidRDefault="00611764">
            <w:pPr>
              <w:pStyle w:val="a7"/>
              <w:jc w:val="right"/>
            </w:pPr>
            <w:r w:rsidRPr="001455DC">
              <w:t>(8.22)</w:t>
            </w:r>
          </w:p>
        </w:tc>
      </w:tr>
    </w:tbl>
    <w:p w14:paraId="67F676C2" w14:textId="77777777" w:rsidR="00611764" w:rsidRPr="001455DC" w:rsidRDefault="00611764" w:rsidP="00611764">
      <w:pPr>
        <w:pStyle w:val="a7"/>
        <w:keepNext/>
      </w:pPr>
      <w:r w:rsidRPr="001455DC">
        <w:t>where</w:t>
      </w:r>
    </w:p>
    <w:p w14:paraId="770922C2" w14:textId="77777777" w:rsidR="00611764" w:rsidRPr="009D3012" w:rsidRDefault="00611764" w:rsidP="009D3012">
      <w:pPr>
        <w:tabs>
          <w:tab w:val="left" w:pos="567"/>
        </w:tabs>
        <w:rPr>
          <w:rFonts w:cs="Arial"/>
          <w:lang w:eastAsia="de-CH"/>
        </w:rPr>
      </w:pPr>
    </w:p>
    <w:tbl>
      <w:tblPr>
        <w:tblW w:w="9413" w:type="dxa"/>
        <w:tblInd w:w="397" w:type="dxa"/>
        <w:tblLayout w:type="fixed"/>
        <w:tblCellMar>
          <w:left w:w="28" w:type="dxa"/>
          <w:right w:w="28" w:type="dxa"/>
        </w:tblCellMar>
        <w:tblLook w:val="04A0" w:firstRow="1" w:lastRow="0" w:firstColumn="1" w:lastColumn="0" w:noHBand="0" w:noVBand="1"/>
      </w:tblPr>
      <w:tblGrid>
        <w:gridCol w:w="482"/>
        <w:gridCol w:w="8931"/>
      </w:tblGrid>
      <w:tr w:rsidR="00611764" w:rsidRPr="001455DC" w14:paraId="1051FC94" w14:textId="77777777" w:rsidTr="009D3012">
        <w:trPr>
          <w:cantSplit/>
        </w:trPr>
        <w:tc>
          <w:tcPr>
            <w:tcW w:w="482" w:type="dxa"/>
          </w:tcPr>
          <w:p w14:paraId="5EA9628F" w14:textId="4FFF96BA" w:rsidR="00611764" w:rsidRPr="009D3012" w:rsidRDefault="00611764" w:rsidP="00C840EC">
            <w:pPr>
              <w:pStyle w:val="Tablebody"/>
              <w:keepNext/>
              <w:spacing w:after="120"/>
              <w:rPr>
                <w:szCs w:val="22"/>
              </w:rPr>
            </w:pPr>
            <w:r w:rsidRPr="009D3012">
              <w:rPr>
                <w:rFonts w:cs="Arial"/>
                <w:i/>
                <w:szCs w:val="22"/>
                <w:lang w:eastAsia="de-CH"/>
              </w:rPr>
              <w:t>e</w:t>
            </w:r>
            <w:r w:rsidRPr="009D3012">
              <w:rPr>
                <w:rFonts w:cs="Arial"/>
                <w:iCs/>
                <w:szCs w:val="22"/>
                <w:vertAlign w:val="subscript"/>
                <w:lang w:eastAsia="de-CH"/>
              </w:rPr>
              <w:t>p</w:t>
            </w:r>
          </w:p>
        </w:tc>
        <w:tc>
          <w:tcPr>
            <w:tcW w:w="8931" w:type="dxa"/>
          </w:tcPr>
          <w:p w14:paraId="233701EF" w14:textId="3C4E04CD" w:rsidR="00611764" w:rsidRPr="009D3012" w:rsidRDefault="00611764" w:rsidP="00C840EC">
            <w:pPr>
              <w:pStyle w:val="Tablebody"/>
              <w:spacing w:after="120"/>
              <w:rPr>
                <w:szCs w:val="22"/>
              </w:rPr>
            </w:pPr>
            <w:r w:rsidRPr="009D3012">
              <w:rPr>
                <w:rFonts w:cs="Arial"/>
                <w:szCs w:val="22"/>
                <w:lang w:eastAsia="de-CH"/>
              </w:rPr>
              <w:t>is the eccentricity of the tendons with respect to the centre of gravity of the cross section considered as positive for tendons on the tensile side. For statically indeterminate members, the effect of hyperstatic moments due to prestressing should be considered by modifying the tendons eccentricity accordingly.</w:t>
            </w:r>
          </w:p>
        </w:tc>
      </w:tr>
    </w:tbl>
    <w:p w14:paraId="1F7AABF7" w14:textId="1689E9B8" w:rsidR="0078504E" w:rsidRPr="001455DC" w:rsidRDefault="00611764" w:rsidP="008D37B2">
      <w:pPr>
        <w:pStyle w:val="a7"/>
        <w:keepNext/>
      </w:pPr>
      <w:r w:rsidRPr="001455DC">
        <w:t xml:space="preserve"> </w:t>
      </w:r>
      <w:r w:rsidR="004E22C1" w:rsidRPr="001455DC">
        <w:t>(</w:t>
      </w:r>
      <w:r w:rsidR="00DB5136" w:rsidRPr="001455DC">
        <w:t>6</w:t>
      </w:r>
      <w:r w:rsidR="004E22C1" w:rsidRPr="001455DC">
        <w:t>)</w:t>
      </w:r>
      <w:r w:rsidR="004E22C1" w:rsidRPr="001455DC">
        <w:tab/>
        <w:t xml:space="preserve">Prestressing effects according to 8.2.1(8) should be considered in the values of </w:t>
      </w:r>
      <w:r w:rsidR="004E22C1" w:rsidRPr="001455DC">
        <w:rPr>
          <w:rStyle w:val="CCMCvariableitalic"/>
        </w:rPr>
        <w:t>M</w:t>
      </w:r>
      <w:r w:rsidR="004E22C1" w:rsidRPr="001455DC">
        <w:rPr>
          <w:rStyle w:val="CCMCvariablesubscript"/>
        </w:rPr>
        <w:t>Ed</w:t>
      </w:r>
      <w:r w:rsidR="004E22C1" w:rsidRPr="001455DC">
        <w:t xml:space="preserve">, </w:t>
      </w:r>
      <w:r w:rsidR="004E22C1" w:rsidRPr="001455DC">
        <w:rPr>
          <w:rStyle w:val="CCMCvariableitalic"/>
        </w:rPr>
        <w:t>V</w:t>
      </w:r>
      <w:r w:rsidR="004E22C1" w:rsidRPr="001455DC">
        <w:rPr>
          <w:rStyle w:val="CCMCvariablesubscript"/>
        </w:rPr>
        <w:t>Ed</w:t>
      </w:r>
      <w:r w:rsidR="004E22C1" w:rsidRPr="001455DC">
        <w:t xml:space="preserve"> and </w:t>
      </w:r>
      <w:r w:rsidR="004E22C1" w:rsidRPr="001455DC">
        <w:rPr>
          <w:rStyle w:val="CCMCvariableitalic"/>
        </w:rPr>
        <w:t>N</w:t>
      </w:r>
      <w:r w:rsidR="004E22C1" w:rsidRPr="001455DC">
        <w:rPr>
          <w:rStyle w:val="CCMCvariablesubscript"/>
        </w:rPr>
        <w:t>Ed</w:t>
      </w:r>
      <w:r w:rsidR="004E22C1" w:rsidRPr="001455DC">
        <w:t xml:space="preserve"> to be used in Formula (8.</w:t>
      </w:r>
      <w:r w:rsidR="00DB5136" w:rsidRPr="001455DC">
        <w:t>20</w:t>
      </w:r>
      <w:r w:rsidR="004E22C1" w:rsidRPr="001455DC">
        <w:t xml:space="preserve">). For prestressed members with bonded tendons, the effective depth </w:t>
      </w:r>
      <w:r w:rsidR="004E22C1" w:rsidRPr="001455DC">
        <w:rPr>
          <w:rStyle w:val="CCMCvariableitalic"/>
        </w:rPr>
        <w:t>d</w:t>
      </w:r>
      <w:r w:rsidR="004E22C1" w:rsidRPr="001455DC">
        <w:t xml:space="preserve"> and the reinforcement ratio </w:t>
      </w:r>
      <w:r w:rsidR="004E22C1" w:rsidRPr="001455DC">
        <w:rPr>
          <w:rStyle w:val="CCMCvariableitalic"/>
        </w:rPr>
        <w:t>ρ</w:t>
      </w:r>
      <w:r w:rsidR="004E22C1" w:rsidRPr="001455DC">
        <w:rPr>
          <w:rStyle w:val="CCMCvariablesubscript"/>
        </w:rPr>
        <w:t>l</w:t>
      </w:r>
      <w:r w:rsidR="004E22C1" w:rsidRPr="001455DC">
        <w:t xml:space="preserve"> may be calculated as follows: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78504E" w:rsidRPr="001455DC" w14:paraId="63AB233F" w14:textId="77777777" w:rsidTr="002A0824">
        <w:trPr>
          <w:cantSplit/>
        </w:trPr>
        <w:tc>
          <w:tcPr>
            <w:tcW w:w="8505" w:type="dxa"/>
            <w:vAlign w:val="center"/>
          </w:tcPr>
          <w:p w14:paraId="4023E830" w14:textId="0A5D40AD" w:rsidR="0078504E" w:rsidRPr="001455DC" w:rsidRDefault="00A84CE8" w:rsidP="00A84CE8">
            <w:pPr>
              <w:pStyle w:val="Formula"/>
            </w:pPr>
            <m:oMathPara>
              <m:oMathParaPr>
                <m:jc m:val="left"/>
              </m:oMathParaPr>
              <m:oMath>
                <m:r>
                  <w:rPr>
                    <w:rFonts w:ascii="Cambria Math" w:hAnsi="Cambria Math"/>
                  </w:rPr>
                  <m:t>d=</m:t>
                </m:r>
                <m:f>
                  <m:fPr>
                    <m:ctrlPr>
                      <w:rPr>
                        <w:rFonts w:ascii="Cambria Math" w:hAnsi="Cambria Math"/>
                      </w:rPr>
                    </m:ctrlPr>
                  </m:fPr>
                  <m:num>
                    <m:sSubSup>
                      <m:sSubSupPr>
                        <m:ctrlPr>
                          <w:rPr>
                            <w:rFonts w:ascii="Cambria Math" w:hAnsi="Cambria Math"/>
                          </w:rPr>
                        </m:ctrlPr>
                      </m:sSubSupPr>
                      <m:e>
                        <m:r>
                          <w:rPr>
                            <w:rFonts w:ascii="Cambria Math" w:hAnsi="Cambria Math"/>
                          </w:rPr>
                          <m:t>d</m:t>
                        </m:r>
                      </m:e>
                      <m:sub>
                        <m:r>
                          <m:rPr>
                            <m:sty m:val="p"/>
                          </m:rPr>
                          <w:rPr>
                            <w:rFonts w:ascii="Cambria Math" w:hAnsi="Cambria Math"/>
                          </w:rPr>
                          <m:t>s</m:t>
                        </m:r>
                      </m:sub>
                      <m:sup>
                        <m:r>
                          <w:rPr>
                            <w:rFonts w:ascii="Cambria Math" w:hAnsi="Cambria Math"/>
                          </w:rPr>
                          <m:t>2</m:t>
                        </m:r>
                      </m:sup>
                    </m:sSubSup>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s</m:t>
                        </m:r>
                      </m:sub>
                    </m:sSub>
                    <m:r>
                      <w:rPr>
                        <w:rFonts w:ascii="Cambria Math" w:hAnsi="Cambria Math"/>
                      </w:rPr>
                      <m:t>+</m:t>
                    </m:r>
                    <m:sSubSup>
                      <m:sSubSupPr>
                        <m:ctrlPr>
                          <w:rPr>
                            <w:rFonts w:ascii="Cambria Math" w:hAnsi="Cambria Math"/>
                          </w:rPr>
                        </m:ctrlPr>
                      </m:sSubSupPr>
                      <m:e>
                        <m:r>
                          <w:rPr>
                            <w:rFonts w:ascii="Cambria Math" w:hAnsi="Cambria Math"/>
                          </w:rPr>
                          <m:t>d</m:t>
                        </m:r>
                      </m:e>
                      <m:sub>
                        <m:r>
                          <m:rPr>
                            <m:sty m:val="p"/>
                          </m:rPr>
                          <w:rPr>
                            <w:rFonts w:ascii="Cambria Math" w:hAnsi="Cambria Math"/>
                          </w:rPr>
                          <m:t>p</m:t>
                        </m:r>
                      </m:sub>
                      <m:sup>
                        <m:r>
                          <w:rPr>
                            <w:rFonts w:ascii="Cambria Math" w:hAnsi="Cambria Math"/>
                          </w:rPr>
                          <m:t>2</m:t>
                        </m:r>
                      </m:sup>
                    </m:sSubSup>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p</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s</m:t>
                        </m:r>
                      </m:sub>
                    </m:sSub>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s</m:t>
                        </m:r>
                      </m:sub>
                    </m:sSub>
                    <m: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p</m:t>
                        </m:r>
                      </m:sub>
                    </m:sSub>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p</m:t>
                        </m:r>
                      </m:sub>
                    </m:sSub>
                  </m:den>
                </m:f>
              </m:oMath>
            </m:oMathPara>
          </w:p>
        </w:tc>
        <w:tc>
          <w:tcPr>
            <w:tcW w:w="1247" w:type="dxa"/>
            <w:vAlign w:val="center"/>
          </w:tcPr>
          <w:p w14:paraId="3C8F61E3" w14:textId="43D7E626" w:rsidR="0078504E" w:rsidRPr="001455DC" w:rsidRDefault="0078504E">
            <w:pPr>
              <w:pStyle w:val="a7"/>
              <w:jc w:val="right"/>
            </w:pPr>
            <w:r w:rsidRPr="001455DC">
              <w:t>(8.</w:t>
            </w:r>
            <w:r w:rsidR="00DB5136" w:rsidRPr="001455DC">
              <w:t>23</w:t>
            </w:r>
            <w:r w:rsidRPr="001455DC">
              <w:t>)</w:t>
            </w:r>
          </w:p>
        </w:tc>
      </w:tr>
      <w:tr w:rsidR="0078504E" w:rsidRPr="001455DC" w14:paraId="186556F7" w14:textId="77777777" w:rsidTr="002A0824">
        <w:trPr>
          <w:cantSplit/>
        </w:trPr>
        <w:tc>
          <w:tcPr>
            <w:tcW w:w="8505" w:type="dxa"/>
            <w:vAlign w:val="center"/>
          </w:tcPr>
          <w:p w14:paraId="765B28A3" w14:textId="6AE7D050" w:rsidR="0078504E" w:rsidRPr="001455DC" w:rsidRDefault="00231E33" w:rsidP="00A84CE8">
            <w:pPr>
              <w:pStyle w:val="Formula"/>
            </w:pPr>
            <m:oMathPara>
              <m:oMathParaPr>
                <m:jc m:val="left"/>
              </m:oMathParaPr>
              <m:oMath>
                <m:sSub>
                  <m:sSubPr>
                    <m:ctrlPr>
                      <w:rPr>
                        <w:rFonts w:ascii="Cambria Math" w:hAnsi="Cambria Math"/>
                      </w:rPr>
                    </m:ctrlPr>
                  </m:sSubPr>
                  <m:e>
                    <m:r>
                      <w:rPr>
                        <w:rFonts w:ascii="Cambria Math" w:hAnsi="Cambria Math"/>
                      </w:rPr>
                      <m:t>ρ</m:t>
                    </m:r>
                  </m:e>
                  <m:sub>
                    <m:r>
                      <m:rPr>
                        <m:sty m:val="p"/>
                      </m:rPr>
                      <w:rPr>
                        <w:rFonts w:ascii="Cambria Math" w:hAnsi="Cambria Math"/>
                      </w:rPr>
                      <m:t>l</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s</m:t>
                        </m:r>
                      </m:sub>
                    </m:sSub>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s</m:t>
                        </m:r>
                      </m:sub>
                    </m:sSub>
                    <m: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p</m:t>
                        </m:r>
                      </m:sub>
                    </m:sSub>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p</m:t>
                        </m:r>
                      </m:sub>
                    </m:sSub>
                  </m:num>
                  <m:den>
                    <m:sSub>
                      <m:sSubPr>
                        <m:ctrlPr>
                          <w:rPr>
                            <w:rFonts w:ascii="Cambria Math" w:hAnsi="Cambria Math"/>
                          </w:rPr>
                        </m:ctrlPr>
                      </m:sSubPr>
                      <m:e>
                        <m:r>
                          <w:rPr>
                            <w:rFonts w:ascii="Cambria Math" w:hAnsi="Cambria Math"/>
                          </w:rPr>
                          <m:t>b</m:t>
                        </m:r>
                      </m:e>
                      <m:sub>
                        <m:r>
                          <m:rPr>
                            <m:sty m:val="p"/>
                          </m:rPr>
                          <w:rPr>
                            <w:rFonts w:ascii="Cambria Math" w:hAnsi="Cambria Math"/>
                          </w:rPr>
                          <m:t>w</m:t>
                        </m:r>
                      </m:sub>
                    </m:sSub>
                    <m:r>
                      <w:rPr>
                        <w:rFonts w:ascii="Cambria Math" w:hAnsi="Cambria Math"/>
                      </w:rPr>
                      <m:t>⋅</m:t>
                    </m:r>
                    <m:sSup>
                      <m:sSupPr>
                        <m:ctrlPr>
                          <w:rPr>
                            <w:rFonts w:ascii="Cambria Math" w:hAnsi="Cambria Math"/>
                          </w:rPr>
                        </m:ctrlPr>
                      </m:sSupPr>
                      <m:e>
                        <m:r>
                          <w:rPr>
                            <w:rFonts w:ascii="Cambria Math" w:hAnsi="Cambria Math"/>
                          </w:rPr>
                          <m:t>d</m:t>
                        </m:r>
                      </m:e>
                      <m:sup>
                        <m:r>
                          <w:rPr>
                            <w:rFonts w:ascii="Cambria Math" w:hAnsi="Cambria Math"/>
                          </w:rPr>
                          <m:t>2</m:t>
                        </m:r>
                      </m:sup>
                    </m:sSup>
                  </m:den>
                </m:f>
              </m:oMath>
            </m:oMathPara>
          </w:p>
        </w:tc>
        <w:tc>
          <w:tcPr>
            <w:tcW w:w="1247" w:type="dxa"/>
            <w:vAlign w:val="center"/>
          </w:tcPr>
          <w:p w14:paraId="2232F81E" w14:textId="4CA52362" w:rsidR="0078504E" w:rsidRPr="001455DC" w:rsidRDefault="0078504E">
            <w:pPr>
              <w:pStyle w:val="a7"/>
              <w:jc w:val="right"/>
            </w:pPr>
            <w:r w:rsidRPr="001455DC">
              <w:t>(8.</w:t>
            </w:r>
            <w:r w:rsidR="00DB5136" w:rsidRPr="001455DC">
              <w:t>24</w:t>
            </w:r>
            <w:r w:rsidRPr="001455DC">
              <w:t>)</w:t>
            </w:r>
          </w:p>
        </w:tc>
      </w:tr>
    </w:tbl>
    <w:p w14:paraId="37540BF0" w14:textId="77777777" w:rsidR="004E22C1" w:rsidRPr="001455DC" w:rsidRDefault="004E22C1" w:rsidP="0078504E">
      <w:pPr>
        <w:pStyle w:val="a7"/>
      </w:pPr>
      <w:r w:rsidRPr="001455DC">
        <w:t xml:space="preserve">The area of prestressed reinforcement </w:t>
      </w:r>
      <w:r w:rsidRPr="001455DC">
        <w:rPr>
          <w:rStyle w:val="CCMCvariableitalic"/>
        </w:rPr>
        <w:t>A</w:t>
      </w:r>
      <w:r w:rsidRPr="001455DC">
        <w:rPr>
          <w:rStyle w:val="CCMCvariablesubscript"/>
        </w:rPr>
        <w:t>p</w:t>
      </w:r>
      <w:r w:rsidRPr="001455DC">
        <w:t xml:space="preserve"> may be omitted in the calculation of </w:t>
      </w:r>
      <w:r w:rsidRPr="001455DC">
        <w:rPr>
          <w:rStyle w:val="CCMCvariableitalic"/>
        </w:rPr>
        <w:t>d</w:t>
      </w:r>
      <w:r w:rsidRPr="001455DC">
        <w:t xml:space="preserve"> and </w:t>
      </w:r>
      <w:r w:rsidRPr="001455DC">
        <w:rPr>
          <w:rStyle w:val="CCMCvariableitalic"/>
        </w:rPr>
        <w:t>ρ</w:t>
      </w:r>
      <w:r w:rsidRPr="001455DC">
        <w:rPr>
          <w:rStyle w:val="CCMCvariablesubscript"/>
        </w:rPr>
        <w:t>l</w:t>
      </w:r>
      <w:r w:rsidRPr="001455DC">
        <w:t xml:space="preserve"> if the influence of the tendon on the shear resistance becomes unfavourable due to the reduced effective depth.</w:t>
      </w:r>
    </w:p>
    <w:p w14:paraId="2E5ABAD3" w14:textId="216E927F" w:rsidR="004E22C1" w:rsidRPr="001455DC" w:rsidRDefault="004E22C1" w:rsidP="0078504E">
      <w:pPr>
        <w:pStyle w:val="Note"/>
      </w:pPr>
      <w:r w:rsidRPr="001455DC">
        <w:t>NOTE</w:t>
      </w:r>
      <w:r w:rsidR="00C840EC">
        <w:t xml:space="preserve"> </w:t>
      </w:r>
      <w:r w:rsidRPr="001455DC">
        <w:tab/>
        <w:t>The effect of unbonded and external tendons is considered on action side.</w:t>
      </w:r>
    </w:p>
    <w:p w14:paraId="64B81096" w14:textId="764B4FCC" w:rsidR="002B0BF6" w:rsidRPr="001455DC" w:rsidRDefault="004E22C1" w:rsidP="008D37B2">
      <w:pPr>
        <w:pStyle w:val="a7"/>
        <w:keepNext/>
      </w:pPr>
      <w:r w:rsidRPr="001455DC">
        <w:rPr>
          <w:szCs w:val="22"/>
        </w:rPr>
        <w:t>(</w:t>
      </w:r>
      <w:r w:rsidR="00DB5136" w:rsidRPr="001455DC">
        <w:rPr>
          <w:szCs w:val="22"/>
        </w:rPr>
        <w:t>7</w:t>
      </w:r>
      <w:r w:rsidRPr="001455DC">
        <w:rPr>
          <w:szCs w:val="22"/>
        </w:rPr>
        <w:t>)</w:t>
      </w:r>
      <w:r w:rsidRPr="001455DC">
        <w:rPr>
          <w:szCs w:val="22"/>
        </w:rPr>
        <w:tab/>
      </w:r>
      <w:r w:rsidRPr="001455DC">
        <w:t xml:space="preserve">In planar members with different reinforcement ratios in both directions, </w:t>
      </w:r>
      <w:r w:rsidRPr="001455DC">
        <w:rPr>
          <w:rStyle w:val="CCMCvariableitalic"/>
        </w:rPr>
        <w:t>ρ</w:t>
      </w:r>
      <w:r w:rsidRPr="001455DC">
        <w:rPr>
          <w:rStyle w:val="CCMCvariablesubscript"/>
        </w:rPr>
        <w:t>l</w:t>
      </w:r>
      <w:r w:rsidRPr="001455DC">
        <w:t xml:space="preserve"> should be calculated as a function of the ratio of the shear forces </w:t>
      </w:r>
      <w:r w:rsidRPr="001455DC">
        <w:rPr>
          <w:rStyle w:val="CCMCvariableitalic"/>
        </w:rPr>
        <w:t>v</w:t>
      </w:r>
      <w:r w:rsidRPr="001455DC">
        <w:rPr>
          <w:rStyle w:val="CCMCvariablesubscript"/>
        </w:rPr>
        <w:t>Ed,y</w:t>
      </w:r>
      <w:r w:rsidRPr="001455DC">
        <w:t>/</w:t>
      </w:r>
      <w:r w:rsidRPr="001455DC">
        <w:rPr>
          <w:rStyle w:val="CCMCvariableitalic"/>
        </w:rPr>
        <w:t>v</w:t>
      </w:r>
      <w:r w:rsidRPr="001455DC">
        <w:rPr>
          <w:rStyle w:val="CCMCvariablesubscript"/>
        </w:rPr>
        <w:t>Ed,x</w:t>
      </w:r>
      <w:r w:rsidRPr="001455DC">
        <w:t>:</w:t>
      </w:r>
    </w:p>
    <w:tbl>
      <w:tblPr>
        <w:tblStyle w:val="ad"/>
        <w:tblW w:w="9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686"/>
        <w:gridCol w:w="4820"/>
        <w:gridCol w:w="1247"/>
      </w:tblGrid>
      <w:tr w:rsidR="002B0BF6" w:rsidRPr="001455DC" w14:paraId="0AE6D6E7" w14:textId="77777777" w:rsidTr="002B0BF6">
        <w:trPr>
          <w:cantSplit/>
        </w:trPr>
        <w:tc>
          <w:tcPr>
            <w:tcW w:w="3686" w:type="dxa"/>
            <w:vAlign w:val="center"/>
          </w:tcPr>
          <w:p w14:paraId="36853151" w14:textId="7D4E77D0" w:rsidR="002B0BF6" w:rsidRPr="001455DC" w:rsidRDefault="002B0BF6" w:rsidP="002B0BF6">
            <w:pPr>
              <w:pStyle w:val="Formula"/>
              <w:tabs>
                <w:tab w:val="clear" w:pos="9749"/>
                <w:tab w:val="left" w:pos="357"/>
              </w:tabs>
              <w:ind w:left="357" w:hanging="357"/>
            </w:pPr>
            <w:r w:rsidRPr="001455DC">
              <w:rPr>
                <w:lang w:eastAsia="de-CH"/>
              </w:rPr>
              <w:t>—</w:t>
            </w:r>
            <w:r w:rsidRPr="001455DC">
              <w:rPr>
                <w:lang w:eastAsia="de-CH"/>
              </w:rPr>
              <w:tab/>
            </w:r>
            <w:r w:rsidRPr="001455DC">
              <w:rPr>
                <w:rStyle w:val="CCMCvariableitalic"/>
              </w:rPr>
              <w:t>ρ</w:t>
            </w:r>
            <w:r w:rsidRPr="001455DC">
              <w:rPr>
                <w:rStyle w:val="CCMCvariablesubscript"/>
              </w:rPr>
              <w:t>l</w:t>
            </w:r>
            <w:r w:rsidRPr="001455DC">
              <w:t> </w:t>
            </w:r>
            <w:r w:rsidR="00EC27D2" w:rsidRPr="001455DC">
              <w:rPr>
                <w:rFonts w:ascii="Cambria Math" w:hAnsi="Cambria Math"/>
              </w:rPr>
              <w:t>=</w:t>
            </w:r>
            <w:r w:rsidRPr="001455DC">
              <w:t> </w:t>
            </w:r>
            <w:r w:rsidRPr="001455DC">
              <w:rPr>
                <w:rStyle w:val="CCMCvariableitalic"/>
              </w:rPr>
              <w:t>ρ</w:t>
            </w:r>
            <w:r w:rsidRPr="001455DC">
              <w:rPr>
                <w:rStyle w:val="CCMCvariablesubscript"/>
              </w:rPr>
              <w:t>l,x</w:t>
            </w:r>
          </w:p>
        </w:tc>
        <w:tc>
          <w:tcPr>
            <w:tcW w:w="4820" w:type="dxa"/>
            <w:vAlign w:val="center"/>
          </w:tcPr>
          <w:p w14:paraId="04613079" w14:textId="6D7D6E46" w:rsidR="002B0BF6" w:rsidRPr="001455DC" w:rsidRDefault="002B0BF6" w:rsidP="002B0BF6">
            <w:pPr>
              <w:pStyle w:val="Formula"/>
              <w:tabs>
                <w:tab w:val="clear" w:pos="9749"/>
                <w:tab w:val="left" w:pos="357"/>
              </w:tabs>
              <w:ind w:left="357" w:hanging="357"/>
            </w:pPr>
            <w:r w:rsidRPr="001455DC">
              <w:rPr>
                <w:lang w:eastAsia="de-CH"/>
              </w:rPr>
              <w:t xml:space="preserve">for </w:t>
            </w:r>
            <w:r w:rsidRPr="001455DC">
              <w:rPr>
                <w:rStyle w:val="CCMCvariableitalic"/>
              </w:rPr>
              <w:t>v</w:t>
            </w:r>
            <w:r w:rsidRPr="001455DC">
              <w:rPr>
                <w:rStyle w:val="CCMCvariablesubscript"/>
              </w:rPr>
              <w:t>Ed,y</w:t>
            </w:r>
            <w:r w:rsidRPr="001455DC">
              <w:rPr>
                <w:lang w:eastAsia="de-CH"/>
              </w:rPr>
              <w:t>/</w:t>
            </w:r>
            <w:r w:rsidRPr="001455DC">
              <w:rPr>
                <w:rStyle w:val="CCMCvariableitalic"/>
              </w:rPr>
              <w:t>v</w:t>
            </w:r>
            <w:r w:rsidRPr="001455DC">
              <w:rPr>
                <w:rStyle w:val="CCMCvariablesubscript"/>
              </w:rPr>
              <w:t>Ed,x</w:t>
            </w:r>
            <w:r w:rsidRPr="001455DC">
              <w:rPr>
                <w:lang w:eastAsia="de-CH"/>
              </w:rPr>
              <w:t> </w:t>
            </w:r>
            <w:r w:rsidR="00650035" w:rsidRPr="001455DC">
              <w:rPr>
                <w:rFonts w:ascii="Cambria Math" w:hAnsi="Cambria Math"/>
                <w:lang w:eastAsia="de-CH"/>
              </w:rPr>
              <w:t>≤</w:t>
            </w:r>
            <w:r w:rsidRPr="001455DC">
              <w:rPr>
                <w:lang w:eastAsia="de-CH"/>
              </w:rPr>
              <w:t> 0,5</w:t>
            </w:r>
          </w:p>
        </w:tc>
        <w:tc>
          <w:tcPr>
            <w:tcW w:w="1247" w:type="dxa"/>
            <w:vAlign w:val="center"/>
          </w:tcPr>
          <w:p w14:paraId="1F8D4D9A" w14:textId="42414636" w:rsidR="002B0BF6" w:rsidRPr="001455DC" w:rsidRDefault="002B0BF6">
            <w:pPr>
              <w:pStyle w:val="a7"/>
              <w:jc w:val="right"/>
            </w:pPr>
            <w:r w:rsidRPr="001455DC">
              <w:rPr>
                <w:lang w:eastAsia="de-CH"/>
              </w:rPr>
              <w:t>(8.</w:t>
            </w:r>
            <w:r w:rsidR="00DB5136" w:rsidRPr="001455DC">
              <w:rPr>
                <w:lang w:eastAsia="de-CH"/>
              </w:rPr>
              <w:t>25a</w:t>
            </w:r>
            <w:r w:rsidRPr="001455DC">
              <w:rPr>
                <w:lang w:eastAsia="de-CH"/>
              </w:rPr>
              <w:t>)</w:t>
            </w:r>
          </w:p>
        </w:tc>
      </w:tr>
      <w:tr w:rsidR="002B0BF6" w:rsidRPr="001455DC" w14:paraId="60FFA8F0" w14:textId="77777777" w:rsidTr="002B0BF6">
        <w:trPr>
          <w:cantSplit/>
        </w:trPr>
        <w:tc>
          <w:tcPr>
            <w:tcW w:w="3686" w:type="dxa"/>
            <w:vAlign w:val="center"/>
          </w:tcPr>
          <w:p w14:paraId="4336C37D" w14:textId="491FCE92" w:rsidR="002B0BF6" w:rsidRPr="00FA575F" w:rsidRDefault="002B0BF6" w:rsidP="002B0BF6">
            <w:pPr>
              <w:pStyle w:val="Formula"/>
              <w:tabs>
                <w:tab w:val="clear" w:pos="9749"/>
                <w:tab w:val="left" w:pos="357"/>
              </w:tabs>
              <w:ind w:left="357" w:hanging="357"/>
              <w:rPr>
                <w:lang w:val="es-ES"/>
              </w:rPr>
            </w:pPr>
            <w:r w:rsidRPr="00FA575F">
              <w:rPr>
                <w:lang w:val="es-ES" w:eastAsia="de-CH"/>
              </w:rPr>
              <w:t>—</w:t>
            </w:r>
            <w:r w:rsidRPr="00FA575F">
              <w:rPr>
                <w:lang w:val="es-ES" w:eastAsia="de-CH"/>
              </w:rPr>
              <w:tab/>
            </w:r>
            <w:r w:rsidRPr="001455DC">
              <w:rPr>
                <w:rStyle w:val="CCMCvariableitalic"/>
              </w:rPr>
              <w:t>ρ</w:t>
            </w:r>
            <w:r w:rsidRPr="00FA575F">
              <w:rPr>
                <w:rStyle w:val="CCMCvariablesubscript"/>
                <w:lang w:val="es-ES"/>
              </w:rPr>
              <w:t>l</w:t>
            </w:r>
            <w:r w:rsidRPr="00FA575F">
              <w:rPr>
                <w:lang w:val="es-ES"/>
              </w:rPr>
              <w:t> </w:t>
            </w:r>
            <w:r w:rsidR="00EC27D2" w:rsidRPr="00FA575F">
              <w:rPr>
                <w:rFonts w:ascii="Cambria Math" w:hAnsi="Cambria Math"/>
                <w:lang w:val="es-ES"/>
              </w:rPr>
              <w:t>=</w:t>
            </w:r>
            <w:r w:rsidRPr="00FA575F">
              <w:rPr>
                <w:lang w:val="es-ES"/>
              </w:rPr>
              <w:t> </w:t>
            </w:r>
            <w:r w:rsidRPr="001455DC">
              <w:rPr>
                <w:rStyle w:val="CCMCvariableitalic"/>
              </w:rPr>
              <w:t>ρ</w:t>
            </w:r>
            <w:r w:rsidRPr="00FA575F">
              <w:rPr>
                <w:rStyle w:val="CCMCvariablesubscript"/>
                <w:lang w:val="es-ES"/>
              </w:rPr>
              <w:t>l,x</w:t>
            </w:r>
            <w:r w:rsidRPr="00FA575F">
              <w:rPr>
                <w:lang w:val="es-ES" w:eastAsia="de-CH"/>
              </w:rPr>
              <w:t> </w:t>
            </w:r>
            <w:r w:rsidRPr="00FA575F">
              <w:rPr>
                <w:rFonts w:ascii="Cambria Math" w:hAnsi="Cambria Math" w:cs="Cambria Math"/>
                <w:lang w:val="es-ES" w:eastAsia="de-CH"/>
              </w:rPr>
              <w:t>⋅</w:t>
            </w:r>
            <w:r w:rsidRPr="00FA575F">
              <w:rPr>
                <w:lang w:val="es-ES" w:eastAsia="de-CH"/>
              </w:rPr>
              <w:t> cos</w:t>
            </w:r>
            <w:r w:rsidRPr="00FA575F">
              <w:rPr>
                <w:rStyle w:val="CCMCvariablesuperscript"/>
                <w:lang w:val="es-ES"/>
              </w:rPr>
              <w:t>4</w:t>
            </w:r>
            <w:r w:rsidRPr="001455DC">
              <w:rPr>
                <w:rStyle w:val="CCMCvariableitalic"/>
              </w:rPr>
              <w:t>α</w:t>
            </w:r>
            <w:r w:rsidRPr="00FA575F">
              <w:rPr>
                <w:rStyle w:val="CCMCvariablesubscript"/>
                <w:lang w:val="es-ES"/>
              </w:rPr>
              <w:t>v</w:t>
            </w:r>
            <w:r w:rsidR="00EC27D2" w:rsidRPr="00FA575F">
              <w:rPr>
                <w:rFonts w:ascii="Cambria Math" w:hAnsi="Cambria Math"/>
                <w:lang w:val="es-ES" w:eastAsia="de-CH"/>
              </w:rPr>
              <w:t> + </w:t>
            </w:r>
            <w:r w:rsidRPr="001455DC">
              <w:rPr>
                <w:rStyle w:val="CCMCvariableitalic"/>
              </w:rPr>
              <w:t>ρ</w:t>
            </w:r>
            <w:r w:rsidRPr="00FA575F">
              <w:rPr>
                <w:rStyle w:val="CCMCvariablesubscript"/>
                <w:lang w:val="es-ES"/>
              </w:rPr>
              <w:t>l,y</w:t>
            </w:r>
            <w:r w:rsidRPr="00FA575F">
              <w:rPr>
                <w:lang w:val="es-ES" w:eastAsia="de-CH"/>
              </w:rPr>
              <w:t> </w:t>
            </w:r>
            <w:r w:rsidRPr="00FA575F">
              <w:rPr>
                <w:rFonts w:ascii="Cambria Math" w:hAnsi="Cambria Math" w:cs="Cambria Math"/>
                <w:lang w:val="es-ES" w:eastAsia="de-CH"/>
              </w:rPr>
              <w:t>⋅</w:t>
            </w:r>
            <w:r w:rsidRPr="00FA575F">
              <w:rPr>
                <w:lang w:val="es-ES" w:eastAsia="de-CH"/>
              </w:rPr>
              <w:t> sin</w:t>
            </w:r>
            <w:r w:rsidRPr="00FA575F">
              <w:rPr>
                <w:rStyle w:val="CCMCvariablesuperscript"/>
                <w:lang w:val="es-ES"/>
              </w:rPr>
              <w:t>4</w:t>
            </w:r>
            <w:r w:rsidRPr="001455DC">
              <w:rPr>
                <w:rStyle w:val="CCMCvariableitalic"/>
              </w:rPr>
              <w:t>α</w:t>
            </w:r>
            <w:r w:rsidRPr="00FA575F">
              <w:rPr>
                <w:rStyle w:val="CCMCvariablesubscript"/>
                <w:lang w:val="es-ES"/>
              </w:rPr>
              <w:t>v</w:t>
            </w:r>
          </w:p>
        </w:tc>
        <w:tc>
          <w:tcPr>
            <w:tcW w:w="4820" w:type="dxa"/>
            <w:vAlign w:val="center"/>
          </w:tcPr>
          <w:p w14:paraId="6607DA9B" w14:textId="1AB76CD4" w:rsidR="002B0BF6" w:rsidRPr="001455DC" w:rsidRDefault="002B0BF6" w:rsidP="002B0BF6">
            <w:pPr>
              <w:pStyle w:val="Formula"/>
              <w:tabs>
                <w:tab w:val="clear" w:pos="9749"/>
                <w:tab w:val="left" w:pos="357"/>
              </w:tabs>
              <w:ind w:left="357" w:hanging="357"/>
            </w:pPr>
            <w:r w:rsidRPr="001455DC">
              <w:rPr>
                <w:lang w:eastAsia="de-CH"/>
              </w:rPr>
              <w:t>for 0,5 </w:t>
            </w:r>
            <w:r w:rsidR="00650035" w:rsidRPr="001455DC">
              <w:rPr>
                <w:rFonts w:ascii="Cambria Math" w:hAnsi="Cambria Math"/>
                <w:lang w:eastAsia="de-CH"/>
              </w:rPr>
              <w:t>&lt;</w:t>
            </w:r>
            <w:r w:rsidRPr="001455DC">
              <w:rPr>
                <w:lang w:eastAsia="de-CH"/>
              </w:rPr>
              <w:t> </w:t>
            </w:r>
            <w:r w:rsidRPr="001455DC">
              <w:rPr>
                <w:rStyle w:val="CCMCvariableitalic"/>
              </w:rPr>
              <w:t>v</w:t>
            </w:r>
            <w:r w:rsidRPr="001455DC">
              <w:rPr>
                <w:rStyle w:val="CCMCvariablesubscript"/>
              </w:rPr>
              <w:t>Ed,y</w:t>
            </w:r>
            <w:r w:rsidRPr="001455DC">
              <w:rPr>
                <w:lang w:eastAsia="de-CH"/>
              </w:rPr>
              <w:t>/</w:t>
            </w:r>
            <w:r w:rsidRPr="001455DC">
              <w:rPr>
                <w:rStyle w:val="CCMCvariableitalic"/>
              </w:rPr>
              <w:t>v</w:t>
            </w:r>
            <w:r w:rsidRPr="001455DC">
              <w:rPr>
                <w:rStyle w:val="CCMCvariablesubscript"/>
              </w:rPr>
              <w:t>Ed,x</w:t>
            </w:r>
            <w:r w:rsidRPr="001455DC">
              <w:rPr>
                <w:lang w:eastAsia="de-CH"/>
              </w:rPr>
              <w:t> </w:t>
            </w:r>
            <w:r w:rsidR="00650035" w:rsidRPr="001455DC">
              <w:rPr>
                <w:rFonts w:ascii="Cambria Math" w:hAnsi="Cambria Math"/>
                <w:lang w:eastAsia="de-CH"/>
              </w:rPr>
              <w:t>&lt;</w:t>
            </w:r>
            <w:r w:rsidRPr="001455DC">
              <w:rPr>
                <w:lang w:eastAsia="de-CH"/>
              </w:rPr>
              <w:t> 2</w:t>
            </w:r>
          </w:p>
        </w:tc>
        <w:tc>
          <w:tcPr>
            <w:tcW w:w="1247" w:type="dxa"/>
            <w:vAlign w:val="center"/>
          </w:tcPr>
          <w:p w14:paraId="565A4B18" w14:textId="5D2F5E42" w:rsidR="002B0BF6" w:rsidRPr="001455DC" w:rsidRDefault="002B0BF6" w:rsidP="002B0BF6">
            <w:pPr>
              <w:pStyle w:val="a7"/>
              <w:jc w:val="right"/>
            </w:pPr>
            <w:r w:rsidRPr="001455DC">
              <w:rPr>
                <w:lang w:eastAsia="de-CH"/>
              </w:rPr>
              <w:t>(8.2</w:t>
            </w:r>
            <w:r w:rsidR="00DB5136" w:rsidRPr="001455DC">
              <w:rPr>
                <w:lang w:eastAsia="de-CH"/>
              </w:rPr>
              <w:t>5</w:t>
            </w:r>
            <w:r w:rsidRPr="001455DC">
              <w:rPr>
                <w:lang w:eastAsia="de-CH"/>
              </w:rPr>
              <w:t>b)</w:t>
            </w:r>
          </w:p>
        </w:tc>
      </w:tr>
      <w:tr w:rsidR="002B0BF6" w:rsidRPr="001455DC" w14:paraId="01F113A5" w14:textId="77777777" w:rsidTr="002B0BF6">
        <w:trPr>
          <w:cantSplit/>
        </w:trPr>
        <w:tc>
          <w:tcPr>
            <w:tcW w:w="3686" w:type="dxa"/>
            <w:vAlign w:val="center"/>
          </w:tcPr>
          <w:p w14:paraId="0A77A084" w14:textId="3099866F" w:rsidR="002B0BF6" w:rsidRPr="001455DC" w:rsidRDefault="002B0BF6" w:rsidP="002B0BF6">
            <w:pPr>
              <w:pStyle w:val="Formula"/>
              <w:tabs>
                <w:tab w:val="clear" w:pos="9749"/>
                <w:tab w:val="left" w:pos="357"/>
              </w:tabs>
              <w:ind w:left="357" w:hanging="357"/>
            </w:pPr>
            <w:r w:rsidRPr="001455DC">
              <w:rPr>
                <w:lang w:eastAsia="de-CH"/>
              </w:rPr>
              <w:t>—</w:t>
            </w:r>
            <w:r w:rsidRPr="001455DC">
              <w:rPr>
                <w:lang w:eastAsia="de-CH"/>
              </w:rPr>
              <w:tab/>
            </w:r>
            <w:r w:rsidRPr="001455DC">
              <w:rPr>
                <w:rStyle w:val="CCMCvariableitalic"/>
              </w:rPr>
              <w:t>ρ</w:t>
            </w:r>
            <w:r w:rsidRPr="001455DC">
              <w:rPr>
                <w:rStyle w:val="CCMCvariablesubscript"/>
              </w:rPr>
              <w:t>l</w:t>
            </w:r>
            <w:r w:rsidRPr="001455DC">
              <w:t> </w:t>
            </w:r>
            <w:r w:rsidR="00EC27D2" w:rsidRPr="001455DC">
              <w:rPr>
                <w:rFonts w:ascii="Cambria Math" w:hAnsi="Cambria Math"/>
              </w:rPr>
              <w:t>=</w:t>
            </w:r>
            <w:r w:rsidRPr="001455DC">
              <w:t> </w:t>
            </w:r>
            <w:r w:rsidRPr="001455DC">
              <w:rPr>
                <w:rStyle w:val="CCMCvariableitalic"/>
              </w:rPr>
              <w:t>ρ</w:t>
            </w:r>
            <w:r w:rsidRPr="001455DC">
              <w:rPr>
                <w:rStyle w:val="CCMCvariablesubscript"/>
              </w:rPr>
              <w:t>l,y</w:t>
            </w:r>
          </w:p>
        </w:tc>
        <w:tc>
          <w:tcPr>
            <w:tcW w:w="4820" w:type="dxa"/>
            <w:vAlign w:val="center"/>
          </w:tcPr>
          <w:p w14:paraId="7D20C120" w14:textId="35E0BA4F" w:rsidR="002B0BF6" w:rsidRPr="001455DC" w:rsidRDefault="002B0BF6" w:rsidP="002B0BF6">
            <w:pPr>
              <w:pStyle w:val="Formula"/>
              <w:tabs>
                <w:tab w:val="clear" w:pos="9749"/>
                <w:tab w:val="left" w:pos="357"/>
              </w:tabs>
              <w:ind w:left="357" w:hanging="357"/>
            </w:pPr>
            <w:r w:rsidRPr="001455DC">
              <w:rPr>
                <w:lang w:eastAsia="de-CH"/>
              </w:rPr>
              <w:t xml:space="preserve">for </w:t>
            </w:r>
            <w:r w:rsidRPr="001455DC">
              <w:rPr>
                <w:rStyle w:val="CCMCvariableitalic"/>
              </w:rPr>
              <w:t>v</w:t>
            </w:r>
            <w:r w:rsidRPr="001455DC">
              <w:rPr>
                <w:rStyle w:val="CCMCvariablesubscript"/>
              </w:rPr>
              <w:t>Ed,y</w:t>
            </w:r>
            <w:r w:rsidRPr="001455DC">
              <w:rPr>
                <w:lang w:eastAsia="de-CH"/>
              </w:rPr>
              <w:t>/</w:t>
            </w:r>
            <w:r w:rsidRPr="001455DC">
              <w:rPr>
                <w:rStyle w:val="CCMCvariableitalic"/>
              </w:rPr>
              <w:t>v</w:t>
            </w:r>
            <w:r w:rsidRPr="001455DC">
              <w:rPr>
                <w:rStyle w:val="CCMCvariablesubscript"/>
              </w:rPr>
              <w:t>Ed,x</w:t>
            </w:r>
            <w:r w:rsidRPr="001455DC">
              <w:rPr>
                <w:lang w:eastAsia="de-CH"/>
              </w:rPr>
              <w:t> </w:t>
            </w:r>
            <w:r w:rsidR="00650035" w:rsidRPr="001455DC">
              <w:rPr>
                <w:rFonts w:ascii="Cambria Math" w:hAnsi="Cambria Math"/>
                <w:lang w:eastAsia="de-CH"/>
              </w:rPr>
              <w:t>≥</w:t>
            </w:r>
            <w:r w:rsidRPr="001455DC">
              <w:rPr>
                <w:lang w:eastAsia="de-CH"/>
              </w:rPr>
              <w:t> 2</w:t>
            </w:r>
          </w:p>
        </w:tc>
        <w:tc>
          <w:tcPr>
            <w:tcW w:w="1247" w:type="dxa"/>
            <w:vAlign w:val="center"/>
          </w:tcPr>
          <w:p w14:paraId="6C9DEF45" w14:textId="7D3FDF3E" w:rsidR="002B0BF6" w:rsidRPr="001455DC" w:rsidRDefault="002B0BF6" w:rsidP="002B0BF6">
            <w:pPr>
              <w:pStyle w:val="a7"/>
              <w:jc w:val="right"/>
            </w:pPr>
            <w:r w:rsidRPr="001455DC">
              <w:rPr>
                <w:lang w:eastAsia="de-CH"/>
              </w:rPr>
              <w:t>(8.2</w:t>
            </w:r>
            <w:r w:rsidR="00DB5136" w:rsidRPr="001455DC">
              <w:rPr>
                <w:lang w:eastAsia="de-CH"/>
              </w:rPr>
              <w:t>5</w:t>
            </w:r>
            <w:r w:rsidRPr="001455DC">
              <w:rPr>
                <w:lang w:eastAsia="de-CH"/>
              </w:rPr>
              <w:t>c)</w:t>
            </w:r>
          </w:p>
        </w:tc>
      </w:tr>
    </w:tbl>
    <w:p w14:paraId="1AE9B8F7" w14:textId="77777777" w:rsidR="004E22C1" w:rsidRPr="001455DC" w:rsidRDefault="004E22C1" w:rsidP="00CE644A">
      <w:pPr>
        <w:pStyle w:val="a7"/>
      </w:pPr>
      <w:r w:rsidRPr="001455DC">
        <w:t xml:space="preserve">where </w:t>
      </w:r>
      <w:r w:rsidRPr="001455DC">
        <w:rPr>
          <w:rStyle w:val="CCMCvariableitalic"/>
        </w:rPr>
        <w:t>α</w:t>
      </w:r>
      <w:r w:rsidRPr="001455DC">
        <w:rPr>
          <w:rStyle w:val="CCMCvariablesubscript"/>
        </w:rPr>
        <w:t>v</w:t>
      </w:r>
      <w:r w:rsidRPr="001455DC">
        <w:t xml:space="preserve"> is defined in 8.2.1(5).</w:t>
      </w:r>
    </w:p>
    <w:p w14:paraId="13699D39" w14:textId="1664427D" w:rsidR="004E22C1" w:rsidRPr="001455DC" w:rsidRDefault="004E22C1" w:rsidP="00CE644A">
      <w:pPr>
        <w:pStyle w:val="a7"/>
      </w:pPr>
      <w:r w:rsidRPr="001455DC">
        <w:t>(</w:t>
      </w:r>
      <w:r w:rsidR="00DB5136" w:rsidRPr="001455DC">
        <w:t>8</w:t>
      </w:r>
      <w:r w:rsidRPr="001455DC">
        <w:t>)</w:t>
      </w:r>
      <w:r w:rsidRPr="001455DC">
        <w:tab/>
        <w:t>In case of distributed loads (except high water- or gas pressure) pushing against the member on the tension side (e.g. distributed gravity loads on the top face of continuous members near intermediate supports, see Figure 8.8, or on cantilevers), the design shear force at the control section may be reduced by Δ</w:t>
      </w:r>
      <w:r w:rsidRPr="001455DC">
        <w:rPr>
          <w:rStyle w:val="CCMCvariableitalic"/>
        </w:rPr>
        <w:t>V</w:t>
      </w:r>
      <w:r w:rsidRPr="001455DC">
        <w:rPr>
          <w:rStyle w:val="CCMCvariablesubscript"/>
        </w:rPr>
        <w:t>Ed</w:t>
      </w:r>
      <w:r w:rsidRPr="001455DC">
        <w:t xml:space="preserve"> calculated as the sum of the distributed loads acting closer than </w:t>
      </w:r>
      <w:r w:rsidRPr="001455DC">
        <w:rPr>
          <w:rStyle w:val="CCMCvariableitalic"/>
        </w:rPr>
        <w:t>d</w:t>
      </w:r>
      <w:r w:rsidRPr="001455DC">
        <w:t xml:space="preserve"> from the control section, but not larger than ¼ of the design shear force due to the corresponding distributed load.</w:t>
      </w:r>
    </w:p>
    <w:p w14:paraId="55C13DBE" w14:textId="3AFBDC48" w:rsidR="004E22C1" w:rsidRPr="001455DC" w:rsidRDefault="00723CF7" w:rsidP="00A84CE8">
      <w:pPr>
        <w:pStyle w:val="FigureImage"/>
      </w:pPr>
      <w:r>
        <w:rPr>
          <w:noProof/>
          <w:lang w:eastAsia="en-GB"/>
        </w:rPr>
        <w:fldChar w:fldCharType="begin"/>
      </w:r>
      <w:r>
        <w:rPr>
          <w:noProof/>
          <w:lang w:eastAsia="en-GB"/>
        </w:rPr>
        <w:instrText xml:space="preserve"> INCLUDEPICTURE  "Y:\\STD_MGT\\STDDEL\\PRODUCTION\\etrans\\Download\\Z_FIRST_DEL\\SV\\00250\\00250269\\41_e_dr\\8_008.tif"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"Y:\\STD_MGT\\STDDEL\\PRODUCTION\\Standards\\00250\\269\\41_e_dr\\8_008.tif"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"Y:\\STD_MGT\\STDDEL\\PRODUCTION\\Standards\\00250\\269\\41_e_dr\\8_008.tif"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"Y:\\STD_MGT\\STDDEL\\PRODUCTION\\Standards\\00250\\269\\41_e_dr\\8_008.tif"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"Y:\\STD_MGT\\STDDEL\\PRODUCTION\\Standards\\00250\\269\\41_e_dr\\8_008.tif"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"Y:\\STD_MGT\\STDDEL\\PRODUCTION\\Standards\\00250\\269\\41_e_dr\\8_008.tif"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"C:\\Users\\a.dionysiou\\AppData\\Local\\Temp\\Temp1_00250269_e_20210902.zip.zip\\41_e_dr\\8_008.tif"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0EF1834B">
          <v:shape id="_x0000_i1158" type="#_x0000_t75" style="width:105pt;height:99pt">
            <v:imagedata r:id="rId286" r:href="rId287"/>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5C5B24D9" w14:textId="77777777" w:rsidR="00A84CE8" w:rsidRPr="001455DC" w:rsidRDefault="00A84CE8" w:rsidP="00A84CE8">
      <w:pPr>
        <w:pStyle w:val="KeyTitle"/>
      </w:pPr>
      <w:r w:rsidRPr="001455DC">
        <w:t>Key</w:t>
      </w:r>
    </w:p>
    <w:tbl>
      <w:tblPr>
        <w:tblW w:w="9809" w:type="dxa"/>
        <w:tblLayout w:type="fixed"/>
        <w:tblCellMar>
          <w:left w:w="28" w:type="dxa"/>
          <w:right w:w="28" w:type="dxa"/>
        </w:tblCellMar>
        <w:tblLook w:val="0000" w:firstRow="0" w:lastRow="0" w:firstColumn="0" w:lastColumn="0" w:noHBand="0" w:noVBand="0"/>
      </w:tblPr>
      <w:tblGrid>
        <w:gridCol w:w="397"/>
        <w:gridCol w:w="9412"/>
      </w:tblGrid>
      <w:tr w:rsidR="00A84CE8" w:rsidRPr="001455DC" w14:paraId="52ECFE0B" w14:textId="77777777" w:rsidTr="007A764A">
        <w:tc>
          <w:tcPr>
            <w:tcW w:w="397" w:type="dxa"/>
            <w:shd w:val="clear" w:color="auto" w:fill="auto"/>
          </w:tcPr>
          <w:p w14:paraId="2FA18F5F" w14:textId="77777777" w:rsidR="00A84CE8" w:rsidRPr="001455DC" w:rsidRDefault="00A84CE8" w:rsidP="007A764A">
            <w:pPr>
              <w:pStyle w:val="KeyText"/>
              <w:tabs>
                <w:tab w:val="clear" w:pos="346"/>
              </w:tabs>
              <w:ind w:left="0" w:firstLine="0"/>
            </w:pPr>
            <w:r w:rsidRPr="001455DC">
              <w:t>1</w:t>
            </w:r>
          </w:p>
        </w:tc>
        <w:tc>
          <w:tcPr>
            <w:tcW w:w="9412" w:type="dxa"/>
            <w:shd w:val="clear" w:color="auto" w:fill="auto"/>
          </w:tcPr>
          <w:p w14:paraId="6405F09F" w14:textId="674F12BF" w:rsidR="00A84CE8" w:rsidRPr="001455DC" w:rsidRDefault="00A46F70" w:rsidP="007A764A">
            <w:pPr>
              <w:pStyle w:val="KeyText"/>
              <w:tabs>
                <w:tab w:val="clear" w:pos="346"/>
              </w:tabs>
              <w:ind w:left="0" w:firstLine="0"/>
            </w:pPr>
            <w:r>
              <w:t>c</w:t>
            </w:r>
            <w:r w:rsidR="00A84CE8" w:rsidRPr="001455DC">
              <w:t>ontrol section</w:t>
            </w:r>
          </w:p>
        </w:tc>
      </w:tr>
    </w:tbl>
    <w:p w14:paraId="42BDDE0B" w14:textId="77777777" w:rsidR="004E22C1" w:rsidRPr="001455DC" w:rsidRDefault="004E22C1" w:rsidP="00A84CE8">
      <w:pPr>
        <w:pStyle w:val="Figuretitle"/>
      </w:pPr>
      <w:r w:rsidRPr="001455DC">
        <w:t xml:space="preserve">Figure 8.8 — Distributed loads pushing on the tension side of the member that may be subtracted from the design shear force </w:t>
      </w:r>
      <w:r w:rsidRPr="001455DC">
        <w:rPr>
          <w:rStyle w:val="CCMCvariableitalic"/>
        </w:rPr>
        <w:t>V</w:t>
      </w:r>
      <w:r w:rsidRPr="001455DC">
        <w:rPr>
          <w:rStyle w:val="CCMCvariablesubscript"/>
        </w:rPr>
        <w:t>Ed</w:t>
      </w:r>
    </w:p>
    <w:p w14:paraId="08FC3473" w14:textId="7A7EBA2E" w:rsidR="004E22C1" w:rsidRPr="001455DC" w:rsidRDefault="004E22C1" w:rsidP="00CE644A">
      <w:pPr>
        <w:pStyle w:val="a7"/>
      </w:pPr>
      <w:r w:rsidRPr="001455DC">
        <w:t>(</w:t>
      </w:r>
      <w:r w:rsidR="00DB5136" w:rsidRPr="001455DC">
        <w:t>9</w:t>
      </w:r>
      <w:r w:rsidRPr="001455DC">
        <w:t>)</w:t>
      </w:r>
      <w:r w:rsidRPr="001455DC">
        <w:tab/>
        <w:t xml:space="preserve">In case of concentrated forces pushing against each other within a clear distance </w:t>
      </w:r>
      <w:r w:rsidRPr="001455DC">
        <w:rPr>
          <w:rStyle w:val="CCMCvariableitalic"/>
        </w:rPr>
        <w:t>d</w:t>
      </w:r>
      <w:r w:rsidRPr="001455DC">
        <w:t> </w:t>
      </w:r>
      <w:r w:rsidR="00650035" w:rsidRPr="001455DC">
        <w:rPr>
          <w:rFonts w:ascii="Cambria Math" w:hAnsi="Cambria Math"/>
        </w:rPr>
        <w:t>≤</w:t>
      </w:r>
      <w:r w:rsidRPr="001455DC">
        <w:t> </w:t>
      </w:r>
      <w:r w:rsidRPr="001455DC">
        <w:rPr>
          <w:rStyle w:val="CCMCvariableitalic"/>
        </w:rPr>
        <w:t>a</w:t>
      </w:r>
      <w:r w:rsidRPr="001455DC">
        <w:rPr>
          <w:rStyle w:val="CCMCvariablesubscript"/>
        </w:rPr>
        <w:t>q</w:t>
      </w:r>
      <w:r w:rsidRPr="001455DC">
        <w:t> </w:t>
      </w:r>
      <w:r w:rsidR="00650035" w:rsidRPr="001455DC">
        <w:rPr>
          <w:rFonts w:ascii="Cambria Math" w:hAnsi="Cambria Math"/>
        </w:rPr>
        <w:t>≤</w:t>
      </w:r>
      <w:r w:rsidRPr="001455DC">
        <w:t> 2</w:t>
      </w:r>
      <w:r w:rsidRPr="001455DC">
        <w:rPr>
          <w:rStyle w:val="CCMCvariableitalic"/>
        </w:rPr>
        <w:t>d</w:t>
      </w:r>
      <w:r w:rsidRPr="001455DC">
        <w:t xml:space="preserve"> (e.g. loads and support forces, see Figure 8.5 for the definition on </w:t>
      </w:r>
      <w:r w:rsidRPr="001455DC">
        <w:rPr>
          <w:rStyle w:val="CCMCvariableitalic"/>
        </w:rPr>
        <w:t>a</w:t>
      </w:r>
      <w:r w:rsidRPr="001455DC">
        <w:rPr>
          <w:rStyle w:val="CCMCvariablesubscript"/>
        </w:rPr>
        <w:t>q</w:t>
      </w:r>
      <w:r w:rsidRPr="001455DC">
        <w:t>), the contribution of these forces to the design shear force between them may be multiplied by 0,5</w:t>
      </w:r>
      <w:r w:rsidRPr="001455DC">
        <w:rPr>
          <w:rStyle w:val="CCMCvariableitalic"/>
        </w:rPr>
        <w:t>a</w:t>
      </w:r>
      <w:r w:rsidRPr="001455DC">
        <w:rPr>
          <w:rStyle w:val="CCMCvariablesubscript"/>
        </w:rPr>
        <w:t>q</w:t>
      </w:r>
      <w:r w:rsidRPr="001455DC">
        <w:t>/</w:t>
      </w:r>
      <w:r w:rsidRPr="001455DC">
        <w:rPr>
          <w:rStyle w:val="CCMCvariableitalic"/>
        </w:rPr>
        <w:t>d</w:t>
      </w:r>
      <w:r w:rsidRPr="001455DC">
        <w:t>.</w:t>
      </w:r>
    </w:p>
    <w:p w14:paraId="4E74DB32" w14:textId="6AB97BB5" w:rsidR="004E22C1" w:rsidRPr="001455DC" w:rsidRDefault="004E22C1" w:rsidP="00CE644A">
      <w:pPr>
        <w:pStyle w:val="a7"/>
      </w:pPr>
      <w:r w:rsidRPr="001455DC">
        <w:t>(</w:t>
      </w:r>
      <w:r w:rsidR="00DB5136" w:rsidRPr="001455DC">
        <w:t>10</w:t>
      </w:r>
      <w:r w:rsidRPr="001455DC">
        <w:t>)</w:t>
      </w:r>
      <w:r w:rsidRPr="001455DC">
        <w:tab/>
        <w:t xml:space="preserve">For the design of longitudinal reinforcement, the </w:t>
      </w:r>
      <w:r w:rsidRPr="001455DC">
        <w:rPr>
          <w:rStyle w:val="CCMCvariableitalic"/>
        </w:rPr>
        <w:t>M</w:t>
      </w:r>
      <w:r w:rsidRPr="001455DC">
        <w:rPr>
          <w:rStyle w:val="CCMCvariablesubscript"/>
        </w:rPr>
        <w:t>Ed</w:t>
      </w:r>
      <w:r w:rsidRPr="001455DC">
        <w:t xml:space="preserve">-line should be shifted by a distance </w:t>
      </w:r>
      <w:r w:rsidRPr="001455DC">
        <w:rPr>
          <w:rStyle w:val="CCMCvariableitalic"/>
        </w:rPr>
        <w:t>d</w:t>
      </w:r>
      <w:r w:rsidRPr="001455DC">
        <w:t xml:space="preserve"> in the unfavourable direction. Alternatively, the bending moment may be increased by </w:t>
      </w:r>
      <w:r w:rsidRPr="001455DC">
        <w:rPr>
          <w:rStyle w:val="CCMCvariableitalic"/>
        </w:rPr>
        <w:t>d</w:t>
      </w:r>
      <w:r w:rsidRPr="001455DC">
        <w:t> ∙ |</w:t>
      </w:r>
      <w:r w:rsidRPr="001455DC">
        <w:rPr>
          <w:rStyle w:val="CCMCvariableitalic"/>
        </w:rPr>
        <w:t>V</w:t>
      </w:r>
      <w:r w:rsidRPr="001455DC">
        <w:rPr>
          <w:rStyle w:val="CCMCvariablesubscript"/>
        </w:rPr>
        <w:t>Ed</w:t>
      </w:r>
      <w:r w:rsidRPr="001455DC">
        <w:t>|.</w:t>
      </w:r>
    </w:p>
    <w:p w14:paraId="7409E893" w14:textId="68CBB87A" w:rsidR="004E22C1" w:rsidRPr="001455DC" w:rsidRDefault="004E22C1" w:rsidP="008D37B2">
      <w:pPr>
        <w:pStyle w:val="a7"/>
        <w:keepNext/>
      </w:pPr>
      <w:r w:rsidRPr="001455DC">
        <w:t>(1</w:t>
      </w:r>
      <w:r w:rsidR="00DB5136" w:rsidRPr="001455DC">
        <w:t>1</w:t>
      </w:r>
      <w:r w:rsidRPr="001455DC">
        <w:t>)</w:t>
      </w:r>
      <w:r w:rsidRPr="001455DC">
        <w:tab/>
        <w:t>Concreted-in pipes, pipe bundles or slab inserts in plane of member not perpendicular to the cross section:</w:t>
      </w:r>
    </w:p>
    <w:p w14:paraId="3B2C4052" w14:textId="51C78438" w:rsidR="004E22C1" w:rsidRPr="001455DC" w:rsidRDefault="004E22C1" w:rsidP="00A84CE8">
      <w:pPr>
        <w:pStyle w:val="a0"/>
      </w:pPr>
      <w:r w:rsidRPr="001455DC">
        <w:t xml:space="preserve">may be neglected if the width and height are less than </w:t>
      </w:r>
      <w:r w:rsidRPr="001455DC">
        <w:rPr>
          <w:rStyle w:val="CCMCvariableitalic"/>
        </w:rPr>
        <w:t>d</w:t>
      </w:r>
      <w:r w:rsidRPr="001455DC">
        <w:t>/6,</w:t>
      </w:r>
    </w:p>
    <w:p w14:paraId="2BAC5970" w14:textId="19FFA562" w:rsidR="004E22C1" w:rsidRPr="001455DC" w:rsidRDefault="004E22C1" w:rsidP="00A84CE8">
      <w:pPr>
        <w:pStyle w:val="a0"/>
      </w:pPr>
      <w:r w:rsidRPr="001455DC">
        <w:t xml:space="preserve">should be taken into account if their width or height is larger than </w:t>
      </w:r>
      <w:r w:rsidRPr="001455DC">
        <w:rPr>
          <w:rStyle w:val="CCMCvariableitalic"/>
        </w:rPr>
        <w:t>d</w:t>
      </w:r>
      <w:r w:rsidRPr="001455DC">
        <w:t xml:space="preserve">/6. In that case, the effective shear-resisting depth </w:t>
      </w:r>
      <w:r w:rsidRPr="001455DC">
        <w:rPr>
          <w:rStyle w:val="CCMCvariableitalic"/>
        </w:rPr>
        <w:t>d</w:t>
      </w:r>
      <w:r w:rsidRPr="001455DC">
        <w:t xml:space="preserve"> should be reduced by the highest value of width and depth.</w:t>
      </w:r>
    </w:p>
    <w:p w14:paraId="0DEFFAC0" w14:textId="77777777" w:rsidR="004E22C1" w:rsidRPr="001455DC" w:rsidRDefault="004E22C1" w:rsidP="00A84CE8">
      <w:pPr>
        <w:pStyle w:val="a7"/>
      </w:pPr>
      <w:r w:rsidRPr="001455DC">
        <w:t>Pipe bundles with clear distance smaller than 0,25</w:t>
      </w:r>
      <w:r w:rsidRPr="001455DC">
        <w:rPr>
          <w:rStyle w:val="CCMCvariableitalic"/>
        </w:rPr>
        <w:t>d</w:t>
      </w:r>
      <w:r w:rsidRPr="001455DC">
        <w:t xml:space="preserve"> should be considered as a single opening.</w:t>
      </w:r>
    </w:p>
    <w:p w14:paraId="4A736227" w14:textId="5903B2E1" w:rsidR="004E22C1" w:rsidRPr="001455DC" w:rsidRDefault="004E22C1" w:rsidP="00243590">
      <w:pPr>
        <w:pStyle w:val="31"/>
      </w:pPr>
      <w:bookmarkStart w:id="562" w:name="_Toc52819978"/>
      <w:bookmarkStart w:id="563" w:name="_Toc54337371"/>
      <w:bookmarkStart w:id="564" w:name="_Toc54338034"/>
      <w:bookmarkStart w:id="565" w:name="_Toc67565382"/>
      <w:r w:rsidRPr="001455DC">
        <w:t>Members requiring design shear reinforcement</w:t>
      </w:r>
      <w:bookmarkEnd w:id="562"/>
      <w:bookmarkEnd w:id="563"/>
      <w:bookmarkEnd w:id="564"/>
      <w:bookmarkEnd w:id="565"/>
    </w:p>
    <w:p w14:paraId="47895A2B" w14:textId="77777777" w:rsidR="004E22C1" w:rsidRPr="001455DC" w:rsidRDefault="004E22C1" w:rsidP="00A84CE8">
      <w:pPr>
        <w:pStyle w:val="a7"/>
      </w:pPr>
      <w:r w:rsidRPr="001455DC">
        <w:t>(1)</w:t>
      </w:r>
      <w:r w:rsidRPr="001455DC">
        <w:tab/>
        <w:t xml:space="preserve">The design of members with shear reinforcement should be based on a compression field (Figure 8.9). Limiting values for the angle </w:t>
      </w:r>
      <w:r w:rsidRPr="001455DC">
        <w:rPr>
          <w:rStyle w:val="CCMCvariableitalic"/>
        </w:rPr>
        <w:t>θ</w:t>
      </w:r>
      <w:r w:rsidRPr="001455DC">
        <w:t xml:space="preserve"> of the inclined compression field in the web are given in (3). Provisions for inclined shear reinforcement are given in (13).</w:t>
      </w:r>
    </w:p>
    <w:p w14:paraId="7B5501F4" w14:textId="58834E30" w:rsidR="004E22C1" w:rsidRPr="001455DC" w:rsidRDefault="00723CF7" w:rsidP="00A84CE8">
      <w:pPr>
        <w:pStyle w:val="FigureImage"/>
        <w:rPr>
          <w:lang w:eastAsia="de-DE"/>
        </w:rPr>
      </w:pPr>
      <w:r>
        <w:rPr>
          <w:noProof/>
          <w:lang w:eastAsia="en-GB"/>
        </w:rPr>
        <w:fldChar w:fldCharType="begin"/>
      </w:r>
      <w:r>
        <w:rPr>
          <w:noProof/>
          <w:lang w:eastAsia="en-GB"/>
        </w:rPr>
        <w:instrText xml:space="preserve"> INCLUDEPICTURE  "Y:\\STD_MGT\\STDDEL\\PRODUCTION\\etrans\\Download\\Z_FIRST_DEL\\SV\\00250\\00250269\\41_e_dr\\8_009.tif"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"Y:\\STD_MGT\\STDDEL\\PRODUCTION\\Standards\\00250\\269\\41_e_dr\\8_009.tif"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"Y:\\STD_MGT\\STDDEL\\PRODUCTION\\Standards\\00250\\269\\41_e_dr\\8_009.tif"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"Y:\\STD_MGT\\STDDEL\\PRODUCTION\\Standards\\00250\\269\\41_e_dr\\8_009.tif"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"Y:\\STD_MGT\\STDDEL\\PRODUCTION\\Standards\\00250\\269\\41_e_dr\\8_009.tif"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"Y:\\STD_MGT\\STDDEL\\PRODUCTION\\Standards\\00250\\269\\41_e_dr\\8_009.tif"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"C:\\Users\\a.dionysiou\\AppData\\Local\\Temp\\Temp1_00250269_e_20210902.zip.zip\\41_e_dr\\8_009.tif"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62468420">
          <v:shape id="_x0000_i1159" type="#_x0000_t75" style="width:341.25pt;height:122.25pt">
            <v:imagedata r:id="rId288" r:href="rId289"/>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27A5A581" w14:textId="77777777" w:rsidR="00A84CE8" w:rsidRPr="001455DC" w:rsidRDefault="00A84CE8" w:rsidP="00A84CE8">
      <w:pPr>
        <w:pStyle w:val="KeyTitle"/>
      </w:pPr>
      <w:r w:rsidRPr="001455DC">
        <w:t>Key</w:t>
      </w:r>
    </w:p>
    <w:tbl>
      <w:tblPr>
        <w:tblW w:w="9809" w:type="dxa"/>
        <w:tblLayout w:type="fixed"/>
        <w:tblCellMar>
          <w:left w:w="28" w:type="dxa"/>
          <w:right w:w="28" w:type="dxa"/>
        </w:tblCellMar>
        <w:tblLook w:val="0000" w:firstRow="0" w:lastRow="0" w:firstColumn="0" w:lastColumn="0" w:noHBand="0" w:noVBand="0"/>
      </w:tblPr>
      <w:tblGrid>
        <w:gridCol w:w="397"/>
        <w:gridCol w:w="9412"/>
      </w:tblGrid>
      <w:tr w:rsidR="00A84CE8" w:rsidRPr="001455DC" w14:paraId="525DDB23" w14:textId="77777777" w:rsidTr="007A764A">
        <w:tc>
          <w:tcPr>
            <w:tcW w:w="397" w:type="dxa"/>
            <w:shd w:val="clear" w:color="auto" w:fill="auto"/>
          </w:tcPr>
          <w:p w14:paraId="18CAFC1D" w14:textId="20EAC089" w:rsidR="00A84CE8" w:rsidRPr="001455DC" w:rsidRDefault="00A84CE8" w:rsidP="007A764A">
            <w:pPr>
              <w:pStyle w:val="KeyText"/>
              <w:tabs>
                <w:tab w:val="clear" w:pos="346"/>
              </w:tabs>
              <w:ind w:left="0" w:firstLine="0"/>
            </w:pPr>
            <w:r w:rsidRPr="001455DC">
              <w:t>1</w:t>
            </w:r>
          </w:p>
        </w:tc>
        <w:tc>
          <w:tcPr>
            <w:tcW w:w="9412" w:type="dxa"/>
            <w:shd w:val="clear" w:color="auto" w:fill="auto"/>
          </w:tcPr>
          <w:p w14:paraId="3E36AB7E" w14:textId="11F09AE5" w:rsidR="00A84CE8" w:rsidRPr="001455DC" w:rsidRDefault="00A46F70" w:rsidP="007A764A">
            <w:pPr>
              <w:pStyle w:val="KeyText"/>
              <w:tabs>
                <w:tab w:val="clear" w:pos="346"/>
              </w:tabs>
              <w:ind w:left="0" w:firstLine="0"/>
            </w:pPr>
            <w:r>
              <w:rPr>
                <w:lang w:eastAsia="de-DE"/>
              </w:rPr>
              <w:t>c</w:t>
            </w:r>
            <w:r w:rsidR="00A84CE8" w:rsidRPr="001455DC">
              <w:rPr>
                <w:lang w:eastAsia="de-DE"/>
              </w:rPr>
              <w:t>ompression chord</w:t>
            </w:r>
          </w:p>
        </w:tc>
      </w:tr>
      <w:tr w:rsidR="00A84CE8" w:rsidRPr="001455DC" w14:paraId="674A5A15" w14:textId="77777777" w:rsidTr="007A764A">
        <w:tc>
          <w:tcPr>
            <w:tcW w:w="397" w:type="dxa"/>
            <w:shd w:val="clear" w:color="auto" w:fill="auto"/>
          </w:tcPr>
          <w:p w14:paraId="75ACA9CC" w14:textId="68E91252" w:rsidR="00A84CE8" w:rsidRPr="001455DC" w:rsidRDefault="00A84CE8" w:rsidP="007A764A">
            <w:pPr>
              <w:pStyle w:val="KeyText"/>
              <w:tabs>
                <w:tab w:val="clear" w:pos="346"/>
              </w:tabs>
              <w:ind w:left="0" w:firstLine="0"/>
            </w:pPr>
            <w:r w:rsidRPr="001455DC">
              <w:t>2</w:t>
            </w:r>
          </w:p>
        </w:tc>
        <w:tc>
          <w:tcPr>
            <w:tcW w:w="9412" w:type="dxa"/>
            <w:shd w:val="clear" w:color="auto" w:fill="auto"/>
          </w:tcPr>
          <w:p w14:paraId="7BFB0060" w14:textId="122BDE48" w:rsidR="00A84CE8" w:rsidRPr="001455DC" w:rsidRDefault="00A46F70" w:rsidP="007A764A">
            <w:pPr>
              <w:pStyle w:val="KeyText"/>
              <w:tabs>
                <w:tab w:val="clear" w:pos="346"/>
              </w:tabs>
              <w:ind w:left="0" w:firstLine="0"/>
            </w:pPr>
            <w:r>
              <w:rPr>
                <w:lang w:eastAsia="de-DE"/>
              </w:rPr>
              <w:t>s</w:t>
            </w:r>
            <w:r w:rsidR="00A84CE8" w:rsidRPr="001455DC">
              <w:rPr>
                <w:lang w:eastAsia="de-DE"/>
              </w:rPr>
              <w:t>hear reinforcement</w:t>
            </w:r>
          </w:p>
        </w:tc>
      </w:tr>
      <w:tr w:rsidR="00A84CE8" w:rsidRPr="001455DC" w14:paraId="196709AC" w14:textId="77777777" w:rsidTr="007A764A">
        <w:tc>
          <w:tcPr>
            <w:tcW w:w="397" w:type="dxa"/>
            <w:shd w:val="clear" w:color="auto" w:fill="auto"/>
          </w:tcPr>
          <w:p w14:paraId="3957613D" w14:textId="5070C9BA" w:rsidR="00A84CE8" w:rsidRPr="001455DC" w:rsidRDefault="00A84CE8" w:rsidP="007A764A">
            <w:pPr>
              <w:pStyle w:val="KeyText"/>
              <w:tabs>
                <w:tab w:val="clear" w:pos="346"/>
              </w:tabs>
              <w:ind w:left="0" w:firstLine="0"/>
            </w:pPr>
            <w:r w:rsidRPr="001455DC">
              <w:t>3</w:t>
            </w:r>
          </w:p>
        </w:tc>
        <w:tc>
          <w:tcPr>
            <w:tcW w:w="9412" w:type="dxa"/>
            <w:shd w:val="clear" w:color="auto" w:fill="auto"/>
          </w:tcPr>
          <w:p w14:paraId="683A233F" w14:textId="38AF8E3B" w:rsidR="00A84CE8" w:rsidRPr="001455DC" w:rsidRDefault="00A46F70" w:rsidP="007A764A">
            <w:pPr>
              <w:pStyle w:val="KeyText"/>
              <w:tabs>
                <w:tab w:val="clear" w:pos="346"/>
              </w:tabs>
              <w:ind w:left="0" w:firstLine="0"/>
            </w:pPr>
            <w:r>
              <w:rPr>
                <w:lang w:eastAsia="de-DE"/>
              </w:rPr>
              <w:t>t</w:t>
            </w:r>
            <w:r w:rsidR="00A84CE8" w:rsidRPr="001455DC">
              <w:rPr>
                <w:lang w:eastAsia="de-DE"/>
              </w:rPr>
              <w:t>ension chord</w:t>
            </w:r>
          </w:p>
        </w:tc>
      </w:tr>
      <w:tr w:rsidR="00A84CE8" w:rsidRPr="001455DC" w14:paraId="4291CFFB" w14:textId="77777777" w:rsidTr="007A764A">
        <w:tc>
          <w:tcPr>
            <w:tcW w:w="397" w:type="dxa"/>
            <w:shd w:val="clear" w:color="auto" w:fill="auto"/>
          </w:tcPr>
          <w:p w14:paraId="158113CC" w14:textId="11F7BAAB" w:rsidR="00A84CE8" w:rsidRPr="001455DC" w:rsidRDefault="00A84CE8" w:rsidP="007A764A">
            <w:pPr>
              <w:pStyle w:val="KeyText"/>
              <w:tabs>
                <w:tab w:val="clear" w:pos="346"/>
              </w:tabs>
              <w:ind w:left="0" w:firstLine="0"/>
            </w:pPr>
            <w:r w:rsidRPr="001455DC">
              <w:t>4</w:t>
            </w:r>
          </w:p>
        </w:tc>
        <w:tc>
          <w:tcPr>
            <w:tcW w:w="9412" w:type="dxa"/>
            <w:shd w:val="clear" w:color="auto" w:fill="auto"/>
          </w:tcPr>
          <w:p w14:paraId="13E13A9A" w14:textId="396C9FCB" w:rsidR="00A84CE8" w:rsidRPr="001455DC" w:rsidRDefault="00A46F70" w:rsidP="007A764A">
            <w:pPr>
              <w:pStyle w:val="KeyText"/>
              <w:tabs>
                <w:tab w:val="clear" w:pos="346"/>
              </w:tabs>
              <w:ind w:left="0" w:firstLine="0"/>
            </w:pPr>
            <w:r>
              <w:rPr>
                <w:lang w:eastAsia="de-DE"/>
              </w:rPr>
              <w:t>s</w:t>
            </w:r>
            <w:r w:rsidR="00A84CE8" w:rsidRPr="001455DC">
              <w:rPr>
                <w:lang w:eastAsia="de-DE"/>
              </w:rPr>
              <w:t>truts (compression field)</w:t>
            </w:r>
          </w:p>
        </w:tc>
      </w:tr>
    </w:tbl>
    <w:p w14:paraId="617C60C6" w14:textId="77777777" w:rsidR="004E22C1" w:rsidRPr="001455DC" w:rsidRDefault="004E22C1" w:rsidP="00A84CE8">
      <w:pPr>
        <w:pStyle w:val="Figuretitle"/>
      </w:pPr>
      <w:r w:rsidRPr="001455DC">
        <w:t>Figure 8.9 — Model and notation for shear reinforced members</w:t>
      </w:r>
    </w:p>
    <w:p w14:paraId="7B996F48" w14:textId="77777777" w:rsidR="004E22C1" w:rsidRPr="001455DC" w:rsidRDefault="004E22C1" w:rsidP="00A84CE8">
      <w:pPr>
        <w:pStyle w:val="a7"/>
      </w:pPr>
      <w:r w:rsidRPr="001455DC">
        <w:rPr>
          <w:lang w:eastAsia="de-DE"/>
        </w:rPr>
        <w:t>(2)</w:t>
      </w:r>
      <w:r w:rsidRPr="001455DC">
        <w:rPr>
          <w:lang w:eastAsia="de-DE"/>
        </w:rPr>
        <w:tab/>
      </w:r>
      <w:r w:rsidRPr="001455DC">
        <w:t xml:space="preserve">The lever arm </w:t>
      </w:r>
      <w:r w:rsidRPr="001455DC">
        <w:rPr>
          <w:rStyle w:val="CCMCvariableitalic"/>
        </w:rPr>
        <w:t>z</w:t>
      </w:r>
      <w:r w:rsidRPr="001455DC">
        <w:t xml:space="preserve"> for the shear calculation (Figure 8.9) may be assumed as in 8.2.1(3).</w:t>
      </w:r>
    </w:p>
    <w:p w14:paraId="484F17D0" w14:textId="77777777" w:rsidR="004E22C1" w:rsidRPr="001455DC" w:rsidRDefault="004E22C1" w:rsidP="00A84CE8">
      <w:pPr>
        <w:pStyle w:val="a7"/>
      </w:pPr>
      <w:r w:rsidRPr="001455DC">
        <w:t xml:space="preserve">Prestressed tendons away from the tension chord may be neglected in calculating the centroid of tensile reinforcement, provided that the reinforcement in the tension chord is sufficient to carry the tensile force </w:t>
      </w:r>
      <w:r w:rsidRPr="001455DC">
        <w:rPr>
          <w:rStyle w:val="CCMCvariableitalic"/>
        </w:rPr>
        <w:t>F</w:t>
      </w:r>
      <w:r w:rsidRPr="001455DC">
        <w:rPr>
          <w:rStyle w:val="CCMCvariablesubscript"/>
        </w:rPr>
        <w:t>td</w:t>
      </w:r>
      <w:r w:rsidRPr="001455DC">
        <w:t xml:space="preserve"> according to (8).</w:t>
      </w:r>
    </w:p>
    <w:p w14:paraId="63DA4AC2" w14:textId="77777777" w:rsidR="002B0BF6" w:rsidRPr="001455DC" w:rsidRDefault="004E22C1" w:rsidP="008D37B2">
      <w:pPr>
        <w:pStyle w:val="a7"/>
        <w:keepNext/>
      </w:pPr>
      <w:r w:rsidRPr="001455DC">
        <w:t>(3)</w:t>
      </w:r>
      <w:r w:rsidRPr="001455DC">
        <w:tab/>
        <w:t>The inclination of the compression field in the web carrying shear may be selected within the following range:</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B0BF6" w:rsidRPr="001455DC" w14:paraId="402837A1" w14:textId="77777777" w:rsidTr="002B0BF6">
        <w:trPr>
          <w:cantSplit/>
        </w:trPr>
        <w:tc>
          <w:tcPr>
            <w:tcW w:w="8505" w:type="dxa"/>
            <w:vAlign w:val="center"/>
          </w:tcPr>
          <w:p w14:paraId="4872E368" w14:textId="4DC2228D" w:rsidR="002B0BF6" w:rsidRPr="001455DC" w:rsidRDefault="002B0BF6" w:rsidP="002B0BF6">
            <w:pPr>
              <w:pStyle w:val="Formula"/>
              <w:jc w:val="left"/>
            </w:pPr>
            <w:r w:rsidRPr="001455DC">
              <w:rPr>
                <w:lang w:eastAsia="de-CH"/>
              </w:rPr>
              <w:t>1 </w:t>
            </w:r>
            <w:r w:rsidR="00650035" w:rsidRPr="001455DC">
              <w:rPr>
                <w:rFonts w:ascii="Cambria Math" w:hAnsi="Cambria Math"/>
                <w:lang w:eastAsia="de-CH"/>
              </w:rPr>
              <w:t>≤</w:t>
            </w:r>
            <w:r w:rsidRPr="001455DC">
              <w:rPr>
                <w:lang w:eastAsia="de-CH"/>
              </w:rPr>
              <w:t> cot</w:t>
            </w:r>
            <w:r w:rsidRPr="001455DC">
              <w:rPr>
                <w:rStyle w:val="CCMCvariableitalic"/>
              </w:rPr>
              <w:t>θ</w:t>
            </w:r>
            <w:r w:rsidRPr="001455DC">
              <w:rPr>
                <w:lang w:eastAsia="de-CH"/>
              </w:rPr>
              <w:t> </w:t>
            </w:r>
            <w:r w:rsidR="00650035" w:rsidRPr="001455DC">
              <w:rPr>
                <w:rFonts w:ascii="Cambria Math" w:hAnsi="Cambria Math"/>
                <w:lang w:eastAsia="de-CH"/>
              </w:rPr>
              <w:t>≤</w:t>
            </w:r>
            <w:r w:rsidRPr="001455DC">
              <w:rPr>
                <w:lang w:eastAsia="de-CH"/>
              </w:rPr>
              <w:t> cot</w:t>
            </w:r>
            <w:r w:rsidRPr="001455DC">
              <w:rPr>
                <w:rStyle w:val="CCMCvariableitalic"/>
              </w:rPr>
              <w:t>θ</w:t>
            </w:r>
            <w:r w:rsidRPr="001455DC">
              <w:rPr>
                <w:rStyle w:val="CCMCvariablesubscript"/>
              </w:rPr>
              <w:t>min</w:t>
            </w:r>
          </w:p>
        </w:tc>
        <w:tc>
          <w:tcPr>
            <w:tcW w:w="1247" w:type="dxa"/>
            <w:vAlign w:val="center"/>
          </w:tcPr>
          <w:p w14:paraId="7A8AF6BA" w14:textId="0CEBD50B" w:rsidR="002B0BF6" w:rsidRPr="001455DC" w:rsidRDefault="002B0BF6">
            <w:pPr>
              <w:pStyle w:val="a7"/>
              <w:jc w:val="right"/>
            </w:pPr>
            <w:r w:rsidRPr="001455DC">
              <w:rPr>
                <w:lang w:eastAsia="de-CH"/>
              </w:rPr>
              <w:t>(8.</w:t>
            </w:r>
            <w:r w:rsidR="00DB5136" w:rsidRPr="001455DC">
              <w:rPr>
                <w:lang w:eastAsia="de-CH"/>
              </w:rPr>
              <w:t>26</w:t>
            </w:r>
            <w:r w:rsidRPr="001455DC">
              <w:rPr>
                <w:lang w:eastAsia="de-CH"/>
              </w:rPr>
              <w:t>)</w:t>
            </w:r>
          </w:p>
        </w:tc>
      </w:tr>
    </w:tbl>
    <w:p w14:paraId="0BB3E949" w14:textId="77777777" w:rsidR="004E22C1" w:rsidRPr="001455DC" w:rsidRDefault="004E22C1" w:rsidP="008D37B2">
      <w:pPr>
        <w:pStyle w:val="a7"/>
        <w:keepNext/>
      </w:pPr>
      <w:r w:rsidRPr="001455DC">
        <w:t xml:space="preserve">where the cotangens of the minimal inclination of the compression field </w:t>
      </w:r>
      <w:r w:rsidRPr="001455DC">
        <w:rPr>
          <w:rStyle w:val="CCMCvariableitalic"/>
        </w:rPr>
        <w:t>θ</w:t>
      </w:r>
      <w:r w:rsidRPr="001455DC">
        <w:rPr>
          <w:rStyle w:val="CCMCvariablesubscript"/>
        </w:rPr>
        <w:t>min</w:t>
      </w:r>
      <w:r w:rsidRPr="001455DC">
        <w:t xml:space="preserve"> should be for shear reinforcement of ductility class B or C:</w:t>
      </w:r>
    </w:p>
    <w:p w14:paraId="100959B5" w14:textId="4FC33DC4" w:rsidR="004E22C1" w:rsidRPr="001455DC" w:rsidRDefault="004E22C1" w:rsidP="00A84CE8">
      <w:pPr>
        <w:pStyle w:val="a0"/>
      </w:pPr>
      <w:r w:rsidRPr="001455DC">
        <w:t>cot</w:t>
      </w:r>
      <w:r w:rsidRPr="001455DC">
        <w:rPr>
          <w:rStyle w:val="CCMCvariableitalic"/>
        </w:rPr>
        <w:t>θ</w:t>
      </w:r>
      <w:r w:rsidRPr="001455DC">
        <w:rPr>
          <w:rStyle w:val="CCMCvariablesubscript"/>
        </w:rPr>
        <w:t>min</w:t>
      </w:r>
      <w:r w:rsidRPr="001455DC">
        <w:t> </w:t>
      </w:r>
      <w:r w:rsidR="00EC27D2" w:rsidRPr="001455DC">
        <w:rPr>
          <w:rFonts w:ascii="Cambria Math" w:hAnsi="Cambria Math"/>
        </w:rPr>
        <w:t>=</w:t>
      </w:r>
      <w:r w:rsidRPr="001455DC">
        <w:t> 2,5 for ordinary reinforced members without axial force;</w:t>
      </w:r>
    </w:p>
    <w:p w14:paraId="51C33378" w14:textId="74F9417D" w:rsidR="004E22C1" w:rsidRPr="001455DC" w:rsidRDefault="004E22C1" w:rsidP="00A84CE8">
      <w:pPr>
        <w:pStyle w:val="a0"/>
      </w:pPr>
      <w:r w:rsidRPr="001455DC">
        <w:t>cot</w:t>
      </w:r>
      <w:r w:rsidRPr="001455DC">
        <w:rPr>
          <w:rStyle w:val="CCMCvariableitalic"/>
        </w:rPr>
        <w:t>θ</w:t>
      </w:r>
      <w:r w:rsidRPr="001455DC">
        <w:rPr>
          <w:rStyle w:val="CCMCvariablesubscript"/>
        </w:rPr>
        <w:t>min</w:t>
      </w:r>
      <w:r w:rsidRPr="001455DC">
        <w:t> </w:t>
      </w:r>
      <w:r w:rsidR="00EC27D2" w:rsidRPr="001455DC">
        <w:rPr>
          <w:rFonts w:ascii="Cambria Math" w:hAnsi="Cambria Math"/>
        </w:rPr>
        <w:t>=</w:t>
      </w:r>
      <w:r w:rsidRPr="001455DC">
        <w:t> 3,0 for members subjected to significant axial compressive force (average axial compressive stress </w:t>
      </w:r>
      <w:r w:rsidR="00650035" w:rsidRPr="001455DC">
        <w:rPr>
          <w:rFonts w:ascii="Cambria Math" w:hAnsi="Cambria Math"/>
        </w:rPr>
        <w:t>≥</w:t>
      </w:r>
      <w:r w:rsidR="00073FC6" w:rsidRPr="001455DC">
        <w:t> </w:t>
      </w:r>
      <w:r w:rsidRPr="001455DC">
        <w:t xml:space="preserve">|3 MPa|) and provided that </w:t>
      </w:r>
      <w:r w:rsidRPr="001455DC">
        <w:rPr>
          <w:iCs/>
        </w:rPr>
        <w:t>the</w:t>
      </w:r>
      <w:r w:rsidRPr="001455DC">
        <w:t xml:space="preserve"> depth of the compression chord </w:t>
      </w:r>
      <w:r w:rsidRPr="001455DC">
        <w:rPr>
          <w:rStyle w:val="CCMCvariableitalic"/>
        </w:rPr>
        <w:t>x</w:t>
      </w:r>
      <w:r w:rsidRPr="001455DC">
        <w:t xml:space="preserve"> determined from a sectional analysis according to 8.1.1 and 8.1.2 is less than 0,25</w:t>
      </w:r>
      <w:r w:rsidRPr="001455DC">
        <w:rPr>
          <w:rStyle w:val="CCMCvariableitalic"/>
        </w:rPr>
        <w:t>d</w:t>
      </w:r>
      <w:r w:rsidRPr="001455DC">
        <w:t>. Interpolated values between 2,5 and 3,0 may be adopted for intermediate cases. For very high compressive forces (</w:t>
      </w:r>
      <w:r w:rsidRPr="001455DC">
        <w:rPr>
          <w:rStyle w:val="CCMCvariableitalic"/>
        </w:rPr>
        <w:t>x</w:t>
      </w:r>
      <w:r w:rsidRPr="001455DC">
        <w:t> </w:t>
      </w:r>
      <w:r w:rsidR="00650035" w:rsidRPr="001455DC">
        <w:rPr>
          <w:rFonts w:ascii="Cambria Math" w:hAnsi="Cambria Math"/>
        </w:rPr>
        <w:t>&gt;</w:t>
      </w:r>
      <w:r w:rsidR="00073FC6" w:rsidRPr="001455DC">
        <w:t> </w:t>
      </w:r>
      <w:r w:rsidRPr="001455DC">
        <w:t>0,25</w:t>
      </w:r>
      <w:r w:rsidRPr="001455DC">
        <w:rPr>
          <w:rStyle w:val="CCMCvariableitalic"/>
        </w:rPr>
        <w:t>d</w:t>
      </w:r>
      <w:r w:rsidRPr="001455DC">
        <w:t>), (11) applies;</w:t>
      </w:r>
    </w:p>
    <w:p w14:paraId="489A5DB5" w14:textId="5119A06D" w:rsidR="004E22C1" w:rsidRPr="001455DC" w:rsidRDefault="004E22C1" w:rsidP="00A84CE8">
      <w:pPr>
        <w:pStyle w:val="a0"/>
      </w:pPr>
      <w:r w:rsidRPr="001455DC">
        <w:t>cot</w:t>
      </w:r>
      <w:r w:rsidRPr="001455DC">
        <w:rPr>
          <w:rStyle w:val="CCMCvariableitalic"/>
        </w:rPr>
        <w:t>θ</w:t>
      </w:r>
      <w:r w:rsidRPr="001455DC">
        <w:rPr>
          <w:rStyle w:val="CCMCvariablesubscript"/>
        </w:rPr>
        <w:t>min</w:t>
      </w:r>
      <w:r w:rsidRPr="001455DC">
        <w:t> </w:t>
      </w:r>
      <w:r w:rsidR="00EC27D2" w:rsidRPr="001455DC">
        <w:rPr>
          <w:rFonts w:ascii="Cambria Math" w:hAnsi="Cambria Math"/>
        </w:rPr>
        <w:t>=</w:t>
      </w:r>
      <w:r w:rsidRPr="001455DC">
        <w:t> 2,5 </w:t>
      </w:r>
      <w:r w:rsidR="00EC27D2" w:rsidRPr="001455DC">
        <w:rPr>
          <w:rFonts w:ascii="Cambria Math" w:hAnsi="Cambria Math"/>
        </w:rPr>
        <w:t>−</w:t>
      </w:r>
      <w:r w:rsidRPr="001455DC">
        <w:t> 0,1 </w:t>
      </w:r>
      <w:r w:rsidRPr="001455DC">
        <w:rPr>
          <w:rFonts w:ascii="Cambria Math" w:hAnsi="Cambria Math" w:cs="Cambria Math"/>
        </w:rPr>
        <w:t>⋅</w:t>
      </w:r>
      <w:r w:rsidRPr="001455DC">
        <w:t> </w:t>
      </w:r>
      <w:r w:rsidRPr="001455DC">
        <w:rPr>
          <w:rStyle w:val="CCMCvariableitalic"/>
        </w:rPr>
        <w:t>N</w:t>
      </w:r>
      <w:r w:rsidRPr="001455DC">
        <w:rPr>
          <w:rStyle w:val="CCMCvariablesubscript"/>
        </w:rPr>
        <w:t>Ed</w:t>
      </w:r>
      <w:r w:rsidRPr="001455DC">
        <w:t>/|</w:t>
      </w:r>
      <w:r w:rsidRPr="001455DC">
        <w:rPr>
          <w:rStyle w:val="CCMCvariableitalic"/>
        </w:rPr>
        <w:t>V</w:t>
      </w:r>
      <w:r w:rsidRPr="001455DC">
        <w:rPr>
          <w:rStyle w:val="CCMCvariablesubscript"/>
        </w:rPr>
        <w:t>Ed</w:t>
      </w:r>
      <w:r w:rsidRPr="001455DC">
        <w:t>| </w:t>
      </w:r>
      <w:r w:rsidR="00650035" w:rsidRPr="001455DC">
        <w:rPr>
          <w:rFonts w:ascii="Cambria Math" w:hAnsi="Cambria Math"/>
        </w:rPr>
        <w:t>≥</w:t>
      </w:r>
      <w:r w:rsidR="00073FC6" w:rsidRPr="001455DC">
        <w:t> </w:t>
      </w:r>
      <w:r w:rsidRPr="001455DC">
        <w:t>1,0 for members subjected to axial tension.</w:t>
      </w:r>
    </w:p>
    <w:p w14:paraId="6509BDCC" w14:textId="77777777" w:rsidR="004E22C1" w:rsidRPr="001455DC" w:rsidRDefault="004E22C1" w:rsidP="00A84CE8">
      <w:pPr>
        <w:pStyle w:val="a7"/>
      </w:pPr>
      <w:r w:rsidRPr="001455DC">
        <w:t>For shear reinforcement of ductility class A, cot</w:t>
      </w:r>
      <w:r w:rsidRPr="001455DC">
        <w:rPr>
          <w:rStyle w:val="CCMCvariableitalic"/>
        </w:rPr>
        <w:t>θ</w:t>
      </w:r>
      <w:r w:rsidRPr="001455DC">
        <w:rPr>
          <w:rStyle w:val="CCMCvariablesubscript"/>
        </w:rPr>
        <w:t>min</w:t>
      </w:r>
      <w:r w:rsidRPr="001455DC">
        <w:t xml:space="preserve"> shall be reduced by 20 %.</w:t>
      </w:r>
    </w:p>
    <w:p w14:paraId="60D66440" w14:textId="77777777" w:rsidR="002B0BF6" w:rsidRPr="001455DC" w:rsidRDefault="004E22C1" w:rsidP="008D37B2">
      <w:pPr>
        <w:pStyle w:val="a7"/>
        <w:keepNext/>
      </w:pPr>
      <w:r w:rsidRPr="001455DC">
        <w:t>(4)</w:t>
      </w:r>
      <w:r w:rsidRPr="001455DC">
        <w:tab/>
        <w:t>The shear stress resistance perpendicular to the longitudinal member axis in case of yielding of the shear reinforcement shall be calculated according to:</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B0BF6" w:rsidRPr="001455DC" w14:paraId="2DA5C5BC" w14:textId="77777777" w:rsidTr="002B0BF6">
        <w:trPr>
          <w:cantSplit/>
        </w:trPr>
        <w:tc>
          <w:tcPr>
            <w:tcW w:w="8505" w:type="dxa"/>
            <w:vAlign w:val="center"/>
          </w:tcPr>
          <w:p w14:paraId="1BD0CF82" w14:textId="18087B2F" w:rsidR="002B0BF6" w:rsidRPr="001455DC" w:rsidRDefault="00231E33" w:rsidP="002B0BF6">
            <w:pPr>
              <w:pStyle w:val="Formula"/>
              <w:jc w:val="left"/>
            </w:pPr>
            <m:oMathPara>
              <m:oMathParaPr>
                <m:jc m:val="left"/>
              </m:oMathParaPr>
              <m:oMath>
                <m:sSub>
                  <m:sSubPr>
                    <m:ctrlPr>
                      <w:rPr>
                        <w:rFonts w:ascii="Cambria Math" w:hAnsi="Cambria Math"/>
                        <w:lang w:eastAsia="de-CH"/>
                      </w:rPr>
                    </m:ctrlPr>
                  </m:sSubPr>
                  <m:e>
                    <m:r>
                      <w:rPr>
                        <w:rFonts w:ascii="Cambria Math" w:hAnsi="Cambria Math"/>
                      </w:rPr>
                      <m:t>τ</m:t>
                    </m:r>
                  </m:e>
                  <m:sub>
                    <m:r>
                      <m:rPr>
                        <m:sty m:val="p"/>
                      </m:rPr>
                      <w:rPr>
                        <w:rFonts w:ascii="Cambria Math" w:hAnsi="Cambria Math"/>
                      </w:rPr>
                      <m:t>Rd,sy</m:t>
                    </m:r>
                  </m:sub>
                </m:sSub>
                <m:r>
                  <w:rPr>
                    <w:rFonts w:ascii="Cambria Math" w:hAnsi="Cambria Math"/>
                  </w:rPr>
                  <m:t>=</m:t>
                </m:r>
                <m:sSub>
                  <m:sSubPr>
                    <m:ctrlPr>
                      <w:rPr>
                        <w:rFonts w:ascii="Cambria Math" w:hAnsi="Cambria Math"/>
                      </w:rPr>
                    </m:ctrlPr>
                  </m:sSubPr>
                  <m:e>
                    <m:r>
                      <w:rPr>
                        <w:rFonts w:ascii="Cambria Math" w:hAnsi="Cambria Math"/>
                      </w:rPr>
                      <m:t>ρ</m:t>
                    </m:r>
                  </m:e>
                  <m:sub>
                    <m:r>
                      <m:rPr>
                        <m:sty m:val="p"/>
                      </m:rPr>
                      <w:rPr>
                        <w:rFonts w:ascii="Cambria Math" w:hAnsi="Cambria Math"/>
                      </w:rPr>
                      <m:t>w</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ywd</m:t>
                    </m:r>
                  </m:sub>
                </m:sSub>
                <m:r>
                  <w:rPr>
                    <w:rFonts w:ascii="Cambria Math" w:hAnsi="Cambria Math"/>
                  </w:rPr>
                  <m:t>⋅</m:t>
                </m:r>
                <m:r>
                  <m:rPr>
                    <m:sty m:val="p"/>
                  </m:rPr>
                  <w:rPr>
                    <w:rFonts w:ascii="Cambria Math" w:hAnsi="Cambria Math"/>
                  </w:rPr>
                  <m:t>cot</m:t>
                </m:r>
                <m:r>
                  <w:rPr>
                    <w:rFonts w:ascii="Cambria Math" w:hAnsi="Cambria Math"/>
                  </w:rPr>
                  <m:t>θ</m:t>
                </m:r>
              </m:oMath>
            </m:oMathPara>
          </w:p>
        </w:tc>
        <w:tc>
          <w:tcPr>
            <w:tcW w:w="1247" w:type="dxa"/>
            <w:vAlign w:val="center"/>
          </w:tcPr>
          <w:p w14:paraId="34B5630D" w14:textId="4E58B18E" w:rsidR="002B0BF6" w:rsidRPr="001455DC" w:rsidRDefault="002B0BF6">
            <w:pPr>
              <w:pStyle w:val="a7"/>
              <w:jc w:val="right"/>
            </w:pPr>
            <w:r w:rsidRPr="001455DC">
              <w:rPr>
                <w:lang w:eastAsia="de-CH"/>
              </w:rPr>
              <w:t>(8.</w:t>
            </w:r>
            <w:r w:rsidR="00DB5136" w:rsidRPr="001455DC">
              <w:rPr>
                <w:lang w:eastAsia="de-CH"/>
              </w:rPr>
              <w:t>27</w:t>
            </w:r>
            <w:r w:rsidRPr="001455DC">
              <w:rPr>
                <w:lang w:eastAsia="de-CH"/>
              </w:rPr>
              <w:t>)</w:t>
            </w:r>
          </w:p>
        </w:tc>
      </w:tr>
    </w:tbl>
    <w:p w14:paraId="158A47C6" w14:textId="77777777" w:rsidR="002B0BF6" w:rsidRPr="001455DC" w:rsidRDefault="004E22C1" w:rsidP="008D37B2">
      <w:pPr>
        <w:pStyle w:val="a7"/>
        <w:keepNext/>
      </w:pPr>
      <w:r w:rsidRPr="001455DC">
        <w:t xml:space="preserve">where the shear reinforcement ratio </w:t>
      </w:r>
      <w:r w:rsidRPr="001455DC">
        <w:rPr>
          <w:rStyle w:val="CCMCvariableitalic"/>
        </w:rPr>
        <w:t>ρ</w:t>
      </w:r>
      <w:r w:rsidRPr="001455DC">
        <w:rPr>
          <w:rStyle w:val="CCMCvariablesubscript"/>
        </w:rPr>
        <w:t>w</w:t>
      </w:r>
      <w:r w:rsidRPr="001455DC">
        <w:t xml:space="preserve"> is defined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B0BF6" w:rsidRPr="001455DC" w14:paraId="0923AFAB" w14:textId="77777777" w:rsidTr="002B0BF6">
        <w:trPr>
          <w:cantSplit/>
        </w:trPr>
        <w:tc>
          <w:tcPr>
            <w:tcW w:w="8505" w:type="dxa"/>
            <w:vAlign w:val="center"/>
          </w:tcPr>
          <w:p w14:paraId="74F03F9B" w14:textId="6A4CFDA0" w:rsidR="002B0BF6" w:rsidRPr="001455DC" w:rsidRDefault="00231E33" w:rsidP="002B0BF6">
            <w:pPr>
              <w:pStyle w:val="Formula"/>
              <w:jc w:val="left"/>
            </w:pPr>
            <m:oMathPara>
              <m:oMathParaPr>
                <m:jc m:val="left"/>
              </m:oMathParaPr>
              <m:oMath>
                <m:sSub>
                  <m:sSubPr>
                    <m:ctrlPr>
                      <w:rPr>
                        <w:rFonts w:ascii="Cambria Math" w:hAnsi="Cambria Math"/>
                        <w:lang w:eastAsia="de-CH"/>
                      </w:rPr>
                    </m:ctrlPr>
                  </m:sSubPr>
                  <m:e>
                    <m:r>
                      <w:rPr>
                        <w:rFonts w:ascii="Cambria Math" w:hAnsi="Cambria Math"/>
                      </w:rPr>
                      <m:t>ρ</m:t>
                    </m:r>
                  </m:e>
                  <m:sub>
                    <m:r>
                      <m:rPr>
                        <m:sty m:val="p"/>
                      </m:rPr>
                      <w:rPr>
                        <w:rFonts w:ascii="Cambria Math" w:hAnsi="Cambria Math"/>
                      </w:rPr>
                      <m:t>w</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sw</m:t>
                        </m:r>
                      </m:sub>
                    </m:sSub>
                  </m:num>
                  <m:den>
                    <m:sSub>
                      <m:sSubPr>
                        <m:ctrlPr>
                          <w:rPr>
                            <w:rFonts w:ascii="Cambria Math" w:hAnsi="Cambria Math"/>
                          </w:rPr>
                        </m:ctrlPr>
                      </m:sSubPr>
                      <m:e>
                        <m:r>
                          <w:rPr>
                            <w:rFonts w:ascii="Cambria Math" w:hAnsi="Cambria Math"/>
                          </w:rPr>
                          <m:t>b</m:t>
                        </m:r>
                      </m:e>
                      <m:sub>
                        <m:r>
                          <m:rPr>
                            <m:sty m:val="p"/>
                          </m:rPr>
                          <w:rPr>
                            <w:rFonts w:ascii="Cambria Math" w:hAnsi="Cambria Math"/>
                          </w:rPr>
                          <m:t>w</m:t>
                        </m:r>
                      </m:sub>
                    </m:sSub>
                    <m:r>
                      <w:rPr>
                        <w:rFonts w:ascii="Cambria Math" w:hAnsi="Cambria Math"/>
                      </w:rPr>
                      <m:t>⋅s</m:t>
                    </m:r>
                  </m:den>
                </m:f>
              </m:oMath>
            </m:oMathPara>
          </w:p>
        </w:tc>
        <w:tc>
          <w:tcPr>
            <w:tcW w:w="1247" w:type="dxa"/>
            <w:vAlign w:val="center"/>
          </w:tcPr>
          <w:p w14:paraId="3FC524DB" w14:textId="3BA07505" w:rsidR="002B0BF6" w:rsidRPr="001455DC" w:rsidRDefault="002B0BF6">
            <w:pPr>
              <w:pStyle w:val="a7"/>
              <w:jc w:val="right"/>
            </w:pPr>
            <w:r w:rsidRPr="001455DC">
              <w:rPr>
                <w:lang w:eastAsia="de-CH"/>
              </w:rPr>
              <w:t>(8.</w:t>
            </w:r>
            <w:r w:rsidR="00DB5136" w:rsidRPr="001455DC">
              <w:rPr>
                <w:lang w:eastAsia="de-CH"/>
              </w:rPr>
              <w:t>28</w:t>
            </w:r>
            <w:r w:rsidRPr="001455DC">
              <w:rPr>
                <w:lang w:eastAsia="de-CH"/>
              </w:rPr>
              <w:t>)</w:t>
            </w:r>
          </w:p>
        </w:tc>
      </w:tr>
    </w:tbl>
    <w:p w14:paraId="1052807E" w14:textId="77777777" w:rsidR="002B0BF6" w:rsidRPr="001455DC" w:rsidRDefault="004E22C1" w:rsidP="008D37B2">
      <w:pPr>
        <w:pStyle w:val="a7"/>
        <w:keepNext/>
      </w:pPr>
      <w:r w:rsidRPr="001455DC">
        <w:t>The stress in the compression field in all cross sections shall be verified according to:</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B0BF6" w:rsidRPr="001455DC" w14:paraId="1F6B296F" w14:textId="77777777" w:rsidTr="002B0BF6">
        <w:trPr>
          <w:cantSplit/>
        </w:trPr>
        <w:tc>
          <w:tcPr>
            <w:tcW w:w="8505" w:type="dxa"/>
            <w:vAlign w:val="center"/>
          </w:tcPr>
          <w:p w14:paraId="48182BA7" w14:textId="7949AB67" w:rsidR="002B0BF6" w:rsidRPr="001455DC" w:rsidRDefault="00231E33" w:rsidP="002B0BF6">
            <w:pPr>
              <w:pStyle w:val="Formula"/>
              <w:jc w:val="left"/>
            </w:pPr>
            <m:oMathPara>
              <m:oMathParaPr>
                <m:jc m:val="left"/>
              </m:oMathParaPr>
              <m:oMath>
                <m:sSub>
                  <m:sSubPr>
                    <m:ctrlPr>
                      <w:rPr>
                        <w:rFonts w:ascii="Cambria Math" w:hAnsi="Cambria Math"/>
                        <w:lang w:eastAsia="de-CH"/>
                      </w:rPr>
                    </m:ctrlPr>
                  </m:sSubPr>
                  <m:e>
                    <m:r>
                      <w:rPr>
                        <w:rFonts w:ascii="Cambria Math" w:hAnsi="Cambria Math"/>
                      </w:rPr>
                      <m:t>σ</m:t>
                    </m:r>
                  </m:e>
                  <m:sub>
                    <m:r>
                      <m:rPr>
                        <m:sty m:val="p"/>
                      </m:rPr>
                      <w:rPr>
                        <w:rFonts w:ascii="Cambria Math" w:hAnsi="Cambria Math"/>
                      </w:rPr>
                      <m:t>cd</m:t>
                    </m:r>
                  </m:sub>
                </m:sSub>
                <m:r>
                  <w:rPr>
                    <w:rFonts w:ascii="Cambria Math" w:hAnsi="Cambria Math"/>
                  </w:rPr>
                  <m:t>=</m:t>
                </m:r>
                <m:sSub>
                  <m:sSubPr>
                    <m:ctrlPr>
                      <w:rPr>
                        <w:rFonts w:ascii="Cambria Math" w:hAnsi="Cambria Math"/>
                      </w:rPr>
                    </m:ctrlPr>
                  </m:sSubPr>
                  <m:e>
                    <m:r>
                      <w:rPr>
                        <w:rFonts w:ascii="Cambria Math" w:hAnsi="Cambria Math"/>
                      </w:rPr>
                      <m:t>τ</m:t>
                    </m:r>
                  </m:e>
                  <m:sub>
                    <m:r>
                      <m:rPr>
                        <m:sty m:val="p"/>
                      </m:rPr>
                      <w:rPr>
                        <w:rFonts w:ascii="Cambria Math" w:hAnsi="Cambria Math"/>
                      </w:rPr>
                      <m:t>Ed</m:t>
                    </m:r>
                  </m:sub>
                </m:sSub>
                <m:d>
                  <m:dPr>
                    <m:ctrlPr>
                      <w:rPr>
                        <w:rFonts w:ascii="Cambria Math" w:hAnsi="Cambria Math"/>
                      </w:rPr>
                    </m:ctrlPr>
                  </m:dPr>
                  <m:e>
                    <m:r>
                      <m:rPr>
                        <m:sty m:val="p"/>
                      </m:rPr>
                      <w:rPr>
                        <w:rFonts w:ascii="Cambria Math" w:hAnsi="Cambria Math"/>
                      </w:rPr>
                      <m:t>cot</m:t>
                    </m:r>
                    <m:r>
                      <w:rPr>
                        <w:rFonts w:ascii="Cambria Math" w:hAnsi="Cambria Math"/>
                      </w:rPr>
                      <m:t>θ+</m:t>
                    </m:r>
                    <m:r>
                      <m:rPr>
                        <m:sty m:val="p"/>
                      </m:rPr>
                      <w:rPr>
                        <w:rFonts w:ascii="Cambria Math" w:hAnsi="Cambria Math"/>
                      </w:rPr>
                      <m:t>tan</m:t>
                    </m:r>
                    <m:r>
                      <w:rPr>
                        <w:rFonts w:ascii="Cambria Math" w:hAnsi="Cambria Math"/>
                      </w:rPr>
                      <m:t>θ</m:t>
                    </m:r>
                  </m:e>
                </m:d>
                <m:r>
                  <w:rPr>
                    <w:rFonts w:ascii="Cambria Math" w:hAnsi="Cambria Math"/>
                  </w:rPr>
                  <m:t>≤ν⋅</m:t>
                </m:r>
                <m:sSub>
                  <m:sSubPr>
                    <m:ctrlPr>
                      <w:rPr>
                        <w:rFonts w:ascii="Cambria Math" w:hAnsi="Cambria Math"/>
                      </w:rPr>
                    </m:ctrlPr>
                  </m:sSubPr>
                  <m:e>
                    <m:r>
                      <w:rPr>
                        <w:rFonts w:ascii="Cambria Math" w:hAnsi="Cambria Math"/>
                      </w:rPr>
                      <m:t>f</m:t>
                    </m:r>
                  </m:e>
                  <m:sub>
                    <m:r>
                      <m:rPr>
                        <m:sty m:val="p"/>
                      </m:rPr>
                      <w:rPr>
                        <w:rFonts w:ascii="Cambria Math" w:hAnsi="Cambria Math"/>
                      </w:rPr>
                      <m:t>cd</m:t>
                    </m:r>
                  </m:sub>
                </m:sSub>
              </m:oMath>
            </m:oMathPara>
          </w:p>
        </w:tc>
        <w:tc>
          <w:tcPr>
            <w:tcW w:w="1247" w:type="dxa"/>
            <w:vAlign w:val="center"/>
          </w:tcPr>
          <w:p w14:paraId="624F8340" w14:textId="15B611E4" w:rsidR="002B0BF6" w:rsidRPr="001455DC" w:rsidRDefault="002B0BF6">
            <w:pPr>
              <w:pStyle w:val="a7"/>
              <w:jc w:val="right"/>
            </w:pPr>
            <w:r w:rsidRPr="001455DC">
              <w:rPr>
                <w:lang w:eastAsia="de-CH"/>
              </w:rPr>
              <w:t>(8.</w:t>
            </w:r>
            <w:r w:rsidR="00DB5136" w:rsidRPr="001455DC">
              <w:rPr>
                <w:lang w:eastAsia="de-CH"/>
              </w:rPr>
              <w:t>29</w:t>
            </w:r>
            <w:r w:rsidRPr="001455DC">
              <w:rPr>
                <w:lang w:eastAsia="de-CH"/>
              </w:rPr>
              <w:t>)</w:t>
            </w:r>
          </w:p>
        </w:tc>
      </w:tr>
    </w:tbl>
    <w:p w14:paraId="61A575AE" w14:textId="2325D8EE" w:rsidR="002B0BF6" w:rsidRPr="001455DC" w:rsidRDefault="004E22C1" w:rsidP="00A46F70">
      <w:pPr>
        <w:pStyle w:val="Note"/>
      </w:pPr>
      <w:r w:rsidRPr="001455DC">
        <w:t>NOTE</w:t>
      </w:r>
      <w:r w:rsidR="00A46F70">
        <w:t xml:space="preserve"> </w:t>
      </w:r>
      <w:r w:rsidRPr="001455DC">
        <w:tab/>
        <w:t>For the case with simultaneous yielding of the shear reinforcement and failure of the compression field, the shear stress resistanc</w:t>
      </w:r>
      <w:r w:rsidR="00A46F70">
        <w:t>e results from the solution of F</w:t>
      </w:r>
      <w:r w:rsidRPr="001455DC">
        <w:t>ormulae (8.</w:t>
      </w:r>
      <w:r w:rsidR="00A807C6" w:rsidRPr="001455DC">
        <w:t>27</w:t>
      </w:r>
      <w:r w:rsidRPr="001455DC">
        <w:t>) and (8.</w:t>
      </w:r>
      <w:r w:rsidR="00A807C6" w:rsidRPr="001455DC">
        <w:t>29</w:t>
      </w:r>
      <w:r w:rsidRPr="001455DC">
        <w:t>) as</w:t>
      </w:r>
      <w:r w:rsidRPr="001455DC">
        <w:rPr>
          <w:szCs w:val="22"/>
        </w:rPr>
        <w:t>:</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B0BF6" w:rsidRPr="001455DC" w14:paraId="7096CBA4" w14:textId="77777777" w:rsidTr="002B0BF6">
        <w:trPr>
          <w:cantSplit/>
        </w:trPr>
        <w:tc>
          <w:tcPr>
            <w:tcW w:w="8505" w:type="dxa"/>
            <w:vAlign w:val="center"/>
          </w:tcPr>
          <w:p w14:paraId="23A08F3F" w14:textId="6F415574" w:rsidR="002B0BF6" w:rsidRPr="001455DC" w:rsidRDefault="00231E33" w:rsidP="002B0BF6">
            <w:pPr>
              <w:pStyle w:val="Formula"/>
              <w:jc w:val="left"/>
            </w:pPr>
            <m:oMathPara>
              <m:oMathParaPr>
                <m:jc m:val="left"/>
              </m:oMathParaPr>
              <m:oMath>
                <m:sSub>
                  <m:sSubPr>
                    <m:ctrlPr>
                      <w:rPr>
                        <w:rFonts w:ascii="Cambria Math" w:hAnsi="Cambria Math"/>
                      </w:rPr>
                    </m:ctrlPr>
                  </m:sSubPr>
                  <m:e>
                    <m:r>
                      <w:rPr>
                        <w:rFonts w:ascii="Cambria Math" w:hAnsi="Cambria Math"/>
                      </w:rPr>
                      <m:t>τ</m:t>
                    </m:r>
                  </m:e>
                  <m:sub>
                    <m:r>
                      <m:rPr>
                        <m:sty m:val="p"/>
                      </m:rPr>
                      <w:rPr>
                        <w:rFonts w:ascii="Cambria Math" w:hAnsi="Cambria Math"/>
                      </w:rPr>
                      <m:t>Rd</m:t>
                    </m:r>
                  </m:sub>
                </m:sSub>
                <m:r>
                  <w:rPr>
                    <w:rFonts w:ascii="Cambria Math" w:hAnsi="Cambria Math"/>
                  </w:rPr>
                  <m:t>=</m:t>
                </m:r>
                <m:sSub>
                  <m:sSubPr>
                    <m:ctrlPr>
                      <w:rPr>
                        <w:rFonts w:ascii="Cambria Math" w:hAnsi="Cambria Math"/>
                      </w:rPr>
                    </m:ctrlPr>
                  </m:sSubPr>
                  <m:e>
                    <m:r>
                      <w:rPr>
                        <w:rFonts w:ascii="Cambria Math" w:hAnsi="Cambria Math"/>
                      </w:rPr>
                      <m:t>ρ</m:t>
                    </m:r>
                  </m:e>
                  <m:sub>
                    <m:r>
                      <m:rPr>
                        <m:sty m:val="p"/>
                      </m:rPr>
                      <w:rPr>
                        <w:rFonts w:ascii="Cambria Math" w:hAnsi="Cambria Math"/>
                      </w:rPr>
                      <m:t>w</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ywd</m:t>
                    </m:r>
                  </m:sub>
                </m:sSub>
                <m:r>
                  <w:rPr>
                    <w:rFonts w:ascii="Cambria Math" w:hAnsi="Cambria Math"/>
                  </w:rPr>
                  <m:t>⋅</m:t>
                </m:r>
                <m:r>
                  <m:rPr>
                    <m:sty m:val="p"/>
                  </m:rPr>
                  <w:rPr>
                    <w:rFonts w:ascii="Cambria Math" w:hAnsi="Cambria Math"/>
                  </w:rPr>
                  <m:t>cot</m:t>
                </m:r>
                <m:r>
                  <w:rPr>
                    <w:rFonts w:ascii="Cambria Math" w:hAnsi="Cambria Math"/>
                  </w:rPr>
                  <m:t>θ≤</m:t>
                </m:r>
                <m:f>
                  <m:fPr>
                    <m:ctrlPr>
                      <w:rPr>
                        <w:rFonts w:ascii="Cambria Math" w:hAnsi="Cambria Math"/>
                      </w:rPr>
                    </m:ctrlPr>
                  </m:fPr>
                  <m:num>
                    <m:r>
                      <w:rPr>
                        <w:rFonts w:ascii="Cambria Math" w:hAnsi="Cambria Math"/>
                      </w:rPr>
                      <m:t>ν⋅</m:t>
                    </m:r>
                    <m:sSub>
                      <m:sSubPr>
                        <m:ctrlPr>
                          <w:rPr>
                            <w:rFonts w:ascii="Cambria Math" w:hAnsi="Cambria Math"/>
                          </w:rPr>
                        </m:ctrlPr>
                      </m:sSubPr>
                      <m:e>
                        <m:r>
                          <w:rPr>
                            <w:rFonts w:ascii="Cambria Math" w:hAnsi="Cambria Math"/>
                          </w:rPr>
                          <m:t>f</m:t>
                        </m:r>
                      </m:e>
                      <m:sub>
                        <m:r>
                          <m:rPr>
                            <m:sty m:val="p"/>
                          </m:rPr>
                          <w:rPr>
                            <w:rFonts w:ascii="Cambria Math" w:hAnsi="Cambria Math"/>
                          </w:rPr>
                          <m:t>cd</m:t>
                        </m:r>
                      </m:sub>
                    </m:sSub>
                  </m:num>
                  <m:den>
                    <m:r>
                      <w:rPr>
                        <w:rFonts w:ascii="Cambria Math" w:hAnsi="Cambria Math"/>
                      </w:rPr>
                      <m:t>2</m:t>
                    </m:r>
                  </m:den>
                </m:f>
              </m:oMath>
            </m:oMathPara>
          </w:p>
        </w:tc>
        <w:tc>
          <w:tcPr>
            <w:tcW w:w="1247" w:type="dxa"/>
            <w:vAlign w:val="center"/>
          </w:tcPr>
          <w:p w14:paraId="61A4211A" w14:textId="5E265928" w:rsidR="002B0BF6" w:rsidRPr="001455DC" w:rsidRDefault="002B0BF6">
            <w:pPr>
              <w:pStyle w:val="a7"/>
              <w:jc w:val="right"/>
            </w:pPr>
            <w:r w:rsidRPr="001455DC">
              <w:t>(8.</w:t>
            </w:r>
            <w:r w:rsidR="00A807C6" w:rsidRPr="001455DC">
              <w:t>30</w:t>
            </w:r>
            <w:r w:rsidRPr="001455DC">
              <w:t>)</w:t>
            </w:r>
          </w:p>
        </w:tc>
      </w:tr>
    </w:tbl>
    <w:p w14:paraId="0AA7014B" w14:textId="77777777" w:rsidR="002B0BF6" w:rsidRPr="001455DC" w:rsidRDefault="004E22C1" w:rsidP="008D37B2">
      <w:pPr>
        <w:pStyle w:val="a7"/>
        <w:keepNext/>
      </w:pPr>
      <w:r w:rsidRPr="001455DC">
        <w:t>where cot</w:t>
      </w:r>
      <w:r w:rsidRPr="001455DC">
        <w:rPr>
          <w:rStyle w:val="CCMCvariableitalic"/>
        </w:rPr>
        <w:t>θ</w:t>
      </w:r>
      <w:r w:rsidRPr="001455DC">
        <w:rPr>
          <w:szCs w:val="22"/>
        </w:rPr>
        <w:t xml:space="preserve"> </w:t>
      </w:r>
      <w:r w:rsidRPr="001455DC">
        <w:t>is taken from:</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B0BF6" w:rsidRPr="001455DC" w14:paraId="70B79330" w14:textId="77777777" w:rsidTr="002B0BF6">
        <w:trPr>
          <w:cantSplit/>
        </w:trPr>
        <w:tc>
          <w:tcPr>
            <w:tcW w:w="8505" w:type="dxa"/>
            <w:vAlign w:val="center"/>
          </w:tcPr>
          <w:p w14:paraId="43E94BA0" w14:textId="24D6CB50" w:rsidR="002B0BF6" w:rsidRPr="001455DC" w:rsidRDefault="002B0BF6" w:rsidP="002B0BF6">
            <w:pPr>
              <w:pStyle w:val="Formula"/>
              <w:jc w:val="left"/>
            </w:pPr>
            <m:oMathPara>
              <m:oMathParaPr>
                <m:jc m:val="left"/>
              </m:oMathParaPr>
              <m:oMath>
                <m:r>
                  <m:rPr>
                    <m:sty m:val="p"/>
                  </m:rPr>
                  <w:rPr>
                    <w:rFonts w:ascii="Cambria Math" w:hAnsi="Cambria Math"/>
                  </w:rPr>
                  <m:t>cot</m:t>
                </m:r>
                <m:sSub>
                  <m:sSubPr>
                    <m:ctrlPr>
                      <w:rPr>
                        <w:rFonts w:ascii="Cambria Math" w:hAnsi="Cambria Math"/>
                      </w:rPr>
                    </m:ctrlPr>
                  </m:sSubPr>
                  <m:e>
                    <m:r>
                      <w:rPr>
                        <w:rFonts w:ascii="Cambria Math" w:hAnsi="Cambria Math"/>
                      </w:rPr>
                      <m:t>θ</m:t>
                    </m:r>
                  </m:e>
                  <m:sub>
                    <m:r>
                      <m:rPr>
                        <m:sty m:val="p"/>
                      </m:rPr>
                      <w:rPr>
                        <w:rFonts w:ascii="Cambria Math" w:hAnsi="Cambria Math"/>
                      </w:rPr>
                      <m:t>min</m:t>
                    </m:r>
                  </m:sub>
                </m:sSub>
                <m:r>
                  <w:rPr>
                    <w:rFonts w:ascii="Cambria Math" w:hAnsi="Cambria Math"/>
                  </w:rPr>
                  <m:t>≥</m:t>
                </m:r>
                <m:r>
                  <m:rPr>
                    <m:sty m:val="p"/>
                  </m:rPr>
                  <w:rPr>
                    <w:rFonts w:ascii="Cambria Math" w:hAnsi="Cambria Math"/>
                  </w:rPr>
                  <m:t>cot</m:t>
                </m:r>
                <m:r>
                  <w:rPr>
                    <w:rFonts w:ascii="Cambria Math" w:hAnsi="Cambria Math"/>
                  </w:rPr>
                  <m:t>θ=</m:t>
                </m:r>
                <m:rad>
                  <m:radPr>
                    <m:degHide m:val="1"/>
                    <m:ctrlPr>
                      <w:rPr>
                        <w:rFonts w:ascii="Cambria Math" w:hAnsi="Cambria Math"/>
                      </w:rPr>
                    </m:ctrlPr>
                  </m:radPr>
                  <m:deg/>
                  <m:e>
                    <m:f>
                      <m:fPr>
                        <m:ctrlPr>
                          <w:rPr>
                            <w:rFonts w:ascii="Cambria Math" w:hAnsi="Cambria Math"/>
                          </w:rPr>
                        </m:ctrlPr>
                      </m:fPr>
                      <m:num>
                        <m:r>
                          <w:rPr>
                            <w:rFonts w:ascii="Cambria Math" w:hAnsi="Cambria Math"/>
                          </w:rPr>
                          <m:t>ν⋅</m:t>
                        </m:r>
                        <m:sSub>
                          <m:sSubPr>
                            <m:ctrlPr>
                              <w:rPr>
                                <w:rFonts w:ascii="Cambria Math" w:hAnsi="Cambria Math"/>
                              </w:rPr>
                            </m:ctrlPr>
                          </m:sSubPr>
                          <m:e>
                            <m:r>
                              <w:rPr>
                                <w:rFonts w:ascii="Cambria Math" w:hAnsi="Cambria Math"/>
                              </w:rPr>
                              <m:t>f</m:t>
                            </m:r>
                          </m:e>
                          <m:sub>
                            <m:r>
                              <m:rPr>
                                <m:sty m:val="p"/>
                              </m:rPr>
                              <w:rPr>
                                <w:rFonts w:ascii="Cambria Math" w:hAnsi="Cambria Math"/>
                              </w:rPr>
                              <m:t>cd</m:t>
                            </m:r>
                          </m:sub>
                        </m:sSub>
                      </m:num>
                      <m:den>
                        <m:sSub>
                          <m:sSubPr>
                            <m:ctrlPr>
                              <w:rPr>
                                <w:rFonts w:ascii="Cambria Math" w:hAnsi="Cambria Math"/>
                              </w:rPr>
                            </m:ctrlPr>
                          </m:sSubPr>
                          <m:e>
                            <m:r>
                              <w:rPr>
                                <w:rFonts w:ascii="Cambria Math" w:hAnsi="Cambria Math"/>
                              </w:rPr>
                              <m:t>ρ</m:t>
                            </m:r>
                          </m:e>
                          <m:sub>
                            <m:r>
                              <w:rPr>
                                <w:rFonts w:ascii="Cambria Math" w:hAnsi="Cambria Math"/>
                              </w:rPr>
                              <m:t>w</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ywd</m:t>
                            </m:r>
                          </m:sub>
                        </m:sSub>
                      </m:den>
                    </m:f>
                    <m:r>
                      <w:rPr>
                        <w:rFonts w:ascii="Cambria Math" w:hAnsi="Cambria Math"/>
                      </w:rPr>
                      <m:t>-1</m:t>
                    </m:r>
                  </m:e>
                </m:rad>
                <m:r>
                  <w:rPr>
                    <w:rFonts w:ascii="Cambria Math" w:hAnsi="Cambria Math"/>
                  </w:rPr>
                  <m:t>≥1</m:t>
                </m:r>
              </m:oMath>
            </m:oMathPara>
          </w:p>
        </w:tc>
        <w:tc>
          <w:tcPr>
            <w:tcW w:w="1247" w:type="dxa"/>
            <w:vAlign w:val="center"/>
          </w:tcPr>
          <w:p w14:paraId="6807077F" w14:textId="00373BB0" w:rsidR="002B0BF6" w:rsidRPr="001455DC" w:rsidRDefault="002B0BF6">
            <w:pPr>
              <w:pStyle w:val="a7"/>
              <w:jc w:val="right"/>
            </w:pPr>
            <w:r w:rsidRPr="001455DC">
              <w:t>(8.</w:t>
            </w:r>
            <w:r w:rsidR="00A807C6" w:rsidRPr="001455DC">
              <w:t>31</w:t>
            </w:r>
            <w:r w:rsidRPr="001455DC">
              <w:t>)</w:t>
            </w:r>
          </w:p>
        </w:tc>
      </w:tr>
    </w:tbl>
    <w:p w14:paraId="5D776716" w14:textId="39105095" w:rsidR="004E22C1" w:rsidRPr="009D3012" w:rsidRDefault="004E22C1" w:rsidP="009D3012">
      <w:pPr>
        <w:pStyle w:val="a7"/>
      </w:pPr>
      <w:r w:rsidRPr="009D3012">
        <w:t>For the case with simultaneous yielding of the tension chord and failure of the compression field, the shear stress resistance results from the solution of formulae (8.</w:t>
      </w:r>
      <w:r w:rsidR="00A807C6" w:rsidRPr="009D3012">
        <w:t>27</w:t>
      </w:r>
      <w:r w:rsidRPr="009D3012">
        <w:t>) and (8.</w:t>
      </w:r>
      <w:r w:rsidR="00A807C6" w:rsidRPr="009D3012">
        <w:t>37</w:t>
      </w:r>
      <w:r w:rsidRPr="009D3012">
        <w:t xml:space="preserve">) with </w:t>
      </w:r>
      <w:r w:rsidRPr="009D3012">
        <w:rPr>
          <w:rStyle w:val="CCMCvariableitalic"/>
        </w:rPr>
        <w:t>F</w:t>
      </w:r>
      <w:r w:rsidRPr="009D3012">
        <w:rPr>
          <w:rStyle w:val="CCMCvariablesubscript"/>
        </w:rPr>
        <w:t>td</w:t>
      </w:r>
      <w:r w:rsidRPr="009D3012">
        <w:t> </w:t>
      </w:r>
      <w:r w:rsidR="00EC27D2" w:rsidRPr="009D3012">
        <w:rPr>
          <w:rFonts w:ascii="Cambria Math" w:hAnsi="Cambria Math"/>
        </w:rPr>
        <w:t>=</w:t>
      </w:r>
      <w:r w:rsidRPr="009D3012">
        <w:t> </w:t>
      </w:r>
      <w:r w:rsidRPr="009D3012">
        <w:rPr>
          <w:rStyle w:val="CCMCvariableitalic"/>
        </w:rPr>
        <w:t>A</w:t>
      </w:r>
      <w:r w:rsidRPr="009D3012">
        <w:rPr>
          <w:rStyle w:val="CCMCvariablesubscript"/>
        </w:rPr>
        <w:t>st</w:t>
      </w:r>
      <w:r w:rsidRPr="009D3012">
        <w:t> </w:t>
      </w:r>
      <w:r w:rsidRPr="009D3012">
        <w:rPr>
          <w:rFonts w:ascii="Cambria Math" w:hAnsi="Cambria Math" w:cs="Cambria Math"/>
        </w:rPr>
        <w:t>⋅</w:t>
      </w:r>
      <w:r w:rsidRPr="009D3012">
        <w:t> </w:t>
      </w:r>
      <w:r w:rsidRPr="009D3012">
        <w:rPr>
          <w:rStyle w:val="CCMCvariableitalic"/>
        </w:rPr>
        <w:t>f</w:t>
      </w:r>
      <w:r w:rsidRPr="009D3012">
        <w:rPr>
          <w:rStyle w:val="CCMCvariablesubscript"/>
        </w:rPr>
        <w:t>yd</w:t>
      </w:r>
      <w:r w:rsidRPr="009D3012">
        <w:t>.</w:t>
      </w:r>
    </w:p>
    <w:p w14:paraId="48BAB0C0" w14:textId="3871EB55" w:rsidR="004E22C1" w:rsidRPr="001455DC" w:rsidRDefault="004E22C1" w:rsidP="00A84CE8">
      <w:pPr>
        <w:pStyle w:val="a7"/>
      </w:pPr>
      <w:r w:rsidRPr="001455DC">
        <w:rPr>
          <w:szCs w:val="22"/>
        </w:rPr>
        <w:t>(5)</w:t>
      </w:r>
      <w:r w:rsidRPr="001455DC">
        <w:rPr>
          <w:szCs w:val="22"/>
        </w:rPr>
        <w:tab/>
      </w:r>
      <w:r w:rsidRPr="001455DC">
        <w:t xml:space="preserve">A value </w:t>
      </w:r>
      <w:r w:rsidRPr="001455DC">
        <w:rPr>
          <w:rStyle w:val="CCMCvariableitalic"/>
        </w:rPr>
        <w:t>ν</w:t>
      </w:r>
      <w:r w:rsidRPr="001455DC">
        <w:t> </w:t>
      </w:r>
      <w:r w:rsidR="00EC27D2" w:rsidRPr="001455DC">
        <w:rPr>
          <w:rFonts w:ascii="Cambria Math" w:hAnsi="Cambria Math"/>
        </w:rPr>
        <w:t>=</w:t>
      </w:r>
      <w:r w:rsidRPr="001455DC">
        <w:t> 0,5 may be adopted when using the angles of the compression field given in (3).</w:t>
      </w:r>
    </w:p>
    <w:p w14:paraId="517C00DB" w14:textId="77777777" w:rsidR="002B0BF6" w:rsidRPr="001455DC" w:rsidRDefault="004E22C1" w:rsidP="008D37B2">
      <w:pPr>
        <w:pStyle w:val="a7"/>
        <w:keepNext/>
      </w:pPr>
      <w:r w:rsidRPr="001455DC">
        <w:t>(6)</w:t>
      </w:r>
      <w:r w:rsidRPr="001455DC">
        <w:tab/>
        <w:t xml:space="preserve">Angles of the compression field inclination to the member axis lower than </w:t>
      </w:r>
      <w:r w:rsidRPr="001455DC">
        <w:rPr>
          <w:rStyle w:val="CCMCvariableitalic"/>
        </w:rPr>
        <w:t>θ</w:t>
      </w:r>
      <w:r w:rsidRPr="001455DC">
        <w:rPr>
          <w:rStyle w:val="CCMCvariablesubscript"/>
        </w:rPr>
        <w:t>min</w:t>
      </w:r>
      <w:r w:rsidRPr="001455DC">
        <w:t xml:space="preserve"> given in (3) or values of factor </w:t>
      </w:r>
      <w:r w:rsidRPr="001455DC">
        <w:rPr>
          <w:rStyle w:val="CCMCvariableitalic"/>
        </w:rPr>
        <w:t>ν</w:t>
      </w:r>
      <w:r w:rsidRPr="001455DC">
        <w:t xml:space="preserve"> higher than according to (5) may be adopted provided that the ductility class of the reinforcement is B or C and that the value of factor </w:t>
      </w:r>
      <w:r w:rsidRPr="001455DC">
        <w:rPr>
          <w:rStyle w:val="CCMCvariableitalic"/>
        </w:rPr>
        <w:t>ν</w:t>
      </w:r>
      <w:r w:rsidRPr="001455DC">
        <w:t xml:space="preserve"> is calculated on the basis of the state of strains of the member according to:</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B0BF6" w:rsidRPr="001455DC" w14:paraId="79316A64" w14:textId="77777777" w:rsidTr="002B0BF6">
        <w:trPr>
          <w:cantSplit/>
        </w:trPr>
        <w:tc>
          <w:tcPr>
            <w:tcW w:w="8505" w:type="dxa"/>
            <w:vAlign w:val="center"/>
          </w:tcPr>
          <w:p w14:paraId="1D39C267" w14:textId="08BE91BF" w:rsidR="002B0BF6" w:rsidRPr="001455DC" w:rsidRDefault="002B0BF6" w:rsidP="002B0BF6">
            <w:pPr>
              <w:pStyle w:val="Formula"/>
              <w:jc w:val="left"/>
            </w:pPr>
            <m:oMathPara>
              <m:oMathParaPr>
                <m:jc m:val="left"/>
              </m:oMathParaPr>
              <m:oMath>
                <m:r>
                  <w:rPr>
                    <w:rFonts w:ascii="Cambria Math" w:hAnsi="Cambria Math"/>
                  </w:rPr>
                  <m:t>ν=</m:t>
                </m:r>
                <m:f>
                  <m:fPr>
                    <m:ctrlPr>
                      <w:rPr>
                        <w:rFonts w:ascii="Cambria Math" w:hAnsi="Cambria Math"/>
                      </w:rPr>
                    </m:ctrlPr>
                  </m:fPr>
                  <m:num>
                    <m:r>
                      <w:rPr>
                        <w:rFonts w:ascii="Cambria Math" w:hAnsi="Cambria Math"/>
                      </w:rPr>
                      <m:t>1</m:t>
                    </m:r>
                  </m:num>
                  <m:den>
                    <m:r>
                      <w:rPr>
                        <w:rFonts w:ascii="Cambria Math" w:hAnsi="Cambria Math"/>
                      </w:rPr>
                      <m:t>1,0+110⋅</m:t>
                    </m:r>
                    <m:d>
                      <m:dPr>
                        <m:sepChr m:val=""/>
                        <m:ctrlPr>
                          <w:rPr>
                            <w:rFonts w:ascii="Cambria Math" w:hAnsi="Cambria Math"/>
                          </w:rPr>
                        </m:ctrlPr>
                      </m:dPr>
                      <m:e>
                        <m:sSub>
                          <m:sSubPr>
                            <m:ctrlPr>
                              <w:rPr>
                                <w:rFonts w:ascii="Cambria Math" w:hAnsi="Cambria Math"/>
                              </w:rPr>
                            </m:ctrlPr>
                          </m:sSubPr>
                          <m:e>
                            <m:r>
                              <w:rPr>
                                <w:rFonts w:ascii="Cambria Math" w:hAnsi="Cambria Math"/>
                              </w:rPr>
                              <m:t>ε</m:t>
                            </m:r>
                          </m:e>
                          <m:sub>
                            <m:r>
                              <m:rPr>
                                <m:sty m:val="p"/>
                              </m:rPr>
                              <w:rPr>
                                <w:rFonts w:ascii="Cambria Math" w:hAnsi="Cambria Math"/>
                              </w:rPr>
                              <m:t>x</m:t>
                            </m:r>
                          </m:sub>
                        </m:sSub>
                      </m:e>
                      <m:e>
                        <m:r>
                          <w:rPr>
                            <w:rFonts w:ascii="Cambria Math" w:hAnsi="Cambria Math"/>
                          </w:rPr>
                          <m:t>+</m:t>
                        </m:r>
                      </m:e>
                      <m:e>
                        <m:d>
                          <m:dPr>
                            <m:ctrlPr>
                              <w:rPr>
                                <w:rFonts w:ascii="Cambria Math" w:hAnsi="Cambria Math"/>
                              </w:rPr>
                            </m:ctrlPr>
                          </m:dPr>
                          <m:e>
                            <m:sSub>
                              <m:sSubPr>
                                <m:ctrlPr>
                                  <w:rPr>
                                    <w:rFonts w:ascii="Cambria Math" w:hAnsi="Cambria Math"/>
                                  </w:rPr>
                                </m:ctrlPr>
                              </m:sSubPr>
                              <m:e>
                                <m:r>
                                  <w:rPr>
                                    <w:rFonts w:ascii="Cambria Math" w:hAnsi="Cambria Math"/>
                                  </w:rPr>
                                  <m:t>ε</m:t>
                                </m:r>
                              </m:e>
                              <m:sub>
                                <m:r>
                                  <m:rPr>
                                    <m:sty m:val="p"/>
                                  </m:rPr>
                                  <w:rPr>
                                    <w:rFonts w:ascii="Cambria Math" w:hAnsi="Cambria Math"/>
                                  </w:rPr>
                                  <m:t>x</m:t>
                                </m:r>
                              </m:sub>
                            </m:sSub>
                            <m:r>
                              <w:rPr>
                                <w:rFonts w:ascii="Cambria Math" w:hAnsi="Cambria Math"/>
                              </w:rPr>
                              <m:t>+0,001</m:t>
                            </m:r>
                          </m:e>
                        </m:d>
                        <m:r>
                          <w:rPr>
                            <w:rFonts w:ascii="Cambria Math" w:hAnsi="Cambria Math"/>
                          </w:rPr>
                          <m:t>⋅</m:t>
                        </m:r>
                        <m:sSup>
                          <m:sSupPr>
                            <m:ctrlPr>
                              <w:rPr>
                                <w:rFonts w:ascii="Cambria Math" w:hAnsi="Cambria Math"/>
                              </w:rPr>
                            </m:ctrlPr>
                          </m:sSupPr>
                          <m:e>
                            <m:r>
                              <m:rPr>
                                <m:sty m:val="p"/>
                              </m:rPr>
                              <w:rPr>
                                <w:rFonts w:ascii="Cambria Math" w:hAnsi="Cambria Math"/>
                              </w:rPr>
                              <m:t>cot</m:t>
                            </m:r>
                          </m:e>
                          <m:sup>
                            <m:r>
                              <w:rPr>
                                <w:rFonts w:ascii="Cambria Math" w:hAnsi="Cambria Math"/>
                              </w:rPr>
                              <m:t>2</m:t>
                            </m:r>
                          </m:sup>
                        </m:sSup>
                        <m:r>
                          <w:rPr>
                            <w:rFonts w:ascii="Cambria Math" w:hAnsi="Cambria Math"/>
                          </w:rPr>
                          <m:t>θ</m:t>
                        </m:r>
                      </m:e>
                    </m:d>
                  </m:den>
                </m:f>
                <m:r>
                  <w:rPr>
                    <w:rFonts w:ascii="Cambria Math" w:hAnsi="Cambria Math"/>
                  </w:rPr>
                  <m:t>≤1,0</m:t>
                </m:r>
              </m:oMath>
            </m:oMathPara>
          </w:p>
        </w:tc>
        <w:tc>
          <w:tcPr>
            <w:tcW w:w="1247" w:type="dxa"/>
            <w:vAlign w:val="center"/>
          </w:tcPr>
          <w:p w14:paraId="4BE3B206" w14:textId="41F03B92" w:rsidR="002B0BF6" w:rsidRPr="001455DC" w:rsidRDefault="002B0BF6">
            <w:pPr>
              <w:pStyle w:val="a7"/>
              <w:jc w:val="right"/>
            </w:pPr>
            <w:r w:rsidRPr="001455DC">
              <w:t>(8.</w:t>
            </w:r>
            <w:r w:rsidR="00A807C6" w:rsidRPr="001455DC">
              <w:t>32</w:t>
            </w:r>
            <w:r w:rsidRPr="001455DC">
              <w:t>)</w:t>
            </w:r>
          </w:p>
        </w:tc>
      </w:tr>
    </w:tbl>
    <w:p w14:paraId="1EC94F05" w14:textId="727A0A42" w:rsidR="002B0BF6" w:rsidRPr="001455DC" w:rsidRDefault="004E22C1" w:rsidP="008D37B2">
      <w:pPr>
        <w:pStyle w:val="a7"/>
        <w:keepNext/>
      </w:pPr>
      <w:r w:rsidRPr="001455DC">
        <w:t xml:space="preserve">where </w:t>
      </w:r>
      <w:r w:rsidRPr="001455DC">
        <w:rPr>
          <w:rStyle w:val="CCMCvariableitalic"/>
        </w:rPr>
        <w:t>ε</w:t>
      </w:r>
      <w:r w:rsidRPr="001455DC">
        <w:rPr>
          <w:rStyle w:val="CCMCvariablesubscript"/>
        </w:rPr>
        <w:t>x</w:t>
      </w:r>
      <w:r w:rsidRPr="001455DC">
        <w:t xml:space="preserve"> is the average strain of the bottom and top chords calculated at a cross section not closer than 0,5 </w:t>
      </w:r>
      <w:r w:rsidRPr="001455DC">
        <w:rPr>
          <w:rFonts w:ascii="Cambria Math" w:hAnsi="Cambria Math" w:cs="Cambria Math"/>
        </w:rPr>
        <w:t>⋅</w:t>
      </w:r>
      <w:r w:rsidRPr="001455DC">
        <w:t> </w:t>
      </w:r>
      <w:r w:rsidRPr="001455DC">
        <w:rPr>
          <w:rStyle w:val="CCMCvariableitalic"/>
        </w:rPr>
        <w:t>z</w:t>
      </w:r>
      <w:r w:rsidRPr="001455DC">
        <w:t> </w:t>
      </w:r>
      <w:r w:rsidR="00C74721" w:rsidRPr="001455DC">
        <w:rPr>
          <w:rFonts w:ascii="Cambria Math" w:hAnsi="Cambria Math"/>
        </w:rPr>
        <w:t>⋅</w:t>
      </w:r>
      <w:r w:rsidRPr="001455DC">
        <w:t> cot</w:t>
      </w:r>
      <w:r w:rsidRPr="001455DC">
        <w:rPr>
          <w:rStyle w:val="CCMCvariableitalic"/>
        </w:rPr>
        <w:t>θ</w:t>
      </w:r>
      <w:r w:rsidRPr="001455DC">
        <w:t xml:space="preserve"> from a support or a concentrated load:</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B0BF6" w:rsidRPr="001455DC" w14:paraId="564D7938" w14:textId="77777777" w:rsidTr="002B0BF6">
        <w:trPr>
          <w:cantSplit/>
        </w:trPr>
        <w:tc>
          <w:tcPr>
            <w:tcW w:w="8505" w:type="dxa"/>
            <w:vAlign w:val="center"/>
          </w:tcPr>
          <w:p w14:paraId="2BE9350E" w14:textId="2500FE32" w:rsidR="002B0BF6" w:rsidRPr="001455DC" w:rsidRDefault="00231E33" w:rsidP="002B0BF6">
            <w:pPr>
              <w:pStyle w:val="Formula"/>
              <w:jc w:val="left"/>
            </w:pPr>
            <m:oMathPara>
              <m:oMathParaPr>
                <m:jc m:val="left"/>
              </m:oMathParaPr>
              <m:oMath>
                <m:sSub>
                  <m:sSubPr>
                    <m:ctrlPr>
                      <w:rPr>
                        <w:rFonts w:ascii="Cambria Math" w:hAnsi="Cambria Math"/>
                        <w:lang w:eastAsia="de-CH"/>
                      </w:rPr>
                    </m:ctrlPr>
                  </m:sSubPr>
                  <m:e>
                    <m:r>
                      <w:rPr>
                        <w:rFonts w:ascii="Cambria Math" w:hAnsi="Cambria Math"/>
                      </w:rPr>
                      <m:t>ε</m:t>
                    </m:r>
                  </m:e>
                  <m:sub>
                    <m:r>
                      <m:rPr>
                        <m:sty m:val="p"/>
                      </m:rPr>
                      <w:rPr>
                        <w:rFonts w:ascii="Cambria Math" w:hAnsi="Cambria Math"/>
                      </w:rPr>
                      <m:t>x</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ε</m:t>
                        </m:r>
                      </m:e>
                      <m:sub>
                        <m:r>
                          <m:rPr>
                            <m:sty m:val="p"/>
                          </m:rPr>
                          <w:rPr>
                            <w:rFonts w:ascii="Cambria Math" w:hAnsi="Cambria Math"/>
                          </w:rPr>
                          <m:t>xt</m:t>
                        </m:r>
                      </m:sub>
                    </m:sSub>
                    <m:r>
                      <w:rPr>
                        <w:rFonts w:ascii="Cambria Math" w:hAnsi="Cambria Math"/>
                      </w:rPr>
                      <m:t>+</m:t>
                    </m:r>
                    <m:sSub>
                      <m:sSubPr>
                        <m:ctrlPr>
                          <w:rPr>
                            <w:rFonts w:ascii="Cambria Math" w:hAnsi="Cambria Math"/>
                          </w:rPr>
                        </m:ctrlPr>
                      </m:sSubPr>
                      <m:e>
                        <m:r>
                          <w:rPr>
                            <w:rFonts w:ascii="Cambria Math" w:hAnsi="Cambria Math"/>
                          </w:rPr>
                          <m:t>ε</m:t>
                        </m:r>
                      </m:e>
                      <m:sub>
                        <m:r>
                          <m:rPr>
                            <m:sty m:val="p"/>
                          </m:rPr>
                          <w:rPr>
                            <w:rFonts w:ascii="Cambria Math" w:hAnsi="Cambria Math"/>
                          </w:rPr>
                          <m:t>xc</m:t>
                        </m:r>
                      </m:sub>
                    </m:sSub>
                  </m:num>
                  <m:den>
                    <m:r>
                      <w:rPr>
                        <w:rFonts w:ascii="Cambria Math" w:hAnsi="Cambria Math"/>
                      </w:rPr>
                      <m:t>2</m:t>
                    </m:r>
                  </m:den>
                </m:f>
                <m:r>
                  <w:rPr>
                    <w:rFonts w:ascii="Cambria Math" w:hAnsi="Cambria Math"/>
                  </w:rPr>
                  <m:t>≥0</m:t>
                </m:r>
              </m:oMath>
            </m:oMathPara>
          </w:p>
        </w:tc>
        <w:tc>
          <w:tcPr>
            <w:tcW w:w="1247" w:type="dxa"/>
            <w:vAlign w:val="center"/>
          </w:tcPr>
          <w:p w14:paraId="2CA52371" w14:textId="382A28E8" w:rsidR="002B0BF6" w:rsidRPr="001455DC" w:rsidRDefault="002B0BF6">
            <w:pPr>
              <w:pStyle w:val="a7"/>
              <w:jc w:val="right"/>
            </w:pPr>
            <w:r w:rsidRPr="001455DC">
              <w:rPr>
                <w:lang w:eastAsia="de-CH"/>
              </w:rPr>
              <w:t>(8.</w:t>
            </w:r>
            <w:r w:rsidR="00A807C6" w:rsidRPr="001455DC">
              <w:rPr>
                <w:lang w:eastAsia="de-CH"/>
              </w:rPr>
              <w:t>33</w:t>
            </w:r>
            <w:r w:rsidRPr="001455DC">
              <w:rPr>
                <w:lang w:eastAsia="de-CH"/>
              </w:rPr>
              <w:t>)</w:t>
            </w:r>
          </w:p>
        </w:tc>
      </w:tr>
    </w:tbl>
    <w:p w14:paraId="5D41F411" w14:textId="77777777" w:rsidR="002B0BF6" w:rsidRPr="001455DC" w:rsidRDefault="004E22C1" w:rsidP="008D37B2">
      <w:pPr>
        <w:pStyle w:val="a7"/>
        <w:keepNext/>
      </w:pPr>
      <w:r w:rsidRPr="001455DC">
        <w:t>where, assuming elastic behaviour,</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1701"/>
        <w:gridCol w:w="6804"/>
        <w:gridCol w:w="1247"/>
      </w:tblGrid>
      <w:tr w:rsidR="00A90172" w:rsidRPr="001455DC" w14:paraId="3A3231BE" w14:textId="77777777" w:rsidTr="004F7465">
        <w:trPr>
          <w:cantSplit/>
        </w:trPr>
        <w:tc>
          <w:tcPr>
            <w:tcW w:w="8505" w:type="dxa"/>
            <w:gridSpan w:val="2"/>
            <w:vAlign w:val="center"/>
          </w:tcPr>
          <w:p w14:paraId="463D1AA6" w14:textId="29A0A593" w:rsidR="00A90172" w:rsidRPr="001455DC" w:rsidRDefault="00231E33" w:rsidP="002B0BF6">
            <w:pPr>
              <w:pStyle w:val="Formula"/>
              <w:tabs>
                <w:tab w:val="clear" w:pos="9749"/>
              </w:tabs>
              <w:jc w:val="left"/>
            </w:pPr>
            <m:oMathPara>
              <m:oMathParaPr>
                <m:jc m:val="left"/>
              </m:oMathParaPr>
              <m:oMath>
                <m:sSub>
                  <m:sSubPr>
                    <m:ctrlPr>
                      <w:rPr>
                        <w:rFonts w:ascii="Cambria Math" w:hAnsi="Cambria Math"/>
                        <w:lang w:eastAsia="de-CH"/>
                      </w:rPr>
                    </m:ctrlPr>
                  </m:sSubPr>
                  <m:e>
                    <m:r>
                      <w:rPr>
                        <w:rFonts w:ascii="Cambria Math" w:hAnsi="Cambria Math"/>
                      </w:rPr>
                      <m:t>ε</m:t>
                    </m:r>
                  </m:e>
                  <m:sub>
                    <m:r>
                      <m:rPr>
                        <m:sty m:val="p"/>
                      </m:rPr>
                      <w:rPr>
                        <w:rFonts w:ascii="Cambria Math" w:hAnsi="Cambria Math"/>
                      </w:rPr>
                      <m:t>xt</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td</m:t>
                        </m:r>
                      </m:sub>
                    </m:sSub>
                  </m:num>
                  <m:den>
                    <m:sSub>
                      <m:sSubPr>
                        <m:ctrlPr>
                          <w:rPr>
                            <w:rFonts w:ascii="Cambria Math" w:hAnsi="Cambria Math"/>
                          </w:rPr>
                        </m:ctrlPr>
                      </m:sSubPr>
                      <m:e>
                        <m:r>
                          <w:rPr>
                            <w:rFonts w:ascii="Cambria Math" w:hAnsi="Cambria Math"/>
                          </w:rPr>
                          <m:t>A</m:t>
                        </m:r>
                      </m:e>
                      <m:sub>
                        <m:r>
                          <m:rPr>
                            <m:sty m:val="p"/>
                          </m:rPr>
                          <w:rPr>
                            <w:rFonts w:ascii="Cambria Math" w:hAnsi="Cambria Math"/>
                          </w:rPr>
                          <m:t>st</m:t>
                        </m:r>
                      </m:sub>
                    </m:sSub>
                    <m:sSub>
                      <m:sSubPr>
                        <m:ctrlPr>
                          <w:rPr>
                            <w:rFonts w:ascii="Cambria Math" w:hAnsi="Cambria Math"/>
                          </w:rPr>
                        </m:ctrlPr>
                      </m:sSubPr>
                      <m:e>
                        <m:r>
                          <w:rPr>
                            <w:rFonts w:ascii="Cambria Math" w:hAnsi="Cambria Math"/>
                          </w:rPr>
                          <m:t>E</m:t>
                        </m:r>
                      </m:e>
                      <m:sub>
                        <m:r>
                          <m:rPr>
                            <m:sty m:val="p"/>
                          </m:rPr>
                          <w:rPr>
                            <w:rFonts w:ascii="Cambria Math" w:hAnsi="Cambria Math"/>
                          </w:rPr>
                          <m:t>s</m:t>
                        </m:r>
                      </m:sub>
                    </m:sSub>
                  </m:den>
                </m:f>
              </m:oMath>
            </m:oMathPara>
          </w:p>
        </w:tc>
        <w:tc>
          <w:tcPr>
            <w:tcW w:w="1247" w:type="dxa"/>
            <w:vAlign w:val="center"/>
          </w:tcPr>
          <w:p w14:paraId="3134306A" w14:textId="44701017" w:rsidR="00A90172" w:rsidRPr="001455DC" w:rsidRDefault="00A90172">
            <w:pPr>
              <w:pStyle w:val="a7"/>
              <w:jc w:val="right"/>
            </w:pPr>
            <w:r w:rsidRPr="001455DC">
              <w:rPr>
                <w:lang w:eastAsia="de-CH"/>
              </w:rPr>
              <w:t>(8.</w:t>
            </w:r>
            <w:r w:rsidR="00A807C6" w:rsidRPr="001455DC">
              <w:rPr>
                <w:lang w:eastAsia="de-CH"/>
              </w:rPr>
              <w:t>34</w:t>
            </w:r>
            <w:r w:rsidRPr="001455DC">
              <w:rPr>
                <w:lang w:eastAsia="de-CH"/>
              </w:rPr>
              <w:t>)</w:t>
            </w:r>
          </w:p>
        </w:tc>
      </w:tr>
      <w:tr w:rsidR="002B0BF6" w:rsidRPr="001455DC" w14:paraId="164968F3" w14:textId="77777777" w:rsidTr="002B0BF6">
        <w:trPr>
          <w:cantSplit/>
        </w:trPr>
        <w:tc>
          <w:tcPr>
            <w:tcW w:w="1701" w:type="dxa"/>
            <w:vAlign w:val="center"/>
          </w:tcPr>
          <w:p w14:paraId="0E17394A" w14:textId="65CB210E" w:rsidR="002B0BF6" w:rsidRPr="001455DC" w:rsidRDefault="00231E33" w:rsidP="002B0BF6">
            <w:pPr>
              <w:pStyle w:val="Formula"/>
              <w:tabs>
                <w:tab w:val="clear" w:pos="9749"/>
              </w:tabs>
              <w:jc w:val="left"/>
            </w:pPr>
            <m:oMathPara>
              <m:oMathParaPr>
                <m:jc m:val="left"/>
              </m:oMathParaPr>
              <m:oMath>
                <m:sSub>
                  <m:sSubPr>
                    <m:ctrlPr>
                      <w:rPr>
                        <w:rFonts w:ascii="Cambria Math" w:hAnsi="Cambria Math"/>
                        <w:lang w:eastAsia="de-CH"/>
                      </w:rPr>
                    </m:ctrlPr>
                  </m:sSubPr>
                  <m:e>
                    <m:r>
                      <w:rPr>
                        <w:rFonts w:ascii="Cambria Math" w:hAnsi="Cambria Math"/>
                      </w:rPr>
                      <m:t>ε</m:t>
                    </m:r>
                  </m:e>
                  <m:sub>
                    <m:r>
                      <m:rPr>
                        <m:sty m:val="p"/>
                      </m:rPr>
                      <w:rPr>
                        <w:rFonts w:ascii="Cambria Math" w:hAnsi="Cambria Math"/>
                      </w:rPr>
                      <m:t>xc</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cd</m:t>
                        </m:r>
                      </m:sub>
                    </m:sSub>
                  </m:num>
                  <m:den>
                    <m:sSub>
                      <m:sSubPr>
                        <m:ctrlPr>
                          <w:rPr>
                            <w:rFonts w:ascii="Cambria Math" w:hAnsi="Cambria Math"/>
                          </w:rPr>
                        </m:ctrlPr>
                      </m:sSubPr>
                      <m:e>
                        <m:r>
                          <w:rPr>
                            <w:rFonts w:ascii="Cambria Math" w:hAnsi="Cambria Math"/>
                          </w:rPr>
                          <m:t>A</m:t>
                        </m:r>
                      </m:e>
                      <m:sub>
                        <m:r>
                          <m:rPr>
                            <m:sty m:val="p"/>
                          </m:rPr>
                          <w:rPr>
                            <w:rFonts w:ascii="Cambria Math" w:hAnsi="Cambria Math"/>
                          </w:rPr>
                          <m:t>cc</m:t>
                        </m:r>
                      </m:sub>
                    </m:sSub>
                    <m:sSub>
                      <m:sSubPr>
                        <m:ctrlPr>
                          <w:rPr>
                            <w:rFonts w:ascii="Cambria Math" w:hAnsi="Cambria Math"/>
                          </w:rPr>
                        </m:ctrlPr>
                      </m:sSubPr>
                      <m:e>
                        <m:r>
                          <w:rPr>
                            <w:rFonts w:ascii="Cambria Math" w:hAnsi="Cambria Math"/>
                          </w:rPr>
                          <m:t>E</m:t>
                        </m:r>
                      </m:e>
                      <m:sub>
                        <m:r>
                          <m:rPr>
                            <m:sty m:val="p"/>
                          </m:rPr>
                          <w:rPr>
                            <w:rFonts w:ascii="Cambria Math" w:hAnsi="Cambria Math"/>
                          </w:rPr>
                          <m:t>c</m:t>
                        </m:r>
                      </m:sub>
                    </m:sSub>
                  </m:den>
                </m:f>
              </m:oMath>
            </m:oMathPara>
          </w:p>
        </w:tc>
        <w:tc>
          <w:tcPr>
            <w:tcW w:w="6804" w:type="dxa"/>
            <w:vAlign w:val="center"/>
          </w:tcPr>
          <w:p w14:paraId="73E2C525" w14:textId="442A091A" w:rsidR="002B0BF6" w:rsidRPr="001455DC" w:rsidRDefault="002B0BF6" w:rsidP="002B0BF6">
            <w:pPr>
              <w:pStyle w:val="Formula"/>
              <w:tabs>
                <w:tab w:val="clear" w:pos="9749"/>
              </w:tabs>
              <w:jc w:val="left"/>
            </w:pPr>
            <w:r w:rsidRPr="001455DC">
              <w:rPr>
                <w:lang w:eastAsia="de-CH"/>
              </w:rPr>
              <w:t>if the flexural compression chord is in compression and</w:t>
            </w:r>
          </w:p>
        </w:tc>
        <w:tc>
          <w:tcPr>
            <w:tcW w:w="1247" w:type="dxa"/>
            <w:vAlign w:val="center"/>
          </w:tcPr>
          <w:p w14:paraId="5DB2252F" w14:textId="1A262AF5" w:rsidR="002B0BF6" w:rsidRPr="001455DC" w:rsidRDefault="002B0BF6">
            <w:pPr>
              <w:pStyle w:val="a7"/>
              <w:jc w:val="right"/>
            </w:pPr>
            <w:r w:rsidRPr="001455DC">
              <w:rPr>
                <w:lang w:eastAsia="de-CH"/>
              </w:rPr>
              <w:t>(8.</w:t>
            </w:r>
            <w:r w:rsidR="00A807C6" w:rsidRPr="001455DC">
              <w:rPr>
                <w:lang w:eastAsia="de-CH"/>
              </w:rPr>
              <w:t>35a</w:t>
            </w:r>
            <w:r w:rsidRPr="001455DC">
              <w:rPr>
                <w:lang w:eastAsia="de-CH"/>
              </w:rPr>
              <w:t>)</w:t>
            </w:r>
          </w:p>
        </w:tc>
      </w:tr>
      <w:tr w:rsidR="002B0BF6" w:rsidRPr="001455DC" w14:paraId="13252031" w14:textId="77777777" w:rsidTr="002B0BF6">
        <w:trPr>
          <w:cantSplit/>
        </w:trPr>
        <w:tc>
          <w:tcPr>
            <w:tcW w:w="1701" w:type="dxa"/>
            <w:vAlign w:val="center"/>
          </w:tcPr>
          <w:p w14:paraId="53BB4684" w14:textId="2AAEE569" w:rsidR="002B0BF6" w:rsidRPr="001455DC" w:rsidRDefault="00231E33" w:rsidP="002B0BF6">
            <w:pPr>
              <w:pStyle w:val="Formula"/>
              <w:tabs>
                <w:tab w:val="clear" w:pos="9749"/>
              </w:tabs>
              <w:jc w:val="left"/>
            </w:pPr>
            <m:oMathPara>
              <m:oMathParaPr>
                <m:jc m:val="left"/>
              </m:oMathParaPr>
              <m:oMath>
                <m:sSub>
                  <m:sSubPr>
                    <m:ctrlPr>
                      <w:rPr>
                        <w:rFonts w:ascii="Cambria Math" w:hAnsi="Cambria Math"/>
                        <w:lang w:eastAsia="de-CH"/>
                      </w:rPr>
                    </m:ctrlPr>
                  </m:sSubPr>
                  <m:e>
                    <m:r>
                      <w:rPr>
                        <w:rFonts w:ascii="Cambria Math" w:hAnsi="Cambria Math"/>
                      </w:rPr>
                      <m:t>ε</m:t>
                    </m:r>
                  </m:e>
                  <m:sub>
                    <m:r>
                      <m:rPr>
                        <m:sty m:val="p"/>
                      </m:rPr>
                      <w:rPr>
                        <w:rFonts w:ascii="Cambria Math" w:hAnsi="Cambria Math"/>
                      </w:rPr>
                      <m:t>xc</m:t>
                    </m:r>
                  </m:sub>
                </m:sSub>
                <m:r>
                  <w:rPr>
                    <w:rFonts w:ascii="Cambria Math" w:hAnsi="Cambria Math"/>
                  </w:rPr>
                  <m:t>=</m:t>
                </m:r>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cd</m:t>
                        </m:r>
                      </m:sub>
                    </m:sSub>
                  </m:num>
                  <m:den>
                    <m:sSub>
                      <m:sSubPr>
                        <m:ctrlPr>
                          <w:rPr>
                            <w:rFonts w:ascii="Cambria Math" w:hAnsi="Cambria Math"/>
                          </w:rPr>
                        </m:ctrlPr>
                      </m:sSubPr>
                      <m:e>
                        <m:r>
                          <w:rPr>
                            <w:rFonts w:ascii="Cambria Math" w:hAnsi="Cambria Math"/>
                          </w:rPr>
                          <m:t>A</m:t>
                        </m:r>
                      </m:e>
                      <m:sub>
                        <m:r>
                          <m:rPr>
                            <m:sty m:val="p"/>
                          </m:rPr>
                          <w:rPr>
                            <w:rFonts w:ascii="Cambria Math" w:hAnsi="Cambria Math"/>
                          </w:rPr>
                          <m:t>sc</m:t>
                        </m:r>
                      </m:sub>
                    </m:sSub>
                    <m:sSub>
                      <m:sSubPr>
                        <m:ctrlPr>
                          <w:rPr>
                            <w:rFonts w:ascii="Cambria Math" w:hAnsi="Cambria Math"/>
                          </w:rPr>
                        </m:ctrlPr>
                      </m:sSubPr>
                      <m:e>
                        <m:r>
                          <w:rPr>
                            <w:rFonts w:ascii="Cambria Math" w:hAnsi="Cambria Math"/>
                          </w:rPr>
                          <m:t>E</m:t>
                        </m:r>
                      </m:e>
                      <m:sub>
                        <m:r>
                          <m:rPr>
                            <m:sty m:val="p"/>
                          </m:rPr>
                          <w:rPr>
                            <w:rFonts w:ascii="Cambria Math" w:hAnsi="Cambria Math"/>
                          </w:rPr>
                          <m:t>s</m:t>
                        </m:r>
                      </m:sub>
                    </m:sSub>
                  </m:den>
                </m:f>
              </m:oMath>
            </m:oMathPara>
          </w:p>
        </w:tc>
        <w:tc>
          <w:tcPr>
            <w:tcW w:w="6804" w:type="dxa"/>
            <w:vAlign w:val="center"/>
          </w:tcPr>
          <w:p w14:paraId="6E829232" w14:textId="0D725077" w:rsidR="002B0BF6" w:rsidRPr="001455DC" w:rsidRDefault="002B0BF6" w:rsidP="002B0BF6">
            <w:pPr>
              <w:pStyle w:val="Formula"/>
              <w:tabs>
                <w:tab w:val="clear" w:pos="9749"/>
              </w:tabs>
              <w:jc w:val="left"/>
            </w:pPr>
            <w:r w:rsidRPr="001455DC">
              <w:rPr>
                <w:lang w:eastAsia="de-CH"/>
              </w:rPr>
              <w:t>if the flexural compression chord is in tension (</w:t>
            </w:r>
            <w:r w:rsidRPr="001455DC">
              <w:rPr>
                <w:rStyle w:val="CCMCvariableitalic"/>
              </w:rPr>
              <w:t>F</w:t>
            </w:r>
            <w:r w:rsidRPr="001455DC">
              <w:rPr>
                <w:rStyle w:val="CCMCvariablesubscript"/>
              </w:rPr>
              <w:t>cd</w:t>
            </w:r>
            <w:r w:rsidRPr="001455DC">
              <w:rPr>
                <w:lang w:eastAsia="de-CH"/>
              </w:rPr>
              <w:t> </w:t>
            </w:r>
            <w:r w:rsidR="00650035" w:rsidRPr="001455DC">
              <w:rPr>
                <w:rFonts w:ascii="Cambria Math" w:hAnsi="Cambria Math"/>
                <w:lang w:eastAsia="de-CH"/>
              </w:rPr>
              <w:t>&lt;</w:t>
            </w:r>
            <w:r w:rsidRPr="001455DC">
              <w:rPr>
                <w:lang w:eastAsia="de-CH"/>
              </w:rPr>
              <w:t> 0)</w:t>
            </w:r>
          </w:p>
        </w:tc>
        <w:tc>
          <w:tcPr>
            <w:tcW w:w="1247" w:type="dxa"/>
            <w:vAlign w:val="center"/>
          </w:tcPr>
          <w:p w14:paraId="222F7EED" w14:textId="454AC25C" w:rsidR="002B0BF6" w:rsidRPr="001455DC" w:rsidRDefault="002B0BF6" w:rsidP="002B0BF6">
            <w:pPr>
              <w:pStyle w:val="a7"/>
              <w:jc w:val="right"/>
            </w:pPr>
            <w:r w:rsidRPr="001455DC">
              <w:rPr>
                <w:lang w:eastAsia="de-CH"/>
              </w:rPr>
              <w:t>(8.3</w:t>
            </w:r>
            <w:r w:rsidR="00A807C6" w:rsidRPr="001455DC">
              <w:rPr>
                <w:lang w:eastAsia="de-CH"/>
              </w:rPr>
              <w:t>5</w:t>
            </w:r>
            <w:r w:rsidRPr="001455DC">
              <w:rPr>
                <w:lang w:eastAsia="de-CH"/>
              </w:rPr>
              <w:t>b)</w:t>
            </w:r>
          </w:p>
        </w:tc>
      </w:tr>
    </w:tbl>
    <w:p w14:paraId="085A5539" w14:textId="77777777" w:rsidR="002B0BF6" w:rsidRPr="001455DC" w:rsidRDefault="002B0BF6" w:rsidP="00A35599">
      <w:pPr>
        <w:pStyle w:val="a7"/>
        <w:keepNext/>
      </w:pPr>
      <w:r w:rsidRPr="001455DC">
        <w:t>where</w:t>
      </w:r>
    </w:p>
    <w:tbl>
      <w:tblPr>
        <w:tblW w:w="9413" w:type="dxa"/>
        <w:tblInd w:w="397" w:type="dxa"/>
        <w:tblLayout w:type="fixed"/>
        <w:tblCellMar>
          <w:left w:w="28" w:type="dxa"/>
          <w:right w:w="28" w:type="dxa"/>
        </w:tblCellMar>
        <w:tblLook w:val="04A0" w:firstRow="1" w:lastRow="0" w:firstColumn="1" w:lastColumn="0" w:noHBand="0" w:noVBand="1"/>
      </w:tblPr>
      <w:tblGrid>
        <w:gridCol w:w="1418"/>
        <w:gridCol w:w="7995"/>
      </w:tblGrid>
      <w:tr w:rsidR="002B0BF6" w:rsidRPr="001455DC" w14:paraId="693D4ADC" w14:textId="77777777" w:rsidTr="002B0BF6">
        <w:trPr>
          <w:cantSplit/>
        </w:trPr>
        <w:tc>
          <w:tcPr>
            <w:tcW w:w="1418" w:type="dxa"/>
          </w:tcPr>
          <w:p w14:paraId="0C842C26" w14:textId="4223E894" w:rsidR="002B0BF6" w:rsidRPr="001455DC" w:rsidRDefault="002B0BF6" w:rsidP="00A35599">
            <w:pPr>
              <w:pStyle w:val="Tablebody"/>
              <w:keepNext/>
            </w:pPr>
            <w:r w:rsidRPr="001455DC">
              <w:rPr>
                <w:rStyle w:val="CCMCvariableitalic"/>
              </w:rPr>
              <w:t>F</w:t>
            </w:r>
            <w:r w:rsidRPr="001455DC">
              <w:rPr>
                <w:rStyle w:val="CCMCvariablesubscript"/>
              </w:rPr>
              <w:t>td</w:t>
            </w:r>
            <w:r w:rsidRPr="001455DC">
              <w:rPr>
                <w:lang w:eastAsia="de-CH"/>
              </w:rPr>
              <w:t xml:space="preserve"> and </w:t>
            </w:r>
            <w:r w:rsidRPr="001455DC">
              <w:rPr>
                <w:rStyle w:val="CCMCvariableitalic"/>
              </w:rPr>
              <w:t>F</w:t>
            </w:r>
            <w:r w:rsidRPr="001455DC">
              <w:rPr>
                <w:rStyle w:val="CCMCvariablesubscript"/>
              </w:rPr>
              <w:t>cd</w:t>
            </w:r>
          </w:p>
        </w:tc>
        <w:tc>
          <w:tcPr>
            <w:tcW w:w="7995" w:type="dxa"/>
          </w:tcPr>
          <w:p w14:paraId="459E695F" w14:textId="3DE29086" w:rsidR="002B0BF6" w:rsidRPr="001455DC" w:rsidRDefault="002B0BF6">
            <w:pPr>
              <w:pStyle w:val="Tablebody"/>
            </w:pPr>
            <w:r w:rsidRPr="001455DC">
              <w:rPr>
                <w:lang w:eastAsia="de-CH"/>
              </w:rPr>
              <w:t>are the chord forces according to Figure 8.9 and Formulae (8.</w:t>
            </w:r>
            <w:r w:rsidR="00A807C6" w:rsidRPr="001455DC">
              <w:rPr>
                <w:lang w:eastAsia="de-CH"/>
              </w:rPr>
              <w:t>37</w:t>
            </w:r>
            <w:r w:rsidRPr="001455DC">
              <w:rPr>
                <w:lang w:eastAsia="de-CH"/>
              </w:rPr>
              <w:t xml:space="preserve">) </w:t>
            </w:r>
            <w:r w:rsidRPr="001455DC">
              <w:t xml:space="preserve">to </w:t>
            </w:r>
            <w:r w:rsidRPr="001455DC">
              <w:rPr>
                <w:lang w:eastAsia="de-CH"/>
              </w:rPr>
              <w:t>(8.3</w:t>
            </w:r>
            <w:r w:rsidR="00A807C6" w:rsidRPr="001455DC">
              <w:rPr>
                <w:lang w:eastAsia="de-CH"/>
              </w:rPr>
              <w:t>8</w:t>
            </w:r>
            <w:r w:rsidRPr="001455DC">
              <w:rPr>
                <w:lang w:eastAsia="de-CH"/>
              </w:rPr>
              <w:t>);</w:t>
            </w:r>
          </w:p>
        </w:tc>
      </w:tr>
      <w:tr w:rsidR="002B0BF6" w:rsidRPr="001455DC" w14:paraId="08A08E56" w14:textId="77777777" w:rsidTr="002B0BF6">
        <w:trPr>
          <w:cantSplit/>
        </w:trPr>
        <w:tc>
          <w:tcPr>
            <w:tcW w:w="1418" w:type="dxa"/>
          </w:tcPr>
          <w:p w14:paraId="6F6DC298" w14:textId="000C0928" w:rsidR="002B0BF6" w:rsidRPr="001455DC" w:rsidRDefault="002B0BF6" w:rsidP="002B0BF6">
            <w:pPr>
              <w:pStyle w:val="Tablebody"/>
            </w:pPr>
            <w:r w:rsidRPr="001455DC">
              <w:rPr>
                <w:rStyle w:val="CCMCvariableitalic"/>
              </w:rPr>
              <w:t>A</w:t>
            </w:r>
            <w:r w:rsidRPr="001455DC">
              <w:rPr>
                <w:rStyle w:val="CCMCvariablesubscript"/>
              </w:rPr>
              <w:t>st</w:t>
            </w:r>
            <w:r w:rsidRPr="001455DC">
              <w:rPr>
                <w:lang w:eastAsia="de-CH"/>
              </w:rPr>
              <w:t xml:space="preserve"> and </w:t>
            </w:r>
            <w:r w:rsidRPr="001455DC">
              <w:rPr>
                <w:rStyle w:val="CCMCvariableitalic"/>
              </w:rPr>
              <w:t>A</w:t>
            </w:r>
            <w:r w:rsidRPr="001455DC">
              <w:rPr>
                <w:rStyle w:val="CCMCvariablesubscript"/>
              </w:rPr>
              <w:t>sc</w:t>
            </w:r>
          </w:p>
        </w:tc>
        <w:tc>
          <w:tcPr>
            <w:tcW w:w="7995" w:type="dxa"/>
          </w:tcPr>
          <w:p w14:paraId="60CF37E7" w14:textId="138945C8" w:rsidR="002B0BF6" w:rsidRPr="001455DC" w:rsidRDefault="002B0BF6" w:rsidP="002B0BF6">
            <w:pPr>
              <w:pStyle w:val="Tablebody"/>
            </w:pPr>
            <w:r w:rsidRPr="001455DC">
              <w:rPr>
                <w:lang w:eastAsia="de-CH"/>
              </w:rPr>
              <w:t>are the areas of the longitudinal reinforcement in the flexural tension chord and flexural compression chord, respectively;</w:t>
            </w:r>
          </w:p>
        </w:tc>
      </w:tr>
      <w:tr w:rsidR="002B0BF6" w:rsidRPr="001455DC" w14:paraId="46905402" w14:textId="77777777" w:rsidTr="002B0BF6">
        <w:trPr>
          <w:cantSplit/>
        </w:trPr>
        <w:tc>
          <w:tcPr>
            <w:tcW w:w="1418" w:type="dxa"/>
          </w:tcPr>
          <w:p w14:paraId="12811E8F" w14:textId="562202AD" w:rsidR="002B0BF6" w:rsidRPr="001455DC" w:rsidRDefault="002B0BF6" w:rsidP="002B0BF6">
            <w:pPr>
              <w:pStyle w:val="Tablebody"/>
            </w:pPr>
            <w:r w:rsidRPr="001455DC">
              <w:rPr>
                <w:rStyle w:val="CCMCvariableitalic"/>
              </w:rPr>
              <w:t>A</w:t>
            </w:r>
            <w:r w:rsidRPr="001455DC">
              <w:rPr>
                <w:rStyle w:val="CCMCvariablesubscript"/>
              </w:rPr>
              <w:t>cc</w:t>
            </w:r>
          </w:p>
        </w:tc>
        <w:tc>
          <w:tcPr>
            <w:tcW w:w="7995" w:type="dxa"/>
          </w:tcPr>
          <w:p w14:paraId="7E7E18F4" w14:textId="1877BB2D" w:rsidR="002B0BF6" w:rsidRPr="001455DC" w:rsidRDefault="002B0BF6" w:rsidP="002B0BF6">
            <w:pPr>
              <w:pStyle w:val="Tablebody"/>
            </w:pPr>
            <w:r w:rsidRPr="001455DC">
              <w:rPr>
                <w:lang w:eastAsia="de-CH"/>
              </w:rPr>
              <w:t>is the area of the flexural compression chord.</w:t>
            </w:r>
          </w:p>
        </w:tc>
      </w:tr>
    </w:tbl>
    <w:p w14:paraId="1463E860" w14:textId="496751A4" w:rsidR="004E22C1" w:rsidRPr="001455DC" w:rsidRDefault="004E22C1" w:rsidP="00A84CE8">
      <w:pPr>
        <w:pStyle w:val="a7"/>
      </w:pPr>
      <w:r w:rsidRPr="001455DC">
        <w:t xml:space="preserve">In prestressed members with bonded tendons, the areas of the longitudinal reinforcement </w:t>
      </w:r>
      <w:r w:rsidRPr="001455DC">
        <w:rPr>
          <w:rStyle w:val="CCMCvariableitalic"/>
        </w:rPr>
        <w:t>A</w:t>
      </w:r>
      <w:r w:rsidRPr="001455DC">
        <w:rPr>
          <w:rStyle w:val="CCMCvariablesubscript"/>
        </w:rPr>
        <w:t>st</w:t>
      </w:r>
      <w:r w:rsidRPr="001455DC">
        <w:t xml:space="preserve"> and </w:t>
      </w:r>
      <w:r w:rsidRPr="001455DC">
        <w:rPr>
          <w:rStyle w:val="CCMCvariableitalic"/>
        </w:rPr>
        <w:t>A</w:t>
      </w:r>
      <w:r w:rsidRPr="001455DC">
        <w:rPr>
          <w:rStyle w:val="CCMCvariablesubscript"/>
        </w:rPr>
        <w:t>sc</w:t>
      </w:r>
      <w:r w:rsidRPr="001455DC">
        <w:t xml:space="preserve"> may be increased by </w:t>
      </w:r>
      <w:r w:rsidRPr="001455DC">
        <w:rPr>
          <w:rStyle w:val="CCMCvariableitalic"/>
        </w:rPr>
        <w:t>A</w:t>
      </w:r>
      <w:r w:rsidRPr="001455DC">
        <w:rPr>
          <w:rStyle w:val="CCMCvariablesubscript"/>
        </w:rPr>
        <w:t>p</w:t>
      </w:r>
      <w:r w:rsidRPr="001455DC">
        <w:t>(1/2</w:t>
      </w:r>
      <w:r w:rsidR="00EC27D2" w:rsidRPr="001455DC">
        <w:rPr>
          <w:rFonts w:ascii="Cambria Math" w:hAnsi="Cambria Math"/>
        </w:rPr>
        <w:t>+</w:t>
      </w:r>
      <w:r w:rsidRPr="001455DC">
        <w:rPr>
          <w:rStyle w:val="CCMCvariableitalic"/>
        </w:rPr>
        <w:t>e</w:t>
      </w:r>
      <w:r w:rsidRPr="001455DC">
        <w:rPr>
          <w:rStyle w:val="CCMCvariablesubscript"/>
        </w:rPr>
        <w:t>p</w:t>
      </w:r>
      <w:r w:rsidRPr="001455DC">
        <w:t>/</w:t>
      </w:r>
      <w:r w:rsidRPr="001455DC">
        <w:rPr>
          <w:rStyle w:val="CCMCvariableitalic"/>
        </w:rPr>
        <w:t>z</w:t>
      </w:r>
      <w:r w:rsidRPr="001455DC">
        <w:t xml:space="preserve">) and </w:t>
      </w:r>
      <w:r w:rsidRPr="001455DC">
        <w:rPr>
          <w:rStyle w:val="CCMCvariableitalic"/>
        </w:rPr>
        <w:t>A</w:t>
      </w:r>
      <w:r w:rsidRPr="001455DC">
        <w:rPr>
          <w:rStyle w:val="CCMCvariablesubscript"/>
        </w:rPr>
        <w:t>p</w:t>
      </w:r>
      <w:r w:rsidRPr="001455DC">
        <w:t>(1/2–</w:t>
      </w:r>
      <w:r w:rsidRPr="001455DC">
        <w:rPr>
          <w:rStyle w:val="CCMCvariableitalic"/>
        </w:rPr>
        <w:t>e</w:t>
      </w:r>
      <w:r w:rsidRPr="001455DC">
        <w:rPr>
          <w:rStyle w:val="CCMCvariablesubscript"/>
        </w:rPr>
        <w:t>p</w:t>
      </w:r>
      <w:r w:rsidRPr="001455DC">
        <w:t>/</w:t>
      </w:r>
      <w:r w:rsidRPr="001455DC">
        <w:rPr>
          <w:rStyle w:val="CCMCvariableitalic"/>
        </w:rPr>
        <w:t>z</w:t>
      </w:r>
      <w:r w:rsidRPr="001455DC">
        <w:t xml:space="preserve">), respectively, where the eccentricity of the tendon </w:t>
      </w:r>
      <w:r w:rsidRPr="001455DC">
        <w:rPr>
          <w:rStyle w:val="CCMCvariableitalic"/>
        </w:rPr>
        <w:t>e</w:t>
      </w:r>
      <w:r w:rsidRPr="001455DC">
        <w:rPr>
          <w:rStyle w:val="CCMCvariablesubscript"/>
        </w:rPr>
        <w:t>p</w:t>
      </w:r>
      <w:r w:rsidRPr="001455DC">
        <w:t xml:space="preserve"> is positive on the side of the tension chord.</w:t>
      </w:r>
    </w:p>
    <w:p w14:paraId="57D66CBC" w14:textId="5AF2E788" w:rsidR="004E22C1" w:rsidRPr="001455DC" w:rsidRDefault="004E22C1" w:rsidP="00A84CE8">
      <w:pPr>
        <w:pStyle w:val="Note"/>
      </w:pPr>
      <w:r w:rsidRPr="001455DC">
        <w:t>NOTE</w:t>
      </w:r>
      <w:r w:rsidRPr="001455DC">
        <w:tab/>
        <w:t>For high values of cot</w:t>
      </w:r>
      <w:r w:rsidRPr="001455DC">
        <w:rPr>
          <w:rStyle w:val="CCMCvariableitalic"/>
        </w:rPr>
        <w:t>θ</w:t>
      </w:r>
      <w:r w:rsidRPr="001455DC">
        <w:t>, the cracking state of the web under serviceability conditions can be governing (see 9.2.4(6)).</w:t>
      </w:r>
    </w:p>
    <w:p w14:paraId="58165B89" w14:textId="4545F45D" w:rsidR="004E22C1" w:rsidRPr="001455DC" w:rsidRDefault="004E22C1" w:rsidP="00A84CE8">
      <w:pPr>
        <w:pStyle w:val="a7"/>
      </w:pPr>
      <w:r w:rsidRPr="001455DC">
        <w:t>(7)</w:t>
      </w:r>
      <w:r w:rsidRPr="001455DC">
        <w:tab/>
        <w:t xml:space="preserve">In regions where there is no discontinuity of </w:t>
      </w:r>
      <w:r w:rsidRPr="001455DC">
        <w:rPr>
          <w:rStyle w:val="CCMCvariableitalic"/>
        </w:rPr>
        <w:t>V</w:t>
      </w:r>
      <w:r w:rsidRPr="001455DC">
        <w:rPr>
          <w:rStyle w:val="CCMCvariablesubscript"/>
        </w:rPr>
        <w:t>Ed</w:t>
      </w:r>
      <w:r w:rsidRPr="001455DC">
        <w:t xml:space="preserve"> (e.g. for uniformly distributed loading applied at the top) the shear reinforcement in any length increment </w:t>
      </w:r>
      <w:r w:rsidRPr="001455DC">
        <w:rPr>
          <w:rStyle w:val="CCMCvariableitalic"/>
        </w:rPr>
        <w:t>l</w:t>
      </w:r>
      <w:r w:rsidRPr="001455DC">
        <w:t> </w:t>
      </w:r>
      <w:r w:rsidR="00EC27D2" w:rsidRPr="001455DC">
        <w:rPr>
          <w:rFonts w:ascii="Cambria Math" w:hAnsi="Cambria Math"/>
        </w:rPr>
        <w:t>=</w:t>
      </w:r>
      <w:r w:rsidRPr="001455DC">
        <w:t> </w:t>
      </w:r>
      <w:r w:rsidRPr="001455DC">
        <w:rPr>
          <w:rStyle w:val="CCMCvariableitalic"/>
        </w:rPr>
        <w:t>z</w:t>
      </w:r>
      <w:r w:rsidRPr="001455DC">
        <w:rPr>
          <w:iCs/>
        </w:rPr>
        <w:t> </w:t>
      </w:r>
      <w:r w:rsidR="00C74721" w:rsidRPr="001455DC">
        <w:rPr>
          <w:rFonts w:ascii="Cambria Math" w:hAnsi="Cambria Math"/>
          <w:iCs/>
        </w:rPr>
        <w:t>⋅</w:t>
      </w:r>
      <w:r w:rsidRPr="001455DC">
        <w:rPr>
          <w:iCs/>
        </w:rPr>
        <w:t> </w:t>
      </w:r>
      <w:r w:rsidRPr="001455DC">
        <w:t>cot</w:t>
      </w:r>
      <w:r w:rsidRPr="001455DC">
        <w:rPr>
          <w:rStyle w:val="CCMCvariableitalic"/>
        </w:rPr>
        <w:t>θ</w:t>
      </w:r>
      <w:r w:rsidRPr="001455DC">
        <w:t xml:space="preserve"> may be calculated using the smallest value of </w:t>
      </w:r>
      <w:r w:rsidRPr="001455DC">
        <w:rPr>
          <w:rStyle w:val="CCMCvariableitalic"/>
        </w:rPr>
        <w:t>V</w:t>
      </w:r>
      <w:r w:rsidRPr="001455DC">
        <w:rPr>
          <w:rStyle w:val="CCMCvariablesubscript"/>
        </w:rPr>
        <w:t>Ed</w:t>
      </w:r>
      <w:r w:rsidRPr="001455DC">
        <w:t xml:space="preserve"> in the increment (except in members under high water- or gas pressure).</w:t>
      </w:r>
    </w:p>
    <w:p w14:paraId="71341FB8" w14:textId="77777777" w:rsidR="002B0BF6" w:rsidRPr="001455DC" w:rsidRDefault="004E22C1" w:rsidP="008D37B2">
      <w:pPr>
        <w:pStyle w:val="a7"/>
        <w:keepNext/>
      </w:pPr>
      <w:r w:rsidRPr="001455DC">
        <w:t>(8)</w:t>
      </w:r>
      <w:r w:rsidRPr="001455DC">
        <w:tab/>
        <w:t xml:space="preserve">The additional tensile axial force, </w:t>
      </w:r>
      <w:r w:rsidRPr="001455DC">
        <w:rPr>
          <w:rStyle w:val="CCMCvariableitalic"/>
        </w:rPr>
        <w:t>N</w:t>
      </w:r>
      <w:r w:rsidRPr="001455DC">
        <w:rPr>
          <w:rStyle w:val="CCMCvariablesubscript"/>
        </w:rPr>
        <w:t>Vd</w:t>
      </w:r>
      <w:r w:rsidRPr="001455DC">
        <w:t xml:space="preserve">, due to shear </w:t>
      </w:r>
      <w:r w:rsidRPr="001455DC">
        <w:rPr>
          <w:rStyle w:val="CCMCvariableitalic"/>
        </w:rPr>
        <w:t>V</w:t>
      </w:r>
      <w:r w:rsidRPr="001455DC">
        <w:rPr>
          <w:rStyle w:val="CCMCvariablesubscript"/>
        </w:rPr>
        <w:t>Ed</w:t>
      </w:r>
      <w:r w:rsidRPr="001455DC">
        <w:t xml:space="preserve"> may be calculated from:</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B0BF6" w:rsidRPr="001455DC" w14:paraId="260CB9FE" w14:textId="77777777" w:rsidTr="002B0BF6">
        <w:trPr>
          <w:cantSplit/>
        </w:trPr>
        <w:tc>
          <w:tcPr>
            <w:tcW w:w="8505" w:type="dxa"/>
            <w:vAlign w:val="center"/>
          </w:tcPr>
          <w:p w14:paraId="77B1D4D8" w14:textId="04D92876" w:rsidR="002B0BF6" w:rsidRPr="001455DC" w:rsidRDefault="00231E33" w:rsidP="002B0BF6">
            <w:pPr>
              <w:pStyle w:val="Formula"/>
              <w:jc w:val="left"/>
            </w:pPr>
            <m:oMathPara>
              <m:oMathParaPr>
                <m:jc m:val="left"/>
              </m:oMathParaPr>
              <m:oMath>
                <m:sSub>
                  <m:sSubPr>
                    <m:ctrlPr>
                      <w:rPr>
                        <w:rFonts w:ascii="Cambria Math" w:hAnsi="Cambria Math"/>
                        <w:lang w:eastAsia="de-CH"/>
                      </w:rPr>
                    </m:ctrlPr>
                  </m:sSubPr>
                  <m:e>
                    <m:r>
                      <w:rPr>
                        <w:rFonts w:ascii="Cambria Math" w:hAnsi="Cambria Math"/>
                      </w:rPr>
                      <m:t>N</m:t>
                    </m:r>
                  </m:e>
                  <m:sub>
                    <m:r>
                      <m:rPr>
                        <m:sty m:val="p"/>
                      </m:rPr>
                      <w:rPr>
                        <w:rFonts w:ascii="Cambria Math" w:hAnsi="Cambria Math"/>
                      </w:rPr>
                      <m:t>Vd</m:t>
                    </m:r>
                  </m:sub>
                </m:sSub>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V</m:t>
                        </m:r>
                      </m:e>
                      <m:sub>
                        <m:r>
                          <m:rPr>
                            <m:sty m:val="p"/>
                          </m:rPr>
                          <w:rPr>
                            <w:rFonts w:ascii="Cambria Math" w:hAnsi="Cambria Math"/>
                          </w:rPr>
                          <m:t>Ed</m:t>
                        </m:r>
                      </m:sub>
                    </m:sSub>
                  </m:e>
                </m:d>
                <m:r>
                  <w:rPr>
                    <w:rFonts w:ascii="Cambria Math" w:hAnsi="Cambria Math"/>
                  </w:rPr>
                  <m:t>⋅</m:t>
                </m:r>
                <m:r>
                  <m:rPr>
                    <m:sty m:val="p"/>
                  </m:rPr>
                  <w:rPr>
                    <w:rFonts w:ascii="Cambria Math" w:hAnsi="Cambria Math"/>
                  </w:rPr>
                  <m:t>cot</m:t>
                </m:r>
                <m:r>
                  <w:rPr>
                    <w:rFonts w:ascii="Cambria Math" w:hAnsi="Cambria Math"/>
                  </w:rPr>
                  <m:t>θ</m:t>
                </m:r>
              </m:oMath>
            </m:oMathPara>
          </w:p>
        </w:tc>
        <w:tc>
          <w:tcPr>
            <w:tcW w:w="1247" w:type="dxa"/>
            <w:vAlign w:val="center"/>
          </w:tcPr>
          <w:p w14:paraId="7C3F5E2C" w14:textId="37CF2D36" w:rsidR="002B0BF6" w:rsidRPr="001455DC" w:rsidRDefault="002B0BF6">
            <w:pPr>
              <w:pStyle w:val="a7"/>
              <w:jc w:val="right"/>
            </w:pPr>
            <w:r w:rsidRPr="001455DC">
              <w:rPr>
                <w:lang w:eastAsia="de-CH"/>
              </w:rPr>
              <w:t>(8.</w:t>
            </w:r>
            <w:r w:rsidR="00A10B21" w:rsidRPr="001455DC">
              <w:rPr>
                <w:lang w:eastAsia="de-CH"/>
              </w:rPr>
              <w:t>36</w:t>
            </w:r>
            <w:r w:rsidRPr="001455DC">
              <w:rPr>
                <w:lang w:eastAsia="de-CH"/>
              </w:rPr>
              <w:t>)</w:t>
            </w:r>
          </w:p>
        </w:tc>
      </w:tr>
    </w:tbl>
    <w:p w14:paraId="1FBCEBA1" w14:textId="77777777" w:rsidR="002B0BF6" w:rsidRPr="001455DC" w:rsidRDefault="004E22C1" w:rsidP="008D37B2">
      <w:pPr>
        <w:pStyle w:val="a7"/>
        <w:keepNext/>
      </w:pPr>
      <w:r w:rsidRPr="001455DC">
        <w:t xml:space="preserve">This force may be added to both chords so that the chord forces </w:t>
      </w:r>
      <w:r w:rsidRPr="001455DC">
        <w:rPr>
          <w:rStyle w:val="CCMCvariableitalic"/>
        </w:rPr>
        <w:t>F</w:t>
      </w:r>
      <w:r w:rsidRPr="001455DC">
        <w:rPr>
          <w:rStyle w:val="CCMCvariablesubscript"/>
        </w:rPr>
        <w:t>td</w:t>
      </w:r>
      <w:r w:rsidRPr="001455DC">
        <w:t xml:space="preserve"> and </w:t>
      </w:r>
      <w:r w:rsidRPr="001455DC">
        <w:rPr>
          <w:rStyle w:val="CCMCvariableitalic"/>
        </w:rPr>
        <w:t>F</w:t>
      </w:r>
      <w:r w:rsidRPr="001455DC">
        <w:rPr>
          <w:rStyle w:val="CCMCvariablesubscript"/>
        </w:rPr>
        <w:t>cd</w:t>
      </w:r>
      <w:r w:rsidRPr="001455DC">
        <w:t xml:space="preserve"> (Figure 8.9) are:</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B0BF6" w:rsidRPr="001455DC" w14:paraId="09E56397" w14:textId="77777777" w:rsidTr="002B0BF6">
        <w:trPr>
          <w:cantSplit/>
        </w:trPr>
        <w:tc>
          <w:tcPr>
            <w:tcW w:w="8505" w:type="dxa"/>
            <w:vAlign w:val="center"/>
          </w:tcPr>
          <w:p w14:paraId="2DA84A6B" w14:textId="6D0024C7" w:rsidR="002B0BF6" w:rsidRPr="001455DC" w:rsidRDefault="00231E33" w:rsidP="002B0BF6">
            <w:pPr>
              <w:pStyle w:val="Formula"/>
              <w:jc w:val="left"/>
            </w:pPr>
            <m:oMathPara>
              <m:oMathParaPr>
                <m:jc m:val="left"/>
              </m:oMathParaPr>
              <m:oMath>
                <m:sSub>
                  <m:sSubPr>
                    <m:ctrlPr>
                      <w:rPr>
                        <w:rFonts w:ascii="Cambria Math" w:hAnsi="Cambria Math"/>
                        <w:lang w:eastAsia="de-CH"/>
                      </w:rPr>
                    </m:ctrlPr>
                  </m:sSubPr>
                  <m:e>
                    <m:r>
                      <w:rPr>
                        <w:rFonts w:ascii="Cambria Math" w:hAnsi="Cambria Math"/>
                      </w:rPr>
                      <m:t>F</m:t>
                    </m:r>
                  </m:e>
                  <m:sub>
                    <m:r>
                      <m:rPr>
                        <m:sty m:val="p"/>
                      </m:rPr>
                      <w:rPr>
                        <w:rFonts w:ascii="Cambria Math" w:hAnsi="Cambria Math"/>
                      </w:rPr>
                      <m:t>td</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Ed</m:t>
                        </m:r>
                      </m:sub>
                    </m:sSub>
                  </m:num>
                  <m:den>
                    <m:r>
                      <w:rPr>
                        <w:rFonts w:ascii="Cambria Math" w:hAnsi="Cambria Math"/>
                      </w:rPr>
                      <m:t>z</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Vd</m:t>
                        </m:r>
                      </m:sub>
                    </m:sSub>
                    <m: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Ed</m:t>
                        </m:r>
                      </m:sub>
                    </m:sSub>
                  </m:num>
                  <m:den>
                    <m:r>
                      <w:rPr>
                        <w:rFonts w:ascii="Cambria Math" w:hAnsi="Cambria Math"/>
                      </w:rPr>
                      <m:t>2</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Ed,max</m:t>
                        </m:r>
                      </m:sub>
                    </m:sSub>
                  </m:num>
                  <m:den>
                    <m:r>
                      <w:rPr>
                        <w:rFonts w:ascii="Cambria Math" w:hAnsi="Cambria Math"/>
                      </w:rPr>
                      <m:t>z</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Ed</m:t>
                        </m:r>
                      </m:sub>
                    </m:sSub>
                  </m:num>
                  <m:den>
                    <m:r>
                      <w:rPr>
                        <w:rFonts w:ascii="Cambria Math" w:hAnsi="Cambria Math"/>
                      </w:rPr>
                      <m:t>2</m:t>
                    </m:r>
                  </m:den>
                </m:f>
              </m:oMath>
            </m:oMathPara>
          </w:p>
        </w:tc>
        <w:tc>
          <w:tcPr>
            <w:tcW w:w="1247" w:type="dxa"/>
            <w:vAlign w:val="center"/>
          </w:tcPr>
          <w:p w14:paraId="2C3BB6ED" w14:textId="220643DD" w:rsidR="002B0BF6" w:rsidRPr="001455DC" w:rsidRDefault="002B0BF6" w:rsidP="002B0BF6">
            <w:pPr>
              <w:pStyle w:val="a7"/>
              <w:jc w:val="right"/>
            </w:pPr>
            <w:r w:rsidRPr="001455DC">
              <w:rPr>
                <w:lang w:eastAsia="de-CH"/>
              </w:rPr>
              <w:t>(8.3</w:t>
            </w:r>
            <w:r w:rsidR="00A10B21" w:rsidRPr="001455DC">
              <w:rPr>
                <w:lang w:eastAsia="de-CH"/>
              </w:rPr>
              <w:t>7</w:t>
            </w:r>
            <w:r w:rsidRPr="001455DC">
              <w:rPr>
                <w:lang w:eastAsia="de-CH"/>
              </w:rPr>
              <w:t>)</w:t>
            </w:r>
          </w:p>
        </w:tc>
      </w:tr>
      <w:tr w:rsidR="002B0BF6" w:rsidRPr="001455DC" w14:paraId="7A47307B" w14:textId="77777777" w:rsidTr="002B0BF6">
        <w:trPr>
          <w:cantSplit/>
        </w:trPr>
        <w:tc>
          <w:tcPr>
            <w:tcW w:w="8505" w:type="dxa"/>
            <w:vAlign w:val="center"/>
          </w:tcPr>
          <w:p w14:paraId="155AA2B7" w14:textId="2819E8DC" w:rsidR="002B0BF6" w:rsidRPr="001455DC" w:rsidRDefault="00231E33" w:rsidP="002B0BF6">
            <w:pPr>
              <w:pStyle w:val="Formula"/>
              <w:jc w:val="left"/>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cd</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Ed</m:t>
                        </m:r>
                      </m:sub>
                    </m:sSub>
                  </m:num>
                  <m:den>
                    <m:r>
                      <w:rPr>
                        <w:rFonts w:ascii="Cambria Math" w:hAnsi="Cambria Math"/>
                      </w:rPr>
                      <m:t>z</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Vd</m:t>
                        </m:r>
                      </m:sub>
                    </m:sSub>
                    <m: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Ed</m:t>
                        </m:r>
                      </m:sub>
                    </m:sSub>
                  </m:num>
                  <m:den>
                    <m:r>
                      <w:rPr>
                        <w:rFonts w:ascii="Cambria Math" w:hAnsi="Cambria Math"/>
                      </w:rPr>
                      <m:t>2</m:t>
                    </m:r>
                  </m:den>
                </m:f>
              </m:oMath>
            </m:oMathPara>
          </w:p>
        </w:tc>
        <w:tc>
          <w:tcPr>
            <w:tcW w:w="1247" w:type="dxa"/>
            <w:vAlign w:val="center"/>
          </w:tcPr>
          <w:p w14:paraId="51210199" w14:textId="6566478E" w:rsidR="002B0BF6" w:rsidRPr="001455DC" w:rsidRDefault="002B0BF6" w:rsidP="002B0BF6">
            <w:pPr>
              <w:pStyle w:val="a7"/>
              <w:jc w:val="right"/>
            </w:pPr>
            <w:r w:rsidRPr="001455DC">
              <w:t>(8.3</w:t>
            </w:r>
            <w:r w:rsidR="00A10B21" w:rsidRPr="001455DC">
              <w:t>8</w:t>
            </w:r>
            <w:r w:rsidRPr="001455DC">
              <w:t>)</w:t>
            </w:r>
          </w:p>
        </w:tc>
      </w:tr>
    </w:tbl>
    <w:p w14:paraId="06AEABCA" w14:textId="77777777" w:rsidR="004E22C1" w:rsidRPr="001455DC" w:rsidRDefault="004E22C1" w:rsidP="00A84CE8">
      <w:pPr>
        <w:pStyle w:val="a7"/>
        <w:rPr>
          <w:lang w:eastAsia="de-CH"/>
        </w:rPr>
      </w:pPr>
      <w:r w:rsidRPr="001455DC">
        <w:rPr>
          <w:lang w:eastAsia="de-CH"/>
        </w:rPr>
        <w:t xml:space="preserve">where </w:t>
      </w:r>
      <w:r w:rsidRPr="001455DC">
        <w:rPr>
          <w:rStyle w:val="CCMCvariableitalic"/>
        </w:rPr>
        <w:t>M</w:t>
      </w:r>
      <w:r w:rsidRPr="001455DC">
        <w:rPr>
          <w:rStyle w:val="CCMCvariablesubscript"/>
        </w:rPr>
        <w:t>Ed,max</w:t>
      </w:r>
      <w:r w:rsidRPr="001455DC">
        <w:rPr>
          <w:lang w:eastAsia="de-CH"/>
        </w:rPr>
        <w:t xml:space="preserve"> is the maximum moment along the member</w:t>
      </w:r>
      <w:r w:rsidRPr="001455DC">
        <w:rPr>
          <w:szCs w:val="19"/>
        </w:rPr>
        <w:t xml:space="preserve"> </w:t>
      </w:r>
      <w:r w:rsidRPr="001455DC">
        <w:t>and the internal forces (</w:t>
      </w:r>
      <w:r w:rsidRPr="001455DC">
        <w:rPr>
          <w:rStyle w:val="CCMCvariableitalic"/>
        </w:rPr>
        <w:t>N</w:t>
      </w:r>
      <w:r w:rsidRPr="001455DC">
        <w:rPr>
          <w:rStyle w:val="CCMCvariablesubscript"/>
        </w:rPr>
        <w:t>Ed</w:t>
      </w:r>
      <w:r w:rsidRPr="001455DC">
        <w:t xml:space="preserve">, </w:t>
      </w:r>
      <w:r w:rsidRPr="001455DC">
        <w:rPr>
          <w:rStyle w:val="CCMCvariableitalic"/>
        </w:rPr>
        <w:t>V</w:t>
      </w:r>
      <w:r w:rsidRPr="001455DC">
        <w:rPr>
          <w:rStyle w:val="CCMCvariablesubscript"/>
        </w:rPr>
        <w:t>Ed</w:t>
      </w:r>
      <w:r w:rsidRPr="001455DC">
        <w:t xml:space="preserve"> and </w:t>
      </w:r>
      <w:r w:rsidRPr="001455DC">
        <w:rPr>
          <w:rStyle w:val="CCMCvariableitalic"/>
        </w:rPr>
        <w:t>M</w:t>
      </w:r>
      <w:r w:rsidRPr="001455DC">
        <w:rPr>
          <w:rStyle w:val="CCMCvariablesubscript"/>
        </w:rPr>
        <w:t>Ed</w:t>
      </w:r>
      <w:r w:rsidRPr="001455DC">
        <w:t xml:space="preserve">) are applied in the centre of the web with a depth </w:t>
      </w:r>
      <w:r w:rsidRPr="001455DC">
        <w:rPr>
          <w:rStyle w:val="CCMCvariableitalic"/>
        </w:rPr>
        <w:t>z</w:t>
      </w:r>
      <w:r w:rsidRPr="001455DC">
        <w:t xml:space="preserve"> as shown in Figure </w:t>
      </w:r>
      <w:r w:rsidRPr="001455DC">
        <w:rPr>
          <w:szCs w:val="19"/>
        </w:rPr>
        <w:t>8.9</w:t>
      </w:r>
      <w:r w:rsidRPr="001455DC">
        <w:t xml:space="preserve">. </w:t>
      </w:r>
      <w:r w:rsidRPr="001455DC">
        <w:rPr>
          <w:lang w:eastAsia="de-CH"/>
        </w:rPr>
        <w:t xml:space="preserve">Alternatively, the tension chord may be designed by shifting the </w:t>
      </w:r>
      <w:r w:rsidRPr="001455DC">
        <w:rPr>
          <w:rStyle w:val="CCMCvariableitalic"/>
        </w:rPr>
        <w:t>M</w:t>
      </w:r>
      <w:r w:rsidRPr="001455DC">
        <w:rPr>
          <w:rStyle w:val="CCMCvariablesubscript"/>
        </w:rPr>
        <w:t>Ed</w:t>
      </w:r>
      <w:r w:rsidRPr="001455DC">
        <w:rPr>
          <w:lang w:eastAsia="de-CH"/>
        </w:rPr>
        <w:t>-line according to 12.3.3.</w:t>
      </w:r>
    </w:p>
    <w:p w14:paraId="76011E73" w14:textId="22AB860B" w:rsidR="004E22C1" w:rsidRPr="001455DC" w:rsidRDefault="004E22C1" w:rsidP="00A84CE8">
      <w:pPr>
        <w:pStyle w:val="a7"/>
      </w:pPr>
      <w:r w:rsidRPr="001455DC">
        <w:t xml:space="preserve">The force </w:t>
      </w:r>
      <w:r w:rsidRPr="001455DC">
        <w:rPr>
          <w:rStyle w:val="CCMCvariableitalic"/>
        </w:rPr>
        <w:t>N</w:t>
      </w:r>
      <w:r w:rsidRPr="001455DC">
        <w:rPr>
          <w:rStyle w:val="CCMCvariablesubscript"/>
        </w:rPr>
        <w:t>Vd</w:t>
      </w:r>
      <w:r w:rsidRPr="001455DC">
        <w:t xml:space="preserve"> may also be carried </w:t>
      </w:r>
      <w:r w:rsidRPr="001455DC">
        <w:rPr>
          <w:szCs w:val="19"/>
        </w:rPr>
        <w:t xml:space="preserve">totally or partially </w:t>
      </w:r>
      <w:r w:rsidRPr="001455DC">
        <w:t xml:space="preserve">by a longitudinal web reinforcement. </w:t>
      </w:r>
      <w:r w:rsidRPr="001455DC">
        <w:rPr>
          <w:szCs w:val="19"/>
        </w:rPr>
        <w:t xml:space="preserve">In this case, the term </w:t>
      </w:r>
      <w:r w:rsidRPr="001455DC">
        <w:rPr>
          <w:rStyle w:val="CCMCvariableitalic"/>
        </w:rPr>
        <w:t>N</w:t>
      </w:r>
      <w:r w:rsidRPr="001455DC">
        <w:rPr>
          <w:rStyle w:val="CCMCvariablesubscript"/>
        </w:rPr>
        <w:t>Vd</w:t>
      </w:r>
      <w:r w:rsidRPr="001455DC">
        <w:rPr>
          <w:szCs w:val="19"/>
        </w:rPr>
        <w:t xml:space="preserve"> </w:t>
      </w:r>
      <w:r w:rsidRPr="001455DC">
        <w:t>in Formulae (8.</w:t>
      </w:r>
      <w:r w:rsidR="00A10B21" w:rsidRPr="001455DC">
        <w:t>37</w:t>
      </w:r>
      <w:r w:rsidRPr="001455DC">
        <w:t>) to (8.3</w:t>
      </w:r>
      <w:r w:rsidR="00A10B21" w:rsidRPr="001455DC">
        <w:t>8</w:t>
      </w:r>
      <w:r w:rsidRPr="001455DC">
        <w:t xml:space="preserve">) </w:t>
      </w:r>
      <w:r w:rsidRPr="001455DC">
        <w:rPr>
          <w:szCs w:val="19"/>
        </w:rPr>
        <w:t>may be reduced accordingly.</w:t>
      </w:r>
    </w:p>
    <w:p w14:paraId="23FA1937" w14:textId="77777777" w:rsidR="004E22C1" w:rsidRPr="001455DC" w:rsidRDefault="004E22C1" w:rsidP="008D37B2">
      <w:pPr>
        <w:pStyle w:val="a7"/>
        <w:keepNext/>
      </w:pPr>
      <w:r w:rsidRPr="001455DC">
        <w:t>(9)</w:t>
      </w:r>
      <w:r w:rsidRPr="001455DC">
        <w:tab/>
        <w:t>For sections with variable width:</w:t>
      </w:r>
    </w:p>
    <w:p w14:paraId="4CA61B23" w14:textId="2BA40319" w:rsidR="004E22C1" w:rsidRPr="001455DC" w:rsidRDefault="004E22C1" w:rsidP="00A84CE8">
      <w:pPr>
        <w:pStyle w:val="a0"/>
      </w:pPr>
      <w:r w:rsidRPr="001455DC">
        <w:rPr>
          <w:rStyle w:val="CCMCvariableitalic"/>
        </w:rPr>
        <w:t>b</w:t>
      </w:r>
      <w:r w:rsidRPr="001455DC">
        <w:rPr>
          <w:rStyle w:val="CCMCvariablesubscript"/>
        </w:rPr>
        <w:t>w</w:t>
      </w:r>
      <w:r w:rsidRPr="001455DC">
        <w:t xml:space="preserve"> is the smallest width of the cross section between the tension chord and the neutral axis (Figures 8.10a and b)</w:t>
      </w:r>
    </w:p>
    <w:p w14:paraId="1B6BE47C" w14:textId="294222BF" w:rsidR="004E22C1" w:rsidRPr="001455DC" w:rsidRDefault="004E22C1" w:rsidP="00A84CE8">
      <w:pPr>
        <w:pStyle w:val="a0"/>
      </w:pPr>
      <w:r w:rsidRPr="001455DC">
        <w:t xml:space="preserve">the area </w:t>
      </w:r>
      <w:r w:rsidRPr="001455DC">
        <w:rPr>
          <w:rStyle w:val="CCMCvariableitalic"/>
        </w:rPr>
        <w:t>A</w:t>
      </w:r>
      <w:r w:rsidRPr="001455DC">
        <w:rPr>
          <w:rStyle w:val="CCMCvariablesubscript"/>
        </w:rPr>
        <w:t>sw</w:t>
      </w:r>
      <w:r w:rsidRPr="001455DC">
        <w:t xml:space="preserve"> to be used in </w:t>
      </w:r>
      <w:r w:rsidR="00A10B21" w:rsidRPr="001455DC">
        <w:t>Formula (8.28)</w:t>
      </w:r>
      <w:r w:rsidRPr="001455DC">
        <w:t xml:space="preserve"> shall be multiplied by cos</w:t>
      </w:r>
      <w:r w:rsidRPr="001455DC">
        <w:rPr>
          <w:rStyle w:val="CCMCvariableitalic"/>
        </w:rPr>
        <w:t>δ</w:t>
      </w:r>
      <w:r w:rsidRPr="001455DC">
        <w:t xml:space="preserve"> (refer to Figure 8.10a)).</w:t>
      </w:r>
    </w:p>
    <w:p w14:paraId="15292990" w14:textId="77777777" w:rsidR="004E22C1" w:rsidRPr="001455DC" w:rsidRDefault="004E22C1" w:rsidP="008D37B2">
      <w:pPr>
        <w:pStyle w:val="a7"/>
        <w:keepNext/>
      </w:pPr>
      <w:r w:rsidRPr="001455DC">
        <w:t>For circular cross sections:</w:t>
      </w:r>
    </w:p>
    <w:p w14:paraId="672C3BD9" w14:textId="69D6BBD6" w:rsidR="004E22C1" w:rsidRPr="001455DC" w:rsidRDefault="004E22C1" w:rsidP="00A84CE8">
      <w:pPr>
        <w:pStyle w:val="a0"/>
      </w:pPr>
      <w:r w:rsidRPr="001455DC">
        <w:t xml:space="preserve">the area </w:t>
      </w:r>
      <w:r w:rsidRPr="001455DC">
        <w:rPr>
          <w:rStyle w:val="CCMCvariableitalic"/>
        </w:rPr>
        <w:t>A</w:t>
      </w:r>
      <w:r w:rsidRPr="001455DC">
        <w:rPr>
          <w:rStyle w:val="CCMCvariablesubscript"/>
        </w:rPr>
        <w:t>sw</w:t>
      </w:r>
      <w:r w:rsidRPr="001455DC">
        <w:t xml:space="preserve"> should be multiplied by the ratio </w:t>
      </w:r>
      <w:r w:rsidRPr="001455DC">
        <w:rPr>
          <w:rStyle w:val="CCMCvariableitalic"/>
        </w:rPr>
        <w:t>b</w:t>
      </w:r>
      <w:r w:rsidRPr="001455DC">
        <w:rPr>
          <w:rStyle w:val="CCMCvariablesubscript"/>
        </w:rPr>
        <w:t>w</w:t>
      </w:r>
      <w:r w:rsidRPr="001455DC">
        <w:t>/</w:t>
      </w:r>
      <w:r w:rsidRPr="001455DC">
        <w:rPr>
          <w:rStyle w:val="CCMCvariableitalic"/>
        </w:rPr>
        <w:t>D</w:t>
      </w:r>
      <w:r w:rsidRPr="001455DC">
        <w:rPr>
          <w:rStyle w:val="CCMCvariablesubscript"/>
        </w:rPr>
        <w:t>h</w:t>
      </w:r>
      <w:r w:rsidRPr="001455DC">
        <w:t xml:space="preserve"> (refer to Figure 8.10c)), where </w:t>
      </w:r>
      <w:r w:rsidRPr="001455DC">
        <w:rPr>
          <w:rStyle w:val="CCMCvariableitalic"/>
        </w:rPr>
        <w:t>D</w:t>
      </w:r>
      <w:r w:rsidRPr="001455DC">
        <w:rPr>
          <w:rStyle w:val="CCMCvariablesubscript"/>
        </w:rPr>
        <w:t>h</w:t>
      </w:r>
      <w:r w:rsidRPr="001455DC">
        <w:t xml:space="preserve"> is the hoop diameter;</w:t>
      </w:r>
    </w:p>
    <w:p w14:paraId="2700D910" w14:textId="4DB06446" w:rsidR="004E22C1" w:rsidRPr="001455DC" w:rsidRDefault="004E22C1" w:rsidP="00A84CE8">
      <w:pPr>
        <w:pStyle w:val="a0"/>
      </w:pPr>
      <w:r w:rsidRPr="001455DC">
        <w:rPr>
          <w:rStyle w:val="CCMCvariableitalic"/>
        </w:rPr>
        <w:t>z</w:t>
      </w:r>
      <w:r w:rsidRPr="001455DC">
        <w:t xml:space="preserve"> is based on a section fitted into the circular section as given in Figure 8.10c) where the circular segment with depth </w:t>
      </w:r>
      <w:r w:rsidRPr="001455DC">
        <w:rPr>
          <w:rStyle w:val="CCMCvariableitalic"/>
        </w:rPr>
        <w:t>x</w:t>
      </w:r>
      <w:r w:rsidRPr="001455DC">
        <w:rPr>
          <w:rStyle w:val="CCMCvariablesubscript"/>
        </w:rPr>
        <w:t>sb</w:t>
      </w:r>
      <w:r w:rsidRPr="001455DC">
        <w:t xml:space="preserve"> is the area of the compression chord and the tension bars within </w:t>
      </w:r>
      <w:r w:rsidRPr="001455DC">
        <w:rPr>
          <w:rStyle w:val="CCMCvariableitalic"/>
        </w:rPr>
        <w:t>b</w:t>
      </w:r>
      <w:r w:rsidRPr="001455DC">
        <w:rPr>
          <w:rStyle w:val="CCMCvariablesubscript"/>
        </w:rPr>
        <w:t>w</w:t>
      </w:r>
      <w:r w:rsidRPr="001455DC">
        <w:t xml:space="preserve"> define the tension chord. The width </w:t>
      </w:r>
      <w:r w:rsidRPr="001455DC">
        <w:rPr>
          <w:rStyle w:val="CCMCvariableitalic"/>
        </w:rPr>
        <w:t>b</w:t>
      </w:r>
      <w:r w:rsidRPr="001455DC">
        <w:rPr>
          <w:rStyle w:val="CCMCvariablesubscript"/>
        </w:rPr>
        <w:t>w</w:t>
      </w:r>
      <w:r w:rsidRPr="001455DC">
        <w:t xml:space="preserve"> can be chosen freely fulfilling equilibrium and resistance conditions, however not larger than </w:t>
      </w:r>
      <w:r w:rsidRPr="001455DC">
        <w:rPr>
          <w:rStyle w:val="CCMCvariableitalic"/>
        </w:rPr>
        <w:t>D</w:t>
      </w:r>
      <w:r w:rsidRPr="001455DC">
        <w:rPr>
          <w:rStyle w:val="CCMCvariablesubscript"/>
        </w:rPr>
        <w:t>h</w:t>
      </w:r>
      <w:r w:rsidRPr="001455DC">
        <w:t>.</w:t>
      </w:r>
    </w:p>
    <w:p w14:paraId="6693FD7F" w14:textId="108C85FB" w:rsidR="004E22C1" w:rsidRPr="001455DC" w:rsidRDefault="00723CF7" w:rsidP="00A84CE8">
      <w:pPr>
        <w:pStyle w:val="FigureImage"/>
        <w:rPr>
          <w:lang w:eastAsia="de-DE"/>
        </w:rPr>
      </w:pPr>
      <w:r>
        <w:rPr>
          <w:noProof/>
          <w:lang w:eastAsia="en-GB"/>
        </w:rPr>
        <w:fldChar w:fldCharType="begin"/>
      </w:r>
      <w:r>
        <w:rPr>
          <w:noProof/>
          <w:lang w:eastAsia="en-GB"/>
        </w:rPr>
        <w:instrText xml:space="preserve"> INCLUDEPICTURE  "Y:\\STD_MGT\\STDDEL\\PRODUCTION\\etrans\\Download\\Z_FIRST_DEL\\SV\\00250\\00250269\\41_e_dr\\8_010.tif"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"Y:\\STD_MGT\\STDDEL\\PRODUCTION\\Standards\\00250\\269\\41_e_dr\\8_010.tif"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"Y:\\STD_MGT\\STDDEL\\PRODUCTION\\Standards\\00250\\269\\41_e_dr\\8_010.tif"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"Y:\\STD_MGT\\STDDEL\\PRODUCTION\\Standards\\00250\\269\\41_e_dr\\8_010.tif"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"Y:\\STD_MGT\\STDDEL\\PRODUCTION\\Standards\\00250\\269\\41_e_dr\\8_010.tif"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"Y:\\STD_MGT\\STDDEL\\PRODUCTION\\Standards\\00250\\269\\41_e_dr\\8_010.tif"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"C:\\Users\\a.dionysiou\\AppData\\Local\\Temp\\Temp1_00250269_e_20210902.zip.zip\\41_e_dr\\8_010.tif"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46479C16">
          <v:shape id="_x0000_i1160" type="#_x0000_t75" style="width:336.75pt;height:138.75pt">
            <v:imagedata r:id="rId290" r:href="rId291"/>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5670E44D" w14:textId="77777777" w:rsidR="004E22C1" w:rsidRPr="001455DC" w:rsidRDefault="004E22C1" w:rsidP="00A84CE8">
      <w:pPr>
        <w:pStyle w:val="Figuretitle"/>
        <w:rPr>
          <w:lang w:eastAsia="de-CH"/>
        </w:rPr>
      </w:pPr>
      <w:r w:rsidRPr="001455DC">
        <w:t xml:space="preserve">Figure 8.10 — Definition of </w:t>
      </w:r>
      <w:r w:rsidRPr="001455DC">
        <w:rPr>
          <w:rStyle w:val="CCMCvariableitalic"/>
        </w:rPr>
        <w:t>b</w:t>
      </w:r>
      <w:r w:rsidRPr="001455DC">
        <w:rPr>
          <w:rStyle w:val="CCMCvariablesubscript"/>
        </w:rPr>
        <w:t>w</w:t>
      </w:r>
      <w:r w:rsidRPr="001455DC">
        <w:t xml:space="preserve"> for sections with variable width</w:t>
      </w:r>
    </w:p>
    <w:p w14:paraId="5750C3AC" w14:textId="509051CC" w:rsidR="00A90172" w:rsidRPr="001455DC" w:rsidRDefault="004E22C1" w:rsidP="008D37B2">
      <w:pPr>
        <w:pStyle w:val="a7"/>
        <w:keepNext/>
      </w:pPr>
      <w:r w:rsidRPr="001455DC">
        <w:t>(10)</w:t>
      </w:r>
      <w:r w:rsidRPr="001455DC">
        <w:tab/>
        <w:t xml:space="preserve">Where the web contains ducts with a diameter </w:t>
      </w:r>
      <w:r w:rsidRPr="001455DC">
        <w:rPr>
          <w:rStyle w:val="CCMCvariableitalic"/>
        </w:rPr>
        <w:t>ϕ</w:t>
      </w:r>
      <w:r w:rsidRPr="001455DC">
        <w:rPr>
          <w:rStyle w:val="CCMCvariablesubscript"/>
        </w:rPr>
        <w:t>duct</w:t>
      </w:r>
      <w:r w:rsidRPr="001455DC">
        <w:t> </w:t>
      </w:r>
      <w:r w:rsidR="00650035" w:rsidRPr="001455DC">
        <w:rPr>
          <w:rFonts w:ascii="Cambria Math" w:hAnsi="Cambria Math"/>
        </w:rPr>
        <w:t>&gt;</w:t>
      </w:r>
      <w:r w:rsidR="00073FC6" w:rsidRPr="001455DC">
        <w:t> </w:t>
      </w:r>
      <w:r w:rsidRPr="001455DC">
        <w:rPr>
          <w:rFonts w:ascii="Cambria Math" w:hAnsi="Cambria Math" w:cs="Cambria Math"/>
        </w:rPr>
        <w:t>Σ</w:t>
      </w:r>
      <w:r w:rsidRPr="001455DC">
        <w:rPr>
          <w:rStyle w:val="CCMCvariableitalic"/>
        </w:rPr>
        <w:t>b</w:t>
      </w:r>
      <w:r w:rsidRPr="001455DC">
        <w:rPr>
          <w:rStyle w:val="CCMCvariablesubscript"/>
        </w:rPr>
        <w:t>w</w:t>
      </w:r>
      <w:r w:rsidRPr="001455DC">
        <w:t>/8, the stress in the compression field according to Formula (8.</w:t>
      </w:r>
      <w:r w:rsidR="00A10B21" w:rsidRPr="001455DC">
        <w:t>29</w:t>
      </w:r>
      <w:r w:rsidRPr="001455DC">
        <w:t xml:space="preserve">) and the shear resistance </w:t>
      </w:r>
      <w:r w:rsidRPr="001455DC">
        <w:rPr>
          <w:rStyle w:val="CCMCvariableitalic"/>
        </w:rPr>
        <w:t>V</w:t>
      </w:r>
      <w:r w:rsidRPr="001455DC">
        <w:rPr>
          <w:rStyle w:val="CCMCvariablesubscript"/>
        </w:rPr>
        <w:t>Rd</w:t>
      </w:r>
      <w:r w:rsidRPr="001455DC">
        <w:t xml:space="preserve"> according to Formulae (8.</w:t>
      </w:r>
      <w:r w:rsidR="00A10B21" w:rsidRPr="001455DC">
        <w:t>30</w:t>
      </w:r>
      <w:r w:rsidRPr="001455DC">
        <w:t>) to (8.</w:t>
      </w:r>
      <w:r w:rsidR="00A10B21" w:rsidRPr="001455DC">
        <w:t>31</w:t>
      </w:r>
      <w:r w:rsidRPr="001455DC">
        <w:t>) shall be calculated on the basis of a nominal web width given by:</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A90172" w:rsidRPr="001455DC" w14:paraId="48C6398C" w14:textId="77777777" w:rsidTr="004F7465">
        <w:trPr>
          <w:cantSplit/>
        </w:trPr>
        <w:tc>
          <w:tcPr>
            <w:tcW w:w="8505" w:type="dxa"/>
            <w:vAlign w:val="center"/>
          </w:tcPr>
          <w:p w14:paraId="506F7E84" w14:textId="006FF6FD" w:rsidR="00A90172" w:rsidRPr="001455DC" w:rsidRDefault="00231E33" w:rsidP="004F7465">
            <w:pPr>
              <w:pStyle w:val="Formula"/>
              <w:jc w:val="left"/>
            </w:pPr>
            <m:oMathPara>
              <m:oMathParaPr>
                <m:jc m:val="left"/>
              </m:oMathParaPr>
              <m:oMath>
                <m:sSub>
                  <m:sSubPr>
                    <m:ctrlPr>
                      <w:rPr>
                        <w:rFonts w:ascii="Cambria Math" w:hAnsi="Cambria Math"/>
                      </w:rPr>
                    </m:ctrlPr>
                  </m:sSubPr>
                  <m:e>
                    <m:r>
                      <w:rPr>
                        <w:rFonts w:ascii="Cambria Math" w:hAnsi="Cambria Math"/>
                      </w:rPr>
                      <m:t>b</m:t>
                    </m:r>
                  </m:e>
                  <m:sub>
                    <m:r>
                      <m:rPr>
                        <m:sty m:val="p"/>
                      </m:rPr>
                      <w:rPr>
                        <w:rFonts w:ascii="Cambria Math" w:hAnsi="Cambria Math"/>
                      </w:rPr>
                      <m:t>w,nom</m:t>
                    </m:r>
                  </m:sub>
                </m:sSub>
                <m: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w</m:t>
                    </m:r>
                  </m:sub>
                </m:sSub>
                <m: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duct</m:t>
                    </m:r>
                  </m:sub>
                </m:sSub>
                <m:sSub>
                  <m:sSubPr>
                    <m:ctrlPr>
                      <w:rPr>
                        <w:rFonts w:ascii="Cambria Math" w:hAnsi="Cambria Math"/>
                      </w:rPr>
                    </m:ctrlPr>
                  </m:sSubPr>
                  <m:e>
                    <m:r>
                      <w:rPr>
                        <w:rFonts w:ascii="Cambria Math" w:hAnsi="Cambria Math" w:hint="eastAsia"/>
                      </w:rPr>
                      <m:t>∑</m:t>
                    </m:r>
                    <m:r>
                      <w:rPr>
                        <w:rFonts w:ascii="Cambria Math" w:hAnsi="Cambria Math"/>
                      </w:rPr>
                      <m:t>ϕ</m:t>
                    </m:r>
                  </m:e>
                  <m:sub>
                    <m:r>
                      <m:rPr>
                        <m:sty m:val="p"/>
                      </m:rPr>
                      <w:rPr>
                        <w:rFonts w:ascii="Cambria Math" w:hAnsi="Cambria Math"/>
                      </w:rPr>
                      <m:t>duct</m:t>
                    </m:r>
                  </m:sub>
                </m:sSub>
              </m:oMath>
            </m:oMathPara>
          </w:p>
        </w:tc>
        <w:tc>
          <w:tcPr>
            <w:tcW w:w="1247" w:type="dxa"/>
            <w:vAlign w:val="center"/>
          </w:tcPr>
          <w:p w14:paraId="60557068" w14:textId="4B9EDDF8" w:rsidR="00A90172" w:rsidRPr="001455DC" w:rsidRDefault="00A90172">
            <w:pPr>
              <w:pStyle w:val="a7"/>
              <w:jc w:val="right"/>
            </w:pPr>
            <w:r w:rsidRPr="001455DC">
              <w:t>(8.</w:t>
            </w:r>
            <w:r w:rsidR="00A10B21" w:rsidRPr="001455DC">
              <w:t>39</w:t>
            </w:r>
            <w:r w:rsidRPr="001455DC">
              <w:t>)</w:t>
            </w:r>
          </w:p>
        </w:tc>
      </w:tr>
    </w:tbl>
    <w:p w14:paraId="03C46706" w14:textId="09DFA71C" w:rsidR="004E22C1" w:rsidRPr="001455DC" w:rsidRDefault="004E22C1" w:rsidP="008D37B2">
      <w:pPr>
        <w:pStyle w:val="a7"/>
        <w:keepNext/>
      </w:pPr>
      <w:r w:rsidRPr="001455DC">
        <w:t xml:space="preserve">where </w:t>
      </w:r>
      <w:r w:rsidRPr="001455DC">
        <w:rPr>
          <w:rStyle w:val="CCMCvariableitalic"/>
        </w:rPr>
        <w:t>ϕ</w:t>
      </w:r>
      <w:r w:rsidRPr="001455DC">
        <w:rPr>
          <w:rStyle w:val="CCMCvariablesubscript"/>
        </w:rPr>
        <w:t>duct</w:t>
      </w:r>
      <w:r w:rsidRPr="001455DC">
        <w:t xml:space="preserve"> is the outer diameter of the duct and </w:t>
      </w:r>
      <w:r w:rsidR="008D37B2" w:rsidRPr="001455DC">
        <w:t>Σ</w:t>
      </w:r>
      <w:r w:rsidRPr="001455DC">
        <w:rPr>
          <w:rStyle w:val="CCMCvariableitalic"/>
        </w:rPr>
        <w:t>ϕ</w:t>
      </w:r>
      <w:r w:rsidRPr="001455DC">
        <w:rPr>
          <w:rStyle w:val="CCMCvariablesubscript"/>
        </w:rPr>
        <w:t>duct</w:t>
      </w:r>
      <w:r w:rsidRPr="001455DC">
        <w:t xml:space="preserve"> is determined for the most unfavourable level. The value of coefficient </w:t>
      </w:r>
      <w:r w:rsidRPr="001455DC">
        <w:rPr>
          <w:rStyle w:val="CCMCvariableitalic"/>
        </w:rPr>
        <w:t>k</w:t>
      </w:r>
      <w:r w:rsidRPr="001455DC">
        <w:rPr>
          <w:rStyle w:val="CCMCvariablesubscript"/>
        </w:rPr>
        <w:t>duct</w:t>
      </w:r>
      <w:r w:rsidRPr="001455DC">
        <w:t xml:space="preserve"> should be evaluated depending on the material and filling of the duct as:</w:t>
      </w:r>
    </w:p>
    <w:p w14:paraId="20B0F586" w14:textId="1899A158" w:rsidR="004E22C1" w:rsidRPr="001455DC" w:rsidRDefault="004E22C1" w:rsidP="00A84CE8">
      <w:pPr>
        <w:pStyle w:val="a0"/>
        <w:tabs>
          <w:tab w:val="left" w:pos="357"/>
        </w:tabs>
        <w:ind w:left="1701" w:hanging="1701"/>
      </w:pPr>
      <w:r w:rsidRPr="001455DC">
        <w:rPr>
          <w:rStyle w:val="CCMCvariableitalic"/>
        </w:rPr>
        <w:t>k</w:t>
      </w:r>
      <w:r w:rsidRPr="001455DC">
        <w:rPr>
          <w:rStyle w:val="CCMCvariablesubscript"/>
        </w:rPr>
        <w:t>duct</w:t>
      </w:r>
      <w:r w:rsidRPr="001455DC">
        <w:t> </w:t>
      </w:r>
      <w:r w:rsidR="00EC27D2" w:rsidRPr="001455DC">
        <w:rPr>
          <w:rFonts w:ascii="Cambria Math" w:hAnsi="Cambria Math"/>
        </w:rPr>
        <w:t>=</w:t>
      </w:r>
      <w:r w:rsidRPr="001455DC">
        <w:t> 0,5</w:t>
      </w:r>
      <w:r w:rsidRPr="001455DC">
        <w:tab/>
        <w:t>for grouted steel ducts;</w:t>
      </w:r>
    </w:p>
    <w:p w14:paraId="3FC7CCD4" w14:textId="7F45B391" w:rsidR="004E22C1" w:rsidRPr="001455DC" w:rsidRDefault="004E22C1" w:rsidP="00A84CE8">
      <w:pPr>
        <w:pStyle w:val="a0"/>
        <w:tabs>
          <w:tab w:val="left" w:pos="357"/>
        </w:tabs>
        <w:ind w:left="1701" w:hanging="1701"/>
      </w:pPr>
      <w:r w:rsidRPr="001455DC">
        <w:rPr>
          <w:rStyle w:val="CCMCvariableitalic"/>
        </w:rPr>
        <w:t>k</w:t>
      </w:r>
      <w:r w:rsidRPr="001455DC">
        <w:rPr>
          <w:rStyle w:val="CCMCvariablesubscript"/>
        </w:rPr>
        <w:t>duct</w:t>
      </w:r>
      <w:r w:rsidRPr="001455DC">
        <w:t> </w:t>
      </w:r>
      <w:r w:rsidR="00EC27D2" w:rsidRPr="001455DC">
        <w:rPr>
          <w:rFonts w:ascii="Cambria Math" w:hAnsi="Cambria Math"/>
        </w:rPr>
        <w:t>=</w:t>
      </w:r>
      <w:r w:rsidRPr="001455DC">
        <w:t> 0,8</w:t>
      </w:r>
      <w:r w:rsidRPr="001455DC">
        <w:tab/>
        <w:t xml:space="preserve">for grouted plastic ducts with a wall thickness </w:t>
      </w:r>
      <w:r w:rsidR="00650035" w:rsidRPr="001455DC">
        <w:rPr>
          <w:rFonts w:ascii="Cambria Math" w:hAnsi="Cambria Math"/>
        </w:rPr>
        <w:t>≤</w:t>
      </w:r>
      <w:r w:rsidR="008D37B2" w:rsidRPr="001455DC">
        <w:t> </w:t>
      </w:r>
      <w:r w:rsidRPr="001455DC">
        <w:t>max(0,035</w:t>
      </w:r>
      <w:r w:rsidRPr="001455DC">
        <w:rPr>
          <w:rStyle w:val="CCMCvariableitalic"/>
        </w:rPr>
        <w:t>ϕ</w:t>
      </w:r>
      <w:r w:rsidRPr="001455DC">
        <w:rPr>
          <w:rStyle w:val="CCMCvariablesubscript"/>
        </w:rPr>
        <w:t>duct</w:t>
      </w:r>
      <w:r w:rsidRPr="001455DC">
        <w:t>; 2 mm);</w:t>
      </w:r>
    </w:p>
    <w:p w14:paraId="6F09AEDD" w14:textId="46965E59" w:rsidR="004E22C1" w:rsidRPr="001455DC" w:rsidRDefault="004E22C1" w:rsidP="00A84CE8">
      <w:pPr>
        <w:pStyle w:val="a0"/>
        <w:tabs>
          <w:tab w:val="left" w:pos="357"/>
        </w:tabs>
        <w:ind w:left="1701" w:hanging="1701"/>
      </w:pPr>
      <w:r w:rsidRPr="001455DC">
        <w:rPr>
          <w:rStyle w:val="CCMCvariableitalic"/>
        </w:rPr>
        <w:t>k</w:t>
      </w:r>
      <w:r w:rsidRPr="001455DC">
        <w:rPr>
          <w:rStyle w:val="CCMCvariablesubscript"/>
        </w:rPr>
        <w:t>duct</w:t>
      </w:r>
      <w:r w:rsidRPr="001455DC">
        <w:t> </w:t>
      </w:r>
      <w:r w:rsidR="00EC27D2" w:rsidRPr="001455DC">
        <w:rPr>
          <w:rFonts w:ascii="Cambria Math" w:hAnsi="Cambria Math"/>
        </w:rPr>
        <w:t>=</w:t>
      </w:r>
      <w:r w:rsidRPr="001455DC">
        <w:t> 1,2</w:t>
      </w:r>
      <w:r w:rsidRPr="001455DC">
        <w:tab/>
        <w:t>for non-grouted ducts, for grouted plastic ducts with a wall thickness</w:t>
      </w:r>
      <w:r w:rsidR="00A84CE8" w:rsidRPr="001455DC">
        <w:t xml:space="preserve"> </w:t>
      </w:r>
      <w:r w:rsidR="00650035" w:rsidRPr="001455DC">
        <w:rPr>
          <w:rFonts w:ascii="Cambria Math" w:hAnsi="Cambria Math"/>
        </w:rPr>
        <w:t>&gt;</w:t>
      </w:r>
      <w:r w:rsidR="00073FC6" w:rsidRPr="001455DC">
        <w:t> </w:t>
      </w:r>
      <w:r w:rsidRPr="001455DC">
        <w:t>max(0,035</w:t>
      </w:r>
      <w:r w:rsidRPr="001455DC">
        <w:rPr>
          <w:rStyle w:val="CCMCvariableitalic"/>
        </w:rPr>
        <w:t>ϕ</w:t>
      </w:r>
      <w:r w:rsidRPr="001455DC">
        <w:rPr>
          <w:rStyle w:val="CCMCvariablesubscript"/>
        </w:rPr>
        <w:t>duct</w:t>
      </w:r>
      <w:r w:rsidRPr="001455DC">
        <w:t>; 2 mm) or for ducts injected with soft filling material.</w:t>
      </w:r>
    </w:p>
    <w:p w14:paraId="618649EC" w14:textId="77777777" w:rsidR="004E22C1" w:rsidRPr="001455DC" w:rsidRDefault="004E22C1" w:rsidP="00A84CE8">
      <w:pPr>
        <w:pStyle w:val="a7"/>
      </w:pPr>
      <w:r w:rsidRPr="001455DC">
        <w:t>The effect of ducts does not need to be considered when checking shear resistance without shear reinforcement unless ducts are not grouted.</w:t>
      </w:r>
    </w:p>
    <w:p w14:paraId="77CEC377" w14:textId="62458FE1" w:rsidR="004E22C1" w:rsidRPr="001455DC" w:rsidRDefault="004E22C1" w:rsidP="00A84CE8">
      <w:pPr>
        <w:pStyle w:val="a7"/>
      </w:pPr>
      <w:r w:rsidRPr="001455DC">
        <w:t>(11)</w:t>
      </w:r>
      <w:r w:rsidRPr="001455DC">
        <w:tab/>
        <w:t xml:space="preserve">For members subjected to design axial compression forces </w:t>
      </w:r>
      <w:r w:rsidRPr="001455DC">
        <w:rPr>
          <w:rStyle w:val="CCMCvariableitalic"/>
        </w:rPr>
        <w:t>N</w:t>
      </w:r>
      <w:r w:rsidRPr="001455DC">
        <w:rPr>
          <w:rStyle w:val="CCMCvariablesubscript"/>
        </w:rPr>
        <w:t>Ed</w:t>
      </w:r>
      <w:r w:rsidRPr="001455DC">
        <w:t xml:space="preserve">, </w:t>
      </w:r>
      <w:r w:rsidRPr="001455DC">
        <w:rPr>
          <w:iCs/>
        </w:rPr>
        <w:t xml:space="preserve">a portion </w:t>
      </w:r>
      <w:r w:rsidRPr="001455DC">
        <w:t xml:space="preserve">of the axial force denoted as </w:t>
      </w:r>
      <w:r w:rsidRPr="001455DC">
        <w:rPr>
          <w:rStyle w:val="CCMCvariableitalic"/>
        </w:rPr>
        <w:t>N</w:t>
      </w:r>
      <w:r w:rsidRPr="001455DC">
        <w:rPr>
          <w:rStyle w:val="CCMCvariablesubscript"/>
        </w:rPr>
        <w:t>Edw</w:t>
      </w:r>
      <w:r w:rsidRPr="001455DC">
        <w:t xml:space="preserve"> can be resisted by the shear zone (web). If –</w:t>
      </w:r>
      <w:r w:rsidRPr="001455DC">
        <w:rPr>
          <w:rStyle w:val="CCMCvariableitalic"/>
        </w:rPr>
        <w:t>N</w:t>
      </w:r>
      <w:r w:rsidRPr="001455DC">
        <w:rPr>
          <w:rStyle w:val="CCMCvariablesubscript"/>
        </w:rPr>
        <w:t>Edw</w:t>
      </w:r>
      <w:r w:rsidRPr="001455DC">
        <w:rPr>
          <w:iCs/>
        </w:rPr>
        <w:t> </w:t>
      </w:r>
      <w:r w:rsidR="00650035" w:rsidRPr="001455DC">
        <w:rPr>
          <w:rFonts w:ascii="Cambria Math" w:hAnsi="Cambria Math"/>
          <w:iCs/>
        </w:rPr>
        <w:t>≤</w:t>
      </w:r>
      <w:r w:rsidRPr="001455DC">
        <w:rPr>
          <w:iCs/>
        </w:rPr>
        <w:t> </w:t>
      </w:r>
      <w:r w:rsidRPr="001455DC">
        <w:t>|</w:t>
      </w:r>
      <w:r w:rsidRPr="001455DC">
        <w:rPr>
          <w:rStyle w:val="CCMCvariableitalic"/>
        </w:rPr>
        <w:t>V</w:t>
      </w:r>
      <w:r w:rsidRPr="001455DC">
        <w:rPr>
          <w:rStyle w:val="CCMCvariablesubscript"/>
        </w:rPr>
        <w:t>Ed</w:t>
      </w:r>
      <w:r w:rsidRPr="001455DC">
        <w:rPr>
          <w:iCs/>
        </w:rPr>
        <w:t> </w:t>
      </w:r>
      <w:r w:rsidR="00C74721" w:rsidRPr="001455DC">
        <w:rPr>
          <w:rFonts w:ascii="Cambria Math" w:hAnsi="Cambria Math"/>
          <w:iCs/>
        </w:rPr>
        <w:t>⋅</w:t>
      </w:r>
      <w:r w:rsidRPr="001455DC">
        <w:rPr>
          <w:iCs/>
        </w:rPr>
        <w:t> cot</w:t>
      </w:r>
      <w:r w:rsidRPr="001455DC">
        <w:rPr>
          <w:rStyle w:val="CCMCvariableitalic"/>
        </w:rPr>
        <w:t>θ</w:t>
      </w:r>
      <w:r w:rsidRPr="001455DC">
        <w:t xml:space="preserve"> |, and </w:t>
      </w:r>
      <w:r w:rsidRPr="001455DC">
        <w:rPr>
          <w:iCs/>
        </w:rPr>
        <w:t>cot</w:t>
      </w:r>
      <w:r w:rsidRPr="001455DC">
        <w:rPr>
          <w:rStyle w:val="CCMCvariableitalic"/>
        </w:rPr>
        <w:t>θ</w:t>
      </w:r>
      <w:r w:rsidRPr="001455DC">
        <w:rPr>
          <w:iCs/>
        </w:rPr>
        <w:t xml:space="preserve"> </w:t>
      </w:r>
      <w:r w:rsidRPr="001455DC">
        <w:t>fulfils the recommended values in (3), the shear zone should be calculated as specified in (4) to (6) while Formula (8.</w:t>
      </w:r>
      <w:r w:rsidR="00A10B21" w:rsidRPr="001455DC">
        <w:t>36</w:t>
      </w:r>
      <w:r w:rsidRPr="001455DC">
        <w:t>) be used for calculating the chord forces according to Formulae (8.</w:t>
      </w:r>
      <w:r w:rsidR="00A10B21" w:rsidRPr="001455DC">
        <w:t>37</w:t>
      </w:r>
      <w:r w:rsidRPr="001455DC">
        <w:t>) to (8.</w:t>
      </w:r>
      <w:r w:rsidR="00A10B21" w:rsidRPr="001455DC">
        <w:t>38</w:t>
      </w:r>
      <w:r w:rsidRPr="001455DC">
        <w:t xml:space="preserve">) should be replaced by </w:t>
      </w:r>
      <w:r w:rsidRPr="001455DC">
        <w:rPr>
          <w:rStyle w:val="CCMCvariableitalic"/>
        </w:rPr>
        <w:t>N</w:t>
      </w:r>
      <w:r w:rsidRPr="001455DC">
        <w:rPr>
          <w:rStyle w:val="CCMCvariablesubscript"/>
        </w:rPr>
        <w:t>vd</w:t>
      </w:r>
      <w:r w:rsidRPr="001455DC">
        <w:t> </w:t>
      </w:r>
      <w:r w:rsidR="00EC27D2" w:rsidRPr="001455DC">
        <w:rPr>
          <w:rFonts w:ascii="Cambria Math" w:hAnsi="Cambria Math"/>
        </w:rPr>
        <w:t>=</w:t>
      </w:r>
      <w:r w:rsidRPr="001455DC">
        <w:t> </w:t>
      </w:r>
      <w:r w:rsidRPr="001455DC">
        <w:rPr>
          <w:rStyle w:val="CCMCvariableitalic"/>
        </w:rPr>
        <w:t>V</w:t>
      </w:r>
      <w:r w:rsidRPr="001455DC">
        <w:rPr>
          <w:rStyle w:val="CCMCvariablesubscript"/>
        </w:rPr>
        <w:t>Ed</w:t>
      </w:r>
      <w:r w:rsidRPr="001455DC">
        <w:rPr>
          <w:iCs/>
        </w:rPr>
        <w:t xml:space="preserve"> cot</w:t>
      </w:r>
      <w:r w:rsidRPr="001455DC">
        <w:rPr>
          <w:rStyle w:val="CCMCvariableitalic"/>
        </w:rPr>
        <w:t>θ</w:t>
      </w:r>
      <w:r w:rsidR="00EC27D2" w:rsidRPr="001455DC">
        <w:rPr>
          <w:rFonts w:ascii="Cambria Math" w:hAnsi="Cambria Math"/>
        </w:rPr>
        <w:t> + </w:t>
      </w:r>
      <w:r w:rsidRPr="001455DC">
        <w:rPr>
          <w:rStyle w:val="CCMCvariableitalic"/>
        </w:rPr>
        <w:t>N</w:t>
      </w:r>
      <w:r w:rsidRPr="001455DC">
        <w:rPr>
          <w:rStyle w:val="CCMCvariablesubscript"/>
        </w:rPr>
        <w:t>Edw</w:t>
      </w:r>
      <w:r w:rsidRPr="001455DC">
        <w:t>. Otherwise, the design method specified in Annex G should be used for the shear zone.</w:t>
      </w:r>
    </w:p>
    <w:p w14:paraId="522D992D" w14:textId="2BFEBE0B" w:rsidR="004E22C1" w:rsidRPr="001455DC" w:rsidRDefault="004E22C1" w:rsidP="00A84CE8">
      <w:pPr>
        <w:pStyle w:val="a7"/>
      </w:pPr>
      <w:r w:rsidRPr="001455DC">
        <w:t xml:space="preserve">For members subjected to high design axial forces, </w:t>
      </w:r>
      <w:r w:rsidRPr="001455DC">
        <w:rPr>
          <w:rStyle w:val="CCMCvariableitalic"/>
        </w:rPr>
        <w:t>N</w:t>
      </w:r>
      <w:r w:rsidRPr="001455DC">
        <w:rPr>
          <w:rStyle w:val="CCMCvariablesubscript"/>
        </w:rPr>
        <w:t>Edw</w:t>
      </w:r>
      <w:r w:rsidRPr="001455DC">
        <w:t xml:space="preserve"> should be chosen so that the depth of the compression chords (i.e. </w:t>
      </w:r>
      <w:r w:rsidRPr="001455DC">
        <w:rPr>
          <w:rStyle w:val="CCMCvariableitalic"/>
        </w:rPr>
        <w:t>x</w:t>
      </w:r>
      <w:r w:rsidRPr="001455DC">
        <w:rPr>
          <w:rStyle w:val="CCMCvariablesubscript"/>
        </w:rPr>
        <w:t>sb</w:t>
      </w:r>
      <w:r w:rsidRPr="001455DC">
        <w:t xml:space="preserve">) carrying </w:t>
      </w:r>
      <w:r w:rsidRPr="001455DC">
        <w:rPr>
          <w:rStyle w:val="CCMCvariableitalic"/>
        </w:rPr>
        <w:t>N</w:t>
      </w:r>
      <w:r w:rsidRPr="001455DC">
        <w:rPr>
          <w:rStyle w:val="CCMCvariablesubscript"/>
        </w:rPr>
        <w:t>Ed</w:t>
      </w:r>
      <w:r w:rsidR="00EC27D2" w:rsidRPr="001455DC">
        <w:rPr>
          <w:rFonts w:ascii="Cambria Math" w:hAnsi="Cambria Math"/>
        </w:rPr>
        <w:t> + </w:t>
      </w:r>
      <w:r w:rsidRPr="001455DC">
        <w:rPr>
          <w:rStyle w:val="CCMCvariableitalic"/>
        </w:rPr>
        <w:t>N</w:t>
      </w:r>
      <w:r w:rsidRPr="001455DC">
        <w:rPr>
          <w:rStyle w:val="CCMCvariablesubscript"/>
        </w:rPr>
        <w:t>Vd</w:t>
      </w:r>
      <w:r w:rsidRPr="001455DC">
        <w:t xml:space="preserve"> and </w:t>
      </w:r>
      <w:r w:rsidRPr="001455DC">
        <w:rPr>
          <w:rStyle w:val="CCMCvariableitalic"/>
        </w:rPr>
        <w:t>M</w:t>
      </w:r>
      <w:r w:rsidRPr="001455DC">
        <w:rPr>
          <w:rStyle w:val="CCMCvariablesubscript"/>
        </w:rPr>
        <w:t>Ed</w:t>
      </w:r>
      <w:r w:rsidRPr="001455DC">
        <w:t xml:space="preserve"> is not higher than 0,25</w:t>
      </w:r>
      <w:r w:rsidRPr="001455DC">
        <w:rPr>
          <w:rStyle w:val="CCMCvariableitalic"/>
        </w:rPr>
        <w:t>d</w:t>
      </w:r>
      <w:r w:rsidRPr="001455DC">
        <w:t>.</w:t>
      </w:r>
    </w:p>
    <w:p w14:paraId="3D00F1A5" w14:textId="658C1575" w:rsidR="00A90172" w:rsidRPr="001455DC" w:rsidRDefault="004E22C1" w:rsidP="008D37B2">
      <w:pPr>
        <w:pStyle w:val="a7"/>
        <w:keepNext/>
      </w:pPr>
      <w:r w:rsidRPr="001455DC">
        <w:t>(12)</w:t>
      </w:r>
      <w:r w:rsidRPr="001455DC">
        <w:tab/>
        <w:t xml:space="preserve">In cases where concentrated loads are applied at a distance </w:t>
      </w:r>
      <w:r w:rsidRPr="001455DC">
        <w:rPr>
          <w:rStyle w:val="CCMCvariableitalic"/>
        </w:rPr>
        <w:t>a</w:t>
      </w:r>
      <w:r w:rsidRPr="001455DC">
        <w:rPr>
          <w:rStyle w:val="CCMCvariablesubscript"/>
        </w:rPr>
        <w:t>v</w:t>
      </w:r>
      <w:r w:rsidRPr="001455DC">
        <w:t> </w:t>
      </w:r>
      <w:r w:rsidR="00EC27D2" w:rsidRPr="001455DC">
        <w:rPr>
          <w:rFonts w:ascii="Cambria Math" w:hAnsi="Cambria Math"/>
        </w:rPr>
        <w:t>=</w:t>
      </w:r>
      <w:r w:rsidRPr="001455DC">
        <w:t> </w:t>
      </w:r>
      <w:r w:rsidRPr="001455DC">
        <w:rPr>
          <w:rStyle w:val="CCMCvariableitalic"/>
        </w:rPr>
        <w:t>z</w:t>
      </w:r>
      <w:r w:rsidRPr="001455DC">
        <w:t> ∙ cot</w:t>
      </w:r>
      <w:r w:rsidRPr="001455DC">
        <w:rPr>
          <w:rStyle w:val="CCMCvariableitalic"/>
        </w:rPr>
        <w:t>β</w:t>
      </w:r>
      <w:r w:rsidRPr="001455DC">
        <w:t xml:space="preserve"> less than </w:t>
      </w:r>
      <w:r w:rsidRPr="001455DC">
        <w:rPr>
          <w:rStyle w:val="CCMCvariableitalic"/>
        </w:rPr>
        <w:t>z</w:t>
      </w:r>
      <w:r w:rsidRPr="001455DC">
        <w:t> ∙ cot</w:t>
      </w:r>
      <w:r w:rsidRPr="001455DC">
        <w:rPr>
          <w:rStyle w:val="CCMCvariableitalic"/>
        </w:rPr>
        <w:t>θ</w:t>
      </w:r>
      <w:r w:rsidRPr="001455DC">
        <w:t xml:space="preserve"> from a support (Figure 8.11), the shear resistance stress may be enhanced according to:</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A90172" w:rsidRPr="001455DC" w14:paraId="63970EF5" w14:textId="77777777" w:rsidTr="004F7465">
        <w:trPr>
          <w:cantSplit/>
        </w:trPr>
        <w:tc>
          <w:tcPr>
            <w:tcW w:w="8505" w:type="dxa"/>
            <w:vAlign w:val="center"/>
          </w:tcPr>
          <w:p w14:paraId="68432C64" w14:textId="1D923C17" w:rsidR="00A90172" w:rsidRPr="001455DC" w:rsidRDefault="00231E33">
            <w:pPr>
              <w:pStyle w:val="Formula"/>
              <w:jc w:val="left"/>
            </w:pPr>
            <m:oMathPara>
              <m:oMathParaPr>
                <m:jc m:val="left"/>
              </m:oMathParaPr>
              <m:oMath>
                <m:sSub>
                  <m:sSubPr>
                    <m:ctrlPr>
                      <w:rPr>
                        <w:rFonts w:ascii="Cambria Math" w:hAnsi="Cambria Math"/>
                        <w:lang w:eastAsia="de-CH"/>
                      </w:rPr>
                    </m:ctrlPr>
                  </m:sSubPr>
                  <m:e>
                    <m:r>
                      <w:rPr>
                        <w:rFonts w:ascii="Cambria Math" w:hAnsi="Cambria Math"/>
                      </w:rPr>
                      <m:t>τ</m:t>
                    </m:r>
                  </m:e>
                  <m:sub>
                    <m:r>
                      <m:rPr>
                        <m:sty m:val="p"/>
                      </m:rPr>
                      <w:rPr>
                        <w:rFonts w:ascii="Cambria Math" w:hAnsi="Cambria Math"/>
                      </w:rPr>
                      <m:t>Rd</m:t>
                    </m:r>
                  </m:sub>
                </m:sSub>
                <m:r>
                  <w:rPr>
                    <w:rFonts w:ascii="Cambria Math" w:hAnsi="Cambria Math"/>
                  </w:rPr>
                  <m:t>=ν⋅</m:t>
                </m:r>
                <m:sSub>
                  <m:sSubPr>
                    <m:ctrlPr>
                      <w:rPr>
                        <w:rFonts w:ascii="Cambria Math" w:hAnsi="Cambria Math"/>
                      </w:rPr>
                    </m:ctrlPr>
                  </m:sSubPr>
                  <m:e>
                    <m:r>
                      <w:rPr>
                        <w:rFonts w:ascii="Cambria Math" w:hAnsi="Cambria Math"/>
                      </w:rPr>
                      <m:t>f</m:t>
                    </m:r>
                  </m:e>
                  <m:sub>
                    <m:r>
                      <m:rPr>
                        <m:sty m:val="p"/>
                      </m:rPr>
                      <w:rPr>
                        <w:rFonts w:ascii="Cambria Math" w:hAnsi="Cambria Math"/>
                      </w:rPr>
                      <m:t>cd</m:t>
                    </m:r>
                  </m:sub>
                </m:sSub>
                <m:f>
                  <m:fPr>
                    <m:ctrlPr>
                      <w:rPr>
                        <w:rFonts w:ascii="Cambria Math" w:hAnsi="Cambria Math"/>
                      </w:rPr>
                    </m:ctrlPr>
                  </m:fPr>
                  <m:num>
                    <m:r>
                      <m:rPr>
                        <m:sty m:val="p"/>
                      </m:rPr>
                      <w:rPr>
                        <w:rFonts w:ascii="Cambria Math" w:hAnsi="Cambria Math"/>
                      </w:rPr>
                      <m:t>cot</m:t>
                    </m:r>
                    <m:r>
                      <w:rPr>
                        <w:rFonts w:ascii="Cambria Math" w:hAnsi="Cambria Math"/>
                      </w:rPr>
                      <m:t>θ-</m:t>
                    </m:r>
                    <m:r>
                      <m:rPr>
                        <m:sty m:val="p"/>
                      </m:rPr>
                      <w:rPr>
                        <w:rFonts w:ascii="Cambria Math" w:hAnsi="Cambria Math"/>
                      </w:rPr>
                      <m:t>cot</m:t>
                    </m:r>
                    <m:r>
                      <w:rPr>
                        <w:rFonts w:ascii="Cambria Math" w:hAnsi="Cambria Math"/>
                      </w:rPr>
                      <m:t>β</m:t>
                    </m:r>
                  </m:num>
                  <m:den>
                    <m:r>
                      <w:rPr>
                        <w:rFonts w:ascii="Cambria Math" w:hAnsi="Cambria Math"/>
                      </w:rPr>
                      <m:t>1+</m:t>
                    </m:r>
                    <m:sSup>
                      <m:sSupPr>
                        <m:ctrlPr>
                          <w:rPr>
                            <w:rFonts w:ascii="Cambria Math" w:hAnsi="Cambria Math"/>
                          </w:rPr>
                        </m:ctrlPr>
                      </m:sSupPr>
                      <m:e>
                        <m:r>
                          <m:rPr>
                            <m:sty m:val="p"/>
                          </m:rPr>
                          <w:rPr>
                            <w:rFonts w:ascii="Cambria Math" w:hAnsi="Cambria Math"/>
                          </w:rPr>
                          <m:t>cot</m:t>
                        </m:r>
                      </m:e>
                      <m:sup>
                        <m:r>
                          <w:rPr>
                            <w:rFonts w:ascii="Cambria Math" w:hAnsi="Cambria Math"/>
                          </w:rPr>
                          <m:t>2</m:t>
                        </m:r>
                      </m:sup>
                    </m:sSup>
                    <m:r>
                      <w:rPr>
                        <w:rFonts w:ascii="Cambria Math" w:hAnsi="Cambria Math"/>
                      </w:rPr>
                      <m:t>θ</m:t>
                    </m:r>
                  </m:den>
                </m:f>
                <m:r>
                  <w:rPr>
                    <w:rFonts w:ascii="Cambria Math" w:hAnsi="Cambria Math"/>
                  </w:rPr>
                  <m:t>+</m:t>
                </m:r>
                <m:sSub>
                  <m:sSubPr>
                    <m:ctrlPr>
                      <w:rPr>
                        <w:rFonts w:ascii="Cambria Math" w:hAnsi="Cambria Math"/>
                      </w:rPr>
                    </m:ctrlPr>
                  </m:sSubPr>
                  <m:e>
                    <m:r>
                      <w:rPr>
                        <w:rFonts w:ascii="Cambria Math" w:hAnsi="Cambria Math"/>
                      </w:rPr>
                      <m:t>ρ</m:t>
                    </m:r>
                  </m:e>
                  <m:sub>
                    <m:r>
                      <m:rPr>
                        <m:sty m:val="p"/>
                      </m:rPr>
                      <w:rPr>
                        <w:rFonts w:ascii="Cambria Math" w:hAnsi="Cambria Math"/>
                      </w:rPr>
                      <m:t>w</m:t>
                    </m:r>
                  </m:sub>
                </m:sSub>
                <m:r>
                  <w:rPr>
                    <w:rFonts w:ascii="Cambria Math" w:hAnsi="Cambria Math"/>
                  </w:rPr>
                  <m:t>⋅</m:t>
                </m:r>
                <m:r>
                  <m:rPr>
                    <m:sty m:val="p"/>
                  </m:rPr>
                  <w:rPr>
                    <w:rFonts w:ascii="Cambria Math" w:hAnsi="Cambria Math"/>
                  </w:rPr>
                  <m:t>cot</m:t>
                </m:r>
                <m:r>
                  <w:rPr>
                    <w:rFonts w:ascii="Cambria Math" w:hAnsi="Cambria Math"/>
                  </w:rPr>
                  <m:t>β⋅</m:t>
                </m:r>
                <m:sSub>
                  <m:sSubPr>
                    <m:ctrlPr>
                      <w:rPr>
                        <w:rFonts w:ascii="Cambria Math" w:hAnsi="Cambria Math"/>
                      </w:rPr>
                    </m:ctrlPr>
                  </m:sSubPr>
                  <m:e>
                    <m:r>
                      <w:rPr>
                        <w:rFonts w:ascii="Cambria Math" w:hAnsi="Cambria Math"/>
                      </w:rPr>
                      <m:t>f</m:t>
                    </m:r>
                  </m:e>
                  <m:sub>
                    <m:r>
                      <m:rPr>
                        <m:sty m:val="p"/>
                      </m:rPr>
                      <w:rPr>
                        <w:rFonts w:ascii="Cambria Math" w:hAnsi="Cambria Math"/>
                      </w:rPr>
                      <m:t>ywd</m:t>
                    </m:r>
                  </m:sub>
                </m:sSub>
                <m:r>
                  <w:rPr>
                    <w:rFonts w:ascii="Cambria Math" w:hAnsi="Cambria Math"/>
                  </w:rPr>
                  <m:t>≤ν⋅</m:t>
                </m:r>
                <m:sSub>
                  <m:sSubPr>
                    <m:ctrlPr>
                      <w:rPr>
                        <w:rFonts w:ascii="Cambria Math" w:hAnsi="Cambria Math"/>
                      </w:rPr>
                    </m:ctrlPr>
                  </m:sSubPr>
                  <m:e>
                    <m:r>
                      <w:rPr>
                        <w:rFonts w:ascii="Cambria Math" w:hAnsi="Cambria Math"/>
                      </w:rPr>
                      <m:t>f</m:t>
                    </m:r>
                  </m:e>
                  <m:sub>
                    <m:r>
                      <m:rPr>
                        <m:sty m:val="p"/>
                      </m:rPr>
                      <w:rPr>
                        <w:rFonts w:ascii="Cambria Math" w:hAnsi="Cambria Math"/>
                      </w:rPr>
                      <m:t>cd</m:t>
                    </m:r>
                  </m:sub>
                </m:sSub>
                <m:f>
                  <m:fPr>
                    <m:ctrlPr>
                      <w:rPr>
                        <w:rFonts w:ascii="Cambria Math" w:hAnsi="Cambria Math"/>
                      </w:rPr>
                    </m:ctrlPr>
                  </m:fPr>
                  <m:num>
                    <m:r>
                      <m:rPr>
                        <m:sty m:val="p"/>
                      </m:rPr>
                      <w:rPr>
                        <w:rFonts w:ascii="Cambria Math" w:hAnsi="Cambria Math"/>
                      </w:rPr>
                      <m:t>cot</m:t>
                    </m:r>
                    <m:r>
                      <w:rPr>
                        <w:rFonts w:ascii="Cambria Math" w:hAnsi="Cambria Math"/>
                      </w:rPr>
                      <m:t>θ</m:t>
                    </m:r>
                  </m:num>
                  <m:den>
                    <m:r>
                      <w:rPr>
                        <w:rFonts w:ascii="Cambria Math" w:hAnsi="Cambria Math"/>
                      </w:rPr>
                      <m:t>1+</m:t>
                    </m:r>
                    <m:sSup>
                      <m:sSupPr>
                        <m:ctrlPr>
                          <w:rPr>
                            <w:rFonts w:ascii="Cambria Math" w:hAnsi="Cambria Math"/>
                          </w:rPr>
                        </m:ctrlPr>
                      </m:sSupPr>
                      <m:e>
                        <m:r>
                          <m:rPr>
                            <m:sty m:val="p"/>
                          </m:rPr>
                          <w:rPr>
                            <w:rFonts w:ascii="Cambria Math" w:hAnsi="Cambria Math"/>
                          </w:rPr>
                          <m:t>cot</m:t>
                        </m:r>
                      </m:e>
                      <m:sup>
                        <m:r>
                          <w:rPr>
                            <w:rFonts w:ascii="Cambria Math" w:hAnsi="Cambria Math"/>
                          </w:rPr>
                          <m:t>2</m:t>
                        </m:r>
                      </m:sup>
                    </m:sSup>
                    <m:r>
                      <w:rPr>
                        <w:rFonts w:ascii="Cambria Math" w:hAnsi="Cambria Math"/>
                      </w:rPr>
                      <m:t>θ</m:t>
                    </m:r>
                  </m:den>
                </m:f>
              </m:oMath>
            </m:oMathPara>
          </w:p>
        </w:tc>
        <w:tc>
          <w:tcPr>
            <w:tcW w:w="1247" w:type="dxa"/>
            <w:vAlign w:val="center"/>
          </w:tcPr>
          <w:p w14:paraId="740AF648" w14:textId="0E17F249" w:rsidR="00A90172" w:rsidRPr="001455DC" w:rsidRDefault="00A90172">
            <w:pPr>
              <w:pStyle w:val="a7"/>
              <w:jc w:val="right"/>
            </w:pPr>
            <w:r w:rsidRPr="001455DC">
              <w:rPr>
                <w:lang w:eastAsia="de-CH"/>
              </w:rPr>
              <w:t>(8.</w:t>
            </w:r>
            <w:r w:rsidR="00A10B21" w:rsidRPr="001455DC">
              <w:rPr>
                <w:lang w:eastAsia="de-CH"/>
              </w:rPr>
              <w:t>40</w:t>
            </w:r>
            <w:r w:rsidRPr="001455DC">
              <w:rPr>
                <w:lang w:eastAsia="de-CH"/>
              </w:rPr>
              <w:t>)</w:t>
            </w:r>
          </w:p>
        </w:tc>
      </w:tr>
    </w:tbl>
    <w:p w14:paraId="0B8385A0" w14:textId="54A1F895" w:rsidR="00A90172" w:rsidRPr="001455DC" w:rsidRDefault="004E22C1" w:rsidP="008D37B2">
      <w:pPr>
        <w:pStyle w:val="Note"/>
        <w:keepNext/>
        <w:spacing w:after="120"/>
      </w:pPr>
      <w:r w:rsidRPr="001455DC">
        <w:t>NOTE</w:t>
      </w:r>
      <w:r w:rsidR="00A46F70">
        <w:t xml:space="preserve"> 1</w:t>
      </w:r>
      <w:r w:rsidRPr="001455DC">
        <w:tab/>
      </w:r>
      <w:bookmarkStart w:id="566" w:name="_Hlk48300030"/>
      <w:r w:rsidRPr="001455DC">
        <w:t>The maximum shear resistance can be calculated by optimization varying cot</w:t>
      </w:r>
      <w:r w:rsidRPr="001455DC">
        <w:rPr>
          <w:rStyle w:val="CCMCvariableitalic"/>
        </w:rPr>
        <w:t>θ</w:t>
      </w:r>
      <w:r w:rsidRPr="001455DC">
        <w:t xml:space="preserve">. For the case of a constant value </w:t>
      </w:r>
      <w:r w:rsidRPr="001455DC">
        <w:rPr>
          <w:rStyle w:val="CCMCvariableitalic"/>
        </w:rPr>
        <w:t>ν</w:t>
      </w:r>
      <w:r w:rsidRPr="001455DC">
        <w:t xml:space="preserve"> according to (5), the optimum is obtained with</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9752"/>
      </w:tblGrid>
      <w:tr w:rsidR="00A90172" w:rsidRPr="001455DC" w14:paraId="1EAE25BC" w14:textId="77777777" w:rsidTr="004F7465">
        <w:trPr>
          <w:cantSplit/>
        </w:trPr>
        <w:tc>
          <w:tcPr>
            <w:tcW w:w="9752" w:type="dxa"/>
            <w:vAlign w:val="center"/>
          </w:tcPr>
          <w:p w14:paraId="4A118F2A" w14:textId="30D455A6" w:rsidR="00A90172" w:rsidRPr="001455DC" w:rsidRDefault="00A90172" w:rsidP="00A90172">
            <w:pPr>
              <w:pStyle w:val="Formula"/>
              <w:jc w:val="left"/>
            </w:pPr>
            <m:oMathPara>
              <m:oMathParaPr>
                <m:jc m:val="left"/>
              </m:oMathParaPr>
              <m:oMath>
                <m:r>
                  <m:rPr>
                    <m:sty m:val="p"/>
                  </m:rPr>
                  <w:rPr>
                    <w:rFonts w:ascii="Cambria Math" w:hAnsi="Cambria Math"/>
                    <w:sz w:val="20"/>
                  </w:rPr>
                  <m:t>cot</m:t>
                </m:r>
                <m:r>
                  <w:rPr>
                    <w:rFonts w:ascii="Cambria Math" w:hAnsi="Cambria Math"/>
                    <w:sz w:val="20"/>
                  </w:rPr>
                  <m:t>θ=</m:t>
                </m:r>
                <m:r>
                  <m:rPr>
                    <m:sty m:val="p"/>
                  </m:rPr>
                  <w:rPr>
                    <w:rFonts w:ascii="Cambria Math" w:hAnsi="Cambria Math"/>
                    <w:sz w:val="20"/>
                  </w:rPr>
                  <m:t>cot</m:t>
                </m:r>
                <m:r>
                  <w:rPr>
                    <w:rFonts w:ascii="Cambria Math" w:hAnsi="Cambria Math"/>
                    <w:sz w:val="20"/>
                  </w:rPr>
                  <m:t>β+</m:t>
                </m:r>
                <m:rad>
                  <m:radPr>
                    <m:degHide m:val="1"/>
                    <m:ctrlPr>
                      <w:rPr>
                        <w:rFonts w:ascii="Cambria Math" w:hAnsi="Cambria Math"/>
                        <w:sz w:val="20"/>
                      </w:rPr>
                    </m:ctrlPr>
                  </m:radPr>
                  <m:deg/>
                  <m:e>
                    <m:r>
                      <w:rPr>
                        <w:rFonts w:ascii="Cambria Math" w:hAnsi="Cambria Math"/>
                        <w:sz w:val="20"/>
                      </w:rPr>
                      <m:t>1+</m:t>
                    </m:r>
                    <m:sSup>
                      <m:sSupPr>
                        <m:ctrlPr>
                          <w:rPr>
                            <w:rFonts w:ascii="Cambria Math" w:hAnsi="Cambria Math"/>
                            <w:sz w:val="20"/>
                          </w:rPr>
                        </m:ctrlPr>
                      </m:sSupPr>
                      <m:e>
                        <m:r>
                          <m:rPr>
                            <m:sty m:val="p"/>
                          </m:rPr>
                          <w:rPr>
                            <w:rFonts w:ascii="Cambria Math" w:hAnsi="Cambria Math"/>
                            <w:sz w:val="20"/>
                          </w:rPr>
                          <m:t>cot</m:t>
                        </m:r>
                      </m:e>
                      <m:sup>
                        <m:r>
                          <w:rPr>
                            <w:rFonts w:ascii="Cambria Math" w:hAnsi="Cambria Math"/>
                            <w:sz w:val="20"/>
                          </w:rPr>
                          <m:t>2</m:t>
                        </m:r>
                      </m:sup>
                    </m:sSup>
                    <m:r>
                      <w:rPr>
                        <w:rFonts w:ascii="Cambria Math" w:hAnsi="Cambria Math"/>
                        <w:sz w:val="20"/>
                      </w:rPr>
                      <m:t>β</m:t>
                    </m:r>
                  </m:e>
                </m:rad>
                <m:r>
                  <w:rPr>
                    <w:rFonts w:ascii="Cambria Math" w:hAnsi="Cambria Math"/>
                    <w:sz w:val="20"/>
                  </w:rPr>
                  <m:t>≤</m:t>
                </m:r>
                <m:r>
                  <m:rPr>
                    <m:sty m:val="p"/>
                  </m:rPr>
                  <w:rPr>
                    <w:rFonts w:ascii="Cambria Math" w:hAnsi="Cambria Math"/>
                    <w:sz w:val="20"/>
                  </w:rPr>
                  <m:t>cot</m:t>
                </m:r>
                <m:sSub>
                  <m:sSubPr>
                    <m:ctrlPr>
                      <w:rPr>
                        <w:rFonts w:ascii="Cambria Math" w:hAnsi="Cambria Math"/>
                        <w:sz w:val="20"/>
                      </w:rPr>
                    </m:ctrlPr>
                  </m:sSubPr>
                  <m:e>
                    <m:r>
                      <w:rPr>
                        <w:rFonts w:ascii="Cambria Math" w:hAnsi="Cambria Math"/>
                        <w:sz w:val="20"/>
                      </w:rPr>
                      <m:t>θ</m:t>
                    </m:r>
                  </m:e>
                  <m:sub>
                    <m:r>
                      <m:rPr>
                        <m:sty m:val="p"/>
                      </m:rPr>
                      <w:rPr>
                        <w:rFonts w:ascii="Cambria Math" w:hAnsi="Cambria Math"/>
                        <w:sz w:val="20"/>
                      </w:rPr>
                      <m:t>min</m:t>
                    </m:r>
                  </m:sub>
                </m:sSub>
                <m:r>
                  <w:rPr>
                    <w:rFonts w:ascii="Cambria Math" w:hAnsi="Cambria Math"/>
                    <w:sz w:val="20"/>
                  </w:rPr>
                  <m:t>;</m:t>
                </m:r>
              </m:oMath>
            </m:oMathPara>
          </w:p>
        </w:tc>
      </w:tr>
    </w:tbl>
    <w:p w14:paraId="683CDC55" w14:textId="77777777" w:rsidR="00A90172" w:rsidRPr="001455DC" w:rsidRDefault="004E22C1" w:rsidP="008D37B2">
      <w:pPr>
        <w:pStyle w:val="Note"/>
        <w:keepNext/>
        <w:spacing w:after="120"/>
      </w:pPr>
      <w:r w:rsidRPr="001455DC">
        <w:t xml:space="preserve">for the case of a variable </w:t>
      </w:r>
      <w:r w:rsidRPr="001455DC">
        <w:rPr>
          <w:rStyle w:val="CCMCvariableitalic"/>
        </w:rPr>
        <w:t>ν</w:t>
      </w:r>
      <w:r w:rsidRPr="001455DC">
        <w:t xml:space="preserve"> according to (6), a reasonable approximation is obtained assuming</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9752"/>
      </w:tblGrid>
      <w:tr w:rsidR="00A90172" w:rsidRPr="001455DC" w14:paraId="7F0C7BA9" w14:textId="77777777" w:rsidTr="004F7465">
        <w:trPr>
          <w:cantSplit/>
        </w:trPr>
        <w:tc>
          <w:tcPr>
            <w:tcW w:w="9752" w:type="dxa"/>
            <w:vAlign w:val="center"/>
          </w:tcPr>
          <w:p w14:paraId="2BF2073D" w14:textId="47B68946" w:rsidR="00A90172" w:rsidRPr="001455DC" w:rsidRDefault="00A90172" w:rsidP="00A90172">
            <w:pPr>
              <w:pStyle w:val="Formula"/>
              <w:jc w:val="left"/>
              <w:rPr>
                <w:sz w:val="20"/>
              </w:rPr>
            </w:pPr>
            <w:r w:rsidRPr="001455DC">
              <w:rPr>
                <w:sz w:val="20"/>
              </w:rPr>
              <w:t>cot</w:t>
            </w:r>
            <w:r w:rsidRPr="001455DC">
              <w:rPr>
                <w:rStyle w:val="CCMCvariableitalic"/>
                <w:sz w:val="20"/>
              </w:rPr>
              <w:t>θ</w:t>
            </w:r>
            <w:r w:rsidRPr="001455DC">
              <w:rPr>
                <w:sz w:val="20"/>
              </w:rPr>
              <w:t> </w:t>
            </w:r>
            <w:r w:rsidR="00EC27D2" w:rsidRPr="001455DC">
              <w:rPr>
                <w:rFonts w:ascii="Cambria Math" w:hAnsi="Cambria Math"/>
                <w:sz w:val="20"/>
              </w:rPr>
              <w:t>=</w:t>
            </w:r>
            <w:r w:rsidRPr="001455DC">
              <w:rPr>
                <w:sz w:val="20"/>
              </w:rPr>
              <w:t> 1,3 </w:t>
            </w:r>
            <w:r w:rsidRPr="001455DC">
              <w:rPr>
                <w:rFonts w:ascii="Cambria Math" w:hAnsi="Cambria Math" w:cs="Cambria Math"/>
                <w:sz w:val="20"/>
              </w:rPr>
              <w:t>⋅</w:t>
            </w:r>
            <w:r w:rsidRPr="001455DC">
              <w:rPr>
                <w:sz w:val="20"/>
              </w:rPr>
              <w:t> </w:t>
            </w:r>
            <w:r w:rsidRPr="001455DC">
              <w:rPr>
                <w:rStyle w:val="CCMCvariableitalic"/>
                <w:sz w:val="20"/>
              </w:rPr>
              <w:t>a</w:t>
            </w:r>
            <w:r w:rsidRPr="001455DC">
              <w:rPr>
                <w:sz w:val="20"/>
              </w:rPr>
              <w:t>/</w:t>
            </w:r>
            <w:r w:rsidRPr="001455DC">
              <w:rPr>
                <w:rStyle w:val="CCMCvariableitalic"/>
                <w:sz w:val="20"/>
              </w:rPr>
              <w:t>z</w:t>
            </w:r>
            <w:r w:rsidR="000E7C58" w:rsidRPr="001455DC">
              <w:rPr>
                <w:rStyle w:val="CCMCvariableitalic"/>
                <w:sz w:val="20"/>
              </w:rPr>
              <w:t>,</w:t>
            </w:r>
          </w:p>
        </w:tc>
      </w:tr>
    </w:tbl>
    <w:bookmarkEnd w:id="566"/>
    <w:p w14:paraId="536BE904" w14:textId="09B6A55A" w:rsidR="000E7C58" w:rsidRPr="001455DC" w:rsidRDefault="000E7C58" w:rsidP="00A90172">
      <w:pPr>
        <w:pStyle w:val="a7"/>
      </w:pPr>
      <w:r w:rsidRPr="001455DC">
        <w:t>but should not be larger than cot</w:t>
      </w:r>
      <w:r w:rsidRPr="001455DC">
        <w:rPr>
          <w:rStyle w:val="CCMCvariableitalic"/>
        </w:rPr>
        <w:t xml:space="preserve">θ </w:t>
      </w:r>
      <w:r w:rsidRPr="001455DC">
        <w:rPr>
          <w:rStyle w:val="CCMCvariableitalic"/>
          <w:i w:val="0"/>
        </w:rPr>
        <w:t>acco</w:t>
      </w:r>
      <w:r w:rsidR="00BB3D18" w:rsidRPr="001455DC">
        <w:rPr>
          <w:rStyle w:val="CCMCvariableitalic"/>
          <w:i w:val="0"/>
        </w:rPr>
        <w:t>r</w:t>
      </w:r>
      <w:r w:rsidRPr="001455DC">
        <w:rPr>
          <w:rStyle w:val="CCMCvariableitalic"/>
          <w:i w:val="0"/>
        </w:rPr>
        <w:t>ding to Formula (8.31).</w:t>
      </w:r>
    </w:p>
    <w:p w14:paraId="2C665309" w14:textId="40BD2975" w:rsidR="00A90172" w:rsidRPr="001455DC" w:rsidRDefault="004E22C1" w:rsidP="00A90172">
      <w:pPr>
        <w:pStyle w:val="a7"/>
      </w:pPr>
      <w:r w:rsidRPr="001455DC">
        <w:t>Compression field inclinations with cot</w:t>
      </w:r>
      <w:r w:rsidRPr="001455DC">
        <w:rPr>
          <w:rStyle w:val="CCMCvariableitalic"/>
        </w:rPr>
        <w:t>θ</w:t>
      </w:r>
      <w:r w:rsidRPr="001455DC">
        <w:t> </w:t>
      </w:r>
      <w:r w:rsidR="00650035" w:rsidRPr="001455DC">
        <w:rPr>
          <w:rFonts w:ascii="Cambria Math" w:hAnsi="Cambria Math"/>
        </w:rPr>
        <w:t>&lt;</w:t>
      </w:r>
      <w:r w:rsidRPr="001455DC">
        <w:t xml:space="preserve"> 1 are allowed if the yield strength </w:t>
      </w:r>
      <w:r w:rsidRPr="001455DC">
        <w:rPr>
          <w:rStyle w:val="CCMCvariableitalic"/>
        </w:rPr>
        <w:t>f</w:t>
      </w:r>
      <w:r w:rsidRPr="001455DC">
        <w:rPr>
          <w:rStyle w:val="CCMCvariablesubscript"/>
        </w:rPr>
        <w:t>ywd</w:t>
      </w:r>
      <w:r w:rsidRPr="001455DC">
        <w:t xml:space="preserve"> in Formula</w:t>
      </w:r>
      <w:r w:rsidR="00BB3D18" w:rsidRPr="001455DC">
        <w:t>e</w:t>
      </w:r>
      <w:r w:rsidRPr="001455DC">
        <w:t> (8.</w:t>
      </w:r>
      <w:r w:rsidR="00BB3D18" w:rsidRPr="001455DC">
        <w:t>40</w:t>
      </w:r>
      <w:r w:rsidRPr="001455DC">
        <w:t>)</w:t>
      </w:r>
      <w:r w:rsidR="00BB3D18" w:rsidRPr="001455DC">
        <w:t xml:space="preserve"> and (8.42)</w:t>
      </w:r>
      <w:r w:rsidRPr="001455DC">
        <w:t xml:space="preserve"> is replaced by the stress </w:t>
      </w:r>
      <w:r w:rsidRPr="001455DC">
        <w:rPr>
          <w:rStyle w:val="CCMCvariableitalic"/>
        </w:rPr>
        <w:t>σ</w:t>
      </w:r>
      <w:r w:rsidRPr="001455DC">
        <w:rPr>
          <w:rStyle w:val="CCMCvariablesubscript"/>
        </w:rPr>
        <w:t>swd</w:t>
      </w:r>
      <w:r w:rsidRPr="001455DC">
        <w:t xml:space="preserve"> in the shear reinforcement according to:</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A90172" w:rsidRPr="001455DC" w14:paraId="4E6F3EE0" w14:textId="77777777" w:rsidTr="004F7465">
        <w:trPr>
          <w:cantSplit/>
        </w:trPr>
        <w:tc>
          <w:tcPr>
            <w:tcW w:w="8505" w:type="dxa"/>
            <w:vAlign w:val="center"/>
          </w:tcPr>
          <w:p w14:paraId="6C8C4B1F" w14:textId="2FFA517D" w:rsidR="00A90172" w:rsidRPr="001455DC" w:rsidRDefault="00231E33" w:rsidP="004F7465">
            <w:pPr>
              <w:pStyle w:val="Formula"/>
              <w:jc w:val="left"/>
            </w:pPr>
            <m:oMathPara>
              <m:oMathParaPr>
                <m:jc m:val="left"/>
              </m:oMathParaPr>
              <m:oMath>
                <m:sSub>
                  <m:sSubPr>
                    <m:ctrlPr>
                      <w:rPr>
                        <w:rFonts w:ascii="Cambria Math" w:hAnsi="Cambria Math"/>
                      </w:rPr>
                    </m:ctrlPr>
                  </m:sSubPr>
                  <m:e>
                    <m:r>
                      <w:rPr>
                        <w:rFonts w:ascii="Cambria Math" w:hAnsi="Cambria Math"/>
                      </w:rPr>
                      <m:t>σ</m:t>
                    </m:r>
                  </m:e>
                  <m:sub>
                    <m:r>
                      <m:rPr>
                        <m:sty m:val="p"/>
                      </m:rPr>
                      <w:rPr>
                        <w:rFonts w:ascii="Cambria Math" w:hAnsi="Cambria Math"/>
                      </w:rPr>
                      <m:t>swd</m:t>
                    </m:r>
                  </m:sub>
                </m:sSub>
                <m:r>
                  <w:rPr>
                    <w:rFonts w:ascii="Cambria Math" w:hAnsi="Cambria Math"/>
                  </w:rPr>
                  <m:t>=</m:t>
                </m:r>
                <m:sSub>
                  <m:sSubPr>
                    <m:ctrlPr>
                      <w:rPr>
                        <w:rFonts w:ascii="Cambria Math" w:hAnsi="Cambria Math"/>
                      </w:rPr>
                    </m:ctrlPr>
                  </m:sSubPr>
                  <m:e>
                    <m:r>
                      <w:rPr>
                        <w:rFonts w:ascii="Cambria Math" w:hAnsi="Cambria Math"/>
                      </w:rPr>
                      <m:t>E</m:t>
                    </m:r>
                  </m:e>
                  <m:sub>
                    <m:r>
                      <m:rPr>
                        <m:sty m:val="p"/>
                      </m:rPr>
                      <w:rPr>
                        <w:rFonts w:ascii="Cambria Math" w:hAnsi="Cambria Math"/>
                      </w:rPr>
                      <m:t>s</m:t>
                    </m:r>
                  </m:sub>
                </m:sSub>
                <m:d>
                  <m:dPr>
                    <m:begChr m:val="["/>
                    <m:sep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cot</m:t>
                        </m:r>
                      </m:e>
                      <m:sup>
                        <m:r>
                          <w:rPr>
                            <w:rFonts w:ascii="Cambria Math" w:hAnsi="Cambria Math"/>
                          </w:rPr>
                          <m:t>2</m:t>
                        </m:r>
                      </m:sup>
                    </m:sSup>
                  </m:e>
                  <m:e>
                    <m:r>
                      <w:rPr>
                        <w:rFonts w:ascii="Cambria Math" w:hAnsi="Cambria Math"/>
                      </w:rPr>
                      <m:t>θ</m:t>
                    </m:r>
                  </m:e>
                  <m:e>
                    <m:r>
                      <w:rPr>
                        <w:rFonts w:ascii="Cambria Math" w:hAnsi="Cambria Math"/>
                      </w:rPr>
                      <m:t>⋅</m:t>
                    </m:r>
                  </m:e>
                  <m:e>
                    <m:d>
                      <m:dPr>
                        <m:ctrlPr>
                          <w:rPr>
                            <w:rFonts w:ascii="Cambria Math" w:hAnsi="Cambria Math"/>
                          </w:rPr>
                        </m:ctrlPr>
                      </m:dPr>
                      <m:e>
                        <m:sSub>
                          <m:sSubPr>
                            <m:ctrlPr>
                              <w:rPr>
                                <w:rFonts w:ascii="Cambria Math" w:hAnsi="Cambria Math"/>
                              </w:rPr>
                            </m:ctrlPr>
                          </m:sSubPr>
                          <m:e>
                            <m:r>
                              <w:rPr>
                                <w:rFonts w:ascii="Cambria Math" w:hAnsi="Cambria Math"/>
                              </w:rPr>
                              <m:t>ε</m:t>
                            </m:r>
                          </m:e>
                          <m:sub>
                            <m:r>
                              <m:rPr>
                                <m:sty m:val="p"/>
                              </m:rPr>
                              <w:rPr>
                                <w:rFonts w:ascii="Cambria Math" w:hAnsi="Cambria Math"/>
                              </w:rPr>
                              <m:t>x</m:t>
                            </m:r>
                          </m:sub>
                        </m:sSub>
                        <m:r>
                          <w:rPr>
                            <w:rFonts w:ascii="Cambria Math" w:hAnsi="Cambria Math"/>
                          </w:rPr>
                          <m:t>+0,001</m:t>
                        </m:r>
                      </m:e>
                    </m:d>
                    <m:r>
                      <w:rPr>
                        <w:rFonts w:ascii="Cambria Math" w:hAnsi="Cambria Math"/>
                      </w:rPr>
                      <m:t>-0,001</m:t>
                    </m:r>
                  </m:e>
                </m:d>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ywd</m:t>
                    </m:r>
                  </m:sub>
                </m:sSub>
              </m:oMath>
            </m:oMathPara>
          </w:p>
        </w:tc>
        <w:tc>
          <w:tcPr>
            <w:tcW w:w="1247" w:type="dxa"/>
            <w:vAlign w:val="center"/>
          </w:tcPr>
          <w:p w14:paraId="5D2ACFB5" w14:textId="33EC3DFA" w:rsidR="00A90172" w:rsidRPr="001455DC" w:rsidRDefault="00A90172">
            <w:pPr>
              <w:pStyle w:val="a7"/>
              <w:jc w:val="right"/>
            </w:pPr>
            <w:r w:rsidRPr="001455DC">
              <w:t>(8.</w:t>
            </w:r>
            <w:r w:rsidR="00BB3D18" w:rsidRPr="001455DC">
              <w:t>41</w:t>
            </w:r>
            <w:r w:rsidRPr="001455DC">
              <w:t>)</w:t>
            </w:r>
          </w:p>
        </w:tc>
      </w:tr>
    </w:tbl>
    <w:p w14:paraId="0A201B3A" w14:textId="77777777" w:rsidR="004E22C1" w:rsidRPr="001455DC" w:rsidRDefault="004E22C1" w:rsidP="00A84CE8">
      <w:pPr>
        <w:pStyle w:val="a7"/>
      </w:pPr>
      <w:r w:rsidRPr="001455DC">
        <w:t xml:space="preserve">where the longitudinal strain </w:t>
      </w:r>
      <w:r w:rsidRPr="001455DC">
        <w:rPr>
          <w:rStyle w:val="CCMCvariableitalic"/>
        </w:rPr>
        <w:t>ε</w:t>
      </w:r>
      <w:r w:rsidRPr="001455DC">
        <w:rPr>
          <w:rStyle w:val="CCMCvariablesubscript"/>
        </w:rPr>
        <w:t>x</w:t>
      </w:r>
      <w:r w:rsidRPr="001455DC">
        <w:t xml:space="preserve"> may be calculated according to (6) for a cross section located midway between the support and the load.</w:t>
      </w:r>
    </w:p>
    <w:p w14:paraId="3EFD9A02" w14:textId="42CC36F9" w:rsidR="00A90172" w:rsidRPr="001455DC" w:rsidRDefault="004E22C1" w:rsidP="00A90172">
      <w:pPr>
        <w:pStyle w:val="a7"/>
      </w:pPr>
      <w:r w:rsidRPr="001455DC">
        <w:t xml:space="preserve">In addition to the axial tensile force, </w:t>
      </w:r>
      <w:r w:rsidRPr="001455DC">
        <w:rPr>
          <w:rStyle w:val="CCMCvariableitalic"/>
        </w:rPr>
        <w:t>N</w:t>
      </w:r>
      <w:r w:rsidRPr="001455DC">
        <w:rPr>
          <w:rStyle w:val="CCMCvariablesubscript"/>
        </w:rPr>
        <w:t>Vd</w:t>
      </w:r>
      <w:r w:rsidRPr="001455DC">
        <w:t xml:space="preserve">, due to shear </w:t>
      </w:r>
      <w:r w:rsidRPr="001455DC">
        <w:rPr>
          <w:rStyle w:val="CCMCvariableitalic"/>
        </w:rPr>
        <w:t>V</w:t>
      </w:r>
      <w:r w:rsidRPr="001455DC">
        <w:rPr>
          <w:rStyle w:val="CCMCvariablesubscript"/>
        </w:rPr>
        <w:t>Ed</w:t>
      </w:r>
      <w:r w:rsidRPr="001455DC">
        <w:t xml:space="preserve"> according to Formula (8.</w:t>
      </w:r>
      <w:r w:rsidR="00BB3D18" w:rsidRPr="001455DC">
        <w:t>36</w:t>
      </w:r>
      <w:r w:rsidRPr="001455DC">
        <w:t>), also following moment Δ</w:t>
      </w:r>
      <w:r w:rsidRPr="001455DC">
        <w:rPr>
          <w:rStyle w:val="CCMCvariableitalic"/>
        </w:rPr>
        <w:t>M</w:t>
      </w:r>
      <w:r w:rsidRPr="001455DC">
        <w:rPr>
          <w:rStyle w:val="CCMCvariablesubscript"/>
        </w:rPr>
        <w:t>Ed</w:t>
      </w:r>
      <w:r w:rsidRPr="001455DC">
        <w:t xml:space="preserve"> should be added to </w:t>
      </w:r>
      <w:r w:rsidRPr="001455DC">
        <w:rPr>
          <w:rStyle w:val="CCMCvariableitalic"/>
        </w:rPr>
        <w:t>M</w:t>
      </w:r>
      <w:r w:rsidRPr="001455DC">
        <w:rPr>
          <w:rStyle w:val="CCMCvariablesubscript"/>
        </w:rPr>
        <w:t>Ed</w:t>
      </w:r>
      <w:r w:rsidRPr="001455DC">
        <w:t xml:space="preserve"> to be used in Formulae (8.</w:t>
      </w:r>
      <w:r w:rsidR="00BB3D18" w:rsidRPr="001455DC">
        <w:t>37</w:t>
      </w:r>
      <w:r w:rsidRPr="001455DC">
        <w:t>) to (8.</w:t>
      </w:r>
      <w:r w:rsidR="00BB3D18" w:rsidRPr="001455DC">
        <w:t>38</w:t>
      </w:r>
      <w:r w:rsidRPr="001455DC">
        <w:t>):</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A90172" w:rsidRPr="001455DC" w14:paraId="2926FE7D" w14:textId="77777777" w:rsidTr="004F7465">
        <w:trPr>
          <w:cantSplit/>
        </w:trPr>
        <w:tc>
          <w:tcPr>
            <w:tcW w:w="8505" w:type="dxa"/>
            <w:vAlign w:val="center"/>
          </w:tcPr>
          <w:p w14:paraId="220A180B" w14:textId="6F5FF62A" w:rsidR="00A90172" w:rsidRPr="001455DC" w:rsidRDefault="00A90172">
            <w:pPr>
              <w:pStyle w:val="Formula"/>
              <w:jc w:val="left"/>
            </w:pPr>
            <m:oMathPara>
              <m:oMathParaPr>
                <m:jc m:val="left"/>
              </m:oMathParaPr>
              <m:oMath>
                <m:r>
                  <m:rPr>
                    <m:sty m:val="p"/>
                  </m:rPr>
                  <w:rPr>
                    <w:rFonts w:ascii="Cambria Math" w:hAnsi="Cambria Math"/>
                    <w:lang w:eastAsia="de-CH"/>
                  </w:rPr>
                  <m:t>Δ</m:t>
                </m:r>
                <m:sSub>
                  <m:sSubPr>
                    <m:ctrlPr>
                      <w:rPr>
                        <w:rFonts w:ascii="Cambria Math" w:hAnsi="Cambria Math"/>
                      </w:rPr>
                    </m:ctrlPr>
                  </m:sSubPr>
                  <m:e>
                    <m:r>
                      <w:rPr>
                        <w:rFonts w:ascii="Cambria Math" w:hAnsi="Cambria Math"/>
                      </w:rPr>
                      <m:t>M</m:t>
                    </m:r>
                  </m:e>
                  <m:sub>
                    <m:r>
                      <m:rPr>
                        <m:sty m:val="p"/>
                      </m:rPr>
                      <w:rPr>
                        <w:rFonts w:ascii="Cambria Math" w:hAnsi="Cambria Math"/>
                      </w:rPr>
                      <m:t>Ed</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V</m:t>
                        </m:r>
                      </m:e>
                      <m:sub>
                        <m:r>
                          <m:rPr>
                            <m:sty m:val="p"/>
                          </m:rPr>
                          <w:rPr>
                            <w:rFonts w:ascii="Cambria Math" w:hAnsi="Cambria Math"/>
                          </w:rPr>
                          <m:t>Ed</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sw</m:t>
                            </m:r>
                          </m:sub>
                        </m:sSub>
                      </m:num>
                      <m:den>
                        <m:r>
                          <w:rPr>
                            <w:rFonts w:ascii="Cambria Math" w:hAnsi="Cambria Math"/>
                          </w:rPr>
                          <m:t>s</m:t>
                        </m:r>
                      </m:den>
                    </m:f>
                    <m:sSub>
                      <m:sSubPr>
                        <m:ctrlPr>
                          <w:rPr>
                            <w:rFonts w:ascii="Cambria Math" w:hAnsi="Cambria Math"/>
                          </w:rPr>
                        </m:ctrlPr>
                      </m:sSubPr>
                      <m:e>
                        <m:r>
                          <w:rPr>
                            <w:rFonts w:ascii="Cambria Math" w:hAnsi="Cambria Math"/>
                          </w:rPr>
                          <m:t>⋅z⋅f</m:t>
                        </m:r>
                      </m:e>
                      <m:sub>
                        <m:r>
                          <m:rPr>
                            <m:sty m:val="p"/>
                          </m:rPr>
                          <w:rPr>
                            <w:rFonts w:ascii="Cambria Math" w:hAnsi="Cambria Math"/>
                          </w:rPr>
                          <m:t>ywd</m:t>
                        </m:r>
                      </m:sub>
                    </m:sSub>
                    <m:r>
                      <m:rPr>
                        <m:sty m:val="p"/>
                      </m:rPr>
                      <w:rPr>
                        <w:rFonts w:ascii="Cambria Math" w:hAnsi="Cambria Math"/>
                      </w:rPr>
                      <m:t>⋅cot</m:t>
                    </m:r>
                    <m:r>
                      <w:rPr>
                        <w:rFonts w:ascii="Cambria Math" w:hAnsi="Cambria Math"/>
                      </w:rPr>
                      <m:t>θ</m:t>
                    </m:r>
                  </m:e>
                </m:d>
                <m:d>
                  <m:dPr>
                    <m:ctrlPr>
                      <w:rPr>
                        <w:rFonts w:ascii="Cambria Math" w:hAnsi="Cambria Math"/>
                      </w:rPr>
                    </m:ctrlPr>
                  </m:dPr>
                  <m:e>
                    <m:f>
                      <m:fPr>
                        <m:ctrlPr>
                          <w:rPr>
                            <w:rFonts w:ascii="Cambria Math" w:hAnsi="Cambria Math"/>
                          </w:rPr>
                        </m:ctrlPr>
                      </m:fPr>
                      <m:num>
                        <m:r>
                          <w:rPr>
                            <w:rFonts w:ascii="Cambria Math" w:hAnsi="Cambria Math"/>
                          </w:rPr>
                          <m:t>a</m:t>
                        </m:r>
                      </m:num>
                      <m:den>
                        <m:r>
                          <w:rPr>
                            <w:rFonts w:ascii="Cambria Math" w:hAnsi="Cambria Math"/>
                          </w:rPr>
                          <m:t>2</m:t>
                        </m:r>
                      </m:den>
                    </m:f>
                    <m:r>
                      <w:rPr>
                        <w:rFonts w:ascii="Cambria Math" w:hAnsi="Cambria Math"/>
                      </w:rPr>
                      <m:t>+x</m:t>
                    </m:r>
                  </m:e>
                </m:d>
              </m:oMath>
            </m:oMathPara>
          </w:p>
        </w:tc>
        <w:tc>
          <w:tcPr>
            <w:tcW w:w="1247" w:type="dxa"/>
            <w:vAlign w:val="center"/>
          </w:tcPr>
          <w:p w14:paraId="78492540" w14:textId="4F73AC88" w:rsidR="00A90172" w:rsidRPr="001455DC" w:rsidRDefault="00A90172">
            <w:pPr>
              <w:pStyle w:val="a7"/>
              <w:jc w:val="right"/>
            </w:pPr>
            <w:r w:rsidRPr="001455DC">
              <w:rPr>
                <w:lang w:eastAsia="de-CH"/>
              </w:rPr>
              <w:t>(8.</w:t>
            </w:r>
            <w:r w:rsidR="00BB3D18" w:rsidRPr="001455DC">
              <w:rPr>
                <w:lang w:eastAsia="de-CH"/>
              </w:rPr>
              <w:t>42</w:t>
            </w:r>
            <w:r w:rsidRPr="001455DC">
              <w:rPr>
                <w:lang w:eastAsia="de-CH"/>
              </w:rPr>
              <w:t>)</w:t>
            </w:r>
          </w:p>
        </w:tc>
      </w:tr>
    </w:tbl>
    <w:p w14:paraId="25E39CCC" w14:textId="77777777" w:rsidR="00497A45" w:rsidRPr="001455DC" w:rsidRDefault="00497A45"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497A45" w:rsidRPr="001455DC" w14:paraId="2A87FE39" w14:textId="77777777" w:rsidTr="004F7465">
        <w:trPr>
          <w:cantSplit/>
        </w:trPr>
        <w:tc>
          <w:tcPr>
            <w:tcW w:w="567" w:type="dxa"/>
          </w:tcPr>
          <w:p w14:paraId="280309DD" w14:textId="358A944E" w:rsidR="00497A45" w:rsidRPr="001455DC" w:rsidRDefault="00497A45" w:rsidP="008D37B2">
            <w:pPr>
              <w:pStyle w:val="Tablebody"/>
              <w:keepNext/>
            </w:pPr>
            <w:r w:rsidRPr="001455DC">
              <w:rPr>
                <w:rStyle w:val="CCMCvariableitalic"/>
              </w:rPr>
              <w:t>a</w:t>
            </w:r>
          </w:p>
        </w:tc>
        <w:tc>
          <w:tcPr>
            <w:tcW w:w="8845" w:type="dxa"/>
          </w:tcPr>
          <w:p w14:paraId="179E2F44" w14:textId="75708B08" w:rsidR="00497A45" w:rsidRPr="001455DC" w:rsidRDefault="00497A45" w:rsidP="004F7465">
            <w:pPr>
              <w:pStyle w:val="Tablebody"/>
            </w:pPr>
            <w:r w:rsidRPr="001455DC">
              <w:rPr>
                <w:lang w:eastAsia="de-CH"/>
              </w:rPr>
              <w:t>is the distance between the axis of the support and the concentrated force (see Figure 8.11a);</w:t>
            </w:r>
          </w:p>
        </w:tc>
      </w:tr>
      <w:tr w:rsidR="00497A45" w:rsidRPr="001455DC" w14:paraId="7CE0728E" w14:textId="77777777" w:rsidTr="004F7465">
        <w:trPr>
          <w:cantSplit/>
        </w:trPr>
        <w:tc>
          <w:tcPr>
            <w:tcW w:w="567" w:type="dxa"/>
          </w:tcPr>
          <w:p w14:paraId="3E30A53A" w14:textId="380177A4" w:rsidR="00497A45" w:rsidRPr="001455DC" w:rsidRDefault="00497A45" w:rsidP="004F7465">
            <w:pPr>
              <w:pStyle w:val="Tablebody"/>
            </w:pPr>
            <w:r w:rsidRPr="001455DC">
              <w:rPr>
                <w:rStyle w:val="CCMCvariableitalic"/>
              </w:rPr>
              <w:t>x</w:t>
            </w:r>
          </w:p>
        </w:tc>
        <w:tc>
          <w:tcPr>
            <w:tcW w:w="8845" w:type="dxa"/>
          </w:tcPr>
          <w:p w14:paraId="6B3F77B6" w14:textId="58B21548" w:rsidR="00497A45" w:rsidRPr="001455DC" w:rsidRDefault="00497A45" w:rsidP="004F7465">
            <w:pPr>
              <w:pStyle w:val="Tablebody"/>
            </w:pPr>
            <w:r w:rsidRPr="001455DC">
              <w:rPr>
                <w:lang w:eastAsia="de-CH"/>
              </w:rPr>
              <w:t>is the distance between the support and the investigated cross section.</w:t>
            </w:r>
          </w:p>
        </w:tc>
      </w:tr>
    </w:tbl>
    <w:p w14:paraId="0F48F633" w14:textId="1A94AC48" w:rsidR="004E22C1" w:rsidRPr="001455DC" w:rsidRDefault="004E22C1" w:rsidP="00A84CE8">
      <w:pPr>
        <w:pStyle w:val="Note"/>
      </w:pPr>
      <w:r w:rsidRPr="001455DC">
        <w:t>NOTE</w:t>
      </w:r>
      <w:r w:rsidR="00A46F70">
        <w:t xml:space="preserve"> 2</w:t>
      </w:r>
      <w:r w:rsidRPr="001455DC">
        <w:tab/>
        <w:t xml:space="preserve">The increase of chord forces </w:t>
      </w:r>
      <w:r w:rsidRPr="001455DC">
        <w:rPr>
          <w:rStyle w:val="CCMCvariableitalic"/>
        </w:rPr>
        <w:t>F</w:t>
      </w:r>
      <w:r w:rsidRPr="001455DC">
        <w:rPr>
          <w:rStyle w:val="CCMCvariablesubscript"/>
        </w:rPr>
        <w:t>td</w:t>
      </w:r>
      <w:r w:rsidRPr="001455DC">
        <w:t xml:space="preserve"> and </w:t>
      </w:r>
      <w:r w:rsidRPr="001455DC">
        <w:rPr>
          <w:rStyle w:val="CCMCvariableitalic"/>
        </w:rPr>
        <w:t>F</w:t>
      </w:r>
      <w:r w:rsidRPr="001455DC">
        <w:rPr>
          <w:rStyle w:val="CCMCvariablesubscript"/>
        </w:rPr>
        <w:t>cd</w:t>
      </w:r>
      <w:r w:rsidRPr="001455DC">
        <w:t xml:space="preserve"> due to shear according to Formulae (8.</w:t>
      </w:r>
      <w:r w:rsidR="00BB3D18" w:rsidRPr="001455DC">
        <w:t>36</w:t>
      </w:r>
      <w:r w:rsidRPr="001455DC">
        <w:t>) and (8.</w:t>
      </w:r>
      <w:r w:rsidR="00BB3D18" w:rsidRPr="001455DC">
        <w:t>42</w:t>
      </w:r>
      <w:r w:rsidRPr="001455DC">
        <w:t xml:space="preserve">) is based on the assumption of a constant compression field inclination </w:t>
      </w:r>
      <w:r w:rsidRPr="001455DC">
        <w:rPr>
          <w:rStyle w:val="CCMCvariableitalic"/>
        </w:rPr>
        <w:t>θ</w:t>
      </w:r>
      <w:r w:rsidRPr="001455DC">
        <w:t xml:space="preserve"> in the support region. Other solutions respecting equilibrium conditions can be designed according to 8.5 (see Figure 8.26b)).</w:t>
      </w:r>
    </w:p>
    <w:p w14:paraId="7D19C031" w14:textId="77777777" w:rsidR="004E22C1" w:rsidRPr="001455DC" w:rsidRDefault="004E22C1" w:rsidP="00A84CE8">
      <w:pPr>
        <w:pStyle w:val="a7"/>
      </w:pPr>
      <w:r w:rsidRPr="001455DC">
        <w:t xml:space="preserve">In case of two or more concentrated forces in the distance </w:t>
      </w:r>
      <w:r w:rsidRPr="001455DC">
        <w:rPr>
          <w:rStyle w:val="CCMCvariableitalic"/>
        </w:rPr>
        <w:t>z</w:t>
      </w:r>
      <w:r w:rsidRPr="001455DC">
        <w:t>∙cot</w:t>
      </w:r>
      <w:r w:rsidRPr="001455DC">
        <w:rPr>
          <w:rStyle w:val="CCMCvariableitalic"/>
        </w:rPr>
        <w:t>θ</w:t>
      </w:r>
      <w:r w:rsidRPr="001455DC">
        <w:t xml:space="preserve">, all potential critical inclinations </w:t>
      </w:r>
      <w:r w:rsidRPr="001455DC">
        <w:rPr>
          <w:rStyle w:val="CCMCvariableitalic"/>
        </w:rPr>
        <w:t>β</w:t>
      </w:r>
      <w:r w:rsidRPr="001455DC">
        <w:t xml:space="preserve"> according to Figure 8.11a) shall be verified.</w:t>
      </w:r>
    </w:p>
    <w:p w14:paraId="5FEF0472" w14:textId="6C065FBC" w:rsidR="004E22C1" w:rsidRPr="001455DC" w:rsidRDefault="00723CF7" w:rsidP="00497A45">
      <w:pPr>
        <w:pStyle w:val="FigureImage"/>
        <w:rPr>
          <w:lang w:eastAsia="de-CH"/>
        </w:rPr>
      </w:pPr>
      <w:r>
        <w:rPr>
          <w:noProof/>
          <w:lang w:eastAsia="en-GB"/>
        </w:rPr>
        <w:fldChar w:fldCharType="begin"/>
      </w:r>
      <w:r>
        <w:rPr>
          <w:noProof/>
          <w:lang w:eastAsia="en-GB"/>
        </w:rPr>
        <w:instrText xml:space="preserve"> INCLUDEPICTURE  "Y:\\STD_MGT\\STDDEL\\PRODUCTION\\etrans\\Download\\Z_FIRST_DEL\\SV\\00250\\00250269\\41_e_dr\\8_011.tif"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"Y:\\STD_MGT\\STDDEL\\PRODUCTION\\Standards\\00250\\269\\41_e_dr\\8_011.tif"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"Y:\\STD_MGT\\STDDEL\\PRODUCTION\\Standards\\00250\\269\\41_e_dr\\8_011.tif"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"Y:\\STD_MGT\\STDDEL\\PRODUCTION\\Standards\\00250\\269\\41_e_dr\\8_011.tif"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"Y:\\STD_MGT\\STDDEL\\PRODUCTION\\Standards\\00250\\269\\41_e_dr\\8_011.tif"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"Y:\\STD_MGT\\STDDEL\\PRODUCTION\\Standards\\00250\\269\\41_e_dr\\8_011.tif"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"C:\\Users\\a.dionysiou\\AppData\\Local\\Temp\\Temp1_00250269_e_20210902.zip.zip\\41_e_dr\\8_0</w:instrText>
      </w:r>
      <w:r w:rsidR="00231E33">
        <w:rPr>
          <w:noProof/>
          <w:lang w:eastAsia="en-GB"/>
        </w:rPr>
        <w:instrText>11.tif"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443BD760">
          <v:shape id="_x0000_i1161" type="#_x0000_t75" style="width:426pt;height:174.75pt">
            <v:imagedata r:id="rId292" r:href="rId293"/>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6F8A71F0" w14:textId="77777777" w:rsidR="004E22C1" w:rsidRPr="009D3012" w:rsidRDefault="004E22C1" w:rsidP="00497A45">
      <w:pPr>
        <w:pStyle w:val="FigureText"/>
      </w:pPr>
      <w:r w:rsidRPr="009D3012">
        <w:t>a) in presence of concentrated loads near the supports</w:t>
      </w:r>
    </w:p>
    <w:p w14:paraId="2D41ECF0" w14:textId="77777777" w:rsidR="004E22C1" w:rsidRPr="009D3012" w:rsidRDefault="004E22C1" w:rsidP="00497A45">
      <w:pPr>
        <w:pStyle w:val="FigureText"/>
      </w:pPr>
      <w:r w:rsidRPr="009D3012">
        <w:t>b) truss model and notation for members with inclined shear reinforcement</w:t>
      </w:r>
    </w:p>
    <w:p w14:paraId="32C4F4EF" w14:textId="77777777" w:rsidR="00497A45" w:rsidRPr="001455DC" w:rsidRDefault="00497A45" w:rsidP="00497A45">
      <w:pPr>
        <w:pStyle w:val="KeyTitle"/>
      </w:pPr>
      <w:r w:rsidRPr="001455DC">
        <w:t>Key</w:t>
      </w:r>
    </w:p>
    <w:tbl>
      <w:tblPr>
        <w:tblW w:w="9809" w:type="dxa"/>
        <w:tblLayout w:type="fixed"/>
        <w:tblCellMar>
          <w:left w:w="28" w:type="dxa"/>
          <w:right w:w="28" w:type="dxa"/>
        </w:tblCellMar>
        <w:tblLook w:val="0000" w:firstRow="0" w:lastRow="0" w:firstColumn="0" w:lastColumn="0" w:noHBand="0" w:noVBand="0"/>
      </w:tblPr>
      <w:tblGrid>
        <w:gridCol w:w="397"/>
        <w:gridCol w:w="9412"/>
      </w:tblGrid>
      <w:tr w:rsidR="00497A45" w:rsidRPr="001455DC" w14:paraId="000CF433" w14:textId="77777777" w:rsidTr="004F7465">
        <w:tc>
          <w:tcPr>
            <w:tcW w:w="397" w:type="dxa"/>
            <w:shd w:val="clear" w:color="auto" w:fill="auto"/>
          </w:tcPr>
          <w:p w14:paraId="48F5309E" w14:textId="540FC25D" w:rsidR="00497A45" w:rsidRPr="001455DC" w:rsidRDefault="00497A45" w:rsidP="004543C9">
            <w:pPr>
              <w:pStyle w:val="KeyText"/>
              <w:tabs>
                <w:tab w:val="clear" w:pos="346"/>
              </w:tabs>
              <w:spacing w:before="0"/>
              <w:ind w:left="0" w:firstLine="0"/>
            </w:pPr>
            <w:r w:rsidRPr="001455DC">
              <w:t>1</w:t>
            </w:r>
          </w:p>
        </w:tc>
        <w:tc>
          <w:tcPr>
            <w:tcW w:w="9412" w:type="dxa"/>
            <w:shd w:val="clear" w:color="auto" w:fill="auto"/>
          </w:tcPr>
          <w:p w14:paraId="0156F54B" w14:textId="4975597E" w:rsidR="00497A45" w:rsidRPr="001455DC" w:rsidRDefault="004543C9" w:rsidP="004543C9">
            <w:pPr>
              <w:pStyle w:val="KeyText"/>
              <w:tabs>
                <w:tab w:val="clear" w:pos="346"/>
              </w:tabs>
              <w:spacing w:before="0"/>
              <w:ind w:left="0" w:firstLine="0"/>
            </w:pPr>
            <w:r>
              <w:rPr>
                <w:lang w:eastAsia="de-CH"/>
              </w:rPr>
              <w:t>c</w:t>
            </w:r>
            <w:r w:rsidR="00497A45" w:rsidRPr="001455DC">
              <w:rPr>
                <w:lang w:eastAsia="de-CH"/>
              </w:rPr>
              <w:t>ompression chord</w:t>
            </w:r>
          </w:p>
        </w:tc>
      </w:tr>
      <w:tr w:rsidR="00497A45" w:rsidRPr="001455DC" w14:paraId="4950FA37" w14:textId="77777777" w:rsidTr="004F7465">
        <w:tc>
          <w:tcPr>
            <w:tcW w:w="397" w:type="dxa"/>
            <w:shd w:val="clear" w:color="auto" w:fill="auto"/>
          </w:tcPr>
          <w:p w14:paraId="0C00F39E" w14:textId="7BA0536E" w:rsidR="00497A45" w:rsidRPr="001455DC" w:rsidRDefault="00497A45" w:rsidP="004543C9">
            <w:pPr>
              <w:pStyle w:val="KeyText"/>
              <w:tabs>
                <w:tab w:val="clear" w:pos="346"/>
              </w:tabs>
              <w:spacing w:before="0"/>
              <w:ind w:left="0" w:firstLine="0"/>
            </w:pPr>
            <w:r w:rsidRPr="001455DC">
              <w:t>2</w:t>
            </w:r>
          </w:p>
        </w:tc>
        <w:tc>
          <w:tcPr>
            <w:tcW w:w="9412" w:type="dxa"/>
            <w:shd w:val="clear" w:color="auto" w:fill="auto"/>
          </w:tcPr>
          <w:p w14:paraId="1B8E9E06" w14:textId="64DD2AD5" w:rsidR="00497A45" w:rsidRPr="001455DC" w:rsidRDefault="004543C9" w:rsidP="004543C9">
            <w:pPr>
              <w:pStyle w:val="KeyText"/>
              <w:tabs>
                <w:tab w:val="clear" w:pos="346"/>
              </w:tabs>
              <w:spacing w:before="0"/>
              <w:ind w:left="0" w:firstLine="0"/>
            </w:pPr>
            <w:r>
              <w:rPr>
                <w:lang w:eastAsia="de-CH"/>
              </w:rPr>
              <w:t>s</w:t>
            </w:r>
            <w:r w:rsidR="00497A45" w:rsidRPr="001455DC">
              <w:rPr>
                <w:lang w:eastAsia="de-CH"/>
              </w:rPr>
              <w:t>hear reinforcement</w:t>
            </w:r>
          </w:p>
        </w:tc>
      </w:tr>
      <w:tr w:rsidR="00497A45" w:rsidRPr="001455DC" w14:paraId="56B760F7" w14:textId="77777777" w:rsidTr="004F7465">
        <w:tc>
          <w:tcPr>
            <w:tcW w:w="397" w:type="dxa"/>
            <w:shd w:val="clear" w:color="auto" w:fill="auto"/>
          </w:tcPr>
          <w:p w14:paraId="4F3B7704" w14:textId="50ADA782" w:rsidR="00497A45" w:rsidRPr="001455DC" w:rsidRDefault="00497A45" w:rsidP="004543C9">
            <w:pPr>
              <w:pStyle w:val="KeyText"/>
              <w:tabs>
                <w:tab w:val="clear" w:pos="346"/>
              </w:tabs>
              <w:spacing w:before="0"/>
              <w:ind w:left="0" w:firstLine="0"/>
            </w:pPr>
            <w:r w:rsidRPr="001455DC">
              <w:t>3</w:t>
            </w:r>
          </w:p>
        </w:tc>
        <w:tc>
          <w:tcPr>
            <w:tcW w:w="9412" w:type="dxa"/>
            <w:shd w:val="clear" w:color="auto" w:fill="auto"/>
          </w:tcPr>
          <w:p w14:paraId="3751C320" w14:textId="703E9581" w:rsidR="00497A45" w:rsidRPr="001455DC" w:rsidRDefault="004543C9" w:rsidP="004543C9">
            <w:pPr>
              <w:pStyle w:val="KeyText"/>
              <w:tabs>
                <w:tab w:val="clear" w:pos="346"/>
              </w:tabs>
              <w:spacing w:before="0"/>
              <w:ind w:left="0" w:firstLine="0"/>
            </w:pPr>
            <w:r>
              <w:rPr>
                <w:lang w:eastAsia="de-CH"/>
              </w:rPr>
              <w:t>s</w:t>
            </w:r>
            <w:r w:rsidR="00497A45" w:rsidRPr="001455DC">
              <w:rPr>
                <w:lang w:eastAsia="de-CH"/>
              </w:rPr>
              <w:t>truts (compression field)</w:t>
            </w:r>
          </w:p>
        </w:tc>
      </w:tr>
      <w:tr w:rsidR="00497A45" w:rsidRPr="001455DC" w14:paraId="3F449800" w14:textId="77777777" w:rsidTr="004F7465">
        <w:tc>
          <w:tcPr>
            <w:tcW w:w="397" w:type="dxa"/>
            <w:shd w:val="clear" w:color="auto" w:fill="auto"/>
          </w:tcPr>
          <w:p w14:paraId="673CD901" w14:textId="31000C81" w:rsidR="00497A45" w:rsidRPr="001455DC" w:rsidRDefault="00497A45" w:rsidP="004543C9">
            <w:pPr>
              <w:pStyle w:val="KeyText"/>
              <w:tabs>
                <w:tab w:val="clear" w:pos="346"/>
              </w:tabs>
              <w:spacing w:before="0"/>
              <w:ind w:left="0" w:firstLine="0"/>
            </w:pPr>
            <w:r w:rsidRPr="001455DC">
              <w:t>4</w:t>
            </w:r>
          </w:p>
        </w:tc>
        <w:tc>
          <w:tcPr>
            <w:tcW w:w="9412" w:type="dxa"/>
            <w:shd w:val="clear" w:color="auto" w:fill="auto"/>
          </w:tcPr>
          <w:p w14:paraId="245DD86D" w14:textId="3F4601E4" w:rsidR="00497A45" w:rsidRPr="001455DC" w:rsidRDefault="004543C9" w:rsidP="004543C9">
            <w:pPr>
              <w:pStyle w:val="KeyText"/>
              <w:tabs>
                <w:tab w:val="clear" w:pos="346"/>
              </w:tabs>
              <w:spacing w:before="0"/>
              <w:ind w:left="0" w:firstLine="0"/>
            </w:pPr>
            <w:r>
              <w:rPr>
                <w:lang w:eastAsia="de-CH"/>
              </w:rPr>
              <w:t>t</w:t>
            </w:r>
            <w:r w:rsidR="00497A45" w:rsidRPr="001455DC">
              <w:rPr>
                <w:lang w:eastAsia="de-CH"/>
              </w:rPr>
              <w:t>ension chord</w:t>
            </w:r>
          </w:p>
        </w:tc>
      </w:tr>
    </w:tbl>
    <w:p w14:paraId="4AADA3A5" w14:textId="77777777" w:rsidR="004E22C1" w:rsidRPr="001455DC" w:rsidRDefault="004E22C1" w:rsidP="00497A45">
      <w:pPr>
        <w:pStyle w:val="Figuretitle"/>
      </w:pPr>
      <w:r w:rsidRPr="001455DC">
        <w:t xml:space="preserve">Figure 8.11 — Definition of inclinations </w:t>
      </w:r>
      <w:r w:rsidRPr="001455DC">
        <w:rPr>
          <w:rStyle w:val="CCMCvariableitalic"/>
        </w:rPr>
        <w:t>β</w:t>
      </w:r>
    </w:p>
    <w:p w14:paraId="20450B44" w14:textId="62F29641" w:rsidR="00497A45" w:rsidRPr="001455DC" w:rsidRDefault="004E22C1" w:rsidP="008D37B2">
      <w:pPr>
        <w:pStyle w:val="a7"/>
        <w:keepNext/>
      </w:pPr>
      <w:r w:rsidRPr="001455DC">
        <w:t>(13)</w:t>
      </w:r>
      <w:r w:rsidRPr="001455DC">
        <w:tab/>
        <w:t>For members with inclined shear reinforcement (45° </w:t>
      </w:r>
      <w:r w:rsidR="00650035" w:rsidRPr="001455DC">
        <w:rPr>
          <w:rFonts w:ascii="Cambria Math" w:hAnsi="Cambria Math"/>
        </w:rPr>
        <w:t>≤</w:t>
      </w:r>
      <w:r w:rsidRPr="001455DC">
        <w:t> </w:t>
      </w:r>
      <w:r w:rsidRPr="001455DC">
        <w:rPr>
          <w:rStyle w:val="CCMCvariableitalic"/>
        </w:rPr>
        <w:t>α</w:t>
      </w:r>
      <w:r w:rsidRPr="001455DC">
        <w:rPr>
          <w:rStyle w:val="CCMCvariablesubscript"/>
        </w:rPr>
        <w:t>w</w:t>
      </w:r>
      <w:r w:rsidRPr="001455DC">
        <w:t> </w:t>
      </w:r>
      <w:r w:rsidR="00650035" w:rsidRPr="001455DC">
        <w:rPr>
          <w:rFonts w:ascii="Cambria Math" w:hAnsi="Cambria Math"/>
        </w:rPr>
        <w:t>&lt;</w:t>
      </w:r>
      <w:r w:rsidRPr="001455DC">
        <w:t xml:space="preserve"> 90° where </w:t>
      </w:r>
      <w:r w:rsidRPr="001455DC">
        <w:rPr>
          <w:rStyle w:val="CCMCvariableitalic"/>
        </w:rPr>
        <w:t>α</w:t>
      </w:r>
      <w:r w:rsidRPr="001455DC">
        <w:rPr>
          <w:rStyle w:val="CCMCvariablesubscript"/>
        </w:rPr>
        <w:t>w</w:t>
      </w:r>
      <w:r w:rsidRPr="001455DC">
        <w:t xml:space="preserve"> is measured positive as shown in Figure 8.11b), Formulae (8.</w:t>
      </w:r>
      <w:r w:rsidR="00D04FFB" w:rsidRPr="001455DC">
        <w:t>26</w:t>
      </w:r>
      <w:r w:rsidRPr="001455DC">
        <w:t>), (8.</w:t>
      </w:r>
      <w:r w:rsidR="00D04FFB" w:rsidRPr="001455DC">
        <w:t>27</w:t>
      </w:r>
      <w:r w:rsidRPr="001455DC">
        <w:t>), (8.</w:t>
      </w:r>
      <w:r w:rsidR="00D04FFB" w:rsidRPr="001455DC">
        <w:t>29</w:t>
      </w:r>
      <w:r w:rsidRPr="001455DC">
        <w:t>) and (8.</w:t>
      </w:r>
      <w:r w:rsidR="00D04FFB" w:rsidRPr="001455DC">
        <w:t>36</w:t>
      </w:r>
      <w:r w:rsidRPr="001455DC">
        <w:t>) should be replaced respectively by:</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97A45" w:rsidRPr="001455DC" w14:paraId="579EE565" w14:textId="77777777" w:rsidTr="004F7465">
        <w:trPr>
          <w:cantSplit/>
        </w:trPr>
        <w:tc>
          <w:tcPr>
            <w:tcW w:w="8505" w:type="dxa"/>
            <w:vAlign w:val="center"/>
          </w:tcPr>
          <w:p w14:paraId="13CDFDA2" w14:textId="4F1DCF05" w:rsidR="00497A45" w:rsidRPr="001455DC" w:rsidRDefault="00497A45" w:rsidP="004F7465">
            <w:pPr>
              <w:pStyle w:val="Formula"/>
              <w:jc w:val="left"/>
            </w:pPr>
            <m:oMathPara>
              <m:oMathParaPr>
                <m:jc m:val="left"/>
              </m:oMathParaPr>
              <m:oMath>
                <m:r>
                  <m:rPr>
                    <m:sty m:val="p"/>
                  </m:rPr>
                  <w:rPr>
                    <w:rFonts w:ascii="Cambria Math" w:hAnsi="Cambria Math"/>
                  </w:rPr>
                  <m:t>tan</m:t>
                </m:r>
                <m:f>
                  <m:fPr>
                    <m:ctrlPr>
                      <w:rPr>
                        <w:rFonts w:ascii="Cambria Math" w:hAnsi="Cambria Math"/>
                      </w:rPr>
                    </m:ctrlPr>
                  </m:fPr>
                  <m:num>
                    <m:sSub>
                      <m:sSubPr>
                        <m:ctrlPr>
                          <w:rPr>
                            <w:rFonts w:ascii="Cambria Math" w:hAnsi="Cambria Math"/>
                          </w:rPr>
                        </m:ctrlPr>
                      </m:sSubPr>
                      <m:e>
                        <m:r>
                          <w:rPr>
                            <w:rFonts w:ascii="Cambria Math" w:hAnsi="Cambria Math"/>
                          </w:rPr>
                          <m:t>α</m:t>
                        </m:r>
                      </m:e>
                      <m:sub>
                        <m:r>
                          <m:rPr>
                            <m:sty m:val="p"/>
                          </m:rPr>
                          <w:rPr>
                            <w:rFonts w:ascii="Cambria Math" w:hAnsi="Cambria Math"/>
                          </w:rPr>
                          <m:t>w</m:t>
                        </m:r>
                      </m:sub>
                    </m:sSub>
                  </m:num>
                  <m:den>
                    <m:r>
                      <w:rPr>
                        <w:rFonts w:ascii="Cambria Math" w:hAnsi="Cambria Math"/>
                      </w:rPr>
                      <m:t>2</m:t>
                    </m:r>
                  </m:den>
                </m:f>
                <m:r>
                  <w:rPr>
                    <w:rFonts w:ascii="Cambria Math" w:hAnsi="Cambria Math"/>
                  </w:rPr>
                  <m:t>≤</m:t>
                </m:r>
                <m:r>
                  <m:rPr>
                    <m:sty m:val="p"/>
                  </m:rPr>
                  <w:rPr>
                    <w:rFonts w:ascii="Cambria Math" w:hAnsi="Cambria Math"/>
                  </w:rPr>
                  <m:t>cot</m:t>
                </m:r>
                <m:r>
                  <w:rPr>
                    <w:rFonts w:ascii="Cambria Math" w:hAnsi="Cambria Math"/>
                  </w:rPr>
                  <m:t>θ≤</m:t>
                </m:r>
                <m:r>
                  <m:rPr>
                    <m:sty m:val="p"/>
                  </m:rPr>
                  <w:rPr>
                    <w:rFonts w:ascii="Cambria Math" w:hAnsi="Cambria Math"/>
                  </w:rPr>
                  <m:t>cot</m:t>
                </m:r>
                <m:sSub>
                  <m:sSubPr>
                    <m:ctrlPr>
                      <w:rPr>
                        <w:rFonts w:ascii="Cambria Math" w:hAnsi="Cambria Math"/>
                      </w:rPr>
                    </m:ctrlPr>
                  </m:sSubPr>
                  <m:e>
                    <m:r>
                      <w:rPr>
                        <w:rFonts w:ascii="Cambria Math" w:hAnsi="Cambria Math"/>
                      </w:rPr>
                      <m:t>θ</m:t>
                    </m:r>
                  </m:e>
                  <m:sub>
                    <m:r>
                      <m:rPr>
                        <m:sty m:val="p"/>
                      </m:rPr>
                      <w:rPr>
                        <w:rFonts w:ascii="Cambria Math" w:hAnsi="Cambria Math"/>
                      </w:rPr>
                      <m:t>min</m:t>
                    </m:r>
                  </m:sub>
                </m:sSub>
              </m:oMath>
            </m:oMathPara>
          </w:p>
        </w:tc>
        <w:tc>
          <w:tcPr>
            <w:tcW w:w="1247" w:type="dxa"/>
            <w:vAlign w:val="center"/>
          </w:tcPr>
          <w:p w14:paraId="6087DFBB" w14:textId="0F7B33CD" w:rsidR="00497A45" w:rsidRPr="001455DC" w:rsidRDefault="00497A45">
            <w:pPr>
              <w:pStyle w:val="a7"/>
              <w:jc w:val="right"/>
            </w:pPr>
            <w:r w:rsidRPr="001455DC">
              <w:t>(8.</w:t>
            </w:r>
            <w:r w:rsidR="00D04FFB" w:rsidRPr="001455DC">
              <w:t>43</w:t>
            </w:r>
            <w:r w:rsidRPr="001455DC">
              <w:t>)</w:t>
            </w:r>
          </w:p>
        </w:tc>
      </w:tr>
      <w:tr w:rsidR="00497A45" w:rsidRPr="001455DC" w14:paraId="64484DE9" w14:textId="77777777" w:rsidTr="004F7465">
        <w:trPr>
          <w:cantSplit/>
        </w:trPr>
        <w:tc>
          <w:tcPr>
            <w:tcW w:w="8505" w:type="dxa"/>
            <w:vAlign w:val="center"/>
          </w:tcPr>
          <w:p w14:paraId="28686F55" w14:textId="1D160795" w:rsidR="00497A45" w:rsidRPr="001455DC" w:rsidRDefault="00231E33" w:rsidP="004F7465">
            <w:pPr>
              <w:pStyle w:val="Formula"/>
              <w:jc w:val="left"/>
            </w:pPr>
            <m:oMathPara>
              <m:oMathParaPr>
                <m:jc m:val="left"/>
              </m:oMathParaPr>
              <m:oMath>
                <m:sSub>
                  <m:sSubPr>
                    <m:ctrlPr>
                      <w:rPr>
                        <w:rFonts w:ascii="Cambria Math" w:hAnsi="Cambria Math"/>
                      </w:rPr>
                    </m:ctrlPr>
                  </m:sSubPr>
                  <m:e>
                    <m:r>
                      <w:rPr>
                        <w:rFonts w:ascii="Cambria Math" w:hAnsi="Cambria Math"/>
                      </w:rPr>
                      <m:t>τ</m:t>
                    </m:r>
                  </m:e>
                  <m:sub>
                    <m:r>
                      <m:rPr>
                        <m:sty m:val="p"/>
                      </m:rPr>
                      <w:rPr>
                        <w:rFonts w:ascii="Cambria Math" w:hAnsi="Cambria Math"/>
                      </w:rPr>
                      <m:t>Rd,sy</m:t>
                    </m:r>
                  </m:sub>
                </m:sSub>
                <m:r>
                  <w:rPr>
                    <w:rFonts w:ascii="Cambria Math" w:hAnsi="Cambria Math"/>
                  </w:rPr>
                  <m:t>=</m:t>
                </m:r>
                <m:sSub>
                  <m:sSubPr>
                    <m:ctrlPr>
                      <w:rPr>
                        <w:rFonts w:ascii="Cambria Math" w:hAnsi="Cambria Math"/>
                      </w:rPr>
                    </m:ctrlPr>
                  </m:sSubPr>
                  <m:e>
                    <m:r>
                      <w:rPr>
                        <w:rFonts w:ascii="Cambria Math" w:hAnsi="Cambria Math"/>
                      </w:rPr>
                      <m:t>ρ</m:t>
                    </m:r>
                  </m:e>
                  <m:sub>
                    <m:r>
                      <m:rPr>
                        <m:sty m:val="p"/>
                      </m:rPr>
                      <w:rPr>
                        <w:rFonts w:ascii="Cambria Math" w:hAnsi="Cambria Math"/>
                      </w:rPr>
                      <m:t>w</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ywd</m:t>
                    </m:r>
                  </m:sub>
                </m:sSub>
                <m:r>
                  <w:rPr>
                    <w:rFonts w:ascii="Cambria Math" w:hAnsi="Cambria Math"/>
                  </w:rPr>
                  <m:t>⋅</m:t>
                </m:r>
                <m:d>
                  <m:dPr>
                    <m:ctrlPr>
                      <w:rPr>
                        <w:rFonts w:ascii="Cambria Math" w:hAnsi="Cambria Math"/>
                      </w:rPr>
                    </m:ctrlPr>
                  </m:dPr>
                  <m:e>
                    <m:r>
                      <m:rPr>
                        <m:sty m:val="p"/>
                      </m:rPr>
                      <w:rPr>
                        <w:rFonts w:ascii="Cambria Math" w:hAnsi="Cambria Math"/>
                      </w:rPr>
                      <m:t>cot</m:t>
                    </m:r>
                    <m:r>
                      <w:rPr>
                        <w:rFonts w:ascii="Cambria Math" w:hAnsi="Cambria Math"/>
                      </w:rPr>
                      <m:t>θ+</m:t>
                    </m:r>
                    <m:r>
                      <m:rPr>
                        <m:sty m:val="p"/>
                      </m:rPr>
                      <w:rPr>
                        <w:rFonts w:ascii="Cambria Math" w:hAnsi="Cambria Math"/>
                      </w:rPr>
                      <m:t>cot</m:t>
                    </m:r>
                    <m:sSub>
                      <m:sSubPr>
                        <m:ctrlPr>
                          <w:rPr>
                            <w:rFonts w:ascii="Cambria Math" w:hAnsi="Cambria Math"/>
                          </w:rPr>
                        </m:ctrlPr>
                      </m:sSubPr>
                      <m:e>
                        <m:r>
                          <w:rPr>
                            <w:rFonts w:ascii="Cambria Math" w:hAnsi="Cambria Math"/>
                          </w:rPr>
                          <m:t>α</m:t>
                        </m:r>
                      </m:e>
                      <m:sub>
                        <m:r>
                          <m:rPr>
                            <m:sty m:val="p"/>
                          </m:rPr>
                          <w:rPr>
                            <w:rFonts w:ascii="Cambria Math" w:hAnsi="Cambria Math"/>
                          </w:rPr>
                          <m:t>w</m:t>
                        </m:r>
                      </m:sub>
                    </m:sSub>
                  </m:e>
                </m:d>
                <m:r>
                  <w:rPr>
                    <w:rFonts w:ascii="Cambria Math" w:hAnsi="Cambria Math"/>
                  </w:rPr>
                  <m:t>⋅</m:t>
                </m:r>
                <m:r>
                  <m:rPr>
                    <m:sty m:val="p"/>
                  </m:rPr>
                  <w:rPr>
                    <w:rFonts w:ascii="Cambria Math" w:hAnsi="Cambria Math"/>
                  </w:rPr>
                  <m:t>sin</m:t>
                </m:r>
                <m:sSub>
                  <m:sSubPr>
                    <m:ctrlPr>
                      <w:rPr>
                        <w:rFonts w:ascii="Cambria Math" w:hAnsi="Cambria Math"/>
                      </w:rPr>
                    </m:ctrlPr>
                  </m:sSubPr>
                  <m:e>
                    <m:r>
                      <w:rPr>
                        <w:rFonts w:ascii="Cambria Math" w:hAnsi="Cambria Math"/>
                      </w:rPr>
                      <m:t>α</m:t>
                    </m:r>
                  </m:e>
                  <m:sub>
                    <m:r>
                      <m:rPr>
                        <m:sty m:val="p"/>
                      </m:rPr>
                      <w:rPr>
                        <w:rFonts w:ascii="Cambria Math" w:hAnsi="Cambria Math"/>
                      </w:rPr>
                      <m:t>w</m:t>
                    </m:r>
                  </m:sub>
                </m:sSub>
              </m:oMath>
            </m:oMathPara>
          </w:p>
        </w:tc>
        <w:tc>
          <w:tcPr>
            <w:tcW w:w="1247" w:type="dxa"/>
            <w:vAlign w:val="center"/>
          </w:tcPr>
          <w:p w14:paraId="4983E72C" w14:textId="047F0070" w:rsidR="00497A45" w:rsidRPr="001455DC" w:rsidRDefault="00497A45" w:rsidP="004F7465">
            <w:pPr>
              <w:pStyle w:val="a7"/>
              <w:jc w:val="right"/>
            </w:pPr>
            <w:r w:rsidRPr="001455DC">
              <w:t>(8.</w:t>
            </w:r>
            <w:r w:rsidR="00D04FFB" w:rsidRPr="001455DC">
              <w:t>44</w:t>
            </w:r>
            <w:r w:rsidRPr="001455DC">
              <w:t>)</w:t>
            </w:r>
          </w:p>
        </w:tc>
      </w:tr>
      <w:tr w:rsidR="00497A45" w:rsidRPr="001455DC" w14:paraId="7E6A7F12" w14:textId="77777777" w:rsidTr="004F7465">
        <w:trPr>
          <w:cantSplit/>
        </w:trPr>
        <w:tc>
          <w:tcPr>
            <w:tcW w:w="8505" w:type="dxa"/>
            <w:vAlign w:val="center"/>
          </w:tcPr>
          <w:p w14:paraId="6BF1FA36" w14:textId="21AA0A19" w:rsidR="00497A45" w:rsidRPr="001455DC" w:rsidRDefault="00231E33" w:rsidP="004F7465">
            <w:pPr>
              <w:pStyle w:val="Formula"/>
              <w:jc w:val="left"/>
            </w:pPr>
            <m:oMathPara>
              <m:oMathParaPr>
                <m:jc m:val="left"/>
              </m:oMathParaPr>
              <m:oMath>
                <m:sSub>
                  <m:sSubPr>
                    <m:ctrlPr>
                      <w:rPr>
                        <w:rFonts w:ascii="Cambria Math" w:hAnsi="Cambria Math"/>
                      </w:rPr>
                    </m:ctrlPr>
                  </m:sSubPr>
                  <m:e>
                    <m:r>
                      <w:rPr>
                        <w:rFonts w:ascii="Cambria Math" w:hAnsi="Cambria Math"/>
                      </w:rPr>
                      <m:t>σ</m:t>
                    </m:r>
                  </m:e>
                  <m:sub>
                    <m:r>
                      <m:rPr>
                        <m:sty m:val="p"/>
                      </m:rPr>
                      <w:rPr>
                        <w:rFonts w:ascii="Cambria Math" w:hAnsi="Cambria Math"/>
                      </w:rPr>
                      <m:t>cd</m:t>
                    </m:r>
                  </m:sub>
                </m:sSub>
                <m:r>
                  <w:rPr>
                    <w:rFonts w:ascii="Cambria Math" w:hAnsi="Cambria Math"/>
                  </w:rPr>
                  <m:t>=</m:t>
                </m:r>
                <m:sSub>
                  <m:sSubPr>
                    <m:ctrlPr>
                      <w:rPr>
                        <w:rFonts w:ascii="Cambria Math" w:hAnsi="Cambria Math"/>
                      </w:rPr>
                    </m:ctrlPr>
                  </m:sSubPr>
                  <m:e>
                    <m:r>
                      <w:rPr>
                        <w:rFonts w:ascii="Cambria Math" w:hAnsi="Cambria Math"/>
                      </w:rPr>
                      <m:t>τ</m:t>
                    </m:r>
                  </m:e>
                  <m:sub>
                    <m:r>
                      <m:rPr>
                        <m:sty m:val="p"/>
                      </m:rPr>
                      <w:rPr>
                        <w:rFonts w:ascii="Cambria Math" w:hAnsi="Cambria Math"/>
                      </w:rPr>
                      <m:t>Ed</m:t>
                    </m:r>
                  </m:sub>
                </m:sSub>
                <m:f>
                  <m:fPr>
                    <m:ctrlPr>
                      <w:rPr>
                        <w:rFonts w:ascii="Cambria Math" w:hAnsi="Cambria Math"/>
                      </w:rPr>
                    </m:ctrlPr>
                  </m:fPr>
                  <m:num>
                    <m:r>
                      <w:rPr>
                        <w:rFonts w:ascii="Cambria Math" w:hAnsi="Cambria Math"/>
                      </w:rPr>
                      <m:t>1+</m:t>
                    </m:r>
                    <m:sSup>
                      <m:sSupPr>
                        <m:ctrlPr>
                          <w:rPr>
                            <w:rFonts w:ascii="Cambria Math" w:hAnsi="Cambria Math"/>
                          </w:rPr>
                        </m:ctrlPr>
                      </m:sSupPr>
                      <m:e>
                        <m:r>
                          <m:rPr>
                            <m:sty m:val="p"/>
                          </m:rPr>
                          <w:rPr>
                            <w:rFonts w:ascii="Cambria Math" w:hAnsi="Cambria Math"/>
                          </w:rPr>
                          <m:t>cot</m:t>
                        </m:r>
                      </m:e>
                      <m:sup>
                        <m:r>
                          <w:rPr>
                            <w:rFonts w:ascii="Cambria Math" w:hAnsi="Cambria Math"/>
                          </w:rPr>
                          <m:t>2</m:t>
                        </m:r>
                      </m:sup>
                    </m:sSup>
                    <m:r>
                      <w:rPr>
                        <w:rFonts w:ascii="Cambria Math" w:hAnsi="Cambria Math"/>
                      </w:rPr>
                      <m:t>θ</m:t>
                    </m:r>
                  </m:num>
                  <m:den>
                    <m:r>
                      <m:rPr>
                        <m:sty m:val="p"/>
                      </m:rPr>
                      <w:rPr>
                        <w:rFonts w:ascii="Cambria Math" w:hAnsi="Cambria Math"/>
                      </w:rPr>
                      <m:t>cot</m:t>
                    </m:r>
                    <m:r>
                      <w:rPr>
                        <w:rFonts w:ascii="Cambria Math" w:hAnsi="Cambria Math"/>
                      </w:rPr>
                      <m:t>θ+</m:t>
                    </m:r>
                    <m:r>
                      <m:rPr>
                        <m:sty m:val="p"/>
                      </m:rPr>
                      <w:rPr>
                        <w:rFonts w:ascii="Cambria Math" w:hAnsi="Cambria Math"/>
                      </w:rPr>
                      <m:t>cot</m:t>
                    </m:r>
                    <m:sSub>
                      <m:sSubPr>
                        <m:ctrlPr>
                          <w:rPr>
                            <w:rFonts w:ascii="Cambria Math" w:hAnsi="Cambria Math"/>
                          </w:rPr>
                        </m:ctrlPr>
                      </m:sSubPr>
                      <m:e>
                        <m:r>
                          <w:rPr>
                            <w:rFonts w:ascii="Cambria Math" w:hAnsi="Cambria Math"/>
                          </w:rPr>
                          <m:t>α</m:t>
                        </m:r>
                      </m:e>
                      <m:sub>
                        <m:r>
                          <m:rPr>
                            <m:sty m:val="p"/>
                          </m:rPr>
                          <w:rPr>
                            <w:rFonts w:ascii="Cambria Math" w:hAnsi="Cambria Math"/>
                          </w:rPr>
                          <m:t>w</m:t>
                        </m:r>
                      </m:sub>
                    </m:sSub>
                  </m:den>
                </m:f>
                <m:r>
                  <w:rPr>
                    <w:rFonts w:ascii="Cambria Math" w:hAnsi="Cambria Math"/>
                  </w:rPr>
                  <m:t>≤ν⋅</m:t>
                </m:r>
                <m:sSub>
                  <m:sSubPr>
                    <m:ctrlPr>
                      <w:rPr>
                        <w:rFonts w:ascii="Cambria Math" w:hAnsi="Cambria Math"/>
                      </w:rPr>
                    </m:ctrlPr>
                  </m:sSubPr>
                  <m:e>
                    <m:r>
                      <w:rPr>
                        <w:rFonts w:ascii="Cambria Math" w:hAnsi="Cambria Math"/>
                      </w:rPr>
                      <m:t>f</m:t>
                    </m:r>
                  </m:e>
                  <m:sub>
                    <m:r>
                      <m:rPr>
                        <m:sty m:val="p"/>
                      </m:rPr>
                      <w:rPr>
                        <w:rFonts w:ascii="Cambria Math" w:hAnsi="Cambria Math"/>
                      </w:rPr>
                      <m:t>cd</m:t>
                    </m:r>
                  </m:sub>
                </m:sSub>
              </m:oMath>
            </m:oMathPara>
          </w:p>
        </w:tc>
        <w:tc>
          <w:tcPr>
            <w:tcW w:w="1247" w:type="dxa"/>
            <w:vAlign w:val="center"/>
          </w:tcPr>
          <w:p w14:paraId="3D18E087" w14:textId="17408EAC" w:rsidR="00497A45" w:rsidRPr="001455DC" w:rsidRDefault="00497A45" w:rsidP="004F7465">
            <w:pPr>
              <w:pStyle w:val="a7"/>
              <w:jc w:val="right"/>
            </w:pPr>
            <w:r w:rsidRPr="001455DC">
              <w:t>(8.4</w:t>
            </w:r>
            <w:r w:rsidR="00D04FFB" w:rsidRPr="001455DC">
              <w:t>5</w:t>
            </w:r>
            <w:r w:rsidRPr="001455DC">
              <w:t>)</w:t>
            </w:r>
          </w:p>
        </w:tc>
      </w:tr>
      <w:tr w:rsidR="00497A45" w:rsidRPr="001455DC" w14:paraId="6205CE8D" w14:textId="77777777" w:rsidTr="004F7465">
        <w:trPr>
          <w:cantSplit/>
        </w:trPr>
        <w:tc>
          <w:tcPr>
            <w:tcW w:w="8505" w:type="dxa"/>
            <w:vAlign w:val="center"/>
          </w:tcPr>
          <w:p w14:paraId="686422EB" w14:textId="2F000443" w:rsidR="00497A45" w:rsidRPr="001455DC" w:rsidRDefault="00231E33" w:rsidP="004F7465">
            <w:pPr>
              <w:pStyle w:val="Formula"/>
              <w:jc w:val="left"/>
            </w:pPr>
            <m:oMathPara>
              <m:oMathParaPr>
                <m:jc m:val="left"/>
              </m:oMathParaPr>
              <m:oMath>
                <m:sSub>
                  <m:sSubPr>
                    <m:ctrlPr>
                      <w:rPr>
                        <w:rFonts w:ascii="Cambria Math" w:hAnsi="Cambria Math"/>
                      </w:rPr>
                    </m:ctrlPr>
                  </m:sSubPr>
                  <m:e>
                    <m:r>
                      <w:rPr>
                        <w:rFonts w:ascii="Cambria Math" w:hAnsi="Cambria Math"/>
                      </w:rPr>
                      <m:t>N</m:t>
                    </m:r>
                  </m:e>
                  <m:sub>
                    <m:r>
                      <m:rPr>
                        <m:sty m:val="p"/>
                      </m:rPr>
                      <w:rPr>
                        <w:rFonts w:ascii="Cambria Math" w:hAnsi="Cambria Math"/>
                      </w:rPr>
                      <m:t>Vd</m:t>
                    </m:r>
                  </m:sub>
                </m:sSub>
                <m: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Ed</m:t>
                    </m:r>
                  </m:sub>
                </m:sSub>
                <m:r>
                  <w:rPr>
                    <w:rFonts w:ascii="Cambria Math" w:hAnsi="Cambria Math"/>
                  </w:rPr>
                  <m:t>⋅</m:t>
                </m:r>
                <m:d>
                  <m:dPr>
                    <m:ctrlPr>
                      <w:rPr>
                        <w:rFonts w:ascii="Cambria Math" w:hAnsi="Cambria Math"/>
                      </w:rPr>
                    </m:ctrlPr>
                  </m:dPr>
                  <m:e>
                    <m:r>
                      <m:rPr>
                        <m:sty m:val="p"/>
                      </m:rPr>
                      <w:rPr>
                        <w:rFonts w:ascii="Cambria Math" w:hAnsi="Cambria Math"/>
                      </w:rPr>
                      <m:t>cot</m:t>
                    </m:r>
                    <m:r>
                      <w:rPr>
                        <w:rFonts w:ascii="Cambria Math" w:hAnsi="Cambria Math"/>
                      </w:rPr>
                      <m:t>θ+</m:t>
                    </m:r>
                    <m:r>
                      <m:rPr>
                        <m:sty m:val="p"/>
                      </m:rPr>
                      <w:rPr>
                        <w:rFonts w:ascii="Cambria Math" w:hAnsi="Cambria Math"/>
                      </w:rPr>
                      <m:t>cot</m:t>
                    </m:r>
                    <m:sSub>
                      <m:sSubPr>
                        <m:ctrlPr>
                          <w:rPr>
                            <w:rFonts w:ascii="Cambria Math" w:hAnsi="Cambria Math"/>
                          </w:rPr>
                        </m:ctrlPr>
                      </m:sSubPr>
                      <m:e>
                        <m:r>
                          <w:rPr>
                            <w:rFonts w:ascii="Cambria Math" w:hAnsi="Cambria Math"/>
                          </w:rPr>
                          <m:t>α</m:t>
                        </m:r>
                      </m:e>
                      <m:sub>
                        <m:r>
                          <m:rPr>
                            <m:sty m:val="p"/>
                          </m:rPr>
                          <w:rPr>
                            <w:rFonts w:ascii="Cambria Math" w:hAnsi="Cambria Math"/>
                          </w:rPr>
                          <m:t>w</m:t>
                        </m:r>
                      </m:sub>
                    </m:sSub>
                  </m:e>
                </m:d>
              </m:oMath>
            </m:oMathPara>
          </w:p>
        </w:tc>
        <w:tc>
          <w:tcPr>
            <w:tcW w:w="1247" w:type="dxa"/>
            <w:vAlign w:val="center"/>
          </w:tcPr>
          <w:p w14:paraId="649C7A1E" w14:textId="22AE28FD" w:rsidR="00497A45" w:rsidRPr="001455DC" w:rsidRDefault="00497A45" w:rsidP="004F7465">
            <w:pPr>
              <w:pStyle w:val="a7"/>
              <w:jc w:val="right"/>
            </w:pPr>
            <w:r w:rsidRPr="001455DC">
              <w:t>(8.4</w:t>
            </w:r>
            <w:r w:rsidR="00D04FFB" w:rsidRPr="001455DC">
              <w:t>6</w:t>
            </w:r>
            <w:r w:rsidRPr="001455DC">
              <w:t>)</w:t>
            </w:r>
          </w:p>
        </w:tc>
      </w:tr>
    </w:tbl>
    <w:p w14:paraId="67BE2E58" w14:textId="6740963F" w:rsidR="004E22C1" w:rsidRPr="001455DC" w:rsidRDefault="004E22C1" w:rsidP="00A84CE8">
      <w:pPr>
        <w:pStyle w:val="a7"/>
      </w:pPr>
      <w:r w:rsidRPr="001455DC">
        <w:t xml:space="preserve">Angles </w:t>
      </w:r>
      <w:r w:rsidRPr="001455DC">
        <w:rPr>
          <w:rStyle w:val="CCMCvariableitalic"/>
        </w:rPr>
        <w:t>α</w:t>
      </w:r>
      <w:r w:rsidRPr="001455DC">
        <w:rPr>
          <w:rStyle w:val="CCMCvariablesubscript"/>
        </w:rPr>
        <w:t>w</w:t>
      </w:r>
      <w:r w:rsidRPr="001455DC">
        <w:t> </w:t>
      </w:r>
      <w:r w:rsidR="00650035" w:rsidRPr="001455DC">
        <w:rPr>
          <w:rFonts w:ascii="Cambria Math" w:hAnsi="Cambria Math"/>
        </w:rPr>
        <w:t>&gt;</w:t>
      </w:r>
      <w:r w:rsidR="00073FC6" w:rsidRPr="001455DC">
        <w:t> </w:t>
      </w:r>
      <w:r w:rsidRPr="001455DC">
        <w:t xml:space="preserve">90° should be avoided. For spiral reinforcement, </w:t>
      </w:r>
      <w:r w:rsidRPr="001455DC">
        <w:rPr>
          <w:rStyle w:val="CCMCvariableitalic"/>
        </w:rPr>
        <w:t>α</w:t>
      </w:r>
      <w:r w:rsidRPr="001455DC">
        <w:rPr>
          <w:rStyle w:val="CCMCvariablesubscript"/>
        </w:rPr>
        <w:t>w</w:t>
      </w:r>
      <w:r w:rsidRPr="001455DC">
        <w:t xml:space="preserve"> may be assumed as the average angle of both legs, provided that the difference of the both leg inclinations is not larger than 20°.</w:t>
      </w:r>
    </w:p>
    <w:p w14:paraId="6C639BF8" w14:textId="28744DC8" w:rsidR="00497A45" w:rsidRPr="001455DC" w:rsidRDefault="004E22C1" w:rsidP="008D37B2">
      <w:pPr>
        <w:pStyle w:val="a7"/>
        <w:keepNext/>
      </w:pPr>
      <w:r w:rsidRPr="001455DC">
        <w:t>Formula (8.</w:t>
      </w:r>
      <w:r w:rsidR="00D04FFB" w:rsidRPr="001455DC">
        <w:t>40</w:t>
      </w:r>
      <w:r w:rsidRPr="001455DC">
        <w:t>) should be replaced by:</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97A45" w:rsidRPr="001455DC" w14:paraId="48C3D1C0" w14:textId="77777777" w:rsidTr="004F7465">
        <w:trPr>
          <w:cantSplit/>
        </w:trPr>
        <w:tc>
          <w:tcPr>
            <w:tcW w:w="8505" w:type="dxa"/>
            <w:vAlign w:val="center"/>
          </w:tcPr>
          <w:p w14:paraId="44637D44" w14:textId="63AE0ABA" w:rsidR="00497A45" w:rsidRPr="001455DC" w:rsidRDefault="00231E33">
            <w:pPr>
              <w:pStyle w:val="Formula"/>
              <w:jc w:val="left"/>
            </w:pPr>
            <m:oMathPara>
              <m:oMathParaPr>
                <m:jc m:val="left"/>
              </m:oMathParaPr>
              <m:oMath>
                <m:sSub>
                  <m:sSubPr>
                    <m:ctrlPr>
                      <w:rPr>
                        <w:rFonts w:ascii="Cambria Math" w:hAnsi="Cambria Math"/>
                      </w:rPr>
                    </m:ctrlPr>
                  </m:sSubPr>
                  <m:e>
                    <m:r>
                      <w:rPr>
                        <w:rFonts w:ascii="Cambria Math" w:hAnsi="Cambria Math"/>
                      </w:rPr>
                      <m:t>τ</m:t>
                    </m:r>
                  </m:e>
                  <m:sub>
                    <m:r>
                      <m:rPr>
                        <m:sty m:val="p"/>
                      </m:rPr>
                      <w:rPr>
                        <w:rFonts w:ascii="Cambria Math" w:hAnsi="Cambria Math"/>
                      </w:rPr>
                      <m:t>Rd</m:t>
                    </m:r>
                  </m:sub>
                </m:sSub>
                <m:r>
                  <w:rPr>
                    <w:rFonts w:ascii="Cambria Math" w:hAnsi="Cambria Math"/>
                  </w:rPr>
                  <m:t>=ν⋅</m:t>
                </m:r>
                <m:sSub>
                  <m:sSubPr>
                    <m:ctrlPr>
                      <w:rPr>
                        <w:rFonts w:ascii="Cambria Math" w:hAnsi="Cambria Math"/>
                      </w:rPr>
                    </m:ctrlPr>
                  </m:sSubPr>
                  <m:e>
                    <m:r>
                      <w:rPr>
                        <w:rFonts w:ascii="Cambria Math" w:hAnsi="Cambria Math"/>
                      </w:rPr>
                      <m:t>f</m:t>
                    </m:r>
                  </m:e>
                  <m:sub>
                    <m:r>
                      <m:rPr>
                        <m:sty m:val="p"/>
                      </m:rPr>
                      <w:rPr>
                        <w:rFonts w:ascii="Cambria Math" w:hAnsi="Cambria Math"/>
                      </w:rPr>
                      <m:t>cd</m:t>
                    </m:r>
                  </m:sub>
                </m:sSub>
                <m:f>
                  <m:fPr>
                    <m:ctrlPr>
                      <w:rPr>
                        <w:rFonts w:ascii="Cambria Math" w:hAnsi="Cambria Math"/>
                      </w:rPr>
                    </m:ctrlPr>
                  </m:fPr>
                  <m:num>
                    <m:r>
                      <m:rPr>
                        <m:sty m:val="p"/>
                      </m:rPr>
                      <w:rPr>
                        <w:rFonts w:ascii="Cambria Math" w:hAnsi="Cambria Math"/>
                      </w:rPr>
                      <m:t>cot</m:t>
                    </m:r>
                    <m:r>
                      <w:rPr>
                        <w:rFonts w:ascii="Cambria Math" w:hAnsi="Cambria Math"/>
                      </w:rPr>
                      <m:t>θ-</m:t>
                    </m:r>
                    <m:r>
                      <m:rPr>
                        <m:sty m:val="p"/>
                      </m:rPr>
                      <w:rPr>
                        <w:rFonts w:ascii="Cambria Math" w:hAnsi="Cambria Math"/>
                      </w:rPr>
                      <m:t>cot</m:t>
                    </m:r>
                    <m:r>
                      <w:rPr>
                        <w:rFonts w:ascii="Cambria Math" w:hAnsi="Cambria Math"/>
                      </w:rPr>
                      <m:t>β</m:t>
                    </m:r>
                  </m:num>
                  <m:den>
                    <m:r>
                      <w:rPr>
                        <w:rFonts w:ascii="Cambria Math" w:hAnsi="Cambria Math"/>
                      </w:rPr>
                      <m:t>1+</m:t>
                    </m:r>
                    <m:sSup>
                      <m:sSupPr>
                        <m:ctrlPr>
                          <w:rPr>
                            <w:rFonts w:ascii="Cambria Math" w:hAnsi="Cambria Math"/>
                          </w:rPr>
                        </m:ctrlPr>
                      </m:sSupPr>
                      <m:e>
                        <m:r>
                          <m:rPr>
                            <m:sty m:val="p"/>
                          </m:rPr>
                          <w:rPr>
                            <w:rFonts w:ascii="Cambria Math" w:hAnsi="Cambria Math"/>
                          </w:rPr>
                          <m:t>cot</m:t>
                        </m:r>
                      </m:e>
                      <m:sup>
                        <m:r>
                          <w:rPr>
                            <w:rFonts w:ascii="Cambria Math" w:hAnsi="Cambria Math"/>
                          </w:rPr>
                          <m:t>2</m:t>
                        </m:r>
                      </m:sup>
                    </m:sSup>
                    <m:r>
                      <w:rPr>
                        <w:rFonts w:ascii="Cambria Math" w:hAnsi="Cambria Math"/>
                      </w:rPr>
                      <m:t>θ</m:t>
                    </m:r>
                  </m:den>
                </m:f>
                <m:r>
                  <w:rPr>
                    <w:rFonts w:ascii="Cambria Math" w:hAnsi="Cambria Math"/>
                  </w:rPr>
                  <m:t>+</m:t>
                </m:r>
                <m:sSub>
                  <m:sSubPr>
                    <m:ctrlPr>
                      <w:rPr>
                        <w:rFonts w:ascii="Cambria Math" w:hAnsi="Cambria Math"/>
                      </w:rPr>
                    </m:ctrlPr>
                  </m:sSubPr>
                  <m:e>
                    <m:r>
                      <w:rPr>
                        <w:rFonts w:ascii="Cambria Math" w:hAnsi="Cambria Math"/>
                      </w:rPr>
                      <m:t>ρ</m:t>
                    </m:r>
                  </m:e>
                  <m:sub>
                    <m:r>
                      <m:rPr>
                        <m:sty m:val="p"/>
                      </m:rPr>
                      <w:rPr>
                        <w:rFonts w:ascii="Cambria Math" w:hAnsi="Cambria Math"/>
                      </w:rPr>
                      <m:t>w</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ywd</m:t>
                    </m:r>
                  </m:sub>
                </m:sSub>
                <m:r>
                  <w:rPr>
                    <w:rFonts w:ascii="Cambria Math" w:hAnsi="Cambria Math"/>
                  </w:rPr>
                  <m:t>⋅</m:t>
                </m:r>
                <m:d>
                  <m:dPr>
                    <m:ctrlPr>
                      <w:rPr>
                        <w:rFonts w:ascii="Cambria Math" w:hAnsi="Cambria Math"/>
                      </w:rPr>
                    </m:ctrlPr>
                  </m:dPr>
                  <m:e>
                    <m:r>
                      <m:rPr>
                        <m:sty m:val="p"/>
                      </m:rPr>
                      <w:rPr>
                        <w:rFonts w:ascii="Cambria Math" w:hAnsi="Cambria Math"/>
                      </w:rPr>
                      <m:t>cot</m:t>
                    </m:r>
                    <m:r>
                      <w:rPr>
                        <w:rFonts w:ascii="Cambria Math" w:hAnsi="Cambria Math"/>
                      </w:rPr>
                      <m:t>β+</m:t>
                    </m:r>
                    <m:r>
                      <m:rPr>
                        <m:sty m:val="p"/>
                      </m:rPr>
                      <w:rPr>
                        <w:rFonts w:ascii="Cambria Math" w:hAnsi="Cambria Math"/>
                      </w:rPr>
                      <m:t>cot</m:t>
                    </m:r>
                    <m:sSub>
                      <m:sSubPr>
                        <m:ctrlPr>
                          <w:rPr>
                            <w:rFonts w:ascii="Cambria Math" w:hAnsi="Cambria Math"/>
                          </w:rPr>
                        </m:ctrlPr>
                      </m:sSubPr>
                      <m:e>
                        <m:r>
                          <w:rPr>
                            <w:rFonts w:ascii="Cambria Math" w:hAnsi="Cambria Math"/>
                          </w:rPr>
                          <m:t>α</m:t>
                        </m:r>
                      </m:e>
                      <m:sub>
                        <m:r>
                          <m:rPr>
                            <m:sty m:val="p"/>
                          </m:rPr>
                          <w:rPr>
                            <w:rFonts w:ascii="Cambria Math" w:hAnsi="Cambria Math"/>
                          </w:rPr>
                          <m:t>w</m:t>
                        </m:r>
                      </m:sub>
                    </m:sSub>
                  </m:e>
                </m:d>
                <m:r>
                  <m:rPr>
                    <m:sty m:val="p"/>
                  </m:rPr>
                  <w:rPr>
                    <w:rFonts w:ascii="Cambria Math" w:hAnsi="Cambria Math"/>
                  </w:rPr>
                  <m:t>sin</m:t>
                </m:r>
                <m:sSub>
                  <m:sSubPr>
                    <m:ctrlPr>
                      <w:rPr>
                        <w:rFonts w:ascii="Cambria Math" w:hAnsi="Cambria Math"/>
                      </w:rPr>
                    </m:ctrlPr>
                  </m:sSubPr>
                  <m:e>
                    <m:r>
                      <w:rPr>
                        <w:rFonts w:ascii="Cambria Math" w:hAnsi="Cambria Math"/>
                      </w:rPr>
                      <m:t>α</m:t>
                    </m:r>
                  </m:e>
                  <m:sub>
                    <m:r>
                      <m:rPr>
                        <m:sty m:val="p"/>
                      </m:rPr>
                      <w:rPr>
                        <w:rFonts w:ascii="Cambria Math" w:hAnsi="Cambria Math"/>
                      </w:rPr>
                      <m:t>w</m:t>
                    </m:r>
                  </m:sub>
                </m:sSub>
                <m:r>
                  <w:rPr>
                    <w:rFonts w:ascii="Cambria Math" w:hAnsi="Cambria Math"/>
                  </w:rPr>
                  <m:t>≤ν⋅</m:t>
                </m:r>
                <m:sSub>
                  <m:sSubPr>
                    <m:ctrlPr>
                      <w:rPr>
                        <w:rFonts w:ascii="Cambria Math" w:hAnsi="Cambria Math"/>
                      </w:rPr>
                    </m:ctrlPr>
                  </m:sSubPr>
                  <m:e>
                    <m:r>
                      <w:rPr>
                        <w:rFonts w:ascii="Cambria Math" w:hAnsi="Cambria Math"/>
                      </w:rPr>
                      <m:t>f</m:t>
                    </m:r>
                  </m:e>
                  <m:sub>
                    <m:r>
                      <m:rPr>
                        <m:sty m:val="p"/>
                      </m:rPr>
                      <w:rPr>
                        <w:rFonts w:ascii="Cambria Math" w:hAnsi="Cambria Math"/>
                      </w:rPr>
                      <m:t>cd</m:t>
                    </m:r>
                  </m:sub>
                </m:sSub>
                <m:f>
                  <m:fPr>
                    <m:ctrlPr>
                      <w:rPr>
                        <w:rFonts w:ascii="Cambria Math" w:hAnsi="Cambria Math"/>
                      </w:rPr>
                    </m:ctrlPr>
                  </m:fPr>
                  <m:num>
                    <m:r>
                      <m:rPr>
                        <m:sty m:val="p"/>
                      </m:rPr>
                      <w:rPr>
                        <w:rFonts w:ascii="Cambria Math" w:hAnsi="Cambria Math"/>
                      </w:rPr>
                      <m:t>cot</m:t>
                    </m:r>
                    <m:r>
                      <w:rPr>
                        <w:rFonts w:ascii="Cambria Math" w:hAnsi="Cambria Math"/>
                      </w:rPr>
                      <m:t>θ+</m:t>
                    </m:r>
                    <m:r>
                      <m:rPr>
                        <m:sty m:val="p"/>
                      </m:rPr>
                      <w:rPr>
                        <w:rFonts w:ascii="Cambria Math" w:hAnsi="Cambria Math"/>
                      </w:rPr>
                      <m:t>cot</m:t>
                    </m:r>
                    <m:sSub>
                      <m:sSubPr>
                        <m:ctrlPr>
                          <w:rPr>
                            <w:rFonts w:ascii="Cambria Math" w:hAnsi="Cambria Math"/>
                          </w:rPr>
                        </m:ctrlPr>
                      </m:sSubPr>
                      <m:e>
                        <m:r>
                          <w:rPr>
                            <w:rFonts w:ascii="Cambria Math" w:hAnsi="Cambria Math"/>
                          </w:rPr>
                          <m:t>α</m:t>
                        </m:r>
                      </m:e>
                      <m:sub>
                        <m:r>
                          <m:rPr>
                            <m:sty m:val="p"/>
                          </m:rPr>
                          <w:rPr>
                            <w:rFonts w:ascii="Cambria Math" w:hAnsi="Cambria Math"/>
                          </w:rPr>
                          <m:t>w</m:t>
                        </m:r>
                      </m:sub>
                    </m:sSub>
                  </m:num>
                  <m:den>
                    <m:r>
                      <w:rPr>
                        <w:rFonts w:ascii="Cambria Math" w:hAnsi="Cambria Math"/>
                      </w:rPr>
                      <m:t>1+</m:t>
                    </m:r>
                    <m:sSup>
                      <m:sSupPr>
                        <m:ctrlPr>
                          <w:rPr>
                            <w:rFonts w:ascii="Cambria Math" w:hAnsi="Cambria Math"/>
                          </w:rPr>
                        </m:ctrlPr>
                      </m:sSupPr>
                      <m:e>
                        <m:r>
                          <m:rPr>
                            <m:sty m:val="p"/>
                          </m:rPr>
                          <w:rPr>
                            <w:rFonts w:ascii="Cambria Math" w:hAnsi="Cambria Math"/>
                          </w:rPr>
                          <m:t>cot</m:t>
                        </m:r>
                      </m:e>
                      <m:sup>
                        <m:r>
                          <w:rPr>
                            <w:rFonts w:ascii="Cambria Math" w:hAnsi="Cambria Math"/>
                          </w:rPr>
                          <m:t>2</m:t>
                        </m:r>
                      </m:sup>
                    </m:sSup>
                    <m:r>
                      <w:rPr>
                        <w:rFonts w:ascii="Cambria Math" w:hAnsi="Cambria Math"/>
                      </w:rPr>
                      <m:t>θ</m:t>
                    </m:r>
                  </m:den>
                </m:f>
              </m:oMath>
            </m:oMathPara>
          </w:p>
        </w:tc>
        <w:tc>
          <w:tcPr>
            <w:tcW w:w="1247" w:type="dxa"/>
            <w:vAlign w:val="center"/>
          </w:tcPr>
          <w:p w14:paraId="37C9836E" w14:textId="26DE6CCB" w:rsidR="00497A45" w:rsidRPr="001455DC" w:rsidRDefault="00497A45">
            <w:pPr>
              <w:pStyle w:val="a7"/>
              <w:jc w:val="right"/>
            </w:pPr>
            <w:r w:rsidRPr="001455DC">
              <w:t>(8.</w:t>
            </w:r>
            <w:r w:rsidR="00D04FFB" w:rsidRPr="001455DC">
              <w:t>47</w:t>
            </w:r>
            <w:r w:rsidRPr="001455DC">
              <w:t>)</w:t>
            </w:r>
          </w:p>
        </w:tc>
      </w:tr>
    </w:tbl>
    <w:p w14:paraId="2E0416E5" w14:textId="62E68DA9" w:rsidR="00D04FFB" w:rsidRPr="009D3012" w:rsidRDefault="00D04FFB" w:rsidP="009D3012">
      <w:pPr>
        <w:pStyle w:val="a7"/>
      </w:pPr>
      <w:r w:rsidRPr="009D3012">
        <w:rPr>
          <w:rFonts w:cs="Arial"/>
          <w:lang w:eastAsia="de-CH"/>
        </w:rPr>
        <w:t>Compression field inclinations with cot</w:t>
      </w:r>
      <w:r w:rsidRPr="009D3012">
        <w:rPr>
          <w:rFonts w:ascii="Symbol" w:hAnsi="Symbol" w:cs="Arial"/>
          <w:i/>
          <w:lang w:eastAsia="de-CH"/>
        </w:rPr>
        <w:t></w:t>
      </w:r>
      <w:r w:rsidRPr="009D3012">
        <w:rPr>
          <w:rFonts w:ascii="Symbol" w:hAnsi="Symbol" w:cs="Arial"/>
          <w:i/>
          <w:lang w:eastAsia="de-CH"/>
        </w:rPr>
        <w:t></w:t>
      </w:r>
      <w:r w:rsidRPr="009D3012">
        <w:rPr>
          <w:rFonts w:cs="Arial"/>
          <w:lang w:eastAsia="de-CH"/>
        </w:rPr>
        <w:t>&lt; tan(</w:t>
      </w:r>
      <w:r w:rsidRPr="009D3012">
        <w:rPr>
          <w:rFonts w:ascii="Symbol" w:hAnsi="Symbol" w:cs="Arial"/>
          <w:i/>
          <w:lang w:eastAsia="de-CH"/>
        </w:rPr>
        <w:t></w:t>
      </w:r>
      <w:r w:rsidRPr="009D3012">
        <w:rPr>
          <w:rFonts w:cs="Arial"/>
          <w:vertAlign w:val="subscript"/>
          <w:lang w:eastAsia="de-CH"/>
        </w:rPr>
        <w:t>w</w:t>
      </w:r>
      <w:r w:rsidRPr="009D3012">
        <w:rPr>
          <w:rFonts w:cs="Arial"/>
          <w:lang w:eastAsia="de-CH"/>
        </w:rPr>
        <w:t xml:space="preserve">/2) are allowed if the yield strength </w:t>
      </w:r>
      <w:r w:rsidRPr="009D3012">
        <w:rPr>
          <w:rFonts w:cs="Arial"/>
          <w:i/>
          <w:lang w:eastAsia="de-CH"/>
        </w:rPr>
        <w:t>f</w:t>
      </w:r>
      <w:r w:rsidRPr="009D3012">
        <w:rPr>
          <w:rFonts w:cs="Arial"/>
          <w:iCs/>
          <w:vertAlign w:val="subscript"/>
          <w:lang w:eastAsia="de-CH"/>
        </w:rPr>
        <w:t>ywd</w:t>
      </w:r>
      <w:r w:rsidRPr="009D3012">
        <w:rPr>
          <w:rFonts w:cs="Arial"/>
          <w:iCs/>
          <w:lang w:eastAsia="de-CH"/>
        </w:rPr>
        <w:t xml:space="preserve"> </w:t>
      </w:r>
      <w:r w:rsidRPr="009D3012">
        <w:rPr>
          <w:rFonts w:cs="Arial"/>
          <w:lang w:eastAsia="de-CH"/>
        </w:rPr>
        <w:t xml:space="preserve">in Formula (8.47) is replaced by the stress </w:t>
      </w:r>
      <w:r w:rsidRPr="009D3012">
        <w:rPr>
          <w:rFonts w:ascii="Symbol" w:hAnsi="Symbol" w:cs="Arial"/>
          <w:i/>
          <w:lang w:eastAsia="de-CH"/>
        </w:rPr>
        <w:t></w:t>
      </w:r>
      <w:r w:rsidRPr="009D3012">
        <w:rPr>
          <w:rFonts w:cs="Arial"/>
          <w:vertAlign w:val="subscript"/>
          <w:lang w:eastAsia="de-CH"/>
        </w:rPr>
        <w:t>swd</w:t>
      </w:r>
      <w:r w:rsidRPr="009D3012">
        <w:rPr>
          <w:rFonts w:cs="Arial"/>
          <w:lang w:eastAsia="de-CH"/>
        </w:rPr>
        <w:t xml:space="preserve"> in the shear reinforcement according to:</w:t>
      </w:r>
      <w:r w:rsidRPr="009D3012">
        <w:br w:type="page"/>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97A45" w:rsidRPr="001455DC" w14:paraId="481A7C9F" w14:textId="77777777" w:rsidTr="004F7465">
        <w:trPr>
          <w:cantSplit/>
        </w:trPr>
        <w:tc>
          <w:tcPr>
            <w:tcW w:w="8505" w:type="dxa"/>
            <w:vAlign w:val="center"/>
          </w:tcPr>
          <w:p w14:paraId="05232232" w14:textId="790D3D29" w:rsidR="00497A45" w:rsidRPr="001455DC" w:rsidRDefault="00231E33" w:rsidP="004F7465">
            <w:pPr>
              <w:pStyle w:val="Formula"/>
              <w:jc w:val="left"/>
            </w:pPr>
            <m:oMathPara>
              <m:oMathParaPr>
                <m:jc m:val="left"/>
              </m:oMathParaPr>
              <m:oMath>
                <m:sSub>
                  <m:sSubPr>
                    <m:ctrlPr>
                      <w:rPr>
                        <w:rFonts w:ascii="Cambria Math" w:hAnsi="Cambria Math"/>
                        <w:lang w:eastAsia="de-CH"/>
                      </w:rPr>
                    </m:ctrlPr>
                  </m:sSubPr>
                  <m:e>
                    <m:r>
                      <w:rPr>
                        <w:rFonts w:ascii="Cambria Math" w:hAnsi="Cambria Math"/>
                      </w:rPr>
                      <m:t>σ</m:t>
                    </m:r>
                  </m:e>
                  <m:sub>
                    <m:r>
                      <m:rPr>
                        <m:sty m:val="p"/>
                      </m:rPr>
                      <w:rPr>
                        <w:rFonts w:ascii="Cambria Math" w:hAnsi="Cambria Math"/>
                      </w:rPr>
                      <m:t>swd</m:t>
                    </m:r>
                  </m:sub>
                </m:sSub>
                <m: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m:t>
                    </m:r>
                  </m:sub>
                </m:sSub>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ε</m:t>
                            </m:r>
                          </m:e>
                          <m:sub>
                            <m:r>
                              <w:rPr>
                                <w:rFonts w:ascii="Cambria Math" w:hAnsi="Cambria Math"/>
                              </w:rPr>
                              <m:t>x</m:t>
                            </m:r>
                          </m:sub>
                        </m:sSub>
                        <m:r>
                          <w:rPr>
                            <w:rFonts w:ascii="Cambria Math" w:hAnsi="Cambria Math"/>
                          </w:rPr>
                          <m:t>+0,001</m:t>
                        </m:r>
                      </m:e>
                    </m:d>
                    <m:r>
                      <w:rPr>
                        <w:rFonts w:ascii="Cambria Math" w:hAnsi="Cambria Math"/>
                      </w:rPr>
                      <m:t>⋅</m:t>
                    </m:r>
                    <m:f>
                      <m:fPr>
                        <m:ctrlPr>
                          <w:rPr>
                            <w:rFonts w:ascii="Cambria Math" w:hAnsi="Cambria Math"/>
                          </w:rPr>
                        </m:ctrlPr>
                      </m:fPr>
                      <m:num>
                        <m:sSup>
                          <m:sSupPr>
                            <m:ctrlPr>
                              <w:rPr>
                                <w:rFonts w:ascii="Cambria Math" w:hAnsi="Cambria Math"/>
                                <w:iCs/>
                              </w:rPr>
                            </m:ctrlPr>
                          </m:sSupPr>
                          <m:e>
                            <m:d>
                              <m:dPr>
                                <m:ctrlPr>
                                  <w:rPr>
                                    <w:rFonts w:ascii="Cambria Math" w:hAnsi="Cambria Math"/>
                                    <w:iCs/>
                                  </w:rPr>
                                </m:ctrlPr>
                              </m:dPr>
                              <m:e>
                                <m:r>
                                  <m:rPr>
                                    <m:sty m:val="p"/>
                                  </m:rPr>
                                  <w:rPr>
                                    <w:rFonts w:ascii="Cambria Math" w:hAnsi="Cambria Math"/>
                                  </w:rPr>
                                  <m:t>cot</m:t>
                                </m:r>
                                <m:r>
                                  <w:rPr>
                                    <w:rFonts w:ascii="Cambria Math" w:hAnsi="Cambria Math"/>
                                  </w:rPr>
                                  <m:t>θ+</m:t>
                                </m:r>
                                <m:r>
                                  <m:rPr>
                                    <m:sty m:val="p"/>
                                  </m:rPr>
                                  <w:rPr>
                                    <w:rFonts w:ascii="Cambria Math" w:hAnsi="Cambria Math"/>
                                  </w:rPr>
                                  <m:t>cot</m:t>
                                </m:r>
                                <m:sSub>
                                  <m:sSubPr>
                                    <m:ctrlPr>
                                      <w:rPr>
                                        <w:rFonts w:ascii="Cambria Math" w:hAnsi="Cambria Math"/>
                                      </w:rPr>
                                    </m:ctrlPr>
                                  </m:sSubPr>
                                  <m:e>
                                    <m:r>
                                      <w:rPr>
                                        <w:rFonts w:ascii="Cambria Math" w:hAnsi="Cambria Math"/>
                                      </w:rPr>
                                      <m:t>α</m:t>
                                    </m:r>
                                  </m:e>
                                  <m:sub>
                                    <m:r>
                                      <m:rPr>
                                        <m:sty m:val="p"/>
                                      </m:rPr>
                                      <w:rPr>
                                        <w:rFonts w:ascii="Cambria Math" w:hAnsi="Cambria Math"/>
                                      </w:rPr>
                                      <m:t>w</m:t>
                                    </m:r>
                                  </m:sub>
                                </m:sSub>
                              </m:e>
                            </m:d>
                          </m:e>
                          <m:sup>
                            <m:r>
                              <w:rPr>
                                <w:rFonts w:ascii="Cambria Math" w:hAnsi="Cambria Math"/>
                              </w:rPr>
                              <m:t>2</m:t>
                            </m:r>
                          </m:sup>
                        </m:sSup>
                      </m:num>
                      <m:den>
                        <m:r>
                          <w:rPr>
                            <w:rFonts w:ascii="Cambria Math" w:hAnsi="Cambria Math"/>
                          </w:rPr>
                          <m:t>1+</m:t>
                        </m:r>
                        <m:sSup>
                          <m:sSupPr>
                            <m:ctrlPr>
                              <w:rPr>
                                <w:rFonts w:ascii="Cambria Math" w:hAnsi="Cambria Math"/>
                              </w:rPr>
                            </m:ctrlPr>
                          </m:sSupPr>
                          <m:e>
                            <m:r>
                              <m:rPr>
                                <m:sty m:val="p"/>
                              </m:rPr>
                              <w:rPr>
                                <w:rFonts w:ascii="Cambria Math" w:hAnsi="Cambria Math"/>
                              </w:rPr>
                              <m:t>cot</m:t>
                            </m:r>
                          </m:e>
                          <m:sup>
                            <m:r>
                              <w:rPr>
                                <w:rFonts w:ascii="Cambria Math" w:hAnsi="Cambria Math"/>
                              </w:rPr>
                              <m:t>2</m:t>
                            </m:r>
                          </m:sup>
                        </m:sSup>
                        <m:sSub>
                          <m:sSubPr>
                            <m:ctrlPr>
                              <w:rPr>
                                <w:rFonts w:ascii="Cambria Math" w:hAnsi="Cambria Math"/>
                              </w:rPr>
                            </m:ctrlPr>
                          </m:sSubPr>
                          <m:e>
                            <m:r>
                              <w:rPr>
                                <w:rFonts w:ascii="Cambria Math" w:hAnsi="Cambria Math"/>
                              </w:rPr>
                              <m:t>α</m:t>
                            </m:r>
                          </m:e>
                          <m:sub>
                            <m:r>
                              <w:rPr>
                                <w:rFonts w:ascii="Cambria Math" w:hAnsi="Cambria Math"/>
                              </w:rPr>
                              <m:t>w</m:t>
                            </m:r>
                          </m:sub>
                        </m:sSub>
                      </m:den>
                    </m:f>
                    <m:r>
                      <w:rPr>
                        <w:rFonts w:ascii="Cambria Math" w:hAnsi="Cambria Math"/>
                      </w:rPr>
                      <m:t>-0,001</m:t>
                    </m:r>
                  </m:e>
                </m:d>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ywd</m:t>
                    </m:r>
                  </m:sub>
                </m:sSub>
              </m:oMath>
            </m:oMathPara>
          </w:p>
        </w:tc>
        <w:tc>
          <w:tcPr>
            <w:tcW w:w="1247" w:type="dxa"/>
            <w:vAlign w:val="center"/>
          </w:tcPr>
          <w:p w14:paraId="2FE39010" w14:textId="3E007ED0" w:rsidR="00497A45" w:rsidRPr="001455DC" w:rsidRDefault="00497A45">
            <w:pPr>
              <w:pStyle w:val="a7"/>
              <w:jc w:val="right"/>
            </w:pPr>
            <w:r w:rsidRPr="001455DC">
              <w:rPr>
                <w:lang w:eastAsia="de-CH"/>
              </w:rPr>
              <w:t>(8.</w:t>
            </w:r>
            <w:r w:rsidR="00D04FFB" w:rsidRPr="001455DC">
              <w:rPr>
                <w:lang w:eastAsia="de-CH"/>
              </w:rPr>
              <w:t>48</w:t>
            </w:r>
            <w:r w:rsidRPr="001455DC">
              <w:rPr>
                <w:lang w:eastAsia="de-CH"/>
              </w:rPr>
              <w:t>)</w:t>
            </w:r>
          </w:p>
        </w:tc>
      </w:tr>
    </w:tbl>
    <w:p w14:paraId="03D6F1F3" w14:textId="4A24804D" w:rsidR="004E22C1" w:rsidRPr="001455DC" w:rsidRDefault="004E22C1" w:rsidP="00243590">
      <w:pPr>
        <w:pStyle w:val="31"/>
      </w:pPr>
      <w:bookmarkStart w:id="567" w:name="_Toc52819979"/>
      <w:bookmarkStart w:id="568" w:name="_Toc54337372"/>
      <w:bookmarkStart w:id="569" w:name="_Toc54338035"/>
      <w:bookmarkStart w:id="570" w:name="_Toc67565383"/>
      <w:r w:rsidRPr="001455DC">
        <w:t>In-plane shear and transverse bending</w:t>
      </w:r>
      <w:bookmarkEnd w:id="567"/>
      <w:bookmarkEnd w:id="568"/>
      <w:bookmarkEnd w:id="569"/>
      <w:bookmarkEnd w:id="570"/>
    </w:p>
    <w:p w14:paraId="680C971F" w14:textId="4632EDAF" w:rsidR="004E22C1" w:rsidRPr="001455DC" w:rsidRDefault="004E22C1" w:rsidP="00A35599">
      <w:pPr>
        <w:pStyle w:val="a7"/>
        <w:keepNext/>
      </w:pPr>
      <w:r w:rsidRPr="001455DC">
        <w:t>(1)</w:t>
      </w:r>
      <w:r w:rsidRPr="001455DC">
        <w:tab/>
        <w:t xml:space="preserve">The interaction between shear stress </w:t>
      </w:r>
      <w:r w:rsidRPr="001455DC">
        <w:rPr>
          <w:rStyle w:val="CCMCvariableitalic"/>
        </w:rPr>
        <w:t>τ</w:t>
      </w:r>
      <w:r w:rsidRPr="001455DC">
        <w:rPr>
          <w:rStyle w:val="CCMCvariablesubscript"/>
        </w:rPr>
        <w:t>Ed</w:t>
      </w:r>
      <w:r w:rsidRPr="001455DC">
        <w:t xml:space="preserve"> and transverse bending </w:t>
      </w:r>
      <w:r w:rsidRPr="001455DC">
        <w:rPr>
          <w:rStyle w:val="CCMCvariableitalic"/>
        </w:rPr>
        <w:t>m</w:t>
      </w:r>
      <w:r w:rsidRPr="001455DC">
        <w:rPr>
          <w:rStyle w:val="CCMCvariablesubscript"/>
        </w:rPr>
        <w:t>Ed</w:t>
      </w:r>
      <w:r w:rsidRPr="001455DC">
        <w:t xml:space="preserve"> (see Figure 8.12) may be disregarded if </w:t>
      </w:r>
      <w:r w:rsidRPr="001455DC">
        <w:rPr>
          <w:rStyle w:val="CCMCvariableitalic"/>
        </w:rPr>
        <w:t>τ</w:t>
      </w:r>
      <w:r w:rsidRPr="001455DC">
        <w:rPr>
          <w:rStyle w:val="CCMCvariablesubscript"/>
        </w:rPr>
        <w:t>Ed</w:t>
      </w:r>
      <w:r w:rsidRPr="001455DC">
        <w:t>/</w:t>
      </w:r>
      <w:r w:rsidRPr="001455DC">
        <w:rPr>
          <w:rStyle w:val="CCMCvariableitalic"/>
        </w:rPr>
        <w:t>τ</w:t>
      </w:r>
      <w:r w:rsidRPr="001455DC">
        <w:rPr>
          <w:rStyle w:val="CCMCvariablesubscript"/>
        </w:rPr>
        <w:t>Rd</w:t>
      </w:r>
      <w:r w:rsidRPr="001455DC">
        <w:t> </w:t>
      </w:r>
      <w:r w:rsidR="00650035" w:rsidRPr="001455DC">
        <w:rPr>
          <w:rFonts w:ascii="Cambria Math" w:hAnsi="Cambria Math"/>
        </w:rPr>
        <w:t>&lt;</w:t>
      </w:r>
      <w:r w:rsidRPr="001455DC">
        <w:t xml:space="preserve"> 0,2 or </w:t>
      </w:r>
      <w:r w:rsidRPr="001455DC">
        <w:rPr>
          <w:rStyle w:val="CCMCvariableitalic"/>
        </w:rPr>
        <w:t>m</w:t>
      </w:r>
      <w:r w:rsidRPr="001455DC">
        <w:rPr>
          <w:rStyle w:val="CCMCvariablesubscript"/>
        </w:rPr>
        <w:t>Ed</w:t>
      </w:r>
      <w:r w:rsidRPr="001455DC">
        <w:t>/</w:t>
      </w:r>
      <w:r w:rsidRPr="001455DC">
        <w:rPr>
          <w:rStyle w:val="CCMCvariableitalic"/>
        </w:rPr>
        <w:t>m</w:t>
      </w:r>
      <w:r w:rsidRPr="001455DC">
        <w:rPr>
          <w:rStyle w:val="CCMCvariablesubscript"/>
        </w:rPr>
        <w:t>Rd</w:t>
      </w:r>
      <w:r w:rsidRPr="001455DC">
        <w:t> </w:t>
      </w:r>
      <w:r w:rsidR="00650035" w:rsidRPr="001455DC">
        <w:rPr>
          <w:rFonts w:ascii="Cambria Math" w:hAnsi="Cambria Math"/>
        </w:rPr>
        <w:t>&lt;</w:t>
      </w:r>
      <w:r w:rsidRPr="001455DC">
        <w:t> 0,1</w:t>
      </w:r>
    </w:p>
    <w:p w14:paraId="3B93F921" w14:textId="7EDDC1D1" w:rsidR="00B325DB" w:rsidRPr="001455DC" w:rsidRDefault="004E22C1"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B325DB" w:rsidRPr="001455DC" w14:paraId="0443374A" w14:textId="77777777" w:rsidTr="00EC0EC0">
        <w:trPr>
          <w:cantSplit/>
        </w:trPr>
        <w:tc>
          <w:tcPr>
            <w:tcW w:w="567" w:type="dxa"/>
          </w:tcPr>
          <w:p w14:paraId="36C94D31" w14:textId="08A94B13" w:rsidR="00B325DB" w:rsidRPr="001455DC" w:rsidRDefault="00B325DB" w:rsidP="00EC0EC0">
            <w:pPr>
              <w:pStyle w:val="Tablebody"/>
            </w:pPr>
            <w:r w:rsidRPr="001455DC">
              <w:rPr>
                <w:rStyle w:val="CCMCvariableitalic"/>
              </w:rPr>
              <w:t>τ</w:t>
            </w:r>
            <w:r w:rsidRPr="001455DC">
              <w:rPr>
                <w:rStyle w:val="CCMCvariablesubscript"/>
              </w:rPr>
              <w:t>Rd</w:t>
            </w:r>
          </w:p>
        </w:tc>
        <w:tc>
          <w:tcPr>
            <w:tcW w:w="8845" w:type="dxa"/>
          </w:tcPr>
          <w:p w14:paraId="63A32159" w14:textId="340DCDF3" w:rsidR="00B325DB" w:rsidRPr="001455DC" w:rsidRDefault="00B325DB">
            <w:pPr>
              <w:pStyle w:val="Tablebody"/>
            </w:pPr>
            <w:r w:rsidRPr="001455DC">
              <w:t>is the shear resistance stress limited by crushing of the inclined compression field in the web according to Formula (8.</w:t>
            </w:r>
            <w:r w:rsidR="000A3AE7" w:rsidRPr="001455DC">
              <w:t>30</w:t>
            </w:r>
            <w:r w:rsidRPr="001455DC">
              <w:t>);</w:t>
            </w:r>
          </w:p>
        </w:tc>
      </w:tr>
      <w:tr w:rsidR="00B325DB" w:rsidRPr="001455DC" w14:paraId="6F49C8D5" w14:textId="77777777" w:rsidTr="00EC0EC0">
        <w:trPr>
          <w:cantSplit/>
        </w:trPr>
        <w:tc>
          <w:tcPr>
            <w:tcW w:w="567" w:type="dxa"/>
          </w:tcPr>
          <w:p w14:paraId="21ACD133" w14:textId="26D80111" w:rsidR="00B325DB" w:rsidRPr="001455DC" w:rsidRDefault="00B325DB" w:rsidP="00EC0EC0">
            <w:pPr>
              <w:pStyle w:val="Tablebody"/>
            </w:pPr>
            <w:r w:rsidRPr="001455DC">
              <w:rPr>
                <w:rStyle w:val="CCMCvariableitalic"/>
              </w:rPr>
              <w:t>m</w:t>
            </w:r>
            <w:r w:rsidRPr="001455DC">
              <w:rPr>
                <w:rStyle w:val="CCMCvariablesubscript"/>
              </w:rPr>
              <w:t>Rd</w:t>
            </w:r>
          </w:p>
        </w:tc>
        <w:tc>
          <w:tcPr>
            <w:tcW w:w="8845" w:type="dxa"/>
          </w:tcPr>
          <w:p w14:paraId="7DE257A8" w14:textId="0762749F" w:rsidR="00B325DB" w:rsidRPr="001455DC" w:rsidRDefault="00B325DB" w:rsidP="00EC0EC0">
            <w:pPr>
              <w:pStyle w:val="Tablebody"/>
            </w:pPr>
            <w:r w:rsidRPr="001455DC">
              <w:t>is the bending resistance without interaction with shear.</w:t>
            </w:r>
          </w:p>
        </w:tc>
      </w:tr>
    </w:tbl>
    <w:p w14:paraId="4E5D97DE" w14:textId="77777777" w:rsidR="00497A45" w:rsidRPr="001455DC" w:rsidRDefault="004E22C1" w:rsidP="008D37B2">
      <w:pPr>
        <w:pStyle w:val="a7"/>
        <w:keepNext/>
      </w:pPr>
      <w:r w:rsidRPr="001455DC">
        <w:t>(2)</w:t>
      </w:r>
      <w:r w:rsidRPr="001455DC">
        <w:tab/>
        <w:t xml:space="preserve">The shear resistance stress </w:t>
      </w:r>
      <w:r w:rsidRPr="001455DC">
        <w:rPr>
          <w:rStyle w:val="CCMCvariableitalic"/>
        </w:rPr>
        <w:t>τ</w:t>
      </w:r>
      <w:r w:rsidRPr="001455DC">
        <w:rPr>
          <w:rStyle w:val="CCMCvariablesubscript"/>
        </w:rPr>
        <w:t>Rdm</w:t>
      </w:r>
      <w:r w:rsidRPr="001455DC">
        <w:t xml:space="preserve"> reduced by the influence of transverse bending, in case of vertical symmetric shear reinforcement, may be assumed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97A45" w:rsidRPr="001455DC" w14:paraId="5AB9321E" w14:textId="77777777" w:rsidTr="004F7465">
        <w:trPr>
          <w:cantSplit/>
        </w:trPr>
        <w:tc>
          <w:tcPr>
            <w:tcW w:w="8505" w:type="dxa"/>
            <w:vAlign w:val="center"/>
          </w:tcPr>
          <w:p w14:paraId="77980EC4" w14:textId="0E1B5999" w:rsidR="00497A45" w:rsidRPr="001455DC" w:rsidRDefault="00231E33" w:rsidP="004F7465">
            <w:pPr>
              <w:pStyle w:val="Formula"/>
              <w:jc w:val="left"/>
            </w:pPr>
            <m:oMathPara>
              <m:oMathParaPr>
                <m:jc m:val="left"/>
              </m:oMathParaPr>
              <m:oMath>
                <m:sSub>
                  <m:sSubPr>
                    <m:ctrlPr>
                      <w:rPr>
                        <w:rFonts w:ascii="Cambria Math" w:hAnsi="Cambria Math"/>
                        <w:lang w:eastAsia="de-CH"/>
                      </w:rPr>
                    </m:ctrlPr>
                  </m:sSubPr>
                  <m:e>
                    <m:r>
                      <w:rPr>
                        <w:rFonts w:ascii="Cambria Math" w:hAnsi="Cambria Math"/>
                      </w:rPr>
                      <m:t>τ</m:t>
                    </m:r>
                  </m:e>
                  <m:sub>
                    <m:r>
                      <m:rPr>
                        <m:sty m:val="p"/>
                      </m:rPr>
                      <w:rPr>
                        <w:rFonts w:ascii="Cambria Math" w:hAnsi="Cambria Math"/>
                      </w:rPr>
                      <m:t>Rdm</m:t>
                    </m:r>
                  </m:sub>
                </m:sSub>
                <m:r>
                  <w:rPr>
                    <w:rFonts w:ascii="Cambria Math" w:hAnsi="Cambria Math"/>
                  </w:rPr>
                  <m:t>=</m:t>
                </m:r>
                <m:sSub>
                  <m:sSubPr>
                    <m:ctrlPr>
                      <w:rPr>
                        <w:rFonts w:ascii="Cambria Math" w:hAnsi="Cambria Math"/>
                      </w:rPr>
                    </m:ctrlPr>
                  </m:sSubPr>
                  <m:e>
                    <m:r>
                      <w:rPr>
                        <w:rFonts w:ascii="Cambria Math" w:hAnsi="Cambria Math"/>
                      </w:rPr>
                      <m:t>τ</m:t>
                    </m:r>
                  </m:e>
                  <m:sub>
                    <m:r>
                      <m:rPr>
                        <m:sty m:val="p"/>
                      </m:rPr>
                      <w:rPr>
                        <w:rFonts w:ascii="Cambria Math" w:hAnsi="Cambria Math"/>
                      </w:rPr>
                      <m:t>Rd</m:t>
                    </m:r>
                  </m:sub>
                </m:sSub>
                <m:rad>
                  <m:radPr>
                    <m:degHide m:val="1"/>
                    <m:ctrlPr>
                      <w:rPr>
                        <w:rFonts w:ascii="Cambria Math" w:hAnsi="Cambria Math"/>
                      </w:rPr>
                    </m:ctrlPr>
                  </m:radPr>
                  <m:deg/>
                  <m:e>
                    <m: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Ed</m:t>
                            </m:r>
                          </m:sub>
                        </m:sSub>
                      </m:num>
                      <m:den>
                        <m:sSub>
                          <m:sSubPr>
                            <m:ctrlPr>
                              <w:rPr>
                                <w:rFonts w:ascii="Cambria Math" w:hAnsi="Cambria Math"/>
                              </w:rPr>
                            </m:ctrlPr>
                          </m:sSubPr>
                          <m:e>
                            <m:r>
                              <w:rPr>
                                <w:rFonts w:ascii="Cambria Math" w:hAnsi="Cambria Math"/>
                              </w:rPr>
                              <m:t>m</m:t>
                            </m:r>
                          </m:e>
                          <m:sub>
                            <m:r>
                              <m:rPr>
                                <m:sty m:val="p"/>
                              </m:rPr>
                              <w:rPr>
                                <w:rFonts w:ascii="Cambria Math" w:hAnsi="Cambria Math"/>
                              </w:rPr>
                              <m:t>Rd</m:t>
                            </m:r>
                          </m:sub>
                        </m:sSub>
                      </m:den>
                    </m:f>
                  </m:e>
                </m:rad>
              </m:oMath>
            </m:oMathPara>
          </w:p>
        </w:tc>
        <w:tc>
          <w:tcPr>
            <w:tcW w:w="1247" w:type="dxa"/>
            <w:vAlign w:val="center"/>
          </w:tcPr>
          <w:p w14:paraId="1F7B5D5B" w14:textId="10A2BBB2" w:rsidR="00497A45" w:rsidRPr="001455DC" w:rsidRDefault="00B325DB">
            <w:pPr>
              <w:pStyle w:val="a7"/>
              <w:jc w:val="right"/>
            </w:pPr>
            <w:r w:rsidRPr="001455DC">
              <w:rPr>
                <w:lang w:eastAsia="de-CH"/>
              </w:rPr>
              <w:t>(8.</w:t>
            </w:r>
            <w:r w:rsidR="000A3AE7" w:rsidRPr="001455DC">
              <w:rPr>
                <w:lang w:eastAsia="de-CH"/>
              </w:rPr>
              <w:t>49</w:t>
            </w:r>
            <w:r w:rsidRPr="001455DC">
              <w:rPr>
                <w:lang w:eastAsia="de-CH"/>
              </w:rPr>
              <w:t>)</w:t>
            </w:r>
          </w:p>
        </w:tc>
      </w:tr>
    </w:tbl>
    <w:p w14:paraId="2AD4DCA1" w14:textId="77777777" w:rsidR="004E22C1" w:rsidRPr="001455DC" w:rsidRDefault="004E22C1" w:rsidP="00497A45">
      <w:pPr>
        <w:pStyle w:val="a7"/>
        <w:rPr>
          <w:lang w:eastAsia="de-CH"/>
        </w:rPr>
      </w:pPr>
      <w:r w:rsidRPr="001455DC">
        <w:rPr>
          <w:lang w:eastAsia="de-CH"/>
        </w:rPr>
        <w:t>Alternatively, Annex G may be used.</w:t>
      </w:r>
    </w:p>
    <w:p w14:paraId="64CA4F55" w14:textId="77777777" w:rsidR="00A46F70" w:rsidRDefault="00723CF7" w:rsidP="004543C9">
      <w:pPr>
        <w:pStyle w:val="FigureText"/>
        <w:jc w:val="center"/>
        <w:rPr>
          <w:rFonts w:eastAsia="Times New Roman"/>
          <w:noProof/>
          <w:lang w:eastAsia="en-GB"/>
        </w:rPr>
      </w:pPr>
      <w:r>
        <w:rPr>
          <w:rFonts w:eastAsia="Times New Roman"/>
          <w:noProof/>
          <w:lang w:eastAsia="en-GB"/>
        </w:rPr>
        <w:fldChar w:fldCharType="begin"/>
      </w:r>
      <w:r>
        <w:rPr>
          <w:rFonts w:eastAsia="Times New Roman"/>
          <w:noProof/>
          <w:lang w:eastAsia="en-GB"/>
        </w:rPr>
        <w:instrText xml:space="preserve"> INCLUDEPICTURE  "Y:\\STD_MGT\\STDDEL\\PRODUCTION\\etrans\\Download\\Z_FIRST_DEL\\SV\\00250\\00250269\\41_e_dr\\8_012.tif" \* MERGEFORMATINET </w:instrText>
      </w:r>
      <w:r>
        <w:rPr>
          <w:rFonts w:eastAsia="Times New Roman"/>
          <w:noProof/>
          <w:lang w:eastAsia="en-GB"/>
        </w:rPr>
        <w:fldChar w:fldCharType="separate"/>
      </w:r>
      <w:r w:rsidR="00FA575F">
        <w:rPr>
          <w:rFonts w:eastAsia="Times New Roman"/>
          <w:noProof/>
          <w:lang w:eastAsia="en-GB"/>
        </w:rPr>
        <w:fldChar w:fldCharType="begin"/>
      </w:r>
      <w:r w:rsidR="00FA575F">
        <w:rPr>
          <w:rFonts w:eastAsia="Times New Roman"/>
          <w:noProof/>
          <w:lang w:eastAsia="en-GB"/>
        </w:rPr>
        <w:instrText xml:space="preserve"> INCLUDEPICTURE  "Y:\\STD_MGT\\STDDEL\\PRODUCTION\\Standards\\00250\\269\\41_e_dr\\8_012.tif" \* MERGEFORMATINET </w:instrText>
      </w:r>
      <w:r w:rsidR="00FA575F">
        <w:rPr>
          <w:rFonts w:eastAsia="Times New Roman"/>
          <w:noProof/>
          <w:lang w:eastAsia="en-GB"/>
        </w:rPr>
        <w:fldChar w:fldCharType="separate"/>
      </w:r>
      <w:r w:rsidR="00C54E80">
        <w:rPr>
          <w:rFonts w:eastAsia="Times New Roman"/>
          <w:noProof/>
          <w:lang w:eastAsia="en-GB"/>
        </w:rPr>
        <w:fldChar w:fldCharType="begin"/>
      </w:r>
      <w:r w:rsidR="00C54E80">
        <w:rPr>
          <w:rFonts w:eastAsia="Times New Roman"/>
          <w:noProof/>
          <w:lang w:eastAsia="en-GB"/>
        </w:rPr>
        <w:instrText xml:space="preserve"> INCLUDEPICTURE  "Y:\\STD_MGT\\STDDEL\\PRODUCTION\\Standards\\00250\\269\\41_e_dr\\8_012.tif" \* MERGEFORMATINET </w:instrText>
      </w:r>
      <w:r w:rsidR="00C54E80">
        <w:rPr>
          <w:rFonts w:eastAsia="Times New Roman"/>
          <w:noProof/>
          <w:lang w:eastAsia="en-GB"/>
        </w:rPr>
        <w:fldChar w:fldCharType="separate"/>
      </w:r>
      <w:r w:rsidR="004B62E7">
        <w:rPr>
          <w:rFonts w:eastAsia="Times New Roman"/>
          <w:noProof/>
          <w:lang w:eastAsia="en-GB"/>
        </w:rPr>
        <w:fldChar w:fldCharType="begin"/>
      </w:r>
      <w:r w:rsidR="004B62E7">
        <w:rPr>
          <w:rFonts w:eastAsia="Times New Roman"/>
          <w:noProof/>
          <w:lang w:eastAsia="en-GB"/>
        </w:rPr>
        <w:instrText xml:space="preserve"> INCLUDEPICTURE  "Y:\\STD_MGT\\STDDEL\\PRODUCTION\\Standards\\00250\\269\\41_e_dr\\8_012.tif" \* MERGEFORMATINET </w:instrText>
      </w:r>
      <w:r w:rsidR="004B62E7">
        <w:rPr>
          <w:rFonts w:eastAsia="Times New Roman"/>
          <w:noProof/>
          <w:lang w:eastAsia="en-GB"/>
        </w:rPr>
        <w:fldChar w:fldCharType="separate"/>
      </w:r>
      <w:r w:rsidR="00B078F1">
        <w:rPr>
          <w:rFonts w:eastAsia="Times New Roman"/>
          <w:noProof/>
          <w:lang w:eastAsia="en-GB"/>
        </w:rPr>
        <w:fldChar w:fldCharType="begin"/>
      </w:r>
      <w:r w:rsidR="00B078F1">
        <w:rPr>
          <w:rFonts w:eastAsia="Times New Roman"/>
          <w:noProof/>
          <w:lang w:eastAsia="en-GB"/>
        </w:rPr>
        <w:instrText xml:space="preserve"> INCLUDEPICTURE  "Y:\\STD_MGT\\STDDEL\\PRODUCTION\\Standards\\00250\\269\\41_e_dr\\8_012.tif" \* MERGEFORMATINET </w:instrText>
      </w:r>
      <w:r w:rsidR="00B078F1">
        <w:rPr>
          <w:rFonts w:eastAsia="Times New Roman"/>
          <w:noProof/>
          <w:lang w:eastAsia="en-GB"/>
        </w:rPr>
        <w:fldChar w:fldCharType="separate"/>
      </w:r>
      <w:r w:rsidR="000250B6">
        <w:rPr>
          <w:rFonts w:eastAsia="Times New Roman"/>
          <w:noProof/>
          <w:lang w:eastAsia="en-GB"/>
        </w:rPr>
        <w:fldChar w:fldCharType="begin"/>
      </w:r>
      <w:r w:rsidR="000250B6">
        <w:rPr>
          <w:rFonts w:eastAsia="Times New Roman"/>
          <w:noProof/>
          <w:lang w:eastAsia="en-GB"/>
        </w:rPr>
        <w:instrText xml:space="preserve"> INCLUDEPICTURE  "Y:\\STD_MGT\\STDDEL\\PRODUCTION\\Standards\\00250\\269\\41_e_dr\\8_012.tif" \* MERGEFORMATINET </w:instrText>
      </w:r>
      <w:r w:rsidR="000250B6">
        <w:rPr>
          <w:rFonts w:eastAsia="Times New Roman"/>
          <w:noProof/>
          <w:lang w:eastAsia="en-GB"/>
        </w:rPr>
        <w:fldChar w:fldCharType="separate"/>
      </w:r>
      <w:r w:rsidR="00231E33">
        <w:rPr>
          <w:rFonts w:eastAsia="Times New Roman"/>
          <w:noProof/>
          <w:lang w:eastAsia="en-GB"/>
        </w:rPr>
        <w:fldChar w:fldCharType="begin"/>
      </w:r>
      <w:r w:rsidR="00231E33">
        <w:rPr>
          <w:rFonts w:eastAsia="Times New Roman"/>
          <w:noProof/>
          <w:lang w:eastAsia="en-GB"/>
        </w:rPr>
        <w:instrText xml:space="preserve"> </w:instrText>
      </w:r>
      <w:r w:rsidR="00231E33">
        <w:rPr>
          <w:rFonts w:eastAsia="Times New Roman"/>
          <w:noProof/>
          <w:lang w:eastAsia="en-GB"/>
        </w:rPr>
        <w:instrText>INCLUDEPICTURE  "C:\\Users\\a.dionysiou\\AppData\\Local\\Te</w:instrText>
      </w:r>
      <w:r w:rsidR="00231E33">
        <w:rPr>
          <w:rFonts w:eastAsia="Times New Roman"/>
          <w:noProof/>
          <w:lang w:eastAsia="en-GB"/>
        </w:rPr>
        <w:instrText>mp\\Temp1_00250269_e_20210902.zip.zip\\41_e_dr\\8_012.tif" \* MERGEFORMATINET</w:instrText>
      </w:r>
      <w:r w:rsidR="00231E33">
        <w:rPr>
          <w:rFonts w:eastAsia="Times New Roman"/>
          <w:noProof/>
          <w:lang w:eastAsia="en-GB"/>
        </w:rPr>
        <w:instrText xml:space="preserve"> </w:instrText>
      </w:r>
      <w:r w:rsidR="00231E33">
        <w:rPr>
          <w:rFonts w:eastAsia="Times New Roman"/>
          <w:noProof/>
          <w:lang w:eastAsia="en-GB"/>
        </w:rPr>
        <w:fldChar w:fldCharType="separate"/>
      </w:r>
      <w:r w:rsidR="00231E33">
        <w:rPr>
          <w:rFonts w:eastAsia="Times New Roman"/>
          <w:noProof/>
          <w:lang w:eastAsia="en-GB"/>
        </w:rPr>
        <w:pict w14:anchorId="46C2607B">
          <v:shape id="_x0000_i1162" type="#_x0000_t75" style="width:221.25pt;height:173.25pt">
            <v:imagedata r:id="rId294" r:href="rId295"/>
          </v:shape>
        </w:pict>
      </w:r>
      <w:r w:rsidR="00231E33">
        <w:rPr>
          <w:rFonts w:eastAsia="Times New Roman"/>
          <w:noProof/>
          <w:lang w:eastAsia="en-GB"/>
        </w:rPr>
        <w:fldChar w:fldCharType="end"/>
      </w:r>
      <w:r w:rsidR="000250B6">
        <w:rPr>
          <w:rFonts w:eastAsia="Times New Roman"/>
          <w:noProof/>
          <w:lang w:eastAsia="en-GB"/>
        </w:rPr>
        <w:fldChar w:fldCharType="end"/>
      </w:r>
      <w:r w:rsidR="00B078F1">
        <w:rPr>
          <w:rFonts w:eastAsia="Times New Roman"/>
          <w:noProof/>
          <w:lang w:eastAsia="en-GB"/>
        </w:rPr>
        <w:fldChar w:fldCharType="end"/>
      </w:r>
      <w:r w:rsidR="004B62E7">
        <w:rPr>
          <w:rFonts w:eastAsia="Times New Roman"/>
          <w:noProof/>
          <w:lang w:eastAsia="en-GB"/>
        </w:rPr>
        <w:fldChar w:fldCharType="end"/>
      </w:r>
      <w:r w:rsidR="00C54E80">
        <w:rPr>
          <w:rFonts w:eastAsia="Times New Roman"/>
          <w:noProof/>
          <w:lang w:eastAsia="en-GB"/>
        </w:rPr>
        <w:fldChar w:fldCharType="end"/>
      </w:r>
      <w:r w:rsidR="00FA575F">
        <w:rPr>
          <w:rFonts w:eastAsia="Times New Roman"/>
          <w:noProof/>
          <w:lang w:eastAsia="en-GB"/>
        </w:rPr>
        <w:fldChar w:fldCharType="end"/>
      </w:r>
      <w:r>
        <w:rPr>
          <w:rFonts w:eastAsia="Times New Roman"/>
          <w:noProof/>
          <w:lang w:eastAsia="en-GB"/>
        </w:rPr>
        <w:fldChar w:fldCharType="end"/>
      </w:r>
    </w:p>
    <w:p w14:paraId="64C6F923" w14:textId="4050B26B" w:rsidR="00A46F70" w:rsidRDefault="00A46F70" w:rsidP="00A46F70">
      <w:pPr>
        <w:pStyle w:val="KeyTitle"/>
      </w:pPr>
      <w:r>
        <w:t>Key</w:t>
      </w:r>
    </w:p>
    <w:tbl>
      <w:tblPr>
        <w:tblW w:w="0" w:type="auto"/>
        <w:tblInd w:w="-100" w:type="dxa"/>
        <w:tblCellMar>
          <w:left w:w="100" w:type="dxa"/>
        </w:tblCellMar>
        <w:tblLook w:val="0000" w:firstRow="0" w:lastRow="0" w:firstColumn="0" w:lastColumn="0" w:noHBand="0" w:noVBand="0"/>
      </w:tblPr>
      <w:tblGrid>
        <w:gridCol w:w="394"/>
        <w:gridCol w:w="5933"/>
      </w:tblGrid>
      <w:tr w:rsidR="00A46F70" w:rsidRPr="00A46F70" w14:paraId="49FBC997" w14:textId="77777777" w:rsidTr="00A46F70">
        <w:tc>
          <w:tcPr>
            <w:tcW w:w="0" w:type="auto"/>
            <w:shd w:val="clear" w:color="auto" w:fill="auto"/>
          </w:tcPr>
          <w:p w14:paraId="67364953" w14:textId="77777777" w:rsidR="00A46F70" w:rsidRPr="00A46F70" w:rsidRDefault="00A46F70" w:rsidP="00A46F70">
            <w:pPr>
              <w:pStyle w:val="KeyText"/>
              <w:tabs>
                <w:tab w:val="clear" w:pos="346"/>
              </w:tabs>
              <w:ind w:left="0" w:firstLine="0"/>
            </w:pPr>
            <w:r w:rsidRPr="00A46F70">
              <w:t>a)</w:t>
            </w:r>
          </w:p>
        </w:tc>
        <w:tc>
          <w:tcPr>
            <w:tcW w:w="0" w:type="auto"/>
            <w:shd w:val="clear" w:color="auto" w:fill="auto"/>
          </w:tcPr>
          <w:p w14:paraId="28A7D74F" w14:textId="77777777" w:rsidR="00A46F70" w:rsidRPr="00A46F70" w:rsidRDefault="00A46F70" w:rsidP="00A46F70">
            <w:pPr>
              <w:pStyle w:val="KeyText"/>
              <w:tabs>
                <w:tab w:val="clear" w:pos="346"/>
              </w:tabs>
              <w:ind w:left="0" w:firstLine="0"/>
            </w:pPr>
            <w:r w:rsidRPr="00A46F70">
              <w:t xml:space="preserve">web with shear force </w:t>
            </w:r>
            <w:r w:rsidRPr="00A46F70">
              <w:rPr>
                <w:rStyle w:val="CCMCvariableitalic"/>
                <w:bCs/>
              </w:rPr>
              <w:t>V</w:t>
            </w:r>
            <w:r w:rsidRPr="00A46F70">
              <w:rPr>
                <w:rStyle w:val="CCMCvariablesubscript"/>
                <w:bCs/>
              </w:rPr>
              <w:t>Ed</w:t>
            </w:r>
            <w:r w:rsidRPr="00A46F70">
              <w:t xml:space="preserve"> and transverse bending moment </w:t>
            </w:r>
            <w:r w:rsidRPr="00A46F70">
              <w:rPr>
                <w:rStyle w:val="CCMCvariableitalic"/>
                <w:bCs/>
              </w:rPr>
              <w:t>m</w:t>
            </w:r>
            <w:r w:rsidRPr="00A46F70">
              <w:rPr>
                <w:rStyle w:val="CCMCvariablesubscript"/>
                <w:bCs/>
              </w:rPr>
              <w:t>Ed</w:t>
            </w:r>
          </w:p>
        </w:tc>
      </w:tr>
      <w:tr w:rsidR="00A46F70" w:rsidRPr="00A46F70" w14:paraId="6419E006" w14:textId="77777777" w:rsidTr="00A46F70">
        <w:tc>
          <w:tcPr>
            <w:tcW w:w="0" w:type="auto"/>
            <w:shd w:val="clear" w:color="auto" w:fill="auto"/>
          </w:tcPr>
          <w:p w14:paraId="5B71822A" w14:textId="77777777" w:rsidR="00A46F70" w:rsidRPr="00A46F70" w:rsidRDefault="00A46F70" w:rsidP="00A46F70">
            <w:pPr>
              <w:pStyle w:val="KeyText"/>
              <w:tabs>
                <w:tab w:val="clear" w:pos="346"/>
              </w:tabs>
              <w:ind w:left="0" w:firstLine="0"/>
            </w:pPr>
            <w:r w:rsidRPr="00A46F70">
              <w:t>b)</w:t>
            </w:r>
          </w:p>
        </w:tc>
        <w:tc>
          <w:tcPr>
            <w:tcW w:w="0" w:type="auto"/>
            <w:shd w:val="clear" w:color="auto" w:fill="auto"/>
          </w:tcPr>
          <w:p w14:paraId="2C9B7D12" w14:textId="77777777" w:rsidR="00A46F70" w:rsidRPr="00A46F70" w:rsidRDefault="00A46F70" w:rsidP="00A46F70">
            <w:pPr>
              <w:pStyle w:val="KeyText"/>
              <w:tabs>
                <w:tab w:val="clear" w:pos="346"/>
              </w:tabs>
              <w:ind w:left="0" w:firstLine="0"/>
            </w:pPr>
            <w:r w:rsidRPr="00A46F70">
              <w:t> eccentric compression field carrying shear and transverse bending</w:t>
            </w:r>
          </w:p>
        </w:tc>
      </w:tr>
    </w:tbl>
    <w:p w14:paraId="4E41BF97" w14:textId="77777777" w:rsidR="004E22C1" w:rsidRPr="001455DC" w:rsidRDefault="004E22C1" w:rsidP="00497A45">
      <w:pPr>
        <w:pStyle w:val="Figuretitle"/>
      </w:pPr>
      <w:r w:rsidRPr="001455DC">
        <w:t>Figure 8.12 — Interaction between shear and transverse bending</w:t>
      </w:r>
    </w:p>
    <w:p w14:paraId="4B5FE27D" w14:textId="6BC9F615" w:rsidR="004E22C1" w:rsidRPr="001455DC" w:rsidRDefault="004E22C1" w:rsidP="00243590">
      <w:pPr>
        <w:pStyle w:val="31"/>
      </w:pPr>
      <w:bookmarkStart w:id="571" w:name="_Toc52819980"/>
      <w:bookmarkStart w:id="572" w:name="_Toc54337373"/>
      <w:bookmarkStart w:id="573" w:name="_Toc54338036"/>
      <w:bookmarkStart w:id="574" w:name="_Toc67565384"/>
      <w:r w:rsidRPr="001455DC">
        <w:t>Shear between web and flanges</w:t>
      </w:r>
      <w:bookmarkEnd w:id="571"/>
      <w:bookmarkEnd w:id="572"/>
      <w:bookmarkEnd w:id="573"/>
      <w:bookmarkEnd w:id="574"/>
    </w:p>
    <w:p w14:paraId="356FD1BF" w14:textId="77777777" w:rsidR="00497A45" w:rsidRPr="001455DC" w:rsidRDefault="004E22C1" w:rsidP="008D37B2">
      <w:pPr>
        <w:pStyle w:val="a7"/>
        <w:keepNext/>
      </w:pPr>
      <w:r w:rsidRPr="001455DC">
        <w:t>(1)</w:t>
      </w:r>
      <w:r w:rsidRPr="001455DC">
        <w:tab/>
        <w:t xml:space="preserve">The longitudinal shear stress, </w:t>
      </w:r>
      <w:r w:rsidRPr="001455DC">
        <w:rPr>
          <w:rStyle w:val="CCMCvariableitalic"/>
        </w:rPr>
        <w:t>τ</w:t>
      </w:r>
      <w:r w:rsidRPr="001455DC">
        <w:rPr>
          <w:rStyle w:val="CCMCvariablesubscript"/>
        </w:rPr>
        <w:t>Ed,</w:t>
      </w:r>
      <w:r w:rsidRPr="001455DC">
        <w:t xml:space="preserve"> at the junction between one side of a flange and the web may be determined by the change of the axial (longitudinal) force in the part of the flange considered, according to:</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97A45" w:rsidRPr="001455DC" w14:paraId="27AA5EFF" w14:textId="77777777" w:rsidTr="004F7465">
        <w:trPr>
          <w:cantSplit/>
        </w:trPr>
        <w:tc>
          <w:tcPr>
            <w:tcW w:w="8505" w:type="dxa"/>
            <w:vAlign w:val="center"/>
          </w:tcPr>
          <w:p w14:paraId="1DCE4FE6" w14:textId="06B0ECEA" w:rsidR="00497A45" w:rsidRPr="001455DC" w:rsidRDefault="00231E33" w:rsidP="004F7465">
            <w:pPr>
              <w:pStyle w:val="Formula"/>
              <w:jc w:val="left"/>
            </w:pPr>
            <m:oMathPara>
              <m:oMathParaPr>
                <m:jc m:val="left"/>
              </m:oMathParaPr>
              <m:oMath>
                <m:sSub>
                  <m:sSubPr>
                    <m:ctrlPr>
                      <w:rPr>
                        <w:rFonts w:ascii="Cambria Math" w:hAnsi="Cambria Math"/>
                        <w:lang w:eastAsia="de-CH"/>
                      </w:rPr>
                    </m:ctrlPr>
                  </m:sSubPr>
                  <m:e>
                    <m:r>
                      <w:rPr>
                        <w:rFonts w:ascii="Cambria Math" w:hAnsi="Cambria Math"/>
                      </w:rPr>
                      <m:t>τ</m:t>
                    </m:r>
                  </m:e>
                  <m:sub>
                    <m:r>
                      <m:rPr>
                        <m:sty m:val="p"/>
                      </m:rPr>
                      <w:rPr>
                        <w:rFonts w:ascii="Cambria Math" w:hAnsi="Cambria Math"/>
                      </w:rPr>
                      <m:t>Ed</m:t>
                    </m:r>
                  </m:sub>
                </m:sSub>
                <m:r>
                  <w:rPr>
                    <w:rFonts w:ascii="Cambria Math" w:hAnsi="Cambria Math"/>
                  </w:rPr>
                  <m:t>=</m:t>
                </m:r>
                <m:f>
                  <m:fPr>
                    <m:ctrlPr>
                      <w:rPr>
                        <w:rFonts w:ascii="Cambria Math" w:hAnsi="Cambria Math"/>
                      </w:rPr>
                    </m:ctrlPr>
                  </m:fPr>
                  <m:num>
                    <m:r>
                      <m:rPr>
                        <m:sty m:val="p"/>
                      </m:rPr>
                      <w:rPr>
                        <w:rFonts w:ascii="Cambria Math" w:hAnsi="Cambria Math"/>
                      </w:rPr>
                      <m:t>Δ</m:t>
                    </m:r>
                    <m:sSub>
                      <m:sSubPr>
                        <m:ctrlPr>
                          <w:rPr>
                            <w:rFonts w:ascii="Cambria Math" w:hAnsi="Cambria Math"/>
                          </w:rPr>
                        </m:ctrlPr>
                      </m:sSubPr>
                      <m:e>
                        <m:r>
                          <w:rPr>
                            <w:rFonts w:ascii="Cambria Math" w:hAnsi="Cambria Math"/>
                          </w:rPr>
                          <m:t>F</m:t>
                        </m:r>
                      </m:e>
                      <m:sub>
                        <m:r>
                          <m:rPr>
                            <m:sty m:val="p"/>
                          </m:rPr>
                          <w:rPr>
                            <w:rFonts w:ascii="Cambria Math" w:hAnsi="Cambria Math"/>
                          </w:rPr>
                          <m:t>d</m:t>
                        </m:r>
                      </m:sub>
                    </m:sSub>
                  </m:num>
                  <m:den>
                    <m:sSub>
                      <m:sSubPr>
                        <m:ctrlPr>
                          <w:rPr>
                            <w:rFonts w:ascii="Cambria Math" w:hAnsi="Cambria Math"/>
                          </w:rPr>
                        </m:ctrlPr>
                      </m:sSubPr>
                      <m:e>
                        <m:r>
                          <w:rPr>
                            <w:rFonts w:ascii="Cambria Math" w:hAnsi="Cambria Math"/>
                          </w:rPr>
                          <m:t>h</m:t>
                        </m:r>
                      </m:e>
                      <m:sub>
                        <m:r>
                          <m:rPr>
                            <m:sty m:val="p"/>
                          </m:rPr>
                          <w:rPr>
                            <w:rFonts w:ascii="Cambria Math" w:hAnsi="Cambria Math"/>
                          </w:rPr>
                          <m:t>fl</m:t>
                        </m:r>
                      </m:sub>
                    </m:sSub>
                    <m:r>
                      <w:rPr>
                        <w:rFonts w:ascii="Cambria Math" w:hAnsi="Cambria Math"/>
                      </w:rPr>
                      <m:t>⋅</m:t>
                    </m:r>
                    <m:r>
                      <m:rPr>
                        <m:sty m:val="p"/>
                      </m:rPr>
                      <w:rPr>
                        <w:rFonts w:ascii="Cambria Math" w:hAnsi="Cambria Math"/>
                      </w:rPr>
                      <m:t>Δ</m:t>
                    </m:r>
                    <m:r>
                      <w:rPr>
                        <w:rFonts w:ascii="Cambria Math" w:hAnsi="Cambria Math"/>
                      </w:rPr>
                      <m:t>x</m:t>
                    </m:r>
                  </m:den>
                </m:f>
              </m:oMath>
            </m:oMathPara>
          </w:p>
        </w:tc>
        <w:tc>
          <w:tcPr>
            <w:tcW w:w="1247" w:type="dxa"/>
            <w:vAlign w:val="center"/>
          </w:tcPr>
          <w:p w14:paraId="0EDBF749" w14:textId="4E075C07" w:rsidR="00497A45" w:rsidRPr="001455DC" w:rsidRDefault="00B325DB">
            <w:pPr>
              <w:pStyle w:val="a7"/>
              <w:jc w:val="right"/>
            </w:pPr>
            <w:r w:rsidRPr="001455DC">
              <w:rPr>
                <w:lang w:eastAsia="de-CH"/>
              </w:rPr>
              <w:t>(8.</w:t>
            </w:r>
            <w:r w:rsidR="000A3AE7" w:rsidRPr="001455DC">
              <w:rPr>
                <w:lang w:eastAsia="de-CH"/>
              </w:rPr>
              <w:t>50</w:t>
            </w:r>
            <w:r w:rsidRPr="001455DC">
              <w:rPr>
                <w:lang w:eastAsia="de-CH"/>
              </w:rPr>
              <w:t>)</w:t>
            </w:r>
          </w:p>
        </w:tc>
      </w:tr>
    </w:tbl>
    <w:p w14:paraId="5346DBFB" w14:textId="77777777" w:rsidR="00B325DB" w:rsidRPr="001455DC" w:rsidRDefault="00B325DB"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B325DB" w:rsidRPr="001455DC" w14:paraId="521093CB" w14:textId="77777777" w:rsidTr="00EC0EC0">
        <w:trPr>
          <w:cantSplit/>
        </w:trPr>
        <w:tc>
          <w:tcPr>
            <w:tcW w:w="567" w:type="dxa"/>
          </w:tcPr>
          <w:p w14:paraId="60721395" w14:textId="12AD5CDB" w:rsidR="00B325DB" w:rsidRPr="001455DC" w:rsidRDefault="00B325DB" w:rsidP="00EC0EC0">
            <w:pPr>
              <w:pStyle w:val="Tablebody"/>
            </w:pPr>
            <w:r w:rsidRPr="001455DC">
              <w:rPr>
                <w:rStyle w:val="CCMCvariableitalic"/>
              </w:rPr>
              <w:t>h</w:t>
            </w:r>
            <w:r w:rsidRPr="001455DC">
              <w:rPr>
                <w:rStyle w:val="CCMCvariablesubscript"/>
              </w:rPr>
              <w:t>fl</w:t>
            </w:r>
          </w:p>
        </w:tc>
        <w:tc>
          <w:tcPr>
            <w:tcW w:w="8845" w:type="dxa"/>
          </w:tcPr>
          <w:p w14:paraId="13662E72" w14:textId="1FAF7942" w:rsidR="00B325DB" w:rsidRPr="001455DC" w:rsidRDefault="00B325DB" w:rsidP="00EC0EC0">
            <w:pPr>
              <w:pStyle w:val="Tablebody"/>
            </w:pPr>
            <w:r w:rsidRPr="001455DC">
              <w:t>is the thickness of the flange at the junctions;</w:t>
            </w:r>
          </w:p>
        </w:tc>
      </w:tr>
      <w:tr w:rsidR="00B325DB" w:rsidRPr="001455DC" w14:paraId="31B93EA0" w14:textId="77777777" w:rsidTr="00EC0EC0">
        <w:trPr>
          <w:cantSplit/>
        </w:trPr>
        <w:tc>
          <w:tcPr>
            <w:tcW w:w="567" w:type="dxa"/>
          </w:tcPr>
          <w:p w14:paraId="6102BE6B" w14:textId="0EFECF8A" w:rsidR="00B325DB" w:rsidRPr="001455DC" w:rsidRDefault="00B325DB" w:rsidP="00EC0EC0">
            <w:pPr>
              <w:pStyle w:val="Tablebody"/>
            </w:pPr>
            <w:r w:rsidRPr="001455DC">
              <w:t>Δ</w:t>
            </w:r>
            <w:r w:rsidRPr="001455DC">
              <w:rPr>
                <w:rStyle w:val="CCMCvariableitalic"/>
              </w:rPr>
              <w:t>x</w:t>
            </w:r>
          </w:p>
        </w:tc>
        <w:tc>
          <w:tcPr>
            <w:tcW w:w="8845" w:type="dxa"/>
          </w:tcPr>
          <w:p w14:paraId="414FE962" w14:textId="6A7F9088" w:rsidR="00B325DB" w:rsidRPr="001455DC" w:rsidRDefault="00B325DB" w:rsidP="00EC0EC0">
            <w:pPr>
              <w:pStyle w:val="Tablebody"/>
            </w:pPr>
            <w:r w:rsidRPr="001455DC">
              <w:t>is the length under consideration, see Figure 8.13;</w:t>
            </w:r>
          </w:p>
        </w:tc>
      </w:tr>
      <w:tr w:rsidR="00B325DB" w:rsidRPr="001455DC" w14:paraId="2DC557F3" w14:textId="77777777" w:rsidTr="00EC0EC0">
        <w:trPr>
          <w:cantSplit/>
        </w:trPr>
        <w:tc>
          <w:tcPr>
            <w:tcW w:w="567" w:type="dxa"/>
          </w:tcPr>
          <w:p w14:paraId="3A3582CF" w14:textId="77EEE59F" w:rsidR="00B325DB" w:rsidRPr="001455DC" w:rsidRDefault="00B325DB" w:rsidP="00EC0EC0">
            <w:pPr>
              <w:pStyle w:val="Tablebody"/>
            </w:pPr>
            <w:r w:rsidRPr="001455DC">
              <w:t>Δ</w:t>
            </w:r>
            <w:r w:rsidRPr="001455DC">
              <w:rPr>
                <w:rStyle w:val="CCMCvariableitalic"/>
              </w:rPr>
              <w:t>F</w:t>
            </w:r>
            <w:r w:rsidRPr="001455DC">
              <w:rPr>
                <w:rStyle w:val="CCMCvariablesubscript"/>
              </w:rPr>
              <w:t>d</w:t>
            </w:r>
          </w:p>
        </w:tc>
        <w:tc>
          <w:tcPr>
            <w:tcW w:w="8845" w:type="dxa"/>
          </w:tcPr>
          <w:p w14:paraId="31E8099B" w14:textId="29A12802" w:rsidR="00B325DB" w:rsidRPr="001455DC" w:rsidRDefault="00B325DB" w:rsidP="00EC0EC0">
            <w:pPr>
              <w:pStyle w:val="Tablebody"/>
            </w:pPr>
            <w:r w:rsidRPr="001455DC">
              <w:t>is the change of the axial force in the flange over the length Δ</w:t>
            </w:r>
            <w:r w:rsidRPr="001455DC">
              <w:rPr>
                <w:rStyle w:val="CCMCvariableitalic"/>
              </w:rPr>
              <w:t>x</w:t>
            </w:r>
            <w:r w:rsidRPr="001455DC">
              <w:t>.</w:t>
            </w:r>
          </w:p>
        </w:tc>
      </w:tr>
    </w:tbl>
    <w:p w14:paraId="3D228616" w14:textId="77777777" w:rsidR="004E22C1" w:rsidRPr="001455DC" w:rsidRDefault="004E22C1" w:rsidP="00497A45">
      <w:pPr>
        <w:pStyle w:val="a7"/>
      </w:pPr>
      <w:r w:rsidRPr="001455DC">
        <w:t>The maximum value that may be assumed for Δ</w:t>
      </w:r>
      <w:r w:rsidRPr="001455DC">
        <w:rPr>
          <w:rStyle w:val="CCMCvariableitalic"/>
        </w:rPr>
        <w:t>x</w:t>
      </w:r>
      <w:r w:rsidRPr="001455DC">
        <w:t xml:space="preserve"> is half the distance between the section where the moment is 0 and the section where it is maximum. Where point loads are applied, the length Δ</w:t>
      </w:r>
      <w:r w:rsidRPr="001455DC">
        <w:rPr>
          <w:rStyle w:val="CCMCvariableitalic"/>
        </w:rPr>
        <w:t>x</w:t>
      </w:r>
      <w:r w:rsidRPr="001455DC">
        <w:t xml:space="preserve"> may not exceed the distance between point loads.</w:t>
      </w:r>
    </w:p>
    <w:p w14:paraId="707ED46E" w14:textId="224AD8D2" w:rsidR="004E22C1" w:rsidRPr="001455DC" w:rsidRDefault="00723CF7" w:rsidP="00497A45">
      <w:pPr>
        <w:pStyle w:val="FigureImage"/>
        <w:rPr>
          <w:lang w:eastAsia="de-DE"/>
        </w:rPr>
      </w:pPr>
      <w:r>
        <w:rPr>
          <w:noProof/>
          <w:lang w:eastAsia="en-GB"/>
        </w:rPr>
        <w:fldChar w:fldCharType="begin"/>
      </w:r>
      <w:r>
        <w:rPr>
          <w:noProof/>
          <w:lang w:eastAsia="en-GB"/>
        </w:rPr>
        <w:instrText xml:space="preserve"> INCLUDEPICTURE  "Y:\\STD_MGT\\STDDEL\\PRODUCTION\\etrans\\Download\\Z_FIRST_DEL\\SV\\00250\\00250269\\41_e_dr\\8_013.tif"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"Y:\\STD_MGT\\STDDEL\\PRODUCTION\\Standards\\00250\\269\\41_e_dr\\8_013.tif"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"Y:\\STD_MGT\\STDDEL\\PRODUCTION\\Standards\\00250\\269\\41_e_dr\\8_013.tif"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"Y:\\STD_MGT\\STDDEL\\PRODUCTION\\Standards\\00250\\269\\41_e_dr\\8_013.tif"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"Y:\\STD_MGT\\STDDEL\\PRODUCTION\\Standards\\00250\\269\\41_e_dr\\8_013.tif"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"Y:\\STD_MGT\\STDDEL\\PRODUCTION\\Standards\\00250\\269\\41_e_dr\\8_013.tif"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w:instrText>
      </w:r>
      <w:r w:rsidR="00231E33">
        <w:rPr>
          <w:noProof/>
          <w:lang w:eastAsia="en-GB"/>
        </w:rPr>
        <w:instrText>mp\\Temp1_00250269_e_20210902.zip.zip\\41_e_dr\\8_013.tif"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29FC2A06">
          <v:shape id="_x0000_i1163" type="#_x0000_t75" style="width:264pt;height:164.25pt">
            <v:imagedata r:id="rId296" r:href="rId297"/>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4493E510" w14:textId="77777777" w:rsidR="00497A45" w:rsidRPr="001455DC" w:rsidRDefault="00497A45" w:rsidP="00497A45">
      <w:pPr>
        <w:pStyle w:val="KeyTitle"/>
      </w:pPr>
      <w:r w:rsidRPr="001455DC">
        <w:t>Key</w:t>
      </w:r>
    </w:p>
    <w:tbl>
      <w:tblPr>
        <w:tblW w:w="9809" w:type="dxa"/>
        <w:tblLayout w:type="fixed"/>
        <w:tblCellMar>
          <w:left w:w="28" w:type="dxa"/>
          <w:right w:w="28" w:type="dxa"/>
        </w:tblCellMar>
        <w:tblLook w:val="0000" w:firstRow="0" w:lastRow="0" w:firstColumn="0" w:lastColumn="0" w:noHBand="0" w:noVBand="0"/>
      </w:tblPr>
      <w:tblGrid>
        <w:gridCol w:w="397"/>
        <w:gridCol w:w="9412"/>
      </w:tblGrid>
      <w:tr w:rsidR="00497A45" w:rsidRPr="001455DC" w14:paraId="4D988C46" w14:textId="77777777" w:rsidTr="004F7465">
        <w:tc>
          <w:tcPr>
            <w:tcW w:w="397" w:type="dxa"/>
            <w:shd w:val="clear" w:color="auto" w:fill="auto"/>
          </w:tcPr>
          <w:p w14:paraId="78C77AD7" w14:textId="2907F4F0" w:rsidR="00497A45" w:rsidRPr="001455DC" w:rsidRDefault="00497A45" w:rsidP="004F7465">
            <w:pPr>
              <w:pStyle w:val="KeyText"/>
              <w:tabs>
                <w:tab w:val="clear" w:pos="346"/>
              </w:tabs>
              <w:ind w:left="0" w:firstLine="0"/>
            </w:pPr>
            <w:r w:rsidRPr="001455DC">
              <w:t>1</w:t>
            </w:r>
          </w:p>
        </w:tc>
        <w:tc>
          <w:tcPr>
            <w:tcW w:w="9412" w:type="dxa"/>
            <w:shd w:val="clear" w:color="auto" w:fill="auto"/>
          </w:tcPr>
          <w:p w14:paraId="17C076C1" w14:textId="4C59F032" w:rsidR="00497A45" w:rsidRPr="001455DC" w:rsidRDefault="00A46F70" w:rsidP="004F7465">
            <w:pPr>
              <w:pStyle w:val="KeyText"/>
              <w:tabs>
                <w:tab w:val="clear" w:pos="346"/>
              </w:tabs>
              <w:ind w:left="0" w:firstLine="0"/>
            </w:pPr>
            <w:r>
              <w:rPr>
                <w:lang w:eastAsia="de-DE"/>
              </w:rPr>
              <w:t>s</w:t>
            </w:r>
            <w:r w:rsidR="00497A45" w:rsidRPr="001455DC">
              <w:rPr>
                <w:lang w:eastAsia="de-DE"/>
              </w:rPr>
              <w:t>ection cut</w:t>
            </w:r>
          </w:p>
        </w:tc>
      </w:tr>
      <w:tr w:rsidR="00497A45" w:rsidRPr="001455DC" w14:paraId="1A280F5F" w14:textId="77777777" w:rsidTr="004F7465">
        <w:tc>
          <w:tcPr>
            <w:tcW w:w="397" w:type="dxa"/>
            <w:shd w:val="clear" w:color="auto" w:fill="auto"/>
          </w:tcPr>
          <w:p w14:paraId="704A422D" w14:textId="314C5688" w:rsidR="00497A45" w:rsidRPr="001455DC" w:rsidRDefault="00497A45" w:rsidP="004F7465">
            <w:pPr>
              <w:pStyle w:val="KeyText"/>
              <w:tabs>
                <w:tab w:val="clear" w:pos="346"/>
              </w:tabs>
              <w:ind w:left="0" w:firstLine="0"/>
            </w:pPr>
            <w:r w:rsidRPr="001455DC">
              <w:t>2</w:t>
            </w:r>
          </w:p>
        </w:tc>
        <w:tc>
          <w:tcPr>
            <w:tcW w:w="9412" w:type="dxa"/>
            <w:shd w:val="clear" w:color="auto" w:fill="auto"/>
          </w:tcPr>
          <w:p w14:paraId="6BD9B600" w14:textId="5ECFE5B9" w:rsidR="00497A45" w:rsidRPr="001455DC" w:rsidRDefault="00A46F70" w:rsidP="004F7465">
            <w:pPr>
              <w:pStyle w:val="KeyText"/>
              <w:tabs>
                <w:tab w:val="clear" w:pos="346"/>
              </w:tabs>
              <w:ind w:left="0" w:firstLine="0"/>
            </w:pPr>
            <w:r>
              <w:rPr>
                <w:lang w:eastAsia="de-DE"/>
              </w:rPr>
              <w:t>l</w:t>
            </w:r>
            <w:r w:rsidR="00497A45" w:rsidRPr="001455DC">
              <w:rPr>
                <w:lang w:eastAsia="de-DE"/>
              </w:rPr>
              <w:t>ongitudinal bar anchored beyond this projected point (see 8.2.4(7)</w:t>
            </w:r>
            <w:r w:rsidR="00497A45" w:rsidRPr="001455DC">
              <w:t>)</w:t>
            </w:r>
          </w:p>
        </w:tc>
      </w:tr>
      <w:tr w:rsidR="00497A45" w:rsidRPr="001455DC" w14:paraId="24DC0DBE" w14:textId="77777777" w:rsidTr="004F7465">
        <w:tc>
          <w:tcPr>
            <w:tcW w:w="397" w:type="dxa"/>
            <w:shd w:val="clear" w:color="auto" w:fill="auto"/>
          </w:tcPr>
          <w:p w14:paraId="0B2C2031" w14:textId="58A073D9" w:rsidR="00497A45" w:rsidRPr="001455DC" w:rsidRDefault="00497A45" w:rsidP="004F7465">
            <w:pPr>
              <w:pStyle w:val="KeyText"/>
              <w:tabs>
                <w:tab w:val="clear" w:pos="346"/>
              </w:tabs>
              <w:ind w:left="0" w:firstLine="0"/>
            </w:pPr>
            <w:r w:rsidRPr="001455DC">
              <w:t>3</w:t>
            </w:r>
          </w:p>
        </w:tc>
        <w:tc>
          <w:tcPr>
            <w:tcW w:w="9412" w:type="dxa"/>
            <w:shd w:val="clear" w:color="auto" w:fill="auto"/>
          </w:tcPr>
          <w:p w14:paraId="36DBAF2C" w14:textId="4B05E2B3" w:rsidR="00497A45" w:rsidRPr="001455DC" w:rsidRDefault="00A46F70" w:rsidP="004F7465">
            <w:pPr>
              <w:pStyle w:val="KeyText"/>
              <w:tabs>
                <w:tab w:val="clear" w:pos="346"/>
              </w:tabs>
              <w:ind w:left="0" w:firstLine="0"/>
            </w:pPr>
            <w:r>
              <w:rPr>
                <w:lang w:eastAsia="de-DE"/>
              </w:rPr>
              <w:t>s</w:t>
            </w:r>
            <w:r w:rsidR="00497A45" w:rsidRPr="001455DC">
              <w:rPr>
                <w:lang w:eastAsia="de-DE"/>
              </w:rPr>
              <w:t>truts</w:t>
            </w:r>
          </w:p>
        </w:tc>
      </w:tr>
    </w:tbl>
    <w:p w14:paraId="7FECF497" w14:textId="77777777" w:rsidR="004E22C1" w:rsidRPr="001455DC" w:rsidRDefault="004E22C1" w:rsidP="00497A45">
      <w:pPr>
        <w:pStyle w:val="Figuretitle"/>
      </w:pPr>
      <w:r w:rsidRPr="001455DC">
        <w:t>Figure 8.13 — Notations for the connection between flange and web</w:t>
      </w:r>
    </w:p>
    <w:p w14:paraId="3E9B8B08" w14:textId="77777777" w:rsidR="00497A45" w:rsidRPr="001455DC" w:rsidRDefault="004E22C1" w:rsidP="008D37B2">
      <w:pPr>
        <w:pStyle w:val="a7"/>
        <w:keepNext/>
      </w:pPr>
      <w:r w:rsidRPr="001455DC">
        <w:t>(2)</w:t>
      </w:r>
      <w:r w:rsidRPr="001455DC">
        <w:tab/>
        <w:t>In case the following condition is satisfied, further verification of the shear between web and flanges may be omitted and no extra reinforcement above that for transverse bending is required:</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97A45" w:rsidRPr="001455DC" w14:paraId="584671AC" w14:textId="77777777" w:rsidTr="004F7465">
        <w:trPr>
          <w:cantSplit/>
        </w:trPr>
        <w:tc>
          <w:tcPr>
            <w:tcW w:w="8505" w:type="dxa"/>
            <w:vAlign w:val="center"/>
          </w:tcPr>
          <w:p w14:paraId="703181A1" w14:textId="3999A6C6" w:rsidR="00497A45" w:rsidRPr="001455DC" w:rsidRDefault="00231E33" w:rsidP="004F7465">
            <w:pPr>
              <w:pStyle w:val="Formula"/>
              <w:jc w:val="left"/>
            </w:pPr>
            <m:oMathPara>
              <m:oMathParaPr>
                <m:jc m:val="left"/>
              </m:oMathParaPr>
              <m:oMath>
                <m:sSub>
                  <m:sSubPr>
                    <m:ctrlPr>
                      <w:rPr>
                        <w:rFonts w:ascii="Cambria Math" w:hAnsi="Cambria Math"/>
                      </w:rPr>
                    </m:ctrlPr>
                  </m:sSubPr>
                  <m:e>
                    <m:r>
                      <w:rPr>
                        <w:rFonts w:ascii="Cambria Math" w:hAnsi="Cambria Math"/>
                      </w:rPr>
                      <m:t>τ</m:t>
                    </m:r>
                  </m:e>
                  <m:sub>
                    <m:r>
                      <m:rPr>
                        <m:sty m:val="p"/>
                      </m:rPr>
                      <w:rPr>
                        <w:rFonts w:ascii="Cambria Math" w:hAnsi="Cambria Math"/>
                      </w:rPr>
                      <m:t>Ed</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s,min</m:t>
                        </m:r>
                      </m:sub>
                    </m:sSub>
                  </m:num>
                  <m:den>
                    <m:sSub>
                      <m:sSubPr>
                        <m:ctrlPr>
                          <w:rPr>
                            <w:rFonts w:ascii="Cambria Math" w:hAnsi="Cambria Math"/>
                          </w:rPr>
                        </m:ctrlPr>
                      </m:sSubPr>
                      <m:e>
                        <m:r>
                          <w:rPr>
                            <w:rFonts w:ascii="Cambria Math" w:hAnsi="Cambria Math"/>
                          </w:rPr>
                          <m:t>s</m:t>
                        </m:r>
                      </m:e>
                      <m:sub>
                        <m:r>
                          <m:rPr>
                            <m:sty m:val="p"/>
                          </m:rP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f</m:t>
                        </m:r>
                      </m:sub>
                    </m:sSub>
                  </m:den>
                </m:f>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yd</m:t>
                    </m:r>
                  </m:sub>
                </m:sSub>
              </m:oMath>
            </m:oMathPara>
          </w:p>
        </w:tc>
        <w:tc>
          <w:tcPr>
            <w:tcW w:w="1247" w:type="dxa"/>
            <w:vAlign w:val="center"/>
          </w:tcPr>
          <w:p w14:paraId="3646E185" w14:textId="562A6955" w:rsidR="00497A45" w:rsidRPr="001455DC" w:rsidRDefault="00B325DB">
            <w:pPr>
              <w:pStyle w:val="a7"/>
              <w:jc w:val="right"/>
            </w:pPr>
            <w:r w:rsidRPr="001455DC">
              <w:t>(8.</w:t>
            </w:r>
            <w:r w:rsidR="000A3AE7" w:rsidRPr="001455DC">
              <w:t>51</w:t>
            </w:r>
            <w:r w:rsidRPr="001455DC">
              <w:t>)</w:t>
            </w:r>
          </w:p>
        </w:tc>
      </w:tr>
    </w:tbl>
    <w:p w14:paraId="4378C677" w14:textId="77777777" w:rsidR="004E22C1" w:rsidRPr="001455DC" w:rsidRDefault="004E22C1" w:rsidP="00497A45">
      <w:pPr>
        <w:pStyle w:val="a7"/>
      </w:pPr>
      <w:r w:rsidRPr="001455DC">
        <w:t xml:space="preserve">where </w:t>
      </w:r>
      <w:r w:rsidRPr="001455DC">
        <w:rPr>
          <w:rStyle w:val="CCMCvariableitalic"/>
        </w:rPr>
        <w:t>A</w:t>
      </w:r>
      <w:r w:rsidRPr="001455DC">
        <w:rPr>
          <w:rStyle w:val="CCMCvariablesubscript"/>
        </w:rPr>
        <w:t>s,min</w:t>
      </w:r>
      <w:r w:rsidRPr="001455DC">
        <w:t xml:space="preserve"> is the minimum transverse reinforcement according to Table 12.1(NDP).</w:t>
      </w:r>
    </w:p>
    <w:p w14:paraId="4D090953" w14:textId="3417CA2E" w:rsidR="00497A45" w:rsidRPr="001455DC" w:rsidRDefault="004E22C1" w:rsidP="008D37B2">
      <w:pPr>
        <w:pStyle w:val="a7"/>
        <w:keepNext/>
      </w:pPr>
      <w:r w:rsidRPr="001455DC">
        <w:t>(3)</w:t>
      </w:r>
      <w:r w:rsidRPr="001455DC">
        <w:tab/>
        <w:t>In cases not complying with Formula (8.</w:t>
      </w:r>
      <w:r w:rsidR="00381B50" w:rsidRPr="001455DC">
        <w:t>51</w:t>
      </w:r>
      <w:r w:rsidRPr="001455DC">
        <w:t>), the shear strength of the flange may be calculated by considering the flange as a system of compressive field combined with ties in the form of tensile reinforcement (see Figure 8.13). The inclination of the compression field in the flanges with respect to the longitudinal axis may be selected within the following range:</w:t>
      </w:r>
    </w:p>
    <w:tbl>
      <w:tblPr>
        <w:tblStyle w:val="ad"/>
        <w:tblW w:w="9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1985"/>
        <w:gridCol w:w="6521"/>
        <w:gridCol w:w="1247"/>
      </w:tblGrid>
      <w:tr w:rsidR="00B325DB" w:rsidRPr="001455DC" w14:paraId="10FE1019" w14:textId="77777777" w:rsidTr="00B325DB">
        <w:trPr>
          <w:cantSplit/>
        </w:trPr>
        <w:tc>
          <w:tcPr>
            <w:tcW w:w="1985" w:type="dxa"/>
            <w:vAlign w:val="center"/>
          </w:tcPr>
          <w:p w14:paraId="33B2A40B" w14:textId="5FD42F64" w:rsidR="00B325DB" w:rsidRPr="001455DC" w:rsidRDefault="00B325DB" w:rsidP="00B325DB">
            <w:pPr>
              <w:pStyle w:val="Formula"/>
              <w:tabs>
                <w:tab w:val="clear" w:pos="9749"/>
              </w:tabs>
              <w:ind w:left="357" w:hanging="357"/>
              <w:jc w:val="left"/>
            </w:pPr>
            <w:r w:rsidRPr="001455DC">
              <w:t>—</w:t>
            </w:r>
            <w:r w:rsidRPr="001455DC">
              <w:tab/>
            </w:r>
            <w:r w:rsidRPr="001455DC">
              <w:rPr>
                <w:lang w:eastAsia="de-CH"/>
              </w:rPr>
              <w:t>1 </w:t>
            </w:r>
            <w:r w:rsidR="00650035" w:rsidRPr="001455DC">
              <w:rPr>
                <w:rFonts w:ascii="Cambria Math" w:hAnsi="Cambria Math"/>
                <w:lang w:eastAsia="de-CH"/>
              </w:rPr>
              <w:t>≤</w:t>
            </w:r>
            <w:r w:rsidRPr="001455DC">
              <w:rPr>
                <w:lang w:eastAsia="de-CH"/>
              </w:rPr>
              <w:t> cot</w:t>
            </w:r>
            <w:r w:rsidRPr="001455DC">
              <w:rPr>
                <w:rStyle w:val="CCMCvariableitalic"/>
              </w:rPr>
              <w:t>θ</w:t>
            </w:r>
            <w:r w:rsidRPr="001455DC">
              <w:rPr>
                <w:rStyle w:val="CCMCvariablesubscript"/>
              </w:rPr>
              <w:t>f</w:t>
            </w:r>
            <w:r w:rsidRPr="001455DC">
              <w:rPr>
                <w:lang w:eastAsia="de-CH"/>
              </w:rPr>
              <w:t> </w:t>
            </w:r>
            <w:r w:rsidR="00650035" w:rsidRPr="001455DC">
              <w:rPr>
                <w:rFonts w:ascii="Cambria Math" w:hAnsi="Cambria Math"/>
                <w:lang w:eastAsia="de-CH"/>
              </w:rPr>
              <w:t>≤</w:t>
            </w:r>
            <w:r w:rsidRPr="001455DC">
              <w:rPr>
                <w:lang w:eastAsia="de-CH"/>
              </w:rPr>
              <w:t> 3,0</w:t>
            </w:r>
          </w:p>
        </w:tc>
        <w:tc>
          <w:tcPr>
            <w:tcW w:w="6521" w:type="dxa"/>
            <w:vAlign w:val="center"/>
          </w:tcPr>
          <w:p w14:paraId="6EB7A252" w14:textId="25F3E85C" w:rsidR="00B325DB" w:rsidRPr="001455DC" w:rsidRDefault="00B325DB" w:rsidP="00B325DB">
            <w:pPr>
              <w:pStyle w:val="Formula"/>
              <w:tabs>
                <w:tab w:val="clear" w:pos="9749"/>
              </w:tabs>
              <w:jc w:val="left"/>
            </w:pPr>
            <w:r w:rsidRPr="001455DC">
              <w:t>in compression flanges</w:t>
            </w:r>
          </w:p>
        </w:tc>
        <w:tc>
          <w:tcPr>
            <w:tcW w:w="1247" w:type="dxa"/>
            <w:vAlign w:val="center"/>
          </w:tcPr>
          <w:p w14:paraId="15DB1695" w14:textId="0FB41A8F" w:rsidR="00B325DB" w:rsidRPr="001455DC" w:rsidRDefault="00B325DB">
            <w:pPr>
              <w:pStyle w:val="a7"/>
              <w:jc w:val="right"/>
            </w:pPr>
            <w:r w:rsidRPr="001455DC">
              <w:t>(8.</w:t>
            </w:r>
            <w:r w:rsidR="00381B50" w:rsidRPr="001455DC">
              <w:t>52a</w:t>
            </w:r>
            <w:r w:rsidRPr="001455DC">
              <w:t>)</w:t>
            </w:r>
          </w:p>
        </w:tc>
      </w:tr>
      <w:tr w:rsidR="00B325DB" w:rsidRPr="001455DC" w14:paraId="7EF28B81" w14:textId="77777777" w:rsidTr="00B325DB">
        <w:trPr>
          <w:cantSplit/>
        </w:trPr>
        <w:tc>
          <w:tcPr>
            <w:tcW w:w="1985" w:type="dxa"/>
            <w:vAlign w:val="center"/>
          </w:tcPr>
          <w:p w14:paraId="68961F4C" w14:textId="31F0B9CB" w:rsidR="00B325DB" w:rsidRPr="001455DC" w:rsidRDefault="00B325DB" w:rsidP="00B325DB">
            <w:pPr>
              <w:pStyle w:val="Formula"/>
              <w:tabs>
                <w:tab w:val="clear" w:pos="9749"/>
              </w:tabs>
              <w:ind w:left="357" w:hanging="357"/>
              <w:jc w:val="left"/>
            </w:pPr>
            <w:r w:rsidRPr="001455DC">
              <w:t>—</w:t>
            </w:r>
            <w:r w:rsidRPr="001455DC">
              <w:tab/>
            </w:r>
            <w:r w:rsidRPr="001455DC">
              <w:rPr>
                <w:lang w:eastAsia="de-CH"/>
              </w:rPr>
              <w:t>1 </w:t>
            </w:r>
            <w:r w:rsidR="00650035" w:rsidRPr="001455DC">
              <w:rPr>
                <w:rFonts w:ascii="Cambria Math" w:hAnsi="Cambria Math"/>
                <w:lang w:eastAsia="de-CH"/>
              </w:rPr>
              <w:t>≤</w:t>
            </w:r>
            <w:r w:rsidRPr="001455DC">
              <w:rPr>
                <w:lang w:eastAsia="de-CH"/>
              </w:rPr>
              <w:t> cot</w:t>
            </w:r>
            <w:r w:rsidRPr="001455DC">
              <w:rPr>
                <w:rStyle w:val="CCMCvariableitalic"/>
              </w:rPr>
              <w:t>θ</w:t>
            </w:r>
            <w:r w:rsidRPr="001455DC">
              <w:rPr>
                <w:rStyle w:val="CCMCvariablesubscript"/>
              </w:rPr>
              <w:t>f</w:t>
            </w:r>
            <w:r w:rsidRPr="001455DC">
              <w:rPr>
                <w:lang w:eastAsia="de-CH"/>
              </w:rPr>
              <w:t> </w:t>
            </w:r>
            <w:r w:rsidR="00650035" w:rsidRPr="001455DC">
              <w:rPr>
                <w:rFonts w:ascii="Cambria Math" w:hAnsi="Cambria Math"/>
                <w:lang w:eastAsia="de-CH"/>
              </w:rPr>
              <w:t>≤</w:t>
            </w:r>
            <w:r w:rsidRPr="001455DC">
              <w:rPr>
                <w:lang w:eastAsia="de-CH"/>
              </w:rPr>
              <w:t> 1,25</w:t>
            </w:r>
          </w:p>
        </w:tc>
        <w:tc>
          <w:tcPr>
            <w:tcW w:w="6521" w:type="dxa"/>
            <w:vAlign w:val="center"/>
          </w:tcPr>
          <w:p w14:paraId="04898405" w14:textId="2AB7AC13" w:rsidR="00B325DB" w:rsidRPr="001455DC" w:rsidRDefault="00B325DB" w:rsidP="00B325DB">
            <w:pPr>
              <w:pStyle w:val="Formula"/>
              <w:tabs>
                <w:tab w:val="clear" w:pos="9749"/>
              </w:tabs>
              <w:jc w:val="left"/>
            </w:pPr>
            <w:r w:rsidRPr="001455DC">
              <w:t>in tension flanges</w:t>
            </w:r>
          </w:p>
        </w:tc>
        <w:tc>
          <w:tcPr>
            <w:tcW w:w="1247" w:type="dxa"/>
            <w:vAlign w:val="center"/>
          </w:tcPr>
          <w:p w14:paraId="2A9A5D1B" w14:textId="0B6B9D3E" w:rsidR="00B325DB" w:rsidRPr="001455DC" w:rsidRDefault="00B325DB" w:rsidP="004F7465">
            <w:pPr>
              <w:pStyle w:val="a7"/>
              <w:jc w:val="right"/>
            </w:pPr>
            <w:r w:rsidRPr="001455DC">
              <w:t>(8.</w:t>
            </w:r>
            <w:r w:rsidR="00381B50" w:rsidRPr="001455DC">
              <w:t>52</w:t>
            </w:r>
            <w:r w:rsidRPr="001455DC">
              <w:t>b)</w:t>
            </w:r>
          </w:p>
        </w:tc>
      </w:tr>
    </w:tbl>
    <w:p w14:paraId="389014DB" w14:textId="77777777" w:rsidR="00497A45" w:rsidRPr="001455DC" w:rsidRDefault="004E22C1" w:rsidP="008D37B2">
      <w:pPr>
        <w:pStyle w:val="a7"/>
        <w:keepNext/>
      </w:pPr>
      <w:r w:rsidRPr="001455DC">
        <w:t>(4)</w:t>
      </w:r>
      <w:r w:rsidRPr="001455DC">
        <w:tab/>
        <w:t xml:space="preserve">The transverse reinforcement in the flange </w:t>
      </w:r>
      <w:r w:rsidRPr="001455DC">
        <w:rPr>
          <w:rStyle w:val="CCMCvariableitalic"/>
        </w:rPr>
        <w:t>A</w:t>
      </w:r>
      <w:r w:rsidRPr="001455DC">
        <w:rPr>
          <w:rStyle w:val="CCMCvariablesubscript"/>
        </w:rPr>
        <w:t>sf</w:t>
      </w:r>
      <w:r w:rsidRPr="001455DC">
        <w:t xml:space="preserve"> may be determined as follows: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97A45" w:rsidRPr="001455DC" w14:paraId="289325B7" w14:textId="77777777" w:rsidTr="004F7465">
        <w:trPr>
          <w:cantSplit/>
        </w:trPr>
        <w:tc>
          <w:tcPr>
            <w:tcW w:w="8505" w:type="dxa"/>
            <w:vAlign w:val="center"/>
          </w:tcPr>
          <w:p w14:paraId="0A7CF7CB" w14:textId="383C44AC" w:rsidR="00497A45" w:rsidRPr="001455DC" w:rsidRDefault="00231E33" w:rsidP="004F7465">
            <w:pPr>
              <w:pStyle w:val="Formula"/>
              <w:jc w:val="left"/>
            </w:pPr>
            <m:oMathPara>
              <m:oMathParaPr>
                <m:jc m:val="left"/>
              </m:oMathParaPr>
              <m:oMath>
                <m:sSub>
                  <m:sSubPr>
                    <m:ctrlPr>
                      <w:rPr>
                        <w:rFonts w:ascii="Cambria Math" w:hAnsi="Cambria Math"/>
                      </w:rPr>
                    </m:ctrlPr>
                  </m:sSubPr>
                  <m:e>
                    <m:r>
                      <w:rPr>
                        <w:rFonts w:ascii="Cambria Math" w:hAnsi="Cambria Math"/>
                      </w:rPr>
                      <m:t>τ</m:t>
                    </m:r>
                  </m:e>
                  <m:sub>
                    <m:r>
                      <m:rPr>
                        <m:sty m:val="p"/>
                      </m:rPr>
                      <w:rPr>
                        <w:rFonts w:ascii="Cambria Math" w:hAnsi="Cambria Math"/>
                      </w:rPr>
                      <m:t>Ed</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sf</m:t>
                        </m:r>
                      </m:sub>
                    </m:sSub>
                  </m:num>
                  <m:den>
                    <m:sSub>
                      <m:sSubPr>
                        <m:ctrlPr>
                          <w:rPr>
                            <w:rFonts w:ascii="Cambria Math" w:hAnsi="Cambria Math"/>
                          </w:rPr>
                        </m:ctrlPr>
                      </m:sSubPr>
                      <m:e>
                        <m:r>
                          <w:rPr>
                            <w:rFonts w:ascii="Cambria Math" w:hAnsi="Cambria Math"/>
                          </w:rPr>
                          <m:t>s</m:t>
                        </m:r>
                      </m:e>
                      <m:sub>
                        <m:r>
                          <m:rPr>
                            <m:sty m:val="p"/>
                          </m:rP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f</m:t>
                        </m:r>
                      </m:sub>
                    </m:sSub>
                  </m:den>
                </m:f>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yd</m:t>
                    </m:r>
                  </m:sub>
                </m:sSub>
                <m:r>
                  <w:rPr>
                    <w:rFonts w:ascii="Cambria Math" w:hAnsi="Cambria Math"/>
                  </w:rPr>
                  <m:t>⋅</m:t>
                </m:r>
                <m:r>
                  <m:rPr>
                    <m:sty m:val="p"/>
                  </m:rPr>
                  <w:rPr>
                    <w:rFonts w:ascii="Cambria Math" w:hAnsi="Cambria Math"/>
                  </w:rPr>
                  <m:t>cot</m:t>
                </m:r>
                <m:sSub>
                  <m:sSubPr>
                    <m:ctrlPr>
                      <w:rPr>
                        <w:rFonts w:ascii="Cambria Math" w:hAnsi="Cambria Math"/>
                      </w:rPr>
                    </m:ctrlPr>
                  </m:sSubPr>
                  <m:e>
                    <m:r>
                      <w:rPr>
                        <w:rFonts w:ascii="Cambria Math" w:hAnsi="Cambria Math"/>
                      </w:rPr>
                      <m:t>θ</m:t>
                    </m:r>
                  </m:e>
                  <m:sub>
                    <m:r>
                      <m:rPr>
                        <m:sty m:val="p"/>
                      </m:rPr>
                      <w:rPr>
                        <w:rFonts w:ascii="Cambria Math" w:hAnsi="Cambria Math"/>
                      </w:rPr>
                      <m:t>f</m:t>
                    </m:r>
                  </m:sub>
                </m:sSub>
              </m:oMath>
            </m:oMathPara>
          </w:p>
        </w:tc>
        <w:tc>
          <w:tcPr>
            <w:tcW w:w="1247" w:type="dxa"/>
            <w:vAlign w:val="center"/>
          </w:tcPr>
          <w:p w14:paraId="773ADF3D" w14:textId="3A7C1D54" w:rsidR="00497A45" w:rsidRPr="001455DC" w:rsidRDefault="00B325DB">
            <w:pPr>
              <w:pStyle w:val="a7"/>
              <w:jc w:val="right"/>
            </w:pPr>
            <w:r w:rsidRPr="001455DC">
              <w:t>(8.</w:t>
            </w:r>
            <w:r w:rsidR="00381B50" w:rsidRPr="001455DC">
              <w:t>53</w:t>
            </w:r>
            <w:r w:rsidRPr="001455DC">
              <w:t>)</w:t>
            </w:r>
          </w:p>
        </w:tc>
      </w:tr>
    </w:tbl>
    <w:p w14:paraId="7D6FAAE5" w14:textId="77777777" w:rsidR="00497A45" w:rsidRPr="001455DC" w:rsidRDefault="004E22C1" w:rsidP="008D37B2">
      <w:pPr>
        <w:pStyle w:val="a7"/>
        <w:keepNext/>
      </w:pPr>
      <w:r w:rsidRPr="001455DC">
        <w:t>To prevent crushing of the compression field in the flange, the following condition should be satisfied:</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97A45" w:rsidRPr="001455DC" w14:paraId="262CC548" w14:textId="77777777" w:rsidTr="004F7465">
        <w:trPr>
          <w:cantSplit/>
        </w:trPr>
        <w:tc>
          <w:tcPr>
            <w:tcW w:w="8505" w:type="dxa"/>
            <w:vAlign w:val="center"/>
          </w:tcPr>
          <w:p w14:paraId="3FFC1950" w14:textId="7E55189C" w:rsidR="00497A45" w:rsidRPr="001455DC" w:rsidRDefault="00231E33" w:rsidP="004F7465">
            <w:pPr>
              <w:pStyle w:val="Formula"/>
              <w:jc w:val="left"/>
            </w:pPr>
            <m:oMathPara>
              <m:oMathParaPr>
                <m:jc m:val="left"/>
              </m:oMathParaPr>
              <m:oMath>
                <m:sSub>
                  <m:sSubPr>
                    <m:ctrlPr>
                      <w:rPr>
                        <w:rFonts w:ascii="Cambria Math" w:hAnsi="Cambria Math"/>
                      </w:rPr>
                    </m:ctrlPr>
                  </m:sSubPr>
                  <m:e>
                    <m:r>
                      <w:rPr>
                        <w:rFonts w:ascii="Cambria Math" w:hAnsi="Cambria Math"/>
                      </w:rPr>
                      <m:t>σ</m:t>
                    </m:r>
                  </m:e>
                  <m:sub>
                    <m:r>
                      <m:rPr>
                        <m:sty m:val="p"/>
                      </m:rPr>
                      <w:rPr>
                        <w:rFonts w:ascii="Cambria Math" w:hAnsi="Cambria Math"/>
                      </w:rPr>
                      <m:t>cd</m:t>
                    </m:r>
                  </m:sub>
                </m:sSub>
                <m:r>
                  <w:rPr>
                    <w:rFonts w:ascii="Cambria Math" w:hAnsi="Cambria Math"/>
                  </w:rPr>
                  <m:t>=</m:t>
                </m:r>
                <m:sSub>
                  <m:sSubPr>
                    <m:ctrlPr>
                      <w:rPr>
                        <w:rFonts w:ascii="Cambria Math" w:hAnsi="Cambria Math"/>
                      </w:rPr>
                    </m:ctrlPr>
                  </m:sSubPr>
                  <m:e>
                    <m:r>
                      <w:rPr>
                        <w:rFonts w:ascii="Cambria Math" w:hAnsi="Cambria Math"/>
                      </w:rPr>
                      <m:t>τ</m:t>
                    </m:r>
                  </m:e>
                  <m:sub>
                    <m:r>
                      <m:rPr>
                        <m:sty m:val="p"/>
                      </m:rPr>
                      <w:rPr>
                        <w:rFonts w:ascii="Cambria Math" w:hAnsi="Cambria Math"/>
                      </w:rPr>
                      <m:t>Ed</m:t>
                    </m:r>
                  </m:sub>
                </m:sSub>
                <m:d>
                  <m:dPr>
                    <m:ctrlPr>
                      <w:rPr>
                        <w:rFonts w:ascii="Cambria Math" w:hAnsi="Cambria Math"/>
                      </w:rPr>
                    </m:ctrlPr>
                  </m:dPr>
                  <m:e>
                    <m:r>
                      <m:rPr>
                        <m:sty m:val="p"/>
                      </m:rPr>
                      <w:rPr>
                        <w:rFonts w:ascii="Cambria Math" w:hAnsi="Cambria Math"/>
                      </w:rPr>
                      <m:t>cot</m:t>
                    </m:r>
                    <m:sSub>
                      <m:sSubPr>
                        <m:ctrlPr>
                          <w:rPr>
                            <w:rFonts w:ascii="Cambria Math" w:hAnsi="Cambria Math"/>
                          </w:rPr>
                        </m:ctrlPr>
                      </m:sSubPr>
                      <m:e>
                        <m:r>
                          <w:rPr>
                            <w:rFonts w:ascii="Cambria Math" w:hAnsi="Cambria Math"/>
                          </w:rPr>
                          <m:t>θ</m:t>
                        </m:r>
                      </m:e>
                      <m:sub>
                        <m:r>
                          <m:rPr>
                            <m:sty m:val="p"/>
                          </m:rPr>
                          <w:rPr>
                            <w:rFonts w:ascii="Cambria Math" w:hAnsi="Cambria Math"/>
                          </w:rPr>
                          <m:t>f</m:t>
                        </m:r>
                      </m:sub>
                    </m:sSub>
                    <m:r>
                      <w:rPr>
                        <w:rFonts w:ascii="Cambria Math" w:hAnsi="Cambria Math"/>
                      </w:rPr>
                      <m:t>+</m:t>
                    </m:r>
                    <m:r>
                      <m:rPr>
                        <m:sty m:val="p"/>
                      </m:rPr>
                      <w:rPr>
                        <w:rFonts w:ascii="Cambria Math" w:hAnsi="Cambria Math"/>
                      </w:rPr>
                      <m:t>tan</m:t>
                    </m:r>
                    <m:sSub>
                      <m:sSubPr>
                        <m:ctrlPr>
                          <w:rPr>
                            <w:rFonts w:ascii="Cambria Math" w:hAnsi="Cambria Math"/>
                          </w:rPr>
                        </m:ctrlPr>
                      </m:sSubPr>
                      <m:e>
                        <m:r>
                          <w:rPr>
                            <w:rFonts w:ascii="Cambria Math" w:hAnsi="Cambria Math"/>
                          </w:rPr>
                          <m:t>θ</m:t>
                        </m:r>
                      </m:e>
                      <m:sub>
                        <m:r>
                          <m:rPr>
                            <m:sty m:val="p"/>
                          </m:rPr>
                          <w:rPr>
                            <w:rFonts w:ascii="Cambria Math" w:hAnsi="Cambria Math"/>
                          </w:rPr>
                          <m:t>f</m:t>
                        </m:r>
                      </m:sub>
                    </m:sSub>
                  </m:e>
                </m:d>
                <m:r>
                  <w:rPr>
                    <w:rFonts w:ascii="Cambria Math" w:hAnsi="Cambria Math"/>
                  </w:rPr>
                  <m:t>≤ν⋅</m:t>
                </m:r>
                <m:sSub>
                  <m:sSubPr>
                    <m:ctrlPr>
                      <w:rPr>
                        <w:rFonts w:ascii="Cambria Math" w:hAnsi="Cambria Math"/>
                      </w:rPr>
                    </m:ctrlPr>
                  </m:sSubPr>
                  <m:e>
                    <m:r>
                      <w:rPr>
                        <w:rFonts w:ascii="Cambria Math" w:hAnsi="Cambria Math"/>
                      </w:rPr>
                      <m:t>f</m:t>
                    </m:r>
                  </m:e>
                  <m:sub>
                    <m:r>
                      <m:rPr>
                        <m:sty m:val="p"/>
                      </m:rPr>
                      <w:rPr>
                        <w:rFonts w:ascii="Cambria Math" w:hAnsi="Cambria Math"/>
                      </w:rPr>
                      <m:t>cd</m:t>
                    </m:r>
                  </m:sub>
                </m:sSub>
              </m:oMath>
            </m:oMathPara>
          </w:p>
        </w:tc>
        <w:tc>
          <w:tcPr>
            <w:tcW w:w="1247" w:type="dxa"/>
            <w:vAlign w:val="center"/>
          </w:tcPr>
          <w:p w14:paraId="4563F14C" w14:textId="467DF622" w:rsidR="00497A45" w:rsidRPr="001455DC" w:rsidRDefault="00B325DB">
            <w:pPr>
              <w:pStyle w:val="a7"/>
              <w:jc w:val="right"/>
            </w:pPr>
            <w:r w:rsidRPr="001455DC">
              <w:t>(8.</w:t>
            </w:r>
            <w:r w:rsidR="00381B50" w:rsidRPr="001455DC">
              <w:t>54</w:t>
            </w:r>
            <w:r w:rsidRPr="001455DC">
              <w:t>)</w:t>
            </w:r>
          </w:p>
        </w:tc>
      </w:tr>
    </w:tbl>
    <w:p w14:paraId="3504CC51" w14:textId="77777777" w:rsidR="00497A45" w:rsidRPr="001455DC" w:rsidRDefault="004E22C1" w:rsidP="008D37B2">
      <w:pPr>
        <w:pStyle w:val="a7"/>
        <w:keepNext/>
      </w:pPr>
      <w:r w:rsidRPr="001455DC">
        <w:t>where the following strength reduction factor may be used:</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97A45" w:rsidRPr="001455DC" w14:paraId="085DD042" w14:textId="77777777" w:rsidTr="004F7465">
        <w:trPr>
          <w:cantSplit/>
        </w:trPr>
        <w:tc>
          <w:tcPr>
            <w:tcW w:w="8505" w:type="dxa"/>
            <w:vAlign w:val="center"/>
          </w:tcPr>
          <w:p w14:paraId="141F222F" w14:textId="465DE4B5" w:rsidR="00497A45" w:rsidRPr="001455DC" w:rsidRDefault="00B325DB" w:rsidP="004F7465">
            <w:pPr>
              <w:pStyle w:val="Formula"/>
              <w:jc w:val="left"/>
            </w:pPr>
            <w:r w:rsidRPr="001455DC">
              <w:rPr>
                <w:rStyle w:val="CCMCvariableitalic"/>
              </w:rPr>
              <w:t>ν</w:t>
            </w:r>
            <w:r w:rsidRPr="001455DC">
              <w:t> </w:t>
            </w:r>
            <w:r w:rsidR="00EC27D2" w:rsidRPr="001455DC">
              <w:rPr>
                <w:rFonts w:ascii="Cambria Math" w:hAnsi="Cambria Math"/>
              </w:rPr>
              <w:t>=</w:t>
            </w:r>
            <w:r w:rsidRPr="001455DC">
              <w:t> 0,5</w:t>
            </w:r>
          </w:p>
        </w:tc>
        <w:tc>
          <w:tcPr>
            <w:tcW w:w="1247" w:type="dxa"/>
            <w:vAlign w:val="center"/>
          </w:tcPr>
          <w:p w14:paraId="096F27FD" w14:textId="69584F4A" w:rsidR="00497A45" w:rsidRPr="001455DC" w:rsidRDefault="00B325DB">
            <w:pPr>
              <w:pStyle w:val="a7"/>
              <w:jc w:val="right"/>
            </w:pPr>
            <w:r w:rsidRPr="001455DC">
              <w:t>(8.</w:t>
            </w:r>
            <w:r w:rsidR="00381B50" w:rsidRPr="001455DC">
              <w:t>55</w:t>
            </w:r>
            <w:r w:rsidRPr="001455DC">
              <w:t>)</w:t>
            </w:r>
          </w:p>
        </w:tc>
      </w:tr>
    </w:tbl>
    <w:p w14:paraId="3E103D4C" w14:textId="7BE6BB05" w:rsidR="00497A45" w:rsidRPr="001455DC" w:rsidRDefault="004E22C1" w:rsidP="008D37B2">
      <w:pPr>
        <w:pStyle w:val="a7"/>
        <w:keepNext/>
      </w:pPr>
      <w:r w:rsidRPr="001455DC">
        <w:t>(5)</w:t>
      </w:r>
      <w:r w:rsidRPr="001455DC">
        <w:tab/>
      </w:r>
      <w:r w:rsidRPr="001455DC">
        <w:rPr>
          <w:lang w:eastAsia="de-CH"/>
        </w:rPr>
        <w:t xml:space="preserve">Lower angles of the inclined compression field in the tensile flange than those given in (3) may be adopted provided the value of factor </w:t>
      </w:r>
      <w:r w:rsidRPr="001455DC">
        <w:rPr>
          <w:rStyle w:val="CCMCvariableitalic"/>
        </w:rPr>
        <w:t>ν</w:t>
      </w:r>
      <w:r w:rsidRPr="001455DC">
        <w:rPr>
          <w:lang w:eastAsia="de-CH"/>
        </w:rPr>
        <w:t xml:space="preserve"> is calculated on the basis of the state of strains of the member according to </w:t>
      </w:r>
      <w:r w:rsidRPr="001455DC">
        <w:t>Formula (</w:t>
      </w:r>
      <w:r w:rsidRPr="001455DC">
        <w:rPr>
          <w:lang w:eastAsia="de-CH"/>
        </w:rPr>
        <w:t>8.</w:t>
      </w:r>
      <w:r w:rsidR="00381B50" w:rsidRPr="001455DC">
        <w:rPr>
          <w:lang w:eastAsia="de-CH"/>
        </w:rPr>
        <w:t>32</w:t>
      </w:r>
      <w:r w:rsidRPr="001455DC">
        <w:rPr>
          <w:lang w:eastAsia="de-CH"/>
        </w:rPr>
        <w:t xml:space="preserve">) where </w:t>
      </w:r>
      <w:r w:rsidRPr="001455DC">
        <w:rPr>
          <w:rStyle w:val="CCMCvariableitalic"/>
        </w:rPr>
        <w:t>ε</w:t>
      </w:r>
      <w:r w:rsidRPr="001455DC">
        <w:rPr>
          <w:rStyle w:val="CCMCvariablesubscript"/>
        </w:rPr>
        <w:t>x</w:t>
      </w:r>
      <w:r w:rsidRPr="001455DC">
        <w:rPr>
          <w:lang w:eastAsia="de-CH"/>
        </w:rPr>
        <w:t xml:space="preserve"> is the longitudinal strain in the tensile flange and may be estimated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97A45" w:rsidRPr="001455DC" w14:paraId="5DCC7DC9" w14:textId="77777777" w:rsidTr="004F7465">
        <w:trPr>
          <w:cantSplit/>
        </w:trPr>
        <w:tc>
          <w:tcPr>
            <w:tcW w:w="8505" w:type="dxa"/>
            <w:vAlign w:val="center"/>
          </w:tcPr>
          <w:p w14:paraId="100C5FDC" w14:textId="4D623D18" w:rsidR="00497A45" w:rsidRPr="001455DC" w:rsidRDefault="00231E33" w:rsidP="004F7465">
            <w:pPr>
              <w:pStyle w:val="Formula"/>
              <w:jc w:val="left"/>
            </w:pPr>
            <m:oMathPara>
              <m:oMathParaPr>
                <m:jc m:val="left"/>
              </m:oMathParaPr>
              <m:oMath>
                <m:sSub>
                  <m:sSubPr>
                    <m:ctrlPr>
                      <w:rPr>
                        <w:rFonts w:ascii="Cambria Math" w:hAnsi="Cambria Math"/>
                        <w:lang w:eastAsia="de-CH"/>
                      </w:rPr>
                    </m:ctrlPr>
                  </m:sSubPr>
                  <m:e>
                    <m:r>
                      <w:rPr>
                        <w:rFonts w:ascii="Cambria Math" w:hAnsi="Cambria Math"/>
                      </w:rPr>
                      <m:t>ε</m:t>
                    </m:r>
                  </m:e>
                  <m:sub>
                    <m:r>
                      <m:rPr>
                        <m:sty m:val="p"/>
                      </m:rPr>
                      <w:rPr>
                        <w:rFonts w:ascii="Cambria Math" w:hAnsi="Cambria Math"/>
                      </w:rPr>
                      <m:t>x</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td</m:t>
                        </m:r>
                      </m:sub>
                    </m:sSub>
                  </m:num>
                  <m:den>
                    <m:sSub>
                      <m:sSubPr>
                        <m:ctrlPr>
                          <w:rPr>
                            <w:rFonts w:ascii="Cambria Math" w:hAnsi="Cambria Math"/>
                          </w:rPr>
                        </m:ctrlPr>
                      </m:sSubPr>
                      <m:e>
                        <m:r>
                          <w:rPr>
                            <w:rFonts w:ascii="Cambria Math" w:hAnsi="Cambria Math"/>
                          </w:rPr>
                          <m:t>A</m:t>
                        </m:r>
                      </m:e>
                      <m:sub>
                        <m:r>
                          <m:rPr>
                            <m:sty m:val="p"/>
                          </m:rPr>
                          <w:rPr>
                            <w:rFonts w:ascii="Cambria Math" w:hAnsi="Cambria Math"/>
                          </w:rPr>
                          <m:t>st</m:t>
                        </m:r>
                      </m:sub>
                    </m:sSub>
                    <m:sSub>
                      <m:sSubPr>
                        <m:ctrlPr>
                          <w:rPr>
                            <w:rFonts w:ascii="Cambria Math" w:hAnsi="Cambria Math"/>
                          </w:rPr>
                        </m:ctrlPr>
                      </m:sSubPr>
                      <m:e>
                        <m:r>
                          <w:rPr>
                            <w:rFonts w:ascii="Cambria Math" w:hAnsi="Cambria Math"/>
                          </w:rPr>
                          <m:t>E</m:t>
                        </m:r>
                      </m:e>
                      <m:sub>
                        <m:r>
                          <m:rPr>
                            <m:sty m:val="p"/>
                          </m:rPr>
                          <w:rPr>
                            <w:rFonts w:ascii="Cambria Math" w:hAnsi="Cambria Math"/>
                          </w:rPr>
                          <m:t>s</m:t>
                        </m:r>
                      </m:sub>
                    </m:sSub>
                  </m:den>
                </m:f>
                <m:r>
                  <w:rPr>
                    <w:rFonts w:ascii="Cambria Math" w:hAnsi="Cambria Math"/>
                  </w:rPr>
                  <m:t>≥0</m:t>
                </m:r>
              </m:oMath>
            </m:oMathPara>
          </w:p>
        </w:tc>
        <w:tc>
          <w:tcPr>
            <w:tcW w:w="1247" w:type="dxa"/>
            <w:vAlign w:val="center"/>
          </w:tcPr>
          <w:p w14:paraId="45C626D4" w14:textId="5DA1B9A8" w:rsidR="00497A45" w:rsidRPr="001455DC" w:rsidRDefault="00555CF7">
            <w:pPr>
              <w:pStyle w:val="a7"/>
              <w:jc w:val="right"/>
            </w:pPr>
            <w:r w:rsidRPr="001455DC">
              <w:rPr>
                <w:lang w:eastAsia="de-CH"/>
              </w:rPr>
              <w:t>(8.</w:t>
            </w:r>
            <w:r w:rsidR="00381B50" w:rsidRPr="001455DC">
              <w:rPr>
                <w:lang w:eastAsia="de-CH"/>
              </w:rPr>
              <w:t>56</w:t>
            </w:r>
            <w:r w:rsidRPr="001455DC">
              <w:rPr>
                <w:lang w:eastAsia="de-CH"/>
              </w:rPr>
              <w:t>)</w:t>
            </w:r>
          </w:p>
        </w:tc>
      </w:tr>
    </w:tbl>
    <w:p w14:paraId="245403D4" w14:textId="77777777" w:rsidR="004E22C1" w:rsidRPr="001455DC" w:rsidRDefault="004E22C1" w:rsidP="00497A45">
      <w:pPr>
        <w:pStyle w:val="a7"/>
      </w:pPr>
      <w:r w:rsidRPr="001455DC">
        <w:rPr>
          <w:lang w:eastAsia="de-CH"/>
        </w:rPr>
        <w:t xml:space="preserve">where </w:t>
      </w:r>
      <w:r w:rsidRPr="001455DC">
        <w:rPr>
          <w:rStyle w:val="CCMCvariableitalic"/>
        </w:rPr>
        <w:t>A</w:t>
      </w:r>
      <w:r w:rsidRPr="001455DC">
        <w:rPr>
          <w:rStyle w:val="CCMCvariablesubscript"/>
        </w:rPr>
        <w:t>st</w:t>
      </w:r>
      <w:r w:rsidRPr="001455DC">
        <w:rPr>
          <w:lang w:eastAsia="de-CH"/>
        </w:rPr>
        <w:t xml:space="preserve"> and </w:t>
      </w:r>
      <w:r w:rsidRPr="001455DC">
        <w:rPr>
          <w:rStyle w:val="CCMCvariableitalic"/>
        </w:rPr>
        <w:t>F</w:t>
      </w:r>
      <w:r w:rsidRPr="001455DC">
        <w:rPr>
          <w:rStyle w:val="CCMCvariablesubscript"/>
        </w:rPr>
        <w:t>td</w:t>
      </w:r>
      <w:r w:rsidRPr="001455DC">
        <w:rPr>
          <w:lang w:eastAsia="de-CH"/>
        </w:rPr>
        <w:t xml:space="preserve"> are the area of the longitudinal reinforcement and the force in the tension chord, respectively (refer to 8.2.3(8)).</w:t>
      </w:r>
    </w:p>
    <w:p w14:paraId="4623B3E8" w14:textId="77777777" w:rsidR="004E22C1" w:rsidRPr="001455DC" w:rsidRDefault="004E22C1" w:rsidP="008D37B2">
      <w:pPr>
        <w:pStyle w:val="a7"/>
        <w:keepNext/>
      </w:pPr>
      <w:r w:rsidRPr="001455DC">
        <w:t>(6)</w:t>
      </w:r>
      <w:r w:rsidRPr="001455DC">
        <w:tab/>
        <w:t>The influence of transverse bending may be addressed according to 8.2.4 or Annex G. Alternatively, the reinforcement in the flange may be designed as follows:</w:t>
      </w:r>
    </w:p>
    <w:p w14:paraId="62B9A797" w14:textId="3BDF68DB" w:rsidR="004E22C1" w:rsidRPr="001455DC" w:rsidRDefault="004E22C1" w:rsidP="00497A45">
      <w:pPr>
        <w:pStyle w:val="a0"/>
      </w:pPr>
      <w:r w:rsidRPr="001455DC">
        <w:t>if reinforcement is placed only in the tension zone due to transverse bending, the area of the steel should be the greater among that required for bending and that required for shear;</w:t>
      </w:r>
    </w:p>
    <w:p w14:paraId="075F43AB" w14:textId="499F803F" w:rsidR="004E22C1" w:rsidRPr="001455DC" w:rsidRDefault="004E22C1" w:rsidP="00497A45">
      <w:pPr>
        <w:pStyle w:val="a0"/>
      </w:pPr>
      <w:r w:rsidRPr="001455DC">
        <w:t>if the reinforcement is symmetrically distributed (stirrups with two branches), the area of each branch should be the greater among that required for bending and that required for shear.</w:t>
      </w:r>
    </w:p>
    <w:p w14:paraId="6CB3BB9A" w14:textId="2E98FD49" w:rsidR="004E22C1" w:rsidRPr="001455DC" w:rsidRDefault="004E22C1" w:rsidP="00497A45">
      <w:pPr>
        <w:pStyle w:val="a7"/>
      </w:pPr>
      <w:r w:rsidRPr="001455DC">
        <w:t>(7)</w:t>
      </w:r>
      <w:r w:rsidRPr="001455DC">
        <w:tab/>
        <w:t>Longitudinal tension reinforcement in the flange should be anchored beyond the strut required to transmit the force back to the web at the section where this reinforcement is required (see section cut</w:t>
      </w:r>
      <w:r w:rsidR="00555CF7" w:rsidRPr="001455DC">
        <w:t> </w:t>
      </w:r>
      <w:r w:rsidRPr="001455DC">
        <w:t>1–1 of Figure 8.13).</w:t>
      </w:r>
    </w:p>
    <w:p w14:paraId="463103E6" w14:textId="4CCEAA8B" w:rsidR="004E22C1" w:rsidRPr="001455DC" w:rsidRDefault="004E22C1" w:rsidP="00243590">
      <w:pPr>
        <w:pStyle w:val="31"/>
      </w:pPr>
      <w:bookmarkStart w:id="575" w:name="_Toc52819981"/>
      <w:bookmarkStart w:id="576" w:name="_Toc54337374"/>
      <w:bookmarkStart w:id="577" w:name="_Toc54338037"/>
      <w:bookmarkStart w:id="578" w:name="_Toc67565385"/>
      <w:r w:rsidRPr="001455DC">
        <w:t>Shear at interfaces</w:t>
      </w:r>
      <w:bookmarkEnd w:id="575"/>
      <w:bookmarkEnd w:id="576"/>
      <w:bookmarkEnd w:id="577"/>
      <w:bookmarkEnd w:id="578"/>
    </w:p>
    <w:p w14:paraId="616F5942" w14:textId="205C5233" w:rsidR="004E22C1" w:rsidRPr="001455DC" w:rsidRDefault="004E22C1" w:rsidP="00497A45">
      <w:pPr>
        <w:pStyle w:val="a7"/>
        <w:rPr>
          <w:lang w:eastAsia="de-DE"/>
        </w:rPr>
      </w:pPr>
      <w:r w:rsidRPr="001455DC">
        <w:rPr>
          <w:rFonts w:eastAsiaTheme="majorEastAsia"/>
        </w:rPr>
        <w:t>(1)</w:t>
      </w:r>
      <w:r w:rsidRPr="001455DC">
        <w:rPr>
          <w:rFonts w:eastAsiaTheme="majorEastAsia"/>
        </w:rPr>
        <w:tab/>
      </w:r>
      <w:r w:rsidRPr="001455DC">
        <w:rPr>
          <w:lang w:eastAsia="de-DE"/>
        </w:rPr>
        <w:t xml:space="preserve">This </w:t>
      </w:r>
      <w:r w:rsidR="00381B50" w:rsidRPr="001455DC">
        <w:rPr>
          <w:lang w:eastAsia="de-DE"/>
        </w:rPr>
        <w:t xml:space="preserve">clause </w:t>
      </w:r>
      <w:r w:rsidRPr="001455DC">
        <w:rPr>
          <w:lang w:eastAsia="de-DE"/>
        </w:rPr>
        <w:t>shall be applied where the static equilibrium depends on shear transfer across a given interface, such as: an interface between two concretes cast at different times or an interface between concrete and a similar material (</w:t>
      </w:r>
      <w:r w:rsidRPr="001455DC">
        <w:t>e.g. concrete cast on rock surfaces).</w:t>
      </w:r>
    </w:p>
    <w:p w14:paraId="07C0167E" w14:textId="77777777" w:rsidR="004E22C1" w:rsidRPr="001455DC" w:rsidRDefault="004E22C1" w:rsidP="00497A45">
      <w:pPr>
        <w:pStyle w:val="a7"/>
        <w:rPr>
          <w:lang w:eastAsia="de-DE"/>
        </w:rPr>
      </w:pPr>
      <w:r w:rsidRPr="001455DC">
        <w:rPr>
          <w:lang w:eastAsia="de-DE"/>
        </w:rPr>
        <w:t>(2)</w:t>
      </w:r>
      <w:r w:rsidRPr="001455DC">
        <w:rPr>
          <w:lang w:eastAsia="de-DE"/>
        </w:rPr>
        <w:tab/>
        <w:t>For very rough interfaces with sufficiently anchored minimum reinforcement according to 12.2.2 crossing the interface at an angle according to Figure 8.15b), the verification may be omitted. The roughness of the interfaces is defined in (6).</w:t>
      </w:r>
    </w:p>
    <w:p w14:paraId="0130E99A" w14:textId="77777777" w:rsidR="00497A45" w:rsidRPr="001455DC" w:rsidRDefault="004E22C1" w:rsidP="008D37B2">
      <w:pPr>
        <w:pStyle w:val="a7"/>
        <w:keepNext/>
      </w:pPr>
      <w:r w:rsidRPr="001455DC">
        <w:rPr>
          <w:lang w:eastAsia="de-DE"/>
        </w:rPr>
        <w:t>(3)</w:t>
      </w:r>
      <w:r w:rsidRPr="001455DC">
        <w:rPr>
          <w:lang w:eastAsia="de-DE"/>
        </w:rPr>
        <w:tab/>
        <w:t>The shear stress at the interface should satisfy the following condition:</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97A45" w:rsidRPr="001455DC" w14:paraId="4FD463BC" w14:textId="77777777" w:rsidTr="004F7465">
        <w:trPr>
          <w:cantSplit/>
        </w:trPr>
        <w:tc>
          <w:tcPr>
            <w:tcW w:w="8505" w:type="dxa"/>
            <w:vAlign w:val="center"/>
          </w:tcPr>
          <w:p w14:paraId="4C7E5B90" w14:textId="58096832" w:rsidR="00497A45" w:rsidRPr="001455DC" w:rsidRDefault="00555CF7" w:rsidP="004F7465">
            <w:pPr>
              <w:pStyle w:val="Formula"/>
              <w:jc w:val="left"/>
            </w:pPr>
            <w:r w:rsidRPr="001455DC">
              <w:rPr>
                <w:rStyle w:val="CCMCvariableitalic"/>
              </w:rPr>
              <w:t>τ</w:t>
            </w:r>
            <w:r w:rsidRPr="001455DC">
              <w:rPr>
                <w:rStyle w:val="CCMCvariablesubscript"/>
              </w:rPr>
              <w:t>Edi</w:t>
            </w:r>
            <w:r w:rsidRPr="001455DC">
              <w:rPr>
                <w:lang w:eastAsia="de-DE"/>
              </w:rPr>
              <w:t> </w:t>
            </w:r>
            <w:r w:rsidR="00650035" w:rsidRPr="001455DC">
              <w:rPr>
                <w:rFonts w:ascii="Cambria Math" w:hAnsi="Cambria Math"/>
                <w:lang w:eastAsia="de-DE"/>
              </w:rPr>
              <w:t>≤</w:t>
            </w:r>
            <w:r w:rsidRPr="001455DC">
              <w:rPr>
                <w:lang w:eastAsia="de-DE"/>
              </w:rPr>
              <w:t> </w:t>
            </w:r>
            <w:r w:rsidRPr="001455DC">
              <w:rPr>
                <w:rStyle w:val="CCMCvariableitalic"/>
              </w:rPr>
              <w:t>τ</w:t>
            </w:r>
            <w:r w:rsidRPr="001455DC">
              <w:rPr>
                <w:rStyle w:val="CCMCvariablesubscript"/>
              </w:rPr>
              <w:t>Rdi</w:t>
            </w:r>
          </w:p>
        </w:tc>
        <w:tc>
          <w:tcPr>
            <w:tcW w:w="1247" w:type="dxa"/>
            <w:vAlign w:val="center"/>
          </w:tcPr>
          <w:p w14:paraId="268B7A02" w14:textId="10CA4526" w:rsidR="00497A45" w:rsidRPr="001455DC" w:rsidRDefault="00555CF7">
            <w:pPr>
              <w:pStyle w:val="a7"/>
              <w:jc w:val="right"/>
            </w:pPr>
            <w:r w:rsidRPr="001455DC">
              <w:rPr>
                <w:lang w:eastAsia="de-DE"/>
              </w:rPr>
              <w:t>(8.</w:t>
            </w:r>
            <w:r w:rsidR="00381B50" w:rsidRPr="001455DC">
              <w:rPr>
                <w:lang w:eastAsia="de-DE"/>
              </w:rPr>
              <w:t>57</w:t>
            </w:r>
            <w:r w:rsidRPr="001455DC">
              <w:rPr>
                <w:lang w:eastAsia="de-DE"/>
              </w:rPr>
              <w:t>)</w:t>
            </w:r>
          </w:p>
        </w:tc>
      </w:tr>
    </w:tbl>
    <w:p w14:paraId="2FF9F855" w14:textId="77777777" w:rsidR="00555CF7" w:rsidRPr="001455DC" w:rsidRDefault="00555CF7"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555CF7" w:rsidRPr="001455DC" w14:paraId="63868FE2" w14:textId="77777777" w:rsidTr="00EC0EC0">
        <w:trPr>
          <w:cantSplit/>
        </w:trPr>
        <w:tc>
          <w:tcPr>
            <w:tcW w:w="567" w:type="dxa"/>
          </w:tcPr>
          <w:p w14:paraId="23B8A4C1" w14:textId="0296BBE3" w:rsidR="00555CF7" w:rsidRPr="001455DC" w:rsidRDefault="00555CF7" w:rsidP="00EC0EC0">
            <w:pPr>
              <w:pStyle w:val="Tablebody"/>
            </w:pPr>
            <w:r w:rsidRPr="001455DC">
              <w:rPr>
                <w:rStyle w:val="CCMCvariableitalic"/>
              </w:rPr>
              <w:t>τ</w:t>
            </w:r>
            <w:r w:rsidRPr="001455DC">
              <w:rPr>
                <w:rStyle w:val="CCMCvariablesubscript"/>
              </w:rPr>
              <w:t>Rdi</w:t>
            </w:r>
          </w:p>
        </w:tc>
        <w:tc>
          <w:tcPr>
            <w:tcW w:w="8845" w:type="dxa"/>
          </w:tcPr>
          <w:p w14:paraId="7D954BB6" w14:textId="2A62FB62" w:rsidR="00555CF7" w:rsidRPr="001455DC" w:rsidRDefault="00555CF7">
            <w:pPr>
              <w:pStyle w:val="Tablebody"/>
            </w:pPr>
            <w:r w:rsidRPr="001455DC">
              <w:rPr>
                <w:lang w:eastAsia="de-DE"/>
              </w:rPr>
              <w:t xml:space="preserve">is the design shear resistance at the interface. If no reinforcement across the interface is required or if the required reinforcement across the interface is sufficiently anchored, </w:t>
            </w:r>
            <w:r w:rsidRPr="001455DC">
              <w:rPr>
                <w:rStyle w:val="CCMCvariableitalic"/>
              </w:rPr>
              <w:t>τ</w:t>
            </w:r>
            <w:r w:rsidRPr="001455DC">
              <w:rPr>
                <w:rStyle w:val="CCMCvariablesubscript"/>
              </w:rPr>
              <w:t>Rdi</w:t>
            </w:r>
            <w:r w:rsidRPr="001455DC">
              <w:rPr>
                <w:lang w:eastAsia="de-DE"/>
              </w:rPr>
              <w:t xml:space="preserve"> should be calculated by Formula (8.</w:t>
            </w:r>
            <w:r w:rsidR="00381B50" w:rsidRPr="001455DC">
              <w:rPr>
                <w:lang w:eastAsia="de-DE"/>
              </w:rPr>
              <w:t>60</w:t>
            </w:r>
            <w:r w:rsidRPr="001455DC">
              <w:rPr>
                <w:lang w:eastAsia="de-DE"/>
              </w:rPr>
              <w:t>). In other cases according to (7), Formula (8.</w:t>
            </w:r>
            <w:r w:rsidR="00381B50" w:rsidRPr="001455DC">
              <w:rPr>
                <w:lang w:eastAsia="de-DE"/>
              </w:rPr>
              <w:t>61</w:t>
            </w:r>
            <w:r w:rsidRPr="001455DC">
              <w:rPr>
                <w:lang w:eastAsia="de-DE"/>
              </w:rPr>
              <w:t>) should be used.</w:t>
            </w:r>
          </w:p>
        </w:tc>
      </w:tr>
    </w:tbl>
    <w:p w14:paraId="031E2771" w14:textId="77777777" w:rsidR="00497A45" w:rsidRPr="001455DC" w:rsidRDefault="004E22C1" w:rsidP="008D37B2">
      <w:pPr>
        <w:pStyle w:val="a7"/>
        <w:keepNext/>
      </w:pPr>
      <w:r w:rsidRPr="001455DC">
        <w:rPr>
          <w:lang w:eastAsia="de-DE"/>
        </w:rPr>
        <w:t>(4)</w:t>
      </w:r>
      <w:r w:rsidRPr="001455DC">
        <w:rPr>
          <w:lang w:eastAsia="de-DE"/>
        </w:rPr>
        <w:tab/>
        <w:t>The design value of the shear stress in an interface should be taken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97A45" w:rsidRPr="001455DC" w14:paraId="55A818FD" w14:textId="77777777" w:rsidTr="004F7465">
        <w:trPr>
          <w:cantSplit/>
        </w:trPr>
        <w:tc>
          <w:tcPr>
            <w:tcW w:w="8505" w:type="dxa"/>
            <w:vAlign w:val="center"/>
          </w:tcPr>
          <w:p w14:paraId="36DBBAF2" w14:textId="4ACCA822" w:rsidR="00497A45" w:rsidRPr="001455DC" w:rsidRDefault="00231E33" w:rsidP="004F7465">
            <w:pPr>
              <w:pStyle w:val="Formula"/>
              <w:jc w:val="left"/>
            </w:pPr>
            <m:oMathPara>
              <m:oMathParaPr>
                <m:jc m:val="left"/>
              </m:oMathParaPr>
              <m:oMath>
                <m:sSub>
                  <m:sSubPr>
                    <m:ctrlPr>
                      <w:rPr>
                        <w:rFonts w:ascii="Cambria Math" w:hAnsi="Cambria Math"/>
                        <w:lang w:eastAsia="de-CH"/>
                      </w:rPr>
                    </m:ctrlPr>
                  </m:sSubPr>
                  <m:e>
                    <m:r>
                      <w:rPr>
                        <w:rFonts w:ascii="Cambria Math" w:hAnsi="Cambria Math"/>
                      </w:rPr>
                      <m:t>τ</m:t>
                    </m:r>
                  </m:e>
                  <m:sub>
                    <m:r>
                      <m:rPr>
                        <m:sty m:val="p"/>
                      </m:rPr>
                      <w:rPr>
                        <w:rFonts w:ascii="Cambria Math" w:hAnsi="Cambria Math"/>
                      </w:rPr>
                      <m:t>Edi</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Edi</m:t>
                        </m:r>
                      </m:sub>
                    </m:sSub>
                  </m:num>
                  <m:den>
                    <m:sSub>
                      <m:sSubPr>
                        <m:ctrlPr>
                          <w:rPr>
                            <w:rFonts w:ascii="Cambria Math" w:hAnsi="Cambria Math"/>
                          </w:rPr>
                        </m:ctrlPr>
                      </m:sSubPr>
                      <m:e>
                        <m:r>
                          <w:rPr>
                            <w:rFonts w:ascii="Cambria Math" w:hAnsi="Cambria Math"/>
                          </w:rPr>
                          <m:t>A</m:t>
                        </m:r>
                      </m:e>
                      <m:sub>
                        <m:r>
                          <m:rPr>
                            <m:sty m:val="p"/>
                          </m:rPr>
                          <w:rPr>
                            <w:rFonts w:ascii="Cambria Math" w:hAnsi="Cambria Math"/>
                          </w:rPr>
                          <m:t>i</m:t>
                        </m:r>
                      </m:sub>
                    </m:sSub>
                  </m:den>
                </m:f>
              </m:oMath>
            </m:oMathPara>
          </w:p>
        </w:tc>
        <w:tc>
          <w:tcPr>
            <w:tcW w:w="1247" w:type="dxa"/>
            <w:vAlign w:val="center"/>
          </w:tcPr>
          <w:p w14:paraId="269FA5CB" w14:textId="32529CB8" w:rsidR="00497A45" w:rsidRPr="001455DC" w:rsidRDefault="00555CF7">
            <w:pPr>
              <w:pStyle w:val="a7"/>
              <w:jc w:val="right"/>
            </w:pPr>
            <w:r w:rsidRPr="001455DC">
              <w:rPr>
                <w:lang w:eastAsia="de-DE"/>
              </w:rPr>
              <w:t>(8.</w:t>
            </w:r>
            <w:r w:rsidR="00381B50" w:rsidRPr="001455DC">
              <w:rPr>
                <w:lang w:eastAsia="de-DE"/>
              </w:rPr>
              <w:t>58</w:t>
            </w:r>
            <w:r w:rsidRPr="001455DC">
              <w:rPr>
                <w:lang w:eastAsia="de-DE"/>
              </w:rPr>
              <w:t>)</w:t>
            </w:r>
          </w:p>
        </w:tc>
      </w:tr>
    </w:tbl>
    <w:p w14:paraId="3FD9ACBE" w14:textId="77777777" w:rsidR="00555CF7" w:rsidRPr="001455DC" w:rsidRDefault="00555CF7"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555CF7" w:rsidRPr="001455DC" w14:paraId="39F46743" w14:textId="77777777" w:rsidTr="00EC0EC0">
        <w:trPr>
          <w:cantSplit/>
        </w:trPr>
        <w:tc>
          <w:tcPr>
            <w:tcW w:w="567" w:type="dxa"/>
          </w:tcPr>
          <w:p w14:paraId="1CC4BFE1" w14:textId="0A33F262" w:rsidR="00555CF7" w:rsidRPr="001455DC" w:rsidRDefault="00555CF7" w:rsidP="00EC0EC0">
            <w:pPr>
              <w:pStyle w:val="Tablebody"/>
            </w:pPr>
            <w:r w:rsidRPr="001455DC">
              <w:rPr>
                <w:rStyle w:val="CCMCvariableitalic"/>
              </w:rPr>
              <w:t>V</w:t>
            </w:r>
            <w:r w:rsidRPr="001455DC">
              <w:rPr>
                <w:rStyle w:val="CCMCvariablesubscript"/>
              </w:rPr>
              <w:t>Edi</w:t>
            </w:r>
          </w:p>
        </w:tc>
        <w:tc>
          <w:tcPr>
            <w:tcW w:w="8845" w:type="dxa"/>
          </w:tcPr>
          <w:p w14:paraId="4301DFD3" w14:textId="046B04E6" w:rsidR="00555CF7" w:rsidRPr="001455DC" w:rsidRDefault="00555CF7" w:rsidP="00EC0EC0">
            <w:pPr>
              <w:pStyle w:val="Tablebody"/>
            </w:pPr>
            <w:r w:rsidRPr="001455DC">
              <w:rPr>
                <w:lang w:eastAsia="de-DE"/>
              </w:rPr>
              <w:t>is the shear force acting parallel to the interface;</w:t>
            </w:r>
          </w:p>
        </w:tc>
      </w:tr>
      <w:tr w:rsidR="00555CF7" w:rsidRPr="001455DC" w14:paraId="0F72A9CF" w14:textId="77777777" w:rsidTr="00EC0EC0">
        <w:trPr>
          <w:cantSplit/>
        </w:trPr>
        <w:tc>
          <w:tcPr>
            <w:tcW w:w="567" w:type="dxa"/>
          </w:tcPr>
          <w:p w14:paraId="2ECB7E64" w14:textId="35AA0430" w:rsidR="00555CF7" w:rsidRPr="009D3012" w:rsidRDefault="00555CF7" w:rsidP="00EC0EC0">
            <w:pPr>
              <w:pStyle w:val="Tablebody"/>
              <w:rPr>
                <w:rStyle w:val="CCMCvariableitalic"/>
              </w:rPr>
            </w:pPr>
            <w:r w:rsidRPr="001455DC">
              <w:rPr>
                <w:rStyle w:val="CCMCvariableitalic"/>
              </w:rPr>
              <w:t>A</w:t>
            </w:r>
            <w:r w:rsidRPr="001455DC">
              <w:rPr>
                <w:rStyle w:val="CCMCvariablesubscript"/>
              </w:rPr>
              <w:t>i</w:t>
            </w:r>
          </w:p>
        </w:tc>
        <w:tc>
          <w:tcPr>
            <w:tcW w:w="8845" w:type="dxa"/>
          </w:tcPr>
          <w:p w14:paraId="4FBC8CCE" w14:textId="7207DD47" w:rsidR="00555CF7" w:rsidRPr="001455DC" w:rsidRDefault="00555CF7" w:rsidP="00EC0EC0">
            <w:pPr>
              <w:pStyle w:val="Tablebody"/>
              <w:rPr>
                <w:lang w:eastAsia="de-DE"/>
              </w:rPr>
            </w:pPr>
            <w:r w:rsidRPr="001455DC">
              <w:rPr>
                <w:lang w:eastAsia="de-DE"/>
              </w:rPr>
              <w:t xml:space="preserve">is the area of the interface according to Figure 8.14. For keyed interfaces, </w:t>
            </w:r>
            <w:r w:rsidRPr="001455DC">
              <w:rPr>
                <w:rStyle w:val="CCMCvariableitalic"/>
              </w:rPr>
              <w:t>A</w:t>
            </w:r>
            <w:r w:rsidRPr="001455DC">
              <w:rPr>
                <w:rStyle w:val="CCMCvariablesubscript"/>
              </w:rPr>
              <w:t>i</w:t>
            </w:r>
            <w:r w:rsidRPr="001455DC">
              <w:rPr>
                <w:lang w:eastAsia="de-DE"/>
              </w:rPr>
              <w:t xml:space="preserve"> should be based on either the key area </w:t>
            </w:r>
            <w:r w:rsidRPr="001455DC">
              <w:rPr>
                <w:rStyle w:val="CCMCvariableitalic"/>
              </w:rPr>
              <w:t>A</w:t>
            </w:r>
            <w:r w:rsidRPr="001455DC">
              <w:rPr>
                <w:rStyle w:val="CCMCvariablesubscript"/>
              </w:rPr>
              <w:t>1</w:t>
            </w:r>
            <w:r w:rsidRPr="001455DC">
              <w:rPr>
                <w:lang w:eastAsia="de-DE"/>
              </w:rPr>
              <w:t xml:space="preserve"> or (</w:t>
            </w:r>
            <w:r w:rsidRPr="001455DC">
              <w:rPr>
                <w:rStyle w:val="CCMCvariableitalic"/>
              </w:rPr>
              <w:t>A</w:t>
            </w:r>
            <w:r w:rsidRPr="001455DC">
              <w:rPr>
                <w:rStyle w:val="CCMCvariablesubscript"/>
              </w:rPr>
              <w:t>2</w:t>
            </w:r>
            <w:r w:rsidR="00EC27D2" w:rsidRPr="001455DC">
              <w:rPr>
                <w:rFonts w:ascii="Cambria Math" w:hAnsi="Cambria Math"/>
                <w:lang w:eastAsia="de-DE"/>
              </w:rPr>
              <w:t> + </w:t>
            </w:r>
            <w:r w:rsidRPr="001455DC">
              <w:rPr>
                <w:rStyle w:val="CCMCvariableitalic"/>
              </w:rPr>
              <w:t>A</w:t>
            </w:r>
            <w:r w:rsidRPr="001455DC">
              <w:rPr>
                <w:rStyle w:val="CCMCvariablesubscript"/>
              </w:rPr>
              <w:t>3</w:t>
            </w:r>
            <w:r w:rsidRPr="001455DC">
              <w:rPr>
                <w:lang w:eastAsia="de-DE"/>
              </w:rPr>
              <w:t>) according to Figure 8.14 whichever is critical.</w:t>
            </w:r>
          </w:p>
        </w:tc>
      </w:tr>
    </w:tbl>
    <w:p w14:paraId="518BB79A" w14:textId="77777777" w:rsidR="00497A45" w:rsidRPr="001455DC" w:rsidRDefault="004E22C1" w:rsidP="008D37B2">
      <w:pPr>
        <w:pStyle w:val="a7"/>
        <w:keepNext/>
      </w:pPr>
      <w:r w:rsidRPr="001455DC">
        <w:rPr>
          <w:lang w:eastAsia="de-DE"/>
        </w:rPr>
        <w:t>The longitudinal shear stress between concrete interfaces due to composite action may be taken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97A45" w:rsidRPr="001455DC" w14:paraId="3612D15B" w14:textId="77777777" w:rsidTr="004F7465">
        <w:trPr>
          <w:cantSplit/>
        </w:trPr>
        <w:tc>
          <w:tcPr>
            <w:tcW w:w="8505" w:type="dxa"/>
            <w:vAlign w:val="center"/>
          </w:tcPr>
          <w:p w14:paraId="780F8328" w14:textId="415CF9B3" w:rsidR="00497A45" w:rsidRPr="001455DC" w:rsidRDefault="00231E33" w:rsidP="004F7465">
            <w:pPr>
              <w:pStyle w:val="Formula"/>
              <w:jc w:val="left"/>
            </w:pPr>
            <m:oMathPara>
              <m:oMathParaPr>
                <m:jc m:val="left"/>
              </m:oMathParaPr>
              <m:oMath>
                <m:sSub>
                  <m:sSubPr>
                    <m:ctrlPr>
                      <w:rPr>
                        <w:rFonts w:ascii="Cambria Math" w:hAnsi="Cambria Math"/>
                        <w:lang w:eastAsia="de-CH"/>
                      </w:rPr>
                    </m:ctrlPr>
                  </m:sSubPr>
                  <m:e>
                    <m:r>
                      <w:rPr>
                        <w:rFonts w:ascii="Cambria Math" w:hAnsi="Cambria Math"/>
                      </w:rPr>
                      <m:t>τ</m:t>
                    </m:r>
                  </m:e>
                  <m:sub>
                    <m:r>
                      <m:rPr>
                        <m:sty m:val="p"/>
                      </m:rPr>
                      <w:rPr>
                        <w:rFonts w:ascii="Cambria Math" w:hAnsi="Cambria Math"/>
                      </w:rPr>
                      <m:t>Edi</m:t>
                    </m:r>
                  </m:sub>
                </m:sSub>
                <m:r>
                  <w:rPr>
                    <w:rFonts w:ascii="Cambria Math" w:hAnsi="Cambria Math"/>
                  </w:rPr>
                  <m:t>=</m:t>
                </m:r>
                <m:f>
                  <m:fPr>
                    <m:ctrlPr>
                      <w:rPr>
                        <w:rFonts w:ascii="Cambria Math" w:hAnsi="Cambria Math"/>
                      </w:rPr>
                    </m:ctrlPr>
                  </m:fPr>
                  <m:num>
                    <m:r>
                      <w:rPr>
                        <w:rFonts w:ascii="Cambria Math" w:hAnsi="Cambria Math"/>
                      </w:rPr>
                      <m:t>β⋅</m:t>
                    </m:r>
                    <m:sSub>
                      <m:sSubPr>
                        <m:ctrlPr>
                          <w:rPr>
                            <w:rFonts w:ascii="Cambria Math" w:hAnsi="Cambria Math"/>
                          </w:rPr>
                        </m:ctrlPr>
                      </m:sSubPr>
                      <m:e>
                        <m:r>
                          <w:rPr>
                            <w:rFonts w:ascii="Cambria Math" w:hAnsi="Cambria Math"/>
                          </w:rPr>
                          <m:t>V</m:t>
                        </m:r>
                      </m:e>
                      <m:sub>
                        <m:r>
                          <m:rPr>
                            <m:sty m:val="p"/>
                          </m:rPr>
                          <w:rPr>
                            <w:rFonts w:ascii="Cambria Math" w:hAnsi="Cambria Math"/>
                          </w:rPr>
                          <m:t>Ed</m:t>
                        </m:r>
                      </m:sub>
                    </m:sSub>
                  </m:num>
                  <m:den>
                    <m:r>
                      <w:rPr>
                        <w:rFonts w:ascii="Cambria Math" w:hAnsi="Cambria Math"/>
                      </w:rPr>
                      <m:t>z⋅</m:t>
                    </m:r>
                    <m:sSub>
                      <m:sSubPr>
                        <m:ctrlPr>
                          <w:rPr>
                            <w:rFonts w:ascii="Cambria Math" w:hAnsi="Cambria Math"/>
                          </w:rPr>
                        </m:ctrlPr>
                      </m:sSubPr>
                      <m:e>
                        <m:r>
                          <w:rPr>
                            <w:rFonts w:ascii="Cambria Math" w:hAnsi="Cambria Math"/>
                          </w:rPr>
                          <m:t>b</m:t>
                        </m:r>
                      </m:e>
                      <m:sub>
                        <m:r>
                          <m:rPr>
                            <m:sty m:val="p"/>
                          </m:rPr>
                          <w:rPr>
                            <w:rFonts w:ascii="Cambria Math" w:hAnsi="Cambria Math"/>
                          </w:rPr>
                          <m:t>i</m:t>
                        </m:r>
                      </m:sub>
                    </m:sSub>
                  </m:den>
                </m:f>
              </m:oMath>
            </m:oMathPara>
          </w:p>
        </w:tc>
        <w:tc>
          <w:tcPr>
            <w:tcW w:w="1247" w:type="dxa"/>
            <w:vAlign w:val="center"/>
          </w:tcPr>
          <w:p w14:paraId="06278B2C" w14:textId="26530893" w:rsidR="00497A45" w:rsidRPr="001455DC" w:rsidRDefault="00555CF7">
            <w:pPr>
              <w:pStyle w:val="a7"/>
              <w:jc w:val="right"/>
            </w:pPr>
            <w:r w:rsidRPr="001455DC">
              <w:rPr>
                <w:lang w:eastAsia="de-DE"/>
              </w:rPr>
              <w:t>(8.</w:t>
            </w:r>
            <w:r w:rsidR="00381B50" w:rsidRPr="001455DC">
              <w:rPr>
                <w:lang w:eastAsia="de-DE"/>
              </w:rPr>
              <w:t>59</w:t>
            </w:r>
            <w:r w:rsidRPr="001455DC">
              <w:rPr>
                <w:lang w:eastAsia="de-DE"/>
              </w:rPr>
              <w:t>)</w:t>
            </w:r>
          </w:p>
        </w:tc>
      </w:tr>
    </w:tbl>
    <w:p w14:paraId="04859B65" w14:textId="77777777" w:rsidR="00555CF7" w:rsidRPr="001455DC" w:rsidRDefault="00555CF7"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555CF7" w:rsidRPr="001455DC" w14:paraId="561E6480" w14:textId="77777777" w:rsidTr="00EC0EC0">
        <w:trPr>
          <w:cantSplit/>
        </w:trPr>
        <w:tc>
          <w:tcPr>
            <w:tcW w:w="567" w:type="dxa"/>
          </w:tcPr>
          <w:p w14:paraId="14A72D7D" w14:textId="023A9113" w:rsidR="00555CF7" w:rsidRPr="001455DC" w:rsidRDefault="00555CF7" w:rsidP="00EC0EC0">
            <w:pPr>
              <w:pStyle w:val="Tablebody"/>
            </w:pPr>
            <w:r w:rsidRPr="001455DC">
              <w:rPr>
                <w:rStyle w:val="CCMCvariableitalic"/>
              </w:rPr>
              <w:t>β</w:t>
            </w:r>
          </w:p>
        </w:tc>
        <w:tc>
          <w:tcPr>
            <w:tcW w:w="8845" w:type="dxa"/>
          </w:tcPr>
          <w:p w14:paraId="6C88C5EF" w14:textId="4A73AF12" w:rsidR="00555CF7" w:rsidRPr="001455DC" w:rsidRDefault="00555CF7" w:rsidP="00EC0EC0">
            <w:pPr>
              <w:pStyle w:val="Tablebody"/>
            </w:pPr>
            <w:r w:rsidRPr="001455DC">
              <w:rPr>
                <w:lang w:eastAsia="de-DE"/>
              </w:rPr>
              <w:t>is the ratio of the longitudinal force in the new concrete area and the total longitudinal force either in the compression or tension zone, both calculated for the section considered;</w:t>
            </w:r>
          </w:p>
        </w:tc>
      </w:tr>
      <w:tr w:rsidR="00555CF7" w:rsidRPr="001455DC" w14:paraId="4DF5F46D" w14:textId="77777777" w:rsidTr="00EC0EC0">
        <w:trPr>
          <w:cantSplit/>
        </w:trPr>
        <w:tc>
          <w:tcPr>
            <w:tcW w:w="567" w:type="dxa"/>
          </w:tcPr>
          <w:p w14:paraId="670253F2" w14:textId="1B6B546B" w:rsidR="00555CF7" w:rsidRPr="009D3012" w:rsidRDefault="00555CF7" w:rsidP="00EC0EC0">
            <w:pPr>
              <w:pStyle w:val="Tablebody"/>
              <w:rPr>
                <w:rStyle w:val="CCMCvariableitalic"/>
              </w:rPr>
            </w:pPr>
            <w:r w:rsidRPr="001455DC">
              <w:rPr>
                <w:rStyle w:val="CCMCvariableitalic"/>
              </w:rPr>
              <w:t>V</w:t>
            </w:r>
            <w:r w:rsidRPr="001455DC">
              <w:rPr>
                <w:rStyle w:val="CCMCvariablesubscript"/>
              </w:rPr>
              <w:t>Ed</w:t>
            </w:r>
          </w:p>
        </w:tc>
        <w:tc>
          <w:tcPr>
            <w:tcW w:w="8845" w:type="dxa"/>
          </w:tcPr>
          <w:p w14:paraId="5F5B55C3" w14:textId="7B5CA1DB" w:rsidR="00555CF7" w:rsidRPr="001455DC" w:rsidRDefault="00555CF7" w:rsidP="00EC0EC0">
            <w:pPr>
              <w:pStyle w:val="Tablebody"/>
              <w:rPr>
                <w:lang w:eastAsia="de-DE"/>
              </w:rPr>
            </w:pPr>
            <w:r w:rsidRPr="001455DC">
              <w:rPr>
                <w:lang w:eastAsia="de-DE"/>
              </w:rPr>
              <w:t>is the shear force acting perpendicular to the interface;</w:t>
            </w:r>
          </w:p>
        </w:tc>
      </w:tr>
      <w:tr w:rsidR="00555CF7" w:rsidRPr="001455DC" w14:paraId="31338E31" w14:textId="77777777" w:rsidTr="00EC0EC0">
        <w:trPr>
          <w:cantSplit/>
        </w:trPr>
        <w:tc>
          <w:tcPr>
            <w:tcW w:w="567" w:type="dxa"/>
          </w:tcPr>
          <w:p w14:paraId="00D911BE" w14:textId="2F63DFC2" w:rsidR="00555CF7" w:rsidRPr="009D3012" w:rsidRDefault="00555CF7" w:rsidP="00EC0EC0">
            <w:pPr>
              <w:pStyle w:val="Tablebody"/>
              <w:rPr>
                <w:rStyle w:val="CCMCvariableitalic"/>
              </w:rPr>
            </w:pPr>
            <w:r w:rsidRPr="001455DC">
              <w:rPr>
                <w:rStyle w:val="CCMCvariableitalic"/>
              </w:rPr>
              <w:t>z</w:t>
            </w:r>
          </w:p>
        </w:tc>
        <w:tc>
          <w:tcPr>
            <w:tcW w:w="8845" w:type="dxa"/>
          </w:tcPr>
          <w:p w14:paraId="228A5D8C" w14:textId="22A085C9" w:rsidR="00555CF7" w:rsidRPr="001455DC" w:rsidRDefault="00555CF7" w:rsidP="00EC0EC0">
            <w:pPr>
              <w:pStyle w:val="Tablebody"/>
              <w:rPr>
                <w:lang w:eastAsia="de-DE"/>
              </w:rPr>
            </w:pPr>
            <w:r w:rsidRPr="001455DC">
              <w:rPr>
                <w:lang w:eastAsia="de-DE"/>
              </w:rPr>
              <w:t>is the lever arm of composite section;</w:t>
            </w:r>
          </w:p>
        </w:tc>
      </w:tr>
      <w:tr w:rsidR="00555CF7" w:rsidRPr="001455DC" w14:paraId="398B5C0C" w14:textId="77777777" w:rsidTr="00EC0EC0">
        <w:trPr>
          <w:cantSplit/>
        </w:trPr>
        <w:tc>
          <w:tcPr>
            <w:tcW w:w="567" w:type="dxa"/>
          </w:tcPr>
          <w:p w14:paraId="23C0101A" w14:textId="3ED1CF6B" w:rsidR="00555CF7" w:rsidRPr="009D3012" w:rsidRDefault="00555CF7" w:rsidP="00EC0EC0">
            <w:pPr>
              <w:pStyle w:val="Tablebody"/>
              <w:rPr>
                <w:rStyle w:val="CCMCvariableitalic"/>
              </w:rPr>
            </w:pPr>
            <w:r w:rsidRPr="001455DC">
              <w:rPr>
                <w:rStyle w:val="CCMCvariableitalic"/>
              </w:rPr>
              <w:t>b</w:t>
            </w:r>
            <w:r w:rsidRPr="001455DC">
              <w:rPr>
                <w:rStyle w:val="CCMCvariablesubscript"/>
              </w:rPr>
              <w:t>i</w:t>
            </w:r>
          </w:p>
        </w:tc>
        <w:tc>
          <w:tcPr>
            <w:tcW w:w="8845" w:type="dxa"/>
          </w:tcPr>
          <w:p w14:paraId="1A368B51" w14:textId="38E24D80" w:rsidR="00555CF7" w:rsidRPr="001455DC" w:rsidRDefault="00555CF7" w:rsidP="00EC0EC0">
            <w:pPr>
              <w:pStyle w:val="Tablebody"/>
              <w:rPr>
                <w:lang w:eastAsia="de-DE"/>
              </w:rPr>
            </w:pPr>
            <w:r w:rsidRPr="001455DC">
              <w:rPr>
                <w:lang w:eastAsia="de-DE"/>
              </w:rPr>
              <w:t>is the width of the interface.</w:t>
            </w:r>
          </w:p>
        </w:tc>
      </w:tr>
    </w:tbl>
    <w:p w14:paraId="229B7942" w14:textId="61546B09" w:rsidR="00865DB3" w:rsidRDefault="00723CF7" w:rsidP="00497A45">
      <w:pPr>
        <w:pStyle w:val="Figuretitle"/>
        <w:rPr>
          <w:rFonts w:eastAsia="Times New Roman" w:cs="Times New Roman"/>
          <w:b w:val="0"/>
          <w:szCs w:val="22"/>
          <w:lang w:eastAsia="de-CH"/>
        </w:rPr>
      </w:pPr>
      <w:r>
        <w:rPr>
          <w:noProof/>
          <w:lang w:eastAsia="en-GB"/>
        </w:rPr>
        <w:fldChar w:fldCharType="begin"/>
      </w:r>
      <w:r>
        <w:rPr>
          <w:noProof/>
          <w:lang w:eastAsia="en-GB"/>
        </w:rPr>
        <w:instrText xml:space="preserve"> INCLUDEPICTURE  "Y:\\STD_MGT\\STDDEL\\PRODUCTION\\etrans\\Download\\Z_FIRST_DEL\\SV\\00250\\00250269\\41_e_dr\\8_014.tif"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"Y:\\STD_MGT\\STDDEL\\PRODUCTION\\Standards\\00250\\269\\41_e_dr\\8_014.tif"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"Y:\\STD_MGT\\STDDEL\\PRODUCTION\\Standards\\00250\\269\\41_e_dr\\8_014.tif"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"Y:\\STD_MGT\\STDDEL\\PRODUCTION\\Standards\\00250\\269\\41_e_dr\\8_014.tif"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"Y:\\STD_MGT\\STDDEL\\PRODUCTION\\Standards\\00250\\269\\41_e_dr\\8_014.tif"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"Y:\\STD_MGT\\STDDEL\\PRODUCTION\\Standards\\00250\\269\\41_e_dr\\8_014.tif"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w:instrText>
      </w:r>
      <w:r w:rsidR="00231E33">
        <w:rPr>
          <w:noProof/>
          <w:lang w:eastAsia="en-GB"/>
        </w:rPr>
        <w:instrText>.dionysiou\\AppData\\Local\\Temp\\Temp1_00250269_e_20210902.zip.zip\\41_e_dr\\8_014.tif"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49E4EBC4">
          <v:shape id="_x0000_i1164" type="#_x0000_t75" style="width:396.75pt;height:114pt">
            <v:imagedata r:id="rId298" r:href="rId299"/>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20B72ABB" w14:textId="2C0DA5B9" w:rsidR="004E22C1" w:rsidRPr="001455DC" w:rsidRDefault="004E22C1" w:rsidP="00497A45">
      <w:pPr>
        <w:pStyle w:val="Figuretitle"/>
        <w:rPr>
          <w:lang w:eastAsia="de-CH"/>
        </w:rPr>
      </w:pPr>
      <w:r w:rsidRPr="001455DC">
        <w:t>Figure 8.14 — Examples of interfaces</w:t>
      </w:r>
    </w:p>
    <w:p w14:paraId="14F12AD1" w14:textId="31FDF733" w:rsidR="00497A45" w:rsidRPr="001455DC" w:rsidRDefault="004E22C1" w:rsidP="008D37B2">
      <w:pPr>
        <w:pStyle w:val="a7"/>
        <w:keepNext/>
      </w:pPr>
      <w:r w:rsidRPr="001455DC">
        <w:rPr>
          <w:lang w:eastAsia="de-CH"/>
        </w:rPr>
        <w:t>(5)</w:t>
      </w:r>
      <w:r w:rsidRPr="001455DC">
        <w:rPr>
          <w:lang w:eastAsia="de-CH"/>
        </w:rPr>
        <w:tab/>
      </w:r>
      <w:r w:rsidRPr="001455DC">
        <w:rPr>
          <w:lang w:eastAsia="de-DE"/>
        </w:rPr>
        <w:t xml:space="preserve">The design shear </w:t>
      </w:r>
      <w:r w:rsidR="00381B50" w:rsidRPr="001455DC">
        <w:rPr>
          <w:lang w:eastAsia="de-DE"/>
        </w:rPr>
        <w:t xml:space="preserve">stress </w:t>
      </w:r>
      <w:r w:rsidRPr="001455DC">
        <w:rPr>
          <w:lang w:eastAsia="de-DE"/>
        </w:rPr>
        <w:t xml:space="preserve">resistance at the interface for situations without reinforcement across the interface or </w:t>
      </w:r>
      <w:r w:rsidRPr="001455DC">
        <w:t xml:space="preserve">if the required reinforcement across the interface is anchored for </w:t>
      </w:r>
      <w:r w:rsidRPr="001455DC">
        <w:rPr>
          <w:rStyle w:val="CCMCvariableitalic"/>
        </w:rPr>
        <w:t>σ</w:t>
      </w:r>
      <w:r w:rsidRPr="001455DC">
        <w:rPr>
          <w:rStyle w:val="CCMCvariablesubscript"/>
        </w:rPr>
        <w:t>sd</w:t>
      </w:r>
      <w:r w:rsidRPr="001455DC">
        <w:t> </w:t>
      </w:r>
      <w:r w:rsidR="00EC27D2" w:rsidRPr="001455DC">
        <w:rPr>
          <w:rFonts w:ascii="Cambria Math" w:hAnsi="Cambria Math"/>
        </w:rPr>
        <w:t>=</w:t>
      </w:r>
      <w:r w:rsidRPr="001455DC">
        <w:t> </w:t>
      </w:r>
      <w:r w:rsidRPr="001455DC">
        <w:rPr>
          <w:rStyle w:val="CCMCvariableitalic"/>
        </w:rPr>
        <w:t>f</w:t>
      </w:r>
      <w:r w:rsidRPr="001455DC">
        <w:rPr>
          <w:rStyle w:val="CCMCvariablesubscript"/>
        </w:rPr>
        <w:t>yd</w:t>
      </w:r>
      <w:r w:rsidRPr="001455DC">
        <w:t xml:space="preserve"> </w:t>
      </w:r>
      <w:r w:rsidRPr="001455DC">
        <w:rPr>
          <w:lang w:eastAsia="de-DE"/>
        </w:rPr>
        <w:t>may be taken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97A45" w:rsidRPr="001455DC" w14:paraId="27E5C607" w14:textId="77777777" w:rsidTr="004F7465">
        <w:trPr>
          <w:cantSplit/>
        </w:trPr>
        <w:tc>
          <w:tcPr>
            <w:tcW w:w="8505" w:type="dxa"/>
            <w:vAlign w:val="center"/>
          </w:tcPr>
          <w:p w14:paraId="0304405D" w14:textId="1F1BDE81" w:rsidR="00497A45" w:rsidRPr="001455DC" w:rsidRDefault="00555CF7" w:rsidP="004F7465">
            <w:pPr>
              <w:pStyle w:val="Formula"/>
              <w:jc w:val="left"/>
            </w:pPr>
            <w:r w:rsidRPr="001455DC">
              <w:rPr>
                <w:rStyle w:val="CCMCvariableitalic"/>
              </w:rPr>
              <w:t>τ</w:t>
            </w:r>
            <w:r w:rsidRPr="001455DC">
              <w:rPr>
                <w:rStyle w:val="CCMCvariablesubscript"/>
              </w:rPr>
              <w:t>Rdi</w:t>
            </w:r>
            <w:r w:rsidRPr="001455DC">
              <w:t> </w:t>
            </w:r>
            <w:r w:rsidR="00EC27D2" w:rsidRPr="001455DC">
              <w:rPr>
                <w:rFonts w:ascii="Cambria Math" w:hAnsi="Cambria Math"/>
              </w:rPr>
              <w:t>=</w:t>
            </w:r>
            <w:r w:rsidRPr="001455DC">
              <w:t> </w:t>
            </w:r>
            <w:r w:rsidRPr="001455DC">
              <w:rPr>
                <w:rStyle w:val="CCMCvariableitalic"/>
              </w:rPr>
              <w:t>c</w:t>
            </w:r>
            <w:r w:rsidRPr="001455DC">
              <w:rPr>
                <w:rStyle w:val="CCMCvariablesubscript"/>
              </w:rPr>
              <w:t>v1</w:t>
            </w:r>
            <w:r w:rsidRPr="001455DC">
              <w:rPr>
                <w:rFonts w:hint="eastAsia"/>
                <w:lang w:eastAsia="de-DE"/>
              </w:rPr>
              <w:t xml:space="preserve"> </w:t>
            </w:r>
            <w:r w:rsidRPr="001455DC">
              <w:rPr>
                <w:rFonts w:hint="eastAsia"/>
                <w:lang w:eastAsia="de-DE"/>
              </w:rPr>
              <w:t>√</w:t>
            </w:r>
            <w:r w:rsidRPr="001455DC">
              <w:rPr>
                <w:rFonts w:hint="eastAsia"/>
                <w:lang w:eastAsia="de-DE"/>
              </w:rPr>
              <w:t>(</w:t>
            </w:r>
            <w:r w:rsidRPr="001455DC">
              <w:rPr>
                <w:rStyle w:val="CCMCvariableitalic"/>
              </w:rPr>
              <w:t>f</w:t>
            </w:r>
            <w:r w:rsidRPr="001455DC">
              <w:rPr>
                <w:rStyle w:val="CCMCvariablesubscript"/>
              </w:rPr>
              <w:t>ck</w:t>
            </w:r>
            <w:r w:rsidRPr="001455DC">
              <w:rPr>
                <w:lang w:eastAsia="de-DE"/>
              </w:rPr>
              <w:t>)/</w:t>
            </w:r>
            <w:r w:rsidRPr="001455DC">
              <w:rPr>
                <w:rStyle w:val="CCMCvariableitalic"/>
              </w:rPr>
              <w:t>γ</w:t>
            </w:r>
            <w:r w:rsidRPr="001455DC">
              <w:rPr>
                <w:rStyle w:val="CCMCvariablesubscript"/>
              </w:rPr>
              <w:t>C</w:t>
            </w:r>
            <w:r w:rsidR="00EC27D2" w:rsidRPr="001455DC">
              <w:rPr>
                <w:rFonts w:ascii="Cambria Math" w:hAnsi="Cambria Math"/>
                <w:lang w:eastAsia="de-DE"/>
              </w:rPr>
              <w:t> + </w:t>
            </w:r>
            <w:r w:rsidRPr="001455DC">
              <w:rPr>
                <w:rStyle w:val="CCMCvariableitalic"/>
              </w:rPr>
              <w:t>μ</w:t>
            </w:r>
            <w:r w:rsidRPr="001455DC">
              <w:rPr>
                <w:rStyle w:val="CCMCvariablesubscript"/>
              </w:rPr>
              <w:t>v</w:t>
            </w:r>
            <w:r w:rsidRPr="001455DC">
              <w:rPr>
                <w:lang w:eastAsia="de-DE"/>
              </w:rPr>
              <w:t xml:space="preserve"> </w:t>
            </w:r>
            <w:r w:rsidRPr="001455DC">
              <w:rPr>
                <w:rStyle w:val="CCMCvariableitalic"/>
              </w:rPr>
              <w:t>σ</w:t>
            </w:r>
            <w:r w:rsidRPr="001455DC">
              <w:rPr>
                <w:rStyle w:val="CCMCvariablesubscript"/>
              </w:rPr>
              <w:t>n</w:t>
            </w:r>
            <w:r w:rsidR="00EC27D2" w:rsidRPr="001455DC">
              <w:rPr>
                <w:rFonts w:ascii="Cambria Math" w:hAnsi="Cambria Math"/>
              </w:rPr>
              <w:t> + </w:t>
            </w:r>
            <w:r w:rsidRPr="001455DC">
              <w:rPr>
                <w:rStyle w:val="CCMCvariableitalic"/>
              </w:rPr>
              <w:t>ρ</w:t>
            </w:r>
            <w:r w:rsidRPr="001455DC">
              <w:rPr>
                <w:rStyle w:val="CCMCvariablesubscript"/>
              </w:rPr>
              <w:t>i</w:t>
            </w:r>
            <w:r w:rsidRPr="001455DC">
              <w:rPr>
                <w:lang w:eastAsia="de-DE"/>
              </w:rPr>
              <w:t xml:space="preserve"> </w:t>
            </w:r>
            <w:r w:rsidRPr="001455DC">
              <w:rPr>
                <w:rStyle w:val="CCMCvariableitalic"/>
              </w:rPr>
              <w:t>f</w:t>
            </w:r>
            <w:r w:rsidRPr="001455DC">
              <w:rPr>
                <w:rStyle w:val="CCMCvariablesubscript"/>
              </w:rPr>
              <w:t>yd</w:t>
            </w:r>
            <w:r w:rsidRPr="001455DC">
              <w:rPr>
                <w:lang w:eastAsia="de-DE"/>
              </w:rPr>
              <w:t xml:space="preserve"> (</w:t>
            </w:r>
            <w:r w:rsidRPr="001455DC">
              <w:rPr>
                <w:rStyle w:val="CCMCvariableitalic"/>
              </w:rPr>
              <w:t>μ</w:t>
            </w:r>
            <w:r w:rsidRPr="001455DC">
              <w:rPr>
                <w:rStyle w:val="CCMCvariablesubscript"/>
              </w:rPr>
              <w:t>v</w:t>
            </w:r>
            <w:r w:rsidRPr="001455DC">
              <w:rPr>
                <w:lang w:eastAsia="de-DE"/>
              </w:rPr>
              <w:t xml:space="preserve"> sin</w:t>
            </w:r>
            <w:r w:rsidRPr="001455DC">
              <w:rPr>
                <w:rStyle w:val="CCMCvariableitalic"/>
              </w:rPr>
              <w:t>α</w:t>
            </w:r>
            <w:r w:rsidR="00EC27D2" w:rsidRPr="001455DC">
              <w:rPr>
                <w:rFonts w:ascii="Cambria Math" w:hAnsi="Cambria Math"/>
                <w:lang w:eastAsia="de-DE"/>
              </w:rPr>
              <w:t> + </w:t>
            </w:r>
            <w:r w:rsidRPr="001455DC">
              <w:rPr>
                <w:lang w:eastAsia="de-DE"/>
              </w:rPr>
              <w:t>cos</w:t>
            </w:r>
            <w:r w:rsidRPr="001455DC">
              <w:rPr>
                <w:rStyle w:val="CCMCvariableitalic"/>
              </w:rPr>
              <w:t>α</w:t>
            </w:r>
            <w:r w:rsidRPr="001455DC">
              <w:rPr>
                <w:lang w:eastAsia="de-DE"/>
              </w:rPr>
              <w:t>) </w:t>
            </w:r>
            <w:r w:rsidR="00650035" w:rsidRPr="001455DC">
              <w:rPr>
                <w:rFonts w:ascii="Cambria Math" w:hAnsi="Cambria Math"/>
                <w:lang w:eastAsia="de-DE"/>
              </w:rPr>
              <w:t>≤</w:t>
            </w:r>
            <w:r w:rsidRPr="001455DC">
              <w:rPr>
                <w:lang w:eastAsia="de-DE"/>
              </w:rPr>
              <w:t> </w:t>
            </w:r>
            <w:r w:rsidRPr="001455DC">
              <w:t>0,25</w:t>
            </w:r>
            <w:r w:rsidRPr="001455DC">
              <w:rPr>
                <w:rStyle w:val="CCMCvariableitalic"/>
              </w:rPr>
              <w:t>f</w:t>
            </w:r>
            <w:r w:rsidRPr="001455DC">
              <w:rPr>
                <w:rStyle w:val="CCMCvariablesubscript"/>
              </w:rPr>
              <w:t>cd</w:t>
            </w:r>
          </w:p>
        </w:tc>
        <w:tc>
          <w:tcPr>
            <w:tcW w:w="1247" w:type="dxa"/>
            <w:vAlign w:val="center"/>
          </w:tcPr>
          <w:p w14:paraId="5525D83F" w14:textId="5A7CBF0D" w:rsidR="00497A45" w:rsidRPr="001455DC" w:rsidRDefault="00555CF7">
            <w:pPr>
              <w:pStyle w:val="a7"/>
              <w:jc w:val="right"/>
            </w:pPr>
            <w:r w:rsidRPr="001455DC">
              <w:t>(8.</w:t>
            </w:r>
            <w:r w:rsidR="00381B50" w:rsidRPr="001455DC">
              <w:t>60</w:t>
            </w:r>
            <w:r w:rsidRPr="001455DC">
              <w:t>)</w:t>
            </w:r>
          </w:p>
        </w:tc>
      </w:tr>
    </w:tbl>
    <w:p w14:paraId="0C1999DD" w14:textId="77777777" w:rsidR="00555CF7" w:rsidRPr="001455DC" w:rsidRDefault="00555CF7"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1134"/>
        <w:gridCol w:w="8278"/>
      </w:tblGrid>
      <w:tr w:rsidR="00555CF7" w:rsidRPr="001455DC" w14:paraId="074C94AE" w14:textId="77777777" w:rsidTr="00555CF7">
        <w:trPr>
          <w:cantSplit/>
        </w:trPr>
        <w:tc>
          <w:tcPr>
            <w:tcW w:w="1134" w:type="dxa"/>
          </w:tcPr>
          <w:p w14:paraId="4D30760C" w14:textId="280D92F5" w:rsidR="00555CF7" w:rsidRPr="001455DC" w:rsidRDefault="00555CF7" w:rsidP="00A35599">
            <w:pPr>
              <w:pStyle w:val="Tablebody"/>
              <w:keepNext/>
            </w:pPr>
            <w:r w:rsidRPr="001455DC">
              <w:rPr>
                <w:rStyle w:val="CCMCvariableitalic"/>
              </w:rPr>
              <w:t>f</w:t>
            </w:r>
            <w:r w:rsidRPr="001455DC">
              <w:rPr>
                <w:rStyle w:val="CCMCvariablesubscript"/>
              </w:rPr>
              <w:t>ck</w:t>
            </w:r>
          </w:p>
        </w:tc>
        <w:tc>
          <w:tcPr>
            <w:tcW w:w="8278" w:type="dxa"/>
          </w:tcPr>
          <w:p w14:paraId="572D7E21" w14:textId="1E2E31D5" w:rsidR="00555CF7" w:rsidRPr="001455DC" w:rsidRDefault="00555CF7" w:rsidP="00EC0EC0">
            <w:pPr>
              <w:pStyle w:val="Tablebody"/>
            </w:pPr>
            <w:r w:rsidRPr="001455DC">
              <w:rPr>
                <w:lang w:eastAsia="de-DE"/>
              </w:rPr>
              <w:t>is the lowest compressive strength of the concretes at the interface;</w:t>
            </w:r>
          </w:p>
        </w:tc>
      </w:tr>
      <w:tr w:rsidR="00555CF7" w:rsidRPr="001455DC" w14:paraId="1104EBB1" w14:textId="77777777" w:rsidTr="00555CF7">
        <w:trPr>
          <w:cantSplit/>
        </w:trPr>
        <w:tc>
          <w:tcPr>
            <w:tcW w:w="1134" w:type="dxa"/>
          </w:tcPr>
          <w:p w14:paraId="64E3A0CC" w14:textId="29C8B11D" w:rsidR="00555CF7" w:rsidRPr="009D3012" w:rsidRDefault="00555CF7" w:rsidP="00EC0EC0">
            <w:pPr>
              <w:pStyle w:val="Tablebody"/>
              <w:rPr>
                <w:rStyle w:val="CCMCvariableitalic"/>
              </w:rPr>
            </w:pPr>
            <w:r w:rsidRPr="001455DC">
              <w:rPr>
                <w:rStyle w:val="CCMCvariableitalic"/>
              </w:rPr>
              <w:t>σ</w:t>
            </w:r>
            <w:r w:rsidRPr="001455DC">
              <w:rPr>
                <w:rStyle w:val="CCMCvariablesubscript"/>
              </w:rPr>
              <w:t>n</w:t>
            </w:r>
          </w:p>
        </w:tc>
        <w:tc>
          <w:tcPr>
            <w:tcW w:w="8278" w:type="dxa"/>
          </w:tcPr>
          <w:p w14:paraId="0B9C94CB" w14:textId="7EBA32C8" w:rsidR="00555CF7" w:rsidRPr="001455DC" w:rsidRDefault="00555CF7">
            <w:pPr>
              <w:pStyle w:val="Tablebody"/>
              <w:rPr>
                <w:lang w:eastAsia="de-DE"/>
              </w:rPr>
            </w:pPr>
            <w:r w:rsidRPr="001455DC">
              <w:rPr>
                <w:lang w:eastAsia="de-DE"/>
              </w:rPr>
              <w:t xml:space="preserve">is the compressive stress over the interface area </w:t>
            </w:r>
            <w:r w:rsidRPr="001455DC">
              <w:rPr>
                <w:rStyle w:val="CCMCvariableitalic"/>
              </w:rPr>
              <w:t>A</w:t>
            </w:r>
            <w:r w:rsidRPr="001455DC">
              <w:rPr>
                <w:rStyle w:val="CCMCvariablesubscript"/>
              </w:rPr>
              <w:t>i</w:t>
            </w:r>
            <w:r w:rsidRPr="001455DC">
              <w:rPr>
                <w:lang w:eastAsia="de-DE"/>
              </w:rPr>
              <w:t xml:space="preserve"> caused by the minimum external axial force across the interface that acts simultaneously with the shear force. Permanent stresses caused by confinement of surrounding structural parts may be taken into account. When </w:t>
            </w:r>
            <w:r w:rsidRPr="001455DC">
              <w:rPr>
                <w:rStyle w:val="CCMCvariableitalic"/>
              </w:rPr>
              <w:t>σ</w:t>
            </w:r>
            <w:r w:rsidRPr="001455DC">
              <w:rPr>
                <w:rStyle w:val="CCMCvariablesubscript"/>
              </w:rPr>
              <w:t>n</w:t>
            </w:r>
            <w:r w:rsidRPr="001455DC">
              <w:rPr>
                <w:lang w:eastAsia="de-DE"/>
              </w:rPr>
              <w:t xml:space="preserve"> is a compressive stress </w:t>
            </w:r>
            <w:r w:rsidRPr="001455DC">
              <w:rPr>
                <w:rStyle w:val="CCMCvariableitalic"/>
              </w:rPr>
              <w:t>σ</w:t>
            </w:r>
            <w:r w:rsidRPr="001455DC">
              <w:rPr>
                <w:rStyle w:val="CCMCvariablesubscript"/>
              </w:rPr>
              <w:t>n</w:t>
            </w:r>
            <w:r w:rsidRPr="001455DC">
              <w:rPr>
                <w:lang w:eastAsia="de-DE"/>
              </w:rPr>
              <w:t xml:space="preserve"> </w:t>
            </w:r>
            <w:r w:rsidR="00381B50" w:rsidRPr="001455DC">
              <w:rPr>
                <w:lang w:eastAsia="de-DE"/>
              </w:rPr>
              <w:t xml:space="preserve">shall </w:t>
            </w:r>
            <w:r w:rsidRPr="001455DC">
              <w:rPr>
                <w:lang w:eastAsia="de-DE"/>
              </w:rPr>
              <w:t>not be taken larger than 0,60</w:t>
            </w:r>
            <w:r w:rsidRPr="001455DC">
              <w:rPr>
                <w:rStyle w:val="CCMCvariableitalic"/>
              </w:rPr>
              <w:t>f</w:t>
            </w:r>
            <w:r w:rsidRPr="001455DC">
              <w:rPr>
                <w:rStyle w:val="CCMCvariablesubscript"/>
              </w:rPr>
              <w:t>cd</w:t>
            </w:r>
            <w:r w:rsidRPr="001455DC">
              <w:rPr>
                <w:lang w:eastAsia="de-DE"/>
              </w:rPr>
              <w:t>.</w:t>
            </w:r>
          </w:p>
        </w:tc>
      </w:tr>
      <w:tr w:rsidR="00555CF7" w:rsidRPr="001455DC" w14:paraId="2FF133C4" w14:textId="77777777" w:rsidTr="00555CF7">
        <w:trPr>
          <w:cantSplit/>
        </w:trPr>
        <w:tc>
          <w:tcPr>
            <w:tcW w:w="1134" w:type="dxa"/>
          </w:tcPr>
          <w:p w14:paraId="77AA7EDE" w14:textId="77777777" w:rsidR="00555CF7" w:rsidRPr="009D3012" w:rsidRDefault="00555CF7" w:rsidP="00EC0EC0">
            <w:pPr>
              <w:pStyle w:val="Tablebody"/>
              <w:rPr>
                <w:rStyle w:val="CCMCvariableitalic"/>
              </w:rPr>
            </w:pPr>
          </w:p>
        </w:tc>
        <w:tc>
          <w:tcPr>
            <w:tcW w:w="8278" w:type="dxa"/>
          </w:tcPr>
          <w:p w14:paraId="62D2115E" w14:textId="223AFF4E" w:rsidR="00555CF7" w:rsidRPr="001455DC" w:rsidRDefault="00555CF7" w:rsidP="00EC0EC0">
            <w:pPr>
              <w:pStyle w:val="Tablebody"/>
              <w:rPr>
                <w:lang w:eastAsia="de-DE"/>
              </w:rPr>
            </w:pPr>
            <w:r w:rsidRPr="009D3012">
              <w:rPr>
                <w:lang w:eastAsia="de-DE"/>
              </w:rPr>
              <w:t xml:space="preserve">When </w:t>
            </w:r>
            <w:r w:rsidRPr="001455DC">
              <w:rPr>
                <w:rStyle w:val="CCMCvariableitalic"/>
              </w:rPr>
              <w:t>σ</w:t>
            </w:r>
            <w:r w:rsidRPr="001455DC">
              <w:rPr>
                <w:rStyle w:val="CCMCvariablesubscript"/>
              </w:rPr>
              <w:t>n</w:t>
            </w:r>
            <w:r w:rsidRPr="001455DC">
              <w:rPr>
                <w:lang w:eastAsia="de-DE"/>
              </w:rPr>
              <w:t xml:space="preserve"> is a tensile stress </w:t>
            </w:r>
            <w:r w:rsidRPr="001455DC">
              <w:rPr>
                <w:rStyle w:val="CCMCvariableitalic"/>
              </w:rPr>
              <w:t>μ</w:t>
            </w:r>
            <w:r w:rsidRPr="001455DC">
              <w:rPr>
                <w:rStyle w:val="CCMCvariablesubscript"/>
              </w:rPr>
              <w:t>v</w:t>
            </w:r>
            <w:r w:rsidRPr="001455DC">
              <w:rPr>
                <w:lang w:eastAsia="de-DE"/>
              </w:rPr>
              <w:t> </w:t>
            </w:r>
            <w:r w:rsidR="00C74721" w:rsidRPr="001455DC">
              <w:rPr>
                <w:rFonts w:ascii="Cambria Math" w:hAnsi="Cambria Math"/>
              </w:rPr>
              <w:t>⋅</w:t>
            </w:r>
            <w:r w:rsidRPr="001455DC">
              <w:rPr>
                <w:lang w:eastAsia="de-DE"/>
              </w:rPr>
              <w:t> </w:t>
            </w:r>
            <w:r w:rsidRPr="001455DC">
              <w:rPr>
                <w:rStyle w:val="CCMCvariableitalic"/>
              </w:rPr>
              <w:t>σ</w:t>
            </w:r>
            <w:r w:rsidRPr="001455DC">
              <w:rPr>
                <w:rStyle w:val="CCMCvariablesubscript"/>
              </w:rPr>
              <w:t>n</w:t>
            </w:r>
            <w:r w:rsidRPr="001455DC">
              <w:rPr>
                <w:lang w:eastAsia="de-DE"/>
              </w:rPr>
              <w:t xml:space="preserve"> shall be taken as 0;</w:t>
            </w:r>
          </w:p>
        </w:tc>
      </w:tr>
      <w:tr w:rsidR="00555CF7" w:rsidRPr="001455DC" w14:paraId="1CD05E26" w14:textId="77777777" w:rsidTr="00555CF7">
        <w:trPr>
          <w:cantSplit/>
        </w:trPr>
        <w:tc>
          <w:tcPr>
            <w:tcW w:w="1134" w:type="dxa"/>
          </w:tcPr>
          <w:p w14:paraId="509CC34E" w14:textId="22EE3F23" w:rsidR="00555CF7" w:rsidRPr="009D3012" w:rsidRDefault="00555CF7" w:rsidP="00EC0EC0">
            <w:pPr>
              <w:pStyle w:val="Tablebody"/>
              <w:rPr>
                <w:rStyle w:val="CCMCvariableitalic"/>
              </w:rPr>
            </w:pPr>
            <w:r w:rsidRPr="001455DC">
              <w:rPr>
                <w:rStyle w:val="CCMCvariableitalic"/>
              </w:rPr>
              <w:t>ρ</w:t>
            </w:r>
            <w:r w:rsidRPr="001455DC">
              <w:rPr>
                <w:rStyle w:val="CCMCvariablesubscript"/>
              </w:rPr>
              <w:t>i</w:t>
            </w:r>
          </w:p>
        </w:tc>
        <w:tc>
          <w:tcPr>
            <w:tcW w:w="8278" w:type="dxa"/>
          </w:tcPr>
          <w:p w14:paraId="28FD69CB" w14:textId="220B3C3D" w:rsidR="00555CF7" w:rsidRPr="001455DC" w:rsidRDefault="00EC27D2" w:rsidP="00EC0EC0">
            <w:pPr>
              <w:pStyle w:val="Tablebody"/>
              <w:rPr>
                <w:lang w:eastAsia="de-DE"/>
              </w:rPr>
            </w:pPr>
            <w:r w:rsidRPr="001455DC">
              <w:rPr>
                <w:rFonts w:ascii="Cambria Math" w:hAnsi="Cambria Math"/>
                <w:lang w:eastAsia="de-DE"/>
              </w:rPr>
              <w:t>=</w:t>
            </w:r>
            <w:r w:rsidR="00555CF7" w:rsidRPr="001455DC">
              <w:rPr>
                <w:lang w:eastAsia="de-DE"/>
              </w:rPr>
              <w:t xml:space="preserve"> </w:t>
            </w:r>
            <w:r w:rsidR="00555CF7" w:rsidRPr="001455DC">
              <w:rPr>
                <w:rStyle w:val="CCMCvariableitalic"/>
              </w:rPr>
              <w:t>A</w:t>
            </w:r>
            <w:r w:rsidR="00555CF7" w:rsidRPr="001455DC">
              <w:rPr>
                <w:rStyle w:val="CCMCvariablesubscript"/>
              </w:rPr>
              <w:t>si</w:t>
            </w:r>
            <w:r w:rsidR="00555CF7" w:rsidRPr="001455DC">
              <w:rPr>
                <w:lang w:eastAsia="de-DE"/>
              </w:rPr>
              <w:t>/</w:t>
            </w:r>
            <w:r w:rsidR="00555CF7" w:rsidRPr="001455DC">
              <w:rPr>
                <w:rStyle w:val="CCMCvariableitalic"/>
              </w:rPr>
              <w:t>A</w:t>
            </w:r>
            <w:r w:rsidR="00555CF7" w:rsidRPr="001455DC">
              <w:rPr>
                <w:rStyle w:val="CCMCvariablesubscript"/>
              </w:rPr>
              <w:t>i</w:t>
            </w:r>
            <w:r w:rsidR="00555CF7" w:rsidRPr="001455DC">
              <w:rPr>
                <w:lang w:eastAsia="de-DE"/>
              </w:rPr>
              <w:t>;</w:t>
            </w:r>
          </w:p>
        </w:tc>
      </w:tr>
      <w:tr w:rsidR="00555CF7" w:rsidRPr="001455DC" w14:paraId="20C2671C" w14:textId="77777777" w:rsidTr="00555CF7">
        <w:trPr>
          <w:cantSplit/>
        </w:trPr>
        <w:tc>
          <w:tcPr>
            <w:tcW w:w="1134" w:type="dxa"/>
          </w:tcPr>
          <w:p w14:paraId="1FDF076B" w14:textId="006E9E79" w:rsidR="00555CF7" w:rsidRPr="009D3012" w:rsidRDefault="00555CF7" w:rsidP="00EC0EC0">
            <w:pPr>
              <w:pStyle w:val="Tablebody"/>
              <w:rPr>
                <w:rStyle w:val="CCMCvariableitalic"/>
              </w:rPr>
            </w:pPr>
            <w:r w:rsidRPr="001455DC">
              <w:rPr>
                <w:rStyle w:val="CCMCvariableitalic"/>
              </w:rPr>
              <w:t>A</w:t>
            </w:r>
            <w:r w:rsidRPr="001455DC">
              <w:rPr>
                <w:rStyle w:val="CCMCvariablesubscript"/>
              </w:rPr>
              <w:t>si</w:t>
            </w:r>
          </w:p>
        </w:tc>
        <w:tc>
          <w:tcPr>
            <w:tcW w:w="8278" w:type="dxa"/>
          </w:tcPr>
          <w:p w14:paraId="4A2C4E3D" w14:textId="44C2AA05" w:rsidR="00555CF7" w:rsidRPr="001455DC" w:rsidRDefault="00555CF7">
            <w:pPr>
              <w:pStyle w:val="Tablebody"/>
              <w:rPr>
                <w:lang w:eastAsia="de-DE"/>
              </w:rPr>
            </w:pPr>
            <w:r w:rsidRPr="001455DC">
              <w:rPr>
                <w:lang w:eastAsia="de-DE"/>
              </w:rPr>
              <w:t>is the cross sectional area of bonded reinforcement crossing the interface</w:t>
            </w:r>
            <w:r w:rsidR="00381B50" w:rsidRPr="001455DC">
              <w:rPr>
                <w:lang w:eastAsia="de-DE"/>
              </w:rPr>
              <w:t xml:space="preserve"> and anchored for </w:t>
            </w:r>
            <w:r w:rsidR="00381B50" w:rsidRPr="009D3012">
              <w:rPr>
                <w:rFonts w:cs="Arial"/>
                <w:i/>
                <w:lang w:eastAsia="de-DE"/>
              </w:rPr>
              <w:sym w:font="Symbol" w:char="F073"/>
            </w:r>
            <w:r w:rsidR="00381B50" w:rsidRPr="009D3012">
              <w:rPr>
                <w:rFonts w:cs="Arial"/>
                <w:vertAlign w:val="subscript"/>
                <w:lang w:eastAsia="de-DE"/>
              </w:rPr>
              <w:t>sd</w:t>
            </w:r>
            <w:r w:rsidR="00381B50" w:rsidRPr="009D3012">
              <w:rPr>
                <w:rFonts w:cs="Arial"/>
                <w:i/>
                <w:vertAlign w:val="subscript"/>
                <w:lang w:eastAsia="de-DE"/>
              </w:rPr>
              <w:t xml:space="preserve"> </w:t>
            </w:r>
            <w:r w:rsidR="00381B50" w:rsidRPr="009D3012">
              <w:rPr>
                <w:rFonts w:cs="Arial"/>
                <w:lang w:eastAsia="de-DE"/>
              </w:rPr>
              <w:t xml:space="preserve">= </w:t>
            </w:r>
            <w:r w:rsidR="00381B50" w:rsidRPr="009D3012">
              <w:rPr>
                <w:rFonts w:cs="Arial"/>
                <w:i/>
                <w:lang w:eastAsia="de-DE"/>
              </w:rPr>
              <w:t>f</w:t>
            </w:r>
            <w:r w:rsidR="00381B50" w:rsidRPr="009D3012">
              <w:rPr>
                <w:rFonts w:cs="Arial"/>
                <w:vertAlign w:val="subscript"/>
                <w:lang w:eastAsia="de-DE"/>
              </w:rPr>
              <w:t>yd</w:t>
            </w:r>
            <w:r w:rsidRPr="001455DC">
              <w:rPr>
                <w:lang w:eastAsia="de-DE"/>
              </w:rPr>
              <w:t>, including ordinary shear reinforcement (if any), with adequate anchorage according to 11.4 at both sides of the interface</w:t>
            </w:r>
            <w:r w:rsidR="00381B50" w:rsidRPr="001455DC">
              <w:rPr>
                <w:lang w:eastAsia="de-DE"/>
              </w:rPr>
              <w:t>.</w:t>
            </w:r>
            <w:r w:rsidRPr="001455DC">
              <w:rPr>
                <w:lang w:eastAsia="de-DE"/>
              </w:rPr>
              <w:t xml:space="preserve"> Tensi</w:t>
            </w:r>
            <w:r w:rsidR="00381B50" w:rsidRPr="001455DC">
              <w:rPr>
                <w:lang w:eastAsia="de-DE"/>
              </w:rPr>
              <w:t>le</w:t>
            </w:r>
            <w:r w:rsidRPr="001455DC">
              <w:rPr>
                <w:lang w:eastAsia="de-DE"/>
              </w:rPr>
              <w:t xml:space="preserve"> forces across interfaces shall be carried by reinforcement placed additional to the interface reinforcement </w:t>
            </w:r>
            <w:r w:rsidRPr="001455DC">
              <w:rPr>
                <w:rStyle w:val="CCMCvariableitalic"/>
              </w:rPr>
              <w:t>A</w:t>
            </w:r>
            <w:r w:rsidRPr="001455DC">
              <w:rPr>
                <w:rStyle w:val="CCMCvariablesubscript"/>
              </w:rPr>
              <w:t>si</w:t>
            </w:r>
            <w:r w:rsidR="000C3038" w:rsidRPr="001455DC">
              <w:rPr>
                <w:lang w:eastAsia="de-DE"/>
              </w:rPr>
              <w:t>;</w:t>
            </w:r>
          </w:p>
        </w:tc>
      </w:tr>
      <w:tr w:rsidR="00555CF7" w:rsidRPr="001455DC" w14:paraId="5FAF6D2F" w14:textId="77777777" w:rsidTr="00555CF7">
        <w:trPr>
          <w:cantSplit/>
        </w:trPr>
        <w:tc>
          <w:tcPr>
            <w:tcW w:w="1134" w:type="dxa"/>
          </w:tcPr>
          <w:p w14:paraId="7BDE31FC" w14:textId="60DF5997" w:rsidR="00555CF7" w:rsidRPr="009D3012" w:rsidRDefault="00555CF7" w:rsidP="00EC0EC0">
            <w:pPr>
              <w:pStyle w:val="Tablebody"/>
              <w:rPr>
                <w:rStyle w:val="CCMCvariableitalic"/>
              </w:rPr>
            </w:pPr>
            <w:r w:rsidRPr="001455DC">
              <w:rPr>
                <w:rStyle w:val="CCMCvariableitalic"/>
              </w:rPr>
              <w:t>α</w:t>
            </w:r>
            <w:r w:rsidRPr="001455DC">
              <w:rPr>
                <w:rStyle w:val="CCMCvariablesubscript"/>
              </w:rPr>
              <w:t>i</w:t>
            </w:r>
          </w:p>
        </w:tc>
        <w:tc>
          <w:tcPr>
            <w:tcW w:w="8278" w:type="dxa"/>
          </w:tcPr>
          <w:p w14:paraId="16308D75" w14:textId="45066765" w:rsidR="00555CF7" w:rsidRPr="001455DC" w:rsidRDefault="00555CF7">
            <w:pPr>
              <w:pStyle w:val="Tablebody"/>
              <w:rPr>
                <w:lang w:eastAsia="de-DE"/>
              </w:rPr>
            </w:pPr>
            <w:r w:rsidRPr="001455DC">
              <w:rPr>
                <w:lang w:eastAsia="de-DE"/>
              </w:rPr>
              <w:t xml:space="preserve">is defined in Figure 8.15b), and is limited </w:t>
            </w:r>
            <w:r w:rsidR="000C3038" w:rsidRPr="001455DC">
              <w:rPr>
                <w:lang w:eastAsia="de-DE"/>
              </w:rPr>
              <w:t xml:space="preserve">to </w:t>
            </w:r>
            <w:r w:rsidRPr="001455DC">
              <w:rPr>
                <w:lang w:eastAsia="de-DE"/>
              </w:rPr>
              <w:t>35</w:t>
            </w:r>
            <w:r w:rsidRPr="001455DC">
              <w:rPr>
                <w:rFonts w:ascii="Cambria Math" w:hAnsi="Cambria Math" w:cs="Cambria Math"/>
                <w:lang w:eastAsia="de-DE"/>
              </w:rPr>
              <w:t>°</w:t>
            </w:r>
            <w:r w:rsidRPr="001455DC">
              <w:rPr>
                <w:lang w:eastAsia="de-DE"/>
              </w:rPr>
              <w:t> </w:t>
            </w:r>
            <w:r w:rsidR="00650035" w:rsidRPr="001455DC">
              <w:rPr>
                <w:rFonts w:ascii="Cambria Math" w:hAnsi="Cambria Math"/>
                <w:lang w:eastAsia="de-DE"/>
              </w:rPr>
              <w:t>≤</w:t>
            </w:r>
            <w:r w:rsidRPr="001455DC">
              <w:rPr>
                <w:lang w:eastAsia="de-DE"/>
              </w:rPr>
              <w:t> </w:t>
            </w:r>
            <w:r w:rsidRPr="001455DC">
              <w:rPr>
                <w:rStyle w:val="CCMCvariableitalic"/>
              </w:rPr>
              <w:t>α</w:t>
            </w:r>
            <w:r w:rsidRPr="001455DC">
              <w:rPr>
                <w:lang w:eastAsia="de-DE"/>
              </w:rPr>
              <w:t> </w:t>
            </w:r>
            <w:r w:rsidR="00650035" w:rsidRPr="001455DC">
              <w:rPr>
                <w:rFonts w:ascii="Cambria Math" w:hAnsi="Cambria Math"/>
                <w:lang w:eastAsia="de-DE"/>
              </w:rPr>
              <w:t>≤</w:t>
            </w:r>
            <w:r w:rsidRPr="001455DC">
              <w:rPr>
                <w:lang w:eastAsia="de-DE"/>
              </w:rPr>
              <w:t> 90</w:t>
            </w:r>
            <w:r w:rsidRPr="001455DC">
              <w:rPr>
                <w:rFonts w:ascii="Cambria Math" w:hAnsi="Cambria Math" w:cs="Cambria Math"/>
                <w:lang w:eastAsia="de-DE"/>
              </w:rPr>
              <w:t>°</w:t>
            </w:r>
            <w:r w:rsidRPr="001455DC">
              <w:rPr>
                <w:lang w:eastAsia="de-DE"/>
              </w:rPr>
              <w:t xml:space="preserve">; except for very </w:t>
            </w:r>
            <w:r w:rsidR="000C3038" w:rsidRPr="001455DC">
              <w:rPr>
                <w:lang w:eastAsia="de-DE"/>
              </w:rPr>
              <w:t xml:space="preserve">smooth </w:t>
            </w:r>
            <w:r w:rsidRPr="001455DC">
              <w:rPr>
                <w:lang w:eastAsia="de-DE"/>
              </w:rPr>
              <w:t>surfaces, where 35</w:t>
            </w:r>
            <w:r w:rsidRPr="001455DC">
              <w:rPr>
                <w:rFonts w:ascii="Cambria Math" w:hAnsi="Cambria Math" w:cs="Cambria Math"/>
                <w:lang w:eastAsia="de-DE"/>
              </w:rPr>
              <w:t>°</w:t>
            </w:r>
            <w:r w:rsidRPr="001455DC">
              <w:rPr>
                <w:lang w:eastAsia="de-DE"/>
              </w:rPr>
              <w:t> </w:t>
            </w:r>
            <w:r w:rsidR="00650035" w:rsidRPr="001455DC">
              <w:rPr>
                <w:rFonts w:ascii="Cambria Math" w:hAnsi="Cambria Math"/>
                <w:lang w:eastAsia="de-DE"/>
              </w:rPr>
              <w:t>≤</w:t>
            </w:r>
            <w:r w:rsidRPr="001455DC">
              <w:rPr>
                <w:lang w:eastAsia="de-DE"/>
              </w:rPr>
              <w:t> </w:t>
            </w:r>
            <w:r w:rsidRPr="001455DC">
              <w:rPr>
                <w:rStyle w:val="CCMCvariableitalic"/>
              </w:rPr>
              <w:t>α</w:t>
            </w:r>
            <w:r w:rsidRPr="001455DC">
              <w:rPr>
                <w:lang w:eastAsia="de-DE"/>
              </w:rPr>
              <w:t> </w:t>
            </w:r>
            <w:r w:rsidR="00650035" w:rsidRPr="001455DC">
              <w:rPr>
                <w:rFonts w:ascii="Cambria Math" w:hAnsi="Cambria Math"/>
                <w:lang w:eastAsia="de-DE"/>
              </w:rPr>
              <w:t>≤</w:t>
            </w:r>
            <w:r w:rsidRPr="001455DC">
              <w:rPr>
                <w:lang w:eastAsia="de-DE"/>
              </w:rPr>
              <w:t> </w:t>
            </w:r>
            <w:r w:rsidR="000C3038" w:rsidRPr="001455DC">
              <w:rPr>
                <w:lang w:eastAsia="de-DE"/>
              </w:rPr>
              <w:t>90</w:t>
            </w:r>
            <w:r w:rsidRPr="001455DC">
              <w:rPr>
                <w:rFonts w:ascii="Cambria Math" w:hAnsi="Cambria Math" w:cs="Cambria Math"/>
                <w:lang w:eastAsia="de-DE"/>
              </w:rPr>
              <w:t>°</w:t>
            </w:r>
            <w:r w:rsidRPr="001455DC">
              <w:rPr>
                <w:lang w:eastAsia="de-DE"/>
              </w:rPr>
              <w:t>;</w:t>
            </w:r>
          </w:p>
        </w:tc>
      </w:tr>
      <w:tr w:rsidR="00555CF7" w:rsidRPr="001455DC" w14:paraId="246E98A1" w14:textId="77777777" w:rsidTr="00555CF7">
        <w:trPr>
          <w:cantSplit/>
        </w:trPr>
        <w:tc>
          <w:tcPr>
            <w:tcW w:w="1134" w:type="dxa"/>
          </w:tcPr>
          <w:p w14:paraId="7FB1A42D" w14:textId="240FC04B" w:rsidR="00555CF7" w:rsidRPr="009D3012" w:rsidRDefault="00555CF7" w:rsidP="00EC0EC0">
            <w:pPr>
              <w:pStyle w:val="Tablebody"/>
              <w:rPr>
                <w:rStyle w:val="CCMCvariableitalic"/>
              </w:rPr>
            </w:pPr>
            <w:r w:rsidRPr="001455DC">
              <w:rPr>
                <w:rStyle w:val="CCMCvariableitalic"/>
              </w:rPr>
              <w:t>c</w:t>
            </w:r>
            <w:r w:rsidRPr="001455DC">
              <w:rPr>
                <w:rStyle w:val="CCMCvariablesubscript"/>
              </w:rPr>
              <w:t>v1</w:t>
            </w:r>
            <w:r w:rsidRPr="001455DC">
              <w:rPr>
                <w:lang w:eastAsia="de-DE"/>
              </w:rPr>
              <w:t xml:space="preserve"> and </w:t>
            </w:r>
            <w:r w:rsidRPr="001455DC">
              <w:rPr>
                <w:rStyle w:val="CCMCvariableitalic"/>
              </w:rPr>
              <w:t>μ</w:t>
            </w:r>
            <w:r w:rsidRPr="001455DC">
              <w:rPr>
                <w:rStyle w:val="CCMCvariablesubscript"/>
              </w:rPr>
              <w:t>v</w:t>
            </w:r>
          </w:p>
        </w:tc>
        <w:tc>
          <w:tcPr>
            <w:tcW w:w="8278" w:type="dxa"/>
          </w:tcPr>
          <w:p w14:paraId="5CF45505" w14:textId="672F4252" w:rsidR="00555CF7" w:rsidRPr="001455DC" w:rsidRDefault="00555CF7" w:rsidP="00EC0EC0">
            <w:pPr>
              <w:pStyle w:val="Tablebody"/>
              <w:rPr>
                <w:lang w:eastAsia="de-DE"/>
              </w:rPr>
            </w:pPr>
            <w:r w:rsidRPr="001455DC">
              <w:rPr>
                <w:lang w:eastAsia="de-DE"/>
              </w:rPr>
              <w:t>are factors which depend on the roughness of the interface (see Table 8.1 and (6)). The formula assumes the contact surface to be clean and free of laitance, dust or other adhesion-reducing particles.</w:t>
            </w:r>
          </w:p>
        </w:tc>
      </w:tr>
    </w:tbl>
    <w:p w14:paraId="31D56B4D" w14:textId="77777777" w:rsidR="004E22C1" w:rsidRPr="001455DC" w:rsidRDefault="004E22C1" w:rsidP="00497A45">
      <w:pPr>
        <w:pStyle w:val="Tabletitle"/>
      </w:pPr>
      <w:bookmarkStart w:id="579" w:name="_Toc54337375"/>
      <w:r w:rsidRPr="001455DC">
        <w:t>Table 8.1 — Coefficients depending on the roughness of the surface</w:t>
      </w:r>
      <w:bookmarkEnd w:id="579"/>
    </w:p>
    <w:tbl>
      <w:tblPr>
        <w:tblStyle w:val="53"/>
        <w:tblW w:w="9752" w:type="dxa"/>
        <w:tblLayout w:type="fixed"/>
        <w:tblLook w:val="0660" w:firstRow="1" w:lastRow="1" w:firstColumn="0" w:lastColumn="0" w:noHBand="1" w:noVBand="1"/>
      </w:tblPr>
      <w:tblGrid>
        <w:gridCol w:w="3027"/>
        <w:gridCol w:w="1345"/>
        <w:gridCol w:w="1345"/>
        <w:gridCol w:w="1345"/>
        <w:gridCol w:w="1345"/>
        <w:gridCol w:w="1345"/>
      </w:tblGrid>
      <w:tr w:rsidR="004E22C1" w:rsidRPr="001455DC" w14:paraId="0479CCDB" w14:textId="77777777" w:rsidTr="008C1310">
        <w:trPr>
          <w:cnfStyle w:val="100000000000" w:firstRow="1" w:lastRow="0" w:firstColumn="0" w:lastColumn="0" w:oddVBand="0" w:evenVBand="0" w:oddHBand="0" w:evenHBand="0" w:firstRowFirstColumn="0" w:firstRowLastColumn="0" w:lastRowFirstColumn="0" w:lastRowLastColumn="0"/>
          <w:trHeight w:val="113"/>
          <w:tblHeader/>
        </w:trPr>
        <w:tc>
          <w:tcPr>
            <w:tcW w:w="3027" w:type="dxa"/>
          </w:tcPr>
          <w:p w14:paraId="63823240" w14:textId="60BF0E67" w:rsidR="004E22C1" w:rsidRPr="009D3012" w:rsidRDefault="00EC0EC0" w:rsidP="00EC0EC0">
            <w:pPr>
              <w:pStyle w:val="Tableheader"/>
              <w:rPr>
                <w:lang w:val="en-US"/>
              </w:rPr>
            </w:pPr>
            <w:r w:rsidRPr="009D3012">
              <w:rPr>
                <w:lang w:val="en-US"/>
              </w:rPr>
              <w:t> </w:t>
            </w:r>
          </w:p>
        </w:tc>
        <w:tc>
          <w:tcPr>
            <w:tcW w:w="2690" w:type="dxa"/>
            <w:gridSpan w:val="2"/>
            <w:hideMark/>
          </w:tcPr>
          <w:p w14:paraId="14CEB3D1" w14:textId="21B95D31" w:rsidR="004E22C1" w:rsidRPr="001455DC" w:rsidRDefault="004E22C1">
            <w:pPr>
              <w:pStyle w:val="Tableheader"/>
            </w:pPr>
            <w:r w:rsidRPr="001455DC">
              <w:t>Formula (8.</w:t>
            </w:r>
            <w:r w:rsidR="008C1310" w:rsidRPr="001455DC">
              <w:t>60</w:t>
            </w:r>
            <w:r w:rsidRPr="001455DC">
              <w:t>)</w:t>
            </w:r>
          </w:p>
        </w:tc>
        <w:tc>
          <w:tcPr>
            <w:tcW w:w="4035" w:type="dxa"/>
            <w:gridSpan w:val="3"/>
            <w:hideMark/>
          </w:tcPr>
          <w:p w14:paraId="58D52859" w14:textId="5F38EFEC" w:rsidR="004E22C1" w:rsidRPr="001455DC" w:rsidRDefault="004E22C1">
            <w:pPr>
              <w:pStyle w:val="Tableheader"/>
            </w:pPr>
            <w:r w:rsidRPr="001455DC">
              <w:t>Formula (8.</w:t>
            </w:r>
            <w:r w:rsidR="008C1310" w:rsidRPr="001455DC">
              <w:t>61</w:t>
            </w:r>
            <w:r w:rsidRPr="001455DC">
              <w:t>)</w:t>
            </w:r>
          </w:p>
        </w:tc>
      </w:tr>
      <w:tr w:rsidR="004E22C1" w:rsidRPr="001455DC" w14:paraId="44EEB5AF" w14:textId="77777777" w:rsidTr="008C1310">
        <w:trPr>
          <w:cnfStyle w:val="100000000000" w:firstRow="1" w:lastRow="0" w:firstColumn="0" w:lastColumn="0" w:oddVBand="0" w:evenVBand="0" w:oddHBand="0" w:evenHBand="0" w:firstRowFirstColumn="0" w:firstRowLastColumn="0" w:lastRowFirstColumn="0" w:lastRowLastColumn="0"/>
          <w:trHeight w:val="113"/>
          <w:tblHeader/>
        </w:trPr>
        <w:tc>
          <w:tcPr>
            <w:tcW w:w="3027" w:type="dxa"/>
            <w:hideMark/>
          </w:tcPr>
          <w:p w14:paraId="4FB49DF6" w14:textId="77777777" w:rsidR="004E22C1" w:rsidRPr="001455DC" w:rsidRDefault="004E22C1" w:rsidP="00EC0EC0">
            <w:pPr>
              <w:pStyle w:val="Tableheader"/>
            </w:pPr>
            <w:r w:rsidRPr="001455DC">
              <w:t>Surface roughness</w:t>
            </w:r>
          </w:p>
        </w:tc>
        <w:tc>
          <w:tcPr>
            <w:tcW w:w="1345" w:type="dxa"/>
            <w:hideMark/>
          </w:tcPr>
          <w:p w14:paraId="5F1CCD3E" w14:textId="77777777" w:rsidR="004E22C1" w:rsidRPr="001455DC" w:rsidRDefault="004E22C1" w:rsidP="00EC0EC0">
            <w:pPr>
              <w:pStyle w:val="Tableheader"/>
              <w:rPr>
                <w:bCs/>
                <w:i/>
              </w:rPr>
            </w:pPr>
            <w:r w:rsidRPr="001455DC">
              <w:rPr>
                <w:rStyle w:val="CCMCvariableitalic"/>
                <w:bCs/>
              </w:rPr>
              <w:t>c</w:t>
            </w:r>
            <w:r w:rsidRPr="001455DC">
              <w:rPr>
                <w:rStyle w:val="CCMCvariablesubscript"/>
                <w:bCs/>
              </w:rPr>
              <w:t>v1</w:t>
            </w:r>
          </w:p>
        </w:tc>
        <w:tc>
          <w:tcPr>
            <w:tcW w:w="1345" w:type="dxa"/>
            <w:hideMark/>
          </w:tcPr>
          <w:p w14:paraId="6EFAAC6C" w14:textId="77777777" w:rsidR="004E22C1" w:rsidRPr="001455DC" w:rsidRDefault="004E22C1" w:rsidP="00EC0EC0">
            <w:pPr>
              <w:pStyle w:val="Tableheader"/>
              <w:rPr>
                <w:bCs/>
                <w:i/>
              </w:rPr>
            </w:pPr>
            <w:r w:rsidRPr="001455DC">
              <w:rPr>
                <w:rStyle w:val="CCMCvariableitalic"/>
                <w:bCs/>
              </w:rPr>
              <w:t>μ</w:t>
            </w:r>
            <w:r w:rsidRPr="001455DC">
              <w:rPr>
                <w:rStyle w:val="CCMCvariablesubscript"/>
                <w:bCs/>
              </w:rPr>
              <w:t>v</w:t>
            </w:r>
          </w:p>
        </w:tc>
        <w:tc>
          <w:tcPr>
            <w:tcW w:w="1345" w:type="dxa"/>
            <w:hideMark/>
          </w:tcPr>
          <w:p w14:paraId="21B59077" w14:textId="366C843F" w:rsidR="004E22C1" w:rsidRPr="001455DC" w:rsidRDefault="004E22C1" w:rsidP="00EC0EC0">
            <w:pPr>
              <w:pStyle w:val="Tableheader"/>
              <w:rPr>
                <w:bCs/>
                <w:i/>
              </w:rPr>
            </w:pPr>
            <w:r w:rsidRPr="001455DC">
              <w:rPr>
                <w:rStyle w:val="CCMCvariableitalic"/>
                <w:bCs/>
              </w:rPr>
              <w:t>c</w:t>
            </w:r>
            <w:r w:rsidRPr="001455DC">
              <w:rPr>
                <w:rStyle w:val="CCMCvariablesubscript"/>
                <w:bCs/>
              </w:rPr>
              <w:t>v2</w:t>
            </w:r>
          </w:p>
        </w:tc>
        <w:tc>
          <w:tcPr>
            <w:tcW w:w="1345" w:type="dxa"/>
            <w:hideMark/>
          </w:tcPr>
          <w:p w14:paraId="4D73E7FE" w14:textId="77777777" w:rsidR="004E22C1" w:rsidRPr="001455DC" w:rsidRDefault="004E22C1" w:rsidP="00EC0EC0">
            <w:pPr>
              <w:pStyle w:val="Tableheader"/>
              <w:rPr>
                <w:bCs/>
                <w:i/>
              </w:rPr>
            </w:pPr>
            <w:r w:rsidRPr="001455DC">
              <w:rPr>
                <w:rStyle w:val="CCMCvariableitalic"/>
                <w:bCs/>
              </w:rPr>
              <w:t>k</w:t>
            </w:r>
            <w:r w:rsidRPr="001455DC">
              <w:rPr>
                <w:rStyle w:val="CCMCvariablesubscript"/>
                <w:bCs/>
              </w:rPr>
              <w:t>v</w:t>
            </w:r>
          </w:p>
        </w:tc>
        <w:tc>
          <w:tcPr>
            <w:tcW w:w="1345" w:type="dxa"/>
            <w:hideMark/>
          </w:tcPr>
          <w:p w14:paraId="7297CF0A" w14:textId="77777777" w:rsidR="004E22C1" w:rsidRPr="009D3012" w:rsidRDefault="004E22C1" w:rsidP="00EC0EC0">
            <w:pPr>
              <w:pStyle w:val="Tableheader"/>
              <w:rPr>
                <w:rStyle w:val="CCMCvariableitalic"/>
                <w:bCs/>
              </w:rPr>
            </w:pPr>
            <w:r w:rsidRPr="001455DC">
              <w:rPr>
                <w:rStyle w:val="CCMCvariableitalic"/>
                <w:bCs/>
              </w:rPr>
              <w:t>k</w:t>
            </w:r>
            <w:r w:rsidRPr="001455DC">
              <w:rPr>
                <w:rStyle w:val="CCMCvariablesubscript"/>
                <w:bCs/>
              </w:rPr>
              <w:t>dowel</w:t>
            </w:r>
          </w:p>
        </w:tc>
      </w:tr>
      <w:tr w:rsidR="004E22C1" w:rsidRPr="001455DC" w14:paraId="7B1D4E31" w14:textId="77777777" w:rsidTr="008C1310">
        <w:trPr>
          <w:trHeight w:val="113"/>
        </w:trPr>
        <w:tc>
          <w:tcPr>
            <w:tcW w:w="3027" w:type="dxa"/>
            <w:vAlign w:val="center"/>
            <w:hideMark/>
          </w:tcPr>
          <w:p w14:paraId="14BCC894" w14:textId="77777777" w:rsidR="004E22C1" w:rsidRPr="001455DC" w:rsidRDefault="004E22C1" w:rsidP="00EC0EC0">
            <w:pPr>
              <w:pStyle w:val="Tablebody"/>
              <w:jc w:val="left"/>
            </w:pPr>
            <w:r w:rsidRPr="001455DC">
              <w:t>very smooth</w:t>
            </w:r>
          </w:p>
        </w:tc>
        <w:tc>
          <w:tcPr>
            <w:tcW w:w="1345" w:type="dxa"/>
            <w:vAlign w:val="center"/>
            <w:hideMark/>
          </w:tcPr>
          <w:p w14:paraId="29678C9D" w14:textId="3BD6BA47" w:rsidR="004E22C1" w:rsidRPr="001455DC" w:rsidRDefault="004E22C1" w:rsidP="00EC0EC0">
            <w:pPr>
              <w:pStyle w:val="Tablebody"/>
              <w:jc w:val="center"/>
            </w:pPr>
            <w:r w:rsidRPr="001455DC">
              <w:t>0,009</w:t>
            </w:r>
            <w:r w:rsidR="00A46F70">
              <w:t> </w:t>
            </w:r>
            <w:r w:rsidRPr="001455DC">
              <w:t>5</w:t>
            </w:r>
            <w:r w:rsidRPr="001455DC">
              <w:rPr>
                <w:rStyle w:val="CCMCvariablesuperscript"/>
              </w:rPr>
              <w:t>a</w:t>
            </w:r>
          </w:p>
        </w:tc>
        <w:tc>
          <w:tcPr>
            <w:tcW w:w="1345" w:type="dxa"/>
            <w:vAlign w:val="center"/>
            <w:hideMark/>
          </w:tcPr>
          <w:p w14:paraId="048A3B61" w14:textId="77777777" w:rsidR="004E22C1" w:rsidRPr="001455DC" w:rsidRDefault="004E22C1" w:rsidP="00EC0EC0">
            <w:pPr>
              <w:pStyle w:val="Tablebody"/>
              <w:jc w:val="center"/>
            </w:pPr>
            <w:r w:rsidRPr="001455DC">
              <w:t>0,5</w:t>
            </w:r>
          </w:p>
        </w:tc>
        <w:tc>
          <w:tcPr>
            <w:tcW w:w="1345" w:type="dxa"/>
            <w:vAlign w:val="center"/>
            <w:hideMark/>
          </w:tcPr>
          <w:p w14:paraId="4614B1A2" w14:textId="77777777" w:rsidR="004E22C1" w:rsidRPr="001455DC" w:rsidRDefault="004E22C1" w:rsidP="00EC0EC0">
            <w:pPr>
              <w:pStyle w:val="Tablebody"/>
              <w:jc w:val="center"/>
            </w:pPr>
            <w:r w:rsidRPr="001455DC">
              <w:t>0</w:t>
            </w:r>
          </w:p>
        </w:tc>
        <w:tc>
          <w:tcPr>
            <w:tcW w:w="1345" w:type="dxa"/>
            <w:vAlign w:val="center"/>
            <w:hideMark/>
          </w:tcPr>
          <w:p w14:paraId="22EF72F0" w14:textId="77777777" w:rsidR="004E22C1" w:rsidRPr="001455DC" w:rsidRDefault="004E22C1" w:rsidP="00EC0EC0">
            <w:pPr>
              <w:pStyle w:val="Tablebody"/>
              <w:jc w:val="center"/>
            </w:pPr>
            <w:r w:rsidRPr="001455DC">
              <w:t>0</w:t>
            </w:r>
          </w:p>
        </w:tc>
        <w:tc>
          <w:tcPr>
            <w:tcW w:w="1345" w:type="dxa"/>
            <w:vAlign w:val="center"/>
            <w:hideMark/>
          </w:tcPr>
          <w:p w14:paraId="571927EB" w14:textId="77777777" w:rsidR="004E22C1" w:rsidRPr="001455DC" w:rsidRDefault="004E22C1" w:rsidP="00EC0EC0">
            <w:pPr>
              <w:pStyle w:val="Tablebody"/>
              <w:jc w:val="center"/>
            </w:pPr>
            <w:r w:rsidRPr="001455DC">
              <w:t>1,5</w:t>
            </w:r>
          </w:p>
        </w:tc>
      </w:tr>
      <w:tr w:rsidR="004E22C1" w:rsidRPr="001455DC" w14:paraId="30020B9A" w14:textId="77777777" w:rsidTr="008C1310">
        <w:trPr>
          <w:trHeight w:val="113"/>
        </w:trPr>
        <w:tc>
          <w:tcPr>
            <w:tcW w:w="3027" w:type="dxa"/>
            <w:vAlign w:val="center"/>
            <w:hideMark/>
          </w:tcPr>
          <w:p w14:paraId="2E4D9641" w14:textId="77777777" w:rsidR="004E22C1" w:rsidRPr="001455DC" w:rsidRDefault="004E22C1" w:rsidP="00EC0EC0">
            <w:pPr>
              <w:pStyle w:val="Tablebody"/>
              <w:jc w:val="left"/>
            </w:pPr>
            <w:r w:rsidRPr="001455DC">
              <w:t>smooth</w:t>
            </w:r>
          </w:p>
        </w:tc>
        <w:tc>
          <w:tcPr>
            <w:tcW w:w="1345" w:type="dxa"/>
            <w:vAlign w:val="center"/>
            <w:hideMark/>
          </w:tcPr>
          <w:p w14:paraId="7189F72E" w14:textId="3B811D52" w:rsidR="004E22C1" w:rsidRPr="001455DC" w:rsidRDefault="004E22C1" w:rsidP="00EC0EC0">
            <w:pPr>
              <w:pStyle w:val="Tablebody"/>
              <w:jc w:val="center"/>
            </w:pPr>
            <w:r w:rsidRPr="001455DC">
              <w:t>0,075</w:t>
            </w:r>
            <w:r w:rsidRPr="001455DC">
              <w:rPr>
                <w:rStyle w:val="CCMCvariablesuperscript"/>
              </w:rPr>
              <w:t>a</w:t>
            </w:r>
          </w:p>
        </w:tc>
        <w:tc>
          <w:tcPr>
            <w:tcW w:w="1345" w:type="dxa"/>
            <w:vAlign w:val="center"/>
            <w:hideMark/>
          </w:tcPr>
          <w:p w14:paraId="54DC890F" w14:textId="77777777" w:rsidR="004E22C1" w:rsidRPr="001455DC" w:rsidRDefault="004E22C1" w:rsidP="00EC0EC0">
            <w:pPr>
              <w:pStyle w:val="Tablebody"/>
              <w:jc w:val="center"/>
            </w:pPr>
            <w:r w:rsidRPr="001455DC">
              <w:t>0,6</w:t>
            </w:r>
          </w:p>
        </w:tc>
        <w:tc>
          <w:tcPr>
            <w:tcW w:w="1345" w:type="dxa"/>
            <w:vAlign w:val="center"/>
            <w:hideMark/>
          </w:tcPr>
          <w:p w14:paraId="2B82ED47" w14:textId="77777777" w:rsidR="004E22C1" w:rsidRPr="001455DC" w:rsidRDefault="004E22C1" w:rsidP="00EC0EC0">
            <w:pPr>
              <w:pStyle w:val="Tablebody"/>
              <w:jc w:val="center"/>
            </w:pPr>
            <w:r w:rsidRPr="001455DC">
              <w:t>0</w:t>
            </w:r>
          </w:p>
        </w:tc>
        <w:tc>
          <w:tcPr>
            <w:tcW w:w="1345" w:type="dxa"/>
            <w:vAlign w:val="center"/>
            <w:hideMark/>
          </w:tcPr>
          <w:p w14:paraId="58D574B0" w14:textId="77777777" w:rsidR="004E22C1" w:rsidRPr="001455DC" w:rsidRDefault="004E22C1" w:rsidP="00EC0EC0">
            <w:pPr>
              <w:pStyle w:val="Tablebody"/>
              <w:jc w:val="center"/>
            </w:pPr>
            <w:r w:rsidRPr="001455DC">
              <w:t>0,5</w:t>
            </w:r>
          </w:p>
        </w:tc>
        <w:tc>
          <w:tcPr>
            <w:tcW w:w="1345" w:type="dxa"/>
            <w:vAlign w:val="center"/>
            <w:hideMark/>
          </w:tcPr>
          <w:p w14:paraId="0FEA711C" w14:textId="77777777" w:rsidR="004E22C1" w:rsidRPr="001455DC" w:rsidRDefault="004E22C1" w:rsidP="00EC0EC0">
            <w:pPr>
              <w:pStyle w:val="Tablebody"/>
              <w:jc w:val="center"/>
            </w:pPr>
            <w:r w:rsidRPr="001455DC">
              <w:t>1,1</w:t>
            </w:r>
          </w:p>
        </w:tc>
      </w:tr>
      <w:tr w:rsidR="004E22C1" w:rsidRPr="001455DC" w14:paraId="70611E5C" w14:textId="77777777" w:rsidTr="008C1310">
        <w:trPr>
          <w:trHeight w:val="113"/>
        </w:trPr>
        <w:tc>
          <w:tcPr>
            <w:tcW w:w="3027" w:type="dxa"/>
            <w:vAlign w:val="center"/>
            <w:hideMark/>
          </w:tcPr>
          <w:p w14:paraId="5983D0E9" w14:textId="77777777" w:rsidR="004E22C1" w:rsidRPr="001455DC" w:rsidRDefault="004E22C1" w:rsidP="00EC0EC0">
            <w:pPr>
              <w:pStyle w:val="Tablebody"/>
              <w:jc w:val="left"/>
            </w:pPr>
            <w:r w:rsidRPr="001455DC">
              <w:t>rough</w:t>
            </w:r>
          </w:p>
        </w:tc>
        <w:tc>
          <w:tcPr>
            <w:tcW w:w="1345" w:type="dxa"/>
            <w:vAlign w:val="center"/>
            <w:hideMark/>
          </w:tcPr>
          <w:p w14:paraId="30F25CCD" w14:textId="28A776B1" w:rsidR="004E22C1" w:rsidRPr="001455DC" w:rsidRDefault="004E22C1" w:rsidP="00EC0EC0">
            <w:pPr>
              <w:pStyle w:val="Tablebody"/>
              <w:jc w:val="center"/>
            </w:pPr>
            <w:r w:rsidRPr="001455DC">
              <w:t>0,15</w:t>
            </w:r>
            <w:r w:rsidRPr="001455DC">
              <w:rPr>
                <w:rStyle w:val="CCMCvariablesuperscript"/>
              </w:rPr>
              <w:t>a</w:t>
            </w:r>
          </w:p>
        </w:tc>
        <w:tc>
          <w:tcPr>
            <w:tcW w:w="1345" w:type="dxa"/>
            <w:vAlign w:val="center"/>
            <w:hideMark/>
          </w:tcPr>
          <w:p w14:paraId="5CDEFC5D" w14:textId="77777777" w:rsidR="004E22C1" w:rsidRPr="001455DC" w:rsidRDefault="004E22C1" w:rsidP="00EC0EC0">
            <w:pPr>
              <w:pStyle w:val="Tablebody"/>
              <w:jc w:val="center"/>
            </w:pPr>
            <w:r w:rsidRPr="001455DC">
              <w:t>0,7</w:t>
            </w:r>
          </w:p>
        </w:tc>
        <w:tc>
          <w:tcPr>
            <w:tcW w:w="1345" w:type="dxa"/>
            <w:vAlign w:val="center"/>
            <w:hideMark/>
          </w:tcPr>
          <w:p w14:paraId="71845818" w14:textId="3B5A597E" w:rsidR="004E22C1" w:rsidRPr="001455DC" w:rsidRDefault="004E22C1" w:rsidP="00EC0EC0">
            <w:pPr>
              <w:pStyle w:val="Tablebody"/>
              <w:jc w:val="center"/>
            </w:pPr>
            <w:r w:rsidRPr="001455DC">
              <w:t>0,075</w:t>
            </w:r>
            <w:r w:rsidRPr="001455DC">
              <w:rPr>
                <w:rStyle w:val="CCMCvariablesuperscript"/>
              </w:rPr>
              <w:t>a</w:t>
            </w:r>
          </w:p>
        </w:tc>
        <w:tc>
          <w:tcPr>
            <w:tcW w:w="1345" w:type="dxa"/>
            <w:vAlign w:val="center"/>
            <w:hideMark/>
          </w:tcPr>
          <w:p w14:paraId="7D348887" w14:textId="77777777" w:rsidR="004E22C1" w:rsidRPr="001455DC" w:rsidRDefault="004E22C1" w:rsidP="00EC0EC0">
            <w:pPr>
              <w:pStyle w:val="Tablebody"/>
              <w:jc w:val="center"/>
            </w:pPr>
            <w:r w:rsidRPr="001455DC">
              <w:t>0,5</w:t>
            </w:r>
          </w:p>
        </w:tc>
        <w:tc>
          <w:tcPr>
            <w:tcW w:w="1345" w:type="dxa"/>
            <w:vAlign w:val="center"/>
            <w:hideMark/>
          </w:tcPr>
          <w:p w14:paraId="63668DF7" w14:textId="77777777" w:rsidR="004E22C1" w:rsidRPr="001455DC" w:rsidRDefault="004E22C1" w:rsidP="00EC0EC0">
            <w:pPr>
              <w:pStyle w:val="Tablebody"/>
              <w:jc w:val="center"/>
            </w:pPr>
            <w:r w:rsidRPr="001455DC">
              <w:t>0,9</w:t>
            </w:r>
          </w:p>
        </w:tc>
      </w:tr>
      <w:tr w:rsidR="004E22C1" w:rsidRPr="001455DC" w14:paraId="4208DB33" w14:textId="77777777" w:rsidTr="008C1310">
        <w:trPr>
          <w:trHeight w:val="113"/>
        </w:trPr>
        <w:tc>
          <w:tcPr>
            <w:tcW w:w="3027" w:type="dxa"/>
            <w:vAlign w:val="center"/>
            <w:hideMark/>
          </w:tcPr>
          <w:p w14:paraId="58D6A343" w14:textId="7B199819" w:rsidR="004E22C1" w:rsidRPr="001455DC" w:rsidRDefault="004E22C1" w:rsidP="00EC0EC0">
            <w:pPr>
              <w:pStyle w:val="Tablebody"/>
              <w:jc w:val="left"/>
            </w:pPr>
            <w:r w:rsidRPr="001455DC">
              <w:t>very rough</w:t>
            </w:r>
          </w:p>
        </w:tc>
        <w:tc>
          <w:tcPr>
            <w:tcW w:w="1345" w:type="dxa"/>
            <w:vAlign w:val="center"/>
            <w:hideMark/>
          </w:tcPr>
          <w:p w14:paraId="3D421449" w14:textId="2ADAAF82" w:rsidR="004E22C1" w:rsidRPr="001455DC" w:rsidRDefault="004E22C1" w:rsidP="00EC0EC0">
            <w:pPr>
              <w:pStyle w:val="Tablebody"/>
              <w:jc w:val="center"/>
            </w:pPr>
            <w:r w:rsidRPr="001455DC">
              <w:t>0,19</w:t>
            </w:r>
            <w:r w:rsidRPr="001455DC">
              <w:rPr>
                <w:rStyle w:val="CCMCvariablesuperscript"/>
              </w:rPr>
              <w:t>a</w:t>
            </w:r>
          </w:p>
        </w:tc>
        <w:tc>
          <w:tcPr>
            <w:tcW w:w="1345" w:type="dxa"/>
            <w:vAlign w:val="center"/>
            <w:hideMark/>
          </w:tcPr>
          <w:p w14:paraId="2B111148" w14:textId="77777777" w:rsidR="004E22C1" w:rsidRPr="001455DC" w:rsidRDefault="004E22C1" w:rsidP="00EC0EC0">
            <w:pPr>
              <w:pStyle w:val="Tablebody"/>
              <w:jc w:val="center"/>
            </w:pPr>
            <w:r w:rsidRPr="001455DC">
              <w:t>0,9</w:t>
            </w:r>
          </w:p>
        </w:tc>
        <w:tc>
          <w:tcPr>
            <w:tcW w:w="1345" w:type="dxa"/>
            <w:vAlign w:val="center"/>
            <w:hideMark/>
          </w:tcPr>
          <w:p w14:paraId="48D0CC0D" w14:textId="14280A79" w:rsidR="004E22C1" w:rsidRPr="001455DC" w:rsidRDefault="004E22C1" w:rsidP="00EC0EC0">
            <w:pPr>
              <w:pStyle w:val="Tablebody"/>
              <w:jc w:val="center"/>
            </w:pPr>
            <w:r w:rsidRPr="001455DC">
              <w:t>0,15</w:t>
            </w:r>
            <w:r w:rsidRPr="001455DC">
              <w:rPr>
                <w:rStyle w:val="CCMCvariablesuperscript"/>
              </w:rPr>
              <w:t>a</w:t>
            </w:r>
          </w:p>
        </w:tc>
        <w:tc>
          <w:tcPr>
            <w:tcW w:w="1345" w:type="dxa"/>
            <w:vAlign w:val="center"/>
            <w:hideMark/>
          </w:tcPr>
          <w:p w14:paraId="0D30E0D9" w14:textId="77777777" w:rsidR="004E22C1" w:rsidRPr="001455DC" w:rsidRDefault="004E22C1" w:rsidP="00EC0EC0">
            <w:pPr>
              <w:pStyle w:val="Tablebody"/>
              <w:jc w:val="center"/>
            </w:pPr>
            <w:r w:rsidRPr="001455DC">
              <w:t>0,5</w:t>
            </w:r>
          </w:p>
        </w:tc>
        <w:tc>
          <w:tcPr>
            <w:tcW w:w="1345" w:type="dxa"/>
            <w:vAlign w:val="center"/>
            <w:hideMark/>
          </w:tcPr>
          <w:p w14:paraId="272E9B4F" w14:textId="77777777" w:rsidR="004E22C1" w:rsidRPr="001455DC" w:rsidRDefault="004E22C1" w:rsidP="00EC0EC0">
            <w:pPr>
              <w:pStyle w:val="Tablebody"/>
              <w:jc w:val="center"/>
            </w:pPr>
            <w:r w:rsidRPr="001455DC">
              <w:t>0,9</w:t>
            </w:r>
          </w:p>
        </w:tc>
      </w:tr>
      <w:tr w:rsidR="008C1310" w:rsidRPr="001455DC" w14:paraId="1262F1CE" w14:textId="77777777" w:rsidTr="009D3012">
        <w:trPr>
          <w:trHeight w:val="113"/>
        </w:trPr>
        <w:tc>
          <w:tcPr>
            <w:tcW w:w="3027" w:type="dxa"/>
            <w:vAlign w:val="center"/>
            <w:hideMark/>
          </w:tcPr>
          <w:p w14:paraId="68CE0187" w14:textId="265929BF" w:rsidR="008C1310" w:rsidRPr="001455DC" w:rsidRDefault="008C1310" w:rsidP="008C1310">
            <w:pPr>
              <w:pStyle w:val="Tablebody"/>
              <w:jc w:val="left"/>
            </w:pPr>
            <w:r w:rsidRPr="001455DC">
              <w:t xml:space="preserve">keyed </w:t>
            </w:r>
            <w:r w:rsidRPr="001455DC">
              <w:rPr>
                <w:rStyle w:val="CCMCvariablesuperscript"/>
              </w:rPr>
              <w:t>b</w:t>
            </w:r>
          </w:p>
        </w:tc>
        <w:tc>
          <w:tcPr>
            <w:tcW w:w="1345" w:type="dxa"/>
            <w:vAlign w:val="center"/>
            <w:hideMark/>
          </w:tcPr>
          <w:p w14:paraId="421D7541" w14:textId="77777777" w:rsidR="008C1310" w:rsidRPr="001455DC" w:rsidRDefault="008C1310" w:rsidP="008C1310">
            <w:pPr>
              <w:pStyle w:val="Tablebody"/>
              <w:jc w:val="center"/>
            </w:pPr>
            <w:r w:rsidRPr="001455DC">
              <w:t>0,37</w:t>
            </w:r>
          </w:p>
        </w:tc>
        <w:tc>
          <w:tcPr>
            <w:tcW w:w="1345" w:type="dxa"/>
            <w:vAlign w:val="center"/>
            <w:hideMark/>
          </w:tcPr>
          <w:p w14:paraId="7F2816F3" w14:textId="77777777" w:rsidR="008C1310" w:rsidRPr="001455DC" w:rsidRDefault="008C1310" w:rsidP="008C1310">
            <w:pPr>
              <w:pStyle w:val="Tablebody"/>
              <w:jc w:val="center"/>
            </w:pPr>
            <w:r w:rsidRPr="001455DC">
              <w:t>0,9</w:t>
            </w:r>
          </w:p>
        </w:tc>
        <w:tc>
          <w:tcPr>
            <w:tcW w:w="1345" w:type="dxa"/>
          </w:tcPr>
          <w:p w14:paraId="40056E66" w14:textId="45A34546" w:rsidR="008C1310" w:rsidRPr="001455DC" w:rsidRDefault="008C1310" w:rsidP="008C1310">
            <w:pPr>
              <w:pStyle w:val="Tablebody"/>
              <w:jc w:val="center"/>
            </w:pPr>
            <w:r w:rsidRPr="001455DC">
              <w:t>—</w:t>
            </w:r>
          </w:p>
        </w:tc>
        <w:tc>
          <w:tcPr>
            <w:tcW w:w="1345" w:type="dxa"/>
          </w:tcPr>
          <w:p w14:paraId="2B691E4A" w14:textId="23A573CF" w:rsidR="008C1310" w:rsidRPr="001455DC" w:rsidRDefault="008C1310" w:rsidP="008C1310">
            <w:pPr>
              <w:pStyle w:val="Tablebody"/>
              <w:jc w:val="center"/>
            </w:pPr>
            <w:r w:rsidRPr="001455DC">
              <w:t>—</w:t>
            </w:r>
          </w:p>
        </w:tc>
        <w:tc>
          <w:tcPr>
            <w:tcW w:w="1345" w:type="dxa"/>
          </w:tcPr>
          <w:p w14:paraId="7ABBD18C" w14:textId="1D589CD3" w:rsidR="008C1310" w:rsidRPr="001455DC" w:rsidRDefault="008C1310" w:rsidP="008C1310">
            <w:pPr>
              <w:pStyle w:val="Tablebody"/>
              <w:jc w:val="center"/>
            </w:pPr>
            <w:r w:rsidRPr="001455DC">
              <w:t>—</w:t>
            </w:r>
          </w:p>
        </w:tc>
      </w:tr>
      <w:tr w:rsidR="004E22C1" w:rsidRPr="001455DC" w14:paraId="179F682A" w14:textId="77777777" w:rsidTr="008C1310">
        <w:trPr>
          <w:cnfStyle w:val="010000000000" w:firstRow="0" w:lastRow="1" w:firstColumn="0" w:lastColumn="0" w:oddVBand="0" w:evenVBand="0" w:oddHBand="0" w:evenHBand="0" w:firstRowFirstColumn="0" w:firstRowLastColumn="0" w:lastRowFirstColumn="0" w:lastRowLastColumn="0"/>
          <w:trHeight w:val="113"/>
        </w:trPr>
        <w:tc>
          <w:tcPr>
            <w:tcW w:w="9752" w:type="dxa"/>
            <w:gridSpan w:val="6"/>
          </w:tcPr>
          <w:p w14:paraId="78E32EBE" w14:textId="6B850F36" w:rsidR="004E22C1" w:rsidRPr="009D3012" w:rsidRDefault="004E22C1" w:rsidP="00EC0EC0">
            <w:pPr>
              <w:pStyle w:val="Tablefooter"/>
              <w:rPr>
                <w:lang w:val="en-US"/>
              </w:rPr>
            </w:pPr>
            <w:r w:rsidRPr="009D3012">
              <w:rPr>
                <w:rStyle w:val="CCMCvariablesuperscript"/>
                <w:lang w:val="en-US"/>
              </w:rPr>
              <w:t>a</w:t>
            </w:r>
            <w:r w:rsidR="00EC0EC0" w:rsidRPr="009D3012">
              <w:rPr>
                <w:lang w:val="en-US"/>
              </w:rPr>
              <w:tab/>
            </w:r>
            <w:r w:rsidRPr="009D3012">
              <w:rPr>
                <w:lang w:val="en-US"/>
              </w:rPr>
              <w:t xml:space="preserve">When the interface is subjected to tensile stresses </w:t>
            </w:r>
            <w:r w:rsidR="008C1310" w:rsidRPr="009D3012">
              <w:rPr>
                <w:lang w:val="en-US"/>
              </w:rPr>
              <w:t>caused by external axial force in</w:t>
            </w:r>
            <w:r w:rsidRPr="009D3012">
              <w:rPr>
                <w:lang w:val="en-US"/>
              </w:rPr>
              <w:t xml:space="preserve"> perpendicular direction: </w:t>
            </w:r>
            <w:r w:rsidRPr="009D3012">
              <w:rPr>
                <w:rStyle w:val="CCMCvariableitalic"/>
                <w:lang w:val="en-US"/>
              </w:rPr>
              <w:t>c</w:t>
            </w:r>
            <w:r w:rsidRPr="009D3012">
              <w:rPr>
                <w:rStyle w:val="CCMCvariablesubscript"/>
                <w:lang w:val="en-US"/>
              </w:rPr>
              <w:t>v1</w:t>
            </w:r>
            <w:r w:rsidRPr="009D3012">
              <w:rPr>
                <w:lang w:val="en-US"/>
              </w:rPr>
              <w:t> </w:t>
            </w:r>
            <w:r w:rsidR="00EC27D2" w:rsidRPr="009D3012">
              <w:rPr>
                <w:rFonts w:ascii="Cambria Math" w:hAnsi="Cambria Math"/>
                <w:lang w:val="en-US"/>
              </w:rPr>
              <w:t>=</w:t>
            </w:r>
            <w:r w:rsidRPr="009D3012">
              <w:rPr>
                <w:lang w:val="en-US"/>
              </w:rPr>
              <w:t xml:space="preserve"> 0 or </w:t>
            </w:r>
            <w:r w:rsidRPr="009D3012">
              <w:rPr>
                <w:rStyle w:val="CCMCvariableitalic"/>
                <w:lang w:val="en-US"/>
              </w:rPr>
              <w:t>c</w:t>
            </w:r>
            <w:r w:rsidRPr="009D3012">
              <w:rPr>
                <w:rStyle w:val="CCMCvariablesubscript"/>
                <w:lang w:val="en-US"/>
              </w:rPr>
              <w:t>v2</w:t>
            </w:r>
            <w:r w:rsidRPr="009D3012">
              <w:rPr>
                <w:lang w:val="en-US"/>
              </w:rPr>
              <w:t> </w:t>
            </w:r>
            <w:r w:rsidR="00EC27D2" w:rsidRPr="009D3012">
              <w:rPr>
                <w:rFonts w:ascii="Cambria Math" w:hAnsi="Cambria Math"/>
                <w:lang w:val="en-US"/>
              </w:rPr>
              <w:t>=</w:t>
            </w:r>
            <w:r w:rsidRPr="009D3012">
              <w:rPr>
                <w:lang w:val="en-US"/>
              </w:rPr>
              <w:t> 0.</w:t>
            </w:r>
          </w:p>
          <w:p w14:paraId="3E853718" w14:textId="68CCBFA6" w:rsidR="004E22C1" w:rsidRPr="009D3012" w:rsidRDefault="004E22C1" w:rsidP="00EC0EC0">
            <w:pPr>
              <w:pStyle w:val="Tablefooter"/>
              <w:rPr>
                <w:lang w:val="en-US"/>
              </w:rPr>
            </w:pPr>
            <w:r w:rsidRPr="009D3012">
              <w:rPr>
                <w:rStyle w:val="CCMCvariablesuperscript"/>
                <w:lang w:val="en-US"/>
              </w:rPr>
              <w:t>b</w:t>
            </w:r>
            <w:r w:rsidR="00EC0EC0" w:rsidRPr="009D3012">
              <w:rPr>
                <w:lang w:val="en-US"/>
              </w:rPr>
              <w:tab/>
            </w:r>
            <w:r w:rsidRPr="009D3012">
              <w:rPr>
                <w:lang w:val="en-US" w:eastAsia="de-CH"/>
              </w:rPr>
              <w:t>The factors for keyed interfaces shall be applied for the area of each key considering its concrete strength.</w:t>
            </w:r>
          </w:p>
        </w:tc>
      </w:tr>
    </w:tbl>
    <w:p w14:paraId="596BE1EE" w14:textId="77777777" w:rsidR="004E22C1" w:rsidRPr="001455DC" w:rsidRDefault="004E22C1" w:rsidP="00EC0EC0">
      <w:pPr>
        <w:pStyle w:val="a7"/>
      </w:pPr>
    </w:p>
    <w:p w14:paraId="1AC75D07" w14:textId="77777777" w:rsidR="004E22C1" w:rsidRPr="001455DC" w:rsidRDefault="004E22C1" w:rsidP="008D37B2">
      <w:pPr>
        <w:pStyle w:val="a7"/>
        <w:keepNext/>
      </w:pPr>
      <w:r w:rsidRPr="001455DC">
        <w:t>(6)</w:t>
      </w:r>
      <w:r w:rsidRPr="001455DC">
        <w:tab/>
        <w:t>The roughness of the concrete interfaces may be classified as follows:</w:t>
      </w:r>
    </w:p>
    <w:tbl>
      <w:tblPr>
        <w:tblW w:w="0" w:type="auto"/>
        <w:tblInd w:w="-100" w:type="dxa"/>
        <w:tblCellMar>
          <w:left w:w="100" w:type="dxa"/>
        </w:tblCellMar>
        <w:tblLook w:val="0000" w:firstRow="0" w:lastRow="0" w:firstColumn="0" w:lastColumn="0" w:noHBand="0" w:noVBand="0"/>
      </w:tblPr>
      <w:tblGrid>
        <w:gridCol w:w="1744"/>
        <w:gridCol w:w="8107"/>
      </w:tblGrid>
      <w:tr w:rsidR="00A46F70" w:rsidRPr="00A46F70" w14:paraId="3B905FE8" w14:textId="77777777" w:rsidTr="00A46F70">
        <w:tc>
          <w:tcPr>
            <w:tcW w:w="1744" w:type="dxa"/>
            <w:shd w:val="clear" w:color="auto" w:fill="auto"/>
          </w:tcPr>
          <w:p w14:paraId="3DF7AD24" w14:textId="77777777" w:rsidR="00A46F70" w:rsidRPr="00A46F70" w:rsidRDefault="00A46F70" w:rsidP="00A46F70">
            <w:pPr>
              <w:pStyle w:val="Tablebody"/>
              <w:spacing w:after="120"/>
              <w:rPr>
                <w:rStyle w:val="CCMCvariableitalic"/>
              </w:rPr>
            </w:pPr>
            <w:r w:rsidRPr="00A46F70">
              <w:t>very smooth:</w:t>
            </w:r>
          </w:p>
        </w:tc>
        <w:tc>
          <w:tcPr>
            <w:tcW w:w="8107" w:type="dxa"/>
            <w:shd w:val="clear" w:color="auto" w:fill="auto"/>
          </w:tcPr>
          <w:p w14:paraId="61BA1A50" w14:textId="77777777" w:rsidR="00A46F70" w:rsidRPr="00A46F70" w:rsidRDefault="00A46F70" w:rsidP="00A46F70">
            <w:pPr>
              <w:pStyle w:val="Tablebody"/>
              <w:spacing w:after="120"/>
            </w:pPr>
            <w:r w:rsidRPr="00A46F70">
              <w:t>a surface cast against steel, plastic or specially prepared wooden moulds;</w:t>
            </w:r>
          </w:p>
        </w:tc>
      </w:tr>
      <w:tr w:rsidR="00A46F70" w:rsidRPr="00A46F70" w14:paraId="17DC4E5D" w14:textId="77777777" w:rsidTr="00A46F70">
        <w:tc>
          <w:tcPr>
            <w:tcW w:w="1744" w:type="dxa"/>
            <w:shd w:val="clear" w:color="auto" w:fill="auto"/>
          </w:tcPr>
          <w:p w14:paraId="2CBC0FE3" w14:textId="77777777" w:rsidR="00A46F70" w:rsidRPr="00A46F70" w:rsidRDefault="00A46F70" w:rsidP="00A46F70">
            <w:pPr>
              <w:pStyle w:val="Tablebody"/>
              <w:spacing w:after="120"/>
            </w:pPr>
            <w:r w:rsidRPr="00A46F70">
              <w:t>smooth:</w:t>
            </w:r>
          </w:p>
        </w:tc>
        <w:tc>
          <w:tcPr>
            <w:tcW w:w="8107" w:type="dxa"/>
            <w:shd w:val="clear" w:color="auto" w:fill="auto"/>
          </w:tcPr>
          <w:p w14:paraId="45BA51AE" w14:textId="77777777" w:rsidR="00A46F70" w:rsidRPr="00A46F70" w:rsidRDefault="00A46F70" w:rsidP="00A46F70">
            <w:pPr>
              <w:pStyle w:val="Tablebody"/>
              <w:spacing w:after="120"/>
            </w:pPr>
            <w:r w:rsidRPr="00A46F70">
              <w:t>a surface with less than 3 mm roughness (from peak to valley), e.g. a free surface left without further treatment after compacting;</w:t>
            </w:r>
          </w:p>
        </w:tc>
      </w:tr>
      <w:tr w:rsidR="00A46F70" w:rsidRPr="00A46F70" w14:paraId="460B464C" w14:textId="77777777" w:rsidTr="00A46F70">
        <w:tc>
          <w:tcPr>
            <w:tcW w:w="1744" w:type="dxa"/>
            <w:shd w:val="clear" w:color="auto" w:fill="auto"/>
          </w:tcPr>
          <w:p w14:paraId="79B70A91" w14:textId="77777777" w:rsidR="00A46F70" w:rsidRPr="00A46F70" w:rsidRDefault="00A46F70" w:rsidP="00A46F70">
            <w:pPr>
              <w:pStyle w:val="Tablebody"/>
              <w:spacing w:after="120"/>
            </w:pPr>
            <w:r w:rsidRPr="00A46F70">
              <w:t>rough:</w:t>
            </w:r>
          </w:p>
        </w:tc>
        <w:tc>
          <w:tcPr>
            <w:tcW w:w="8107" w:type="dxa"/>
            <w:shd w:val="clear" w:color="auto" w:fill="auto"/>
          </w:tcPr>
          <w:p w14:paraId="7E1D5322" w14:textId="77777777" w:rsidR="00A46F70" w:rsidRPr="00A46F70" w:rsidRDefault="00A46F70" w:rsidP="00A46F70">
            <w:pPr>
              <w:pStyle w:val="Tablebody"/>
              <w:spacing w:after="120"/>
            </w:pPr>
            <w:r w:rsidRPr="00A46F70">
              <w:t>a surface with at least 3 mm roughness (from peak-to-valley maximum 40 mm spacing), achieved by raking, exposing of aggregate or other methods according to Figure 8.15a);</w:t>
            </w:r>
          </w:p>
        </w:tc>
      </w:tr>
      <w:tr w:rsidR="00A46F70" w:rsidRPr="00A46F70" w14:paraId="1F310584" w14:textId="77777777" w:rsidTr="00A46F70">
        <w:tc>
          <w:tcPr>
            <w:tcW w:w="1744" w:type="dxa"/>
            <w:shd w:val="clear" w:color="auto" w:fill="auto"/>
          </w:tcPr>
          <w:p w14:paraId="3994B0B2" w14:textId="77777777" w:rsidR="00A46F70" w:rsidRPr="00A46F70" w:rsidRDefault="00A46F70" w:rsidP="00A46F70">
            <w:pPr>
              <w:pStyle w:val="Tablebody"/>
              <w:spacing w:after="120"/>
            </w:pPr>
            <w:r w:rsidRPr="00A46F70">
              <w:t>very rough:</w:t>
            </w:r>
          </w:p>
        </w:tc>
        <w:tc>
          <w:tcPr>
            <w:tcW w:w="8107" w:type="dxa"/>
            <w:shd w:val="clear" w:color="auto" w:fill="auto"/>
          </w:tcPr>
          <w:p w14:paraId="184B6366" w14:textId="77777777" w:rsidR="00A46F70" w:rsidRPr="00A46F70" w:rsidRDefault="00A46F70" w:rsidP="00A46F70">
            <w:pPr>
              <w:pStyle w:val="Tablebody"/>
              <w:spacing w:after="120"/>
            </w:pPr>
            <w:r w:rsidRPr="00A46F70">
              <w:t>a surface with at least 6 mm roughness (from peak-to-valley maximum 40 mm spacing), achieved by raking, exposing of aggregate or other methods according to Figure 8.15a);</w:t>
            </w:r>
          </w:p>
        </w:tc>
      </w:tr>
      <w:tr w:rsidR="00A46F70" w:rsidRPr="00A46F70" w14:paraId="61076DEB" w14:textId="77777777" w:rsidTr="00A46F70">
        <w:tc>
          <w:tcPr>
            <w:tcW w:w="1744" w:type="dxa"/>
            <w:shd w:val="clear" w:color="auto" w:fill="auto"/>
          </w:tcPr>
          <w:p w14:paraId="36AD5B0A" w14:textId="77777777" w:rsidR="00A46F70" w:rsidRPr="00A46F70" w:rsidRDefault="00A46F70" w:rsidP="00A46F70">
            <w:pPr>
              <w:pStyle w:val="Tablebody"/>
              <w:spacing w:after="120"/>
              <w:rPr>
                <w:rStyle w:val="CCMCvariableitalic"/>
              </w:rPr>
            </w:pPr>
            <w:r w:rsidRPr="00A46F70">
              <w:t>keyed:</w:t>
            </w:r>
          </w:p>
        </w:tc>
        <w:tc>
          <w:tcPr>
            <w:tcW w:w="8107" w:type="dxa"/>
            <w:shd w:val="clear" w:color="auto" w:fill="auto"/>
          </w:tcPr>
          <w:p w14:paraId="338A706A" w14:textId="77777777" w:rsidR="00A46F70" w:rsidRPr="00A46F70" w:rsidRDefault="00A46F70" w:rsidP="00A46F70">
            <w:pPr>
              <w:pStyle w:val="Tablebody"/>
              <w:spacing w:after="120"/>
              <w:rPr>
                <w:lang w:eastAsia="de-CH"/>
              </w:rPr>
            </w:pPr>
            <w:r w:rsidRPr="00A46F70">
              <w:t>a surface with shear keys complying with Figure 8.15c).</w:t>
            </w:r>
          </w:p>
        </w:tc>
      </w:tr>
    </w:tbl>
    <w:p w14:paraId="4D046D28" w14:textId="7FC82CFA" w:rsidR="00865DB3" w:rsidRDefault="00A46F70" w:rsidP="00A46F70">
      <w:pPr>
        <w:keepNext/>
        <w:keepLines/>
        <w:jc w:val="right"/>
      </w:pPr>
      <w:r>
        <w:t>Dimensions in m</w:t>
      </w:r>
      <w:r w:rsidR="00865DB3">
        <w:t>illimetres</w:t>
      </w:r>
    </w:p>
    <w:tbl>
      <w:tblPr>
        <w:tblStyle w:val="a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876"/>
        <w:gridCol w:w="4876"/>
      </w:tblGrid>
      <w:tr w:rsidR="00EC0EC0" w:rsidRPr="001455DC" w14:paraId="694647BC" w14:textId="77777777" w:rsidTr="00EC0EC0">
        <w:trPr>
          <w:cantSplit/>
          <w:jc w:val="center"/>
        </w:trPr>
        <w:tc>
          <w:tcPr>
            <w:tcW w:w="4876" w:type="dxa"/>
          </w:tcPr>
          <w:p w14:paraId="03228AFD" w14:textId="1E436BA6" w:rsidR="00EC0EC0" w:rsidRPr="001455DC" w:rsidRDefault="00723CF7" w:rsidP="00EC0EC0">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"Y:\\STD_MGT\\STDDEL\\PRODUCTION\\etrans\\Download\\Z_FIRST_DEL\\SV\\00250\\00250269\\41_e_dr\\8_015a.tif"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"Y:\\STD_MGT\\STDDEL\\PRODUCTION\\Standards\\00250\\269\\41_e_dr\\8_015a.tif"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"Y:\\STD_MGT\\STDDEL\\PRODUCTION\\Standards\\00250\\269\\41_e_dr\\8_015a.tif"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"Y:\\STD_MGT\\STDDEL\\PRODUCTION\\Standards\\00250\\269\\41_e_dr\\8_015a.tif"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"Y:\\STD_MGT\\STDDEL\\PRODUCTION\\Standards\\00250\\269\\41_e_dr\\8_015a.tif"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"Y:\\STD_MGT\\STDDEL\\PRODUCTION\\Standards\\00250\\269\\41_e_dr\\8_015a.tif"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"C:\\Users\\a.dionysiou\\AppData\\Local\\Temp\\Temp1_00250269_e_20210902.zip.zip\\41_e_dr\\8_015a.tif"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6E3591E5">
                <v:shape id="_x0000_i1165" type="#_x0000_t75" style="width:180pt;height:68.25pt">
                  <v:imagedata r:id="rId300" r:href="rId301"/>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4876" w:type="dxa"/>
          </w:tcPr>
          <w:p w14:paraId="5F3AAE87" w14:textId="6A82A976" w:rsidR="00EC0EC0" w:rsidRPr="001455DC" w:rsidRDefault="00723CF7" w:rsidP="00EC0EC0">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"Y:\\STD_MGT\\STDDEL\\PRODUCTION\\etrans\\Download\\Z_FIRST_DEL\\SV\\00250\\00250269\\41_e_dr\\8_015b.tif"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"Y:\\STD_MGT\\STDDEL\\PRODUCTION\\Standards\\00250\\269\\41_e_dr\\8_015b.tif"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"Y:\\STD_MGT\\STDDEL\\PRODUCTION\\Standards\\00250\\269\\41_e_dr\\8_015b.tif"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"Y:\\STD_MGT\\STDDEL\\PRODUCTION\\Standards\\00250\\269\\41_e_dr\\8_015b.tif"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"Y:\\STD_MGT\\STDDEL\\PRODUCTION\\Standards\\00250\\269\\41_e_dr\\8_015b.tif"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"Y:\\STD_MGT\\STDDEL\\PRODUCTION\\Standards\\00250\\269\\41_e_dr\\8_015b.tif"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w:instrText>
            </w:r>
            <w:r w:rsidR="00231E33">
              <w:rPr>
                <w:noProof/>
                <w:lang w:eastAsia="en-GB"/>
              </w:rPr>
              <w:instrText>l\\Temp\\Temp1_00250269_e_20210902.zip.zip\\41_e_dr\\8_015b.tif"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182AFA47">
                <v:shape id="_x0000_i1166" type="#_x0000_t75" style="width:117pt;height:77.25pt">
                  <v:imagedata r:id="rId302" r:href="rId303"/>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EC0EC0" w:rsidRPr="001455DC" w14:paraId="533F15EE" w14:textId="77777777" w:rsidTr="00EC0EC0">
        <w:trPr>
          <w:cantSplit/>
          <w:jc w:val="center"/>
        </w:trPr>
        <w:tc>
          <w:tcPr>
            <w:tcW w:w="4876" w:type="dxa"/>
          </w:tcPr>
          <w:p w14:paraId="483AEE35" w14:textId="1A93B28E" w:rsidR="00EC0EC0" w:rsidRPr="001455DC" w:rsidRDefault="00EC0EC0" w:rsidP="00EC0EC0">
            <w:pPr>
              <w:pStyle w:val="Figurenote"/>
              <w:tabs>
                <w:tab w:val="clear" w:pos="965"/>
                <w:tab w:val="left" w:pos="346"/>
              </w:tabs>
              <w:spacing w:before="60" w:after="60"/>
            </w:pPr>
          </w:p>
        </w:tc>
        <w:tc>
          <w:tcPr>
            <w:tcW w:w="4876" w:type="dxa"/>
          </w:tcPr>
          <w:p w14:paraId="17D14B36" w14:textId="6B89031D" w:rsidR="00EC0EC0" w:rsidRPr="001455DC" w:rsidRDefault="00EC0EC0" w:rsidP="00EC0EC0">
            <w:pPr>
              <w:pStyle w:val="FigureText"/>
              <w:spacing w:after="60"/>
            </w:pPr>
            <w:r w:rsidRPr="001455DC">
              <w:t>Shear reinforcement: 45° </w:t>
            </w:r>
            <w:r w:rsidR="00650035" w:rsidRPr="001455DC">
              <w:rPr>
                <w:rFonts w:ascii="Cambria Math" w:hAnsi="Cambria Math"/>
              </w:rPr>
              <w:t>≤</w:t>
            </w:r>
            <w:r w:rsidRPr="001455DC">
              <w:t> </w:t>
            </w:r>
            <w:r w:rsidRPr="001455DC">
              <w:rPr>
                <w:rStyle w:val="CCMCvariableitalic"/>
              </w:rPr>
              <w:t>α</w:t>
            </w:r>
            <w:r w:rsidRPr="001455DC">
              <w:t> </w:t>
            </w:r>
            <w:r w:rsidR="00650035" w:rsidRPr="001455DC">
              <w:rPr>
                <w:rFonts w:ascii="Cambria Math" w:hAnsi="Cambria Math"/>
              </w:rPr>
              <w:t>≤</w:t>
            </w:r>
            <w:r w:rsidRPr="001455DC">
              <w:t> 90°</w:t>
            </w:r>
          </w:p>
        </w:tc>
      </w:tr>
      <w:tr w:rsidR="00EC0EC0" w:rsidRPr="001455DC" w14:paraId="17DDF443" w14:textId="77777777" w:rsidTr="00EC0EC0">
        <w:trPr>
          <w:cantSplit/>
          <w:jc w:val="center"/>
        </w:trPr>
        <w:tc>
          <w:tcPr>
            <w:tcW w:w="4876" w:type="dxa"/>
          </w:tcPr>
          <w:p w14:paraId="67FA37AB" w14:textId="392C7B6C" w:rsidR="00EC0EC0" w:rsidRPr="001455DC" w:rsidRDefault="00EC0EC0" w:rsidP="00EC0EC0">
            <w:pPr>
              <w:pStyle w:val="Figurenote"/>
              <w:tabs>
                <w:tab w:val="clear" w:pos="965"/>
                <w:tab w:val="left" w:pos="346"/>
              </w:tabs>
              <w:spacing w:before="60" w:after="60"/>
              <w:rPr>
                <w:vertAlign w:val="superscript"/>
              </w:rPr>
            </w:pPr>
          </w:p>
        </w:tc>
        <w:tc>
          <w:tcPr>
            <w:tcW w:w="4876" w:type="dxa"/>
          </w:tcPr>
          <w:p w14:paraId="053686CC" w14:textId="3D42DDA8" w:rsidR="00EC0EC0" w:rsidRPr="001455DC" w:rsidRDefault="00EC0EC0" w:rsidP="00EC0EC0">
            <w:pPr>
              <w:pStyle w:val="FigureText"/>
              <w:spacing w:after="60"/>
            </w:pPr>
            <w:r w:rsidRPr="001455DC">
              <w:t>Interface reinforcement: 35° </w:t>
            </w:r>
            <w:r w:rsidR="00650035" w:rsidRPr="001455DC">
              <w:rPr>
                <w:rFonts w:ascii="Cambria Math" w:hAnsi="Cambria Math"/>
              </w:rPr>
              <w:t>≤</w:t>
            </w:r>
            <w:r w:rsidRPr="001455DC">
              <w:t> </w:t>
            </w:r>
            <w:r w:rsidRPr="001455DC">
              <w:rPr>
                <w:rStyle w:val="CCMCvariableitalic"/>
              </w:rPr>
              <w:t>α</w:t>
            </w:r>
            <w:r w:rsidRPr="001455DC">
              <w:t> </w:t>
            </w:r>
            <w:r w:rsidR="00650035" w:rsidRPr="001455DC">
              <w:rPr>
                <w:rFonts w:ascii="Cambria Math" w:hAnsi="Cambria Math"/>
              </w:rPr>
              <w:t>≤</w:t>
            </w:r>
            <w:r w:rsidRPr="001455DC">
              <w:t> 90°</w:t>
            </w:r>
          </w:p>
        </w:tc>
      </w:tr>
      <w:tr w:rsidR="00EC0EC0" w:rsidRPr="00833A7E" w14:paraId="312CAE1B" w14:textId="77777777" w:rsidTr="00EC0EC0">
        <w:trPr>
          <w:cantSplit/>
          <w:jc w:val="center"/>
        </w:trPr>
        <w:tc>
          <w:tcPr>
            <w:tcW w:w="4876" w:type="dxa"/>
          </w:tcPr>
          <w:p w14:paraId="363937F5" w14:textId="3FE06C26" w:rsidR="00EC0EC0" w:rsidRPr="009D3012" w:rsidRDefault="00EC0EC0" w:rsidP="00A1477B">
            <w:pPr>
              <w:pStyle w:val="FigureText"/>
              <w:rPr>
                <w:bCs/>
              </w:rPr>
            </w:pPr>
            <w:r w:rsidRPr="009D3012">
              <w:rPr>
                <w:bCs/>
              </w:rPr>
              <w:t>a) Rough/very rough interfaces</w:t>
            </w:r>
          </w:p>
        </w:tc>
        <w:tc>
          <w:tcPr>
            <w:tcW w:w="4876" w:type="dxa"/>
          </w:tcPr>
          <w:p w14:paraId="4C248C71" w14:textId="1E913E4D" w:rsidR="00EC0EC0" w:rsidRPr="009D3012" w:rsidRDefault="00EC0EC0" w:rsidP="00A1477B">
            <w:pPr>
              <w:pStyle w:val="FigureText"/>
              <w:rPr>
                <w:bCs/>
              </w:rPr>
            </w:pPr>
            <w:r w:rsidRPr="009D3012">
              <w:rPr>
                <w:bCs/>
              </w:rPr>
              <w:t>b) Shear/interface reinforcement</w:t>
            </w:r>
          </w:p>
        </w:tc>
      </w:tr>
      <w:tr w:rsidR="00833A7E" w:rsidRPr="00833A7E" w14:paraId="5BE59B2F" w14:textId="77777777" w:rsidTr="00833A7E">
        <w:trPr>
          <w:cantSplit/>
          <w:jc w:val="center"/>
        </w:trPr>
        <w:tc>
          <w:tcPr>
            <w:tcW w:w="9752" w:type="dxa"/>
            <w:gridSpan w:val="2"/>
          </w:tcPr>
          <w:p w14:paraId="7CEAEF27" w14:textId="31570A8A" w:rsidR="00833A7E" w:rsidRPr="00833A7E" w:rsidRDefault="00723CF7" w:rsidP="009D3012">
            <w:pPr>
              <w:pStyle w:val="FigureText"/>
              <w:jc w:val="center"/>
              <w:rPr>
                <w:bCs/>
              </w:rPr>
            </w:pPr>
            <w:r>
              <w:rPr>
                <w:bCs/>
                <w:noProof/>
                <w:lang w:eastAsia="en-GB"/>
              </w:rPr>
              <w:fldChar w:fldCharType="begin"/>
            </w:r>
            <w:r>
              <w:rPr>
                <w:bCs/>
                <w:noProof/>
                <w:lang w:eastAsia="en-GB"/>
              </w:rPr>
              <w:instrText xml:space="preserve"> INCLUDEPICTURE  "Y:\\STD_MGT\\STDDEL\\PRODUCTION\\etrans\\Download\\Z_FIRST_DEL\\SV\\00250\\00250269\\41_e_dr\\8_015c.tif" \* MERGEFORMATINET </w:instrText>
            </w:r>
            <w:r>
              <w:rPr>
                <w:bCs/>
                <w:noProof/>
                <w:lang w:eastAsia="en-GB"/>
              </w:rPr>
              <w:fldChar w:fldCharType="separate"/>
            </w:r>
            <w:r w:rsidR="00FA575F">
              <w:rPr>
                <w:bCs/>
                <w:noProof/>
                <w:lang w:eastAsia="en-GB"/>
              </w:rPr>
              <w:fldChar w:fldCharType="begin"/>
            </w:r>
            <w:r w:rsidR="00FA575F">
              <w:rPr>
                <w:bCs/>
                <w:noProof/>
                <w:lang w:eastAsia="en-GB"/>
              </w:rPr>
              <w:instrText xml:space="preserve"> INCLUDEPICTURE  "Y:\\STD_MGT\\STDDEL\\PRODUCTION\\Standards\\00250\\269\\41_e_dr\\8_015c.tif" \* MERGEFORMATINET </w:instrText>
            </w:r>
            <w:r w:rsidR="00FA575F">
              <w:rPr>
                <w:bCs/>
                <w:noProof/>
                <w:lang w:eastAsia="en-GB"/>
              </w:rPr>
              <w:fldChar w:fldCharType="separate"/>
            </w:r>
            <w:r w:rsidR="00C54E80">
              <w:rPr>
                <w:bCs/>
                <w:noProof/>
                <w:lang w:eastAsia="en-GB"/>
              </w:rPr>
              <w:fldChar w:fldCharType="begin"/>
            </w:r>
            <w:r w:rsidR="00C54E80">
              <w:rPr>
                <w:bCs/>
                <w:noProof/>
                <w:lang w:eastAsia="en-GB"/>
              </w:rPr>
              <w:instrText xml:space="preserve"> INCLUDEPICTURE  "Y:\\STD_MGT\\STDDEL\\PRODUCTION\\Standards\\00250\\269\\41_e_dr\\8_015c.tif" \* MERGEFORMATINET </w:instrText>
            </w:r>
            <w:r w:rsidR="00C54E80">
              <w:rPr>
                <w:bCs/>
                <w:noProof/>
                <w:lang w:eastAsia="en-GB"/>
              </w:rPr>
              <w:fldChar w:fldCharType="separate"/>
            </w:r>
            <w:r w:rsidR="004B62E7">
              <w:rPr>
                <w:bCs/>
                <w:noProof/>
                <w:lang w:eastAsia="en-GB"/>
              </w:rPr>
              <w:fldChar w:fldCharType="begin"/>
            </w:r>
            <w:r w:rsidR="004B62E7">
              <w:rPr>
                <w:bCs/>
                <w:noProof/>
                <w:lang w:eastAsia="en-GB"/>
              </w:rPr>
              <w:instrText xml:space="preserve"> INCLUDEPICTURE  "Y:\\STD_MGT\\STDDEL\\PRODUCTION\\Standards\\00250\\269\\41_e_dr\\8_015c.tif" \* MERGEFORMATINET </w:instrText>
            </w:r>
            <w:r w:rsidR="004B62E7">
              <w:rPr>
                <w:bCs/>
                <w:noProof/>
                <w:lang w:eastAsia="en-GB"/>
              </w:rPr>
              <w:fldChar w:fldCharType="separate"/>
            </w:r>
            <w:r w:rsidR="00B078F1">
              <w:rPr>
                <w:bCs/>
                <w:noProof/>
                <w:lang w:eastAsia="en-GB"/>
              </w:rPr>
              <w:fldChar w:fldCharType="begin"/>
            </w:r>
            <w:r w:rsidR="00B078F1">
              <w:rPr>
                <w:bCs/>
                <w:noProof/>
                <w:lang w:eastAsia="en-GB"/>
              </w:rPr>
              <w:instrText xml:space="preserve"> INCLUDEPICTURE  "Y:\\STD_MGT\\STDDEL\\PRODUCTION\\Standards\\00250\\269\\41_e_dr\\8_015c.tif" \* MERGEFORMATINET </w:instrText>
            </w:r>
            <w:r w:rsidR="00B078F1">
              <w:rPr>
                <w:bCs/>
                <w:noProof/>
                <w:lang w:eastAsia="en-GB"/>
              </w:rPr>
              <w:fldChar w:fldCharType="separate"/>
            </w:r>
            <w:r w:rsidR="000250B6">
              <w:rPr>
                <w:bCs/>
                <w:noProof/>
                <w:lang w:eastAsia="en-GB"/>
              </w:rPr>
              <w:fldChar w:fldCharType="begin"/>
            </w:r>
            <w:r w:rsidR="000250B6">
              <w:rPr>
                <w:bCs/>
                <w:noProof/>
                <w:lang w:eastAsia="en-GB"/>
              </w:rPr>
              <w:instrText xml:space="preserve"> INCLUDEPICTURE  "Y:\\STD_MGT\\STDDEL\\PRODUCTION\\Standards\\00250\\269\\41_e_dr\\8_015c.tif" \* MERGEFORMATINET </w:instrText>
            </w:r>
            <w:r w:rsidR="000250B6">
              <w:rPr>
                <w:bCs/>
                <w:noProof/>
                <w:lang w:eastAsia="en-GB"/>
              </w:rPr>
              <w:fldChar w:fldCharType="separate"/>
            </w:r>
            <w:r w:rsidR="00231E33">
              <w:rPr>
                <w:bCs/>
                <w:noProof/>
                <w:lang w:eastAsia="en-GB"/>
              </w:rPr>
              <w:fldChar w:fldCharType="begin"/>
            </w:r>
            <w:r w:rsidR="00231E33">
              <w:rPr>
                <w:bCs/>
                <w:noProof/>
                <w:lang w:eastAsia="en-GB"/>
              </w:rPr>
              <w:instrText xml:space="preserve"> </w:instrText>
            </w:r>
            <w:r w:rsidR="00231E33">
              <w:rPr>
                <w:bCs/>
                <w:noProof/>
                <w:lang w:eastAsia="en-GB"/>
              </w:rPr>
              <w:instrText>INCLUDEPICTURE  "C:\\Users\\a.dionysiou</w:instrText>
            </w:r>
            <w:r w:rsidR="00231E33">
              <w:rPr>
                <w:bCs/>
                <w:noProof/>
                <w:lang w:eastAsia="en-GB"/>
              </w:rPr>
              <w:instrText>\\AppData\\Local\\Temp\\Temp1_00250269_e_20210902.zip.zip\\41_e_dr\\8_015c.tif" \* MERGEFORMATINET</w:instrText>
            </w:r>
            <w:r w:rsidR="00231E33">
              <w:rPr>
                <w:bCs/>
                <w:noProof/>
                <w:lang w:eastAsia="en-GB"/>
              </w:rPr>
              <w:instrText xml:space="preserve"> </w:instrText>
            </w:r>
            <w:r w:rsidR="00231E33">
              <w:rPr>
                <w:bCs/>
                <w:noProof/>
                <w:lang w:eastAsia="en-GB"/>
              </w:rPr>
              <w:fldChar w:fldCharType="separate"/>
            </w:r>
            <w:r w:rsidR="00231E33">
              <w:rPr>
                <w:bCs/>
                <w:noProof/>
                <w:lang w:eastAsia="en-GB"/>
              </w:rPr>
              <w:pict w14:anchorId="43D0217A">
                <v:shape id="_x0000_i1167" type="#_x0000_t75" style="width:188.25pt;height:171pt">
                  <v:imagedata r:id="rId304" r:href="rId305"/>
                </v:shape>
              </w:pict>
            </w:r>
            <w:r w:rsidR="00231E33">
              <w:rPr>
                <w:bCs/>
                <w:noProof/>
                <w:lang w:eastAsia="en-GB"/>
              </w:rPr>
              <w:fldChar w:fldCharType="end"/>
            </w:r>
            <w:r w:rsidR="000250B6">
              <w:rPr>
                <w:bCs/>
                <w:noProof/>
                <w:lang w:eastAsia="en-GB"/>
              </w:rPr>
              <w:fldChar w:fldCharType="end"/>
            </w:r>
            <w:r w:rsidR="00B078F1">
              <w:rPr>
                <w:bCs/>
                <w:noProof/>
                <w:lang w:eastAsia="en-GB"/>
              </w:rPr>
              <w:fldChar w:fldCharType="end"/>
            </w:r>
            <w:r w:rsidR="004B62E7">
              <w:rPr>
                <w:bCs/>
                <w:noProof/>
                <w:lang w:eastAsia="en-GB"/>
              </w:rPr>
              <w:fldChar w:fldCharType="end"/>
            </w:r>
            <w:r w:rsidR="00C54E80">
              <w:rPr>
                <w:bCs/>
                <w:noProof/>
                <w:lang w:eastAsia="en-GB"/>
              </w:rPr>
              <w:fldChar w:fldCharType="end"/>
            </w:r>
            <w:r w:rsidR="00FA575F">
              <w:rPr>
                <w:bCs/>
                <w:noProof/>
                <w:lang w:eastAsia="en-GB"/>
              </w:rPr>
              <w:fldChar w:fldCharType="end"/>
            </w:r>
            <w:r>
              <w:rPr>
                <w:bCs/>
                <w:noProof/>
                <w:lang w:eastAsia="en-GB"/>
              </w:rPr>
              <w:fldChar w:fldCharType="end"/>
            </w:r>
          </w:p>
        </w:tc>
      </w:tr>
      <w:tr w:rsidR="00833A7E" w:rsidRPr="00833A7E" w14:paraId="249CB06F" w14:textId="77777777" w:rsidTr="00833A7E">
        <w:trPr>
          <w:cantSplit/>
          <w:jc w:val="center"/>
        </w:trPr>
        <w:tc>
          <w:tcPr>
            <w:tcW w:w="9752" w:type="dxa"/>
            <w:gridSpan w:val="2"/>
          </w:tcPr>
          <w:p w14:paraId="352697DC" w14:textId="7A87BD64" w:rsidR="00833A7E" w:rsidRPr="00833A7E" w:rsidRDefault="00833A7E" w:rsidP="009D3012">
            <w:pPr>
              <w:pStyle w:val="FigureText"/>
              <w:jc w:val="center"/>
              <w:rPr>
                <w:bCs/>
              </w:rPr>
            </w:pPr>
            <w:r w:rsidRPr="009D3012">
              <w:rPr>
                <w:bCs/>
              </w:rPr>
              <w:t>c) Keyed interfaces</w:t>
            </w:r>
          </w:p>
        </w:tc>
      </w:tr>
    </w:tbl>
    <w:p w14:paraId="751E481D" w14:textId="17951949" w:rsidR="00F55FA2" w:rsidRPr="009D3012" w:rsidRDefault="00F55FA2" w:rsidP="00EC0EC0">
      <w:pPr>
        <w:pStyle w:val="FigureText"/>
        <w:rPr>
          <w:b/>
        </w:rPr>
      </w:pPr>
      <w:r w:rsidRPr="009D3012">
        <w:rPr>
          <w:b/>
        </w:rPr>
        <w:t>Key</w:t>
      </w:r>
    </w:p>
    <w:tbl>
      <w:tblPr>
        <w:tblW w:w="0" w:type="auto"/>
        <w:tblInd w:w="-100" w:type="dxa"/>
        <w:tblCellMar>
          <w:left w:w="100" w:type="dxa"/>
        </w:tblCellMar>
        <w:tblLook w:val="0000" w:firstRow="0" w:lastRow="0" w:firstColumn="0" w:lastColumn="0" w:noHBand="0" w:noVBand="0"/>
      </w:tblPr>
      <w:tblGrid>
        <w:gridCol w:w="280"/>
        <w:gridCol w:w="3070"/>
      </w:tblGrid>
      <w:tr w:rsidR="00A46F70" w:rsidRPr="00A46F70" w14:paraId="1DE8C7F2" w14:textId="77777777" w:rsidTr="00A46F70">
        <w:tc>
          <w:tcPr>
            <w:tcW w:w="0" w:type="auto"/>
            <w:shd w:val="clear" w:color="auto" w:fill="auto"/>
          </w:tcPr>
          <w:p w14:paraId="7D83BB99" w14:textId="77777777" w:rsidR="00A46F70" w:rsidRPr="00A46F70" w:rsidRDefault="00A46F70" w:rsidP="00A46F70">
            <w:pPr>
              <w:pStyle w:val="KeyText"/>
              <w:tabs>
                <w:tab w:val="clear" w:pos="346"/>
              </w:tabs>
              <w:ind w:left="0" w:firstLine="0"/>
            </w:pPr>
            <w:r w:rsidRPr="00A46F70">
              <w:rPr>
                <w:vertAlign w:val="superscript"/>
              </w:rPr>
              <w:t>a</w:t>
            </w:r>
          </w:p>
        </w:tc>
        <w:tc>
          <w:tcPr>
            <w:tcW w:w="0" w:type="auto"/>
            <w:shd w:val="clear" w:color="auto" w:fill="auto"/>
          </w:tcPr>
          <w:p w14:paraId="41C0D644" w14:textId="77777777" w:rsidR="00A46F70" w:rsidRPr="00A46F70" w:rsidRDefault="00A46F70" w:rsidP="00A46F70">
            <w:pPr>
              <w:pStyle w:val="KeyText"/>
              <w:tabs>
                <w:tab w:val="clear" w:pos="346"/>
              </w:tabs>
              <w:ind w:left="0" w:firstLine="0"/>
            </w:pPr>
            <w:r w:rsidRPr="00A46F70">
              <w:t>roughness by raking</w:t>
            </w:r>
          </w:p>
        </w:tc>
      </w:tr>
      <w:tr w:rsidR="00A46F70" w:rsidRPr="00A46F70" w14:paraId="7C943CB1" w14:textId="77777777" w:rsidTr="00A46F70">
        <w:tc>
          <w:tcPr>
            <w:tcW w:w="0" w:type="auto"/>
            <w:shd w:val="clear" w:color="auto" w:fill="auto"/>
          </w:tcPr>
          <w:p w14:paraId="064B4F35" w14:textId="77777777" w:rsidR="00A46F70" w:rsidRPr="00A46F70" w:rsidRDefault="00A46F70" w:rsidP="00A46F70">
            <w:pPr>
              <w:pStyle w:val="KeyText"/>
              <w:tabs>
                <w:tab w:val="clear" w:pos="346"/>
              </w:tabs>
              <w:ind w:left="0" w:firstLine="0"/>
            </w:pPr>
            <w:r w:rsidRPr="00A46F70">
              <w:rPr>
                <w:vertAlign w:val="superscript"/>
              </w:rPr>
              <w:t>b</w:t>
            </w:r>
          </w:p>
        </w:tc>
        <w:tc>
          <w:tcPr>
            <w:tcW w:w="0" w:type="auto"/>
            <w:shd w:val="clear" w:color="auto" w:fill="auto"/>
          </w:tcPr>
          <w:p w14:paraId="122A51E3" w14:textId="77777777" w:rsidR="00A46F70" w:rsidRPr="00A46F70" w:rsidRDefault="00A46F70" w:rsidP="00A46F70">
            <w:pPr>
              <w:pStyle w:val="KeyText"/>
              <w:tabs>
                <w:tab w:val="clear" w:pos="346"/>
              </w:tabs>
              <w:ind w:left="0" w:firstLine="0"/>
            </w:pPr>
            <w:r w:rsidRPr="00A46F70">
              <w:t>roughness by exposed aggregates</w:t>
            </w:r>
          </w:p>
        </w:tc>
      </w:tr>
      <w:tr w:rsidR="00A46F70" w:rsidRPr="001455DC" w14:paraId="56136C74" w14:textId="77777777" w:rsidTr="00A46F70">
        <w:tc>
          <w:tcPr>
            <w:tcW w:w="0" w:type="auto"/>
            <w:shd w:val="clear" w:color="auto" w:fill="auto"/>
          </w:tcPr>
          <w:p w14:paraId="5DE93A3A" w14:textId="77777777" w:rsidR="00A46F70" w:rsidRPr="00A46F70" w:rsidRDefault="00A46F70" w:rsidP="00A46F70">
            <w:pPr>
              <w:pStyle w:val="KeyText"/>
              <w:tabs>
                <w:tab w:val="clear" w:pos="346"/>
              </w:tabs>
              <w:ind w:left="0" w:firstLine="0"/>
            </w:pPr>
            <w:r w:rsidRPr="00A46F70">
              <w:rPr>
                <w:vertAlign w:val="superscript"/>
              </w:rPr>
              <w:t>c</w:t>
            </w:r>
          </w:p>
        </w:tc>
        <w:tc>
          <w:tcPr>
            <w:tcW w:w="0" w:type="auto"/>
            <w:shd w:val="clear" w:color="auto" w:fill="auto"/>
          </w:tcPr>
          <w:p w14:paraId="576B9A83" w14:textId="77777777" w:rsidR="00A46F70" w:rsidRPr="001455DC" w:rsidRDefault="00A46F70" w:rsidP="00A46F70">
            <w:pPr>
              <w:pStyle w:val="KeyText"/>
              <w:tabs>
                <w:tab w:val="clear" w:pos="346"/>
              </w:tabs>
              <w:ind w:left="0" w:firstLine="0"/>
              <w:rPr>
                <w:b/>
              </w:rPr>
            </w:pPr>
            <w:r w:rsidRPr="00A46F70">
              <w:t>anchorage</w:t>
            </w:r>
          </w:p>
        </w:tc>
      </w:tr>
    </w:tbl>
    <w:p w14:paraId="421B2023" w14:textId="42348850" w:rsidR="004E22C1" w:rsidRPr="001455DC" w:rsidRDefault="004E22C1" w:rsidP="00A46F70">
      <w:pPr>
        <w:pStyle w:val="KeyText"/>
        <w:rPr>
          <w:b/>
        </w:rPr>
      </w:pPr>
      <w:r w:rsidRPr="001455DC">
        <w:t>0,5 </w:t>
      </w:r>
      <w:r w:rsidR="00650035" w:rsidRPr="001455DC">
        <w:rPr>
          <w:rFonts w:ascii="Cambria Math" w:hAnsi="Cambria Math"/>
        </w:rPr>
        <w:t>≤</w:t>
      </w:r>
      <w:r w:rsidRPr="001455DC">
        <w:t> </w:t>
      </w:r>
      <w:r w:rsidRPr="001455DC">
        <w:rPr>
          <w:rStyle w:val="CCMCvariableitalic"/>
        </w:rPr>
        <w:t>h</w:t>
      </w:r>
      <w:r w:rsidRPr="001455DC">
        <w:rPr>
          <w:rStyle w:val="CCMCvariablesubscript"/>
        </w:rPr>
        <w:t>1</w:t>
      </w:r>
      <w:r w:rsidRPr="001455DC">
        <w:t>/</w:t>
      </w:r>
      <w:r w:rsidRPr="001455DC">
        <w:rPr>
          <w:rStyle w:val="CCMCvariableitalic"/>
        </w:rPr>
        <w:t>h</w:t>
      </w:r>
      <w:r w:rsidRPr="001455DC">
        <w:rPr>
          <w:rStyle w:val="CCMCvariablesubscript"/>
        </w:rPr>
        <w:t>2</w:t>
      </w:r>
      <w:r w:rsidRPr="001455DC">
        <w:t> </w:t>
      </w:r>
      <w:r w:rsidR="00650035" w:rsidRPr="001455DC">
        <w:rPr>
          <w:rFonts w:ascii="Cambria Math" w:hAnsi="Cambria Math"/>
        </w:rPr>
        <w:t>≤</w:t>
      </w:r>
      <w:r w:rsidRPr="001455DC">
        <w:t xml:space="preserve"> 2,0; Area of key: </w:t>
      </w:r>
      <w:r w:rsidRPr="001455DC">
        <w:rPr>
          <w:rStyle w:val="CCMCvariableitalic"/>
        </w:rPr>
        <w:t>A</w:t>
      </w:r>
      <w:r w:rsidRPr="001455DC">
        <w:rPr>
          <w:rStyle w:val="CCMCvariablesubscript"/>
        </w:rPr>
        <w:t>i</w:t>
      </w:r>
      <w:r w:rsidRPr="001455DC">
        <w:t> </w:t>
      </w:r>
      <w:r w:rsidR="00EC27D2" w:rsidRPr="001455DC">
        <w:rPr>
          <w:rFonts w:ascii="Cambria Math" w:hAnsi="Cambria Math"/>
        </w:rPr>
        <w:t>=</w:t>
      </w:r>
      <w:r w:rsidRPr="001455DC">
        <w:t> </w:t>
      </w:r>
      <w:r w:rsidRPr="001455DC">
        <w:rPr>
          <w:rStyle w:val="CCMCvariableitalic"/>
        </w:rPr>
        <w:t>b</w:t>
      </w:r>
      <w:r w:rsidRPr="001455DC">
        <w:rPr>
          <w:rStyle w:val="CCMCvariablesubscript"/>
        </w:rPr>
        <w:t>i,eff</w:t>
      </w:r>
      <w:r w:rsidRPr="001455DC">
        <w:t> </w:t>
      </w:r>
      <w:r w:rsidRPr="001455DC">
        <w:rPr>
          <w:rFonts w:ascii="Cambria Math" w:hAnsi="Cambria Math" w:cs="Cambria Math"/>
          <w:szCs w:val="22"/>
        </w:rPr>
        <w:t>⋅</w:t>
      </w:r>
      <w:r w:rsidRPr="001455DC">
        <w:t> </w:t>
      </w:r>
      <w:r w:rsidRPr="001455DC">
        <w:rPr>
          <w:rStyle w:val="CCMCvariableitalic"/>
        </w:rPr>
        <w:t>l</w:t>
      </w:r>
      <w:r w:rsidRPr="001455DC">
        <w:rPr>
          <w:rStyle w:val="CCMCvariablesubscript"/>
        </w:rPr>
        <w:t>i,eff</w:t>
      </w:r>
    </w:p>
    <w:p w14:paraId="6FBABF8A" w14:textId="77777777" w:rsidR="004E22C1" w:rsidRPr="001455DC" w:rsidRDefault="004E22C1" w:rsidP="00EC0EC0">
      <w:pPr>
        <w:pStyle w:val="Figuretitle"/>
      </w:pPr>
      <w:r w:rsidRPr="001455DC">
        <w:t>Figure 8.15 — Classification of interfaces and definition of interface reinforcement</w:t>
      </w:r>
    </w:p>
    <w:p w14:paraId="047890D7" w14:textId="2968674D" w:rsidR="00EC0EC0" w:rsidRPr="001455DC" w:rsidRDefault="004E22C1" w:rsidP="00EC0EC0">
      <w:pPr>
        <w:pStyle w:val="a7"/>
      </w:pPr>
      <w:r w:rsidRPr="001455DC">
        <w:t>(7)</w:t>
      </w:r>
      <w:r w:rsidRPr="001455DC">
        <w:tab/>
        <w:t xml:space="preserve">If yielding of the required reinforcement crossing the interface is not ensured, due to insufficient anchorage (e.g. toppings) the shear </w:t>
      </w:r>
      <w:r w:rsidR="00F55FA2" w:rsidRPr="001455DC">
        <w:t xml:space="preserve">stress </w:t>
      </w:r>
      <w:r w:rsidRPr="001455DC">
        <w:t>resistance is given by:</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EC0EC0" w:rsidRPr="001455DC" w14:paraId="34CEA747" w14:textId="77777777" w:rsidTr="00EC0EC0">
        <w:trPr>
          <w:cantSplit/>
        </w:trPr>
        <w:tc>
          <w:tcPr>
            <w:tcW w:w="8505" w:type="dxa"/>
            <w:vAlign w:val="center"/>
          </w:tcPr>
          <w:p w14:paraId="20594852" w14:textId="3C0BFD8F" w:rsidR="00EC0EC0" w:rsidRPr="001455DC" w:rsidRDefault="00702A82" w:rsidP="00EC0EC0">
            <w:pPr>
              <w:pStyle w:val="Formula"/>
              <w:jc w:val="left"/>
            </w:pPr>
            <w:r w:rsidRPr="001455DC">
              <w:rPr>
                <w:rStyle w:val="CCMCvariableitalic"/>
              </w:rPr>
              <w:t>τ</w:t>
            </w:r>
            <w:r w:rsidRPr="001455DC">
              <w:rPr>
                <w:rStyle w:val="CCMCvariablesubscript"/>
              </w:rPr>
              <w:t>Rdi</w:t>
            </w:r>
            <w:r w:rsidRPr="001455DC">
              <w:t> </w:t>
            </w:r>
            <w:r w:rsidR="00EC27D2" w:rsidRPr="001455DC">
              <w:rPr>
                <w:rFonts w:ascii="Cambria Math" w:hAnsi="Cambria Math"/>
              </w:rPr>
              <w:t>=</w:t>
            </w:r>
            <w:r w:rsidRPr="001455DC">
              <w:t> </w:t>
            </w:r>
            <w:r w:rsidRPr="001455DC">
              <w:rPr>
                <w:rStyle w:val="CCMCvariableitalic"/>
              </w:rPr>
              <w:t>c</w:t>
            </w:r>
            <w:r w:rsidRPr="001455DC">
              <w:rPr>
                <w:rStyle w:val="CCMCvariablesubscript"/>
              </w:rPr>
              <w:t>v2</w:t>
            </w:r>
            <w:r w:rsidRPr="001455DC">
              <w:rPr>
                <w:rFonts w:hint="eastAsia"/>
              </w:rPr>
              <w:t xml:space="preserve"> </w:t>
            </w:r>
            <w:r w:rsidRPr="001455DC">
              <w:rPr>
                <w:rFonts w:hint="eastAsia"/>
              </w:rPr>
              <w:t>√</w:t>
            </w:r>
            <w:r w:rsidRPr="001455DC">
              <w:rPr>
                <w:rFonts w:hint="eastAsia"/>
              </w:rPr>
              <w:t>(</w:t>
            </w:r>
            <w:r w:rsidRPr="001455DC">
              <w:rPr>
                <w:rStyle w:val="CCMCvariableitalic"/>
              </w:rPr>
              <w:t>f</w:t>
            </w:r>
            <w:r w:rsidRPr="001455DC">
              <w:rPr>
                <w:rStyle w:val="CCMCvariablesubscript"/>
              </w:rPr>
              <w:t>ck</w:t>
            </w:r>
            <w:r w:rsidRPr="001455DC">
              <w:t>)/</w:t>
            </w:r>
            <w:r w:rsidRPr="001455DC">
              <w:rPr>
                <w:rStyle w:val="CCMCvariableitalic"/>
              </w:rPr>
              <w:t>γ</w:t>
            </w:r>
            <w:r w:rsidRPr="001455DC">
              <w:rPr>
                <w:rStyle w:val="CCMCvariablesubscript"/>
              </w:rPr>
              <w:t>C</w:t>
            </w:r>
            <w:r w:rsidR="00EC27D2" w:rsidRPr="001455DC">
              <w:rPr>
                <w:rFonts w:ascii="Cambria Math" w:hAnsi="Cambria Math"/>
              </w:rPr>
              <w:t> + </w:t>
            </w:r>
            <w:r w:rsidRPr="001455DC">
              <w:rPr>
                <w:rStyle w:val="CCMCvariableitalic"/>
              </w:rPr>
              <w:t>μ</w:t>
            </w:r>
            <w:r w:rsidRPr="001455DC">
              <w:rPr>
                <w:rStyle w:val="CCMCvariablesubscript"/>
              </w:rPr>
              <w:t>v</w:t>
            </w:r>
            <w:r w:rsidRPr="001455DC">
              <w:t xml:space="preserve"> </w:t>
            </w:r>
            <w:r w:rsidRPr="001455DC">
              <w:rPr>
                <w:rStyle w:val="CCMCvariableitalic"/>
              </w:rPr>
              <w:t>σ</w:t>
            </w:r>
            <w:r w:rsidRPr="001455DC">
              <w:rPr>
                <w:rStyle w:val="CCMCvariablesubscript"/>
              </w:rPr>
              <w:t>n</w:t>
            </w:r>
            <w:r w:rsidR="00EC27D2" w:rsidRPr="001455DC">
              <w:rPr>
                <w:rFonts w:ascii="Cambria Math" w:hAnsi="Cambria Math"/>
              </w:rPr>
              <w:t> + </w:t>
            </w:r>
            <w:r w:rsidRPr="001455DC">
              <w:rPr>
                <w:rStyle w:val="CCMCvariableitalic"/>
              </w:rPr>
              <w:t>k</w:t>
            </w:r>
            <w:r w:rsidRPr="001455DC">
              <w:rPr>
                <w:rStyle w:val="CCMCvariablesubscript"/>
              </w:rPr>
              <w:t>v</w:t>
            </w:r>
            <w:r w:rsidRPr="001455DC">
              <w:t xml:space="preserve"> </w:t>
            </w:r>
            <w:r w:rsidRPr="001455DC">
              <w:rPr>
                <w:rStyle w:val="CCMCvariableitalic"/>
              </w:rPr>
              <w:t>ρ</w:t>
            </w:r>
            <w:r w:rsidRPr="001455DC">
              <w:rPr>
                <w:rStyle w:val="CCMCvariablesubscript"/>
              </w:rPr>
              <w:t>i</w:t>
            </w:r>
            <w:r w:rsidRPr="001455DC">
              <w:t xml:space="preserve"> </w:t>
            </w:r>
            <w:r w:rsidRPr="001455DC">
              <w:rPr>
                <w:rStyle w:val="CCMCvariableitalic"/>
              </w:rPr>
              <w:t>f</w:t>
            </w:r>
            <w:r w:rsidRPr="001455DC">
              <w:rPr>
                <w:rStyle w:val="CCMCvariablesubscript"/>
              </w:rPr>
              <w:t>yd</w:t>
            </w:r>
            <w:r w:rsidRPr="001455DC">
              <w:t xml:space="preserve"> </w:t>
            </w:r>
            <w:r w:rsidRPr="001455DC">
              <w:rPr>
                <w:rStyle w:val="CCMCvariableitalic"/>
              </w:rPr>
              <w:t>μ</w:t>
            </w:r>
            <w:r w:rsidRPr="001455DC">
              <w:rPr>
                <w:rStyle w:val="CCMCvariablesubscript"/>
              </w:rPr>
              <w:t>v</w:t>
            </w:r>
            <w:r w:rsidR="00EC27D2" w:rsidRPr="001455DC">
              <w:rPr>
                <w:rFonts w:ascii="Cambria Math" w:hAnsi="Cambria Math"/>
              </w:rPr>
              <w:t> + </w:t>
            </w:r>
            <w:r w:rsidRPr="001455DC">
              <w:rPr>
                <w:rStyle w:val="CCMCvariableitalic"/>
              </w:rPr>
              <w:t>k</w:t>
            </w:r>
            <w:r w:rsidRPr="001455DC">
              <w:rPr>
                <w:rStyle w:val="CCMCvariablesubscript"/>
              </w:rPr>
              <w:t>dowel</w:t>
            </w:r>
            <w:r w:rsidRPr="001455DC">
              <w:t xml:space="preserve"> </w:t>
            </w:r>
            <w:r w:rsidRPr="001455DC">
              <w:rPr>
                <w:rStyle w:val="CCMCvariableitalic"/>
              </w:rPr>
              <w:t>ρ</w:t>
            </w:r>
            <w:r w:rsidRPr="001455DC">
              <w:rPr>
                <w:rStyle w:val="CCMCvariablesubscript"/>
              </w:rPr>
              <w:t>i</w:t>
            </w:r>
            <w:r w:rsidRPr="001455DC">
              <w:rPr>
                <w:rFonts w:hint="eastAsia"/>
              </w:rPr>
              <w:t xml:space="preserve"> </w:t>
            </w:r>
            <w:r w:rsidRPr="001455DC">
              <w:rPr>
                <w:rFonts w:hint="eastAsia"/>
              </w:rPr>
              <w:t>√</w:t>
            </w:r>
            <w:r w:rsidRPr="001455DC">
              <w:rPr>
                <w:rFonts w:hint="eastAsia"/>
              </w:rPr>
              <w:t>(</w:t>
            </w:r>
            <w:r w:rsidRPr="001455DC">
              <w:rPr>
                <w:rStyle w:val="CCMCvariableitalic"/>
              </w:rPr>
              <w:t>f</w:t>
            </w:r>
            <w:r w:rsidRPr="001455DC">
              <w:rPr>
                <w:rStyle w:val="CCMCvariablesubscript"/>
              </w:rPr>
              <w:t>yd</w:t>
            </w:r>
            <w:r w:rsidRPr="001455DC">
              <w:t xml:space="preserve"> </w:t>
            </w:r>
            <w:r w:rsidRPr="001455DC">
              <w:rPr>
                <w:rStyle w:val="CCMCvariableitalic"/>
              </w:rPr>
              <w:t>f</w:t>
            </w:r>
            <w:r w:rsidRPr="001455DC">
              <w:rPr>
                <w:rStyle w:val="CCMCvariablesubscript"/>
              </w:rPr>
              <w:t>cd</w:t>
            </w:r>
            <w:r w:rsidRPr="001455DC">
              <w:t>) </w:t>
            </w:r>
            <w:r w:rsidR="00650035" w:rsidRPr="001455DC">
              <w:rPr>
                <w:rFonts w:ascii="Cambria Math" w:hAnsi="Cambria Math"/>
              </w:rPr>
              <w:t>≤</w:t>
            </w:r>
            <w:r w:rsidRPr="001455DC">
              <w:t> 0,25</w:t>
            </w:r>
            <w:r w:rsidRPr="001455DC">
              <w:rPr>
                <w:rStyle w:val="CCMCvariableitalic"/>
              </w:rPr>
              <w:t>f</w:t>
            </w:r>
            <w:r w:rsidRPr="001455DC">
              <w:rPr>
                <w:rStyle w:val="CCMCvariablesubscript"/>
              </w:rPr>
              <w:t>cd</w:t>
            </w:r>
          </w:p>
        </w:tc>
        <w:tc>
          <w:tcPr>
            <w:tcW w:w="1247" w:type="dxa"/>
            <w:vAlign w:val="center"/>
          </w:tcPr>
          <w:p w14:paraId="1C383ED1" w14:textId="07FE791C" w:rsidR="00EC0EC0" w:rsidRPr="001455DC" w:rsidRDefault="00702A82">
            <w:pPr>
              <w:pStyle w:val="a7"/>
              <w:jc w:val="right"/>
            </w:pPr>
            <w:r w:rsidRPr="001455DC">
              <w:t>(8.</w:t>
            </w:r>
            <w:r w:rsidR="00F55FA2" w:rsidRPr="001455DC">
              <w:t>61</w:t>
            </w:r>
            <w:r w:rsidRPr="001455DC">
              <w:t>)</w:t>
            </w:r>
          </w:p>
        </w:tc>
      </w:tr>
    </w:tbl>
    <w:p w14:paraId="41495F25" w14:textId="77777777" w:rsidR="00702A82" w:rsidRPr="001455DC" w:rsidRDefault="00702A82" w:rsidP="00A35599">
      <w:pPr>
        <w:pStyle w:val="a7"/>
        <w:keepNext/>
      </w:pPr>
      <w:r w:rsidRPr="001455DC">
        <w:t>where</w:t>
      </w:r>
    </w:p>
    <w:tbl>
      <w:tblPr>
        <w:tblW w:w="9413" w:type="dxa"/>
        <w:tblInd w:w="397" w:type="dxa"/>
        <w:tblLayout w:type="fixed"/>
        <w:tblCellMar>
          <w:left w:w="28" w:type="dxa"/>
          <w:right w:w="28" w:type="dxa"/>
        </w:tblCellMar>
        <w:tblLook w:val="04A0" w:firstRow="1" w:lastRow="0" w:firstColumn="1" w:lastColumn="0" w:noHBand="0" w:noVBand="1"/>
      </w:tblPr>
      <w:tblGrid>
        <w:gridCol w:w="1418"/>
        <w:gridCol w:w="7995"/>
      </w:tblGrid>
      <w:tr w:rsidR="00702A82" w:rsidRPr="001455DC" w14:paraId="47144AE2" w14:textId="77777777" w:rsidTr="00702A82">
        <w:trPr>
          <w:cantSplit/>
        </w:trPr>
        <w:tc>
          <w:tcPr>
            <w:tcW w:w="1418" w:type="dxa"/>
          </w:tcPr>
          <w:p w14:paraId="36D3F7B7" w14:textId="6ADAA412" w:rsidR="00702A82" w:rsidRPr="001455DC" w:rsidRDefault="00702A82" w:rsidP="00702A82">
            <w:pPr>
              <w:pStyle w:val="Tablebody"/>
            </w:pPr>
            <w:r w:rsidRPr="001455DC">
              <w:rPr>
                <w:rStyle w:val="CCMCvariableitalic"/>
              </w:rPr>
              <w:t>c</w:t>
            </w:r>
            <w:r w:rsidRPr="001455DC">
              <w:rPr>
                <w:rStyle w:val="CCMCvariablesubscript"/>
              </w:rPr>
              <w:t>v2</w:t>
            </w:r>
            <w:r w:rsidRPr="001455DC">
              <w:t xml:space="preserve">, </w:t>
            </w:r>
            <w:r w:rsidRPr="001455DC">
              <w:rPr>
                <w:rStyle w:val="CCMCvariableitalic"/>
              </w:rPr>
              <w:t>k</w:t>
            </w:r>
            <w:r w:rsidRPr="001455DC">
              <w:rPr>
                <w:rStyle w:val="CCMCvariablesubscript"/>
              </w:rPr>
              <w:t>v</w:t>
            </w:r>
            <w:r w:rsidRPr="001455DC">
              <w:t xml:space="preserve">, </w:t>
            </w:r>
            <w:r w:rsidRPr="001455DC">
              <w:rPr>
                <w:rStyle w:val="CCMCvariableitalic"/>
              </w:rPr>
              <w:t>k</w:t>
            </w:r>
            <w:r w:rsidRPr="001455DC">
              <w:rPr>
                <w:rStyle w:val="CCMCvariablesubscript"/>
              </w:rPr>
              <w:t>dowel</w:t>
            </w:r>
          </w:p>
        </w:tc>
        <w:tc>
          <w:tcPr>
            <w:tcW w:w="7995" w:type="dxa"/>
          </w:tcPr>
          <w:p w14:paraId="7CD3092F" w14:textId="2FE826AF" w:rsidR="00702A82" w:rsidRPr="001455DC" w:rsidRDefault="00702A82" w:rsidP="00702A82">
            <w:pPr>
              <w:pStyle w:val="Tablebody"/>
            </w:pPr>
            <w:r w:rsidRPr="001455DC">
              <w:t>are factors which depend on the roughness of the interface (see Table 8.1 and (6));</w:t>
            </w:r>
          </w:p>
        </w:tc>
      </w:tr>
      <w:tr w:rsidR="00702A82" w:rsidRPr="001455DC" w14:paraId="179F206E" w14:textId="77777777" w:rsidTr="00702A82">
        <w:trPr>
          <w:cantSplit/>
        </w:trPr>
        <w:tc>
          <w:tcPr>
            <w:tcW w:w="1418" w:type="dxa"/>
          </w:tcPr>
          <w:p w14:paraId="70898ED9" w14:textId="6E37CF1F" w:rsidR="00702A82" w:rsidRPr="001455DC" w:rsidRDefault="00702A82" w:rsidP="00702A82">
            <w:pPr>
              <w:pStyle w:val="Tablebody"/>
            </w:pPr>
            <w:r w:rsidRPr="001455DC">
              <w:rPr>
                <w:rStyle w:val="CCMCvariableitalic"/>
              </w:rPr>
              <w:t>μ</w:t>
            </w:r>
            <w:r w:rsidRPr="001455DC">
              <w:rPr>
                <w:rStyle w:val="CCMCvariablesubscript"/>
              </w:rPr>
              <w:t>v</w:t>
            </w:r>
            <w:r w:rsidRPr="001455DC">
              <w:rPr>
                <w:rStyle w:val="CCMCvariableitalic"/>
              </w:rPr>
              <w:t>,</w:t>
            </w:r>
            <w:r w:rsidRPr="001455DC">
              <w:t xml:space="preserve"> </w:t>
            </w:r>
            <w:r w:rsidRPr="001455DC">
              <w:rPr>
                <w:rStyle w:val="CCMCvariableitalic"/>
              </w:rPr>
              <w:t>σ</w:t>
            </w:r>
            <w:r w:rsidRPr="001455DC">
              <w:rPr>
                <w:rStyle w:val="CCMCvariablesubscript"/>
              </w:rPr>
              <w:t>n</w:t>
            </w:r>
            <w:r w:rsidRPr="001455DC">
              <w:t xml:space="preserve"> </w:t>
            </w:r>
            <w:r w:rsidRPr="001455DC">
              <w:rPr>
                <w:rStyle w:val="CCMCvariableitalic"/>
              </w:rPr>
              <w:t>ν</w:t>
            </w:r>
          </w:p>
        </w:tc>
        <w:tc>
          <w:tcPr>
            <w:tcW w:w="7995" w:type="dxa"/>
          </w:tcPr>
          <w:p w14:paraId="683A175C" w14:textId="4C0CCF36" w:rsidR="00702A82" w:rsidRPr="001455DC" w:rsidRDefault="00702A82" w:rsidP="00702A82">
            <w:pPr>
              <w:pStyle w:val="Tablebody"/>
            </w:pPr>
            <w:r w:rsidRPr="001455DC">
              <w:t>as defined in (6).</w:t>
            </w:r>
          </w:p>
        </w:tc>
      </w:tr>
    </w:tbl>
    <w:p w14:paraId="3E6CAF9A" w14:textId="4878CA3D" w:rsidR="004E22C1" w:rsidRPr="001455DC" w:rsidRDefault="004E22C1" w:rsidP="00EC0EC0">
      <w:pPr>
        <w:pStyle w:val="a7"/>
      </w:pPr>
      <w:r w:rsidRPr="001455DC">
        <w:t>If the distance of an intersecting reinforcing bar to an edge in the direction of the acting shear force is less than 10</w:t>
      </w:r>
      <w:r w:rsidRPr="001455DC">
        <w:rPr>
          <w:rStyle w:val="CCMCvariableitalic"/>
        </w:rPr>
        <w:t>ϕ</w:t>
      </w:r>
      <w:r w:rsidRPr="001455DC">
        <w:t>, the coefficient for dowel action of reinforcement (last term in Formula (8.</w:t>
      </w:r>
      <w:r w:rsidR="00F55FA2" w:rsidRPr="001455DC">
        <w:t>61</w:t>
      </w:r>
      <w:r w:rsidRPr="001455DC">
        <w:t xml:space="preserve">)) should be taken as </w:t>
      </w:r>
      <w:r w:rsidRPr="001455DC">
        <w:rPr>
          <w:rStyle w:val="CCMCvariableitalic"/>
        </w:rPr>
        <w:t>k</w:t>
      </w:r>
      <w:r w:rsidRPr="001455DC">
        <w:rPr>
          <w:rStyle w:val="CCMCvariablesubscript"/>
        </w:rPr>
        <w:t>dowel</w:t>
      </w:r>
      <w:r w:rsidRPr="001455DC">
        <w:t> </w:t>
      </w:r>
      <w:r w:rsidR="00EC27D2" w:rsidRPr="001455DC">
        <w:rPr>
          <w:rFonts w:ascii="Cambria Math" w:hAnsi="Cambria Math"/>
        </w:rPr>
        <w:t>=</w:t>
      </w:r>
      <w:r w:rsidRPr="001455DC">
        <w:t> 0. The interface reinforcement should be anchored for a stress of at least 0,5</w:t>
      </w:r>
      <w:r w:rsidRPr="001455DC">
        <w:rPr>
          <w:rStyle w:val="CCMCvariableitalic"/>
        </w:rPr>
        <w:t>f</w:t>
      </w:r>
      <w:r w:rsidRPr="001455DC">
        <w:rPr>
          <w:rStyle w:val="CCMCvariablesubscript"/>
        </w:rPr>
        <w:t>yd</w:t>
      </w:r>
      <w:r w:rsidRPr="001455DC">
        <w:t xml:space="preserve"> with a minimum length of embedment of 8</w:t>
      </w:r>
      <w:r w:rsidRPr="001455DC">
        <w:rPr>
          <w:rStyle w:val="CCMCvariableitalic"/>
        </w:rPr>
        <w:t>ϕ</w:t>
      </w:r>
      <w:r w:rsidRPr="001455DC">
        <w:t xml:space="preserve"> if no other methods of anchorage than by straight bars are applied.</w:t>
      </w:r>
    </w:p>
    <w:p w14:paraId="6A998281" w14:textId="77777777" w:rsidR="004E22C1" w:rsidRPr="001455DC" w:rsidRDefault="004E22C1" w:rsidP="00EC0EC0">
      <w:pPr>
        <w:pStyle w:val="a7"/>
      </w:pPr>
      <w:r w:rsidRPr="001455DC">
        <w:t xml:space="preserve">In the case of horizontal shear transfer in slab members with cast-in-place toppings and rough or very rough interfaces, the coefficient </w:t>
      </w:r>
      <w:r w:rsidRPr="001455DC">
        <w:rPr>
          <w:rStyle w:val="CCMCvariableitalic"/>
        </w:rPr>
        <w:t>c</w:t>
      </w:r>
      <w:r w:rsidRPr="001455DC">
        <w:rPr>
          <w:rStyle w:val="CCMCvariablesubscript"/>
        </w:rPr>
        <w:t>v2</w:t>
      </w:r>
      <w:r w:rsidRPr="001455DC">
        <w:t xml:space="preserve"> may be increased by a factor of 1,2 for determining the design value </w:t>
      </w:r>
      <w:r w:rsidRPr="001455DC">
        <w:rPr>
          <w:rStyle w:val="CCMCvariableitalic"/>
        </w:rPr>
        <w:t>τ</w:t>
      </w:r>
      <w:r w:rsidRPr="001455DC">
        <w:rPr>
          <w:rStyle w:val="CCMCvariablesubscript"/>
        </w:rPr>
        <w:t>Rdi</w:t>
      </w:r>
      <w:r w:rsidRPr="001455DC">
        <w:t xml:space="preserve"> of the interface shear resistance.</w:t>
      </w:r>
    </w:p>
    <w:p w14:paraId="1E308DB8" w14:textId="5CF3604C" w:rsidR="004E22C1" w:rsidRPr="001455DC" w:rsidRDefault="004E22C1" w:rsidP="00EC0EC0">
      <w:pPr>
        <w:pStyle w:val="a7"/>
        <w:rPr>
          <w:lang w:eastAsia="de-CH"/>
        </w:rPr>
      </w:pPr>
      <w:r w:rsidRPr="001455DC">
        <w:t>(8)</w:t>
      </w:r>
      <w:r w:rsidRPr="001455DC">
        <w:tab/>
        <w:t>The longitudinal shear resistance of grouted joints between (precast) slab or wall elements may be calculated from Formula (8.</w:t>
      </w:r>
      <w:r w:rsidR="00F55FA2" w:rsidRPr="001455DC">
        <w:t>60</w:t>
      </w:r>
      <w:r w:rsidRPr="001455DC">
        <w:t xml:space="preserve">). However, in cases where the joint can be significantly cracked, for very smooth, smooth and rough interfaces, </w:t>
      </w:r>
      <w:r w:rsidRPr="001455DC">
        <w:rPr>
          <w:rStyle w:val="CCMCvariableitalic"/>
        </w:rPr>
        <w:t>c</w:t>
      </w:r>
      <w:r w:rsidRPr="001455DC">
        <w:rPr>
          <w:rStyle w:val="CCMCvariablesubscript"/>
        </w:rPr>
        <w:t>v1</w:t>
      </w:r>
      <w:r w:rsidRPr="001455DC">
        <w:t xml:space="preserve"> should be taken as zero, for very rough interfaces </w:t>
      </w:r>
      <w:r w:rsidRPr="001455DC">
        <w:rPr>
          <w:rStyle w:val="CCMCvariableitalic"/>
        </w:rPr>
        <w:t>c</w:t>
      </w:r>
      <w:r w:rsidRPr="001455DC">
        <w:rPr>
          <w:rStyle w:val="CCMCvariablesubscript"/>
        </w:rPr>
        <w:t>v1</w:t>
      </w:r>
      <w:r w:rsidRPr="001455DC">
        <w:t> </w:t>
      </w:r>
      <w:r w:rsidR="00EC27D2" w:rsidRPr="001455DC">
        <w:rPr>
          <w:rFonts w:ascii="Cambria Math" w:hAnsi="Cambria Math"/>
        </w:rPr>
        <w:t>=</w:t>
      </w:r>
      <w:r w:rsidRPr="001455DC">
        <w:t xml:space="preserve"> 0,19 and for keyed joints </w:t>
      </w:r>
      <w:r w:rsidRPr="001455DC">
        <w:rPr>
          <w:rStyle w:val="CCMCvariableitalic"/>
        </w:rPr>
        <w:t>c</w:t>
      </w:r>
      <w:r w:rsidRPr="001455DC">
        <w:rPr>
          <w:rStyle w:val="CCMCvariablesubscript"/>
        </w:rPr>
        <w:t>v1</w:t>
      </w:r>
      <w:r w:rsidRPr="001455DC">
        <w:t> </w:t>
      </w:r>
      <w:r w:rsidR="00EC27D2" w:rsidRPr="001455DC">
        <w:rPr>
          <w:rFonts w:ascii="Cambria Math" w:hAnsi="Cambria Math"/>
        </w:rPr>
        <w:t>=</w:t>
      </w:r>
      <w:r w:rsidRPr="001455DC">
        <w:t> 0,37 according to Table 8.1 (see also 10.7 in case of fatigue).</w:t>
      </w:r>
    </w:p>
    <w:p w14:paraId="47B9932D" w14:textId="6B77257C" w:rsidR="004E22C1" w:rsidRPr="001455DC" w:rsidRDefault="004E22C1" w:rsidP="008D37B2">
      <w:pPr>
        <w:pStyle w:val="a7"/>
        <w:keepNext/>
      </w:pPr>
      <w:r w:rsidRPr="001455DC">
        <w:rPr>
          <w:lang w:eastAsia="de-CH"/>
        </w:rPr>
        <w:t>(9)</w:t>
      </w:r>
      <w:r w:rsidRPr="001455DC">
        <w:rPr>
          <w:lang w:eastAsia="de-CH"/>
        </w:rPr>
        <w:tab/>
      </w:r>
      <w:r w:rsidRPr="001455DC">
        <w:t>If interface reinforcement in composite slabs is required, the spacing between the reinforcing bars crossing the interface shall not exceed the following:</w:t>
      </w:r>
    </w:p>
    <w:p w14:paraId="354FFC31" w14:textId="508F1937" w:rsidR="004E22C1" w:rsidRPr="001455DC" w:rsidRDefault="004E22C1" w:rsidP="00702A82">
      <w:pPr>
        <w:pStyle w:val="a0"/>
      </w:pPr>
      <w:r w:rsidRPr="001455DC">
        <w:t>shear transfer direction: 2,5</w:t>
      </w:r>
      <w:r w:rsidRPr="001455DC">
        <w:rPr>
          <w:rStyle w:val="CCMCvariableitalic"/>
        </w:rPr>
        <w:t>h</w:t>
      </w:r>
      <w:r w:rsidRPr="001455DC">
        <w:t> </w:t>
      </w:r>
      <w:r w:rsidR="00650035" w:rsidRPr="001455DC">
        <w:rPr>
          <w:rFonts w:ascii="Cambria Math" w:hAnsi="Cambria Math"/>
        </w:rPr>
        <w:t>≤</w:t>
      </w:r>
      <w:r w:rsidRPr="001455DC">
        <w:t xml:space="preserve"> 300 mm, where </w:t>
      </w:r>
      <w:r w:rsidRPr="001455DC">
        <w:rPr>
          <w:rStyle w:val="CCMCvariableitalic"/>
        </w:rPr>
        <w:t>h</w:t>
      </w:r>
      <w:r w:rsidRPr="001455DC">
        <w:t xml:space="preserve"> is the depth of the slab,</w:t>
      </w:r>
    </w:p>
    <w:p w14:paraId="588AAB48" w14:textId="0C966F01" w:rsidR="004E22C1" w:rsidRPr="001455DC" w:rsidRDefault="004E22C1" w:rsidP="00702A82">
      <w:pPr>
        <w:pStyle w:val="a0"/>
      </w:pPr>
      <w:r w:rsidRPr="001455DC">
        <w:t>perpendicular to shear transfer direction: 5</w:t>
      </w:r>
      <w:r w:rsidRPr="001455DC">
        <w:rPr>
          <w:rStyle w:val="CCMCvariableitalic"/>
        </w:rPr>
        <w:t>h</w:t>
      </w:r>
      <w:r w:rsidRPr="001455DC">
        <w:t> </w:t>
      </w:r>
      <w:r w:rsidR="00650035" w:rsidRPr="001455DC">
        <w:rPr>
          <w:rFonts w:ascii="Cambria Math" w:hAnsi="Cambria Math"/>
        </w:rPr>
        <w:t>≤</w:t>
      </w:r>
      <w:r w:rsidRPr="001455DC">
        <w:t> 750 mm (</w:t>
      </w:r>
      <w:r w:rsidR="00650035" w:rsidRPr="001455DC">
        <w:rPr>
          <w:rFonts w:ascii="Cambria Math" w:hAnsi="Cambria Math"/>
        </w:rPr>
        <w:t>≤</w:t>
      </w:r>
      <w:r w:rsidRPr="001455DC">
        <w:t xml:space="preserve"> 375 mm to the edge).</w:t>
      </w:r>
    </w:p>
    <w:p w14:paraId="0B0FB5F3" w14:textId="77777777" w:rsidR="00EC0EC0" w:rsidRPr="001455DC" w:rsidRDefault="004E22C1" w:rsidP="008D37B2">
      <w:pPr>
        <w:pStyle w:val="a7"/>
        <w:keepNext/>
      </w:pPr>
      <w:r w:rsidRPr="001455DC">
        <w:t>Along edges of composite slabs where delamination of the topping cannot be prevented by permanent loads (e.g. from walls), the minimum interface reinforcement per unit length along the edge should be calculated by:</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EC0EC0" w:rsidRPr="001455DC" w14:paraId="7098C218" w14:textId="77777777" w:rsidTr="00EC0EC0">
        <w:trPr>
          <w:cantSplit/>
        </w:trPr>
        <w:tc>
          <w:tcPr>
            <w:tcW w:w="8505" w:type="dxa"/>
            <w:vAlign w:val="center"/>
          </w:tcPr>
          <w:p w14:paraId="74C3E113" w14:textId="24A86725" w:rsidR="00EC0EC0" w:rsidRPr="001455DC" w:rsidRDefault="00702A82" w:rsidP="00EC0EC0">
            <w:pPr>
              <w:pStyle w:val="Formula"/>
              <w:jc w:val="left"/>
            </w:pPr>
            <w:r w:rsidRPr="001455DC">
              <w:rPr>
                <w:rStyle w:val="CCMCvariableitalic"/>
              </w:rPr>
              <w:t>a</w:t>
            </w:r>
            <w:r w:rsidRPr="001455DC">
              <w:rPr>
                <w:rStyle w:val="CCMCvariablesubscript"/>
              </w:rPr>
              <w:t>s,min</w:t>
            </w:r>
            <w:r w:rsidRPr="001455DC">
              <w:t> </w:t>
            </w:r>
            <w:r w:rsidR="00EC27D2" w:rsidRPr="001455DC">
              <w:rPr>
                <w:rFonts w:ascii="Cambria Math" w:hAnsi="Cambria Math"/>
              </w:rPr>
              <w:t>=</w:t>
            </w:r>
            <w:r w:rsidRPr="001455DC">
              <w:t> </w:t>
            </w:r>
            <w:r w:rsidRPr="001455DC">
              <w:rPr>
                <w:rStyle w:val="CCMCvariableitalic"/>
              </w:rPr>
              <w:t>t</w:t>
            </w:r>
            <w:r w:rsidRPr="001455DC">
              <w:rPr>
                <w:rStyle w:val="CCMCvariablesubscript"/>
              </w:rPr>
              <w:t>min</w:t>
            </w:r>
            <w:r w:rsidRPr="001455DC">
              <w:t xml:space="preserve"> </w:t>
            </w:r>
            <w:r w:rsidRPr="001455DC">
              <w:rPr>
                <w:rStyle w:val="CCMCvariableitalic"/>
              </w:rPr>
              <w:t>f</w:t>
            </w:r>
            <w:r w:rsidRPr="001455DC">
              <w:rPr>
                <w:rStyle w:val="CCMCvariablesubscript"/>
              </w:rPr>
              <w:t>ctm</w:t>
            </w:r>
            <w:r w:rsidRPr="001455DC">
              <w:t>/</w:t>
            </w:r>
            <w:r w:rsidRPr="001455DC">
              <w:rPr>
                <w:rStyle w:val="CCMCvariableitalic"/>
              </w:rPr>
              <w:t>f</w:t>
            </w:r>
            <w:r w:rsidRPr="001455DC">
              <w:rPr>
                <w:rStyle w:val="CCMCvariablesubscript"/>
              </w:rPr>
              <w:t>yk</w:t>
            </w:r>
          </w:p>
        </w:tc>
        <w:tc>
          <w:tcPr>
            <w:tcW w:w="1247" w:type="dxa"/>
            <w:vAlign w:val="center"/>
          </w:tcPr>
          <w:p w14:paraId="199E7FC7" w14:textId="7FC23127" w:rsidR="00EC0EC0" w:rsidRPr="001455DC" w:rsidRDefault="00702A82">
            <w:pPr>
              <w:pStyle w:val="a7"/>
              <w:jc w:val="right"/>
            </w:pPr>
            <w:r w:rsidRPr="001455DC">
              <w:t>(8.</w:t>
            </w:r>
            <w:r w:rsidR="00ED372C" w:rsidRPr="001455DC">
              <w:t>62</w:t>
            </w:r>
            <w:r w:rsidRPr="001455DC">
              <w:t>)</w:t>
            </w:r>
          </w:p>
        </w:tc>
      </w:tr>
    </w:tbl>
    <w:p w14:paraId="606FEABF" w14:textId="77777777" w:rsidR="00702A82" w:rsidRPr="001455DC" w:rsidRDefault="00702A82"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702A82" w:rsidRPr="001455DC" w14:paraId="33F4A081" w14:textId="77777777" w:rsidTr="00702A82">
        <w:trPr>
          <w:cantSplit/>
        </w:trPr>
        <w:tc>
          <w:tcPr>
            <w:tcW w:w="567" w:type="dxa"/>
          </w:tcPr>
          <w:p w14:paraId="408D91C8" w14:textId="36FFD7CF" w:rsidR="00702A82" w:rsidRPr="001455DC" w:rsidRDefault="00702A82" w:rsidP="00A35599">
            <w:pPr>
              <w:pStyle w:val="Tablebody"/>
              <w:keepNext/>
            </w:pPr>
            <w:r w:rsidRPr="001455DC">
              <w:rPr>
                <w:rStyle w:val="CCMCvariableitalic"/>
              </w:rPr>
              <w:t>t</w:t>
            </w:r>
            <w:r w:rsidRPr="001455DC">
              <w:rPr>
                <w:rStyle w:val="CCMCvariablesubscript"/>
              </w:rPr>
              <w:t>min</w:t>
            </w:r>
          </w:p>
        </w:tc>
        <w:tc>
          <w:tcPr>
            <w:tcW w:w="8845" w:type="dxa"/>
          </w:tcPr>
          <w:p w14:paraId="121E6AD1" w14:textId="0892C06D" w:rsidR="00702A82" w:rsidRPr="001455DC" w:rsidRDefault="00702A82" w:rsidP="00702A82">
            <w:pPr>
              <w:pStyle w:val="Tablebody"/>
            </w:pPr>
            <w:r w:rsidRPr="001455DC">
              <w:t>smaller value of the thickness of new and old concrete layer;</w:t>
            </w:r>
          </w:p>
        </w:tc>
      </w:tr>
      <w:tr w:rsidR="00702A82" w:rsidRPr="001455DC" w14:paraId="227E4C8A" w14:textId="77777777" w:rsidTr="00702A82">
        <w:trPr>
          <w:cantSplit/>
        </w:trPr>
        <w:tc>
          <w:tcPr>
            <w:tcW w:w="567" w:type="dxa"/>
          </w:tcPr>
          <w:p w14:paraId="4ABE40C4" w14:textId="7A2F3030" w:rsidR="00702A82" w:rsidRPr="001455DC" w:rsidRDefault="00702A82" w:rsidP="00702A82">
            <w:pPr>
              <w:pStyle w:val="Tablebody"/>
            </w:pPr>
            <w:r w:rsidRPr="001455DC">
              <w:rPr>
                <w:rStyle w:val="CCMCvariableitalic"/>
              </w:rPr>
              <w:t>f</w:t>
            </w:r>
            <w:r w:rsidRPr="001455DC">
              <w:rPr>
                <w:rStyle w:val="CCMCvariablesubscript"/>
              </w:rPr>
              <w:t>ctm</w:t>
            </w:r>
          </w:p>
        </w:tc>
        <w:tc>
          <w:tcPr>
            <w:tcW w:w="8845" w:type="dxa"/>
          </w:tcPr>
          <w:p w14:paraId="7FC7791D" w14:textId="2E877753" w:rsidR="00702A82" w:rsidRPr="001455DC" w:rsidRDefault="00702A82" w:rsidP="00702A82">
            <w:pPr>
              <w:pStyle w:val="Tablebody"/>
            </w:pPr>
            <w:r w:rsidRPr="001455DC">
              <w:t>tensile strength of respective concrete layer.</w:t>
            </w:r>
          </w:p>
        </w:tc>
      </w:tr>
    </w:tbl>
    <w:p w14:paraId="6513514F" w14:textId="771F5C7C" w:rsidR="004E22C1" w:rsidRPr="001455DC" w:rsidRDefault="004E22C1" w:rsidP="00EC0EC0">
      <w:pPr>
        <w:pStyle w:val="a7"/>
      </w:pPr>
      <w:r w:rsidRPr="001455DC">
        <w:rPr>
          <w:lang w:eastAsia="de-CH"/>
        </w:rPr>
        <w:t>(10)</w:t>
      </w:r>
      <w:r w:rsidRPr="001455DC">
        <w:rPr>
          <w:lang w:eastAsia="de-CH"/>
        </w:rPr>
        <w:tab/>
      </w:r>
      <w:r w:rsidRPr="001455DC">
        <w:t>When reinforcement is required across the interface to satisfy Formulae (8.</w:t>
      </w:r>
      <w:r w:rsidR="00ED372C" w:rsidRPr="001455DC">
        <w:t>60</w:t>
      </w:r>
      <w:r w:rsidRPr="001455DC">
        <w:t>) or (8.</w:t>
      </w:r>
      <w:r w:rsidR="00ED372C" w:rsidRPr="001455DC">
        <w:t>61</w:t>
      </w:r>
      <w:r w:rsidRPr="001455DC">
        <w:t>), a simplified “step approach” may be used, taking care that each step has a maximum length of 2</w:t>
      </w:r>
      <w:r w:rsidRPr="001455DC">
        <w:rPr>
          <w:rStyle w:val="CCMCvariableitalic"/>
        </w:rPr>
        <w:t>d</w:t>
      </w:r>
      <w:r w:rsidRPr="001455DC">
        <w:t xml:space="preserve"> for linear and 3</w:t>
      </w:r>
      <w:r w:rsidRPr="001455DC">
        <w:rPr>
          <w:rStyle w:val="CCMCvariableitalic"/>
        </w:rPr>
        <w:t>d</w:t>
      </w:r>
      <w:r w:rsidRPr="001455DC">
        <w:t xml:space="preserve"> for planar members. The spacing of the bars should be designed to ensure that </w:t>
      </w:r>
      <w:r w:rsidRPr="001455DC">
        <w:rPr>
          <w:rStyle w:val="CCMCvariableitalic"/>
        </w:rPr>
        <w:t>τ</w:t>
      </w:r>
      <w:r w:rsidRPr="001455DC">
        <w:rPr>
          <w:rStyle w:val="CCMCvariablesubscript"/>
        </w:rPr>
        <w:t>Rdi</w:t>
      </w:r>
      <w:r w:rsidRPr="001455DC">
        <w:t> </w:t>
      </w:r>
      <w:r w:rsidR="00650035" w:rsidRPr="001455DC">
        <w:rPr>
          <w:rFonts w:ascii="Cambria Math" w:hAnsi="Cambria Math"/>
        </w:rPr>
        <w:t>&gt;</w:t>
      </w:r>
      <w:r w:rsidR="00073FC6" w:rsidRPr="001455DC">
        <w:t> </w:t>
      </w:r>
      <w:r w:rsidRPr="001455DC">
        <w:rPr>
          <w:rStyle w:val="CCMCvariableitalic"/>
        </w:rPr>
        <w:t>τ</w:t>
      </w:r>
      <w:r w:rsidRPr="001455DC">
        <w:rPr>
          <w:rStyle w:val="CCMCvariablesubscript"/>
        </w:rPr>
        <w:t>Edi</w:t>
      </w:r>
      <w:r w:rsidRPr="001455DC">
        <w:t xml:space="preserve"> calculated in the central point of each step, complying with the spacing requirements defined above.</w:t>
      </w:r>
    </w:p>
    <w:p w14:paraId="2D0E3357" w14:textId="2D230E6F" w:rsidR="004E22C1" w:rsidRPr="001455DC" w:rsidRDefault="004E22C1" w:rsidP="006D682B">
      <w:pPr>
        <w:pStyle w:val="21"/>
      </w:pPr>
      <w:bookmarkStart w:id="580" w:name="_Toc52819982"/>
      <w:bookmarkStart w:id="581" w:name="_Toc54337376"/>
      <w:bookmarkStart w:id="582" w:name="_Toc54338038"/>
      <w:bookmarkStart w:id="583" w:name="_Toc67565386"/>
      <w:r w:rsidRPr="001455DC">
        <w:t>Torsion and combined actions</w:t>
      </w:r>
      <w:bookmarkEnd w:id="580"/>
      <w:bookmarkEnd w:id="581"/>
      <w:bookmarkEnd w:id="582"/>
      <w:bookmarkEnd w:id="583"/>
    </w:p>
    <w:p w14:paraId="14D44A14" w14:textId="48743506" w:rsidR="004E22C1" w:rsidRPr="001455DC" w:rsidRDefault="004E22C1" w:rsidP="00243590">
      <w:pPr>
        <w:pStyle w:val="31"/>
      </w:pPr>
      <w:bookmarkStart w:id="584" w:name="_Toc52819983"/>
      <w:bookmarkStart w:id="585" w:name="_Toc54337377"/>
      <w:bookmarkStart w:id="586" w:name="_Toc54338039"/>
      <w:bookmarkStart w:id="587" w:name="_Toc67565387"/>
      <w:r w:rsidRPr="001455DC">
        <w:t>General considerations for torsion</w:t>
      </w:r>
      <w:bookmarkEnd w:id="584"/>
      <w:bookmarkEnd w:id="585"/>
      <w:bookmarkEnd w:id="586"/>
      <w:bookmarkEnd w:id="587"/>
    </w:p>
    <w:p w14:paraId="2F2AA0F5" w14:textId="77777777" w:rsidR="004E22C1" w:rsidRPr="001455DC" w:rsidRDefault="004E22C1" w:rsidP="00EC0EC0">
      <w:pPr>
        <w:pStyle w:val="a7"/>
        <w:rPr>
          <w:rFonts w:eastAsiaTheme="minorHAnsi"/>
        </w:rPr>
      </w:pPr>
      <w:r w:rsidRPr="001455DC">
        <w:t>(1)</w:t>
      </w:r>
      <w:r w:rsidRPr="001455DC">
        <w:tab/>
      </w:r>
      <w:r w:rsidRPr="001455DC">
        <w:rPr>
          <w:rFonts w:eastAsiaTheme="minorHAnsi"/>
        </w:rPr>
        <w:t>Where a specific stiffness has been considered in the analysis according to 7.1(6), the corresponding internal forces shall be considered in design. If a specific stiffness was neglected in the analysis, e.g. torsional stiffness, then normally the corresponding internal forces, e.g. torque, may be neglected at the ultimate limit state. In such cases, a minimum reinforcement, given in 12.2 and 12.5, in the form of stirrups and longitudinal bars should be provided in order to prevent excessive cracking.</w:t>
      </w:r>
    </w:p>
    <w:p w14:paraId="116D999E" w14:textId="77777777" w:rsidR="004E22C1" w:rsidRPr="001455DC" w:rsidRDefault="004E22C1" w:rsidP="00EC0EC0">
      <w:pPr>
        <w:pStyle w:val="a7"/>
        <w:rPr>
          <w:rFonts w:eastAsiaTheme="minorHAnsi"/>
        </w:rPr>
      </w:pPr>
      <w:r w:rsidRPr="001455DC">
        <w:rPr>
          <w:rFonts w:eastAsiaTheme="minorHAnsi"/>
        </w:rPr>
        <w:t>(2)</w:t>
      </w:r>
      <w:r w:rsidRPr="001455DC">
        <w:rPr>
          <w:rFonts w:eastAsiaTheme="minorHAnsi"/>
        </w:rPr>
        <w:tab/>
        <w:t>Solid sections may be modelled as equivalent thin-walled sections. Complex shapes, such as T-sections, may be divided into a series of sub-sections, each one of which is modelled as an equivalent thin-walled section. Each thin-walled section may be designed separately according to 8.3.2.</w:t>
      </w:r>
    </w:p>
    <w:p w14:paraId="34AB083C" w14:textId="092BEC0C" w:rsidR="004E22C1" w:rsidRPr="001455DC" w:rsidRDefault="004E22C1" w:rsidP="00EC0EC0">
      <w:pPr>
        <w:pStyle w:val="a7"/>
        <w:rPr>
          <w:rFonts w:eastAsiaTheme="minorHAnsi"/>
        </w:rPr>
      </w:pPr>
      <w:r w:rsidRPr="001455DC">
        <w:rPr>
          <w:rFonts w:eastAsiaTheme="minorHAnsi"/>
        </w:rPr>
        <w:t>(3)</w:t>
      </w:r>
      <w:r w:rsidRPr="001455DC">
        <w:rPr>
          <w:rFonts w:eastAsiaTheme="minorHAnsi"/>
        </w:rPr>
        <w:tab/>
        <w:t xml:space="preserve">For the purpose of reinforcement design, the distribution of the acting torsional moments over the sub-sections may be in proportion to their uncracked torsional stiffnesses or, alternatively, in proportion to their maximum possible torsional capacity according to </w:t>
      </w:r>
      <w:r w:rsidRPr="001455DC">
        <w:t>Formula (</w:t>
      </w:r>
      <w:r w:rsidRPr="001455DC">
        <w:rPr>
          <w:rFonts w:eastAsiaTheme="minorHAnsi"/>
        </w:rPr>
        <w:t>8.</w:t>
      </w:r>
      <w:r w:rsidR="004B5BBD" w:rsidRPr="001455DC">
        <w:rPr>
          <w:rFonts w:eastAsiaTheme="minorHAnsi"/>
        </w:rPr>
        <w:t>68</w:t>
      </w:r>
      <w:r w:rsidRPr="001455DC">
        <w:rPr>
          <w:rFonts w:eastAsiaTheme="minorHAnsi"/>
        </w:rPr>
        <w:t>) assuming the same strut inclination for all sub-sections.</w:t>
      </w:r>
    </w:p>
    <w:p w14:paraId="2067A45D" w14:textId="1E1FE3D5" w:rsidR="004E22C1" w:rsidRPr="001455DC" w:rsidRDefault="004E22C1" w:rsidP="00243590">
      <w:pPr>
        <w:pStyle w:val="31"/>
      </w:pPr>
      <w:bookmarkStart w:id="588" w:name="_Toc52819984"/>
      <w:bookmarkStart w:id="589" w:name="_Toc54337378"/>
      <w:bookmarkStart w:id="590" w:name="_Toc54338040"/>
      <w:bookmarkStart w:id="591" w:name="_Toc67565388"/>
      <w:r w:rsidRPr="001455DC">
        <w:t>Internal forces due to torsion in compact or closed sections</w:t>
      </w:r>
      <w:bookmarkEnd w:id="588"/>
      <w:bookmarkEnd w:id="589"/>
      <w:bookmarkEnd w:id="590"/>
      <w:bookmarkEnd w:id="591"/>
    </w:p>
    <w:p w14:paraId="431950F6" w14:textId="77777777" w:rsidR="004E22C1" w:rsidRPr="001455DC" w:rsidRDefault="004E22C1" w:rsidP="00EC0EC0">
      <w:pPr>
        <w:pStyle w:val="a7"/>
        <w:rPr>
          <w:rFonts w:eastAsiaTheme="minorHAnsi"/>
        </w:rPr>
      </w:pPr>
      <w:r w:rsidRPr="001455DC">
        <w:t>(1)</w:t>
      </w:r>
      <w:r w:rsidRPr="001455DC">
        <w:tab/>
      </w:r>
      <w:r w:rsidRPr="001455DC">
        <w:rPr>
          <w:rFonts w:eastAsiaTheme="minorHAnsi"/>
        </w:rPr>
        <w:t>For closed thin-walled sections and solid sections, warping torsion may normally be ignored.</w:t>
      </w:r>
    </w:p>
    <w:p w14:paraId="4012AE9E" w14:textId="77777777" w:rsidR="00EC0EC0" w:rsidRPr="001455DC" w:rsidRDefault="004E22C1" w:rsidP="008D37B2">
      <w:pPr>
        <w:pStyle w:val="a7"/>
        <w:keepNext/>
      </w:pPr>
      <w:r w:rsidRPr="001455DC">
        <w:rPr>
          <w:rFonts w:eastAsiaTheme="minorHAnsi"/>
        </w:rPr>
        <w:t>(2)</w:t>
      </w:r>
      <w:r w:rsidRPr="001455DC">
        <w:rPr>
          <w:rFonts w:eastAsiaTheme="minorHAnsi"/>
        </w:rPr>
        <w:tab/>
        <w:t xml:space="preserve">The shear stress in a wall of a section subject to a pure torsional moment </w:t>
      </w:r>
      <w:r w:rsidRPr="001455DC">
        <w:rPr>
          <w:rStyle w:val="CCMCvariableitalic"/>
        </w:rPr>
        <w:t>T</w:t>
      </w:r>
      <w:r w:rsidRPr="001455DC">
        <w:rPr>
          <w:rStyle w:val="CCMCvariablesubscript"/>
        </w:rPr>
        <w:t>Ed</w:t>
      </w:r>
      <w:r w:rsidRPr="001455DC">
        <w:rPr>
          <w:rFonts w:eastAsiaTheme="minorHAnsi"/>
        </w:rPr>
        <w:t xml:space="preserve"> may be calculated from:</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EC0EC0" w:rsidRPr="001455DC" w14:paraId="2CB5446B" w14:textId="77777777" w:rsidTr="00EC0EC0">
        <w:trPr>
          <w:cantSplit/>
        </w:trPr>
        <w:tc>
          <w:tcPr>
            <w:tcW w:w="8505" w:type="dxa"/>
            <w:vAlign w:val="center"/>
          </w:tcPr>
          <w:p w14:paraId="27C1AE67" w14:textId="5DD0198B" w:rsidR="00EC0EC0" w:rsidRPr="001455DC" w:rsidRDefault="00231E33" w:rsidP="00EC0EC0">
            <w:pPr>
              <w:pStyle w:val="Formula"/>
              <w:jc w:val="left"/>
            </w:pPr>
            <m:oMathPara>
              <m:oMathParaPr>
                <m:jc m:val="left"/>
              </m:oMathParaPr>
              <m:oMath>
                <m:sSub>
                  <m:sSubPr>
                    <m:ctrlPr>
                      <w:rPr>
                        <w:rFonts w:ascii="Cambria Math" w:hAnsi="Cambria Math"/>
                      </w:rPr>
                    </m:ctrlPr>
                  </m:sSubPr>
                  <m:e>
                    <m:r>
                      <w:rPr>
                        <w:rFonts w:ascii="Cambria Math" w:hAnsi="Cambria Math"/>
                      </w:rPr>
                      <m:t>τ</m:t>
                    </m:r>
                  </m:e>
                  <m:sub>
                    <m:r>
                      <m:rPr>
                        <m:sty m:val="p"/>
                      </m:rPr>
                      <w:rPr>
                        <w:rFonts w:ascii="Cambria Math" w:hAnsi="Cambria Math"/>
                      </w:rPr>
                      <m:t>t,i</m:t>
                    </m:r>
                  </m:sub>
                </m:sSub>
                <m:r>
                  <w:rPr>
                    <w:rFonts w:ascii="Cambria Math" w:hAnsi="Cambria Math"/>
                  </w:rPr>
                  <m:t xml:space="preserve"> = </m:t>
                </m:r>
                <m:f>
                  <m:fPr>
                    <m:ctrlPr>
                      <w:rPr>
                        <w:rFonts w:ascii="Cambria Math" w:hAnsi="Cambria Math"/>
                      </w:rPr>
                    </m:ctrlPr>
                  </m:fPr>
                  <m:num>
                    <m:sSub>
                      <m:sSubPr>
                        <m:ctrlPr>
                          <w:rPr>
                            <w:rFonts w:ascii="Cambria Math" w:hAnsi="Cambria Math"/>
                          </w:rPr>
                        </m:ctrlPr>
                      </m:sSubPr>
                      <m:e>
                        <m:r>
                          <w:rPr>
                            <w:rFonts w:ascii="Cambria Math" w:hAnsi="Cambria Math"/>
                          </w:rPr>
                          <m:t>T</m:t>
                        </m:r>
                      </m:e>
                      <m:sub>
                        <m:r>
                          <m:rPr>
                            <m:sty m:val="p"/>
                          </m:rPr>
                          <w:rPr>
                            <w:rFonts w:ascii="Cambria Math" w:hAnsi="Cambria Math"/>
                          </w:rPr>
                          <m:t>Ed</m:t>
                        </m:r>
                      </m:sub>
                    </m:sSub>
                  </m:num>
                  <m:den>
                    <m:r>
                      <w:rPr>
                        <w:rFonts w:ascii="Cambria Math" w:hAnsi="Cambria Math"/>
                      </w:rPr>
                      <m:t>2</m:t>
                    </m:r>
                    <m:sSub>
                      <m:sSubPr>
                        <m:ctrlPr>
                          <w:rPr>
                            <w:rFonts w:ascii="Cambria Math" w:hAnsi="Cambria Math"/>
                          </w:rPr>
                        </m:ctrlPr>
                      </m:sSubPr>
                      <m:e>
                        <m:r>
                          <w:rPr>
                            <w:rFonts w:ascii="Cambria Math" w:hAnsi="Cambria Math"/>
                          </w:rPr>
                          <m:t>A</m:t>
                        </m:r>
                      </m:e>
                      <m:sub>
                        <m:r>
                          <m:rPr>
                            <m:sty m:val="p"/>
                          </m:rPr>
                          <w:rPr>
                            <w:rFonts w:ascii="Cambria Math" w:hAnsi="Cambria Math"/>
                          </w:rPr>
                          <m:t>k</m:t>
                        </m:r>
                      </m:sub>
                    </m:sSub>
                    <m: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eff,i</m:t>
                        </m:r>
                        <m:r>
                          <w:rPr>
                            <w:rFonts w:ascii="Cambria Math" w:hAnsi="Cambria Math"/>
                          </w:rPr>
                          <m:t xml:space="preserve"> </m:t>
                        </m:r>
                      </m:sub>
                    </m:sSub>
                  </m:den>
                </m:f>
              </m:oMath>
            </m:oMathPara>
          </w:p>
        </w:tc>
        <w:tc>
          <w:tcPr>
            <w:tcW w:w="1247" w:type="dxa"/>
            <w:vAlign w:val="center"/>
          </w:tcPr>
          <w:p w14:paraId="4C4C7870" w14:textId="750B4A85" w:rsidR="00EC0EC0" w:rsidRPr="001455DC" w:rsidRDefault="00702A82">
            <w:pPr>
              <w:pStyle w:val="a7"/>
              <w:jc w:val="right"/>
            </w:pPr>
            <w:r w:rsidRPr="001455DC">
              <w:rPr>
                <w:rFonts w:eastAsiaTheme="minorHAnsi"/>
              </w:rPr>
              <w:t>(8.</w:t>
            </w:r>
            <w:r w:rsidR="004B5BBD" w:rsidRPr="001455DC">
              <w:rPr>
                <w:rFonts w:eastAsiaTheme="minorHAnsi"/>
              </w:rPr>
              <w:t>63</w:t>
            </w:r>
            <w:r w:rsidRPr="001455DC">
              <w:rPr>
                <w:rFonts w:eastAsiaTheme="minorHAnsi"/>
              </w:rPr>
              <w:t>)</w:t>
            </w:r>
          </w:p>
        </w:tc>
      </w:tr>
    </w:tbl>
    <w:p w14:paraId="0CB74361" w14:textId="77777777" w:rsidR="0090199C" w:rsidRPr="001455DC" w:rsidRDefault="0090199C"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90199C" w:rsidRPr="001455DC" w14:paraId="3C98BEA5" w14:textId="77777777" w:rsidTr="00702A82">
        <w:trPr>
          <w:cantSplit/>
        </w:trPr>
        <w:tc>
          <w:tcPr>
            <w:tcW w:w="567" w:type="dxa"/>
          </w:tcPr>
          <w:p w14:paraId="6DA09104" w14:textId="2F37C5E9" w:rsidR="0090199C" w:rsidRPr="001455DC" w:rsidRDefault="00702A82" w:rsidP="00702A82">
            <w:pPr>
              <w:pStyle w:val="Tablebody"/>
            </w:pPr>
            <w:r w:rsidRPr="001455DC">
              <w:rPr>
                <w:rStyle w:val="CCMCvariableitalic"/>
              </w:rPr>
              <w:t>A</w:t>
            </w:r>
            <w:r w:rsidRPr="001455DC">
              <w:rPr>
                <w:rStyle w:val="CCMCvariablesubscript"/>
              </w:rPr>
              <w:t>k</w:t>
            </w:r>
          </w:p>
        </w:tc>
        <w:tc>
          <w:tcPr>
            <w:tcW w:w="8845" w:type="dxa"/>
          </w:tcPr>
          <w:p w14:paraId="43E829CF" w14:textId="6D0A4DA9" w:rsidR="0090199C" w:rsidRPr="001455DC" w:rsidRDefault="00702A82" w:rsidP="00702A82">
            <w:pPr>
              <w:pStyle w:val="Tablebody"/>
            </w:pPr>
            <w:r w:rsidRPr="001455DC">
              <w:rPr>
                <w:rFonts w:eastAsiaTheme="minorHAnsi"/>
              </w:rPr>
              <w:t>is the area enclosed by the centre-lines of the connecting walls, including inner hollow areas;</w:t>
            </w:r>
          </w:p>
        </w:tc>
      </w:tr>
      <w:tr w:rsidR="0090199C" w:rsidRPr="001455DC" w14:paraId="28868DD1" w14:textId="77777777" w:rsidTr="00702A82">
        <w:trPr>
          <w:cantSplit/>
        </w:trPr>
        <w:tc>
          <w:tcPr>
            <w:tcW w:w="567" w:type="dxa"/>
          </w:tcPr>
          <w:p w14:paraId="03182FDE" w14:textId="4F3AEE36" w:rsidR="0090199C" w:rsidRPr="001455DC" w:rsidRDefault="00702A82" w:rsidP="00702A82">
            <w:pPr>
              <w:pStyle w:val="Tablebody"/>
            </w:pPr>
            <w:r w:rsidRPr="001455DC">
              <w:rPr>
                <w:rStyle w:val="CCMCvariableitalic"/>
              </w:rPr>
              <w:t>τ</w:t>
            </w:r>
            <w:r w:rsidRPr="001455DC">
              <w:rPr>
                <w:rStyle w:val="CCMCvariablesubscript"/>
              </w:rPr>
              <w:t>t,i</w:t>
            </w:r>
          </w:p>
        </w:tc>
        <w:tc>
          <w:tcPr>
            <w:tcW w:w="8845" w:type="dxa"/>
          </w:tcPr>
          <w:p w14:paraId="51F11384" w14:textId="3A416238" w:rsidR="0090199C" w:rsidRPr="001455DC" w:rsidRDefault="00702A82" w:rsidP="00702A82">
            <w:pPr>
              <w:pStyle w:val="Tablebody"/>
            </w:pPr>
            <w:r w:rsidRPr="001455DC">
              <w:rPr>
                <w:rFonts w:eastAsiaTheme="minorHAnsi"/>
              </w:rPr>
              <w:t xml:space="preserve">is the torsional shear stress in wall </w:t>
            </w:r>
            <w:r w:rsidRPr="001455DC">
              <w:rPr>
                <w:rStyle w:val="CCMCvariableitalic"/>
              </w:rPr>
              <w:t>i</w:t>
            </w:r>
            <w:r w:rsidRPr="001455DC">
              <w:rPr>
                <w:rFonts w:eastAsiaTheme="minorHAnsi"/>
                <w:iCs/>
              </w:rPr>
              <w:t>;</w:t>
            </w:r>
          </w:p>
        </w:tc>
      </w:tr>
      <w:tr w:rsidR="0090199C" w:rsidRPr="001455DC" w14:paraId="0B5E2D33" w14:textId="77777777" w:rsidTr="00702A82">
        <w:trPr>
          <w:cantSplit/>
        </w:trPr>
        <w:tc>
          <w:tcPr>
            <w:tcW w:w="567" w:type="dxa"/>
          </w:tcPr>
          <w:p w14:paraId="050F4ED4" w14:textId="617F1AEB" w:rsidR="0090199C" w:rsidRPr="001455DC" w:rsidRDefault="00702A82" w:rsidP="00702A82">
            <w:pPr>
              <w:pStyle w:val="Tablebody"/>
            </w:pPr>
            <w:r w:rsidRPr="001455DC">
              <w:rPr>
                <w:rStyle w:val="CCMCvariableitalic"/>
              </w:rPr>
              <w:t>t</w:t>
            </w:r>
            <w:r w:rsidRPr="001455DC">
              <w:rPr>
                <w:rStyle w:val="CCMCvariablesubscript"/>
              </w:rPr>
              <w:t>eff,i</w:t>
            </w:r>
          </w:p>
        </w:tc>
        <w:tc>
          <w:tcPr>
            <w:tcW w:w="8845" w:type="dxa"/>
          </w:tcPr>
          <w:p w14:paraId="374FCC52" w14:textId="2DA2B619" w:rsidR="0090199C" w:rsidRPr="001455DC" w:rsidRDefault="00702A82" w:rsidP="00702A82">
            <w:pPr>
              <w:pStyle w:val="Tablebody"/>
            </w:pPr>
            <w:r w:rsidRPr="001455DC">
              <w:rPr>
                <w:rFonts w:eastAsiaTheme="minorHAnsi"/>
              </w:rPr>
              <w:t xml:space="preserve">is the effective wall thickness. It may be taken as </w:t>
            </w:r>
            <w:r w:rsidRPr="001455DC">
              <w:rPr>
                <w:rStyle w:val="CCMCvariableitalic"/>
              </w:rPr>
              <w:t>A</w:t>
            </w:r>
            <w:r w:rsidRPr="001455DC">
              <w:rPr>
                <w:rFonts w:eastAsiaTheme="minorHAnsi"/>
              </w:rPr>
              <w:t>/</w:t>
            </w:r>
            <w:r w:rsidRPr="001455DC">
              <w:rPr>
                <w:rStyle w:val="CCMCvariableitalic"/>
              </w:rPr>
              <w:t>u</w:t>
            </w:r>
            <w:r w:rsidRPr="001455DC">
              <w:t>,</w:t>
            </w:r>
            <w:r w:rsidRPr="001455DC">
              <w:rPr>
                <w:rFonts w:eastAsiaTheme="minorHAnsi"/>
              </w:rPr>
              <w:t xml:space="preserve"> but should not be taken as less than twice the distance between the outer concrete surface and the centre of the longitudinal reinforcement. For hollow sections the real thickness is an upper limit;</w:t>
            </w:r>
          </w:p>
        </w:tc>
      </w:tr>
      <w:tr w:rsidR="0090199C" w:rsidRPr="001455DC" w14:paraId="1DBCE7CD" w14:textId="77777777" w:rsidTr="00702A82">
        <w:trPr>
          <w:cantSplit/>
        </w:trPr>
        <w:tc>
          <w:tcPr>
            <w:tcW w:w="567" w:type="dxa"/>
          </w:tcPr>
          <w:p w14:paraId="07466B7B" w14:textId="66DA224D" w:rsidR="0090199C" w:rsidRPr="001455DC" w:rsidRDefault="00702A82" w:rsidP="00702A82">
            <w:pPr>
              <w:pStyle w:val="Tablebody"/>
            </w:pPr>
            <w:r w:rsidRPr="001455DC">
              <w:rPr>
                <w:rStyle w:val="CCMCvariableitalic"/>
              </w:rPr>
              <w:t>A</w:t>
            </w:r>
          </w:p>
        </w:tc>
        <w:tc>
          <w:tcPr>
            <w:tcW w:w="8845" w:type="dxa"/>
          </w:tcPr>
          <w:p w14:paraId="339607FB" w14:textId="4D36B911" w:rsidR="0090199C" w:rsidRPr="001455DC" w:rsidRDefault="00702A82" w:rsidP="00702A82">
            <w:pPr>
              <w:pStyle w:val="Tablebody"/>
            </w:pPr>
            <w:r w:rsidRPr="001455DC">
              <w:t>is the total area of the cross</w:t>
            </w:r>
            <w:r w:rsidR="00B10711" w:rsidRPr="001455DC">
              <w:t xml:space="preserve"> </w:t>
            </w:r>
            <w:r w:rsidRPr="001455DC">
              <w:t>section within the outer perimeter, including inner hollow areas;</w:t>
            </w:r>
          </w:p>
        </w:tc>
      </w:tr>
      <w:tr w:rsidR="0090199C" w:rsidRPr="001455DC" w14:paraId="67D51FA7" w14:textId="77777777" w:rsidTr="00702A82">
        <w:trPr>
          <w:cantSplit/>
        </w:trPr>
        <w:tc>
          <w:tcPr>
            <w:tcW w:w="567" w:type="dxa"/>
          </w:tcPr>
          <w:p w14:paraId="12C9F914" w14:textId="1546E194" w:rsidR="0090199C" w:rsidRPr="001455DC" w:rsidRDefault="00702A82" w:rsidP="00702A82">
            <w:pPr>
              <w:pStyle w:val="Tablebody"/>
            </w:pPr>
            <w:r w:rsidRPr="001455DC">
              <w:rPr>
                <w:rStyle w:val="CCMCvariableitalic"/>
              </w:rPr>
              <w:t>u</w:t>
            </w:r>
          </w:p>
        </w:tc>
        <w:tc>
          <w:tcPr>
            <w:tcW w:w="8845" w:type="dxa"/>
          </w:tcPr>
          <w:p w14:paraId="696521F8" w14:textId="4766989E" w:rsidR="0090199C" w:rsidRPr="001455DC" w:rsidRDefault="00702A82" w:rsidP="00702A82">
            <w:pPr>
              <w:pStyle w:val="Tablebody"/>
            </w:pPr>
            <w:r w:rsidRPr="001455DC">
              <w:rPr>
                <w:rFonts w:eastAsiaTheme="minorHAnsi"/>
              </w:rPr>
              <w:t>is the outer perimeter of the cross</w:t>
            </w:r>
            <w:r w:rsidR="00B10711" w:rsidRPr="001455DC">
              <w:rPr>
                <w:rFonts w:eastAsiaTheme="minorHAnsi"/>
              </w:rPr>
              <w:t xml:space="preserve"> </w:t>
            </w:r>
            <w:r w:rsidRPr="001455DC">
              <w:rPr>
                <w:rFonts w:eastAsiaTheme="minorHAnsi"/>
              </w:rPr>
              <w:t>section.</w:t>
            </w:r>
          </w:p>
        </w:tc>
      </w:tr>
    </w:tbl>
    <w:p w14:paraId="0F27B2FB" w14:textId="65B00C4D" w:rsidR="00702A82" w:rsidRPr="001455DC" w:rsidRDefault="00723CF7" w:rsidP="00702A82">
      <w:pPr>
        <w:pStyle w:val="FigureImage"/>
        <w:rPr>
          <w:rFonts w:eastAsiaTheme="minorHAnsi"/>
        </w:rPr>
      </w:pPr>
      <w:r>
        <w:rPr>
          <w:rFonts w:eastAsiaTheme="minorHAnsi"/>
          <w:noProof/>
          <w:lang w:eastAsia="en-GB"/>
        </w:rPr>
        <w:fldChar w:fldCharType="begin"/>
      </w:r>
      <w:r>
        <w:rPr>
          <w:rFonts w:eastAsiaTheme="minorHAnsi"/>
          <w:noProof/>
          <w:lang w:eastAsia="en-GB"/>
        </w:rPr>
        <w:instrText xml:space="preserve"> INCLUDEPICTURE  "Y:\\STD_MGT\\STDDEL\\PRODUCTION\\etrans\\Download\\Z_FIRST_DEL\\SV\\00250\\00250269\\41_e_dr\\8_016.tif" \* MERGEFORMATINET </w:instrText>
      </w:r>
      <w:r>
        <w:rPr>
          <w:rFonts w:eastAsiaTheme="minorHAnsi"/>
          <w:noProof/>
          <w:lang w:eastAsia="en-GB"/>
        </w:rPr>
        <w:fldChar w:fldCharType="separate"/>
      </w:r>
      <w:r w:rsidR="00FA575F">
        <w:rPr>
          <w:rFonts w:eastAsiaTheme="minorHAnsi"/>
          <w:noProof/>
          <w:lang w:eastAsia="en-GB"/>
        </w:rPr>
        <w:fldChar w:fldCharType="begin"/>
      </w:r>
      <w:r w:rsidR="00FA575F">
        <w:rPr>
          <w:rFonts w:eastAsiaTheme="minorHAnsi"/>
          <w:noProof/>
          <w:lang w:eastAsia="en-GB"/>
        </w:rPr>
        <w:instrText xml:space="preserve"> INCLUDEPICTURE  "Y:\\STD_MGT\\STDDEL\\PRODUCTION\\Standards\\00250\\269\\41_e_dr\\8_016.tif" \* MERGEFORMATINET </w:instrText>
      </w:r>
      <w:r w:rsidR="00FA575F">
        <w:rPr>
          <w:rFonts w:eastAsiaTheme="minorHAnsi"/>
          <w:noProof/>
          <w:lang w:eastAsia="en-GB"/>
        </w:rPr>
        <w:fldChar w:fldCharType="separate"/>
      </w:r>
      <w:r w:rsidR="00C54E80">
        <w:rPr>
          <w:rFonts w:eastAsiaTheme="minorHAnsi"/>
          <w:noProof/>
          <w:lang w:eastAsia="en-GB"/>
        </w:rPr>
        <w:fldChar w:fldCharType="begin"/>
      </w:r>
      <w:r w:rsidR="00C54E80">
        <w:rPr>
          <w:rFonts w:eastAsiaTheme="minorHAnsi"/>
          <w:noProof/>
          <w:lang w:eastAsia="en-GB"/>
        </w:rPr>
        <w:instrText xml:space="preserve"> INCLUDEPICTURE  "Y:\\STD_MGT\\STDDEL\\PRODUCTION\\Standards\\00250\\269\\41_e_dr\\8_016.tif" \* MERGEFORMATINET </w:instrText>
      </w:r>
      <w:r w:rsidR="00C54E80">
        <w:rPr>
          <w:rFonts w:eastAsiaTheme="minorHAnsi"/>
          <w:noProof/>
          <w:lang w:eastAsia="en-GB"/>
        </w:rPr>
        <w:fldChar w:fldCharType="separate"/>
      </w:r>
      <w:r w:rsidR="004B62E7">
        <w:rPr>
          <w:rFonts w:eastAsiaTheme="minorHAnsi"/>
          <w:noProof/>
          <w:lang w:eastAsia="en-GB"/>
        </w:rPr>
        <w:fldChar w:fldCharType="begin"/>
      </w:r>
      <w:r w:rsidR="004B62E7">
        <w:rPr>
          <w:rFonts w:eastAsiaTheme="minorHAnsi"/>
          <w:noProof/>
          <w:lang w:eastAsia="en-GB"/>
        </w:rPr>
        <w:instrText xml:space="preserve"> INCLUDEPICTURE  "Y:\\STD_MGT\\STDDEL\\PRODUCTION\\Standards\\00250\\269\\41_e_dr\\8_016.tif" \* MERGEFORMATINET </w:instrText>
      </w:r>
      <w:r w:rsidR="004B62E7">
        <w:rPr>
          <w:rFonts w:eastAsiaTheme="minorHAnsi"/>
          <w:noProof/>
          <w:lang w:eastAsia="en-GB"/>
        </w:rPr>
        <w:fldChar w:fldCharType="separate"/>
      </w:r>
      <w:r w:rsidR="00B078F1">
        <w:rPr>
          <w:rFonts w:eastAsiaTheme="minorHAnsi"/>
          <w:noProof/>
          <w:lang w:eastAsia="en-GB"/>
        </w:rPr>
        <w:fldChar w:fldCharType="begin"/>
      </w:r>
      <w:r w:rsidR="00B078F1">
        <w:rPr>
          <w:rFonts w:eastAsiaTheme="minorHAnsi"/>
          <w:noProof/>
          <w:lang w:eastAsia="en-GB"/>
        </w:rPr>
        <w:instrText xml:space="preserve"> INCLUDEPICTURE  "Y:\\STD_MGT\\STDDEL\\PRODUCTION\\Standards\\00250\\269\\41_e_dr\\8_016.tif" \* MERGEFORMATINET </w:instrText>
      </w:r>
      <w:r w:rsidR="00B078F1">
        <w:rPr>
          <w:rFonts w:eastAsiaTheme="minorHAnsi"/>
          <w:noProof/>
          <w:lang w:eastAsia="en-GB"/>
        </w:rPr>
        <w:fldChar w:fldCharType="separate"/>
      </w:r>
      <w:r w:rsidR="000250B6">
        <w:rPr>
          <w:rFonts w:eastAsiaTheme="minorHAnsi"/>
          <w:noProof/>
          <w:lang w:eastAsia="en-GB"/>
        </w:rPr>
        <w:fldChar w:fldCharType="begin"/>
      </w:r>
      <w:r w:rsidR="000250B6">
        <w:rPr>
          <w:rFonts w:eastAsiaTheme="minorHAnsi"/>
          <w:noProof/>
          <w:lang w:eastAsia="en-GB"/>
        </w:rPr>
        <w:instrText xml:space="preserve"> INCLUDEPICTURE  "Y:\\STD_MGT\\STDDEL\\PRODUCTION\\Standards\\00250\\269\\41_e_dr\\8_016.tif" \* MERGEFORMATINET </w:instrText>
      </w:r>
      <w:r w:rsidR="000250B6">
        <w:rPr>
          <w:rFonts w:eastAsiaTheme="minorHAnsi"/>
          <w:noProof/>
          <w:lang w:eastAsia="en-GB"/>
        </w:rPr>
        <w:fldChar w:fldCharType="separate"/>
      </w:r>
      <w:r w:rsidR="00231E33">
        <w:rPr>
          <w:rFonts w:eastAsiaTheme="minorHAnsi"/>
          <w:noProof/>
          <w:lang w:eastAsia="en-GB"/>
        </w:rPr>
        <w:fldChar w:fldCharType="begin"/>
      </w:r>
      <w:r w:rsidR="00231E33">
        <w:rPr>
          <w:rFonts w:eastAsiaTheme="minorHAnsi"/>
          <w:noProof/>
          <w:lang w:eastAsia="en-GB"/>
        </w:rPr>
        <w:instrText xml:space="preserve"> </w:instrText>
      </w:r>
      <w:r w:rsidR="00231E33">
        <w:rPr>
          <w:rFonts w:eastAsiaTheme="minorHAnsi"/>
          <w:noProof/>
          <w:lang w:eastAsia="en-GB"/>
        </w:rPr>
        <w:instrText>INCLUDEPICTURE  "C:\\Users\\a.dionysiou\\AppData\\Local\\Temp\\Temp1_00250269_e_20210902.zip.zip\\41_e_dr\\8_016.tif" \* MERGEFORMATINET</w:instrText>
      </w:r>
      <w:r w:rsidR="00231E33">
        <w:rPr>
          <w:rFonts w:eastAsiaTheme="minorHAnsi"/>
          <w:noProof/>
          <w:lang w:eastAsia="en-GB"/>
        </w:rPr>
        <w:instrText xml:space="preserve"> </w:instrText>
      </w:r>
      <w:r w:rsidR="00231E33">
        <w:rPr>
          <w:rFonts w:eastAsiaTheme="minorHAnsi"/>
          <w:noProof/>
          <w:lang w:eastAsia="en-GB"/>
        </w:rPr>
        <w:fldChar w:fldCharType="separate"/>
      </w:r>
      <w:r w:rsidR="00231E33">
        <w:rPr>
          <w:rFonts w:eastAsiaTheme="minorHAnsi"/>
          <w:noProof/>
          <w:lang w:eastAsia="en-GB"/>
        </w:rPr>
        <w:pict w14:anchorId="22A11B31">
          <v:shape id="_x0000_i1168" type="#_x0000_t75" style="width:161.25pt;height:175.5pt">
            <v:imagedata r:id="rId306" r:href="rId307"/>
          </v:shape>
        </w:pict>
      </w:r>
      <w:r w:rsidR="00231E33">
        <w:rPr>
          <w:rFonts w:eastAsiaTheme="minorHAnsi"/>
          <w:noProof/>
          <w:lang w:eastAsia="en-GB"/>
        </w:rPr>
        <w:fldChar w:fldCharType="end"/>
      </w:r>
      <w:r w:rsidR="000250B6">
        <w:rPr>
          <w:rFonts w:eastAsiaTheme="minorHAnsi"/>
          <w:noProof/>
          <w:lang w:eastAsia="en-GB"/>
        </w:rPr>
        <w:fldChar w:fldCharType="end"/>
      </w:r>
      <w:r w:rsidR="00B078F1">
        <w:rPr>
          <w:rFonts w:eastAsiaTheme="minorHAnsi"/>
          <w:noProof/>
          <w:lang w:eastAsia="en-GB"/>
        </w:rPr>
        <w:fldChar w:fldCharType="end"/>
      </w:r>
      <w:r w:rsidR="004B62E7">
        <w:rPr>
          <w:rFonts w:eastAsiaTheme="minorHAnsi"/>
          <w:noProof/>
          <w:lang w:eastAsia="en-GB"/>
        </w:rPr>
        <w:fldChar w:fldCharType="end"/>
      </w:r>
      <w:r w:rsidR="00C54E80">
        <w:rPr>
          <w:rFonts w:eastAsiaTheme="minorHAnsi"/>
          <w:noProof/>
          <w:lang w:eastAsia="en-GB"/>
        </w:rPr>
        <w:fldChar w:fldCharType="end"/>
      </w:r>
      <w:r w:rsidR="00FA575F">
        <w:rPr>
          <w:rFonts w:eastAsiaTheme="minorHAnsi"/>
          <w:noProof/>
          <w:lang w:eastAsia="en-GB"/>
        </w:rPr>
        <w:fldChar w:fldCharType="end"/>
      </w:r>
      <w:r>
        <w:rPr>
          <w:rFonts w:eastAsiaTheme="minorHAnsi"/>
          <w:noProof/>
          <w:lang w:eastAsia="en-GB"/>
        </w:rPr>
        <w:fldChar w:fldCharType="end"/>
      </w:r>
    </w:p>
    <w:p w14:paraId="4A405837" w14:textId="77777777" w:rsidR="00702A82" w:rsidRPr="001455DC" w:rsidRDefault="00702A82" w:rsidP="00702A82">
      <w:pPr>
        <w:pStyle w:val="KeyTitle"/>
      </w:pPr>
      <w:r w:rsidRPr="001455DC">
        <w:t>Key</w:t>
      </w:r>
    </w:p>
    <w:tbl>
      <w:tblPr>
        <w:tblW w:w="9809" w:type="dxa"/>
        <w:tblLayout w:type="fixed"/>
        <w:tblCellMar>
          <w:left w:w="28" w:type="dxa"/>
          <w:right w:w="28" w:type="dxa"/>
        </w:tblCellMar>
        <w:tblLook w:val="0000" w:firstRow="0" w:lastRow="0" w:firstColumn="0" w:lastColumn="0" w:noHBand="0" w:noVBand="0"/>
      </w:tblPr>
      <w:tblGrid>
        <w:gridCol w:w="397"/>
        <w:gridCol w:w="9412"/>
      </w:tblGrid>
      <w:tr w:rsidR="00702A82" w:rsidRPr="001455DC" w14:paraId="5D447BC2" w14:textId="77777777" w:rsidTr="00702A82">
        <w:tc>
          <w:tcPr>
            <w:tcW w:w="397" w:type="dxa"/>
            <w:shd w:val="clear" w:color="auto" w:fill="auto"/>
          </w:tcPr>
          <w:p w14:paraId="2185149E" w14:textId="7D02BBC5" w:rsidR="00702A82" w:rsidRPr="001455DC" w:rsidRDefault="00702A82" w:rsidP="004543C9">
            <w:pPr>
              <w:pStyle w:val="KeyText"/>
              <w:tabs>
                <w:tab w:val="clear" w:pos="346"/>
              </w:tabs>
              <w:spacing w:after="0"/>
              <w:ind w:left="0" w:firstLine="0"/>
            </w:pPr>
            <w:r w:rsidRPr="001455DC">
              <w:t>1</w:t>
            </w:r>
          </w:p>
        </w:tc>
        <w:tc>
          <w:tcPr>
            <w:tcW w:w="9412" w:type="dxa"/>
            <w:shd w:val="clear" w:color="auto" w:fill="auto"/>
          </w:tcPr>
          <w:p w14:paraId="0974B4B0" w14:textId="60D63C1C" w:rsidR="00702A82" w:rsidRPr="001455DC" w:rsidRDefault="00A46F70" w:rsidP="004543C9">
            <w:pPr>
              <w:pStyle w:val="KeyText"/>
              <w:tabs>
                <w:tab w:val="clear" w:pos="346"/>
              </w:tabs>
              <w:spacing w:after="0"/>
              <w:ind w:left="0" w:firstLine="0"/>
            </w:pPr>
            <w:r>
              <w:rPr>
                <w:rFonts w:eastAsiaTheme="minorHAnsi"/>
              </w:rPr>
              <w:t>c</w:t>
            </w:r>
            <w:r w:rsidR="00702A82" w:rsidRPr="001455DC">
              <w:rPr>
                <w:rFonts w:eastAsiaTheme="minorHAnsi"/>
              </w:rPr>
              <w:t>entre line</w:t>
            </w:r>
          </w:p>
        </w:tc>
      </w:tr>
      <w:tr w:rsidR="00702A82" w:rsidRPr="001455DC" w14:paraId="49768C6E" w14:textId="77777777" w:rsidTr="00702A82">
        <w:tc>
          <w:tcPr>
            <w:tcW w:w="397" w:type="dxa"/>
            <w:shd w:val="clear" w:color="auto" w:fill="auto"/>
          </w:tcPr>
          <w:p w14:paraId="274CA7AE" w14:textId="6CEA755E" w:rsidR="00702A82" w:rsidRPr="001455DC" w:rsidRDefault="00702A82" w:rsidP="004543C9">
            <w:pPr>
              <w:pStyle w:val="KeyText"/>
              <w:tabs>
                <w:tab w:val="clear" w:pos="346"/>
              </w:tabs>
              <w:spacing w:after="0"/>
              <w:ind w:left="0" w:firstLine="0"/>
            </w:pPr>
            <w:r w:rsidRPr="001455DC">
              <w:t>2</w:t>
            </w:r>
          </w:p>
        </w:tc>
        <w:tc>
          <w:tcPr>
            <w:tcW w:w="9412" w:type="dxa"/>
            <w:shd w:val="clear" w:color="auto" w:fill="auto"/>
          </w:tcPr>
          <w:p w14:paraId="42C98EC2" w14:textId="734A85ED" w:rsidR="00702A82" w:rsidRPr="001455DC" w:rsidRDefault="00A46F70" w:rsidP="004543C9">
            <w:pPr>
              <w:pStyle w:val="KeyText"/>
              <w:tabs>
                <w:tab w:val="clear" w:pos="346"/>
              </w:tabs>
              <w:spacing w:after="0"/>
              <w:ind w:left="0" w:firstLine="0"/>
            </w:pPr>
            <w:r>
              <w:rPr>
                <w:rFonts w:eastAsiaTheme="minorHAnsi"/>
              </w:rPr>
              <w:t>o</w:t>
            </w:r>
            <w:r w:rsidR="00702A82" w:rsidRPr="001455DC">
              <w:rPr>
                <w:rFonts w:eastAsiaTheme="minorHAnsi"/>
              </w:rPr>
              <w:t>uter edge of effective cross</w:t>
            </w:r>
            <w:r w:rsidR="00B10711" w:rsidRPr="001455DC">
              <w:rPr>
                <w:rFonts w:eastAsiaTheme="minorHAnsi"/>
              </w:rPr>
              <w:t xml:space="preserve"> </w:t>
            </w:r>
            <w:r w:rsidR="00702A82" w:rsidRPr="001455DC">
              <w:rPr>
                <w:rFonts w:eastAsiaTheme="minorHAnsi"/>
              </w:rPr>
              <w:t xml:space="preserve">section, circumference </w:t>
            </w:r>
            <w:r w:rsidR="00702A82" w:rsidRPr="001455DC">
              <w:rPr>
                <w:rStyle w:val="CCMCvariableitalic"/>
              </w:rPr>
              <w:t>u</w:t>
            </w:r>
          </w:p>
        </w:tc>
      </w:tr>
      <w:tr w:rsidR="00702A82" w:rsidRPr="001455DC" w14:paraId="7F5BBA30" w14:textId="77777777" w:rsidTr="00702A82">
        <w:tc>
          <w:tcPr>
            <w:tcW w:w="397" w:type="dxa"/>
            <w:shd w:val="clear" w:color="auto" w:fill="auto"/>
          </w:tcPr>
          <w:p w14:paraId="1356B861" w14:textId="79A57A46" w:rsidR="00702A82" w:rsidRPr="001455DC" w:rsidRDefault="00702A82" w:rsidP="004543C9">
            <w:pPr>
              <w:pStyle w:val="KeyText"/>
              <w:tabs>
                <w:tab w:val="clear" w:pos="346"/>
              </w:tabs>
              <w:spacing w:after="0"/>
              <w:ind w:left="0" w:firstLine="0"/>
            </w:pPr>
            <w:r w:rsidRPr="001455DC">
              <w:t>3</w:t>
            </w:r>
          </w:p>
        </w:tc>
        <w:tc>
          <w:tcPr>
            <w:tcW w:w="9412" w:type="dxa"/>
            <w:shd w:val="clear" w:color="auto" w:fill="auto"/>
          </w:tcPr>
          <w:p w14:paraId="00EC2BDF" w14:textId="70CDA1B4" w:rsidR="00702A82" w:rsidRPr="001455DC" w:rsidRDefault="00A46F70" w:rsidP="004543C9">
            <w:pPr>
              <w:pStyle w:val="KeyText"/>
              <w:tabs>
                <w:tab w:val="clear" w:pos="346"/>
              </w:tabs>
              <w:spacing w:after="0"/>
              <w:ind w:left="0" w:firstLine="0"/>
            </w:pPr>
            <w:r>
              <w:rPr>
                <w:rFonts w:eastAsiaTheme="minorHAnsi"/>
              </w:rPr>
              <w:t>c</w:t>
            </w:r>
            <w:r w:rsidR="00702A82" w:rsidRPr="001455DC">
              <w:rPr>
                <w:rFonts w:eastAsiaTheme="minorHAnsi"/>
              </w:rPr>
              <w:t>over</w:t>
            </w:r>
          </w:p>
        </w:tc>
      </w:tr>
      <w:tr w:rsidR="00702A82" w:rsidRPr="001455DC" w14:paraId="0F545A18" w14:textId="77777777" w:rsidTr="00702A82">
        <w:tc>
          <w:tcPr>
            <w:tcW w:w="397" w:type="dxa"/>
            <w:shd w:val="clear" w:color="auto" w:fill="auto"/>
          </w:tcPr>
          <w:p w14:paraId="2FE575DB" w14:textId="5C50DB9E" w:rsidR="00702A82" w:rsidRPr="001455DC" w:rsidRDefault="00702A82" w:rsidP="004543C9">
            <w:pPr>
              <w:pStyle w:val="KeyText"/>
              <w:tabs>
                <w:tab w:val="clear" w:pos="346"/>
              </w:tabs>
              <w:spacing w:after="0"/>
              <w:ind w:left="0" w:firstLine="0"/>
            </w:pPr>
            <w:r w:rsidRPr="001455DC">
              <w:t>4</w:t>
            </w:r>
          </w:p>
        </w:tc>
        <w:tc>
          <w:tcPr>
            <w:tcW w:w="9412" w:type="dxa"/>
            <w:shd w:val="clear" w:color="auto" w:fill="auto"/>
          </w:tcPr>
          <w:p w14:paraId="10E72A74" w14:textId="67515E00" w:rsidR="00702A82" w:rsidRPr="001455DC" w:rsidRDefault="00A46F70" w:rsidP="004543C9">
            <w:pPr>
              <w:pStyle w:val="KeyText"/>
              <w:tabs>
                <w:tab w:val="clear" w:pos="346"/>
              </w:tabs>
              <w:spacing w:after="0"/>
              <w:ind w:left="0" w:firstLine="0"/>
            </w:pPr>
            <w:r>
              <w:t>t</w:t>
            </w:r>
            <w:r w:rsidR="00702A82" w:rsidRPr="001455DC">
              <w:t xml:space="preserve">orsional web reinforcement </w:t>
            </w:r>
            <w:r w:rsidR="00702A82" w:rsidRPr="001455DC">
              <w:rPr>
                <w:rStyle w:val="CCMCvariableitalic"/>
              </w:rPr>
              <w:t>A</w:t>
            </w:r>
            <w:r w:rsidR="00702A82" w:rsidRPr="001455DC">
              <w:rPr>
                <w:rStyle w:val="CCMCvariablesubscript"/>
              </w:rPr>
              <w:t>sw</w:t>
            </w:r>
          </w:p>
        </w:tc>
      </w:tr>
    </w:tbl>
    <w:p w14:paraId="1B0DC6B8" w14:textId="77777777" w:rsidR="004E22C1" w:rsidRPr="001455DC" w:rsidRDefault="004E22C1" w:rsidP="0090199C">
      <w:pPr>
        <w:pStyle w:val="Figuretitle"/>
      </w:pPr>
      <w:r w:rsidRPr="001455DC">
        <w:t>Figure 8.16 — Notations and definitions used in 8.3</w:t>
      </w:r>
    </w:p>
    <w:p w14:paraId="09B169B1" w14:textId="77777777" w:rsidR="00EC0EC0" w:rsidRPr="001455DC" w:rsidRDefault="004E22C1" w:rsidP="008D37B2">
      <w:pPr>
        <w:pStyle w:val="a7"/>
        <w:keepNext/>
      </w:pPr>
      <w:r w:rsidRPr="001455DC">
        <w:t>(3)</w:t>
      </w:r>
      <w:r w:rsidRPr="001455DC">
        <w:tab/>
        <w:t xml:space="preserve">The shear force </w:t>
      </w:r>
      <w:r w:rsidRPr="001455DC">
        <w:rPr>
          <w:rStyle w:val="CCMCvariableitalic"/>
        </w:rPr>
        <w:t>V</w:t>
      </w:r>
      <w:r w:rsidRPr="001455DC">
        <w:rPr>
          <w:rStyle w:val="CCMCvariablesubscript"/>
        </w:rPr>
        <w:t>Ed,i</w:t>
      </w:r>
      <w:r w:rsidRPr="001455DC">
        <w:t xml:space="preserve"> in a wall element </w:t>
      </w:r>
      <w:r w:rsidRPr="001455DC">
        <w:rPr>
          <w:rStyle w:val="CCMCvariableitalic"/>
        </w:rPr>
        <w:t>i</w:t>
      </w:r>
      <w:r w:rsidRPr="001455DC">
        <w:t xml:space="preserve"> due to torsion may be taken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EC0EC0" w:rsidRPr="001455DC" w14:paraId="1C308191" w14:textId="77777777" w:rsidTr="00EC0EC0">
        <w:trPr>
          <w:cantSplit/>
        </w:trPr>
        <w:tc>
          <w:tcPr>
            <w:tcW w:w="8505" w:type="dxa"/>
            <w:vAlign w:val="center"/>
          </w:tcPr>
          <w:p w14:paraId="76306E49" w14:textId="54215DFC" w:rsidR="00EC0EC0" w:rsidRPr="001455DC" w:rsidRDefault="00231E33" w:rsidP="00605B61">
            <w:pPr>
              <w:pStyle w:val="Formula"/>
            </w:pPr>
            <m:oMathPara>
              <m:oMathParaPr>
                <m:jc m:val="left"/>
              </m:oMathParaPr>
              <m:oMath>
                <m:sSub>
                  <m:sSubPr>
                    <m:ctrlPr>
                      <w:rPr>
                        <w:rFonts w:ascii="Cambria Math" w:hAnsi="Cambria Math"/>
                      </w:rPr>
                    </m:ctrlPr>
                  </m:sSubPr>
                  <m:e>
                    <m:r>
                      <w:rPr>
                        <w:rFonts w:ascii="Cambria Math" w:hAnsi="Cambria Math"/>
                      </w:rPr>
                      <m:t>V</m:t>
                    </m:r>
                  </m:e>
                  <m:sub>
                    <m:r>
                      <m:rPr>
                        <m:sty m:val="p"/>
                      </m:rPr>
                      <w:rPr>
                        <w:rFonts w:ascii="Cambria Math" w:hAnsi="Cambria Math"/>
                      </w:rPr>
                      <m:t>Ed,i</m:t>
                    </m:r>
                  </m:sub>
                </m:sSub>
                <m:r>
                  <w:rPr>
                    <w:rFonts w:ascii="Cambria Math" w:hAnsi="Cambria Math"/>
                  </w:rPr>
                  <m:t>=</m:t>
                </m:r>
                <m:sSub>
                  <m:sSubPr>
                    <m:ctrlPr>
                      <w:rPr>
                        <w:rFonts w:ascii="Cambria Math" w:hAnsi="Cambria Math"/>
                      </w:rPr>
                    </m:ctrlPr>
                  </m:sSubPr>
                  <m:e>
                    <m:r>
                      <w:rPr>
                        <w:rFonts w:ascii="Cambria Math" w:hAnsi="Cambria Math"/>
                      </w:rPr>
                      <m:t>τ</m:t>
                    </m:r>
                  </m:e>
                  <m:sub>
                    <m:r>
                      <m:rPr>
                        <m:sty m:val="p"/>
                      </m:rPr>
                      <w:rPr>
                        <w:rFonts w:ascii="Cambria Math" w:hAnsi="Cambria Math"/>
                      </w:rPr>
                      <m:t>t,i</m:t>
                    </m:r>
                    <m:r>
                      <w:rPr>
                        <w:rFonts w:ascii="Cambria Math" w:hAnsi="Cambria Math"/>
                      </w:rPr>
                      <m:t xml:space="preserve"> </m:t>
                    </m:r>
                  </m:sub>
                </m:sSub>
                <m:sSub>
                  <m:sSubPr>
                    <m:ctrlPr>
                      <w:rPr>
                        <w:rFonts w:ascii="Cambria Math" w:hAnsi="Cambria Math"/>
                      </w:rPr>
                    </m:ctrlPr>
                  </m:sSubPr>
                  <m:e>
                    <m:r>
                      <w:rPr>
                        <w:rFonts w:ascii="Cambria Math" w:hAnsi="Cambria Math"/>
                      </w:rPr>
                      <m:t>t</m:t>
                    </m:r>
                  </m:e>
                  <m:sub>
                    <m:r>
                      <m:rPr>
                        <m:sty m:val="p"/>
                      </m:rPr>
                      <w:rPr>
                        <w:rFonts w:ascii="Cambria Math" w:hAnsi="Cambria Math"/>
                      </w:rPr>
                      <m:t>eff,i</m:t>
                    </m:r>
                  </m:sub>
                </m:sSub>
                <m:r>
                  <w:rPr>
                    <w:rFonts w:ascii="Cambria Math" w:hAnsi="Cambria Math"/>
                  </w:rPr>
                  <m:t xml:space="preserve"> </m:t>
                </m:r>
                <m:sSub>
                  <m:sSubPr>
                    <m:ctrlPr>
                      <w:rPr>
                        <w:rFonts w:ascii="Cambria Math" w:hAnsi="Cambria Math"/>
                      </w:rPr>
                    </m:ctrlPr>
                  </m:sSubPr>
                  <m:e>
                    <m:r>
                      <w:rPr>
                        <w:rFonts w:ascii="Cambria Math" w:hAnsi="Cambria Math"/>
                      </w:rPr>
                      <m:t>z</m:t>
                    </m:r>
                  </m:e>
                  <m:sub>
                    <m:r>
                      <m:rPr>
                        <m:sty m:val="p"/>
                      </m:rPr>
                      <w:rPr>
                        <w:rFonts w:ascii="Cambria Math" w:hAnsi="Cambria Math"/>
                      </w:rPr>
                      <m:t>i</m:t>
                    </m:r>
                  </m:sub>
                </m:sSub>
              </m:oMath>
            </m:oMathPara>
          </w:p>
        </w:tc>
        <w:tc>
          <w:tcPr>
            <w:tcW w:w="1247" w:type="dxa"/>
            <w:vAlign w:val="center"/>
          </w:tcPr>
          <w:p w14:paraId="3B03CF32" w14:textId="6F0B5C30" w:rsidR="00EC0EC0" w:rsidRPr="001455DC" w:rsidRDefault="0090199C">
            <w:pPr>
              <w:pStyle w:val="a7"/>
              <w:jc w:val="right"/>
            </w:pPr>
            <w:r w:rsidRPr="001455DC">
              <w:t>(8.</w:t>
            </w:r>
            <w:r w:rsidR="004B5BBD" w:rsidRPr="001455DC">
              <w:t>64</w:t>
            </w:r>
            <w:r w:rsidRPr="001455DC">
              <w:t>)</w:t>
            </w:r>
          </w:p>
        </w:tc>
      </w:tr>
    </w:tbl>
    <w:p w14:paraId="333B2FCB" w14:textId="77777777" w:rsidR="0090199C" w:rsidRPr="001455DC" w:rsidRDefault="0090199C"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90199C" w:rsidRPr="001455DC" w14:paraId="020EC615" w14:textId="77777777" w:rsidTr="0090199C">
        <w:trPr>
          <w:cantSplit/>
        </w:trPr>
        <w:tc>
          <w:tcPr>
            <w:tcW w:w="567" w:type="dxa"/>
          </w:tcPr>
          <w:p w14:paraId="00A549E7" w14:textId="2FB71BE8" w:rsidR="0090199C" w:rsidRPr="001455DC" w:rsidRDefault="0090199C" w:rsidP="00702A82">
            <w:pPr>
              <w:pStyle w:val="Tablebody"/>
            </w:pPr>
            <w:r w:rsidRPr="001455DC">
              <w:rPr>
                <w:rStyle w:val="CCMCvariableitalic"/>
              </w:rPr>
              <w:t>z</w:t>
            </w:r>
            <w:r w:rsidRPr="001455DC">
              <w:rPr>
                <w:rStyle w:val="CCMCvariablesubscript"/>
              </w:rPr>
              <w:t>i</w:t>
            </w:r>
          </w:p>
        </w:tc>
        <w:tc>
          <w:tcPr>
            <w:tcW w:w="8845" w:type="dxa"/>
          </w:tcPr>
          <w:p w14:paraId="6010DD83" w14:textId="19290414" w:rsidR="0090199C" w:rsidRPr="001455DC" w:rsidRDefault="0090199C" w:rsidP="00702A82">
            <w:pPr>
              <w:pStyle w:val="Tablebody"/>
            </w:pPr>
            <w:r w:rsidRPr="001455DC">
              <w:rPr>
                <w:rFonts w:eastAsiaTheme="minorHAnsi"/>
              </w:rPr>
              <w:t xml:space="preserve">is the side length of wall </w:t>
            </w:r>
            <w:r w:rsidRPr="001455DC">
              <w:rPr>
                <w:rStyle w:val="CCMCvariableitalic"/>
              </w:rPr>
              <w:t>i</w:t>
            </w:r>
            <w:r w:rsidRPr="001455DC">
              <w:rPr>
                <w:rFonts w:eastAsiaTheme="minorHAnsi"/>
              </w:rPr>
              <w:t xml:space="preserve"> defined by the distance between the intersection points with the adjacent walls.</w:t>
            </w:r>
          </w:p>
        </w:tc>
      </w:tr>
    </w:tbl>
    <w:p w14:paraId="602E113D" w14:textId="4C381239" w:rsidR="004E22C1" w:rsidRPr="001455DC" w:rsidRDefault="004E22C1" w:rsidP="00243590">
      <w:pPr>
        <w:pStyle w:val="31"/>
      </w:pPr>
      <w:bookmarkStart w:id="592" w:name="_Toc52819985"/>
      <w:bookmarkStart w:id="593" w:name="_Toc54337379"/>
      <w:bookmarkStart w:id="594" w:name="_Toc54338041"/>
      <w:bookmarkStart w:id="595" w:name="_Toc67565389"/>
      <w:r w:rsidRPr="001455DC">
        <w:t>Internal forces due to torsion in open sections</w:t>
      </w:r>
      <w:bookmarkEnd w:id="592"/>
      <w:bookmarkEnd w:id="593"/>
      <w:bookmarkEnd w:id="594"/>
      <w:bookmarkEnd w:id="595"/>
    </w:p>
    <w:p w14:paraId="625837A9" w14:textId="77777777" w:rsidR="004E22C1" w:rsidRPr="001455DC" w:rsidRDefault="004E22C1" w:rsidP="00EC0EC0">
      <w:pPr>
        <w:pStyle w:val="a7"/>
        <w:rPr>
          <w:rFonts w:eastAsiaTheme="minorHAnsi"/>
          <w:bCs/>
        </w:rPr>
      </w:pPr>
      <w:r w:rsidRPr="001455DC">
        <w:t>(1)</w:t>
      </w:r>
      <w:r w:rsidRPr="001455DC">
        <w:tab/>
      </w:r>
      <w:r w:rsidRPr="001455DC">
        <w:rPr>
          <w:rFonts w:eastAsiaTheme="minorHAnsi"/>
        </w:rPr>
        <w:t>In open thin walled members it may be necessary to consider warping torsion. In this case the different parts of the section should be designed according to the rules for bending and longitudinal axial force in 8.1 and shear in 8.2.</w:t>
      </w:r>
    </w:p>
    <w:p w14:paraId="6D5C3AD0" w14:textId="0699900E" w:rsidR="004E22C1" w:rsidRPr="001455DC" w:rsidRDefault="004E22C1" w:rsidP="00243590">
      <w:pPr>
        <w:pStyle w:val="31"/>
      </w:pPr>
      <w:bookmarkStart w:id="596" w:name="_Toc52819986"/>
      <w:bookmarkStart w:id="597" w:name="_Toc54337380"/>
      <w:bookmarkStart w:id="598" w:name="_Toc54338042"/>
      <w:bookmarkStart w:id="599" w:name="_Toc67565390"/>
      <w:r w:rsidRPr="001455DC">
        <w:t>Torsional resistance of compact or closed sections</w:t>
      </w:r>
      <w:bookmarkEnd w:id="596"/>
      <w:bookmarkEnd w:id="597"/>
      <w:bookmarkEnd w:id="598"/>
      <w:bookmarkEnd w:id="599"/>
    </w:p>
    <w:p w14:paraId="2B6EC797" w14:textId="77777777" w:rsidR="00EC0EC0" w:rsidRPr="001455DC" w:rsidRDefault="004E22C1" w:rsidP="008D37B2">
      <w:pPr>
        <w:pStyle w:val="a7"/>
        <w:keepNext/>
      </w:pPr>
      <w:r w:rsidRPr="001455DC">
        <w:t>(1)</w:t>
      </w:r>
      <w:r w:rsidRPr="001455DC">
        <w:tab/>
      </w:r>
      <w:r w:rsidRPr="001455DC">
        <w:rPr>
          <w:szCs w:val="22"/>
        </w:rPr>
        <w:t xml:space="preserve">For a single cell, thin-walled section or a sub-section with constant effective wall thickness </w:t>
      </w:r>
      <w:r w:rsidRPr="001455DC">
        <w:rPr>
          <w:rStyle w:val="CCMCvariableitalic"/>
        </w:rPr>
        <w:t>t</w:t>
      </w:r>
      <w:r w:rsidRPr="001455DC">
        <w:rPr>
          <w:rStyle w:val="CCMCvariablesubscript"/>
        </w:rPr>
        <w:t>eff</w:t>
      </w:r>
      <w:r w:rsidRPr="001455DC">
        <w:rPr>
          <w:szCs w:val="22"/>
        </w:rPr>
        <w:t>, the design torsional capacity may be calculated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EC0EC0" w:rsidRPr="001455DC" w14:paraId="1430012F" w14:textId="77777777" w:rsidTr="00EC0EC0">
        <w:trPr>
          <w:cantSplit/>
        </w:trPr>
        <w:tc>
          <w:tcPr>
            <w:tcW w:w="8505" w:type="dxa"/>
            <w:vAlign w:val="center"/>
          </w:tcPr>
          <w:p w14:paraId="53EBA939" w14:textId="2CCD55DA" w:rsidR="00EC0EC0" w:rsidRPr="001455DC" w:rsidRDefault="00231E33" w:rsidP="00EC0EC0">
            <w:pPr>
              <w:pStyle w:val="Formula"/>
              <w:jc w:val="left"/>
            </w:pPr>
            <m:oMathPara>
              <m:oMathParaPr>
                <m:jc m:val="left"/>
              </m:oMathParaPr>
              <m:oMath>
                <m:sSub>
                  <m:sSubPr>
                    <m:ctrlPr>
                      <w:rPr>
                        <w:rFonts w:ascii="Cambria Math" w:hAnsi="Cambria Math"/>
                      </w:rPr>
                    </m:ctrlPr>
                  </m:sSubPr>
                  <m:e>
                    <m:r>
                      <w:rPr>
                        <w:rFonts w:ascii="Cambria Math" w:hAnsi="Cambria Math"/>
                      </w:rPr>
                      <m:t>τ</m:t>
                    </m:r>
                  </m:e>
                  <m:sub>
                    <m:r>
                      <m:rPr>
                        <m:sty m:val="p"/>
                      </m:rPr>
                      <w:rPr>
                        <w:rFonts w:ascii="Cambria Math" w:hAnsi="Cambria Math"/>
                      </w:rPr>
                      <m:t>t,Rd</m:t>
                    </m:r>
                  </m:sub>
                </m:sSub>
                <m:r>
                  <w:rPr>
                    <w:rFonts w:ascii="Cambria Math" w:hAnsi="Cambria Math"/>
                  </w:rPr>
                  <m:t>=</m:t>
                </m:r>
                <m:r>
                  <m:rPr>
                    <m:sty m:val="p"/>
                  </m:rPr>
                  <w:rPr>
                    <w:rFonts w:ascii="Cambria Math" w:hAnsi="Cambria Math"/>
                  </w:rPr>
                  <m:t>min</m:t>
                </m:r>
                <m:d>
                  <m:dPr>
                    <m:begChr m:val="{"/>
                    <m:endChr m:val="}"/>
                    <m:ctrlPr>
                      <w:rPr>
                        <w:rFonts w:ascii="Cambria Math" w:hAnsi="Cambria Math"/>
                      </w:rPr>
                    </m:ctrlPr>
                  </m:dPr>
                  <m:e>
                    <m:sSub>
                      <m:sSubPr>
                        <m:ctrlPr>
                          <w:rPr>
                            <w:rFonts w:ascii="Cambria Math" w:hAnsi="Cambria Math"/>
                          </w:rPr>
                        </m:ctrlPr>
                      </m:sSubPr>
                      <m:e>
                        <m:r>
                          <w:rPr>
                            <w:rFonts w:ascii="Cambria Math" w:hAnsi="Cambria Math"/>
                          </w:rPr>
                          <m:t>τ</m:t>
                        </m:r>
                      </m:e>
                      <m:sub>
                        <m:r>
                          <m:rPr>
                            <m:sty m:val="p"/>
                          </m:rPr>
                          <w:rPr>
                            <w:rFonts w:ascii="Cambria Math" w:hAnsi="Cambria Math"/>
                          </w:rPr>
                          <m:t>t,Rd,sw</m:t>
                        </m:r>
                      </m:sub>
                    </m:sSub>
                    <m:r>
                      <w:rPr>
                        <w:rFonts w:ascii="Cambria Math" w:hAnsi="Cambria Math"/>
                      </w:rPr>
                      <m:t>;</m:t>
                    </m:r>
                    <m:sSub>
                      <m:sSubPr>
                        <m:ctrlPr>
                          <w:rPr>
                            <w:rFonts w:ascii="Cambria Math" w:hAnsi="Cambria Math"/>
                          </w:rPr>
                        </m:ctrlPr>
                      </m:sSubPr>
                      <m:e>
                        <m:r>
                          <w:rPr>
                            <w:rFonts w:ascii="Cambria Math" w:hAnsi="Cambria Math"/>
                          </w:rPr>
                          <m:t>τ</m:t>
                        </m:r>
                      </m:e>
                      <m:sub>
                        <m:r>
                          <m:rPr>
                            <m:sty m:val="p"/>
                          </m:rPr>
                          <w:rPr>
                            <w:rFonts w:ascii="Cambria Math" w:hAnsi="Cambria Math"/>
                          </w:rPr>
                          <m:t>t,Rd,sl</m:t>
                        </m:r>
                      </m:sub>
                    </m:sSub>
                    <m:r>
                      <w:rPr>
                        <w:rFonts w:ascii="Cambria Math" w:hAnsi="Cambria Math"/>
                      </w:rPr>
                      <m:t xml:space="preserve">; </m:t>
                    </m:r>
                    <m:sSub>
                      <m:sSubPr>
                        <m:ctrlPr>
                          <w:rPr>
                            <w:rFonts w:ascii="Cambria Math" w:hAnsi="Cambria Math"/>
                          </w:rPr>
                        </m:ctrlPr>
                      </m:sSubPr>
                      <m:e>
                        <m:r>
                          <w:rPr>
                            <w:rFonts w:ascii="Cambria Math" w:hAnsi="Cambria Math"/>
                          </w:rPr>
                          <m:t>τ</m:t>
                        </m:r>
                      </m:e>
                      <m:sub>
                        <m:r>
                          <m:rPr>
                            <m:sty m:val="p"/>
                          </m:rPr>
                          <w:rPr>
                            <w:rFonts w:ascii="Cambria Math" w:hAnsi="Cambria Math"/>
                          </w:rPr>
                          <m:t>t,Rd,max</m:t>
                        </m:r>
                      </m:sub>
                    </m:sSub>
                  </m:e>
                </m:d>
              </m:oMath>
            </m:oMathPara>
          </w:p>
        </w:tc>
        <w:tc>
          <w:tcPr>
            <w:tcW w:w="1247" w:type="dxa"/>
            <w:vAlign w:val="center"/>
          </w:tcPr>
          <w:p w14:paraId="12C7C07C" w14:textId="21DC8D28" w:rsidR="00EC0EC0" w:rsidRPr="001455DC" w:rsidRDefault="0090199C">
            <w:pPr>
              <w:pStyle w:val="a7"/>
              <w:jc w:val="right"/>
            </w:pPr>
            <w:r w:rsidRPr="001455DC">
              <w:t>(8.</w:t>
            </w:r>
            <w:r w:rsidR="004B5BBD" w:rsidRPr="001455DC">
              <w:t>65</w:t>
            </w:r>
            <w:r w:rsidRPr="001455DC">
              <w:t>)</w:t>
            </w:r>
          </w:p>
        </w:tc>
      </w:tr>
    </w:tbl>
    <w:p w14:paraId="23D056CD" w14:textId="594A4690" w:rsidR="004E22C1" w:rsidRPr="001455DC" w:rsidRDefault="004E22C1" w:rsidP="00EC0EC0">
      <w:pPr>
        <w:pStyle w:val="a7"/>
        <w:rPr>
          <w:szCs w:val="22"/>
        </w:rPr>
      </w:pPr>
      <w:r w:rsidRPr="001455DC">
        <w:rPr>
          <w:szCs w:val="22"/>
        </w:rPr>
        <w:t xml:space="preserve">where </w:t>
      </w:r>
      <w:r w:rsidRPr="001455DC">
        <w:rPr>
          <w:rStyle w:val="CCMCvariableitalic"/>
        </w:rPr>
        <w:t>τ</w:t>
      </w:r>
      <w:r w:rsidRPr="001455DC">
        <w:rPr>
          <w:rStyle w:val="CCMCvariablesubscript"/>
        </w:rPr>
        <w:t>Rd,sl</w:t>
      </w:r>
      <w:r w:rsidRPr="001455DC">
        <w:rPr>
          <w:szCs w:val="22"/>
        </w:rPr>
        <w:t xml:space="preserve">, </w:t>
      </w:r>
      <w:r w:rsidRPr="001455DC">
        <w:rPr>
          <w:rStyle w:val="CCMCvariableitalic"/>
        </w:rPr>
        <w:t>τ</w:t>
      </w:r>
      <w:r w:rsidRPr="001455DC">
        <w:rPr>
          <w:rStyle w:val="CCMCvariablesubscript"/>
        </w:rPr>
        <w:t>Rd,sw</w:t>
      </w:r>
      <w:r w:rsidRPr="001455DC">
        <w:rPr>
          <w:szCs w:val="22"/>
        </w:rPr>
        <w:t xml:space="preserve"> and </w:t>
      </w:r>
      <w:r w:rsidRPr="001455DC">
        <w:rPr>
          <w:rStyle w:val="CCMCvariableitalic"/>
        </w:rPr>
        <w:t>τ</w:t>
      </w:r>
      <w:r w:rsidRPr="001455DC">
        <w:rPr>
          <w:rStyle w:val="CCMCvariablesubscript"/>
        </w:rPr>
        <w:t>t,Rd,max</w:t>
      </w:r>
      <w:r w:rsidRPr="001455DC">
        <w:rPr>
          <w:szCs w:val="22"/>
        </w:rPr>
        <w:t xml:space="preserve"> are torsional sresses given by Formulae (8.</w:t>
      </w:r>
      <w:r w:rsidR="004B5BBD" w:rsidRPr="001455DC">
        <w:rPr>
          <w:szCs w:val="22"/>
        </w:rPr>
        <w:t>65</w:t>
      </w:r>
      <w:r w:rsidRPr="001455DC">
        <w:rPr>
          <w:szCs w:val="22"/>
        </w:rPr>
        <w:t xml:space="preserve">) </w:t>
      </w:r>
      <w:r w:rsidRPr="001455DC">
        <w:t xml:space="preserve">to </w:t>
      </w:r>
      <w:r w:rsidRPr="001455DC">
        <w:rPr>
          <w:szCs w:val="22"/>
        </w:rPr>
        <w:t>(8.</w:t>
      </w:r>
      <w:r w:rsidR="004B5BBD" w:rsidRPr="001455DC">
        <w:rPr>
          <w:szCs w:val="22"/>
        </w:rPr>
        <w:t>68</w:t>
      </w:r>
      <w:r w:rsidRPr="001455DC">
        <w:rPr>
          <w:szCs w:val="22"/>
        </w:rPr>
        <w:t>) and determined on the basis of Annex G.</w:t>
      </w:r>
    </w:p>
    <w:p w14:paraId="17FE623A" w14:textId="5338CE30" w:rsidR="00CA356C" w:rsidRPr="001455DC" w:rsidRDefault="004E22C1" w:rsidP="008D37B2">
      <w:pPr>
        <w:pStyle w:val="a7"/>
        <w:keepNext/>
      </w:pPr>
      <w:r w:rsidRPr="001455DC">
        <w:rPr>
          <w:szCs w:val="22"/>
        </w:rPr>
        <w:t>(2)</w:t>
      </w:r>
      <w:r w:rsidRPr="001455DC">
        <w:rPr>
          <w:szCs w:val="22"/>
        </w:rPr>
        <w:tab/>
        <w:t xml:space="preserve">The torsional capacity when governed by yielding of the longitudinal reinforcement </w:t>
      </w:r>
      <w:r w:rsidRPr="001455DC">
        <w:rPr>
          <w:rStyle w:val="CCMCvariableitalic"/>
        </w:rPr>
        <w:t>τ</w:t>
      </w:r>
      <w:r w:rsidRPr="001455DC">
        <w:rPr>
          <w:rStyle w:val="CCMCvariablesubscript"/>
        </w:rPr>
        <w:t>t,Rd,sl</w:t>
      </w:r>
      <w:r w:rsidRPr="001455DC">
        <w:rPr>
          <w:szCs w:val="22"/>
        </w:rPr>
        <w:t xml:space="preserve"> or the shear reinforcement </w:t>
      </w:r>
      <w:r w:rsidRPr="001455DC">
        <w:rPr>
          <w:rStyle w:val="CCMCvariableitalic"/>
        </w:rPr>
        <w:t>τ</w:t>
      </w:r>
      <w:r w:rsidRPr="001455DC">
        <w:rPr>
          <w:rStyle w:val="CCMCvariablesubscript"/>
        </w:rPr>
        <w:t>t,Rd,sw</w:t>
      </w:r>
      <w:r w:rsidRPr="001455DC">
        <w:rPr>
          <w:szCs w:val="22"/>
        </w:rPr>
        <w:t xml:space="preserve"> may be calculated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CA356C" w:rsidRPr="001455DC" w14:paraId="0FC6D88A" w14:textId="77777777" w:rsidTr="004A59E7">
        <w:trPr>
          <w:cantSplit/>
        </w:trPr>
        <w:tc>
          <w:tcPr>
            <w:tcW w:w="8505" w:type="dxa"/>
            <w:vAlign w:val="center"/>
          </w:tcPr>
          <w:p w14:paraId="150B0B10" w14:textId="4B736C8B" w:rsidR="00CA356C" w:rsidRPr="001455DC" w:rsidRDefault="00231E33" w:rsidP="004A59E7">
            <w:pPr>
              <w:pStyle w:val="Formula"/>
              <w:jc w:val="left"/>
            </w:pPr>
            <m:oMathPara>
              <m:oMathParaPr>
                <m:jc m:val="left"/>
              </m:oMathParaPr>
              <m:oMath>
                <m:sSub>
                  <m:sSubPr>
                    <m:ctrlPr>
                      <w:rPr>
                        <w:rFonts w:ascii="Cambria Math" w:hAnsi="Cambria Math"/>
                      </w:rPr>
                    </m:ctrlPr>
                  </m:sSubPr>
                  <m:e>
                    <m:r>
                      <w:rPr>
                        <w:rFonts w:ascii="Cambria Math" w:hAnsi="Cambria Math"/>
                      </w:rPr>
                      <m:t>τ</m:t>
                    </m:r>
                  </m:e>
                  <m:sub>
                    <m:r>
                      <m:rPr>
                        <m:sty m:val="p"/>
                      </m:rPr>
                      <w:rPr>
                        <w:rFonts w:ascii="Cambria Math" w:hAnsi="Cambria Math"/>
                      </w:rPr>
                      <m:t>t,Rd,sw</m:t>
                    </m:r>
                  </m:sub>
                </m:sSub>
                <m:r>
                  <w:rPr>
                    <w:rFonts w:ascii="Cambria Math" w:hAnsi="Cambria Math"/>
                  </w:rPr>
                  <m:t xml:space="preserve"> =</m:t>
                </m:r>
                <m:r>
                  <m:rPr>
                    <m:sty m:val="p"/>
                  </m:rPr>
                  <w:rPr>
                    <w:rFonts w:ascii="Cambria Math" w:hAnsi="Cambria Math"/>
                  </w:rPr>
                  <m:t>cot</m:t>
                </m:r>
                <m:r>
                  <w:rPr>
                    <w:rFonts w:ascii="Cambria Math" w:hAnsi="Cambria Math"/>
                  </w:rPr>
                  <m:t>θ</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sw</m:t>
                        </m:r>
                        <m:r>
                          <w:rPr>
                            <w:rFonts w:ascii="Cambria Math" w:hAnsi="Cambria Math"/>
                          </w:rPr>
                          <m:t xml:space="preserve"> </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eff</m:t>
                        </m:r>
                      </m:sub>
                    </m:sSub>
                    <m:r>
                      <w:rPr>
                        <w:rFonts w:ascii="Cambria Math" w:hAnsi="Cambria Math"/>
                      </w:rPr>
                      <m:t>⋅s</m:t>
                    </m:r>
                  </m:den>
                </m:f>
                <m:sSub>
                  <m:sSubPr>
                    <m:ctrlPr>
                      <w:rPr>
                        <w:rFonts w:ascii="Cambria Math" w:hAnsi="Cambria Math"/>
                      </w:rPr>
                    </m:ctrlPr>
                  </m:sSubPr>
                  <m:e>
                    <m:r>
                      <w:rPr>
                        <w:rFonts w:ascii="Cambria Math" w:hAnsi="Cambria Math"/>
                      </w:rPr>
                      <m:t>f</m:t>
                    </m:r>
                  </m:e>
                  <m:sub>
                    <m:r>
                      <m:rPr>
                        <m:sty m:val="p"/>
                      </m:rPr>
                      <w:rPr>
                        <w:rFonts w:ascii="Cambria Math" w:hAnsi="Cambria Math"/>
                      </w:rPr>
                      <m:t>ywd</m:t>
                    </m:r>
                  </m:sub>
                </m:sSub>
                <m:r>
                  <w:rPr>
                    <w:rFonts w:ascii="Cambria Math" w:hAnsi="Cambria Math"/>
                  </w:rPr>
                  <m:t xml:space="preserve"> </m:t>
                </m:r>
              </m:oMath>
            </m:oMathPara>
          </w:p>
        </w:tc>
        <w:tc>
          <w:tcPr>
            <w:tcW w:w="1247" w:type="dxa"/>
            <w:vAlign w:val="center"/>
          </w:tcPr>
          <w:p w14:paraId="63B41CEF" w14:textId="454ADCEE" w:rsidR="00CA356C" w:rsidRPr="001455DC" w:rsidRDefault="0090199C">
            <w:pPr>
              <w:pStyle w:val="a7"/>
              <w:jc w:val="right"/>
            </w:pPr>
            <w:r w:rsidRPr="001455DC">
              <w:t>(8.</w:t>
            </w:r>
            <w:r w:rsidR="004B5BBD" w:rsidRPr="001455DC">
              <w:t>66</w:t>
            </w:r>
            <w:r w:rsidRPr="001455DC">
              <w:t>)</w:t>
            </w:r>
          </w:p>
        </w:tc>
      </w:tr>
    </w:tbl>
    <w:p w14:paraId="353D758C" w14:textId="77777777" w:rsidR="00CA356C" w:rsidRPr="001455DC" w:rsidRDefault="004E22C1" w:rsidP="008D37B2">
      <w:pPr>
        <w:pStyle w:val="a7"/>
        <w:keepNext/>
      </w:pPr>
      <w:r w:rsidRPr="001455DC">
        <w:t>and</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CA356C" w:rsidRPr="001455DC" w14:paraId="7E766D36" w14:textId="77777777" w:rsidTr="004A59E7">
        <w:trPr>
          <w:cantSplit/>
        </w:trPr>
        <w:tc>
          <w:tcPr>
            <w:tcW w:w="8505" w:type="dxa"/>
            <w:vAlign w:val="center"/>
          </w:tcPr>
          <w:p w14:paraId="11D33A6D" w14:textId="6D0D58FD" w:rsidR="00CA356C" w:rsidRPr="001455DC" w:rsidRDefault="00231E33" w:rsidP="004A59E7">
            <w:pPr>
              <w:pStyle w:val="Formula"/>
              <w:jc w:val="left"/>
            </w:pPr>
            <m:oMathPara>
              <m:oMathParaPr>
                <m:jc m:val="left"/>
              </m:oMathParaPr>
              <m:oMath>
                <m:sSub>
                  <m:sSubPr>
                    <m:ctrlPr>
                      <w:rPr>
                        <w:rFonts w:ascii="Cambria Math" w:hAnsi="Cambria Math"/>
                      </w:rPr>
                    </m:ctrlPr>
                  </m:sSubPr>
                  <m:e>
                    <m:r>
                      <w:rPr>
                        <w:rFonts w:ascii="Cambria Math" w:hAnsi="Cambria Math"/>
                      </w:rPr>
                      <m:t>τ</m:t>
                    </m:r>
                  </m:e>
                  <m:sub>
                    <m:r>
                      <m:rPr>
                        <m:sty m:val="p"/>
                      </m:rPr>
                      <w:rPr>
                        <w:rFonts w:ascii="Cambria Math" w:hAnsi="Cambria Math"/>
                      </w:rPr>
                      <m:t>t,Rd,sl</m:t>
                    </m:r>
                  </m:sub>
                </m:sSub>
                <m:r>
                  <w:rPr>
                    <w:rFonts w:ascii="Cambria Math" w:hAnsi="Cambria Math"/>
                  </w:rPr>
                  <m:t>=</m:t>
                </m:r>
                <m:f>
                  <m:fPr>
                    <m:ctrlPr>
                      <w:rPr>
                        <w:rFonts w:ascii="Cambria Math" w:hAnsi="Cambria Math"/>
                      </w:rPr>
                    </m:ctrlPr>
                  </m:fPr>
                  <m:num>
                    <m:r>
                      <w:rPr>
                        <w:rFonts w:ascii="Cambria Math" w:hAnsi="Cambria Math" w:hint="eastAsia"/>
                      </w:rPr>
                      <m:t>∑</m:t>
                    </m:r>
                    <m:sSub>
                      <m:sSubPr>
                        <m:ctrlPr>
                          <w:rPr>
                            <w:rFonts w:ascii="Cambria Math" w:hAnsi="Cambria Math"/>
                          </w:rPr>
                        </m:ctrlPr>
                      </m:sSubPr>
                      <m:e>
                        <m:r>
                          <w:rPr>
                            <w:rFonts w:ascii="Cambria Math" w:hAnsi="Cambria Math"/>
                          </w:rPr>
                          <m:t>A</m:t>
                        </m:r>
                      </m:e>
                      <m:sub>
                        <m:r>
                          <m:rPr>
                            <m:sty m:val="p"/>
                          </m:rPr>
                          <w:rPr>
                            <w:rFonts w:ascii="Cambria Math" w:hAnsi="Cambria Math"/>
                          </w:rPr>
                          <m:t>sl</m:t>
                        </m:r>
                        <m:r>
                          <w:rPr>
                            <w:rFonts w:ascii="Cambria Math" w:hAnsi="Cambria Math"/>
                          </w:rPr>
                          <m:t xml:space="preserve"> </m:t>
                        </m:r>
                      </m:sub>
                    </m:sSub>
                    <m:sSub>
                      <m:sSubPr>
                        <m:ctrlPr>
                          <w:rPr>
                            <w:rFonts w:ascii="Cambria Math" w:hAnsi="Cambria Math"/>
                          </w:rPr>
                        </m:ctrlPr>
                      </m:sSubPr>
                      <m:e>
                        <m:r>
                          <w:rPr>
                            <w:rFonts w:ascii="Cambria Math" w:hAnsi="Cambria Math"/>
                          </w:rPr>
                          <m:t>f</m:t>
                        </m:r>
                      </m:e>
                      <m:sub>
                        <m:r>
                          <m:rPr>
                            <m:sty m:val="p"/>
                          </m:rPr>
                          <w:rPr>
                            <w:rFonts w:ascii="Cambria Math" w:hAnsi="Cambria Math"/>
                          </w:rPr>
                          <m:t>yd</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eff</m:t>
                        </m:r>
                      </m:sub>
                    </m:sSub>
                    <m:sSub>
                      <m:sSubPr>
                        <m:ctrlPr>
                          <w:rPr>
                            <w:rFonts w:ascii="Cambria Math" w:hAnsi="Cambria Math"/>
                          </w:rPr>
                        </m:ctrlPr>
                      </m:sSubPr>
                      <m:e>
                        <m:r>
                          <w:rPr>
                            <w:rFonts w:ascii="Cambria Math" w:hAnsi="Cambria Math"/>
                          </w:rPr>
                          <m:t>u</m:t>
                        </m:r>
                      </m:e>
                      <m:sub>
                        <m:r>
                          <m:rPr>
                            <m:sty m:val="p"/>
                          </m:rPr>
                          <w:rPr>
                            <w:rFonts w:ascii="Cambria Math" w:hAnsi="Cambria Math"/>
                          </w:rPr>
                          <m:t>k</m:t>
                        </m:r>
                      </m:sub>
                    </m:sSub>
                    <m:r>
                      <m:rPr>
                        <m:sty m:val="p"/>
                      </m:rPr>
                      <w:rPr>
                        <w:rFonts w:ascii="Cambria Math" w:hAnsi="Cambria Math"/>
                      </w:rPr>
                      <m:t>cot</m:t>
                    </m:r>
                    <m:r>
                      <w:rPr>
                        <w:rFonts w:ascii="Cambria Math" w:hAnsi="Cambria Math"/>
                      </w:rPr>
                      <m:t>θ</m:t>
                    </m:r>
                  </m:den>
                </m:f>
                <m:r>
                  <w:rPr>
                    <w:rFonts w:ascii="Cambria Math" w:hAnsi="Cambria Math"/>
                  </w:rPr>
                  <m:t xml:space="preserve"> </m:t>
                </m:r>
              </m:oMath>
            </m:oMathPara>
          </w:p>
        </w:tc>
        <w:tc>
          <w:tcPr>
            <w:tcW w:w="1247" w:type="dxa"/>
            <w:vAlign w:val="center"/>
          </w:tcPr>
          <w:p w14:paraId="6F7534C5" w14:textId="640A79F7" w:rsidR="00CA356C" w:rsidRPr="001455DC" w:rsidRDefault="0090199C">
            <w:pPr>
              <w:pStyle w:val="a7"/>
              <w:jc w:val="right"/>
            </w:pPr>
            <w:r w:rsidRPr="001455DC">
              <w:t>(8.</w:t>
            </w:r>
            <w:r w:rsidR="004B5BBD" w:rsidRPr="001455DC">
              <w:t>67</w:t>
            </w:r>
            <w:r w:rsidRPr="001455DC">
              <w:t>)</w:t>
            </w:r>
          </w:p>
        </w:tc>
      </w:tr>
    </w:tbl>
    <w:p w14:paraId="0A1916A8" w14:textId="2F461866" w:rsidR="0089465B" w:rsidRPr="001455DC" w:rsidRDefault="0089465B" w:rsidP="00A35599">
      <w:pPr>
        <w:pStyle w:val="a7"/>
        <w:keepNext/>
      </w:pPr>
      <w:r w:rsidRPr="001455DC">
        <w:t>where</w:t>
      </w:r>
    </w:p>
    <w:tbl>
      <w:tblPr>
        <w:tblW w:w="9413" w:type="dxa"/>
        <w:tblInd w:w="397" w:type="dxa"/>
        <w:tblLayout w:type="fixed"/>
        <w:tblCellMar>
          <w:left w:w="28" w:type="dxa"/>
          <w:right w:w="28" w:type="dxa"/>
        </w:tblCellMar>
        <w:tblLook w:val="04A0" w:firstRow="1" w:lastRow="0" w:firstColumn="1" w:lastColumn="0" w:noHBand="0" w:noVBand="1"/>
      </w:tblPr>
      <w:tblGrid>
        <w:gridCol w:w="851"/>
        <w:gridCol w:w="8562"/>
      </w:tblGrid>
      <w:tr w:rsidR="0089465B" w:rsidRPr="001455DC" w14:paraId="1C2E5BB7" w14:textId="77777777" w:rsidTr="0089465B">
        <w:trPr>
          <w:cantSplit/>
        </w:trPr>
        <w:tc>
          <w:tcPr>
            <w:tcW w:w="851" w:type="dxa"/>
          </w:tcPr>
          <w:p w14:paraId="7F86D31D" w14:textId="5870CD06" w:rsidR="0089465B" w:rsidRPr="001455DC" w:rsidRDefault="0089465B" w:rsidP="00702A82">
            <w:pPr>
              <w:pStyle w:val="Tablebody"/>
            </w:pPr>
            <w:r w:rsidRPr="001455DC">
              <w:rPr>
                <w:rStyle w:val="CCMCvariableitalic"/>
              </w:rPr>
              <w:t>u</w:t>
            </w:r>
            <w:r w:rsidRPr="001455DC">
              <w:rPr>
                <w:rStyle w:val="CCMCvariablesubscript"/>
              </w:rPr>
              <w:t>k</w:t>
            </w:r>
          </w:p>
        </w:tc>
        <w:tc>
          <w:tcPr>
            <w:tcW w:w="8562" w:type="dxa"/>
          </w:tcPr>
          <w:p w14:paraId="725E068E" w14:textId="610FBB4B" w:rsidR="0089465B" w:rsidRPr="001455DC" w:rsidRDefault="0089465B" w:rsidP="00702A82">
            <w:pPr>
              <w:pStyle w:val="Tablebody"/>
            </w:pPr>
            <w:r w:rsidRPr="001455DC">
              <w:t xml:space="preserve">is the perimeter of the area </w:t>
            </w:r>
            <w:r w:rsidRPr="001455DC">
              <w:rPr>
                <w:rStyle w:val="CCMCvariableitalic"/>
              </w:rPr>
              <w:t>A</w:t>
            </w:r>
            <w:r w:rsidRPr="001455DC">
              <w:rPr>
                <w:rStyle w:val="CCMCvariablesubscript"/>
              </w:rPr>
              <w:t>k</w:t>
            </w:r>
            <w:r w:rsidRPr="001455DC">
              <w:t>;</w:t>
            </w:r>
          </w:p>
        </w:tc>
      </w:tr>
      <w:tr w:rsidR="0089465B" w:rsidRPr="001455DC" w14:paraId="5D085888" w14:textId="77777777" w:rsidTr="0089465B">
        <w:trPr>
          <w:cantSplit/>
        </w:trPr>
        <w:tc>
          <w:tcPr>
            <w:tcW w:w="851" w:type="dxa"/>
          </w:tcPr>
          <w:p w14:paraId="5D1F0C87" w14:textId="3BC64C32" w:rsidR="0089465B" w:rsidRPr="001455DC" w:rsidRDefault="0089465B" w:rsidP="00702A82">
            <w:pPr>
              <w:pStyle w:val="Tablebody"/>
            </w:pPr>
            <w:r w:rsidRPr="001455DC">
              <w:rPr>
                <w:rStyle w:val="CCMCvariableitalic"/>
              </w:rPr>
              <w:t>f</w:t>
            </w:r>
            <w:r w:rsidRPr="001455DC">
              <w:rPr>
                <w:rStyle w:val="CCMCvariablesubscript"/>
              </w:rPr>
              <w:t>yd</w:t>
            </w:r>
          </w:p>
        </w:tc>
        <w:tc>
          <w:tcPr>
            <w:tcW w:w="8562" w:type="dxa"/>
          </w:tcPr>
          <w:p w14:paraId="0B307515" w14:textId="5E3E84AE" w:rsidR="0089465B" w:rsidRPr="001455DC" w:rsidRDefault="0089465B" w:rsidP="00702A82">
            <w:pPr>
              <w:pStyle w:val="Tablebody"/>
            </w:pPr>
            <w:r w:rsidRPr="001455DC">
              <w:t xml:space="preserve">is the design yield stress of the longitudinal reinforcement </w:t>
            </w:r>
            <w:r w:rsidRPr="001455DC">
              <w:rPr>
                <w:rStyle w:val="CCMCvariableitalic"/>
              </w:rPr>
              <w:t>A</w:t>
            </w:r>
            <w:r w:rsidRPr="001455DC">
              <w:rPr>
                <w:rStyle w:val="CCMCvariablesubscript"/>
              </w:rPr>
              <w:t>sl</w:t>
            </w:r>
            <w:r w:rsidRPr="001455DC">
              <w:t>;</w:t>
            </w:r>
          </w:p>
        </w:tc>
      </w:tr>
      <w:tr w:rsidR="0089465B" w:rsidRPr="001455DC" w14:paraId="76E1D7CD" w14:textId="77777777" w:rsidTr="0089465B">
        <w:trPr>
          <w:cantSplit/>
        </w:trPr>
        <w:tc>
          <w:tcPr>
            <w:tcW w:w="851" w:type="dxa"/>
          </w:tcPr>
          <w:p w14:paraId="3B6B66CC" w14:textId="684DC4B2" w:rsidR="0089465B" w:rsidRPr="001455DC" w:rsidRDefault="0089465B" w:rsidP="00702A82">
            <w:pPr>
              <w:pStyle w:val="Tablebody"/>
            </w:pPr>
            <w:r w:rsidRPr="001455DC">
              <w:rPr>
                <w:rFonts w:ascii="Cambria Math" w:hAnsi="Cambria Math" w:cs="Cambria Math"/>
              </w:rPr>
              <w:t>Σ</w:t>
            </w:r>
            <w:r w:rsidRPr="001455DC">
              <w:rPr>
                <w:rStyle w:val="CCMCvariableitalic"/>
              </w:rPr>
              <w:t>A</w:t>
            </w:r>
            <w:r w:rsidRPr="001455DC">
              <w:rPr>
                <w:rStyle w:val="CCMCvariablesubscript"/>
              </w:rPr>
              <w:t>sl</w:t>
            </w:r>
            <w:r w:rsidRPr="001455DC">
              <w:rPr>
                <w:rStyle w:val="CCMCvariableitalic"/>
              </w:rPr>
              <w:t>f</w:t>
            </w:r>
            <w:r w:rsidRPr="001455DC">
              <w:rPr>
                <w:rStyle w:val="CCMCvariablesubscript"/>
              </w:rPr>
              <w:t>yd</w:t>
            </w:r>
          </w:p>
        </w:tc>
        <w:tc>
          <w:tcPr>
            <w:tcW w:w="8562" w:type="dxa"/>
          </w:tcPr>
          <w:p w14:paraId="225375FB" w14:textId="00F5DAF7" w:rsidR="0089465B" w:rsidRPr="001455DC" w:rsidRDefault="0089465B">
            <w:pPr>
              <w:pStyle w:val="Tablebody"/>
            </w:pPr>
            <w:r w:rsidRPr="001455DC">
              <w:t>is the yield force of the longitudinal reinforcement, that may be included in the calculation of the torsional capacity. The amount of longitudinal reinforcement considered in Formula (8.</w:t>
            </w:r>
            <w:r w:rsidR="004B5BBD" w:rsidRPr="001455DC">
              <w:t>60</w:t>
            </w:r>
            <w:r w:rsidRPr="001455DC">
              <w:t>) should have a resultant tensile force that acts at the centroid of the equivalent thin-walled closed cross section. The reinforcement should generally be distributed according to 12.2.3(9);</w:t>
            </w:r>
          </w:p>
        </w:tc>
      </w:tr>
      <w:tr w:rsidR="0089465B" w:rsidRPr="001455DC" w14:paraId="0420366F" w14:textId="77777777" w:rsidTr="0089465B">
        <w:trPr>
          <w:cantSplit/>
        </w:trPr>
        <w:tc>
          <w:tcPr>
            <w:tcW w:w="851" w:type="dxa"/>
          </w:tcPr>
          <w:p w14:paraId="30E162D5" w14:textId="782FC7EA" w:rsidR="0089465B" w:rsidRPr="001455DC" w:rsidRDefault="0089465B" w:rsidP="00702A82">
            <w:pPr>
              <w:pStyle w:val="Tablebody"/>
            </w:pPr>
            <w:r w:rsidRPr="001455DC">
              <w:rPr>
                <w:rStyle w:val="CCMCvariableitalic"/>
              </w:rPr>
              <w:t>f</w:t>
            </w:r>
            <w:r w:rsidRPr="001455DC">
              <w:rPr>
                <w:rStyle w:val="CCMCvariablesubscript"/>
              </w:rPr>
              <w:t>ywd</w:t>
            </w:r>
          </w:p>
        </w:tc>
        <w:tc>
          <w:tcPr>
            <w:tcW w:w="8562" w:type="dxa"/>
          </w:tcPr>
          <w:p w14:paraId="519960B7" w14:textId="4E6194B0" w:rsidR="0089465B" w:rsidRPr="001455DC" w:rsidRDefault="0089465B" w:rsidP="00702A82">
            <w:pPr>
              <w:pStyle w:val="Tablebody"/>
            </w:pPr>
            <w:r w:rsidRPr="001455DC">
              <w:t>is the design yield stress of the shear reinforcement;</w:t>
            </w:r>
          </w:p>
        </w:tc>
      </w:tr>
      <w:tr w:rsidR="0089465B" w:rsidRPr="001455DC" w14:paraId="0BC24E33" w14:textId="77777777" w:rsidTr="0089465B">
        <w:trPr>
          <w:cantSplit/>
        </w:trPr>
        <w:tc>
          <w:tcPr>
            <w:tcW w:w="851" w:type="dxa"/>
          </w:tcPr>
          <w:p w14:paraId="25CEF583" w14:textId="513A91BD" w:rsidR="0089465B" w:rsidRPr="001455DC" w:rsidRDefault="0089465B" w:rsidP="00702A82">
            <w:pPr>
              <w:pStyle w:val="Tablebody"/>
            </w:pPr>
            <w:r w:rsidRPr="001455DC">
              <w:rPr>
                <w:rStyle w:val="CCMCvariableitalic"/>
              </w:rPr>
              <w:t>A</w:t>
            </w:r>
            <w:r w:rsidRPr="001455DC">
              <w:rPr>
                <w:rStyle w:val="CCMCvariablesubscript"/>
              </w:rPr>
              <w:t>sw</w:t>
            </w:r>
          </w:p>
        </w:tc>
        <w:tc>
          <w:tcPr>
            <w:tcW w:w="8562" w:type="dxa"/>
          </w:tcPr>
          <w:p w14:paraId="0FAD7085" w14:textId="6FF0639B" w:rsidR="0089465B" w:rsidRPr="001455DC" w:rsidRDefault="0089465B" w:rsidP="00702A82">
            <w:pPr>
              <w:pStyle w:val="Tablebody"/>
            </w:pPr>
            <w:r w:rsidRPr="001455DC">
              <w:t>is the cross sectional area of the shear reinforcement within the effective wall thickness in Figure 8.16;</w:t>
            </w:r>
          </w:p>
        </w:tc>
      </w:tr>
      <w:tr w:rsidR="0089465B" w:rsidRPr="001455DC" w14:paraId="4AFAFD3A" w14:textId="77777777" w:rsidTr="0089465B">
        <w:trPr>
          <w:cantSplit/>
        </w:trPr>
        <w:tc>
          <w:tcPr>
            <w:tcW w:w="851" w:type="dxa"/>
          </w:tcPr>
          <w:p w14:paraId="617D7358" w14:textId="41A7A3CE" w:rsidR="0089465B" w:rsidRPr="001455DC" w:rsidRDefault="0089465B" w:rsidP="00702A82">
            <w:pPr>
              <w:pStyle w:val="Tablebody"/>
            </w:pPr>
            <w:r w:rsidRPr="001455DC">
              <w:rPr>
                <w:rStyle w:val="CCMCvariableitalic"/>
              </w:rPr>
              <w:t>s</w:t>
            </w:r>
          </w:p>
        </w:tc>
        <w:tc>
          <w:tcPr>
            <w:tcW w:w="8562" w:type="dxa"/>
          </w:tcPr>
          <w:p w14:paraId="24BEE8F0" w14:textId="6CCF658C" w:rsidR="0089465B" w:rsidRPr="001455DC" w:rsidRDefault="0089465B" w:rsidP="00702A82">
            <w:pPr>
              <w:pStyle w:val="Tablebody"/>
            </w:pPr>
            <w:r w:rsidRPr="001455DC">
              <w:t xml:space="preserve">is the spacing (in the longitudinal direction) between the shear reinforcement </w:t>
            </w:r>
            <w:r w:rsidRPr="001455DC">
              <w:rPr>
                <w:rStyle w:val="CCMCvariableitalic"/>
              </w:rPr>
              <w:t>A</w:t>
            </w:r>
            <w:r w:rsidRPr="001455DC">
              <w:rPr>
                <w:rStyle w:val="CCMCvariablesubscript"/>
              </w:rPr>
              <w:t>sw</w:t>
            </w:r>
            <w:r w:rsidRPr="001455DC">
              <w:t>;</w:t>
            </w:r>
          </w:p>
        </w:tc>
      </w:tr>
      <w:tr w:rsidR="0089465B" w:rsidRPr="001455DC" w14:paraId="4B9F7D4B" w14:textId="77777777" w:rsidTr="0089465B">
        <w:trPr>
          <w:cantSplit/>
        </w:trPr>
        <w:tc>
          <w:tcPr>
            <w:tcW w:w="851" w:type="dxa"/>
          </w:tcPr>
          <w:p w14:paraId="335CB3B9" w14:textId="4E4EE2CE" w:rsidR="0089465B" w:rsidRPr="001455DC" w:rsidRDefault="0089465B" w:rsidP="00702A82">
            <w:pPr>
              <w:pStyle w:val="Tablebody"/>
            </w:pPr>
            <w:r w:rsidRPr="001455DC">
              <w:rPr>
                <w:rStyle w:val="CCMCvariableitalic"/>
              </w:rPr>
              <w:t>θ</w:t>
            </w:r>
          </w:p>
        </w:tc>
        <w:tc>
          <w:tcPr>
            <w:tcW w:w="8562" w:type="dxa"/>
          </w:tcPr>
          <w:p w14:paraId="06677FD3" w14:textId="5C694BF8" w:rsidR="0089465B" w:rsidRPr="001455DC" w:rsidRDefault="0089465B" w:rsidP="00702A82">
            <w:pPr>
              <w:pStyle w:val="Tablebody"/>
            </w:pPr>
            <w:r w:rsidRPr="001455DC">
              <w:t>is the angle of compression field with respect to the longitudinal axis.</w:t>
            </w:r>
          </w:p>
        </w:tc>
      </w:tr>
    </w:tbl>
    <w:p w14:paraId="5CA6B90D" w14:textId="72DDEE39" w:rsidR="00CA356C" w:rsidRPr="001455DC" w:rsidRDefault="004E22C1" w:rsidP="008D37B2">
      <w:pPr>
        <w:pStyle w:val="a7"/>
        <w:keepNext/>
      </w:pPr>
      <w:r w:rsidRPr="001455DC">
        <w:t>(3)</w:t>
      </w:r>
      <w:r w:rsidRPr="001455DC">
        <w:tab/>
      </w:r>
      <w:r w:rsidRPr="001455DC">
        <w:rPr>
          <w:szCs w:val="22"/>
        </w:rPr>
        <w:t xml:space="preserve">The torsional </w:t>
      </w:r>
      <w:r w:rsidR="004B5BBD" w:rsidRPr="001455DC">
        <w:rPr>
          <w:szCs w:val="22"/>
        </w:rPr>
        <w:t>strength</w:t>
      </w:r>
      <w:r w:rsidRPr="001455DC">
        <w:rPr>
          <w:szCs w:val="22"/>
        </w:rPr>
        <w:t>, when governed by crushing of the compression field in concrete, may be calculated from:</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CA356C" w:rsidRPr="001455DC" w14:paraId="7F046AA3" w14:textId="77777777" w:rsidTr="004A59E7">
        <w:trPr>
          <w:cantSplit/>
        </w:trPr>
        <w:tc>
          <w:tcPr>
            <w:tcW w:w="8505" w:type="dxa"/>
            <w:vAlign w:val="center"/>
          </w:tcPr>
          <w:p w14:paraId="03161A71" w14:textId="0C095DA7" w:rsidR="00CA356C" w:rsidRPr="001455DC" w:rsidRDefault="00231E33" w:rsidP="004A59E7">
            <w:pPr>
              <w:pStyle w:val="Formula"/>
              <w:jc w:val="left"/>
            </w:pPr>
            <m:oMathPara>
              <m:oMathParaPr>
                <m:jc m:val="left"/>
              </m:oMathParaPr>
              <m:oMath>
                <m:sSub>
                  <m:sSubPr>
                    <m:ctrlPr>
                      <w:rPr>
                        <w:rFonts w:ascii="Cambria Math" w:hAnsi="Cambria Math"/>
                      </w:rPr>
                    </m:ctrlPr>
                  </m:sSubPr>
                  <m:e>
                    <m:r>
                      <w:rPr>
                        <w:rFonts w:ascii="Cambria Math" w:hAnsi="Cambria Math"/>
                      </w:rPr>
                      <m:t>τ</m:t>
                    </m:r>
                  </m:e>
                  <m:sub>
                    <m:r>
                      <m:rPr>
                        <m:sty m:val="p"/>
                      </m:rPr>
                      <w:rPr>
                        <w:rFonts w:ascii="Cambria Math" w:hAnsi="Cambria Math"/>
                      </w:rPr>
                      <m:t>t,Rd,max</m:t>
                    </m:r>
                  </m:sub>
                </m:sSub>
                <m:r>
                  <w:rPr>
                    <w:rFonts w:ascii="Cambria Math" w:hAnsi="Cambria Math"/>
                  </w:rPr>
                  <m:t>=</m:t>
                </m:r>
                <m:f>
                  <m:fPr>
                    <m:ctrlPr>
                      <w:rPr>
                        <w:rFonts w:ascii="Cambria Math" w:hAnsi="Cambria Math"/>
                      </w:rPr>
                    </m:ctrlPr>
                  </m:fPr>
                  <m:num>
                    <m:r>
                      <w:rPr>
                        <w:rFonts w:ascii="Cambria Math" w:hAnsi="Cambria Math"/>
                      </w:rPr>
                      <m:t>ν⋅</m:t>
                    </m:r>
                    <m:sSub>
                      <m:sSubPr>
                        <m:ctrlPr>
                          <w:rPr>
                            <w:rFonts w:ascii="Cambria Math" w:hAnsi="Cambria Math"/>
                          </w:rPr>
                        </m:ctrlPr>
                      </m:sSubPr>
                      <m:e>
                        <m:r>
                          <w:rPr>
                            <w:rFonts w:ascii="Cambria Math" w:hAnsi="Cambria Math"/>
                          </w:rPr>
                          <m:t>f</m:t>
                        </m:r>
                      </m:e>
                      <m:sub>
                        <m:r>
                          <m:rPr>
                            <m:sty m:val="p"/>
                          </m:rPr>
                          <w:rPr>
                            <w:rFonts w:ascii="Cambria Math" w:hAnsi="Cambria Math"/>
                          </w:rPr>
                          <m:t>cd</m:t>
                        </m:r>
                      </m:sub>
                    </m:sSub>
                  </m:num>
                  <m:den>
                    <m:r>
                      <m:rPr>
                        <m:sty m:val="p"/>
                      </m:rPr>
                      <w:rPr>
                        <w:rFonts w:ascii="Cambria Math" w:hAnsi="Cambria Math"/>
                      </w:rPr>
                      <m:t>cot</m:t>
                    </m:r>
                    <m:r>
                      <w:rPr>
                        <w:rFonts w:ascii="Cambria Math" w:hAnsi="Cambria Math"/>
                      </w:rPr>
                      <m:t>θ+</m:t>
                    </m:r>
                    <m:r>
                      <m:rPr>
                        <m:sty m:val="p"/>
                      </m:rPr>
                      <w:rPr>
                        <w:rFonts w:ascii="Cambria Math" w:hAnsi="Cambria Math"/>
                      </w:rPr>
                      <m:t>tan</m:t>
                    </m:r>
                    <m:r>
                      <w:rPr>
                        <w:rFonts w:ascii="Cambria Math" w:hAnsi="Cambria Math"/>
                      </w:rPr>
                      <m:t>θ</m:t>
                    </m:r>
                  </m:den>
                </m:f>
              </m:oMath>
            </m:oMathPara>
          </w:p>
        </w:tc>
        <w:tc>
          <w:tcPr>
            <w:tcW w:w="1247" w:type="dxa"/>
            <w:vAlign w:val="center"/>
          </w:tcPr>
          <w:p w14:paraId="0201180D" w14:textId="4708FF43" w:rsidR="00CA356C" w:rsidRPr="001455DC" w:rsidRDefault="0089465B">
            <w:pPr>
              <w:pStyle w:val="a7"/>
              <w:jc w:val="right"/>
            </w:pPr>
            <w:r w:rsidRPr="001455DC">
              <w:t>(8.</w:t>
            </w:r>
            <w:r w:rsidR="004B5BBD" w:rsidRPr="001455DC">
              <w:t>68</w:t>
            </w:r>
            <w:r w:rsidRPr="001455DC">
              <w:t>)</w:t>
            </w:r>
          </w:p>
        </w:tc>
      </w:tr>
    </w:tbl>
    <w:p w14:paraId="2049A6D2" w14:textId="1FC07A93" w:rsidR="004E22C1" w:rsidRPr="001455DC" w:rsidRDefault="004E22C1" w:rsidP="00EC0EC0">
      <w:pPr>
        <w:pStyle w:val="a7"/>
      </w:pPr>
      <w:r w:rsidRPr="001455DC">
        <w:t xml:space="preserve">where </w:t>
      </w:r>
      <w:r w:rsidRPr="001455DC">
        <w:rPr>
          <w:rStyle w:val="CCMCvariableitalic"/>
        </w:rPr>
        <w:t>ν</w:t>
      </w:r>
      <w:r w:rsidRPr="001455DC">
        <w:t xml:space="preserve"> may be determined by the formulae in Annex G. A value of </w:t>
      </w:r>
      <w:r w:rsidRPr="001455DC">
        <w:rPr>
          <w:rStyle w:val="CCMCvariableitalic"/>
        </w:rPr>
        <w:t>ν</w:t>
      </w:r>
      <w:r w:rsidRPr="001455DC">
        <w:t> </w:t>
      </w:r>
      <w:r w:rsidR="00EC27D2" w:rsidRPr="001455DC">
        <w:rPr>
          <w:rFonts w:ascii="Cambria Math" w:hAnsi="Cambria Math"/>
        </w:rPr>
        <w:t>=</w:t>
      </w:r>
      <w:r w:rsidRPr="001455DC">
        <w:t> 0,40 may be used generally.</w:t>
      </w:r>
    </w:p>
    <w:p w14:paraId="4541B246" w14:textId="0419BB2E" w:rsidR="00CA356C" w:rsidRPr="001455DC" w:rsidRDefault="004E22C1" w:rsidP="008D37B2">
      <w:pPr>
        <w:pStyle w:val="a7"/>
        <w:keepNext/>
      </w:pPr>
      <w:r w:rsidRPr="001455DC">
        <w:t>(4)</w:t>
      </w:r>
      <w:r w:rsidRPr="001455DC">
        <w:tab/>
      </w:r>
      <w:r w:rsidRPr="001455DC">
        <w:rPr>
          <w:szCs w:val="22"/>
        </w:rPr>
        <w:t>The inclination of the concrete strut to be used in Formulae (8.</w:t>
      </w:r>
      <w:r w:rsidR="004B5BBD" w:rsidRPr="001455DC">
        <w:rPr>
          <w:szCs w:val="22"/>
        </w:rPr>
        <w:t>66</w:t>
      </w:r>
      <w:r w:rsidRPr="001455DC">
        <w:rPr>
          <w:szCs w:val="22"/>
        </w:rPr>
        <w:t xml:space="preserve">) </w:t>
      </w:r>
      <w:r w:rsidRPr="001455DC">
        <w:t xml:space="preserve">to </w:t>
      </w:r>
      <w:r w:rsidRPr="001455DC">
        <w:rPr>
          <w:szCs w:val="22"/>
        </w:rPr>
        <w:t>(8.</w:t>
      </w:r>
      <w:r w:rsidR="004B5BBD" w:rsidRPr="001455DC">
        <w:rPr>
          <w:szCs w:val="22"/>
        </w:rPr>
        <w:t>68</w:t>
      </w:r>
      <w:r w:rsidRPr="001455DC">
        <w:rPr>
          <w:szCs w:val="22"/>
        </w:rPr>
        <w:t xml:space="preserve">) should for usual cases, and when </w:t>
      </w:r>
      <w:r w:rsidRPr="001455DC">
        <w:rPr>
          <w:rStyle w:val="CCMCvariableitalic"/>
        </w:rPr>
        <w:t>ν</w:t>
      </w:r>
      <w:r w:rsidRPr="001455DC">
        <w:t> </w:t>
      </w:r>
      <w:r w:rsidR="00EC27D2" w:rsidRPr="001455DC">
        <w:rPr>
          <w:rFonts w:ascii="Cambria Math" w:hAnsi="Cambria Math"/>
        </w:rPr>
        <w:t>=</w:t>
      </w:r>
      <w:r w:rsidRPr="001455DC">
        <w:t> </w:t>
      </w:r>
      <w:r w:rsidRPr="001455DC">
        <w:rPr>
          <w:szCs w:val="22"/>
        </w:rPr>
        <w:t>0,40 is adopted, be chosen within the following range:</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CA356C" w:rsidRPr="001455DC" w14:paraId="701EB4DD" w14:textId="77777777" w:rsidTr="004A59E7">
        <w:trPr>
          <w:cantSplit/>
        </w:trPr>
        <w:tc>
          <w:tcPr>
            <w:tcW w:w="8505" w:type="dxa"/>
            <w:vAlign w:val="center"/>
          </w:tcPr>
          <w:p w14:paraId="04610C5D" w14:textId="0892C42B" w:rsidR="00CA356C" w:rsidRPr="001455DC" w:rsidRDefault="00231E33" w:rsidP="004A59E7">
            <w:pPr>
              <w:pStyle w:val="Formula"/>
              <w:jc w:val="left"/>
            </w:pPr>
            <m:oMathPara>
              <m:oMathParaPr>
                <m:jc m:val="left"/>
              </m:oMathParaPr>
              <m:oMath>
                <m:f>
                  <m:fPr>
                    <m:ctrlPr>
                      <w:rPr>
                        <w:rFonts w:ascii="Cambria Math" w:hAnsi="Cambria Math"/>
                      </w:rPr>
                    </m:ctrlPr>
                  </m:fPr>
                  <m:num>
                    <m:r>
                      <w:rPr>
                        <w:rFonts w:ascii="Cambria Math" w:hAnsi="Cambria Math"/>
                      </w:rPr>
                      <m:t>1</m:t>
                    </m:r>
                  </m:num>
                  <m:den>
                    <m:r>
                      <m:rPr>
                        <m:sty m:val="p"/>
                      </m:rPr>
                      <w:rPr>
                        <w:rFonts w:ascii="Cambria Math" w:hAnsi="Cambria Math"/>
                      </w:rPr>
                      <m:t>cot</m:t>
                    </m:r>
                    <m:sSub>
                      <m:sSubPr>
                        <m:ctrlPr>
                          <w:rPr>
                            <w:rFonts w:ascii="Cambria Math" w:hAnsi="Cambria Math"/>
                          </w:rPr>
                        </m:ctrlPr>
                      </m:sSubPr>
                      <m:e>
                        <m:r>
                          <w:rPr>
                            <w:rFonts w:ascii="Cambria Math" w:hAnsi="Cambria Math"/>
                          </w:rPr>
                          <m:t>θ</m:t>
                        </m:r>
                      </m:e>
                      <m:sub>
                        <m:r>
                          <m:rPr>
                            <m:sty m:val="p"/>
                          </m:rPr>
                          <w:rPr>
                            <w:rFonts w:ascii="Cambria Math" w:hAnsi="Cambria Math"/>
                          </w:rPr>
                          <m:t>min</m:t>
                        </m:r>
                      </m:sub>
                    </m:sSub>
                  </m:den>
                </m:f>
                <m:r>
                  <w:rPr>
                    <w:rFonts w:ascii="Cambria Math" w:hAnsi="Cambria Math"/>
                  </w:rPr>
                  <m:t>≤</m:t>
                </m:r>
                <m:r>
                  <m:rPr>
                    <m:sty m:val="p"/>
                  </m:rPr>
                  <w:rPr>
                    <w:rFonts w:ascii="Cambria Math" w:hAnsi="Cambria Math"/>
                  </w:rPr>
                  <m:t>cot</m:t>
                </m:r>
                <m:r>
                  <w:rPr>
                    <w:rFonts w:ascii="Cambria Math" w:hAnsi="Cambria Math"/>
                  </w:rPr>
                  <m:t>θ≤</m:t>
                </m:r>
                <m:r>
                  <m:rPr>
                    <m:sty m:val="p"/>
                  </m:rPr>
                  <w:rPr>
                    <w:rFonts w:ascii="Cambria Math" w:hAnsi="Cambria Math"/>
                  </w:rPr>
                  <m:t>cot</m:t>
                </m:r>
                <m:sSub>
                  <m:sSubPr>
                    <m:ctrlPr>
                      <w:rPr>
                        <w:rFonts w:ascii="Cambria Math" w:hAnsi="Cambria Math"/>
                      </w:rPr>
                    </m:ctrlPr>
                  </m:sSubPr>
                  <m:e>
                    <m:r>
                      <w:rPr>
                        <w:rFonts w:ascii="Cambria Math" w:hAnsi="Cambria Math"/>
                      </w:rPr>
                      <m:t>θ</m:t>
                    </m:r>
                  </m:e>
                  <m:sub>
                    <m:r>
                      <m:rPr>
                        <m:sty m:val="p"/>
                      </m:rPr>
                      <w:rPr>
                        <w:rFonts w:ascii="Cambria Math" w:hAnsi="Cambria Math"/>
                      </w:rPr>
                      <m:t>min</m:t>
                    </m:r>
                  </m:sub>
                </m:sSub>
              </m:oMath>
            </m:oMathPara>
          </w:p>
        </w:tc>
        <w:tc>
          <w:tcPr>
            <w:tcW w:w="1247" w:type="dxa"/>
            <w:vAlign w:val="center"/>
          </w:tcPr>
          <w:p w14:paraId="1A23F29A" w14:textId="6A2E80BE" w:rsidR="00CA356C" w:rsidRPr="001455DC" w:rsidRDefault="0089465B" w:rsidP="004A59E7">
            <w:pPr>
              <w:pStyle w:val="a7"/>
              <w:jc w:val="right"/>
            </w:pPr>
            <w:r w:rsidRPr="001455DC">
              <w:t>(8.6</w:t>
            </w:r>
            <w:r w:rsidR="004B5BBD" w:rsidRPr="001455DC">
              <w:t>9</w:t>
            </w:r>
            <w:r w:rsidRPr="001455DC">
              <w:t>)</w:t>
            </w:r>
          </w:p>
        </w:tc>
      </w:tr>
    </w:tbl>
    <w:p w14:paraId="6363CDC4" w14:textId="77777777" w:rsidR="004E22C1" w:rsidRPr="001455DC" w:rsidRDefault="004E22C1" w:rsidP="00EC0EC0">
      <w:pPr>
        <w:pStyle w:val="a7"/>
      </w:pPr>
      <w:r w:rsidRPr="001455DC">
        <w:t>where cot</w:t>
      </w:r>
      <w:r w:rsidRPr="001455DC">
        <w:rPr>
          <w:rStyle w:val="CCMCvariableitalic"/>
        </w:rPr>
        <w:t>θ</w:t>
      </w:r>
      <w:r w:rsidRPr="001455DC">
        <w:rPr>
          <w:rStyle w:val="CCMCvariablesubscript"/>
        </w:rPr>
        <w:t>min</w:t>
      </w:r>
      <w:r w:rsidRPr="001455DC">
        <w:t xml:space="preserve"> is defined in 8.2.3(3).</w:t>
      </w:r>
    </w:p>
    <w:p w14:paraId="06D9D663" w14:textId="04A7845D" w:rsidR="004E22C1" w:rsidRPr="001455DC" w:rsidRDefault="004E22C1" w:rsidP="00EC0EC0">
      <w:pPr>
        <w:pStyle w:val="a7"/>
        <w:rPr>
          <w:szCs w:val="22"/>
        </w:rPr>
      </w:pPr>
      <w:r w:rsidRPr="001455DC">
        <w:t>(5)</w:t>
      </w:r>
      <w:r w:rsidRPr="001455DC">
        <w:tab/>
      </w:r>
      <w:r w:rsidRPr="001455DC">
        <w:rPr>
          <w:szCs w:val="22"/>
        </w:rPr>
        <w:t xml:space="preserve">When at the same time </w:t>
      </w:r>
      <w:r w:rsidRPr="001455DC">
        <w:rPr>
          <w:rStyle w:val="CCMCvariableitalic"/>
        </w:rPr>
        <w:t>b</w:t>
      </w:r>
      <w:r w:rsidRPr="001455DC">
        <w:rPr>
          <w:rStyle w:val="CCMCvariablesubscript"/>
        </w:rPr>
        <w:t>max</w:t>
      </w:r>
      <w:r w:rsidRPr="001455DC">
        <w:rPr>
          <w:szCs w:val="22"/>
        </w:rPr>
        <w:t>/</w:t>
      </w:r>
      <w:r w:rsidRPr="001455DC">
        <w:rPr>
          <w:rStyle w:val="CCMCvariableitalic"/>
        </w:rPr>
        <w:t>b</w:t>
      </w:r>
      <w:r w:rsidRPr="001455DC">
        <w:rPr>
          <w:rStyle w:val="CCMCvariablesubscript"/>
        </w:rPr>
        <w:t>min</w:t>
      </w:r>
      <w:r w:rsidRPr="001455DC">
        <w:rPr>
          <w:szCs w:val="22"/>
        </w:rPr>
        <w:t> </w:t>
      </w:r>
      <w:r w:rsidR="00650035" w:rsidRPr="001455DC">
        <w:rPr>
          <w:rFonts w:ascii="Cambria Math" w:hAnsi="Cambria Math"/>
          <w:szCs w:val="22"/>
        </w:rPr>
        <w:t>&lt;</w:t>
      </w:r>
      <w:r w:rsidRPr="001455DC">
        <w:rPr>
          <w:szCs w:val="22"/>
        </w:rPr>
        <w:t xml:space="preserve"> 1,5 and </w:t>
      </w:r>
      <w:r w:rsidRPr="001455DC">
        <w:rPr>
          <w:rStyle w:val="CCMCvariableitalic"/>
        </w:rPr>
        <w:t>c</w:t>
      </w:r>
      <w:r w:rsidRPr="001455DC">
        <w:rPr>
          <w:szCs w:val="22"/>
        </w:rPr>
        <w:t> </w:t>
      </w:r>
      <w:r w:rsidR="00650035" w:rsidRPr="001455DC">
        <w:rPr>
          <w:rFonts w:ascii="Cambria Math" w:hAnsi="Cambria Math"/>
          <w:szCs w:val="22"/>
        </w:rPr>
        <w:t>&gt;</w:t>
      </w:r>
      <w:r w:rsidR="00073FC6" w:rsidRPr="001455DC">
        <w:rPr>
          <w:szCs w:val="22"/>
        </w:rPr>
        <w:t> </w:t>
      </w:r>
      <w:r w:rsidRPr="001455DC">
        <w:rPr>
          <w:szCs w:val="22"/>
        </w:rPr>
        <w:t xml:space="preserve">0,07∙ </w:t>
      </w:r>
      <w:r w:rsidRPr="001455DC">
        <w:rPr>
          <w:rStyle w:val="CCMCvariableitalic"/>
        </w:rPr>
        <w:t>b</w:t>
      </w:r>
      <w:r w:rsidRPr="001455DC">
        <w:rPr>
          <w:rStyle w:val="CCMCvariablesubscript"/>
        </w:rPr>
        <w:t>min</w:t>
      </w:r>
      <w:r w:rsidRPr="001455DC">
        <w:rPr>
          <w:szCs w:val="22"/>
        </w:rPr>
        <w:t xml:space="preserve"> calculations of the torsional capacity should be based on a reduced cross section with reduced cover equal to 0,07</w:t>
      </w:r>
      <w:r w:rsidRPr="001455DC">
        <w:rPr>
          <w:rStyle w:val="CCMCvariableitalic"/>
        </w:rPr>
        <w:t>b</w:t>
      </w:r>
      <w:r w:rsidRPr="001455DC">
        <w:rPr>
          <w:rStyle w:val="CCMCvariablesubscript"/>
        </w:rPr>
        <w:t>min</w:t>
      </w:r>
      <w:r w:rsidRPr="001455DC">
        <w:rPr>
          <w:szCs w:val="22"/>
        </w:rPr>
        <w:t>.</w:t>
      </w:r>
    </w:p>
    <w:p w14:paraId="1CE78CDB" w14:textId="77777777" w:rsidR="0089465B" w:rsidRPr="001455DC" w:rsidRDefault="0089465B"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1134"/>
        <w:gridCol w:w="8278"/>
      </w:tblGrid>
      <w:tr w:rsidR="0089465B" w:rsidRPr="001455DC" w14:paraId="76568D02" w14:textId="77777777" w:rsidTr="0089465B">
        <w:trPr>
          <w:cantSplit/>
        </w:trPr>
        <w:tc>
          <w:tcPr>
            <w:tcW w:w="1134" w:type="dxa"/>
          </w:tcPr>
          <w:p w14:paraId="7A13738A" w14:textId="0F888363" w:rsidR="0089465B" w:rsidRPr="001455DC" w:rsidRDefault="0089465B" w:rsidP="00702A82">
            <w:pPr>
              <w:pStyle w:val="Tablebody"/>
            </w:pPr>
            <w:r w:rsidRPr="001455DC">
              <w:rPr>
                <w:rStyle w:val="CCMCvariableitalic"/>
              </w:rPr>
              <w:t>c</w:t>
            </w:r>
          </w:p>
        </w:tc>
        <w:tc>
          <w:tcPr>
            <w:tcW w:w="8278" w:type="dxa"/>
          </w:tcPr>
          <w:p w14:paraId="574467FF" w14:textId="3343F11F" w:rsidR="0089465B" w:rsidRPr="001455DC" w:rsidRDefault="0089465B" w:rsidP="00702A82">
            <w:pPr>
              <w:pStyle w:val="Tablebody"/>
            </w:pPr>
            <w:r w:rsidRPr="001455DC">
              <w:rPr>
                <w:szCs w:val="22"/>
              </w:rPr>
              <w:t>is the concrete cover to stirrups;</w:t>
            </w:r>
          </w:p>
        </w:tc>
      </w:tr>
      <w:tr w:rsidR="0089465B" w:rsidRPr="001455DC" w14:paraId="37A44482" w14:textId="77777777" w:rsidTr="0089465B">
        <w:trPr>
          <w:cantSplit/>
        </w:trPr>
        <w:tc>
          <w:tcPr>
            <w:tcW w:w="1134" w:type="dxa"/>
          </w:tcPr>
          <w:p w14:paraId="716C6ABA" w14:textId="486F7BA0" w:rsidR="0089465B" w:rsidRPr="001455DC" w:rsidRDefault="0089465B" w:rsidP="00702A82">
            <w:pPr>
              <w:pStyle w:val="Tablebody"/>
            </w:pPr>
            <w:r w:rsidRPr="001455DC">
              <w:rPr>
                <w:rStyle w:val="CCMCvariableitalic"/>
              </w:rPr>
              <w:t>b</w:t>
            </w:r>
            <w:r w:rsidRPr="001455DC">
              <w:rPr>
                <w:rStyle w:val="CCMCvariablesubscript"/>
              </w:rPr>
              <w:t>min</w:t>
            </w:r>
            <w:r w:rsidRPr="001455DC">
              <w:rPr>
                <w:szCs w:val="22"/>
              </w:rPr>
              <w:t xml:space="preserve">; </w:t>
            </w:r>
            <w:r w:rsidRPr="001455DC">
              <w:rPr>
                <w:rStyle w:val="CCMCvariableitalic"/>
              </w:rPr>
              <w:t>b</w:t>
            </w:r>
            <w:r w:rsidRPr="001455DC">
              <w:rPr>
                <w:rStyle w:val="CCMCvariablesubscript"/>
              </w:rPr>
              <w:t>max</w:t>
            </w:r>
          </w:p>
        </w:tc>
        <w:tc>
          <w:tcPr>
            <w:tcW w:w="8278" w:type="dxa"/>
          </w:tcPr>
          <w:p w14:paraId="67475C13" w14:textId="46A389E3" w:rsidR="0089465B" w:rsidRPr="001455DC" w:rsidRDefault="0089465B" w:rsidP="00702A82">
            <w:pPr>
              <w:pStyle w:val="Tablebody"/>
            </w:pPr>
            <w:r w:rsidRPr="001455DC">
              <w:rPr>
                <w:szCs w:val="22"/>
              </w:rPr>
              <w:t>are the minimum and maximum side lengths of the section (sub-section) in Figure 8.16.</w:t>
            </w:r>
          </w:p>
        </w:tc>
      </w:tr>
    </w:tbl>
    <w:p w14:paraId="2C4EDC62" w14:textId="77777777" w:rsidR="004E22C1" w:rsidRPr="001455DC" w:rsidRDefault="004E22C1" w:rsidP="00D50CCA">
      <w:pPr>
        <w:pStyle w:val="Note"/>
      </w:pPr>
      <w:r w:rsidRPr="001455DC">
        <w:t>NOTE</w:t>
      </w:r>
      <w:r w:rsidRPr="001455DC">
        <w:tab/>
        <w:t>This reduction accounts for a risk for partial spalling of the cover.</w:t>
      </w:r>
    </w:p>
    <w:p w14:paraId="68697297" w14:textId="12ACB49C" w:rsidR="004E22C1" w:rsidRPr="001455DC" w:rsidRDefault="004E22C1" w:rsidP="00243590">
      <w:pPr>
        <w:pStyle w:val="31"/>
      </w:pPr>
      <w:bookmarkStart w:id="600" w:name="_Toc52819987"/>
      <w:bookmarkStart w:id="601" w:name="_Toc54337381"/>
      <w:bookmarkStart w:id="602" w:name="_Toc54338043"/>
      <w:bookmarkStart w:id="603" w:name="_Toc67565391"/>
      <w:r w:rsidRPr="001455DC">
        <w:t>Design procedure for combination of actions</w:t>
      </w:r>
      <w:bookmarkEnd w:id="600"/>
      <w:bookmarkEnd w:id="601"/>
      <w:bookmarkEnd w:id="602"/>
      <w:bookmarkEnd w:id="603"/>
    </w:p>
    <w:p w14:paraId="305E06A3" w14:textId="77777777" w:rsidR="004E22C1" w:rsidRPr="001455DC" w:rsidRDefault="004E22C1" w:rsidP="008D37B2">
      <w:pPr>
        <w:pStyle w:val="a7"/>
        <w:keepNext/>
      </w:pPr>
      <w:r w:rsidRPr="001455DC">
        <w:rPr>
          <w:rFonts w:eastAsiaTheme="minorHAnsi"/>
        </w:rPr>
        <w:t>(1)</w:t>
      </w:r>
      <w:r w:rsidRPr="001455DC">
        <w:rPr>
          <w:rFonts w:eastAsiaTheme="minorHAnsi"/>
        </w:rPr>
        <w:tab/>
      </w:r>
      <w:r w:rsidRPr="001455DC">
        <w:t>Design for combined action of torsion, bending, shear and axial forces may follow:</w:t>
      </w:r>
    </w:p>
    <w:p w14:paraId="223177C1" w14:textId="351EE95A" w:rsidR="004E22C1" w:rsidRPr="001455DC" w:rsidRDefault="004E22C1" w:rsidP="0089465B">
      <w:pPr>
        <w:pStyle w:val="a0"/>
      </w:pPr>
      <w:r w:rsidRPr="001455DC">
        <w:t>the procedure of designing individual wall elements according to (2) or, alternatively,</w:t>
      </w:r>
    </w:p>
    <w:p w14:paraId="5ECBE71A" w14:textId="38B55FFB" w:rsidR="004E22C1" w:rsidRPr="001455DC" w:rsidRDefault="004E22C1" w:rsidP="0089465B">
      <w:pPr>
        <w:pStyle w:val="a0"/>
        <w:rPr>
          <w:rFonts w:eastAsiaTheme="minorHAnsi"/>
        </w:rPr>
      </w:pPr>
      <w:r w:rsidRPr="001455DC">
        <w:t>a simplified procedure based on interaction formulae as presented in 8.3.6.</w:t>
      </w:r>
    </w:p>
    <w:p w14:paraId="4F6DAEEE" w14:textId="77777777" w:rsidR="004E22C1" w:rsidRPr="001455DC" w:rsidRDefault="004E22C1" w:rsidP="00EC0EC0">
      <w:pPr>
        <w:pStyle w:val="a7"/>
      </w:pPr>
      <w:r w:rsidRPr="001455DC">
        <w:rPr>
          <w:rFonts w:eastAsiaTheme="minorHAnsi"/>
        </w:rPr>
        <w:t>(2)</w:t>
      </w:r>
      <w:r w:rsidRPr="001455DC">
        <w:rPr>
          <w:rFonts w:eastAsiaTheme="minorHAnsi"/>
        </w:rPr>
        <w:tab/>
      </w:r>
      <w:r w:rsidRPr="001455DC">
        <w:t>The design procedure for combination of actions may be based on a thin-walled closed section complying with 8.3.2, in which the sectional forces and moments are replaced by a statically equivalent set of normal- and shear stress distributions. The distribution of normal and shear stresses may be determined by conventional elastic or plastic methods. Calculation of the reinforcement and check of compression in the concrete struts in each individual wall may use the formulae of Annex G, or 8.2.3.</w:t>
      </w:r>
    </w:p>
    <w:p w14:paraId="3DDCBC2C" w14:textId="77777777" w:rsidR="004E22C1" w:rsidRPr="001455DC" w:rsidRDefault="004E22C1" w:rsidP="00EC0EC0">
      <w:pPr>
        <w:pStyle w:val="a7"/>
      </w:pPr>
      <w:r w:rsidRPr="001455DC">
        <w:t>(3)</w:t>
      </w:r>
      <w:r w:rsidRPr="001455DC">
        <w:tab/>
        <w:t>For solid sections, if beneficial, a portion of the axial force and the shear force may also be distributed to the solid core inside the thin-walled section.</w:t>
      </w:r>
    </w:p>
    <w:p w14:paraId="582BCA69" w14:textId="183A6120" w:rsidR="004E22C1" w:rsidRPr="001455DC" w:rsidRDefault="004E22C1" w:rsidP="00243590">
      <w:pPr>
        <w:pStyle w:val="31"/>
      </w:pPr>
      <w:bookmarkStart w:id="604" w:name="_Toc52819988"/>
      <w:bookmarkStart w:id="605" w:name="_Toc54337382"/>
      <w:bookmarkStart w:id="606" w:name="_Toc54338044"/>
      <w:bookmarkStart w:id="607" w:name="_Toc67565392"/>
      <w:r w:rsidRPr="001455DC">
        <w:t>Interaction formula</w:t>
      </w:r>
      <w:bookmarkEnd w:id="604"/>
      <w:bookmarkEnd w:id="605"/>
      <w:bookmarkEnd w:id="606"/>
      <w:bookmarkEnd w:id="607"/>
    </w:p>
    <w:p w14:paraId="45750E05" w14:textId="77777777" w:rsidR="00CA356C" w:rsidRPr="001455DC" w:rsidRDefault="004E22C1" w:rsidP="008D37B2">
      <w:pPr>
        <w:pStyle w:val="a7"/>
        <w:keepNext/>
      </w:pPr>
      <w:r w:rsidRPr="001455DC">
        <w:t>(1)</w:t>
      </w:r>
      <w:r w:rsidRPr="001455DC">
        <w:tab/>
      </w:r>
      <w:r w:rsidRPr="001455DC">
        <w:rPr>
          <w:szCs w:val="22"/>
        </w:rPr>
        <w:t>A simplified and conservative verification of the resistance of cross sections subjected to combination of internal forces may be performed based on the following linear criterion:</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CA356C" w:rsidRPr="001455DC" w14:paraId="27269CD6" w14:textId="77777777" w:rsidTr="004A59E7">
        <w:trPr>
          <w:cantSplit/>
        </w:trPr>
        <w:tc>
          <w:tcPr>
            <w:tcW w:w="8505" w:type="dxa"/>
            <w:vAlign w:val="center"/>
          </w:tcPr>
          <w:p w14:paraId="36A7BB45" w14:textId="1F188964" w:rsidR="00CA356C" w:rsidRPr="001455DC" w:rsidRDefault="00231E33" w:rsidP="004A59E7">
            <w:pPr>
              <w:pStyle w:val="Formula"/>
              <w:jc w:val="left"/>
            </w:pPr>
            <m:oMathPara>
              <m:oMathParaPr>
                <m:jc m:val="left"/>
              </m:oMathParaPr>
              <m:oMath>
                <m:sSub>
                  <m:sSubPr>
                    <m:ctrlPr>
                      <w:rPr>
                        <w:rFonts w:ascii="Cambria Math" w:hAnsi="Cambria Math"/>
                      </w:rPr>
                    </m:ctrlPr>
                  </m:sSubPr>
                  <m:e>
                    <m:r>
                      <w:rPr>
                        <w:rFonts w:ascii="Cambria Math" w:hAnsi="Cambria Math" w:hint="eastAsia"/>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S</m:t>
                                </m:r>
                              </m:e>
                              <m:sub>
                                <m:r>
                                  <m:rPr>
                                    <m:sty m:val="p"/>
                                  </m:rPr>
                                  <w:rPr>
                                    <w:rFonts w:ascii="Cambria Math" w:hAnsi="Cambria Math"/>
                                  </w:rPr>
                                  <m:t>Ed</m:t>
                                </m:r>
                              </m:sub>
                            </m:sSub>
                          </m:num>
                          <m:den>
                            <m:sSub>
                              <m:sSubPr>
                                <m:ctrlPr>
                                  <w:rPr>
                                    <w:rFonts w:ascii="Cambria Math" w:hAnsi="Cambria Math"/>
                                  </w:rPr>
                                </m:ctrlPr>
                              </m:sSubPr>
                              <m:e>
                                <m:r>
                                  <w:rPr>
                                    <w:rFonts w:ascii="Cambria Math" w:hAnsi="Cambria Math"/>
                                  </w:rPr>
                                  <m:t>S</m:t>
                                </m:r>
                              </m:e>
                              <m:sub>
                                <m:r>
                                  <m:rPr>
                                    <m:sty m:val="p"/>
                                  </m:rPr>
                                  <w:rPr>
                                    <w:rFonts w:ascii="Cambria Math" w:hAnsi="Cambria Math"/>
                                  </w:rPr>
                                  <m:t>Rd</m:t>
                                </m:r>
                              </m:sub>
                            </m:sSub>
                          </m:den>
                        </m:f>
                      </m:e>
                    </m:d>
                  </m:e>
                  <m:sub>
                    <m:r>
                      <w:rPr>
                        <w:rFonts w:ascii="Cambria Math" w:hAnsi="Cambria Math"/>
                      </w:rPr>
                      <m:t>i</m:t>
                    </m:r>
                  </m:sub>
                </m:sSub>
                <m:r>
                  <w:rPr>
                    <w:rFonts w:ascii="Cambria Math" w:hAnsi="Cambria Math"/>
                  </w:rPr>
                  <m:t>≤1,0</m:t>
                </m:r>
              </m:oMath>
            </m:oMathPara>
          </w:p>
        </w:tc>
        <w:tc>
          <w:tcPr>
            <w:tcW w:w="1247" w:type="dxa"/>
            <w:vAlign w:val="center"/>
          </w:tcPr>
          <w:p w14:paraId="5BC81DA8" w14:textId="150DD93C" w:rsidR="00CA356C" w:rsidRPr="001455DC" w:rsidRDefault="0089465B">
            <w:pPr>
              <w:pStyle w:val="a7"/>
              <w:jc w:val="right"/>
            </w:pPr>
            <w:r w:rsidRPr="001455DC">
              <w:t>(8.</w:t>
            </w:r>
            <w:r w:rsidR="008E04E1" w:rsidRPr="001455DC">
              <w:t>70</w:t>
            </w:r>
            <w:r w:rsidRPr="001455DC">
              <w:t>)</w:t>
            </w:r>
          </w:p>
        </w:tc>
      </w:tr>
    </w:tbl>
    <w:p w14:paraId="5A911BF3" w14:textId="4F538EF7" w:rsidR="004E22C1" w:rsidRPr="001455DC" w:rsidRDefault="004E22C1" w:rsidP="008D37B2">
      <w:pPr>
        <w:pStyle w:val="a7"/>
        <w:keepNext/>
        <w:rPr>
          <w:bCs/>
          <w:szCs w:val="22"/>
        </w:rPr>
      </w:pPr>
      <w:r w:rsidRPr="001455DC">
        <w:rPr>
          <w:szCs w:val="22"/>
        </w:rPr>
        <w:t>(2)</w:t>
      </w:r>
      <w:r w:rsidRPr="001455DC">
        <w:rPr>
          <w:szCs w:val="22"/>
        </w:rPr>
        <w:tab/>
        <w:t xml:space="preserve">The </w:t>
      </w:r>
      <w:r w:rsidRPr="001455DC">
        <w:rPr>
          <w:rStyle w:val="CCMCvariableitalic"/>
        </w:rPr>
        <w:t>S</w:t>
      </w:r>
      <w:r w:rsidRPr="001455DC">
        <w:rPr>
          <w:rStyle w:val="CCMCvariablesubscript"/>
        </w:rPr>
        <w:t>Ed</w:t>
      </w:r>
      <w:r w:rsidRPr="001455DC">
        <w:rPr>
          <w:szCs w:val="22"/>
        </w:rPr>
        <w:t>/</w:t>
      </w:r>
      <w:r w:rsidRPr="001455DC">
        <w:rPr>
          <w:rStyle w:val="CCMCvariableitalic"/>
        </w:rPr>
        <w:t>S</w:t>
      </w:r>
      <w:r w:rsidRPr="001455DC">
        <w:rPr>
          <w:rStyle w:val="CCMCvariablesubscript"/>
        </w:rPr>
        <w:t>Rd</w:t>
      </w:r>
      <w:r w:rsidRPr="001455DC">
        <w:rPr>
          <w:szCs w:val="22"/>
        </w:rPr>
        <w:t>-ratios for shear actions and for the corresponding bending moments need not be inserted simultaneously in Formula (8.</w:t>
      </w:r>
      <w:r w:rsidR="00953A13" w:rsidRPr="001455DC">
        <w:rPr>
          <w:szCs w:val="22"/>
        </w:rPr>
        <w:t>70</w:t>
      </w:r>
      <w:r w:rsidRPr="001455DC">
        <w:rPr>
          <w:szCs w:val="22"/>
        </w:rPr>
        <w:t xml:space="preserve">) </w:t>
      </w:r>
      <w:r w:rsidRPr="001455DC">
        <w:rPr>
          <w:bCs/>
          <w:szCs w:val="22"/>
        </w:rPr>
        <w:t xml:space="preserve">provided that the bending moment capacity is based on the area of reinforcement that does not include allowance for resisting </w:t>
      </w:r>
      <w:r w:rsidRPr="001455DC">
        <w:rPr>
          <w:rStyle w:val="CCMCvariableitalic"/>
        </w:rPr>
        <w:t>N</w:t>
      </w:r>
      <w:r w:rsidRPr="001455DC">
        <w:rPr>
          <w:rStyle w:val="CCMCvariablesubscript"/>
        </w:rPr>
        <w:t>vd</w:t>
      </w:r>
      <w:r w:rsidRPr="001455DC">
        <w:rPr>
          <w:bCs/>
          <w:szCs w:val="22"/>
        </w:rPr>
        <w:t xml:space="preserve"> according to 8.2.3(8).</w:t>
      </w:r>
      <w:r w:rsidRPr="001455DC">
        <w:rPr>
          <w:szCs w:val="22"/>
        </w:rPr>
        <w:t xml:space="preserve"> In this case, </w:t>
      </w:r>
      <w:r w:rsidRPr="001455DC">
        <w:rPr>
          <w:bCs/>
          <w:szCs w:val="22"/>
        </w:rPr>
        <w:t>two separate verifications may be carried out considering the following combinations:</w:t>
      </w:r>
    </w:p>
    <w:p w14:paraId="0BEA178A" w14:textId="3790223B" w:rsidR="004E22C1" w:rsidRPr="001455DC" w:rsidRDefault="004E22C1" w:rsidP="00082680">
      <w:pPr>
        <w:pStyle w:val="a0"/>
        <w:numPr>
          <w:ilvl w:val="0"/>
          <w:numId w:val="21"/>
        </w:numPr>
      </w:pPr>
      <w:r w:rsidRPr="001455DC">
        <w:t>bending, torsion and axial force</w:t>
      </w:r>
      <w:r w:rsidR="00A46F70">
        <w:t>;</w:t>
      </w:r>
      <w:r w:rsidRPr="001455DC">
        <w:t xml:space="preserve"> and</w:t>
      </w:r>
    </w:p>
    <w:p w14:paraId="2E95CFF1" w14:textId="138A9E35" w:rsidR="004E22C1" w:rsidRPr="001455DC" w:rsidRDefault="004E22C1" w:rsidP="00082680">
      <w:pPr>
        <w:pStyle w:val="a0"/>
        <w:numPr>
          <w:ilvl w:val="0"/>
          <w:numId w:val="21"/>
        </w:numPr>
      </w:pPr>
      <w:r w:rsidRPr="001455DC">
        <w:t>shear, torsion and axial force.</w:t>
      </w:r>
    </w:p>
    <w:p w14:paraId="44571CFA" w14:textId="77777777" w:rsidR="004E22C1" w:rsidRPr="001455DC" w:rsidRDefault="004E22C1" w:rsidP="00EC0EC0">
      <w:pPr>
        <w:pStyle w:val="a7"/>
        <w:rPr>
          <w:szCs w:val="22"/>
        </w:rPr>
      </w:pPr>
      <w:r w:rsidRPr="001455DC">
        <w:rPr>
          <w:bCs/>
          <w:szCs w:val="22"/>
        </w:rPr>
        <w:t>(3)</w:t>
      </w:r>
      <w:r w:rsidRPr="001455DC">
        <w:rPr>
          <w:bCs/>
          <w:szCs w:val="22"/>
        </w:rPr>
        <w:tab/>
      </w:r>
      <w:r w:rsidRPr="001455DC">
        <w:rPr>
          <w:szCs w:val="22"/>
        </w:rPr>
        <w:t>Alternatively, other safe approximations of the interaction diagram established on the basis of 8.3.5(2) are allowed.</w:t>
      </w:r>
    </w:p>
    <w:p w14:paraId="5CFF8726" w14:textId="151D1850" w:rsidR="004E22C1" w:rsidRPr="001455DC" w:rsidRDefault="004E22C1" w:rsidP="006D682B">
      <w:pPr>
        <w:pStyle w:val="21"/>
      </w:pPr>
      <w:bookmarkStart w:id="608" w:name="_Toc52819989"/>
      <w:bookmarkStart w:id="609" w:name="_Toc54337383"/>
      <w:bookmarkStart w:id="610" w:name="_Toc54338045"/>
      <w:bookmarkStart w:id="611" w:name="_Toc67565393"/>
      <w:r w:rsidRPr="001455DC">
        <w:t>Punching</w:t>
      </w:r>
      <w:bookmarkEnd w:id="608"/>
      <w:bookmarkEnd w:id="609"/>
      <w:bookmarkEnd w:id="610"/>
      <w:bookmarkEnd w:id="611"/>
    </w:p>
    <w:p w14:paraId="51F09EF6" w14:textId="0694CA2F" w:rsidR="004E22C1" w:rsidRPr="001455DC" w:rsidRDefault="004E22C1" w:rsidP="00243590">
      <w:pPr>
        <w:pStyle w:val="31"/>
        <w:rPr>
          <w:lang w:eastAsia="de-CH"/>
        </w:rPr>
      </w:pPr>
      <w:bookmarkStart w:id="612" w:name="_Toc52819990"/>
      <w:bookmarkStart w:id="613" w:name="_Toc54337384"/>
      <w:bookmarkStart w:id="614" w:name="_Toc54338046"/>
      <w:bookmarkStart w:id="615" w:name="_Toc67565394"/>
      <w:r w:rsidRPr="001455DC">
        <w:t>General</w:t>
      </w:r>
      <w:bookmarkEnd w:id="612"/>
      <w:bookmarkEnd w:id="613"/>
      <w:bookmarkEnd w:id="614"/>
      <w:bookmarkEnd w:id="615"/>
    </w:p>
    <w:p w14:paraId="170F1B43" w14:textId="77777777" w:rsidR="004E22C1" w:rsidRPr="001455DC" w:rsidRDefault="004E22C1" w:rsidP="00EC0EC0">
      <w:pPr>
        <w:pStyle w:val="a7"/>
        <w:rPr>
          <w:bCs/>
        </w:rPr>
      </w:pPr>
      <w:r w:rsidRPr="001455DC">
        <w:rPr>
          <w:lang w:eastAsia="de-CH"/>
        </w:rPr>
        <w:t>(1)</w:t>
      </w:r>
      <w:r w:rsidRPr="001455DC">
        <w:rPr>
          <w:lang w:eastAsia="de-CH"/>
        </w:rPr>
        <w:tab/>
      </w:r>
      <w:r w:rsidRPr="001455DC">
        <w:rPr>
          <w:bCs/>
        </w:rPr>
        <w:t xml:space="preserve">The rules in 8.4 complement those given in 8.2 and cover punching shear in solid slabs and waffle slabs with solid areas over supporting areas (columns, capitals, shearheads, walls). </w:t>
      </w:r>
      <w:r w:rsidRPr="001455DC">
        <w:t xml:space="preserve">The rules presented hereafter for supporting areas apply by analogy to loaded areas of planar members and </w:t>
      </w:r>
      <w:r w:rsidRPr="001455DC">
        <w:rPr>
          <w:bCs/>
        </w:rPr>
        <w:t>foundations (column bases)</w:t>
      </w:r>
      <w:r w:rsidRPr="001455DC">
        <w:t>.</w:t>
      </w:r>
    </w:p>
    <w:p w14:paraId="39958F4A" w14:textId="77777777" w:rsidR="004E22C1" w:rsidRPr="001455DC" w:rsidRDefault="004E22C1" w:rsidP="008D37B2">
      <w:pPr>
        <w:pStyle w:val="a7"/>
        <w:keepNext/>
      </w:pPr>
      <w:r w:rsidRPr="001455DC">
        <w:rPr>
          <w:bCs/>
        </w:rPr>
        <w:t>(2)</w:t>
      </w:r>
      <w:r w:rsidRPr="001455DC">
        <w:rPr>
          <w:bCs/>
        </w:rPr>
        <w:tab/>
      </w:r>
      <w:r w:rsidRPr="001455DC">
        <w:t>The punching shear resistance shall be verified according to the following procedure:</w:t>
      </w:r>
    </w:p>
    <w:p w14:paraId="1589408B" w14:textId="77777777" w:rsidR="00CA356C" w:rsidRPr="001455DC" w:rsidRDefault="004E22C1" w:rsidP="008D37B2">
      <w:pPr>
        <w:pStyle w:val="a7"/>
        <w:keepNext/>
        <w:ind w:left="567" w:hanging="567"/>
      </w:pPr>
      <w:r w:rsidRPr="001455DC">
        <w:t>(i)</w:t>
      </w:r>
      <w:r w:rsidRPr="001455DC">
        <w:tab/>
        <w:t>Detailed verification of the punching shear resistance may be omitted, provided that the following condition is satisfied outside the control perimeter:</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1701"/>
        <w:gridCol w:w="6804"/>
        <w:gridCol w:w="1247"/>
      </w:tblGrid>
      <w:tr w:rsidR="004A59E7" w:rsidRPr="001455DC" w14:paraId="72A052EC" w14:textId="77777777" w:rsidTr="004A59E7">
        <w:trPr>
          <w:cantSplit/>
        </w:trPr>
        <w:tc>
          <w:tcPr>
            <w:tcW w:w="1701" w:type="dxa"/>
            <w:vAlign w:val="center"/>
          </w:tcPr>
          <w:p w14:paraId="1B2FA867" w14:textId="1C76D641" w:rsidR="004A59E7" w:rsidRPr="001455DC" w:rsidRDefault="004A59E7" w:rsidP="0089465B">
            <w:pPr>
              <w:pStyle w:val="Formula"/>
              <w:ind w:left="567"/>
              <w:jc w:val="left"/>
              <w:rPr>
                <w:rStyle w:val="CCMCvariablesubscript"/>
              </w:rPr>
            </w:pPr>
            <w:r w:rsidRPr="001455DC">
              <w:rPr>
                <w:rStyle w:val="CCMCvariableitalic"/>
              </w:rPr>
              <w:t>τ</w:t>
            </w:r>
            <w:r w:rsidRPr="001455DC">
              <w:rPr>
                <w:rStyle w:val="CCMCvariablesubscript"/>
              </w:rPr>
              <w:t>Ed</w:t>
            </w:r>
            <w:r w:rsidRPr="001455DC">
              <w:t> </w:t>
            </w:r>
            <w:r w:rsidR="00650035" w:rsidRPr="001455DC">
              <w:rPr>
                <w:rFonts w:ascii="Cambria Math" w:hAnsi="Cambria Math"/>
              </w:rPr>
              <w:t>≤</w:t>
            </w:r>
            <w:r w:rsidRPr="001455DC">
              <w:t> </w:t>
            </w:r>
            <w:r w:rsidRPr="001455DC">
              <w:rPr>
                <w:rStyle w:val="CCMCvariableitalic"/>
              </w:rPr>
              <w:t>τ</w:t>
            </w:r>
            <w:r w:rsidRPr="001455DC">
              <w:rPr>
                <w:rStyle w:val="CCMCvariablesubscript"/>
              </w:rPr>
              <w:t>Rdc,min</w:t>
            </w:r>
          </w:p>
        </w:tc>
        <w:tc>
          <w:tcPr>
            <w:tcW w:w="6804" w:type="dxa"/>
            <w:vAlign w:val="center"/>
          </w:tcPr>
          <w:p w14:paraId="4D7DC799" w14:textId="529AE428" w:rsidR="004A59E7" w:rsidRPr="001455DC" w:rsidRDefault="004A59E7" w:rsidP="004A59E7">
            <w:pPr>
              <w:pStyle w:val="Formula"/>
              <w:jc w:val="left"/>
            </w:pPr>
            <w:r w:rsidRPr="001455DC">
              <w:t>according to 8.2.1(4)</w:t>
            </w:r>
          </w:p>
        </w:tc>
        <w:tc>
          <w:tcPr>
            <w:tcW w:w="1247" w:type="dxa"/>
            <w:vAlign w:val="center"/>
          </w:tcPr>
          <w:p w14:paraId="6D5F0DC6" w14:textId="53A06E19" w:rsidR="004A59E7" w:rsidRPr="001455DC" w:rsidRDefault="004A59E7">
            <w:pPr>
              <w:pStyle w:val="a7"/>
              <w:jc w:val="right"/>
            </w:pPr>
            <w:r w:rsidRPr="001455DC">
              <w:t>(8.</w:t>
            </w:r>
            <w:r w:rsidR="00953A13" w:rsidRPr="001455DC">
              <w:t>71</w:t>
            </w:r>
            <w:r w:rsidRPr="001455DC">
              <w:t>)</w:t>
            </w:r>
          </w:p>
        </w:tc>
      </w:tr>
    </w:tbl>
    <w:p w14:paraId="35813F95" w14:textId="77777777" w:rsidR="00CA356C" w:rsidRPr="001455DC" w:rsidRDefault="004E22C1" w:rsidP="008D37B2">
      <w:pPr>
        <w:pStyle w:val="a7"/>
        <w:keepNext/>
        <w:ind w:left="567" w:hanging="567"/>
      </w:pPr>
      <w:r w:rsidRPr="001455DC">
        <w:t>(ii)</w:t>
      </w:r>
      <w:r w:rsidRPr="001455DC">
        <w:tab/>
        <w:t>Punching shear reinforcement may be omitted when the following condition is satisfied:</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1701"/>
        <w:gridCol w:w="6804"/>
        <w:gridCol w:w="1247"/>
      </w:tblGrid>
      <w:tr w:rsidR="004A59E7" w:rsidRPr="001455DC" w14:paraId="564EEEDA" w14:textId="77777777" w:rsidTr="004A59E7">
        <w:trPr>
          <w:cantSplit/>
        </w:trPr>
        <w:tc>
          <w:tcPr>
            <w:tcW w:w="1701" w:type="dxa"/>
            <w:vAlign w:val="center"/>
          </w:tcPr>
          <w:p w14:paraId="3DE88621" w14:textId="05D22367" w:rsidR="004A59E7" w:rsidRPr="001455DC" w:rsidRDefault="004A59E7" w:rsidP="0089465B">
            <w:pPr>
              <w:pStyle w:val="Formula"/>
              <w:ind w:left="567"/>
              <w:jc w:val="left"/>
              <w:rPr>
                <w:rStyle w:val="CCMCvariablesubscript"/>
              </w:rPr>
            </w:pPr>
            <w:r w:rsidRPr="001455DC">
              <w:rPr>
                <w:rStyle w:val="CCMCvariableitalic"/>
              </w:rPr>
              <w:t>τ</w:t>
            </w:r>
            <w:r w:rsidRPr="001455DC">
              <w:rPr>
                <w:rStyle w:val="CCMCvariablesubscript"/>
              </w:rPr>
              <w:t>Ed</w:t>
            </w:r>
            <w:r w:rsidRPr="001455DC">
              <w:t> </w:t>
            </w:r>
            <w:r w:rsidR="00650035" w:rsidRPr="001455DC">
              <w:rPr>
                <w:rFonts w:ascii="Cambria Math" w:hAnsi="Cambria Math"/>
              </w:rPr>
              <w:t>≤</w:t>
            </w:r>
            <w:r w:rsidRPr="001455DC">
              <w:t> </w:t>
            </w:r>
            <w:r w:rsidRPr="001455DC">
              <w:rPr>
                <w:rStyle w:val="CCMCvariableitalic"/>
              </w:rPr>
              <w:t>τ</w:t>
            </w:r>
            <w:r w:rsidRPr="001455DC">
              <w:rPr>
                <w:rStyle w:val="CCMCvariablesubscript"/>
              </w:rPr>
              <w:t>Rd,c</w:t>
            </w:r>
          </w:p>
        </w:tc>
        <w:tc>
          <w:tcPr>
            <w:tcW w:w="6804" w:type="dxa"/>
            <w:vAlign w:val="center"/>
          </w:tcPr>
          <w:p w14:paraId="3A7112FE" w14:textId="23242D3F" w:rsidR="004A59E7" w:rsidRPr="001455DC" w:rsidRDefault="004A59E7" w:rsidP="004A59E7">
            <w:pPr>
              <w:pStyle w:val="Formula"/>
              <w:jc w:val="left"/>
            </w:pPr>
            <w:r w:rsidRPr="001455DC">
              <w:t>according to 8.4.3</w:t>
            </w:r>
          </w:p>
        </w:tc>
        <w:tc>
          <w:tcPr>
            <w:tcW w:w="1247" w:type="dxa"/>
            <w:vAlign w:val="center"/>
          </w:tcPr>
          <w:p w14:paraId="1EF273BD" w14:textId="4CACA327" w:rsidR="004A59E7" w:rsidRPr="001455DC" w:rsidRDefault="004A59E7">
            <w:pPr>
              <w:pStyle w:val="a7"/>
              <w:jc w:val="right"/>
            </w:pPr>
            <w:r w:rsidRPr="001455DC">
              <w:t>(8.</w:t>
            </w:r>
            <w:r w:rsidR="00953A13" w:rsidRPr="001455DC">
              <w:t>72</w:t>
            </w:r>
            <w:r w:rsidRPr="001455DC">
              <w:t>)</w:t>
            </w:r>
          </w:p>
        </w:tc>
      </w:tr>
    </w:tbl>
    <w:p w14:paraId="3C523C48" w14:textId="378C1B8A" w:rsidR="00CA356C" w:rsidRPr="001455DC" w:rsidRDefault="004E22C1" w:rsidP="008D37B2">
      <w:pPr>
        <w:pStyle w:val="a7"/>
        <w:keepNext/>
        <w:ind w:left="567" w:hanging="567"/>
      </w:pPr>
      <w:r w:rsidRPr="001455DC">
        <w:t>(iii)</w:t>
      </w:r>
      <w:r w:rsidRPr="001455DC">
        <w:tab/>
        <w:t xml:space="preserve">Where </w:t>
      </w:r>
      <w:r w:rsidRPr="001455DC">
        <w:rPr>
          <w:rStyle w:val="CCMCvariableitalic"/>
        </w:rPr>
        <w:t>τ</w:t>
      </w:r>
      <w:r w:rsidRPr="001455DC">
        <w:rPr>
          <w:rStyle w:val="CCMCvariablesubscript"/>
        </w:rPr>
        <w:t>Ed</w:t>
      </w:r>
      <w:r w:rsidRPr="001455DC">
        <w:t> </w:t>
      </w:r>
      <w:r w:rsidR="00650035" w:rsidRPr="001455DC">
        <w:rPr>
          <w:rFonts w:ascii="Cambria Math" w:hAnsi="Cambria Math"/>
        </w:rPr>
        <w:t>&gt;</w:t>
      </w:r>
      <w:r w:rsidR="00073FC6" w:rsidRPr="001455DC">
        <w:t> </w:t>
      </w:r>
      <w:r w:rsidRPr="001455DC">
        <w:rPr>
          <w:rStyle w:val="CCMCvariableitalic"/>
        </w:rPr>
        <w:t>τ</w:t>
      </w:r>
      <w:r w:rsidRPr="001455DC">
        <w:rPr>
          <w:rStyle w:val="CCMCvariablesubscript"/>
        </w:rPr>
        <w:t>Rd,c</w:t>
      </w:r>
      <w:r w:rsidRPr="001455DC">
        <w:t xml:space="preserve"> punching shear reinforcement is required and the maximum punching shear resistance at the control perimeter may not be exceeded:</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1701"/>
        <w:gridCol w:w="6804"/>
        <w:gridCol w:w="1247"/>
      </w:tblGrid>
      <w:tr w:rsidR="004A59E7" w:rsidRPr="001455DC" w14:paraId="343BEEC4" w14:textId="77777777" w:rsidTr="004A59E7">
        <w:trPr>
          <w:cantSplit/>
        </w:trPr>
        <w:tc>
          <w:tcPr>
            <w:tcW w:w="1701" w:type="dxa"/>
            <w:vAlign w:val="center"/>
          </w:tcPr>
          <w:p w14:paraId="10C5201C" w14:textId="729D1B11" w:rsidR="004A59E7" w:rsidRPr="001455DC" w:rsidRDefault="004A59E7" w:rsidP="0089465B">
            <w:pPr>
              <w:pStyle w:val="Formula"/>
              <w:ind w:left="567"/>
              <w:jc w:val="left"/>
              <w:rPr>
                <w:rStyle w:val="CCMCvariablesubscript"/>
              </w:rPr>
            </w:pPr>
            <w:r w:rsidRPr="001455DC">
              <w:rPr>
                <w:rStyle w:val="CCMCvariableitalic"/>
              </w:rPr>
              <w:t>τ</w:t>
            </w:r>
            <w:r w:rsidRPr="001455DC">
              <w:rPr>
                <w:rStyle w:val="CCMCvariablesubscript"/>
              </w:rPr>
              <w:t>Ed</w:t>
            </w:r>
            <w:r w:rsidRPr="001455DC">
              <w:t> </w:t>
            </w:r>
            <w:r w:rsidR="00650035" w:rsidRPr="001455DC">
              <w:rPr>
                <w:rFonts w:ascii="Cambria Math" w:hAnsi="Cambria Math"/>
              </w:rPr>
              <w:t>≤</w:t>
            </w:r>
            <w:r w:rsidRPr="001455DC">
              <w:t> </w:t>
            </w:r>
            <w:r w:rsidRPr="001455DC">
              <w:rPr>
                <w:rStyle w:val="CCMCvariableitalic"/>
              </w:rPr>
              <w:t>τ</w:t>
            </w:r>
            <w:r w:rsidRPr="001455DC">
              <w:rPr>
                <w:rStyle w:val="CCMCvariablesubscript"/>
              </w:rPr>
              <w:t>Rd,max</w:t>
            </w:r>
          </w:p>
        </w:tc>
        <w:tc>
          <w:tcPr>
            <w:tcW w:w="6804" w:type="dxa"/>
            <w:vAlign w:val="center"/>
          </w:tcPr>
          <w:p w14:paraId="39DF79D0" w14:textId="3CDD4C4E" w:rsidR="004A59E7" w:rsidRPr="001455DC" w:rsidRDefault="004A59E7" w:rsidP="004A59E7">
            <w:pPr>
              <w:pStyle w:val="Formula"/>
              <w:jc w:val="left"/>
            </w:pPr>
            <w:r w:rsidRPr="001455DC">
              <w:t>according to 8.4.4(3)</w:t>
            </w:r>
          </w:p>
        </w:tc>
        <w:tc>
          <w:tcPr>
            <w:tcW w:w="1247" w:type="dxa"/>
            <w:vAlign w:val="center"/>
          </w:tcPr>
          <w:p w14:paraId="4D50EA5E" w14:textId="15FBE27E" w:rsidR="004A59E7" w:rsidRPr="001455DC" w:rsidRDefault="004A59E7">
            <w:pPr>
              <w:pStyle w:val="a7"/>
              <w:jc w:val="right"/>
            </w:pPr>
            <w:r w:rsidRPr="001455DC">
              <w:t>(8.</w:t>
            </w:r>
            <w:r w:rsidR="00953A13" w:rsidRPr="001455DC">
              <w:t>73</w:t>
            </w:r>
            <w:r w:rsidRPr="001455DC">
              <w:t>)</w:t>
            </w:r>
          </w:p>
        </w:tc>
      </w:tr>
    </w:tbl>
    <w:p w14:paraId="5EF39EA7" w14:textId="77777777" w:rsidR="004A59E7" w:rsidRPr="001455DC" w:rsidRDefault="004E22C1" w:rsidP="008D37B2">
      <w:pPr>
        <w:pStyle w:val="a7"/>
        <w:keepNext/>
        <w:ind w:left="567" w:hanging="567"/>
      </w:pPr>
      <w:r w:rsidRPr="001455DC">
        <w:t>(iv)</w:t>
      </w:r>
      <w:r w:rsidRPr="001455DC">
        <w:tab/>
        <w:t>The punching shear reinforcement should be provided to satisfy the following condition:</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1701"/>
        <w:gridCol w:w="6804"/>
        <w:gridCol w:w="1247"/>
      </w:tblGrid>
      <w:tr w:rsidR="004A59E7" w:rsidRPr="001455DC" w14:paraId="11CD357A" w14:textId="77777777" w:rsidTr="004A59E7">
        <w:trPr>
          <w:cantSplit/>
        </w:trPr>
        <w:tc>
          <w:tcPr>
            <w:tcW w:w="1701" w:type="dxa"/>
            <w:vAlign w:val="center"/>
          </w:tcPr>
          <w:p w14:paraId="4FD006C1" w14:textId="5A996F06" w:rsidR="004A59E7" w:rsidRPr="001455DC" w:rsidRDefault="004A59E7" w:rsidP="0089465B">
            <w:pPr>
              <w:pStyle w:val="Formula"/>
              <w:ind w:left="567"/>
              <w:jc w:val="left"/>
              <w:rPr>
                <w:rStyle w:val="CCMCvariablesubscript"/>
              </w:rPr>
            </w:pPr>
            <w:r w:rsidRPr="001455DC">
              <w:rPr>
                <w:rStyle w:val="CCMCvariableitalic"/>
              </w:rPr>
              <w:t>τ</w:t>
            </w:r>
            <w:r w:rsidRPr="001455DC">
              <w:rPr>
                <w:rStyle w:val="CCMCvariablesubscript"/>
              </w:rPr>
              <w:t>Ed</w:t>
            </w:r>
            <w:r w:rsidRPr="001455DC">
              <w:t> </w:t>
            </w:r>
            <w:r w:rsidR="00650035" w:rsidRPr="001455DC">
              <w:rPr>
                <w:rFonts w:ascii="Cambria Math" w:hAnsi="Cambria Math"/>
              </w:rPr>
              <w:t>≤</w:t>
            </w:r>
            <w:r w:rsidRPr="001455DC">
              <w:t> </w:t>
            </w:r>
            <w:r w:rsidRPr="001455DC">
              <w:rPr>
                <w:rStyle w:val="CCMCvariableitalic"/>
              </w:rPr>
              <w:t>τ</w:t>
            </w:r>
            <w:r w:rsidRPr="001455DC">
              <w:rPr>
                <w:rStyle w:val="CCMCvariablesubscript"/>
              </w:rPr>
              <w:t>Rd,cs</w:t>
            </w:r>
          </w:p>
        </w:tc>
        <w:tc>
          <w:tcPr>
            <w:tcW w:w="6804" w:type="dxa"/>
            <w:vAlign w:val="center"/>
          </w:tcPr>
          <w:p w14:paraId="431A618E" w14:textId="771DDDB9" w:rsidR="004A59E7" w:rsidRPr="001455DC" w:rsidRDefault="004A59E7" w:rsidP="004A59E7">
            <w:pPr>
              <w:pStyle w:val="Formula"/>
              <w:jc w:val="left"/>
            </w:pPr>
            <w:r w:rsidRPr="001455DC">
              <w:t>according to 8.4.4 and complying with the detailing rules of 12.4.2.</w:t>
            </w:r>
          </w:p>
        </w:tc>
        <w:tc>
          <w:tcPr>
            <w:tcW w:w="1247" w:type="dxa"/>
            <w:vAlign w:val="center"/>
          </w:tcPr>
          <w:p w14:paraId="661D6C36" w14:textId="7B2CAEA5" w:rsidR="004A59E7" w:rsidRPr="001455DC" w:rsidRDefault="004A59E7">
            <w:pPr>
              <w:pStyle w:val="a7"/>
              <w:jc w:val="right"/>
            </w:pPr>
            <w:r w:rsidRPr="001455DC">
              <w:t>(8.</w:t>
            </w:r>
            <w:r w:rsidR="00953A13" w:rsidRPr="001455DC">
              <w:t>74</w:t>
            </w:r>
            <w:r w:rsidRPr="001455DC">
              <w:t>)</w:t>
            </w:r>
          </w:p>
        </w:tc>
      </w:tr>
    </w:tbl>
    <w:p w14:paraId="69D08A6A" w14:textId="77777777" w:rsidR="004E22C1" w:rsidRPr="001455DC" w:rsidRDefault="004E22C1" w:rsidP="004A59E7">
      <w:pPr>
        <w:pStyle w:val="a7"/>
        <w:ind w:left="567" w:hanging="567"/>
      </w:pPr>
      <w:r w:rsidRPr="001455DC">
        <w:t>(v)</w:t>
      </w:r>
      <w:r w:rsidRPr="001455DC">
        <w:tab/>
        <w:t>If shear reinforcement is required, a further control perimeter where shear reinforcement is no longer required shall be checked according to 8.4.4(4).</w:t>
      </w:r>
    </w:p>
    <w:p w14:paraId="005AE8C4" w14:textId="11E12D55" w:rsidR="004E22C1" w:rsidRPr="001455DC" w:rsidRDefault="004E22C1" w:rsidP="00243590">
      <w:pPr>
        <w:pStyle w:val="31"/>
      </w:pPr>
      <w:bookmarkStart w:id="616" w:name="_Toc52819991"/>
      <w:bookmarkStart w:id="617" w:name="_Toc54337385"/>
      <w:bookmarkStart w:id="618" w:name="_Toc54338047"/>
      <w:bookmarkStart w:id="619" w:name="_Toc67565395"/>
      <w:r w:rsidRPr="001455DC">
        <w:t>Shear-resisting effective depth, control perimeter and shear stress</w:t>
      </w:r>
      <w:bookmarkEnd w:id="616"/>
      <w:bookmarkEnd w:id="617"/>
      <w:bookmarkEnd w:id="618"/>
      <w:bookmarkEnd w:id="619"/>
    </w:p>
    <w:p w14:paraId="0E4600E5" w14:textId="77777777" w:rsidR="00CA356C" w:rsidRPr="001455DC" w:rsidRDefault="004E22C1" w:rsidP="008D37B2">
      <w:pPr>
        <w:pStyle w:val="a7"/>
        <w:keepNext/>
      </w:pPr>
      <w:r w:rsidRPr="001455DC">
        <w:t>(1)</w:t>
      </w:r>
      <w:r w:rsidRPr="001455DC">
        <w:tab/>
      </w:r>
      <w:r w:rsidRPr="001455DC">
        <w:rPr>
          <w:lang w:eastAsia="de-CH"/>
        </w:rPr>
        <w:t xml:space="preserve">The shear-resisting effective depth of the slab </w:t>
      </w:r>
      <w:r w:rsidRPr="001455DC">
        <w:rPr>
          <w:rStyle w:val="CCMCvariableitalic"/>
        </w:rPr>
        <w:t>d</w:t>
      </w:r>
      <w:r w:rsidRPr="001455DC">
        <w:rPr>
          <w:rStyle w:val="CCMCvariablesubscript"/>
        </w:rPr>
        <w:t>v</w:t>
      </w:r>
      <w:r w:rsidRPr="001455DC">
        <w:rPr>
          <w:lang w:eastAsia="de-CH"/>
        </w:rPr>
        <w:t xml:space="preserve"> should be taken as the distance from the supporting area to the average level of the reinforcement layers, see Figure 8.17.</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CA356C" w:rsidRPr="001455DC" w14:paraId="300B5A33" w14:textId="77777777" w:rsidTr="004A59E7">
        <w:trPr>
          <w:cantSplit/>
        </w:trPr>
        <w:tc>
          <w:tcPr>
            <w:tcW w:w="8505" w:type="dxa"/>
            <w:vAlign w:val="center"/>
          </w:tcPr>
          <w:p w14:paraId="2E9D075E" w14:textId="1CD55A93" w:rsidR="00CA356C" w:rsidRPr="001455DC" w:rsidRDefault="00231E33" w:rsidP="004A59E7">
            <w:pPr>
              <w:pStyle w:val="Formula"/>
              <w:jc w:val="left"/>
            </w:pPr>
            <m:oMathPara>
              <m:oMathParaPr>
                <m:jc m:val="left"/>
              </m:oMathParaPr>
              <m:oMath>
                <m:sSub>
                  <m:sSubPr>
                    <m:ctrlPr>
                      <w:rPr>
                        <w:rFonts w:ascii="Cambria Math" w:hAnsi="Cambria Math"/>
                        <w:lang w:eastAsia="de-CH"/>
                      </w:rPr>
                    </m:ctrlPr>
                  </m:sSubPr>
                  <m:e>
                    <m:r>
                      <w:rPr>
                        <w:rFonts w:ascii="Cambria Math" w:hAnsi="Cambria Math"/>
                      </w:rPr>
                      <m:t>d</m:t>
                    </m:r>
                  </m:e>
                  <m:sub>
                    <m:r>
                      <m:rPr>
                        <m:sty m:val="p"/>
                      </m:rPr>
                      <w:rPr>
                        <w:rFonts w:ascii="Cambria Math" w:hAnsi="Cambria Math"/>
                      </w:rPr>
                      <m:t>v</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vx</m:t>
                        </m:r>
                      </m:sub>
                    </m:sSub>
                    <m: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vy</m:t>
                        </m:r>
                      </m:sub>
                    </m:sSub>
                  </m:num>
                  <m:den>
                    <m:r>
                      <w:rPr>
                        <w:rFonts w:ascii="Cambria Math" w:hAnsi="Cambria Math"/>
                      </w:rPr>
                      <m:t>2</m:t>
                    </m:r>
                  </m:den>
                </m:f>
              </m:oMath>
            </m:oMathPara>
          </w:p>
        </w:tc>
        <w:tc>
          <w:tcPr>
            <w:tcW w:w="1247" w:type="dxa"/>
            <w:vAlign w:val="center"/>
          </w:tcPr>
          <w:p w14:paraId="59306123" w14:textId="7C34FCF4" w:rsidR="00CA356C" w:rsidRPr="001455DC" w:rsidRDefault="004A59E7">
            <w:pPr>
              <w:pStyle w:val="a7"/>
              <w:jc w:val="right"/>
            </w:pPr>
            <w:r w:rsidRPr="001455DC">
              <w:rPr>
                <w:lang w:eastAsia="de-CH"/>
              </w:rPr>
              <w:t>(8.</w:t>
            </w:r>
            <w:r w:rsidR="00953A13" w:rsidRPr="001455DC">
              <w:rPr>
                <w:lang w:eastAsia="de-CH"/>
              </w:rPr>
              <w:t>75</w:t>
            </w:r>
            <w:r w:rsidRPr="001455DC">
              <w:rPr>
                <w:lang w:eastAsia="de-CH"/>
              </w:rPr>
              <w:t>)</w:t>
            </w:r>
          </w:p>
        </w:tc>
      </w:tr>
    </w:tbl>
    <w:p w14:paraId="239D7FC5" w14:textId="319C0368" w:rsidR="00853A17" w:rsidRPr="009D3012" w:rsidRDefault="00853A17" w:rsidP="009D3012">
      <w:pPr>
        <w:pStyle w:val="Note"/>
        <w:rPr>
          <w:lang w:eastAsia="de-CH"/>
        </w:rPr>
      </w:pPr>
      <w:r w:rsidRPr="009D3012">
        <w:t>NOTE 1</w:t>
      </w:r>
      <w:r w:rsidRPr="009D3012">
        <w:tab/>
        <w:t xml:space="preserve">For </w:t>
      </w:r>
      <w:r w:rsidRPr="009D3012">
        <w:rPr>
          <w:i/>
        </w:rPr>
        <w:t>d</w:t>
      </w:r>
      <w:r w:rsidRPr="009D3012">
        <w:rPr>
          <w:iCs/>
          <w:vertAlign w:val="subscript"/>
        </w:rPr>
        <w:t>vx</w:t>
      </w:r>
      <w:r w:rsidRPr="009D3012">
        <w:t xml:space="preserve"> and </w:t>
      </w:r>
      <w:r w:rsidRPr="009D3012">
        <w:rPr>
          <w:i/>
        </w:rPr>
        <w:t>d</w:t>
      </w:r>
      <w:r w:rsidRPr="009D3012">
        <w:rPr>
          <w:iCs/>
          <w:vertAlign w:val="subscript"/>
        </w:rPr>
        <w:t>vy</w:t>
      </w:r>
      <w:r w:rsidRPr="009D3012">
        <w:t xml:space="preserve"> the nominal effective depth </w:t>
      </w:r>
      <w:r w:rsidRPr="009D3012">
        <w:rPr>
          <w:i/>
        </w:rPr>
        <w:t>d</w:t>
      </w:r>
      <w:r w:rsidRPr="009D3012">
        <w:rPr>
          <w:vertAlign w:val="subscript"/>
        </w:rPr>
        <w:t>nom</w:t>
      </w:r>
      <w:r w:rsidRPr="009D3012">
        <w:t xml:space="preserve"> or the design value </w:t>
      </w:r>
      <w:r w:rsidRPr="009D3012">
        <w:rPr>
          <w:i/>
        </w:rPr>
        <w:t>d</w:t>
      </w:r>
      <w:r w:rsidRPr="009D3012">
        <w:rPr>
          <w:vertAlign w:val="subscript"/>
        </w:rPr>
        <w:t>d</w:t>
      </w:r>
      <w:r w:rsidRPr="009D3012">
        <w:t xml:space="preserve"> can be used (see A(6)). A National Annex can give advice for using </w:t>
      </w:r>
      <w:r w:rsidRPr="009D3012">
        <w:rPr>
          <w:i/>
        </w:rPr>
        <w:t>d</w:t>
      </w:r>
      <w:r w:rsidRPr="009D3012">
        <w:rPr>
          <w:vertAlign w:val="subscript"/>
        </w:rPr>
        <w:t>d</w:t>
      </w:r>
      <w:r w:rsidRPr="009D3012">
        <w:t>.</w:t>
      </w:r>
    </w:p>
    <w:tbl>
      <w:tblPr>
        <w:tblStyle w:val="a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0"/>
        <w:gridCol w:w="3251"/>
        <w:gridCol w:w="3251"/>
      </w:tblGrid>
      <w:tr w:rsidR="00AB020A" w:rsidRPr="001455DC" w14:paraId="6A258383" w14:textId="77777777" w:rsidTr="00AB020A">
        <w:trPr>
          <w:cantSplit/>
          <w:jc w:val="center"/>
        </w:trPr>
        <w:tc>
          <w:tcPr>
            <w:tcW w:w="9752" w:type="dxa"/>
            <w:gridSpan w:val="3"/>
          </w:tcPr>
          <w:p w14:paraId="2A1B0898" w14:textId="5778CD18" w:rsidR="00AB020A" w:rsidRPr="001455DC" w:rsidRDefault="00723CF7" w:rsidP="004A59E7">
            <w:pPr>
              <w:pStyle w:val="FigureImage"/>
              <w:rPr>
                <w:lang w:eastAsia="de-CH"/>
              </w:rPr>
            </w:pPr>
            <w:r>
              <w:rPr>
                <w:noProof/>
                <w:lang w:eastAsia="en-GB"/>
              </w:rPr>
              <w:fldChar w:fldCharType="begin"/>
            </w:r>
            <w:r>
              <w:rPr>
                <w:rFonts w:cs="Times New Roman"/>
                <w:noProof/>
                <w:lang w:eastAsia="en-GB"/>
              </w:rPr>
              <w:instrText xml:space="preserve"> INCLUDEPICTURE  "Y:\\STD_MGT\\STDDEL\\PRODUCTION\\etrans\\Download\\Z_FIRST_DEL\\SV\\00250\\00250269\\41_e_dr\\8_017.tif"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"Y:\\STD_MGT\\STDDEL\\PRODUCTION\\Standards\\00250\\269\\41_e_dr\\8_017.tif"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"Y:\\STD_MGT\\STDDEL\\PRODUCTION\\Standards\\00250\\269\\41_e_dr\\8_017.tif"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"Y:\\STD_MGT\\STDDEL\\PRODUCTION\\Standards\\00250\\269\\41_e_dr\\8_017.tif"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"Y:\\STD_MGT\\STDDEL\\PRODUCTION\\Standards\\00250\\269\\41_e_dr\\8_017.tif"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"Y:\\STD_MGT\\STDDEL\\PRODUCTION\\Standards\\00250\\269\\41_e_dr\\8_017.tif"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w:instrText>
            </w:r>
            <w:r w:rsidR="00231E33">
              <w:rPr>
                <w:noProof/>
                <w:lang w:eastAsia="en-GB"/>
              </w:rPr>
              <w:instrText>p\\Temp1_00250269_e_20210902.zip.zip\\41_e_dr\\8_017.tif"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199CE06C">
                <v:shape id="_x0000_i1169" type="#_x0000_t75" style="width:379.5pt;height:79.5pt">
                  <v:imagedata r:id="rId308" r:href="rId309"/>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4A59E7" w:rsidRPr="008D6B60" w14:paraId="09FFFBA4" w14:textId="77777777" w:rsidTr="00AB020A">
        <w:trPr>
          <w:cantSplit/>
          <w:jc w:val="center"/>
        </w:trPr>
        <w:tc>
          <w:tcPr>
            <w:tcW w:w="3250" w:type="dxa"/>
          </w:tcPr>
          <w:p w14:paraId="3C331FB1" w14:textId="056278C4" w:rsidR="004A59E7" w:rsidRPr="008D6B60" w:rsidRDefault="004A59E7" w:rsidP="004A59E7">
            <w:pPr>
              <w:pStyle w:val="FigureText"/>
              <w:jc w:val="center"/>
            </w:pPr>
            <w:r w:rsidRPr="009D3012">
              <w:rPr>
                <w:bCs/>
              </w:rPr>
              <w:t>a) Direct support</w:t>
            </w:r>
          </w:p>
        </w:tc>
        <w:tc>
          <w:tcPr>
            <w:tcW w:w="3251" w:type="dxa"/>
          </w:tcPr>
          <w:p w14:paraId="1053A0BF" w14:textId="0B221965" w:rsidR="004A59E7" w:rsidRPr="008D6B60" w:rsidRDefault="004A59E7" w:rsidP="004A59E7">
            <w:pPr>
              <w:pStyle w:val="FigureText"/>
              <w:jc w:val="center"/>
            </w:pPr>
            <w:r w:rsidRPr="009D3012">
              <w:rPr>
                <w:bCs/>
              </w:rPr>
              <w:t>b) Hanging support with penetration</w:t>
            </w:r>
          </w:p>
        </w:tc>
        <w:tc>
          <w:tcPr>
            <w:tcW w:w="3251" w:type="dxa"/>
          </w:tcPr>
          <w:p w14:paraId="734A71E3" w14:textId="0E3FA987" w:rsidR="004A59E7" w:rsidRPr="008D6B60" w:rsidRDefault="004A59E7" w:rsidP="004A59E7">
            <w:pPr>
              <w:pStyle w:val="FigureText"/>
              <w:jc w:val="center"/>
            </w:pPr>
            <w:r w:rsidRPr="009D3012">
              <w:rPr>
                <w:bCs/>
              </w:rPr>
              <w:t>c) Penetration by direct support</w:t>
            </w:r>
          </w:p>
        </w:tc>
      </w:tr>
    </w:tbl>
    <w:p w14:paraId="6E15661C" w14:textId="77777777" w:rsidR="004A59E7" w:rsidRPr="001455DC" w:rsidRDefault="004A59E7" w:rsidP="004A59E7">
      <w:pPr>
        <w:pStyle w:val="KeyTitle"/>
      </w:pPr>
      <w:r w:rsidRPr="001455DC">
        <w:t>Key</w:t>
      </w:r>
    </w:p>
    <w:tbl>
      <w:tblPr>
        <w:tblW w:w="9809" w:type="dxa"/>
        <w:tblLayout w:type="fixed"/>
        <w:tblCellMar>
          <w:left w:w="28" w:type="dxa"/>
          <w:right w:w="28" w:type="dxa"/>
        </w:tblCellMar>
        <w:tblLook w:val="0000" w:firstRow="0" w:lastRow="0" w:firstColumn="0" w:lastColumn="0" w:noHBand="0" w:noVBand="0"/>
      </w:tblPr>
      <w:tblGrid>
        <w:gridCol w:w="397"/>
        <w:gridCol w:w="9412"/>
      </w:tblGrid>
      <w:tr w:rsidR="004A59E7" w:rsidRPr="001455DC" w14:paraId="752A308E" w14:textId="77777777" w:rsidTr="004A59E7">
        <w:tc>
          <w:tcPr>
            <w:tcW w:w="397" w:type="dxa"/>
            <w:shd w:val="clear" w:color="auto" w:fill="auto"/>
          </w:tcPr>
          <w:p w14:paraId="45FB4013" w14:textId="121183A5" w:rsidR="004A59E7" w:rsidRPr="001455DC" w:rsidRDefault="004A59E7" w:rsidP="004A59E7">
            <w:pPr>
              <w:pStyle w:val="KeyText"/>
              <w:tabs>
                <w:tab w:val="clear" w:pos="346"/>
              </w:tabs>
              <w:ind w:left="0" w:firstLine="0"/>
            </w:pPr>
            <w:r w:rsidRPr="001455DC">
              <w:t>1</w:t>
            </w:r>
          </w:p>
        </w:tc>
        <w:tc>
          <w:tcPr>
            <w:tcW w:w="9412" w:type="dxa"/>
            <w:shd w:val="clear" w:color="auto" w:fill="auto"/>
          </w:tcPr>
          <w:p w14:paraId="52D5F523" w14:textId="1086DA4E" w:rsidR="004A59E7" w:rsidRPr="001455DC" w:rsidRDefault="004543C9" w:rsidP="004A59E7">
            <w:pPr>
              <w:pStyle w:val="KeyText"/>
              <w:tabs>
                <w:tab w:val="clear" w:pos="346"/>
              </w:tabs>
              <w:ind w:left="0" w:firstLine="0"/>
            </w:pPr>
            <w:r>
              <w:rPr>
                <w:lang w:eastAsia="de-CH"/>
              </w:rPr>
              <w:t>c</w:t>
            </w:r>
            <w:r w:rsidR="004A59E7" w:rsidRPr="001455DC">
              <w:rPr>
                <w:lang w:eastAsia="de-CH"/>
              </w:rPr>
              <w:t>ontrol perimeter</w:t>
            </w:r>
          </w:p>
        </w:tc>
      </w:tr>
    </w:tbl>
    <w:p w14:paraId="13A64CDE" w14:textId="77777777" w:rsidR="004E22C1" w:rsidRPr="001455DC" w:rsidRDefault="004E22C1" w:rsidP="00EC0EC0">
      <w:pPr>
        <w:pStyle w:val="Figuretitle"/>
      </w:pPr>
      <w:r w:rsidRPr="001455DC">
        <w:t xml:space="preserve">Figure 8.17 — Shear-resisting effective depth of the slab </w:t>
      </w:r>
      <w:r w:rsidRPr="001455DC">
        <w:rPr>
          <w:rStyle w:val="CCMCvariableitalic"/>
          <w:b w:val="0"/>
          <w:bCs/>
        </w:rPr>
        <w:t>d</w:t>
      </w:r>
      <w:r w:rsidRPr="001455DC">
        <w:rPr>
          <w:rStyle w:val="CCMCvariablesubscript"/>
          <w:b w:val="0"/>
          <w:bCs/>
        </w:rPr>
        <w:t>v</w:t>
      </w:r>
      <w:r w:rsidRPr="001455DC">
        <w:t xml:space="preserve"> considering effective level of supporting area</w:t>
      </w:r>
    </w:p>
    <w:p w14:paraId="6DDFA654" w14:textId="494365F4" w:rsidR="004E22C1" w:rsidRPr="001455DC" w:rsidRDefault="004E22C1" w:rsidP="00CA356C">
      <w:pPr>
        <w:pStyle w:val="Note"/>
      </w:pPr>
      <w:r w:rsidRPr="001455DC">
        <w:t>NOTE</w:t>
      </w:r>
      <w:r w:rsidR="00853A17" w:rsidRPr="001455DC">
        <w:t xml:space="preserve"> 2</w:t>
      </w:r>
      <w:r w:rsidRPr="001455DC">
        <w:tab/>
        <w:t xml:space="preserve">Figure 8.17c) shows the case where the column penetrates into the slab. This is only to account for in the punching shear calculation when the penetration is larger than </w:t>
      </w:r>
      <w:r w:rsidRPr="001455DC">
        <w:rPr>
          <w:rStyle w:val="CCMCvariableitalic"/>
        </w:rPr>
        <w:t>d</w:t>
      </w:r>
      <w:r w:rsidRPr="001455DC">
        <w:t>/20 (see also tolerance according to EN 13670).</w:t>
      </w:r>
    </w:p>
    <w:p w14:paraId="37FCE1DF" w14:textId="3831A95E" w:rsidR="004E22C1" w:rsidRPr="001455DC" w:rsidRDefault="004E22C1" w:rsidP="00EC0EC0">
      <w:pPr>
        <w:pStyle w:val="a7"/>
        <w:rPr>
          <w:lang w:eastAsia="de-CH"/>
        </w:rPr>
      </w:pPr>
      <w:r w:rsidRPr="001455DC">
        <w:rPr>
          <w:szCs w:val="22"/>
        </w:rPr>
        <w:t>(2)</w:t>
      </w:r>
      <w:r w:rsidRPr="001455DC">
        <w:rPr>
          <w:szCs w:val="22"/>
        </w:rPr>
        <w:tab/>
      </w:r>
      <w:r w:rsidRPr="001455DC">
        <w:rPr>
          <w:lang w:eastAsia="de-CH"/>
        </w:rPr>
        <w:t>The control perimeter may normally be taken at a distance 0,5</w:t>
      </w:r>
      <w:r w:rsidRPr="001455DC">
        <w:rPr>
          <w:rStyle w:val="CCMCvariableitalic"/>
        </w:rPr>
        <w:t>d</w:t>
      </w:r>
      <w:r w:rsidRPr="001455DC">
        <w:rPr>
          <w:rStyle w:val="CCMCvariablesubscript"/>
        </w:rPr>
        <w:t>v</w:t>
      </w:r>
      <w:r w:rsidRPr="001455DC">
        <w:rPr>
          <w:lang w:eastAsia="de-CH"/>
        </w:rPr>
        <w:t xml:space="preserve"> from the face of supporting area and should be constructed so as to minimise its length </w:t>
      </w:r>
      <w:r w:rsidRPr="001455DC">
        <w:rPr>
          <w:rStyle w:val="CCMCvariableitalic"/>
        </w:rPr>
        <w:t>b</w:t>
      </w:r>
      <w:r w:rsidRPr="001455DC">
        <w:rPr>
          <w:rStyle w:val="CCMCvariablesubscript"/>
        </w:rPr>
        <w:t>0,5</w:t>
      </w:r>
      <w:r w:rsidRPr="001455DC">
        <w:rPr>
          <w:lang w:eastAsia="de-CH"/>
        </w:rPr>
        <w:t xml:space="preserve"> (see Figure 8.18). For the calculation of the punching shear resistance, also the perimeter </w:t>
      </w:r>
      <w:r w:rsidRPr="001455DC">
        <w:rPr>
          <w:rStyle w:val="CCMCvariableitalic"/>
        </w:rPr>
        <w:t>b</w:t>
      </w:r>
      <w:r w:rsidRPr="001455DC">
        <w:rPr>
          <w:rStyle w:val="CCMCvariablesubscript"/>
        </w:rPr>
        <w:t>0</w:t>
      </w:r>
      <w:r w:rsidRPr="001455DC">
        <w:rPr>
          <w:lang w:eastAsia="de-CH"/>
        </w:rPr>
        <w:t xml:space="preserve"> at column edge minimised according to Figures 8.18(c), (d) and (e) is used.</w:t>
      </w:r>
    </w:p>
    <w:p w14:paraId="2F7E116B" w14:textId="77777777" w:rsidR="00A46F70" w:rsidRDefault="00723CF7" w:rsidP="009050D5">
      <w:pPr>
        <w:pStyle w:val="KeyTitle"/>
        <w:rPr>
          <w:noProof/>
          <w:lang w:eastAsia="en-GB"/>
        </w:rPr>
      </w:pPr>
      <w:r>
        <w:rPr>
          <w:noProof/>
          <w:lang w:eastAsia="en-GB"/>
        </w:rPr>
        <w:fldChar w:fldCharType="begin"/>
      </w:r>
      <w:r>
        <w:rPr>
          <w:noProof/>
          <w:lang w:eastAsia="en-GB"/>
        </w:rPr>
        <w:instrText xml:space="preserve"> INCLUDEPICTURE  "Y:\\STD_MGT\\STDDEL\\PRODUCTION\\etrans\\Download\\Z_FIRST_DEL\\SV\\00250\\00250269\\41_e_dr\\8_018.tif"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"Y:\\STD_MGT\\STDDEL\\PRODUCTION\\Standards\\00250\\269\\41_e_dr\\8_018.tif"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"Y:\\STD_MGT\\STDDEL\\PRODUCTION\\Standards\\00250\\269\\41_e_dr\\8_018.tif"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"Y:\\STD_MGT\\STDDEL\\PRODUCTION\\Standards\\00250\\269\\41_e_dr\\8_018.tif"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"Y:\\STD_MGT\\STDDEL\\PRODUCTION\\Standards\\00250\\269\\41_e_dr\\8_018.tif"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"Y:\\STD_MGT\\STDDEL\\PRODUCTION\\Standards\\00250\\269\\41_e_dr\\8_018.tif"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w:instrText>
      </w:r>
      <w:r w:rsidR="00231E33">
        <w:rPr>
          <w:noProof/>
          <w:lang w:eastAsia="en-GB"/>
        </w:rPr>
        <w:instrText>Users\\a.dionysiou\\AppData\\Local\\Temp\\Temp1_00250269_e_20210902.zip.zip\\41_e_dr\\8_018.tif"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325A5CDC">
          <v:shape id="_x0000_i1170" type="#_x0000_t75" style="width:462.75pt;height:141pt">
            <v:imagedata r:id="rId310" r:href="rId311"/>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145A8977" w14:textId="126F0380" w:rsidR="009050D5" w:rsidRPr="001455DC" w:rsidRDefault="009050D5" w:rsidP="009050D5">
      <w:pPr>
        <w:pStyle w:val="KeyTitle"/>
      </w:pPr>
      <w:r w:rsidRPr="001455DC">
        <w:t>Key</w:t>
      </w:r>
    </w:p>
    <w:tbl>
      <w:tblPr>
        <w:tblW w:w="9809" w:type="dxa"/>
        <w:tblLayout w:type="fixed"/>
        <w:tblCellMar>
          <w:left w:w="28" w:type="dxa"/>
          <w:right w:w="28" w:type="dxa"/>
        </w:tblCellMar>
        <w:tblLook w:val="0000" w:firstRow="0" w:lastRow="0" w:firstColumn="0" w:lastColumn="0" w:noHBand="0" w:noVBand="0"/>
      </w:tblPr>
      <w:tblGrid>
        <w:gridCol w:w="397"/>
        <w:gridCol w:w="9412"/>
      </w:tblGrid>
      <w:tr w:rsidR="009050D5" w:rsidRPr="001455DC" w14:paraId="41B84F44" w14:textId="77777777" w:rsidTr="006E79E6">
        <w:tc>
          <w:tcPr>
            <w:tcW w:w="397" w:type="dxa"/>
            <w:shd w:val="clear" w:color="auto" w:fill="auto"/>
          </w:tcPr>
          <w:p w14:paraId="705846A9" w14:textId="77777777" w:rsidR="009050D5" w:rsidRPr="001455DC" w:rsidRDefault="009050D5" w:rsidP="006E79E6">
            <w:pPr>
              <w:pStyle w:val="KeyText"/>
              <w:tabs>
                <w:tab w:val="clear" w:pos="346"/>
              </w:tabs>
              <w:ind w:left="0" w:firstLine="0"/>
            </w:pPr>
            <w:r w:rsidRPr="001455DC">
              <w:t>1</w:t>
            </w:r>
          </w:p>
        </w:tc>
        <w:tc>
          <w:tcPr>
            <w:tcW w:w="9412" w:type="dxa"/>
            <w:shd w:val="clear" w:color="auto" w:fill="auto"/>
          </w:tcPr>
          <w:p w14:paraId="059BB696" w14:textId="28F284A0" w:rsidR="009050D5" w:rsidRPr="001455DC" w:rsidRDefault="009050D5" w:rsidP="006E79E6">
            <w:pPr>
              <w:pStyle w:val="KeyText"/>
              <w:tabs>
                <w:tab w:val="clear" w:pos="346"/>
              </w:tabs>
              <w:ind w:left="0" w:firstLine="0"/>
            </w:pPr>
            <w:r w:rsidRPr="001455DC">
              <w:t>control perimeter</w:t>
            </w:r>
          </w:p>
        </w:tc>
      </w:tr>
      <w:tr w:rsidR="009050D5" w:rsidRPr="001455DC" w14:paraId="68A6405D" w14:textId="77777777" w:rsidTr="006E79E6">
        <w:tc>
          <w:tcPr>
            <w:tcW w:w="397" w:type="dxa"/>
            <w:shd w:val="clear" w:color="auto" w:fill="auto"/>
          </w:tcPr>
          <w:p w14:paraId="56C5B513" w14:textId="77777777" w:rsidR="009050D5" w:rsidRPr="001455DC" w:rsidRDefault="009050D5" w:rsidP="006E79E6">
            <w:pPr>
              <w:pStyle w:val="KeyText"/>
              <w:tabs>
                <w:tab w:val="clear" w:pos="346"/>
              </w:tabs>
              <w:ind w:left="0" w:firstLine="0"/>
            </w:pPr>
            <w:r w:rsidRPr="001455DC">
              <w:t>2</w:t>
            </w:r>
          </w:p>
        </w:tc>
        <w:tc>
          <w:tcPr>
            <w:tcW w:w="9412" w:type="dxa"/>
            <w:shd w:val="clear" w:color="auto" w:fill="auto"/>
          </w:tcPr>
          <w:p w14:paraId="79C07DC7" w14:textId="66713F43" w:rsidR="009050D5" w:rsidRPr="001455DC" w:rsidRDefault="009050D5" w:rsidP="006E79E6">
            <w:pPr>
              <w:pStyle w:val="KeyText"/>
              <w:tabs>
                <w:tab w:val="clear" w:pos="346"/>
              </w:tabs>
              <w:ind w:left="0" w:firstLine="0"/>
            </w:pPr>
            <w:r w:rsidRPr="001455DC">
              <w:t>supporting area</w:t>
            </w:r>
          </w:p>
        </w:tc>
      </w:tr>
      <w:tr w:rsidR="009050D5" w:rsidRPr="001455DC" w14:paraId="13F4FA43" w14:textId="77777777" w:rsidTr="006E79E6">
        <w:tc>
          <w:tcPr>
            <w:tcW w:w="397" w:type="dxa"/>
            <w:shd w:val="clear" w:color="auto" w:fill="auto"/>
          </w:tcPr>
          <w:p w14:paraId="4D002067" w14:textId="77777777" w:rsidR="009050D5" w:rsidRPr="001455DC" w:rsidRDefault="009050D5" w:rsidP="006E79E6">
            <w:pPr>
              <w:pStyle w:val="KeyText"/>
              <w:tabs>
                <w:tab w:val="clear" w:pos="346"/>
              </w:tabs>
              <w:ind w:left="0" w:firstLine="0"/>
            </w:pPr>
            <w:r w:rsidRPr="001455DC">
              <w:t>3</w:t>
            </w:r>
          </w:p>
        </w:tc>
        <w:tc>
          <w:tcPr>
            <w:tcW w:w="9412" w:type="dxa"/>
            <w:shd w:val="clear" w:color="auto" w:fill="auto"/>
          </w:tcPr>
          <w:p w14:paraId="18E7E97C" w14:textId="46C4C190" w:rsidR="009050D5" w:rsidRPr="001455DC" w:rsidRDefault="009050D5" w:rsidP="006E79E6">
            <w:pPr>
              <w:pStyle w:val="KeyText"/>
              <w:tabs>
                <w:tab w:val="clear" w:pos="346"/>
              </w:tabs>
              <w:ind w:left="0" w:firstLine="0"/>
            </w:pPr>
            <w:r w:rsidRPr="001455DC">
              <w:t>slab edge</w:t>
            </w:r>
          </w:p>
        </w:tc>
      </w:tr>
    </w:tbl>
    <w:p w14:paraId="1567F562" w14:textId="77777777" w:rsidR="004E22C1" w:rsidRPr="001455DC" w:rsidRDefault="004E22C1" w:rsidP="009050D5">
      <w:pPr>
        <w:pStyle w:val="Figuretitle"/>
      </w:pPr>
      <w:r w:rsidRPr="001455DC">
        <w:t xml:space="preserve">Figure 8.18 — Typical control perimeters </w:t>
      </w:r>
      <w:r w:rsidRPr="001455DC">
        <w:rPr>
          <w:rStyle w:val="CCMCvariableitalic"/>
        </w:rPr>
        <w:t>b</w:t>
      </w:r>
      <w:r w:rsidRPr="001455DC">
        <w:rPr>
          <w:rStyle w:val="CCMCvariablesubscript"/>
        </w:rPr>
        <w:t>0,5</w:t>
      </w:r>
      <w:r w:rsidRPr="001455DC">
        <w:t xml:space="preserve"> and perimeters </w:t>
      </w:r>
      <w:r w:rsidRPr="001455DC">
        <w:rPr>
          <w:rStyle w:val="CCMCvariableitalic"/>
        </w:rPr>
        <w:t>b</w:t>
      </w:r>
      <w:r w:rsidRPr="001455DC">
        <w:rPr>
          <w:rStyle w:val="CCMCvariablesubscript"/>
        </w:rPr>
        <w:t>0</w:t>
      </w:r>
      <w:r w:rsidRPr="001455DC">
        <w:t xml:space="preserve"> around supporting areas</w:t>
      </w:r>
    </w:p>
    <w:p w14:paraId="5EF5BC45" w14:textId="59DB1AA6" w:rsidR="004E22C1" w:rsidRPr="001455DC" w:rsidRDefault="004E22C1" w:rsidP="00CD6899">
      <w:pPr>
        <w:pStyle w:val="a7"/>
      </w:pPr>
      <w:r w:rsidRPr="001455DC">
        <w:t>(3)</w:t>
      </w:r>
      <w:r w:rsidRPr="001455DC">
        <w:tab/>
        <w:t>The effect of concentration of the shear forces at the corners of large supporting areas may be taken into account by reducing the control perimeter assuming that the length of its straight segments does not exceed 3</w:t>
      </w:r>
      <w:r w:rsidRPr="001455DC">
        <w:rPr>
          <w:rStyle w:val="CCMCvariableitalic"/>
        </w:rPr>
        <w:t>d</w:t>
      </w:r>
      <w:r w:rsidRPr="001455DC">
        <w:rPr>
          <w:rStyle w:val="CCMCvariablesubscript"/>
        </w:rPr>
        <w:t>v</w:t>
      </w:r>
      <w:r w:rsidRPr="001455DC">
        <w:t xml:space="preserve"> for each edge (refer to reduced control perimeter length shown in Figure 8.19a).</w:t>
      </w:r>
      <w:r w:rsidR="00031020" w:rsidRPr="001455DC">
        <w:t xml:space="preserve"> </w:t>
      </w:r>
      <w:r w:rsidRPr="001455DC">
        <w:t>In large columns, without a detailed analysis, only the reduced control perimeter according to Figure 8.19a) should be accounted for. In wall ends and wall corners, the load carried by the supporting areas defined in Figures 8.19b</w:t>
      </w:r>
      <w:r w:rsidR="00B223BF" w:rsidRPr="001455DC">
        <w:t xml:space="preserve">) and </w:t>
      </w:r>
      <w:r w:rsidRPr="001455DC">
        <w:t>c) should be verified for punching resistance whereas the load carried outside the supporting areas should be verified for shear according to 8.2.1 and 8.2.2.</w:t>
      </w:r>
    </w:p>
    <w:tbl>
      <w:tblPr>
        <w:tblStyle w:val="a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1950"/>
        <w:gridCol w:w="1950"/>
        <w:gridCol w:w="1951"/>
        <w:gridCol w:w="1950"/>
        <w:gridCol w:w="1951"/>
      </w:tblGrid>
      <w:tr w:rsidR="006E13DA" w:rsidRPr="001455DC" w14:paraId="1E9396C9" w14:textId="77777777" w:rsidTr="006E79E6">
        <w:trPr>
          <w:cantSplit/>
          <w:jc w:val="center"/>
        </w:trPr>
        <w:tc>
          <w:tcPr>
            <w:tcW w:w="1950" w:type="dxa"/>
          </w:tcPr>
          <w:p w14:paraId="4BBF9DF4" w14:textId="12ACF6B9" w:rsidR="006E13DA" w:rsidRPr="001455DC" w:rsidRDefault="00723CF7" w:rsidP="006E79E6">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"Y:\\STD_MGT\\STDDEL\\PRODUCTION\\etrans\\Download\\Z_FIRST_DEL\\SV\\00250\\00250269\\41_e_dr\\8_019a.tif"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"Y:\\STD_MGT\\STDDEL\\PRODUCTION\\Standards\\00250\\269\\41_e_dr\\8_019a.tif"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"Y:\\STD_MGT\\STDDEL\\PRODUCTION\\Standards\\00250\\269\\41_e_dr\\8_019a.tif"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"Y:\\STD_MGT\\STDDEL\\PRODUCTION\\Standards\\00250\\269\\41_e_dr\\8_019a.tif"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"Y:\\STD_MGT\\STDDEL\\PRODUCTION\\Standards\\00250\\269\\41_e_dr\\8_019a.tif"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"Y:\\STD_MGT\\STDDEL\\PRODUCTION\\Standards\\00250\\269\\41_e_dr\\8_019a.tif"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"C:\\Users\\a.dionysiou\\AppData\\Local\\Temp\\Temp1_00250269_e_20210902.zip.zip\\41_e_dr\\8_019a.tif"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4FA944A7">
                <v:shape id="_x0000_i1171" type="#_x0000_t75" style="width:96.75pt;height:83.25pt">
                  <v:imagedata r:id="rId312" r:href="rId313"/>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1950" w:type="dxa"/>
          </w:tcPr>
          <w:p w14:paraId="111B7F2C" w14:textId="60A51216" w:rsidR="006E13DA" w:rsidRPr="001455DC" w:rsidRDefault="00723CF7" w:rsidP="006E79E6">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"Y:\\STD_MGT\\STDDEL\\PRODUCTION\\etrans\\Download\\Z_FIRST_DEL\\SV\\00250\\00250269\\41_e_dr\\8_019b.tif"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"Y:\\STD_MGT\\STDDEL\\PRODUCTION\\Standards\\00250\\269\\41_e_dr\\8_019b.tif"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"Y:\\STD_MGT\\STDDEL\\PRODUCTION\\Standards\\00250\\269\\41_e_dr\\8_019b.tif"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"Y:\\STD_MGT\\STDDEL\\PRODUCTION\\Standards\\00250\\269\\41_e_dr\\8_019b.tif"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"Y:\\STD_MGT\\STDDEL\\PRODUCTION\\Standards\\00250\\269\\41_e_dr\\8_019b.tif"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"Y:\\STD_MGT\\STDDEL\\PRODUCTION\\Standards\\00250\\269\\41_e_dr\\8_019b.tif"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"C:\\Users\\a.dionysiou\\AppData\\Local\\Temp\\Temp1_00250269_e_20210902.zip.zip\\41_e_dr\\8_019b.tif"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2BBBA79E">
                <v:shape id="_x0000_i1172" type="#_x0000_t75" style="width:88.5pt;height:94.5pt">
                  <v:imagedata r:id="rId314" r:href="rId315"/>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1951" w:type="dxa"/>
          </w:tcPr>
          <w:p w14:paraId="66EA732E" w14:textId="05E5B39A" w:rsidR="006E13DA" w:rsidRPr="001455DC" w:rsidRDefault="00723CF7" w:rsidP="006E79E6">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"Y:\\STD_MGT\\STDDEL\\PRODUCTION\\etrans\\Download\\Z_FIRST_DEL\\SV\\00250\\00250269\\41_e_dr\\8_019c.tif"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"Y:\\STD_MGT\\STDDEL\\PRODUCTION\\Standards\\00250\\269\\41_e_dr\\8_019c.tif"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"Y:\\STD_MGT\\STDDEL\\PRODUCTION\\Standards\\00250\\269\\41_e_dr\\8_019c.tif"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"Y:\\STD_MGT\\STDDEL\\PRODUCTION\\Standards\\00250\\269\\41_e_dr\\8_019c.tif"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"Y:\\STD_MGT\\STDDEL\\PRODUCTION\\Standards\\00250\\269\\41_e_dr\\8_019c.tif"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"Y:\\STD_MGT\\STDDEL\\PRODUCTION\\Standards\\00250\\269\\41_e_dr\\8_019c.tif"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"C:\\Users\\a.dionysiou\\AppData\\Local\\Temp\\Temp1_00250269_e_20210902.zip.zip\\41_e_dr\\8_019c.tif"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591A0FEB">
                <v:shape id="_x0000_i1173" type="#_x0000_t75" style="width:97.5pt;height:87.75pt">
                  <v:imagedata r:id="rId316" r:href="rId317"/>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1950" w:type="dxa"/>
          </w:tcPr>
          <w:p w14:paraId="4B518E64" w14:textId="0C31FF5F" w:rsidR="006E13DA" w:rsidRPr="001455DC" w:rsidRDefault="00723CF7" w:rsidP="006E79E6">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"Y:\\STD_MGT\\STDDEL\\PRODUCTION\\etrans\\Download\\Z_FIRST_DEL\\SV\\00250\\00250269\\41_e_dr\\8_019d.tif"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"Y:\\STD_MGT\\STDDEL\\PRODUCTION\\Standards\\00250\\269\\41_e_dr\\8_019d.tif"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"Y:\\STD_MGT\\STDDEL\\PRODUCTION\\Standards\\00250\\269\\41_e_dr\\8_019d.tif"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"Y:\\STD_MGT\\STDDEL\\PRODUCTION\\Standards\\00250\\269\\41_e_dr\\8_019d.tif"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"Y:\\STD_MGT\\STDDEL\\PRODUCTION\\Standards\\00250\\269\\41_e_dr\\8_019d.tif"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"Y:\\STD_MGT\\STDDEL\\PRODUCTION\\Standards\\00250\\269\\41_e_dr\\8_019d.tif"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w:instrText>
            </w:r>
            <w:r w:rsidR="00231E33">
              <w:rPr>
                <w:noProof/>
                <w:lang w:eastAsia="en-GB"/>
              </w:rPr>
              <w:instrText>ip.zip\\41_e_dr\\8_019d.tif"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57E19B10">
                <v:shape id="_x0000_i1174" type="#_x0000_t75" style="width:83.25pt;height:105.75pt">
                  <v:imagedata r:id="rId318" r:href="rId319"/>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1951" w:type="dxa"/>
          </w:tcPr>
          <w:p w14:paraId="1650387B" w14:textId="337DA89D" w:rsidR="006E13DA" w:rsidRPr="001455DC" w:rsidRDefault="00723CF7" w:rsidP="006E79E6">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"Y:\\STD_MGT\\STDDEL\\PRODUCTION\\etrans\\Download\\Z_FIRST_DEL\\SV\\00250\\00250269\\41_e_dr\\8_019e.tif"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"Y:\\STD_MGT\\STDDEL\\PRODUCTION\\Standards\\00250\\269\\41_e_dr\\8_019e.tif"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"Y:\\STD_MGT\\STDDEL\\PRODUCTION\\Standards\\00250\\269\\41_e_dr\\8_019e.tif"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"Y:\\STD_MGT\\STDDEL\\PRODUCTION\\Standards\\00250\\269\\41_e_dr\\8_019e.tif"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"Y:\\STD_MGT\\STDDEL\\PRODUCTION\\Standards\\00250\\269\\41_e_dr\\8_019e.tif"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"Y:\\STD_MGT\\STDDEL\\PRODUCTION\\Standards\\00250\\269\\41_e_dr\\8_019e.tif"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w:instrText>
            </w:r>
            <w:r w:rsidR="00231E33">
              <w:rPr>
                <w:noProof/>
                <w:lang w:eastAsia="en-GB"/>
              </w:rPr>
              <w:instrText>l\\Temp\\Temp1_00250269_e_20210902.zip.zip\\41_e_dr\\8_019e.tif"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050695D9">
                <v:shape id="_x0000_i1175" type="#_x0000_t75" style="width:58.5pt;height:102.75pt">
                  <v:imagedata r:id="rId320" r:href="rId321"/>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6E13DA" w:rsidRPr="00C710B1" w14:paraId="2E2953DC" w14:textId="77777777" w:rsidTr="006E79E6">
        <w:trPr>
          <w:cantSplit/>
          <w:jc w:val="center"/>
        </w:trPr>
        <w:tc>
          <w:tcPr>
            <w:tcW w:w="1950" w:type="dxa"/>
          </w:tcPr>
          <w:p w14:paraId="6250D415" w14:textId="7B272128" w:rsidR="006E13DA" w:rsidRPr="00C710B1" w:rsidRDefault="006E13DA" w:rsidP="006E79E6">
            <w:pPr>
              <w:pStyle w:val="FigureText"/>
              <w:jc w:val="center"/>
            </w:pPr>
            <w:r w:rsidRPr="009D3012">
              <w:t>a) column</w:t>
            </w:r>
          </w:p>
        </w:tc>
        <w:tc>
          <w:tcPr>
            <w:tcW w:w="1950" w:type="dxa"/>
          </w:tcPr>
          <w:p w14:paraId="51E51453" w14:textId="230BDF32" w:rsidR="006E13DA" w:rsidRPr="00C710B1" w:rsidRDefault="006E13DA" w:rsidP="006E79E6">
            <w:pPr>
              <w:pStyle w:val="FigureText"/>
              <w:jc w:val="center"/>
            </w:pPr>
            <w:r w:rsidRPr="009D3012">
              <w:t>b) wall end</w:t>
            </w:r>
          </w:p>
        </w:tc>
        <w:tc>
          <w:tcPr>
            <w:tcW w:w="1951" w:type="dxa"/>
          </w:tcPr>
          <w:p w14:paraId="5C49A72A" w14:textId="18904BAB" w:rsidR="006E13DA" w:rsidRPr="00C710B1" w:rsidRDefault="006E13DA" w:rsidP="006E79E6">
            <w:pPr>
              <w:pStyle w:val="FigureText"/>
              <w:jc w:val="center"/>
            </w:pPr>
            <w:r w:rsidRPr="009D3012">
              <w:t>c) wall corner</w:t>
            </w:r>
          </w:p>
        </w:tc>
        <w:tc>
          <w:tcPr>
            <w:tcW w:w="1950" w:type="dxa"/>
          </w:tcPr>
          <w:p w14:paraId="109EEF7F" w14:textId="53D1B56F" w:rsidR="006E13DA" w:rsidRPr="00C710B1" w:rsidRDefault="006E13DA" w:rsidP="006E79E6">
            <w:pPr>
              <w:pStyle w:val="FigureText"/>
              <w:jc w:val="center"/>
            </w:pPr>
            <w:r w:rsidRPr="009D3012">
              <w:t>d) with opening</w:t>
            </w:r>
          </w:p>
        </w:tc>
        <w:tc>
          <w:tcPr>
            <w:tcW w:w="1951" w:type="dxa"/>
          </w:tcPr>
          <w:p w14:paraId="3778BE4D" w14:textId="5C169FE9" w:rsidR="006E13DA" w:rsidRPr="00C710B1" w:rsidRDefault="006E13DA" w:rsidP="006E79E6">
            <w:pPr>
              <w:pStyle w:val="FigureText"/>
              <w:jc w:val="center"/>
            </w:pPr>
            <w:r w:rsidRPr="009D3012">
              <w:t>e) with inserts</w:t>
            </w:r>
          </w:p>
        </w:tc>
      </w:tr>
    </w:tbl>
    <w:p w14:paraId="0282E822" w14:textId="77777777" w:rsidR="006E13DA" w:rsidRPr="001455DC" w:rsidRDefault="006E13DA" w:rsidP="006E13DA">
      <w:pPr>
        <w:pStyle w:val="KeyTitle"/>
      </w:pPr>
      <w:r w:rsidRPr="001455DC">
        <w:t>Key</w:t>
      </w:r>
    </w:p>
    <w:tbl>
      <w:tblPr>
        <w:tblW w:w="9809" w:type="dxa"/>
        <w:tblLayout w:type="fixed"/>
        <w:tblCellMar>
          <w:left w:w="28" w:type="dxa"/>
          <w:right w:w="28" w:type="dxa"/>
        </w:tblCellMar>
        <w:tblLook w:val="0000" w:firstRow="0" w:lastRow="0" w:firstColumn="0" w:lastColumn="0" w:noHBand="0" w:noVBand="0"/>
      </w:tblPr>
      <w:tblGrid>
        <w:gridCol w:w="397"/>
        <w:gridCol w:w="9412"/>
      </w:tblGrid>
      <w:tr w:rsidR="006E13DA" w:rsidRPr="001455DC" w14:paraId="059FF967" w14:textId="77777777" w:rsidTr="006E79E6">
        <w:tc>
          <w:tcPr>
            <w:tcW w:w="397" w:type="dxa"/>
            <w:shd w:val="clear" w:color="auto" w:fill="auto"/>
          </w:tcPr>
          <w:p w14:paraId="730FFF38" w14:textId="77777777" w:rsidR="006E13DA" w:rsidRPr="001455DC" w:rsidRDefault="006E13DA" w:rsidP="006E79E6">
            <w:pPr>
              <w:pStyle w:val="KeyText"/>
              <w:tabs>
                <w:tab w:val="clear" w:pos="346"/>
              </w:tabs>
              <w:ind w:left="0" w:firstLine="0"/>
            </w:pPr>
            <w:r w:rsidRPr="001455DC">
              <w:t>1</w:t>
            </w:r>
          </w:p>
        </w:tc>
        <w:tc>
          <w:tcPr>
            <w:tcW w:w="9412" w:type="dxa"/>
            <w:shd w:val="clear" w:color="auto" w:fill="auto"/>
          </w:tcPr>
          <w:p w14:paraId="47BF0141" w14:textId="5D95D498" w:rsidR="006E13DA" w:rsidRPr="001455DC" w:rsidRDefault="00A46F70" w:rsidP="006E79E6">
            <w:pPr>
              <w:pStyle w:val="KeyText"/>
              <w:tabs>
                <w:tab w:val="clear" w:pos="346"/>
              </w:tabs>
              <w:ind w:left="0" w:firstLine="0"/>
            </w:pPr>
            <w:r>
              <w:t>c</w:t>
            </w:r>
            <w:r w:rsidR="006E13DA" w:rsidRPr="001455DC">
              <w:t>ontrol perimeter</w:t>
            </w:r>
          </w:p>
        </w:tc>
      </w:tr>
      <w:tr w:rsidR="006E13DA" w:rsidRPr="001455DC" w14:paraId="2E904F40" w14:textId="77777777" w:rsidTr="006E79E6">
        <w:tc>
          <w:tcPr>
            <w:tcW w:w="397" w:type="dxa"/>
            <w:shd w:val="clear" w:color="auto" w:fill="auto"/>
          </w:tcPr>
          <w:p w14:paraId="652F8F46" w14:textId="77777777" w:rsidR="006E13DA" w:rsidRPr="001455DC" w:rsidRDefault="006E13DA" w:rsidP="006E79E6">
            <w:pPr>
              <w:pStyle w:val="KeyText"/>
              <w:tabs>
                <w:tab w:val="clear" w:pos="346"/>
              </w:tabs>
              <w:ind w:left="0" w:firstLine="0"/>
            </w:pPr>
            <w:r w:rsidRPr="001455DC">
              <w:t>2</w:t>
            </w:r>
          </w:p>
        </w:tc>
        <w:tc>
          <w:tcPr>
            <w:tcW w:w="9412" w:type="dxa"/>
            <w:shd w:val="clear" w:color="auto" w:fill="auto"/>
          </w:tcPr>
          <w:p w14:paraId="6C986CBC" w14:textId="05A93B24" w:rsidR="006E13DA" w:rsidRPr="001455DC" w:rsidRDefault="00A46F70" w:rsidP="006E79E6">
            <w:pPr>
              <w:pStyle w:val="KeyText"/>
              <w:tabs>
                <w:tab w:val="clear" w:pos="346"/>
              </w:tabs>
              <w:ind w:left="0" w:firstLine="0"/>
            </w:pPr>
            <w:r>
              <w:t>s</w:t>
            </w:r>
            <w:r w:rsidR="006E13DA" w:rsidRPr="001455DC">
              <w:t>upporting area</w:t>
            </w:r>
          </w:p>
        </w:tc>
      </w:tr>
      <w:tr w:rsidR="006E13DA" w:rsidRPr="001455DC" w14:paraId="27FB228E" w14:textId="77777777" w:rsidTr="006E79E6">
        <w:tc>
          <w:tcPr>
            <w:tcW w:w="397" w:type="dxa"/>
            <w:shd w:val="clear" w:color="auto" w:fill="auto"/>
          </w:tcPr>
          <w:p w14:paraId="373A85B3" w14:textId="68696EE9" w:rsidR="006E13DA" w:rsidRPr="001455DC" w:rsidRDefault="006E13DA" w:rsidP="006E79E6">
            <w:pPr>
              <w:pStyle w:val="KeyText"/>
              <w:tabs>
                <w:tab w:val="clear" w:pos="346"/>
              </w:tabs>
              <w:ind w:left="0" w:firstLine="0"/>
            </w:pPr>
            <w:r w:rsidRPr="001455DC">
              <w:t>3</w:t>
            </w:r>
          </w:p>
        </w:tc>
        <w:tc>
          <w:tcPr>
            <w:tcW w:w="9412" w:type="dxa"/>
            <w:shd w:val="clear" w:color="auto" w:fill="auto"/>
          </w:tcPr>
          <w:p w14:paraId="5B27FBFE" w14:textId="08C717D9" w:rsidR="006E13DA" w:rsidRPr="001455DC" w:rsidRDefault="00A46F70" w:rsidP="006E79E6">
            <w:pPr>
              <w:pStyle w:val="KeyText"/>
              <w:tabs>
                <w:tab w:val="clear" w:pos="346"/>
              </w:tabs>
              <w:ind w:left="0" w:firstLine="0"/>
            </w:pPr>
            <w:r>
              <w:t>i</w:t>
            </w:r>
            <w:r w:rsidR="006E13DA" w:rsidRPr="001455DC">
              <w:t>nserts</w:t>
            </w:r>
          </w:p>
        </w:tc>
      </w:tr>
    </w:tbl>
    <w:p w14:paraId="36A22359" w14:textId="77777777" w:rsidR="004E22C1" w:rsidRPr="001455DC" w:rsidRDefault="004E22C1" w:rsidP="006E13DA">
      <w:pPr>
        <w:pStyle w:val="Figuretitle"/>
      </w:pPr>
      <w:r w:rsidRPr="001455DC">
        <w:t xml:space="preserve">Figure 8.19 — Length of control perimeter </w:t>
      </w:r>
      <w:r w:rsidRPr="001455DC">
        <w:rPr>
          <w:rStyle w:val="CCMCvariableitalic"/>
          <w:b w:val="0"/>
          <w:bCs/>
        </w:rPr>
        <w:t>b</w:t>
      </w:r>
      <w:r w:rsidRPr="001455DC">
        <w:rPr>
          <w:rStyle w:val="CCMCvariablesubscript"/>
          <w:b w:val="0"/>
          <w:bCs/>
        </w:rPr>
        <w:t>0,5</w:t>
      </w:r>
      <w:r w:rsidRPr="001455DC">
        <w:t xml:space="preserve"> around large supporting areas and near openings and inserts</w:t>
      </w:r>
    </w:p>
    <w:p w14:paraId="0532E680" w14:textId="1CCF5C1F" w:rsidR="004E22C1" w:rsidRPr="001455DC" w:rsidRDefault="004E22C1" w:rsidP="00CD6899">
      <w:pPr>
        <w:pStyle w:val="a7"/>
      </w:pPr>
      <w:r w:rsidRPr="001455DC">
        <w:t>(4)</w:t>
      </w:r>
      <w:r w:rsidRPr="001455DC">
        <w:tab/>
        <w:t>The effect of openings or inserts at a shortest distance to the control perimeter </w:t>
      </w:r>
      <w:r w:rsidR="00650035" w:rsidRPr="001455DC">
        <w:rPr>
          <w:rFonts w:ascii="Cambria Math" w:hAnsi="Cambria Math"/>
        </w:rPr>
        <w:t>&gt;</w:t>
      </w:r>
      <w:r w:rsidR="00073FC6" w:rsidRPr="001455DC">
        <w:t> </w:t>
      </w:r>
      <w:r w:rsidRPr="001455DC">
        <w:t>5</w:t>
      </w:r>
      <w:r w:rsidRPr="001455DC">
        <w:rPr>
          <w:rStyle w:val="CCMCvariableitalic"/>
        </w:rPr>
        <w:t>d</w:t>
      </w:r>
      <w:r w:rsidRPr="001455DC">
        <w:rPr>
          <w:rStyle w:val="CCMCvariablesubscript"/>
        </w:rPr>
        <w:t>v</w:t>
      </w:r>
      <w:r w:rsidRPr="001455DC">
        <w:t xml:space="preserve"> may be neglected. Otherwise, the part of the control perimeter contained between the two tangents drawn to the outline of the opening from the centre of the loaded area should be considered to be ineffective (refer to Figures 8.19d</w:t>
      </w:r>
      <w:r w:rsidR="00B223BF" w:rsidRPr="001455DC">
        <w:t xml:space="preserve">) and </w:t>
      </w:r>
      <w:r w:rsidRPr="001455DC">
        <w:t>e)).</w:t>
      </w:r>
    </w:p>
    <w:p w14:paraId="0CC175D3" w14:textId="77777777" w:rsidR="004E22C1" w:rsidRPr="001455DC" w:rsidRDefault="004E22C1" w:rsidP="00CD6899">
      <w:pPr>
        <w:pStyle w:val="a7"/>
      </w:pPr>
      <w:r w:rsidRPr="001455DC">
        <w:t>(5)</w:t>
      </w:r>
      <w:r w:rsidRPr="001455DC">
        <w:tab/>
        <w:t xml:space="preserve">In the case of slabs with variable depth, control perimeters at a greater distance from the supported area should be checked and the one leading to the lowest strength should be selected. The corresponding shear-resisting effective depth </w:t>
      </w:r>
      <w:r w:rsidRPr="001455DC">
        <w:rPr>
          <w:rStyle w:val="CCMCvariableitalic"/>
        </w:rPr>
        <w:t>d</w:t>
      </w:r>
      <w:r w:rsidRPr="001455DC">
        <w:rPr>
          <w:rStyle w:val="CCMCvariablesubscript"/>
        </w:rPr>
        <w:t>v</w:t>
      </w:r>
      <w:r w:rsidRPr="001455DC">
        <w:t xml:space="preserve"> may be determined according to Figure 8.20.</w:t>
      </w:r>
    </w:p>
    <w:tbl>
      <w:tblPr>
        <w:tblStyle w:val="a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876"/>
        <w:gridCol w:w="4876"/>
      </w:tblGrid>
      <w:tr w:rsidR="006E13DA" w:rsidRPr="00C710B1" w14:paraId="3C8F0308" w14:textId="77777777" w:rsidTr="006E79E6">
        <w:trPr>
          <w:cantSplit/>
          <w:jc w:val="center"/>
        </w:trPr>
        <w:tc>
          <w:tcPr>
            <w:tcW w:w="4946" w:type="dxa"/>
          </w:tcPr>
          <w:p w14:paraId="4E1089E7" w14:textId="67EEAFB3" w:rsidR="006E13DA" w:rsidRPr="00C710B1" w:rsidRDefault="00723CF7" w:rsidP="006E79E6">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"Y:\\STD_MGT\\STDDEL\\PRODUCTION\\etrans\\Download\\Z_FIRST_DEL\\SV\\00250\\00250269\\41_e_dr\\8_020a.tif"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"Y:\\STD_MGT\\STDDEL\\PRODUCTION\\Standards\\00250\\269\\41_e_dr\\8_020a.tif"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"Y:\\STD_MGT\\STDDEL\\PRODUCTION\\Standards\\00250\\269\\41_e_dr\\8_020a.tif"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"Y:\\STD_MGT\\STDDEL\\PRODUCTION\\Standards\\00250\\269\\41_e_dr\\8_020a.tif"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"Y:\\STD_MGT\\STDDEL\\PRODUCTION\\Standards\\00250\\269\\41_e_dr\\8_020a.tif"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"Y:\\STD_MGT\\STDDEL\\PRODUCTION\\Standards\\00250\\269\\41_e_dr\\8_020a.tif"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w:instrText>
            </w:r>
            <w:r w:rsidR="00231E33">
              <w:rPr>
                <w:noProof/>
                <w:lang w:eastAsia="en-GB"/>
              </w:rPr>
              <w:instrText>.zip\\41_e_dr\\8_020a.tif"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68AF61EC">
                <v:shape id="_x0000_i1176" type="#_x0000_t75" style="width:204pt;height:108.75pt">
                  <v:imagedata r:id="rId322" r:href="rId323"/>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4946" w:type="dxa"/>
          </w:tcPr>
          <w:p w14:paraId="6B8731D1" w14:textId="43AAC06B" w:rsidR="006E13DA" w:rsidRPr="00C710B1" w:rsidRDefault="00723CF7" w:rsidP="006E79E6">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"Y:\\STD_MGT\\STDDEL\\PRODUCTION\\etrans\\Download\\Z_FIRST_DEL\\SV\\00250\\00250269\\41_e_dr\\8_020b.tif"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"Y:\\STD_MGT\\STDDEL\\PRODUCTION\\Standards\\00250\\269\\41_e_dr\\8_020b.tif"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"Y:\\STD_MGT\\STDDEL\\PRODUCTION\\Standards\\00250\\269\\41_e_dr\\8_020b.tif"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"Y:\\STD_MGT\\STDDEL\\PRODUCTION\\Standards\\00250\\269\\41_e_dr\\8_020b.tif"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"Y:\\STD_MGT\\STDDEL\\PRODUCTION\\Standards\\00250\\269\\41_e_dr\\8_020b.tif"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"Y:\\STD_MGT\\STDDEL\\PRODUCTION\\Standards\\00250\\269\\41_e_dr\\8_020b.tif"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w:instrText>
            </w:r>
            <w:r w:rsidR="00231E33">
              <w:rPr>
                <w:noProof/>
                <w:lang w:eastAsia="en-GB"/>
              </w:rPr>
              <w:instrText>l\\Temp\\Temp1_00250269_e_20210902.zip.zip\\41_e_dr\\8_020b.tif"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2B4C8E80">
                <v:shape id="_x0000_i1177" type="#_x0000_t75" style="width:210.75pt;height:117pt">
                  <v:imagedata r:id="rId324" r:href="rId325"/>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6E13DA" w:rsidRPr="00C710B1" w14:paraId="34B42335" w14:textId="77777777" w:rsidTr="006E79E6">
        <w:trPr>
          <w:cantSplit/>
          <w:jc w:val="center"/>
        </w:trPr>
        <w:tc>
          <w:tcPr>
            <w:tcW w:w="4946" w:type="dxa"/>
          </w:tcPr>
          <w:p w14:paraId="55741728" w14:textId="6E4C3D7D" w:rsidR="006E13DA" w:rsidRPr="00C710B1" w:rsidRDefault="006E13DA" w:rsidP="006E79E6">
            <w:pPr>
              <w:pStyle w:val="FigureText"/>
              <w:jc w:val="center"/>
            </w:pPr>
            <w:r w:rsidRPr="009D3012">
              <w:t>a) flat slabs</w:t>
            </w:r>
          </w:p>
        </w:tc>
        <w:tc>
          <w:tcPr>
            <w:tcW w:w="4946" w:type="dxa"/>
          </w:tcPr>
          <w:p w14:paraId="61A93DC9" w14:textId="48402886" w:rsidR="006E13DA" w:rsidRPr="00C710B1" w:rsidRDefault="006E13DA" w:rsidP="006E79E6">
            <w:pPr>
              <w:pStyle w:val="FigureText"/>
              <w:jc w:val="center"/>
            </w:pPr>
            <w:r w:rsidRPr="009D3012">
              <w:t>b) ground slabs</w:t>
            </w:r>
          </w:p>
        </w:tc>
      </w:tr>
    </w:tbl>
    <w:p w14:paraId="7DB78443" w14:textId="77777777" w:rsidR="006E13DA" w:rsidRPr="001455DC" w:rsidRDefault="006E13DA" w:rsidP="006E13DA">
      <w:pPr>
        <w:pStyle w:val="KeyTitle"/>
      </w:pPr>
      <w:r w:rsidRPr="001455DC">
        <w:t>Key</w:t>
      </w:r>
    </w:p>
    <w:tbl>
      <w:tblPr>
        <w:tblW w:w="9809" w:type="dxa"/>
        <w:tblLayout w:type="fixed"/>
        <w:tblCellMar>
          <w:left w:w="28" w:type="dxa"/>
          <w:right w:w="28" w:type="dxa"/>
        </w:tblCellMar>
        <w:tblLook w:val="0000" w:firstRow="0" w:lastRow="0" w:firstColumn="0" w:lastColumn="0" w:noHBand="0" w:noVBand="0"/>
      </w:tblPr>
      <w:tblGrid>
        <w:gridCol w:w="397"/>
        <w:gridCol w:w="9412"/>
      </w:tblGrid>
      <w:tr w:rsidR="006E13DA" w:rsidRPr="001455DC" w14:paraId="61D57BD1" w14:textId="77777777" w:rsidTr="006E79E6">
        <w:tc>
          <w:tcPr>
            <w:tcW w:w="397" w:type="dxa"/>
            <w:shd w:val="clear" w:color="auto" w:fill="auto"/>
          </w:tcPr>
          <w:p w14:paraId="045A00A5" w14:textId="509AEE61" w:rsidR="006E13DA" w:rsidRPr="001455DC" w:rsidRDefault="006E13DA" w:rsidP="006E79E6">
            <w:pPr>
              <w:pStyle w:val="KeyText"/>
              <w:tabs>
                <w:tab w:val="clear" w:pos="346"/>
              </w:tabs>
              <w:ind w:left="0" w:firstLine="0"/>
            </w:pPr>
            <w:r w:rsidRPr="001455DC">
              <w:t>1</w:t>
            </w:r>
          </w:p>
        </w:tc>
        <w:tc>
          <w:tcPr>
            <w:tcW w:w="9412" w:type="dxa"/>
            <w:shd w:val="clear" w:color="auto" w:fill="auto"/>
          </w:tcPr>
          <w:p w14:paraId="0BD768A0" w14:textId="1683E1C1" w:rsidR="006E13DA" w:rsidRPr="001455DC" w:rsidRDefault="006E13DA" w:rsidP="006E79E6">
            <w:pPr>
              <w:pStyle w:val="KeyText"/>
              <w:tabs>
                <w:tab w:val="clear" w:pos="346"/>
              </w:tabs>
              <w:ind w:left="0" w:firstLine="0"/>
            </w:pPr>
            <w:r w:rsidRPr="001455DC">
              <w:t>control perimeter 1</w:t>
            </w:r>
          </w:p>
        </w:tc>
      </w:tr>
      <w:tr w:rsidR="006E13DA" w:rsidRPr="001455DC" w14:paraId="3AE4D870" w14:textId="77777777" w:rsidTr="006E79E6">
        <w:tc>
          <w:tcPr>
            <w:tcW w:w="397" w:type="dxa"/>
            <w:shd w:val="clear" w:color="auto" w:fill="auto"/>
          </w:tcPr>
          <w:p w14:paraId="55FBFBE2" w14:textId="62B7F2DA" w:rsidR="006E13DA" w:rsidRPr="001455DC" w:rsidRDefault="006E13DA" w:rsidP="006E79E6">
            <w:pPr>
              <w:pStyle w:val="KeyText"/>
              <w:tabs>
                <w:tab w:val="clear" w:pos="346"/>
              </w:tabs>
              <w:ind w:left="0" w:firstLine="0"/>
            </w:pPr>
            <w:r w:rsidRPr="001455DC">
              <w:t>2</w:t>
            </w:r>
          </w:p>
        </w:tc>
        <w:tc>
          <w:tcPr>
            <w:tcW w:w="9412" w:type="dxa"/>
            <w:shd w:val="clear" w:color="auto" w:fill="auto"/>
          </w:tcPr>
          <w:p w14:paraId="3EFAE9B7" w14:textId="202E6AAB" w:rsidR="006E13DA" w:rsidRPr="001455DC" w:rsidRDefault="006E13DA" w:rsidP="006E79E6">
            <w:pPr>
              <w:pStyle w:val="KeyText"/>
              <w:tabs>
                <w:tab w:val="clear" w:pos="346"/>
              </w:tabs>
              <w:ind w:left="0" w:firstLine="0"/>
            </w:pPr>
            <w:r w:rsidRPr="001455DC">
              <w:t>control perimeter 2</w:t>
            </w:r>
          </w:p>
        </w:tc>
      </w:tr>
    </w:tbl>
    <w:p w14:paraId="7E32F3E8" w14:textId="77777777" w:rsidR="004E22C1" w:rsidRPr="001455DC" w:rsidRDefault="004E22C1" w:rsidP="00C16899">
      <w:pPr>
        <w:pStyle w:val="Figuretitle"/>
      </w:pPr>
      <w:r w:rsidRPr="001455DC">
        <w:t>Figure 8.20 — Control perimeter and shear-resisting effective depth of members with variable depth</w:t>
      </w:r>
    </w:p>
    <w:p w14:paraId="4E93799F" w14:textId="77777777" w:rsidR="00C16899" w:rsidRPr="001455DC" w:rsidRDefault="004E22C1" w:rsidP="008D37B2">
      <w:pPr>
        <w:pStyle w:val="a7"/>
        <w:keepNext/>
        <w:rPr>
          <w:lang w:eastAsia="de-CH"/>
        </w:rPr>
      </w:pPr>
      <w:r w:rsidRPr="001455DC">
        <w:t>(6)</w:t>
      </w:r>
      <w:r w:rsidRPr="001455DC">
        <w:tab/>
        <w:t xml:space="preserve">The design shear stress </w:t>
      </w:r>
      <w:r w:rsidRPr="001455DC">
        <w:rPr>
          <w:rStyle w:val="CCMCvariableitalic"/>
        </w:rPr>
        <w:t>τ</w:t>
      </w:r>
      <w:r w:rsidRPr="001455DC">
        <w:rPr>
          <w:rStyle w:val="CCMCvariablesubscript"/>
        </w:rPr>
        <w:t>Ed</w:t>
      </w:r>
      <w:r w:rsidRPr="001455DC">
        <w:t xml:space="preserve"> may be calculated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C16899" w:rsidRPr="001455DC" w14:paraId="7E78CB74" w14:textId="77777777" w:rsidTr="006E79E6">
        <w:trPr>
          <w:cantSplit/>
        </w:trPr>
        <w:tc>
          <w:tcPr>
            <w:tcW w:w="8505" w:type="dxa"/>
            <w:vAlign w:val="center"/>
          </w:tcPr>
          <w:p w14:paraId="0AADBA22" w14:textId="7C6D8D33" w:rsidR="00C16899" w:rsidRPr="001455DC" w:rsidRDefault="00231E33" w:rsidP="006E79E6">
            <w:pPr>
              <w:pStyle w:val="Formula"/>
              <w:jc w:val="left"/>
            </w:pPr>
            <m:oMathPara>
              <m:oMathParaPr>
                <m:jc m:val="left"/>
              </m:oMathParaPr>
              <m:oMath>
                <m:sSub>
                  <m:sSubPr>
                    <m:ctrlPr>
                      <w:rPr>
                        <w:rFonts w:ascii="Cambria Math" w:hAnsi="Cambria Math"/>
                      </w:rPr>
                    </m:ctrlPr>
                  </m:sSubPr>
                  <m:e>
                    <m:r>
                      <w:rPr>
                        <w:rFonts w:ascii="Cambria Math" w:hAnsi="Cambria Math"/>
                      </w:rPr>
                      <m:t>τ</m:t>
                    </m:r>
                  </m:e>
                  <m:sub>
                    <m:r>
                      <m:rPr>
                        <m:sty m:val="p"/>
                      </m:rPr>
                      <w:rPr>
                        <w:rFonts w:ascii="Cambria Math" w:hAnsi="Cambria Math"/>
                      </w:rPr>
                      <m:t>Ed</m:t>
                    </m:r>
                  </m:sub>
                </m:sSub>
                <m: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e</m:t>
                    </m:r>
                  </m:sub>
                </m:sSub>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Ed</m:t>
                        </m:r>
                      </m:sub>
                    </m:sSub>
                  </m:num>
                  <m:den>
                    <m:sSub>
                      <m:sSubPr>
                        <m:ctrlPr>
                          <w:rPr>
                            <w:rFonts w:ascii="Cambria Math" w:hAnsi="Cambria Math"/>
                          </w:rPr>
                        </m:ctrlPr>
                      </m:sSubPr>
                      <m:e>
                        <m:r>
                          <w:rPr>
                            <w:rFonts w:ascii="Cambria Math" w:hAnsi="Cambria Math"/>
                          </w:rPr>
                          <m:t>b</m:t>
                        </m:r>
                      </m:e>
                      <m:sub>
                        <m:r>
                          <w:rPr>
                            <w:rFonts w:ascii="Cambria Math" w:hAnsi="Cambria Math"/>
                          </w:rPr>
                          <m:t>0,5</m:t>
                        </m:r>
                      </m:sub>
                    </m:sSub>
                    <m: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v</m:t>
                        </m:r>
                      </m:sub>
                    </m:sSub>
                  </m:den>
                </m:f>
              </m:oMath>
            </m:oMathPara>
          </w:p>
        </w:tc>
        <w:tc>
          <w:tcPr>
            <w:tcW w:w="1247" w:type="dxa"/>
            <w:vAlign w:val="center"/>
          </w:tcPr>
          <w:p w14:paraId="45CA5702" w14:textId="3BF89081" w:rsidR="00C16899" w:rsidRPr="001455DC" w:rsidRDefault="00C16899">
            <w:pPr>
              <w:pStyle w:val="a7"/>
              <w:jc w:val="right"/>
            </w:pPr>
            <w:r w:rsidRPr="001455DC">
              <w:t>(8.</w:t>
            </w:r>
            <w:r w:rsidR="00B223BF" w:rsidRPr="001455DC">
              <w:t>76</w:t>
            </w:r>
            <w:r w:rsidRPr="001455DC">
              <w:t>)</w:t>
            </w:r>
          </w:p>
        </w:tc>
      </w:tr>
    </w:tbl>
    <w:p w14:paraId="7787793A" w14:textId="77777777" w:rsidR="00C16899" w:rsidRPr="001455DC" w:rsidRDefault="00C16899"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C16899" w:rsidRPr="001455DC" w14:paraId="7E867C2A" w14:textId="77777777" w:rsidTr="006E79E6">
        <w:trPr>
          <w:cantSplit/>
        </w:trPr>
        <w:tc>
          <w:tcPr>
            <w:tcW w:w="567" w:type="dxa"/>
          </w:tcPr>
          <w:p w14:paraId="2342AFA4" w14:textId="4063811F" w:rsidR="00C16899" w:rsidRPr="001455DC" w:rsidRDefault="00C16899" w:rsidP="006E79E6">
            <w:pPr>
              <w:pStyle w:val="Tablebody"/>
            </w:pPr>
            <w:r w:rsidRPr="001455DC">
              <w:rPr>
                <w:rStyle w:val="CCMCvariableitalic"/>
              </w:rPr>
              <w:t>V</w:t>
            </w:r>
            <w:r w:rsidRPr="001455DC">
              <w:rPr>
                <w:rStyle w:val="CCMCvariablesubscript"/>
              </w:rPr>
              <w:t>Ed</w:t>
            </w:r>
          </w:p>
        </w:tc>
        <w:tc>
          <w:tcPr>
            <w:tcW w:w="8845" w:type="dxa"/>
          </w:tcPr>
          <w:p w14:paraId="5058ECEF" w14:textId="21ABAC8A" w:rsidR="00C16899" w:rsidRPr="001455DC" w:rsidRDefault="00C16899">
            <w:pPr>
              <w:pStyle w:val="Tablebody"/>
            </w:pPr>
            <w:r w:rsidRPr="001455DC">
              <w:t xml:space="preserve">is the design shear force at the relevant control perimeter (all favourable </w:t>
            </w:r>
            <w:r w:rsidR="00B223BF" w:rsidRPr="001455DC">
              <w:t xml:space="preserve">loads </w:t>
            </w:r>
            <w:r w:rsidRPr="001455DC">
              <w:t>acting on the tensile side of the planar member</w:t>
            </w:r>
            <w:r w:rsidR="00B223BF" w:rsidRPr="001455DC">
              <w:t>, soil reactions on foundations and ground slabs</w:t>
            </w:r>
            <w:r w:rsidRPr="001455DC">
              <w:t xml:space="preserve"> and the deviation forces in post-tensioned slabs inside the control perimeter may be deducted from the shear force at centre of supported area to calculate the design shear force at control perimeter </w:t>
            </w:r>
            <w:r w:rsidRPr="001455DC">
              <w:rPr>
                <w:rStyle w:val="CCMCvariableitalic"/>
              </w:rPr>
              <w:t>V</w:t>
            </w:r>
            <w:r w:rsidRPr="001455DC">
              <w:rPr>
                <w:rStyle w:val="CCMCvariablesubscript"/>
              </w:rPr>
              <w:t>Ed</w:t>
            </w:r>
            <w:r w:rsidR="00B223BF" w:rsidRPr="001455DC">
              <w:t>).</w:t>
            </w:r>
            <w:r w:rsidR="00B05D84" w:rsidRPr="009D3012">
              <w:rPr>
                <w:rFonts w:eastAsia="Calibri" w:cs="Arial"/>
              </w:rPr>
              <w:t xml:space="preserve"> In the case of foundations or ground slabs without shear reinforcement, the soil reaction </w:t>
            </w:r>
            <w:r w:rsidR="00B05D84" w:rsidRPr="009D3012">
              <w:rPr>
                <w:rStyle w:val="griechischerBuchstabe"/>
                <w:rFonts w:ascii="Arial" w:hAnsi="Arial" w:cs="Arial"/>
                <w:i/>
                <w:iCs/>
              </w:rPr>
              <w:sym w:font="Symbol" w:char="F073"/>
            </w:r>
            <w:r w:rsidR="00B05D84" w:rsidRPr="009D3012">
              <w:rPr>
                <w:rStyle w:val="Tiefgestellt"/>
                <w:rFonts w:cs="Arial"/>
              </w:rPr>
              <w:t>gd</w:t>
            </w:r>
            <w:r w:rsidR="00B05D84" w:rsidRPr="009D3012">
              <w:rPr>
                <w:rFonts w:cs="Arial"/>
              </w:rPr>
              <w:t xml:space="preserve"> </w:t>
            </w:r>
            <w:r w:rsidR="00B05D84" w:rsidRPr="009D3012">
              <w:rPr>
                <w:rFonts w:eastAsia="Calibri" w:cs="Arial"/>
              </w:rPr>
              <w:t>may be deduced up to a distance of 0,67</w:t>
            </w:r>
            <w:r w:rsidR="00B05D84" w:rsidRPr="009D3012">
              <w:rPr>
                <w:rFonts w:eastAsia="Calibri" w:cs="Arial"/>
                <w:i/>
                <w:iCs/>
              </w:rPr>
              <w:t>d</w:t>
            </w:r>
            <w:r w:rsidR="00B05D84" w:rsidRPr="009D3012">
              <w:rPr>
                <w:rFonts w:eastAsia="Calibri" w:cs="Arial"/>
                <w:vertAlign w:val="subscript"/>
              </w:rPr>
              <w:t>v</w:t>
            </w:r>
            <w:r w:rsidR="00B05D84" w:rsidRPr="009D3012">
              <w:rPr>
                <w:rFonts w:eastAsia="Calibri" w:cs="Arial"/>
              </w:rPr>
              <w:t xml:space="preserve"> from the column;</w:t>
            </w:r>
          </w:p>
        </w:tc>
      </w:tr>
      <w:tr w:rsidR="00C16899" w:rsidRPr="001455DC" w14:paraId="2DDFD0F8" w14:textId="77777777" w:rsidTr="006E79E6">
        <w:trPr>
          <w:cantSplit/>
        </w:trPr>
        <w:tc>
          <w:tcPr>
            <w:tcW w:w="567" w:type="dxa"/>
          </w:tcPr>
          <w:p w14:paraId="37DE5BAF" w14:textId="6DAC0C85" w:rsidR="00C16899" w:rsidRPr="001455DC" w:rsidRDefault="00C16899" w:rsidP="006E79E6">
            <w:pPr>
              <w:pStyle w:val="Tablebody"/>
            </w:pPr>
            <w:r w:rsidRPr="001455DC">
              <w:rPr>
                <w:rStyle w:val="CCMCvariableitalic"/>
              </w:rPr>
              <w:t>β</w:t>
            </w:r>
            <w:r w:rsidRPr="001455DC">
              <w:rPr>
                <w:rStyle w:val="CCMCvariablesubscript"/>
              </w:rPr>
              <w:t>e</w:t>
            </w:r>
          </w:p>
        </w:tc>
        <w:tc>
          <w:tcPr>
            <w:tcW w:w="8845" w:type="dxa"/>
          </w:tcPr>
          <w:p w14:paraId="68700E41" w14:textId="28D62D36" w:rsidR="00C16899" w:rsidRPr="001455DC" w:rsidRDefault="00C16899" w:rsidP="006E79E6">
            <w:pPr>
              <w:pStyle w:val="Tablebody"/>
            </w:pPr>
            <w:r w:rsidRPr="001455DC">
              <w:t>is a coefficient accounting for concentrations of the shear forces, which may be adopted from Table 8.3. The approximated values for internal, edge and corner columns may be used only if all following conditions are fulfilled:</w:t>
            </w:r>
          </w:p>
        </w:tc>
      </w:tr>
      <w:tr w:rsidR="00C16899" w:rsidRPr="001455DC" w14:paraId="3239B1FF" w14:textId="77777777" w:rsidTr="006E79E6">
        <w:trPr>
          <w:cantSplit/>
        </w:trPr>
        <w:tc>
          <w:tcPr>
            <w:tcW w:w="567" w:type="dxa"/>
          </w:tcPr>
          <w:p w14:paraId="1357086E" w14:textId="7C2C7688" w:rsidR="00C16899" w:rsidRPr="001455DC" w:rsidRDefault="00C16899" w:rsidP="00C16899">
            <w:pPr>
              <w:pStyle w:val="Tablebody"/>
            </w:pPr>
            <w:r w:rsidRPr="001455DC">
              <w:t> </w:t>
            </w:r>
          </w:p>
        </w:tc>
        <w:tc>
          <w:tcPr>
            <w:tcW w:w="8845" w:type="dxa"/>
          </w:tcPr>
          <w:p w14:paraId="0CEB1963" w14:textId="1B2E22DF" w:rsidR="00C16899" w:rsidRPr="001455DC" w:rsidRDefault="00C16899" w:rsidP="00C16899">
            <w:pPr>
              <w:pStyle w:val="Tablebody"/>
              <w:ind w:left="357" w:hanging="357"/>
            </w:pPr>
            <w:r w:rsidRPr="001455DC">
              <w:t>—</w:t>
            </w:r>
            <w:r w:rsidRPr="001455DC">
              <w:tab/>
              <w:t>the lateral stability does not depend on frame action of slabs and columns,</w:t>
            </w:r>
          </w:p>
        </w:tc>
      </w:tr>
      <w:tr w:rsidR="00C16899" w:rsidRPr="001455DC" w14:paraId="115B9EB8" w14:textId="77777777" w:rsidTr="006E79E6">
        <w:trPr>
          <w:cantSplit/>
        </w:trPr>
        <w:tc>
          <w:tcPr>
            <w:tcW w:w="567" w:type="dxa"/>
          </w:tcPr>
          <w:p w14:paraId="3A101D74" w14:textId="74DD2BAE" w:rsidR="00C16899" w:rsidRPr="001455DC" w:rsidRDefault="00C16899" w:rsidP="00C16899">
            <w:pPr>
              <w:pStyle w:val="Tablebody"/>
            </w:pPr>
            <w:r w:rsidRPr="001455DC">
              <w:t> </w:t>
            </w:r>
          </w:p>
        </w:tc>
        <w:tc>
          <w:tcPr>
            <w:tcW w:w="8845" w:type="dxa"/>
          </w:tcPr>
          <w:p w14:paraId="1746C761" w14:textId="58264E11" w:rsidR="00C16899" w:rsidRPr="001455DC" w:rsidRDefault="00C16899" w:rsidP="00C16899">
            <w:pPr>
              <w:pStyle w:val="Tablebody"/>
              <w:ind w:left="357" w:hanging="357"/>
            </w:pPr>
            <w:r w:rsidRPr="001455DC">
              <w:t>—</w:t>
            </w:r>
            <w:r w:rsidRPr="001455DC">
              <w:tab/>
              <w:t>the adjacent spans do not differ in length more than 25 %,</w:t>
            </w:r>
          </w:p>
        </w:tc>
      </w:tr>
      <w:tr w:rsidR="00C16899" w:rsidRPr="001455DC" w14:paraId="1EBBC45E" w14:textId="77777777" w:rsidTr="006E79E6">
        <w:trPr>
          <w:cantSplit/>
        </w:trPr>
        <w:tc>
          <w:tcPr>
            <w:tcW w:w="567" w:type="dxa"/>
          </w:tcPr>
          <w:p w14:paraId="34CC8EC2" w14:textId="7C172B12" w:rsidR="00C16899" w:rsidRPr="001455DC" w:rsidRDefault="00C16899" w:rsidP="00C16899">
            <w:pPr>
              <w:pStyle w:val="Tablebody"/>
            </w:pPr>
            <w:r w:rsidRPr="001455DC">
              <w:t> </w:t>
            </w:r>
          </w:p>
        </w:tc>
        <w:tc>
          <w:tcPr>
            <w:tcW w:w="8845" w:type="dxa"/>
          </w:tcPr>
          <w:p w14:paraId="268D8889" w14:textId="04155C27" w:rsidR="00C16899" w:rsidRPr="001455DC" w:rsidRDefault="00C16899" w:rsidP="00C16899">
            <w:pPr>
              <w:pStyle w:val="Tablebody"/>
              <w:ind w:left="357" w:hanging="357"/>
            </w:pPr>
            <w:r w:rsidRPr="001455DC">
              <w:t>—</w:t>
            </w:r>
            <w:r w:rsidRPr="001455DC">
              <w:tab/>
              <w:t>the slab is only under uniformly distributed loads,</w:t>
            </w:r>
          </w:p>
        </w:tc>
      </w:tr>
      <w:tr w:rsidR="00C16899" w:rsidRPr="001455DC" w14:paraId="0D7D06B3" w14:textId="77777777" w:rsidTr="006E79E6">
        <w:trPr>
          <w:cantSplit/>
        </w:trPr>
        <w:tc>
          <w:tcPr>
            <w:tcW w:w="567" w:type="dxa"/>
          </w:tcPr>
          <w:p w14:paraId="4ADEB620" w14:textId="2F365BD7" w:rsidR="00C16899" w:rsidRPr="001455DC" w:rsidRDefault="00C16899" w:rsidP="00C16899">
            <w:pPr>
              <w:pStyle w:val="Tablebody"/>
            </w:pPr>
            <w:r w:rsidRPr="001455DC">
              <w:t> </w:t>
            </w:r>
          </w:p>
        </w:tc>
        <w:tc>
          <w:tcPr>
            <w:tcW w:w="8845" w:type="dxa"/>
          </w:tcPr>
          <w:p w14:paraId="5CFDBE5E" w14:textId="3C4CDC54" w:rsidR="00C16899" w:rsidRPr="001455DC" w:rsidRDefault="00C16899" w:rsidP="00C16899">
            <w:pPr>
              <w:pStyle w:val="Tablebody"/>
              <w:ind w:left="357" w:hanging="357"/>
            </w:pPr>
            <w:r w:rsidRPr="001455DC">
              <w:t>—</w:t>
            </w:r>
            <w:r w:rsidRPr="001455DC">
              <w:tab/>
              <w:t xml:space="preserve">the moment transferred to the edge and corner columns are not larger than </w:t>
            </w:r>
            <w:r w:rsidRPr="001455DC">
              <w:rPr>
                <w:rStyle w:val="CCMCvariableitalic"/>
              </w:rPr>
              <w:t>M</w:t>
            </w:r>
            <w:r w:rsidRPr="001455DC">
              <w:rPr>
                <w:rStyle w:val="CCMCvariablesubscript"/>
              </w:rPr>
              <w:t>td,max</w:t>
            </w:r>
            <w:r w:rsidR="009050D5" w:rsidRPr="001455DC">
              <w:t> </w:t>
            </w:r>
            <w:r w:rsidR="00EC27D2" w:rsidRPr="001455DC">
              <w:rPr>
                <w:rFonts w:ascii="Cambria Math" w:hAnsi="Cambria Math"/>
              </w:rPr>
              <w:t>=</w:t>
            </w:r>
            <w:r w:rsidR="009050D5" w:rsidRPr="001455DC">
              <w:t> </w:t>
            </w:r>
            <w:r w:rsidRPr="001455DC">
              <w:t>0,25</w:t>
            </w:r>
            <w:r w:rsidRPr="001455DC">
              <w:rPr>
                <w:rStyle w:val="CCMCvariableitalic"/>
              </w:rPr>
              <w:t>b</w:t>
            </w:r>
            <w:r w:rsidRPr="001455DC">
              <w:rPr>
                <w:rStyle w:val="CCMCvariablesubscript"/>
              </w:rPr>
              <w:t>e</w:t>
            </w:r>
            <w:r w:rsidRPr="001455DC">
              <w:t> </w:t>
            </w:r>
            <w:r w:rsidRPr="001455DC">
              <w:rPr>
                <w:rFonts w:ascii="Cambria Math" w:hAnsi="Cambria Math" w:cs="Cambria Math"/>
              </w:rPr>
              <w:t>⋅</w:t>
            </w:r>
            <w:r w:rsidRPr="001455DC">
              <w:t> </w:t>
            </w:r>
            <w:r w:rsidRPr="001455DC">
              <w:rPr>
                <w:rStyle w:val="CCMCvariableitalic"/>
              </w:rPr>
              <w:t>d</w:t>
            </w:r>
            <w:r w:rsidRPr="001455DC">
              <w:rPr>
                <w:rStyle w:val="CCMCvariablesuperscript"/>
              </w:rPr>
              <w:t>2</w:t>
            </w:r>
            <w:r w:rsidRPr="001455DC">
              <w:t> </w:t>
            </w:r>
            <w:r w:rsidRPr="001455DC">
              <w:rPr>
                <w:rFonts w:ascii="Cambria Math" w:hAnsi="Cambria Math" w:cs="Cambria Math"/>
              </w:rPr>
              <w:t>⋅</w:t>
            </w:r>
            <w:r w:rsidRPr="001455DC">
              <w:t> </w:t>
            </w:r>
            <w:r w:rsidRPr="001455DC">
              <w:rPr>
                <w:rStyle w:val="CCMCvariableitalic"/>
              </w:rPr>
              <w:t>f</w:t>
            </w:r>
            <w:r w:rsidRPr="001455DC">
              <w:rPr>
                <w:rStyle w:val="CCMCvariablesubscript"/>
              </w:rPr>
              <w:t>cd</w:t>
            </w:r>
            <w:r w:rsidRPr="001455DC">
              <w:t xml:space="preserve"> where width </w:t>
            </w:r>
            <w:r w:rsidRPr="001455DC">
              <w:rPr>
                <w:rStyle w:val="CCMCvariableitalic"/>
              </w:rPr>
              <w:t>b</w:t>
            </w:r>
            <w:r w:rsidRPr="001455DC">
              <w:rPr>
                <w:rStyle w:val="CCMCvariablesubscript"/>
              </w:rPr>
              <w:t>e</w:t>
            </w:r>
            <w:r w:rsidRPr="001455DC">
              <w:t xml:space="preserve"> is defined in Figure 8.21c).</w:t>
            </w:r>
          </w:p>
        </w:tc>
      </w:tr>
      <w:tr w:rsidR="009050D5" w:rsidRPr="001455DC" w14:paraId="03B5D1F4" w14:textId="77777777" w:rsidTr="006E79E6">
        <w:trPr>
          <w:cantSplit/>
        </w:trPr>
        <w:tc>
          <w:tcPr>
            <w:tcW w:w="567" w:type="dxa"/>
          </w:tcPr>
          <w:p w14:paraId="174E45CE" w14:textId="5F26734F" w:rsidR="009050D5" w:rsidRPr="001455DC" w:rsidRDefault="00D50CCA" w:rsidP="00C16899">
            <w:pPr>
              <w:pStyle w:val="Tablebody"/>
            </w:pPr>
            <w:r w:rsidRPr="001455DC">
              <w:t> </w:t>
            </w:r>
          </w:p>
        </w:tc>
        <w:tc>
          <w:tcPr>
            <w:tcW w:w="8845" w:type="dxa"/>
          </w:tcPr>
          <w:p w14:paraId="30D8AEC7" w14:textId="1EF81E2E" w:rsidR="009050D5" w:rsidRPr="001455DC" w:rsidRDefault="009050D5" w:rsidP="009050D5">
            <w:pPr>
              <w:pStyle w:val="Tablebody"/>
            </w:pPr>
            <w:r w:rsidRPr="001455DC">
              <w:t xml:space="preserve">Otherwise, the refined values should be adopted. The refined values may also be </w:t>
            </w:r>
            <w:r w:rsidR="00B05D84" w:rsidRPr="001455DC">
              <w:t xml:space="preserve">applied </w:t>
            </w:r>
            <w:r w:rsidRPr="001455DC">
              <w:t>in cases complying with the conditions above for a more refined calculation;</w:t>
            </w:r>
          </w:p>
        </w:tc>
      </w:tr>
      <w:tr w:rsidR="009050D5" w:rsidRPr="001455DC" w14:paraId="069B6828" w14:textId="77777777" w:rsidTr="006E79E6">
        <w:trPr>
          <w:cantSplit/>
        </w:trPr>
        <w:tc>
          <w:tcPr>
            <w:tcW w:w="567" w:type="dxa"/>
          </w:tcPr>
          <w:p w14:paraId="3258E1D0" w14:textId="01AD282D" w:rsidR="009050D5" w:rsidRPr="001455DC" w:rsidRDefault="009050D5" w:rsidP="00C16899">
            <w:pPr>
              <w:pStyle w:val="Tablebody"/>
            </w:pPr>
            <w:r w:rsidRPr="001455DC">
              <w:rPr>
                <w:rStyle w:val="CCMCvariableitalic"/>
              </w:rPr>
              <w:t>b</w:t>
            </w:r>
            <w:r w:rsidRPr="001455DC">
              <w:rPr>
                <w:rStyle w:val="CCMCvariablesubscript"/>
              </w:rPr>
              <w:t>0,5</w:t>
            </w:r>
          </w:p>
        </w:tc>
        <w:tc>
          <w:tcPr>
            <w:tcW w:w="8845" w:type="dxa"/>
          </w:tcPr>
          <w:p w14:paraId="16DBBAD6" w14:textId="71A1A149" w:rsidR="009050D5" w:rsidRPr="001455DC" w:rsidRDefault="009050D5" w:rsidP="009050D5">
            <w:pPr>
              <w:pStyle w:val="Tablebody"/>
            </w:pPr>
            <w:r w:rsidRPr="001455DC">
              <w:t>is the length of the control perimeter.</w:t>
            </w:r>
          </w:p>
        </w:tc>
      </w:tr>
    </w:tbl>
    <w:p w14:paraId="5CEB771C" w14:textId="11F001D9" w:rsidR="004E22C1" w:rsidRPr="001455DC" w:rsidRDefault="004E22C1" w:rsidP="00C16899">
      <w:pPr>
        <w:pStyle w:val="Note"/>
      </w:pPr>
      <w:r w:rsidRPr="001455DC">
        <w:t>NOTE</w:t>
      </w:r>
      <w:r w:rsidR="004543C9">
        <w:t xml:space="preserve"> </w:t>
      </w:r>
      <w:r w:rsidRPr="001455DC">
        <w:tab/>
        <w:t xml:space="preserve">For </w:t>
      </w:r>
      <w:r w:rsidRPr="001455DC">
        <w:rPr>
          <w:rStyle w:val="CCMCvariableitalic"/>
        </w:rPr>
        <w:t>d</w:t>
      </w:r>
      <w:r w:rsidRPr="001455DC">
        <w:rPr>
          <w:rStyle w:val="CCMCvariablesubscript"/>
        </w:rPr>
        <w:t>v</w:t>
      </w:r>
      <w:r w:rsidRPr="001455DC">
        <w:t xml:space="preserve"> according to Formula (8.</w:t>
      </w:r>
      <w:r w:rsidR="00B05D84" w:rsidRPr="001455DC">
        <w:t>75</w:t>
      </w:r>
      <w:r w:rsidRPr="001455DC">
        <w:t xml:space="preserve">) the nominal effective depth </w:t>
      </w:r>
      <w:r w:rsidRPr="001455DC">
        <w:rPr>
          <w:rStyle w:val="CCMCvariableitalic"/>
        </w:rPr>
        <w:t>d</w:t>
      </w:r>
      <w:r w:rsidRPr="001455DC">
        <w:rPr>
          <w:rStyle w:val="CCMCvariablesubscript"/>
        </w:rPr>
        <w:t>nom</w:t>
      </w:r>
      <w:r w:rsidRPr="001455DC">
        <w:t xml:space="preserve"> or the design value </w:t>
      </w:r>
      <w:r w:rsidRPr="001455DC">
        <w:rPr>
          <w:rStyle w:val="CCMCvariableitalic"/>
        </w:rPr>
        <w:t>d</w:t>
      </w:r>
      <w:r w:rsidRPr="001455DC">
        <w:rPr>
          <w:rStyle w:val="CCMCvariablesubscript"/>
        </w:rPr>
        <w:t>d</w:t>
      </w:r>
      <w:r w:rsidRPr="001455DC">
        <w:t xml:space="preserve"> for </w:t>
      </w:r>
      <w:r w:rsidRPr="001455DC">
        <w:rPr>
          <w:rStyle w:val="CCMCvariableitalic"/>
        </w:rPr>
        <w:t>d</w:t>
      </w:r>
      <w:r w:rsidRPr="001455DC">
        <w:rPr>
          <w:rStyle w:val="CCMCvariablesubscript"/>
        </w:rPr>
        <w:t>vx</w:t>
      </w:r>
      <w:r w:rsidRPr="001455DC">
        <w:t xml:space="preserve"> and </w:t>
      </w:r>
      <w:r w:rsidRPr="001455DC">
        <w:rPr>
          <w:rStyle w:val="CCMCvariableitalic"/>
        </w:rPr>
        <w:t>d</w:t>
      </w:r>
      <w:r w:rsidRPr="001455DC">
        <w:rPr>
          <w:rStyle w:val="CCMCvariablesubscript"/>
        </w:rPr>
        <w:t>vy</w:t>
      </w:r>
      <w:r w:rsidRPr="001455DC">
        <w:t xml:space="preserve"> can be used (see A(</w:t>
      </w:r>
      <w:r w:rsidR="00B05D84" w:rsidRPr="001455DC">
        <w:t>6</w:t>
      </w:r>
      <w:r w:rsidRPr="001455DC">
        <w:t xml:space="preserve">)). A National Annex can give advice for using </w:t>
      </w:r>
      <w:r w:rsidRPr="001455DC">
        <w:rPr>
          <w:rStyle w:val="CCMCvariableitalic"/>
        </w:rPr>
        <w:t>d</w:t>
      </w:r>
      <w:r w:rsidRPr="001455DC">
        <w:rPr>
          <w:rStyle w:val="CCMCvariablesubscript"/>
        </w:rPr>
        <w:t>d</w:t>
      </w:r>
      <w:r w:rsidRPr="001455DC">
        <w:t>.</w:t>
      </w:r>
    </w:p>
    <w:p w14:paraId="50454D44" w14:textId="77777777" w:rsidR="004E22C1" w:rsidRPr="001455DC" w:rsidRDefault="004E22C1" w:rsidP="00CD6899">
      <w:pPr>
        <w:pStyle w:val="Tabletitle"/>
      </w:pPr>
      <w:bookmarkStart w:id="620" w:name="_Toc54337386"/>
      <w:r w:rsidRPr="001455DC">
        <w:t xml:space="preserve">Table 8.3 — Coefficients </w:t>
      </w:r>
      <w:r w:rsidRPr="001455DC">
        <w:rPr>
          <w:rStyle w:val="CCMCvariableitalic"/>
          <w:b w:val="0"/>
          <w:bCs/>
        </w:rPr>
        <w:t>β</w:t>
      </w:r>
      <w:r w:rsidRPr="001455DC">
        <w:rPr>
          <w:rStyle w:val="CCMCvariablesubscript"/>
          <w:b w:val="0"/>
          <w:bCs/>
        </w:rPr>
        <w:t>e</w:t>
      </w:r>
      <w:r w:rsidRPr="001455DC">
        <w:t xml:space="preserve"> accounting for concentrations of the shear forces</w:t>
      </w:r>
      <w:bookmarkEnd w:id="620"/>
    </w:p>
    <w:tbl>
      <w:tblPr>
        <w:tblStyle w:val="53"/>
        <w:tblW w:w="9753" w:type="dxa"/>
        <w:tblLayout w:type="fixed"/>
        <w:tblLook w:val="0660" w:firstRow="1" w:lastRow="1" w:firstColumn="0" w:lastColumn="0" w:noHBand="1" w:noVBand="1"/>
      </w:tblPr>
      <w:tblGrid>
        <w:gridCol w:w="340"/>
        <w:gridCol w:w="851"/>
        <w:gridCol w:w="1268"/>
        <w:gridCol w:w="1945"/>
        <w:gridCol w:w="1834"/>
        <w:gridCol w:w="3515"/>
      </w:tblGrid>
      <w:tr w:rsidR="004E22C1" w:rsidRPr="001455DC" w14:paraId="1D71E490" w14:textId="77777777" w:rsidTr="009D3012">
        <w:trPr>
          <w:cnfStyle w:val="100000000000" w:firstRow="1" w:lastRow="0" w:firstColumn="0" w:lastColumn="0" w:oddVBand="0" w:evenVBand="0" w:oddHBand="0" w:evenHBand="0" w:firstRowFirstColumn="0" w:firstRowLastColumn="0" w:lastRowFirstColumn="0" w:lastRowLastColumn="0"/>
          <w:cantSplit/>
        </w:trPr>
        <w:tc>
          <w:tcPr>
            <w:tcW w:w="2459" w:type="dxa"/>
            <w:gridSpan w:val="3"/>
          </w:tcPr>
          <w:p w14:paraId="0DB21501" w14:textId="77777777" w:rsidR="004E22C1" w:rsidRPr="001455DC" w:rsidRDefault="004E22C1" w:rsidP="00A35599">
            <w:pPr>
              <w:pStyle w:val="Tableheader"/>
              <w:keepNext/>
            </w:pPr>
            <w:r w:rsidRPr="001455DC">
              <w:t>Support</w:t>
            </w:r>
          </w:p>
        </w:tc>
        <w:tc>
          <w:tcPr>
            <w:tcW w:w="1945" w:type="dxa"/>
          </w:tcPr>
          <w:p w14:paraId="03DC7F0A" w14:textId="77777777" w:rsidR="004E22C1" w:rsidRPr="001455DC" w:rsidRDefault="004E22C1" w:rsidP="00A35599">
            <w:pPr>
              <w:pStyle w:val="Tableheader"/>
              <w:keepNext/>
            </w:pPr>
            <w:r w:rsidRPr="001455DC">
              <w:t>Approximated</w:t>
            </w:r>
          </w:p>
        </w:tc>
        <w:tc>
          <w:tcPr>
            <w:tcW w:w="5349" w:type="dxa"/>
            <w:gridSpan w:val="2"/>
          </w:tcPr>
          <w:p w14:paraId="3D025489" w14:textId="33E2883A" w:rsidR="004E22C1" w:rsidRPr="001455DC" w:rsidRDefault="004E22C1" w:rsidP="00A35599">
            <w:pPr>
              <w:pStyle w:val="Tableheader"/>
              <w:keepNext/>
            </w:pPr>
            <w:r w:rsidRPr="001455DC">
              <w:t>Refined</w:t>
            </w:r>
            <w:r w:rsidRPr="001455DC">
              <w:rPr>
                <w:rStyle w:val="CCMCvariablesuperscript"/>
                <w:b w:val="0"/>
                <w:bCs/>
              </w:rPr>
              <w:t>a</w:t>
            </w:r>
          </w:p>
        </w:tc>
      </w:tr>
      <w:tr w:rsidR="004E22C1" w:rsidRPr="001455DC" w14:paraId="7ADC6DBC" w14:textId="77777777" w:rsidTr="009D3012">
        <w:trPr>
          <w:cantSplit/>
        </w:trPr>
        <w:tc>
          <w:tcPr>
            <w:tcW w:w="2459" w:type="dxa"/>
            <w:gridSpan w:val="3"/>
            <w:vAlign w:val="center"/>
          </w:tcPr>
          <w:p w14:paraId="355A2528" w14:textId="77777777" w:rsidR="004E22C1" w:rsidRPr="001455DC" w:rsidRDefault="004E22C1" w:rsidP="00A35599">
            <w:pPr>
              <w:pStyle w:val="Tablebody"/>
              <w:keepNext/>
              <w:jc w:val="left"/>
            </w:pPr>
            <w:r w:rsidRPr="001455DC">
              <w:t>internal columns</w:t>
            </w:r>
          </w:p>
        </w:tc>
        <w:tc>
          <w:tcPr>
            <w:tcW w:w="1945" w:type="dxa"/>
            <w:vAlign w:val="center"/>
          </w:tcPr>
          <w:p w14:paraId="5E5035E3" w14:textId="72897A13" w:rsidR="004E22C1" w:rsidRPr="001455DC" w:rsidRDefault="004E22C1" w:rsidP="00A35599">
            <w:pPr>
              <w:pStyle w:val="Tablebody"/>
              <w:keepNext/>
              <w:jc w:val="center"/>
            </w:pPr>
            <w:r w:rsidRPr="001455DC">
              <w:rPr>
                <w:rStyle w:val="CCMCvariableitalic"/>
              </w:rPr>
              <w:t>β</w:t>
            </w:r>
            <w:r w:rsidRPr="001455DC">
              <w:rPr>
                <w:rStyle w:val="CCMCvariablesubscript"/>
              </w:rPr>
              <w:t>e</w:t>
            </w:r>
            <w:r w:rsidRPr="001455DC">
              <w:t> </w:t>
            </w:r>
            <w:r w:rsidR="00EC27D2" w:rsidRPr="001455DC">
              <w:rPr>
                <w:rFonts w:ascii="Cambria Math" w:hAnsi="Cambria Math"/>
              </w:rPr>
              <w:t>=</w:t>
            </w:r>
            <w:r w:rsidRPr="001455DC">
              <w:t> 1,15</w:t>
            </w:r>
          </w:p>
        </w:tc>
        <w:tc>
          <w:tcPr>
            <w:tcW w:w="1834" w:type="dxa"/>
            <w:vMerge w:val="restart"/>
            <w:vAlign w:val="center"/>
          </w:tcPr>
          <w:p w14:paraId="463034CF" w14:textId="32D0F7ED" w:rsidR="004E22C1" w:rsidRPr="001455DC" w:rsidRDefault="00231E33" w:rsidP="00A35599">
            <w:pPr>
              <w:pStyle w:val="Tablebody"/>
              <w:keepNext/>
              <w:jc w:val="center"/>
            </w:pPr>
            <m:oMathPara>
              <m:oMath>
                <m:sSub>
                  <m:sSubPr>
                    <m:ctrlPr>
                      <w:rPr>
                        <w:rFonts w:ascii="Cambria Math" w:hAnsi="Cambria Math"/>
                      </w:rPr>
                    </m:ctrlPr>
                  </m:sSubPr>
                  <m:e>
                    <m:r>
                      <w:rPr>
                        <w:rFonts w:ascii="Cambria Math" w:hAnsi="Cambria Math"/>
                      </w:rPr>
                      <m:t>β</m:t>
                    </m:r>
                  </m:e>
                  <m:sub>
                    <m:r>
                      <m:rPr>
                        <m:sty m:val="p"/>
                      </m:rPr>
                      <w:rPr>
                        <w:rFonts w:ascii="Cambria Math" w:hAnsi="Cambria Math"/>
                      </w:rPr>
                      <m:t>e</m:t>
                    </m:r>
                  </m:sub>
                </m:sSub>
                <m:r>
                  <w:rPr>
                    <w:rFonts w:ascii="Cambria Math" w:hAnsi="Cambria Math"/>
                  </w:rPr>
                  <m:t>=1+1,1</m:t>
                </m:r>
                <m:f>
                  <m:fPr>
                    <m:ctrlPr>
                      <w:rPr>
                        <w:rFonts w:ascii="Cambria Math" w:hAnsi="Cambria Math"/>
                      </w:rPr>
                    </m:ctrlPr>
                  </m:fPr>
                  <m:num>
                    <m:sSub>
                      <m:sSubPr>
                        <m:ctrlPr>
                          <w:rPr>
                            <w:rFonts w:ascii="Cambria Math" w:hAnsi="Cambria Math"/>
                          </w:rPr>
                        </m:ctrlPr>
                      </m:sSubPr>
                      <m:e>
                        <m:r>
                          <w:rPr>
                            <w:rFonts w:ascii="Cambria Math" w:hAnsi="Cambria Math"/>
                          </w:rPr>
                          <m:t>e</m:t>
                        </m:r>
                      </m:e>
                      <m:sub>
                        <m:r>
                          <m:rPr>
                            <m:sty m:val="p"/>
                          </m:rPr>
                          <w:rPr>
                            <w:rFonts w:ascii="Cambria Math" w:hAnsi="Cambria Math"/>
                          </w:rPr>
                          <m:t>b</m:t>
                        </m:r>
                      </m:sub>
                    </m:sSub>
                  </m:num>
                  <m:den>
                    <m:sSub>
                      <m:sSubPr>
                        <m:ctrlPr>
                          <w:rPr>
                            <w:rFonts w:ascii="Cambria Math" w:hAnsi="Cambria Math"/>
                          </w:rPr>
                        </m:ctrlPr>
                      </m:sSubPr>
                      <m:e>
                        <m:r>
                          <w:rPr>
                            <w:rFonts w:ascii="Cambria Math" w:hAnsi="Cambria Math"/>
                          </w:rPr>
                          <m:t>b</m:t>
                        </m:r>
                      </m:e>
                      <m:sub>
                        <m:r>
                          <m:rPr>
                            <m:sty m:val="p"/>
                          </m:rPr>
                          <w:rPr>
                            <w:rFonts w:ascii="Cambria Math" w:hAnsi="Cambria Math"/>
                          </w:rPr>
                          <m:t>b</m:t>
                        </m:r>
                      </m:sub>
                    </m:sSub>
                  </m:den>
                </m:f>
              </m:oMath>
            </m:oMathPara>
          </w:p>
        </w:tc>
        <w:tc>
          <w:tcPr>
            <w:tcW w:w="3515" w:type="dxa"/>
            <w:vAlign w:val="center"/>
          </w:tcPr>
          <w:p w14:paraId="4266BFE4" w14:textId="65F7709E" w:rsidR="004E22C1" w:rsidRPr="009D3012" w:rsidRDefault="004E22C1" w:rsidP="00A35599">
            <w:pPr>
              <w:pStyle w:val="Tablebody"/>
              <w:keepNext/>
              <w:jc w:val="left"/>
              <w:rPr>
                <w:lang w:val="en-US"/>
              </w:rPr>
            </w:pPr>
            <w:r w:rsidRPr="009D3012">
              <w:rPr>
                <w:lang w:val="en-US"/>
              </w:rPr>
              <w:t xml:space="preserve">where </w:t>
            </w:r>
            <m:oMath>
              <m:sSub>
                <m:sSubPr>
                  <m:ctrlPr>
                    <w:rPr>
                      <w:rFonts w:ascii="Cambria Math" w:hAnsi="Cambria Math"/>
                    </w:rPr>
                  </m:ctrlPr>
                </m:sSubPr>
                <m:e>
                  <m:r>
                    <w:rPr>
                      <w:rFonts w:ascii="Cambria Math" w:hAnsi="Cambria Math"/>
                    </w:rPr>
                    <m:t>e</m:t>
                  </m:r>
                </m:e>
                <m:sub>
                  <m:r>
                    <m:rPr>
                      <m:sty m:val="p"/>
                    </m:rPr>
                    <w:rPr>
                      <w:rFonts w:ascii="Cambria Math" w:hAnsi="Cambria Math"/>
                      <w:lang w:val="en-US"/>
                    </w:rPr>
                    <m:t>b</m:t>
                  </m:r>
                </m:sub>
              </m:sSub>
              <m:r>
                <w:rPr>
                  <w:rFonts w:ascii="Cambria Math" w:hAnsi="Cambria Math"/>
                  <w:lang w:val="en-US"/>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e</m:t>
                      </m:r>
                    </m:e>
                    <m:sub>
                      <m:r>
                        <m:rPr>
                          <m:sty m:val="p"/>
                        </m:rPr>
                        <w:rPr>
                          <w:rFonts w:ascii="Cambria Math" w:hAnsi="Cambria Math"/>
                          <w:lang w:val="en-US"/>
                        </w:rPr>
                        <m:t>b,x</m:t>
                      </m:r>
                    </m:sub>
                    <m:sup>
                      <m:r>
                        <w:rPr>
                          <w:rFonts w:ascii="Cambria Math" w:hAnsi="Cambria Math"/>
                          <w:lang w:val="en-US"/>
                        </w:rPr>
                        <m:t>2</m:t>
                      </m:r>
                    </m:sup>
                  </m:sSubSup>
                  <m:r>
                    <w:rPr>
                      <w:rFonts w:ascii="Cambria Math" w:hAnsi="Cambria Math"/>
                      <w:lang w:val="en-US"/>
                    </w:rPr>
                    <m:t>+</m:t>
                  </m:r>
                  <m:sSubSup>
                    <m:sSubSupPr>
                      <m:ctrlPr>
                        <w:rPr>
                          <w:rFonts w:ascii="Cambria Math" w:hAnsi="Cambria Math"/>
                        </w:rPr>
                      </m:ctrlPr>
                    </m:sSubSupPr>
                    <m:e>
                      <m:r>
                        <w:rPr>
                          <w:rFonts w:ascii="Cambria Math" w:hAnsi="Cambria Math"/>
                        </w:rPr>
                        <m:t>e</m:t>
                      </m:r>
                    </m:e>
                    <m:sub>
                      <m:r>
                        <m:rPr>
                          <m:sty m:val="p"/>
                        </m:rPr>
                        <w:rPr>
                          <w:rFonts w:ascii="Cambria Math" w:hAnsi="Cambria Math"/>
                          <w:lang w:val="en-US"/>
                        </w:rPr>
                        <m:t>b,y</m:t>
                      </m:r>
                    </m:sub>
                    <m:sup>
                      <m:r>
                        <w:rPr>
                          <w:rFonts w:ascii="Cambria Math" w:hAnsi="Cambria Math"/>
                          <w:lang w:val="en-US"/>
                        </w:rPr>
                        <m:t>2</m:t>
                      </m:r>
                    </m:sup>
                  </m:sSubSup>
                </m:e>
              </m:rad>
            </m:oMath>
          </w:p>
        </w:tc>
      </w:tr>
      <w:tr w:rsidR="004E22C1" w:rsidRPr="001455DC" w14:paraId="32B167FB" w14:textId="77777777" w:rsidTr="009D3012">
        <w:trPr>
          <w:cantSplit/>
        </w:trPr>
        <w:tc>
          <w:tcPr>
            <w:tcW w:w="2459" w:type="dxa"/>
            <w:gridSpan w:val="3"/>
            <w:vAlign w:val="center"/>
          </w:tcPr>
          <w:p w14:paraId="756AB251" w14:textId="77777777" w:rsidR="004E22C1" w:rsidRPr="001455DC" w:rsidRDefault="004E22C1" w:rsidP="00A35599">
            <w:pPr>
              <w:pStyle w:val="Tablebody"/>
              <w:keepNext/>
              <w:jc w:val="left"/>
            </w:pPr>
            <w:r w:rsidRPr="001455DC">
              <w:t>edge columns</w:t>
            </w:r>
          </w:p>
        </w:tc>
        <w:tc>
          <w:tcPr>
            <w:tcW w:w="1945" w:type="dxa"/>
            <w:vAlign w:val="center"/>
          </w:tcPr>
          <w:p w14:paraId="1947B25B" w14:textId="3D507974" w:rsidR="004E22C1" w:rsidRPr="001455DC" w:rsidRDefault="004E22C1" w:rsidP="00A35599">
            <w:pPr>
              <w:pStyle w:val="Tablebody"/>
              <w:keepNext/>
              <w:jc w:val="center"/>
            </w:pPr>
            <w:r w:rsidRPr="001455DC">
              <w:rPr>
                <w:rStyle w:val="CCMCvariableitalic"/>
              </w:rPr>
              <w:t>β</w:t>
            </w:r>
            <w:r w:rsidRPr="001455DC">
              <w:rPr>
                <w:rStyle w:val="CCMCvariablesubscript"/>
              </w:rPr>
              <w:t>e</w:t>
            </w:r>
            <w:r w:rsidRPr="001455DC">
              <w:t> </w:t>
            </w:r>
            <w:r w:rsidR="00EC27D2" w:rsidRPr="001455DC">
              <w:rPr>
                <w:rFonts w:ascii="Cambria Math" w:hAnsi="Cambria Math"/>
              </w:rPr>
              <w:t>=</w:t>
            </w:r>
            <w:r w:rsidRPr="001455DC">
              <w:t> 1,4</w:t>
            </w:r>
          </w:p>
        </w:tc>
        <w:tc>
          <w:tcPr>
            <w:tcW w:w="1834" w:type="dxa"/>
            <w:vMerge/>
            <w:vAlign w:val="center"/>
          </w:tcPr>
          <w:p w14:paraId="6E921A4F" w14:textId="77777777" w:rsidR="004E22C1" w:rsidRPr="001455DC" w:rsidRDefault="004E22C1" w:rsidP="00A35599">
            <w:pPr>
              <w:pStyle w:val="Tablebody"/>
              <w:keepNext/>
              <w:jc w:val="center"/>
            </w:pPr>
          </w:p>
        </w:tc>
        <w:tc>
          <w:tcPr>
            <w:tcW w:w="3515" w:type="dxa"/>
            <w:vAlign w:val="center"/>
          </w:tcPr>
          <w:p w14:paraId="76082CF3" w14:textId="4C1EF66B" w:rsidR="004E22C1" w:rsidRPr="009D3012" w:rsidRDefault="004E22C1" w:rsidP="00A35599">
            <w:pPr>
              <w:pStyle w:val="Tablebody"/>
              <w:keepNext/>
              <w:jc w:val="left"/>
              <w:rPr>
                <w:lang w:val="en-US"/>
              </w:rPr>
            </w:pPr>
            <w:r w:rsidRPr="009D3012">
              <w:rPr>
                <w:lang w:val="en-US"/>
              </w:rPr>
              <w:t xml:space="preserve">where </w:t>
            </w:r>
            <m:oMath>
              <m:sSub>
                <m:sSubPr>
                  <m:ctrlPr>
                    <w:rPr>
                      <w:rFonts w:ascii="Cambria Math" w:hAnsi="Cambria Math"/>
                    </w:rPr>
                  </m:ctrlPr>
                </m:sSubPr>
                <m:e>
                  <m:r>
                    <w:rPr>
                      <w:rFonts w:ascii="Cambria Math" w:hAnsi="Cambria Math"/>
                    </w:rPr>
                    <m:t>e</m:t>
                  </m:r>
                </m:e>
                <m:sub>
                  <m:r>
                    <m:rPr>
                      <m:sty m:val="p"/>
                    </m:rPr>
                    <w:rPr>
                      <w:rFonts w:ascii="Cambria Math" w:hAnsi="Cambria Math"/>
                      <w:lang w:val="en-US"/>
                    </w:rPr>
                    <m:t>b</m:t>
                  </m:r>
                </m:sub>
              </m:sSub>
              <m:r>
                <w:rPr>
                  <w:rFonts w:ascii="Cambria Math" w:hAnsi="Cambria Math"/>
                  <w:lang w:val="en-US"/>
                </w:rPr>
                <m:t>=0,5</m:t>
              </m:r>
              <m:d>
                <m:dPr>
                  <m:begChr m:val="|"/>
                  <m:endChr m:val="|"/>
                  <m:ctrlPr>
                    <w:rPr>
                      <w:rFonts w:ascii="Cambria Math" w:hAnsi="Cambria Math"/>
                    </w:rPr>
                  </m:ctrlPr>
                </m:dPr>
                <m:e>
                  <m:sSub>
                    <m:sSubPr>
                      <m:ctrlPr>
                        <w:rPr>
                          <w:rFonts w:ascii="Cambria Math" w:hAnsi="Cambria Math"/>
                        </w:rPr>
                      </m:ctrlPr>
                    </m:sSubPr>
                    <m:e>
                      <m:r>
                        <w:rPr>
                          <w:rFonts w:ascii="Cambria Math" w:hAnsi="Cambria Math"/>
                        </w:rPr>
                        <m:t>e</m:t>
                      </m:r>
                    </m:e>
                    <m:sub>
                      <m:r>
                        <m:rPr>
                          <m:sty m:val="p"/>
                        </m:rPr>
                        <w:rPr>
                          <w:rFonts w:ascii="Cambria Math" w:hAnsi="Cambria Math"/>
                          <w:lang w:val="en-US"/>
                        </w:rPr>
                        <m:t>b,x</m:t>
                      </m:r>
                    </m:sub>
                  </m:sSub>
                </m:e>
              </m:d>
              <m:r>
                <w:rPr>
                  <w:rFonts w:ascii="Cambria Math" w:hAnsi="Cambria Math"/>
                  <w:lang w:val="en-US"/>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e</m:t>
                      </m:r>
                    </m:e>
                    <m:sub>
                      <m:r>
                        <m:rPr>
                          <m:sty m:val="p"/>
                        </m:rPr>
                        <w:rPr>
                          <w:rFonts w:ascii="Cambria Math" w:hAnsi="Cambria Math"/>
                          <w:lang w:val="en-US"/>
                        </w:rPr>
                        <m:t>b,y</m:t>
                      </m:r>
                    </m:sub>
                  </m:sSub>
                </m:e>
              </m:d>
            </m:oMath>
          </w:p>
        </w:tc>
      </w:tr>
      <w:tr w:rsidR="004E22C1" w:rsidRPr="001455DC" w14:paraId="24123A60" w14:textId="77777777" w:rsidTr="009D3012">
        <w:trPr>
          <w:cantSplit/>
        </w:trPr>
        <w:tc>
          <w:tcPr>
            <w:tcW w:w="2459" w:type="dxa"/>
            <w:gridSpan w:val="3"/>
            <w:vAlign w:val="center"/>
          </w:tcPr>
          <w:p w14:paraId="5AEECBD8" w14:textId="77777777" w:rsidR="004E22C1" w:rsidRPr="001455DC" w:rsidRDefault="004E22C1" w:rsidP="00A35599">
            <w:pPr>
              <w:pStyle w:val="Tablebody"/>
              <w:keepNext/>
              <w:jc w:val="left"/>
            </w:pPr>
            <w:r w:rsidRPr="001455DC">
              <w:t>corner columns</w:t>
            </w:r>
          </w:p>
        </w:tc>
        <w:tc>
          <w:tcPr>
            <w:tcW w:w="1945" w:type="dxa"/>
            <w:vAlign w:val="center"/>
          </w:tcPr>
          <w:p w14:paraId="160EF823" w14:textId="441B19E2" w:rsidR="004E22C1" w:rsidRPr="001455DC" w:rsidRDefault="004E22C1" w:rsidP="00A35599">
            <w:pPr>
              <w:pStyle w:val="Tablebody"/>
              <w:keepNext/>
              <w:jc w:val="center"/>
            </w:pPr>
            <w:r w:rsidRPr="001455DC">
              <w:rPr>
                <w:rStyle w:val="CCMCvariableitalic"/>
              </w:rPr>
              <w:t>β</w:t>
            </w:r>
            <w:r w:rsidRPr="001455DC">
              <w:rPr>
                <w:rStyle w:val="CCMCvariablesubscript"/>
              </w:rPr>
              <w:t>e</w:t>
            </w:r>
            <w:r w:rsidRPr="001455DC">
              <w:t> </w:t>
            </w:r>
            <w:r w:rsidR="00EC27D2" w:rsidRPr="001455DC">
              <w:rPr>
                <w:rFonts w:ascii="Cambria Math" w:hAnsi="Cambria Math"/>
              </w:rPr>
              <w:t>=</w:t>
            </w:r>
            <w:r w:rsidRPr="001455DC">
              <w:t> 1,5</w:t>
            </w:r>
          </w:p>
        </w:tc>
        <w:tc>
          <w:tcPr>
            <w:tcW w:w="1834" w:type="dxa"/>
            <w:vMerge/>
            <w:vAlign w:val="center"/>
          </w:tcPr>
          <w:p w14:paraId="575201F3" w14:textId="77777777" w:rsidR="004E22C1" w:rsidRPr="001455DC" w:rsidRDefault="004E22C1" w:rsidP="00A35599">
            <w:pPr>
              <w:pStyle w:val="Tablebody"/>
              <w:keepNext/>
              <w:jc w:val="center"/>
            </w:pPr>
          </w:p>
        </w:tc>
        <w:tc>
          <w:tcPr>
            <w:tcW w:w="3515" w:type="dxa"/>
            <w:vAlign w:val="center"/>
          </w:tcPr>
          <w:p w14:paraId="002199B4" w14:textId="47DF33B4" w:rsidR="004E22C1" w:rsidRPr="009D3012" w:rsidRDefault="004E22C1" w:rsidP="009D3012">
            <w:pPr>
              <w:pStyle w:val="Tablebody"/>
              <w:keepNext/>
              <w:rPr>
                <w:lang w:val="en-US"/>
              </w:rPr>
            </w:pPr>
            <w:r w:rsidRPr="009D3012">
              <w:rPr>
                <w:lang w:val="en-US"/>
              </w:rPr>
              <w:t xml:space="preserve">where </w:t>
            </w:r>
            <w:r w:rsidR="003F7B00" w:rsidRPr="009D3012">
              <w:rPr>
                <w:lang w:val="en-US"/>
              </w:rPr>
              <w:br/>
            </w:r>
            <m:oMath>
              <m:sSub>
                <m:sSubPr>
                  <m:ctrlPr>
                    <w:rPr>
                      <w:rFonts w:ascii="Cambria Math" w:hAnsi="Cambria Math"/>
                    </w:rPr>
                  </m:ctrlPr>
                </m:sSubPr>
                <m:e>
                  <m:r>
                    <w:rPr>
                      <w:rFonts w:ascii="Cambria Math" w:hAnsi="Cambria Math"/>
                    </w:rPr>
                    <m:t>e</m:t>
                  </m:r>
                </m:e>
                <m:sub>
                  <m:r>
                    <m:rPr>
                      <m:sty m:val="p"/>
                    </m:rPr>
                    <w:rPr>
                      <w:rFonts w:ascii="Cambria Math" w:hAnsi="Cambria Math"/>
                      <w:lang w:val="en-US"/>
                    </w:rPr>
                    <m:t>b</m:t>
                  </m:r>
                </m:sub>
              </m:sSub>
              <m:r>
                <w:rPr>
                  <w:rFonts w:ascii="Cambria Math" w:hAnsi="Cambria Math"/>
                  <w:lang w:val="en-US"/>
                </w:rPr>
                <m:t>=0,27</m:t>
              </m:r>
              <m:d>
                <m:dPr>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e</m:t>
                          </m:r>
                        </m:e>
                        <m:sub>
                          <m:r>
                            <m:rPr>
                              <m:sty m:val="p"/>
                            </m:rPr>
                            <w:rPr>
                              <w:rFonts w:ascii="Cambria Math" w:hAnsi="Cambria Math"/>
                              <w:lang w:val="en-US"/>
                            </w:rPr>
                            <m:t>b,x</m:t>
                          </m:r>
                        </m:sub>
                      </m:sSub>
                    </m:e>
                  </m:d>
                  <m:r>
                    <w:rPr>
                      <w:rFonts w:ascii="Cambria Math" w:hAnsi="Cambria Math"/>
                      <w:lang w:val="en-US"/>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e</m:t>
                          </m:r>
                        </m:e>
                        <m:sub>
                          <m:r>
                            <m:rPr>
                              <m:sty m:val="p"/>
                            </m:rPr>
                            <w:rPr>
                              <w:rFonts w:ascii="Cambria Math" w:hAnsi="Cambria Math"/>
                              <w:lang w:val="en-US"/>
                            </w:rPr>
                            <m:t>b,y</m:t>
                          </m:r>
                        </m:sub>
                      </m:sSub>
                    </m:e>
                  </m:d>
                </m:e>
              </m:d>
            </m:oMath>
            <w:r w:rsidR="003F7B00" w:rsidRPr="009D3012">
              <w:rPr>
                <w:rFonts w:ascii="Cambria Math" w:hAnsi="Cambria Math"/>
                <w:lang w:val="en-US"/>
              </w:rPr>
              <w:t>≤</w:t>
            </w:r>
            <w:r w:rsidR="003F7B00" w:rsidRPr="009D3012">
              <w:rPr>
                <w:lang w:val="en-US"/>
              </w:rPr>
              <w:t>0,45</w:t>
            </w:r>
            <w:r w:rsidR="003F7B00" w:rsidRPr="009D3012">
              <w:rPr>
                <w:rFonts w:ascii="Cambria Math" w:hAnsi="Cambria Math"/>
                <w:lang w:val="en-US"/>
              </w:rPr>
              <w:t>∙</w:t>
            </w:r>
            <w:r w:rsidR="003F7B00" w:rsidRPr="009D3012">
              <w:rPr>
                <w:rStyle w:val="CCMCvariableitalic"/>
                <w:lang w:val="en-US"/>
              </w:rPr>
              <w:t xml:space="preserve"> b</w:t>
            </w:r>
            <w:r w:rsidR="003F7B00" w:rsidRPr="009D3012">
              <w:rPr>
                <w:rStyle w:val="CCMCvariablesubscript"/>
                <w:lang w:val="en-US"/>
              </w:rPr>
              <w:t>b</w:t>
            </w:r>
          </w:p>
        </w:tc>
      </w:tr>
      <w:tr w:rsidR="004E22C1" w:rsidRPr="001455DC" w14:paraId="385087D4" w14:textId="77777777" w:rsidTr="009D3012">
        <w:trPr>
          <w:cantSplit/>
        </w:trPr>
        <w:tc>
          <w:tcPr>
            <w:tcW w:w="2459" w:type="dxa"/>
            <w:gridSpan w:val="3"/>
            <w:vAlign w:val="center"/>
          </w:tcPr>
          <w:p w14:paraId="6A564041" w14:textId="77777777" w:rsidR="004E22C1" w:rsidRPr="001455DC" w:rsidRDefault="004E22C1" w:rsidP="00A35599">
            <w:pPr>
              <w:pStyle w:val="Tablebody"/>
              <w:keepNext/>
              <w:jc w:val="left"/>
            </w:pPr>
            <w:r w:rsidRPr="001455DC">
              <w:t>ends of walls</w:t>
            </w:r>
          </w:p>
        </w:tc>
        <w:tc>
          <w:tcPr>
            <w:tcW w:w="7294" w:type="dxa"/>
            <w:gridSpan w:val="3"/>
            <w:vAlign w:val="center"/>
          </w:tcPr>
          <w:p w14:paraId="09EBDB81" w14:textId="0E95CE21" w:rsidR="004E22C1" w:rsidRPr="001455DC" w:rsidRDefault="004E22C1" w:rsidP="00A35599">
            <w:pPr>
              <w:pStyle w:val="Tablebody"/>
              <w:keepNext/>
              <w:jc w:val="center"/>
            </w:pPr>
            <w:r w:rsidRPr="001455DC">
              <w:rPr>
                <w:rStyle w:val="CCMCvariableitalic"/>
              </w:rPr>
              <w:t>β</w:t>
            </w:r>
            <w:r w:rsidRPr="001455DC">
              <w:rPr>
                <w:rStyle w:val="CCMCvariablesubscript"/>
              </w:rPr>
              <w:t>e</w:t>
            </w:r>
            <w:r w:rsidRPr="001455DC">
              <w:t> </w:t>
            </w:r>
            <w:r w:rsidR="00EC27D2" w:rsidRPr="001455DC">
              <w:rPr>
                <w:rFonts w:ascii="Cambria Math" w:hAnsi="Cambria Math"/>
              </w:rPr>
              <w:t>=</w:t>
            </w:r>
            <w:r w:rsidRPr="001455DC">
              <w:t> 1,4</w:t>
            </w:r>
          </w:p>
        </w:tc>
      </w:tr>
      <w:tr w:rsidR="004E22C1" w:rsidRPr="001455DC" w14:paraId="0BFC4E55" w14:textId="77777777" w:rsidTr="009D3012">
        <w:trPr>
          <w:cantSplit/>
        </w:trPr>
        <w:tc>
          <w:tcPr>
            <w:tcW w:w="2459" w:type="dxa"/>
            <w:gridSpan w:val="3"/>
            <w:tcBorders>
              <w:bottom w:val="single" w:sz="12" w:space="0" w:color="auto"/>
            </w:tcBorders>
            <w:vAlign w:val="center"/>
          </w:tcPr>
          <w:p w14:paraId="0477B10D" w14:textId="77777777" w:rsidR="004E22C1" w:rsidRPr="001455DC" w:rsidRDefault="004E22C1" w:rsidP="00A35599">
            <w:pPr>
              <w:pStyle w:val="Tablebody"/>
              <w:keepNext/>
              <w:jc w:val="left"/>
            </w:pPr>
            <w:r w:rsidRPr="001455DC">
              <w:t>corners of walls</w:t>
            </w:r>
          </w:p>
        </w:tc>
        <w:tc>
          <w:tcPr>
            <w:tcW w:w="7294" w:type="dxa"/>
            <w:gridSpan w:val="3"/>
            <w:tcBorders>
              <w:bottom w:val="single" w:sz="12" w:space="0" w:color="auto"/>
            </w:tcBorders>
            <w:vAlign w:val="center"/>
          </w:tcPr>
          <w:p w14:paraId="7ECFFBD0" w14:textId="4CAF01EE" w:rsidR="004E22C1" w:rsidRPr="001455DC" w:rsidRDefault="004E22C1" w:rsidP="00A35599">
            <w:pPr>
              <w:pStyle w:val="Tablebody"/>
              <w:keepNext/>
              <w:jc w:val="center"/>
            </w:pPr>
            <w:r w:rsidRPr="001455DC">
              <w:rPr>
                <w:rStyle w:val="CCMCvariableitalic"/>
              </w:rPr>
              <w:t>β</w:t>
            </w:r>
            <w:r w:rsidRPr="001455DC">
              <w:rPr>
                <w:rStyle w:val="CCMCvariablesubscript"/>
              </w:rPr>
              <w:t>e</w:t>
            </w:r>
            <w:r w:rsidRPr="001455DC">
              <w:t> </w:t>
            </w:r>
            <w:r w:rsidR="00EC27D2" w:rsidRPr="001455DC">
              <w:rPr>
                <w:rFonts w:ascii="Cambria Math" w:hAnsi="Cambria Math"/>
              </w:rPr>
              <w:t>=</w:t>
            </w:r>
            <w:r w:rsidRPr="001455DC">
              <w:t> 1,2</w:t>
            </w:r>
          </w:p>
        </w:tc>
      </w:tr>
      <w:tr w:rsidR="00D50CCA" w:rsidRPr="001455DC" w14:paraId="6A789212" w14:textId="77777777" w:rsidTr="00D50CCA">
        <w:tblPrEx>
          <w:tblBorders>
            <w:insideH w:val="none" w:sz="0" w:space="0" w:color="auto"/>
            <w:insideV w:val="none" w:sz="0" w:space="0" w:color="auto"/>
          </w:tblBorders>
        </w:tblPrEx>
        <w:trPr>
          <w:cantSplit/>
        </w:trPr>
        <w:tc>
          <w:tcPr>
            <w:tcW w:w="340" w:type="dxa"/>
            <w:tcBorders>
              <w:top w:val="single" w:sz="12" w:space="0" w:color="auto"/>
              <w:left w:val="single" w:sz="12" w:space="0" w:color="auto"/>
              <w:bottom w:val="nil"/>
            </w:tcBorders>
          </w:tcPr>
          <w:p w14:paraId="15563321" w14:textId="596A03F9" w:rsidR="00D50CCA" w:rsidRPr="001455DC" w:rsidRDefault="00D50CCA" w:rsidP="00A35599">
            <w:pPr>
              <w:pStyle w:val="Tablefooter"/>
              <w:keepNext/>
              <w:rPr>
                <w:vertAlign w:val="superscript"/>
              </w:rPr>
            </w:pPr>
            <w:r w:rsidRPr="001455DC">
              <w:rPr>
                <w:vertAlign w:val="superscript"/>
              </w:rPr>
              <w:t>a</w:t>
            </w:r>
          </w:p>
        </w:tc>
        <w:tc>
          <w:tcPr>
            <w:tcW w:w="851" w:type="dxa"/>
            <w:tcBorders>
              <w:top w:val="single" w:sz="12" w:space="0" w:color="auto"/>
              <w:bottom w:val="nil"/>
            </w:tcBorders>
          </w:tcPr>
          <w:p w14:paraId="26F428B8" w14:textId="0C642A9B" w:rsidR="00D50CCA" w:rsidRPr="001455DC" w:rsidRDefault="00D50CCA" w:rsidP="00A35599">
            <w:pPr>
              <w:pStyle w:val="Tablefooter"/>
              <w:keepNext/>
            </w:pPr>
            <w:r w:rsidRPr="001455DC">
              <w:rPr>
                <w:rStyle w:val="CCMCvariableitalic"/>
              </w:rPr>
              <w:t>e</w:t>
            </w:r>
            <w:r w:rsidRPr="001455DC">
              <w:rPr>
                <w:rStyle w:val="CCMCvariablesubscript"/>
              </w:rPr>
              <w:t>b,x</w:t>
            </w:r>
            <w:r w:rsidRPr="001455DC">
              <w:t xml:space="preserve">, </w:t>
            </w:r>
            <w:r w:rsidRPr="001455DC">
              <w:rPr>
                <w:rStyle w:val="CCMCvariableitalic"/>
              </w:rPr>
              <w:t>e</w:t>
            </w:r>
            <w:r w:rsidRPr="001455DC">
              <w:rPr>
                <w:rStyle w:val="CCMCvariablesubscript"/>
              </w:rPr>
              <w:t>b,y</w:t>
            </w:r>
          </w:p>
        </w:tc>
        <w:tc>
          <w:tcPr>
            <w:tcW w:w="8562" w:type="dxa"/>
            <w:gridSpan w:val="4"/>
            <w:tcBorders>
              <w:top w:val="single" w:sz="12" w:space="0" w:color="auto"/>
              <w:bottom w:val="nil"/>
              <w:right w:val="single" w:sz="12" w:space="0" w:color="auto"/>
            </w:tcBorders>
          </w:tcPr>
          <w:p w14:paraId="01530F24" w14:textId="476571F5" w:rsidR="00D50CCA" w:rsidRPr="009D3012" w:rsidRDefault="00D50CCA" w:rsidP="00A35599">
            <w:pPr>
              <w:pStyle w:val="Tablefooter"/>
              <w:keepNext/>
              <w:ind w:left="0" w:firstLine="0"/>
              <w:rPr>
                <w:lang w:val="en-US"/>
              </w:rPr>
            </w:pPr>
            <w:r w:rsidRPr="009D3012">
              <w:rPr>
                <w:lang w:val="en-US"/>
              </w:rPr>
              <w:t>are the components of the eccentricity of the resultant of shear forces with respect to the centroid of the control perimeter which may be simplified replacing parts of circles by corners (see Figure 8.21a)) and where the straight segments are not limited to 3</w:t>
            </w:r>
            <w:r w:rsidRPr="009D3012">
              <w:rPr>
                <w:rStyle w:val="CCMCvariableitalic"/>
                <w:lang w:val="en-US"/>
              </w:rPr>
              <w:t>d</w:t>
            </w:r>
            <w:r w:rsidRPr="009D3012">
              <w:rPr>
                <w:rStyle w:val="CCMCvariablesubscript"/>
                <w:lang w:val="en-US"/>
              </w:rPr>
              <w:t>v</w:t>
            </w:r>
            <w:r w:rsidRPr="009D3012">
              <w:rPr>
                <w:lang w:val="en-US"/>
              </w:rPr>
              <w:t xml:space="preserve"> according to (3);</w:t>
            </w:r>
          </w:p>
        </w:tc>
      </w:tr>
      <w:tr w:rsidR="00D50CCA" w:rsidRPr="001455DC" w14:paraId="6A4E714F" w14:textId="77777777" w:rsidTr="00D50CCA">
        <w:tblPrEx>
          <w:tblBorders>
            <w:insideH w:val="none" w:sz="0" w:space="0" w:color="auto"/>
            <w:insideV w:val="none" w:sz="0" w:space="0" w:color="auto"/>
          </w:tblBorders>
        </w:tblPrEx>
        <w:trPr>
          <w:cantSplit/>
        </w:trPr>
        <w:tc>
          <w:tcPr>
            <w:tcW w:w="340" w:type="dxa"/>
            <w:tcBorders>
              <w:top w:val="nil"/>
              <w:left w:val="single" w:sz="12" w:space="0" w:color="auto"/>
              <w:bottom w:val="nil"/>
            </w:tcBorders>
          </w:tcPr>
          <w:p w14:paraId="52894C45" w14:textId="53273C5A" w:rsidR="00D50CCA" w:rsidRPr="009D3012" w:rsidRDefault="00D50CCA" w:rsidP="00A35599">
            <w:pPr>
              <w:pStyle w:val="Tablefooter"/>
              <w:keepNext/>
              <w:rPr>
                <w:lang w:val="en-US"/>
              </w:rPr>
            </w:pPr>
            <w:r w:rsidRPr="009D3012">
              <w:rPr>
                <w:lang w:val="en-US"/>
              </w:rPr>
              <w:t> </w:t>
            </w:r>
          </w:p>
        </w:tc>
        <w:tc>
          <w:tcPr>
            <w:tcW w:w="851" w:type="dxa"/>
            <w:tcBorders>
              <w:top w:val="nil"/>
              <w:bottom w:val="nil"/>
            </w:tcBorders>
          </w:tcPr>
          <w:p w14:paraId="783FDBE3" w14:textId="688257F6" w:rsidR="00D50CCA" w:rsidRPr="001455DC" w:rsidRDefault="00D50CCA" w:rsidP="00A35599">
            <w:pPr>
              <w:pStyle w:val="Tablefooter"/>
              <w:keepNext/>
            </w:pPr>
            <w:r w:rsidRPr="001455DC">
              <w:rPr>
                <w:rStyle w:val="CCMCvariableitalic"/>
              </w:rPr>
              <w:t>b</w:t>
            </w:r>
            <w:r w:rsidRPr="001455DC">
              <w:rPr>
                <w:rStyle w:val="CCMCvariablesubscript"/>
              </w:rPr>
              <w:t>b</w:t>
            </w:r>
          </w:p>
        </w:tc>
        <w:tc>
          <w:tcPr>
            <w:tcW w:w="8562" w:type="dxa"/>
            <w:gridSpan w:val="4"/>
            <w:tcBorders>
              <w:top w:val="nil"/>
              <w:bottom w:val="nil"/>
              <w:right w:val="single" w:sz="12" w:space="0" w:color="auto"/>
            </w:tcBorders>
          </w:tcPr>
          <w:p w14:paraId="44E39817" w14:textId="37D71408" w:rsidR="00D50CCA" w:rsidRPr="009D3012" w:rsidRDefault="00D50CCA" w:rsidP="00A35599">
            <w:pPr>
              <w:pStyle w:val="Tablefooter"/>
              <w:keepNext/>
              <w:ind w:left="0" w:firstLine="0"/>
              <w:rPr>
                <w:lang w:val="en-US"/>
              </w:rPr>
            </w:pPr>
            <w:r w:rsidRPr="009D3012">
              <w:rPr>
                <w:lang w:val="en-US"/>
              </w:rPr>
              <w:t>is the geometric mean of the minimum and maximum overall widths of the control perimeter shown in Figure 8.21b):</w:t>
            </w:r>
          </w:p>
        </w:tc>
      </w:tr>
      <w:tr w:rsidR="00D50CCA" w:rsidRPr="001455DC" w14:paraId="015F4F25" w14:textId="77777777" w:rsidTr="00D50CCA">
        <w:tblPrEx>
          <w:tblBorders>
            <w:insideH w:val="none" w:sz="0" w:space="0" w:color="auto"/>
            <w:insideV w:val="none" w:sz="0" w:space="0" w:color="auto"/>
          </w:tblBorders>
        </w:tblPrEx>
        <w:trPr>
          <w:cnfStyle w:val="010000000000" w:firstRow="0" w:lastRow="1" w:firstColumn="0" w:lastColumn="0" w:oddVBand="0" w:evenVBand="0" w:oddHBand="0" w:evenHBand="0" w:firstRowFirstColumn="0" w:firstRowLastColumn="0" w:lastRowFirstColumn="0" w:lastRowLastColumn="0"/>
          <w:cantSplit/>
        </w:trPr>
        <w:tc>
          <w:tcPr>
            <w:tcW w:w="340" w:type="dxa"/>
            <w:tcBorders>
              <w:top w:val="nil"/>
              <w:right w:val="nil"/>
            </w:tcBorders>
          </w:tcPr>
          <w:p w14:paraId="0C2E823C" w14:textId="70D89E78" w:rsidR="00D50CCA" w:rsidRPr="009D3012" w:rsidRDefault="00D50CCA" w:rsidP="00D50CCA">
            <w:pPr>
              <w:pStyle w:val="Tablefooter"/>
              <w:rPr>
                <w:lang w:val="en-US"/>
              </w:rPr>
            </w:pPr>
            <w:r w:rsidRPr="009D3012">
              <w:rPr>
                <w:lang w:val="en-US"/>
              </w:rPr>
              <w:t> </w:t>
            </w:r>
          </w:p>
        </w:tc>
        <w:tc>
          <w:tcPr>
            <w:tcW w:w="851" w:type="dxa"/>
            <w:tcBorders>
              <w:top w:val="nil"/>
              <w:left w:val="nil"/>
              <w:right w:val="nil"/>
            </w:tcBorders>
          </w:tcPr>
          <w:p w14:paraId="6F46E7B6" w14:textId="078176FF" w:rsidR="00D50CCA" w:rsidRPr="009D3012" w:rsidRDefault="00D50CCA" w:rsidP="00D50CCA">
            <w:pPr>
              <w:pStyle w:val="Tablefooter"/>
              <w:rPr>
                <w:rStyle w:val="CCMCvariableitalic"/>
                <w:lang w:val="en-US"/>
              </w:rPr>
            </w:pPr>
            <w:r w:rsidRPr="009D3012">
              <w:rPr>
                <w:lang w:val="en-US"/>
              </w:rPr>
              <w:t> </w:t>
            </w:r>
          </w:p>
        </w:tc>
        <w:tc>
          <w:tcPr>
            <w:tcW w:w="8562" w:type="dxa"/>
            <w:gridSpan w:val="4"/>
            <w:tcBorders>
              <w:top w:val="nil"/>
              <w:left w:val="nil"/>
            </w:tcBorders>
          </w:tcPr>
          <w:p w14:paraId="0E34243F" w14:textId="6F4C33BE" w:rsidR="00D50CCA" w:rsidRPr="001455DC" w:rsidRDefault="00231E33" w:rsidP="00D50CCA">
            <w:pPr>
              <w:pStyle w:val="Tablefooter"/>
              <w:ind w:left="0" w:firstLine="0"/>
            </w:pPr>
            <m:oMathPara>
              <m:oMathParaPr>
                <m:jc m:val="left"/>
              </m:oMathParaPr>
              <m:oMath>
                <m:sSub>
                  <m:sSubPr>
                    <m:ctrlPr>
                      <w:rPr>
                        <w:rFonts w:ascii="Cambria Math" w:hAnsi="Cambria Math"/>
                      </w:rPr>
                    </m:ctrlPr>
                  </m:sSubPr>
                  <m:e>
                    <m:r>
                      <w:rPr>
                        <w:rFonts w:ascii="Cambria Math" w:hAnsi="Cambria Math"/>
                      </w:rPr>
                      <m:t>b</m:t>
                    </m:r>
                  </m:e>
                  <m:sub>
                    <m:r>
                      <m:rPr>
                        <m:sty m:val="p"/>
                      </m:rPr>
                      <w:rPr>
                        <w:rFonts w:ascii="Cambria Math" w:hAnsi="Cambria Math"/>
                      </w:rPr>
                      <m:t>b</m:t>
                    </m:r>
                  </m:sub>
                </m:sSub>
                <m: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w:rPr>
                            <w:rFonts w:ascii="Cambria Math" w:hAnsi="Cambria Math"/>
                          </w:rPr>
                          <m:t>b</m:t>
                        </m:r>
                      </m:e>
                      <m:sub>
                        <m:r>
                          <m:rPr>
                            <m:sty m:val="p"/>
                          </m:rPr>
                          <w:rPr>
                            <w:rFonts w:ascii="Cambria Math" w:hAnsi="Cambria Math"/>
                          </w:rPr>
                          <m:t>b,min</m:t>
                        </m:r>
                      </m:sub>
                    </m:sSub>
                    <m: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b,max</m:t>
                        </m:r>
                      </m:sub>
                    </m:sSub>
                  </m:e>
                </m:rad>
              </m:oMath>
            </m:oMathPara>
          </w:p>
        </w:tc>
      </w:tr>
    </w:tbl>
    <w:p w14:paraId="522D615B" w14:textId="77777777" w:rsidR="004E22C1" w:rsidRPr="001455DC" w:rsidRDefault="004E22C1" w:rsidP="00CD6899">
      <w:pPr>
        <w:pStyle w:val="a7"/>
      </w:pPr>
    </w:p>
    <w:p w14:paraId="31FCCEA7" w14:textId="2D6AC428" w:rsidR="004E22C1" w:rsidRPr="001455DC" w:rsidRDefault="00723CF7" w:rsidP="00D50CCA">
      <w:pPr>
        <w:pStyle w:val="FigureImage"/>
      </w:pPr>
      <w:r>
        <w:rPr>
          <w:noProof/>
          <w:lang w:eastAsia="en-GB"/>
        </w:rPr>
        <w:fldChar w:fldCharType="begin"/>
      </w:r>
      <w:r>
        <w:rPr>
          <w:noProof/>
          <w:lang w:eastAsia="en-GB"/>
        </w:rPr>
        <w:instrText xml:space="preserve"> INCLUDEPICTURE  "Y:\\STD_MGT\\STDDEL\\PRODUCTION\\etrans\\Download\\Z_FIRST_DEL\\SV\\00250\\00250269\\41_e_dr\\8_021.tif"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"Y:\\STD_MGT\\STDDEL\\PRODUCTION\\Standards\\00250\\269\\41_e_dr\\8_021.tif"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"Y:\\STD_MGT\\STDDEL\\PRODUCTION\\Standards\\00250\\269\\41_e_dr\\8_021.tif"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"Y:\\STD_MGT\\STDDEL\\PRODUCTION\\Standards\\00250\\269\\41_e_dr\\8_021.tif"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"Y:\\STD_MGT\\STDDEL\\PRODUCTION\\Standards\\00250\\269\\41_e_dr\\8_021.tif"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"Y:\\STD_MGT\\STDDEL\\PRODUCTION\\Standards\\00250\\269\\41_e_dr\\8_021.tif"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w:instrText>
      </w:r>
      <w:r w:rsidR="00231E33">
        <w:rPr>
          <w:noProof/>
          <w:lang w:eastAsia="en-GB"/>
        </w:rPr>
        <w:instrText>mp\\Temp1_00250269_e_20210902.zip.zip\\41_e_dr\\8_021.tif"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33039054">
          <v:shape id="_x0000_i1178" type="#_x0000_t75" style="width:404.25pt;height:126.75pt">
            <v:imagedata r:id="rId326" r:href="rId327"/>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4A90BA67" w14:textId="43B7B9C4" w:rsidR="004E22C1" w:rsidRPr="00C710B1" w:rsidRDefault="004543C9" w:rsidP="00D50CCA">
      <w:pPr>
        <w:pStyle w:val="FigureText"/>
      </w:pPr>
      <w:r>
        <w:rPr>
          <w:bCs/>
        </w:rPr>
        <w:t>a) d</w:t>
      </w:r>
      <w:r w:rsidR="004E22C1" w:rsidRPr="009D3012">
        <w:rPr>
          <w:bCs/>
        </w:rPr>
        <w:t xml:space="preserve">efinition of eccentricity </w:t>
      </w:r>
      <w:r w:rsidR="004E22C1" w:rsidRPr="009D3012">
        <w:rPr>
          <w:rStyle w:val="CCMCvariableitalic"/>
          <w:bCs/>
        </w:rPr>
        <w:t>e</w:t>
      </w:r>
      <w:r w:rsidR="004E22C1" w:rsidRPr="009D3012">
        <w:rPr>
          <w:rStyle w:val="CCMCvariablesubscript"/>
          <w:bCs/>
        </w:rPr>
        <w:t>b</w:t>
      </w:r>
    </w:p>
    <w:p w14:paraId="2D4BE42D" w14:textId="77777777" w:rsidR="004E22C1" w:rsidRPr="009D3012" w:rsidRDefault="004E22C1" w:rsidP="00D50CCA">
      <w:pPr>
        <w:pStyle w:val="FigureText"/>
        <w:rPr>
          <w:bCs/>
        </w:rPr>
      </w:pPr>
      <w:r w:rsidRPr="009D3012">
        <w:rPr>
          <w:bCs/>
        </w:rPr>
        <w:t xml:space="preserve">b) definition of overall widths of control perimeter </w:t>
      </w:r>
      <w:r w:rsidRPr="009D3012">
        <w:rPr>
          <w:rStyle w:val="CCMCvariableitalic"/>
          <w:bCs/>
        </w:rPr>
        <w:t>b</w:t>
      </w:r>
      <w:r w:rsidRPr="009D3012">
        <w:rPr>
          <w:rStyle w:val="CCMCvariablesubscript"/>
          <w:bCs/>
        </w:rPr>
        <w:t>b,min</w:t>
      </w:r>
      <w:r w:rsidRPr="009D3012">
        <w:rPr>
          <w:bCs/>
        </w:rPr>
        <w:t xml:space="preserve"> and </w:t>
      </w:r>
      <w:r w:rsidRPr="009D3012">
        <w:rPr>
          <w:rStyle w:val="CCMCvariableitalic"/>
          <w:bCs/>
        </w:rPr>
        <w:t>b</w:t>
      </w:r>
      <w:r w:rsidRPr="009D3012">
        <w:rPr>
          <w:rStyle w:val="CCMCvariablesubscript"/>
          <w:bCs/>
        </w:rPr>
        <w:t>bmax</w:t>
      </w:r>
    </w:p>
    <w:p w14:paraId="537D5542" w14:textId="1E6B9FD6" w:rsidR="004E22C1" w:rsidRDefault="004E22C1" w:rsidP="00D50CCA">
      <w:pPr>
        <w:pStyle w:val="FigureText"/>
        <w:rPr>
          <w:bCs/>
        </w:rPr>
      </w:pPr>
      <w:r w:rsidRPr="009D3012">
        <w:rPr>
          <w:bCs/>
        </w:rPr>
        <w:t xml:space="preserve">c) definition of width </w:t>
      </w:r>
      <w:r w:rsidRPr="009D3012">
        <w:rPr>
          <w:rStyle w:val="CCMCvariableitalic"/>
          <w:bCs/>
        </w:rPr>
        <w:t>b</w:t>
      </w:r>
      <w:r w:rsidRPr="009D3012">
        <w:rPr>
          <w:rStyle w:val="CCMCvariablesubscript"/>
          <w:bCs/>
        </w:rPr>
        <w:t>e</w:t>
      </w:r>
      <w:r w:rsidRPr="009D3012">
        <w:rPr>
          <w:bCs/>
        </w:rPr>
        <w:t xml:space="preserve"> for an edge columns</w:t>
      </w:r>
    </w:p>
    <w:p w14:paraId="3844E4D7" w14:textId="45AAEF11" w:rsidR="00A46F70" w:rsidRPr="003F0CF8" w:rsidRDefault="006D3F6F" w:rsidP="00A46F70">
      <w:pPr>
        <w:pStyle w:val="KeyText"/>
        <w:rPr>
          <w:i/>
        </w:rPr>
      </w:pPr>
      <w:r w:rsidRPr="009D3012">
        <w:rPr>
          <w:b/>
        </w:rPr>
        <w:t>Key</w:t>
      </w:r>
    </w:p>
    <w:tbl>
      <w:tblPr>
        <w:tblW w:w="0" w:type="auto"/>
        <w:tblInd w:w="-100" w:type="dxa"/>
        <w:tblCellMar>
          <w:left w:w="100" w:type="dxa"/>
        </w:tblCellMar>
        <w:tblLook w:val="0000" w:firstRow="0" w:lastRow="0" w:firstColumn="0" w:lastColumn="0" w:noHBand="0" w:noVBand="0"/>
      </w:tblPr>
      <w:tblGrid>
        <w:gridCol w:w="470"/>
        <w:gridCol w:w="4906"/>
      </w:tblGrid>
      <w:tr w:rsidR="00A46F70" w:rsidRPr="00A46F70" w14:paraId="063D9356" w14:textId="77777777" w:rsidTr="00A46F70">
        <w:tc>
          <w:tcPr>
            <w:tcW w:w="0" w:type="auto"/>
            <w:shd w:val="clear" w:color="auto" w:fill="auto"/>
          </w:tcPr>
          <w:p w14:paraId="2AF982A7" w14:textId="77777777" w:rsidR="00A46F70" w:rsidRPr="00A46F70" w:rsidRDefault="00A46F70" w:rsidP="00A46F70">
            <w:pPr>
              <w:pStyle w:val="KeyText"/>
              <w:tabs>
                <w:tab w:val="clear" w:pos="346"/>
              </w:tabs>
              <w:ind w:left="0" w:firstLine="0"/>
            </w:pPr>
            <w:r w:rsidRPr="00A46F70">
              <w:rPr>
                <w:i/>
              </w:rPr>
              <w:t>V</w:t>
            </w:r>
            <w:r w:rsidRPr="00A46F70">
              <w:rPr>
                <w:rStyle w:val="CCMCvariablesubscript"/>
              </w:rPr>
              <w:t>Ed</w:t>
            </w:r>
          </w:p>
        </w:tc>
        <w:tc>
          <w:tcPr>
            <w:tcW w:w="0" w:type="auto"/>
            <w:shd w:val="clear" w:color="auto" w:fill="auto"/>
          </w:tcPr>
          <w:p w14:paraId="41160EAB" w14:textId="6FBCDCC3" w:rsidR="00A46F70" w:rsidRPr="00A46F70" w:rsidRDefault="00A46F70" w:rsidP="00A46F70">
            <w:pPr>
              <w:pStyle w:val="KeyText"/>
              <w:tabs>
                <w:tab w:val="clear" w:pos="346"/>
              </w:tabs>
              <w:ind w:left="0" w:firstLine="0"/>
            </w:pPr>
            <w:r>
              <w:t>r</w:t>
            </w:r>
            <w:r w:rsidRPr="00A46F70">
              <w:t>esultant of shear forces</w:t>
            </w:r>
          </w:p>
        </w:tc>
      </w:tr>
      <w:tr w:rsidR="00A46F70" w:rsidRPr="00A46F70" w14:paraId="52055488" w14:textId="77777777" w:rsidTr="00A46F70">
        <w:tc>
          <w:tcPr>
            <w:tcW w:w="0" w:type="auto"/>
            <w:shd w:val="clear" w:color="auto" w:fill="auto"/>
          </w:tcPr>
          <w:p w14:paraId="0349FC39" w14:textId="77777777" w:rsidR="00A46F70" w:rsidRPr="00A46F70" w:rsidRDefault="00A46F70" w:rsidP="00A46F70">
            <w:pPr>
              <w:pStyle w:val="KeyText"/>
              <w:tabs>
                <w:tab w:val="clear" w:pos="346"/>
              </w:tabs>
              <w:ind w:left="0" w:firstLine="0"/>
            </w:pPr>
            <w:r w:rsidRPr="00A46F70">
              <w:t>1</w:t>
            </w:r>
          </w:p>
        </w:tc>
        <w:tc>
          <w:tcPr>
            <w:tcW w:w="0" w:type="auto"/>
            <w:shd w:val="clear" w:color="auto" w:fill="auto"/>
          </w:tcPr>
          <w:p w14:paraId="485DD01A" w14:textId="06EF9E07" w:rsidR="00A46F70" w:rsidRPr="00A46F70" w:rsidRDefault="00A46F70" w:rsidP="00A46F70">
            <w:pPr>
              <w:pStyle w:val="KeyText"/>
              <w:tabs>
                <w:tab w:val="clear" w:pos="346"/>
              </w:tabs>
              <w:ind w:left="0" w:firstLine="0"/>
            </w:pPr>
            <w:r>
              <w:t>s</w:t>
            </w:r>
            <w:r w:rsidRPr="00A46F70">
              <w:t>implified control perimeter for calculating its centroid</w:t>
            </w:r>
          </w:p>
        </w:tc>
      </w:tr>
      <w:tr w:rsidR="00A46F70" w:rsidRPr="00A46F70" w14:paraId="00B2BAA8" w14:textId="77777777" w:rsidTr="00A46F70">
        <w:tc>
          <w:tcPr>
            <w:tcW w:w="0" w:type="auto"/>
            <w:shd w:val="clear" w:color="auto" w:fill="auto"/>
          </w:tcPr>
          <w:p w14:paraId="3188C325" w14:textId="77777777" w:rsidR="00A46F70" w:rsidRPr="00A46F70" w:rsidRDefault="00A46F70" w:rsidP="00A46F70">
            <w:pPr>
              <w:pStyle w:val="KeyText"/>
              <w:tabs>
                <w:tab w:val="clear" w:pos="346"/>
              </w:tabs>
              <w:ind w:left="0" w:firstLine="0"/>
            </w:pPr>
            <w:r w:rsidRPr="00A46F70">
              <w:t xml:space="preserve">2 </w:t>
            </w:r>
          </w:p>
        </w:tc>
        <w:tc>
          <w:tcPr>
            <w:tcW w:w="0" w:type="auto"/>
            <w:shd w:val="clear" w:color="auto" w:fill="auto"/>
          </w:tcPr>
          <w:p w14:paraId="66B31ED5" w14:textId="37CAE32B" w:rsidR="00A46F70" w:rsidRPr="00A46F70" w:rsidRDefault="00A46F70" w:rsidP="00A46F70">
            <w:pPr>
              <w:pStyle w:val="KeyText"/>
              <w:tabs>
                <w:tab w:val="clear" w:pos="346"/>
              </w:tabs>
              <w:ind w:left="0" w:firstLine="0"/>
            </w:pPr>
            <w:r>
              <w:t>c</w:t>
            </w:r>
            <w:r w:rsidRPr="00A46F70">
              <w:t>entroid of full control perimeter</w:t>
            </w:r>
          </w:p>
        </w:tc>
      </w:tr>
      <w:tr w:rsidR="00A46F70" w:rsidRPr="00A46F70" w14:paraId="55FEE8ED" w14:textId="77777777" w:rsidTr="00A46F70">
        <w:tc>
          <w:tcPr>
            <w:tcW w:w="0" w:type="auto"/>
            <w:shd w:val="clear" w:color="auto" w:fill="auto"/>
          </w:tcPr>
          <w:p w14:paraId="63AF7A5F" w14:textId="77777777" w:rsidR="00A46F70" w:rsidRPr="00A46F70" w:rsidRDefault="00A46F70" w:rsidP="00A46F70">
            <w:pPr>
              <w:pStyle w:val="KeyText"/>
              <w:tabs>
                <w:tab w:val="clear" w:pos="346"/>
              </w:tabs>
              <w:ind w:left="0" w:firstLine="0"/>
            </w:pPr>
            <w:r w:rsidRPr="00A46F70">
              <w:t>3</w:t>
            </w:r>
          </w:p>
        </w:tc>
        <w:tc>
          <w:tcPr>
            <w:tcW w:w="0" w:type="auto"/>
            <w:shd w:val="clear" w:color="auto" w:fill="auto"/>
          </w:tcPr>
          <w:p w14:paraId="5DF68952" w14:textId="400F7E1B" w:rsidR="00A46F70" w:rsidRPr="00A46F70" w:rsidRDefault="00A46F70" w:rsidP="00A46F70">
            <w:pPr>
              <w:pStyle w:val="KeyText"/>
              <w:tabs>
                <w:tab w:val="clear" w:pos="346"/>
              </w:tabs>
              <w:ind w:left="0" w:firstLine="0"/>
            </w:pPr>
            <w:r>
              <w:t>s</w:t>
            </w:r>
            <w:r w:rsidRPr="00A46F70">
              <w:t>lab edge</w:t>
            </w:r>
          </w:p>
        </w:tc>
      </w:tr>
      <w:tr w:rsidR="00A46F70" w:rsidRPr="00A46F70" w14:paraId="7FC9CF8D" w14:textId="77777777" w:rsidTr="00A46F70">
        <w:tc>
          <w:tcPr>
            <w:tcW w:w="0" w:type="auto"/>
            <w:shd w:val="clear" w:color="auto" w:fill="auto"/>
          </w:tcPr>
          <w:p w14:paraId="2F3AB9A5" w14:textId="77777777" w:rsidR="00A46F70" w:rsidRPr="00A46F70" w:rsidRDefault="00A46F70" w:rsidP="00A46F70">
            <w:pPr>
              <w:pStyle w:val="KeyText"/>
              <w:tabs>
                <w:tab w:val="clear" w:pos="346"/>
              </w:tabs>
              <w:ind w:left="0" w:firstLine="0"/>
            </w:pPr>
            <w:r w:rsidRPr="00A46F70">
              <w:t>4</w:t>
            </w:r>
          </w:p>
        </w:tc>
        <w:tc>
          <w:tcPr>
            <w:tcW w:w="0" w:type="auto"/>
            <w:shd w:val="clear" w:color="auto" w:fill="auto"/>
          </w:tcPr>
          <w:p w14:paraId="7AF0B7D8" w14:textId="2DC4F004" w:rsidR="00A46F70" w:rsidRPr="00A46F70" w:rsidRDefault="00A46F70" w:rsidP="00A46F70">
            <w:pPr>
              <w:pStyle w:val="KeyText"/>
              <w:tabs>
                <w:tab w:val="clear" w:pos="346"/>
              </w:tabs>
              <w:ind w:left="0" w:firstLine="0"/>
            </w:pPr>
            <w:r>
              <w:t>c</w:t>
            </w:r>
            <w:r w:rsidRPr="00A46F70">
              <w:t>olumn</w:t>
            </w:r>
          </w:p>
        </w:tc>
      </w:tr>
      <w:tr w:rsidR="00A46F70" w:rsidRPr="009D3012" w14:paraId="42B57088" w14:textId="77777777" w:rsidTr="00A46F70">
        <w:tc>
          <w:tcPr>
            <w:tcW w:w="0" w:type="auto"/>
            <w:shd w:val="clear" w:color="auto" w:fill="auto"/>
          </w:tcPr>
          <w:p w14:paraId="7C2C5E9D" w14:textId="77777777" w:rsidR="00A46F70" w:rsidRPr="00A46F70" w:rsidRDefault="00A46F70" w:rsidP="00A46F70">
            <w:pPr>
              <w:pStyle w:val="KeyText"/>
              <w:tabs>
                <w:tab w:val="clear" w:pos="346"/>
              </w:tabs>
              <w:ind w:left="0" w:firstLine="0"/>
            </w:pPr>
            <w:r w:rsidRPr="00A46F70">
              <w:t>5</w:t>
            </w:r>
          </w:p>
        </w:tc>
        <w:tc>
          <w:tcPr>
            <w:tcW w:w="0" w:type="auto"/>
            <w:shd w:val="clear" w:color="auto" w:fill="auto"/>
          </w:tcPr>
          <w:p w14:paraId="4D3699C1" w14:textId="518A152D" w:rsidR="00A46F70" w:rsidRPr="009D3012" w:rsidRDefault="00A46F70" w:rsidP="00A46F70">
            <w:pPr>
              <w:pStyle w:val="KeyText"/>
              <w:tabs>
                <w:tab w:val="clear" w:pos="346"/>
              </w:tabs>
              <w:ind w:left="0" w:firstLine="0"/>
            </w:pPr>
            <w:r>
              <w:t>c</w:t>
            </w:r>
            <w:r w:rsidRPr="00A46F70">
              <w:t>ontrol perimeter</w:t>
            </w:r>
          </w:p>
        </w:tc>
      </w:tr>
    </w:tbl>
    <w:p w14:paraId="470999A7" w14:textId="1F020153" w:rsidR="006D3F6F" w:rsidRPr="009D3012" w:rsidRDefault="006D3F6F" w:rsidP="00A46F70">
      <w:pPr>
        <w:pStyle w:val="KeyText"/>
      </w:pPr>
    </w:p>
    <w:p w14:paraId="0A3CA6B0" w14:textId="77777777" w:rsidR="004E22C1" w:rsidRPr="001455DC" w:rsidRDefault="004E22C1" w:rsidP="00D50CCA">
      <w:pPr>
        <w:pStyle w:val="Figuretitle"/>
      </w:pPr>
      <w:r w:rsidRPr="001455DC">
        <w:t>Figure 8.21 — Eccentricity and control perimeter at edge columns for Table 8.3</w:t>
      </w:r>
    </w:p>
    <w:p w14:paraId="464DEECB" w14:textId="77777777" w:rsidR="004F2CDC" w:rsidRPr="001455DC" w:rsidRDefault="004E22C1" w:rsidP="008D37B2">
      <w:pPr>
        <w:pStyle w:val="a7"/>
        <w:keepNext/>
        <w:rPr>
          <w:lang w:eastAsia="de-CH"/>
        </w:rPr>
      </w:pPr>
      <w:r w:rsidRPr="001455DC">
        <w:t>(7)</w:t>
      </w:r>
      <w:r w:rsidRPr="001455DC">
        <w:tab/>
        <w:t xml:space="preserve">The design shear stress </w:t>
      </w:r>
      <w:r w:rsidRPr="001455DC">
        <w:rPr>
          <w:rStyle w:val="CCMCvariableitalic"/>
        </w:rPr>
        <w:t>τ</w:t>
      </w:r>
      <w:r w:rsidRPr="001455DC">
        <w:rPr>
          <w:rStyle w:val="CCMCvariablesubscript"/>
        </w:rPr>
        <w:t>Ed</w:t>
      </w:r>
      <w:r w:rsidRPr="001455DC">
        <w:t xml:space="preserve"> may also be calculated directly from a detailed analysis of the shear stress distribution along the control perimeter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F2CDC" w:rsidRPr="001455DC" w14:paraId="758B6523" w14:textId="77777777" w:rsidTr="004F2CDC">
        <w:trPr>
          <w:cantSplit/>
        </w:trPr>
        <w:tc>
          <w:tcPr>
            <w:tcW w:w="8505" w:type="dxa"/>
            <w:vAlign w:val="center"/>
          </w:tcPr>
          <w:p w14:paraId="36CEAF99" w14:textId="286879DE" w:rsidR="004F2CDC" w:rsidRPr="001455DC" w:rsidRDefault="00231E33" w:rsidP="004F2CDC">
            <w:pPr>
              <w:pStyle w:val="Formula"/>
              <w:jc w:val="left"/>
            </w:pPr>
            <m:oMathPara>
              <m:oMathParaPr>
                <m:jc m:val="left"/>
              </m:oMathParaPr>
              <m:oMath>
                <m:sSub>
                  <m:sSubPr>
                    <m:ctrlPr>
                      <w:rPr>
                        <w:rFonts w:ascii="Cambria Math" w:hAnsi="Cambria Math"/>
                      </w:rPr>
                    </m:ctrlPr>
                  </m:sSubPr>
                  <m:e>
                    <m:r>
                      <w:rPr>
                        <w:rFonts w:ascii="Cambria Math" w:hAnsi="Cambria Math"/>
                      </w:rPr>
                      <m:t>τ</m:t>
                    </m:r>
                  </m:e>
                  <m:sub>
                    <m:r>
                      <m:rPr>
                        <m:sty m:val="p"/>
                      </m:rPr>
                      <w:rPr>
                        <w:rFonts w:ascii="Cambria Math" w:hAnsi="Cambria Math"/>
                      </w:rPr>
                      <m:t>Ed</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Ed</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v</m:t>
                        </m:r>
                      </m:sub>
                    </m:sSub>
                  </m:den>
                </m:f>
              </m:oMath>
            </m:oMathPara>
          </w:p>
        </w:tc>
        <w:tc>
          <w:tcPr>
            <w:tcW w:w="1247" w:type="dxa"/>
            <w:vAlign w:val="center"/>
          </w:tcPr>
          <w:p w14:paraId="32334FDB" w14:textId="58CF50F0" w:rsidR="004F2CDC" w:rsidRPr="001455DC" w:rsidRDefault="00C16899">
            <w:pPr>
              <w:pStyle w:val="a7"/>
              <w:jc w:val="right"/>
            </w:pPr>
            <w:r w:rsidRPr="001455DC">
              <w:t>(8.</w:t>
            </w:r>
            <w:r w:rsidR="00590712" w:rsidRPr="001455DC">
              <w:t>77</w:t>
            </w:r>
            <w:r w:rsidRPr="001455DC">
              <w:t>)</w:t>
            </w:r>
          </w:p>
        </w:tc>
      </w:tr>
    </w:tbl>
    <w:p w14:paraId="71FF82F8" w14:textId="77777777" w:rsidR="004E22C1" w:rsidRPr="001455DC" w:rsidRDefault="004E22C1" w:rsidP="00CD6899">
      <w:pPr>
        <w:pStyle w:val="a7"/>
      </w:pPr>
      <w:r w:rsidRPr="001455DC">
        <w:t xml:space="preserve">where the shear force per unit width </w:t>
      </w:r>
      <w:r w:rsidRPr="001455DC">
        <w:rPr>
          <w:rStyle w:val="CCMCvariableitalic"/>
        </w:rPr>
        <w:t>v</w:t>
      </w:r>
      <w:r w:rsidRPr="001455DC">
        <w:rPr>
          <w:rStyle w:val="CCMCvariablesubscript"/>
        </w:rPr>
        <w:t>Ed</w:t>
      </w:r>
      <w:r w:rsidRPr="001455DC">
        <w:t xml:space="preserve"> may be averaged according to 8.2.1(6).</w:t>
      </w:r>
    </w:p>
    <w:p w14:paraId="72506425" w14:textId="3493D9ED" w:rsidR="004E22C1" w:rsidRPr="001455DC" w:rsidRDefault="004E22C1" w:rsidP="004F2CDC">
      <w:pPr>
        <w:pStyle w:val="Note"/>
      </w:pPr>
      <w:r w:rsidRPr="001455DC">
        <w:t>NOTE</w:t>
      </w:r>
      <w:r w:rsidR="004543C9">
        <w:t xml:space="preserve"> </w:t>
      </w:r>
      <w:r w:rsidRPr="001455DC">
        <w:tab/>
        <w:t xml:space="preserve">For </w:t>
      </w:r>
      <w:r w:rsidRPr="001455DC">
        <w:rPr>
          <w:rStyle w:val="CCMCvariableitalic"/>
        </w:rPr>
        <w:t>d</w:t>
      </w:r>
      <w:r w:rsidRPr="001455DC">
        <w:rPr>
          <w:rStyle w:val="CCMCvariablesubscript"/>
        </w:rPr>
        <w:t>v</w:t>
      </w:r>
      <w:r w:rsidRPr="001455DC">
        <w:t xml:space="preserve"> see 8.4.2(6).</w:t>
      </w:r>
    </w:p>
    <w:p w14:paraId="111EC99E" w14:textId="4046E080" w:rsidR="004E22C1" w:rsidRPr="001455DC" w:rsidRDefault="004E22C1" w:rsidP="00CD6899">
      <w:pPr>
        <w:pStyle w:val="a7"/>
      </w:pPr>
      <w:r w:rsidRPr="001455DC">
        <w:t>(8)</w:t>
      </w:r>
      <w:r w:rsidRPr="001455DC">
        <w:tab/>
        <w:t>In cases where significant concentrated loads (</w:t>
      </w:r>
      <w:r w:rsidR="00650035" w:rsidRPr="001455DC">
        <w:rPr>
          <w:rFonts w:ascii="Cambria Math" w:hAnsi="Cambria Math"/>
        </w:rPr>
        <w:t>≥</w:t>
      </w:r>
      <w:r w:rsidR="00073FC6" w:rsidRPr="001455DC">
        <w:t> </w:t>
      </w:r>
      <w:r w:rsidRPr="001455DC">
        <w:t>0,2</w:t>
      </w:r>
      <w:r w:rsidRPr="001455DC">
        <w:rPr>
          <w:rStyle w:val="CCMCvariableitalic"/>
        </w:rPr>
        <w:t>V</w:t>
      </w:r>
      <w:r w:rsidRPr="001455DC">
        <w:rPr>
          <w:rStyle w:val="CCMCvariablesubscript"/>
        </w:rPr>
        <w:t>Ed</w:t>
      </w:r>
      <w:r w:rsidRPr="001455DC">
        <w:t>) are applied near the supported area (closer than 3</w:t>
      </w:r>
      <w:r w:rsidRPr="001455DC">
        <w:rPr>
          <w:rStyle w:val="CCMCvariableitalic"/>
        </w:rPr>
        <w:t>d</w:t>
      </w:r>
      <w:r w:rsidRPr="001455DC">
        <w:rPr>
          <w:rStyle w:val="CCMCvariablesubscript"/>
        </w:rPr>
        <w:t>v</w:t>
      </w:r>
      <w:r w:rsidRPr="001455DC">
        <w:t xml:space="preserve"> from the control perimeter) or for cases not covered by (6) to (7), the design shear stress </w:t>
      </w:r>
      <w:r w:rsidRPr="001455DC">
        <w:rPr>
          <w:rStyle w:val="CCMCvariableitalic"/>
        </w:rPr>
        <w:t>τ</w:t>
      </w:r>
      <w:r w:rsidRPr="001455DC">
        <w:rPr>
          <w:rStyle w:val="CCMCvariablesubscript"/>
        </w:rPr>
        <w:t>Ed</w:t>
      </w:r>
      <w:r w:rsidRPr="001455DC">
        <w:t xml:space="preserve"> (average value over the depth) may be calculated at the location of the control perimeter by using a method accounting for equilibrium and compatibility conditions of the slab (for instance, linear elastic analysis).</w:t>
      </w:r>
    </w:p>
    <w:p w14:paraId="652974B5" w14:textId="77777777" w:rsidR="004E22C1" w:rsidRPr="001455DC" w:rsidRDefault="004E22C1" w:rsidP="00CD6899">
      <w:pPr>
        <w:pStyle w:val="a7"/>
      </w:pPr>
      <w:r w:rsidRPr="001455DC">
        <w:t>(9)</w:t>
      </w:r>
      <w:r w:rsidRPr="001455DC">
        <w:tab/>
        <w:t>In case of concentrations of shear forces, the maximum value may be averaged over a width not larger than 2</w:t>
      </w:r>
      <w:r w:rsidRPr="001455DC">
        <w:rPr>
          <w:rStyle w:val="CCMCvariableitalic"/>
        </w:rPr>
        <w:t>d</w:t>
      </w:r>
      <w:r w:rsidRPr="001455DC">
        <w:rPr>
          <w:rStyle w:val="CCMCvariablesubscript"/>
        </w:rPr>
        <w:t>v</w:t>
      </w:r>
      <w:r w:rsidRPr="001455DC">
        <w:t xml:space="preserve"> on both sides from the peak of the shear force.</w:t>
      </w:r>
    </w:p>
    <w:p w14:paraId="026F3A72" w14:textId="0ED22723" w:rsidR="004E22C1" w:rsidRPr="001455DC" w:rsidRDefault="004E22C1" w:rsidP="00243590">
      <w:pPr>
        <w:pStyle w:val="31"/>
      </w:pPr>
      <w:bookmarkStart w:id="621" w:name="_Toc52819992"/>
      <w:bookmarkStart w:id="622" w:name="_Toc54337387"/>
      <w:bookmarkStart w:id="623" w:name="_Toc54338048"/>
      <w:bookmarkStart w:id="624" w:name="_Toc67565396"/>
      <w:r w:rsidRPr="001455DC">
        <w:t>Punching shear resistance of slabs without shear reinforcement</w:t>
      </w:r>
      <w:bookmarkEnd w:id="621"/>
      <w:bookmarkEnd w:id="622"/>
      <w:bookmarkEnd w:id="623"/>
      <w:bookmarkEnd w:id="624"/>
    </w:p>
    <w:p w14:paraId="482D02D3" w14:textId="77777777" w:rsidR="004F2CDC" w:rsidRPr="001455DC" w:rsidRDefault="004E22C1" w:rsidP="00A35599">
      <w:pPr>
        <w:pStyle w:val="a7"/>
        <w:keepNext/>
        <w:rPr>
          <w:lang w:eastAsia="de-CH"/>
        </w:rPr>
      </w:pPr>
      <w:r w:rsidRPr="001455DC">
        <w:t>(1)</w:t>
      </w:r>
      <w:r w:rsidRPr="001455DC">
        <w:tab/>
        <w:t>The design punching shear stress resistance shall be calculated as follows: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F2CDC" w:rsidRPr="001455DC" w14:paraId="055485C4" w14:textId="77777777" w:rsidTr="004F2CDC">
        <w:trPr>
          <w:cantSplit/>
        </w:trPr>
        <w:tc>
          <w:tcPr>
            <w:tcW w:w="8505" w:type="dxa"/>
            <w:vAlign w:val="center"/>
          </w:tcPr>
          <w:p w14:paraId="01D23545" w14:textId="3C618AF1" w:rsidR="004F2CDC" w:rsidRPr="001455DC" w:rsidRDefault="00231E33" w:rsidP="004F2CDC">
            <w:pPr>
              <w:pStyle w:val="Formula"/>
              <w:jc w:val="left"/>
            </w:pPr>
            <m:oMathPara>
              <m:oMathParaPr>
                <m:jc m:val="left"/>
              </m:oMathParaPr>
              <m:oMath>
                <m:sSub>
                  <m:sSubPr>
                    <m:ctrlPr>
                      <w:rPr>
                        <w:rFonts w:ascii="Cambria Math" w:hAnsi="Cambria Math"/>
                      </w:rPr>
                    </m:ctrlPr>
                  </m:sSubPr>
                  <m:e>
                    <m:r>
                      <w:rPr>
                        <w:rFonts w:ascii="Cambria Math" w:hAnsi="Cambria Math"/>
                      </w:rPr>
                      <m:t>τ</m:t>
                    </m:r>
                  </m:e>
                  <m:sub>
                    <m:r>
                      <m:rPr>
                        <m:sty m:val="p"/>
                      </m:rPr>
                      <w:rPr>
                        <w:rFonts w:ascii="Cambria Math" w:hAnsi="Cambria Math"/>
                      </w:rPr>
                      <m:t>Rd,c</m:t>
                    </m:r>
                  </m:sub>
                </m:sSub>
                <m:r>
                  <w:rPr>
                    <w:rFonts w:ascii="Cambria Math" w:hAnsi="Cambria Math"/>
                  </w:rPr>
                  <m:t>=</m:t>
                </m:r>
                <m:f>
                  <m:fPr>
                    <m:ctrlPr>
                      <w:rPr>
                        <w:rFonts w:ascii="Cambria Math" w:hAnsi="Cambria Math"/>
                      </w:rPr>
                    </m:ctrlPr>
                  </m:fPr>
                  <m:num>
                    <m:r>
                      <w:rPr>
                        <w:rFonts w:ascii="Cambria Math" w:hAnsi="Cambria Math"/>
                      </w:rPr>
                      <m:t>0,6</m:t>
                    </m:r>
                  </m:num>
                  <m:den>
                    <m:sSub>
                      <m:sSubPr>
                        <m:ctrlPr>
                          <w:rPr>
                            <w:rFonts w:ascii="Cambria Math" w:hAnsi="Cambria Math"/>
                          </w:rPr>
                        </m:ctrlPr>
                      </m:sSubPr>
                      <m:e>
                        <m:r>
                          <w:rPr>
                            <w:rFonts w:ascii="Cambria Math" w:hAnsi="Cambria Math"/>
                          </w:rPr>
                          <m:t>γ</m:t>
                        </m:r>
                      </m:e>
                      <m:sub>
                        <m:r>
                          <m:rPr>
                            <m:sty m:val="p"/>
                          </m:rPr>
                          <w:rPr>
                            <w:rFonts w:ascii="Cambria Math" w:hAnsi="Cambria Math"/>
                          </w:rPr>
                          <m:t>V</m:t>
                        </m:r>
                      </m:sub>
                    </m:sSub>
                  </m:den>
                </m:f>
                <m: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pb</m:t>
                    </m:r>
                  </m:sub>
                </m:sSub>
                <m:sSup>
                  <m:sSupPr>
                    <m:ctrlPr>
                      <w:rPr>
                        <w:rFonts w:ascii="Cambria Math" w:hAnsi="Cambria Math"/>
                      </w:rPr>
                    </m:ctrlPr>
                  </m:sSupPr>
                  <m:e>
                    <m:d>
                      <m:dPr>
                        <m:ctrlPr>
                          <w:rPr>
                            <w:rFonts w:ascii="Cambria Math" w:hAnsi="Cambria Math"/>
                          </w:rPr>
                        </m:ctrlPr>
                      </m:dPr>
                      <m:e>
                        <m:r>
                          <w:rPr>
                            <w:rFonts w:ascii="Cambria Math" w:hAnsi="Cambria Math"/>
                          </w:rPr>
                          <m:t xml:space="preserve">100 </m:t>
                        </m:r>
                        <m:sSub>
                          <m:sSubPr>
                            <m:ctrlPr>
                              <w:rPr>
                                <w:rFonts w:ascii="Cambria Math" w:hAnsi="Cambria Math"/>
                              </w:rPr>
                            </m:ctrlPr>
                          </m:sSubPr>
                          <m:e>
                            <m:r>
                              <w:rPr>
                                <w:rFonts w:ascii="Cambria Math" w:hAnsi="Cambria Math"/>
                              </w:rPr>
                              <m:t>ρ</m:t>
                            </m:r>
                          </m:e>
                          <m:sub>
                            <m:r>
                              <m:rPr>
                                <m:sty m:val="p"/>
                              </m:rPr>
                              <w:rPr>
                                <w:rFonts w:ascii="Cambria Math" w:hAnsi="Cambria Math"/>
                              </w:rPr>
                              <m:t>l</m:t>
                            </m:r>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ck</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dg</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v</m:t>
                                </m:r>
                              </m:sub>
                            </m:sSub>
                          </m:den>
                        </m:f>
                      </m:e>
                    </m:d>
                  </m:e>
                  <m:sup>
                    <m:f>
                      <m:fPr>
                        <m:ctrlPr>
                          <w:rPr>
                            <w:rFonts w:ascii="Cambria Math" w:hAnsi="Cambria Math"/>
                          </w:rPr>
                        </m:ctrlPr>
                      </m:fPr>
                      <m:num>
                        <m:r>
                          <w:rPr>
                            <w:rFonts w:ascii="Cambria Math" w:hAnsi="Cambria Math"/>
                          </w:rPr>
                          <m:t>1</m:t>
                        </m:r>
                      </m:num>
                      <m:den>
                        <m:r>
                          <w:rPr>
                            <w:rFonts w:ascii="Cambria Math" w:hAnsi="Cambria Math"/>
                          </w:rPr>
                          <m:t>3</m:t>
                        </m:r>
                      </m:den>
                    </m:f>
                  </m:sup>
                </m:sSup>
                <m:r>
                  <w:rPr>
                    <w:rFonts w:ascii="Cambria Math" w:hAnsi="Cambria Math"/>
                  </w:rPr>
                  <m:t>≤</m:t>
                </m:r>
                <m:f>
                  <m:fPr>
                    <m:ctrlPr>
                      <w:rPr>
                        <w:rFonts w:ascii="Cambria Math" w:hAnsi="Cambria Math"/>
                      </w:rPr>
                    </m:ctrlPr>
                  </m:fPr>
                  <m:num>
                    <m:r>
                      <w:rPr>
                        <w:rFonts w:ascii="Cambria Math" w:hAnsi="Cambria Math"/>
                      </w:rPr>
                      <m:t>0,6</m:t>
                    </m:r>
                  </m:num>
                  <m:den>
                    <m:sSub>
                      <m:sSubPr>
                        <m:ctrlPr>
                          <w:rPr>
                            <w:rFonts w:ascii="Cambria Math" w:hAnsi="Cambria Math"/>
                          </w:rPr>
                        </m:ctrlPr>
                      </m:sSubPr>
                      <m:e>
                        <m:r>
                          <w:rPr>
                            <w:rFonts w:ascii="Cambria Math" w:hAnsi="Cambria Math"/>
                          </w:rPr>
                          <m:t>γ</m:t>
                        </m:r>
                      </m:e>
                      <m:sub>
                        <m:r>
                          <m:rPr>
                            <m:sty m:val="p"/>
                          </m:rPr>
                          <w:rPr>
                            <w:rFonts w:ascii="Cambria Math" w:hAnsi="Cambria Math"/>
                          </w:rPr>
                          <m:t>V</m:t>
                        </m:r>
                      </m:sub>
                    </m:sSub>
                  </m:den>
                </m:f>
                <m: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w:rPr>
                            <w:rFonts w:ascii="Cambria Math" w:hAnsi="Cambria Math"/>
                          </w:rPr>
                          <m:t>f</m:t>
                        </m:r>
                      </m:e>
                      <m:sub>
                        <m:r>
                          <m:rPr>
                            <m:sty m:val="p"/>
                          </m:rPr>
                          <w:rPr>
                            <w:rFonts w:ascii="Cambria Math" w:hAnsi="Cambria Math"/>
                          </w:rPr>
                          <m:t>ck</m:t>
                        </m:r>
                      </m:sub>
                    </m:sSub>
                  </m:e>
                </m:rad>
              </m:oMath>
            </m:oMathPara>
          </w:p>
        </w:tc>
        <w:tc>
          <w:tcPr>
            <w:tcW w:w="1247" w:type="dxa"/>
            <w:vAlign w:val="center"/>
          </w:tcPr>
          <w:p w14:paraId="785238A8" w14:textId="2460EB25" w:rsidR="004F2CDC" w:rsidRPr="001455DC" w:rsidRDefault="00321313">
            <w:pPr>
              <w:pStyle w:val="a7"/>
              <w:jc w:val="right"/>
            </w:pPr>
            <w:r w:rsidRPr="001455DC">
              <w:t>(8.</w:t>
            </w:r>
            <w:r w:rsidR="00590712" w:rsidRPr="001455DC">
              <w:t>78</w:t>
            </w:r>
            <w:r w:rsidRPr="001455DC">
              <w:t>)</w:t>
            </w:r>
          </w:p>
        </w:tc>
      </w:tr>
    </w:tbl>
    <w:p w14:paraId="3FAC1513" w14:textId="77777777" w:rsidR="004F2CDC" w:rsidRPr="001455DC" w:rsidRDefault="004E22C1" w:rsidP="00A35599">
      <w:pPr>
        <w:pStyle w:val="a7"/>
        <w:keepNext/>
        <w:rPr>
          <w:lang w:eastAsia="de-CH"/>
        </w:rPr>
      </w:pPr>
      <w:r w:rsidRPr="001455DC">
        <w:t>where</w:t>
      </w:r>
    </w:p>
    <w:tbl>
      <w:tblPr>
        <w:tblW w:w="9413" w:type="dxa"/>
        <w:tblInd w:w="397" w:type="dxa"/>
        <w:tblLayout w:type="fixed"/>
        <w:tblCellMar>
          <w:left w:w="28" w:type="dxa"/>
          <w:right w:w="28" w:type="dxa"/>
        </w:tblCellMar>
        <w:tblLook w:val="04A0" w:firstRow="1" w:lastRow="0" w:firstColumn="1" w:lastColumn="0" w:noHBand="0" w:noVBand="1"/>
      </w:tblPr>
      <w:tblGrid>
        <w:gridCol w:w="851"/>
        <w:gridCol w:w="7314"/>
        <w:gridCol w:w="1248"/>
      </w:tblGrid>
      <w:tr w:rsidR="00F06D26" w:rsidRPr="001455DC" w14:paraId="7B714E46" w14:textId="77777777" w:rsidTr="00F06D26">
        <w:trPr>
          <w:cantSplit/>
        </w:trPr>
        <w:tc>
          <w:tcPr>
            <w:tcW w:w="8166" w:type="dxa"/>
            <w:gridSpan w:val="2"/>
          </w:tcPr>
          <w:p w14:paraId="5CACCCA0" w14:textId="53977F9E" w:rsidR="00F06D26" w:rsidRPr="001455DC" w:rsidRDefault="00231E33" w:rsidP="006E79E6">
            <w:pPr>
              <w:pStyle w:val="Tablebody"/>
            </w:pPr>
            <m:oMathPara>
              <m:oMathParaPr>
                <m:jc m:val="left"/>
              </m:oMathParaPr>
              <m:oMath>
                <m:sSub>
                  <m:sSubPr>
                    <m:ctrlPr>
                      <w:rPr>
                        <w:rFonts w:ascii="Cambria Math" w:hAnsi="Cambria Math"/>
                      </w:rPr>
                    </m:ctrlPr>
                  </m:sSubPr>
                  <m:e>
                    <m:r>
                      <w:rPr>
                        <w:rFonts w:ascii="Cambria Math" w:hAnsi="Cambria Math"/>
                      </w:rPr>
                      <m:t>ρ</m:t>
                    </m:r>
                  </m:e>
                  <m:sub>
                    <m:r>
                      <w:rPr>
                        <w:rFonts w:ascii="Cambria Math" w:hAnsi="Cambria Math"/>
                      </w:rPr>
                      <m:t>l</m:t>
                    </m:r>
                  </m:sub>
                </m:sSub>
                <m: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w:rPr>
                            <w:rFonts w:ascii="Cambria Math" w:hAnsi="Cambria Math"/>
                          </w:rPr>
                          <m:t>ρ</m:t>
                        </m:r>
                      </m:e>
                      <m:sub>
                        <m:r>
                          <m:rPr>
                            <m:sty m:val="p"/>
                          </m:rPr>
                          <w:rPr>
                            <w:rFonts w:ascii="Cambria Math" w:hAnsi="Cambria Math"/>
                          </w:rPr>
                          <m:t>l,x</m:t>
                        </m:r>
                      </m:sub>
                    </m:sSub>
                    <m:r>
                      <w:rPr>
                        <w:rFonts w:ascii="Cambria Math" w:hAnsi="Cambria Math"/>
                      </w:rPr>
                      <m:t>⋅</m:t>
                    </m:r>
                    <m:sSub>
                      <m:sSubPr>
                        <m:ctrlPr>
                          <w:rPr>
                            <w:rFonts w:ascii="Cambria Math" w:hAnsi="Cambria Math"/>
                          </w:rPr>
                        </m:ctrlPr>
                      </m:sSubPr>
                      <m:e>
                        <m:r>
                          <w:rPr>
                            <w:rFonts w:ascii="Cambria Math" w:hAnsi="Cambria Math"/>
                          </w:rPr>
                          <m:t>ρ</m:t>
                        </m:r>
                      </m:e>
                      <m:sub>
                        <m:r>
                          <m:rPr>
                            <m:sty m:val="p"/>
                          </m:rPr>
                          <w:rPr>
                            <w:rFonts w:ascii="Cambria Math" w:hAnsi="Cambria Math"/>
                          </w:rPr>
                          <m:t>l,y</m:t>
                        </m:r>
                      </m:sub>
                    </m:sSub>
                  </m:e>
                </m:rad>
              </m:oMath>
            </m:oMathPara>
          </w:p>
        </w:tc>
        <w:tc>
          <w:tcPr>
            <w:tcW w:w="1247" w:type="dxa"/>
          </w:tcPr>
          <w:p w14:paraId="6C32FF19" w14:textId="3529A9C2" w:rsidR="00F06D26" w:rsidRPr="001455DC" w:rsidRDefault="00F06D26">
            <w:pPr>
              <w:pStyle w:val="a7"/>
              <w:jc w:val="right"/>
            </w:pPr>
            <w:r w:rsidRPr="001455DC">
              <w:t>(8.</w:t>
            </w:r>
            <w:r w:rsidR="00590712" w:rsidRPr="001455DC">
              <w:t>79</w:t>
            </w:r>
            <w:r w:rsidRPr="001455DC">
              <w:t>)</w:t>
            </w:r>
          </w:p>
        </w:tc>
      </w:tr>
      <w:tr w:rsidR="00321313" w:rsidRPr="001455DC" w14:paraId="5475CCBD" w14:textId="77777777" w:rsidTr="00321313">
        <w:trPr>
          <w:cantSplit/>
        </w:trPr>
        <w:tc>
          <w:tcPr>
            <w:tcW w:w="851" w:type="dxa"/>
          </w:tcPr>
          <w:p w14:paraId="06418543" w14:textId="366BC84D" w:rsidR="00321313" w:rsidRPr="001455DC" w:rsidRDefault="00321313" w:rsidP="00321313">
            <w:pPr>
              <w:pStyle w:val="Tablebody"/>
            </w:pPr>
            <w:r w:rsidRPr="001455DC">
              <w:rPr>
                <w:rStyle w:val="CCMCvariableitalic"/>
              </w:rPr>
              <w:t>ρ</w:t>
            </w:r>
            <w:r w:rsidRPr="001455DC">
              <w:rPr>
                <w:rStyle w:val="CCMCvariablesubscript"/>
              </w:rPr>
              <w:t>l,x</w:t>
            </w:r>
            <w:r w:rsidRPr="001455DC">
              <w:t xml:space="preserve">, </w:t>
            </w:r>
            <w:r w:rsidRPr="001455DC">
              <w:rPr>
                <w:rStyle w:val="CCMCvariableitalic"/>
              </w:rPr>
              <w:t>ρ</w:t>
            </w:r>
            <w:r w:rsidRPr="001455DC">
              <w:rPr>
                <w:rStyle w:val="CCMCvariablesubscript"/>
              </w:rPr>
              <w:t>l,y</w:t>
            </w:r>
          </w:p>
        </w:tc>
        <w:tc>
          <w:tcPr>
            <w:tcW w:w="8562" w:type="dxa"/>
            <w:gridSpan w:val="2"/>
          </w:tcPr>
          <w:p w14:paraId="1AA203BB" w14:textId="1A623D9D" w:rsidR="00321313" w:rsidRPr="001455DC" w:rsidRDefault="00321313">
            <w:pPr>
              <w:pStyle w:val="Tablebody"/>
            </w:pPr>
            <w:r w:rsidRPr="001455DC">
              <w:t>are reinforcement ratios</w:t>
            </w:r>
            <w:r w:rsidR="00590712" w:rsidRPr="001455DC">
              <w:t xml:space="preserve"> of bonded flexural reinforcement</w:t>
            </w:r>
            <w:r w:rsidRPr="001455DC">
              <w:t xml:space="preserve"> in the </w:t>
            </w:r>
            <w:r w:rsidRPr="001455DC">
              <w:rPr>
                <w:rStyle w:val="CCMCvariableitalic"/>
              </w:rPr>
              <w:t>x</w:t>
            </w:r>
            <w:r w:rsidRPr="001455DC">
              <w:t xml:space="preserve">- and </w:t>
            </w:r>
            <w:r w:rsidRPr="001455DC">
              <w:rPr>
                <w:rStyle w:val="CCMCvariableitalic"/>
              </w:rPr>
              <w:t>y</w:t>
            </w:r>
            <w:r w:rsidRPr="001455DC">
              <w:t xml:space="preserve">-directions respectively. The values of </w:t>
            </w:r>
            <w:r w:rsidRPr="001455DC">
              <w:rPr>
                <w:rStyle w:val="CCMCvariableitalic"/>
              </w:rPr>
              <w:t>ρ</w:t>
            </w:r>
            <w:r w:rsidRPr="001455DC">
              <w:rPr>
                <w:rStyle w:val="CCMCvariablesubscript"/>
              </w:rPr>
              <w:t>l,x</w:t>
            </w:r>
            <w:r w:rsidRPr="001455DC">
              <w:t xml:space="preserve"> and </w:t>
            </w:r>
            <w:r w:rsidRPr="001455DC">
              <w:rPr>
                <w:rStyle w:val="CCMCvariableitalic"/>
              </w:rPr>
              <w:t>ρ</w:t>
            </w:r>
            <w:r w:rsidRPr="001455DC">
              <w:rPr>
                <w:rStyle w:val="CCMCvariablesubscript"/>
              </w:rPr>
              <w:t>l,y</w:t>
            </w:r>
            <w:r w:rsidRPr="001455DC">
              <w:t xml:space="preserve"> should be calculated as mean values over the width </w:t>
            </w:r>
            <w:r w:rsidRPr="001455DC">
              <w:rPr>
                <w:rStyle w:val="CCMCvariableitalic"/>
              </w:rPr>
              <w:t>b</w:t>
            </w:r>
            <w:r w:rsidRPr="001455DC">
              <w:rPr>
                <w:rStyle w:val="CCMCvariablesubscript"/>
              </w:rPr>
              <w:t>s</w:t>
            </w:r>
            <w:r w:rsidRPr="001455DC">
              <w:t xml:space="preserve"> defined in Figure 8.22.</w:t>
            </w:r>
          </w:p>
        </w:tc>
      </w:tr>
      <w:tr w:rsidR="00321313" w:rsidRPr="001455DC" w14:paraId="224D67AE" w14:textId="77777777" w:rsidTr="00321313">
        <w:trPr>
          <w:cantSplit/>
        </w:trPr>
        <w:tc>
          <w:tcPr>
            <w:tcW w:w="851" w:type="dxa"/>
          </w:tcPr>
          <w:p w14:paraId="75B4725D" w14:textId="716946AD" w:rsidR="00321313" w:rsidRPr="009D3012" w:rsidRDefault="00321313" w:rsidP="00321313">
            <w:pPr>
              <w:pStyle w:val="Tablebody"/>
              <w:rPr>
                <w:rStyle w:val="CCMCvariableitalic"/>
              </w:rPr>
            </w:pPr>
            <w:r w:rsidRPr="001455DC">
              <w:rPr>
                <w:rStyle w:val="CCMCvariableitalic"/>
              </w:rPr>
              <w:t>d</w:t>
            </w:r>
            <w:r w:rsidRPr="001455DC">
              <w:rPr>
                <w:rStyle w:val="CCMCvariablesubscript"/>
              </w:rPr>
              <w:t>dg</w:t>
            </w:r>
          </w:p>
        </w:tc>
        <w:tc>
          <w:tcPr>
            <w:tcW w:w="8562" w:type="dxa"/>
            <w:gridSpan w:val="2"/>
          </w:tcPr>
          <w:p w14:paraId="26944CA7" w14:textId="0AB4E19C" w:rsidR="00321313" w:rsidRPr="001455DC" w:rsidRDefault="00321313" w:rsidP="00321313">
            <w:pPr>
              <w:pStyle w:val="Tablebody"/>
            </w:pPr>
            <w:r w:rsidRPr="001455DC">
              <w:t>is defined in 8.2.1(4);</w:t>
            </w:r>
          </w:p>
        </w:tc>
      </w:tr>
      <w:tr w:rsidR="00321313" w:rsidRPr="001455DC" w14:paraId="084633CD" w14:textId="77777777" w:rsidTr="00321313">
        <w:trPr>
          <w:cantSplit/>
        </w:trPr>
        <w:tc>
          <w:tcPr>
            <w:tcW w:w="851" w:type="dxa"/>
          </w:tcPr>
          <w:p w14:paraId="183BFBB8" w14:textId="05DB9B28" w:rsidR="00321313" w:rsidRPr="009D3012" w:rsidRDefault="00321313" w:rsidP="00321313">
            <w:pPr>
              <w:pStyle w:val="Tablebody"/>
              <w:rPr>
                <w:rStyle w:val="CCMCvariableitalic"/>
              </w:rPr>
            </w:pPr>
            <w:r w:rsidRPr="001455DC">
              <w:rPr>
                <w:rStyle w:val="CCMCvariableitalic"/>
              </w:rPr>
              <w:t>k</w:t>
            </w:r>
            <w:r w:rsidRPr="001455DC">
              <w:rPr>
                <w:rStyle w:val="CCMCvariablesubscript"/>
              </w:rPr>
              <w:t>pb</w:t>
            </w:r>
          </w:p>
        </w:tc>
        <w:tc>
          <w:tcPr>
            <w:tcW w:w="8562" w:type="dxa"/>
            <w:gridSpan w:val="2"/>
          </w:tcPr>
          <w:p w14:paraId="50347A57" w14:textId="501BD895" w:rsidR="00321313" w:rsidRPr="001455DC" w:rsidRDefault="00321313" w:rsidP="00321313">
            <w:pPr>
              <w:pStyle w:val="Tablebody"/>
            </w:pPr>
            <w:r w:rsidRPr="001455DC">
              <w:t>is the punching shear gradient enhancement coefficient that may be calculated as:</w:t>
            </w:r>
          </w:p>
        </w:tc>
      </w:tr>
      <w:tr w:rsidR="00321313" w:rsidRPr="001455DC" w14:paraId="2DACE2CE" w14:textId="77777777" w:rsidTr="00321313">
        <w:trPr>
          <w:cantSplit/>
        </w:trPr>
        <w:tc>
          <w:tcPr>
            <w:tcW w:w="851" w:type="dxa"/>
          </w:tcPr>
          <w:p w14:paraId="554EA708" w14:textId="5D6983E1" w:rsidR="00321313" w:rsidRPr="001455DC" w:rsidRDefault="00321313" w:rsidP="00EC27D2">
            <w:pPr>
              <w:pStyle w:val="Tablebody"/>
            </w:pPr>
            <w:r w:rsidRPr="001455DC">
              <w:t> </w:t>
            </w:r>
          </w:p>
        </w:tc>
        <w:tc>
          <w:tcPr>
            <w:tcW w:w="7314" w:type="dxa"/>
          </w:tcPr>
          <w:p w14:paraId="5AAC40BE" w14:textId="45E2641C" w:rsidR="00321313" w:rsidRPr="001455DC" w:rsidRDefault="00590712">
            <w:pPr>
              <w:pStyle w:val="Tablebody"/>
            </w:pPr>
            <m:oMathPara>
              <m:oMathParaPr>
                <m:jc m:val="left"/>
              </m:oMathParaPr>
              <m:oMath>
                <m:r>
                  <w:rPr>
                    <w:rFonts w:ascii="Cambria Math" w:hAnsi="Cambria Math"/>
                  </w:rPr>
                  <m:t>1≤</m:t>
                </m:r>
                <m:sSub>
                  <m:sSubPr>
                    <m:ctrlPr>
                      <w:rPr>
                        <w:rFonts w:ascii="Cambria Math" w:hAnsi="Cambria Math"/>
                      </w:rPr>
                    </m:ctrlPr>
                  </m:sSubPr>
                  <m:e>
                    <m:r>
                      <w:rPr>
                        <w:rFonts w:ascii="Cambria Math" w:hAnsi="Cambria Math"/>
                      </w:rPr>
                      <m:t>k</m:t>
                    </m:r>
                  </m:e>
                  <m:sub>
                    <m:r>
                      <m:rPr>
                        <m:sty m:val="p"/>
                      </m:rPr>
                      <w:rPr>
                        <w:rFonts w:ascii="Cambria Math" w:hAnsi="Cambria Math"/>
                      </w:rPr>
                      <m:t>pb</m:t>
                    </m:r>
                  </m:sub>
                </m:sSub>
                <m:r>
                  <w:rPr>
                    <w:rFonts w:ascii="Cambria Math" w:hAnsi="Cambria Math"/>
                  </w:rPr>
                  <m:t>=3,6</m:t>
                </m:r>
                <m:rad>
                  <m:radPr>
                    <m:degHide m:val="1"/>
                    <m:ctrlPr>
                      <w:rPr>
                        <w:rFonts w:ascii="Cambria Math" w:hAnsi="Cambria Math"/>
                      </w:rPr>
                    </m:ctrlPr>
                  </m:radPr>
                  <m:deg/>
                  <m:e>
                    <m: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0</m:t>
                            </m:r>
                          </m:sub>
                        </m:sSub>
                      </m:num>
                      <m:den>
                        <m:sSub>
                          <m:sSubPr>
                            <m:ctrlPr>
                              <w:rPr>
                                <w:rFonts w:ascii="Cambria Math" w:hAnsi="Cambria Math"/>
                              </w:rPr>
                            </m:ctrlPr>
                          </m:sSubPr>
                          <m:e>
                            <m:r>
                              <w:rPr>
                                <w:rFonts w:ascii="Cambria Math" w:hAnsi="Cambria Math"/>
                              </w:rPr>
                              <m:t>b</m:t>
                            </m:r>
                          </m:e>
                          <m:sub>
                            <m:r>
                              <w:rPr>
                                <w:rFonts w:ascii="Cambria Math" w:hAnsi="Cambria Math"/>
                              </w:rPr>
                              <m:t>0,5</m:t>
                            </m:r>
                          </m:sub>
                        </m:sSub>
                      </m:den>
                    </m:f>
                  </m:e>
                </m:rad>
                <m:r>
                  <w:rPr>
                    <w:rFonts w:ascii="Cambria Math" w:hAnsi="Cambria Math"/>
                  </w:rPr>
                  <m:t>≤2,5</m:t>
                </m:r>
              </m:oMath>
            </m:oMathPara>
          </w:p>
        </w:tc>
        <w:tc>
          <w:tcPr>
            <w:tcW w:w="1248" w:type="dxa"/>
            <w:vAlign w:val="center"/>
          </w:tcPr>
          <w:p w14:paraId="456ACFA6" w14:textId="1927693B" w:rsidR="00321313" w:rsidRPr="001455DC" w:rsidRDefault="00321313">
            <w:pPr>
              <w:pStyle w:val="a7"/>
              <w:jc w:val="right"/>
            </w:pPr>
            <w:r w:rsidRPr="001455DC">
              <w:t>(8.</w:t>
            </w:r>
            <w:r w:rsidR="00590712" w:rsidRPr="001455DC">
              <w:t>80</w:t>
            </w:r>
            <w:r w:rsidRPr="001455DC">
              <w:t>)</w:t>
            </w:r>
          </w:p>
        </w:tc>
      </w:tr>
      <w:tr w:rsidR="00321313" w:rsidRPr="001455DC" w14:paraId="1FB0B2C9" w14:textId="77777777" w:rsidTr="00321313">
        <w:trPr>
          <w:cantSplit/>
        </w:trPr>
        <w:tc>
          <w:tcPr>
            <w:tcW w:w="851" w:type="dxa"/>
          </w:tcPr>
          <w:p w14:paraId="670007E6" w14:textId="5EB3FEF2" w:rsidR="00321313" w:rsidRPr="001455DC" w:rsidRDefault="00321313" w:rsidP="00321313">
            <w:pPr>
              <w:pStyle w:val="Tablebody"/>
            </w:pPr>
            <w:r w:rsidRPr="001455DC">
              <w:rPr>
                <w:rStyle w:val="CCMCvariableitalic"/>
              </w:rPr>
              <w:t>d</w:t>
            </w:r>
            <w:r w:rsidRPr="001455DC">
              <w:rPr>
                <w:rStyle w:val="CCMCvariablesubscript"/>
              </w:rPr>
              <w:t>v</w:t>
            </w:r>
          </w:p>
        </w:tc>
        <w:tc>
          <w:tcPr>
            <w:tcW w:w="8562" w:type="dxa"/>
            <w:gridSpan w:val="2"/>
          </w:tcPr>
          <w:p w14:paraId="073BE444" w14:textId="073AEB5B" w:rsidR="00321313" w:rsidRPr="001455DC" w:rsidRDefault="00321313">
            <w:pPr>
              <w:pStyle w:val="Tablebody"/>
            </w:pPr>
            <w:r w:rsidRPr="001455DC">
              <w:t xml:space="preserve">is calculated </w:t>
            </w:r>
            <w:r w:rsidR="00590712" w:rsidRPr="001455DC">
              <w:t>according to 8.4.2(1)</w:t>
            </w:r>
            <w:r w:rsidRPr="001455DC">
              <w:t>.</w:t>
            </w:r>
          </w:p>
        </w:tc>
      </w:tr>
    </w:tbl>
    <w:p w14:paraId="726C3174" w14:textId="7EEA008E" w:rsidR="004E22C1" w:rsidRPr="001455DC" w:rsidRDefault="004E22C1" w:rsidP="00CD6899">
      <w:pPr>
        <w:pStyle w:val="a7"/>
      </w:pPr>
    </w:p>
    <w:tbl>
      <w:tblPr>
        <w:tblStyle w:val="a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250"/>
        <w:gridCol w:w="3251"/>
        <w:gridCol w:w="3251"/>
      </w:tblGrid>
      <w:tr w:rsidR="00D50CCA" w:rsidRPr="001455DC" w14:paraId="04047516" w14:textId="77777777" w:rsidTr="00D50CCA">
        <w:trPr>
          <w:cantSplit/>
          <w:jc w:val="center"/>
        </w:trPr>
        <w:tc>
          <w:tcPr>
            <w:tcW w:w="3250" w:type="dxa"/>
          </w:tcPr>
          <w:p w14:paraId="55DBC939" w14:textId="70301C5C" w:rsidR="00D50CCA" w:rsidRPr="001455DC" w:rsidRDefault="00723CF7" w:rsidP="00D50CCA">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"Y:\\STD_MGT\\STDDEL\\PRODUCTION\\etrans\\Download\\Z_FIRST_DEL\\SV\\00250\\00250269\\41_e_dr\\8_022a.tif"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"Y:\\STD_MGT\\STDDEL\\PRODUCTION\\Standards\\00250\\269\\41_e_dr\\8_022a.tif"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"Y:\\STD_MGT\\STDDEL\\PRODUCTION\\Standards\\00250\\269\\41_e_dr\\8_022a.tif"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"Y:\\STD_MGT\\STDDEL\\PRODUCTION\\Standards\\00250\\269\\41_e_dr\\8_022a.tif"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"Y:\\STD_MGT\\STDDEL\\PRODUCTION\\Standards\\00250\\269\\41_e_dr\\8_022a.tif"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"Y:\\STD_MGT\\STDDEL\\PRODUCTION\\Standards\\00250\\269\\41_e_dr\\8_022a.tif"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"C:\\Users\\a.dionysiou\\AppData\\Local\\Temp\\Temp1_00250269_e_20210902.zip.zip\\41_e_dr\\8_022a.tif"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2AC4B976">
                <v:shape id="_x0000_i1179" type="#_x0000_t75" style="width:120pt;height:126.75pt">
                  <v:imagedata r:id="rId328" r:href="rId329"/>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3251" w:type="dxa"/>
          </w:tcPr>
          <w:p w14:paraId="6BC384AB" w14:textId="6A44E299" w:rsidR="00D50CCA" w:rsidRPr="001455DC" w:rsidRDefault="00723CF7" w:rsidP="00D50CCA">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"Y:\\STD_MGT\\STDDEL\\PRODUCTION\\etrans\\Download\\Z_FIRST_DEL\\SV\\00250\\00250269\\41_e_dr\\8_022b.tif"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"Y:\\STD_MGT\\STDDEL\\PRODUCTION\\Standards\\00250\\269\\41_e_dr\\8_022b.tif"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"Y:\\STD_MGT\\STDDEL\\PRODUCTION\\Standards\\00250\\269\\41_e_dr\\8_022b.tif"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"Y:\\STD_MGT\\STDDEL\\PRODUCTION\\Standards\\00250\\269\\41_e_dr\\8_022b.tif"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"Y:\\STD_MGT\\STDDEL\\PRODUCTION\\Standards\\00250\\269\\41_e_dr\\8_022b.tif"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"Y:\\STD_MGT\\STDDEL\\PRODUCTION\\Standards\\00250\\269\\41_e_dr\\8_022b.tif"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w:instrText>
            </w:r>
            <w:r w:rsidR="00231E33">
              <w:rPr>
                <w:noProof/>
                <w:lang w:eastAsia="en-GB"/>
              </w:rPr>
              <w:instrText>ip.zip\\41_e_dr\\8_022b.tif"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580BC0A1">
                <v:shape id="_x0000_i1180" type="#_x0000_t75" style="width:141pt;height:136.5pt">
                  <v:imagedata r:id="rId330" r:href="rId331"/>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3251" w:type="dxa"/>
          </w:tcPr>
          <w:p w14:paraId="3D23085C" w14:textId="30D4DB04" w:rsidR="00D50CCA" w:rsidRPr="001455DC" w:rsidRDefault="00723CF7" w:rsidP="00D50CCA">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"Y:\\STD_MGT\\STDDEL\\PRODUCTION\\etrans\\Download\\Z_FIRST_DEL\\SV\\00250\\00250269\\41_e_dr\\8_022c.tif"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"Y:\\STD_MGT\\STDDEL\\PRODUCTION\\Standards\\00250\\269\\41_e_dr\\8_022c.tif"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"Y:\\STD_MGT\\STDDEL\\PRODUCTION\\Standards\\00250\\269\\41_e_dr\\8_022c.tif"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"Y:\\STD_MGT\\STDDEL\\PRODUCTION\\Standards\\00250\\269\\41_e_dr\\8_022c.tif"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"Y:\\STD_MGT\\STDDEL\\PRODUCTION\\Standards\\00250\\269\\41_e_dr\\8_022c.tif"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"Y:\\STD_MGT\\STDDEL\\PRODUCTION\\Standards\\00250\\269\\41_e_dr\\8_022c.tif"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w:instrText>
            </w:r>
            <w:r w:rsidR="00231E33">
              <w:rPr>
                <w:noProof/>
                <w:lang w:eastAsia="en-GB"/>
              </w:rPr>
              <w:instrText>l\\Temp\\Temp1_00250269_e_20210902.zip.zip\\41_e_dr\\8_022c.tif"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55E9B562">
                <v:shape id="_x0000_i1181" type="#_x0000_t75" style="width:131.25pt;height:121.5pt">
                  <v:imagedata r:id="rId332" r:href="rId333"/>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D50CCA" w:rsidRPr="006D3F6F" w14:paraId="130C8FE5" w14:textId="77777777" w:rsidTr="00D50CCA">
        <w:trPr>
          <w:cantSplit/>
          <w:jc w:val="center"/>
        </w:trPr>
        <w:tc>
          <w:tcPr>
            <w:tcW w:w="3250" w:type="dxa"/>
          </w:tcPr>
          <w:p w14:paraId="29A041E8" w14:textId="001FD116" w:rsidR="00D50CCA" w:rsidRPr="006D3F6F" w:rsidRDefault="00D50CCA" w:rsidP="00D50CCA">
            <w:pPr>
              <w:pStyle w:val="FigureText"/>
              <w:jc w:val="center"/>
            </w:pPr>
            <w:r w:rsidRPr="009D3012">
              <w:t>a) internal</w:t>
            </w:r>
          </w:p>
        </w:tc>
        <w:tc>
          <w:tcPr>
            <w:tcW w:w="3251" w:type="dxa"/>
          </w:tcPr>
          <w:p w14:paraId="040D1822" w14:textId="48E8C500" w:rsidR="00D50CCA" w:rsidRPr="006D3F6F" w:rsidRDefault="00D50CCA" w:rsidP="00D50CCA">
            <w:pPr>
              <w:pStyle w:val="FigureText"/>
              <w:jc w:val="center"/>
            </w:pPr>
            <w:r w:rsidRPr="009D3012">
              <w:t>b) edge</w:t>
            </w:r>
          </w:p>
        </w:tc>
        <w:tc>
          <w:tcPr>
            <w:tcW w:w="3251" w:type="dxa"/>
          </w:tcPr>
          <w:p w14:paraId="0CC8EBD9" w14:textId="6A700EA1" w:rsidR="00D50CCA" w:rsidRPr="006D3F6F" w:rsidRDefault="00D50CCA" w:rsidP="00D50CCA">
            <w:pPr>
              <w:pStyle w:val="FigureText"/>
              <w:jc w:val="center"/>
            </w:pPr>
            <w:r w:rsidRPr="009D3012">
              <w:t>c) corner columns</w:t>
            </w:r>
          </w:p>
        </w:tc>
      </w:tr>
    </w:tbl>
    <w:p w14:paraId="3B3CD268" w14:textId="6122961B" w:rsidR="004E22C1" w:rsidRPr="001455DC" w:rsidRDefault="004E22C1" w:rsidP="00D50CCA">
      <w:pPr>
        <w:pStyle w:val="Figuretitle"/>
      </w:pPr>
      <w:r w:rsidRPr="001455DC">
        <w:t xml:space="preserve">Figure 8.22 — Definition of width </w:t>
      </w:r>
      <w:r w:rsidRPr="001455DC">
        <w:rPr>
          <w:rStyle w:val="CCMCvariableitalic"/>
          <w:b w:val="0"/>
          <w:bCs/>
        </w:rPr>
        <w:t>b</w:t>
      </w:r>
      <w:r w:rsidRPr="001455DC">
        <w:rPr>
          <w:rStyle w:val="CCMCvariablesubscript"/>
          <w:b w:val="0"/>
          <w:bCs/>
        </w:rPr>
        <w:t>s</w:t>
      </w:r>
    </w:p>
    <w:p w14:paraId="2988D1FB" w14:textId="7A63C3D8" w:rsidR="004F2CDC" w:rsidRPr="001455DC" w:rsidRDefault="004E22C1" w:rsidP="008D37B2">
      <w:pPr>
        <w:pStyle w:val="a7"/>
        <w:keepNext/>
        <w:rPr>
          <w:lang w:eastAsia="de-CH"/>
        </w:rPr>
      </w:pPr>
      <w:r w:rsidRPr="001455DC">
        <w:t>(2)</w:t>
      </w:r>
      <w:r w:rsidRPr="001455DC">
        <w:tab/>
        <w:t xml:space="preserve">For distances between the centre of the support area and the point of contraflexure in the considered load combination </w:t>
      </w:r>
      <w:r w:rsidRPr="001455DC">
        <w:rPr>
          <w:rStyle w:val="CCMCvariableitalic"/>
        </w:rPr>
        <w:t>a</w:t>
      </w:r>
      <w:r w:rsidRPr="001455DC">
        <w:rPr>
          <w:rStyle w:val="CCMCvariablesubscript"/>
        </w:rPr>
        <w:t>p</w:t>
      </w:r>
      <w:r w:rsidRPr="001455DC">
        <w:t xml:space="preserve"> smaller than 8</w:t>
      </w:r>
      <w:r w:rsidRPr="001455DC">
        <w:rPr>
          <w:rStyle w:val="CCMCvariableitalic"/>
        </w:rPr>
        <w:t>d</w:t>
      </w:r>
      <w:r w:rsidRPr="001455DC">
        <w:t xml:space="preserve">, the value of </w:t>
      </w:r>
      <w:r w:rsidRPr="001455DC">
        <w:rPr>
          <w:rStyle w:val="CCMCvariableitalic"/>
        </w:rPr>
        <w:t>d</w:t>
      </w:r>
      <w:r w:rsidRPr="001455DC">
        <w:rPr>
          <w:rStyle w:val="CCMCvariablesubscript"/>
        </w:rPr>
        <w:t>v</w:t>
      </w:r>
      <w:r w:rsidRPr="001455DC">
        <w:t xml:space="preserve"> in Formula (8.</w:t>
      </w:r>
      <w:r w:rsidR="00F051F9" w:rsidRPr="001455DC">
        <w:t>78</w:t>
      </w:r>
      <w:r w:rsidRPr="001455DC">
        <w:t>) may be replaced by:</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F2CDC" w:rsidRPr="001455DC" w14:paraId="2F2221F2" w14:textId="77777777" w:rsidTr="004F2CDC">
        <w:trPr>
          <w:cantSplit/>
        </w:trPr>
        <w:tc>
          <w:tcPr>
            <w:tcW w:w="8505" w:type="dxa"/>
            <w:vAlign w:val="center"/>
          </w:tcPr>
          <w:p w14:paraId="00EC4442" w14:textId="4F970D71" w:rsidR="004F2CDC" w:rsidRPr="001455DC" w:rsidRDefault="00231E33" w:rsidP="004F2CDC">
            <w:pPr>
              <w:pStyle w:val="Formula"/>
              <w:jc w:val="left"/>
            </w:pPr>
            <m:oMathPara>
              <m:oMathParaPr>
                <m:jc m:val="left"/>
              </m:oMathParaPr>
              <m:oMath>
                <m:sSub>
                  <m:sSubPr>
                    <m:ctrlPr>
                      <w:rPr>
                        <w:rFonts w:ascii="Cambria Math" w:hAnsi="Cambria Math"/>
                      </w:rPr>
                    </m:ctrlPr>
                  </m:sSubPr>
                  <m:e>
                    <m:r>
                      <w:rPr>
                        <w:rFonts w:ascii="Cambria Math" w:hAnsi="Cambria Math"/>
                      </w:rPr>
                      <m:t>a</m:t>
                    </m:r>
                  </m:e>
                  <m:sub>
                    <m:r>
                      <m:rPr>
                        <m:sty m:val="p"/>
                      </m:rPr>
                      <w:rPr>
                        <w:rFonts w:ascii="Cambria Math" w:hAnsi="Cambria Math"/>
                      </w:rPr>
                      <m:t>pd</m:t>
                    </m:r>
                  </m:sub>
                </m:sSub>
                <m:r>
                  <w:rPr>
                    <w:rFonts w:ascii="Cambria Math" w:hAnsi="Cambria Math"/>
                  </w:rPr>
                  <m:t>=</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p</m:t>
                            </m:r>
                          </m:sub>
                        </m:sSub>
                      </m:num>
                      <m:den>
                        <m:r>
                          <w:rPr>
                            <w:rFonts w:ascii="Cambria Math" w:hAnsi="Cambria Math"/>
                          </w:rPr>
                          <m:t>8</m:t>
                        </m:r>
                      </m:den>
                    </m:f>
                    <m: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v</m:t>
                        </m:r>
                      </m:sub>
                    </m:sSub>
                  </m:e>
                </m:rad>
              </m:oMath>
            </m:oMathPara>
          </w:p>
        </w:tc>
        <w:tc>
          <w:tcPr>
            <w:tcW w:w="1247" w:type="dxa"/>
            <w:vAlign w:val="center"/>
          </w:tcPr>
          <w:p w14:paraId="030342B1" w14:textId="605D21BD" w:rsidR="004F2CDC" w:rsidRPr="001455DC" w:rsidRDefault="00321313">
            <w:pPr>
              <w:pStyle w:val="a7"/>
              <w:jc w:val="right"/>
            </w:pPr>
            <w:r w:rsidRPr="001455DC">
              <w:t>(8.</w:t>
            </w:r>
            <w:r w:rsidR="006207A3" w:rsidRPr="001455DC">
              <w:t>81</w:t>
            </w:r>
            <w:r w:rsidRPr="001455DC">
              <w:t>)</w:t>
            </w:r>
          </w:p>
        </w:tc>
      </w:tr>
    </w:tbl>
    <w:p w14:paraId="5E28D5B1" w14:textId="77777777" w:rsidR="00321313" w:rsidRPr="001455DC" w:rsidRDefault="004E22C1" w:rsidP="00A35599">
      <w:pPr>
        <w:pStyle w:val="a7"/>
        <w:keepNext/>
        <w:rPr>
          <w:lang w:eastAsia="de-CH"/>
        </w:rPr>
      </w:pPr>
      <w:r w:rsidRPr="001455DC">
        <w:t>where</w:t>
      </w:r>
    </w:p>
    <w:tbl>
      <w:tblPr>
        <w:tblW w:w="9413" w:type="dxa"/>
        <w:tblInd w:w="397" w:type="dxa"/>
        <w:tblLayout w:type="fixed"/>
        <w:tblCellMar>
          <w:left w:w="28" w:type="dxa"/>
          <w:right w:w="28" w:type="dxa"/>
        </w:tblCellMar>
        <w:tblLook w:val="04A0" w:firstRow="1" w:lastRow="0" w:firstColumn="1" w:lastColumn="0" w:noHBand="0" w:noVBand="1"/>
      </w:tblPr>
      <w:tblGrid>
        <w:gridCol w:w="851"/>
        <w:gridCol w:w="7314"/>
        <w:gridCol w:w="1248"/>
      </w:tblGrid>
      <w:tr w:rsidR="00F06D26" w:rsidRPr="001455DC" w14:paraId="349205DD" w14:textId="77777777" w:rsidTr="00F06D26">
        <w:trPr>
          <w:cantSplit/>
        </w:trPr>
        <w:tc>
          <w:tcPr>
            <w:tcW w:w="8165" w:type="dxa"/>
            <w:gridSpan w:val="2"/>
          </w:tcPr>
          <w:p w14:paraId="10B5722C" w14:textId="43C1AA10" w:rsidR="00F06D26" w:rsidRPr="001455DC" w:rsidRDefault="00231E33" w:rsidP="00321313">
            <w:pPr>
              <w:pStyle w:val="Tablebody"/>
            </w:pPr>
            <m:oMathPara>
              <m:oMathParaPr>
                <m:jc m:val="left"/>
              </m:oMathParaPr>
              <m:oMath>
                <m:sSub>
                  <m:sSubPr>
                    <m:ctrlPr>
                      <w:rPr>
                        <w:rFonts w:ascii="Cambria Math" w:hAnsi="Cambria Math"/>
                      </w:rPr>
                    </m:ctrlPr>
                  </m:sSubPr>
                  <m:e>
                    <m:r>
                      <w:rPr>
                        <w:rFonts w:ascii="Cambria Math" w:hAnsi="Cambria Math"/>
                      </w:rPr>
                      <m:t>a</m:t>
                    </m:r>
                  </m:e>
                  <m:sub>
                    <m:r>
                      <m:rPr>
                        <m:sty m:val="p"/>
                      </m:rPr>
                      <w:rPr>
                        <w:rFonts w:ascii="Cambria Math" w:hAnsi="Cambria Math"/>
                      </w:rPr>
                      <m:t>p</m:t>
                    </m:r>
                  </m:sub>
                </m:sSub>
                <m: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w:rPr>
                            <w:rFonts w:ascii="Cambria Math" w:hAnsi="Cambria Math"/>
                          </w:rPr>
                          <m:t>a</m:t>
                        </m:r>
                      </m:e>
                      <m:sub>
                        <m:r>
                          <m:rPr>
                            <m:sty m:val="p"/>
                          </m:rPr>
                          <w:rPr>
                            <w:rFonts w:ascii="Cambria Math" w:hAnsi="Cambria Math"/>
                          </w:rPr>
                          <m:t>p,x</m:t>
                        </m:r>
                      </m:sub>
                    </m:sSub>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p,y</m:t>
                        </m:r>
                      </m:sub>
                    </m:sSub>
                  </m:e>
                </m:rad>
                <m: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v</m:t>
                    </m:r>
                  </m:sub>
                </m:sSub>
              </m:oMath>
            </m:oMathPara>
          </w:p>
        </w:tc>
        <w:tc>
          <w:tcPr>
            <w:tcW w:w="1247" w:type="dxa"/>
          </w:tcPr>
          <w:p w14:paraId="46187D77" w14:textId="6FE43BA1" w:rsidR="00F06D26" w:rsidRPr="001455DC" w:rsidRDefault="00F06D26">
            <w:pPr>
              <w:pStyle w:val="a7"/>
              <w:jc w:val="right"/>
            </w:pPr>
            <w:r w:rsidRPr="001455DC">
              <w:t>(8.</w:t>
            </w:r>
            <w:r w:rsidR="006207A3" w:rsidRPr="001455DC">
              <w:t>82</w:t>
            </w:r>
            <w:r w:rsidRPr="001455DC">
              <w:t>)</w:t>
            </w:r>
          </w:p>
        </w:tc>
      </w:tr>
      <w:tr w:rsidR="00321313" w:rsidRPr="001455DC" w14:paraId="06FCBEA4" w14:textId="77777777" w:rsidTr="00F06D26">
        <w:trPr>
          <w:cantSplit/>
        </w:trPr>
        <w:tc>
          <w:tcPr>
            <w:tcW w:w="851" w:type="dxa"/>
          </w:tcPr>
          <w:p w14:paraId="23AD3B7C" w14:textId="4BD98676" w:rsidR="00321313" w:rsidRPr="001455DC" w:rsidRDefault="00321313" w:rsidP="00321313">
            <w:pPr>
              <w:pStyle w:val="Tablebody"/>
            </w:pPr>
            <w:r w:rsidRPr="001455DC">
              <w:rPr>
                <w:rStyle w:val="CCMCvariableitalic"/>
              </w:rPr>
              <w:t>a</w:t>
            </w:r>
            <w:r w:rsidRPr="001455DC">
              <w:rPr>
                <w:rStyle w:val="CCMCvariablesubscript"/>
              </w:rPr>
              <w:t>p,x</w:t>
            </w:r>
            <w:r w:rsidRPr="001455DC">
              <w:t xml:space="preserve">, </w:t>
            </w:r>
            <w:r w:rsidRPr="001455DC">
              <w:rPr>
                <w:rStyle w:val="CCMCvariableitalic"/>
              </w:rPr>
              <w:t>a</w:t>
            </w:r>
            <w:r w:rsidRPr="001455DC">
              <w:rPr>
                <w:rStyle w:val="CCMCvariablesubscript"/>
              </w:rPr>
              <w:t>p,y</w:t>
            </w:r>
          </w:p>
        </w:tc>
        <w:tc>
          <w:tcPr>
            <w:tcW w:w="8562" w:type="dxa"/>
            <w:gridSpan w:val="2"/>
          </w:tcPr>
          <w:p w14:paraId="47CFB919" w14:textId="62371C14" w:rsidR="00321313" w:rsidRPr="001455DC" w:rsidRDefault="00321313" w:rsidP="00321313">
            <w:pPr>
              <w:pStyle w:val="Tablebody"/>
            </w:pPr>
            <w:r w:rsidRPr="001455DC">
              <w:t xml:space="preserve">are the maximum distances from the centroid of the control perimeter (which may be simplified according to Figure 8.21a) to the two points (on the </w:t>
            </w:r>
            <w:r w:rsidRPr="001455DC">
              <w:rPr>
                <w:rStyle w:val="CCMCvariableitalic"/>
              </w:rPr>
              <w:t>x</w:t>
            </w:r>
            <w:r w:rsidRPr="001455DC">
              <w:t xml:space="preserve">- and on the </w:t>
            </w:r>
            <w:r w:rsidRPr="001455DC">
              <w:rPr>
                <w:rStyle w:val="CCMCvariableitalic"/>
              </w:rPr>
              <w:t>y</w:t>
            </w:r>
            <w:r w:rsidRPr="001455DC">
              <w:t xml:space="preserve">-axis, respectively) where the bending moments </w:t>
            </w:r>
            <w:r w:rsidRPr="001455DC">
              <w:rPr>
                <w:rStyle w:val="CCMCvariableitalic"/>
              </w:rPr>
              <w:t>m</w:t>
            </w:r>
            <w:r w:rsidRPr="001455DC">
              <w:rPr>
                <w:rStyle w:val="CCMCvariablesubscript"/>
              </w:rPr>
              <w:t>Ed,x</w:t>
            </w:r>
            <w:r w:rsidRPr="001455DC">
              <w:t xml:space="preserve">, respectively </w:t>
            </w:r>
            <w:r w:rsidRPr="001455DC">
              <w:rPr>
                <w:rStyle w:val="CCMCvariableitalic"/>
              </w:rPr>
              <w:t>m</w:t>
            </w:r>
            <w:r w:rsidRPr="001455DC">
              <w:rPr>
                <w:rStyle w:val="CCMCvariablesubscript"/>
              </w:rPr>
              <w:t>Ed,y</w:t>
            </w:r>
            <w:r w:rsidRPr="001455DC">
              <w:t xml:space="preserve">, are zero. The distances </w:t>
            </w:r>
            <w:r w:rsidRPr="001455DC">
              <w:rPr>
                <w:rStyle w:val="CCMCvariableitalic"/>
              </w:rPr>
              <w:t>a</w:t>
            </w:r>
            <w:r w:rsidRPr="001455DC">
              <w:rPr>
                <w:rStyle w:val="CCMCvariablesubscript"/>
              </w:rPr>
              <w:t>px</w:t>
            </w:r>
            <w:r w:rsidRPr="001455DC">
              <w:t xml:space="preserve"> and </w:t>
            </w:r>
            <w:r w:rsidRPr="001455DC">
              <w:rPr>
                <w:rStyle w:val="CCMCvariableitalic"/>
              </w:rPr>
              <w:t>a</w:t>
            </w:r>
            <w:r w:rsidRPr="001455DC">
              <w:rPr>
                <w:rStyle w:val="CCMCvariablesubscript"/>
              </w:rPr>
              <w:t>py</w:t>
            </w:r>
            <w:r w:rsidRPr="001455DC">
              <w:t xml:space="preserve"> may be calculated according to (3) or using a linear elastic (uncracked) model. The local coordinate system (</w:t>
            </w:r>
            <w:r w:rsidRPr="001455DC">
              <w:rPr>
                <w:rStyle w:val="CCMCvariableitalic"/>
              </w:rPr>
              <w:t>x</w:t>
            </w:r>
            <w:r w:rsidRPr="001455DC">
              <w:t>,</w:t>
            </w:r>
            <w:r w:rsidRPr="001455DC">
              <w:rPr>
                <w:rStyle w:val="CCMCvariableitalic"/>
              </w:rPr>
              <w:t>y</w:t>
            </w:r>
            <w:r w:rsidRPr="001455DC">
              <w:t>) has its origin at the centre of the support area and coincides with the reinforcement directions (principal directions in case of layers which are not orthogonal).</w:t>
            </w:r>
          </w:p>
        </w:tc>
      </w:tr>
    </w:tbl>
    <w:p w14:paraId="07698624" w14:textId="1468C7A9" w:rsidR="004E22C1" w:rsidRPr="001455DC" w:rsidRDefault="004E22C1" w:rsidP="00CD6899">
      <w:pPr>
        <w:pStyle w:val="a7"/>
      </w:pPr>
      <w:r w:rsidRPr="001455DC">
        <w:t>(3)</w:t>
      </w:r>
      <w:r w:rsidRPr="001455DC">
        <w:tab/>
        <w:t>For regular flat slabs where the lateral stability does not depend on frame action between the slabs and the columns and that respect the condition 0,5 </w:t>
      </w:r>
      <w:r w:rsidR="00650035" w:rsidRPr="001455DC">
        <w:rPr>
          <w:rFonts w:ascii="Cambria Math" w:hAnsi="Cambria Math"/>
        </w:rPr>
        <w:t>≤</w:t>
      </w:r>
      <w:r w:rsidRPr="001455DC">
        <w:t> </w:t>
      </w:r>
      <w:r w:rsidRPr="001455DC">
        <w:rPr>
          <w:rStyle w:val="CCMCvariableitalic"/>
        </w:rPr>
        <w:t>L</w:t>
      </w:r>
      <w:r w:rsidRPr="001455DC">
        <w:rPr>
          <w:rStyle w:val="CCMCvariablesubscript"/>
        </w:rPr>
        <w:t>x</w:t>
      </w:r>
      <w:r w:rsidRPr="001455DC">
        <w:t>/</w:t>
      </w:r>
      <w:r w:rsidRPr="001455DC">
        <w:rPr>
          <w:rStyle w:val="CCMCvariableitalic"/>
        </w:rPr>
        <w:t>L</w:t>
      </w:r>
      <w:r w:rsidRPr="001455DC">
        <w:rPr>
          <w:rStyle w:val="CCMCvariablesubscript"/>
        </w:rPr>
        <w:t>y</w:t>
      </w:r>
      <w:r w:rsidRPr="001455DC">
        <w:t> </w:t>
      </w:r>
      <w:r w:rsidR="00650035" w:rsidRPr="001455DC">
        <w:rPr>
          <w:rFonts w:ascii="Cambria Math" w:hAnsi="Cambria Math"/>
        </w:rPr>
        <w:t>≤</w:t>
      </w:r>
      <w:r w:rsidRPr="001455DC">
        <w:t xml:space="preserve"> 2, the value of </w:t>
      </w:r>
      <w:r w:rsidRPr="001455DC">
        <w:rPr>
          <w:rStyle w:val="CCMCvariableitalic"/>
        </w:rPr>
        <w:t>a</w:t>
      </w:r>
      <w:r w:rsidRPr="001455DC">
        <w:rPr>
          <w:rStyle w:val="CCMCvariablesubscript"/>
        </w:rPr>
        <w:t>p</w:t>
      </w:r>
      <w:r w:rsidRPr="001455DC">
        <w:t xml:space="preserve"> may be approximated as </w:t>
      </w:r>
      <w:r w:rsidRPr="001455DC">
        <w:rPr>
          <w:rStyle w:val="CCMCvariableitalic"/>
        </w:rPr>
        <w:t>a</w:t>
      </w:r>
      <w:r w:rsidRPr="001455DC">
        <w:rPr>
          <w:rStyle w:val="CCMCvariablesubscript"/>
        </w:rPr>
        <w:t>px</w:t>
      </w:r>
      <w:r w:rsidRPr="001455DC">
        <w:t> ≈ 0,22</w:t>
      </w:r>
      <w:r w:rsidRPr="001455DC">
        <w:rPr>
          <w:rStyle w:val="CCMCvariableitalic"/>
        </w:rPr>
        <w:t>L</w:t>
      </w:r>
      <w:r w:rsidRPr="001455DC">
        <w:rPr>
          <w:rStyle w:val="CCMCvariablesubscript"/>
        </w:rPr>
        <w:t>x</w:t>
      </w:r>
      <w:r w:rsidRPr="001455DC">
        <w:t xml:space="preserve"> or </w:t>
      </w:r>
      <w:r w:rsidRPr="001455DC">
        <w:rPr>
          <w:rStyle w:val="CCMCvariableitalic"/>
        </w:rPr>
        <w:t>a</w:t>
      </w:r>
      <w:r w:rsidRPr="001455DC">
        <w:rPr>
          <w:rStyle w:val="CCMCvariablesubscript"/>
        </w:rPr>
        <w:t>py</w:t>
      </w:r>
      <w:r w:rsidRPr="001455DC">
        <w:t> ≈ 0,22</w:t>
      </w:r>
      <w:r w:rsidRPr="001455DC">
        <w:rPr>
          <w:rStyle w:val="CCMCvariableitalic"/>
        </w:rPr>
        <w:t>L</w:t>
      </w:r>
      <w:r w:rsidRPr="001455DC">
        <w:rPr>
          <w:rStyle w:val="CCMCvariablesubscript"/>
        </w:rPr>
        <w:t>y</w:t>
      </w:r>
      <w:r w:rsidRPr="001455DC">
        <w:t xml:space="preserve"> for the </w:t>
      </w:r>
      <w:r w:rsidRPr="001455DC">
        <w:rPr>
          <w:rStyle w:val="CCMCvariableitalic"/>
        </w:rPr>
        <w:t>x</w:t>
      </w:r>
      <w:r w:rsidRPr="001455DC">
        <w:t xml:space="preserve">- and </w:t>
      </w:r>
      <w:r w:rsidRPr="001455DC">
        <w:rPr>
          <w:rStyle w:val="CCMCvariableitalic"/>
        </w:rPr>
        <w:t>y</w:t>
      </w:r>
      <w:r w:rsidRPr="001455DC">
        <w:t xml:space="preserve"> directions, respectively. For different span lengths in continuous slabs, the largest span length of the bays adjacent to the considered column should be accounted for. For corner columns and for the direction perpendicular to the edge in case of edge columns, a safe estimate of </w:t>
      </w:r>
      <w:r w:rsidRPr="001455DC">
        <w:rPr>
          <w:rStyle w:val="CCMCvariableitalic"/>
        </w:rPr>
        <w:t>a</w:t>
      </w:r>
      <w:r w:rsidRPr="001455DC">
        <w:rPr>
          <w:rStyle w:val="CCMCvariablesubscript"/>
        </w:rPr>
        <w:t>p</w:t>
      </w:r>
      <w:r w:rsidRPr="001455DC">
        <w:t xml:space="preserve"> may be obtained considering the spans in both directions of the edge bay.</w:t>
      </w:r>
    </w:p>
    <w:p w14:paraId="410E3754" w14:textId="21D085E1" w:rsidR="004F2CDC" w:rsidRPr="001455DC" w:rsidRDefault="004E22C1" w:rsidP="008D37B2">
      <w:pPr>
        <w:pStyle w:val="a7"/>
        <w:keepNext/>
        <w:rPr>
          <w:lang w:eastAsia="de-CH"/>
        </w:rPr>
      </w:pPr>
      <w:r w:rsidRPr="001455DC">
        <w:t>(4)</w:t>
      </w:r>
      <w:r w:rsidRPr="001455DC">
        <w:tab/>
        <w:t xml:space="preserve">For slabs with axial forces and for prestressed slabs, the value of </w:t>
      </w:r>
      <w:r w:rsidRPr="001455DC">
        <w:rPr>
          <w:rStyle w:val="CCMCvariableitalic"/>
        </w:rPr>
        <w:t>k</w:t>
      </w:r>
      <w:r w:rsidRPr="001455DC">
        <w:rPr>
          <w:rStyle w:val="CCMCvariablesubscript"/>
        </w:rPr>
        <w:t>pb</w:t>
      </w:r>
      <w:r w:rsidRPr="001455DC">
        <w:t xml:space="preserve"> of Formula (8.</w:t>
      </w:r>
      <w:r w:rsidR="006207A3" w:rsidRPr="001455DC">
        <w:t>80</w:t>
      </w:r>
      <w:r w:rsidRPr="001455DC">
        <w:t xml:space="preserve">) may be multiplied by the coefficient </w:t>
      </w:r>
      <w:r w:rsidRPr="001455DC">
        <w:rPr>
          <w:rStyle w:val="CCMCvariableitalic"/>
        </w:rPr>
        <w:t>k</w:t>
      </w:r>
      <w:r w:rsidRPr="001455DC">
        <w:rPr>
          <w:rStyle w:val="CCMCvariablesubscript"/>
        </w:rPr>
        <w:t>pp</w:t>
      </w:r>
      <w:r w:rsidRPr="001455DC">
        <w:rPr>
          <w:rFonts w:eastAsiaTheme="minorHAnsi"/>
        </w:rPr>
        <w:t>:</w:t>
      </w:r>
    </w:p>
    <w:tbl>
      <w:tblPr>
        <w:tblStyle w:val="ad"/>
        <w:tblW w:w="9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1985"/>
        <w:gridCol w:w="6521"/>
        <w:gridCol w:w="1247"/>
      </w:tblGrid>
      <w:tr w:rsidR="001F5D6E" w:rsidRPr="001455DC" w14:paraId="3C809694" w14:textId="77777777" w:rsidTr="001F5D6E">
        <w:trPr>
          <w:cantSplit/>
        </w:trPr>
        <w:tc>
          <w:tcPr>
            <w:tcW w:w="1985" w:type="dxa"/>
            <w:vAlign w:val="center"/>
          </w:tcPr>
          <w:p w14:paraId="29781DF7" w14:textId="57557A11" w:rsidR="001F5D6E" w:rsidRPr="001455DC" w:rsidRDefault="001F5D6E" w:rsidP="004F2CDC">
            <w:pPr>
              <w:pStyle w:val="Formula"/>
              <w:jc w:val="left"/>
            </w:pPr>
            <w:r w:rsidRPr="001455DC">
              <w:rPr>
                <w:rStyle w:val="CCMCvariableitalic"/>
              </w:rPr>
              <w:t>k</w:t>
            </w:r>
            <w:r w:rsidRPr="001455DC">
              <w:rPr>
                <w:rStyle w:val="CCMCvariablesubscript"/>
              </w:rPr>
              <w:t>pp</w:t>
            </w:r>
            <w:r w:rsidRPr="001455DC">
              <w:t> </w:t>
            </w:r>
            <w:r w:rsidR="00EC27D2" w:rsidRPr="001455DC">
              <w:rPr>
                <w:rFonts w:ascii="Cambria Math" w:hAnsi="Cambria Math"/>
              </w:rPr>
              <w:t>=</w:t>
            </w:r>
            <w:r w:rsidRPr="001455DC">
              <w:t> </w:t>
            </w:r>
            <w:r w:rsidRPr="001455DC">
              <w:rPr>
                <w:rStyle w:val="CCMCvariableitalic"/>
              </w:rPr>
              <w:t>k</w:t>
            </w:r>
            <w:r w:rsidRPr="001455DC">
              <w:rPr>
                <w:rStyle w:val="CCMCvariablesubscript"/>
              </w:rPr>
              <w:t>N</w:t>
            </w:r>
          </w:p>
        </w:tc>
        <w:tc>
          <w:tcPr>
            <w:tcW w:w="6521" w:type="dxa"/>
            <w:vAlign w:val="center"/>
          </w:tcPr>
          <w:p w14:paraId="596D7625" w14:textId="7F6160B9" w:rsidR="001F5D6E" w:rsidRPr="001455DC" w:rsidRDefault="001F5D6E" w:rsidP="004F2CDC">
            <w:pPr>
              <w:pStyle w:val="Formula"/>
              <w:jc w:val="left"/>
            </w:pPr>
            <w:r w:rsidRPr="001455DC">
              <w:rPr>
                <w:lang w:eastAsia="de-CH"/>
              </w:rPr>
              <w:t>for compressive axial forces (e.g. prestressing)</w:t>
            </w:r>
          </w:p>
        </w:tc>
        <w:tc>
          <w:tcPr>
            <w:tcW w:w="1247" w:type="dxa"/>
            <w:vAlign w:val="center"/>
          </w:tcPr>
          <w:p w14:paraId="575A411B" w14:textId="57ACBBEA" w:rsidR="001F5D6E" w:rsidRPr="001455DC" w:rsidRDefault="001F5D6E">
            <w:pPr>
              <w:pStyle w:val="a7"/>
              <w:jc w:val="right"/>
            </w:pPr>
            <w:r w:rsidRPr="001455DC">
              <w:rPr>
                <w:rFonts w:eastAsiaTheme="minorHAnsi"/>
                <w:lang w:eastAsia="de-CH"/>
              </w:rPr>
              <w:t>(8.</w:t>
            </w:r>
            <w:r w:rsidR="006207A3" w:rsidRPr="001455DC">
              <w:rPr>
                <w:rFonts w:eastAsiaTheme="minorHAnsi"/>
                <w:lang w:eastAsia="de-CH"/>
              </w:rPr>
              <w:t>83</w:t>
            </w:r>
            <w:r w:rsidRPr="001455DC">
              <w:rPr>
                <w:rFonts w:eastAsiaTheme="minorHAnsi"/>
                <w:lang w:eastAsia="de-CH"/>
              </w:rPr>
              <w:t>)</w:t>
            </w:r>
          </w:p>
        </w:tc>
      </w:tr>
      <w:tr w:rsidR="001F5D6E" w:rsidRPr="001455DC" w14:paraId="111F8CCC" w14:textId="77777777" w:rsidTr="001F5D6E">
        <w:trPr>
          <w:cantSplit/>
        </w:trPr>
        <w:tc>
          <w:tcPr>
            <w:tcW w:w="1985" w:type="dxa"/>
            <w:vAlign w:val="center"/>
          </w:tcPr>
          <w:p w14:paraId="0B7FE21F" w14:textId="6CF537BE" w:rsidR="001F5D6E" w:rsidRPr="001455DC" w:rsidRDefault="001F5D6E" w:rsidP="004F2CDC">
            <w:pPr>
              <w:pStyle w:val="Formula"/>
              <w:jc w:val="left"/>
            </w:pPr>
            <w:r w:rsidRPr="001455DC">
              <w:rPr>
                <w:rStyle w:val="CCMCvariableitalic"/>
              </w:rPr>
              <w:t>k</w:t>
            </w:r>
            <w:r w:rsidRPr="001455DC">
              <w:rPr>
                <w:rStyle w:val="CCMCvariablesubscript"/>
              </w:rPr>
              <w:t>pp</w:t>
            </w:r>
            <w:r w:rsidRPr="001455DC">
              <w:t> </w:t>
            </w:r>
            <w:r w:rsidR="00EC27D2" w:rsidRPr="001455DC">
              <w:rPr>
                <w:rFonts w:ascii="Cambria Math" w:hAnsi="Cambria Math"/>
              </w:rPr>
              <w:t>=</w:t>
            </w:r>
            <w:r w:rsidRPr="001455DC">
              <w:t> </w:t>
            </w:r>
            <w:r w:rsidRPr="001455DC">
              <w:rPr>
                <w:rFonts w:eastAsiaTheme="minorHAnsi"/>
                <w:lang w:eastAsia="de-CH"/>
              </w:rPr>
              <w:t>1/</w:t>
            </w:r>
            <w:r w:rsidRPr="001455DC">
              <w:rPr>
                <w:rStyle w:val="CCMCvariableitalic"/>
              </w:rPr>
              <w:t>k</w:t>
            </w:r>
            <w:r w:rsidRPr="001455DC">
              <w:rPr>
                <w:rStyle w:val="CCMCvariablesubscript"/>
              </w:rPr>
              <w:t>N</w:t>
            </w:r>
          </w:p>
        </w:tc>
        <w:tc>
          <w:tcPr>
            <w:tcW w:w="6521" w:type="dxa"/>
            <w:vAlign w:val="center"/>
          </w:tcPr>
          <w:p w14:paraId="44128432" w14:textId="532061DA" w:rsidR="001F5D6E" w:rsidRPr="001455DC" w:rsidRDefault="001F5D6E" w:rsidP="004F2CDC">
            <w:pPr>
              <w:pStyle w:val="Formula"/>
              <w:jc w:val="left"/>
            </w:pPr>
            <w:r w:rsidRPr="001455DC">
              <w:rPr>
                <w:lang w:eastAsia="de-CH"/>
              </w:rPr>
              <w:t>for tensile axial forces</w:t>
            </w:r>
          </w:p>
        </w:tc>
        <w:tc>
          <w:tcPr>
            <w:tcW w:w="1247" w:type="dxa"/>
            <w:vAlign w:val="center"/>
          </w:tcPr>
          <w:p w14:paraId="15665034" w14:textId="18B1DC2C" w:rsidR="001F5D6E" w:rsidRPr="001455DC" w:rsidRDefault="001F5D6E" w:rsidP="004F2CDC">
            <w:pPr>
              <w:pStyle w:val="a7"/>
              <w:jc w:val="right"/>
            </w:pPr>
            <w:r w:rsidRPr="001455DC">
              <w:rPr>
                <w:rFonts w:eastAsiaTheme="minorHAnsi"/>
                <w:lang w:eastAsia="de-CH"/>
              </w:rPr>
              <w:t>(8.</w:t>
            </w:r>
            <w:r w:rsidR="006207A3" w:rsidRPr="001455DC">
              <w:rPr>
                <w:rFonts w:eastAsiaTheme="minorHAnsi"/>
                <w:lang w:eastAsia="de-CH"/>
              </w:rPr>
              <w:t>84</w:t>
            </w:r>
            <w:r w:rsidRPr="001455DC">
              <w:rPr>
                <w:rFonts w:eastAsiaTheme="minorHAnsi"/>
                <w:lang w:eastAsia="de-CH"/>
              </w:rPr>
              <w:t>)</w:t>
            </w:r>
          </w:p>
        </w:tc>
      </w:tr>
      <w:tr w:rsidR="001F5D6E" w:rsidRPr="001455DC" w14:paraId="56217B65" w14:textId="77777777" w:rsidTr="001F5D6E">
        <w:trPr>
          <w:cantSplit/>
        </w:trPr>
        <w:tc>
          <w:tcPr>
            <w:tcW w:w="8505" w:type="dxa"/>
            <w:gridSpan w:val="2"/>
            <w:vAlign w:val="center"/>
          </w:tcPr>
          <w:p w14:paraId="1CC07DE1" w14:textId="13A4ACC9" w:rsidR="001F5D6E" w:rsidRPr="001455DC" w:rsidRDefault="00231E33" w:rsidP="001F5D6E">
            <w:pPr>
              <w:pStyle w:val="Formula"/>
              <w:jc w:val="left"/>
            </w:pPr>
            <m:oMathPara>
              <m:oMathParaPr>
                <m:jc m:val="left"/>
              </m:oMathParaPr>
              <m:oMath>
                <m:sSub>
                  <m:sSubPr>
                    <m:ctrlPr>
                      <w:rPr>
                        <w:rFonts w:ascii="Cambria Math" w:hAnsi="Cambria Math"/>
                        <w:lang w:eastAsia="de-CH"/>
                      </w:rPr>
                    </m:ctrlPr>
                  </m:sSubPr>
                  <m:e>
                    <m:r>
                      <w:rPr>
                        <w:rFonts w:ascii="Cambria Math" w:hAnsi="Cambria Math"/>
                      </w:rPr>
                      <m:t>k</m:t>
                    </m:r>
                  </m:e>
                  <m:sub>
                    <m:r>
                      <m:rPr>
                        <m:sty m:val="p"/>
                      </m:rPr>
                      <w:rPr>
                        <w:rFonts w:ascii="Cambria Math" w:hAnsi="Cambria Math"/>
                      </w:rPr>
                      <m:t>N</m:t>
                    </m:r>
                  </m:sub>
                </m:sSub>
                <m:r>
                  <w:rPr>
                    <w:rFonts w:ascii="Cambria Math" w:hAnsi="Cambria Math"/>
                  </w:rPr>
                  <m:t>=</m:t>
                </m:r>
                <m:rad>
                  <m:radPr>
                    <m:degHide m:val="1"/>
                    <m:ctrlPr>
                      <w:rPr>
                        <w:rFonts w:ascii="Cambria Math" w:hAnsi="Cambria Math"/>
                      </w:rPr>
                    </m:ctrlPr>
                  </m:radPr>
                  <m:deg/>
                  <m:e>
                    <m:r>
                      <w:rPr>
                        <w:rFonts w:ascii="Cambria Math" w:hAnsi="Cambria Math"/>
                      </w:rPr>
                      <m:t>1+1,2⋅</m:t>
                    </m:r>
                    <m:f>
                      <m:fPr>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0,5</m:t>
                            </m:r>
                          </m:sub>
                        </m:sSub>
                      </m:num>
                      <m:den>
                        <m:sSub>
                          <m:sSubPr>
                            <m:ctrlPr>
                              <w:rPr>
                                <w:rFonts w:ascii="Cambria Math" w:hAnsi="Cambria Math"/>
                              </w:rPr>
                            </m:ctrlPr>
                          </m:sSubPr>
                          <m:e>
                            <m:r>
                              <w:rPr>
                                <w:rFonts w:ascii="Cambria Math" w:hAnsi="Cambria Math"/>
                              </w:rPr>
                              <m:t>μ</m:t>
                            </m:r>
                          </m:e>
                          <m:sub>
                            <m:r>
                              <m:rPr>
                                <m:sty m:val="p"/>
                              </m:rPr>
                              <w:rPr>
                                <w:rFonts w:ascii="Cambria Math" w:hAnsi="Cambria Math"/>
                              </w:rPr>
                              <m:t>p</m:t>
                            </m:r>
                          </m:sub>
                        </m:sSub>
                        <m: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v</m:t>
                            </m:r>
                          </m:sub>
                        </m:sSub>
                      </m:den>
                    </m:f>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σ</m:t>
                                </m:r>
                              </m:e>
                              <m:sub>
                                <m:r>
                                  <m:rPr>
                                    <m:sty m:val="p"/>
                                  </m:rPr>
                                  <w:rPr>
                                    <w:rFonts w:ascii="Cambria Math" w:hAnsi="Cambria Math"/>
                                  </w:rPr>
                                  <m:t>d</m:t>
                                </m:r>
                              </m:sub>
                            </m:sSub>
                          </m:e>
                        </m:d>
                      </m:num>
                      <m:den>
                        <m:rad>
                          <m:radPr>
                            <m:degHide m:val="1"/>
                            <m:ctrlPr>
                              <w:rPr>
                                <w:rFonts w:ascii="Cambria Math" w:hAnsi="Cambria Math"/>
                              </w:rPr>
                            </m:ctrlPr>
                          </m:radPr>
                          <m:deg/>
                          <m:e>
                            <m:sSub>
                              <m:sSubPr>
                                <m:ctrlPr>
                                  <w:rPr>
                                    <w:rFonts w:ascii="Cambria Math" w:hAnsi="Cambria Math"/>
                                  </w:rPr>
                                </m:ctrlPr>
                              </m:sSubPr>
                              <m:e>
                                <m:r>
                                  <w:rPr>
                                    <w:rFonts w:ascii="Cambria Math" w:hAnsi="Cambria Math"/>
                                  </w:rPr>
                                  <m:t>f</m:t>
                                </m:r>
                              </m:e>
                              <m:sub>
                                <m:r>
                                  <m:rPr>
                                    <m:sty m:val="p"/>
                                  </m:rPr>
                                  <w:rPr>
                                    <w:rFonts w:ascii="Cambria Math" w:hAnsi="Cambria Math"/>
                                  </w:rPr>
                                  <m:t>ck</m:t>
                                </m:r>
                              </m:sub>
                            </m:sSub>
                          </m:e>
                        </m:rad>
                      </m:den>
                    </m:f>
                  </m:e>
                </m:rad>
              </m:oMath>
            </m:oMathPara>
          </w:p>
        </w:tc>
        <w:tc>
          <w:tcPr>
            <w:tcW w:w="1247" w:type="dxa"/>
            <w:vAlign w:val="center"/>
          </w:tcPr>
          <w:p w14:paraId="1FA9F4CF" w14:textId="7A58477E" w:rsidR="001F5D6E" w:rsidRPr="001455DC" w:rsidRDefault="001F5D6E">
            <w:pPr>
              <w:pStyle w:val="a7"/>
              <w:jc w:val="right"/>
            </w:pPr>
            <w:r w:rsidRPr="001455DC">
              <w:rPr>
                <w:rFonts w:eastAsiaTheme="minorHAnsi"/>
                <w:lang w:eastAsia="de-CH"/>
              </w:rPr>
              <w:t>(8.</w:t>
            </w:r>
            <w:r w:rsidR="006207A3" w:rsidRPr="001455DC">
              <w:rPr>
                <w:rFonts w:eastAsiaTheme="minorHAnsi"/>
                <w:lang w:eastAsia="de-CH"/>
              </w:rPr>
              <w:t>85</w:t>
            </w:r>
            <w:r w:rsidRPr="001455DC">
              <w:rPr>
                <w:rFonts w:eastAsiaTheme="minorHAnsi"/>
                <w:lang w:eastAsia="de-CH"/>
              </w:rPr>
              <w:t>)</w:t>
            </w:r>
          </w:p>
        </w:tc>
      </w:tr>
    </w:tbl>
    <w:p w14:paraId="3647A690" w14:textId="77777777" w:rsidR="004E22C1" w:rsidRPr="001455DC" w:rsidRDefault="004E22C1" w:rsidP="00CD6899">
      <w:pPr>
        <w:pStyle w:val="a7"/>
        <w:rPr>
          <w:lang w:eastAsia="de-CH"/>
        </w:rPr>
      </w:pPr>
      <w:r w:rsidRPr="001455DC">
        <w:rPr>
          <w:lang w:eastAsia="de-CH"/>
        </w:rPr>
        <w:t xml:space="preserve">where </w:t>
      </w:r>
      <w:r w:rsidRPr="001455DC">
        <w:rPr>
          <w:rStyle w:val="CCMCvariableitalic"/>
        </w:rPr>
        <w:t>σ</w:t>
      </w:r>
      <w:r w:rsidRPr="001455DC">
        <w:rPr>
          <w:rStyle w:val="CCMCvariablesubscript"/>
        </w:rPr>
        <w:t>d</w:t>
      </w:r>
      <w:r w:rsidRPr="001455DC">
        <w:rPr>
          <w:lang w:eastAsia="de-CH"/>
        </w:rPr>
        <w:t xml:space="preserve"> is the average normal stress over the width </w:t>
      </w:r>
      <w:r w:rsidRPr="001455DC">
        <w:rPr>
          <w:rStyle w:val="CCMCvariableitalic"/>
        </w:rPr>
        <w:t>b</w:t>
      </w:r>
      <w:r w:rsidRPr="001455DC">
        <w:rPr>
          <w:rStyle w:val="CCMCvariablesubscript"/>
        </w:rPr>
        <w:t>s</w:t>
      </w:r>
      <w:r w:rsidRPr="001455DC">
        <w:rPr>
          <w:lang w:eastAsia="de-CH"/>
        </w:rPr>
        <w:t xml:space="preserve"> defined in Figure 8.22.</w:t>
      </w:r>
    </w:p>
    <w:p w14:paraId="77DEC701" w14:textId="77777777" w:rsidR="004F2CDC" w:rsidRPr="001455DC" w:rsidRDefault="004E22C1" w:rsidP="008D37B2">
      <w:pPr>
        <w:pStyle w:val="a7"/>
        <w:keepNext/>
        <w:rPr>
          <w:lang w:eastAsia="de-CH"/>
        </w:rPr>
      </w:pPr>
      <w:r w:rsidRPr="001455DC">
        <w:rPr>
          <w:rFonts w:eastAsiaTheme="minorHAnsi"/>
          <w:lang w:eastAsia="de-CH"/>
        </w:rPr>
        <w:t>In case different axial stresses act in two directions, an average value</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F2CDC" w:rsidRPr="001455DC" w14:paraId="1AA301B7" w14:textId="77777777" w:rsidTr="004F2CDC">
        <w:trPr>
          <w:cantSplit/>
        </w:trPr>
        <w:tc>
          <w:tcPr>
            <w:tcW w:w="8505" w:type="dxa"/>
            <w:vAlign w:val="center"/>
          </w:tcPr>
          <w:p w14:paraId="38856893" w14:textId="6AD91BC6" w:rsidR="004F2CDC" w:rsidRPr="001455DC" w:rsidRDefault="00231E33" w:rsidP="004F2CDC">
            <w:pPr>
              <w:pStyle w:val="Formula"/>
              <w:jc w:val="left"/>
            </w:pPr>
            <m:oMathPara>
              <m:oMathParaPr>
                <m:jc m:val="left"/>
              </m:oMathParaPr>
              <m:oMath>
                <m:sSub>
                  <m:sSubPr>
                    <m:ctrlPr>
                      <w:rPr>
                        <w:rFonts w:ascii="Cambria Math" w:hAnsi="Cambria Math"/>
                        <w:lang w:eastAsia="de-CH"/>
                      </w:rPr>
                    </m:ctrlPr>
                  </m:sSubPr>
                  <m:e>
                    <m:r>
                      <w:rPr>
                        <w:rFonts w:ascii="Cambria Math" w:hAnsi="Cambria Math"/>
                      </w:rPr>
                      <m:t>k</m:t>
                    </m:r>
                  </m:e>
                  <m:sub>
                    <m:r>
                      <m:rPr>
                        <m:sty m:val="p"/>
                      </m:rPr>
                      <w:rPr>
                        <w:rFonts w:ascii="Cambria Math" w:hAnsi="Cambria Math"/>
                      </w:rPr>
                      <m:t>pp</m:t>
                    </m:r>
                  </m:sub>
                </m:sSub>
                <m: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w:rPr>
                            <w:rFonts w:ascii="Cambria Math" w:hAnsi="Cambria Math"/>
                          </w:rPr>
                          <m:t>k</m:t>
                        </m:r>
                      </m:e>
                      <m:sub>
                        <m:r>
                          <m:rPr>
                            <m:sty m:val="p"/>
                          </m:rPr>
                          <w:rPr>
                            <w:rFonts w:ascii="Cambria Math" w:hAnsi="Cambria Math"/>
                          </w:rPr>
                          <m:t>pp,x</m:t>
                        </m:r>
                      </m:sub>
                    </m:sSub>
                    <m: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pp,y</m:t>
                        </m:r>
                      </m:sub>
                    </m:sSub>
                  </m:e>
                </m:rad>
              </m:oMath>
            </m:oMathPara>
          </w:p>
        </w:tc>
        <w:tc>
          <w:tcPr>
            <w:tcW w:w="1247" w:type="dxa"/>
            <w:vAlign w:val="center"/>
          </w:tcPr>
          <w:p w14:paraId="7109A8F0" w14:textId="27BB9FDD" w:rsidR="004F2CDC" w:rsidRPr="001455DC" w:rsidRDefault="001F5D6E">
            <w:pPr>
              <w:pStyle w:val="a7"/>
              <w:jc w:val="right"/>
            </w:pPr>
            <w:r w:rsidRPr="001455DC">
              <w:rPr>
                <w:rFonts w:eastAsiaTheme="minorHAnsi"/>
                <w:lang w:eastAsia="de-CH"/>
              </w:rPr>
              <w:t>(8.</w:t>
            </w:r>
            <w:r w:rsidR="006207A3" w:rsidRPr="001455DC">
              <w:rPr>
                <w:rFonts w:eastAsiaTheme="minorHAnsi"/>
                <w:lang w:eastAsia="de-CH"/>
              </w:rPr>
              <w:t>86</w:t>
            </w:r>
            <w:r w:rsidRPr="001455DC">
              <w:rPr>
                <w:rFonts w:eastAsiaTheme="minorHAnsi"/>
                <w:lang w:eastAsia="de-CH"/>
              </w:rPr>
              <w:t>)</w:t>
            </w:r>
          </w:p>
        </w:tc>
      </w:tr>
    </w:tbl>
    <w:p w14:paraId="6A891AC3" w14:textId="77777777" w:rsidR="004E22C1" w:rsidRPr="001455DC" w:rsidRDefault="004E22C1" w:rsidP="00CD6899">
      <w:pPr>
        <w:pStyle w:val="a7"/>
        <w:rPr>
          <w:lang w:eastAsia="de-CH"/>
        </w:rPr>
      </w:pPr>
      <w:r w:rsidRPr="001455DC">
        <w:rPr>
          <w:rFonts w:eastAsiaTheme="minorHAnsi"/>
          <w:lang w:eastAsia="de-CH"/>
        </w:rPr>
        <w:t>may be adopted</w:t>
      </w:r>
      <w:r w:rsidRPr="001455DC">
        <w:rPr>
          <w:lang w:eastAsia="de-CH"/>
        </w:rPr>
        <w:t xml:space="preserve">, where </w:t>
      </w:r>
      <w:r w:rsidRPr="001455DC">
        <w:rPr>
          <w:rStyle w:val="CCMCvariableitalic"/>
        </w:rPr>
        <w:t>k</w:t>
      </w:r>
      <w:r w:rsidRPr="001455DC">
        <w:rPr>
          <w:rStyle w:val="CCMCvariablesubscript"/>
        </w:rPr>
        <w:t>pp,x</w:t>
      </w:r>
      <w:r w:rsidRPr="001455DC">
        <w:rPr>
          <w:lang w:eastAsia="de-CH"/>
        </w:rPr>
        <w:t xml:space="preserve"> and </w:t>
      </w:r>
      <w:r w:rsidRPr="001455DC">
        <w:rPr>
          <w:rStyle w:val="CCMCvariableitalic"/>
        </w:rPr>
        <w:t>k</w:t>
      </w:r>
      <w:r w:rsidRPr="001455DC">
        <w:rPr>
          <w:rStyle w:val="CCMCvariablesubscript"/>
        </w:rPr>
        <w:t>pp,y</w:t>
      </w:r>
      <w:r w:rsidRPr="001455DC">
        <w:rPr>
          <w:lang w:eastAsia="de-CH"/>
        </w:rPr>
        <w:t xml:space="preserve"> are the coefficients accounting for the presence of axial stresses in the </w:t>
      </w:r>
      <w:r w:rsidRPr="001455DC">
        <w:rPr>
          <w:rStyle w:val="CCMCvariableitalic"/>
        </w:rPr>
        <w:t>x</w:t>
      </w:r>
      <w:r w:rsidRPr="001455DC">
        <w:rPr>
          <w:lang w:eastAsia="de-CH"/>
        </w:rPr>
        <w:t xml:space="preserve">- and </w:t>
      </w:r>
      <w:r w:rsidRPr="001455DC">
        <w:rPr>
          <w:rStyle w:val="CCMCvariableitalic"/>
        </w:rPr>
        <w:t>y</w:t>
      </w:r>
      <w:r w:rsidRPr="001455DC">
        <w:rPr>
          <w:lang w:eastAsia="de-CH"/>
        </w:rPr>
        <w:t>-directions.</w:t>
      </w:r>
    </w:p>
    <w:p w14:paraId="4271EEB3" w14:textId="77777777" w:rsidR="004F2CDC" w:rsidRPr="001455DC" w:rsidRDefault="004E22C1" w:rsidP="008D37B2">
      <w:pPr>
        <w:pStyle w:val="a7"/>
        <w:keepNext/>
        <w:rPr>
          <w:lang w:eastAsia="de-CH"/>
        </w:rPr>
      </w:pPr>
      <w:r w:rsidRPr="001455DC">
        <w:rPr>
          <w:lang w:eastAsia="de-CH"/>
        </w:rPr>
        <w:t>For prestressed slabs with eccentric tendons, the beneficial effect of the tendon’s eccentricity on the tensile side of the planar member may be considered with:</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F2CDC" w:rsidRPr="001455DC" w14:paraId="3FFC6243" w14:textId="77777777" w:rsidTr="004F2CDC">
        <w:trPr>
          <w:cantSplit/>
        </w:trPr>
        <w:tc>
          <w:tcPr>
            <w:tcW w:w="8505" w:type="dxa"/>
            <w:vAlign w:val="center"/>
          </w:tcPr>
          <w:p w14:paraId="27DF2FD5" w14:textId="641D0310" w:rsidR="004F2CDC" w:rsidRPr="001455DC" w:rsidRDefault="00231E33" w:rsidP="004F2CDC">
            <w:pPr>
              <w:pStyle w:val="Formula"/>
              <w:jc w:val="left"/>
            </w:pPr>
            <m:oMathPara>
              <m:oMathParaPr>
                <m:jc m:val="left"/>
              </m:oMathParaPr>
              <m:oMath>
                <m:sSub>
                  <m:sSubPr>
                    <m:ctrlPr>
                      <w:rPr>
                        <w:rFonts w:ascii="Cambria Math" w:hAnsi="Cambria Math"/>
                        <w:lang w:eastAsia="de-CH"/>
                      </w:rPr>
                    </m:ctrlPr>
                  </m:sSubPr>
                  <m:e>
                    <m:r>
                      <w:rPr>
                        <w:rFonts w:ascii="Cambria Math" w:hAnsi="Cambria Math"/>
                      </w:rPr>
                      <m:t>k</m:t>
                    </m:r>
                  </m:e>
                  <m:sub>
                    <m:r>
                      <m:rPr>
                        <m:sty m:val="p"/>
                      </m:rPr>
                      <w:rPr>
                        <w:rFonts w:ascii="Cambria Math" w:hAnsi="Cambria Math"/>
                      </w:rPr>
                      <m:t>N</m:t>
                    </m:r>
                  </m:sub>
                </m:sSub>
                <m:r>
                  <w:rPr>
                    <w:rFonts w:ascii="Cambria Math" w:hAnsi="Cambria Math"/>
                  </w:rPr>
                  <m:t>=</m:t>
                </m:r>
                <m:rad>
                  <m:radPr>
                    <m:degHide m:val="1"/>
                    <m:ctrlPr>
                      <w:rPr>
                        <w:rFonts w:ascii="Cambria Math" w:hAnsi="Cambria Math"/>
                      </w:rPr>
                    </m:ctrlPr>
                  </m:radPr>
                  <m:deg/>
                  <m:e>
                    <m:r>
                      <w:rPr>
                        <w:rFonts w:ascii="Cambria Math" w:hAnsi="Cambria Math"/>
                      </w:rPr>
                      <m:t>1+1,2⋅</m:t>
                    </m:r>
                    <m:f>
                      <m:fPr>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0,5</m:t>
                            </m:r>
                          </m:sub>
                        </m:sSub>
                      </m:num>
                      <m:den>
                        <m:sSub>
                          <m:sSubPr>
                            <m:ctrlPr>
                              <w:rPr>
                                <w:rFonts w:ascii="Cambria Math" w:hAnsi="Cambria Math"/>
                              </w:rPr>
                            </m:ctrlPr>
                          </m:sSubPr>
                          <m:e>
                            <m:r>
                              <w:rPr>
                                <w:rFonts w:ascii="Cambria Math" w:hAnsi="Cambria Math"/>
                              </w:rPr>
                              <m:t>μ</m:t>
                            </m:r>
                          </m:e>
                          <m:sub>
                            <m:r>
                              <m:rPr>
                                <m:sty m:val="p"/>
                              </m:rPr>
                              <w:rPr>
                                <w:rFonts w:ascii="Cambria Math" w:hAnsi="Cambria Math"/>
                              </w:rPr>
                              <m:t>p</m:t>
                            </m:r>
                          </m:sub>
                        </m:sSub>
                        <m: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v</m:t>
                            </m:r>
                          </m:sub>
                        </m:sSub>
                      </m:den>
                    </m:f>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σ</m:t>
                                </m:r>
                              </m:e>
                              <m:sub>
                                <m:r>
                                  <m:rPr>
                                    <m:sty m:val="p"/>
                                  </m:rPr>
                                  <w:rPr>
                                    <w:rFonts w:ascii="Cambria Math" w:hAnsi="Cambria Math"/>
                                  </w:rPr>
                                  <m:t>d</m:t>
                                </m:r>
                              </m:sub>
                            </m:sSub>
                          </m:e>
                        </m:d>
                      </m:num>
                      <m:den>
                        <m:rad>
                          <m:radPr>
                            <m:degHide m:val="1"/>
                            <m:ctrlPr>
                              <w:rPr>
                                <w:rFonts w:ascii="Cambria Math" w:hAnsi="Cambria Math"/>
                              </w:rPr>
                            </m:ctrlPr>
                          </m:radPr>
                          <m:deg/>
                          <m:e>
                            <m:sSub>
                              <m:sSubPr>
                                <m:ctrlPr>
                                  <w:rPr>
                                    <w:rFonts w:ascii="Cambria Math" w:hAnsi="Cambria Math"/>
                                  </w:rPr>
                                </m:ctrlPr>
                              </m:sSubPr>
                              <m:e>
                                <m:r>
                                  <w:rPr>
                                    <w:rFonts w:ascii="Cambria Math" w:hAnsi="Cambria Math"/>
                                  </w:rPr>
                                  <m:t>f</m:t>
                                </m:r>
                              </m:e>
                              <m:sub>
                                <m:r>
                                  <m:rPr>
                                    <m:sty m:val="p"/>
                                  </m:rPr>
                                  <w:rPr>
                                    <w:rFonts w:ascii="Cambria Math" w:hAnsi="Cambria Math"/>
                                  </w:rPr>
                                  <m:t>ck</m:t>
                                </m:r>
                              </m:sub>
                            </m:sSub>
                          </m:e>
                        </m:rad>
                      </m:den>
                    </m:f>
                    <m:d>
                      <m:dPr>
                        <m:ctrlPr>
                          <w:rPr>
                            <w:rFonts w:ascii="Cambria Math" w:hAnsi="Cambria Math"/>
                          </w:rPr>
                        </m:ctrlPr>
                      </m:dPr>
                      <m:e>
                        <m:r>
                          <w:rPr>
                            <w:rFonts w:ascii="Cambria Math" w:hAnsi="Cambria Math"/>
                          </w:rPr>
                          <m:t>1+6</m:t>
                        </m:r>
                        <m:f>
                          <m:fPr>
                            <m:ctrlPr>
                              <w:rPr>
                                <w:rFonts w:ascii="Cambria Math" w:hAnsi="Cambria Math"/>
                              </w:rPr>
                            </m:ctrlPr>
                          </m:fPr>
                          <m:num>
                            <m:sSub>
                              <m:sSubPr>
                                <m:ctrlPr>
                                  <w:rPr>
                                    <w:rFonts w:ascii="Cambria Math" w:hAnsi="Cambria Math"/>
                                  </w:rPr>
                                </m:ctrlPr>
                              </m:sSubPr>
                              <m:e>
                                <m:r>
                                  <w:rPr>
                                    <w:rFonts w:ascii="Cambria Math" w:hAnsi="Cambria Math"/>
                                  </w:rPr>
                                  <m:t>e</m:t>
                                </m:r>
                              </m:e>
                              <m:sub>
                                <m:r>
                                  <m:rPr>
                                    <m:sty m:val="p"/>
                                  </m:rPr>
                                  <w:rPr>
                                    <w:rFonts w:ascii="Cambria Math" w:hAnsi="Cambria Math"/>
                                  </w:rPr>
                                  <m:t>p</m:t>
                                </m:r>
                              </m:sub>
                            </m:sSub>
                          </m:num>
                          <m:den>
                            <m:r>
                              <w:rPr>
                                <w:rFonts w:ascii="Cambria Math" w:hAnsi="Cambria Math"/>
                              </w:rPr>
                              <m:t>d</m:t>
                            </m:r>
                          </m:den>
                        </m:f>
                      </m:e>
                    </m:d>
                  </m:e>
                </m:rad>
              </m:oMath>
            </m:oMathPara>
          </w:p>
        </w:tc>
        <w:tc>
          <w:tcPr>
            <w:tcW w:w="1247" w:type="dxa"/>
            <w:vAlign w:val="center"/>
          </w:tcPr>
          <w:p w14:paraId="383AB9F3" w14:textId="63F0BB1F" w:rsidR="004F2CDC" w:rsidRPr="001455DC" w:rsidRDefault="001F5D6E">
            <w:pPr>
              <w:pStyle w:val="a7"/>
              <w:jc w:val="right"/>
            </w:pPr>
            <w:r w:rsidRPr="001455DC">
              <w:rPr>
                <w:rFonts w:eastAsiaTheme="minorHAnsi"/>
                <w:lang w:eastAsia="de-CH"/>
              </w:rPr>
              <w:t>(8.</w:t>
            </w:r>
            <w:r w:rsidR="006207A3" w:rsidRPr="001455DC">
              <w:rPr>
                <w:rFonts w:eastAsiaTheme="minorHAnsi"/>
                <w:lang w:eastAsia="de-CH"/>
              </w:rPr>
              <w:t>8</w:t>
            </w:r>
            <w:r w:rsidRPr="001455DC">
              <w:rPr>
                <w:rFonts w:eastAsiaTheme="minorHAnsi"/>
                <w:lang w:eastAsia="de-CH"/>
              </w:rPr>
              <w:t>7)</w:t>
            </w:r>
          </w:p>
        </w:tc>
      </w:tr>
    </w:tbl>
    <w:p w14:paraId="54FD7532" w14:textId="54E530E5" w:rsidR="004E22C1" w:rsidRPr="001455DC" w:rsidRDefault="004E22C1" w:rsidP="00CD6899">
      <w:pPr>
        <w:pStyle w:val="a7"/>
        <w:rPr>
          <w:lang w:eastAsia="de-CH"/>
        </w:rPr>
      </w:pPr>
      <w:r w:rsidRPr="001455DC">
        <w:rPr>
          <w:lang w:eastAsia="de-CH"/>
        </w:rPr>
        <w:t xml:space="preserve">where </w:t>
      </w:r>
      <w:r w:rsidRPr="001455DC">
        <w:rPr>
          <w:rStyle w:val="CCMCvariableitalic"/>
        </w:rPr>
        <w:t>e</w:t>
      </w:r>
      <w:r w:rsidRPr="001455DC">
        <w:rPr>
          <w:rStyle w:val="CCMCvariablesubscript"/>
        </w:rPr>
        <w:t>p</w:t>
      </w:r>
      <w:r w:rsidRPr="001455DC">
        <w:rPr>
          <w:lang w:eastAsia="de-CH"/>
        </w:rPr>
        <w:t xml:space="preserve"> is the eccentricity of the tendons at axis of the supported area </w:t>
      </w:r>
      <w:r w:rsidR="006207A3" w:rsidRPr="001455DC">
        <w:rPr>
          <w:lang w:eastAsia="de-CH"/>
        </w:rPr>
        <w:t xml:space="preserve">with the respect to the centre of gravity of the cross section </w:t>
      </w:r>
      <w:r w:rsidRPr="001455DC">
        <w:rPr>
          <w:lang w:eastAsia="de-CH"/>
        </w:rPr>
        <w:t>to be considered as positive for tendons on the tensile side. For statically indeterminate slabs, the effect of hyperstatic moments due to prestressing should be considered by reducing the tendons eccentricity accordingly.</w:t>
      </w:r>
    </w:p>
    <w:p w14:paraId="1A85E046" w14:textId="0726F3D4" w:rsidR="004E22C1" w:rsidRPr="001455DC" w:rsidRDefault="004E22C1" w:rsidP="00CD6899">
      <w:pPr>
        <w:pStyle w:val="a7"/>
      </w:pPr>
      <w:r w:rsidRPr="001455DC">
        <w:rPr>
          <w:lang w:eastAsia="de-CH"/>
        </w:rPr>
        <w:t xml:space="preserve">For prestressed slabs with bonded tendons, the effective depth </w:t>
      </w:r>
      <w:r w:rsidRPr="001455DC">
        <w:rPr>
          <w:rStyle w:val="CCMCvariableitalic"/>
        </w:rPr>
        <w:t>d</w:t>
      </w:r>
      <w:r w:rsidRPr="001455DC">
        <w:rPr>
          <w:rStyle w:val="CCMCvariablesubscript"/>
        </w:rPr>
        <w:t>v</w:t>
      </w:r>
      <w:r w:rsidRPr="001455DC">
        <w:rPr>
          <w:lang w:eastAsia="de-CH"/>
        </w:rPr>
        <w:t xml:space="preserve"> and the flexural reinforcement ratio </w:t>
      </w:r>
      <w:r w:rsidRPr="001455DC">
        <w:rPr>
          <w:rStyle w:val="CCMCvariableitalic"/>
        </w:rPr>
        <w:t>ρ</w:t>
      </w:r>
      <w:r w:rsidRPr="001455DC">
        <w:rPr>
          <w:rStyle w:val="CCMCvariablesubscript"/>
        </w:rPr>
        <w:t>l</w:t>
      </w:r>
      <w:r w:rsidRPr="001455DC">
        <w:t xml:space="preserve"> to be used in Formula (8.</w:t>
      </w:r>
      <w:r w:rsidR="006207A3" w:rsidRPr="001455DC">
        <w:t>78</w:t>
      </w:r>
      <w:r w:rsidRPr="001455DC">
        <w:t>) should be calculated according to 8.2.2(</w:t>
      </w:r>
      <w:r w:rsidR="006207A3" w:rsidRPr="001455DC">
        <w:t>6</w:t>
      </w:r>
      <w:r w:rsidRPr="001455DC">
        <w:t>) in both directions and averaged using Formulae (8.</w:t>
      </w:r>
      <w:r w:rsidR="006207A3" w:rsidRPr="001455DC">
        <w:t>75</w:t>
      </w:r>
      <w:r w:rsidRPr="001455DC">
        <w:t>) and (8.</w:t>
      </w:r>
      <w:r w:rsidR="006207A3" w:rsidRPr="001455DC">
        <w:t>79</w:t>
      </w:r>
      <w:r w:rsidRPr="001455DC">
        <w:t>).</w:t>
      </w:r>
    </w:p>
    <w:p w14:paraId="1CF9ABF5" w14:textId="79D4BC52" w:rsidR="004E22C1" w:rsidRPr="001455DC" w:rsidRDefault="004E22C1" w:rsidP="00CD6899">
      <w:pPr>
        <w:pStyle w:val="a7"/>
        <w:rPr>
          <w:lang w:eastAsia="de-CH"/>
        </w:rPr>
      </w:pPr>
      <w:r w:rsidRPr="001455DC">
        <w:rPr>
          <w:lang w:eastAsia="de-CH"/>
        </w:rPr>
        <w:t>The negative influence of tensile forces in the slab shall be accounted for (</w:t>
      </w:r>
      <w:r w:rsidRPr="001455DC">
        <w:rPr>
          <w:rStyle w:val="CCMCvariableitalic"/>
        </w:rPr>
        <w:t>k</w:t>
      </w:r>
      <w:r w:rsidRPr="001455DC">
        <w:rPr>
          <w:rStyle w:val="CCMCvariablesubscript"/>
        </w:rPr>
        <w:t>pp</w:t>
      </w:r>
      <w:r w:rsidRPr="001455DC">
        <w:rPr>
          <w:lang w:eastAsia="de-CH"/>
        </w:rPr>
        <w:t> </w:t>
      </w:r>
      <w:r w:rsidR="00650035" w:rsidRPr="001455DC">
        <w:rPr>
          <w:rFonts w:ascii="Cambria Math" w:hAnsi="Cambria Math"/>
          <w:lang w:eastAsia="de-CH"/>
        </w:rPr>
        <w:t>&lt;</w:t>
      </w:r>
      <w:r w:rsidRPr="001455DC">
        <w:rPr>
          <w:lang w:eastAsia="de-CH"/>
        </w:rPr>
        <w:t> 1,0).</w:t>
      </w:r>
    </w:p>
    <w:p w14:paraId="31469745" w14:textId="3A73FDC1" w:rsidR="004E22C1" w:rsidRPr="001455DC" w:rsidRDefault="004E22C1" w:rsidP="00243590">
      <w:pPr>
        <w:pStyle w:val="31"/>
      </w:pPr>
      <w:bookmarkStart w:id="625" w:name="_Toc52819993"/>
      <w:bookmarkStart w:id="626" w:name="_Toc54337388"/>
      <w:bookmarkStart w:id="627" w:name="_Toc54338049"/>
      <w:bookmarkStart w:id="628" w:name="_Toc67565397"/>
      <w:r w:rsidRPr="001455DC">
        <w:t>Punching shear resistance of slabs with shear reinforcement</w:t>
      </w:r>
      <w:bookmarkEnd w:id="625"/>
      <w:bookmarkEnd w:id="626"/>
      <w:bookmarkEnd w:id="627"/>
      <w:bookmarkEnd w:id="628"/>
    </w:p>
    <w:p w14:paraId="03258BBC" w14:textId="77777777" w:rsidR="004F2CDC" w:rsidRPr="001455DC" w:rsidRDefault="004E22C1" w:rsidP="008D37B2">
      <w:pPr>
        <w:pStyle w:val="a7"/>
        <w:keepNext/>
        <w:rPr>
          <w:lang w:eastAsia="de-CH"/>
        </w:rPr>
      </w:pPr>
      <w:r w:rsidRPr="001455DC">
        <w:rPr>
          <w:lang w:eastAsia="de-CH"/>
        </w:rPr>
        <w:t>(1)</w:t>
      </w:r>
      <w:r w:rsidRPr="001455DC">
        <w:rPr>
          <w:lang w:eastAsia="de-CH"/>
        </w:rPr>
        <w:tab/>
        <w:t>Where shear reinforcement is required, it should be calculated in accordance to:</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F2CDC" w:rsidRPr="001455DC" w14:paraId="3B90640B" w14:textId="77777777" w:rsidTr="004F2CDC">
        <w:trPr>
          <w:cantSplit/>
        </w:trPr>
        <w:tc>
          <w:tcPr>
            <w:tcW w:w="8505" w:type="dxa"/>
            <w:vAlign w:val="center"/>
          </w:tcPr>
          <w:p w14:paraId="526E6524" w14:textId="2626DF85" w:rsidR="004F2CDC" w:rsidRPr="001455DC" w:rsidRDefault="00231E33" w:rsidP="004F2CDC">
            <w:pPr>
              <w:pStyle w:val="Formula"/>
              <w:jc w:val="left"/>
            </w:pPr>
            <m:oMathPara>
              <m:oMathParaPr>
                <m:jc m:val="left"/>
              </m:oMathParaPr>
              <m:oMath>
                <m:sSub>
                  <m:sSubPr>
                    <m:ctrlPr>
                      <w:rPr>
                        <w:rFonts w:ascii="Cambria Math" w:hAnsi="Cambria Math"/>
                        <w:lang w:eastAsia="de-CH"/>
                      </w:rPr>
                    </m:ctrlPr>
                  </m:sSubPr>
                  <m:e>
                    <m:r>
                      <w:rPr>
                        <w:rFonts w:ascii="Cambria Math" w:hAnsi="Cambria Math"/>
                      </w:rPr>
                      <m:t>τ</m:t>
                    </m:r>
                  </m:e>
                  <m:sub>
                    <m:r>
                      <m:rPr>
                        <m:sty m:val="p"/>
                      </m:rPr>
                      <w:rPr>
                        <w:rFonts w:ascii="Cambria Math" w:hAnsi="Cambria Math"/>
                      </w:rPr>
                      <m:t>Rd,cs</m:t>
                    </m:r>
                  </m:sub>
                </m:sSub>
                <m: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c</m:t>
                    </m:r>
                  </m:sub>
                </m:sSub>
                <m:r>
                  <w:rPr>
                    <w:rFonts w:ascii="Cambria Math" w:hAnsi="Cambria Math"/>
                  </w:rPr>
                  <m:t>⋅</m:t>
                </m:r>
                <m:sSub>
                  <m:sSubPr>
                    <m:ctrlPr>
                      <w:rPr>
                        <w:rFonts w:ascii="Cambria Math" w:hAnsi="Cambria Math"/>
                      </w:rPr>
                    </m:ctrlPr>
                  </m:sSubPr>
                  <m:e>
                    <m:r>
                      <w:rPr>
                        <w:rFonts w:ascii="Cambria Math" w:hAnsi="Cambria Math"/>
                      </w:rPr>
                      <m:t>τ</m:t>
                    </m:r>
                  </m:e>
                  <m:sub>
                    <m:r>
                      <m:rPr>
                        <m:sty m:val="p"/>
                      </m:rPr>
                      <w:rPr>
                        <w:rFonts w:ascii="Cambria Math" w:hAnsi="Cambria Math"/>
                      </w:rPr>
                      <m:t>Rd,c</m:t>
                    </m:r>
                  </m:sub>
                </m:sSub>
                <m: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s</m:t>
                    </m:r>
                  </m:sub>
                </m:sSub>
                <m:r>
                  <w:rPr>
                    <w:rFonts w:ascii="Cambria Math" w:hAnsi="Cambria Math"/>
                  </w:rPr>
                  <m:t>⋅</m:t>
                </m:r>
                <m:sSub>
                  <m:sSubPr>
                    <m:ctrlPr>
                      <w:rPr>
                        <w:rFonts w:ascii="Cambria Math" w:hAnsi="Cambria Math"/>
                      </w:rPr>
                    </m:ctrlPr>
                  </m:sSubPr>
                  <m:e>
                    <m:r>
                      <w:rPr>
                        <w:rFonts w:ascii="Cambria Math" w:hAnsi="Cambria Math"/>
                      </w:rPr>
                      <m:t>ρ</m:t>
                    </m:r>
                  </m:e>
                  <m:sub>
                    <m:r>
                      <m:rPr>
                        <m:sty m:val="p"/>
                      </m:rPr>
                      <w:rPr>
                        <w:rFonts w:ascii="Cambria Math" w:hAnsi="Cambria Math"/>
                      </w:rPr>
                      <m:t>w</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ywd</m:t>
                    </m:r>
                  </m:sub>
                </m:sSub>
                <m:r>
                  <w:rPr>
                    <w:rFonts w:ascii="Cambria Math" w:hAnsi="Cambria Math"/>
                  </w:rPr>
                  <m:t>≥</m:t>
                </m:r>
                <m:sSub>
                  <m:sSubPr>
                    <m:ctrlPr>
                      <w:rPr>
                        <w:rFonts w:ascii="Cambria Math" w:hAnsi="Cambria Math"/>
                      </w:rPr>
                    </m:ctrlPr>
                  </m:sSubPr>
                  <m:e>
                    <m:r>
                      <w:rPr>
                        <w:rFonts w:ascii="Cambria Math" w:hAnsi="Cambria Math"/>
                      </w:rPr>
                      <m:t>ρ</m:t>
                    </m:r>
                  </m:e>
                  <m:sub>
                    <m:r>
                      <m:rPr>
                        <m:sty m:val="p"/>
                      </m:rPr>
                      <w:rPr>
                        <w:rFonts w:ascii="Cambria Math" w:hAnsi="Cambria Math"/>
                      </w:rPr>
                      <m:t>w</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ywd</m:t>
                    </m:r>
                  </m:sub>
                </m:sSub>
              </m:oMath>
            </m:oMathPara>
          </w:p>
        </w:tc>
        <w:tc>
          <w:tcPr>
            <w:tcW w:w="1247" w:type="dxa"/>
            <w:vAlign w:val="center"/>
          </w:tcPr>
          <w:p w14:paraId="702AF89C" w14:textId="7C64B1A0" w:rsidR="004F2CDC" w:rsidRPr="001455DC" w:rsidRDefault="00ED2C48">
            <w:pPr>
              <w:pStyle w:val="a7"/>
              <w:jc w:val="right"/>
            </w:pPr>
            <w:r w:rsidRPr="001455DC">
              <w:rPr>
                <w:lang w:eastAsia="de-CH"/>
              </w:rPr>
              <w:t>(8.</w:t>
            </w:r>
            <w:r w:rsidR="006207A3" w:rsidRPr="001455DC">
              <w:rPr>
                <w:lang w:eastAsia="de-CH"/>
              </w:rPr>
              <w:t>88</w:t>
            </w:r>
            <w:r w:rsidRPr="001455DC">
              <w:rPr>
                <w:lang w:eastAsia="de-CH"/>
              </w:rPr>
              <w:t>)</w:t>
            </w:r>
          </w:p>
        </w:tc>
      </w:tr>
    </w:tbl>
    <w:p w14:paraId="160BC11A" w14:textId="77777777" w:rsidR="00ED2C48" w:rsidRPr="001455DC" w:rsidRDefault="004E22C1" w:rsidP="00A35599">
      <w:pPr>
        <w:pStyle w:val="a7"/>
        <w:keepNext/>
        <w:rPr>
          <w:lang w:eastAsia="de-CH"/>
        </w:rPr>
      </w:pPr>
      <w:r w:rsidRPr="001455DC">
        <w:rPr>
          <w:lang w:eastAsia="de-CH"/>
        </w:rPr>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7881"/>
        <w:gridCol w:w="964"/>
      </w:tblGrid>
      <w:tr w:rsidR="00D50CCA" w:rsidRPr="001455DC" w14:paraId="4D6FE6BD" w14:textId="77777777" w:rsidTr="00D50CCA">
        <w:trPr>
          <w:cantSplit/>
        </w:trPr>
        <w:tc>
          <w:tcPr>
            <w:tcW w:w="567" w:type="dxa"/>
          </w:tcPr>
          <w:p w14:paraId="00FDF76C" w14:textId="4057D654" w:rsidR="00D50CCA" w:rsidRPr="001455DC" w:rsidRDefault="00D50CCA" w:rsidP="00D50CCA">
            <w:pPr>
              <w:pStyle w:val="Tablebody"/>
            </w:pPr>
            <w:r w:rsidRPr="001455DC">
              <w:t> </w:t>
            </w:r>
          </w:p>
        </w:tc>
        <w:tc>
          <w:tcPr>
            <w:tcW w:w="7881" w:type="dxa"/>
            <w:vAlign w:val="center"/>
          </w:tcPr>
          <w:p w14:paraId="69E19258" w14:textId="37C01CFC" w:rsidR="00D50CCA" w:rsidRPr="001455DC" w:rsidRDefault="00231E33" w:rsidP="00D50CCA">
            <w:pPr>
              <w:pStyle w:val="Formula"/>
              <w:ind w:left="0"/>
              <w:jc w:val="left"/>
            </w:pPr>
            <m:oMathPara>
              <m:oMathParaPr>
                <m:jc m:val="left"/>
              </m:oMathParaPr>
              <m:oMath>
                <m:sSub>
                  <m:sSubPr>
                    <m:ctrlPr>
                      <w:rPr>
                        <w:rFonts w:ascii="Cambria Math" w:hAnsi="Cambria Math"/>
                      </w:rPr>
                    </m:ctrlPr>
                  </m:sSubPr>
                  <m:e>
                    <m:r>
                      <w:rPr>
                        <w:rFonts w:ascii="Cambria Math" w:hAnsi="Cambria Math"/>
                      </w:rPr>
                      <m:t>η</m:t>
                    </m:r>
                  </m:e>
                  <m:sub>
                    <m:r>
                      <m:rPr>
                        <m:sty m:val="p"/>
                      </m:rPr>
                      <w:rPr>
                        <w:rFonts w:ascii="Cambria Math" w:hAnsi="Cambria Math"/>
                      </w:rPr>
                      <m:t>c</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τ</m:t>
                        </m:r>
                      </m:e>
                      <m:sub>
                        <m:r>
                          <m:rPr>
                            <m:sty m:val="p"/>
                          </m:rPr>
                          <w:rPr>
                            <w:rFonts w:ascii="Cambria Math" w:hAnsi="Cambria Math"/>
                          </w:rPr>
                          <m:t>Rd,c</m:t>
                        </m:r>
                      </m:sub>
                    </m:sSub>
                  </m:num>
                  <m:den>
                    <m:sSub>
                      <m:sSubPr>
                        <m:ctrlPr>
                          <w:rPr>
                            <w:rFonts w:ascii="Cambria Math" w:hAnsi="Cambria Math"/>
                          </w:rPr>
                        </m:ctrlPr>
                      </m:sSubPr>
                      <m:e>
                        <m:r>
                          <w:rPr>
                            <w:rFonts w:ascii="Cambria Math" w:hAnsi="Cambria Math"/>
                          </w:rPr>
                          <m:t>τ</m:t>
                        </m:r>
                      </m:e>
                      <m:sub>
                        <m:r>
                          <m:rPr>
                            <m:sty m:val="p"/>
                          </m:rPr>
                          <w:rPr>
                            <w:rFonts w:ascii="Cambria Math" w:hAnsi="Cambria Math"/>
                          </w:rPr>
                          <m:t>Ed</m:t>
                        </m:r>
                      </m:sub>
                    </m:sSub>
                  </m:den>
                </m:f>
              </m:oMath>
            </m:oMathPara>
          </w:p>
        </w:tc>
        <w:tc>
          <w:tcPr>
            <w:tcW w:w="964" w:type="dxa"/>
            <w:vAlign w:val="center"/>
          </w:tcPr>
          <w:p w14:paraId="2A099A44" w14:textId="3DFF4E5F" w:rsidR="00D50CCA" w:rsidRPr="001455DC" w:rsidRDefault="00D50CCA">
            <w:pPr>
              <w:pStyle w:val="a7"/>
              <w:jc w:val="right"/>
            </w:pPr>
            <w:r w:rsidRPr="001455DC">
              <w:rPr>
                <w:lang w:eastAsia="de-CH"/>
              </w:rPr>
              <w:t>(8.</w:t>
            </w:r>
            <w:r w:rsidR="006207A3" w:rsidRPr="001455DC">
              <w:rPr>
                <w:lang w:eastAsia="de-CH"/>
              </w:rPr>
              <w:t>89</w:t>
            </w:r>
            <w:r w:rsidRPr="001455DC">
              <w:rPr>
                <w:lang w:eastAsia="de-CH"/>
              </w:rPr>
              <w:t>)</w:t>
            </w:r>
          </w:p>
        </w:tc>
      </w:tr>
      <w:tr w:rsidR="00D50CCA" w:rsidRPr="001455DC" w14:paraId="63916FE4" w14:textId="77777777" w:rsidTr="00D50CCA">
        <w:trPr>
          <w:cantSplit/>
        </w:trPr>
        <w:tc>
          <w:tcPr>
            <w:tcW w:w="567" w:type="dxa"/>
          </w:tcPr>
          <w:p w14:paraId="696E5605" w14:textId="51B581A8" w:rsidR="00D50CCA" w:rsidRPr="001455DC" w:rsidRDefault="00D50CCA" w:rsidP="00D50CCA">
            <w:pPr>
              <w:pStyle w:val="Tablebody"/>
            </w:pPr>
            <w:r w:rsidRPr="001455DC">
              <w:t> </w:t>
            </w:r>
          </w:p>
        </w:tc>
        <w:tc>
          <w:tcPr>
            <w:tcW w:w="7881" w:type="dxa"/>
            <w:vAlign w:val="center"/>
          </w:tcPr>
          <w:p w14:paraId="48E6E12C" w14:textId="072F7E5E" w:rsidR="00D50CCA" w:rsidRPr="001455DC" w:rsidRDefault="00231E33" w:rsidP="00D50CCA">
            <w:pPr>
              <w:pStyle w:val="Formula"/>
              <w:ind w:left="0"/>
              <w:jc w:val="left"/>
            </w:pPr>
            <m:oMathPara>
              <m:oMathParaPr>
                <m:jc m:val="left"/>
              </m:oMathParaPr>
              <m:oMath>
                <m:sSub>
                  <m:sSubPr>
                    <m:ctrlPr>
                      <w:rPr>
                        <w:rFonts w:ascii="Cambria Math" w:hAnsi="Cambria Math"/>
                      </w:rPr>
                    </m:ctrlPr>
                  </m:sSubPr>
                  <m:e>
                    <m:r>
                      <w:rPr>
                        <w:rFonts w:ascii="Cambria Math" w:hAnsi="Cambria Math"/>
                      </w:rPr>
                      <m:t>η</m:t>
                    </m:r>
                  </m:e>
                  <m:sub>
                    <m:r>
                      <m:rPr>
                        <m:sty m:val="p"/>
                      </m:rPr>
                      <w:rPr>
                        <w:rFonts w:ascii="Cambria Math" w:hAnsi="Cambria Math"/>
                      </w:rPr>
                      <m:t>s</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v</m:t>
                        </m:r>
                      </m:sub>
                    </m:sSub>
                  </m:num>
                  <m:den>
                    <m:r>
                      <w:rPr>
                        <w:rFonts w:ascii="Cambria Math" w:hAnsi="Cambria Math"/>
                      </w:rPr>
                      <m:t>150</m:t>
                    </m:r>
                    <m:sSub>
                      <m:sSubPr>
                        <m:ctrlPr>
                          <w:rPr>
                            <w:rFonts w:ascii="Cambria Math" w:hAnsi="Cambria Math"/>
                          </w:rPr>
                        </m:ctrlPr>
                      </m:sSubPr>
                      <m:e>
                        <m:r>
                          <w:rPr>
                            <w:rFonts w:ascii="Cambria Math" w:hAnsi="Cambria Math"/>
                          </w:rPr>
                          <m:t>ϕ</m:t>
                        </m:r>
                      </m:e>
                      <m:sub>
                        <m:r>
                          <m:rPr>
                            <m:sty m:val="p"/>
                          </m:rPr>
                          <w:rPr>
                            <w:rFonts w:ascii="Cambria Math" w:hAnsi="Cambria Math"/>
                          </w:rPr>
                          <m:t>v</m:t>
                        </m:r>
                      </m:sub>
                    </m:sSub>
                  </m:den>
                </m:f>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15</m:t>
                        </m:r>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dg</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v</m:t>
                                </m:r>
                              </m:sub>
                            </m:sSub>
                          </m:den>
                        </m:f>
                      </m:e>
                    </m:d>
                  </m:e>
                  <m:sup>
                    <m:f>
                      <m:fPr>
                        <m:type m:val="lin"/>
                        <m:ctrlPr>
                          <w:rPr>
                            <w:rFonts w:ascii="Cambria Math" w:hAnsi="Cambria Math"/>
                          </w:rPr>
                        </m:ctrlPr>
                      </m:fPr>
                      <m:num>
                        <m:r>
                          <w:rPr>
                            <w:rFonts w:ascii="Cambria Math" w:hAnsi="Cambria Math"/>
                          </w:rPr>
                          <m:t>1</m:t>
                        </m:r>
                      </m:num>
                      <m:den>
                        <m:r>
                          <w:rPr>
                            <w:rFonts w:ascii="Cambria Math" w:hAnsi="Cambria Math"/>
                          </w:rPr>
                          <m:t>2</m:t>
                        </m:r>
                      </m:den>
                    </m:f>
                  </m:sup>
                </m:sSup>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η</m:t>
                                </m:r>
                              </m:e>
                              <m:sub>
                                <m:r>
                                  <m:rPr>
                                    <m:sty m:val="p"/>
                                  </m:rPr>
                                  <w:rPr>
                                    <w:rFonts w:ascii="Cambria Math" w:hAnsi="Cambria Math"/>
                                  </w:rPr>
                                  <m:t>c</m:t>
                                </m:r>
                              </m:sub>
                            </m:sSub>
                            <m: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pb</m:t>
                                </m:r>
                              </m:sub>
                            </m:sSub>
                          </m:den>
                        </m:f>
                      </m:e>
                    </m:d>
                  </m:e>
                  <m:sup>
                    <m:f>
                      <m:fPr>
                        <m:type m:val="lin"/>
                        <m:ctrlPr>
                          <w:rPr>
                            <w:rFonts w:ascii="Cambria Math" w:hAnsi="Cambria Math"/>
                          </w:rPr>
                        </m:ctrlPr>
                      </m:fPr>
                      <m:num>
                        <m:r>
                          <w:rPr>
                            <w:rFonts w:ascii="Cambria Math" w:hAnsi="Cambria Math"/>
                          </w:rPr>
                          <m:t>3</m:t>
                        </m:r>
                      </m:num>
                      <m:den>
                        <m:r>
                          <w:rPr>
                            <w:rFonts w:ascii="Cambria Math" w:hAnsi="Cambria Math"/>
                          </w:rPr>
                          <m:t>2</m:t>
                        </m:r>
                      </m:den>
                    </m:f>
                  </m:sup>
                </m:sSup>
                <m:r>
                  <w:rPr>
                    <w:rFonts w:ascii="Cambria Math" w:hAnsi="Cambria Math"/>
                  </w:rPr>
                  <m:t>≤0,8</m:t>
                </m:r>
              </m:oMath>
            </m:oMathPara>
          </w:p>
        </w:tc>
        <w:tc>
          <w:tcPr>
            <w:tcW w:w="964" w:type="dxa"/>
            <w:vAlign w:val="center"/>
          </w:tcPr>
          <w:p w14:paraId="5C592947" w14:textId="066E671C" w:rsidR="00D50CCA" w:rsidRPr="001455DC" w:rsidRDefault="00D50CCA">
            <w:pPr>
              <w:pStyle w:val="a7"/>
              <w:jc w:val="right"/>
            </w:pPr>
            <w:r w:rsidRPr="001455DC">
              <w:rPr>
                <w:lang w:eastAsia="de-CH"/>
              </w:rPr>
              <w:t>(8.</w:t>
            </w:r>
            <w:r w:rsidR="006207A3" w:rsidRPr="001455DC">
              <w:rPr>
                <w:lang w:eastAsia="de-CH"/>
              </w:rPr>
              <w:t>90</w:t>
            </w:r>
            <w:r w:rsidRPr="001455DC">
              <w:rPr>
                <w:lang w:eastAsia="de-CH"/>
              </w:rPr>
              <w:t>)</w:t>
            </w:r>
          </w:p>
        </w:tc>
      </w:tr>
    </w:tbl>
    <w:p w14:paraId="58B06426" w14:textId="44AA9910" w:rsidR="006207A3" w:rsidRPr="009D3012" w:rsidRDefault="006207A3" w:rsidP="009D3012">
      <w:pPr>
        <w:pStyle w:val="a7"/>
        <w:keepNext/>
      </w:pPr>
      <w:r w:rsidRPr="009D3012">
        <w:rPr>
          <w:lang w:eastAsia="de-CH"/>
        </w:rPr>
        <w:t xml:space="preserve">Where </w:t>
      </w:r>
      <m:oMath>
        <m:sSub>
          <m:sSubPr>
            <m:ctrlPr>
              <w:rPr>
                <w:rFonts w:ascii="Cambria Math" w:hAnsi="Cambria Math"/>
              </w:rPr>
            </m:ctrlPr>
          </m:sSubPr>
          <m:e>
            <m:r>
              <w:rPr>
                <w:rFonts w:ascii="Cambria Math" w:hAnsi="Cambria Math"/>
              </w:rPr>
              <m:t>d</m:t>
            </m:r>
          </m:e>
          <m:sub>
            <m:r>
              <m:rPr>
                <m:sty m:val="p"/>
              </m:rPr>
              <w:rPr>
                <w:rFonts w:ascii="Cambria Math" w:hAnsi="Cambria Math"/>
              </w:rPr>
              <m:t>dg</m:t>
            </m:r>
          </m:sub>
        </m:sSub>
      </m:oMath>
      <w:r w:rsidRPr="009D3012">
        <w:t xml:space="preserve"> is defined in 8.2.1(4)</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1247"/>
        <w:gridCol w:w="6634"/>
        <w:gridCol w:w="964"/>
      </w:tblGrid>
      <w:tr w:rsidR="00D50CCA" w:rsidRPr="001455DC" w14:paraId="60F23D49" w14:textId="77777777" w:rsidTr="00D50CCA">
        <w:trPr>
          <w:cantSplit/>
        </w:trPr>
        <w:tc>
          <w:tcPr>
            <w:tcW w:w="567" w:type="dxa"/>
          </w:tcPr>
          <w:p w14:paraId="1169F9AB" w14:textId="299BCA66" w:rsidR="00D50CCA" w:rsidRPr="001455DC" w:rsidRDefault="00D50CCA" w:rsidP="00D50CCA">
            <w:pPr>
              <w:pStyle w:val="Tablebody"/>
            </w:pPr>
            <w:r w:rsidRPr="001455DC">
              <w:t> </w:t>
            </w:r>
          </w:p>
          <w:p w14:paraId="3EA189F2" w14:textId="51D5C817" w:rsidR="006207A3" w:rsidRPr="001455DC" w:rsidRDefault="006207A3" w:rsidP="00D50CCA">
            <w:pPr>
              <w:pStyle w:val="Tablebody"/>
            </w:pPr>
          </w:p>
        </w:tc>
        <w:tc>
          <w:tcPr>
            <w:tcW w:w="1247" w:type="dxa"/>
            <w:vAlign w:val="center"/>
          </w:tcPr>
          <w:p w14:paraId="4C86A8EB" w14:textId="388F5ACE" w:rsidR="00D50CCA" w:rsidRPr="001455DC" w:rsidRDefault="00231E33" w:rsidP="00D50CCA">
            <w:pPr>
              <w:pStyle w:val="Formula"/>
              <w:ind w:left="0"/>
              <w:jc w:val="left"/>
            </w:pPr>
            <m:oMathPara>
              <m:oMathParaPr>
                <m:jc m:val="left"/>
              </m:oMathParaPr>
              <m:oMath>
                <m:sSub>
                  <m:sSubPr>
                    <m:ctrlPr>
                      <w:rPr>
                        <w:rFonts w:ascii="Cambria Math" w:hAnsi="Cambria Math"/>
                        <w:lang w:eastAsia="de-CH"/>
                      </w:rPr>
                    </m:ctrlPr>
                  </m:sSubPr>
                  <m:e>
                    <m:r>
                      <w:rPr>
                        <w:rFonts w:ascii="Cambria Math" w:hAnsi="Cambria Math"/>
                      </w:rPr>
                      <m:t>ρ</m:t>
                    </m:r>
                  </m:e>
                  <m:sub>
                    <m:r>
                      <w:rPr>
                        <w:rFonts w:ascii="Cambria Math" w:hAnsi="Cambria Math"/>
                      </w:rPr>
                      <m:t>w</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sw</m:t>
                        </m:r>
                      </m:sub>
                    </m:sSub>
                  </m:num>
                  <m:den>
                    <m:sSub>
                      <m:sSubPr>
                        <m:ctrlPr>
                          <w:rPr>
                            <w:rFonts w:ascii="Cambria Math" w:hAnsi="Cambria Math"/>
                          </w:rPr>
                        </m:ctrlPr>
                      </m:sSubPr>
                      <m:e>
                        <m:r>
                          <w:rPr>
                            <w:rFonts w:ascii="Cambria Math" w:hAnsi="Cambria Math"/>
                          </w:rPr>
                          <m:t>s</m:t>
                        </m:r>
                      </m:e>
                      <m:sub>
                        <m: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t</m:t>
                        </m:r>
                      </m:sub>
                    </m:sSub>
                  </m:den>
                </m:f>
              </m:oMath>
            </m:oMathPara>
          </w:p>
        </w:tc>
        <w:tc>
          <w:tcPr>
            <w:tcW w:w="6634" w:type="dxa"/>
            <w:vAlign w:val="center"/>
          </w:tcPr>
          <w:p w14:paraId="5635E6F3" w14:textId="2C5BC26D" w:rsidR="00D50CCA" w:rsidRPr="001455DC" w:rsidRDefault="00D50CCA" w:rsidP="00D50CCA">
            <w:pPr>
              <w:pStyle w:val="Formula"/>
              <w:ind w:left="0"/>
              <w:jc w:val="left"/>
            </w:pPr>
            <w:r w:rsidRPr="001455DC">
              <w:rPr>
                <w:lang w:eastAsia="de-CH"/>
              </w:rPr>
              <w:t>is the shear reinforcement ratio at the investigated control perimeter</w:t>
            </w:r>
          </w:p>
        </w:tc>
        <w:tc>
          <w:tcPr>
            <w:tcW w:w="964" w:type="dxa"/>
            <w:vAlign w:val="center"/>
          </w:tcPr>
          <w:p w14:paraId="6CE9D08A" w14:textId="5476536B" w:rsidR="00D50CCA" w:rsidRPr="001455DC" w:rsidRDefault="00D50CCA">
            <w:pPr>
              <w:pStyle w:val="a7"/>
              <w:jc w:val="right"/>
            </w:pPr>
            <w:r w:rsidRPr="001455DC">
              <w:rPr>
                <w:lang w:eastAsia="de-CH"/>
              </w:rPr>
              <w:t>(8.</w:t>
            </w:r>
            <w:r w:rsidR="006207A3" w:rsidRPr="001455DC">
              <w:rPr>
                <w:lang w:eastAsia="de-CH"/>
              </w:rPr>
              <w:t>91</w:t>
            </w:r>
            <w:r w:rsidRPr="001455DC">
              <w:rPr>
                <w:lang w:eastAsia="de-CH"/>
              </w:rPr>
              <w:t>)</w:t>
            </w:r>
          </w:p>
        </w:tc>
      </w:tr>
      <w:tr w:rsidR="00ED2C48" w:rsidRPr="001455DC" w14:paraId="10C624B8" w14:textId="77777777" w:rsidTr="00321313">
        <w:trPr>
          <w:cantSplit/>
        </w:trPr>
        <w:tc>
          <w:tcPr>
            <w:tcW w:w="567" w:type="dxa"/>
          </w:tcPr>
          <w:p w14:paraId="600E6803" w14:textId="4BDE050C" w:rsidR="00ED2C48" w:rsidRPr="001455DC" w:rsidRDefault="00ED2C48" w:rsidP="001F5D6E">
            <w:pPr>
              <w:pStyle w:val="Tablebody"/>
            </w:pPr>
            <w:r w:rsidRPr="001455DC">
              <w:rPr>
                <w:rStyle w:val="CCMCvariableitalic"/>
              </w:rPr>
              <w:t>A</w:t>
            </w:r>
            <w:r w:rsidRPr="001455DC">
              <w:rPr>
                <w:rStyle w:val="CCMCvariablesubscript"/>
              </w:rPr>
              <w:t>sw</w:t>
            </w:r>
          </w:p>
        </w:tc>
        <w:tc>
          <w:tcPr>
            <w:tcW w:w="8845" w:type="dxa"/>
            <w:gridSpan w:val="3"/>
          </w:tcPr>
          <w:p w14:paraId="23B924D1" w14:textId="54697616" w:rsidR="00ED2C48" w:rsidRPr="001455DC" w:rsidRDefault="00ED2C48" w:rsidP="001F5D6E">
            <w:pPr>
              <w:pStyle w:val="Tablebody"/>
            </w:pPr>
            <w:r w:rsidRPr="001455DC">
              <w:rPr>
                <w:lang w:eastAsia="de-CH"/>
              </w:rPr>
              <w:t>is the area of one leg of shear reinforcement;</w:t>
            </w:r>
          </w:p>
        </w:tc>
      </w:tr>
      <w:tr w:rsidR="00ED2C48" w:rsidRPr="001455DC" w14:paraId="23CC813B" w14:textId="77777777" w:rsidTr="00321313">
        <w:trPr>
          <w:cantSplit/>
        </w:trPr>
        <w:tc>
          <w:tcPr>
            <w:tcW w:w="567" w:type="dxa"/>
          </w:tcPr>
          <w:p w14:paraId="1C7B6290" w14:textId="2C8F2B71" w:rsidR="00ED2C48" w:rsidRPr="001455DC" w:rsidRDefault="00ED2C48" w:rsidP="001F5D6E">
            <w:pPr>
              <w:pStyle w:val="Tablebody"/>
            </w:pPr>
            <w:r w:rsidRPr="001455DC">
              <w:rPr>
                <w:rStyle w:val="CCMCvariableitalic"/>
              </w:rPr>
              <w:t>s</w:t>
            </w:r>
            <w:r w:rsidRPr="001455DC">
              <w:rPr>
                <w:rStyle w:val="CCMCvariablesubscript"/>
              </w:rPr>
              <w:t>r</w:t>
            </w:r>
          </w:p>
        </w:tc>
        <w:tc>
          <w:tcPr>
            <w:tcW w:w="8845" w:type="dxa"/>
            <w:gridSpan w:val="3"/>
          </w:tcPr>
          <w:p w14:paraId="4480FF3C" w14:textId="4226AA5E" w:rsidR="00ED2C48" w:rsidRPr="001455DC" w:rsidRDefault="00ED2C48" w:rsidP="001F5D6E">
            <w:pPr>
              <w:pStyle w:val="Tablebody"/>
            </w:pPr>
            <w:r w:rsidRPr="001455DC">
              <w:rPr>
                <w:lang w:eastAsia="de-CH"/>
              </w:rPr>
              <w:t>is the radial spacing of shear reinforcement (</w:t>
            </w:r>
            <w:r w:rsidRPr="001455DC">
              <w:rPr>
                <w:rStyle w:val="CCMCvariableitalic"/>
              </w:rPr>
              <w:t>s</w:t>
            </w:r>
            <w:r w:rsidRPr="001455DC">
              <w:rPr>
                <w:rStyle w:val="CCMCvariablesubscript"/>
              </w:rPr>
              <w:t>r</w:t>
            </w:r>
            <w:r w:rsidRPr="001455DC">
              <w:t> </w:t>
            </w:r>
            <w:r w:rsidR="00EC27D2" w:rsidRPr="001455DC">
              <w:rPr>
                <w:rFonts w:ascii="Cambria Math" w:hAnsi="Cambria Math"/>
              </w:rPr>
              <w:t>=</w:t>
            </w:r>
            <w:r w:rsidRPr="001455DC">
              <w:t> </w:t>
            </w:r>
            <w:r w:rsidRPr="001455DC">
              <w:rPr>
                <w:rStyle w:val="CCMCvariableitalic"/>
              </w:rPr>
              <w:t>s</w:t>
            </w:r>
            <w:r w:rsidRPr="001455DC">
              <w:rPr>
                <w:rStyle w:val="CCMCvariablesubscript"/>
              </w:rPr>
              <w:t>1</w:t>
            </w:r>
            <w:r w:rsidRPr="001455DC">
              <w:rPr>
                <w:lang w:eastAsia="de-CH"/>
              </w:rPr>
              <w:t xml:space="preserve">, see Figure 8.24); for evenly distributed shear reinforcement fulfilling the requirements of 12.4.2, </w:t>
            </w:r>
            <w:r w:rsidRPr="001455DC">
              <w:rPr>
                <w:rStyle w:val="CCMCvariableitalic"/>
              </w:rPr>
              <w:t>ρ</w:t>
            </w:r>
            <w:r w:rsidRPr="001455DC">
              <w:rPr>
                <w:rStyle w:val="CCMCvariablesubscript"/>
              </w:rPr>
              <w:t>w</w:t>
            </w:r>
            <w:r w:rsidRPr="001455DC">
              <w:rPr>
                <w:lang w:eastAsia="de-CH"/>
              </w:rPr>
              <w:t xml:space="preserve"> may be calculated directly on the basis of the spacing in both directions. Where single bent up bars are used, </w:t>
            </w:r>
            <w:r w:rsidRPr="001455DC">
              <w:rPr>
                <w:rStyle w:val="CCMCvariableitalic"/>
              </w:rPr>
              <w:t>s</w:t>
            </w:r>
            <w:r w:rsidRPr="001455DC">
              <w:rPr>
                <w:rStyle w:val="CCMCvariablesubscript"/>
              </w:rPr>
              <w:t>r</w:t>
            </w:r>
            <w:r w:rsidRPr="001455DC">
              <w:t> </w:t>
            </w:r>
            <w:r w:rsidR="00EC27D2" w:rsidRPr="001455DC">
              <w:rPr>
                <w:rFonts w:ascii="Cambria Math" w:hAnsi="Cambria Math"/>
              </w:rPr>
              <w:t>=</w:t>
            </w:r>
            <w:r w:rsidRPr="001455DC">
              <w:t> </w:t>
            </w:r>
            <w:r w:rsidRPr="001455DC">
              <w:rPr>
                <w:lang w:eastAsia="de-CH"/>
              </w:rPr>
              <w:t>0,67</w:t>
            </w:r>
            <w:r w:rsidRPr="001455DC">
              <w:rPr>
                <w:rStyle w:val="CCMCvariableitalic"/>
              </w:rPr>
              <w:t>d</w:t>
            </w:r>
            <w:r w:rsidRPr="001455DC">
              <w:rPr>
                <w:rStyle w:val="CCMCvariablesubscript"/>
              </w:rPr>
              <w:t>v</w:t>
            </w:r>
            <w:r w:rsidRPr="001455DC">
              <w:rPr>
                <w:lang w:eastAsia="de-CH"/>
              </w:rPr>
              <w:t xml:space="preserve"> may be assumed;</w:t>
            </w:r>
          </w:p>
        </w:tc>
      </w:tr>
      <w:tr w:rsidR="00ED2C48" w:rsidRPr="001455DC" w14:paraId="7F5F79F4" w14:textId="77777777" w:rsidTr="00321313">
        <w:trPr>
          <w:cantSplit/>
        </w:trPr>
        <w:tc>
          <w:tcPr>
            <w:tcW w:w="567" w:type="dxa"/>
          </w:tcPr>
          <w:p w14:paraId="1B86656F" w14:textId="4915A5FB" w:rsidR="00ED2C48" w:rsidRPr="001455DC" w:rsidRDefault="00ED2C48" w:rsidP="001F5D6E">
            <w:pPr>
              <w:pStyle w:val="Tablebody"/>
            </w:pPr>
            <w:r w:rsidRPr="001455DC">
              <w:rPr>
                <w:rStyle w:val="CCMCvariableitalic"/>
              </w:rPr>
              <w:t>s</w:t>
            </w:r>
            <w:r w:rsidRPr="001455DC">
              <w:rPr>
                <w:rStyle w:val="CCMCvariablesubscript"/>
              </w:rPr>
              <w:t>t</w:t>
            </w:r>
          </w:p>
        </w:tc>
        <w:tc>
          <w:tcPr>
            <w:tcW w:w="8845" w:type="dxa"/>
            <w:gridSpan w:val="3"/>
          </w:tcPr>
          <w:p w14:paraId="0DEE05C1" w14:textId="5C70A172" w:rsidR="00ED2C48" w:rsidRPr="001455DC" w:rsidRDefault="00ED2C48" w:rsidP="001F5D6E">
            <w:pPr>
              <w:pStyle w:val="Tablebody"/>
            </w:pPr>
            <w:r w:rsidRPr="001455DC">
              <w:rPr>
                <w:lang w:eastAsia="de-CH"/>
              </w:rPr>
              <w:t>is the average tangential spacing of perimeters of shear reinforcement measured at the investigated control perimeter (length of control perimeter divided by number of intersecting rows in case of shear reinforcement placed in cruciform or radial arrangement).</w:t>
            </w:r>
          </w:p>
        </w:tc>
      </w:tr>
    </w:tbl>
    <w:p w14:paraId="16FE3CEA" w14:textId="77777777" w:rsidR="004E22C1" w:rsidRPr="001455DC" w:rsidRDefault="004E22C1" w:rsidP="004543C9">
      <w:pPr>
        <w:pStyle w:val="a7"/>
        <w:keepNext/>
        <w:rPr>
          <w:lang w:eastAsia="de-CH"/>
        </w:rPr>
      </w:pPr>
      <w:r w:rsidRPr="001455DC">
        <w:rPr>
          <w:lang w:eastAsia="de-CH"/>
        </w:rPr>
        <w:t>(2)</w:t>
      </w:r>
      <w:r w:rsidRPr="001455DC">
        <w:rPr>
          <w:lang w:eastAsia="de-CH"/>
        </w:rPr>
        <w:tab/>
        <w:t>Where inclined shear reinforcement is used:</w:t>
      </w:r>
    </w:p>
    <w:p w14:paraId="32739594" w14:textId="5A6B1D31" w:rsidR="004E22C1" w:rsidRPr="001455DC" w:rsidRDefault="004E22C1" w:rsidP="004543C9">
      <w:pPr>
        <w:pStyle w:val="a0"/>
        <w:keepNext/>
      </w:pPr>
      <w:r w:rsidRPr="001455DC">
        <w:t xml:space="preserve">term </w:t>
      </w:r>
      <w:r w:rsidRPr="001455DC">
        <w:rPr>
          <w:rStyle w:val="CCMCvariableitalic"/>
        </w:rPr>
        <w:t>ρ</w:t>
      </w:r>
      <w:r w:rsidRPr="001455DC">
        <w:rPr>
          <w:rStyle w:val="CCMCvariablesubscript"/>
        </w:rPr>
        <w:t>w</w:t>
      </w:r>
      <w:r w:rsidRPr="001455DC">
        <w:t xml:space="preserve"> in Formula (8.</w:t>
      </w:r>
      <w:r w:rsidR="00DE3A26" w:rsidRPr="001455DC">
        <w:t>89</w:t>
      </w:r>
      <w:r w:rsidRPr="001455DC">
        <w:t>) may be multiplied by the factor (sin</w:t>
      </w:r>
      <w:r w:rsidRPr="001455DC">
        <w:rPr>
          <w:rStyle w:val="CCMCvariableitalic"/>
        </w:rPr>
        <w:t>α</w:t>
      </w:r>
      <w:r w:rsidRPr="001455DC">
        <w:rPr>
          <w:rStyle w:val="CCMCvariablesubscript"/>
        </w:rPr>
        <w:t>w</w:t>
      </w:r>
      <w:r w:rsidR="00EC27D2" w:rsidRPr="001455DC">
        <w:rPr>
          <w:rFonts w:ascii="Cambria Math" w:hAnsi="Cambria Math"/>
        </w:rPr>
        <w:t> + </w:t>
      </w:r>
      <w:r w:rsidRPr="001455DC">
        <w:t>cos</w:t>
      </w:r>
      <w:r w:rsidRPr="001455DC">
        <w:rPr>
          <w:rStyle w:val="CCMCvariableitalic"/>
        </w:rPr>
        <w:t>α</w:t>
      </w:r>
      <w:r w:rsidRPr="001455DC">
        <w:rPr>
          <w:rStyle w:val="CCMCvariablesubscript"/>
        </w:rPr>
        <w:t>w</w:t>
      </w:r>
      <w:r w:rsidRPr="001455DC">
        <w:t>);</w:t>
      </w:r>
    </w:p>
    <w:p w14:paraId="173E2DED" w14:textId="5A4BBB2A" w:rsidR="004E22C1" w:rsidRPr="001455DC" w:rsidRDefault="004E22C1" w:rsidP="004F2CDC">
      <w:pPr>
        <w:pStyle w:val="a0"/>
      </w:pPr>
      <w:r w:rsidRPr="001455DC">
        <w:t xml:space="preserve">coefficient </w:t>
      </w:r>
      <w:r w:rsidRPr="001455DC">
        <w:rPr>
          <w:rStyle w:val="CCMCvariableitalic"/>
        </w:rPr>
        <w:t>η</w:t>
      </w:r>
      <w:r w:rsidRPr="001455DC">
        <w:rPr>
          <w:rStyle w:val="CCMCvariablesubscript"/>
        </w:rPr>
        <w:t>s</w:t>
      </w:r>
      <w:r w:rsidRPr="001455DC">
        <w:t xml:space="preserve"> calculated according to Formula (8.</w:t>
      </w:r>
      <w:r w:rsidR="00DE3A26" w:rsidRPr="001455DC">
        <w:t>91</w:t>
      </w:r>
      <w:r w:rsidRPr="001455DC">
        <w:t>) may be multiplied by the factor (sin</w:t>
      </w:r>
      <w:r w:rsidRPr="001455DC">
        <w:rPr>
          <w:rStyle w:val="CCMCvariableitalic"/>
        </w:rPr>
        <w:t>α</w:t>
      </w:r>
      <w:r w:rsidRPr="001455DC">
        <w:rPr>
          <w:rStyle w:val="CCMCvariablesubscript"/>
        </w:rPr>
        <w:t>w</w:t>
      </w:r>
      <w:r w:rsidR="00EC27D2" w:rsidRPr="001455DC">
        <w:rPr>
          <w:rFonts w:ascii="Cambria Math" w:hAnsi="Cambria Math"/>
        </w:rPr>
        <w:t> + </w:t>
      </w:r>
      <w:r w:rsidRPr="001455DC">
        <w:t>cos</w:t>
      </w:r>
      <w:r w:rsidRPr="001455DC">
        <w:rPr>
          <w:rStyle w:val="CCMCvariableitalic"/>
        </w:rPr>
        <w:t>α</w:t>
      </w:r>
      <w:r w:rsidRPr="001455DC">
        <w:rPr>
          <w:rStyle w:val="CCMCvariablesubscript"/>
        </w:rPr>
        <w:t>w</w:t>
      </w:r>
      <w:r w:rsidRPr="001455DC">
        <w:t>) </w:t>
      </w:r>
      <w:r w:rsidR="00C74721" w:rsidRPr="001455DC">
        <w:rPr>
          <w:rFonts w:ascii="Cambria Math" w:hAnsi="Cambria Math" w:cs="Cambria Math"/>
        </w:rPr>
        <w:t>⋅</w:t>
      </w:r>
      <w:r w:rsidRPr="001455DC">
        <w:t> sin</w:t>
      </w:r>
      <w:r w:rsidRPr="001455DC">
        <w:rPr>
          <w:rStyle w:val="CCMCvariableitalic"/>
        </w:rPr>
        <w:t>α</w:t>
      </w:r>
      <w:r w:rsidRPr="001455DC">
        <w:rPr>
          <w:rStyle w:val="CCMCvariablesubscript"/>
        </w:rPr>
        <w:t>w</w:t>
      </w:r>
      <w:r w:rsidRPr="001455DC">
        <w:t xml:space="preserve"> (but respecting that </w:t>
      </w:r>
      <w:r w:rsidRPr="001455DC">
        <w:rPr>
          <w:rStyle w:val="CCMCvariableitalic"/>
        </w:rPr>
        <w:t>η</w:t>
      </w:r>
      <w:r w:rsidRPr="001455DC">
        <w:rPr>
          <w:rStyle w:val="CCMCvariablesubscript"/>
        </w:rPr>
        <w:t>s</w:t>
      </w:r>
      <w:r w:rsidRPr="001455DC">
        <w:t> </w:t>
      </w:r>
      <w:r w:rsidR="00650035" w:rsidRPr="001455DC">
        <w:rPr>
          <w:rFonts w:ascii="Cambria Math" w:hAnsi="Cambria Math"/>
        </w:rPr>
        <w:t>≤</w:t>
      </w:r>
      <w:r w:rsidRPr="001455DC">
        <w:t> 0,8).</w:t>
      </w:r>
    </w:p>
    <w:p w14:paraId="1282841F" w14:textId="77777777" w:rsidR="004F2CDC" w:rsidRPr="001455DC" w:rsidRDefault="004E22C1" w:rsidP="008D37B2">
      <w:pPr>
        <w:pStyle w:val="a7"/>
        <w:keepNext/>
        <w:rPr>
          <w:lang w:eastAsia="de-CH"/>
        </w:rPr>
      </w:pPr>
      <w:r w:rsidRPr="001455DC">
        <w:t>(3)</w:t>
      </w:r>
      <w:r w:rsidRPr="001455DC">
        <w:tab/>
      </w:r>
      <w:r w:rsidRPr="001455DC">
        <w:rPr>
          <w:lang w:eastAsia="de-CH"/>
        </w:rPr>
        <w:t>The punching shear resistance shall be limited to a maximum of:</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F2CDC" w:rsidRPr="001455DC" w14:paraId="4D452D90" w14:textId="77777777" w:rsidTr="004F2CDC">
        <w:trPr>
          <w:cantSplit/>
        </w:trPr>
        <w:tc>
          <w:tcPr>
            <w:tcW w:w="8505" w:type="dxa"/>
            <w:vAlign w:val="center"/>
          </w:tcPr>
          <w:p w14:paraId="3413465F" w14:textId="66C80302" w:rsidR="004F2CDC" w:rsidRPr="001455DC" w:rsidRDefault="004F2CDC" w:rsidP="004F2CDC">
            <w:pPr>
              <w:pStyle w:val="Formula"/>
              <w:jc w:val="left"/>
            </w:pPr>
            <w:r w:rsidRPr="001455DC">
              <w:rPr>
                <w:rStyle w:val="CCMCvariableitalic"/>
              </w:rPr>
              <w:t>τ</w:t>
            </w:r>
            <w:r w:rsidRPr="001455DC">
              <w:rPr>
                <w:rStyle w:val="CCMCvariablesubscript"/>
              </w:rPr>
              <w:t>Rd,max</w:t>
            </w:r>
            <w:r w:rsidRPr="001455DC">
              <w:t> </w:t>
            </w:r>
            <w:r w:rsidR="00EC27D2" w:rsidRPr="001455DC">
              <w:rPr>
                <w:rFonts w:ascii="Cambria Math" w:hAnsi="Cambria Math"/>
              </w:rPr>
              <w:t>=</w:t>
            </w:r>
            <w:r w:rsidRPr="001455DC">
              <w:t> </w:t>
            </w:r>
            <w:r w:rsidRPr="001455DC">
              <w:rPr>
                <w:rStyle w:val="CCMCvariableitalic"/>
              </w:rPr>
              <w:t>η</w:t>
            </w:r>
            <w:r w:rsidRPr="001455DC">
              <w:rPr>
                <w:rStyle w:val="CCMCvariablesubscript"/>
              </w:rPr>
              <w:t>sys</w:t>
            </w:r>
            <w:r w:rsidRPr="001455DC">
              <w:rPr>
                <w:lang w:eastAsia="de-CH"/>
              </w:rPr>
              <w:t> </w:t>
            </w:r>
            <w:r w:rsidR="00C74721" w:rsidRPr="001455DC">
              <w:rPr>
                <w:rFonts w:ascii="Cambria Math" w:hAnsi="Cambria Math" w:cs="Cambria Math"/>
                <w:lang w:eastAsia="de-CH"/>
              </w:rPr>
              <w:t>⋅</w:t>
            </w:r>
            <w:r w:rsidRPr="001455DC">
              <w:rPr>
                <w:lang w:eastAsia="de-CH"/>
              </w:rPr>
              <w:t> </w:t>
            </w:r>
            <w:r w:rsidRPr="001455DC">
              <w:rPr>
                <w:rStyle w:val="CCMCvariableitalic"/>
              </w:rPr>
              <w:t>τ</w:t>
            </w:r>
            <w:r w:rsidRPr="001455DC">
              <w:rPr>
                <w:rStyle w:val="CCMCvariablesubscript"/>
              </w:rPr>
              <w:t>Rd,c</w:t>
            </w:r>
          </w:p>
        </w:tc>
        <w:tc>
          <w:tcPr>
            <w:tcW w:w="1247" w:type="dxa"/>
            <w:vAlign w:val="center"/>
          </w:tcPr>
          <w:p w14:paraId="627F6B53" w14:textId="26581659" w:rsidR="004F2CDC" w:rsidRPr="001455DC" w:rsidRDefault="004F2CDC">
            <w:pPr>
              <w:pStyle w:val="a7"/>
              <w:jc w:val="right"/>
            </w:pPr>
            <w:r w:rsidRPr="001455DC">
              <w:rPr>
                <w:lang w:eastAsia="de-CH"/>
              </w:rPr>
              <w:t>(8.</w:t>
            </w:r>
            <w:r w:rsidR="00DE3A26" w:rsidRPr="001455DC">
              <w:rPr>
                <w:lang w:eastAsia="de-CH"/>
              </w:rPr>
              <w:t>92</w:t>
            </w:r>
            <w:r w:rsidRPr="001455DC">
              <w:rPr>
                <w:lang w:eastAsia="de-CH"/>
              </w:rPr>
              <w:t>)</w:t>
            </w:r>
          </w:p>
        </w:tc>
      </w:tr>
    </w:tbl>
    <w:p w14:paraId="71CDA212" w14:textId="1C5E10E0" w:rsidR="004F2CDC" w:rsidRPr="001455DC" w:rsidRDefault="004E22C1" w:rsidP="008D37B2">
      <w:pPr>
        <w:pStyle w:val="a7"/>
        <w:keepNext/>
        <w:rPr>
          <w:lang w:eastAsia="de-CH"/>
        </w:rPr>
      </w:pPr>
      <w:r w:rsidRPr="001455DC">
        <w:rPr>
          <w:lang w:eastAsia="de-CH"/>
        </w:rPr>
        <w:t xml:space="preserve">where a coefficient </w:t>
      </w:r>
      <w:r w:rsidRPr="001455DC">
        <w:rPr>
          <w:rStyle w:val="CCMCvariableitalic"/>
        </w:rPr>
        <w:t>η</w:t>
      </w:r>
      <w:r w:rsidRPr="001455DC">
        <w:rPr>
          <w:rStyle w:val="CCMCvariablesubscript"/>
        </w:rPr>
        <w:t>sys</w:t>
      </w:r>
      <w:r w:rsidRPr="001455DC">
        <w:rPr>
          <w:lang w:eastAsia="de-CH"/>
        </w:rPr>
        <w:t xml:space="preserve"> according to Formula (8.</w:t>
      </w:r>
      <w:r w:rsidR="00DE3A26" w:rsidRPr="001455DC">
        <w:rPr>
          <w:lang w:eastAsia="de-CH"/>
        </w:rPr>
        <w:t>93</w:t>
      </w:r>
      <w:r w:rsidRPr="001455DC">
        <w:rPr>
          <w:lang w:eastAsia="de-CH"/>
        </w:rPr>
        <w:t>) accounting for the performance of punching shear reinforcing systems may be used:</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F2CDC" w:rsidRPr="001455DC" w14:paraId="5AA9F77F" w14:textId="77777777" w:rsidTr="004F2CDC">
        <w:trPr>
          <w:cantSplit/>
        </w:trPr>
        <w:tc>
          <w:tcPr>
            <w:tcW w:w="8505" w:type="dxa"/>
            <w:vAlign w:val="center"/>
          </w:tcPr>
          <w:p w14:paraId="78CF8A57" w14:textId="0FB696B0" w:rsidR="004F2CDC" w:rsidRPr="001455DC" w:rsidRDefault="00231E33" w:rsidP="004F2CDC">
            <w:pPr>
              <w:pStyle w:val="Formula"/>
              <w:jc w:val="left"/>
            </w:pPr>
            <m:oMathPara>
              <m:oMathParaPr>
                <m:jc m:val="left"/>
              </m:oMathParaPr>
              <m:oMath>
                <m:sSub>
                  <m:sSubPr>
                    <m:ctrlPr>
                      <w:rPr>
                        <w:rFonts w:ascii="Cambria Math" w:hAnsi="Cambria Math"/>
                      </w:rPr>
                    </m:ctrlPr>
                  </m:sSubPr>
                  <m:e>
                    <m:r>
                      <w:rPr>
                        <w:rFonts w:ascii="Cambria Math" w:hAnsi="Cambria Math"/>
                      </w:rPr>
                      <m:t>η</m:t>
                    </m:r>
                  </m:e>
                  <m:sub>
                    <m:r>
                      <m:rPr>
                        <m:sty m:val="p"/>
                      </m:rPr>
                      <w:rPr>
                        <w:rFonts w:ascii="Cambria Math" w:hAnsi="Cambria Math"/>
                      </w:rPr>
                      <m:t>sys</m:t>
                    </m:r>
                  </m:sub>
                </m:sSub>
                <m:r>
                  <w:rPr>
                    <w:rFonts w:ascii="Cambria Math" w:hAnsi="Cambria Math"/>
                  </w:rPr>
                  <m:t>=1,15</m:t>
                </m:r>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sys</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v</m:t>
                        </m:r>
                      </m:sub>
                    </m:sSub>
                  </m:den>
                </m:f>
                <m:r>
                  <w:rPr>
                    <w:rFonts w:ascii="Cambria Math" w:hAnsi="Cambria Math"/>
                  </w:rPr>
                  <m:t>+0,63</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0</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v</m:t>
                                </m:r>
                              </m:sub>
                            </m:sSub>
                          </m:den>
                        </m:f>
                      </m:e>
                    </m:d>
                  </m:e>
                  <m:sup>
                    <m:f>
                      <m:fPr>
                        <m:type m:val="lin"/>
                        <m:ctrlPr>
                          <w:rPr>
                            <w:rFonts w:ascii="Cambria Math" w:hAnsi="Cambria Math"/>
                          </w:rPr>
                        </m:ctrlPr>
                      </m:fPr>
                      <m:num>
                        <m:r>
                          <w:rPr>
                            <w:rFonts w:ascii="Cambria Math" w:hAnsi="Cambria Math"/>
                          </w:rPr>
                          <m:t>1</m:t>
                        </m:r>
                      </m:num>
                      <m:den>
                        <m:r>
                          <w:rPr>
                            <w:rFonts w:ascii="Cambria Math" w:hAnsi="Cambria Math"/>
                          </w:rPr>
                          <m:t>4</m:t>
                        </m:r>
                      </m:den>
                    </m:f>
                  </m:sup>
                </m:sSup>
                <m:r>
                  <w:rPr>
                    <w:rFonts w:ascii="Cambria Math" w:hAnsi="Cambria Math"/>
                  </w:rPr>
                  <m:t>-0,85</m:t>
                </m:r>
                <m:f>
                  <m:fPr>
                    <m:ctrlPr>
                      <w:rPr>
                        <w:rFonts w:ascii="Cambria Math" w:hAnsi="Cambria Math"/>
                      </w:rPr>
                    </m:ctrlPr>
                  </m:fPr>
                  <m:num>
                    <m:sSub>
                      <m:sSubPr>
                        <m:ctrlPr>
                          <w:rPr>
                            <w:rFonts w:ascii="Cambria Math" w:hAnsi="Cambria Math"/>
                          </w:rPr>
                        </m:ctrlPr>
                      </m:sSubPr>
                      <m:e>
                        <m:r>
                          <w:rPr>
                            <w:rFonts w:ascii="Cambria Math" w:hAnsi="Cambria Math"/>
                          </w:rPr>
                          <m:t>s</m:t>
                        </m:r>
                      </m:e>
                      <m:sub>
                        <m:r>
                          <w:rPr>
                            <w:rFonts w:ascii="Cambria Math" w:hAnsi="Cambria Math"/>
                          </w:rPr>
                          <m:t>0</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sys</m:t>
                        </m:r>
                      </m:sub>
                    </m:sSub>
                  </m:den>
                </m:f>
              </m:oMath>
            </m:oMathPara>
          </w:p>
        </w:tc>
        <w:tc>
          <w:tcPr>
            <w:tcW w:w="1247" w:type="dxa"/>
            <w:vAlign w:val="center"/>
          </w:tcPr>
          <w:p w14:paraId="4CFB2AE8" w14:textId="5FBA3239" w:rsidR="004F2CDC" w:rsidRPr="001455DC" w:rsidRDefault="004F2CDC">
            <w:pPr>
              <w:pStyle w:val="a7"/>
              <w:jc w:val="right"/>
            </w:pPr>
            <w:r w:rsidRPr="001455DC">
              <w:rPr>
                <w:lang w:eastAsia="de-CH"/>
              </w:rPr>
              <w:t>(8.</w:t>
            </w:r>
            <w:r w:rsidR="00DE3A26" w:rsidRPr="001455DC">
              <w:rPr>
                <w:lang w:eastAsia="de-CH"/>
              </w:rPr>
              <w:t>93</w:t>
            </w:r>
            <w:r w:rsidRPr="001455DC">
              <w:rPr>
                <w:lang w:eastAsia="de-CH"/>
              </w:rPr>
              <w:t>)</w:t>
            </w:r>
          </w:p>
        </w:tc>
      </w:tr>
    </w:tbl>
    <w:p w14:paraId="106FEEDD" w14:textId="05258E2D" w:rsidR="004E22C1" w:rsidRPr="001455DC" w:rsidRDefault="004E22C1" w:rsidP="00CD6899">
      <w:pPr>
        <w:pStyle w:val="a7"/>
        <w:rPr>
          <w:lang w:eastAsia="de-CH"/>
        </w:rPr>
      </w:pPr>
      <w:r w:rsidRPr="001455DC">
        <w:rPr>
          <w:lang w:eastAsia="de-CH"/>
        </w:rPr>
        <w:t xml:space="preserve">where </w:t>
      </w:r>
      <w:r w:rsidRPr="001455DC">
        <w:rPr>
          <w:rStyle w:val="CCMCvariableitalic"/>
        </w:rPr>
        <w:t>d</w:t>
      </w:r>
      <w:r w:rsidRPr="001455DC">
        <w:rPr>
          <w:rStyle w:val="CCMCvariablesubscript"/>
        </w:rPr>
        <w:t>sys</w:t>
      </w:r>
      <w:r w:rsidRPr="001455DC">
        <w:rPr>
          <w:lang w:eastAsia="de-CH"/>
        </w:rPr>
        <w:t xml:space="preserve"> and </w:t>
      </w:r>
      <w:r w:rsidRPr="001455DC">
        <w:rPr>
          <w:rStyle w:val="CCMCvariableitalic"/>
        </w:rPr>
        <w:t>s</w:t>
      </w:r>
      <w:r w:rsidRPr="001455DC">
        <w:rPr>
          <w:rStyle w:val="CCMCvariablesubscript"/>
        </w:rPr>
        <w:t>0</w:t>
      </w:r>
      <w:r w:rsidRPr="001455DC">
        <w:rPr>
          <w:lang w:eastAsia="de-CH"/>
        </w:rPr>
        <w:t xml:space="preserve"> are defined in Figure 8.23</w:t>
      </w:r>
      <w:r w:rsidRPr="001455DC">
        <w:t xml:space="preserve">. For </w:t>
      </w:r>
      <w:r w:rsidRPr="001455DC">
        <w:rPr>
          <w:lang w:eastAsia="de-CH"/>
        </w:rPr>
        <w:t xml:space="preserve">variable distance </w:t>
      </w:r>
      <w:r w:rsidRPr="001455DC">
        <w:rPr>
          <w:rStyle w:val="CCMCvariableitalic"/>
        </w:rPr>
        <w:t>s</w:t>
      </w:r>
      <w:r w:rsidRPr="001455DC">
        <w:rPr>
          <w:rStyle w:val="CCMCvariablesubscript"/>
        </w:rPr>
        <w:t>0</w:t>
      </w:r>
      <w:r w:rsidRPr="001455DC">
        <w:rPr>
          <w:lang w:eastAsia="de-CH"/>
        </w:rPr>
        <w:t>, the average over the control perimeter should be used in Formula (8.</w:t>
      </w:r>
      <w:r w:rsidR="00DE3A26" w:rsidRPr="001455DC">
        <w:rPr>
          <w:lang w:eastAsia="de-CH"/>
        </w:rPr>
        <w:t>93</w:t>
      </w:r>
      <w:r w:rsidRPr="001455DC">
        <w:rPr>
          <w:lang w:eastAsia="de-CH"/>
        </w:rPr>
        <w:t>).</w:t>
      </w:r>
    </w:p>
    <w:p w14:paraId="312B47FD" w14:textId="5D49C74E" w:rsidR="004E22C1" w:rsidRPr="001455DC" w:rsidRDefault="004E22C1" w:rsidP="00CD6899">
      <w:pPr>
        <w:pStyle w:val="a7"/>
        <w:rPr>
          <w:lang w:eastAsia="de-CH"/>
        </w:rPr>
      </w:pPr>
      <w:r w:rsidRPr="001455DC">
        <w:rPr>
          <w:lang w:eastAsia="de-CH"/>
        </w:rPr>
        <w:t xml:space="preserve">Where specific products are used as shear reinforcement, </w:t>
      </w:r>
      <w:r w:rsidRPr="001455DC">
        <w:rPr>
          <w:rStyle w:val="CCMCvariableitalic"/>
        </w:rPr>
        <w:t>η</w:t>
      </w:r>
      <w:r w:rsidRPr="001455DC">
        <w:rPr>
          <w:rStyle w:val="CCMCvariablesubscript"/>
        </w:rPr>
        <w:t>sys</w:t>
      </w:r>
      <w:r w:rsidRPr="001455DC">
        <w:rPr>
          <w:lang w:eastAsia="de-CH"/>
        </w:rPr>
        <w:t xml:space="preserve"> shall be determined by testing in accordance with the applicable European Assessment Document (EAD).</w:t>
      </w:r>
    </w:p>
    <w:p w14:paraId="49B84B8F" w14:textId="77777777" w:rsidR="00DE3A26" w:rsidRPr="009D3012" w:rsidRDefault="00DE3A26" w:rsidP="009D3012">
      <w:pPr>
        <w:pStyle w:val="a7"/>
      </w:pPr>
      <w:r w:rsidRPr="009D3012">
        <w:t xml:space="preserve">The maximum punching shear resistance </w:t>
      </w:r>
      <w:r w:rsidRPr="009D3012">
        <w:rPr>
          <w:rFonts w:ascii="Symbol" w:hAnsi="Symbol"/>
          <w:i/>
        </w:rPr>
        <w:t></w:t>
      </w:r>
      <w:r w:rsidRPr="009D3012">
        <w:rPr>
          <w:vertAlign w:val="subscript"/>
        </w:rPr>
        <w:t>Rd,max</w:t>
      </w:r>
      <w:r w:rsidRPr="009D3012">
        <w:t xml:space="preserve"> of internal columns may be multiplied by </w:t>
      </w:r>
      <w:r w:rsidRPr="009D3012">
        <w:rPr>
          <w:rFonts w:ascii="Symbol" w:hAnsi="Symbol"/>
          <w:i/>
        </w:rPr>
        <w:t></w:t>
      </w:r>
      <w:r w:rsidRPr="009D3012">
        <w:rPr>
          <w:vertAlign w:val="subscript"/>
        </w:rPr>
        <w:t>pb</w:t>
      </w:r>
      <w:r w:rsidRPr="009D3012">
        <w:t xml:space="preserve"> considering compressive membrane action provided that:</w:t>
      </w:r>
    </w:p>
    <w:p w14:paraId="48018663" w14:textId="64879C2B" w:rsidR="00A46F70" w:rsidRPr="00A46F70" w:rsidRDefault="00DE3A26" w:rsidP="00082680">
      <w:pPr>
        <w:pStyle w:val="af9"/>
        <w:widowControl/>
        <w:numPr>
          <w:ilvl w:val="0"/>
          <w:numId w:val="54"/>
        </w:numPr>
        <w:spacing w:before="0" w:after="200" w:line="259" w:lineRule="auto"/>
        <w:contextualSpacing w:val="0"/>
        <w:jc w:val="left"/>
        <w:rPr>
          <w:rFonts w:cs="Arial"/>
        </w:rPr>
      </w:pPr>
      <w:r w:rsidRPr="009D3012">
        <w:rPr>
          <w:rFonts w:cs="Arial"/>
        </w:rPr>
        <w:t>no significant openings, inserts or slab edges are present at a distance less than 5</w:t>
      </w:r>
      <w:r w:rsidRPr="009D3012">
        <w:rPr>
          <w:rFonts w:cs="Arial"/>
          <w:i/>
        </w:rPr>
        <w:t>d</w:t>
      </w:r>
      <w:r w:rsidRPr="009D3012">
        <w:rPr>
          <w:rFonts w:cs="Arial"/>
          <w:vertAlign w:val="subscript"/>
        </w:rPr>
        <w:t>v</w:t>
      </w:r>
      <w:r w:rsidRPr="009D3012">
        <w:rPr>
          <w:rFonts w:cs="Arial"/>
        </w:rPr>
        <w:t xml:space="preserve"> from the control perimeter </w:t>
      </w:r>
      <w:r w:rsidRPr="009D3012">
        <w:rPr>
          <w:rFonts w:cs="Arial"/>
          <w:i/>
        </w:rPr>
        <w:t>b</w:t>
      </w:r>
      <w:r w:rsidRPr="009D3012">
        <w:rPr>
          <w:rFonts w:cs="Arial"/>
          <w:vertAlign w:val="subscript"/>
        </w:rPr>
        <w:t>0,5</w:t>
      </w:r>
      <w:r w:rsidR="00A46F70">
        <w:rPr>
          <w:rFonts w:cs="Arial"/>
        </w:rPr>
        <w:t xml:space="preserve">; </w:t>
      </w:r>
      <w:r w:rsidRPr="009D3012">
        <w:rPr>
          <w:rFonts w:cs="Arial"/>
        </w:rPr>
        <w:t>and</w:t>
      </w:r>
    </w:p>
    <w:p w14:paraId="73D8DDF0" w14:textId="3E86E699" w:rsidR="00DE3A26" w:rsidRPr="009D3012" w:rsidRDefault="00DE3A26" w:rsidP="00082680">
      <w:pPr>
        <w:pStyle w:val="af9"/>
        <w:widowControl/>
        <w:numPr>
          <w:ilvl w:val="0"/>
          <w:numId w:val="54"/>
        </w:numPr>
        <w:spacing w:before="0" w:after="0"/>
        <w:jc w:val="left"/>
        <w:rPr>
          <w:rFonts w:cs="Arial"/>
        </w:rPr>
      </w:pPr>
      <w:r w:rsidRPr="009D3012">
        <w:rPr>
          <w:rFonts w:cs="Arial"/>
        </w:rPr>
        <w:t xml:space="preserve">coefficient </w:t>
      </w:r>
      <w:r w:rsidRPr="009D3012">
        <w:rPr>
          <w:rFonts w:ascii="Symbol" w:hAnsi="Symbol" w:cs="Arial"/>
          <w:i/>
        </w:rPr>
        <w:t></w:t>
      </w:r>
      <w:r w:rsidRPr="009D3012">
        <w:rPr>
          <w:rFonts w:cs="Arial"/>
          <w:vertAlign w:val="subscript"/>
        </w:rPr>
        <w:t>pb</w:t>
      </w:r>
      <w:r w:rsidRPr="009D3012">
        <w:rPr>
          <w:rFonts w:cs="Arial"/>
        </w:rPr>
        <w:t xml:space="preserve"> is not already considered in </w:t>
      </w:r>
      <w:r w:rsidRPr="009D3012">
        <w:rPr>
          <w:rFonts w:ascii="Symbol" w:hAnsi="Symbol" w:cs="Arial"/>
          <w:i/>
        </w:rPr>
        <w:t></w:t>
      </w:r>
      <w:r w:rsidRPr="009D3012">
        <w:rPr>
          <w:rFonts w:cs="Arial"/>
          <w:vertAlign w:val="subscript"/>
        </w:rPr>
        <w:t>Rd,c</w:t>
      </w:r>
      <w:r w:rsidRPr="009D3012">
        <w:rPr>
          <w:rFonts w:cs="Arial"/>
        </w:rPr>
        <w:t xml:space="preserve"> according to I.8.</w:t>
      </w:r>
      <w:r w:rsidR="00373D4E" w:rsidRPr="009D3012">
        <w:rPr>
          <w:rFonts w:cs="Arial"/>
        </w:rPr>
        <w:t>5</w:t>
      </w:r>
      <w:r w:rsidRPr="009D3012">
        <w:rPr>
          <w:rFonts w:cs="Arial"/>
        </w:rPr>
        <w:t>.</w:t>
      </w:r>
      <w:r w:rsidR="00373D4E" w:rsidRPr="009D3012">
        <w:rPr>
          <w:rFonts w:cs="Arial"/>
        </w:rPr>
        <w:t>1</w:t>
      </w:r>
      <w:r w:rsidRPr="009D3012">
        <w:rPr>
          <w:rFonts w:cs="Arial"/>
        </w:rPr>
        <w:t>(1).</w:t>
      </w:r>
    </w:p>
    <w:p w14:paraId="726FEF52" w14:textId="7E890F50" w:rsidR="00DE3A26" w:rsidRPr="009D3012" w:rsidRDefault="00DE3A26" w:rsidP="009D3012">
      <w:pPr>
        <w:pStyle w:val="Note"/>
        <w:rPr>
          <w:lang w:eastAsia="de-CH"/>
        </w:rPr>
      </w:pPr>
      <w:r w:rsidRPr="009D3012">
        <w:rPr>
          <w:bCs/>
        </w:rPr>
        <w:t>NOTE</w:t>
      </w:r>
      <w:r w:rsidRPr="009D3012">
        <w:rPr>
          <w:bCs/>
        </w:rPr>
        <w:tab/>
      </w:r>
      <w:r w:rsidRPr="009D3012">
        <w:t xml:space="preserve">The factor is </w:t>
      </w:r>
      <w:r w:rsidRPr="009D3012">
        <w:rPr>
          <w:i/>
          <w:iCs/>
        </w:rPr>
        <w:sym w:font="Symbol" w:char="F068"/>
      </w:r>
      <w:r w:rsidRPr="009D3012">
        <w:rPr>
          <w:vertAlign w:val="subscript"/>
        </w:rPr>
        <w:t>pb</w:t>
      </w:r>
      <w:r w:rsidRPr="009D3012">
        <w:t xml:space="preserve"> =1,0 for new structures and </w:t>
      </w:r>
      <w:r w:rsidRPr="009D3012">
        <w:rPr>
          <w:i/>
          <w:iCs/>
        </w:rPr>
        <w:sym w:font="Symbol" w:char="F068"/>
      </w:r>
      <w:r w:rsidRPr="009D3012">
        <w:rPr>
          <w:vertAlign w:val="subscript"/>
        </w:rPr>
        <w:t>pb</w:t>
      </w:r>
      <w:r w:rsidRPr="009D3012">
        <w:t xml:space="preserve"> according to I.8.</w:t>
      </w:r>
      <w:r w:rsidR="00373D4E" w:rsidRPr="009D3012">
        <w:t>5</w:t>
      </w:r>
      <w:r w:rsidRPr="009D3012">
        <w:t>.</w:t>
      </w:r>
      <w:r w:rsidR="00373D4E" w:rsidRPr="009D3012">
        <w:t>1</w:t>
      </w:r>
      <w:r w:rsidRPr="009D3012">
        <w:t>(1) for existing structures unless a National Annex gives different values.</w:t>
      </w:r>
    </w:p>
    <w:p w14:paraId="2E5AA0EF" w14:textId="0CCC032E" w:rsidR="006D3F6F" w:rsidRPr="001455DC" w:rsidRDefault="006D3F6F" w:rsidP="004F2CDC">
      <w:pPr>
        <w:pStyle w:val="FigureImage"/>
        <w:rPr>
          <w:lang w:eastAsia="de-CH"/>
        </w:rPr>
      </w:pP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1769"/>
        <w:gridCol w:w="1948"/>
        <w:gridCol w:w="1949"/>
      </w:tblGrid>
      <w:tr w:rsidR="00CE290D" w14:paraId="15E6437C" w14:textId="77777777" w:rsidTr="003F0CF8">
        <w:trPr>
          <w:jc w:val="center"/>
        </w:trPr>
        <w:tc>
          <w:tcPr>
            <w:tcW w:w="8360" w:type="dxa"/>
            <w:gridSpan w:val="4"/>
          </w:tcPr>
          <w:p w14:paraId="3FE6D781" w14:textId="4F0CD23B" w:rsidR="00CE290D" w:rsidRDefault="00723CF7" w:rsidP="00185BCF">
            <w:pPr>
              <w:pStyle w:val="FigureImage"/>
              <w:rPr>
                <w:lang w:eastAsia="de-CH"/>
              </w:rPr>
            </w:pPr>
            <w:r>
              <w:rPr>
                <w:noProof/>
                <w:lang w:eastAsia="en-GB"/>
              </w:rPr>
              <w:fldChar w:fldCharType="begin"/>
            </w:r>
            <w:r>
              <w:rPr>
                <w:rFonts w:cs="Times New Roman"/>
                <w:noProof/>
                <w:lang w:eastAsia="en-GB"/>
              </w:rPr>
              <w:instrText xml:space="preserve"> INCLUDEPICTURE  "Y:\\STD_MGT\\STDDEL\\PRODUCTION\\etrans\\Download\\Z_FIRST_DEL\\SV\\00250\\00250269\\41_e_dr\\8_023.tif"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"Y:\\STD_MGT\\STDDEL\\PRODUCTION\\Standards\\00250\\269\\41_e_dr\\8_023.tif"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"Y:\\STD_MGT\\STDDEL\\PRODUCTION\\Standards\\00250\\269\\41_e_dr\\8_023.tif"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"Y:\\STD_MGT\\STDDEL\\PRODUCTION\\Standards\\00250\\269\\41_e_dr\\8_023.tif"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"Y:\\STD_MGT\\STDDEL\\PRODUCTION\\Standards\\00250\\269\\41_e_dr\\8_023.tif"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"Y:\\STD_MGT\\STDDEL\\PRODUCTION\\Standards\\00250\\269\\41_e_dr\\8_023.tif"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"C:\\Users\\a.dionysiou\\AppData\\Local\\Temp\\Temp1_00250269_e_20210902.zip.zip\\41_e_dr\\8_023.tif"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01E042BA">
                <v:shape id="_x0000_i1182" type="#_x0000_t75" style="width:228pt;height:116.25pt">
                  <v:imagedata r:id="rId334" r:href="rId335"/>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185BCF" w14:paraId="48A33C9C" w14:textId="77777777" w:rsidTr="003F0CF8">
        <w:trPr>
          <w:jc w:val="center"/>
        </w:trPr>
        <w:tc>
          <w:tcPr>
            <w:tcW w:w="2694" w:type="dxa"/>
          </w:tcPr>
          <w:p w14:paraId="5EF70FAD" w14:textId="1DF90D8A" w:rsidR="00185BCF" w:rsidRDefault="00185BCF" w:rsidP="00185BCF">
            <w:pPr>
              <w:pStyle w:val="FigureImage"/>
              <w:rPr>
                <w:lang w:eastAsia="de-CH"/>
              </w:rPr>
            </w:pPr>
            <w:r>
              <w:rPr>
                <w:lang w:eastAsia="de-CH"/>
              </w:rPr>
              <w:t>a) See details in b) to d)</w:t>
            </w:r>
          </w:p>
        </w:tc>
        <w:tc>
          <w:tcPr>
            <w:tcW w:w="1769" w:type="dxa"/>
          </w:tcPr>
          <w:p w14:paraId="47214FDE" w14:textId="33F87A20" w:rsidR="00185BCF" w:rsidRDefault="00185BCF" w:rsidP="00185BCF">
            <w:pPr>
              <w:pStyle w:val="FigureImage"/>
              <w:rPr>
                <w:lang w:eastAsia="de-CH"/>
              </w:rPr>
            </w:pPr>
            <w:r>
              <w:rPr>
                <w:lang w:eastAsia="de-CH"/>
              </w:rPr>
              <w:t>b) Top of head</w:t>
            </w:r>
          </w:p>
        </w:tc>
        <w:tc>
          <w:tcPr>
            <w:tcW w:w="1948" w:type="dxa"/>
          </w:tcPr>
          <w:p w14:paraId="6401C054" w14:textId="1AD33001" w:rsidR="00185BCF" w:rsidRDefault="00185BCF" w:rsidP="00185BCF">
            <w:pPr>
              <w:pStyle w:val="FigureImage"/>
              <w:rPr>
                <w:lang w:eastAsia="de-CH"/>
              </w:rPr>
            </w:pPr>
            <w:r>
              <w:rPr>
                <w:lang w:eastAsia="de-CH"/>
              </w:rPr>
              <w:t>c) Level of axis of reinforcement inside the bend</w:t>
            </w:r>
          </w:p>
        </w:tc>
        <w:tc>
          <w:tcPr>
            <w:tcW w:w="1949" w:type="dxa"/>
          </w:tcPr>
          <w:p w14:paraId="4B31980E" w14:textId="2D8EA777" w:rsidR="00185BCF" w:rsidRDefault="00185BCF" w:rsidP="00185BCF">
            <w:pPr>
              <w:pStyle w:val="FigureImage"/>
              <w:rPr>
                <w:lang w:eastAsia="de-CH"/>
              </w:rPr>
            </w:pPr>
            <w:r>
              <w:rPr>
                <w:lang w:eastAsia="de-CH"/>
              </w:rPr>
              <w:t>d) Limit of bend</w:t>
            </w:r>
          </w:p>
        </w:tc>
      </w:tr>
    </w:tbl>
    <w:p w14:paraId="091B19A8" w14:textId="77777777" w:rsidR="004E22C1" w:rsidRPr="001455DC" w:rsidRDefault="004E22C1" w:rsidP="004F2CDC">
      <w:pPr>
        <w:pStyle w:val="Figuretitle"/>
      </w:pPr>
      <w:r w:rsidRPr="001455DC">
        <w:t xml:space="preserve">Figure 8.23 — Definition of parameter </w:t>
      </w:r>
      <w:r w:rsidRPr="001455DC">
        <w:rPr>
          <w:rStyle w:val="CCMCvariableitalic"/>
          <w:b w:val="0"/>
        </w:rPr>
        <w:t>d</w:t>
      </w:r>
      <w:r w:rsidRPr="001455DC">
        <w:rPr>
          <w:rStyle w:val="CCMCvariablesubscript"/>
          <w:b w:val="0"/>
        </w:rPr>
        <w:t>sys</w:t>
      </w:r>
    </w:p>
    <w:p w14:paraId="6FB3EB04" w14:textId="40FFB487" w:rsidR="004E22C1" w:rsidRPr="001455DC" w:rsidRDefault="004E22C1" w:rsidP="008D37B2">
      <w:pPr>
        <w:pStyle w:val="a7"/>
        <w:keepNext/>
        <w:rPr>
          <w:lang w:eastAsia="de-CH"/>
        </w:rPr>
      </w:pPr>
      <w:r w:rsidRPr="001455DC">
        <w:rPr>
          <w:lang w:eastAsia="de-CH"/>
        </w:rPr>
        <w:t>(4)</w:t>
      </w:r>
      <w:r w:rsidRPr="001455DC">
        <w:rPr>
          <w:lang w:eastAsia="de-CH"/>
        </w:rPr>
        <w:tab/>
        <w:t>The outer control perimeter at which shear reinforcement is not required</w:t>
      </w:r>
      <w:r w:rsidRPr="001455DC">
        <w:t xml:space="preserve"> (</w:t>
      </w:r>
      <w:r w:rsidRPr="001455DC">
        <w:rPr>
          <w:rStyle w:val="CCMCvariableitalic"/>
        </w:rPr>
        <w:t>b</w:t>
      </w:r>
      <w:r w:rsidRPr="001455DC">
        <w:rPr>
          <w:rStyle w:val="CCMCvariablesubscript"/>
        </w:rPr>
        <w:t>0,5,out</w:t>
      </w:r>
      <w:r w:rsidRPr="001455DC">
        <w:t>, see Figure 8.24)</w:t>
      </w:r>
      <w:r w:rsidRPr="001455DC">
        <w:rPr>
          <w:lang w:eastAsia="de-CH"/>
        </w:rPr>
        <w:t xml:space="preserve"> should be calculated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F2CDC" w:rsidRPr="001455DC" w14:paraId="2C97EC09" w14:textId="77777777" w:rsidTr="004F2CDC">
        <w:trPr>
          <w:cantSplit/>
        </w:trPr>
        <w:tc>
          <w:tcPr>
            <w:tcW w:w="8505" w:type="dxa"/>
            <w:vAlign w:val="center"/>
          </w:tcPr>
          <w:p w14:paraId="32036A2B" w14:textId="032438DD" w:rsidR="004F2CDC" w:rsidRPr="001455DC" w:rsidRDefault="00231E33" w:rsidP="004F2CDC">
            <w:pPr>
              <w:pStyle w:val="Formula"/>
              <w:jc w:val="left"/>
            </w:pPr>
            <m:oMathPara>
              <m:oMathParaPr>
                <m:jc m:val="left"/>
              </m:oMathParaPr>
              <m:oMath>
                <m:sSub>
                  <m:sSubPr>
                    <m:ctrlPr>
                      <w:rPr>
                        <w:rFonts w:ascii="Cambria Math" w:hAnsi="Cambria Math"/>
                        <w:lang w:eastAsia="de-CH"/>
                      </w:rPr>
                    </m:ctrlPr>
                  </m:sSubPr>
                  <m:e>
                    <m:r>
                      <w:rPr>
                        <w:rFonts w:ascii="Cambria Math" w:hAnsi="Cambria Math"/>
                      </w:rPr>
                      <m:t>b</m:t>
                    </m:r>
                  </m:e>
                  <m:sub>
                    <m:r>
                      <w:rPr>
                        <w:rFonts w:ascii="Cambria Math" w:hAnsi="Cambria Math"/>
                      </w:rPr>
                      <m:t>0,5,</m:t>
                    </m:r>
                    <m:r>
                      <m:rPr>
                        <m:sty m:val="p"/>
                      </m:rPr>
                      <w:rPr>
                        <w:rFonts w:ascii="Cambria Math" w:hAnsi="Cambria Math"/>
                      </w:rPr>
                      <m:t>out</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0,5</m:t>
                    </m:r>
                  </m:sub>
                </m:sSub>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v</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v,out</m:t>
                                </m:r>
                              </m:sub>
                            </m:sSub>
                          </m:den>
                        </m:f>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η</m:t>
                                </m:r>
                              </m:e>
                              <m:sub>
                                <m:r>
                                  <m:rPr>
                                    <m:sty m:val="p"/>
                                  </m:rPr>
                                  <w:rPr>
                                    <w:rFonts w:ascii="Cambria Math" w:hAnsi="Cambria Math"/>
                                  </w:rPr>
                                  <m:t>c</m:t>
                                </m:r>
                              </m:sub>
                            </m:sSub>
                          </m:den>
                        </m:f>
                      </m:e>
                    </m:d>
                  </m:e>
                  <m:sup>
                    <m:f>
                      <m:fPr>
                        <m:type m:val="lin"/>
                        <m:ctrlPr>
                          <w:rPr>
                            <w:rFonts w:ascii="Cambria Math" w:hAnsi="Cambria Math"/>
                          </w:rPr>
                        </m:ctrlPr>
                      </m:fPr>
                      <m:num>
                        <m:r>
                          <w:rPr>
                            <w:rFonts w:ascii="Cambria Math" w:hAnsi="Cambria Math"/>
                          </w:rPr>
                          <m:t>3</m:t>
                        </m:r>
                      </m:num>
                      <m:den>
                        <m:r>
                          <w:rPr>
                            <w:rFonts w:ascii="Cambria Math" w:hAnsi="Cambria Math"/>
                          </w:rPr>
                          <m:t>2</m:t>
                        </m:r>
                      </m:den>
                    </m:f>
                  </m:sup>
                </m:sSup>
              </m:oMath>
            </m:oMathPara>
          </w:p>
        </w:tc>
        <w:tc>
          <w:tcPr>
            <w:tcW w:w="1247" w:type="dxa"/>
            <w:vAlign w:val="center"/>
          </w:tcPr>
          <w:p w14:paraId="480CC2BF" w14:textId="09A2C359" w:rsidR="004F2CDC" w:rsidRPr="001455DC" w:rsidRDefault="004F2CDC">
            <w:pPr>
              <w:pStyle w:val="a7"/>
              <w:jc w:val="right"/>
            </w:pPr>
            <w:r w:rsidRPr="001455DC">
              <w:rPr>
                <w:lang w:eastAsia="de-CH"/>
              </w:rPr>
              <w:t>(8.</w:t>
            </w:r>
            <w:r w:rsidR="00143F57" w:rsidRPr="001455DC">
              <w:rPr>
                <w:lang w:eastAsia="de-CH"/>
              </w:rPr>
              <w:t>94</w:t>
            </w:r>
            <w:r w:rsidRPr="001455DC">
              <w:rPr>
                <w:lang w:eastAsia="de-CH"/>
              </w:rPr>
              <w:t>)</w:t>
            </w:r>
          </w:p>
        </w:tc>
      </w:tr>
    </w:tbl>
    <w:p w14:paraId="197D7468" w14:textId="3C2CF864" w:rsidR="004F2CDC" w:rsidRPr="001455DC" w:rsidRDefault="004F2CDC"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4F2CDC" w:rsidRPr="001455DC" w14:paraId="03A45EF9" w14:textId="77777777" w:rsidTr="004F2CDC">
        <w:trPr>
          <w:cantSplit/>
        </w:trPr>
        <w:tc>
          <w:tcPr>
            <w:tcW w:w="567" w:type="dxa"/>
          </w:tcPr>
          <w:p w14:paraId="7CE76DDA" w14:textId="27BC3015" w:rsidR="004F2CDC" w:rsidRPr="001455DC" w:rsidRDefault="004F2CDC" w:rsidP="004F2CDC">
            <w:pPr>
              <w:pStyle w:val="Tablebody"/>
            </w:pPr>
            <w:r w:rsidRPr="001455DC">
              <w:rPr>
                <w:rStyle w:val="CCMCvariableitalic"/>
              </w:rPr>
              <w:t>d</w:t>
            </w:r>
            <w:r w:rsidRPr="001455DC">
              <w:rPr>
                <w:rStyle w:val="CCMCvariablesubscript"/>
              </w:rPr>
              <w:t>v,out</w:t>
            </w:r>
          </w:p>
        </w:tc>
        <w:tc>
          <w:tcPr>
            <w:tcW w:w="8845" w:type="dxa"/>
          </w:tcPr>
          <w:p w14:paraId="556E4D9D" w14:textId="5581A177" w:rsidR="004F2CDC" w:rsidRPr="001455DC" w:rsidRDefault="004F2CDC" w:rsidP="004F2CDC">
            <w:pPr>
              <w:pStyle w:val="Tablebody"/>
            </w:pPr>
            <w:r w:rsidRPr="001455DC">
              <w:rPr>
                <w:lang w:eastAsia="de-CH"/>
              </w:rPr>
              <w:t>is the outer shear-resisting effective depth according to Figure 8.24;</w:t>
            </w:r>
          </w:p>
        </w:tc>
      </w:tr>
      <w:tr w:rsidR="004F2CDC" w:rsidRPr="001455DC" w14:paraId="1E519B8E" w14:textId="77777777" w:rsidTr="004F2CDC">
        <w:trPr>
          <w:cantSplit/>
        </w:trPr>
        <w:tc>
          <w:tcPr>
            <w:tcW w:w="567" w:type="dxa"/>
          </w:tcPr>
          <w:p w14:paraId="1FED6F05" w14:textId="5496F1ED" w:rsidR="004F2CDC" w:rsidRPr="001455DC" w:rsidRDefault="004F2CDC" w:rsidP="004F2CDC">
            <w:pPr>
              <w:pStyle w:val="Tablebody"/>
            </w:pPr>
            <w:r w:rsidRPr="001455DC">
              <w:rPr>
                <w:rStyle w:val="CCMCvariableitalic"/>
              </w:rPr>
              <w:t>η</w:t>
            </w:r>
            <w:r w:rsidRPr="001455DC">
              <w:rPr>
                <w:rStyle w:val="CCMCvariablesubscript"/>
              </w:rPr>
              <w:t>c</w:t>
            </w:r>
          </w:p>
        </w:tc>
        <w:tc>
          <w:tcPr>
            <w:tcW w:w="8845" w:type="dxa"/>
          </w:tcPr>
          <w:p w14:paraId="72C8D99F" w14:textId="442CD352" w:rsidR="004F2CDC" w:rsidRPr="001455DC" w:rsidRDefault="004F2CDC">
            <w:pPr>
              <w:pStyle w:val="Tablebody"/>
            </w:pPr>
            <w:r w:rsidRPr="001455DC">
              <w:rPr>
                <w:lang w:eastAsia="de-CH"/>
              </w:rPr>
              <w:t xml:space="preserve">as defined in </w:t>
            </w:r>
            <w:r w:rsidRPr="001455DC">
              <w:t>Formula (</w:t>
            </w:r>
            <w:r w:rsidRPr="001455DC">
              <w:rPr>
                <w:lang w:eastAsia="de-CH"/>
              </w:rPr>
              <w:t>8.</w:t>
            </w:r>
            <w:r w:rsidR="00143F57" w:rsidRPr="001455DC">
              <w:rPr>
                <w:lang w:eastAsia="de-CH"/>
              </w:rPr>
              <w:t>89</w:t>
            </w:r>
            <w:r w:rsidRPr="001455DC">
              <w:rPr>
                <w:lang w:eastAsia="de-CH"/>
              </w:rPr>
              <w:t>).</w:t>
            </w:r>
          </w:p>
        </w:tc>
      </w:tr>
    </w:tbl>
    <w:p w14:paraId="3E49BFDC" w14:textId="77777777" w:rsidR="004E22C1" w:rsidRPr="001455DC" w:rsidRDefault="004E22C1" w:rsidP="00CD6899">
      <w:pPr>
        <w:pStyle w:val="a7"/>
        <w:rPr>
          <w:lang w:eastAsia="de-CH"/>
        </w:rPr>
      </w:pPr>
      <w:r w:rsidRPr="001455DC">
        <w:rPr>
          <w:lang w:eastAsia="de-CH"/>
        </w:rPr>
        <w:t>The outermost perimeter of shear reinforcement should be placed at a distance not greater than 0,5</w:t>
      </w:r>
      <w:r w:rsidRPr="001455DC">
        <w:rPr>
          <w:rStyle w:val="CCMCvariableitalic"/>
        </w:rPr>
        <w:t>d</w:t>
      </w:r>
      <w:r w:rsidRPr="001455DC">
        <w:rPr>
          <w:rStyle w:val="CCMCvariablesubscript"/>
        </w:rPr>
        <w:t>v,out</w:t>
      </w:r>
      <w:r w:rsidRPr="001455DC">
        <w:rPr>
          <w:lang w:eastAsia="de-CH"/>
        </w:rPr>
        <w:t xml:space="preserve"> from the outer control perimeter according to Figure 8.24.</w:t>
      </w:r>
    </w:p>
    <w:p w14:paraId="3D6D47AA" w14:textId="77777777" w:rsidR="00A46F70" w:rsidRDefault="00723CF7" w:rsidP="007D2E7E">
      <w:pPr>
        <w:pStyle w:val="FigureText"/>
        <w:rPr>
          <w:rFonts w:eastAsia="Times New Roman"/>
          <w:noProof/>
          <w:lang w:eastAsia="en-GB"/>
        </w:rPr>
      </w:pPr>
      <w:r>
        <w:rPr>
          <w:rFonts w:eastAsia="Times New Roman"/>
          <w:noProof/>
          <w:lang w:eastAsia="en-GB"/>
        </w:rPr>
        <w:fldChar w:fldCharType="begin"/>
      </w:r>
      <w:r>
        <w:rPr>
          <w:rFonts w:eastAsia="Times New Roman"/>
          <w:noProof/>
          <w:lang w:eastAsia="en-GB"/>
        </w:rPr>
        <w:instrText xml:space="preserve"> INCLUDEPICTURE  "Y:\\STD_MGT\\STDDEL\\PRODUCTION\\etrans\\Download\\Z_FIRST_DEL\\SV\\00250\\00250269\\41_e_dr\\8_024.tif" \* MERGEFORMATINET </w:instrText>
      </w:r>
      <w:r>
        <w:rPr>
          <w:rFonts w:eastAsia="Times New Roman"/>
          <w:noProof/>
          <w:lang w:eastAsia="en-GB"/>
        </w:rPr>
        <w:fldChar w:fldCharType="separate"/>
      </w:r>
      <w:r w:rsidR="00FA575F">
        <w:rPr>
          <w:rFonts w:eastAsia="Times New Roman"/>
          <w:noProof/>
          <w:lang w:eastAsia="en-GB"/>
        </w:rPr>
        <w:fldChar w:fldCharType="begin"/>
      </w:r>
      <w:r w:rsidR="00FA575F">
        <w:rPr>
          <w:rFonts w:eastAsia="Times New Roman"/>
          <w:noProof/>
          <w:lang w:eastAsia="en-GB"/>
        </w:rPr>
        <w:instrText xml:space="preserve"> INCLUDEPICTURE  "Y:\\STD_MGT\\STDDEL\\PRODUCTION\\Standards\\00250\\269\\41_e_dr\\8_024.tif" \* MERGEFORMATINET </w:instrText>
      </w:r>
      <w:r w:rsidR="00FA575F">
        <w:rPr>
          <w:rFonts w:eastAsia="Times New Roman"/>
          <w:noProof/>
          <w:lang w:eastAsia="en-GB"/>
        </w:rPr>
        <w:fldChar w:fldCharType="separate"/>
      </w:r>
      <w:r w:rsidR="00C54E80">
        <w:rPr>
          <w:rFonts w:eastAsia="Times New Roman"/>
          <w:noProof/>
          <w:lang w:eastAsia="en-GB"/>
        </w:rPr>
        <w:fldChar w:fldCharType="begin"/>
      </w:r>
      <w:r w:rsidR="00C54E80">
        <w:rPr>
          <w:rFonts w:eastAsia="Times New Roman"/>
          <w:noProof/>
          <w:lang w:eastAsia="en-GB"/>
        </w:rPr>
        <w:instrText xml:space="preserve"> INCLUDEPICTURE  "Y:\\STD_MGT\\STDDEL\\PRODUCTION\\Standards\\00250\\269\\41_e_dr\\8_024.tif" \* MERGEFORMATINET </w:instrText>
      </w:r>
      <w:r w:rsidR="00C54E80">
        <w:rPr>
          <w:rFonts w:eastAsia="Times New Roman"/>
          <w:noProof/>
          <w:lang w:eastAsia="en-GB"/>
        </w:rPr>
        <w:fldChar w:fldCharType="separate"/>
      </w:r>
      <w:r w:rsidR="004B62E7">
        <w:rPr>
          <w:rFonts w:eastAsia="Times New Roman"/>
          <w:noProof/>
          <w:lang w:eastAsia="en-GB"/>
        </w:rPr>
        <w:fldChar w:fldCharType="begin"/>
      </w:r>
      <w:r w:rsidR="004B62E7">
        <w:rPr>
          <w:rFonts w:eastAsia="Times New Roman"/>
          <w:noProof/>
          <w:lang w:eastAsia="en-GB"/>
        </w:rPr>
        <w:instrText xml:space="preserve"> INCLUDEPICTURE  "Y:\\STD_MGT\\STDDEL\\PRODUCTION\\Standards\\00250\\269\\41_e_dr\\8_024.tif" \* MERGEFORMATINET </w:instrText>
      </w:r>
      <w:r w:rsidR="004B62E7">
        <w:rPr>
          <w:rFonts w:eastAsia="Times New Roman"/>
          <w:noProof/>
          <w:lang w:eastAsia="en-GB"/>
        </w:rPr>
        <w:fldChar w:fldCharType="separate"/>
      </w:r>
      <w:r w:rsidR="00B078F1">
        <w:rPr>
          <w:rFonts w:eastAsia="Times New Roman"/>
          <w:noProof/>
          <w:lang w:eastAsia="en-GB"/>
        </w:rPr>
        <w:fldChar w:fldCharType="begin"/>
      </w:r>
      <w:r w:rsidR="00B078F1">
        <w:rPr>
          <w:rFonts w:eastAsia="Times New Roman"/>
          <w:noProof/>
          <w:lang w:eastAsia="en-GB"/>
        </w:rPr>
        <w:instrText xml:space="preserve"> INCLUDEPICTURE  "Y:\\STD_MGT\\STDDEL\\PRODUCTION\\Standards\\00250\\269\\41_e_dr\\8_024.tif" \* MERGEFORMATINET </w:instrText>
      </w:r>
      <w:r w:rsidR="00B078F1">
        <w:rPr>
          <w:rFonts w:eastAsia="Times New Roman"/>
          <w:noProof/>
          <w:lang w:eastAsia="en-GB"/>
        </w:rPr>
        <w:fldChar w:fldCharType="separate"/>
      </w:r>
      <w:r w:rsidR="000250B6">
        <w:rPr>
          <w:rFonts w:eastAsia="Times New Roman"/>
          <w:noProof/>
          <w:lang w:eastAsia="en-GB"/>
        </w:rPr>
        <w:fldChar w:fldCharType="begin"/>
      </w:r>
      <w:r w:rsidR="000250B6">
        <w:rPr>
          <w:rFonts w:eastAsia="Times New Roman"/>
          <w:noProof/>
          <w:lang w:eastAsia="en-GB"/>
        </w:rPr>
        <w:instrText xml:space="preserve"> INCLUDEPICTURE  "Y:\\STD_MGT\\STDDEL\\PRODUCTION\\Standards\\00250\\269\\41_e_dr\\8_024.tif" \* MERGEFORMATINET </w:instrText>
      </w:r>
      <w:r w:rsidR="000250B6">
        <w:rPr>
          <w:rFonts w:eastAsia="Times New Roman"/>
          <w:noProof/>
          <w:lang w:eastAsia="en-GB"/>
        </w:rPr>
        <w:fldChar w:fldCharType="separate"/>
      </w:r>
      <w:r w:rsidR="00231E33">
        <w:rPr>
          <w:rFonts w:eastAsia="Times New Roman"/>
          <w:noProof/>
          <w:lang w:eastAsia="en-GB"/>
        </w:rPr>
        <w:fldChar w:fldCharType="begin"/>
      </w:r>
      <w:r w:rsidR="00231E33">
        <w:rPr>
          <w:rFonts w:eastAsia="Times New Roman"/>
          <w:noProof/>
          <w:lang w:eastAsia="en-GB"/>
        </w:rPr>
        <w:instrText xml:space="preserve"> </w:instrText>
      </w:r>
      <w:r w:rsidR="00231E33">
        <w:rPr>
          <w:rFonts w:eastAsia="Times New Roman"/>
          <w:noProof/>
          <w:lang w:eastAsia="en-GB"/>
        </w:rPr>
        <w:instrText>INCLUDEPICTURE  "C:\\Users\\a.dionysiou\\AppData\\Local\\Temp\\Temp1_00250269_e_20210902.zip.zip\\41_e_dr\\8_024.tif" \* MERGEFORMATINET</w:instrText>
      </w:r>
      <w:r w:rsidR="00231E33">
        <w:rPr>
          <w:rFonts w:eastAsia="Times New Roman"/>
          <w:noProof/>
          <w:lang w:eastAsia="en-GB"/>
        </w:rPr>
        <w:instrText xml:space="preserve"> </w:instrText>
      </w:r>
      <w:r w:rsidR="00231E33">
        <w:rPr>
          <w:rFonts w:eastAsia="Times New Roman"/>
          <w:noProof/>
          <w:lang w:eastAsia="en-GB"/>
        </w:rPr>
        <w:fldChar w:fldCharType="separate"/>
      </w:r>
      <w:r w:rsidR="00231E33">
        <w:rPr>
          <w:rFonts w:eastAsia="Times New Roman"/>
          <w:noProof/>
          <w:lang w:eastAsia="en-GB"/>
        </w:rPr>
        <w:pict w14:anchorId="136C900C">
          <v:shape id="_x0000_i1183" type="#_x0000_t75" style="width:473.25pt;height:213pt">
            <v:imagedata r:id="rId336" r:href="rId337"/>
          </v:shape>
        </w:pict>
      </w:r>
      <w:r w:rsidR="00231E33">
        <w:rPr>
          <w:rFonts w:eastAsia="Times New Roman"/>
          <w:noProof/>
          <w:lang w:eastAsia="en-GB"/>
        </w:rPr>
        <w:fldChar w:fldCharType="end"/>
      </w:r>
      <w:r w:rsidR="000250B6">
        <w:rPr>
          <w:rFonts w:eastAsia="Times New Roman"/>
          <w:noProof/>
          <w:lang w:eastAsia="en-GB"/>
        </w:rPr>
        <w:fldChar w:fldCharType="end"/>
      </w:r>
      <w:r w:rsidR="00B078F1">
        <w:rPr>
          <w:rFonts w:eastAsia="Times New Roman"/>
          <w:noProof/>
          <w:lang w:eastAsia="en-GB"/>
        </w:rPr>
        <w:fldChar w:fldCharType="end"/>
      </w:r>
      <w:r w:rsidR="004B62E7">
        <w:rPr>
          <w:rFonts w:eastAsia="Times New Roman"/>
          <w:noProof/>
          <w:lang w:eastAsia="en-GB"/>
        </w:rPr>
        <w:fldChar w:fldCharType="end"/>
      </w:r>
      <w:r w:rsidR="00C54E80">
        <w:rPr>
          <w:rFonts w:eastAsia="Times New Roman"/>
          <w:noProof/>
          <w:lang w:eastAsia="en-GB"/>
        </w:rPr>
        <w:fldChar w:fldCharType="end"/>
      </w:r>
      <w:r w:rsidR="00FA575F">
        <w:rPr>
          <w:rFonts w:eastAsia="Times New Roman"/>
          <w:noProof/>
          <w:lang w:eastAsia="en-GB"/>
        </w:rPr>
        <w:fldChar w:fldCharType="end"/>
      </w:r>
      <w:r>
        <w:rPr>
          <w:rFonts w:eastAsia="Times New Roman"/>
          <w:noProof/>
          <w:lang w:eastAsia="en-GB"/>
        </w:rPr>
        <w:fldChar w:fldCharType="end"/>
      </w:r>
    </w:p>
    <w:p w14:paraId="23B063A6" w14:textId="2463257E" w:rsidR="004E22C1" w:rsidRPr="009D3012" w:rsidRDefault="004E22C1" w:rsidP="007D2E7E">
      <w:pPr>
        <w:pStyle w:val="FigureText"/>
        <w:rPr>
          <w:bCs/>
        </w:rPr>
      </w:pPr>
      <w:r w:rsidRPr="009D3012">
        <w:rPr>
          <w:bCs/>
        </w:rPr>
        <w:t>a) radial arrangements</w:t>
      </w:r>
    </w:p>
    <w:p w14:paraId="40EBAFCC" w14:textId="77777777" w:rsidR="004E22C1" w:rsidRPr="009D3012" w:rsidRDefault="004E22C1" w:rsidP="007D2E7E">
      <w:pPr>
        <w:pStyle w:val="FigureText"/>
        <w:rPr>
          <w:bCs/>
        </w:rPr>
      </w:pPr>
      <w:r w:rsidRPr="009D3012">
        <w:rPr>
          <w:bCs/>
        </w:rPr>
        <w:t>b) cruciform arrangements</w:t>
      </w:r>
    </w:p>
    <w:p w14:paraId="2CC3EC71" w14:textId="77777777" w:rsidR="004E22C1" w:rsidRPr="009D3012" w:rsidRDefault="004E22C1" w:rsidP="007D2E7E">
      <w:pPr>
        <w:pStyle w:val="FigureText"/>
        <w:rPr>
          <w:bCs/>
        </w:rPr>
      </w:pPr>
      <w:r w:rsidRPr="009D3012">
        <w:rPr>
          <w:bCs/>
        </w:rPr>
        <w:t>c) shear-resisting effective depth for stirrups and studs</w:t>
      </w:r>
    </w:p>
    <w:p w14:paraId="735281E4" w14:textId="77777777" w:rsidR="004E22C1" w:rsidRPr="009D3012" w:rsidRDefault="004E22C1" w:rsidP="007D2E7E">
      <w:pPr>
        <w:pStyle w:val="FigureText"/>
        <w:rPr>
          <w:bCs/>
        </w:rPr>
      </w:pPr>
      <w:r w:rsidRPr="009D3012">
        <w:rPr>
          <w:bCs/>
        </w:rPr>
        <w:t>d) shear-resisting effective depth for bent up bars</w:t>
      </w:r>
    </w:p>
    <w:p w14:paraId="3F4DF5AC" w14:textId="77777777" w:rsidR="004E22C1" w:rsidRPr="009D3012" w:rsidRDefault="004E22C1" w:rsidP="007D2E7E">
      <w:pPr>
        <w:pStyle w:val="FigureText"/>
        <w:rPr>
          <w:bCs/>
        </w:rPr>
      </w:pPr>
      <w:r w:rsidRPr="009D3012">
        <w:rPr>
          <w:bCs/>
        </w:rPr>
        <w:t xml:space="preserve">e) details of the levels where </w:t>
      </w:r>
      <w:r w:rsidRPr="00EF16CB">
        <w:rPr>
          <w:rStyle w:val="CCMCvariableitalic"/>
        </w:rPr>
        <w:t>d</w:t>
      </w:r>
      <w:r w:rsidRPr="00EF16CB">
        <w:rPr>
          <w:rStyle w:val="CCMCvariablesubscript"/>
        </w:rPr>
        <w:t>v,out</w:t>
      </w:r>
      <w:r w:rsidRPr="009D3012">
        <w:rPr>
          <w:bCs/>
        </w:rPr>
        <w:t xml:space="preserve"> should be measured</w:t>
      </w:r>
    </w:p>
    <w:p w14:paraId="6F4D34C4" w14:textId="77777777" w:rsidR="007D2E7E" w:rsidRPr="001455DC" w:rsidRDefault="007D2E7E" w:rsidP="007D2E7E">
      <w:pPr>
        <w:pStyle w:val="KeyTitle"/>
      </w:pPr>
      <w:r w:rsidRPr="001455DC">
        <w:t>Key</w:t>
      </w:r>
    </w:p>
    <w:tbl>
      <w:tblPr>
        <w:tblW w:w="9582" w:type="dxa"/>
        <w:tblLayout w:type="fixed"/>
        <w:tblCellMar>
          <w:left w:w="28" w:type="dxa"/>
          <w:right w:w="28" w:type="dxa"/>
        </w:tblCellMar>
        <w:tblLook w:val="0000" w:firstRow="0" w:lastRow="0" w:firstColumn="0" w:lastColumn="0" w:noHBand="0" w:noVBand="0"/>
      </w:tblPr>
      <w:tblGrid>
        <w:gridCol w:w="397"/>
        <w:gridCol w:w="4309"/>
        <w:gridCol w:w="567"/>
        <w:gridCol w:w="4309"/>
      </w:tblGrid>
      <w:tr w:rsidR="007D2E7E" w:rsidRPr="001455DC" w14:paraId="4F0E6EA9" w14:textId="77777777" w:rsidTr="004F2CDC">
        <w:tc>
          <w:tcPr>
            <w:tcW w:w="397" w:type="dxa"/>
            <w:shd w:val="clear" w:color="auto" w:fill="auto"/>
          </w:tcPr>
          <w:p w14:paraId="7FEE2535" w14:textId="29B98D81" w:rsidR="007D2E7E" w:rsidRPr="001455DC" w:rsidRDefault="0057215D" w:rsidP="004543C9">
            <w:pPr>
              <w:pStyle w:val="KeyText"/>
              <w:tabs>
                <w:tab w:val="clear" w:pos="346"/>
              </w:tabs>
              <w:spacing w:after="0"/>
              <w:ind w:left="0" w:firstLine="0"/>
            </w:pPr>
            <w:r>
              <w:t>X</w:t>
            </w:r>
          </w:p>
        </w:tc>
        <w:tc>
          <w:tcPr>
            <w:tcW w:w="4309" w:type="dxa"/>
            <w:shd w:val="clear" w:color="auto" w:fill="auto"/>
          </w:tcPr>
          <w:p w14:paraId="6E165292" w14:textId="264622EA" w:rsidR="007D2E7E" w:rsidRPr="001455DC" w:rsidRDefault="007D2E7E" w:rsidP="004543C9">
            <w:pPr>
              <w:pStyle w:val="KeyText"/>
              <w:tabs>
                <w:tab w:val="clear" w:pos="346"/>
              </w:tabs>
              <w:spacing w:after="0"/>
              <w:ind w:left="0" w:firstLine="0"/>
            </w:pPr>
            <w:r w:rsidRPr="001455DC">
              <w:rPr>
                <w:lang w:eastAsia="de-CH"/>
              </w:rPr>
              <w:t>outer control perimeter</w:t>
            </w:r>
          </w:p>
        </w:tc>
        <w:tc>
          <w:tcPr>
            <w:tcW w:w="567" w:type="dxa"/>
            <w:shd w:val="clear" w:color="auto" w:fill="auto"/>
          </w:tcPr>
          <w:p w14:paraId="696A8FAA" w14:textId="4E7658A4" w:rsidR="007D2E7E" w:rsidRPr="001455DC" w:rsidRDefault="0057215D" w:rsidP="004543C9">
            <w:pPr>
              <w:pStyle w:val="KeyText"/>
              <w:tabs>
                <w:tab w:val="clear" w:pos="346"/>
              </w:tabs>
              <w:spacing w:after="0"/>
              <w:ind w:left="0" w:firstLine="0"/>
            </w:pPr>
            <w:r>
              <w:t>3</w:t>
            </w:r>
          </w:p>
        </w:tc>
        <w:tc>
          <w:tcPr>
            <w:tcW w:w="4309" w:type="dxa"/>
            <w:shd w:val="clear" w:color="auto" w:fill="auto"/>
          </w:tcPr>
          <w:p w14:paraId="38166ADD" w14:textId="035C85EF" w:rsidR="007D2E7E" w:rsidRPr="001455DC" w:rsidRDefault="007D2E7E" w:rsidP="004543C9">
            <w:pPr>
              <w:pStyle w:val="KeyText"/>
              <w:tabs>
                <w:tab w:val="clear" w:pos="346"/>
              </w:tabs>
              <w:spacing w:after="0"/>
              <w:ind w:left="0" w:firstLine="0"/>
            </w:pPr>
            <w:r w:rsidRPr="001455DC">
              <w:rPr>
                <w:lang w:eastAsia="de-CH"/>
              </w:rPr>
              <w:t>limit of bends</w:t>
            </w:r>
          </w:p>
        </w:tc>
      </w:tr>
      <w:tr w:rsidR="007D2E7E" w:rsidRPr="001455DC" w14:paraId="7BD26509" w14:textId="77777777" w:rsidTr="004F2CDC">
        <w:tc>
          <w:tcPr>
            <w:tcW w:w="397" w:type="dxa"/>
            <w:shd w:val="clear" w:color="auto" w:fill="auto"/>
          </w:tcPr>
          <w:p w14:paraId="7D2BA286" w14:textId="2D33700F" w:rsidR="007D2E7E" w:rsidRPr="001455DC" w:rsidRDefault="0057215D" w:rsidP="004543C9">
            <w:pPr>
              <w:pStyle w:val="KeyText"/>
              <w:tabs>
                <w:tab w:val="clear" w:pos="346"/>
              </w:tabs>
              <w:spacing w:after="0"/>
              <w:ind w:left="0" w:firstLine="0"/>
            </w:pPr>
            <w:r>
              <w:t>1</w:t>
            </w:r>
          </w:p>
        </w:tc>
        <w:tc>
          <w:tcPr>
            <w:tcW w:w="4309" w:type="dxa"/>
            <w:shd w:val="clear" w:color="auto" w:fill="auto"/>
          </w:tcPr>
          <w:p w14:paraId="0E06FA59" w14:textId="5A53C8CB" w:rsidR="007D2E7E" w:rsidRPr="001455DC" w:rsidRDefault="007D2E7E" w:rsidP="004543C9">
            <w:pPr>
              <w:pStyle w:val="KeyText"/>
              <w:tabs>
                <w:tab w:val="clear" w:pos="346"/>
              </w:tabs>
              <w:spacing w:after="0"/>
              <w:ind w:left="0" w:firstLine="0"/>
              <w:rPr>
                <w:rFonts w:eastAsiaTheme="majorEastAsia"/>
              </w:rPr>
            </w:pPr>
            <w:r w:rsidRPr="001455DC">
              <w:rPr>
                <w:lang w:eastAsia="de-CH"/>
              </w:rPr>
              <w:t>supporting area (column or wall end)</w:t>
            </w:r>
          </w:p>
        </w:tc>
        <w:tc>
          <w:tcPr>
            <w:tcW w:w="567" w:type="dxa"/>
            <w:shd w:val="clear" w:color="auto" w:fill="auto"/>
          </w:tcPr>
          <w:p w14:paraId="3CBEF1FD" w14:textId="295EB92E" w:rsidR="007D2E7E" w:rsidRPr="001455DC" w:rsidRDefault="0057215D" w:rsidP="004543C9">
            <w:pPr>
              <w:pStyle w:val="KeyText"/>
              <w:tabs>
                <w:tab w:val="clear" w:pos="346"/>
              </w:tabs>
              <w:spacing w:after="0"/>
              <w:ind w:left="0" w:firstLine="0"/>
            </w:pPr>
            <w:r>
              <w:t>4</w:t>
            </w:r>
          </w:p>
        </w:tc>
        <w:tc>
          <w:tcPr>
            <w:tcW w:w="4309" w:type="dxa"/>
            <w:shd w:val="clear" w:color="auto" w:fill="auto"/>
          </w:tcPr>
          <w:p w14:paraId="04563F98" w14:textId="7AC27A4A" w:rsidR="007D2E7E" w:rsidRPr="001455DC" w:rsidRDefault="007D2E7E" w:rsidP="004543C9">
            <w:pPr>
              <w:pStyle w:val="KeyText"/>
              <w:tabs>
                <w:tab w:val="clear" w:pos="346"/>
              </w:tabs>
              <w:spacing w:after="0"/>
              <w:ind w:left="0" w:firstLine="0"/>
              <w:rPr>
                <w:rFonts w:eastAsiaTheme="majorEastAsia"/>
              </w:rPr>
            </w:pPr>
            <w:r w:rsidRPr="001455DC">
              <w:rPr>
                <w:lang w:eastAsia="de-CH"/>
              </w:rPr>
              <w:t>bottom of head</w:t>
            </w:r>
          </w:p>
        </w:tc>
      </w:tr>
      <w:tr w:rsidR="007D2E7E" w:rsidRPr="001455DC" w14:paraId="321C0478" w14:textId="77777777" w:rsidTr="004F2CDC">
        <w:tc>
          <w:tcPr>
            <w:tcW w:w="397" w:type="dxa"/>
            <w:shd w:val="clear" w:color="auto" w:fill="auto"/>
          </w:tcPr>
          <w:p w14:paraId="0C1767D2" w14:textId="31F2E95C" w:rsidR="007D2E7E" w:rsidRPr="001455DC" w:rsidRDefault="0057215D" w:rsidP="004543C9">
            <w:pPr>
              <w:pStyle w:val="KeyText"/>
              <w:tabs>
                <w:tab w:val="clear" w:pos="346"/>
              </w:tabs>
              <w:spacing w:after="0"/>
              <w:ind w:left="0" w:firstLine="0"/>
            </w:pPr>
            <w:r>
              <w:t>2</w:t>
            </w:r>
          </w:p>
        </w:tc>
        <w:tc>
          <w:tcPr>
            <w:tcW w:w="4309" w:type="dxa"/>
            <w:shd w:val="clear" w:color="auto" w:fill="auto"/>
          </w:tcPr>
          <w:p w14:paraId="78F687A0" w14:textId="1E198402" w:rsidR="007D2E7E" w:rsidRPr="001455DC" w:rsidRDefault="007D2E7E" w:rsidP="004543C9">
            <w:pPr>
              <w:pStyle w:val="KeyText"/>
              <w:tabs>
                <w:tab w:val="clear" w:pos="346"/>
              </w:tabs>
              <w:spacing w:after="0"/>
              <w:ind w:left="0" w:firstLine="0"/>
              <w:rPr>
                <w:rFonts w:eastAsiaTheme="majorEastAsia"/>
              </w:rPr>
            </w:pPr>
            <w:r w:rsidRPr="001455DC">
              <w:rPr>
                <w:lang w:eastAsia="de-CH"/>
              </w:rPr>
              <w:t>transverse reinforcement</w:t>
            </w:r>
          </w:p>
        </w:tc>
        <w:tc>
          <w:tcPr>
            <w:tcW w:w="567" w:type="dxa"/>
            <w:shd w:val="clear" w:color="auto" w:fill="auto"/>
          </w:tcPr>
          <w:p w14:paraId="24BE0900" w14:textId="4EEF4B7B" w:rsidR="007D2E7E" w:rsidRPr="001455DC" w:rsidRDefault="0057215D" w:rsidP="004543C9">
            <w:pPr>
              <w:pStyle w:val="KeyText"/>
              <w:tabs>
                <w:tab w:val="clear" w:pos="346"/>
              </w:tabs>
              <w:spacing w:after="0"/>
              <w:ind w:left="0" w:firstLine="0"/>
            </w:pPr>
            <w:r>
              <w:t>5</w:t>
            </w:r>
          </w:p>
        </w:tc>
        <w:tc>
          <w:tcPr>
            <w:tcW w:w="4309" w:type="dxa"/>
            <w:shd w:val="clear" w:color="auto" w:fill="auto"/>
          </w:tcPr>
          <w:p w14:paraId="296C12DA" w14:textId="0F2D2534" w:rsidR="007D2E7E" w:rsidRPr="001455DC" w:rsidRDefault="007D2E7E" w:rsidP="004543C9">
            <w:pPr>
              <w:pStyle w:val="KeyText"/>
              <w:tabs>
                <w:tab w:val="clear" w:pos="346"/>
              </w:tabs>
              <w:spacing w:after="0"/>
              <w:ind w:left="0" w:firstLine="0"/>
              <w:rPr>
                <w:rFonts w:eastAsiaTheme="majorEastAsia"/>
              </w:rPr>
            </w:pPr>
            <w:r w:rsidRPr="001455DC">
              <w:rPr>
                <w:lang w:eastAsia="de-CH"/>
              </w:rPr>
              <w:t>level of axis of reinforcement inside the bend</w:t>
            </w:r>
          </w:p>
        </w:tc>
      </w:tr>
    </w:tbl>
    <w:p w14:paraId="0BFA5037" w14:textId="6B36C485" w:rsidR="004E22C1" w:rsidRPr="001455DC" w:rsidRDefault="004E22C1" w:rsidP="007D2E7E">
      <w:pPr>
        <w:pStyle w:val="Figuretitle"/>
      </w:pPr>
      <w:r w:rsidRPr="001455DC">
        <w:t>Figure 8.24</w:t>
      </w:r>
      <w:r w:rsidR="007D2E7E" w:rsidRPr="001455DC">
        <w:t xml:space="preserve"> — </w:t>
      </w:r>
      <w:r w:rsidRPr="001455DC">
        <w:t>Control perimeters outside of the shear reinforcement region</w:t>
      </w:r>
    </w:p>
    <w:p w14:paraId="1CE3FED6" w14:textId="2F1E25BE" w:rsidR="004E22C1" w:rsidRPr="001455DC" w:rsidRDefault="004E22C1" w:rsidP="006D682B">
      <w:pPr>
        <w:pStyle w:val="21"/>
      </w:pPr>
      <w:bookmarkStart w:id="629" w:name="_Toc52819994"/>
      <w:bookmarkStart w:id="630" w:name="_Toc54337389"/>
      <w:bookmarkStart w:id="631" w:name="_Toc54338050"/>
      <w:bookmarkStart w:id="632" w:name="_Toc67565398"/>
      <w:bookmarkStart w:id="633" w:name="_Hlk52447688"/>
      <w:r w:rsidRPr="001455DC">
        <w:t>Design with strut-and-tie models and stress fields</w:t>
      </w:r>
      <w:bookmarkEnd w:id="629"/>
      <w:bookmarkEnd w:id="630"/>
      <w:bookmarkEnd w:id="631"/>
      <w:bookmarkEnd w:id="632"/>
    </w:p>
    <w:p w14:paraId="71B41BB3" w14:textId="329AB494" w:rsidR="004E22C1" w:rsidRPr="001455DC" w:rsidRDefault="004E22C1" w:rsidP="00243590">
      <w:pPr>
        <w:pStyle w:val="31"/>
      </w:pPr>
      <w:bookmarkStart w:id="634" w:name="_Toc52819995"/>
      <w:bookmarkStart w:id="635" w:name="_Toc54337390"/>
      <w:bookmarkStart w:id="636" w:name="_Toc54338051"/>
      <w:bookmarkStart w:id="637" w:name="_Toc67565399"/>
      <w:r w:rsidRPr="001455DC">
        <w:t>General</w:t>
      </w:r>
      <w:bookmarkEnd w:id="634"/>
      <w:bookmarkEnd w:id="635"/>
      <w:bookmarkEnd w:id="636"/>
      <w:bookmarkEnd w:id="637"/>
    </w:p>
    <w:p w14:paraId="25979891" w14:textId="77777777" w:rsidR="004E22C1" w:rsidRPr="001455DC" w:rsidRDefault="004E22C1" w:rsidP="00CD6899">
      <w:pPr>
        <w:pStyle w:val="a7"/>
        <w:rPr>
          <w:rFonts w:eastAsiaTheme="majorEastAsia"/>
        </w:rPr>
      </w:pPr>
      <w:r w:rsidRPr="001455DC">
        <w:rPr>
          <w:rFonts w:eastAsiaTheme="majorEastAsia"/>
        </w:rPr>
        <w:t>(1)</w:t>
      </w:r>
      <w:r w:rsidRPr="001455DC">
        <w:rPr>
          <w:rFonts w:eastAsiaTheme="majorEastAsia"/>
        </w:rPr>
        <w:tab/>
        <w:t>Strut-and-tie models or stress fields should be used for design and verification of discontinuity regions (i.e. regions where the strain state distribution is not linear such as near concentrated loads or geometric discontinuities) in absence of specific provisions elsewhere in this code or of alternative refined analyses.</w:t>
      </w:r>
    </w:p>
    <w:p w14:paraId="43C4B3F0" w14:textId="7E770C9D" w:rsidR="004E22C1" w:rsidRPr="001455DC" w:rsidRDefault="004E22C1" w:rsidP="007D2E7E">
      <w:pPr>
        <w:pStyle w:val="Note"/>
      </w:pPr>
      <w:r w:rsidRPr="001455DC">
        <w:t>NOTE</w:t>
      </w:r>
      <w:r w:rsidRPr="001455DC">
        <w:tab/>
        <w:t>All provisions of 8.2.3 to 8.2.5 and 8.3 and Annex G are consistent with the rules given of 8.5. Linear members with shear reinforcement and without discontinuities can thus also be designed for bending, shear and torsion with the provisions of 8.5.</w:t>
      </w:r>
    </w:p>
    <w:p w14:paraId="6C37E00B" w14:textId="77777777" w:rsidR="004E22C1" w:rsidRPr="001455DC" w:rsidRDefault="004E22C1" w:rsidP="008D37B2">
      <w:pPr>
        <w:pStyle w:val="a7"/>
        <w:keepNext/>
        <w:rPr>
          <w:rFonts w:eastAsiaTheme="majorEastAsia"/>
        </w:rPr>
      </w:pPr>
      <w:r w:rsidRPr="001455DC">
        <w:t>(2)</w:t>
      </w:r>
      <w:r w:rsidRPr="001455DC">
        <w:tab/>
      </w:r>
      <w:r w:rsidRPr="001455DC">
        <w:rPr>
          <w:rFonts w:eastAsiaTheme="majorEastAsia"/>
        </w:rPr>
        <w:t>The provisions in 8.5 are applicable without a verification of the deformation capacity provided that the following conditions are fulfilled:</w:t>
      </w:r>
    </w:p>
    <w:p w14:paraId="369AE861" w14:textId="0DB31031" w:rsidR="004E22C1" w:rsidRPr="001455DC" w:rsidRDefault="004E22C1" w:rsidP="007D2E7E">
      <w:pPr>
        <w:pStyle w:val="a0"/>
      </w:pPr>
      <w:r w:rsidRPr="001455DC">
        <w:t xml:space="preserve">the member contains a minimum reinforcement according to </w:t>
      </w:r>
      <w:r w:rsidR="001710FF" w:rsidRPr="001455DC">
        <w:t>Clause </w:t>
      </w:r>
      <w:r w:rsidRPr="001455DC">
        <w:t>12 or the development of uncontrolled cracks is avoided by other means;</w:t>
      </w:r>
    </w:p>
    <w:p w14:paraId="6FD197BE" w14:textId="4A727E68" w:rsidR="004E22C1" w:rsidRPr="001455DC" w:rsidRDefault="004E22C1" w:rsidP="007D2E7E">
      <w:pPr>
        <w:pStyle w:val="a0"/>
      </w:pPr>
      <w:r w:rsidRPr="001455DC">
        <w:t xml:space="preserve">the reinforcement complies with the details according to </w:t>
      </w:r>
      <w:r w:rsidR="00116AE2" w:rsidRPr="001455DC">
        <w:t>Clauses </w:t>
      </w:r>
      <w:r w:rsidRPr="001455DC">
        <w:t>11 and 12;</w:t>
      </w:r>
    </w:p>
    <w:p w14:paraId="56B7514D" w14:textId="538CCA8A" w:rsidR="004E22C1" w:rsidRPr="001455DC" w:rsidRDefault="004E22C1" w:rsidP="007D2E7E">
      <w:pPr>
        <w:pStyle w:val="a0"/>
      </w:pPr>
      <w:r w:rsidRPr="001455DC">
        <w:t>the reinforcing steel is either ductility Class B or C.</w:t>
      </w:r>
    </w:p>
    <w:p w14:paraId="51B6EBC9" w14:textId="77777777" w:rsidR="004E22C1" w:rsidRPr="001455DC" w:rsidRDefault="004E22C1" w:rsidP="008D37B2">
      <w:pPr>
        <w:pStyle w:val="a7"/>
        <w:keepNext/>
        <w:rPr>
          <w:rFonts w:eastAsiaTheme="majorEastAsia"/>
        </w:rPr>
      </w:pPr>
      <w:r w:rsidRPr="001455DC">
        <w:rPr>
          <w:rFonts w:eastAsiaTheme="majorEastAsia"/>
        </w:rPr>
        <w:t>(3)</w:t>
      </w:r>
      <w:r w:rsidRPr="001455DC">
        <w:rPr>
          <w:rFonts w:eastAsiaTheme="majorEastAsia"/>
        </w:rPr>
        <w:tab/>
        <w:t>Strut-and-tie models and stress fields aim at a representation of the stress state in a cracked concrete structure. They shall be in equilibrium with the external actions and shall satisfy strength conditions. They consist of:</w:t>
      </w:r>
    </w:p>
    <w:p w14:paraId="71805EAD" w14:textId="397CF3B1" w:rsidR="004E22C1" w:rsidRPr="001455DC" w:rsidRDefault="004E22C1" w:rsidP="00332974">
      <w:pPr>
        <w:pStyle w:val="a0"/>
      </w:pPr>
      <w:r w:rsidRPr="001455DC">
        <w:t>struts in strut-and-tie models which are idealisations of the compression fields in the stress fields (refer to 8.5.2);</w:t>
      </w:r>
    </w:p>
    <w:p w14:paraId="64BCF8D3" w14:textId="7F55CAEE" w:rsidR="004E22C1" w:rsidRPr="001455DC" w:rsidRDefault="004E22C1" w:rsidP="00332974">
      <w:pPr>
        <w:pStyle w:val="a0"/>
      </w:pPr>
      <w:r w:rsidRPr="001455DC">
        <w:t>ties representing the reinforcement (refer to 8.5.3);</w:t>
      </w:r>
    </w:p>
    <w:p w14:paraId="40A298BC" w14:textId="3957610F" w:rsidR="004E22C1" w:rsidRPr="001455DC" w:rsidRDefault="004E22C1" w:rsidP="00332974">
      <w:pPr>
        <w:pStyle w:val="a0"/>
        <w:rPr>
          <w:szCs w:val="27"/>
        </w:rPr>
      </w:pPr>
      <w:r w:rsidRPr="001455DC">
        <w:t>nodal regions where the forces are transferred between the struts or between compression fields and/or the ties (refer to 8.5.4)</w:t>
      </w:r>
    </w:p>
    <w:p w14:paraId="38CA3538" w14:textId="77777777" w:rsidR="004E22C1" w:rsidRPr="001455DC" w:rsidRDefault="004E22C1" w:rsidP="00332974">
      <w:pPr>
        <w:pStyle w:val="Note"/>
      </w:pPr>
      <w:r w:rsidRPr="001455DC">
        <w:t>NOTE</w:t>
      </w:r>
      <w:r w:rsidRPr="001455DC">
        <w:tab/>
        <w:t>Strut-and-tie models and stress fields are consistent in terms of hypotheses and complementary in terms of use. Strut-and-tie models are idealizations of stress fields aiming at a representation of the force resultants of the compression fields (struts) and ties in the tension fields (see Figure 8.25b) and d)).</w:t>
      </w:r>
    </w:p>
    <w:p w14:paraId="406885C7" w14:textId="55E0B81C" w:rsidR="004E22C1" w:rsidRPr="001455DC" w:rsidRDefault="004E22C1" w:rsidP="00CD6899">
      <w:pPr>
        <w:pStyle w:val="a7"/>
        <w:rPr>
          <w:rFonts w:eastAsiaTheme="majorEastAsia"/>
        </w:rPr>
      </w:pPr>
      <w:r w:rsidRPr="001455DC">
        <w:t>(4)</w:t>
      </w:r>
      <w:r w:rsidRPr="001455DC">
        <w:tab/>
      </w:r>
      <w:r w:rsidRPr="001455DC">
        <w:rPr>
          <w:rFonts w:eastAsiaTheme="majorEastAsia"/>
        </w:rPr>
        <w:t>Compression fields and ties in stress fields can be distribut</w:t>
      </w:r>
      <w:r w:rsidRPr="001455DC">
        <w:t>ed (Figure 8.25a)) or</w:t>
      </w:r>
      <w:r w:rsidRPr="001455DC">
        <w:rPr>
          <w:rFonts w:eastAsiaTheme="majorEastAsia"/>
        </w:rPr>
        <w:t xml:space="preserve"> concentrated (Figure 8.25c)). Both cases may be designed with the provisions of 8.5. Alternatively, for an element fully occupied by a distributed and uniform compression field and with distributed reinforcement (refer for instance to Figure 8.25a), the formulae of Annex G may be used for its design. In this latter case, the forces in any chord at the boundaries of the membrane element shall be designed accordingly.</w:t>
      </w:r>
    </w:p>
    <w:tbl>
      <w:tblPr>
        <w:tblStyle w:val="a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876"/>
        <w:gridCol w:w="4876"/>
      </w:tblGrid>
      <w:tr w:rsidR="007D2E7E" w:rsidRPr="001455DC" w14:paraId="69C5710F" w14:textId="77777777" w:rsidTr="007D2E7E">
        <w:trPr>
          <w:cantSplit/>
          <w:jc w:val="center"/>
        </w:trPr>
        <w:tc>
          <w:tcPr>
            <w:tcW w:w="4876" w:type="dxa"/>
          </w:tcPr>
          <w:p w14:paraId="195FA9F3" w14:textId="5903F794" w:rsidR="007D2E7E" w:rsidRPr="001455DC" w:rsidRDefault="00723CF7" w:rsidP="004F2CDC">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"Y:\\STD_MGT\\STDDEL\\PRODUCTION\\etrans\\Download\\Z_FIRST_DEL\\SV\\00250\\00250269\\41_e_dr\\8_025a.tif"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"Y:\\STD_MGT\\STDDEL\\PRODUCTION\\Standards\\00250\\269\\41_e_dr\\8_025a.tif"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"Y:\\STD_MGT\\STDDEL\\PRODUCTION\\Standards\\00250\\269\\41_e_dr\\8_025a.tif"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"Y:\\STD_MGT\\STDDEL\\PRODUCTION\\Standards\\00250\\269\\41_e_dr\\8_025a.tif"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"Y:\\STD_MGT\\STDDEL\\PRODUCTION\\Standards\\00250\\269\\41_e_dr\\8_025a.tif"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"Y:\\STD_MGT\\STDDEL\\PRODUCTION\\Standards\\00250\\269\\41_e_dr\\8_025a.tif"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"C:\\Users\\a.dionysiou\\AppData\\Local\\Temp\\Temp1_00250269_e_20210902.zip.zip\\41_e_dr\\8_025a.tif"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46DED1DC">
                <v:shape id="_x0000_i1184" type="#_x0000_t75" style="width:125.25pt;height:129.75pt">
                  <v:imagedata r:id="rId338" r:href="rId339"/>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4876" w:type="dxa"/>
          </w:tcPr>
          <w:p w14:paraId="060786A7" w14:textId="472865E8" w:rsidR="007D2E7E" w:rsidRPr="001455DC" w:rsidRDefault="00723CF7" w:rsidP="004F2CDC">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"Y:\\STD_MGT\\STDDEL\\PRODUCTION\\etrans\\Download\\Z_FIRST_DEL\\SV\\00250\\00250269\\41_e_dr\\8_025b.tif"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"Y:\\STD_MGT\\STDDEL\\PRODUCTION\\Standards\\00250\\269\\41_e_dr\\8_025b.tif"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"Y:\\STD_MGT\\STDDEL\\PRODUCTION\\Standards\\00250\\269\\41_e_dr\\8_025b.tif"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"Y:\\STD_MGT\\STDDEL\\PRODUCTION\\Standards\\00250\\269\\41_e_dr\\8_025b.tif"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"Y:\\STD_MGT\\STDDEL\\PRODUCTION\\Standards\\00250\\269\\41_e_dr\\8_025b.tif"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"Y:\\STD_MGT\\STDDEL\\PRODUCTION\\Standards\\00250\\269\\41_e_dr\\8_025b.tif"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w:instrText>
            </w:r>
            <w:r w:rsidR="00231E33">
              <w:rPr>
                <w:noProof/>
                <w:lang w:eastAsia="en-GB"/>
              </w:rPr>
              <w:instrText>\Temp1_00250269_e_20210902.zip.zip\\41_e_dr\\8_025b.tif"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6D25C9EC">
                <v:shape id="_x0000_i1185" type="#_x0000_t75" style="width:107.25pt;height:132.75pt">
                  <v:imagedata r:id="rId340" r:href="rId341"/>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7D2E7E" w:rsidRPr="00C710B1" w14:paraId="3B5D7474" w14:textId="77777777" w:rsidTr="007D2E7E">
        <w:trPr>
          <w:cantSplit/>
          <w:jc w:val="center"/>
        </w:trPr>
        <w:tc>
          <w:tcPr>
            <w:tcW w:w="4876" w:type="dxa"/>
          </w:tcPr>
          <w:p w14:paraId="568F35B9" w14:textId="01C6ECAF" w:rsidR="007D2E7E" w:rsidRPr="00C710B1" w:rsidRDefault="007D2E7E" w:rsidP="004F2CDC">
            <w:pPr>
              <w:pStyle w:val="FigureText"/>
              <w:jc w:val="center"/>
            </w:pPr>
            <w:r w:rsidRPr="009D3012">
              <w:rPr>
                <w:rFonts w:eastAsiaTheme="majorEastAsia"/>
              </w:rPr>
              <w:t>a) distributed stress field</w:t>
            </w:r>
          </w:p>
        </w:tc>
        <w:tc>
          <w:tcPr>
            <w:tcW w:w="4876" w:type="dxa"/>
          </w:tcPr>
          <w:p w14:paraId="4F0CDBEA" w14:textId="5CF0745D" w:rsidR="007D2E7E" w:rsidRPr="00C710B1" w:rsidRDefault="007D2E7E" w:rsidP="004F2CDC">
            <w:pPr>
              <w:pStyle w:val="FigureText"/>
              <w:jc w:val="center"/>
            </w:pPr>
            <w:r w:rsidRPr="009D3012">
              <w:rPr>
                <w:rFonts w:eastAsiaTheme="majorEastAsia"/>
              </w:rPr>
              <w:t>b) corresponding strut-and-tie model</w:t>
            </w:r>
          </w:p>
        </w:tc>
      </w:tr>
      <w:tr w:rsidR="007D2E7E" w:rsidRPr="00C710B1" w14:paraId="0903E5AE" w14:textId="77777777" w:rsidTr="007D2E7E">
        <w:trPr>
          <w:cantSplit/>
          <w:jc w:val="center"/>
        </w:trPr>
        <w:tc>
          <w:tcPr>
            <w:tcW w:w="4876" w:type="dxa"/>
          </w:tcPr>
          <w:p w14:paraId="6E51DC58" w14:textId="1B19D2EB" w:rsidR="007D2E7E" w:rsidRPr="00C710B1" w:rsidRDefault="00723CF7" w:rsidP="004F2CDC">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"Y:\\STD_MGT\\STDDEL\\PRODUCTION\\etrans\\Download\\Z_FIRST_DEL\\SV\\00250\\00250269\\41_e_dr\\8_025c.tif"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"Y:\\STD_MGT\\STDDEL\\PRODUCTION\\Standards\\00250\\269\\41_e_dr\\8_025c.tif"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"Y:\\STD_MGT\\STDDEL\\PRODUCTION\\Standards\\00250\\269\\41_e_dr\\8_025c.tif"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"Y:\\STD_MGT\\STDDEL\\PRODUCTION\\Standards\\00250\\269\\41_e_dr\\8_025c.tif"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"Y:\\STD_MGT\\STDDEL\\PRODUCTION\\Standards\\00250\\269\\41_e_dr\\8_025c.tif"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"Y:\\STD_MGT\\STDDEL\\PRODUCTION\\Standards\\00250\\269\\41_e_dr\\8_025c.tif"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w:instrText>
            </w:r>
            <w:r w:rsidR="00231E33">
              <w:rPr>
                <w:noProof/>
                <w:lang w:eastAsia="en-GB"/>
              </w:rPr>
              <w:instrText>l\\Temp\\Temp1_00250269_e_20210902.zip.zip\\41_e_dr\\8_025c.tif"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5DC05D3E">
                <v:shape id="_x0000_i1186" type="#_x0000_t75" style="width:107.25pt;height:121.5pt">
                  <v:imagedata r:id="rId342" r:href="rId343"/>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4876" w:type="dxa"/>
          </w:tcPr>
          <w:p w14:paraId="557F2038" w14:textId="1CDDC34D" w:rsidR="007D2E7E" w:rsidRPr="00C710B1" w:rsidRDefault="00723CF7" w:rsidP="004F2CDC">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"Y:\\STD_MGT\\STDDEL\\PRODUCTION\\etrans\\Download\\Z_FIRST_DEL\\SV\\00250\\00250269\\41_e_dr\\8_025d.tif"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"Y:\\STD_MGT\\STDDEL\\PRODUCTION\\Standards\\00250\\269\\41_e_dr\\8_025d.tif"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"Y:\\STD_MGT\\STDDEL\\PRODUCTION\\Standards\\00250\\269\\41_e_dr\\8_025d.tif"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"Y:\\STD_MGT\\STDDEL\\PRODUCTION\\Standards\\00250\\269\\41_e_dr\\8_025d.tif"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"Y:\\STD_MGT\\STDDEL\\PRODUCTION\\Standards\\00250\\269\\41_e_dr\\8_025d.tif"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"Y:\\STD_MGT\\STDDEL\\PRODUCTION\\Standards\\00250\\269\\41_e_dr\\8_025d.tif"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w:instrText>
            </w:r>
            <w:r w:rsidR="00231E33">
              <w:rPr>
                <w:noProof/>
                <w:lang w:eastAsia="en-GB"/>
              </w:rPr>
              <w:instrText>l\\Temp\\Temp1_00250269_e_20210902.zip.zip\\41_e_dr\\8_025d.tif"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37C5ECC4">
                <v:shape id="_x0000_i1187" type="#_x0000_t75" style="width:107.25pt;height:127.5pt">
                  <v:imagedata r:id="rId344" r:href="rId345"/>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7D2E7E" w:rsidRPr="00C710B1" w14:paraId="27619EDF" w14:textId="77777777" w:rsidTr="007D2E7E">
        <w:trPr>
          <w:cantSplit/>
          <w:jc w:val="center"/>
        </w:trPr>
        <w:tc>
          <w:tcPr>
            <w:tcW w:w="4876" w:type="dxa"/>
          </w:tcPr>
          <w:p w14:paraId="758EF5CF" w14:textId="402A632E" w:rsidR="007D2E7E" w:rsidRPr="00C710B1" w:rsidRDefault="007D2E7E" w:rsidP="004F2CDC">
            <w:pPr>
              <w:pStyle w:val="FigureText"/>
              <w:jc w:val="center"/>
            </w:pPr>
            <w:r w:rsidRPr="009D3012">
              <w:rPr>
                <w:rFonts w:eastAsiaTheme="majorEastAsia"/>
              </w:rPr>
              <w:t>c) concentrated stress field</w:t>
            </w:r>
          </w:p>
        </w:tc>
        <w:tc>
          <w:tcPr>
            <w:tcW w:w="4876" w:type="dxa"/>
          </w:tcPr>
          <w:p w14:paraId="08790FD9" w14:textId="02213B87" w:rsidR="007D2E7E" w:rsidRPr="00C710B1" w:rsidRDefault="007D2E7E" w:rsidP="004F2CDC">
            <w:pPr>
              <w:pStyle w:val="FigureText"/>
              <w:jc w:val="center"/>
            </w:pPr>
            <w:r w:rsidRPr="009D3012">
              <w:rPr>
                <w:rFonts w:eastAsiaTheme="majorEastAsia"/>
              </w:rPr>
              <w:t>d) corresponding strut-and-tie model</w:t>
            </w:r>
          </w:p>
        </w:tc>
      </w:tr>
    </w:tbl>
    <w:p w14:paraId="1DDEAECD" w14:textId="77777777" w:rsidR="007D2E7E" w:rsidRPr="001455DC" w:rsidRDefault="007D2E7E" w:rsidP="007D2E7E">
      <w:pPr>
        <w:pStyle w:val="KeyTitle"/>
      </w:pPr>
      <w:r w:rsidRPr="001455DC">
        <w:t>Key</w:t>
      </w:r>
    </w:p>
    <w:tbl>
      <w:tblPr>
        <w:tblW w:w="9582" w:type="dxa"/>
        <w:tblLayout w:type="fixed"/>
        <w:tblCellMar>
          <w:left w:w="28" w:type="dxa"/>
          <w:right w:w="28" w:type="dxa"/>
        </w:tblCellMar>
        <w:tblLook w:val="0000" w:firstRow="0" w:lastRow="0" w:firstColumn="0" w:lastColumn="0" w:noHBand="0" w:noVBand="0"/>
      </w:tblPr>
      <w:tblGrid>
        <w:gridCol w:w="397"/>
        <w:gridCol w:w="4309"/>
        <w:gridCol w:w="567"/>
        <w:gridCol w:w="4309"/>
      </w:tblGrid>
      <w:tr w:rsidR="007D2E7E" w:rsidRPr="001455DC" w14:paraId="39036F6D" w14:textId="77777777" w:rsidTr="007D2E7E">
        <w:tc>
          <w:tcPr>
            <w:tcW w:w="397" w:type="dxa"/>
            <w:shd w:val="clear" w:color="auto" w:fill="auto"/>
          </w:tcPr>
          <w:p w14:paraId="02E4AA58" w14:textId="377088FA" w:rsidR="007D2E7E" w:rsidRPr="001455DC" w:rsidRDefault="007D2E7E" w:rsidP="0079403C">
            <w:pPr>
              <w:pStyle w:val="KeyText"/>
              <w:tabs>
                <w:tab w:val="clear" w:pos="346"/>
              </w:tabs>
              <w:spacing w:after="0"/>
              <w:ind w:left="0" w:firstLine="0"/>
            </w:pPr>
            <w:r w:rsidRPr="001455DC">
              <w:t>1</w:t>
            </w:r>
          </w:p>
        </w:tc>
        <w:tc>
          <w:tcPr>
            <w:tcW w:w="4309" w:type="dxa"/>
            <w:shd w:val="clear" w:color="auto" w:fill="auto"/>
          </w:tcPr>
          <w:p w14:paraId="072921C6" w14:textId="07B395F3" w:rsidR="007D2E7E" w:rsidRPr="001455DC" w:rsidRDefault="00A46F70" w:rsidP="0079403C">
            <w:pPr>
              <w:pStyle w:val="KeyText"/>
              <w:tabs>
                <w:tab w:val="clear" w:pos="346"/>
              </w:tabs>
              <w:spacing w:after="0"/>
              <w:ind w:left="0" w:firstLine="0"/>
            </w:pPr>
            <w:r>
              <w:rPr>
                <w:rFonts w:eastAsiaTheme="majorEastAsia"/>
              </w:rPr>
              <w:t>d</w:t>
            </w:r>
            <w:r w:rsidR="007D2E7E" w:rsidRPr="001455DC">
              <w:rPr>
                <w:rFonts w:eastAsiaTheme="majorEastAsia"/>
              </w:rPr>
              <w:t>istributed compression field</w:t>
            </w:r>
          </w:p>
        </w:tc>
        <w:tc>
          <w:tcPr>
            <w:tcW w:w="567" w:type="dxa"/>
            <w:shd w:val="clear" w:color="auto" w:fill="auto"/>
          </w:tcPr>
          <w:p w14:paraId="50016FA9" w14:textId="3D603567" w:rsidR="007D2E7E" w:rsidRPr="001455DC" w:rsidRDefault="007D2E7E" w:rsidP="0079403C">
            <w:pPr>
              <w:pStyle w:val="KeyText"/>
              <w:tabs>
                <w:tab w:val="clear" w:pos="346"/>
              </w:tabs>
              <w:spacing w:after="0"/>
              <w:ind w:left="0" w:firstLine="0"/>
            </w:pPr>
            <w:r w:rsidRPr="001455DC">
              <w:t>7</w:t>
            </w:r>
          </w:p>
        </w:tc>
        <w:tc>
          <w:tcPr>
            <w:tcW w:w="4309" w:type="dxa"/>
            <w:shd w:val="clear" w:color="auto" w:fill="auto"/>
          </w:tcPr>
          <w:p w14:paraId="1967AA78" w14:textId="3E4CF1F6" w:rsidR="007D2E7E" w:rsidRPr="001455DC" w:rsidRDefault="00A46F70" w:rsidP="0079403C">
            <w:pPr>
              <w:pStyle w:val="KeyText"/>
              <w:tabs>
                <w:tab w:val="clear" w:pos="346"/>
              </w:tabs>
              <w:spacing w:after="0"/>
              <w:ind w:left="0" w:firstLine="0"/>
            </w:pPr>
            <w:r>
              <w:rPr>
                <w:rFonts w:eastAsiaTheme="majorEastAsia"/>
              </w:rPr>
              <w:t>t</w:t>
            </w:r>
            <w:r w:rsidR="007D2E7E" w:rsidRPr="001455DC">
              <w:rPr>
                <w:rFonts w:eastAsiaTheme="majorEastAsia"/>
              </w:rPr>
              <w:t>ie</w:t>
            </w:r>
          </w:p>
        </w:tc>
      </w:tr>
      <w:tr w:rsidR="007D2E7E" w:rsidRPr="001455DC" w14:paraId="126E95AB" w14:textId="77777777" w:rsidTr="007D2E7E">
        <w:tc>
          <w:tcPr>
            <w:tcW w:w="397" w:type="dxa"/>
            <w:shd w:val="clear" w:color="auto" w:fill="auto"/>
          </w:tcPr>
          <w:p w14:paraId="24C83240" w14:textId="7343C013" w:rsidR="007D2E7E" w:rsidRPr="001455DC" w:rsidRDefault="007D2E7E" w:rsidP="0079403C">
            <w:pPr>
              <w:pStyle w:val="KeyText"/>
              <w:tabs>
                <w:tab w:val="clear" w:pos="346"/>
              </w:tabs>
              <w:spacing w:after="0"/>
              <w:ind w:left="0" w:firstLine="0"/>
            </w:pPr>
            <w:r w:rsidRPr="001455DC">
              <w:t>2</w:t>
            </w:r>
          </w:p>
        </w:tc>
        <w:tc>
          <w:tcPr>
            <w:tcW w:w="4309" w:type="dxa"/>
            <w:shd w:val="clear" w:color="auto" w:fill="auto"/>
          </w:tcPr>
          <w:p w14:paraId="2F3C75A0" w14:textId="0FFD3E8F" w:rsidR="007D2E7E" w:rsidRPr="001455DC" w:rsidRDefault="00A46F70" w:rsidP="0079403C">
            <w:pPr>
              <w:pStyle w:val="KeyText"/>
              <w:tabs>
                <w:tab w:val="clear" w:pos="346"/>
              </w:tabs>
              <w:spacing w:after="0"/>
              <w:ind w:left="0" w:firstLine="0"/>
            </w:pPr>
            <w:r>
              <w:rPr>
                <w:rFonts w:eastAsiaTheme="majorEastAsia"/>
              </w:rPr>
              <w:t>d</w:t>
            </w:r>
            <w:r w:rsidR="007D2E7E" w:rsidRPr="001455DC">
              <w:rPr>
                <w:rFonts w:eastAsiaTheme="majorEastAsia"/>
              </w:rPr>
              <w:t>istributed tie</w:t>
            </w:r>
          </w:p>
        </w:tc>
        <w:tc>
          <w:tcPr>
            <w:tcW w:w="567" w:type="dxa"/>
            <w:shd w:val="clear" w:color="auto" w:fill="auto"/>
          </w:tcPr>
          <w:p w14:paraId="3D7953B1" w14:textId="2EED8769" w:rsidR="007D2E7E" w:rsidRPr="001455DC" w:rsidRDefault="007D2E7E" w:rsidP="0079403C">
            <w:pPr>
              <w:pStyle w:val="KeyText"/>
              <w:tabs>
                <w:tab w:val="clear" w:pos="346"/>
              </w:tabs>
              <w:spacing w:after="0"/>
              <w:ind w:left="0" w:firstLine="0"/>
            </w:pPr>
            <w:r w:rsidRPr="001455DC">
              <w:t>8</w:t>
            </w:r>
          </w:p>
        </w:tc>
        <w:tc>
          <w:tcPr>
            <w:tcW w:w="4309" w:type="dxa"/>
            <w:shd w:val="clear" w:color="auto" w:fill="auto"/>
          </w:tcPr>
          <w:p w14:paraId="728C7B99" w14:textId="3CB66310" w:rsidR="007D2E7E" w:rsidRPr="001455DC" w:rsidRDefault="00A46F70" w:rsidP="0079403C">
            <w:pPr>
              <w:pStyle w:val="KeyText"/>
              <w:tabs>
                <w:tab w:val="clear" w:pos="346"/>
              </w:tabs>
              <w:spacing w:after="0"/>
              <w:ind w:left="0" w:firstLine="0"/>
            </w:pPr>
            <w:r>
              <w:rPr>
                <w:rFonts w:eastAsiaTheme="majorEastAsia"/>
              </w:rPr>
              <w:t>n</w:t>
            </w:r>
            <w:r w:rsidR="007D2E7E" w:rsidRPr="001455DC">
              <w:rPr>
                <w:rFonts w:eastAsiaTheme="majorEastAsia"/>
              </w:rPr>
              <w:t>ode</w:t>
            </w:r>
          </w:p>
        </w:tc>
      </w:tr>
      <w:tr w:rsidR="007D2E7E" w:rsidRPr="001455DC" w14:paraId="234C98ED" w14:textId="77777777" w:rsidTr="007D2E7E">
        <w:tc>
          <w:tcPr>
            <w:tcW w:w="397" w:type="dxa"/>
            <w:shd w:val="clear" w:color="auto" w:fill="auto"/>
          </w:tcPr>
          <w:p w14:paraId="53D66B0F" w14:textId="092C9044" w:rsidR="007D2E7E" w:rsidRPr="001455DC" w:rsidRDefault="007D2E7E" w:rsidP="0079403C">
            <w:pPr>
              <w:pStyle w:val="KeyText"/>
              <w:tabs>
                <w:tab w:val="clear" w:pos="346"/>
              </w:tabs>
              <w:spacing w:after="0"/>
              <w:ind w:left="0" w:firstLine="0"/>
            </w:pPr>
            <w:r w:rsidRPr="001455DC">
              <w:t>3</w:t>
            </w:r>
          </w:p>
        </w:tc>
        <w:tc>
          <w:tcPr>
            <w:tcW w:w="4309" w:type="dxa"/>
            <w:shd w:val="clear" w:color="auto" w:fill="auto"/>
          </w:tcPr>
          <w:p w14:paraId="08E6761A" w14:textId="4F4F6365" w:rsidR="007D2E7E" w:rsidRPr="001455DC" w:rsidRDefault="00A46F70" w:rsidP="0079403C">
            <w:pPr>
              <w:pStyle w:val="KeyText"/>
              <w:tabs>
                <w:tab w:val="clear" w:pos="346"/>
              </w:tabs>
              <w:spacing w:after="0"/>
              <w:ind w:left="0" w:firstLine="0"/>
            </w:pPr>
            <w:r>
              <w:rPr>
                <w:rFonts w:eastAsiaTheme="majorEastAsia"/>
              </w:rPr>
              <w:t>c</w:t>
            </w:r>
            <w:r w:rsidR="007D2E7E" w:rsidRPr="001455DC">
              <w:rPr>
                <w:rFonts w:eastAsiaTheme="majorEastAsia"/>
              </w:rPr>
              <w:t>oncentrated tie</w:t>
            </w:r>
          </w:p>
        </w:tc>
        <w:tc>
          <w:tcPr>
            <w:tcW w:w="567" w:type="dxa"/>
            <w:shd w:val="clear" w:color="auto" w:fill="auto"/>
          </w:tcPr>
          <w:p w14:paraId="0C4D732E" w14:textId="55AFAE2A" w:rsidR="007D2E7E" w:rsidRPr="001455DC" w:rsidRDefault="007D2E7E" w:rsidP="0079403C">
            <w:pPr>
              <w:pStyle w:val="KeyText"/>
              <w:tabs>
                <w:tab w:val="clear" w:pos="346"/>
              </w:tabs>
              <w:spacing w:after="0"/>
              <w:ind w:left="0" w:firstLine="0"/>
            </w:pPr>
            <w:r w:rsidRPr="001455DC">
              <w:t>10</w:t>
            </w:r>
          </w:p>
        </w:tc>
        <w:tc>
          <w:tcPr>
            <w:tcW w:w="4309" w:type="dxa"/>
            <w:shd w:val="clear" w:color="auto" w:fill="auto"/>
          </w:tcPr>
          <w:p w14:paraId="63D5FCB5" w14:textId="02D8C27D" w:rsidR="007D2E7E" w:rsidRPr="001455DC" w:rsidRDefault="00A46F70" w:rsidP="0079403C">
            <w:pPr>
              <w:pStyle w:val="KeyText"/>
              <w:tabs>
                <w:tab w:val="clear" w:pos="346"/>
              </w:tabs>
              <w:spacing w:after="0"/>
              <w:ind w:left="0" w:firstLine="0"/>
            </w:pPr>
            <w:r>
              <w:rPr>
                <w:rFonts w:eastAsiaTheme="majorEastAsia"/>
              </w:rPr>
              <w:t>s</w:t>
            </w:r>
            <w:r w:rsidR="007D2E7E" w:rsidRPr="001455DC">
              <w:rPr>
                <w:rFonts w:eastAsiaTheme="majorEastAsia"/>
              </w:rPr>
              <w:t>trut</w:t>
            </w:r>
          </w:p>
        </w:tc>
      </w:tr>
      <w:tr w:rsidR="007D2E7E" w:rsidRPr="001455DC" w14:paraId="1C9D00D1" w14:textId="77777777" w:rsidTr="007D2E7E">
        <w:tc>
          <w:tcPr>
            <w:tcW w:w="397" w:type="dxa"/>
            <w:shd w:val="clear" w:color="auto" w:fill="auto"/>
          </w:tcPr>
          <w:p w14:paraId="55DA3CB7" w14:textId="0DA741D2" w:rsidR="007D2E7E" w:rsidRPr="001455DC" w:rsidRDefault="007D2E7E" w:rsidP="0079403C">
            <w:pPr>
              <w:pStyle w:val="KeyText"/>
              <w:tabs>
                <w:tab w:val="clear" w:pos="346"/>
              </w:tabs>
              <w:spacing w:after="0"/>
              <w:ind w:left="0" w:firstLine="0"/>
            </w:pPr>
            <w:r w:rsidRPr="001455DC">
              <w:t>4</w:t>
            </w:r>
          </w:p>
        </w:tc>
        <w:tc>
          <w:tcPr>
            <w:tcW w:w="4309" w:type="dxa"/>
            <w:shd w:val="clear" w:color="auto" w:fill="auto"/>
          </w:tcPr>
          <w:p w14:paraId="30581732" w14:textId="5DC5BB82" w:rsidR="007D2E7E" w:rsidRPr="001455DC" w:rsidRDefault="00A46F70" w:rsidP="0079403C">
            <w:pPr>
              <w:pStyle w:val="KeyText"/>
              <w:tabs>
                <w:tab w:val="clear" w:pos="346"/>
              </w:tabs>
              <w:spacing w:after="0"/>
              <w:ind w:left="0" w:firstLine="0"/>
            </w:pPr>
            <w:r>
              <w:rPr>
                <w:rFonts w:eastAsiaTheme="majorEastAsia"/>
              </w:rPr>
              <w:t>t</w:t>
            </w:r>
            <w:r w:rsidR="007D2E7E" w:rsidRPr="001455DC">
              <w:rPr>
                <w:rFonts w:eastAsiaTheme="majorEastAsia"/>
              </w:rPr>
              <w:t>riangular nodal region</w:t>
            </w:r>
          </w:p>
        </w:tc>
        <w:tc>
          <w:tcPr>
            <w:tcW w:w="567" w:type="dxa"/>
            <w:shd w:val="clear" w:color="auto" w:fill="auto"/>
          </w:tcPr>
          <w:p w14:paraId="3E7E940F" w14:textId="16588F34" w:rsidR="007D2E7E" w:rsidRPr="001455DC" w:rsidRDefault="007D2E7E" w:rsidP="0079403C">
            <w:pPr>
              <w:pStyle w:val="KeyText"/>
              <w:tabs>
                <w:tab w:val="clear" w:pos="346"/>
              </w:tabs>
              <w:spacing w:after="0"/>
              <w:ind w:left="0" w:firstLine="0"/>
            </w:pPr>
            <w:r w:rsidRPr="001455DC">
              <w:t>11</w:t>
            </w:r>
          </w:p>
        </w:tc>
        <w:tc>
          <w:tcPr>
            <w:tcW w:w="4309" w:type="dxa"/>
            <w:shd w:val="clear" w:color="auto" w:fill="auto"/>
          </w:tcPr>
          <w:p w14:paraId="1902D473" w14:textId="21C2795B" w:rsidR="007D2E7E" w:rsidRPr="001455DC" w:rsidRDefault="00A46F70" w:rsidP="0079403C">
            <w:pPr>
              <w:pStyle w:val="KeyText"/>
              <w:tabs>
                <w:tab w:val="clear" w:pos="346"/>
              </w:tabs>
              <w:spacing w:after="0"/>
              <w:ind w:left="0" w:firstLine="0"/>
            </w:pPr>
            <w:r>
              <w:rPr>
                <w:rFonts w:eastAsiaTheme="majorEastAsia"/>
              </w:rPr>
              <w:t>c</w:t>
            </w:r>
            <w:r w:rsidR="007D2E7E" w:rsidRPr="001455DC">
              <w:rPr>
                <w:rFonts w:eastAsiaTheme="majorEastAsia"/>
              </w:rPr>
              <w:t>oncentrated compression field</w:t>
            </w:r>
          </w:p>
        </w:tc>
      </w:tr>
      <w:tr w:rsidR="007D2E7E" w:rsidRPr="001455DC" w14:paraId="08BD5542" w14:textId="77777777" w:rsidTr="007D2E7E">
        <w:tc>
          <w:tcPr>
            <w:tcW w:w="397" w:type="dxa"/>
            <w:shd w:val="clear" w:color="auto" w:fill="auto"/>
          </w:tcPr>
          <w:p w14:paraId="6A85461B" w14:textId="6494C2D8" w:rsidR="007D2E7E" w:rsidRPr="001455DC" w:rsidRDefault="007D2E7E" w:rsidP="0079403C">
            <w:pPr>
              <w:pStyle w:val="KeyText"/>
              <w:tabs>
                <w:tab w:val="clear" w:pos="346"/>
              </w:tabs>
              <w:spacing w:after="0"/>
              <w:ind w:left="0" w:firstLine="0"/>
            </w:pPr>
            <w:r w:rsidRPr="001455DC">
              <w:t>5</w:t>
            </w:r>
          </w:p>
        </w:tc>
        <w:tc>
          <w:tcPr>
            <w:tcW w:w="4309" w:type="dxa"/>
            <w:shd w:val="clear" w:color="auto" w:fill="auto"/>
          </w:tcPr>
          <w:p w14:paraId="15DF79DD" w14:textId="67B7586D" w:rsidR="007D2E7E" w:rsidRPr="001455DC" w:rsidRDefault="00A46F70" w:rsidP="0079403C">
            <w:pPr>
              <w:pStyle w:val="KeyText"/>
              <w:tabs>
                <w:tab w:val="clear" w:pos="346"/>
              </w:tabs>
              <w:spacing w:after="0"/>
              <w:ind w:left="0" w:firstLine="0"/>
            </w:pPr>
            <w:r>
              <w:rPr>
                <w:rFonts w:eastAsiaTheme="majorEastAsia"/>
              </w:rPr>
              <w:t>c</w:t>
            </w:r>
            <w:r w:rsidR="007D2E7E" w:rsidRPr="001455DC">
              <w:rPr>
                <w:rFonts w:eastAsiaTheme="majorEastAsia"/>
              </w:rPr>
              <w:t>oncentrated compression field</w:t>
            </w:r>
          </w:p>
        </w:tc>
        <w:tc>
          <w:tcPr>
            <w:tcW w:w="567" w:type="dxa"/>
            <w:shd w:val="clear" w:color="auto" w:fill="auto"/>
          </w:tcPr>
          <w:p w14:paraId="3952D705" w14:textId="41FB1B2C" w:rsidR="007D2E7E" w:rsidRPr="001455DC" w:rsidRDefault="007D2E7E" w:rsidP="0079403C">
            <w:pPr>
              <w:pStyle w:val="KeyText"/>
              <w:tabs>
                <w:tab w:val="clear" w:pos="346"/>
              </w:tabs>
              <w:spacing w:after="0"/>
              <w:ind w:left="0" w:firstLine="0"/>
            </w:pPr>
            <w:r w:rsidRPr="001455DC">
              <w:t> </w:t>
            </w:r>
          </w:p>
        </w:tc>
        <w:tc>
          <w:tcPr>
            <w:tcW w:w="4309" w:type="dxa"/>
            <w:shd w:val="clear" w:color="auto" w:fill="auto"/>
          </w:tcPr>
          <w:p w14:paraId="3A0FBC73" w14:textId="594E5175" w:rsidR="007D2E7E" w:rsidRPr="001455DC" w:rsidRDefault="007D2E7E" w:rsidP="0079403C">
            <w:pPr>
              <w:pStyle w:val="KeyText"/>
              <w:tabs>
                <w:tab w:val="clear" w:pos="346"/>
              </w:tabs>
              <w:spacing w:after="0"/>
              <w:ind w:left="0" w:firstLine="0"/>
            </w:pPr>
            <w:r w:rsidRPr="001455DC">
              <w:t> </w:t>
            </w:r>
          </w:p>
        </w:tc>
      </w:tr>
    </w:tbl>
    <w:p w14:paraId="2ACC946D" w14:textId="77777777" w:rsidR="004E22C1" w:rsidRPr="001455DC" w:rsidRDefault="004E22C1" w:rsidP="007D2E7E">
      <w:pPr>
        <w:pStyle w:val="Figuretitle"/>
      </w:pPr>
      <w:r w:rsidRPr="001455DC">
        <w:t>Figure 8.25 — Examples of stress fields and strut-and-tie models</w:t>
      </w:r>
    </w:p>
    <w:p w14:paraId="0566EAE6" w14:textId="2C97D39E" w:rsidR="004E22C1" w:rsidRPr="001455DC" w:rsidRDefault="004E22C1" w:rsidP="00243590">
      <w:pPr>
        <w:pStyle w:val="31"/>
      </w:pPr>
      <w:bookmarkStart w:id="638" w:name="_Toc52819996"/>
      <w:bookmarkStart w:id="639" w:name="_Toc54337391"/>
      <w:bookmarkStart w:id="640" w:name="_Toc54338052"/>
      <w:bookmarkStart w:id="641" w:name="_Toc67565400"/>
      <w:r w:rsidRPr="001455DC">
        <w:t>Struts and compression fields</w:t>
      </w:r>
      <w:bookmarkEnd w:id="638"/>
      <w:bookmarkEnd w:id="639"/>
      <w:bookmarkEnd w:id="640"/>
      <w:bookmarkEnd w:id="641"/>
    </w:p>
    <w:p w14:paraId="584E301A" w14:textId="77777777" w:rsidR="004E22C1" w:rsidRPr="001455DC" w:rsidRDefault="004E22C1" w:rsidP="00CD6899">
      <w:pPr>
        <w:pStyle w:val="a7"/>
        <w:rPr>
          <w:rFonts w:eastAsiaTheme="majorEastAsia"/>
        </w:rPr>
      </w:pPr>
      <w:r w:rsidRPr="001455DC">
        <w:rPr>
          <w:rFonts w:eastAsiaTheme="majorEastAsia"/>
        </w:rPr>
        <w:t>(1)</w:t>
      </w:r>
      <w:r w:rsidRPr="001455DC">
        <w:rPr>
          <w:rFonts w:eastAsiaTheme="majorEastAsia"/>
        </w:rPr>
        <w:tab/>
        <w:t>The width of the struts and of the compression fields near member edges or openings shall be verified to respect the strength condition of (3). For the conditions at the ends of struts, 8.5.4 applies.</w:t>
      </w:r>
    </w:p>
    <w:p w14:paraId="5BB275DC" w14:textId="63CB0D7B" w:rsidR="00332974" w:rsidRPr="001455DC" w:rsidRDefault="004E22C1" w:rsidP="008D37B2">
      <w:pPr>
        <w:pStyle w:val="a7"/>
        <w:keepNext/>
      </w:pPr>
      <w:r w:rsidRPr="001455DC">
        <w:rPr>
          <w:rFonts w:eastAsiaTheme="majorEastAsia"/>
        </w:rPr>
        <w:t>(2)</w:t>
      </w:r>
      <w:r w:rsidRPr="001455DC">
        <w:rPr>
          <w:rFonts w:eastAsiaTheme="majorEastAsia"/>
        </w:rPr>
        <w:tab/>
        <w:t>The stresses in the concrete struts and in the compression fields may generally be assumed as uniformly distributed over its cross</w:t>
      </w:r>
      <w:r w:rsidR="00B10711" w:rsidRPr="001455DC">
        <w:rPr>
          <w:rFonts w:eastAsiaTheme="majorEastAsia"/>
        </w:rPr>
        <w:t xml:space="preserve"> </w:t>
      </w:r>
      <w:r w:rsidRPr="001455DC">
        <w:rPr>
          <w:rFonts w:eastAsiaTheme="majorEastAsia"/>
        </w:rPr>
        <w:t>section, so that its value may be calculated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332974" w:rsidRPr="001455DC" w14:paraId="3F7166D8" w14:textId="77777777" w:rsidTr="004F2CDC">
        <w:trPr>
          <w:cantSplit/>
        </w:trPr>
        <w:tc>
          <w:tcPr>
            <w:tcW w:w="8505" w:type="dxa"/>
            <w:vAlign w:val="center"/>
          </w:tcPr>
          <w:p w14:paraId="68606408" w14:textId="7E255988" w:rsidR="00332974" w:rsidRPr="001455DC" w:rsidRDefault="00231E33" w:rsidP="004F2CDC">
            <w:pPr>
              <w:pStyle w:val="Formula"/>
              <w:jc w:val="left"/>
            </w:pPr>
            <m:oMathPara>
              <m:oMathParaPr>
                <m:jc m:val="left"/>
              </m:oMathParaPr>
              <m:oMath>
                <m:sSub>
                  <m:sSubPr>
                    <m:ctrlPr>
                      <w:rPr>
                        <w:rFonts w:ascii="Cambria Math" w:hAnsi="Cambria Math"/>
                      </w:rPr>
                    </m:ctrlPr>
                  </m:sSubPr>
                  <m:e>
                    <m:r>
                      <w:rPr>
                        <w:rFonts w:ascii="Cambria Math" w:hAnsi="Cambria Math"/>
                      </w:rPr>
                      <m:t>σ</m:t>
                    </m:r>
                  </m:e>
                  <m:sub>
                    <m:r>
                      <m:rPr>
                        <m:sty m:val="p"/>
                      </m:rPr>
                      <w:rPr>
                        <w:rFonts w:ascii="Cambria Math" w:hAnsi="Cambria Math"/>
                      </w:rPr>
                      <m:t>cd</m:t>
                    </m:r>
                  </m:sub>
                </m:sSub>
                <m:r>
                  <w:rPr>
                    <w:rFonts w:ascii="Cambria Math" w:hAnsi="Cambria Math"/>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cd</m:t>
                            </m:r>
                          </m:sub>
                        </m:sSub>
                      </m:e>
                    </m:d>
                  </m:num>
                  <m:den>
                    <m:sSub>
                      <m:sSubPr>
                        <m:ctrlPr>
                          <w:rPr>
                            <w:rFonts w:ascii="Cambria Math" w:hAnsi="Cambria Math"/>
                          </w:rPr>
                        </m:ctrlPr>
                      </m:sSubPr>
                      <m:e>
                        <m:r>
                          <w:rPr>
                            <w:rFonts w:ascii="Cambria Math" w:hAnsi="Cambria Math"/>
                          </w:rPr>
                          <m:t>b</m:t>
                        </m:r>
                      </m:e>
                      <m:sub>
                        <m:r>
                          <m:rPr>
                            <m:sty m:val="p"/>
                          </m:rPr>
                          <w:rPr>
                            <w:rFonts w:ascii="Cambria Math" w:hAnsi="Cambria Math"/>
                          </w:rPr>
                          <m:t>c</m:t>
                        </m:r>
                      </m:sub>
                    </m:sSub>
                    <m:r>
                      <w:rPr>
                        <w:rFonts w:ascii="Cambria Math" w:hAnsi="Cambria Math"/>
                      </w:rPr>
                      <m:t>⋅t</m:t>
                    </m:r>
                  </m:den>
                </m:f>
              </m:oMath>
            </m:oMathPara>
          </w:p>
        </w:tc>
        <w:tc>
          <w:tcPr>
            <w:tcW w:w="1247" w:type="dxa"/>
            <w:vAlign w:val="center"/>
          </w:tcPr>
          <w:p w14:paraId="54EA66AA" w14:textId="7FD110A8" w:rsidR="00332974" w:rsidRPr="001455DC" w:rsidRDefault="00332974">
            <w:pPr>
              <w:pStyle w:val="a7"/>
              <w:jc w:val="right"/>
            </w:pPr>
            <w:r w:rsidRPr="001455DC">
              <w:rPr>
                <w:rFonts w:eastAsiaTheme="majorEastAsia"/>
              </w:rPr>
              <w:t>(8.</w:t>
            </w:r>
            <w:r w:rsidR="00687BF7" w:rsidRPr="001455DC">
              <w:rPr>
                <w:rFonts w:eastAsiaTheme="majorEastAsia"/>
              </w:rPr>
              <w:t>95</w:t>
            </w:r>
            <w:r w:rsidRPr="001455DC">
              <w:rPr>
                <w:rFonts w:eastAsiaTheme="majorEastAsia"/>
              </w:rPr>
              <w:t>)</w:t>
            </w:r>
          </w:p>
        </w:tc>
      </w:tr>
    </w:tbl>
    <w:p w14:paraId="6EA52CD6" w14:textId="77777777" w:rsidR="00332974" w:rsidRPr="001455DC" w:rsidRDefault="00332974"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332974" w:rsidRPr="001455DC" w14:paraId="0B91CEDC" w14:textId="77777777" w:rsidTr="004F2CDC">
        <w:trPr>
          <w:cantSplit/>
        </w:trPr>
        <w:tc>
          <w:tcPr>
            <w:tcW w:w="567" w:type="dxa"/>
          </w:tcPr>
          <w:p w14:paraId="51B60E78" w14:textId="2116A189" w:rsidR="00332974" w:rsidRPr="001455DC" w:rsidRDefault="00332974" w:rsidP="004F2CDC">
            <w:pPr>
              <w:pStyle w:val="Tablebody"/>
            </w:pPr>
            <w:r w:rsidRPr="001455DC">
              <w:rPr>
                <w:rStyle w:val="CCMCvariableitalic"/>
              </w:rPr>
              <w:t>F</w:t>
            </w:r>
            <w:r w:rsidRPr="001455DC">
              <w:rPr>
                <w:rStyle w:val="CCMCvariablesubscript"/>
              </w:rPr>
              <w:t>cd</w:t>
            </w:r>
          </w:p>
        </w:tc>
        <w:tc>
          <w:tcPr>
            <w:tcW w:w="8845" w:type="dxa"/>
          </w:tcPr>
          <w:p w14:paraId="5055EDD4" w14:textId="0CD59169" w:rsidR="00332974" w:rsidRPr="001455DC" w:rsidRDefault="00332974" w:rsidP="004F2CDC">
            <w:pPr>
              <w:pStyle w:val="Tablebody"/>
            </w:pPr>
            <w:r w:rsidRPr="001455DC">
              <w:rPr>
                <w:rFonts w:eastAsiaTheme="majorEastAsia"/>
              </w:rPr>
              <w:t>is the compressive force of the strut;</w:t>
            </w:r>
          </w:p>
        </w:tc>
      </w:tr>
      <w:tr w:rsidR="00332974" w:rsidRPr="001455DC" w14:paraId="6BFD26E0" w14:textId="77777777" w:rsidTr="004F2CDC">
        <w:trPr>
          <w:cantSplit/>
        </w:trPr>
        <w:tc>
          <w:tcPr>
            <w:tcW w:w="567" w:type="dxa"/>
          </w:tcPr>
          <w:p w14:paraId="010B9103" w14:textId="5AC6A865" w:rsidR="00332974" w:rsidRPr="001455DC" w:rsidRDefault="00332974" w:rsidP="004F2CDC">
            <w:pPr>
              <w:pStyle w:val="Tablebody"/>
            </w:pPr>
            <w:r w:rsidRPr="001455DC">
              <w:rPr>
                <w:rStyle w:val="CCMCvariableitalic"/>
              </w:rPr>
              <w:t>t</w:t>
            </w:r>
          </w:p>
        </w:tc>
        <w:tc>
          <w:tcPr>
            <w:tcW w:w="8845" w:type="dxa"/>
          </w:tcPr>
          <w:p w14:paraId="33C6C841" w14:textId="3F199D7E" w:rsidR="00332974" w:rsidRPr="001455DC" w:rsidRDefault="00332974" w:rsidP="004F2CDC">
            <w:pPr>
              <w:pStyle w:val="Tablebody"/>
            </w:pPr>
            <w:r w:rsidRPr="001455DC">
              <w:rPr>
                <w:rFonts w:eastAsiaTheme="majorEastAsia"/>
              </w:rPr>
              <w:t>is the thickness of the strut which can be limited by the thickness of the member;</w:t>
            </w:r>
          </w:p>
        </w:tc>
      </w:tr>
      <w:tr w:rsidR="00332974" w:rsidRPr="001455DC" w14:paraId="5040C500" w14:textId="77777777" w:rsidTr="004F2CDC">
        <w:trPr>
          <w:cantSplit/>
        </w:trPr>
        <w:tc>
          <w:tcPr>
            <w:tcW w:w="567" w:type="dxa"/>
          </w:tcPr>
          <w:p w14:paraId="5030DFF7" w14:textId="4245AF95" w:rsidR="00332974" w:rsidRPr="001455DC" w:rsidRDefault="00332974" w:rsidP="004F2CDC">
            <w:pPr>
              <w:pStyle w:val="Tablebody"/>
            </w:pPr>
            <w:r w:rsidRPr="001455DC">
              <w:rPr>
                <w:rStyle w:val="CCMCvariableitalic"/>
              </w:rPr>
              <w:t>b</w:t>
            </w:r>
            <w:r w:rsidRPr="001455DC">
              <w:rPr>
                <w:rStyle w:val="CCMCvariablesubscript"/>
              </w:rPr>
              <w:t>c</w:t>
            </w:r>
          </w:p>
        </w:tc>
        <w:tc>
          <w:tcPr>
            <w:tcW w:w="8845" w:type="dxa"/>
          </w:tcPr>
          <w:p w14:paraId="7E0CE882" w14:textId="63DFF6D7" w:rsidR="00332974" w:rsidRPr="001455DC" w:rsidRDefault="00332974" w:rsidP="004F2CDC">
            <w:pPr>
              <w:pStyle w:val="Tablebody"/>
            </w:pPr>
            <w:r w:rsidRPr="001455DC">
              <w:rPr>
                <w:rFonts w:eastAsiaTheme="majorEastAsia"/>
              </w:rPr>
              <w:t>is the width of the strut.</w:t>
            </w:r>
          </w:p>
        </w:tc>
      </w:tr>
    </w:tbl>
    <w:p w14:paraId="73C0D4A9" w14:textId="77777777" w:rsidR="00332974" w:rsidRPr="001455DC" w:rsidRDefault="004E22C1" w:rsidP="008D37B2">
      <w:pPr>
        <w:pStyle w:val="a7"/>
        <w:keepNext/>
      </w:pPr>
      <w:r w:rsidRPr="001455DC">
        <w:rPr>
          <w:rFonts w:eastAsiaTheme="majorEastAsia"/>
        </w:rPr>
        <w:t>(3)</w:t>
      </w:r>
      <w:r w:rsidRPr="001455DC">
        <w:rPr>
          <w:rFonts w:eastAsiaTheme="majorEastAsia"/>
        </w:rPr>
        <w:tab/>
        <w:t xml:space="preserve">The stress </w:t>
      </w:r>
      <w:r w:rsidRPr="001455DC">
        <w:rPr>
          <w:rStyle w:val="CCMCvariableitalic"/>
        </w:rPr>
        <w:t>σ</w:t>
      </w:r>
      <w:r w:rsidRPr="001455DC">
        <w:rPr>
          <w:rStyle w:val="CCMCvariablesubscript"/>
        </w:rPr>
        <w:t>cd</w:t>
      </w:r>
      <w:r w:rsidRPr="001455DC">
        <w:rPr>
          <w:rFonts w:eastAsiaTheme="majorEastAsia"/>
        </w:rPr>
        <w:t xml:space="preserve"> in a strut or in a compression field developing within the concrete shall fulfil the following condition:</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332974" w:rsidRPr="001455DC" w14:paraId="228B21E8" w14:textId="77777777" w:rsidTr="004F2CDC">
        <w:trPr>
          <w:cantSplit/>
        </w:trPr>
        <w:tc>
          <w:tcPr>
            <w:tcW w:w="8505" w:type="dxa"/>
            <w:vAlign w:val="center"/>
          </w:tcPr>
          <w:p w14:paraId="47AB5426" w14:textId="4C8E842A" w:rsidR="00332974" w:rsidRPr="001455DC" w:rsidRDefault="00231E33" w:rsidP="004F2CDC">
            <w:pPr>
              <w:pStyle w:val="Formula"/>
              <w:jc w:val="left"/>
            </w:pPr>
            <m:oMathPara>
              <m:oMathParaPr>
                <m:jc m:val="left"/>
              </m:oMathParaPr>
              <m:oMath>
                <m:sSub>
                  <m:sSubPr>
                    <m:ctrlPr>
                      <w:rPr>
                        <w:rFonts w:ascii="Cambria Math" w:hAnsi="Cambria Math"/>
                      </w:rPr>
                    </m:ctrlPr>
                  </m:sSubPr>
                  <m:e>
                    <m:r>
                      <w:rPr>
                        <w:rFonts w:ascii="Cambria Math" w:hAnsi="Cambria Math"/>
                      </w:rPr>
                      <m:t>σ</m:t>
                    </m:r>
                  </m:e>
                  <m:sub>
                    <m:r>
                      <m:rPr>
                        <m:sty m:val="p"/>
                      </m:rPr>
                      <w:rPr>
                        <w:rFonts w:ascii="Cambria Math" w:hAnsi="Cambria Math"/>
                      </w:rPr>
                      <m:t>cd</m:t>
                    </m:r>
                  </m:sub>
                </m:sSub>
                <m:r>
                  <w:rPr>
                    <w:rFonts w:ascii="Cambria Math" w:hAnsi="Cambria Math"/>
                  </w:rPr>
                  <m:t>≤ν⋅</m:t>
                </m:r>
                <m:sSub>
                  <m:sSubPr>
                    <m:ctrlPr>
                      <w:rPr>
                        <w:rFonts w:ascii="Cambria Math" w:hAnsi="Cambria Math"/>
                      </w:rPr>
                    </m:ctrlPr>
                  </m:sSubPr>
                  <m:e>
                    <m:r>
                      <w:rPr>
                        <w:rFonts w:ascii="Cambria Math" w:hAnsi="Cambria Math"/>
                      </w:rPr>
                      <m:t>f</m:t>
                    </m:r>
                  </m:e>
                  <m:sub>
                    <m:r>
                      <m:rPr>
                        <m:sty m:val="p"/>
                      </m:rPr>
                      <w:rPr>
                        <w:rFonts w:ascii="Cambria Math" w:hAnsi="Cambria Math"/>
                      </w:rPr>
                      <m:t>cd</m:t>
                    </m:r>
                  </m:sub>
                </m:sSub>
              </m:oMath>
            </m:oMathPara>
          </w:p>
        </w:tc>
        <w:tc>
          <w:tcPr>
            <w:tcW w:w="1247" w:type="dxa"/>
            <w:vAlign w:val="center"/>
          </w:tcPr>
          <w:p w14:paraId="12C82048" w14:textId="1278E93B" w:rsidR="00332974" w:rsidRPr="001455DC" w:rsidRDefault="00332974">
            <w:pPr>
              <w:pStyle w:val="a7"/>
              <w:jc w:val="right"/>
            </w:pPr>
            <w:r w:rsidRPr="001455DC">
              <w:t>(8.</w:t>
            </w:r>
            <w:r w:rsidR="00687BF7" w:rsidRPr="001455DC">
              <w:t>96</w:t>
            </w:r>
            <w:r w:rsidRPr="001455DC">
              <w:t>)</w:t>
            </w:r>
          </w:p>
        </w:tc>
      </w:tr>
    </w:tbl>
    <w:p w14:paraId="73DCA42A" w14:textId="77777777" w:rsidR="004E22C1" w:rsidRPr="001455DC" w:rsidRDefault="004E22C1" w:rsidP="00CD6899">
      <w:pPr>
        <w:pStyle w:val="a7"/>
      </w:pPr>
      <w:r w:rsidRPr="001455DC">
        <w:t xml:space="preserve">where </w:t>
      </w:r>
      <w:r w:rsidRPr="001455DC">
        <w:rPr>
          <w:rStyle w:val="CCMCvariableitalic"/>
        </w:rPr>
        <w:t>ν</w:t>
      </w:r>
      <w:r w:rsidRPr="001455DC">
        <w:t xml:space="preserve"> is the strength reduction factor defined in (4) and (5).</w:t>
      </w:r>
    </w:p>
    <w:p w14:paraId="5D2FA3C0" w14:textId="77777777" w:rsidR="00687BF7" w:rsidRPr="001455DC" w:rsidRDefault="004E22C1" w:rsidP="00CD6899">
      <w:pPr>
        <w:pStyle w:val="a7"/>
        <w:rPr>
          <w:rFonts w:eastAsiaTheme="majorEastAsia"/>
        </w:rPr>
      </w:pPr>
      <w:r w:rsidRPr="001455DC">
        <w:t>(4)</w:t>
      </w:r>
      <w:r w:rsidRPr="001455DC">
        <w:tab/>
      </w:r>
      <w:r w:rsidRPr="001455DC">
        <w:rPr>
          <w:rFonts w:eastAsiaTheme="majorEastAsia"/>
        </w:rPr>
        <w:t xml:space="preserve">Unless a more refined approach is used, the value of factor </w:t>
      </w:r>
      <w:r w:rsidRPr="001455DC">
        <w:rPr>
          <w:rStyle w:val="CCMCvariableitalic"/>
        </w:rPr>
        <w:t>ν</w:t>
      </w:r>
      <w:r w:rsidRPr="001455DC">
        <w:rPr>
          <w:rFonts w:eastAsiaTheme="majorEastAsia"/>
        </w:rPr>
        <w:t xml:space="preserve"> may be determined as a function of the presence of a tie and the minimum angle </w:t>
      </w:r>
      <w:r w:rsidRPr="001455DC">
        <w:rPr>
          <w:rStyle w:val="CCMCvariableitalic"/>
        </w:rPr>
        <w:t>θ</w:t>
      </w:r>
      <w:r w:rsidRPr="001455DC">
        <w:rPr>
          <w:rStyle w:val="CCMCvariablesubscript"/>
        </w:rPr>
        <w:t>cs</w:t>
      </w:r>
      <w:r w:rsidRPr="001455DC">
        <w:rPr>
          <w:rFonts w:eastAsiaTheme="majorEastAsia"/>
        </w:rPr>
        <w:t xml:space="preserve"> between the strut representing the resultant of the compression field and any tie as defined in Figure 8.26</w:t>
      </w:r>
      <w:r w:rsidR="00687BF7" w:rsidRPr="001455DC">
        <w:rPr>
          <w:rFonts w:eastAsiaTheme="majorEastAsia"/>
        </w:rPr>
        <w:t>.</w:t>
      </w:r>
    </w:p>
    <w:p w14:paraId="0C5DC579" w14:textId="6E835DD1" w:rsidR="00687BF7" w:rsidRPr="009D3012" w:rsidRDefault="00687BF7" w:rsidP="009D3012">
      <w:pPr>
        <w:pStyle w:val="Note"/>
      </w:pPr>
      <w:r w:rsidRPr="009D3012">
        <w:rPr>
          <w:rFonts w:eastAsiaTheme="majorEastAsia"/>
          <w:bCs/>
        </w:rPr>
        <w:t>NOTE</w:t>
      </w:r>
      <w:r w:rsidRPr="009D3012">
        <w:rPr>
          <w:rFonts w:eastAsiaTheme="majorEastAsia"/>
          <w:bCs/>
        </w:rPr>
        <w:tab/>
      </w:r>
      <w:r w:rsidRPr="009D3012">
        <w:t xml:space="preserve">In the example of Figure 8.26b), </w:t>
      </w:r>
      <w:r w:rsidRPr="009D3012">
        <w:rPr>
          <w:rFonts w:ascii="Symbol" w:hAnsi="Symbol"/>
          <w:i/>
        </w:rPr>
        <w:t></w:t>
      </w:r>
      <w:r w:rsidRPr="009D3012">
        <w:rPr>
          <w:vertAlign w:val="subscript"/>
        </w:rPr>
        <w:t>cs</w:t>
      </w:r>
      <w:r w:rsidRPr="009D3012">
        <w:t xml:space="preserve"> can be calculated form Formula (8.97):</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687BF7" w:rsidRPr="001455DC" w14:paraId="77CA3D89" w14:textId="77777777" w:rsidTr="00B023FE">
        <w:trPr>
          <w:cantSplit/>
        </w:trPr>
        <w:tc>
          <w:tcPr>
            <w:tcW w:w="8505" w:type="dxa"/>
            <w:vAlign w:val="center"/>
          </w:tcPr>
          <w:p w14:paraId="354153BA" w14:textId="458380E0" w:rsidR="00687BF7" w:rsidRPr="001455DC" w:rsidRDefault="00687BF7" w:rsidP="00B023FE">
            <w:pPr>
              <w:pStyle w:val="Formula"/>
              <w:jc w:val="left"/>
            </w:pPr>
            <w:r w:rsidRPr="009D3012">
              <w:rPr>
                <w:position w:val="-20"/>
              </w:rPr>
              <w:object w:dxaOrig="1820" w:dyaOrig="540" w14:anchorId="0EEA1710">
                <v:shape id="_x0000_i1188" type="#_x0000_t75" style="width:79.5pt;height:22.5pt" o:ole="">
                  <v:imagedata r:id="rId346" o:title=""/>
                </v:shape>
                <o:OLEObject Type="Embed" ProgID="Equation.DSMT4" ShapeID="_x0000_i1188" DrawAspect="Content" ObjectID="_1692169477" r:id="rId347"/>
              </w:object>
            </w:r>
          </w:p>
        </w:tc>
        <w:tc>
          <w:tcPr>
            <w:tcW w:w="1247" w:type="dxa"/>
            <w:vAlign w:val="center"/>
          </w:tcPr>
          <w:p w14:paraId="2635C4C3" w14:textId="282AA53C" w:rsidR="00687BF7" w:rsidRPr="001455DC" w:rsidRDefault="00687BF7" w:rsidP="00B023FE">
            <w:pPr>
              <w:pStyle w:val="a7"/>
              <w:jc w:val="right"/>
            </w:pPr>
            <w:r w:rsidRPr="001455DC">
              <w:t>(8.97)</w:t>
            </w:r>
          </w:p>
        </w:tc>
      </w:tr>
    </w:tbl>
    <w:p w14:paraId="728F3B52" w14:textId="2A455405" w:rsidR="00332974" w:rsidRPr="001455DC" w:rsidRDefault="00332974" w:rsidP="00082680">
      <w:pPr>
        <w:pStyle w:val="a0"/>
        <w:keepNext/>
        <w:numPr>
          <w:ilvl w:val="0"/>
          <w:numId w:val="22"/>
        </w:numPr>
      </w:pPr>
      <w:r w:rsidRPr="001455DC">
        <w:t>for compression fields and struts crossed or deviated by a tie at an angle:</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252"/>
        <w:gridCol w:w="4253"/>
        <w:gridCol w:w="1247"/>
      </w:tblGrid>
      <w:tr w:rsidR="00332974" w:rsidRPr="001455DC" w14:paraId="3865A2D1" w14:textId="77777777" w:rsidTr="004F2CDC">
        <w:trPr>
          <w:cantSplit/>
        </w:trPr>
        <w:tc>
          <w:tcPr>
            <w:tcW w:w="4252" w:type="dxa"/>
            <w:vAlign w:val="center"/>
          </w:tcPr>
          <w:p w14:paraId="6C9587F7" w14:textId="301FF69B" w:rsidR="00332974" w:rsidRPr="001455DC" w:rsidRDefault="00332974" w:rsidP="004F2CDC">
            <w:pPr>
              <w:pStyle w:val="Formula"/>
              <w:tabs>
                <w:tab w:val="clear" w:pos="9749"/>
                <w:tab w:val="left" w:pos="760"/>
              </w:tabs>
              <w:jc w:val="left"/>
            </w:pPr>
            <w:r w:rsidRPr="001455DC">
              <w:t>—</w:t>
            </w:r>
            <w:r w:rsidRPr="001455DC">
              <w:tab/>
              <w:t>20°</w:t>
            </w:r>
            <w:r w:rsidR="00650035" w:rsidRPr="001455DC">
              <w:rPr>
                <w:rFonts w:ascii="Cambria Math" w:hAnsi="Cambria Math"/>
              </w:rPr>
              <w:t>≤</w:t>
            </w:r>
            <w:r w:rsidRPr="001455DC">
              <w:t xml:space="preserve"> </w:t>
            </w:r>
            <w:r w:rsidRPr="001455DC">
              <w:rPr>
                <w:rStyle w:val="CCMCvariableitalic"/>
              </w:rPr>
              <w:t>θ</w:t>
            </w:r>
            <w:r w:rsidRPr="001455DC">
              <w:rPr>
                <w:rStyle w:val="CCMCvariablesubscript"/>
              </w:rPr>
              <w:t>cs</w:t>
            </w:r>
            <w:r w:rsidRPr="001455DC">
              <w:t> </w:t>
            </w:r>
            <w:r w:rsidR="00650035" w:rsidRPr="001455DC">
              <w:rPr>
                <w:rFonts w:ascii="Cambria Math" w:hAnsi="Cambria Math"/>
              </w:rPr>
              <w:t>&lt;</w:t>
            </w:r>
            <w:r w:rsidRPr="001455DC">
              <w:t> 25°</w:t>
            </w:r>
          </w:p>
        </w:tc>
        <w:tc>
          <w:tcPr>
            <w:tcW w:w="4253" w:type="dxa"/>
            <w:vAlign w:val="center"/>
          </w:tcPr>
          <w:p w14:paraId="3F8DED11" w14:textId="05E198A0" w:rsidR="00332974" w:rsidRPr="001455DC" w:rsidRDefault="00332974" w:rsidP="004F2CDC">
            <w:pPr>
              <w:pStyle w:val="Formula"/>
              <w:jc w:val="left"/>
            </w:pPr>
            <w:r w:rsidRPr="001455DC">
              <w:rPr>
                <w:rStyle w:val="CCMCvariableitalic"/>
              </w:rPr>
              <w:t>ν</w:t>
            </w:r>
            <w:r w:rsidRPr="001455DC">
              <w:t> </w:t>
            </w:r>
            <w:r w:rsidR="00EC27D2" w:rsidRPr="001455DC">
              <w:rPr>
                <w:rFonts w:ascii="Cambria Math" w:hAnsi="Cambria Math"/>
              </w:rPr>
              <w:t>=</w:t>
            </w:r>
            <w:r w:rsidRPr="001455DC">
              <w:t> 0,4</w:t>
            </w:r>
          </w:p>
        </w:tc>
        <w:tc>
          <w:tcPr>
            <w:tcW w:w="1247" w:type="dxa"/>
            <w:vAlign w:val="center"/>
          </w:tcPr>
          <w:p w14:paraId="42CC7307" w14:textId="421C3C2D" w:rsidR="00332974" w:rsidRPr="001455DC" w:rsidRDefault="00332974">
            <w:pPr>
              <w:pStyle w:val="a7"/>
              <w:jc w:val="right"/>
            </w:pPr>
            <w:r w:rsidRPr="001455DC">
              <w:t>(8.</w:t>
            </w:r>
            <w:r w:rsidR="0049209D" w:rsidRPr="001455DC">
              <w:t>9</w:t>
            </w:r>
            <w:r w:rsidRPr="001455DC">
              <w:t>8</w:t>
            </w:r>
            <w:r w:rsidR="0049209D" w:rsidRPr="001455DC">
              <w:t>a</w:t>
            </w:r>
            <w:r w:rsidRPr="001455DC">
              <w:t>)</w:t>
            </w:r>
          </w:p>
        </w:tc>
      </w:tr>
      <w:tr w:rsidR="00332974" w:rsidRPr="001455DC" w14:paraId="7AC2AAAD" w14:textId="77777777" w:rsidTr="004F2CDC">
        <w:trPr>
          <w:cantSplit/>
        </w:trPr>
        <w:tc>
          <w:tcPr>
            <w:tcW w:w="4252" w:type="dxa"/>
            <w:vAlign w:val="center"/>
          </w:tcPr>
          <w:p w14:paraId="2E240C82" w14:textId="3D0CF6CA" w:rsidR="00332974" w:rsidRPr="001455DC" w:rsidRDefault="00332974" w:rsidP="004F2CDC">
            <w:pPr>
              <w:pStyle w:val="Formula"/>
              <w:tabs>
                <w:tab w:val="clear" w:pos="9749"/>
                <w:tab w:val="left" w:pos="760"/>
              </w:tabs>
              <w:jc w:val="left"/>
            </w:pPr>
            <w:r w:rsidRPr="001455DC">
              <w:t>—</w:t>
            </w:r>
            <w:r w:rsidRPr="001455DC">
              <w:tab/>
              <w:t>25°</w:t>
            </w:r>
            <w:r w:rsidR="00650035" w:rsidRPr="001455DC">
              <w:rPr>
                <w:rFonts w:ascii="Cambria Math" w:hAnsi="Cambria Math"/>
              </w:rPr>
              <w:t>≤</w:t>
            </w:r>
            <w:r w:rsidRPr="001455DC">
              <w:t xml:space="preserve"> </w:t>
            </w:r>
            <w:r w:rsidRPr="001455DC">
              <w:rPr>
                <w:rStyle w:val="CCMCvariableitalic"/>
              </w:rPr>
              <w:t>θ</w:t>
            </w:r>
            <w:r w:rsidRPr="001455DC">
              <w:rPr>
                <w:rStyle w:val="CCMCvariablesubscript"/>
              </w:rPr>
              <w:t>cs</w:t>
            </w:r>
            <w:r w:rsidRPr="001455DC">
              <w:t> </w:t>
            </w:r>
            <w:r w:rsidR="00650035" w:rsidRPr="001455DC">
              <w:rPr>
                <w:rFonts w:ascii="Cambria Math" w:hAnsi="Cambria Math"/>
              </w:rPr>
              <w:t>&lt;</w:t>
            </w:r>
            <w:r w:rsidRPr="001455DC">
              <w:t> 35°</w:t>
            </w:r>
          </w:p>
        </w:tc>
        <w:tc>
          <w:tcPr>
            <w:tcW w:w="4253" w:type="dxa"/>
            <w:vAlign w:val="center"/>
          </w:tcPr>
          <w:p w14:paraId="3800B63D" w14:textId="7A2451A5" w:rsidR="00332974" w:rsidRPr="001455DC" w:rsidRDefault="00332974" w:rsidP="004F2CDC">
            <w:pPr>
              <w:pStyle w:val="Formula"/>
              <w:jc w:val="left"/>
            </w:pPr>
            <w:r w:rsidRPr="001455DC">
              <w:rPr>
                <w:rStyle w:val="CCMCvariableitalic"/>
              </w:rPr>
              <w:t>ν</w:t>
            </w:r>
            <w:r w:rsidRPr="001455DC">
              <w:t> </w:t>
            </w:r>
            <w:r w:rsidR="00EC27D2" w:rsidRPr="001455DC">
              <w:rPr>
                <w:rFonts w:ascii="Cambria Math" w:hAnsi="Cambria Math"/>
              </w:rPr>
              <w:t>=</w:t>
            </w:r>
            <w:r w:rsidRPr="001455DC">
              <w:t> 0,5</w:t>
            </w:r>
          </w:p>
        </w:tc>
        <w:tc>
          <w:tcPr>
            <w:tcW w:w="1247" w:type="dxa"/>
            <w:vAlign w:val="center"/>
          </w:tcPr>
          <w:p w14:paraId="0E5C01ED" w14:textId="503D67A2" w:rsidR="00332974" w:rsidRPr="001455DC" w:rsidRDefault="00332974" w:rsidP="004F2CDC">
            <w:pPr>
              <w:pStyle w:val="a7"/>
              <w:jc w:val="right"/>
            </w:pPr>
            <w:r w:rsidRPr="001455DC">
              <w:t>(8.</w:t>
            </w:r>
            <w:r w:rsidR="0049209D" w:rsidRPr="001455DC">
              <w:t>9</w:t>
            </w:r>
            <w:r w:rsidRPr="001455DC">
              <w:t>8</w:t>
            </w:r>
            <w:r w:rsidR="0049209D" w:rsidRPr="001455DC">
              <w:t>b</w:t>
            </w:r>
            <w:r w:rsidRPr="001455DC">
              <w:t>)</w:t>
            </w:r>
          </w:p>
        </w:tc>
      </w:tr>
      <w:tr w:rsidR="00332974" w:rsidRPr="001455DC" w14:paraId="58755774" w14:textId="77777777" w:rsidTr="004F2CDC">
        <w:trPr>
          <w:cantSplit/>
        </w:trPr>
        <w:tc>
          <w:tcPr>
            <w:tcW w:w="4252" w:type="dxa"/>
            <w:vAlign w:val="center"/>
          </w:tcPr>
          <w:p w14:paraId="191A96ED" w14:textId="698C97BE" w:rsidR="00332974" w:rsidRPr="001455DC" w:rsidRDefault="00332974" w:rsidP="004F2CDC">
            <w:pPr>
              <w:pStyle w:val="Formula"/>
              <w:tabs>
                <w:tab w:val="clear" w:pos="9749"/>
                <w:tab w:val="left" w:pos="760"/>
              </w:tabs>
              <w:jc w:val="left"/>
            </w:pPr>
            <w:r w:rsidRPr="001455DC">
              <w:t>—</w:t>
            </w:r>
            <w:r w:rsidRPr="001455DC">
              <w:tab/>
              <w:t>35°</w:t>
            </w:r>
            <w:r w:rsidR="00650035" w:rsidRPr="001455DC">
              <w:rPr>
                <w:rFonts w:ascii="Cambria Math" w:hAnsi="Cambria Math"/>
              </w:rPr>
              <w:t>≤</w:t>
            </w:r>
            <w:r w:rsidRPr="001455DC">
              <w:t xml:space="preserve"> </w:t>
            </w:r>
            <w:r w:rsidRPr="001455DC">
              <w:rPr>
                <w:rStyle w:val="CCMCvariableitalic"/>
              </w:rPr>
              <w:t>θ</w:t>
            </w:r>
            <w:r w:rsidRPr="001455DC">
              <w:rPr>
                <w:rStyle w:val="CCMCvariablesubscript"/>
              </w:rPr>
              <w:t>cs</w:t>
            </w:r>
            <w:r w:rsidRPr="001455DC">
              <w:t> </w:t>
            </w:r>
            <w:r w:rsidR="00650035" w:rsidRPr="001455DC">
              <w:rPr>
                <w:rFonts w:ascii="Cambria Math" w:hAnsi="Cambria Math"/>
              </w:rPr>
              <w:t>&lt;</w:t>
            </w:r>
            <w:r w:rsidRPr="001455DC">
              <w:t> 45°</w:t>
            </w:r>
          </w:p>
        </w:tc>
        <w:tc>
          <w:tcPr>
            <w:tcW w:w="4253" w:type="dxa"/>
            <w:vAlign w:val="center"/>
          </w:tcPr>
          <w:p w14:paraId="2C1CC11D" w14:textId="337A8D3B" w:rsidR="00332974" w:rsidRPr="001455DC" w:rsidRDefault="00332974" w:rsidP="004F2CDC">
            <w:pPr>
              <w:pStyle w:val="Formula"/>
              <w:jc w:val="left"/>
            </w:pPr>
            <w:r w:rsidRPr="001455DC">
              <w:rPr>
                <w:rStyle w:val="CCMCvariableitalic"/>
              </w:rPr>
              <w:t>ν</w:t>
            </w:r>
            <w:r w:rsidRPr="001455DC">
              <w:t> </w:t>
            </w:r>
            <w:r w:rsidR="00EC27D2" w:rsidRPr="001455DC">
              <w:rPr>
                <w:rFonts w:ascii="Cambria Math" w:hAnsi="Cambria Math"/>
              </w:rPr>
              <w:t>=</w:t>
            </w:r>
            <w:r w:rsidRPr="001455DC">
              <w:t> 0,6</w:t>
            </w:r>
          </w:p>
        </w:tc>
        <w:tc>
          <w:tcPr>
            <w:tcW w:w="1247" w:type="dxa"/>
            <w:vAlign w:val="center"/>
          </w:tcPr>
          <w:p w14:paraId="66294628" w14:textId="5EBD9129" w:rsidR="00332974" w:rsidRPr="001455DC" w:rsidRDefault="00332974" w:rsidP="004F2CDC">
            <w:pPr>
              <w:pStyle w:val="a7"/>
              <w:jc w:val="right"/>
            </w:pPr>
            <w:r w:rsidRPr="001455DC">
              <w:t>(8.</w:t>
            </w:r>
            <w:r w:rsidR="0049209D" w:rsidRPr="001455DC">
              <w:t>9</w:t>
            </w:r>
            <w:r w:rsidRPr="001455DC">
              <w:t>8</w:t>
            </w:r>
            <w:r w:rsidR="0049209D" w:rsidRPr="001455DC">
              <w:t>c</w:t>
            </w:r>
            <w:r w:rsidRPr="001455DC">
              <w:t>)</w:t>
            </w:r>
          </w:p>
        </w:tc>
      </w:tr>
      <w:tr w:rsidR="00332974" w:rsidRPr="001455DC" w14:paraId="5202CB63" w14:textId="77777777" w:rsidTr="004F2CDC">
        <w:trPr>
          <w:cantSplit/>
        </w:trPr>
        <w:tc>
          <w:tcPr>
            <w:tcW w:w="4252" w:type="dxa"/>
            <w:vAlign w:val="center"/>
          </w:tcPr>
          <w:p w14:paraId="28A8DEB3" w14:textId="709EB8EB" w:rsidR="00332974" w:rsidRPr="001455DC" w:rsidRDefault="00332974" w:rsidP="004F2CDC">
            <w:pPr>
              <w:pStyle w:val="Formula"/>
              <w:tabs>
                <w:tab w:val="clear" w:pos="9749"/>
                <w:tab w:val="left" w:pos="760"/>
              </w:tabs>
              <w:jc w:val="left"/>
            </w:pPr>
            <w:r w:rsidRPr="001455DC">
              <w:t>—</w:t>
            </w:r>
            <w:r w:rsidRPr="001455DC">
              <w:tab/>
              <w:t>45°</w:t>
            </w:r>
            <w:r w:rsidR="00650035" w:rsidRPr="001455DC">
              <w:rPr>
                <w:rFonts w:ascii="Cambria Math" w:hAnsi="Cambria Math"/>
              </w:rPr>
              <w:t>≤</w:t>
            </w:r>
            <w:r w:rsidRPr="001455DC">
              <w:t xml:space="preserve"> </w:t>
            </w:r>
            <w:r w:rsidRPr="001455DC">
              <w:rPr>
                <w:rStyle w:val="CCMCvariableitalic"/>
              </w:rPr>
              <w:t>θ</w:t>
            </w:r>
            <w:r w:rsidRPr="001455DC">
              <w:rPr>
                <w:rStyle w:val="CCMCvariablesubscript"/>
              </w:rPr>
              <w:t>cs</w:t>
            </w:r>
            <w:r w:rsidRPr="001455DC">
              <w:t> </w:t>
            </w:r>
            <w:r w:rsidR="00650035" w:rsidRPr="001455DC">
              <w:rPr>
                <w:rFonts w:ascii="Cambria Math" w:hAnsi="Cambria Math"/>
              </w:rPr>
              <w:t>&lt;</w:t>
            </w:r>
            <w:r w:rsidRPr="001455DC">
              <w:t> 90°</w:t>
            </w:r>
          </w:p>
        </w:tc>
        <w:tc>
          <w:tcPr>
            <w:tcW w:w="4253" w:type="dxa"/>
            <w:vAlign w:val="center"/>
          </w:tcPr>
          <w:p w14:paraId="71743F88" w14:textId="4184FD21" w:rsidR="00332974" w:rsidRPr="001455DC" w:rsidRDefault="00332974" w:rsidP="004F2CDC">
            <w:pPr>
              <w:pStyle w:val="Formula"/>
              <w:jc w:val="left"/>
            </w:pPr>
            <w:r w:rsidRPr="001455DC">
              <w:rPr>
                <w:rStyle w:val="CCMCvariableitalic"/>
              </w:rPr>
              <w:t>ν</w:t>
            </w:r>
            <w:r w:rsidRPr="001455DC">
              <w:t> </w:t>
            </w:r>
            <w:r w:rsidR="00EC27D2" w:rsidRPr="001455DC">
              <w:rPr>
                <w:rFonts w:ascii="Cambria Math" w:hAnsi="Cambria Math"/>
              </w:rPr>
              <w:t>=</w:t>
            </w:r>
            <w:r w:rsidRPr="001455DC">
              <w:t> 0,7</w:t>
            </w:r>
          </w:p>
        </w:tc>
        <w:tc>
          <w:tcPr>
            <w:tcW w:w="1247" w:type="dxa"/>
            <w:vAlign w:val="center"/>
          </w:tcPr>
          <w:p w14:paraId="13B641B0" w14:textId="2976AD89" w:rsidR="00332974" w:rsidRPr="001455DC" w:rsidRDefault="00332974" w:rsidP="004F2CDC">
            <w:pPr>
              <w:pStyle w:val="a7"/>
              <w:jc w:val="right"/>
            </w:pPr>
            <w:r w:rsidRPr="001455DC">
              <w:t>(8.</w:t>
            </w:r>
            <w:r w:rsidR="0049209D" w:rsidRPr="001455DC">
              <w:t>9</w:t>
            </w:r>
            <w:r w:rsidRPr="001455DC">
              <w:t>8</w:t>
            </w:r>
            <w:r w:rsidR="0049209D" w:rsidRPr="001455DC">
              <w:t>d</w:t>
            </w:r>
            <w:r w:rsidRPr="001455DC">
              <w:t>)</w:t>
            </w:r>
          </w:p>
        </w:tc>
      </w:tr>
    </w:tbl>
    <w:p w14:paraId="2CF044F5" w14:textId="758690D5" w:rsidR="00332974" w:rsidRPr="001455DC" w:rsidRDefault="00332974" w:rsidP="00082680">
      <w:pPr>
        <w:pStyle w:val="a0"/>
        <w:numPr>
          <w:ilvl w:val="0"/>
          <w:numId w:val="22"/>
        </w:numPr>
        <w:rPr>
          <w:rFonts w:eastAsiaTheme="majorEastAsia"/>
        </w:rPr>
      </w:pPr>
      <w:r w:rsidRPr="001455DC">
        <w:t>for compression fields and struts in a region with transverse compressive stress or without ties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252"/>
        <w:gridCol w:w="4253"/>
        <w:gridCol w:w="1247"/>
      </w:tblGrid>
      <w:tr w:rsidR="00332974" w:rsidRPr="001455DC" w14:paraId="0CB62649" w14:textId="77777777" w:rsidTr="004F2CDC">
        <w:trPr>
          <w:cantSplit/>
        </w:trPr>
        <w:tc>
          <w:tcPr>
            <w:tcW w:w="4252" w:type="dxa"/>
            <w:vAlign w:val="center"/>
          </w:tcPr>
          <w:p w14:paraId="7B89D6C4" w14:textId="44942F3B" w:rsidR="00332974" w:rsidRPr="001455DC" w:rsidRDefault="00332974" w:rsidP="004F2CDC">
            <w:pPr>
              <w:pStyle w:val="Formula"/>
              <w:tabs>
                <w:tab w:val="clear" w:pos="9749"/>
                <w:tab w:val="left" w:pos="760"/>
              </w:tabs>
              <w:jc w:val="left"/>
            </w:pPr>
            <w:r w:rsidRPr="001455DC">
              <w:t> </w:t>
            </w:r>
          </w:p>
        </w:tc>
        <w:tc>
          <w:tcPr>
            <w:tcW w:w="4253" w:type="dxa"/>
            <w:vAlign w:val="center"/>
          </w:tcPr>
          <w:p w14:paraId="72011084" w14:textId="77DC3BFA" w:rsidR="00332974" w:rsidRPr="001455DC" w:rsidRDefault="00332974" w:rsidP="004F2CDC">
            <w:pPr>
              <w:pStyle w:val="Formula"/>
              <w:jc w:val="left"/>
            </w:pPr>
            <w:r w:rsidRPr="001455DC">
              <w:rPr>
                <w:rStyle w:val="CCMCvariableitalic"/>
              </w:rPr>
              <w:t>ν</w:t>
            </w:r>
            <w:r w:rsidRPr="001455DC">
              <w:t> </w:t>
            </w:r>
            <w:r w:rsidR="00EC27D2" w:rsidRPr="001455DC">
              <w:rPr>
                <w:rFonts w:ascii="Cambria Math" w:hAnsi="Cambria Math"/>
              </w:rPr>
              <w:t>=</w:t>
            </w:r>
            <w:r w:rsidRPr="001455DC">
              <w:t> 1,0</w:t>
            </w:r>
          </w:p>
        </w:tc>
        <w:tc>
          <w:tcPr>
            <w:tcW w:w="1247" w:type="dxa"/>
            <w:vAlign w:val="center"/>
          </w:tcPr>
          <w:p w14:paraId="2DE386C6" w14:textId="48EC19DD" w:rsidR="00332974" w:rsidRPr="001455DC" w:rsidRDefault="00332974">
            <w:pPr>
              <w:pStyle w:val="a7"/>
              <w:jc w:val="right"/>
            </w:pPr>
            <w:r w:rsidRPr="001455DC">
              <w:t>(8.</w:t>
            </w:r>
            <w:r w:rsidR="0049209D" w:rsidRPr="001455DC">
              <w:t>9</w:t>
            </w:r>
            <w:r w:rsidR="00C803CB" w:rsidRPr="001455DC">
              <w:t>8e</w:t>
            </w:r>
            <w:r w:rsidRPr="001455DC">
              <w:t>)</w:t>
            </w:r>
          </w:p>
        </w:tc>
      </w:tr>
    </w:tbl>
    <w:p w14:paraId="1AD24F52" w14:textId="77777777" w:rsidR="007E4AE7" w:rsidRPr="001455DC" w:rsidRDefault="004E22C1" w:rsidP="008D37B2">
      <w:pPr>
        <w:pStyle w:val="a7"/>
        <w:keepNext/>
      </w:pPr>
      <w:r w:rsidRPr="001455DC">
        <w:t>Alternatively, the value of factor</w:t>
      </w:r>
      <w:r w:rsidR="002951BB" w:rsidRPr="001455DC">
        <w:t xml:space="preserve"> </w:t>
      </w:r>
      <w:r w:rsidRPr="001455DC">
        <w:rPr>
          <w:rStyle w:val="CCMCvariableitalic"/>
        </w:rPr>
        <w:t>ν</w:t>
      </w:r>
      <w:r w:rsidRPr="001455DC">
        <w:t xml:space="preserve"> may be determined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7E4AE7" w:rsidRPr="001455DC" w14:paraId="281486CA" w14:textId="77777777" w:rsidTr="007E4AE7">
        <w:trPr>
          <w:cantSplit/>
        </w:trPr>
        <w:tc>
          <w:tcPr>
            <w:tcW w:w="8505" w:type="dxa"/>
            <w:vAlign w:val="center"/>
          </w:tcPr>
          <w:p w14:paraId="1139C1BA" w14:textId="7AB85723" w:rsidR="007E4AE7" w:rsidRPr="001455DC" w:rsidRDefault="00332974" w:rsidP="007E4AE7">
            <w:pPr>
              <w:pStyle w:val="Formula"/>
              <w:jc w:val="left"/>
            </w:pPr>
            <m:oMathPara>
              <m:oMathParaPr>
                <m:jc m:val="left"/>
              </m:oMathParaPr>
              <m:oMath>
                <m:r>
                  <w:rPr>
                    <w:rFonts w:ascii="Cambria Math" w:hAnsi="Cambria Math"/>
                  </w:rPr>
                  <m:t>ν=</m:t>
                </m:r>
                <m:f>
                  <m:fPr>
                    <m:ctrlPr>
                      <w:rPr>
                        <w:rFonts w:ascii="Cambria Math" w:hAnsi="Cambria Math"/>
                      </w:rPr>
                    </m:ctrlPr>
                  </m:fPr>
                  <m:num>
                    <m:r>
                      <w:rPr>
                        <w:rFonts w:ascii="Cambria Math" w:hAnsi="Cambria Math"/>
                      </w:rPr>
                      <m:t>1</m:t>
                    </m:r>
                  </m:num>
                  <m:den>
                    <m:r>
                      <w:rPr>
                        <w:rFonts w:ascii="Cambria Math" w:hAnsi="Cambria Math"/>
                      </w:rPr>
                      <m:t>1,11+0,22⋅</m:t>
                    </m:r>
                    <m:sSup>
                      <m:sSupPr>
                        <m:ctrlPr>
                          <w:rPr>
                            <w:rFonts w:ascii="Cambria Math" w:hAnsi="Cambria Math"/>
                          </w:rPr>
                        </m:ctrlPr>
                      </m:sSupPr>
                      <m:e>
                        <m:r>
                          <m:rPr>
                            <m:sty m:val="p"/>
                          </m:rPr>
                          <w:rPr>
                            <w:rFonts w:ascii="Cambria Math" w:hAnsi="Cambria Math"/>
                          </w:rPr>
                          <m:t>cot</m:t>
                        </m:r>
                      </m:e>
                      <m:sup>
                        <m:r>
                          <w:rPr>
                            <w:rFonts w:ascii="Cambria Math" w:hAnsi="Cambria Math"/>
                          </w:rPr>
                          <m:t>2</m:t>
                        </m:r>
                      </m:sup>
                    </m:sSup>
                    <m:sSub>
                      <m:sSubPr>
                        <m:ctrlPr>
                          <w:rPr>
                            <w:rFonts w:ascii="Cambria Math" w:hAnsi="Cambria Math"/>
                          </w:rPr>
                        </m:ctrlPr>
                      </m:sSubPr>
                      <m:e>
                        <m:r>
                          <w:rPr>
                            <w:rFonts w:ascii="Cambria Math" w:hAnsi="Cambria Math"/>
                          </w:rPr>
                          <m:t>θ</m:t>
                        </m:r>
                      </m:e>
                      <m:sub>
                        <m:r>
                          <m:rPr>
                            <m:sty m:val="p"/>
                          </m:rPr>
                          <w:rPr>
                            <w:rFonts w:ascii="Cambria Math" w:hAnsi="Cambria Math"/>
                          </w:rPr>
                          <m:t>cs</m:t>
                        </m:r>
                      </m:sub>
                    </m:sSub>
                  </m:den>
                </m:f>
                <m:r>
                  <w:rPr>
                    <w:rFonts w:ascii="Cambria Math" w:hAnsi="Cambria Math"/>
                  </w:rPr>
                  <m:t>≤1,0</m:t>
                </m:r>
              </m:oMath>
            </m:oMathPara>
          </w:p>
        </w:tc>
        <w:tc>
          <w:tcPr>
            <w:tcW w:w="1247" w:type="dxa"/>
            <w:vAlign w:val="center"/>
          </w:tcPr>
          <w:p w14:paraId="6FC9B43D" w14:textId="24A91CDC" w:rsidR="007E4AE7" w:rsidRPr="001455DC" w:rsidRDefault="00332974">
            <w:pPr>
              <w:pStyle w:val="a7"/>
              <w:jc w:val="right"/>
            </w:pPr>
            <w:r w:rsidRPr="001455DC">
              <w:t>(8.</w:t>
            </w:r>
            <w:r w:rsidR="00C803CB" w:rsidRPr="001455DC">
              <w:t>99</w:t>
            </w:r>
            <w:r w:rsidRPr="001455DC">
              <w:t>)</w:t>
            </w:r>
          </w:p>
        </w:tc>
      </w:tr>
    </w:tbl>
    <w:p w14:paraId="43E8B876" w14:textId="0CF3C371" w:rsidR="004E22C1" w:rsidRPr="001455DC" w:rsidRDefault="004E22C1" w:rsidP="0079403C">
      <w:pPr>
        <w:pStyle w:val="a7"/>
        <w:spacing w:after="0"/>
      </w:pPr>
    </w:p>
    <w:tbl>
      <w:tblPr>
        <w:tblStyle w:val="a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876"/>
        <w:gridCol w:w="4876"/>
      </w:tblGrid>
      <w:tr w:rsidR="00332974" w:rsidRPr="001455DC" w14:paraId="58EB9EF3" w14:textId="77777777" w:rsidTr="004F2CDC">
        <w:trPr>
          <w:cantSplit/>
          <w:jc w:val="center"/>
        </w:trPr>
        <w:tc>
          <w:tcPr>
            <w:tcW w:w="4876" w:type="dxa"/>
          </w:tcPr>
          <w:p w14:paraId="69A90570" w14:textId="6DBE7E0C" w:rsidR="00332974" w:rsidRPr="001455DC" w:rsidRDefault="00723CF7" w:rsidP="004F2CDC">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"Y:\\STD_MGT\\STDDEL\\PRODUCTION\\etrans\\Download\\Z_FIRST_DEL\\SV\\00250\\00250269\\41_e_dr\\8_026a.tif"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"Y:\\STD_MGT\\STDDEL\\PRODUCTION\\Standards\\00250\\269\\41_e_dr\\8_026a.tif"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"Y:\\STD_MGT\\STDDEL\\PRODUCTION\\Standards\\00250\\269\\41_e_dr\\8_026a.tif"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"Y:\\STD_MGT\\STDDEL\\PRODUCTION\\Standards\\00250\\269\\41_e_dr\\8_026a.tif"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"Y:\\STD_MGT\\STDDEL\\PRODUCTION\\Standards\\00250\\269\\41_e_dr\\8_026a.tif"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"Y:\\STD_MGT\\STDDEL\\PRODUCTION\\Standards\\00250\\269\\41_e_dr\\8_026a.tif"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w:instrText>
            </w:r>
            <w:r w:rsidR="00231E33">
              <w:rPr>
                <w:noProof/>
                <w:lang w:eastAsia="en-GB"/>
              </w:rPr>
              <w:instrText>l\\Temp\\Temp1_00250269_e_20210902.zip.zip\\41_e_dr\\8_026a.tif"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3F18DB7E">
                <v:shape id="_x0000_i1189" type="#_x0000_t75" style="width:138.75pt;height:110.25pt">
                  <v:imagedata r:id="rId348" r:href="rId349"/>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4876" w:type="dxa"/>
          </w:tcPr>
          <w:p w14:paraId="1442921A" w14:textId="70A98F43" w:rsidR="00332974" w:rsidRPr="001455DC" w:rsidRDefault="00723CF7" w:rsidP="004F2CDC">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"Y:\\STD_MGT\\STDDEL\\PRODUCTION\\etrans\\Download\\Z_FIRST_DEL\\SV\\00250\\00250269\\41_e_dr\\8_026b.tif"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"Y:\\STD_MGT\\STDDEL\\PRODUCTION\\Standards\\00250\\269\\41_e_dr\\8_026b.tif"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"Y:\\STD_MGT\\STDDEL\\PRODUCTION\\Standards\\00250\\269\\41_e_dr\\8_026b.tif"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"Y:\\STD_MGT\\STDDEL\\PRODUCTION\\Standards\\00250\\269\\41_e_dr\\8_026b.tif"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"Y:\\STD_MGT\\STDDEL\\PRODUCTION\\Standards\\00250\\269\\41_e_dr\\8_026b.tif"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"Y:\\STD_MGT\\STDDEL\\PRODUCTION\\Standards\\00250\\269\\41_e_dr\\8_026b.tif"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w:instrText>
            </w:r>
            <w:r w:rsidR="00231E33">
              <w:rPr>
                <w:noProof/>
                <w:lang w:eastAsia="en-GB"/>
              </w:rPr>
              <w:instrText>l\\Temp\\Temp1_00250269_e_20210902.zip.zip\\41_e_dr\\8_026b.tif"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37A944C5">
                <v:shape id="_x0000_i1190" type="#_x0000_t75" style="width:143.25pt;height:99pt">
                  <v:imagedata r:id="rId350" r:href="rId351"/>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332974" w:rsidRPr="00882C68" w14:paraId="53C72F76" w14:textId="77777777" w:rsidTr="004F2CDC">
        <w:trPr>
          <w:cantSplit/>
          <w:jc w:val="center"/>
        </w:trPr>
        <w:tc>
          <w:tcPr>
            <w:tcW w:w="4876" w:type="dxa"/>
          </w:tcPr>
          <w:p w14:paraId="623DB042" w14:textId="5EC0DB76" w:rsidR="00332974" w:rsidRPr="009D3012" w:rsidRDefault="00332974" w:rsidP="004F2CDC">
            <w:pPr>
              <w:pStyle w:val="FigureText"/>
              <w:jc w:val="center"/>
              <w:rPr>
                <w:bCs/>
                <w:sz w:val="23"/>
              </w:rPr>
            </w:pPr>
            <w:r w:rsidRPr="009D3012">
              <w:t>a) constant width</w:t>
            </w:r>
          </w:p>
        </w:tc>
        <w:tc>
          <w:tcPr>
            <w:tcW w:w="4876" w:type="dxa"/>
          </w:tcPr>
          <w:p w14:paraId="739FC7F6" w14:textId="2CC5013D" w:rsidR="00332974" w:rsidRPr="009D3012" w:rsidRDefault="00332974" w:rsidP="004F2CDC">
            <w:pPr>
              <w:pStyle w:val="FigureText"/>
              <w:jc w:val="center"/>
              <w:rPr>
                <w:bCs/>
                <w:sz w:val="23"/>
              </w:rPr>
            </w:pPr>
            <w:r w:rsidRPr="009D3012">
              <w:t>b) variable width</w:t>
            </w:r>
          </w:p>
        </w:tc>
      </w:tr>
    </w:tbl>
    <w:p w14:paraId="3DE06FBE" w14:textId="77777777" w:rsidR="004E22C1" w:rsidRPr="001455DC" w:rsidRDefault="004E22C1" w:rsidP="007E4AE7">
      <w:pPr>
        <w:pStyle w:val="Figuretitle"/>
        <w:rPr>
          <w:iCs/>
        </w:rPr>
      </w:pPr>
      <w:r w:rsidRPr="001455DC">
        <w:t xml:space="preserve">Figure 8.26 — Definition of angle </w:t>
      </w:r>
      <w:r w:rsidRPr="001455DC">
        <w:rPr>
          <w:rStyle w:val="CCMCvariableitalic"/>
          <w:b w:val="0"/>
          <w:bCs/>
        </w:rPr>
        <w:t>θ</w:t>
      </w:r>
      <w:r w:rsidRPr="001455DC">
        <w:rPr>
          <w:rStyle w:val="CCMCvariablesubscript"/>
          <w:b w:val="0"/>
          <w:bCs/>
        </w:rPr>
        <w:t>cs</w:t>
      </w:r>
      <w:r w:rsidRPr="001455DC">
        <w:t xml:space="preserve"> for a compression field (example of end support of beams)</w:t>
      </w:r>
    </w:p>
    <w:p w14:paraId="1BF99953" w14:textId="77777777" w:rsidR="007E4AE7" w:rsidRPr="001455DC" w:rsidRDefault="004E22C1" w:rsidP="008D37B2">
      <w:pPr>
        <w:pStyle w:val="a7"/>
        <w:keepNext/>
      </w:pPr>
      <w:r w:rsidRPr="001455DC">
        <w:t>(5)</w:t>
      </w:r>
      <w:r w:rsidRPr="001455DC">
        <w:tab/>
        <w:t xml:space="preserve">More refined values for factor </w:t>
      </w:r>
      <w:r w:rsidRPr="001455DC">
        <w:rPr>
          <w:rStyle w:val="CCMCvariableitalic"/>
        </w:rPr>
        <w:t>ν</w:t>
      </w:r>
      <w:r w:rsidRPr="001455DC">
        <w:t xml:space="preserve"> may also be used for compression fields in cracked zones. They may be determined from the principal tensile strain in the concrete, based on a cracked analysis of the member neglecting the tensile strength of the concrete. In this case, factor </w:t>
      </w:r>
      <w:r w:rsidRPr="001455DC">
        <w:rPr>
          <w:rStyle w:val="CCMCvariableitalic"/>
        </w:rPr>
        <w:t>ν</w:t>
      </w:r>
      <w:r w:rsidRPr="001455DC">
        <w:t xml:space="preserve"> may be evaluated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7E4AE7" w:rsidRPr="001455DC" w14:paraId="6A1F697C" w14:textId="77777777" w:rsidTr="007E4AE7">
        <w:trPr>
          <w:cantSplit/>
        </w:trPr>
        <w:tc>
          <w:tcPr>
            <w:tcW w:w="8505" w:type="dxa"/>
            <w:vAlign w:val="center"/>
          </w:tcPr>
          <w:p w14:paraId="517BD8B2" w14:textId="794124F7" w:rsidR="007E4AE7" w:rsidRPr="001455DC" w:rsidRDefault="007E4AE7" w:rsidP="007E4AE7">
            <w:pPr>
              <w:pStyle w:val="Formula"/>
              <w:jc w:val="left"/>
            </w:pPr>
            <m:oMathPara>
              <m:oMathParaPr>
                <m:jc m:val="left"/>
              </m:oMathParaPr>
              <m:oMath>
                <m:r>
                  <w:rPr>
                    <w:rFonts w:ascii="Cambria Math" w:hAnsi="Cambria Math"/>
                  </w:rPr>
                  <m:t>ν=</m:t>
                </m:r>
                <m:f>
                  <m:fPr>
                    <m:ctrlPr>
                      <w:rPr>
                        <w:rFonts w:ascii="Cambria Math" w:hAnsi="Cambria Math"/>
                      </w:rPr>
                    </m:ctrlPr>
                  </m:fPr>
                  <m:num>
                    <m:r>
                      <w:rPr>
                        <w:rFonts w:ascii="Cambria Math" w:hAnsi="Cambria Math"/>
                      </w:rPr>
                      <m:t>1</m:t>
                    </m:r>
                  </m:num>
                  <m:den>
                    <m:r>
                      <w:rPr>
                        <w:rFonts w:ascii="Cambria Math" w:hAnsi="Cambria Math"/>
                      </w:rPr>
                      <m:t>1,0+110</m:t>
                    </m:r>
                    <m:sSub>
                      <m:sSubPr>
                        <m:ctrlPr>
                          <w:rPr>
                            <w:rFonts w:ascii="Cambria Math" w:hAnsi="Cambria Math"/>
                          </w:rPr>
                        </m:ctrlPr>
                      </m:sSubPr>
                      <m:e>
                        <m:r>
                          <w:rPr>
                            <w:rFonts w:ascii="Cambria Math" w:hAnsi="Cambria Math"/>
                          </w:rPr>
                          <m:t>ε</m:t>
                        </m:r>
                      </m:e>
                      <m:sub>
                        <m:r>
                          <w:rPr>
                            <w:rFonts w:ascii="Cambria Math" w:hAnsi="Cambria Math"/>
                          </w:rPr>
                          <m:t>1</m:t>
                        </m:r>
                      </m:sub>
                    </m:sSub>
                  </m:den>
                </m:f>
                <m:r>
                  <w:rPr>
                    <w:rFonts w:ascii="Cambria Math" w:hAnsi="Cambria Math"/>
                  </w:rPr>
                  <m:t>≤1,0</m:t>
                </m:r>
              </m:oMath>
            </m:oMathPara>
          </w:p>
        </w:tc>
        <w:tc>
          <w:tcPr>
            <w:tcW w:w="1247" w:type="dxa"/>
            <w:vAlign w:val="center"/>
          </w:tcPr>
          <w:p w14:paraId="173512D0" w14:textId="25B547CF" w:rsidR="007E4AE7" w:rsidRPr="001455DC" w:rsidRDefault="007E4AE7">
            <w:pPr>
              <w:pStyle w:val="a7"/>
              <w:jc w:val="right"/>
            </w:pPr>
            <w:r w:rsidRPr="001455DC">
              <w:t>(8.</w:t>
            </w:r>
            <w:r w:rsidR="00B023FE" w:rsidRPr="001455DC">
              <w:t>100</w:t>
            </w:r>
            <w:r w:rsidRPr="001455DC">
              <w:t>)</w:t>
            </w:r>
          </w:p>
        </w:tc>
      </w:tr>
    </w:tbl>
    <w:p w14:paraId="4102AE18" w14:textId="0269D553" w:rsidR="004E22C1" w:rsidRPr="001455DC" w:rsidRDefault="004E22C1" w:rsidP="00CD6899">
      <w:pPr>
        <w:pStyle w:val="a7"/>
      </w:pPr>
      <w:r w:rsidRPr="001455DC">
        <w:t xml:space="preserve">where </w:t>
      </w:r>
      <w:r w:rsidRPr="001455DC">
        <w:rPr>
          <w:rStyle w:val="CCMCvariableitalic"/>
        </w:rPr>
        <w:t>ε</w:t>
      </w:r>
      <w:r w:rsidRPr="001455DC">
        <w:rPr>
          <w:rStyle w:val="CCMCvariablesubscript"/>
        </w:rPr>
        <w:t>1</w:t>
      </w:r>
      <w:r w:rsidRPr="001455DC">
        <w:t xml:space="preserve"> is the value of the maximum principal tensile strain</w:t>
      </w:r>
      <w:r w:rsidR="0079403C">
        <w:t>.</w:t>
      </w:r>
    </w:p>
    <w:p w14:paraId="1EDD9B39" w14:textId="4271BCA3" w:rsidR="004E22C1" w:rsidRPr="001455DC" w:rsidRDefault="004E22C1" w:rsidP="00CD6899">
      <w:pPr>
        <w:pStyle w:val="a7"/>
      </w:pPr>
      <w:r w:rsidRPr="001455DC">
        <w:t>(6)</w:t>
      </w:r>
      <w:r w:rsidRPr="001455DC">
        <w:tab/>
        <w:t xml:space="preserve">In zones with confinement reinforcement, the compressive strength may be increased according to 8.1.4. The confinement stress </w:t>
      </w:r>
      <w:r w:rsidRPr="001455DC">
        <w:rPr>
          <w:rStyle w:val="CCMCvariableitalic"/>
        </w:rPr>
        <w:t>σ</w:t>
      </w:r>
      <w:r w:rsidRPr="001455DC">
        <w:rPr>
          <w:rStyle w:val="CCMCvariablesubscript"/>
        </w:rPr>
        <w:t>c2d</w:t>
      </w:r>
      <w:r w:rsidRPr="001455DC">
        <w:t xml:space="preserve"> to be used in 8.1.4(2) is the minimum of the two principal compressive stresses perpendicular to the strut (in planar members without confinement reinforcement perpendicular to the plane, </w:t>
      </w:r>
      <w:r w:rsidRPr="001455DC">
        <w:rPr>
          <w:rStyle w:val="CCMCvariableitalic"/>
        </w:rPr>
        <w:t>σ</w:t>
      </w:r>
      <w:r w:rsidRPr="001455DC">
        <w:rPr>
          <w:rStyle w:val="CCMCvariablesubscript"/>
        </w:rPr>
        <w:t>c2d</w:t>
      </w:r>
      <w:r w:rsidRPr="001455DC">
        <w:t xml:space="preserve"> is thus null).</w:t>
      </w:r>
    </w:p>
    <w:p w14:paraId="36989EA4" w14:textId="77777777" w:rsidR="004E22C1" w:rsidRPr="001455DC" w:rsidRDefault="004E22C1" w:rsidP="008D37B2">
      <w:pPr>
        <w:pStyle w:val="a7"/>
        <w:keepNext/>
      </w:pPr>
      <w:r w:rsidRPr="001455DC">
        <w:t>(7)</w:t>
      </w:r>
      <w:r w:rsidRPr="001455DC">
        <w:tab/>
        <w:t>The contribution of compression reinforcement to the strength of a strut may be taken into account up to its yield strength, provided that:</w:t>
      </w:r>
    </w:p>
    <w:p w14:paraId="180AD79E" w14:textId="6D25F0A8" w:rsidR="004E22C1" w:rsidRPr="001455DC" w:rsidRDefault="004E22C1" w:rsidP="007E4AE7">
      <w:pPr>
        <w:pStyle w:val="a0"/>
      </w:pPr>
      <w:r w:rsidRPr="001455DC">
        <w:t>it is in the same direction as the strut,</w:t>
      </w:r>
    </w:p>
    <w:p w14:paraId="72FE7A4C" w14:textId="67569BA5" w:rsidR="004E22C1" w:rsidRPr="001455DC" w:rsidRDefault="004E22C1" w:rsidP="007E4AE7">
      <w:pPr>
        <w:pStyle w:val="a0"/>
      </w:pPr>
      <w:r w:rsidRPr="001455DC">
        <w:t>the strength of member according to 8.1 is respected,</w:t>
      </w:r>
    </w:p>
    <w:p w14:paraId="27A6B4C4" w14:textId="485ED2CC" w:rsidR="004E22C1" w:rsidRPr="001455DC" w:rsidRDefault="004E22C1" w:rsidP="007E4AE7">
      <w:pPr>
        <w:pStyle w:val="a0"/>
      </w:pPr>
      <w:r w:rsidRPr="001455DC">
        <w:t>buckling of the reinforcement is prevented according to the rules in 12.5.2 and</w:t>
      </w:r>
    </w:p>
    <w:p w14:paraId="4171801F" w14:textId="77F8BE07" w:rsidR="004E22C1" w:rsidRPr="001455DC" w:rsidRDefault="004E22C1" w:rsidP="007E4AE7">
      <w:pPr>
        <w:pStyle w:val="a0"/>
      </w:pPr>
      <w:r w:rsidRPr="001455DC">
        <w:t xml:space="preserve">detailing is performed according to the rules of </w:t>
      </w:r>
      <w:r w:rsidR="00116AE2" w:rsidRPr="001455DC">
        <w:t>Clauses </w:t>
      </w:r>
      <w:r w:rsidRPr="001455DC">
        <w:t>11 and 12.</w:t>
      </w:r>
    </w:p>
    <w:p w14:paraId="3A4CF297" w14:textId="76D36FDB" w:rsidR="004E22C1" w:rsidRPr="001455DC" w:rsidRDefault="004E22C1" w:rsidP="00243590">
      <w:pPr>
        <w:pStyle w:val="31"/>
      </w:pPr>
      <w:bookmarkStart w:id="642" w:name="_Toc52819997"/>
      <w:bookmarkStart w:id="643" w:name="_Toc54337392"/>
      <w:bookmarkStart w:id="644" w:name="_Toc54338053"/>
      <w:bookmarkStart w:id="645" w:name="_Toc67565401"/>
      <w:r w:rsidRPr="001455DC">
        <w:t>Ties</w:t>
      </w:r>
      <w:bookmarkEnd w:id="642"/>
      <w:bookmarkEnd w:id="643"/>
      <w:bookmarkEnd w:id="644"/>
      <w:bookmarkEnd w:id="645"/>
    </w:p>
    <w:p w14:paraId="35034FB7" w14:textId="2877181A" w:rsidR="004E22C1" w:rsidRPr="001455DC" w:rsidRDefault="004E22C1" w:rsidP="008D37B2">
      <w:pPr>
        <w:pStyle w:val="a7"/>
        <w:keepNext/>
      </w:pPr>
      <w:r w:rsidRPr="001455DC">
        <w:t>(1)</w:t>
      </w:r>
      <w:r w:rsidRPr="001455DC">
        <w:tab/>
        <w:t xml:space="preserve">The resistance of a tie </w:t>
      </w:r>
      <w:r w:rsidRPr="001455DC">
        <w:rPr>
          <w:rStyle w:val="CCMCvariableitalic"/>
        </w:rPr>
        <w:t>F</w:t>
      </w:r>
      <w:r w:rsidRPr="001455DC">
        <w:rPr>
          <w:rStyle w:val="CCMCvariablesubscript"/>
        </w:rPr>
        <w:t>Rd</w:t>
      </w:r>
      <w:r w:rsidRPr="001455DC">
        <w:t xml:space="preserve"> shall fulfil the following condition:</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7E4AE7" w:rsidRPr="001455DC" w14:paraId="65F32ACE" w14:textId="77777777" w:rsidTr="007E4AE7">
        <w:trPr>
          <w:cantSplit/>
        </w:trPr>
        <w:tc>
          <w:tcPr>
            <w:tcW w:w="8505" w:type="dxa"/>
            <w:vAlign w:val="center"/>
          </w:tcPr>
          <w:p w14:paraId="3D81B009" w14:textId="59248A0C" w:rsidR="007E4AE7" w:rsidRPr="001455DC" w:rsidRDefault="00231E33" w:rsidP="007E4AE7">
            <w:pPr>
              <w:pStyle w:val="Formula"/>
              <w:jc w:val="left"/>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td</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Rd</m:t>
                    </m:r>
                  </m:sub>
                </m:sSub>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s</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yd</m:t>
                    </m:r>
                  </m:sub>
                </m:sSub>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p</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pd</m:t>
                    </m:r>
                  </m:sub>
                </m:sSub>
              </m:oMath>
            </m:oMathPara>
          </w:p>
        </w:tc>
        <w:tc>
          <w:tcPr>
            <w:tcW w:w="1247" w:type="dxa"/>
            <w:vAlign w:val="center"/>
          </w:tcPr>
          <w:p w14:paraId="334B2C67" w14:textId="36909150" w:rsidR="007E4AE7" w:rsidRPr="001455DC" w:rsidRDefault="007E4AE7">
            <w:pPr>
              <w:pStyle w:val="a7"/>
              <w:jc w:val="right"/>
            </w:pPr>
            <w:r w:rsidRPr="001455DC">
              <w:t>(8.</w:t>
            </w:r>
            <w:r w:rsidR="00B023FE" w:rsidRPr="001455DC">
              <w:t>101</w:t>
            </w:r>
            <w:r w:rsidRPr="001455DC">
              <w:t>)</w:t>
            </w:r>
          </w:p>
        </w:tc>
      </w:tr>
    </w:tbl>
    <w:p w14:paraId="74A0353E" w14:textId="63237DFB" w:rsidR="004E22C1" w:rsidRPr="001455DC" w:rsidRDefault="004E22C1" w:rsidP="00CD6899">
      <w:pPr>
        <w:pStyle w:val="a7"/>
      </w:pPr>
      <w:r w:rsidRPr="001455DC">
        <w:t xml:space="preserve">where </w:t>
      </w:r>
      <w:r w:rsidRPr="001455DC">
        <w:rPr>
          <w:rStyle w:val="CCMCvariableitalic"/>
        </w:rPr>
        <w:t>A</w:t>
      </w:r>
      <w:r w:rsidRPr="001455DC">
        <w:rPr>
          <w:rStyle w:val="CCMCvariablesubscript"/>
        </w:rPr>
        <w:t>s</w:t>
      </w:r>
      <w:r w:rsidRPr="001455DC">
        <w:t xml:space="preserve"> and </w:t>
      </w:r>
      <w:r w:rsidRPr="001455DC">
        <w:rPr>
          <w:rStyle w:val="CCMCvariableitalic"/>
        </w:rPr>
        <w:t>A</w:t>
      </w:r>
      <w:r w:rsidRPr="001455DC">
        <w:rPr>
          <w:rStyle w:val="CCMCvariablesubscript"/>
        </w:rPr>
        <w:t>p</w:t>
      </w:r>
      <w:r w:rsidRPr="001455DC">
        <w:t xml:space="preserve"> are the cross</w:t>
      </w:r>
      <w:r w:rsidR="00B10711" w:rsidRPr="001455DC">
        <w:t xml:space="preserve"> </w:t>
      </w:r>
      <w:r w:rsidRPr="001455DC">
        <w:t xml:space="preserve">sectional areas of the reinforcements of the tie. If prestressed reinforcement is considered as an external action, then </w:t>
      </w:r>
      <w:r w:rsidRPr="001455DC">
        <w:rPr>
          <w:rStyle w:val="CCMCvariableitalic"/>
        </w:rPr>
        <w:t>f</w:t>
      </w:r>
      <w:r w:rsidRPr="001455DC">
        <w:rPr>
          <w:rStyle w:val="CCMCvariablesubscript"/>
        </w:rPr>
        <w:t>pd</w:t>
      </w:r>
      <w:r w:rsidRPr="001455DC">
        <w:t xml:space="preserve"> should be replaced by </w:t>
      </w:r>
      <w:r w:rsidRPr="001455DC">
        <w:rPr>
          <w:rStyle w:val="CCMCvariableitalic"/>
        </w:rPr>
        <w:t>f</w:t>
      </w:r>
      <w:r w:rsidRPr="001455DC">
        <w:rPr>
          <w:rStyle w:val="CCMCvariablesubscript"/>
        </w:rPr>
        <w:t>pd</w:t>
      </w:r>
      <w:r w:rsidR="007E4AE7" w:rsidRPr="001455DC">
        <w:t> </w:t>
      </w:r>
      <w:r w:rsidR="007E4AE7" w:rsidRPr="001455DC">
        <w:rPr>
          <w:rFonts w:ascii="Cambria Math" w:hAnsi="Cambria Math"/>
        </w:rPr>
        <w:t>−</w:t>
      </w:r>
      <w:r w:rsidR="007E4AE7" w:rsidRPr="001455DC">
        <w:t> </w:t>
      </w:r>
      <w:r w:rsidRPr="001455DC">
        <w:rPr>
          <w:rStyle w:val="CCMCvariableitalic"/>
        </w:rPr>
        <w:t>σ</w:t>
      </w:r>
      <w:r w:rsidRPr="001455DC">
        <w:rPr>
          <w:rStyle w:val="CCMCvariablesubscript"/>
        </w:rPr>
        <w:t>pd</w:t>
      </w:r>
      <w:r w:rsidRPr="001455DC">
        <w:t xml:space="preserve"> according to 7.10.5(1).</w:t>
      </w:r>
    </w:p>
    <w:p w14:paraId="41278A4D" w14:textId="63A4F0CE" w:rsidR="004E22C1" w:rsidRPr="001455DC" w:rsidRDefault="004E22C1" w:rsidP="00CD6899">
      <w:pPr>
        <w:pStyle w:val="a7"/>
      </w:pPr>
      <w:r w:rsidRPr="001455DC">
        <w:t>(2)</w:t>
      </w:r>
      <w:r w:rsidRPr="001455DC">
        <w:tab/>
        <w:t>Formula (8.</w:t>
      </w:r>
      <w:r w:rsidR="00B023FE" w:rsidRPr="001455DC">
        <w:t>101</w:t>
      </w:r>
      <w:r w:rsidRPr="001455DC">
        <w:t>) may be used only when ties are suitably anchored at the nodes according to the rules given in 8.5.4. Otherwise, the force in the ties should be limited to the force that can be effectively anchored.</w:t>
      </w:r>
    </w:p>
    <w:p w14:paraId="24F192B4" w14:textId="2DDFDCA5" w:rsidR="004E22C1" w:rsidRPr="001455DC" w:rsidRDefault="004E22C1" w:rsidP="00243590">
      <w:pPr>
        <w:pStyle w:val="31"/>
      </w:pPr>
      <w:bookmarkStart w:id="646" w:name="_Toc52819998"/>
      <w:bookmarkStart w:id="647" w:name="_Toc54337393"/>
      <w:bookmarkStart w:id="648" w:name="_Toc54338054"/>
      <w:bookmarkStart w:id="649" w:name="_Toc67565402"/>
      <w:r w:rsidRPr="001455DC">
        <w:t>Nodes</w:t>
      </w:r>
      <w:bookmarkEnd w:id="646"/>
      <w:bookmarkEnd w:id="647"/>
      <w:bookmarkEnd w:id="648"/>
      <w:bookmarkEnd w:id="649"/>
    </w:p>
    <w:p w14:paraId="6295B7FD" w14:textId="00206BC7" w:rsidR="004E22C1" w:rsidRPr="001455DC" w:rsidRDefault="004E22C1" w:rsidP="00243590">
      <w:pPr>
        <w:pStyle w:val="41"/>
      </w:pPr>
      <w:bookmarkStart w:id="650" w:name="_Toc52819999"/>
      <w:bookmarkStart w:id="651" w:name="_Toc54338055"/>
      <w:r w:rsidRPr="001455DC">
        <w:t>Definitions</w:t>
      </w:r>
      <w:bookmarkEnd w:id="650"/>
      <w:bookmarkEnd w:id="651"/>
    </w:p>
    <w:p w14:paraId="24C05262" w14:textId="77777777" w:rsidR="004E22C1" w:rsidRPr="001455DC" w:rsidRDefault="004E22C1" w:rsidP="00CD6899">
      <w:pPr>
        <w:pStyle w:val="a7"/>
      </w:pPr>
      <w:r w:rsidRPr="001455DC">
        <w:t>(1)</w:t>
      </w:r>
      <w:r w:rsidRPr="001455DC">
        <w:tab/>
        <w:t>Nodes shall ensure the transfer of forces amongst the different struts and ties (see Figure 8.25).</w:t>
      </w:r>
    </w:p>
    <w:p w14:paraId="01253B8B" w14:textId="77777777" w:rsidR="004E22C1" w:rsidRPr="001455DC" w:rsidRDefault="004E22C1" w:rsidP="008D37B2">
      <w:pPr>
        <w:pStyle w:val="a7"/>
        <w:keepNext/>
      </w:pPr>
      <w:r w:rsidRPr="001455DC">
        <w:t>(2)</w:t>
      </w:r>
      <w:r w:rsidRPr="001455DC">
        <w:tab/>
        <w:t>For nodes with three concurrent struts and ties, four cases can be distinguished:</w:t>
      </w:r>
    </w:p>
    <w:p w14:paraId="0C69F0FB" w14:textId="188F8C1E" w:rsidR="004E22C1" w:rsidRPr="001455DC" w:rsidRDefault="004E22C1" w:rsidP="000D0D97">
      <w:pPr>
        <w:pStyle w:val="a0"/>
      </w:pPr>
      <w:r w:rsidRPr="001455DC">
        <w:t>CCC nodes, when only struts reach the node (refer to 8.5.4.2),</w:t>
      </w:r>
    </w:p>
    <w:p w14:paraId="574E8A7A" w14:textId="381BC4EA" w:rsidR="004E22C1" w:rsidRPr="001455DC" w:rsidRDefault="004E22C1" w:rsidP="000D0D97">
      <w:pPr>
        <w:pStyle w:val="a0"/>
      </w:pPr>
      <w:r w:rsidRPr="001455DC">
        <w:t>CCT nodes, when only one tie is present in the node (refer to 8.5.4.3),</w:t>
      </w:r>
    </w:p>
    <w:p w14:paraId="7B233F9F" w14:textId="6042AE7B" w:rsidR="004E22C1" w:rsidRPr="001455DC" w:rsidRDefault="004E22C1" w:rsidP="000D0D97">
      <w:pPr>
        <w:pStyle w:val="a0"/>
      </w:pPr>
      <w:r w:rsidRPr="001455DC">
        <w:t>CTT nodes, when only one strut is equilibrating the reinforcement forces (refer to 8.5.4.4),</w:t>
      </w:r>
    </w:p>
    <w:p w14:paraId="124CC26E" w14:textId="3A88D1A8" w:rsidR="004E22C1" w:rsidRPr="001455DC" w:rsidRDefault="004E22C1" w:rsidP="000D0D97">
      <w:pPr>
        <w:pStyle w:val="a0"/>
      </w:pPr>
      <w:r w:rsidRPr="001455DC">
        <w:t xml:space="preserve">TTT nodes, where only ties reach the node. TTT nodes may be used only if consistent values of the strength reduction factor </w:t>
      </w:r>
      <w:r w:rsidRPr="001455DC">
        <w:rPr>
          <w:rStyle w:val="CCMCvariableitalic"/>
        </w:rPr>
        <w:t>ν</w:t>
      </w:r>
      <w:r w:rsidRPr="001455DC">
        <w:t xml:space="preserve"> in the node are adopted accounting for anchorage, detailing and strains according to 8.5.2(5).</w:t>
      </w:r>
    </w:p>
    <w:p w14:paraId="25CBBF9E" w14:textId="77777777" w:rsidR="004E22C1" w:rsidRPr="001455DC" w:rsidRDefault="004E22C1" w:rsidP="00CD6899">
      <w:pPr>
        <w:pStyle w:val="a7"/>
      </w:pPr>
      <w:r w:rsidRPr="001455DC">
        <w:t>(3)</w:t>
      </w:r>
      <w:r w:rsidRPr="001455DC">
        <w:tab/>
        <w:t>Nodes with four or more concurrent struts and ties may be treated as a combination of two or more nodes, each of them with three intersecting strut and ties according to (2).</w:t>
      </w:r>
    </w:p>
    <w:p w14:paraId="1482D915" w14:textId="7BFD71F3" w:rsidR="004E22C1" w:rsidRPr="001455DC" w:rsidRDefault="004E22C1" w:rsidP="00243590">
      <w:pPr>
        <w:pStyle w:val="41"/>
      </w:pPr>
      <w:bookmarkStart w:id="652" w:name="_Toc52820000"/>
      <w:bookmarkStart w:id="653" w:name="_Toc54338056"/>
      <w:r w:rsidRPr="001455DC">
        <w:t>CCC nodes</w:t>
      </w:r>
      <w:bookmarkEnd w:id="652"/>
      <w:bookmarkEnd w:id="653"/>
    </w:p>
    <w:p w14:paraId="7ACEB572" w14:textId="77777777" w:rsidR="004E22C1" w:rsidRPr="001455DC" w:rsidRDefault="004E22C1" w:rsidP="00CD6899">
      <w:pPr>
        <w:pStyle w:val="a7"/>
      </w:pPr>
      <w:r w:rsidRPr="001455DC">
        <w:t>(1)</w:t>
      </w:r>
      <w:r w:rsidRPr="001455DC">
        <w:tab/>
        <w:t>In a CCC node, verification of the stress state within the nodal region may be omitted as long as the adjoining struts all comply with their stress limits.</w:t>
      </w:r>
    </w:p>
    <w:p w14:paraId="6713C6CE" w14:textId="77777777" w:rsidR="004E22C1" w:rsidRPr="001455DC" w:rsidRDefault="004E22C1" w:rsidP="00CD6899">
      <w:pPr>
        <w:pStyle w:val="a7"/>
        <w:rPr>
          <w:szCs w:val="22"/>
        </w:rPr>
      </w:pPr>
      <w:r w:rsidRPr="001455DC">
        <w:t>(2)</w:t>
      </w:r>
      <w:r w:rsidRPr="001455DC">
        <w:tab/>
        <w:t xml:space="preserve">The value of coefficient </w:t>
      </w:r>
      <w:r w:rsidRPr="001455DC">
        <w:rPr>
          <w:rStyle w:val="CCMCvariableitalic"/>
        </w:rPr>
        <w:t>ν</w:t>
      </w:r>
      <w:r w:rsidRPr="001455DC">
        <w:t xml:space="preserve"> at the ends of the converging struts may be taken as 1,0 or increased according to 8.1.4 or 8.6. The widths of the struts </w:t>
      </w:r>
      <w:r w:rsidRPr="001455DC">
        <w:rPr>
          <w:rStyle w:val="CCMCvariableitalic"/>
        </w:rPr>
        <w:t>b</w:t>
      </w:r>
      <w:r w:rsidRPr="001455DC">
        <w:rPr>
          <w:rStyle w:val="CCMCvariablesubscript"/>
        </w:rPr>
        <w:t>c</w:t>
      </w:r>
      <w:r w:rsidRPr="001455DC">
        <w:t xml:space="preserve"> may be adapted accordingly. If the converging struts have different stresses, the geometry of the node may be adapted according to Figure 8.27b.</w:t>
      </w:r>
    </w:p>
    <w:p w14:paraId="7CBEB85B" w14:textId="77777777" w:rsidR="004E22C1" w:rsidRPr="001455DC" w:rsidRDefault="004E22C1" w:rsidP="00CD6899">
      <w:pPr>
        <w:pStyle w:val="a7"/>
      </w:pPr>
      <w:r w:rsidRPr="001455DC">
        <w:rPr>
          <w:szCs w:val="22"/>
        </w:rPr>
        <w:t>(3)</w:t>
      </w:r>
      <w:r w:rsidRPr="001455DC">
        <w:rPr>
          <w:szCs w:val="22"/>
        </w:rPr>
        <w:tab/>
      </w:r>
      <w:r w:rsidRPr="001455DC">
        <w:t>For CCC nodes at the surface of partially loaded areas, the strength increase of 8.6 may be accounted for.</w:t>
      </w:r>
    </w:p>
    <w:tbl>
      <w:tblPr>
        <w:tblStyle w:val="a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876"/>
        <w:gridCol w:w="4876"/>
      </w:tblGrid>
      <w:tr w:rsidR="000D0D97" w:rsidRPr="001455DC" w14:paraId="69888B52" w14:textId="77777777" w:rsidTr="007E4AE7">
        <w:trPr>
          <w:cantSplit/>
          <w:jc w:val="center"/>
        </w:trPr>
        <w:tc>
          <w:tcPr>
            <w:tcW w:w="4876" w:type="dxa"/>
          </w:tcPr>
          <w:p w14:paraId="5B0CD883" w14:textId="308B87DF" w:rsidR="000D0D97" w:rsidRPr="001455DC" w:rsidRDefault="00723CF7" w:rsidP="007E4AE7">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"Y:\\STD_MGT\\STDDEL\\PRODUCTION\\etrans\\Download\\Z_FIRST_DEL\\SV\\00250\\00250269\\41_e_dr\\8_027a.tif"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"Y:\\STD_MGT\\STDDEL\\PRODUCTION\\Standards\\00250\\269\\41_e_dr\\8_027a.tif"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"Y:\\STD_MGT\\STDDEL\\PRODUCTION\\Standards\\00250\\269\\41_e_dr\\8_027a.tif"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"Y:\\STD_MGT\\STDDEL\\PRODUCTION\\Standards\\00250\\269\\41_e_dr\\8_027a.tif"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"Y:\\STD_MGT\\STDDEL\\PRODUCTION\\Standards\\00250\\269\\41_e_dr\\8_027a.tif"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"Y:\\STD_MGT\\STDDEL\\PRODUCTION\\Standards\\00250\\269\\41_e_dr\\8_027a.tif"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"C:\\Users\\a.dionysiou\\AppData\\Local\\Temp\\Temp1_00250269_e_20210902.zip.zip\\41_e_dr\\8_027a.tif"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73C004CB">
                <v:shape id="_x0000_i1191" type="#_x0000_t75" style="width:108pt;height:118.5pt">
                  <v:imagedata r:id="rId352" r:href="rId353"/>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4876" w:type="dxa"/>
          </w:tcPr>
          <w:p w14:paraId="16DAF8D4" w14:textId="2F74F097" w:rsidR="000D0D97" w:rsidRPr="001455DC" w:rsidRDefault="00723CF7" w:rsidP="007E4AE7">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"Y:\\STD_MGT\\STDDEL\\PRODUCTION\\etrans\\Download\\Z_FIRST_DEL\\SV\\00250\\00250269\\41_e_dr\\8_027b.tif"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"Y:\\STD_MGT\\STDDEL\\PRODUCTION\\Standards\\00250\\269\\41_e_dr\\8_027b.tif"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"Y:\\STD_MGT\\STDDEL\\PRODUCTION\\Standards\\00250\\269\\41_e_dr\\8_027b.tif"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"Y:\\STD_MGT\\STDDEL\\PRODUCTION\\Standards\\00250\\269\\41_e_dr\\8_027b.tif"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"Y:\\STD_MGT\\STDDEL\\PRODUCTION\\Standards\\00250\\269\\41_e_dr\\8_027b.tif"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"Y:\\STD_MGT\\STDDEL\\PRODUCTION\\Standards\\00250\\269\\41_e_dr\\8_027b.tif"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"C:\\Users\\a.dionysiou\\AppData\\Local\\Temp\\Temp1_00250269_e_20210902.zip.zip\\41_e_dr\\8_027b.tif"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2884C7AC">
                <v:shape id="_x0000_i1192" type="#_x0000_t75" style="width:146.25pt;height:146.25pt">
                  <v:imagedata r:id="rId354" r:href="rId355"/>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0D0D97" w:rsidRPr="00882C68" w14:paraId="3302E012" w14:textId="77777777" w:rsidTr="007E4AE7">
        <w:trPr>
          <w:cantSplit/>
          <w:jc w:val="center"/>
        </w:trPr>
        <w:tc>
          <w:tcPr>
            <w:tcW w:w="4876" w:type="dxa"/>
          </w:tcPr>
          <w:p w14:paraId="3655AC5F" w14:textId="636A3198" w:rsidR="000D0D97" w:rsidRPr="009D3012" w:rsidRDefault="000D0D97" w:rsidP="007E4AE7">
            <w:pPr>
              <w:pStyle w:val="FigureText"/>
              <w:jc w:val="center"/>
              <w:rPr>
                <w:bCs/>
                <w:sz w:val="23"/>
              </w:rPr>
            </w:pPr>
            <w:r w:rsidRPr="009D3012">
              <w:t>a) identical stresses</w:t>
            </w:r>
          </w:p>
        </w:tc>
        <w:tc>
          <w:tcPr>
            <w:tcW w:w="4876" w:type="dxa"/>
          </w:tcPr>
          <w:p w14:paraId="0FC27B5A" w14:textId="462B38E2" w:rsidR="000D0D97" w:rsidRPr="009D3012" w:rsidRDefault="000D0D97" w:rsidP="007E4AE7">
            <w:pPr>
              <w:pStyle w:val="FigureText"/>
              <w:jc w:val="center"/>
              <w:rPr>
                <w:bCs/>
                <w:sz w:val="23"/>
              </w:rPr>
            </w:pPr>
            <w:r w:rsidRPr="009D3012">
              <w:t>b) different stresses</w:t>
            </w:r>
          </w:p>
        </w:tc>
      </w:tr>
    </w:tbl>
    <w:p w14:paraId="3F145493" w14:textId="77777777" w:rsidR="004E22C1" w:rsidRPr="001455DC" w:rsidRDefault="004E22C1" w:rsidP="000D0D97">
      <w:pPr>
        <w:pStyle w:val="Figuretitle"/>
      </w:pPr>
      <w:r w:rsidRPr="001455DC">
        <w:t>Figure 8.27 — CCC node with three struts</w:t>
      </w:r>
    </w:p>
    <w:p w14:paraId="09FD5BF4" w14:textId="19A62959" w:rsidR="004E22C1" w:rsidRPr="001455DC" w:rsidRDefault="004E22C1" w:rsidP="00243590">
      <w:pPr>
        <w:pStyle w:val="41"/>
      </w:pPr>
      <w:bookmarkStart w:id="654" w:name="_Toc52820001"/>
      <w:bookmarkStart w:id="655" w:name="_Toc54338057"/>
      <w:r w:rsidRPr="001455DC">
        <w:t>CCT nodes</w:t>
      </w:r>
      <w:bookmarkEnd w:id="654"/>
      <w:bookmarkEnd w:id="655"/>
    </w:p>
    <w:p w14:paraId="57BD5D3B" w14:textId="77777777" w:rsidR="004E22C1" w:rsidRPr="001455DC" w:rsidRDefault="004E22C1" w:rsidP="008D37B2">
      <w:pPr>
        <w:pStyle w:val="a7"/>
        <w:keepNext/>
      </w:pPr>
      <w:r w:rsidRPr="001455DC">
        <w:t>(1)</w:t>
      </w:r>
      <w:r w:rsidRPr="001455DC">
        <w:tab/>
        <w:t xml:space="preserve">The tension force </w:t>
      </w:r>
      <w:r w:rsidRPr="001455DC">
        <w:rPr>
          <w:rStyle w:val="CCMCvariableitalic"/>
        </w:rPr>
        <w:t>F</w:t>
      </w:r>
      <w:r w:rsidRPr="001455DC">
        <w:rPr>
          <w:rStyle w:val="CCMCvariablesubscript"/>
        </w:rPr>
        <w:t>2d</w:t>
      </w:r>
      <w:r w:rsidRPr="001455DC">
        <w:t xml:space="preserve"> shown in Figure 8.28a) shall be anchored:</w:t>
      </w:r>
    </w:p>
    <w:p w14:paraId="16AE861D" w14:textId="5C8D27BD" w:rsidR="004E22C1" w:rsidRPr="001455DC" w:rsidRDefault="004E22C1" w:rsidP="00591CF4">
      <w:pPr>
        <w:pStyle w:val="a0"/>
        <w:rPr>
          <w:szCs w:val="22"/>
        </w:rPr>
      </w:pPr>
      <w:r w:rsidRPr="001455DC">
        <w:t>outside of the nodal region according to Figure 8.28b) or</w:t>
      </w:r>
    </w:p>
    <w:p w14:paraId="405BCCAB" w14:textId="140FA391" w:rsidR="004E22C1" w:rsidRPr="001455DC" w:rsidRDefault="004E22C1" w:rsidP="00591CF4">
      <w:pPr>
        <w:pStyle w:val="a0"/>
        <w:spacing w:after="240"/>
        <w:ind w:left="357" w:hanging="357"/>
      </w:pPr>
      <w:r w:rsidRPr="001455DC">
        <w:t>partly or completely inside of the nodal region according to Figure 8.28c).</w:t>
      </w:r>
    </w:p>
    <w:p w14:paraId="1CC79690" w14:textId="77777777" w:rsidR="004E22C1" w:rsidRPr="001455DC" w:rsidRDefault="004E22C1" w:rsidP="008D37B2">
      <w:pPr>
        <w:pStyle w:val="a7"/>
        <w:keepNext/>
      </w:pPr>
      <w:r w:rsidRPr="001455DC">
        <w:t>(2)</w:t>
      </w:r>
      <w:r w:rsidRPr="001455DC">
        <w:tab/>
        <w:t>The following methods may be used for anchoring the tie force:</w:t>
      </w:r>
    </w:p>
    <w:p w14:paraId="2FE7CF01" w14:textId="190C5880" w:rsidR="004E22C1" w:rsidRPr="001455DC" w:rsidRDefault="004E22C1" w:rsidP="000D0D97">
      <w:pPr>
        <w:pStyle w:val="a0"/>
      </w:pPr>
      <w:r w:rsidRPr="001455DC">
        <w:t xml:space="preserve">straight bars according to 11.4.2 where the design anchorage length </w:t>
      </w:r>
      <w:r w:rsidRPr="001455DC">
        <w:rPr>
          <w:rStyle w:val="CCMCvariableitalic"/>
        </w:rPr>
        <w:t>l</w:t>
      </w:r>
      <w:r w:rsidRPr="001455DC">
        <w:rPr>
          <w:rStyle w:val="CCMCvariablesubscript"/>
        </w:rPr>
        <w:t>bd</w:t>
      </w:r>
      <w:r w:rsidRPr="001455DC">
        <w:t xml:space="preserve"> should not be less than the width of the nodal region (</w:t>
      </w:r>
      <w:r w:rsidRPr="001455DC">
        <w:rPr>
          <w:rStyle w:val="CCMCvariableitalic"/>
        </w:rPr>
        <w:t>l</w:t>
      </w:r>
      <w:r w:rsidRPr="001455DC">
        <w:rPr>
          <w:rStyle w:val="CCMCvariablesubscript"/>
        </w:rPr>
        <w:t>bdn</w:t>
      </w:r>
      <w:r w:rsidRPr="001455DC">
        <w:t xml:space="preserve"> in Figure 8.28c),</w:t>
      </w:r>
    </w:p>
    <w:p w14:paraId="6AFD3825" w14:textId="2362A023" w:rsidR="004E22C1" w:rsidRPr="001455DC" w:rsidRDefault="004E22C1" w:rsidP="000D0D97">
      <w:pPr>
        <w:pStyle w:val="a0"/>
      </w:pPr>
      <w:r w:rsidRPr="001455DC">
        <w:t xml:space="preserve">bends, hooks (11.4.3) and loops (11.4.4) should not start their bend before the centre of the node nor the radius of the bend before the end of the node. The heads of headed bars (11.4.5) should be placed outside the nodal region. An additional length according to Figures 8.28d) to e) should be provided to allow spreading the anchored force over the width </w:t>
      </w:r>
      <w:r w:rsidRPr="001455DC">
        <w:rPr>
          <w:rStyle w:val="CCMCvariableitalic"/>
        </w:rPr>
        <w:t>b</w:t>
      </w:r>
      <w:r w:rsidRPr="001455DC">
        <w:rPr>
          <w:rStyle w:val="CCMCvariablesubscript"/>
        </w:rPr>
        <w:t>s</w:t>
      </w:r>
      <w:r w:rsidRPr="001455DC">
        <w:t xml:space="preserve"> and the thickness </w:t>
      </w:r>
      <w:r w:rsidRPr="001455DC">
        <w:rPr>
          <w:rStyle w:val="CCMCvariableitalic"/>
        </w:rPr>
        <w:t>t</w:t>
      </w:r>
      <w:r w:rsidRPr="001455DC">
        <w:t xml:space="preserve"> (where </w:t>
      </w:r>
      <m:oMath>
        <m:sSub>
          <m:sSubPr>
            <m:ctrlPr>
              <w:rPr>
                <w:rFonts w:ascii="Cambria Math" w:hAnsi="Cambria Math"/>
              </w:rPr>
            </m:ctrlPr>
          </m:sSubPr>
          <m:e>
            <m:r>
              <w:rPr>
                <w:rFonts w:ascii="Cambria Math" w:hAnsi="Cambria Math"/>
              </w:rPr>
              <m:t>b</m:t>
            </m:r>
          </m:e>
          <m:sub>
            <m:r>
              <m:rPr>
                <m:sty m:val="p"/>
              </m:rPr>
              <w:rPr>
                <w:rFonts w:ascii="Cambria Math" w:hAnsi="Cambria Math"/>
              </w:rPr>
              <m:t>s</m:t>
            </m:r>
          </m:sub>
        </m:sSub>
        <m:r>
          <w:rPr>
            <w:rFonts w:ascii="Cambria Math" w:hAnsi="Cambria Math"/>
          </w:rPr>
          <m:t>⋅t≥</m:t>
        </m:r>
        <m:sSub>
          <m:sSubPr>
            <m:ctrlPr>
              <w:rPr>
                <w:rFonts w:ascii="Cambria Math" w:hAnsi="Cambria Math"/>
              </w:rPr>
            </m:ctrlPr>
          </m:sSubPr>
          <m:e>
            <m:r>
              <w:rPr>
                <w:rFonts w:ascii="Cambria Math" w:hAnsi="Cambria Math"/>
              </w:rPr>
              <m:t>F</m:t>
            </m:r>
          </m:e>
          <m:sub>
            <m:r>
              <m:rPr>
                <m:sty m:val="p"/>
              </m:rPr>
              <w:rPr>
                <w:rFonts w:ascii="Cambria Math" w:hAnsi="Cambria Math"/>
              </w:rPr>
              <m:t>2d,b</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cd</m:t>
            </m:r>
          </m:sub>
        </m:sSub>
      </m:oMath>
      <w:r w:rsidRPr="001455DC">
        <w:t xml:space="preserve">, </w:t>
      </w:r>
      <w:r w:rsidRPr="001455DC">
        <w:rPr>
          <w:rStyle w:val="CCMCvariableitalic"/>
        </w:rPr>
        <w:t>F</w:t>
      </w:r>
      <w:r w:rsidRPr="001455DC">
        <w:rPr>
          <w:rStyle w:val="CCMCvariablesubscript"/>
        </w:rPr>
        <w:t>2d,b</w:t>
      </w:r>
      <w:r w:rsidRPr="001455DC">
        <w:t xml:space="preserve"> being the reinforcement force to be anchored at the backside of the node).</w:t>
      </w:r>
    </w:p>
    <w:p w14:paraId="0F5FDB08" w14:textId="3514BC43" w:rsidR="004E22C1" w:rsidRPr="001455DC" w:rsidRDefault="004E22C1" w:rsidP="00CD6899">
      <w:pPr>
        <w:pStyle w:val="a7"/>
      </w:pPr>
      <w:r w:rsidRPr="001455DC">
        <w:t>(3)</w:t>
      </w:r>
      <w:r w:rsidRPr="001455DC">
        <w:tab/>
        <w:t>If necessary, the reinforcement carrying the tie force may be distributed or a distributed reinforcement may be added according to Figure 8.28e). In case of distributed stirrups carrying the tie force, 12.2.3 applies.</w:t>
      </w:r>
    </w:p>
    <w:p w14:paraId="5224BEF1" w14:textId="5E5EB76D" w:rsidR="00491BE1" w:rsidRDefault="00723CF7" w:rsidP="003F0CF8">
      <w:pPr>
        <w:pStyle w:val="FigureText"/>
        <w:jc w:val="center"/>
      </w:pPr>
      <w:r>
        <w:rPr>
          <w:noProof/>
          <w:lang w:eastAsia="en-GB"/>
        </w:rPr>
        <w:fldChar w:fldCharType="begin"/>
      </w:r>
      <w:r>
        <w:rPr>
          <w:noProof/>
          <w:lang w:eastAsia="en-GB"/>
        </w:rPr>
        <w:instrText xml:space="preserve"> INCLUDEPICTURE  "Y:\\STD_MGT\\STDDEL\\PRODUCTION\\etrans\\Download\\Z_FIRST_DEL\\SV\\00250\\00250269\\41_e_dr\\8_028.tif"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"Y:\\STD_MGT\\STDDEL\\PRODUCTION\\Standards\\00250\\269\\41_e_dr\\8_028.tif"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"Y:\\STD_MGT\\STDDEL\\PRODUCTION\\Standards\\00250\\269\\41_e_dr\\8_028.tif"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"Y:\\STD_MGT\\STDDEL\\PRODUCTION\\Standards\\00250\\269\\41_e_dr\\8_028.tif"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"Y:\\STD_MGT\\STDDEL\\PRODUCTION\\Standards\\00250\\269\\41_e_dr\\8_028.tif"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"Y:\\STD_MGT\\STDDEL\\PRODUCTION\\Standards\\00250\\269\\41_e_dr\\8_028.tif"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"C:\\Users\\a.dionysiou\\AppData\\Local\\Temp\\Temp1_00250269_e_20210902.zip.zip\\41_e_dr\\8_028.tif"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08ECE8EE">
          <v:shape id="_x0000_i1193" type="#_x0000_t75" style="width:393.75pt;height:229.5pt">
            <v:imagedata r:id="rId356" r:href="rId357"/>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3D3A76B3" w14:textId="77777777" w:rsidR="00882C68" w:rsidRPr="00E13399" w:rsidRDefault="00882C68" w:rsidP="00882C68">
      <w:pPr>
        <w:pStyle w:val="FigureText"/>
        <w:rPr>
          <w:bCs/>
        </w:rPr>
      </w:pPr>
      <w:r w:rsidRPr="00E13399">
        <w:rPr>
          <w:bCs/>
        </w:rPr>
        <w:t>a) strut-and-tie model</w:t>
      </w:r>
    </w:p>
    <w:p w14:paraId="06E872E5" w14:textId="77777777" w:rsidR="00882C68" w:rsidRPr="00E13399" w:rsidRDefault="00882C68" w:rsidP="00882C68">
      <w:pPr>
        <w:pStyle w:val="FigureText"/>
        <w:rPr>
          <w:bCs/>
        </w:rPr>
      </w:pPr>
      <w:r w:rsidRPr="00E13399">
        <w:rPr>
          <w:bCs/>
        </w:rPr>
        <w:t>b) with anchorage outside the nodal region</w:t>
      </w:r>
    </w:p>
    <w:p w14:paraId="1E8C61B5" w14:textId="77777777" w:rsidR="00882C68" w:rsidRPr="00E13399" w:rsidRDefault="00882C68" w:rsidP="00882C68">
      <w:pPr>
        <w:pStyle w:val="FigureText"/>
        <w:rPr>
          <w:bCs/>
        </w:rPr>
      </w:pPr>
      <w:r w:rsidRPr="00E13399">
        <w:rPr>
          <w:bCs/>
        </w:rPr>
        <w:t>c) anchorage partly inside the nodal region</w:t>
      </w:r>
    </w:p>
    <w:p w14:paraId="0A8D1E2B" w14:textId="77777777" w:rsidR="00882C68" w:rsidRPr="00E13399" w:rsidRDefault="00882C68" w:rsidP="00882C68">
      <w:pPr>
        <w:pStyle w:val="FigureText"/>
        <w:rPr>
          <w:bCs/>
        </w:rPr>
      </w:pPr>
      <w:r w:rsidRPr="00E13399">
        <w:rPr>
          <w:bCs/>
        </w:rPr>
        <w:t>d) example of anchorage using headed bars</w:t>
      </w:r>
    </w:p>
    <w:p w14:paraId="62CB210D" w14:textId="77777777" w:rsidR="00882C68" w:rsidRPr="00E13399" w:rsidRDefault="00882C68" w:rsidP="00882C68">
      <w:pPr>
        <w:pStyle w:val="FigureText"/>
        <w:rPr>
          <w:bCs/>
        </w:rPr>
      </w:pPr>
      <w:r w:rsidRPr="00E13399">
        <w:rPr>
          <w:bCs/>
        </w:rPr>
        <w:t>e) example of anchorage using loops</w:t>
      </w:r>
    </w:p>
    <w:p w14:paraId="544FF2B6" w14:textId="77777777" w:rsidR="000D0D97" w:rsidRPr="001455DC" w:rsidRDefault="000D0D97" w:rsidP="000D0D97">
      <w:pPr>
        <w:pStyle w:val="KeyTitle"/>
      </w:pPr>
      <w:r w:rsidRPr="001455DC">
        <w:t>Key</w:t>
      </w:r>
    </w:p>
    <w:tbl>
      <w:tblPr>
        <w:tblW w:w="9809" w:type="dxa"/>
        <w:tblLayout w:type="fixed"/>
        <w:tblCellMar>
          <w:left w:w="28" w:type="dxa"/>
          <w:right w:w="28" w:type="dxa"/>
        </w:tblCellMar>
        <w:tblLook w:val="0000" w:firstRow="0" w:lastRow="0" w:firstColumn="0" w:lastColumn="0" w:noHBand="0" w:noVBand="0"/>
      </w:tblPr>
      <w:tblGrid>
        <w:gridCol w:w="397"/>
        <w:gridCol w:w="9412"/>
      </w:tblGrid>
      <w:tr w:rsidR="000D0D97" w:rsidRPr="001455DC" w14:paraId="16F7A229" w14:textId="77777777" w:rsidTr="007E4AE7">
        <w:tc>
          <w:tcPr>
            <w:tcW w:w="397" w:type="dxa"/>
            <w:shd w:val="clear" w:color="auto" w:fill="auto"/>
          </w:tcPr>
          <w:p w14:paraId="1A1F0696" w14:textId="77777777" w:rsidR="000D0D97" w:rsidRPr="001455DC" w:rsidRDefault="000D0D97" w:rsidP="007E4AE7">
            <w:pPr>
              <w:pStyle w:val="KeyText"/>
              <w:tabs>
                <w:tab w:val="clear" w:pos="346"/>
              </w:tabs>
              <w:ind w:left="0" w:firstLine="0"/>
            </w:pPr>
            <w:r w:rsidRPr="001455DC">
              <w:t>A</w:t>
            </w:r>
          </w:p>
        </w:tc>
        <w:tc>
          <w:tcPr>
            <w:tcW w:w="9412" w:type="dxa"/>
            <w:shd w:val="clear" w:color="auto" w:fill="auto"/>
          </w:tcPr>
          <w:p w14:paraId="334C737F" w14:textId="0F241689" w:rsidR="000D0D97" w:rsidRPr="001455DC" w:rsidRDefault="000D0D97" w:rsidP="007E4AE7">
            <w:pPr>
              <w:pStyle w:val="KeyText"/>
              <w:tabs>
                <w:tab w:val="clear" w:pos="346"/>
              </w:tabs>
              <w:ind w:left="0" w:firstLine="0"/>
            </w:pPr>
            <w:r w:rsidRPr="001455DC">
              <w:t>cross section where the reinforcement force is fully transferred to concrete in compression</w:t>
            </w:r>
          </w:p>
        </w:tc>
      </w:tr>
    </w:tbl>
    <w:p w14:paraId="4678D267" w14:textId="77777777" w:rsidR="004E22C1" w:rsidRPr="001455DC" w:rsidRDefault="004E22C1" w:rsidP="000D0D97">
      <w:pPr>
        <w:pStyle w:val="Figuretitle"/>
      </w:pPr>
      <w:r w:rsidRPr="001455DC">
        <w:t>Figure 8.28 — CCT nodes and stress fields</w:t>
      </w:r>
    </w:p>
    <w:p w14:paraId="5E78CCDE" w14:textId="4352CE6D" w:rsidR="004E22C1" w:rsidRPr="001455DC" w:rsidRDefault="004E22C1" w:rsidP="008D37B2">
      <w:pPr>
        <w:pStyle w:val="a7"/>
        <w:keepNext/>
      </w:pPr>
      <w:r w:rsidRPr="001455DC">
        <w:t>(4)</w:t>
      </w:r>
      <w:r w:rsidRPr="001455DC">
        <w:tab/>
        <w:t xml:space="preserve">The strength reduction factor </w:t>
      </w:r>
      <w:r w:rsidRPr="001455DC">
        <w:rPr>
          <w:rStyle w:val="CCMCvariableitalic"/>
        </w:rPr>
        <w:t>ν</w:t>
      </w:r>
      <w:r w:rsidRPr="001455DC">
        <w:t xml:space="preserve"> of concrete in nodes</w:t>
      </w:r>
      <w:r w:rsidR="002951BB" w:rsidRPr="001455DC">
        <w:t xml:space="preserve"> </w:t>
      </w:r>
      <w:r w:rsidRPr="001455DC">
        <w:t>may be assumed as:</w:t>
      </w:r>
    </w:p>
    <w:p w14:paraId="5B585C5B" w14:textId="32E241CA" w:rsidR="004E22C1" w:rsidRPr="001455DC" w:rsidRDefault="004E22C1" w:rsidP="000D0D97">
      <w:pPr>
        <w:pStyle w:val="a0"/>
      </w:pPr>
      <w:r w:rsidRPr="001455DC">
        <w:t xml:space="preserve">according to 8.5.2(4) in case the tie is fully anchored inside the nodal region as shown in Figure 8.28c) (case with </w:t>
      </w:r>
      <w:r w:rsidRPr="001455DC">
        <w:rPr>
          <w:rStyle w:val="CCMCvariableitalic"/>
        </w:rPr>
        <w:t>l</w:t>
      </w:r>
      <w:r w:rsidRPr="001455DC">
        <w:rPr>
          <w:rStyle w:val="CCMCvariablesubscript"/>
        </w:rPr>
        <w:t>bdn</w:t>
      </w:r>
      <w:r w:rsidRPr="001455DC">
        <w:t> </w:t>
      </w:r>
      <w:r w:rsidR="00EC27D2" w:rsidRPr="001455DC">
        <w:rPr>
          <w:rFonts w:ascii="Cambria Math" w:hAnsi="Cambria Math"/>
        </w:rPr>
        <w:t>=</w:t>
      </w:r>
      <w:r w:rsidRPr="001455DC">
        <w:t> </w:t>
      </w:r>
      <w:r w:rsidRPr="001455DC">
        <w:rPr>
          <w:rStyle w:val="CCMCvariableitalic"/>
        </w:rPr>
        <w:t>l</w:t>
      </w:r>
      <w:r w:rsidRPr="001455DC">
        <w:rPr>
          <w:rStyle w:val="CCMCvariablesubscript"/>
        </w:rPr>
        <w:t>bd</w:t>
      </w:r>
      <w:r w:rsidRPr="001455DC">
        <w:t>),</w:t>
      </w:r>
    </w:p>
    <w:p w14:paraId="67DBE4A0" w14:textId="5B71DA18" w:rsidR="004E22C1" w:rsidRPr="001455DC" w:rsidRDefault="004E22C1" w:rsidP="000D0D97">
      <w:pPr>
        <w:pStyle w:val="a0"/>
      </w:pPr>
      <w:r w:rsidRPr="001455DC">
        <w:rPr>
          <w:rStyle w:val="CCMCvariableitalic"/>
        </w:rPr>
        <w:t>ν</w:t>
      </w:r>
      <w:r w:rsidRPr="001455DC">
        <w:t> </w:t>
      </w:r>
      <w:r w:rsidR="00EC27D2" w:rsidRPr="001455DC">
        <w:rPr>
          <w:rFonts w:ascii="Cambria Math" w:hAnsi="Cambria Math"/>
        </w:rPr>
        <w:t>=</w:t>
      </w:r>
      <w:r w:rsidRPr="001455DC">
        <w:t> 1,0 in case the tie is fully anchored outside of the nodal region as shown in Figures 8.28b), d) and e),</w:t>
      </w:r>
    </w:p>
    <w:p w14:paraId="79DEB898" w14:textId="581D495C" w:rsidR="004E22C1" w:rsidRPr="001455DC" w:rsidRDefault="004E22C1" w:rsidP="000D0D97">
      <w:pPr>
        <w:pStyle w:val="a0"/>
      </w:pPr>
      <w:r w:rsidRPr="001455DC">
        <w:t>a linear interpolation between the previous values depending on the ratio between the required anchorage length outside of the nodal region and the total required anchorage length.</w:t>
      </w:r>
    </w:p>
    <w:p w14:paraId="705CA3B0" w14:textId="377B573E" w:rsidR="004E22C1" w:rsidRPr="001455DC" w:rsidRDefault="004E22C1" w:rsidP="00243590">
      <w:pPr>
        <w:pStyle w:val="41"/>
      </w:pPr>
      <w:bookmarkStart w:id="656" w:name="_Toc54338058"/>
      <w:r w:rsidRPr="001455DC">
        <w:t>CTT nodes</w:t>
      </w:r>
      <w:bookmarkEnd w:id="656"/>
    </w:p>
    <w:p w14:paraId="2D009C89" w14:textId="77777777" w:rsidR="004E22C1" w:rsidRPr="001455DC" w:rsidRDefault="004E22C1" w:rsidP="008D37B2">
      <w:pPr>
        <w:pStyle w:val="a7"/>
        <w:keepNext/>
      </w:pPr>
      <w:r w:rsidRPr="001455DC">
        <w:t>(1)</w:t>
      </w:r>
      <w:r w:rsidRPr="001455DC">
        <w:tab/>
        <w:t>CTT nodes (Figure 8.29) should be designed according to one of following alternatives:</w:t>
      </w:r>
    </w:p>
    <w:p w14:paraId="0B820884" w14:textId="0A9A21E1" w:rsidR="004E22C1" w:rsidRPr="001455DC" w:rsidRDefault="004E22C1" w:rsidP="000D0D97">
      <w:pPr>
        <w:pStyle w:val="a0"/>
      </w:pPr>
      <w:r w:rsidRPr="001455DC">
        <w:t>with bent bars as shown in Figure 8.29b);</w:t>
      </w:r>
    </w:p>
    <w:p w14:paraId="168D7424" w14:textId="194F0D83" w:rsidR="004E22C1" w:rsidRPr="001455DC" w:rsidRDefault="004E22C1" w:rsidP="000D0D97">
      <w:pPr>
        <w:pStyle w:val="a0"/>
        <w:rPr>
          <w:szCs w:val="22"/>
        </w:rPr>
      </w:pPr>
      <w:r w:rsidRPr="001455DC">
        <w:t>with anchorages outside of the nodal region as shown in Figure 8.29c) or partly inside of the nodal region in a similar manner as in Figure 8.28c). In case the force is anchored with bends, hooks, loops or headed bars, 8.5.4.3(2) applies;</w:t>
      </w:r>
    </w:p>
    <w:p w14:paraId="4BAD47CB" w14:textId="31E84A68" w:rsidR="004E22C1" w:rsidRPr="001455DC" w:rsidRDefault="004E22C1" w:rsidP="000D0D97">
      <w:pPr>
        <w:pStyle w:val="a0"/>
        <w:rPr>
          <w:szCs w:val="22"/>
        </w:rPr>
      </w:pPr>
      <w:r w:rsidRPr="001455DC">
        <w:t>with straight bars inside the nodal region as shown in Figure 8.29d).</w:t>
      </w:r>
    </w:p>
    <w:tbl>
      <w:tblPr>
        <w:tblStyle w:val="a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876"/>
        <w:gridCol w:w="4876"/>
      </w:tblGrid>
      <w:tr w:rsidR="004E22C1" w:rsidRPr="001455DC" w14:paraId="279F58CA" w14:textId="77777777" w:rsidTr="000D0D97">
        <w:trPr>
          <w:cantSplit/>
          <w:jc w:val="center"/>
        </w:trPr>
        <w:tc>
          <w:tcPr>
            <w:tcW w:w="4876" w:type="dxa"/>
          </w:tcPr>
          <w:p w14:paraId="51A811DC" w14:textId="5C7A2AB2" w:rsidR="004E22C1" w:rsidRPr="001455DC" w:rsidRDefault="00723CF7" w:rsidP="000D0D97">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"Y:\\STD_MGT\\STDDEL\\PRODUCTION\\etrans\\Download\\Z_FIRST_DEL\\SV\\00250\\00250269\\41_e_dr\\8_029a.tif"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"Y:\\STD_MGT\\STDDEL\\PRODUCTION\\Standards\\00250\\269\\41_e_dr\\8_029a.tif"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"Y:\\STD_MGT\\STDDEL\\PRODUCTION\\Standards\\00250\\269\\41_e_dr\\8_029a.tif"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"Y:\\STD_MGT\\STDDEL\\PRODUCTION\\Standards\\00250\\269\\41_e_dr\\8_029a.tif"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"Y:\\STD_MGT\\STDDEL\\PRODUCTION\\Standards\\00250\\269\\41_e_dr\\8_029a.tif"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"Y:\\STD_MGT\\STDDEL\\PRODUCTION\\Standards\\00250\\269\\41_e_dr\\8_029a.tif"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 xml:space="preserve">INCLUDEPICTURE  "C:\\Users\\a.dionysiou\\AppData\\Local\\Temp\\Temp1_00250269_e_20210902.zip.zip\\41_e_dr\\8_029a.tif" \* </w:instrText>
            </w:r>
            <w:r w:rsidR="00231E33">
              <w:rPr>
                <w:noProof/>
                <w:lang w:eastAsia="en-GB"/>
              </w:rPr>
              <w:instrText>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03B0A4F7">
                <v:shape id="_x0000_i1194" type="#_x0000_t75" style="width:107.25pt;height:60pt">
                  <v:imagedata r:id="rId358" r:href="rId359"/>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4876" w:type="dxa"/>
          </w:tcPr>
          <w:p w14:paraId="37C1F9F7" w14:textId="7D911D63" w:rsidR="004E22C1" w:rsidRPr="001455DC" w:rsidRDefault="00723CF7" w:rsidP="000D0D97">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"Y:\\STD_MGT\\STDDEL\\PRODUCTION\\etrans\\Download\\Z_FIRST_DEL\\SV\\00250\\00250269\\41_e_dr\\8_029b.tif"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"Y:\\STD_MGT\\STDDEL\\PRODUCTION\\Standards\\00250\\269\\41_e_dr\\8_029b.tif"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"Y:\\STD_MGT\\STDDEL\\PRODUCTION\\Standards\\00250\\269\\41_e_dr\\8_029b.tif"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"Y:\\STD_MGT\\STDDEL\\PRODUCTION\\Standards\\00250\\269\\41_e_dr\\8_029b.tif"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"Y:\\STD_MGT\\STDDEL\\PRODUCTION\\Standards\\00250\\269\\41_e_dr\\8_029b.tif"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"Y:\\STD_MGT\\STDDEL\\PRODUCTION\\Standards\\00250\\269\\41_e_dr\\8_029b.tif"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w:instrText>
            </w:r>
            <w:r w:rsidR="00231E33">
              <w:rPr>
                <w:noProof/>
                <w:lang w:eastAsia="en-GB"/>
              </w:rPr>
              <w:instrText>l\\Temp\\Temp1_00250269_e_20210902.zip.zip\\41_e_dr\\8_029b.tif"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2AB55B8B">
                <v:shape id="_x0000_i1195" type="#_x0000_t75" style="width:94.5pt;height:82.5pt">
                  <v:imagedata r:id="rId360" r:href="rId361"/>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4E22C1" w:rsidRPr="00882C68" w14:paraId="0CDFE949" w14:textId="77777777" w:rsidTr="000D0D97">
        <w:trPr>
          <w:cantSplit/>
          <w:jc w:val="center"/>
        </w:trPr>
        <w:tc>
          <w:tcPr>
            <w:tcW w:w="4876" w:type="dxa"/>
          </w:tcPr>
          <w:p w14:paraId="271E11FB" w14:textId="77777777" w:rsidR="004E22C1" w:rsidRPr="009D3012" w:rsidRDefault="004E22C1" w:rsidP="000D0D97">
            <w:pPr>
              <w:pStyle w:val="FigureText"/>
              <w:jc w:val="center"/>
              <w:rPr>
                <w:bCs/>
                <w:sz w:val="23"/>
              </w:rPr>
            </w:pPr>
            <w:r w:rsidRPr="009D3012">
              <w:rPr>
                <w:bCs/>
              </w:rPr>
              <w:t>a) strut-and-tie model and equilibrium of forces</w:t>
            </w:r>
          </w:p>
        </w:tc>
        <w:tc>
          <w:tcPr>
            <w:tcW w:w="4876" w:type="dxa"/>
          </w:tcPr>
          <w:p w14:paraId="47A4806E" w14:textId="77777777" w:rsidR="004E22C1" w:rsidRPr="009D3012" w:rsidRDefault="004E22C1" w:rsidP="000D0D97">
            <w:pPr>
              <w:pStyle w:val="FigureText"/>
              <w:jc w:val="center"/>
              <w:rPr>
                <w:bCs/>
                <w:sz w:val="23"/>
              </w:rPr>
            </w:pPr>
            <w:r w:rsidRPr="009D3012">
              <w:rPr>
                <w:bCs/>
              </w:rPr>
              <w:t>b) strut-and-tie model and stress field for the deviation force of a bent bar</w:t>
            </w:r>
          </w:p>
        </w:tc>
      </w:tr>
      <w:tr w:rsidR="004E22C1" w:rsidRPr="001455DC" w14:paraId="230D0553" w14:textId="77777777" w:rsidTr="000D0D97">
        <w:trPr>
          <w:cantSplit/>
          <w:jc w:val="center"/>
        </w:trPr>
        <w:tc>
          <w:tcPr>
            <w:tcW w:w="4876" w:type="dxa"/>
          </w:tcPr>
          <w:p w14:paraId="05054986" w14:textId="7343FB3E" w:rsidR="004E22C1" w:rsidRPr="001455DC" w:rsidRDefault="00723CF7" w:rsidP="000D0D97">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"Y:\\STD_MGT\\STDDEL\\PRODUCTION\\etrans\\Download\\Z_FIRST_DEL\\SV\\00250\\00250269\\41_e_dr\\8_029c.tif"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"Y:\\STD_MGT\\STDDEL\\PRODUCTION\\Standards\\00250\\269\\41_e_dr\\8_029c.tif"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"Y:\\STD_MGT\\STDDEL\\PRODUCTION\\Standards\\00250\\269\\41_e_dr\\8_029c.tif"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"Y:\\STD_MGT\\STDDEL\\PRODUCTION\\Standards\\00250\\269\\41_e_dr\\8_029c.tif"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"Y:\\STD_MGT\\STDDEL\\PRODUCTION\\Standards\\00250\\269\\41_e_dr\\8_029c.tif"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"Y:\\STD_MGT\\STDDEL\\PRODUCTION\\Standards\\00250\\269\\41_e_dr\\8_029c.tif"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w:instrText>
            </w:r>
            <w:r w:rsidR="00231E33">
              <w:rPr>
                <w:noProof/>
                <w:lang w:eastAsia="en-GB"/>
              </w:rPr>
              <w:instrText>l\\Temp\\Temp1_00250269_e_20210902.zip.zip\\41_e_dr\\8_029c.tif"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0A85A5BC">
                <v:shape id="_x0000_i1196" type="#_x0000_t75" style="width:133.5pt;height:111.75pt">
                  <v:imagedata r:id="rId362" r:href="rId363"/>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4876" w:type="dxa"/>
          </w:tcPr>
          <w:p w14:paraId="36E24F67" w14:textId="36880AC5" w:rsidR="004E22C1" w:rsidRPr="001455DC" w:rsidRDefault="00723CF7" w:rsidP="000D0D97">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"Y:\\STD_MGT\\STDDEL\\PRODUCTION\\etrans\\Download\\Z_FIRST_DEL\\SV\\00250\\00250269\\41_e_dr\\8_029d.tif"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"Y:\\STD_MGT\\STDDEL\\PRODUCTION\\Standards\\00250\\269\\41_e_dr\\8_029d.tif"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"Y:\\STD_MGT\\STDDEL\\PRODUCTION\\Standards\\00250\\269\\41_e_dr\\8_029d.tif"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"Y:\\STD_MGT\\STDDEL\\PRODUCTION\\Standards\\00250\\269\\41_e_dr\\8_029d.tif"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"Y:\\STD_MGT\\STDDEL\\PRODUCTION\\Standards\\00250\\269\\41_e_dr\\8_029d.tif"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"Y:\\STD_MGT\\STDDEL\\PRODUCTION\\Standards\\00250\\269\\41_e_dr\\8_029d.tif"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w:instrText>
            </w:r>
            <w:r w:rsidR="00231E33">
              <w:rPr>
                <w:noProof/>
                <w:lang w:eastAsia="en-GB"/>
              </w:rPr>
              <w:instrText>l\\Temp\\Temp1_00250269_e_20210902.zip.zip\\41_e_dr\\8_029d.tif"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4433E6A7">
                <v:shape id="_x0000_i1197" type="#_x0000_t75" style="width:147pt;height:127.5pt">
                  <v:imagedata r:id="rId364" r:href="rId365"/>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4E22C1" w:rsidRPr="00882C68" w14:paraId="48D395C9" w14:textId="77777777" w:rsidTr="000D0D97">
        <w:trPr>
          <w:cantSplit/>
          <w:jc w:val="center"/>
        </w:trPr>
        <w:tc>
          <w:tcPr>
            <w:tcW w:w="4876" w:type="dxa"/>
          </w:tcPr>
          <w:p w14:paraId="0FC96378" w14:textId="796F6F7F" w:rsidR="004E22C1" w:rsidRPr="009D3012" w:rsidRDefault="004E22C1" w:rsidP="000D0D97">
            <w:pPr>
              <w:pStyle w:val="FigureText"/>
              <w:jc w:val="center"/>
              <w:rPr>
                <w:bCs/>
              </w:rPr>
            </w:pPr>
            <w:r w:rsidRPr="009D3012">
              <w:rPr>
                <w:bCs/>
              </w:rPr>
              <w:t>c) strut-and-tie model and stress field for anchorages outside the node</w:t>
            </w:r>
          </w:p>
        </w:tc>
        <w:tc>
          <w:tcPr>
            <w:tcW w:w="4876" w:type="dxa"/>
          </w:tcPr>
          <w:p w14:paraId="72B29A3A" w14:textId="2210D060" w:rsidR="004E22C1" w:rsidRPr="009D3012" w:rsidRDefault="004E22C1" w:rsidP="000D0D97">
            <w:pPr>
              <w:pStyle w:val="FigureText"/>
              <w:jc w:val="center"/>
              <w:rPr>
                <w:bCs/>
              </w:rPr>
            </w:pPr>
            <w:r w:rsidRPr="009D3012">
              <w:rPr>
                <w:bCs/>
              </w:rPr>
              <w:t>d) strut-and-tie model and stress field for anchorages inside the node</w:t>
            </w:r>
          </w:p>
        </w:tc>
      </w:tr>
    </w:tbl>
    <w:p w14:paraId="752422CE" w14:textId="77777777" w:rsidR="000D0D97" w:rsidRPr="001455DC" w:rsidRDefault="000D0D97" w:rsidP="000D0D97">
      <w:pPr>
        <w:pStyle w:val="KeyTitle"/>
      </w:pPr>
      <w:r w:rsidRPr="001455DC">
        <w:t>Key</w:t>
      </w:r>
    </w:p>
    <w:tbl>
      <w:tblPr>
        <w:tblW w:w="9809" w:type="dxa"/>
        <w:tblLayout w:type="fixed"/>
        <w:tblCellMar>
          <w:left w:w="28" w:type="dxa"/>
          <w:right w:w="28" w:type="dxa"/>
        </w:tblCellMar>
        <w:tblLook w:val="0000" w:firstRow="0" w:lastRow="0" w:firstColumn="0" w:lastColumn="0" w:noHBand="0" w:noVBand="0"/>
      </w:tblPr>
      <w:tblGrid>
        <w:gridCol w:w="397"/>
        <w:gridCol w:w="9412"/>
      </w:tblGrid>
      <w:tr w:rsidR="000D0D97" w:rsidRPr="001455DC" w14:paraId="60E27259" w14:textId="77777777" w:rsidTr="007E4AE7">
        <w:tc>
          <w:tcPr>
            <w:tcW w:w="397" w:type="dxa"/>
            <w:shd w:val="clear" w:color="auto" w:fill="auto"/>
          </w:tcPr>
          <w:p w14:paraId="06583CA3" w14:textId="1B928819" w:rsidR="000D0D97" w:rsidRPr="001455DC" w:rsidRDefault="000D0D97" w:rsidP="007E4AE7">
            <w:pPr>
              <w:pStyle w:val="KeyText"/>
              <w:tabs>
                <w:tab w:val="clear" w:pos="346"/>
              </w:tabs>
              <w:ind w:left="0" w:firstLine="0"/>
            </w:pPr>
            <w:r w:rsidRPr="001455DC">
              <w:t>A</w:t>
            </w:r>
          </w:p>
        </w:tc>
        <w:tc>
          <w:tcPr>
            <w:tcW w:w="9412" w:type="dxa"/>
            <w:shd w:val="clear" w:color="auto" w:fill="auto"/>
          </w:tcPr>
          <w:p w14:paraId="021B002D" w14:textId="5C6EA3E6" w:rsidR="000D0D97" w:rsidRPr="001455DC" w:rsidRDefault="000D0D97" w:rsidP="007E4AE7">
            <w:pPr>
              <w:pStyle w:val="KeyText"/>
              <w:tabs>
                <w:tab w:val="clear" w:pos="346"/>
              </w:tabs>
              <w:ind w:left="0" w:firstLine="0"/>
            </w:pPr>
            <w:r w:rsidRPr="001455DC">
              <w:t>cross section where the reinforcement force is fully transferred to concrete in compression</w:t>
            </w:r>
          </w:p>
        </w:tc>
      </w:tr>
    </w:tbl>
    <w:p w14:paraId="112E2183" w14:textId="77777777" w:rsidR="004E22C1" w:rsidRPr="001455DC" w:rsidRDefault="004E22C1" w:rsidP="000D0D97">
      <w:pPr>
        <w:pStyle w:val="Figuretitle"/>
      </w:pPr>
      <w:r w:rsidRPr="001455DC">
        <w:t>Figure 8.29 — CTT node and corresponding stress field</w:t>
      </w:r>
    </w:p>
    <w:p w14:paraId="1CECA198" w14:textId="77777777" w:rsidR="004E22C1" w:rsidRPr="001455DC" w:rsidRDefault="004E22C1" w:rsidP="008D37B2">
      <w:pPr>
        <w:pStyle w:val="a7"/>
        <w:keepNext/>
      </w:pPr>
      <w:r w:rsidRPr="001455DC">
        <w:t>(2)</w:t>
      </w:r>
      <w:r w:rsidRPr="001455DC">
        <w:tab/>
        <w:t xml:space="preserve">The strength reduction factor </w:t>
      </w:r>
      <w:r w:rsidRPr="001455DC">
        <w:rPr>
          <w:rStyle w:val="CCMCvariableitalic"/>
        </w:rPr>
        <w:t>ν</w:t>
      </w:r>
      <w:r w:rsidRPr="001455DC">
        <w:t xml:space="preserve"> of concrete at the end of the strut may be assumed as:</w:t>
      </w:r>
    </w:p>
    <w:p w14:paraId="3D0004E2" w14:textId="0E900BED" w:rsidR="004E22C1" w:rsidRPr="001455DC" w:rsidRDefault="004E22C1" w:rsidP="000D0D97">
      <w:pPr>
        <w:pStyle w:val="a0"/>
      </w:pPr>
      <w:r w:rsidRPr="001455DC">
        <w:t xml:space="preserve">according to 8.5.2(4) in the case of bent bars shown in Figure 8.29b), provided that the requirements of the mandrel diameter of </w:t>
      </w:r>
      <w:r w:rsidRPr="001455DC">
        <w:rPr>
          <w:rFonts w:eastAsiaTheme="majorEastAsia" w:cstheme="majorBidi"/>
          <w:bCs/>
          <w:szCs w:val="27"/>
        </w:rPr>
        <w:t>11.3</w:t>
      </w:r>
      <w:r w:rsidRPr="001455DC">
        <w:t xml:space="preserve"> are fulfilled, or in the case that the ties are anchored inside of the nodal region as shown in Figure </w:t>
      </w:r>
      <w:r w:rsidRPr="001455DC">
        <w:rPr>
          <w:rFonts w:eastAsiaTheme="majorEastAsia" w:cstheme="majorBidi"/>
          <w:bCs/>
          <w:szCs w:val="27"/>
        </w:rPr>
        <w:t>8.29d)</w:t>
      </w:r>
      <w:r w:rsidRPr="001455DC">
        <w:t>;</w:t>
      </w:r>
    </w:p>
    <w:p w14:paraId="44C82293" w14:textId="656B84EF" w:rsidR="004E22C1" w:rsidRPr="001455DC" w:rsidRDefault="004E22C1" w:rsidP="000D0D97">
      <w:pPr>
        <w:pStyle w:val="a0"/>
      </w:pPr>
      <w:r w:rsidRPr="001455DC">
        <w:rPr>
          <w:rStyle w:val="CCMCvariableitalic"/>
        </w:rPr>
        <w:t>ν</w:t>
      </w:r>
      <w:r w:rsidRPr="001455DC">
        <w:t> </w:t>
      </w:r>
      <w:r w:rsidR="00EC27D2" w:rsidRPr="001455DC">
        <w:rPr>
          <w:rFonts w:ascii="Cambria Math" w:hAnsi="Cambria Math"/>
        </w:rPr>
        <w:t>=</w:t>
      </w:r>
      <w:r w:rsidRPr="001455DC">
        <w:t> 1,0 in case the tie is fully anchored outside of the nodal region as shown in Figure 8.29c).</w:t>
      </w:r>
    </w:p>
    <w:p w14:paraId="4CE33E63" w14:textId="2D1FE527" w:rsidR="004E22C1" w:rsidRPr="001455DC" w:rsidRDefault="004E22C1" w:rsidP="00243590">
      <w:pPr>
        <w:pStyle w:val="31"/>
      </w:pPr>
      <w:bookmarkStart w:id="657" w:name="_Toc52820002"/>
      <w:bookmarkStart w:id="658" w:name="_Toc54337394"/>
      <w:bookmarkStart w:id="659" w:name="_Toc54338059"/>
      <w:bookmarkStart w:id="660" w:name="_Toc67565403"/>
      <w:r w:rsidRPr="001455DC">
        <w:t>Spreading of struts</w:t>
      </w:r>
      <w:bookmarkEnd w:id="657"/>
      <w:bookmarkEnd w:id="658"/>
      <w:bookmarkEnd w:id="659"/>
      <w:bookmarkEnd w:id="660"/>
    </w:p>
    <w:p w14:paraId="44DD45C3" w14:textId="77777777" w:rsidR="004E22C1" w:rsidRPr="001455DC" w:rsidRDefault="004E22C1" w:rsidP="00CD6899">
      <w:pPr>
        <w:pStyle w:val="a7"/>
      </w:pPr>
      <w:r w:rsidRPr="001455DC">
        <w:rPr>
          <w:rFonts w:eastAsiaTheme="majorEastAsia"/>
        </w:rPr>
        <w:t>(1)</w:t>
      </w:r>
      <w:r w:rsidRPr="001455DC">
        <w:rPr>
          <w:rFonts w:eastAsiaTheme="majorEastAsia"/>
        </w:rPr>
        <w:tab/>
      </w:r>
      <w:r w:rsidRPr="001455DC">
        <w:t xml:space="preserve">Unless a detailed analysis is performed on the serviceability and ultimate limit state conditions (according for instance to </w:t>
      </w:r>
      <w:r w:rsidRPr="001455DC">
        <w:rPr>
          <w:rFonts w:eastAsiaTheme="majorEastAsia" w:cstheme="majorBidi"/>
          <w:bCs/>
        </w:rPr>
        <w:t>7.7</w:t>
      </w:r>
      <w:r w:rsidRPr="001455DC">
        <w:t>), the transverse reinforcement for concentrated forces applied in a plane stress state and spreading into a member shall satisfy the rules provided in </w:t>
      </w:r>
      <w:r w:rsidRPr="001455DC">
        <w:rPr>
          <w:rFonts w:eastAsiaTheme="majorEastAsia" w:cstheme="majorBidi"/>
          <w:bCs/>
        </w:rPr>
        <w:t>8.5.5</w:t>
      </w:r>
      <w:r w:rsidRPr="001455DC">
        <w:t>.</w:t>
      </w:r>
    </w:p>
    <w:p w14:paraId="5AA83BC6" w14:textId="77777777" w:rsidR="000D0D97" w:rsidRPr="001455DC" w:rsidRDefault="004E22C1" w:rsidP="008D37B2">
      <w:pPr>
        <w:pStyle w:val="a7"/>
        <w:keepNext/>
      </w:pPr>
      <w:r w:rsidRPr="001455DC">
        <w:t>(2)</w:t>
      </w:r>
      <w:r w:rsidRPr="001455DC">
        <w:tab/>
      </w:r>
      <w:r w:rsidRPr="001455DC">
        <w:rPr>
          <w:rFonts w:eastAsiaTheme="majorEastAsia"/>
        </w:rPr>
        <w:t>The reinforcement for carrying spreading forces may be dimensioned and arranged according to the stress fields or the strut-and-tie model shown in Figure 8.30:</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0D0D97" w:rsidRPr="001455DC" w14:paraId="6A1536ED" w14:textId="77777777" w:rsidTr="007E4AE7">
        <w:trPr>
          <w:cantSplit/>
        </w:trPr>
        <w:tc>
          <w:tcPr>
            <w:tcW w:w="8505" w:type="dxa"/>
            <w:vAlign w:val="center"/>
          </w:tcPr>
          <w:p w14:paraId="030A12AB" w14:textId="634DB088" w:rsidR="000D0D97" w:rsidRPr="001455DC" w:rsidRDefault="00231E33" w:rsidP="007E4AE7">
            <w:pPr>
              <w:pStyle w:val="Formula"/>
              <w:jc w:val="left"/>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td</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d</m:t>
                        </m:r>
                      </m:sub>
                    </m:sSub>
                  </m:num>
                  <m:den>
                    <m:r>
                      <w:rPr>
                        <w:rFonts w:ascii="Cambria Math" w:hAnsi="Cambria Math"/>
                      </w:rPr>
                      <m:t>2</m:t>
                    </m:r>
                  </m:den>
                </m:f>
                <m:r>
                  <m:rPr>
                    <m:sty m:val="p"/>
                  </m:rPr>
                  <w:rPr>
                    <w:rFonts w:ascii="Cambria Math" w:hAnsi="Cambria Math"/>
                  </w:rPr>
                  <m:t>tan</m:t>
                </m:r>
                <m:sSub>
                  <m:sSubPr>
                    <m:ctrlPr>
                      <w:rPr>
                        <w:rFonts w:ascii="Cambria Math" w:hAnsi="Cambria Math"/>
                      </w:rPr>
                    </m:ctrlPr>
                  </m:sSubPr>
                  <m:e>
                    <m:r>
                      <w:rPr>
                        <w:rFonts w:ascii="Cambria Math" w:hAnsi="Cambria Math"/>
                      </w:rPr>
                      <m:t>θ</m:t>
                    </m:r>
                  </m:e>
                  <m:sub>
                    <m:r>
                      <m:rPr>
                        <m:sty m:val="p"/>
                      </m:rPr>
                      <w:rPr>
                        <w:rFonts w:ascii="Cambria Math" w:hAnsi="Cambria Math"/>
                      </w:rPr>
                      <m:t>cf</m:t>
                    </m:r>
                  </m:sub>
                </m:sSub>
              </m:oMath>
            </m:oMathPara>
          </w:p>
        </w:tc>
        <w:tc>
          <w:tcPr>
            <w:tcW w:w="1247" w:type="dxa"/>
            <w:vAlign w:val="center"/>
          </w:tcPr>
          <w:p w14:paraId="347AE7A3" w14:textId="0E4FB6AD" w:rsidR="000D0D97" w:rsidRPr="001455DC" w:rsidRDefault="000D0D97">
            <w:pPr>
              <w:pStyle w:val="a7"/>
              <w:jc w:val="right"/>
            </w:pPr>
            <w:r w:rsidRPr="001455DC">
              <w:t>(8.</w:t>
            </w:r>
            <w:r w:rsidR="00B023FE" w:rsidRPr="001455DC">
              <w:t>102</w:t>
            </w:r>
            <w:r w:rsidRPr="001455DC">
              <w:t>)</w:t>
            </w:r>
          </w:p>
        </w:tc>
      </w:tr>
    </w:tbl>
    <w:p w14:paraId="2D944DC8" w14:textId="77777777" w:rsidR="00C603F8" w:rsidRPr="001455DC" w:rsidRDefault="004E22C1" w:rsidP="008D37B2">
      <w:pPr>
        <w:pStyle w:val="a7"/>
        <w:keepNext/>
      </w:pPr>
      <w:r w:rsidRPr="001455DC">
        <w:rPr>
          <w:rFonts w:eastAsiaTheme="majorEastAsia"/>
        </w:rPr>
        <w:t xml:space="preserve">where the spreading angle </w:t>
      </w:r>
      <w:r w:rsidRPr="001455DC">
        <w:rPr>
          <w:rStyle w:val="CCMCvariableitalic"/>
        </w:rPr>
        <w:t>θ</w:t>
      </w:r>
      <w:r w:rsidRPr="001455DC">
        <w:rPr>
          <w:rStyle w:val="CCMCvariablesubscript"/>
        </w:rPr>
        <w:t>cf</w:t>
      </w:r>
      <w:r w:rsidRPr="001455DC">
        <w:rPr>
          <w:rFonts w:eastAsiaTheme="majorEastAsia"/>
        </w:rPr>
        <w:t xml:space="preserve"> may be assumed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C603F8" w:rsidRPr="001455DC" w14:paraId="3AAAA37F" w14:textId="77777777" w:rsidTr="00C603F8">
        <w:trPr>
          <w:cantSplit/>
        </w:trPr>
        <w:tc>
          <w:tcPr>
            <w:tcW w:w="8505" w:type="dxa"/>
            <w:vAlign w:val="center"/>
          </w:tcPr>
          <w:p w14:paraId="2D78AB5A" w14:textId="498190E4" w:rsidR="00C603F8" w:rsidRPr="001455DC" w:rsidRDefault="000D0D97" w:rsidP="00C603F8">
            <w:pPr>
              <w:pStyle w:val="Formula"/>
              <w:jc w:val="left"/>
            </w:pPr>
            <m:oMathPara>
              <m:oMathParaPr>
                <m:jc m:val="left"/>
              </m:oMathParaPr>
              <m:oMath>
                <m:r>
                  <m:rPr>
                    <m:sty m:val="p"/>
                  </m:rPr>
                  <w:rPr>
                    <w:rFonts w:ascii="Cambria Math" w:hAnsi="Cambria Math"/>
                  </w:rPr>
                  <m:t>tan</m:t>
                </m:r>
                <m:sSub>
                  <m:sSubPr>
                    <m:ctrlPr>
                      <w:rPr>
                        <w:rFonts w:ascii="Cambria Math" w:hAnsi="Cambria Math"/>
                      </w:rPr>
                    </m:ctrlPr>
                  </m:sSubPr>
                  <m:e>
                    <m:r>
                      <w:rPr>
                        <w:rFonts w:ascii="Cambria Math" w:hAnsi="Cambria Math"/>
                      </w:rPr>
                      <m:t>θ</m:t>
                    </m:r>
                  </m:e>
                  <m:sub>
                    <m:r>
                      <m:rPr>
                        <m:sty m:val="p"/>
                      </m:rPr>
                      <w:rPr>
                        <w:rFonts w:ascii="Cambria Math" w:hAnsi="Cambria Math"/>
                      </w:rPr>
                      <m:t>cf</m:t>
                    </m:r>
                  </m:sub>
                </m:sSub>
                <m:r>
                  <w:rPr>
                    <w:rFonts w:ascii="Cambria Math" w:hAnsi="Cambria Math"/>
                  </w:rPr>
                  <m:t>=</m:t>
                </m:r>
                <m:f>
                  <m:fPr>
                    <m:ctrlPr>
                      <w:rPr>
                        <w:rFonts w:ascii="Cambria Math" w:hAnsi="Cambria Math"/>
                      </w:rPr>
                    </m:ctrlPr>
                  </m:fPr>
                  <m:num>
                    <m:r>
                      <w:rPr>
                        <w:rFonts w:ascii="Cambria Math" w:hAnsi="Cambria Math"/>
                      </w:rPr>
                      <m:t>1-</m:t>
                    </m:r>
                    <m:f>
                      <m:fPr>
                        <m:type m:val="lin"/>
                        <m:ctrlPr>
                          <w:rPr>
                            <w:rFonts w:ascii="Cambria Math" w:hAnsi="Cambria Math"/>
                          </w:rPr>
                        </m:ctrlPr>
                      </m:fPr>
                      <m:num>
                        <m:r>
                          <w:rPr>
                            <w:rFonts w:ascii="Cambria Math" w:hAnsi="Cambria Math"/>
                          </w:rPr>
                          <m:t>a</m:t>
                        </m:r>
                      </m:num>
                      <m:den>
                        <m:r>
                          <w:rPr>
                            <w:rFonts w:ascii="Cambria Math" w:hAnsi="Cambria Math"/>
                          </w:rPr>
                          <m:t>b</m:t>
                        </m:r>
                      </m:den>
                    </m:f>
                  </m:num>
                  <m:den>
                    <m:r>
                      <w:rPr>
                        <w:rFonts w:ascii="Cambria Math" w:hAnsi="Cambria Math"/>
                      </w:rPr>
                      <m:t>2</m:t>
                    </m:r>
                  </m:den>
                </m:f>
              </m:oMath>
            </m:oMathPara>
          </w:p>
        </w:tc>
        <w:tc>
          <w:tcPr>
            <w:tcW w:w="1247" w:type="dxa"/>
            <w:vAlign w:val="center"/>
          </w:tcPr>
          <w:p w14:paraId="0952704B" w14:textId="231FCAEA" w:rsidR="00C603F8" w:rsidRPr="001455DC" w:rsidRDefault="000D0D97">
            <w:pPr>
              <w:pStyle w:val="a7"/>
              <w:jc w:val="right"/>
            </w:pPr>
            <w:r w:rsidRPr="001455DC">
              <w:t>(8.</w:t>
            </w:r>
            <w:r w:rsidR="00B023FE" w:rsidRPr="001455DC">
              <w:t>103</w:t>
            </w:r>
            <w:r w:rsidRPr="001455DC">
              <w:t>)</w:t>
            </w:r>
          </w:p>
        </w:tc>
      </w:tr>
    </w:tbl>
    <w:p w14:paraId="0B508B93" w14:textId="3D150C4F" w:rsidR="004E22C1" w:rsidRPr="001455DC" w:rsidRDefault="004E22C1" w:rsidP="00CD6899">
      <w:pPr>
        <w:pStyle w:val="a7"/>
        <w:rPr>
          <w:rFonts w:eastAsiaTheme="majorEastAsia"/>
        </w:rPr>
      </w:pPr>
      <w:r w:rsidRPr="001455DC">
        <w:rPr>
          <w:rFonts w:eastAsiaTheme="majorEastAsia"/>
        </w:rPr>
        <w:t xml:space="preserve">where </w:t>
      </w:r>
      <w:r w:rsidRPr="001455DC">
        <w:rPr>
          <w:rStyle w:val="CCMCvariableitalic"/>
        </w:rPr>
        <w:t>a</w:t>
      </w:r>
      <w:r w:rsidRPr="001455DC">
        <w:rPr>
          <w:rFonts w:eastAsiaTheme="majorEastAsia"/>
        </w:rPr>
        <w:t xml:space="preserve"> and </w:t>
      </w:r>
      <w:r w:rsidRPr="001455DC">
        <w:rPr>
          <w:rStyle w:val="CCMCvariableitalic"/>
        </w:rPr>
        <w:t>b</w:t>
      </w:r>
      <w:r w:rsidRPr="001455DC">
        <w:rPr>
          <w:rFonts w:eastAsiaTheme="majorEastAsia"/>
        </w:rPr>
        <w:t xml:space="preserve"> are defined in Figure 8.30a). For the case shown in Figures 8.30c) </w:t>
      </w:r>
      <w:r w:rsidRPr="001455DC">
        <w:t xml:space="preserve">and </w:t>
      </w:r>
      <w:r w:rsidRPr="001455DC">
        <w:rPr>
          <w:rFonts w:eastAsiaTheme="majorEastAsia"/>
        </w:rPr>
        <w:t>d) (</w:t>
      </w:r>
      <w:r w:rsidRPr="001455DC">
        <w:rPr>
          <w:rStyle w:val="CCMCvariableitalic"/>
        </w:rPr>
        <w:t>b</w:t>
      </w:r>
      <w:r w:rsidRPr="001455DC">
        <w:rPr>
          <w:rFonts w:eastAsiaTheme="majorEastAsia"/>
        </w:rPr>
        <w:t> </w:t>
      </w:r>
      <w:r w:rsidR="00650035" w:rsidRPr="001455DC">
        <w:rPr>
          <w:rFonts w:ascii="Cambria Math" w:eastAsiaTheme="majorEastAsia" w:hAnsi="Cambria Math"/>
        </w:rPr>
        <w:t>&gt;</w:t>
      </w:r>
      <w:r w:rsidR="00073FC6" w:rsidRPr="001455DC">
        <w:rPr>
          <w:rFonts w:eastAsiaTheme="majorEastAsia"/>
        </w:rPr>
        <w:t> </w:t>
      </w:r>
      <w:r w:rsidRPr="001455DC">
        <w:rPr>
          <w:rStyle w:val="CCMCvariableitalic"/>
        </w:rPr>
        <w:t>a</w:t>
      </w:r>
      <w:r w:rsidR="00EC27D2" w:rsidRPr="001455DC">
        <w:rPr>
          <w:rFonts w:ascii="Cambria Math" w:eastAsiaTheme="majorEastAsia" w:hAnsi="Cambria Math"/>
        </w:rPr>
        <w:t> + </w:t>
      </w:r>
      <w:r w:rsidRPr="001455DC">
        <w:rPr>
          <w:rStyle w:val="CCMCvariableitalic"/>
        </w:rPr>
        <w:t>H</w:t>
      </w:r>
      <w:r w:rsidRPr="001455DC">
        <w:rPr>
          <w:rFonts w:eastAsiaTheme="majorEastAsia"/>
        </w:rPr>
        <w:t xml:space="preserve">/2), the ratio </w:t>
      </w:r>
      <w:r w:rsidRPr="001455DC">
        <w:rPr>
          <w:rStyle w:val="CCMCvariableitalic"/>
        </w:rPr>
        <w:t>a</w:t>
      </w:r>
      <w:r w:rsidRPr="001455DC">
        <w:rPr>
          <w:rFonts w:eastAsiaTheme="majorEastAsia"/>
        </w:rPr>
        <w:t>/</w:t>
      </w:r>
      <w:r w:rsidRPr="001455DC">
        <w:rPr>
          <w:rStyle w:val="CCMCvariableitalic"/>
        </w:rPr>
        <w:t>b</w:t>
      </w:r>
      <w:r w:rsidRPr="001455DC">
        <w:rPr>
          <w:rFonts w:eastAsiaTheme="majorEastAsia"/>
        </w:rPr>
        <w:t xml:space="preserve"> should be assumed equal to 0.</w:t>
      </w:r>
    </w:p>
    <w:p w14:paraId="2C072AAB" w14:textId="77777777" w:rsidR="004E22C1" w:rsidRPr="001455DC" w:rsidRDefault="004E22C1" w:rsidP="00CD6899">
      <w:pPr>
        <w:pStyle w:val="a7"/>
        <w:rPr>
          <w:rFonts w:eastAsiaTheme="majorEastAsia"/>
        </w:rPr>
      </w:pPr>
      <w:r w:rsidRPr="001455DC">
        <w:rPr>
          <w:rFonts w:eastAsiaTheme="majorEastAsia"/>
        </w:rPr>
        <w:t xml:space="preserve">Alternative approaches for design of the reinforcement may be used, provided that the spreading angles and corresponding reinforcement layout are derived from a stress field fulfilling the requirements of 8.5.2 </w:t>
      </w:r>
      <w:r w:rsidRPr="001455DC">
        <w:t xml:space="preserve">to </w:t>
      </w:r>
      <w:r w:rsidRPr="001455DC">
        <w:rPr>
          <w:rFonts w:eastAsiaTheme="majorEastAsia"/>
        </w:rPr>
        <w:t>8.5.4.</w:t>
      </w:r>
    </w:p>
    <w:tbl>
      <w:tblPr>
        <w:tblStyle w:val="a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876"/>
        <w:gridCol w:w="4876"/>
      </w:tblGrid>
      <w:tr w:rsidR="00C603F8" w:rsidRPr="001455DC" w14:paraId="6A8673E5" w14:textId="77777777" w:rsidTr="000D0D97">
        <w:trPr>
          <w:cantSplit/>
          <w:jc w:val="center"/>
        </w:trPr>
        <w:tc>
          <w:tcPr>
            <w:tcW w:w="4946" w:type="dxa"/>
          </w:tcPr>
          <w:p w14:paraId="498FE4B1" w14:textId="7859F522" w:rsidR="00C603F8" w:rsidRPr="001455DC" w:rsidRDefault="00723CF7" w:rsidP="00C603F8">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"Y:\\STD_MGT\\STDDEL\\PRODUCTION\\etrans\\Download\\Z_FIRST_DEL\\SV\\00250\\00250269\\41_e_dr\\8_030ab.tif"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"Y:\\STD_MGT\\STDDEL\\PRODUCTION\\Standards\\00250\\269\\41_e_dr\\8_030ab.tif"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"Y:\\STD_MGT\\STDDEL\\PRODUCTION\\Standards\\00250\\269\\41_e_dr\\8_030ab.tif"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"Y:\\STD_MGT\\STDDEL\\PRODUCTION\\Standards\\00250\\269\\41_e_dr\\8_030ab.tif"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"Y:\\STD_MGT\\STDDEL\\PRODUCTION\\Standards\\00250\\269\\41_e_dr\\8_030ab.tif"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"Y:\\STD_MGT\\STDDEL\\PRODUCTION\\Standards\\00250\\269\\41_e_dr\\8_030ab.tif"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w:instrText>
            </w:r>
            <w:r w:rsidR="00231E33">
              <w:rPr>
                <w:noProof/>
                <w:lang w:eastAsia="en-GB"/>
              </w:rPr>
              <w:instrText>\\Local\\Temp\\Temp1_00250269_e_20210902.zip.zip\\41_e_dr\\8_030ab.tif"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162467D7">
                <v:shape id="_x0000_i1198" type="#_x0000_t75" style="width:210.75pt;height:225pt">
                  <v:imagedata r:id="rId366" r:href="rId367"/>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4946" w:type="dxa"/>
          </w:tcPr>
          <w:p w14:paraId="3045381D" w14:textId="52E41879" w:rsidR="00C603F8" w:rsidRPr="001455DC" w:rsidRDefault="00723CF7" w:rsidP="00C603F8">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"Y:\\STD_MGT\\STDDEL\\PRODUCTION\\etrans\\Download\\Z_FIRST_DEL\\SV\\00250\\00250269\\41_e_dr\\8_030cd.tif"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"Y:\\STD_MGT\\STDDEL\\PRODUCTION\\Standards\\00250\\269\\41_e_dr\\8_030cd.tif"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"Y:\\STD_MGT\\STDDEL\\PRODUCTION\\Standards\\00250\\269\\41_e_dr\\8_030cd.tif"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"Y:\\STD_MGT\\STDDEL\\PRODUCTION\\Standards\\00250\\269\\41_e_dr\\8_030cd.tif"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"Y:\\STD_MGT\\STDDEL\\PRODUCTION\\Standards\\00250\\269\\41_e_dr\\8_030cd.tif"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"Y:\\STD_MGT\\STDDEL\\PRODUCTION\\Standards\\00250\\269\\41_e_dr\\8_030cd.tif"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w:instrText>
            </w:r>
            <w:r w:rsidR="00231E33">
              <w:rPr>
                <w:noProof/>
                <w:lang w:eastAsia="en-GB"/>
              </w:rPr>
              <w:instrText>\\Local\\Temp\\Temp1_00250269_e_20210902.zip.zip\\41_e_dr\\8_030cd.tif"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0DB06E69">
                <v:shape id="_x0000_i1199" type="#_x0000_t75" style="width:201.75pt;height:199.5pt">
                  <v:imagedata r:id="rId368" r:href="rId369"/>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C603F8" w:rsidRPr="001455DC" w14:paraId="369AF2A5" w14:textId="77777777" w:rsidTr="000D0D97">
        <w:trPr>
          <w:cantSplit/>
          <w:jc w:val="center"/>
        </w:trPr>
        <w:tc>
          <w:tcPr>
            <w:tcW w:w="4946" w:type="dxa"/>
          </w:tcPr>
          <w:p w14:paraId="4318FD58" w14:textId="16D3A340" w:rsidR="00C603F8" w:rsidRPr="001455DC" w:rsidRDefault="00C603F8" w:rsidP="00C603F8">
            <w:pPr>
              <w:pStyle w:val="FigureText"/>
              <w:jc w:val="center"/>
            </w:pPr>
            <w:r w:rsidRPr="001455DC">
              <w:rPr>
                <w:b/>
                <w:bCs/>
              </w:rPr>
              <w:t>a) and b) narrow element</w:t>
            </w:r>
          </w:p>
        </w:tc>
        <w:tc>
          <w:tcPr>
            <w:tcW w:w="4946" w:type="dxa"/>
          </w:tcPr>
          <w:p w14:paraId="30BBFB0D" w14:textId="32FA1222" w:rsidR="00C603F8" w:rsidRPr="001455DC" w:rsidRDefault="00C603F8" w:rsidP="00C603F8">
            <w:pPr>
              <w:pStyle w:val="FigureText"/>
              <w:jc w:val="center"/>
            </w:pPr>
            <w:r w:rsidRPr="001455DC">
              <w:rPr>
                <w:b/>
                <w:bCs/>
              </w:rPr>
              <w:t>c) and d) wide element</w:t>
            </w:r>
          </w:p>
        </w:tc>
      </w:tr>
    </w:tbl>
    <w:p w14:paraId="7A788BD4" w14:textId="77777777" w:rsidR="004E22C1" w:rsidRPr="001455DC" w:rsidRDefault="004E22C1" w:rsidP="00C603F8">
      <w:pPr>
        <w:pStyle w:val="Figuretitle"/>
      </w:pPr>
      <w:r w:rsidRPr="001455DC">
        <w:t>Figure 8.30 — Spreading of concentrated forces, stress fields and strut-an-tie models</w:t>
      </w:r>
    </w:p>
    <w:p w14:paraId="42AD9192" w14:textId="77777777" w:rsidR="00C603F8" w:rsidRPr="001455DC" w:rsidRDefault="004E22C1" w:rsidP="008D37B2">
      <w:pPr>
        <w:pStyle w:val="a7"/>
        <w:keepNext/>
      </w:pPr>
      <w:r w:rsidRPr="001455DC">
        <w:t>(3)</w:t>
      </w:r>
      <w:r w:rsidRPr="001455DC">
        <w:tab/>
      </w:r>
      <w:r w:rsidRPr="001455DC">
        <w:rPr>
          <w:rFonts w:eastAsiaTheme="majorEastAsia"/>
        </w:rPr>
        <w:t>In case of concentrated forces acting close to an edge, transverse reinforcement should be placed, to take the force according to the concentrated stress field in Figure 8.31:</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C603F8" w:rsidRPr="001455DC" w14:paraId="707F4AEE" w14:textId="77777777" w:rsidTr="00C603F8">
        <w:trPr>
          <w:cantSplit/>
        </w:trPr>
        <w:tc>
          <w:tcPr>
            <w:tcW w:w="8505" w:type="dxa"/>
            <w:vAlign w:val="center"/>
          </w:tcPr>
          <w:p w14:paraId="17B678BD" w14:textId="1B9E5924" w:rsidR="00C603F8" w:rsidRPr="001455DC" w:rsidRDefault="00231E33" w:rsidP="00C603F8">
            <w:pPr>
              <w:pStyle w:val="Formula"/>
              <w:jc w:val="left"/>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td</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d</m:t>
                    </m:r>
                  </m:sub>
                </m:sSub>
                <m:r>
                  <w:rPr>
                    <w:rFonts w:ascii="Cambria Math" w:hAnsi="Cambria Math"/>
                  </w:rPr>
                  <m:t>⋅</m:t>
                </m:r>
                <m:r>
                  <m:rPr>
                    <m:sty m:val="p"/>
                  </m:rPr>
                  <w:rPr>
                    <w:rFonts w:ascii="Cambria Math" w:hAnsi="Cambria Math"/>
                  </w:rPr>
                  <m:t>tan</m:t>
                </m:r>
                <m:sSub>
                  <m:sSubPr>
                    <m:ctrlPr>
                      <w:rPr>
                        <w:rFonts w:ascii="Cambria Math" w:hAnsi="Cambria Math"/>
                      </w:rPr>
                    </m:ctrlPr>
                  </m:sSubPr>
                  <m:e>
                    <m:r>
                      <w:rPr>
                        <w:rFonts w:ascii="Cambria Math" w:hAnsi="Cambria Math"/>
                      </w:rPr>
                      <m:t>θ</m:t>
                    </m:r>
                  </m:e>
                  <m:sub>
                    <m:r>
                      <m:rPr>
                        <m:sty m:val="p"/>
                      </m:rPr>
                      <w:rPr>
                        <w:rFonts w:ascii="Cambria Math" w:hAnsi="Cambria Math"/>
                      </w:rPr>
                      <m:t>cf</m:t>
                    </m:r>
                  </m:sub>
                </m:sSub>
              </m:oMath>
            </m:oMathPara>
          </w:p>
        </w:tc>
        <w:tc>
          <w:tcPr>
            <w:tcW w:w="1247" w:type="dxa"/>
            <w:vAlign w:val="center"/>
          </w:tcPr>
          <w:p w14:paraId="4E42B750" w14:textId="15B8321A" w:rsidR="00C603F8" w:rsidRPr="001455DC" w:rsidRDefault="00C603F8">
            <w:pPr>
              <w:pStyle w:val="a7"/>
              <w:jc w:val="right"/>
            </w:pPr>
            <w:r w:rsidRPr="001455DC">
              <w:t>(8.</w:t>
            </w:r>
            <w:r w:rsidR="00462181" w:rsidRPr="001455DC">
              <w:t>104</w:t>
            </w:r>
            <w:r w:rsidRPr="001455DC">
              <w:t>)</w:t>
            </w:r>
          </w:p>
        </w:tc>
      </w:tr>
    </w:tbl>
    <w:p w14:paraId="1BFF1FF1" w14:textId="214BEAC8" w:rsidR="004E22C1" w:rsidRPr="001455DC" w:rsidRDefault="004E22C1" w:rsidP="00CD6899">
      <w:pPr>
        <w:pStyle w:val="a7"/>
        <w:rPr>
          <w:rFonts w:eastAsiaTheme="majorEastAsia"/>
        </w:rPr>
      </w:pPr>
      <w:r w:rsidRPr="001455DC">
        <w:t>where tan</w:t>
      </w:r>
      <w:r w:rsidRPr="001455DC">
        <w:rPr>
          <w:rStyle w:val="CCMCvariableitalic"/>
        </w:rPr>
        <w:t>θ</w:t>
      </w:r>
      <w:r w:rsidRPr="001455DC">
        <w:rPr>
          <w:rStyle w:val="CCMCvariablesubscript"/>
        </w:rPr>
        <w:t>cf</w:t>
      </w:r>
      <w:r w:rsidRPr="001455DC">
        <w:t> </w:t>
      </w:r>
      <w:r w:rsidR="00650035" w:rsidRPr="001455DC">
        <w:rPr>
          <w:rFonts w:ascii="Cambria Math" w:hAnsi="Cambria Math"/>
        </w:rPr>
        <w:t>≥</w:t>
      </w:r>
      <w:r w:rsidR="00073FC6" w:rsidRPr="001455DC">
        <w:t> </w:t>
      </w:r>
      <w:r w:rsidRPr="001455DC">
        <w:t xml:space="preserve">1/4 may be assumed. </w:t>
      </w:r>
      <w:r w:rsidRPr="001455DC">
        <w:rPr>
          <w:rFonts w:eastAsiaTheme="majorEastAsia"/>
        </w:rPr>
        <w:t>The nodal region, in this case may be considered as a CCT node.</w:t>
      </w:r>
    </w:p>
    <w:tbl>
      <w:tblPr>
        <w:tblStyle w:val="a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876"/>
        <w:gridCol w:w="4876"/>
      </w:tblGrid>
      <w:tr w:rsidR="00491BE1" w:rsidRPr="001455DC" w14:paraId="28AA854E" w14:textId="77777777" w:rsidTr="00CF4D97">
        <w:trPr>
          <w:cantSplit/>
          <w:jc w:val="center"/>
        </w:trPr>
        <w:tc>
          <w:tcPr>
            <w:tcW w:w="9752" w:type="dxa"/>
            <w:gridSpan w:val="2"/>
          </w:tcPr>
          <w:p w14:paraId="70953F4E" w14:textId="7437EB5A" w:rsidR="00491BE1" w:rsidRPr="001455DC" w:rsidRDefault="00723CF7">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"Y:\\STD_MGT\\STDDEL\\PRODUCTION\\etrans\\Download\\Z_FIRST_DEL\\SV\\00250\\00250269\\41_e_dr\\8_031.tif"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"Y:\\STD_MGT\\STDDEL\\PRODUCTION\\Standards\\00250\\269\\41_e_dr\\8_031.tif"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"Y:\\STD_MGT\\STDDEL\\PRODUCTION\\Standards\\00250\\269\\41_e_dr\\8_031.tif"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"Y:\\STD_MGT\\STDDEL\\PRODUCTION\\Standards\\00250\\269\\41_e_dr\\8_031.tif"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"Y:\\STD_MGT\\STDDEL\\PRODUCTION\\Standards\\00250\\269\\41_e_dr\\8_031.tif"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"Y:\\STD_MGT\\STDDEL\\PRODUCTION\\Standards\\00250\\269\\41_e_dr\\8_031.tif"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"C:\\Users\\a.dionysiou\\AppData\\Local\\Temp\\Temp1_00250269_e_20210902.zip.zip\\41_e_dr\\8_031.tif"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44887AAD">
                <v:shape id="_x0000_i1200" type="#_x0000_t75" style="width:210.75pt;height:120pt">
                  <v:imagedata r:id="rId370" r:href="rId371"/>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C603F8" w:rsidRPr="001455DC" w14:paraId="7326D0A8" w14:textId="77777777" w:rsidTr="00491BE1">
        <w:trPr>
          <w:cantSplit/>
          <w:jc w:val="center"/>
        </w:trPr>
        <w:tc>
          <w:tcPr>
            <w:tcW w:w="4876" w:type="dxa"/>
          </w:tcPr>
          <w:p w14:paraId="30C8BF74" w14:textId="4817F96D" w:rsidR="00C603F8" w:rsidRPr="001455DC" w:rsidRDefault="00C603F8" w:rsidP="00C603F8">
            <w:pPr>
              <w:pStyle w:val="FigureText"/>
              <w:jc w:val="center"/>
            </w:pPr>
            <w:r w:rsidRPr="001455DC">
              <w:rPr>
                <w:b/>
              </w:rPr>
              <w:t>a) stress field</w:t>
            </w:r>
          </w:p>
        </w:tc>
        <w:tc>
          <w:tcPr>
            <w:tcW w:w="4876" w:type="dxa"/>
          </w:tcPr>
          <w:p w14:paraId="20658EDF" w14:textId="6A1BF794" w:rsidR="00C603F8" w:rsidRPr="001455DC" w:rsidRDefault="00C603F8" w:rsidP="00C603F8">
            <w:pPr>
              <w:pStyle w:val="FigureText"/>
              <w:jc w:val="center"/>
            </w:pPr>
            <w:r w:rsidRPr="001455DC">
              <w:rPr>
                <w:b/>
              </w:rPr>
              <w:t>b) corresponding strut-and-tie model</w:t>
            </w:r>
          </w:p>
        </w:tc>
      </w:tr>
    </w:tbl>
    <w:p w14:paraId="78B5C51F" w14:textId="77777777" w:rsidR="004E22C1" w:rsidRPr="001455DC" w:rsidRDefault="004E22C1" w:rsidP="00C603F8">
      <w:pPr>
        <w:pStyle w:val="Figuretitle"/>
        <w:rPr>
          <w:rFonts w:eastAsiaTheme="majorEastAsia"/>
        </w:rPr>
      </w:pPr>
      <w:r w:rsidRPr="001455DC">
        <w:t>Figure 8.31 — Concentrated forces near an edge</w:t>
      </w:r>
    </w:p>
    <w:p w14:paraId="09A7E916" w14:textId="3A6FBD48" w:rsidR="004E22C1" w:rsidRPr="001455DC" w:rsidRDefault="004E22C1" w:rsidP="006D682B">
      <w:pPr>
        <w:pStyle w:val="21"/>
      </w:pPr>
      <w:bookmarkStart w:id="661" w:name="_Toc52820003"/>
      <w:bookmarkStart w:id="662" w:name="_Toc54337395"/>
      <w:bookmarkStart w:id="663" w:name="_Toc54338060"/>
      <w:bookmarkStart w:id="664" w:name="_Toc67565404"/>
      <w:bookmarkEnd w:id="633"/>
      <w:r w:rsidRPr="001455DC">
        <w:t>Partially loaded areas</w:t>
      </w:r>
      <w:bookmarkEnd w:id="661"/>
      <w:bookmarkEnd w:id="662"/>
      <w:bookmarkEnd w:id="663"/>
      <w:bookmarkEnd w:id="664"/>
    </w:p>
    <w:p w14:paraId="09A59E1B" w14:textId="77777777" w:rsidR="004E22C1" w:rsidRPr="001455DC" w:rsidRDefault="004E22C1" w:rsidP="00CD6899">
      <w:pPr>
        <w:pStyle w:val="a7"/>
      </w:pPr>
      <w:r w:rsidRPr="001455DC">
        <w:t>(1)</w:t>
      </w:r>
      <w:r w:rsidRPr="001455DC">
        <w:tab/>
        <w:t>For partially loaded areas, local crushing according to (2) and transverse tension forces according to (3) and 8.5 shall be considered. The formulae given in (2) and (3) below are valid where there is no risk of punching failure. Possible punching failure shall be checked independently according to 8.4.</w:t>
      </w:r>
    </w:p>
    <w:p w14:paraId="694C9EEF" w14:textId="77777777" w:rsidR="00C603F8" w:rsidRPr="001455DC" w:rsidRDefault="004E22C1" w:rsidP="008D37B2">
      <w:pPr>
        <w:pStyle w:val="a7"/>
        <w:keepNext/>
      </w:pPr>
      <w:r w:rsidRPr="001455DC">
        <w:t>(2)</w:t>
      </w:r>
      <w:r w:rsidRPr="001455DC">
        <w:tab/>
        <w:t xml:space="preserve">For a uniform distribution of stresses on an area </w:t>
      </w:r>
      <w:r w:rsidRPr="001455DC">
        <w:rPr>
          <w:rStyle w:val="CCMCvariableitalic"/>
        </w:rPr>
        <w:t>A</w:t>
      </w:r>
      <w:r w:rsidRPr="001455DC">
        <w:rPr>
          <w:rStyle w:val="CCMCvariablesubscript"/>
        </w:rPr>
        <w:t>c0</w:t>
      </w:r>
      <w:r w:rsidRPr="001455DC">
        <w:t xml:space="preserve"> (see Figure 8.32), resistance to crushing may be verified as follows: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C603F8" w:rsidRPr="001455DC" w14:paraId="16E9E32B" w14:textId="77777777" w:rsidTr="00C603F8">
        <w:trPr>
          <w:cantSplit/>
        </w:trPr>
        <w:tc>
          <w:tcPr>
            <w:tcW w:w="8505" w:type="dxa"/>
            <w:vAlign w:val="center"/>
          </w:tcPr>
          <w:p w14:paraId="3B7A16F5" w14:textId="732BF442" w:rsidR="00C603F8" w:rsidRPr="001455DC" w:rsidRDefault="00231E33" w:rsidP="00C603F8">
            <w:pPr>
              <w:pStyle w:val="Formula"/>
              <w:jc w:val="left"/>
            </w:pPr>
            <m:oMathPara>
              <m:oMathParaPr>
                <m:jc m:val="left"/>
              </m:oMathParaPr>
              <m:oMath>
                <m:sSub>
                  <m:sSubPr>
                    <m:ctrlPr>
                      <w:rPr>
                        <w:rFonts w:ascii="Cambria Math" w:hAnsi="Cambria Math"/>
                      </w:rPr>
                    </m:ctrlPr>
                  </m:sSubPr>
                  <m:e>
                    <m:r>
                      <w:rPr>
                        <w:rFonts w:ascii="Cambria Math" w:hAnsi="Cambria Math"/>
                      </w:rPr>
                      <m:t>σ</m:t>
                    </m:r>
                  </m:e>
                  <m:sub>
                    <m:r>
                      <w:rPr>
                        <w:rFonts w:ascii="Cambria Math" w:hAnsi="Cambria Math"/>
                      </w:rPr>
                      <m:t>R</m:t>
                    </m:r>
                    <m:r>
                      <m:rPr>
                        <m:sty m:val="p"/>
                      </m:rPr>
                      <w:rPr>
                        <w:rFonts w:ascii="Cambria Math" w:hAnsi="Cambria Math"/>
                      </w:rPr>
                      <m:t>du</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cd</m:t>
                    </m:r>
                  </m:sub>
                </m:sSub>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c</m:t>
                            </m:r>
                            <m:r>
                              <w:rPr>
                                <w:rFonts w:ascii="Cambria Math" w:hAnsi="Cambria Math"/>
                              </w:rPr>
                              <m:t>1</m:t>
                            </m:r>
                          </m:sub>
                        </m:sSub>
                      </m:num>
                      <m:den>
                        <m:sSub>
                          <m:sSubPr>
                            <m:ctrlPr>
                              <w:rPr>
                                <w:rFonts w:ascii="Cambria Math" w:hAnsi="Cambria Math"/>
                              </w:rPr>
                            </m:ctrlPr>
                          </m:sSubPr>
                          <m:e>
                            <m:r>
                              <w:rPr>
                                <w:rFonts w:ascii="Cambria Math" w:hAnsi="Cambria Math"/>
                              </w:rPr>
                              <m:t>A</m:t>
                            </m:r>
                          </m:e>
                          <m:sub>
                            <m:r>
                              <m:rPr>
                                <m:sty m:val="p"/>
                              </m:rPr>
                              <w:rPr>
                                <w:rFonts w:ascii="Cambria Math" w:hAnsi="Cambria Math"/>
                              </w:rPr>
                              <m:t>c</m:t>
                            </m:r>
                            <m:r>
                              <w:rPr>
                                <w:rFonts w:ascii="Cambria Math" w:hAnsi="Cambria Math"/>
                              </w:rPr>
                              <m:t>0</m:t>
                            </m:r>
                          </m:sub>
                        </m:sSub>
                      </m:den>
                    </m:f>
                  </m:e>
                </m:rad>
                <m:r>
                  <w:rPr>
                    <w:rFonts w:ascii="Cambria Math" w:hAnsi="Cambria Math"/>
                  </w:rPr>
                  <m:t>≤</m:t>
                </m:r>
                <m:sSub>
                  <m:sSubPr>
                    <m:ctrlPr>
                      <w:rPr>
                        <w:rFonts w:ascii="Cambria Math" w:hAnsi="Cambria Math"/>
                      </w:rPr>
                    </m:ctrlPr>
                  </m:sSubPr>
                  <m:e>
                    <m:r>
                      <w:rPr>
                        <w:rFonts w:ascii="Cambria Math" w:hAnsi="Cambria Math"/>
                      </w:rPr>
                      <m:t>ν</m:t>
                    </m:r>
                  </m:e>
                  <m:sub>
                    <m:r>
                      <m:rPr>
                        <m:sty m:val="p"/>
                      </m:rPr>
                      <w:rPr>
                        <w:rFonts w:ascii="Cambria Math" w:hAnsi="Cambria Math"/>
                      </w:rPr>
                      <m:t>part</m:t>
                    </m:r>
                  </m:sub>
                </m:sSub>
                <m:sSub>
                  <m:sSubPr>
                    <m:ctrlPr>
                      <w:rPr>
                        <w:rFonts w:ascii="Cambria Math" w:hAnsi="Cambria Math"/>
                      </w:rPr>
                    </m:ctrlPr>
                  </m:sSubPr>
                  <m:e>
                    <m:r>
                      <w:rPr>
                        <w:rFonts w:ascii="Cambria Math" w:hAnsi="Cambria Math"/>
                      </w:rPr>
                      <m:t>f</m:t>
                    </m:r>
                  </m:e>
                  <m:sub>
                    <m:r>
                      <m:rPr>
                        <m:sty m:val="p"/>
                      </m:rPr>
                      <w:rPr>
                        <w:rFonts w:ascii="Cambria Math" w:hAnsi="Cambria Math"/>
                      </w:rPr>
                      <m:t>cd</m:t>
                    </m:r>
                  </m:sub>
                </m:sSub>
              </m:oMath>
            </m:oMathPara>
          </w:p>
        </w:tc>
        <w:tc>
          <w:tcPr>
            <w:tcW w:w="1247" w:type="dxa"/>
            <w:vAlign w:val="center"/>
          </w:tcPr>
          <w:p w14:paraId="55CF9091" w14:textId="5666C0AC" w:rsidR="00C603F8" w:rsidRPr="001455DC" w:rsidRDefault="00C603F8">
            <w:pPr>
              <w:pStyle w:val="a7"/>
              <w:jc w:val="right"/>
            </w:pPr>
            <w:r w:rsidRPr="001455DC">
              <w:t>(8.</w:t>
            </w:r>
            <w:r w:rsidR="00F9418B" w:rsidRPr="001455DC">
              <w:t>105</w:t>
            </w:r>
            <w:r w:rsidRPr="001455DC">
              <w:t>)</w:t>
            </w:r>
          </w:p>
        </w:tc>
      </w:tr>
    </w:tbl>
    <w:p w14:paraId="4A97E8F5" w14:textId="574E8417" w:rsidR="00C603F8" w:rsidRPr="001455DC" w:rsidRDefault="00C603F8"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567"/>
        <w:gridCol w:w="7031"/>
        <w:gridCol w:w="1247"/>
      </w:tblGrid>
      <w:tr w:rsidR="00C603F8" w:rsidRPr="001455DC" w14:paraId="418916BD" w14:textId="77777777" w:rsidTr="00C603F8">
        <w:trPr>
          <w:cantSplit/>
        </w:trPr>
        <w:tc>
          <w:tcPr>
            <w:tcW w:w="567" w:type="dxa"/>
          </w:tcPr>
          <w:p w14:paraId="40D0DF83" w14:textId="68C21C12" w:rsidR="00C603F8" w:rsidRPr="001455DC" w:rsidRDefault="00C603F8" w:rsidP="00C603F8">
            <w:pPr>
              <w:pStyle w:val="Tablebody"/>
            </w:pPr>
            <w:r w:rsidRPr="001455DC">
              <w:rPr>
                <w:rStyle w:val="CCMCvariableitalic"/>
              </w:rPr>
              <w:t>ν</w:t>
            </w:r>
            <w:r w:rsidRPr="001455DC">
              <w:rPr>
                <w:rStyle w:val="CCMCvariablesubscript"/>
              </w:rPr>
              <w:t>part</w:t>
            </w:r>
          </w:p>
        </w:tc>
        <w:tc>
          <w:tcPr>
            <w:tcW w:w="8845" w:type="dxa"/>
            <w:gridSpan w:val="3"/>
          </w:tcPr>
          <w:p w14:paraId="281B7CA2" w14:textId="5F5BEAC2" w:rsidR="00C603F8" w:rsidRPr="001455DC" w:rsidRDefault="00C603F8" w:rsidP="00C603F8">
            <w:pPr>
              <w:pStyle w:val="Tablebody"/>
            </w:pPr>
            <w:r w:rsidRPr="001455DC">
              <w:t>is a confinement factor:</w:t>
            </w:r>
          </w:p>
        </w:tc>
      </w:tr>
      <w:tr w:rsidR="00C603F8" w:rsidRPr="001455DC" w14:paraId="245097A6" w14:textId="77777777" w:rsidTr="00C603F8">
        <w:trPr>
          <w:cantSplit/>
        </w:trPr>
        <w:tc>
          <w:tcPr>
            <w:tcW w:w="567" w:type="dxa"/>
          </w:tcPr>
          <w:p w14:paraId="433A19DD" w14:textId="5AFFD43B" w:rsidR="00C603F8" w:rsidRPr="001455DC" w:rsidRDefault="00C603F8" w:rsidP="00C603F8">
            <w:pPr>
              <w:pStyle w:val="Tablebody"/>
            </w:pPr>
            <w:r w:rsidRPr="001455DC">
              <w:t> </w:t>
            </w:r>
          </w:p>
        </w:tc>
        <w:tc>
          <w:tcPr>
            <w:tcW w:w="8845" w:type="dxa"/>
            <w:gridSpan w:val="3"/>
          </w:tcPr>
          <w:p w14:paraId="26FF1EE2" w14:textId="34224398" w:rsidR="00C603F8" w:rsidRPr="001455DC" w:rsidRDefault="00C603F8" w:rsidP="00C603F8">
            <w:pPr>
              <w:pStyle w:val="Tablebody"/>
            </w:pPr>
            <w:r w:rsidRPr="001455DC">
              <w:rPr>
                <w:rStyle w:val="CCMCvariableitalic"/>
              </w:rPr>
              <w:t>ν</w:t>
            </w:r>
            <w:r w:rsidRPr="001455DC">
              <w:rPr>
                <w:rStyle w:val="CCMCvariablesubscript"/>
              </w:rPr>
              <w:t>part</w:t>
            </w:r>
            <w:r w:rsidRPr="001455DC">
              <w:t> </w:t>
            </w:r>
            <w:r w:rsidR="00EC27D2" w:rsidRPr="001455DC">
              <w:rPr>
                <w:rFonts w:ascii="Cambria Math" w:hAnsi="Cambria Math"/>
              </w:rPr>
              <w:t>=</w:t>
            </w:r>
            <w:r w:rsidRPr="001455DC">
              <w:t> 7,0 if there are no external tensile forces which can induce cracking in the direction parallel to the direction of the load and no known pre-existing cracks or restraints in this direction,</w:t>
            </w:r>
          </w:p>
        </w:tc>
      </w:tr>
      <w:tr w:rsidR="00C603F8" w:rsidRPr="001455DC" w14:paraId="2667202C" w14:textId="77777777" w:rsidTr="00C603F8">
        <w:trPr>
          <w:cantSplit/>
        </w:trPr>
        <w:tc>
          <w:tcPr>
            <w:tcW w:w="567" w:type="dxa"/>
          </w:tcPr>
          <w:p w14:paraId="51C96A7D" w14:textId="237DCDDA" w:rsidR="00C603F8" w:rsidRPr="001455DC" w:rsidRDefault="00C603F8" w:rsidP="00C603F8">
            <w:pPr>
              <w:pStyle w:val="Tablebody"/>
            </w:pPr>
            <w:r w:rsidRPr="001455DC">
              <w:t> </w:t>
            </w:r>
          </w:p>
        </w:tc>
        <w:tc>
          <w:tcPr>
            <w:tcW w:w="8845" w:type="dxa"/>
            <w:gridSpan w:val="3"/>
          </w:tcPr>
          <w:p w14:paraId="3707196C" w14:textId="755BAA9D" w:rsidR="00C603F8" w:rsidRPr="001455DC" w:rsidRDefault="00C603F8" w:rsidP="00C603F8">
            <w:pPr>
              <w:pStyle w:val="Tablebody"/>
            </w:pPr>
            <w:r w:rsidRPr="001455DC">
              <w:rPr>
                <w:rStyle w:val="CCMCvariableitalic"/>
              </w:rPr>
              <w:t>ν</w:t>
            </w:r>
            <w:r w:rsidRPr="001455DC">
              <w:rPr>
                <w:rStyle w:val="CCMCvariablesubscript"/>
              </w:rPr>
              <w:t>part</w:t>
            </w:r>
            <w:r w:rsidRPr="001455DC">
              <w:t> </w:t>
            </w:r>
            <w:r w:rsidR="00EC27D2" w:rsidRPr="001455DC">
              <w:rPr>
                <w:rFonts w:ascii="Cambria Math" w:hAnsi="Cambria Math"/>
              </w:rPr>
              <w:t>=</w:t>
            </w:r>
            <w:r w:rsidRPr="001455DC">
              <w:t> 3,0 otherwise;</w:t>
            </w:r>
          </w:p>
        </w:tc>
      </w:tr>
      <w:tr w:rsidR="00C603F8" w:rsidRPr="001455DC" w14:paraId="02A75D20" w14:textId="77777777" w:rsidTr="00C603F8">
        <w:trPr>
          <w:cantSplit/>
        </w:trPr>
        <w:tc>
          <w:tcPr>
            <w:tcW w:w="567" w:type="dxa"/>
          </w:tcPr>
          <w:p w14:paraId="649280E0" w14:textId="0C4A719A" w:rsidR="00C603F8" w:rsidRPr="001455DC" w:rsidRDefault="00C603F8" w:rsidP="00C603F8">
            <w:pPr>
              <w:pStyle w:val="Tablebody"/>
            </w:pPr>
            <w:r w:rsidRPr="001455DC">
              <w:rPr>
                <w:rStyle w:val="CCMCvariableitalic"/>
              </w:rPr>
              <w:t>A</w:t>
            </w:r>
            <w:r w:rsidRPr="001455DC">
              <w:rPr>
                <w:rStyle w:val="CCMCvariablesubscript"/>
              </w:rPr>
              <w:t>c0</w:t>
            </w:r>
          </w:p>
        </w:tc>
        <w:tc>
          <w:tcPr>
            <w:tcW w:w="8845" w:type="dxa"/>
            <w:gridSpan w:val="3"/>
          </w:tcPr>
          <w:p w14:paraId="636707E9" w14:textId="155341A0" w:rsidR="00C603F8" w:rsidRPr="001455DC" w:rsidRDefault="00C603F8" w:rsidP="00C603F8">
            <w:pPr>
              <w:pStyle w:val="Tablebody"/>
            </w:pPr>
            <w:r w:rsidRPr="001455DC">
              <w:t>is the loaded area (see Figure 8.32).</w:t>
            </w:r>
          </w:p>
        </w:tc>
      </w:tr>
      <w:tr w:rsidR="00B807B8" w:rsidRPr="001455DC" w14:paraId="4A275F2D" w14:textId="77777777" w:rsidTr="00B807B8">
        <w:trPr>
          <w:cantSplit/>
        </w:trPr>
        <w:tc>
          <w:tcPr>
            <w:tcW w:w="567" w:type="dxa"/>
          </w:tcPr>
          <w:p w14:paraId="332AAF1F" w14:textId="637B29A5" w:rsidR="00B807B8" w:rsidRPr="001455DC" w:rsidRDefault="00B807B8" w:rsidP="00B807B8">
            <w:pPr>
              <w:pStyle w:val="Tablebody"/>
            </w:pPr>
            <w:r w:rsidRPr="001455DC">
              <w:t> </w:t>
            </w:r>
          </w:p>
        </w:tc>
        <w:tc>
          <w:tcPr>
            <w:tcW w:w="7598" w:type="dxa"/>
            <w:gridSpan w:val="2"/>
          </w:tcPr>
          <w:p w14:paraId="5F3E9680" w14:textId="09C8A788" w:rsidR="00B807B8" w:rsidRPr="001455DC" w:rsidRDefault="00B807B8" w:rsidP="00B807B8">
            <w:pPr>
              <w:pStyle w:val="Tablebody"/>
            </w:pPr>
            <w:r w:rsidRPr="001455DC">
              <w:rPr>
                <w:rStyle w:val="CCMCvariableitalic"/>
              </w:rPr>
              <w:t>A</w:t>
            </w:r>
            <w:r w:rsidRPr="001455DC">
              <w:rPr>
                <w:rStyle w:val="CCMCvariablesubscript"/>
              </w:rPr>
              <w:t>c0</w:t>
            </w:r>
            <w:r w:rsidRPr="001455DC">
              <w:t> </w:t>
            </w:r>
            <w:r w:rsidR="00EC27D2" w:rsidRPr="001455DC">
              <w:rPr>
                <w:rFonts w:ascii="Cambria Math" w:hAnsi="Cambria Math"/>
              </w:rPr>
              <w:t>=</w:t>
            </w:r>
            <w:r w:rsidRPr="001455DC">
              <w:t> </w:t>
            </w:r>
            <w:r w:rsidRPr="001455DC">
              <w:rPr>
                <w:rStyle w:val="CCMCvariableitalic"/>
              </w:rPr>
              <w:t>a</w:t>
            </w:r>
            <w:r w:rsidRPr="001455DC">
              <w:rPr>
                <w:rStyle w:val="CCMCvariablesubscript"/>
              </w:rPr>
              <w:t>0</w:t>
            </w:r>
            <w:r w:rsidRPr="001455DC">
              <w:t> </w:t>
            </w:r>
            <w:r w:rsidRPr="001455DC">
              <w:rPr>
                <w:rFonts w:ascii="Cambria Math" w:hAnsi="Cambria Math" w:cs="Cambria Math"/>
              </w:rPr>
              <w:t>⋅</w:t>
            </w:r>
            <w:r w:rsidRPr="001455DC">
              <w:t> </w:t>
            </w:r>
            <w:r w:rsidRPr="001455DC">
              <w:rPr>
                <w:rStyle w:val="CCMCvariableitalic"/>
              </w:rPr>
              <w:t>b</w:t>
            </w:r>
            <w:r w:rsidRPr="001455DC">
              <w:rPr>
                <w:rStyle w:val="CCMCvariablesubscript"/>
              </w:rPr>
              <w:t>0</w:t>
            </w:r>
          </w:p>
        </w:tc>
        <w:tc>
          <w:tcPr>
            <w:tcW w:w="1247" w:type="dxa"/>
          </w:tcPr>
          <w:p w14:paraId="078D133A" w14:textId="3EFA6D49" w:rsidR="00B807B8" w:rsidRPr="001455DC" w:rsidRDefault="00B807B8">
            <w:pPr>
              <w:pStyle w:val="Tablebody"/>
              <w:jc w:val="right"/>
            </w:pPr>
            <w:r w:rsidRPr="001455DC">
              <w:t>(8.</w:t>
            </w:r>
            <w:r w:rsidR="00F9418B" w:rsidRPr="001455DC">
              <w:t>106a</w:t>
            </w:r>
            <w:r w:rsidRPr="001455DC">
              <w:t>)</w:t>
            </w:r>
          </w:p>
        </w:tc>
      </w:tr>
      <w:tr w:rsidR="00B807B8" w:rsidRPr="001455DC" w14:paraId="6EAC52A0" w14:textId="77777777" w:rsidTr="007E4AE7">
        <w:trPr>
          <w:cantSplit/>
        </w:trPr>
        <w:tc>
          <w:tcPr>
            <w:tcW w:w="567" w:type="dxa"/>
          </w:tcPr>
          <w:p w14:paraId="70204BF2" w14:textId="10C416CB" w:rsidR="00B807B8" w:rsidRPr="001455DC" w:rsidRDefault="00B807B8" w:rsidP="00B807B8">
            <w:pPr>
              <w:pStyle w:val="Tablebody"/>
            </w:pPr>
            <w:r w:rsidRPr="001455DC">
              <w:t> </w:t>
            </w:r>
          </w:p>
        </w:tc>
        <w:tc>
          <w:tcPr>
            <w:tcW w:w="8845" w:type="dxa"/>
            <w:gridSpan w:val="3"/>
          </w:tcPr>
          <w:p w14:paraId="1DC6CCD2" w14:textId="19221DC2" w:rsidR="00B807B8" w:rsidRPr="001455DC" w:rsidRDefault="00B807B8" w:rsidP="00B807B8">
            <w:pPr>
              <w:pStyle w:val="Tablebody"/>
            </w:pPr>
            <w:r w:rsidRPr="001455DC">
              <w:t xml:space="preserve">For eccentric loading </w:t>
            </w:r>
            <w:r w:rsidRPr="001455DC">
              <w:rPr>
                <w:rStyle w:val="CCMCvariableitalic"/>
              </w:rPr>
              <w:t>A</w:t>
            </w:r>
            <w:r w:rsidRPr="001455DC">
              <w:rPr>
                <w:rStyle w:val="CCMCvariablesubscript"/>
              </w:rPr>
              <w:t>c0</w:t>
            </w:r>
            <w:r w:rsidRPr="001455DC">
              <w:t xml:space="preserve"> should be taken as </w:t>
            </w:r>
            <w:r w:rsidRPr="001455DC">
              <w:rPr>
                <w:rStyle w:val="CCMCvariableitalic"/>
              </w:rPr>
              <w:t>A</w:t>
            </w:r>
            <w:r w:rsidRPr="001455DC">
              <w:rPr>
                <w:rStyle w:val="CCMCvariablesubscript"/>
              </w:rPr>
              <w:t>c0,red</w:t>
            </w:r>
            <w:r w:rsidRPr="001455DC">
              <w:t xml:space="preserve"> (see Figure 8.34):</w:t>
            </w:r>
          </w:p>
        </w:tc>
      </w:tr>
      <w:tr w:rsidR="00B807B8" w:rsidRPr="001455DC" w14:paraId="3DE69465" w14:textId="77777777" w:rsidTr="007E4AE7">
        <w:trPr>
          <w:cantSplit/>
        </w:trPr>
        <w:tc>
          <w:tcPr>
            <w:tcW w:w="567" w:type="dxa"/>
          </w:tcPr>
          <w:p w14:paraId="1036AD39" w14:textId="77777777" w:rsidR="00B807B8" w:rsidRPr="001455DC" w:rsidRDefault="00B807B8" w:rsidP="007E4AE7">
            <w:pPr>
              <w:pStyle w:val="Tablebody"/>
            </w:pPr>
            <w:r w:rsidRPr="001455DC">
              <w:t> </w:t>
            </w:r>
          </w:p>
        </w:tc>
        <w:tc>
          <w:tcPr>
            <w:tcW w:w="7598" w:type="dxa"/>
            <w:gridSpan w:val="2"/>
          </w:tcPr>
          <w:p w14:paraId="1CA00BCC" w14:textId="48B0C1E8" w:rsidR="00B807B8" w:rsidRPr="00FA575F" w:rsidRDefault="00B807B8" w:rsidP="007E4AE7">
            <w:pPr>
              <w:pStyle w:val="Tablebody"/>
              <w:rPr>
                <w:lang w:val="es-ES"/>
              </w:rPr>
            </w:pPr>
            <w:r w:rsidRPr="00FA575F">
              <w:rPr>
                <w:rStyle w:val="CCMCvariableitalic"/>
                <w:lang w:val="es-ES"/>
              </w:rPr>
              <w:t>A</w:t>
            </w:r>
            <w:r w:rsidRPr="00FA575F">
              <w:rPr>
                <w:rStyle w:val="CCMCvariablesubscript"/>
                <w:lang w:val="es-ES"/>
              </w:rPr>
              <w:t>c0,red</w:t>
            </w:r>
            <w:r w:rsidRPr="00FA575F">
              <w:rPr>
                <w:lang w:val="es-ES"/>
              </w:rPr>
              <w:t> </w:t>
            </w:r>
            <w:r w:rsidR="00EC27D2" w:rsidRPr="00FA575F">
              <w:rPr>
                <w:rFonts w:ascii="Cambria Math" w:hAnsi="Cambria Math"/>
                <w:lang w:val="es-ES"/>
              </w:rPr>
              <w:t>=</w:t>
            </w:r>
            <w:r w:rsidRPr="00FA575F">
              <w:rPr>
                <w:lang w:val="es-ES"/>
              </w:rPr>
              <w:t> </w:t>
            </w:r>
            <w:r w:rsidRPr="00FA575F">
              <w:rPr>
                <w:rStyle w:val="CCMCvariableitalic"/>
                <w:lang w:val="es-ES"/>
              </w:rPr>
              <w:t>a</w:t>
            </w:r>
            <w:r w:rsidRPr="00FA575F">
              <w:rPr>
                <w:rStyle w:val="CCMCvariablesubscript"/>
                <w:lang w:val="es-ES"/>
              </w:rPr>
              <w:t>0,red</w:t>
            </w:r>
            <w:r w:rsidRPr="00FA575F">
              <w:rPr>
                <w:lang w:val="es-ES"/>
              </w:rPr>
              <w:t> </w:t>
            </w:r>
            <w:r w:rsidRPr="00FA575F">
              <w:rPr>
                <w:rFonts w:ascii="Cambria Math" w:hAnsi="Cambria Math" w:cs="Cambria Math"/>
                <w:lang w:val="es-ES"/>
              </w:rPr>
              <w:t>⋅</w:t>
            </w:r>
            <w:r w:rsidRPr="00FA575F">
              <w:rPr>
                <w:lang w:val="es-ES"/>
              </w:rPr>
              <w:t> </w:t>
            </w:r>
            <w:r w:rsidRPr="00FA575F">
              <w:rPr>
                <w:rStyle w:val="CCMCvariableitalic"/>
                <w:lang w:val="es-ES"/>
              </w:rPr>
              <w:t>b</w:t>
            </w:r>
            <w:r w:rsidRPr="00FA575F">
              <w:rPr>
                <w:rStyle w:val="CCMCvariablesubscript"/>
                <w:lang w:val="es-ES"/>
              </w:rPr>
              <w:t>0,red</w:t>
            </w:r>
          </w:p>
        </w:tc>
        <w:tc>
          <w:tcPr>
            <w:tcW w:w="1247" w:type="dxa"/>
          </w:tcPr>
          <w:p w14:paraId="42F14B67" w14:textId="283F6B74" w:rsidR="00B807B8" w:rsidRPr="001455DC" w:rsidRDefault="00B807B8">
            <w:pPr>
              <w:pStyle w:val="Tablebody"/>
              <w:jc w:val="right"/>
            </w:pPr>
            <w:r w:rsidRPr="001455DC">
              <w:t>(8.</w:t>
            </w:r>
            <w:r w:rsidR="00F9418B" w:rsidRPr="001455DC">
              <w:t>106b</w:t>
            </w:r>
            <w:r w:rsidRPr="001455DC">
              <w:t>)</w:t>
            </w:r>
          </w:p>
        </w:tc>
      </w:tr>
      <w:tr w:rsidR="00B807B8" w:rsidRPr="001455DC" w14:paraId="2B0FA379" w14:textId="77777777" w:rsidTr="007E4AE7">
        <w:trPr>
          <w:cantSplit/>
        </w:trPr>
        <w:tc>
          <w:tcPr>
            <w:tcW w:w="567" w:type="dxa"/>
          </w:tcPr>
          <w:p w14:paraId="6ACDAF5B" w14:textId="05401098" w:rsidR="00B807B8" w:rsidRPr="001455DC" w:rsidRDefault="00B807B8" w:rsidP="007E4AE7">
            <w:pPr>
              <w:pStyle w:val="Tablebody"/>
            </w:pPr>
            <w:r w:rsidRPr="001455DC">
              <w:t> </w:t>
            </w:r>
          </w:p>
        </w:tc>
        <w:tc>
          <w:tcPr>
            <w:tcW w:w="8845" w:type="dxa"/>
            <w:gridSpan w:val="3"/>
          </w:tcPr>
          <w:p w14:paraId="6FCD1E48" w14:textId="59F7C16B" w:rsidR="00B807B8" w:rsidRPr="001455DC" w:rsidRDefault="00B807B8" w:rsidP="007E4AE7">
            <w:pPr>
              <w:pStyle w:val="Tablebody"/>
            </w:pPr>
            <w:r w:rsidRPr="001455DC">
              <w:t>where</w:t>
            </w:r>
          </w:p>
        </w:tc>
      </w:tr>
      <w:tr w:rsidR="00C603F8" w:rsidRPr="001455DC" w14:paraId="6759B5AB" w14:textId="77777777" w:rsidTr="00C603F8">
        <w:trPr>
          <w:cantSplit/>
        </w:trPr>
        <w:tc>
          <w:tcPr>
            <w:tcW w:w="567" w:type="dxa"/>
          </w:tcPr>
          <w:p w14:paraId="649A842D" w14:textId="6F8895FD" w:rsidR="00C603F8" w:rsidRPr="001455DC" w:rsidRDefault="00B807B8" w:rsidP="00C603F8">
            <w:pPr>
              <w:pStyle w:val="Tablebody"/>
            </w:pPr>
            <w:r w:rsidRPr="001455DC">
              <w:t> </w:t>
            </w:r>
          </w:p>
        </w:tc>
        <w:tc>
          <w:tcPr>
            <w:tcW w:w="8845" w:type="dxa"/>
            <w:gridSpan w:val="3"/>
          </w:tcPr>
          <w:p w14:paraId="16CD91A9" w14:textId="24BE955E" w:rsidR="00C603F8" w:rsidRPr="001455DC" w:rsidRDefault="00B807B8" w:rsidP="00C603F8">
            <w:pPr>
              <w:pStyle w:val="Tablebody"/>
            </w:pPr>
            <w:r w:rsidRPr="001455DC">
              <w:rPr>
                <w:rStyle w:val="CCMCvariableitalic"/>
              </w:rPr>
              <w:t>a</w:t>
            </w:r>
            <w:r w:rsidRPr="001455DC">
              <w:rPr>
                <w:rStyle w:val="CCMCvariablesubscript"/>
              </w:rPr>
              <w:t>0,red</w:t>
            </w:r>
            <w:r w:rsidRPr="001455DC">
              <w:t> </w:t>
            </w:r>
            <w:r w:rsidR="00EC27D2" w:rsidRPr="001455DC">
              <w:rPr>
                <w:rFonts w:ascii="Cambria Math" w:hAnsi="Cambria Math"/>
              </w:rPr>
              <w:t>=</w:t>
            </w:r>
            <w:r w:rsidRPr="001455DC">
              <w:t> </w:t>
            </w:r>
            <w:r w:rsidRPr="001455DC">
              <w:rPr>
                <w:rStyle w:val="CCMCvariableitalic"/>
              </w:rPr>
              <w:t>a</w:t>
            </w:r>
            <w:r w:rsidRPr="001455DC">
              <w:rPr>
                <w:rStyle w:val="CCMCvariablesubscript"/>
              </w:rPr>
              <w:t>0</w:t>
            </w:r>
            <w:r w:rsidRPr="001455DC">
              <w:t> </w:t>
            </w:r>
            <w:r w:rsidR="00EC27D2" w:rsidRPr="001455DC">
              <w:rPr>
                <w:rFonts w:ascii="Cambria Math" w:hAnsi="Cambria Math"/>
              </w:rPr>
              <w:t>−</w:t>
            </w:r>
            <w:r w:rsidRPr="001455DC">
              <w:t> 2</w:t>
            </w:r>
            <w:r w:rsidRPr="001455DC">
              <w:rPr>
                <w:rStyle w:val="CCMCvariableitalic"/>
              </w:rPr>
              <w:t>e</w:t>
            </w:r>
            <w:r w:rsidRPr="001455DC">
              <w:rPr>
                <w:rStyle w:val="CCMCvariablesubscript"/>
              </w:rPr>
              <w:t>a</w:t>
            </w:r>
            <w:r w:rsidRPr="001455DC">
              <w:t xml:space="preserve"> and </w:t>
            </w:r>
            <w:r w:rsidRPr="001455DC">
              <w:rPr>
                <w:rStyle w:val="CCMCvariableitalic"/>
              </w:rPr>
              <w:t>b</w:t>
            </w:r>
            <w:r w:rsidRPr="001455DC">
              <w:rPr>
                <w:rStyle w:val="CCMCvariablesubscript"/>
              </w:rPr>
              <w:t>0,red</w:t>
            </w:r>
            <w:r w:rsidRPr="001455DC">
              <w:t> </w:t>
            </w:r>
            <w:r w:rsidR="00EC27D2" w:rsidRPr="001455DC">
              <w:rPr>
                <w:rFonts w:ascii="Cambria Math" w:hAnsi="Cambria Math"/>
              </w:rPr>
              <w:t>=</w:t>
            </w:r>
            <w:r w:rsidRPr="001455DC">
              <w:t> </w:t>
            </w:r>
            <w:r w:rsidRPr="001455DC">
              <w:rPr>
                <w:rStyle w:val="CCMCvariableitalic"/>
              </w:rPr>
              <w:t>b</w:t>
            </w:r>
            <w:r w:rsidRPr="001455DC">
              <w:rPr>
                <w:rStyle w:val="CCMCvariablesubscript"/>
              </w:rPr>
              <w:t>0</w:t>
            </w:r>
            <w:r w:rsidRPr="001455DC">
              <w:t> </w:t>
            </w:r>
            <w:r w:rsidR="00EC27D2" w:rsidRPr="001455DC">
              <w:rPr>
                <w:rFonts w:ascii="Cambria Math" w:hAnsi="Cambria Math"/>
              </w:rPr>
              <w:t>−</w:t>
            </w:r>
            <w:r w:rsidRPr="001455DC">
              <w:t> 2</w:t>
            </w:r>
            <w:r w:rsidRPr="001455DC">
              <w:rPr>
                <w:rStyle w:val="CCMCvariableitalic"/>
              </w:rPr>
              <w:t>e</w:t>
            </w:r>
            <w:r w:rsidRPr="001455DC">
              <w:rPr>
                <w:rStyle w:val="CCMCvariablesubscript"/>
              </w:rPr>
              <w:t>b</w:t>
            </w:r>
            <w:r w:rsidRPr="001455DC">
              <w:t>,</w:t>
            </w:r>
          </w:p>
        </w:tc>
      </w:tr>
      <w:tr w:rsidR="00B807B8" w:rsidRPr="001455DC" w14:paraId="73687BE5" w14:textId="77777777" w:rsidTr="00B807B8">
        <w:trPr>
          <w:cantSplit/>
        </w:trPr>
        <w:tc>
          <w:tcPr>
            <w:tcW w:w="567" w:type="dxa"/>
          </w:tcPr>
          <w:p w14:paraId="779B4094" w14:textId="4391B988" w:rsidR="00B807B8" w:rsidRPr="001455DC" w:rsidRDefault="00B807B8" w:rsidP="00C603F8">
            <w:pPr>
              <w:pStyle w:val="Tablebody"/>
            </w:pPr>
            <w:r w:rsidRPr="001455DC">
              <w:t> </w:t>
            </w:r>
          </w:p>
        </w:tc>
        <w:tc>
          <w:tcPr>
            <w:tcW w:w="567" w:type="dxa"/>
          </w:tcPr>
          <w:p w14:paraId="27B14975" w14:textId="640B2055" w:rsidR="00B807B8" w:rsidRPr="001455DC" w:rsidRDefault="00B807B8" w:rsidP="00C603F8">
            <w:pPr>
              <w:pStyle w:val="Tablebody"/>
            </w:pPr>
            <w:r w:rsidRPr="001455DC">
              <w:rPr>
                <w:rStyle w:val="CCMCvariableitalic"/>
              </w:rPr>
              <w:t>e</w:t>
            </w:r>
            <w:r w:rsidRPr="001455DC">
              <w:rPr>
                <w:rStyle w:val="CCMCvariablesubscript"/>
              </w:rPr>
              <w:t>a</w:t>
            </w:r>
          </w:p>
        </w:tc>
        <w:tc>
          <w:tcPr>
            <w:tcW w:w="8278" w:type="dxa"/>
            <w:gridSpan w:val="2"/>
          </w:tcPr>
          <w:p w14:paraId="1A095758" w14:textId="5FA401CF" w:rsidR="00B807B8" w:rsidRPr="001455DC" w:rsidRDefault="00B807B8" w:rsidP="00C603F8">
            <w:pPr>
              <w:pStyle w:val="Tablebody"/>
            </w:pPr>
            <w:r w:rsidRPr="001455DC">
              <w:t xml:space="preserve">is the eccentricity of the load parallel to </w:t>
            </w:r>
            <w:r w:rsidRPr="001455DC">
              <w:rPr>
                <w:rStyle w:val="CCMCvariableitalic"/>
              </w:rPr>
              <w:t>a</w:t>
            </w:r>
            <w:r w:rsidRPr="001455DC">
              <w:rPr>
                <w:rStyle w:val="CCMCvariablesubscript"/>
              </w:rPr>
              <w:t>0</w:t>
            </w:r>
            <w:r w:rsidRPr="001455DC">
              <w:t>,</w:t>
            </w:r>
          </w:p>
        </w:tc>
      </w:tr>
      <w:tr w:rsidR="00B807B8" w:rsidRPr="001455DC" w14:paraId="3A9A4BF6" w14:textId="77777777" w:rsidTr="00B807B8">
        <w:trPr>
          <w:cantSplit/>
        </w:trPr>
        <w:tc>
          <w:tcPr>
            <w:tcW w:w="567" w:type="dxa"/>
          </w:tcPr>
          <w:p w14:paraId="472F4BBB" w14:textId="63682C1B" w:rsidR="00B807B8" w:rsidRPr="001455DC" w:rsidRDefault="00B807B8" w:rsidP="00C603F8">
            <w:pPr>
              <w:pStyle w:val="Tablebody"/>
            </w:pPr>
            <w:r w:rsidRPr="001455DC">
              <w:t> </w:t>
            </w:r>
          </w:p>
        </w:tc>
        <w:tc>
          <w:tcPr>
            <w:tcW w:w="567" w:type="dxa"/>
          </w:tcPr>
          <w:p w14:paraId="7C792331" w14:textId="7622E6E6" w:rsidR="00B807B8" w:rsidRPr="001455DC" w:rsidRDefault="00B807B8" w:rsidP="00C603F8">
            <w:pPr>
              <w:pStyle w:val="Tablebody"/>
            </w:pPr>
            <w:r w:rsidRPr="001455DC">
              <w:rPr>
                <w:rStyle w:val="CCMCvariableitalic"/>
              </w:rPr>
              <w:t>e</w:t>
            </w:r>
            <w:r w:rsidRPr="001455DC">
              <w:rPr>
                <w:rStyle w:val="CCMCvariablesubscript"/>
              </w:rPr>
              <w:t>b</w:t>
            </w:r>
          </w:p>
        </w:tc>
        <w:tc>
          <w:tcPr>
            <w:tcW w:w="8278" w:type="dxa"/>
            <w:gridSpan w:val="2"/>
          </w:tcPr>
          <w:p w14:paraId="4E47FBF9" w14:textId="6AA4B12A" w:rsidR="00B807B8" w:rsidRPr="001455DC" w:rsidRDefault="00B807B8" w:rsidP="00C603F8">
            <w:pPr>
              <w:pStyle w:val="Tablebody"/>
            </w:pPr>
            <w:r w:rsidRPr="001455DC">
              <w:t xml:space="preserve">is the eccentricity of the load parallel to </w:t>
            </w:r>
            <w:r w:rsidRPr="001455DC">
              <w:rPr>
                <w:rStyle w:val="CCMCvariableitalic"/>
              </w:rPr>
              <w:t>b</w:t>
            </w:r>
            <w:r w:rsidRPr="001455DC">
              <w:rPr>
                <w:rStyle w:val="CCMCvariablesubscript"/>
              </w:rPr>
              <w:t>0</w:t>
            </w:r>
            <w:r w:rsidRPr="001455DC">
              <w:t>.</w:t>
            </w:r>
          </w:p>
        </w:tc>
      </w:tr>
      <w:tr w:rsidR="00B807B8" w:rsidRPr="001455DC" w14:paraId="1A58B5E1" w14:textId="77777777" w:rsidTr="007E4AE7">
        <w:trPr>
          <w:cantSplit/>
        </w:trPr>
        <w:tc>
          <w:tcPr>
            <w:tcW w:w="567" w:type="dxa"/>
          </w:tcPr>
          <w:p w14:paraId="3B093373" w14:textId="175DA213" w:rsidR="00B807B8" w:rsidRPr="001455DC" w:rsidRDefault="00B807B8" w:rsidP="007E4AE7">
            <w:pPr>
              <w:pStyle w:val="Tablebody"/>
            </w:pPr>
            <w:r w:rsidRPr="001455DC">
              <w:rPr>
                <w:rStyle w:val="CCMCvariableitalic"/>
              </w:rPr>
              <w:t>A</w:t>
            </w:r>
            <w:r w:rsidRPr="001455DC">
              <w:rPr>
                <w:rStyle w:val="CCMCvariablesubscript"/>
              </w:rPr>
              <w:t>c1</w:t>
            </w:r>
          </w:p>
        </w:tc>
        <w:tc>
          <w:tcPr>
            <w:tcW w:w="8845" w:type="dxa"/>
            <w:gridSpan w:val="3"/>
          </w:tcPr>
          <w:p w14:paraId="6B0783D0" w14:textId="6F646450" w:rsidR="00B807B8" w:rsidRPr="001455DC" w:rsidRDefault="00B807B8" w:rsidP="007E4AE7">
            <w:pPr>
              <w:pStyle w:val="Tablebody"/>
            </w:pPr>
            <w:r w:rsidRPr="001455DC">
              <w:t>is the contributing concrete area which may be determined as follows (see Figure 8.32 for a single loaded area and Figure 8.33 for two loaded areas of different size):</w:t>
            </w:r>
          </w:p>
        </w:tc>
      </w:tr>
      <w:tr w:rsidR="00B807B8" w:rsidRPr="001455DC" w14:paraId="36E1A8B1" w14:textId="77777777" w:rsidTr="007E4AE7">
        <w:trPr>
          <w:cantSplit/>
        </w:trPr>
        <w:tc>
          <w:tcPr>
            <w:tcW w:w="567" w:type="dxa"/>
          </w:tcPr>
          <w:p w14:paraId="3D657B64" w14:textId="77777777" w:rsidR="00B807B8" w:rsidRPr="001455DC" w:rsidRDefault="00B807B8" w:rsidP="007E4AE7">
            <w:pPr>
              <w:pStyle w:val="Tablebody"/>
            </w:pPr>
            <w:r w:rsidRPr="001455DC">
              <w:t> </w:t>
            </w:r>
          </w:p>
        </w:tc>
        <w:tc>
          <w:tcPr>
            <w:tcW w:w="7598" w:type="dxa"/>
            <w:gridSpan w:val="2"/>
          </w:tcPr>
          <w:p w14:paraId="793B7FB2" w14:textId="696DE3D9" w:rsidR="00B807B8" w:rsidRPr="001455DC" w:rsidRDefault="00B807B8" w:rsidP="007E4AE7">
            <w:pPr>
              <w:pStyle w:val="Tablebody"/>
            </w:pPr>
            <w:r w:rsidRPr="001455DC">
              <w:rPr>
                <w:rStyle w:val="CCMCvariableitalic"/>
              </w:rPr>
              <w:t>A</w:t>
            </w:r>
            <w:r w:rsidRPr="001455DC">
              <w:rPr>
                <w:rStyle w:val="CCMCvariablesubscript"/>
              </w:rPr>
              <w:t>c1</w:t>
            </w:r>
            <w:r w:rsidRPr="001455DC">
              <w:t> </w:t>
            </w:r>
            <w:r w:rsidR="00EC27D2" w:rsidRPr="001455DC">
              <w:rPr>
                <w:rFonts w:ascii="Cambria Math" w:hAnsi="Cambria Math"/>
              </w:rPr>
              <w:t>=</w:t>
            </w:r>
            <w:r w:rsidRPr="001455DC">
              <w:t> </w:t>
            </w:r>
            <w:r w:rsidRPr="001455DC">
              <w:rPr>
                <w:rStyle w:val="CCMCvariableitalic"/>
              </w:rPr>
              <w:t>a</w:t>
            </w:r>
            <w:r w:rsidRPr="001455DC">
              <w:rPr>
                <w:rStyle w:val="CCMCvariablesubscript"/>
              </w:rPr>
              <w:t>1</w:t>
            </w:r>
            <w:r w:rsidRPr="001455DC">
              <w:t> </w:t>
            </w:r>
            <w:r w:rsidRPr="001455DC">
              <w:rPr>
                <w:rFonts w:ascii="Cambria Math" w:hAnsi="Cambria Math" w:cs="Cambria Math"/>
              </w:rPr>
              <w:t>⋅</w:t>
            </w:r>
            <w:r w:rsidRPr="001455DC">
              <w:t> </w:t>
            </w:r>
            <w:r w:rsidRPr="001455DC">
              <w:rPr>
                <w:rStyle w:val="CCMCvariableitalic"/>
              </w:rPr>
              <w:t>b</w:t>
            </w:r>
            <w:r w:rsidRPr="001455DC">
              <w:rPr>
                <w:rStyle w:val="CCMCvariablesubscript"/>
              </w:rPr>
              <w:t>1</w:t>
            </w:r>
          </w:p>
        </w:tc>
        <w:tc>
          <w:tcPr>
            <w:tcW w:w="1247" w:type="dxa"/>
          </w:tcPr>
          <w:p w14:paraId="7A9EBDBB" w14:textId="240A0421" w:rsidR="00B807B8" w:rsidRPr="001455DC" w:rsidRDefault="00B807B8">
            <w:pPr>
              <w:pStyle w:val="Tablebody"/>
              <w:jc w:val="right"/>
            </w:pPr>
            <w:r w:rsidRPr="001455DC">
              <w:t>(8.</w:t>
            </w:r>
            <w:r w:rsidR="00F9418B" w:rsidRPr="001455DC">
              <w:t>107</w:t>
            </w:r>
            <w:r w:rsidRPr="001455DC">
              <w:t>)</w:t>
            </w:r>
          </w:p>
        </w:tc>
      </w:tr>
      <w:tr w:rsidR="00B807B8" w:rsidRPr="001455DC" w14:paraId="50717CC7" w14:textId="77777777" w:rsidTr="007E4AE7">
        <w:trPr>
          <w:cantSplit/>
        </w:trPr>
        <w:tc>
          <w:tcPr>
            <w:tcW w:w="567" w:type="dxa"/>
          </w:tcPr>
          <w:p w14:paraId="7E3ACF2C" w14:textId="1DB88E74" w:rsidR="00B807B8" w:rsidRPr="001455DC" w:rsidRDefault="00B807B8" w:rsidP="007E4AE7">
            <w:pPr>
              <w:pStyle w:val="Tablebody"/>
            </w:pPr>
            <w:r w:rsidRPr="001455DC">
              <w:t> </w:t>
            </w:r>
          </w:p>
        </w:tc>
        <w:tc>
          <w:tcPr>
            <w:tcW w:w="8845" w:type="dxa"/>
            <w:gridSpan w:val="3"/>
          </w:tcPr>
          <w:p w14:paraId="312AC26C" w14:textId="39C962CB" w:rsidR="00B807B8" w:rsidRPr="001455DC" w:rsidRDefault="00B807B8" w:rsidP="007E4AE7">
            <w:pPr>
              <w:pStyle w:val="Tablebody"/>
            </w:pPr>
            <w:r w:rsidRPr="001455DC">
              <w:t>where</w:t>
            </w:r>
          </w:p>
        </w:tc>
      </w:tr>
      <w:tr w:rsidR="00B807B8" w:rsidRPr="001455DC" w14:paraId="6E6A51F0" w14:textId="77777777" w:rsidTr="007E4AE7">
        <w:trPr>
          <w:cantSplit/>
        </w:trPr>
        <w:tc>
          <w:tcPr>
            <w:tcW w:w="567" w:type="dxa"/>
          </w:tcPr>
          <w:p w14:paraId="2CCCCC70" w14:textId="4C3DAC97" w:rsidR="00B807B8" w:rsidRPr="001455DC" w:rsidRDefault="00B807B8" w:rsidP="007E4AE7">
            <w:pPr>
              <w:pStyle w:val="Tablebody"/>
            </w:pPr>
            <w:r w:rsidRPr="001455DC">
              <w:t> </w:t>
            </w:r>
          </w:p>
        </w:tc>
        <w:tc>
          <w:tcPr>
            <w:tcW w:w="8845" w:type="dxa"/>
            <w:gridSpan w:val="3"/>
          </w:tcPr>
          <w:p w14:paraId="47CBBEFA" w14:textId="7C4E6F53" w:rsidR="00B807B8" w:rsidRPr="001455DC" w:rsidRDefault="00B807B8" w:rsidP="007E4AE7">
            <w:pPr>
              <w:pStyle w:val="Tablebody"/>
            </w:pPr>
            <w:r w:rsidRPr="001455DC">
              <w:rPr>
                <w:rStyle w:val="CCMCvariableitalic"/>
              </w:rPr>
              <w:t>a</w:t>
            </w:r>
            <w:r w:rsidRPr="001455DC">
              <w:rPr>
                <w:rStyle w:val="CCMCvariablesubscript"/>
              </w:rPr>
              <w:t>1</w:t>
            </w:r>
            <w:r w:rsidRPr="001455DC">
              <w:t> </w:t>
            </w:r>
            <w:r w:rsidR="00EC27D2" w:rsidRPr="001455DC">
              <w:rPr>
                <w:rFonts w:ascii="Cambria Math" w:hAnsi="Cambria Math"/>
              </w:rPr>
              <w:t>=</w:t>
            </w:r>
            <w:r w:rsidRPr="001455DC">
              <w:t> min{</w:t>
            </w:r>
            <w:r w:rsidRPr="001455DC">
              <w:rPr>
                <w:rStyle w:val="CCMCvariableitalic"/>
              </w:rPr>
              <w:t>c</w:t>
            </w:r>
            <w:r w:rsidRPr="001455DC">
              <w:rPr>
                <w:rStyle w:val="CCMCvariablesubscript"/>
              </w:rPr>
              <w:t>1</w:t>
            </w:r>
            <w:r w:rsidRPr="001455DC">
              <w:t xml:space="preserve">; </w:t>
            </w:r>
            <w:r w:rsidRPr="001455DC">
              <w:rPr>
                <w:rStyle w:val="CCMCvariableitalic"/>
              </w:rPr>
              <w:t>c</w:t>
            </w:r>
            <w:r w:rsidRPr="001455DC">
              <w:rPr>
                <w:rStyle w:val="CCMCvariablesubscript"/>
              </w:rPr>
              <w:t>2</w:t>
            </w:r>
            <w:r w:rsidRPr="001455DC">
              <w:t>};</w:t>
            </w:r>
          </w:p>
        </w:tc>
      </w:tr>
      <w:tr w:rsidR="00B807B8" w:rsidRPr="001455DC" w14:paraId="09A0F7B8" w14:textId="77777777" w:rsidTr="007E4AE7">
        <w:trPr>
          <w:cantSplit/>
        </w:trPr>
        <w:tc>
          <w:tcPr>
            <w:tcW w:w="567" w:type="dxa"/>
          </w:tcPr>
          <w:p w14:paraId="078F187A" w14:textId="7F4BF6FA" w:rsidR="00B807B8" w:rsidRPr="001455DC" w:rsidRDefault="00B807B8" w:rsidP="007E4AE7">
            <w:pPr>
              <w:pStyle w:val="Tablebody"/>
            </w:pPr>
            <w:r w:rsidRPr="001455DC">
              <w:t> </w:t>
            </w:r>
          </w:p>
        </w:tc>
        <w:tc>
          <w:tcPr>
            <w:tcW w:w="8845" w:type="dxa"/>
            <w:gridSpan w:val="3"/>
          </w:tcPr>
          <w:p w14:paraId="17AAAC4E" w14:textId="728E48D2" w:rsidR="00B807B8" w:rsidRPr="001455DC" w:rsidRDefault="00B807B8" w:rsidP="007E4AE7">
            <w:pPr>
              <w:pStyle w:val="Tablebody"/>
            </w:pPr>
            <w:r w:rsidRPr="001455DC">
              <w:rPr>
                <w:rStyle w:val="CCMCvariableitalic"/>
              </w:rPr>
              <w:t>b</w:t>
            </w:r>
            <w:r w:rsidRPr="001455DC">
              <w:rPr>
                <w:rStyle w:val="CCMCvariablesubscript"/>
              </w:rPr>
              <w:t>1</w:t>
            </w:r>
            <w:r w:rsidRPr="001455DC">
              <w:t> </w:t>
            </w:r>
            <w:r w:rsidR="00EC27D2" w:rsidRPr="001455DC">
              <w:rPr>
                <w:rFonts w:ascii="Cambria Math" w:hAnsi="Cambria Math"/>
              </w:rPr>
              <w:t>=</w:t>
            </w:r>
            <w:r w:rsidRPr="001455DC">
              <w:t> min{</w:t>
            </w:r>
            <w:r w:rsidRPr="001455DC">
              <w:rPr>
                <w:rStyle w:val="CCMCvariableitalic"/>
              </w:rPr>
              <w:t>b</w:t>
            </w:r>
            <w:r w:rsidRPr="001455DC">
              <w:rPr>
                <w:rStyle w:val="CCMCvariablesubscript"/>
              </w:rPr>
              <w:t>0</w:t>
            </w:r>
            <w:r w:rsidR="00EC27D2" w:rsidRPr="001455DC">
              <w:rPr>
                <w:rFonts w:ascii="Cambria Math" w:hAnsi="Cambria Math"/>
              </w:rPr>
              <w:t> + </w:t>
            </w:r>
            <w:r w:rsidRPr="001455DC">
              <w:t>(</w:t>
            </w:r>
            <w:r w:rsidRPr="001455DC">
              <w:rPr>
                <w:rStyle w:val="CCMCvariableitalic"/>
              </w:rPr>
              <w:t>a</w:t>
            </w:r>
            <w:r w:rsidRPr="001455DC">
              <w:rPr>
                <w:rStyle w:val="CCMCvariablesubscript"/>
              </w:rPr>
              <w:t>1</w:t>
            </w:r>
            <w:r w:rsidRPr="001455DC">
              <w:t> </w:t>
            </w:r>
            <w:r w:rsidR="00EC27D2" w:rsidRPr="001455DC">
              <w:rPr>
                <w:rFonts w:ascii="Cambria Math" w:hAnsi="Cambria Math"/>
              </w:rPr>
              <w:t>−</w:t>
            </w:r>
            <w:r w:rsidRPr="001455DC">
              <w:t> </w:t>
            </w:r>
            <w:r w:rsidRPr="001455DC">
              <w:rPr>
                <w:rStyle w:val="CCMCvariableitalic"/>
              </w:rPr>
              <w:t>a</w:t>
            </w:r>
            <w:r w:rsidRPr="001455DC">
              <w:rPr>
                <w:rStyle w:val="CCMCvariablesubscript"/>
              </w:rPr>
              <w:t>0</w:t>
            </w:r>
            <w:r w:rsidRPr="001455DC">
              <w:t>); max{</w:t>
            </w:r>
            <w:r w:rsidRPr="001455DC">
              <w:rPr>
                <w:rStyle w:val="CCMCvariableitalic"/>
              </w:rPr>
              <w:t>c</w:t>
            </w:r>
            <w:r w:rsidRPr="001455DC">
              <w:rPr>
                <w:rStyle w:val="CCMCvariablesubscript"/>
              </w:rPr>
              <w:t>1</w:t>
            </w:r>
            <w:r w:rsidRPr="001455DC">
              <w:t xml:space="preserve">; </w:t>
            </w:r>
            <w:r w:rsidRPr="001455DC">
              <w:rPr>
                <w:rStyle w:val="CCMCvariableitalic"/>
              </w:rPr>
              <w:t>c</w:t>
            </w:r>
            <w:r w:rsidRPr="001455DC">
              <w:rPr>
                <w:rStyle w:val="CCMCvariablesubscript"/>
              </w:rPr>
              <w:t>2</w:t>
            </w:r>
            <w:r w:rsidRPr="001455DC">
              <w:t xml:space="preserve">}} with </w:t>
            </w:r>
            <w:r w:rsidRPr="001455DC">
              <w:rPr>
                <w:rStyle w:val="CCMCvariableitalic"/>
              </w:rPr>
              <w:t>a</w:t>
            </w:r>
            <w:r w:rsidRPr="001455DC">
              <w:rPr>
                <w:rStyle w:val="CCMCvariablesubscript"/>
              </w:rPr>
              <w:t>1</w:t>
            </w:r>
            <w:r w:rsidRPr="001455DC">
              <w:t> </w:t>
            </w:r>
            <w:r w:rsidR="00650035" w:rsidRPr="001455DC">
              <w:rPr>
                <w:rFonts w:ascii="Cambria Math" w:hAnsi="Cambria Math"/>
              </w:rPr>
              <w:t>≤</w:t>
            </w:r>
            <w:r w:rsidRPr="001455DC">
              <w:t> </w:t>
            </w:r>
            <w:r w:rsidRPr="001455DC">
              <w:rPr>
                <w:rStyle w:val="CCMCvariableitalic"/>
              </w:rPr>
              <w:t>b</w:t>
            </w:r>
            <w:r w:rsidRPr="001455DC">
              <w:rPr>
                <w:rStyle w:val="CCMCvariablesubscript"/>
              </w:rPr>
              <w:t>1</w:t>
            </w:r>
            <w:r w:rsidRPr="001455DC">
              <w:t>;</w:t>
            </w:r>
          </w:p>
        </w:tc>
      </w:tr>
      <w:tr w:rsidR="00B807B8" w:rsidRPr="001455DC" w14:paraId="1837C89E" w14:textId="77777777" w:rsidTr="007E4AE7">
        <w:trPr>
          <w:cantSplit/>
        </w:trPr>
        <w:tc>
          <w:tcPr>
            <w:tcW w:w="567" w:type="dxa"/>
          </w:tcPr>
          <w:p w14:paraId="257F3C32" w14:textId="06591504" w:rsidR="00B807B8" w:rsidRPr="001455DC" w:rsidRDefault="00B807B8" w:rsidP="007E4AE7">
            <w:pPr>
              <w:pStyle w:val="Tablebody"/>
            </w:pPr>
            <w:r w:rsidRPr="001455DC">
              <w:t> </w:t>
            </w:r>
          </w:p>
        </w:tc>
        <w:tc>
          <w:tcPr>
            <w:tcW w:w="8845" w:type="dxa"/>
            <w:gridSpan w:val="3"/>
          </w:tcPr>
          <w:p w14:paraId="1D351372" w14:textId="16B9118B" w:rsidR="00B807B8" w:rsidRPr="001455DC" w:rsidRDefault="00B807B8" w:rsidP="007E4AE7">
            <w:pPr>
              <w:pStyle w:val="Tablebody"/>
              <w:rPr>
                <w:rStyle w:val="CCMCvariableitalic"/>
              </w:rPr>
            </w:pPr>
            <w:r w:rsidRPr="009D3012">
              <w:t xml:space="preserve">The minimum height of block should be </w:t>
            </w:r>
            <w:r w:rsidRPr="001455DC">
              <w:rPr>
                <w:rStyle w:val="CCMCvariableitalic"/>
              </w:rPr>
              <w:t>h</w:t>
            </w:r>
            <w:r w:rsidRPr="001455DC">
              <w:t> </w:t>
            </w:r>
            <w:r w:rsidR="00650035" w:rsidRPr="001455DC">
              <w:rPr>
                <w:rFonts w:ascii="Cambria Math" w:hAnsi="Cambria Math"/>
              </w:rPr>
              <w:t>≥</w:t>
            </w:r>
            <w:r w:rsidRPr="001455DC">
              <w:t> </w:t>
            </w:r>
            <w:r w:rsidRPr="001455DC">
              <w:rPr>
                <w:rStyle w:val="CCMCvariableitalic"/>
              </w:rPr>
              <w:t>a</w:t>
            </w:r>
            <w:r w:rsidRPr="001455DC">
              <w:rPr>
                <w:rStyle w:val="CCMCvariablesubscript"/>
              </w:rPr>
              <w:t>1</w:t>
            </w:r>
            <w:r w:rsidRPr="001455DC">
              <w:t xml:space="preserve"> (see Figure 8.32c)).</w:t>
            </w:r>
          </w:p>
        </w:tc>
      </w:tr>
    </w:tbl>
    <w:p w14:paraId="29E06658" w14:textId="2F4D284D" w:rsidR="004E22C1" w:rsidRPr="001455DC" w:rsidRDefault="004E22C1" w:rsidP="00CD6899">
      <w:pPr>
        <w:pStyle w:val="a7"/>
      </w:pPr>
      <w:r w:rsidRPr="001455DC">
        <w:t>Formula (8.</w:t>
      </w:r>
      <w:r w:rsidR="00F9418B" w:rsidRPr="001455DC">
        <w:t>105</w:t>
      </w:r>
      <w:r w:rsidRPr="001455DC">
        <w:t xml:space="preserve">) is only valid under the assumption of the same diffusion of load in both transverse directions (geometric similarity of </w:t>
      </w:r>
      <w:r w:rsidRPr="001455DC">
        <w:rPr>
          <w:rStyle w:val="CCMCvariableitalic"/>
        </w:rPr>
        <w:t>A</w:t>
      </w:r>
      <w:r w:rsidRPr="001455DC">
        <w:rPr>
          <w:rStyle w:val="CCMCvariablesubscript"/>
        </w:rPr>
        <w:t>c1</w:t>
      </w:r>
      <w:r w:rsidRPr="001455DC">
        <w:t xml:space="preserve"> and </w:t>
      </w:r>
      <w:r w:rsidRPr="001455DC">
        <w:rPr>
          <w:rStyle w:val="CCMCvariableitalic"/>
        </w:rPr>
        <w:t>A</w:t>
      </w:r>
      <w:r w:rsidRPr="001455DC">
        <w:rPr>
          <w:rStyle w:val="CCMCvariablesubscript"/>
        </w:rPr>
        <w:t>c0</w:t>
      </w:r>
      <w:r w:rsidRPr="001455DC">
        <w:t>).</w:t>
      </w:r>
    </w:p>
    <w:tbl>
      <w:tblPr>
        <w:tblStyle w:val="a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876"/>
        <w:gridCol w:w="4876"/>
      </w:tblGrid>
      <w:tr w:rsidR="00C603F8" w:rsidRPr="001455DC" w14:paraId="633FC978" w14:textId="77777777" w:rsidTr="00A35599">
        <w:trPr>
          <w:cantSplit/>
          <w:jc w:val="center"/>
        </w:trPr>
        <w:tc>
          <w:tcPr>
            <w:tcW w:w="4876" w:type="dxa"/>
          </w:tcPr>
          <w:p w14:paraId="448843B9" w14:textId="3EF33FDB" w:rsidR="00C603F8" w:rsidRPr="001455DC" w:rsidRDefault="00723CF7" w:rsidP="00C603F8">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"Y:\\STD_MGT\\STDDEL\\PRODUCTION\\etrans\\Download\\Z_FIRST_DEL\\SV\\00250\\00250269\\41_e_dr\\8_032a.tif"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"Y:\\STD_MGT\\STDDEL\\PRODUCTION\\Standards\\00250\\269\\41_e_dr\\8_032a.tif"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"Y:\\STD_MGT\\STDDEL\\PRODUCTION\\Standards\\00250\\269\\41_e_dr\\8_032a.tif"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"Y:\\STD_MGT\\STDDEL\\PRODUCTION\\Standards\\00250\\269\\41_e_dr\\8_032a.tif"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"Y:\\STD_MGT\\STDDEL\\PRODUCTION\\Standards\\00250\\269\\41_e_dr\\8_032a.tif"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"Y:\\STD_MGT\\STDDEL\\PRODUCTION\\Standards\\00250\\269\\41_e_dr\\8_032a.tif"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"C:\\Users\\a.dionysiou\\AppData\\Local\\Temp\\Temp1_00250269_e_20210902.zip.zip\\41_e_dr\\8_032a.tif"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267EA532">
                <v:shape id="_x0000_i1201" type="#_x0000_t75" style="width:155.25pt;height:174pt">
                  <v:imagedata r:id="rId372" r:href="rId373"/>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4876" w:type="dxa"/>
          </w:tcPr>
          <w:p w14:paraId="3A9AE494" w14:textId="4774BB21" w:rsidR="00C603F8" w:rsidRPr="001455DC" w:rsidRDefault="00723CF7" w:rsidP="00C603F8">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"Y:\\STD_MGT\\STDDEL\\PRODUCTION\\etrans\\Download\\Z_FIRST_DEL\\SV\\00250\\00250269\\41_e_dr\\8_032b.tif"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"Y:\\STD_MGT\\STDDEL\\PRODUCTION\\Standards\\00250\\269\\41_e_dr\\8_032b.tif"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"Y:\\STD_MGT\\STDDEL\\PRODUCTION\\Standards\\00250\\269\\41_e_dr\\8_032b.tif"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"Y:\\STD_MGT\\STDDEL\\PRODUCTION\\Standards\\00250\\269\\41_e_dr\\8_032b.tif"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"Y:\\STD_MGT\\STDDEL\\PRODUCTION\\Standards\\00250\\269\\41_e_dr\\8_032b.tif"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"Y:\\STD_MGT\\STDDEL\\PRODUCTION\\Standards\\00250\\269\\41_e_dr\\8_032b.tif"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w:instrText>
            </w:r>
            <w:r w:rsidR="00231E33">
              <w:rPr>
                <w:noProof/>
                <w:lang w:eastAsia="en-GB"/>
              </w:rPr>
              <w:instrText>l\\Temp\\Temp1_00250269_e_20210902.zip.zip\\41_e_dr\\8_032b.tif"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63943DE9">
                <v:shape id="_x0000_i1202" type="#_x0000_t75" style="width:154.5pt;height:174pt">
                  <v:imagedata r:id="rId374" r:href="rId375"/>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C603F8" w:rsidRPr="001455DC" w14:paraId="509ACC8F" w14:textId="77777777" w:rsidTr="00A35599">
        <w:trPr>
          <w:cantSplit/>
          <w:jc w:val="center"/>
        </w:trPr>
        <w:tc>
          <w:tcPr>
            <w:tcW w:w="4876" w:type="dxa"/>
          </w:tcPr>
          <w:p w14:paraId="2120FA48" w14:textId="699C6742" w:rsidR="00C603F8" w:rsidRPr="001455DC" w:rsidRDefault="00C603F8" w:rsidP="00C603F8">
            <w:pPr>
              <w:pStyle w:val="FigureText"/>
              <w:jc w:val="left"/>
            </w:pPr>
            <w:r w:rsidRPr="001455DC">
              <w:rPr>
                <w:b/>
                <w:bCs/>
              </w:rPr>
              <w:t>a) 3-dimensional load distribution</w:t>
            </w:r>
          </w:p>
        </w:tc>
        <w:tc>
          <w:tcPr>
            <w:tcW w:w="4876" w:type="dxa"/>
          </w:tcPr>
          <w:p w14:paraId="092E4F09" w14:textId="741008F4" w:rsidR="00C603F8" w:rsidRPr="001455DC" w:rsidRDefault="00C603F8" w:rsidP="00C603F8">
            <w:pPr>
              <w:pStyle w:val="FigureText"/>
              <w:jc w:val="left"/>
            </w:pPr>
            <w:r w:rsidRPr="001455DC">
              <w:rPr>
                <w:b/>
                <w:bCs/>
              </w:rPr>
              <w:t>b) 2-dimensional load distribution</w:t>
            </w:r>
          </w:p>
        </w:tc>
      </w:tr>
    </w:tbl>
    <w:p w14:paraId="3883E06B" w14:textId="62C30574" w:rsidR="00491BE1" w:rsidRDefault="00723CF7" w:rsidP="003F0CF8">
      <w:pPr>
        <w:pStyle w:val="FigureText"/>
        <w:jc w:val="center"/>
      </w:pPr>
      <w:r>
        <w:rPr>
          <w:noProof/>
          <w:lang w:eastAsia="en-GB"/>
        </w:rPr>
        <w:fldChar w:fldCharType="begin"/>
      </w:r>
      <w:r>
        <w:rPr>
          <w:noProof/>
          <w:lang w:eastAsia="en-GB"/>
        </w:rPr>
        <w:instrText xml:space="preserve"> INCLUDEPICTURE  "Y:\\STD_MGT\\STDDEL\\PRODUCTION\\etrans\\Download\\Z_FIRST_DEL\\SV\\00250\\00250269\\41_e_dr\\8_032c.tif"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"Y:\\STD_MGT\\STDDEL\\PRODUCTION\\Standards\\00250\\269\\41_e_dr\\8_032c.tif"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"Y:\\STD_MGT\\STDDEL\\PRODUCTION\\Standards\\00250\\269\\41_e_dr\\8_032c.tif"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"Y:\\STD_MGT\\STDDEL\\PRODUCTION\\Standards\\00250\\269\\41_e_dr\\8_032c.tif"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"Y:\\STD_MGT\\STDDEL\\PRODUCTION\\Standards\\00250\\269\\41_e_dr\\8_032c.tif"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"Y:\\STD_MGT\\STDDEL\\PRODUCTION\\Standards\\00250\\269\\41_e_dr\\8_032c.tif"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w:instrText>
      </w:r>
      <w:r w:rsidR="00231E33">
        <w:rPr>
          <w:noProof/>
          <w:lang w:eastAsia="en-GB"/>
        </w:rPr>
        <w:instrText>l\\Temp\\Temp1_00250269_e_20210902.zip.zip\\41_e_dr\\8_032c.tif"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4918102D">
          <v:shape id="_x0000_i1203" type="#_x0000_t75" style="width:144.75pt;height:166.5pt">
            <v:imagedata r:id="rId376" r:href="rId377"/>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03C4D8CE" w14:textId="46CDEC5A" w:rsidR="004E22C1" w:rsidRPr="001455DC" w:rsidRDefault="004E22C1" w:rsidP="00C603F8">
      <w:pPr>
        <w:pStyle w:val="FigureText"/>
        <w:rPr>
          <w:b/>
          <w:bCs/>
        </w:rPr>
      </w:pPr>
      <w:r w:rsidRPr="001455DC">
        <w:rPr>
          <w:b/>
          <w:bCs/>
        </w:rPr>
        <w:t xml:space="preserve">c) Assumed strut-and-tie model with spread/inclination of 1/2 with </w:t>
      </w:r>
      <w:r w:rsidRPr="001455DC">
        <w:rPr>
          <w:rStyle w:val="CCMCvariableitalic"/>
          <w:b/>
          <w:bCs/>
        </w:rPr>
        <w:t>h</w:t>
      </w:r>
      <w:r w:rsidRPr="001455DC">
        <w:rPr>
          <w:b/>
          <w:bCs/>
        </w:rPr>
        <w:t> </w:t>
      </w:r>
      <w:r w:rsidR="00650035" w:rsidRPr="001455DC">
        <w:rPr>
          <w:rFonts w:ascii="Cambria Math" w:hAnsi="Cambria Math"/>
          <w:b/>
          <w:bCs/>
        </w:rPr>
        <w:t>≤</w:t>
      </w:r>
      <w:r w:rsidRPr="001455DC">
        <w:rPr>
          <w:b/>
          <w:bCs/>
        </w:rPr>
        <w:t> </w:t>
      </w:r>
      <w:r w:rsidRPr="001455DC">
        <w:rPr>
          <w:rStyle w:val="CCMCvariableitalic"/>
          <w:b/>
          <w:bCs/>
        </w:rPr>
        <w:t>a</w:t>
      </w:r>
      <w:r w:rsidRPr="001455DC">
        <w:rPr>
          <w:rStyle w:val="CCMCvariablesubscript"/>
          <w:b/>
          <w:bCs/>
        </w:rPr>
        <w:t>1</w:t>
      </w:r>
    </w:p>
    <w:p w14:paraId="31BE067E" w14:textId="77777777" w:rsidR="004E22C1" w:rsidRPr="001455DC" w:rsidRDefault="004E22C1" w:rsidP="00777CB3">
      <w:pPr>
        <w:pStyle w:val="Figuretitle"/>
        <w:rPr>
          <w:noProof/>
          <w:lang w:eastAsia="de-DE"/>
        </w:rPr>
      </w:pPr>
      <w:r w:rsidRPr="001455DC">
        <w:t>Figure 8.32 — Dimensions of loaded area and contributing concrete area</w:t>
      </w:r>
    </w:p>
    <w:p w14:paraId="00D09745" w14:textId="41EB782F" w:rsidR="009B455E" w:rsidRDefault="009B455E" w:rsidP="00777CB3">
      <w:pPr>
        <w:pStyle w:val="FigureImage"/>
      </w:pPr>
    </w:p>
    <w:tbl>
      <w:tblPr>
        <w:tblStyle w:val="ad"/>
        <w:tblW w:w="0" w:type="auto"/>
        <w:tblLook w:val="04A0" w:firstRow="1" w:lastRow="0" w:firstColumn="1" w:lastColumn="0" w:noHBand="0" w:noVBand="1"/>
      </w:tblPr>
      <w:tblGrid>
        <w:gridCol w:w="5153"/>
        <w:gridCol w:w="4588"/>
      </w:tblGrid>
      <w:tr w:rsidR="009B455E" w14:paraId="19ADAAB5" w14:textId="77777777" w:rsidTr="003F0CF8">
        <w:tc>
          <w:tcPr>
            <w:tcW w:w="4870" w:type="dxa"/>
          </w:tcPr>
          <w:p w14:paraId="3DED7439" w14:textId="347D56D0" w:rsidR="009B455E" w:rsidRDefault="00723CF7" w:rsidP="00777CB3">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"Y:\\STD_MGT\\STDDEL\\PRODUCTION\\etrans\\Download\\Z_FIRST_DEL\\SV\\00250\\00250269\\41_e_dr\\8_033.tif"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"Y:\\STD_MGT\\STDDEL\\PRODUCTION\\Standards\\00250\\269\\41_e_dr\\8_033.tif"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"Y:\\STD_MGT\\STDDEL\\PRODUCTION\\Standards\\00250\\269\\41_e_dr\\8_033.tif"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"Y:\\STD_MGT\\STDDEL\\PRODUCTION\\Standards\\00250\\269\\41_e_dr\\8_033.tif"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"Y:\\STD_MGT\\STDDEL\\PRODUCTION\\Standards\\00250\\269\\41_e_dr\\8_033.tif"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"Y:\\STD_MGT\\STDDEL\\PRODUCTION\\Standards\\00250\\269\\41_e_dr\\8_033.tif"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w:instrText>
            </w:r>
            <w:r w:rsidR="00231E33">
              <w:rPr>
                <w:noProof/>
                <w:lang w:eastAsia="en-GB"/>
              </w:rPr>
              <w:instrText>p\\Temp1_00250269_e_20210902.zip.zip\\41_e_dr\\8_033.tif"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3B3163D7">
                <v:shape id="_x0000_i1204" type="#_x0000_t75" style="width:246.75pt;height:157.5pt">
                  <v:imagedata r:id="rId378" r:href="rId379"/>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4871" w:type="dxa"/>
            <w:vAlign w:val="center"/>
          </w:tcPr>
          <w:p w14:paraId="478F3B8D" w14:textId="77777777" w:rsidR="009B455E" w:rsidRPr="009B455E" w:rsidRDefault="00231E33">
            <w:pPr>
              <w:pStyle w:val="FigureImage"/>
            </w:pPr>
            <m:oMathPara>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2,F</m:t>
                        </m:r>
                      </m:e>
                      <m:sub>
                        <m:r>
                          <w:rPr>
                            <w:rFonts w:ascii="Cambria Math" w:hAnsi="Cambria Math"/>
                          </w:rPr>
                          <m:t>1</m:t>
                        </m:r>
                      </m:sub>
                    </m:sSub>
                  </m:sub>
                </m:sSub>
                <m:r>
                  <w:rPr>
                    <w:rFonts w:ascii="Cambria Math" w:hAnsi="Cambria Math"/>
                  </w:rPr>
                  <m:t>=s+</m:t>
                </m:r>
                <m:f>
                  <m:fPr>
                    <m:ctrlPr>
                      <w:rPr>
                        <w:rFonts w:ascii="Cambria Math" w:hAnsi="Cambria Math"/>
                      </w:rPr>
                    </m:ctrlPr>
                  </m:fPr>
                  <m:num>
                    <m:sSub>
                      <m:sSubPr>
                        <m:ctrlPr>
                          <w:rPr>
                            <w:rFonts w:ascii="Cambria Math" w:hAnsi="Cambria Math"/>
                            <w:i/>
                          </w:rPr>
                        </m:ctrlPr>
                      </m:sSubPr>
                      <m:e>
                        <m:r>
                          <w:rPr>
                            <w:rFonts w:ascii="Cambria Math" w:hAnsi="Cambria Math"/>
                          </w:rPr>
                          <m:t>a</m:t>
                        </m:r>
                      </m:e>
                      <m:sub>
                        <m:r>
                          <w:rPr>
                            <w:rFonts w:ascii="Cambria Math" w:hAnsi="Cambria Math"/>
                          </w:rPr>
                          <m:t>0,</m:t>
                        </m:r>
                        <m:sSub>
                          <m:sSubPr>
                            <m:ctrlPr>
                              <w:rPr>
                                <w:rFonts w:ascii="Cambria Math" w:hAnsi="Cambria Math"/>
                                <w:i/>
                              </w:rPr>
                            </m:ctrlPr>
                          </m:sSubPr>
                          <m:e>
                            <m:r>
                              <w:rPr>
                                <w:rFonts w:ascii="Cambria Math" w:hAnsi="Cambria Math"/>
                              </w:rPr>
                              <m:t>F</m:t>
                            </m:r>
                          </m:e>
                          <m:sub>
                            <m:r>
                              <w:rPr>
                                <w:rFonts w:ascii="Cambria Math" w:hAnsi="Cambria Math"/>
                              </w:rPr>
                              <m:t>1</m:t>
                            </m:r>
                          </m:sub>
                        </m:sSub>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0,</m:t>
                        </m:r>
                        <m:sSub>
                          <m:sSubPr>
                            <m:ctrlPr>
                              <w:rPr>
                                <w:rFonts w:ascii="Cambria Math" w:hAnsi="Cambria Math"/>
                                <w:i/>
                              </w:rPr>
                            </m:ctrlPr>
                          </m:sSubPr>
                          <m:e>
                            <m:r>
                              <w:rPr>
                                <w:rFonts w:ascii="Cambria Math" w:hAnsi="Cambria Math"/>
                              </w:rPr>
                              <m:t>F</m:t>
                            </m:r>
                          </m:e>
                          <m:sub>
                            <m:r>
                              <w:rPr>
                                <w:rFonts w:ascii="Cambria Math" w:hAnsi="Cambria Math"/>
                              </w:rPr>
                              <m:t>2</m:t>
                            </m:r>
                          </m:sub>
                        </m:sSub>
                      </m:sub>
                    </m:sSub>
                  </m:num>
                  <m:den>
                    <m:r>
                      <w:rPr>
                        <w:rFonts w:ascii="Cambria Math" w:hAnsi="Cambria Math"/>
                      </w:rPr>
                      <m:t>2</m:t>
                    </m:r>
                  </m:den>
                </m:f>
              </m:oMath>
            </m:oMathPara>
          </w:p>
          <w:p w14:paraId="59908E3D" w14:textId="5E7C727B" w:rsidR="009B455E" w:rsidRDefault="00231E33">
            <w:pPr>
              <w:pStyle w:val="FigureImage"/>
            </w:pPr>
            <m:oMathPara>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2,F</m:t>
                        </m:r>
                      </m:e>
                      <m:sub>
                        <m:r>
                          <w:rPr>
                            <w:rFonts w:ascii="Cambria Math" w:hAnsi="Cambria Math"/>
                          </w:rPr>
                          <m:t>2</m:t>
                        </m:r>
                      </m:sub>
                    </m:sSub>
                  </m:sub>
                </m:sSub>
                <m:r>
                  <w:rPr>
                    <w:rFonts w:ascii="Cambria Math" w:hAnsi="Cambria Math"/>
                  </w:rPr>
                  <m:t>=s+</m:t>
                </m:r>
                <m:f>
                  <m:fPr>
                    <m:ctrlPr>
                      <w:rPr>
                        <w:rFonts w:ascii="Cambria Math" w:hAnsi="Cambria Math"/>
                      </w:rPr>
                    </m:ctrlPr>
                  </m:fPr>
                  <m:num>
                    <m:sSub>
                      <m:sSubPr>
                        <m:ctrlPr>
                          <w:rPr>
                            <w:rFonts w:ascii="Cambria Math" w:hAnsi="Cambria Math"/>
                            <w:i/>
                          </w:rPr>
                        </m:ctrlPr>
                      </m:sSubPr>
                      <m:e>
                        <m:r>
                          <w:rPr>
                            <w:rFonts w:ascii="Cambria Math" w:hAnsi="Cambria Math"/>
                          </w:rPr>
                          <m:t>a</m:t>
                        </m:r>
                      </m:e>
                      <m:sub>
                        <m:r>
                          <w:rPr>
                            <w:rFonts w:ascii="Cambria Math" w:hAnsi="Cambria Math"/>
                          </w:rPr>
                          <m:t>0,</m:t>
                        </m:r>
                        <m:sSub>
                          <m:sSubPr>
                            <m:ctrlPr>
                              <w:rPr>
                                <w:rFonts w:ascii="Cambria Math" w:hAnsi="Cambria Math"/>
                                <w:i/>
                              </w:rPr>
                            </m:ctrlPr>
                          </m:sSubPr>
                          <m:e>
                            <m:r>
                              <w:rPr>
                                <w:rFonts w:ascii="Cambria Math" w:hAnsi="Cambria Math"/>
                              </w:rPr>
                              <m:t>F</m:t>
                            </m:r>
                          </m:e>
                          <m:sub>
                            <m:r>
                              <w:rPr>
                                <w:rFonts w:ascii="Cambria Math" w:hAnsi="Cambria Math"/>
                              </w:rPr>
                              <m:t>2</m:t>
                            </m:r>
                          </m:sub>
                        </m:sSub>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0,</m:t>
                        </m:r>
                        <m:sSub>
                          <m:sSubPr>
                            <m:ctrlPr>
                              <w:rPr>
                                <w:rFonts w:ascii="Cambria Math" w:hAnsi="Cambria Math"/>
                                <w:i/>
                              </w:rPr>
                            </m:ctrlPr>
                          </m:sSubPr>
                          <m:e>
                            <m:r>
                              <w:rPr>
                                <w:rFonts w:ascii="Cambria Math" w:hAnsi="Cambria Math"/>
                              </w:rPr>
                              <m:t>F</m:t>
                            </m:r>
                          </m:e>
                          <m:sub>
                            <m:r>
                              <w:rPr>
                                <w:rFonts w:ascii="Cambria Math" w:hAnsi="Cambria Math"/>
                              </w:rPr>
                              <m:t>1</m:t>
                            </m:r>
                          </m:sub>
                        </m:sSub>
                      </m:sub>
                    </m:sSub>
                  </m:num>
                  <m:den>
                    <m:r>
                      <w:rPr>
                        <w:rFonts w:ascii="Cambria Math" w:hAnsi="Cambria Math"/>
                      </w:rPr>
                      <m:t>2</m:t>
                    </m:r>
                  </m:den>
                </m:f>
              </m:oMath>
            </m:oMathPara>
          </w:p>
        </w:tc>
      </w:tr>
    </w:tbl>
    <w:p w14:paraId="5EADF4D2" w14:textId="77777777" w:rsidR="004E22C1" w:rsidRPr="001455DC" w:rsidRDefault="004E22C1" w:rsidP="00777CB3">
      <w:pPr>
        <w:pStyle w:val="Figuretitle"/>
      </w:pPr>
      <w:r w:rsidRPr="001455DC">
        <w:t>Figure 8.33 — Side lengths for loaded areas of different size</w:t>
      </w:r>
    </w:p>
    <w:p w14:paraId="087F5DEC" w14:textId="67F303CD" w:rsidR="00491BE1" w:rsidRDefault="00723CF7" w:rsidP="00777CB3">
      <w:pPr>
        <w:pStyle w:val="Figuretitle"/>
      </w:pPr>
      <w:r>
        <w:rPr>
          <w:rFonts w:eastAsia="Times New Roman"/>
          <w:noProof/>
          <w:lang w:eastAsia="en-GB"/>
        </w:rPr>
        <w:fldChar w:fldCharType="begin"/>
      </w:r>
      <w:r>
        <w:rPr>
          <w:rFonts w:eastAsia="Times New Roman"/>
          <w:noProof/>
          <w:lang w:eastAsia="en-GB"/>
        </w:rPr>
        <w:instrText xml:space="preserve"> INCLUDEPICTURE  "Y:\\STD_MGT\\STDDEL\\PRODUCTION\\etrans\\Download\\Z_FIRST_DEL\\SV\\00250\\00250269\\41_e_dr\\8_034.tif" \* MERGEFORMATINET </w:instrText>
      </w:r>
      <w:r>
        <w:rPr>
          <w:rFonts w:eastAsia="Times New Roman"/>
          <w:noProof/>
          <w:lang w:eastAsia="en-GB"/>
        </w:rPr>
        <w:fldChar w:fldCharType="separate"/>
      </w:r>
      <w:r w:rsidR="00FA575F">
        <w:rPr>
          <w:rFonts w:eastAsia="Times New Roman"/>
          <w:noProof/>
          <w:lang w:eastAsia="en-GB"/>
        </w:rPr>
        <w:fldChar w:fldCharType="begin"/>
      </w:r>
      <w:r w:rsidR="00FA575F">
        <w:rPr>
          <w:rFonts w:eastAsia="Times New Roman"/>
          <w:noProof/>
          <w:lang w:eastAsia="en-GB"/>
        </w:rPr>
        <w:instrText xml:space="preserve"> INCLUDEPICTURE  "Y:\\STD_MGT\\STDDEL\\PRODUCTION\\Standards\\00250\\269\\41_e_dr\\8_034.tif" \* MERGEFORMATINET </w:instrText>
      </w:r>
      <w:r w:rsidR="00FA575F">
        <w:rPr>
          <w:rFonts w:eastAsia="Times New Roman"/>
          <w:noProof/>
          <w:lang w:eastAsia="en-GB"/>
        </w:rPr>
        <w:fldChar w:fldCharType="separate"/>
      </w:r>
      <w:r w:rsidR="00C54E80">
        <w:rPr>
          <w:rFonts w:eastAsia="Times New Roman"/>
          <w:noProof/>
          <w:lang w:eastAsia="en-GB"/>
        </w:rPr>
        <w:fldChar w:fldCharType="begin"/>
      </w:r>
      <w:r w:rsidR="00C54E80">
        <w:rPr>
          <w:rFonts w:eastAsia="Times New Roman"/>
          <w:noProof/>
          <w:lang w:eastAsia="en-GB"/>
        </w:rPr>
        <w:instrText xml:space="preserve"> INCLUDEPICTURE  "Y:\\STD_MGT\\STDDEL\\PRODUCTION\\Standards\\00250\\269\\41_e_dr\\8_034.tif" \* MERGEFORMATINET </w:instrText>
      </w:r>
      <w:r w:rsidR="00C54E80">
        <w:rPr>
          <w:rFonts w:eastAsia="Times New Roman"/>
          <w:noProof/>
          <w:lang w:eastAsia="en-GB"/>
        </w:rPr>
        <w:fldChar w:fldCharType="separate"/>
      </w:r>
      <w:r w:rsidR="004B62E7">
        <w:rPr>
          <w:rFonts w:eastAsia="Times New Roman"/>
          <w:noProof/>
          <w:lang w:eastAsia="en-GB"/>
        </w:rPr>
        <w:fldChar w:fldCharType="begin"/>
      </w:r>
      <w:r w:rsidR="004B62E7">
        <w:rPr>
          <w:rFonts w:eastAsia="Times New Roman"/>
          <w:noProof/>
          <w:lang w:eastAsia="en-GB"/>
        </w:rPr>
        <w:instrText xml:space="preserve"> INCLUDEPICTURE  "Y:\\STD_MGT\\STDDEL\\PRODUCTION\\Standards\\00250\\269\\41_e_dr\\8_034.tif" \* MERGEFORMATINET </w:instrText>
      </w:r>
      <w:r w:rsidR="004B62E7">
        <w:rPr>
          <w:rFonts w:eastAsia="Times New Roman"/>
          <w:noProof/>
          <w:lang w:eastAsia="en-GB"/>
        </w:rPr>
        <w:fldChar w:fldCharType="separate"/>
      </w:r>
      <w:r w:rsidR="00B078F1">
        <w:rPr>
          <w:rFonts w:eastAsia="Times New Roman"/>
          <w:noProof/>
          <w:lang w:eastAsia="en-GB"/>
        </w:rPr>
        <w:fldChar w:fldCharType="begin"/>
      </w:r>
      <w:r w:rsidR="00B078F1">
        <w:rPr>
          <w:rFonts w:eastAsia="Times New Roman"/>
          <w:noProof/>
          <w:lang w:eastAsia="en-GB"/>
        </w:rPr>
        <w:instrText xml:space="preserve"> INCLUDEPICTURE  "Y:\\STD_MGT\\STDDEL\\PRODUCTION\\Standards\\00250\\269\\41_e_dr\\8_034.tif" \* MERGEFORMATINET </w:instrText>
      </w:r>
      <w:r w:rsidR="00B078F1">
        <w:rPr>
          <w:rFonts w:eastAsia="Times New Roman"/>
          <w:noProof/>
          <w:lang w:eastAsia="en-GB"/>
        </w:rPr>
        <w:fldChar w:fldCharType="separate"/>
      </w:r>
      <w:r w:rsidR="000250B6">
        <w:rPr>
          <w:rFonts w:eastAsia="Times New Roman"/>
          <w:noProof/>
          <w:lang w:eastAsia="en-GB"/>
        </w:rPr>
        <w:fldChar w:fldCharType="begin"/>
      </w:r>
      <w:r w:rsidR="000250B6">
        <w:rPr>
          <w:rFonts w:eastAsia="Times New Roman"/>
          <w:noProof/>
          <w:lang w:eastAsia="en-GB"/>
        </w:rPr>
        <w:instrText xml:space="preserve"> INCLUDEPICTURE  "Y:\\STD_MGT\\STDDEL\\PRODUCTION\\Standards\\00250\\269\\41_e_dr\\8_034.tif" \* MERGEFORMATINET </w:instrText>
      </w:r>
      <w:r w:rsidR="000250B6">
        <w:rPr>
          <w:rFonts w:eastAsia="Times New Roman"/>
          <w:noProof/>
          <w:lang w:eastAsia="en-GB"/>
        </w:rPr>
        <w:fldChar w:fldCharType="separate"/>
      </w:r>
      <w:r w:rsidR="00231E33">
        <w:rPr>
          <w:rFonts w:eastAsia="Times New Roman"/>
          <w:noProof/>
          <w:lang w:eastAsia="en-GB"/>
        </w:rPr>
        <w:fldChar w:fldCharType="begin"/>
      </w:r>
      <w:r w:rsidR="00231E33">
        <w:rPr>
          <w:rFonts w:eastAsia="Times New Roman"/>
          <w:noProof/>
          <w:lang w:eastAsia="en-GB"/>
        </w:rPr>
        <w:instrText xml:space="preserve"> </w:instrText>
      </w:r>
      <w:r w:rsidR="00231E33">
        <w:rPr>
          <w:rFonts w:eastAsia="Times New Roman"/>
          <w:noProof/>
          <w:lang w:eastAsia="en-GB"/>
        </w:rPr>
        <w:instrText>INCLUDEPICTURE  "C:\\Users\\a.dionysiou\\AppData\\Local\\Tem</w:instrText>
      </w:r>
      <w:r w:rsidR="00231E33">
        <w:rPr>
          <w:rFonts w:eastAsia="Times New Roman"/>
          <w:noProof/>
          <w:lang w:eastAsia="en-GB"/>
        </w:rPr>
        <w:instrText>p\\Temp1_00250269_e_20210902.zip.zip\\41_e_dr\\8_034.tif" \* MERGEFORMATINET</w:instrText>
      </w:r>
      <w:r w:rsidR="00231E33">
        <w:rPr>
          <w:rFonts w:eastAsia="Times New Roman"/>
          <w:noProof/>
          <w:lang w:eastAsia="en-GB"/>
        </w:rPr>
        <w:instrText xml:space="preserve"> </w:instrText>
      </w:r>
      <w:r w:rsidR="00231E33">
        <w:rPr>
          <w:rFonts w:eastAsia="Times New Roman"/>
          <w:noProof/>
          <w:lang w:eastAsia="en-GB"/>
        </w:rPr>
        <w:fldChar w:fldCharType="separate"/>
      </w:r>
      <w:r w:rsidR="00231E33">
        <w:rPr>
          <w:rFonts w:eastAsia="Times New Roman"/>
          <w:noProof/>
          <w:lang w:eastAsia="en-GB"/>
        </w:rPr>
        <w:pict w14:anchorId="70D0129C">
          <v:shape id="_x0000_i1205" type="#_x0000_t75" style="width:202.5pt;height:194.25pt">
            <v:imagedata r:id="rId380" r:href="rId381"/>
          </v:shape>
        </w:pict>
      </w:r>
      <w:r w:rsidR="00231E33">
        <w:rPr>
          <w:rFonts w:eastAsia="Times New Roman"/>
          <w:noProof/>
          <w:lang w:eastAsia="en-GB"/>
        </w:rPr>
        <w:fldChar w:fldCharType="end"/>
      </w:r>
      <w:r w:rsidR="000250B6">
        <w:rPr>
          <w:rFonts w:eastAsia="Times New Roman"/>
          <w:noProof/>
          <w:lang w:eastAsia="en-GB"/>
        </w:rPr>
        <w:fldChar w:fldCharType="end"/>
      </w:r>
      <w:r w:rsidR="00B078F1">
        <w:rPr>
          <w:rFonts w:eastAsia="Times New Roman"/>
          <w:noProof/>
          <w:lang w:eastAsia="en-GB"/>
        </w:rPr>
        <w:fldChar w:fldCharType="end"/>
      </w:r>
      <w:r w:rsidR="004B62E7">
        <w:rPr>
          <w:rFonts w:eastAsia="Times New Roman"/>
          <w:noProof/>
          <w:lang w:eastAsia="en-GB"/>
        </w:rPr>
        <w:fldChar w:fldCharType="end"/>
      </w:r>
      <w:r w:rsidR="00C54E80">
        <w:rPr>
          <w:rFonts w:eastAsia="Times New Roman"/>
          <w:noProof/>
          <w:lang w:eastAsia="en-GB"/>
        </w:rPr>
        <w:fldChar w:fldCharType="end"/>
      </w:r>
      <w:r w:rsidR="00FA575F">
        <w:rPr>
          <w:rFonts w:eastAsia="Times New Roman"/>
          <w:noProof/>
          <w:lang w:eastAsia="en-GB"/>
        </w:rPr>
        <w:fldChar w:fldCharType="end"/>
      </w:r>
      <w:r>
        <w:rPr>
          <w:rFonts w:eastAsia="Times New Roman"/>
          <w:noProof/>
          <w:lang w:eastAsia="en-GB"/>
        </w:rPr>
        <w:fldChar w:fldCharType="end"/>
      </w:r>
    </w:p>
    <w:p w14:paraId="5FE1CCB5" w14:textId="239AE63C" w:rsidR="004E22C1" w:rsidRPr="001455DC" w:rsidRDefault="004E22C1" w:rsidP="00777CB3">
      <w:pPr>
        <w:pStyle w:val="Figuretitle"/>
      </w:pPr>
      <w:r w:rsidRPr="001455DC">
        <w:t xml:space="preserve">Figure 8.34 — Definition of </w:t>
      </w:r>
      <w:r w:rsidRPr="001455DC">
        <w:rPr>
          <w:rStyle w:val="CCMCvariableitalic"/>
        </w:rPr>
        <w:t>A</w:t>
      </w:r>
      <w:r w:rsidRPr="001455DC">
        <w:rPr>
          <w:rStyle w:val="CCMCvariablesubscript"/>
        </w:rPr>
        <w:t>0,red</w:t>
      </w:r>
      <w:r w:rsidRPr="001455DC">
        <w:t xml:space="preserve"> and eccentricities </w:t>
      </w:r>
      <w:r w:rsidRPr="001455DC">
        <w:rPr>
          <w:rStyle w:val="CCMCvariableitalic"/>
        </w:rPr>
        <w:t>e</w:t>
      </w:r>
    </w:p>
    <w:p w14:paraId="3921B7F3" w14:textId="77777777" w:rsidR="00777CB3" w:rsidRPr="001455DC" w:rsidRDefault="004E22C1" w:rsidP="008D37B2">
      <w:pPr>
        <w:pStyle w:val="a7"/>
        <w:keepNext/>
      </w:pPr>
      <w:r w:rsidRPr="001455DC">
        <w:t>(3)</w:t>
      </w:r>
      <w:r w:rsidRPr="001455DC">
        <w:tab/>
        <w:t xml:space="preserve">If there are no external tensile forces nor restraint which can induce cracking in the direction parallel to the direction of the load, and no known pre-existing cracks in this direction, tensile reinforcement may be omitted, provided that the design stress applied on the loaded area does not exceed </w:t>
      </w:r>
      <w:r w:rsidRPr="001455DC">
        <w:rPr>
          <w:rStyle w:val="CCMCvariableitalic"/>
        </w:rPr>
        <w:t>σ</w:t>
      </w:r>
      <w:r w:rsidRPr="001455DC">
        <w:rPr>
          <w:rStyle w:val="CCMCvariablesubscript"/>
        </w:rPr>
        <w:t>Rd,t</w:t>
      </w:r>
      <w:r w:rsidRPr="001455DC">
        <w:t>:</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777CB3" w:rsidRPr="001455DC" w14:paraId="1176C867" w14:textId="77777777" w:rsidTr="00C603F8">
        <w:trPr>
          <w:cantSplit/>
        </w:trPr>
        <w:tc>
          <w:tcPr>
            <w:tcW w:w="8505" w:type="dxa"/>
            <w:vAlign w:val="center"/>
          </w:tcPr>
          <w:p w14:paraId="5D9AC290" w14:textId="368B0A87" w:rsidR="00777CB3" w:rsidRPr="001455DC" w:rsidRDefault="00231E33" w:rsidP="00C603F8">
            <w:pPr>
              <w:pStyle w:val="Formula"/>
              <w:jc w:val="left"/>
            </w:pPr>
            <m:oMathPara>
              <m:oMathParaPr>
                <m:jc m:val="left"/>
              </m:oMathParaPr>
              <m:oMath>
                <m:sSub>
                  <m:sSubPr>
                    <m:ctrlPr>
                      <w:rPr>
                        <w:rFonts w:ascii="Cambria Math" w:hAnsi="Cambria Math"/>
                      </w:rPr>
                    </m:ctrlPr>
                  </m:sSubPr>
                  <m:e>
                    <m:r>
                      <w:rPr>
                        <w:rFonts w:ascii="Cambria Math" w:hAnsi="Cambria Math"/>
                      </w:rPr>
                      <m:t>σ</m:t>
                    </m:r>
                  </m:e>
                  <m:sub>
                    <m:r>
                      <m:rPr>
                        <m:sty m:val="p"/>
                      </m:rPr>
                      <w:rPr>
                        <w:rFonts w:ascii="Cambria Math" w:hAnsi="Cambria Math"/>
                      </w:rPr>
                      <m:t>Rd,t</m:t>
                    </m:r>
                  </m:sub>
                </m:sSub>
                <m:r>
                  <w:rPr>
                    <w:rFonts w:ascii="Cambria Math" w:hAnsi="Cambria Math"/>
                  </w:rPr>
                  <m:t>=</m:t>
                </m:r>
                <m:f>
                  <m:fPr>
                    <m:ctrlPr>
                      <w:rPr>
                        <w:rFonts w:ascii="Cambria Math" w:hAnsi="Cambria Math"/>
                      </w:rPr>
                    </m:ctrlPr>
                  </m:fPr>
                  <m:num>
                    <m:rad>
                      <m:radPr>
                        <m:degHide m:val="1"/>
                        <m:ctrlPr>
                          <w:rPr>
                            <w:rFonts w:ascii="Cambria Math" w:hAnsi="Cambria Math"/>
                          </w:rPr>
                        </m:ctrlPr>
                      </m:radPr>
                      <m:deg/>
                      <m:e>
                        <m:sSub>
                          <m:sSubPr>
                            <m:ctrlPr>
                              <w:rPr>
                                <w:rFonts w:ascii="Cambria Math" w:hAnsi="Cambria Math"/>
                              </w:rPr>
                            </m:ctrlPr>
                          </m:sSubPr>
                          <m:e>
                            <m:r>
                              <w:rPr>
                                <w:rFonts w:ascii="Cambria Math" w:hAnsi="Cambria Math"/>
                              </w:rPr>
                              <m:t>f</m:t>
                            </m:r>
                          </m:e>
                          <m:sub>
                            <m:r>
                              <m:rPr>
                                <m:sty m:val="p"/>
                              </m:rPr>
                              <w:rPr>
                                <w:rFonts w:ascii="Cambria Math" w:hAnsi="Cambria Math"/>
                              </w:rPr>
                              <m:t>ck</m:t>
                            </m:r>
                          </m:sub>
                        </m:sSub>
                      </m:e>
                    </m:rad>
                  </m:num>
                  <m:den>
                    <m:sSub>
                      <m:sSubPr>
                        <m:ctrlPr>
                          <w:rPr>
                            <w:rFonts w:ascii="Cambria Math" w:hAnsi="Cambria Math"/>
                          </w:rPr>
                        </m:ctrlPr>
                      </m:sSubPr>
                      <m:e>
                        <m:r>
                          <w:rPr>
                            <w:rFonts w:ascii="Cambria Math" w:hAnsi="Cambria Math"/>
                          </w:rPr>
                          <m:t>γ</m:t>
                        </m:r>
                      </m:e>
                      <m:sub>
                        <m:r>
                          <m:rPr>
                            <m:sty m:val="p"/>
                          </m:rPr>
                          <w:rPr>
                            <w:rFonts w:ascii="Cambria Math" w:hAnsi="Cambria Math"/>
                          </w:rPr>
                          <m:t>C</m:t>
                        </m:r>
                      </m:sub>
                    </m:sSub>
                  </m:den>
                </m:f>
                <m: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part</m:t>
                    </m:r>
                  </m:sub>
                </m:sSub>
              </m:oMath>
            </m:oMathPara>
          </w:p>
        </w:tc>
        <w:tc>
          <w:tcPr>
            <w:tcW w:w="1247" w:type="dxa"/>
            <w:vAlign w:val="center"/>
          </w:tcPr>
          <w:p w14:paraId="1526EDA0" w14:textId="3E0FE24C" w:rsidR="00777CB3" w:rsidRPr="001455DC" w:rsidRDefault="00777CB3">
            <w:pPr>
              <w:pStyle w:val="a7"/>
              <w:jc w:val="right"/>
            </w:pPr>
            <w:r w:rsidRPr="001455DC">
              <w:t>(8.</w:t>
            </w:r>
            <w:r w:rsidR="00F9418B" w:rsidRPr="001455DC">
              <w:t>108</w:t>
            </w:r>
            <w:r w:rsidRPr="001455DC">
              <w:t>)</w:t>
            </w:r>
          </w:p>
        </w:tc>
      </w:tr>
    </w:tbl>
    <w:p w14:paraId="082DA860" w14:textId="0E331106" w:rsidR="00777CB3" w:rsidRPr="001455DC" w:rsidRDefault="004E22C1" w:rsidP="00777CB3">
      <w:pPr>
        <w:pStyle w:val="a0"/>
      </w:pPr>
      <w:bookmarkStart w:id="665" w:name="_Ref442735834"/>
      <w:r w:rsidRPr="001455DC">
        <w:t>if max{</w:t>
      </w:r>
      <w:r w:rsidRPr="001455DC">
        <w:rPr>
          <w:rStyle w:val="CCMCvariableitalic"/>
        </w:rPr>
        <w:t>a</w:t>
      </w:r>
      <w:r w:rsidRPr="001455DC">
        <w:rPr>
          <w:rStyle w:val="CCMCvariablesubscript"/>
        </w:rPr>
        <w:t>0</w:t>
      </w:r>
      <w:r w:rsidRPr="001455DC">
        <w:t xml:space="preserve">; </w:t>
      </w:r>
      <w:r w:rsidRPr="001455DC">
        <w:rPr>
          <w:rStyle w:val="CCMCvariableitalic"/>
        </w:rPr>
        <w:t>b</w:t>
      </w:r>
      <w:r w:rsidRPr="001455DC">
        <w:rPr>
          <w:rStyle w:val="CCMCvariablesubscript"/>
        </w:rPr>
        <w:t>0</w:t>
      </w:r>
      <w:r w:rsidRPr="001455DC">
        <w:t>} </w:t>
      </w:r>
      <w:r w:rsidR="00650035" w:rsidRPr="001455DC">
        <w:rPr>
          <w:rFonts w:ascii="Cambria Math" w:hAnsi="Cambria Math"/>
        </w:rPr>
        <w:t>≤</w:t>
      </w:r>
      <w:r w:rsidRPr="001455DC">
        <w:t> 3</w:t>
      </w:r>
      <w:bookmarkEnd w:id="665"/>
      <w:r w:rsidRPr="001455DC">
        <w:rPr>
          <w:rStyle w:val="CCMCvariableitalic"/>
        </w:rPr>
        <w:t>d</w:t>
      </w:r>
      <w:r w:rsidRPr="001455DC">
        <w:rPr>
          <w:rStyle w:val="CCMCvariablesubscript"/>
        </w:rPr>
        <w:t>0</w:t>
      </w:r>
      <w:r w:rsidRPr="001455DC">
        <w:t>:</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777CB3" w:rsidRPr="001455DC" w14:paraId="01EC8ED8" w14:textId="77777777" w:rsidTr="00C603F8">
        <w:trPr>
          <w:cantSplit/>
        </w:trPr>
        <w:tc>
          <w:tcPr>
            <w:tcW w:w="8505" w:type="dxa"/>
            <w:vAlign w:val="center"/>
          </w:tcPr>
          <w:p w14:paraId="5AA12B2A" w14:textId="4D72E752" w:rsidR="00777CB3" w:rsidRPr="001455DC" w:rsidRDefault="00231E33" w:rsidP="00C603F8">
            <w:pPr>
              <w:pStyle w:val="Formula"/>
              <w:jc w:val="left"/>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rPr>
                      <m:t>part</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c</m:t>
                        </m:r>
                        <m:r>
                          <w:rPr>
                            <w:rFonts w:ascii="Cambria Math" w:hAnsi="Cambria Math"/>
                          </w:rPr>
                          <m:t>1</m:t>
                        </m:r>
                      </m:sub>
                    </m:sSub>
                  </m:num>
                  <m:den>
                    <m:sSub>
                      <m:sSubPr>
                        <m:ctrlPr>
                          <w:rPr>
                            <w:rFonts w:ascii="Cambria Math" w:hAnsi="Cambria Math"/>
                          </w:rPr>
                        </m:ctrlPr>
                      </m:sSubPr>
                      <m:e>
                        <m:r>
                          <w:rPr>
                            <w:rFonts w:ascii="Cambria Math" w:hAnsi="Cambria Math"/>
                          </w:rPr>
                          <m:t>A</m:t>
                        </m:r>
                      </m:e>
                      <m:sub>
                        <m:r>
                          <m:rPr>
                            <m:sty m:val="p"/>
                          </m:rPr>
                          <w:rPr>
                            <w:rFonts w:ascii="Cambria Math" w:hAnsi="Cambria Math"/>
                          </w:rPr>
                          <m:t>c</m:t>
                        </m:r>
                        <m:r>
                          <w:rPr>
                            <w:rFonts w:ascii="Cambria Math" w:hAnsi="Cambria Math"/>
                          </w:rPr>
                          <m:t>0</m:t>
                        </m:r>
                      </m:sub>
                    </m:sSub>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1-</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c</m:t>
                                </m:r>
                                <m:r>
                                  <w:rPr>
                                    <w:rFonts w:ascii="Cambria Math" w:hAnsi="Cambria Math"/>
                                  </w:rPr>
                                  <m:t>0</m:t>
                                </m:r>
                              </m:sub>
                            </m:sSub>
                          </m:num>
                          <m:den>
                            <m:sSub>
                              <m:sSubPr>
                                <m:ctrlPr>
                                  <w:rPr>
                                    <w:rFonts w:ascii="Cambria Math" w:hAnsi="Cambria Math"/>
                                  </w:rPr>
                                </m:ctrlPr>
                              </m:sSubPr>
                              <m:e>
                                <m:r>
                                  <w:rPr>
                                    <w:rFonts w:ascii="Cambria Math" w:hAnsi="Cambria Math"/>
                                  </w:rPr>
                                  <m:t>A</m:t>
                                </m:r>
                              </m:e>
                              <m:sub>
                                <m:r>
                                  <m:rPr>
                                    <m:sty m:val="p"/>
                                  </m:rPr>
                                  <w:rPr>
                                    <w:rFonts w:ascii="Cambria Math" w:hAnsi="Cambria Math"/>
                                  </w:rPr>
                                  <m:t>c</m:t>
                                </m:r>
                                <m:r>
                                  <w:rPr>
                                    <w:rFonts w:ascii="Cambria Math" w:hAnsi="Cambria Math"/>
                                  </w:rPr>
                                  <m:t>1</m:t>
                                </m:r>
                              </m:sub>
                            </m:sSub>
                          </m:den>
                        </m:f>
                      </m:e>
                    </m:rad>
                  </m:den>
                </m:f>
              </m:oMath>
            </m:oMathPara>
          </w:p>
        </w:tc>
        <w:tc>
          <w:tcPr>
            <w:tcW w:w="1247" w:type="dxa"/>
            <w:vAlign w:val="center"/>
          </w:tcPr>
          <w:p w14:paraId="7401BE40" w14:textId="02694CAA" w:rsidR="00777CB3" w:rsidRPr="001455DC" w:rsidRDefault="00777CB3">
            <w:pPr>
              <w:pStyle w:val="a7"/>
              <w:jc w:val="right"/>
            </w:pPr>
            <w:r w:rsidRPr="001455DC">
              <w:t>(8.</w:t>
            </w:r>
            <w:r w:rsidR="00F9418B" w:rsidRPr="001455DC">
              <w:t>109a</w:t>
            </w:r>
            <w:r w:rsidRPr="001455DC">
              <w:t>)</w:t>
            </w:r>
          </w:p>
        </w:tc>
      </w:tr>
    </w:tbl>
    <w:p w14:paraId="297F6F6D" w14:textId="0D997E78" w:rsidR="00777CB3" w:rsidRPr="001455DC" w:rsidRDefault="004E22C1" w:rsidP="00777CB3">
      <w:pPr>
        <w:pStyle w:val="a0"/>
      </w:pPr>
      <w:r w:rsidRPr="001455DC">
        <w:t>if max{</w:t>
      </w:r>
      <w:r w:rsidRPr="001455DC">
        <w:rPr>
          <w:rStyle w:val="CCMCvariableitalic"/>
        </w:rPr>
        <w:t>a</w:t>
      </w:r>
      <w:r w:rsidRPr="001455DC">
        <w:rPr>
          <w:rStyle w:val="CCMCvariablesubscript"/>
        </w:rPr>
        <w:t>0</w:t>
      </w:r>
      <w:r w:rsidRPr="001455DC">
        <w:t xml:space="preserve">; </w:t>
      </w:r>
      <w:r w:rsidRPr="001455DC">
        <w:rPr>
          <w:rStyle w:val="CCMCvariableitalic"/>
        </w:rPr>
        <w:t>b</w:t>
      </w:r>
      <w:r w:rsidRPr="001455DC">
        <w:rPr>
          <w:rStyle w:val="CCMCvariablesubscript"/>
        </w:rPr>
        <w:t>0</w:t>
      </w:r>
      <w:r w:rsidRPr="001455DC">
        <w:t>} </w:t>
      </w:r>
      <w:r w:rsidR="00650035" w:rsidRPr="001455DC">
        <w:rPr>
          <w:rFonts w:ascii="Cambria Math" w:hAnsi="Cambria Math"/>
        </w:rPr>
        <w:t>&gt;</w:t>
      </w:r>
      <w:r w:rsidR="00073FC6" w:rsidRPr="001455DC">
        <w:t> </w:t>
      </w:r>
      <w:r w:rsidRPr="001455DC">
        <w:t>3</w:t>
      </w:r>
      <w:r w:rsidRPr="001455DC">
        <w:rPr>
          <w:rStyle w:val="CCMCvariableitalic"/>
        </w:rPr>
        <w:t>d</w:t>
      </w:r>
      <w:r w:rsidRPr="001455DC">
        <w:rPr>
          <w:rStyle w:val="CCMCvariablesubscript"/>
        </w:rPr>
        <w:t>0</w:t>
      </w:r>
      <w:r w:rsidRPr="001455DC">
        <w:t>:</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777CB3" w:rsidRPr="001455DC" w14:paraId="3D15EEF7" w14:textId="77777777" w:rsidTr="00C603F8">
        <w:trPr>
          <w:cantSplit/>
        </w:trPr>
        <w:tc>
          <w:tcPr>
            <w:tcW w:w="8505" w:type="dxa"/>
            <w:vAlign w:val="center"/>
          </w:tcPr>
          <w:p w14:paraId="18E27F98" w14:textId="2ACC88CE" w:rsidR="00777CB3" w:rsidRPr="001455DC" w:rsidRDefault="00231E33" w:rsidP="00C603F8">
            <w:pPr>
              <w:pStyle w:val="Formula"/>
              <w:jc w:val="left"/>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rPr>
                      <m:t>part</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1</m:t>
                        </m:r>
                      </m:sub>
                    </m:sSub>
                  </m:num>
                  <m:den>
                    <m:sSub>
                      <m:sSubPr>
                        <m:ctrlPr>
                          <w:rPr>
                            <w:rFonts w:ascii="Cambria Math" w:hAnsi="Cambria Math"/>
                          </w:rPr>
                        </m:ctrlPr>
                      </m:sSubPr>
                      <m:e>
                        <m:r>
                          <w:rPr>
                            <w:rFonts w:ascii="Cambria Math" w:hAnsi="Cambria Math"/>
                          </w:rPr>
                          <m:t>d</m:t>
                        </m:r>
                      </m:e>
                      <m:sub>
                        <m:r>
                          <w:rPr>
                            <w:rFonts w:ascii="Cambria Math" w:hAnsi="Cambria Math"/>
                          </w:rPr>
                          <m:t>0</m:t>
                        </m:r>
                      </m:sub>
                    </m:sSub>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0</m:t>
                            </m:r>
                          </m:sub>
                        </m:sSub>
                      </m:num>
                      <m:den>
                        <m:sSub>
                          <m:sSubPr>
                            <m:ctrlPr>
                              <w:rPr>
                                <w:rFonts w:ascii="Cambria Math" w:hAnsi="Cambria Math"/>
                              </w:rPr>
                            </m:ctrlPr>
                          </m:sSubPr>
                          <m:e>
                            <m:r>
                              <w:rPr>
                                <w:rFonts w:ascii="Cambria Math" w:hAnsi="Cambria Math"/>
                              </w:rPr>
                              <m:t>d</m:t>
                            </m:r>
                          </m:e>
                          <m:sub>
                            <m:r>
                              <w:rPr>
                                <w:rFonts w:ascii="Cambria Math" w:hAnsi="Cambria Math"/>
                              </w:rPr>
                              <m:t>1</m:t>
                            </m:r>
                          </m:sub>
                        </m:sSub>
                      </m:den>
                    </m:f>
                  </m:den>
                </m:f>
              </m:oMath>
            </m:oMathPara>
          </w:p>
        </w:tc>
        <w:tc>
          <w:tcPr>
            <w:tcW w:w="1247" w:type="dxa"/>
            <w:vAlign w:val="center"/>
          </w:tcPr>
          <w:p w14:paraId="44459946" w14:textId="1CAEBB13" w:rsidR="00777CB3" w:rsidRPr="001455DC" w:rsidRDefault="00777CB3">
            <w:pPr>
              <w:pStyle w:val="a7"/>
              <w:jc w:val="right"/>
            </w:pPr>
            <w:r w:rsidRPr="001455DC">
              <w:t>(8.</w:t>
            </w:r>
            <w:r w:rsidR="00F9418B" w:rsidRPr="001455DC">
              <w:t>109b</w:t>
            </w:r>
            <w:r w:rsidRPr="001455DC">
              <w:t>)</w:t>
            </w:r>
          </w:p>
        </w:tc>
      </w:tr>
    </w:tbl>
    <w:p w14:paraId="6EE9E1E7" w14:textId="77777777" w:rsidR="00777CB3" w:rsidRPr="001455DC" w:rsidRDefault="00777CB3"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777CB3" w:rsidRPr="001455DC" w14:paraId="0712E22B" w14:textId="77777777" w:rsidTr="00C603F8">
        <w:trPr>
          <w:cantSplit/>
        </w:trPr>
        <w:tc>
          <w:tcPr>
            <w:tcW w:w="567" w:type="dxa"/>
          </w:tcPr>
          <w:p w14:paraId="1D8C3D9A" w14:textId="270EEDA4" w:rsidR="00777CB3" w:rsidRPr="001455DC" w:rsidRDefault="00777CB3" w:rsidP="00C603F8">
            <w:pPr>
              <w:pStyle w:val="Tablebody"/>
            </w:pPr>
            <w:r w:rsidRPr="001455DC">
              <w:rPr>
                <w:rStyle w:val="CCMCvariableitalic"/>
              </w:rPr>
              <w:t>d</w:t>
            </w:r>
            <w:r w:rsidRPr="001455DC">
              <w:rPr>
                <w:rStyle w:val="CCMCvariablesubscript"/>
              </w:rPr>
              <w:t>0</w:t>
            </w:r>
          </w:p>
        </w:tc>
        <w:tc>
          <w:tcPr>
            <w:tcW w:w="8845" w:type="dxa"/>
          </w:tcPr>
          <w:p w14:paraId="2823F8F7" w14:textId="4C985C05" w:rsidR="00777CB3" w:rsidRPr="001455DC" w:rsidRDefault="00EC27D2" w:rsidP="00C603F8">
            <w:pPr>
              <w:pStyle w:val="Tablebody"/>
            </w:pPr>
            <w:r w:rsidRPr="001455DC">
              <w:rPr>
                <w:rFonts w:ascii="Cambria Math" w:hAnsi="Cambria Math"/>
              </w:rPr>
              <w:t>=</w:t>
            </w:r>
            <w:r w:rsidR="00777CB3" w:rsidRPr="001455DC">
              <w:t xml:space="preserve"> min{</w:t>
            </w:r>
            <w:r w:rsidR="00777CB3" w:rsidRPr="001455DC">
              <w:rPr>
                <w:rStyle w:val="CCMCvariableitalic"/>
              </w:rPr>
              <w:t>a</w:t>
            </w:r>
            <w:r w:rsidR="00777CB3" w:rsidRPr="001455DC">
              <w:rPr>
                <w:rStyle w:val="CCMCvariablesubscript"/>
              </w:rPr>
              <w:t>0</w:t>
            </w:r>
            <w:r w:rsidR="00777CB3" w:rsidRPr="001455DC">
              <w:t xml:space="preserve">; </w:t>
            </w:r>
            <w:r w:rsidR="00777CB3" w:rsidRPr="001455DC">
              <w:rPr>
                <w:rStyle w:val="CCMCvariableitalic"/>
              </w:rPr>
              <w:t>b</w:t>
            </w:r>
            <w:r w:rsidR="00777CB3" w:rsidRPr="001455DC">
              <w:rPr>
                <w:rStyle w:val="CCMCvariablesubscript"/>
              </w:rPr>
              <w:t>0</w:t>
            </w:r>
            <w:r w:rsidR="00777CB3" w:rsidRPr="001455DC">
              <w:t>};</w:t>
            </w:r>
          </w:p>
        </w:tc>
      </w:tr>
      <w:tr w:rsidR="00777CB3" w:rsidRPr="001455DC" w14:paraId="3286F316" w14:textId="77777777" w:rsidTr="00C603F8">
        <w:trPr>
          <w:cantSplit/>
        </w:trPr>
        <w:tc>
          <w:tcPr>
            <w:tcW w:w="567" w:type="dxa"/>
          </w:tcPr>
          <w:p w14:paraId="7A7B3534" w14:textId="60EB4DF3" w:rsidR="00777CB3" w:rsidRPr="001455DC" w:rsidRDefault="00777CB3" w:rsidP="00C603F8">
            <w:pPr>
              <w:pStyle w:val="Tablebody"/>
            </w:pPr>
            <w:r w:rsidRPr="001455DC">
              <w:rPr>
                <w:rStyle w:val="CCMCvariableitalic"/>
              </w:rPr>
              <w:t>d</w:t>
            </w:r>
            <w:r w:rsidRPr="001455DC">
              <w:rPr>
                <w:rStyle w:val="CCMCvariablesubscript"/>
              </w:rPr>
              <w:t>1</w:t>
            </w:r>
          </w:p>
        </w:tc>
        <w:tc>
          <w:tcPr>
            <w:tcW w:w="8845" w:type="dxa"/>
          </w:tcPr>
          <w:p w14:paraId="63B504D3" w14:textId="76E421ED" w:rsidR="00777CB3" w:rsidRPr="001455DC" w:rsidRDefault="00777CB3" w:rsidP="00C603F8">
            <w:pPr>
              <w:pStyle w:val="Tablebody"/>
            </w:pPr>
            <w:r w:rsidRPr="001455DC">
              <w:t xml:space="preserve">block dimension parallel to </w:t>
            </w:r>
            <w:r w:rsidRPr="001455DC">
              <w:rPr>
                <w:rStyle w:val="CCMCvariableitalic"/>
              </w:rPr>
              <w:t>d</w:t>
            </w:r>
            <w:r w:rsidRPr="001455DC">
              <w:rPr>
                <w:rStyle w:val="CCMCvariablesubscript"/>
              </w:rPr>
              <w:t>0</w:t>
            </w:r>
            <w:r w:rsidRPr="001455DC">
              <w:t>.</w:t>
            </w:r>
          </w:p>
        </w:tc>
      </w:tr>
    </w:tbl>
    <w:p w14:paraId="5B058E80" w14:textId="77777777" w:rsidR="004E22C1" w:rsidRPr="001455DC" w:rsidRDefault="004E22C1" w:rsidP="00CD6899">
      <w:pPr>
        <w:pStyle w:val="a7"/>
      </w:pPr>
      <w:r w:rsidRPr="001455DC">
        <w:t>Otherwise, tension reinforcement shall be provided according to 8.5.5.</w:t>
      </w:r>
    </w:p>
    <w:p w14:paraId="7F38B544" w14:textId="764B8CE9" w:rsidR="004E22C1" w:rsidRPr="001455DC" w:rsidRDefault="004E22C1" w:rsidP="00CD6899">
      <w:pPr>
        <w:pStyle w:val="a7"/>
      </w:pPr>
      <w:r w:rsidRPr="001455DC">
        <w:t>(4)</w:t>
      </w:r>
      <w:r w:rsidRPr="001455DC">
        <w:tab/>
        <w:t xml:space="preserve">The beneficial effect of confinement reinforcement may be accounted for according to 8.1.4. If the area of the confinement core </w:t>
      </w:r>
      <w:r w:rsidRPr="001455DC">
        <w:rPr>
          <w:rStyle w:val="CCMCvariableitalic"/>
        </w:rPr>
        <w:t>A</w:t>
      </w:r>
      <w:r w:rsidRPr="001455DC">
        <w:rPr>
          <w:rStyle w:val="CCMCvariablesubscript"/>
        </w:rPr>
        <w:t>cs</w:t>
      </w:r>
      <w:r w:rsidRPr="001455DC">
        <w:t>, delimited by the confinement reinforcement, is more than twice as large as the loaded area, the confinement stress obtained from Formula (8.</w:t>
      </w:r>
      <w:r w:rsidR="00F9418B" w:rsidRPr="001455DC">
        <w:t>6</w:t>
      </w:r>
      <w:r w:rsidRPr="001455DC">
        <w:t xml:space="preserve">) shall be reduced by the factor </w:t>
      </w:r>
      <m:oMath>
        <m:rad>
          <m:radPr>
            <m:degHide m:val="1"/>
            <m:ctrlPr>
              <w:rPr>
                <w:rFonts w:ascii="Cambria Math" w:hAnsi="Cambria Math"/>
              </w:rPr>
            </m:ctrlPr>
          </m:radPr>
          <m:deg/>
          <m:e>
            <m:r>
              <w:rPr>
                <w:rFonts w:ascii="Cambria Math" w:hAnsi="Cambria Math"/>
              </w:rPr>
              <m:t>2</m:t>
            </m:r>
            <m:sSub>
              <m:sSubPr>
                <m:ctrlPr>
                  <w:rPr>
                    <w:rFonts w:ascii="Cambria Math" w:hAnsi="Cambria Math"/>
                  </w:rPr>
                </m:ctrlPr>
              </m:sSubPr>
              <m:e>
                <m:r>
                  <w:rPr>
                    <w:rFonts w:ascii="Cambria Math" w:hAnsi="Cambria Math"/>
                  </w:rPr>
                  <m:t>A</m:t>
                </m:r>
              </m:e>
              <m:sub>
                <m:r>
                  <m:rPr>
                    <m:sty m:val="p"/>
                  </m:rPr>
                  <w:rPr>
                    <w:rFonts w:ascii="Cambria Math" w:hAnsi="Cambria Math"/>
                  </w:rPr>
                  <m:t>c</m:t>
                </m:r>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cs</m:t>
                </m:r>
              </m:sub>
            </m:sSub>
          </m:e>
        </m:rad>
        <m:r>
          <w:rPr>
            <w:rFonts w:ascii="Cambria Math" w:hAnsi="Cambria Math"/>
          </w:rPr>
          <m:t>≤1</m:t>
        </m:r>
      </m:oMath>
      <w:r w:rsidRPr="001455DC">
        <w:t>.</w:t>
      </w:r>
    </w:p>
    <w:p w14:paraId="3D8EE52B" w14:textId="335D4BD2" w:rsidR="004E22C1" w:rsidRPr="001455DC" w:rsidRDefault="004E22C1" w:rsidP="00CD6899">
      <w:pPr>
        <w:pStyle w:val="a7"/>
      </w:pPr>
      <w:r w:rsidRPr="001455DC">
        <w:t>The beneficial effects of confinement reinforcement according to 8.1.4 shall not be superimposed with Formulae (8.</w:t>
      </w:r>
      <w:r w:rsidR="00F9418B" w:rsidRPr="001455DC">
        <w:t>105</w:t>
      </w:r>
      <w:r w:rsidRPr="001455DC">
        <w:t>) and (8.</w:t>
      </w:r>
      <w:r w:rsidR="00F9418B" w:rsidRPr="001455DC">
        <w:t>108</w:t>
      </w:r>
      <w:r w:rsidRPr="001455DC">
        <w:t>).</w:t>
      </w:r>
    </w:p>
    <w:p w14:paraId="2DFA7904" w14:textId="77777777" w:rsidR="004E22C1" w:rsidRPr="001455DC" w:rsidRDefault="004E22C1" w:rsidP="00CD6899">
      <w:pPr>
        <w:pStyle w:val="a7"/>
      </w:pPr>
      <w:r w:rsidRPr="001455DC">
        <w:t>(5)</w:t>
      </w:r>
      <w:r w:rsidRPr="001455DC">
        <w:tab/>
        <w:t>More refined methods, such as three-dimensional stress fields accounting for the beneficial effect of confinement by geometry and by reinforcement may be used for the design of partially loaded areas.</w:t>
      </w:r>
    </w:p>
    <w:p w14:paraId="7D01527C" w14:textId="77777777" w:rsidR="004E22C1" w:rsidRPr="001455DC" w:rsidRDefault="004E22C1" w:rsidP="00CD6899">
      <w:pPr>
        <w:pStyle w:val="a7"/>
      </w:pPr>
      <w:r w:rsidRPr="001455DC">
        <w:t>(6)</w:t>
      </w:r>
      <w:r w:rsidRPr="001455DC">
        <w:tab/>
        <w:t>Additional rules for design in footings and pile caps without shear reinforcement accounting for a concentrated compression zone and the resulting reduced level arm are given in 12.8(3).</w:t>
      </w:r>
    </w:p>
    <w:p w14:paraId="36C65C8D" w14:textId="7FB6AE7B" w:rsidR="004E22C1" w:rsidRPr="001455DC" w:rsidRDefault="004E22C1" w:rsidP="00A46F70">
      <w:pPr>
        <w:pStyle w:val="1"/>
        <w:keepNext w:val="0"/>
      </w:pPr>
      <w:bookmarkStart w:id="666" w:name="_Toc52820004"/>
      <w:bookmarkStart w:id="667" w:name="_Toc54337126"/>
      <w:bookmarkStart w:id="668" w:name="_Toc54337396"/>
      <w:bookmarkStart w:id="669" w:name="_Toc54338061"/>
      <w:bookmarkStart w:id="670" w:name="_Toc67565405"/>
      <w:r w:rsidRPr="001455DC">
        <w:t>S</w:t>
      </w:r>
      <w:r w:rsidR="00CD6899" w:rsidRPr="001455DC">
        <w:t>erviceability</w:t>
      </w:r>
      <w:r w:rsidRPr="001455DC">
        <w:t xml:space="preserve"> L</w:t>
      </w:r>
      <w:r w:rsidR="00CD6899" w:rsidRPr="001455DC">
        <w:t>imit</w:t>
      </w:r>
      <w:r w:rsidRPr="001455DC">
        <w:t xml:space="preserve"> </w:t>
      </w:r>
      <w:r w:rsidR="00CD6899" w:rsidRPr="001455DC">
        <w:t>States</w:t>
      </w:r>
      <w:r w:rsidRPr="001455DC">
        <w:t xml:space="preserve"> (SLS)</w:t>
      </w:r>
      <w:bookmarkEnd w:id="666"/>
      <w:bookmarkEnd w:id="667"/>
      <w:bookmarkEnd w:id="668"/>
      <w:bookmarkEnd w:id="669"/>
      <w:bookmarkEnd w:id="670"/>
    </w:p>
    <w:p w14:paraId="72D970A6" w14:textId="1422189F" w:rsidR="004E22C1" w:rsidRPr="001455DC" w:rsidRDefault="004E22C1" w:rsidP="006D682B">
      <w:pPr>
        <w:pStyle w:val="21"/>
      </w:pPr>
      <w:bookmarkStart w:id="671" w:name="_Toc52820005"/>
      <w:bookmarkStart w:id="672" w:name="_Toc54337397"/>
      <w:bookmarkStart w:id="673" w:name="_Toc54338062"/>
      <w:bookmarkStart w:id="674" w:name="_Toc67565406"/>
      <w:r w:rsidRPr="001455DC">
        <w:t>General</w:t>
      </w:r>
      <w:bookmarkEnd w:id="671"/>
      <w:bookmarkEnd w:id="672"/>
      <w:bookmarkEnd w:id="673"/>
      <w:bookmarkEnd w:id="674"/>
    </w:p>
    <w:p w14:paraId="1AC391EF" w14:textId="059A28F7" w:rsidR="004E22C1" w:rsidRPr="001455DC" w:rsidRDefault="004E22C1" w:rsidP="008D37B2">
      <w:pPr>
        <w:pStyle w:val="a7"/>
        <w:keepNext/>
      </w:pPr>
      <w:r w:rsidRPr="001455DC">
        <w:t>(1)</w:t>
      </w:r>
      <w:r w:rsidRPr="001455DC">
        <w:tab/>
      </w:r>
      <w:r w:rsidR="001710FF" w:rsidRPr="001455DC">
        <w:t>Clause </w:t>
      </w:r>
      <w:r w:rsidRPr="001455DC">
        <w:t>9 covers the common serviceability limit states. These are:</w:t>
      </w:r>
    </w:p>
    <w:p w14:paraId="5BC23A97" w14:textId="15CCD5E9" w:rsidR="004E22C1" w:rsidRPr="001455DC" w:rsidRDefault="004E22C1" w:rsidP="00B556B5">
      <w:pPr>
        <w:pStyle w:val="a0"/>
      </w:pPr>
      <w:r w:rsidRPr="001455DC">
        <w:t>stress limitation and crack control (see 9.2),</w:t>
      </w:r>
    </w:p>
    <w:p w14:paraId="454E989C" w14:textId="4D8A4995" w:rsidR="004E22C1" w:rsidRPr="001455DC" w:rsidRDefault="004E22C1" w:rsidP="00B556B5">
      <w:pPr>
        <w:pStyle w:val="a0"/>
      </w:pPr>
      <w:r w:rsidRPr="001455DC">
        <w:t>deflection control (see 9.3),</w:t>
      </w:r>
    </w:p>
    <w:p w14:paraId="734165C5" w14:textId="200E668B" w:rsidR="004E22C1" w:rsidRPr="001455DC" w:rsidRDefault="004E22C1" w:rsidP="00B556B5">
      <w:pPr>
        <w:pStyle w:val="a0"/>
      </w:pPr>
      <w:r w:rsidRPr="001455DC">
        <w:t>vibration control (see 9.4).</w:t>
      </w:r>
    </w:p>
    <w:p w14:paraId="2EEA3340" w14:textId="1D329840" w:rsidR="004E22C1" w:rsidRPr="001455DC" w:rsidRDefault="004E22C1" w:rsidP="00B556B5">
      <w:pPr>
        <w:pStyle w:val="a7"/>
      </w:pPr>
      <w:r w:rsidRPr="001455DC">
        <w:t>(2)</w:t>
      </w:r>
      <w:r w:rsidRPr="001455DC">
        <w:tab/>
      </w:r>
      <w:r w:rsidRPr="001455DC">
        <w:rPr>
          <w:rFonts w:eastAsiaTheme="minorHAnsi"/>
        </w:rPr>
        <w:t>In the calculation of stresses and deflections, cross</w:t>
      </w:r>
      <w:r w:rsidR="00B10711" w:rsidRPr="001455DC">
        <w:rPr>
          <w:rFonts w:eastAsiaTheme="minorHAnsi"/>
        </w:rPr>
        <w:t xml:space="preserve"> </w:t>
      </w:r>
      <w:r w:rsidRPr="001455DC">
        <w:rPr>
          <w:rFonts w:eastAsiaTheme="minorHAnsi"/>
        </w:rPr>
        <w:t xml:space="preserve">sections may be assumed to be uncracked provided that the tensile stress under the characteristic combination of actions does not exceed </w:t>
      </w:r>
      <w:r w:rsidRPr="001455DC">
        <w:rPr>
          <w:rStyle w:val="CCMCvariableitalic"/>
        </w:rPr>
        <w:t>f</w:t>
      </w:r>
      <w:r w:rsidRPr="001455DC">
        <w:rPr>
          <w:rStyle w:val="CCMCvariablesubscript"/>
        </w:rPr>
        <w:t>ct,eff</w:t>
      </w:r>
      <w:r w:rsidRPr="001455DC">
        <w:rPr>
          <w:rFonts w:eastAsiaTheme="minorHAnsi"/>
        </w:rPr>
        <w:t>.</w:t>
      </w:r>
      <w:r w:rsidRPr="001455DC">
        <w:t xml:space="preserve"> If the section is assumed to be uncracked a calculation of crack widths is not required. </w:t>
      </w:r>
      <w:r w:rsidRPr="001455DC">
        <w:rPr>
          <w:rFonts w:eastAsiaTheme="minorHAnsi"/>
        </w:rPr>
        <w:t xml:space="preserve">For the purpose of calculating crack widths and tension stiffening </w:t>
      </w:r>
      <w:r w:rsidRPr="001455DC">
        <w:rPr>
          <w:rStyle w:val="CCMCvariableitalic"/>
        </w:rPr>
        <w:t>f</w:t>
      </w:r>
      <w:r w:rsidRPr="001455DC">
        <w:rPr>
          <w:rStyle w:val="CCMCvariablesubscript"/>
        </w:rPr>
        <w:t>ct,ef</w:t>
      </w:r>
      <w:r w:rsidRPr="001455DC">
        <w:rPr>
          <w:rFonts w:eastAsiaTheme="minorHAnsi"/>
        </w:rPr>
        <w:t xml:space="preserve"> should be taken equal to </w:t>
      </w:r>
      <w:r w:rsidRPr="001455DC">
        <w:rPr>
          <w:rStyle w:val="CCMCvariableitalic"/>
        </w:rPr>
        <w:t>f</w:t>
      </w:r>
      <w:r w:rsidRPr="001455DC">
        <w:rPr>
          <w:rStyle w:val="CCMCvariablesubscript"/>
        </w:rPr>
        <w:t>ctm</w:t>
      </w:r>
      <w:r w:rsidRPr="001455DC">
        <w:rPr>
          <w:rFonts w:eastAsiaTheme="minorHAnsi"/>
        </w:rPr>
        <w:t xml:space="preserve">. For the calculation of deflections under predominantly flexural stresses, the value of </w:t>
      </w:r>
      <w:r w:rsidRPr="001455DC">
        <w:rPr>
          <w:rStyle w:val="CCMCvariableitalic"/>
        </w:rPr>
        <w:t>f</w:t>
      </w:r>
      <w:r w:rsidRPr="001455DC">
        <w:rPr>
          <w:rStyle w:val="CCMCvariablesubscript"/>
        </w:rPr>
        <w:t>ct,eff</w:t>
      </w:r>
      <w:r w:rsidRPr="001455DC">
        <w:rPr>
          <w:rFonts w:eastAsiaTheme="minorHAnsi"/>
        </w:rPr>
        <w:t xml:space="preserve"> may be taken as </w:t>
      </w:r>
      <w:r w:rsidRPr="001455DC">
        <w:rPr>
          <w:rStyle w:val="CCMCvariableitalic"/>
        </w:rPr>
        <w:t>f</w:t>
      </w:r>
      <w:r w:rsidRPr="001455DC">
        <w:rPr>
          <w:rStyle w:val="CCMCvariablesubscript"/>
        </w:rPr>
        <w:t>ctm</w:t>
      </w:r>
      <w:r w:rsidRPr="001455DC">
        <w:rPr>
          <w:rFonts w:eastAsiaTheme="minorHAnsi"/>
        </w:rPr>
        <w:t xml:space="preserve"> or </w:t>
      </w:r>
      <w:r w:rsidRPr="001455DC">
        <w:rPr>
          <w:rStyle w:val="CCMCvariableitalic"/>
        </w:rPr>
        <w:t>f</w:t>
      </w:r>
      <w:r w:rsidRPr="001455DC">
        <w:rPr>
          <w:rStyle w:val="CCMCvariablesubscript"/>
        </w:rPr>
        <w:t>ctm,fl</w:t>
      </w:r>
      <w:r w:rsidRPr="001455DC">
        <w:rPr>
          <w:rFonts w:eastAsiaTheme="minorHAnsi"/>
        </w:rPr>
        <w:t xml:space="preserve"> (see </w:t>
      </w:r>
      <w:r w:rsidRPr="001455DC">
        <w:t>Formula (9.34)</w:t>
      </w:r>
      <w:r w:rsidRPr="001455DC">
        <w:rPr>
          <w:rFonts w:eastAsiaTheme="minorHAnsi"/>
        </w:rPr>
        <w:t>), provided that the calculation of minimum reinforcement areas for crack control is also based on the same value.</w:t>
      </w:r>
    </w:p>
    <w:p w14:paraId="69BCDB50" w14:textId="39078460" w:rsidR="004E22C1" w:rsidRPr="001455DC" w:rsidRDefault="004E22C1" w:rsidP="00B556B5">
      <w:pPr>
        <w:pStyle w:val="Note"/>
      </w:pPr>
      <w:r w:rsidRPr="001455DC">
        <w:t>NOTE</w:t>
      </w:r>
      <w:r w:rsidRPr="001455DC">
        <w:tab/>
        <w:t xml:space="preserve">Cracking can be observed for lower values of tensile </w:t>
      </w:r>
      <w:r w:rsidR="00DE364B" w:rsidRPr="001455DC">
        <w:t>stresses</w:t>
      </w:r>
      <w:r w:rsidRPr="001455DC">
        <w:t xml:space="preserve">. This is attributed to non-uniform self-equilibrating stresses due to shrinkage strains, </w:t>
      </w:r>
      <w:r w:rsidR="00DE364B" w:rsidRPr="001455DC">
        <w:t xml:space="preserve">early thermal stresses, </w:t>
      </w:r>
      <w:r w:rsidRPr="001455DC">
        <w:t>sustained loading and to the effective tension area (see Figure 9.1).</w:t>
      </w:r>
    </w:p>
    <w:p w14:paraId="0D368DB1" w14:textId="6380AE3F" w:rsidR="004E22C1" w:rsidRPr="001455DC" w:rsidRDefault="004E22C1" w:rsidP="008D37B2">
      <w:pPr>
        <w:pStyle w:val="a7"/>
        <w:keepNext/>
        <w:rPr>
          <w:rFonts w:eastAsiaTheme="minorHAnsi"/>
        </w:rPr>
      </w:pPr>
      <w:r w:rsidRPr="001455DC">
        <w:t>(3)</w:t>
      </w:r>
      <w:r w:rsidRPr="001455DC">
        <w:tab/>
      </w:r>
      <w:r w:rsidRPr="001455DC">
        <w:rPr>
          <w:rFonts w:eastAsiaTheme="minorHAnsi"/>
        </w:rPr>
        <w:t xml:space="preserve">For the calculation of stresses and deflections, an effective modulus of elasticity, </w:t>
      </w:r>
      <w:r w:rsidRPr="001455DC">
        <w:rPr>
          <w:rStyle w:val="CCMCvariableitalic"/>
        </w:rPr>
        <w:t>E</w:t>
      </w:r>
      <w:r w:rsidRPr="001455DC">
        <w:rPr>
          <w:rStyle w:val="CCMCvariablesubscript"/>
        </w:rPr>
        <w:t>c,eff</w:t>
      </w:r>
      <w:r w:rsidRPr="001455DC">
        <w:rPr>
          <w:rFonts w:eastAsiaTheme="minorHAnsi"/>
        </w:rPr>
        <w:t xml:space="preserve">, may be used for concrete to estimate long term effects due to quasi-permanent actions, according to </w:t>
      </w:r>
      <w:r w:rsidRPr="001455DC">
        <w:t>Formula (9.1)</w:t>
      </w:r>
      <w:r w:rsidRPr="001455DC">
        <w:rPr>
          <w:rFonts w:eastAsiaTheme="minorHAnsi"/>
        </w:rPr>
        <w:t>:</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B556B5" w:rsidRPr="001455DC" w14:paraId="6290CEF4" w14:textId="77777777" w:rsidTr="00B556B5">
        <w:trPr>
          <w:cantSplit/>
        </w:trPr>
        <w:tc>
          <w:tcPr>
            <w:tcW w:w="8505" w:type="dxa"/>
            <w:vAlign w:val="center"/>
          </w:tcPr>
          <w:p w14:paraId="20970485" w14:textId="52BF14CB" w:rsidR="00B556B5" w:rsidRPr="001455DC" w:rsidRDefault="00231E33" w:rsidP="00B556B5">
            <w:pPr>
              <w:pStyle w:val="Formula"/>
              <w:jc w:val="left"/>
            </w:pPr>
            <m:oMathPara>
              <m:oMathParaPr>
                <m:jc m:val="left"/>
              </m:oMathParaPr>
              <m:oMath>
                <m:sSub>
                  <m:sSubPr>
                    <m:ctrlPr>
                      <w:rPr>
                        <w:rFonts w:ascii="Cambria Math" w:hAnsi="Cambria Math"/>
                      </w:rPr>
                    </m:ctrlPr>
                  </m:sSubPr>
                  <m:e>
                    <m:r>
                      <w:rPr>
                        <w:rFonts w:ascii="Cambria Math" w:hAnsi="Cambria Math"/>
                      </w:rPr>
                      <m:t>E</m:t>
                    </m:r>
                  </m:e>
                  <m:sub>
                    <m:r>
                      <m:rPr>
                        <m:sty m:val="p"/>
                      </m:rPr>
                      <w:rPr>
                        <w:rFonts w:ascii="Cambria Math" w:hAnsi="Cambria Math"/>
                      </w:rPr>
                      <m:t>c,eff</m:t>
                    </m:r>
                  </m:sub>
                </m:sSub>
                <m:r>
                  <w:rPr>
                    <w:rFonts w:ascii="Cambria Math" w:hAnsi="Cambria Math"/>
                  </w:rPr>
                  <m:t>=</m:t>
                </m:r>
                <m:f>
                  <m:fPr>
                    <m:ctrlPr>
                      <w:rPr>
                        <w:rFonts w:ascii="Cambria Math" w:hAnsi="Cambria Math"/>
                      </w:rPr>
                    </m:ctrlPr>
                  </m:fPr>
                  <m:num>
                    <m:r>
                      <w:rPr>
                        <w:rFonts w:ascii="Cambria Math" w:hAnsi="Cambria Math"/>
                      </w:rPr>
                      <m:t>1,05⋅</m:t>
                    </m:r>
                    <m:sSub>
                      <m:sSubPr>
                        <m:ctrlPr>
                          <w:rPr>
                            <w:rFonts w:ascii="Cambria Math" w:hAnsi="Cambria Math"/>
                          </w:rPr>
                        </m:ctrlPr>
                      </m:sSubPr>
                      <m:e>
                        <m:r>
                          <w:rPr>
                            <w:rFonts w:ascii="Cambria Math" w:hAnsi="Cambria Math"/>
                          </w:rPr>
                          <m:t>E</m:t>
                        </m:r>
                      </m:e>
                      <m:sub>
                        <m:r>
                          <m:rPr>
                            <m:sty m:val="p"/>
                          </m:rPr>
                          <w:rPr>
                            <w:rFonts w:ascii="Cambria Math" w:hAnsi="Cambria Math"/>
                          </w:rPr>
                          <m:t>cm</m:t>
                        </m:r>
                      </m:sub>
                    </m:sSub>
                  </m:num>
                  <m:den>
                    <m:r>
                      <w:rPr>
                        <w:rFonts w:ascii="Cambria Math" w:hAnsi="Cambria Math"/>
                      </w:rPr>
                      <m:t>1+φ</m:t>
                    </m:r>
                  </m:den>
                </m:f>
              </m:oMath>
            </m:oMathPara>
          </w:p>
        </w:tc>
        <w:tc>
          <w:tcPr>
            <w:tcW w:w="1247" w:type="dxa"/>
            <w:vAlign w:val="center"/>
          </w:tcPr>
          <w:p w14:paraId="5C95314A" w14:textId="0C74EA25" w:rsidR="00B556B5" w:rsidRPr="001455DC" w:rsidRDefault="00B556B5" w:rsidP="00B556B5">
            <w:pPr>
              <w:pStyle w:val="a7"/>
              <w:jc w:val="right"/>
            </w:pPr>
            <w:bookmarkStart w:id="675" w:name="_Ref463426997"/>
            <w:r w:rsidRPr="001455DC">
              <w:t>(9.1)</w:t>
            </w:r>
            <w:bookmarkEnd w:id="675"/>
          </w:p>
        </w:tc>
      </w:tr>
    </w:tbl>
    <w:p w14:paraId="64BC35B9" w14:textId="706E2865" w:rsidR="004E22C1" w:rsidRPr="001455DC" w:rsidRDefault="004E22C1" w:rsidP="00B556B5">
      <w:pPr>
        <w:pStyle w:val="a7"/>
      </w:pPr>
      <w:r w:rsidRPr="001455DC">
        <w:t>If compressive stresses due to quasi-permanent combination of actions exceed 0,40</w:t>
      </w:r>
      <w:r w:rsidRPr="001455DC">
        <w:rPr>
          <w:rStyle w:val="CCMCvariableitalic"/>
        </w:rPr>
        <w:t>f</w:t>
      </w:r>
      <w:r w:rsidRPr="001455DC">
        <w:rPr>
          <w:rStyle w:val="CCMCvariablesubscript"/>
        </w:rPr>
        <w:t>cm</w:t>
      </w:r>
      <w:r w:rsidRPr="001455DC">
        <w:t xml:space="preserve">, the value of </w:t>
      </w:r>
      <w:r w:rsidRPr="001455DC">
        <w:rPr>
          <w:rStyle w:val="CCMCvariableitalic"/>
        </w:rPr>
        <w:t>φ</w:t>
      </w:r>
      <w:r w:rsidRPr="001455DC">
        <w:t xml:space="preserve"> should account for non linear creep according to B.</w:t>
      </w:r>
      <w:r w:rsidR="005A7F00" w:rsidRPr="001455DC">
        <w:t>4</w:t>
      </w:r>
      <w:r w:rsidRPr="001455DC">
        <w:t>(4).</w:t>
      </w:r>
    </w:p>
    <w:p w14:paraId="2365F34B" w14:textId="77777777" w:rsidR="004E22C1" w:rsidRPr="001455DC" w:rsidRDefault="004E22C1" w:rsidP="00B556B5">
      <w:pPr>
        <w:pStyle w:val="a7"/>
      </w:pPr>
      <w:r w:rsidRPr="001455DC">
        <w:t>(4)</w:t>
      </w:r>
      <w:r w:rsidRPr="001455DC">
        <w:tab/>
        <w:t xml:space="preserve">As a simplified approach for the calculation of stresses, valid for crack width calculations only,a modular ratio </w:t>
      </w:r>
      <w:r w:rsidRPr="001455DC">
        <w:rPr>
          <w:rStyle w:val="CCMCvariableitalic"/>
        </w:rPr>
        <w:t>E</w:t>
      </w:r>
      <w:r w:rsidRPr="001455DC">
        <w:rPr>
          <w:rStyle w:val="CCMCvariablesubscript"/>
        </w:rPr>
        <w:t>s</w:t>
      </w:r>
      <w:r w:rsidRPr="001455DC">
        <w:t>/</w:t>
      </w:r>
      <w:r w:rsidRPr="001455DC">
        <w:rPr>
          <w:rStyle w:val="CCMCvariableitalic"/>
        </w:rPr>
        <w:t>E</w:t>
      </w:r>
      <w:r w:rsidRPr="001455DC">
        <w:rPr>
          <w:rStyle w:val="CCMCvariablesubscript"/>
        </w:rPr>
        <w:t>c,eff</w:t>
      </w:r>
      <w:r w:rsidRPr="001455DC">
        <w:t xml:space="preserve"> equal to 15 may be used for both permanent and variable loads.</w:t>
      </w:r>
    </w:p>
    <w:p w14:paraId="19334C1B" w14:textId="5F454A3C" w:rsidR="004E22C1" w:rsidRPr="001455DC" w:rsidRDefault="004E22C1" w:rsidP="006D682B">
      <w:pPr>
        <w:pStyle w:val="21"/>
      </w:pPr>
      <w:bookmarkStart w:id="676" w:name="_Toc52820006"/>
      <w:bookmarkStart w:id="677" w:name="_Toc54337398"/>
      <w:bookmarkStart w:id="678" w:name="_Toc54338063"/>
      <w:bookmarkStart w:id="679" w:name="_Toc67565407"/>
      <w:r w:rsidRPr="001455DC">
        <w:t>Crack control</w:t>
      </w:r>
      <w:bookmarkEnd w:id="676"/>
      <w:bookmarkEnd w:id="677"/>
      <w:bookmarkEnd w:id="678"/>
      <w:bookmarkEnd w:id="679"/>
    </w:p>
    <w:p w14:paraId="5FFB62B3" w14:textId="078DA024" w:rsidR="004E22C1" w:rsidRPr="001455DC" w:rsidRDefault="004E22C1" w:rsidP="00243590">
      <w:pPr>
        <w:pStyle w:val="31"/>
      </w:pPr>
      <w:bookmarkStart w:id="680" w:name="_Ref494274634"/>
      <w:bookmarkStart w:id="681" w:name="_Toc52820007"/>
      <w:bookmarkStart w:id="682" w:name="_Toc54337399"/>
      <w:bookmarkStart w:id="683" w:name="_Toc54338064"/>
      <w:bookmarkStart w:id="684" w:name="_Toc67565408"/>
      <w:r w:rsidRPr="001455DC">
        <w:t>General considerations</w:t>
      </w:r>
      <w:bookmarkEnd w:id="680"/>
      <w:bookmarkEnd w:id="681"/>
      <w:bookmarkEnd w:id="682"/>
      <w:bookmarkEnd w:id="683"/>
      <w:bookmarkEnd w:id="684"/>
    </w:p>
    <w:p w14:paraId="4A066463" w14:textId="77777777" w:rsidR="004E22C1" w:rsidRPr="001455DC" w:rsidRDefault="004E22C1" w:rsidP="00B556B5">
      <w:pPr>
        <w:pStyle w:val="Note"/>
      </w:pPr>
      <w:r w:rsidRPr="001455DC">
        <w:t>NOTE 1</w:t>
      </w:r>
      <w:r w:rsidRPr="001455DC">
        <w:tab/>
        <w:t>Cracking is normal in reinforced concrete structures resulting from either direct loading or restrained imposed deformations.</w:t>
      </w:r>
    </w:p>
    <w:p w14:paraId="7246115D" w14:textId="4D109C82" w:rsidR="004E22C1" w:rsidRPr="001455DC" w:rsidRDefault="004E22C1" w:rsidP="00B556B5">
      <w:pPr>
        <w:pStyle w:val="Note"/>
      </w:pPr>
      <w:r w:rsidRPr="001455DC">
        <w:t>NOTE 2</w:t>
      </w:r>
      <w:r w:rsidRPr="001455DC">
        <w:tab/>
        <w:t xml:space="preserve">Cracks can also arise from other causes such as plastic shrinkage or expansive chemical reactions within the hardened concrete. Such cracks can be unacceptably large but their avoidance and control lie outside the scope </w:t>
      </w:r>
      <w:r w:rsidR="00DE364B" w:rsidRPr="001455DC">
        <w:t>9.2</w:t>
      </w:r>
      <w:r w:rsidRPr="001455DC">
        <w:t>.</w:t>
      </w:r>
    </w:p>
    <w:p w14:paraId="0515101B" w14:textId="77777777" w:rsidR="004E22C1" w:rsidRPr="001455DC" w:rsidRDefault="004E22C1" w:rsidP="00B556B5">
      <w:pPr>
        <w:pStyle w:val="a7"/>
      </w:pPr>
      <w:r w:rsidRPr="001455DC">
        <w:t>(1)</w:t>
      </w:r>
      <w:r w:rsidRPr="001455DC">
        <w:tab/>
        <w:t>Cracking shall be limited to an extent that will not impair the proper functioning or durability of the structure or cause its appearance to be unacceptable.</w:t>
      </w:r>
    </w:p>
    <w:p w14:paraId="14177DE7" w14:textId="77777777" w:rsidR="004E22C1" w:rsidRPr="001455DC" w:rsidRDefault="004E22C1" w:rsidP="00B556B5">
      <w:pPr>
        <w:pStyle w:val="a7"/>
      </w:pPr>
      <w:r w:rsidRPr="001455DC">
        <w:t>(2)</w:t>
      </w:r>
      <w:r w:rsidRPr="001455DC">
        <w:tab/>
        <w:t>Cracks may be permitted to form without any attempt to control their width, provided they do not impair the functioning of the structure. In cases where crack width is not critical for appearance and crack width limits for durability are not relevant, verification according to 9.2.2, 9.2.3 and 9.2.4 may be omitted and crack control may be assumed to be covered by the provision of minimum reinforcement for robustness according to 12.1.</w:t>
      </w:r>
    </w:p>
    <w:p w14:paraId="6445D331" w14:textId="3CF3E67D" w:rsidR="004E22C1" w:rsidRPr="001455DC" w:rsidRDefault="004E22C1" w:rsidP="00B556B5">
      <w:pPr>
        <w:pStyle w:val="Note"/>
        <w:keepNext/>
        <w:spacing w:after="120"/>
      </w:pPr>
      <w:r w:rsidRPr="001455DC">
        <w:t>NOTE</w:t>
      </w:r>
      <w:r w:rsidR="002318A0">
        <w:tab/>
        <w:t>T</w:t>
      </w:r>
      <w:r w:rsidRPr="001455DC">
        <w:t>here are particular risks of large cracks (</w:t>
      </w:r>
      <w:r w:rsidRPr="001455DC">
        <w:rPr>
          <w:rStyle w:val="CCMCvariableitalic"/>
        </w:rPr>
        <w:t>w</w:t>
      </w:r>
      <w:r w:rsidRPr="001455DC">
        <w:rPr>
          <w:rStyle w:val="CCMCvariablesubscript"/>
        </w:rPr>
        <w:t>k</w:t>
      </w:r>
      <w:r w:rsidRPr="001455DC">
        <w:t> </w:t>
      </w:r>
      <w:r w:rsidR="00650035" w:rsidRPr="001455DC">
        <w:rPr>
          <w:rFonts w:ascii="Cambria Math" w:hAnsi="Cambria Math"/>
        </w:rPr>
        <w:t>&gt;</w:t>
      </w:r>
      <w:r w:rsidR="00073FC6" w:rsidRPr="001455DC">
        <w:t> </w:t>
      </w:r>
      <w:r w:rsidRPr="001455DC">
        <w:t>0,4 mm) occurring in member locations where there are sudden changes of stress, e.g.</w:t>
      </w:r>
    </w:p>
    <w:p w14:paraId="65C3FB8E" w14:textId="5ECA6890" w:rsidR="004E22C1" w:rsidRPr="001455DC" w:rsidRDefault="004E22C1" w:rsidP="00A35599">
      <w:pPr>
        <w:pStyle w:val="a0"/>
        <w:keepNext/>
        <w:rPr>
          <w:sz w:val="20"/>
        </w:rPr>
      </w:pPr>
      <w:r w:rsidRPr="001455DC">
        <w:rPr>
          <w:sz w:val="20"/>
        </w:rPr>
        <w:t>at changes of section,</w:t>
      </w:r>
    </w:p>
    <w:p w14:paraId="2A9660FC" w14:textId="069F361A" w:rsidR="004E22C1" w:rsidRPr="001455DC" w:rsidRDefault="004E22C1" w:rsidP="00B556B5">
      <w:pPr>
        <w:pStyle w:val="a0"/>
        <w:rPr>
          <w:sz w:val="20"/>
        </w:rPr>
      </w:pPr>
      <w:r w:rsidRPr="001455DC">
        <w:rPr>
          <w:sz w:val="20"/>
        </w:rPr>
        <w:t>near concentrated loads,</w:t>
      </w:r>
    </w:p>
    <w:p w14:paraId="66137AB0" w14:textId="6D3F7D92" w:rsidR="004E22C1" w:rsidRPr="001455DC" w:rsidRDefault="004E22C1" w:rsidP="00B556B5">
      <w:pPr>
        <w:pStyle w:val="a0"/>
        <w:rPr>
          <w:sz w:val="20"/>
        </w:rPr>
      </w:pPr>
      <w:r w:rsidRPr="001455DC">
        <w:rPr>
          <w:sz w:val="20"/>
        </w:rPr>
        <w:t>positions where bars are curtailed,</w:t>
      </w:r>
    </w:p>
    <w:p w14:paraId="1456954C" w14:textId="09EE84DE" w:rsidR="004E22C1" w:rsidRPr="001455DC" w:rsidRDefault="004E22C1" w:rsidP="00B556B5">
      <w:pPr>
        <w:pStyle w:val="a0"/>
        <w:rPr>
          <w:sz w:val="20"/>
        </w:rPr>
      </w:pPr>
      <w:r w:rsidRPr="001455DC">
        <w:rPr>
          <w:sz w:val="20"/>
        </w:rPr>
        <w:t>areas of high bond stress, particularly at the end of laps.</w:t>
      </w:r>
    </w:p>
    <w:p w14:paraId="58AA328A" w14:textId="77777777" w:rsidR="004E22C1" w:rsidRPr="001455DC" w:rsidRDefault="004E22C1" w:rsidP="00B556B5">
      <w:pPr>
        <w:pStyle w:val="a7"/>
      </w:pPr>
      <w:r w:rsidRPr="001455DC">
        <w:rPr>
          <w:szCs w:val="22"/>
        </w:rPr>
        <w:t>(3)</w:t>
      </w:r>
      <w:r w:rsidRPr="001455DC">
        <w:rPr>
          <w:szCs w:val="22"/>
        </w:rPr>
        <w:tab/>
      </w:r>
      <w:r w:rsidRPr="001455DC">
        <w:t>If crack width control is required, minimum reinforcement according to 9.2.2 should be placed in all sections whose reinforcement is not determined from ULS forces and in which tension is expected to develop. Sections whose reinforcement is determined from ULS forces should be checked for cracking according to either 9.2.3, which is conservative, or 9.2.4.</w:t>
      </w:r>
    </w:p>
    <w:p w14:paraId="1461BF3D" w14:textId="25017E3E" w:rsidR="004E22C1" w:rsidRPr="001455DC" w:rsidRDefault="004E22C1" w:rsidP="00B556B5">
      <w:pPr>
        <w:pStyle w:val="a7"/>
      </w:pPr>
      <w:r w:rsidRPr="001455DC">
        <w:t>(4)</w:t>
      </w:r>
      <w:r w:rsidRPr="001455DC">
        <w:tab/>
        <w:t>When lapping large diameter bars (</w:t>
      </w:r>
      <w:r w:rsidRPr="001455DC">
        <w:rPr>
          <w:rStyle w:val="CCMCvariableitalic"/>
        </w:rPr>
        <w:t>ϕ</w:t>
      </w:r>
      <w:r w:rsidRPr="001455DC">
        <w:t> </w:t>
      </w:r>
      <w:r w:rsidR="00650035" w:rsidRPr="001455DC">
        <w:rPr>
          <w:rFonts w:ascii="Cambria Math" w:hAnsi="Cambria Math"/>
        </w:rPr>
        <w:t>&gt;</w:t>
      </w:r>
      <w:r w:rsidR="00073FC6" w:rsidRPr="001455DC">
        <w:t> </w:t>
      </w:r>
      <w:r w:rsidRPr="001455DC">
        <w:t>32 mm), special measures should be taken, such as the provision of transverse reinforcement and additional longitudinal skin reinforcement along the length of the lap. By applying a sufficient web surface reinforcement according to 12.11 a verification of the crack width by calculation may be omitted.</w:t>
      </w:r>
    </w:p>
    <w:p w14:paraId="04F2383E" w14:textId="77777777" w:rsidR="004E22C1" w:rsidRPr="001455DC" w:rsidRDefault="004E22C1" w:rsidP="00B556B5">
      <w:pPr>
        <w:pStyle w:val="a7"/>
        <w:keepNext/>
      </w:pPr>
      <w:r w:rsidRPr="001455DC">
        <w:t>(5)</w:t>
      </w:r>
      <w:r w:rsidRPr="001455DC">
        <w:tab/>
        <w:t>The measures for limiting the crack widths should be adapted to the causes of cracking, for instance by:</w:t>
      </w:r>
    </w:p>
    <w:p w14:paraId="5B645506" w14:textId="2DEC722F" w:rsidR="004E22C1" w:rsidRPr="001455DC" w:rsidRDefault="004E22C1" w:rsidP="00B556B5">
      <w:pPr>
        <w:pStyle w:val="a0"/>
      </w:pPr>
      <w:r w:rsidRPr="001455DC">
        <w:t>choosing an appropriate structural concept,</w:t>
      </w:r>
    </w:p>
    <w:p w14:paraId="331EB15B" w14:textId="12871361" w:rsidR="004E22C1" w:rsidRPr="001455DC" w:rsidRDefault="004E22C1" w:rsidP="00B556B5">
      <w:pPr>
        <w:pStyle w:val="a0"/>
      </w:pPr>
      <w:r w:rsidRPr="001455DC">
        <w:t>prestressing,</w:t>
      </w:r>
    </w:p>
    <w:p w14:paraId="3B86B24C" w14:textId="74656E7B" w:rsidR="004E22C1" w:rsidRPr="001455DC" w:rsidRDefault="004E22C1" w:rsidP="00B556B5">
      <w:pPr>
        <w:pStyle w:val="a0"/>
      </w:pPr>
      <w:r w:rsidRPr="001455DC">
        <w:t>limiting the reinforcement stresses and the concrete stresses,</w:t>
      </w:r>
    </w:p>
    <w:p w14:paraId="3972D6F7" w14:textId="770692CC" w:rsidR="004E22C1" w:rsidRPr="001455DC" w:rsidRDefault="004E22C1" w:rsidP="00B556B5">
      <w:pPr>
        <w:pStyle w:val="a0"/>
      </w:pPr>
      <w:r w:rsidRPr="001455DC">
        <w:t>appropriate detailing,</w:t>
      </w:r>
    </w:p>
    <w:p w14:paraId="05AD94E8" w14:textId="2E9F6E65" w:rsidR="004E22C1" w:rsidRPr="001455DC" w:rsidRDefault="004E22C1" w:rsidP="00B556B5">
      <w:pPr>
        <w:pStyle w:val="a0"/>
      </w:pPr>
      <w:r w:rsidRPr="001455DC">
        <w:t>appropriate selection of concrete properties,</w:t>
      </w:r>
    </w:p>
    <w:p w14:paraId="6F362D38" w14:textId="7C454684" w:rsidR="004E22C1" w:rsidRPr="001455DC" w:rsidRDefault="004E22C1" w:rsidP="00B556B5">
      <w:pPr>
        <w:pStyle w:val="a0"/>
      </w:pPr>
      <w:r w:rsidRPr="001455DC">
        <w:t>curing of concrete.</w:t>
      </w:r>
    </w:p>
    <w:p w14:paraId="0C71AC3E" w14:textId="77777777" w:rsidR="004E22C1" w:rsidRPr="001455DC" w:rsidRDefault="004E22C1" w:rsidP="00B556B5">
      <w:pPr>
        <w:pStyle w:val="a7"/>
      </w:pPr>
      <w:r w:rsidRPr="001455DC">
        <w:t>(6)</w:t>
      </w:r>
      <w:r w:rsidRPr="001455DC">
        <w:tab/>
        <w:t xml:space="preserve">A limiting value </w:t>
      </w:r>
      <w:r w:rsidRPr="001455DC">
        <w:rPr>
          <w:rStyle w:val="CCMCvariableitalic"/>
        </w:rPr>
        <w:t>w</w:t>
      </w:r>
      <w:r w:rsidRPr="001455DC">
        <w:rPr>
          <w:rStyle w:val="CCMCvariablesubscript"/>
        </w:rPr>
        <w:t>lim,cal</w:t>
      </w:r>
      <w:r w:rsidRPr="001455DC">
        <w:t xml:space="preserve"> for the calculated crack width </w:t>
      </w:r>
      <w:r w:rsidRPr="001455DC">
        <w:rPr>
          <w:rStyle w:val="CCMCvariableitalic"/>
        </w:rPr>
        <w:t>w</w:t>
      </w:r>
      <w:r w:rsidRPr="001455DC">
        <w:rPr>
          <w:rStyle w:val="CCMCvariablesubscript"/>
        </w:rPr>
        <w:t>k,cal</w:t>
      </w:r>
      <w:r w:rsidRPr="001455DC">
        <w:t xml:space="preserve"> on the member surface should be established taking into account the proposed function and nature of the structure and the costs of limiting cracking.</w:t>
      </w:r>
    </w:p>
    <w:p w14:paraId="7FE97367" w14:textId="77A1409A" w:rsidR="004E22C1" w:rsidRPr="001455DC" w:rsidRDefault="004E22C1" w:rsidP="00B556B5">
      <w:pPr>
        <w:pStyle w:val="Note"/>
        <w:keepNext/>
        <w:spacing w:after="120"/>
      </w:pPr>
      <w:r w:rsidRPr="001455DC">
        <w:t>NOTE</w:t>
      </w:r>
      <w:r w:rsidR="008D37B2" w:rsidRPr="001455DC">
        <w:t> </w:t>
      </w:r>
      <w:r w:rsidR="002318A0">
        <w:t>1</w:t>
      </w:r>
      <w:r w:rsidRPr="001455DC">
        <w:tab/>
        <w:t xml:space="preserve">Unless a National Annex gives different values, the limits on stresses and crack widths </w:t>
      </w:r>
      <w:r w:rsidRPr="001455DC">
        <w:rPr>
          <w:rStyle w:val="CCMCvariableitalic"/>
        </w:rPr>
        <w:t>w</w:t>
      </w:r>
      <w:r w:rsidRPr="001455DC">
        <w:rPr>
          <w:rStyle w:val="CCMCvariablesubscript"/>
        </w:rPr>
        <w:t>lim,cal</w:t>
      </w:r>
      <w:r w:rsidRPr="001455DC">
        <w:t xml:space="preserve"> are given in:</w:t>
      </w:r>
    </w:p>
    <w:p w14:paraId="39FD2F0E" w14:textId="43C35974" w:rsidR="004E22C1" w:rsidRPr="001455DC" w:rsidRDefault="004E22C1" w:rsidP="00B556B5">
      <w:pPr>
        <w:pStyle w:val="a0"/>
        <w:rPr>
          <w:sz w:val="20"/>
        </w:rPr>
      </w:pPr>
      <w:r w:rsidRPr="001455DC">
        <w:rPr>
          <w:sz w:val="20"/>
        </w:rPr>
        <w:t>Table 9.1(NDP) for requirements related to appearance,</w:t>
      </w:r>
    </w:p>
    <w:p w14:paraId="4102F0A5" w14:textId="47F148BE" w:rsidR="004E22C1" w:rsidRPr="001455DC" w:rsidRDefault="004E22C1" w:rsidP="00B556B5">
      <w:pPr>
        <w:pStyle w:val="a0"/>
        <w:rPr>
          <w:sz w:val="20"/>
        </w:rPr>
      </w:pPr>
      <w:r w:rsidRPr="001455DC">
        <w:rPr>
          <w:sz w:val="20"/>
        </w:rPr>
        <w:t>Table 9.2(NDP) for requirements related to durability.</w:t>
      </w:r>
    </w:p>
    <w:p w14:paraId="28D6CB80" w14:textId="09B4C975" w:rsidR="004E22C1" w:rsidRPr="001455DC" w:rsidRDefault="004E22C1" w:rsidP="00B556B5">
      <w:pPr>
        <w:pStyle w:val="Note"/>
      </w:pPr>
      <w:r w:rsidRPr="001455DC">
        <w:t>NOTE</w:t>
      </w:r>
      <w:r w:rsidR="008D37B2" w:rsidRPr="001455DC">
        <w:t> </w:t>
      </w:r>
      <w:r w:rsidR="002318A0">
        <w:t>2</w:t>
      </w:r>
      <w:r w:rsidRPr="001455DC">
        <w:tab/>
        <w:t>See Annex H for additional conditions related to water-tightness.</w:t>
      </w:r>
    </w:p>
    <w:p w14:paraId="5349B402" w14:textId="2974CAA7" w:rsidR="004E22C1" w:rsidRPr="001455DC" w:rsidRDefault="004E22C1" w:rsidP="00B556B5">
      <w:pPr>
        <w:pStyle w:val="Tabletitle"/>
      </w:pPr>
      <w:bookmarkStart w:id="685" w:name="_Toc54337400"/>
      <w:r w:rsidRPr="001455DC">
        <w:t>Table 9.1(NDP) — Verifications, stress and crack width limits for appearance</w:t>
      </w:r>
      <w:bookmarkEnd w:id="685"/>
    </w:p>
    <w:tbl>
      <w:tblPr>
        <w:tblStyle w:val="53"/>
        <w:tblW w:w="9752" w:type="dxa"/>
        <w:tblLayout w:type="fixed"/>
        <w:tblCellMar>
          <w:left w:w="71" w:type="dxa"/>
          <w:right w:w="71" w:type="dxa"/>
        </w:tblCellMar>
        <w:tblLook w:val="0660" w:firstRow="1" w:lastRow="1" w:firstColumn="0" w:lastColumn="0" w:noHBand="1" w:noVBand="1"/>
      </w:tblPr>
      <w:tblGrid>
        <w:gridCol w:w="2268"/>
        <w:gridCol w:w="2268"/>
        <w:gridCol w:w="2948"/>
        <w:gridCol w:w="2268"/>
      </w:tblGrid>
      <w:tr w:rsidR="004E22C1" w:rsidRPr="001455DC" w14:paraId="6ECDBAC9" w14:textId="77777777" w:rsidTr="00B556B5">
        <w:trPr>
          <w:cnfStyle w:val="100000000000" w:firstRow="1" w:lastRow="0" w:firstColumn="0" w:lastColumn="0" w:oddVBand="0" w:evenVBand="0" w:oddHBand="0" w:evenHBand="0" w:firstRowFirstColumn="0" w:firstRowLastColumn="0" w:lastRowFirstColumn="0" w:lastRowLastColumn="0"/>
          <w:cantSplit/>
          <w:tblHeader/>
        </w:trPr>
        <w:tc>
          <w:tcPr>
            <w:tcW w:w="2268" w:type="dxa"/>
          </w:tcPr>
          <w:p w14:paraId="4D8B87A5" w14:textId="77777777" w:rsidR="004E22C1" w:rsidRPr="001455DC" w:rsidRDefault="004E22C1" w:rsidP="00B556B5">
            <w:pPr>
              <w:pStyle w:val="Tableheader"/>
              <w:keepNext/>
              <w:rPr>
                <w:rFonts w:eastAsiaTheme="minorHAnsi"/>
              </w:rPr>
            </w:pPr>
            <w:r w:rsidRPr="001455DC">
              <w:rPr>
                <w:rFonts w:eastAsiaTheme="minorHAnsi"/>
              </w:rPr>
              <w:t>Verification</w:t>
            </w:r>
          </w:p>
        </w:tc>
        <w:tc>
          <w:tcPr>
            <w:tcW w:w="2268" w:type="dxa"/>
          </w:tcPr>
          <w:p w14:paraId="7CDF9363" w14:textId="77777777" w:rsidR="004E22C1" w:rsidRPr="009D3012" w:rsidRDefault="004E22C1" w:rsidP="00B556B5">
            <w:pPr>
              <w:pStyle w:val="Tableheader"/>
              <w:keepNext/>
              <w:rPr>
                <w:rFonts w:eastAsiaTheme="minorHAnsi"/>
                <w:lang w:val="en-US"/>
              </w:rPr>
            </w:pPr>
            <w:r w:rsidRPr="009D3012">
              <w:rPr>
                <w:rFonts w:eastAsiaTheme="minorHAnsi"/>
                <w:lang w:val="en-US"/>
              </w:rPr>
              <w:t>Calculation of minimum reinforcement for crack control according to 9.2.2 under imposed deformation</w:t>
            </w:r>
          </w:p>
        </w:tc>
        <w:tc>
          <w:tcPr>
            <w:tcW w:w="2948" w:type="dxa"/>
          </w:tcPr>
          <w:p w14:paraId="282643FD" w14:textId="77777777" w:rsidR="004E22C1" w:rsidRPr="009D3012" w:rsidRDefault="004E22C1" w:rsidP="00B556B5">
            <w:pPr>
              <w:pStyle w:val="Tableheader"/>
              <w:keepNext/>
              <w:rPr>
                <w:rFonts w:eastAsiaTheme="minorHAnsi"/>
                <w:lang w:val="en-US"/>
              </w:rPr>
            </w:pPr>
            <w:r w:rsidRPr="009D3012">
              <w:rPr>
                <w:rFonts w:eastAsiaTheme="minorHAnsi"/>
                <w:lang w:val="en-US"/>
              </w:rPr>
              <w:t>Maximum bar diameter or maximum bar spacing according to 9.2.3</w:t>
            </w:r>
          </w:p>
          <w:p w14:paraId="5F0B00AC" w14:textId="77777777" w:rsidR="004E22C1" w:rsidRPr="009D3012" w:rsidRDefault="004E22C1" w:rsidP="00B556B5">
            <w:pPr>
              <w:pStyle w:val="Tableheader"/>
              <w:keepNext/>
              <w:rPr>
                <w:rFonts w:eastAsiaTheme="minorHAnsi"/>
                <w:lang w:val="en-US"/>
              </w:rPr>
            </w:pPr>
            <w:r w:rsidRPr="009D3012">
              <w:rPr>
                <w:rFonts w:eastAsiaTheme="minorHAnsi"/>
                <w:lang w:val="en-US"/>
              </w:rPr>
              <w:t>or alternatively</w:t>
            </w:r>
          </w:p>
          <w:p w14:paraId="4425B66D" w14:textId="77777777" w:rsidR="004E22C1" w:rsidRPr="009D3012" w:rsidRDefault="004E22C1" w:rsidP="00B556B5">
            <w:pPr>
              <w:pStyle w:val="Tableheader"/>
              <w:keepNext/>
              <w:rPr>
                <w:rFonts w:eastAsiaTheme="minorHAnsi"/>
                <w:lang w:val="en-US"/>
              </w:rPr>
            </w:pPr>
            <w:r w:rsidRPr="009D3012">
              <w:rPr>
                <w:rFonts w:eastAsiaTheme="minorHAnsi"/>
                <w:lang w:val="en-US"/>
              </w:rPr>
              <w:t>Verification of crack width according to 9.2.4</w:t>
            </w:r>
          </w:p>
        </w:tc>
        <w:tc>
          <w:tcPr>
            <w:tcW w:w="2268" w:type="dxa"/>
          </w:tcPr>
          <w:p w14:paraId="75D45BAC" w14:textId="77777777" w:rsidR="004E22C1" w:rsidRPr="009D3012" w:rsidRDefault="004E22C1" w:rsidP="00B556B5">
            <w:pPr>
              <w:pStyle w:val="Tableheader"/>
              <w:keepNext/>
              <w:rPr>
                <w:rFonts w:eastAsiaTheme="minorHAnsi"/>
                <w:lang w:val="en-US"/>
              </w:rPr>
            </w:pPr>
            <w:r w:rsidRPr="009D3012">
              <w:rPr>
                <w:rFonts w:eastAsiaTheme="minorHAnsi"/>
                <w:lang w:val="en-US"/>
              </w:rPr>
              <w:t>Verification of reinforcement stresses to avoid yielding at SLS</w:t>
            </w:r>
          </w:p>
        </w:tc>
      </w:tr>
      <w:tr w:rsidR="004E22C1" w:rsidRPr="001455DC" w14:paraId="045C85BD" w14:textId="77777777" w:rsidTr="00B556B5">
        <w:trPr>
          <w:cantSplit/>
        </w:trPr>
        <w:tc>
          <w:tcPr>
            <w:tcW w:w="2268" w:type="dxa"/>
            <w:vAlign w:val="center"/>
          </w:tcPr>
          <w:p w14:paraId="6583A109" w14:textId="77777777" w:rsidR="004E22C1" w:rsidRPr="009D3012" w:rsidRDefault="004E22C1" w:rsidP="00B556B5">
            <w:pPr>
              <w:pStyle w:val="Tablebody"/>
              <w:keepNext/>
              <w:jc w:val="left"/>
              <w:rPr>
                <w:rFonts w:eastAsiaTheme="minorHAnsi"/>
                <w:lang w:val="en-US"/>
              </w:rPr>
            </w:pPr>
            <w:r w:rsidRPr="009D3012">
              <w:rPr>
                <w:rFonts w:eastAsiaTheme="minorHAnsi"/>
                <w:lang w:val="en-US"/>
              </w:rPr>
              <w:t xml:space="preserve">Combination of actions for calculating </w:t>
            </w:r>
            <w:r w:rsidRPr="001455DC">
              <w:rPr>
                <w:rStyle w:val="CCMCvariableitalic"/>
              </w:rPr>
              <w:t>σ</w:t>
            </w:r>
            <w:r w:rsidRPr="009D3012">
              <w:rPr>
                <w:rStyle w:val="CCMCvariablesubscript"/>
                <w:lang w:val="en-US"/>
              </w:rPr>
              <w:t>s</w:t>
            </w:r>
          </w:p>
        </w:tc>
        <w:tc>
          <w:tcPr>
            <w:tcW w:w="2268" w:type="dxa"/>
            <w:vAlign w:val="center"/>
          </w:tcPr>
          <w:p w14:paraId="05C5C564" w14:textId="77777777" w:rsidR="004E22C1" w:rsidRPr="001455DC" w:rsidRDefault="004E22C1" w:rsidP="00B556B5">
            <w:pPr>
              <w:pStyle w:val="Tablebody"/>
              <w:keepNext/>
              <w:jc w:val="center"/>
              <w:rPr>
                <w:rFonts w:eastAsiaTheme="minorHAnsi"/>
              </w:rPr>
            </w:pPr>
            <w:r w:rsidRPr="001455DC">
              <w:rPr>
                <w:rFonts w:eastAsiaTheme="minorHAnsi"/>
              </w:rPr>
              <w:t>Cracking forces according to 9.2.2</w:t>
            </w:r>
          </w:p>
        </w:tc>
        <w:tc>
          <w:tcPr>
            <w:tcW w:w="2948" w:type="dxa"/>
            <w:vAlign w:val="center"/>
          </w:tcPr>
          <w:p w14:paraId="0F324F1E" w14:textId="77777777" w:rsidR="004E22C1" w:rsidRPr="009D3012" w:rsidRDefault="004E22C1" w:rsidP="00B556B5">
            <w:pPr>
              <w:pStyle w:val="Tablebody"/>
              <w:keepNext/>
              <w:jc w:val="center"/>
              <w:rPr>
                <w:rFonts w:eastAsiaTheme="minorHAnsi"/>
                <w:lang w:val="en-US"/>
              </w:rPr>
            </w:pPr>
            <w:r w:rsidRPr="009D3012">
              <w:rPr>
                <w:rFonts w:eastAsiaTheme="minorHAnsi"/>
                <w:lang w:val="en-US"/>
              </w:rPr>
              <w:t>Quasi-permanent combination of actions</w:t>
            </w:r>
          </w:p>
        </w:tc>
        <w:tc>
          <w:tcPr>
            <w:tcW w:w="2268" w:type="dxa"/>
            <w:vAlign w:val="center"/>
          </w:tcPr>
          <w:p w14:paraId="1811F7CF" w14:textId="4CB7278B" w:rsidR="004E22C1" w:rsidRPr="001455DC" w:rsidRDefault="004E22C1" w:rsidP="00B556B5">
            <w:pPr>
              <w:pStyle w:val="Tablebody"/>
              <w:keepNext/>
              <w:jc w:val="center"/>
              <w:rPr>
                <w:rFonts w:eastAsiaTheme="minorHAnsi"/>
              </w:rPr>
            </w:pPr>
            <w:r w:rsidRPr="001455DC">
              <w:rPr>
                <w:rFonts w:eastAsiaTheme="minorHAnsi"/>
              </w:rPr>
              <w:t>Characteristic combination of actions</w:t>
            </w:r>
          </w:p>
        </w:tc>
      </w:tr>
      <w:tr w:rsidR="004E22C1" w:rsidRPr="001455DC" w14:paraId="49AE9AD4" w14:textId="77777777" w:rsidTr="00B556B5">
        <w:trPr>
          <w:cantSplit/>
        </w:trPr>
        <w:tc>
          <w:tcPr>
            <w:tcW w:w="2268" w:type="dxa"/>
            <w:tcBorders>
              <w:bottom w:val="single" w:sz="12" w:space="0" w:color="000000"/>
            </w:tcBorders>
            <w:vAlign w:val="center"/>
          </w:tcPr>
          <w:p w14:paraId="032EC85C" w14:textId="66B4950B" w:rsidR="004E22C1" w:rsidRPr="009D3012" w:rsidRDefault="004E22C1" w:rsidP="00E844D2">
            <w:pPr>
              <w:pStyle w:val="Tablebody"/>
              <w:keepNext/>
              <w:jc w:val="left"/>
              <w:rPr>
                <w:rFonts w:eastAsiaTheme="minorHAnsi"/>
                <w:bCs/>
                <w:iCs/>
                <w:lang w:val="en-US"/>
              </w:rPr>
            </w:pPr>
            <w:r w:rsidRPr="009D3012">
              <w:rPr>
                <w:rFonts w:eastAsiaTheme="minorHAnsi"/>
                <w:bCs/>
                <w:iCs/>
                <w:lang w:val="en-US"/>
              </w:rPr>
              <w:t xml:space="preserve">Limiting value of crack width </w:t>
            </w:r>
            <w:r w:rsidRPr="009D3012">
              <w:rPr>
                <w:rStyle w:val="CCMCvariableitalic"/>
                <w:lang w:val="en-US"/>
              </w:rPr>
              <w:t>w</w:t>
            </w:r>
            <w:r w:rsidRPr="009D3012">
              <w:rPr>
                <w:rStyle w:val="CCMCvariablesubscript"/>
                <w:lang w:val="en-US"/>
              </w:rPr>
              <w:t>lim,cal</w:t>
            </w:r>
            <w:r w:rsidRPr="009D3012">
              <w:rPr>
                <w:rFonts w:eastAsiaTheme="minorHAnsi"/>
                <w:bCs/>
                <w:lang w:val="en-US"/>
              </w:rPr>
              <w:t xml:space="preserve"> </w:t>
            </w:r>
            <w:r w:rsidRPr="009D3012">
              <w:rPr>
                <w:rFonts w:eastAsiaTheme="minorHAnsi"/>
                <w:bCs/>
                <w:iCs/>
                <w:lang w:val="en-US"/>
              </w:rPr>
              <w:t>or</w:t>
            </w:r>
            <w:r w:rsidR="00E844D2" w:rsidRPr="009D3012">
              <w:rPr>
                <w:rFonts w:eastAsiaTheme="minorHAnsi"/>
                <w:bCs/>
                <w:iCs/>
                <w:lang w:val="en-US"/>
              </w:rPr>
              <w:t xml:space="preserve"> </w:t>
            </w:r>
            <w:r w:rsidRPr="009D3012">
              <w:rPr>
                <w:rFonts w:eastAsiaTheme="minorHAnsi"/>
                <w:bCs/>
                <w:iCs/>
                <w:lang w:val="en-US"/>
              </w:rPr>
              <w:t xml:space="preserve">stress </w:t>
            </w:r>
            <w:r w:rsidRPr="001455DC">
              <w:rPr>
                <w:rStyle w:val="CCMCvariableitalic"/>
              </w:rPr>
              <w:t>σ</w:t>
            </w:r>
            <w:r w:rsidRPr="009D3012">
              <w:rPr>
                <w:rStyle w:val="CCMCvariablesubscript"/>
                <w:lang w:val="en-US"/>
              </w:rPr>
              <w:t>s</w:t>
            </w:r>
          </w:p>
        </w:tc>
        <w:tc>
          <w:tcPr>
            <w:tcW w:w="2268" w:type="dxa"/>
            <w:tcBorders>
              <w:bottom w:val="single" w:sz="12" w:space="0" w:color="000000"/>
            </w:tcBorders>
            <w:vAlign w:val="center"/>
          </w:tcPr>
          <w:p w14:paraId="34C926FF" w14:textId="7DFBBAFB" w:rsidR="004E22C1" w:rsidRPr="009D3012" w:rsidRDefault="004E22C1" w:rsidP="00B556B5">
            <w:pPr>
              <w:pStyle w:val="Tablebody"/>
              <w:keepNext/>
              <w:jc w:val="center"/>
              <w:rPr>
                <w:rStyle w:val="CCMCvariablesubscript"/>
                <w:lang w:val="en-US"/>
              </w:rPr>
            </w:pPr>
            <w:r w:rsidRPr="001455DC">
              <w:rPr>
                <w:rStyle w:val="CCMCvariableitalic"/>
              </w:rPr>
              <w:t>σ</w:t>
            </w:r>
            <w:r w:rsidRPr="009D3012">
              <w:rPr>
                <w:rStyle w:val="CCMCvariablesubscript"/>
                <w:lang w:val="en-US"/>
              </w:rPr>
              <w:t>s</w:t>
            </w:r>
            <w:r w:rsidRPr="009D3012">
              <w:rPr>
                <w:lang w:val="en-US"/>
              </w:rPr>
              <w:t> </w:t>
            </w:r>
            <w:r w:rsidR="00650035" w:rsidRPr="009D3012">
              <w:rPr>
                <w:rFonts w:ascii="Cambria Math" w:hAnsi="Cambria Math"/>
                <w:lang w:val="en-US"/>
              </w:rPr>
              <w:t>≤</w:t>
            </w:r>
            <w:r w:rsidRPr="009D3012">
              <w:rPr>
                <w:lang w:val="en-US"/>
              </w:rPr>
              <w:t> </w:t>
            </w:r>
            <w:r w:rsidRPr="009D3012">
              <w:rPr>
                <w:rStyle w:val="CCMCvariableitalic"/>
                <w:lang w:val="en-US"/>
              </w:rPr>
              <w:t>f</w:t>
            </w:r>
            <w:r w:rsidRPr="009D3012">
              <w:rPr>
                <w:rStyle w:val="CCMCvariablesubscript"/>
                <w:lang w:val="en-US"/>
              </w:rPr>
              <w:t>yk</w:t>
            </w:r>
          </w:p>
          <w:p w14:paraId="23E9D99C" w14:textId="77777777" w:rsidR="004E22C1" w:rsidRPr="009D3012" w:rsidRDefault="004E22C1" w:rsidP="00B556B5">
            <w:pPr>
              <w:pStyle w:val="Tablebody"/>
              <w:keepNext/>
              <w:jc w:val="center"/>
              <w:rPr>
                <w:lang w:val="en-US"/>
              </w:rPr>
            </w:pPr>
            <w:r w:rsidRPr="009D3012">
              <w:rPr>
                <w:lang w:val="en-US"/>
              </w:rPr>
              <w:t>or</w:t>
            </w:r>
          </w:p>
          <w:p w14:paraId="5D4DFF66" w14:textId="68CCBD08" w:rsidR="004E22C1" w:rsidRPr="009D3012" w:rsidRDefault="004E22C1" w:rsidP="00B556B5">
            <w:pPr>
              <w:pStyle w:val="Tablebody"/>
              <w:keepNext/>
              <w:jc w:val="center"/>
              <w:rPr>
                <w:rFonts w:eastAsiaTheme="minorHAnsi"/>
                <w:bCs/>
                <w:i/>
                <w:iCs/>
                <w:lang w:val="en-US"/>
              </w:rPr>
            </w:pPr>
            <w:r w:rsidRPr="001455DC">
              <w:rPr>
                <w:rStyle w:val="CCMCvariableitalic"/>
              </w:rPr>
              <w:t>σ</w:t>
            </w:r>
            <w:r w:rsidRPr="009D3012">
              <w:rPr>
                <w:rStyle w:val="CCMCvariablesubscript"/>
                <w:lang w:val="en-US"/>
              </w:rPr>
              <w:t>s</w:t>
            </w:r>
            <w:r w:rsidRPr="009D3012">
              <w:rPr>
                <w:lang w:val="en-US"/>
              </w:rPr>
              <w:t> </w:t>
            </w:r>
            <w:r w:rsidR="00650035" w:rsidRPr="009D3012">
              <w:rPr>
                <w:rFonts w:ascii="Cambria Math" w:hAnsi="Cambria Math"/>
                <w:lang w:val="en-US"/>
              </w:rPr>
              <w:t>≤</w:t>
            </w:r>
            <w:r w:rsidRPr="009D3012">
              <w:rPr>
                <w:lang w:val="en-US"/>
              </w:rPr>
              <w:t> </w:t>
            </w:r>
            <w:r w:rsidRPr="001455DC">
              <w:rPr>
                <w:rStyle w:val="CCMCvariableitalic"/>
              </w:rPr>
              <w:t>σ</w:t>
            </w:r>
            <w:r w:rsidRPr="009D3012">
              <w:rPr>
                <w:rStyle w:val="CCMCvariablesubscript"/>
                <w:lang w:val="en-US"/>
              </w:rPr>
              <w:t>s,lim</w:t>
            </w:r>
            <w:r w:rsidRPr="009D3012">
              <w:rPr>
                <w:lang w:val="en-US"/>
              </w:rPr>
              <w:t xml:space="preserve"> </w:t>
            </w:r>
            <w:r w:rsidRPr="009D3012">
              <w:rPr>
                <w:rStyle w:val="CCMCvariablesuperscript"/>
                <w:lang w:val="en-US"/>
              </w:rPr>
              <w:t>a</w:t>
            </w:r>
          </w:p>
        </w:tc>
        <w:tc>
          <w:tcPr>
            <w:tcW w:w="2948" w:type="dxa"/>
            <w:tcBorders>
              <w:bottom w:val="single" w:sz="12" w:space="0" w:color="000000"/>
            </w:tcBorders>
            <w:vAlign w:val="center"/>
          </w:tcPr>
          <w:p w14:paraId="144BE212" w14:textId="36CED5E9" w:rsidR="004E22C1" w:rsidRPr="009D3012" w:rsidRDefault="004E22C1" w:rsidP="00B556B5">
            <w:pPr>
              <w:pStyle w:val="Tablebody"/>
              <w:keepNext/>
              <w:jc w:val="center"/>
              <w:rPr>
                <w:rFonts w:eastAsiaTheme="minorHAnsi"/>
                <w:lang w:val="en-US"/>
              </w:rPr>
            </w:pPr>
            <w:r w:rsidRPr="009D3012">
              <w:rPr>
                <w:rStyle w:val="CCMCvariableitalic"/>
                <w:lang w:val="en-US"/>
              </w:rPr>
              <w:t>w</w:t>
            </w:r>
            <w:r w:rsidRPr="009D3012">
              <w:rPr>
                <w:rStyle w:val="CCMCvariablesubscript"/>
                <w:lang w:val="en-US"/>
              </w:rPr>
              <w:t>lim,cal</w:t>
            </w:r>
            <w:r w:rsidRPr="009D3012">
              <w:rPr>
                <w:lang w:val="en-US"/>
              </w:rPr>
              <w:t> </w:t>
            </w:r>
            <w:r w:rsidR="00EC27D2" w:rsidRPr="009D3012">
              <w:rPr>
                <w:rFonts w:ascii="Cambria Math" w:hAnsi="Cambria Math"/>
                <w:lang w:val="en-US"/>
              </w:rPr>
              <w:t>=</w:t>
            </w:r>
            <w:r w:rsidRPr="009D3012">
              <w:rPr>
                <w:lang w:val="en-US"/>
              </w:rPr>
              <w:t> </w:t>
            </w:r>
            <w:r w:rsidRPr="009D3012">
              <w:rPr>
                <w:rFonts w:eastAsiaTheme="minorHAnsi"/>
                <w:lang w:val="en-US"/>
              </w:rPr>
              <w:t>0,4 mm</w:t>
            </w:r>
          </w:p>
          <w:p w14:paraId="3E2C833D" w14:textId="4F0DE080" w:rsidR="004E22C1" w:rsidRPr="009D3012" w:rsidRDefault="004E22C1" w:rsidP="00B556B5">
            <w:pPr>
              <w:pStyle w:val="Tablebody"/>
              <w:keepNext/>
              <w:jc w:val="center"/>
              <w:rPr>
                <w:lang w:val="en-US"/>
              </w:rPr>
            </w:pPr>
            <w:r w:rsidRPr="001455DC">
              <w:rPr>
                <w:rStyle w:val="CCMCvariableitalic"/>
              </w:rPr>
              <w:t>σ</w:t>
            </w:r>
            <w:r w:rsidRPr="009D3012">
              <w:rPr>
                <w:rStyle w:val="CCMCvariablesubscript"/>
                <w:lang w:val="en-US"/>
              </w:rPr>
              <w:t>s</w:t>
            </w:r>
            <w:r w:rsidRPr="009D3012">
              <w:rPr>
                <w:lang w:val="en-US"/>
              </w:rPr>
              <w:t> </w:t>
            </w:r>
            <w:r w:rsidR="00650035" w:rsidRPr="009D3012">
              <w:rPr>
                <w:rFonts w:ascii="Cambria Math" w:hAnsi="Cambria Math"/>
                <w:lang w:val="en-US"/>
              </w:rPr>
              <w:t>≤</w:t>
            </w:r>
            <w:r w:rsidRPr="009D3012">
              <w:rPr>
                <w:lang w:val="en-US"/>
              </w:rPr>
              <w:t> </w:t>
            </w:r>
            <w:r w:rsidRPr="009D3012">
              <w:rPr>
                <w:rStyle w:val="CCMCvariableitalic"/>
                <w:lang w:val="en-US"/>
              </w:rPr>
              <w:t>f</w:t>
            </w:r>
            <w:r w:rsidRPr="009D3012">
              <w:rPr>
                <w:rStyle w:val="CCMCvariablesubscript"/>
                <w:lang w:val="en-US"/>
              </w:rPr>
              <w:t>yk</w:t>
            </w:r>
          </w:p>
          <w:p w14:paraId="4CB38590" w14:textId="38C6BF42" w:rsidR="004E22C1" w:rsidRPr="009D3012" w:rsidRDefault="004E22C1" w:rsidP="00B556B5">
            <w:pPr>
              <w:pStyle w:val="Tablebody"/>
              <w:keepNext/>
              <w:jc w:val="center"/>
              <w:rPr>
                <w:rStyle w:val="CCMCvariablesubscript"/>
                <w:lang w:val="en-US"/>
              </w:rPr>
            </w:pPr>
            <w:r w:rsidRPr="009D3012">
              <w:rPr>
                <w:lang w:val="en-US"/>
              </w:rPr>
              <w:t xml:space="preserve">or </w:t>
            </w:r>
            <w:r w:rsidRPr="001455DC">
              <w:rPr>
                <w:rStyle w:val="CCMCvariableitalic"/>
              </w:rPr>
              <w:t>σ</w:t>
            </w:r>
            <w:r w:rsidRPr="009D3012">
              <w:rPr>
                <w:rStyle w:val="CCMCvariablesubscript"/>
                <w:lang w:val="en-US"/>
              </w:rPr>
              <w:t>s</w:t>
            </w:r>
            <w:r w:rsidRPr="009D3012">
              <w:rPr>
                <w:lang w:val="en-US"/>
              </w:rPr>
              <w:t> </w:t>
            </w:r>
            <w:r w:rsidR="00650035" w:rsidRPr="009D3012">
              <w:rPr>
                <w:rFonts w:ascii="Cambria Math" w:hAnsi="Cambria Math"/>
                <w:lang w:val="en-US"/>
              </w:rPr>
              <w:t>≤</w:t>
            </w:r>
            <w:r w:rsidRPr="009D3012">
              <w:rPr>
                <w:lang w:val="en-US"/>
              </w:rPr>
              <w:t> </w:t>
            </w:r>
            <w:r w:rsidRPr="001455DC">
              <w:rPr>
                <w:rStyle w:val="CCMCvariableitalic"/>
              </w:rPr>
              <w:t>σ</w:t>
            </w:r>
            <w:r w:rsidRPr="009D3012">
              <w:rPr>
                <w:rStyle w:val="CCMCvariablesubscript"/>
                <w:lang w:val="en-US"/>
              </w:rPr>
              <w:t>s,lim</w:t>
            </w:r>
            <w:r w:rsidRPr="009D3012">
              <w:rPr>
                <w:lang w:val="en-US"/>
              </w:rPr>
              <w:t xml:space="preserve"> </w:t>
            </w:r>
            <w:r w:rsidRPr="009D3012">
              <w:rPr>
                <w:rStyle w:val="CCMCvariablesuperscript"/>
                <w:lang w:val="en-US"/>
              </w:rPr>
              <w:t>a</w:t>
            </w:r>
          </w:p>
        </w:tc>
        <w:tc>
          <w:tcPr>
            <w:tcW w:w="2268" w:type="dxa"/>
            <w:tcBorders>
              <w:bottom w:val="single" w:sz="12" w:space="0" w:color="000000"/>
            </w:tcBorders>
            <w:vAlign w:val="center"/>
          </w:tcPr>
          <w:p w14:paraId="1E17CD51" w14:textId="42150226" w:rsidR="004E22C1" w:rsidRPr="001455DC" w:rsidRDefault="004E22C1" w:rsidP="00B556B5">
            <w:pPr>
              <w:pStyle w:val="Tablebody"/>
              <w:keepNext/>
              <w:jc w:val="center"/>
            </w:pPr>
            <w:r w:rsidRPr="001455DC">
              <w:rPr>
                <w:rStyle w:val="CCMCvariableitalic"/>
              </w:rPr>
              <w:t>σ</w:t>
            </w:r>
            <w:r w:rsidRPr="001455DC">
              <w:rPr>
                <w:rStyle w:val="CCMCvariablesubscript"/>
              </w:rPr>
              <w:t>s</w:t>
            </w:r>
            <w:r w:rsidRPr="001455DC">
              <w:t> </w:t>
            </w:r>
            <w:r w:rsidR="00650035" w:rsidRPr="001455DC">
              <w:rPr>
                <w:rFonts w:ascii="Cambria Math" w:hAnsi="Cambria Math"/>
              </w:rPr>
              <w:t>≤</w:t>
            </w:r>
            <w:r w:rsidRPr="001455DC">
              <w:t> 0,8</w:t>
            </w:r>
            <w:r w:rsidRPr="001455DC">
              <w:rPr>
                <w:rStyle w:val="CCMCvariableitalic"/>
              </w:rPr>
              <w:t>f</w:t>
            </w:r>
            <w:r w:rsidRPr="001455DC">
              <w:rPr>
                <w:rStyle w:val="CCMCvariablesubscript"/>
              </w:rPr>
              <w:t>yk</w:t>
            </w:r>
          </w:p>
          <w:p w14:paraId="122C5466" w14:textId="12A811B2" w:rsidR="004E22C1" w:rsidRPr="009D3012" w:rsidRDefault="004E22C1" w:rsidP="00B556B5">
            <w:pPr>
              <w:pStyle w:val="Tablebody"/>
              <w:keepNext/>
              <w:jc w:val="center"/>
              <w:rPr>
                <w:rStyle w:val="CCMCvariablesubscript"/>
              </w:rPr>
            </w:pPr>
            <w:r w:rsidRPr="001455DC">
              <w:rPr>
                <w:rStyle w:val="CCMCvariableitalic"/>
              </w:rPr>
              <w:t>σ</w:t>
            </w:r>
            <w:r w:rsidRPr="001455DC">
              <w:rPr>
                <w:rStyle w:val="CCMCvariablesubscript"/>
              </w:rPr>
              <w:t>p</w:t>
            </w:r>
            <w:r w:rsidRPr="001455DC">
              <w:t> </w:t>
            </w:r>
            <w:r w:rsidR="00650035" w:rsidRPr="001455DC">
              <w:rPr>
                <w:rFonts w:ascii="Cambria Math" w:hAnsi="Cambria Math"/>
              </w:rPr>
              <w:t>≤</w:t>
            </w:r>
            <w:r w:rsidRPr="001455DC">
              <w:t> 0,8</w:t>
            </w:r>
            <w:r w:rsidRPr="001455DC">
              <w:rPr>
                <w:rStyle w:val="CCMCvariableitalic"/>
              </w:rPr>
              <w:t>f</w:t>
            </w:r>
            <w:r w:rsidRPr="001455DC">
              <w:rPr>
                <w:rStyle w:val="CCMCvariablesubscript"/>
              </w:rPr>
              <w:t>pk</w:t>
            </w:r>
          </w:p>
        </w:tc>
      </w:tr>
      <w:tr w:rsidR="004E22C1" w:rsidRPr="001455DC" w14:paraId="70B9F56D" w14:textId="77777777" w:rsidTr="00B556B5">
        <w:trPr>
          <w:cantSplit/>
        </w:trPr>
        <w:tc>
          <w:tcPr>
            <w:tcW w:w="9752" w:type="dxa"/>
            <w:gridSpan w:val="4"/>
            <w:tcBorders>
              <w:top w:val="single" w:sz="12" w:space="0" w:color="000000"/>
              <w:bottom w:val="single" w:sz="12" w:space="0" w:color="auto"/>
            </w:tcBorders>
          </w:tcPr>
          <w:p w14:paraId="44BF0F47" w14:textId="3A0C8E26" w:rsidR="004E22C1" w:rsidRPr="009D3012" w:rsidRDefault="004E22C1" w:rsidP="00B556B5">
            <w:pPr>
              <w:pStyle w:val="Tablefooternote"/>
              <w:keepNext/>
              <w:rPr>
                <w:lang w:val="en-US"/>
              </w:rPr>
            </w:pPr>
            <w:r w:rsidRPr="009D3012">
              <w:rPr>
                <w:lang w:val="en-US"/>
              </w:rPr>
              <w:t>NOTE</w:t>
            </w:r>
            <w:r w:rsidRPr="009D3012">
              <w:rPr>
                <w:lang w:val="en-US"/>
              </w:rPr>
              <w:tab/>
            </w:r>
            <w:r w:rsidRPr="009D3012">
              <w:rPr>
                <w:rStyle w:val="CCMCvariableitalic"/>
                <w:lang w:val="en-US"/>
              </w:rPr>
              <w:t>w</w:t>
            </w:r>
            <w:r w:rsidRPr="009D3012">
              <w:rPr>
                <w:rStyle w:val="CCMCvariablesubscript"/>
                <w:lang w:val="en-US"/>
              </w:rPr>
              <w:t>lim,cal</w:t>
            </w:r>
            <w:r w:rsidRPr="009D3012">
              <w:rPr>
                <w:lang w:val="en-US"/>
              </w:rPr>
              <w:t> </w:t>
            </w:r>
            <w:r w:rsidR="00EC27D2" w:rsidRPr="009D3012">
              <w:rPr>
                <w:rFonts w:ascii="Cambria Math" w:hAnsi="Cambria Math"/>
                <w:lang w:val="en-US"/>
              </w:rPr>
              <w:t>=</w:t>
            </w:r>
            <w:r w:rsidRPr="009D3012">
              <w:rPr>
                <w:lang w:val="en-US"/>
              </w:rPr>
              <w:t> 0,4 mm applies unless a National Annex gives different values.</w:t>
            </w:r>
          </w:p>
        </w:tc>
      </w:tr>
      <w:tr w:rsidR="00B556B5" w:rsidRPr="001455DC" w14:paraId="1C8E0594" w14:textId="77777777" w:rsidTr="00B556B5">
        <w:trPr>
          <w:cnfStyle w:val="010000000000" w:firstRow="0" w:lastRow="1" w:firstColumn="0" w:lastColumn="0" w:oddVBand="0" w:evenVBand="0" w:oddHBand="0" w:evenHBand="0" w:firstRowFirstColumn="0" w:firstRowLastColumn="0" w:lastRowFirstColumn="0" w:lastRowLastColumn="0"/>
          <w:cantSplit/>
        </w:trPr>
        <w:tc>
          <w:tcPr>
            <w:tcW w:w="9752" w:type="dxa"/>
            <w:gridSpan w:val="4"/>
          </w:tcPr>
          <w:p w14:paraId="3B393409" w14:textId="045EA223" w:rsidR="00B556B5" w:rsidRPr="009D3012" w:rsidRDefault="00B556B5" w:rsidP="00B556B5">
            <w:pPr>
              <w:pStyle w:val="Tablefooter"/>
              <w:rPr>
                <w:rStyle w:val="CCMCvariablesuperscript"/>
                <w:lang w:val="en-US"/>
              </w:rPr>
            </w:pPr>
            <w:r w:rsidRPr="009D3012">
              <w:rPr>
                <w:rStyle w:val="CCMCvariablesuperscript"/>
                <w:lang w:val="en-US"/>
              </w:rPr>
              <w:t>a</w:t>
            </w:r>
            <w:r w:rsidRPr="009D3012">
              <w:rPr>
                <w:lang w:val="en-US"/>
              </w:rPr>
              <w:tab/>
              <w:t xml:space="preserve">A lower value </w:t>
            </w:r>
            <w:r w:rsidRPr="001455DC">
              <w:rPr>
                <w:rStyle w:val="CCMCvariableitalic"/>
              </w:rPr>
              <w:t>σ</w:t>
            </w:r>
            <w:r w:rsidRPr="009D3012">
              <w:rPr>
                <w:rStyle w:val="CCMCvariablesubscript"/>
                <w:lang w:val="en-US"/>
              </w:rPr>
              <w:t>s</w:t>
            </w:r>
            <w:r w:rsidRPr="009D3012">
              <w:rPr>
                <w:lang w:val="en-US"/>
              </w:rPr>
              <w:t> </w:t>
            </w:r>
            <w:r w:rsidR="00650035" w:rsidRPr="009D3012">
              <w:rPr>
                <w:rFonts w:ascii="Cambria Math" w:hAnsi="Cambria Math"/>
                <w:lang w:val="en-US"/>
              </w:rPr>
              <w:t>&lt;</w:t>
            </w:r>
            <w:r w:rsidRPr="009D3012">
              <w:rPr>
                <w:lang w:val="en-US"/>
              </w:rPr>
              <w:t> </w:t>
            </w:r>
            <w:r w:rsidRPr="009D3012">
              <w:rPr>
                <w:rStyle w:val="CCMCvariableitalic"/>
                <w:lang w:val="en-US"/>
              </w:rPr>
              <w:t>f</w:t>
            </w:r>
            <w:r w:rsidRPr="009D3012">
              <w:rPr>
                <w:rStyle w:val="CCMCvariablesubscript"/>
                <w:lang w:val="en-US"/>
              </w:rPr>
              <w:t>yk</w:t>
            </w:r>
            <w:r w:rsidRPr="009D3012">
              <w:rPr>
                <w:lang w:val="en-US"/>
              </w:rPr>
              <w:t xml:space="preserve"> may be needed to satisfy the crack width limits according to the maximum bar size (see Formula (9.5)).</w:t>
            </w:r>
          </w:p>
        </w:tc>
      </w:tr>
    </w:tbl>
    <w:p w14:paraId="29094040" w14:textId="77777777" w:rsidR="004E22C1" w:rsidRPr="001455DC" w:rsidRDefault="004E22C1" w:rsidP="00272DA7">
      <w:pPr>
        <w:pStyle w:val="a7"/>
      </w:pPr>
    </w:p>
    <w:p w14:paraId="62F28F38" w14:textId="008F2344" w:rsidR="004E22C1" w:rsidRPr="001455DC" w:rsidRDefault="004E22C1" w:rsidP="00B556B5">
      <w:pPr>
        <w:pStyle w:val="Tabletitle"/>
      </w:pPr>
      <w:bookmarkStart w:id="686" w:name="_Toc54337401"/>
      <w:r w:rsidRPr="001455DC">
        <w:t>Table 9.2(NDP) — Verifications, stress and crack width limits for durability</w:t>
      </w:r>
      <w:bookmarkEnd w:id="686"/>
    </w:p>
    <w:tbl>
      <w:tblPr>
        <w:tblStyle w:val="53"/>
        <w:tblW w:w="9752" w:type="dxa"/>
        <w:tblLayout w:type="fixed"/>
        <w:tblCellMar>
          <w:left w:w="71" w:type="dxa"/>
          <w:right w:w="71" w:type="dxa"/>
        </w:tblCellMar>
        <w:tblLook w:val="0660" w:firstRow="1" w:lastRow="1" w:firstColumn="0" w:lastColumn="0" w:noHBand="1" w:noVBand="1"/>
      </w:tblPr>
      <w:tblGrid>
        <w:gridCol w:w="1701"/>
        <w:gridCol w:w="1474"/>
        <w:gridCol w:w="1701"/>
        <w:gridCol w:w="1474"/>
        <w:gridCol w:w="1701"/>
        <w:gridCol w:w="1701"/>
      </w:tblGrid>
      <w:tr w:rsidR="00272DA7" w:rsidRPr="001455DC" w14:paraId="301AE0B1" w14:textId="77777777" w:rsidTr="009D3012">
        <w:trPr>
          <w:cnfStyle w:val="100000000000" w:firstRow="1" w:lastRow="0" w:firstColumn="0" w:lastColumn="0" w:oddVBand="0" w:evenVBand="0" w:oddHBand="0" w:evenHBand="0" w:firstRowFirstColumn="0" w:firstRowLastColumn="0" w:lastRowFirstColumn="0" w:lastRowLastColumn="0"/>
          <w:cantSplit/>
          <w:tblHeader/>
        </w:trPr>
        <w:tc>
          <w:tcPr>
            <w:tcW w:w="1701" w:type="dxa"/>
            <w:vMerge w:val="restart"/>
          </w:tcPr>
          <w:p w14:paraId="0E6D4B7C" w14:textId="77777777" w:rsidR="00272DA7" w:rsidRPr="001455DC" w:rsidRDefault="00272DA7" w:rsidP="00272DA7">
            <w:pPr>
              <w:pStyle w:val="Tableheader"/>
              <w:keepNext/>
              <w:rPr>
                <w:rFonts w:eastAsiaTheme="minorHAnsi"/>
              </w:rPr>
            </w:pPr>
            <w:bookmarkStart w:id="687" w:name="_Hlk492975272"/>
            <w:r w:rsidRPr="001455DC">
              <w:rPr>
                <w:rFonts w:eastAsiaTheme="minorHAnsi"/>
              </w:rPr>
              <w:t>Exposure Class</w:t>
            </w:r>
          </w:p>
        </w:tc>
        <w:tc>
          <w:tcPr>
            <w:tcW w:w="3175" w:type="dxa"/>
            <w:gridSpan w:val="2"/>
          </w:tcPr>
          <w:p w14:paraId="11F59C5B" w14:textId="2CF76161" w:rsidR="00272DA7" w:rsidRPr="009D3012" w:rsidRDefault="00272DA7" w:rsidP="00272DA7">
            <w:pPr>
              <w:pStyle w:val="Tableheader"/>
              <w:keepNext/>
              <w:rPr>
                <w:rFonts w:eastAsiaTheme="minorHAnsi"/>
                <w:lang w:val="en-US"/>
              </w:rPr>
            </w:pPr>
            <w:r w:rsidRPr="009D3012">
              <w:rPr>
                <w:rFonts w:eastAsiaTheme="minorHAnsi"/>
                <w:lang w:val="en-US"/>
              </w:rPr>
              <w:t>Reinforced members; prestressed members with unbonded tendons and with bonded tendons with Protection Levels 2 or 3 according to 5.4.1(3)</w:t>
            </w:r>
          </w:p>
        </w:tc>
        <w:tc>
          <w:tcPr>
            <w:tcW w:w="4876" w:type="dxa"/>
            <w:gridSpan w:val="3"/>
          </w:tcPr>
          <w:p w14:paraId="167C0D67" w14:textId="310F22F5" w:rsidR="00272DA7" w:rsidRPr="009D3012" w:rsidRDefault="00272DA7" w:rsidP="00272DA7">
            <w:pPr>
              <w:pStyle w:val="Tableheader"/>
              <w:keepNext/>
              <w:rPr>
                <w:rFonts w:eastAsiaTheme="minorHAnsi"/>
                <w:lang w:val="en-US"/>
              </w:rPr>
            </w:pPr>
            <w:r w:rsidRPr="009D3012">
              <w:rPr>
                <w:rFonts w:eastAsiaTheme="minorHAnsi"/>
                <w:lang w:val="en-US"/>
              </w:rPr>
              <w:t>Prestressed members with bonded tendons with Protection Level 1 according to 5.4.1(3) and pretensioned elements.</w:t>
            </w:r>
          </w:p>
        </w:tc>
      </w:tr>
      <w:tr w:rsidR="00272DA7" w:rsidRPr="001455DC" w14:paraId="4410CF45" w14:textId="77777777" w:rsidTr="009D3012">
        <w:trPr>
          <w:cnfStyle w:val="100000000000" w:firstRow="1" w:lastRow="0" w:firstColumn="0" w:lastColumn="0" w:oddVBand="0" w:evenVBand="0" w:oddHBand="0" w:evenHBand="0" w:firstRowFirstColumn="0" w:firstRowLastColumn="0" w:lastRowFirstColumn="0" w:lastRowLastColumn="0"/>
          <w:cantSplit/>
          <w:tblHeader/>
        </w:trPr>
        <w:tc>
          <w:tcPr>
            <w:tcW w:w="1701" w:type="dxa"/>
            <w:vMerge/>
          </w:tcPr>
          <w:p w14:paraId="122AA997" w14:textId="77777777" w:rsidR="00272DA7" w:rsidRPr="009D3012" w:rsidRDefault="00272DA7" w:rsidP="00272DA7">
            <w:pPr>
              <w:pStyle w:val="Tableheader"/>
              <w:keepNext/>
              <w:rPr>
                <w:rFonts w:eastAsiaTheme="minorHAnsi"/>
                <w:bCs/>
                <w:sz w:val="19"/>
                <w:szCs w:val="19"/>
                <w:lang w:val="en-US"/>
              </w:rPr>
            </w:pPr>
          </w:p>
        </w:tc>
        <w:tc>
          <w:tcPr>
            <w:tcW w:w="3175" w:type="dxa"/>
            <w:gridSpan w:val="2"/>
            <w:tcBorders>
              <w:bottom w:val="nil"/>
            </w:tcBorders>
          </w:tcPr>
          <w:p w14:paraId="09B8BDAE" w14:textId="354B7CF1" w:rsidR="00272DA7" w:rsidRPr="001455DC" w:rsidRDefault="00272DA7" w:rsidP="00272DA7">
            <w:pPr>
              <w:pStyle w:val="Tableheader"/>
              <w:keepNext/>
              <w:rPr>
                <w:rFonts w:eastAsiaTheme="minorHAnsi"/>
              </w:rPr>
            </w:pPr>
            <w:r w:rsidRPr="001455DC">
              <w:rPr>
                <w:rFonts w:eastAsiaTheme="minorHAnsi"/>
              </w:rPr>
              <w:t>combination of actions</w:t>
            </w:r>
          </w:p>
        </w:tc>
        <w:tc>
          <w:tcPr>
            <w:tcW w:w="4876" w:type="dxa"/>
            <w:gridSpan w:val="3"/>
            <w:tcBorders>
              <w:bottom w:val="nil"/>
            </w:tcBorders>
          </w:tcPr>
          <w:p w14:paraId="0F517C0E" w14:textId="73C45314" w:rsidR="00272DA7" w:rsidRPr="001455DC" w:rsidRDefault="00272DA7" w:rsidP="00272DA7">
            <w:pPr>
              <w:pStyle w:val="Tableheader"/>
              <w:keepNext/>
              <w:rPr>
                <w:rFonts w:eastAsiaTheme="minorHAnsi"/>
              </w:rPr>
            </w:pPr>
            <w:r w:rsidRPr="001455DC">
              <w:rPr>
                <w:rFonts w:eastAsiaTheme="minorHAnsi"/>
              </w:rPr>
              <w:t>combination of actions</w:t>
            </w:r>
          </w:p>
        </w:tc>
      </w:tr>
      <w:tr w:rsidR="004E22C1" w:rsidRPr="001455DC" w14:paraId="0CD508CC" w14:textId="77777777" w:rsidTr="009D3012">
        <w:trPr>
          <w:cnfStyle w:val="100000000000" w:firstRow="1" w:lastRow="0" w:firstColumn="0" w:lastColumn="0" w:oddVBand="0" w:evenVBand="0" w:oddHBand="0" w:evenHBand="0" w:firstRowFirstColumn="0" w:firstRowLastColumn="0" w:lastRowFirstColumn="0" w:lastRowLastColumn="0"/>
          <w:cantSplit/>
          <w:tblHeader/>
        </w:trPr>
        <w:tc>
          <w:tcPr>
            <w:tcW w:w="1701" w:type="dxa"/>
            <w:vMerge/>
          </w:tcPr>
          <w:p w14:paraId="53EC6E05" w14:textId="77777777" w:rsidR="004E22C1" w:rsidRPr="001455DC" w:rsidRDefault="004E22C1" w:rsidP="00272DA7">
            <w:pPr>
              <w:pStyle w:val="Tableheader"/>
              <w:keepNext/>
              <w:rPr>
                <w:rFonts w:eastAsiaTheme="minorHAnsi"/>
                <w:bCs/>
                <w:sz w:val="19"/>
                <w:szCs w:val="19"/>
              </w:rPr>
            </w:pPr>
          </w:p>
        </w:tc>
        <w:tc>
          <w:tcPr>
            <w:tcW w:w="1474" w:type="dxa"/>
            <w:tcBorders>
              <w:top w:val="nil"/>
            </w:tcBorders>
          </w:tcPr>
          <w:p w14:paraId="30459B7F" w14:textId="77777777" w:rsidR="004E22C1" w:rsidRPr="001455DC" w:rsidRDefault="004E22C1" w:rsidP="00272DA7">
            <w:pPr>
              <w:pStyle w:val="Tableheader"/>
              <w:keepNext/>
              <w:rPr>
                <w:rFonts w:eastAsiaTheme="minorHAnsi"/>
              </w:rPr>
            </w:pPr>
            <w:r w:rsidRPr="001455DC">
              <w:rPr>
                <w:rFonts w:eastAsiaTheme="minorHAnsi"/>
              </w:rPr>
              <w:t>quasi-permanent</w:t>
            </w:r>
          </w:p>
        </w:tc>
        <w:tc>
          <w:tcPr>
            <w:tcW w:w="1701" w:type="dxa"/>
            <w:tcBorders>
              <w:top w:val="nil"/>
            </w:tcBorders>
          </w:tcPr>
          <w:p w14:paraId="796B1D44" w14:textId="62644CBD" w:rsidR="004E22C1" w:rsidRPr="001455DC" w:rsidRDefault="004E22C1" w:rsidP="00272DA7">
            <w:pPr>
              <w:pStyle w:val="Tableheader"/>
              <w:keepNext/>
              <w:rPr>
                <w:rFonts w:eastAsiaTheme="minorHAnsi"/>
              </w:rPr>
            </w:pPr>
            <w:r w:rsidRPr="001455DC">
              <w:rPr>
                <w:rFonts w:eastAsiaTheme="minorHAnsi"/>
              </w:rPr>
              <w:t>characteristic</w:t>
            </w:r>
          </w:p>
        </w:tc>
        <w:tc>
          <w:tcPr>
            <w:tcW w:w="1474" w:type="dxa"/>
            <w:tcBorders>
              <w:top w:val="nil"/>
            </w:tcBorders>
          </w:tcPr>
          <w:p w14:paraId="1D4EBA82" w14:textId="3CE0E379" w:rsidR="004E22C1" w:rsidRPr="001455DC" w:rsidRDefault="004E22C1" w:rsidP="00272DA7">
            <w:pPr>
              <w:pStyle w:val="Tableheader"/>
              <w:keepNext/>
              <w:rPr>
                <w:rFonts w:eastAsiaTheme="minorHAnsi"/>
              </w:rPr>
            </w:pPr>
            <w:r w:rsidRPr="001455DC">
              <w:rPr>
                <w:rFonts w:eastAsiaTheme="minorHAnsi"/>
              </w:rPr>
              <w:t>quasi-permanent</w:t>
            </w:r>
          </w:p>
        </w:tc>
        <w:tc>
          <w:tcPr>
            <w:tcW w:w="1701" w:type="dxa"/>
            <w:tcBorders>
              <w:top w:val="nil"/>
            </w:tcBorders>
          </w:tcPr>
          <w:p w14:paraId="7055C9FE" w14:textId="77777777" w:rsidR="004E22C1" w:rsidRPr="001455DC" w:rsidRDefault="004E22C1" w:rsidP="00272DA7">
            <w:pPr>
              <w:pStyle w:val="Tableheader"/>
              <w:keepNext/>
              <w:rPr>
                <w:rFonts w:eastAsiaTheme="minorHAnsi"/>
              </w:rPr>
            </w:pPr>
            <w:r w:rsidRPr="001455DC">
              <w:rPr>
                <w:rFonts w:eastAsiaTheme="minorHAnsi"/>
              </w:rPr>
              <w:t>frequent</w:t>
            </w:r>
          </w:p>
        </w:tc>
        <w:tc>
          <w:tcPr>
            <w:tcW w:w="1701" w:type="dxa"/>
            <w:tcBorders>
              <w:top w:val="nil"/>
            </w:tcBorders>
          </w:tcPr>
          <w:p w14:paraId="2632FB07" w14:textId="77777777" w:rsidR="004E22C1" w:rsidRPr="001455DC" w:rsidRDefault="004E22C1" w:rsidP="00272DA7">
            <w:pPr>
              <w:pStyle w:val="Tableheader"/>
              <w:keepNext/>
              <w:rPr>
                <w:rFonts w:eastAsiaTheme="minorHAnsi"/>
              </w:rPr>
            </w:pPr>
            <w:r w:rsidRPr="001455DC">
              <w:rPr>
                <w:rFonts w:eastAsiaTheme="minorHAnsi"/>
              </w:rPr>
              <w:t>characteristic</w:t>
            </w:r>
          </w:p>
        </w:tc>
      </w:tr>
      <w:tr w:rsidR="004E22C1" w:rsidRPr="001455DC" w14:paraId="49BAB15D" w14:textId="77777777" w:rsidTr="00272DA7">
        <w:trPr>
          <w:cantSplit/>
        </w:trPr>
        <w:tc>
          <w:tcPr>
            <w:tcW w:w="1701" w:type="dxa"/>
            <w:tcBorders>
              <w:top w:val="single" w:sz="12" w:space="0" w:color="000000"/>
              <w:bottom w:val="single" w:sz="6" w:space="0" w:color="000000"/>
            </w:tcBorders>
            <w:vAlign w:val="center"/>
          </w:tcPr>
          <w:p w14:paraId="63BF3800" w14:textId="77777777" w:rsidR="004E22C1" w:rsidRPr="001455DC" w:rsidRDefault="004E22C1" w:rsidP="00272DA7">
            <w:pPr>
              <w:pStyle w:val="Tablebody"/>
              <w:keepNext/>
              <w:jc w:val="left"/>
              <w:rPr>
                <w:rFonts w:eastAsiaTheme="minorHAnsi"/>
                <w:b/>
                <w:bCs/>
              </w:rPr>
            </w:pPr>
            <w:r w:rsidRPr="001455DC">
              <w:rPr>
                <w:rFonts w:eastAsiaTheme="minorHAnsi"/>
                <w:b/>
              </w:rPr>
              <w:t>X0, XC1</w:t>
            </w:r>
          </w:p>
        </w:tc>
        <w:tc>
          <w:tcPr>
            <w:tcW w:w="1474" w:type="dxa"/>
            <w:tcBorders>
              <w:top w:val="single" w:sz="12" w:space="0" w:color="000000"/>
              <w:bottom w:val="single" w:sz="6" w:space="0" w:color="000000"/>
            </w:tcBorders>
            <w:vAlign w:val="center"/>
          </w:tcPr>
          <w:p w14:paraId="39D43330" w14:textId="77777777" w:rsidR="004E22C1" w:rsidRPr="001455DC" w:rsidRDefault="004E22C1" w:rsidP="00272DA7">
            <w:pPr>
              <w:pStyle w:val="Tablebody"/>
              <w:keepNext/>
              <w:jc w:val="center"/>
            </w:pPr>
            <w:r w:rsidRPr="001455DC">
              <w:t>–</w:t>
            </w:r>
          </w:p>
        </w:tc>
        <w:tc>
          <w:tcPr>
            <w:tcW w:w="1701" w:type="dxa"/>
            <w:vMerge w:val="restart"/>
            <w:tcBorders>
              <w:top w:val="single" w:sz="12" w:space="0" w:color="000000"/>
              <w:bottom w:val="single" w:sz="6" w:space="0" w:color="000000"/>
            </w:tcBorders>
            <w:vAlign w:val="center"/>
          </w:tcPr>
          <w:p w14:paraId="1CBC9474" w14:textId="77777777" w:rsidR="004E22C1" w:rsidRPr="001455DC" w:rsidRDefault="004E22C1" w:rsidP="00272DA7">
            <w:pPr>
              <w:pStyle w:val="Tablebody"/>
              <w:keepNext/>
              <w:jc w:val="center"/>
            </w:pPr>
            <w:r w:rsidRPr="001455DC">
              <w:t>–</w:t>
            </w:r>
          </w:p>
        </w:tc>
        <w:tc>
          <w:tcPr>
            <w:tcW w:w="1474" w:type="dxa"/>
            <w:tcBorders>
              <w:top w:val="single" w:sz="12" w:space="0" w:color="000000"/>
              <w:bottom w:val="single" w:sz="6" w:space="0" w:color="000000"/>
            </w:tcBorders>
            <w:vAlign w:val="center"/>
          </w:tcPr>
          <w:p w14:paraId="0997DBB8" w14:textId="77777777" w:rsidR="004E22C1" w:rsidRPr="001455DC" w:rsidRDefault="004E22C1" w:rsidP="00272DA7">
            <w:pPr>
              <w:pStyle w:val="Tablebody"/>
              <w:keepNext/>
              <w:jc w:val="center"/>
              <w:rPr>
                <w:rFonts w:eastAsiaTheme="minorHAnsi"/>
                <w:bCs/>
              </w:rPr>
            </w:pPr>
            <w:r w:rsidRPr="001455DC">
              <w:t>–</w:t>
            </w:r>
          </w:p>
        </w:tc>
        <w:tc>
          <w:tcPr>
            <w:tcW w:w="1701" w:type="dxa"/>
            <w:tcBorders>
              <w:top w:val="single" w:sz="12" w:space="0" w:color="000000"/>
              <w:bottom w:val="single" w:sz="6" w:space="0" w:color="000000"/>
            </w:tcBorders>
            <w:vAlign w:val="center"/>
          </w:tcPr>
          <w:p w14:paraId="21D4D074" w14:textId="7E2D6591" w:rsidR="004E22C1" w:rsidRPr="001455DC" w:rsidRDefault="004E22C1" w:rsidP="00272DA7">
            <w:pPr>
              <w:pStyle w:val="Tablebody"/>
              <w:keepNext/>
              <w:jc w:val="center"/>
              <w:rPr>
                <w:rFonts w:eastAsiaTheme="minorHAnsi"/>
                <w:bCs/>
              </w:rPr>
            </w:pPr>
            <w:r w:rsidRPr="001455DC">
              <w:rPr>
                <w:rStyle w:val="CCMCvariableitalic"/>
              </w:rPr>
              <w:t>w</w:t>
            </w:r>
            <w:r w:rsidRPr="001455DC">
              <w:rPr>
                <w:rStyle w:val="CCMCvariablesubscript"/>
              </w:rPr>
              <w:t>lim,cal</w:t>
            </w:r>
            <w:r w:rsidRPr="001455DC">
              <w:t> </w:t>
            </w:r>
            <w:r w:rsidR="00EC27D2" w:rsidRPr="001455DC">
              <w:rPr>
                <w:rFonts w:ascii="Cambria Math" w:hAnsi="Cambria Math"/>
              </w:rPr>
              <w:t>=</w:t>
            </w:r>
            <w:r w:rsidR="00272DA7" w:rsidRPr="001455DC">
              <w:t xml:space="preserve"> </w:t>
            </w:r>
            <w:r w:rsidRPr="001455DC">
              <w:rPr>
                <w:rFonts w:eastAsiaTheme="minorHAnsi"/>
              </w:rPr>
              <w:t>0,2 mm </w:t>
            </w:r>
            <w:r w:rsidR="00C74721" w:rsidRPr="001455DC">
              <w:rPr>
                <w:rFonts w:ascii="Cambria Math" w:eastAsiaTheme="minorHAnsi" w:hAnsi="Cambria Math" w:cs="Cambria Math"/>
              </w:rPr>
              <w:t>⋅</w:t>
            </w:r>
            <w:r w:rsidRPr="001455DC">
              <w:rPr>
                <w:rFonts w:eastAsiaTheme="minorHAnsi"/>
              </w:rPr>
              <w:t> </w:t>
            </w:r>
            <w:r w:rsidRPr="001455DC">
              <w:rPr>
                <w:rStyle w:val="CCMCvariableitalic"/>
              </w:rPr>
              <w:t>k</w:t>
            </w:r>
            <w:r w:rsidRPr="001455DC">
              <w:rPr>
                <w:rStyle w:val="CCMCvariablesubscript"/>
              </w:rPr>
              <w:t>surf</w:t>
            </w:r>
          </w:p>
        </w:tc>
        <w:tc>
          <w:tcPr>
            <w:tcW w:w="1701" w:type="dxa"/>
            <w:vMerge w:val="restart"/>
            <w:tcBorders>
              <w:top w:val="single" w:sz="12" w:space="0" w:color="000000"/>
              <w:bottom w:val="single" w:sz="6" w:space="0" w:color="000000"/>
            </w:tcBorders>
            <w:vAlign w:val="center"/>
          </w:tcPr>
          <w:p w14:paraId="7C4DA4DD" w14:textId="77777777" w:rsidR="004E22C1" w:rsidRPr="001455DC" w:rsidRDefault="004E22C1" w:rsidP="00272DA7">
            <w:pPr>
              <w:pStyle w:val="Tablebody"/>
              <w:keepNext/>
              <w:jc w:val="center"/>
            </w:pPr>
            <w:r w:rsidRPr="001455DC">
              <w:t>–</w:t>
            </w:r>
          </w:p>
        </w:tc>
      </w:tr>
      <w:tr w:rsidR="004E22C1" w:rsidRPr="001455DC" w14:paraId="60EA42D0" w14:textId="77777777" w:rsidTr="00272DA7">
        <w:trPr>
          <w:cantSplit/>
        </w:trPr>
        <w:tc>
          <w:tcPr>
            <w:tcW w:w="1701" w:type="dxa"/>
            <w:tcBorders>
              <w:top w:val="single" w:sz="6" w:space="0" w:color="000000"/>
              <w:bottom w:val="single" w:sz="6" w:space="0" w:color="000000"/>
            </w:tcBorders>
            <w:vAlign w:val="center"/>
          </w:tcPr>
          <w:p w14:paraId="1A331906" w14:textId="77777777" w:rsidR="004E22C1" w:rsidRPr="001455DC" w:rsidRDefault="004E22C1" w:rsidP="00272DA7">
            <w:pPr>
              <w:pStyle w:val="Tablebody"/>
              <w:keepNext/>
              <w:jc w:val="left"/>
              <w:rPr>
                <w:rFonts w:eastAsiaTheme="minorHAnsi"/>
                <w:b/>
                <w:bCs/>
              </w:rPr>
            </w:pPr>
            <w:r w:rsidRPr="001455DC">
              <w:rPr>
                <w:rFonts w:eastAsiaTheme="minorHAnsi"/>
                <w:b/>
              </w:rPr>
              <w:t>XC2, XC3, XC4</w:t>
            </w:r>
          </w:p>
        </w:tc>
        <w:tc>
          <w:tcPr>
            <w:tcW w:w="1474" w:type="dxa"/>
            <w:vMerge w:val="restart"/>
            <w:tcBorders>
              <w:top w:val="single" w:sz="6" w:space="0" w:color="000000"/>
              <w:bottom w:val="single" w:sz="6" w:space="0" w:color="000000"/>
            </w:tcBorders>
            <w:vAlign w:val="center"/>
          </w:tcPr>
          <w:p w14:paraId="3553C5A9" w14:textId="0DF0F03F" w:rsidR="004E22C1" w:rsidRPr="001455DC" w:rsidRDefault="004E22C1" w:rsidP="00272DA7">
            <w:pPr>
              <w:pStyle w:val="Tablebody"/>
              <w:keepNext/>
              <w:jc w:val="center"/>
              <w:rPr>
                <w:rFonts w:eastAsiaTheme="minorHAnsi"/>
              </w:rPr>
            </w:pPr>
            <w:r w:rsidRPr="001455DC">
              <w:rPr>
                <w:rStyle w:val="CCMCvariableitalic"/>
              </w:rPr>
              <w:t>w</w:t>
            </w:r>
            <w:r w:rsidRPr="001455DC">
              <w:rPr>
                <w:rStyle w:val="CCMCvariablesubscript"/>
              </w:rPr>
              <w:t>lim,cal</w:t>
            </w:r>
            <w:r w:rsidRPr="001455DC">
              <w:t> </w:t>
            </w:r>
            <w:r w:rsidR="00EC27D2" w:rsidRPr="001455DC">
              <w:rPr>
                <w:rFonts w:ascii="Cambria Math" w:hAnsi="Cambria Math"/>
              </w:rPr>
              <w:t>=</w:t>
            </w:r>
            <w:r w:rsidR="00272DA7" w:rsidRPr="001455DC">
              <w:t xml:space="preserve"> </w:t>
            </w:r>
            <w:r w:rsidRPr="001455DC">
              <w:rPr>
                <w:rFonts w:eastAsiaTheme="minorHAnsi"/>
              </w:rPr>
              <w:t>0,3 mm </w:t>
            </w:r>
            <w:r w:rsidR="00C74721" w:rsidRPr="001455DC">
              <w:rPr>
                <w:rFonts w:ascii="Cambria Math" w:eastAsiaTheme="minorHAnsi" w:hAnsi="Cambria Math" w:cs="Cambria Math"/>
              </w:rPr>
              <w:t>⋅</w:t>
            </w:r>
            <w:r w:rsidRPr="001455DC">
              <w:rPr>
                <w:rFonts w:eastAsiaTheme="minorHAnsi"/>
              </w:rPr>
              <w:t> </w:t>
            </w:r>
            <w:r w:rsidRPr="001455DC">
              <w:rPr>
                <w:rStyle w:val="CCMCvariableitalic"/>
              </w:rPr>
              <w:t>k</w:t>
            </w:r>
            <w:r w:rsidRPr="001455DC">
              <w:rPr>
                <w:rStyle w:val="CCMCvariablesubscript"/>
              </w:rPr>
              <w:t>surf</w:t>
            </w:r>
          </w:p>
        </w:tc>
        <w:tc>
          <w:tcPr>
            <w:tcW w:w="1701" w:type="dxa"/>
            <w:vMerge/>
            <w:tcBorders>
              <w:top w:val="single" w:sz="6" w:space="0" w:color="000000"/>
              <w:bottom w:val="single" w:sz="6" w:space="0" w:color="000000"/>
            </w:tcBorders>
            <w:vAlign w:val="center"/>
          </w:tcPr>
          <w:p w14:paraId="69D2ACFF" w14:textId="77777777" w:rsidR="004E22C1" w:rsidRPr="001455DC" w:rsidRDefault="004E22C1" w:rsidP="00272DA7">
            <w:pPr>
              <w:pStyle w:val="Tablebody"/>
              <w:keepNext/>
              <w:jc w:val="center"/>
            </w:pPr>
          </w:p>
        </w:tc>
        <w:tc>
          <w:tcPr>
            <w:tcW w:w="1474" w:type="dxa"/>
            <w:tcBorders>
              <w:top w:val="single" w:sz="6" w:space="0" w:color="000000"/>
              <w:bottom w:val="single" w:sz="6" w:space="0" w:color="000000"/>
            </w:tcBorders>
            <w:vAlign w:val="center"/>
          </w:tcPr>
          <w:p w14:paraId="5243B336" w14:textId="2360E8F2" w:rsidR="004E22C1" w:rsidRPr="001455DC" w:rsidRDefault="004E22C1" w:rsidP="00272DA7">
            <w:pPr>
              <w:pStyle w:val="Tablebody"/>
              <w:keepNext/>
              <w:jc w:val="center"/>
              <w:rPr>
                <w:rFonts w:eastAsiaTheme="minorHAnsi"/>
              </w:rPr>
            </w:pPr>
            <w:r w:rsidRPr="001455DC">
              <w:rPr>
                <w:rFonts w:eastAsiaTheme="minorHAnsi"/>
              </w:rPr>
              <w:t>Decom</w:t>
            </w:r>
            <w:r w:rsidR="00E844D2" w:rsidRPr="001455DC">
              <w:rPr>
                <w:rFonts w:eastAsiaTheme="minorHAnsi"/>
              </w:rPr>
              <w:softHyphen/>
            </w:r>
            <w:r w:rsidRPr="001455DC">
              <w:rPr>
                <w:rFonts w:eastAsiaTheme="minorHAnsi"/>
              </w:rPr>
              <w:t xml:space="preserve">pression </w:t>
            </w:r>
            <w:r w:rsidRPr="001455DC">
              <w:rPr>
                <w:rStyle w:val="CCMCvariablesuperscript"/>
              </w:rPr>
              <w:t>b</w:t>
            </w:r>
          </w:p>
        </w:tc>
        <w:tc>
          <w:tcPr>
            <w:tcW w:w="1701" w:type="dxa"/>
            <w:tcBorders>
              <w:top w:val="single" w:sz="6" w:space="0" w:color="000000"/>
              <w:bottom w:val="single" w:sz="6" w:space="0" w:color="000000"/>
            </w:tcBorders>
            <w:vAlign w:val="center"/>
          </w:tcPr>
          <w:p w14:paraId="0A3F1322" w14:textId="2263BCB9" w:rsidR="004E22C1" w:rsidRPr="001455DC" w:rsidRDefault="004E22C1" w:rsidP="00272DA7">
            <w:pPr>
              <w:pStyle w:val="Tablebody"/>
              <w:keepNext/>
              <w:jc w:val="center"/>
              <w:rPr>
                <w:rFonts w:eastAsiaTheme="minorHAnsi"/>
              </w:rPr>
            </w:pPr>
            <w:r w:rsidRPr="001455DC">
              <w:rPr>
                <w:rStyle w:val="CCMCvariableitalic"/>
              </w:rPr>
              <w:t>w</w:t>
            </w:r>
            <w:r w:rsidRPr="001455DC">
              <w:rPr>
                <w:rStyle w:val="CCMCvariablesubscript"/>
              </w:rPr>
              <w:t>lim,cal</w:t>
            </w:r>
            <w:r w:rsidRPr="001455DC">
              <w:t> </w:t>
            </w:r>
            <w:r w:rsidR="00EC27D2" w:rsidRPr="001455DC">
              <w:rPr>
                <w:rFonts w:ascii="Cambria Math" w:hAnsi="Cambria Math"/>
              </w:rPr>
              <w:t>=</w:t>
            </w:r>
            <w:r w:rsidR="00272DA7" w:rsidRPr="001455DC">
              <w:t xml:space="preserve"> </w:t>
            </w:r>
            <w:r w:rsidRPr="001455DC">
              <w:rPr>
                <w:rFonts w:eastAsiaTheme="minorHAnsi"/>
              </w:rPr>
              <w:t>0,2 mm </w:t>
            </w:r>
            <w:r w:rsidR="00C74721" w:rsidRPr="001455DC">
              <w:rPr>
                <w:rFonts w:ascii="Cambria Math" w:eastAsiaTheme="minorHAnsi" w:hAnsi="Cambria Math" w:cs="Cambria Math"/>
              </w:rPr>
              <w:t>⋅</w:t>
            </w:r>
            <w:r w:rsidRPr="001455DC">
              <w:rPr>
                <w:rFonts w:eastAsiaTheme="minorHAnsi"/>
              </w:rPr>
              <w:t> </w:t>
            </w:r>
            <w:r w:rsidRPr="001455DC">
              <w:rPr>
                <w:rStyle w:val="CCMCvariableitalic"/>
              </w:rPr>
              <w:t>k</w:t>
            </w:r>
            <w:r w:rsidRPr="001455DC">
              <w:rPr>
                <w:rStyle w:val="CCMCvariablesubscript"/>
              </w:rPr>
              <w:t>surf</w:t>
            </w:r>
          </w:p>
        </w:tc>
        <w:tc>
          <w:tcPr>
            <w:tcW w:w="1701" w:type="dxa"/>
            <w:vMerge/>
            <w:tcBorders>
              <w:top w:val="single" w:sz="6" w:space="0" w:color="000000"/>
              <w:bottom w:val="single" w:sz="6" w:space="0" w:color="000000"/>
            </w:tcBorders>
            <w:vAlign w:val="center"/>
          </w:tcPr>
          <w:p w14:paraId="30CDC423" w14:textId="77777777" w:rsidR="004E22C1" w:rsidRPr="001455DC" w:rsidRDefault="004E22C1" w:rsidP="00272DA7">
            <w:pPr>
              <w:pStyle w:val="Tablebody"/>
              <w:keepNext/>
              <w:jc w:val="center"/>
            </w:pPr>
          </w:p>
        </w:tc>
      </w:tr>
      <w:tr w:rsidR="004E22C1" w:rsidRPr="001455DC" w14:paraId="03371960" w14:textId="77777777" w:rsidTr="00272DA7">
        <w:trPr>
          <w:cantSplit/>
        </w:trPr>
        <w:tc>
          <w:tcPr>
            <w:tcW w:w="1701" w:type="dxa"/>
            <w:tcBorders>
              <w:top w:val="single" w:sz="6" w:space="0" w:color="000000"/>
              <w:bottom w:val="single" w:sz="6" w:space="0" w:color="000000"/>
            </w:tcBorders>
            <w:vAlign w:val="center"/>
          </w:tcPr>
          <w:p w14:paraId="16120613" w14:textId="77777777" w:rsidR="004E22C1" w:rsidRPr="009D3012" w:rsidRDefault="004E22C1" w:rsidP="00272DA7">
            <w:pPr>
              <w:pStyle w:val="Tablebody"/>
              <w:keepNext/>
              <w:jc w:val="left"/>
              <w:rPr>
                <w:rFonts w:eastAsiaTheme="minorHAnsi"/>
                <w:b/>
                <w:lang w:val="en-GB"/>
              </w:rPr>
            </w:pPr>
            <w:r w:rsidRPr="00F86858">
              <w:rPr>
                <w:rFonts w:eastAsiaTheme="minorHAnsi"/>
                <w:b/>
                <w:lang w:val="en-GB"/>
              </w:rPr>
              <w:t>XD1, XD2, XD3</w:t>
            </w:r>
          </w:p>
          <w:p w14:paraId="4C7FB894" w14:textId="77777777" w:rsidR="004E22C1" w:rsidRPr="009D3012" w:rsidRDefault="004E22C1" w:rsidP="00272DA7">
            <w:pPr>
              <w:pStyle w:val="Tablebody"/>
              <w:keepNext/>
              <w:jc w:val="left"/>
              <w:rPr>
                <w:rFonts w:eastAsiaTheme="minorHAnsi"/>
                <w:b/>
                <w:bCs/>
                <w:lang w:val="en-GB"/>
              </w:rPr>
            </w:pPr>
            <w:r w:rsidRPr="00F86858">
              <w:rPr>
                <w:rFonts w:eastAsiaTheme="minorHAnsi"/>
                <w:b/>
                <w:lang w:val="en-GB"/>
              </w:rPr>
              <w:t>XS1, XS2, XS3</w:t>
            </w:r>
          </w:p>
        </w:tc>
        <w:tc>
          <w:tcPr>
            <w:tcW w:w="1474" w:type="dxa"/>
            <w:vMerge/>
            <w:tcBorders>
              <w:top w:val="single" w:sz="6" w:space="0" w:color="000000"/>
              <w:bottom w:val="single" w:sz="6" w:space="0" w:color="000000"/>
            </w:tcBorders>
            <w:vAlign w:val="center"/>
          </w:tcPr>
          <w:p w14:paraId="5AD8F003" w14:textId="77777777" w:rsidR="004E22C1" w:rsidRPr="009D3012" w:rsidRDefault="004E22C1" w:rsidP="00272DA7">
            <w:pPr>
              <w:pStyle w:val="Tablebody"/>
              <w:keepNext/>
              <w:jc w:val="center"/>
              <w:rPr>
                <w:rFonts w:eastAsiaTheme="minorHAnsi"/>
                <w:bCs/>
                <w:lang w:val="en-GB"/>
              </w:rPr>
            </w:pPr>
          </w:p>
        </w:tc>
        <w:tc>
          <w:tcPr>
            <w:tcW w:w="1701" w:type="dxa"/>
            <w:vMerge w:val="restart"/>
            <w:tcBorders>
              <w:top w:val="single" w:sz="6" w:space="0" w:color="000000"/>
              <w:bottom w:val="single" w:sz="6" w:space="0" w:color="000000"/>
            </w:tcBorders>
            <w:vAlign w:val="center"/>
          </w:tcPr>
          <w:p w14:paraId="791322A0" w14:textId="3CFF6EC6" w:rsidR="004E22C1" w:rsidRPr="001455DC" w:rsidRDefault="004E22C1" w:rsidP="00272DA7">
            <w:pPr>
              <w:pStyle w:val="Tablebody"/>
              <w:keepNext/>
              <w:jc w:val="center"/>
            </w:pPr>
            <w:r w:rsidRPr="001455DC">
              <w:rPr>
                <w:rStyle w:val="CCMCvariableitalic"/>
              </w:rPr>
              <w:t>σ</w:t>
            </w:r>
            <w:r w:rsidRPr="001455DC">
              <w:rPr>
                <w:rStyle w:val="CCMCvariablesubscript"/>
              </w:rPr>
              <w:t>c</w:t>
            </w:r>
            <w:r w:rsidRPr="001455DC">
              <w:t> </w:t>
            </w:r>
            <w:r w:rsidR="00650035" w:rsidRPr="001455DC">
              <w:rPr>
                <w:rFonts w:ascii="Cambria Math" w:hAnsi="Cambria Math"/>
              </w:rPr>
              <w:t>≤</w:t>
            </w:r>
            <w:r w:rsidRPr="001455DC">
              <w:t> 0,6</w:t>
            </w:r>
            <w:r w:rsidRPr="001455DC">
              <w:rPr>
                <w:rStyle w:val="CCMCvariableitalic"/>
              </w:rPr>
              <w:t>f</w:t>
            </w:r>
            <w:r w:rsidRPr="001455DC">
              <w:rPr>
                <w:rStyle w:val="CCMCvariablesubscript"/>
              </w:rPr>
              <w:t>ck</w:t>
            </w:r>
            <w:r w:rsidR="00272DA7" w:rsidRPr="001455DC">
              <w:t xml:space="preserve"> </w:t>
            </w:r>
            <w:r w:rsidRPr="001455DC">
              <w:rPr>
                <w:rStyle w:val="CCMCvariablesuperscript"/>
              </w:rPr>
              <w:t>a</w:t>
            </w:r>
            <w:r w:rsidR="00272DA7" w:rsidRPr="001455DC">
              <w:rPr>
                <w:vertAlign w:val="superscript"/>
              </w:rPr>
              <w:t>,</w:t>
            </w:r>
            <w:r w:rsidRPr="001455DC">
              <w:rPr>
                <w:rStyle w:val="CCMCvariablesuperscript"/>
              </w:rPr>
              <w:t>c</w:t>
            </w:r>
          </w:p>
        </w:tc>
        <w:tc>
          <w:tcPr>
            <w:tcW w:w="1474" w:type="dxa"/>
            <w:vMerge w:val="restart"/>
            <w:tcBorders>
              <w:top w:val="single" w:sz="6" w:space="0" w:color="000000"/>
              <w:bottom w:val="single" w:sz="6" w:space="0" w:color="000000"/>
            </w:tcBorders>
            <w:vAlign w:val="center"/>
          </w:tcPr>
          <w:p w14:paraId="6E244E08" w14:textId="77777777" w:rsidR="004E22C1" w:rsidRPr="001455DC" w:rsidRDefault="004E22C1" w:rsidP="00272DA7">
            <w:pPr>
              <w:pStyle w:val="Tablebody"/>
              <w:keepNext/>
              <w:jc w:val="center"/>
              <w:rPr>
                <w:rFonts w:eastAsiaTheme="minorHAnsi"/>
              </w:rPr>
            </w:pPr>
            <w:r w:rsidRPr="001455DC">
              <w:t>–</w:t>
            </w:r>
          </w:p>
        </w:tc>
        <w:tc>
          <w:tcPr>
            <w:tcW w:w="1701" w:type="dxa"/>
            <w:vMerge w:val="restart"/>
            <w:tcBorders>
              <w:top w:val="single" w:sz="6" w:space="0" w:color="000000"/>
              <w:bottom w:val="single" w:sz="6" w:space="0" w:color="000000"/>
            </w:tcBorders>
            <w:vAlign w:val="center"/>
          </w:tcPr>
          <w:p w14:paraId="01D27721" w14:textId="2B44BC85" w:rsidR="004E22C1" w:rsidRPr="001455DC" w:rsidRDefault="004E22C1" w:rsidP="00272DA7">
            <w:pPr>
              <w:pStyle w:val="Tablebody"/>
              <w:keepNext/>
              <w:jc w:val="center"/>
              <w:rPr>
                <w:rFonts w:eastAsiaTheme="minorHAnsi"/>
              </w:rPr>
            </w:pPr>
            <w:r w:rsidRPr="001455DC">
              <w:rPr>
                <w:rFonts w:eastAsiaTheme="minorHAnsi"/>
              </w:rPr>
              <w:t>Decompression</w:t>
            </w:r>
            <w:r w:rsidRPr="001455DC">
              <w:rPr>
                <w:rStyle w:val="CCMCvariablesuperscript"/>
              </w:rPr>
              <w:t>b</w:t>
            </w:r>
          </w:p>
        </w:tc>
        <w:tc>
          <w:tcPr>
            <w:tcW w:w="1701" w:type="dxa"/>
            <w:vMerge w:val="restart"/>
            <w:tcBorders>
              <w:top w:val="single" w:sz="6" w:space="0" w:color="000000"/>
              <w:bottom w:val="single" w:sz="6" w:space="0" w:color="000000"/>
            </w:tcBorders>
            <w:vAlign w:val="center"/>
          </w:tcPr>
          <w:p w14:paraId="293F79F9" w14:textId="3D623A94" w:rsidR="004E22C1" w:rsidRPr="009D3012" w:rsidRDefault="004E22C1" w:rsidP="00272DA7">
            <w:pPr>
              <w:pStyle w:val="Tablebody"/>
              <w:keepNext/>
              <w:jc w:val="center"/>
              <w:rPr>
                <w:rStyle w:val="CCMCvariablesuperscript"/>
              </w:rPr>
            </w:pPr>
            <w:r w:rsidRPr="001455DC">
              <w:rPr>
                <w:rStyle w:val="CCMCvariableitalic"/>
              </w:rPr>
              <w:t>σ</w:t>
            </w:r>
            <w:r w:rsidRPr="001455DC">
              <w:rPr>
                <w:rStyle w:val="CCMCvariablesubscript"/>
              </w:rPr>
              <w:t>c</w:t>
            </w:r>
            <w:r w:rsidRPr="001455DC">
              <w:t> </w:t>
            </w:r>
            <w:r w:rsidR="00650035" w:rsidRPr="001455DC">
              <w:rPr>
                <w:rFonts w:ascii="Cambria Math" w:hAnsi="Cambria Math"/>
              </w:rPr>
              <w:t>≤</w:t>
            </w:r>
            <w:r w:rsidRPr="001455DC">
              <w:t> 0,6</w:t>
            </w:r>
            <w:r w:rsidRPr="001455DC">
              <w:rPr>
                <w:rStyle w:val="CCMCvariableitalic"/>
              </w:rPr>
              <w:t>f</w:t>
            </w:r>
            <w:r w:rsidRPr="001455DC">
              <w:rPr>
                <w:rStyle w:val="CCMCvariablesubscript"/>
              </w:rPr>
              <w:t>ck</w:t>
            </w:r>
            <w:r w:rsidR="00272DA7" w:rsidRPr="001455DC">
              <w:t xml:space="preserve"> </w:t>
            </w:r>
            <w:r w:rsidRPr="001455DC">
              <w:rPr>
                <w:rStyle w:val="CCMCvariablesuperscript"/>
              </w:rPr>
              <w:t>a</w:t>
            </w:r>
            <w:r w:rsidR="00272DA7" w:rsidRPr="001455DC">
              <w:rPr>
                <w:rStyle w:val="CCMCvariablesuperscript"/>
              </w:rPr>
              <w:t>,</w:t>
            </w:r>
            <w:r w:rsidRPr="001455DC">
              <w:rPr>
                <w:rStyle w:val="CCMCvariablesuperscript"/>
              </w:rPr>
              <w:t>c</w:t>
            </w:r>
          </w:p>
        </w:tc>
      </w:tr>
      <w:tr w:rsidR="004E22C1" w:rsidRPr="001455DC" w14:paraId="1A4E69AB" w14:textId="77777777" w:rsidTr="00272DA7">
        <w:trPr>
          <w:cantSplit/>
        </w:trPr>
        <w:tc>
          <w:tcPr>
            <w:tcW w:w="1701" w:type="dxa"/>
            <w:tcBorders>
              <w:top w:val="single" w:sz="6" w:space="0" w:color="000000"/>
              <w:left w:val="single" w:sz="12" w:space="0" w:color="000000"/>
              <w:bottom w:val="single" w:sz="12" w:space="0" w:color="000000"/>
              <w:right w:val="single" w:sz="6" w:space="0" w:color="000000"/>
            </w:tcBorders>
            <w:vAlign w:val="center"/>
          </w:tcPr>
          <w:p w14:paraId="73D5347D" w14:textId="77777777" w:rsidR="004E22C1" w:rsidRPr="001455DC" w:rsidRDefault="004E22C1" w:rsidP="00272DA7">
            <w:pPr>
              <w:pStyle w:val="Tablebody"/>
              <w:keepNext/>
              <w:jc w:val="left"/>
              <w:rPr>
                <w:rFonts w:eastAsiaTheme="minorHAnsi"/>
                <w:b/>
              </w:rPr>
            </w:pPr>
            <w:r w:rsidRPr="001455DC">
              <w:rPr>
                <w:rFonts w:eastAsiaTheme="minorHAnsi"/>
                <w:b/>
              </w:rPr>
              <w:t>XF1, XF3</w:t>
            </w:r>
          </w:p>
          <w:p w14:paraId="554B9D97" w14:textId="77777777" w:rsidR="004E22C1" w:rsidRPr="001455DC" w:rsidRDefault="004E22C1" w:rsidP="00272DA7">
            <w:pPr>
              <w:pStyle w:val="Tablebody"/>
              <w:keepNext/>
              <w:jc w:val="left"/>
              <w:rPr>
                <w:rFonts w:eastAsiaTheme="minorHAnsi"/>
                <w:b/>
              </w:rPr>
            </w:pPr>
            <w:r w:rsidRPr="001455DC">
              <w:rPr>
                <w:rFonts w:eastAsiaTheme="minorHAnsi"/>
                <w:b/>
              </w:rPr>
              <w:t>XF2, XF4</w:t>
            </w:r>
          </w:p>
        </w:tc>
        <w:tc>
          <w:tcPr>
            <w:tcW w:w="1474" w:type="dxa"/>
            <w:tcBorders>
              <w:top w:val="single" w:sz="6" w:space="0" w:color="000000"/>
              <w:left w:val="single" w:sz="6" w:space="0" w:color="000000"/>
              <w:bottom w:val="single" w:sz="12" w:space="0" w:color="000000"/>
              <w:right w:val="single" w:sz="6" w:space="0" w:color="000000"/>
            </w:tcBorders>
            <w:vAlign w:val="center"/>
          </w:tcPr>
          <w:p w14:paraId="50E99647" w14:textId="77777777" w:rsidR="004E22C1" w:rsidRPr="001455DC" w:rsidRDefault="004E22C1" w:rsidP="00272DA7">
            <w:pPr>
              <w:pStyle w:val="Tablebody"/>
              <w:keepNext/>
              <w:jc w:val="center"/>
              <w:rPr>
                <w:rFonts w:eastAsiaTheme="minorHAnsi"/>
                <w:bCs/>
                <w:sz w:val="19"/>
                <w:szCs w:val="19"/>
              </w:rPr>
            </w:pPr>
            <w:r w:rsidRPr="001455DC">
              <w:rPr>
                <w:sz w:val="19"/>
                <w:szCs w:val="19"/>
              </w:rPr>
              <w:t>–</w:t>
            </w:r>
          </w:p>
        </w:tc>
        <w:tc>
          <w:tcPr>
            <w:tcW w:w="1701" w:type="dxa"/>
            <w:vMerge/>
            <w:tcBorders>
              <w:top w:val="single" w:sz="6" w:space="0" w:color="000000"/>
              <w:left w:val="single" w:sz="6" w:space="0" w:color="000000"/>
              <w:bottom w:val="single" w:sz="12" w:space="0" w:color="000000"/>
              <w:right w:val="single" w:sz="6" w:space="0" w:color="000000"/>
            </w:tcBorders>
            <w:vAlign w:val="center"/>
          </w:tcPr>
          <w:p w14:paraId="2C36F544" w14:textId="77777777" w:rsidR="004E22C1" w:rsidRPr="001455DC" w:rsidRDefault="004E22C1" w:rsidP="00272DA7">
            <w:pPr>
              <w:pStyle w:val="Tablebody"/>
              <w:keepNext/>
              <w:jc w:val="center"/>
              <w:rPr>
                <w:sz w:val="17"/>
              </w:rPr>
            </w:pPr>
          </w:p>
        </w:tc>
        <w:tc>
          <w:tcPr>
            <w:tcW w:w="1474" w:type="dxa"/>
            <w:vMerge/>
            <w:tcBorders>
              <w:top w:val="single" w:sz="6" w:space="0" w:color="000000"/>
              <w:left w:val="single" w:sz="6" w:space="0" w:color="000000"/>
              <w:bottom w:val="single" w:sz="12" w:space="0" w:color="000000"/>
              <w:right w:val="single" w:sz="6" w:space="0" w:color="000000"/>
            </w:tcBorders>
            <w:vAlign w:val="center"/>
          </w:tcPr>
          <w:p w14:paraId="536BF284" w14:textId="77777777" w:rsidR="004E22C1" w:rsidRPr="001455DC" w:rsidRDefault="004E22C1" w:rsidP="00272DA7">
            <w:pPr>
              <w:pStyle w:val="Tablebody"/>
              <w:keepNext/>
              <w:jc w:val="center"/>
              <w:rPr>
                <w:rFonts w:eastAsiaTheme="minorHAnsi"/>
                <w:sz w:val="17"/>
              </w:rPr>
            </w:pPr>
          </w:p>
        </w:tc>
        <w:tc>
          <w:tcPr>
            <w:tcW w:w="1701" w:type="dxa"/>
            <w:vMerge/>
            <w:tcBorders>
              <w:top w:val="single" w:sz="6" w:space="0" w:color="000000"/>
              <w:left w:val="single" w:sz="6" w:space="0" w:color="000000"/>
              <w:bottom w:val="single" w:sz="12" w:space="0" w:color="000000"/>
              <w:right w:val="single" w:sz="6" w:space="0" w:color="000000"/>
            </w:tcBorders>
            <w:vAlign w:val="center"/>
          </w:tcPr>
          <w:p w14:paraId="6F43905C" w14:textId="77777777" w:rsidR="004E22C1" w:rsidRPr="001455DC" w:rsidRDefault="004E22C1" w:rsidP="00272DA7">
            <w:pPr>
              <w:pStyle w:val="Tablebody"/>
              <w:keepNext/>
              <w:jc w:val="center"/>
              <w:rPr>
                <w:rFonts w:eastAsiaTheme="minorHAnsi"/>
                <w:sz w:val="17"/>
              </w:rPr>
            </w:pPr>
          </w:p>
        </w:tc>
        <w:tc>
          <w:tcPr>
            <w:tcW w:w="1701" w:type="dxa"/>
            <w:vMerge/>
            <w:tcBorders>
              <w:top w:val="single" w:sz="6" w:space="0" w:color="000000"/>
              <w:left w:val="single" w:sz="6" w:space="0" w:color="000000"/>
              <w:bottom w:val="single" w:sz="12" w:space="0" w:color="000000"/>
              <w:right w:val="single" w:sz="12" w:space="0" w:color="000000"/>
            </w:tcBorders>
            <w:vAlign w:val="center"/>
          </w:tcPr>
          <w:p w14:paraId="0E061488" w14:textId="77777777" w:rsidR="004E22C1" w:rsidRPr="001455DC" w:rsidRDefault="004E22C1" w:rsidP="00272DA7">
            <w:pPr>
              <w:pStyle w:val="Tablebody"/>
              <w:keepNext/>
              <w:jc w:val="center"/>
              <w:rPr>
                <w:sz w:val="17"/>
              </w:rPr>
            </w:pPr>
          </w:p>
        </w:tc>
      </w:tr>
      <w:tr w:rsidR="004E22C1" w:rsidRPr="001455DC" w14:paraId="008284B9" w14:textId="77777777" w:rsidTr="00272DA7">
        <w:trPr>
          <w:cantSplit/>
        </w:trPr>
        <w:tc>
          <w:tcPr>
            <w:tcW w:w="9752" w:type="dxa"/>
            <w:gridSpan w:val="6"/>
            <w:tcBorders>
              <w:top w:val="single" w:sz="12" w:space="0" w:color="000000"/>
              <w:bottom w:val="single" w:sz="12" w:space="0" w:color="auto"/>
            </w:tcBorders>
          </w:tcPr>
          <w:p w14:paraId="2A0A3FDD" w14:textId="77777777" w:rsidR="004E22C1" w:rsidRPr="009D3012" w:rsidRDefault="004E22C1" w:rsidP="00272DA7">
            <w:pPr>
              <w:pStyle w:val="Tablefooternote"/>
              <w:keepNext/>
              <w:tabs>
                <w:tab w:val="clear" w:pos="680"/>
                <w:tab w:val="left" w:pos="851"/>
              </w:tabs>
              <w:rPr>
                <w:lang w:val="en-US"/>
              </w:rPr>
            </w:pPr>
            <w:r w:rsidRPr="009D3012">
              <w:rPr>
                <w:bCs/>
                <w:lang w:val="en-US"/>
              </w:rPr>
              <w:t>NOTE 1</w:t>
            </w:r>
            <w:r w:rsidRPr="009D3012">
              <w:rPr>
                <w:bCs/>
                <w:lang w:val="en-US"/>
              </w:rPr>
              <w:tab/>
              <w:t xml:space="preserve">The specified values of </w:t>
            </w:r>
            <w:r w:rsidRPr="009D3012">
              <w:rPr>
                <w:rStyle w:val="CCMCvariableitalic"/>
                <w:lang w:val="en-US"/>
              </w:rPr>
              <w:t>w</w:t>
            </w:r>
            <w:r w:rsidRPr="009D3012">
              <w:rPr>
                <w:rStyle w:val="CCMCvariablesubscript"/>
                <w:lang w:val="en-US"/>
              </w:rPr>
              <w:t>lim,cal</w:t>
            </w:r>
            <w:r w:rsidRPr="009D3012">
              <w:rPr>
                <w:bCs/>
                <w:lang w:val="en-US"/>
              </w:rPr>
              <w:t xml:space="preserve"> apply unless </w:t>
            </w:r>
            <w:r w:rsidRPr="009D3012">
              <w:rPr>
                <w:lang w:val="en-US"/>
              </w:rPr>
              <w:t>a National Annex gives different values.</w:t>
            </w:r>
          </w:p>
          <w:p w14:paraId="6640C146" w14:textId="696357BF" w:rsidR="004E22C1" w:rsidRPr="009D3012" w:rsidRDefault="004E22C1" w:rsidP="00272DA7">
            <w:pPr>
              <w:pStyle w:val="Tablefooternote"/>
              <w:keepNext/>
              <w:tabs>
                <w:tab w:val="clear" w:pos="680"/>
                <w:tab w:val="left" w:pos="851"/>
              </w:tabs>
              <w:rPr>
                <w:bCs/>
                <w:lang w:val="en-US"/>
              </w:rPr>
            </w:pPr>
            <w:r w:rsidRPr="009D3012">
              <w:rPr>
                <w:bCs/>
                <w:lang w:val="en-US"/>
              </w:rPr>
              <w:t>NOTE 2</w:t>
            </w:r>
            <w:r w:rsidRPr="009D3012">
              <w:rPr>
                <w:bCs/>
                <w:lang w:val="en-US"/>
              </w:rPr>
              <w:tab/>
              <w:t xml:space="preserve">The factor </w:t>
            </w:r>
            <w:r w:rsidRPr="009D3012">
              <w:rPr>
                <w:rStyle w:val="CCMCvariableitalic"/>
                <w:lang w:val="en-US"/>
              </w:rPr>
              <w:t>k</w:t>
            </w:r>
            <w:r w:rsidRPr="009D3012">
              <w:rPr>
                <w:rStyle w:val="CCMCvariablesubscript"/>
                <w:lang w:val="en-US"/>
              </w:rPr>
              <w:t>surf</w:t>
            </w:r>
            <w:r w:rsidRPr="009D3012">
              <w:rPr>
                <w:bCs/>
                <w:lang w:val="en-US"/>
              </w:rPr>
              <w:t xml:space="preserve"> considers the difference between an increased crack width at the member surface and the required mean crack width i according to durability performance of the minimum cover: </w:t>
            </w:r>
            <w:r w:rsidR="00430A55" w:rsidRPr="009D3012">
              <w:rPr>
                <w:bCs/>
                <w:lang w:val="en-US"/>
              </w:rPr>
              <w:t xml:space="preserve">1,0 </w:t>
            </w:r>
            <w:r w:rsidR="00430A55" w:rsidRPr="009D3012">
              <w:rPr>
                <w:rFonts w:ascii="Cambria Math" w:hAnsi="Cambria Math"/>
                <w:bCs/>
                <w:lang w:val="en-US"/>
              </w:rPr>
              <w:t>≤</w:t>
            </w:r>
            <w:r w:rsidR="00430A55" w:rsidRPr="009D3012">
              <w:rPr>
                <w:bCs/>
                <w:lang w:val="en-US"/>
              </w:rPr>
              <w:t xml:space="preserve"> </w:t>
            </w:r>
            <w:r w:rsidRPr="009D3012">
              <w:rPr>
                <w:rStyle w:val="CCMCvariableitalic"/>
                <w:lang w:val="en-US"/>
              </w:rPr>
              <w:t>k</w:t>
            </w:r>
            <w:r w:rsidRPr="009D3012">
              <w:rPr>
                <w:rStyle w:val="CCMCvariablesubscript"/>
                <w:lang w:val="en-US"/>
              </w:rPr>
              <w:t>surf</w:t>
            </w:r>
            <w:r w:rsidRPr="009D3012">
              <w:rPr>
                <w:lang w:val="en-US"/>
              </w:rPr>
              <w:t> </w:t>
            </w:r>
            <w:r w:rsidR="00EC27D2" w:rsidRPr="009D3012">
              <w:rPr>
                <w:rFonts w:ascii="Cambria Math" w:hAnsi="Cambria Math"/>
                <w:lang w:val="en-US"/>
              </w:rPr>
              <w:t>=</w:t>
            </w:r>
            <w:r w:rsidRPr="009D3012">
              <w:rPr>
                <w:lang w:val="en-US"/>
              </w:rPr>
              <w:t> </w:t>
            </w:r>
            <w:r w:rsidRPr="009D3012">
              <w:rPr>
                <w:rStyle w:val="CCMCvariableitalic"/>
                <w:lang w:val="en-US"/>
              </w:rPr>
              <w:t>c</w:t>
            </w:r>
            <w:r w:rsidRPr="009D3012">
              <w:rPr>
                <w:rStyle w:val="CCMCvariablesubscript"/>
                <w:lang w:val="en-US"/>
              </w:rPr>
              <w:t>act</w:t>
            </w:r>
            <w:r w:rsidRPr="009D3012">
              <w:rPr>
                <w:lang w:val="en-US"/>
              </w:rPr>
              <w:t>/(10 mm</w:t>
            </w:r>
            <w:r w:rsidR="00EC27D2" w:rsidRPr="009D3012">
              <w:rPr>
                <w:rFonts w:ascii="Cambria Math" w:hAnsi="Cambria Math"/>
                <w:lang w:val="en-US"/>
              </w:rPr>
              <w:t> + </w:t>
            </w:r>
            <w:r w:rsidRPr="009D3012">
              <w:rPr>
                <w:rStyle w:val="CCMCvariableitalic"/>
                <w:lang w:val="en-US"/>
              </w:rPr>
              <w:t>c</w:t>
            </w:r>
            <w:r w:rsidRPr="009D3012">
              <w:rPr>
                <w:rStyle w:val="CCMCvariablesubscript"/>
                <w:lang w:val="en-US"/>
              </w:rPr>
              <w:t>min,dur</w:t>
            </w:r>
            <w:r w:rsidRPr="009D3012">
              <w:rPr>
                <w:lang w:val="en-US"/>
              </w:rPr>
              <w:t>) </w:t>
            </w:r>
            <w:r w:rsidR="00650035" w:rsidRPr="009D3012">
              <w:rPr>
                <w:rFonts w:ascii="Cambria Math" w:hAnsi="Cambria Math"/>
                <w:lang w:val="en-US"/>
              </w:rPr>
              <w:t>≤</w:t>
            </w:r>
            <w:r w:rsidRPr="009D3012">
              <w:rPr>
                <w:lang w:val="en-US"/>
              </w:rPr>
              <w:t> 1,5.</w:t>
            </w:r>
          </w:p>
          <w:p w14:paraId="5D4378EA" w14:textId="180C08B8" w:rsidR="004E22C1" w:rsidRPr="009D3012" w:rsidRDefault="004E22C1" w:rsidP="00272DA7">
            <w:pPr>
              <w:pStyle w:val="Tablefooternote"/>
              <w:keepNext/>
              <w:tabs>
                <w:tab w:val="clear" w:pos="680"/>
                <w:tab w:val="left" w:pos="851"/>
              </w:tabs>
              <w:rPr>
                <w:b/>
                <w:bCs/>
                <w:lang w:val="en-US"/>
              </w:rPr>
            </w:pPr>
            <w:r w:rsidRPr="009D3012">
              <w:rPr>
                <w:rStyle w:val="CCMCvariableitalic"/>
                <w:lang w:val="en-US"/>
              </w:rPr>
              <w:t>c</w:t>
            </w:r>
            <w:r w:rsidRPr="009D3012">
              <w:rPr>
                <w:rStyle w:val="CCMCvariablesubscript"/>
                <w:lang w:val="en-US"/>
              </w:rPr>
              <w:t>act</w:t>
            </w:r>
            <w:r w:rsidRPr="009D3012">
              <w:rPr>
                <w:bCs/>
                <w:lang w:val="en-US"/>
              </w:rPr>
              <w:t xml:space="preserve"> is a specified actual cover </w:t>
            </w:r>
            <w:r w:rsidR="00650035" w:rsidRPr="009D3012">
              <w:rPr>
                <w:rFonts w:ascii="Cambria Math" w:hAnsi="Cambria Math"/>
                <w:bCs/>
                <w:lang w:val="en-US"/>
              </w:rPr>
              <w:t>≥</w:t>
            </w:r>
            <w:r w:rsidR="00073FC6" w:rsidRPr="009D3012">
              <w:rPr>
                <w:bCs/>
                <w:lang w:val="en-US"/>
              </w:rPr>
              <w:t> </w:t>
            </w:r>
            <w:r w:rsidRPr="009D3012">
              <w:rPr>
                <w:rStyle w:val="CCMCvariableitalic"/>
                <w:lang w:val="en-US"/>
              </w:rPr>
              <w:t>c</w:t>
            </w:r>
            <w:r w:rsidRPr="009D3012">
              <w:rPr>
                <w:rStyle w:val="CCMCvariablesubscript"/>
                <w:lang w:val="en-US"/>
              </w:rPr>
              <w:t>nom</w:t>
            </w:r>
            <w:r w:rsidRPr="009D3012">
              <w:rPr>
                <w:bCs/>
                <w:lang w:val="en-US"/>
              </w:rPr>
              <w:t xml:space="preserve"> due to detailing or execution reasons. </w:t>
            </w:r>
          </w:p>
        </w:tc>
      </w:tr>
      <w:tr w:rsidR="00B556B5" w:rsidRPr="001455DC" w14:paraId="4EC67F16" w14:textId="77777777" w:rsidTr="00272DA7">
        <w:trPr>
          <w:cnfStyle w:val="010000000000" w:firstRow="0" w:lastRow="1" w:firstColumn="0" w:lastColumn="0" w:oddVBand="0" w:evenVBand="0" w:oddHBand="0" w:evenHBand="0" w:firstRowFirstColumn="0" w:firstRowLastColumn="0" w:lastRowFirstColumn="0" w:lastRowLastColumn="0"/>
          <w:cantSplit/>
        </w:trPr>
        <w:tc>
          <w:tcPr>
            <w:tcW w:w="9752" w:type="dxa"/>
            <w:gridSpan w:val="6"/>
          </w:tcPr>
          <w:p w14:paraId="4B633E73" w14:textId="6CB2010D" w:rsidR="00B556B5" w:rsidRPr="009D3012" w:rsidRDefault="00B556B5" w:rsidP="00B556B5">
            <w:pPr>
              <w:pStyle w:val="Tablefooter"/>
              <w:rPr>
                <w:lang w:val="en-US"/>
              </w:rPr>
            </w:pPr>
            <w:r w:rsidRPr="009D3012">
              <w:rPr>
                <w:rStyle w:val="CCMCvariablesuperscript"/>
                <w:lang w:val="en-US"/>
              </w:rPr>
              <w:t>a</w:t>
            </w:r>
            <w:r w:rsidR="00272DA7" w:rsidRPr="009D3012">
              <w:rPr>
                <w:lang w:val="en-US"/>
              </w:rPr>
              <w:tab/>
            </w:r>
            <w:r w:rsidRPr="009D3012">
              <w:rPr>
                <w:lang w:val="en-US"/>
              </w:rPr>
              <w:t>No limitation in serviceability conditions is necessary for stresses under bearings, partially loaded areas and plates of headed bars.</w:t>
            </w:r>
          </w:p>
          <w:p w14:paraId="395FA7D5" w14:textId="1BC1E565" w:rsidR="00B556B5" w:rsidRPr="009D3012" w:rsidRDefault="00B556B5" w:rsidP="00B556B5">
            <w:pPr>
              <w:pStyle w:val="Tablefooter"/>
              <w:rPr>
                <w:lang w:val="en-US"/>
              </w:rPr>
            </w:pPr>
            <w:r w:rsidRPr="009D3012">
              <w:rPr>
                <w:rStyle w:val="CCMCvariablesuperscript"/>
                <w:lang w:val="en-US"/>
              </w:rPr>
              <w:t>b</w:t>
            </w:r>
            <w:r w:rsidR="00272DA7" w:rsidRPr="009D3012">
              <w:rPr>
                <w:lang w:val="en-US"/>
              </w:rPr>
              <w:tab/>
            </w:r>
            <w:r w:rsidRPr="009D3012">
              <w:rPr>
                <w:lang w:val="en-US"/>
              </w:rPr>
              <w:t>The decompression limit requires that all parts of the bonded tendons or duct lie at least 25 mm within concrete in compression.</w:t>
            </w:r>
          </w:p>
          <w:p w14:paraId="12B5428B" w14:textId="74FCA7E5" w:rsidR="00B556B5" w:rsidRPr="009D3012" w:rsidRDefault="00B556B5" w:rsidP="00B556B5">
            <w:pPr>
              <w:pStyle w:val="Tablefooter"/>
              <w:rPr>
                <w:rStyle w:val="CCMCvariablesuperscript"/>
                <w:lang w:val="en-US"/>
              </w:rPr>
            </w:pPr>
            <w:r w:rsidRPr="009D3012">
              <w:rPr>
                <w:rStyle w:val="CCMCvariablesuperscript"/>
                <w:lang w:val="en-US"/>
              </w:rPr>
              <w:t>c</w:t>
            </w:r>
            <w:r w:rsidR="00272DA7" w:rsidRPr="009D3012">
              <w:rPr>
                <w:lang w:val="en-US"/>
              </w:rPr>
              <w:tab/>
            </w:r>
            <w:r w:rsidRPr="009D3012">
              <w:rPr>
                <w:lang w:val="en-US"/>
              </w:rPr>
              <w:t xml:space="preserve">The compressive stress </w:t>
            </w:r>
            <w:r w:rsidRPr="001455DC">
              <w:rPr>
                <w:rStyle w:val="CCMCvariableitalic"/>
              </w:rPr>
              <w:t>σ</w:t>
            </w:r>
            <w:r w:rsidRPr="009D3012">
              <w:rPr>
                <w:rStyle w:val="CCMCvariablesubscript"/>
                <w:lang w:val="en-US"/>
              </w:rPr>
              <w:t>c</w:t>
            </w:r>
            <w:r w:rsidRPr="009D3012">
              <w:rPr>
                <w:lang w:val="en-US"/>
              </w:rPr>
              <w:t xml:space="preserve"> may be increased to 0,66</w:t>
            </w:r>
            <w:r w:rsidRPr="009D3012">
              <w:rPr>
                <w:rStyle w:val="CCMCvariableitalic"/>
                <w:lang w:val="en-US"/>
              </w:rPr>
              <w:t>f</w:t>
            </w:r>
            <w:r w:rsidRPr="009D3012">
              <w:rPr>
                <w:rStyle w:val="CCMCvariablesubscript"/>
                <w:lang w:val="en-US"/>
              </w:rPr>
              <w:t>ck</w:t>
            </w:r>
            <w:r w:rsidRPr="009D3012">
              <w:rPr>
                <w:lang w:val="en-US"/>
              </w:rPr>
              <w:t xml:space="preserve"> if the cover is increased by 10 mm or confinement by transverse reinforcement is provided.</w:t>
            </w:r>
          </w:p>
        </w:tc>
      </w:tr>
      <w:bookmarkEnd w:id="687"/>
    </w:tbl>
    <w:p w14:paraId="2A2A6D46" w14:textId="77777777" w:rsidR="004E22C1" w:rsidRPr="001455DC" w:rsidRDefault="004E22C1" w:rsidP="00272DA7">
      <w:pPr>
        <w:pStyle w:val="a7"/>
      </w:pPr>
    </w:p>
    <w:p w14:paraId="38AED585" w14:textId="77777777" w:rsidR="004E22C1" w:rsidRPr="001455DC" w:rsidRDefault="004E22C1" w:rsidP="00272DA7">
      <w:pPr>
        <w:pStyle w:val="a7"/>
      </w:pPr>
      <w:r w:rsidRPr="001455DC">
        <w:t>(7)</w:t>
      </w:r>
      <w:r w:rsidRPr="001455DC">
        <w:tab/>
        <w:t xml:space="preserve">Reinforcement should be considered as effective in controlling crack width only within a given area of concrete around the reinforcement bars. This area, </w:t>
      </w:r>
      <w:r w:rsidRPr="001455DC">
        <w:rPr>
          <w:rStyle w:val="CCMCvariableitalic"/>
        </w:rPr>
        <w:t>A</w:t>
      </w:r>
      <w:r w:rsidRPr="001455DC">
        <w:rPr>
          <w:rStyle w:val="CCMCvariablesubscript"/>
        </w:rPr>
        <w:t>c,eff</w:t>
      </w:r>
      <w:r w:rsidRPr="001455DC">
        <w:t>, is referred to as the effective tension area.</w:t>
      </w:r>
    </w:p>
    <w:p w14:paraId="26423269" w14:textId="697DE75C" w:rsidR="004E22C1" w:rsidRPr="001455DC" w:rsidRDefault="002318A0" w:rsidP="002318A0">
      <w:pPr>
        <w:pStyle w:val="Note"/>
      </w:pPr>
      <w:r>
        <w:t>NOTE</w:t>
      </w:r>
      <w:r>
        <w:tab/>
      </w:r>
      <w:r w:rsidR="004E22C1" w:rsidRPr="001455DC">
        <w:t>The effective tension area is also the area of concrete that needs to be tensioned up to the tensile resistance of concrete to produce a new crack and therefore affects crack spacing.</w:t>
      </w:r>
    </w:p>
    <w:p w14:paraId="67FAEAB6" w14:textId="6FC1DA25" w:rsidR="004E22C1" w:rsidRDefault="004E22C1" w:rsidP="007565E8">
      <w:pPr>
        <w:pStyle w:val="a7"/>
      </w:pPr>
      <w:r w:rsidRPr="001455DC">
        <w:t>(8)</w:t>
      </w:r>
      <w:r w:rsidRPr="001455DC">
        <w:tab/>
        <w:t>The effective tension area should be taken as in Figure 9.1. The width of the effective area around a bar should not be taken greater than 10</w:t>
      </w:r>
      <w:r w:rsidRPr="001455DC">
        <w:rPr>
          <w:rStyle w:val="CCMCvariableitalic"/>
        </w:rPr>
        <w:t>ϕ</w:t>
      </w:r>
      <w:r w:rsidRPr="001455DC">
        <w:t>.</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1"/>
      </w:tblGrid>
      <w:tr w:rsidR="00AB5116" w14:paraId="69ED9BA4" w14:textId="77777777" w:rsidTr="003F0CF8">
        <w:trPr>
          <w:jc w:val="center"/>
        </w:trPr>
        <w:tc>
          <w:tcPr>
            <w:tcW w:w="5812" w:type="dxa"/>
          </w:tcPr>
          <w:p w14:paraId="0C2F0136" w14:textId="37522014" w:rsidR="00AB5116" w:rsidRDefault="00723CF7" w:rsidP="0079403C">
            <w:pPr>
              <w:pStyle w:val="FigureImage"/>
              <w:spacing w:before="120"/>
            </w:pPr>
            <w:r>
              <w:rPr>
                <w:noProof/>
                <w:lang w:eastAsia="en-GB"/>
              </w:rPr>
              <w:fldChar w:fldCharType="begin"/>
            </w:r>
            <w:r>
              <w:rPr>
                <w:rFonts w:cs="Times New Roman"/>
                <w:noProof/>
                <w:lang w:eastAsia="en-GB"/>
              </w:rPr>
              <w:instrText xml:space="preserve"> INCLUDEPICTURE  "Y:\\STD_MGT\\STDDEL\\PRODUCTION\\etrans\\Download\\Z_FIRST_DEL\\SV\\00250\\00250269\\41_e_dr\\9_001a.tif"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"Y:\\STD_MGT\\STDDEL\\PRODUCTION\\Standards\\00250\\269\\41_e_dr\\9_001a.tif"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"Y:\\STD_MGT\\STDDEL\\PRODUCTION\\Standards\\00250\\269\\41_e_dr\\9_001a.tif"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"Y:\\STD_MGT\\STDDEL\\PRODUCTION\\Standards\\00250\\269\\41_e_dr\\9_001a.tif"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"Y:\\STD_MGT\\STDDEL\\PRODUCTION\\Standards\\00250\\269\\41_e_dr\\9_001a.tif"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"Y:\\STD_MGT\\STDDEL\\PRODUCTION\\Standards\\00250\\269\\41_e_dr\\9_001a.tif"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w:instrText>
            </w:r>
            <w:r w:rsidR="00231E33">
              <w:rPr>
                <w:noProof/>
                <w:lang w:eastAsia="en-GB"/>
              </w:rPr>
              <w:instrText>l\\Temp\\Temp1_00250269_e_20210902.zip.zip\\41_e_dr\\9_001a.tif"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7966CCE6">
                <v:shape id="_x0000_i1206" type="#_x0000_t75" style="width:240pt;height:89.25pt">
                  <v:imagedata r:id="rId382" r:href="rId383"/>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AB5116" w14:paraId="77CAF209" w14:textId="77777777" w:rsidTr="003F0CF8">
        <w:trPr>
          <w:jc w:val="center"/>
        </w:trPr>
        <w:tc>
          <w:tcPr>
            <w:tcW w:w="5812" w:type="dxa"/>
          </w:tcPr>
          <w:p w14:paraId="5B78CEEA" w14:textId="340A304D" w:rsidR="00AB5116" w:rsidRDefault="00AB5116" w:rsidP="0079403C">
            <w:pPr>
              <w:pStyle w:val="FigureImage"/>
              <w:spacing w:before="120"/>
            </w:pPr>
            <w:r>
              <w:t>a) Group of bars</w:t>
            </w:r>
          </w:p>
        </w:tc>
      </w:tr>
      <w:tr w:rsidR="00AB5116" w14:paraId="4C1809E6" w14:textId="77777777" w:rsidTr="003F0CF8">
        <w:trPr>
          <w:jc w:val="center"/>
        </w:trPr>
        <w:tc>
          <w:tcPr>
            <w:tcW w:w="5812" w:type="dxa"/>
          </w:tcPr>
          <w:p w14:paraId="640B01CB" w14:textId="393568BA" w:rsidR="00AB5116" w:rsidRDefault="00723CF7" w:rsidP="0079403C">
            <w:pPr>
              <w:pStyle w:val="FigureImage"/>
              <w:spacing w:before="120"/>
            </w:pPr>
            <w:r>
              <w:rPr>
                <w:noProof/>
                <w:lang w:eastAsia="en-GB"/>
              </w:rPr>
              <w:fldChar w:fldCharType="begin"/>
            </w:r>
            <w:r>
              <w:rPr>
                <w:rFonts w:cs="Times New Roman"/>
                <w:noProof/>
                <w:lang w:eastAsia="en-GB"/>
              </w:rPr>
              <w:instrText xml:space="preserve"> INCLUDEPICTURE  "Y:\\STD_MGT\\STDDEL\\PRODUCTION\\etrans\\Download\\Z_FIRST_DEL\\SV\\00250\\00250269\\41_e_dr\\9_001b.tif"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"Y:\\STD_MGT\\STDDEL\\PRODUCTION\\Standards\\00250\\269\\41_e_dr\\9_001b.tif"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"Y:\\STD_MGT\\STDDEL\\PRODUCTION\\Standards\\00250\\269\\41_e_dr\\9_001b.tif"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"Y:\\STD_MGT\\STDDEL\\PRODUCTION\\Standards\\00250\\269\\41_e_dr\\9_001b.tif"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"Y:\\STD_MGT\\STDDEL\\PRODUCTION\\Standards\\00250\\269\\41_e_dr\\9_001b.tif"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"Y:\\STD_MGT\\STDDEL\\PRODUCTION\\Standards\\00250\\269\\41_e_dr\\9_001b.tif"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w:instrText>
            </w:r>
            <w:r w:rsidR="00231E33">
              <w:rPr>
                <w:noProof/>
                <w:lang w:eastAsia="en-GB"/>
              </w:rPr>
              <w:instrText>l\\Temp\\Temp1_00250269_e_20210902.zip.zip\\41_e_dr\\9_001b.tif"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77CF98D9">
                <v:shape id="_x0000_i1207" type="#_x0000_t75" style="width:294pt;height:90.75pt">
                  <v:imagedata r:id="rId384" r:href="rId385"/>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AB5116" w14:paraId="2F8A40A8" w14:textId="77777777" w:rsidTr="003F0CF8">
        <w:trPr>
          <w:jc w:val="center"/>
        </w:trPr>
        <w:tc>
          <w:tcPr>
            <w:tcW w:w="5812" w:type="dxa"/>
          </w:tcPr>
          <w:p w14:paraId="332621E2" w14:textId="2AFC36C1" w:rsidR="00AB5116" w:rsidRDefault="00AB5116" w:rsidP="0079403C">
            <w:pPr>
              <w:pStyle w:val="FigureImage"/>
              <w:spacing w:before="120"/>
            </w:pPr>
            <w:r>
              <w:t>b)Isolated bars</w:t>
            </w:r>
          </w:p>
        </w:tc>
      </w:tr>
      <w:tr w:rsidR="00AB5116" w14:paraId="4F2D2037" w14:textId="77777777" w:rsidTr="003F0CF8">
        <w:trPr>
          <w:jc w:val="center"/>
        </w:trPr>
        <w:tc>
          <w:tcPr>
            <w:tcW w:w="5812" w:type="dxa"/>
          </w:tcPr>
          <w:p w14:paraId="70AC29D5" w14:textId="7200CE40" w:rsidR="00AB5116" w:rsidRDefault="00723CF7" w:rsidP="0079403C">
            <w:pPr>
              <w:pStyle w:val="FigureImage"/>
              <w:spacing w:before="120"/>
            </w:pPr>
            <w:r>
              <w:rPr>
                <w:noProof/>
                <w:lang w:eastAsia="en-GB"/>
              </w:rPr>
              <w:fldChar w:fldCharType="begin"/>
            </w:r>
            <w:r>
              <w:rPr>
                <w:rFonts w:cs="Times New Roman"/>
                <w:noProof/>
                <w:lang w:eastAsia="en-GB"/>
              </w:rPr>
              <w:instrText xml:space="preserve"> INCLUDEPICTURE  "Y:\\STD_MGT\\STDDEL\\PRODUCTION\\etrans\\Download\\Z_FIRST_DEL\\SV\\00250\\00250269\\41_e_dr\\9_001c.tif"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"Y:\\STD_MGT\\STDDEL\\PRODUCTION\\Standards\\00250\\269\\41_e_dr\\9_001c.tif"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"Y:\\STD_MGT\\STDDEL\\PRODUCTION\\Standards\\00250\\269\\41_e_dr\\9_001c.tif"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"Y:\\STD_MGT\\STDDEL\\PRODUCTION\\Standards\\00250\\269\\41_e_dr\\9_001c.tif"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"Y:\\STD_MGT\\STDDEL\\PRODUCTION\\Standards\\00250\\269\\41_e_dr\\9_001c.tif"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"Y:\\STD_MGT\\STDDEL\\PRODUCTION\\Standards\\00250\\269\\41_e_dr\\9_001c.tif"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"C:\\Users\\a.dionysiou\\AppData\\Local\\Temp\\Temp1_00250269_e_20210902.zip.zip\\41_e_dr\\9_001c.tif"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7227C26D">
                <v:shape id="_x0000_i1208" type="#_x0000_t75" style="width:255pt;height:90.75pt">
                  <v:imagedata r:id="rId386" r:href="rId387"/>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AB5116" w14:paraId="11D8DE1C" w14:textId="77777777" w:rsidTr="003F0CF8">
        <w:trPr>
          <w:jc w:val="center"/>
        </w:trPr>
        <w:tc>
          <w:tcPr>
            <w:tcW w:w="5812" w:type="dxa"/>
          </w:tcPr>
          <w:p w14:paraId="7825C03D" w14:textId="75CA23C3" w:rsidR="00AB5116" w:rsidRDefault="00AB5116" w:rsidP="0079403C">
            <w:pPr>
              <w:pStyle w:val="FigureImage"/>
              <w:spacing w:before="120"/>
            </w:pPr>
            <w:r>
              <w:t>c) Circular cross section</w:t>
            </w:r>
          </w:p>
        </w:tc>
      </w:tr>
      <w:tr w:rsidR="00AB5116" w14:paraId="267C7AEF" w14:textId="77777777" w:rsidTr="003F0CF8">
        <w:trPr>
          <w:jc w:val="center"/>
        </w:trPr>
        <w:tc>
          <w:tcPr>
            <w:tcW w:w="5812" w:type="dxa"/>
          </w:tcPr>
          <w:p w14:paraId="46747AC5" w14:textId="1621F32C" w:rsidR="00AB5116" w:rsidRDefault="00723CF7" w:rsidP="0079403C">
            <w:pPr>
              <w:pStyle w:val="FigureImage"/>
              <w:spacing w:before="120"/>
            </w:pPr>
            <w:r>
              <w:rPr>
                <w:noProof/>
                <w:lang w:eastAsia="en-GB"/>
              </w:rPr>
              <w:fldChar w:fldCharType="begin"/>
            </w:r>
            <w:r>
              <w:rPr>
                <w:rFonts w:cs="Times New Roman"/>
                <w:noProof/>
                <w:lang w:eastAsia="en-GB"/>
              </w:rPr>
              <w:instrText xml:space="preserve"> INCLUDEPICTURE  "Y:\\STD_MGT\\STDDEL\\PRODUCTION\\etrans\\Download\\Z_FIRST_DEL\\SV\\00250\\00250269\\41_e_dr\\9_001d.tif"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"Y:\\STD_MGT\\STDDEL\\PRODUCTION\\Standards\\00250\\269\\41_e_dr\\9_001d.tif"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"Y:\\STD_MGT\\STDDEL\\PRODUCTION\\Standards\\00250\\269\\41_e_dr\\9_001d.tif"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"Y:\\STD_MGT\\STDDEL\\PRODUCTION\\Standards\\00250\\269\\41_e_dr\\9_001d.tif"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"Y:\\STD_MGT\\STDDEL\\PRODUCTION\\Standards\\00250\\269\\41_e_dr\\9_001d.tif"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"Y:\\STD_MGT\\STDDEL\\PRODUCTION\\Standards\\00250\\269\\41_e_dr\\9_001d.tif"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w:instrText>
            </w:r>
            <w:r w:rsidR="00231E33">
              <w:rPr>
                <w:noProof/>
                <w:lang w:eastAsia="en-GB"/>
              </w:rPr>
              <w:instrText>ata\\Local\\Temp\\Temp1_00250269_e_20210902.zip.zip\\41_e_dr\\9_001d.tif"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7A5ACAB4">
                <v:shape id="_x0000_i1209" type="#_x0000_t75" style="width:262.5pt;height:111pt">
                  <v:imagedata r:id="rId388" r:href="rId389"/>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AB5116" w14:paraId="42FCAAB8" w14:textId="77777777" w:rsidTr="003F0CF8">
        <w:trPr>
          <w:jc w:val="center"/>
        </w:trPr>
        <w:tc>
          <w:tcPr>
            <w:tcW w:w="5812" w:type="dxa"/>
          </w:tcPr>
          <w:p w14:paraId="1084FC97" w14:textId="1BD2DA58" w:rsidR="00AB5116" w:rsidRDefault="00AB5116" w:rsidP="0079403C">
            <w:pPr>
              <w:pStyle w:val="FigureImage"/>
              <w:spacing w:before="120"/>
            </w:pPr>
            <w:r>
              <w:t>d) Group of bars, distributed along perimeter</w:t>
            </w:r>
          </w:p>
        </w:tc>
      </w:tr>
      <w:tr w:rsidR="00AB5116" w14:paraId="6EA2E40F" w14:textId="77777777" w:rsidTr="003F0CF8">
        <w:trPr>
          <w:jc w:val="center"/>
        </w:trPr>
        <w:tc>
          <w:tcPr>
            <w:tcW w:w="5812" w:type="dxa"/>
          </w:tcPr>
          <w:p w14:paraId="1F03E37F" w14:textId="0C20ACBE" w:rsidR="00AB5116" w:rsidRDefault="00723CF7" w:rsidP="0079403C">
            <w:pPr>
              <w:pStyle w:val="FigureImage"/>
              <w:spacing w:before="120"/>
            </w:pPr>
            <w:r>
              <w:rPr>
                <w:noProof/>
                <w:lang w:eastAsia="en-GB"/>
              </w:rPr>
              <w:fldChar w:fldCharType="begin"/>
            </w:r>
            <w:r>
              <w:rPr>
                <w:rFonts w:cs="Times New Roman"/>
                <w:noProof/>
                <w:lang w:eastAsia="en-GB"/>
              </w:rPr>
              <w:instrText xml:space="preserve"> INCLUDEPICTURE  "Y:\\STD_MGT\\STDDEL\\PRODUCTION\\etrans\\Download\\Z_FIRST_DEL\\SV\\00250\\00250269\\41_e_dr\\9_001e.tif"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"Y:\\STD_MGT\\STDDEL\\PRODUCTION\\Standards\\00250\\269\\41_e_dr\\9_001e.tif"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"Y:\\STD_MGT\\STDDEL\\PRODUCTION\\Standards\\00250\\269\\41_e_dr\\9_001e.tif"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"Y:\\STD_MGT\\STDDEL\\PRODUCTION\\Standards\\00250\\269\\41_e_dr\\9_001e.tif"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"Y:\\STD_MGT\\STDDEL\\PRODUCTION\\Standards\\00250\\269\\41_e_dr\\9_001e.tif"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"Y:\\STD_MGT\\STDDEL\\PRODUCTION\\Standards\\00250\\269\\41_e_dr\\9_001e.tif"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"C:\\Users\\a.dionysiou\\AppData\\Local\\Temp\\Temp1_00250269_e_20210902.zip.zip\\41_e_dr\\9_001e.tif"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081F4604">
                <v:shape id="_x0000_i1210" type="#_x0000_t75" style="width:193.5pt;height:79.5pt">
                  <v:imagedata r:id="rId390" r:href="rId391"/>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AB5116" w14:paraId="45453448" w14:textId="77777777" w:rsidTr="003F0CF8">
        <w:trPr>
          <w:jc w:val="center"/>
        </w:trPr>
        <w:tc>
          <w:tcPr>
            <w:tcW w:w="5812" w:type="dxa"/>
          </w:tcPr>
          <w:p w14:paraId="1027EDD2" w14:textId="2880B2C5" w:rsidR="00AB5116" w:rsidRDefault="00AB5116" w:rsidP="0079403C">
            <w:pPr>
              <w:pStyle w:val="FigureImage"/>
              <w:spacing w:before="120"/>
            </w:pPr>
            <w:r>
              <w:t>e) Group of bars</w:t>
            </w:r>
          </w:p>
        </w:tc>
      </w:tr>
      <w:tr w:rsidR="00AB5116" w14:paraId="2FCE9617" w14:textId="77777777" w:rsidTr="003F0CF8">
        <w:trPr>
          <w:jc w:val="center"/>
        </w:trPr>
        <w:tc>
          <w:tcPr>
            <w:tcW w:w="5812" w:type="dxa"/>
          </w:tcPr>
          <w:p w14:paraId="51B060CA" w14:textId="0D2EF476" w:rsidR="00AB5116" w:rsidRDefault="00723CF7" w:rsidP="0079403C">
            <w:pPr>
              <w:pStyle w:val="FigureImage"/>
              <w:spacing w:before="120"/>
            </w:pPr>
            <w:r>
              <w:rPr>
                <w:noProof/>
                <w:lang w:eastAsia="en-GB"/>
              </w:rPr>
              <w:fldChar w:fldCharType="begin"/>
            </w:r>
            <w:r>
              <w:rPr>
                <w:rFonts w:cs="Times New Roman"/>
                <w:noProof/>
                <w:lang w:eastAsia="en-GB"/>
              </w:rPr>
              <w:instrText xml:space="preserve"> INCLUDEPICTURE  "Y:\\STD_MGT\\STDDEL\\PRODUCTION\\etrans\\Download\\Z_FIRST_DEL\\SV\\00250\\00250269\\41_e_dr\\9_001f.tif"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"Y:\\STD_MGT\\STDDEL\\PRODUCTION\\Standards\\00250\\269\\41_e_dr\\9_001f.tif"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"Y:\\STD_MGT\\STDDEL\\PRODUCTION\\Standards\\00250\\269\\41_e_dr\\9_001f.tif"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"Y:\\STD_MGT\\STDDEL\\PRODUCTION\\Standards\\00250\\269\\41_e_dr\\9_001f.tif"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"Y:\\STD_MGT\\STDDEL\\PRODUCTION\\Standards\\00250\\269\\41_e_dr\\9_001f.tif"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"Y:\\STD_MGT\\STDDEL\\PRODUCTION\\Standards\\00250\\269\\41_e_dr\\9_001f.tif"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w:instrText>
            </w:r>
            <w:r w:rsidR="00231E33">
              <w:rPr>
                <w:noProof/>
                <w:lang w:eastAsia="en-GB"/>
              </w:rPr>
              <w:instrText>\\Users\\a.dionysiou\\AppData\\Local\\Temp\\Temp1_00250269_e_20210902.zip.zip\\41_e_dr\\9_001f.tif"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32CDCD36">
                <v:shape id="_x0000_i1211" type="#_x0000_t75" style="width:259.5pt;height:93.75pt">
                  <v:imagedata r:id="rId392" r:href="rId393"/>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AB5116" w14:paraId="7424BB38" w14:textId="77777777" w:rsidTr="003F0CF8">
        <w:trPr>
          <w:jc w:val="center"/>
        </w:trPr>
        <w:tc>
          <w:tcPr>
            <w:tcW w:w="5812" w:type="dxa"/>
          </w:tcPr>
          <w:p w14:paraId="33BD3BC1" w14:textId="615009AF" w:rsidR="00AB5116" w:rsidRDefault="00AB5116" w:rsidP="0079403C">
            <w:pPr>
              <w:pStyle w:val="FigureImage"/>
              <w:spacing w:before="120"/>
            </w:pPr>
            <w:r>
              <w:t>f) Isolated bars</w:t>
            </w:r>
          </w:p>
        </w:tc>
      </w:tr>
    </w:tbl>
    <w:p w14:paraId="3981AC2F" w14:textId="38D515D5" w:rsidR="00EF16CB" w:rsidRPr="009D3012" w:rsidRDefault="00EF16CB" w:rsidP="00EF16CB">
      <w:pPr>
        <w:pStyle w:val="FigureText"/>
        <w:rPr>
          <w:bCs/>
        </w:rPr>
      </w:pPr>
    </w:p>
    <w:p w14:paraId="2E0FDBC4" w14:textId="17889714" w:rsidR="00EF16CB" w:rsidRDefault="00272DA7">
      <w:pPr>
        <w:pStyle w:val="KeyTitle"/>
      </w:pPr>
      <w:r w:rsidRPr="001455DC">
        <w:t>Key</w:t>
      </w:r>
    </w:p>
    <w:tbl>
      <w:tblPr>
        <w:tblW w:w="9809" w:type="dxa"/>
        <w:tblLayout w:type="fixed"/>
        <w:tblCellMar>
          <w:left w:w="28" w:type="dxa"/>
          <w:right w:w="28" w:type="dxa"/>
        </w:tblCellMar>
        <w:tblLook w:val="0000" w:firstRow="0" w:lastRow="0" w:firstColumn="0" w:lastColumn="0" w:noHBand="0" w:noVBand="0"/>
      </w:tblPr>
      <w:tblGrid>
        <w:gridCol w:w="2835"/>
        <w:gridCol w:w="6974"/>
      </w:tblGrid>
      <w:tr w:rsidR="00EF16CB" w:rsidRPr="001455DC" w14:paraId="0A15A4F9" w14:textId="77777777" w:rsidTr="00EF16CB">
        <w:tc>
          <w:tcPr>
            <w:tcW w:w="2835" w:type="dxa"/>
            <w:shd w:val="clear" w:color="auto" w:fill="auto"/>
          </w:tcPr>
          <w:p w14:paraId="03B04EF4" w14:textId="77777777" w:rsidR="00EF16CB" w:rsidRPr="001455DC" w:rsidRDefault="00EF16CB" w:rsidP="00EF16CB">
            <w:pPr>
              <w:pStyle w:val="KeyText"/>
              <w:tabs>
                <w:tab w:val="clear" w:pos="346"/>
              </w:tabs>
              <w:ind w:left="0" w:firstLine="0"/>
            </w:pPr>
            <w:r w:rsidRPr="001455DC">
              <w:t>For a single layer of bars:</w:t>
            </w:r>
          </w:p>
        </w:tc>
        <w:tc>
          <w:tcPr>
            <w:tcW w:w="6974" w:type="dxa"/>
            <w:shd w:val="clear" w:color="auto" w:fill="auto"/>
          </w:tcPr>
          <w:p w14:paraId="1DD18630" w14:textId="56B8FFE3" w:rsidR="00EF16CB" w:rsidRPr="001455DC" w:rsidRDefault="00231E33" w:rsidP="00EF16CB">
            <w:pPr>
              <w:pStyle w:val="KeyText"/>
              <w:tabs>
                <w:tab w:val="clear" w:pos="346"/>
              </w:tabs>
              <w:ind w:left="0" w:firstLine="0"/>
            </w:pPr>
            <m:oMathPara>
              <m:oMathParaPr>
                <m:jc m:val="left"/>
              </m:oMathParaPr>
              <m:oMath>
                <m:sSub>
                  <m:sSubPr>
                    <m:ctrlPr>
                      <w:rPr>
                        <w:rFonts w:ascii="Cambria Math" w:hAnsi="Cambria Math"/>
                      </w:rPr>
                    </m:ctrlPr>
                  </m:sSubPr>
                  <m:e>
                    <m:r>
                      <w:rPr>
                        <w:rFonts w:ascii="Cambria Math" w:hAnsi="Cambria Math"/>
                      </w:rPr>
                      <m:t>h</m:t>
                    </m:r>
                  </m:e>
                  <m:sub>
                    <m:r>
                      <m:rPr>
                        <m:sty m:val="p"/>
                      </m:rPr>
                      <w:rPr>
                        <w:rFonts w:ascii="Cambria Math" w:hAnsi="Cambria Math"/>
                      </w:rPr>
                      <m:t>c,eff</m:t>
                    </m:r>
                  </m:sub>
                </m:sSub>
                <m:r>
                  <w:rPr>
                    <w:rFonts w:ascii="Cambria Math" w:hAnsi="Cambria Math"/>
                  </w:rPr>
                  <m:t>=</m:t>
                </m:r>
                <m:r>
                  <m:rPr>
                    <m:sty m:val="p"/>
                  </m:rPr>
                  <w:rPr>
                    <w:rFonts w:ascii="Cambria Math" w:hAnsi="Cambria Math"/>
                  </w:rPr>
                  <m:t>min</m:t>
                </m:r>
                <m:d>
                  <m:dPr>
                    <m:begChr m:val="{"/>
                    <m:sepChr m:val=""/>
                    <m:endChr m:val="}"/>
                    <m:ctrlPr>
                      <w:rPr>
                        <w:rFonts w:ascii="Cambria Math" w:hAnsi="Cambria Math"/>
                      </w:rPr>
                    </m:ctrlPr>
                  </m:dPr>
                  <m:e>
                    <m:sSub>
                      <m:sSubPr>
                        <m:ctrlPr>
                          <w:rPr>
                            <w:rFonts w:ascii="Cambria Math" w:hAnsi="Cambria Math"/>
                          </w:rPr>
                        </m:ctrlPr>
                      </m:sSubPr>
                      <m:e>
                        <m:r>
                          <w:rPr>
                            <w:rFonts w:ascii="Cambria Math" w:hAnsi="Cambria Math"/>
                          </w:rPr>
                          <m:t>r</m:t>
                        </m:r>
                      </m:e>
                      <m:sub>
                        <m:r>
                          <m:rPr>
                            <m:sty m:val="p"/>
                          </m:rPr>
                          <w:rPr>
                            <w:rFonts w:ascii="Cambria Math" w:hAnsi="Cambria Math"/>
                          </w:rPr>
                          <m:t>y</m:t>
                        </m:r>
                      </m:sub>
                    </m:sSub>
                  </m:e>
                  <m:e>
                    <m:r>
                      <w:rPr>
                        <w:rFonts w:ascii="Cambria Math" w:hAnsi="Cambria Math"/>
                      </w:rPr>
                      <m:t>+</m:t>
                    </m:r>
                  </m:e>
                  <m:e>
                    <m:r>
                      <w:rPr>
                        <w:rFonts w:ascii="Cambria Math" w:hAnsi="Cambria Math"/>
                      </w:rPr>
                      <m:t>5</m:t>
                    </m:r>
                  </m:e>
                  <m:e>
                    <m:r>
                      <w:rPr>
                        <w:rFonts w:ascii="Cambria Math" w:hAnsi="Cambria Math"/>
                      </w:rPr>
                      <m:t>ϕ</m:t>
                    </m:r>
                  </m:e>
                  <m:e>
                    <m:r>
                      <w:rPr>
                        <w:rFonts w:ascii="Cambria Math" w:hAnsi="Cambria Math"/>
                      </w:rPr>
                      <m:t>;</m:t>
                    </m:r>
                  </m:e>
                  <m:e>
                    <m:r>
                      <w:rPr>
                        <w:rFonts w:ascii="Cambria Math" w:hAnsi="Cambria Math"/>
                      </w:rPr>
                      <m:t xml:space="preserve"> </m:t>
                    </m:r>
                  </m:e>
                  <m:e>
                    <m:r>
                      <w:rPr>
                        <w:rFonts w:ascii="Cambria Math" w:hAnsi="Cambria Math"/>
                      </w:rPr>
                      <m:t>10</m:t>
                    </m:r>
                  </m:e>
                  <m:e>
                    <m:r>
                      <w:rPr>
                        <w:rFonts w:ascii="Cambria Math" w:hAnsi="Cambria Math"/>
                      </w:rPr>
                      <m:t>ϕ</m:t>
                    </m:r>
                  </m:e>
                  <m:e>
                    <m:r>
                      <w:rPr>
                        <w:rFonts w:ascii="Cambria Math" w:hAnsi="Cambria Math"/>
                      </w:rPr>
                      <m:t>;</m:t>
                    </m:r>
                  </m:e>
                  <m:e>
                    <m:r>
                      <w:rPr>
                        <w:rFonts w:ascii="Cambria Math" w:hAnsi="Cambria Math"/>
                      </w:rPr>
                      <m:t xml:space="preserve"> </m:t>
                    </m:r>
                  </m:e>
                  <m:e>
                    <m:r>
                      <w:rPr>
                        <w:rFonts w:ascii="Cambria Math" w:hAnsi="Cambria Math"/>
                      </w:rPr>
                      <m:t>3,5</m:t>
                    </m:r>
                  </m:e>
                  <m:e>
                    <m:sSub>
                      <m:sSubPr>
                        <m:ctrlPr>
                          <w:rPr>
                            <w:rFonts w:ascii="Cambria Math" w:hAnsi="Cambria Math"/>
                          </w:rPr>
                        </m:ctrlPr>
                      </m:sSubPr>
                      <m:e>
                        <m:r>
                          <w:rPr>
                            <w:rFonts w:ascii="Cambria Math" w:hAnsi="Cambria Math"/>
                          </w:rPr>
                          <m:t>r</m:t>
                        </m:r>
                      </m:e>
                      <m:sub>
                        <m:r>
                          <m:rPr>
                            <m:sty m:val="p"/>
                          </m:rPr>
                          <w:rPr>
                            <w:rFonts w:ascii="Cambria Math" w:hAnsi="Cambria Math"/>
                          </w:rPr>
                          <m:t>y</m:t>
                        </m:r>
                      </m:sub>
                    </m:sSub>
                  </m:e>
                </m:d>
                <m:r>
                  <w:rPr>
                    <w:rFonts w:ascii="Cambria Math" w:hAnsi="Cambria Math"/>
                  </w:rPr>
                  <m:t>≤</m:t>
                </m:r>
                <m:d>
                  <m:dPr>
                    <m:begChr m:val="|"/>
                    <m:sepChr m:val=""/>
                    <m:endChr m:val="|"/>
                    <m:ctrlPr>
                      <w:rPr>
                        <w:rFonts w:ascii="Cambria Math" w:hAnsi="Cambria Math"/>
                      </w:rPr>
                    </m:ctrlPr>
                  </m:dPr>
                  <m:e>
                    <m:r>
                      <w:rPr>
                        <w:rFonts w:ascii="Cambria Math" w:hAnsi="Cambria Math"/>
                      </w:rPr>
                      <m:t>h</m:t>
                    </m:r>
                  </m:e>
                  <m:e>
                    <m:r>
                      <w:rPr>
                        <w:rFonts w:ascii="Cambria Math" w:hAnsi="Cambria Math"/>
                      </w:rPr>
                      <m:t>-</m:t>
                    </m:r>
                  </m:e>
                  <m:e>
                    <m:r>
                      <w:rPr>
                        <w:rFonts w:ascii="Cambria Math" w:hAnsi="Cambria Math"/>
                      </w:rPr>
                      <m:t>x</m:t>
                    </m:r>
                  </m:e>
                </m:d>
              </m:oMath>
            </m:oMathPara>
          </w:p>
        </w:tc>
      </w:tr>
      <w:tr w:rsidR="00EF16CB" w:rsidRPr="001455DC" w14:paraId="0D156B31" w14:textId="77777777" w:rsidTr="00EF16CB">
        <w:tc>
          <w:tcPr>
            <w:tcW w:w="2835" w:type="dxa"/>
            <w:shd w:val="clear" w:color="auto" w:fill="auto"/>
          </w:tcPr>
          <w:p w14:paraId="7B66AD82" w14:textId="77777777" w:rsidR="00EF16CB" w:rsidRPr="001455DC" w:rsidRDefault="00EF16CB" w:rsidP="00EF16CB">
            <w:pPr>
              <w:pStyle w:val="KeyText"/>
              <w:tabs>
                <w:tab w:val="clear" w:pos="346"/>
              </w:tabs>
              <w:ind w:left="0" w:firstLine="0"/>
            </w:pPr>
            <w:r w:rsidRPr="001455DC">
              <w:t xml:space="preserve">For </w:t>
            </w:r>
            <w:r w:rsidRPr="001455DC">
              <w:rPr>
                <w:rStyle w:val="CCMCvariableitalic"/>
              </w:rPr>
              <w:t>n</w:t>
            </w:r>
            <w:r w:rsidRPr="001455DC">
              <w:t xml:space="preserve"> layers of bars spaced </w:t>
            </w:r>
            <w:r w:rsidRPr="001455DC">
              <w:rPr>
                <w:rStyle w:val="CCMCvariableitalic"/>
              </w:rPr>
              <w:t>s</w:t>
            </w:r>
            <w:r w:rsidRPr="001455DC">
              <w:rPr>
                <w:rStyle w:val="CCMCvariablesubscript"/>
              </w:rPr>
              <w:t>y</w:t>
            </w:r>
            <w:r w:rsidRPr="001455DC">
              <w:t>:</w:t>
            </w:r>
          </w:p>
        </w:tc>
        <w:tc>
          <w:tcPr>
            <w:tcW w:w="6974" w:type="dxa"/>
            <w:shd w:val="clear" w:color="auto" w:fill="auto"/>
          </w:tcPr>
          <w:p w14:paraId="2D1B5840" w14:textId="6A4E7BB9" w:rsidR="00EF16CB" w:rsidRPr="001455DC" w:rsidRDefault="00231E33">
            <w:pPr>
              <w:pStyle w:val="KeyText"/>
              <w:tabs>
                <w:tab w:val="clear" w:pos="346"/>
              </w:tabs>
              <w:ind w:left="0" w:firstLine="0"/>
            </w:pPr>
            <m:oMathPara>
              <m:oMathParaPr>
                <m:jc m:val="left"/>
              </m:oMathParaPr>
              <m:oMath>
                <m:sSub>
                  <m:sSubPr>
                    <m:ctrlPr>
                      <w:rPr>
                        <w:rFonts w:ascii="Cambria Math" w:hAnsi="Cambria Math"/>
                      </w:rPr>
                    </m:ctrlPr>
                  </m:sSubPr>
                  <m:e>
                    <m:r>
                      <w:rPr>
                        <w:rFonts w:ascii="Cambria Math" w:hAnsi="Cambria Math"/>
                      </w:rPr>
                      <m:t>h</m:t>
                    </m:r>
                  </m:e>
                  <m:sub>
                    <m:r>
                      <m:rPr>
                        <m:sty m:val="p"/>
                      </m:rPr>
                      <w:rPr>
                        <w:rFonts w:ascii="Cambria Math" w:hAnsi="Cambria Math"/>
                      </w:rPr>
                      <m:t>c,eff</m:t>
                    </m:r>
                  </m:sub>
                </m:sSub>
                <m:r>
                  <w:rPr>
                    <w:rFonts w:ascii="Cambria Math" w:hAnsi="Cambria Math"/>
                  </w:rPr>
                  <m:t>=</m:t>
                </m:r>
                <m:r>
                  <m:rPr>
                    <m:sty m:val="p"/>
                  </m:rPr>
                  <w:rPr>
                    <w:rFonts w:ascii="Cambria Math" w:hAnsi="Cambria Math"/>
                  </w:rPr>
                  <m:t>min</m:t>
                </m:r>
                <m:d>
                  <m:dPr>
                    <m:begChr m:val="{"/>
                    <m:sepChr m:val=""/>
                    <m:endChr m:val="}"/>
                    <m:ctrlPr>
                      <w:rPr>
                        <w:rFonts w:ascii="Cambria Math" w:hAnsi="Cambria Math"/>
                      </w:rPr>
                    </m:ctrlPr>
                  </m:dPr>
                  <m:e>
                    <m:sSub>
                      <m:sSubPr>
                        <m:ctrlPr>
                          <w:rPr>
                            <w:rFonts w:ascii="Cambria Math" w:hAnsi="Cambria Math"/>
                          </w:rPr>
                        </m:ctrlPr>
                      </m:sSubPr>
                      <m:e>
                        <m:r>
                          <w:rPr>
                            <w:rFonts w:ascii="Cambria Math" w:hAnsi="Cambria Math"/>
                          </w:rPr>
                          <m:t>r</m:t>
                        </m:r>
                      </m:e>
                      <m:sub>
                        <m:r>
                          <m:rPr>
                            <m:sty m:val="p"/>
                          </m:rPr>
                          <w:rPr>
                            <w:rFonts w:ascii="Cambria Math" w:hAnsi="Cambria Math"/>
                          </w:rPr>
                          <m:t>y</m:t>
                        </m:r>
                      </m:sub>
                    </m:sSub>
                  </m:e>
                  <m:e>
                    <m:r>
                      <w:rPr>
                        <w:rFonts w:ascii="Cambria Math" w:hAnsi="Cambria Math"/>
                      </w:rPr>
                      <m:t>+</m:t>
                    </m:r>
                  </m:e>
                  <m:e>
                    <m:r>
                      <w:rPr>
                        <w:rFonts w:ascii="Cambria Math" w:hAnsi="Cambria Math"/>
                      </w:rPr>
                      <m:t>5</m:t>
                    </m:r>
                  </m:e>
                  <m:e>
                    <m:r>
                      <w:rPr>
                        <w:rFonts w:ascii="Cambria Math" w:hAnsi="Cambria Math"/>
                      </w:rPr>
                      <m:t>ϕ</m:t>
                    </m:r>
                  </m:e>
                  <m:e>
                    <m:r>
                      <w:rPr>
                        <w:rFonts w:ascii="Cambria Math" w:hAnsi="Cambria Math"/>
                      </w:rPr>
                      <m:t>;</m:t>
                    </m:r>
                  </m:e>
                  <m:e>
                    <m:r>
                      <w:rPr>
                        <w:rFonts w:ascii="Cambria Math" w:hAnsi="Cambria Math"/>
                      </w:rPr>
                      <m:t xml:space="preserve"> </m:t>
                    </m:r>
                  </m:e>
                  <m:e>
                    <m:r>
                      <w:rPr>
                        <w:rFonts w:ascii="Cambria Math" w:hAnsi="Cambria Math"/>
                      </w:rPr>
                      <m:t>10</m:t>
                    </m:r>
                  </m:e>
                  <m:e>
                    <m:r>
                      <w:rPr>
                        <w:rFonts w:ascii="Cambria Math" w:hAnsi="Cambria Math"/>
                      </w:rPr>
                      <m:t>ϕ</m:t>
                    </m:r>
                  </m:e>
                  <m:e>
                    <m:r>
                      <w:rPr>
                        <w:rFonts w:ascii="Cambria Math" w:hAnsi="Cambria Math"/>
                      </w:rPr>
                      <m:t>;</m:t>
                    </m:r>
                  </m:e>
                  <m:e>
                    <m:r>
                      <w:rPr>
                        <w:rFonts w:ascii="Cambria Math" w:hAnsi="Cambria Math"/>
                      </w:rPr>
                      <m:t xml:space="preserve"> </m:t>
                    </m:r>
                  </m:e>
                  <m:e>
                    <m:r>
                      <w:rPr>
                        <w:rFonts w:ascii="Cambria Math" w:hAnsi="Cambria Math"/>
                      </w:rPr>
                      <m:t>3,5</m:t>
                    </m:r>
                  </m:e>
                  <m:e>
                    <m:sSub>
                      <m:sSubPr>
                        <m:ctrlPr>
                          <w:rPr>
                            <w:rFonts w:ascii="Cambria Math" w:hAnsi="Cambria Math"/>
                          </w:rPr>
                        </m:ctrlPr>
                      </m:sSubPr>
                      <m:e>
                        <m:r>
                          <w:rPr>
                            <w:rFonts w:ascii="Cambria Math" w:hAnsi="Cambria Math"/>
                          </w:rPr>
                          <m:t>r</m:t>
                        </m:r>
                      </m:e>
                      <m:sub>
                        <m:r>
                          <m:rPr>
                            <m:sty m:val="p"/>
                          </m:rPr>
                          <w:rPr>
                            <w:rFonts w:ascii="Cambria Math" w:hAnsi="Cambria Math"/>
                          </w:rPr>
                          <m:t>y</m:t>
                        </m:r>
                      </m:sub>
                    </m:sSub>
                  </m:e>
                </m:d>
                <m: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y</m:t>
                    </m:r>
                  </m:sub>
                </m:sSub>
                <m:r>
                  <w:rPr>
                    <w:rFonts w:ascii="Cambria Math" w:hAnsi="Cambria Math"/>
                  </w:rPr>
                  <m:t>≤</m:t>
                </m:r>
                <m:d>
                  <m:dPr>
                    <m:begChr m:val="|"/>
                    <m:sepChr m:val=""/>
                    <m:endChr m:val="|"/>
                    <m:ctrlPr>
                      <w:rPr>
                        <w:rFonts w:ascii="Cambria Math" w:hAnsi="Cambria Math"/>
                      </w:rPr>
                    </m:ctrlPr>
                  </m:dPr>
                  <m:e>
                    <m:r>
                      <w:rPr>
                        <w:rFonts w:ascii="Cambria Math" w:hAnsi="Cambria Math"/>
                      </w:rPr>
                      <m:t>h</m:t>
                    </m:r>
                  </m:e>
                  <m:e>
                    <m:r>
                      <w:rPr>
                        <w:rFonts w:ascii="Cambria Math" w:hAnsi="Cambria Math"/>
                      </w:rPr>
                      <m:t>-</m:t>
                    </m:r>
                  </m:e>
                  <m:e>
                    <m:r>
                      <w:rPr>
                        <w:rFonts w:ascii="Cambria Math" w:hAnsi="Cambria Math"/>
                      </w:rPr>
                      <m:t>x</m:t>
                    </m:r>
                  </m:e>
                </m:d>
              </m:oMath>
            </m:oMathPara>
          </w:p>
        </w:tc>
      </w:tr>
    </w:tbl>
    <w:p w14:paraId="336EB5C4" w14:textId="77777777" w:rsidR="00EF16CB" w:rsidRPr="009D3012" w:rsidRDefault="00EF16CB" w:rsidP="009D3012">
      <w:pPr>
        <w:pStyle w:val="KeyText"/>
      </w:pPr>
    </w:p>
    <w:tbl>
      <w:tblPr>
        <w:tblW w:w="9809" w:type="dxa"/>
        <w:tblLayout w:type="fixed"/>
        <w:tblCellMar>
          <w:left w:w="28" w:type="dxa"/>
          <w:right w:w="28" w:type="dxa"/>
        </w:tblCellMar>
        <w:tblLook w:val="0000" w:firstRow="0" w:lastRow="0" w:firstColumn="0" w:lastColumn="0" w:noHBand="0" w:noVBand="0"/>
      </w:tblPr>
      <w:tblGrid>
        <w:gridCol w:w="9809"/>
      </w:tblGrid>
      <w:tr w:rsidR="00272DA7" w:rsidRPr="001455DC" w14:paraId="5BFE29F1" w14:textId="77777777" w:rsidTr="00272DA7">
        <w:tc>
          <w:tcPr>
            <w:tcW w:w="9809" w:type="dxa"/>
            <w:shd w:val="clear" w:color="auto" w:fill="auto"/>
          </w:tcPr>
          <w:p w14:paraId="62A48138" w14:textId="6EB7DD37" w:rsidR="00272DA7" w:rsidRPr="001455DC" w:rsidRDefault="00231E33" w:rsidP="00272DA7">
            <w:pPr>
              <w:pStyle w:val="KeyText"/>
              <w:tabs>
                <w:tab w:val="clear" w:pos="346"/>
              </w:tabs>
              <w:ind w:left="0" w:firstLine="0"/>
            </w:pPr>
            <m:oMathPara>
              <m:oMathParaPr>
                <m:jc m:val="left"/>
              </m:oMathParaPr>
              <m:oMath>
                <m:sSub>
                  <m:sSubPr>
                    <m:ctrlPr>
                      <w:rPr>
                        <w:rFonts w:ascii="Cambria Math" w:hAnsi="Cambria Math"/>
                      </w:rPr>
                    </m:ctrlPr>
                  </m:sSubPr>
                  <m:e>
                    <m:r>
                      <w:rPr>
                        <w:rFonts w:ascii="Cambria Math" w:hAnsi="Cambria Math"/>
                      </w:rPr>
                      <m:t>h</m:t>
                    </m:r>
                  </m:e>
                  <m:sub>
                    <m:r>
                      <m:rPr>
                        <m:sty m:val="p"/>
                      </m:rPr>
                      <w:rPr>
                        <w:rFonts w:ascii="Cambria Math" w:hAnsi="Cambria Math"/>
                      </w:rPr>
                      <m:t>c,eff</m:t>
                    </m:r>
                  </m:sub>
                </m:sSub>
                <m:r>
                  <w:rPr>
                    <w:rFonts w:ascii="Cambria Math" w:hAnsi="Cambria Math"/>
                  </w:rPr>
                  <m:t>=</m:t>
                </m:r>
                <m:r>
                  <m:rPr>
                    <m:sty m:val="p"/>
                  </m:rPr>
                  <w:rPr>
                    <w:rFonts w:ascii="Cambria Math" w:hAnsi="Cambria Math"/>
                  </w:rPr>
                  <m:t>min</m:t>
                </m:r>
                <m:d>
                  <m:dPr>
                    <m:begChr m:val="{"/>
                    <m:sepChr m:val=""/>
                    <m:endChr m:val="}"/>
                    <m:ctrlPr>
                      <w:rPr>
                        <w:rFonts w:ascii="Cambria Math" w:hAnsi="Cambria Math"/>
                      </w:rPr>
                    </m:ctrlPr>
                  </m:dPr>
                  <m:e>
                    <m:r>
                      <w:rPr>
                        <w:rFonts w:ascii="Cambria Math" w:hAnsi="Cambria Math"/>
                      </w:rPr>
                      <m:t>a</m:t>
                    </m:r>
                  </m:e>
                  <m:e>
                    <m:r>
                      <w:rPr>
                        <w:rFonts w:ascii="Cambria Math" w:hAnsi="Cambria Math"/>
                      </w:rPr>
                      <m:t>+</m:t>
                    </m:r>
                  </m:e>
                  <m:e>
                    <m:r>
                      <w:rPr>
                        <w:rFonts w:ascii="Cambria Math" w:hAnsi="Cambria Math"/>
                      </w:rPr>
                      <m:t>5</m:t>
                    </m:r>
                  </m:e>
                  <m:e>
                    <m:r>
                      <w:rPr>
                        <w:rFonts w:ascii="Cambria Math" w:hAnsi="Cambria Math"/>
                      </w:rPr>
                      <m:t>ϕ</m:t>
                    </m:r>
                  </m:e>
                  <m:e>
                    <m:r>
                      <w:rPr>
                        <w:rFonts w:ascii="Cambria Math" w:hAnsi="Cambria Math"/>
                      </w:rPr>
                      <m:t>;</m:t>
                    </m:r>
                  </m:e>
                  <m:e>
                    <m:r>
                      <w:rPr>
                        <w:rFonts w:ascii="Cambria Math" w:hAnsi="Cambria Math"/>
                      </w:rPr>
                      <m:t xml:space="preserve"> </m:t>
                    </m:r>
                  </m:e>
                  <m:e>
                    <m:r>
                      <w:rPr>
                        <w:rFonts w:ascii="Cambria Math" w:hAnsi="Cambria Math"/>
                      </w:rPr>
                      <m:t>10</m:t>
                    </m:r>
                  </m:e>
                  <m:e>
                    <m:r>
                      <w:rPr>
                        <w:rFonts w:ascii="Cambria Math" w:hAnsi="Cambria Math"/>
                      </w:rPr>
                      <m:t>ϕ</m:t>
                    </m:r>
                  </m:e>
                  <m:e>
                    <m:r>
                      <w:rPr>
                        <w:rFonts w:ascii="Cambria Math" w:hAnsi="Cambria Math"/>
                      </w:rPr>
                      <m:t>;</m:t>
                    </m:r>
                  </m:e>
                  <m:e>
                    <m:r>
                      <w:rPr>
                        <w:rFonts w:ascii="Cambria Math" w:hAnsi="Cambria Math"/>
                      </w:rPr>
                      <m:t xml:space="preserve"> </m:t>
                    </m:r>
                  </m:e>
                  <m:e>
                    <m:r>
                      <w:rPr>
                        <w:rFonts w:ascii="Cambria Math" w:hAnsi="Cambria Math"/>
                      </w:rPr>
                      <m:t>3,5</m:t>
                    </m:r>
                  </m:e>
                  <m:e>
                    <m:r>
                      <w:rPr>
                        <w:rFonts w:ascii="Cambria Math" w:hAnsi="Cambria Math"/>
                      </w:rPr>
                      <m:t>a</m:t>
                    </m:r>
                  </m:e>
                </m:d>
              </m:oMath>
            </m:oMathPara>
          </w:p>
        </w:tc>
      </w:tr>
    </w:tbl>
    <w:p w14:paraId="0B4A067D" w14:textId="4BD2EEDA" w:rsidR="004E22C1" w:rsidRPr="001455DC" w:rsidRDefault="004E22C1" w:rsidP="00272DA7">
      <w:pPr>
        <w:pStyle w:val="Figuretitle"/>
      </w:pPr>
      <w:r w:rsidRPr="001455DC">
        <w:rPr>
          <w:rFonts w:eastAsiaTheme="minorHAnsi"/>
        </w:rPr>
        <w:t>Figure </w:t>
      </w:r>
      <w:r w:rsidRPr="001455DC">
        <w:t>9.1 — Effective tension area</w:t>
      </w:r>
      <w:r w:rsidR="008D1B54" w:rsidRPr="009D3012">
        <w:rPr>
          <w:bCs/>
        </w:rPr>
        <w:t xml:space="preserve"> - Members in bending with or without normal force (a) to c)) and Members in tension, with or without bending (d) to </w:t>
      </w:r>
      <w:r w:rsidR="008D1B54">
        <w:rPr>
          <w:bCs/>
        </w:rPr>
        <w:t>f</w:t>
      </w:r>
      <w:r w:rsidR="008D1B54" w:rsidRPr="009D3012">
        <w:rPr>
          <w:bCs/>
        </w:rPr>
        <w:t>))</w:t>
      </w:r>
    </w:p>
    <w:p w14:paraId="1E7D3680" w14:textId="44FCD560" w:rsidR="004E22C1" w:rsidRPr="001455DC" w:rsidRDefault="004E22C1" w:rsidP="00243590">
      <w:pPr>
        <w:pStyle w:val="31"/>
      </w:pPr>
      <w:bookmarkStart w:id="688" w:name="_Toc52820008"/>
      <w:bookmarkStart w:id="689" w:name="_Ref463536330"/>
      <w:bookmarkStart w:id="690" w:name="_Toc54337402"/>
      <w:bookmarkStart w:id="691" w:name="_Toc54338065"/>
      <w:bookmarkStart w:id="692" w:name="_Toc67565409"/>
      <w:r w:rsidRPr="001455DC">
        <w:t>Minimum reinforcement areas for crack control</w:t>
      </w:r>
      <w:bookmarkEnd w:id="688"/>
      <w:bookmarkEnd w:id="689"/>
      <w:bookmarkEnd w:id="690"/>
      <w:bookmarkEnd w:id="691"/>
      <w:bookmarkEnd w:id="692"/>
    </w:p>
    <w:p w14:paraId="44A08C44" w14:textId="56C0FD82" w:rsidR="004E22C1" w:rsidRPr="001455DC" w:rsidRDefault="004E22C1" w:rsidP="002951BB">
      <w:pPr>
        <w:pStyle w:val="a7"/>
        <w:rPr>
          <w:rFonts w:eastAsiaTheme="minorHAnsi"/>
        </w:rPr>
      </w:pPr>
      <w:r w:rsidRPr="001455DC">
        <w:t>(1)</w:t>
      </w:r>
      <w:r w:rsidRPr="001455DC">
        <w:tab/>
      </w:r>
      <w:bookmarkStart w:id="693" w:name="_Hlk514741704"/>
      <w:r w:rsidRPr="001455DC">
        <w:t>Crack width values and combination of actions according to Tables 9.1(NDP) and 9.2(NDP)</w:t>
      </w:r>
      <w:r w:rsidRPr="001455DC">
        <w:rPr>
          <w:rFonts w:eastAsiaTheme="minorHAnsi"/>
        </w:rPr>
        <w:t xml:space="preserve"> are appropriate.</w:t>
      </w:r>
      <w:bookmarkEnd w:id="693"/>
    </w:p>
    <w:p w14:paraId="5E31D648" w14:textId="77777777" w:rsidR="004E22C1" w:rsidRPr="001455DC" w:rsidRDefault="004E22C1" w:rsidP="002951BB">
      <w:pPr>
        <w:pStyle w:val="a7"/>
      </w:pPr>
      <w:r w:rsidRPr="001455DC">
        <w:t>(2)</w:t>
      </w:r>
      <w:r w:rsidRPr="001455DC">
        <w:tab/>
        <w:t xml:space="preserve">The required minimum area of reinforcement for crack control shall be calculated by applying the principle that the reinforcement, working at a target stress </w:t>
      </w:r>
      <w:r w:rsidRPr="001455DC">
        <w:rPr>
          <w:rStyle w:val="CCMCvariableitalic"/>
        </w:rPr>
        <w:t>σ</w:t>
      </w:r>
      <w:r w:rsidRPr="001455DC">
        <w:rPr>
          <w:rStyle w:val="CCMCvariablesubscript"/>
        </w:rPr>
        <w:t>s,lim</w:t>
      </w:r>
      <w:r w:rsidRPr="001455DC">
        <w:t xml:space="preserve">, should balance the moment that cracks the section acting together with the relevant axial force </w:t>
      </w:r>
      <w:r w:rsidRPr="001455DC">
        <w:rPr>
          <w:rStyle w:val="CCMCvariableitalic"/>
        </w:rPr>
        <w:t>N</w:t>
      </w:r>
      <w:r w:rsidRPr="001455DC">
        <w:rPr>
          <w:rStyle w:val="CCMCvariablesubscript"/>
        </w:rPr>
        <w:t>Ed</w:t>
      </w:r>
      <w:r w:rsidRPr="001455DC">
        <w:t>.</w:t>
      </w:r>
    </w:p>
    <w:p w14:paraId="38F6703B" w14:textId="77777777" w:rsidR="004E22C1" w:rsidRPr="001455DC" w:rsidRDefault="004E22C1" w:rsidP="00272DA7">
      <w:pPr>
        <w:pStyle w:val="a7"/>
      </w:pPr>
      <w:r w:rsidRPr="001455DC">
        <w:t>(3)</w:t>
      </w:r>
      <w:r w:rsidRPr="001455DC">
        <w:tab/>
        <w:t>Unless a more refined calculation shows lesser areas to be adequate, the required minimum areas of reinforcement may be calculated as follows. In profiled cross sections like T-beams and box girders, minimum reinforcement should be determined for the individual parts of the section (webs, flanges). The reinforcement necessary in the part of the cross section under consideration may be determined by Formulae (9.2), (9.3) or (9.4), as appropriate.</w:t>
      </w:r>
    </w:p>
    <w:p w14:paraId="2208DAB0" w14:textId="77777777" w:rsidR="00D160AE" w:rsidRPr="001455DC" w:rsidRDefault="004E22C1" w:rsidP="00E844D2">
      <w:pPr>
        <w:pStyle w:val="a7"/>
        <w:keepNext/>
      </w:pPr>
      <w:r w:rsidRPr="001455DC">
        <w:rPr>
          <w:rFonts w:eastAsiaTheme="minorHAnsi"/>
        </w:rPr>
        <w:t>(i)</w:t>
      </w:r>
      <w:r w:rsidRPr="001455DC">
        <w:rPr>
          <w:rFonts w:eastAsiaTheme="minorHAnsi"/>
        </w:rPr>
        <w:tab/>
        <w:t>For pure bending:</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D160AE" w:rsidRPr="001455DC" w14:paraId="49524A6B" w14:textId="77777777" w:rsidTr="006724C7">
        <w:trPr>
          <w:cantSplit/>
        </w:trPr>
        <w:tc>
          <w:tcPr>
            <w:tcW w:w="8505" w:type="dxa"/>
            <w:vAlign w:val="center"/>
          </w:tcPr>
          <w:p w14:paraId="48BA4E1B" w14:textId="67F4C1F5" w:rsidR="00D160AE" w:rsidRPr="001455DC" w:rsidRDefault="00231E33" w:rsidP="006724C7">
            <w:pPr>
              <w:pStyle w:val="Formula"/>
              <w:jc w:val="left"/>
            </w:pPr>
            <m:oMathPara>
              <m:oMathParaPr>
                <m:jc m:val="left"/>
              </m:oMathParaPr>
              <m:oMath>
                <m:eqArr>
                  <m:eqArrPr>
                    <m:ctrlPr>
                      <w:rPr>
                        <w:rFonts w:ascii="Cambria Math" w:hAnsi="Cambria Math"/>
                      </w:rPr>
                    </m:ctrlPr>
                  </m:eqArrPr>
                  <m:e>
                    <m:sSub>
                      <m:sSubPr>
                        <m:ctrlPr>
                          <w:rPr>
                            <w:rFonts w:ascii="Cambria Math" w:hAnsi="Cambria Math"/>
                          </w:rPr>
                        </m:ctrlPr>
                      </m:sSubPr>
                      <m:e>
                        <m:r>
                          <w:rPr>
                            <w:rFonts w:ascii="Cambria Math" w:hAnsi="Cambria Math"/>
                          </w:rPr>
                          <m:t>A</m:t>
                        </m:r>
                      </m:e>
                      <m:sub>
                        <m:r>
                          <m:rPr>
                            <m:sty m:val="p"/>
                          </m:rPr>
                          <w:rPr>
                            <w:rFonts w:ascii="Cambria Math" w:hAnsi="Cambria Math"/>
                          </w:rPr>
                          <m:t>s,min,w1</m:t>
                        </m:r>
                      </m:sub>
                    </m:sSub>
                    <m:r>
                      <w:rPr>
                        <w:rFonts w:ascii="Cambria Math" w:hAnsi="Cambria Math"/>
                      </w:rPr>
                      <m:t>=</m:t>
                    </m:r>
                    <m:f>
                      <m:fPr>
                        <m:ctrlPr>
                          <w:rPr>
                            <w:rFonts w:ascii="Cambria Math" w:hAnsi="Cambria Math"/>
                          </w:rPr>
                        </m:ctrlPr>
                      </m:fPr>
                      <m:num>
                        <m:r>
                          <w:rPr>
                            <w:rFonts w:ascii="Cambria Math" w:hAnsi="Cambria Math"/>
                          </w:rPr>
                          <m:t>0,8</m:t>
                        </m:r>
                        <m:f>
                          <m:fPr>
                            <m:ctrlPr>
                              <w:rPr>
                                <w:rFonts w:ascii="Cambria Math" w:hAnsi="Cambria Math"/>
                              </w:rPr>
                            </m:ctrlPr>
                          </m:fPr>
                          <m:num>
                            <m:r>
                              <w:rPr>
                                <w:rFonts w:ascii="Cambria Math" w:hAnsi="Cambria Math"/>
                              </w:rPr>
                              <m:t>h-</m:t>
                            </m:r>
                            <m:sSub>
                              <m:sSubPr>
                                <m:ctrlPr>
                                  <w:rPr>
                                    <w:rFonts w:ascii="Cambria Math" w:hAnsi="Cambria Math"/>
                                  </w:rPr>
                                </m:ctrlPr>
                              </m:sSubPr>
                              <m:e>
                                <m:r>
                                  <w:rPr>
                                    <w:rFonts w:ascii="Cambria Math" w:hAnsi="Cambria Math"/>
                                  </w:rPr>
                                  <m:t>h</m:t>
                                </m:r>
                              </m:e>
                              <m:sub>
                                <m:r>
                                  <m:rPr>
                                    <m:sty m:val="p"/>
                                  </m:rPr>
                                  <w:rPr>
                                    <w:rFonts w:ascii="Cambria Math" w:hAnsi="Cambria Math"/>
                                  </w:rPr>
                                  <m:t>c,eff</m:t>
                                </m:r>
                              </m:sub>
                            </m:sSub>
                          </m:num>
                          <m:den>
                            <m:r>
                              <w:rPr>
                                <w:rFonts w:ascii="Cambria Math" w:hAnsi="Cambria Math"/>
                              </w:rPr>
                              <m:t>h</m:t>
                            </m:r>
                          </m:den>
                        </m:f>
                        <m:sSub>
                          <m:sSubPr>
                            <m:ctrlPr>
                              <w:rPr>
                                <w:rFonts w:ascii="Cambria Math" w:hAnsi="Cambria Math"/>
                              </w:rPr>
                            </m:ctrlPr>
                          </m:sSubPr>
                          <m:e>
                            <m:r>
                              <w:rPr>
                                <w:rFonts w:ascii="Cambria Math" w:hAnsi="Cambria Math"/>
                              </w:rPr>
                              <m:t>f</m:t>
                            </m:r>
                          </m:e>
                          <m:sub>
                            <m:r>
                              <m:rPr>
                                <m:sty m:val="p"/>
                              </m:rPr>
                              <w:rPr>
                                <w:rFonts w:ascii="Cambria Math" w:hAnsi="Cambria Math"/>
                              </w:rPr>
                              <m:t>ct,eff</m:t>
                            </m:r>
                          </m:sub>
                        </m:sSub>
                        <m:sSub>
                          <m:sSubPr>
                            <m:ctrlPr>
                              <w:rPr>
                                <w:rFonts w:ascii="Cambria Math" w:hAnsi="Cambria Math"/>
                              </w:rPr>
                            </m:ctrlPr>
                          </m:sSubPr>
                          <m:e>
                            <m:r>
                              <w:rPr>
                                <w:rFonts w:ascii="Cambria Math" w:hAnsi="Cambria Math"/>
                              </w:rPr>
                              <m:t>A</m:t>
                            </m:r>
                          </m:e>
                          <m:sub>
                            <m:r>
                              <m:rPr>
                                <m:sty m:val="p"/>
                              </m:rPr>
                              <w:rPr>
                                <w:rFonts w:ascii="Cambria Math" w:hAnsi="Cambria Math"/>
                              </w:rPr>
                              <m:t>c,eff</m:t>
                            </m:r>
                          </m:sub>
                        </m:sSub>
                      </m:num>
                      <m:den>
                        <m:sSub>
                          <m:sSubPr>
                            <m:ctrlPr>
                              <w:rPr>
                                <w:rFonts w:ascii="Cambria Math" w:hAnsi="Cambria Math"/>
                              </w:rPr>
                            </m:ctrlPr>
                          </m:sSubPr>
                          <m:e>
                            <m:r>
                              <w:rPr>
                                <w:rFonts w:ascii="Cambria Math" w:hAnsi="Cambria Math"/>
                              </w:rPr>
                              <m:t>σ</m:t>
                            </m:r>
                          </m:e>
                          <m:sub>
                            <m:r>
                              <m:rPr>
                                <m:sty m:val="p"/>
                              </m:rPr>
                              <w:rPr>
                                <w:rFonts w:ascii="Cambria Math" w:hAnsi="Cambria Math"/>
                              </w:rPr>
                              <m:t>s,lim</m:t>
                            </m:r>
                          </m:sub>
                        </m:sSub>
                      </m:den>
                    </m:f>
                    <m:r>
                      <w:rPr>
                        <w:rFonts w:ascii="Cambria Math" w:hAnsi="Cambria Math"/>
                      </w:rPr>
                      <m:t>≥</m:t>
                    </m:r>
                    <m:f>
                      <m:fPr>
                        <m:ctrlPr>
                          <w:rPr>
                            <w:rFonts w:ascii="Cambria Math" w:hAnsi="Cambria Math"/>
                          </w:rPr>
                        </m:ctrlPr>
                      </m:fPr>
                      <m:num>
                        <m:r>
                          <w:rPr>
                            <w:rFonts w:ascii="Cambria Math" w:hAnsi="Cambria Math"/>
                          </w:rPr>
                          <m:t>0,2</m:t>
                        </m:r>
                        <m:sSub>
                          <m:sSubPr>
                            <m:ctrlPr>
                              <w:rPr>
                                <w:rFonts w:ascii="Cambria Math" w:hAnsi="Cambria Math"/>
                              </w:rPr>
                            </m:ctrlPr>
                          </m:sSubPr>
                          <m:e>
                            <m:r>
                              <w:rPr>
                                <w:rFonts w:ascii="Cambria Math" w:hAnsi="Cambria Math"/>
                              </w:rPr>
                              <m:t>k</m:t>
                            </m:r>
                          </m:e>
                          <m:sub>
                            <m:r>
                              <m:rPr>
                                <m:sty m:val="p"/>
                              </m:rPr>
                              <w:rPr>
                                <w:rFonts w:ascii="Cambria Math" w:hAnsi="Cambria Math"/>
                              </w:rPr>
                              <m:t>h</m:t>
                            </m:r>
                          </m:sub>
                        </m:sSub>
                        <m:sSub>
                          <m:sSubPr>
                            <m:ctrlPr>
                              <w:rPr>
                                <w:rFonts w:ascii="Cambria Math" w:hAnsi="Cambria Math"/>
                              </w:rPr>
                            </m:ctrlPr>
                          </m:sSubPr>
                          <m:e>
                            <m:r>
                              <w:rPr>
                                <w:rFonts w:ascii="Cambria Math" w:hAnsi="Cambria Math"/>
                              </w:rPr>
                              <m:t>f</m:t>
                            </m:r>
                          </m:e>
                          <m:sub>
                            <m:r>
                              <m:rPr>
                                <m:sty m:val="p"/>
                              </m:rPr>
                              <w:rPr>
                                <w:rFonts w:ascii="Cambria Math" w:hAnsi="Cambria Math"/>
                              </w:rPr>
                              <m:t>ct,eff</m:t>
                            </m:r>
                          </m:sub>
                        </m:sSub>
                        <m:sSub>
                          <m:sSubPr>
                            <m:ctrlPr>
                              <w:rPr>
                                <w:rFonts w:ascii="Cambria Math" w:hAnsi="Cambria Math"/>
                              </w:rPr>
                            </m:ctrlPr>
                          </m:sSubPr>
                          <m:e>
                            <m:r>
                              <w:rPr>
                                <w:rFonts w:ascii="Cambria Math" w:hAnsi="Cambria Math"/>
                              </w:rPr>
                              <m:t>A</m:t>
                            </m:r>
                          </m:e>
                          <m:sub>
                            <m:r>
                              <m:rPr>
                                <m:sty m:val="p"/>
                              </m:rPr>
                              <w:rPr>
                                <w:rFonts w:ascii="Cambria Math" w:hAnsi="Cambria Math"/>
                              </w:rPr>
                              <m:t>c</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yk</m:t>
                            </m:r>
                          </m:sub>
                        </m:sSub>
                      </m:den>
                    </m:f>
                  </m:e>
                  <m:e>
                    <m:sSub>
                      <m:sSubPr>
                        <m:ctrlPr>
                          <w:rPr>
                            <w:rFonts w:ascii="Cambria Math" w:hAnsi="Cambria Math"/>
                          </w:rPr>
                        </m:ctrlPr>
                      </m:sSubPr>
                      <m:e>
                        <m:r>
                          <w:rPr>
                            <w:rFonts w:ascii="Cambria Math" w:hAnsi="Cambria Math"/>
                          </w:rPr>
                          <m:t>A</m:t>
                        </m:r>
                      </m:e>
                      <m:sub>
                        <m:r>
                          <m:rPr>
                            <m:sty m:val="p"/>
                          </m:rPr>
                          <w:rPr>
                            <w:rFonts w:ascii="Cambria Math" w:hAnsi="Cambria Math"/>
                          </w:rPr>
                          <m:t>s,min,w2</m:t>
                        </m:r>
                      </m:sub>
                    </m:sSub>
                    <m:r>
                      <w:rPr>
                        <w:rFonts w:ascii="Cambria Math" w:hAnsi="Cambria Math"/>
                      </w:rPr>
                      <m:t>=0</m:t>
                    </m:r>
                  </m:e>
                </m:eqArr>
              </m:oMath>
            </m:oMathPara>
          </w:p>
        </w:tc>
        <w:tc>
          <w:tcPr>
            <w:tcW w:w="1247" w:type="dxa"/>
            <w:vAlign w:val="center"/>
          </w:tcPr>
          <w:p w14:paraId="2E53362E" w14:textId="55A24A18" w:rsidR="00D160AE" w:rsidRPr="001455DC" w:rsidRDefault="00D160AE" w:rsidP="006724C7">
            <w:pPr>
              <w:pStyle w:val="a7"/>
              <w:jc w:val="right"/>
            </w:pPr>
            <w:bookmarkStart w:id="694" w:name="_Ref496445029"/>
            <w:r w:rsidRPr="001455DC">
              <w:t>(9.2)</w:t>
            </w:r>
            <w:bookmarkEnd w:id="694"/>
          </w:p>
        </w:tc>
      </w:tr>
    </w:tbl>
    <w:p w14:paraId="5322320D" w14:textId="77777777" w:rsidR="00D160AE" w:rsidRPr="001455DC" w:rsidRDefault="004E22C1" w:rsidP="00E844D2">
      <w:pPr>
        <w:pStyle w:val="a7"/>
        <w:keepNext/>
      </w:pPr>
      <w:r w:rsidRPr="001455DC">
        <w:rPr>
          <w:rFonts w:eastAsiaTheme="minorHAnsi"/>
        </w:rPr>
        <w:t>(ii)</w:t>
      </w:r>
      <w:r w:rsidRPr="001455DC">
        <w:rPr>
          <w:rFonts w:eastAsiaTheme="minorHAnsi"/>
        </w:rPr>
        <w:tab/>
        <w:t>For pure tension:</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D160AE" w:rsidRPr="001455DC" w14:paraId="71FCE156" w14:textId="77777777" w:rsidTr="006724C7">
        <w:trPr>
          <w:cantSplit/>
        </w:trPr>
        <w:tc>
          <w:tcPr>
            <w:tcW w:w="8505" w:type="dxa"/>
            <w:vAlign w:val="center"/>
          </w:tcPr>
          <w:p w14:paraId="61E6F01E" w14:textId="1E28E6E4" w:rsidR="00D160AE" w:rsidRPr="001455DC" w:rsidRDefault="00231E33" w:rsidP="006724C7">
            <w:pPr>
              <w:pStyle w:val="Formula"/>
              <w:jc w:val="left"/>
            </w:pPr>
            <m:oMathPara>
              <m:oMathParaPr>
                <m:jc m:val="left"/>
              </m:oMathParaPr>
              <m:oMath>
                <m:sSub>
                  <m:sSubPr>
                    <m:ctrlPr>
                      <w:rPr>
                        <w:rFonts w:ascii="Cambria Math" w:hAnsi="Cambria Math"/>
                      </w:rPr>
                    </m:ctrlPr>
                  </m:sSubPr>
                  <m:e>
                    <m:r>
                      <w:rPr>
                        <w:rFonts w:ascii="Cambria Math" w:hAnsi="Cambria Math"/>
                      </w:rPr>
                      <m:t>A</m:t>
                    </m:r>
                  </m:e>
                  <m:sub>
                    <m:r>
                      <m:rPr>
                        <m:sty m:val="p"/>
                      </m:rPr>
                      <w:rPr>
                        <w:rFonts w:ascii="Cambria Math" w:hAnsi="Cambria Math"/>
                      </w:rPr>
                      <m:t>s,min,w1</m:t>
                    </m:r>
                  </m:sub>
                </m:sSub>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s,min,w2</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ct,eff</m:t>
                        </m:r>
                      </m:sub>
                    </m:sSub>
                    <m:sSub>
                      <m:sSubPr>
                        <m:ctrlPr>
                          <w:rPr>
                            <w:rFonts w:ascii="Cambria Math" w:hAnsi="Cambria Math"/>
                          </w:rPr>
                        </m:ctrlPr>
                      </m:sSubPr>
                      <m:e>
                        <m:r>
                          <w:rPr>
                            <w:rFonts w:ascii="Cambria Math" w:hAnsi="Cambria Math"/>
                          </w:rPr>
                          <m:t>A</m:t>
                        </m:r>
                      </m:e>
                      <m:sub>
                        <m:r>
                          <m:rPr>
                            <m:sty m:val="p"/>
                          </m:rPr>
                          <w:rPr>
                            <w:rFonts w:ascii="Cambria Math" w:hAnsi="Cambria Math"/>
                          </w:rPr>
                          <m:t>c,eff</m:t>
                        </m:r>
                      </m:sub>
                    </m:sSub>
                  </m:num>
                  <m:den>
                    <m:sSub>
                      <m:sSubPr>
                        <m:ctrlPr>
                          <w:rPr>
                            <w:rFonts w:ascii="Cambria Math" w:hAnsi="Cambria Math"/>
                          </w:rPr>
                        </m:ctrlPr>
                      </m:sSubPr>
                      <m:e>
                        <m:r>
                          <w:rPr>
                            <w:rFonts w:ascii="Cambria Math" w:hAnsi="Cambria Math"/>
                          </w:rPr>
                          <m:t>σ</m:t>
                        </m:r>
                      </m:e>
                      <m:sub>
                        <m:r>
                          <m:rPr>
                            <m:sty m:val="p"/>
                          </m:rPr>
                          <w:rPr>
                            <w:rFonts w:ascii="Cambria Math" w:hAnsi="Cambria Math"/>
                          </w:rPr>
                          <m:t>s,lim</m:t>
                        </m:r>
                      </m:sub>
                    </m:sSub>
                  </m:den>
                </m:f>
                <m:r>
                  <w:rPr>
                    <w:rFonts w:ascii="Cambria Math" w:hAnsi="Cambria Math"/>
                  </w:rPr>
                  <m:t>≥</m:t>
                </m:r>
                <m:f>
                  <m:fPr>
                    <m:ctrlPr>
                      <w:rPr>
                        <w:rFonts w:ascii="Cambria Math" w:hAnsi="Cambria Math"/>
                      </w:rPr>
                    </m:ctrlPr>
                  </m:fPr>
                  <m:num>
                    <m:r>
                      <w:rPr>
                        <w:rFonts w:ascii="Cambria Math" w:hAnsi="Cambria Math"/>
                      </w:rPr>
                      <m:t>0,5</m:t>
                    </m:r>
                    <m:sSub>
                      <m:sSubPr>
                        <m:ctrlPr>
                          <w:rPr>
                            <w:rFonts w:ascii="Cambria Math" w:hAnsi="Cambria Math"/>
                          </w:rPr>
                        </m:ctrlPr>
                      </m:sSubPr>
                      <m:e>
                        <m:r>
                          <w:rPr>
                            <w:rFonts w:ascii="Cambria Math" w:hAnsi="Cambria Math"/>
                          </w:rPr>
                          <m:t>k</m:t>
                        </m:r>
                      </m:e>
                      <m:sub>
                        <m:r>
                          <m:rPr>
                            <m:sty m:val="p"/>
                          </m:rPr>
                          <w:rPr>
                            <w:rFonts w:ascii="Cambria Math" w:hAnsi="Cambria Math"/>
                          </w:rPr>
                          <m:t>h</m:t>
                        </m:r>
                      </m:sub>
                    </m:sSub>
                    <m:sSub>
                      <m:sSubPr>
                        <m:ctrlPr>
                          <w:rPr>
                            <w:rFonts w:ascii="Cambria Math" w:hAnsi="Cambria Math"/>
                          </w:rPr>
                        </m:ctrlPr>
                      </m:sSubPr>
                      <m:e>
                        <m:r>
                          <w:rPr>
                            <w:rFonts w:ascii="Cambria Math" w:hAnsi="Cambria Math"/>
                          </w:rPr>
                          <m:t>f</m:t>
                        </m:r>
                      </m:e>
                      <m:sub>
                        <m:r>
                          <m:rPr>
                            <m:sty m:val="p"/>
                          </m:rPr>
                          <w:rPr>
                            <w:rFonts w:ascii="Cambria Math" w:hAnsi="Cambria Math"/>
                          </w:rPr>
                          <m:t>ct,eff</m:t>
                        </m:r>
                      </m:sub>
                    </m:sSub>
                    <m:sSub>
                      <m:sSubPr>
                        <m:ctrlPr>
                          <w:rPr>
                            <w:rFonts w:ascii="Cambria Math" w:hAnsi="Cambria Math"/>
                          </w:rPr>
                        </m:ctrlPr>
                      </m:sSubPr>
                      <m:e>
                        <m:r>
                          <w:rPr>
                            <w:rFonts w:ascii="Cambria Math" w:hAnsi="Cambria Math"/>
                          </w:rPr>
                          <m:t>A</m:t>
                        </m:r>
                      </m:e>
                      <m:sub>
                        <m:r>
                          <m:rPr>
                            <m:sty m:val="p"/>
                          </m:rPr>
                          <w:rPr>
                            <w:rFonts w:ascii="Cambria Math" w:hAnsi="Cambria Math"/>
                          </w:rPr>
                          <m:t>c</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yk</m:t>
                        </m:r>
                      </m:sub>
                    </m:sSub>
                  </m:den>
                </m:f>
              </m:oMath>
            </m:oMathPara>
          </w:p>
        </w:tc>
        <w:tc>
          <w:tcPr>
            <w:tcW w:w="1247" w:type="dxa"/>
            <w:vAlign w:val="center"/>
          </w:tcPr>
          <w:p w14:paraId="73968F1B" w14:textId="485A0A12" w:rsidR="00D160AE" w:rsidRPr="001455DC" w:rsidRDefault="00D160AE" w:rsidP="006724C7">
            <w:pPr>
              <w:pStyle w:val="a7"/>
              <w:jc w:val="right"/>
            </w:pPr>
            <w:r w:rsidRPr="001455DC">
              <w:t>(9.3)</w:t>
            </w:r>
          </w:p>
        </w:tc>
      </w:tr>
    </w:tbl>
    <w:p w14:paraId="795A0E22" w14:textId="77777777" w:rsidR="00D160AE" w:rsidRPr="001455DC" w:rsidRDefault="004E22C1" w:rsidP="00E844D2">
      <w:pPr>
        <w:pStyle w:val="a7"/>
        <w:keepNext/>
      </w:pPr>
      <w:r w:rsidRPr="001455DC">
        <w:rPr>
          <w:rFonts w:eastAsiaTheme="minorHAnsi"/>
        </w:rPr>
        <w:t>(iii)</w:t>
      </w:r>
      <w:r w:rsidRPr="001455DC">
        <w:rPr>
          <w:rFonts w:eastAsiaTheme="minorHAnsi"/>
        </w:rPr>
        <w:tab/>
        <w:t>For a combination of bending and axial force:</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D160AE" w:rsidRPr="001455DC" w14:paraId="495B5E42" w14:textId="77777777" w:rsidTr="006724C7">
        <w:trPr>
          <w:cantSplit/>
        </w:trPr>
        <w:tc>
          <w:tcPr>
            <w:tcW w:w="8505" w:type="dxa"/>
            <w:vAlign w:val="center"/>
          </w:tcPr>
          <w:p w14:paraId="0EDD1CB9" w14:textId="6E2CCF88" w:rsidR="00D160AE" w:rsidRPr="001455DC" w:rsidRDefault="00231E33" w:rsidP="006724C7">
            <w:pPr>
              <w:pStyle w:val="Formula"/>
              <w:jc w:val="left"/>
            </w:pPr>
            <m:oMathPara>
              <m:oMathParaPr>
                <m:jc m:val="left"/>
              </m:oMathParaPr>
              <m:oMath>
                <m:sSub>
                  <m:sSubPr>
                    <m:ctrlPr>
                      <w:rPr>
                        <w:rFonts w:ascii="Cambria Math" w:hAnsi="Cambria Math"/>
                      </w:rPr>
                    </m:ctrlPr>
                  </m:sSubPr>
                  <m:e>
                    <m:r>
                      <w:rPr>
                        <w:rFonts w:ascii="Cambria Math" w:hAnsi="Cambria Math"/>
                      </w:rPr>
                      <m:t>A</m:t>
                    </m:r>
                  </m:e>
                  <m:sub>
                    <m:r>
                      <m:rPr>
                        <m:sty m:val="p"/>
                      </m:rPr>
                      <w:rPr>
                        <w:rFonts w:ascii="Cambria Math" w:hAnsi="Cambria Math"/>
                      </w:rPr>
                      <m:t>s,min,w</m:t>
                    </m:r>
                    <m:r>
                      <w:rPr>
                        <w:rFonts w:ascii="Cambria Math" w:hAnsi="Cambria Math"/>
                      </w:rPr>
                      <m:t>1</m:t>
                    </m:r>
                  </m:sub>
                </m:sSub>
                <m:r>
                  <w:rPr>
                    <w:rFonts w:ascii="Cambria Math" w:hAnsi="Cambria Math"/>
                  </w:rPr>
                  <m:t>=</m:t>
                </m:r>
                <m:f>
                  <m:fPr>
                    <m:ctrlPr>
                      <w:rPr>
                        <w:rFonts w:ascii="Cambria Math" w:hAnsi="Cambria Math"/>
                      </w:rPr>
                    </m:ctrlPr>
                  </m:fPr>
                  <m:num>
                    <m:r>
                      <w:rPr>
                        <w:rFonts w:ascii="Cambria Math" w:hAnsi="Cambria Math"/>
                      </w:rPr>
                      <m:t>0,3</m:t>
                    </m:r>
                    <m:sSub>
                      <m:sSubPr>
                        <m:ctrlPr>
                          <w:rPr>
                            <w:rFonts w:ascii="Cambria Math" w:hAnsi="Cambria Math"/>
                            <w:i/>
                          </w:rPr>
                        </m:ctrlPr>
                      </m:sSubPr>
                      <m:e>
                        <m:r>
                          <w:rPr>
                            <w:rFonts w:ascii="Cambria Math" w:hAnsi="Cambria Math"/>
                          </w:rPr>
                          <m:t>N</m:t>
                        </m:r>
                      </m:e>
                      <m:sub>
                        <m:r>
                          <m:rPr>
                            <m:sty m:val="p"/>
                          </m:rPr>
                          <w:rPr>
                            <w:rFonts w:ascii="Cambria Math" w:hAnsi="Cambria Math"/>
                          </w:rPr>
                          <m:t>Ed</m:t>
                        </m:r>
                      </m:sub>
                    </m:sSub>
                    <m:r>
                      <w:rPr>
                        <w:rFonts w:ascii="Cambria Math" w:hAnsi="Cambria Math"/>
                      </w:rPr>
                      <m:t>+0,8</m:t>
                    </m:r>
                    <m:f>
                      <m:fPr>
                        <m:ctrlPr>
                          <w:rPr>
                            <w:rFonts w:ascii="Cambria Math" w:hAnsi="Cambria Math"/>
                          </w:rPr>
                        </m:ctrlPr>
                      </m:fPr>
                      <m:num>
                        <m:r>
                          <w:rPr>
                            <w:rFonts w:ascii="Cambria Math" w:hAnsi="Cambria Math"/>
                          </w:rPr>
                          <m:t>h-</m:t>
                        </m:r>
                        <m:sSub>
                          <m:sSubPr>
                            <m:ctrlPr>
                              <w:rPr>
                                <w:rFonts w:ascii="Cambria Math" w:hAnsi="Cambria Math"/>
                              </w:rPr>
                            </m:ctrlPr>
                          </m:sSubPr>
                          <m:e>
                            <m:r>
                              <w:rPr>
                                <w:rFonts w:ascii="Cambria Math" w:hAnsi="Cambria Math"/>
                              </w:rPr>
                              <m:t>h</m:t>
                            </m:r>
                          </m:e>
                          <m:sub>
                            <m:r>
                              <m:rPr>
                                <m:sty m:val="p"/>
                              </m:rPr>
                              <w:rPr>
                                <w:rFonts w:ascii="Cambria Math" w:hAnsi="Cambria Math"/>
                              </w:rPr>
                              <m:t>c,eff</m:t>
                            </m:r>
                          </m:sub>
                        </m:sSub>
                      </m:num>
                      <m:den>
                        <m:r>
                          <w:rPr>
                            <w:rFonts w:ascii="Cambria Math" w:hAnsi="Cambria Math"/>
                          </w:rPr>
                          <m:t>h</m:t>
                        </m:r>
                      </m:den>
                    </m:f>
                    <m:sSub>
                      <m:sSubPr>
                        <m:ctrlPr>
                          <w:rPr>
                            <w:rFonts w:ascii="Cambria Math" w:hAnsi="Cambria Math"/>
                          </w:rPr>
                        </m:ctrlPr>
                      </m:sSubPr>
                      <m:e>
                        <m:r>
                          <w:rPr>
                            <w:rFonts w:ascii="Cambria Math" w:hAnsi="Cambria Math"/>
                          </w:rPr>
                          <m:t>f</m:t>
                        </m:r>
                      </m:e>
                      <m:sub>
                        <m:r>
                          <m:rPr>
                            <m:sty m:val="p"/>
                          </m:rPr>
                          <w:rPr>
                            <w:rFonts w:ascii="Cambria Math" w:hAnsi="Cambria Math"/>
                          </w:rPr>
                          <m:t>ct,eff</m:t>
                        </m:r>
                      </m:sub>
                    </m:sSub>
                    <m:sSub>
                      <m:sSubPr>
                        <m:ctrlPr>
                          <w:rPr>
                            <w:rFonts w:ascii="Cambria Math" w:hAnsi="Cambria Math"/>
                          </w:rPr>
                        </m:ctrlPr>
                      </m:sSubPr>
                      <m:e>
                        <m:r>
                          <w:rPr>
                            <w:rFonts w:ascii="Cambria Math" w:hAnsi="Cambria Math"/>
                          </w:rPr>
                          <m:t>A</m:t>
                        </m:r>
                      </m:e>
                      <m:sub>
                        <m:r>
                          <m:rPr>
                            <m:sty m:val="p"/>
                          </m:rPr>
                          <w:rPr>
                            <w:rFonts w:ascii="Cambria Math" w:hAnsi="Cambria Math"/>
                          </w:rPr>
                          <m:t>c,eff</m:t>
                        </m:r>
                      </m:sub>
                    </m:sSub>
                  </m:num>
                  <m:den>
                    <m:sSub>
                      <m:sSubPr>
                        <m:ctrlPr>
                          <w:rPr>
                            <w:rFonts w:ascii="Cambria Math" w:hAnsi="Cambria Math"/>
                          </w:rPr>
                        </m:ctrlPr>
                      </m:sSubPr>
                      <m:e>
                        <m:r>
                          <w:rPr>
                            <w:rFonts w:ascii="Cambria Math" w:hAnsi="Cambria Math"/>
                          </w:rPr>
                          <m:t>σ</m:t>
                        </m:r>
                      </m:e>
                      <m:sub>
                        <m:r>
                          <m:rPr>
                            <m:sty m:val="p"/>
                          </m:rPr>
                          <w:rPr>
                            <w:rFonts w:ascii="Cambria Math" w:hAnsi="Cambria Math"/>
                          </w:rPr>
                          <m:t>s,lim</m:t>
                        </m:r>
                      </m:sub>
                    </m:sSub>
                  </m:den>
                </m:f>
                <m:d>
                  <m:dPr>
                    <m:begChr m:val="{"/>
                    <m:endChr m:val=""/>
                    <m:ctrlPr>
                      <w:rPr>
                        <w:rFonts w:ascii="Cambria Math" w:hAnsi="Cambria Math"/>
                      </w:rPr>
                    </m:ctrlPr>
                  </m:dPr>
                  <m:e>
                    <m:eqArr>
                      <m:eqArrPr>
                        <m:ctrlPr>
                          <w:rPr>
                            <w:rFonts w:ascii="Cambria Math" w:hAnsi="Cambria Math"/>
                          </w:rPr>
                        </m:ctrlPr>
                      </m:eqArrPr>
                      <m:e>
                        <m:r>
                          <w:rPr>
                            <w:rFonts w:ascii="Cambria Math" w:hAnsi="Cambria Math"/>
                          </w:rPr>
                          <m:t>≥</m:t>
                        </m:r>
                        <m:f>
                          <m:fPr>
                            <m:ctrlPr>
                              <w:rPr>
                                <w:rFonts w:ascii="Cambria Math" w:hAnsi="Cambria Math"/>
                              </w:rPr>
                            </m:ctrlPr>
                          </m:fPr>
                          <m:num>
                            <m:r>
                              <w:rPr>
                                <w:rFonts w:ascii="Cambria Math" w:hAnsi="Cambria Math"/>
                              </w:rPr>
                              <m:t>0,3</m:t>
                            </m:r>
                            <m:sSub>
                              <m:sSubPr>
                                <m:ctrlPr>
                                  <w:rPr>
                                    <w:rFonts w:ascii="Cambria Math" w:hAnsi="Cambria Math"/>
                                  </w:rPr>
                                </m:ctrlPr>
                              </m:sSubPr>
                              <m:e>
                                <m:r>
                                  <w:rPr>
                                    <w:rFonts w:ascii="Cambria Math" w:hAnsi="Cambria Math"/>
                                  </w:rPr>
                                  <m:t>N</m:t>
                                </m:r>
                              </m:e>
                              <m:sub>
                                <m:r>
                                  <m:rPr>
                                    <m:sty m:val="p"/>
                                  </m:rPr>
                                  <w:rPr>
                                    <w:rFonts w:ascii="Cambria Math" w:hAnsi="Cambria Math"/>
                                  </w:rPr>
                                  <m:t>Ed</m:t>
                                </m:r>
                              </m:sub>
                            </m:sSub>
                            <m:r>
                              <w:rPr>
                                <w:rFonts w:ascii="Cambria Math" w:hAnsi="Cambria Math"/>
                              </w:rPr>
                              <m:t>+0,2</m:t>
                            </m:r>
                            <m:sSub>
                              <m:sSubPr>
                                <m:ctrlPr>
                                  <w:rPr>
                                    <w:rFonts w:ascii="Cambria Math" w:hAnsi="Cambria Math"/>
                                  </w:rPr>
                                </m:ctrlPr>
                              </m:sSubPr>
                              <m:e>
                                <m:r>
                                  <w:rPr>
                                    <w:rFonts w:ascii="Cambria Math" w:hAnsi="Cambria Math"/>
                                  </w:rPr>
                                  <m:t>k</m:t>
                                </m:r>
                              </m:e>
                              <m:sub>
                                <m:r>
                                  <m:rPr>
                                    <m:sty m:val="p"/>
                                  </m:rPr>
                                  <w:rPr>
                                    <w:rFonts w:ascii="Cambria Math" w:hAnsi="Cambria Math"/>
                                  </w:rPr>
                                  <m:t>h</m:t>
                                </m:r>
                              </m:sub>
                            </m:sSub>
                            <m:sSub>
                              <m:sSubPr>
                                <m:ctrlPr>
                                  <w:rPr>
                                    <w:rFonts w:ascii="Cambria Math" w:hAnsi="Cambria Math"/>
                                  </w:rPr>
                                </m:ctrlPr>
                              </m:sSubPr>
                              <m:e>
                                <m:r>
                                  <w:rPr>
                                    <w:rFonts w:ascii="Cambria Math" w:hAnsi="Cambria Math"/>
                                  </w:rPr>
                                  <m:t>f</m:t>
                                </m:r>
                              </m:e>
                              <m:sub>
                                <m:r>
                                  <m:rPr>
                                    <m:sty m:val="p"/>
                                  </m:rPr>
                                  <w:rPr>
                                    <w:rFonts w:ascii="Cambria Math" w:hAnsi="Cambria Math"/>
                                  </w:rPr>
                                  <m:t>ct,eff</m:t>
                                </m:r>
                              </m:sub>
                            </m:sSub>
                            <m:sSub>
                              <m:sSubPr>
                                <m:ctrlPr>
                                  <w:rPr>
                                    <w:rFonts w:ascii="Cambria Math" w:hAnsi="Cambria Math"/>
                                  </w:rPr>
                                </m:ctrlPr>
                              </m:sSubPr>
                              <m:e>
                                <m:r>
                                  <w:rPr>
                                    <w:rFonts w:ascii="Cambria Math" w:hAnsi="Cambria Math"/>
                                  </w:rPr>
                                  <m:t>A</m:t>
                                </m:r>
                              </m:e>
                              <m:sub>
                                <m:r>
                                  <m:rPr>
                                    <m:sty m:val="p"/>
                                  </m:rPr>
                                  <w:rPr>
                                    <w:rFonts w:ascii="Cambria Math" w:hAnsi="Cambria Math"/>
                                  </w:rPr>
                                  <m:t>c</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yk</m:t>
                                </m:r>
                              </m:sub>
                            </m:sSub>
                          </m:den>
                        </m:f>
                      </m:e>
                      <m:e>
                        <m:r>
                          <w:rPr>
                            <w:rFonts w:ascii="Cambria Math" w:hAnsi="Cambria Math"/>
                          </w:rPr>
                          <m:t>≥0</m:t>
                        </m:r>
                      </m:e>
                      <m:e>
                        <m:r>
                          <w:rPr>
                            <w:rFonts w:ascii="Cambria Math" w:hAnsi="Cambria Math"/>
                          </w:rPr>
                          <m:t>≤max</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ct,eff</m:t>
                                    </m:r>
                                  </m:sub>
                                </m:sSub>
                                <m:sSub>
                                  <m:sSubPr>
                                    <m:ctrlPr>
                                      <w:rPr>
                                        <w:rFonts w:ascii="Cambria Math" w:hAnsi="Cambria Math"/>
                                      </w:rPr>
                                    </m:ctrlPr>
                                  </m:sSubPr>
                                  <m:e>
                                    <m:r>
                                      <w:rPr>
                                        <w:rFonts w:ascii="Cambria Math" w:hAnsi="Cambria Math"/>
                                      </w:rPr>
                                      <m:t>A</m:t>
                                    </m:r>
                                  </m:e>
                                  <m:sub>
                                    <m:r>
                                      <m:rPr>
                                        <m:sty m:val="p"/>
                                      </m:rPr>
                                      <w:rPr>
                                        <w:rFonts w:ascii="Cambria Math" w:hAnsi="Cambria Math"/>
                                      </w:rPr>
                                      <m:t>c,eff</m:t>
                                    </m:r>
                                  </m:sub>
                                </m:sSub>
                              </m:num>
                              <m:den>
                                <m:sSub>
                                  <m:sSubPr>
                                    <m:ctrlPr>
                                      <w:rPr>
                                        <w:rFonts w:ascii="Cambria Math" w:hAnsi="Cambria Math"/>
                                      </w:rPr>
                                    </m:ctrlPr>
                                  </m:sSubPr>
                                  <m:e>
                                    <m:r>
                                      <w:rPr>
                                        <w:rFonts w:ascii="Cambria Math" w:hAnsi="Cambria Math"/>
                                      </w:rPr>
                                      <m:t>σ</m:t>
                                    </m:r>
                                  </m:e>
                                  <m:sub>
                                    <m:r>
                                      <m:rPr>
                                        <m:sty m:val="p"/>
                                      </m:rPr>
                                      <w:rPr>
                                        <w:rFonts w:ascii="Cambria Math" w:hAnsi="Cambria Math"/>
                                      </w:rPr>
                                      <m:t>s,lim</m:t>
                                    </m:r>
                                  </m:sub>
                                </m:sSub>
                              </m:den>
                            </m:f>
                            <m:r>
                              <w:rPr>
                                <w:rFonts w:ascii="Cambria Math" w:hAnsi="Cambria Math"/>
                              </w:rPr>
                              <m:t>;</m:t>
                            </m:r>
                            <m:f>
                              <m:fPr>
                                <m:ctrlPr>
                                  <w:rPr>
                                    <w:rFonts w:ascii="Cambria Math" w:hAnsi="Cambria Math"/>
                                  </w:rPr>
                                </m:ctrlPr>
                              </m:fPr>
                              <m:num>
                                <m:r>
                                  <w:rPr>
                                    <w:rFonts w:ascii="Cambria Math" w:hAnsi="Cambria Math"/>
                                  </w:rPr>
                                  <m:t>0,5</m:t>
                                </m:r>
                                <m:sSub>
                                  <m:sSubPr>
                                    <m:ctrlPr>
                                      <w:rPr>
                                        <w:rFonts w:ascii="Cambria Math" w:hAnsi="Cambria Math"/>
                                      </w:rPr>
                                    </m:ctrlPr>
                                  </m:sSubPr>
                                  <m:e>
                                    <m:r>
                                      <w:rPr>
                                        <w:rFonts w:ascii="Cambria Math" w:hAnsi="Cambria Math"/>
                                      </w:rPr>
                                      <m:t>k</m:t>
                                    </m:r>
                                  </m:e>
                                  <m:sub>
                                    <m:r>
                                      <m:rPr>
                                        <m:sty m:val="p"/>
                                      </m:rPr>
                                      <w:rPr>
                                        <w:rFonts w:ascii="Cambria Math" w:hAnsi="Cambria Math"/>
                                      </w:rPr>
                                      <m:t>h</m:t>
                                    </m:r>
                                  </m:sub>
                                </m:sSub>
                                <m:sSub>
                                  <m:sSubPr>
                                    <m:ctrlPr>
                                      <w:rPr>
                                        <w:rFonts w:ascii="Cambria Math" w:hAnsi="Cambria Math"/>
                                      </w:rPr>
                                    </m:ctrlPr>
                                  </m:sSubPr>
                                  <m:e>
                                    <m:r>
                                      <w:rPr>
                                        <w:rFonts w:ascii="Cambria Math" w:hAnsi="Cambria Math"/>
                                      </w:rPr>
                                      <m:t>f</m:t>
                                    </m:r>
                                  </m:e>
                                  <m:sub>
                                    <m:r>
                                      <m:rPr>
                                        <m:sty m:val="p"/>
                                      </m:rPr>
                                      <w:rPr>
                                        <w:rFonts w:ascii="Cambria Math" w:hAnsi="Cambria Math"/>
                                      </w:rPr>
                                      <m:t>ct,eff</m:t>
                                    </m:r>
                                  </m:sub>
                                </m:sSub>
                                <m:sSub>
                                  <m:sSubPr>
                                    <m:ctrlPr>
                                      <w:rPr>
                                        <w:rFonts w:ascii="Cambria Math" w:hAnsi="Cambria Math"/>
                                      </w:rPr>
                                    </m:ctrlPr>
                                  </m:sSubPr>
                                  <m:e>
                                    <m:r>
                                      <w:rPr>
                                        <w:rFonts w:ascii="Cambria Math" w:hAnsi="Cambria Math"/>
                                      </w:rPr>
                                      <m:t>A</m:t>
                                    </m:r>
                                  </m:e>
                                  <m:sub>
                                    <m:r>
                                      <m:rPr>
                                        <m:sty m:val="p"/>
                                      </m:rPr>
                                      <w:rPr>
                                        <w:rFonts w:ascii="Cambria Math" w:hAnsi="Cambria Math"/>
                                      </w:rPr>
                                      <m:t>c</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yk</m:t>
                                    </m:r>
                                  </m:sub>
                                </m:sSub>
                              </m:den>
                            </m:f>
                          </m:e>
                        </m:d>
                      </m:e>
                    </m:eqArr>
                  </m:e>
                </m:d>
                <m:r>
                  <m:rPr>
                    <m:sty m:val="p"/>
                  </m:rPr>
                  <w:rPr>
                    <w:rFonts w:ascii="Cambria Math" w:hAnsi="Cambria Math"/>
                  </w:rPr>
                  <w:br/>
                </m:r>
              </m:oMath>
              <m:oMath>
                <m:sSub>
                  <m:sSubPr>
                    <m:ctrlPr>
                      <w:rPr>
                        <w:rFonts w:ascii="Cambria Math" w:hAnsi="Cambria Math"/>
                      </w:rPr>
                    </m:ctrlPr>
                  </m:sSubPr>
                  <m:e>
                    <m:r>
                      <w:rPr>
                        <w:rFonts w:ascii="Cambria Math" w:hAnsi="Cambria Math"/>
                      </w:rPr>
                      <m:t>A</m:t>
                    </m:r>
                  </m:e>
                  <m:sub>
                    <m:r>
                      <m:rPr>
                        <m:sty m:val="p"/>
                      </m:rPr>
                      <w:rPr>
                        <w:rFonts w:ascii="Cambria Math" w:hAnsi="Cambria Math"/>
                      </w:rPr>
                      <m:t>s,min,w2</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Ed</m:t>
                        </m:r>
                      </m:sub>
                    </m:sSub>
                  </m:num>
                  <m:den>
                    <m:sSub>
                      <m:sSubPr>
                        <m:ctrlPr>
                          <w:rPr>
                            <w:rFonts w:ascii="Cambria Math" w:hAnsi="Cambria Math"/>
                          </w:rPr>
                        </m:ctrlPr>
                      </m:sSubPr>
                      <m:e>
                        <m:r>
                          <w:rPr>
                            <w:rFonts w:ascii="Cambria Math" w:hAnsi="Cambria Math"/>
                          </w:rPr>
                          <m:t>σ</m:t>
                        </m:r>
                      </m:e>
                      <m:sub>
                        <m:r>
                          <m:rPr>
                            <m:sty m:val="p"/>
                          </m:rPr>
                          <w:rPr>
                            <w:rFonts w:ascii="Cambria Math" w:hAnsi="Cambria Math"/>
                          </w:rPr>
                          <m:t>s,lim</m:t>
                        </m:r>
                      </m:sub>
                    </m:sSub>
                  </m:den>
                </m:f>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s,min,w1</m:t>
                    </m:r>
                  </m:sub>
                </m:sSub>
                <m:d>
                  <m:dPr>
                    <m:begChr m:val="{"/>
                    <m:endChr m:val=""/>
                    <m:ctrlPr>
                      <w:rPr>
                        <w:rFonts w:ascii="Cambria Math" w:hAnsi="Cambria Math"/>
                      </w:rPr>
                    </m:ctrlPr>
                  </m:dPr>
                  <m:e>
                    <m:eqArr>
                      <m:eqArrPr>
                        <m:ctrlPr>
                          <w:rPr>
                            <w:rFonts w:ascii="Cambria Math" w:hAnsi="Cambria Math"/>
                          </w:rPr>
                        </m:ctrlPr>
                      </m:eqArrPr>
                      <m:e>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s,min,w1</m:t>
                            </m:r>
                          </m:sub>
                        </m:sSub>
                      </m:e>
                      <m:e>
                        <m:r>
                          <w:rPr>
                            <w:rFonts w:ascii="Cambria Math" w:hAnsi="Cambria Math"/>
                          </w:rPr>
                          <m:t>≥0</m:t>
                        </m:r>
                      </m:e>
                    </m:eqArr>
                  </m:e>
                </m:d>
              </m:oMath>
            </m:oMathPara>
          </w:p>
        </w:tc>
        <w:tc>
          <w:tcPr>
            <w:tcW w:w="1247" w:type="dxa"/>
            <w:vAlign w:val="center"/>
          </w:tcPr>
          <w:p w14:paraId="53A3AE1D" w14:textId="0EEC5071" w:rsidR="00D160AE" w:rsidRPr="001455DC" w:rsidRDefault="00D160AE" w:rsidP="006724C7">
            <w:pPr>
              <w:pStyle w:val="a7"/>
              <w:jc w:val="right"/>
            </w:pPr>
            <w:r w:rsidRPr="001455DC">
              <w:t>(9.4)</w:t>
            </w:r>
          </w:p>
        </w:tc>
      </w:tr>
    </w:tbl>
    <w:p w14:paraId="65BE5DF1" w14:textId="77777777" w:rsidR="00272DA7" w:rsidRPr="001455DC" w:rsidRDefault="00272DA7"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1134"/>
        <w:gridCol w:w="7031"/>
        <w:gridCol w:w="1247"/>
      </w:tblGrid>
      <w:tr w:rsidR="00272DA7" w:rsidRPr="001455DC" w14:paraId="78B5C324" w14:textId="77777777" w:rsidTr="00D160AE">
        <w:trPr>
          <w:cantSplit/>
        </w:trPr>
        <w:tc>
          <w:tcPr>
            <w:tcW w:w="1134" w:type="dxa"/>
          </w:tcPr>
          <w:p w14:paraId="5326C8C8" w14:textId="7028121B" w:rsidR="00272DA7" w:rsidRPr="001455DC" w:rsidRDefault="00D160AE" w:rsidP="00272DA7">
            <w:pPr>
              <w:pStyle w:val="Tablebody"/>
            </w:pPr>
            <w:r w:rsidRPr="001455DC">
              <w:rPr>
                <w:rStyle w:val="CCMCvariableitalic"/>
              </w:rPr>
              <w:t>A</w:t>
            </w:r>
            <w:r w:rsidRPr="001455DC">
              <w:rPr>
                <w:rStyle w:val="CCMCvariablesubscript"/>
              </w:rPr>
              <w:t>c</w:t>
            </w:r>
          </w:p>
        </w:tc>
        <w:tc>
          <w:tcPr>
            <w:tcW w:w="8278" w:type="dxa"/>
            <w:gridSpan w:val="2"/>
          </w:tcPr>
          <w:p w14:paraId="11F17F85" w14:textId="24E5FFA8" w:rsidR="00272DA7" w:rsidRPr="001455DC" w:rsidRDefault="00D160AE" w:rsidP="00272DA7">
            <w:pPr>
              <w:pStyle w:val="Tablebody"/>
            </w:pPr>
            <w:r w:rsidRPr="001455DC">
              <w:rPr>
                <w:rFonts w:eastAsiaTheme="minorHAnsi"/>
              </w:rPr>
              <w:t>is the area of the part of the section under consideration;</w:t>
            </w:r>
          </w:p>
        </w:tc>
      </w:tr>
      <w:tr w:rsidR="00272DA7" w:rsidRPr="001455DC" w14:paraId="223AC72E" w14:textId="77777777" w:rsidTr="00D160AE">
        <w:trPr>
          <w:cantSplit/>
        </w:trPr>
        <w:tc>
          <w:tcPr>
            <w:tcW w:w="1134" w:type="dxa"/>
          </w:tcPr>
          <w:p w14:paraId="700C3443" w14:textId="0C2AFC4A" w:rsidR="00272DA7" w:rsidRPr="001455DC" w:rsidRDefault="00D160AE" w:rsidP="00272DA7">
            <w:pPr>
              <w:pStyle w:val="Tablebody"/>
            </w:pPr>
            <w:r w:rsidRPr="001455DC">
              <w:rPr>
                <w:rStyle w:val="CCMCvariableitalic"/>
              </w:rPr>
              <w:t>A</w:t>
            </w:r>
            <w:r w:rsidRPr="001455DC">
              <w:rPr>
                <w:rStyle w:val="CCMCvariablesubscript"/>
              </w:rPr>
              <w:t>s,min,w1</w:t>
            </w:r>
          </w:p>
        </w:tc>
        <w:tc>
          <w:tcPr>
            <w:tcW w:w="8278" w:type="dxa"/>
            <w:gridSpan w:val="2"/>
          </w:tcPr>
          <w:p w14:paraId="1F3DD5AB" w14:textId="6AD5ECA4" w:rsidR="00272DA7" w:rsidRPr="001455DC" w:rsidRDefault="00D160AE" w:rsidP="00272DA7">
            <w:pPr>
              <w:pStyle w:val="Tablebody"/>
            </w:pPr>
            <w:r w:rsidRPr="001455DC">
              <w:rPr>
                <w:rFonts w:eastAsiaTheme="minorHAnsi"/>
              </w:rPr>
              <w:t>is the area of minimum reinforcing steel to be placed at the most tensioned face of the part of the section under consideration to control cracking;</w:t>
            </w:r>
          </w:p>
        </w:tc>
      </w:tr>
      <w:tr w:rsidR="00272DA7" w:rsidRPr="001455DC" w14:paraId="1672FCE1" w14:textId="77777777" w:rsidTr="00D160AE">
        <w:trPr>
          <w:cantSplit/>
        </w:trPr>
        <w:tc>
          <w:tcPr>
            <w:tcW w:w="1134" w:type="dxa"/>
          </w:tcPr>
          <w:p w14:paraId="43F8032E" w14:textId="2D3ECF3B" w:rsidR="00272DA7" w:rsidRPr="001455DC" w:rsidRDefault="00D160AE" w:rsidP="00272DA7">
            <w:pPr>
              <w:pStyle w:val="Tablebody"/>
            </w:pPr>
            <w:r w:rsidRPr="001455DC">
              <w:rPr>
                <w:rStyle w:val="CCMCvariableitalic"/>
              </w:rPr>
              <w:t>A</w:t>
            </w:r>
            <w:r w:rsidRPr="001455DC">
              <w:rPr>
                <w:rStyle w:val="CCMCvariablesubscript"/>
              </w:rPr>
              <w:t>s,min,w2</w:t>
            </w:r>
          </w:p>
        </w:tc>
        <w:tc>
          <w:tcPr>
            <w:tcW w:w="8278" w:type="dxa"/>
            <w:gridSpan w:val="2"/>
          </w:tcPr>
          <w:p w14:paraId="1C9EE2E4" w14:textId="470DDE20" w:rsidR="00272DA7" w:rsidRPr="001455DC" w:rsidRDefault="00D160AE" w:rsidP="00272DA7">
            <w:pPr>
              <w:pStyle w:val="Tablebody"/>
            </w:pPr>
            <w:r w:rsidRPr="001455DC">
              <w:rPr>
                <w:rFonts w:eastAsiaTheme="minorHAnsi"/>
              </w:rPr>
              <w:t>is the area of minimum reinforcing steel to be placed at the least tensioned face of the part of the section under consideration to control cracking;</w:t>
            </w:r>
          </w:p>
        </w:tc>
      </w:tr>
      <w:tr w:rsidR="00D160AE" w:rsidRPr="001455DC" w14:paraId="362909E6" w14:textId="77777777" w:rsidTr="00D160AE">
        <w:trPr>
          <w:cantSplit/>
        </w:trPr>
        <w:tc>
          <w:tcPr>
            <w:tcW w:w="1134" w:type="dxa"/>
          </w:tcPr>
          <w:p w14:paraId="13212350" w14:textId="51F7B0A9" w:rsidR="00D160AE" w:rsidRPr="001455DC" w:rsidRDefault="00D160AE" w:rsidP="00272DA7">
            <w:pPr>
              <w:pStyle w:val="Tablebody"/>
            </w:pPr>
            <w:r w:rsidRPr="001455DC">
              <w:rPr>
                <w:rStyle w:val="CCMCvariableitalic"/>
              </w:rPr>
              <w:t>N</w:t>
            </w:r>
            <w:r w:rsidRPr="001455DC">
              <w:rPr>
                <w:rStyle w:val="CCMCvariablesubscript"/>
              </w:rPr>
              <w:t>Ed</w:t>
            </w:r>
          </w:p>
        </w:tc>
        <w:tc>
          <w:tcPr>
            <w:tcW w:w="8278" w:type="dxa"/>
            <w:gridSpan w:val="2"/>
          </w:tcPr>
          <w:p w14:paraId="7954680F" w14:textId="06008274" w:rsidR="00D160AE" w:rsidRPr="001455DC" w:rsidRDefault="00D160AE" w:rsidP="00272DA7">
            <w:pPr>
              <w:pStyle w:val="Tablebody"/>
            </w:pPr>
            <w:r w:rsidRPr="001455DC">
              <w:rPr>
                <w:rFonts w:eastAsiaTheme="minorHAnsi"/>
              </w:rPr>
              <w:t xml:space="preserve">is the design axial force at the serviceability limit state acting on the part of the section under consideration (tensile force positive). </w:t>
            </w:r>
            <w:r w:rsidRPr="001455DC">
              <w:rPr>
                <w:rStyle w:val="CCMCvariableitalic"/>
              </w:rPr>
              <w:t>N</w:t>
            </w:r>
            <w:r w:rsidRPr="001455DC">
              <w:rPr>
                <w:rStyle w:val="CCMCvariablesubscript"/>
              </w:rPr>
              <w:t>Ed</w:t>
            </w:r>
            <w:r w:rsidRPr="001455DC">
              <w:rPr>
                <w:rFonts w:eastAsiaTheme="minorHAnsi"/>
              </w:rPr>
              <w:t xml:space="preserve"> should be determined considering the characteristic values of prestress and axial forces under the relevant combination of actions;</w:t>
            </w:r>
          </w:p>
        </w:tc>
      </w:tr>
      <w:tr w:rsidR="00D160AE" w:rsidRPr="001455DC" w14:paraId="7746BE3C" w14:textId="77777777" w:rsidTr="00D160AE">
        <w:trPr>
          <w:cantSplit/>
        </w:trPr>
        <w:tc>
          <w:tcPr>
            <w:tcW w:w="1134" w:type="dxa"/>
          </w:tcPr>
          <w:p w14:paraId="0EA58F63" w14:textId="65700707" w:rsidR="00D160AE" w:rsidRPr="001455DC" w:rsidRDefault="00D160AE" w:rsidP="00272DA7">
            <w:pPr>
              <w:pStyle w:val="Tablebody"/>
            </w:pPr>
            <w:r w:rsidRPr="001455DC">
              <w:rPr>
                <w:rStyle w:val="CCMCvariableitalic"/>
              </w:rPr>
              <w:t>σ</w:t>
            </w:r>
            <w:r w:rsidRPr="001455DC">
              <w:rPr>
                <w:rStyle w:val="CCMCvariablesubscript"/>
              </w:rPr>
              <w:t>s,lim</w:t>
            </w:r>
          </w:p>
        </w:tc>
        <w:tc>
          <w:tcPr>
            <w:tcW w:w="8278" w:type="dxa"/>
            <w:gridSpan w:val="2"/>
          </w:tcPr>
          <w:p w14:paraId="007A84D6" w14:textId="2F39D536" w:rsidR="00D160AE" w:rsidRPr="001455DC" w:rsidRDefault="00D160AE" w:rsidP="00272DA7">
            <w:pPr>
              <w:pStyle w:val="Tablebody"/>
            </w:pPr>
            <w:r w:rsidRPr="001455DC">
              <w:rPr>
                <w:rFonts w:eastAsiaTheme="minorHAnsi"/>
              </w:rPr>
              <w:t xml:space="preserve">is the maximum stress permitted in the reinforcement immediately after formation of the crack. </w:t>
            </w:r>
            <w:r w:rsidRPr="001455DC">
              <w:rPr>
                <w:rStyle w:val="CCMCvariableitalic"/>
              </w:rPr>
              <w:t>σ</w:t>
            </w:r>
            <w:r w:rsidRPr="001455DC">
              <w:rPr>
                <w:rStyle w:val="CCMCvariablesubscript"/>
              </w:rPr>
              <w:t>s,lim</w:t>
            </w:r>
            <w:r w:rsidRPr="001455DC">
              <w:rPr>
                <w:rFonts w:eastAsiaTheme="minorHAnsi"/>
              </w:rPr>
              <w:t xml:space="preserve"> may be taken as the yield stress or a lower stress according to </w:t>
            </w:r>
            <w:r w:rsidRPr="001455DC">
              <w:t>Formula (9.5)</w:t>
            </w:r>
            <w:r w:rsidRPr="001455DC">
              <w:rPr>
                <w:rFonts w:eastAsiaTheme="minorHAnsi"/>
              </w:rPr>
              <w:t xml:space="preserve">, if necessary, to limit the crack width. In absence of other methods, for ribbed or indented reinforcing steel, </w:t>
            </w:r>
            <w:r w:rsidRPr="001455DC">
              <w:rPr>
                <w:rStyle w:val="CCMCvariableitalic"/>
              </w:rPr>
              <w:t>σ</w:t>
            </w:r>
            <w:r w:rsidRPr="001455DC">
              <w:rPr>
                <w:rStyle w:val="CCMCvariablesubscript"/>
              </w:rPr>
              <w:t>s,lim</w:t>
            </w:r>
            <w:r w:rsidRPr="001455DC">
              <w:rPr>
                <w:rFonts w:eastAsiaTheme="minorHAnsi"/>
              </w:rPr>
              <w:t xml:space="preserve"> may be taken as:</w:t>
            </w:r>
          </w:p>
        </w:tc>
      </w:tr>
      <w:tr w:rsidR="00DC705D" w:rsidRPr="001455DC" w14:paraId="51FB7C0D" w14:textId="77777777" w:rsidTr="00DC705D">
        <w:trPr>
          <w:cantSplit/>
        </w:trPr>
        <w:tc>
          <w:tcPr>
            <w:tcW w:w="1134" w:type="dxa"/>
          </w:tcPr>
          <w:p w14:paraId="436710CA" w14:textId="3FDD68DE" w:rsidR="00DC705D" w:rsidRPr="001455DC" w:rsidRDefault="00DC705D" w:rsidP="00EC27D2">
            <w:pPr>
              <w:pStyle w:val="Tablebody"/>
            </w:pPr>
            <w:r w:rsidRPr="001455DC">
              <w:t> </w:t>
            </w:r>
          </w:p>
        </w:tc>
        <w:tc>
          <w:tcPr>
            <w:tcW w:w="7031" w:type="dxa"/>
            <w:vAlign w:val="center"/>
          </w:tcPr>
          <w:p w14:paraId="05EDD1F6" w14:textId="7A971F4D" w:rsidR="00DC705D" w:rsidRPr="001455DC" w:rsidRDefault="00231E33" w:rsidP="00DC705D">
            <w:pPr>
              <w:pStyle w:val="Tablebody"/>
              <w:jc w:val="left"/>
              <w:rPr>
                <w:rFonts w:eastAsiaTheme="minorHAnsi"/>
              </w:rPr>
            </w:pPr>
            <m:oMathPara>
              <m:oMathParaPr>
                <m:jc m:val="left"/>
              </m:oMathParaPr>
              <m:oMath>
                <m:sSub>
                  <m:sSubPr>
                    <m:ctrlPr>
                      <w:rPr>
                        <w:rFonts w:ascii="Cambria Math" w:hAnsi="Cambria Math"/>
                      </w:rPr>
                    </m:ctrlPr>
                  </m:sSubPr>
                  <m:e>
                    <m:r>
                      <w:rPr>
                        <w:rFonts w:ascii="Cambria Math" w:hAnsi="Cambria Math"/>
                      </w:rPr>
                      <m:t>σ</m:t>
                    </m:r>
                  </m:e>
                  <m:sub>
                    <m:r>
                      <m:rPr>
                        <m:sty m:val="p"/>
                      </m:rPr>
                      <w:rPr>
                        <w:rFonts w:ascii="Cambria Math" w:hAnsi="Cambria Math"/>
                      </w:rPr>
                      <m:t>s,lim</m:t>
                    </m:r>
                  </m:sub>
                </m:sSub>
                <m:r>
                  <w:rPr>
                    <w:rFonts w:ascii="Cambria Math" w:hAnsi="Cambria Math"/>
                  </w:rPr>
                  <m:t>≤</m:t>
                </m:r>
                <m:f>
                  <m:fPr>
                    <m:ctrlPr>
                      <w:rPr>
                        <w:rFonts w:ascii="Cambria Math" w:hAnsi="Cambria Math"/>
                      </w:rPr>
                    </m:ctrlPr>
                  </m:fPr>
                  <m:num>
                    <m:r>
                      <w:rPr>
                        <w:rFonts w:ascii="Cambria Math" w:hAnsi="Cambria Math"/>
                      </w:rPr>
                      <m:t>2,4</m:t>
                    </m:r>
                    <m:sSub>
                      <m:sSubPr>
                        <m:ctrlPr>
                          <w:rPr>
                            <w:rFonts w:ascii="Cambria Math" w:hAnsi="Cambria Math"/>
                          </w:rPr>
                        </m:ctrlPr>
                      </m:sSubPr>
                      <m:e>
                        <m:r>
                          <w:rPr>
                            <w:rFonts w:ascii="Cambria Math" w:hAnsi="Cambria Math"/>
                          </w:rPr>
                          <m:t>f</m:t>
                        </m:r>
                      </m:e>
                      <m:sub>
                        <m:r>
                          <m:rPr>
                            <m:sty m:val="p"/>
                          </m:rPr>
                          <w:rPr>
                            <w:rFonts w:ascii="Cambria Math" w:hAnsi="Cambria Math"/>
                          </w:rPr>
                          <m:t>ct,eff</m:t>
                        </m:r>
                      </m:sub>
                    </m:sSub>
                  </m:num>
                  <m:den>
                    <m:d>
                      <m:dPr>
                        <m:ctrlPr>
                          <w:rPr>
                            <w:rFonts w:ascii="Cambria Math" w:hAnsi="Cambria Math"/>
                          </w:rPr>
                        </m:ctrlPr>
                      </m:dPr>
                      <m:e>
                        <m:sSub>
                          <m:sSubPr>
                            <m:ctrlPr>
                              <w:rPr>
                                <w:rFonts w:ascii="Cambria Math" w:hAnsi="Cambria Math"/>
                              </w:rPr>
                            </m:ctrlPr>
                          </m:sSubPr>
                          <m:e>
                            <m:r>
                              <w:rPr>
                                <w:rFonts w:ascii="Cambria Math" w:hAnsi="Cambria Math"/>
                              </w:rPr>
                              <m:t>h-h</m:t>
                            </m:r>
                          </m:e>
                          <m:sub>
                            <m:r>
                              <m:rPr>
                                <m:sty m:val="p"/>
                              </m:rPr>
                              <w:rPr>
                                <w:rFonts w:ascii="Cambria Math" w:hAnsi="Cambria Math"/>
                              </w:rPr>
                              <m:t>c,eff</m:t>
                            </m:r>
                          </m:sub>
                        </m:sSub>
                      </m:e>
                    </m:d>
                  </m:den>
                </m:f>
                <m:r>
                  <w:rPr>
                    <w:rFonts w:ascii="Cambria Math" w:hAnsi="Cambria Math"/>
                  </w:rPr>
                  <m:t>⋅</m:t>
                </m:r>
                <m:f>
                  <m:fPr>
                    <m:ctrlPr>
                      <w:rPr>
                        <w:rFonts w:ascii="Cambria Math" w:hAnsi="Cambria Math"/>
                      </w:rPr>
                    </m:ctrlPr>
                  </m:fPr>
                  <m:num>
                    <m:r>
                      <w:rPr>
                        <w:rFonts w:ascii="Cambria Math" w:hAnsi="Cambria Math"/>
                      </w:rPr>
                      <m:t>h</m:t>
                    </m:r>
                  </m:num>
                  <m:den>
                    <m:r>
                      <w:rPr>
                        <w:rFonts w:ascii="Cambria Math" w:hAnsi="Cambria Math"/>
                      </w:rPr>
                      <m:t>ϕ</m:t>
                    </m:r>
                  </m:den>
                </m:f>
                <m:d>
                  <m:dPr>
                    <m:sepChr m:val=""/>
                    <m:ctrlPr>
                      <w:rPr>
                        <w:rFonts w:ascii="Cambria Math" w:hAnsi="Cambria Math"/>
                      </w:rPr>
                    </m:ctrlPr>
                  </m:dPr>
                  <m:e>
                    <m:r>
                      <w:rPr>
                        <w:rFonts w:ascii="Cambria Math" w:hAnsi="Cambria Math"/>
                      </w:rPr>
                      <m:t>-</m:t>
                    </m:r>
                  </m:e>
                  <m:e>
                    <m:r>
                      <w:rPr>
                        <w:rFonts w:ascii="Cambria Math" w:hAnsi="Cambria Math"/>
                      </w:rPr>
                      <m:t>c</m:t>
                    </m:r>
                  </m:e>
                  <m:e>
                    <m:r>
                      <w:rPr>
                        <w:rFonts w:ascii="Cambria Math" w:hAnsi="Cambria Math"/>
                      </w:rPr>
                      <m:t>+</m:t>
                    </m:r>
                  </m:e>
                  <m:e>
                    <m:rad>
                      <m:radPr>
                        <m:degHide m:val="1"/>
                        <m:ctrlPr>
                          <w:rPr>
                            <w:rFonts w:ascii="Cambria Math" w:hAnsi="Cambria Math"/>
                          </w:rPr>
                        </m:ctrlPr>
                      </m:radPr>
                      <m:deg/>
                      <m:e>
                        <m:sSup>
                          <m:sSupPr>
                            <m:ctrlPr>
                              <w:rPr>
                                <w:rFonts w:ascii="Cambria Math" w:hAnsi="Cambria Math"/>
                              </w:rPr>
                            </m:ctrlPr>
                          </m:sSupPr>
                          <m:e>
                            <m:r>
                              <w:rPr>
                                <w:rFonts w:ascii="Cambria Math" w:hAnsi="Cambria Math"/>
                              </w:rPr>
                              <m:t>c</m:t>
                            </m:r>
                          </m:e>
                          <m:sup>
                            <m:r>
                              <w:rPr>
                                <w:rFonts w:ascii="Cambria Math" w:hAnsi="Cambria Math"/>
                              </w:rPr>
                              <m:t>2</m:t>
                            </m:r>
                          </m:sup>
                        </m:sSup>
                        <m:r>
                          <w:rPr>
                            <w:rFonts w:ascii="Cambria Math" w:hAnsi="Cambria Math"/>
                          </w:rPr>
                          <m:t>+1,5</m:t>
                        </m:r>
                        <m:f>
                          <m:fPr>
                            <m:ctrlPr>
                              <w:rPr>
                                <w:rFonts w:ascii="Cambria Math" w:hAnsi="Cambria Math"/>
                              </w:rPr>
                            </m:ctrlPr>
                          </m:fPr>
                          <m:num>
                            <m:d>
                              <m:dPr>
                                <m:ctrlPr>
                                  <w:rPr>
                                    <w:rFonts w:ascii="Cambria Math" w:hAnsi="Cambria Math"/>
                                  </w:rPr>
                                </m:ctrlPr>
                              </m:dPr>
                              <m:e>
                                <m: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h</m:t>
                                        </m:r>
                                      </m:e>
                                      <m:sub>
                                        <m:r>
                                          <m:rPr>
                                            <m:sty m:val="p"/>
                                          </m:rPr>
                                          <w:rPr>
                                            <w:rFonts w:ascii="Cambria Math" w:hAnsi="Cambria Math"/>
                                          </w:rPr>
                                          <m:t>c,eff</m:t>
                                        </m:r>
                                      </m:sub>
                                    </m:sSub>
                                  </m:num>
                                  <m:den>
                                    <m:r>
                                      <w:rPr>
                                        <w:rFonts w:ascii="Cambria Math" w:hAnsi="Cambria Math"/>
                                      </w:rPr>
                                      <m:t>h</m:t>
                                    </m:r>
                                  </m:den>
                                </m:f>
                              </m:e>
                            </m:d>
                            <m:r>
                              <w:rPr>
                                <w:rFonts w:ascii="Cambria Math" w:hAnsi="Cambria Math"/>
                              </w:rPr>
                              <m:t>⋅</m:t>
                            </m:r>
                            <m:sSub>
                              <m:sSubPr>
                                <m:ctrlPr>
                                  <w:rPr>
                                    <w:rFonts w:ascii="Cambria Math" w:hAnsi="Cambria Math"/>
                                  </w:rPr>
                                </m:ctrlPr>
                              </m:sSubPr>
                              <m:e>
                                <m:r>
                                  <w:rPr>
                                    <w:rFonts w:ascii="Cambria Math" w:hAnsi="Cambria Math"/>
                                  </w:rPr>
                                  <m:t>E</m:t>
                                </m:r>
                              </m:e>
                              <m:sub>
                                <m:r>
                                  <m:rPr>
                                    <m:sty m:val="p"/>
                                  </m:rPr>
                                  <w:rPr>
                                    <w:rFonts w:ascii="Cambria Math" w:hAnsi="Cambria Math"/>
                                  </w:rPr>
                                  <m:t>s</m:t>
                                </m:r>
                              </m:sub>
                            </m:sSub>
                            <m: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lim,cal</m:t>
                                </m:r>
                              </m:sub>
                            </m:sSub>
                            <m:r>
                              <w:rPr>
                                <w:rFonts w:ascii="Cambria Math" w:hAnsi="Cambria Math"/>
                              </w:rPr>
                              <m:t>⋅ϕ</m:t>
                            </m:r>
                          </m:num>
                          <m:den>
                            <m:sSub>
                              <m:sSubPr>
                                <m:ctrlPr>
                                  <w:rPr>
                                    <w:rFonts w:ascii="Cambria Math" w:hAnsi="Cambria Math"/>
                                  </w:rPr>
                                </m:ctrlPr>
                              </m:sSubPr>
                              <m:e>
                                <m:r>
                                  <w:rPr>
                                    <w:rFonts w:ascii="Cambria Math" w:hAnsi="Cambria Math"/>
                                  </w:rPr>
                                  <m:t>k</m:t>
                                </m:r>
                              </m:e>
                              <m:sub>
                                <m:r>
                                  <m:rPr>
                                    <m:sty m:val="p"/>
                                  </m:rPr>
                                  <w:rPr>
                                    <w:rFonts w:ascii="Cambria Math" w:hAnsi="Cambria Math"/>
                                  </w:rPr>
                                  <m:t>w</m:t>
                                </m:r>
                              </m:sub>
                            </m:sSub>
                            <m:r>
                              <w:rPr>
                                <w:rFonts w:ascii="Cambria Math" w:hAnsi="Cambria Math"/>
                              </w:rPr>
                              <m:t>⋅</m:t>
                            </m:r>
                            <m:sSub>
                              <m:sSubPr>
                                <m:ctrlPr>
                                  <w:rPr>
                                    <w:rFonts w:ascii="Cambria Math" w:hAnsi="Cambria Math"/>
                                  </w:rPr>
                                </m:ctrlPr>
                              </m:sSubPr>
                              <m:e>
                                <m:r>
                                  <w:rPr>
                                    <w:rFonts w:ascii="Cambria Math" w:hAnsi="Cambria Math"/>
                                  </w:rPr>
                                  <m:t>k</m:t>
                                </m:r>
                              </m:e>
                              <m:sub>
                                <m:f>
                                  <m:fPr>
                                    <m:ctrlPr>
                                      <w:rPr>
                                        <w:rFonts w:ascii="Cambria Math" w:hAnsi="Cambria Math"/>
                                      </w:rPr>
                                    </m:ctrlPr>
                                  </m:fPr>
                                  <m:num>
                                    <m:r>
                                      <w:rPr>
                                        <w:rFonts w:ascii="Cambria Math" w:hAnsi="Cambria Math"/>
                                      </w:rPr>
                                      <m:t>1</m:t>
                                    </m:r>
                                  </m:num>
                                  <m:den>
                                    <m:r>
                                      <w:rPr>
                                        <w:rFonts w:ascii="Cambria Math" w:hAnsi="Cambria Math"/>
                                      </w:rPr>
                                      <m:t>r</m:t>
                                    </m:r>
                                  </m:den>
                                </m:f>
                                <m:r>
                                  <w:rPr>
                                    <w:rFonts w:ascii="Cambria Math" w:hAnsi="Cambria Math"/>
                                  </w:rPr>
                                  <m:t>,</m:t>
                                </m:r>
                                <m:r>
                                  <m:rPr>
                                    <m:sty m:val="p"/>
                                  </m:rPr>
                                  <w:rPr>
                                    <w:rFonts w:ascii="Cambria Math" w:hAnsi="Cambria Math"/>
                                  </w:rPr>
                                  <m:t>simpl</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ct,eff</m:t>
                                </m:r>
                              </m:sub>
                            </m:sSub>
                          </m:den>
                        </m:f>
                      </m:e>
                    </m:rad>
                  </m:e>
                </m:d>
                <m:r>
                  <m:rPr>
                    <m:sty m:val="p"/>
                  </m:rPr>
                  <w:rPr>
                    <w:rFonts w:ascii="Cambria Math" w:hAnsi="Cambria Math"/>
                  </w:rPr>
                  <w:br/>
                </m:r>
              </m:oMath>
              <m:oMath>
                <m:sSub>
                  <m:sSubPr>
                    <m:ctrlPr>
                      <w:rPr>
                        <w:rFonts w:ascii="Cambria Math" w:hAnsi="Cambria Math"/>
                      </w:rPr>
                    </m:ctrlPr>
                  </m:sSubPr>
                  <m:e>
                    <m:r>
                      <w:rPr>
                        <w:rFonts w:ascii="Cambria Math" w:hAnsi="Cambria Math"/>
                      </w:rPr>
                      <m:t>k</m:t>
                    </m:r>
                  </m:e>
                  <m:sub>
                    <m:f>
                      <m:fPr>
                        <m:ctrlPr>
                          <w:rPr>
                            <w:rFonts w:ascii="Cambria Math" w:hAnsi="Cambria Math"/>
                          </w:rPr>
                        </m:ctrlPr>
                      </m:fPr>
                      <m:num>
                        <m:r>
                          <m:rPr>
                            <m:nor/>
                          </m:rPr>
                          <m:t>1</m:t>
                        </m:r>
                      </m:num>
                      <m:den>
                        <m:r>
                          <m:rPr>
                            <m:nor/>
                          </m:rPr>
                          <m:t>r</m:t>
                        </m:r>
                      </m:den>
                    </m:f>
                    <m:r>
                      <m:rPr>
                        <m:nor/>
                      </m:rPr>
                      <m:t>,simpl</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1,00 </m:t>
                        </m:r>
                        <m:r>
                          <m:rPr>
                            <m:nor/>
                          </m:rPr>
                          <m:t>for</m:t>
                        </m:r>
                        <m:r>
                          <m:rPr>
                            <m:sty m:val="p"/>
                          </m:rPr>
                          <w:rPr>
                            <w:rFonts w:ascii="Cambria Math" w:hAnsi="Cambria Math"/>
                          </w:rPr>
                          <m:t xml:space="preserve"> </m:t>
                        </m:r>
                        <m:r>
                          <m:rPr>
                            <m:nor/>
                          </m:rPr>
                          <m:t>pure</m:t>
                        </m:r>
                        <m:r>
                          <m:rPr>
                            <m:sty m:val="p"/>
                          </m:rPr>
                          <w:rPr>
                            <w:rFonts w:ascii="Cambria Math" w:hAnsi="Cambria Math"/>
                          </w:rPr>
                          <m:t xml:space="preserve"> </m:t>
                        </m:r>
                        <m:r>
                          <m:rPr>
                            <m:nor/>
                          </m:rPr>
                          <m:t>tension</m:t>
                        </m:r>
                      </m:e>
                      <m:e>
                        <m:r>
                          <m:rPr>
                            <m:nor/>
                          </m:rPr>
                          <m:t>(1,2</m:t>
                        </m:r>
                        <m:f>
                          <m:fPr>
                            <m:ctrlPr>
                              <w:rPr>
                                <w:rFonts w:ascii="Cambria Math" w:hAnsi="Cambria Math"/>
                              </w:rPr>
                            </m:ctrlPr>
                          </m:fPr>
                          <m:num>
                            <m:r>
                              <w:rPr>
                                <w:rFonts w:ascii="Cambria Math" w:hAnsi="Cambria Math"/>
                              </w:rPr>
                              <m:t>h</m:t>
                            </m:r>
                          </m:num>
                          <m:den>
                            <m:r>
                              <w:rPr>
                                <w:rFonts w:ascii="Cambria Math" w:hAnsi="Cambria Math"/>
                              </w:rPr>
                              <m:t>d</m:t>
                            </m:r>
                          </m:den>
                        </m:f>
                        <m:r>
                          <m:rPr>
                            <m:sty m:val="p"/>
                          </m:rPr>
                          <w:rPr>
                            <w:rFonts w:ascii="Cambria Math" w:hAnsi="Cambria Math"/>
                          </w:rPr>
                          <m:t xml:space="preserve">-0,1) </m:t>
                        </m:r>
                        <m:r>
                          <m:rPr>
                            <m:nor/>
                          </m:rPr>
                          <m:t>for</m:t>
                        </m:r>
                        <m:r>
                          <m:rPr>
                            <m:sty m:val="p"/>
                          </m:rPr>
                          <w:rPr>
                            <w:rFonts w:ascii="Cambria Math" w:hAnsi="Cambria Math"/>
                          </w:rPr>
                          <m:t xml:space="preserve"> </m:t>
                        </m:r>
                        <m:r>
                          <m:rPr>
                            <m:nor/>
                          </m:rPr>
                          <m:t>other</m:t>
                        </m:r>
                        <m:r>
                          <m:rPr>
                            <m:sty m:val="p"/>
                          </m:rPr>
                          <w:rPr>
                            <w:rFonts w:ascii="Cambria Math" w:hAnsi="Cambria Math"/>
                          </w:rPr>
                          <m:t xml:space="preserve"> </m:t>
                        </m:r>
                        <m:r>
                          <m:rPr>
                            <m:nor/>
                          </m:rPr>
                          <m:t>situations</m:t>
                        </m:r>
                      </m:e>
                    </m:eqArr>
                  </m:e>
                </m:d>
              </m:oMath>
            </m:oMathPara>
          </w:p>
        </w:tc>
        <w:tc>
          <w:tcPr>
            <w:tcW w:w="1247" w:type="dxa"/>
            <w:vAlign w:val="center"/>
          </w:tcPr>
          <w:p w14:paraId="63FBE7E1" w14:textId="732FDBD2" w:rsidR="00DC705D" w:rsidRPr="001455DC" w:rsidRDefault="00DC705D" w:rsidP="00DC705D">
            <w:pPr>
              <w:pStyle w:val="Tablebody"/>
              <w:jc w:val="right"/>
              <w:rPr>
                <w:rFonts w:eastAsiaTheme="minorHAnsi"/>
              </w:rPr>
            </w:pPr>
            <w:r w:rsidRPr="001455DC">
              <w:rPr>
                <w:rFonts w:eastAsiaTheme="minorHAnsi"/>
              </w:rPr>
              <w:t>(9.5)</w:t>
            </w:r>
          </w:p>
        </w:tc>
      </w:tr>
      <w:tr w:rsidR="00D160AE" w:rsidRPr="001455DC" w14:paraId="6582707F" w14:textId="77777777" w:rsidTr="00D160AE">
        <w:trPr>
          <w:cantSplit/>
        </w:trPr>
        <w:tc>
          <w:tcPr>
            <w:tcW w:w="1134" w:type="dxa"/>
          </w:tcPr>
          <w:p w14:paraId="3F3AB4EB" w14:textId="78DAFF0D" w:rsidR="00D160AE" w:rsidRPr="009D3012" w:rsidRDefault="00D160AE" w:rsidP="00272DA7">
            <w:pPr>
              <w:pStyle w:val="Tablebody"/>
              <w:rPr>
                <w:rStyle w:val="CCMCvariableitalic"/>
              </w:rPr>
            </w:pPr>
            <w:r w:rsidRPr="001455DC">
              <w:rPr>
                <w:rStyle w:val="CCMCvariableitalic"/>
              </w:rPr>
              <w:t>k</w:t>
            </w:r>
            <w:r w:rsidRPr="001455DC">
              <w:rPr>
                <w:rStyle w:val="CCMCvariablesubscript"/>
              </w:rPr>
              <w:t>w</w:t>
            </w:r>
          </w:p>
        </w:tc>
        <w:tc>
          <w:tcPr>
            <w:tcW w:w="8278" w:type="dxa"/>
            <w:gridSpan w:val="2"/>
          </w:tcPr>
          <w:p w14:paraId="4A3B719D" w14:textId="0128814A" w:rsidR="00D160AE" w:rsidRPr="001455DC" w:rsidRDefault="00D160AE" w:rsidP="00272DA7">
            <w:pPr>
              <w:pStyle w:val="Tablebody"/>
              <w:rPr>
                <w:rFonts w:eastAsiaTheme="minorHAnsi"/>
              </w:rPr>
            </w:pPr>
            <w:r w:rsidRPr="001455DC">
              <w:rPr>
                <w:rFonts w:eastAsiaTheme="minorHAnsi"/>
                <w:iCs/>
              </w:rPr>
              <w:t>is a factor converting the mean crack width into a calculated crack width, see 9.2.4(2)</w:t>
            </w:r>
            <w:r w:rsidRPr="001455DC">
              <w:rPr>
                <w:rFonts w:eastAsiaTheme="minorHAnsi"/>
              </w:rPr>
              <w:t>;</w:t>
            </w:r>
          </w:p>
        </w:tc>
      </w:tr>
      <w:tr w:rsidR="00D160AE" w:rsidRPr="001455DC" w14:paraId="387725AD" w14:textId="77777777" w:rsidTr="00D160AE">
        <w:trPr>
          <w:cantSplit/>
        </w:trPr>
        <w:tc>
          <w:tcPr>
            <w:tcW w:w="1134" w:type="dxa"/>
          </w:tcPr>
          <w:p w14:paraId="70501912" w14:textId="5AB4086F" w:rsidR="00D160AE" w:rsidRPr="009D3012" w:rsidRDefault="00D160AE" w:rsidP="00272DA7">
            <w:pPr>
              <w:pStyle w:val="Tablebody"/>
              <w:rPr>
                <w:rStyle w:val="CCMCvariableitalic"/>
              </w:rPr>
            </w:pPr>
            <w:r w:rsidRPr="001455DC">
              <w:rPr>
                <w:rStyle w:val="CCMCvariableitalic"/>
              </w:rPr>
              <w:t>f</w:t>
            </w:r>
            <w:r w:rsidRPr="001455DC">
              <w:rPr>
                <w:rStyle w:val="CCMCvariablesubscript"/>
              </w:rPr>
              <w:t>ct,eff</w:t>
            </w:r>
          </w:p>
        </w:tc>
        <w:tc>
          <w:tcPr>
            <w:tcW w:w="8278" w:type="dxa"/>
            <w:gridSpan w:val="2"/>
          </w:tcPr>
          <w:p w14:paraId="4BDEABF1" w14:textId="2F420869" w:rsidR="00D160AE" w:rsidRPr="001455DC" w:rsidRDefault="00D160AE" w:rsidP="00272DA7">
            <w:pPr>
              <w:pStyle w:val="Tablebody"/>
              <w:rPr>
                <w:rFonts w:eastAsiaTheme="minorHAnsi"/>
              </w:rPr>
            </w:pPr>
            <w:r w:rsidRPr="001455DC">
              <w:rPr>
                <w:rFonts w:eastAsiaTheme="minorHAnsi"/>
              </w:rPr>
              <w:t xml:space="preserve">is the mean value of the tensile strength of the concrete effective at the time when the cracks may first be expected to occur: </w:t>
            </w:r>
            <w:r w:rsidRPr="001455DC">
              <w:rPr>
                <w:rStyle w:val="CCMCvariableitalic"/>
              </w:rPr>
              <w:t>f</w:t>
            </w:r>
            <w:r w:rsidRPr="001455DC">
              <w:rPr>
                <w:rStyle w:val="CCMCvariablesubscript"/>
              </w:rPr>
              <w:t>ct,eff</w:t>
            </w:r>
            <w:r w:rsidRPr="001455DC">
              <w:t> </w:t>
            </w:r>
            <w:r w:rsidR="00EC27D2" w:rsidRPr="001455DC">
              <w:rPr>
                <w:rFonts w:ascii="Cambria Math" w:hAnsi="Cambria Math"/>
              </w:rPr>
              <w:t>=</w:t>
            </w:r>
            <w:r w:rsidRPr="001455DC">
              <w:t> </w:t>
            </w:r>
            <w:r w:rsidRPr="001455DC">
              <w:rPr>
                <w:rStyle w:val="CCMCvariableitalic"/>
              </w:rPr>
              <w:t>f</w:t>
            </w:r>
            <w:r w:rsidRPr="001455DC">
              <w:rPr>
                <w:rStyle w:val="CCMCvariablesubscript"/>
              </w:rPr>
              <w:t>ctm</w:t>
            </w:r>
            <w:r w:rsidRPr="001455DC">
              <w:rPr>
                <w:rFonts w:eastAsiaTheme="minorHAnsi"/>
              </w:rPr>
              <w:t xml:space="preserve"> for </w:t>
            </w:r>
            <w:r w:rsidRPr="001455DC">
              <w:rPr>
                <w:rStyle w:val="CCMCvariableitalic"/>
              </w:rPr>
              <w:t>t</w:t>
            </w:r>
            <w:r w:rsidRPr="001455DC">
              <w:rPr>
                <w:rFonts w:eastAsiaTheme="minorHAnsi"/>
              </w:rPr>
              <w:t> </w:t>
            </w:r>
            <w:r w:rsidR="00650035" w:rsidRPr="001455DC">
              <w:rPr>
                <w:rFonts w:ascii="Cambria Math" w:eastAsiaTheme="minorHAnsi" w:hAnsi="Cambria Math"/>
              </w:rPr>
              <w:t>≥</w:t>
            </w:r>
            <w:r w:rsidRPr="001455DC">
              <w:rPr>
                <w:rFonts w:eastAsiaTheme="minorHAnsi"/>
              </w:rPr>
              <w:t> </w:t>
            </w:r>
            <w:r w:rsidRPr="001455DC">
              <w:rPr>
                <w:rStyle w:val="CCMCvariableitalic"/>
              </w:rPr>
              <w:t>t</w:t>
            </w:r>
            <w:r w:rsidRPr="001455DC">
              <w:rPr>
                <w:rStyle w:val="CCMCvariablesubscript"/>
              </w:rPr>
              <w:t>ref</w:t>
            </w:r>
            <w:r w:rsidRPr="001455DC">
              <w:rPr>
                <w:rFonts w:eastAsiaTheme="minorHAnsi"/>
              </w:rPr>
              <w:t xml:space="preserve"> or </w:t>
            </w:r>
            <w:r w:rsidRPr="001455DC">
              <w:rPr>
                <w:rStyle w:val="CCMCvariableitalic"/>
              </w:rPr>
              <w:t>f</w:t>
            </w:r>
            <w:r w:rsidRPr="001455DC">
              <w:rPr>
                <w:rStyle w:val="CCMCvariablesubscript"/>
              </w:rPr>
              <w:t>ct,eff</w:t>
            </w:r>
            <w:r w:rsidRPr="001455DC">
              <w:t> </w:t>
            </w:r>
            <w:r w:rsidR="00EC27D2" w:rsidRPr="001455DC">
              <w:rPr>
                <w:rFonts w:ascii="Cambria Math" w:hAnsi="Cambria Math"/>
              </w:rPr>
              <w:t>=</w:t>
            </w:r>
            <w:r w:rsidRPr="001455DC">
              <w:t> </w:t>
            </w:r>
            <w:r w:rsidRPr="001455DC">
              <w:rPr>
                <w:rStyle w:val="CCMCvariableitalic"/>
              </w:rPr>
              <w:t>f</w:t>
            </w:r>
            <w:r w:rsidRPr="001455DC">
              <w:rPr>
                <w:rStyle w:val="CCMCvariablesubscript"/>
              </w:rPr>
              <w:t>ctm</w:t>
            </w:r>
            <w:r w:rsidRPr="001455DC">
              <w:rPr>
                <w:rFonts w:eastAsiaTheme="minorHAnsi"/>
              </w:rPr>
              <w:t>(</w:t>
            </w:r>
            <w:r w:rsidRPr="001455DC">
              <w:rPr>
                <w:rStyle w:val="CCMCvariableitalic"/>
              </w:rPr>
              <w:t>t</w:t>
            </w:r>
            <w:r w:rsidRPr="001455DC">
              <w:rPr>
                <w:rFonts w:eastAsiaTheme="minorHAnsi"/>
              </w:rPr>
              <w:t xml:space="preserve">), if cracking is expected at </w:t>
            </w:r>
            <w:r w:rsidRPr="001455DC">
              <w:rPr>
                <w:rStyle w:val="CCMCvariableitalic"/>
              </w:rPr>
              <w:t>t</w:t>
            </w:r>
            <w:r w:rsidRPr="001455DC">
              <w:rPr>
                <w:rFonts w:eastAsiaTheme="minorHAnsi"/>
              </w:rPr>
              <w:t> </w:t>
            </w:r>
            <w:r w:rsidRPr="001455DC">
              <w:rPr>
                <w:rFonts w:ascii="Cambria Math" w:hAnsi="Cambria Math" w:cs="Cambria Math"/>
              </w:rPr>
              <w:t>&lt;</w:t>
            </w:r>
            <w:r w:rsidRPr="001455DC">
              <w:rPr>
                <w:rFonts w:eastAsiaTheme="minorHAnsi"/>
              </w:rPr>
              <w:t> </w:t>
            </w:r>
            <w:r w:rsidRPr="001455DC">
              <w:rPr>
                <w:rStyle w:val="CCMCvariableitalic"/>
              </w:rPr>
              <w:t>t</w:t>
            </w:r>
            <w:r w:rsidRPr="001455DC">
              <w:rPr>
                <w:rStyle w:val="CCMCvariablesubscript"/>
              </w:rPr>
              <w:t>ref</w:t>
            </w:r>
            <w:r w:rsidRPr="001455DC">
              <w:rPr>
                <w:rFonts w:eastAsiaTheme="minorHAnsi"/>
              </w:rPr>
              <w:t xml:space="preserve"> (see Annex D);</w:t>
            </w:r>
          </w:p>
        </w:tc>
      </w:tr>
    </w:tbl>
    <w:p w14:paraId="61D5DAF2" w14:textId="312995A3" w:rsidR="00BE773A" w:rsidRPr="009D3012" w:rsidRDefault="00BE773A" w:rsidP="009D3012">
      <w:pPr>
        <w:pStyle w:val="Note"/>
      </w:pPr>
      <w:r w:rsidRPr="009D3012">
        <w:rPr>
          <w:bCs/>
        </w:rPr>
        <w:t>NOTE</w:t>
      </w:r>
      <w:r w:rsidRPr="009D3012">
        <w:tab/>
        <w:t>For more information</w:t>
      </w:r>
      <w:r w:rsidR="0079403C">
        <w:t>,</w:t>
      </w:r>
      <w:r w:rsidRPr="009D3012">
        <w:t xml:space="preserve"> see Annex D.</w:t>
      </w:r>
    </w:p>
    <w:tbl>
      <w:tblPr>
        <w:tblW w:w="9412" w:type="dxa"/>
        <w:tblInd w:w="397" w:type="dxa"/>
        <w:tblLayout w:type="fixed"/>
        <w:tblCellMar>
          <w:left w:w="28" w:type="dxa"/>
          <w:right w:w="28" w:type="dxa"/>
        </w:tblCellMar>
        <w:tblLook w:val="04A0" w:firstRow="1" w:lastRow="0" w:firstColumn="1" w:lastColumn="0" w:noHBand="0" w:noVBand="1"/>
      </w:tblPr>
      <w:tblGrid>
        <w:gridCol w:w="1134"/>
        <w:gridCol w:w="7031"/>
        <w:gridCol w:w="1247"/>
      </w:tblGrid>
      <w:tr w:rsidR="00D160AE" w:rsidRPr="001455DC" w14:paraId="5F041224" w14:textId="77777777" w:rsidTr="00D160AE">
        <w:trPr>
          <w:cantSplit/>
        </w:trPr>
        <w:tc>
          <w:tcPr>
            <w:tcW w:w="1134" w:type="dxa"/>
          </w:tcPr>
          <w:p w14:paraId="28CD3409" w14:textId="743BEE21" w:rsidR="00D160AE" w:rsidRPr="009D3012" w:rsidRDefault="00D160AE" w:rsidP="00272DA7">
            <w:pPr>
              <w:pStyle w:val="Tablebody"/>
              <w:rPr>
                <w:rStyle w:val="CCMCvariableitalic"/>
              </w:rPr>
            </w:pPr>
            <w:r w:rsidRPr="001455DC">
              <w:rPr>
                <w:rStyle w:val="CCMCvariableitalic"/>
              </w:rPr>
              <w:t>k</w:t>
            </w:r>
            <w:r w:rsidRPr="001455DC">
              <w:rPr>
                <w:rStyle w:val="CCMCvariablesubscript"/>
              </w:rPr>
              <w:t>h</w:t>
            </w:r>
          </w:p>
        </w:tc>
        <w:tc>
          <w:tcPr>
            <w:tcW w:w="8278" w:type="dxa"/>
            <w:gridSpan w:val="2"/>
          </w:tcPr>
          <w:p w14:paraId="63521532" w14:textId="16F2D872" w:rsidR="00D160AE" w:rsidRPr="001455DC" w:rsidRDefault="00D160AE" w:rsidP="00272DA7">
            <w:pPr>
              <w:pStyle w:val="Tablebody"/>
              <w:rPr>
                <w:rFonts w:eastAsiaTheme="minorHAnsi"/>
              </w:rPr>
            </w:pPr>
            <w:r w:rsidRPr="001455DC">
              <w:rPr>
                <w:rFonts w:eastAsiaTheme="minorHAnsi"/>
              </w:rPr>
              <w:t>is a coefficient which allows for the effect of non-uniform self -equilibrating stresses, which lead to a reduction of the apparent tensile strength which may be taken as:</w:t>
            </w:r>
          </w:p>
        </w:tc>
      </w:tr>
      <w:tr w:rsidR="00DC705D" w:rsidRPr="001455DC" w14:paraId="09DD14D9" w14:textId="77777777" w:rsidTr="00DC705D">
        <w:trPr>
          <w:cantSplit/>
        </w:trPr>
        <w:tc>
          <w:tcPr>
            <w:tcW w:w="1134" w:type="dxa"/>
          </w:tcPr>
          <w:p w14:paraId="4D0916B6" w14:textId="32CD016D" w:rsidR="00DC705D" w:rsidRPr="001455DC" w:rsidRDefault="00DC705D" w:rsidP="00EC27D2">
            <w:pPr>
              <w:pStyle w:val="Tablebody"/>
            </w:pPr>
            <w:r w:rsidRPr="001455DC">
              <w:t> </w:t>
            </w:r>
          </w:p>
        </w:tc>
        <w:tc>
          <w:tcPr>
            <w:tcW w:w="7031" w:type="dxa"/>
            <w:vAlign w:val="center"/>
          </w:tcPr>
          <w:p w14:paraId="6B3E851D" w14:textId="28E2DD85" w:rsidR="00DC705D" w:rsidRPr="001455DC" w:rsidRDefault="00231E33" w:rsidP="00DC705D">
            <w:pPr>
              <w:pStyle w:val="Tablebody"/>
              <w:jc w:val="left"/>
              <w:rPr>
                <w:rFonts w:eastAsiaTheme="minorHAnsi"/>
              </w:rPr>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rPr>
                      <m:t>h</m:t>
                    </m:r>
                  </m:sub>
                </m:sSub>
                <m:r>
                  <w:rPr>
                    <w:rFonts w:ascii="Cambria Math" w:hAnsi="Cambria Math"/>
                  </w:rPr>
                  <m:t>=0,8-0,6</m:t>
                </m:r>
                <m:d>
                  <m:dPr>
                    <m:sepChr m:val=""/>
                    <m:ctrlPr>
                      <w:rPr>
                        <w:rFonts w:ascii="Cambria Math" w:hAnsi="Cambria Math"/>
                      </w:rPr>
                    </m:ctrlPr>
                  </m:dPr>
                  <m:e>
                    <m:r>
                      <m:rPr>
                        <m:sty m:val="p"/>
                      </m:rPr>
                      <w:rPr>
                        <w:rFonts w:ascii="Cambria Math" w:hAnsi="Cambria Math"/>
                      </w:rPr>
                      <m:t>min</m:t>
                    </m:r>
                  </m:e>
                  <m:e>
                    <m:d>
                      <m:dPr>
                        <m:begChr m:val="{"/>
                        <m:sepChr m:val=""/>
                        <m:endChr m:val="}"/>
                        <m:ctrlPr>
                          <w:rPr>
                            <w:rFonts w:ascii="Cambria Math" w:hAnsi="Cambria Math"/>
                          </w:rPr>
                        </m:ctrlPr>
                      </m:dPr>
                      <m:e>
                        <m:r>
                          <w:rPr>
                            <w:rFonts w:ascii="Cambria Math" w:hAnsi="Cambria Math"/>
                          </w:rPr>
                          <m:t>b</m:t>
                        </m:r>
                      </m:e>
                      <m:e>
                        <m:r>
                          <w:rPr>
                            <w:rFonts w:ascii="Cambria Math" w:hAnsi="Cambria Math"/>
                          </w:rPr>
                          <m:t>;</m:t>
                        </m:r>
                      </m:e>
                      <m:e>
                        <m:r>
                          <w:rPr>
                            <w:rFonts w:ascii="Cambria Math" w:hAnsi="Cambria Math"/>
                          </w:rPr>
                          <m:t xml:space="preserve"> </m:t>
                        </m:r>
                      </m:e>
                      <m:e>
                        <m:r>
                          <w:rPr>
                            <w:rFonts w:ascii="Cambria Math" w:hAnsi="Cambria Math"/>
                          </w:rPr>
                          <m:t>h</m:t>
                        </m:r>
                      </m:e>
                    </m:d>
                  </m:e>
                  <m:e>
                    <m:r>
                      <w:rPr>
                        <w:rFonts w:ascii="Cambria Math" w:hAnsi="Cambria Math"/>
                      </w:rPr>
                      <m:t>-</m:t>
                    </m:r>
                  </m:e>
                  <m:e>
                    <m:r>
                      <w:rPr>
                        <w:rFonts w:ascii="Cambria Math" w:hAnsi="Cambria Math"/>
                      </w:rPr>
                      <m:t>0,3</m:t>
                    </m:r>
                  </m:e>
                </m:d>
                <m:d>
                  <m:dPr>
                    <m:begChr m:val="{"/>
                    <m:endChr m:val=""/>
                    <m:ctrlPr>
                      <w:rPr>
                        <w:rFonts w:ascii="Cambria Math" w:hAnsi="Cambria Math"/>
                      </w:rPr>
                    </m:ctrlPr>
                  </m:dPr>
                  <m:e>
                    <m:f>
                      <m:fPr>
                        <m:ctrlPr>
                          <w:rPr>
                            <w:rFonts w:ascii="Cambria Math" w:hAnsi="Cambria Math"/>
                          </w:rPr>
                        </m:ctrlPr>
                      </m:fPr>
                      <m:num>
                        <m:r>
                          <w:rPr>
                            <w:rFonts w:ascii="Cambria Math" w:hAnsi="Cambria Math"/>
                          </w:rPr>
                          <m:t>≤0,8</m:t>
                        </m:r>
                      </m:num>
                      <m:den>
                        <m:r>
                          <w:rPr>
                            <w:rFonts w:ascii="Cambria Math" w:hAnsi="Cambria Math"/>
                          </w:rPr>
                          <m:t>≥0,5</m:t>
                        </m:r>
                      </m:den>
                    </m:f>
                  </m:e>
                </m:d>
              </m:oMath>
            </m:oMathPara>
          </w:p>
        </w:tc>
        <w:tc>
          <w:tcPr>
            <w:tcW w:w="1247" w:type="dxa"/>
            <w:vAlign w:val="center"/>
          </w:tcPr>
          <w:p w14:paraId="70B92569" w14:textId="53BB1C2E" w:rsidR="00DC705D" w:rsidRPr="001455DC" w:rsidRDefault="00DC705D" w:rsidP="00DC705D">
            <w:pPr>
              <w:pStyle w:val="Tablebody"/>
              <w:jc w:val="right"/>
              <w:rPr>
                <w:rFonts w:eastAsiaTheme="minorHAnsi"/>
              </w:rPr>
            </w:pPr>
            <w:r w:rsidRPr="001455DC">
              <w:t>(9.6)</w:t>
            </w:r>
          </w:p>
        </w:tc>
      </w:tr>
      <w:tr w:rsidR="00D160AE" w:rsidRPr="001455DC" w14:paraId="65C48B4E" w14:textId="77777777" w:rsidTr="00D160AE">
        <w:trPr>
          <w:cantSplit/>
        </w:trPr>
        <w:tc>
          <w:tcPr>
            <w:tcW w:w="1134" w:type="dxa"/>
          </w:tcPr>
          <w:p w14:paraId="49FC0734" w14:textId="6B534598" w:rsidR="00D160AE" w:rsidRPr="001455DC" w:rsidRDefault="00DC705D" w:rsidP="00EC27D2">
            <w:pPr>
              <w:pStyle w:val="Tablebody"/>
            </w:pPr>
            <w:r w:rsidRPr="001455DC">
              <w:t> </w:t>
            </w:r>
          </w:p>
        </w:tc>
        <w:tc>
          <w:tcPr>
            <w:tcW w:w="8278" w:type="dxa"/>
            <w:gridSpan w:val="2"/>
          </w:tcPr>
          <w:p w14:paraId="64AD41DC" w14:textId="05A5BF12" w:rsidR="00D160AE" w:rsidRPr="001455DC" w:rsidRDefault="00D160AE" w:rsidP="00272DA7">
            <w:pPr>
              <w:pStyle w:val="Tablebody"/>
              <w:rPr>
                <w:rFonts w:eastAsiaTheme="minorHAnsi"/>
              </w:rPr>
            </w:pPr>
            <w:r w:rsidRPr="001455DC">
              <w:t xml:space="preserve">where </w:t>
            </w:r>
            <w:r w:rsidRPr="001455DC">
              <w:rPr>
                <w:rStyle w:val="CCMCvariableitalic"/>
              </w:rPr>
              <w:t>h</w:t>
            </w:r>
            <w:r w:rsidRPr="001455DC">
              <w:t xml:space="preserve"> and </w:t>
            </w:r>
            <w:r w:rsidRPr="001455DC">
              <w:rPr>
                <w:rStyle w:val="CCMCvariableitalic"/>
              </w:rPr>
              <w:t>b</w:t>
            </w:r>
            <w:r w:rsidRPr="001455DC">
              <w:t xml:space="preserve"> [m] are the dimensions of the part of the section under consideration.</w:t>
            </w:r>
          </w:p>
        </w:tc>
      </w:tr>
    </w:tbl>
    <w:p w14:paraId="2860C2E8" w14:textId="54673BF5" w:rsidR="004E22C1" w:rsidRPr="001455DC" w:rsidRDefault="004E22C1" w:rsidP="00E844D2">
      <w:pPr>
        <w:pStyle w:val="a7"/>
        <w:keepNext/>
      </w:pPr>
      <w:r w:rsidRPr="001455DC">
        <w:t>(4)</w:t>
      </w:r>
      <w:r w:rsidRPr="001455DC">
        <w:tab/>
        <w:t xml:space="preserve">For a section with </w:t>
      </w:r>
      <w:r w:rsidRPr="001455DC">
        <w:rPr>
          <w:rStyle w:val="CCMCvariableitalic"/>
        </w:rPr>
        <w:t>n</w:t>
      </w:r>
      <w:r w:rsidRPr="001455DC">
        <w:rPr>
          <w:rStyle w:val="CCMCvariablesubscript"/>
        </w:rPr>
        <w:t>1</w:t>
      </w:r>
      <w:r w:rsidRPr="001455DC">
        <w:t xml:space="preserve"> bars of diameter </w:t>
      </w:r>
      <w:r w:rsidRPr="001455DC">
        <w:rPr>
          <w:rStyle w:val="CCMCvariableitalic"/>
        </w:rPr>
        <w:t>ϕ</w:t>
      </w:r>
      <w:r w:rsidRPr="001455DC">
        <w:rPr>
          <w:rStyle w:val="CCMCvariablesubscript"/>
        </w:rPr>
        <w:t>1</w:t>
      </w:r>
      <w:r w:rsidRPr="001455DC">
        <w:t xml:space="preserve"> and </w:t>
      </w:r>
      <w:r w:rsidRPr="001455DC">
        <w:rPr>
          <w:rStyle w:val="CCMCvariableitalic"/>
        </w:rPr>
        <w:t>n</w:t>
      </w:r>
      <w:r w:rsidRPr="001455DC">
        <w:rPr>
          <w:rStyle w:val="CCMCvariablesubscript"/>
        </w:rPr>
        <w:t>2</w:t>
      </w:r>
      <w:r w:rsidRPr="001455DC">
        <w:t xml:space="preserve"> bars of diameter</w:t>
      </w:r>
      <w:r w:rsidR="00DC705D" w:rsidRPr="001455DC">
        <w:t xml:space="preserve"> </w:t>
      </w:r>
      <w:r w:rsidRPr="001455DC">
        <w:rPr>
          <w:rStyle w:val="CCMCvariableitalic"/>
        </w:rPr>
        <w:t>ϕ</w:t>
      </w:r>
      <w:r w:rsidRPr="001455DC">
        <w:rPr>
          <w:rStyle w:val="CCMCvariablesubscript"/>
        </w:rPr>
        <w:t>2</w:t>
      </w:r>
      <w:r w:rsidRPr="001455DC">
        <w:t xml:space="preserve">, an equivalent bar diameter </w:t>
      </w:r>
      <w:r w:rsidRPr="001455DC">
        <w:rPr>
          <w:rStyle w:val="CCMCvariableitalic"/>
        </w:rPr>
        <w:t>ϕ</w:t>
      </w:r>
      <w:r w:rsidRPr="001455DC">
        <w:rPr>
          <w:rStyle w:val="CCMCvariablesubscript"/>
        </w:rPr>
        <w:t>eq</w:t>
      </w:r>
      <w:r w:rsidRPr="001455DC">
        <w:t xml:space="preserve"> with Formula (9.7) should be used instead of </w:t>
      </w:r>
      <w:r w:rsidRPr="001455DC">
        <w:rPr>
          <w:rStyle w:val="CCMCvariableitalic"/>
        </w:rPr>
        <w:t>ϕ</w:t>
      </w:r>
      <w:r w:rsidRPr="001455DC">
        <w:t>:</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DC705D" w:rsidRPr="001455DC" w14:paraId="783AA465" w14:textId="77777777" w:rsidTr="006724C7">
        <w:trPr>
          <w:cantSplit/>
        </w:trPr>
        <w:tc>
          <w:tcPr>
            <w:tcW w:w="8505" w:type="dxa"/>
            <w:vAlign w:val="center"/>
          </w:tcPr>
          <w:p w14:paraId="3D1AC0CF" w14:textId="0CF91085" w:rsidR="00DC705D" w:rsidRPr="001455DC" w:rsidRDefault="00231E33" w:rsidP="006724C7">
            <w:pPr>
              <w:pStyle w:val="Formula"/>
              <w:jc w:val="left"/>
            </w:pPr>
            <m:oMathPara>
              <m:oMathParaPr>
                <m:jc m:val="left"/>
              </m:oMathParaPr>
              <m:oMath>
                <m:sSub>
                  <m:sSubPr>
                    <m:ctrlPr>
                      <w:rPr>
                        <w:rFonts w:ascii="Cambria Math" w:hAnsi="Cambria Math"/>
                      </w:rPr>
                    </m:ctrlPr>
                  </m:sSubPr>
                  <m:e>
                    <m:r>
                      <w:rPr>
                        <w:rFonts w:ascii="Cambria Math" w:hAnsi="Cambria Math"/>
                      </w:rPr>
                      <m:t>ϕ</m:t>
                    </m:r>
                  </m:e>
                  <m:sub>
                    <m:r>
                      <m:rPr>
                        <m:sty m:val="p"/>
                      </m:rPr>
                      <w:rPr>
                        <w:rFonts w:ascii="Cambria Math" w:hAnsi="Cambria Math"/>
                      </w:rPr>
                      <m:t>eq</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1</m:t>
                        </m:r>
                      </m:sub>
                    </m:sSub>
                    <m:sSubSup>
                      <m:sSubSupPr>
                        <m:ctrlPr>
                          <w:rPr>
                            <w:rFonts w:ascii="Cambria Math" w:hAnsi="Cambria Math"/>
                          </w:rPr>
                        </m:ctrlPr>
                      </m:sSubSupPr>
                      <m:e>
                        <m:r>
                          <w:rPr>
                            <w:rFonts w:ascii="Cambria Math" w:hAnsi="Cambria Math"/>
                          </w:rPr>
                          <m:t>ϕ</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2</m:t>
                        </m:r>
                      </m:sub>
                    </m:sSub>
                    <m:sSubSup>
                      <m:sSubSupPr>
                        <m:ctrlPr>
                          <w:rPr>
                            <w:rFonts w:ascii="Cambria Math" w:hAnsi="Cambria Math"/>
                          </w:rPr>
                        </m:ctrlPr>
                      </m:sSubSupPr>
                      <m:e>
                        <m:r>
                          <w:rPr>
                            <w:rFonts w:ascii="Cambria Math" w:hAnsi="Cambria Math"/>
                          </w:rPr>
                          <m:t>ϕ</m:t>
                        </m:r>
                      </m:e>
                      <m:sub>
                        <m:r>
                          <w:rPr>
                            <w:rFonts w:ascii="Cambria Math" w:hAnsi="Cambria Math"/>
                          </w:rPr>
                          <m:t>2</m:t>
                        </m:r>
                      </m:sub>
                      <m:sup>
                        <m:r>
                          <w:rPr>
                            <w:rFonts w:ascii="Cambria Math" w:hAnsi="Cambria Math"/>
                          </w:rPr>
                          <m:t>2</m:t>
                        </m:r>
                      </m:sup>
                    </m:sSubSup>
                  </m:num>
                  <m:den>
                    <m:sSub>
                      <m:sSubPr>
                        <m:ctrlPr>
                          <w:rPr>
                            <w:rFonts w:ascii="Cambria Math" w:hAnsi="Cambria Math"/>
                          </w:rPr>
                        </m:ctrlPr>
                      </m:sSubPr>
                      <m:e>
                        <m:r>
                          <w:rPr>
                            <w:rFonts w:ascii="Cambria Math" w:hAnsi="Cambria Math"/>
                          </w:rPr>
                          <m:t>n</m:t>
                        </m:r>
                      </m:e>
                      <m:sub>
                        <m:r>
                          <w:rPr>
                            <w:rFonts w:ascii="Cambria Math" w:hAnsi="Cambria Math"/>
                          </w:rPr>
                          <m:t>1</m:t>
                        </m:r>
                      </m:sub>
                    </m:sSub>
                    <m:sSub>
                      <m:sSubPr>
                        <m:ctrlPr>
                          <w:rPr>
                            <w:rFonts w:ascii="Cambria Math" w:hAnsi="Cambria Math"/>
                          </w:rPr>
                        </m:ctrlPr>
                      </m:sSubPr>
                      <m:e>
                        <m:r>
                          <w:rPr>
                            <w:rFonts w:ascii="Cambria Math" w:hAnsi="Cambria Math"/>
                          </w:rPr>
                          <m:t>ϕ</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2</m:t>
                        </m:r>
                      </m:sub>
                    </m:sSub>
                    <m:sSub>
                      <m:sSubPr>
                        <m:ctrlPr>
                          <w:rPr>
                            <w:rFonts w:ascii="Cambria Math" w:hAnsi="Cambria Math"/>
                          </w:rPr>
                        </m:ctrlPr>
                      </m:sSubPr>
                      <m:e>
                        <m:r>
                          <w:rPr>
                            <w:rFonts w:ascii="Cambria Math" w:hAnsi="Cambria Math"/>
                          </w:rPr>
                          <m:t>ϕ</m:t>
                        </m:r>
                      </m:e>
                      <m:sub>
                        <m:r>
                          <w:rPr>
                            <w:rFonts w:ascii="Cambria Math" w:hAnsi="Cambria Math"/>
                          </w:rPr>
                          <m:t>2</m:t>
                        </m:r>
                      </m:sub>
                    </m:sSub>
                  </m:den>
                </m:f>
              </m:oMath>
            </m:oMathPara>
          </w:p>
        </w:tc>
        <w:tc>
          <w:tcPr>
            <w:tcW w:w="1247" w:type="dxa"/>
            <w:vAlign w:val="center"/>
          </w:tcPr>
          <w:p w14:paraId="4663A841" w14:textId="202DD5F5" w:rsidR="00DC705D" w:rsidRPr="001455DC" w:rsidRDefault="00DC705D" w:rsidP="006724C7">
            <w:pPr>
              <w:pStyle w:val="a7"/>
              <w:jc w:val="right"/>
            </w:pPr>
            <w:r w:rsidRPr="001455DC">
              <w:t>(9.7)</w:t>
            </w:r>
          </w:p>
        </w:tc>
      </w:tr>
    </w:tbl>
    <w:p w14:paraId="3831D373" w14:textId="4880FC9F" w:rsidR="00DC705D" w:rsidRPr="001455DC" w:rsidRDefault="00DC705D" w:rsidP="00DC705D">
      <w:pPr>
        <w:pStyle w:val="a7"/>
      </w:pPr>
      <w:r w:rsidRPr="001455DC">
        <w:t>(5)</w:t>
      </w:r>
      <w:r w:rsidRPr="001455DC">
        <w:tab/>
        <w:t xml:space="preserve">Bonded tendons in the tension zone may be assumed to contribute to crack control within a distance </w:t>
      </w:r>
      <w:r w:rsidR="00650035" w:rsidRPr="001455DC">
        <w:rPr>
          <w:rFonts w:ascii="Cambria Math" w:hAnsi="Cambria Math"/>
        </w:rPr>
        <w:t>≤</w:t>
      </w:r>
      <w:r w:rsidRPr="001455DC">
        <w:t xml:space="preserve"> 150 mm from the centre of the tendon. This may be taken into account by deducting the term </w:t>
      </w:r>
      <w:r w:rsidRPr="001455DC">
        <w:rPr>
          <w:rStyle w:val="CCMCvariableitalic"/>
        </w:rPr>
        <w:t>ξ</w:t>
      </w:r>
      <w:r w:rsidRPr="001455DC">
        <w:rPr>
          <w:rStyle w:val="CCMCvariablesubscript"/>
        </w:rPr>
        <w:t>1</w:t>
      </w:r>
      <w:r w:rsidRPr="001455DC">
        <w:rPr>
          <w:rStyle w:val="CCMCvariableitalic"/>
        </w:rPr>
        <w:t>A</w:t>
      </w:r>
      <w:r w:rsidRPr="001455DC">
        <w:rPr>
          <w:rStyle w:val="CCMCvariablesubscript"/>
        </w:rPr>
        <w:t>p</w:t>
      </w:r>
      <w:r w:rsidRPr="001455DC">
        <w:rPr>
          <w:rFonts w:cs="Symbol"/>
        </w:rPr>
        <w:t>Δ</w:t>
      </w:r>
      <w:r w:rsidRPr="001455DC">
        <w:rPr>
          <w:rStyle w:val="CCMCvariableitalic"/>
        </w:rPr>
        <w:t>σ</w:t>
      </w:r>
      <w:r w:rsidRPr="001455DC">
        <w:rPr>
          <w:rStyle w:val="CCMCvariablesubscript"/>
        </w:rPr>
        <w:t>p</w:t>
      </w:r>
      <w:r w:rsidRPr="001455DC">
        <w:t>/</w:t>
      </w:r>
      <w:r w:rsidRPr="001455DC">
        <w:rPr>
          <w:rStyle w:val="CCMCvariableitalic"/>
        </w:rPr>
        <w:t>σ</w:t>
      </w:r>
      <w:r w:rsidRPr="001455DC">
        <w:rPr>
          <w:rStyle w:val="CCMCvariablesubscript"/>
        </w:rPr>
        <w:t>s,lim</w:t>
      </w:r>
      <w:r w:rsidRPr="001455DC">
        <w:t xml:space="preserve"> from the area of minimum reinforcement corresponding to the tensioned face where the prestressing is placed.</w:t>
      </w:r>
    </w:p>
    <w:p w14:paraId="7CC1AE46" w14:textId="7601533E" w:rsidR="00DC705D" w:rsidRPr="001455DC" w:rsidRDefault="00DC705D"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7598"/>
        <w:gridCol w:w="1247"/>
      </w:tblGrid>
      <w:tr w:rsidR="00DC705D" w:rsidRPr="001455DC" w14:paraId="1C528EA1" w14:textId="77777777" w:rsidTr="006724C7">
        <w:trPr>
          <w:cantSplit/>
        </w:trPr>
        <w:tc>
          <w:tcPr>
            <w:tcW w:w="567" w:type="dxa"/>
          </w:tcPr>
          <w:p w14:paraId="2D47AFBD" w14:textId="13B19824" w:rsidR="00DC705D" w:rsidRPr="001455DC" w:rsidRDefault="0040163C" w:rsidP="006724C7">
            <w:pPr>
              <w:pStyle w:val="Tablebody"/>
            </w:pPr>
            <w:r w:rsidRPr="001455DC">
              <w:rPr>
                <w:rStyle w:val="CCMCvariableitalic"/>
              </w:rPr>
              <w:t>A</w:t>
            </w:r>
            <w:r w:rsidRPr="001455DC">
              <w:rPr>
                <w:rStyle w:val="CCMCvariablesubscript"/>
              </w:rPr>
              <w:t>p</w:t>
            </w:r>
          </w:p>
        </w:tc>
        <w:tc>
          <w:tcPr>
            <w:tcW w:w="8845" w:type="dxa"/>
            <w:gridSpan w:val="2"/>
          </w:tcPr>
          <w:p w14:paraId="322DA653" w14:textId="4BF4F5DF" w:rsidR="00DC705D" w:rsidRPr="001455DC" w:rsidRDefault="0040163C" w:rsidP="006724C7">
            <w:pPr>
              <w:pStyle w:val="Tablebody"/>
            </w:pPr>
            <w:r w:rsidRPr="001455DC">
              <w:rPr>
                <w:rFonts w:eastAsiaTheme="minorHAnsi"/>
              </w:rPr>
              <w:t>is the area of pre-tensioning or bonded post-tensioning tendons within the tensile zone;</w:t>
            </w:r>
          </w:p>
        </w:tc>
      </w:tr>
      <w:tr w:rsidR="00DC705D" w:rsidRPr="001455DC" w14:paraId="7C9F7A36" w14:textId="77777777" w:rsidTr="006724C7">
        <w:trPr>
          <w:cantSplit/>
        </w:trPr>
        <w:tc>
          <w:tcPr>
            <w:tcW w:w="567" w:type="dxa"/>
          </w:tcPr>
          <w:p w14:paraId="26366D1D" w14:textId="4444F798" w:rsidR="00DC705D" w:rsidRPr="001455DC" w:rsidRDefault="0040163C" w:rsidP="006724C7">
            <w:pPr>
              <w:pStyle w:val="Tablebody"/>
            </w:pPr>
            <w:r w:rsidRPr="001455DC">
              <w:rPr>
                <w:rStyle w:val="CCMCvariableitalic"/>
              </w:rPr>
              <w:t>ξ</w:t>
            </w:r>
            <w:r w:rsidRPr="001455DC">
              <w:rPr>
                <w:rStyle w:val="CCMCvariablesubscript"/>
              </w:rPr>
              <w:t>1</w:t>
            </w:r>
          </w:p>
        </w:tc>
        <w:tc>
          <w:tcPr>
            <w:tcW w:w="8845" w:type="dxa"/>
            <w:gridSpan w:val="2"/>
          </w:tcPr>
          <w:p w14:paraId="1104B4F9" w14:textId="4EBF67BD" w:rsidR="00DC705D" w:rsidRPr="001455DC" w:rsidRDefault="0040163C" w:rsidP="006724C7">
            <w:pPr>
              <w:pStyle w:val="Tablebody"/>
            </w:pPr>
            <w:r w:rsidRPr="001455DC">
              <w:rPr>
                <w:rFonts w:eastAsiaTheme="minorHAnsi"/>
              </w:rPr>
              <w:t xml:space="preserve">is the adjusted ratio of bond strength taking into account the different diameters of prestressing and reinforcing steel, according to </w:t>
            </w:r>
            <w:r w:rsidRPr="001455DC">
              <w:t>Formula (9.8)</w:t>
            </w:r>
            <w:r w:rsidRPr="001455DC">
              <w:rPr>
                <w:rFonts w:eastAsiaTheme="minorHAnsi"/>
              </w:rPr>
              <w:t>:</w:t>
            </w:r>
          </w:p>
        </w:tc>
      </w:tr>
      <w:tr w:rsidR="0040163C" w:rsidRPr="001455DC" w14:paraId="513C2C7C" w14:textId="77777777" w:rsidTr="0040163C">
        <w:trPr>
          <w:cantSplit/>
        </w:trPr>
        <w:tc>
          <w:tcPr>
            <w:tcW w:w="567" w:type="dxa"/>
          </w:tcPr>
          <w:p w14:paraId="0D206DF2" w14:textId="2B920957" w:rsidR="0040163C" w:rsidRPr="001455DC" w:rsidRDefault="006724C7" w:rsidP="006724C7">
            <w:pPr>
              <w:pStyle w:val="Tablebody"/>
            </w:pPr>
            <w:r w:rsidRPr="001455DC">
              <w:t> </w:t>
            </w:r>
          </w:p>
        </w:tc>
        <w:tc>
          <w:tcPr>
            <w:tcW w:w="7598" w:type="dxa"/>
            <w:vAlign w:val="center"/>
          </w:tcPr>
          <w:p w14:paraId="4D91828F" w14:textId="3A25A4E8" w:rsidR="0040163C" w:rsidRPr="001455DC" w:rsidRDefault="00231E33" w:rsidP="0040163C">
            <w:pPr>
              <w:pStyle w:val="Tablebody"/>
              <w:jc w:val="left"/>
            </w:pPr>
            <m:oMathPara>
              <m:oMathParaPr>
                <m:jc m:val="left"/>
              </m:oMathParaPr>
              <m:oMath>
                <m:sSub>
                  <m:sSubPr>
                    <m:ctrlPr>
                      <w:rPr>
                        <w:rFonts w:ascii="Cambria Math" w:hAnsi="Cambria Math"/>
                      </w:rPr>
                    </m:ctrlPr>
                  </m:sSubPr>
                  <m:e>
                    <m:r>
                      <w:rPr>
                        <w:rFonts w:ascii="Cambria Math" w:hAnsi="Cambria Math"/>
                      </w:rPr>
                      <m:t>ξ</m:t>
                    </m:r>
                  </m:e>
                  <m:sub>
                    <m:r>
                      <w:rPr>
                        <w:rFonts w:ascii="Cambria Math" w:hAnsi="Cambria Math"/>
                      </w:rPr>
                      <m:t>1</m:t>
                    </m:r>
                  </m:sub>
                </m:sSub>
                <m:r>
                  <w:rPr>
                    <w:rFonts w:ascii="Cambria Math" w:hAnsi="Cambria Math"/>
                  </w:rPr>
                  <m:t>=ξ</m:t>
                </m:r>
                <m:f>
                  <m:fPr>
                    <m:ctrlPr>
                      <w:rPr>
                        <w:rFonts w:ascii="Cambria Math" w:hAnsi="Cambria Math"/>
                      </w:rPr>
                    </m:ctrlPr>
                  </m:fPr>
                  <m:num>
                    <m:r>
                      <w:rPr>
                        <w:rFonts w:ascii="Cambria Math" w:hAnsi="Cambria Math"/>
                      </w:rPr>
                      <m:t>ϕ</m:t>
                    </m:r>
                  </m:num>
                  <m:den>
                    <m:sSub>
                      <m:sSubPr>
                        <m:ctrlPr>
                          <w:rPr>
                            <w:rFonts w:ascii="Cambria Math" w:hAnsi="Cambria Math"/>
                          </w:rPr>
                        </m:ctrlPr>
                      </m:sSubPr>
                      <m:e>
                        <m:r>
                          <w:rPr>
                            <w:rFonts w:ascii="Cambria Math" w:hAnsi="Cambria Math"/>
                          </w:rPr>
                          <m:t>ϕ</m:t>
                        </m:r>
                      </m:e>
                      <m:sub>
                        <m:r>
                          <m:rPr>
                            <m:sty m:val="p"/>
                          </m:rPr>
                          <w:rPr>
                            <w:rFonts w:ascii="Cambria Math" w:hAnsi="Cambria Math"/>
                          </w:rPr>
                          <m:t>p</m:t>
                        </m:r>
                      </m:sub>
                    </m:sSub>
                  </m:den>
                </m:f>
              </m:oMath>
            </m:oMathPara>
          </w:p>
        </w:tc>
        <w:tc>
          <w:tcPr>
            <w:tcW w:w="1247" w:type="dxa"/>
            <w:vAlign w:val="center"/>
          </w:tcPr>
          <w:p w14:paraId="30268800" w14:textId="1AEC8384" w:rsidR="0040163C" w:rsidRPr="001455DC" w:rsidRDefault="0040163C" w:rsidP="0040163C">
            <w:pPr>
              <w:pStyle w:val="Tablebody"/>
              <w:jc w:val="right"/>
            </w:pPr>
            <w:r w:rsidRPr="001455DC">
              <w:t>(9.8)</w:t>
            </w:r>
          </w:p>
        </w:tc>
      </w:tr>
    </w:tbl>
    <w:p w14:paraId="1357C2BC" w14:textId="183D082E" w:rsidR="00272DA7" w:rsidRPr="001455DC" w:rsidRDefault="00272DA7"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272DA7" w:rsidRPr="001455DC" w14:paraId="41BE5338" w14:textId="77777777" w:rsidTr="00272DA7">
        <w:trPr>
          <w:cantSplit/>
        </w:trPr>
        <w:tc>
          <w:tcPr>
            <w:tcW w:w="567" w:type="dxa"/>
          </w:tcPr>
          <w:p w14:paraId="28D66790" w14:textId="3A807FE0" w:rsidR="00272DA7" w:rsidRPr="001455DC" w:rsidRDefault="00D160AE" w:rsidP="00272DA7">
            <w:pPr>
              <w:pStyle w:val="Tablebody"/>
            </w:pPr>
            <w:r w:rsidRPr="001455DC">
              <w:rPr>
                <w:rStyle w:val="CCMCvariableitalic"/>
              </w:rPr>
              <w:t>ξ</w:t>
            </w:r>
          </w:p>
        </w:tc>
        <w:tc>
          <w:tcPr>
            <w:tcW w:w="8845" w:type="dxa"/>
          </w:tcPr>
          <w:p w14:paraId="444FBACE" w14:textId="134B191A" w:rsidR="00272DA7" w:rsidRPr="001455DC" w:rsidRDefault="00D160AE" w:rsidP="00272DA7">
            <w:pPr>
              <w:pStyle w:val="Tablebody"/>
            </w:pPr>
            <w:r w:rsidRPr="001455DC">
              <w:rPr>
                <w:rFonts w:eastAsiaTheme="minorHAnsi"/>
              </w:rPr>
              <w:t>ratio of bond strength of prestressing and reinforcing steel, according to Table 10.1 in 10.3(1);</w:t>
            </w:r>
          </w:p>
        </w:tc>
      </w:tr>
      <w:tr w:rsidR="00272DA7" w:rsidRPr="001455DC" w14:paraId="69CE9018" w14:textId="77777777" w:rsidTr="00272DA7">
        <w:trPr>
          <w:cantSplit/>
        </w:trPr>
        <w:tc>
          <w:tcPr>
            <w:tcW w:w="567" w:type="dxa"/>
          </w:tcPr>
          <w:p w14:paraId="3D8B51C7" w14:textId="3C7412DC" w:rsidR="00272DA7" w:rsidRPr="001455DC" w:rsidRDefault="00D160AE" w:rsidP="00272DA7">
            <w:pPr>
              <w:pStyle w:val="Tablebody"/>
            </w:pPr>
            <w:r w:rsidRPr="001455DC">
              <w:rPr>
                <w:rStyle w:val="CCMCvariableitalic"/>
              </w:rPr>
              <w:t>ϕ</w:t>
            </w:r>
          </w:p>
        </w:tc>
        <w:tc>
          <w:tcPr>
            <w:tcW w:w="8845" w:type="dxa"/>
          </w:tcPr>
          <w:p w14:paraId="24CD0F3E" w14:textId="61B35C8D" w:rsidR="00272DA7" w:rsidRPr="001455DC" w:rsidRDefault="00D160AE">
            <w:pPr>
              <w:pStyle w:val="Tablebody"/>
            </w:pPr>
            <w:r w:rsidRPr="001455DC">
              <w:rPr>
                <w:rFonts w:eastAsiaTheme="minorHAnsi"/>
              </w:rPr>
              <w:t xml:space="preserve">is the diameter of </w:t>
            </w:r>
            <w:r w:rsidR="00706BEF" w:rsidRPr="001455DC">
              <w:rPr>
                <w:rFonts w:eastAsiaTheme="minorHAnsi"/>
              </w:rPr>
              <w:t xml:space="preserve">the </w:t>
            </w:r>
            <w:r w:rsidRPr="001455DC">
              <w:rPr>
                <w:rFonts w:eastAsiaTheme="minorHAnsi"/>
              </w:rPr>
              <w:t>reinforcing steel</w:t>
            </w:r>
            <w:r w:rsidR="00706BEF" w:rsidRPr="001455DC">
              <w:rPr>
                <w:rFonts w:eastAsiaTheme="minorHAnsi"/>
              </w:rPr>
              <w:t xml:space="preserve"> bar</w:t>
            </w:r>
            <w:r w:rsidRPr="001455DC">
              <w:rPr>
                <w:rFonts w:eastAsiaTheme="minorHAnsi"/>
              </w:rPr>
              <w:t>;</w:t>
            </w:r>
          </w:p>
        </w:tc>
      </w:tr>
      <w:tr w:rsidR="00D160AE" w:rsidRPr="001455DC" w14:paraId="6423C28D" w14:textId="77777777" w:rsidTr="00272DA7">
        <w:trPr>
          <w:cantSplit/>
        </w:trPr>
        <w:tc>
          <w:tcPr>
            <w:tcW w:w="567" w:type="dxa"/>
          </w:tcPr>
          <w:p w14:paraId="2318CE16" w14:textId="71BE603B" w:rsidR="00D160AE" w:rsidRPr="001455DC" w:rsidRDefault="00D160AE" w:rsidP="00272DA7">
            <w:pPr>
              <w:pStyle w:val="Tablebody"/>
            </w:pPr>
            <w:r w:rsidRPr="001455DC">
              <w:rPr>
                <w:rStyle w:val="CCMCvariableitalic"/>
              </w:rPr>
              <w:t>ϕ</w:t>
            </w:r>
            <w:r w:rsidRPr="001455DC">
              <w:rPr>
                <w:rStyle w:val="CCMCvariablesubscript"/>
              </w:rPr>
              <w:t>p</w:t>
            </w:r>
          </w:p>
        </w:tc>
        <w:tc>
          <w:tcPr>
            <w:tcW w:w="8845" w:type="dxa"/>
          </w:tcPr>
          <w:p w14:paraId="09A6EECC" w14:textId="38F274B3" w:rsidR="00D160AE" w:rsidRPr="001455DC" w:rsidRDefault="00D160AE" w:rsidP="00272DA7">
            <w:pPr>
              <w:pStyle w:val="Tablebody"/>
            </w:pPr>
            <w:r w:rsidRPr="001455DC">
              <w:rPr>
                <w:rFonts w:eastAsiaTheme="minorHAnsi"/>
              </w:rPr>
              <w:t xml:space="preserve">diameter of tendon according to 10.3(1). If only prestressing steel is used to control cracking, </w:t>
            </w:r>
            <w:r w:rsidRPr="001455DC">
              <w:rPr>
                <w:rStyle w:val="CCMCvariableitalic"/>
              </w:rPr>
              <w:t>ξ</w:t>
            </w:r>
            <w:r w:rsidRPr="001455DC">
              <w:rPr>
                <w:rStyle w:val="CCMCvariablesubscript"/>
              </w:rPr>
              <w:t>1</w:t>
            </w:r>
            <w:r w:rsidRPr="001455DC">
              <w:t> </w:t>
            </w:r>
            <w:r w:rsidR="00EC27D2" w:rsidRPr="001455DC">
              <w:rPr>
                <w:rFonts w:ascii="Cambria Math" w:hAnsi="Cambria Math"/>
              </w:rPr>
              <w:t>=</w:t>
            </w:r>
            <w:r w:rsidRPr="001455DC">
              <w:t> </w:t>
            </w:r>
            <w:r w:rsidRPr="001455DC">
              <w:rPr>
                <w:rStyle w:val="CCMCvariableitalic"/>
              </w:rPr>
              <w:t>ξ</w:t>
            </w:r>
            <w:r w:rsidRPr="001455DC">
              <w:rPr>
                <w:rFonts w:eastAsiaTheme="minorHAnsi"/>
              </w:rPr>
              <w:t>;</w:t>
            </w:r>
          </w:p>
        </w:tc>
      </w:tr>
      <w:tr w:rsidR="00272DA7" w:rsidRPr="001455DC" w14:paraId="2B3374C0" w14:textId="77777777" w:rsidTr="00272DA7">
        <w:trPr>
          <w:cantSplit/>
        </w:trPr>
        <w:tc>
          <w:tcPr>
            <w:tcW w:w="567" w:type="dxa"/>
          </w:tcPr>
          <w:p w14:paraId="347AC901" w14:textId="64F2DBFC" w:rsidR="00272DA7" w:rsidRPr="001455DC" w:rsidRDefault="00D160AE" w:rsidP="00272DA7">
            <w:pPr>
              <w:pStyle w:val="Tablebody"/>
            </w:pPr>
            <w:r w:rsidRPr="001455DC">
              <w:rPr>
                <w:rFonts w:eastAsiaTheme="minorHAnsi"/>
              </w:rPr>
              <w:t>Δ</w:t>
            </w:r>
            <w:r w:rsidRPr="001455DC">
              <w:rPr>
                <w:rStyle w:val="CCMCvariableitalic"/>
              </w:rPr>
              <w:t>σ</w:t>
            </w:r>
            <w:r w:rsidRPr="001455DC">
              <w:rPr>
                <w:rStyle w:val="CCMCvariablesubscript"/>
              </w:rPr>
              <w:t>p</w:t>
            </w:r>
          </w:p>
        </w:tc>
        <w:tc>
          <w:tcPr>
            <w:tcW w:w="8845" w:type="dxa"/>
          </w:tcPr>
          <w:p w14:paraId="657DEE7F" w14:textId="04205B44" w:rsidR="00272DA7" w:rsidRPr="001455DC" w:rsidRDefault="00D160AE" w:rsidP="00272DA7">
            <w:pPr>
              <w:pStyle w:val="Tablebody"/>
            </w:pPr>
            <w:r w:rsidRPr="001455DC">
              <w:rPr>
                <w:rFonts w:eastAsiaTheme="minorHAnsi"/>
              </w:rPr>
              <w:t>stress variation in prestressing tendons from the state of zero strain of the concrete at the same level.</w:t>
            </w:r>
          </w:p>
        </w:tc>
      </w:tr>
    </w:tbl>
    <w:p w14:paraId="79118E20" w14:textId="77777777" w:rsidR="0040163C" w:rsidRPr="001455DC" w:rsidRDefault="004E22C1" w:rsidP="0040163C">
      <w:pPr>
        <w:pStyle w:val="a7"/>
      </w:pPr>
      <w:r w:rsidRPr="001455DC">
        <w:t>(6)</w:t>
      </w:r>
      <w:r w:rsidRPr="001455DC">
        <w:tab/>
        <w:t>Beams with a downstand depth of more than 600 mm, where the main tension reinforcement is concentrated at the most tensioned fibre, should be provided with additional longitudinal reinforcement given by Formula (9.9), at a spacing not exceeding 300 mm, to control cracking on the side faces of the beam. This reinforcement should be evenly distributed between the level of the reinforcement layer closest to the neutral axis and the neutral axis.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0163C" w:rsidRPr="001455DC" w14:paraId="371CF1C8" w14:textId="77777777" w:rsidTr="006724C7">
        <w:trPr>
          <w:cantSplit/>
        </w:trPr>
        <w:tc>
          <w:tcPr>
            <w:tcW w:w="8505" w:type="dxa"/>
            <w:vAlign w:val="center"/>
          </w:tcPr>
          <w:p w14:paraId="31866234" w14:textId="0446DFFA" w:rsidR="0040163C" w:rsidRPr="001455DC" w:rsidRDefault="00231E33" w:rsidP="006724C7">
            <w:pPr>
              <w:pStyle w:val="Formula"/>
              <w:jc w:val="left"/>
            </w:pPr>
            <m:oMathPara>
              <m:oMathParaPr>
                <m:jc m:val="left"/>
              </m:oMathParaPr>
              <m:oMath>
                <m:sSub>
                  <m:sSubPr>
                    <m:ctrlPr>
                      <w:rPr>
                        <w:rFonts w:ascii="Cambria Math" w:hAnsi="Cambria Math"/>
                      </w:rPr>
                    </m:ctrlPr>
                  </m:sSubPr>
                  <m:e>
                    <m:r>
                      <w:rPr>
                        <w:rFonts w:ascii="Cambria Math" w:hAnsi="Cambria Math"/>
                      </w:rPr>
                      <m:t>A</m:t>
                    </m:r>
                  </m:e>
                  <m:sub>
                    <m:r>
                      <m:rPr>
                        <m:sty m:val="p"/>
                      </m:rPr>
                      <w:rPr>
                        <w:rFonts w:ascii="Cambria Math" w:hAnsi="Cambria Math"/>
                      </w:rPr>
                      <m:t>s,web</m:t>
                    </m:r>
                  </m:sub>
                </m:sSub>
                <m:r>
                  <w:rPr>
                    <w:rFonts w:ascii="Cambria Math" w:hAnsi="Cambria Math"/>
                  </w:rPr>
                  <m:t>=0,2</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ct,eff</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yk</m:t>
                        </m:r>
                      </m:sub>
                    </m:sSub>
                  </m:den>
                </m:f>
                <m:sSub>
                  <m:sSubPr>
                    <m:ctrlPr>
                      <w:rPr>
                        <w:rFonts w:ascii="Cambria Math" w:hAnsi="Cambria Math"/>
                      </w:rPr>
                    </m:ctrlPr>
                  </m:sSubPr>
                  <m:e>
                    <m:r>
                      <w:rPr>
                        <w:rFonts w:ascii="Cambria Math" w:hAnsi="Cambria Math"/>
                      </w:rPr>
                      <m:t>b</m:t>
                    </m:r>
                  </m:e>
                  <m:sub>
                    <m:r>
                      <w:rPr>
                        <w:rFonts w:ascii="Cambria Math" w:hAnsi="Cambria Math"/>
                      </w:rPr>
                      <m:t>w</m:t>
                    </m:r>
                  </m:sub>
                </m:sSub>
                <m:d>
                  <m:dPr>
                    <m:ctrlPr>
                      <w:rPr>
                        <w:rFonts w:ascii="Cambria Math" w:hAnsi="Cambria Math"/>
                      </w:rPr>
                    </m:ctrlPr>
                  </m:dPr>
                  <m:e>
                    <m:r>
                      <w:rPr>
                        <w:rFonts w:ascii="Cambria Math" w:hAnsi="Cambria Math"/>
                      </w:rPr>
                      <m:t>d-x-</m:t>
                    </m:r>
                    <m:sSub>
                      <m:sSubPr>
                        <m:ctrlPr>
                          <w:rPr>
                            <w:rFonts w:ascii="Cambria Math" w:hAnsi="Cambria Math"/>
                          </w:rPr>
                        </m:ctrlPr>
                      </m:sSubPr>
                      <m:e>
                        <m:r>
                          <w:rPr>
                            <w:rFonts w:ascii="Cambria Math" w:hAnsi="Cambria Math"/>
                          </w:rPr>
                          <m:t>a</m:t>
                        </m:r>
                      </m:e>
                      <m:sub>
                        <m:r>
                          <w:rPr>
                            <w:rFonts w:ascii="Cambria Math" w:hAnsi="Cambria Math"/>
                          </w:rPr>
                          <m:t>1</m:t>
                        </m:r>
                      </m:sub>
                    </m:sSub>
                  </m:e>
                </m:d>
              </m:oMath>
            </m:oMathPara>
          </w:p>
        </w:tc>
        <w:tc>
          <w:tcPr>
            <w:tcW w:w="1247" w:type="dxa"/>
            <w:vAlign w:val="center"/>
          </w:tcPr>
          <w:p w14:paraId="0B72330B" w14:textId="5E8F6622" w:rsidR="0040163C" w:rsidRPr="001455DC" w:rsidRDefault="0040163C" w:rsidP="006724C7">
            <w:pPr>
              <w:pStyle w:val="a7"/>
              <w:jc w:val="right"/>
            </w:pPr>
            <w:r w:rsidRPr="001455DC">
              <w:t>(9.9)</w:t>
            </w:r>
          </w:p>
        </w:tc>
      </w:tr>
    </w:tbl>
    <w:p w14:paraId="764B466E" w14:textId="77777777" w:rsidR="00A3240C" w:rsidRPr="001455DC" w:rsidRDefault="00A3240C" w:rsidP="00A3240C">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765"/>
        <w:gridCol w:w="8647"/>
      </w:tblGrid>
      <w:tr w:rsidR="00A3240C" w:rsidRPr="001455DC" w14:paraId="16A5ECA8" w14:textId="77777777" w:rsidTr="009D3012">
        <w:trPr>
          <w:cantSplit/>
        </w:trPr>
        <w:tc>
          <w:tcPr>
            <w:tcW w:w="765" w:type="dxa"/>
          </w:tcPr>
          <w:p w14:paraId="40D9E2AC" w14:textId="77305075" w:rsidR="00A3240C" w:rsidRPr="001455DC" w:rsidRDefault="00A3240C" w:rsidP="00A3240C">
            <w:pPr>
              <w:pStyle w:val="Tablebody"/>
            </w:pPr>
            <w:r w:rsidRPr="001455DC">
              <w:rPr>
                <w:i/>
              </w:rPr>
              <w:t>A</w:t>
            </w:r>
            <w:r w:rsidRPr="001455DC">
              <w:rPr>
                <w:vertAlign w:val="subscript"/>
              </w:rPr>
              <w:t>s,web</w:t>
            </w:r>
            <w:r w:rsidRPr="001455DC">
              <w:rPr>
                <w:rFonts w:eastAsiaTheme="minorHAnsi"/>
              </w:rPr>
              <w:tab/>
            </w:r>
          </w:p>
        </w:tc>
        <w:tc>
          <w:tcPr>
            <w:tcW w:w="8647" w:type="dxa"/>
          </w:tcPr>
          <w:p w14:paraId="01D9ABF1" w14:textId="5F1EBF16" w:rsidR="00A3240C" w:rsidRPr="009D3012" w:rsidRDefault="00A3240C" w:rsidP="009D3012">
            <w:pPr>
              <w:ind w:left="-28" w:firstLine="28"/>
            </w:pPr>
            <w:r w:rsidRPr="009D3012">
              <w:rPr>
                <w:rFonts w:eastAsiaTheme="minorHAnsi"/>
              </w:rPr>
              <w:t>is the longitudinal reinforcement to be provided distributed on the two surfaces of the web in a height limited by the neutral axis and (</w:t>
            </w:r>
            <w:r w:rsidRPr="009D3012">
              <w:rPr>
                <w:rFonts w:eastAsiaTheme="minorHAnsi"/>
                <w:i/>
              </w:rPr>
              <w:t>d – a</w:t>
            </w:r>
            <w:r w:rsidRPr="009D3012">
              <w:rPr>
                <w:rFonts w:eastAsiaTheme="minorHAnsi"/>
                <w:iCs/>
                <w:vertAlign w:val="subscript"/>
              </w:rPr>
              <w:t>1</w:t>
            </w:r>
            <w:r w:rsidRPr="009D3012">
              <w:rPr>
                <w:rFonts w:eastAsiaTheme="minorHAnsi"/>
                <w:iCs/>
              </w:rPr>
              <w:t>)</w:t>
            </w:r>
            <w:r w:rsidRPr="009D3012">
              <w:rPr>
                <w:rFonts w:eastAsiaTheme="minorHAnsi"/>
                <w:i/>
              </w:rPr>
              <w:t xml:space="preserve"> </w:t>
            </w:r>
            <w:r w:rsidRPr="009D3012">
              <w:rPr>
                <w:rFonts w:eastAsiaTheme="minorHAnsi"/>
              </w:rPr>
              <w:t>at a spacing not exceeding 300 mm to control cracking;</w:t>
            </w:r>
          </w:p>
        </w:tc>
      </w:tr>
      <w:tr w:rsidR="00A3240C" w:rsidRPr="001455DC" w14:paraId="03BDC2FD" w14:textId="77777777" w:rsidTr="009D3012">
        <w:trPr>
          <w:cantSplit/>
        </w:trPr>
        <w:tc>
          <w:tcPr>
            <w:tcW w:w="765" w:type="dxa"/>
          </w:tcPr>
          <w:p w14:paraId="7674B409" w14:textId="766C528A" w:rsidR="00A3240C" w:rsidRPr="001455DC" w:rsidRDefault="00A3240C" w:rsidP="00A3240C">
            <w:pPr>
              <w:pStyle w:val="Tablebody"/>
            </w:pPr>
            <w:r w:rsidRPr="001455DC">
              <w:rPr>
                <w:rFonts w:eastAsiaTheme="minorHAnsi"/>
                <w:i/>
              </w:rPr>
              <w:t>a</w:t>
            </w:r>
            <w:r w:rsidRPr="001455DC">
              <w:rPr>
                <w:rFonts w:eastAsiaTheme="minorHAnsi"/>
                <w:iCs/>
                <w:vertAlign w:val="subscript"/>
              </w:rPr>
              <w:t>1</w:t>
            </w:r>
            <w:r w:rsidRPr="001455DC">
              <w:rPr>
                <w:rFonts w:eastAsiaTheme="minorHAnsi"/>
                <w:i/>
              </w:rPr>
              <w:t xml:space="preserve"> </w:t>
            </w:r>
            <w:r w:rsidRPr="001455DC">
              <w:rPr>
                <w:rFonts w:eastAsiaTheme="minorHAnsi"/>
              </w:rPr>
              <w:tab/>
            </w:r>
          </w:p>
        </w:tc>
        <w:tc>
          <w:tcPr>
            <w:tcW w:w="8647" w:type="dxa"/>
          </w:tcPr>
          <w:p w14:paraId="762BA74A" w14:textId="6C19A756" w:rsidR="00A3240C" w:rsidRPr="001455DC" w:rsidRDefault="00A3240C" w:rsidP="00A3240C">
            <w:pPr>
              <w:pStyle w:val="Tablebody"/>
            </w:pPr>
            <w:r w:rsidRPr="001455DC">
              <w:rPr>
                <w:rFonts w:eastAsiaTheme="minorHAnsi"/>
              </w:rPr>
              <w:t>equal to 150 mm.</w:t>
            </w:r>
          </w:p>
        </w:tc>
      </w:tr>
    </w:tbl>
    <w:p w14:paraId="55A51E91" w14:textId="2A4522EE" w:rsidR="004E22C1" w:rsidRPr="001455DC" w:rsidRDefault="004E22C1" w:rsidP="00272DA7">
      <w:pPr>
        <w:pStyle w:val="a7"/>
      </w:pPr>
      <w:r w:rsidRPr="001455DC">
        <w:t>(7)</w:t>
      </w:r>
      <w:r w:rsidRPr="001455DC">
        <w:tab/>
        <w:t>In prestressed members, no minimum reinforcement for crack control is required in sections where, under the characteristic combination of actions and the characteristic value of prestress,</w:t>
      </w:r>
      <w:r w:rsidRPr="001455DC">
        <w:rPr>
          <w:szCs w:val="22"/>
        </w:rPr>
        <w:t xml:space="preserve"> </w:t>
      </w:r>
      <w:r w:rsidRPr="001455DC">
        <w:t xml:space="preserve">the tensile stress in the concrete is below </w:t>
      </w:r>
      <w:r w:rsidRPr="001455DC">
        <w:rPr>
          <w:rStyle w:val="CCMCvariableitalic"/>
        </w:rPr>
        <w:t>f</w:t>
      </w:r>
      <w:r w:rsidRPr="001455DC">
        <w:rPr>
          <w:rStyle w:val="CCMCvariablesubscript"/>
        </w:rPr>
        <w:t>ct,eff</w:t>
      </w:r>
      <w:r w:rsidRPr="001455DC">
        <w:t>.</w:t>
      </w:r>
    </w:p>
    <w:p w14:paraId="3A927785" w14:textId="1F04E234" w:rsidR="004E22C1" w:rsidRPr="001455DC" w:rsidRDefault="004E22C1" w:rsidP="00243590">
      <w:pPr>
        <w:pStyle w:val="31"/>
      </w:pPr>
      <w:bookmarkStart w:id="695" w:name="_Toc52820009"/>
      <w:bookmarkStart w:id="696" w:name="_Toc54337403"/>
      <w:bookmarkStart w:id="697" w:name="_Toc54338066"/>
      <w:bookmarkStart w:id="698" w:name="_Toc67565410"/>
      <w:r w:rsidRPr="001455DC">
        <w:t>Simplified control of cracking</w:t>
      </w:r>
      <w:bookmarkEnd w:id="695"/>
      <w:bookmarkEnd w:id="696"/>
      <w:bookmarkEnd w:id="697"/>
      <w:bookmarkEnd w:id="698"/>
    </w:p>
    <w:p w14:paraId="1FFFF0CD" w14:textId="06224DD2" w:rsidR="004E22C1" w:rsidRPr="001455DC" w:rsidRDefault="004E22C1" w:rsidP="0040163C">
      <w:pPr>
        <w:pStyle w:val="Note"/>
      </w:pPr>
      <w:r w:rsidRPr="001455DC">
        <w:t>NOTE</w:t>
      </w:r>
      <w:r w:rsidRPr="001455DC">
        <w:tab/>
        <w:t>9.2.3 is a simplification of 9.2.4. A conservative value is assumed for the effective tension area and tension stiffening effects are estimated as a 10 % reduction in the steel stress obtained considering a fully cracked section.</w:t>
      </w:r>
    </w:p>
    <w:p w14:paraId="52A755C5" w14:textId="77777777" w:rsidR="0040163C" w:rsidRPr="001455DC" w:rsidRDefault="004E22C1" w:rsidP="00E844D2">
      <w:pPr>
        <w:pStyle w:val="a7"/>
        <w:keepNext/>
      </w:pPr>
      <w:r w:rsidRPr="001455DC">
        <w:t>(1)</w:t>
      </w:r>
      <w:r w:rsidRPr="001455DC">
        <w:tab/>
        <w:t xml:space="preserve">The rules given in 9.2.4 may be complied with by restricting either the bar diameter </w:t>
      </w:r>
      <w:r w:rsidRPr="001455DC">
        <w:rPr>
          <w:rStyle w:val="CCMCvariableitalic"/>
          <w:szCs w:val="22"/>
        </w:rPr>
        <w:t>ϕ</w:t>
      </w:r>
      <w:r w:rsidRPr="001455DC">
        <w:t xml:space="preserve"> according to Formula (9.10) or the bar spacing </w:t>
      </w:r>
      <w:r w:rsidRPr="001455DC">
        <w:rPr>
          <w:rStyle w:val="CCMCvariableitalic"/>
          <w:szCs w:val="22"/>
        </w:rPr>
        <w:t>s</w:t>
      </w:r>
      <w:r w:rsidRPr="001455DC">
        <w:rPr>
          <w:rStyle w:val="CCMCvariablesubscript"/>
          <w:szCs w:val="22"/>
        </w:rPr>
        <w:t>l</w:t>
      </w:r>
      <w:r w:rsidRPr="001455DC">
        <w:t xml:space="preserve"> according to Formula (9.11).</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0163C" w:rsidRPr="001455DC" w14:paraId="255544D8" w14:textId="77777777" w:rsidTr="006724C7">
        <w:trPr>
          <w:cantSplit/>
        </w:trPr>
        <w:tc>
          <w:tcPr>
            <w:tcW w:w="8505" w:type="dxa"/>
            <w:vAlign w:val="center"/>
          </w:tcPr>
          <w:p w14:paraId="62E5DC27" w14:textId="073B0D36" w:rsidR="006724C7" w:rsidRPr="001455DC" w:rsidRDefault="006724C7" w:rsidP="006724C7">
            <w:pPr>
              <w:pStyle w:val="Formula"/>
              <w:jc w:val="left"/>
              <w:rPr>
                <w:szCs w:val="22"/>
              </w:rPr>
            </w:pPr>
            <m:oMathPara>
              <m:oMathParaPr>
                <m:jc m:val="left"/>
              </m:oMathParaPr>
              <m:oMath>
                <m:r>
                  <w:rPr>
                    <w:rFonts w:ascii="Cambria Math" w:hAnsi="Cambria Math"/>
                  </w:rPr>
                  <m:t>ϕ≤</m:t>
                </m:r>
                <m:f>
                  <m:fPr>
                    <m:ctrlPr>
                      <w:rPr>
                        <w:rFonts w:ascii="Cambria Math" w:hAnsi="Cambria Math"/>
                        <w:szCs w:val="22"/>
                      </w:rPr>
                    </m:ctrlPr>
                  </m:fPr>
                  <m:num>
                    <m:r>
                      <w:rPr>
                        <w:rFonts w:ascii="Cambria Math" w:hAnsi="Cambria Math"/>
                        <w:szCs w:val="22"/>
                      </w:rPr>
                      <m:t>2,1</m:t>
                    </m:r>
                    <m:r>
                      <w:rPr>
                        <w:rFonts w:ascii="Cambria Math" w:hAnsi="Cambria Math"/>
                      </w:rPr>
                      <m:t>⋅</m:t>
                    </m:r>
                    <m:sSub>
                      <m:sSubPr>
                        <m:ctrlPr>
                          <w:rPr>
                            <w:rFonts w:ascii="Cambria Math" w:hAnsi="Cambria Math"/>
                            <w:szCs w:val="22"/>
                          </w:rPr>
                        </m:ctrlPr>
                      </m:sSubPr>
                      <m:e>
                        <m:r>
                          <w:rPr>
                            <w:rFonts w:ascii="Cambria Math" w:hAnsi="Cambria Math"/>
                          </w:rPr>
                          <m:t>ρ</m:t>
                        </m:r>
                      </m:e>
                      <m:sub>
                        <m:r>
                          <m:rPr>
                            <m:sty m:val="p"/>
                          </m:rPr>
                          <w:rPr>
                            <w:rFonts w:ascii="Cambria Math" w:hAnsi="Cambria Math"/>
                          </w:rPr>
                          <m:t>p</m:t>
                        </m:r>
                      </m:sub>
                    </m:sSub>
                  </m:num>
                  <m:den>
                    <m:f>
                      <m:fPr>
                        <m:ctrlPr>
                          <w:rPr>
                            <w:rFonts w:ascii="Cambria Math" w:hAnsi="Cambria Math"/>
                            <w:szCs w:val="22"/>
                          </w:rPr>
                        </m:ctrlPr>
                      </m:fPr>
                      <m:num>
                        <m:r>
                          <w:rPr>
                            <w:rFonts w:ascii="Cambria Math" w:hAnsi="Cambria Math"/>
                          </w:rPr>
                          <m:t>r</m:t>
                        </m:r>
                      </m:num>
                      <m:den>
                        <m:r>
                          <w:rPr>
                            <w:rFonts w:ascii="Cambria Math" w:hAnsi="Cambria Math"/>
                          </w:rPr>
                          <m:t>d</m:t>
                        </m:r>
                      </m:den>
                    </m:f>
                    <m:r>
                      <w:rPr>
                        <w:rFonts w:ascii="Cambria Math" w:hAnsi="Cambria Math"/>
                      </w:rPr>
                      <m:t>⋅</m:t>
                    </m:r>
                    <m:sSub>
                      <m:sSubPr>
                        <m:ctrlPr>
                          <w:rPr>
                            <w:rFonts w:ascii="Cambria Math" w:hAnsi="Cambria Math"/>
                            <w:szCs w:val="22"/>
                          </w:rPr>
                        </m:ctrlPr>
                      </m:sSubPr>
                      <m:e>
                        <m:r>
                          <w:rPr>
                            <w:rFonts w:ascii="Cambria Math" w:hAnsi="Cambria Math"/>
                          </w:rPr>
                          <m:t>k</m:t>
                        </m:r>
                      </m:e>
                      <m:sub>
                        <m:r>
                          <m:rPr>
                            <m:sty m:val="p"/>
                          </m:rPr>
                          <w:rPr>
                            <w:rFonts w:ascii="Cambria Math" w:hAnsi="Cambria Math"/>
                            <w:szCs w:val="22"/>
                          </w:rPr>
                          <m:t>fl,simpl</m:t>
                        </m:r>
                      </m:sub>
                    </m:sSub>
                    <m:r>
                      <w:rPr>
                        <w:rFonts w:ascii="Cambria Math" w:hAnsi="Cambria Math"/>
                      </w:rPr>
                      <m:t>⋅</m:t>
                    </m:r>
                    <m:sSub>
                      <m:sSubPr>
                        <m:ctrlPr>
                          <w:rPr>
                            <w:rFonts w:ascii="Cambria Math" w:hAnsi="Cambria Math"/>
                            <w:szCs w:val="22"/>
                          </w:rPr>
                        </m:ctrlPr>
                      </m:sSubPr>
                      <m:e>
                        <m:r>
                          <w:rPr>
                            <w:rFonts w:ascii="Cambria Math" w:hAnsi="Cambria Math"/>
                          </w:rPr>
                          <m:t>k</m:t>
                        </m:r>
                      </m:e>
                      <m:sub>
                        <m:r>
                          <m:rPr>
                            <m:sty m:val="p"/>
                          </m:rPr>
                          <w:rPr>
                            <w:rFonts w:ascii="Cambria Math" w:hAnsi="Cambria Math"/>
                            <w:szCs w:val="22"/>
                          </w:rPr>
                          <m:t>b,simpl</m:t>
                        </m:r>
                      </m:sub>
                    </m:sSub>
                  </m:den>
                </m:f>
                <m:d>
                  <m:dPr>
                    <m:ctrlPr>
                      <w:rPr>
                        <w:rFonts w:ascii="Cambria Math" w:hAnsi="Cambria Math"/>
                        <w:szCs w:val="22"/>
                      </w:rPr>
                    </m:ctrlPr>
                  </m:dPr>
                  <m:e>
                    <m:f>
                      <m:fPr>
                        <m:ctrlPr>
                          <w:rPr>
                            <w:rFonts w:ascii="Cambria Math" w:hAnsi="Cambria Math"/>
                            <w:szCs w:val="22"/>
                          </w:rPr>
                        </m:ctrlPr>
                      </m:fPr>
                      <m:num>
                        <m:sSub>
                          <m:sSubPr>
                            <m:ctrlPr>
                              <w:rPr>
                                <w:rFonts w:ascii="Cambria Math" w:hAnsi="Cambria Math"/>
                                <w:szCs w:val="22"/>
                              </w:rPr>
                            </m:ctrlPr>
                          </m:sSubPr>
                          <m:e>
                            <m:r>
                              <w:rPr>
                                <w:rFonts w:ascii="Cambria Math" w:hAnsi="Cambria Math"/>
                              </w:rPr>
                              <m:t>w</m:t>
                            </m:r>
                          </m:e>
                          <m:sub>
                            <m:r>
                              <m:rPr>
                                <m:sty m:val="p"/>
                              </m:rPr>
                              <w:rPr>
                                <w:rFonts w:ascii="Cambria Math" w:hAnsi="Cambria Math"/>
                                <w:szCs w:val="22"/>
                              </w:rPr>
                              <m:t>lim,cal</m:t>
                            </m:r>
                          </m:sub>
                        </m:sSub>
                      </m:num>
                      <m:den>
                        <m:sSub>
                          <m:sSubPr>
                            <m:ctrlPr>
                              <w:rPr>
                                <w:rFonts w:ascii="Cambria Math" w:hAnsi="Cambria Math"/>
                                <w:szCs w:val="22"/>
                              </w:rPr>
                            </m:ctrlPr>
                          </m:sSubPr>
                          <m:e>
                            <m:r>
                              <w:rPr>
                                <w:rFonts w:ascii="Cambria Math" w:hAnsi="Cambria Math"/>
                              </w:rPr>
                              <m:t>k</m:t>
                            </m:r>
                          </m:e>
                          <m:sub>
                            <m:r>
                              <m:rPr>
                                <m:sty m:val="p"/>
                              </m:rPr>
                              <w:rPr>
                                <w:rFonts w:ascii="Cambria Math" w:hAnsi="Cambria Math"/>
                                <w:szCs w:val="22"/>
                              </w:rPr>
                              <m:t>w</m:t>
                            </m:r>
                          </m:sub>
                        </m:sSub>
                        <m:r>
                          <w:rPr>
                            <w:rFonts w:ascii="Cambria Math" w:hAnsi="Cambria Math"/>
                          </w:rPr>
                          <m:t>⋅</m:t>
                        </m:r>
                        <m:sSub>
                          <m:sSubPr>
                            <m:ctrlPr>
                              <w:rPr>
                                <w:rFonts w:ascii="Cambria Math" w:hAnsi="Cambria Math"/>
                                <w:szCs w:val="22"/>
                              </w:rPr>
                            </m:ctrlPr>
                          </m:sSubPr>
                          <m:e>
                            <m:r>
                              <w:rPr>
                                <w:rFonts w:ascii="Cambria Math" w:hAnsi="Cambria Math"/>
                              </w:rPr>
                              <m:t>k</m:t>
                            </m:r>
                          </m:e>
                          <m:sub>
                            <m:f>
                              <m:fPr>
                                <m:ctrlPr>
                                  <w:rPr>
                                    <w:rFonts w:ascii="Cambria Math" w:hAnsi="Cambria Math"/>
                                    <w:iCs/>
                                    <w:szCs w:val="22"/>
                                  </w:rPr>
                                </m:ctrlPr>
                              </m:fPr>
                              <m:num>
                                <m:r>
                                  <m:rPr>
                                    <m:sty m:val="p"/>
                                  </m:rPr>
                                  <w:rPr>
                                    <w:rFonts w:ascii="Cambria Math" w:hAnsi="Cambria Math"/>
                                    <w:szCs w:val="22"/>
                                  </w:rPr>
                                  <m:t>1</m:t>
                                </m:r>
                              </m:num>
                              <m:den>
                                <m:r>
                                  <m:rPr>
                                    <m:sty m:val="p"/>
                                  </m:rPr>
                                  <w:rPr>
                                    <w:rFonts w:ascii="Cambria Math" w:hAnsi="Cambria Math"/>
                                    <w:szCs w:val="22"/>
                                  </w:rPr>
                                  <m:t>r</m:t>
                                </m:r>
                              </m:den>
                            </m:f>
                            <m:r>
                              <m:rPr>
                                <m:sty m:val="p"/>
                              </m:rPr>
                              <w:rPr>
                                <w:rFonts w:ascii="Cambria Math" w:hAnsi="Cambria Math"/>
                                <w:szCs w:val="22"/>
                              </w:rPr>
                              <m:t>,simpl</m:t>
                            </m:r>
                          </m:sub>
                        </m:sSub>
                        <m:r>
                          <w:rPr>
                            <w:rFonts w:ascii="Cambria Math" w:hAnsi="Cambria Math"/>
                          </w:rPr>
                          <m:t>⋅</m:t>
                        </m:r>
                        <m:r>
                          <w:rPr>
                            <w:rFonts w:ascii="Cambria Math" w:hAnsi="Cambria Math"/>
                            <w:szCs w:val="22"/>
                          </w:rPr>
                          <m:t>0,9</m:t>
                        </m:r>
                        <m:f>
                          <m:fPr>
                            <m:ctrlPr>
                              <w:rPr>
                                <w:rFonts w:ascii="Cambria Math" w:hAnsi="Cambria Math"/>
                                <w:szCs w:val="22"/>
                              </w:rPr>
                            </m:ctrlPr>
                          </m:fPr>
                          <m:num>
                            <m:sSub>
                              <m:sSubPr>
                                <m:ctrlPr>
                                  <w:rPr>
                                    <w:rFonts w:ascii="Cambria Math" w:hAnsi="Cambria Math"/>
                                    <w:szCs w:val="22"/>
                                  </w:rPr>
                                </m:ctrlPr>
                              </m:sSubPr>
                              <m:e>
                                <m:r>
                                  <w:rPr>
                                    <w:rFonts w:ascii="Cambria Math" w:hAnsi="Cambria Math"/>
                                  </w:rPr>
                                  <m:t>σ</m:t>
                                </m:r>
                              </m:e>
                              <m:sub>
                                <m:r>
                                  <m:rPr>
                                    <m:sty m:val="p"/>
                                  </m:rPr>
                                  <w:rPr>
                                    <w:rFonts w:ascii="Cambria Math" w:hAnsi="Cambria Math"/>
                                    <w:szCs w:val="22"/>
                                  </w:rPr>
                                  <m:t>s</m:t>
                                </m:r>
                              </m:sub>
                            </m:sSub>
                          </m:num>
                          <m:den>
                            <m:sSub>
                              <m:sSubPr>
                                <m:ctrlPr>
                                  <w:rPr>
                                    <w:rFonts w:ascii="Cambria Math" w:hAnsi="Cambria Math"/>
                                    <w:szCs w:val="22"/>
                                  </w:rPr>
                                </m:ctrlPr>
                              </m:sSubPr>
                              <m:e>
                                <m:r>
                                  <w:rPr>
                                    <w:rFonts w:ascii="Cambria Math" w:hAnsi="Cambria Math"/>
                                  </w:rPr>
                                  <m:t>E</m:t>
                                </m:r>
                              </m:e>
                              <m:sub>
                                <m:r>
                                  <m:rPr>
                                    <m:sty m:val="p"/>
                                  </m:rPr>
                                  <w:rPr>
                                    <w:rFonts w:ascii="Cambria Math" w:hAnsi="Cambria Math"/>
                                    <w:szCs w:val="22"/>
                                  </w:rPr>
                                  <m:t>s</m:t>
                                </m:r>
                              </m:sub>
                            </m:sSub>
                          </m:den>
                        </m:f>
                      </m:den>
                    </m:f>
                    <m:r>
                      <w:rPr>
                        <w:rFonts w:ascii="Cambria Math" w:hAnsi="Cambria Math"/>
                        <w:szCs w:val="22"/>
                      </w:rPr>
                      <m:t>-1,5⋅c</m:t>
                    </m:r>
                  </m:e>
                </m:d>
              </m:oMath>
            </m:oMathPara>
          </w:p>
          <w:p w14:paraId="33A43965" w14:textId="30D2CA59" w:rsidR="006724C7" w:rsidRPr="001455DC" w:rsidRDefault="006724C7" w:rsidP="00A35599">
            <w:pPr>
              <w:pStyle w:val="a7"/>
              <w:keepNext/>
            </w:pPr>
            <w:r w:rsidRPr="001455DC">
              <w:t>where</w:t>
            </w:r>
          </w:p>
          <w:p w14:paraId="789245B9" w14:textId="2C35A8BF" w:rsidR="0040163C" w:rsidRPr="001455DC" w:rsidRDefault="00231E33" w:rsidP="006724C7">
            <w:pPr>
              <w:pStyle w:val="Formula"/>
              <w:jc w:val="left"/>
            </w:pPr>
            <m:oMathPara>
              <m:oMathParaPr>
                <m:jc m:val="left"/>
              </m:oMathParaPr>
              <m:oMath>
                <m:sSub>
                  <m:sSubPr>
                    <m:ctrlPr>
                      <w:rPr>
                        <w:rFonts w:ascii="Cambria Math" w:hAnsi="Cambria Math"/>
                        <w:szCs w:val="22"/>
                      </w:rPr>
                    </m:ctrlPr>
                  </m:sSubPr>
                  <m:e>
                    <m:r>
                      <w:rPr>
                        <w:rFonts w:ascii="Cambria Math" w:hAnsi="Cambria Math"/>
                      </w:rPr>
                      <m:t>k</m:t>
                    </m:r>
                  </m:e>
                  <m:sub>
                    <m:r>
                      <m:rPr>
                        <m:sty m:val="p"/>
                      </m:rPr>
                      <w:rPr>
                        <w:rFonts w:ascii="Cambria Math" w:hAnsi="Cambria Math"/>
                        <w:szCs w:val="22"/>
                      </w:rPr>
                      <m:t>fl,simpl</m:t>
                    </m:r>
                  </m:sub>
                </m:sSub>
                <m:r>
                  <m:rPr>
                    <m:sty m:val="p"/>
                  </m:rPr>
                  <w:rPr>
                    <w:rFonts w:ascii="Cambria Math" w:hAnsi="Cambria Math"/>
                  </w:rPr>
                  <m:t>=</m:t>
                </m:r>
                <m:d>
                  <m:dPr>
                    <m:begChr m:val="{"/>
                    <m:endChr m:val=""/>
                    <m:ctrlPr>
                      <w:rPr>
                        <w:rFonts w:ascii="Cambria Math" w:hAnsi="Cambria Math"/>
                        <w:szCs w:val="22"/>
                      </w:rPr>
                    </m:ctrlPr>
                  </m:dPr>
                  <m:e>
                    <m:eqArr>
                      <m:eqArrPr>
                        <m:ctrlPr>
                          <w:rPr>
                            <w:rFonts w:ascii="Cambria Math" w:hAnsi="Cambria Math"/>
                            <w:szCs w:val="22"/>
                          </w:rPr>
                        </m:ctrlPr>
                      </m:eqArrPr>
                      <m:e>
                        <m:d>
                          <m:dPr>
                            <m:ctrlPr>
                              <w:rPr>
                                <w:rFonts w:ascii="Cambria Math" w:hAnsi="Cambria Math"/>
                                <w:szCs w:val="22"/>
                              </w:rPr>
                            </m:ctrlPr>
                          </m:dPr>
                          <m:e>
                            <m:r>
                              <w:rPr>
                                <w:rFonts w:ascii="Cambria Math" w:hAnsi="Cambria Math"/>
                                <w:szCs w:val="22"/>
                              </w:rPr>
                              <m:t>1-3,5</m:t>
                            </m:r>
                            <m:f>
                              <m:fPr>
                                <m:ctrlPr>
                                  <w:rPr>
                                    <w:rFonts w:ascii="Cambria Math" w:hAnsi="Cambria Math"/>
                                    <w:szCs w:val="22"/>
                                  </w:rPr>
                                </m:ctrlPr>
                              </m:fPr>
                              <m:num>
                                <m:sSub>
                                  <m:sSubPr>
                                    <m:ctrlPr>
                                      <w:rPr>
                                        <w:rFonts w:ascii="Cambria Math" w:hAnsi="Cambria Math"/>
                                        <w:szCs w:val="22"/>
                                      </w:rPr>
                                    </m:ctrlPr>
                                  </m:sSubPr>
                                  <m:e>
                                    <m:r>
                                      <w:rPr>
                                        <w:rFonts w:ascii="Cambria Math" w:hAnsi="Cambria Math"/>
                                      </w:rPr>
                                      <m:t>a</m:t>
                                    </m:r>
                                  </m:e>
                                  <m:sub>
                                    <m:r>
                                      <m:rPr>
                                        <m:sty m:val="p"/>
                                      </m:rPr>
                                      <w:rPr>
                                        <w:rFonts w:ascii="Cambria Math" w:hAnsi="Cambria Math"/>
                                      </w:rPr>
                                      <m:t>y</m:t>
                                    </m:r>
                                  </m:sub>
                                </m:sSub>
                              </m:num>
                              <m:den>
                                <m:r>
                                  <w:rPr>
                                    <w:rFonts w:ascii="Cambria Math" w:hAnsi="Cambria Math"/>
                                  </w:rPr>
                                  <m:t>h</m:t>
                                </m:r>
                              </m:den>
                            </m:f>
                          </m:e>
                        </m:d>
                        <m:r>
                          <m:rPr>
                            <m:sty m:val="p"/>
                          </m:rPr>
                          <w:rPr>
                            <w:rFonts w:ascii="Cambria Math" w:hAnsi="Cambria Math"/>
                          </w:rPr>
                          <m:t xml:space="preserve">    </m:t>
                        </m:r>
                        <m:r>
                          <m:rPr>
                            <m:nor/>
                          </m:rPr>
                          <w:rPr>
                            <w:szCs w:val="22"/>
                          </w:rPr>
                          <m:t>if</m:t>
                        </m:r>
                        <m:r>
                          <m:rPr>
                            <m:sty m:val="p"/>
                          </m:rPr>
                          <w:rPr>
                            <w:rFonts w:ascii="Cambria Math" w:hAnsi="Cambria Math"/>
                          </w:rPr>
                          <m:t xml:space="preserve"> </m:t>
                        </m:r>
                        <m:r>
                          <m:rPr>
                            <m:nor/>
                          </m:rPr>
                          <w:rPr>
                            <w:szCs w:val="22"/>
                          </w:rPr>
                          <m:t>one</m:t>
                        </m:r>
                        <m:r>
                          <m:rPr>
                            <m:sty m:val="p"/>
                          </m:rPr>
                          <w:rPr>
                            <w:rFonts w:ascii="Cambria Math" w:hAnsi="Cambria Math"/>
                          </w:rPr>
                          <m:t xml:space="preserve"> </m:t>
                        </m:r>
                        <m:r>
                          <m:rPr>
                            <m:nor/>
                          </m:rPr>
                          <w:rPr>
                            <w:szCs w:val="22"/>
                          </w:rPr>
                          <m:t>face</m:t>
                        </m:r>
                        <m:r>
                          <m:rPr>
                            <m:sty m:val="p"/>
                          </m:rPr>
                          <w:rPr>
                            <w:rFonts w:ascii="Cambria Math" w:hAnsi="Cambria Math"/>
                          </w:rPr>
                          <m:t xml:space="preserve"> </m:t>
                        </m:r>
                        <m:r>
                          <m:rPr>
                            <m:nor/>
                          </m:rPr>
                          <w:rPr>
                            <w:szCs w:val="22"/>
                          </w:rPr>
                          <m:t>is</m:t>
                        </m:r>
                        <m:r>
                          <m:rPr>
                            <m:sty m:val="p"/>
                          </m:rPr>
                          <w:rPr>
                            <w:rFonts w:ascii="Cambria Math" w:hAnsi="Cambria Math"/>
                          </w:rPr>
                          <m:t xml:space="preserve"> </m:t>
                        </m:r>
                        <m:r>
                          <m:rPr>
                            <m:nor/>
                          </m:rPr>
                          <w:rPr>
                            <w:szCs w:val="22"/>
                          </w:rPr>
                          <m:t>in</m:t>
                        </m:r>
                        <m:r>
                          <m:rPr>
                            <m:sty m:val="p"/>
                          </m:rPr>
                          <w:rPr>
                            <w:rFonts w:ascii="Cambria Math" w:hAnsi="Cambria Math"/>
                          </w:rPr>
                          <m:t xml:space="preserve"> </m:t>
                        </m:r>
                        <m:r>
                          <m:rPr>
                            <m:nor/>
                          </m:rPr>
                          <w:rPr>
                            <w:szCs w:val="22"/>
                          </w:rPr>
                          <m:t>compresion</m:t>
                        </m:r>
                      </m:e>
                      <m:e>
                        <m:r>
                          <m:rPr>
                            <m:sty m:val="p"/>
                          </m:rPr>
                          <w:rPr>
                            <w:rFonts w:ascii="Cambria Math" w:hAnsi="Cambria Math"/>
                            <w:szCs w:val="22"/>
                          </w:rPr>
                          <m:t>1,00</m:t>
                        </m:r>
                        <m:r>
                          <m:rPr>
                            <m:sty m:val="p"/>
                          </m:rPr>
                          <w:rPr>
                            <w:rFonts w:ascii="Cambria Math" w:hAnsi="Cambria Math"/>
                          </w:rPr>
                          <m:t xml:space="preserve">    </m:t>
                        </m:r>
                        <m:r>
                          <m:rPr>
                            <m:nor/>
                          </m:rPr>
                          <w:rPr>
                            <w:szCs w:val="22"/>
                          </w:rPr>
                          <m:t>if</m:t>
                        </m:r>
                        <m:r>
                          <m:rPr>
                            <m:sty m:val="p"/>
                          </m:rPr>
                          <w:rPr>
                            <w:rFonts w:ascii="Cambria Math" w:hAnsi="Cambria Math"/>
                          </w:rPr>
                          <m:t xml:space="preserve"> </m:t>
                        </m:r>
                        <m:r>
                          <m:rPr>
                            <m:nor/>
                          </m:rPr>
                          <w:rPr>
                            <w:szCs w:val="22"/>
                          </w:rPr>
                          <m:t>both</m:t>
                        </m:r>
                        <m:r>
                          <m:rPr>
                            <m:sty m:val="p"/>
                          </m:rPr>
                          <w:rPr>
                            <w:rFonts w:ascii="Cambria Math" w:hAnsi="Cambria Math"/>
                          </w:rPr>
                          <m:t xml:space="preserve"> </m:t>
                        </m:r>
                        <m:r>
                          <m:rPr>
                            <m:nor/>
                          </m:rPr>
                          <w:rPr>
                            <w:szCs w:val="22"/>
                          </w:rPr>
                          <m:t>faces</m:t>
                        </m:r>
                        <m:r>
                          <m:rPr>
                            <m:sty m:val="p"/>
                          </m:rPr>
                          <w:rPr>
                            <w:rFonts w:ascii="Cambria Math" w:hAnsi="Cambria Math"/>
                          </w:rPr>
                          <m:t xml:space="preserve"> </m:t>
                        </m:r>
                        <m:r>
                          <m:rPr>
                            <m:nor/>
                          </m:rPr>
                          <w:rPr>
                            <w:szCs w:val="22"/>
                          </w:rPr>
                          <m:t>are</m:t>
                        </m:r>
                        <m:r>
                          <m:rPr>
                            <m:sty m:val="p"/>
                          </m:rPr>
                          <w:rPr>
                            <w:rFonts w:ascii="Cambria Math" w:hAnsi="Cambria Math"/>
                          </w:rPr>
                          <m:t xml:space="preserve"> </m:t>
                        </m:r>
                        <m:r>
                          <m:rPr>
                            <m:nor/>
                          </m:rPr>
                          <w:rPr>
                            <w:szCs w:val="22"/>
                          </w:rPr>
                          <m:t>in</m:t>
                        </m:r>
                        <m:r>
                          <m:rPr>
                            <m:sty m:val="p"/>
                          </m:rPr>
                          <w:rPr>
                            <w:rFonts w:ascii="Cambria Math" w:hAnsi="Cambria Math"/>
                          </w:rPr>
                          <m:t xml:space="preserve"> </m:t>
                        </m:r>
                        <m:r>
                          <m:rPr>
                            <m:nor/>
                          </m:rPr>
                          <w:rPr>
                            <w:szCs w:val="22"/>
                          </w:rPr>
                          <m:t>tension</m:t>
                        </m:r>
                      </m:e>
                    </m:eqArr>
                  </m:e>
                </m:d>
                <m:r>
                  <m:rPr>
                    <m:sty m:val="p"/>
                  </m:rPr>
                  <w:rPr>
                    <w:rFonts w:ascii="Cambria Math" w:hAnsi="Cambria Math"/>
                  </w:rPr>
                  <w:br/>
                </m:r>
              </m:oMath>
              <m:oMath>
                <m:sSub>
                  <m:sSubPr>
                    <m:ctrlPr>
                      <w:rPr>
                        <w:rFonts w:ascii="Cambria Math" w:hAnsi="Cambria Math"/>
                        <w:szCs w:val="22"/>
                      </w:rPr>
                    </m:ctrlPr>
                  </m:sSubPr>
                  <m:e>
                    <m:r>
                      <w:rPr>
                        <w:rFonts w:ascii="Cambria Math" w:hAnsi="Cambria Math"/>
                      </w:rPr>
                      <m:t>k</m:t>
                    </m:r>
                  </m:e>
                  <m:sub>
                    <m:r>
                      <m:rPr>
                        <m:nor/>
                      </m:rPr>
                      <w:rPr>
                        <w:szCs w:val="22"/>
                      </w:rPr>
                      <m:t>1/r,simpl</m:t>
                    </m:r>
                  </m:sub>
                </m:sSub>
                <m:r>
                  <m:rPr>
                    <m:sty m:val="p"/>
                  </m:rPr>
                  <w:rPr>
                    <w:rFonts w:ascii="Cambria Math" w:hAnsi="Cambria Math"/>
                  </w:rPr>
                  <m:t>=25</m:t>
                </m:r>
                <m:d>
                  <m:dPr>
                    <m:ctrlPr>
                      <w:rPr>
                        <w:rFonts w:ascii="Cambria Math" w:hAnsi="Cambria Math"/>
                        <w:szCs w:val="22"/>
                      </w:rPr>
                    </m:ctrlPr>
                  </m:dPr>
                  <m:e>
                    <m:f>
                      <m:fPr>
                        <m:ctrlPr>
                          <w:rPr>
                            <w:rFonts w:ascii="Cambria Math" w:hAnsi="Cambria Math"/>
                            <w:szCs w:val="22"/>
                          </w:rPr>
                        </m:ctrlPr>
                      </m:fPr>
                      <m:num>
                        <m:r>
                          <w:rPr>
                            <w:rFonts w:ascii="Cambria Math" w:hAnsi="Cambria Math"/>
                          </w:rPr>
                          <m:t>h</m:t>
                        </m:r>
                      </m:num>
                      <m:den>
                        <m:r>
                          <w:rPr>
                            <w:rFonts w:ascii="Cambria Math" w:hAnsi="Cambria Math"/>
                          </w:rPr>
                          <m:t>d</m:t>
                        </m:r>
                      </m:den>
                    </m:f>
                    <m:r>
                      <w:rPr>
                        <w:rFonts w:ascii="Cambria Math" w:hAnsi="Cambria Math"/>
                        <w:szCs w:val="22"/>
                      </w:rPr>
                      <m:t>-1</m:t>
                    </m:r>
                  </m:e>
                </m:d>
                <m:r>
                  <m:rPr>
                    <m:sty m:val="p"/>
                  </m:rPr>
                  <w:rPr>
                    <w:rFonts w:ascii="Cambria Math" w:hAnsi="Cambria Math"/>
                  </w:rPr>
                  <m:t>⋅</m:t>
                </m:r>
                <m:sSub>
                  <m:sSubPr>
                    <m:ctrlPr>
                      <w:rPr>
                        <w:rFonts w:ascii="Cambria Math" w:hAnsi="Cambria Math"/>
                        <w:szCs w:val="22"/>
                      </w:rPr>
                    </m:ctrlPr>
                  </m:sSubPr>
                  <m:e>
                    <m:r>
                      <w:rPr>
                        <w:rFonts w:ascii="Cambria Math" w:hAnsi="Cambria Math"/>
                      </w:rPr>
                      <m:t>ρ</m:t>
                    </m:r>
                  </m:e>
                  <m:sub>
                    <m:r>
                      <m:rPr>
                        <m:sty m:val="p"/>
                      </m:rPr>
                      <w:rPr>
                        <w:rFonts w:ascii="Cambria Math" w:hAnsi="Cambria Math"/>
                      </w:rPr>
                      <m:t>p</m:t>
                    </m:r>
                  </m:sub>
                </m:sSub>
                <m:r>
                  <m:rPr>
                    <m:sty m:val="p"/>
                  </m:rPr>
                  <w:rPr>
                    <w:rFonts w:ascii="Cambria Math" w:hAnsi="Cambria Math"/>
                  </w:rPr>
                  <m:t>+</m:t>
                </m:r>
                <m:r>
                  <m:rPr>
                    <m:sty m:val="p"/>
                  </m:rPr>
                  <w:rPr>
                    <w:rFonts w:ascii="Cambria Math" w:hAnsi="Cambria Math"/>
                    <w:szCs w:val="22"/>
                  </w:rPr>
                  <m:t>1,15</m:t>
                </m:r>
                <m:r>
                  <m:rPr>
                    <m:sty m:val="p"/>
                  </m:rPr>
                  <w:rPr>
                    <w:rFonts w:ascii="Cambria Math" w:hAnsi="Cambria Math"/>
                  </w:rPr>
                  <m:t>⋅</m:t>
                </m:r>
                <m:f>
                  <m:fPr>
                    <m:ctrlPr>
                      <w:rPr>
                        <w:rFonts w:ascii="Cambria Math" w:hAnsi="Cambria Math"/>
                        <w:szCs w:val="22"/>
                      </w:rPr>
                    </m:ctrlPr>
                  </m:fPr>
                  <m:num>
                    <m:r>
                      <w:rPr>
                        <w:rFonts w:ascii="Cambria Math" w:hAnsi="Cambria Math"/>
                      </w:rPr>
                      <m:t>h</m:t>
                    </m:r>
                  </m:num>
                  <m:den>
                    <m:r>
                      <w:rPr>
                        <w:rFonts w:ascii="Cambria Math" w:hAnsi="Cambria Math"/>
                      </w:rPr>
                      <m:t>d</m:t>
                    </m:r>
                  </m:den>
                </m:f>
                <m:r>
                  <m:rPr>
                    <m:sty m:val="p"/>
                  </m:rPr>
                  <w:rPr>
                    <w:rFonts w:ascii="Cambria Math" w:hAnsi="Cambria Math"/>
                  </w:rPr>
                  <m:t>-</m:t>
                </m:r>
                <m:r>
                  <m:rPr>
                    <m:sty m:val="p"/>
                  </m:rPr>
                  <w:rPr>
                    <w:rFonts w:ascii="Cambria Math" w:hAnsi="Cambria Math"/>
                    <w:szCs w:val="22"/>
                  </w:rPr>
                  <m:t>0,15</m:t>
                </m:r>
                <m:r>
                  <m:rPr>
                    <m:sty m:val="p"/>
                  </m:rPr>
                  <w:rPr>
                    <w:rFonts w:ascii="Cambria Math" w:hAnsi="Cambria Math"/>
                  </w:rPr>
                  <w:br/>
                </m:r>
              </m:oMath>
              <m:oMath>
                <m:sSub>
                  <m:sSubPr>
                    <m:ctrlPr>
                      <w:rPr>
                        <w:rFonts w:ascii="Cambria Math" w:hAnsi="Cambria Math"/>
                        <w:szCs w:val="22"/>
                      </w:rPr>
                    </m:ctrlPr>
                  </m:sSubPr>
                  <m:e>
                    <m:r>
                      <w:rPr>
                        <w:rFonts w:ascii="Cambria Math" w:hAnsi="Cambria Math"/>
                      </w:rPr>
                      <m:t>k</m:t>
                    </m:r>
                  </m:e>
                  <m:sub>
                    <m:r>
                      <m:rPr>
                        <m:nor/>
                      </m:rPr>
                      <w:rPr>
                        <w:szCs w:val="22"/>
                      </w:rPr>
                      <m:t>b,simpl</m:t>
                    </m:r>
                  </m:sub>
                </m:sSub>
                <m:r>
                  <m:rPr>
                    <m:sty m:val="p"/>
                  </m:rPr>
                  <w:rPr>
                    <w:rFonts w:ascii="Cambria Math" w:hAnsi="Cambria Math"/>
                  </w:rPr>
                  <m:t>=</m:t>
                </m:r>
                <m:d>
                  <m:dPr>
                    <m:begChr m:val="{"/>
                    <m:endChr m:val=""/>
                    <m:ctrlPr>
                      <w:rPr>
                        <w:rFonts w:ascii="Cambria Math" w:hAnsi="Cambria Math"/>
                        <w:szCs w:val="22"/>
                      </w:rPr>
                    </m:ctrlPr>
                  </m:dPr>
                  <m:e>
                    <m:eqArr>
                      <m:eqArrPr>
                        <m:ctrlPr>
                          <w:rPr>
                            <w:rFonts w:ascii="Cambria Math" w:hAnsi="Cambria Math"/>
                            <w:szCs w:val="22"/>
                          </w:rPr>
                        </m:ctrlPr>
                      </m:eqArrPr>
                      <m:e>
                        <m:r>
                          <m:rPr>
                            <m:sty m:val="p"/>
                          </m:rPr>
                          <w:rPr>
                            <w:rFonts w:ascii="Cambria Math" w:hAnsi="Cambria Math"/>
                            <w:szCs w:val="22"/>
                          </w:rPr>
                          <m:t>0,9</m:t>
                        </m:r>
                        <m:r>
                          <m:rPr>
                            <m:sty m:val="p"/>
                          </m:rPr>
                          <w:rPr>
                            <w:rFonts w:ascii="Cambria Math" w:hAnsi="Cambria Math"/>
                          </w:rPr>
                          <m:t xml:space="preserve">  </m:t>
                        </m:r>
                        <m:r>
                          <m:rPr>
                            <m:nor/>
                          </m:rPr>
                          <w:rPr>
                            <w:szCs w:val="22"/>
                          </w:rPr>
                          <m:t>for</m:t>
                        </m:r>
                        <m:r>
                          <m:rPr>
                            <m:sty m:val="p"/>
                          </m:rPr>
                          <w:rPr>
                            <w:rFonts w:ascii="Cambria Math" w:hAnsi="Cambria Math"/>
                          </w:rPr>
                          <m:t xml:space="preserve"> </m:t>
                        </m:r>
                        <m:r>
                          <m:rPr>
                            <m:nor/>
                          </m:rPr>
                          <w:rPr>
                            <w:szCs w:val="22"/>
                          </w:rPr>
                          <m:t>good</m:t>
                        </m:r>
                        <m:r>
                          <m:rPr>
                            <m:sty m:val="p"/>
                          </m:rPr>
                          <w:rPr>
                            <w:rFonts w:ascii="Cambria Math" w:hAnsi="Cambria Math"/>
                          </w:rPr>
                          <m:t xml:space="preserve"> </m:t>
                        </m:r>
                        <m:r>
                          <m:rPr>
                            <m:nor/>
                          </m:rPr>
                          <w:rPr>
                            <w:szCs w:val="22"/>
                          </w:rPr>
                          <m:t>bond</m:t>
                        </m:r>
                        <m:r>
                          <m:rPr>
                            <m:sty m:val="p"/>
                          </m:rPr>
                          <w:rPr>
                            <w:rFonts w:ascii="Cambria Math" w:hAnsi="Cambria Math"/>
                          </w:rPr>
                          <m:t xml:space="preserve"> </m:t>
                        </m:r>
                        <m:r>
                          <m:rPr>
                            <m:nor/>
                          </m:rPr>
                          <w:rPr>
                            <w:szCs w:val="22"/>
                          </w:rPr>
                          <m:t>conditions</m:t>
                        </m:r>
                      </m:e>
                      <m:e>
                        <m:r>
                          <m:rPr>
                            <m:sty m:val="p"/>
                          </m:rPr>
                          <w:rPr>
                            <w:rFonts w:ascii="Cambria Math" w:hAnsi="Cambria Math"/>
                            <w:szCs w:val="22"/>
                          </w:rPr>
                          <m:t>1,2</m:t>
                        </m:r>
                        <m:r>
                          <m:rPr>
                            <m:sty m:val="p"/>
                          </m:rPr>
                          <w:rPr>
                            <w:rFonts w:ascii="Cambria Math" w:hAnsi="Cambria Math"/>
                          </w:rPr>
                          <m:t xml:space="preserve">  </m:t>
                        </m:r>
                        <m:r>
                          <m:rPr>
                            <m:nor/>
                          </m:rPr>
                          <w:rPr>
                            <w:szCs w:val="22"/>
                          </w:rPr>
                          <m:t>for</m:t>
                        </m:r>
                        <m:r>
                          <m:rPr>
                            <m:sty m:val="p"/>
                          </m:rPr>
                          <w:rPr>
                            <w:rFonts w:ascii="Cambria Math" w:hAnsi="Cambria Math"/>
                          </w:rPr>
                          <m:t xml:space="preserve"> </m:t>
                        </m:r>
                        <m:r>
                          <m:rPr>
                            <m:nor/>
                          </m:rPr>
                          <w:rPr>
                            <w:szCs w:val="22"/>
                          </w:rPr>
                          <m:t>poor</m:t>
                        </m:r>
                        <m:r>
                          <m:rPr>
                            <m:sty m:val="p"/>
                          </m:rPr>
                          <w:rPr>
                            <w:rFonts w:ascii="Cambria Math" w:hAnsi="Cambria Math"/>
                          </w:rPr>
                          <m:t xml:space="preserve"> </m:t>
                        </m:r>
                        <m:r>
                          <m:rPr>
                            <m:nor/>
                          </m:rPr>
                          <w:rPr>
                            <w:szCs w:val="22"/>
                          </w:rPr>
                          <m:t>bond</m:t>
                        </m:r>
                        <m:r>
                          <m:rPr>
                            <m:sty m:val="p"/>
                          </m:rPr>
                          <w:rPr>
                            <w:rFonts w:ascii="Cambria Math" w:hAnsi="Cambria Math"/>
                          </w:rPr>
                          <m:t xml:space="preserve"> </m:t>
                        </m:r>
                        <m:r>
                          <m:rPr>
                            <m:nor/>
                          </m:rPr>
                          <w:rPr>
                            <w:szCs w:val="22"/>
                          </w:rPr>
                          <m:t>conditions</m:t>
                        </m:r>
                      </m:e>
                    </m:eqArr>
                  </m:e>
                </m:d>
              </m:oMath>
            </m:oMathPara>
          </w:p>
        </w:tc>
        <w:tc>
          <w:tcPr>
            <w:tcW w:w="1247" w:type="dxa"/>
            <w:vAlign w:val="center"/>
          </w:tcPr>
          <w:p w14:paraId="1E89BE46" w14:textId="18EB69CE" w:rsidR="0040163C" w:rsidRPr="001455DC" w:rsidRDefault="0040163C" w:rsidP="006724C7">
            <w:pPr>
              <w:pStyle w:val="a7"/>
              <w:jc w:val="right"/>
            </w:pPr>
            <w:r w:rsidRPr="001455DC">
              <w:rPr>
                <w:szCs w:val="22"/>
              </w:rPr>
              <w:t>(9.10)</w:t>
            </w:r>
          </w:p>
        </w:tc>
      </w:tr>
      <w:tr w:rsidR="0040163C" w:rsidRPr="001455DC" w14:paraId="44155E3E" w14:textId="77777777" w:rsidTr="006724C7">
        <w:trPr>
          <w:cantSplit/>
        </w:trPr>
        <w:tc>
          <w:tcPr>
            <w:tcW w:w="8505" w:type="dxa"/>
            <w:vAlign w:val="center"/>
          </w:tcPr>
          <w:p w14:paraId="0F869C16" w14:textId="2FACBEE1" w:rsidR="0040163C" w:rsidRPr="001455DC" w:rsidRDefault="00231E33" w:rsidP="006724C7">
            <w:pPr>
              <w:pStyle w:val="Formula"/>
              <w:jc w:val="left"/>
              <w:rPr>
                <w:szCs w:val="22"/>
              </w:rPr>
            </w:pPr>
            <m:oMathPara>
              <m:oMathParaPr>
                <m:jc m:val="left"/>
              </m:oMathParaPr>
              <m:oMath>
                <m:sSub>
                  <m:sSubPr>
                    <m:ctrlPr>
                      <w:rPr>
                        <w:rFonts w:ascii="Cambria Math" w:hAnsi="Cambria Math"/>
                        <w:szCs w:val="22"/>
                      </w:rPr>
                    </m:ctrlPr>
                  </m:sSubPr>
                  <m:e>
                    <m:r>
                      <w:rPr>
                        <w:rFonts w:ascii="Cambria Math" w:hAnsi="Cambria Math"/>
                      </w:rPr>
                      <m:t>s</m:t>
                    </m:r>
                  </m:e>
                  <m:sub>
                    <m:r>
                      <m:rPr>
                        <m:sty m:val="p"/>
                      </m:rPr>
                      <w:rPr>
                        <w:rFonts w:ascii="Cambria Math" w:hAnsi="Cambria Math"/>
                        <w:szCs w:val="22"/>
                      </w:rPr>
                      <m:t>l</m:t>
                    </m:r>
                  </m:sub>
                </m:sSub>
                <m:r>
                  <w:rPr>
                    <w:rFonts w:ascii="Cambria Math" w:hAnsi="Cambria Math"/>
                  </w:rPr>
                  <m:t>≤</m:t>
                </m:r>
                <m:f>
                  <m:fPr>
                    <m:ctrlPr>
                      <w:rPr>
                        <w:rFonts w:ascii="Cambria Math" w:hAnsi="Cambria Math"/>
                        <w:szCs w:val="22"/>
                      </w:rPr>
                    </m:ctrlPr>
                  </m:fPr>
                  <m:num>
                    <m:r>
                      <w:rPr>
                        <w:rFonts w:ascii="Cambria Math" w:hAnsi="Cambria Math"/>
                        <w:szCs w:val="22"/>
                      </w:rPr>
                      <m:t>3,45</m:t>
                    </m:r>
                    <m:r>
                      <w:rPr>
                        <w:rFonts w:ascii="Cambria Math" w:hAnsi="Cambria Math"/>
                      </w:rPr>
                      <m:t>⋅</m:t>
                    </m:r>
                    <m:sSub>
                      <m:sSubPr>
                        <m:ctrlPr>
                          <w:rPr>
                            <w:rFonts w:ascii="Cambria Math" w:hAnsi="Cambria Math"/>
                            <w:szCs w:val="22"/>
                          </w:rPr>
                        </m:ctrlPr>
                      </m:sSubPr>
                      <m:e>
                        <m:r>
                          <w:rPr>
                            <w:rFonts w:ascii="Cambria Math" w:hAnsi="Cambria Math"/>
                          </w:rPr>
                          <m:t>ρ</m:t>
                        </m:r>
                      </m:e>
                      <m:sub>
                        <m:r>
                          <m:rPr>
                            <m:sty m:val="p"/>
                          </m:rPr>
                          <w:rPr>
                            <w:rFonts w:ascii="Cambria Math" w:hAnsi="Cambria Math"/>
                          </w:rPr>
                          <m:t>p</m:t>
                        </m:r>
                      </m:sub>
                    </m:sSub>
                  </m:num>
                  <m:den>
                    <m:f>
                      <m:fPr>
                        <m:ctrlPr>
                          <w:rPr>
                            <w:rFonts w:ascii="Cambria Math" w:hAnsi="Cambria Math"/>
                            <w:szCs w:val="22"/>
                          </w:rPr>
                        </m:ctrlPr>
                      </m:fPr>
                      <m:num>
                        <m:sSup>
                          <m:sSupPr>
                            <m:ctrlPr>
                              <w:rPr>
                                <w:rFonts w:ascii="Cambria Math" w:hAnsi="Cambria Math"/>
                                <w:szCs w:val="22"/>
                              </w:rPr>
                            </m:ctrlPr>
                          </m:sSupPr>
                          <m:e>
                            <m:r>
                              <w:rPr>
                                <w:rFonts w:ascii="Cambria Math" w:hAnsi="Cambria Math"/>
                              </w:rPr>
                              <m:t>r</m:t>
                            </m:r>
                          </m:e>
                          <m:sup>
                            <m:r>
                              <w:rPr>
                                <w:rFonts w:ascii="Cambria Math" w:hAnsi="Cambria Math"/>
                              </w:rPr>
                              <m:t>2</m:t>
                            </m:r>
                          </m:sup>
                        </m:sSup>
                      </m:num>
                      <m:den>
                        <m:r>
                          <w:rPr>
                            <w:rFonts w:ascii="Cambria Math" w:hAnsi="Cambria Math"/>
                          </w:rPr>
                          <m:t>d</m:t>
                        </m:r>
                      </m:den>
                    </m:f>
                    <m:r>
                      <w:rPr>
                        <w:rFonts w:ascii="Cambria Math" w:hAnsi="Cambria Math"/>
                      </w:rPr>
                      <m:t>⋅</m:t>
                    </m:r>
                    <m:sSubSup>
                      <m:sSubSupPr>
                        <m:ctrlPr>
                          <w:rPr>
                            <w:rFonts w:ascii="Cambria Math" w:hAnsi="Cambria Math"/>
                            <w:szCs w:val="22"/>
                          </w:rPr>
                        </m:ctrlPr>
                      </m:sSubSupPr>
                      <m:e>
                        <m:r>
                          <w:rPr>
                            <w:rFonts w:ascii="Cambria Math" w:hAnsi="Cambria Math"/>
                          </w:rPr>
                          <m:t>k</m:t>
                        </m:r>
                      </m:e>
                      <m:sub>
                        <m:r>
                          <m:rPr>
                            <m:sty m:val="p"/>
                          </m:rPr>
                          <w:rPr>
                            <w:rFonts w:ascii="Cambria Math" w:hAnsi="Cambria Math"/>
                            <w:szCs w:val="22"/>
                          </w:rPr>
                          <m:t>fl,simpl</m:t>
                        </m:r>
                      </m:sub>
                      <m:sup>
                        <m:r>
                          <w:rPr>
                            <w:rFonts w:ascii="Cambria Math" w:hAnsi="Cambria Math"/>
                            <w:szCs w:val="22"/>
                          </w:rPr>
                          <m:t>2</m:t>
                        </m:r>
                      </m:sup>
                    </m:sSubSup>
                    <m:r>
                      <w:rPr>
                        <w:rFonts w:ascii="Cambria Math" w:hAnsi="Cambria Math"/>
                      </w:rPr>
                      <m:t>⋅</m:t>
                    </m:r>
                    <m:sSubSup>
                      <m:sSubSupPr>
                        <m:ctrlPr>
                          <w:rPr>
                            <w:rFonts w:ascii="Cambria Math" w:hAnsi="Cambria Math"/>
                            <w:szCs w:val="22"/>
                          </w:rPr>
                        </m:ctrlPr>
                      </m:sSubSupPr>
                      <m:e>
                        <m:r>
                          <w:rPr>
                            <w:rFonts w:ascii="Cambria Math" w:hAnsi="Cambria Math"/>
                          </w:rPr>
                          <m:t>k</m:t>
                        </m:r>
                      </m:e>
                      <m:sub>
                        <m:r>
                          <m:rPr>
                            <m:sty m:val="p"/>
                          </m:rPr>
                          <w:rPr>
                            <w:rFonts w:ascii="Cambria Math" w:hAnsi="Cambria Math"/>
                            <w:szCs w:val="22"/>
                          </w:rPr>
                          <m:t>b,simpl</m:t>
                        </m:r>
                      </m:sub>
                      <m:sup>
                        <m:r>
                          <w:rPr>
                            <w:rFonts w:ascii="Cambria Math" w:hAnsi="Cambria Math"/>
                            <w:szCs w:val="22"/>
                          </w:rPr>
                          <m:t>2</m:t>
                        </m:r>
                      </m:sup>
                    </m:sSubSup>
                  </m:den>
                </m:f>
                <m:sSup>
                  <m:sSupPr>
                    <m:ctrlPr>
                      <w:rPr>
                        <w:rFonts w:ascii="Cambria Math" w:hAnsi="Cambria Math"/>
                        <w:szCs w:val="22"/>
                      </w:rPr>
                    </m:ctrlPr>
                  </m:sSupPr>
                  <m:e>
                    <m:d>
                      <m:dPr>
                        <m:ctrlPr>
                          <w:rPr>
                            <w:rFonts w:ascii="Cambria Math" w:hAnsi="Cambria Math"/>
                            <w:szCs w:val="22"/>
                          </w:rPr>
                        </m:ctrlPr>
                      </m:dPr>
                      <m:e>
                        <m:f>
                          <m:fPr>
                            <m:ctrlPr>
                              <w:rPr>
                                <w:rFonts w:ascii="Cambria Math" w:hAnsi="Cambria Math"/>
                                <w:szCs w:val="22"/>
                              </w:rPr>
                            </m:ctrlPr>
                          </m:fPr>
                          <m:num>
                            <m:sSub>
                              <m:sSubPr>
                                <m:ctrlPr>
                                  <w:rPr>
                                    <w:rFonts w:ascii="Cambria Math" w:hAnsi="Cambria Math"/>
                                    <w:szCs w:val="22"/>
                                  </w:rPr>
                                </m:ctrlPr>
                              </m:sSubPr>
                              <m:e>
                                <m:r>
                                  <w:rPr>
                                    <w:rFonts w:ascii="Cambria Math" w:hAnsi="Cambria Math"/>
                                  </w:rPr>
                                  <m:t>w</m:t>
                                </m:r>
                              </m:e>
                              <m:sub>
                                <m:r>
                                  <m:rPr>
                                    <m:sty m:val="p"/>
                                  </m:rPr>
                                  <w:rPr>
                                    <w:rFonts w:ascii="Cambria Math" w:hAnsi="Cambria Math"/>
                                    <w:szCs w:val="22"/>
                                  </w:rPr>
                                  <m:t>lim,cal</m:t>
                                </m:r>
                              </m:sub>
                            </m:sSub>
                          </m:num>
                          <m:den>
                            <m:sSub>
                              <m:sSubPr>
                                <m:ctrlPr>
                                  <w:rPr>
                                    <w:rFonts w:ascii="Cambria Math" w:hAnsi="Cambria Math"/>
                                    <w:szCs w:val="22"/>
                                  </w:rPr>
                                </m:ctrlPr>
                              </m:sSubPr>
                              <m:e>
                                <m:r>
                                  <w:rPr>
                                    <w:rFonts w:ascii="Cambria Math" w:hAnsi="Cambria Math"/>
                                  </w:rPr>
                                  <m:t>k</m:t>
                                </m:r>
                              </m:e>
                              <m:sub>
                                <m:r>
                                  <w:rPr>
                                    <w:rFonts w:ascii="Cambria Math" w:hAnsi="Cambria Math"/>
                                    <w:szCs w:val="22"/>
                                  </w:rPr>
                                  <m:t>w</m:t>
                                </m:r>
                              </m:sub>
                            </m:sSub>
                            <m:r>
                              <w:rPr>
                                <w:rFonts w:ascii="Cambria Math" w:hAnsi="Cambria Math"/>
                              </w:rPr>
                              <m:t>⋅</m:t>
                            </m:r>
                            <m:sSub>
                              <m:sSubPr>
                                <m:ctrlPr>
                                  <w:rPr>
                                    <w:rFonts w:ascii="Cambria Math" w:hAnsi="Cambria Math"/>
                                    <w:szCs w:val="22"/>
                                  </w:rPr>
                                </m:ctrlPr>
                              </m:sSubPr>
                              <m:e>
                                <m:r>
                                  <w:rPr>
                                    <w:rFonts w:ascii="Cambria Math" w:hAnsi="Cambria Math"/>
                                  </w:rPr>
                                  <m:t>k</m:t>
                                </m:r>
                              </m:e>
                              <m:sub>
                                <m:r>
                                  <m:rPr>
                                    <m:sty m:val="p"/>
                                  </m:rPr>
                                  <w:rPr>
                                    <w:rFonts w:ascii="Cambria Math" w:hAnsi="Cambria Math"/>
                                    <w:szCs w:val="22"/>
                                  </w:rPr>
                                  <m:t>1/</m:t>
                                </m:r>
                                <m:r>
                                  <m:rPr>
                                    <m:sty m:val="p"/>
                                  </m:rPr>
                                  <w:rPr>
                                    <w:rFonts w:ascii="Cambria Math" w:hAnsi="Cambria Math"/>
                                  </w:rPr>
                                  <m:t>r</m:t>
                                </m:r>
                                <m:r>
                                  <m:rPr>
                                    <m:sty m:val="p"/>
                                  </m:rPr>
                                  <w:rPr>
                                    <w:rFonts w:ascii="Cambria Math" w:hAnsi="Cambria Math"/>
                                    <w:szCs w:val="22"/>
                                  </w:rPr>
                                  <m:t>,simpl</m:t>
                                </m:r>
                              </m:sub>
                            </m:sSub>
                            <m:r>
                              <w:rPr>
                                <w:rFonts w:ascii="Cambria Math" w:hAnsi="Cambria Math"/>
                              </w:rPr>
                              <m:t>⋅</m:t>
                            </m:r>
                            <m:r>
                              <w:rPr>
                                <w:rFonts w:ascii="Cambria Math" w:hAnsi="Cambria Math"/>
                                <w:szCs w:val="22"/>
                              </w:rPr>
                              <m:t>0,9</m:t>
                            </m:r>
                            <m:r>
                              <w:rPr>
                                <w:rFonts w:ascii="Cambria Math" w:hAnsi="Cambria Math"/>
                              </w:rPr>
                              <m:t>⋅</m:t>
                            </m:r>
                            <m:f>
                              <m:fPr>
                                <m:ctrlPr>
                                  <w:rPr>
                                    <w:rFonts w:ascii="Cambria Math" w:hAnsi="Cambria Math"/>
                                    <w:szCs w:val="22"/>
                                  </w:rPr>
                                </m:ctrlPr>
                              </m:fPr>
                              <m:num>
                                <m:sSub>
                                  <m:sSubPr>
                                    <m:ctrlPr>
                                      <w:rPr>
                                        <w:rFonts w:ascii="Cambria Math" w:hAnsi="Cambria Math"/>
                                        <w:szCs w:val="22"/>
                                      </w:rPr>
                                    </m:ctrlPr>
                                  </m:sSubPr>
                                  <m:e>
                                    <m:r>
                                      <w:rPr>
                                        <w:rFonts w:ascii="Cambria Math" w:hAnsi="Cambria Math"/>
                                      </w:rPr>
                                      <m:t>σ</m:t>
                                    </m:r>
                                  </m:e>
                                  <m:sub>
                                    <m:r>
                                      <m:rPr>
                                        <m:sty m:val="p"/>
                                      </m:rPr>
                                      <w:rPr>
                                        <w:rFonts w:ascii="Cambria Math" w:hAnsi="Cambria Math"/>
                                        <w:szCs w:val="22"/>
                                      </w:rPr>
                                      <m:t>s</m:t>
                                    </m:r>
                                  </m:sub>
                                </m:sSub>
                              </m:num>
                              <m:den>
                                <m:sSub>
                                  <m:sSubPr>
                                    <m:ctrlPr>
                                      <w:rPr>
                                        <w:rFonts w:ascii="Cambria Math" w:hAnsi="Cambria Math"/>
                                        <w:szCs w:val="22"/>
                                      </w:rPr>
                                    </m:ctrlPr>
                                  </m:sSubPr>
                                  <m:e>
                                    <m:r>
                                      <w:rPr>
                                        <w:rFonts w:ascii="Cambria Math" w:hAnsi="Cambria Math"/>
                                      </w:rPr>
                                      <m:t>E</m:t>
                                    </m:r>
                                  </m:e>
                                  <m:sub>
                                    <m:r>
                                      <m:rPr>
                                        <m:sty m:val="p"/>
                                      </m:rPr>
                                      <w:rPr>
                                        <w:rFonts w:ascii="Cambria Math" w:hAnsi="Cambria Math"/>
                                        <w:szCs w:val="22"/>
                                      </w:rPr>
                                      <m:t>s</m:t>
                                    </m:r>
                                  </m:sub>
                                </m:sSub>
                              </m:den>
                            </m:f>
                          </m:den>
                        </m:f>
                        <m:r>
                          <w:rPr>
                            <w:rFonts w:ascii="Cambria Math" w:hAnsi="Cambria Math"/>
                            <w:szCs w:val="22"/>
                          </w:rPr>
                          <m:t>-1,5⋅c</m:t>
                        </m:r>
                      </m:e>
                    </m:d>
                  </m:e>
                  <m:sup>
                    <m:r>
                      <w:rPr>
                        <w:rFonts w:ascii="Cambria Math" w:hAnsi="Cambria Math"/>
                      </w:rPr>
                      <m:t>2</m:t>
                    </m:r>
                  </m:sup>
                </m:sSup>
              </m:oMath>
            </m:oMathPara>
          </w:p>
        </w:tc>
        <w:tc>
          <w:tcPr>
            <w:tcW w:w="1247" w:type="dxa"/>
            <w:vAlign w:val="center"/>
          </w:tcPr>
          <w:p w14:paraId="3A1EA10E" w14:textId="15E5CA64" w:rsidR="0040163C" w:rsidRPr="001455DC" w:rsidRDefault="0040163C" w:rsidP="006724C7">
            <w:pPr>
              <w:pStyle w:val="a7"/>
              <w:jc w:val="right"/>
              <w:rPr>
                <w:szCs w:val="22"/>
              </w:rPr>
            </w:pPr>
            <w:r w:rsidRPr="001455DC">
              <w:rPr>
                <w:szCs w:val="22"/>
              </w:rPr>
              <w:t>(9.11)</w:t>
            </w:r>
          </w:p>
        </w:tc>
      </w:tr>
    </w:tbl>
    <w:p w14:paraId="1069767D" w14:textId="77777777" w:rsidR="006724C7" w:rsidRPr="001455DC" w:rsidRDefault="006724C7"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1814"/>
        <w:gridCol w:w="7598"/>
      </w:tblGrid>
      <w:tr w:rsidR="006724C7" w:rsidRPr="001455DC" w14:paraId="00B72F79" w14:textId="77777777" w:rsidTr="006724C7">
        <w:trPr>
          <w:cantSplit/>
        </w:trPr>
        <w:tc>
          <w:tcPr>
            <w:tcW w:w="1814" w:type="dxa"/>
          </w:tcPr>
          <w:p w14:paraId="38F352CE" w14:textId="13041D1D" w:rsidR="006724C7" w:rsidRPr="001455DC" w:rsidRDefault="00231E33" w:rsidP="006724C7">
            <w:pPr>
              <w:pStyle w:val="Tablebody"/>
            </w:pPr>
            <m:oMathPara>
              <m:oMathParaPr>
                <m:jc m:val="left"/>
              </m:oMathParaPr>
              <m:oMath>
                <m:sSub>
                  <m:sSubPr>
                    <m:ctrlPr>
                      <w:rPr>
                        <w:rFonts w:ascii="Cambria Math" w:hAnsi="Cambria Math"/>
                      </w:rPr>
                    </m:ctrlPr>
                  </m:sSubPr>
                  <m:e>
                    <m:r>
                      <w:rPr>
                        <w:rFonts w:ascii="Cambria Math" w:hAnsi="Cambria Math"/>
                      </w:rPr>
                      <m:t>ρ</m:t>
                    </m:r>
                  </m:e>
                  <m:sub>
                    <m:r>
                      <m:rPr>
                        <m:sty m:val="p"/>
                      </m:rPr>
                      <w:rPr>
                        <w:rFonts w:ascii="Cambria Math" w:hAnsi="Cambria Math"/>
                      </w:rPr>
                      <m:t>p</m:t>
                    </m:r>
                  </m:sub>
                </m:sSub>
                <m:r>
                  <w:rPr>
                    <w:rFonts w:ascii="Cambria Math" w:hAnsi="Cambria Math"/>
                  </w:rPr>
                  <m:t>=</m:t>
                </m:r>
                <m:f>
                  <m:fPr>
                    <m:ctrlPr>
                      <w:rPr>
                        <w:rFonts w:ascii="Cambria Math" w:hAnsi="Cambria Math"/>
                      </w:rPr>
                    </m:ctrlPr>
                  </m:fPr>
                  <m:num>
                    <m:d>
                      <m:dPr>
                        <m:sepChr m:val=""/>
                        <m:ctrlPr>
                          <w:rPr>
                            <w:rFonts w:ascii="Cambria Math" w:hAnsi="Cambria Math"/>
                          </w:rPr>
                        </m:ctrlPr>
                      </m:dPr>
                      <m:e>
                        <m:sSub>
                          <m:sSubPr>
                            <m:ctrlPr>
                              <w:rPr>
                                <w:rFonts w:ascii="Cambria Math" w:hAnsi="Cambria Math"/>
                                <w:i/>
                              </w:rPr>
                            </m:ctrlPr>
                          </m:sSubPr>
                          <m:e>
                            <m:r>
                              <w:rPr>
                                <w:rFonts w:ascii="Cambria Math" w:hAnsi="Cambria Math"/>
                              </w:rPr>
                              <m:t>A</m:t>
                            </m:r>
                          </m:e>
                          <m:sub>
                            <m:r>
                              <m:rPr>
                                <m:sty m:val="p"/>
                              </m:rPr>
                              <w:rPr>
                                <w:rFonts w:ascii="Cambria Math" w:hAnsi="Cambria Math"/>
                              </w:rPr>
                              <m:t>s</m:t>
                            </m:r>
                          </m:sub>
                        </m:sSub>
                      </m:e>
                      <m:e>
                        <m:r>
                          <w:rPr>
                            <w:rFonts w:ascii="Cambria Math" w:hAnsi="Cambria Math"/>
                          </w:rPr>
                          <m:t>+</m:t>
                        </m:r>
                      </m:e>
                      <m:e>
                        <m:sSub>
                          <m:sSubPr>
                            <m:ctrlPr>
                              <w:rPr>
                                <w:rFonts w:ascii="Cambria Math" w:hAnsi="Cambria Math"/>
                              </w:rPr>
                            </m:ctrlPr>
                          </m:sSubPr>
                          <m:e>
                            <m:r>
                              <w:rPr>
                                <w:rFonts w:ascii="Cambria Math" w:hAnsi="Cambria Math"/>
                              </w:rPr>
                              <m:t>ξ</m:t>
                            </m:r>
                          </m:e>
                          <m:sub>
                            <m:r>
                              <w:rPr>
                                <w:rFonts w:ascii="Cambria Math" w:hAnsi="Cambria Math"/>
                              </w:rPr>
                              <m:t>1</m:t>
                            </m:r>
                          </m:sub>
                        </m:sSub>
                      </m:e>
                      <m:e>
                        <m:sSub>
                          <m:sSubPr>
                            <m:ctrlPr>
                              <w:rPr>
                                <w:rFonts w:ascii="Cambria Math" w:hAnsi="Cambria Math"/>
                              </w:rPr>
                            </m:ctrlPr>
                          </m:sSubPr>
                          <m:e>
                            <m:r>
                              <w:rPr>
                                <w:rFonts w:ascii="Cambria Math" w:hAnsi="Cambria Math"/>
                              </w:rPr>
                              <m:t>A</m:t>
                            </m:r>
                          </m:e>
                          <m:sub>
                            <m:r>
                              <m:rPr>
                                <m:sty m:val="p"/>
                              </m:rPr>
                              <w:rPr>
                                <w:rFonts w:ascii="Cambria Math" w:hAnsi="Cambria Math"/>
                              </w:rPr>
                              <m:t>p</m:t>
                            </m:r>
                          </m:sub>
                        </m:sSub>
                      </m:e>
                    </m:d>
                  </m:num>
                  <m:den>
                    <m:r>
                      <w:rPr>
                        <w:rFonts w:ascii="Cambria Math" w:hAnsi="Cambria Math"/>
                      </w:rPr>
                      <m:t>b⋅d</m:t>
                    </m:r>
                  </m:den>
                </m:f>
              </m:oMath>
            </m:oMathPara>
          </w:p>
        </w:tc>
        <w:tc>
          <w:tcPr>
            <w:tcW w:w="7598" w:type="dxa"/>
          </w:tcPr>
          <w:p w14:paraId="69BC87EB" w14:textId="4873CAF2" w:rsidR="006724C7" w:rsidRPr="001455DC" w:rsidRDefault="006724C7">
            <w:pPr>
              <w:pStyle w:val="Tablebody"/>
            </w:pPr>
            <w:r w:rsidRPr="001455DC">
              <w:t>is the reinforcement ratio corresponding to the</w:t>
            </w:r>
            <w:r w:rsidRPr="001455DC">
              <w:rPr>
                <w:szCs w:val="22"/>
              </w:rPr>
              <w:t xml:space="preserve"> </w:t>
            </w:r>
            <w:r w:rsidRPr="001455DC">
              <w:t xml:space="preserve">tensioned face under consideration. When considering the least tensioned face of an element with both faces in tension, </w:t>
            </w:r>
            <w:r w:rsidRPr="001455DC">
              <w:rPr>
                <w:rStyle w:val="CCMCvariableitalic"/>
              </w:rPr>
              <w:t>k</w:t>
            </w:r>
            <w:r w:rsidRPr="001455DC">
              <w:rPr>
                <w:rStyle w:val="CCMCvariablesubscript"/>
              </w:rPr>
              <w:t>1/r,simpl</w:t>
            </w:r>
            <w:r w:rsidRPr="001455DC">
              <w:t xml:space="preserve"> may be set equal to 1,0 conservatively;</w:t>
            </w:r>
          </w:p>
        </w:tc>
      </w:tr>
      <w:tr w:rsidR="006724C7" w:rsidRPr="001455DC" w14:paraId="7FE98844" w14:textId="77777777" w:rsidTr="006724C7">
        <w:trPr>
          <w:cantSplit/>
        </w:trPr>
        <w:tc>
          <w:tcPr>
            <w:tcW w:w="1814" w:type="dxa"/>
          </w:tcPr>
          <w:p w14:paraId="0EA4D40E" w14:textId="25B0CC5A" w:rsidR="006724C7" w:rsidRPr="001455DC" w:rsidRDefault="006724C7" w:rsidP="006724C7">
            <w:pPr>
              <w:pStyle w:val="Tablebody"/>
            </w:pPr>
            <w:r w:rsidRPr="001455DC">
              <w:rPr>
                <w:rStyle w:val="CCMCvariableitalic"/>
              </w:rPr>
              <w:t>r</w:t>
            </w:r>
          </w:p>
        </w:tc>
        <w:tc>
          <w:tcPr>
            <w:tcW w:w="7598" w:type="dxa"/>
          </w:tcPr>
          <w:p w14:paraId="6467DF2C" w14:textId="30D91290" w:rsidR="006724C7" w:rsidRPr="001455DC" w:rsidRDefault="006724C7" w:rsidP="006724C7">
            <w:pPr>
              <w:pStyle w:val="Tablebody"/>
            </w:pPr>
            <w:r w:rsidRPr="001455DC">
              <w:rPr>
                <w:rFonts w:eastAsiaTheme="minorHAnsi"/>
              </w:rPr>
              <w:t>is the distance from the concrete surface to the centre of the first layer of bars;</w:t>
            </w:r>
          </w:p>
        </w:tc>
      </w:tr>
      <w:tr w:rsidR="006724C7" w:rsidRPr="001455DC" w14:paraId="58F5C126" w14:textId="77777777" w:rsidTr="006724C7">
        <w:trPr>
          <w:cantSplit/>
        </w:trPr>
        <w:tc>
          <w:tcPr>
            <w:tcW w:w="1814" w:type="dxa"/>
          </w:tcPr>
          <w:p w14:paraId="4660D431" w14:textId="36C8DC9A" w:rsidR="006724C7" w:rsidRPr="001455DC" w:rsidRDefault="006724C7" w:rsidP="006724C7">
            <w:pPr>
              <w:pStyle w:val="Tablebody"/>
            </w:pPr>
            <w:r w:rsidRPr="001455DC">
              <w:rPr>
                <w:rStyle w:val="CCMCvariableitalic"/>
              </w:rPr>
              <w:t>s</w:t>
            </w:r>
            <w:r w:rsidRPr="001455DC">
              <w:rPr>
                <w:rStyle w:val="CCMCvariablesubscript"/>
              </w:rPr>
              <w:t>l</w:t>
            </w:r>
          </w:p>
        </w:tc>
        <w:tc>
          <w:tcPr>
            <w:tcW w:w="7598" w:type="dxa"/>
          </w:tcPr>
          <w:p w14:paraId="0BB9260F" w14:textId="6234174F" w:rsidR="006724C7" w:rsidRPr="001455DC" w:rsidRDefault="006724C7" w:rsidP="006724C7">
            <w:pPr>
              <w:pStyle w:val="Tablebody"/>
            </w:pPr>
            <w:r w:rsidRPr="001455DC">
              <w:rPr>
                <w:rFonts w:eastAsiaTheme="minorHAnsi"/>
              </w:rPr>
              <w:t>is the bar spacing;</w:t>
            </w:r>
          </w:p>
        </w:tc>
      </w:tr>
      <w:tr w:rsidR="006724C7" w:rsidRPr="001455DC" w14:paraId="44A17309" w14:textId="77777777" w:rsidTr="006724C7">
        <w:trPr>
          <w:cantSplit/>
        </w:trPr>
        <w:tc>
          <w:tcPr>
            <w:tcW w:w="1814" w:type="dxa"/>
          </w:tcPr>
          <w:p w14:paraId="73060034" w14:textId="1495D3DF" w:rsidR="006724C7" w:rsidRPr="001455DC" w:rsidRDefault="006724C7" w:rsidP="006724C7">
            <w:pPr>
              <w:pStyle w:val="Tablebody"/>
            </w:pPr>
            <w:r w:rsidRPr="001455DC">
              <w:rPr>
                <w:rStyle w:val="CCMCvariableitalic"/>
              </w:rPr>
              <w:t>σ</w:t>
            </w:r>
            <w:r w:rsidRPr="001455DC">
              <w:rPr>
                <w:rStyle w:val="CCMCvariablesubscript"/>
              </w:rPr>
              <w:t>s</w:t>
            </w:r>
          </w:p>
        </w:tc>
        <w:tc>
          <w:tcPr>
            <w:tcW w:w="7598" w:type="dxa"/>
          </w:tcPr>
          <w:p w14:paraId="4842C58C" w14:textId="787E759C" w:rsidR="006724C7" w:rsidRPr="001455DC" w:rsidRDefault="006724C7" w:rsidP="006724C7">
            <w:pPr>
              <w:pStyle w:val="Tablebody"/>
            </w:pPr>
            <w:r w:rsidRPr="001455DC">
              <w:rPr>
                <w:rFonts w:eastAsiaTheme="minorHAnsi"/>
              </w:rPr>
              <w:t xml:space="preserve">is the stress permitted in the reinforcement closest to the most tensioned concrete surface after formation of all cracks. </w:t>
            </w:r>
            <w:r w:rsidRPr="001455DC">
              <w:rPr>
                <w:rStyle w:val="CCMCvariableitalic"/>
              </w:rPr>
              <w:t>σ</w:t>
            </w:r>
            <w:r w:rsidRPr="001455DC">
              <w:rPr>
                <w:rStyle w:val="CCMCvariablesubscript"/>
              </w:rPr>
              <w:t>s</w:t>
            </w:r>
            <w:r w:rsidRPr="001455DC">
              <w:rPr>
                <w:rFonts w:eastAsiaTheme="minorHAnsi"/>
              </w:rPr>
              <w:t xml:space="preserve"> may be taken as the calculated stress according to loads or a lower stress </w:t>
            </w:r>
            <w:r w:rsidRPr="001455DC">
              <w:rPr>
                <w:rStyle w:val="CCMCvariableitalic"/>
              </w:rPr>
              <w:t>σ</w:t>
            </w:r>
            <w:r w:rsidRPr="001455DC">
              <w:rPr>
                <w:rStyle w:val="CCMCvariablesubscript"/>
              </w:rPr>
              <w:t>s,lim</w:t>
            </w:r>
            <w:r w:rsidRPr="001455DC">
              <w:rPr>
                <w:rFonts w:eastAsiaTheme="minorHAnsi"/>
              </w:rPr>
              <w:t xml:space="preserve"> according to </w:t>
            </w:r>
            <w:r w:rsidRPr="001455DC">
              <w:t>Formula (9.5)</w:t>
            </w:r>
            <w:r w:rsidRPr="001455DC">
              <w:rPr>
                <w:rFonts w:eastAsiaTheme="minorHAnsi"/>
              </w:rPr>
              <w:t>;</w:t>
            </w:r>
          </w:p>
        </w:tc>
      </w:tr>
      <w:tr w:rsidR="006724C7" w:rsidRPr="001455DC" w14:paraId="4381C0F0" w14:textId="77777777" w:rsidTr="006724C7">
        <w:trPr>
          <w:cantSplit/>
        </w:trPr>
        <w:tc>
          <w:tcPr>
            <w:tcW w:w="1814" w:type="dxa"/>
          </w:tcPr>
          <w:p w14:paraId="6B8A3049" w14:textId="4699A9A8" w:rsidR="006724C7" w:rsidRPr="001455DC" w:rsidRDefault="006724C7" w:rsidP="006724C7">
            <w:pPr>
              <w:pStyle w:val="Tablebody"/>
            </w:pPr>
            <w:r w:rsidRPr="001455DC">
              <w:rPr>
                <w:rStyle w:val="CCMCvariableitalic"/>
              </w:rPr>
              <w:t>k</w:t>
            </w:r>
            <w:r w:rsidRPr="001455DC">
              <w:rPr>
                <w:rStyle w:val="CCMCvariablesubscript"/>
              </w:rPr>
              <w:t>w</w:t>
            </w:r>
          </w:p>
        </w:tc>
        <w:tc>
          <w:tcPr>
            <w:tcW w:w="7598" w:type="dxa"/>
          </w:tcPr>
          <w:p w14:paraId="2F6B53FC" w14:textId="538A6D4C" w:rsidR="006724C7" w:rsidRPr="001455DC" w:rsidRDefault="006724C7" w:rsidP="006724C7">
            <w:pPr>
              <w:pStyle w:val="Tablebody"/>
            </w:pPr>
            <w:r w:rsidRPr="001455DC">
              <w:rPr>
                <w:rFonts w:eastAsiaTheme="minorHAnsi"/>
                <w:iCs/>
              </w:rPr>
              <w:t>is a factor converting the mean crack width into a calculated crack width, see 9.2.4(2)</w:t>
            </w:r>
            <w:r w:rsidRPr="001455DC">
              <w:rPr>
                <w:rFonts w:eastAsiaTheme="minorHAnsi"/>
              </w:rPr>
              <w:t>.</w:t>
            </w:r>
          </w:p>
        </w:tc>
      </w:tr>
    </w:tbl>
    <w:p w14:paraId="23E7EAEC" w14:textId="16B44003" w:rsidR="004E22C1" w:rsidRPr="001455DC" w:rsidRDefault="006724C7" w:rsidP="006724C7">
      <w:pPr>
        <w:pStyle w:val="a7"/>
      </w:pPr>
      <w:r w:rsidRPr="001455DC">
        <w:t>(</w:t>
      </w:r>
      <w:r w:rsidR="004E22C1" w:rsidRPr="001455DC">
        <w:t>2)</w:t>
      </w:r>
      <w:r w:rsidR="004E22C1" w:rsidRPr="001455DC">
        <w:tab/>
        <w:t>Cracking due to shear and torsion may be assumed to be controlled if the detailing rules given in 12.2.2, 12.2.3 and 12.3.2 are observed.</w:t>
      </w:r>
    </w:p>
    <w:p w14:paraId="132C1EE7" w14:textId="1C086691" w:rsidR="004E22C1" w:rsidRPr="001455DC" w:rsidRDefault="004E22C1" w:rsidP="00243590">
      <w:pPr>
        <w:pStyle w:val="31"/>
      </w:pPr>
      <w:bookmarkStart w:id="699" w:name="_Ref495668385"/>
      <w:bookmarkStart w:id="700" w:name="_Toc52820010"/>
      <w:bookmarkStart w:id="701" w:name="_Toc54337404"/>
      <w:bookmarkStart w:id="702" w:name="_Toc54338067"/>
      <w:bookmarkStart w:id="703" w:name="_Toc67565411"/>
      <w:r w:rsidRPr="001455DC">
        <w:t>Refined control of cracking</w:t>
      </w:r>
      <w:bookmarkEnd w:id="699"/>
      <w:bookmarkEnd w:id="700"/>
      <w:bookmarkEnd w:id="701"/>
      <w:bookmarkEnd w:id="702"/>
      <w:bookmarkEnd w:id="703"/>
    </w:p>
    <w:p w14:paraId="1EAA3C1E" w14:textId="2980D92E" w:rsidR="004E22C1" w:rsidRPr="001455DC" w:rsidRDefault="004E22C1" w:rsidP="006724C7">
      <w:pPr>
        <w:pStyle w:val="a7"/>
      </w:pPr>
      <w:r w:rsidRPr="001455DC">
        <w:t>(1)</w:t>
      </w:r>
      <w:r w:rsidRPr="001455DC">
        <w:tab/>
        <w:t xml:space="preserve">The calculated crack width </w:t>
      </w:r>
      <w:r w:rsidRPr="001455DC">
        <w:rPr>
          <w:rStyle w:val="CCMCvariableitalic"/>
        </w:rPr>
        <w:t>w</w:t>
      </w:r>
      <w:r w:rsidRPr="001455DC">
        <w:rPr>
          <w:rStyle w:val="CCMCvariablesubscript"/>
        </w:rPr>
        <w:t>k,cal</w:t>
      </w:r>
      <w:r w:rsidRPr="001455DC">
        <w:t xml:space="preserve"> given in 9.2.4 should only be considered as a nominal value for the crack width at the member surface, to be compared with </w:t>
      </w:r>
      <w:r w:rsidRPr="001455DC">
        <w:rPr>
          <w:rStyle w:val="CCMCvariableitalic"/>
        </w:rPr>
        <w:t>w</w:t>
      </w:r>
      <w:r w:rsidRPr="001455DC">
        <w:rPr>
          <w:rStyle w:val="CCMCvariablesubscript"/>
        </w:rPr>
        <w:t>lim,cal</w:t>
      </w:r>
      <w:r w:rsidRPr="001455DC">
        <w:t>, and not as values actually measured on site.</w:t>
      </w:r>
    </w:p>
    <w:p w14:paraId="073E9049" w14:textId="77777777" w:rsidR="006724C7" w:rsidRPr="001455DC" w:rsidRDefault="004E22C1" w:rsidP="00E844D2">
      <w:pPr>
        <w:pStyle w:val="a7"/>
        <w:keepNext/>
      </w:pPr>
      <w:r w:rsidRPr="001455DC">
        <w:t>(2)</w:t>
      </w:r>
      <w:r w:rsidRPr="001455DC">
        <w:tab/>
        <w:t xml:space="preserve">The calculated surface crack width </w:t>
      </w:r>
      <w:r w:rsidRPr="001455DC">
        <w:rPr>
          <w:rStyle w:val="CCMCvariableitalic"/>
        </w:rPr>
        <w:t>w</w:t>
      </w:r>
      <w:r w:rsidRPr="001455DC">
        <w:rPr>
          <w:rStyle w:val="CCMCvariablesubscript"/>
        </w:rPr>
        <w:t>k,cal</w:t>
      </w:r>
      <w:r w:rsidRPr="001455DC">
        <w:t xml:space="preserve"> may be determined from Formula (9.12):</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6724C7" w:rsidRPr="001455DC" w14:paraId="6AF94CF3" w14:textId="77777777" w:rsidTr="006724C7">
        <w:trPr>
          <w:cantSplit/>
        </w:trPr>
        <w:tc>
          <w:tcPr>
            <w:tcW w:w="8505" w:type="dxa"/>
            <w:vAlign w:val="center"/>
          </w:tcPr>
          <w:p w14:paraId="0631FC51" w14:textId="1F44549F" w:rsidR="006724C7" w:rsidRPr="001455DC" w:rsidRDefault="00231E33" w:rsidP="006724C7">
            <w:pPr>
              <w:pStyle w:val="Formula"/>
              <w:jc w:val="left"/>
            </w:pPr>
            <m:oMathPara>
              <m:oMathParaPr>
                <m:jc m:val="left"/>
              </m:oMathParaPr>
              <m:oMath>
                <m:sSub>
                  <m:sSubPr>
                    <m:ctrlPr>
                      <w:rPr>
                        <w:rFonts w:ascii="Cambria Math" w:hAnsi="Cambria Math"/>
                      </w:rPr>
                    </m:ctrlPr>
                  </m:sSubPr>
                  <m:e>
                    <m:r>
                      <w:rPr>
                        <w:rFonts w:ascii="Cambria Math" w:hAnsi="Cambria Math"/>
                      </w:rPr>
                      <m:t>w</m:t>
                    </m:r>
                  </m:e>
                  <m:sub>
                    <m:r>
                      <m:rPr>
                        <m:sty m:val="p"/>
                      </m:rPr>
                      <w:rPr>
                        <w:rFonts w:ascii="Cambria Math" w:hAnsi="Cambria Math"/>
                      </w:rPr>
                      <m:t>k,cal</m:t>
                    </m:r>
                  </m:sub>
                </m:sSub>
                <m: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w</m:t>
                    </m:r>
                  </m:sub>
                </m:sSub>
                <m: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rm,cal</m:t>
                    </m:r>
                  </m:sub>
                </m:sSub>
                <m:d>
                  <m:dPr>
                    <m:ctrlPr>
                      <w:rPr>
                        <w:rFonts w:ascii="Cambria Math" w:hAnsi="Cambria Math"/>
                      </w:rPr>
                    </m:ctrlPr>
                  </m:dPr>
                  <m:e>
                    <m:sSub>
                      <m:sSubPr>
                        <m:ctrlPr>
                          <w:rPr>
                            <w:rFonts w:ascii="Cambria Math" w:hAnsi="Cambria Math"/>
                          </w:rPr>
                        </m:ctrlPr>
                      </m:sSubPr>
                      <m:e>
                        <m:r>
                          <w:rPr>
                            <w:rFonts w:ascii="Cambria Math" w:hAnsi="Cambria Math"/>
                          </w:rPr>
                          <m:t>ε</m:t>
                        </m:r>
                      </m:e>
                      <m:sub>
                        <m:r>
                          <m:rPr>
                            <m:sty m:val="p"/>
                          </m:rPr>
                          <w:rPr>
                            <w:rFonts w:ascii="Cambria Math" w:hAnsi="Cambria Math"/>
                          </w:rPr>
                          <m:t>sm</m:t>
                        </m:r>
                      </m:sub>
                    </m:sSub>
                    <m:r>
                      <w:rPr>
                        <w:rFonts w:ascii="Cambria Math" w:hAnsi="Cambria Math"/>
                      </w:rPr>
                      <m:t>-</m:t>
                    </m:r>
                    <m:sSub>
                      <m:sSubPr>
                        <m:ctrlPr>
                          <w:rPr>
                            <w:rFonts w:ascii="Cambria Math" w:hAnsi="Cambria Math"/>
                            <w:i/>
                          </w:rPr>
                        </m:ctrlPr>
                      </m:sSubPr>
                      <m:e>
                        <m:r>
                          <w:rPr>
                            <w:rFonts w:ascii="Cambria Math" w:hAnsi="Cambria Math"/>
                          </w:rPr>
                          <m:t>ε</m:t>
                        </m:r>
                      </m:e>
                      <m:sub>
                        <m:r>
                          <m:rPr>
                            <m:sty m:val="p"/>
                          </m:rPr>
                          <w:rPr>
                            <w:rFonts w:ascii="Cambria Math" w:hAnsi="Cambria Math"/>
                          </w:rPr>
                          <m:t>cm</m:t>
                        </m:r>
                      </m:sub>
                    </m:sSub>
                  </m:e>
                </m:d>
              </m:oMath>
            </m:oMathPara>
          </w:p>
        </w:tc>
        <w:tc>
          <w:tcPr>
            <w:tcW w:w="1247" w:type="dxa"/>
            <w:vAlign w:val="center"/>
          </w:tcPr>
          <w:p w14:paraId="46A960F4" w14:textId="1B440641" w:rsidR="006724C7" w:rsidRPr="001455DC" w:rsidRDefault="006724C7" w:rsidP="006724C7">
            <w:pPr>
              <w:pStyle w:val="a7"/>
              <w:jc w:val="right"/>
            </w:pPr>
            <w:r w:rsidRPr="001455DC">
              <w:t>(9.12)</w:t>
            </w:r>
          </w:p>
        </w:tc>
      </w:tr>
    </w:tbl>
    <w:p w14:paraId="36492105" w14:textId="77777777" w:rsidR="006724C7" w:rsidRPr="001455DC" w:rsidRDefault="006724C7" w:rsidP="00A35599">
      <w:pPr>
        <w:pStyle w:val="a7"/>
        <w:keepNext/>
      </w:pPr>
      <w:r w:rsidRPr="001455DC">
        <w:t>where</w:t>
      </w:r>
    </w:p>
    <w:tbl>
      <w:tblPr>
        <w:tblW w:w="9413" w:type="dxa"/>
        <w:tblInd w:w="397" w:type="dxa"/>
        <w:tblLayout w:type="fixed"/>
        <w:tblCellMar>
          <w:left w:w="28" w:type="dxa"/>
          <w:right w:w="28" w:type="dxa"/>
        </w:tblCellMar>
        <w:tblLook w:val="04A0" w:firstRow="1" w:lastRow="0" w:firstColumn="1" w:lastColumn="0" w:noHBand="0" w:noVBand="1"/>
      </w:tblPr>
      <w:tblGrid>
        <w:gridCol w:w="851"/>
        <w:gridCol w:w="8562"/>
      </w:tblGrid>
      <w:tr w:rsidR="006724C7" w:rsidRPr="001455DC" w14:paraId="167C81C5" w14:textId="77777777" w:rsidTr="006724C7">
        <w:trPr>
          <w:cantSplit/>
        </w:trPr>
        <w:tc>
          <w:tcPr>
            <w:tcW w:w="851" w:type="dxa"/>
          </w:tcPr>
          <w:p w14:paraId="2E847EAE" w14:textId="170E0717" w:rsidR="006724C7" w:rsidRPr="001455DC" w:rsidRDefault="006724C7" w:rsidP="006724C7">
            <w:pPr>
              <w:pStyle w:val="Tablebody"/>
            </w:pPr>
            <w:r w:rsidRPr="001455DC">
              <w:rPr>
                <w:rStyle w:val="CCMCvariableitalic"/>
              </w:rPr>
              <w:t>k</w:t>
            </w:r>
            <w:r w:rsidRPr="001455DC">
              <w:rPr>
                <w:rStyle w:val="CCMCvariablesubscript"/>
              </w:rPr>
              <w:t>w</w:t>
            </w:r>
          </w:p>
        </w:tc>
        <w:tc>
          <w:tcPr>
            <w:tcW w:w="8562" w:type="dxa"/>
          </w:tcPr>
          <w:p w14:paraId="2BFCA617" w14:textId="1E252893" w:rsidR="006724C7" w:rsidRPr="001455DC" w:rsidRDefault="006724C7" w:rsidP="006724C7">
            <w:pPr>
              <w:pStyle w:val="Tablebody"/>
            </w:pPr>
            <w:r w:rsidRPr="001455DC">
              <w:rPr>
                <w:rFonts w:eastAsiaTheme="minorHAnsi"/>
              </w:rPr>
              <w:t>is a factor converting the mean crack width into a calculated crack width;</w:t>
            </w:r>
          </w:p>
        </w:tc>
      </w:tr>
    </w:tbl>
    <w:p w14:paraId="31AC9F6C" w14:textId="77E78877" w:rsidR="000A47B8" w:rsidRPr="009D3012" w:rsidRDefault="0079403C" w:rsidP="009D3012">
      <w:pPr>
        <w:pStyle w:val="Note"/>
      </w:pPr>
      <w:r>
        <w:t xml:space="preserve">NOTE </w:t>
      </w:r>
      <w:r w:rsidR="000A47B8" w:rsidRPr="009D3012">
        <w:rPr>
          <w:bCs/>
        </w:rPr>
        <w:tab/>
      </w:r>
      <w:r w:rsidR="000A47B8" w:rsidRPr="009D3012">
        <w:t xml:space="preserve">The value of </w:t>
      </w:r>
      <w:r w:rsidR="000A47B8" w:rsidRPr="009D3012">
        <w:rPr>
          <w:rStyle w:val="CCMCvariableitalic"/>
        </w:rPr>
        <w:t>k</w:t>
      </w:r>
      <w:r w:rsidR="000A47B8" w:rsidRPr="009D3012">
        <w:rPr>
          <w:rStyle w:val="CCMCvariablesubscript"/>
        </w:rPr>
        <w:t>w</w:t>
      </w:r>
      <w:r w:rsidR="000A47B8" w:rsidRPr="009D3012">
        <w:t xml:space="preserve"> is 1,7 unless a National Annex gives a different value.</w:t>
      </w:r>
      <w:r w:rsidR="000A47B8" w:rsidRPr="001455DC">
        <w:rPr>
          <w:rFonts w:eastAsia="Calibri" w:cs="Times New Roman"/>
          <w:sz w:val="22"/>
          <w:szCs w:val="22"/>
          <w:lang w:eastAsia="en-US"/>
        </w:rPr>
        <w:br w:type="page"/>
      </w:r>
    </w:p>
    <w:tbl>
      <w:tblPr>
        <w:tblW w:w="9413" w:type="dxa"/>
        <w:tblInd w:w="397" w:type="dxa"/>
        <w:tblLayout w:type="fixed"/>
        <w:tblCellMar>
          <w:left w:w="28" w:type="dxa"/>
          <w:right w:w="28" w:type="dxa"/>
        </w:tblCellMar>
        <w:tblLook w:val="04A0" w:firstRow="1" w:lastRow="0" w:firstColumn="1" w:lastColumn="0" w:noHBand="0" w:noVBand="1"/>
      </w:tblPr>
      <w:tblGrid>
        <w:gridCol w:w="851"/>
        <w:gridCol w:w="8562"/>
      </w:tblGrid>
      <w:tr w:rsidR="000A47B8" w:rsidRPr="001455DC" w14:paraId="33E3323B" w14:textId="77777777" w:rsidTr="006724C7">
        <w:trPr>
          <w:cantSplit/>
        </w:trPr>
        <w:tc>
          <w:tcPr>
            <w:tcW w:w="9413" w:type="dxa"/>
            <w:gridSpan w:val="2"/>
          </w:tcPr>
          <w:p w14:paraId="2EC41841" w14:textId="2E814E7B" w:rsidR="000A47B8" w:rsidRPr="001455DC" w:rsidRDefault="000A47B8" w:rsidP="006724C7">
            <w:pPr>
              <w:pStyle w:val="Note"/>
            </w:pPr>
          </w:p>
        </w:tc>
      </w:tr>
      <w:tr w:rsidR="006724C7" w:rsidRPr="001455DC" w14:paraId="52D404C6" w14:textId="77777777" w:rsidTr="006724C7">
        <w:trPr>
          <w:cantSplit/>
        </w:trPr>
        <w:tc>
          <w:tcPr>
            <w:tcW w:w="851" w:type="dxa"/>
          </w:tcPr>
          <w:p w14:paraId="3C860D3A" w14:textId="4C82E06A" w:rsidR="006724C7" w:rsidRPr="001455DC" w:rsidRDefault="006724C7" w:rsidP="006724C7">
            <w:pPr>
              <w:pStyle w:val="Tablebody"/>
            </w:pPr>
            <w:r w:rsidRPr="001455DC">
              <w:rPr>
                <w:rStyle w:val="CCMCvariableitalic"/>
              </w:rPr>
              <w:t>s</w:t>
            </w:r>
            <w:r w:rsidRPr="001455DC">
              <w:rPr>
                <w:rStyle w:val="CCMCvariablesubscript"/>
              </w:rPr>
              <w:t>r,m,cal</w:t>
            </w:r>
          </w:p>
        </w:tc>
        <w:tc>
          <w:tcPr>
            <w:tcW w:w="8562" w:type="dxa"/>
          </w:tcPr>
          <w:p w14:paraId="7DB639CA" w14:textId="779C84E9" w:rsidR="006724C7" w:rsidRPr="001455DC" w:rsidRDefault="006724C7" w:rsidP="006724C7">
            <w:pPr>
              <w:pStyle w:val="Tablebody"/>
            </w:pPr>
            <w:r w:rsidRPr="001455DC">
              <w:rPr>
                <w:rFonts w:eastAsiaTheme="minorHAnsi"/>
              </w:rPr>
              <w:t>is the calculated mean crack spacing when all cracks have formed or where not all cracks have formed, the maximum length along which there is slip between the concrete and the steel adjacent to a crack;</w:t>
            </w:r>
          </w:p>
        </w:tc>
      </w:tr>
      <w:tr w:rsidR="006724C7" w:rsidRPr="001455DC" w14:paraId="7E1F7423" w14:textId="77777777" w:rsidTr="006724C7">
        <w:trPr>
          <w:cantSplit/>
        </w:trPr>
        <w:tc>
          <w:tcPr>
            <w:tcW w:w="851" w:type="dxa"/>
          </w:tcPr>
          <w:p w14:paraId="7AE59220" w14:textId="416584F2" w:rsidR="006724C7" w:rsidRPr="001455DC" w:rsidRDefault="006724C7" w:rsidP="006724C7">
            <w:pPr>
              <w:pStyle w:val="Tablebody"/>
            </w:pPr>
            <w:r w:rsidRPr="001455DC">
              <w:rPr>
                <w:rStyle w:val="CCMCvariableitalic"/>
              </w:rPr>
              <w:t>ε</w:t>
            </w:r>
            <w:r w:rsidRPr="001455DC">
              <w:rPr>
                <w:rStyle w:val="CCMCvariablesubscript"/>
              </w:rPr>
              <w:t>sm</w:t>
            </w:r>
          </w:p>
        </w:tc>
        <w:tc>
          <w:tcPr>
            <w:tcW w:w="8562" w:type="dxa"/>
          </w:tcPr>
          <w:p w14:paraId="5423D7ED" w14:textId="159D1806" w:rsidR="006724C7" w:rsidRPr="001455DC" w:rsidRDefault="006724C7" w:rsidP="006724C7">
            <w:pPr>
              <w:pStyle w:val="Tablebody"/>
            </w:pPr>
            <w:r w:rsidRPr="001455DC">
              <w:rPr>
                <w:rFonts w:eastAsiaTheme="minorHAnsi"/>
              </w:rPr>
              <w:t>is the mean strain in the reinforcement closest to the most tensioned concrete surface under the relevant combination of actions, including the effect of imposed deformations and taking into account the effects of tension stiffening. Only the additional tensile strain beyond the state of zero strain of the concrete at the same level is considered;</w:t>
            </w:r>
          </w:p>
        </w:tc>
      </w:tr>
      <w:tr w:rsidR="006724C7" w:rsidRPr="001455DC" w14:paraId="30BDB6C9" w14:textId="77777777" w:rsidTr="006724C7">
        <w:trPr>
          <w:cantSplit/>
        </w:trPr>
        <w:tc>
          <w:tcPr>
            <w:tcW w:w="851" w:type="dxa"/>
          </w:tcPr>
          <w:p w14:paraId="3F0FEC59" w14:textId="0664DEC0" w:rsidR="006724C7" w:rsidRPr="001455DC" w:rsidRDefault="006724C7" w:rsidP="006724C7">
            <w:pPr>
              <w:pStyle w:val="Tablebody"/>
            </w:pPr>
            <w:r w:rsidRPr="001455DC">
              <w:rPr>
                <w:rStyle w:val="CCMCvariableitalic"/>
              </w:rPr>
              <w:t>ε</w:t>
            </w:r>
            <w:r w:rsidRPr="001455DC">
              <w:rPr>
                <w:rStyle w:val="CCMCvariablesubscript"/>
              </w:rPr>
              <w:t>cm</w:t>
            </w:r>
          </w:p>
        </w:tc>
        <w:tc>
          <w:tcPr>
            <w:tcW w:w="8562" w:type="dxa"/>
          </w:tcPr>
          <w:p w14:paraId="60EAF4C9" w14:textId="12E2B1E9" w:rsidR="006724C7" w:rsidRPr="001455DC" w:rsidRDefault="006724C7" w:rsidP="006724C7">
            <w:pPr>
              <w:pStyle w:val="Tablebody"/>
            </w:pPr>
            <w:r w:rsidRPr="001455DC">
              <w:rPr>
                <w:rFonts w:eastAsiaTheme="minorHAnsi"/>
              </w:rPr>
              <w:t xml:space="preserve">is the mean strain in the concrete between cracks at the same level of </w:t>
            </w:r>
            <w:r w:rsidRPr="001455DC">
              <w:rPr>
                <w:rStyle w:val="CCMCvariableitalic"/>
              </w:rPr>
              <w:t>ε</w:t>
            </w:r>
            <w:r w:rsidRPr="001455DC">
              <w:rPr>
                <w:rStyle w:val="CCMCvariablesubscript"/>
              </w:rPr>
              <w:t>sm</w:t>
            </w:r>
            <w:r w:rsidRPr="001455DC">
              <w:rPr>
                <w:rFonts w:eastAsiaTheme="minorHAnsi"/>
              </w:rPr>
              <w:t>.</w:t>
            </w:r>
          </w:p>
        </w:tc>
      </w:tr>
    </w:tbl>
    <w:p w14:paraId="59E9C8B5" w14:textId="306166A5" w:rsidR="006724C7" w:rsidRPr="001455DC" w:rsidRDefault="004E22C1" w:rsidP="00E844D2">
      <w:pPr>
        <w:pStyle w:val="a7"/>
        <w:keepNext/>
      </w:pPr>
      <w:r w:rsidRPr="001455DC">
        <w:rPr>
          <w:rFonts w:eastAsiaTheme="minorHAnsi"/>
        </w:rPr>
        <w:t>(3)</w:t>
      </w:r>
      <w:r w:rsidRPr="001455DC">
        <w:rPr>
          <w:rFonts w:eastAsiaTheme="minorHAnsi"/>
        </w:rPr>
        <w:tab/>
        <w:t xml:space="preserve">For elements subjected to direct loads (stabilized cracking) or subjected to imposed strains (crack formation phase) where end restraint dominates (see (4) and Figure 9.3), </w:t>
      </w:r>
      <w:r w:rsidRPr="001455DC">
        <w:rPr>
          <w:rStyle w:val="CCMCvariableitalic"/>
        </w:rPr>
        <w:t>ε</w:t>
      </w:r>
      <w:r w:rsidRPr="001455DC">
        <w:rPr>
          <w:rStyle w:val="CCMCvariablesubscript"/>
        </w:rPr>
        <w:t>sm</w:t>
      </w:r>
      <w:r w:rsidRPr="001455DC">
        <w:rPr>
          <w:rFonts w:eastAsiaTheme="minorHAnsi"/>
        </w:rPr>
        <w:t> </w:t>
      </w:r>
      <w:r w:rsidR="00EC27D2" w:rsidRPr="001455DC">
        <w:rPr>
          <w:rFonts w:ascii="Cambria Math" w:eastAsiaTheme="minorHAnsi" w:hAnsi="Cambria Math"/>
        </w:rPr>
        <w:t>−</w:t>
      </w:r>
      <w:r w:rsidRPr="001455DC">
        <w:rPr>
          <w:rFonts w:eastAsiaTheme="minorHAnsi"/>
        </w:rPr>
        <w:t> </w:t>
      </w:r>
      <w:r w:rsidRPr="001455DC">
        <w:rPr>
          <w:rStyle w:val="CCMCvariableitalic"/>
        </w:rPr>
        <w:t>ε</w:t>
      </w:r>
      <w:r w:rsidRPr="001455DC">
        <w:rPr>
          <w:rStyle w:val="CCMCvariablesubscript"/>
        </w:rPr>
        <w:t>cm</w:t>
      </w:r>
      <w:r w:rsidRPr="001455DC">
        <w:rPr>
          <w:rFonts w:eastAsiaTheme="minorHAnsi"/>
        </w:rPr>
        <w:t xml:space="preserve"> may be calculated from </w:t>
      </w:r>
      <w:r w:rsidRPr="001455DC">
        <w:t>Formula (9.13)</w:t>
      </w:r>
      <w:r w:rsidRPr="001455DC">
        <w:rPr>
          <w:rFonts w:eastAsiaTheme="minorHAnsi"/>
        </w:rPr>
        <w:t>:</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6724C7" w:rsidRPr="001455DC" w14:paraId="54D54E06" w14:textId="77777777" w:rsidTr="006724C7">
        <w:trPr>
          <w:cantSplit/>
        </w:trPr>
        <w:tc>
          <w:tcPr>
            <w:tcW w:w="8505" w:type="dxa"/>
            <w:vAlign w:val="center"/>
          </w:tcPr>
          <w:p w14:paraId="78C59FB7" w14:textId="4F9DA643" w:rsidR="006724C7" w:rsidRPr="001455DC" w:rsidRDefault="00231E33" w:rsidP="006724C7">
            <w:pPr>
              <w:pStyle w:val="Formula"/>
              <w:jc w:val="left"/>
            </w:pPr>
            <m:oMathPara>
              <m:oMathParaPr>
                <m:jc m:val="left"/>
              </m:oMathParaPr>
              <m:oMath>
                <m:sSub>
                  <m:sSubPr>
                    <m:ctrlPr>
                      <w:rPr>
                        <w:rFonts w:ascii="Cambria Math" w:hAnsi="Cambria Math"/>
                      </w:rPr>
                    </m:ctrlPr>
                  </m:sSubPr>
                  <m:e>
                    <m:r>
                      <w:rPr>
                        <w:rFonts w:ascii="Cambria Math" w:hAnsi="Cambria Math"/>
                      </w:rPr>
                      <m:t>ε</m:t>
                    </m:r>
                  </m:e>
                  <m:sub>
                    <m:r>
                      <m:rPr>
                        <m:sty m:val="p"/>
                      </m:rPr>
                      <w:rPr>
                        <w:rFonts w:ascii="Cambria Math" w:hAnsi="Cambria Math"/>
                      </w:rPr>
                      <m:t>sm</m:t>
                    </m:r>
                  </m:sub>
                </m:sSub>
                <m:r>
                  <w:rPr>
                    <w:rFonts w:ascii="Cambria Math" w:hAnsi="Cambria Math"/>
                  </w:rPr>
                  <m:t>-</m:t>
                </m:r>
                <m:sSub>
                  <m:sSubPr>
                    <m:ctrlPr>
                      <w:rPr>
                        <w:rFonts w:ascii="Cambria Math" w:hAnsi="Cambria Math"/>
                      </w:rPr>
                    </m:ctrlPr>
                  </m:sSubPr>
                  <m:e>
                    <m:r>
                      <w:rPr>
                        <w:rFonts w:ascii="Cambria Math" w:hAnsi="Cambria Math"/>
                      </w:rPr>
                      <m:t>ε</m:t>
                    </m:r>
                  </m:e>
                  <m:sub>
                    <m:r>
                      <m:rPr>
                        <m:sty m:val="p"/>
                      </m:rPr>
                      <w:rPr>
                        <w:rFonts w:ascii="Cambria Math" w:hAnsi="Cambria Math"/>
                      </w:rPr>
                      <m:t>cm</m:t>
                    </m:r>
                  </m:sub>
                </m:sSub>
                <m:r>
                  <w:rPr>
                    <w:rFonts w:ascii="Cambria Math" w:hAnsi="Cambria Math"/>
                  </w:rPr>
                  <m:t>=</m:t>
                </m:r>
                <m:sSub>
                  <m:sSubPr>
                    <m:ctrlPr>
                      <w:rPr>
                        <w:rFonts w:ascii="Cambria Math" w:hAnsi="Cambria Math"/>
                      </w:rPr>
                    </m:ctrlPr>
                  </m:sSubPr>
                  <m:e>
                    <m:r>
                      <w:rPr>
                        <w:rFonts w:ascii="Cambria Math" w:hAnsi="Cambria Math"/>
                      </w:rPr>
                      <m:t>k</m:t>
                    </m:r>
                  </m:e>
                  <m:sub>
                    <m:f>
                      <m:fPr>
                        <m:type m:val="lin"/>
                        <m:ctrlPr>
                          <w:rPr>
                            <w:rFonts w:ascii="Cambria Math" w:hAnsi="Cambria Math"/>
                            <w:iCs/>
                          </w:rPr>
                        </m:ctrlPr>
                      </m:fPr>
                      <m:num>
                        <m:r>
                          <m:rPr>
                            <m:sty m:val="p"/>
                          </m:rPr>
                          <w:rPr>
                            <w:rFonts w:ascii="Cambria Math" w:hAnsi="Cambria Math"/>
                          </w:rPr>
                          <m:t>1</m:t>
                        </m:r>
                      </m:num>
                      <m:den>
                        <m:r>
                          <m:rPr>
                            <m:sty m:val="p"/>
                          </m:rPr>
                          <w:rPr>
                            <w:rFonts w:ascii="Cambria Math" w:hAnsi="Cambria Math"/>
                          </w:rPr>
                          <m:t>r</m:t>
                        </m:r>
                      </m:den>
                    </m:f>
                  </m:sub>
                </m:sSub>
                <m:f>
                  <m:fPr>
                    <m:ctrlPr>
                      <w:rPr>
                        <w:rFonts w:ascii="Cambria Math" w:hAnsi="Cambria Math"/>
                      </w:rPr>
                    </m:ctrlPr>
                  </m:fPr>
                  <m:num>
                    <m:sSub>
                      <m:sSubPr>
                        <m:ctrlPr>
                          <w:rPr>
                            <w:rFonts w:ascii="Cambria Math" w:hAnsi="Cambria Math"/>
                          </w:rPr>
                        </m:ctrlPr>
                      </m:sSubPr>
                      <m:e>
                        <m:r>
                          <w:rPr>
                            <w:rFonts w:ascii="Cambria Math" w:hAnsi="Cambria Math"/>
                          </w:rPr>
                          <m:t>σ</m:t>
                        </m:r>
                      </m:e>
                      <m:sub>
                        <m:r>
                          <m:rPr>
                            <m:sty m:val="p"/>
                          </m:rPr>
                          <w:rPr>
                            <w:rFonts w:ascii="Cambria Math" w:hAnsi="Cambria Math"/>
                          </w:rPr>
                          <m:t>s</m:t>
                        </m:r>
                      </m:sub>
                    </m:sSub>
                    <m: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t</m:t>
                        </m:r>
                      </m:sub>
                    </m:sSub>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ct,eff</m:t>
                            </m:r>
                          </m:sub>
                        </m:sSub>
                      </m:num>
                      <m:den>
                        <m:sSub>
                          <m:sSubPr>
                            <m:ctrlPr>
                              <w:rPr>
                                <w:rFonts w:ascii="Cambria Math" w:hAnsi="Cambria Math"/>
                              </w:rPr>
                            </m:ctrlPr>
                          </m:sSubPr>
                          <m:e>
                            <m:r>
                              <w:rPr>
                                <w:rFonts w:ascii="Cambria Math" w:hAnsi="Cambria Math"/>
                              </w:rPr>
                              <m:t>ρ</m:t>
                            </m:r>
                          </m:e>
                          <m:sub>
                            <m:r>
                              <m:rPr>
                                <m:sty m:val="p"/>
                              </m:rPr>
                              <w:rPr>
                                <w:rFonts w:ascii="Cambria Math" w:hAnsi="Cambria Math"/>
                              </w:rPr>
                              <m:t>p,eff</m:t>
                            </m:r>
                          </m:sub>
                        </m:sSub>
                      </m:den>
                    </m:f>
                    <m:d>
                      <m:dPr>
                        <m:sepChr m:val=""/>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α</m:t>
                            </m:r>
                          </m:e>
                          <m:sub>
                            <m:r>
                              <m:rPr>
                                <m:sty m:val="p"/>
                              </m:rPr>
                              <w:rPr>
                                <w:rFonts w:ascii="Cambria Math" w:hAnsi="Cambria Math"/>
                              </w:rPr>
                              <m:t>e</m:t>
                            </m:r>
                          </m:sub>
                        </m:sSub>
                      </m:e>
                      <m:e>
                        <m:sSub>
                          <m:sSubPr>
                            <m:ctrlPr>
                              <w:rPr>
                                <w:rFonts w:ascii="Cambria Math" w:hAnsi="Cambria Math"/>
                              </w:rPr>
                            </m:ctrlPr>
                          </m:sSubPr>
                          <m:e>
                            <m:r>
                              <w:rPr>
                                <w:rFonts w:ascii="Cambria Math" w:hAnsi="Cambria Math"/>
                              </w:rPr>
                              <m:t>ρ</m:t>
                            </m:r>
                          </m:e>
                          <m:sub>
                            <m:r>
                              <m:rPr>
                                <m:sty m:val="p"/>
                              </m:rPr>
                              <w:rPr>
                                <w:rFonts w:ascii="Cambria Math" w:hAnsi="Cambria Math"/>
                              </w:rPr>
                              <m:t>p,eff</m:t>
                            </m:r>
                          </m:sub>
                        </m:sSub>
                      </m:e>
                    </m:d>
                  </m:num>
                  <m:den>
                    <m:sSub>
                      <m:sSubPr>
                        <m:ctrlPr>
                          <w:rPr>
                            <w:rFonts w:ascii="Cambria Math" w:hAnsi="Cambria Math"/>
                          </w:rPr>
                        </m:ctrlPr>
                      </m:sSubPr>
                      <m:e>
                        <m:r>
                          <w:rPr>
                            <w:rFonts w:ascii="Cambria Math" w:hAnsi="Cambria Math"/>
                          </w:rPr>
                          <m:t>E</m:t>
                        </m:r>
                      </m:e>
                      <m:sub>
                        <m:r>
                          <m:rPr>
                            <m:sty m:val="p"/>
                          </m:rPr>
                          <w:rPr>
                            <w:rFonts w:ascii="Cambria Math" w:hAnsi="Cambria Math"/>
                          </w:rPr>
                          <m:t>s</m:t>
                        </m:r>
                      </m:sub>
                    </m:sSub>
                  </m:den>
                </m:f>
                <m:r>
                  <w:rPr>
                    <w:rFonts w:ascii="Cambria Math" w:hAnsi="Cambria Math"/>
                  </w:rPr>
                  <m:t>≥0,6</m:t>
                </m:r>
                <m:f>
                  <m:fPr>
                    <m:ctrlPr>
                      <w:rPr>
                        <w:rFonts w:ascii="Cambria Math" w:hAnsi="Cambria Math"/>
                      </w:rPr>
                    </m:ctrlPr>
                  </m:fPr>
                  <m:num>
                    <m:sSub>
                      <m:sSubPr>
                        <m:ctrlPr>
                          <w:rPr>
                            <w:rFonts w:ascii="Cambria Math" w:hAnsi="Cambria Math"/>
                          </w:rPr>
                        </m:ctrlPr>
                      </m:sSubPr>
                      <m:e>
                        <m:r>
                          <w:rPr>
                            <w:rFonts w:ascii="Cambria Math" w:hAnsi="Cambria Math"/>
                          </w:rPr>
                          <m:t>σ</m:t>
                        </m:r>
                      </m:e>
                      <m:sub>
                        <m:r>
                          <m:rPr>
                            <m:sty m:val="p"/>
                          </m:rPr>
                          <w:rPr>
                            <w:rFonts w:ascii="Cambria Math" w:hAnsi="Cambria Math"/>
                          </w:rPr>
                          <m:t>s</m:t>
                        </m:r>
                      </m:sub>
                    </m:sSub>
                  </m:num>
                  <m:den>
                    <m:sSub>
                      <m:sSubPr>
                        <m:ctrlPr>
                          <w:rPr>
                            <w:rFonts w:ascii="Cambria Math" w:hAnsi="Cambria Math"/>
                          </w:rPr>
                        </m:ctrlPr>
                      </m:sSubPr>
                      <m:e>
                        <m:r>
                          <w:rPr>
                            <w:rFonts w:ascii="Cambria Math" w:hAnsi="Cambria Math"/>
                          </w:rPr>
                          <m:t>E</m:t>
                        </m:r>
                      </m:e>
                      <m:sub>
                        <m:r>
                          <m:rPr>
                            <m:sty m:val="p"/>
                          </m:rPr>
                          <w:rPr>
                            <w:rFonts w:ascii="Cambria Math" w:hAnsi="Cambria Math"/>
                          </w:rPr>
                          <m:t>s</m:t>
                        </m:r>
                      </m:sub>
                    </m:sSub>
                  </m:den>
                </m:f>
              </m:oMath>
            </m:oMathPara>
          </w:p>
        </w:tc>
        <w:tc>
          <w:tcPr>
            <w:tcW w:w="1247" w:type="dxa"/>
            <w:vAlign w:val="center"/>
          </w:tcPr>
          <w:p w14:paraId="508D3920" w14:textId="693D9CA0" w:rsidR="006724C7" w:rsidRPr="001455DC" w:rsidRDefault="006724C7" w:rsidP="006724C7">
            <w:pPr>
              <w:pStyle w:val="a7"/>
              <w:jc w:val="right"/>
            </w:pPr>
            <w:r w:rsidRPr="001455DC">
              <w:t>(9.13)</w:t>
            </w:r>
          </w:p>
        </w:tc>
      </w:tr>
    </w:tbl>
    <w:p w14:paraId="23CCE8D5" w14:textId="77777777" w:rsidR="00CA1101" w:rsidRPr="001455DC" w:rsidRDefault="00CA1101" w:rsidP="00A35599">
      <w:pPr>
        <w:pStyle w:val="a7"/>
        <w:keepNext/>
      </w:pPr>
      <w:r w:rsidRPr="001455DC">
        <w:t>where</w:t>
      </w:r>
    </w:p>
    <w:tbl>
      <w:tblPr>
        <w:tblW w:w="9413" w:type="dxa"/>
        <w:tblInd w:w="397" w:type="dxa"/>
        <w:tblLayout w:type="fixed"/>
        <w:tblCellMar>
          <w:left w:w="28" w:type="dxa"/>
          <w:right w:w="28" w:type="dxa"/>
        </w:tblCellMar>
        <w:tblLook w:val="04A0" w:firstRow="1" w:lastRow="0" w:firstColumn="1" w:lastColumn="0" w:noHBand="0" w:noVBand="1"/>
      </w:tblPr>
      <w:tblGrid>
        <w:gridCol w:w="1418"/>
        <w:gridCol w:w="6747"/>
        <w:gridCol w:w="1248"/>
      </w:tblGrid>
      <w:tr w:rsidR="00CA1101" w:rsidRPr="001455DC" w14:paraId="483E35AB" w14:textId="77777777" w:rsidTr="00CA1101">
        <w:trPr>
          <w:cantSplit/>
        </w:trPr>
        <w:tc>
          <w:tcPr>
            <w:tcW w:w="1418" w:type="dxa"/>
          </w:tcPr>
          <w:p w14:paraId="070CE9B5" w14:textId="1CD373A2" w:rsidR="00CA1101" w:rsidRPr="001455DC" w:rsidRDefault="00CA1101" w:rsidP="006230AE">
            <w:pPr>
              <w:pStyle w:val="Tablebody"/>
            </w:pPr>
            <w:r w:rsidRPr="001455DC">
              <w:rPr>
                <w:rStyle w:val="CCMCvariableitalic"/>
              </w:rPr>
              <w:t>σ</w:t>
            </w:r>
            <w:r w:rsidRPr="001455DC">
              <w:rPr>
                <w:rStyle w:val="CCMCvariablesubscript"/>
              </w:rPr>
              <w:t>s</w:t>
            </w:r>
          </w:p>
        </w:tc>
        <w:tc>
          <w:tcPr>
            <w:tcW w:w="7995" w:type="dxa"/>
            <w:gridSpan w:val="2"/>
          </w:tcPr>
          <w:p w14:paraId="156E6C52" w14:textId="3F45E2FF" w:rsidR="00CA1101" w:rsidRPr="001455DC" w:rsidRDefault="00CA1101" w:rsidP="006230AE">
            <w:pPr>
              <w:pStyle w:val="Tablebody"/>
            </w:pPr>
            <w:r w:rsidRPr="001455DC">
              <w:rPr>
                <w:rFonts w:eastAsiaTheme="minorHAnsi"/>
              </w:rPr>
              <w:t xml:space="preserve">is the stress in the tension reinforcement closest to the tensioned concrete surface assuming a cracked section. For members with bonded tendons, </w:t>
            </w:r>
            <w:r w:rsidRPr="001455DC">
              <w:rPr>
                <w:rStyle w:val="CCMCvariableitalic"/>
              </w:rPr>
              <w:t>σ</w:t>
            </w:r>
            <w:r w:rsidRPr="001455DC">
              <w:rPr>
                <w:rStyle w:val="CCMCvariablesubscript"/>
              </w:rPr>
              <w:t>s</w:t>
            </w:r>
            <w:r w:rsidRPr="001455DC">
              <w:rPr>
                <w:rFonts w:eastAsiaTheme="minorHAnsi"/>
              </w:rPr>
              <w:t xml:space="preserve"> may be replaced by Δ</w:t>
            </w:r>
            <w:r w:rsidRPr="001455DC">
              <w:rPr>
                <w:rStyle w:val="CCMCvariableitalic"/>
              </w:rPr>
              <w:t>σ</w:t>
            </w:r>
            <w:r w:rsidRPr="001455DC">
              <w:rPr>
                <w:rStyle w:val="CCMCvariablesubscript"/>
              </w:rPr>
              <w:t>p</w:t>
            </w:r>
            <w:r w:rsidRPr="001455DC">
              <w:rPr>
                <w:rFonts w:eastAsiaTheme="minorHAnsi"/>
              </w:rPr>
              <w:t>, i.e., the stress variation in prestressing tendons from the state of zero strain of the concrete at the same level;</w:t>
            </w:r>
          </w:p>
        </w:tc>
      </w:tr>
      <w:tr w:rsidR="00CA1101" w:rsidRPr="001455DC" w14:paraId="3A365423" w14:textId="77777777" w:rsidTr="00CA1101">
        <w:trPr>
          <w:cantSplit/>
        </w:trPr>
        <w:tc>
          <w:tcPr>
            <w:tcW w:w="1418" w:type="dxa"/>
          </w:tcPr>
          <w:p w14:paraId="6DC66FAC" w14:textId="4C0558EF" w:rsidR="00CA1101" w:rsidRPr="001455DC" w:rsidRDefault="00CA1101" w:rsidP="006230AE">
            <w:pPr>
              <w:pStyle w:val="Tablebody"/>
            </w:pPr>
            <w:r w:rsidRPr="001455DC">
              <w:rPr>
                <w:rStyle w:val="CCMCvariableitalic"/>
              </w:rPr>
              <w:t>α</w:t>
            </w:r>
            <w:r w:rsidRPr="001455DC">
              <w:rPr>
                <w:rStyle w:val="CCMCvariablesubscript"/>
              </w:rPr>
              <w:t>e</w:t>
            </w:r>
          </w:p>
        </w:tc>
        <w:tc>
          <w:tcPr>
            <w:tcW w:w="7995" w:type="dxa"/>
            <w:gridSpan w:val="2"/>
          </w:tcPr>
          <w:p w14:paraId="70B711E4" w14:textId="4DA613AA" w:rsidR="00CA1101" w:rsidRPr="001455DC" w:rsidRDefault="00CA1101" w:rsidP="006230AE">
            <w:pPr>
              <w:pStyle w:val="Tablebody"/>
            </w:pPr>
            <w:r w:rsidRPr="001455DC">
              <w:rPr>
                <w:rFonts w:eastAsiaTheme="minorHAnsi"/>
              </w:rPr>
              <w:t xml:space="preserve">is the ratio </w:t>
            </w:r>
            <w:r w:rsidRPr="001455DC">
              <w:rPr>
                <w:rStyle w:val="CCMCvariableitalic"/>
              </w:rPr>
              <w:t>E</w:t>
            </w:r>
            <w:r w:rsidRPr="001455DC">
              <w:rPr>
                <w:rStyle w:val="CCMCvariablesubscript"/>
              </w:rPr>
              <w:t>s</w:t>
            </w:r>
            <w:r w:rsidRPr="001455DC">
              <w:rPr>
                <w:rFonts w:eastAsiaTheme="minorHAnsi"/>
              </w:rPr>
              <w:t>/</w:t>
            </w:r>
            <w:r w:rsidRPr="001455DC">
              <w:rPr>
                <w:rStyle w:val="CCMCvariableitalic"/>
              </w:rPr>
              <w:t>E</w:t>
            </w:r>
            <w:r w:rsidRPr="001455DC">
              <w:rPr>
                <w:rStyle w:val="CCMCvariablesubscript"/>
              </w:rPr>
              <w:t>cm</w:t>
            </w:r>
            <w:r w:rsidRPr="001455DC">
              <w:rPr>
                <w:rFonts w:eastAsiaTheme="minorHAnsi"/>
              </w:rPr>
              <w:t>;</w:t>
            </w:r>
          </w:p>
        </w:tc>
      </w:tr>
      <w:tr w:rsidR="00CA1101" w:rsidRPr="001455DC" w14:paraId="37387373" w14:textId="77777777" w:rsidTr="006230AE">
        <w:trPr>
          <w:cantSplit/>
        </w:trPr>
        <w:tc>
          <w:tcPr>
            <w:tcW w:w="8165" w:type="dxa"/>
            <w:gridSpan w:val="2"/>
          </w:tcPr>
          <w:p w14:paraId="18BCFD8B" w14:textId="2C28C1EC" w:rsidR="00CA1101" w:rsidRPr="001455DC" w:rsidRDefault="00231E33" w:rsidP="00CA1101">
            <w:pPr>
              <w:pStyle w:val="Tablebody"/>
              <w:jc w:val="left"/>
              <w:rPr>
                <w:rFonts w:eastAsiaTheme="minorHAnsi"/>
              </w:rPr>
            </w:pPr>
            <m:oMathPara>
              <m:oMathParaPr>
                <m:jc m:val="left"/>
              </m:oMathParaPr>
              <m:oMath>
                <m:sSub>
                  <m:sSubPr>
                    <m:ctrlPr>
                      <w:rPr>
                        <w:rFonts w:ascii="Cambria Math" w:hAnsi="Cambria Math"/>
                      </w:rPr>
                    </m:ctrlPr>
                  </m:sSubPr>
                  <m:e>
                    <m:r>
                      <w:rPr>
                        <w:rFonts w:ascii="Cambria Math" w:hAnsi="Cambria Math"/>
                      </w:rPr>
                      <m:t>ρ</m:t>
                    </m:r>
                  </m:e>
                  <m:sub>
                    <m:r>
                      <m:rPr>
                        <m:sty m:val="p"/>
                      </m:rPr>
                      <w:rPr>
                        <w:rFonts w:ascii="Cambria Math" w:hAnsi="Cambria Math"/>
                      </w:rPr>
                      <m:t>p,eff</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s</m:t>
                        </m:r>
                      </m:sub>
                    </m:sSub>
                    <m:r>
                      <w:rPr>
                        <w:rFonts w:ascii="Cambria Math" w:hAnsi="Cambria Math"/>
                      </w:rPr>
                      <m:t>+</m:t>
                    </m:r>
                    <m:sSub>
                      <m:sSubPr>
                        <m:ctrlPr>
                          <w:rPr>
                            <w:rFonts w:ascii="Cambria Math" w:hAnsi="Cambria Math"/>
                          </w:rPr>
                        </m:ctrlPr>
                      </m:sSubPr>
                      <m:e>
                        <m:r>
                          <w:rPr>
                            <w:rFonts w:ascii="Cambria Math" w:hAnsi="Cambria Math"/>
                          </w:rPr>
                          <m:t>ξ</m:t>
                        </m:r>
                      </m:e>
                      <m:sub>
                        <m:r>
                          <w:rPr>
                            <w:rFonts w:ascii="Cambria Math" w:hAnsi="Cambria Math"/>
                          </w:rPr>
                          <m:t>1</m:t>
                        </m:r>
                      </m:sub>
                    </m:sSub>
                    <m:sSub>
                      <m:sSubPr>
                        <m:ctrlPr>
                          <w:rPr>
                            <w:rFonts w:ascii="Cambria Math" w:hAnsi="Cambria Math"/>
                          </w:rPr>
                        </m:ctrlPr>
                      </m:sSubPr>
                      <m:e>
                        <m:r>
                          <w:rPr>
                            <w:rFonts w:ascii="Cambria Math" w:hAnsi="Cambria Math"/>
                          </w:rPr>
                          <m:t>A</m:t>
                        </m:r>
                      </m:e>
                      <m:sub>
                        <m:r>
                          <m:rPr>
                            <m:sty m:val="p"/>
                          </m:rPr>
                          <w:rPr>
                            <w:rFonts w:ascii="Cambria Math" w:hAnsi="Cambria Math"/>
                          </w:rPr>
                          <m:t>p</m:t>
                        </m:r>
                      </m:sub>
                    </m:sSub>
                  </m:num>
                  <m:den>
                    <m:sSub>
                      <m:sSubPr>
                        <m:ctrlPr>
                          <w:rPr>
                            <w:rFonts w:ascii="Cambria Math" w:hAnsi="Cambria Math"/>
                          </w:rPr>
                        </m:ctrlPr>
                      </m:sSubPr>
                      <m:e>
                        <m:r>
                          <w:rPr>
                            <w:rFonts w:ascii="Cambria Math" w:hAnsi="Cambria Math"/>
                          </w:rPr>
                          <m:t>A</m:t>
                        </m:r>
                      </m:e>
                      <m:sub>
                        <m:r>
                          <m:rPr>
                            <m:sty m:val="p"/>
                          </m:rPr>
                          <w:rPr>
                            <w:rFonts w:ascii="Cambria Math" w:hAnsi="Cambria Math"/>
                          </w:rPr>
                          <m:t>c,eff</m:t>
                        </m:r>
                      </m:sub>
                    </m:sSub>
                  </m:den>
                </m:f>
              </m:oMath>
            </m:oMathPara>
          </w:p>
        </w:tc>
        <w:tc>
          <w:tcPr>
            <w:tcW w:w="1248" w:type="dxa"/>
            <w:vAlign w:val="center"/>
          </w:tcPr>
          <w:p w14:paraId="6A902716" w14:textId="5330B95E" w:rsidR="00CA1101" w:rsidRPr="001455DC" w:rsidRDefault="00CA1101" w:rsidP="00CA1101">
            <w:pPr>
              <w:pStyle w:val="Tablebody"/>
              <w:jc w:val="right"/>
              <w:rPr>
                <w:rFonts w:eastAsiaTheme="minorHAnsi"/>
              </w:rPr>
            </w:pPr>
            <w:r w:rsidRPr="001455DC">
              <w:t>(9.14)</w:t>
            </w:r>
          </w:p>
        </w:tc>
      </w:tr>
      <w:tr w:rsidR="00CA1101" w:rsidRPr="001455DC" w14:paraId="49DC6F0C" w14:textId="77777777" w:rsidTr="00CA1101">
        <w:trPr>
          <w:cantSplit/>
        </w:trPr>
        <w:tc>
          <w:tcPr>
            <w:tcW w:w="1418" w:type="dxa"/>
          </w:tcPr>
          <w:p w14:paraId="2631B058" w14:textId="34446988" w:rsidR="00CA1101" w:rsidRPr="009D3012" w:rsidRDefault="00CA1101" w:rsidP="006230AE">
            <w:pPr>
              <w:pStyle w:val="Tablebody"/>
              <w:rPr>
                <w:rStyle w:val="CCMCvariableitalic"/>
              </w:rPr>
            </w:pPr>
            <w:r w:rsidRPr="001455DC">
              <w:rPr>
                <w:rStyle w:val="CCMCvariableitalic"/>
              </w:rPr>
              <w:t>A</w:t>
            </w:r>
            <w:r w:rsidRPr="001455DC">
              <w:rPr>
                <w:rStyle w:val="CCMCvariablesubscript"/>
              </w:rPr>
              <w:t>p</w:t>
            </w:r>
            <w:r w:rsidRPr="001455DC">
              <w:rPr>
                <w:rFonts w:eastAsiaTheme="minorHAnsi"/>
              </w:rPr>
              <w:t xml:space="preserve"> and </w:t>
            </w:r>
            <w:r w:rsidRPr="001455DC">
              <w:rPr>
                <w:rStyle w:val="CCMCvariableitalic"/>
              </w:rPr>
              <w:t>A</w:t>
            </w:r>
            <w:r w:rsidRPr="001455DC">
              <w:rPr>
                <w:rStyle w:val="CCMCvariablesubscript"/>
              </w:rPr>
              <w:t>c,eff</w:t>
            </w:r>
          </w:p>
        </w:tc>
        <w:tc>
          <w:tcPr>
            <w:tcW w:w="7995" w:type="dxa"/>
            <w:gridSpan w:val="2"/>
          </w:tcPr>
          <w:p w14:paraId="5B46E56D" w14:textId="415576D9" w:rsidR="00CA1101" w:rsidRPr="001455DC" w:rsidRDefault="00CA1101" w:rsidP="006230AE">
            <w:pPr>
              <w:pStyle w:val="Tablebody"/>
              <w:rPr>
                <w:rFonts w:eastAsiaTheme="minorHAnsi"/>
              </w:rPr>
            </w:pPr>
            <w:r w:rsidRPr="001455DC">
              <w:rPr>
                <w:rFonts w:eastAsiaTheme="minorHAnsi"/>
              </w:rPr>
              <w:t>are as defined in 9.2.2(5) and 9.2.1(7), respectively;</w:t>
            </w:r>
          </w:p>
        </w:tc>
      </w:tr>
      <w:tr w:rsidR="00CA1101" w:rsidRPr="001455DC" w14:paraId="170E29DD" w14:textId="77777777" w:rsidTr="00CA1101">
        <w:trPr>
          <w:cantSplit/>
        </w:trPr>
        <w:tc>
          <w:tcPr>
            <w:tcW w:w="1418" w:type="dxa"/>
          </w:tcPr>
          <w:p w14:paraId="6E60E03F" w14:textId="01E10326" w:rsidR="00CA1101" w:rsidRPr="009D3012" w:rsidRDefault="00CA1101" w:rsidP="006230AE">
            <w:pPr>
              <w:pStyle w:val="Tablebody"/>
              <w:rPr>
                <w:rStyle w:val="CCMCvariableitalic"/>
              </w:rPr>
            </w:pPr>
            <w:r w:rsidRPr="001455DC">
              <w:rPr>
                <w:rStyle w:val="CCMCvariableitalic"/>
              </w:rPr>
              <w:t>k</w:t>
            </w:r>
            <w:r w:rsidRPr="001455DC">
              <w:rPr>
                <w:rStyle w:val="CCMCvariablesubscript"/>
              </w:rPr>
              <w:t>t</w:t>
            </w:r>
          </w:p>
        </w:tc>
        <w:tc>
          <w:tcPr>
            <w:tcW w:w="7995" w:type="dxa"/>
            <w:gridSpan w:val="2"/>
          </w:tcPr>
          <w:p w14:paraId="1587D54A" w14:textId="05BFBB27" w:rsidR="00CA1101" w:rsidRPr="001455DC" w:rsidRDefault="00CA1101" w:rsidP="006230AE">
            <w:pPr>
              <w:pStyle w:val="Tablebody"/>
              <w:rPr>
                <w:rFonts w:eastAsiaTheme="minorHAnsi"/>
              </w:rPr>
            </w:pPr>
            <w:r w:rsidRPr="001455DC">
              <w:rPr>
                <w:rFonts w:eastAsiaTheme="minorHAnsi"/>
              </w:rPr>
              <w:t>is a coefficient dependent on the duration and nature of the load:</w:t>
            </w:r>
          </w:p>
        </w:tc>
      </w:tr>
      <w:tr w:rsidR="00CA1101" w:rsidRPr="001455DC" w14:paraId="6A9927D5" w14:textId="77777777" w:rsidTr="00CA1101">
        <w:trPr>
          <w:cantSplit/>
        </w:trPr>
        <w:tc>
          <w:tcPr>
            <w:tcW w:w="1418" w:type="dxa"/>
          </w:tcPr>
          <w:p w14:paraId="0444F5CA" w14:textId="5F99D530" w:rsidR="00CA1101" w:rsidRPr="009D3012" w:rsidRDefault="00CA1101" w:rsidP="006230AE">
            <w:pPr>
              <w:pStyle w:val="Tablebody"/>
              <w:rPr>
                <w:rStyle w:val="CCMCvariableitalic"/>
              </w:rPr>
            </w:pPr>
            <w:r w:rsidRPr="001455DC">
              <w:rPr>
                <w:rStyle w:val="CCMCvariableitalic"/>
              </w:rPr>
              <w:t>k</w:t>
            </w:r>
            <w:r w:rsidRPr="001455DC">
              <w:rPr>
                <w:rStyle w:val="CCMCvariablesubscript"/>
              </w:rPr>
              <w:t>t</w:t>
            </w:r>
            <w:r w:rsidRPr="001455DC">
              <w:t> </w:t>
            </w:r>
            <w:r w:rsidR="00EC27D2" w:rsidRPr="001455DC">
              <w:rPr>
                <w:rFonts w:ascii="Cambria Math" w:hAnsi="Cambria Math"/>
              </w:rPr>
              <w:t>=</w:t>
            </w:r>
            <w:r w:rsidRPr="001455DC">
              <w:t> </w:t>
            </w:r>
            <w:r w:rsidRPr="001455DC">
              <w:rPr>
                <w:rFonts w:eastAsiaTheme="minorHAnsi"/>
              </w:rPr>
              <w:t>0,6:</w:t>
            </w:r>
          </w:p>
        </w:tc>
        <w:tc>
          <w:tcPr>
            <w:tcW w:w="7995" w:type="dxa"/>
            <w:gridSpan w:val="2"/>
          </w:tcPr>
          <w:p w14:paraId="6496070B" w14:textId="7944A530" w:rsidR="00CA1101" w:rsidRPr="001455DC" w:rsidRDefault="00CA1101" w:rsidP="00CA1101">
            <w:pPr>
              <w:pStyle w:val="Tablebody"/>
              <w:ind w:left="357" w:hanging="357"/>
              <w:rPr>
                <w:rFonts w:eastAsiaTheme="minorHAnsi"/>
              </w:rPr>
            </w:pPr>
            <w:r w:rsidRPr="001455DC">
              <w:rPr>
                <w:rFonts w:eastAsiaTheme="minorHAnsi"/>
              </w:rPr>
              <w:t>a)</w:t>
            </w:r>
            <w:r w:rsidRPr="001455DC">
              <w:rPr>
                <w:rFonts w:eastAsiaTheme="minorHAnsi"/>
              </w:rPr>
              <w:tab/>
              <w:t>for short term loading or,</w:t>
            </w:r>
          </w:p>
        </w:tc>
      </w:tr>
      <w:tr w:rsidR="00CA1101" w:rsidRPr="001455DC" w14:paraId="318925BC" w14:textId="77777777" w:rsidTr="00CA1101">
        <w:trPr>
          <w:cantSplit/>
        </w:trPr>
        <w:tc>
          <w:tcPr>
            <w:tcW w:w="1418" w:type="dxa"/>
          </w:tcPr>
          <w:p w14:paraId="6A117E5F" w14:textId="375BFC52" w:rsidR="00CA1101" w:rsidRPr="001455DC" w:rsidRDefault="00CA1101" w:rsidP="00EC27D2">
            <w:pPr>
              <w:pStyle w:val="Tablebody"/>
            </w:pPr>
            <w:r w:rsidRPr="001455DC">
              <w:t> </w:t>
            </w:r>
          </w:p>
        </w:tc>
        <w:tc>
          <w:tcPr>
            <w:tcW w:w="7995" w:type="dxa"/>
            <w:gridSpan w:val="2"/>
          </w:tcPr>
          <w:p w14:paraId="3C29FAD9" w14:textId="6E9D74BC" w:rsidR="00CA1101" w:rsidRPr="001455DC" w:rsidRDefault="00CA1101" w:rsidP="00CA1101">
            <w:pPr>
              <w:pStyle w:val="Tablebody"/>
              <w:ind w:left="357" w:hanging="357"/>
              <w:rPr>
                <w:rFonts w:eastAsiaTheme="minorHAnsi"/>
              </w:rPr>
            </w:pPr>
            <w:r w:rsidRPr="001455DC">
              <w:rPr>
                <w:rFonts w:eastAsiaTheme="minorHAnsi"/>
              </w:rPr>
              <w:t>b)</w:t>
            </w:r>
            <w:r w:rsidRPr="001455DC">
              <w:rPr>
                <w:rFonts w:eastAsiaTheme="minorHAnsi"/>
              </w:rPr>
              <w:tab/>
              <w:t>instantaneous loading or,</w:t>
            </w:r>
          </w:p>
        </w:tc>
      </w:tr>
      <w:tr w:rsidR="00CA1101" w:rsidRPr="001455DC" w14:paraId="5DF895CA" w14:textId="77777777" w:rsidTr="00CA1101">
        <w:trPr>
          <w:cantSplit/>
        </w:trPr>
        <w:tc>
          <w:tcPr>
            <w:tcW w:w="1418" w:type="dxa"/>
          </w:tcPr>
          <w:p w14:paraId="481FD16E" w14:textId="18273F5C" w:rsidR="00CA1101" w:rsidRPr="001455DC" w:rsidRDefault="00CA1101" w:rsidP="00EC27D2">
            <w:pPr>
              <w:pStyle w:val="Tablebody"/>
            </w:pPr>
            <w:r w:rsidRPr="001455DC">
              <w:t> </w:t>
            </w:r>
          </w:p>
        </w:tc>
        <w:tc>
          <w:tcPr>
            <w:tcW w:w="7995" w:type="dxa"/>
            <w:gridSpan w:val="2"/>
          </w:tcPr>
          <w:p w14:paraId="07B24B1F" w14:textId="3A512B47" w:rsidR="00CA1101" w:rsidRPr="001455DC" w:rsidRDefault="00CA1101" w:rsidP="00CA1101">
            <w:pPr>
              <w:pStyle w:val="Tablebody"/>
              <w:ind w:left="357" w:hanging="357"/>
              <w:rPr>
                <w:rFonts w:eastAsiaTheme="minorHAnsi"/>
              </w:rPr>
            </w:pPr>
            <w:r w:rsidRPr="001455DC">
              <w:rPr>
                <w:rFonts w:eastAsiaTheme="minorHAnsi"/>
              </w:rPr>
              <w:t>c)</w:t>
            </w:r>
            <w:r w:rsidRPr="001455DC">
              <w:rPr>
                <w:rFonts w:eastAsiaTheme="minorHAnsi"/>
              </w:rPr>
              <w:tab/>
              <w:t>long term and crack formation stage or,</w:t>
            </w:r>
          </w:p>
        </w:tc>
      </w:tr>
      <w:tr w:rsidR="00CA1101" w:rsidRPr="001455DC" w14:paraId="4C11D58C" w14:textId="77777777" w:rsidTr="00CA1101">
        <w:trPr>
          <w:cantSplit/>
        </w:trPr>
        <w:tc>
          <w:tcPr>
            <w:tcW w:w="1418" w:type="dxa"/>
          </w:tcPr>
          <w:p w14:paraId="0D17500D" w14:textId="4322E10C" w:rsidR="00CA1101" w:rsidRPr="001455DC" w:rsidRDefault="00CA1101" w:rsidP="00EC27D2">
            <w:pPr>
              <w:pStyle w:val="Tablebody"/>
            </w:pPr>
            <w:r w:rsidRPr="001455DC">
              <w:t> </w:t>
            </w:r>
          </w:p>
        </w:tc>
        <w:tc>
          <w:tcPr>
            <w:tcW w:w="7995" w:type="dxa"/>
            <w:gridSpan w:val="2"/>
          </w:tcPr>
          <w:p w14:paraId="5266C7F5" w14:textId="3BA3D9CA" w:rsidR="00CA1101" w:rsidRPr="001455DC" w:rsidRDefault="00CA1101" w:rsidP="00CA1101">
            <w:pPr>
              <w:pStyle w:val="Tablebody"/>
              <w:ind w:left="357" w:hanging="357"/>
              <w:rPr>
                <w:rFonts w:eastAsiaTheme="minorHAnsi"/>
              </w:rPr>
            </w:pPr>
            <w:r w:rsidRPr="001455DC">
              <w:rPr>
                <w:rFonts w:eastAsiaTheme="minorHAnsi"/>
              </w:rPr>
              <w:t>d)</w:t>
            </w:r>
            <w:r w:rsidRPr="001455DC">
              <w:rPr>
                <w:rFonts w:eastAsiaTheme="minorHAnsi"/>
              </w:rPr>
              <w:tab/>
              <w:t>repeated loading and crack formation stage,</w:t>
            </w:r>
          </w:p>
        </w:tc>
      </w:tr>
      <w:tr w:rsidR="00CA1101" w:rsidRPr="001455DC" w14:paraId="297E1A2E" w14:textId="77777777" w:rsidTr="00CA1101">
        <w:trPr>
          <w:cantSplit/>
        </w:trPr>
        <w:tc>
          <w:tcPr>
            <w:tcW w:w="1418" w:type="dxa"/>
          </w:tcPr>
          <w:p w14:paraId="35B7ACD2" w14:textId="7960C212" w:rsidR="00CA1101" w:rsidRPr="009D3012" w:rsidRDefault="00CA1101" w:rsidP="006230AE">
            <w:pPr>
              <w:pStyle w:val="Tablebody"/>
              <w:rPr>
                <w:rStyle w:val="CCMCvariableitalic"/>
              </w:rPr>
            </w:pPr>
            <w:r w:rsidRPr="001455DC">
              <w:rPr>
                <w:rStyle w:val="CCMCvariableitalic"/>
              </w:rPr>
              <w:t>k</w:t>
            </w:r>
            <w:r w:rsidRPr="001455DC">
              <w:rPr>
                <w:rStyle w:val="CCMCvariablesubscript"/>
              </w:rPr>
              <w:t>t</w:t>
            </w:r>
            <w:r w:rsidRPr="001455DC">
              <w:t> </w:t>
            </w:r>
            <w:r w:rsidR="00EC27D2" w:rsidRPr="001455DC">
              <w:rPr>
                <w:rFonts w:ascii="Cambria Math" w:hAnsi="Cambria Math"/>
              </w:rPr>
              <w:t>=</w:t>
            </w:r>
            <w:r w:rsidRPr="001455DC">
              <w:t> </w:t>
            </w:r>
            <w:r w:rsidRPr="001455DC">
              <w:rPr>
                <w:rFonts w:eastAsiaTheme="minorHAnsi"/>
              </w:rPr>
              <w:t>0,4:</w:t>
            </w:r>
          </w:p>
        </w:tc>
        <w:tc>
          <w:tcPr>
            <w:tcW w:w="7995" w:type="dxa"/>
            <w:gridSpan w:val="2"/>
          </w:tcPr>
          <w:p w14:paraId="626DCDD4" w14:textId="129E5B99" w:rsidR="00CA1101" w:rsidRPr="001455DC" w:rsidRDefault="00CA1101" w:rsidP="00CA1101">
            <w:pPr>
              <w:pStyle w:val="Tablebody"/>
              <w:ind w:left="357" w:hanging="357"/>
              <w:rPr>
                <w:rFonts w:eastAsiaTheme="minorHAnsi"/>
              </w:rPr>
            </w:pPr>
            <w:r w:rsidRPr="001455DC">
              <w:rPr>
                <w:rFonts w:eastAsiaTheme="minorHAnsi"/>
              </w:rPr>
              <w:t>e)</w:t>
            </w:r>
            <w:r w:rsidRPr="001455DC">
              <w:rPr>
                <w:rFonts w:eastAsiaTheme="minorHAnsi"/>
              </w:rPr>
              <w:tab/>
              <w:t>long term and stabilised cracking stage or,</w:t>
            </w:r>
          </w:p>
        </w:tc>
      </w:tr>
      <w:tr w:rsidR="00CA1101" w:rsidRPr="001455DC" w14:paraId="226DEFBE" w14:textId="77777777" w:rsidTr="00CA1101">
        <w:trPr>
          <w:cantSplit/>
        </w:trPr>
        <w:tc>
          <w:tcPr>
            <w:tcW w:w="1418" w:type="dxa"/>
          </w:tcPr>
          <w:p w14:paraId="7BCDDF09" w14:textId="0DA06395" w:rsidR="00CA1101" w:rsidRPr="001455DC" w:rsidRDefault="00CA1101" w:rsidP="00EC27D2">
            <w:pPr>
              <w:pStyle w:val="Tablebody"/>
            </w:pPr>
            <w:r w:rsidRPr="001455DC">
              <w:t> </w:t>
            </w:r>
          </w:p>
        </w:tc>
        <w:tc>
          <w:tcPr>
            <w:tcW w:w="7995" w:type="dxa"/>
            <w:gridSpan w:val="2"/>
          </w:tcPr>
          <w:p w14:paraId="23F2532F" w14:textId="2D7F2038" w:rsidR="00CA1101" w:rsidRPr="001455DC" w:rsidRDefault="00CA1101" w:rsidP="00CA1101">
            <w:pPr>
              <w:pStyle w:val="Tablebody"/>
              <w:ind w:left="357" w:hanging="357"/>
              <w:rPr>
                <w:rFonts w:eastAsiaTheme="minorHAnsi"/>
              </w:rPr>
            </w:pPr>
            <w:r w:rsidRPr="001455DC">
              <w:rPr>
                <w:rFonts w:eastAsiaTheme="minorHAnsi"/>
              </w:rPr>
              <w:t>f)</w:t>
            </w:r>
            <w:r w:rsidRPr="001455DC">
              <w:rPr>
                <w:rFonts w:eastAsiaTheme="minorHAnsi"/>
              </w:rPr>
              <w:tab/>
              <w:t>repeated loading and stabilised cracking stage.</w:t>
            </w:r>
          </w:p>
        </w:tc>
      </w:tr>
      <w:tr w:rsidR="00CA1101" w:rsidRPr="001455DC" w14:paraId="36921561" w14:textId="77777777" w:rsidTr="00CA1101">
        <w:trPr>
          <w:cantSplit/>
        </w:trPr>
        <w:tc>
          <w:tcPr>
            <w:tcW w:w="1418" w:type="dxa"/>
          </w:tcPr>
          <w:p w14:paraId="13FB63A7" w14:textId="79E0CED5" w:rsidR="00CA1101" w:rsidRPr="009D3012" w:rsidRDefault="00CA1101" w:rsidP="006230AE">
            <w:pPr>
              <w:pStyle w:val="Tablebody"/>
              <w:rPr>
                <w:rStyle w:val="CCMCvariableitalic"/>
              </w:rPr>
            </w:pPr>
            <w:r w:rsidRPr="001455DC">
              <w:rPr>
                <w:rStyle w:val="CCMCvariableitalic"/>
              </w:rPr>
              <w:t>k</w:t>
            </w:r>
            <w:r w:rsidRPr="001455DC">
              <w:rPr>
                <w:rStyle w:val="CCMCvariablesubscript"/>
              </w:rPr>
              <w:t>1/r</w:t>
            </w:r>
          </w:p>
        </w:tc>
        <w:tc>
          <w:tcPr>
            <w:tcW w:w="7995" w:type="dxa"/>
            <w:gridSpan w:val="2"/>
          </w:tcPr>
          <w:p w14:paraId="2E2AAF41" w14:textId="15AF2714" w:rsidR="00CA1101" w:rsidRPr="001455DC" w:rsidRDefault="00CA1101" w:rsidP="006230AE">
            <w:pPr>
              <w:pStyle w:val="Tablebody"/>
              <w:rPr>
                <w:rFonts w:eastAsiaTheme="minorHAnsi"/>
              </w:rPr>
            </w:pPr>
            <w:r w:rsidRPr="001455DC">
              <w:rPr>
                <w:rFonts w:eastAsiaTheme="minorHAnsi"/>
              </w:rPr>
              <w:t>is a coefficient to account for the increase of crack width due to curvature, defined in accordance with Figure 9.2 as:</w:t>
            </w:r>
          </w:p>
        </w:tc>
      </w:tr>
      <w:tr w:rsidR="00CA1101" w:rsidRPr="001455DC" w14:paraId="00DA1C7A" w14:textId="77777777" w:rsidTr="00CA1101">
        <w:trPr>
          <w:cantSplit/>
        </w:trPr>
        <w:tc>
          <w:tcPr>
            <w:tcW w:w="1418" w:type="dxa"/>
          </w:tcPr>
          <w:p w14:paraId="3F583A65" w14:textId="3E390DD0" w:rsidR="00CA1101" w:rsidRPr="009D3012" w:rsidRDefault="00CA1101" w:rsidP="00EC27D2">
            <w:pPr>
              <w:pStyle w:val="Tablebody"/>
              <w:rPr>
                <w:rStyle w:val="CCMCvariableitalic"/>
                <w:i w:val="0"/>
              </w:rPr>
            </w:pPr>
            <w:r w:rsidRPr="009D3012">
              <w:t> </w:t>
            </w:r>
          </w:p>
        </w:tc>
        <w:tc>
          <w:tcPr>
            <w:tcW w:w="6747" w:type="dxa"/>
            <w:vAlign w:val="center"/>
          </w:tcPr>
          <w:p w14:paraId="36C514D3" w14:textId="02174F70" w:rsidR="00CA1101" w:rsidRPr="001455DC" w:rsidRDefault="00231E33" w:rsidP="006230AE">
            <w:pPr>
              <w:pStyle w:val="Tablebody"/>
              <w:jc w:val="left"/>
              <w:rPr>
                <w:rFonts w:eastAsiaTheme="minorHAnsi"/>
              </w:rPr>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rPr>
                      <m:t>1/r</m:t>
                    </m:r>
                  </m:sub>
                </m:sSub>
                <m:r>
                  <w:rPr>
                    <w:rFonts w:ascii="Cambria Math" w:hAnsi="Cambria Math"/>
                  </w:rPr>
                  <m:t>=</m:t>
                </m:r>
                <m:f>
                  <m:fPr>
                    <m:ctrlPr>
                      <w:rPr>
                        <w:rFonts w:ascii="Cambria Math" w:hAnsi="Cambria Math"/>
                      </w:rPr>
                    </m:ctrlPr>
                  </m:fPr>
                  <m:num>
                    <m:r>
                      <w:rPr>
                        <w:rFonts w:ascii="Cambria Math" w:hAnsi="Cambria Math"/>
                      </w:rPr>
                      <m:t>h-x</m:t>
                    </m:r>
                  </m:num>
                  <m:den>
                    <m:r>
                      <w:rPr>
                        <w:rFonts w:ascii="Cambria Math" w:hAnsi="Cambria Math"/>
                      </w:rPr>
                      <m:t>h-</m:t>
                    </m:r>
                    <m:sSub>
                      <m:sSubPr>
                        <m:ctrlPr>
                          <w:rPr>
                            <w:rFonts w:ascii="Cambria Math" w:hAnsi="Cambria Math"/>
                          </w:rPr>
                        </m:ctrlPr>
                      </m:sSubPr>
                      <m:e>
                        <m:r>
                          <w:rPr>
                            <w:rFonts w:ascii="Cambria Math" w:hAnsi="Cambria Math"/>
                          </w:rPr>
                          <m:t>a</m:t>
                        </m:r>
                      </m:e>
                      <m:sub>
                        <m:r>
                          <m:rPr>
                            <m:sty m:val="p"/>
                          </m:rPr>
                          <w:rPr>
                            <w:rFonts w:ascii="Cambria Math" w:hAnsi="Cambria Math"/>
                          </w:rPr>
                          <m:t>y,i</m:t>
                        </m:r>
                      </m:sub>
                    </m:sSub>
                    <m:r>
                      <w:rPr>
                        <w:rFonts w:ascii="Cambria Math" w:hAnsi="Cambria Math"/>
                      </w:rPr>
                      <m:t>-x</m:t>
                    </m:r>
                  </m:den>
                </m:f>
              </m:oMath>
            </m:oMathPara>
          </w:p>
        </w:tc>
        <w:tc>
          <w:tcPr>
            <w:tcW w:w="1248" w:type="dxa"/>
            <w:vAlign w:val="center"/>
          </w:tcPr>
          <w:p w14:paraId="41BCBE37" w14:textId="00F26023" w:rsidR="00CA1101" w:rsidRPr="001455DC" w:rsidRDefault="00CA1101" w:rsidP="006230AE">
            <w:pPr>
              <w:pStyle w:val="Tablebody"/>
              <w:jc w:val="right"/>
              <w:rPr>
                <w:rFonts w:eastAsiaTheme="minorHAnsi"/>
              </w:rPr>
            </w:pPr>
            <w:r w:rsidRPr="001455DC">
              <w:t>(9.15)</w:t>
            </w:r>
          </w:p>
        </w:tc>
      </w:tr>
    </w:tbl>
    <w:p w14:paraId="21051408" w14:textId="77777777" w:rsidR="006724C7" w:rsidRPr="001455DC" w:rsidRDefault="004E22C1" w:rsidP="006724C7">
      <w:pPr>
        <w:pStyle w:val="a7"/>
      </w:pPr>
      <w:r w:rsidRPr="001455DC">
        <w:t>When considering the least tensioned face of an element with both faces in tension, the effect of the curvature is favourable and therefore:</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6724C7" w:rsidRPr="001455DC" w14:paraId="2AB45D7F" w14:textId="77777777" w:rsidTr="006724C7">
        <w:trPr>
          <w:cantSplit/>
        </w:trPr>
        <w:tc>
          <w:tcPr>
            <w:tcW w:w="8505" w:type="dxa"/>
            <w:vAlign w:val="center"/>
          </w:tcPr>
          <w:p w14:paraId="5ADE3432" w14:textId="6C611417" w:rsidR="006724C7" w:rsidRPr="001455DC" w:rsidRDefault="00231E33" w:rsidP="00605B61">
            <w:pPr>
              <w:pStyle w:val="Formula"/>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rPr>
                      <m:t>1/r</m:t>
                    </m:r>
                  </m:sub>
                </m:sSub>
                <m:r>
                  <w:rPr>
                    <w:rFonts w:ascii="Cambria Math" w:hAnsi="Cambria Math"/>
                  </w:rPr>
                  <m:t>=</m:t>
                </m:r>
                <m:f>
                  <m:fPr>
                    <m:ctrlPr>
                      <w:rPr>
                        <w:rFonts w:ascii="Cambria Math" w:hAnsi="Cambria Math"/>
                      </w:rPr>
                    </m:ctrlPr>
                  </m:fPr>
                  <m:num>
                    <m:d>
                      <m:dPr>
                        <m:begChr m:val="|"/>
                        <m:endChr m:val="|"/>
                        <m:ctrlPr>
                          <w:rPr>
                            <w:rFonts w:ascii="Cambria Math" w:hAnsi="Cambria Math"/>
                          </w:rPr>
                        </m:ctrlPr>
                      </m:dPr>
                      <m:e>
                        <m:r>
                          <w:rPr>
                            <w:rFonts w:ascii="Cambria Math" w:hAnsi="Cambria Math"/>
                          </w:rPr>
                          <m:t>x</m:t>
                        </m:r>
                      </m:e>
                    </m:d>
                  </m:num>
                  <m:den>
                    <m:sSub>
                      <m:sSubPr>
                        <m:ctrlPr>
                          <w:rPr>
                            <w:rFonts w:ascii="Cambria Math" w:hAnsi="Cambria Math"/>
                          </w:rPr>
                        </m:ctrlPr>
                      </m:sSubPr>
                      <m:e>
                        <m:r>
                          <w:rPr>
                            <w:rFonts w:ascii="Cambria Math" w:hAnsi="Cambria Math"/>
                          </w:rPr>
                          <m:t>a</m:t>
                        </m:r>
                      </m:e>
                      <m:sub>
                        <m:r>
                          <m:rPr>
                            <m:sty m:val="p"/>
                          </m:rPr>
                          <w:rPr>
                            <w:rFonts w:ascii="Cambria Math" w:hAnsi="Cambria Math"/>
                          </w:rPr>
                          <m:t>y,s</m:t>
                        </m:r>
                      </m:sub>
                    </m:sSub>
                    <m:r>
                      <w:rPr>
                        <w:rFonts w:ascii="Cambria Math" w:hAnsi="Cambria Math"/>
                      </w:rPr>
                      <m:t>+</m:t>
                    </m:r>
                    <m:d>
                      <m:dPr>
                        <m:begChr m:val="|"/>
                        <m:endChr m:val="|"/>
                        <m:ctrlPr>
                          <w:rPr>
                            <w:rFonts w:ascii="Cambria Math" w:hAnsi="Cambria Math"/>
                          </w:rPr>
                        </m:ctrlPr>
                      </m:dPr>
                      <m:e>
                        <m:r>
                          <w:rPr>
                            <w:rFonts w:ascii="Cambria Math" w:hAnsi="Cambria Math"/>
                          </w:rPr>
                          <m:t>x</m:t>
                        </m:r>
                      </m:e>
                    </m:d>
                  </m:den>
                </m:f>
              </m:oMath>
            </m:oMathPara>
          </w:p>
        </w:tc>
        <w:tc>
          <w:tcPr>
            <w:tcW w:w="1247" w:type="dxa"/>
            <w:vAlign w:val="center"/>
          </w:tcPr>
          <w:p w14:paraId="19855256" w14:textId="027E796A" w:rsidR="006724C7" w:rsidRPr="001455DC" w:rsidRDefault="00CA1101" w:rsidP="006724C7">
            <w:pPr>
              <w:pStyle w:val="a7"/>
              <w:jc w:val="right"/>
            </w:pPr>
            <w:r w:rsidRPr="001455DC">
              <w:t>(9.16)</w:t>
            </w:r>
          </w:p>
        </w:tc>
      </w:tr>
    </w:tbl>
    <w:p w14:paraId="4CAA6923" w14:textId="77777777" w:rsidR="004E22C1" w:rsidRPr="001455DC" w:rsidRDefault="004E22C1" w:rsidP="006724C7">
      <w:pPr>
        <w:pStyle w:val="a7"/>
      </w:pPr>
      <w:r w:rsidRPr="001455DC">
        <w:t>Expression (9.13) does not explicitly account for the effect of shrinkage. For stabilized cracking only, in cases where crack limitation is critical, and when reinforcement ratios are low, concrete strengths are high or concrete is loaded early, the effects of shrinkage should be accounted for.</w:t>
      </w:r>
    </w:p>
    <w:p w14:paraId="0ED7247F" w14:textId="075C6A82" w:rsidR="006724C7" w:rsidRPr="001455DC" w:rsidRDefault="004E22C1" w:rsidP="00E844D2">
      <w:pPr>
        <w:pStyle w:val="a7"/>
        <w:keepNext/>
      </w:pPr>
      <w:r w:rsidRPr="001455DC">
        <w:rPr>
          <w:rFonts w:eastAsiaTheme="minorHAnsi"/>
        </w:rPr>
        <w:t>For elements subjected to restrained imposed strains (crack formation phase) and restrained at the edges (see (4) and Figure 9.3), (</w:t>
      </w:r>
      <w:r w:rsidRPr="001455DC">
        <w:rPr>
          <w:rStyle w:val="CCMCvariableitalic"/>
        </w:rPr>
        <w:t>ε</w:t>
      </w:r>
      <w:r w:rsidRPr="001455DC">
        <w:rPr>
          <w:rStyle w:val="CCMCvariablesubscript"/>
        </w:rPr>
        <w:t>sm</w:t>
      </w:r>
      <w:r w:rsidRPr="001455DC">
        <w:rPr>
          <w:rFonts w:eastAsiaTheme="minorHAnsi"/>
        </w:rPr>
        <w:t> </w:t>
      </w:r>
      <w:r w:rsidR="00EC27D2" w:rsidRPr="001455DC">
        <w:rPr>
          <w:rFonts w:ascii="Cambria Math" w:eastAsiaTheme="minorHAnsi" w:hAnsi="Cambria Math"/>
        </w:rPr>
        <w:t>−</w:t>
      </w:r>
      <w:r w:rsidRPr="001455DC">
        <w:rPr>
          <w:rFonts w:eastAsiaTheme="minorHAnsi"/>
        </w:rPr>
        <w:t> </w:t>
      </w:r>
      <w:r w:rsidRPr="001455DC">
        <w:rPr>
          <w:rStyle w:val="CCMCvariableitalic"/>
        </w:rPr>
        <w:t>ε</w:t>
      </w:r>
      <w:r w:rsidRPr="001455DC">
        <w:rPr>
          <w:rStyle w:val="CCMCvariablesubscript"/>
        </w:rPr>
        <w:t>cm</w:t>
      </w:r>
      <w:r w:rsidRPr="001455DC">
        <w:rPr>
          <w:rFonts w:eastAsiaTheme="minorHAnsi"/>
        </w:rPr>
        <w:t xml:space="preserve">) may be calculated from </w:t>
      </w:r>
      <w:r w:rsidRPr="001455DC">
        <w:t>Formula (9.17)</w:t>
      </w:r>
      <w:r w:rsidRPr="001455DC">
        <w:rPr>
          <w:rFonts w:eastAsiaTheme="minorHAnsi"/>
        </w:rPr>
        <w:t>:</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6724C7" w:rsidRPr="001455DC" w14:paraId="4682FAA9" w14:textId="77777777" w:rsidTr="006724C7">
        <w:trPr>
          <w:cantSplit/>
        </w:trPr>
        <w:tc>
          <w:tcPr>
            <w:tcW w:w="8505" w:type="dxa"/>
            <w:vAlign w:val="center"/>
          </w:tcPr>
          <w:p w14:paraId="6E9FC306" w14:textId="62B71168" w:rsidR="006724C7" w:rsidRPr="001455DC" w:rsidRDefault="00231E33" w:rsidP="006724C7">
            <w:pPr>
              <w:pStyle w:val="Formula"/>
              <w:jc w:val="left"/>
            </w:pPr>
            <m:oMathPara>
              <m:oMathParaPr>
                <m:jc m:val="left"/>
              </m:oMathParaPr>
              <m:oMath>
                <m:sSub>
                  <m:sSubPr>
                    <m:ctrlPr>
                      <w:rPr>
                        <w:rFonts w:ascii="Cambria Math" w:hAnsi="Cambria Math"/>
                      </w:rPr>
                    </m:ctrlPr>
                  </m:sSubPr>
                  <m:e>
                    <m:r>
                      <w:rPr>
                        <w:rFonts w:ascii="Cambria Math" w:hAnsi="Cambria Math"/>
                      </w:rPr>
                      <m:t>ε</m:t>
                    </m:r>
                  </m:e>
                  <m:sub>
                    <m:r>
                      <m:rPr>
                        <m:sty m:val="p"/>
                      </m:rPr>
                      <w:rPr>
                        <w:rFonts w:ascii="Cambria Math" w:hAnsi="Cambria Math"/>
                      </w:rPr>
                      <m:t>sm</m:t>
                    </m:r>
                  </m:sub>
                </m:sSub>
                <m:r>
                  <w:rPr>
                    <w:rFonts w:ascii="Cambria Math" w:hAnsi="Cambria Math"/>
                  </w:rPr>
                  <m:t>-</m:t>
                </m:r>
                <m:sSub>
                  <m:sSubPr>
                    <m:ctrlPr>
                      <w:rPr>
                        <w:rFonts w:ascii="Cambria Math" w:hAnsi="Cambria Math"/>
                      </w:rPr>
                    </m:ctrlPr>
                  </m:sSubPr>
                  <m:e>
                    <m:r>
                      <w:rPr>
                        <w:rFonts w:ascii="Cambria Math" w:hAnsi="Cambria Math"/>
                      </w:rPr>
                      <m:t>ε</m:t>
                    </m:r>
                  </m:e>
                  <m:sub>
                    <m:r>
                      <m:rPr>
                        <m:sty m:val="p"/>
                      </m:rPr>
                      <w:rPr>
                        <w:rFonts w:ascii="Cambria Math" w:hAnsi="Cambria Math"/>
                      </w:rPr>
                      <m:t>cm</m:t>
                    </m:r>
                  </m:sub>
                </m:sSub>
                <m: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ax</m:t>
                    </m:r>
                  </m:sub>
                </m:sSub>
                <m:sSub>
                  <m:sSubPr>
                    <m:ctrlPr>
                      <w:rPr>
                        <w:rFonts w:ascii="Cambria Math" w:hAnsi="Cambria Math"/>
                      </w:rPr>
                    </m:ctrlPr>
                  </m:sSubPr>
                  <m:e>
                    <m:r>
                      <w:rPr>
                        <w:rFonts w:ascii="Cambria Math" w:hAnsi="Cambria Math"/>
                      </w:rPr>
                      <m:t>ε</m:t>
                    </m:r>
                  </m:e>
                  <m:sub>
                    <m:r>
                      <m:rPr>
                        <m:sty m:val="p"/>
                      </m:rPr>
                      <w:rPr>
                        <w:rFonts w:ascii="Cambria Math" w:hAnsi="Cambria Math"/>
                      </w:rPr>
                      <m:t>free</m:t>
                    </m:r>
                  </m:sub>
                </m:sSub>
                <m: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t</m:t>
                    </m:r>
                  </m:sub>
                </m:sSub>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ct,eff</m:t>
                        </m:r>
                      </m:sub>
                    </m:sSub>
                  </m:num>
                  <m:den>
                    <m:sSub>
                      <m:sSubPr>
                        <m:ctrlPr>
                          <w:rPr>
                            <w:rFonts w:ascii="Cambria Math" w:hAnsi="Cambria Math"/>
                          </w:rPr>
                        </m:ctrlPr>
                      </m:sSubPr>
                      <m:e>
                        <m:r>
                          <w:rPr>
                            <w:rFonts w:ascii="Cambria Math" w:hAnsi="Cambria Math"/>
                          </w:rPr>
                          <m:t>E</m:t>
                        </m:r>
                      </m:e>
                      <m:sub>
                        <m:r>
                          <m:rPr>
                            <m:sty m:val="p"/>
                          </m:rPr>
                          <w:rPr>
                            <w:rFonts w:ascii="Cambria Math" w:hAnsi="Cambria Math"/>
                          </w:rPr>
                          <m:t>cm</m:t>
                        </m:r>
                      </m:sub>
                    </m:sSub>
                  </m:den>
                </m:f>
                <m:r>
                  <w:rPr>
                    <w:rFonts w:ascii="Cambria Math" w:hAnsi="Cambria Math"/>
                  </w:rPr>
                  <m:t>≥0</m:t>
                </m:r>
              </m:oMath>
            </m:oMathPara>
          </w:p>
        </w:tc>
        <w:tc>
          <w:tcPr>
            <w:tcW w:w="1247" w:type="dxa"/>
            <w:vAlign w:val="center"/>
          </w:tcPr>
          <w:p w14:paraId="0209A170" w14:textId="668DA7DA" w:rsidR="006724C7" w:rsidRPr="001455DC" w:rsidRDefault="00CA1101" w:rsidP="006724C7">
            <w:pPr>
              <w:pStyle w:val="a7"/>
              <w:jc w:val="right"/>
            </w:pPr>
            <w:r w:rsidRPr="001455DC">
              <w:t>(9.17)</w:t>
            </w:r>
          </w:p>
        </w:tc>
      </w:tr>
    </w:tbl>
    <w:p w14:paraId="10E8FA3E" w14:textId="77777777" w:rsidR="00CA1101" w:rsidRPr="001455DC" w:rsidRDefault="00CA1101"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7598"/>
        <w:gridCol w:w="1247"/>
      </w:tblGrid>
      <w:tr w:rsidR="00CA1101" w:rsidRPr="001455DC" w14:paraId="169F56FF" w14:textId="77777777" w:rsidTr="006230AE">
        <w:trPr>
          <w:cantSplit/>
        </w:trPr>
        <w:tc>
          <w:tcPr>
            <w:tcW w:w="567" w:type="dxa"/>
          </w:tcPr>
          <w:p w14:paraId="54D4E31B" w14:textId="1A669857" w:rsidR="00CA1101" w:rsidRPr="001455DC" w:rsidRDefault="00CA1101" w:rsidP="006230AE">
            <w:pPr>
              <w:pStyle w:val="Tablebody"/>
            </w:pPr>
            <w:r w:rsidRPr="001455DC">
              <w:rPr>
                <w:rStyle w:val="CCMCvariableitalic"/>
              </w:rPr>
              <w:t>R</w:t>
            </w:r>
            <w:r w:rsidRPr="001455DC">
              <w:rPr>
                <w:rStyle w:val="CCMCvariablesubscript"/>
              </w:rPr>
              <w:t>ax</w:t>
            </w:r>
          </w:p>
        </w:tc>
        <w:tc>
          <w:tcPr>
            <w:tcW w:w="8845" w:type="dxa"/>
            <w:gridSpan w:val="2"/>
          </w:tcPr>
          <w:p w14:paraId="061960B3" w14:textId="6FB22902" w:rsidR="00CA1101" w:rsidRPr="001455DC" w:rsidRDefault="00CA1101" w:rsidP="006230AE">
            <w:pPr>
              <w:pStyle w:val="Tablebody"/>
            </w:pPr>
            <w:r w:rsidRPr="001455DC">
              <w:rPr>
                <w:rFonts w:eastAsiaTheme="minorHAnsi"/>
              </w:rPr>
              <w:t>is the restraint factor:</w:t>
            </w:r>
          </w:p>
        </w:tc>
      </w:tr>
      <w:tr w:rsidR="00CA1101" w:rsidRPr="001455DC" w14:paraId="2CFD2A4C" w14:textId="77777777" w:rsidTr="00CA1101">
        <w:trPr>
          <w:cantSplit/>
        </w:trPr>
        <w:tc>
          <w:tcPr>
            <w:tcW w:w="567" w:type="dxa"/>
          </w:tcPr>
          <w:p w14:paraId="79D92F4D" w14:textId="77777777" w:rsidR="00CA1101" w:rsidRPr="001455DC" w:rsidRDefault="00CA1101" w:rsidP="006230AE">
            <w:pPr>
              <w:pStyle w:val="Tablebody"/>
            </w:pPr>
          </w:p>
        </w:tc>
        <w:tc>
          <w:tcPr>
            <w:tcW w:w="7598" w:type="dxa"/>
            <w:vAlign w:val="center"/>
          </w:tcPr>
          <w:p w14:paraId="16F20D92" w14:textId="1AE9A04C" w:rsidR="00CA1101" w:rsidRPr="001455DC" w:rsidRDefault="00231E33" w:rsidP="00CA1101">
            <w:pPr>
              <w:pStyle w:val="Tablebody"/>
              <w:jc w:val="left"/>
            </w:pPr>
            <m:oMathPara>
              <m:oMathParaPr>
                <m:jc m:val="left"/>
              </m:oMathParaPr>
              <m:oMath>
                <m:sSub>
                  <m:sSubPr>
                    <m:ctrlPr>
                      <w:rPr>
                        <w:rFonts w:ascii="Cambria Math" w:hAnsi="Cambria Math"/>
                      </w:rPr>
                    </m:ctrlPr>
                  </m:sSubPr>
                  <m:e>
                    <m:r>
                      <w:rPr>
                        <w:rFonts w:ascii="Cambria Math" w:hAnsi="Cambria Math"/>
                      </w:rPr>
                      <m:t>R</m:t>
                    </m:r>
                  </m:e>
                  <m:sub>
                    <m:r>
                      <m:rPr>
                        <m:sty m:val="p"/>
                      </m:rPr>
                      <w:rPr>
                        <w:rFonts w:ascii="Cambria Math" w:hAnsi="Cambria Math"/>
                      </w:rPr>
                      <m:t>ax</m:t>
                    </m:r>
                  </m:sub>
                </m:sSub>
                <m: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ε</m:t>
                        </m:r>
                      </m:e>
                      <m:sub>
                        <m:r>
                          <m:rPr>
                            <m:sty m:val="p"/>
                          </m:rPr>
                          <w:rPr>
                            <w:rFonts w:ascii="Cambria Math" w:hAnsi="Cambria Math"/>
                          </w:rPr>
                          <m:t>restr</m:t>
                        </m:r>
                      </m:sub>
                    </m:sSub>
                  </m:num>
                  <m:den>
                    <m:sSub>
                      <m:sSubPr>
                        <m:ctrlPr>
                          <w:rPr>
                            <w:rFonts w:ascii="Cambria Math" w:hAnsi="Cambria Math"/>
                          </w:rPr>
                        </m:ctrlPr>
                      </m:sSubPr>
                      <m:e>
                        <m:r>
                          <w:rPr>
                            <w:rFonts w:ascii="Cambria Math" w:hAnsi="Cambria Math"/>
                          </w:rPr>
                          <m:t>ε</m:t>
                        </m:r>
                      </m:e>
                      <m:sub>
                        <m:r>
                          <m:rPr>
                            <m:sty m:val="p"/>
                          </m:rPr>
                          <w:rPr>
                            <w:rFonts w:ascii="Cambria Math" w:hAnsi="Cambria Math"/>
                          </w:rPr>
                          <m:t>imp</m:t>
                        </m:r>
                      </m:sub>
                    </m:sSub>
                  </m:den>
                </m:f>
              </m:oMath>
            </m:oMathPara>
          </w:p>
        </w:tc>
        <w:tc>
          <w:tcPr>
            <w:tcW w:w="1247" w:type="dxa"/>
            <w:vAlign w:val="center"/>
          </w:tcPr>
          <w:p w14:paraId="1BF8A5CB" w14:textId="63796C16" w:rsidR="00CA1101" w:rsidRPr="001455DC" w:rsidRDefault="00CA1101" w:rsidP="00CA1101">
            <w:pPr>
              <w:pStyle w:val="Tablebody"/>
              <w:jc w:val="right"/>
            </w:pPr>
            <w:r w:rsidRPr="001455DC">
              <w:rPr>
                <w:rFonts w:eastAsiaTheme="minorHAnsi"/>
              </w:rPr>
              <w:t>(9.18)</w:t>
            </w:r>
          </w:p>
        </w:tc>
      </w:tr>
      <w:tr w:rsidR="00CA1101" w:rsidRPr="001455DC" w14:paraId="72831B46" w14:textId="77777777" w:rsidTr="006230AE">
        <w:trPr>
          <w:cantSplit/>
        </w:trPr>
        <w:tc>
          <w:tcPr>
            <w:tcW w:w="567" w:type="dxa"/>
          </w:tcPr>
          <w:p w14:paraId="074C7F61" w14:textId="77777777" w:rsidR="00CA1101" w:rsidRPr="001455DC" w:rsidRDefault="00CA1101" w:rsidP="006230AE">
            <w:pPr>
              <w:pStyle w:val="Tablebody"/>
            </w:pPr>
          </w:p>
        </w:tc>
        <w:tc>
          <w:tcPr>
            <w:tcW w:w="8845" w:type="dxa"/>
            <w:gridSpan w:val="2"/>
          </w:tcPr>
          <w:p w14:paraId="1CBF5095" w14:textId="705DC192" w:rsidR="00CA1101" w:rsidRPr="001455DC" w:rsidRDefault="00CA1101" w:rsidP="006230AE">
            <w:pPr>
              <w:pStyle w:val="Tablebody"/>
            </w:pPr>
            <w:r w:rsidRPr="001455DC">
              <w:t xml:space="preserve">For the very common case of the base of a wall a simplified value of 0,5 can be assumed for </w:t>
            </w:r>
            <w:r w:rsidRPr="001455DC">
              <w:rPr>
                <w:rStyle w:val="CCMCvariableitalic"/>
              </w:rPr>
              <w:t>R</w:t>
            </w:r>
            <w:r w:rsidRPr="001455DC">
              <w:rPr>
                <w:rStyle w:val="CCMCvariablesubscript"/>
              </w:rPr>
              <w:t>ax</w:t>
            </w:r>
            <w:r w:rsidRPr="001455DC">
              <w:t>;</w:t>
            </w:r>
          </w:p>
        </w:tc>
      </w:tr>
      <w:tr w:rsidR="00CA1101" w:rsidRPr="001455DC" w14:paraId="5C3AA430" w14:textId="77777777" w:rsidTr="006230AE">
        <w:trPr>
          <w:cantSplit/>
        </w:trPr>
        <w:tc>
          <w:tcPr>
            <w:tcW w:w="567" w:type="dxa"/>
          </w:tcPr>
          <w:p w14:paraId="6EB31DE8" w14:textId="513C5C94" w:rsidR="00CA1101" w:rsidRPr="001455DC" w:rsidRDefault="00CA1101" w:rsidP="006230AE">
            <w:pPr>
              <w:pStyle w:val="Tablebody"/>
            </w:pPr>
            <w:r w:rsidRPr="001455DC">
              <w:rPr>
                <w:rStyle w:val="CCMCvariableitalic"/>
              </w:rPr>
              <w:t>ε</w:t>
            </w:r>
            <w:r w:rsidRPr="001455DC">
              <w:rPr>
                <w:rStyle w:val="CCMCvariablesubscript"/>
              </w:rPr>
              <w:t>restr</w:t>
            </w:r>
          </w:p>
        </w:tc>
        <w:tc>
          <w:tcPr>
            <w:tcW w:w="8845" w:type="dxa"/>
            <w:gridSpan w:val="2"/>
          </w:tcPr>
          <w:p w14:paraId="688F4AEF" w14:textId="2D135649" w:rsidR="00CA1101" w:rsidRPr="001455DC" w:rsidRDefault="00CA1101" w:rsidP="006230AE">
            <w:pPr>
              <w:pStyle w:val="Tablebody"/>
            </w:pPr>
            <w:r w:rsidRPr="001455DC">
              <w:rPr>
                <w:rFonts w:eastAsiaTheme="minorHAnsi"/>
              </w:rPr>
              <w:t>the strain which develops in the restrained element;</w:t>
            </w:r>
          </w:p>
        </w:tc>
      </w:tr>
      <w:tr w:rsidR="00CA1101" w:rsidRPr="001455DC" w14:paraId="4D64C06B" w14:textId="77777777" w:rsidTr="006230AE">
        <w:trPr>
          <w:cantSplit/>
        </w:trPr>
        <w:tc>
          <w:tcPr>
            <w:tcW w:w="567" w:type="dxa"/>
          </w:tcPr>
          <w:p w14:paraId="48E69A46" w14:textId="50EC21E8" w:rsidR="00CA1101" w:rsidRPr="001455DC" w:rsidRDefault="00CA1101" w:rsidP="006230AE">
            <w:pPr>
              <w:pStyle w:val="Tablebody"/>
            </w:pPr>
            <w:r w:rsidRPr="001455DC">
              <w:rPr>
                <w:rStyle w:val="CCMCvariableitalic"/>
              </w:rPr>
              <w:t>ε</w:t>
            </w:r>
            <w:r w:rsidRPr="001455DC">
              <w:rPr>
                <w:rStyle w:val="CCMCvariablesubscript"/>
              </w:rPr>
              <w:t>imp</w:t>
            </w:r>
          </w:p>
        </w:tc>
        <w:tc>
          <w:tcPr>
            <w:tcW w:w="8845" w:type="dxa"/>
            <w:gridSpan w:val="2"/>
          </w:tcPr>
          <w:p w14:paraId="51B950FC" w14:textId="3839770F" w:rsidR="00CA1101" w:rsidRPr="001455DC" w:rsidRDefault="00CA1101" w:rsidP="006230AE">
            <w:pPr>
              <w:pStyle w:val="Tablebody"/>
            </w:pPr>
            <w:r w:rsidRPr="001455DC">
              <w:rPr>
                <w:rFonts w:eastAsiaTheme="minorHAnsi"/>
              </w:rPr>
              <w:t xml:space="preserve">the value of the imposed strain (i.e. free shrinkage, free temperature strain. The ratio </w:t>
            </w:r>
            <w:r w:rsidRPr="001455DC">
              <w:rPr>
                <w:rStyle w:val="CCMCvariableitalic"/>
              </w:rPr>
              <w:t>ε</w:t>
            </w:r>
            <w:r w:rsidRPr="001455DC">
              <w:rPr>
                <w:rStyle w:val="CCMCvariablesubscript"/>
              </w:rPr>
              <w:t>restr</w:t>
            </w:r>
            <w:r w:rsidRPr="001455DC">
              <w:rPr>
                <w:rFonts w:eastAsiaTheme="minorHAnsi"/>
              </w:rPr>
              <w:t xml:space="preserve"> /</w:t>
            </w:r>
            <w:r w:rsidRPr="001455DC">
              <w:rPr>
                <w:rStyle w:val="CCMCvariableitalic"/>
              </w:rPr>
              <w:t>ε</w:t>
            </w:r>
            <w:r w:rsidRPr="001455DC">
              <w:rPr>
                <w:rStyle w:val="CCMCvariablesubscript"/>
              </w:rPr>
              <w:t>imp</w:t>
            </w:r>
            <w:r w:rsidRPr="001455DC">
              <w:rPr>
                <w:rFonts w:eastAsiaTheme="minorHAnsi"/>
              </w:rPr>
              <w:t xml:space="preserve"> may be estimated according to linear elastic analysis, and may account for staged construction, if relevant;</w:t>
            </w:r>
          </w:p>
        </w:tc>
      </w:tr>
      <w:tr w:rsidR="00CA1101" w:rsidRPr="001455DC" w14:paraId="0278B7C9" w14:textId="77777777" w:rsidTr="006230AE">
        <w:trPr>
          <w:cantSplit/>
        </w:trPr>
        <w:tc>
          <w:tcPr>
            <w:tcW w:w="567" w:type="dxa"/>
          </w:tcPr>
          <w:p w14:paraId="3C44AF9F" w14:textId="76ADFA89" w:rsidR="00CA1101" w:rsidRPr="001455DC" w:rsidRDefault="00CA1101" w:rsidP="006230AE">
            <w:pPr>
              <w:pStyle w:val="Tablebody"/>
            </w:pPr>
            <w:r w:rsidRPr="001455DC">
              <w:rPr>
                <w:rStyle w:val="CCMCvariableitalic"/>
              </w:rPr>
              <w:t>ε</w:t>
            </w:r>
            <w:r w:rsidRPr="001455DC">
              <w:rPr>
                <w:rStyle w:val="CCMCvariablesubscript"/>
              </w:rPr>
              <w:t>free</w:t>
            </w:r>
          </w:p>
        </w:tc>
        <w:tc>
          <w:tcPr>
            <w:tcW w:w="8845" w:type="dxa"/>
            <w:gridSpan w:val="2"/>
          </w:tcPr>
          <w:p w14:paraId="3212489F" w14:textId="45047394" w:rsidR="00CA1101" w:rsidRPr="001455DC" w:rsidRDefault="00CA1101" w:rsidP="006230AE">
            <w:pPr>
              <w:pStyle w:val="Tablebody"/>
            </w:pPr>
            <w:r w:rsidRPr="001455DC">
              <w:rPr>
                <w:rFonts w:eastAsiaTheme="minorHAnsi"/>
              </w:rPr>
              <w:t>is the imposed strain which develops after the construction stage when restraint is applied (e.g. precast elements).</w:t>
            </w:r>
          </w:p>
        </w:tc>
      </w:tr>
    </w:tbl>
    <w:p w14:paraId="65415074" w14:textId="1346527D" w:rsidR="004E22C1" w:rsidRPr="001455DC" w:rsidRDefault="004E22C1" w:rsidP="006724C7">
      <w:pPr>
        <w:pStyle w:val="Note"/>
      </w:pPr>
      <w:r w:rsidRPr="001455DC">
        <w:t>NOTE</w:t>
      </w:r>
      <w:r w:rsidR="0079403C">
        <w:t xml:space="preserve"> </w:t>
      </w:r>
      <w:r w:rsidRPr="001455DC">
        <w:tab/>
        <w:t>Elements subjected to imposed strains can be restrained along the edges (see Figure 9.3a)) or at the ends (see Figure 9.3b)). In an element which is restrained along the edges cracking only changes forces locally and crack widths depend on the applied strain. In an element which is restrained at the ends, cracking changes forces globally and crack widths depend on the tensile strength of concrete, but not on the applied strain.</w:t>
      </w:r>
    </w:p>
    <w:p w14:paraId="15B850C7" w14:textId="08CDC2D7" w:rsidR="004E22C1" w:rsidRPr="001455DC" w:rsidRDefault="00723CF7" w:rsidP="006724C7">
      <w:pPr>
        <w:pStyle w:val="FigureImage"/>
        <w:rPr>
          <w:rFonts w:eastAsiaTheme="minorHAnsi"/>
        </w:rPr>
      </w:pPr>
      <w:r>
        <w:rPr>
          <w:rFonts w:eastAsiaTheme="minorHAnsi"/>
          <w:noProof/>
          <w:lang w:eastAsia="en-GB"/>
        </w:rPr>
        <w:fldChar w:fldCharType="begin"/>
      </w:r>
      <w:r>
        <w:rPr>
          <w:rFonts w:eastAsiaTheme="minorHAnsi"/>
          <w:noProof/>
          <w:lang w:eastAsia="en-GB"/>
        </w:rPr>
        <w:instrText xml:space="preserve"> INCLUDEPICTURE  "Y:\\STD_MGT\\STDDEL\\PRODUCTION\\etrans\\Download\\Z_FIRST_DEL\\SV\\00250\\00250269\\41_e_dr\\9_002.tif" \* MERGEFORMATINET </w:instrText>
      </w:r>
      <w:r>
        <w:rPr>
          <w:rFonts w:eastAsiaTheme="minorHAnsi"/>
          <w:noProof/>
          <w:lang w:eastAsia="en-GB"/>
        </w:rPr>
        <w:fldChar w:fldCharType="separate"/>
      </w:r>
      <w:r w:rsidR="00FA575F">
        <w:rPr>
          <w:rFonts w:eastAsiaTheme="minorHAnsi"/>
          <w:noProof/>
          <w:lang w:eastAsia="en-GB"/>
        </w:rPr>
        <w:fldChar w:fldCharType="begin"/>
      </w:r>
      <w:r w:rsidR="00FA575F">
        <w:rPr>
          <w:rFonts w:eastAsiaTheme="minorHAnsi"/>
          <w:noProof/>
          <w:lang w:eastAsia="en-GB"/>
        </w:rPr>
        <w:instrText xml:space="preserve"> INCLUDEPICTURE  "Y:\\STD_MGT\\STDDEL\\PRODUCTION\\Standards\\00250\\269\\41_e_dr\\9_002.tif" \* MERGEFORMATINET </w:instrText>
      </w:r>
      <w:r w:rsidR="00FA575F">
        <w:rPr>
          <w:rFonts w:eastAsiaTheme="minorHAnsi"/>
          <w:noProof/>
          <w:lang w:eastAsia="en-GB"/>
        </w:rPr>
        <w:fldChar w:fldCharType="separate"/>
      </w:r>
      <w:r w:rsidR="00C54E80">
        <w:rPr>
          <w:rFonts w:eastAsiaTheme="minorHAnsi"/>
          <w:noProof/>
          <w:lang w:eastAsia="en-GB"/>
        </w:rPr>
        <w:fldChar w:fldCharType="begin"/>
      </w:r>
      <w:r w:rsidR="00C54E80">
        <w:rPr>
          <w:rFonts w:eastAsiaTheme="minorHAnsi"/>
          <w:noProof/>
          <w:lang w:eastAsia="en-GB"/>
        </w:rPr>
        <w:instrText xml:space="preserve"> INCLUDEPICTURE  "Y:\\STD_MGT\\STDDEL\\PRODUCTION\\Standards\\00250\\269\\41_e_dr\\9_002.tif" \* MERGEFORMATINET </w:instrText>
      </w:r>
      <w:r w:rsidR="00C54E80">
        <w:rPr>
          <w:rFonts w:eastAsiaTheme="minorHAnsi"/>
          <w:noProof/>
          <w:lang w:eastAsia="en-GB"/>
        </w:rPr>
        <w:fldChar w:fldCharType="separate"/>
      </w:r>
      <w:r w:rsidR="004B62E7">
        <w:rPr>
          <w:rFonts w:eastAsiaTheme="minorHAnsi"/>
          <w:noProof/>
          <w:lang w:eastAsia="en-GB"/>
        </w:rPr>
        <w:fldChar w:fldCharType="begin"/>
      </w:r>
      <w:r w:rsidR="004B62E7">
        <w:rPr>
          <w:rFonts w:eastAsiaTheme="minorHAnsi"/>
          <w:noProof/>
          <w:lang w:eastAsia="en-GB"/>
        </w:rPr>
        <w:instrText xml:space="preserve"> INCLUDEPICTURE  "Y:\\STD_MGT\\STDDEL\\PRODUCTION\\Standards\\00250\\269\\41_e_dr\\9_002.tif" \* MERGEFORMATINET </w:instrText>
      </w:r>
      <w:r w:rsidR="004B62E7">
        <w:rPr>
          <w:rFonts w:eastAsiaTheme="minorHAnsi"/>
          <w:noProof/>
          <w:lang w:eastAsia="en-GB"/>
        </w:rPr>
        <w:fldChar w:fldCharType="separate"/>
      </w:r>
      <w:r w:rsidR="00B078F1">
        <w:rPr>
          <w:rFonts w:eastAsiaTheme="minorHAnsi"/>
          <w:noProof/>
          <w:lang w:eastAsia="en-GB"/>
        </w:rPr>
        <w:fldChar w:fldCharType="begin"/>
      </w:r>
      <w:r w:rsidR="00B078F1">
        <w:rPr>
          <w:rFonts w:eastAsiaTheme="minorHAnsi"/>
          <w:noProof/>
          <w:lang w:eastAsia="en-GB"/>
        </w:rPr>
        <w:instrText xml:space="preserve"> INCLUDEPICTURE  "Y:\\STD_MGT\\STDDEL\\PRODUCTION\\Standards\\00250\\269\\41_e_dr\\9_002.tif" \* MERGEFORMATINET </w:instrText>
      </w:r>
      <w:r w:rsidR="00B078F1">
        <w:rPr>
          <w:rFonts w:eastAsiaTheme="minorHAnsi"/>
          <w:noProof/>
          <w:lang w:eastAsia="en-GB"/>
        </w:rPr>
        <w:fldChar w:fldCharType="separate"/>
      </w:r>
      <w:r w:rsidR="000250B6">
        <w:rPr>
          <w:rFonts w:eastAsiaTheme="minorHAnsi"/>
          <w:noProof/>
          <w:lang w:eastAsia="en-GB"/>
        </w:rPr>
        <w:fldChar w:fldCharType="begin"/>
      </w:r>
      <w:r w:rsidR="000250B6">
        <w:rPr>
          <w:rFonts w:eastAsiaTheme="minorHAnsi"/>
          <w:noProof/>
          <w:lang w:eastAsia="en-GB"/>
        </w:rPr>
        <w:instrText xml:space="preserve"> INCLUDEPICTURE  "Y:\\STD_MGT\\STDDEL\\PRODUCTION\\Standards\\00250\\269\\41_e_dr\\9_002.tif" \* MERGEFORMATINET </w:instrText>
      </w:r>
      <w:r w:rsidR="000250B6">
        <w:rPr>
          <w:rFonts w:eastAsiaTheme="minorHAnsi"/>
          <w:noProof/>
          <w:lang w:eastAsia="en-GB"/>
        </w:rPr>
        <w:fldChar w:fldCharType="separate"/>
      </w:r>
      <w:r w:rsidR="00231E33">
        <w:rPr>
          <w:rFonts w:eastAsiaTheme="minorHAnsi"/>
          <w:noProof/>
          <w:lang w:eastAsia="en-GB"/>
        </w:rPr>
        <w:fldChar w:fldCharType="begin"/>
      </w:r>
      <w:r w:rsidR="00231E33">
        <w:rPr>
          <w:rFonts w:eastAsiaTheme="minorHAnsi"/>
          <w:noProof/>
          <w:lang w:eastAsia="en-GB"/>
        </w:rPr>
        <w:instrText xml:space="preserve"> </w:instrText>
      </w:r>
      <w:r w:rsidR="00231E33">
        <w:rPr>
          <w:rFonts w:eastAsiaTheme="minorHAnsi"/>
          <w:noProof/>
          <w:lang w:eastAsia="en-GB"/>
        </w:rPr>
        <w:instrText>INCLUDEPICTURE  "C:\\Users\\a.dionysiou\\AppData\\Local\\Temp\\Temp1_00250269_e_20210902.zip.zip\\41_e_dr\\9_002.tif" \* MERGEFORMATINET</w:instrText>
      </w:r>
      <w:r w:rsidR="00231E33">
        <w:rPr>
          <w:rFonts w:eastAsiaTheme="minorHAnsi"/>
          <w:noProof/>
          <w:lang w:eastAsia="en-GB"/>
        </w:rPr>
        <w:instrText xml:space="preserve"> </w:instrText>
      </w:r>
      <w:r w:rsidR="00231E33">
        <w:rPr>
          <w:rFonts w:eastAsiaTheme="minorHAnsi"/>
          <w:noProof/>
          <w:lang w:eastAsia="en-GB"/>
        </w:rPr>
        <w:fldChar w:fldCharType="separate"/>
      </w:r>
      <w:r w:rsidR="00231E33">
        <w:rPr>
          <w:rFonts w:eastAsiaTheme="minorHAnsi"/>
          <w:noProof/>
          <w:lang w:eastAsia="en-GB"/>
        </w:rPr>
        <w:pict w14:anchorId="1C466E94">
          <v:shape id="_x0000_i1212" type="#_x0000_t75" style="width:240pt;height:171pt">
            <v:imagedata r:id="rId394" r:href="rId395"/>
          </v:shape>
        </w:pict>
      </w:r>
      <w:r w:rsidR="00231E33">
        <w:rPr>
          <w:rFonts w:eastAsiaTheme="minorHAnsi"/>
          <w:noProof/>
          <w:lang w:eastAsia="en-GB"/>
        </w:rPr>
        <w:fldChar w:fldCharType="end"/>
      </w:r>
      <w:r w:rsidR="000250B6">
        <w:rPr>
          <w:rFonts w:eastAsiaTheme="minorHAnsi"/>
          <w:noProof/>
          <w:lang w:eastAsia="en-GB"/>
        </w:rPr>
        <w:fldChar w:fldCharType="end"/>
      </w:r>
      <w:r w:rsidR="00B078F1">
        <w:rPr>
          <w:rFonts w:eastAsiaTheme="minorHAnsi"/>
          <w:noProof/>
          <w:lang w:eastAsia="en-GB"/>
        </w:rPr>
        <w:fldChar w:fldCharType="end"/>
      </w:r>
      <w:r w:rsidR="004B62E7">
        <w:rPr>
          <w:rFonts w:eastAsiaTheme="minorHAnsi"/>
          <w:noProof/>
          <w:lang w:eastAsia="en-GB"/>
        </w:rPr>
        <w:fldChar w:fldCharType="end"/>
      </w:r>
      <w:r w:rsidR="00C54E80">
        <w:rPr>
          <w:rFonts w:eastAsiaTheme="minorHAnsi"/>
          <w:noProof/>
          <w:lang w:eastAsia="en-GB"/>
        </w:rPr>
        <w:fldChar w:fldCharType="end"/>
      </w:r>
      <w:r w:rsidR="00FA575F">
        <w:rPr>
          <w:rFonts w:eastAsiaTheme="minorHAnsi"/>
          <w:noProof/>
          <w:lang w:eastAsia="en-GB"/>
        </w:rPr>
        <w:fldChar w:fldCharType="end"/>
      </w:r>
      <w:r>
        <w:rPr>
          <w:rFonts w:eastAsiaTheme="minorHAnsi"/>
          <w:noProof/>
          <w:lang w:eastAsia="en-GB"/>
        </w:rPr>
        <w:fldChar w:fldCharType="end"/>
      </w:r>
    </w:p>
    <w:p w14:paraId="5AFFA594" w14:textId="77777777" w:rsidR="004E22C1" w:rsidRPr="001455DC" w:rsidRDefault="004E22C1" w:rsidP="006724C7">
      <w:pPr>
        <w:pStyle w:val="Figuretitle"/>
      </w:pPr>
      <w:r w:rsidRPr="001455DC">
        <w:t xml:space="preserve">Fig. 9.2 — Notation for definition of </w:t>
      </w:r>
      <w:r w:rsidRPr="001455DC">
        <w:rPr>
          <w:rStyle w:val="CCMCvariableitalic"/>
        </w:rPr>
        <w:t>k</w:t>
      </w:r>
      <w:r w:rsidRPr="001455DC">
        <w:rPr>
          <w:rStyle w:val="CCMCvariablesubscript"/>
        </w:rPr>
        <w:t>1/r</w:t>
      </w:r>
      <w:r w:rsidRPr="001455DC">
        <w:t xml:space="preserve"> in Formulae (9.15) and (9.16)</w:t>
      </w:r>
    </w:p>
    <w:p w14:paraId="2F722B3C" w14:textId="77777777" w:rsidR="004E22C1" w:rsidRPr="001455DC" w:rsidRDefault="004E22C1" w:rsidP="006724C7">
      <w:pPr>
        <w:pStyle w:val="a7"/>
      </w:pPr>
      <w:r w:rsidRPr="001455DC">
        <w:t>(4)</w:t>
      </w:r>
      <w:r w:rsidRPr="001455DC">
        <w:tab/>
        <w:t>If an element is restrained both at the ends and at the edges the criterion defined in Figure 9.3c) may be applied.</w:t>
      </w:r>
    </w:p>
    <w:p w14:paraId="49F15A76" w14:textId="37261F65" w:rsidR="004E22C1" w:rsidRPr="001455DC" w:rsidRDefault="00723CF7" w:rsidP="006724C7">
      <w:pPr>
        <w:pStyle w:val="FigureImage"/>
        <w:rPr>
          <w:rFonts w:eastAsiaTheme="minorHAnsi"/>
        </w:rPr>
      </w:pPr>
      <w:r>
        <w:rPr>
          <w:rFonts w:eastAsiaTheme="minorHAnsi"/>
          <w:noProof/>
          <w:lang w:eastAsia="en-GB"/>
        </w:rPr>
        <w:fldChar w:fldCharType="begin"/>
      </w:r>
      <w:r>
        <w:rPr>
          <w:rFonts w:eastAsiaTheme="minorHAnsi"/>
          <w:noProof/>
          <w:lang w:eastAsia="en-GB"/>
        </w:rPr>
        <w:instrText xml:space="preserve"> INCLUDEPICTURE  "Y:\\STD_MGT\\STDDEL\\PRODUCTION\\etrans\\Download\\Z_FIRST_DEL\\SV\\00250\\00250269\\41_e_dr\\9_003a.tif" \* MERGEFORMATINET </w:instrText>
      </w:r>
      <w:r>
        <w:rPr>
          <w:rFonts w:eastAsiaTheme="minorHAnsi"/>
          <w:noProof/>
          <w:lang w:eastAsia="en-GB"/>
        </w:rPr>
        <w:fldChar w:fldCharType="separate"/>
      </w:r>
      <w:r w:rsidR="00FA575F">
        <w:rPr>
          <w:rFonts w:eastAsiaTheme="minorHAnsi"/>
          <w:noProof/>
          <w:lang w:eastAsia="en-GB"/>
        </w:rPr>
        <w:fldChar w:fldCharType="begin"/>
      </w:r>
      <w:r w:rsidR="00FA575F">
        <w:rPr>
          <w:rFonts w:eastAsiaTheme="minorHAnsi"/>
          <w:noProof/>
          <w:lang w:eastAsia="en-GB"/>
        </w:rPr>
        <w:instrText xml:space="preserve"> INCLUDEPICTURE  "Y:\\STD_MGT\\STDDEL\\PRODUCTION\\Standards\\00250\\269\\41_e_dr\\9_003a.tif" \* MERGEFORMATINET </w:instrText>
      </w:r>
      <w:r w:rsidR="00FA575F">
        <w:rPr>
          <w:rFonts w:eastAsiaTheme="minorHAnsi"/>
          <w:noProof/>
          <w:lang w:eastAsia="en-GB"/>
        </w:rPr>
        <w:fldChar w:fldCharType="separate"/>
      </w:r>
      <w:r w:rsidR="00C54E80">
        <w:rPr>
          <w:rFonts w:eastAsiaTheme="minorHAnsi"/>
          <w:noProof/>
          <w:lang w:eastAsia="en-GB"/>
        </w:rPr>
        <w:fldChar w:fldCharType="begin"/>
      </w:r>
      <w:r w:rsidR="00C54E80">
        <w:rPr>
          <w:rFonts w:eastAsiaTheme="minorHAnsi"/>
          <w:noProof/>
          <w:lang w:eastAsia="en-GB"/>
        </w:rPr>
        <w:instrText xml:space="preserve"> INCLUDEPICTURE  "Y:\\STD_MGT\\STDDEL\\PRODUCTION\\Standards\\00250\\269\\41_e_dr\\9_003a.tif" \* MERGEFORMATINET </w:instrText>
      </w:r>
      <w:r w:rsidR="00C54E80">
        <w:rPr>
          <w:rFonts w:eastAsiaTheme="minorHAnsi"/>
          <w:noProof/>
          <w:lang w:eastAsia="en-GB"/>
        </w:rPr>
        <w:fldChar w:fldCharType="separate"/>
      </w:r>
      <w:r w:rsidR="004B62E7">
        <w:rPr>
          <w:rFonts w:eastAsiaTheme="minorHAnsi"/>
          <w:noProof/>
          <w:lang w:eastAsia="en-GB"/>
        </w:rPr>
        <w:fldChar w:fldCharType="begin"/>
      </w:r>
      <w:r w:rsidR="004B62E7">
        <w:rPr>
          <w:rFonts w:eastAsiaTheme="minorHAnsi"/>
          <w:noProof/>
          <w:lang w:eastAsia="en-GB"/>
        </w:rPr>
        <w:instrText xml:space="preserve"> INCLUDEPICTURE  "Y:\\STD_MGT\\STDDEL\\PRODUCTION\\Standards\\00250\\269\\41_e_dr\\9_003a.tif" \* MERGEFORMATINET </w:instrText>
      </w:r>
      <w:r w:rsidR="004B62E7">
        <w:rPr>
          <w:rFonts w:eastAsiaTheme="minorHAnsi"/>
          <w:noProof/>
          <w:lang w:eastAsia="en-GB"/>
        </w:rPr>
        <w:fldChar w:fldCharType="separate"/>
      </w:r>
      <w:r w:rsidR="00B078F1">
        <w:rPr>
          <w:rFonts w:eastAsiaTheme="minorHAnsi"/>
          <w:noProof/>
          <w:lang w:eastAsia="en-GB"/>
        </w:rPr>
        <w:fldChar w:fldCharType="begin"/>
      </w:r>
      <w:r w:rsidR="00B078F1">
        <w:rPr>
          <w:rFonts w:eastAsiaTheme="minorHAnsi"/>
          <w:noProof/>
          <w:lang w:eastAsia="en-GB"/>
        </w:rPr>
        <w:instrText xml:space="preserve"> INCLUDEPICTURE  "Y:\\STD_MGT\\STDDEL\\PRODUCTION\\Standards\\00250\\269\\41_e_dr\\9_003a.tif" \* MERGEFORMATINET </w:instrText>
      </w:r>
      <w:r w:rsidR="00B078F1">
        <w:rPr>
          <w:rFonts w:eastAsiaTheme="minorHAnsi"/>
          <w:noProof/>
          <w:lang w:eastAsia="en-GB"/>
        </w:rPr>
        <w:fldChar w:fldCharType="separate"/>
      </w:r>
      <w:r w:rsidR="000250B6">
        <w:rPr>
          <w:rFonts w:eastAsiaTheme="minorHAnsi"/>
          <w:noProof/>
          <w:lang w:eastAsia="en-GB"/>
        </w:rPr>
        <w:fldChar w:fldCharType="begin"/>
      </w:r>
      <w:r w:rsidR="000250B6">
        <w:rPr>
          <w:rFonts w:eastAsiaTheme="minorHAnsi"/>
          <w:noProof/>
          <w:lang w:eastAsia="en-GB"/>
        </w:rPr>
        <w:instrText xml:space="preserve"> INCLUDEPICTURE  "Y:\\STD_MGT\\STDDEL\\PRODUCTION\\Standards\\00250\\269\\41_e_dr\\9_003a.tif" \* MERGEFORMATINET </w:instrText>
      </w:r>
      <w:r w:rsidR="000250B6">
        <w:rPr>
          <w:rFonts w:eastAsiaTheme="minorHAnsi"/>
          <w:noProof/>
          <w:lang w:eastAsia="en-GB"/>
        </w:rPr>
        <w:fldChar w:fldCharType="separate"/>
      </w:r>
      <w:r w:rsidR="00231E33">
        <w:rPr>
          <w:rFonts w:eastAsiaTheme="minorHAnsi"/>
          <w:noProof/>
          <w:lang w:eastAsia="en-GB"/>
        </w:rPr>
        <w:fldChar w:fldCharType="begin"/>
      </w:r>
      <w:r w:rsidR="00231E33">
        <w:rPr>
          <w:rFonts w:eastAsiaTheme="minorHAnsi"/>
          <w:noProof/>
          <w:lang w:eastAsia="en-GB"/>
        </w:rPr>
        <w:instrText xml:space="preserve"> </w:instrText>
      </w:r>
      <w:r w:rsidR="00231E33">
        <w:rPr>
          <w:rFonts w:eastAsiaTheme="minorHAnsi"/>
          <w:noProof/>
          <w:lang w:eastAsia="en-GB"/>
        </w:rPr>
        <w:instrText>INCLUDEPICTURE  "C:\\Users\\a.dionysiou\\AppData\\Local\\Temp\\Temp1_00250269_e_20210902.zip.zip\\41_e_dr\\9_003a.tif" \* MERGEFORMATINET</w:instrText>
      </w:r>
      <w:r w:rsidR="00231E33">
        <w:rPr>
          <w:rFonts w:eastAsiaTheme="minorHAnsi"/>
          <w:noProof/>
          <w:lang w:eastAsia="en-GB"/>
        </w:rPr>
        <w:instrText xml:space="preserve"> </w:instrText>
      </w:r>
      <w:r w:rsidR="00231E33">
        <w:rPr>
          <w:rFonts w:eastAsiaTheme="minorHAnsi"/>
          <w:noProof/>
          <w:lang w:eastAsia="en-GB"/>
        </w:rPr>
        <w:fldChar w:fldCharType="separate"/>
      </w:r>
      <w:r w:rsidR="00231E33">
        <w:rPr>
          <w:rFonts w:eastAsiaTheme="minorHAnsi"/>
          <w:noProof/>
          <w:lang w:eastAsia="en-GB"/>
        </w:rPr>
        <w:pict w14:anchorId="550CF510">
          <v:shape id="_x0000_i1213" type="#_x0000_t75" style="width:324pt;height:43.5pt">
            <v:imagedata r:id="rId396" r:href="rId397"/>
          </v:shape>
        </w:pict>
      </w:r>
      <w:r w:rsidR="00231E33">
        <w:rPr>
          <w:rFonts w:eastAsiaTheme="minorHAnsi"/>
          <w:noProof/>
          <w:lang w:eastAsia="en-GB"/>
        </w:rPr>
        <w:fldChar w:fldCharType="end"/>
      </w:r>
      <w:r w:rsidR="000250B6">
        <w:rPr>
          <w:rFonts w:eastAsiaTheme="minorHAnsi"/>
          <w:noProof/>
          <w:lang w:eastAsia="en-GB"/>
        </w:rPr>
        <w:fldChar w:fldCharType="end"/>
      </w:r>
      <w:r w:rsidR="00B078F1">
        <w:rPr>
          <w:rFonts w:eastAsiaTheme="minorHAnsi"/>
          <w:noProof/>
          <w:lang w:eastAsia="en-GB"/>
        </w:rPr>
        <w:fldChar w:fldCharType="end"/>
      </w:r>
      <w:r w:rsidR="004B62E7">
        <w:rPr>
          <w:rFonts w:eastAsiaTheme="minorHAnsi"/>
          <w:noProof/>
          <w:lang w:eastAsia="en-GB"/>
        </w:rPr>
        <w:fldChar w:fldCharType="end"/>
      </w:r>
      <w:r w:rsidR="00C54E80">
        <w:rPr>
          <w:rFonts w:eastAsiaTheme="minorHAnsi"/>
          <w:noProof/>
          <w:lang w:eastAsia="en-GB"/>
        </w:rPr>
        <w:fldChar w:fldCharType="end"/>
      </w:r>
      <w:r w:rsidR="00FA575F">
        <w:rPr>
          <w:rFonts w:eastAsiaTheme="minorHAnsi"/>
          <w:noProof/>
          <w:lang w:eastAsia="en-GB"/>
        </w:rPr>
        <w:fldChar w:fldCharType="end"/>
      </w:r>
      <w:r>
        <w:rPr>
          <w:rFonts w:eastAsiaTheme="minorHAnsi"/>
          <w:noProof/>
          <w:lang w:eastAsia="en-GB"/>
        </w:rPr>
        <w:fldChar w:fldCharType="end"/>
      </w:r>
    </w:p>
    <w:p w14:paraId="4B284D83" w14:textId="77777777" w:rsidR="004E22C1" w:rsidRPr="009D3012" w:rsidRDefault="004E22C1" w:rsidP="006724C7">
      <w:pPr>
        <w:pStyle w:val="FigureText"/>
      </w:pPr>
      <w:r w:rsidRPr="009D3012">
        <w:t>a) Element restrained at an edge (e.g. jointless wall) — only first crack is represented</w:t>
      </w:r>
    </w:p>
    <w:p w14:paraId="6F5974F6" w14:textId="2BE75436" w:rsidR="003778BD" w:rsidRDefault="00723CF7" w:rsidP="003F0CF8">
      <w:pPr>
        <w:pStyle w:val="FigureText"/>
        <w:jc w:val="center"/>
        <w:rPr>
          <w:rFonts w:eastAsiaTheme="minorHAnsi"/>
        </w:rPr>
      </w:pPr>
      <w:r>
        <w:rPr>
          <w:rFonts w:eastAsiaTheme="minorHAnsi"/>
          <w:noProof/>
          <w:lang w:eastAsia="en-GB"/>
        </w:rPr>
        <w:fldChar w:fldCharType="begin"/>
      </w:r>
      <w:r>
        <w:rPr>
          <w:rFonts w:eastAsiaTheme="minorHAnsi"/>
          <w:noProof/>
          <w:lang w:eastAsia="en-GB"/>
        </w:rPr>
        <w:instrText xml:space="preserve"> INCLUDEPICTURE  "Y:\\STD_MGT\\STDDEL\\PRODUCTION\\etrans\\Download\\Z_FIRST_DEL\\SV\\00250\\00250269\\41_e_dr\\9_003b.tif" \* MERGEFORMATINET </w:instrText>
      </w:r>
      <w:r>
        <w:rPr>
          <w:rFonts w:eastAsiaTheme="minorHAnsi"/>
          <w:noProof/>
          <w:lang w:eastAsia="en-GB"/>
        </w:rPr>
        <w:fldChar w:fldCharType="separate"/>
      </w:r>
      <w:r w:rsidR="00FA575F">
        <w:rPr>
          <w:rFonts w:eastAsiaTheme="minorHAnsi"/>
          <w:noProof/>
          <w:lang w:eastAsia="en-GB"/>
        </w:rPr>
        <w:fldChar w:fldCharType="begin"/>
      </w:r>
      <w:r w:rsidR="00FA575F">
        <w:rPr>
          <w:rFonts w:eastAsiaTheme="minorHAnsi"/>
          <w:noProof/>
          <w:lang w:eastAsia="en-GB"/>
        </w:rPr>
        <w:instrText xml:space="preserve"> INCLUDEPICTURE  "Y:\\STD_MGT\\STDDEL\\PRODUCTION\\Standards\\00250\\269\\41_e_dr\\9_003b.tif" \* MERGEFORMATINET </w:instrText>
      </w:r>
      <w:r w:rsidR="00FA575F">
        <w:rPr>
          <w:rFonts w:eastAsiaTheme="minorHAnsi"/>
          <w:noProof/>
          <w:lang w:eastAsia="en-GB"/>
        </w:rPr>
        <w:fldChar w:fldCharType="separate"/>
      </w:r>
      <w:r w:rsidR="00C54E80">
        <w:rPr>
          <w:rFonts w:eastAsiaTheme="minorHAnsi"/>
          <w:noProof/>
          <w:lang w:eastAsia="en-GB"/>
        </w:rPr>
        <w:fldChar w:fldCharType="begin"/>
      </w:r>
      <w:r w:rsidR="00C54E80">
        <w:rPr>
          <w:rFonts w:eastAsiaTheme="minorHAnsi"/>
          <w:noProof/>
          <w:lang w:eastAsia="en-GB"/>
        </w:rPr>
        <w:instrText xml:space="preserve"> INCLUDEPICTURE  "Y:\\STD_MGT\\STDDEL\\PRODUCTION\\Standards\\00250\\269\\41_e_dr\\9_003b.tif" \* MERGEFORMATINET </w:instrText>
      </w:r>
      <w:r w:rsidR="00C54E80">
        <w:rPr>
          <w:rFonts w:eastAsiaTheme="minorHAnsi"/>
          <w:noProof/>
          <w:lang w:eastAsia="en-GB"/>
        </w:rPr>
        <w:fldChar w:fldCharType="separate"/>
      </w:r>
      <w:r w:rsidR="004B62E7">
        <w:rPr>
          <w:rFonts w:eastAsiaTheme="minorHAnsi"/>
          <w:noProof/>
          <w:lang w:eastAsia="en-GB"/>
        </w:rPr>
        <w:fldChar w:fldCharType="begin"/>
      </w:r>
      <w:r w:rsidR="004B62E7">
        <w:rPr>
          <w:rFonts w:eastAsiaTheme="minorHAnsi"/>
          <w:noProof/>
          <w:lang w:eastAsia="en-GB"/>
        </w:rPr>
        <w:instrText xml:space="preserve"> INCLUDEPICTURE  "Y:\\STD_MGT\\STDDEL\\PRODUCTION\\Standards\\00250\\269\\41_e_dr\\9_003b.tif" \* MERGEFORMATINET </w:instrText>
      </w:r>
      <w:r w:rsidR="004B62E7">
        <w:rPr>
          <w:rFonts w:eastAsiaTheme="minorHAnsi"/>
          <w:noProof/>
          <w:lang w:eastAsia="en-GB"/>
        </w:rPr>
        <w:fldChar w:fldCharType="separate"/>
      </w:r>
      <w:r w:rsidR="00B078F1">
        <w:rPr>
          <w:rFonts w:eastAsiaTheme="minorHAnsi"/>
          <w:noProof/>
          <w:lang w:eastAsia="en-GB"/>
        </w:rPr>
        <w:fldChar w:fldCharType="begin"/>
      </w:r>
      <w:r w:rsidR="00B078F1">
        <w:rPr>
          <w:rFonts w:eastAsiaTheme="minorHAnsi"/>
          <w:noProof/>
          <w:lang w:eastAsia="en-GB"/>
        </w:rPr>
        <w:instrText xml:space="preserve"> INCLUDEPICTURE  "Y:\\STD_MGT\\STDDEL\\PRODUCTION\\Standards\\00250\\269\\41_e_dr\\9_003b.tif" \* MERGEFORMATINET </w:instrText>
      </w:r>
      <w:r w:rsidR="00B078F1">
        <w:rPr>
          <w:rFonts w:eastAsiaTheme="minorHAnsi"/>
          <w:noProof/>
          <w:lang w:eastAsia="en-GB"/>
        </w:rPr>
        <w:fldChar w:fldCharType="separate"/>
      </w:r>
      <w:r w:rsidR="000250B6">
        <w:rPr>
          <w:rFonts w:eastAsiaTheme="minorHAnsi"/>
          <w:noProof/>
          <w:lang w:eastAsia="en-GB"/>
        </w:rPr>
        <w:fldChar w:fldCharType="begin"/>
      </w:r>
      <w:r w:rsidR="000250B6">
        <w:rPr>
          <w:rFonts w:eastAsiaTheme="minorHAnsi"/>
          <w:noProof/>
          <w:lang w:eastAsia="en-GB"/>
        </w:rPr>
        <w:instrText xml:space="preserve"> INCLUDEPICTURE  "Y:\\STD_MGT\\STDDEL\\PRODUCTION\\Standards\\00250\\269\\41_e_dr\\9_003b.tif" \* MERGEFORMATINET </w:instrText>
      </w:r>
      <w:r w:rsidR="000250B6">
        <w:rPr>
          <w:rFonts w:eastAsiaTheme="minorHAnsi"/>
          <w:noProof/>
          <w:lang w:eastAsia="en-GB"/>
        </w:rPr>
        <w:fldChar w:fldCharType="separate"/>
      </w:r>
      <w:r w:rsidR="00231E33">
        <w:rPr>
          <w:rFonts w:eastAsiaTheme="minorHAnsi"/>
          <w:noProof/>
          <w:lang w:eastAsia="en-GB"/>
        </w:rPr>
        <w:fldChar w:fldCharType="begin"/>
      </w:r>
      <w:r w:rsidR="00231E33">
        <w:rPr>
          <w:rFonts w:eastAsiaTheme="minorHAnsi"/>
          <w:noProof/>
          <w:lang w:eastAsia="en-GB"/>
        </w:rPr>
        <w:instrText xml:space="preserve"> </w:instrText>
      </w:r>
      <w:r w:rsidR="00231E33">
        <w:rPr>
          <w:rFonts w:eastAsiaTheme="minorHAnsi"/>
          <w:noProof/>
          <w:lang w:eastAsia="en-GB"/>
        </w:rPr>
        <w:instrText>INCLUDEPICTURE  "C:\\Users\\a.dionysiou\\AppData\\Local\\Temp\\Temp1_00250269_e_20210902.zip.zip\\41_e_dr\\9_003b.tif" \* MERGEFORMATINET</w:instrText>
      </w:r>
      <w:r w:rsidR="00231E33">
        <w:rPr>
          <w:rFonts w:eastAsiaTheme="minorHAnsi"/>
          <w:noProof/>
          <w:lang w:eastAsia="en-GB"/>
        </w:rPr>
        <w:instrText xml:space="preserve"> </w:instrText>
      </w:r>
      <w:r w:rsidR="00231E33">
        <w:rPr>
          <w:rFonts w:eastAsiaTheme="minorHAnsi"/>
          <w:noProof/>
          <w:lang w:eastAsia="en-GB"/>
        </w:rPr>
        <w:fldChar w:fldCharType="separate"/>
      </w:r>
      <w:r w:rsidR="00231E33">
        <w:rPr>
          <w:rFonts w:eastAsiaTheme="minorHAnsi"/>
          <w:noProof/>
          <w:lang w:eastAsia="en-GB"/>
        </w:rPr>
        <w:pict w14:anchorId="6D2243B9">
          <v:shape id="_x0000_i1214" type="#_x0000_t75" style="width:324pt;height:43.5pt">
            <v:imagedata r:id="rId398" r:href="rId399"/>
          </v:shape>
        </w:pict>
      </w:r>
      <w:r w:rsidR="00231E33">
        <w:rPr>
          <w:rFonts w:eastAsiaTheme="minorHAnsi"/>
          <w:noProof/>
          <w:lang w:eastAsia="en-GB"/>
        </w:rPr>
        <w:fldChar w:fldCharType="end"/>
      </w:r>
      <w:r w:rsidR="000250B6">
        <w:rPr>
          <w:rFonts w:eastAsiaTheme="minorHAnsi"/>
          <w:noProof/>
          <w:lang w:eastAsia="en-GB"/>
        </w:rPr>
        <w:fldChar w:fldCharType="end"/>
      </w:r>
      <w:r w:rsidR="00B078F1">
        <w:rPr>
          <w:rFonts w:eastAsiaTheme="minorHAnsi"/>
          <w:noProof/>
          <w:lang w:eastAsia="en-GB"/>
        </w:rPr>
        <w:fldChar w:fldCharType="end"/>
      </w:r>
      <w:r w:rsidR="004B62E7">
        <w:rPr>
          <w:rFonts w:eastAsiaTheme="minorHAnsi"/>
          <w:noProof/>
          <w:lang w:eastAsia="en-GB"/>
        </w:rPr>
        <w:fldChar w:fldCharType="end"/>
      </w:r>
      <w:r w:rsidR="00C54E80">
        <w:rPr>
          <w:rFonts w:eastAsiaTheme="minorHAnsi"/>
          <w:noProof/>
          <w:lang w:eastAsia="en-GB"/>
        </w:rPr>
        <w:fldChar w:fldCharType="end"/>
      </w:r>
      <w:r w:rsidR="00FA575F">
        <w:rPr>
          <w:rFonts w:eastAsiaTheme="minorHAnsi"/>
          <w:noProof/>
          <w:lang w:eastAsia="en-GB"/>
        </w:rPr>
        <w:fldChar w:fldCharType="end"/>
      </w:r>
      <w:r>
        <w:rPr>
          <w:rFonts w:eastAsiaTheme="minorHAnsi"/>
          <w:noProof/>
          <w:lang w:eastAsia="en-GB"/>
        </w:rPr>
        <w:fldChar w:fldCharType="end"/>
      </w:r>
    </w:p>
    <w:p w14:paraId="00D7188C" w14:textId="77777777" w:rsidR="004E22C1" w:rsidRPr="009D3012" w:rsidRDefault="004E22C1" w:rsidP="003F0CF8">
      <w:pPr>
        <w:pStyle w:val="FigureText"/>
        <w:jc w:val="center"/>
      </w:pPr>
      <w:r w:rsidRPr="009D3012">
        <w:t>b) Element restrained at the ends (typical tie) — only first crack is represented</w:t>
      </w:r>
    </w:p>
    <w:p w14:paraId="7C015E1C" w14:textId="7B3EBA02" w:rsidR="003778BD" w:rsidRDefault="00723CF7" w:rsidP="003F0CF8">
      <w:pPr>
        <w:pStyle w:val="FigureText"/>
        <w:jc w:val="center"/>
        <w:rPr>
          <w:rFonts w:eastAsiaTheme="minorHAnsi"/>
        </w:rPr>
      </w:pPr>
      <w:r>
        <w:rPr>
          <w:rFonts w:eastAsiaTheme="minorHAnsi"/>
          <w:noProof/>
          <w:lang w:eastAsia="en-GB"/>
        </w:rPr>
        <w:fldChar w:fldCharType="begin"/>
      </w:r>
      <w:r>
        <w:rPr>
          <w:rFonts w:eastAsiaTheme="minorHAnsi"/>
          <w:noProof/>
          <w:lang w:eastAsia="en-GB"/>
        </w:rPr>
        <w:instrText xml:space="preserve"> INCLUDEPICTURE  "Y:\\STD_MGT\\STDDEL\\PRODUCTION\\etrans\\Download\\Z_FIRST_DEL\\SV\\00250\\00250269\\41_e_dr\\9_003c.tif" \* MERGEFORMATINET </w:instrText>
      </w:r>
      <w:r>
        <w:rPr>
          <w:rFonts w:eastAsiaTheme="minorHAnsi"/>
          <w:noProof/>
          <w:lang w:eastAsia="en-GB"/>
        </w:rPr>
        <w:fldChar w:fldCharType="separate"/>
      </w:r>
      <w:r w:rsidR="00FA575F">
        <w:rPr>
          <w:rFonts w:eastAsiaTheme="minorHAnsi"/>
          <w:noProof/>
          <w:lang w:eastAsia="en-GB"/>
        </w:rPr>
        <w:fldChar w:fldCharType="begin"/>
      </w:r>
      <w:r w:rsidR="00FA575F">
        <w:rPr>
          <w:rFonts w:eastAsiaTheme="minorHAnsi"/>
          <w:noProof/>
          <w:lang w:eastAsia="en-GB"/>
        </w:rPr>
        <w:instrText xml:space="preserve"> INCLUDEPICTURE  "Y:\\STD_MGT\\STDDEL\\PRODUCTION\\Standards\\00250\\269\\41_e_dr\\9_003c.tif" \* MERGEFORMATINET </w:instrText>
      </w:r>
      <w:r w:rsidR="00FA575F">
        <w:rPr>
          <w:rFonts w:eastAsiaTheme="minorHAnsi"/>
          <w:noProof/>
          <w:lang w:eastAsia="en-GB"/>
        </w:rPr>
        <w:fldChar w:fldCharType="separate"/>
      </w:r>
      <w:r w:rsidR="00C54E80">
        <w:rPr>
          <w:rFonts w:eastAsiaTheme="minorHAnsi"/>
          <w:noProof/>
          <w:lang w:eastAsia="en-GB"/>
        </w:rPr>
        <w:fldChar w:fldCharType="begin"/>
      </w:r>
      <w:r w:rsidR="00C54E80">
        <w:rPr>
          <w:rFonts w:eastAsiaTheme="minorHAnsi"/>
          <w:noProof/>
          <w:lang w:eastAsia="en-GB"/>
        </w:rPr>
        <w:instrText xml:space="preserve"> INCLUDEPICTURE  "Y:\\STD_MGT\\STDDEL\\PRODUCTION\\Standards\\00250\\269\\41_e_dr\\9_003c.tif" \* MERGEFORMATINET </w:instrText>
      </w:r>
      <w:r w:rsidR="00C54E80">
        <w:rPr>
          <w:rFonts w:eastAsiaTheme="minorHAnsi"/>
          <w:noProof/>
          <w:lang w:eastAsia="en-GB"/>
        </w:rPr>
        <w:fldChar w:fldCharType="separate"/>
      </w:r>
      <w:r w:rsidR="004B62E7">
        <w:rPr>
          <w:rFonts w:eastAsiaTheme="minorHAnsi"/>
          <w:noProof/>
          <w:lang w:eastAsia="en-GB"/>
        </w:rPr>
        <w:fldChar w:fldCharType="begin"/>
      </w:r>
      <w:r w:rsidR="004B62E7">
        <w:rPr>
          <w:rFonts w:eastAsiaTheme="minorHAnsi"/>
          <w:noProof/>
          <w:lang w:eastAsia="en-GB"/>
        </w:rPr>
        <w:instrText xml:space="preserve"> INCLUDEPICTURE  "Y:\\STD_MGT\\STDDEL\\PRODUCTION\\Standards\\00250\\269\\41_e_dr\\9_003c.tif" \* MERGEFORMATINET </w:instrText>
      </w:r>
      <w:r w:rsidR="004B62E7">
        <w:rPr>
          <w:rFonts w:eastAsiaTheme="minorHAnsi"/>
          <w:noProof/>
          <w:lang w:eastAsia="en-GB"/>
        </w:rPr>
        <w:fldChar w:fldCharType="separate"/>
      </w:r>
      <w:r w:rsidR="00B078F1">
        <w:rPr>
          <w:rFonts w:eastAsiaTheme="minorHAnsi"/>
          <w:noProof/>
          <w:lang w:eastAsia="en-GB"/>
        </w:rPr>
        <w:fldChar w:fldCharType="begin"/>
      </w:r>
      <w:r w:rsidR="00B078F1">
        <w:rPr>
          <w:rFonts w:eastAsiaTheme="minorHAnsi"/>
          <w:noProof/>
          <w:lang w:eastAsia="en-GB"/>
        </w:rPr>
        <w:instrText xml:space="preserve"> INCLUDEPICTURE  "Y:\\STD_MGT\\STDDEL\\PRODUCTION\\Standards\\00250\\269\\41_e_dr\\9_003c.tif" \* MERGEFORMATINET </w:instrText>
      </w:r>
      <w:r w:rsidR="00B078F1">
        <w:rPr>
          <w:rFonts w:eastAsiaTheme="minorHAnsi"/>
          <w:noProof/>
          <w:lang w:eastAsia="en-GB"/>
        </w:rPr>
        <w:fldChar w:fldCharType="separate"/>
      </w:r>
      <w:r w:rsidR="000250B6">
        <w:rPr>
          <w:rFonts w:eastAsiaTheme="minorHAnsi"/>
          <w:noProof/>
          <w:lang w:eastAsia="en-GB"/>
        </w:rPr>
        <w:fldChar w:fldCharType="begin"/>
      </w:r>
      <w:r w:rsidR="000250B6">
        <w:rPr>
          <w:rFonts w:eastAsiaTheme="minorHAnsi"/>
          <w:noProof/>
          <w:lang w:eastAsia="en-GB"/>
        </w:rPr>
        <w:instrText xml:space="preserve"> INCLUDEPICTURE  "Y:\\STD_MGT\\STDDEL\\PRODUCTION\\Standards\\00250\\269\\41_e_dr\\9_003c.tif" \* MERGEFORMATINET </w:instrText>
      </w:r>
      <w:r w:rsidR="000250B6">
        <w:rPr>
          <w:rFonts w:eastAsiaTheme="minorHAnsi"/>
          <w:noProof/>
          <w:lang w:eastAsia="en-GB"/>
        </w:rPr>
        <w:fldChar w:fldCharType="separate"/>
      </w:r>
      <w:r w:rsidR="00231E33">
        <w:rPr>
          <w:rFonts w:eastAsiaTheme="minorHAnsi"/>
          <w:noProof/>
          <w:lang w:eastAsia="en-GB"/>
        </w:rPr>
        <w:fldChar w:fldCharType="begin"/>
      </w:r>
      <w:r w:rsidR="00231E33">
        <w:rPr>
          <w:rFonts w:eastAsiaTheme="minorHAnsi"/>
          <w:noProof/>
          <w:lang w:eastAsia="en-GB"/>
        </w:rPr>
        <w:instrText xml:space="preserve"> </w:instrText>
      </w:r>
      <w:r w:rsidR="00231E33">
        <w:rPr>
          <w:rFonts w:eastAsiaTheme="minorHAnsi"/>
          <w:noProof/>
          <w:lang w:eastAsia="en-GB"/>
        </w:rPr>
        <w:instrText>INCLUDEPICTURE  "C:\\Users\\a.dionysiou\\AppData\\Local\\Temp\\Temp1_00250269_e_20210902.zip.zip\\41_e_dr\\9_003c.tif" \* MERGEFORMATINET</w:instrText>
      </w:r>
      <w:r w:rsidR="00231E33">
        <w:rPr>
          <w:rFonts w:eastAsiaTheme="minorHAnsi"/>
          <w:noProof/>
          <w:lang w:eastAsia="en-GB"/>
        </w:rPr>
        <w:instrText xml:space="preserve"> </w:instrText>
      </w:r>
      <w:r w:rsidR="00231E33">
        <w:rPr>
          <w:rFonts w:eastAsiaTheme="minorHAnsi"/>
          <w:noProof/>
          <w:lang w:eastAsia="en-GB"/>
        </w:rPr>
        <w:fldChar w:fldCharType="separate"/>
      </w:r>
      <w:r w:rsidR="00231E33">
        <w:rPr>
          <w:rFonts w:eastAsiaTheme="minorHAnsi"/>
          <w:noProof/>
          <w:lang w:eastAsia="en-GB"/>
        </w:rPr>
        <w:pict w14:anchorId="568CF309">
          <v:shape id="_x0000_i1215" type="#_x0000_t75" style="width:141pt;height:135pt">
            <v:imagedata r:id="rId400" r:href="rId401"/>
          </v:shape>
        </w:pict>
      </w:r>
      <w:r w:rsidR="00231E33">
        <w:rPr>
          <w:rFonts w:eastAsiaTheme="minorHAnsi"/>
          <w:noProof/>
          <w:lang w:eastAsia="en-GB"/>
        </w:rPr>
        <w:fldChar w:fldCharType="end"/>
      </w:r>
      <w:r w:rsidR="000250B6">
        <w:rPr>
          <w:rFonts w:eastAsiaTheme="minorHAnsi"/>
          <w:noProof/>
          <w:lang w:eastAsia="en-GB"/>
        </w:rPr>
        <w:fldChar w:fldCharType="end"/>
      </w:r>
      <w:r w:rsidR="00B078F1">
        <w:rPr>
          <w:rFonts w:eastAsiaTheme="minorHAnsi"/>
          <w:noProof/>
          <w:lang w:eastAsia="en-GB"/>
        </w:rPr>
        <w:fldChar w:fldCharType="end"/>
      </w:r>
      <w:r w:rsidR="004B62E7">
        <w:rPr>
          <w:rFonts w:eastAsiaTheme="minorHAnsi"/>
          <w:noProof/>
          <w:lang w:eastAsia="en-GB"/>
        </w:rPr>
        <w:fldChar w:fldCharType="end"/>
      </w:r>
      <w:r w:rsidR="00C54E80">
        <w:rPr>
          <w:rFonts w:eastAsiaTheme="minorHAnsi"/>
          <w:noProof/>
          <w:lang w:eastAsia="en-GB"/>
        </w:rPr>
        <w:fldChar w:fldCharType="end"/>
      </w:r>
      <w:r w:rsidR="00FA575F">
        <w:rPr>
          <w:rFonts w:eastAsiaTheme="minorHAnsi"/>
          <w:noProof/>
          <w:lang w:eastAsia="en-GB"/>
        </w:rPr>
        <w:fldChar w:fldCharType="end"/>
      </w:r>
      <w:r>
        <w:rPr>
          <w:rFonts w:eastAsiaTheme="minorHAnsi"/>
          <w:noProof/>
          <w:lang w:eastAsia="en-GB"/>
        </w:rPr>
        <w:fldChar w:fldCharType="end"/>
      </w:r>
    </w:p>
    <w:p w14:paraId="549E3916" w14:textId="65314925" w:rsidR="004E22C1" w:rsidRPr="001455DC" w:rsidRDefault="004E22C1" w:rsidP="003F0CF8">
      <w:pPr>
        <w:pStyle w:val="FigureText"/>
        <w:jc w:val="left"/>
      </w:pPr>
      <w:r w:rsidRPr="001455DC">
        <w:t xml:space="preserve">If </w:t>
      </w:r>
      <w:r w:rsidRPr="001455DC">
        <w:rPr>
          <w:rStyle w:val="CCMCvariableitalic"/>
        </w:rPr>
        <w:t>z</w:t>
      </w:r>
      <w:r w:rsidRPr="001455DC">
        <w:t> </w:t>
      </w:r>
      <w:r w:rsidR="00650035" w:rsidRPr="001455DC">
        <w:rPr>
          <w:rFonts w:ascii="Cambria Math" w:hAnsi="Cambria Math"/>
        </w:rPr>
        <w:t>&gt;</w:t>
      </w:r>
      <w:r w:rsidR="00073FC6" w:rsidRPr="001455DC">
        <w:t> </w:t>
      </w:r>
      <w:r w:rsidRPr="001455DC">
        <w:rPr>
          <w:rStyle w:val="CCMCvariableitalic"/>
        </w:rPr>
        <w:t>L</w:t>
      </w:r>
      <w:r w:rsidRPr="001455DC">
        <w:t>/2, apply formulation for end restraint (Formula (9.13))</w:t>
      </w:r>
    </w:p>
    <w:p w14:paraId="5500DF8D" w14:textId="14489CB0" w:rsidR="004E22C1" w:rsidRPr="001455DC" w:rsidRDefault="004E22C1" w:rsidP="003F0CF8">
      <w:pPr>
        <w:pStyle w:val="FigureText"/>
        <w:jc w:val="left"/>
      </w:pPr>
      <w:r w:rsidRPr="001455DC">
        <w:t xml:space="preserve">If </w:t>
      </w:r>
      <w:r w:rsidRPr="001455DC">
        <w:rPr>
          <w:rStyle w:val="CCMCvariableitalic"/>
        </w:rPr>
        <w:t>z</w:t>
      </w:r>
      <w:r w:rsidRPr="001455DC">
        <w:t> </w:t>
      </w:r>
      <w:r w:rsidR="00650035" w:rsidRPr="001455DC">
        <w:rPr>
          <w:rFonts w:ascii="Cambria Math" w:hAnsi="Cambria Math"/>
        </w:rPr>
        <w:t>≤</w:t>
      </w:r>
      <w:r w:rsidRPr="001455DC">
        <w:t> </w:t>
      </w:r>
      <w:r w:rsidRPr="001455DC">
        <w:rPr>
          <w:rStyle w:val="CCMCvariableitalic"/>
        </w:rPr>
        <w:t>L</w:t>
      </w:r>
      <w:r w:rsidRPr="001455DC">
        <w:t>/2, apply formulation for edge restraint (Formula (9.17))</w:t>
      </w:r>
    </w:p>
    <w:p w14:paraId="1D8D06E8" w14:textId="77777777" w:rsidR="004E22C1" w:rsidRPr="009D3012" w:rsidRDefault="004E22C1" w:rsidP="003F0CF8">
      <w:pPr>
        <w:pStyle w:val="FigureText"/>
        <w:jc w:val="center"/>
      </w:pPr>
      <w:r w:rsidRPr="009D3012">
        <w:t>c) Element restrained at edge and ends (e.g. wall grid) — only first crack is represented</w:t>
      </w:r>
    </w:p>
    <w:p w14:paraId="41AF13E5" w14:textId="77777777" w:rsidR="006724C7" w:rsidRPr="001455DC" w:rsidRDefault="006724C7" w:rsidP="006724C7">
      <w:pPr>
        <w:pStyle w:val="KeyTitle"/>
      </w:pPr>
      <w:r w:rsidRPr="001455DC">
        <w:t>Key</w:t>
      </w:r>
    </w:p>
    <w:tbl>
      <w:tblPr>
        <w:tblW w:w="9809" w:type="dxa"/>
        <w:tblLayout w:type="fixed"/>
        <w:tblCellMar>
          <w:left w:w="28" w:type="dxa"/>
          <w:right w:w="28" w:type="dxa"/>
        </w:tblCellMar>
        <w:tblLook w:val="0000" w:firstRow="0" w:lastRow="0" w:firstColumn="0" w:lastColumn="0" w:noHBand="0" w:noVBand="0"/>
      </w:tblPr>
      <w:tblGrid>
        <w:gridCol w:w="397"/>
        <w:gridCol w:w="9412"/>
      </w:tblGrid>
      <w:tr w:rsidR="006724C7" w:rsidRPr="001455DC" w14:paraId="26844FD0" w14:textId="77777777" w:rsidTr="006724C7">
        <w:tc>
          <w:tcPr>
            <w:tcW w:w="397" w:type="dxa"/>
            <w:shd w:val="clear" w:color="auto" w:fill="auto"/>
          </w:tcPr>
          <w:p w14:paraId="2FE20148" w14:textId="2382EC7B" w:rsidR="006724C7" w:rsidRPr="001455DC" w:rsidRDefault="006724C7" w:rsidP="006724C7">
            <w:pPr>
              <w:pStyle w:val="KeyText"/>
              <w:tabs>
                <w:tab w:val="clear" w:pos="346"/>
              </w:tabs>
              <w:ind w:left="0" w:firstLine="0"/>
            </w:pPr>
            <w:r w:rsidRPr="001455DC">
              <w:t>C</w:t>
            </w:r>
          </w:p>
        </w:tc>
        <w:tc>
          <w:tcPr>
            <w:tcW w:w="9412" w:type="dxa"/>
            <w:shd w:val="clear" w:color="auto" w:fill="auto"/>
          </w:tcPr>
          <w:p w14:paraId="0C57FCA7" w14:textId="1DFA8EF7" w:rsidR="006724C7" w:rsidRPr="001455DC" w:rsidRDefault="006724C7" w:rsidP="006724C7">
            <w:pPr>
              <w:pStyle w:val="KeyText"/>
              <w:tabs>
                <w:tab w:val="clear" w:pos="346"/>
              </w:tabs>
              <w:ind w:left="0" w:firstLine="0"/>
            </w:pPr>
            <w:r w:rsidRPr="001455DC">
              <w:rPr>
                <w:rFonts w:eastAsiaTheme="minorHAnsi"/>
              </w:rPr>
              <w:t>area where forces are affected by crack development</w:t>
            </w:r>
          </w:p>
        </w:tc>
      </w:tr>
    </w:tbl>
    <w:p w14:paraId="6179C0C7" w14:textId="77777777" w:rsidR="004E22C1" w:rsidRPr="001455DC" w:rsidRDefault="004E22C1" w:rsidP="006724C7">
      <w:pPr>
        <w:pStyle w:val="Figuretitle"/>
        <w:rPr>
          <w:rFonts w:eastAsiaTheme="minorHAnsi"/>
        </w:rPr>
      </w:pPr>
      <w:r w:rsidRPr="001455DC">
        <w:t>Figure 9.3 — Types of restraint</w:t>
      </w:r>
    </w:p>
    <w:p w14:paraId="16E56A09" w14:textId="77777777" w:rsidR="004E22C1" w:rsidRPr="001455DC" w:rsidRDefault="004E22C1" w:rsidP="006724C7">
      <w:pPr>
        <w:pStyle w:val="a7"/>
      </w:pPr>
      <w:r w:rsidRPr="001455DC">
        <w:t>(5)</w:t>
      </w:r>
      <w:r w:rsidRPr="001455DC">
        <w:tab/>
        <w:t xml:space="preserve">The mean final crack spacing </w:t>
      </w:r>
      <w:r w:rsidRPr="001455DC">
        <w:rPr>
          <w:rStyle w:val="CCMCvariableitalic"/>
        </w:rPr>
        <w:t>s</w:t>
      </w:r>
      <w:r w:rsidRPr="001455DC">
        <w:rPr>
          <w:rStyle w:val="CCMCvariablesubscript"/>
        </w:rPr>
        <w:t>r,m,cal</w:t>
      </w:r>
      <w:r w:rsidRPr="001455DC">
        <w:t xml:space="preserve"> may be calculated as:</w:t>
      </w:r>
    </w:p>
    <w:p w14:paraId="15C89353" w14:textId="355FA85D" w:rsidR="006230AE" w:rsidRPr="001455DC" w:rsidRDefault="004E22C1" w:rsidP="00E844D2">
      <w:pPr>
        <w:pStyle w:val="a7"/>
        <w:keepNext/>
        <w:ind w:left="357" w:hanging="357"/>
      </w:pPr>
      <w:r w:rsidRPr="001455DC">
        <w:t>a)</w:t>
      </w:r>
      <w:r w:rsidR="00120433" w:rsidRPr="001455DC">
        <w:tab/>
      </w:r>
      <w:r w:rsidRPr="001455DC">
        <w:t xml:space="preserve">where spacing of bonded reinforcement in the tension zone is </w:t>
      </w:r>
      <w:r w:rsidRPr="001455DC">
        <w:rPr>
          <w:rStyle w:val="CCMCvariableitalic"/>
        </w:rPr>
        <w:t>s</w:t>
      </w:r>
      <w:r w:rsidRPr="001455DC">
        <w:t> </w:t>
      </w:r>
      <w:r w:rsidR="00650035" w:rsidRPr="001455DC">
        <w:rPr>
          <w:rFonts w:ascii="Cambria Math" w:hAnsi="Cambria Math"/>
        </w:rPr>
        <w:t>≤</w:t>
      </w:r>
      <w:r w:rsidRPr="001455DC">
        <w:t> 10</w:t>
      </w:r>
      <w:r w:rsidRPr="001455DC">
        <w:rPr>
          <w:rStyle w:val="CCMCvariableitalic"/>
        </w:rPr>
        <w:t>ϕ</w:t>
      </w:r>
      <w:r w:rsidRPr="001455DC">
        <w:t>:</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6230AE" w:rsidRPr="001455DC" w14:paraId="47F74B8B" w14:textId="77777777" w:rsidTr="006230AE">
        <w:trPr>
          <w:cantSplit/>
        </w:trPr>
        <w:tc>
          <w:tcPr>
            <w:tcW w:w="8505" w:type="dxa"/>
            <w:vAlign w:val="center"/>
          </w:tcPr>
          <w:p w14:paraId="4AC89A36" w14:textId="7C2D85E8" w:rsidR="006230AE" w:rsidRPr="001455DC" w:rsidRDefault="00231E33" w:rsidP="006230AE">
            <w:pPr>
              <w:pStyle w:val="Formula"/>
              <w:jc w:val="left"/>
            </w:pPr>
            <m:oMathPara>
              <m:oMathParaPr>
                <m:jc m:val="left"/>
              </m:oMathParaPr>
              <m:oMath>
                <m:sSub>
                  <m:sSubPr>
                    <m:ctrlPr>
                      <w:rPr>
                        <w:rFonts w:ascii="Cambria Math" w:hAnsi="Cambria Math"/>
                      </w:rPr>
                    </m:ctrlPr>
                  </m:sSubPr>
                  <m:e>
                    <m:r>
                      <w:rPr>
                        <w:rFonts w:ascii="Cambria Math" w:hAnsi="Cambria Math"/>
                      </w:rPr>
                      <m:t>s</m:t>
                    </m:r>
                  </m:e>
                  <m:sub>
                    <m:r>
                      <m:rPr>
                        <m:sty m:val="p"/>
                      </m:rPr>
                      <w:rPr>
                        <w:rFonts w:ascii="Cambria Math" w:hAnsi="Cambria Math"/>
                      </w:rPr>
                      <m:t>r,m,cal</m:t>
                    </m:r>
                  </m:sub>
                </m:sSub>
                <m:r>
                  <w:rPr>
                    <w:rFonts w:ascii="Cambria Math" w:hAnsi="Cambria Math"/>
                  </w:rPr>
                  <m:t>=1,5⋅c+</m:t>
                </m:r>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rPr>
                          <m:t>fl</m:t>
                        </m:r>
                      </m:sub>
                    </m:sSub>
                    <m: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b</m:t>
                        </m:r>
                      </m:sub>
                    </m:sSub>
                  </m:num>
                  <m:den>
                    <m:r>
                      <w:rPr>
                        <w:rFonts w:ascii="Cambria Math" w:hAnsi="Cambria Math"/>
                      </w:rPr>
                      <m:t>7,2</m:t>
                    </m:r>
                  </m:den>
                </m:f>
                <m:r>
                  <w:rPr>
                    <w:rFonts w:ascii="Cambria Math" w:hAnsi="Cambria Math"/>
                  </w:rPr>
                  <m:t>⋅</m:t>
                </m:r>
                <m:f>
                  <m:fPr>
                    <m:ctrlPr>
                      <w:rPr>
                        <w:rFonts w:ascii="Cambria Math" w:hAnsi="Cambria Math"/>
                      </w:rPr>
                    </m:ctrlPr>
                  </m:fPr>
                  <m:num>
                    <m:r>
                      <w:rPr>
                        <w:rFonts w:ascii="Cambria Math" w:hAnsi="Cambria Math"/>
                      </w:rPr>
                      <m:t>ϕ</m:t>
                    </m:r>
                  </m:num>
                  <m:den>
                    <m:sSub>
                      <m:sSubPr>
                        <m:ctrlPr>
                          <w:rPr>
                            <w:rFonts w:ascii="Cambria Math" w:hAnsi="Cambria Math"/>
                          </w:rPr>
                        </m:ctrlPr>
                      </m:sSubPr>
                      <m:e>
                        <m:r>
                          <w:rPr>
                            <w:rFonts w:ascii="Cambria Math" w:hAnsi="Cambria Math"/>
                          </w:rPr>
                          <m:t>ρ</m:t>
                        </m:r>
                      </m:e>
                      <m:sub>
                        <m:r>
                          <m:rPr>
                            <m:sty m:val="p"/>
                          </m:rPr>
                          <w:rPr>
                            <w:rFonts w:ascii="Cambria Math" w:hAnsi="Cambria Math"/>
                          </w:rPr>
                          <m:t>ρ,eff</m:t>
                        </m:r>
                      </m:sub>
                    </m:sSub>
                  </m:den>
                </m:f>
                <m:r>
                  <w:rPr>
                    <w:rFonts w:ascii="Cambria Math" w:hAnsi="Cambria Math"/>
                  </w:rPr>
                  <m:t>≤1,3</m:t>
                </m:r>
                <m:d>
                  <m:dPr>
                    <m:ctrlPr>
                      <w:rPr>
                        <w:rFonts w:ascii="Cambria Math" w:hAnsi="Cambria Math"/>
                      </w:rPr>
                    </m:ctrlPr>
                  </m:dPr>
                  <m:e>
                    <m:r>
                      <w:rPr>
                        <w:rFonts w:ascii="Cambria Math" w:hAnsi="Cambria Math"/>
                      </w:rPr>
                      <m:t>h-x</m:t>
                    </m:r>
                  </m:e>
                </m:d>
              </m:oMath>
            </m:oMathPara>
          </w:p>
        </w:tc>
        <w:tc>
          <w:tcPr>
            <w:tcW w:w="1247" w:type="dxa"/>
            <w:vAlign w:val="center"/>
          </w:tcPr>
          <w:p w14:paraId="0CD0F944" w14:textId="720F87FD" w:rsidR="006230AE" w:rsidRPr="001455DC" w:rsidRDefault="006230AE" w:rsidP="006230AE">
            <w:pPr>
              <w:pStyle w:val="a7"/>
              <w:jc w:val="right"/>
            </w:pPr>
            <w:r w:rsidRPr="001455DC">
              <w:t>(9.19)</w:t>
            </w:r>
          </w:p>
        </w:tc>
      </w:tr>
    </w:tbl>
    <w:p w14:paraId="58B89168" w14:textId="77777777" w:rsidR="006230AE" w:rsidRPr="001455DC" w:rsidRDefault="006230AE" w:rsidP="00A35599">
      <w:pPr>
        <w:pStyle w:val="a7"/>
        <w:keepNext/>
      </w:pPr>
      <w:r w:rsidRPr="001455DC">
        <w:t>where</w:t>
      </w:r>
    </w:p>
    <w:tbl>
      <w:tblPr>
        <w:tblW w:w="9356" w:type="dxa"/>
        <w:tblInd w:w="397" w:type="dxa"/>
        <w:tblLayout w:type="fixed"/>
        <w:tblCellMar>
          <w:left w:w="28" w:type="dxa"/>
          <w:right w:w="28" w:type="dxa"/>
        </w:tblCellMar>
        <w:tblLook w:val="04A0" w:firstRow="1" w:lastRow="0" w:firstColumn="1" w:lastColumn="0" w:noHBand="0" w:noVBand="1"/>
      </w:tblPr>
      <w:tblGrid>
        <w:gridCol w:w="397"/>
        <w:gridCol w:w="397"/>
        <w:gridCol w:w="7314"/>
        <w:gridCol w:w="1248"/>
      </w:tblGrid>
      <w:tr w:rsidR="006230AE" w:rsidRPr="001455DC" w14:paraId="118193C4" w14:textId="77777777" w:rsidTr="000D7949">
        <w:trPr>
          <w:cantSplit/>
        </w:trPr>
        <w:tc>
          <w:tcPr>
            <w:tcW w:w="9356" w:type="dxa"/>
            <w:gridSpan w:val="4"/>
          </w:tcPr>
          <w:p w14:paraId="48376DF1" w14:textId="70CB888E" w:rsidR="006230AE" w:rsidRPr="001455DC" w:rsidRDefault="006230AE" w:rsidP="006230AE">
            <w:pPr>
              <w:pStyle w:val="Tablebody"/>
              <w:ind w:left="397" w:hanging="397"/>
            </w:pPr>
            <w:r w:rsidRPr="001455DC">
              <w:rPr>
                <w:rFonts w:eastAsiaTheme="minorHAnsi"/>
              </w:rPr>
              <w:t>—</w:t>
            </w:r>
            <w:r w:rsidRPr="001455DC">
              <w:rPr>
                <w:rFonts w:eastAsiaTheme="minorHAnsi"/>
              </w:rPr>
              <w:tab/>
            </w:r>
            <w:r w:rsidRPr="001455DC">
              <w:t>For a rectangular cross section subjected to pure bending:</w:t>
            </w:r>
          </w:p>
        </w:tc>
      </w:tr>
      <w:tr w:rsidR="006230AE" w:rsidRPr="001455DC" w14:paraId="2D5946AE" w14:textId="77777777" w:rsidTr="000D7949">
        <w:trPr>
          <w:cantSplit/>
        </w:trPr>
        <w:tc>
          <w:tcPr>
            <w:tcW w:w="397" w:type="dxa"/>
          </w:tcPr>
          <w:p w14:paraId="330E782E" w14:textId="686A9FB7" w:rsidR="006230AE" w:rsidRPr="001455DC" w:rsidRDefault="00120433" w:rsidP="006230AE">
            <w:pPr>
              <w:pStyle w:val="Tablebody"/>
            </w:pPr>
            <w:r w:rsidRPr="001455DC">
              <w:t> </w:t>
            </w:r>
          </w:p>
        </w:tc>
        <w:tc>
          <w:tcPr>
            <w:tcW w:w="7711" w:type="dxa"/>
            <w:gridSpan w:val="2"/>
            <w:vAlign w:val="center"/>
          </w:tcPr>
          <w:p w14:paraId="3F3A7D1F" w14:textId="6A40BA74" w:rsidR="006230AE" w:rsidRPr="001455DC" w:rsidRDefault="00231E33" w:rsidP="006230AE">
            <w:pPr>
              <w:pStyle w:val="Tablebody"/>
              <w:jc w:val="left"/>
            </w:pPr>
            <m:oMathPara>
              <m:oMathParaPr>
                <m:jc m:val="left"/>
              </m:oMathParaPr>
              <m:oMath>
                <m:sSub>
                  <m:sSubPr>
                    <m:ctrlPr>
                      <w:rPr>
                        <w:rFonts w:ascii="Cambria Math" w:hAnsi="Cambria Math"/>
                        <w:szCs w:val="22"/>
                      </w:rPr>
                    </m:ctrlPr>
                  </m:sSubPr>
                  <m:e>
                    <m:r>
                      <w:rPr>
                        <w:rFonts w:ascii="Cambria Math" w:hAnsi="Cambria Math"/>
                      </w:rPr>
                      <m:t>k</m:t>
                    </m:r>
                  </m:e>
                  <m:sub>
                    <m:r>
                      <m:rPr>
                        <m:sty m:val="p"/>
                      </m:rPr>
                      <w:rPr>
                        <w:rFonts w:ascii="Cambria Math" w:hAnsi="Cambria Math"/>
                        <w:szCs w:val="22"/>
                      </w:rPr>
                      <m:t>fl</m:t>
                    </m:r>
                  </m:sub>
                </m:sSub>
                <m:r>
                  <w:rPr>
                    <w:rFonts w:ascii="Cambria Math" w:hAnsi="Cambria Math"/>
                  </w:rPr>
                  <m:t>=</m:t>
                </m:r>
                <m:f>
                  <m:fPr>
                    <m:ctrlPr>
                      <w:rPr>
                        <w:rFonts w:ascii="Cambria Math" w:hAnsi="Cambria Math"/>
                        <w:szCs w:val="22"/>
                      </w:rPr>
                    </m:ctrlPr>
                  </m:fPr>
                  <m:num>
                    <m:r>
                      <w:rPr>
                        <w:rFonts w:ascii="Cambria Math" w:hAnsi="Cambria Math"/>
                      </w:rPr>
                      <m:t>h-</m:t>
                    </m:r>
                    <m:sSub>
                      <m:sSubPr>
                        <m:ctrlPr>
                          <w:rPr>
                            <w:rFonts w:ascii="Cambria Math" w:hAnsi="Cambria Math"/>
                            <w:szCs w:val="22"/>
                          </w:rPr>
                        </m:ctrlPr>
                      </m:sSubPr>
                      <m:e>
                        <m:r>
                          <w:rPr>
                            <w:rFonts w:ascii="Cambria Math" w:hAnsi="Cambria Math"/>
                          </w:rPr>
                          <m:t>h</m:t>
                        </m:r>
                      </m:e>
                      <m:sub>
                        <m:r>
                          <m:rPr>
                            <m:sty m:val="p"/>
                          </m:rPr>
                          <w:rPr>
                            <w:rFonts w:ascii="Cambria Math" w:hAnsi="Cambria Math"/>
                            <w:szCs w:val="22"/>
                          </w:rPr>
                          <m:t>c,eff</m:t>
                        </m:r>
                      </m:sub>
                    </m:sSub>
                  </m:num>
                  <m:den>
                    <m:r>
                      <w:rPr>
                        <w:rFonts w:ascii="Cambria Math" w:hAnsi="Cambria Math"/>
                      </w:rPr>
                      <m:t>h</m:t>
                    </m:r>
                  </m:den>
                </m:f>
              </m:oMath>
            </m:oMathPara>
          </w:p>
        </w:tc>
        <w:tc>
          <w:tcPr>
            <w:tcW w:w="1248" w:type="dxa"/>
            <w:vAlign w:val="center"/>
          </w:tcPr>
          <w:p w14:paraId="4D255C78" w14:textId="4A5BC109" w:rsidR="006230AE" w:rsidRPr="001455DC" w:rsidRDefault="006230AE" w:rsidP="006230AE">
            <w:pPr>
              <w:pStyle w:val="Tablebody"/>
              <w:jc w:val="right"/>
            </w:pPr>
            <w:r w:rsidRPr="001455DC">
              <w:t>(9.20)</w:t>
            </w:r>
          </w:p>
        </w:tc>
      </w:tr>
      <w:tr w:rsidR="006230AE" w:rsidRPr="001455DC" w14:paraId="7D6528F5" w14:textId="77777777" w:rsidTr="000D7949">
        <w:trPr>
          <w:cantSplit/>
        </w:trPr>
        <w:tc>
          <w:tcPr>
            <w:tcW w:w="9356" w:type="dxa"/>
            <w:gridSpan w:val="4"/>
          </w:tcPr>
          <w:p w14:paraId="7A49D45F" w14:textId="378B6360" w:rsidR="006230AE" w:rsidRPr="001455DC" w:rsidRDefault="006230AE" w:rsidP="006230AE">
            <w:pPr>
              <w:pStyle w:val="Tablebody"/>
              <w:ind w:left="397" w:hanging="397"/>
            </w:pPr>
            <w:r w:rsidRPr="001455DC">
              <w:rPr>
                <w:rFonts w:eastAsiaTheme="minorHAnsi"/>
              </w:rPr>
              <w:t>—</w:t>
            </w:r>
            <w:r w:rsidRPr="001455DC">
              <w:rPr>
                <w:rFonts w:eastAsiaTheme="minorHAnsi"/>
              </w:rPr>
              <w:tab/>
            </w:r>
            <w:r w:rsidRPr="001455DC">
              <w:t>In general:</w:t>
            </w:r>
          </w:p>
        </w:tc>
      </w:tr>
      <w:tr w:rsidR="00120433" w:rsidRPr="001455DC" w14:paraId="77FD69F8" w14:textId="77777777" w:rsidTr="00120433">
        <w:trPr>
          <w:cantSplit/>
        </w:trPr>
        <w:tc>
          <w:tcPr>
            <w:tcW w:w="397" w:type="dxa"/>
          </w:tcPr>
          <w:p w14:paraId="5C15935A" w14:textId="4B71FA4F" w:rsidR="00120433" w:rsidRPr="001455DC" w:rsidRDefault="00120433" w:rsidP="006230AE">
            <w:pPr>
              <w:pStyle w:val="Tablebody"/>
            </w:pPr>
            <w:r w:rsidRPr="001455DC">
              <w:t> </w:t>
            </w:r>
          </w:p>
        </w:tc>
        <w:tc>
          <w:tcPr>
            <w:tcW w:w="7711" w:type="dxa"/>
            <w:gridSpan w:val="2"/>
          </w:tcPr>
          <w:p w14:paraId="4E65EFDF" w14:textId="229E2AEA" w:rsidR="00120433" w:rsidRPr="001455DC" w:rsidRDefault="00231E33" w:rsidP="006230AE">
            <w:pPr>
              <w:pStyle w:val="Tablebody"/>
              <w:jc w:val="left"/>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rPr>
                      <m:t>fl</m:t>
                    </m:r>
                  </m:sub>
                </m:sSub>
                <m:r>
                  <w:rPr>
                    <w:rFonts w:ascii="Cambria Math" w:hAnsi="Cambria Math"/>
                  </w:rPr>
                  <m:t>=</m:t>
                </m:r>
                <m:f>
                  <m:fPr>
                    <m:ctrlPr>
                      <w:rPr>
                        <w:rFonts w:ascii="Cambria Math" w:hAnsi="Cambria Math"/>
                        <w:szCs w:val="22"/>
                      </w:rPr>
                    </m:ctrlPr>
                  </m:fPr>
                  <m:num>
                    <m:r>
                      <w:rPr>
                        <w:rFonts w:ascii="Cambria Math" w:hAnsi="Cambria Math"/>
                      </w:rPr>
                      <m:t>1</m:t>
                    </m:r>
                  </m:num>
                  <m:den>
                    <m:r>
                      <w:rPr>
                        <w:rFonts w:ascii="Cambria Math" w:hAnsi="Cambria Math"/>
                      </w:rPr>
                      <m:t>2</m:t>
                    </m:r>
                  </m:den>
                </m:f>
                <m:d>
                  <m:dPr>
                    <m:sepChr m:val=""/>
                    <m:ctrlPr>
                      <w:rPr>
                        <w:rFonts w:ascii="Cambria Math" w:hAnsi="Cambria Math"/>
                        <w:szCs w:val="22"/>
                      </w:rPr>
                    </m:ctrlPr>
                  </m:dPr>
                  <m:e>
                    <m:r>
                      <w:rPr>
                        <w:rFonts w:ascii="Cambria Math" w:hAnsi="Cambria Math"/>
                      </w:rPr>
                      <m:t>1</m:t>
                    </m:r>
                  </m:e>
                  <m:e>
                    <m:r>
                      <w:rPr>
                        <w:rFonts w:ascii="Cambria Math" w:hAnsi="Cambria Math"/>
                      </w:rPr>
                      <m:t>+</m:t>
                    </m:r>
                  </m:e>
                  <m:e>
                    <m:f>
                      <m:fPr>
                        <m:ctrlPr>
                          <w:rPr>
                            <w:rFonts w:ascii="Cambria Math" w:hAnsi="Cambria Math"/>
                            <w:szCs w:val="22"/>
                          </w:rPr>
                        </m:ctrlPr>
                      </m:fPr>
                      <m:num>
                        <m:d>
                          <m:dPr>
                            <m:sepChr m:val=""/>
                            <m:ctrlPr>
                              <w:rPr>
                                <w:rFonts w:ascii="Cambria Math" w:hAnsi="Cambria Math"/>
                                <w:szCs w:val="22"/>
                              </w:rPr>
                            </m:ctrlPr>
                          </m:dPr>
                          <m:e>
                            <m:r>
                              <w:rPr>
                                <w:rFonts w:ascii="Cambria Math" w:hAnsi="Cambria Math"/>
                              </w:rPr>
                              <m:t>h</m:t>
                            </m:r>
                          </m:e>
                          <m:e>
                            <m:r>
                              <w:rPr>
                                <w:rFonts w:ascii="Cambria Math" w:hAnsi="Cambria Math"/>
                              </w:rPr>
                              <m:t>-</m:t>
                            </m:r>
                          </m:e>
                          <m:e>
                            <m:sSub>
                              <m:sSubPr>
                                <m:ctrlPr>
                                  <w:rPr>
                                    <w:rFonts w:ascii="Cambria Math" w:hAnsi="Cambria Math"/>
                                    <w:szCs w:val="22"/>
                                  </w:rPr>
                                </m:ctrlPr>
                              </m:sSubPr>
                              <m:e>
                                <m:r>
                                  <w:rPr>
                                    <w:rFonts w:ascii="Cambria Math" w:hAnsi="Cambria Math"/>
                                  </w:rPr>
                                  <m:t>x</m:t>
                                </m:r>
                              </m:e>
                              <m:sub>
                                <m:r>
                                  <m:rPr>
                                    <m:sty m:val="p"/>
                                  </m:rPr>
                                  <w:rPr>
                                    <w:rFonts w:ascii="Cambria Math" w:hAnsi="Cambria Math"/>
                                    <w:szCs w:val="22"/>
                                  </w:rPr>
                                  <m:t>g</m:t>
                                </m:r>
                              </m:sub>
                            </m:sSub>
                          </m:e>
                          <m:e>
                            <m:r>
                              <w:rPr>
                                <w:rFonts w:ascii="Cambria Math" w:hAnsi="Cambria Math"/>
                              </w:rPr>
                              <m:t>-</m:t>
                            </m:r>
                          </m:e>
                          <m:e>
                            <m:sSub>
                              <m:sSubPr>
                                <m:ctrlPr>
                                  <w:rPr>
                                    <w:rFonts w:ascii="Cambria Math" w:hAnsi="Cambria Math"/>
                                    <w:szCs w:val="22"/>
                                  </w:rPr>
                                </m:ctrlPr>
                              </m:sSubPr>
                              <m:e>
                                <m:r>
                                  <w:rPr>
                                    <w:rFonts w:ascii="Cambria Math" w:hAnsi="Cambria Math"/>
                                  </w:rPr>
                                  <m:t>h</m:t>
                                </m:r>
                              </m:e>
                              <m:sub>
                                <m:r>
                                  <m:rPr>
                                    <m:sty m:val="p"/>
                                  </m:rPr>
                                  <w:rPr>
                                    <w:rFonts w:ascii="Cambria Math" w:hAnsi="Cambria Math"/>
                                    <w:szCs w:val="22"/>
                                  </w:rPr>
                                  <m:t>c,eff</m:t>
                                </m:r>
                              </m:sub>
                            </m:sSub>
                          </m:e>
                        </m:d>
                      </m:num>
                      <m:den>
                        <m:r>
                          <w:rPr>
                            <w:rFonts w:ascii="Cambria Math" w:hAnsi="Cambria Math"/>
                          </w:rPr>
                          <m:t>h-</m:t>
                        </m:r>
                        <m:sSub>
                          <m:sSubPr>
                            <m:ctrlPr>
                              <w:rPr>
                                <w:rFonts w:ascii="Cambria Math" w:hAnsi="Cambria Math"/>
                                <w:szCs w:val="22"/>
                              </w:rPr>
                            </m:ctrlPr>
                          </m:sSubPr>
                          <m:e>
                            <m:r>
                              <w:rPr>
                                <w:rFonts w:ascii="Cambria Math" w:hAnsi="Cambria Math"/>
                              </w:rPr>
                              <m:t>x</m:t>
                            </m:r>
                          </m:e>
                          <m:sub>
                            <m:r>
                              <m:rPr>
                                <m:sty m:val="p"/>
                              </m:rPr>
                              <w:rPr>
                                <w:rFonts w:ascii="Cambria Math" w:hAnsi="Cambria Math"/>
                                <w:szCs w:val="22"/>
                              </w:rPr>
                              <m:t>g</m:t>
                            </m:r>
                          </m:sub>
                        </m:sSub>
                      </m:den>
                    </m:f>
                  </m:e>
                </m:d>
              </m:oMath>
            </m:oMathPara>
          </w:p>
        </w:tc>
        <w:tc>
          <w:tcPr>
            <w:tcW w:w="1248" w:type="dxa"/>
            <w:vAlign w:val="center"/>
          </w:tcPr>
          <w:p w14:paraId="37B00D5D" w14:textId="47FDC1A2" w:rsidR="00120433" w:rsidRPr="001455DC" w:rsidRDefault="00120433" w:rsidP="006230AE">
            <w:pPr>
              <w:pStyle w:val="Tablebody"/>
              <w:jc w:val="right"/>
            </w:pPr>
            <w:r w:rsidRPr="001455DC">
              <w:t>(9.21)</w:t>
            </w:r>
          </w:p>
        </w:tc>
      </w:tr>
      <w:tr w:rsidR="00120433" w:rsidRPr="001455DC" w14:paraId="4D759DE0" w14:textId="77777777" w:rsidTr="00120433">
        <w:trPr>
          <w:cantSplit/>
        </w:trPr>
        <w:tc>
          <w:tcPr>
            <w:tcW w:w="397" w:type="dxa"/>
          </w:tcPr>
          <w:p w14:paraId="461E8939" w14:textId="6E9C7BCB" w:rsidR="00120433" w:rsidRPr="001455DC" w:rsidRDefault="00120433" w:rsidP="00EC27D2">
            <w:pPr>
              <w:pStyle w:val="Tablebody"/>
            </w:pPr>
            <w:r w:rsidRPr="001455DC">
              <w:t> </w:t>
            </w:r>
          </w:p>
        </w:tc>
        <w:tc>
          <w:tcPr>
            <w:tcW w:w="397" w:type="dxa"/>
          </w:tcPr>
          <w:p w14:paraId="4984F0E0" w14:textId="42C2CC25" w:rsidR="00120433" w:rsidRPr="001455DC" w:rsidRDefault="00120433" w:rsidP="006230AE">
            <w:pPr>
              <w:pStyle w:val="Tablebody"/>
            </w:pPr>
            <w:r w:rsidRPr="001455DC">
              <w:rPr>
                <w:rStyle w:val="CCMCvariableitalic"/>
              </w:rPr>
              <w:t>x</w:t>
            </w:r>
            <w:r w:rsidRPr="001455DC">
              <w:rPr>
                <w:rStyle w:val="CCMCvariablesubscript"/>
              </w:rPr>
              <w:t>g</w:t>
            </w:r>
          </w:p>
        </w:tc>
        <w:tc>
          <w:tcPr>
            <w:tcW w:w="8562" w:type="dxa"/>
            <w:gridSpan w:val="2"/>
            <w:vAlign w:val="center"/>
          </w:tcPr>
          <w:p w14:paraId="0C199BAB" w14:textId="06FB69C3" w:rsidR="00120433" w:rsidRPr="001455DC" w:rsidRDefault="00120433" w:rsidP="006230AE">
            <w:pPr>
              <w:pStyle w:val="Tablebody"/>
              <w:jc w:val="left"/>
            </w:pPr>
            <w:r w:rsidRPr="001455DC">
              <w:t>is depth of the neutral axis of the uncracked section;</w:t>
            </w:r>
          </w:p>
        </w:tc>
      </w:tr>
      <w:tr w:rsidR="00120433" w:rsidRPr="001455DC" w14:paraId="542F27CB" w14:textId="77777777" w:rsidTr="00120433">
        <w:trPr>
          <w:cantSplit/>
        </w:trPr>
        <w:tc>
          <w:tcPr>
            <w:tcW w:w="397" w:type="dxa"/>
          </w:tcPr>
          <w:p w14:paraId="6F1A0ED0" w14:textId="04460573" w:rsidR="00120433" w:rsidRPr="001455DC" w:rsidRDefault="00120433" w:rsidP="00EC27D2">
            <w:pPr>
              <w:pStyle w:val="Tablebody"/>
            </w:pPr>
            <w:r w:rsidRPr="001455DC">
              <w:t> </w:t>
            </w:r>
          </w:p>
        </w:tc>
        <w:tc>
          <w:tcPr>
            <w:tcW w:w="7711" w:type="dxa"/>
            <w:gridSpan w:val="2"/>
          </w:tcPr>
          <w:p w14:paraId="423A4021" w14:textId="6809F83D" w:rsidR="00120433" w:rsidRPr="001455DC" w:rsidRDefault="00231E33" w:rsidP="006230AE">
            <w:pPr>
              <w:pStyle w:val="Tablebody"/>
              <w:jc w:val="left"/>
            </w:pPr>
            <m:oMathPara>
              <m:oMathParaPr>
                <m:jc m:val="left"/>
              </m:oMathParaPr>
              <m:oMath>
                <m:sSub>
                  <m:sSubPr>
                    <m:ctrlPr>
                      <w:rPr>
                        <w:rFonts w:ascii="Cambria Math" w:hAnsi="Cambria Math"/>
                      </w:rPr>
                    </m:ctrlPr>
                  </m:sSubPr>
                  <m:e>
                    <m:r>
                      <w:rPr>
                        <w:rFonts w:ascii="Cambria Math" w:hAnsi="Cambria Math"/>
                      </w:rPr>
                      <m:t>k</m:t>
                    </m:r>
                  </m:e>
                  <m:sub>
                    <m:r>
                      <m:rPr>
                        <m:nor/>
                      </m:rPr>
                      <m:t>b</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0,9+0,6</m:t>
                        </m:r>
                        <m:f>
                          <m:fPr>
                            <m:ctrlPr>
                              <w:rPr>
                                <w:rFonts w:ascii="Cambria Math" w:hAnsi="Cambria Math"/>
                              </w:rPr>
                            </m:ctrlPr>
                          </m:fPr>
                          <m:num>
                            <m:r>
                              <w:rPr>
                                <w:rFonts w:ascii="Cambria Math" w:hAnsi="Cambria Math"/>
                              </w:rPr>
                              <m:t>ϕ</m:t>
                            </m:r>
                          </m:num>
                          <m:den>
                            <m:sSub>
                              <m:sSubPr>
                                <m:ctrlPr>
                                  <w:rPr>
                                    <w:rFonts w:ascii="Cambria Math" w:hAnsi="Cambria Math"/>
                                  </w:rPr>
                                </m:ctrlPr>
                              </m:sSubPr>
                              <m:e>
                                <m:r>
                                  <w:rPr>
                                    <w:rFonts w:ascii="Cambria Math" w:hAnsi="Cambria Math"/>
                                  </w:rPr>
                                  <m:t>c</m:t>
                                </m:r>
                              </m:e>
                              <m:sub>
                                <m:r>
                                  <m:rPr>
                                    <m:sty m:val="p"/>
                                  </m:rPr>
                                  <w:rPr>
                                    <w:rFonts w:ascii="Cambria Math" w:hAnsi="Cambria Math"/>
                                  </w:rPr>
                                  <m:t>v</m:t>
                                </m:r>
                              </m:sub>
                            </m:sSub>
                          </m:den>
                        </m:f>
                        <m:r>
                          <m:rPr>
                            <m:nor/>
                          </m:rPr>
                          <m:t>for</m:t>
                        </m:r>
                        <m:r>
                          <m:rPr>
                            <m:sty m:val="p"/>
                          </m:rPr>
                          <w:rPr>
                            <w:rFonts w:ascii="Cambria Math" w:hAnsi="Cambria Math"/>
                          </w:rPr>
                          <m:t xml:space="preserve"> </m:t>
                        </m:r>
                        <m:r>
                          <m:rPr>
                            <m:nor/>
                          </m:rPr>
                          <m:t>elements</m:t>
                        </m:r>
                        <m:r>
                          <m:rPr>
                            <m:sty m:val="p"/>
                          </m:rPr>
                          <w:rPr>
                            <w:rFonts w:ascii="Cambria Math" w:hAnsi="Cambria Math"/>
                          </w:rPr>
                          <m:t xml:space="preserve"> </m:t>
                        </m:r>
                        <m:r>
                          <m:rPr>
                            <m:nor/>
                          </m:rPr>
                          <m:t>cast</m:t>
                        </m:r>
                        <m:r>
                          <m:rPr>
                            <m:sty m:val="p"/>
                          </m:rPr>
                          <w:rPr>
                            <w:rFonts w:ascii="Cambria Math" w:hAnsi="Cambria Math"/>
                          </w:rPr>
                          <m:t xml:space="preserve"> </m:t>
                        </m:r>
                        <m:r>
                          <m:rPr>
                            <m:nor/>
                          </m:rPr>
                          <m:t>in</m:t>
                        </m:r>
                        <m:r>
                          <m:rPr>
                            <m:sty m:val="p"/>
                          </m:rPr>
                          <w:rPr>
                            <w:rFonts w:ascii="Cambria Math" w:hAnsi="Cambria Math"/>
                          </w:rPr>
                          <m:t xml:space="preserve"> </m:t>
                        </m:r>
                        <m:r>
                          <m:rPr>
                            <m:nor/>
                          </m:rPr>
                          <m:t>poor</m:t>
                        </m:r>
                        <m:r>
                          <m:rPr>
                            <m:sty m:val="p"/>
                          </m:rPr>
                          <w:rPr>
                            <w:rFonts w:ascii="Cambria Math" w:hAnsi="Cambria Math"/>
                          </w:rPr>
                          <m:t xml:space="preserve"> </m:t>
                        </m:r>
                        <m:r>
                          <m:rPr>
                            <m:nor/>
                          </m:rPr>
                          <m:t>casting</m:t>
                        </m:r>
                        <m:r>
                          <m:rPr>
                            <m:sty m:val="p"/>
                          </m:rPr>
                          <w:rPr>
                            <w:rFonts w:ascii="Cambria Math" w:hAnsi="Cambria Math"/>
                          </w:rPr>
                          <m:t xml:space="preserve"> </m:t>
                        </m:r>
                        <m:r>
                          <m:rPr>
                            <m:nor/>
                          </m:rPr>
                          <m:t>position</m:t>
                        </m:r>
                      </m:e>
                      <m:e>
                        <m:r>
                          <m:rPr>
                            <m:sty m:val="p"/>
                          </m:rPr>
                          <w:rPr>
                            <w:rFonts w:ascii="Cambria Math" w:hAnsi="Cambria Math"/>
                          </w:rPr>
                          <m:t xml:space="preserve">0,9 </m:t>
                        </m:r>
                        <m:r>
                          <m:rPr>
                            <m:nor/>
                          </m:rPr>
                          <m:t>for</m:t>
                        </m:r>
                        <m:r>
                          <m:rPr>
                            <m:sty m:val="p"/>
                          </m:rPr>
                          <w:rPr>
                            <w:rFonts w:ascii="Cambria Math" w:hAnsi="Cambria Math"/>
                          </w:rPr>
                          <m:t xml:space="preserve"> </m:t>
                        </m:r>
                        <m:r>
                          <m:rPr>
                            <m:nor/>
                          </m:rPr>
                          <m:t>elements</m:t>
                        </m:r>
                        <m:r>
                          <m:rPr>
                            <m:sty m:val="p"/>
                          </m:rPr>
                          <w:rPr>
                            <w:rFonts w:ascii="Cambria Math" w:hAnsi="Cambria Math"/>
                          </w:rPr>
                          <m:t xml:space="preserve"> </m:t>
                        </m:r>
                        <m:r>
                          <m:rPr>
                            <m:nor/>
                          </m:rPr>
                          <m:t>cast</m:t>
                        </m:r>
                        <m:r>
                          <m:rPr>
                            <m:sty m:val="p"/>
                          </m:rPr>
                          <w:rPr>
                            <w:rFonts w:ascii="Cambria Math" w:hAnsi="Cambria Math"/>
                          </w:rPr>
                          <m:t xml:space="preserve"> </m:t>
                        </m:r>
                        <m:r>
                          <m:rPr>
                            <m:nor/>
                          </m:rPr>
                          <m:t>in</m:t>
                        </m:r>
                        <m:r>
                          <m:rPr>
                            <m:sty m:val="p"/>
                          </m:rPr>
                          <w:rPr>
                            <w:rFonts w:ascii="Cambria Math" w:hAnsi="Cambria Math"/>
                          </w:rPr>
                          <m:t xml:space="preserve"> </m:t>
                        </m:r>
                        <m:r>
                          <m:rPr>
                            <m:nor/>
                          </m:rPr>
                          <m:t>good</m:t>
                        </m:r>
                        <m:r>
                          <m:rPr>
                            <m:sty m:val="p"/>
                          </m:rPr>
                          <w:rPr>
                            <w:rFonts w:ascii="Cambria Math" w:hAnsi="Cambria Math"/>
                          </w:rPr>
                          <m:t xml:space="preserve"> </m:t>
                        </m:r>
                        <m:r>
                          <m:rPr>
                            <m:nor/>
                          </m:rPr>
                          <m:t>casting</m:t>
                        </m:r>
                        <m:r>
                          <m:rPr>
                            <m:sty m:val="p"/>
                          </m:rPr>
                          <w:rPr>
                            <w:rFonts w:ascii="Cambria Math" w:hAnsi="Cambria Math"/>
                          </w:rPr>
                          <m:t xml:space="preserve"> </m:t>
                        </m:r>
                        <m:r>
                          <m:rPr>
                            <m:nor/>
                          </m:rPr>
                          <m:t>position</m:t>
                        </m:r>
                      </m:e>
                    </m:eqArr>
                  </m:e>
                </m:d>
                <m:r>
                  <m:rPr>
                    <m:sty m:val="p"/>
                  </m:rPr>
                  <w:rPr>
                    <w:rFonts w:ascii="Cambria Math" w:hAnsi="Cambria Math"/>
                  </w:rPr>
                  <m:t xml:space="preserve"> </m:t>
                </m:r>
              </m:oMath>
            </m:oMathPara>
          </w:p>
        </w:tc>
        <w:tc>
          <w:tcPr>
            <w:tcW w:w="1248" w:type="dxa"/>
            <w:vAlign w:val="center"/>
          </w:tcPr>
          <w:p w14:paraId="4FBB0156" w14:textId="165F3E8A" w:rsidR="00120433" w:rsidRPr="001455DC" w:rsidRDefault="00120433" w:rsidP="006230AE">
            <w:pPr>
              <w:pStyle w:val="Tablebody"/>
              <w:jc w:val="right"/>
            </w:pPr>
            <w:r w:rsidRPr="001455DC">
              <w:t>(9.22)</w:t>
            </w:r>
          </w:p>
        </w:tc>
      </w:tr>
      <w:tr w:rsidR="00120433" w:rsidRPr="001455DC" w14:paraId="1E557B1E" w14:textId="77777777" w:rsidTr="00120433">
        <w:trPr>
          <w:cantSplit/>
        </w:trPr>
        <w:tc>
          <w:tcPr>
            <w:tcW w:w="397" w:type="dxa"/>
          </w:tcPr>
          <w:p w14:paraId="70D8FFBD" w14:textId="0D4BB312" w:rsidR="00120433" w:rsidRPr="001455DC" w:rsidRDefault="00120433" w:rsidP="00EC27D2">
            <w:pPr>
              <w:pStyle w:val="Tablebody"/>
            </w:pPr>
            <w:r w:rsidRPr="001455DC">
              <w:t> </w:t>
            </w:r>
          </w:p>
        </w:tc>
        <w:tc>
          <w:tcPr>
            <w:tcW w:w="397" w:type="dxa"/>
          </w:tcPr>
          <w:p w14:paraId="301671A3" w14:textId="55B73780" w:rsidR="00120433" w:rsidRPr="001455DC" w:rsidRDefault="00120433" w:rsidP="006230AE">
            <w:pPr>
              <w:pStyle w:val="Tablebody"/>
            </w:pPr>
            <w:r w:rsidRPr="001455DC">
              <w:rPr>
                <w:rStyle w:val="CCMCvariableitalic"/>
              </w:rPr>
              <w:t>c</w:t>
            </w:r>
            <w:r w:rsidRPr="001455DC">
              <w:rPr>
                <w:rStyle w:val="CCMCvariablesubscript"/>
              </w:rPr>
              <w:t>v</w:t>
            </w:r>
          </w:p>
        </w:tc>
        <w:tc>
          <w:tcPr>
            <w:tcW w:w="8562" w:type="dxa"/>
            <w:gridSpan w:val="2"/>
            <w:vAlign w:val="center"/>
          </w:tcPr>
          <w:p w14:paraId="68123A5A" w14:textId="20976C57" w:rsidR="00120433" w:rsidRPr="001455DC" w:rsidRDefault="00120433" w:rsidP="006230AE">
            <w:pPr>
              <w:pStyle w:val="Tablebody"/>
              <w:jc w:val="left"/>
            </w:pPr>
            <w:r w:rsidRPr="001455DC">
              <w:t>is the clear vertical cover of the bar to the top concrete surface</w:t>
            </w:r>
          </w:p>
        </w:tc>
      </w:tr>
      <w:tr w:rsidR="00120433" w:rsidRPr="001455DC" w14:paraId="639E890B" w14:textId="77777777" w:rsidTr="00120433">
        <w:trPr>
          <w:cantSplit/>
        </w:trPr>
        <w:tc>
          <w:tcPr>
            <w:tcW w:w="397" w:type="dxa"/>
          </w:tcPr>
          <w:p w14:paraId="2B648C95" w14:textId="2C21660C" w:rsidR="00120433" w:rsidRPr="001455DC" w:rsidRDefault="00120433" w:rsidP="00EC27D2">
            <w:pPr>
              <w:pStyle w:val="Tablebody"/>
            </w:pPr>
            <w:r w:rsidRPr="001455DC">
              <w:t> </w:t>
            </w:r>
          </w:p>
        </w:tc>
        <w:tc>
          <w:tcPr>
            <w:tcW w:w="397" w:type="dxa"/>
          </w:tcPr>
          <w:p w14:paraId="285A5B0C" w14:textId="4FD7F87C" w:rsidR="00120433" w:rsidRPr="001455DC" w:rsidRDefault="00120433" w:rsidP="006230AE">
            <w:pPr>
              <w:pStyle w:val="Tablebody"/>
            </w:pPr>
            <w:r w:rsidRPr="001455DC">
              <w:rPr>
                <w:rStyle w:val="CCMCvariableitalic"/>
              </w:rPr>
              <w:t>c</w:t>
            </w:r>
          </w:p>
        </w:tc>
        <w:tc>
          <w:tcPr>
            <w:tcW w:w="8562" w:type="dxa"/>
            <w:gridSpan w:val="2"/>
            <w:vAlign w:val="center"/>
          </w:tcPr>
          <w:p w14:paraId="2D63AADC" w14:textId="4F32F48C" w:rsidR="00120433" w:rsidRPr="001455DC" w:rsidRDefault="00120433" w:rsidP="006230AE">
            <w:pPr>
              <w:pStyle w:val="Tablebody"/>
              <w:jc w:val="left"/>
            </w:pPr>
            <w:r w:rsidRPr="001455DC">
              <w:t>is the clear cover of the bar. For corner bars, the maximum value of the cover applies.</w:t>
            </w:r>
          </w:p>
        </w:tc>
      </w:tr>
      <w:tr w:rsidR="000D7949" w:rsidRPr="001455DC" w14:paraId="66A9E281" w14:textId="77777777" w:rsidTr="000D7949">
        <w:trPr>
          <w:cantSplit/>
        </w:trPr>
        <w:tc>
          <w:tcPr>
            <w:tcW w:w="9356" w:type="dxa"/>
            <w:gridSpan w:val="4"/>
          </w:tcPr>
          <w:p w14:paraId="5CB353FC" w14:textId="15BE3F69" w:rsidR="000D7949" w:rsidRPr="001455DC" w:rsidRDefault="000D7949" w:rsidP="000D7949">
            <w:pPr>
              <w:pStyle w:val="Tablebody"/>
              <w:ind w:left="397" w:hanging="397"/>
            </w:pPr>
            <w:r w:rsidRPr="001455DC">
              <w:rPr>
                <w:rFonts w:eastAsiaTheme="minorHAnsi"/>
              </w:rPr>
              <w:t>—</w:t>
            </w:r>
            <w:r w:rsidRPr="001455DC">
              <w:rPr>
                <w:rFonts w:eastAsiaTheme="minorHAnsi"/>
              </w:rPr>
              <w:tab/>
            </w:r>
            <w:r w:rsidRPr="001455DC">
              <w:t>For pure tension:</w:t>
            </w:r>
          </w:p>
        </w:tc>
      </w:tr>
      <w:tr w:rsidR="000D7949" w:rsidRPr="001455DC" w14:paraId="49A86A21" w14:textId="77777777" w:rsidTr="000D7949">
        <w:trPr>
          <w:cantSplit/>
        </w:trPr>
        <w:tc>
          <w:tcPr>
            <w:tcW w:w="397" w:type="dxa"/>
          </w:tcPr>
          <w:p w14:paraId="026D8DE5" w14:textId="6461DDBF" w:rsidR="000D7949" w:rsidRPr="001455DC" w:rsidRDefault="00120433" w:rsidP="00EC27D2">
            <w:pPr>
              <w:pStyle w:val="Tablebody"/>
            </w:pPr>
            <w:r w:rsidRPr="001455DC">
              <w:t> </w:t>
            </w:r>
          </w:p>
        </w:tc>
        <w:tc>
          <w:tcPr>
            <w:tcW w:w="7711" w:type="dxa"/>
            <w:gridSpan w:val="2"/>
            <w:vAlign w:val="center"/>
          </w:tcPr>
          <w:p w14:paraId="3FE92A7C" w14:textId="3FA9191E" w:rsidR="000D7949" w:rsidRPr="001455DC" w:rsidRDefault="000D7949" w:rsidP="00314515">
            <w:pPr>
              <w:pStyle w:val="Tablebody"/>
              <w:jc w:val="left"/>
            </w:pPr>
            <w:r w:rsidRPr="001455DC">
              <w:rPr>
                <w:rStyle w:val="CCMCvariableitalic"/>
              </w:rPr>
              <w:t>k</w:t>
            </w:r>
            <w:r w:rsidRPr="001455DC">
              <w:rPr>
                <w:rStyle w:val="CCMCvariablesubscript"/>
              </w:rPr>
              <w:t>fl</w:t>
            </w:r>
            <w:r w:rsidRPr="001455DC">
              <w:t> </w:t>
            </w:r>
            <w:r w:rsidR="00EC27D2" w:rsidRPr="001455DC">
              <w:rPr>
                <w:rFonts w:ascii="Cambria Math" w:hAnsi="Cambria Math"/>
              </w:rPr>
              <w:t>=</w:t>
            </w:r>
            <w:r w:rsidRPr="001455DC">
              <w:t> 1,00</w:t>
            </w:r>
          </w:p>
        </w:tc>
        <w:tc>
          <w:tcPr>
            <w:tcW w:w="1248" w:type="dxa"/>
            <w:vAlign w:val="center"/>
          </w:tcPr>
          <w:p w14:paraId="6F0FBBE6" w14:textId="53AEE123" w:rsidR="000D7949" w:rsidRPr="001455DC" w:rsidRDefault="000D7949" w:rsidP="00314515">
            <w:pPr>
              <w:pStyle w:val="Tablebody"/>
              <w:jc w:val="right"/>
            </w:pPr>
            <w:r w:rsidRPr="001455DC">
              <w:t>(9.22a)</w:t>
            </w:r>
          </w:p>
        </w:tc>
      </w:tr>
    </w:tbl>
    <w:p w14:paraId="06D6232F" w14:textId="7D77AE7E" w:rsidR="004E22C1" w:rsidRPr="001455DC" w:rsidRDefault="004E22C1" w:rsidP="00E844D2">
      <w:pPr>
        <w:pStyle w:val="a7"/>
        <w:keepNext/>
        <w:ind w:left="357" w:hanging="357"/>
      </w:pPr>
      <w:r w:rsidRPr="001455DC">
        <w:t>b)</w:t>
      </w:r>
      <w:r w:rsidR="00120433" w:rsidRPr="001455DC">
        <w:tab/>
      </w:r>
      <w:r w:rsidRPr="001455DC">
        <w:t xml:space="preserve">where spacing of bonded reinforcement in the tension zone is </w:t>
      </w:r>
      <w:r w:rsidRPr="001455DC">
        <w:rPr>
          <w:rStyle w:val="CCMCvariableitalic"/>
        </w:rPr>
        <w:t>s</w:t>
      </w:r>
      <w:r w:rsidRPr="001455DC">
        <w:t> </w:t>
      </w:r>
      <w:r w:rsidR="00650035" w:rsidRPr="001455DC">
        <w:rPr>
          <w:rFonts w:ascii="Cambria Math" w:hAnsi="Cambria Math"/>
        </w:rPr>
        <w:t>&gt;</w:t>
      </w:r>
      <w:r w:rsidR="00073FC6" w:rsidRPr="001455DC">
        <w:t> </w:t>
      </w:r>
      <w:r w:rsidRPr="001455DC">
        <w:t>10</w:t>
      </w:r>
      <w:r w:rsidRPr="001455DC">
        <w:rPr>
          <w:rStyle w:val="CCMCvariableitalic"/>
        </w:rPr>
        <w:t>ϕ</w:t>
      </w:r>
      <w:r w:rsidRPr="001455DC">
        <w:t xml:space="preserve"> or where there is no bonded reinforcement within the tension zone, the maximum crack spacing is: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120433" w:rsidRPr="001455DC" w14:paraId="14E2EDA4" w14:textId="77777777" w:rsidTr="00314515">
        <w:trPr>
          <w:cantSplit/>
        </w:trPr>
        <w:tc>
          <w:tcPr>
            <w:tcW w:w="8505" w:type="dxa"/>
            <w:vAlign w:val="center"/>
          </w:tcPr>
          <w:p w14:paraId="7595AA30" w14:textId="1D3D908A" w:rsidR="00120433" w:rsidRPr="001455DC" w:rsidRDefault="00120433">
            <w:pPr>
              <w:pStyle w:val="Formula"/>
              <w:jc w:val="left"/>
              <w:rPr>
                <w:lang w:val="de-DE"/>
              </w:rPr>
            </w:pPr>
            <w:r w:rsidRPr="001455DC">
              <w:rPr>
                <w:rStyle w:val="CCMCvariableitalic"/>
                <w:lang w:val="de-DE"/>
              </w:rPr>
              <w:t>s</w:t>
            </w:r>
            <w:r w:rsidRPr="001455DC">
              <w:rPr>
                <w:rStyle w:val="CCMCvariablesubscript"/>
                <w:lang w:val="de-DE"/>
              </w:rPr>
              <w:t>r,m,cal</w:t>
            </w:r>
            <w:r w:rsidRPr="001455DC">
              <w:rPr>
                <w:lang w:val="de-DE"/>
              </w:rPr>
              <w:t> </w:t>
            </w:r>
            <w:r w:rsidR="00EC27D2" w:rsidRPr="001455DC">
              <w:rPr>
                <w:rFonts w:ascii="Cambria Math" w:hAnsi="Cambria Math"/>
                <w:lang w:val="de-DE"/>
              </w:rPr>
              <w:t>=</w:t>
            </w:r>
            <w:r w:rsidRPr="001455DC">
              <w:rPr>
                <w:lang w:val="de-DE"/>
              </w:rPr>
              <w:t> 1,3 </w:t>
            </w:r>
            <w:r w:rsidRPr="001455DC">
              <w:rPr>
                <w:rFonts w:ascii="Cambria Math" w:hAnsi="Cambria Math" w:cs="Cambria Math"/>
                <w:lang w:val="de-DE"/>
              </w:rPr>
              <w:t>⋅</w:t>
            </w:r>
            <w:r w:rsidRPr="001455DC">
              <w:rPr>
                <w:lang w:val="de-DE"/>
              </w:rPr>
              <w:t> (</w:t>
            </w:r>
            <w:r w:rsidRPr="001455DC">
              <w:rPr>
                <w:rStyle w:val="CCMCvariableitalic"/>
                <w:lang w:val="de-DE"/>
              </w:rPr>
              <w:t>h</w:t>
            </w:r>
            <w:r w:rsidRPr="001455DC">
              <w:rPr>
                <w:lang w:val="de-DE"/>
              </w:rPr>
              <w:t> </w:t>
            </w:r>
            <w:r w:rsidR="00EC27D2" w:rsidRPr="001455DC">
              <w:rPr>
                <w:rFonts w:ascii="Cambria Math" w:hAnsi="Cambria Math"/>
                <w:lang w:val="de-DE"/>
              </w:rPr>
              <w:t>−</w:t>
            </w:r>
            <w:r w:rsidRPr="001455DC">
              <w:rPr>
                <w:lang w:val="de-DE"/>
              </w:rPr>
              <w:t> </w:t>
            </w:r>
            <w:r w:rsidRPr="001455DC">
              <w:rPr>
                <w:rStyle w:val="CCMCvariableitalic"/>
                <w:lang w:val="de-DE"/>
              </w:rPr>
              <w:t>x</w:t>
            </w:r>
            <w:r w:rsidRPr="001455DC">
              <w:rPr>
                <w:lang w:val="de-DE"/>
              </w:rPr>
              <w:t>)</w:t>
            </w:r>
          </w:p>
        </w:tc>
        <w:tc>
          <w:tcPr>
            <w:tcW w:w="1247" w:type="dxa"/>
            <w:vAlign w:val="center"/>
          </w:tcPr>
          <w:p w14:paraId="09AEE063" w14:textId="2CE8CF1B" w:rsidR="00120433" w:rsidRPr="001455DC" w:rsidRDefault="00120433" w:rsidP="00314515">
            <w:pPr>
              <w:pStyle w:val="a7"/>
              <w:jc w:val="right"/>
            </w:pPr>
            <w:r w:rsidRPr="001455DC">
              <w:t>(9.23)</w:t>
            </w:r>
          </w:p>
        </w:tc>
      </w:tr>
    </w:tbl>
    <w:p w14:paraId="7146E1BB" w14:textId="460AFFEB" w:rsidR="004E22C1" w:rsidRPr="001455DC" w:rsidRDefault="004E22C1" w:rsidP="006230AE">
      <w:pPr>
        <w:pStyle w:val="a7"/>
      </w:pPr>
      <w:r w:rsidRPr="001455DC">
        <w:t>(6)</w:t>
      </w:r>
      <w:r w:rsidRPr="001455DC">
        <w:tab/>
      </w:r>
      <w:bookmarkStart w:id="704" w:name="_Hlk512352167"/>
      <w:r w:rsidRPr="001455DC">
        <w:t xml:space="preserve">If in members reinforced in two orthogonal directions the angle </w:t>
      </w:r>
      <w:r w:rsidRPr="001455DC">
        <w:rPr>
          <w:rStyle w:val="CCMCvariableitalic"/>
        </w:rPr>
        <w:t>θ</w:t>
      </w:r>
      <w:r w:rsidRPr="001455DC">
        <w:t xml:space="preserve"> between the axes of principal compressive strain and the direction of the reinforcement in the </w:t>
      </w:r>
      <w:r w:rsidRPr="001455DC">
        <w:rPr>
          <w:rStyle w:val="CCMCvariableitalic"/>
        </w:rPr>
        <w:t>x</w:t>
      </w:r>
      <w:r w:rsidRPr="001455DC">
        <w:t xml:space="preserve">-direction is larger than 15° the crack width </w:t>
      </w:r>
      <w:r w:rsidR="001D08D2" w:rsidRPr="001455DC">
        <w:t xml:space="preserve">may </w:t>
      </w:r>
      <w:r w:rsidRPr="001455DC">
        <w:t>be calculated according to G.</w:t>
      </w:r>
      <w:r w:rsidR="008D35BC" w:rsidRPr="001455DC">
        <w:t>5</w:t>
      </w:r>
      <w:r w:rsidRPr="001455DC">
        <w:t>.</w:t>
      </w:r>
      <w:bookmarkEnd w:id="704"/>
    </w:p>
    <w:p w14:paraId="474EAF48" w14:textId="77777777" w:rsidR="004E22C1" w:rsidRPr="001455DC" w:rsidRDefault="004E22C1" w:rsidP="006230AE">
      <w:pPr>
        <w:pStyle w:val="a7"/>
      </w:pPr>
      <w:r w:rsidRPr="001455DC">
        <w:t>(7)</w:t>
      </w:r>
      <w:r w:rsidRPr="001455DC">
        <w:tab/>
        <w:t>When using strut-and-tie models or stress field models with the struts or compression fields oriented according to the compressive stress trajectories in the elastic state (cracked or uncracked), Formula (9.12) may be used to evaluate the crack widths by considering the tensioned reinforcement as a tie with the corresponding effective area around it. The cover to be considered in Formula (9.19) should be taken as the distance from the concrete surface to the edge of the nearest bar, even if the bar is not part of the strut-and-tie or stress field model (e.g. skin reinforcement, according to 9.2.2(5)).</w:t>
      </w:r>
    </w:p>
    <w:p w14:paraId="30A729CF" w14:textId="39B75EBF" w:rsidR="004E22C1" w:rsidRPr="001455DC" w:rsidRDefault="004E22C1" w:rsidP="006D682B">
      <w:pPr>
        <w:pStyle w:val="21"/>
      </w:pPr>
      <w:bookmarkStart w:id="705" w:name="_Ref463883804"/>
      <w:bookmarkStart w:id="706" w:name="_Toc52820011"/>
      <w:bookmarkStart w:id="707" w:name="_Toc54337405"/>
      <w:bookmarkStart w:id="708" w:name="_Toc54338068"/>
      <w:bookmarkStart w:id="709" w:name="_Toc67565412"/>
      <w:r w:rsidRPr="001455DC">
        <w:t>Deflection control</w:t>
      </w:r>
      <w:bookmarkEnd w:id="705"/>
      <w:bookmarkEnd w:id="706"/>
      <w:bookmarkEnd w:id="707"/>
      <w:bookmarkEnd w:id="708"/>
      <w:bookmarkEnd w:id="709"/>
    </w:p>
    <w:p w14:paraId="17FBBD13" w14:textId="4ABA8DD8" w:rsidR="004E22C1" w:rsidRPr="001455DC" w:rsidRDefault="004E22C1" w:rsidP="00243590">
      <w:pPr>
        <w:pStyle w:val="31"/>
      </w:pPr>
      <w:bookmarkStart w:id="710" w:name="_Ref463885178"/>
      <w:bookmarkStart w:id="711" w:name="_Toc52820012"/>
      <w:bookmarkStart w:id="712" w:name="_Toc54337406"/>
      <w:bookmarkStart w:id="713" w:name="_Toc54338069"/>
      <w:bookmarkStart w:id="714" w:name="_Toc67565413"/>
      <w:r w:rsidRPr="001455DC">
        <w:t>General consideration</w:t>
      </w:r>
      <w:bookmarkEnd w:id="710"/>
      <w:bookmarkEnd w:id="711"/>
      <w:bookmarkEnd w:id="712"/>
      <w:bookmarkEnd w:id="713"/>
      <w:bookmarkEnd w:id="714"/>
    </w:p>
    <w:p w14:paraId="2F913155" w14:textId="77777777" w:rsidR="004E22C1" w:rsidRPr="001455DC" w:rsidRDefault="004E22C1" w:rsidP="006230AE">
      <w:pPr>
        <w:pStyle w:val="a7"/>
      </w:pPr>
      <w:r w:rsidRPr="001455DC">
        <w:t>(1)</w:t>
      </w:r>
      <w:r w:rsidRPr="001455DC">
        <w:tab/>
        <w:t>The deformation of a member or structure should be such that it does not adversely affect its proper functioning or appearance. Appropriate limiting values of deflection taking into account the nature of the structure, of the finishes, partitions and fixings and upon the function of the structure should be established. Alternatively, it may be assumed that an acceptable function can be achieved if the requirements of (2) are met.</w:t>
      </w:r>
    </w:p>
    <w:p w14:paraId="701E62E4" w14:textId="7FEB9644" w:rsidR="004E22C1" w:rsidRPr="001455DC" w:rsidRDefault="004E22C1" w:rsidP="006230AE">
      <w:pPr>
        <w:pStyle w:val="a7"/>
      </w:pPr>
      <w:r w:rsidRPr="001455DC">
        <w:t>(2)</w:t>
      </w:r>
      <w:r w:rsidRPr="001455DC">
        <w:tab/>
      </w:r>
      <w:bookmarkStart w:id="715" w:name="_Hlk61443360"/>
      <w:r w:rsidRPr="001455DC">
        <w:t xml:space="preserve">With reference to </w:t>
      </w:r>
      <w:r w:rsidR="00A52A59" w:rsidRPr="0067270F">
        <w:rPr>
          <w:rFonts w:cstheme="minorBidi"/>
          <w:color w:val="000000" w:themeColor="text1"/>
          <w:lang w:eastAsia="en-US"/>
        </w:rPr>
        <w:t>pr</w:t>
      </w:r>
      <w:r w:rsidRPr="001455DC">
        <w:t>EN 1990</w:t>
      </w:r>
      <w:r w:rsidR="002F55E4" w:rsidRPr="001455DC">
        <w:t>:20</w:t>
      </w:r>
      <w:r w:rsidR="00A52A59">
        <w:t>20</w:t>
      </w:r>
      <w:r w:rsidRPr="001455DC">
        <w:t>, Annex A1.</w:t>
      </w:r>
      <w:r w:rsidR="00F86858">
        <w:t>7</w:t>
      </w:r>
      <w:r w:rsidRPr="001455DC">
        <w:t xml:space="preserve">, limits for vertical deflections according to Figure A1.1 should be specified for each project and agreed with the client. Indicative design values are given in </w:t>
      </w:r>
      <w:r w:rsidR="00A52A59">
        <w:t>pr</w:t>
      </w:r>
      <w:r w:rsidRPr="001455DC">
        <w:t>EN 1990</w:t>
      </w:r>
      <w:r w:rsidR="002F55E4" w:rsidRPr="001455DC">
        <w:t>:20</w:t>
      </w:r>
      <w:r w:rsidR="00A52A59">
        <w:t>20</w:t>
      </w:r>
      <w:r w:rsidRPr="001455DC">
        <w:t>, Annex A.</w:t>
      </w:r>
      <w:bookmarkEnd w:id="715"/>
    </w:p>
    <w:p w14:paraId="58C4BCF0" w14:textId="144BDF42" w:rsidR="004E22C1" w:rsidRPr="001455DC" w:rsidRDefault="004E22C1" w:rsidP="006230AE">
      <w:pPr>
        <w:pStyle w:val="a7"/>
      </w:pPr>
      <w:r w:rsidRPr="001455DC">
        <w:t>(3)</w:t>
      </w:r>
      <w:r w:rsidRPr="001455DC">
        <w:tab/>
        <w:t>In reinforced concrete beams or slabs in buildings, deflections may be controlled indirectly by limiting the span-to-effective depth ratio as in 9.3.2, or by explicit verification as in 9.3.3. The general method of 9.3.4 may be applied to any type of concrete structure.</w:t>
      </w:r>
    </w:p>
    <w:p w14:paraId="0E9123A0" w14:textId="5AAEDE75" w:rsidR="004E22C1" w:rsidRPr="001455DC" w:rsidRDefault="004E22C1" w:rsidP="006230AE">
      <w:pPr>
        <w:pStyle w:val="Note"/>
      </w:pPr>
      <w:r w:rsidRPr="001455DC">
        <w:t>NOTE</w:t>
      </w:r>
      <w:r w:rsidR="006230AE" w:rsidRPr="001455DC">
        <w:tab/>
      </w:r>
      <w:r w:rsidRPr="001455DC">
        <w:t>The actual deformations can differ from the estimated values (either according to 9.3.3 or 9.3.4), particularly if the values of applied moments are close to the cracking moment. The differences will depend on the scatter of the material properties, on the environmental conditions, on the load history, on the restraints at the supports, ground conditions, etc.</w:t>
      </w:r>
    </w:p>
    <w:p w14:paraId="71105BD5" w14:textId="019924E5" w:rsidR="004E22C1" w:rsidRPr="001455DC" w:rsidRDefault="004E22C1" w:rsidP="00243590">
      <w:pPr>
        <w:pStyle w:val="31"/>
      </w:pPr>
      <w:bookmarkStart w:id="716" w:name="_Toc52820013"/>
      <w:bookmarkStart w:id="717" w:name="_Toc54337407"/>
      <w:bookmarkStart w:id="718" w:name="_Toc54338070"/>
      <w:bookmarkStart w:id="719" w:name="_Toc67565414"/>
      <w:r w:rsidRPr="001455DC">
        <w:t>Simplified deflection control by span/depth-ratio</w:t>
      </w:r>
      <w:bookmarkEnd w:id="716"/>
      <w:bookmarkEnd w:id="717"/>
      <w:bookmarkEnd w:id="718"/>
      <w:bookmarkEnd w:id="719"/>
    </w:p>
    <w:p w14:paraId="1B9FE8C0" w14:textId="77777777" w:rsidR="004E22C1" w:rsidRPr="001455DC" w:rsidRDefault="004E22C1" w:rsidP="006230AE">
      <w:pPr>
        <w:pStyle w:val="a7"/>
      </w:pPr>
      <w:r w:rsidRPr="001455DC">
        <w:t>(1)</w:t>
      </w:r>
      <w:r w:rsidRPr="001455DC">
        <w:tab/>
        <w:t>Provided that reinforced concrete beams or slabs in buildings, subjected to predominantly uniformly distributed loads, are dimensioned in compliance with the limits of span to effective depth ratio given in Table 9.3, their deflections may be considered as not exceeding the limits set out in 9.3.1(2). In such cases explicit verification of the deflections may be omitted.</w:t>
      </w:r>
    </w:p>
    <w:p w14:paraId="60B0D6A7" w14:textId="77777777" w:rsidR="004E22C1" w:rsidRPr="001455DC" w:rsidRDefault="004E22C1" w:rsidP="00B556B5">
      <w:pPr>
        <w:pStyle w:val="Tabletitle"/>
      </w:pPr>
      <w:bookmarkStart w:id="720" w:name="_Toc54337408"/>
      <w:r w:rsidRPr="001455DC">
        <w:t xml:space="preserve">Table 9.3 — Limiting span/effective depth ratios </w:t>
      </w:r>
      <w:r w:rsidRPr="001455DC">
        <w:rPr>
          <w:rStyle w:val="CCMCvariableitalic"/>
        </w:rPr>
        <w:t>l</w:t>
      </w:r>
      <w:r w:rsidRPr="001455DC">
        <w:t>/</w:t>
      </w:r>
      <w:r w:rsidRPr="001455DC">
        <w:rPr>
          <w:rStyle w:val="CCMCvariableitalic"/>
        </w:rPr>
        <w:t>d</w:t>
      </w:r>
      <w:bookmarkEnd w:id="720"/>
    </w:p>
    <w:tbl>
      <w:tblPr>
        <w:tblStyle w:val="53"/>
        <w:tblW w:w="9752" w:type="dxa"/>
        <w:tblLayout w:type="fixed"/>
        <w:tblLook w:val="0660" w:firstRow="1" w:lastRow="1" w:firstColumn="0" w:lastColumn="0" w:noHBand="1" w:noVBand="1"/>
      </w:tblPr>
      <w:tblGrid>
        <w:gridCol w:w="395"/>
        <w:gridCol w:w="2292"/>
        <w:gridCol w:w="762"/>
        <w:gridCol w:w="761"/>
        <w:gridCol w:w="782"/>
        <w:gridCol w:w="762"/>
        <w:gridCol w:w="829"/>
        <w:gridCol w:w="770"/>
        <w:gridCol w:w="770"/>
        <w:gridCol w:w="782"/>
        <w:gridCol w:w="847"/>
      </w:tblGrid>
      <w:tr w:rsidR="004E22C1" w:rsidRPr="001455DC" w14:paraId="4A53E074" w14:textId="77777777" w:rsidTr="00120433">
        <w:trPr>
          <w:cnfStyle w:val="100000000000" w:firstRow="1" w:lastRow="0" w:firstColumn="0" w:lastColumn="0" w:oddVBand="0" w:evenVBand="0" w:oddHBand="0" w:evenHBand="0" w:firstRowFirstColumn="0" w:firstRowLastColumn="0" w:lastRowFirstColumn="0" w:lastRowLastColumn="0"/>
          <w:cantSplit/>
          <w:tblHeader/>
        </w:trPr>
        <w:tc>
          <w:tcPr>
            <w:tcW w:w="339" w:type="dxa"/>
            <w:vMerge w:val="restart"/>
          </w:tcPr>
          <w:p w14:paraId="7B27BAC0" w14:textId="77777777" w:rsidR="004E22C1" w:rsidRPr="009D3012" w:rsidRDefault="004E22C1" w:rsidP="00CC03E3">
            <w:pPr>
              <w:pStyle w:val="Tableheader"/>
              <w:keepNext/>
              <w:rPr>
                <w:rFonts w:eastAsiaTheme="minorHAnsi"/>
                <w:szCs w:val="22"/>
                <w:lang w:val="en-US"/>
              </w:rPr>
            </w:pPr>
          </w:p>
        </w:tc>
        <w:tc>
          <w:tcPr>
            <w:tcW w:w="1965" w:type="dxa"/>
            <w:vMerge w:val="restart"/>
          </w:tcPr>
          <w:p w14:paraId="3E346225" w14:textId="77777777" w:rsidR="004E22C1" w:rsidRPr="001455DC" w:rsidRDefault="004E22C1" w:rsidP="00CC03E3">
            <w:pPr>
              <w:pStyle w:val="Tableheader"/>
              <w:keepNext/>
              <w:rPr>
                <w:rFonts w:eastAsiaTheme="minorHAnsi"/>
                <w:szCs w:val="22"/>
              </w:rPr>
            </w:pPr>
            <w:r w:rsidRPr="001455DC">
              <w:rPr>
                <w:rFonts w:eastAsiaTheme="minorHAnsi"/>
                <w:szCs w:val="22"/>
              </w:rPr>
              <w:t>Structural system</w:t>
            </w:r>
          </w:p>
        </w:tc>
        <w:tc>
          <w:tcPr>
            <w:tcW w:w="6055" w:type="dxa"/>
            <w:gridSpan w:val="9"/>
          </w:tcPr>
          <w:p w14:paraId="7AA5EBCC" w14:textId="3358C1A7" w:rsidR="004E22C1" w:rsidRPr="009D3012" w:rsidRDefault="004E22C1" w:rsidP="00CC03E3">
            <w:pPr>
              <w:pStyle w:val="Tableheader"/>
              <w:keepNext/>
              <w:rPr>
                <w:szCs w:val="22"/>
              </w:rPr>
            </w:pPr>
            <w:r w:rsidRPr="001455DC">
              <w:rPr>
                <w:szCs w:val="22"/>
              </w:rPr>
              <w:t>Required mechanical reinforcement ratio</w:t>
            </w:r>
            <w:r w:rsidRPr="001455DC">
              <w:rPr>
                <w:rStyle w:val="CCMCvariablesuperscript"/>
                <w:b w:val="0"/>
                <w:bCs/>
                <w:szCs w:val="22"/>
              </w:rPr>
              <w:t>a</w:t>
            </w:r>
          </w:p>
        </w:tc>
      </w:tr>
      <w:tr w:rsidR="004E22C1" w:rsidRPr="001455DC" w14:paraId="24363C1F" w14:textId="77777777" w:rsidTr="00120433">
        <w:trPr>
          <w:cnfStyle w:val="100000000000" w:firstRow="1" w:lastRow="0" w:firstColumn="0" w:lastColumn="0" w:oddVBand="0" w:evenVBand="0" w:oddHBand="0" w:evenHBand="0" w:firstRowFirstColumn="0" w:firstRowLastColumn="0" w:lastRowFirstColumn="0" w:lastRowLastColumn="0"/>
          <w:cantSplit/>
          <w:tblHeader/>
        </w:trPr>
        <w:tc>
          <w:tcPr>
            <w:tcW w:w="339" w:type="dxa"/>
            <w:vMerge/>
          </w:tcPr>
          <w:p w14:paraId="0ED698FC" w14:textId="77777777" w:rsidR="004E22C1" w:rsidRPr="001455DC" w:rsidRDefault="004E22C1" w:rsidP="00CC03E3">
            <w:pPr>
              <w:pStyle w:val="Tableheader"/>
              <w:keepNext/>
              <w:rPr>
                <w:rFonts w:eastAsiaTheme="minorHAnsi"/>
                <w:szCs w:val="22"/>
              </w:rPr>
            </w:pPr>
          </w:p>
        </w:tc>
        <w:tc>
          <w:tcPr>
            <w:tcW w:w="1965" w:type="dxa"/>
            <w:vMerge/>
          </w:tcPr>
          <w:p w14:paraId="59B7C307" w14:textId="77777777" w:rsidR="004E22C1" w:rsidRPr="001455DC" w:rsidRDefault="004E22C1" w:rsidP="00CC03E3">
            <w:pPr>
              <w:pStyle w:val="Tableheader"/>
              <w:keepNext/>
              <w:rPr>
                <w:rFonts w:eastAsiaTheme="minorHAnsi"/>
                <w:szCs w:val="22"/>
              </w:rPr>
            </w:pPr>
          </w:p>
        </w:tc>
        <w:tc>
          <w:tcPr>
            <w:tcW w:w="1975" w:type="dxa"/>
            <w:gridSpan w:val="3"/>
          </w:tcPr>
          <w:p w14:paraId="79C1C851" w14:textId="21505A15" w:rsidR="004E22C1" w:rsidRPr="001455DC" w:rsidRDefault="004E22C1" w:rsidP="00CC03E3">
            <w:pPr>
              <w:pStyle w:val="Tableheader"/>
              <w:keepNext/>
              <w:rPr>
                <w:rFonts w:eastAsiaTheme="minorHAnsi"/>
                <w:szCs w:val="22"/>
              </w:rPr>
            </w:pPr>
            <w:r w:rsidRPr="001455DC">
              <w:rPr>
                <w:rStyle w:val="CCMCvariableitalic"/>
                <w:szCs w:val="22"/>
              </w:rPr>
              <w:t>ω</w:t>
            </w:r>
            <w:r w:rsidRPr="001455DC">
              <w:rPr>
                <w:rStyle w:val="CCMCvariablesubscript"/>
                <w:szCs w:val="22"/>
              </w:rPr>
              <w:t>r</w:t>
            </w:r>
            <w:r w:rsidRPr="001455DC">
              <w:rPr>
                <w:szCs w:val="22"/>
              </w:rPr>
              <w:t> </w:t>
            </w:r>
            <w:r w:rsidR="00EC27D2" w:rsidRPr="001455DC">
              <w:rPr>
                <w:rFonts w:ascii="Cambria Math" w:hAnsi="Cambria Math"/>
                <w:szCs w:val="22"/>
              </w:rPr>
              <w:t>=</w:t>
            </w:r>
            <w:r w:rsidRPr="001455DC">
              <w:rPr>
                <w:szCs w:val="22"/>
              </w:rPr>
              <w:t> 0,3</w:t>
            </w:r>
          </w:p>
        </w:tc>
        <w:tc>
          <w:tcPr>
            <w:tcW w:w="2024" w:type="dxa"/>
            <w:gridSpan w:val="3"/>
          </w:tcPr>
          <w:p w14:paraId="1A2ED765" w14:textId="6C5A67EA" w:rsidR="004E22C1" w:rsidRPr="001455DC" w:rsidRDefault="004E22C1" w:rsidP="00CC03E3">
            <w:pPr>
              <w:pStyle w:val="Tableheader"/>
              <w:keepNext/>
              <w:rPr>
                <w:rFonts w:eastAsiaTheme="minorHAnsi"/>
                <w:szCs w:val="22"/>
              </w:rPr>
            </w:pPr>
            <w:r w:rsidRPr="001455DC">
              <w:rPr>
                <w:rStyle w:val="CCMCvariableitalic"/>
                <w:szCs w:val="22"/>
              </w:rPr>
              <w:t>ω</w:t>
            </w:r>
            <w:r w:rsidRPr="001455DC">
              <w:rPr>
                <w:rStyle w:val="CCMCvariablesubscript"/>
                <w:szCs w:val="22"/>
              </w:rPr>
              <w:t>r</w:t>
            </w:r>
            <w:r w:rsidRPr="001455DC">
              <w:rPr>
                <w:szCs w:val="22"/>
              </w:rPr>
              <w:t> </w:t>
            </w:r>
            <w:r w:rsidR="00EC27D2" w:rsidRPr="001455DC">
              <w:rPr>
                <w:rFonts w:ascii="Cambria Math" w:hAnsi="Cambria Math"/>
                <w:szCs w:val="22"/>
              </w:rPr>
              <w:t>=</w:t>
            </w:r>
            <w:r w:rsidRPr="001455DC">
              <w:rPr>
                <w:szCs w:val="22"/>
              </w:rPr>
              <w:t> 0,2</w:t>
            </w:r>
          </w:p>
        </w:tc>
        <w:tc>
          <w:tcPr>
            <w:tcW w:w="2056" w:type="dxa"/>
            <w:gridSpan w:val="3"/>
          </w:tcPr>
          <w:p w14:paraId="1209FCDC" w14:textId="478FDB5E" w:rsidR="004E22C1" w:rsidRPr="001455DC" w:rsidRDefault="004E22C1" w:rsidP="00CC03E3">
            <w:pPr>
              <w:pStyle w:val="Tableheader"/>
              <w:keepNext/>
              <w:rPr>
                <w:rFonts w:eastAsiaTheme="minorHAnsi"/>
                <w:szCs w:val="22"/>
              </w:rPr>
            </w:pPr>
            <w:r w:rsidRPr="001455DC">
              <w:rPr>
                <w:rStyle w:val="CCMCvariableitalic"/>
                <w:szCs w:val="22"/>
              </w:rPr>
              <w:t>ω</w:t>
            </w:r>
            <w:r w:rsidRPr="001455DC">
              <w:rPr>
                <w:rStyle w:val="CCMCvariablesubscript"/>
                <w:szCs w:val="22"/>
              </w:rPr>
              <w:t>r</w:t>
            </w:r>
            <w:r w:rsidRPr="001455DC">
              <w:rPr>
                <w:szCs w:val="22"/>
              </w:rPr>
              <w:t> </w:t>
            </w:r>
            <w:r w:rsidR="00EC27D2" w:rsidRPr="001455DC">
              <w:rPr>
                <w:rFonts w:ascii="Cambria Math" w:hAnsi="Cambria Math"/>
                <w:szCs w:val="22"/>
              </w:rPr>
              <w:t>=</w:t>
            </w:r>
            <w:r w:rsidRPr="001455DC">
              <w:rPr>
                <w:szCs w:val="22"/>
              </w:rPr>
              <w:t> 0,1</w:t>
            </w:r>
          </w:p>
        </w:tc>
      </w:tr>
      <w:tr w:rsidR="004E22C1" w:rsidRPr="001455DC" w14:paraId="1C3A9AF1" w14:textId="77777777" w:rsidTr="00120433">
        <w:trPr>
          <w:cnfStyle w:val="100000000000" w:firstRow="1" w:lastRow="0" w:firstColumn="0" w:lastColumn="0" w:oddVBand="0" w:evenVBand="0" w:oddHBand="0" w:evenHBand="0" w:firstRowFirstColumn="0" w:firstRowLastColumn="0" w:lastRowFirstColumn="0" w:lastRowLastColumn="0"/>
          <w:cantSplit/>
          <w:tblHeader/>
        </w:trPr>
        <w:tc>
          <w:tcPr>
            <w:tcW w:w="339" w:type="dxa"/>
            <w:vMerge/>
          </w:tcPr>
          <w:p w14:paraId="4FAD2D94" w14:textId="77777777" w:rsidR="004E22C1" w:rsidRPr="001455DC" w:rsidRDefault="004E22C1" w:rsidP="00CC03E3">
            <w:pPr>
              <w:pStyle w:val="Tableheader"/>
              <w:keepNext/>
              <w:rPr>
                <w:rFonts w:eastAsiaTheme="minorHAnsi"/>
                <w:szCs w:val="22"/>
              </w:rPr>
            </w:pPr>
          </w:p>
        </w:tc>
        <w:tc>
          <w:tcPr>
            <w:tcW w:w="1965" w:type="dxa"/>
            <w:vMerge/>
          </w:tcPr>
          <w:p w14:paraId="41BA6912" w14:textId="77777777" w:rsidR="004E22C1" w:rsidRPr="001455DC" w:rsidRDefault="004E22C1" w:rsidP="00CC03E3">
            <w:pPr>
              <w:pStyle w:val="Tableheader"/>
              <w:keepNext/>
              <w:rPr>
                <w:rFonts w:eastAsiaTheme="minorHAnsi"/>
                <w:szCs w:val="22"/>
              </w:rPr>
            </w:pPr>
          </w:p>
        </w:tc>
        <w:tc>
          <w:tcPr>
            <w:tcW w:w="1975" w:type="dxa"/>
            <w:gridSpan w:val="3"/>
          </w:tcPr>
          <w:p w14:paraId="275DBD5E" w14:textId="01583621" w:rsidR="004E22C1" w:rsidRPr="001455DC" w:rsidRDefault="004E22C1" w:rsidP="00CC03E3">
            <w:pPr>
              <w:pStyle w:val="Tableheader"/>
              <w:keepNext/>
              <w:rPr>
                <w:rFonts w:eastAsiaTheme="minorHAnsi"/>
                <w:szCs w:val="22"/>
              </w:rPr>
            </w:pPr>
            <w:r w:rsidRPr="001455DC">
              <w:rPr>
                <w:rStyle w:val="CCMCvariableitalic"/>
                <w:szCs w:val="22"/>
              </w:rPr>
              <w:t>LL</w:t>
            </w:r>
            <w:r w:rsidRPr="001455DC">
              <w:rPr>
                <w:szCs w:val="22"/>
              </w:rPr>
              <w:t>/</w:t>
            </w:r>
            <w:r w:rsidRPr="001455DC">
              <w:rPr>
                <w:rStyle w:val="CCMCvariableitalic"/>
                <w:szCs w:val="22"/>
              </w:rPr>
              <w:t>TL</w:t>
            </w:r>
            <w:r w:rsidRPr="001455DC">
              <w:rPr>
                <w:rStyle w:val="CCMCvariablesuperscript"/>
                <w:b w:val="0"/>
                <w:bCs/>
                <w:szCs w:val="22"/>
              </w:rPr>
              <w:t>b</w:t>
            </w:r>
          </w:p>
        </w:tc>
        <w:tc>
          <w:tcPr>
            <w:tcW w:w="2024" w:type="dxa"/>
            <w:gridSpan w:val="3"/>
          </w:tcPr>
          <w:p w14:paraId="52369338" w14:textId="6BDC6694" w:rsidR="004E22C1" w:rsidRPr="001455DC" w:rsidRDefault="004E22C1" w:rsidP="00CC03E3">
            <w:pPr>
              <w:pStyle w:val="Tableheader"/>
              <w:keepNext/>
              <w:rPr>
                <w:rFonts w:eastAsiaTheme="minorHAnsi"/>
                <w:szCs w:val="22"/>
              </w:rPr>
            </w:pPr>
            <w:r w:rsidRPr="001455DC">
              <w:rPr>
                <w:rStyle w:val="CCMCvariableitalic"/>
                <w:szCs w:val="22"/>
              </w:rPr>
              <w:t>LL</w:t>
            </w:r>
            <w:r w:rsidRPr="001455DC">
              <w:rPr>
                <w:szCs w:val="22"/>
              </w:rPr>
              <w:t>/</w:t>
            </w:r>
            <w:r w:rsidRPr="001455DC">
              <w:rPr>
                <w:rStyle w:val="CCMCvariableitalic"/>
                <w:szCs w:val="22"/>
              </w:rPr>
              <w:t>TL</w:t>
            </w:r>
            <w:r w:rsidRPr="001455DC">
              <w:rPr>
                <w:rStyle w:val="CCMCvariablesuperscript"/>
                <w:b w:val="0"/>
                <w:bCs/>
                <w:szCs w:val="22"/>
              </w:rPr>
              <w:t>b</w:t>
            </w:r>
          </w:p>
        </w:tc>
        <w:tc>
          <w:tcPr>
            <w:tcW w:w="2056" w:type="dxa"/>
            <w:gridSpan w:val="3"/>
          </w:tcPr>
          <w:p w14:paraId="12BA9D8B" w14:textId="6F09F3D7" w:rsidR="004E22C1" w:rsidRPr="001455DC" w:rsidRDefault="004E22C1" w:rsidP="00CC03E3">
            <w:pPr>
              <w:pStyle w:val="Tableheader"/>
              <w:keepNext/>
              <w:rPr>
                <w:rFonts w:eastAsiaTheme="minorHAnsi"/>
                <w:szCs w:val="22"/>
              </w:rPr>
            </w:pPr>
            <w:r w:rsidRPr="001455DC">
              <w:rPr>
                <w:rStyle w:val="CCMCvariableitalic"/>
                <w:szCs w:val="22"/>
              </w:rPr>
              <w:t>LL</w:t>
            </w:r>
            <w:r w:rsidRPr="001455DC">
              <w:rPr>
                <w:szCs w:val="22"/>
              </w:rPr>
              <w:t>/</w:t>
            </w:r>
            <w:r w:rsidRPr="001455DC">
              <w:rPr>
                <w:rStyle w:val="CCMCvariableitalic"/>
                <w:szCs w:val="22"/>
              </w:rPr>
              <w:t>TL</w:t>
            </w:r>
            <w:r w:rsidRPr="001455DC">
              <w:rPr>
                <w:rStyle w:val="CCMCvariablesuperscript"/>
                <w:b w:val="0"/>
                <w:bCs/>
                <w:szCs w:val="22"/>
              </w:rPr>
              <w:t>b</w:t>
            </w:r>
          </w:p>
        </w:tc>
      </w:tr>
      <w:tr w:rsidR="004E22C1" w:rsidRPr="001455DC" w14:paraId="77F0338D" w14:textId="77777777" w:rsidTr="00120433">
        <w:trPr>
          <w:cnfStyle w:val="100000000000" w:firstRow="1" w:lastRow="0" w:firstColumn="0" w:lastColumn="0" w:oddVBand="0" w:evenVBand="0" w:oddHBand="0" w:evenHBand="0" w:firstRowFirstColumn="0" w:firstRowLastColumn="0" w:lastRowFirstColumn="0" w:lastRowLastColumn="0"/>
          <w:cantSplit/>
          <w:tblHeader/>
        </w:trPr>
        <w:tc>
          <w:tcPr>
            <w:tcW w:w="339" w:type="dxa"/>
            <w:vMerge/>
          </w:tcPr>
          <w:p w14:paraId="0F56C0EF" w14:textId="77777777" w:rsidR="004E22C1" w:rsidRPr="001455DC" w:rsidRDefault="004E22C1" w:rsidP="00CC03E3">
            <w:pPr>
              <w:pStyle w:val="Tableheader"/>
              <w:keepNext/>
              <w:rPr>
                <w:rFonts w:eastAsiaTheme="minorHAnsi"/>
                <w:szCs w:val="22"/>
              </w:rPr>
            </w:pPr>
          </w:p>
        </w:tc>
        <w:tc>
          <w:tcPr>
            <w:tcW w:w="1965" w:type="dxa"/>
            <w:vMerge/>
          </w:tcPr>
          <w:p w14:paraId="0E3438D7" w14:textId="77777777" w:rsidR="004E22C1" w:rsidRPr="001455DC" w:rsidRDefault="004E22C1" w:rsidP="00CC03E3">
            <w:pPr>
              <w:pStyle w:val="Tableheader"/>
              <w:keepNext/>
              <w:rPr>
                <w:rFonts w:eastAsiaTheme="minorHAnsi"/>
                <w:szCs w:val="22"/>
              </w:rPr>
            </w:pPr>
          </w:p>
        </w:tc>
        <w:tc>
          <w:tcPr>
            <w:tcW w:w="653" w:type="dxa"/>
          </w:tcPr>
          <w:p w14:paraId="0475436F" w14:textId="77777777" w:rsidR="004E22C1" w:rsidRPr="001455DC" w:rsidRDefault="004E22C1" w:rsidP="00CC03E3">
            <w:pPr>
              <w:pStyle w:val="Tableheader"/>
              <w:keepNext/>
              <w:rPr>
                <w:rFonts w:eastAsiaTheme="minorHAnsi"/>
                <w:szCs w:val="22"/>
              </w:rPr>
            </w:pPr>
            <w:r w:rsidRPr="001455DC">
              <w:rPr>
                <w:szCs w:val="22"/>
              </w:rPr>
              <w:t>60 %</w:t>
            </w:r>
          </w:p>
        </w:tc>
        <w:tc>
          <w:tcPr>
            <w:tcW w:w="652" w:type="dxa"/>
          </w:tcPr>
          <w:p w14:paraId="21A8BD10" w14:textId="77777777" w:rsidR="004E22C1" w:rsidRPr="001455DC" w:rsidRDefault="004E22C1" w:rsidP="00CC03E3">
            <w:pPr>
              <w:pStyle w:val="Tableheader"/>
              <w:keepNext/>
              <w:rPr>
                <w:rFonts w:eastAsiaTheme="minorHAnsi"/>
                <w:szCs w:val="22"/>
              </w:rPr>
            </w:pPr>
            <w:r w:rsidRPr="001455DC">
              <w:rPr>
                <w:szCs w:val="22"/>
              </w:rPr>
              <w:t>45 %</w:t>
            </w:r>
          </w:p>
        </w:tc>
        <w:tc>
          <w:tcPr>
            <w:tcW w:w="670" w:type="dxa"/>
          </w:tcPr>
          <w:p w14:paraId="6169CA14" w14:textId="77777777" w:rsidR="004E22C1" w:rsidRPr="001455DC" w:rsidRDefault="004E22C1" w:rsidP="00CC03E3">
            <w:pPr>
              <w:pStyle w:val="Tableheader"/>
              <w:keepNext/>
              <w:rPr>
                <w:rFonts w:eastAsiaTheme="minorHAnsi"/>
                <w:szCs w:val="22"/>
              </w:rPr>
            </w:pPr>
            <w:r w:rsidRPr="001455DC">
              <w:rPr>
                <w:szCs w:val="22"/>
              </w:rPr>
              <w:t>30 %</w:t>
            </w:r>
          </w:p>
        </w:tc>
        <w:tc>
          <w:tcPr>
            <w:tcW w:w="653" w:type="dxa"/>
          </w:tcPr>
          <w:p w14:paraId="327A551B" w14:textId="77777777" w:rsidR="004E22C1" w:rsidRPr="001455DC" w:rsidRDefault="004E22C1" w:rsidP="00CC03E3">
            <w:pPr>
              <w:pStyle w:val="Tableheader"/>
              <w:keepNext/>
              <w:rPr>
                <w:rFonts w:eastAsiaTheme="minorHAnsi"/>
                <w:szCs w:val="22"/>
              </w:rPr>
            </w:pPr>
            <w:r w:rsidRPr="001455DC">
              <w:rPr>
                <w:szCs w:val="22"/>
              </w:rPr>
              <w:t>60 %</w:t>
            </w:r>
          </w:p>
        </w:tc>
        <w:tc>
          <w:tcPr>
            <w:tcW w:w="711" w:type="dxa"/>
          </w:tcPr>
          <w:p w14:paraId="1A1FBF9B" w14:textId="77777777" w:rsidR="004E22C1" w:rsidRPr="001455DC" w:rsidRDefault="004E22C1" w:rsidP="00CC03E3">
            <w:pPr>
              <w:pStyle w:val="Tableheader"/>
              <w:keepNext/>
              <w:rPr>
                <w:rFonts w:eastAsiaTheme="minorHAnsi"/>
                <w:szCs w:val="22"/>
              </w:rPr>
            </w:pPr>
            <w:r w:rsidRPr="001455DC">
              <w:rPr>
                <w:szCs w:val="22"/>
              </w:rPr>
              <w:t>45 %</w:t>
            </w:r>
          </w:p>
        </w:tc>
        <w:tc>
          <w:tcPr>
            <w:tcW w:w="660" w:type="dxa"/>
          </w:tcPr>
          <w:p w14:paraId="4F066C22" w14:textId="77777777" w:rsidR="004E22C1" w:rsidRPr="001455DC" w:rsidRDefault="004E22C1" w:rsidP="00CC03E3">
            <w:pPr>
              <w:pStyle w:val="Tableheader"/>
              <w:keepNext/>
              <w:rPr>
                <w:rFonts w:eastAsiaTheme="minorHAnsi"/>
                <w:szCs w:val="22"/>
              </w:rPr>
            </w:pPr>
            <w:r w:rsidRPr="001455DC">
              <w:rPr>
                <w:szCs w:val="22"/>
              </w:rPr>
              <w:t>30 %</w:t>
            </w:r>
          </w:p>
        </w:tc>
        <w:tc>
          <w:tcPr>
            <w:tcW w:w="660" w:type="dxa"/>
          </w:tcPr>
          <w:p w14:paraId="446F317D" w14:textId="77777777" w:rsidR="004E22C1" w:rsidRPr="001455DC" w:rsidRDefault="004E22C1" w:rsidP="00CC03E3">
            <w:pPr>
              <w:pStyle w:val="Tableheader"/>
              <w:keepNext/>
              <w:rPr>
                <w:rFonts w:eastAsiaTheme="minorHAnsi"/>
                <w:szCs w:val="22"/>
              </w:rPr>
            </w:pPr>
            <w:r w:rsidRPr="001455DC">
              <w:rPr>
                <w:szCs w:val="22"/>
              </w:rPr>
              <w:t>60 %</w:t>
            </w:r>
          </w:p>
        </w:tc>
        <w:tc>
          <w:tcPr>
            <w:tcW w:w="670" w:type="dxa"/>
          </w:tcPr>
          <w:p w14:paraId="78CA59C7" w14:textId="77777777" w:rsidR="004E22C1" w:rsidRPr="001455DC" w:rsidRDefault="004E22C1" w:rsidP="00CC03E3">
            <w:pPr>
              <w:pStyle w:val="Tableheader"/>
              <w:keepNext/>
              <w:rPr>
                <w:rFonts w:eastAsiaTheme="minorHAnsi"/>
                <w:szCs w:val="22"/>
              </w:rPr>
            </w:pPr>
            <w:r w:rsidRPr="001455DC">
              <w:rPr>
                <w:szCs w:val="22"/>
              </w:rPr>
              <w:t>45 %</w:t>
            </w:r>
          </w:p>
        </w:tc>
        <w:tc>
          <w:tcPr>
            <w:tcW w:w="726" w:type="dxa"/>
          </w:tcPr>
          <w:p w14:paraId="05E3318A" w14:textId="77777777" w:rsidR="004E22C1" w:rsidRPr="001455DC" w:rsidRDefault="004E22C1" w:rsidP="00CC03E3">
            <w:pPr>
              <w:pStyle w:val="Tableheader"/>
              <w:keepNext/>
              <w:rPr>
                <w:rFonts w:eastAsiaTheme="minorHAnsi"/>
                <w:szCs w:val="22"/>
              </w:rPr>
            </w:pPr>
            <w:r w:rsidRPr="001455DC">
              <w:rPr>
                <w:szCs w:val="22"/>
              </w:rPr>
              <w:t>30 %</w:t>
            </w:r>
          </w:p>
        </w:tc>
      </w:tr>
      <w:tr w:rsidR="004E22C1" w:rsidRPr="001455DC" w14:paraId="00A87AD3" w14:textId="77777777" w:rsidTr="00120433">
        <w:trPr>
          <w:cantSplit/>
        </w:trPr>
        <w:tc>
          <w:tcPr>
            <w:tcW w:w="339" w:type="dxa"/>
            <w:vAlign w:val="center"/>
          </w:tcPr>
          <w:p w14:paraId="54F69FCF" w14:textId="77777777" w:rsidR="004E22C1" w:rsidRPr="001455DC" w:rsidRDefault="004E22C1" w:rsidP="00CC03E3">
            <w:pPr>
              <w:pStyle w:val="Tablebody"/>
              <w:keepNext/>
              <w:jc w:val="center"/>
              <w:rPr>
                <w:rFonts w:eastAsiaTheme="minorHAnsi"/>
              </w:rPr>
            </w:pPr>
            <w:r w:rsidRPr="001455DC">
              <w:rPr>
                <w:rFonts w:eastAsiaTheme="minorHAnsi"/>
              </w:rPr>
              <w:t>1</w:t>
            </w:r>
          </w:p>
        </w:tc>
        <w:tc>
          <w:tcPr>
            <w:tcW w:w="1965" w:type="dxa"/>
            <w:vAlign w:val="center"/>
          </w:tcPr>
          <w:p w14:paraId="145D9E25" w14:textId="77777777" w:rsidR="004E22C1" w:rsidRPr="009D3012" w:rsidRDefault="004E22C1" w:rsidP="00CC03E3">
            <w:pPr>
              <w:pStyle w:val="Tablebody"/>
              <w:keepNext/>
              <w:jc w:val="left"/>
              <w:rPr>
                <w:rFonts w:eastAsiaTheme="minorHAnsi"/>
                <w:lang w:val="en-US"/>
              </w:rPr>
            </w:pPr>
            <w:r w:rsidRPr="009D3012">
              <w:rPr>
                <w:rFonts w:eastAsiaTheme="minorHAnsi"/>
                <w:lang w:val="en-US"/>
              </w:rPr>
              <w:t>Simply supported beam, one-way spanning simply supported slab</w:t>
            </w:r>
          </w:p>
        </w:tc>
        <w:tc>
          <w:tcPr>
            <w:tcW w:w="653" w:type="dxa"/>
            <w:vAlign w:val="center"/>
          </w:tcPr>
          <w:p w14:paraId="6688B207" w14:textId="77777777" w:rsidR="004E22C1" w:rsidRPr="001455DC" w:rsidRDefault="004E22C1" w:rsidP="00CC03E3">
            <w:pPr>
              <w:pStyle w:val="Tablebody"/>
              <w:keepNext/>
              <w:jc w:val="center"/>
              <w:rPr>
                <w:rFonts w:eastAsiaTheme="minorHAnsi"/>
              </w:rPr>
            </w:pPr>
            <w:r w:rsidRPr="001455DC">
              <w:t>15</w:t>
            </w:r>
          </w:p>
        </w:tc>
        <w:tc>
          <w:tcPr>
            <w:tcW w:w="652" w:type="dxa"/>
            <w:vAlign w:val="center"/>
          </w:tcPr>
          <w:p w14:paraId="2522A66A" w14:textId="77777777" w:rsidR="004E22C1" w:rsidRPr="001455DC" w:rsidRDefault="004E22C1" w:rsidP="00CC03E3">
            <w:pPr>
              <w:pStyle w:val="Tablebody"/>
              <w:keepNext/>
              <w:jc w:val="center"/>
              <w:rPr>
                <w:rFonts w:eastAsiaTheme="minorHAnsi"/>
              </w:rPr>
            </w:pPr>
            <w:r w:rsidRPr="001455DC">
              <w:t>14</w:t>
            </w:r>
          </w:p>
        </w:tc>
        <w:tc>
          <w:tcPr>
            <w:tcW w:w="670" w:type="dxa"/>
            <w:vAlign w:val="center"/>
          </w:tcPr>
          <w:p w14:paraId="3D56EB41" w14:textId="77777777" w:rsidR="004E22C1" w:rsidRPr="001455DC" w:rsidRDefault="004E22C1" w:rsidP="00CC03E3">
            <w:pPr>
              <w:pStyle w:val="Tablebody"/>
              <w:keepNext/>
              <w:jc w:val="center"/>
              <w:rPr>
                <w:rFonts w:eastAsiaTheme="minorHAnsi"/>
              </w:rPr>
            </w:pPr>
            <w:r w:rsidRPr="001455DC">
              <w:t>13</w:t>
            </w:r>
          </w:p>
        </w:tc>
        <w:tc>
          <w:tcPr>
            <w:tcW w:w="653" w:type="dxa"/>
            <w:vAlign w:val="center"/>
          </w:tcPr>
          <w:p w14:paraId="4A8BDFAC" w14:textId="77777777" w:rsidR="004E22C1" w:rsidRPr="001455DC" w:rsidRDefault="004E22C1" w:rsidP="00CC03E3">
            <w:pPr>
              <w:pStyle w:val="Tablebody"/>
              <w:keepNext/>
              <w:jc w:val="center"/>
              <w:rPr>
                <w:rFonts w:eastAsiaTheme="minorHAnsi"/>
              </w:rPr>
            </w:pPr>
            <w:r w:rsidRPr="001455DC">
              <w:t>17</w:t>
            </w:r>
          </w:p>
        </w:tc>
        <w:tc>
          <w:tcPr>
            <w:tcW w:w="711" w:type="dxa"/>
            <w:vAlign w:val="center"/>
          </w:tcPr>
          <w:p w14:paraId="7310B920" w14:textId="77777777" w:rsidR="004E22C1" w:rsidRPr="001455DC" w:rsidRDefault="004E22C1" w:rsidP="00CC03E3">
            <w:pPr>
              <w:pStyle w:val="Tablebody"/>
              <w:keepNext/>
              <w:jc w:val="center"/>
              <w:rPr>
                <w:rFonts w:eastAsiaTheme="minorHAnsi"/>
              </w:rPr>
            </w:pPr>
            <w:r w:rsidRPr="001455DC">
              <w:t>16</w:t>
            </w:r>
          </w:p>
        </w:tc>
        <w:tc>
          <w:tcPr>
            <w:tcW w:w="660" w:type="dxa"/>
            <w:vAlign w:val="center"/>
          </w:tcPr>
          <w:p w14:paraId="639AF330" w14:textId="77777777" w:rsidR="004E22C1" w:rsidRPr="001455DC" w:rsidRDefault="004E22C1" w:rsidP="00CC03E3">
            <w:pPr>
              <w:pStyle w:val="Tablebody"/>
              <w:keepNext/>
              <w:jc w:val="center"/>
              <w:rPr>
                <w:rFonts w:eastAsiaTheme="minorHAnsi"/>
              </w:rPr>
            </w:pPr>
            <w:r w:rsidRPr="001455DC">
              <w:t>14</w:t>
            </w:r>
          </w:p>
        </w:tc>
        <w:tc>
          <w:tcPr>
            <w:tcW w:w="660" w:type="dxa"/>
            <w:vAlign w:val="center"/>
          </w:tcPr>
          <w:p w14:paraId="4A706E4D" w14:textId="77777777" w:rsidR="004E22C1" w:rsidRPr="001455DC" w:rsidRDefault="004E22C1" w:rsidP="00CC03E3">
            <w:pPr>
              <w:pStyle w:val="Tablebody"/>
              <w:keepNext/>
              <w:jc w:val="center"/>
              <w:rPr>
                <w:rFonts w:eastAsiaTheme="minorHAnsi"/>
              </w:rPr>
            </w:pPr>
            <w:r w:rsidRPr="001455DC">
              <w:t>24</w:t>
            </w:r>
          </w:p>
        </w:tc>
        <w:tc>
          <w:tcPr>
            <w:tcW w:w="670" w:type="dxa"/>
            <w:vAlign w:val="center"/>
          </w:tcPr>
          <w:p w14:paraId="56444F19" w14:textId="77777777" w:rsidR="004E22C1" w:rsidRPr="001455DC" w:rsidRDefault="004E22C1" w:rsidP="00CC03E3">
            <w:pPr>
              <w:pStyle w:val="Tablebody"/>
              <w:keepNext/>
              <w:jc w:val="center"/>
              <w:rPr>
                <w:rFonts w:eastAsiaTheme="minorHAnsi"/>
              </w:rPr>
            </w:pPr>
            <w:r w:rsidRPr="001455DC">
              <w:t>22</w:t>
            </w:r>
          </w:p>
        </w:tc>
        <w:tc>
          <w:tcPr>
            <w:tcW w:w="726" w:type="dxa"/>
            <w:vAlign w:val="center"/>
          </w:tcPr>
          <w:p w14:paraId="159B44BB" w14:textId="77777777" w:rsidR="004E22C1" w:rsidRPr="001455DC" w:rsidRDefault="004E22C1" w:rsidP="00CC03E3">
            <w:pPr>
              <w:pStyle w:val="Tablebody"/>
              <w:keepNext/>
              <w:jc w:val="center"/>
              <w:rPr>
                <w:rFonts w:eastAsiaTheme="minorHAnsi"/>
              </w:rPr>
            </w:pPr>
            <w:r w:rsidRPr="001455DC">
              <w:t>21</w:t>
            </w:r>
          </w:p>
        </w:tc>
      </w:tr>
      <w:tr w:rsidR="004E22C1" w:rsidRPr="001455DC" w14:paraId="1D760704" w14:textId="77777777" w:rsidTr="00120433">
        <w:trPr>
          <w:cantSplit/>
        </w:trPr>
        <w:tc>
          <w:tcPr>
            <w:tcW w:w="339" w:type="dxa"/>
            <w:vAlign w:val="center"/>
          </w:tcPr>
          <w:p w14:paraId="5A7CAFAA" w14:textId="77777777" w:rsidR="004E22C1" w:rsidRPr="001455DC" w:rsidRDefault="004E22C1" w:rsidP="00CC03E3">
            <w:pPr>
              <w:pStyle w:val="Tablebody"/>
              <w:keepNext/>
              <w:jc w:val="center"/>
              <w:rPr>
                <w:lang w:eastAsia="es-ES"/>
              </w:rPr>
            </w:pPr>
            <w:r w:rsidRPr="001455DC">
              <w:rPr>
                <w:lang w:eastAsia="es-ES"/>
              </w:rPr>
              <w:t>2</w:t>
            </w:r>
          </w:p>
        </w:tc>
        <w:tc>
          <w:tcPr>
            <w:tcW w:w="1965" w:type="dxa"/>
            <w:vAlign w:val="center"/>
          </w:tcPr>
          <w:p w14:paraId="7C6C03BE" w14:textId="41FB9186" w:rsidR="004E22C1" w:rsidRPr="009D3012" w:rsidRDefault="004E22C1" w:rsidP="00CC03E3">
            <w:pPr>
              <w:pStyle w:val="Tablebody"/>
              <w:keepNext/>
              <w:jc w:val="left"/>
              <w:rPr>
                <w:rFonts w:eastAsiaTheme="minorHAnsi"/>
                <w:lang w:val="en-US"/>
              </w:rPr>
            </w:pPr>
            <w:r w:rsidRPr="009D3012">
              <w:rPr>
                <w:lang w:val="en-US" w:eastAsia="es-ES"/>
              </w:rPr>
              <w:t>End span of continuous beam or one-way spanning slab</w:t>
            </w:r>
          </w:p>
        </w:tc>
        <w:tc>
          <w:tcPr>
            <w:tcW w:w="653" w:type="dxa"/>
            <w:vAlign w:val="center"/>
          </w:tcPr>
          <w:p w14:paraId="56D88669" w14:textId="77777777" w:rsidR="004E22C1" w:rsidRPr="001455DC" w:rsidRDefault="004E22C1" w:rsidP="00CC03E3">
            <w:pPr>
              <w:pStyle w:val="Tablebody"/>
              <w:keepNext/>
              <w:jc w:val="center"/>
              <w:rPr>
                <w:rFonts w:eastAsiaTheme="minorHAnsi"/>
              </w:rPr>
            </w:pPr>
            <w:r w:rsidRPr="001455DC">
              <w:t>20</w:t>
            </w:r>
          </w:p>
        </w:tc>
        <w:tc>
          <w:tcPr>
            <w:tcW w:w="652" w:type="dxa"/>
            <w:vAlign w:val="center"/>
          </w:tcPr>
          <w:p w14:paraId="4BA943AF" w14:textId="77777777" w:rsidR="004E22C1" w:rsidRPr="001455DC" w:rsidRDefault="004E22C1" w:rsidP="00CC03E3">
            <w:pPr>
              <w:pStyle w:val="Tablebody"/>
              <w:keepNext/>
              <w:jc w:val="center"/>
              <w:rPr>
                <w:rFonts w:eastAsiaTheme="minorHAnsi"/>
              </w:rPr>
            </w:pPr>
            <w:r w:rsidRPr="001455DC">
              <w:t>18</w:t>
            </w:r>
          </w:p>
        </w:tc>
        <w:tc>
          <w:tcPr>
            <w:tcW w:w="670" w:type="dxa"/>
            <w:vAlign w:val="center"/>
          </w:tcPr>
          <w:p w14:paraId="37966CBD" w14:textId="77777777" w:rsidR="004E22C1" w:rsidRPr="001455DC" w:rsidRDefault="004E22C1" w:rsidP="00CC03E3">
            <w:pPr>
              <w:pStyle w:val="Tablebody"/>
              <w:keepNext/>
              <w:jc w:val="center"/>
              <w:rPr>
                <w:rFonts w:eastAsiaTheme="minorHAnsi"/>
              </w:rPr>
            </w:pPr>
            <w:r w:rsidRPr="001455DC">
              <w:t>17</w:t>
            </w:r>
          </w:p>
        </w:tc>
        <w:tc>
          <w:tcPr>
            <w:tcW w:w="653" w:type="dxa"/>
            <w:vAlign w:val="center"/>
          </w:tcPr>
          <w:p w14:paraId="20D6522C" w14:textId="77777777" w:rsidR="004E22C1" w:rsidRPr="001455DC" w:rsidRDefault="004E22C1" w:rsidP="00CC03E3">
            <w:pPr>
              <w:pStyle w:val="Tablebody"/>
              <w:keepNext/>
              <w:jc w:val="center"/>
              <w:rPr>
                <w:rFonts w:eastAsiaTheme="minorHAnsi"/>
              </w:rPr>
            </w:pPr>
            <w:r w:rsidRPr="001455DC">
              <w:t>22</w:t>
            </w:r>
          </w:p>
        </w:tc>
        <w:tc>
          <w:tcPr>
            <w:tcW w:w="711" w:type="dxa"/>
            <w:vAlign w:val="center"/>
          </w:tcPr>
          <w:p w14:paraId="591B2EB6" w14:textId="77777777" w:rsidR="004E22C1" w:rsidRPr="001455DC" w:rsidRDefault="004E22C1" w:rsidP="00CC03E3">
            <w:pPr>
              <w:pStyle w:val="Tablebody"/>
              <w:keepNext/>
              <w:jc w:val="center"/>
              <w:rPr>
                <w:rFonts w:eastAsiaTheme="minorHAnsi"/>
              </w:rPr>
            </w:pPr>
            <w:r w:rsidRPr="001455DC">
              <w:t>21</w:t>
            </w:r>
          </w:p>
        </w:tc>
        <w:tc>
          <w:tcPr>
            <w:tcW w:w="660" w:type="dxa"/>
            <w:vAlign w:val="center"/>
          </w:tcPr>
          <w:p w14:paraId="02DBD5F6" w14:textId="77777777" w:rsidR="004E22C1" w:rsidRPr="001455DC" w:rsidRDefault="004E22C1" w:rsidP="00CC03E3">
            <w:pPr>
              <w:pStyle w:val="Tablebody"/>
              <w:keepNext/>
              <w:jc w:val="center"/>
              <w:rPr>
                <w:rFonts w:eastAsiaTheme="minorHAnsi"/>
              </w:rPr>
            </w:pPr>
            <w:r w:rsidRPr="001455DC">
              <w:t>18</w:t>
            </w:r>
          </w:p>
        </w:tc>
        <w:tc>
          <w:tcPr>
            <w:tcW w:w="660" w:type="dxa"/>
            <w:vAlign w:val="center"/>
          </w:tcPr>
          <w:p w14:paraId="46ABE9AD" w14:textId="77777777" w:rsidR="004E22C1" w:rsidRPr="001455DC" w:rsidRDefault="004E22C1" w:rsidP="00CC03E3">
            <w:pPr>
              <w:pStyle w:val="Tablebody"/>
              <w:keepNext/>
              <w:jc w:val="center"/>
              <w:rPr>
                <w:rFonts w:eastAsiaTheme="minorHAnsi"/>
              </w:rPr>
            </w:pPr>
            <w:r w:rsidRPr="001455DC">
              <w:t>31</w:t>
            </w:r>
          </w:p>
        </w:tc>
        <w:tc>
          <w:tcPr>
            <w:tcW w:w="670" w:type="dxa"/>
            <w:vAlign w:val="center"/>
          </w:tcPr>
          <w:p w14:paraId="4C306B3D" w14:textId="77777777" w:rsidR="004E22C1" w:rsidRPr="001455DC" w:rsidRDefault="004E22C1" w:rsidP="00CC03E3">
            <w:pPr>
              <w:pStyle w:val="Tablebody"/>
              <w:keepNext/>
              <w:jc w:val="center"/>
              <w:rPr>
                <w:rFonts w:eastAsiaTheme="minorHAnsi"/>
              </w:rPr>
            </w:pPr>
            <w:r w:rsidRPr="001455DC">
              <w:t>29</w:t>
            </w:r>
          </w:p>
        </w:tc>
        <w:tc>
          <w:tcPr>
            <w:tcW w:w="726" w:type="dxa"/>
            <w:vAlign w:val="center"/>
          </w:tcPr>
          <w:p w14:paraId="788EE863" w14:textId="77777777" w:rsidR="004E22C1" w:rsidRPr="001455DC" w:rsidRDefault="004E22C1" w:rsidP="00CC03E3">
            <w:pPr>
              <w:pStyle w:val="Tablebody"/>
              <w:keepNext/>
              <w:jc w:val="center"/>
              <w:rPr>
                <w:rFonts w:eastAsiaTheme="minorHAnsi"/>
              </w:rPr>
            </w:pPr>
            <w:r w:rsidRPr="001455DC">
              <w:t>27</w:t>
            </w:r>
          </w:p>
        </w:tc>
      </w:tr>
      <w:tr w:rsidR="004E22C1" w:rsidRPr="001455DC" w14:paraId="4B92E374" w14:textId="77777777" w:rsidTr="00120433">
        <w:trPr>
          <w:cantSplit/>
        </w:trPr>
        <w:tc>
          <w:tcPr>
            <w:tcW w:w="339" w:type="dxa"/>
            <w:vAlign w:val="center"/>
          </w:tcPr>
          <w:p w14:paraId="53F7F167" w14:textId="77777777" w:rsidR="004E22C1" w:rsidRPr="001455DC" w:rsidRDefault="004E22C1" w:rsidP="00CC03E3">
            <w:pPr>
              <w:pStyle w:val="Tablebody"/>
              <w:keepNext/>
              <w:jc w:val="center"/>
              <w:rPr>
                <w:lang w:eastAsia="es-ES"/>
              </w:rPr>
            </w:pPr>
            <w:r w:rsidRPr="001455DC">
              <w:rPr>
                <w:lang w:eastAsia="es-ES"/>
              </w:rPr>
              <w:t>3</w:t>
            </w:r>
          </w:p>
        </w:tc>
        <w:tc>
          <w:tcPr>
            <w:tcW w:w="1965" w:type="dxa"/>
            <w:vAlign w:val="center"/>
          </w:tcPr>
          <w:p w14:paraId="69F4EB29" w14:textId="77777777" w:rsidR="004E22C1" w:rsidRPr="009D3012" w:rsidRDefault="004E22C1" w:rsidP="00CC03E3">
            <w:pPr>
              <w:pStyle w:val="Tablebody"/>
              <w:keepNext/>
              <w:jc w:val="left"/>
              <w:rPr>
                <w:rFonts w:eastAsiaTheme="minorHAnsi"/>
                <w:lang w:val="en-US"/>
              </w:rPr>
            </w:pPr>
            <w:r w:rsidRPr="009D3012">
              <w:rPr>
                <w:lang w:val="en-US" w:eastAsia="es-ES"/>
              </w:rPr>
              <w:t>Interior span of beam or one-way spanning slab</w:t>
            </w:r>
          </w:p>
        </w:tc>
        <w:tc>
          <w:tcPr>
            <w:tcW w:w="653" w:type="dxa"/>
            <w:vAlign w:val="center"/>
          </w:tcPr>
          <w:p w14:paraId="73EE6F90" w14:textId="77777777" w:rsidR="004E22C1" w:rsidRPr="001455DC" w:rsidRDefault="004E22C1" w:rsidP="00CC03E3">
            <w:pPr>
              <w:pStyle w:val="Tablebody"/>
              <w:keepNext/>
              <w:jc w:val="center"/>
              <w:rPr>
                <w:rFonts w:eastAsiaTheme="minorHAnsi"/>
              </w:rPr>
            </w:pPr>
            <w:r w:rsidRPr="001455DC">
              <w:t>23</w:t>
            </w:r>
          </w:p>
        </w:tc>
        <w:tc>
          <w:tcPr>
            <w:tcW w:w="652" w:type="dxa"/>
            <w:vAlign w:val="center"/>
          </w:tcPr>
          <w:p w14:paraId="1D3AE831" w14:textId="77777777" w:rsidR="004E22C1" w:rsidRPr="001455DC" w:rsidRDefault="004E22C1" w:rsidP="00CC03E3">
            <w:pPr>
              <w:pStyle w:val="Tablebody"/>
              <w:keepNext/>
              <w:jc w:val="center"/>
              <w:rPr>
                <w:rFonts w:eastAsiaTheme="minorHAnsi"/>
              </w:rPr>
            </w:pPr>
            <w:r w:rsidRPr="001455DC">
              <w:t>21</w:t>
            </w:r>
          </w:p>
        </w:tc>
        <w:tc>
          <w:tcPr>
            <w:tcW w:w="670" w:type="dxa"/>
            <w:vAlign w:val="center"/>
          </w:tcPr>
          <w:p w14:paraId="77EA6375" w14:textId="77777777" w:rsidR="004E22C1" w:rsidRPr="001455DC" w:rsidRDefault="004E22C1" w:rsidP="00CC03E3">
            <w:pPr>
              <w:pStyle w:val="Tablebody"/>
              <w:keepNext/>
              <w:jc w:val="center"/>
              <w:rPr>
                <w:rFonts w:eastAsiaTheme="minorHAnsi"/>
              </w:rPr>
            </w:pPr>
            <w:r w:rsidRPr="001455DC">
              <w:t>20</w:t>
            </w:r>
          </w:p>
        </w:tc>
        <w:tc>
          <w:tcPr>
            <w:tcW w:w="653" w:type="dxa"/>
            <w:vAlign w:val="center"/>
          </w:tcPr>
          <w:p w14:paraId="75F68087" w14:textId="77777777" w:rsidR="004E22C1" w:rsidRPr="001455DC" w:rsidRDefault="004E22C1" w:rsidP="00CC03E3">
            <w:pPr>
              <w:pStyle w:val="Tablebody"/>
              <w:keepNext/>
              <w:jc w:val="center"/>
              <w:rPr>
                <w:rFonts w:eastAsiaTheme="minorHAnsi"/>
              </w:rPr>
            </w:pPr>
            <w:r w:rsidRPr="001455DC">
              <w:t>26</w:t>
            </w:r>
          </w:p>
        </w:tc>
        <w:tc>
          <w:tcPr>
            <w:tcW w:w="711" w:type="dxa"/>
            <w:vAlign w:val="center"/>
          </w:tcPr>
          <w:p w14:paraId="0CADB328" w14:textId="77777777" w:rsidR="004E22C1" w:rsidRPr="001455DC" w:rsidRDefault="004E22C1" w:rsidP="00CC03E3">
            <w:pPr>
              <w:pStyle w:val="Tablebody"/>
              <w:keepNext/>
              <w:jc w:val="center"/>
              <w:rPr>
                <w:rFonts w:eastAsiaTheme="minorHAnsi"/>
              </w:rPr>
            </w:pPr>
            <w:r w:rsidRPr="001455DC">
              <w:t>24</w:t>
            </w:r>
          </w:p>
        </w:tc>
        <w:tc>
          <w:tcPr>
            <w:tcW w:w="660" w:type="dxa"/>
            <w:vAlign w:val="center"/>
          </w:tcPr>
          <w:p w14:paraId="7EBEBF99" w14:textId="77777777" w:rsidR="004E22C1" w:rsidRPr="001455DC" w:rsidRDefault="004E22C1" w:rsidP="00CC03E3">
            <w:pPr>
              <w:pStyle w:val="Tablebody"/>
              <w:keepNext/>
              <w:jc w:val="center"/>
              <w:rPr>
                <w:rFonts w:eastAsiaTheme="minorHAnsi"/>
              </w:rPr>
            </w:pPr>
            <w:r w:rsidRPr="001455DC">
              <w:t>21</w:t>
            </w:r>
          </w:p>
        </w:tc>
        <w:tc>
          <w:tcPr>
            <w:tcW w:w="660" w:type="dxa"/>
            <w:vAlign w:val="center"/>
          </w:tcPr>
          <w:p w14:paraId="76C94804" w14:textId="77777777" w:rsidR="004E22C1" w:rsidRPr="001455DC" w:rsidRDefault="004E22C1" w:rsidP="00CC03E3">
            <w:pPr>
              <w:pStyle w:val="Tablebody"/>
              <w:keepNext/>
              <w:jc w:val="center"/>
              <w:rPr>
                <w:rFonts w:eastAsiaTheme="minorHAnsi"/>
              </w:rPr>
            </w:pPr>
            <w:r w:rsidRPr="001455DC">
              <w:t>36</w:t>
            </w:r>
          </w:p>
        </w:tc>
        <w:tc>
          <w:tcPr>
            <w:tcW w:w="670" w:type="dxa"/>
            <w:vAlign w:val="center"/>
          </w:tcPr>
          <w:p w14:paraId="22DCAFF9" w14:textId="77777777" w:rsidR="004E22C1" w:rsidRPr="001455DC" w:rsidRDefault="004E22C1" w:rsidP="00CC03E3">
            <w:pPr>
              <w:pStyle w:val="Tablebody"/>
              <w:keepNext/>
              <w:jc w:val="center"/>
              <w:rPr>
                <w:rFonts w:eastAsiaTheme="minorHAnsi"/>
              </w:rPr>
            </w:pPr>
            <w:r w:rsidRPr="001455DC">
              <w:t>33</w:t>
            </w:r>
          </w:p>
        </w:tc>
        <w:tc>
          <w:tcPr>
            <w:tcW w:w="726" w:type="dxa"/>
            <w:vAlign w:val="center"/>
          </w:tcPr>
          <w:p w14:paraId="0757BA4D" w14:textId="77777777" w:rsidR="004E22C1" w:rsidRPr="001455DC" w:rsidRDefault="004E22C1" w:rsidP="00CC03E3">
            <w:pPr>
              <w:pStyle w:val="Tablebody"/>
              <w:keepNext/>
              <w:jc w:val="center"/>
              <w:rPr>
                <w:rFonts w:eastAsiaTheme="minorHAnsi"/>
              </w:rPr>
            </w:pPr>
            <w:r w:rsidRPr="001455DC">
              <w:t>32</w:t>
            </w:r>
          </w:p>
        </w:tc>
      </w:tr>
      <w:tr w:rsidR="004E22C1" w:rsidRPr="001455DC" w14:paraId="0ADF1321" w14:textId="77777777" w:rsidTr="00120433">
        <w:trPr>
          <w:cantSplit/>
        </w:trPr>
        <w:tc>
          <w:tcPr>
            <w:tcW w:w="339" w:type="dxa"/>
            <w:tcBorders>
              <w:bottom w:val="single" w:sz="12" w:space="0" w:color="000000"/>
            </w:tcBorders>
            <w:vAlign w:val="center"/>
          </w:tcPr>
          <w:p w14:paraId="776B5DD6" w14:textId="77777777" w:rsidR="004E22C1" w:rsidRPr="001455DC" w:rsidRDefault="004E22C1" w:rsidP="00CC03E3">
            <w:pPr>
              <w:pStyle w:val="Tablebody"/>
              <w:keepNext/>
              <w:jc w:val="center"/>
              <w:rPr>
                <w:lang w:eastAsia="es-ES"/>
              </w:rPr>
            </w:pPr>
            <w:r w:rsidRPr="001455DC">
              <w:rPr>
                <w:lang w:eastAsia="es-ES"/>
              </w:rPr>
              <w:t>4</w:t>
            </w:r>
          </w:p>
        </w:tc>
        <w:tc>
          <w:tcPr>
            <w:tcW w:w="1965" w:type="dxa"/>
            <w:tcBorders>
              <w:bottom w:val="single" w:sz="12" w:space="0" w:color="000000"/>
            </w:tcBorders>
            <w:vAlign w:val="center"/>
          </w:tcPr>
          <w:p w14:paraId="6CFBC0B8" w14:textId="77777777" w:rsidR="004E22C1" w:rsidRPr="001455DC" w:rsidRDefault="004E22C1" w:rsidP="00CC03E3">
            <w:pPr>
              <w:pStyle w:val="Tablebody"/>
              <w:keepNext/>
              <w:jc w:val="left"/>
              <w:rPr>
                <w:rFonts w:eastAsiaTheme="minorHAnsi"/>
              </w:rPr>
            </w:pPr>
            <w:r w:rsidRPr="001455DC">
              <w:rPr>
                <w:lang w:eastAsia="es-ES"/>
              </w:rPr>
              <w:t>Cantilever</w:t>
            </w:r>
          </w:p>
        </w:tc>
        <w:tc>
          <w:tcPr>
            <w:tcW w:w="653" w:type="dxa"/>
            <w:tcBorders>
              <w:bottom w:val="single" w:sz="12" w:space="0" w:color="000000"/>
            </w:tcBorders>
            <w:vAlign w:val="center"/>
          </w:tcPr>
          <w:p w14:paraId="111D34EE" w14:textId="77777777" w:rsidR="004E22C1" w:rsidRPr="001455DC" w:rsidRDefault="004E22C1" w:rsidP="00CC03E3">
            <w:pPr>
              <w:pStyle w:val="Tablebody"/>
              <w:keepNext/>
              <w:jc w:val="center"/>
              <w:rPr>
                <w:rFonts w:eastAsiaTheme="minorHAnsi"/>
              </w:rPr>
            </w:pPr>
            <w:r w:rsidRPr="001455DC">
              <w:t>6</w:t>
            </w:r>
          </w:p>
        </w:tc>
        <w:tc>
          <w:tcPr>
            <w:tcW w:w="652" w:type="dxa"/>
            <w:tcBorders>
              <w:bottom w:val="single" w:sz="12" w:space="0" w:color="000000"/>
            </w:tcBorders>
            <w:vAlign w:val="center"/>
          </w:tcPr>
          <w:p w14:paraId="28843919" w14:textId="77777777" w:rsidR="004E22C1" w:rsidRPr="001455DC" w:rsidRDefault="004E22C1" w:rsidP="00CC03E3">
            <w:pPr>
              <w:pStyle w:val="Tablebody"/>
              <w:keepNext/>
              <w:jc w:val="center"/>
              <w:rPr>
                <w:rFonts w:eastAsiaTheme="minorHAnsi"/>
              </w:rPr>
            </w:pPr>
            <w:r w:rsidRPr="001455DC">
              <w:t>5</w:t>
            </w:r>
          </w:p>
        </w:tc>
        <w:tc>
          <w:tcPr>
            <w:tcW w:w="670" w:type="dxa"/>
            <w:tcBorders>
              <w:bottom w:val="single" w:sz="12" w:space="0" w:color="000000"/>
            </w:tcBorders>
            <w:vAlign w:val="center"/>
          </w:tcPr>
          <w:p w14:paraId="738F351E" w14:textId="77777777" w:rsidR="004E22C1" w:rsidRPr="001455DC" w:rsidRDefault="004E22C1" w:rsidP="00CC03E3">
            <w:pPr>
              <w:pStyle w:val="Tablebody"/>
              <w:keepNext/>
              <w:jc w:val="center"/>
              <w:rPr>
                <w:rFonts w:eastAsiaTheme="minorHAnsi"/>
              </w:rPr>
            </w:pPr>
            <w:r w:rsidRPr="001455DC">
              <w:t>5</w:t>
            </w:r>
          </w:p>
        </w:tc>
        <w:tc>
          <w:tcPr>
            <w:tcW w:w="653" w:type="dxa"/>
            <w:tcBorders>
              <w:bottom w:val="single" w:sz="12" w:space="0" w:color="000000"/>
            </w:tcBorders>
            <w:vAlign w:val="center"/>
          </w:tcPr>
          <w:p w14:paraId="57F5B336" w14:textId="77777777" w:rsidR="004E22C1" w:rsidRPr="001455DC" w:rsidRDefault="004E22C1" w:rsidP="00CC03E3">
            <w:pPr>
              <w:pStyle w:val="Tablebody"/>
              <w:keepNext/>
              <w:jc w:val="center"/>
              <w:rPr>
                <w:rFonts w:eastAsiaTheme="minorHAnsi"/>
              </w:rPr>
            </w:pPr>
            <w:r w:rsidRPr="001455DC">
              <w:t>6</w:t>
            </w:r>
          </w:p>
        </w:tc>
        <w:tc>
          <w:tcPr>
            <w:tcW w:w="711" w:type="dxa"/>
            <w:tcBorders>
              <w:bottom w:val="single" w:sz="12" w:space="0" w:color="000000"/>
            </w:tcBorders>
            <w:vAlign w:val="center"/>
          </w:tcPr>
          <w:p w14:paraId="07E90D71" w14:textId="77777777" w:rsidR="004E22C1" w:rsidRPr="001455DC" w:rsidRDefault="004E22C1" w:rsidP="00CC03E3">
            <w:pPr>
              <w:pStyle w:val="Tablebody"/>
              <w:keepNext/>
              <w:jc w:val="center"/>
              <w:rPr>
                <w:rFonts w:eastAsiaTheme="minorHAnsi"/>
              </w:rPr>
            </w:pPr>
            <w:r w:rsidRPr="001455DC">
              <w:t>6</w:t>
            </w:r>
          </w:p>
        </w:tc>
        <w:tc>
          <w:tcPr>
            <w:tcW w:w="660" w:type="dxa"/>
            <w:tcBorders>
              <w:bottom w:val="single" w:sz="12" w:space="0" w:color="000000"/>
            </w:tcBorders>
            <w:vAlign w:val="center"/>
          </w:tcPr>
          <w:p w14:paraId="12B54DF8" w14:textId="77777777" w:rsidR="004E22C1" w:rsidRPr="001455DC" w:rsidRDefault="004E22C1" w:rsidP="00CC03E3">
            <w:pPr>
              <w:pStyle w:val="Tablebody"/>
              <w:keepNext/>
              <w:jc w:val="center"/>
              <w:rPr>
                <w:rFonts w:eastAsiaTheme="minorHAnsi"/>
              </w:rPr>
            </w:pPr>
            <w:r w:rsidRPr="001455DC">
              <w:t>5</w:t>
            </w:r>
          </w:p>
        </w:tc>
        <w:tc>
          <w:tcPr>
            <w:tcW w:w="660" w:type="dxa"/>
            <w:tcBorders>
              <w:bottom w:val="single" w:sz="12" w:space="0" w:color="000000"/>
            </w:tcBorders>
            <w:vAlign w:val="center"/>
          </w:tcPr>
          <w:p w14:paraId="507CD31F" w14:textId="77777777" w:rsidR="004E22C1" w:rsidRPr="001455DC" w:rsidRDefault="004E22C1" w:rsidP="00CC03E3">
            <w:pPr>
              <w:pStyle w:val="Tablebody"/>
              <w:keepNext/>
              <w:jc w:val="center"/>
              <w:rPr>
                <w:rFonts w:eastAsiaTheme="minorHAnsi"/>
              </w:rPr>
            </w:pPr>
            <w:r w:rsidRPr="001455DC">
              <w:t>9</w:t>
            </w:r>
          </w:p>
        </w:tc>
        <w:tc>
          <w:tcPr>
            <w:tcW w:w="670" w:type="dxa"/>
            <w:tcBorders>
              <w:bottom w:val="single" w:sz="12" w:space="0" w:color="000000"/>
            </w:tcBorders>
            <w:vAlign w:val="center"/>
          </w:tcPr>
          <w:p w14:paraId="5FBC36A9" w14:textId="77777777" w:rsidR="004E22C1" w:rsidRPr="001455DC" w:rsidRDefault="004E22C1" w:rsidP="00CC03E3">
            <w:pPr>
              <w:pStyle w:val="Tablebody"/>
              <w:keepNext/>
              <w:jc w:val="center"/>
              <w:rPr>
                <w:rFonts w:eastAsiaTheme="minorHAnsi"/>
              </w:rPr>
            </w:pPr>
            <w:r w:rsidRPr="001455DC">
              <w:t>8</w:t>
            </w:r>
          </w:p>
        </w:tc>
        <w:tc>
          <w:tcPr>
            <w:tcW w:w="726" w:type="dxa"/>
            <w:tcBorders>
              <w:bottom w:val="single" w:sz="12" w:space="0" w:color="000000"/>
            </w:tcBorders>
            <w:vAlign w:val="center"/>
          </w:tcPr>
          <w:p w14:paraId="5289C889" w14:textId="77777777" w:rsidR="004E22C1" w:rsidRPr="001455DC" w:rsidRDefault="004E22C1" w:rsidP="00CC03E3">
            <w:pPr>
              <w:pStyle w:val="Tablebody"/>
              <w:keepNext/>
              <w:jc w:val="center"/>
              <w:rPr>
                <w:rFonts w:eastAsiaTheme="minorHAnsi"/>
              </w:rPr>
            </w:pPr>
            <w:r w:rsidRPr="001455DC">
              <w:t>8</w:t>
            </w:r>
          </w:p>
        </w:tc>
      </w:tr>
      <w:tr w:rsidR="004E22C1" w:rsidRPr="001455DC" w14:paraId="2893C2FF" w14:textId="77777777" w:rsidTr="00120433">
        <w:trPr>
          <w:cantSplit/>
        </w:trPr>
        <w:tc>
          <w:tcPr>
            <w:tcW w:w="8359" w:type="dxa"/>
            <w:gridSpan w:val="11"/>
            <w:tcBorders>
              <w:top w:val="single" w:sz="12" w:space="0" w:color="000000"/>
              <w:bottom w:val="single" w:sz="12" w:space="0" w:color="auto"/>
            </w:tcBorders>
          </w:tcPr>
          <w:p w14:paraId="2A7A1566" w14:textId="3D4E1F20" w:rsidR="004E22C1" w:rsidRPr="009D3012" w:rsidRDefault="004E22C1" w:rsidP="00CC03E3">
            <w:pPr>
              <w:pStyle w:val="Tablefooternote"/>
              <w:keepNext/>
              <w:rPr>
                <w:lang w:val="en-US"/>
              </w:rPr>
            </w:pPr>
            <w:r w:rsidRPr="009D3012">
              <w:rPr>
                <w:lang w:val="en-US"/>
              </w:rPr>
              <w:t>NOTE</w:t>
            </w:r>
            <w:r w:rsidRPr="009D3012">
              <w:rPr>
                <w:lang w:val="en-US"/>
              </w:rPr>
              <w:tab/>
              <w:t xml:space="preserve">This table assumes the quasi-permanent value of the live load with </w:t>
            </w:r>
            <w:r w:rsidR="00314515" w:rsidRPr="001455DC">
              <w:rPr>
                <w:rStyle w:val="CCMCvariableitalic"/>
              </w:rPr>
              <w:t>ψ</w:t>
            </w:r>
            <w:r w:rsidRPr="009D3012">
              <w:rPr>
                <w:rStyle w:val="CCMCvariablesubscript"/>
                <w:lang w:val="en-US"/>
              </w:rPr>
              <w:t>2</w:t>
            </w:r>
            <w:r w:rsidRPr="009D3012">
              <w:rPr>
                <w:lang w:val="en-US"/>
              </w:rPr>
              <w:t> </w:t>
            </w:r>
            <w:r w:rsidR="00EC27D2" w:rsidRPr="009D3012">
              <w:rPr>
                <w:rFonts w:ascii="Cambria Math" w:hAnsi="Cambria Math"/>
                <w:lang w:val="en-US"/>
              </w:rPr>
              <w:t>=</w:t>
            </w:r>
            <w:r w:rsidRPr="009D3012">
              <w:rPr>
                <w:lang w:val="en-US"/>
              </w:rPr>
              <w:t xml:space="preserve"> 0,3 and that the deflection limit for total deflection is </w:t>
            </w:r>
            <w:r w:rsidRPr="009D3012">
              <w:rPr>
                <w:rStyle w:val="CCMCvariableitalic"/>
                <w:lang w:val="en-US"/>
              </w:rPr>
              <w:t>l</w:t>
            </w:r>
            <w:r w:rsidRPr="009D3012">
              <w:rPr>
                <w:lang w:val="en-US"/>
              </w:rPr>
              <w:t xml:space="preserve">/250, where </w:t>
            </w:r>
            <w:r w:rsidRPr="009D3012">
              <w:rPr>
                <w:rStyle w:val="CCMCvariableitalic"/>
                <w:lang w:val="en-US"/>
              </w:rPr>
              <w:t>l</w:t>
            </w:r>
            <w:r w:rsidRPr="009D3012">
              <w:rPr>
                <w:lang w:val="en-US"/>
              </w:rPr>
              <w:t xml:space="preserve"> is the span of the beam or slab.</w:t>
            </w:r>
          </w:p>
        </w:tc>
      </w:tr>
      <w:tr w:rsidR="00120433" w:rsidRPr="001455DC" w14:paraId="2FF3E4F4" w14:textId="77777777" w:rsidTr="00120433">
        <w:trPr>
          <w:cnfStyle w:val="010000000000" w:firstRow="0" w:lastRow="1" w:firstColumn="0" w:lastColumn="0" w:oddVBand="0" w:evenVBand="0" w:oddHBand="0" w:evenHBand="0" w:firstRowFirstColumn="0" w:firstRowLastColumn="0" w:lastRowFirstColumn="0" w:lastRowLastColumn="0"/>
          <w:cantSplit/>
        </w:trPr>
        <w:tc>
          <w:tcPr>
            <w:tcW w:w="8359" w:type="dxa"/>
            <w:gridSpan w:val="11"/>
          </w:tcPr>
          <w:p w14:paraId="73B201A8" w14:textId="1F3DD4A2" w:rsidR="00120433" w:rsidRPr="009D3012" w:rsidRDefault="00120433" w:rsidP="00120433">
            <w:pPr>
              <w:pStyle w:val="Tablefooter"/>
              <w:rPr>
                <w:lang w:val="en-US"/>
              </w:rPr>
            </w:pPr>
            <w:r w:rsidRPr="009D3012">
              <w:rPr>
                <w:rStyle w:val="CCMCvariablesuperscript"/>
                <w:lang w:val="en-US"/>
              </w:rPr>
              <w:t>a</w:t>
            </w:r>
            <w:r w:rsidRPr="009D3012">
              <w:rPr>
                <w:lang w:val="en-US"/>
              </w:rPr>
              <w:tab/>
            </w:r>
            <w:r w:rsidRPr="001455DC">
              <w:rPr>
                <w:rStyle w:val="CCMCvariableitalic"/>
              </w:rPr>
              <w:t>ω</w:t>
            </w:r>
            <w:r w:rsidRPr="009D3012">
              <w:rPr>
                <w:rStyle w:val="CCMCvariablesubscript"/>
                <w:lang w:val="en-US"/>
              </w:rPr>
              <w:t>r</w:t>
            </w:r>
            <w:r w:rsidRPr="009D3012">
              <w:rPr>
                <w:lang w:val="en-US"/>
              </w:rPr>
              <w:t xml:space="preserve"> is the required mechanical tension reinforcement ratio to resist the moment due to the design loads, at mid span for continuous or simply supported elements and at the support for cantilevers, see 9.3.3(2). </w:t>
            </w:r>
            <w:r w:rsidRPr="009D3012">
              <w:rPr>
                <w:lang w:val="en-US" w:eastAsia="es-ES"/>
              </w:rPr>
              <w:t>Between values may be interpolated.</w:t>
            </w:r>
          </w:p>
          <w:p w14:paraId="1033D80B" w14:textId="215F98BB" w:rsidR="00120433" w:rsidRPr="009D3012" w:rsidRDefault="00120433" w:rsidP="00120433">
            <w:pPr>
              <w:pStyle w:val="Tablefooter"/>
              <w:rPr>
                <w:rStyle w:val="CCMCvariablesuperscript"/>
              </w:rPr>
            </w:pPr>
            <w:r w:rsidRPr="009D3012">
              <w:rPr>
                <w:rStyle w:val="CCMCvariablesuperscript"/>
                <w:lang w:val="en-US"/>
              </w:rPr>
              <w:t>b</w:t>
            </w:r>
            <w:r w:rsidRPr="009D3012">
              <w:rPr>
                <w:lang w:val="en-US"/>
              </w:rPr>
              <w:tab/>
              <w:t xml:space="preserve">Characteristic values of: </w:t>
            </w:r>
            <w:r w:rsidRPr="009D3012">
              <w:rPr>
                <w:rStyle w:val="CCMCvariableitalic"/>
                <w:lang w:val="en-US"/>
              </w:rPr>
              <w:t>LL</w:t>
            </w:r>
            <w:r w:rsidRPr="009D3012">
              <w:rPr>
                <w:lang w:val="en-US"/>
              </w:rPr>
              <w:t> </w:t>
            </w:r>
            <w:r w:rsidR="00EC27D2" w:rsidRPr="009D3012">
              <w:rPr>
                <w:rFonts w:ascii="Cambria Math" w:hAnsi="Cambria Math"/>
                <w:lang w:val="en-US"/>
              </w:rPr>
              <w:t>=</w:t>
            </w:r>
            <w:r w:rsidRPr="009D3012">
              <w:rPr>
                <w:lang w:val="en-US"/>
              </w:rPr>
              <w:t xml:space="preserve"> live load (imposed or variable); </w:t>
            </w:r>
            <w:r w:rsidRPr="009D3012">
              <w:rPr>
                <w:rStyle w:val="CCMCvariableitalic"/>
                <w:lang w:val="en-US"/>
              </w:rPr>
              <w:t>TL</w:t>
            </w:r>
            <w:r w:rsidRPr="009D3012">
              <w:rPr>
                <w:lang w:val="en-US"/>
              </w:rPr>
              <w:t> </w:t>
            </w:r>
            <w:r w:rsidR="00EC27D2" w:rsidRPr="009D3012">
              <w:rPr>
                <w:rFonts w:ascii="Cambria Math" w:hAnsi="Cambria Math"/>
                <w:lang w:val="en-US"/>
              </w:rPr>
              <w:t>=</w:t>
            </w:r>
            <w:r w:rsidRPr="009D3012">
              <w:rPr>
                <w:lang w:val="en-US"/>
              </w:rPr>
              <w:t> total load.</w:t>
            </w:r>
            <w:r w:rsidRPr="009D3012">
              <w:rPr>
                <w:lang w:val="en-US" w:eastAsia="es-ES"/>
              </w:rPr>
              <w:t xml:space="preserve"> </w:t>
            </w:r>
            <w:r w:rsidRPr="001455DC">
              <w:rPr>
                <w:lang w:eastAsia="es-ES"/>
              </w:rPr>
              <w:t>Intermediate values may be interpolated.</w:t>
            </w:r>
          </w:p>
        </w:tc>
      </w:tr>
    </w:tbl>
    <w:p w14:paraId="47AC7B6A" w14:textId="77777777" w:rsidR="004E22C1" w:rsidRPr="001455DC" w:rsidRDefault="004E22C1" w:rsidP="00314515">
      <w:pPr>
        <w:pStyle w:val="a7"/>
      </w:pPr>
    </w:p>
    <w:p w14:paraId="3F0775FD" w14:textId="34CF0D5E" w:rsidR="004E22C1" w:rsidRPr="001455DC" w:rsidRDefault="004E22C1" w:rsidP="00314515">
      <w:pPr>
        <w:pStyle w:val="a7"/>
      </w:pPr>
      <w:r w:rsidRPr="001455DC">
        <w:t>(2)</w:t>
      </w:r>
      <w:r w:rsidRPr="001455DC">
        <w:tab/>
        <w:t xml:space="preserve">For </w:t>
      </w:r>
      <w:r w:rsidRPr="001455DC">
        <w:rPr>
          <w:szCs w:val="19"/>
        </w:rPr>
        <w:t xml:space="preserve">a different maximum total deflection of </w:t>
      </w:r>
      <w:r w:rsidRPr="001455DC">
        <w:rPr>
          <w:rStyle w:val="CCMCvariableitalic"/>
        </w:rPr>
        <w:t>l</w:t>
      </w:r>
      <w:r w:rsidRPr="001455DC">
        <w:rPr>
          <w:szCs w:val="19"/>
        </w:rPr>
        <w:t>/</w:t>
      </w:r>
      <w:r w:rsidRPr="001455DC">
        <w:rPr>
          <w:rStyle w:val="CCMCvariableitalic"/>
        </w:rPr>
        <w:t>a</w:t>
      </w:r>
      <w:r w:rsidRPr="001455DC">
        <w:rPr>
          <w:szCs w:val="19"/>
        </w:rPr>
        <w:t xml:space="preserve">, the </w:t>
      </w:r>
      <w:r w:rsidRPr="001455DC">
        <w:rPr>
          <w:rStyle w:val="CCMCvariableitalic"/>
        </w:rPr>
        <w:t>l</w:t>
      </w:r>
      <w:r w:rsidRPr="001455DC">
        <w:rPr>
          <w:szCs w:val="19"/>
        </w:rPr>
        <w:t>/</w:t>
      </w:r>
      <w:r w:rsidRPr="001455DC">
        <w:rPr>
          <w:rStyle w:val="CCMCvariableitalic"/>
        </w:rPr>
        <w:t>d</w:t>
      </w:r>
      <w:r w:rsidRPr="001455DC">
        <w:rPr>
          <w:szCs w:val="19"/>
        </w:rPr>
        <w:t xml:space="preserve">-values of Table 9.3 should be multiplied by </w:t>
      </w:r>
      <w:r w:rsidRPr="001455DC">
        <w:rPr>
          <w:rStyle w:val="CCMCvariableitalic"/>
        </w:rPr>
        <w:t>k</w:t>
      </w:r>
      <w:r w:rsidRPr="001455DC">
        <w:rPr>
          <w:rStyle w:val="CCMCvariablesubscript"/>
        </w:rPr>
        <w:t>a</w:t>
      </w:r>
      <w:r w:rsidRPr="001455DC">
        <w:t> </w:t>
      </w:r>
      <w:r w:rsidR="00EC27D2" w:rsidRPr="001455DC">
        <w:rPr>
          <w:rFonts w:ascii="Cambria Math" w:hAnsi="Cambria Math"/>
        </w:rPr>
        <w:t>=</w:t>
      </w:r>
      <w:r w:rsidRPr="001455DC">
        <w:t> </w:t>
      </w:r>
      <w:r w:rsidRPr="001455DC">
        <w:rPr>
          <w:szCs w:val="19"/>
        </w:rPr>
        <w:t>250/</w:t>
      </w:r>
      <w:r w:rsidRPr="001455DC">
        <w:rPr>
          <w:rStyle w:val="CCMCvariableitalic"/>
        </w:rPr>
        <w:t>a</w:t>
      </w:r>
      <w:r w:rsidRPr="001455DC">
        <w:rPr>
          <w:szCs w:val="19"/>
        </w:rPr>
        <w:t xml:space="preserve">, where </w:t>
      </w:r>
      <w:r w:rsidRPr="001455DC">
        <w:rPr>
          <w:rStyle w:val="CCMCvariableitalic"/>
        </w:rPr>
        <w:t>a</w:t>
      </w:r>
      <w:r w:rsidRPr="001455DC">
        <w:rPr>
          <w:szCs w:val="19"/>
        </w:rPr>
        <w:t xml:space="preserve"> is the deflection ratio factor different from 250.</w:t>
      </w:r>
    </w:p>
    <w:p w14:paraId="1C4634A4" w14:textId="77777777" w:rsidR="004E22C1" w:rsidRPr="001455DC" w:rsidRDefault="004E22C1" w:rsidP="00314515">
      <w:pPr>
        <w:pStyle w:val="a7"/>
      </w:pPr>
      <w:r w:rsidRPr="001455DC">
        <w:t>(3)</w:t>
      </w:r>
      <w:r w:rsidRPr="001455DC">
        <w:tab/>
        <w:t>The values of Table 9.3 may be extrapolated to other support conditions by multiplying them by the cubic root of the ratio of the linear elastic deflection of a simply supported beam of the same span and the linear elastic deflection of the actual structure.</w:t>
      </w:r>
    </w:p>
    <w:p w14:paraId="4C5E473A" w14:textId="2C99D575" w:rsidR="004E22C1" w:rsidRPr="001455DC" w:rsidRDefault="004E22C1" w:rsidP="00E844D2">
      <w:pPr>
        <w:pStyle w:val="a7"/>
        <w:keepNext/>
      </w:pPr>
      <w:r w:rsidRPr="001455DC">
        <w:t>(4)</w:t>
      </w:r>
      <w:r w:rsidRPr="001455DC">
        <w:tab/>
        <w:t>The values of Table 9.3 may be extrapolated to rectangular 2-way flat slabs supported on columns by multiplying them by the following ratio:</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314515" w:rsidRPr="001455DC" w14:paraId="51572EDC" w14:textId="77777777" w:rsidTr="00314515">
        <w:trPr>
          <w:cantSplit/>
        </w:trPr>
        <w:tc>
          <w:tcPr>
            <w:tcW w:w="8505" w:type="dxa"/>
            <w:vAlign w:val="center"/>
          </w:tcPr>
          <w:p w14:paraId="52B83421" w14:textId="2F08AFCA" w:rsidR="00314515" w:rsidRPr="001455DC" w:rsidRDefault="00231E33" w:rsidP="00314515">
            <w:pPr>
              <w:pStyle w:val="Formula"/>
              <w:jc w:val="left"/>
            </w:pPr>
            <m:oMathPara>
              <m:oMathParaPr>
                <m:jc m:val="left"/>
              </m:oMathParaPr>
              <m:oMath>
                <m:rad>
                  <m:radPr>
                    <m:ctrlPr>
                      <w:rPr>
                        <w:rFonts w:ascii="Cambria Math" w:hAnsi="Cambria Math"/>
                      </w:rPr>
                    </m:ctrlPr>
                  </m:radPr>
                  <m:deg>
                    <m:r>
                      <w:rPr>
                        <w:rFonts w:ascii="Cambria Math" w:hAnsi="Cambria Math"/>
                      </w:rPr>
                      <m:t>4</m:t>
                    </m:r>
                  </m:deg>
                  <m:e>
                    <m:f>
                      <m:fPr>
                        <m:ctrlPr>
                          <w:rPr>
                            <w:rFonts w:ascii="Cambria Math" w:hAnsi="Cambria Math"/>
                          </w:rPr>
                        </m:ctrlPr>
                      </m:fPr>
                      <m:num>
                        <m:r>
                          <w:rPr>
                            <w:rFonts w:ascii="Cambria Math" w:hAnsi="Cambria Math"/>
                          </w:rPr>
                          <m:t>1</m:t>
                        </m:r>
                      </m:num>
                      <m:den>
                        <m:r>
                          <w:rPr>
                            <w:rFonts w:ascii="Cambria Math" w:hAnsi="Cambria Math"/>
                          </w:rPr>
                          <m:t>1+</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rPr>
                                          <m:t>min</m:t>
                                        </m:r>
                                      </m:sub>
                                    </m:sSub>
                                  </m:num>
                                  <m:den>
                                    <m:sSub>
                                      <m:sSubPr>
                                        <m:ctrlPr>
                                          <w:rPr>
                                            <w:rFonts w:ascii="Cambria Math" w:hAnsi="Cambria Math"/>
                                          </w:rPr>
                                        </m:ctrlPr>
                                      </m:sSubPr>
                                      <m:e>
                                        <m:r>
                                          <w:rPr>
                                            <w:rFonts w:ascii="Cambria Math" w:hAnsi="Cambria Math"/>
                                          </w:rPr>
                                          <m:t>l</m:t>
                                        </m:r>
                                      </m:e>
                                      <m:sub>
                                        <m:r>
                                          <m:rPr>
                                            <m:sty m:val="p"/>
                                          </m:rPr>
                                          <w:rPr>
                                            <w:rFonts w:ascii="Cambria Math" w:hAnsi="Cambria Math"/>
                                          </w:rPr>
                                          <m:t>max</m:t>
                                        </m:r>
                                      </m:sub>
                                    </m:sSub>
                                  </m:den>
                                </m:f>
                              </m:e>
                            </m:d>
                          </m:e>
                          <m:sup>
                            <m:r>
                              <w:rPr>
                                <w:rFonts w:ascii="Cambria Math" w:hAnsi="Cambria Math"/>
                              </w:rPr>
                              <m:t>4</m:t>
                            </m:r>
                          </m:sup>
                        </m:sSup>
                      </m:den>
                    </m:f>
                  </m:e>
                </m:rad>
              </m:oMath>
            </m:oMathPara>
          </w:p>
        </w:tc>
        <w:tc>
          <w:tcPr>
            <w:tcW w:w="1247" w:type="dxa"/>
            <w:vAlign w:val="center"/>
          </w:tcPr>
          <w:p w14:paraId="7FB4ACD4" w14:textId="5FE64A15" w:rsidR="00314515" w:rsidRPr="001455DC" w:rsidRDefault="00314515" w:rsidP="00314515">
            <w:pPr>
              <w:pStyle w:val="a7"/>
              <w:jc w:val="right"/>
            </w:pPr>
            <w:r w:rsidRPr="001455DC">
              <w:t>(9.24)</w:t>
            </w:r>
          </w:p>
        </w:tc>
      </w:tr>
    </w:tbl>
    <w:p w14:paraId="425022C9" w14:textId="77777777" w:rsidR="00314515" w:rsidRPr="001455DC" w:rsidRDefault="00314515"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314515" w:rsidRPr="001455DC" w14:paraId="05979469" w14:textId="77777777" w:rsidTr="00314515">
        <w:trPr>
          <w:cantSplit/>
        </w:trPr>
        <w:tc>
          <w:tcPr>
            <w:tcW w:w="567" w:type="dxa"/>
          </w:tcPr>
          <w:p w14:paraId="175353B0" w14:textId="4E26B95B" w:rsidR="00314515" w:rsidRPr="001455DC" w:rsidRDefault="00314515" w:rsidP="0000442A">
            <w:pPr>
              <w:pStyle w:val="Tablebody"/>
            </w:pPr>
            <w:r w:rsidRPr="001455DC">
              <w:rPr>
                <w:rStyle w:val="CCMCvariableitalic"/>
              </w:rPr>
              <w:t>l</w:t>
            </w:r>
            <w:r w:rsidRPr="001455DC">
              <w:rPr>
                <w:rStyle w:val="CCMCvariablesubscript"/>
              </w:rPr>
              <w:t>min</w:t>
            </w:r>
          </w:p>
        </w:tc>
        <w:tc>
          <w:tcPr>
            <w:tcW w:w="8845" w:type="dxa"/>
          </w:tcPr>
          <w:p w14:paraId="72BE322B" w14:textId="33F5D269" w:rsidR="00314515" w:rsidRPr="001455DC" w:rsidRDefault="00314515" w:rsidP="00BB1209">
            <w:pPr>
              <w:pStyle w:val="Tablebody"/>
            </w:pPr>
            <w:r w:rsidRPr="001455DC">
              <w:rPr>
                <w:rFonts w:eastAsiaTheme="minorHAnsi"/>
              </w:rPr>
              <w:t>is the minimum span of the slab;</w:t>
            </w:r>
          </w:p>
        </w:tc>
      </w:tr>
      <w:tr w:rsidR="00314515" w:rsidRPr="001455DC" w14:paraId="70461AA5" w14:textId="77777777" w:rsidTr="00314515">
        <w:trPr>
          <w:cantSplit/>
        </w:trPr>
        <w:tc>
          <w:tcPr>
            <w:tcW w:w="567" w:type="dxa"/>
          </w:tcPr>
          <w:p w14:paraId="23252C21" w14:textId="2C97CAEE" w:rsidR="00314515" w:rsidRPr="001455DC" w:rsidRDefault="00314515" w:rsidP="0000442A">
            <w:pPr>
              <w:pStyle w:val="Tablebody"/>
            </w:pPr>
            <w:r w:rsidRPr="001455DC">
              <w:rPr>
                <w:rStyle w:val="CCMCvariableitalic"/>
              </w:rPr>
              <w:t>l</w:t>
            </w:r>
            <w:r w:rsidRPr="001455DC">
              <w:rPr>
                <w:rStyle w:val="CCMCvariablesubscript"/>
              </w:rPr>
              <w:t>max</w:t>
            </w:r>
          </w:p>
        </w:tc>
        <w:tc>
          <w:tcPr>
            <w:tcW w:w="8845" w:type="dxa"/>
          </w:tcPr>
          <w:p w14:paraId="641AB95D" w14:textId="36E1EB90" w:rsidR="00314515" w:rsidRPr="001455DC" w:rsidRDefault="00314515" w:rsidP="0000442A">
            <w:pPr>
              <w:pStyle w:val="Tablebody"/>
            </w:pPr>
            <w:r w:rsidRPr="001455DC">
              <w:rPr>
                <w:rFonts w:eastAsiaTheme="minorHAnsi"/>
              </w:rPr>
              <w:t>is the maximum span of the slab.</w:t>
            </w:r>
          </w:p>
        </w:tc>
      </w:tr>
    </w:tbl>
    <w:p w14:paraId="30F902A4" w14:textId="77777777" w:rsidR="004E22C1" w:rsidRPr="001455DC" w:rsidRDefault="004E22C1" w:rsidP="00314515">
      <w:pPr>
        <w:pStyle w:val="a7"/>
        <w:rPr>
          <w:szCs w:val="19"/>
        </w:rPr>
      </w:pPr>
      <w:r w:rsidRPr="001455DC">
        <w:t xml:space="preserve">For the use of Table 9.3 the slenderness ratio should be determined, in this case, as </w:t>
      </w:r>
      <w:r w:rsidRPr="001455DC">
        <w:rPr>
          <w:rStyle w:val="CCMCvariableitalic"/>
        </w:rPr>
        <w:t>l</w:t>
      </w:r>
      <w:r w:rsidRPr="001455DC">
        <w:rPr>
          <w:rStyle w:val="CCMCvariablesubscript"/>
        </w:rPr>
        <w:t>max</w:t>
      </w:r>
      <w:r w:rsidRPr="001455DC">
        <w:t>/</w:t>
      </w:r>
      <w:r w:rsidRPr="001455DC">
        <w:rPr>
          <w:rStyle w:val="CCMCvariableitalic"/>
        </w:rPr>
        <w:t>d</w:t>
      </w:r>
      <w:r w:rsidRPr="001455DC">
        <w:t>.</w:t>
      </w:r>
    </w:p>
    <w:p w14:paraId="27D619DF" w14:textId="77777777" w:rsidR="00314515" w:rsidRPr="001455DC" w:rsidRDefault="004E22C1" w:rsidP="00314515">
      <w:pPr>
        <w:pStyle w:val="a7"/>
      </w:pPr>
      <w:r w:rsidRPr="001455DC">
        <w:rPr>
          <w:rFonts w:eastAsiaTheme="minorHAnsi"/>
          <w:szCs w:val="19"/>
        </w:rPr>
        <w:t>(5)</w:t>
      </w:r>
      <w:r w:rsidRPr="001455DC">
        <w:rPr>
          <w:rFonts w:eastAsiaTheme="minorHAnsi"/>
          <w:szCs w:val="19"/>
        </w:rPr>
        <w:tab/>
      </w:r>
      <w:r w:rsidRPr="001455DC">
        <w:rPr>
          <w:rFonts w:eastAsiaTheme="minorHAnsi"/>
        </w:rPr>
        <w:t>The values of Table 9.3 may be extrapolated to rectangular 2-way flat slabs supported on walls on all four sides by multiplying them by the following ratio:</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314515" w:rsidRPr="001455DC" w14:paraId="3E05704D" w14:textId="77777777" w:rsidTr="00314515">
        <w:trPr>
          <w:cantSplit/>
        </w:trPr>
        <w:tc>
          <w:tcPr>
            <w:tcW w:w="8505" w:type="dxa"/>
            <w:vAlign w:val="center"/>
          </w:tcPr>
          <w:p w14:paraId="5BAB5222" w14:textId="49F35E64" w:rsidR="00314515" w:rsidRPr="001455DC" w:rsidRDefault="00231E33" w:rsidP="00314515">
            <w:pPr>
              <w:pStyle w:val="Formula"/>
              <w:jc w:val="left"/>
            </w:pPr>
            <m:oMathPara>
              <m:oMathParaPr>
                <m:jc m:val="left"/>
              </m:oMathParaPr>
              <m:oMath>
                <m:rad>
                  <m:radPr>
                    <m:ctrlPr>
                      <w:rPr>
                        <w:rFonts w:ascii="Cambria Math" w:hAnsi="Cambria Math"/>
                      </w:rPr>
                    </m:ctrlPr>
                  </m:radPr>
                  <m:deg>
                    <m:r>
                      <w:rPr>
                        <w:rFonts w:ascii="Cambria Math" w:hAnsi="Cambria Math"/>
                      </w:rPr>
                      <m:t>4</m:t>
                    </m:r>
                  </m:deg>
                  <m:e>
                    <m:f>
                      <m:fPr>
                        <m:ctrlPr>
                          <w:rPr>
                            <w:rFonts w:ascii="Cambria Math" w:hAnsi="Cambria Math"/>
                          </w:rPr>
                        </m:ctrlPr>
                      </m:fPr>
                      <m:num>
                        <m:r>
                          <w:rPr>
                            <w:rFonts w:ascii="Cambria Math" w:hAnsi="Cambria Math"/>
                          </w:rPr>
                          <m:t>1</m:t>
                        </m:r>
                      </m:num>
                      <m:den>
                        <m:r>
                          <w:rPr>
                            <w:rFonts w:ascii="Cambria Math" w:hAnsi="Cambria Math"/>
                          </w:rPr>
                          <m:t>1-0,65</m:t>
                        </m:r>
                        <m:f>
                          <m:fPr>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rPr>
                                  <m:t>min</m:t>
                                </m:r>
                              </m:sub>
                            </m:sSub>
                          </m:num>
                          <m:den>
                            <m:sSub>
                              <m:sSubPr>
                                <m:ctrlPr>
                                  <w:rPr>
                                    <w:rFonts w:ascii="Cambria Math" w:hAnsi="Cambria Math"/>
                                  </w:rPr>
                                </m:ctrlPr>
                              </m:sSubPr>
                              <m:e>
                                <m:r>
                                  <w:rPr>
                                    <w:rFonts w:ascii="Cambria Math" w:hAnsi="Cambria Math"/>
                                  </w:rPr>
                                  <m:t>l</m:t>
                                </m:r>
                              </m:e>
                              <m:sub>
                                <m:r>
                                  <m:rPr>
                                    <m:sty m:val="p"/>
                                  </m:rPr>
                                  <w:rPr>
                                    <w:rFonts w:ascii="Cambria Math" w:hAnsi="Cambria Math"/>
                                  </w:rPr>
                                  <m:t>max</m:t>
                                </m:r>
                              </m:sub>
                            </m:sSub>
                          </m:den>
                        </m:f>
                      </m:den>
                    </m:f>
                  </m:e>
                </m:rad>
              </m:oMath>
            </m:oMathPara>
          </w:p>
        </w:tc>
        <w:tc>
          <w:tcPr>
            <w:tcW w:w="1247" w:type="dxa"/>
            <w:vAlign w:val="center"/>
          </w:tcPr>
          <w:p w14:paraId="567ABF30" w14:textId="5133BB0E" w:rsidR="00314515" w:rsidRPr="001455DC" w:rsidRDefault="00314515" w:rsidP="00314515">
            <w:pPr>
              <w:pStyle w:val="a7"/>
              <w:jc w:val="right"/>
            </w:pPr>
            <w:r w:rsidRPr="001455DC">
              <w:t>(9.25)</w:t>
            </w:r>
          </w:p>
        </w:tc>
      </w:tr>
    </w:tbl>
    <w:p w14:paraId="7BFD61AA" w14:textId="77777777" w:rsidR="004E22C1" w:rsidRPr="001455DC" w:rsidRDefault="004E22C1" w:rsidP="00314515">
      <w:pPr>
        <w:pStyle w:val="a7"/>
      </w:pPr>
      <w:r w:rsidRPr="001455DC">
        <w:t xml:space="preserve">For the use of Table 9.3 the slenderness ratio should be determined, in this case, as </w:t>
      </w:r>
      <w:r w:rsidRPr="001455DC">
        <w:rPr>
          <w:rStyle w:val="CCMCvariableitalic"/>
        </w:rPr>
        <w:t>l</w:t>
      </w:r>
      <w:r w:rsidRPr="001455DC">
        <w:rPr>
          <w:rStyle w:val="CCMCvariablesubscript"/>
        </w:rPr>
        <w:t>min</w:t>
      </w:r>
      <w:r w:rsidRPr="001455DC">
        <w:t>/</w:t>
      </w:r>
      <w:r w:rsidRPr="001455DC">
        <w:rPr>
          <w:rStyle w:val="CCMCvariableitalic"/>
        </w:rPr>
        <w:t>d</w:t>
      </w:r>
      <w:r w:rsidRPr="001455DC">
        <w:t>.</w:t>
      </w:r>
    </w:p>
    <w:p w14:paraId="4298C113" w14:textId="14493282" w:rsidR="004E22C1" w:rsidRPr="001455DC" w:rsidRDefault="004E22C1" w:rsidP="00243590">
      <w:pPr>
        <w:pStyle w:val="31"/>
      </w:pPr>
      <w:bookmarkStart w:id="721" w:name="_Toc52820014"/>
      <w:bookmarkStart w:id="722" w:name="_Toc54337409"/>
      <w:bookmarkStart w:id="723" w:name="_Toc54338071"/>
      <w:bookmarkStart w:id="724" w:name="_Toc67565415"/>
      <w:r w:rsidRPr="001455DC">
        <w:t>Simplified calculation of long-term deflections for reinforced concrete building structures</w:t>
      </w:r>
      <w:bookmarkEnd w:id="721"/>
      <w:bookmarkEnd w:id="722"/>
      <w:bookmarkEnd w:id="723"/>
      <w:bookmarkEnd w:id="724"/>
    </w:p>
    <w:p w14:paraId="7933DBBA" w14:textId="7B4CB4EA" w:rsidR="004E22C1" w:rsidRPr="001455DC" w:rsidRDefault="004E22C1" w:rsidP="00314515">
      <w:pPr>
        <w:pStyle w:val="a7"/>
      </w:pPr>
      <w:r w:rsidRPr="001455DC">
        <w:t>(1)</w:t>
      </w:r>
      <w:r w:rsidRPr="001455DC">
        <w:tab/>
        <w:t xml:space="preserve">The simplified method detailed in </w:t>
      </w:r>
      <w:r w:rsidR="002E47C1" w:rsidRPr="001455DC">
        <w:t>9.3.3</w:t>
      </w:r>
      <w:r w:rsidRPr="001455DC">
        <w:t xml:space="preserve"> assumes that the deflections are determined for the quasi-permanent combination of actions with </w:t>
      </w:r>
      <w:r w:rsidRPr="001455DC">
        <w:rPr>
          <w:rStyle w:val="CCMCvariableitalic"/>
        </w:rPr>
        <w:t>ψ</w:t>
      </w:r>
      <w:r w:rsidRPr="001455DC">
        <w:rPr>
          <w:rStyle w:val="CCMCvariablesubscript"/>
        </w:rPr>
        <w:t>2</w:t>
      </w:r>
      <w:r w:rsidRPr="001455DC">
        <w:t> </w:t>
      </w:r>
      <w:r w:rsidR="00EC27D2" w:rsidRPr="001455DC">
        <w:rPr>
          <w:rFonts w:ascii="Cambria Math" w:hAnsi="Cambria Math"/>
        </w:rPr>
        <w:t>=</w:t>
      </w:r>
      <w:r w:rsidRPr="001455DC">
        <w:t> 0,3 and that the verification is made for the long term. Cracking of the sections and tension stiffening effects are assessed on the basis of the characteristic combination of actions.</w:t>
      </w:r>
    </w:p>
    <w:p w14:paraId="1A54B411" w14:textId="77777777" w:rsidR="00314515" w:rsidRPr="001455DC" w:rsidRDefault="004E22C1" w:rsidP="00314515">
      <w:pPr>
        <w:pStyle w:val="a7"/>
      </w:pPr>
      <w:r w:rsidRPr="001455DC">
        <w:t>(2)</w:t>
      </w:r>
      <w:r w:rsidRPr="001455DC">
        <w:tab/>
        <w:t xml:space="preserve">Long-term deflections may be determined from linear elastic analysis using gross concrete sections and assuming long-term properties (i.e. </w:t>
      </w:r>
      <w:r w:rsidRPr="001455DC">
        <w:rPr>
          <w:rStyle w:val="CCMCvariableitalic"/>
        </w:rPr>
        <w:t>E</w:t>
      </w:r>
      <w:r w:rsidRPr="001455DC">
        <w:rPr>
          <w:rStyle w:val="CCMCvariablesubscript"/>
        </w:rPr>
        <w:t>c,eff</w:t>
      </w:r>
      <w:r w:rsidRPr="001455DC">
        <w:t>) according to Formula (9.26).</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314515" w:rsidRPr="001455DC" w14:paraId="46A30DC9" w14:textId="77777777" w:rsidTr="00314515">
        <w:trPr>
          <w:cantSplit/>
        </w:trPr>
        <w:tc>
          <w:tcPr>
            <w:tcW w:w="8505" w:type="dxa"/>
            <w:vAlign w:val="center"/>
          </w:tcPr>
          <w:p w14:paraId="3E8CB6FC" w14:textId="7421EE8F" w:rsidR="00314515" w:rsidRPr="001455DC" w:rsidRDefault="00314515" w:rsidP="00314515">
            <w:pPr>
              <w:pStyle w:val="Formula"/>
              <w:jc w:val="left"/>
            </w:pPr>
            <w:bookmarkStart w:id="725" w:name="_Hlk513702916"/>
            <m:oMathPara>
              <m:oMathParaPr>
                <m:jc m:val="left"/>
              </m:oMathParaPr>
              <m:oMath>
                <m:r>
                  <w:rPr>
                    <w:rFonts w:ascii="Cambria Math" w:hAnsi="Cambria Math"/>
                  </w:rPr>
                  <m:t>δ=</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k</m:t>
                        </m:r>
                      </m:e>
                      <m:sub>
                        <m:r>
                          <m:rPr>
                            <m:sty m:val="p"/>
                          </m:rPr>
                          <w:rPr>
                            <w:rFonts w:ascii="Cambria Math" w:hAnsi="Cambria Math"/>
                          </w:rPr>
                          <m:t>I</m:t>
                        </m:r>
                      </m:sub>
                    </m:sSub>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h</m:t>
                            </m:r>
                          </m:num>
                          <m:den>
                            <m:r>
                              <w:rPr>
                                <w:rFonts w:ascii="Cambria Math" w:hAnsi="Cambria Math"/>
                              </w:rPr>
                              <m:t>d</m:t>
                            </m:r>
                          </m:den>
                        </m:f>
                      </m:e>
                    </m:d>
                  </m:e>
                  <m:sup>
                    <m:r>
                      <w:rPr>
                        <w:rFonts w:ascii="Cambria Math" w:hAnsi="Cambria Math"/>
                      </w:rPr>
                      <m:t>3</m:t>
                    </m:r>
                  </m:sup>
                </m:sSup>
                <m:d>
                  <m:dPr>
                    <m:begChr m:val="["/>
                    <m:sepChr m:val=""/>
                    <m:endChr m:val="]"/>
                    <m:ctrlPr>
                      <w:rPr>
                        <w:rFonts w:ascii="Cambria Math" w:hAnsi="Cambria Math"/>
                      </w:rPr>
                    </m:ctrlPr>
                  </m:dPr>
                  <m:e>
                    <m:sSub>
                      <m:sSubPr>
                        <m:ctrlPr>
                          <w:rPr>
                            <w:rFonts w:ascii="Cambria Math" w:hAnsi="Cambria Math"/>
                          </w:rPr>
                        </m:ctrlPr>
                      </m:sSubPr>
                      <m:e>
                        <m:r>
                          <w:rPr>
                            <w:rFonts w:ascii="Cambria Math" w:hAnsi="Cambria Math"/>
                          </w:rPr>
                          <m:t>k</m:t>
                        </m:r>
                      </m:e>
                      <m:sub>
                        <m:r>
                          <m:rPr>
                            <m:sty m:val="p"/>
                          </m:rPr>
                          <w:rPr>
                            <w:rFonts w:ascii="Cambria Math" w:hAnsi="Cambria Math"/>
                          </w:rPr>
                          <m:t>ω</m:t>
                        </m:r>
                      </m:sub>
                    </m:sSub>
                  </m:e>
                  <m:e>
                    <m:sSub>
                      <m:sSubPr>
                        <m:ctrlPr>
                          <w:rPr>
                            <w:rFonts w:ascii="Cambria Math" w:hAnsi="Cambria Math"/>
                          </w:rPr>
                        </m:ctrlPr>
                      </m:sSubPr>
                      <m:e>
                        <m:r>
                          <w:rPr>
                            <w:rFonts w:ascii="Cambria Math" w:hAnsi="Cambria Math"/>
                          </w:rPr>
                          <m:t>δ</m:t>
                        </m:r>
                      </m:e>
                      <m:sub>
                        <m:r>
                          <m:rPr>
                            <m:sty m:val="p"/>
                          </m:rPr>
                          <w:rPr>
                            <w:rFonts w:ascii="Cambria Math" w:hAnsi="Cambria Math"/>
                          </w:rPr>
                          <m:t>loads</m:t>
                        </m:r>
                      </m:sub>
                    </m:sSub>
                  </m:e>
                  <m:e>
                    <m:r>
                      <w:rPr>
                        <w:rFonts w:ascii="Cambria Math" w:hAnsi="Cambria Math"/>
                      </w:rPr>
                      <m:t>+</m:t>
                    </m:r>
                  </m:e>
                  <m:e>
                    <m:sSub>
                      <m:sSubPr>
                        <m:ctrlPr>
                          <w:rPr>
                            <w:rFonts w:ascii="Cambria Math" w:hAnsi="Cambria Math"/>
                          </w:rPr>
                        </m:ctrlPr>
                      </m:sSubPr>
                      <m:e>
                        <m:r>
                          <w:rPr>
                            <w:rFonts w:ascii="Cambria Math" w:hAnsi="Cambria Math"/>
                          </w:rPr>
                          <m:t>k</m:t>
                        </m:r>
                      </m:e>
                      <m:sub>
                        <m:r>
                          <m:rPr>
                            <m:sty m:val="p"/>
                          </m:rPr>
                          <w:rPr>
                            <w:rFonts w:ascii="Cambria Math" w:hAnsi="Cambria Math"/>
                          </w:rPr>
                          <m:t>s</m:t>
                        </m:r>
                      </m:sub>
                    </m:sSub>
                  </m:e>
                  <m:e>
                    <m:sSub>
                      <m:sSubPr>
                        <m:ctrlPr>
                          <w:rPr>
                            <w:rFonts w:ascii="Cambria Math" w:hAnsi="Cambria Math"/>
                          </w:rPr>
                        </m:ctrlPr>
                      </m:sSubPr>
                      <m:e>
                        <m:r>
                          <w:rPr>
                            <w:rFonts w:ascii="Cambria Math" w:hAnsi="Cambria Math"/>
                          </w:rPr>
                          <m:t>δ</m:t>
                        </m:r>
                      </m:e>
                      <m:sub>
                        <m:r>
                          <m:rPr>
                            <m:sty m:val="p"/>
                          </m:rPr>
                          <w:rPr>
                            <w:rFonts w:ascii="Cambria Math" w:hAnsi="Cambria Math"/>
                          </w:rPr>
                          <m:t>εcs</m:t>
                        </m:r>
                      </m:sub>
                    </m:sSub>
                  </m:e>
                </m:d>
              </m:oMath>
            </m:oMathPara>
            <w:bookmarkEnd w:id="725"/>
          </w:p>
        </w:tc>
        <w:tc>
          <w:tcPr>
            <w:tcW w:w="1247" w:type="dxa"/>
            <w:vAlign w:val="center"/>
          </w:tcPr>
          <w:p w14:paraId="3754ADF9" w14:textId="37879907" w:rsidR="00314515" w:rsidRPr="001455DC" w:rsidRDefault="00314515" w:rsidP="00314515">
            <w:pPr>
              <w:pStyle w:val="a7"/>
              <w:jc w:val="right"/>
            </w:pPr>
            <w:bookmarkStart w:id="726" w:name="_Ref449290742"/>
            <w:r w:rsidRPr="001455DC">
              <w:t>(9.26)</w:t>
            </w:r>
            <w:bookmarkEnd w:id="726"/>
          </w:p>
        </w:tc>
      </w:tr>
    </w:tbl>
    <w:p w14:paraId="2FD9306D" w14:textId="77777777" w:rsidR="00314515" w:rsidRPr="001455DC" w:rsidRDefault="00314515"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567"/>
        <w:gridCol w:w="7031"/>
        <w:gridCol w:w="1247"/>
      </w:tblGrid>
      <w:tr w:rsidR="00314515" w:rsidRPr="001455DC" w14:paraId="576BF077" w14:textId="77777777" w:rsidTr="00314515">
        <w:trPr>
          <w:cantSplit/>
        </w:trPr>
        <w:tc>
          <w:tcPr>
            <w:tcW w:w="567" w:type="dxa"/>
          </w:tcPr>
          <w:p w14:paraId="3A239EFD" w14:textId="5B364DD0" w:rsidR="00314515" w:rsidRPr="001455DC" w:rsidRDefault="00314515" w:rsidP="0000442A">
            <w:pPr>
              <w:pStyle w:val="Tablebody"/>
            </w:pPr>
            <w:r w:rsidRPr="001455DC">
              <w:rPr>
                <w:rStyle w:val="CCMCvariableitalic"/>
              </w:rPr>
              <w:t>δ</w:t>
            </w:r>
            <w:r w:rsidRPr="001455DC">
              <w:rPr>
                <w:rStyle w:val="CCMCvariablesubscript"/>
              </w:rPr>
              <w:t>loads</w:t>
            </w:r>
          </w:p>
        </w:tc>
        <w:tc>
          <w:tcPr>
            <w:tcW w:w="8845" w:type="dxa"/>
            <w:gridSpan w:val="3"/>
          </w:tcPr>
          <w:p w14:paraId="03971E24" w14:textId="7FFD5B92" w:rsidR="00314515" w:rsidRPr="001455DC" w:rsidRDefault="00314515" w:rsidP="00BB1209">
            <w:pPr>
              <w:pStyle w:val="Tablebody"/>
            </w:pPr>
            <w:r w:rsidRPr="001455DC">
              <w:rPr>
                <w:rFonts w:eastAsiaTheme="minorHAnsi"/>
              </w:rPr>
              <w:t>is the linear elastic deflection, determined for uncracked conditions, due to the quasi-permanent combination of actions;</w:t>
            </w:r>
          </w:p>
        </w:tc>
      </w:tr>
      <w:tr w:rsidR="00314515" w:rsidRPr="001455DC" w14:paraId="75273E40" w14:textId="77777777" w:rsidTr="00314515">
        <w:trPr>
          <w:cantSplit/>
        </w:trPr>
        <w:tc>
          <w:tcPr>
            <w:tcW w:w="567" w:type="dxa"/>
          </w:tcPr>
          <w:p w14:paraId="62F4F792" w14:textId="209A342F" w:rsidR="00314515" w:rsidRPr="001455DC" w:rsidRDefault="00314515" w:rsidP="0000442A">
            <w:pPr>
              <w:pStyle w:val="Tablebody"/>
            </w:pPr>
            <w:r w:rsidRPr="001455DC">
              <w:rPr>
                <w:rStyle w:val="CCMCvariableitalic"/>
              </w:rPr>
              <w:t>δ</w:t>
            </w:r>
            <w:r w:rsidRPr="001455DC">
              <w:rPr>
                <w:rStyle w:val="CCMCvariablesubscript"/>
              </w:rPr>
              <w:t>εcs</w:t>
            </w:r>
          </w:p>
        </w:tc>
        <w:tc>
          <w:tcPr>
            <w:tcW w:w="8845" w:type="dxa"/>
            <w:gridSpan w:val="3"/>
          </w:tcPr>
          <w:p w14:paraId="6ACA7CEB" w14:textId="65642DB4" w:rsidR="00314515" w:rsidRPr="001455DC" w:rsidRDefault="00314515" w:rsidP="0000442A">
            <w:pPr>
              <w:pStyle w:val="Tablebody"/>
            </w:pPr>
            <w:r w:rsidRPr="001455DC">
              <w:rPr>
                <w:rFonts w:eastAsiaTheme="minorHAnsi"/>
              </w:rPr>
              <w:t xml:space="preserve">is the linear elastic deflection, determined for uncracked conditions, due to differential shrinkage determined by applying, on the linear elastic model, the curvature given by </w:t>
            </w:r>
            <w:r w:rsidRPr="001455DC">
              <w:t>Formula (9.27)</w:t>
            </w:r>
          </w:p>
        </w:tc>
      </w:tr>
      <w:tr w:rsidR="00CC03E3" w:rsidRPr="001455DC" w14:paraId="0C49709E" w14:textId="77777777" w:rsidTr="00CC03E3">
        <w:trPr>
          <w:cantSplit/>
        </w:trPr>
        <w:tc>
          <w:tcPr>
            <w:tcW w:w="567" w:type="dxa"/>
          </w:tcPr>
          <w:p w14:paraId="792B2F5E" w14:textId="45B7687A" w:rsidR="00CC03E3" w:rsidRPr="001455DC" w:rsidRDefault="00CC03E3" w:rsidP="00EC27D2">
            <w:pPr>
              <w:pStyle w:val="Tablebody"/>
            </w:pPr>
            <w:r w:rsidRPr="001455DC">
              <w:t> </w:t>
            </w:r>
          </w:p>
        </w:tc>
        <w:tc>
          <w:tcPr>
            <w:tcW w:w="7598" w:type="dxa"/>
            <w:gridSpan w:val="2"/>
            <w:vAlign w:val="center"/>
          </w:tcPr>
          <w:p w14:paraId="224DA415" w14:textId="4EFB61B9" w:rsidR="00CC03E3" w:rsidRPr="001455DC" w:rsidRDefault="00231E33" w:rsidP="00CC03E3">
            <w:pPr>
              <w:pStyle w:val="Tablebody"/>
              <w:jc w:val="left"/>
              <w:rPr>
                <w:rFonts w:eastAsiaTheme="minorHAnsi"/>
              </w:rPr>
            </w:pPr>
            <m:oMathPara>
              <m:oMathParaPr>
                <m:jc m:val="left"/>
              </m:oMathParaPr>
              <m:oMath>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r</m:t>
                            </m:r>
                          </m:den>
                        </m:f>
                      </m:e>
                    </m:d>
                  </m:e>
                  <m:sub>
                    <m:sSub>
                      <m:sSubPr>
                        <m:ctrlPr>
                          <w:rPr>
                            <w:rFonts w:ascii="Cambria Math" w:hAnsi="Cambria Math"/>
                          </w:rPr>
                        </m:ctrlPr>
                      </m:sSubPr>
                      <m:e>
                        <m:r>
                          <w:rPr>
                            <w:rFonts w:ascii="Cambria Math" w:hAnsi="Cambria Math"/>
                          </w:rPr>
                          <m:t>ε</m:t>
                        </m:r>
                      </m:e>
                      <m:sub>
                        <m:r>
                          <m:rPr>
                            <m:sty m:val="p"/>
                          </m:rPr>
                          <w:rPr>
                            <w:rFonts w:ascii="Cambria Math" w:hAnsi="Cambria Math"/>
                          </w:rPr>
                          <m:t>cs</m:t>
                        </m:r>
                      </m:sub>
                    </m:sSub>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E</m:t>
                        </m:r>
                      </m:e>
                      <m:sub>
                        <m:r>
                          <m:rPr>
                            <m:sty m:val="p"/>
                          </m:rPr>
                          <w:rPr>
                            <w:rFonts w:ascii="Cambria Math" w:hAnsi="Cambria Math"/>
                          </w:rPr>
                          <m:t>s</m:t>
                        </m:r>
                      </m:sub>
                    </m:sSub>
                  </m:num>
                  <m:den>
                    <m:sSub>
                      <m:sSubPr>
                        <m:ctrlPr>
                          <w:rPr>
                            <w:rFonts w:ascii="Cambria Math" w:hAnsi="Cambria Math"/>
                          </w:rPr>
                        </m:ctrlPr>
                      </m:sSubPr>
                      <m:e>
                        <m:r>
                          <w:rPr>
                            <w:rFonts w:ascii="Cambria Math" w:hAnsi="Cambria Math"/>
                          </w:rPr>
                          <m:t>E</m:t>
                        </m:r>
                      </m:e>
                      <m:sub>
                        <m:r>
                          <m:rPr>
                            <m:sty m:val="p"/>
                          </m:rPr>
                          <w:rPr>
                            <w:rFonts w:ascii="Cambria Math" w:hAnsi="Cambria Math"/>
                          </w:rPr>
                          <m:t>c,eff</m:t>
                        </m:r>
                      </m:sub>
                    </m:sSub>
                  </m:den>
                </m:f>
                <m:sSub>
                  <m:sSubPr>
                    <m:ctrlPr>
                      <w:rPr>
                        <w:rFonts w:ascii="Cambria Math" w:hAnsi="Cambria Math"/>
                      </w:rPr>
                    </m:ctrlPr>
                  </m:sSubPr>
                  <m:e>
                    <m:r>
                      <w:rPr>
                        <w:rFonts w:ascii="Cambria Math" w:hAnsi="Cambria Math"/>
                      </w:rPr>
                      <m:t>ε</m:t>
                    </m:r>
                  </m:e>
                  <m:sub>
                    <m:r>
                      <m:rPr>
                        <m:sty m:val="p"/>
                      </m:rPr>
                      <w:rPr>
                        <w:rFonts w:ascii="Cambria Math" w:hAnsi="Cambria Math"/>
                      </w:rPr>
                      <m:t>cs</m:t>
                    </m:r>
                  </m:sub>
                </m:sSub>
                <m:f>
                  <m:fPr>
                    <m:ctrlPr>
                      <w:rPr>
                        <w:rFonts w:ascii="Cambria Math" w:hAnsi="Cambria Math"/>
                      </w:rPr>
                    </m:ctrlPr>
                  </m:fPr>
                  <m:num>
                    <m:sSub>
                      <m:sSubPr>
                        <m:ctrlPr>
                          <w:rPr>
                            <w:rFonts w:ascii="Cambria Math" w:hAnsi="Cambria Math"/>
                          </w:rPr>
                        </m:ctrlPr>
                      </m:sSubPr>
                      <m:e>
                        <m:r>
                          <w:rPr>
                            <w:rFonts w:ascii="Cambria Math" w:hAnsi="Cambria Math"/>
                          </w:rPr>
                          <m:t>S</m:t>
                        </m:r>
                      </m:e>
                      <m:sub>
                        <m:r>
                          <m:rPr>
                            <m:sty m:val="p"/>
                          </m:rPr>
                          <w:rPr>
                            <w:rFonts w:ascii="Cambria Math" w:hAnsi="Cambria Math"/>
                          </w:rPr>
                          <m:t>s</m:t>
                        </m:r>
                      </m:sub>
                    </m:sSub>
                  </m:num>
                  <m:den>
                    <m:sSub>
                      <m:sSubPr>
                        <m:ctrlPr>
                          <w:rPr>
                            <w:rFonts w:ascii="Cambria Math" w:hAnsi="Cambria Math"/>
                          </w:rPr>
                        </m:ctrlPr>
                      </m:sSubPr>
                      <m:e>
                        <m:r>
                          <w:rPr>
                            <w:rFonts w:ascii="Cambria Math" w:hAnsi="Cambria Math"/>
                          </w:rPr>
                          <m:t>I</m:t>
                        </m:r>
                      </m:e>
                      <m:sub>
                        <m:r>
                          <m:rPr>
                            <m:sty m:val="p"/>
                          </m:rPr>
                          <w:rPr>
                            <w:rFonts w:ascii="Cambria Math" w:hAnsi="Cambria Math"/>
                          </w:rPr>
                          <m:t>g</m:t>
                        </m:r>
                      </m:sub>
                    </m:sSub>
                  </m:den>
                </m:f>
              </m:oMath>
            </m:oMathPara>
          </w:p>
        </w:tc>
        <w:tc>
          <w:tcPr>
            <w:tcW w:w="1247" w:type="dxa"/>
            <w:vAlign w:val="center"/>
          </w:tcPr>
          <w:p w14:paraId="08C5187F" w14:textId="7CD78310" w:rsidR="00CC03E3" w:rsidRPr="001455DC" w:rsidRDefault="00CC03E3" w:rsidP="00CC03E3">
            <w:pPr>
              <w:pStyle w:val="Tablebody"/>
              <w:jc w:val="right"/>
              <w:rPr>
                <w:rFonts w:eastAsiaTheme="minorHAnsi"/>
              </w:rPr>
            </w:pPr>
            <w:bookmarkStart w:id="727" w:name="_Ref449333285"/>
            <w:r w:rsidRPr="001455DC">
              <w:t>(9.27)</w:t>
            </w:r>
            <w:bookmarkEnd w:id="727"/>
          </w:p>
        </w:tc>
      </w:tr>
      <w:tr w:rsidR="00CC03E3" w:rsidRPr="001455DC" w14:paraId="680FFF19" w14:textId="77777777" w:rsidTr="00CC03E3">
        <w:trPr>
          <w:cantSplit/>
        </w:trPr>
        <w:tc>
          <w:tcPr>
            <w:tcW w:w="567" w:type="dxa"/>
          </w:tcPr>
          <w:p w14:paraId="38DB60C9" w14:textId="416E7598" w:rsidR="00CC03E3" w:rsidRPr="001455DC" w:rsidRDefault="00CC03E3" w:rsidP="00EC27D2">
            <w:pPr>
              <w:pStyle w:val="Tablebody"/>
            </w:pPr>
            <w:r w:rsidRPr="001455DC">
              <w:t> </w:t>
            </w:r>
          </w:p>
        </w:tc>
        <w:tc>
          <w:tcPr>
            <w:tcW w:w="8845" w:type="dxa"/>
            <w:gridSpan w:val="3"/>
          </w:tcPr>
          <w:p w14:paraId="670C907D" w14:textId="5BED80AE" w:rsidR="00CC03E3" w:rsidRPr="001455DC" w:rsidRDefault="00CC03E3" w:rsidP="00314515">
            <w:pPr>
              <w:pStyle w:val="Tablebody"/>
              <w:rPr>
                <w:rFonts w:eastAsiaTheme="minorHAnsi"/>
              </w:rPr>
            </w:pPr>
            <w:r w:rsidRPr="001455DC">
              <w:t>where</w:t>
            </w:r>
          </w:p>
        </w:tc>
      </w:tr>
      <w:tr w:rsidR="00CC03E3" w:rsidRPr="001455DC" w14:paraId="1F2A55E7" w14:textId="77777777" w:rsidTr="00CC03E3">
        <w:trPr>
          <w:cantSplit/>
        </w:trPr>
        <w:tc>
          <w:tcPr>
            <w:tcW w:w="567" w:type="dxa"/>
          </w:tcPr>
          <w:p w14:paraId="11E9A1EE" w14:textId="45A21A1E" w:rsidR="00CC03E3" w:rsidRPr="001455DC" w:rsidRDefault="00CC03E3" w:rsidP="00EC27D2">
            <w:pPr>
              <w:pStyle w:val="Tablebody"/>
            </w:pPr>
            <w:r w:rsidRPr="001455DC">
              <w:t> </w:t>
            </w:r>
          </w:p>
        </w:tc>
        <w:tc>
          <w:tcPr>
            <w:tcW w:w="567" w:type="dxa"/>
          </w:tcPr>
          <w:p w14:paraId="7BA41E5F" w14:textId="531CC620" w:rsidR="00CC03E3" w:rsidRPr="001455DC" w:rsidRDefault="00CC03E3" w:rsidP="00314515">
            <w:pPr>
              <w:pStyle w:val="Tablebody"/>
            </w:pPr>
            <w:r w:rsidRPr="001455DC">
              <w:rPr>
                <w:rStyle w:val="CCMCvariableitalic"/>
              </w:rPr>
              <w:t>S</w:t>
            </w:r>
            <w:r w:rsidRPr="001455DC">
              <w:rPr>
                <w:rStyle w:val="CCMCvariablesubscript"/>
              </w:rPr>
              <w:t>s</w:t>
            </w:r>
          </w:p>
        </w:tc>
        <w:tc>
          <w:tcPr>
            <w:tcW w:w="8278" w:type="dxa"/>
            <w:gridSpan w:val="2"/>
          </w:tcPr>
          <w:p w14:paraId="622E2410" w14:textId="48C581B9" w:rsidR="00CC03E3" w:rsidRPr="001455DC" w:rsidRDefault="00CC03E3">
            <w:pPr>
              <w:pStyle w:val="Tablebody"/>
            </w:pPr>
            <w:r w:rsidRPr="001455DC">
              <w:rPr>
                <w:rFonts w:eastAsiaTheme="minorHAnsi"/>
              </w:rPr>
              <w:t>is the first moment of area of the required tension and compression reinforcements with respect to the centroid of the gross concrete cross section;</w:t>
            </w:r>
          </w:p>
        </w:tc>
      </w:tr>
      <w:tr w:rsidR="00CC03E3" w:rsidRPr="001455DC" w14:paraId="2CF1BBF2" w14:textId="77777777" w:rsidTr="00CC03E3">
        <w:trPr>
          <w:cantSplit/>
        </w:trPr>
        <w:tc>
          <w:tcPr>
            <w:tcW w:w="567" w:type="dxa"/>
          </w:tcPr>
          <w:p w14:paraId="53F70534" w14:textId="76D0B8D4" w:rsidR="00CC03E3" w:rsidRPr="001455DC" w:rsidRDefault="00CC03E3" w:rsidP="00EC27D2">
            <w:pPr>
              <w:pStyle w:val="Tablebody"/>
            </w:pPr>
            <w:r w:rsidRPr="001455DC">
              <w:t> </w:t>
            </w:r>
          </w:p>
        </w:tc>
        <w:tc>
          <w:tcPr>
            <w:tcW w:w="567" w:type="dxa"/>
          </w:tcPr>
          <w:p w14:paraId="362E3B76" w14:textId="4AF5D4F1" w:rsidR="00CC03E3" w:rsidRPr="001455DC" w:rsidRDefault="00CC03E3" w:rsidP="00314515">
            <w:pPr>
              <w:pStyle w:val="Tablebody"/>
            </w:pPr>
            <w:r w:rsidRPr="001455DC">
              <w:rPr>
                <w:rStyle w:val="CCMCvariableitalic"/>
              </w:rPr>
              <w:t>I</w:t>
            </w:r>
            <w:r w:rsidRPr="001455DC">
              <w:rPr>
                <w:rStyle w:val="CCMCvariablesubscript"/>
              </w:rPr>
              <w:t>g</w:t>
            </w:r>
          </w:p>
        </w:tc>
        <w:tc>
          <w:tcPr>
            <w:tcW w:w="8278" w:type="dxa"/>
            <w:gridSpan w:val="2"/>
          </w:tcPr>
          <w:p w14:paraId="26ABEEB7" w14:textId="5C0E74D7" w:rsidR="00CC03E3" w:rsidRPr="001455DC" w:rsidRDefault="00CC03E3">
            <w:pPr>
              <w:pStyle w:val="Tablebody"/>
            </w:pPr>
            <w:r w:rsidRPr="001455DC">
              <w:rPr>
                <w:rFonts w:eastAsiaTheme="minorHAnsi"/>
              </w:rPr>
              <w:t>is the second moment of area of the gross concrete cross section;</w:t>
            </w:r>
          </w:p>
        </w:tc>
      </w:tr>
      <w:tr w:rsidR="00CC03E3" w:rsidRPr="001455DC" w14:paraId="7CDCFE65" w14:textId="77777777" w:rsidTr="00CC03E3">
        <w:trPr>
          <w:cantSplit/>
        </w:trPr>
        <w:tc>
          <w:tcPr>
            <w:tcW w:w="567" w:type="dxa"/>
          </w:tcPr>
          <w:p w14:paraId="0BFCF212" w14:textId="404F853E" w:rsidR="00CC03E3" w:rsidRPr="001455DC" w:rsidRDefault="00CC03E3" w:rsidP="00EC27D2">
            <w:pPr>
              <w:pStyle w:val="Tablebody"/>
            </w:pPr>
            <w:r w:rsidRPr="001455DC">
              <w:t> </w:t>
            </w:r>
          </w:p>
        </w:tc>
        <w:tc>
          <w:tcPr>
            <w:tcW w:w="567" w:type="dxa"/>
          </w:tcPr>
          <w:p w14:paraId="0BB2FA7E" w14:textId="468F8C0F" w:rsidR="00CC03E3" w:rsidRPr="001455DC" w:rsidRDefault="00CC03E3" w:rsidP="00314515">
            <w:pPr>
              <w:pStyle w:val="Tablebody"/>
            </w:pPr>
            <w:r w:rsidRPr="001455DC">
              <w:rPr>
                <w:rStyle w:val="CCMCvariableitalic"/>
              </w:rPr>
              <w:t>k</w:t>
            </w:r>
            <w:r w:rsidRPr="001455DC">
              <w:rPr>
                <w:rStyle w:val="CCMCvariablesubscript"/>
              </w:rPr>
              <w:t>I</w:t>
            </w:r>
          </w:p>
        </w:tc>
        <w:tc>
          <w:tcPr>
            <w:tcW w:w="8278" w:type="dxa"/>
            <w:gridSpan w:val="2"/>
          </w:tcPr>
          <w:p w14:paraId="6C40612D" w14:textId="27589175" w:rsidR="00CC03E3" w:rsidRPr="001455DC" w:rsidRDefault="00CC03E3" w:rsidP="00314515">
            <w:pPr>
              <w:pStyle w:val="Tablebody"/>
            </w:pPr>
            <w:r w:rsidRPr="001455DC">
              <w:rPr>
                <w:rFonts w:eastAsiaTheme="minorHAnsi"/>
              </w:rPr>
              <w:t xml:space="preserve">is an adjustment coefficient to account for the effect of cracking, for tension stiffening and for the fact that creep deformations are less than proportional to the creep coefficient in cracked sections. </w:t>
            </w:r>
            <w:r w:rsidRPr="001455DC">
              <w:rPr>
                <w:rStyle w:val="CCMCvariableitalic"/>
              </w:rPr>
              <w:t>k</w:t>
            </w:r>
            <w:r w:rsidRPr="001455DC">
              <w:rPr>
                <w:rStyle w:val="CCMCvariablesubscript"/>
              </w:rPr>
              <w:t>I</w:t>
            </w:r>
            <w:r w:rsidRPr="001455DC">
              <w:rPr>
                <w:rFonts w:eastAsiaTheme="minorHAnsi"/>
              </w:rPr>
              <w:t xml:space="preserve"> may be estimated from </w:t>
            </w:r>
            <w:r w:rsidRPr="001455DC">
              <w:t>Formula (9.28)</w:t>
            </w:r>
            <w:r w:rsidRPr="001455DC">
              <w:rPr>
                <w:rFonts w:eastAsiaTheme="minorHAnsi"/>
              </w:rPr>
              <w:t>:</w:t>
            </w:r>
          </w:p>
        </w:tc>
      </w:tr>
      <w:tr w:rsidR="00CC03E3" w:rsidRPr="001455DC" w14:paraId="49C03297" w14:textId="77777777" w:rsidTr="00CC03E3">
        <w:trPr>
          <w:cantSplit/>
        </w:trPr>
        <w:tc>
          <w:tcPr>
            <w:tcW w:w="567" w:type="dxa"/>
          </w:tcPr>
          <w:p w14:paraId="046B70F1" w14:textId="77777777" w:rsidR="00CC03E3" w:rsidRPr="001455DC" w:rsidRDefault="00CC03E3" w:rsidP="00EC27D2">
            <w:pPr>
              <w:pStyle w:val="Tablebody"/>
            </w:pPr>
            <w:r w:rsidRPr="001455DC">
              <w:t> </w:t>
            </w:r>
          </w:p>
        </w:tc>
        <w:tc>
          <w:tcPr>
            <w:tcW w:w="7598" w:type="dxa"/>
            <w:gridSpan w:val="2"/>
            <w:vAlign w:val="center"/>
          </w:tcPr>
          <w:p w14:paraId="28D880E1" w14:textId="59091431" w:rsidR="00CC03E3" w:rsidRPr="001455DC" w:rsidRDefault="00231E33" w:rsidP="00CC03E3">
            <w:pPr>
              <w:pStyle w:val="Tablebody"/>
              <w:jc w:val="left"/>
              <w:rPr>
                <w:rFonts w:eastAsiaTheme="minorHAnsi"/>
              </w:rPr>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rPr>
                      <m:t>I</m:t>
                    </m:r>
                  </m:sub>
                </m:sSub>
                <m:r>
                  <w:rPr>
                    <w:rFonts w:ascii="Cambria Math" w:hAnsi="Cambria Math"/>
                  </w:rPr>
                  <m:t>=</m:t>
                </m:r>
                <m:d>
                  <m:dPr>
                    <m:begChr m:val="{"/>
                    <m:endChr m:val=""/>
                    <m:ctrlPr>
                      <w:rPr>
                        <w:rFonts w:ascii="Cambria Math" w:hAnsi="Cambria Math"/>
                      </w:rPr>
                    </m:ctrlPr>
                  </m:dPr>
                  <m:e>
                    <m:m>
                      <m:mPr>
                        <m:cGp m:val="8"/>
                        <m:mcs>
                          <m:mc>
                            <m:mcPr>
                              <m:count m:val="1"/>
                              <m:mcJc m:val="left"/>
                            </m:mcPr>
                          </m:mc>
                        </m:mcs>
                        <m:ctrlPr>
                          <w:rPr>
                            <w:rFonts w:ascii="Cambria Math" w:hAnsi="Cambria Math"/>
                            <w:i/>
                          </w:rPr>
                        </m:ctrlPr>
                      </m:mPr>
                      <m:mr>
                        <m:e>
                          <m:r>
                            <w:rPr>
                              <w:rFonts w:ascii="Cambria Math" w:hAnsi="Cambria Math"/>
                            </w:rPr>
                            <m:t xml:space="preserve">1,00 </m:t>
                          </m:r>
                          <m:r>
                            <m:rPr>
                              <m:nor/>
                            </m:rPr>
                            <w:rPr>
                              <w:rFonts w:ascii="Cambria Math" w:hAnsi="Cambria Math"/>
                            </w:rPr>
                            <m:t>if</m:t>
                          </m:r>
                          <m:r>
                            <w:rPr>
                              <w:rFonts w:ascii="Cambria Math" w:hAnsi="Cambria Math"/>
                            </w:rPr>
                            <m:t xml:space="preserve"> </m:t>
                          </m:r>
                          <m:sSub>
                            <m:sSubPr>
                              <m:ctrlPr>
                                <w:rPr>
                                  <w:rFonts w:ascii="Cambria Math" w:hAnsi="Cambria Math"/>
                                </w:rPr>
                              </m:ctrlPr>
                            </m:sSubPr>
                            <m:e>
                              <m:r>
                                <w:rPr>
                                  <w:rFonts w:ascii="Cambria Math" w:hAnsi="Cambria Math"/>
                                </w:rPr>
                                <m:t>ω</m:t>
                              </m:r>
                            </m:e>
                            <m:sub>
                              <m:r>
                                <m:rPr>
                                  <m:sty m:val="p"/>
                                </m:rP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ω</m:t>
                              </m:r>
                            </m:e>
                            <m:sub>
                              <m:r>
                                <m:rPr>
                                  <m:sty m:val="p"/>
                                </m:rPr>
                                <w:rPr>
                                  <w:rFonts w:ascii="Cambria Math" w:hAnsi="Cambria Math"/>
                                </w:rPr>
                                <m:t>cr</m:t>
                              </m:r>
                            </m:sub>
                          </m:sSub>
                        </m:e>
                      </m:mr>
                      <m:mr>
                        <m:e>
                          <m:d>
                            <m:dPr>
                              <m:sepChr m:val=""/>
                              <m:ctrlPr>
                                <w:rPr>
                                  <w:rFonts w:ascii="Cambria Math" w:hAnsi="Cambria Math"/>
                                </w:rPr>
                              </m:ctrlPr>
                            </m:dPr>
                            <m:e>
                              <m:r>
                                <w:rPr>
                                  <w:rFonts w:ascii="Cambria Math" w:hAnsi="Cambria Math"/>
                                </w:rPr>
                                <m:t>0,045</m:t>
                              </m:r>
                            </m:e>
                            <m:e>
                              <m:sSub>
                                <m:sSubPr>
                                  <m:ctrlPr>
                                    <w:rPr>
                                      <w:rFonts w:ascii="Cambria Math" w:hAnsi="Cambria Math"/>
                                    </w:rPr>
                                  </m:ctrlPr>
                                </m:sSubPr>
                                <m:e>
                                  <m:r>
                                    <w:rPr>
                                      <w:rFonts w:ascii="Cambria Math" w:hAnsi="Cambria Math"/>
                                    </w:rPr>
                                    <m:t>f</m:t>
                                  </m:r>
                                </m:e>
                                <m:sub>
                                  <m:r>
                                    <m:rPr>
                                      <m:sty m:val="p"/>
                                    </m:rPr>
                                    <w:rPr>
                                      <w:rFonts w:ascii="Cambria Math" w:hAnsi="Cambria Math"/>
                                    </w:rPr>
                                    <m:t>cd</m:t>
                                  </m:r>
                                </m:sub>
                              </m:sSub>
                            </m:e>
                            <m:e>
                              <m:r>
                                <w:rPr>
                                  <w:rFonts w:ascii="Cambria Math" w:hAnsi="Cambria Math"/>
                                </w:rPr>
                                <m:t>+</m:t>
                              </m:r>
                            </m:e>
                            <m:e>
                              <m:r>
                                <w:rPr>
                                  <w:rFonts w:ascii="Cambria Math" w:hAnsi="Cambria Math"/>
                                </w:rPr>
                                <m:t>1,80</m:t>
                              </m:r>
                            </m:e>
                          </m:d>
                          <m:sSub>
                            <m:sSubPr>
                              <m:ctrlPr>
                                <w:rPr>
                                  <w:rFonts w:ascii="Cambria Math" w:hAnsi="Cambria Math"/>
                                </w:rPr>
                              </m:ctrlPr>
                            </m:sSubPr>
                            <m:e>
                              <m:r>
                                <w:rPr>
                                  <w:rFonts w:ascii="Cambria Math" w:hAnsi="Cambria Math"/>
                                </w:rPr>
                                <m:t>ω</m:t>
                              </m:r>
                            </m:e>
                            <m:sub>
                              <m:r>
                                <m:rPr>
                                  <m:sty m:val="p"/>
                                </m:rPr>
                                <w:rPr>
                                  <w:rFonts w:ascii="Cambria Math" w:hAnsi="Cambria Math"/>
                                </w:rPr>
                                <m:t>r</m:t>
                              </m:r>
                            </m:sub>
                          </m:sSub>
                          <m:r>
                            <w:rPr>
                              <w:rFonts w:ascii="Cambria Math" w:hAnsi="Cambria Math"/>
                            </w:rPr>
                            <m:t>-5×</m:t>
                          </m:r>
                          <m:sSup>
                            <m:sSupPr>
                              <m:ctrlPr>
                                <w:rPr>
                                  <w:rFonts w:ascii="Cambria Math" w:hAnsi="Cambria Math"/>
                                </w:rPr>
                              </m:ctrlPr>
                            </m:sSupPr>
                            <m:e>
                              <m:r>
                                <w:rPr>
                                  <w:rFonts w:ascii="Cambria Math" w:hAnsi="Cambria Math"/>
                                </w:rPr>
                                <m:t>10</m:t>
                              </m:r>
                            </m:e>
                            <m:sup>
                              <m:r>
                                <w:rPr>
                                  <w:rFonts w:ascii="Cambria Math" w:hAnsi="Cambria Math"/>
                                </w:rPr>
                                <m:t>-3</m:t>
                              </m:r>
                            </m:sup>
                          </m:sSup>
                          <m:sSub>
                            <m:sSubPr>
                              <m:ctrlPr>
                                <w:rPr>
                                  <w:rFonts w:ascii="Cambria Math" w:hAnsi="Cambria Math"/>
                                </w:rPr>
                              </m:ctrlPr>
                            </m:sSubPr>
                            <m:e>
                              <m:r>
                                <w:rPr>
                                  <w:rFonts w:ascii="Cambria Math" w:hAnsi="Cambria Math"/>
                                </w:rPr>
                                <m:t>f</m:t>
                              </m:r>
                            </m:e>
                            <m:sub>
                              <m:r>
                                <m:rPr>
                                  <m:sty m:val="p"/>
                                </m:rPr>
                                <w:rPr>
                                  <w:rFonts w:ascii="Cambria Math" w:hAnsi="Cambria Math"/>
                                </w:rPr>
                                <m:t>cd</m:t>
                              </m:r>
                            </m:sub>
                          </m:sSub>
                          <m:r>
                            <w:rPr>
                              <w:rFonts w:ascii="Cambria Math" w:hAnsi="Cambria Math"/>
                            </w:rPr>
                            <m:t>+0,7</m:t>
                          </m:r>
                        </m:e>
                      </m:mr>
                      <m:mr>
                        <m:e>
                          <m:r>
                            <w:rPr>
                              <w:rFonts w:ascii="Cambria Math" w:hAnsi="Cambria Math"/>
                            </w:rPr>
                            <m:t>0,022</m:t>
                          </m:r>
                          <m:sSub>
                            <m:sSubPr>
                              <m:ctrlPr>
                                <w:rPr>
                                  <w:rFonts w:ascii="Cambria Math" w:hAnsi="Cambria Math"/>
                                </w:rPr>
                              </m:ctrlPr>
                            </m:sSubPr>
                            <m:e>
                              <m:r>
                                <w:rPr>
                                  <w:rFonts w:ascii="Cambria Math" w:hAnsi="Cambria Math"/>
                                </w:rPr>
                                <m:t>f</m:t>
                              </m:r>
                            </m:e>
                            <m:sub>
                              <m:r>
                                <m:rPr>
                                  <m:sty m:val="p"/>
                                </m:rPr>
                                <w:rPr>
                                  <w:rFonts w:ascii="Cambria Math" w:hAnsi="Cambria Math"/>
                                </w:rPr>
                                <m:t>cd</m:t>
                              </m:r>
                            </m:sub>
                          </m:sSub>
                          <m:r>
                            <w:rPr>
                              <w:rFonts w:ascii="Cambria Math" w:hAnsi="Cambria Math"/>
                            </w:rPr>
                            <m:t xml:space="preserve">+1,6 </m:t>
                          </m:r>
                          <m:r>
                            <m:rPr>
                              <m:nor/>
                            </m:rPr>
                            <w:rPr>
                              <w:rFonts w:ascii="Cambria Math" w:hAnsi="Cambria Math"/>
                            </w:rPr>
                            <m:t>if</m:t>
                          </m:r>
                          <m:r>
                            <w:rPr>
                              <w:rFonts w:ascii="Cambria Math" w:hAnsi="Cambria Math"/>
                            </w:rPr>
                            <m:t xml:space="preserve"> </m:t>
                          </m:r>
                          <m:sSub>
                            <m:sSubPr>
                              <m:ctrlPr>
                                <w:rPr>
                                  <w:rFonts w:ascii="Cambria Math" w:hAnsi="Cambria Math"/>
                                </w:rPr>
                              </m:ctrlPr>
                            </m:sSubPr>
                            <m:e>
                              <m:r>
                                <w:rPr>
                                  <w:rFonts w:ascii="Cambria Math" w:hAnsi="Cambria Math"/>
                                </w:rPr>
                                <m:t>ω</m:t>
                              </m:r>
                            </m:e>
                            <m:sub>
                              <m:r>
                                <m:rPr>
                                  <m:sty m:val="p"/>
                                </m:rPr>
                                <w:rPr>
                                  <w:rFonts w:ascii="Cambria Math" w:hAnsi="Cambria Math"/>
                                </w:rPr>
                                <m:t>r</m:t>
                              </m:r>
                            </m:sub>
                          </m:sSub>
                          <m:r>
                            <w:rPr>
                              <w:rFonts w:ascii="Cambria Math" w:hAnsi="Cambria Math"/>
                            </w:rPr>
                            <m:t>&gt;0,5</m:t>
                          </m:r>
                        </m:e>
                      </m:mr>
                    </m:m>
                  </m:e>
                </m:d>
                <m:r>
                  <w:rPr>
                    <w:rFonts w:ascii="Cambria Math" w:hAnsi="Cambria Math"/>
                  </w:rPr>
                  <m:t xml:space="preserve"> </m:t>
                </m:r>
                <m:r>
                  <m:rPr>
                    <m:nor/>
                  </m:rPr>
                  <w:rPr>
                    <w:rFonts w:ascii="Cambria Math" w:hAnsi="Cambria Math"/>
                  </w:rPr>
                  <m:t>if</m:t>
                </m:r>
                <m:r>
                  <w:rPr>
                    <w:rFonts w:ascii="Cambria Math" w:hAnsi="Cambria Math"/>
                  </w:rPr>
                  <m:t xml:space="preserve"> </m:t>
                </m:r>
                <m:sSub>
                  <m:sSubPr>
                    <m:ctrlPr>
                      <w:rPr>
                        <w:rFonts w:ascii="Cambria Math" w:hAnsi="Cambria Math"/>
                      </w:rPr>
                    </m:ctrlPr>
                  </m:sSubPr>
                  <m:e>
                    <m:r>
                      <w:rPr>
                        <w:rFonts w:ascii="Cambria Math" w:hAnsi="Cambria Math"/>
                      </w:rPr>
                      <m:t>ω</m:t>
                    </m:r>
                  </m:e>
                  <m:sub>
                    <m:r>
                      <m:rPr>
                        <m:sty m:val="p"/>
                      </m:rPr>
                      <w:rPr>
                        <w:rFonts w:ascii="Cambria Math" w:hAnsi="Cambria Math"/>
                      </w:rPr>
                      <m:t>cr</m:t>
                    </m:r>
                  </m:sub>
                </m:sSub>
                <m:r>
                  <w:rPr>
                    <w:rFonts w:ascii="Cambria Math" w:hAnsi="Cambria Math"/>
                  </w:rPr>
                  <m:t>≤</m:t>
                </m:r>
                <m:sSub>
                  <m:sSubPr>
                    <m:ctrlPr>
                      <w:rPr>
                        <w:rFonts w:ascii="Cambria Math" w:hAnsi="Cambria Math"/>
                      </w:rPr>
                    </m:ctrlPr>
                  </m:sSubPr>
                  <m:e>
                    <m:r>
                      <w:rPr>
                        <w:rFonts w:ascii="Cambria Math" w:hAnsi="Cambria Math"/>
                      </w:rPr>
                      <m:t>ω</m:t>
                    </m:r>
                  </m:e>
                  <m:sub>
                    <m:r>
                      <m:rPr>
                        <m:sty m:val="p"/>
                      </m:rPr>
                      <w:rPr>
                        <w:rFonts w:ascii="Cambria Math" w:hAnsi="Cambria Math"/>
                      </w:rPr>
                      <m:t>r</m:t>
                    </m:r>
                  </m:sub>
                </m:sSub>
                <m:r>
                  <w:rPr>
                    <w:rFonts w:ascii="Cambria Math" w:hAnsi="Cambria Math"/>
                  </w:rPr>
                  <m:t>≤0,5</m:t>
                </m:r>
              </m:oMath>
            </m:oMathPara>
          </w:p>
        </w:tc>
        <w:tc>
          <w:tcPr>
            <w:tcW w:w="1247" w:type="dxa"/>
            <w:vAlign w:val="center"/>
          </w:tcPr>
          <w:p w14:paraId="14D4FB7A" w14:textId="158206C0" w:rsidR="00CC03E3" w:rsidRPr="001455DC" w:rsidRDefault="00CC03E3" w:rsidP="00CC03E3">
            <w:pPr>
              <w:pStyle w:val="Tablebody"/>
              <w:jc w:val="right"/>
              <w:rPr>
                <w:rFonts w:eastAsiaTheme="minorHAnsi"/>
              </w:rPr>
            </w:pPr>
            <w:r w:rsidRPr="001455DC">
              <w:t>(9.28)</w:t>
            </w:r>
          </w:p>
        </w:tc>
      </w:tr>
      <w:tr w:rsidR="00CC03E3" w:rsidRPr="001455DC" w14:paraId="00281A7F" w14:textId="77777777" w:rsidTr="00CC03E3">
        <w:trPr>
          <w:cantSplit/>
        </w:trPr>
        <w:tc>
          <w:tcPr>
            <w:tcW w:w="9412" w:type="dxa"/>
            <w:gridSpan w:val="4"/>
          </w:tcPr>
          <w:p w14:paraId="5EF53611" w14:textId="78A0A0F2" w:rsidR="00CC03E3" w:rsidRPr="001455DC" w:rsidRDefault="00CC03E3" w:rsidP="00E844D2">
            <w:pPr>
              <w:pStyle w:val="Tablebody"/>
              <w:keepNext/>
              <w:jc w:val="left"/>
            </w:pPr>
            <w:r w:rsidRPr="001455DC">
              <w:t>with</w:t>
            </w:r>
          </w:p>
        </w:tc>
      </w:tr>
      <w:tr w:rsidR="00CC03E3" w:rsidRPr="001455DC" w14:paraId="33EF8A32" w14:textId="77777777" w:rsidTr="00CC03E3">
        <w:trPr>
          <w:cantSplit/>
        </w:trPr>
        <w:tc>
          <w:tcPr>
            <w:tcW w:w="567" w:type="dxa"/>
          </w:tcPr>
          <w:p w14:paraId="7E4051CF" w14:textId="77C08171" w:rsidR="00CC03E3" w:rsidRPr="001455DC" w:rsidRDefault="00CC03E3" w:rsidP="00EC27D2">
            <w:pPr>
              <w:pStyle w:val="Tablebody"/>
            </w:pPr>
            <w:r w:rsidRPr="001455DC">
              <w:t> </w:t>
            </w:r>
          </w:p>
        </w:tc>
        <w:tc>
          <w:tcPr>
            <w:tcW w:w="7598" w:type="dxa"/>
            <w:gridSpan w:val="2"/>
            <w:vAlign w:val="center"/>
          </w:tcPr>
          <w:p w14:paraId="048F6930" w14:textId="607252F0" w:rsidR="00CC03E3" w:rsidRPr="001455DC" w:rsidRDefault="00231E33" w:rsidP="00CC03E3">
            <w:pPr>
              <w:pStyle w:val="Tablebody"/>
              <w:jc w:val="left"/>
              <w:rPr>
                <w:i/>
              </w:rPr>
            </w:pPr>
            <m:oMathPara>
              <m:oMathParaPr>
                <m:jc m:val="left"/>
              </m:oMathParaPr>
              <m:oMath>
                <m:sSub>
                  <m:sSubPr>
                    <m:ctrlPr>
                      <w:rPr>
                        <w:rFonts w:ascii="Cambria Math" w:hAnsi="Cambria Math"/>
                      </w:rPr>
                    </m:ctrlPr>
                  </m:sSubPr>
                  <m:e>
                    <m:r>
                      <w:rPr>
                        <w:rFonts w:ascii="Cambria Math" w:hAnsi="Cambria Math"/>
                      </w:rPr>
                      <m:t>ω</m:t>
                    </m:r>
                  </m:e>
                  <m:sub>
                    <m:r>
                      <m:rPr>
                        <m:sty m:val="p"/>
                      </m:rPr>
                      <w:rPr>
                        <w:rFonts w:ascii="Cambria Math" w:hAnsi="Cambria Math"/>
                      </w:rPr>
                      <m:t>cr</m:t>
                    </m:r>
                  </m:sub>
                </m:sSub>
                <m:r>
                  <w:rPr>
                    <w:rFonts w:ascii="Cambria Math" w:hAnsi="Cambria Math"/>
                  </w:rPr>
                  <m:t>=1-</m:t>
                </m:r>
                <m:rad>
                  <m:radPr>
                    <m:degHide m:val="1"/>
                    <m:ctrlPr>
                      <w:rPr>
                        <w:rFonts w:ascii="Cambria Math" w:hAnsi="Cambria Math"/>
                      </w:rPr>
                    </m:ctrlPr>
                  </m:radPr>
                  <m:deg/>
                  <m:e>
                    <m:r>
                      <w:rPr>
                        <w:rFonts w:ascii="Cambria Math" w:hAnsi="Cambria Math"/>
                      </w:rPr>
                      <m:t>1-</m:t>
                    </m:r>
                    <m:f>
                      <m:fPr>
                        <m:ctrlPr>
                          <w:rPr>
                            <w:rFonts w:ascii="Cambria Math" w:hAnsi="Cambria Math"/>
                          </w:rPr>
                        </m:ctrlPr>
                      </m:fPr>
                      <m:num>
                        <m:r>
                          <w:rPr>
                            <w:rFonts w:ascii="Cambria Math" w:hAnsi="Cambria Math"/>
                          </w:rPr>
                          <m:t>1,05</m:t>
                        </m:r>
                      </m:num>
                      <m:den>
                        <m:r>
                          <w:rPr>
                            <w:rFonts w:ascii="Cambria Math" w:hAnsi="Cambria Math"/>
                          </w:rPr>
                          <m:t>3</m:t>
                        </m:r>
                      </m:den>
                    </m:f>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ctm</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cd</m:t>
                            </m:r>
                          </m:sub>
                        </m:sSub>
                      </m:den>
                    </m:f>
                    <m:d>
                      <m:dPr>
                        <m:sepChr m:val=""/>
                        <m:ctrlPr>
                          <w:rPr>
                            <w:rFonts w:ascii="Cambria Math" w:hAnsi="Cambria Math"/>
                          </w:rPr>
                        </m:ctrlPr>
                      </m:dPr>
                      <m:e>
                        <m:sSub>
                          <m:sSubPr>
                            <m:ctrlPr>
                              <w:rPr>
                                <w:rFonts w:ascii="Cambria Math" w:hAnsi="Cambria Math"/>
                              </w:rPr>
                            </m:ctrlPr>
                          </m:sSubPr>
                          <m:e>
                            <m:r>
                              <w:rPr>
                                <w:rFonts w:ascii="Cambria Math" w:hAnsi="Cambria Math"/>
                              </w:rPr>
                              <m:t>γ</m:t>
                            </m:r>
                          </m:e>
                          <m:sub>
                            <m:r>
                              <m:rPr>
                                <m:sty m:val="p"/>
                              </m:rPr>
                              <w:rPr>
                                <w:rFonts w:ascii="Cambria Math" w:hAnsi="Cambria Math"/>
                              </w:rPr>
                              <m:t>G</m:t>
                            </m:r>
                          </m:sub>
                        </m:sSub>
                      </m:e>
                      <m:e>
                        <m:r>
                          <w:rPr>
                            <w:rFonts w:ascii="Cambria Math" w:hAnsi="Cambria Math"/>
                          </w:rPr>
                          <m:t>+</m:t>
                        </m:r>
                      </m:e>
                      <m:e>
                        <m:d>
                          <m:dPr>
                            <m:sepChr m:val=""/>
                            <m:ctrlPr>
                              <w:rPr>
                                <w:rFonts w:ascii="Cambria Math" w:hAnsi="Cambria Math"/>
                              </w:rPr>
                            </m:ctrlPr>
                          </m:dPr>
                          <m:e>
                            <m:sSub>
                              <m:sSubPr>
                                <m:ctrlPr>
                                  <w:rPr>
                                    <w:rFonts w:ascii="Cambria Math" w:hAnsi="Cambria Math"/>
                                  </w:rPr>
                                </m:ctrlPr>
                              </m:sSubPr>
                              <m:e>
                                <m:r>
                                  <w:rPr>
                                    <w:rFonts w:ascii="Cambria Math" w:hAnsi="Cambria Math"/>
                                  </w:rPr>
                                  <m:t>γ</m:t>
                                </m:r>
                              </m:e>
                              <m:sub>
                                <m:r>
                                  <m:rPr>
                                    <m:sty m:val="p"/>
                                  </m:rPr>
                                  <w:rPr>
                                    <w:rFonts w:ascii="Cambria Math" w:hAnsi="Cambria Math"/>
                                  </w:rPr>
                                  <m:t>Q</m:t>
                                </m:r>
                              </m:sub>
                            </m:sSub>
                          </m:e>
                          <m:e>
                            <m:r>
                              <w:rPr>
                                <w:rFonts w:ascii="Cambria Math" w:hAnsi="Cambria Math"/>
                              </w:rPr>
                              <m:t>-</m:t>
                            </m:r>
                          </m:e>
                          <m:e>
                            <m:sSub>
                              <m:sSubPr>
                                <m:ctrlPr>
                                  <w:rPr>
                                    <w:rFonts w:ascii="Cambria Math" w:hAnsi="Cambria Math"/>
                                  </w:rPr>
                                </m:ctrlPr>
                              </m:sSubPr>
                              <m:e>
                                <m:r>
                                  <w:rPr>
                                    <w:rFonts w:ascii="Cambria Math" w:hAnsi="Cambria Math"/>
                                  </w:rPr>
                                  <m:t>γ</m:t>
                                </m:r>
                              </m:e>
                              <m:sub>
                                <m:r>
                                  <m:rPr>
                                    <m:sty m:val="p"/>
                                  </m:rPr>
                                  <w:rPr>
                                    <w:rFonts w:ascii="Cambria Math" w:hAnsi="Cambria Math"/>
                                  </w:rPr>
                                  <m:t>G</m:t>
                                </m:r>
                              </m:sub>
                            </m:sSub>
                          </m:e>
                        </m:d>
                      </m:e>
                      <m:e>
                        <m:f>
                          <m:fPr>
                            <m:ctrlPr>
                              <w:rPr>
                                <w:rFonts w:ascii="Cambria Math" w:hAnsi="Cambria Math"/>
                              </w:rPr>
                            </m:ctrlPr>
                          </m:fPr>
                          <m:num>
                            <m:r>
                              <w:rPr>
                                <w:rFonts w:ascii="Cambria Math" w:hAnsi="Cambria Math"/>
                              </w:rPr>
                              <m:t>LL</m:t>
                            </m:r>
                          </m:num>
                          <m:den>
                            <m:r>
                              <w:rPr>
                                <w:rFonts w:ascii="Cambria Math" w:hAnsi="Cambria Math"/>
                              </w:rPr>
                              <m:t>TL</m:t>
                            </m:r>
                          </m:den>
                        </m:f>
                      </m:e>
                    </m:d>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h</m:t>
                                </m:r>
                              </m:num>
                              <m:den>
                                <m:r>
                                  <w:rPr>
                                    <w:rFonts w:ascii="Cambria Math" w:hAnsi="Cambria Math"/>
                                  </w:rPr>
                                  <m:t>d</m:t>
                                </m:r>
                              </m:den>
                            </m:f>
                          </m:e>
                        </m:d>
                      </m:e>
                      <m:sup>
                        <m:r>
                          <w:rPr>
                            <w:rFonts w:ascii="Cambria Math" w:hAnsi="Cambria Math"/>
                          </w:rPr>
                          <m:t>2</m:t>
                        </m:r>
                      </m:sup>
                    </m:sSup>
                  </m:e>
                </m:rad>
              </m:oMath>
            </m:oMathPara>
          </w:p>
        </w:tc>
        <w:tc>
          <w:tcPr>
            <w:tcW w:w="1247" w:type="dxa"/>
            <w:vAlign w:val="center"/>
          </w:tcPr>
          <w:p w14:paraId="0CC31B00" w14:textId="7BF94562" w:rsidR="00CC03E3" w:rsidRPr="001455DC" w:rsidRDefault="00CC03E3" w:rsidP="00CC03E3">
            <w:pPr>
              <w:pStyle w:val="Tablebody"/>
              <w:jc w:val="right"/>
            </w:pPr>
            <w:r w:rsidRPr="001455DC">
              <w:t>(9.29)</w:t>
            </w:r>
          </w:p>
        </w:tc>
      </w:tr>
      <w:tr w:rsidR="00CC03E3" w:rsidRPr="001455DC" w14:paraId="011FA0B9" w14:textId="77777777" w:rsidTr="00CC03E3">
        <w:trPr>
          <w:cantSplit/>
        </w:trPr>
        <w:tc>
          <w:tcPr>
            <w:tcW w:w="9412" w:type="dxa"/>
            <w:gridSpan w:val="4"/>
          </w:tcPr>
          <w:p w14:paraId="589256FA" w14:textId="0C638BD0" w:rsidR="00CC03E3" w:rsidRPr="001455DC" w:rsidRDefault="00CC03E3" w:rsidP="00E844D2">
            <w:pPr>
              <w:pStyle w:val="Tablebody"/>
              <w:keepNext/>
              <w:jc w:val="left"/>
            </w:pPr>
            <w:r w:rsidRPr="001455DC">
              <w:rPr>
                <w:rFonts w:eastAsiaTheme="minorHAnsi"/>
              </w:rPr>
              <w:t>where</w:t>
            </w:r>
          </w:p>
        </w:tc>
      </w:tr>
      <w:tr w:rsidR="00CC03E3" w:rsidRPr="001455DC" w14:paraId="5F0574E7" w14:textId="77777777" w:rsidTr="00CC03E3">
        <w:trPr>
          <w:cantSplit/>
        </w:trPr>
        <w:tc>
          <w:tcPr>
            <w:tcW w:w="567" w:type="dxa"/>
          </w:tcPr>
          <w:p w14:paraId="3777C94E" w14:textId="6F79942E" w:rsidR="00CC03E3" w:rsidRPr="009D3012" w:rsidRDefault="00CC03E3" w:rsidP="00CC03E3">
            <w:pPr>
              <w:pStyle w:val="Tablebody"/>
              <w:rPr>
                <w:rStyle w:val="CCMCvariableitalic"/>
              </w:rPr>
            </w:pPr>
            <w:r w:rsidRPr="001455DC">
              <w:rPr>
                <w:rStyle w:val="CCMCvariableitalic"/>
              </w:rPr>
              <w:t>ω</w:t>
            </w:r>
            <w:r w:rsidRPr="001455DC">
              <w:rPr>
                <w:rStyle w:val="CCMCvariablesubscript"/>
              </w:rPr>
              <w:t>r</w:t>
            </w:r>
          </w:p>
        </w:tc>
        <w:tc>
          <w:tcPr>
            <w:tcW w:w="8845" w:type="dxa"/>
            <w:gridSpan w:val="3"/>
            <w:vAlign w:val="center"/>
          </w:tcPr>
          <w:p w14:paraId="08FFF923" w14:textId="5FD91928" w:rsidR="00CC03E3" w:rsidRPr="001455DC" w:rsidRDefault="00CC03E3" w:rsidP="00CC03E3">
            <w:pPr>
              <w:pStyle w:val="Tablebody"/>
            </w:pPr>
            <w:r w:rsidRPr="001455DC">
              <w:rPr>
                <w:rFonts w:eastAsiaTheme="minorHAnsi"/>
              </w:rPr>
              <w:t>is the required mechanical tension reinforcement ratio related to (</w:t>
            </w:r>
            <w:r w:rsidRPr="001455DC">
              <w:rPr>
                <w:rStyle w:val="CCMCvariableitalic"/>
              </w:rPr>
              <w:t>b</w:t>
            </w:r>
            <w:r w:rsidRPr="001455DC">
              <w:rPr>
                <w:rFonts w:eastAsiaTheme="minorHAnsi"/>
              </w:rPr>
              <w:t> </w:t>
            </w:r>
            <w:r w:rsidR="00C74721" w:rsidRPr="001455DC">
              <w:rPr>
                <w:rFonts w:ascii="Cambria Math" w:eastAsiaTheme="minorHAnsi" w:hAnsi="Cambria Math"/>
              </w:rPr>
              <w:t>⋅</w:t>
            </w:r>
            <w:r w:rsidRPr="001455DC">
              <w:rPr>
                <w:rFonts w:eastAsiaTheme="minorHAnsi"/>
              </w:rPr>
              <w:t> </w:t>
            </w:r>
            <w:r w:rsidRPr="001455DC">
              <w:rPr>
                <w:rStyle w:val="CCMCvariableitalic"/>
              </w:rPr>
              <w:t>d</w:t>
            </w:r>
            <w:r w:rsidRPr="001455DC">
              <w:rPr>
                <w:rFonts w:eastAsiaTheme="minorHAnsi"/>
              </w:rPr>
              <w:t>) to resist the moment due to the design loads, at mid span for continuous or simply supported elements and at the support for cantilevers;</w:t>
            </w:r>
          </w:p>
        </w:tc>
      </w:tr>
      <w:tr w:rsidR="00CC03E3" w:rsidRPr="001455DC" w14:paraId="7E43A8F3" w14:textId="77777777" w:rsidTr="00CC03E3">
        <w:trPr>
          <w:cantSplit/>
        </w:trPr>
        <w:tc>
          <w:tcPr>
            <w:tcW w:w="567" w:type="dxa"/>
          </w:tcPr>
          <w:p w14:paraId="01C99CE0" w14:textId="067F9FAF" w:rsidR="00CC03E3" w:rsidRPr="009D3012" w:rsidRDefault="00CC03E3" w:rsidP="00CC03E3">
            <w:pPr>
              <w:pStyle w:val="Tablebody"/>
              <w:rPr>
                <w:rStyle w:val="CCMCvariableitalic"/>
              </w:rPr>
            </w:pPr>
            <w:r w:rsidRPr="001455DC">
              <w:rPr>
                <w:rStyle w:val="CCMCvariableitalic"/>
              </w:rPr>
              <w:t>ω</w:t>
            </w:r>
            <w:r w:rsidRPr="001455DC">
              <w:rPr>
                <w:rStyle w:val="CCMCvariablesubscript"/>
              </w:rPr>
              <w:t>cr</w:t>
            </w:r>
          </w:p>
        </w:tc>
        <w:tc>
          <w:tcPr>
            <w:tcW w:w="8845" w:type="dxa"/>
            <w:gridSpan w:val="3"/>
            <w:vAlign w:val="center"/>
          </w:tcPr>
          <w:p w14:paraId="79E26B84" w14:textId="03A12E40" w:rsidR="00CC03E3" w:rsidRPr="001455DC" w:rsidRDefault="00CC03E3" w:rsidP="00CC03E3">
            <w:pPr>
              <w:pStyle w:val="Tablebody"/>
            </w:pPr>
            <w:r w:rsidRPr="001455DC">
              <w:rPr>
                <w:rFonts w:eastAsiaTheme="minorHAnsi"/>
              </w:rPr>
              <w:t>is the mechanical reinforcement ratio, below which, the structure is not expected to crack under the characteristic combination of actions;</w:t>
            </w:r>
          </w:p>
        </w:tc>
      </w:tr>
      <w:tr w:rsidR="00CC03E3" w:rsidRPr="001455DC" w14:paraId="098B83AE" w14:textId="77777777" w:rsidTr="00CC03E3">
        <w:trPr>
          <w:cantSplit/>
        </w:trPr>
        <w:tc>
          <w:tcPr>
            <w:tcW w:w="567" w:type="dxa"/>
          </w:tcPr>
          <w:p w14:paraId="008FF601" w14:textId="6B36A137" w:rsidR="00CC03E3" w:rsidRPr="009D3012" w:rsidRDefault="00CC03E3" w:rsidP="00CC03E3">
            <w:pPr>
              <w:pStyle w:val="Tablebody"/>
              <w:rPr>
                <w:rStyle w:val="CCMCvariableitalic"/>
              </w:rPr>
            </w:pPr>
            <w:r w:rsidRPr="001455DC">
              <w:rPr>
                <w:rStyle w:val="CCMCvariableitalic"/>
              </w:rPr>
              <w:t>k</w:t>
            </w:r>
            <w:r w:rsidRPr="001455DC">
              <w:rPr>
                <w:rStyle w:val="CCMCvariablesubscript"/>
              </w:rPr>
              <w:t>s</w:t>
            </w:r>
          </w:p>
        </w:tc>
        <w:tc>
          <w:tcPr>
            <w:tcW w:w="8845" w:type="dxa"/>
            <w:gridSpan w:val="3"/>
            <w:vAlign w:val="center"/>
          </w:tcPr>
          <w:p w14:paraId="183021C0" w14:textId="20063BB3" w:rsidR="00CC03E3" w:rsidRPr="001455DC" w:rsidRDefault="00CC03E3" w:rsidP="00CC03E3">
            <w:pPr>
              <w:pStyle w:val="Tablebody"/>
            </w:pPr>
            <w:r w:rsidRPr="001455DC">
              <w:rPr>
                <w:rFonts w:eastAsiaTheme="minorHAnsi"/>
              </w:rPr>
              <w:t xml:space="preserve">is coefficient to account for the effect of cracking on the shrinkage deflection. </w:t>
            </w:r>
            <w:r w:rsidRPr="001455DC">
              <w:rPr>
                <w:rStyle w:val="CCMCvariableitalic"/>
              </w:rPr>
              <w:t>k</w:t>
            </w:r>
            <w:r w:rsidRPr="001455DC">
              <w:rPr>
                <w:rStyle w:val="CCMCvariablesubscript"/>
              </w:rPr>
              <w:t>s</w:t>
            </w:r>
            <w:r w:rsidRPr="001455DC">
              <w:rPr>
                <w:rFonts w:eastAsiaTheme="minorHAnsi"/>
              </w:rPr>
              <w:t xml:space="preserve"> may be estimated from </w:t>
            </w:r>
            <w:r w:rsidRPr="001455DC">
              <w:t>Formula (9.30)</w:t>
            </w:r>
            <w:r w:rsidRPr="001455DC">
              <w:rPr>
                <w:rFonts w:eastAsiaTheme="minorHAnsi"/>
              </w:rPr>
              <w:t>:</w:t>
            </w:r>
          </w:p>
        </w:tc>
      </w:tr>
      <w:tr w:rsidR="00CC03E3" w:rsidRPr="001455DC" w14:paraId="1A2D2066" w14:textId="77777777" w:rsidTr="00CC03E3">
        <w:trPr>
          <w:cantSplit/>
        </w:trPr>
        <w:tc>
          <w:tcPr>
            <w:tcW w:w="567" w:type="dxa"/>
          </w:tcPr>
          <w:p w14:paraId="10F81640" w14:textId="0E465964" w:rsidR="00CC03E3" w:rsidRPr="001455DC" w:rsidRDefault="00CC03E3" w:rsidP="00EC27D2">
            <w:pPr>
              <w:pStyle w:val="Tablebody"/>
            </w:pPr>
            <w:r w:rsidRPr="001455DC">
              <w:t> </w:t>
            </w:r>
          </w:p>
        </w:tc>
        <w:tc>
          <w:tcPr>
            <w:tcW w:w="7598" w:type="dxa"/>
            <w:gridSpan w:val="2"/>
            <w:vAlign w:val="center"/>
          </w:tcPr>
          <w:p w14:paraId="187A61C1" w14:textId="2BFBE4D8" w:rsidR="00CC03E3" w:rsidRPr="001455DC" w:rsidRDefault="00231E33" w:rsidP="00CC03E3">
            <w:pPr>
              <w:pStyle w:val="Tablebody"/>
              <w:jc w:val="left"/>
              <w:rPr>
                <w:i/>
              </w:rPr>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rPr>
                      <m:t>s</m:t>
                    </m:r>
                  </m:sub>
                </m:sSub>
                <m:r>
                  <w:rPr>
                    <w:rFonts w:ascii="Cambria Math" w:hAnsi="Cambria Math"/>
                  </w:rPr>
                  <m:t>=</m:t>
                </m:r>
                <m:d>
                  <m:dPr>
                    <m:begChr m:val="{"/>
                    <m:endChr m:val=""/>
                    <m:ctrlPr>
                      <w:rPr>
                        <w:rFonts w:ascii="Cambria Math" w:hAnsi="Cambria Math"/>
                      </w:rPr>
                    </m:ctrlPr>
                  </m:dPr>
                  <m:e>
                    <m:m>
                      <m:mPr>
                        <m:cGp m:val="8"/>
                        <m:mcs>
                          <m:mc>
                            <m:mcPr>
                              <m:count m:val="1"/>
                              <m:mcJc m:val="left"/>
                            </m:mcPr>
                          </m:mc>
                        </m:mcs>
                        <m:ctrlPr>
                          <w:rPr>
                            <w:rFonts w:ascii="Cambria Math" w:hAnsi="Cambria Math"/>
                            <w:i/>
                          </w:rPr>
                        </m:ctrlPr>
                      </m:mPr>
                      <m:mr>
                        <m:e>
                          <m:r>
                            <w:rPr>
                              <w:rFonts w:ascii="Cambria Math" w:hAnsi="Cambria Math"/>
                            </w:rPr>
                            <m:t xml:space="preserve">1,00 </m:t>
                          </m:r>
                          <m:r>
                            <m:rPr>
                              <m:nor/>
                            </m:rPr>
                            <w:rPr>
                              <w:rFonts w:ascii="Cambria Math" w:hAnsi="Cambria Math"/>
                            </w:rPr>
                            <m:t>if</m:t>
                          </m:r>
                          <m:r>
                            <w:rPr>
                              <w:rFonts w:ascii="Cambria Math" w:hAnsi="Cambria Math"/>
                            </w:rPr>
                            <m:t xml:space="preserve"> </m:t>
                          </m:r>
                          <m:sSub>
                            <m:sSubPr>
                              <m:ctrlPr>
                                <w:rPr>
                                  <w:rFonts w:ascii="Cambria Math" w:hAnsi="Cambria Math"/>
                                </w:rPr>
                              </m:ctrlPr>
                            </m:sSubPr>
                            <m:e>
                              <m:r>
                                <w:rPr>
                                  <w:rFonts w:ascii="Cambria Math" w:hAnsi="Cambria Math"/>
                                </w:rPr>
                                <m:t>ω</m:t>
                              </m:r>
                            </m:e>
                            <m:sub>
                              <m:r>
                                <m:rPr>
                                  <m:sty m:val="p"/>
                                </m:rP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ω</m:t>
                              </m:r>
                            </m:e>
                            <m:sub>
                              <m:r>
                                <m:rPr>
                                  <m:sty m:val="p"/>
                                </m:rPr>
                                <w:rPr>
                                  <w:rFonts w:ascii="Cambria Math" w:hAnsi="Cambria Math"/>
                                </w:rPr>
                                <m:t>cr</m:t>
                              </m:r>
                            </m:sub>
                          </m:sSub>
                        </m:e>
                      </m:mr>
                      <m:mr>
                        <m:e>
                          <m:r>
                            <w:rPr>
                              <w:rFonts w:ascii="Cambria Math" w:hAnsi="Cambria Math"/>
                            </w:rPr>
                            <m:t>455</m:t>
                          </m:r>
                          <m:sSubSup>
                            <m:sSubSupPr>
                              <m:ctrlPr>
                                <w:rPr>
                                  <w:rFonts w:ascii="Cambria Math" w:hAnsi="Cambria Math"/>
                                </w:rPr>
                              </m:ctrlPr>
                            </m:sSubSupPr>
                            <m:e>
                              <m:r>
                                <w:rPr>
                                  <w:rFonts w:ascii="Cambria Math" w:hAnsi="Cambria Math"/>
                                </w:rPr>
                                <m:t>ρ</m:t>
                              </m:r>
                            </m:e>
                            <m:sub>
                              <m:r>
                                <w:rPr>
                                  <w:rFonts w:ascii="Cambria Math" w:hAnsi="Cambria Math"/>
                                </w:rPr>
                                <m:t>l</m:t>
                              </m:r>
                            </m:sub>
                            <m:sup>
                              <m:r>
                                <w:rPr>
                                  <w:rFonts w:ascii="Cambria Math" w:hAnsi="Cambria Math"/>
                                </w:rPr>
                                <m:t>2</m:t>
                              </m:r>
                            </m:sup>
                          </m:sSubSup>
                          <m:r>
                            <w:rPr>
                              <w:rFonts w:ascii="Cambria Math" w:hAnsi="Cambria Math"/>
                            </w:rPr>
                            <m:t>-35</m:t>
                          </m:r>
                          <m:sSub>
                            <m:sSubPr>
                              <m:ctrlPr>
                                <w:rPr>
                                  <w:rFonts w:ascii="Cambria Math" w:hAnsi="Cambria Math"/>
                                </w:rPr>
                              </m:ctrlPr>
                            </m:sSubPr>
                            <m:e>
                              <m:r>
                                <w:rPr>
                                  <w:rFonts w:ascii="Cambria Math" w:hAnsi="Cambria Math"/>
                                </w:rPr>
                                <m:t>ρ</m:t>
                              </m:r>
                            </m:e>
                            <m:sub>
                              <m:r>
                                <w:rPr>
                                  <w:rFonts w:ascii="Cambria Math" w:hAnsi="Cambria Math"/>
                                </w:rPr>
                                <m:t>l</m:t>
                              </m:r>
                            </m:sub>
                          </m:sSub>
                          <m:r>
                            <w:rPr>
                              <w:rFonts w:ascii="Cambria Math" w:hAnsi="Cambria Math"/>
                            </w:rPr>
                            <m:t xml:space="preserve">+1,6 </m:t>
                          </m:r>
                          <m:r>
                            <m:rPr>
                              <m:nor/>
                            </m:rPr>
                            <w:rPr>
                              <w:rFonts w:ascii="Cambria Math" w:hAnsi="Cambria Math"/>
                            </w:rPr>
                            <m:t>if</m:t>
                          </m:r>
                          <m:r>
                            <w:rPr>
                              <w:rFonts w:ascii="Cambria Math" w:hAnsi="Cambria Math"/>
                            </w:rPr>
                            <m:t xml:space="preserve"> </m:t>
                          </m:r>
                          <m:sSub>
                            <m:sSubPr>
                              <m:ctrlPr>
                                <w:rPr>
                                  <w:rFonts w:ascii="Cambria Math" w:hAnsi="Cambria Math"/>
                                </w:rPr>
                              </m:ctrlPr>
                            </m:sSubPr>
                            <m:e>
                              <m:r>
                                <w:rPr>
                                  <w:rFonts w:ascii="Cambria Math" w:hAnsi="Cambria Math"/>
                                </w:rPr>
                                <m:t>ω</m:t>
                              </m:r>
                            </m:e>
                            <m:sub>
                              <m:r>
                                <m:rPr>
                                  <m:sty m:val="p"/>
                                </m:rPr>
                                <w:rPr>
                                  <w:rFonts w:ascii="Cambria Math" w:hAnsi="Cambria Math"/>
                                </w:rPr>
                                <m:t>r</m:t>
                              </m:r>
                            </m:sub>
                          </m:sSub>
                          <m:r>
                            <w:rPr>
                              <w:rFonts w:ascii="Cambria Math" w:hAnsi="Cambria Math"/>
                            </w:rPr>
                            <m:t>&gt;</m:t>
                          </m:r>
                          <m:sSub>
                            <m:sSubPr>
                              <m:ctrlPr>
                                <w:rPr>
                                  <w:rFonts w:ascii="Cambria Math" w:hAnsi="Cambria Math"/>
                                </w:rPr>
                              </m:ctrlPr>
                            </m:sSubPr>
                            <m:e>
                              <m:r>
                                <w:rPr>
                                  <w:rFonts w:ascii="Cambria Math" w:hAnsi="Cambria Math"/>
                                </w:rPr>
                                <m:t>ω</m:t>
                              </m:r>
                            </m:e>
                            <m:sub>
                              <m:r>
                                <m:rPr>
                                  <m:sty m:val="p"/>
                                </m:rPr>
                                <w:rPr>
                                  <w:rFonts w:ascii="Cambria Math" w:hAnsi="Cambria Math"/>
                                </w:rPr>
                                <m:t>cr</m:t>
                              </m:r>
                            </m:sub>
                          </m:sSub>
                        </m:e>
                      </m:mr>
                    </m:m>
                  </m:e>
                </m:d>
                <m:r>
                  <w:rPr>
                    <w:rFonts w:ascii="Cambria Math" w:hAnsi="Cambria Math"/>
                  </w:rPr>
                  <m:t xml:space="preserve"> </m:t>
                </m:r>
              </m:oMath>
            </m:oMathPara>
          </w:p>
        </w:tc>
        <w:tc>
          <w:tcPr>
            <w:tcW w:w="1247" w:type="dxa"/>
            <w:vAlign w:val="center"/>
          </w:tcPr>
          <w:p w14:paraId="2A04EE0D" w14:textId="783A7C64" w:rsidR="00CC03E3" w:rsidRPr="001455DC" w:rsidRDefault="00CC03E3" w:rsidP="00CC03E3">
            <w:pPr>
              <w:pStyle w:val="Tablebody"/>
              <w:jc w:val="right"/>
            </w:pPr>
            <w:r w:rsidRPr="001455DC">
              <w:t>(9.30)</w:t>
            </w:r>
          </w:p>
        </w:tc>
      </w:tr>
      <w:tr w:rsidR="00CC03E3" w:rsidRPr="001455DC" w14:paraId="3CA75A99" w14:textId="77777777" w:rsidTr="00CC03E3">
        <w:trPr>
          <w:cantSplit/>
        </w:trPr>
        <w:tc>
          <w:tcPr>
            <w:tcW w:w="567" w:type="dxa"/>
          </w:tcPr>
          <w:p w14:paraId="745A7F23" w14:textId="48BB3A8E" w:rsidR="00CC03E3" w:rsidRPr="009D3012" w:rsidRDefault="00CC03E3" w:rsidP="00CC03E3">
            <w:pPr>
              <w:pStyle w:val="Tablebody"/>
              <w:rPr>
                <w:rStyle w:val="CCMCvariableitalic"/>
              </w:rPr>
            </w:pPr>
            <w:r w:rsidRPr="001455DC">
              <w:rPr>
                <w:rStyle w:val="CCMCvariableitalic"/>
              </w:rPr>
              <w:t>k</w:t>
            </w:r>
            <w:r w:rsidRPr="001455DC">
              <w:rPr>
                <w:rStyle w:val="CCMCvariablesubscript"/>
              </w:rPr>
              <w:t>ω</w:t>
            </w:r>
          </w:p>
        </w:tc>
        <w:tc>
          <w:tcPr>
            <w:tcW w:w="8845" w:type="dxa"/>
            <w:gridSpan w:val="3"/>
            <w:vAlign w:val="center"/>
          </w:tcPr>
          <w:p w14:paraId="0DC794E2" w14:textId="5BAACC06" w:rsidR="00CC03E3" w:rsidRPr="001455DC" w:rsidRDefault="00CC03E3" w:rsidP="00CC03E3">
            <w:pPr>
              <w:pStyle w:val="Tablebody"/>
            </w:pPr>
            <w:r w:rsidRPr="001455DC">
              <w:rPr>
                <w:rFonts w:eastAsiaTheme="minorHAnsi"/>
              </w:rPr>
              <w:t>is a coefficient to account for the effect of over-reinforcement on the deflection and may be taken as</w:t>
            </w:r>
          </w:p>
        </w:tc>
      </w:tr>
      <w:tr w:rsidR="00CC03E3" w:rsidRPr="001455DC" w14:paraId="373D6487" w14:textId="77777777" w:rsidTr="00CC03E3">
        <w:trPr>
          <w:cantSplit/>
        </w:trPr>
        <w:tc>
          <w:tcPr>
            <w:tcW w:w="567" w:type="dxa"/>
          </w:tcPr>
          <w:p w14:paraId="33788C32" w14:textId="2729B40D" w:rsidR="00CC03E3" w:rsidRPr="001455DC" w:rsidRDefault="00CC03E3" w:rsidP="00EC27D2">
            <w:pPr>
              <w:pStyle w:val="Tablebody"/>
            </w:pPr>
            <w:r w:rsidRPr="001455DC">
              <w:t> </w:t>
            </w:r>
          </w:p>
        </w:tc>
        <w:tc>
          <w:tcPr>
            <w:tcW w:w="7598" w:type="dxa"/>
            <w:gridSpan w:val="2"/>
            <w:vAlign w:val="center"/>
          </w:tcPr>
          <w:p w14:paraId="32A72505" w14:textId="2072A2CF" w:rsidR="00CC03E3" w:rsidRPr="001455DC" w:rsidRDefault="00231E33" w:rsidP="00CC03E3">
            <w:pPr>
              <w:pStyle w:val="Tablebody"/>
              <w:jc w:val="left"/>
              <w:rPr>
                <w:i/>
              </w:rPr>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rPr>
                      <m:t>ω</m:t>
                    </m:r>
                  </m:sub>
                </m:sSub>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ω</m:t>
                                </m:r>
                              </m:e>
                              <m:sub>
                                <m:r>
                                  <m:rPr>
                                    <m:sty m:val="p"/>
                                  </m:rPr>
                                  <w:rPr>
                                    <w:rFonts w:ascii="Cambria Math" w:hAnsi="Cambria Math"/>
                                  </w:rPr>
                                  <m:t>r</m:t>
                                </m:r>
                              </m:sub>
                            </m:sSub>
                          </m:num>
                          <m:den>
                            <m:sSub>
                              <m:sSubPr>
                                <m:ctrlPr>
                                  <w:rPr>
                                    <w:rFonts w:ascii="Cambria Math" w:hAnsi="Cambria Math"/>
                                  </w:rPr>
                                </m:ctrlPr>
                              </m:sSubPr>
                              <m:e>
                                <m:r>
                                  <w:rPr>
                                    <w:rFonts w:ascii="Cambria Math" w:hAnsi="Cambria Math"/>
                                  </w:rPr>
                                  <m:t>ω</m:t>
                                </m:r>
                              </m:e>
                              <m:sub>
                                <m:r>
                                  <m:rPr>
                                    <m:sty m:val="p"/>
                                  </m:rPr>
                                  <w:rPr>
                                    <w:rFonts w:ascii="Cambria Math" w:hAnsi="Cambria Math"/>
                                  </w:rPr>
                                  <m:t>prov</m:t>
                                </m:r>
                              </m:sub>
                            </m:sSub>
                          </m:den>
                        </m:f>
                      </m:e>
                    </m:d>
                  </m:e>
                  <m:sup>
                    <m:r>
                      <w:rPr>
                        <w:rFonts w:ascii="Cambria Math" w:hAnsi="Cambria Math"/>
                      </w:rPr>
                      <m:t>0,7</m:t>
                    </m:r>
                  </m:sup>
                </m:sSup>
              </m:oMath>
            </m:oMathPara>
          </w:p>
        </w:tc>
        <w:tc>
          <w:tcPr>
            <w:tcW w:w="1247" w:type="dxa"/>
            <w:vAlign w:val="center"/>
          </w:tcPr>
          <w:p w14:paraId="5143F5E6" w14:textId="224CE44C" w:rsidR="00CC03E3" w:rsidRPr="001455DC" w:rsidRDefault="00CC03E3" w:rsidP="00CC03E3">
            <w:pPr>
              <w:pStyle w:val="Tablebody"/>
              <w:jc w:val="right"/>
            </w:pPr>
            <w:r w:rsidRPr="001455DC">
              <w:t>(9.31)</w:t>
            </w:r>
          </w:p>
        </w:tc>
      </w:tr>
      <w:tr w:rsidR="00CC03E3" w:rsidRPr="001455DC" w14:paraId="6DAFE8D6" w14:textId="77777777" w:rsidTr="00CC03E3">
        <w:trPr>
          <w:cantSplit/>
        </w:trPr>
        <w:tc>
          <w:tcPr>
            <w:tcW w:w="567" w:type="dxa"/>
          </w:tcPr>
          <w:p w14:paraId="0216681A" w14:textId="36EEAA38" w:rsidR="00CC03E3" w:rsidRPr="001455DC" w:rsidRDefault="00CC03E3" w:rsidP="00EC27D2">
            <w:pPr>
              <w:pStyle w:val="Tablebody"/>
            </w:pPr>
            <w:r w:rsidRPr="001455DC">
              <w:t> </w:t>
            </w:r>
          </w:p>
        </w:tc>
        <w:tc>
          <w:tcPr>
            <w:tcW w:w="8845" w:type="dxa"/>
            <w:gridSpan w:val="3"/>
            <w:vAlign w:val="center"/>
          </w:tcPr>
          <w:p w14:paraId="2F3DB75B" w14:textId="2153CE9A" w:rsidR="00CC03E3" w:rsidRPr="001455DC" w:rsidRDefault="00CC03E3" w:rsidP="00CC03E3">
            <w:pPr>
              <w:pStyle w:val="Tablebody"/>
            </w:pPr>
            <w:r w:rsidRPr="001455DC">
              <w:rPr>
                <w:rFonts w:eastAsiaTheme="minorHAnsi"/>
              </w:rPr>
              <w:t xml:space="preserve">where </w:t>
            </w:r>
            <w:r w:rsidRPr="001455DC">
              <w:rPr>
                <w:rStyle w:val="CCMCvariableitalic"/>
              </w:rPr>
              <w:t>ω</w:t>
            </w:r>
            <w:r w:rsidRPr="001455DC">
              <w:rPr>
                <w:rStyle w:val="CCMCvariablesubscript"/>
              </w:rPr>
              <w:t>prov</w:t>
            </w:r>
            <w:r w:rsidRPr="001455DC">
              <w:rPr>
                <w:rFonts w:eastAsiaTheme="minorHAnsi"/>
              </w:rPr>
              <w:t xml:space="preserve"> is the mechanical tension reinforcement ratio actually provided.</w:t>
            </w:r>
          </w:p>
        </w:tc>
      </w:tr>
    </w:tbl>
    <w:p w14:paraId="0A899F3E" w14:textId="4C5876C3" w:rsidR="004E22C1" w:rsidRPr="001455DC" w:rsidRDefault="004E22C1" w:rsidP="00243590">
      <w:pPr>
        <w:pStyle w:val="31"/>
      </w:pPr>
      <w:bookmarkStart w:id="728" w:name="_Ref515185503"/>
      <w:bookmarkStart w:id="729" w:name="_Toc52820015"/>
      <w:bookmarkStart w:id="730" w:name="_Toc54337410"/>
      <w:bookmarkStart w:id="731" w:name="_Toc54338072"/>
      <w:bookmarkStart w:id="732" w:name="_Toc67565416"/>
      <w:r w:rsidRPr="001455DC">
        <w:t>General method for deflection calculations</w:t>
      </w:r>
      <w:bookmarkEnd w:id="728"/>
      <w:bookmarkEnd w:id="729"/>
      <w:bookmarkEnd w:id="730"/>
      <w:bookmarkEnd w:id="731"/>
      <w:bookmarkEnd w:id="732"/>
    </w:p>
    <w:p w14:paraId="5CAEB6CF" w14:textId="676468F5" w:rsidR="004E22C1" w:rsidRPr="001455DC" w:rsidRDefault="004E22C1" w:rsidP="00CC03E3">
      <w:pPr>
        <w:pStyle w:val="a7"/>
      </w:pPr>
      <w:r w:rsidRPr="001455DC">
        <w:t>(1)</w:t>
      </w:r>
      <w:r w:rsidRPr="001455DC">
        <w:tab/>
        <w:t xml:space="preserve">For a detailed deflection control the deformations should be calculated under load conditions which are appropriate to the purpose of the check, see </w:t>
      </w:r>
      <w:r w:rsidR="00A52A59">
        <w:t>pr</w:t>
      </w:r>
      <w:r w:rsidRPr="001455DC">
        <w:t>EN 1990.</w:t>
      </w:r>
    </w:p>
    <w:p w14:paraId="35A80043" w14:textId="77777777" w:rsidR="004E22C1" w:rsidRPr="001455DC" w:rsidRDefault="004E22C1" w:rsidP="00CC03E3">
      <w:pPr>
        <w:pStyle w:val="a7"/>
      </w:pPr>
      <w:r w:rsidRPr="001455DC">
        <w:t>(2)</w:t>
      </w:r>
      <w:r w:rsidRPr="001455DC">
        <w:tab/>
        <w:t>Members which are not expected to be stressed above the level which would cause the tensile strength of the concrete to be exceeded anywhere within the member may be considered to be uncracked. The assessment should allow for tensile stresses induced by restraint of early age thermal and long-term shrinkage strains.</w:t>
      </w:r>
    </w:p>
    <w:p w14:paraId="091ED4BF" w14:textId="78D1044F" w:rsidR="004E22C1" w:rsidRPr="001455DC" w:rsidRDefault="004E22C1" w:rsidP="00E844D2">
      <w:pPr>
        <w:pStyle w:val="a7"/>
        <w:keepNext/>
      </w:pPr>
      <w:r w:rsidRPr="001455DC">
        <w:t>(3)</w:t>
      </w:r>
      <w:r w:rsidRPr="001455DC">
        <w:tab/>
        <w:t>Members which are expected to crack, but may not be fully cracked, should be taken to behave in a manner intermediate between the uncracked and fully cracked conditions. For members subjected mainly to flexure Formula (9.32) may be used:</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CC03E3" w:rsidRPr="001455DC" w14:paraId="05F86E33" w14:textId="77777777" w:rsidTr="00CC03E3">
        <w:trPr>
          <w:cantSplit/>
        </w:trPr>
        <w:tc>
          <w:tcPr>
            <w:tcW w:w="8505" w:type="dxa"/>
            <w:vAlign w:val="center"/>
          </w:tcPr>
          <w:p w14:paraId="44649788" w14:textId="32EC629C" w:rsidR="00CC03E3" w:rsidRPr="001455DC" w:rsidRDefault="00231E33" w:rsidP="00CC03E3">
            <w:pPr>
              <w:pStyle w:val="Formula"/>
              <w:jc w:val="left"/>
            </w:pPr>
            <m:oMathPara>
              <m:oMathParaPr>
                <m:jc m:val="left"/>
              </m:oMathParaPr>
              <m:oMath>
                <m:sSub>
                  <m:sSubPr>
                    <m:ctrlPr>
                      <w:rPr>
                        <w:rFonts w:ascii="Cambria Math" w:hAnsi="Cambria Math"/>
                      </w:rPr>
                    </m:ctrlPr>
                  </m:sSubPr>
                  <m:e>
                    <m:r>
                      <w:rPr>
                        <w:rFonts w:ascii="Cambria Math" w:hAnsi="Cambria Math"/>
                      </w:rPr>
                      <m:t>α</m:t>
                    </m:r>
                  </m:e>
                  <m:sub>
                    <m:r>
                      <m:rPr>
                        <m:sty m:val="p"/>
                      </m:rPr>
                      <w:rPr>
                        <w:rFonts w:ascii="Cambria Math" w:hAnsi="Cambria Math"/>
                      </w:rPr>
                      <m:t>δ</m:t>
                    </m:r>
                  </m:sub>
                </m:sSub>
                <m:r>
                  <w:rPr>
                    <w:rFonts w:ascii="Cambria Math" w:hAnsi="Cambria Math"/>
                  </w:rPr>
                  <m:t>=</m:t>
                </m:r>
                <m:d>
                  <m:dPr>
                    <m:ctrlPr>
                      <w:rPr>
                        <w:rFonts w:ascii="Cambria Math" w:hAnsi="Cambria Math"/>
                      </w:rPr>
                    </m:ctrlPr>
                  </m:dPr>
                  <m:e>
                    <m:r>
                      <w:rPr>
                        <w:rFonts w:ascii="Cambria Math" w:hAnsi="Cambria Math"/>
                      </w:rPr>
                      <m:t>1-ζ</m:t>
                    </m:r>
                  </m:e>
                </m:d>
                <m:sSub>
                  <m:sSubPr>
                    <m:ctrlPr>
                      <w:rPr>
                        <w:rFonts w:ascii="Cambria Math" w:hAnsi="Cambria Math"/>
                      </w:rPr>
                    </m:ctrlPr>
                  </m:sSubPr>
                  <m:e>
                    <m:r>
                      <w:rPr>
                        <w:rFonts w:ascii="Cambria Math" w:hAnsi="Cambria Math"/>
                      </w:rPr>
                      <m:t>α</m:t>
                    </m:r>
                  </m:e>
                  <m:sub>
                    <m:r>
                      <m:rPr>
                        <m:sty m:val="p"/>
                      </m:rPr>
                      <w:rPr>
                        <w:rFonts w:ascii="Cambria Math" w:hAnsi="Cambria Math"/>
                      </w:rPr>
                      <m:t>I</m:t>
                    </m:r>
                  </m:sub>
                </m:sSub>
                <m:r>
                  <w:rPr>
                    <w:rFonts w:ascii="Cambria Math" w:hAnsi="Cambria Math"/>
                  </w:rPr>
                  <m:t>+ζ</m:t>
                </m:r>
                <m:sSub>
                  <m:sSubPr>
                    <m:ctrlPr>
                      <w:rPr>
                        <w:rFonts w:ascii="Cambria Math" w:hAnsi="Cambria Math"/>
                      </w:rPr>
                    </m:ctrlPr>
                  </m:sSubPr>
                  <m:e>
                    <m:r>
                      <w:rPr>
                        <w:rFonts w:ascii="Cambria Math" w:hAnsi="Cambria Math"/>
                      </w:rPr>
                      <m:t>α</m:t>
                    </m:r>
                  </m:e>
                  <m:sub>
                    <m:r>
                      <m:rPr>
                        <m:sty m:val="p"/>
                      </m:rPr>
                      <w:rPr>
                        <w:rFonts w:ascii="Cambria Math" w:hAnsi="Cambria Math"/>
                      </w:rPr>
                      <m:t>II</m:t>
                    </m:r>
                  </m:sub>
                </m:sSub>
              </m:oMath>
            </m:oMathPara>
          </w:p>
        </w:tc>
        <w:tc>
          <w:tcPr>
            <w:tcW w:w="1247" w:type="dxa"/>
            <w:vAlign w:val="center"/>
          </w:tcPr>
          <w:p w14:paraId="621620E2" w14:textId="3E19AABC" w:rsidR="00CC03E3" w:rsidRPr="001455DC" w:rsidRDefault="00CC03E3" w:rsidP="00CC03E3">
            <w:pPr>
              <w:pStyle w:val="a7"/>
              <w:jc w:val="right"/>
            </w:pPr>
            <w:r w:rsidRPr="001455DC">
              <w:t>(9.32)</w:t>
            </w:r>
          </w:p>
        </w:tc>
      </w:tr>
    </w:tbl>
    <w:p w14:paraId="4BBD887A" w14:textId="77777777" w:rsidR="00CC03E3" w:rsidRPr="001455DC" w:rsidRDefault="00CC03E3" w:rsidP="00A35599">
      <w:pPr>
        <w:pStyle w:val="a7"/>
        <w:keepNext/>
      </w:pPr>
      <w:r w:rsidRPr="001455DC">
        <w:t>where</w:t>
      </w:r>
    </w:p>
    <w:tbl>
      <w:tblPr>
        <w:tblW w:w="9413" w:type="dxa"/>
        <w:tblInd w:w="397" w:type="dxa"/>
        <w:tblLayout w:type="fixed"/>
        <w:tblCellMar>
          <w:left w:w="28" w:type="dxa"/>
          <w:right w:w="28" w:type="dxa"/>
        </w:tblCellMar>
        <w:tblLook w:val="04A0" w:firstRow="1" w:lastRow="0" w:firstColumn="1" w:lastColumn="0" w:noHBand="0" w:noVBand="1"/>
      </w:tblPr>
      <w:tblGrid>
        <w:gridCol w:w="851"/>
        <w:gridCol w:w="7314"/>
        <w:gridCol w:w="1248"/>
      </w:tblGrid>
      <w:tr w:rsidR="00CC03E3" w:rsidRPr="001455DC" w14:paraId="6DED74B7" w14:textId="77777777" w:rsidTr="00CC03E3">
        <w:trPr>
          <w:cantSplit/>
        </w:trPr>
        <w:tc>
          <w:tcPr>
            <w:tcW w:w="851" w:type="dxa"/>
          </w:tcPr>
          <w:p w14:paraId="4129A103" w14:textId="01EA23D7" w:rsidR="00CC03E3" w:rsidRPr="001455DC" w:rsidRDefault="00CC03E3" w:rsidP="0000442A">
            <w:pPr>
              <w:pStyle w:val="Tablebody"/>
            </w:pPr>
            <w:r w:rsidRPr="001455DC">
              <w:rPr>
                <w:rStyle w:val="CCMCvariableitalic"/>
              </w:rPr>
              <w:t>α</w:t>
            </w:r>
            <w:r w:rsidRPr="001455DC">
              <w:rPr>
                <w:rStyle w:val="CCMCvariablesubscript"/>
              </w:rPr>
              <w:t>δ</w:t>
            </w:r>
          </w:p>
        </w:tc>
        <w:tc>
          <w:tcPr>
            <w:tcW w:w="8562" w:type="dxa"/>
            <w:gridSpan w:val="2"/>
          </w:tcPr>
          <w:p w14:paraId="7512D11E" w14:textId="12F9A651" w:rsidR="00CC03E3" w:rsidRPr="001455DC" w:rsidRDefault="00CC03E3" w:rsidP="00BB1209">
            <w:pPr>
              <w:pStyle w:val="Tablebody"/>
            </w:pPr>
            <w:r w:rsidRPr="001455DC">
              <w:rPr>
                <w:rFonts w:eastAsiaTheme="minorHAnsi"/>
              </w:rPr>
              <w:t xml:space="preserve">is the deformation parameter considered which may be, for example, a strain, a curvature, or a rotation (as a simplification </w:t>
            </w:r>
            <w:r w:rsidRPr="001455DC">
              <w:rPr>
                <w:rStyle w:val="CCMCvariableitalic"/>
              </w:rPr>
              <w:t>α</w:t>
            </w:r>
            <w:r w:rsidRPr="001455DC">
              <w:rPr>
                <w:rStyle w:val="CCMCvariablesubscript"/>
              </w:rPr>
              <w:t>δ</w:t>
            </w:r>
            <w:r w:rsidRPr="001455DC">
              <w:rPr>
                <w:rFonts w:eastAsiaTheme="minorHAnsi"/>
              </w:rPr>
              <w:t xml:space="preserve"> may also be taken as a deflection, see (9);</w:t>
            </w:r>
          </w:p>
        </w:tc>
      </w:tr>
      <w:tr w:rsidR="00CC03E3" w:rsidRPr="001455DC" w14:paraId="218A6315" w14:textId="77777777" w:rsidTr="00CC03E3">
        <w:trPr>
          <w:cantSplit/>
        </w:trPr>
        <w:tc>
          <w:tcPr>
            <w:tcW w:w="851" w:type="dxa"/>
          </w:tcPr>
          <w:p w14:paraId="49A38465" w14:textId="5D5A49AE" w:rsidR="00CC03E3" w:rsidRPr="001455DC" w:rsidRDefault="00CC03E3" w:rsidP="0000442A">
            <w:pPr>
              <w:pStyle w:val="Tablebody"/>
            </w:pPr>
            <w:r w:rsidRPr="001455DC">
              <w:rPr>
                <w:rStyle w:val="CCMCvariableitalic"/>
              </w:rPr>
              <w:t>α</w:t>
            </w:r>
            <w:r w:rsidRPr="001455DC">
              <w:rPr>
                <w:rStyle w:val="CCMCvariablesubscript"/>
              </w:rPr>
              <w:t>I</w:t>
            </w:r>
            <w:r w:rsidRPr="001455DC">
              <w:t xml:space="preserve">, </w:t>
            </w:r>
            <w:r w:rsidRPr="001455DC">
              <w:rPr>
                <w:rStyle w:val="CCMCvariableitalic"/>
              </w:rPr>
              <w:t>α</w:t>
            </w:r>
            <w:r w:rsidRPr="001455DC">
              <w:rPr>
                <w:rStyle w:val="CCMCvariablesubscript"/>
              </w:rPr>
              <w:t>II</w:t>
            </w:r>
          </w:p>
        </w:tc>
        <w:tc>
          <w:tcPr>
            <w:tcW w:w="8562" w:type="dxa"/>
            <w:gridSpan w:val="2"/>
          </w:tcPr>
          <w:p w14:paraId="211AF088" w14:textId="5DEC4D4F" w:rsidR="00CC03E3" w:rsidRPr="001455DC" w:rsidRDefault="00CC03E3" w:rsidP="0000442A">
            <w:pPr>
              <w:pStyle w:val="Tablebody"/>
            </w:pPr>
            <w:r w:rsidRPr="001455DC">
              <w:rPr>
                <w:rFonts w:eastAsiaTheme="minorHAnsi"/>
              </w:rPr>
              <w:t>are the values of the deformation parameter calculated for the uncracked and fully cracked conditions respectively;</w:t>
            </w:r>
          </w:p>
        </w:tc>
      </w:tr>
      <w:tr w:rsidR="00CC03E3" w:rsidRPr="001455DC" w14:paraId="131965BB" w14:textId="77777777" w:rsidTr="00CC03E3">
        <w:trPr>
          <w:cantSplit/>
        </w:trPr>
        <w:tc>
          <w:tcPr>
            <w:tcW w:w="851" w:type="dxa"/>
          </w:tcPr>
          <w:p w14:paraId="5507CFA7" w14:textId="44ADDF3F" w:rsidR="00CC03E3" w:rsidRPr="001455DC" w:rsidRDefault="00CC03E3" w:rsidP="00D86695">
            <w:pPr>
              <w:pStyle w:val="Tablebody"/>
            </w:pPr>
            <w:r w:rsidRPr="001455DC">
              <w:rPr>
                <w:rStyle w:val="CCMCvariableitalic"/>
              </w:rPr>
              <w:t>ζ</w:t>
            </w:r>
          </w:p>
        </w:tc>
        <w:tc>
          <w:tcPr>
            <w:tcW w:w="8562" w:type="dxa"/>
            <w:gridSpan w:val="2"/>
          </w:tcPr>
          <w:p w14:paraId="27B62E42" w14:textId="2885CBD7" w:rsidR="00CC03E3" w:rsidRPr="001455DC" w:rsidRDefault="00CC03E3" w:rsidP="00D86695">
            <w:pPr>
              <w:pStyle w:val="Tablebody"/>
            </w:pPr>
            <w:r w:rsidRPr="001455DC">
              <w:rPr>
                <w:rFonts w:eastAsiaTheme="minorHAnsi"/>
              </w:rPr>
              <w:t xml:space="preserve">is a distribution coefficient (allowing for tension stiffening at a section) which may be taken from </w:t>
            </w:r>
            <w:r w:rsidRPr="001455DC">
              <w:t>Formula (9.33)</w:t>
            </w:r>
            <w:r w:rsidRPr="001455DC">
              <w:rPr>
                <w:rFonts w:eastAsiaTheme="minorHAnsi"/>
              </w:rPr>
              <w:t>:</w:t>
            </w:r>
          </w:p>
        </w:tc>
      </w:tr>
      <w:tr w:rsidR="00CC03E3" w:rsidRPr="001455DC" w14:paraId="42D4F4E5" w14:textId="77777777" w:rsidTr="00CC03E3">
        <w:trPr>
          <w:cantSplit/>
        </w:trPr>
        <w:tc>
          <w:tcPr>
            <w:tcW w:w="851" w:type="dxa"/>
          </w:tcPr>
          <w:p w14:paraId="51DF1EE0" w14:textId="751CBD0D" w:rsidR="00CC03E3" w:rsidRPr="001455DC" w:rsidRDefault="00CC03E3" w:rsidP="00EC27D2">
            <w:pPr>
              <w:pStyle w:val="Tablebody"/>
            </w:pPr>
            <w:r w:rsidRPr="001455DC">
              <w:t> </w:t>
            </w:r>
          </w:p>
        </w:tc>
        <w:tc>
          <w:tcPr>
            <w:tcW w:w="7314" w:type="dxa"/>
            <w:vAlign w:val="center"/>
          </w:tcPr>
          <w:p w14:paraId="7DFA6B03" w14:textId="71B8DAE2" w:rsidR="00CC03E3" w:rsidRPr="001455DC" w:rsidRDefault="00CC03E3" w:rsidP="00CC03E3">
            <w:pPr>
              <w:pStyle w:val="Tablebody"/>
              <w:jc w:val="left"/>
              <w:rPr>
                <w:rFonts w:eastAsiaTheme="minorHAnsi"/>
              </w:rPr>
            </w:pPr>
            <m:oMathPara>
              <m:oMathParaPr>
                <m:jc m:val="left"/>
              </m:oMathParaPr>
              <m:oMath>
                <m:r>
                  <w:rPr>
                    <w:rFonts w:ascii="Cambria Math" w:hAnsi="Cambria Math"/>
                  </w:rPr>
                  <m:t>ζ=1-</m:t>
                </m:r>
                <m:sSub>
                  <m:sSubPr>
                    <m:ctrlPr>
                      <w:rPr>
                        <w:rFonts w:ascii="Cambria Math" w:hAnsi="Cambria Math"/>
                      </w:rPr>
                    </m:ctrlPr>
                  </m:sSubPr>
                  <m:e>
                    <m:r>
                      <w:rPr>
                        <w:rFonts w:ascii="Cambria Math" w:hAnsi="Cambria Math"/>
                      </w:rPr>
                      <m:t>β</m:t>
                    </m:r>
                  </m:e>
                  <m:sub>
                    <m:r>
                      <m:rPr>
                        <m:sty m:val="p"/>
                      </m:rPr>
                      <w:rPr>
                        <w:rFonts w:ascii="Cambria Math" w:hAnsi="Cambria Math"/>
                      </w:rPr>
                      <m:t>t</m:t>
                    </m:r>
                  </m:sub>
                </m:sSub>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σ</m:t>
                                </m:r>
                              </m:e>
                              <m:sub>
                                <m:r>
                                  <m:rPr>
                                    <m:sty m:val="p"/>
                                  </m:rPr>
                                  <w:rPr>
                                    <w:rFonts w:ascii="Cambria Math" w:hAnsi="Cambria Math"/>
                                  </w:rPr>
                                  <m:t>sr</m:t>
                                </m:r>
                              </m:sub>
                            </m:sSub>
                          </m:num>
                          <m:den>
                            <m:sSub>
                              <m:sSubPr>
                                <m:ctrlPr>
                                  <w:rPr>
                                    <w:rFonts w:ascii="Cambria Math" w:hAnsi="Cambria Math"/>
                                  </w:rPr>
                                </m:ctrlPr>
                              </m:sSubPr>
                              <m:e>
                                <m:r>
                                  <w:rPr>
                                    <w:rFonts w:ascii="Cambria Math" w:hAnsi="Cambria Math"/>
                                  </w:rPr>
                                  <m:t>σ</m:t>
                                </m:r>
                              </m:e>
                              <m:sub>
                                <m:r>
                                  <m:rPr>
                                    <m:sty m:val="p"/>
                                  </m:rPr>
                                  <w:rPr>
                                    <w:rFonts w:ascii="Cambria Math" w:hAnsi="Cambria Math"/>
                                  </w:rPr>
                                  <m:t>s</m:t>
                                </m:r>
                              </m:sub>
                            </m:sSub>
                          </m:den>
                        </m:f>
                      </m:e>
                    </m:d>
                  </m:e>
                  <m:sup>
                    <m:r>
                      <w:rPr>
                        <w:rFonts w:ascii="Cambria Math" w:hAnsi="Cambria Math"/>
                      </w:rPr>
                      <m:t>2</m:t>
                    </m:r>
                  </m:sup>
                </m:sSup>
                <m:r>
                  <w:rPr>
                    <w:rFonts w:ascii="Cambria Math" w:hAnsi="Cambria Math"/>
                  </w:rPr>
                  <m:t>≥0</m:t>
                </m:r>
              </m:oMath>
            </m:oMathPara>
          </w:p>
        </w:tc>
        <w:tc>
          <w:tcPr>
            <w:tcW w:w="1248" w:type="dxa"/>
            <w:vAlign w:val="center"/>
          </w:tcPr>
          <w:p w14:paraId="77B055B5" w14:textId="4F62D022" w:rsidR="00CC03E3" w:rsidRPr="001455DC" w:rsidRDefault="00CC03E3" w:rsidP="00CC03E3">
            <w:pPr>
              <w:pStyle w:val="Tablebody"/>
              <w:jc w:val="right"/>
              <w:rPr>
                <w:rFonts w:eastAsiaTheme="minorHAnsi"/>
              </w:rPr>
            </w:pPr>
            <w:bookmarkStart w:id="733" w:name="_Ref442736598"/>
            <w:r w:rsidRPr="001455DC">
              <w:t>(9.33)</w:t>
            </w:r>
            <w:bookmarkEnd w:id="733"/>
          </w:p>
        </w:tc>
      </w:tr>
      <w:tr w:rsidR="00CC03E3" w:rsidRPr="001455DC" w14:paraId="3A61D0A2" w14:textId="77777777" w:rsidTr="00CC03E3">
        <w:trPr>
          <w:cantSplit/>
        </w:trPr>
        <w:tc>
          <w:tcPr>
            <w:tcW w:w="851" w:type="dxa"/>
          </w:tcPr>
          <w:p w14:paraId="1B590766" w14:textId="6A8D8BB3" w:rsidR="00CC03E3" w:rsidRPr="001455DC" w:rsidRDefault="00CC03E3" w:rsidP="00EC27D2">
            <w:pPr>
              <w:pStyle w:val="Tablebody"/>
            </w:pPr>
            <w:r w:rsidRPr="001455DC">
              <w:t> </w:t>
            </w:r>
          </w:p>
        </w:tc>
        <w:tc>
          <w:tcPr>
            <w:tcW w:w="8562" w:type="dxa"/>
            <w:gridSpan w:val="2"/>
            <w:vAlign w:val="center"/>
          </w:tcPr>
          <w:p w14:paraId="0A715F4D" w14:textId="6E905DF6" w:rsidR="00CC03E3" w:rsidRPr="001455DC" w:rsidRDefault="00CC03E3" w:rsidP="00CC03E3">
            <w:pPr>
              <w:pStyle w:val="Tablebody"/>
              <w:rPr>
                <w:rFonts w:eastAsiaTheme="minorHAnsi"/>
              </w:rPr>
            </w:pPr>
            <w:r w:rsidRPr="001455DC">
              <w:rPr>
                <w:rStyle w:val="CCMCvariableitalic"/>
              </w:rPr>
              <w:t>ζ</w:t>
            </w:r>
            <w:r w:rsidRPr="001455DC">
              <w:t> </w:t>
            </w:r>
            <w:r w:rsidR="00EC27D2" w:rsidRPr="001455DC">
              <w:rPr>
                <w:rFonts w:ascii="Cambria Math" w:hAnsi="Cambria Math"/>
              </w:rPr>
              <w:t>=</w:t>
            </w:r>
            <w:r w:rsidRPr="001455DC">
              <w:t> 0 for uncracked sections;</w:t>
            </w:r>
          </w:p>
        </w:tc>
      </w:tr>
      <w:tr w:rsidR="00CC03E3" w:rsidRPr="001455DC" w14:paraId="2EC3E9A6" w14:textId="77777777" w:rsidTr="00CC03E3">
        <w:trPr>
          <w:cantSplit/>
        </w:trPr>
        <w:tc>
          <w:tcPr>
            <w:tcW w:w="851" w:type="dxa"/>
          </w:tcPr>
          <w:p w14:paraId="3E138D84" w14:textId="2D94EF74" w:rsidR="00CC03E3" w:rsidRPr="009D3012" w:rsidRDefault="00CC03E3" w:rsidP="00D86695">
            <w:pPr>
              <w:pStyle w:val="Tablebody"/>
              <w:rPr>
                <w:rStyle w:val="CCMCvariableitalic"/>
              </w:rPr>
            </w:pPr>
            <w:r w:rsidRPr="001455DC">
              <w:rPr>
                <w:rStyle w:val="CCMCvariableitalic"/>
              </w:rPr>
              <w:t>β</w:t>
            </w:r>
            <w:r w:rsidRPr="001455DC">
              <w:rPr>
                <w:rStyle w:val="CCMCvariablesubscript"/>
              </w:rPr>
              <w:t>t</w:t>
            </w:r>
          </w:p>
        </w:tc>
        <w:tc>
          <w:tcPr>
            <w:tcW w:w="8562" w:type="dxa"/>
            <w:gridSpan w:val="2"/>
            <w:vAlign w:val="center"/>
          </w:tcPr>
          <w:p w14:paraId="2C4D5BB5" w14:textId="4B396528" w:rsidR="00CC03E3" w:rsidRPr="001455DC" w:rsidRDefault="00CC03E3" w:rsidP="00CC03E3">
            <w:pPr>
              <w:pStyle w:val="Tablebody"/>
              <w:rPr>
                <w:rFonts w:eastAsiaTheme="minorHAnsi"/>
              </w:rPr>
            </w:pPr>
            <w:r w:rsidRPr="001455DC">
              <w:rPr>
                <w:rFonts w:eastAsiaTheme="minorHAnsi"/>
              </w:rPr>
              <w:t>is a coefficient taking into account the influence of the duration of loading or of repeated loading on the average strain; it may be taken equal to:</w:t>
            </w:r>
          </w:p>
        </w:tc>
      </w:tr>
      <w:tr w:rsidR="00CC03E3" w:rsidRPr="001455DC" w14:paraId="692D9B63" w14:textId="77777777" w:rsidTr="00CC03E3">
        <w:trPr>
          <w:cantSplit/>
        </w:trPr>
        <w:tc>
          <w:tcPr>
            <w:tcW w:w="851" w:type="dxa"/>
          </w:tcPr>
          <w:p w14:paraId="65CD8305" w14:textId="25D7738A" w:rsidR="00CC03E3" w:rsidRPr="001455DC" w:rsidRDefault="00CC03E3" w:rsidP="00EC27D2">
            <w:pPr>
              <w:pStyle w:val="Tablebody"/>
            </w:pPr>
            <w:r w:rsidRPr="001455DC">
              <w:t> </w:t>
            </w:r>
          </w:p>
        </w:tc>
        <w:tc>
          <w:tcPr>
            <w:tcW w:w="8562" w:type="dxa"/>
            <w:gridSpan w:val="2"/>
            <w:vAlign w:val="center"/>
          </w:tcPr>
          <w:p w14:paraId="59388AB1" w14:textId="25CE91BA" w:rsidR="00CC03E3" w:rsidRPr="001455DC" w:rsidRDefault="00CC03E3" w:rsidP="00CC03E3">
            <w:pPr>
              <w:pStyle w:val="Tablebody"/>
              <w:rPr>
                <w:rFonts w:eastAsiaTheme="minorHAnsi"/>
              </w:rPr>
            </w:pPr>
            <w:r w:rsidRPr="001455DC">
              <w:rPr>
                <w:rStyle w:val="CCMCvariableitalic"/>
              </w:rPr>
              <w:t>β</w:t>
            </w:r>
            <w:r w:rsidRPr="001455DC">
              <w:rPr>
                <w:rStyle w:val="CCMCvariablesubscript"/>
              </w:rPr>
              <w:t>t</w:t>
            </w:r>
            <w:r w:rsidRPr="001455DC">
              <w:t> </w:t>
            </w:r>
            <w:r w:rsidR="00EC27D2" w:rsidRPr="001455DC">
              <w:rPr>
                <w:rFonts w:ascii="Cambria Math" w:hAnsi="Cambria Math"/>
              </w:rPr>
              <w:t>=</w:t>
            </w:r>
            <w:r w:rsidRPr="001455DC">
              <w:t> </w:t>
            </w:r>
            <w:r w:rsidRPr="001455DC">
              <w:rPr>
                <w:rFonts w:eastAsiaTheme="minorHAnsi"/>
              </w:rPr>
              <w:t>1,0 for a single short-term loading,</w:t>
            </w:r>
          </w:p>
        </w:tc>
      </w:tr>
      <w:tr w:rsidR="00CC03E3" w:rsidRPr="001455DC" w14:paraId="106FAA87" w14:textId="77777777" w:rsidTr="00CC03E3">
        <w:trPr>
          <w:cantSplit/>
        </w:trPr>
        <w:tc>
          <w:tcPr>
            <w:tcW w:w="851" w:type="dxa"/>
          </w:tcPr>
          <w:p w14:paraId="2312D200" w14:textId="55783485" w:rsidR="00CC03E3" w:rsidRPr="001455DC" w:rsidRDefault="00CC03E3" w:rsidP="00EC27D2">
            <w:pPr>
              <w:pStyle w:val="Tablebody"/>
            </w:pPr>
            <w:r w:rsidRPr="001455DC">
              <w:t> </w:t>
            </w:r>
          </w:p>
        </w:tc>
        <w:tc>
          <w:tcPr>
            <w:tcW w:w="8562" w:type="dxa"/>
            <w:gridSpan w:val="2"/>
            <w:vAlign w:val="center"/>
          </w:tcPr>
          <w:p w14:paraId="73940423" w14:textId="61E2CF9A" w:rsidR="00CC03E3" w:rsidRPr="001455DC" w:rsidRDefault="00CC03E3" w:rsidP="00CC03E3">
            <w:pPr>
              <w:pStyle w:val="Tablebody"/>
              <w:rPr>
                <w:rFonts w:eastAsiaTheme="minorHAnsi"/>
              </w:rPr>
            </w:pPr>
            <w:r w:rsidRPr="001455DC">
              <w:rPr>
                <w:rStyle w:val="CCMCvariableitalic"/>
              </w:rPr>
              <w:t>β</w:t>
            </w:r>
            <w:r w:rsidRPr="001455DC">
              <w:rPr>
                <w:rStyle w:val="CCMCvariablesubscript"/>
              </w:rPr>
              <w:t>t</w:t>
            </w:r>
            <w:r w:rsidRPr="001455DC">
              <w:t> </w:t>
            </w:r>
            <w:r w:rsidR="00EC27D2" w:rsidRPr="001455DC">
              <w:rPr>
                <w:rFonts w:ascii="Cambria Math" w:hAnsi="Cambria Math"/>
              </w:rPr>
              <w:t>=</w:t>
            </w:r>
            <w:r w:rsidRPr="001455DC">
              <w:t> </w:t>
            </w:r>
            <w:r w:rsidRPr="001455DC">
              <w:rPr>
                <w:rFonts w:eastAsiaTheme="minorHAnsi"/>
              </w:rPr>
              <w:t>0,5 for sustained loads or many cycles of repeated loading;</w:t>
            </w:r>
          </w:p>
        </w:tc>
      </w:tr>
      <w:tr w:rsidR="00CC03E3" w:rsidRPr="001455DC" w14:paraId="08BA0674" w14:textId="77777777" w:rsidTr="00CC03E3">
        <w:trPr>
          <w:cantSplit/>
        </w:trPr>
        <w:tc>
          <w:tcPr>
            <w:tcW w:w="851" w:type="dxa"/>
          </w:tcPr>
          <w:p w14:paraId="2802DE34" w14:textId="485C03DD" w:rsidR="00CC03E3" w:rsidRPr="009D3012" w:rsidRDefault="00CC03E3" w:rsidP="00D86695">
            <w:pPr>
              <w:pStyle w:val="Tablebody"/>
              <w:rPr>
                <w:rStyle w:val="CCMCvariableitalic"/>
              </w:rPr>
            </w:pPr>
            <w:r w:rsidRPr="001455DC">
              <w:rPr>
                <w:rStyle w:val="CCMCvariableitalic"/>
              </w:rPr>
              <w:t>σ</w:t>
            </w:r>
            <w:r w:rsidRPr="001455DC">
              <w:rPr>
                <w:rStyle w:val="CCMCvariablesubscript"/>
              </w:rPr>
              <w:t>s</w:t>
            </w:r>
          </w:p>
        </w:tc>
        <w:tc>
          <w:tcPr>
            <w:tcW w:w="8562" w:type="dxa"/>
            <w:gridSpan w:val="2"/>
            <w:vAlign w:val="center"/>
          </w:tcPr>
          <w:p w14:paraId="287AC3E6" w14:textId="00340FE0" w:rsidR="00CC03E3" w:rsidRPr="001455DC" w:rsidRDefault="00CC03E3" w:rsidP="00CC03E3">
            <w:pPr>
              <w:pStyle w:val="Tablebody"/>
              <w:rPr>
                <w:rFonts w:eastAsiaTheme="minorHAnsi"/>
              </w:rPr>
            </w:pPr>
            <w:r w:rsidRPr="001455DC">
              <w:rPr>
                <w:rFonts w:eastAsiaTheme="minorHAnsi"/>
              </w:rPr>
              <w:t>is the highest stress having occurred due to the moment being analysed in the tension reinforcement calculated on the basis of a cracked section;</w:t>
            </w:r>
          </w:p>
        </w:tc>
      </w:tr>
      <w:tr w:rsidR="00CC03E3" w:rsidRPr="001455DC" w14:paraId="340C5D2C" w14:textId="77777777" w:rsidTr="00CC03E3">
        <w:trPr>
          <w:cantSplit/>
        </w:trPr>
        <w:tc>
          <w:tcPr>
            <w:tcW w:w="851" w:type="dxa"/>
          </w:tcPr>
          <w:p w14:paraId="6DB94B1A" w14:textId="7A04179C" w:rsidR="00CC03E3" w:rsidRPr="009D3012" w:rsidRDefault="00CC03E3" w:rsidP="00D86695">
            <w:pPr>
              <w:pStyle w:val="Tablebody"/>
              <w:rPr>
                <w:rStyle w:val="CCMCvariableitalic"/>
              </w:rPr>
            </w:pPr>
            <w:r w:rsidRPr="001455DC">
              <w:rPr>
                <w:rStyle w:val="CCMCvariableitalic"/>
              </w:rPr>
              <w:t>σ</w:t>
            </w:r>
            <w:r w:rsidRPr="001455DC">
              <w:rPr>
                <w:rStyle w:val="CCMCvariablesubscript"/>
              </w:rPr>
              <w:t>sr</w:t>
            </w:r>
          </w:p>
        </w:tc>
        <w:tc>
          <w:tcPr>
            <w:tcW w:w="8562" w:type="dxa"/>
            <w:gridSpan w:val="2"/>
            <w:vAlign w:val="center"/>
          </w:tcPr>
          <w:p w14:paraId="5605B562" w14:textId="17BF6C90" w:rsidR="00CC03E3" w:rsidRPr="001455DC" w:rsidRDefault="00CC03E3" w:rsidP="00CC03E3">
            <w:pPr>
              <w:pStyle w:val="Tablebody"/>
              <w:rPr>
                <w:rFonts w:eastAsiaTheme="minorHAnsi"/>
              </w:rPr>
            </w:pPr>
            <w:r w:rsidRPr="001455DC">
              <w:rPr>
                <w:rFonts w:eastAsiaTheme="minorHAnsi"/>
              </w:rPr>
              <w:t>is the stress in the tension reinforcement calculated on the basis of a cracked section under the loading conditions causing first cracking.</w:t>
            </w:r>
          </w:p>
        </w:tc>
      </w:tr>
    </w:tbl>
    <w:p w14:paraId="4B7474B6" w14:textId="60563D18" w:rsidR="004E22C1" w:rsidRPr="001455DC" w:rsidRDefault="004E22C1" w:rsidP="00CC03E3">
      <w:pPr>
        <w:pStyle w:val="a7"/>
      </w:pPr>
      <w:r w:rsidRPr="001455DC">
        <w:t>(4)</w:t>
      </w:r>
      <w:r w:rsidRPr="001455DC">
        <w:tab/>
        <w:t xml:space="preserve">For the calculation of deflections under predominantly flexural stresses, the value of </w:t>
      </w:r>
      <w:r w:rsidRPr="001455DC">
        <w:rPr>
          <w:rStyle w:val="CCMCvariableitalic"/>
        </w:rPr>
        <w:t>f</w:t>
      </w:r>
      <w:r w:rsidRPr="001455DC">
        <w:rPr>
          <w:rStyle w:val="CCMCvariablesubscript"/>
        </w:rPr>
        <w:t>ct,eff</w:t>
      </w:r>
      <w:r w:rsidRPr="001455DC">
        <w:t xml:space="preserve"> may be taken as </w:t>
      </w:r>
      <w:r w:rsidRPr="001455DC">
        <w:rPr>
          <w:rStyle w:val="CCMCvariableitalic"/>
        </w:rPr>
        <w:t>f</w:t>
      </w:r>
      <w:r w:rsidRPr="001455DC">
        <w:rPr>
          <w:rStyle w:val="CCMCvariablesubscript"/>
        </w:rPr>
        <w:t>ctm,fl</w:t>
      </w:r>
      <w:r w:rsidRPr="001455DC">
        <w:t xml:space="preserve"> (see Formula (9.34) with </w:t>
      </w:r>
      <w:r w:rsidRPr="001455DC">
        <w:rPr>
          <w:rStyle w:val="CCMCvariableitalic"/>
        </w:rPr>
        <w:t>h</w:t>
      </w:r>
      <w:r w:rsidRPr="001455DC">
        <w:t xml:space="preserve"> [mm]) provided that the calculation of minimum reinforcement for crack control is based on the same value.</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CC03E3" w:rsidRPr="001455DC" w14:paraId="394D9432" w14:textId="77777777" w:rsidTr="00CC03E3">
        <w:trPr>
          <w:cantSplit/>
        </w:trPr>
        <w:tc>
          <w:tcPr>
            <w:tcW w:w="8505" w:type="dxa"/>
            <w:vAlign w:val="center"/>
          </w:tcPr>
          <w:p w14:paraId="38C7B4CC" w14:textId="3C0D681D" w:rsidR="00CC03E3" w:rsidRPr="001455DC" w:rsidRDefault="00231E33" w:rsidP="00CC03E3">
            <w:pPr>
              <w:pStyle w:val="Formula"/>
              <w:jc w:val="left"/>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ctm,fl</m:t>
                    </m:r>
                  </m:sub>
                </m:sSub>
                <m:r>
                  <w:rPr>
                    <w:rFonts w:ascii="Cambria Math" w:hAnsi="Cambria Math"/>
                  </w:rPr>
                  <m:t>=</m:t>
                </m:r>
                <m:r>
                  <m:rPr>
                    <m:sty m:val="p"/>
                  </m:rPr>
                  <w:rPr>
                    <w:rFonts w:ascii="Cambria Math" w:hAnsi="Cambria Math"/>
                  </w:rPr>
                  <m:t>max</m:t>
                </m:r>
                <m:d>
                  <m:dPr>
                    <m:begChr m:val="{"/>
                    <m:sepChr m:val=""/>
                    <m:endChr m:val="}"/>
                    <m:ctrlPr>
                      <w:rPr>
                        <w:rFonts w:ascii="Cambria Math" w:hAnsi="Cambria Math"/>
                      </w:rPr>
                    </m:ctrlPr>
                  </m:dPr>
                  <m:e>
                    <m:d>
                      <m:dPr>
                        <m:ctrlPr>
                          <w:rPr>
                            <w:rFonts w:ascii="Cambria Math" w:hAnsi="Cambria Math"/>
                          </w:rPr>
                        </m:ctrlPr>
                      </m:dPr>
                      <m:e>
                        <m:r>
                          <w:rPr>
                            <w:rFonts w:ascii="Cambria Math" w:hAnsi="Cambria Math"/>
                          </w:rPr>
                          <m:t>1,6-</m:t>
                        </m:r>
                        <m:f>
                          <m:fPr>
                            <m:ctrlPr>
                              <w:rPr>
                                <w:rFonts w:ascii="Cambria Math" w:hAnsi="Cambria Math"/>
                              </w:rPr>
                            </m:ctrlPr>
                          </m:fPr>
                          <m:num>
                            <m:r>
                              <w:rPr>
                                <w:rFonts w:ascii="Cambria Math" w:hAnsi="Cambria Math"/>
                              </w:rPr>
                              <m:t>h</m:t>
                            </m:r>
                          </m:num>
                          <m:den>
                            <m:r>
                              <w:rPr>
                                <w:rFonts w:ascii="Cambria Math" w:hAnsi="Cambria Math"/>
                              </w:rPr>
                              <m:t>1000</m:t>
                            </m:r>
                          </m:den>
                        </m:f>
                      </m:e>
                    </m:d>
                  </m:e>
                  <m:e>
                    <m:sSub>
                      <m:sSubPr>
                        <m:ctrlPr>
                          <w:rPr>
                            <w:rFonts w:ascii="Cambria Math" w:hAnsi="Cambria Math"/>
                          </w:rPr>
                        </m:ctrlPr>
                      </m:sSubPr>
                      <m:e>
                        <m:r>
                          <w:rPr>
                            <w:rFonts w:ascii="Cambria Math" w:hAnsi="Cambria Math"/>
                          </w:rPr>
                          <m:t>f</m:t>
                        </m:r>
                      </m:e>
                      <m:sub>
                        <m:r>
                          <m:rPr>
                            <m:sty m:val="p"/>
                          </m:rPr>
                          <w:rPr>
                            <w:rFonts w:ascii="Cambria Math" w:hAnsi="Cambria Math"/>
                          </w:rPr>
                          <m:t>ctm</m:t>
                        </m:r>
                      </m:sub>
                    </m:sSub>
                  </m:e>
                  <m:e>
                    <m:r>
                      <w:rPr>
                        <w:rFonts w:ascii="Cambria Math" w:hAnsi="Cambria Math"/>
                      </w:rPr>
                      <m:t xml:space="preserve">; </m:t>
                    </m:r>
                  </m:e>
                  <m:e>
                    <m:sSub>
                      <m:sSubPr>
                        <m:ctrlPr>
                          <w:rPr>
                            <w:rFonts w:ascii="Cambria Math" w:hAnsi="Cambria Math"/>
                          </w:rPr>
                        </m:ctrlPr>
                      </m:sSubPr>
                      <m:e>
                        <m:r>
                          <w:rPr>
                            <w:rFonts w:ascii="Cambria Math" w:hAnsi="Cambria Math"/>
                          </w:rPr>
                          <m:t>f</m:t>
                        </m:r>
                      </m:e>
                      <m:sub>
                        <m:r>
                          <m:rPr>
                            <m:sty m:val="p"/>
                          </m:rPr>
                          <w:rPr>
                            <w:rFonts w:ascii="Cambria Math" w:hAnsi="Cambria Math"/>
                          </w:rPr>
                          <m:t>ctm</m:t>
                        </m:r>
                      </m:sub>
                    </m:sSub>
                  </m:e>
                </m:d>
              </m:oMath>
            </m:oMathPara>
          </w:p>
        </w:tc>
        <w:tc>
          <w:tcPr>
            <w:tcW w:w="1247" w:type="dxa"/>
            <w:vAlign w:val="center"/>
          </w:tcPr>
          <w:p w14:paraId="606FBA5E" w14:textId="2A47F300" w:rsidR="00CC03E3" w:rsidRPr="001455DC" w:rsidRDefault="00CC03E3" w:rsidP="00CC03E3">
            <w:pPr>
              <w:pStyle w:val="a7"/>
              <w:jc w:val="right"/>
            </w:pPr>
            <w:r w:rsidRPr="001455DC">
              <w:t>(9.34)</w:t>
            </w:r>
          </w:p>
        </w:tc>
      </w:tr>
    </w:tbl>
    <w:p w14:paraId="692AA9BE" w14:textId="77777777" w:rsidR="004E22C1" w:rsidRPr="001455DC" w:rsidRDefault="004E22C1" w:rsidP="00CC03E3">
      <w:pPr>
        <w:pStyle w:val="a7"/>
      </w:pPr>
      <w:r w:rsidRPr="001455DC">
        <w:t>(5)</w:t>
      </w:r>
      <w:r w:rsidRPr="001455DC">
        <w:tab/>
        <w:t>For loads with a duration causing creep, the total deformation including creep may be calculated by using an effective modulus of elasticity for concrete according to Formula (9.1).</w:t>
      </w:r>
    </w:p>
    <w:p w14:paraId="24BEC520" w14:textId="77777777" w:rsidR="004E22C1" w:rsidRPr="001455DC" w:rsidRDefault="004E22C1" w:rsidP="00CC03E3">
      <w:pPr>
        <w:pStyle w:val="a7"/>
      </w:pPr>
      <w:r w:rsidRPr="001455DC">
        <w:t>(6)</w:t>
      </w:r>
      <w:r w:rsidRPr="001455DC">
        <w:tab/>
        <w:t xml:space="preserve">Shrinkage curvatures may be assessed using Formula (9.27). In this case, </w:t>
      </w:r>
      <w:r w:rsidRPr="001455DC">
        <w:rPr>
          <w:rStyle w:val="CCMCvariableitalic"/>
        </w:rPr>
        <w:t>S</w:t>
      </w:r>
      <w:r w:rsidRPr="001455DC">
        <w:t xml:space="preserve"> and </w:t>
      </w:r>
      <w:r w:rsidRPr="001455DC">
        <w:rPr>
          <w:rStyle w:val="CCMCvariableitalic"/>
        </w:rPr>
        <w:t>Ι</w:t>
      </w:r>
      <w:r w:rsidRPr="001455DC">
        <w:t xml:space="preserve"> should be calculated for the uncracked condition and the fully cracked condition, the final curvature being assessed by use of Formula (9.32) and the deflection due to shrinkage determined by double integration of the curvature.</w:t>
      </w:r>
    </w:p>
    <w:p w14:paraId="459D3411" w14:textId="77777777" w:rsidR="004E22C1" w:rsidRPr="001455DC" w:rsidRDefault="004E22C1" w:rsidP="00CC03E3">
      <w:pPr>
        <w:pStyle w:val="a7"/>
      </w:pPr>
      <w:r w:rsidRPr="001455DC">
        <w:t>(7)</w:t>
      </w:r>
      <w:r w:rsidRPr="001455DC">
        <w:tab/>
        <w:t>For a rigorous calculation of deflections using the method given in (3) the curvatures should be computed at frequent sections along the member and then, the deflection calculated by numerical integration. In most cases the deflection may be computed once, assuming the whole member to be</w:t>
      </w:r>
      <w:r w:rsidRPr="001455DC">
        <w:rPr>
          <w:szCs w:val="22"/>
        </w:rPr>
        <w:t xml:space="preserve"> </w:t>
      </w:r>
      <w:r w:rsidRPr="001455DC">
        <w:t>uncracked and secondly assuming a fully cracked condition, and then interpolate using Formula (9.32).</w:t>
      </w:r>
    </w:p>
    <w:p w14:paraId="3AE3490B" w14:textId="695FE29F" w:rsidR="004E22C1" w:rsidRPr="001455DC" w:rsidRDefault="004E22C1" w:rsidP="006D682B">
      <w:pPr>
        <w:pStyle w:val="21"/>
        <w:rPr>
          <w:rFonts w:eastAsiaTheme="minorHAnsi"/>
        </w:rPr>
      </w:pPr>
      <w:bookmarkStart w:id="734" w:name="_Ref463883819"/>
      <w:bookmarkStart w:id="735" w:name="_Toc52820016"/>
      <w:bookmarkStart w:id="736" w:name="_Toc54337411"/>
      <w:bookmarkStart w:id="737" w:name="_Toc54338073"/>
      <w:bookmarkStart w:id="738" w:name="_Toc67565417"/>
      <w:r w:rsidRPr="001455DC">
        <w:t>Vibrations</w:t>
      </w:r>
      <w:bookmarkEnd w:id="734"/>
      <w:bookmarkEnd w:id="735"/>
      <w:bookmarkEnd w:id="736"/>
      <w:bookmarkEnd w:id="737"/>
      <w:bookmarkEnd w:id="738"/>
    </w:p>
    <w:p w14:paraId="3C75EECF" w14:textId="77777777" w:rsidR="004E22C1" w:rsidRPr="001455DC" w:rsidRDefault="004E22C1" w:rsidP="00CC03E3">
      <w:pPr>
        <w:pStyle w:val="a7"/>
      </w:pPr>
      <w:r w:rsidRPr="001455DC">
        <w:t>(1)</w:t>
      </w:r>
      <w:r w:rsidRPr="001455DC">
        <w:tab/>
        <w:t>Measures should be taken to prevent vibrations that cause discomfort to people or limit the functional effectiveness of the structure.</w:t>
      </w:r>
    </w:p>
    <w:p w14:paraId="13573D70" w14:textId="0BD73BD0" w:rsidR="004E22C1" w:rsidRPr="001455DC" w:rsidRDefault="004E22C1" w:rsidP="00CC03E3">
      <w:pPr>
        <w:pStyle w:val="a7"/>
      </w:pPr>
      <w:r w:rsidRPr="001455DC">
        <w:t>(2)</w:t>
      </w:r>
      <w:r w:rsidRPr="001455DC">
        <w:tab/>
      </w:r>
      <w:r w:rsidRPr="009D3012">
        <w:rPr>
          <w:bCs/>
        </w:rPr>
        <w:t>Verification of vibrations of concrete structures should</w:t>
      </w:r>
      <w:r w:rsidRPr="001455DC">
        <w:t xml:space="preserve"> be considered following indications in </w:t>
      </w:r>
      <w:r w:rsidR="00DF00C7">
        <w:t>pr</w:t>
      </w:r>
      <w:r w:rsidRPr="001455DC">
        <w:t>EN 1990</w:t>
      </w:r>
      <w:r w:rsidR="000E016F">
        <w:t>:20</w:t>
      </w:r>
      <w:r w:rsidR="00DF00C7">
        <w:t>20</w:t>
      </w:r>
      <w:r w:rsidR="00395994" w:rsidRPr="001455DC">
        <w:t>,</w:t>
      </w:r>
      <w:r w:rsidRPr="001455DC">
        <w:t xml:space="preserve"> A1.</w:t>
      </w:r>
      <w:r w:rsidR="00F86858">
        <w:t>7</w:t>
      </w:r>
      <w:r w:rsidRPr="001455DC">
        <w:t>.</w:t>
      </w:r>
      <w:r w:rsidR="00F86858">
        <w:t>3</w:t>
      </w:r>
      <w:r w:rsidRPr="001455DC">
        <w:t xml:space="preserve">, </w:t>
      </w:r>
      <w:r w:rsidRPr="00137015">
        <w:t>A2</w:t>
      </w:r>
      <w:r w:rsidR="0079403C">
        <w:t xml:space="preserve"> </w:t>
      </w:r>
      <w:r w:rsidRPr="001455DC">
        <w:t xml:space="preserve">and </w:t>
      </w:r>
      <w:r w:rsidR="00350C7E">
        <w:t>pr</w:t>
      </w:r>
      <w:r w:rsidRPr="001455DC">
        <w:t>EN 1991</w:t>
      </w:r>
      <w:r w:rsidRPr="001455DC">
        <w:noBreakHyphen/>
        <w:t>1</w:t>
      </w:r>
      <w:r w:rsidRPr="001455DC">
        <w:noBreakHyphen/>
        <w:t>4</w:t>
      </w:r>
      <w:r w:rsidR="00395994" w:rsidRPr="001455DC">
        <w:t>,</w:t>
      </w:r>
      <w:r w:rsidRPr="001455DC">
        <w:t xml:space="preserve"> Annex E, as relevant.</w:t>
      </w:r>
    </w:p>
    <w:p w14:paraId="14DCBB0C" w14:textId="77777777" w:rsidR="004E22C1" w:rsidRPr="001455DC" w:rsidRDefault="004E22C1" w:rsidP="00CC03E3">
      <w:pPr>
        <w:pStyle w:val="a7"/>
      </w:pPr>
      <w:r w:rsidRPr="001455DC">
        <w:t>(3)</w:t>
      </w:r>
      <w:r w:rsidRPr="001455DC">
        <w:tab/>
        <w:t xml:space="preserve">For the verification of vibrations of concrete structures, in absence of more refined methods, the effective damping ratio </w:t>
      </w:r>
      <w:r w:rsidRPr="001455DC">
        <w:rPr>
          <w:rStyle w:val="CCMCvariableitalic"/>
        </w:rPr>
        <w:t>ξ</w:t>
      </w:r>
      <w:r w:rsidRPr="001455DC">
        <w:rPr>
          <w:rStyle w:val="CCMCvariablesubscript"/>
        </w:rPr>
        <w:t>v</w:t>
      </w:r>
      <w:r w:rsidRPr="001455DC">
        <w:t xml:space="preserve"> may be taken as the sum of the effective structural damping (</w:t>
      </w:r>
      <w:r w:rsidRPr="001455DC">
        <w:rPr>
          <w:rStyle w:val="CCMCvariableitalic"/>
        </w:rPr>
        <w:t>ξ</w:t>
      </w:r>
      <w:r w:rsidRPr="001455DC">
        <w:rPr>
          <w:rStyle w:val="CCMCvariablesubscript"/>
        </w:rPr>
        <w:t>v,st</w:t>
      </w:r>
      <w:r w:rsidRPr="001455DC">
        <w:t>), the effective damping due to furniture (</w:t>
      </w:r>
      <w:r w:rsidRPr="001455DC">
        <w:rPr>
          <w:rStyle w:val="CCMCvariableitalic"/>
        </w:rPr>
        <w:t>ξ</w:t>
      </w:r>
      <w:r w:rsidRPr="001455DC">
        <w:rPr>
          <w:rStyle w:val="CCMCvariablesubscript"/>
        </w:rPr>
        <w:t>v,furn</w:t>
      </w:r>
      <w:r w:rsidRPr="001455DC">
        <w:t>), and the effective damping due to ceiling and floor finishing (</w:t>
      </w:r>
      <w:r w:rsidRPr="001455DC">
        <w:rPr>
          <w:rStyle w:val="CCMCvariableitalic"/>
        </w:rPr>
        <w:t>ξ</w:t>
      </w:r>
      <w:r w:rsidRPr="001455DC">
        <w:rPr>
          <w:rStyle w:val="CCMCvariablesubscript"/>
        </w:rPr>
        <w:t>v,fin</w:t>
      </w:r>
      <w:r w:rsidRPr="001455DC">
        <w:t>). Table 9.4 provides values for the three effective damping components.</w:t>
      </w:r>
    </w:p>
    <w:p w14:paraId="7300682A" w14:textId="77777777" w:rsidR="004E22C1" w:rsidRPr="001455DC" w:rsidRDefault="004E22C1" w:rsidP="0079403C">
      <w:pPr>
        <w:pStyle w:val="Tabletitle"/>
        <w:keepNext w:val="0"/>
        <w:rPr>
          <w:rFonts w:eastAsiaTheme="minorHAnsi"/>
        </w:rPr>
      </w:pPr>
      <w:bookmarkStart w:id="739" w:name="_Toc54337412"/>
      <w:r w:rsidRPr="001455DC">
        <w:t>Table 9.4 — Suggested values for effective damping components</w:t>
      </w:r>
      <w:bookmarkEnd w:id="739"/>
      <w:r w:rsidRPr="001455DC">
        <w:t xml:space="preserve"> </w:t>
      </w:r>
    </w:p>
    <w:tbl>
      <w:tblPr>
        <w:tblStyle w:val="53"/>
        <w:tblW w:w="9752" w:type="dxa"/>
        <w:tblLayout w:type="fixed"/>
        <w:tblLook w:val="04A0" w:firstRow="1" w:lastRow="0" w:firstColumn="1" w:lastColumn="0" w:noHBand="0" w:noVBand="1"/>
      </w:tblPr>
      <w:tblGrid>
        <w:gridCol w:w="541"/>
        <w:gridCol w:w="8407"/>
        <w:gridCol w:w="804"/>
      </w:tblGrid>
      <w:tr w:rsidR="004E22C1" w:rsidRPr="001455DC" w14:paraId="7C2EC0B3" w14:textId="77777777" w:rsidTr="007744B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8222" w:type="dxa"/>
            <w:gridSpan w:val="3"/>
          </w:tcPr>
          <w:p w14:paraId="71A904EC" w14:textId="77777777" w:rsidR="004E22C1" w:rsidRPr="009D3012" w:rsidRDefault="004E22C1" w:rsidP="0079403C">
            <w:pPr>
              <w:pStyle w:val="Tablebody"/>
              <w:spacing w:before="40" w:after="40"/>
              <w:jc w:val="left"/>
              <w:rPr>
                <w:b/>
                <w:szCs w:val="22"/>
                <w:lang w:val="en-US"/>
              </w:rPr>
            </w:pPr>
            <w:r w:rsidRPr="009D3012">
              <w:rPr>
                <w:b/>
                <w:szCs w:val="22"/>
                <w:lang w:val="en-US"/>
              </w:rPr>
              <w:t>Structural Damping (</w:t>
            </w:r>
            <w:r w:rsidRPr="001455DC">
              <w:rPr>
                <w:rStyle w:val="CCMCvariableitalic"/>
                <w:b/>
                <w:szCs w:val="22"/>
              </w:rPr>
              <w:t>ξ</w:t>
            </w:r>
            <w:r w:rsidRPr="009D3012">
              <w:rPr>
                <w:rStyle w:val="CCMCvariablesubscript"/>
                <w:b/>
                <w:szCs w:val="22"/>
                <w:lang w:val="en-US"/>
              </w:rPr>
              <w:t>v,st</w:t>
            </w:r>
            <w:r w:rsidRPr="009D3012">
              <w:rPr>
                <w:b/>
                <w:szCs w:val="22"/>
                <w:lang w:val="en-US"/>
              </w:rPr>
              <w:t>) in general</w:t>
            </w:r>
          </w:p>
        </w:tc>
      </w:tr>
      <w:tr w:rsidR="004E22C1" w:rsidRPr="001455DC" w14:paraId="0C167EDD" w14:textId="77777777" w:rsidTr="007744B3">
        <w:tc>
          <w:tcPr>
            <w:tcW w:w="456" w:type="dxa"/>
            <w:vAlign w:val="center"/>
          </w:tcPr>
          <w:p w14:paraId="28A393AE" w14:textId="77777777" w:rsidR="004E22C1" w:rsidRPr="001455DC" w:rsidRDefault="004E22C1" w:rsidP="0079403C">
            <w:pPr>
              <w:pStyle w:val="Tablebody"/>
              <w:spacing w:before="40" w:after="40"/>
              <w:jc w:val="center"/>
              <w:rPr>
                <w:szCs w:val="22"/>
              </w:rPr>
            </w:pPr>
            <w:r w:rsidRPr="001455DC">
              <w:rPr>
                <w:szCs w:val="22"/>
              </w:rPr>
              <w:t>1</w:t>
            </w:r>
          </w:p>
        </w:tc>
        <w:tc>
          <w:tcPr>
            <w:tcW w:w="7088" w:type="dxa"/>
            <w:noWrap/>
            <w:vAlign w:val="center"/>
            <w:hideMark/>
          </w:tcPr>
          <w:p w14:paraId="26654F68" w14:textId="77777777" w:rsidR="004E22C1" w:rsidRPr="001455DC" w:rsidRDefault="004E22C1" w:rsidP="0079403C">
            <w:pPr>
              <w:pStyle w:val="Tablebody"/>
              <w:spacing w:before="40" w:after="40"/>
              <w:jc w:val="left"/>
              <w:rPr>
                <w:szCs w:val="22"/>
              </w:rPr>
            </w:pPr>
            <w:r w:rsidRPr="001455DC">
              <w:rPr>
                <w:szCs w:val="22"/>
              </w:rPr>
              <w:t>Reinforced concrete</w:t>
            </w:r>
          </w:p>
        </w:tc>
        <w:tc>
          <w:tcPr>
            <w:tcW w:w="678" w:type="dxa"/>
            <w:noWrap/>
            <w:vAlign w:val="center"/>
            <w:hideMark/>
          </w:tcPr>
          <w:p w14:paraId="17A4106A" w14:textId="77777777" w:rsidR="004E22C1" w:rsidRPr="001455DC" w:rsidRDefault="004E22C1" w:rsidP="0079403C">
            <w:pPr>
              <w:pStyle w:val="Tablebody"/>
              <w:spacing w:before="40" w:after="40"/>
              <w:jc w:val="left"/>
              <w:rPr>
                <w:szCs w:val="22"/>
              </w:rPr>
            </w:pPr>
            <w:r w:rsidRPr="001455DC">
              <w:rPr>
                <w:szCs w:val="22"/>
              </w:rPr>
              <w:t>2 %</w:t>
            </w:r>
          </w:p>
        </w:tc>
      </w:tr>
      <w:tr w:rsidR="004E22C1" w:rsidRPr="001455DC" w14:paraId="77BD43F0" w14:textId="77777777" w:rsidTr="007744B3">
        <w:tc>
          <w:tcPr>
            <w:tcW w:w="456" w:type="dxa"/>
            <w:vAlign w:val="center"/>
          </w:tcPr>
          <w:p w14:paraId="560D9B48" w14:textId="77777777" w:rsidR="004E22C1" w:rsidRPr="001455DC" w:rsidRDefault="004E22C1" w:rsidP="0079403C">
            <w:pPr>
              <w:pStyle w:val="Tablebody"/>
              <w:spacing w:before="40" w:after="40"/>
              <w:jc w:val="center"/>
              <w:rPr>
                <w:szCs w:val="22"/>
              </w:rPr>
            </w:pPr>
            <w:r w:rsidRPr="001455DC">
              <w:rPr>
                <w:szCs w:val="22"/>
              </w:rPr>
              <w:t>2</w:t>
            </w:r>
          </w:p>
        </w:tc>
        <w:tc>
          <w:tcPr>
            <w:tcW w:w="7088" w:type="dxa"/>
            <w:noWrap/>
            <w:vAlign w:val="center"/>
            <w:hideMark/>
          </w:tcPr>
          <w:p w14:paraId="630AFF6E" w14:textId="77777777" w:rsidR="004E22C1" w:rsidRPr="001455DC" w:rsidRDefault="004E22C1" w:rsidP="0079403C">
            <w:pPr>
              <w:pStyle w:val="Tablebody"/>
              <w:spacing w:before="40" w:after="40"/>
              <w:jc w:val="left"/>
              <w:rPr>
                <w:szCs w:val="22"/>
              </w:rPr>
            </w:pPr>
            <w:r w:rsidRPr="001455DC">
              <w:rPr>
                <w:szCs w:val="22"/>
              </w:rPr>
              <w:t>Prestressed concrete</w:t>
            </w:r>
          </w:p>
        </w:tc>
        <w:tc>
          <w:tcPr>
            <w:tcW w:w="678" w:type="dxa"/>
            <w:noWrap/>
            <w:vAlign w:val="center"/>
            <w:hideMark/>
          </w:tcPr>
          <w:p w14:paraId="37F61CD7" w14:textId="77777777" w:rsidR="004E22C1" w:rsidRPr="001455DC" w:rsidRDefault="004E22C1" w:rsidP="0079403C">
            <w:pPr>
              <w:pStyle w:val="Tablebody"/>
              <w:spacing w:before="40" w:after="40"/>
              <w:jc w:val="left"/>
              <w:rPr>
                <w:szCs w:val="22"/>
              </w:rPr>
            </w:pPr>
            <w:r w:rsidRPr="001455DC">
              <w:rPr>
                <w:szCs w:val="22"/>
              </w:rPr>
              <w:t>1 %</w:t>
            </w:r>
          </w:p>
        </w:tc>
      </w:tr>
      <w:tr w:rsidR="004E22C1" w:rsidRPr="001455DC" w14:paraId="77B4F148" w14:textId="77777777" w:rsidTr="007744B3">
        <w:tc>
          <w:tcPr>
            <w:tcW w:w="8222" w:type="dxa"/>
            <w:gridSpan w:val="3"/>
            <w:vAlign w:val="center"/>
          </w:tcPr>
          <w:p w14:paraId="32E4343E" w14:textId="77777777" w:rsidR="004E22C1" w:rsidRPr="009D3012" w:rsidRDefault="004E22C1" w:rsidP="0079403C">
            <w:pPr>
              <w:pStyle w:val="Tablebody"/>
              <w:spacing w:before="40" w:after="40"/>
              <w:jc w:val="left"/>
              <w:rPr>
                <w:b/>
                <w:szCs w:val="22"/>
                <w:lang w:val="en-US"/>
              </w:rPr>
            </w:pPr>
            <w:r w:rsidRPr="009D3012">
              <w:rPr>
                <w:b/>
                <w:szCs w:val="22"/>
                <w:lang w:val="en-US"/>
              </w:rPr>
              <w:t>Damping due to furniture (</w:t>
            </w:r>
            <w:r w:rsidRPr="001455DC">
              <w:rPr>
                <w:rStyle w:val="CCMCvariableitalic"/>
                <w:b/>
                <w:szCs w:val="22"/>
              </w:rPr>
              <w:t>ξ</w:t>
            </w:r>
            <w:r w:rsidRPr="009D3012">
              <w:rPr>
                <w:rStyle w:val="CCMCvariablesubscript"/>
                <w:b/>
                <w:szCs w:val="22"/>
                <w:lang w:val="en-US"/>
              </w:rPr>
              <w:t>v,furn</w:t>
            </w:r>
            <w:r w:rsidRPr="009D3012">
              <w:rPr>
                <w:b/>
                <w:szCs w:val="22"/>
                <w:lang w:val="en-US"/>
              </w:rPr>
              <w:t>) in buildings</w:t>
            </w:r>
          </w:p>
        </w:tc>
      </w:tr>
      <w:tr w:rsidR="004E22C1" w:rsidRPr="001455DC" w14:paraId="06AA23A1" w14:textId="77777777" w:rsidTr="007744B3">
        <w:tc>
          <w:tcPr>
            <w:tcW w:w="456" w:type="dxa"/>
            <w:vAlign w:val="center"/>
          </w:tcPr>
          <w:p w14:paraId="73995149" w14:textId="77777777" w:rsidR="004E22C1" w:rsidRPr="001455DC" w:rsidRDefault="004E22C1" w:rsidP="0079403C">
            <w:pPr>
              <w:pStyle w:val="Tablebody"/>
              <w:spacing w:before="40" w:after="40"/>
              <w:jc w:val="center"/>
              <w:rPr>
                <w:szCs w:val="22"/>
              </w:rPr>
            </w:pPr>
            <w:r w:rsidRPr="001455DC">
              <w:rPr>
                <w:szCs w:val="22"/>
              </w:rPr>
              <w:t>3</w:t>
            </w:r>
          </w:p>
        </w:tc>
        <w:tc>
          <w:tcPr>
            <w:tcW w:w="7088" w:type="dxa"/>
            <w:vAlign w:val="center"/>
            <w:hideMark/>
          </w:tcPr>
          <w:p w14:paraId="5BD060B8" w14:textId="77777777" w:rsidR="004E22C1" w:rsidRPr="009D3012" w:rsidRDefault="004E22C1" w:rsidP="0079403C">
            <w:pPr>
              <w:pStyle w:val="Tablebody"/>
              <w:spacing w:before="40" w:after="40"/>
              <w:jc w:val="left"/>
              <w:rPr>
                <w:szCs w:val="22"/>
                <w:lang w:val="en-US"/>
              </w:rPr>
            </w:pPr>
            <w:r w:rsidRPr="009D3012">
              <w:rPr>
                <w:szCs w:val="22"/>
                <w:lang w:val="en-US"/>
              </w:rPr>
              <w:t>Typical office for 1 to 3 people with division panels</w:t>
            </w:r>
          </w:p>
        </w:tc>
        <w:tc>
          <w:tcPr>
            <w:tcW w:w="678" w:type="dxa"/>
            <w:noWrap/>
            <w:vAlign w:val="center"/>
            <w:hideMark/>
          </w:tcPr>
          <w:p w14:paraId="641B4EC7" w14:textId="77777777" w:rsidR="004E22C1" w:rsidRPr="001455DC" w:rsidRDefault="004E22C1" w:rsidP="0079403C">
            <w:pPr>
              <w:pStyle w:val="Tablebody"/>
              <w:spacing w:before="40" w:after="40"/>
              <w:jc w:val="left"/>
              <w:rPr>
                <w:szCs w:val="22"/>
              </w:rPr>
            </w:pPr>
            <w:r w:rsidRPr="001455DC">
              <w:rPr>
                <w:szCs w:val="22"/>
              </w:rPr>
              <w:t>2 %</w:t>
            </w:r>
          </w:p>
        </w:tc>
      </w:tr>
      <w:tr w:rsidR="004E22C1" w:rsidRPr="001455DC" w14:paraId="1013C866" w14:textId="77777777" w:rsidTr="007744B3">
        <w:tc>
          <w:tcPr>
            <w:tcW w:w="456" w:type="dxa"/>
            <w:vAlign w:val="center"/>
          </w:tcPr>
          <w:p w14:paraId="48258A37" w14:textId="77777777" w:rsidR="004E22C1" w:rsidRPr="001455DC" w:rsidRDefault="004E22C1" w:rsidP="0079403C">
            <w:pPr>
              <w:pStyle w:val="Tablebody"/>
              <w:spacing w:before="40" w:after="40"/>
              <w:jc w:val="center"/>
              <w:rPr>
                <w:szCs w:val="22"/>
              </w:rPr>
            </w:pPr>
            <w:r w:rsidRPr="001455DC">
              <w:rPr>
                <w:szCs w:val="22"/>
              </w:rPr>
              <w:t>4</w:t>
            </w:r>
          </w:p>
        </w:tc>
        <w:tc>
          <w:tcPr>
            <w:tcW w:w="7088" w:type="dxa"/>
            <w:vAlign w:val="center"/>
            <w:hideMark/>
          </w:tcPr>
          <w:p w14:paraId="633438B2" w14:textId="77777777" w:rsidR="004E22C1" w:rsidRPr="009D3012" w:rsidRDefault="004E22C1" w:rsidP="0079403C">
            <w:pPr>
              <w:pStyle w:val="Tablebody"/>
              <w:spacing w:before="40" w:after="40"/>
              <w:jc w:val="left"/>
              <w:rPr>
                <w:szCs w:val="22"/>
                <w:lang w:val="en-US"/>
              </w:rPr>
            </w:pPr>
            <w:r w:rsidRPr="009D3012">
              <w:rPr>
                <w:szCs w:val="22"/>
                <w:lang w:val="en-US"/>
              </w:rPr>
              <w:t>Office with computer-workplaces and few bookshelves and cabinets</w:t>
            </w:r>
          </w:p>
        </w:tc>
        <w:tc>
          <w:tcPr>
            <w:tcW w:w="678" w:type="dxa"/>
            <w:noWrap/>
            <w:vAlign w:val="center"/>
            <w:hideMark/>
          </w:tcPr>
          <w:p w14:paraId="656FE0E6" w14:textId="77777777" w:rsidR="004E22C1" w:rsidRPr="001455DC" w:rsidRDefault="004E22C1" w:rsidP="0079403C">
            <w:pPr>
              <w:pStyle w:val="Tablebody"/>
              <w:spacing w:before="40" w:after="40"/>
              <w:jc w:val="left"/>
              <w:rPr>
                <w:szCs w:val="22"/>
              </w:rPr>
            </w:pPr>
            <w:r w:rsidRPr="001455DC">
              <w:rPr>
                <w:szCs w:val="22"/>
              </w:rPr>
              <w:t>0 %</w:t>
            </w:r>
          </w:p>
        </w:tc>
      </w:tr>
      <w:tr w:rsidR="004E22C1" w:rsidRPr="001455DC" w14:paraId="76CA0B6F" w14:textId="77777777" w:rsidTr="007744B3">
        <w:tc>
          <w:tcPr>
            <w:tcW w:w="456" w:type="dxa"/>
            <w:vAlign w:val="center"/>
          </w:tcPr>
          <w:p w14:paraId="61FBB9A9" w14:textId="77777777" w:rsidR="004E22C1" w:rsidRPr="001455DC" w:rsidRDefault="004E22C1" w:rsidP="0079403C">
            <w:pPr>
              <w:pStyle w:val="Tablebody"/>
              <w:spacing w:before="40" w:after="40"/>
              <w:jc w:val="center"/>
              <w:rPr>
                <w:szCs w:val="22"/>
              </w:rPr>
            </w:pPr>
            <w:r w:rsidRPr="001455DC">
              <w:rPr>
                <w:szCs w:val="22"/>
              </w:rPr>
              <w:t>5</w:t>
            </w:r>
          </w:p>
        </w:tc>
        <w:tc>
          <w:tcPr>
            <w:tcW w:w="7088" w:type="dxa"/>
            <w:noWrap/>
            <w:vAlign w:val="center"/>
            <w:hideMark/>
          </w:tcPr>
          <w:p w14:paraId="110E629D" w14:textId="77777777" w:rsidR="004E22C1" w:rsidRPr="001455DC" w:rsidRDefault="004E22C1" w:rsidP="0079403C">
            <w:pPr>
              <w:pStyle w:val="Tablebody"/>
              <w:spacing w:before="40" w:after="40"/>
              <w:jc w:val="left"/>
              <w:rPr>
                <w:szCs w:val="22"/>
              </w:rPr>
            </w:pPr>
            <w:r w:rsidRPr="001455DC">
              <w:rPr>
                <w:szCs w:val="22"/>
              </w:rPr>
              <w:t>Open-plan office</w:t>
            </w:r>
          </w:p>
        </w:tc>
        <w:tc>
          <w:tcPr>
            <w:tcW w:w="678" w:type="dxa"/>
            <w:noWrap/>
            <w:vAlign w:val="center"/>
            <w:hideMark/>
          </w:tcPr>
          <w:p w14:paraId="6FE9C8D2" w14:textId="77777777" w:rsidR="004E22C1" w:rsidRPr="001455DC" w:rsidRDefault="004E22C1" w:rsidP="0079403C">
            <w:pPr>
              <w:pStyle w:val="Tablebody"/>
              <w:spacing w:before="40" w:after="40"/>
              <w:jc w:val="left"/>
              <w:rPr>
                <w:szCs w:val="22"/>
              </w:rPr>
            </w:pPr>
            <w:r w:rsidRPr="001455DC">
              <w:rPr>
                <w:szCs w:val="22"/>
              </w:rPr>
              <w:t>1 %</w:t>
            </w:r>
          </w:p>
        </w:tc>
      </w:tr>
      <w:tr w:rsidR="004E22C1" w:rsidRPr="001455DC" w14:paraId="3B7E2B53" w14:textId="77777777" w:rsidTr="007744B3">
        <w:tc>
          <w:tcPr>
            <w:tcW w:w="456" w:type="dxa"/>
            <w:vAlign w:val="center"/>
          </w:tcPr>
          <w:p w14:paraId="402597F0" w14:textId="77777777" w:rsidR="004E22C1" w:rsidRPr="001455DC" w:rsidRDefault="004E22C1" w:rsidP="0079403C">
            <w:pPr>
              <w:pStyle w:val="Tablebody"/>
              <w:spacing w:before="40" w:after="40"/>
              <w:jc w:val="center"/>
              <w:rPr>
                <w:szCs w:val="22"/>
              </w:rPr>
            </w:pPr>
            <w:r w:rsidRPr="001455DC">
              <w:rPr>
                <w:szCs w:val="22"/>
              </w:rPr>
              <w:t>6</w:t>
            </w:r>
          </w:p>
        </w:tc>
        <w:tc>
          <w:tcPr>
            <w:tcW w:w="7088" w:type="dxa"/>
            <w:noWrap/>
            <w:vAlign w:val="center"/>
            <w:hideMark/>
          </w:tcPr>
          <w:p w14:paraId="7D429A57" w14:textId="77777777" w:rsidR="004E22C1" w:rsidRPr="001455DC" w:rsidRDefault="004E22C1" w:rsidP="0079403C">
            <w:pPr>
              <w:pStyle w:val="Tablebody"/>
              <w:spacing w:before="40" w:after="40"/>
              <w:jc w:val="left"/>
              <w:rPr>
                <w:szCs w:val="22"/>
              </w:rPr>
            </w:pPr>
            <w:r w:rsidRPr="001455DC">
              <w:rPr>
                <w:szCs w:val="22"/>
              </w:rPr>
              <w:t>Library</w:t>
            </w:r>
          </w:p>
        </w:tc>
        <w:tc>
          <w:tcPr>
            <w:tcW w:w="678" w:type="dxa"/>
            <w:noWrap/>
            <w:vAlign w:val="center"/>
            <w:hideMark/>
          </w:tcPr>
          <w:p w14:paraId="7F27F8BB" w14:textId="77777777" w:rsidR="004E22C1" w:rsidRPr="001455DC" w:rsidRDefault="004E22C1" w:rsidP="0079403C">
            <w:pPr>
              <w:pStyle w:val="Tablebody"/>
              <w:spacing w:before="40" w:after="40"/>
              <w:jc w:val="left"/>
              <w:rPr>
                <w:szCs w:val="22"/>
              </w:rPr>
            </w:pPr>
            <w:r w:rsidRPr="001455DC">
              <w:rPr>
                <w:szCs w:val="22"/>
              </w:rPr>
              <w:t>1 %</w:t>
            </w:r>
          </w:p>
        </w:tc>
      </w:tr>
      <w:tr w:rsidR="004E22C1" w:rsidRPr="001455DC" w14:paraId="20311F29" w14:textId="77777777" w:rsidTr="007744B3">
        <w:tc>
          <w:tcPr>
            <w:tcW w:w="456" w:type="dxa"/>
            <w:vAlign w:val="center"/>
          </w:tcPr>
          <w:p w14:paraId="7250DFB3" w14:textId="77777777" w:rsidR="004E22C1" w:rsidRPr="001455DC" w:rsidRDefault="004E22C1" w:rsidP="0079403C">
            <w:pPr>
              <w:pStyle w:val="Tablebody"/>
              <w:spacing w:before="40" w:after="40"/>
              <w:jc w:val="center"/>
              <w:rPr>
                <w:szCs w:val="22"/>
              </w:rPr>
            </w:pPr>
            <w:r w:rsidRPr="001455DC">
              <w:rPr>
                <w:szCs w:val="22"/>
              </w:rPr>
              <w:t>7</w:t>
            </w:r>
          </w:p>
        </w:tc>
        <w:tc>
          <w:tcPr>
            <w:tcW w:w="7088" w:type="dxa"/>
            <w:noWrap/>
            <w:vAlign w:val="center"/>
            <w:hideMark/>
          </w:tcPr>
          <w:p w14:paraId="23A2B9FC" w14:textId="77777777" w:rsidR="004E22C1" w:rsidRPr="001455DC" w:rsidRDefault="004E22C1" w:rsidP="0079403C">
            <w:pPr>
              <w:pStyle w:val="Tablebody"/>
              <w:spacing w:before="40" w:after="40"/>
              <w:jc w:val="left"/>
              <w:rPr>
                <w:szCs w:val="22"/>
              </w:rPr>
            </w:pPr>
            <w:r w:rsidRPr="001455DC">
              <w:rPr>
                <w:szCs w:val="22"/>
              </w:rPr>
              <w:t>House</w:t>
            </w:r>
          </w:p>
        </w:tc>
        <w:tc>
          <w:tcPr>
            <w:tcW w:w="678" w:type="dxa"/>
            <w:noWrap/>
            <w:vAlign w:val="center"/>
            <w:hideMark/>
          </w:tcPr>
          <w:p w14:paraId="34C5B803" w14:textId="77777777" w:rsidR="004E22C1" w:rsidRPr="001455DC" w:rsidRDefault="004E22C1" w:rsidP="0079403C">
            <w:pPr>
              <w:pStyle w:val="Tablebody"/>
              <w:spacing w:before="40" w:after="40"/>
              <w:jc w:val="left"/>
              <w:rPr>
                <w:szCs w:val="22"/>
              </w:rPr>
            </w:pPr>
            <w:r w:rsidRPr="001455DC">
              <w:rPr>
                <w:szCs w:val="22"/>
              </w:rPr>
              <w:t>1 %</w:t>
            </w:r>
          </w:p>
        </w:tc>
      </w:tr>
      <w:tr w:rsidR="004E22C1" w:rsidRPr="001455DC" w14:paraId="14AE6FAB" w14:textId="77777777" w:rsidTr="007744B3">
        <w:tc>
          <w:tcPr>
            <w:tcW w:w="456" w:type="dxa"/>
            <w:vAlign w:val="center"/>
          </w:tcPr>
          <w:p w14:paraId="17853A18" w14:textId="77777777" w:rsidR="004E22C1" w:rsidRPr="001455DC" w:rsidRDefault="004E22C1" w:rsidP="0079403C">
            <w:pPr>
              <w:pStyle w:val="Tablebody"/>
              <w:spacing w:before="40" w:after="40"/>
              <w:jc w:val="center"/>
              <w:rPr>
                <w:szCs w:val="22"/>
              </w:rPr>
            </w:pPr>
            <w:r w:rsidRPr="001455DC">
              <w:rPr>
                <w:szCs w:val="22"/>
              </w:rPr>
              <w:t>8</w:t>
            </w:r>
          </w:p>
        </w:tc>
        <w:tc>
          <w:tcPr>
            <w:tcW w:w="7088" w:type="dxa"/>
            <w:noWrap/>
            <w:vAlign w:val="center"/>
            <w:hideMark/>
          </w:tcPr>
          <w:p w14:paraId="6D126828" w14:textId="77777777" w:rsidR="004E22C1" w:rsidRPr="001455DC" w:rsidRDefault="004E22C1" w:rsidP="0079403C">
            <w:pPr>
              <w:pStyle w:val="Tablebody"/>
              <w:spacing w:before="40" w:after="40"/>
              <w:jc w:val="left"/>
              <w:rPr>
                <w:szCs w:val="22"/>
              </w:rPr>
            </w:pPr>
            <w:r w:rsidRPr="001455DC">
              <w:rPr>
                <w:szCs w:val="22"/>
              </w:rPr>
              <w:t>School</w:t>
            </w:r>
          </w:p>
        </w:tc>
        <w:tc>
          <w:tcPr>
            <w:tcW w:w="678" w:type="dxa"/>
            <w:noWrap/>
            <w:vAlign w:val="center"/>
            <w:hideMark/>
          </w:tcPr>
          <w:p w14:paraId="7632C4A2" w14:textId="77777777" w:rsidR="004E22C1" w:rsidRPr="001455DC" w:rsidRDefault="004E22C1" w:rsidP="0079403C">
            <w:pPr>
              <w:pStyle w:val="Tablebody"/>
              <w:spacing w:before="40" w:after="40"/>
              <w:jc w:val="left"/>
              <w:rPr>
                <w:szCs w:val="22"/>
              </w:rPr>
            </w:pPr>
            <w:r w:rsidRPr="001455DC">
              <w:rPr>
                <w:szCs w:val="22"/>
              </w:rPr>
              <w:t>0 %</w:t>
            </w:r>
          </w:p>
        </w:tc>
      </w:tr>
      <w:tr w:rsidR="004E22C1" w:rsidRPr="001455DC" w14:paraId="02D5EE40" w14:textId="77777777" w:rsidTr="007744B3">
        <w:tc>
          <w:tcPr>
            <w:tcW w:w="456" w:type="dxa"/>
            <w:vAlign w:val="center"/>
          </w:tcPr>
          <w:p w14:paraId="02FEAD7F" w14:textId="77777777" w:rsidR="004E22C1" w:rsidRPr="001455DC" w:rsidRDefault="004E22C1" w:rsidP="0079403C">
            <w:pPr>
              <w:pStyle w:val="Tablebody"/>
              <w:spacing w:before="40" w:after="40"/>
              <w:jc w:val="center"/>
              <w:rPr>
                <w:szCs w:val="22"/>
              </w:rPr>
            </w:pPr>
            <w:r w:rsidRPr="001455DC">
              <w:rPr>
                <w:szCs w:val="22"/>
              </w:rPr>
              <w:t>9</w:t>
            </w:r>
          </w:p>
        </w:tc>
        <w:tc>
          <w:tcPr>
            <w:tcW w:w="7088" w:type="dxa"/>
            <w:noWrap/>
            <w:vAlign w:val="center"/>
            <w:hideMark/>
          </w:tcPr>
          <w:p w14:paraId="7F52815A" w14:textId="77777777" w:rsidR="004E22C1" w:rsidRPr="001455DC" w:rsidRDefault="004E22C1" w:rsidP="0079403C">
            <w:pPr>
              <w:pStyle w:val="Tablebody"/>
              <w:spacing w:before="40" w:after="40"/>
              <w:jc w:val="left"/>
              <w:rPr>
                <w:szCs w:val="22"/>
              </w:rPr>
            </w:pPr>
            <w:r w:rsidRPr="001455DC">
              <w:rPr>
                <w:szCs w:val="22"/>
              </w:rPr>
              <w:t>Gymnasium</w:t>
            </w:r>
          </w:p>
        </w:tc>
        <w:tc>
          <w:tcPr>
            <w:tcW w:w="678" w:type="dxa"/>
            <w:noWrap/>
            <w:vAlign w:val="center"/>
            <w:hideMark/>
          </w:tcPr>
          <w:p w14:paraId="1B395DF3" w14:textId="77777777" w:rsidR="004E22C1" w:rsidRPr="001455DC" w:rsidRDefault="004E22C1" w:rsidP="0079403C">
            <w:pPr>
              <w:pStyle w:val="Tablebody"/>
              <w:spacing w:before="40" w:after="40"/>
              <w:jc w:val="left"/>
              <w:rPr>
                <w:szCs w:val="22"/>
              </w:rPr>
            </w:pPr>
            <w:r w:rsidRPr="001455DC">
              <w:rPr>
                <w:szCs w:val="22"/>
              </w:rPr>
              <w:t>0 %</w:t>
            </w:r>
          </w:p>
        </w:tc>
      </w:tr>
      <w:tr w:rsidR="004E22C1" w:rsidRPr="001455DC" w14:paraId="7DA39479" w14:textId="77777777" w:rsidTr="007744B3">
        <w:tc>
          <w:tcPr>
            <w:tcW w:w="8222" w:type="dxa"/>
            <w:gridSpan w:val="3"/>
            <w:vAlign w:val="center"/>
          </w:tcPr>
          <w:p w14:paraId="6421BEDA" w14:textId="77777777" w:rsidR="004E22C1" w:rsidRPr="009D3012" w:rsidRDefault="004E22C1" w:rsidP="0079403C">
            <w:pPr>
              <w:pStyle w:val="Tablebody"/>
              <w:spacing w:before="40" w:after="40"/>
              <w:jc w:val="left"/>
              <w:rPr>
                <w:b/>
                <w:szCs w:val="22"/>
                <w:lang w:val="en-US"/>
              </w:rPr>
            </w:pPr>
            <w:r w:rsidRPr="009D3012">
              <w:rPr>
                <w:b/>
                <w:szCs w:val="22"/>
                <w:lang w:val="en-US"/>
              </w:rPr>
              <w:t>Damping from ceiling and floor finishing (</w:t>
            </w:r>
            <w:r w:rsidRPr="001455DC">
              <w:rPr>
                <w:rStyle w:val="CCMCvariableitalic"/>
                <w:b/>
                <w:szCs w:val="22"/>
              </w:rPr>
              <w:t>ξ</w:t>
            </w:r>
            <w:r w:rsidRPr="009D3012">
              <w:rPr>
                <w:rStyle w:val="CCMCvariablesubscript"/>
                <w:b/>
                <w:szCs w:val="22"/>
                <w:lang w:val="en-US"/>
              </w:rPr>
              <w:t>v,fin</w:t>
            </w:r>
            <w:r w:rsidRPr="009D3012">
              <w:rPr>
                <w:b/>
                <w:szCs w:val="22"/>
                <w:lang w:val="en-US"/>
              </w:rPr>
              <w:t>) in buildings</w:t>
            </w:r>
          </w:p>
        </w:tc>
      </w:tr>
      <w:tr w:rsidR="004E22C1" w:rsidRPr="001455DC" w14:paraId="635E08D4" w14:textId="77777777" w:rsidTr="007744B3">
        <w:tc>
          <w:tcPr>
            <w:tcW w:w="456" w:type="dxa"/>
            <w:vAlign w:val="center"/>
          </w:tcPr>
          <w:p w14:paraId="0783F0A7" w14:textId="77777777" w:rsidR="004E22C1" w:rsidRPr="001455DC" w:rsidRDefault="004E22C1" w:rsidP="0079403C">
            <w:pPr>
              <w:pStyle w:val="Tablebody"/>
              <w:spacing w:before="40" w:after="40"/>
              <w:jc w:val="center"/>
              <w:rPr>
                <w:szCs w:val="22"/>
              </w:rPr>
            </w:pPr>
            <w:r w:rsidRPr="001455DC">
              <w:rPr>
                <w:szCs w:val="22"/>
              </w:rPr>
              <w:t>10</w:t>
            </w:r>
          </w:p>
        </w:tc>
        <w:tc>
          <w:tcPr>
            <w:tcW w:w="7088" w:type="dxa"/>
            <w:noWrap/>
            <w:vAlign w:val="center"/>
            <w:hideMark/>
          </w:tcPr>
          <w:p w14:paraId="6BB3F289" w14:textId="77777777" w:rsidR="004E22C1" w:rsidRPr="001455DC" w:rsidRDefault="004E22C1" w:rsidP="0079403C">
            <w:pPr>
              <w:pStyle w:val="Tablebody"/>
              <w:spacing w:before="40" w:after="40"/>
              <w:jc w:val="left"/>
              <w:rPr>
                <w:szCs w:val="22"/>
              </w:rPr>
            </w:pPr>
            <w:r w:rsidRPr="001455DC">
              <w:rPr>
                <w:szCs w:val="22"/>
              </w:rPr>
              <w:t xml:space="preserve">Suspended ceiling </w:t>
            </w:r>
          </w:p>
        </w:tc>
        <w:tc>
          <w:tcPr>
            <w:tcW w:w="678" w:type="dxa"/>
            <w:noWrap/>
            <w:vAlign w:val="center"/>
            <w:hideMark/>
          </w:tcPr>
          <w:p w14:paraId="716C50A0" w14:textId="77777777" w:rsidR="004E22C1" w:rsidRPr="001455DC" w:rsidRDefault="004E22C1" w:rsidP="0079403C">
            <w:pPr>
              <w:pStyle w:val="Tablebody"/>
              <w:spacing w:before="40" w:after="40"/>
              <w:jc w:val="left"/>
              <w:rPr>
                <w:szCs w:val="22"/>
              </w:rPr>
            </w:pPr>
            <w:r w:rsidRPr="001455DC">
              <w:rPr>
                <w:szCs w:val="22"/>
              </w:rPr>
              <w:t>1 %</w:t>
            </w:r>
          </w:p>
        </w:tc>
      </w:tr>
      <w:tr w:rsidR="004E22C1" w:rsidRPr="001455DC" w14:paraId="697E0619" w14:textId="77777777" w:rsidTr="007744B3">
        <w:tc>
          <w:tcPr>
            <w:tcW w:w="456" w:type="dxa"/>
            <w:vAlign w:val="center"/>
          </w:tcPr>
          <w:p w14:paraId="29858CDA" w14:textId="77777777" w:rsidR="004E22C1" w:rsidRPr="001455DC" w:rsidRDefault="004E22C1" w:rsidP="0079403C">
            <w:pPr>
              <w:pStyle w:val="Tablebody"/>
              <w:spacing w:before="40" w:after="40"/>
              <w:jc w:val="center"/>
              <w:rPr>
                <w:szCs w:val="22"/>
              </w:rPr>
            </w:pPr>
            <w:r w:rsidRPr="001455DC">
              <w:rPr>
                <w:szCs w:val="22"/>
              </w:rPr>
              <w:t>11</w:t>
            </w:r>
          </w:p>
        </w:tc>
        <w:tc>
          <w:tcPr>
            <w:tcW w:w="7088" w:type="dxa"/>
            <w:noWrap/>
            <w:vAlign w:val="center"/>
            <w:hideMark/>
          </w:tcPr>
          <w:p w14:paraId="037946E3" w14:textId="4144E997" w:rsidR="004E22C1" w:rsidRPr="009D3012" w:rsidRDefault="007744B3" w:rsidP="0079403C">
            <w:pPr>
              <w:pStyle w:val="Tablebody"/>
              <w:spacing w:before="40" w:after="40"/>
              <w:jc w:val="left"/>
              <w:rPr>
                <w:szCs w:val="22"/>
                <w:lang w:val="en-US"/>
              </w:rPr>
            </w:pPr>
            <w:r w:rsidRPr="009D3012">
              <w:rPr>
                <w:szCs w:val="22"/>
                <w:lang w:val="en-US"/>
              </w:rPr>
              <w:t>“</w:t>
            </w:r>
            <w:r w:rsidR="004E22C1" w:rsidRPr="009D3012">
              <w:rPr>
                <w:szCs w:val="22"/>
                <w:lang w:val="en-US"/>
              </w:rPr>
              <w:t>swimming</w:t>
            </w:r>
            <w:r w:rsidRPr="009D3012">
              <w:rPr>
                <w:szCs w:val="22"/>
                <w:lang w:val="en-US"/>
              </w:rPr>
              <w:t>”</w:t>
            </w:r>
            <w:r w:rsidR="004E22C1" w:rsidRPr="009D3012">
              <w:rPr>
                <w:szCs w:val="22"/>
                <w:lang w:val="en-US"/>
              </w:rPr>
              <w:t xml:space="preserve"> floor (e.g. laminate)</w:t>
            </w:r>
          </w:p>
        </w:tc>
        <w:tc>
          <w:tcPr>
            <w:tcW w:w="678" w:type="dxa"/>
            <w:noWrap/>
            <w:vAlign w:val="center"/>
            <w:hideMark/>
          </w:tcPr>
          <w:p w14:paraId="5EA13513" w14:textId="77777777" w:rsidR="004E22C1" w:rsidRPr="001455DC" w:rsidRDefault="004E22C1" w:rsidP="0079403C">
            <w:pPr>
              <w:pStyle w:val="Tablebody"/>
              <w:spacing w:before="40" w:after="40"/>
              <w:jc w:val="left"/>
              <w:rPr>
                <w:szCs w:val="22"/>
              </w:rPr>
            </w:pPr>
            <w:r w:rsidRPr="001455DC">
              <w:rPr>
                <w:szCs w:val="22"/>
              </w:rPr>
              <w:t>0 %</w:t>
            </w:r>
          </w:p>
        </w:tc>
      </w:tr>
      <w:tr w:rsidR="004E22C1" w:rsidRPr="001455DC" w14:paraId="6BE7DC37" w14:textId="77777777" w:rsidTr="007744B3">
        <w:tc>
          <w:tcPr>
            <w:tcW w:w="456" w:type="dxa"/>
            <w:vAlign w:val="center"/>
          </w:tcPr>
          <w:p w14:paraId="22BCD203" w14:textId="77777777" w:rsidR="004E22C1" w:rsidRPr="001455DC" w:rsidRDefault="004E22C1" w:rsidP="0079403C">
            <w:pPr>
              <w:pStyle w:val="Tablebody"/>
              <w:spacing w:before="40" w:after="40"/>
              <w:jc w:val="center"/>
              <w:rPr>
                <w:szCs w:val="22"/>
              </w:rPr>
            </w:pPr>
            <w:r w:rsidRPr="001455DC">
              <w:rPr>
                <w:szCs w:val="22"/>
              </w:rPr>
              <w:t>12</w:t>
            </w:r>
          </w:p>
        </w:tc>
        <w:tc>
          <w:tcPr>
            <w:tcW w:w="7088" w:type="dxa"/>
            <w:noWrap/>
            <w:vAlign w:val="center"/>
            <w:hideMark/>
          </w:tcPr>
          <w:p w14:paraId="40D18A44" w14:textId="77777777" w:rsidR="004E22C1" w:rsidRPr="001455DC" w:rsidRDefault="004E22C1" w:rsidP="0079403C">
            <w:pPr>
              <w:pStyle w:val="Tablebody"/>
              <w:spacing w:before="40" w:after="40"/>
              <w:jc w:val="left"/>
              <w:rPr>
                <w:szCs w:val="22"/>
              </w:rPr>
            </w:pPr>
            <w:r w:rsidRPr="001455DC">
              <w:rPr>
                <w:szCs w:val="22"/>
              </w:rPr>
              <w:t>swimming floor screed</w:t>
            </w:r>
          </w:p>
        </w:tc>
        <w:tc>
          <w:tcPr>
            <w:tcW w:w="678" w:type="dxa"/>
            <w:noWrap/>
            <w:vAlign w:val="center"/>
            <w:hideMark/>
          </w:tcPr>
          <w:p w14:paraId="41B22FFD" w14:textId="77777777" w:rsidR="004E22C1" w:rsidRPr="001455DC" w:rsidRDefault="004E22C1" w:rsidP="0079403C">
            <w:pPr>
              <w:pStyle w:val="Tablebody"/>
              <w:spacing w:before="40" w:after="40"/>
              <w:jc w:val="left"/>
              <w:rPr>
                <w:szCs w:val="22"/>
              </w:rPr>
            </w:pPr>
            <w:r w:rsidRPr="001455DC">
              <w:rPr>
                <w:szCs w:val="22"/>
              </w:rPr>
              <w:t>1 %</w:t>
            </w:r>
          </w:p>
        </w:tc>
      </w:tr>
    </w:tbl>
    <w:p w14:paraId="38F82BFB" w14:textId="77777777" w:rsidR="004E22C1" w:rsidRPr="001455DC" w:rsidRDefault="004E22C1" w:rsidP="007744B3">
      <w:pPr>
        <w:pStyle w:val="a7"/>
      </w:pPr>
    </w:p>
    <w:p w14:paraId="23BC1BB8" w14:textId="14017F41" w:rsidR="004E22C1" w:rsidRPr="001455DC" w:rsidRDefault="00B556B5" w:rsidP="00B556B5">
      <w:pPr>
        <w:pStyle w:val="1"/>
        <w:pageBreakBefore/>
      </w:pPr>
      <w:bookmarkStart w:id="740" w:name="_Toc54337127"/>
      <w:bookmarkStart w:id="741" w:name="_Toc54337413"/>
      <w:bookmarkStart w:id="742" w:name="_Toc54338074"/>
      <w:bookmarkStart w:id="743" w:name="_Toc67565418"/>
      <w:r w:rsidRPr="001455DC">
        <w:t>Fatigue</w:t>
      </w:r>
      <w:bookmarkEnd w:id="740"/>
      <w:bookmarkEnd w:id="741"/>
      <w:bookmarkEnd w:id="742"/>
      <w:bookmarkEnd w:id="743"/>
    </w:p>
    <w:p w14:paraId="02802C07" w14:textId="187BA28E" w:rsidR="004E22C1" w:rsidRPr="001455DC" w:rsidRDefault="004E22C1" w:rsidP="006D682B">
      <w:pPr>
        <w:pStyle w:val="21"/>
      </w:pPr>
      <w:bookmarkStart w:id="744" w:name="_Toc52820018"/>
      <w:bookmarkStart w:id="745" w:name="_Toc54337414"/>
      <w:bookmarkStart w:id="746" w:name="_Toc54338075"/>
      <w:bookmarkStart w:id="747" w:name="_Toc67565419"/>
      <w:r w:rsidRPr="001455DC">
        <w:t>General</w:t>
      </w:r>
      <w:bookmarkEnd w:id="744"/>
      <w:bookmarkEnd w:id="745"/>
      <w:bookmarkEnd w:id="746"/>
      <w:bookmarkEnd w:id="747"/>
    </w:p>
    <w:p w14:paraId="0A25B547" w14:textId="77777777" w:rsidR="004E22C1" w:rsidRPr="001455DC" w:rsidRDefault="004E22C1" w:rsidP="00B556B5">
      <w:pPr>
        <w:pStyle w:val="a7"/>
      </w:pPr>
      <w:r w:rsidRPr="001455DC">
        <w:t>(1)</w:t>
      </w:r>
      <w:r w:rsidRPr="001455DC">
        <w:tab/>
        <w:t>Structures and structural components subjected to repeated load or deformation cycles shall be verified to endure the expected cyclic actions during the required design life.</w:t>
      </w:r>
    </w:p>
    <w:p w14:paraId="63A82921" w14:textId="77777777" w:rsidR="004E22C1" w:rsidRPr="001455DC" w:rsidRDefault="004E22C1" w:rsidP="00E844D2">
      <w:pPr>
        <w:pStyle w:val="a7"/>
        <w:keepNext/>
      </w:pPr>
      <w:r w:rsidRPr="001455DC">
        <w:t>(2)</w:t>
      </w:r>
      <w:r w:rsidRPr="001455DC">
        <w:tab/>
        <w:t>A fatigue verification may generally be omitted for the following structures and members:</w:t>
      </w:r>
    </w:p>
    <w:p w14:paraId="453EBAA2" w14:textId="4D6E3212" w:rsidR="004E22C1" w:rsidRPr="001455DC" w:rsidRDefault="004E22C1" w:rsidP="00082680">
      <w:pPr>
        <w:pStyle w:val="a0"/>
        <w:numPr>
          <w:ilvl w:val="0"/>
          <w:numId w:val="23"/>
        </w:numPr>
      </w:pPr>
      <w:r w:rsidRPr="001455DC">
        <w:t>common buildings not subjected to a total number of significant load cycles </w:t>
      </w:r>
      <w:r w:rsidR="00650035" w:rsidRPr="001455DC">
        <w:rPr>
          <w:rFonts w:ascii="Cambria Math" w:hAnsi="Cambria Math"/>
        </w:rPr>
        <w:t>≤</w:t>
      </w:r>
      <w:r w:rsidRPr="001455DC">
        <w:t> 2 </w:t>
      </w:r>
      <w:r w:rsidRPr="001455DC">
        <w:rPr>
          <w:rFonts w:ascii="Cambria Math" w:hAnsi="Cambria Math" w:cs="Cambria Math"/>
        </w:rPr>
        <w:t>⋅</w:t>
      </w:r>
      <w:r w:rsidRPr="001455DC">
        <w:t> 10</w:t>
      </w:r>
      <w:r w:rsidRPr="001455DC">
        <w:rPr>
          <w:rStyle w:val="CCMCvariablesuperscript"/>
        </w:rPr>
        <w:t>4</w:t>
      </w:r>
      <w:r w:rsidRPr="001455DC">
        <w:t>,</w:t>
      </w:r>
    </w:p>
    <w:p w14:paraId="128AB9BD" w14:textId="54F59CF9" w:rsidR="004E22C1" w:rsidRPr="001455DC" w:rsidRDefault="004E22C1" w:rsidP="00082680">
      <w:pPr>
        <w:pStyle w:val="a0"/>
        <w:numPr>
          <w:ilvl w:val="0"/>
          <w:numId w:val="23"/>
        </w:numPr>
      </w:pPr>
      <w:r w:rsidRPr="001455DC">
        <w:t>reinforcing steel bars if the steel stress under the fatigue load combination according to 10.2(1) is limited to 200 MPa in unwelded and 40 MPa in welded reinforcing steel bars, respectively;</w:t>
      </w:r>
    </w:p>
    <w:p w14:paraId="6F0435D0" w14:textId="6D93EF65" w:rsidR="004E22C1" w:rsidRPr="001455DC" w:rsidRDefault="004E22C1" w:rsidP="00082680">
      <w:pPr>
        <w:pStyle w:val="a0"/>
        <w:numPr>
          <w:ilvl w:val="0"/>
          <w:numId w:val="23"/>
        </w:numPr>
      </w:pPr>
      <w:r w:rsidRPr="001455DC">
        <w:t>footbridges, with the exception of structural components with wind induced vibrations;</w:t>
      </w:r>
    </w:p>
    <w:p w14:paraId="0F916892" w14:textId="7EBB3A1F" w:rsidR="004E22C1" w:rsidRPr="001455DC" w:rsidRDefault="004E22C1" w:rsidP="00082680">
      <w:pPr>
        <w:pStyle w:val="a0"/>
        <w:numPr>
          <w:ilvl w:val="0"/>
          <w:numId w:val="23"/>
        </w:numPr>
      </w:pPr>
      <w:r w:rsidRPr="001455DC">
        <w:t>buried arch and frame structures with a minimum earth cover of 1,00 m for road bridges and 1,50</w:t>
      </w:r>
      <w:r w:rsidR="00395994" w:rsidRPr="001455DC">
        <w:t> </w:t>
      </w:r>
      <w:r w:rsidRPr="001455DC">
        <w:t>m for railway bridges, respectively;</w:t>
      </w:r>
    </w:p>
    <w:p w14:paraId="58657431" w14:textId="30F67BFE" w:rsidR="004E22C1" w:rsidRPr="001455DC" w:rsidRDefault="004E22C1" w:rsidP="00082680">
      <w:pPr>
        <w:pStyle w:val="a0"/>
        <w:numPr>
          <w:ilvl w:val="0"/>
          <w:numId w:val="23"/>
        </w:numPr>
      </w:pPr>
      <w:r w:rsidRPr="001455DC">
        <w:t>foundations of bridges;</w:t>
      </w:r>
    </w:p>
    <w:p w14:paraId="47275CC2" w14:textId="7AFF9EE1" w:rsidR="004E22C1" w:rsidRPr="001455DC" w:rsidRDefault="004E22C1" w:rsidP="00082680">
      <w:pPr>
        <w:pStyle w:val="a0"/>
        <w:numPr>
          <w:ilvl w:val="0"/>
          <w:numId w:val="23"/>
        </w:numPr>
      </w:pPr>
      <w:r w:rsidRPr="001455DC">
        <w:t>piers and columns which are not rigidly connected to superstructures;</w:t>
      </w:r>
    </w:p>
    <w:p w14:paraId="4C1E59F7" w14:textId="3B7F1540" w:rsidR="004E22C1" w:rsidRPr="001455DC" w:rsidRDefault="004E22C1" w:rsidP="00082680">
      <w:pPr>
        <w:pStyle w:val="a0"/>
        <w:numPr>
          <w:ilvl w:val="0"/>
          <w:numId w:val="23"/>
        </w:numPr>
      </w:pPr>
      <w:r w:rsidRPr="001455DC">
        <w:t>retaining walls of embankments for roads and railways;</w:t>
      </w:r>
    </w:p>
    <w:p w14:paraId="436E2A41" w14:textId="155F074D" w:rsidR="004E22C1" w:rsidRPr="001455DC" w:rsidRDefault="004E22C1" w:rsidP="00082680">
      <w:pPr>
        <w:pStyle w:val="a0"/>
        <w:numPr>
          <w:ilvl w:val="0"/>
          <w:numId w:val="23"/>
        </w:numPr>
      </w:pPr>
      <w:r w:rsidRPr="001455DC">
        <w:t>abutments of road and railway bridges which are not rigidly connected to superstructures, except for deck slabs of abutments;</w:t>
      </w:r>
    </w:p>
    <w:p w14:paraId="7457CB10" w14:textId="79A7E0A6" w:rsidR="004E22C1" w:rsidRPr="001455DC" w:rsidRDefault="004E22C1" w:rsidP="00082680">
      <w:pPr>
        <w:pStyle w:val="a0"/>
        <w:numPr>
          <w:ilvl w:val="0"/>
          <w:numId w:val="23"/>
        </w:numPr>
      </w:pPr>
      <w:r w:rsidRPr="001455DC">
        <w:t xml:space="preserve">prestressing and reinforcing steel, in sections where, under the frequent combination of actions and </w:t>
      </w:r>
      <w:r w:rsidRPr="001455DC">
        <w:rPr>
          <w:rStyle w:val="CCMCvariableitalic"/>
        </w:rPr>
        <w:t>P</w:t>
      </w:r>
      <w:r w:rsidRPr="001455DC">
        <w:rPr>
          <w:rStyle w:val="CCMCvariablesubscript"/>
        </w:rPr>
        <w:t>k</w:t>
      </w:r>
      <w:r w:rsidRPr="001455DC">
        <w:t>, only compressive stresses occur at the extreme concrete fibres;</w:t>
      </w:r>
    </w:p>
    <w:p w14:paraId="671621A4" w14:textId="38622BAD" w:rsidR="004E22C1" w:rsidRPr="001455DC" w:rsidRDefault="004E22C1" w:rsidP="00082680">
      <w:pPr>
        <w:pStyle w:val="a0"/>
        <w:numPr>
          <w:ilvl w:val="0"/>
          <w:numId w:val="23"/>
        </w:numPr>
      </w:pPr>
      <w:r w:rsidRPr="001455DC">
        <w:t>external and unbonded tendons, lying within the depth of the concrete section.</w:t>
      </w:r>
    </w:p>
    <w:p w14:paraId="57158218" w14:textId="77777777" w:rsidR="004E22C1" w:rsidRPr="001455DC" w:rsidRDefault="004E22C1" w:rsidP="00E844D2">
      <w:pPr>
        <w:pStyle w:val="a7"/>
        <w:keepNext/>
      </w:pPr>
      <w:r w:rsidRPr="001455DC">
        <w:t>(3)</w:t>
      </w:r>
      <w:r w:rsidRPr="001455DC">
        <w:tab/>
        <w:t>The verification shall be performed separately for reinforcement and concrete by:</w:t>
      </w:r>
    </w:p>
    <w:p w14:paraId="6F2CB3AC" w14:textId="5E6FA2D4" w:rsidR="004E22C1" w:rsidRPr="001455DC" w:rsidRDefault="004E22C1" w:rsidP="00B556B5">
      <w:pPr>
        <w:pStyle w:val="a0"/>
      </w:pPr>
      <w:r w:rsidRPr="001455DC">
        <w:t>simplified methods given in 10.4 to 10.7 or</w:t>
      </w:r>
    </w:p>
    <w:p w14:paraId="20F5CF56" w14:textId="6FB1C34D" w:rsidR="004E22C1" w:rsidRPr="001455DC" w:rsidRDefault="004E22C1" w:rsidP="00B556B5">
      <w:pPr>
        <w:pStyle w:val="a0"/>
      </w:pPr>
      <w:r w:rsidRPr="001455DC">
        <w:t>refined methods using damage equivalent stresses in E.</w:t>
      </w:r>
      <w:r w:rsidR="000903D6" w:rsidRPr="001455DC">
        <w:t xml:space="preserve">4 </w:t>
      </w:r>
      <w:r w:rsidRPr="001455DC">
        <w:t>or</w:t>
      </w:r>
    </w:p>
    <w:p w14:paraId="111FE7D8" w14:textId="119E4D8C" w:rsidR="004E22C1" w:rsidRPr="001455DC" w:rsidRDefault="004E22C1" w:rsidP="00B556B5">
      <w:pPr>
        <w:pStyle w:val="a0"/>
      </w:pPr>
      <w:r w:rsidRPr="001455DC">
        <w:t xml:space="preserve">explicit method using </w:t>
      </w:r>
      <w:r w:rsidRPr="001455DC">
        <w:rPr>
          <w:rStyle w:val="CCMCvariableitalic"/>
        </w:rPr>
        <w:t>Palmgren-Miner</w:t>
      </w:r>
      <w:r w:rsidRPr="001455DC">
        <w:t xml:space="preserve"> Rule in E.</w:t>
      </w:r>
      <w:r w:rsidR="000903D6" w:rsidRPr="001455DC">
        <w:t>5</w:t>
      </w:r>
      <w:r w:rsidRPr="001455DC">
        <w:t>.</w:t>
      </w:r>
    </w:p>
    <w:p w14:paraId="100DF588" w14:textId="5017CA73" w:rsidR="004E22C1" w:rsidRPr="001455DC" w:rsidRDefault="004E22C1" w:rsidP="006D682B">
      <w:pPr>
        <w:pStyle w:val="21"/>
      </w:pPr>
      <w:bookmarkStart w:id="748" w:name="_Toc52820019"/>
      <w:bookmarkStart w:id="749" w:name="_Toc54337415"/>
      <w:bookmarkStart w:id="750" w:name="_Toc54338076"/>
      <w:bookmarkStart w:id="751" w:name="_Toc67565420"/>
      <w:r w:rsidRPr="001455DC">
        <w:t>Combination of actions</w:t>
      </w:r>
      <w:bookmarkEnd w:id="748"/>
      <w:bookmarkEnd w:id="749"/>
      <w:bookmarkEnd w:id="750"/>
      <w:bookmarkEnd w:id="751"/>
    </w:p>
    <w:p w14:paraId="75E9971D" w14:textId="4AE63558" w:rsidR="00B556B5" w:rsidRPr="001455DC" w:rsidRDefault="004E22C1" w:rsidP="00B556B5">
      <w:pPr>
        <w:pStyle w:val="a7"/>
      </w:pPr>
      <w:r w:rsidRPr="001455DC">
        <w:t>(1)</w:t>
      </w:r>
      <w:r w:rsidRPr="001455DC">
        <w:tab/>
        <w:t xml:space="preserve">The fatigue-inducing cyclic action shall be combined with other actions according to </w:t>
      </w:r>
      <w:r w:rsidR="00DF00C7">
        <w:t>pr</w:t>
      </w:r>
      <w:r w:rsidRPr="001455DC">
        <w:t>EN 1990:</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B556B5" w:rsidRPr="001455DC" w14:paraId="4B29D4C5" w14:textId="77777777" w:rsidTr="00B556B5">
        <w:trPr>
          <w:cantSplit/>
        </w:trPr>
        <w:tc>
          <w:tcPr>
            <w:tcW w:w="8505" w:type="dxa"/>
            <w:vAlign w:val="center"/>
          </w:tcPr>
          <w:p w14:paraId="1D571A0A" w14:textId="2C739E3F" w:rsidR="00B556B5" w:rsidRPr="001455DC" w:rsidRDefault="00231E33">
            <w:pPr>
              <w:pStyle w:val="Formula"/>
              <w:jc w:val="left"/>
            </w:pPr>
            <m:oMathPara>
              <m:oMathParaPr>
                <m:jc m:val="left"/>
              </m:oMathPara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F</m:t>
                        </m:r>
                      </m:e>
                      <m:sub>
                        <m:r>
                          <w:rPr>
                            <w:rFonts w:ascii="Cambria Math" w:hAnsi="Cambria Math"/>
                          </w:rPr>
                          <m:t>d</m:t>
                        </m:r>
                      </m:sub>
                    </m:sSub>
                  </m:e>
                </m:nary>
                <m:r>
                  <w:rPr>
                    <w:rFonts w:ascii="Cambria Math" w:hAnsi="Cambria Math"/>
                  </w:rPr>
                  <m:t>=</m:t>
                </m:r>
                <m:nary>
                  <m:naryPr>
                    <m:chr m:val="∑"/>
                    <m:limLoc m:val="undOvr"/>
                    <m:grow m:val="1"/>
                    <m:supHide m:val="1"/>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G</m:t>
                        </m:r>
                      </m:e>
                      <m:sub>
                        <m:r>
                          <m:rPr>
                            <m:sty m:val="p"/>
                          </m:rPr>
                          <w:rPr>
                            <w:rFonts w:ascii="Cambria Math" w:hAnsi="Cambria Math"/>
                          </w:rPr>
                          <m:t>k,i</m:t>
                        </m:r>
                      </m:sub>
                    </m:sSub>
                  </m:e>
                </m:nary>
                <m:r>
                  <w:rPr>
                    <w:rFonts w:ascii="Cambria Math" w:hAnsi="Cambria Math"/>
                  </w:rPr>
                  <m:t xml:space="preserve"> </m:t>
                </m:r>
                <m:r>
                  <m:rPr>
                    <m:nor/>
                  </m:rPr>
                  <w:rPr>
                    <w:rFonts w:ascii="Cambria Math" w:eastAsia="Symbol" w:hAnsi="Cambria Math" w:cs="Symbol"/>
                  </w:rPr>
                  <m:t xml:space="preserve">+ </m:t>
                </m:r>
                <m:nary>
                  <m:naryPr>
                    <m:chr m:val="∑"/>
                    <m:limLoc m:val="undOvr"/>
                    <m:grow m:val="1"/>
                    <m:supHide m:val="1"/>
                    <m:ctrlPr>
                      <w:rPr>
                        <w:rFonts w:ascii="Cambria Math" w:hAnsi="Cambria Math"/>
                      </w:rPr>
                    </m:ctrlPr>
                  </m:naryPr>
                  <m:sub>
                    <m:r>
                      <w:rPr>
                        <w:rFonts w:ascii="Cambria Math" w:hAnsi="Cambria Math"/>
                      </w:rPr>
                      <m:t>j</m:t>
                    </m:r>
                  </m:sub>
                  <m:sup/>
                  <m:e>
                    <m:sSub>
                      <m:sSubPr>
                        <m:ctrlPr>
                          <w:rPr>
                            <w:rFonts w:ascii="Cambria Math" w:hAnsi="Cambria Math"/>
                          </w:rPr>
                        </m:ctrlPr>
                      </m:sSubPr>
                      <m:e>
                        <m:r>
                          <w:rPr>
                            <w:rFonts w:ascii="Cambria Math" w:hAnsi="Cambria Math"/>
                          </w:rPr>
                          <m:t>ψ</m:t>
                        </m:r>
                      </m:e>
                      <m:sub>
                        <m:r>
                          <w:rPr>
                            <w:rFonts w:ascii="Cambria Math" w:hAnsi="Cambria Math"/>
                          </w:rPr>
                          <m:t>2</m:t>
                        </m:r>
                        <m:r>
                          <m:rPr>
                            <m:sty m:val="p"/>
                          </m:rPr>
                          <w:rPr>
                            <w:rFonts w:ascii="Cambria Math" w:hAnsi="Cambria Math"/>
                          </w:rPr>
                          <m:t>,j</m:t>
                        </m:r>
                      </m:sub>
                    </m:sSub>
                  </m:e>
                </m:nary>
                <m:sSub>
                  <m:sSubPr>
                    <m:ctrlPr>
                      <w:rPr>
                        <w:rFonts w:ascii="Cambria Math" w:hAnsi="Cambria Math"/>
                      </w:rPr>
                    </m:ctrlPr>
                  </m:sSubPr>
                  <m:e>
                    <m:r>
                      <w:rPr>
                        <w:rFonts w:ascii="Cambria Math" w:hAnsi="Cambria Math"/>
                      </w:rPr>
                      <m:t>Q</m:t>
                    </m:r>
                  </m:e>
                  <m:sub>
                    <m:r>
                      <m:rPr>
                        <m:sty m:val="p"/>
                      </m:rPr>
                      <w:rPr>
                        <w:rFonts w:ascii="Cambria Math" w:hAnsi="Cambria Math"/>
                      </w:rPr>
                      <m:t>k,j</m:t>
                    </m:r>
                  </m:sub>
                </m:sSub>
                <m:r>
                  <w:rPr>
                    <w:rFonts w:ascii="Cambria Math" w:hAnsi="Cambria Math"/>
                  </w:rPr>
                  <m:t xml:space="preserve"> </m:t>
                </m:r>
                <m:r>
                  <m:rPr>
                    <m:nor/>
                  </m:rPr>
                  <w:rPr>
                    <w:rFonts w:ascii="Cambria Math" w:eastAsia="Symbol" w:hAnsi="Cambria Math" w:cs="Symbol"/>
                  </w:rPr>
                  <m:t>+</m:t>
                </m:r>
                <m:d>
                  <m:dPr>
                    <m:ctrlPr>
                      <w:rPr>
                        <w:rFonts w:ascii="Cambria Math" w:eastAsia="Symbol" w:hAnsi="Cambria Math" w:cs="Symbol"/>
                        <w:i/>
                      </w:rPr>
                    </m:ctrlPr>
                  </m:dPr>
                  <m:e>
                    <m:sSub>
                      <m:sSubPr>
                        <m:ctrlPr>
                          <w:rPr>
                            <w:rFonts w:ascii="Cambria Math" w:eastAsia="Symbol" w:hAnsi="Cambria Math" w:cs="Symbol"/>
                            <w:i/>
                          </w:rPr>
                        </m:ctrlPr>
                      </m:sSubPr>
                      <m:e>
                        <m:r>
                          <w:rPr>
                            <w:rFonts w:ascii="Cambria Math" w:eastAsia="Symbol" w:hAnsi="Cambria Math" w:cs="Symbol"/>
                          </w:rPr>
                          <m:t>P</m:t>
                        </m:r>
                      </m:e>
                      <m:sub>
                        <m:r>
                          <w:rPr>
                            <w:rFonts w:ascii="Cambria Math" w:eastAsia="Symbol" w:hAnsi="Cambria Math" w:cs="Symbol"/>
                          </w:rPr>
                          <m:t>k</m:t>
                        </m:r>
                      </m:sub>
                    </m:sSub>
                  </m:e>
                </m:d>
                <m:r>
                  <m:rPr>
                    <m:nor/>
                  </m:rPr>
                  <w:rPr>
                    <w:rFonts w:ascii="Cambria Math" w:eastAsia="Symbol" w:hAnsi="Cambria Math" w:cs="Symbol"/>
                  </w:rPr>
                  <m:t xml:space="preserve">+ </m:t>
                </m:r>
                <m:sSub>
                  <m:sSubPr>
                    <m:ctrlPr>
                      <w:rPr>
                        <w:rFonts w:ascii="Cambria Math" w:hAnsi="Cambria Math"/>
                      </w:rPr>
                    </m:ctrlPr>
                  </m:sSubPr>
                  <m:e>
                    <m:r>
                      <w:rPr>
                        <w:rFonts w:ascii="Cambria Math" w:hAnsi="Cambria Math"/>
                      </w:rPr>
                      <m:t>Q</m:t>
                    </m:r>
                  </m:e>
                  <m:sub>
                    <m:r>
                      <m:rPr>
                        <m:sty m:val="p"/>
                      </m:rPr>
                      <w:rPr>
                        <w:rFonts w:ascii="Cambria Math" w:hAnsi="Cambria Math"/>
                      </w:rPr>
                      <m:t>fat</m:t>
                    </m:r>
                  </m:sub>
                </m:sSub>
              </m:oMath>
            </m:oMathPara>
          </w:p>
        </w:tc>
        <w:tc>
          <w:tcPr>
            <w:tcW w:w="1247" w:type="dxa"/>
            <w:vAlign w:val="center"/>
          </w:tcPr>
          <w:p w14:paraId="318EB7B1" w14:textId="5275C922" w:rsidR="00B556B5" w:rsidRPr="001455DC" w:rsidRDefault="00B556B5" w:rsidP="00B556B5">
            <w:pPr>
              <w:pStyle w:val="a7"/>
              <w:jc w:val="right"/>
            </w:pPr>
            <w:r w:rsidRPr="001455DC">
              <w:t>(10.1)</w:t>
            </w:r>
          </w:p>
        </w:tc>
      </w:tr>
    </w:tbl>
    <w:p w14:paraId="21033842" w14:textId="0D81AFE3" w:rsidR="004E22C1" w:rsidRPr="001455DC" w:rsidRDefault="004E22C1" w:rsidP="00B556B5">
      <w:pPr>
        <w:pStyle w:val="Note"/>
      </w:pPr>
      <w:r w:rsidRPr="001455DC">
        <w:rPr>
          <w:bCs/>
        </w:rPr>
        <w:t>NOTE</w:t>
      </w:r>
      <w:r w:rsidRPr="001455DC">
        <w:rPr>
          <w:bCs/>
        </w:rPr>
        <w:tab/>
      </w:r>
      <w:r w:rsidRPr="001455DC">
        <w:rPr>
          <w:rStyle w:val="CCMCvariableitalic"/>
        </w:rPr>
        <w:t>Q</w:t>
      </w:r>
      <w:r w:rsidRPr="001455DC">
        <w:rPr>
          <w:rStyle w:val="CCMCvariablesubscript"/>
        </w:rPr>
        <w:t>k,i</w:t>
      </w:r>
      <w:r w:rsidRPr="001455DC">
        <w:t xml:space="preserve"> are non-cyclic, non-permanent actions</w:t>
      </w:r>
      <w:r w:rsidR="00395994" w:rsidRPr="001455DC">
        <w:t>,</w:t>
      </w:r>
      <w:r w:rsidR="00395994" w:rsidRPr="009D3012">
        <w:rPr>
          <w:rFonts w:cs="Arial"/>
        </w:rPr>
        <w:t xml:space="preserve"> these should include temperature </w:t>
      </w:r>
      <w:r w:rsidR="00395994" w:rsidRPr="009D3012">
        <w:rPr>
          <w:rFonts w:cs="Arial"/>
          <w:i/>
          <w:iCs/>
        </w:rPr>
        <w:t>Q</w:t>
      </w:r>
      <w:r w:rsidR="00395994" w:rsidRPr="009D3012">
        <w:rPr>
          <w:rFonts w:cs="Arial"/>
          <w:vertAlign w:val="subscript"/>
        </w:rPr>
        <w:t xml:space="preserve">k,temp </w:t>
      </w:r>
      <w:r w:rsidR="00395994" w:rsidRPr="009D3012">
        <w:rPr>
          <w:rFonts w:cs="Arial"/>
        </w:rPr>
        <w:t>to determine whether cracked or uncracked sections should be considered</w:t>
      </w:r>
      <w:r w:rsidR="00395994" w:rsidRPr="001455DC">
        <w:t>.</w:t>
      </w:r>
      <w:r w:rsidRPr="001455DC">
        <w:t xml:space="preserve"> </w:t>
      </w:r>
      <w:r w:rsidRPr="001455DC">
        <w:rPr>
          <w:rStyle w:val="CCMCvariableitalic"/>
        </w:rPr>
        <w:t>Q</w:t>
      </w:r>
      <w:r w:rsidRPr="001455DC">
        <w:rPr>
          <w:rStyle w:val="CCMCvariablesubscript"/>
        </w:rPr>
        <w:t>fat</w:t>
      </w:r>
      <w:r w:rsidRPr="001455DC">
        <w:t xml:space="preserve"> is the relevant fatigue load (e.g. traffic load or other cyclic load) as defined in </w:t>
      </w:r>
      <w:r w:rsidR="00C54E80">
        <w:t>pr</w:t>
      </w:r>
      <w:r w:rsidRPr="001455DC">
        <w:t xml:space="preserve">EN 1991. </w:t>
      </w:r>
    </w:p>
    <w:p w14:paraId="01DA0906" w14:textId="453D2486" w:rsidR="004E22C1" w:rsidRPr="001455DC" w:rsidRDefault="004E22C1" w:rsidP="00B556B5">
      <w:pPr>
        <w:pStyle w:val="a7"/>
      </w:pPr>
      <w:r w:rsidRPr="001455DC">
        <w:t>(2)</w:t>
      </w:r>
      <w:r w:rsidRPr="001455DC">
        <w:tab/>
        <w:t xml:space="preserve">For the verification according to 10.4 to 10.6, </w:t>
      </w:r>
      <w:r w:rsidRPr="001455DC">
        <w:rPr>
          <w:rStyle w:val="CCMCvariableitalic"/>
        </w:rPr>
        <w:t>Q</w:t>
      </w:r>
      <w:r w:rsidRPr="001455DC">
        <w:rPr>
          <w:rStyle w:val="CCMCvariablesubscript"/>
        </w:rPr>
        <w:t>fat</w:t>
      </w:r>
      <w:r w:rsidRPr="001455DC">
        <w:t xml:space="preserve"> should be taken as the frequent fatigue load as defined in </w:t>
      </w:r>
      <w:r w:rsidR="00350C7E">
        <w:t>pr</w:t>
      </w:r>
      <w:r w:rsidRPr="001455DC">
        <w:t xml:space="preserve">EN 1991. For road bridges, </w:t>
      </w:r>
      <w:r w:rsidRPr="001455DC">
        <w:rPr>
          <w:rStyle w:val="CCMCvariableitalic"/>
        </w:rPr>
        <w:t>Q</w:t>
      </w:r>
      <w:r w:rsidRPr="001455DC">
        <w:rPr>
          <w:rStyle w:val="CCMCvariablesubscript"/>
        </w:rPr>
        <w:t>fat</w:t>
      </w:r>
      <w:r w:rsidRPr="001455DC">
        <w:t xml:space="preserve"> should be taken as the frequent fatigue load of load model 1 according to </w:t>
      </w:r>
      <w:r w:rsidR="00350C7E">
        <w:t>pr</w:t>
      </w:r>
      <w:r w:rsidRPr="001455DC">
        <w:t>EN 1991</w:t>
      </w:r>
      <w:r w:rsidRPr="001455DC">
        <w:noBreakHyphen/>
        <w:t xml:space="preserve">2. For railway bridges, </w:t>
      </w:r>
      <w:r w:rsidRPr="001455DC">
        <w:rPr>
          <w:rStyle w:val="CCMCvariableitalic"/>
        </w:rPr>
        <w:t>Q</w:t>
      </w:r>
      <w:r w:rsidRPr="001455DC">
        <w:rPr>
          <w:rStyle w:val="CCMCvariablesubscript"/>
        </w:rPr>
        <w:t>fat</w:t>
      </w:r>
      <w:r w:rsidRPr="001455DC">
        <w:t xml:space="preserve"> should be taken as the frequent fatigue load of load model 71 according to </w:t>
      </w:r>
      <w:r w:rsidR="00350C7E">
        <w:t>pr</w:t>
      </w:r>
      <w:r w:rsidRPr="001455DC">
        <w:t>EN 1991</w:t>
      </w:r>
      <w:r w:rsidRPr="001455DC">
        <w:noBreakHyphen/>
        <w:t>2.</w:t>
      </w:r>
    </w:p>
    <w:p w14:paraId="2498EA1F" w14:textId="43210164" w:rsidR="004E22C1" w:rsidRPr="001455DC" w:rsidRDefault="004E22C1" w:rsidP="006D682B">
      <w:pPr>
        <w:pStyle w:val="21"/>
      </w:pPr>
      <w:bookmarkStart w:id="752" w:name="_Toc52820020"/>
      <w:bookmarkStart w:id="753" w:name="_Toc54337416"/>
      <w:bookmarkStart w:id="754" w:name="_Toc54338077"/>
      <w:bookmarkStart w:id="755" w:name="_Toc67565421"/>
      <w:r w:rsidRPr="001455DC">
        <w:t>Internal forces and stresses for fatigue verification</w:t>
      </w:r>
      <w:bookmarkEnd w:id="752"/>
      <w:bookmarkEnd w:id="753"/>
      <w:bookmarkEnd w:id="754"/>
      <w:bookmarkEnd w:id="755"/>
    </w:p>
    <w:p w14:paraId="195A70EC" w14:textId="77777777" w:rsidR="004E22C1" w:rsidRPr="001455DC" w:rsidRDefault="004E22C1" w:rsidP="00B556B5">
      <w:pPr>
        <w:pStyle w:val="a7"/>
      </w:pPr>
      <w:r w:rsidRPr="001455DC">
        <w:t>(1)</w:t>
      </w:r>
      <w:r w:rsidRPr="001455DC">
        <w:tab/>
        <w:t>When determining forces and stresses of the reinforcement, the tensile strength of concrete shall be ignored and a linear stress-strain relationship for concrete under compression shall be used, satisfying compatibility of strains of the two materials.</w:t>
      </w:r>
    </w:p>
    <w:p w14:paraId="55223375" w14:textId="77777777" w:rsidR="00B556B5" w:rsidRPr="001455DC" w:rsidRDefault="004E22C1" w:rsidP="00E844D2">
      <w:pPr>
        <w:pStyle w:val="a7"/>
        <w:keepNext/>
      </w:pPr>
      <w:r w:rsidRPr="001455DC">
        <w:t>(2)</w:t>
      </w:r>
      <w:r w:rsidRPr="001455DC">
        <w:tab/>
        <w:t xml:space="preserve">The effect of different bond behaviour of prestressing and reinforcing steel shall be taken into account. This may be done by calculating the steel stress range with an equivalent area of reinforcement for the prestressing tendons considering the ratio of bond stress </w:t>
      </w:r>
      <w:r w:rsidRPr="001455DC">
        <w:rPr>
          <w:rStyle w:val="CCMCvariableitalic"/>
        </w:rPr>
        <w:t>ξ</w:t>
      </w:r>
      <w:r w:rsidRPr="001455DC">
        <w:t>:</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B556B5" w:rsidRPr="001455DC" w14:paraId="2B2838A8" w14:textId="77777777" w:rsidTr="00B556B5">
        <w:trPr>
          <w:cantSplit/>
        </w:trPr>
        <w:tc>
          <w:tcPr>
            <w:tcW w:w="8505" w:type="dxa"/>
            <w:vAlign w:val="center"/>
          </w:tcPr>
          <w:p w14:paraId="1C1CE573" w14:textId="63F1121C" w:rsidR="00B556B5" w:rsidRPr="001455DC" w:rsidRDefault="00231E33" w:rsidP="00B556B5">
            <w:pPr>
              <w:pStyle w:val="Formula"/>
              <w:jc w:val="left"/>
            </w:pPr>
            <m:oMathPara>
              <m:oMathParaPr>
                <m:jc m:val="left"/>
              </m:oMathParaPr>
              <m:oMath>
                <m:sSub>
                  <m:sSubPr>
                    <m:ctrlPr>
                      <w:rPr>
                        <w:rFonts w:ascii="Cambria Math" w:hAnsi="Cambria Math"/>
                      </w:rPr>
                    </m:ctrlPr>
                  </m:sSubPr>
                  <m:e>
                    <m:r>
                      <w:rPr>
                        <w:rFonts w:ascii="Cambria Math" w:hAnsi="Cambria Math"/>
                      </w:rPr>
                      <m:t>A</m:t>
                    </m:r>
                  </m:e>
                  <m:sub>
                    <m:r>
                      <m:rPr>
                        <m:sty m:val="p"/>
                      </m:rPr>
                      <w:rPr>
                        <w:rFonts w:ascii="Cambria Math" w:hAnsi="Cambria Math"/>
                      </w:rPr>
                      <m:t>e</m:t>
                    </m:r>
                  </m:sub>
                </m:sSub>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p</m:t>
                    </m:r>
                    <m:r>
                      <w:rPr>
                        <w:rFonts w:ascii="Cambria Math" w:hAnsi="Cambria Math"/>
                      </w:rPr>
                      <m:t xml:space="preserve"> </m:t>
                    </m:r>
                  </m:sub>
                </m:sSub>
                <m:rad>
                  <m:radPr>
                    <m:degHide m:val="1"/>
                    <m:ctrlPr>
                      <w:rPr>
                        <w:rFonts w:ascii="Cambria Math" w:hAnsi="Cambria Math"/>
                      </w:rPr>
                    </m:ctrlPr>
                  </m:radPr>
                  <m:deg/>
                  <m:e>
                    <m:r>
                      <w:rPr>
                        <w:rFonts w:ascii="Cambria Math" w:hAnsi="Cambria Math"/>
                      </w:rPr>
                      <m:t>ξ</m:t>
                    </m:r>
                    <m:f>
                      <m:fPr>
                        <m:ctrlPr>
                          <w:rPr>
                            <w:rFonts w:ascii="Cambria Math" w:hAnsi="Cambria Math"/>
                          </w:rPr>
                        </m:ctrlPr>
                      </m:fPr>
                      <m:num>
                        <m:r>
                          <w:rPr>
                            <w:rFonts w:ascii="Cambria Math" w:hAnsi="Cambria Math"/>
                          </w:rPr>
                          <m:t>ϕ</m:t>
                        </m:r>
                      </m:num>
                      <m:den>
                        <m:sSub>
                          <m:sSubPr>
                            <m:ctrlPr>
                              <w:rPr>
                                <w:rFonts w:ascii="Cambria Math" w:hAnsi="Cambria Math"/>
                              </w:rPr>
                            </m:ctrlPr>
                          </m:sSubPr>
                          <m:e>
                            <m:r>
                              <w:rPr>
                                <w:rFonts w:ascii="Cambria Math" w:hAnsi="Cambria Math"/>
                              </w:rPr>
                              <m:t>ϕ</m:t>
                            </m:r>
                          </m:e>
                          <m:sub>
                            <m:r>
                              <m:rPr>
                                <m:sty m:val="p"/>
                              </m:rPr>
                              <w:rPr>
                                <w:rFonts w:ascii="Cambria Math" w:hAnsi="Cambria Math"/>
                              </w:rPr>
                              <m:t>p</m:t>
                            </m:r>
                          </m:sub>
                        </m:sSub>
                      </m:den>
                    </m:f>
                  </m:e>
                </m:rad>
              </m:oMath>
            </m:oMathPara>
          </w:p>
        </w:tc>
        <w:tc>
          <w:tcPr>
            <w:tcW w:w="1247" w:type="dxa"/>
            <w:vAlign w:val="center"/>
          </w:tcPr>
          <w:p w14:paraId="1B9B2D5E" w14:textId="7E037901" w:rsidR="00B556B5" w:rsidRPr="001455DC" w:rsidRDefault="000261DB" w:rsidP="00B556B5">
            <w:pPr>
              <w:pStyle w:val="a7"/>
              <w:jc w:val="right"/>
            </w:pPr>
            <w:r w:rsidRPr="001455DC">
              <w:t>(10.2)</w:t>
            </w:r>
          </w:p>
        </w:tc>
      </w:tr>
    </w:tbl>
    <w:p w14:paraId="7C180D95" w14:textId="77777777" w:rsidR="000261DB" w:rsidRPr="001455DC" w:rsidRDefault="000261DB"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1701"/>
        <w:gridCol w:w="7144"/>
      </w:tblGrid>
      <w:tr w:rsidR="000261DB" w:rsidRPr="001455DC" w14:paraId="501EB131" w14:textId="77777777" w:rsidTr="000261DB">
        <w:trPr>
          <w:cantSplit/>
        </w:trPr>
        <w:tc>
          <w:tcPr>
            <w:tcW w:w="567" w:type="dxa"/>
          </w:tcPr>
          <w:p w14:paraId="41CDF79A" w14:textId="048FE16A" w:rsidR="000261DB" w:rsidRPr="001455DC" w:rsidRDefault="000261DB" w:rsidP="0000442A">
            <w:pPr>
              <w:pStyle w:val="Tablebody"/>
            </w:pPr>
            <w:r w:rsidRPr="001455DC">
              <w:rPr>
                <w:rStyle w:val="CCMCvariableitalic"/>
              </w:rPr>
              <w:t>A</w:t>
            </w:r>
            <w:r w:rsidRPr="001455DC">
              <w:rPr>
                <w:rStyle w:val="CCMCvariablesubscript"/>
              </w:rPr>
              <w:t>e</w:t>
            </w:r>
          </w:p>
        </w:tc>
        <w:tc>
          <w:tcPr>
            <w:tcW w:w="8845" w:type="dxa"/>
            <w:gridSpan w:val="2"/>
          </w:tcPr>
          <w:p w14:paraId="15A0AD22" w14:textId="73B75CAB" w:rsidR="000261DB" w:rsidRPr="001455DC" w:rsidRDefault="000261DB" w:rsidP="00BB1209">
            <w:pPr>
              <w:pStyle w:val="Tablebody"/>
            </w:pPr>
            <w:r w:rsidRPr="001455DC">
              <w:t>is the equivalent area of reinforcement;</w:t>
            </w:r>
          </w:p>
        </w:tc>
      </w:tr>
      <w:tr w:rsidR="000261DB" w:rsidRPr="001455DC" w14:paraId="4277C533" w14:textId="77777777" w:rsidTr="000261DB">
        <w:trPr>
          <w:cantSplit/>
        </w:trPr>
        <w:tc>
          <w:tcPr>
            <w:tcW w:w="567" w:type="dxa"/>
          </w:tcPr>
          <w:p w14:paraId="44807559" w14:textId="07090E00" w:rsidR="000261DB" w:rsidRPr="001455DC" w:rsidRDefault="000261DB" w:rsidP="0000442A">
            <w:pPr>
              <w:pStyle w:val="Tablebody"/>
            </w:pPr>
            <w:r w:rsidRPr="001455DC">
              <w:rPr>
                <w:rStyle w:val="CCMCvariableitalic"/>
              </w:rPr>
              <w:t>A</w:t>
            </w:r>
            <w:r w:rsidRPr="001455DC">
              <w:rPr>
                <w:rStyle w:val="CCMCvariablesubscript"/>
              </w:rPr>
              <w:t>p</w:t>
            </w:r>
          </w:p>
        </w:tc>
        <w:tc>
          <w:tcPr>
            <w:tcW w:w="8845" w:type="dxa"/>
            <w:gridSpan w:val="2"/>
          </w:tcPr>
          <w:p w14:paraId="0F22BB4A" w14:textId="5896753E" w:rsidR="000261DB" w:rsidRPr="001455DC" w:rsidRDefault="000261DB" w:rsidP="0000442A">
            <w:pPr>
              <w:pStyle w:val="Tablebody"/>
            </w:pPr>
            <w:r w:rsidRPr="001455DC">
              <w:t>is the area of prestressing tendon or tendons;</w:t>
            </w:r>
          </w:p>
        </w:tc>
      </w:tr>
      <w:tr w:rsidR="000261DB" w:rsidRPr="001455DC" w14:paraId="4B413A6F" w14:textId="77777777" w:rsidTr="000261DB">
        <w:trPr>
          <w:cantSplit/>
        </w:trPr>
        <w:tc>
          <w:tcPr>
            <w:tcW w:w="567" w:type="dxa"/>
          </w:tcPr>
          <w:p w14:paraId="07D4FBAA" w14:textId="654A9AAD" w:rsidR="000261DB" w:rsidRPr="001455DC" w:rsidRDefault="000261DB" w:rsidP="00D86695">
            <w:pPr>
              <w:pStyle w:val="Tablebody"/>
            </w:pPr>
            <w:r w:rsidRPr="001455DC">
              <w:rPr>
                <w:rStyle w:val="CCMCvariableitalic"/>
              </w:rPr>
              <w:t>ϕ</w:t>
            </w:r>
          </w:p>
        </w:tc>
        <w:tc>
          <w:tcPr>
            <w:tcW w:w="8845" w:type="dxa"/>
            <w:gridSpan w:val="2"/>
          </w:tcPr>
          <w:p w14:paraId="10C75CD6" w14:textId="70AB4940" w:rsidR="000261DB" w:rsidRPr="001455DC" w:rsidRDefault="000261DB" w:rsidP="00D86695">
            <w:pPr>
              <w:pStyle w:val="Tablebody"/>
            </w:pPr>
            <w:r w:rsidRPr="001455DC">
              <w:t>is the largest diameter of reinforcing steel;</w:t>
            </w:r>
          </w:p>
        </w:tc>
      </w:tr>
      <w:tr w:rsidR="000261DB" w:rsidRPr="001455DC" w14:paraId="25783E70" w14:textId="77777777" w:rsidTr="000261DB">
        <w:trPr>
          <w:cantSplit/>
        </w:trPr>
        <w:tc>
          <w:tcPr>
            <w:tcW w:w="567" w:type="dxa"/>
          </w:tcPr>
          <w:p w14:paraId="17AF68A2" w14:textId="78B0F710" w:rsidR="000261DB" w:rsidRPr="001455DC" w:rsidRDefault="000261DB" w:rsidP="00D86695">
            <w:pPr>
              <w:pStyle w:val="Tablebody"/>
            </w:pPr>
            <w:r w:rsidRPr="001455DC">
              <w:rPr>
                <w:rStyle w:val="CCMCvariableitalic"/>
              </w:rPr>
              <w:t>ϕ</w:t>
            </w:r>
            <w:r w:rsidRPr="001455DC">
              <w:rPr>
                <w:rStyle w:val="CCMCvariablesubscript"/>
              </w:rPr>
              <w:t>p</w:t>
            </w:r>
          </w:p>
        </w:tc>
        <w:tc>
          <w:tcPr>
            <w:tcW w:w="8845" w:type="dxa"/>
            <w:gridSpan w:val="2"/>
          </w:tcPr>
          <w:p w14:paraId="3F4DC480" w14:textId="482629CC" w:rsidR="000261DB" w:rsidRPr="001455DC" w:rsidRDefault="000261DB" w:rsidP="00D86695">
            <w:pPr>
              <w:pStyle w:val="Tablebody"/>
            </w:pPr>
            <w:r w:rsidRPr="001455DC">
              <w:t xml:space="preserve">is the diameter or equivalent diameter </w:t>
            </w:r>
            <w:r w:rsidR="00A41B8D" w:rsidRPr="001455DC">
              <w:rPr>
                <w:rStyle w:val="CCMCvariableitalic"/>
              </w:rPr>
              <w:t>ϕ</w:t>
            </w:r>
            <w:r w:rsidR="00A41B8D" w:rsidRPr="001455DC">
              <w:rPr>
                <w:rStyle w:val="CCMCvariablesubscript"/>
              </w:rPr>
              <w:t>p,eq</w:t>
            </w:r>
            <w:r w:rsidR="00A41B8D" w:rsidRPr="001455DC">
              <w:t xml:space="preserve"> </w:t>
            </w:r>
            <w:r w:rsidRPr="001455DC">
              <w:t>of prestressing steel:</w:t>
            </w:r>
          </w:p>
        </w:tc>
      </w:tr>
      <w:tr w:rsidR="000261DB" w:rsidRPr="001455DC" w14:paraId="51584A83" w14:textId="77777777" w:rsidTr="00716538">
        <w:trPr>
          <w:cantSplit/>
        </w:trPr>
        <w:tc>
          <w:tcPr>
            <w:tcW w:w="567" w:type="dxa"/>
          </w:tcPr>
          <w:p w14:paraId="67469BFA" w14:textId="65F66FC9" w:rsidR="000261DB" w:rsidRPr="001455DC" w:rsidRDefault="000261DB" w:rsidP="00D86695">
            <w:pPr>
              <w:pStyle w:val="Tablebody"/>
            </w:pPr>
            <w:r w:rsidRPr="001455DC">
              <w:t> </w:t>
            </w:r>
          </w:p>
        </w:tc>
        <w:tc>
          <w:tcPr>
            <w:tcW w:w="1701" w:type="dxa"/>
            <w:vAlign w:val="center"/>
          </w:tcPr>
          <w:p w14:paraId="2E7B9C55" w14:textId="52F7C498" w:rsidR="000261DB" w:rsidRPr="001455DC" w:rsidRDefault="000261DB" w:rsidP="00716538">
            <w:pPr>
              <w:pStyle w:val="Tablebody"/>
              <w:jc w:val="left"/>
            </w:pPr>
            <w:r w:rsidRPr="001455DC">
              <w:rPr>
                <w:rStyle w:val="CCMCvariableitalic"/>
              </w:rPr>
              <w:t>ϕ</w:t>
            </w:r>
            <w:r w:rsidRPr="001455DC">
              <w:rPr>
                <w:rStyle w:val="CCMCvariablesubscript"/>
              </w:rPr>
              <w:t>p</w:t>
            </w:r>
            <w:r w:rsidR="00A41B8D" w:rsidRPr="001455DC">
              <w:rPr>
                <w:rStyle w:val="CCMCvariablesubscript"/>
              </w:rPr>
              <w:t>,eq</w:t>
            </w:r>
            <w:r w:rsidRPr="001455DC">
              <w:t> </w:t>
            </w:r>
            <w:r w:rsidR="00EC27D2" w:rsidRPr="001455DC">
              <w:rPr>
                <w:rFonts w:ascii="Cambria Math" w:hAnsi="Cambria Math"/>
              </w:rPr>
              <w:t>=</w:t>
            </w:r>
            <w:r w:rsidRPr="001455DC">
              <w:t> 1,60</w:t>
            </w:r>
            <m:oMath>
              <m:rad>
                <m:radPr>
                  <m:degHide m:val="1"/>
                  <m:ctrlPr>
                    <w:rPr>
                      <w:rFonts w:ascii="Cambria Math" w:hAnsi="Cambria Math"/>
                    </w:rPr>
                  </m:ctrlPr>
                </m:radPr>
                <m:deg/>
                <m:e>
                  <m:sSub>
                    <m:sSubPr>
                      <m:ctrlPr>
                        <w:rPr>
                          <w:rFonts w:ascii="Cambria Math" w:hAnsi="Cambria Math"/>
                        </w:rPr>
                      </m:ctrlPr>
                    </m:sSubPr>
                    <m:e>
                      <m:r>
                        <w:rPr>
                          <w:rFonts w:ascii="Cambria Math" w:hAnsi="Cambria Math"/>
                        </w:rPr>
                        <m:t>A</m:t>
                      </m:r>
                    </m:e>
                    <m:sub>
                      <m:r>
                        <m:rPr>
                          <m:sty m:val="p"/>
                        </m:rPr>
                        <w:rPr>
                          <w:rFonts w:ascii="Cambria Math" w:hAnsi="Cambria Math"/>
                        </w:rPr>
                        <m:t>p</m:t>
                      </m:r>
                    </m:sub>
                  </m:sSub>
                </m:e>
              </m:rad>
            </m:oMath>
          </w:p>
        </w:tc>
        <w:tc>
          <w:tcPr>
            <w:tcW w:w="7144" w:type="dxa"/>
            <w:vAlign w:val="center"/>
          </w:tcPr>
          <w:p w14:paraId="1ADAA77E" w14:textId="09FF9E08" w:rsidR="000261DB" w:rsidRPr="001455DC" w:rsidRDefault="000261DB" w:rsidP="00716538">
            <w:pPr>
              <w:pStyle w:val="Tablebody"/>
              <w:jc w:val="left"/>
            </w:pPr>
            <w:r w:rsidRPr="001455DC">
              <w:t>for bundles,</w:t>
            </w:r>
          </w:p>
        </w:tc>
      </w:tr>
      <w:tr w:rsidR="000261DB" w:rsidRPr="001455DC" w14:paraId="47CA3608" w14:textId="77777777" w:rsidTr="00716538">
        <w:trPr>
          <w:cantSplit/>
        </w:trPr>
        <w:tc>
          <w:tcPr>
            <w:tcW w:w="567" w:type="dxa"/>
          </w:tcPr>
          <w:p w14:paraId="472B87BB" w14:textId="6E8261BC" w:rsidR="000261DB" w:rsidRPr="001455DC" w:rsidRDefault="000261DB" w:rsidP="00D86695">
            <w:pPr>
              <w:pStyle w:val="Tablebody"/>
            </w:pPr>
            <w:r w:rsidRPr="001455DC">
              <w:t> </w:t>
            </w:r>
          </w:p>
        </w:tc>
        <w:tc>
          <w:tcPr>
            <w:tcW w:w="1701" w:type="dxa"/>
            <w:vAlign w:val="center"/>
          </w:tcPr>
          <w:p w14:paraId="607C40A0" w14:textId="2AA3CC51" w:rsidR="000261DB" w:rsidRPr="001455DC" w:rsidRDefault="000261DB" w:rsidP="00716538">
            <w:pPr>
              <w:pStyle w:val="Tablebody"/>
              <w:jc w:val="left"/>
            </w:pPr>
            <w:r w:rsidRPr="001455DC">
              <w:rPr>
                <w:rStyle w:val="CCMCvariableitalic"/>
              </w:rPr>
              <w:t>ϕ</w:t>
            </w:r>
            <w:r w:rsidRPr="001455DC">
              <w:rPr>
                <w:rStyle w:val="CCMCvariablesubscript"/>
              </w:rPr>
              <w:t>p</w:t>
            </w:r>
            <w:r w:rsidR="00A41B8D" w:rsidRPr="001455DC">
              <w:rPr>
                <w:rStyle w:val="CCMCvariablesubscript"/>
              </w:rPr>
              <w:t>,eq</w:t>
            </w:r>
            <w:r w:rsidRPr="001455DC">
              <w:t> </w:t>
            </w:r>
            <w:r w:rsidR="00EC27D2" w:rsidRPr="001455DC">
              <w:rPr>
                <w:rFonts w:ascii="Cambria Math" w:hAnsi="Cambria Math"/>
              </w:rPr>
              <w:t>=</w:t>
            </w:r>
            <w:r w:rsidRPr="001455DC">
              <w:t> 1,75</w:t>
            </w:r>
            <w:r w:rsidRPr="001455DC">
              <w:rPr>
                <w:rStyle w:val="CCMCvariableitalic"/>
              </w:rPr>
              <w:t>ϕ</w:t>
            </w:r>
            <w:r w:rsidRPr="001455DC">
              <w:rPr>
                <w:rStyle w:val="CCMCvariablesubscript"/>
              </w:rPr>
              <w:t>wire</w:t>
            </w:r>
          </w:p>
        </w:tc>
        <w:tc>
          <w:tcPr>
            <w:tcW w:w="7144" w:type="dxa"/>
            <w:vAlign w:val="center"/>
          </w:tcPr>
          <w:p w14:paraId="6C02F051" w14:textId="2A00B374" w:rsidR="000261DB" w:rsidRPr="001455DC" w:rsidRDefault="000261DB" w:rsidP="00716538">
            <w:pPr>
              <w:pStyle w:val="Tablebody"/>
              <w:jc w:val="left"/>
            </w:pPr>
            <w:r w:rsidRPr="001455DC">
              <w:t>for single 7 wire strands,</w:t>
            </w:r>
          </w:p>
        </w:tc>
      </w:tr>
      <w:tr w:rsidR="000261DB" w:rsidRPr="001455DC" w14:paraId="3E03C26C" w14:textId="77777777" w:rsidTr="00716538">
        <w:trPr>
          <w:cantSplit/>
        </w:trPr>
        <w:tc>
          <w:tcPr>
            <w:tcW w:w="567" w:type="dxa"/>
          </w:tcPr>
          <w:p w14:paraId="1FC91C8A" w14:textId="6C2EF20B" w:rsidR="000261DB" w:rsidRPr="001455DC" w:rsidRDefault="000261DB" w:rsidP="00D86695">
            <w:pPr>
              <w:pStyle w:val="Tablebody"/>
            </w:pPr>
            <w:r w:rsidRPr="001455DC">
              <w:t> </w:t>
            </w:r>
          </w:p>
        </w:tc>
        <w:tc>
          <w:tcPr>
            <w:tcW w:w="1701" w:type="dxa"/>
            <w:vAlign w:val="center"/>
          </w:tcPr>
          <w:p w14:paraId="0930A6E2" w14:textId="14CDF1DE" w:rsidR="000261DB" w:rsidRPr="001455DC" w:rsidRDefault="000261DB" w:rsidP="00716538">
            <w:pPr>
              <w:pStyle w:val="Tablebody"/>
              <w:jc w:val="left"/>
            </w:pPr>
            <w:r w:rsidRPr="001455DC">
              <w:t xml:space="preserve">where </w:t>
            </w:r>
            <w:r w:rsidRPr="001455DC">
              <w:rPr>
                <w:rStyle w:val="CCMCvariableitalic"/>
              </w:rPr>
              <w:t>ϕ</w:t>
            </w:r>
            <w:r w:rsidRPr="001455DC">
              <w:rPr>
                <w:rStyle w:val="CCMCvariablesubscript"/>
              </w:rPr>
              <w:t>wire</w:t>
            </w:r>
          </w:p>
        </w:tc>
        <w:tc>
          <w:tcPr>
            <w:tcW w:w="7144" w:type="dxa"/>
            <w:vAlign w:val="center"/>
          </w:tcPr>
          <w:p w14:paraId="015892C8" w14:textId="3B0F6C03" w:rsidR="000261DB" w:rsidRPr="001455DC" w:rsidRDefault="000261DB" w:rsidP="00716538">
            <w:pPr>
              <w:pStyle w:val="Tablebody"/>
              <w:jc w:val="left"/>
            </w:pPr>
            <w:r w:rsidRPr="001455DC">
              <w:t>is the wire diameter,</w:t>
            </w:r>
          </w:p>
        </w:tc>
      </w:tr>
      <w:tr w:rsidR="000261DB" w:rsidRPr="001455DC" w14:paraId="398A6C4A" w14:textId="77777777" w:rsidTr="00716538">
        <w:trPr>
          <w:cantSplit/>
        </w:trPr>
        <w:tc>
          <w:tcPr>
            <w:tcW w:w="567" w:type="dxa"/>
          </w:tcPr>
          <w:p w14:paraId="3821ADC3" w14:textId="3ECA716C" w:rsidR="000261DB" w:rsidRPr="001455DC" w:rsidRDefault="000261DB" w:rsidP="00D86695">
            <w:pPr>
              <w:pStyle w:val="Tablebody"/>
            </w:pPr>
            <w:r w:rsidRPr="001455DC">
              <w:t> </w:t>
            </w:r>
          </w:p>
        </w:tc>
        <w:tc>
          <w:tcPr>
            <w:tcW w:w="1701" w:type="dxa"/>
            <w:vAlign w:val="center"/>
          </w:tcPr>
          <w:p w14:paraId="33539987" w14:textId="69CC44AF" w:rsidR="000261DB" w:rsidRPr="001455DC" w:rsidRDefault="000261DB" w:rsidP="00716538">
            <w:pPr>
              <w:pStyle w:val="Tablebody"/>
              <w:jc w:val="left"/>
            </w:pPr>
            <w:r w:rsidRPr="001455DC">
              <w:rPr>
                <w:rStyle w:val="CCMCvariableitalic"/>
              </w:rPr>
              <w:t>ϕ</w:t>
            </w:r>
            <w:r w:rsidRPr="001455DC">
              <w:rPr>
                <w:rStyle w:val="CCMCvariablesubscript"/>
              </w:rPr>
              <w:t>p</w:t>
            </w:r>
            <w:r w:rsidR="00A41B8D" w:rsidRPr="001455DC">
              <w:rPr>
                <w:rStyle w:val="CCMCvariablesubscript"/>
              </w:rPr>
              <w:t>,eq</w:t>
            </w:r>
            <w:r w:rsidRPr="001455DC">
              <w:t> </w:t>
            </w:r>
            <w:r w:rsidR="00EC27D2" w:rsidRPr="001455DC">
              <w:rPr>
                <w:rFonts w:ascii="Cambria Math" w:hAnsi="Cambria Math"/>
              </w:rPr>
              <w:t>=</w:t>
            </w:r>
            <w:r w:rsidRPr="001455DC">
              <w:t> 1,20</w:t>
            </w:r>
            <w:r w:rsidRPr="001455DC">
              <w:rPr>
                <w:rStyle w:val="CCMCvariableitalic"/>
              </w:rPr>
              <w:t>ϕ</w:t>
            </w:r>
            <w:r w:rsidRPr="001455DC">
              <w:rPr>
                <w:rStyle w:val="CCMCvariablesubscript"/>
              </w:rPr>
              <w:t>wire</w:t>
            </w:r>
          </w:p>
        </w:tc>
        <w:tc>
          <w:tcPr>
            <w:tcW w:w="7144" w:type="dxa"/>
            <w:vAlign w:val="center"/>
          </w:tcPr>
          <w:p w14:paraId="7F13E6CE" w14:textId="36085974" w:rsidR="000261DB" w:rsidRPr="001455DC" w:rsidRDefault="000261DB" w:rsidP="00716538">
            <w:pPr>
              <w:pStyle w:val="Tablebody"/>
              <w:jc w:val="left"/>
            </w:pPr>
            <w:r w:rsidRPr="001455DC">
              <w:t>for single 3 wire strands;</w:t>
            </w:r>
          </w:p>
        </w:tc>
      </w:tr>
      <w:tr w:rsidR="000261DB" w:rsidRPr="001455DC" w14:paraId="246A4843" w14:textId="77777777" w:rsidTr="000261DB">
        <w:trPr>
          <w:cantSplit/>
        </w:trPr>
        <w:tc>
          <w:tcPr>
            <w:tcW w:w="567" w:type="dxa"/>
          </w:tcPr>
          <w:p w14:paraId="42F66341" w14:textId="269247A7" w:rsidR="000261DB" w:rsidRPr="001455DC" w:rsidRDefault="000261DB" w:rsidP="00D86695">
            <w:pPr>
              <w:pStyle w:val="Tablebody"/>
            </w:pPr>
            <w:r w:rsidRPr="001455DC">
              <w:rPr>
                <w:rStyle w:val="CCMCvariableitalic"/>
              </w:rPr>
              <w:t>ξ</w:t>
            </w:r>
          </w:p>
        </w:tc>
        <w:tc>
          <w:tcPr>
            <w:tcW w:w="8845" w:type="dxa"/>
            <w:gridSpan w:val="2"/>
          </w:tcPr>
          <w:p w14:paraId="014A8F5B" w14:textId="6575092A" w:rsidR="000261DB" w:rsidRPr="001455DC" w:rsidRDefault="000261DB" w:rsidP="00D86695">
            <w:pPr>
              <w:pStyle w:val="Tablebody"/>
            </w:pPr>
            <w:r w:rsidRPr="001455DC">
              <w:t>is the ratio of bond strength between bonded tendons and ribbed or indented reinforcing steel in concrete. Unless more precise data is available the values given in Table 10.1 may be used.</w:t>
            </w:r>
          </w:p>
        </w:tc>
      </w:tr>
    </w:tbl>
    <w:p w14:paraId="7A8B4749" w14:textId="77777777" w:rsidR="004E22C1" w:rsidRPr="001455DC" w:rsidRDefault="004E22C1" w:rsidP="000261DB">
      <w:pPr>
        <w:pStyle w:val="Tabletitle"/>
      </w:pPr>
      <w:bookmarkStart w:id="756" w:name="_Toc54337417"/>
      <w:r w:rsidRPr="001455DC">
        <w:t xml:space="preserve">Table 10.1 — Ratio of bond strength </w:t>
      </w:r>
      <w:r w:rsidRPr="001455DC">
        <w:rPr>
          <w:rStyle w:val="CCMCvariableitalic"/>
        </w:rPr>
        <w:t>ξ</w:t>
      </w:r>
      <w:r w:rsidRPr="001455DC">
        <w:t xml:space="preserve"> between tendons and reinforcing steel</w:t>
      </w:r>
      <w:bookmarkEnd w:id="756"/>
    </w:p>
    <w:tbl>
      <w:tblPr>
        <w:tblStyle w:val="53"/>
        <w:tblW w:w="9752" w:type="dxa"/>
        <w:tblLayout w:type="fixed"/>
        <w:tblLook w:val="0660" w:firstRow="1" w:lastRow="1" w:firstColumn="0" w:lastColumn="0" w:noHBand="1" w:noVBand="1"/>
      </w:tblPr>
      <w:tblGrid>
        <w:gridCol w:w="3312"/>
        <w:gridCol w:w="2342"/>
        <w:gridCol w:w="2146"/>
        <w:gridCol w:w="1952"/>
      </w:tblGrid>
      <w:tr w:rsidR="004E22C1" w:rsidRPr="001455DC" w14:paraId="32E77BAF" w14:textId="77777777" w:rsidTr="00716538">
        <w:trPr>
          <w:cnfStyle w:val="100000000000" w:firstRow="1" w:lastRow="0" w:firstColumn="0" w:lastColumn="0" w:oddVBand="0" w:evenVBand="0" w:oddHBand="0" w:evenHBand="0" w:firstRowFirstColumn="0" w:firstRowLastColumn="0" w:lastRowFirstColumn="0" w:lastRowLastColumn="0"/>
          <w:tblHeader/>
        </w:trPr>
        <w:tc>
          <w:tcPr>
            <w:tcW w:w="2405" w:type="dxa"/>
            <w:vMerge w:val="restart"/>
          </w:tcPr>
          <w:p w14:paraId="00E7E07F" w14:textId="77777777" w:rsidR="004E22C1" w:rsidRPr="001455DC" w:rsidRDefault="004E22C1" w:rsidP="00DE5B30">
            <w:pPr>
              <w:pStyle w:val="Tableheader"/>
              <w:keepNext/>
            </w:pPr>
            <w:r w:rsidRPr="001455DC">
              <w:t>prestressing steel</w:t>
            </w:r>
          </w:p>
        </w:tc>
        <w:tc>
          <w:tcPr>
            <w:tcW w:w="4678" w:type="dxa"/>
            <w:gridSpan w:val="3"/>
          </w:tcPr>
          <w:p w14:paraId="5A9C2294" w14:textId="77777777" w:rsidR="004E22C1" w:rsidRPr="009D3012" w:rsidRDefault="004E22C1" w:rsidP="00DE5B30">
            <w:pPr>
              <w:pStyle w:val="Tableheader"/>
              <w:keepNext/>
              <w:rPr>
                <w:rStyle w:val="CCMCvariableitalic"/>
                <w:lang w:val="en-US"/>
              </w:rPr>
            </w:pPr>
            <w:r w:rsidRPr="009D3012">
              <w:rPr>
                <w:bCs/>
                <w:lang w:val="en-US"/>
              </w:rPr>
              <w:t>Ratio of bond strength</w:t>
            </w:r>
            <w:r w:rsidRPr="009D3012">
              <w:rPr>
                <w:rFonts w:eastAsia="Symbol" w:cs="Symbol"/>
                <w:lang w:val="en-US"/>
              </w:rPr>
              <w:t xml:space="preserve"> </w:t>
            </w:r>
            <w:r w:rsidRPr="001455DC">
              <w:rPr>
                <w:rStyle w:val="CCMCvariableitalic"/>
              </w:rPr>
              <w:t>ξ</w:t>
            </w:r>
          </w:p>
        </w:tc>
      </w:tr>
      <w:tr w:rsidR="004E22C1" w:rsidRPr="001455DC" w14:paraId="4BA6CE6A" w14:textId="77777777" w:rsidTr="00716538">
        <w:trPr>
          <w:cnfStyle w:val="100000000000" w:firstRow="1" w:lastRow="0" w:firstColumn="0" w:lastColumn="0" w:oddVBand="0" w:evenVBand="0" w:oddHBand="0" w:evenHBand="0" w:firstRowFirstColumn="0" w:firstRowLastColumn="0" w:lastRowFirstColumn="0" w:lastRowLastColumn="0"/>
          <w:tblHeader/>
        </w:trPr>
        <w:tc>
          <w:tcPr>
            <w:tcW w:w="2405" w:type="dxa"/>
            <w:vMerge/>
          </w:tcPr>
          <w:p w14:paraId="7580A770" w14:textId="77777777" w:rsidR="004E22C1" w:rsidRPr="009D3012" w:rsidRDefault="004E22C1" w:rsidP="00DE5B30">
            <w:pPr>
              <w:pStyle w:val="Tableheader"/>
              <w:keepNext/>
              <w:rPr>
                <w:lang w:val="en-US"/>
              </w:rPr>
            </w:pPr>
          </w:p>
        </w:tc>
        <w:tc>
          <w:tcPr>
            <w:tcW w:w="1701" w:type="dxa"/>
            <w:vMerge w:val="restart"/>
          </w:tcPr>
          <w:p w14:paraId="63A45CBC" w14:textId="77777777" w:rsidR="004E22C1" w:rsidRPr="001455DC" w:rsidRDefault="004E22C1" w:rsidP="00DE5B30">
            <w:pPr>
              <w:pStyle w:val="Tableheader"/>
              <w:keepNext/>
            </w:pPr>
            <w:r w:rsidRPr="001455DC">
              <w:t>pre-tensioned</w:t>
            </w:r>
          </w:p>
        </w:tc>
        <w:tc>
          <w:tcPr>
            <w:tcW w:w="2977" w:type="dxa"/>
            <w:gridSpan w:val="2"/>
          </w:tcPr>
          <w:p w14:paraId="33868B9D" w14:textId="77777777" w:rsidR="004E22C1" w:rsidRPr="001455DC" w:rsidRDefault="004E22C1" w:rsidP="00DE5B30">
            <w:pPr>
              <w:pStyle w:val="Tableheader"/>
              <w:keepNext/>
            </w:pPr>
            <w:r w:rsidRPr="001455DC">
              <w:t>bonded, post-tensioned</w:t>
            </w:r>
          </w:p>
        </w:tc>
      </w:tr>
      <w:tr w:rsidR="004E22C1" w:rsidRPr="001455DC" w14:paraId="1871B20D" w14:textId="77777777" w:rsidTr="00716538">
        <w:trPr>
          <w:cnfStyle w:val="100000000000" w:firstRow="1" w:lastRow="0" w:firstColumn="0" w:lastColumn="0" w:oddVBand="0" w:evenVBand="0" w:oddHBand="0" w:evenHBand="0" w:firstRowFirstColumn="0" w:firstRowLastColumn="0" w:lastRowFirstColumn="0" w:lastRowLastColumn="0"/>
          <w:tblHeader/>
        </w:trPr>
        <w:tc>
          <w:tcPr>
            <w:tcW w:w="2405" w:type="dxa"/>
            <w:vMerge/>
          </w:tcPr>
          <w:p w14:paraId="5949A42E" w14:textId="77777777" w:rsidR="004E22C1" w:rsidRPr="001455DC" w:rsidRDefault="004E22C1" w:rsidP="00DE5B30">
            <w:pPr>
              <w:pStyle w:val="Tableheader"/>
              <w:keepNext/>
            </w:pPr>
          </w:p>
        </w:tc>
        <w:tc>
          <w:tcPr>
            <w:tcW w:w="1701" w:type="dxa"/>
            <w:vMerge/>
          </w:tcPr>
          <w:p w14:paraId="792C5339" w14:textId="77777777" w:rsidR="004E22C1" w:rsidRPr="001455DC" w:rsidRDefault="004E22C1" w:rsidP="00DE5B30">
            <w:pPr>
              <w:pStyle w:val="Tableheader"/>
              <w:keepNext/>
            </w:pPr>
          </w:p>
        </w:tc>
        <w:tc>
          <w:tcPr>
            <w:tcW w:w="1559" w:type="dxa"/>
          </w:tcPr>
          <w:p w14:paraId="34819BBB" w14:textId="35489E45" w:rsidR="004E22C1" w:rsidRPr="001455DC" w:rsidRDefault="004E22C1" w:rsidP="00DE5B30">
            <w:pPr>
              <w:pStyle w:val="Tableheader"/>
              <w:keepNext/>
            </w:pPr>
            <w:r w:rsidRPr="001455DC">
              <w:rPr>
                <w:rStyle w:val="CCMCvariableitalic"/>
              </w:rPr>
              <w:t>f</w:t>
            </w:r>
            <w:r w:rsidRPr="001455DC">
              <w:rPr>
                <w:rStyle w:val="CCMCvariablesubscript"/>
              </w:rPr>
              <w:t>ck</w:t>
            </w:r>
            <w:r w:rsidRPr="001455DC">
              <w:t> </w:t>
            </w:r>
            <w:r w:rsidR="00650035" w:rsidRPr="001455DC">
              <w:rPr>
                <w:rFonts w:ascii="Cambria Math" w:hAnsi="Cambria Math"/>
              </w:rPr>
              <w:t>≤</w:t>
            </w:r>
            <w:r w:rsidRPr="001455DC">
              <w:t> 50 MPa</w:t>
            </w:r>
          </w:p>
        </w:tc>
        <w:tc>
          <w:tcPr>
            <w:tcW w:w="1418" w:type="dxa"/>
          </w:tcPr>
          <w:p w14:paraId="6B402FAB" w14:textId="02652166" w:rsidR="004E22C1" w:rsidRPr="001455DC" w:rsidRDefault="004E22C1" w:rsidP="00DE5B30">
            <w:pPr>
              <w:pStyle w:val="Tableheader"/>
              <w:keepNext/>
            </w:pPr>
            <w:r w:rsidRPr="001455DC">
              <w:rPr>
                <w:rStyle w:val="CCMCvariableitalic"/>
              </w:rPr>
              <w:t>f</w:t>
            </w:r>
            <w:r w:rsidRPr="001455DC">
              <w:rPr>
                <w:rStyle w:val="CCMCvariablesubscript"/>
              </w:rPr>
              <w:t>ck</w:t>
            </w:r>
            <w:r w:rsidRPr="001455DC">
              <w:t> </w:t>
            </w:r>
            <w:r w:rsidR="00650035" w:rsidRPr="001455DC">
              <w:rPr>
                <w:rFonts w:ascii="Cambria Math" w:hAnsi="Cambria Math"/>
              </w:rPr>
              <w:t>≥</w:t>
            </w:r>
            <w:r w:rsidR="00073FC6" w:rsidRPr="001455DC">
              <w:t> </w:t>
            </w:r>
            <w:r w:rsidRPr="001455DC">
              <w:t>70 MPa</w:t>
            </w:r>
          </w:p>
        </w:tc>
      </w:tr>
      <w:tr w:rsidR="004E22C1" w:rsidRPr="001455DC" w14:paraId="32312A2D" w14:textId="77777777" w:rsidTr="00DE5B30">
        <w:tc>
          <w:tcPr>
            <w:tcW w:w="2405" w:type="dxa"/>
            <w:vAlign w:val="center"/>
          </w:tcPr>
          <w:p w14:paraId="5CC86B2C" w14:textId="77777777" w:rsidR="004E22C1" w:rsidRPr="001455DC" w:rsidRDefault="004E22C1" w:rsidP="00DE5B30">
            <w:pPr>
              <w:pStyle w:val="Tablebody"/>
              <w:keepNext/>
              <w:jc w:val="left"/>
            </w:pPr>
            <w:r w:rsidRPr="001455DC">
              <w:t>smooth bars and wires</w:t>
            </w:r>
          </w:p>
        </w:tc>
        <w:tc>
          <w:tcPr>
            <w:tcW w:w="1701" w:type="dxa"/>
            <w:vAlign w:val="center"/>
          </w:tcPr>
          <w:p w14:paraId="0FC457A5" w14:textId="77777777" w:rsidR="004E22C1" w:rsidRPr="001455DC" w:rsidRDefault="004E22C1" w:rsidP="00DE5B30">
            <w:pPr>
              <w:pStyle w:val="Tablebody"/>
              <w:keepNext/>
              <w:jc w:val="center"/>
            </w:pPr>
            <w:r w:rsidRPr="001455DC">
              <w:t>not applicable</w:t>
            </w:r>
          </w:p>
        </w:tc>
        <w:tc>
          <w:tcPr>
            <w:tcW w:w="1559" w:type="dxa"/>
            <w:vAlign w:val="center"/>
          </w:tcPr>
          <w:p w14:paraId="7A63148D" w14:textId="77777777" w:rsidR="004E22C1" w:rsidRPr="001455DC" w:rsidRDefault="004E22C1" w:rsidP="00DE5B30">
            <w:pPr>
              <w:pStyle w:val="Tablebody"/>
              <w:keepNext/>
              <w:jc w:val="center"/>
            </w:pPr>
            <w:r w:rsidRPr="001455DC">
              <w:t>0,30</w:t>
            </w:r>
          </w:p>
        </w:tc>
        <w:tc>
          <w:tcPr>
            <w:tcW w:w="1418" w:type="dxa"/>
            <w:vAlign w:val="center"/>
          </w:tcPr>
          <w:p w14:paraId="46186D98" w14:textId="77777777" w:rsidR="004E22C1" w:rsidRPr="001455DC" w:rsidRDefault="004E22C1" w:rsidP="00DE5B30">
            <w:pPr>
              <w:pStyle w:val="Tablebody"/>
              <w:keepNext/>
              <w:jc w:val="center"/>
            </w:pPr>
            <w:r w:rsidRPr="001455DC">
              <w:t>0,15</w:t>
            </w:r>
          </w:p>
        </w:tc>
      </w:tr>
      <w:tr w:rsidR="004E22C1" w:rsidRPr="001455DC" w14:paraId="4C1450BA" w14:textId="77777777" w:rsidTr="00DE5B30">
        <w:tc>
          <w:tcPr>
            <w:tcW w:w="2405" w:type="dxa"/>
            <w:vAlign w:val="center"/>
          </w:tcPr>
          <w:p w14:paraId="232BBE8A" w14:textId="77777777" w:rsidR="004E22C1" w:rsidRPr="001455DC" w:rsidRDefault="004E22C1" w:rsidP="00DE5B30">
            <w:pPr>
              <w:pStyle w:val="Tablebody"/>
              <w:keepNext/>
              <w:jc w:val="left"/>
            </w:pPr>
            <w:r w:rsidRPr="001455DC">
              <w:t>strands</w:t>
            </w:r>
          </w:p>
        </w:tc>
        <w:tc>
          <w:tcPr>
            <w:tcW w:w="1701" w:type="dxa"/>
            <w:vAlign w:val="center"/>
          </w:tcPr>
          <w:p w14:paraId="603984D4" w14:textId="77777777" w:rsidR="004E22C1" w:rsidRPr="001455DC" w:rsidRDefault="004E22C1" w:rsidP="00DE5B30">
            <w:pPr>
              <w:pStyle w:val="Tablebody"/>
              <w:keepNext/>
              <w:jc w:val="center"/>
            </w:pPr>
            <w:r w:rsidRPr="001455DC">
              <w:t>0,60</w:t>
            </w:r>
          </w:p>
        </w:tc>
        <w:tc>
          <w:tcPr>
            <w:tcW w:w="1559" w:type="dxa"/>
            <w:vAlign w:val="center"/>
          </w:tcPr>
          <w:p w14:paraId="19A9AAE9" w14:textId="77777777" w:rsidR="004E22C1" w:rsidRPr="001455DC" w:rsidRDefault="004E22C1" w:rsidP="00DE5B30">
            <w:pPr>
              <w:pStyle w:val="Tablebody"/>
              <w:keepNext/>
              <w:jc w:val="center"/>
            </w:pPr>
            <w:r w:rsidRPr="001455DC">
              <w:t>0,50</w:t>
            </w:r>
          </w:p>
        </w:tc>
        <w:tc>
          <w:tcPr>
            <w:tcW w:w="1418" w:type="dxa"/>
            <w:vAlign w:val="center"/>
          </w:tcPr>
          <w:p w14:paraId="1D0E63B8" w14:textId="77777777" w:rsidR="004E22C1" w:rsidRPr="001455DC" w:rsidRDefault="004E22C1" w:rsidP="00DE5B30">
            <w:pPr>
              <w:pStyle w:val="Tablebody"/>
              <w:keepNext/>
              <w:jc w:val="center"/>
            </w:pPr>
            <w:r w:rsidRPr="001455DC">
              <w:t>0,25</w:t>
            </w:r>
          </w:p>
        </w:tc>
      </w:tr>
      <w:tr w:rsidR="004E22C1" w:rsidRPr="001455DC" w14:paraId="6855828E" w14:textId="77777777" w:rsidTr="00DE5B30">
        <w:tc>
          <w:tcPr>
            <w:tcW w:w="2405" w:type="dxa"/>
            <w:vAlign w:val="center"/>
          </w:tcPr>
          <w:p w14:paraId="4269C2F7" w14:textId="77777777" w:rsidR="004E22C1" w:rsidRPr="001455DC" w:rsidRDefault="004E22C1" w:rsidP="00DE5B30">
            <w:pPr>
              <w:pStyle w:val="Tablebody"/>
              <w:keepNext/>
              <w:jc w:val="left"/>
            </w:pPr>
            <w:r w:rsidRPr="001455DC">
              <w:t>indented wires</w:t>
            </w:r>
          </w:p>
        </w:tc>
        <w:tc>
          <w:tcPr>
            <w:tcW w:w="1701" w:type="dxa"/>
            <w:vAlign w:val="center"/>
          </w:tcPr>
          <w:p w14:paraId="6E695DF0" w14:textId="77777777" w:rsidR="004E22C1" w:rsidRPr="001455DC" w:rsidRDefault="004E22C1" w:rsidP="00DE5B30">
            <w:pPr>
              <w:pStyle w:val="Tablebody"/>
              <w:keepNext/>
              <w:jc w:val="center"/>
            </w:pPr>
            <w:r w:rsidRPr="001455DC">
              <w:t>0,70</w:t>
            </w:r>
          </w:p>
        </w:tc>
        <w:tc>
          <w:tcPr>
            <w:tcW w:w="1559" w:type="dxa"/>
            <w:vAlign w:val="center"/>
          </w:tcPr>
          <w:p w14:paraId="5B45A2B8" w14:textId="77777777" w:rsidR="004E22C1" w:rsidRPr="001455DC" w:rsidRDefault="004E22C1" w:rsidP="00DE5B30">
            <w:pPr>
              <w:pStyle w:val="Tablebody"/>
              <w:keepNext/>
              <w:jc w:val="center"/>
            </w:pPr>
            <w:r w:rsidRPr="001455DC">
              <w:t>0,60</w:t>
            </w:r>
          </w:p>
        </w:tc>
        <w:tc>
          <w:tcPr>
            <w:tcW w:w="1418" w:type="dxa"/>
            <w:vAlign w:val="center"/>
          </w:tcPr>
          <w:p w14:paraId="1980414A" w14:textId="77777777" w:rsidR="004E22C1" w:rsidRPr="001455DC" w:rsidRDefault="004E22C1" w:rsidP="00DE5B30">
            <w:pPr>
              <w:pStyle w:val="Tablebody"/>
              <w:keepNext/>
              <w:jc w:val="center"/>
            </w:pPr>
            <w:r w:rsidRPr="001455DC">
              <w:t>0,30</w:t>
            </w:r>
          </w:p>
        </w:tc>
      </w:tr>
      <w:tr w:rsidR="004E22C1" w:rsidRPr="001455DC" w14:paraId="71DD1436" w14:textId="77777777" w:rsidTr="00DE5B30">
        <w:tc>
          <w:tcPr>
            <w:tcW w:w="2405" w:type="dxa"/>
            <w:vAlign w:val="center"/>
          </w:tcPr>
          <w:p w14:paraId="337E7726" w14:textId="77777777" w:rsidR="004E22C1" w:rsidRPr="001455DC" w:rsidRDefault="004E22C1" w:rsidP="00DE5B30">
            <w:pPr>
              <w:pStyle w:val="Tablebody"/>
              <w:keepNext/>
              <w:jc w:val="left"/>
            </w:pPr>
            <w:r w:rsidRPr="001455DC">
              <w:t>ribbed bars</w:t>
            </w:r>
          </w:p>
        </w:tc>
        <w:tc>
          <w:tcPr>
            <w:tcW w:w="1701" w:type="dxa"/>
            <w:vAlign w:val="center"/>
          </w:tcPr>
          <w:p w14:paraId="15ADC66C" w14:textId="77777777" w:rsidR="004E22C1" w:rsidRPr="001455DC" w:rsidRDefault="004E22C1" w:rsidP="00DE5B30">
            <w:pPr>
              <w:pStyle w:val="Tablebody"/>
              <w:keepNext/>
              <w:jc w:val="center"/>
            </w:pPr>
            <w:r w:rsidRPr="001455DC">
              <w:t>0,80</w:t>
            </w:r>
          </w:p>
        </w:tc>
        <w:tc>
          <w:tcPr>
            <w:tcW w:w="1559" w:type="dxa"/>
            <w:vAlign w:val="center"/>
          </w:tcPr>
          <w:p w14:paraId="46A1DA00" w14:textId="77777777" w:rsidR="004E22C1" w:rsidRPr="001455DC" w:rsidRDefault="004E22C1" w:rsidP="00DE5B30">
            <w:pPr>
              <w:pStyle w:val="Tablebody"/>
              <w:keepNext/>
              <w:jc w:val="center"/>
            </w:pPr>
            <w:r w:rsidRPr="001455DC">
              <w:t>0,70</w:t>
            </w:r>
          </w:p>
        </w:tc>
        <w:tc>
          <w:tcPr>
            <w:tcW w:w="1418" w:type="dxa"/>
            <w:vAlign w:val="center"/>
          </w:tcPr>
          <w:p w14:paraId="4A3517C1" w14:textId="77777777" w:rsidR="004E22C1" w:rsidRPr="001455DC" w:rsidRDefault="004E22C1" w:rsidP="00DE5B30">
            <w:pPr>
              <w:pStyle w:val="Tablebody"/>
              <w:keepNext/>
              <w:jc w:val="center"/>
            </w:pPr>
            <w:r w:rsidRPr="001455DC">
              <w:t>0,35</w:t>
            </w:r>
          </w:p>
        </w:tc>
      </w:tr>
      <w:tr w:rsidR="004E22C1" w:rsidRPr="001455DC" w14:paraId="1D113F0B" w14:textId="77777777" w:rsidTr="00716538">
        <w:trPr>
          <w:cnfStyle w:val="010000000000" w:firstRow="0" w:lastRow="1" w:firstColumn="0" w:lastColumn="0" w:oddVBand="0" w:evenVBand="0" w:oddHBand="0" w:evenHBand="0" w:firstRowFirstColumn="0" w:firstRowLastColumn="0" w:lastRowFirstColumn="0" w:lastRowLastColumn="0"/>
        </w:trPr>
        <w:tc>
          <w:tcPr>
            <w:tcW w:w="7083" w:type="dxa"/>
            <w:gridSpan w:val="4"/>
          </w:tcPr>
          <w:p w14:paraId="495D584C" w14:textId="0A71BD5F" w:rsidR="004E22C1" w:rsidRPr="009D3012" w:rsidRDefault="004E22C1" w:rsidP="00716538">
            <w:pPr>
              <w:pStyle w:val="Tablefooternote"/>
              <w:rPr>
                <w:lang w:val="en-US"/>
              </w:rPr>
            </w:pPr>
            <w:r w:rsidRPr="009D3012">
              <w:rPr>
                <w:lang w:val="en-US"/>
              </w:rPr>
              <w:t>NOTE</w:t>
            </w:r>
            <w:r w:rsidRPr="009D3012">
              <w:rPr>
                <w:lang w:val="en-US"/>
              </w:rPr>
              <w:tab/>
              <w:t>Intermediate values may be interpolated between 50 MPa </w:t>
            </w:r>
            <w:r w:rsidR="00650035" w:rsidRPr="009D3012">
              <w:rPr>
                <w:rFonts w:ascii="Cambria Math" w:hAnsi="Cambria Math"/>
                <w:lang w:val="en-US"/>
              </w:rPr>
              <w:t>&lt;</w:t>
            </w:r>
            <w:r w:rsidRPr="009D3012">
              <w:rPr>
                <w:lang w:val="en-US"/>
              </w:rPr>
              <w:t> </w:t>
            </w:r>
            <w:r w:rsidRPr="009D3012">
              <w:rPr>
                <w:rStyle w:val="CCMCvariableitalic"/>
                <w:lang w:val="en-US"/>
              </w:rPr>
              <w:t>f</w:t>
            </w:r>
            <w:r w:rsidRPr="009D3012">
              <w:rPr>
                <w:rStyle w:val="CCMCvariablesubscript"/>
                <w:lang w:val="en-US"/>
              </w:rPr>
              <w:t>ck</w:t>
            </w:r>
            <w:r w:rsidRPr="009D3012">
              <w:rPr>
                <w:lang w:val="en-US"/>
              </w:rPr>
              <w:t> </w:t>
            </w:r>
            <w:r w:rsidR="00650035" w:rsidRPr="009D3012">
              <w:rPr>
                <w:rFonts w:ascii="Cambria Math" w:hAnsi="Cambria Math"/>
                <w:lang w:val="en-US"/>
              </w:rPr>
              <w:t>&lt;</w:t>
            </w:r>
            <w:r w:rsidRPr="009D3012">
              <w:rPr>
                <w:lang w:val="en-US"/>
              </w:rPr>
              <w:t> 70 MPa.</w:t>
            </w:r>
          </w:p>
        </w:tc>
      </w:tr>
    </w:tbl>
    <w:p w14:paraId="39AC3DE5" w14:textId="77777777" w:rsidR="004E22C1" w:rsidRPr="001455DC" w:rsidRDefault="004E22C1" w:rsidP="00DE5B30">
      <w:pPr>
        <w:pStyle w:val="a7"/>
      </w:pPr>
    </w:p>
    <w:p w14:paraId="1FCF5D2D" w14:textId="1EDA1023" w:rsidR="004E22C1" w:rsidRPr="001455DC" w:rsidRDefault="004E22C1" w:rsidP="00DE5B30">
      <w:pPr>
        <w:pStyle w:val="a7"/>
      </w:pPr>
      <w:r w:rsidRPr="001455DC">
        <w:t>(3)</w:t>
      </w:r>
      <w:r w:rsidRPr="001455DC">
        <w:tab/>
        <w:t>The redistribution of stresses in concrete in the compression zone may be accounted for by verifying the compression stress at a distance of 100 mm (but not more than 1/3 of the cross</w:t>
      </w:r>
      <w:r w:rsidR="00B10711" w:rsidRPr="001455DC">
        <w:t xml:space="preserve"> </w:t>
      </w:r>
      <w:r w:rsidRPr="001455DC">
        <w:t>section depth) from the outermost compressed fibre. The stress should not be taken less than 2/3 of the maximum compressive stress.</w:t>
      </w:r>
    </w:p>
    <w:p w14:paraId="713638CC" w14:textId="04DB0D32" w:rsidR="004E22C1" w:rsidRPr="001455DC" w:rsidRDefault="004E22C1" w:rsidP="00A35599">
      <w:pPr>
        <w:pStyle w:val="a7"/>
        <w:keepNext/>
      </w:pPr>
      <w:r w:rsidRPr="001455DC">
        <w:t>(4)</w:t>
      </w:r>
      <w:r w:rsidRPr="001455DC">
        <w:tab/>
        <w:t xml:space="preserve">In the design of the shear reinforcement the inclination of the compressive struts </w:t>
      </w:r>
      <w:r w:rsidRPr="001455DC">
        <w:rPr>
          <w:rStyle w:val="CCMCvariableitalic"/>
        </w:rPr>
        <w:t>θ</w:t>
      </w:r>
      <w:r w:rsidRPr="001455DC">
        <w:rPr>
          <w:rStyle w:val="CCMCvariablesubscript"/>
        </w:rPr>
        <w:t>fat</w:t>
      </w:r>
      <w:r w:rsidRPr="001455DC">
        <w:t xml:space="preserve"> should be calculated using the compression field inclination </w:t>
      </w:r>
      <w:r w:rsidRPr="001455DC">
        <w:rPr>
          <w:rStyle w:val="CCMCvariableitalic"/>
        </w:rPr>
        <w:t>θ</w:t>
      </w:r>
      <w:r w:rsidRPr="001455DC">
        <w:t xml:space="preserve"> at ULS from 8.2.3 in Formula (10.3):</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DE5B30" w:rsidRPr="001455DC" w14:paraId="0377F99A" w14:textId="77777777" w:rsidTr="00486ADF">
        <w:trPr>
          <w:cantSplit/>
        </w:trPr>
        <w:tc>
          <w:tcPr>
            <w:tcW w:w="8505" w:type="dxa"/>
            <w:vAlign w:val="center"/>
          </w:tcPr>
          <w:p w14:paraId="004393AF" w14:textId="15B92D41" w:rsidR="00DE5B30" w:rsidRPr="001455DC" w:rsidRDefault="00DE5B30" w:rsidP="00486ADF">
            <w:pPr>
              <w:pStyle w:val="Formula"/>
              <w:jc w:val="left"/>
            </w:pPr>
            <m:oMathPara>
              <m:oMathParaPr>
                <m:jc m:val="left"/>
              </m:oMathParaPr>
              <m:oMath>
                <m:r>
                  <m:rPr>
                    <m:sty m:val="p"/>
                  </m:rPr>
                  <w:rPr>
                    <w:rFonts w:ascii="Cambria Math" w:hAnsi="Cambria Math"/>
                  </w:rPr>
                  <m:t>cot</m:t>
                </m:r>
                <m:sSub>
                  <m:sSubPr>
                    <m:ctrlPr>
                      <w:rPr>
                        <w:rFonts w:ascii="Cambria Math" w:hAnsi="Cambria Math"/>
                      </w:rPr>
                    </m:ctrlPr>
                  </m:sSubPr>
                  <m:e>
                    <m:r>
                      <w:rPr>
                        <w:rFonts w:ascii="Cambria Math" w:hAnsi="Cambria Math"/>
                      </w:rPr>
                      <m:t>θ</m:t>
                    </m:r>
                  </m:e>
                  <m:sub>
                    <m:r>
                      <m:rPr>
                        <m:sty m:val="p"/>
                      </m:rPr>
                      <w:rPr>
                        <w:rFonts w:ascii="Cambria Math" w:hAnsi="Cambria Math"/>
                      </w:rPr>
                      <m:t>fat</m:t>
                    </m:r>
                    <m:r>
                      <w:rPr>
                        <w:rFonts w:ascii="Cambria Math" w:hAnsi="Cambria Math"/>
                      </w:rPr>
                      <m:t xml:space="preserve"> </m:t>
                    </m:r>
                  </m:sub>
                </m:sSub>
                <m:r>
                  <w:rPr>
                    <w:rFonts w:ascii="Cambria Math" w:hAnsi="Cambria Math"/>
                  </w:rPr>
                  <m:t>=</m:t>
                </m:r>
                <m:rad>
                  <m:radPr>
                    <m:degHide m:val="1"/>
                    <m:ctrlPr>
                      <w:rPr>
                        <w:rFonts w:ascii="Cambria Math" w:hAnsi="Cambria Math"/>
                      </w:rPr>
                    </m:ctrlPr>
                  </m:radPr>
                  <m:deg/>
                  <m:e>
                    <m:r>
                      <m:rPr>
                        <m:sty m:val="p"/>
                      </m:rPr>
                      <w:rPr>
                        <w:rFonts w:ascii="Cambria Math" w:hAnsi="Cambria Math"/>
                      </w:rPr>
                      <m:t>cot</m:t>
                    </m:r>
                    <m:r>
                      <w:rPr>
                        <w:rFonts w:ascii="Cambria Math" w:hAnsi="Cambria Math"/>
                      </w:rPr>
                      <m:t>θ</m:t>
                    </m:r>
                  </m:e>
                </m:rad>
                <m:r>
                  <w:rPr>
                    <w:rFonts w:ascii="Cambria Math" w:hAnsi="Cambria Math"/>
                  </w:rPr>
                  <m:t>≥1,0</m:t>
                </m:r>
              </m:oMath>
            </m:oMathPara>
          </w:p>
        </w:tc>
        <w:tc>
          <w:tcPr>
            <w:tcW w:w="1247" w:type="dxa"/>
            <w:vAlign w:val="center"/>
          </w:tcPr>
          <w:p w14:paraId="3B854A16" w14:textId="1AFF9C0C" w:rsidR="00DE5B30" w:rsidRPr="001455DC" w:rsidRDefault="00DE5B30" w:rsidP="00486ADF">
            <w:pPr>
              <w:pStyle w:val="a7"/>
              <w:jc w:val="right"/>
            </w:pPr>
            <w:r w:rsidRPr="001455DC">
              <w:t>(10.3)</w:t>
            </w:r>
          </w:p>
        </w:tc>
      </w:tr>
    </w:tbl>
    <w:p w14:paraId="23D65892" w14:textId="77777777" w:rsidR="004E22C1" w:rsidRPr="001455DC" w:rsidRDefault="004E22C1" w:rsidP="00DE5B30">
      <w:pPr>
        <w:pStyle w:val="a7"/>
      </w:pPr>
      <w:r w:rsidRPr="001455DC">
        <w:rPr>
          <w:szCs w:val="19"/>
        </w:rPr>
        <w:t>A more refined calculation of cot</w:t>
      </w:r>
      <w:r w:rsidRPr="001455DC">
        <w:rPr>
          <w:rStyle w:val="CCMCvariableitalic"/>
        </w:rPr>
        <w:t>θ</w:t>
      </w:r>
      <w:r w:rsidRPr="001455DC">
        <w:rPr>
          <w:rStyle w:val="CCMCvariablesubscript"/>
        </w:rPr>
        <w:t>fat</w:t>
      </w:r>
      <w:r w:rsidRPr="001455DC">
        <w:t xml:space="preserve"> </w:t>
      </w:r>
      <w:r w:rsidRPr="001455DC">
        <w:rPr>
          <w:szCs w:val="19"/>
        </w:rPr>
        <w:t>according to Annex G may be used.</w:t>
      </w:r>
    </w:p>
    <w:p w14:paraId="7110A41D" w14:textId="77777777" w:rsidR="004E22C1" w:rsidRPr="001455DC" w:rsidRDefault="004E22C1" w:rsidP="00DE5B30">
      <w:pPr>
        <w:pStyle w:val="a7"/>
      </w:pPr>
      <w:r w:rsidRPr="001455DC">
        <w:t>(5)</w:t>
      </w:r>
      <w:r w:rsidRPr="001455DC">
        <w:tab/>
        <w:t>In prestressing and reinforcing steel exposed to fatigue loads, the maximum stresses under the relevant fatigue load combination shall not exceed the design yield strength.</w:t>
      </w:r>
    </w:p>
    <w:p w14:paraId="2674ECE4" w14:textId="7C09C969" w:rsidR="004E22C1" w:rsidRPr="001455DC" w:rsidRDefault="004E22C1" w:rsidP="006D682B">
      <w:pPr>
        <w:pStyle w:val="21"/>
      </w:pPr>
      <w:bookmarkStart w:id="757" w:name="_Toc52820021"/>
      <w:bookmarkStart w:id="758" w:name="_Toc54337418"/>
      <w:bookmarkStart w:id="759" w:name="_Toc54338078"/>
      <w:bookmarkStart w:id="760" w:name="_Toc67565422"/>
      <w:r w:rsidRPr="001455DC">
        <w:t>Simplified verification of reinforcing or prestressing steel</w:t>
      </w:r>
      <w:bookmarkEnd w:id="757"/>
      <w:bookmarkEnd w:id="758"/>
      <w:bookmarkEnd w:id="759"/>
      <w:bookmarkEnd w:id="760"/>
    </w:p>
    <w:p w14:paraId="6EB0A025" w14:textId="77777777" w:rsidR="004E22C1" w:rsidRPr="001455DC" w:rsidRDefault="004E22C1" w:rsidP="00DE5B30">
      <w:pPr>
        <w:pStyle w:val="a7"/>
      </w:pPr>
      <w:r w:rsidRPr="001455DC">
        <w:t>(1)</w:t>
      </w:r>
      <w:r w:rsidRPr="001455DC">
        <w:tab/>
        <w:t>Adequate fatigue resistance may be assumed under tension, if the stress range under the fatigue load combination according to (10.2) with the frequent cyclic load with a maximum of 10</w:t>
      </w:r>
      <w:r w:rsidRPr="001455DC">
        <w:rPr>
          <w:rStyle w:val="CCMCvariablesuperscript"/>
        </w:rPr>
        <w:t>8</w:t>
      </w:r>
      <w:r w:rsidRPr="001455DC">
        <w:t xml:space="preserve"> load cycles complies with:</w:t>
      </w:r>
    </w:p>
    <w:p w14:paraId="08FCA9ED" w14:textId="581FA211" w:rsidR="004E22C1" w:rsidRPr="001455DC" w:rsidRDefault="004E22C1" w:rsidP="00082680">
      <w:pPr>
        <w:pStyle w:val="a0"/>
        <w:keepNext/>
        <w:numPr>
          <w:ilvl w:val="0"/>
          <w:numId w:val="24"/>
        </w:numPr>
      </w:pPr>
      <w:r w:rsidRPr="001455DC">
        <w:t xml:space="preserve">reinforcing steel bars (for bent bars footnote </w:t>
      </w:r>
      <w:r w:rsidRPr="001455DC">
        <w:rPr>
          <w:rStyle w:val="CCMCvariablesuperscript"/>
        </w:rPr>
        <w:t>a)</w:t>
      </w:r>
      <w:r w:rsidRPr="001455DC">
        <w:t xml:space="preserve"> of Table E.1(NDP) should be applied):</w:t>
      </w:r>
    </w:p>
    <w:p w14:paraId="600F8D96" w14:textId="3572DF88" w:rsidR="004E22C1" w:rsidRPr="001455DC" w:rsidRDefault="004E22C1" w:rsidP="00082680">
      <w:pPr>
        <w:pStyle w:val="2"/>
        <w:numPr>
          <w:ilvl w:val="0"/>
          <w:numId w:val="25"/>
        </w:numPr>
        <w:ind w:left="714" w:hanging="357"/>
      </w:pPr>
      <w:r w:rsidRPr="001455DC">
        <w:rPr>
          <w:rFonts w:cs="Symbol"/>
        </w:rPr>
        <w:t>Δ</w:t>
      </w:r>
      <w:r w:rsidRPr="001455DC">
        <w:rPr>
          <w:rStyle w:val="CCMCvariableitalic"/>
        </w:rPr>
        <w:t>σ</w:t>
      </w:r>
      <w:r w:rsidRPr="001455DC">
        <w:rPr>
          <w:rStyle w:val="CCMCvariablesubscript"/>
        </w:rPr>
        <w:t>sd</w:t>
      </w:r>
      <w:r w:rsidRPr="001455DC">
        <w:t> </w:t>
      </w:r>
      <w:r w:rsidR="00650035" w:rsidRPr="001455DC">
        <w:rPr>
          <w:rFonts w:ascii="Cambria Math" w:hAnsi="Cambria Math"/>
        </w:rPr>
        <w:t>≤</w:t>
      </w:r>
      <w:r w:rsidRPr="001455DC">
        <w:t> 90 MPa</w:t>
      </w:r>
      <w:r w:rsidRPr="001455DC">
        <w:tab/>
        <w:t xml:space="preserve">unwelded reinforcing bars </w:t>
      </w:r>
      <w:r w:rsidRPr="001455DC">
        <w:rPr>
          <w:rStyle w:val="CCMCvariableitalic"/>
        </w:rPr>
        <w:t>ϕ</w:t>
      </w:r>
      <w:r w:rsidRPr="001455DC">
        <w:t> </w:t>
      </w:r>
      <w:r w:rsidR="00650035" w:rsidRPr="001455DC">
        <w:rPr>
          <w:rFonts w:ascii="Cambria Math" w:hAnsi="Cambria Math"/>
        </w:rPr>
        <w:t>≤</w:t>
      </w:r>
      <w:r w:rsidRPr="001455DC">
        <w:t> 12 mm,</w:t>
      </w:r>
    </w:p>
    <w:p w14:paraId="4FB79EF0" w14:textId="5FB7B94B" w:rsidR="004E22C1" w:rsidRPr="001455DC" w:rsidRDefault="004E22C1" w:rsidP="00082680">
      <w:pPr>
        <w:pStyle w:val="2"/>
        <w:numPr>
          <w:ilvl w:val="0"/>
          <w:numId w:val="25"/>
        </w:numPr>
        <w:ind w:left="714" w:hanging="357"/>
      </w:pPr>
      <w:r w:rsidRPr="001455DC">
        <w:rPr>
          <w:rFonts w:cs="Symbol"/>
        </w:rPr>
        <w:t>Δ</w:t>
      </w:r>
      <w:r w:rsidRPr="001455DC">
        <w:rPr>
          <w:rStyle w:val="CCMCvariableitalic"/>
        </w:rPr>
        <w:t>σ</w:t>
      </w:r>
      <w:r w:rsidRPr="001455DC">
        <w:rPr>
          <w:rStyle w:val="CCMCvariablesubscript"/>
        </w:rPr>
        <w:t>sd</w:t>
      </w:r>
      <w:r w:rsidRPr="001455DC">
        <w:t> </w:t>
      </w:r>
      <w:r w:rsidR="00650035" w:rsidRPr="001455DC">
        <w:rPr>
          <w:rFonts w:ascii="Cambria Math" w:hAnsi="Cambria Math"/>
        </w:rPr>
        <w:t>≤</w:t>
      </w:r>
      <w:r w:rsidRPr="001455DC">
        <w:t> 73 MPa</w:t>
      </w:r>
      <w:r w:rsidRPr="001455DC">
        <w:tab/>
        <w:t xml:space="preserve">unwelded reinforcing bars </w:t>
      </w:r>
      <w:r w:rsidRPr="001455DC">
        <w:rPr>
          <w:rStyle w:val="CCMCvariableitalic"/>
        </w:rPr>
        <w:t>ϕ</w:t>
      </w:r>
      <w:r w:rsidRPr="001455DC">
        <w:t> </w:t>
      </w:r>
      <w:r w:rsidR="00650035" w:rsidRPr="001455DC">
        <w:rPr>
          <w:rFonts w:ascii="Cambria Math" w:hAnsi="Cambria Math"/>
        </w:rPr>
        <w:t>&gt;</w:t>
      </w:r>
      <w:r w:rsidR="00073FC6" w:rsidRPr="001455DC">
        <w:t> </w:t>
      </w:r>
      <w:r w:rsidRPr="001455DC">
        <w:t>12 mm,</w:t>
      </w:r>
    </w:p>
    <w:p w14:paraId="52594929" w14:textId="206441CE" w:rsidR="004E22C1" w:rsidRPr="001455DC" w:rsidRDefault="004E22C1" w:rsidP="00082680">
      <w:pPr>
        <w:pStyle w:val="2"/>
        <w:numPr>
          <w:ilvl w:val="0"/>
          <w:numId w:val="25"/>
        </w:numPr>
        <w:ind w:left="714" w:hanging="357"/>
      </w:pPr>
      <w:r w:rsidRPr="001455DC">
        <w:rPr>
          <w:rFonts w:cs="Symbol"/>
        </w:rPr>
        <w:t>Δ</w:t>
      </w:r>
      <w:r w:rsidRPr="001455DC">
        <w:rPr>
          <w:rStyle w:val="CCMCvariableitalic"/>
        </w:rPr>
        <w:t>σ</w:t>
      </w:r>
      <w:r w:rsidRPr="001455DC">
        <w:rPr>
          <w:rStyle w:val="CCMCvariablesubscript"/>
        </w:rPr>
        <w:t>sd</w:t>
      </w:r>
      <w:r w:rsidRPr="001455DC">
        <w:t> </w:t>
      </w:r>
      <w:r w:rsidR="00650035" w:rsidRPr="001455DC">
        <w:rPr>
          <w:rFonts w:ascii="Cambria Math" w:hAnsi="Cambria Math"/>
        </w:rPr>
        <w:t>≤</w:t>
      </w:r>
      <w:r w:rsidRPr="001455DC">
        <w:t> 40 MPa</w:t>
      </w:r>
      <w:r w:rsidRPr="001455DC">
        <w:tab/>
        <w:t xml:space="preserve">welded reinforcing bars </w:t>
      </w:r>
      <w:r w:rsidRPr="001455DC">
        <w:rPr>
          <w:rStyle w:val="CCMCvariableitalic"/>
        </w:rPr>
        <w:t>ϕ</w:t>
      </w:r>
      <w:r w:rsidRPr="001455DC">
        <w:t> </w:t>
      </w:r>
      <w:r w:rsidR="00650035" w:rsidRPr="001455DC">
        <w:rPr>
          <w:rFonts w:ascii="Cambria Math" w:hAnsi="Cambria Math"/>
        </w:rPr>
        <w:t>≤</w:t>
      </w:r>
      <w:r w:rsidRPr="001455DC">
        <w:t> 12 mm,</w:t>
      </w:r>
    </w:p>
    <w:p w14:paraId="465879EB" w14:textId="5951AB2E" w:rsidR="004E22C1" w:rsidRPr="001455DC" w:rsidRDefault="004E22C1" w:rsidP="00082680">
      <w:pPr>
        <w:pStyle w:val="2"/>
        <w:numPr>
          <w:ilvl w:val="0"/>
          <w:numId w:val="25"/>
        </w:numPr>
        <w:ind w:left="714" w:hanging="357"/>
      </w:pPr>
      <w:r w:rsidRPr="001455DC">
        <w:rPr>
          <w:rFonts w:cs="Symbol"/>
        </w:rPr>
        <w:t>Δ</w:t>
      </w:r>
      <w:r w:rsidRPr="001455DC">
        <w:rPr>
          <w:rStyle w:val="CCMCvariableitalic"/>
        </w:rPr>
        <w:t>σ</w:t>
      </w:r>
      <w:r w:rsidRPr="001455DC">
        <w:rPr>
          <w:rStyle w:val="CCMCvariablesubscript"/>
        </w:rPr>
        <w:t>sd</w:t>
      </w:r>
      <w:r w:rsidRPr="001455DC">
        <w:t> </w:t>
      </w:r>
      <w:r w:rsidR="00650035" w:rsidRPr="001455DC">
        <w:rPr>
          <w:rFonts w:ascii="Cambria Math" w:hAnsi="Cambria Math"/>
        </w:rPr>
        <w:t>≤</w:t>
      </w:r>
      <w:r w:rsidRPr="001455DC">
        <w:t> 30 MPa</w:t>
      </w:r>
      <w:r w:rsidRPr="001455DC">
        <w:tab/>
        <w:t xml:space="preserve">welded reinforcing bars </w:t>
      </w:r>
      <w:r w:rsidRPr="001455DC">
        <w:rPr>
          <w:rStyle w:val="CCMCvariableitalic"/>
        </w:rPr>
        <w:t>ϕ</w:t>
      </w:r>
      <w:r w:rsidRPr="001455DC">
        <w:t> </w:t>
      </w:r>
      <w:r w:rsidR="00650035" w:rsidRPr="001455DC">
        <w:rPr>
          <w:rFonts w:ascii="Cambria Math" w:hAnsi="Cambria Math"/>
        </w:rPr>
        <w:t>&gt;</w:t>
      </w:r>
      <w:r w:rsidR="00073FC6" w:rsidRPr="001455DC">
        <w:t> </w:t>
      </w:r>
      <w:r w:rsidRPr="001455DC">
        <w:t>12 mm,</w:t>
      </w:r>
    </w:p>
    <w:p w14:paraId="4B4A05E9" w14:textId="29920E95" w:rsidR="004E22C1" w:rsidRPr="001455DC" w:rsidRDefault="004E22C1" w:rsidP="00082680">
      <w:pPr>
        <w:pStyle w:val="a0"/>
        <w:keepNext/>
        <w:numPr>
          <w:ilvl w:val="0"/>
          <w:numId w:val="24"/>
        </w:numPr>
      </w:pPr>
      <w:r w:rsidRPr="001455DC">
        <w:t>prestressing steel for pre-tensioning</w:t>
      </w:r>
    </w:p>
    <w:p w14:paraId="71D197CE" w14:textId="6D5D03C1" w:rsidR="004E22C1" w:rsidRPr="001455DC" w:rsidRDefault="004E22C1" w:rsidP="00082680">
      <w:pPr>
        <w:pStyle w:val="2"/>
        <w:numPr>
          <w:ilvl w:val="0"/>
          <w:numId w:val="26"/>
        </w:numPr>
        <w:ind w:left="714" w:hanging="357"/>
      </w:pPr>
      <w:r w:rsidRPr="001455DC">
        <w:rPr>
          <w:rFonts w:eastAsia="Symbol" w:cs="Symbol"/>
        </w:rPr>
        <w:t>Δ</w:t>
      </w:r>
      <w:r w:rsidRPr="001455DC">
        <w:rPr>
          <w:rStyle w:val="CCMCvariableitalic"/>
        </w:rPr>
        <w:t>σ</w:t>
      </w:r>
      <w:r w:rsidRPr="001455DC">
        <w:rPr>
          <w:rStyle w:val="CCMCvariablesubscript"/>
        </w:rPr>
        <w:t>pd</w:t>
      </w:r>
      <w:r w:rsidRPr="001455DC">
        <w:t> </w:t>
      </w:r>
      <w:r w:rsidR="00650035" w:rsidRPr="001455DC">
        <w:rPr>
          <w:rFonts w:ascii="Cambria Math" w:hAnsi="Cambria Math"/>
        </w:rPr>
        <w:t>≤</w:t>
      </w:r>
      <w:r w:rsidRPr="001455DC">
        <w:t> 95 MPa</w:t>
      </w:r>
    </w:p>
    <w:p w14:paraId="10B9A3B6" w14:textId="1C245733" w:rsidR="004E22C1" w:rsidRPr="001455DC" w:rsidRDefault="004E22C1" w:rsidP="00082680">
      <w:pPr>
        <w:pStyle w:val="a0"/>
        <w:keepNext/>
        <w:numPr>
          <w:ilvl w:val="0"/>
          <w:numId w:val="24"/>
        </w:numPr>
      </w:pPr>
      <w:r w:rsidRPr="001455DC">
        <w:t>prestressing steel for post-tensioning</w:t>
      </w:r>
    </w:p>
    <w:p w14:paraId="3CCA49EB" w14:textId="7801B319" w:rsidR="004E22C1" w:rsidRPr="001455DC" w:rsidRDefault="004E22C1" w:rsidP="00082680">
      <w:pPr>
        <w:pStyle w:val="2"/>
        <w:numPr>
          <w:ilvl w:val="0"/>
          <w:numId w:val="27"/>
        </w:numPr>
        <w:ind w:left="714" w:hanging="357"/>
      </w:pPr>
      <w:r w:rsidRPr="001455DC">
        <w:rPr>
          <w:rFonts w:eastAsia="Symbol" w:cs="Symbol"/>
        </w:rPr>
        <w:t>Δ</w:t>
      </w:r>
      <w:r w:rsidRPr="001455DC">
        <w:rPr>
          <w:rStyle w:val="CCMCvariableitalic"/>
        </w:rPr>
        <w:t>σ</w:t>
      </w:r>
      <w:r w:rsidRPr="001455DC">
        <w:rPr>
          <w:rStyle w:val="CCMCvariablesubscript"/>
        </w:rPr>
        <w:t>pd</w:t>
      </w:r>
      <w:r w:rsidRPr="001455DC">
        <w:t> </w:t>
      </w:r>
      <w:r w:rsidR="00650035" w:rsidRPr="001455DC">
        <w:rPr>
          <w:rFonts w:ascii="Cambria Math" w:hAnsi="Cambria Math"/>
        </w:rPr>
        <w:t>≤</w:t>
      </w:r>
      <w:r w:rsidRPr="001455DC">
        <w:t> 95 MPa</w:t>
      </w:r>
      <w:r w:rsidRPr="001455DC">
        <w:tab/>
        <w:t>single strands in plastic ducts,</w:t>
      </w:r>
    </w:p>
    <w:p w14:paraId="37829D2E" w14:textId="7445CD5D" w:rsidR="004E22C1" w:rsidRPr="001455DC" w:rsidRDefault="004E22C1" w:rsidP="00082680">
      <w:pPr>
        <w:pStyle w:val="2"/>
        <w:numPr>
          <w:ilvl w:val="0"/>
          <w:numId w:val="27"/>
        </w:numPr>
        <w:ind w:left="714" w:hanging="357"/>
      </w:pPr>
      <w:r w:rsidRPr="001455DC">
        <w:rPr>
          <w:rFonts w:eastAsia="Symbol" w:cs="Symbol"/>
        </w:rPr>
        <w:t>Δ</w:t>
      </w:r>
      <w:r w:rsidRPr="001455DC">
        <w:rPr>
          <w:rStyle w:val="CCMCvariableitalic"/>
        </w:rPr>
        <w:t>σ</w:t>
      </w:r>
      <w:r w:rsidRPr="001455DC">
        <w:rPr>
          <w:rStyle w:val="CCMCvariablesubscript"/>
        </w:rPr>
        <w:t>pd</w:t>
      </w:r>
      <w:r w:rsidRPr="001455DC">
        <w:t> </w:t>
      </w:r>
      <w:r w:rsidR="00650035" w:rsidRPr="001455DC">
        <w:rPr>
          <w:rFonts w:ascii="Cambria Math" w:hAnsi="Cambria Math"/>
        </w:rPr>
        <w:t>≤</w:t>
      </w:r>
      <w:r w:rsidRPr="001455DC">
        <w:t> 80 MPa</w:t>
      </w:r>
      <w:r w:rsidRPr="001455DC">
        <w:tab/>
        <w:t>straight tendons and curved tendons in plastic ducts,</w:t>
      </w:r>
    </w:p>
    <w:p w14:paraId="28D4BB43" w14:textId="38F00B6B" w:rsidR="004E22C1" w:rsidRPr="001455DC" w:rsidRDefault="004E22C1" w:rsidP="00082680">
      <w:pPr>
        <w:pStyle w:val="2"/>
        <w:numPr>
          <w:ilvl w:val="0"/>
          <w:numId w:val="27"/>
        </w:numPr>
        <w:ind w:left="714" w:hanging="357"/>
      </w:pPr>
      <w:r w:rsidRPr="001455DC">
        <w:rPr>
          <w:rFonts w:eastAsia="Symbol" w:cs="Symbol"/>
        </w:rPr>
        <w:t>Δ</w:t>
      </w:r>
      <w:r w:rsidRPr="001455DC">
        <w:rPr>
          <w:rStyle w:val="CCMCvariableitalic"/>
        </w:rPr>
        <w:t>σ</w:t>
      </w:r>
      <w:r w:rsidRPr="001455DC">
        <w:rPr>
          <w:rStyle w:val="CCMCvariablesubscript"/>
        </w:rPr>
        <w:t>pd</w:t>
      </w:r>
      <w:r w:rsidRPr="001455DC">
        <w:t> </w:t>
      </w:r>
      <w:r w:rsidR="00650035" w:rsidRPr="001455DC">
        <w:rPr>
          <w:rFonts w:ascii="Cambria Math" w:hAnsi="Cambria Math"/>
        </w:rPr>
        <w:t>≤</w:t>
      </w:r>
      <w:r w:rsidRPr="001455DC">
        <w:t> 55 MPa</w:t>
      </w:r>
      <w:r w:rsidRPr="001455DC">
        <w:tab/>
        <w:t>curved tendons in steel ducts.</w:t>
      </w:r>
    </w:p>
    <w:p w14:paraId="0420D31C" w14:textId="215DDE14" w:rsidR="004E22C1" w:rsidRPr="001455DC" w:rsidRDefault="004E22C1" w:rsidP="0079403C">
      <w:pPr>
        <w:pStyle w:val="Note"/>
        <w:spacing w:after="160"/>
      </w:pPr>
      <w:r w:rsidRPr="001455DC">
        <w:t>NOTE</w:t>
      </w:r>
      <w:r w:rsidRPr="001455DC">
        <w:tab/>
        <w:t xml:space="preserve">These limits for the design stress ranges (including partial factor </w:t>
      </w:r>
      <w:r w:rsidRPr="001455DC">
        <w:rPr>
          <w:rStyle w:val="CCMCvariableitalic"/>
        </w:rPr>
        <w:t>γ</w:t>
      </w:r>
      <w:r w:rsidRPr="001455DC">
        <w:rPr>
          <w:rStyle w:val="CCMCvariablesubscript"/>
        </w:rPr>
        <w:t>F,f</w:t>
      </w:r>
      <w:r w:rsidRPr="001455DC">
        <w:t xml:space="preserve"> according to </w:t>
      </w:r>
      <w:r w:rsidR="00DF00C7">
        <w:t>pr</w:t>
      </w:r>
      <w:r w:rsidRPr="001455DC">
        <w:t>EN 1990) in the reinforcement are based on 10</w:t>
      </w:r>
      <w:r w:rsidRPr="001455DC">
        <w:rPr>
          <w:rStyle w:val="CCMCvariablesuperscript"/>
        </w:rPr>
        <w:t>8</w:t>
      </w:r>
      <w:r w:rsidRPr="001455DC">
        <w:t xml:space="preserve"> assumed load cycles and </w:t>
      </w:r>
      <w:r w:rsidRPr="001455DC">
        <w:rPr>
          <w:rStyle w:val="CCMCvariableitalic"/>
        </w:rPr>
        <w:t>γ</w:t>
      </w:r>
      <w:r w:rsidRPr="001455DC">
        <w:rPr>
          <w:rStyle w:val="CCMCvariablesubscript"/>
        </w:rPr>
        <w:t>S</w:t>
      </w:r>
      <w:r w:rsidRPr="001455DC">
        <w:t> </w:t>
      </w:r>
      <w:r w:rsidR="00EC27D2" w:rsidRPr="001455DC">
        <w:rPr>
          <w:rFonts w:ascii="Cambria Math" w:hAnsi="Cambria Math"/>
        </w:rPr>
        <w:t>=</w:t>
      </w:r>
      <w:r w:rsidRPr="001455DC">
        <w:t> 1,15.</w:t>
      </w:r>
    </w:p>
    <w:p w14:paraId="7A4F7D82" w14:textId="77777777" w:rsidR="004E22C1" w:rsidRPr="001455DC" w:rsidRDefault="004E22C1" w:rsidP="00DE5B30">
      <w:pPr>
        <w:pStyle w:val="a7"/>
      </w:pPr>
      <w:r w:rsidRPr="001455DC">
        <w:t>(2)</w:t>
      </w:r>
      <w:r w:rsidRPr="001455DC">
        <w:tab/>
        <w:t>Where welded reinforcing bars or coupling devices of tendons are used in prestressed concrete, no tension may appear in the concrete section over the depth of the prestressing tendons or reinforcing steel bar under the fatigue load combination according to 10.2 with the frequent fatigue load.</w:t>
      </w:r>
    </w:p>
    <w:p w14:paraId="568EE819" w14:textId="1E80C732" w:rsidR="004E22C1" w:rsidRPr="001455DC" w:rsidRDefault="004E22C1" w:rsidP="006D682B">
      <w:pPr>
        <w:pStyle w:val="21"/>
      </w:pPr>
      <w:bookmarkStart w:id="761" w:name="_Toc52820022"/>
      <w:bookmarkStart w:id="762" w:name="_Toc54337419"/>
      <w:bookmarkStart w:id="763" w:name="_Toc54338079"/>
      <w:bookmarkStart w:id="764" w:name="_Toc67565423"/>
      <w:r w:rsidRPr="001455DC">
        <w:t>Simplified verification of concrete under compression or compression-tension</w:t>
      </w:r>
      <w:bookmarkEnd w:id="761"/>
      <w:bookmarkEnd w:id="762"/>
      <w:bookmarkEnd w:id="763"/>
      <w:bookmarkEnd w:id="764"/>
    </w:p>
    <w:p w14:paraId="7BF5B7B6" w14:textId="77777777" w:rsidR="00DE5B30" w:rsidRPr="001455DC" w:rsidRDefault="004E22C1" w:rsidP="00DE5B30">
      <w:pPr>
        <w:pStyle w:val="a7"/>
      </w:pPr>
      <w:r w:rsidRPr="001455DC">
        <w:t>(1)</w:t>
      </w:r>
      <w:r w:rsidRPr="001455DC">
        <w:tab/>
        <w:t>Adequate fatigue resistance of concrete under compression or compression-tension may be assumed to be met, if the following condition is satisfied:</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DE5B30" w:rsidRPr="001455DC" w14:paraId="13DF7CA9" w14:textId="77777777" w:rsidTr="00486ADF">
        <w:trPr>
          <w:cantSplit/>
        </w:trPr>
        <w:tc>
          <w:tcPr>
            <w:tcW w:w="8505" w:type="dxa"/>
            <w:vAlign w:val="center"/>
          </w:tcPr>
          <w:p w14:paraId="1C95BB7A" w14:textId="7C9F2C10" w:rsidR="00DE5B30" w:rsidRPr="001455DC" w:rsidRDefault="00231E33" w:rsidP="00486ADF">
            <w:pPr>
              <w:pStyle w:val="Formula"/>
              <w:jc w:val="left"/>
            </w:pPr>
            <m:oMathPara>
              <m:oMathParaPr>
                <m:jc m:val="left"/>
              </m:oMathParaPr>
              <m:oMath>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σ</m:t>
                            </m:r>
                          </m:e>
                          <m:sub>
                            <m:r>
                              <m:rPr>
                                <m:sty m:val="p"/>
                              </m:rPr>
                              <w:rPr>
                                <w:rFonts w:ascii="Cambria Math" w:hAnsi="Cambria Math"/>
                              </w:rPr>
                              <m:t>cd,max</m:t>
                            </m:r>
                          </m:sub>
                        </m:sSub>
                      </m:e>
                    </m:d>
                  </m:num>
                  <m:den>
                    <m:sSub>
                      <m:sSubPr>
                        <m:ctrlPr>
                          <w:rPr>
                            <w:rFonts w:ascii="Cambria Math" w:hAnsi="Cambria Math"/>
                          </w:rPr>
                        </m:ctrlPr>
                      </m:sSubPr>
                      <m:e>
                        <m:r>
                          <w:rPr>
                            <w:rFonts w:ascii="Cambria Math" w:hAnsi="Cambria Math"/>
                          </w:rPr>
                          <m:t>f</m:t>
                        </m:r>
                      </m:e>
                      <m:sub>
                        <m:r>
                          <m:rPr>
                            <m:sty m:val="p"/>
                          </m:rPr>
                          <w:rPr>
                            <w:rFonts w:ascii="Cambria Math" w:hAnsi="Cambria Math"/>
                          </w:rPr>
                          <m:t>cd,fat</m:t>
                        </m:r>
                      </m:sub>
                    </m:sSub>
                  </m:den>
                </m:f>
                <m:r>
                  <w:rPr>
                    <w:rFonts w:ascii="Cambria Math" w:hAnsi="Cambria Math"/>
                  </w:rPr>
                  <m:t>≤0,5+0,45</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σ</m:t>
                            </m:r>
                          </m:e>
                          <m:sub>
                            <m:r>
                              <m:rPr>
                                <m:sty m:val="p"/>
                              </m:rPr>
                              <w:rPr>
                                <w:rFonts w:ascii="Cambria Math" w:hAnsi="Cambria Math"/>
                              </w:rPr>
                              <m:t>cd,min</m:t>
                            </m:r>
                          </m:sub>
                        </m:sSub>
                      </m:e>
                    </m:d>
                  </m:num>
                  <m:den>
                    <m:sSub>
                      <m:sSubPr>
                        <m:ctrlPr>
                          <w:rPr>
                            <w:rFonts w:ascii="Cambria Math" w:hAnsi="Cambria Math"/>
                          </w:rPr>
                        </m:ctrlPr>
                      </m:sSubPr>
                      <m:e>
                        <m:r>
                          <w:rPr>
                            <w:rFonts w:ascii="Cambria Math" w:hAnsi="Cambria Math"/>
                          </w:rPr>
                          <m:t>f</m:t>
                        </m:r>
                      </m:e>
                      <m:sub>
                        <m:r>
                          <m:rPr>
                            <m:sty m:val="p"/>
                          </m:rPr>
                          <w:rPr>
                            <w:rFonts w:ascii="Cambria Math" w:hAnsi="Cambria Math"/>
                          </w:rPr>
                          <m:t>cd,fat</m:t>
                        </m:r>
                      </m:sub>
                    </m:sSub>
                  </m:den>
                </m:f>
                <m:r>
                  <w:rPr>
                    <w:rFonts w:ascii="Cambria Math" w:hAnsi="Cambria Math"/>
                  </w:rPr>
                  <m:t>≤0,90</m:t>
                </m:r>
              </m:oMath>
            </m:oMathPara>
          </w:p>
        </w:tc>
        <w:tc>
          <w:tcPr>
            <w:tcW w:w="1247" w:type="dxa"/>
            <w:vAlign w:val="center"/>
          </w:tcPr>
          <w:p w14:paraId="374602A0" w14:textId="68E4D1B7" w:rsidR="00DE5B30" w:rsidRPr="001455DC" w:rsidRDefault="00DE5B30" w:rsidP="00486ADF">
            <w:pPr>
              <w:pStyle w:val="a7"/>
              <w:jc w:val="right"/>
            </w:pPr>
            <w:r w:rsidRPr="001455DC">
              <w:t>(10.4)</w:t>
            </w:r>
          </w:p>
        </w:tc>
      </w:tr>
    </w:tbl>
    <w:p w14:paraId="0DE503F5" w14:textId="77777777" w:rsidR="00DE5B30" w:rsidRPr="001455DC" w:rsidRDefault="00DE5B30" w:rsidP="00A35599">
      <w:pPr>
        <w:pStyle w:val="a7"/>
        <w:keepNext/>
      </w:pPr>
      <w:r w:rsidRPr="001455DC">
        <w:t>where</w:t>
      </w:r>
    </w:p>
    <w:tbl>
      <w:tblPr>
        <w:tblW w:w="9413" w:type="dxa"/>
        <w:tblInd w:w="397" w:type="dxa"/>
        <w:tblLayout w:type="fixed"/>
        <w:tblCellMar>
          <w:left w:w="28" w:type="dxa"/>
          <w:right w:w="28" w:type="dxa"/>
        </w:tblCellMar>
        <w:tblLook w:val="04A0" w:firstRow="1" w:lastRow="0" w:firstColumn="1" w:lastColumn="0" w:noHBand="0" w:noVBand="1"/>
      </w:tblPr>
      <w:tblGrid>
        <w:gridCol w:w="851"/>
        <w:gridCol w:w="851"/>
        <w:gridCol w:w="6463"/>
        <w:gridCol w:w="1248"/>
      </w:tblGrid>
      <w:tr w:rsidR="00DE5B30" w:rsidRPr="001455DC" w14:paraId="679656DC" w14:textId="77777777" w:rsidTr="00DE5B30">
        <w:trPr>
          <w:cantSplit/>
        </w:trPr>
        <w:tc>
          <w:tcPr>
            <w:tcW w:w="851" w:type="dxa"/>
          </w:tcPr>
          <w:p w14:paraId="25D58E38" w14:textId="26C35423" w:rsidR="00DE5B30" w:rsidRPr="001455DC" w:rsidRDefault="00DE5B30" w:rsidP="0000442A">
            <w:pPr>
              <w:pStyle w:val="Tablebody"/>
            </w:pPr>
            <w:r w:rsidRPr="001455DC">
              <w:rPr>
                <w:rStyle w:val="CCMCvariableitalic"/>
              </w:rPr>
              <w:t>σ</w:t>
            </w:r>
            <w:r w:rsidRPr="001455DC">
              <w:rPr>
                <w:rStyle w:val="CCMCvariablesubscript"/>
              </w:rPr>
              <w:t>cd,max</w:t>
            </w:r>
          </w:p>
        </w:tc>
        <w:tc>
          <w:tcPr>
            <w:tcW w:w="8562" w:type="dxa"/>
            <w:gridSpan w:val="3"/>
          </w:tcPr>
          <w:p w14:paraId="0CBDC760" w14:textId="3734D2E5" w:rsidR="00DE5B30" w:rsidRPr="001455DC" w:rsidRDefault="00DE5B30" w:rsidP="00BB1209">
            <w:pPr>
              <w:pStyle w:val="Tablebody"/>
            </w:pPr>
            <w:r w:rsidRPr="001455DC">
              <w:t>is the maximum compressive stress at a fibre under the fatigue load combination according to 10.2 with the frequent fatigue load;</w:t>
            </w:r>
          </w:p>
        </w:tc>
      </w:tr>
      <w:tr w:rsidR="00DE5B30" w:rsidRPr="001455DC" w14:paraId="7F9D95F8" w14:textId="77777777" w:rsidTr="00DE5B30">
        <w:trPr>
          <w:cantSplit/>
        </w:trPr>
        <w:tc>
          <w:tcPr>
            <w:tcW w:w="851" w:type="dxa"/>
          </w:tcPr>
          <w:p w14:paraId="0D8F1D7A" w14:textId="0410FC8A" w:rsidR="00DE5B30" w:rsidRPr="001455DC" w:rsidRDefault="00DE5B30" w:rsidP="0000442A">
            <w:pPr>
              <w:pStyle w:val="Tablebody"/>
            </w:pPr>
            <w:r w:rsidRPr="001455DC">
              <w:rPr>
                <w:rStyle w:val="CCMCvariableitalic"/>
              </w:rPr>
              <w:t>σ</w:t>
            </w:r>
            <w:r w:rsidRPr="001455DC">
              <w:rPr>
                <w:rStyle w:val="CCMCvariablesubscript"/>
              </w:rPr>
              <w:t>cd,min</w:t>
            </w:r>
          </w:p>
        </w:tc>
        <w:tc>
          <w:tcPr>
            <w:tcW w:w="8562" w:type="dxa"/>
            <w:gridSpan w:val="3"/>
          </w:tcPr>
          <w:p w14:paraId="466A85D8" w14:textId="29B8384B" w:rsidR="00DE5B30" w:rsidRPr="001455DC" w:rsidRDefault="00DE5B30" w:rsidP="0000442A">
            <w:pPr>
              <w:pStyle w:val="Tablebody"/>
            </w:pPr>
            <w:r w:rsidRPr="001455DC">
              <w:t xml:space="preserve">is the minimum compressive stress at the same fibre where </w:t>
            </w:r>
            <w:r w:rsidRPr="001455DC">
              <w:rPr>
                <w:rStyle w:val="CCMCvariableitalic"/>
              </w:rPr>
              <w:t>σ</w:t>
            </w:r>
            <w:r w:rsidRPr="001455DC">
              <w:rPr>
                <w:rStyle w:val="CCMCvariablesubscript"/>
              </w:rPr>
              <w:t>c,max</w:t>
            </w:r>
            <w:r w:rsidRPr="001455DC">
              <w:t xml:space="preserve"> occurs. If </w:t>
            </w:r>
            <w:r w:rsidRPr="001455DC">
              <w:rPr>
                <w:rStyle w:val="CCMCvariableitalic"/>
              </w:rPr>
              <w:t>σ</w:t>
            </w:r>
            <w:r w:rsidRPr="001455DC">
              <w:rPr>
                <w:rStyle w:val="CCMCvariablesubscript"/>
              </w:rPr>
              <w:t>c,min</w:t>
            </w:r>
            <w:r w:rsidRPr="001455DC">
              <w:t xml:space="preserve"> is a tensile stress, then </w:t>
            </w:r>
            <w:r w:rsidRPr="001455DC">
              <w:rPr>
                <w:rStyle w:val="CCMCvariableitalic"/>
              </w:rPr>
              <w:t>σ</w:t>
            </w:r>
            <w:r w:rsidRPr="001455DC">
              <w:rPr>
                <w:rStyle w:val="CCMCvariablesubscript"/>
              </w:rPr>
              <w:t>cd,min</w:t>
            </w:r>
            <w:r w:rsidRPr="001455DC">
              <w:t xml:space="preserve"> should be taken as 0.</w:t>
            </w:r>
          </w:p>
        </w:tc>
      </w:tr>
      <w:tr w:rsidR="00DE5B30" w:rsidRPr="001455DC" w14:paraId="75077447" w14:textId="77777777" w:rsidTr="00DE5B30">
        <w:trPr>
          <w:cantSplit/>
        </w:trPr>
        <w:tc>
          <w:tcPr>
            <w:tcW w:w="851" w:type="dxa"/>
          </w:tcPr>
          <w:p w14:paraId="5B8F3783" w14:textId="62836407" w:rsidR="00DE5B30" w:rsidRPr="001455DC" w:rsidRDefault="00DE5B30" w:rsidP="00A35599">
            <w:pPr>
              <w:pStyle w:val="Tablebody"/>
              <w:keepNext/>
            </w:pPr>
            <w:r w:rsidRPr="001455DC">
              <w:rPr>
                <w:rStyle w:val="CCMCvariableitalic"/>
              </w:rPr>
              <w:t>f</w:t>
            </w:r>
            <w:r w:rsidRPr="001455DC">
              <w:rPr>
                <w:rStyle w:val="CCMCvariablesubscript"/>
              </w:rPr>
              <w:t>cd,fat</w:t>
            </w:r>
          </w:p>
        </w:tc>
        <w:tc>
          <w:tcPr>
            <w:tcW w:w="8562" w:type="dxa"/>
            <w:gridSpan w:val="3"/>
          </w:tcPr>
          <w:p w14:paraId="20519680" w14:textId="52BCEC54" w:rsidR="00DE5B30" w:rsidRPr="001455DC" w:rsidRDefault="00DE5B30" w:rsidP="00D86695">
            <w:pPr>
              <w:pStyle w:val="Tablebody"/>
            </w:pPr>
            <w:r w:rsidRPr="001455DC">
              <w:t>is the design fatigue strength of concrete according to Formula (10.5)</w:t>
            </w:r>
          </w:p>
        </w:tc>
      </w:tr>
      <w:tr w:rsidR="00DE5B30" w:rsidRPr="001455DC" w14:paraId="538ED56E" w14:textId="77777777" w:rsidTr="00DE5B30">
        <w:trPr>
          <w:cantSplit/>
        </w:trPr>
        <w:tc>
          <w:tcPr>
            <w:tcW w:w="851" w:type="dxa"/>
          </w:tcPr>
          <w:p w14:paraId="2284A0B7" w14:textId="65B6E191" w:rsidR="00DE5B30" w:rsidRPr="001455DC" w:rsidRDefault="00DE5B30" w:rsidP="00EC27D2">
            <w:pPr>
              <w:pStyle w:val="Tablebody"/>
            </w:pPr>
            <w:r w:rsidRPr="001455DC">
              <w:t> </w:t>
            </w:r>
          </w:p>
        </w:tc>
        <w:tc>
          <w:tcPr>
            <w:tcW w:w="7314" w:type="dxa"/>
            <w:gridSpan w:val="2"/>
            <w:vAlign w:val="center"/>
          </w:tcPr>
          <w:p w14:paraId="43384F73" w14:textId="2586CBA9" w:rsidR="00DE5B30" w:rsidRPr="001455DC" w:rsidRDefault="00231E33" w:rsidP="00DE5B30">
            <w:pPr>
              <w:pStyle w:val="Tablebody"/>
              <w:jc w:val="left"/>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cd,fat</m:t>
                    </m:r>
                  </m:sub>
                </m:sSub>
                <m: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cc</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0</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ck</m:t>
                        </m:r>
                      </m:sub>
                    </m:sSub>
                  </m:num>
                  <m:den>
                    <m:sSub>
                      <m:sSubPr>
                        <m:ctrlPr>
                          <w:rPr>
                            <w:rFonts w:ascii="Cambria Math" w:hAnsi="Cambria Math"/>
                          </w:rPr>
                        </m:ctrlPr>
                      </m:sSubPr>
                      <m:e>
                        <m:r>
                          <w:rPr>
                            <w:rFonts w:ascii="Cambria Math" w:hAnsi="Cambria Math"/>
                          </w:rPr>
                          <m:t>γ</m:t>
                        </m:r>
                      </m:e>
                      <m:sub>
                        <m:r>
                          <m:rPr>
                            <m:sty m:val="p"/>
                          </m:rPr>
                          <w:rPr>
                            <w:rFonts w:ascii="Cambria Math" w:hAnsi="Cambria Math"/>
                          </w:rPr>
                          <m:t>C</m:t>
                        </m:r>
                      </m:sub>
                    </m:sSub>
                  </m:den>
                </m:f>
                <m: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tc</m:t>
                    </m:r>
                  </m:sub>
                </m:sSub>
                <m: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cc,fat</m:t>
                    </m:r>
                  </m:sub>
                </m:sSub>
              </m:oMath>
            </m:oMathPara>
          </w:p>
        </w:tc>
        <w:tc>
          <w:tcPr>
            <w:tcW w:w="1248" w:type="dxa"/>
            <w:vAlign w:val="center"/>
          </w:tcPr>
          <w:p w14:paraId="55164CD8" w14:textId="5D47175C" w:rsidR="00DE5B30" w:rsidRPr="001455DC" w:rsidRDefault="00DE5B30" w:rsidP="00DE5B30">
            <w:pPr>
              <w:pStyle w:val="Tablebody"/>
              <w:jc w:val="right"/>
            </w:pPr>
            <w:r w:rsidRPr="001455DC">
              <w:t>(10.5)</w:t>
            </w:r>
          </w:p>
        </w:tc>
      </w:tr>
      <w:tr w:rsidR="00DE5B30" w:rsidRPr="001455DC" w14:paraId="5128CE8B" w14:textId="77777777" w:rsidTr="00486ADF">
        <w:trPr>
          <w:cantSplit/>
        </w:trPr>
        <w:tc>
          <w:tcPr>
            <w:tcW w:w="851" w:type="dxa"/>
          </w:tcPr>
          <w:p w14:paraId="17F9EF10" w14:textId="79FD9DF2" w:rsidR="00DE5B30" w:rsidRPr="001455DC" w:rsidRDefault="00DE5B30" w:rsidP="00EC27D2">
            <w:pPr>
              <w:pStyle w:val="Tablebody"/>
            </w:pPr>
            <w:r w:rsidRPr="001455DC">
              <w:t> </w:t>
            </w:r>
          </w:p>
        </w:tc>
        <w:tc>
          <w:tcPr>
            <w:tcW w:w="8562" w:type="dxa"/>
            <w:gridSpan w:val="3"/>
          </w:tcPr>
          <w:p w14:paraId="7ABD746F" w14:textId="61FA9870" w:rsidR="00DE5B30" w:rsidRPr="001455DC" w:rsidRDefault="00DE5B30" w:rsidP="00486ADF">
            <w:pPr>
              <w:pStyle w:val="Tablebody"/>
            </w:pPr>
            <w:r w:rsidRPr="001455DC">
              <w:t>where</w:t>
            </w:r>
          </w:p>
        </w:tc>
      </w:tr>
      <w:tr w:rsidR="00DE5B30" w:rsidRPr="001455DC" w14:paraId="58882B13" w14:textId="77777777" w:rsidTr="00DE5B30">
        <w:trPr>
          <w:cantSplit/>
        </w:trPr>
        <w:tc>
          <w:tcPr>
            <w:tcW w:w="851" w:type="dxa"/>
          </w:tcPr>
          <w:p w14:paraId="57EDF990" w14:textId="149BDEBD" w:rsidR="00DE5B30" w:rsidRPr="001455DC" w:rsidRDefault="00DE5B30" w:rsidP="0079403C">
            <w:pPr>
              <w:pStyle w:val="Tablebody"/>
              <w:spacing w:before="40"/>
            </w:pPr>
            <w:r w:rsidRPr="001455DC">
              <w:t> </w:t>
            </w:r>
          </w:p>
        </w:tc>
        <w:tc>
          <w:tcPr>
            <w:tcW w:w="851" w:type="dxa"/>
          </w:tcPr>
          <w:p w14:paraId="78224B54" w14:textId="6A54F2A8" w:rsidR="00DE5B30" w:rsidRPr="001455DC" w:rsidRDefault="00DE5B30" w:rsidP="0079403C">
            <w:pPr>
              <w:pStyle w:val="Tablebody"/>
              <w:spacing w:before="40"/>
            </w:pPr>
            <w:r w:rsidRPr="001455DC">
              <w:rPr>
                <w:rStyle w:val="CCMCvariableitalic"/>
              </w:rPr>
              <w:t>β</w:t>
            </w:r>
            <w:r w:rsidRPr="001455DC">
              <w:rPr>
                <w:rStyle w:val="CCMCvariablesubscript"/>
              </w:rPr>
              <w:t>cc</w:t>
            </w:r>
            <w:r w:rsidRPr="001455DC">
              <w:t>(</w:t>
            </w:r>
            <w:r w:rsidRPr="001455DC">
              <w:rPr>
                <w:rStyle w:val="CCMCvariableitalic"/>
              </w:rPr>
              <w:t>t</w:t>
            </w:r>
            <w:r w:rsidRPr="001455DC">
              <w:rPr>
                <w:rStyle w:val="CCMCvariablesubscript"/>
              </w:rPr>
              <w:t>0</w:t>
            </w:r>
            <w:r w:rsidRPr="001455DC">
              <w:t>)</w:t>
            </w:r>
          </w:p>
        </w:tc>
        <w:tc>
          <w:tcPr>
            <w:tcW w:w="7711" w:type="dxa"/>
            <w:gridSpan w:val="2"/>
          </w:tcPr>
          <w:p w14:paraId="56B0D27F" w14:textId="2EA9E363" w:rsidR="00DE5B30" w:rsidRPr="001455DC" w:rsidRDefault="00DE5B30" w:rsidP="0079403C">
            <w:pPr>
              <w:pStyle w:val="Tablebody"/>
              <w:spacing w:before="40"/>
            </w:pPr>
            <w:r w:rsidRPr="001455DC">
              <w:t>is a coefficient for concrete strength at first load application (see B.</w:t>
            </w:r>
            <w:r w:rsidR="005A7F00" w:rsidRPr="001455DC">
              <w:t>4</w:t>
            </w:r>
            <w:r w:rsidRPr="001455DC">
              <w:t>(1));</w:t>
            </w:r>
          </w:p>
        </w:tc>
      </w:tr>
      <w:tr w:rsidR="00DE5B30" w:rsidRPr="001455DC" w14:paraId="57A464FB" w14:textId="77777777" w:rsidTr="00DE5B30">
        <w:trPr>
          <w:cantSplit/>
        </w:trPr>
        <w:tc>
          <w:tcPr>
            <w:tcW w:w="851" w:type="dxa"/>
          </w:tcPr>
          <w:p w14:paraId="13C44A49" w14:textId="218877FA" w:rsidR="00DE5B30" w:rsidRPr="001455DC" w:rsidRDefault="00DE5B30" w:rsidP="0079403C">
            <w:pPr>
              <w:pStyle w:val="Tablebody"/>
              <w:spacing w:before="40"/>
            </w:pPr>
            <w:r w:rsidRPr="001455DC">
              <w:t> </w:t>
            </w:r>
          </w:p>
        </w:tc>
        <w:tc>
          <w:tcPr>
            <w:tcW w:w="851" w:type="dxa"/>
          </w:tcPr>
          <w:p w14:paraId="5A975F7A" w14:textId="5F8BDDAE" w:rsidR="00DE5B30" w:rsidRPr="001455DC" w:rsidRDefault="00DE5B30" w:rsidP="0079403C">
            <w:pPr>
              <w:pStyle w:val="Tablebody"/>
              <w:spacing w:before="40"/>
            </w:pPr>
            <w:r w:rsidRPr="001455DC">
              <w:rPr>
                <w:rStyle w:val="CCMCvariableitalic"/>
              </w:rPr>
              <w:t>t</w:t>
            </w:r>
            <w:r w:rsidRPr="001455DC">
              <w:rPr>
                <w:rStyle w:val="CCMCvariablesubscript"/>
              </w:rPr>
              <w:t>0</w:t>
            </w:r>
          </w:p>
        </w:tc>
        <w:tc>
          <w:tcPr>
            <w:tcW w:w="7711" w:type="dxa"/>
            <w:gridSpan w:val="2"/>
          </w:tcPr>
          <w:p w14:paraId="7C36A6A8" w14:textId="22A55FF1" w:rsidR="00DE5B30" w:rsidRPr="001455DC" w:rsidRDefault="00DE5B30" w:rsidP="0079403C">
            <w:pPr>
              <w:pStyle w:val="Tablebody"/>
              <w:spacing w:before="40"/>
            </w:pPr>
            <w:r w:rsidRPr="001455DC">
              <w:t>is the time of the start of the cyclic loading on concrete in days;</w:t>
            </w:r>
          </w:p>
        </w:tc>
      </w:tr>
      <w:tr w:rsidR="00DE5B30" w:rsidRPr="001455DC" w14:paraId="39D0F253" w14:textId="77777777" w:rsidTr="00DE5B30">
        <w:trPr>
          <w:cantSplit/>
        </w:trPr>
        <w:tc>
          <w:tcPr>
            <w:tcW w:w="851" w:type="dxa"/>
          </w:tcPr>
          <w:p w14:paraId="19C14490" w14:textId="568FA89C" w:rsidR="00DE5B30" w:rsidRPr="001455DC" w:rsidRDefault="00DE5B30" w:rsidP="0079403C">
            <w:pPr>
              <w:pStyle w:val="Tablebody"/>
              <w:spacing w:before="40"/>
            </w:pPr>
            <w:r w:rsidRPr="001455DC">
              <w:t> </w:t>
            </w:r>
          </w:p>
        </w:tc>
        <w:tc>
          <w:tcPr>
            <w:tcW w:w="851" w:type="dxa"/>
          </w:tcPr>
          <w:p w14:paraId="760F133D" w14:textId="6C627F79" w:rsidR="00DE5B30" w:rsidRPr="001455DC" w:rsidRDefault="00DE5B30" w:rsidP="0079403C">
            <w:pPr>
              <w:pStyle w:val="Tablebody"/>
              <w:spacing w:before="40"/>
            </w:pPr>
            <w:r w:rsidRPr="001455DC">
              <w:rPr>
                <w:rStyle w:val="CCMCvariableitalic"/>
              </w:rPr>
              <w:t>η</w:t>
            </w:r>
            <w:r w:rsidRPr="001455DC">
              <w:rPr>
                <w:rStyle w:val="CCMCvariablesubscript"/>
              </w:rPr>
              <w:t>cc,fat</w:t>
            </w:r>
          </w:p>
        </w:tc>
        <w:tc>
          <w:tcPr>
            <w:tcW w:w="7711" w:type="dxa"/>
            <w:gridSpan w:val="2"/>
          </w:tcPr>
          <w:p w14:paraId="3B620119" w14:textId="6095590D" w:rsidR="00DE5B30" w:rsidRPr="001455DC" w:rsidRDefault="00EC27D2" w:rsidP="0079403C">
            <w:pPr>
              <w:pStyle w:val="Tablebody"/>
              <w:spacing w:before="40"/>
            </w:pPr>
            <w:r w:rsidRPr="001455DC">
              <w:rPr>
                <w:rFonts w:ascii="Cambria Math" w:hAnsi="Cambria Math"/>
              </w:rPr>
              <w:t>=</w:t>
            </w:r>
            <w:r w:rsidR="00DE5B30" w:rsidRPr="001455DC">
              <w:t xml:space="preserve"> min{0,85</w:t>
            </w:r>
            <w:r w:rsidR="00DE5B30" w:rsidRPr="001455DC">
              <w:rPr>
                <w:rStyle w:val="CCMCvariableitalic"/>
              </w:rPr>
              <w:t>η</w:t>
            </w:r>
            <w:r w:rsidR="00DE5B30" w:rsidRPr="001455DC">
              <w:rPr>
                <w:rStyle w:val="CCMCvariablesubscript"/>
              </w:rPr>
              <w:t>cc</w:t>
            </w:r>
            <w:r w:rsidR="00DE5B30" w:rsidRPr="001455DC">
              <w:t>; 0,8};</w:t>
            </w:r>
          </w:p>
        </w:tc>
      </w:tr>
      <w:tr w:rsidR="00DE5B30" w:rsidRPr="001455DC" w14:paraId="7C7A4D08" w14:textId="77777777" w:rsidTr="00DE5B30">
        <w:trPr>
          <w:cantSplit/>
        </w:trPr>
        <w:tc>
          <w:tcPr>
            <w:tcW w:w="851" w:type="dxa"/>
          </w:tcPr>
          <w:p w14:paraId="3309AFD0" w14:textId="06D6DE3B" w:rsidR="00DE5B30" w:rsidRPr="001455DC" w:rsidRDefault="00DE5B30" w:rsidP="00EC27D2">
            <w:pPr>
              <w:pStyle w:val="Tablebody"/>
            </w:pPr>
            <w:r w:rsidRPr="001455DC">
              <w:t> </w:t>
            </w:r>
          </w:p>
        </w:tc>
        <w:tc>
          <w:tcPr>
            <w:tcW w:w="851" w:type="dxa"/>
          </w:tcPr>
          <w:p w14:paraId="78A8A0C9" w14:textId="267008AE" w:rsidR="00DE5B30" w:rsidRPr="001455DC" w:rsidRDefault="00DE5B30" w:rsidP="00486ADF">
            <w:pPr>
              <w:pStyle w:val="Tablebody"/>
            </w:pPr>
            <w:r w:rsidRPr="001455DC">
              <w:rPr>
                <w:rStyle w:val="CCMCvariableitalic"/>
              </w:rPr>
              <w:t>η</w:t>
            </w:r>
            <w:r w:rsidRPr="001455DC">
              <w:rPr>
                <w:rStyle w:val="CCMCvariablesubscript"/>
              </w:rPr>
              <w:t>cc</w:t>
            </w:r>
          </w:p>
        </w:tc>
        <w:tc>
          <w:tcPr>
            <w:tcW w:w="7711" w:type="dxa"/>
            <w:gridSpan w:val="2"/>
          </w:tcPr>
          <w:p w14:paraId="782D49EF" w14:textId="7E4C33F4" w:rsidR="00DE5B30" w:rsidRPr="001455DC" w:rsidRDefault="00DE5B30" w:rsidP="00486ADF">
            <w:pPr>
              <w:pStyle w:val="Tablebody"/>
            </w:pPr>
            <w:r w:rsidRPr="001455DC">
              <w:t>according to 5.1.6(1).</w:t>
            </w:r>
          </w:p>
        </w:tc>
      </w:tr>
    </w:tbl>
    <w:p w14:paraId="02A05C05" w14:textId="06F5817F" w:rsidR="004E22C1" w:rsidRPr="001455DC" w:rsidRDefault="004E22C1" w:rsidP="006D682B">
      <w:pPr>
        <w:pStyle w:val="21"/>
      </w:pPr>
      <w:bookmarkStart w:id="765" w:name="_Toc52820023"/>
      <w:bookmarkStart w:id="766" w:name="_Toc54337420"/>
      <w:bookmarkStart w:id="767" w:name="_Toc54338080"/>
      <w:bookmarkStart w:id="768" w:name="_Toc67565424"/>
      <w:r w:rsidRPr="001455DC">
        <w:t>Simplified verification of concrete under shear</w:t>
      </w:r>
      <w:bookmarkEnd w:id="765"/>
      <w:bookmarkEnd w:id="766"/>
      <w:bookmarkEnd w:id="767"/>
      <w:bookmarkEnd w:id="768"/>
    </w:p>
    <w:p w14:paraId="5CF6E97B" w14:textId="5546A274" w:rsidR="004E22C1" w:rsidRPr="001455DC" w:rsidRDefault="004E22C1" w:rsidP="00DE5B30">
      <w:pPr>
        <w:pStyle w:val="a7"/>
      </w:pPr>
      <w:r w:rsidRPr="001455DC">
        <w:t>(1)</w:t>
      </w:r>
      <w:r w:rsidRPr="001455DC">
        <w:tab/>
        <w:t xml:space="preserve">For members requiring design shear reinforcement at the ultimate limit state, Formula (10.4) may be applied to the struts of members subjected to shear. In this case the design fatigue reference strength of concrete </w:t>
      </w:r>
      <w:r w:rsidRPr="001455DC">
        <w:rPr>
          <w:rStyle w:val="CCMCvariableitalic"/>
        </w:rPr>
        <w:t>f</w:t>
      </w:r>
      <w:r w:rsidRPr="001455DC">
        <w:rPr>
          <w:rStyle w:val="CCMCvariablesubscript"/>
        </w:rPr>
        <w:t>cd,fat</w:t>
      </w:r>
      <w:r w:rsidRPr="001455DC">
        <w:t xml:space="preserve"> should be reduced by the strength reduction factor </w:t>
      </w:r>
      <w:r w:rsidRPr="001455DC">
        <w:rPr>
          <w:rStyle w:val="CCMCvariableitalic"/>
        </w:rPr>
        <w:t>ν</w:t>
      </w:r>
      <w:r w:rsidRPr="001455DC">
        <w:t xml:space="preserve"> (see 8.2.3(5)).</w:t>
      </w:r>
    </w:p>
    <w:p w14:paraId="07680056" w14:textId="1B2A2EEE" w:rsidR="004E22C1" w:rsidRPr="001455DC" w:rsidRDefault="004E22C1" w:rsidP="00E844D2">
      <w:pPr>
        <w:pStyle w:val="a7"/>
        <w:keepNext/>
      </w:pPr>
      <w:r w:rsidRPr="001455DC">
        <w:t>(2)</w:t>
      </w:r>
      <w:r w:rsidRPr="001455DC">
        <w:tab/>
        <w:t>For members not requiring design shear reinforcement at the ultimate limit state it may be assumed that the concrete resists fatigue due to shear effects where the following formulae are complied with:</w:t>
      </w:r>
    </w:p>
    <w:p w14:paraId="3C571117" w14:textId="46A85A5F" w:rsidR="00DE5B30" w:rsidRPr="001455DC" w:rsidRDefault="004E22C1" w:rsidP="00E844D2">
      <w:pPr>
        <w:pStyle w:val="a7"/>
        <w:keepNext/>
      </w:pPr>
      <w:r w:rsidRPr="001455DC">
        <w:t xml:space="preserve">for </w:t>
      </w:r>
      <w:r w:rsidRPr="001455DC">
        <w:rPr>
          <w:rStyle w:val="CCMCvariableitalic"/>
        </w:rPr>
        <w:t>τ</w:t>
      </w:r>
      <w:r w:rsidRPr="001455DC">
        <w:rPr>
          <w:rStyle w:val="CCMCvariablesubscript"/>
        </w:rPr>
        <w:t>Ed,min</w:t>
      </w:r>
      <w:r w:rsidRPr="001455DC">
        <w:t>/</w:t>
      </w:r>
      <w:r w:rsidRPr="001455DC">
        <w:rPr>
          <w:rStyle w:val="CCMCvariableitalic"/>
        </w:rPr>
        <w:t>τ</w:t>
      </w:r>
      <w:r w:rsidRPr="001455DC">
        <w:rPr>
          <w:rStyle w:val="CCMCvariablesubscript"/>
        </w:rPr>
        <w:t>Ed,max</w:t>
      </w:r>
      <w:r w:rsidRPr="001455DC">
        <w:t> </w:t>
      </w:r>
      <w:r w:rsidR="00650035" w:rsidRPr="001455DC">
        <w:rPr>
          <w:rFonts w:ascii="Cambria Math" w:hAnsi="Cambria Math"/>
        </w:rPr>
        <w:t>≥</w:t>
      </w:r>
      <w:r w:rsidR="00073FC6" w:rsidRPr="001455DC">
        <w:t> </w:t>
      </w:r>
      <w:r w:rsidRPr="001455DC">
        <w:t>0:</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DE5B30" w:rsidRPr="001455DC" w14:paraId="3CF037A8" w14:textId="77777777" w:rsidTr="00486ADF">
        <w:trPr>
          <w:cantSplit/>
        </w:trPr>
        <w:tc>
          <w:tcPr>
            <w:tcW w:w="8505" w:type="dxa"/>
            <w:vAlign w:val="center"/>
          </w:tcPr>
          <w:p w14:paraId="733774C5" w14:textId="54E469BB" w:rsidR="00DE5B30" w:rsidRPr="001455DC" w:rsidRDefault="00231E33" w:rsidP="00486ADF">
            <w:pPr>
              <w:pStyle w:val="Formula"/>
              <w:jc w:val="left"/>
            </w:pPr>
            <m:oMathPara>
              <m:oMathParaPr>
                <m:jc m:val="left"/>
              </m:oMathParaPr>
              <m:oMath>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τ</m:t>
                            </m:r>
                          </m:e>
                          <m:sub>
                            <m:r>
                              <m:rPr>
                                <m:sty m:val="p"/>
                              </m:rPr>
                              <w:rPr>
                                <w:rFonts w:ascii="Cambria Math" w:hAnsi="Cambria Math"/>
                              </w:rPr>
                              <m:t>Ed,max</m:t>
                            </m:r>
                          </m:sub>
                        </m:sSub>
                      </m:e>
                    </m:d>
                  </m:num>
                  <m:den>
                    <m:sSub>
                      <m:sSubPr>
                        <m:ctrlPr>
                          <w:rPr>
                            <w:rFonts w:ascii="Cambria Math" w:hAnsi="Cambria Math"/>
                          </w:rPr>
                        </m:ctrlPr>
                      </m:sSubPr>
                      <m:e>
                        <m:r>
                          <w:rPr>
                            <w:rFonts w:ascii="Cambria Math" w:hAnsi="Cambria Math"/>
                          </w:rPr>
                          <m:t>τ</m:t>
                        </m:r>
                      </m:e>
                      <m:sub>
                        <m:r>
                          <m:rPr>
                            <m:sty m:val="p"/>
                          </m:rPr>
                          <w:rPr>
                            <w:rFonts w:ascii="Cambria Math" w:hAnsi="Cambria Math"/>
                          </w:rPr>
                          <m:t>Rd,c</m:t>
                        </m:r>
                      </m:sub>
                    </m:sSub>
                  </m:den>
                </m:f>
                <m:r>
                  <w:rPr>
                    <w:rFonts w:ascii="Cambria Math" w:hAnsi="Cambria Math"/>
                  </w:rPr>
                  <m:t>≤0,5+0,45</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τ</m:t>
                            </m:r>
                          </m:e>
                          <m:sub>
                            <m:r>
                              <m:rPr>
                                <m:sty m:val="p"/>
                              </m:rPr>
                              <w:rPr>
                                <w:rFonts w:ascii="Cambria Math" w:hAnsi="Cambria Math"/>
                              </w:rPr>
                              <m:t>Ed,min</m:t>
                            </m:r>
                          </m:sub>
                        </m:sSub>
                      </m:e>
                    </m:d>
                  </m:num>
                  <m:den>
                    <m:sSub>
                      <m:sSubPr>
                        <m:ctrlPr>
                          <w:rPr>
                            <w:rFonts w:ascii="Cambria Math" w:hAnsi="Cambria Math"/>
                          </w:rPr>
                        </m:ctrlPr>
                      </m:sSubPr>
                      <m:e>
                        <m:r>
                          <w:rPr>
                            <w:rFonts w:ascii="Cambria Math" w:hAnsi="Cambria Math"/>
                          </w:rPr>
                          <m:t>τ</m:t>
                        </m:r>
                      </m:e>
                      <m:sub>
                        <m:r>
                          <m:rPr>
                            <m:sty m:val="p"/>
                          </m:rPr>
                          <w:rPr>
                            <w:rFonts w:ascii="Cambria Math" w:hAnsi="Cambria Math"/>
                          </w:rPr>
                          <m:t>Rd,c</m:t>
                        </m:r>
                      </m:sub>
                    </m:sSub>
                  </m:den>
                </m:f>
                <m:r>
                  <w:rPr>
                    <w:rFonts w:ascii="Cambria Math" w:hAnsi="Cambria Math"/>
                  </w:rPr>
                  <m:t>≤0,90</m:t>
                </m:r>
              </m:oMath>
            </m:oMathPara>
          </w:p>
        </w:tc>
        <w:tc>
          <w:tcPr>
            <w:tcW w:w="1247" w:type="dxa"/>
            <w:vAlign w:val="center"/>
          </w:tcPr>
          <w:p w14:paraId="3187AC78" w14:textId="500516FD" w:rsidR="00DE5B30" w:rsidRPr="001455DC" w:rsidRDefault="00DE5B30" w:rsidP="00486ADF">
            <w:pPr>
              <w:pStyle w:val="a7"/>
              <w:jc w:val="right"/>
            </w:pPr>
            <w:r w:rsidRPr="001455DC">
              <w:t>(10.6)</w:t>
            </w:r>
          </w:p>
        </w:tc>
      </w:tr>
    </w:tbl>
    <w:p w14:paraId="7CC8B5EA" w14:textId="2448BCB1" w:rsidR="00DE5B30" w:rsidRPr="001455DC" w:rsidRDefault="004E22C1" w:rsidP="00E844D2">
      <w:pPr>
        <w:pStyle w:val="a7"/>
        <w:keepNext/>
      </w:pPr>
      <w:r w:rsidRPr="001455DC">
        <w:t xml:space="preserve">for </w:t>
      </w:r>
      <w:r w:rsidRPr="001455DC">
        <w:rPr>
          <w:rStyle w:val="CCMCvariableitalic"/>
        </w:rPr>
        <w:t>τ</w:t>
      </w:r>
      <w:r w:rsidRPr="001455DC">
        <w:rPr>
          <w:rStyle w:val="CCMCvariablesubscript"/>
        </w:rPr>
        <w:t>Ed,min</w:t>
      </w:r>
      <w:r w:rsidRPr="001455DC">
        <w:t>/</w:t>
      </w:r>
      <w:r w:rsidRPr="001455DC">
        <w:rPr>
          <w:rStyle w:val="CCMCvariableitalic"/>
        </w:rPr>
        <w:t>τ</w:t>
      </w:r>
      <w:r w:rsidRPr="001455DC">
        <w:rPr>
          <w:rStyle w:val="CCMCvariablesubscript"/>
        </w:rPr>
        <w:t>Ed,max</w:t>
      </w:r>
      <w:r w:rsidRPr="001455DC">
        <w:t> </w:t>
      </w:r>
      <w:r w:rsidR="00650035" w:rsidRPr="001455DC">
        <w:rPr>
          <w:rFonts w:ascii="Cambria Math" w:hAnsi="Cambria Math"/>
        </w:rPr>
        <w:t>&lt;</w:t>
      </w:r>
      <w:r w:rsidRPr="001455DC">
        <w:t> 0:</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DE5B30" w:rsidRPr="001455DC" w14:paraId="5178637A" w14:textId="77777777" w:rsidTr="00486ADF">
        <w:trPr>
          <w:cantSplit/>
        </w:trPr>
        <w:tc>
          <w:tcPr>
            <w:tcW w:w="8505" w:type="dxa"/>
            <w:vAlign w:val="center"/>
          </w:tcPr>
          <w:p w14:paraId="3AF7D62F" w14:textId="207CD877" w:rsidR="00DE5B30" w:rsidRPr="001455DC" w:rsidRDefault="00231E33" w:rsidP="00486ADF">
            <w:pPr>
              <w:pStyle w:val="Formula"/>
              <w:jc w:val="left"/>
            </w:pPr>
            <m:oMathPara>
              <m:oMathParaPr>
                <m:jc m:val="left"/>
              </m:oMathParaPr>
              <m:oMath>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τ</m:t>
                            </m:r>
                          </m:e>
                          <m:sub>
                            <m:r>
                              <m:rPr>
                                <m:sty m:val="p"/>
                              </m:rPr>
                              <w:rPr>
                                <w:rFonts w:ascii="Cambria Math" w:hAnsi="Cambria Math"/>
                              </w:rPr>
                              <m:t>Ed,max</m:t>
                            </m:r>
                          </m:sub>
                        </m:sSub>
                      </m:e>
                    </m:d>
                  </m:num>
                  <m:den>
                    <m:sSub>
                      <m:sSubPr>
                        <m:ctrlPr>
                          <w:rPr>
                            <w:rFonts w:ascii="Cambria Math" w:hAnsi="Cambria Math"/>
                          </w:rPr>
                        </m:ctrlPr>
                      </m:sSubPr>
                      <m:e>
                        <m:r>
                          <w:rPr>
                            <w:rFonts w:ascii="Cambria Math" w:hAnsi="Cambria Math"/>
                          </w:rPr>
                          <m:t>τ</m:t>
                        </m:r>
                      </m:e>
                      <m:sub>
                        <m:r>
                          <m:rPr>
                            <m:sty m:val="p"/>
                          </m:rPr>
                          <w:rPr>
                            <w:rFonts w:ascii="Cambria Math" w:hAnsi="Cambria Math"/>
                          </w:rPr>
                          <m:t>Rd,c</m:t>
                        </m:r>
                      </m:sub>
                    </m:sSub>
                  </m:den>
                </m:f>
                <m:r>
                  <w:rPr>
                    <w:rFonts w:ascii="Cambria Math" w:hAnsi="Cambria Math"/>
                  </w:rPr>
                  <m:t>≤0,5-</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τ</m:t>
                            </m:r>
                          </m:e>
                          <m:sub>
                            <m:r>
                              <m:rPr>
                                <m:sty m:val="p"/>
                              </m:rPr>
                              <w:rPr>
                                <w:rFonts w:ascii="Cambria Math" w:hAnsi="Cambria Math"/>
                              </w:rPr>
                              <m:t>Ed,min</m:t>
                            </m:r>
                          </m:sub>
                        </m:sSub>
                      </m:e>
                    </m:d>
                  </m:num>
                  <m:den>
                    <m:sSub>
                      <m:sSubPr>
                        <m:ctrlPr>
                          <w:rPr>
                            <w:rFonts w:ascii="Cambria Math" w:hAnsi="Cambria Math"/>
                          </w:rPr>
                        </m:ctrlPr>
                      </m:sSubPr>
                      <m:e>
                        <m:r>
                          <w:rPr>
                            <w:rFonts w:ascii="Cambria Math" w:hAnsi="Cambria Math"/>
                          </w:rPr>
                          <m:t>τ</m:t>
                        </m:r>
                      </m:e>
                      <m:sub>
                        <m:r>
                          <m:rPr>
                            <m:sty m:val="p"/>
                          </m:rPr>
                          <w:rPr>
                            <w:rFonts w:ascii="Cambria Math" w:hAnsi="Cambria Math"/>
                          </w:rPr>
                          <m:t>Rd,c</m:t>
                        </m:r>
                      </m:sub>
                    </m:sSub>
                  </m:den>
                </m:f>
              </m:oMath>
            </m:oMathPara>
          </w:p>
        </w:tc>
        <w:tc>
          <w:tcPr>
            <w:tcW w:w="1247" w:type="dxa"/>
            <w:vAlign w:val="center"/>
          </w:tcPr>
          <w:p w14:paraId="50E08C6F" w14:textId="3402C59F" w:rsidR="00DE5B30" w:rsidRPr="001455DC" w:rsidRDefault="00DE5B30" w:rsidP="00486ADF">
            <w:pPr>
              <w:pStyle w:val="a7"/>
              <w:jc w:val="right"/>
            </w:pPr>
            <w:r w:rsidRPr="001455DC">
              <w:t>(10.7)</w:t>
            </w:r>
          </w:p>
        </w:tc>
      </w:tr>
    </w:tbl>
    <w:p w14:paraId="2A616D01" w14:textId="77777777" w:rsidR="00DE5B30" w:rsidRPr="001455DC" w:rsidRDefault="00DE5B30" w:rsidP="00A35599">
      <w:pPr>
        <w:pStyle w:val="a7"/>
        <w:keepNext/>
      </w:pPr>
      <w:r w:rsidRPr="001455DC">
        <w:t>where</w:t>
      </w:r>
    </w:p>
    <w:tbl>
      <w:tblPr>
        <w:tblW w:w="9413" w:type="dxa"/>
        <w:tblInd w:w="397" w:type="dxa"/>
        <w:tblLayout w:type="fixed"/>
        <w:tblCellMar>
          <w:left w:w="28" w:type="dxa"/>
          <w:right w:w="28" w:type="dxa"/>
        </w:tblCellMar>
        <w:tblLook w:val="04A0" w:firstRow="1" w:lastRow="0" w:firstColumn="1" w:lastColumn="0" w:noHBand="0" w:noVBand="1"/>
      </w:tblPr>
      <w:tblGrid>
        <w:gridCol w:w="851"/>
        <w:gridCol w:w="8562"/>
      </w:tblGrid>
      <w:tr w:rsidR="00DE5B30" w:rsidRPr="001455DC" w14:paraId="4500DC98" w14:textId="77777777" w:rsidTr="00DE5B30">
        <w:trPr>
          <w:cantSplit/>
        </w:trPr>
        <w:tc>
          <w:tcPr>
            <w:tcW w:w="851" w:type="dxa"/>
          </w:tcPr>
          <w:p w14:paraId="769F8365" w14:textId="026497B3" w:rsidR="00DE5B30" w:rsidRPr="001455DC" w:rsidRDefault="00DE5B30" w:rsidP="0000442A">
            <w:pPr>
              <w:pStyle w:val="Tablebody"/>
            </w:pPr>
            <w:r w:rsidRPr="001455DC">
              <w:rPr>
                <w:rStyle w:val="CCMCvariableitalic"/>
              </w:rPr>
              <w:t>τ</w:t>
            </w:r>
            <w:r w:rsidRPr="001455DC">
              <w:rPr>
                <w:rStyle w:val="CCMCvariablesubscript"/>
              </w:rPr>
              <w:t>Ed,max</w:t>
            </w:r>
          </w:p>
        </w:tc>
        <w:tc>
          <w:tcPr>
            <w:tcW w:w="8562" w:type="dxa"/>
          </w:tcPr>
          <w:p w14:paraId="6080B732" w14:textId="46850A2E" w:rsidR="00DE5B30" w:rsidRPr="001455DC" w:rsidRDefault="00DE5B30">
            <w:pPr>
              <w:pStyle w:val="Tablebody"/>
            </w:pPr>
            <w:r w:rsidRPr="001455DC">
              <w:t xml:space="preserve">is the design shear stress </w:t>
            </w:r>
            <w:r w:rsidR="001F6111" w:rsidRPr="001455DC">
              <w:t xml:space="preserve">due to </w:t>
            </w:r>
            <w:r w:rsidRPr="001455DC">
              <w:t>the maximum applied shear force under the fatigue load combination;</w:t>
            </w:r>
          </w:p>
        </w:tc>
      </w:tr>
      <w:tr w:rsidR="00DE5B30" w:rsidRPr="001455DC" w14:paraId="70053C92" w14:textId="77777777" w:rsidTr="00DE5B30">
        <w:trPr>
          <w:cantSplit/>
        </w:trPr>
        <w:tc>
          <w:tcPr>
            <w:tcW w:w="851" w:type="dxa"/>
          </w:tcPr>
          <w:p w14:paraId="4D1B8E7B" w14:textId="5490E16F" w:rsidR="00DE5B30" w:rsidRPr="001455DC" w:rsidRDefault="00DE5B30" w:rsidP="0000442A">
            <w:pPr>
              <w:pStyle w:val="Tablebody"/>
            </w:pPr>
            <w:r w:rsidRPr="001455DC">
              <w:rPr>
                <w:rStyle w:val="CCMCvariableitalic"/>
              </w:rPr>
              <w:t>τ</w:t>
            </w:r>
            <w:r w:rsidRPr="001455DC">
              <w:rPr>
                <w:rStyle w:val="CCMCvariablesubscript"/>
              </w:rPr>
              <w:t>Ed,min</w:t>
            </w:r>
          </w:p>
        </w:tc>
        <w:tc>
          <w:tcPr>
            <w:tcW w:w="8562" w:type="dxa"/>
          </w:tcPr>
          <w:p w14:paraId="3535E7AA" w14:textId="6EA61861" w:rsidR="00DE5B30" w:rsidRPr="001455DC" w:rsidRDefault="00DE5B30">
            <w:pPr>
              <w:pStyle w:val="Tablebody"/>
            </w:pPr>
            <w:r w:rsidRPr="001455DC">
              <w:t xml:space="preserve">is the design shear stress </w:t>
            </w:r>
            <w:r w:rsidR="001F6111" w:rsidRPr="001455DC">
              <w:t xml:space="preserve">due to </w:t>
            </w:r>
            <w:r w:rsidRPr="001455DC">
              <w:t>the minimum applied shear force under the fatigue load combination according to 10.2 with the frequent fatigue load in the cross</w:t>
            </w:r>
            <w:r w:rsidR="00B10711" w:rsidRPr="001455DC">
              <w:t xml:space="preserve"> </w:t>
            </w:r>
            <w:r w:rsidRPr="001455DC">
              <w:t xml:space="preserve">section where </w:t>
            </w:r>
            <w:r w:rsidRPr="001455DC">
              <w:rPr>
                <w:rStyle w:val="CCMCvariableitalic"/>
              </w:rPr>
              <w:t>τ</w:t>
            </w:r>
            <w:r w:rsidRPr="001455DC">
              <w:rPr>
                <w:rStyle w:val="CCMCvariablesubscript"/>
              </w:rPr>
              <w:t>Ed,max</w:t>
            </w:r>
            <w:r w:rsidRPr="001455DC">
              <w:t xml:space="preserve"> occurs;</w:t>
            </w:r>
          </w:p>
        </w:tc>
      </w:tr>
      <w:tr w:rsidR="00DE5B30" w:rsidRPr="001455DC" w14:paraId="0A4066FD" w14:textId="77777777" w:rsidTr="00DE5B30">
        <w:trPr>
          <w:cantSplit/>
        </w:trPr>
        <w:tc>
          <w:tcPr>
            <w:tcW w:w="851" w:type="dxa"/>
          </w:tcPr>
          <w:p w14:paraId="13F1A8C0" w14:textId="1A707566" w:rsidR="00DE5B30" w:rsidRPr="001455DC" w:rsidRDefault="00DE5B30" w:rsidP="00D86695">
            <w:pPr>
              <w:pStyle w:val="Tablebody"/>
            </w:pPr>
            <w:r w:rsidRPr="001455DC">
              <w:rPr>
                <w:rStyle w:val="CCMCvariableitalic"/>
              </w:rPr>
              <w:t>τ</w:t>
            </w:r>
            <w:r w:rsidRPr="001455DC">
              <w:rPr>
                <w:rStyle w:val="CCMCvariablesubscript"/>
              </w:rPr>
              <w:t>Rd,c</w:t>
            </w:r>
          </w:p>
        </w:tc>
        <w:tc>
          <w:tcPr>
            <w:tcW w:w="8562" w:type="dxa"/>
          </w:tcPr>
          <w:p w14:paraId="38E37D08" w14:textId="7502403D" w:rsidR="00DE5B30" w:rsidRPr="001455DC" w:rsidRDefault="00DE5B30">
            <w:pPr>
              <w:pStyle w:val="Tablebody"/>
            </w:pPr>
            <w:r w:rsidRPr="001455DC">
              <w:t>is the design value for shear resistance stress without shear reinforcement according to Formula (8.</w:t>
            </w:r>
            <w:r w:rsidR="001F6111" w:rsidRPr="001455DC">
              <w:t>16</w:t>
            </w:r>
            <w:r w:rsidRPr="001455DC">
              <w:t>).</w:t>
            </w:r>
          </w:p>
        </w:tc>
      </w:tr>
    </w:tbl>
    <w:p w14:paraId="7E565867" w14:textId="37132951" w:rsidR="004E22C1" w:rsidRPr="001455DC" w:rsidRDefault="004E22C1" w:rsidP="006D682B">
      <w:pPr>
        <w:pStyle w:val="21"/>
      </w:pPr>
      <w:bookmarkStart w:id="769" w:name="_Toc52820024"/>
      <w:bookmarkStart w:id="770" w:name="_Toc54337421"/>
      <w:bookmarkStart w:id="771" w:name="_Toc54338081"/>
      <w:bookmarkStart w:id="772" w:name="_Toc67565425"/>
      <w:r w:rsidRPr="001455DC">
        <w:t>Simplified verification of shear at interfaces</w:t>
      </w:r>
      <w:bookmarkEnd w:id="769"/>
      <w:bookmarkEnd w:id="770"/>
      <w:bookmarkEnd w:id="771"/>
      <w:bookmarkEnd w:id="772"/>
    </w:p>
    <w:p w14:paraId="518A734F" w14:textId="77777777" w:rsidR="004E22C1" w:rsidRPr="001455DC" w:rsidRDefault="004E22C1" w:rsidP="00DE5B30">
      <w:pPr>
        <w:pStyle w:val="a7"/>
      </w:pPr>
      <w:r w:rsidRPr="001455DC">
        <w:t>(1)</w:t>
      </w:r>
      <w:r w:rsidRPr="001455DC">
        <w:tab/>
        <w:t>Interfaces subjected to fatigue actions should be rough, very rough or keyed.</w:t>
      </w:r>
    </w:p>
    <w:p w14:paraId="47767C55" w14:textId="7524D0CE" w:rsidR="004E22C1" w:rsidRPr="001455DC" w:rsidRDefault="004E22C1" w:rsidP="00E844D2">
      <w:pPr>
        <w:pStyle w:val="a7"/>
        <w:keepNext/>
      </w:pPr>
      <w:r w:rsidRPr="001455DC">
        <w:t>(2)</w:t>
      </w:r>
      <w:r w:rsidRPr="001455DC">
        <w:tab/>
        <w:t xml:space="preserve">In verification with Formula (10.8) without reinforcement crossing the interface, the values for </w:t>
      </w:r>
      <w:r w:rsidRPr="001455DC">
        <w:rPr>
          <w:rStyle w:val="CCMCvariableitalic"/>
        </w:rPr>
        <w:t>c</w:t>
      </w:r>
      <w:r w:rsidRPr="001455DC">
        <w:rPr>
          <w:rStyle w:val="CCMCvariablesubscript"/>
        </w:rPr>
        <w:t>v1,fat</w:t>
      </w:r>
      <w:r w:rsidRPr="001455DC">
        <w:t xml:space="preserve"> and </w:t>
      </w:r>
      <w:r w:rsidRPr="001455DC">
        <w:rPr>
          <w:rStyle w:val="CCMCvariableitalic"/>
        </w:rPr>
        <w:t>μ</w:t>
      </w:r>
      <w:r w:rsidRPr="001455DC">
        <w:rPr>
          <w:rStyle w:val="CCMCvariablesubscript"/>
        </w:rPr>
        <w:t>v,fat</w:t>
      </w:r>
      <w:r w:rsidRPr="001455DC">
        <w:t xml:space="preserve"> in Table 10.2 should be applied.</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DE5B30" w:rsidRPr="001455DC" w14:paraId="7F67C207" w14:textId="77777777" w:rsidTr="00486ADF">
        <w:trPr>
          <w:cantSplit/>
        </w:trPr>
        <w:tc>
          <w:tcPr>
            <w:tcW w:w="8505" w:type="dxa"/>
            <w:vAlign w:val="center"/>
          </w:tcPr>
          <w:p w14:paraId="54EB98CE" w14:textId="611822DA" w:rsidR="00DE5B30" w:rsidRPr="001455DC" w:rsidRDefault="00231E33" w:rsidP="00486ADF">
            <w:pPr>
              <w:pStyle w:val="Formula"/>
              <w:jc w:val="left"/>
            </w:pPr>
            <m:oMathPara>
              <m:oMathParaPr>
                <m:jc m:val="left"/>
              </m:oMathParaPr>
              <m:oMath>
                <m:sSub>
                  <m:sSubPr>
                    <m:ctrlPr>
                      <w:rPr>
                        <w:rFonts w:ascii="Cambria Math" w:hAnsi="Cambria Math"/>
                      </w:rPr>
                    </m:ctrlPr>
                  </m:sSubPr>
                  <m:e>
                    <m:r>
                      <w:rPr>
                        <w:rFonts w:ascii="Cambria Math" w:hAnsi="Cambria Math"/>
                      </w:rPr>
                      <m:t>τ</m:t>
                    </m:r>
                  </m:e>
                  <m:sub>
                    <m:r>
                      <m:rPr>
                        <m:sty m:val="p"/>
                      </m:rPr>
                      <w:rPr>
                        <w:rFonts w:ascii="Cambria Math" w:hAnsi="Cambria Math"/>
                      </w:rPr>
                      <m:t>Edi</m:t>
                    </m:r>
                  </m:sub>
                </m:sSub>
                <m:r>
                  <w:rPr>
                    <w:rFonts w:ascii="Cambria Math" w:hAnsi="Cambria Math"/>
                  </w:rPr>
                  <m:t>≤</m:t>
                </m:r>
                <m:sSub>
                  <m:sSubPr>
                    <m:ctrlPr>
                      <w:rPr>
                        <w:rFonts w:ascii="Cambria Math" w:hAnsi="Cambria Math"/>
                      </w:rPr>
                    </m:ctrlPr>
                  </m:sSubPr>
                  <m:e>
                    <m:r>
                      <w:rPr>
                        <w:rFonts w:ascii="Cambria Math" w:hAnsi="Cambria Math"/>
                      </w:rPr>
                      <m:t>τ</m:t>
                    </m:r>
                  </m:e>
                  <m:sub>
                    <m:r>
                      <m:rPr>
                        <m:sty m:val="p"/>
                      </m:rPr>
                      <w:rPr>
                        <w:rFonts w:ascii="Cambria Math" w:hAnsi="Cambria Math"/>
                      </w:rPr>
                      <m:t>Rdi</m:t>
                    </m:r>
                  </m:sub>
                </m:sSub>
                <m: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v1,fat</m:t>
                    </m:r>
                  </m:sub>
                </m:sSub>
                <m:f>
                  <m:fPr>
                    <m:ctrlPr>
                      <w:rPr>
                        <w:rFonts w:ascii="Cambria Math" w:hAnsi="Cambria Math"/>
                      </w:rPr>
                    </m:ctrlPr>
                  </m:fPr>
                  <m:num>
                    <m:rad>
                      <m:radPr>
                        <m:degHide m:val="1"/>
                        <m:ctrlPr>
                          <w:rPr>
                            <w:rFonts w:ascii="Cambria Math" w:hAnsi="Cambria Math"/>
                          </w:rPr>
                        </m:ctrlPr>
                      </m:radPr>
                      <m:deg/>
                      <m:e>
                        <m:sSub>
                          <m:sSubPr>
                            <m:ctrlPr>
                              <w:rPr>
                                <w:rFonts w:ascii="Cambria Math" w:hAnsi="Cambria Math"/>
                              </w:rPr>
                            </m:ctrlPr>
                          </m:sSubPr>
                          <m:e>
                            <m:r>
                              <w:rPr>
                                <w:rFonts w:ascii="Cambria Math" w:hAnsi="Cambria Math"/>
                              </w:rPr>
                              <m:t>f</m:t>
                            </m:r>
                          </m:e>
                          <m:sub>
                            <m:r>
                              <m:rPr>
                                <m:sty m:val="p"/>
                              </m:rPr>
                              <w:rPr>
                                <w:rFonts w:ascii="Cambria Math" w:hAnsi="Cambria Math"/>
                              </w:rPr>
                              <m:t>ck</m:t>
                            </m:r>
                          </m:sub>
                        </m:sSub>
                      </m:e>
                    </m:rad>
                  </m:num>
                  <m:den>
                    <m:sSub>
                      <m:sSubPr>
                        <m:ctrlPr>
                          <w:rPr>
                            <w:rFonts w:ascii="Cambria Math" w:hAnsi="Cambria Math"/>
                          </w:rPr>
                        </m:ctrlPr>
                      </m:sSubPr>
                      <m:e>
                        <m:r>
                          <w:rPr>
                            <w:rFonts w:ascii="Cambria Math" w:hAnsi="Cambria Math"/>
                          </w:rPr>
                          <m:t>γ</m:t>
                        </m:r>
                      </m:e>
                      <m:sub>
                        <m:r>
                          <m:rPr>
                            <m:sty m:val="p"/>
                          </m:rPr>
                          <w:rPr>
                            <w:rFonts w:ascii="Cambria Math" w:hAnsi="Cambria Math"/>
                          </w:rPr>
                          <m:t>C</m:t>
                        </m:r>
                      </m:sub>
                    </m:sSub>
                  </m:den>
                </m:f>
                <m:r>
                  <w:rPr>
                    <w:rFonts w:ascii="Cambria Math" w:hAnsi="Cambria Math"/>
                  </w:rPr>
                  <m:t>+</m:t>
                </m:r>
                <m:sSub>
                  <m:sSubPr>
                    <m:ctrlPr>
                      <w:rPr>
                        <w:rFonts w:ascii="Cambria Math" w:hAnsi="Cambria Math"/>
                      </w:rPr>
                    </m:ctrlPr>
                  </m:sSubPr>
                  <m:e>
                    <m:r>
                      <w:rPr>
                        <w:rFonts w:ascii="Cambria Math" w:hAnsi="Cambria Math"/>
                      </w:rPr>
                      <m:t>μ</m:t>
                    </m:r>
                  </m:e>
                  <m:sub>
                    <m:r>
                      <m:rPr>
                        <m:sty m:val="p"/>
                      </m:rPr>
                      <w:rPr>
                        <w:rFonts w:ascii="Cambria Math" w:hAnsi="Cambria Math"/>
                      </w:rPr>
                      <m:t>v,fat</m:t>
                    </m:r>
                  </m:sub>
                </m:sSub>
                <m:r>
                  <w:rPr>
                    <w:rFonts w:ascii="Cambria Math" w:hAnsi="Cambria Math"/>
                  </w:rPr>
                  <m:t>⋅|</m:t>
                </m:r>
                <m:sSub>
                  <m:sSubPr>
                    <m:ctrlPr>
                      <w:rPr>
                        <w:rFonts w:ascii="Cambria Math" w:hAnsi="Cambria Math"/>
                      </w:rPr>
                    </m:ctrlPr>
                  </m:sSubPr>
                  <m:e>
                    <m:r>
                      <w:rPr>
                        <w:rFonts w:ascii="Cambria Math" w:hAnsi="Cambria Math"/>
                      </w:rPr>
                      <m:t>σ</m:t>
                    </m:r>
                  </m:e>
                  <m:sub>
                    <m:r>
                      <m:rPr>
                        <m:sty m:val="p"/>
                      </m:rPr>
                      <w:rPr>
                        <w:rFonts w:ascii="Cambria Math" w:hAnsi="Cambria Math"/>
                      </w:rPr>
                      <m:t>n</m:t>
                    </m:r>
                  </m:sub>
                </m:sSub>
                <m:r>
                  <w:rPr>
                    <w:rFonts w:ascii="Cambria Math" w:hAnsi="Cambria Math"/>
                  </w:rPr>
                  <m:t>|≤ν⋅</m:t>
                </m:r>
                <m:sSub>
                  <m:sSubPr>
                    <m:ctrlPr>
                      <w:rPr>
                        <w:rFonts w:ascii="Cambria Math" w:hAnsi="Cambria Math"/>
                      </w:rPr>
                    </m:ctrlPr>
                  </m:sSubPr>
                  <m:e>
                    <m:r>
                      <w:rPr>
                        <w:rFonts w:ascii="Cambria Math" w:hAnsi="Cambria Math"/>
                      </w:rPr>
                      <m:t>f</m:t>
                    </m:r>
                  </m:e>
                  <m:sub>
                    <m:r>
                      <m:rPr>
                        <m:sty m:val="p"/>
                      </m:rPr>
                      <w:rPr>
                        <w:rFonts w:ascii="Cambria Math" w:hAnsi="Cambria Math"/>
                      </w:rPr>
                      <m:t>cd</m:t>
                    </m:r>
                  </m:sub>
                </m:sSub>
              </m:oMath>
            </m:oMathPara>
          </w:p>
        </w:tc>
        <w:tc>
          <w:tcPr>
            <w:tcW w:w="1247" w:type="dxa"/>
            <w:vAlign w:val="center"/>
          </w:tcPr>
          <w:p w14:paraId="6D520A73" w14:textId="134287DA" w:rsidR="00DE5B30" w:rsidRPr="001455DC" w:rsidRDefault="00DE5B30" w:rsidP="00486ADF">
            <w:pPr>
              <w:pStyle w:val="a7"/>
              <w:jc w:val="right"/>
            </w:pPr>
            <w:r w:rsidRPr="001455DC">
              <w:t>(10.8)</w:t>
            </w:r>
          </w:p>
        </w:tc>
      </w:tr>
    </w:tbl>
    <w:p w14:paraId="5BA9C33A" w14:textId="77777777" w:rsidR="004E22C1" w:rsidRPr="001455DC" w:rsidRDefault="004E22C1" w:rsidP="00E844D2">
      <w:pPr>
        <w:pStyle w:val="a7"/>
        <w:keepNext/>
      </w:pPr>
      <w:r w:rsidRPr="001455DC">
        <w:t>(3)</w:t>
      </w:r>
      <w:r w:rsidRPr="001455DC">
        <w:tab/>
        <w:t>The fatigue verification of reinforcement crossing the interface may be omitted in members with shear reinforcement crossing the interface and fulfilling the minimum requirements according to 12.2, if:</w:t>
      </w:r>
    </w:p>
    <w:p w14:paraId="1AB36E46" w14:textId="1EBAAFBF" w:rsidR="004E22C1" w:rsidRPr="001455DC" w:rsidRDefault="004E22C1" w:rsidP="00DE5B30">
      <w:pPr>
        <w:pStyle w:val="a0"/>
      </w:pPr>
      <w:r w:rsidRPr="001455DC">
        <w:t>the interface is very rough or keyed as defined in 8.2.6(6) and</w:t>
      </w:r>
    </w:p>
    <w:p w14:paraId="709A43FA" w14:textId="248FAE01" w:rsidR="004E22C1" w:rsidRPr="001455DC" w:rsidRDefault="004E22C1" w:rsidP="00DE5B30">
      <w:pPr>
        <w:pStyle w:val="a0"/>
      </w:pPr>
      <w:r w:rsidRPr="001455DC">
        <w:t>the interface reinforcement is sufficiently anchored and crosses the interface at an angle according to Figure 8.15b).</w:t>
      </w:r>
    </w:p>
    <w:p w14:paraId="692EB1C6" w14:textId="7C182F68" w:rsidR="004E22C1" w:rsidRPr="001455DC" w:rsidRDefault="004E22C1" w:rsidP="00E844D2">
      <w:pPr>
        <w:pStyle w:val="a7"/>
        <w:keepNext/>
      </w:pPr>
      <w:r w:rsidRPr="001455DC">
        <w:rPr>
          <w:rFonts w:eastAsiaTheme="minorHAnsi"/>
          <w:szCs w:val="22"/>
          <w:lang w:eastAsia="de-DE"/>
        </w:rPr>
        <w:t>(4)</w:t>
      </w:r>
      <w:r w:rsidRPr="001455DC">
        <w:rPr>
          <w:rFonts w:eastAsiaTheme="minorHAnsi"/>
          <w:szCs w:val="22"/>
          <w:lang w:eastAsia="de-DE"/>
        </w:rPr>
        <w:tab/>
      </w:r>
      <w:r w:rsidRPr="001455DC">
        <w:t xml:space="preserve">If reinforcement crossing the interface is required, it should be anchored and the shear strength verified according to Formula (10.9) with </w:t>
      </w:r>
      <w:r w:rsidRPr="001455DC">
        <w:rPr>
          <w:rStyle w:val="CCMCvariableitalic"/>
        </w:rPr>
        <w:t>μ</w:t>
      </w:r>
      <w:r w:rsidRPr="001455DC">
        <w:rPr>
          <w:rStyle w:val="CCMCvariablesubscript"/>
        </w:rPr>
        <w:t>v,fat</w:t>
      </w:r>
      <w:r w:rsidRPr="001455DC">
        <w:t xml:space="preserve"> from Table 10.2:</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DE5B30" w:rsidRPr="001455DC" w14:paraId="15B4AE9A" w14:textId="77777777" w:rsidTr="00486ADF">
        <w:trPr>
          <w:cantSplit/>
        </w:trPr>
        <w:tc>
          <w:tcPr>
            <w:tcW w:w="8505" w:type="dxa"/>
            <w:vAlign w:val="center"/>
          </w:tcPr>
          <w:p w14:paraId="78171ADE" w14:textId="057242F9" w:rsidR="00DE5B30" w:rsidRPr="001455DC" w:rsidRDefault="00DE5B30" w:rsidP="00486ADF">
            <w:pPr>
              <w:pStyle w:val="Formula"/>
              <w:jc w:val="left"/>
            </w:pPr>
            <m:oMathPara>
              <m:oMathParaPr>
                <m:jc m:val="left"/>
              </m:oMathParaPr>
              <m:oMath>
                <m:r>
                  <m:rPr>
                    <m:sty m:val="p"/>
                  </m:rPr>
                  <w:rPr>
                    <w:rFonts w:ascii="Cambria Math" w:hAnsi="Cambria Math"/>
                  </w:rPr>
                  <m:t>Δ</m:t>
                </m:r>
                <m:sSub>
                  <m:sSubPr>
                    <m:ctrlPr>
                      <w:rPr>
                        <w:rFonts w:ascii="Cambria Math" w:hAnsi="Cambria Math"/>
                      </w:rPr>
                    </m:ctrlPr>
                  </m:sSubPr>
                  <m:e>
                    <m:r>
                      <w:rPr>
                        <w:rFonts w:ascii="Cambria Math" w:hAnsi="Cambria Math"/>
                      </w:rPr>
                      <m:t>τ</m:t>
                    </m:r>
                  </m:e>
                  <m:sub>
                    <m:r>
                      <m:rPr>
                        <m:sty m:val="p"/>
                      </m:rPr>
                      <w:rPr>
                        <w:rFonts w:ascii="Cambria Math" w:hAnsi="Cambria Math"/>
                      </w:rPr>
                      <m:t>Edi</m:t>
                    </m:r>
                  </m:sub>
                </m:sSub>
                <m:r>
                  <w:rPr>
                    <w:rFonts w:ascii="Cambria Math" w:hAnsi="Cambria Math"/>
                  </w:rPr>
                  <m:t>≤</m:t>
                </m:r>
                <m:r>
                  <m:rPr>
                    <m:sty m:val="p"/>
                  </m:rPr>
                  <w:rPr>
                    <w:rFonts w:ascii="Cambria Math" w:hAnsi="Cambria Math"/>
                  </w:rPr>
                  <m:t>Δ</m:t>
                </m:r>
                <m:sSub>
                  <m:sSubPr>
                    <m:ctrlPr>
                      <w:rPr>
                        <w:rFonts w:ascii="Cambria Math" w:hAnsi="Cambria Math"/>
                      </w:rPr>
                    </m:ctrlPr>
                  </m:sSubPr>
                  <m:e>
                    <m:r>
                      <w:rPr>
                        <w:rFonts w:ascii="Cambria Math" w:hAnsi="Cambria Math"/>
                      </w:rPr>
                      <m:t>τ</m:t>
                    </m:r>
                  </m:e>
                  <m:sub>
                    <m:r>
                      <m:rPr>
                        <m:sty m:val="p"/>
                      </m:rPr>
                      <w:rPr>
                        <w:rFonts w:ascii="Cambria Math" w:hAnsi="Cambria Math"/>
                      </w:rPr>
                      <m:t>Rdi</m:t>
                    </m:r>
                  </m:sub>
                </m:sSub>
                <m:r>
                  <w:rPr>
                    <w:rFonts w:ascii="Cambria Math" w:hAnsi="Cambria Math"/>
                  </w:rPr>
                  <m:t>=</m:t>
                </m:r>
                <m:sSub>
                  <m:sSubPr>
                    <m:ctrlPr>
                      <w:rPr>
                        <w:rFonts w:ascii="Cambria Math" w:hAnsi="Cambria Math"/>
                      </w:rPr>
                    </m:ctrlPr>
                  </m:sSubPr>
                  <m:e>
                    <m:r>
                      <w:rPr>
                        <w:rFonts w:ascii="Cambria Math" w:hAnsi="Cambria Math"/>
                      </w:rPr>
                      <m:t>μ</m:t>
                    </m:r>
                  </m:e>
                  <m:sub>
                    <m:r>
                      <m:rPr>
                        <m:sty m:val="p"/>
                      </m:rPr>
                      <w:rPr>
                        <w:rFonts w:ascii="Cambria Math" w:hAnsi="Cambria Math"/>
                      </w:rPr>
                      <m:t>v,fat</m:t>
                    </m:r>
                  </m:sub>
                </m:sSub>
                <m:r>
                  <w:rPr>
                    <w:rFonts w:ascii="Cambria Math" w:hAnsi="Cambria Math"/>
                  </w:rPr>
                  <m:t>⋅|</m:t>
                </m:r>
                <m:sSub>
                  <m:sSubPr>
                    <m:ctrlPr>
                      <w:rPr>
                        <w:rFonts w:ascii="Cambria Math" w:hAnsi="Cambria Math"/>
                      </w:rPr>
                    </m:ctrlPr>
                  </m:sSubPr>
                  <m:e>
                    <m:r>
                      <w:rPr>
                        <w:rFonts w:ascii="Cambria Math" w:hAnsi="Cambria Math"/>
                      </w:rPr>
                      <m:t>σ</m:t>
                    </m:r>
                  </m:e>
                  <m:sub>
                    <m:r>
                      <m:rPr>
                        <m:sty m:val="p"/>
                      </m:rPr>
                      <w:rPr>
                        <w:rFonts w:ascii="Cambria Math" w:hAnsi="Cambria Math"/>
                      </w:rPr>
                      <m:t>n</m:t>
                    </m:r>
                  </m:sub>
                </m:sSub>
                <m:r>
                  <w:rPr>
                    <w:rFonts w:ascii="Cambria Math" w:hAnsi="Cambria Math"/>
                  </w:rPr>
                  <m:t>|+ρ</m:t>
                </m:r>
                <m:f>
                  <m:fPr>
                    <m:ctrlPr>
                      <w:rPr>
                        <w:rFonts w:ascii="Cambria Math" w:hAnsi="Cambria Math"/>
                      </w:rPr>
                    </m:ctrlPr>
                  </m:fPr>
                  <m:num>
                    <m:r>
                      <m:rPr>
                        <m:sty m:val="p"/>
                      </m:rPr>
                      <w:rPr>
                        <w:rFonts w:ascii="Cambria Math" w:hAnsi="Cambria Math"/>
                      </w:rPr>
                      <m:t>Δ</m:t>
                    </m:r>
                    <m:sSub>
                      <m:sSubPr>
                        <m:ctrlPr>
                          <w:rPr>
                            <w:rFonts w:ascii="Cambria Math" w:hAnsi="Cambria Math"/>
                          </w:rPr>
                        </m:ctrlPr>
                      </m:sSubPr>
                      <m:e>
                        <m:r>
                          <w:rPr>
                            <w:rFonts w:ascii="Cambria Math" w:hAnsi="Cambria Math"/>
                          </w:rPr>
                          <m:t>σ</m:t>
                        </m:r>
                      </m:e>
                      <m:sub>
                        <m:r>
                          <m:rPr>
                            <m:sty m:val="p"/>
                          </m:rPr>
                          <w:rPr>
                            <w:rFonts w:ascii="Cambria Math" w:hAnsi="Cambria Math"/>
                          </w:rPr>
                          <m:t>Rsk</m:t>
                        </m:r>
                      </m:sub>
                    </m:sSub>
                  </m:num>
                  <m:den>
                    <m:r>
                      <w:rPr>
                        <w:rFonts w:ascii="Cambria Math" w:hAnsi="Cambria Math"/>
                      </w:rPr>
                      <m:t>0,45⋅</m:t>
                    </m:r>
                    <m:sSub>
                      <m:sSubPr>
                        <m:ctrlPr>
                          <w:rPr>
                            <w:rFonts w:ascii="Cambria Math" w:hAnsi="Cambria Math"/>
                          </w:rPr>
                        </m:ctrlPr>
                      </m:sSubPr>
                      <m:e>
                        <m:r>
                          <w:rPr>
                            <w:rFonts w:ascii="Cambria Math" w:hAnsi="Cambria Math"/>
                          </w:rPr>
                          <m:t>γ</m:t>
                        </m:r>
                      </m:e>
                      <m:sub>
                        <m:r>
                          <m:rPr>
                            <m:sty m:val="p"/>
                          </m:rPr>
                          <w:rPr>
                            <w:rFonts w:ascii="Cambria Math" w:hAnsi="Cambria Math"/>
                          </w:rPr>
                          <m:t>S</m:t>
                        </m:r>
                      </m:sub>
                    </m:sSub>
                  </m:den>
                </m:f>
                <m:d>
                  <m:dPr>
                    <m:ctrlPr>
                      <w:rPr>
                        <w:rFonts w:ascii="Cambria Math" w:hAnsi="Cambria Math"/>
                      </w:rPr>
                    </m:ctrlPr>
                  </m:dPr>
                  <m:e>
                    <m:sSub>
                      <m:sSubPr>
                        <m:ctrlPr>
                          <w:rPr>
                            <w:rFonts w:ascii="Cambria Math" w:hAnsi="Cambria Math"/>
                          </w:rPr>
                        </m:ctrlPr>
                      </m:sSubPr>
                      <m:e>
                        <m:r>
                          <w:rPr>
                            <w:rFonts w:ascii="Cambria Math" w:hAnsi="Cambria Math"/>
                          </w:rPr>
                          <m:t>μ</m:t>
                        </m:r>
                      </m:e>
                      <m:sub>
                        <m:r>
                          <m:rPr>
                            <m:sty m:val="p"/>
                          </m:rPr>
                          <w:rPr>
                            <w:rFonts w:ascii="Cambria Math" w:hAnsi="Cambria Math"/>
                          </w:rPr>
                          <m:t>v,fat</m:t>
                        </m:r>
                      </m:sub>
                    </m:sSub>
                    <m:r>
                      <w:rPr>
                        <w:rFonts w:ascii="Cambria Math" w:hAnsi="Cambria Math"/>
                      </w:rPr>
                      <m:t>⋅</m:t>
                    </m:r>
                    <m:r>
                      <m:rPr>
                        <m:sty m:val="p"/>
                      </m:rPr>
                      <w:rPr>
                        <w:rFonts w:ascii="Cambria Math" w:hAnsi="Cambria Math"/>
                      </w:rPr>
                      <m:t>sin</m:t>
                    </m:r>
                    <m:r>
                      <w:rPr>
                        <w:rFonts w:ascii="Cambria Math" w:hAnsi="Cambria Math"/>
                      </w:rPr>
                      <m:t>α+</m:t>
                    </m:r>
                    <m:r>
                      <m:rPr>
                        <m:sty m:val="p"/>
                      </m:rPr>
                      <w:rPr>
                        <w:rFonts w:ascii="Cambria Math" w:hAnsi="Cambria Math"/>
                      </w:rPr>
                      <m:t>cos</m:t>
                    </m:r>
                    <m:r>
                      <w:rPr>
                        <w:rFonts w:ascii="Cambria Math" w:hAnsi="Cambria Math"/>
                      </w:rPr>
                      <m:t>α</m:t>
                    </m:r>
                  </m:e>
                </m:d>
              </m:oMath>
            </m:oMathPara>
          </w:p>
        </w:tc>
        <w:tc>
          <w:tcPr>
            <w:tcW w:w="1247" w:type="dxa"/>
            <w:vAlign w:val="center"/>
          </w:tcPr>
          <w:p w14:paraId="296EAB77" w14:textId="6C324BA4" w:rsidR="00DE5B30" w:rsidRPr="001455DC" w:rsidRDefault="00DE5B30" w:rsidP="00486ADF">
            <w:pPr>
              <w:pStyle w:val="a7"/>
              <w:jc w:val="right"/>
            </w:pPr>
            <w:r w:rsidRPr="001455DC">
              <w:t>(10.9)</w:t>
            </w:r>
          </w:p>
        </w:tc>
      </w:tr>
    </w:tbl>
    <w:p w14:paraId="0D28A90F" w14:textId="77777777" w:rsidR="004E22C1" w:rsidRPr="001455DC" w:rsidRDefault="004E22C1" w:rsidP="00DE5B30">
      <w:pPr>
        <w:pStyle w:val="a7"/>
      </w:pPr>
      <w:r w:rsidRPr="001455DC">
        <w:t xml:space="preserve">where the stress range </w:t>
      </w:r>
      <w:r w:rsidRPr="001455DC">
        <w:rPr>
          <w:iCs/>
        </w:rPr>
        <w:t>Δ</w:t>
      </w:r>
      <w:r w:rsidRPr="001455DC">
        <w:rPr>
          <w:rStyle w:val="CCMCvariableitalic"/>
        </w:rPr>
        <w:t>τ</w:t>
      </w:r>
      <w:r w:rsidRPr="001455DC">
        <w:rPr>
          <w:rStyle w:val="CCMCvariablesubscript"/>
        </w:rPr>
        <w:t>Edi</w:t>
      </w:r>
      <w:r w:rsidRPr="001455DC">
        <w:t xml:space="preserve"> is defined by upper and lower load combination of Formula (10.1).</w:t>
      </w:r>
    </w:p>
    <w:p w14:paraId="6BEA61E3" w14:textId="77777777" w:rsidR="004E22C1" w:rsidRPr="001455DC" w:rsidRDefault="004E22C1" w:rsidP="00DE5B30">
      <w:pPr>
        <w:pStyle w:val="a7"/>
      </w:pPr>
      <w:r w:rsidRPr="001455DC">
        <w:t xml:space="preserve">The value of </w:t>
      </w:r>
      <w:r w:rsidRPr="001455DC">
        <w:rPr>
          <w:iCs/>
        </w:rPr>
        <w:t>Δ</w:t>
      </w:r>
      <w:r w:rsidRPr="001455DC">
        <w:rPr>
          <w:rStyle w:val="CCMCvariableitalic"/>
        </w:rPr>
        <w:t>σ</w:t>
      </w:r>
      <w:r w:rsidRPr="001455DC">
        <w:rPr>
          <w:rStyle w:val="CCMCvariablesubscript"/>
        </w:rPr>
        <w:t>Rsk</w:t>
      </w:r>
      <w:r w:rsidRPr="001455DC">
        <w:t xml:space="preserve"> should be taken from Table E.1(NDP) or from a technical documentation.</w:t>
      </w:r>
    </w:p>
    <w:p w14:paraId="19BA3F92" w14:textId="5D4EA4E5" w:rsidR="004E22C1" w:rsidRPr="001455DC" w:rsidRDefault="004E22C1" w:rsidP="00DE5B30">
      <w:pPr>
        <w:pStyle w:val="Tabletitle"/>
        <w:rPr>
          <w:bCs/>
        </w:rPr>
      </w:pPr>
      <w:bookmarkStart w:id="773" w:name="_Toc54337422"/>
      <w:r w:rsidRPr="001455DC">
        <w:rPr>
          <w:bCs/>
        </w:rPr>
        <w:t>Table 10.2</w:t>
      </w:r>
      <w:r w:rsidRPr="001455DC">
        <w:t xml:space="preserve"> — Coefficients </w:t>
      </w:r>
      <w:r w:rsidRPr="001455DC">
        <w:rPr>
          <w:rStyle w:val="CCMCvariableitalic"/>
        </w:rPr>
        <w:t>c</w:t>
      </w:r>
      <w:r w:rsidRPr="001455DC">
        <w:rPr>
          <w:rStyle w:val="CCMCvariablesubscript"/>
        </w:rPr>
        <w:t>v1,fat</w:t>
      </w:r>
      <w:r w:rsidRPr="001455DC">
        <w:t xml:space="preserve"> and </w:t>
      </w:r>
      <w:r w:rsidRPr="001455DC">
        <w:rPr>
          <w:rStyle w:val="CCMCvariableitalic"/>
        </w:rPr>
        <w:t>μ</w:t>
      </w:r>
      <w:r w:rsidRPr="001455DC">
        <w:rPr>
          <w:rStyle w:val="CCMCvariablesubscript"/>
        </w:rPr>
        <w:t>v,fat</w:t>
      </w:r>
      <w:r w:rsidRPr="001455DC">
        <w:t xml:space="preserve"> for different interface roughness</w:t>
      </w:r>
      <w:bookmarkEnd w:id="773"/>
    </w:p>
    <w:tbl>
      <w:tblPr>
        <w:tblStyle w:val="53"/>
        <w:tblW w:w="7371" w:type="dxa"/>
        <w:tblLayout w:type="fixed"/>
        <w:tblCellMar>
          <w:left w:w="71" w:type="dxa"/>
          <w:right w:w="71" w:type="dxa"/>
        </w:tblCellMar>
        <w:tblLook w:val="0620" w:firstRow="1" w:lastRow="0" w:firstColumn="0" w:lastColumn="0" w:noHBand="1" w:noVBand="1"/>
      </w:tblPr>
      <w:tblGrid>
        <w:gridCol w:w="2268"/>
        <w:gridCol w:w="1701"/>
        <w:gridCol w:w="1701"/>
        <w:gridCol w:w="1701"/>
      </w:tblGrid>
      <w:tr w:rsidR="00DE5B30" w:rsidRPr="001455DC" w14:paraId="3856A09A" w14:textId="77777777" w:rsidTr="00486ADF">
        <w:trPr>
          <w:cnfStyle w:val="100000000000" w:firstRow="1" w:lastRow="0" w:firstColumn="0" w:lastColumn="0" w:oddVBand="0" w:evenVBand="0" w:oddHBand="0" w:evenHBand="0" w:firstRowFirstColumn="0" w:firstRowLastColumn="0" w:lastRowFirstColumn="0" w:lastRowLastColumn="0"/>
          <w:cantSplit/>
          <w:tblHeader/>
        </w:trPr>
        <w:tc>
          <w:tcPr>
            <w:tcW w:w="2268" w:type="dxa"/>
            <w:vMerge w:val="restart"/>
          </w:tcPr>
          <w:p w14:paraId="1925927E" w14:textId="77777777" w:rsidR="00DE5B30" w:rsidRPr="001455DC" w:rsidRDefault="00DE5B30" w:rsidP="00ED054E">
            <w:pPr>
              <w:pStyle w:val="Tableheader"/>
              <w:keepNext/>
            </w:pPr>
            <w:r w:rsidRPr="001455DC">
              <w:t>Surface roughness</w:t>
            </w:r>
          </w:p>
        </w:tc>
        <w:tc>
          <w:tcPr>
            <w:tcW w:w="3402" w:type="dxa"/>
            <w:gridSpan w:val="2"/>
          </w:tcPr>
          <w:p w14:paraId="0FFCC028" w14:textId="5DF2162E" w:rsidR="00DE5B30" w:rsidRPr="001455DC" w:rsidRDefault="00DE5B30" w:rsidP="00ED054E">
            <w:pPr>
              <w:pStyle w:val="Tableheader"/>
              <w:keepNext/>
            </w:pPr>
            <w:r w:rsidRPr="001455DC">
              <w:t>without interface reinforcement Formula (10.8)</w:t>
            </w:r>
          </w:p>
        </w:tc>
        <w:tc>
          <w:tcPr>
            <w:tcW w:w="1701" w:type="dxa"/>
          </w:tcPr>
          <w:p w14:paraId="1FAFDA4E" w14:textId="5D55F02E" w:rsidR="00DE5B30" w:rsidRPr="001455DC" w:rsidRDefault="00DE5B30" w:rsidP="00ED054E">
            <w:pPr>
              <w:pStyle w:val="Tableheader"/>
              <w:keepNext/>
            </w:pPr>
            <w:r w:rsidRPr="001455DC">
              <w:t>with interface reinforcement Formula (10.9)</w:t>
            </w:r>
          </w:p>
        </w:tc>
      </w:tr>
      <w:tr w:rsidR="00DE5B30" w:rsidRPr="001455DC" w14:paraId="5A091000" w14:textId="77777777" w:rsidTr="00DE5B30">
        <w:trPr>
          <w:cnfStyle w:val="100000000000" w:firstRow="1" w:lastRow="0" w:firstColumn="0" w:lastColumn="0" w:oddVBand="0" w:evenVBand="0" w:oddHBand="0" w:evenHBand="0" w:firstRowFirstColumn="0" w:firstRowLastColumn="0" w:lastRowFirstColumn="0" w:lastRowLastColumn="0"/>
          <w:cantSplit/>
          <w:tblHeader/>
        </w:trPr>
        <w:tc>
          <w:tcPr>
            <w:tcW w:w="2268" w:type="dxa"/>
            <w:vMerge/>
          </w:tcPr>
          <w:p w14:paraId="6E5C0B9C" w14:textId="77777777" w:rsidR="00DE5B30" w:rsidRPr="001455DC" w:rsidRDefault="00DE5B30" w:rsidP="00ED054E">
            <w:pPr>
              <w:pStyle w:val="Tableheader"/>
              <w:keepNext/>
            </w:pPr>
          </w:p>
        </w:tc>
        <w:tc>
          <w:tcPr>
            <w:tcW w:w="1701" w:type="dxa"/>
          </w:tcPr>
          <w:p w14:paraId="5C364D71" w14:textId="77777777" w:rsidR="00DE5B30" w:rsidRPr="001455DC" w:rsidRDefault="00DE5B30" w:rsidP="00ED054E">
            <w:pPr>
              <w:pStyle w:val="Tableheader"/>
              <w:keepNext/>
              <w:rPr>
                <w:b w:val="0"/>
                <w:i/>
              </w:rPr>
            </w:pPr>
            <w:r w:rsidRPr="001455DC">
              <w:rPr>
                <w:rStyle w:val="CCMCvariableitalic"/>
                <w:b w:val="0"/>
              </w:rPr>
              <w:t>c</w:t>
            </w:r>
            <w:r w:rsidRPr="001455DC">
              <w:rPr>
                <w:rStyle w:val="CCMCvariablesubscript"/>
                <w:b w:val="0"/>
              </w:rPr>
              <w:t>v1,fat</w:t>
            </w:r>
          </w:p>
        </w:tc>
        <w:tc>
          <w:tcPr>
            <w:tcW w:w="1701" w:type="dxa"/>
          </w:tcPr>
          <w:p w14:paraId="2A45C5F0" w14:textId="77777777" w:rsidR="00DE5B30" w:rsidRPr="001455DC" w:rsidRDefault="00DE5B30" w:rsidP="00ED054E">
            <w:pPr>
              <w:pStyle w:val="Tableheader"/>
              <w:keepNext/>
              <w:rPr>
                <w:b w:val="0"/>
                <w:i/>
              </w:rPr>
            </w:pPr>
            <w:r w:rsidRPr="001455DC">
              <w:rPr>
                <w:rStyle w:val="CCMCvariableitalic"/>
                <w:b w:val="0"/>
              </w:rPr>
              <w:t>μ</w:t>
            </w:r>
            <w:r w:rsidRPr="001455DC">
              <w:rPr>
                <w:rStyle w:val="CCMCvariablesubscript"/>
                <w:b w:val="0"/>
              </w:rPr>
              <w:t>v,fat</w:t>
            </w:r>
          </w:p>
        </w:tc>
        <w:tc>
          <w:tcPr>
            <w:tcW w:w="1701" w:type="dxa"/>
          </w:tcPr>
          <w:p w14:paraId="66B572FC" w14:textId="77777777" w:rsidR="00DE5B30" w:rsidRPr="009D3012" w:rsidRDefault="00DE5B30" w:rsidP="00ED054E">
            <w:pPr>
              <w:pStyle w:val="Tableheader"/>
              <w:keepNext/>
              <w:rPr>
                <w:rStyle w:val="CCMCvariableitalic"/>
                <w:b w:val="0"/>
              </w:rPr>
            </w:pPr>
            <w:r w:rsidRPr="001455DC">
              <w:rPr>
                <w:rStyle w:val="CCMCvariableitalic"/>
                <w:b w:val="0"/>
              </w:rPr>
              <w:t>μ</w:t>
            </w:r>
            <w:r w:rsidRPr="001455DC">
              <w:rPr>
                <w:rStyle w:val="CCMCvariablesubscript"/>
                <w:b w:val="0"/>
              </w:rPr>
              <w:t>v,fat</w:t>
            </w:r>
          </w:p>
        </w:tc>
      </w:tr>
      <w:tr w:rsidR="00DE5B30" w:rsidRPr="001455DC" w14:paraId="517682AD" w14:textId="77777777" w:rsidTr="00DE5B30">
        <w:trPr>
          <w:cantSplit/>
        </w:trPr>
        <w:tc>
          <w:tcPr>
            <w:tcW w:w="2268" w:type="dxa"/>
            <w:vAlign w:val="center"/>
          </w:tcPr>
          <w:p w14:paraId="28B7C3C4" w14:textId="77777777" w:rsidR="00DE5B30" w:rsidRPr="001455DC" w:rsidRDefault="00DE5B30" w:rsidP="00ED054E">
            <w:pPr>
              <w:pStyle w:val="Tablebody"/>
              <w:keepNext/>
              <w:jc w:val="left"/>
            </w:pPr>
            <w:r w:rsidRPr="001455DC">
              <w:t>rough</w:t>
            </w:r>
          </w:p>
        </w:tc>
        <w:tc>
          <w:tcPr>
            <w:tcW w:w="1701" w:type="dxa"/>
            <w:vAlign w:val="center"/>
          </w:tcPr>
          <w:p w14:paraId="2CDE0208" w14:textId="77777777" w:rsidR="00DE5B30" w:rsidRPr="001455DC" w:rsidRDefault="00DE5B30" w:rsidP="00ED054E">
            <w:pPr>
              <w:pStyle w:val="Tablebody"/>
              <w:keepNext/>
              <w:jc w:val="center"/>
            </w:pPr>
            <w:r w:rsidRPr="001455DC">
              <w:t>0,075</w:t>
            </w:r>
          </w:p>
        </w:tc>
        <w:tc>
          <w:tcPr>
            <w:tcW w:w="1701" w:type="dxa"/>
            <w:vAlign w:val="center"/>
          </w:tcPr>
          <w:p w14:paraId="5C00BFDA" w14:textId="77777777" w:rsidR="00DE5B30" w:rsidRPr="001455DC" w:rsidRDefault="00DE5B30" w:rsidP="00ED054E">
            <w:pPr>
              <w:pStyle w:val="Tablebody"/>
              <w:keepNext/>
              <w:jc w:val="center"/>
            </w:pPr>
            <w:r w:rsidRPr="001455DC">
              <w:t>0,7</w:t>
            </w:r>
          </w:p>
        </w:tc>
        <w:tc>
          <w:tcPr>
            <w:tcW w:w="1701" w:type="dxa"/>
            <w:vAlign w:val="center"/>
          </w:tcPr>
          <w:p w14:paraId="075E8DE7" w14:textId="77777777" w:rsidR="00DE5B30" w:rsidRPr="001455DC" w:rsidRDefault="00DE5B30" w:rsidP="00ED054E">
            <w:pPr>
              <w:pStyle w:val="Tablebody"/>
              <w:keepNext/>
              <w:jc w:val="center"/>
            </w:pPr>
            <w:r w:rsidRPr="001455DC">
              <w:t>0,7</w:t>
            </w:r>
          </w:p>
        </w:tc>
      </w:tr>
      <w:tr w:rsidR="00DE5B30" w:rsidRPr="001455DC" w14:paraId="4DF86334" w14:textId="77777777" w:rsidTr="00DE5B30">
        <w:trPr>
          <w:cantSplit/>
        </w:trPr>
        <w:tc>
          <w:tcPr>
            <w:tcW w:w="2268" w:type="dxa"/>
            <w:vAlign w:val="center"/>
          </w:tcPr>
          <w:p w14:paraId="4A8003AF" w14:textId="1E84877E" w:rsidR="00DE5B30" w:rsidRPr="001455DC" w:rsidRDefault="00DE5B30" w:rsidP="00ED054E">
            <w:pPr>
              <w:pStyle w:val="Tablebody"/>
              <w:keepNext/>
              <w:jc w:val="left"/>
            </w:pPr>
            <w:r w:rsidRPr="001455DC">
              <w:t>very rough</w:t>
            </w:r>
          </w:p>
        </w:tc>
        <w:tc>
          <w:tcPr>
            <w:tcW w:w="1701" w:type="dxa"/>
            <w:vAlign w:val="center"/>
          </w:tcPr>
          <w:p w14:paraId="2C1A2C70" w14:textId="77777777" w:rsidR="00DE5B30" w:rsidRPr="001455DC" w:rsidRDefault="00DE5B30" w:rsidP="00ED054E">
            <w:pPr>
              <w:pStyle w:val="Tablebody"/>
              <w:keepNext/>
              <w:jc w:val="center"/>
            </w:pPr>
            <w:r w:rsidRPr="001455DC">
              <w:t>0,095</w:t>
            </w:r>
          </w:p>
        </w:tc>
        <w:tc>
          <w:tcPr>
            <w:tcW w:w="1701" w:type="dxa"/>
            <w:vAlign w:val="center"/>
          </w:tcPr>
          <w:p w14:paraId="032792B1" w14:textId="77777777" w:rsidR="00DE5B30" w:rsidRPr="001455DC" w:rsidRDefault="00DE5B30" w:rsidP="00ED054E">
            <w:pPr>
              <w:pStyle w:val="Tablebody"/>
              <w:keepNext/>
              <w:jc w:val="center"/>
            </w:pPr>
            <w:r w:rsidRPr="001455DC">
              <w:t>0,9</w:t>
            </w:r>
          </w:p>
        </w:tc>
        <w:tc>
          <w:tcPr>
            <w:tcW w:w="1701" w:type="dxa"/>
            <w:vAlign w:val="center"/>
          </w:tcPr>
          <w:p w14:paraId="6A3D5525" w14:textId="77777777" w:rsidR="00DE5B30" w:rsidRPr="001455DC" w:rsidRDefault="00DE5B30" w:rsidP="00ED054E">
            <w:pPr>
              <w:pStyle w:val="Tablebody"/>
              <w:keepNext/>
              <w:jc w:val="center"/>
            </w:pPr>
            <w:r w:rsidRPr="001455DC">
              <w:t>0,9</w:t>
            </w:r>
          </w:p>
        </w:tc>
      </w:tr>
      <w:tr w:rsidR="00DE5B30" w:rsidRPr="001455DC" w14:paraId="576AF4AD" w14:textId="77777777" w:rsidTr="00DE5B30">
        <w:trPr>
          <w:cantSplit/>
        </w:trPr>
        <w:tc>
          <w:tcPr>
            <w:tcW w:w="2268" w:type="dxa"/>
            <w:vAlign w:val="center"/>
          </w:tcPr>
          <w:p w14:paraId="4D0297E8" w14:textId="77777777" w:rsidR="00DE5B30" w:rsidRPr="001455DC" w:rsidRDefault="00DE5B30" w:rsidP="00DE5B30">
            <w:pPr>
              <w:pStyle w:val="Tablebody"/>
              <w:jc w:val="left"/>
            </w:pPr>
            <w:r w:rsidRPr="001455DC">
              <w:t>keyed</w:t>
            </w:r>
          </w:p>
        </w:tc>
        <w:tc>
          <w:tcPr>
            <w:tcW w:w="1701" w:type="dxa"/>
            <w:vAlign w:val="center"/>
          </w:tcPr>
          <w:p w14:paraId="778A8D33" w14:textId="77777777" w:rsidR="00DE5B30" w:rsidRPr="001455DC" w:rsidRDefault="00DE5B30" w:rsidP="00DE5B30">
            <w:pPr>
              <w:pStyle w:val="Tablebody"/>
              <w:jc w:val="center"/>
            </w:pPr>
            <w:r w:rsidRPr="001455DC">
              <w:t>0,185</w:t>
            </w:r>
          </w:p>
        </w:tc>
        <w:tc>
          <w:tcPr>
            <w:tcW w:w="1701" w:type="dxa"/>
            <w:vAlign w:val="center"/>
          </w:tcPr>
          <w:p w14:paraId="1957C947" w14:textId="77777777" w:rsidR="00DE5B30" w:rsidRPr="001455DC" w:rsidRDefault="00DE5B30" w:rsidP="00DE5B30">
            <w:pPr>
              <w:pStyle w:val="Tablebody"/>
              <w:jc w:val="center"/>
            </w:pPr>
            <w:r w:rsidRPr="001455DC">
              <w:t>0,9</w:t>
            </w:r>
          </w:p>
        </w:tc>
        <w:tc>
          <w:tcPr>
            <w:tcW w:w="1701" w:type="dxa"/>
            <w:vAlign w:val="center"/>
          </w:tcPr>
          <w:p w14:paraId="16F8874B" w14:textId="77777777" w:rsidR="00DE5B30" w:rsidRPr="001455DC" w:rsidRDefault="00DE5B30" w:rsidP="00DE5B30">
            <w:pPr>
              <w:pStyle w:val="Tablebody"/>
              <w:jc w:val="center"/>
            </w:pPr>
            <w:r w:rsidRPr="001455DC">
              <w:t>0,9</w:t>
            </w:r>
          </w:p>
        </w:tc>
      </w:tr>
    </w:tbl>
    <w:p w14:paraId="3D398609" w14:textId="77777777" w:rsidR="004E22C1" w:rsidRPr="001455DC" w:rsidRDefault="004E22C1" w:rsidP="005965D6">
      <w:pPr>
        <w:pStyle w:val="a7"/>
      </w:pPr>
    </w:p>
    <w:p w14:paraId="62D7E467" w14:textId="0FFB7C08" w:rsidR="004E22C1" w:rsidRPr="001455DC" w:rsidRDefault="00DE5B30" w:rsidP="0079403C">
      <w:pPr>
        <w:pStyle w:val="1"/>
        <w:keepNext w:val="0"/>
      </w:pPr>
      <w:bookmarkStart w:id="774" w:name="_Toc52820025"/>
      <w:bookmarkStart w:id="775" w:name="_Toc54337128"/>
      <w:bookmarkStart w:id="776" w:name="_Toc54337423"/>
      <w:bookmarkStart w:id="777" w:name="_Toc54338082"/>
      <w:bookmarkStart w:id="778" w:name="_Toc67565426"/>
      <w:r w:rsidRPr="001455DC">
        <w:t>Detailing of reinforcement</w:t>
      </w:r>
      <w:r w:rsidR="004E22C1" w:rsidRPr="001455DC">
        <w:t xml:space="preserve"> </w:t>
      </w:r>
      <w:r w:rsidR="00ED054E" w:rsidRPr="001455DC">
        <w:t>and post-tensioning tendons</w:t>
      </w:r>
      <w:bookmarkEnd w:id="774"/>
      <w:bookmarkEnd w:id="775"/>
      <w:bookmarkEnd w:id="776"/>
      <w:bookmarkEnd w:id="777"/>
      <w:bookmarkEnd w:id="778"/>
    </w:p>
    <w:p w14:paraId="0F623B28" w14:textId="479F729C" w:rsidR="004E22C1" w:rsidRPr="001455DC" w:rsidRDefault="004E22C1" w:rsidP="006D682B">
      <w:pPr>
        <w:pStyle w:val="21"/>
      </w:pPr>
      <w:bookmarkStart w:id="779" w:name="_Toc52820026"/>
      <w:bookmarkStart w:id="780" w:name="_Toc54337424"/>
      <w:bookmarkStart w:id="781" w:name="_Toc54338083"/>
      <w:bookmarkStart w:id="782" w:name="_Toc67565427"/>
      <w:r w:rsidRPr="001455DC">
        <w:t>General</w:t>
      </w:r>
      <w:bookmarkEnd w:id="779"/>
      <w:bookmarkEnd w:id="780"/>
      <w:bookmarkEnd w:id="781"/>
      <w:bookmarkEnd w:id="782"/>
    </w:p>
    <w:p w14:paraId="46842B0C" w14:textId="4E38ABE3" w:rsidR="004E22C1" w:rsidRDefault="004E22C1" w:rsidP="00DE5B30">
      <w:pPr>
        <w:pStyle w:val="a7"/>
      </w:pPr>
      <w:r w:rsidRPr="001455DC">
        <w:t>(1)</w:t>
      </w:r>
      <w:r w:rsidRPr="001455DC">
        <w:tab/>
        <w:t xml:space="preserve">The rules given in </w:t>
      </w:r>
      <w:r w:rsidR="001710FF" w:rsidRPr="001455DC">
        <w:t>Clause </w:t>
      </w:r>
      <w:r w:rsidRPr="001455DC">
        <w:t xml:space="preserve">11 apply to ribbed and indented reinforcement, mesh and post-tensioning </w:t>
      </w:r>
      <w:r w:rsidRPr="0079403C">
        <w:t xml:space="preserve">tendons. </w:t>
      </w:r>
    </w:p>
    <w:p w14:paraId="48A48911" w14:textId="6B2B2D69" w:rsidR="0079403C" w:rsidRPr="0079403C" w:rsidRDefault="0079403C" w:rsidP="0079403C">
      <w:pPr>
        <w:pStyle w:val="Note"/>
      </w:pPr>
      <w:r>
        <w:t>NOTE</w:t>
      </w:r>
      <w:r>
        <w:tab/>
        <w:t>Additional information for plain reinforcement is given in Annex I.</w:t>
      </w:r>
    </w:p>
    <w:p w14:paraId="57744A11" w14:textId="4AFCA08A" w:rsidR="004E22C1" w:rsidRPr="001455DC" w:rsidRDefault="004E22C1" w:rsidP="006D682B">
      <w:pPr>
        <w:pStyle w:val="21"/>
      </w:pPr>
      <w:bookmarkStart w:id="783" w:name="_Toc52820027"/>
      <w:bookmarkStart w:id="784" w:name="_Toc54337425"/>
      <w:bookmarkStart w:id="785" w:name="_Toc54338084"/>
      <w:bookmarkStart w:id="786" w:name="_Toc67565428"/>
      <w:r w:rsidRPr="001455DC">
        <w:t>Spacing of bars</w:t>
      </w:r>
      <w:bookmarkEnd w:id="783"/>
      <w:bookmarkEnd w:id="784"/>
      <w:bookmarkEnd w:id="785"/>
      <w:bookmarkEnd w:id="786"/>
    </w:p>
    <w:p w14:paraId="234A5ECC" w14:textId="77777777" w:rsidR="004E22C1" w:rsidRPr="001455DC" w:rsidRDefault="004E22C1" w:rsidP="00DE5B30">
      <w:pPr>
        <w:pStyle w:val="a7"/>
      </w:pPr>
      <w:r w:rsidRPr="001455DC">
        <w:t>(1)</w:t>
      </w:r>
      <w:r w:rsidRPr="001455DC">
        <w:tab/>
        <w:t>The clear distance between parallel bars and their arrangement should be sufficient to allow access for vibrators if needed for good compaction of the concrete. Where bars are positioned in separated horizontal layers, there should be sufficient space between the resulting columns of bars to allow access for vibrators and good compaction of concrete.</w:t>
      </w:r>
    </w:p>
    <w:p w14:paraId="77236BCF" w14:textId="445686E2" w:rsidR="004E22C1" w:rsidRPr="001455DC" w:rsidRDefault="004E22C1" w:rsidP="00DE5B30">
      <w:pPr>
        <w:pStyle w:val="a7"/>
      </w:pPr>
      <w:r w:rsidRPr="001455DC">
        <w:t>(2)</w:t>
      </w:r>
      <w:r w:rsidRPr="001455DC">
        <w:tab/>
        <w:t xml:space="preserve">The clear distance </w:t>
      </w:r>
      <w:r w:rsidRPr="001455DC">
        <w:rPr>
          <w:rStyle w:val="CCMCvariableitalic"/>
        </w:rPr>
        <w:t>c</w:t>
      </w:r>
      <w:r w:rsidRPr="001455DC">
        <w:rPr>
          <w:rStyle w:val="CCMCvariablesubscript"/>
        </w:rPr>
        <w:t>s</w:t>
      </w:r>
      <w:r w:rsidRPr="001455DC">
        <w:t xml:space="preserve"> (horizontal and vertical) between individual parallel bars should be not less than max{</w:t>
      </w:r>
      <w:r w:rsidRPr="001455DC">
        <w:rPr>
          <w:rStyle w:val="CCMCvariableitalic"/>
        </w:rPr>
        <w:t>ϕ</w:t>
      </w:r>
      <w:r w:rsidRPr="001455DC">
        <w:t xml:space="preserve">; </w:t>
      </w:r>
      <w:r w:rsidRPr="001455DC">
        <w:rPr>
          <w:rStyle w:val="CCMCvariableitalic"/>
        </w:rPr>
        <w:t>D</w:t>
      </w:r>
      <w:r w:rsidRPr="001455DC">
        <w:rPr>
          <w:rStyle w:val="CCMCvariablesubscript"/>
        </w:rPr>
        <w:t>upper</w:t>
      </w:r>
      <w:r w:rsidR="00EC27D2" w:rsidRPr="001455DC">
        <w:rPr>
          <w:rFonts w:ascii="Cambria Math" w:hAnsi="Cambria Math"/>
        </w:rPr>
        <w:t> + </w:t>
      </w:r>
      <w:r w:rsidRPr="001455DC">
        <w:t>5 mm; 20 mm}.</w:t>
      </w:r>
    </w:p>
    <w:p w14:paraId="24EBCAC7" w14:textId="77777777" w:rsidR="004E22C1" w:rsidRPr="001455DC" w:rsidRDefault="004E22C1" w:rsidP="00DE5B30">
      <w:pPr>
        <w:pStyle w:val="a7"/>
      </w:pPr>
      <w:r w:rsidRPr="001455DC">
        <w:t>(3)</w:t>
      </w:r>
      <w:r w:rsidRPr="001455DC">
        <w:tab/>
        <w:t xml:space="preserve">Bars may be arranged in bundles with a maximum of 3 contacting parallel bars. For bundles of vertical bars in compression and for bars in a lapped joint, a maximum of 4 contacting parallel bars may be used. Bars in bundles of 3 and 4 should be arranged so that every bar is in contact with at least two other bars. Clear distance between bundles of bars should be not less than the equivalent diameter </w:t>
      </w:r>
      <w:r w:rsidRPr="001455DC">
        <w:rPr>
          <w:rStyle w:val="CCMCvariableitalic"/>
        </w:rPr>
        <w:t>ϕ</w:t>
      </w:r>
      <w:r w:rsidRPr="001455DC">
        <w:rPr>
          <w:rStyle w:val="CCMCvariablesubscript"/>
        </w:rPr>
        <w:t>b</w:t>
      </w:r>
      <w:r w:rsidRPr="001455DC">
        <w:t xml:space="preserve"> defined in 11.4.3(1).</w:t>
      </w:r>
    </w:p>
    <w:p w14:paraId="04CF0166" w14:textId="77777777" w:rsidR="004E22C1" w:rsidRPr="001455DC" w:rsidRDefault="004E22C1" w:rsidP="00DE5B30">
      <w:pPr>
        <w:pStyle w:val="a7"/>
      </w:pPr>
      <w:r w:rsidRPr="001455DC">
        <w:t>(4)</w:t>
      </w:r>
      <w:r w:rsidRPr="001455DC">
        <w:tab/>
        <w:t>The clear distance between the face of already poured concrete and a bar parallel to it should be at least 5 mm.</w:t>
      </w:r>
    </w:p>
    <w:p w14:paraId="14755603" w14:textId="77777777" w:rsidR="004E22C1" w:rsidRPr="001455DC" w:rsidRDefault="004E22C1" w:rsidP="00DE5B30">
      <w:pPr>
        <w:pStyle w:val="a7"/>
      </w:pPr>
      <w:r w:rsidRPr="001455DC">
        <w:t>(5)</w:t>
      </w:r>
      <w:r w:rsidRPr="001455DC">
        <w:tab/>
        <w:t>The minimum clear spacing between post-installed reinforcing steel bars or between post-installed reinforcing steel bars and cast-in reinforcing steel bars is given in 11.4.8.</w:t>
      </w:r>
    </w:p>
    <w:p w14:paraId="74716E27" w14:textId="3DD1F694" w:rsidR="004E22C1" w:rsidRPr="001455DC" w:rsidRDefault="004E22C1" w:rsidP="006D682B">
      <w:pPr>
        <w:pStyle w:val="21"/>
      </w:pPr>
      <w:bookmarkStart w:id="787" w:name="_Toc52820028"/>
      <w:bookmarkStart w:id="788" w:name="_Toc54337426"/>
      <w:bookmarkStart w:id="789" w:name="_Toc54338085"/>
      <w:bookmarkStart w:id="790" w:name="_Toc67565429"/>
      <w:r w:rsidRPr="001455DC">
        <w:t>Permissible mandrel diameters for bent bars</w:t>
      </w:r>
      <w:bookmarkEnd w:id="787"/>
      <w:bookmarkEnd w:id="788"/>
      <w:bookmarkEnd w:id="789"/>
      <w:bookmarkEnd w:id="790"/>
    </w:p>
    <w:p w14:paraId="3E9BCFCB" w14:textId="77777777" w:rsidR="004E22C1" w:rsidRPr="001455DC" w:rsidRDefault="004E22C1" w:rsidP="00E844D2">
      <w:pPr>
        <w:pStyle w:val="a7"/>
        <w:keepNext/>
      </w:pPr>
      <w:r w:rsidRPr="001455DC">
        <w:t>(1)</w:t>
      </w:r>
      <w:r w:rsidRPr="001455DC">
        <w:tab/>
        <w:t>The minimum diameter to which a bar may be bent shall be such as to avoid:</w:t>
      </w:r>
    </w:p>
    <w:p w14:paraId="7A7F81DF" w14:textId="7C69CEEA" w:rsidR="004E22C1" w:rsidRPr="001455DC" w:rsidRDefault="004E22C1" w:rsidP="00ED054E">
      <w:pPr>
        <w:pStyle w:val="a0"/>
      </w:pPr>
      <w:r w:rsidRPr="001455DC">
        <w:t>damaging the reinforcement (see (2)) and</w:t>
      </w:r>
    </w:p>
    <w:p w14:paraId="08A65422" w14:textId="1D50A7BF" w:rsidR="004E22C1" w:rsidRPr="001455DC" w:rsidRDefault="004E22C1" w:rsidP="00ED054E">
      <w:pPr>
        <w:pStyle w:val="a0"/>
      </w:pPr>
      <w:r w:rsidRPr="001455DC">
        <w:t>failure of the concrete inside the bend of the bar (crushing, splitting or spalling of reinforcement cover), see (4) and (5).</w:t>
      </w:r>
    </w:p>
    <w:p w14:paraId="31D692D1" w14:textId="77777777" w:rsidR="00647E8A" w:rsidRPr="001455DC" w:rsidRDefault="004E22C1" w:rsidP="00E844D2">
      <w:pPr>
        <w:pStyle w:val="a7"/>
        <w:keepNext/>
        <w:rPr>
          <w:rStyle w:val="CCMCvariableitalic"/>
        </w:rPr>
      </w:pPr>
      <w:r w:rsidRPr="009D3012">
        <w:t>(2)</w:t>
      </w:r>
      <w:r w:rsidRPr="001455DC">
        <w:tab/>
      </w:r>
      <w:bookmarkStart w:id="791" w:name="_Hlk52815458"/>
      <w:r w:rsidRPr="001455DC">
        <w:t xml:space="preserve">The mandrel diameter of bars and wires without welds </w:t>
      </w:r>
      <w:r w:rsidR="008B51E0" w:rsidRPr="001455DC">
        <w:t>or of bars, wires and fabrics with welds at least 3</w:t>
      </w:r>
      <w:r w:rsidR="008B51E0" w:rsidRPr="001455DC">
        <w:rPr>
          <w:rStyle w:val="CCMCvariableitalic"/>
        </w:rPr>
        <w:t>ϕ</w:t>
      </w:r>
    </w:p>
    <w:p w14:paraId="6FF6433D" w14:textId="77E89CDC" w:rsidR="004E22C1" w:rsidRPr="001455DC" w:rsidRDefault="008B51E0" w:rsidP="00E844D2">
      <w:pPr>
        <w:pStyle w:val="a7"/>
        <w:keepNext/>
      </w:pPr>
      <w:r w:rsidRPr="001455DC">
        <w:t xml:space="preserve"> away from the bent </w:t>
      </w:r>
      <w:r w:rsidR="004E22C1" w:rsidRPr="001455DC">
        <w:t>should be at least:</w:t>
      </w:r>
    </w:p>
    <w:p w14:paraId="557E5F6A" w14:textId="5D938E44" w:rsidR="004E22C1" w:rsidRPr="001455DC" w:rsidRDefault="004E22C1" w:rsidP="00ED054E">
      <w:pPr>
        <w:pStyle w:val="a0"/>
      </w:pPr>
      <w:r w:rsidRPr="001455DC">
        <w:rPr>
          <w:rStyle w:val="CCMCvariableitalic"/>
        </w:rPr>
        <w:t>ϕ</w:t>
      </w:r>
      <w:r w:rsidRPr="001455DC">
        <w:rPr>
          <w:rStyle w:val="CCMCvariablesubscript"/>
        </w:rPr>
        <w:t>mand,min</w:t>
      </w:r>
      <w:r w:rsidRPr="001455DC">
        <w:t> </w:t>
      </w:r>
      <w:r w:rsidR="00EC27D2" w:rsidRPr="001455DC">
        <w:rPr>
          <w:rFonts w:ascii="Cambria Math" w:hAnsi="Cambria Math"/>
        </w:rPr>
        <w:t>=</w:t>
      </w:r>
      <w:r w:rsidRPr="001455DC">
        <w:t> 4</w:t>
      </w:r>
      <w:r w:rsidRPr="001455DC">
        <w:rPr>
          <w:rStyle w:val="CCMCvariableitalic"/>
        </w:rPr>
        <w:t>ϕ</w:t>
      </w:r>
      <w:r w:rsidRPr="001455DC">
        <w:t xml:space="preserve"> for </w:t>
      </w:r>
      <w:r w:rsidRPr="001455DC">
        <w:rPr>
          <w:rStyle w:val="CCMCvariableitalic"/>
        </w:rPr>
        <w:t>ϕ</w:t>
      </w:r>
      <w:r w:rsidRPr="001455DC">
        <w:t> </w:t>
      </w:r>
      <w:r w:rsidR="00650035" w:rsidRPr="001455DC">
        <w:rPr>
          <w:rFonts w:ascii="Cambria Math" w:hAnsi="Cambria Math"/>
        </w:rPr>
        <w:t>≤</w:t>
      </w:r>
      <w:r w:rsidRPr="001455DC">
        <w:t> 16 mm</w:t>
      </w:r>
    </w:p>
    <w:p w14:paraId="6C1F40D8" w14:textId="60A0FEBD" w:rsidR="004E22C1" w:rsidRPr="001455DC" w:rsidRDefault="004E22C1" w:rsidP="00ED054E">
      <w:pPr>
        <w:pStyle w:val="a0"/>
      </w:pPr>
      <w:r w:rsidRPr="001455DC">
        <w:rPr>
          <w:rStyle w:val="CCMCvariableitalic"/>
        </w:rPr>
        <w:t>ϕ</w:t>
      </w:r>
      <w:r w:rsidRPr="001455DC">
        <w:rPr>
          <w:rStyle w:val="CCMCvariablesubscript"/>
        </w:rPr>
        <w:t>mand,min</w:t>
      </w:r>
      <w:r w:rsidRPr="001455DC">
        <w:t> </w:t>
      </w:r>
      <w:r w:rsidR="00EC27D2" w:rsidRPr="001455DC">
        <w:rPr>
          <w:rFonts w:ascii="Cambria Math" w:hAnsi="Cambria Math"/>
        </w:rPr>
        <w:t>=</w:t>
      </w:r>
      <w:r w:rsidRPr="001455DC">
        <w:t> 7</w:t>
      </w:r>
      <w:r w:rsidRPr="001455DC">
        <w:rPr>
          <w:rStyle w:val="CCMCvariableitalic"/>
        </w:rPr>
        <w:t>ϕ</w:t>
      </w:r>
      <w:r w:rsidRPr="001455DC">
        <w:t xml:space="preserve"> for </w:t>
      </w:r>
      <w:r w:rsidRPr="001455DC">
        <w:rPr>
          <w:rStyle w:val="CCMCvariableitalic"/>
        </w:rPr>
        <w:t>ϕ</w:t>
      </w:r>
      <w:r w:rsidRPr="001455DC">
        <w:t> </w:t>
      </w:r>
      <w:r w:rsidR="00650035" w:rsidRPr="001455DC">
        <w:rPr>
          <w:rFonts w:ascii="Cambria Math" w:hAnsi="Cambria Math"/>
        </w:rPr>
        <w:t>&gt;</w:t>
      </w:r>
      <w:r w:rsidR="00073FC6" w:rsidRPr="001455DC">
        <w:t> </w:t>
      </w:r>
      <w:r w:rsidRPr="001455DC">
        <w:t>16 mm</w:t>
      </w:r>
    </w:p>
    <w:bookmarkEnd w:id="791"/>
    <w:p w14:paraId="0607886C" w14:textId="77777777" w:rsidR="004E22C1" w:rsidRPr="001455DC" w:rsidRDefault="004E22C1" w:rsidP="00E844D2">
      <w:pPr>
        <w:pStyle w:val="a7"/>
        <w:keepNext/>
      </w:pPr>
      <w:r w:rsidRPr="001455DC">
        <w:t>For bars, wires and fabrics with welded transverse bars at least 3</w:t>
      </w:r>
      <w:r w:rsidRPr="001455DC">
        <w:rPr>
          <w:rStyle w:val="CCMCvariableitalic"/>
        </w:rPr>
        <w:t>ϕ</w:t>
      </w:r>
      <w:r w:rsidRPr="001455DC">
        <w:rPr>
          <w:iCs/>
        </w:rPr>
        <w:t xml:space="preserve"> </w:t>
      </w:r>
      <w:r w:rsidRPr="001455DC">
        <w:t>away from start of bend where the welding is carried out in accordance with EN ISO 17660, the mandrel diameter should not be less than:</w:t>
      </w:r>
    </w:p>
    <w:p w14:paraId="6A0944B7" w14:textId="398CFC15" w:rsidR="004E22C1" w:rsidRPr="001455DC" w:rsidRDefault="004E22C1" w:rsidP="00ED054E">
      <w:pPr>
        <w:pStyle w:val="a0"/>
      </w:pPr>
      <w:r w:rsidRPr="001455DC">
        <w:rPr>
          <w:rStyle w:val="CCMCvariableitalic"/>
        </w:rPr>
        <w:t>ϕ</w:t>
      </w:r>
      <w:r w:rsidRPr="001455DC">
        <w:rPr>
          <w:rStyle w:val="CCMCvariablesubscript"/>
        </w:rPr>
        <w:t>mand,min</w:t>
      </w:r>
      <w:r w:rsidRPr="001455DC">
        <w:t> </w:t>
      </w:r>
      <w:r w:rsidR="00EC27D2" w:rsidRPr="001455DC">
        <w:rPr>
          <w:rFonts w:ascii="Cambria Math" w:hAnsi="Cambria Math"/>
        </w:rPr>
        <w:t>=</w:t>
      </w:r>
      <w:r w:rsidRPr="001455DC">
        <w:t> 5</w:t>
      </w:r>
      <w:r w:rsidRPr="001455DC">
        <w:rPr>
          <w:rStyle w:val="CCMCvariableitalic"/>
        </w:rPr>
        <w:t>ϕ</w:t>
      </w:r>
      <w:r w:rsidRPr="001455DC">
        <w:t xml:space="preserve"> for </w:t>
      </w:r>
      <w:r w:rsidRPr="001455DC">
        <w:rPr>
          <w:rStyle w:val="CCMCvariableitalic"/>
        </w:rPr>
        <w:t>ϕ</w:t>
      </w:r>
      <w:r w:rsidRPr="001455DC">
        <w:t> </w:t>
      </w:r>
      <w:r w:rsidR="00650035" w:rsidRPr="001455DC">
        <w:rPr>
          <w:rFonts w:ascii="Cambria Math" w:hAnsi="Cambria Math"/>
        </w:rPr>
        <w:t>≤</w:t>
      </w:r>
      <w:r w:rsidRPr="001455DC">
        <w:t xml:space="preserve"> 16 mm where </w:t>
      </w:r>
      <w:r w:rsidRPr="001455DC">
        <w:rPr>
          <w:rStyle w:val="CCMCvariableitalic"/>
        </w:rPr>
        <w:t>ϕ</w:t>
      </w:r>
      <w:r w:rsidRPr="001455DC">
        <w:t xml:space="preserve"> is the diameter of the bent bar</w:t>
      </w:r>
    </w:p>
    <w:p w14:paraId="009E0424" w14:textId="538FD2E4" w:rsidR="004E22C1" w:rsidRPr="001455DC" w:rsidRDefault="004E22C1" w:rsidP="00ED054E">
      <w:pPr>
        <w:pStyle w:val="a0"/>
      </w:pPr>
      <w:r w:rsidRPr="001455DC">
        <w:rPr>
          <w:rStyle w:val="CCMCvariableitalic"/>
        </w:rPr>
        <w:t>ϕ</w:t>
      </w:r>
      <w:r w:rsidRPr="001455DC">
        <w:rPr>
          <w:rStyle w:val="CCMCvariablesubscript"/>
        </w:rPr>
        <w:t>mand,min</w:t>
      </w:r>
      <w:r w:rsidRPr="001455DC">
        <w:t> </w:t>
      </w:r>
      <w:r w:rsidR="00EC27D2" w:rsidRPr="001455DC">
        <w:rPr>
          <w:rFonts w:ascii="Cambria Math" w:hAnsi="Cambria Math"/>
        </w:rPr>
        <w:t>=</w:t>
      </w:r>
      <w:r w:rsidRPr="001455DC">
        <w:t> 7</w:t>
      </w:r>
      <w:r w:rsidRPr="001455DC">
        <w:rPr>
          <w:rStyle w:val="CCMCvariableitalic"/>
        </w:rPr>
        <w:t>ϕ</w:t>
      </w:r>
      <w:r w:rsidRPr="001455DC">
        <w:t xml:space="preserve"> for </w:t>
      </w:r>
      <w:r w:rsidRPr="001455DC">
        <w:rPr>
          <w:rStyle w:val="CCMCvariableitalic"/>
        </w:rPr>
        <w:t>ϕ</w:t>
      </w:r>
      <w:r w:rsidRPr="001455DC">
        <w:t> </w:t>
      </w:r>
      <w:r w:rsidR="00650035" w:rsidRPr="001455DC">
        <w:rPr>
          <w:rFonts w:ascii="Cambria Math" w:hAnsi="Cambria Math"/>
        </w:rPr>
        <w:t>&gt;</w:t>
      </w:r>
      <w:r w:rsidR="00073FC6" w:rsidRPr="001455DC">
        <w:t> </w:t>
      </w:r>
      <w:r w:rsidRPr="001455DC">
        <w:t>16 mm</w:t>
      </w:r>
    </w:p>
    <w:p w14:paraId="49117C85" w14:textId="6A4821B7" w:rsidR="004E22C1" w:rsidRPr="001455DC" w:rsidRDefault="004E22C1" w:rsidP="00ED054E">
      <w:pPr>
        <w:pStyle w:val="a7"/>
      </w:pPr>
      <w:r w:rsidRPr="001455DC">
        <w:t>Reinforcement that has been tested according to EN ISO 15630</w:t>
      </w:r>
      <w:r w:rsidRPr="001455DC">
        <w:noBreakHyphen/>
        <w:t xml:space="preserve">1 and documented to be bendable to smaller mandrel diameters may be bent to not less than </w:t>
      </w:r>
      <w:r w:rsidRPr="001455DC">
        <w:rPr>
          <w:rStyle w:val="CCMCvariableitalic"/>
        </w:rPr>
        <w:t>ϕ</w:t>
      </w:r>
      <w:r w:rsidRPr="001455DC">
        <w:rPr>
          <w:rStyle w:val="CCMCvariablesubscript"/>
        </w:rPr>
        <w:t>mand,min</w:t>
      </w:r>
      <w:r w:rsidRPr="001455DC">
        <w:t> </w:t>
      </w:r>
      <w:r w:rsidR="00EC27D2" w:rsidRPr="001455DC">
        <w:rPr>
          <w:rFonts w:ascii="Cambria Math" w:hAnsi="Cambria Math"/>
        </w:rPr>
        <w:t>=</w:t>
      </w:r>
      <w:r w:rsidRPr="001455DC">
        <w:t> </w:t>
      </w:r>
      <w:r w:rsidRPr="001455DC">
        <w:rPr>
          <w:rStyle w:val="CCMCvariableitalic"/>
        </w:rPr>
        <w:t>ϕ</w:t>
      </w:r>
      <w:r w:rsidRPr="001455DC">
        <w:rPr>
          <w:rStyle w:val="CCMCvariablesubscript"/>
        </w:rPr>
        <w:t>mand,test</w:t>
      </w:r>
      <w:r w:rsidR="00EC27D2" w:rsidRPr="001455DC">
        <w:rPr>
          <w:rFonts w:ascii="Cambria Math" w:hAnsi="Cambria Math"/>
        </w:rPr>
        <w:t> + </w:t>
      </w:r>
      <w:r w:rsidRPr="001455DC">
        <w:rPr>
          <w:rStyle w:val="CCMCvariableitalic"/>
        </w:rPr>
        <w:t>ϕ</w:t>
      </w:r>
      <w:r w:rsidRPr="001455DC">
        <w:t>.</w:t>
      </w:r>
    </w:p>
    <w:p w14:paraId="3EE2D0EF" w14:textId="77777777" w:rsidR="004E22C1" w:rsidRPr="001455DC" w:rsidRDefault="004E22C1" w:rsidP="00ED054E">
      <w:pPr>
        <w:pStyle w:val="a7"/>
        <w:rPr>
          <w:iCs/>
          <w:lang w:eastAsia="de-DE"/>
        </w:rPr>
      </w:pPr>
      <w:r w:rsidRPr="001455DC">
        <w:t>(3)</w:t>
      </w:r>
      <w:r w:rsidRPr="001455DC">
        <w:tab/>
      </w:r>
      <w:r w:rsidRPr="001455DC">
        <w:rPr>
          <w:iCs/>
          <w:lang w:eastAsia="de-DE"/>
        </w:rPr>
        <w:t xml:space="preserve">Reinforcement that is intended to be re-bent (straightened) shall in the first bending operation be bent with mandrels that are at least 1,5 times larger than </w:t>
      </w:r>
      <w:r w:rsidRPr="001455DC">
        <w:rPr>
          <w:rStyle w:val="CCMCvariableitalic"/>
        </w:rPr>
        <w:t>ϕ</w:t>
      </w:r>
      <w:r w:rsidRPr="001455DC">
        <w:rPr>
          <w:rStyle w:val="CCMCvariablesubscript"/>
        </w:rPr>
        <w:t>mand,min</w:t>
      </w:r>
      <w:r w:rsidRPr="001455DC">
        <w:rPr>
          <w:iCs/>
          <w:lang w:eastAsia="de-DE"/>
        </w:rPr>
        <w:t xml:space="preserve"> according to (2) and shall be of ductility class B or class C.</w:t>
      </w:r>
    </w:p>
    <w:p w14:paraId="1E76453B" w14:textId="16F23589" w:rsidR="004E22C1" w:rsidRPr="001455DC" w:rsidRDefault="004E22C1" w:rsidP="00E844D2">
      <w:pPr>
        <w:pStyle w:val="a7"/>
        <w:keepNext/>
      </w:pPr>
      <w:r w:rsidRPr="001455DC">
        <w:rPr>
          <w:iCs/>
          <w:lang w:eastAsia="de-DE"/>
        </w:rPr>
        <w:t>(4)</w:t>
      </w:r>
      <w:r w:rsidRPr="001455DC">
        <w:rPr>
          <w:iCs/>
          <w:lang w:eastAsia="de-DE"/>
        </w:rPr>
        <w:tab/>
      </w:r>
      <w:r w:rsidRPr="001455DC">
        <w:t xml:space="preserve">Provided that </w:t>
      </w:r>
      <w:r w:rsidRPr="001455DC">
        <w:rPr>
          <w:rStyle w:val="CCMCvariableitalic"/>
        </w:rPr>
        <w:t>f</w:t>
      </w:r>
      <w:r w:rsidRPr="001455DC">
        <w:rPr>
          <w:rStyle w:val="CCMCvariablesubscript"/>
        </w:rPr>
        <w:t>yd</w:t>
      </w:r>
      <w:r w:rsidRPr="001455DC">
        <w:t> </w:t>
      </w:r>
      <w:r w:rsidR="00650035" w:rsidRPr="001455DC">
        <w:rPr>
          <w:rFonts w:ascii="Cambria Math" w:hAnsi="Cambria Math"/>
        </w:rPr>
        <w:t>≤</w:t>
      </w:r>
      <w:r w:rsidRPr="001455DC">
        <w:t> 25</w:t>
      </w:r>
      <w:r w:rsidRPr="001455DC">
        <w:rPr>
          <w:rStyle w:val="CCMCvariableitalic"/>
        </w:rPr>
        <w:t>f</w:t>
      </w:r>
      <w:r w:rsidRPr="001455DC">
        <w:rPr>
          <w:rStyle w:val="CCMCvariablesubscript"/>
        </w:rPr>
        <w:t>cd</w:t>
      </w:r>
      <w:r w:rsidRPr="001455DC">
        <w:t xml:space="preserve"> and </w:t>
      </w:r>
      <w:r w:rsidRPr="001455DC">
        <w:rPr>
          <w:rStyle w:val="CCMCvariableitalic"/>
        </w:rPr>
        <w:t>γ</w:t>
      </w:r>
      <w:r w:rsidRPr="001455DC">
        <w:rPr>
          <w:rStyle w:val="CCMCvariablesubscript"/>
        </w:rPr>
        <w:t>C</w:t>
      </w:r>
      <w:r w:rsidRPr="001455DC">
        <w:t> </w:t>
      </w:r>
      <w:r w:rsidR="00650035" w:rsidRPr="001455DC">
        <w:rPr>
          <w:rFonts w:ascii="Cambria Math" w:hAnsi="Cambria Math"/>
        </w:rPr>
        <w:t>≤</w:t>
      </w:r>
      <w:r w:rsidRPr="001455DC">
        <w:t> 1,5, verification of the concrete inside the bend may be omitted for:</w:t>
      </w:r>
    </w:p>
    <w:p w14:paraId="3A4AAB32" w14:textId="40235FB2" w:rsidR="004E22C1" w:rsidRPr="001455DC" w:rsidRDefault="004E22C1" w:rsidP="00ED054E">
      <w:pPr>
        <w:pStyle w:val="a0"/>
      </w:pPr>
      <w:r w:rsidRPr="001455DC">
        <w:t>stirrups in compliance with 12.3.4(4),</w:t>
      </w:r>
    </w:p>
    <w:p w14:paraId="5D9670EF" w14:textId="2E010A72" w:rsidR="004E22C1" w:rsidRPr="001455DC" w:rsidRDefault="004E22C1" w:rsidP="00ED054E">
      <w:pPr>
        <w:pStyle w:val="a0"/>
      </w:pPr>
      <w:r w:rsidRPr="001455DC">
        <w:t xml:space="preserve">standard hook and bend anchorages complying with Figure 11.6 at a clear distance </w:t>
      </w:r>
      <w:r w:rsidRPr="001455DC">
        <w:rPr>
          <w:rStyle w:val="CCMCvariableitalic"/>
        </w:rPr>
        <w:t>c</w:t>
      </w:r>
      <w:r w:rsidRPr="001455DC">
        <w:rPr>
          <w:rStyle w:val="CCMCvariablesubscript"/>
        </w:rPr>
        <w:t>x</w:t>
      </w:r>
      <w:r w:rsidRPr="001455DC">
        <w:t> </w:t>
      </w:r>
      <w:r w:rsidR="00650035" w:rsidRPr="001455DC">
        <w:rPr>
          <w:rFonts w:ascii="Cambria Math" w:hAnsi="Cambria Math"/>
        </w:rPr>
        <w:t>≥</w:t>
      </w:r>
      <w:r w:rsidR="00073FC6" w:rsidRPr="001455DC">
        <w:t> </w:t>
      </w:r>
      <w:r w:rsidRPr="001455DC">
        <w:t>1,5</w:t>
      </w:r>
      <w:r w:rsidRPr="001455DC">
        <w:rPr>
          <w:rStyle w:val="CCMCvariableitalic"/>
        </w:rPr>
        <w:t>ϕ</w:t>
      </w:r>
      <w:r w:rsidRPr="001455DC">
        <w:t xml:space="preserve"> from an edge parallel to the bent and a clear distance between bars </w:t>
      </w:r>
      <w:r w:rsidRPr="001455DC">
        <w:rPr>
          <w:rStyle w:val="CCMCvariableitalic"/>
        </w:rPr>
        <w:t>c</w:t>
      </w:r>
      <w:r w:rsidRPr="001455DC">
        <w:rPr>
          <w:rStyle w:val="CCMCvariablesubscript"/>
        </w:rPr>
        <w:t>s</w:t>
      </w:r>
      <w:r w:rsidRPr="001455DC">
        <w:t> </w:t>
      </w:r>
      <w:r w:rsidR="00650035" w:rsidRPr="001455DC">
        <w:rPr>
          <w:rFonts w:ascii="Cambria Math" w:hAnsi="Cambria Math"/>
        </w:rPr>
        <w:t>≥</w:t>
      </w:r>
      <w:r w:rsidR="00073FC6" w:rsidRPr="001455DC">
        <w:t> </w:t>
      </w:r>
      <w:r w:rsidRPr="001455DC">
        <w:t>3</w:t>
      </w:r>
      <w:r w:rsidRPr="001455DC">
        <w:rPr>
          <w:rStyle w:val="CCMCvariableitalic"/>
        </w:rPr>
        <w:t>ϕ</w:t>
      </w:r>
      <w:r w:rsidRPr="001455DC">
        <w:t xml:space="preserve"> according to Figure 11.6c and</w:t>
      </w:r>
    </w:p>
    <w:p w14:paraId="6F775D82" w14:textId="1E661C96" w:rsidR="004E22C1" w:rsidRPr="001455DC" w:rsidRDefault="004E22C1" w:rsidP="00ED054E">
      <w:pPr>
        <w:pStyle w:val="a0"/>
        <w:rPr>
          <w:iCs/>
          <w:lang w:eastAsia="de-DE"/>
        </w:rPr>
      </w:pPr>
      <w:r w:rsidRPr="001455DC">
        <w:rPr>
          <w:iCs/>
          <w:lang w:eastAsia="de-DE"/>
        </w:rPr>
        <w:t xml:space="preserve">all bends with an angle </w:t>
      </w:r>
      <w:r w:rsidRPr="001455DC">
        <w:rPr>
          <w:rStyle w:val="CCMCvariableitalic"/>
        </w:rPr>
        <w:t>α</w:t>
      </w:r>
      <w:r w:rsidRPr="001455DC">
        <w:rPr>
          <w:rStyle w:val="CCMCvariablesubscript"/>
        </w:rPr>
        <w:t>bend</w:t>
      </w:r>
      <w:r w:rsidRPr="001455DC">
        <w:rPr>
          <w:iCs/>
          <w:lang w:eastAsia="de-DE"/>
        </w:rPr>
        <w:t> </w:t>
      </w:r>
      <w:r w:rsidR="00650035" w:rsidRPr="001455DC">
        <w:rPr>
          <w:rFonts w:ascii="Cambria Math" w:hAnsi="Cambria Math"/>
          <w:iCs/>
          <w:lang w:eastAsia="de-DE"/>
        </w:rPr>
        <w:t>≤</w:t>
      </w:r>
      <w:r w:rsidRPr="001455DC">
        <w:rPr>
          <w:iCs/>
          <w:lang w:eastAsia="de-DE"/>
        </w:rPr>
        <w:t xml:space="preserve"> 45° </w:t>
      </w:r>
      <w:r w:rsidRPr="001455DC">
        <w:t xml:space="preserve">at a clear distance </w:t>
      </w:r>
      <w:r w:rsidRPr="001455DC">
        <w:rPr>
          <w:rStyle w:val="CCMCvariableitalic"/>
        </w:rPr>
        <w:t>c</w:t>
      </w:r>
      <w:r w:rsidRPr="001455DC">
        <w:rPr>
          <w:rStyle w:val="CCMCvariablesubscript"/>
        </w:rPr>
        <w:t>x</w:t>
      </w:r>
      <w:r w:rsidRPr="001455DC">
        <w:t> </w:t>
      </w:r>
      <w:r w:rsidR="00650035" w:rsidRPr="001455DC">
        <w:rPr>
          <w:rFonts w:ascii="Cambria Math" w:hAnsi="Cambria Math"/>
        </w:rPr>
        <w:t>≥</w:t>
      </w:r>
      <w:r w:rsidR="00073FC6" w:rsidRPr="001455DC">
        <w:t> </w:t>
      </w:r>
      <w:r w:rsidRPr="001455DC">
        <w:t>2,5</w:t>
      </w:r>
      <w:r w:rsidRPr="001455DC">
        <w:rPr>
          <w:rStyle w:val="CCMCvariableitalic"/>
        </w:rPr>
        <w:t>ϕ</w:t>
      </w:r>
      <w:r w:rsidRPr="001455DC">
        <w:t xml:space="preserve"> from an edge parallel to the bent, a clear distance between bars </w:t>
      </w:r>
      <w:r w:rsidRPr="001455DC">
        <w:rPr>
          <w:rStyle w:val="CCMCvariableitalic"/>
        </w:rPr>
        <w:t>c</w:t>
      </w:r>
      <w:r w:rsidRPr="001455DC">
        <w:rPr>
          <w:rStyle w:val="CCMCvariablesubscript"/>
        </w:rPr>
        <w:t>s</w:t>
      </w:r>
      <w:r w:rsidRPr="001455DC">
        <w:t> </w:t>
      </w:r>
      <w:r w:rsidR="00650035" w:rsidRPr="001455DC">
        <w:rPr>
          <w:rFonts w:ascii="Cambria Math" w:hAnsi="Cambria Math"/>
        </w:rPr>
        <w:t>≥</w:t>
      </w:r>
      <w:r w:rsidR="00073FC6" w:rsidRPr="001455DC">
        <w:t> </w:t>
      </w:r>
      <w:r w:rsidRPr="001455DC">
        <w:t>5</w:t>
      </w:r>
      <w:r w:rsidRPr="001455DC">
        <w:rPr>
          <w:rStyle w:val="CCMCvariableitalic"/>
        </w:rPr>
        <w:t>ϕ</w:t>
      </w:r>
      <w:r w:rsidRPr="001455DC">
        <w:t xml:space="preserve"> and </w:t>
      </w:r>
      <w:r w:rsidR="00647E8A" w:rsidRPr="001455DC">
        <w:t xml:space="preserve">the </w:t>
      </w:r>
      <w:r w:rsidRPr="001455DC">
        <w:t>length of the straight segments between multiple bends</w:t>
      </w:r>
      <w:r w:rsidR="00647E8A" w:rsidRPr="001455DC">
        <w:t xml:space="preserve"> is not shorter than 2</w:t>
      </w:r>
      <w:r w:rsidR="00647E8A" w:rsidRPr="001455DC">
        <w:rPr>
          <w:rStyle w:val="CCMCvariableitalic"/>
        </w:rPr>
        <w:t>ϕ</w:t>
      </w:r>
      <w:r w:rsidR="00647E8A" w:rsidRPr="009D3012">
        <w:rPr>
          <w:rStyle w:val="CCMCvariableitalic"/>
          <w:i w:val="0"/>
        </w:rPr>
        <w:t>+</w:t>
      </w:r>
      <w:r w:rsidR="00647E8A" w:rsidRPr="001455DC">
        <w:rPr>
          <w:rStyle w:val="CCMCvariableitalic"/>
        </w:rPr>
        <w:t>c</w:t>
      </w:r>
      <w:r w:rsidR="00647E8A" w:rsidRPr="001455DC">
        <w:rPr>
          <w:rStyle w:val="CCMCvariablesubscript"/>
        </w:rPr>
        <w:t>d</w:t>
      </w:r>
      <w:r w:rsidRPr="001455DC">
        <w:t>.</w:t>
      </w:r>
    </w:p>
    <w:p w14:paraId="514B3884" w14:textId="3A4013AB" w:rsidR="004E22C1" w:rsidRPr="001455DC" w:rsidRDefault="004E22C1" w:rsidP="00ED054E">
      <w:pPr>
        <w:pStyle w:val="a7"/>
        <w:rPr>
          <w:lang w:eastAsia="de-DE"/>
        </w:rPr>
      </w:pPr>
      <w:r w:rsidRPr="001455DC">
        <w:rPr>
          <w:iCs/>
          <w:lang w:eastAsia="de-DE"/>
        </w:rPr>
        <w:t>(5)</w:t>
      </w:r>
      <w:r w:rsidRPr="001455DC">
        <w:rPr>
          <w:iCs/>
          <w:lang w:eastAsia="de-DE"/>
        </w:rPr>
        <w:tab/>
        <w:t>I</w:t>
      </w:r>
      <w:r w:rsidRPr="001455DC">
        <w:t xml:space="preserve">n cases not complying with (4), the design value of the steel stress </w:t>
      </w:r>
      <w:r w:rsidRPr="001455DC">
        <w:rPr>
          <w:rStyle w:val="CCMCvariableitalic"/>
        </w:rPr>
        <w:t>σ</w:t>
      </w:r>
      <w:r w:rsidRPr="001455DC">
        <w:rPr>
          <w:rStyle w:val="CCMCvariablesubscript"/>
        </w:rPr>
        <w:t>sd</w:t>
      </w:r>
      <w:r w:rsidRPr="001455DC">
        <w:t xml:space="preserve"> should be verified to avoid concrete failures</w:t>
      </w:r>
      <w:r w:rsidRPr="001455DC">
        <w:rPr>
          <w:lang w:eastAsia="de-DE"/>
        </w:rPr>
        <w:t xml:space="preserve"> inside the bend according to Formula (11.1):</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ED054E" w:rsidRPr="001455DC" w14:paraId="1B9883DE" w14:textId="77777777" w:rsidTr="00486ADF">
        <w:trPr>
          <w:cantSplit/>
        </w:trPr>
        <w:tc>
          <w:tcPr>
            <w:tcW w:w="8505" w:type="dxa"/>
            <w:vAlign w:val="center"/>
          </w:tcPr>
          <w:p w14:paraId="20BB3394" w14:textId="4E6372D8" w:rsidR="00ED054E" w:rsidRPr="001455DC" w:rsidRDefault="00231E33">
            <w:pPr>
              <w:pStyle w:val="Formula"/>
              <w:jc w:val="left"/>
            </w:pPr>
            <m:oMathPara>
              <m:oMathParaPr>
                <m:jc m:val="left"/>
              </m:oMathParaPr>
              <m:oMath>
                <m:sSub>
                  <m:sSubPr>
                    <m:ctrlPr>
                      <w:rPr>
                        <w:rFonts w:ascii="Cambria Math" w:hAnsi="Cambria Math"/>
                        <w:szCs w:val="22"/>
                      </w:rPr>
                    </m:ctrlPr>
                  </m:sSubPr>
                  <m:e>
                    <m:r>
                      <w:rPr>
                        <w:rFonts w:ascii="Cambria Math" w:hAnsi="Cambria Math"/>
                        <w:szCs w:val="22"/>
                      </w:rPr>
                      <m:t>σ</m:t>
                    </m:r>
                  </m:e>
                  <m:sub>
                    <m:r>
                      <m:rPr>
                        <m:sty m:val="p"/>
                      </m:rPr>
                      <w:rPr>
                        <w:rFonts w:ascii="Cambria Math" w:hAnsi="Cambria Math"/>
                        <w:szCs w:val="22"/>
                      </w:rPr>
                      <m:t>sd</m:t>
                    </m:r>
                  </m:sub>
                </m:sSub>
                <m:r>
                  <w:rPr>
                    <w:rFonts w:ascii="Cambria Math" w:hAnsi="Cambria Math"/>
                    <w:szCs w:val="22"/>
                  </w:rPr>
                  <m:t>≤0,65</m:t>
                </m:r>
                <m:sSub>
                  <m:sSubPr>
                    <m:ctrlPr>
                      <w:rPr>
                        <w:rFonts w:ascii="Cambria Math" w:hAnsi="Cambria Math"/>
                        <w:szCs w:val="22"/>
                      </w:rPr>
                    </m:ctrlPr>
                  </m:sSubPr>
                  <m:e>
                    <m:r>
                      <w:rPr>
                        <w:rFonts w:ascii="Cambria Math" w:hAnsi="Cambria Math"/>
                        <w:szCs w:val="22"/>
                      </w:rPr>
                      <m:t>f</m:t>
                    </m:r>
                  </m:e>
                  <m:sub>
                    <m:r>
                      <m:rPr>
                        <m:sty m:val="p"/>
                      </m:rPr>
                      <w:rPr>
                        <w:rFonts w:ascii="Cambria Math" w:hAnsi="Cambria Math"/>
                        <w:szCs w:val="22"/>
                      </w:rPr>
                      <m:t>cd</m:t>
                    </m:r>
                  </m:sub>
                </m:sSub>
                <m:f>
                  <m:fPr>
                    <m:ctrlPr>
                      <w:rPr>
                        <w:rFonts w:ascii="Cambria Math" w:hAnsi="Cambria Math"/>
                        <w:szCs w:val="22"/>
                      </w:rPr>
                    </m:ctrlPr>
                  </m:fPr>
                  <m:num>
                    <m:sSub>
                      <m:sSubPr>
                        <m:ctrlPr>
                          <w:rPr>
                            <w:rFonts w:ascii="Cambria Math" w:hAnsi="Cambria Math"/>
                            <w:szCs w:val="22"/>
                          </w:rPr>
                        </m:ctrlPr>
                      </m:sSubPr>
                      <m:e>
                        <m:r>
                          <w:rPr>
                            <w:rFonts w:ascii="Cambria Math" w:hAnsi="Cambria Math"/>
                            <w:szCs w:val="22"/>
                          </w:rPr>
                          <m:t>ϕ</m:t>
                        </m:r>
                      </m:e>
                      <m:sub>
                        <m:r>
                          <m:rPr>
                            <m:sty m:val="p"/>
                          </m:rPr>
                          <w:rPr>
                            <w:rFonts w:ascii="Cambria Math" w:hAnsi="Cambria Math"/>
                            <w:szCs w:val="22"/>
                          </w:rPr>
                          <m:t>mand</m:t>
                        </m:r>
                      </m:sub>
                    </m:sSub>
                  </m:num>
                  <m:den>
                    <m:r>
                      <w:rPr>
                        <w:rFonts w:ascii="Cambria Math" w:hAnsi="Cambria Math"/>
                        <w:szCs w:val="22"/>
                      </w:rPr>
                      <m:t>ϕ</m:t>
                    </m:r>
                  </m:den>
                </m:f>
                <m:r>
                  <w:rPr>
                    <w:rFonts w:ascii="Cambria Math" w:hAnsi="Cambria Math"/>
                    <w:szCs w:val="22"/>
                  </w:rPr>
                  <m:t>+</m:t>
                </m:r>
                <m:f>
                  <m:fPr>
                    <m:ctrlPr>
                      <w:rPr>
                        <w:rFonts w:ascii="Cambria Math" w:hAnsi="Cambria Math"/>
                        <w:szCs w:val="22"/>
                      </w:rPr>
                    </m:ctrlPr>
                  </m:fPr>
                  <m:num>
                    <m:rad>
                      <m:radPr>
                        <m:degHide m:val="1"/>
                        <m:ctrlPr>
                          <w:rPr>
                            <w:rFonts w:ascii="Cambria Math" w:hAnsi="Cambria Math"/>
                            <w:szCs w:val="22"/>
                          </w:rPr>
                        </m:ctrlPr>
                      </m:radPr>
                      <m:deg/>
                      <m:e>
                        <m:sSub>
                          <m:sSubPr>
                            <m:ctrlPr>
                              <w:rPr>
                                <w:rFonts w:ascii="Cambria Math" w:hAnsi="Cambria Math"/>
                                <w:szCs w:val="22"/>
                              </w:rPr>
                            </m:ctrlPr>
                          </m:sSubPr>
                          <m:e>
                            <m:r>
                              <w:rPr>
                                <w:rFonts w:ascii="Cambria Math" w:hAnsi="Cambria Math"/>
                                <w:szCs w:val="22"/>
                              </w:rPr>
                              <m:t>f</m:t>
                            </m:r>
                          </m:e>
                          <m:sub>
                            <m:r>
                              <m:rPr>
                                <m:sty m:val="p"/>
                              </m:rPr>
                              <w:rPr>
                                <w:rFonts w:ascii="Cambria Math" w:hAnsi="Cambria Math"/>
                                <w:szCs w:val="22"/>
                              </w:rPr>
                              <m:t>ck</m:t>
                            </m:r>
                          </m:sub>
                        </m:sSub>
                      </m:e>
                    </m:rad>
                  </m:num>
                  <m:den>
                    <m:sSub>
                      <m:sSubPr>
                        <m:ctrlPr>
                          <w:rPr>
                            <w:rFonts w:ascii="Cambria Math" w:hAnsi="Cambria Math"/>
                            <w:szCs w:val="22"/>
                          </w:rPr>
                        </m:ctrlPr>
                      </m:sSubPr>
                      <m:e>
                        <m:r>
                          <w:rPr>
                            <w:rFonts w:ascii="Cambria Math" w:hAnsi="Cambria Math"/>
                            <w:szCs w:val="22"/>
                          </w:rPr>
                          <m:t>γ</m:t>
                        </m:r>
                      </m:e>
                      <m:sub>
                        <m:r>
                          <w:rPr>
                            <w:rFonts w:ascii="Cambria Math" w:hAnsi="Cambria Math"/>
                            <w:szCs w:val="22"/>
                          </w:rPr>
                          <m:t>C</m:t>
                        </m:r>
                      </m:sub>
                    </m:sSub>
                  </m:den>
                </m:f>
                <m:sSup>
                  <m:sSupPr>
                    <m:ctrlPr>
                      <w:rPr>
                        <w:rFonts w:ascii="Cambria Math" w:hAnsi="Cambria Math"/>
                        <w:szCs w:val="22"/>
                      </w:rPr>
                    </m:ctrlPr>
                  </m:sSupPr>
                  <m:e>
                    <m:d>
                      <m:dPr>
                        <m:ctrlPr>
                          <w:rPr>
                            <w:rFonts w:ascii="Cambria Math" w:hAnsi="Cambria Math"/>
                            <w:szCs w:val="22"/>
                          </w:rPr>
                        </m:ctrlPr>
                      </m:dPr>
                      <m:e>
                        <m:f>
                          <m:fPr>
                            <m:ctrlPr>
                              <w:rPr>
                                <w:rFonts w:ascii="Cambria Math" w:hAnsi="Cambria Math"/>
                                <w:szCs w:val="22"/>
                              </w:rPr>
                            </m:ctrlPr>
                          </m:fPr>
                          <m:num>
                            <m:sSub>
                              <m:sSubPr>
                                <m:ctrlPr>
                                  <w:rPr>
                                    <w:rFonts w:ascii="Cambria Math" w:hAnsi="Cambria Math"/>
                                    <w:szCs w:val="22"/>
                                  </w:rPr>
                                </m:ctrlPr>
                              </m:sSubPr>
                              <m:e>
                                <m:r>
                                  <w:rPr>
                                    <w:rFonts w:ascii="Cambria Math" w:hAnsi="Cambria Math"/>
                                    <w:szCs w:val="22"/>
                                  </w:rPr>
                                  <m:t>d</m:t>
                                </m:r>
                              </m:e>
                              <m:sub>
                                <m:r>
                                  <m:rPr>
                                    <m:sty m:val="p"/>
                                  </m:rPr>
                                  <w:rPr>
                                    <w:rFonts w:ascii="Cambria Math" w:hAnsi="Cambria Math"/>
                                    <w:szCs w:val="22"/>
                                  </w:rPr>
                                  <m:t>dg</m:t>
                                </m:r>
                              </m:sub>
                            </m:sSub>
                          </m:num>
                          <m:den>
                            <m:r>
                              <w:rPr>
                                <w:rFonts w:ascii="Cambria Math" w:hAnsi="Cambria Math"/>
                                <w:szCs w:val="22"/>
                              </w:rPr>
                              <m:t>ϕ</m:t>
                            </m:r>
                          </m:den>
                        </m:f>
                      </m:e>
                    </m:d>
                  </m:e>
                  <m:sup>
                    <m:f>
                      <m:fPr>
                        <m:type m:val="lin"/>
                        <m:ctrlPr>
                          <w:rPr>
                            <w:rFonts w:ascii="Cambria Math" w:hAnsi="Cambria Math"/>
                            <w:szCs w:val="22"/>
                          </w:rPr>
                        </m:ctrlPr>
                      </m:fPr>
                      <m:num>
                        <m:r>
                          <w:rPr>
                            <w:rFonts w:ascii="Cambria Math" w:hAnsi="Cambria Math"/>
                            <w:szCs w:val="22"/>
                          </w:rPr>
                          <m:t>1</m:t>
                        </m:r>
                      </m:num>
                      <m:den>
                        <m:r>
                          <w:rPr>
                            <w:rFonts w:ascii="Cambria Math" w:hAnsi="Cambria Math"/>
                            <w:szCs w:val="22"/>
                          </w:rPr>
                          <m:t>3</m:t>
                        </m:r>
                      </m:den>
                    </m:f>
                  </m:sup>
                </m:sSup>
                <m:d>
                  <m:dPr>
                    <m:ctrlPr>
                      <w:rPr>
                        <w:rFonts w:ascii="Cambria Math" w:hAnsi="Cambria Math"/>
                        <w:szCs w:val="22"/>
                      </w:rPr>
                    </m:ctrlPr>
                  </m:dPr>
                  <m:e>
                    <m:f>
                      <m:fPr>
                        <m:ctrlPr>
                          <w:rPr>
                            <w:rFonts w:ascii="Cambria Math" w:hAnsi="Cambria Math"/>
                            <w:szCs w:val="22"/>
                          </w:rPr>
                        </m:ctrlPr>
                      </m:fPr>
                      <m:num>
                        <m:sSub>
                          <m:sSubPr>
                            <m:ctrlPr>
                              <w:rPr>
                                <w:rFonts w:ascii="Cambria Math" w:hAnsi="Cambria Math"/>
                                <w:szCs w:val="22"/>
                              </w:rPr>
                            </m:ctrlPr>
                          </m:sSubPr>
                          <m:e>
                            <m:r>
                              <w:rPr>
                                <w:rFonts w:ascii="Cambria Math" w:hAnsi="Cambria Math"/>
                                <w:szCs w:val="22"/>
                              </w:rPr>
                              <m:t>c</m:t>
                            </m:r>
                          </m:e>
                          <m:sub>
                            <m:r>
                              <m:rPr>
                                <m:sty m:val="p"/>
                              </m:rPr>
                              <w:rPr>
                                <w:rFonts w:ascii="Cambria Math" w:hAnsi="Cambria Math"/>
                                <w:szCs w:val="22"/>
                              </w:rPr>
                              <m:t>d</m:t>
                            </m:r>
                          </m:sub>
                        </m:sSub>
                      </m:num>
                      <m:den>
                        <m:r>
                          <w:rPr>
                            <w:rFonts w:ascii="Cambria Math" w:hAnsi="Cambria Math"/>
                            <w:szCs w:val="22"/>
                          </w:rPr>
                          <m:t>ϕ</m:t>
                        </m:r>
                      </m:den>
                    </m:f>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e>
                </m:d>
                <m:d>
                  <m:dPr>
                    <m:ctrlPr>
                      <w:rPr>
                        <w:rFonts w:ascii="Cambria Math" w:hAnsi="Cambria Math"/>
                        <w:szCs w:val="22"/>
                      </w:rPr>
                    </m:ctrlPr>
                  </m:dPr>
                  <m:e>
                    <m:sSub>
                      <m:sSubPr>
                        <m:ctrlPr>
                          <w:rPr>
                            <w:rFonts w:ascii="Cambria Math" w:hAnsi="Cambria Math"/>
                            <w:szCs w:val="22"/>
                          </w:rPr>
                        </m:ctrlPr>
                      </m:sSubPr>
                      <m:e>
                        <m:r>
                          <w:rPr>
                            <w:rFonts w:ascii="Cambria Math" w:hAnsi="Cambria Math"/>
                            <w:szCs w:val="22"/>
                          </w:rPr>
                          <m:t>k</m:t>
                        </m:r>
                      </m:e>
                      <m:sub>
                        <m:r>
                          <m:rPr>
                            <m:sty m:val="p"/>
                          </m:rPr>
                          <w:rPr>
                            <w:rFonts w:ascii="Cambria Math" w:hAnsi="Cambria Math"/>
                            <w:szCs w:val="22"/>
                          </w:rPr>
                          <m:t>bend</m:t>
                        </m:r>
                      </m:sub>
                    </m:sSub>
                    <m:r>
                      <w:rPr>
                        <w:rFonts w:ascii="Cambria Math" w:hAnsi="Cambria Math"/>
                        <w:szCs w:val="22"/>
                      </w:rPr>
                      <m:t>+0,7∙</m:t>
                    </m:r>
                    <m:f>
                      <m:fPr>
                        <m:ctrlPr>
                          <w:rPr>
                            <w:rFonts w:ascii="Cambria Math" w:hAnsi="Cambria Math"/>
                            <w:szCs w:val="22"/>
                          </w:rPr>
                        </m:ctrlPr>
                      </m:fPr>
                      <m:num>
                        <m:sSub>
                          <m:sSubPr>
                            <m:ctrlPr>
                              <w:rPr>
                                <w:rFonts w:ascii="Cambria Math" w:hAnsi="Cambria Math"/>
                                <w:szCs w:val="22"/>
                              </w:rPr>
                            </m:ctrlPr>
                          </m:sSubPr>
                          <m:e>
                            <m:r>
                              <w:rPr>
                                <w:rFonts w:ascii="Cambria Math" w:hAnsi="Cambria Math"/>
                                <w:szCs w:val="22"/>
                              </w:rPr>
                              <m:t>ϕ</m:t>
                            </m:r>
                          </m:e>
                          <m:sub>
                            <m:r>
                              <m:rPr>
                                <m:sty m:val="p"/>
                              </m:rPr>
                              <w:rPr>
                                <w:rFonts w:ascii="Cambria Math" w:hAnsi="Cambria Math"/>
                                <w:szCs w:val="22"/>
                              </w:rPr>
                              <m:t>mand</m:t>
                            </m:r>
                          </m:sub>
                        </m:sSub>
                      </m:num>
                      <m:den>
                        <m:r>
                          <w:rPr>
                            <w:rFonts w:ascii="Cambria Math" w:hAnsi="Cambria Math"/>
                            <w:szCs w:val="22"/>
                          </w:rPr>
                          <m:t>ϕ</m:t>
                        </m:r>
                      </m:den>
                    </m:f>
                  </m:e>
                </m:d>
              </m:oMath>
            </m:oMathPara>
          </w:p>
        </w:tc>
        <w:tc>
          <w:tcPr>
            <w:tcW w:w="1247" w:type="dxa"/>
            <w:vAlign w:val="center"/>
          </w:tcPr>
          <w:p w14:paraId="48B67AF9" w14:textId="090DAE1F" w:rsidR="00ED054E" w:rsidRPr="001455DC" w:rsidRDefault="00ED054E" w:rsidP="00486ADF">
            <w:pPr>
              <w:pStyle w:val="a7"/>
              <w:jc w:val="right"/>
            </w:pPr>
            <w:r w:rsidRPr="001455DC">
              <w:t>(11.1)</w:t>
            </w:r>
          </w:p>
        </w:tc>
      </w:tr>
    </w:tbl>
    <w:p w14:paraId="4840400D" w14:textId="77777777" w:rsidR="00ED054E" w:rsidRPr="001455DC" w:rsidRDefault="00ED054E" w:rsidP="00A35599">
      <w:pPr>
        <w:pStyle w:val="a7"/>
        <w:keepNext/>
      </w:pPr>
      <w:r w:rsidRPr="001455DC">
        <w:t>where</w:t>
      </w:r>
    </w:p>
    <w:tbl>
      <w:tblPr>
        <w:tblW w:w="9413" w:type="dxa"/>
        <w:tblInd w:w="397" w:type="dxa"/>
        <w:tblLayout w:type="fixed"/>
        <w:tblCellMar>
          <w:left w:w="28" w:type="dxa"/>
          <w:right w:w="28" w:type="dxa"/>
        </w:tblCellMar>
        <w:tblLook w:val="04A0" w:firstRow="1" w:lastRow="0" w:firstColumn="1" w:lastColumn="0" w:noHBand="0" w:noVBand="1"/>
      </w:tblPr>
      <w:tblGrid>
        <w:gridCol w:w="851"/>
        <w:gridCol w:w="8562"/>
      </w:tblGrid>
      <w:tr w:rsidR="00ED054E" w:rsidRPr="001455DC" w14:paraId="4412B541" w14:textId="77777777" w:rsidTr="00ED054E">
        <w:trPr>
          <w:cantSplit/>
        </w:trPr>
        <w:tc>
          <w:tcPr>
            <w:tcW w:w="851" w:type="dxa"/>
          </w:tcPr>
          <w:p w14:paraId="63E61540" w14:textId="00C6FC47" w:rsidR="00ED054E" w:rsidRPr="001455DC" w:rsidRDefault="00ED054E" w:rsidP="0000442A">
            <w:pPr>
              <w:pStyle w:val="Tablebody"/>
            </w:pPr>
            <w:r w:rsidRPr="001455DC">
              <w:rPr>
                <w:rStyle w:val="CCMCvariableitalic"/>
              </w:rPr>
              <w:t>ϕ</w:t>
            </w:r>
            <w:r w:rsidRPr="001455DC">
              <w:rPr>
                <w:rStyle w:val="CCMCvariablesubscript"/>
              </w:rPr>
              <w:t>mand</w:t>
            </w:r>
          </w:p>
        </w:tc>
        <w:tc>
          <w:tcPr>
            <w:tcW w:w="8562" w:type="dxa"/>
          </w:tcPr>
          <w:p w14:paraId="0CCA32FC" w14:textId="2A56A079" w:rsidR="00ED054E" w:rsidRPr="001455DC" w:rsidRDefault="00ED054E" w:rsidP="00BB1209">
            <w:pPr>
              <w:pStyle w:val="Tablebody"/>
            </w:pPr>
            <w:r w:rsidRPr="001455DC">
              <w:t>is the mandrel diameter;</w:t>
            </w:r>
          </w:p>
        </w:tc>
      </w:tr>
      <w:tr w:rsidR="00ED054E" w:rsidRPr="001455DC" w14:paraId="32C5A777" w14:textId="77777777" w:rsidTr="00ED054E">
        <w:trPr>
          <w:cantSplit/>
        </w:trPr>
        <w:tc>
          <w:tcPr>
            <w:tcW w:w="851" w:type="dxa"/>
          </w:tcPr>
          <w:p w14:paraId="1CC051F0" w14:textId="76AF72E4" w:rsidR="00ED054E" w:rsidRPr="001455DC" w:rsidRDefault="00ED054E" w:rsidP="0000442A">
            <w:pPr>
              <w:pStyle w:val="Tablebody"/>
            </w:pPr>
            <w:r w:rsidRPr="001455DC">
              <w:rPr>
                <w:rStyle w:val="CCMCvariableitalic"/>
              </w:rPr>
              <w:t>c</w:t>
            </w:r>
            <w:r w:rsidRPr="001455DC">
              <w:rPr>
                <w:rStyle w:val="CCMCvariablesubscript"/>
              </w:rPr>
              <w:t>d</w:t>
            </w:r>
          </w:p>
        </w:tc>
        <w:tc>
          <w:tcPr>
            <w:tcW w:w="8562" w:type="dxa"/>
          </w:tcPr>
          <w:p w14:paraId="19141711" w14:textId="05C3D5B4" w:rsidR="00ED054E" w:rsidRPr="001455DC" w:rsidRDefault="00ED054E" w:rsidP="0000442A">
            <w:pPr>
              <w:pStyle w:val="Tablebody"/>
            </w:pPr>
            <w:r w:rsidRPr="001455DC">
              <w:t>is the cover or half the clear space between bars according to Figure 11.6c);</w:t>
            </w:r>
          </w:p>
        </w:tc>
      </w:tr>
      <w:tr w:rsidR="00ED054E" w:rsidRPr="001455DC" w14:paraId="347A4B89" w14:textId="77777777" w:rsidTr="00ED054E">
        <w:trPr>
          <w:cantSplit/>
        </w:trPr>
        <w:tc>
          <w:tcPr>
            <w:tcW w:w="851" w:type="dxa"/>
          </w:tcPr>
          <w:p w14:paraId="63B65439" w14:textId="75C5677C" w:rsidR="00ED054E" w:rsidRPr="001455DC" w:rsidRDefault="00ED054E" w:rsidP="00D86695">
            <w:pPr>
              <w:pStyle w:val="Tablebody"/>
            </w:pPr>
            <w:r w:rsidRPr="001455DC">
              <w:rPr>
                <w:rStyle w:val="CCMCvariableitalic"/>
              </w:rPr>
              <w:t>k</w:t>
            </w:r>
            <w:r w:rsidRPr="001455DC">
              <w:rPr>
                <w:rStyle w:val="CCMCvariablesubscript"/>
              </w:rPr>
              <w:t>bend</w:t>
            </w:r>
          </w:p>
        </w:tc>
        <w:tc>
          <w:tcPr>
            <w:tcW w:w="8562" w:type="dxa"/>
          </w:tcPr>
          <w:p w14:paraId="64CA004C" w14:textId="26E6AFEB" w:rsidR="00ED054E" w:rsidRPr="001455DC" w:rsidRDefault="00ED054E" w:rsidP="00D86695">
            <w:pPr>
              <w:pStyle w:val="Tablebody"/>
            </w:pPr>
            <w:r w:rsidRPr="001455DC">
              <w:t xml:space="preserve">is a parameter considering the bend angle </w:t>
            </w:r>
            <w:r w:rsidRPr="001455DC">
              <w:rPr>
                <w:rStyle w:val="CCMCvariableitalic"/>
              </w:rPr>
              <w:t>α</w:t>
            </w:r>
            <w:r w:rsidRPr="001455DC">
              <w:rPr>
                <w:rStyle w:val="CCMCvariablesubscript"/>
              </w:rPr>
              <w:t>bend</w:t>
            </w:r>
            <w:r w:rsidRPr="001455DC">
              <w:t>:</w:t>
            </w:r>
          </w:p>
        </w:tc>
      </w:tr>
      <w:tr w:rsidR="00ED054E" w:rsidRPr="001455DC" w14:paraId="1B098FA2" w14:textId="77777777" w:rsidTr="00ED054E">
        <w:trPr>
          <w:cantSplit/>
        </w:trPr>
        <w:tc>
          <w:tcPr>
            <w:tcW w:w="851" w:type="dxa"/>
          </w:tcPr>
          <w:p w14:paraId="73CE43CB" w14:textId="31200126" w:rsidR="00ED054E" w:rsidRPr="001455DC" w:rsidRDefault="00ED054E" w:rsidP="00D86695">
            <w:pPr>
              <w:pStyle w:val="Tablebody"/>
            </w:pPr>
            <w:r w:rsidRPr="001455DC">
              <w:t> </w:t>
            </w:r>
          </w:p>
        </w:tc>
        <w:tc>
          <w:tcPr>
            <w:tcW w:w="8562" w:type="dxa"/>
          </w:tcPr>
          <w:p w14:paraId="4B0BB41D" w14:textId="2759DAF0" w:rsidR="00ED054E" w:rsidRPr="001455DC" w:rsidRDefault="00ED054E" w:rsidP="00D86695">
            <w:pPr>
              <w:pStyle w:val="Tablebody"/>
            </w:pPr>
            <w:r w:rsidRPr="001455DC">
              <w:rPr>
                <w:rStyle w:val="CCMCvariableitalic"/>
              </w:rPr>
              <w:t>k</w:t>
            </w:r>
            <w:r w:rsidRPr="001455DC">
              <w:rPr>
                <w:rStyle w:val="CCMCvariablesubscript"/>
              </w:rPr>
              <w:t>bend</w:t>
            </w:r>
            <w:r w:rsidRPr="001455DC">
              <w:t> </w:t>
            </w:r>
            <w:r w:rsidR="00EC27D2" w:rsidRPr="001455DC">
              <w:rPr>
                <w:rFonts w:ascii="Cambria Math" w:hAnsi="Cambria Math"/>
              </w:rPr>
              <w:t>=</w:t>
            </w:r>
            <w:r w:rsidRPr="001455DC">
              <w:t xml:space="preserve"> 32 for </w:t>
            </w:r>
            <w:r w:rsidRPr="001455DC">
              <w:rPr>
                <w:rStyle w:val="CCMCvariableitalic"/>
              </w:rPr>
              <w:t>α</w:t>
            </w:r>
            <w:r w:rsidRPr="001455DC">
              <w:rPr>
                <w:rStyle w:val="CCMCvariablesubscript"/>
              </w:rPr>
              <w:t>bend</w:t>
            </w:r>
            <w:r w:rsidRPr="001455DC">
              <w:t> </w:t>
            </w:r>
            <w:r w:rsidR="00EC27D2" w:rsidRPr="001455DC">
              <w:rPr>
                <w:rFonts w:ascii="Cambria Math" w:hAnsi="Cambria Math"/>
              </w:rPr>
              <w:t>=</w:t>
            </w:r>
            <w:r w:rsidRPr="001455DC">
              <w:t> 45°,</w:t>
            </w:r>
          </w:p>
        </w:tc>
      </w:tr>
      <w:tr w:rsidR="00ED054E" w:rsidRPr="001455DC" w14:paraId="52658302" w14:textId="77777777" w:rsidTr="00ED054E">
        <w:trPr>
          <w:cantSplit/>
        </w:trPr>
        <w:tc>
          <w:tcPr>
            <w:tcW w:w="851" w:type="dxa"/>
          </w:tcPr>
          <w:p w14:paraId="1C6D91CD" w14:textId="26C65342" w:rsidR="00ED054E" w:rsidRPr="001455DC" w:rsidRDefault="00ED054E" w:rsidP="00D86695">
            <w:pPr>
              <w:pStyle w:val="Tablebody"/>
            </w:pPr>
            <w:r w:rsidRPr="001455DC">
              <w:t> </w:t>
            </w:r>
          </w:p>
        </w:tc>
        <w:tc>
          <w:tcPr>
            <w:tcW w:w="8562" w:type="dxa"/>
          </w:tcPr>
          <w:p w14:paraId="327F22C4" w14:textId="2E147C32" w:rsidR="00ED054E" w:rsidRPr="001455DC" w:rsidRDefault="00ED054E" w:rsidP="00D86695">
            <w:pPr>
              <w:pStyle w:val="Tablebody"/>
            </w:pPr>
            <w:r w:rsidRPr="001455DC">
              <w:rPr>
                <w:rStyle w:val="CCMCvariableitalic"/>
              </w:rPr>
              <w:t>k</w:t>
            </w:r>
            <w:r w:rsidRPr="001455DC">
              <w:rPr>
                <w:rStyle w:val="CCMCvariablesubscript"/>
              </w:rPr>
              <w:t>bend</w:t>
            </w:r>
            <w:r w:rsidRPr="001455DC">
              <w:t> </w:t>
            </w:r>
            <w:r w:rsidR="00EC27D2" w:rsidRPr="001455DC">
              <w:rPr>
                <w:rFonts w:ascii="Cambria Math" w:hAnsi="Cambria Math"/>
              </w:rPr>
              <w:t>=</w:t>
            </w:r>
            <w:r w:rsidRPr="001455DC">
              <w:t xml:space="preserve"> 16 for </w:t>
            </w:r>
            <w:r w:rsidRPr="001455DC">
              <w:rPr>
                <w:rStyle w:val="CCMCvariableitalic"/>
              </w:rPr>
              <w:t>α</w:t>
            </w:r>
            <w:r w:rsidRPr="001455DC">
              <w:rPr>
                <w:rStyle w:val="CCMCvariablesubscript"/>
              </w:rPr>
              <w:t>bend</w:t>
            </w:r>
            <w:r w:rsidRPr="001455DC">
              <w:t> </w:t>
            </w:r>
            <w:r w:rsidR="00EC27D2" w:rsidRPr="001455DC">
              <w:rPr>
                <w:rFonts w:ascii="Cambria Math" w:hAnsi="Cambria Math"/>
              </w:rPr>
              <w:t>=</w:t>
            </w:r>
            <w:r w:rsidRPr="001455DC">
              <w:t> 90°,</w:t>
            </w:r>
          </w:p>
        </w:tc>
      </w:tr>
      <w:tr w:rsidR="00ED054E" w:rsidRPr="001455DC" w14:paraId="49F04827" w14:textId="77777777" w:rsidTr="00ED054E">
        <w:trPr>
          <w:cantSplit/>
        </w:trPr>
        <w:tc>
          <w:tcPr>
            <w:tcW w:w="851" w:type="dxa"/>
          </w:tcPr>
          <w:p w14:paraId="36D47791" w14:textId="3B6F4D1F" w:rsidR="00ED054E" w:rsidRPr="001455DC" w:rsidRDefault="00ED054E" w:rsidP="00D86695">
            <w:pPr>
              <w:pStyle w:val="Tablebody"/>
            </w:pPr>
            <w:r w:rsidRPr="001455DC">
              <w:t> </w:t>
            </w:r>
          </w:p>
        </w:tc>
        <w:tc>
          <w:tcPr>
            <w:tcW w:w="8562" w:type="dxa"/>
          </w:tcPr>
          <w:p w14:paraId="0FFBCCE6" w14:textId="41EBE1AA" w:rsidR="00ED054E" w:rsidRPr="001455DC" w:rsidRDefault="00ED054E" w:rsidP="00D86695">
            <w:pPr>
              <w:pStyle w:val="Tablebody"/>
            </w:pPr>
            <w:r w:rsidRPr="001455DC">
              <w:rPr>
                <w:rStyle w:val="CCMCvariableitalic"/>
              </w:rPr>
              <w:t>k</w:t>
            </w:r>
            <w:r w:rsidRPr="001455DC">
              <w:rPr>
                <w:rStyle w:val="CCMCvariablesubscript"/>
              </w:rPr>
              <w:t>bend</w:t>
            </w:r>
            <w:r w:rsidRPr="001455DC">
              <w:t> </w:t>
            </w:r>
            <w:r w:rsidR="00EC27D2" w:rsidRPr="001455DC">
              <w:rPr>
                <w:rFonts w:ascii="Cambria Math" w:hAnsi="Cambria Math"/>
              </w:rPr>
              <w:t>=</w:t>
            </w:r>
            <w:r w:rsidRPr="001455DC">
              <w:t xml:space="preserve"> 12 for </w:t>
            </w:r>
            <w:r w:rsidRPr="001455DC">
              <w:rPr>
                <w:rStyle w:val="CCMCvariableitalic"/>
              </w:rPr>
              <w:t>α</w:t>
            </w:r>
            <w:r w:rsidRPr="001455DC">
              <w:rPr>
                <w:rStyle w:val="CCMCvariablesubscript"/>
              </w:rPr>
              <w:t>bend</w:t>
            </w:r>
            <w:r w:rsidRPr="001455DC">
              <w:t> </w:t>
            </w:r>
            <w:r w:rsidR="00EC27D2" w:rsidRPr="001455DC">
              <w:rPr>
                <w:rFonts w:ascii="Cambria Math" w:hAnsi="Cambria Math"/>
              </w:rPr>
              <w:t>=</w:t>
            </w:r>
            <w:r w:rsidRPr="001455DC">
              <w:t> 135°,</w:t>
            </w:r>
          </w:p>
        </w:tc>
      </w:tr>
      <w:tr w:rsidR="00ED054E" w:rsidRPr="001455DC" w14:paraId="30DCC81A" w14:textId="77777777" w:rsidTr="00ED054E">
        <w:trPr>
          <w:cantSplit/>
        </w:trPr>
        <w:tc>
          <w:tcPr>
            <w:tcW w:w="851" w:type="dxa"/>
          </w:tcPr>
          <w:p w14:paraId="00B6B981" w14:textId="1288A57A" w:rsidR="00ED054E" w:rsidRPr="001455DC" w:rsidRDefault="00ED054E" w:rsidP="00D86695">
            <w:pPr>
              <w:pStyle w:val="Tablebody"/>
            </w:pPr>
            <w:r w:rsidRPr="001455DC">
              <w:t> </w:t>
            </w:r>
          </w:p>
        </w:tc>
        <w:tc>
          <w:tcPr>
            <w:tcW w:w="8562" w:type="dxa"/>
          </w:tcPr>
          <w:p w14:paraId="7CF72895" w14:textId="70701B35" w:rsidR="00ED054E" w:rsidRPr="001455DC" w:rsidRDefault="00ED054E" w:rsidP="00D86695">
            <w:pPr>
              <w:pStyle w:val="Tablebody"/>
            </w:pPr>
            <w:r w:rsidRPr="001455DC">
              <w:rPr>
                <w:rStyle w:val="CCMCvariableitalic"/>
              </w:rPr>
              <w:t>k</w:t>
            </w:r>
            <w:r w:rsidRPr="001455DC">
              <w:rPr>
                <w:rStyle w:val="CCMCvariablesubscript"/>
              </w:rPr>
              <w:t>bend</w:t>
            </w:r>
            <w:r w:rsidRPr="001455DC">
              <w:t> </w:t>
            </w:r>
            <w:r w:rsidR="00EC27D2" w:rsidRPr="001455DC">
              <w:rPr>
                <w:rFonts w:ascii="Cambria Math" w:hAnsi="Cambria Math"/>
              </w:rPr>
              <w:t>=</w:t>
            </w:r>
            <w:r w:rsidRPr="001455DC">
              <w:t> 8 for 180° loops,</w:t>
            </w:r>
          </w:p>
        </w:tc>
      </w:tr>
      <w:tr w:rsidR="00ED054E" w:rsidRPr="001455DC" w14:paraId="708CFC12" w14:textId="77777777" w:rsidTr="00ED054E">
        <w:trPr>
          <w:cantSplit/>
        </w:trPr>
        <w:tc>
          <w:tcPr>
            <w:tcW w:w="851" w:type="dxa"/>
          </w:tcPr>
          <w:p w14:paraId="374EFD74" w14:textId="4A8D6643" w:rsidR="00ED054E" w:rsidRPr="001455DC" w:rsidRDefault="00ED054E" w:rsidP="00D86695">
            <w:pPr>
              <w:pStyle w:val="Tablebody"/>
            </w:pPr>
            <w:r w:rsidRPr="001455DC">
              <w:t> </w:t>
            </w:r>
          </w:p>
        </w:tc>
        <w:tc>
          <w:tcPr>
            <w:tcW w:w="8562" w:type="dxa"/>
          </w:tcPr>
          <w:p w14:paraId="6C5E165E" w14:textId="3AA5A605" w:rsidR="00ED054E" w:rsidRPr="001455DC" w:rsidRDefault="00ED054E" w:rsidP="00D86695">
            <w:pPr>
              <w:pStyle w:val="Tablebody"/>
            </w:pPr>
            <w:r w:rsidRPr="001455DC">
              <w:rPr>
                <w:rStyle w:val="CCMCvariableitalic"/>
              </w:rPr>
              <w:t>k</w:t>
            </w:r>
            <w:r w:rsidRPr="001455DC">
              <w:rPr>
                <w:rStyle w:val="CCMCvariablesubscript"/>
              </w:rPr>
              <w:t>bend</w:t>
            </w:r>
            <w:r w:rsidRPr="001455DC">
              <w:t> </w:t>
            </w:r>
            <w:r w:rsidR="00EC27D2" w:rsidRPr="001455DC">
              <w:rPr>
                <w:rFonts w:ascii="Cambria Math" w:hAnsi="Cambria Math"/>
              </w:rPr>
              <w:t>=</w:t>
            </w:r>
            <w:r w:rsidRPr="001455DC">
              <w:t> 32 </w:t>
            </w:r>
            <w:r w:rsidRPr="001455DC">
              <w:rPr>
                <w:rFonts w:ascii="Cambria Math" w:hAnsi="Cambria Math" w:cs="Cambria Math"/>
              </w:rPr>
              <w:t>⋅</w:t>
            </w:r>
            <w:r w:rsidRPr="001455DC">
              <w:t> (45°/</w:t>
            </w:r>
            <w:r w:rsidRPr="001455DC">
              <w:rPr>
                <w:rStyle w:val="CCMCvariableitalic"/>
              </w:rPr>
              <w:t>α</w:t>
            </w:r>
            <w:r w:rsidRPr="001455DC">
              <w:rPr>
                <w:rStyle w:val="CCMCvariablesubscript"/>
              </w:rPr>
              <w:t>bend</w:t>
            </w:r>
            <w:r w:rsidRPr="001455DC">
              <w:t>) for intermediate bend angles (</w:t>
            </w:r>
            <w:r w:rsidRPr="001455DC">
              <w:rPr>
                <w:rStyle w:val="CCMCvariableitalic"/>
              </w:rPr>
              <w:t>α</w:t>
            </w:r>
            <w:r w:rsidRPr="001455DC">
              <w:rPr>
                <w:rStyle w:val="CCMCvariablesubscript"/>
              </w:rPr>
              <w:t>bend</w:t>
            </w:r>
            <w:r w:rsidRPr="001455DC">
              <w:t xml:space="preserve"> defined in Figure 11.6).</w:t>
            </w:r>
          </w:p>
        </w:tc>
      </w:tr>
    </w:tbl>
    <w:p w14:paraId="1BF67706" w14:textId="7D15A4E7" w:rsidR="004E22C1" w:rsidRPr="001455DC" w:rsidRDefault="004E22C1" w:rsidP="00ED054E">
      <w:pPr>
        <w:pStyle w:val="a7"/>
      </w:pPr>
      <w:r w:rsidRPr="001455DC">
        <w:t>In case of multiple bends, the length of the straight sections between bends shall not be shorter than 2</w:t>
      </w:r>
      <w:r w:rsidRPr="001455DC">
        <w:rPr>
          <w:rStyle w:val="CCMCvariableitalic"/>
        </w:rPr>
        <w:t>ϕ</w:t>
      </w:r>
      <w:r w:rsidR="00A97B6B" w:rsidRPr="001455DC">
        <w:rPr>
          <w:rStyle w:val="CCMCvariableitalic"/>
          <w:i w:val="0"/>
        </w:rPr>
        <w:t>+</w:t>
      </w:r>
      <w:r w:rsidR="00A97B6B" w:rsidRPr="001455DC">
        <w:rPr>
          <w:rStyle w:val="CCMCvariableitalic"/>
        </w:rPr>
        <w:t>c</w:t>
      </w:r>
      <w:r w:rsidR="00A97B6B" w:rsidRPr="001455DC">
        <w:rPr>
          <w:rStyle w:val="CCMCvariablesubscript"/>
        </w:rPr>
        <w:t>d</w:t>
      </w:r>
      <w:r w:rsidRPr="001455DC">
        <w:t>.</w:t>
      </w:r>
    </w:p>
    <w:p w14:paraId="5940F433" w14:textId="77777777" w:rsidR="004E22C1" w:rsidRPr="001455DC" w:rsidRDefault="004E22C1" w:rsidP="00ED054E">
      <w:pPr>
        <w:pStyle w:val="Note"/>
        <w:rPr>
          <w:lang w:eastAsia="de-DE"/>
        </w:rPr>
      </w:pPr>
      <w:r w:rsidRPr="001455DC">
        <w:t>NOTE</w:t>
      </w:r>
      <w:r w:rsidRPr="001455DC">
        <w:tab/>
        <w:t>Practical bending can require longer straight sections.</w:t>
      </w:r>
    </w:p>
    <w:p w14:paraId="2BE52C42" w14:textId="2091D12F" w:rsidR="004E22C1" w:rsidRPr="001455DC" w:rsidRDefault="004E22C1" w:rsidP="006D682B">
      <w:pPr>
        <w:pStyle w:val="21"/>
      </w:pPr>
      <w:bookmarkStart w:id="792" w:name="_Toc52820029"/>
      <w:bookmarkStart w:id="793" w:name="_Toc54337427"/>
      <w:bookmarkStart w:id="794" w:name="_Toc54338086"/>
      <w:bookmarkStart w:id="795" w:name="_Toc67565430"/>
      <w:r w:rsidRPr="001455DC">
        <w:t>Anchorage of reinforcing steel in tension and compression</w:t>
      </w:r>
      <w:bookmarkEnd w:id="792"/>
      <w:bookmarkEnd w:id="793"/>
      <w:bookmarkEnd w:id="794"/>
      <w:bookmarkEnd w:id="795"/>
    </w:p>
    <w:p w14:paraId="11DFB0C1" w14:textId="1512C8C6" w:rsidR="004E22C1" w:rsidRPr="001455DC" w:rsidRDefault="004E22C1" w:rsidP="00243590">
      <w:pPr>
        <w:pStyle w:val="31"/>
      </w:pPr>
      <w:bookmarkStart w:id="796" w:name="_Toc52820030"/>
      <w:bookmarkStart w:id="797" w:name="_Toc54337428"/>
      <w:bookmarkStart w:id="798" w:name="_Toc54338087"/>
      <w:bookmarkStart w:id="799" w:name="_Toc67565431"/>
      <w:r w:rsidRPr="001455DC">
        <w:t>General</w:t>
      </w:r>
      <w:bookmarkEnd w:id="796"/>
      <w:bookmarkEnd w:id="797"/>
      <w:bookmarkEnd w:id="798"/>
      <w:bookmarkEnd w:id="799"/>
    </w:p>
    <w:p w14:paraId="3CFF736E" w14:textId="77777777" w:rsidR="001105B4" w:rsidRPr="001455DC" w:rsidRDefault="004E22C1" w:rsidP="00777269">
      <w:pPr>
        <w:pStyle w:val="a7"/>
      </w:pPr>
      <w:r w:rsidRPr="001455DC">
        <w:t>(1)</w:t>
      </w:r>
      <w:r w:rsidRPr="001455DC">
        <w:tab/>
        <w:t>Reinforcing steel bars, wires or welded mesh fabrics shall be anchored so that their longitudinal forces are safely transmitted to concrete in compression (see Figure 11.2) or are transferred to another reinforcement according to 11.5.</w:t>
      </w:r>
    </w:p>
    <w:p w14:paraId="4D8C883F" w14:textId="0A491F03" w:rsidR="004E22C1" w:rsidRPr="009D3012" w:rsidRDefault="0079403C" w:rsidP="009D3012">
      <w:pPr>
        <w:pStyle w:val="Note"/>
      </w:pPr>
      <w:r>
        <w:t>NOTE</w:t>
      </w:r>
      <w:r w:rsidR="001105B4" w:rsidRPr="009D3012">
        <w:tab/>
        <w:t>For consideration of possible local concrete breakout or blowout</w:t>
      </w:r>
      <w:r>
        <w:t>,</w:t>
      </w:r>
      <w:r w:rsidR="001105B4" w:rsidRPr="009D3012">
        <w:t xml:space="preserve"> see also 4.4.</w:t>
      </w:r>
    </w:p>
    <w:p w14:paraId="2353B234" w14:textId="6FFF3002" w:rsidR="004E22C1" w:rsidRPr="001455DC" w:rsidRDefault="004E22C1" w:rsidP="00777269">
      <w:pPr>
        <w:pStyle w:val="a7"/>
      </w:pPr>
      <w:r w:rsidRPr="001455DC">
        <w:t>(2)</w:t>
      </w:r>
      <w:r w:rsidRPr="001455DC">
        <w:tab/>
        <w:t xml:space="preserve">Potential cracking parallel to the anchored reinforcement should be controlled by appropriate transverse or confinement reinforcement. Generally, minimum transverse or shear reinforcement according to </w:t>
      </w:r>
      <w:r w:rsidR="001710FF" w:rsidRPr="001455DC">
        <w:t>Clause </w:t>
      </w:r>
      <w:r w:rsidRPr="001455DC">
        <w:t>12 will suffice.</w:t>
      </w:r>
    </w:p>
    <w:p w14:paraId="5CE83C25" w14:textId="77777777" w:rsidR="004E22C1" w:rsidRPr="001455DC" w:rsidRDefault="004E22C1" w:rsidP="00777269">
      <w:pPr>
        <w:pStyle w:val="a7"/>
      </w:pPr>
      <w:r w:rsidRPr="001455DC">
        <w:t>(3)</w:t>
      </w:r>
      <w:r w:rsidRPr="001455DC">
        <w:tab/>
        <w:t>In linear members, stirrups enclosing the bars as shown in Figures 11.1a) and b) should be provided to control longitudinal cracking as well as delamination cracking parallel to the anchored reinforcement.</w:t>
      </w:r>
    </w:p>
    <w:p w14:paraId="54584DAD" w14:textId="77777777" w:rsidR="004E22C1" w:rsidRPr="001455DC" w:rsidRDefault="004E22C1" w:rsidP="00777269">
      <w:pPr>
        <w:pStyle w:val="a7"/>
      </w:pPr>
      <w:r w:rsidRPr="001455DC">
        <w:t>(4)</w:t>
      </w:r>
      <w:r w:rsidRPr="001455DC">
        <w:tab/>
        <w:t>In planar members, transverse bars parallel to the concrete surface placed above or below the anchored reinforcement as shown in Figures 11.1c) and d) should be provided to control longitudinal cracks. Shear reinforcement, bends in the anchored reinforcement as shown in Figure 11.1c) or edge reinforcement according to Figure 12.4 should be provided to control delamination cracks.</w:t>
      </w:r>
    </w:p>
    <w:p w14:paraId="1A6C2AF8" w14:textId="32377F98" w:rsidR="004E22C1" w:rsidRDefault="004E22C1" w:rsidP="003F0CF8">
      <w:pPr>
        <w:pStyle w:val="Note"/>
      </w:pPr>
      <w:r w:rsidRPr="001455DC">
        <w:t>NOTE</w:t>
      </w:r>
      <w:r w:rsidRPr="001455DC">
        <w:tab/>
        <w:t>Longitudinal cracking in the plane of the anchored reinforcement can considerably reduce the anchorage performance.</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300"/>
        <w:gridCol w:w="2520"/>
        <w:gridCol w:w="2411"/>
      </w:tblGrid>
      <w:tr w:rsidR="00E64277" w14:paraId="02FF0DCD" w14:textId="77777777" w:rsidTr="003F0CF8">
        <w:tc>
          <w:tcPr>
            <w:tcW w:w="2435" w:type="dxa"/>
          </w:tcPr>
          <w:p w14:paraId="12FD49DF" w14:textId="41FEC0DC" w:rsidR="00E64277" w:rsidRDefault="00723CF7">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"Y:\\STD_MGT\\STDDEL\\PRODUCTION\\etrans\\Download\\Z_FIRST_DEL\\SV\\00250\\00250269\\41_e_dr\\11_001a.tif"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"Y:\\STD_MGT\\STDDEL\\PRODUCTION\\Standards\\00250\\269\\41_e_dr\\11_001a.tif"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"Y:\\STD_MGT\\STDDEL\\PRODUCTION\\Standards\\00250\\269\\41_e_dr\\11_001a.tif"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"Y:\\STD_MGT\\STDDEL\\PRODUCTION\\Standards\\00250\\269\\41_e_dr\\11_001a.tif"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"Y:\\STD_MGT\\STDDEL\\PRODUCTION\\Standards\\00250\\269\\41_e_dr\\11_001a.tif"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"Y:\\STD_MGT\\STDDEL\\PRODUCTION\\Standards\\00250\\269\\41_e_dr\\11_001a.tif"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"C:\\Users\\a.dionysiou\\AppData\\Local\\Temp\\Temp1_00250269_e_20210902.zip.zip\\41_e_dr\\11_001a.tif"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78549095">
                <v:shape id="_x0000_i1216" type="#_x0000_t75" style="width:115.5pt;height:69.75pt">
                  <v:imagedata r:id="rId402" r:href="rId403"/>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2435" w:type="dxa"/>
          </w:tcPr>
          <w:p w14:paraId="1A07B28D" w14:textId="6D93CC42" w:rsidR="00E64277" w:rsidRDefault="00723CF7" w:rsidP="00777269">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"Y:\\STD_MGT\\STDDEL\\PRODUCTION\\etrans\\Download\\Z_FIRST_DEL\\SV\\00250\\00250269\\41_e_dr\\11_001b.tif"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"Y:\\STD_MGT\\STDDEL\\PRODUCTION\\Standards\\00250\\269\\41_e_dr\\11_001b.tif"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"Y:\\STD_MGT\\STDDEL\\PRODUCTION\\Standards\\00250\\269\\41_e_dr\\11_001b.tif"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"Y:\\STD_MGT\\STDDEL\\PRODUCTION\\Standards\\00250\\269\\41_e_dr\\11_001b.tif"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"Y:\\STD_MGT\\STDDEL\\PRODUCTION\\Standards\\00250\\269\\41_e_dr\\11_001b.tif"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"Y:\\STD_MGT\\STDDEL\\PRODUCTION\\Standards\\00250\\269\\41_e_dr\\11_001b.tif"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w:instrText>
            </w:r>
            <w:r w:rsidR="00231E33">
              <w:rPr>
                <w:noProof/>
                <w:lang w:eastAsia="en-GB"/>
              </w:rPr>
              <w:instrText>pData\\Local\\Temp\\Temp1_00250269_e_20210902.zip.zip\\41_e_dr\\11_001b.tif"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5F3BAF0B">
                <v:shape id="_x0000_i1217" type="#_x0000_t75" style="width:46.5pt;height:69.75pt">
                  <v:imagedata r:id="rId404" r:href="rId405"/>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2435" w:type="dxa"/>
          </w:tcPr>
          <w:p w14:paraId="34598A17" w14:textId="30D5AE0D" w:rsidR="00E64277" w:rsidRDefault="00723CF7" w:rsidP="00777269">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"Y:\\STD_MGT\\STDDEL\\PRODUCTION\\etrans\\Download\\Z_FIRST_DEL\\SV\\00250\\00250269\\41_e_dr\\11_001c.tif"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"Y:\\STD_MGT\\STDDEL\\PRODUCTION\\Standards\\00250\\269\\41_e_dr\\11_001c.tif"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"Y:\\STD_MGT\\STDDEL\\PRODUCTION\\Standards\\00250\\269\\41_e_dr\\11_001c.tif"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"Y:\\STD_MGT\\STDDEL\\PRODUCTION\\Standards\\00250\\269\\41_e_dr\\11_001c.tif"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"Y:\\STD_MGT\\STDDEL\\PRODUCTION\\Standards\\00250\\269\\41_e_dr\\11_001c.tif"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"Y:\\STD_MGT\\STDDEL\\PRODUCTION\\Standards\\00250\\269\\41_e_dr\\11_001c.tif"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w:instrText>
            </w:r>
            <w:r w:rsidR="00231E33">
              <w:rPr>
                <w:noProof/>
                <w:lang w:eastAsia="en-GB"/>
              </w:rPr>
              <w:instrText>\\Local\\Temp\\Temp1_00250269_e_20210902.zip.zip\\41_e_dr\\11_001c.tif"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0FB73036">
                <v:shape id="_x0000_i1218" type="#_x0000_t75" style="width:115.5pt;height:71.25pt">
                  <v:imagedata r:id="rId406" r:href="rId407"/>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2436" w:type="dxa"/>
          </w:tcPr>
          <w:p w14:paraId="6A13570A" w14:textId="0AFDD765" w:rsidR="00E64277" w:rsidRDefault="00723CF7" w:rsidP="00777269">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"Y:\\STD_MGT\\STDDEL\\PRODUCTION\\etrans\\Download\\Z_FIRST_DEL\\SV\\00250\\00250269\\41_e_dr\\11_001d.tif"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"Y:\\STD_MGT\\STDDEL\\PRODUCTION\\Standards\\00250\\269\\41_e_dr\\11_001d.tif"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"Y:\\STD_MGT\\STDDEL\\PRODUCTION\\Standards\\00250\\269\\41_e_dr\\11_001d.tif"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"Y:\\STD_MGT\\STDDEL\\PRODUCTION\\Standards\\00250\\269\\41_e_dr\\11_001d.tif"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"Y:\\STD_MGT\\STDDEL\\PRODUCTION\\Standards\\00250\\269\\41_e_dr\\11_001d.tif"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"Y:\\STD_MGT\\STDDEL\\PRODUCTION\\Standards\\00250\\269\\41_e_dr\\11_001d.tif"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w:instrText>
            </w:r>
            <w:r w:rsidR="00231E33">
              <w:rPr>
                <w:noProof/>
                <w:lang w:eastAsia="en-GB"/>
              </w:rPr>
              <w:instrText>\\Local\\Temp\\Temp1_00250269_e_20210902.zip.zip\\41_e_dr\\11_001d.tif"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01C13AB9">
                <v:shape id="_x0000_i1219" type="#_x0000_t75" style="width:99pt;height:71.25pt">
                  <v:imagedata r:id="rId408" r:href="rId409"/>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E64277" w14:paraId="17A077D6" w14:textId="77777777" w:rsidTr="003F0CF8">
        <w:tc>
          <w:tcPr>
            <w:tcW w:w="2435" w:type="dxa"/>
          </w:tcPr>
          <w:p w14:paraId="0DC12BEC" w14:textId="663ECE9B" w:rsidR="00E64277" w:rsidRDefault="00E64277" w:rsidP="00777269">
            <w:pPr>
              <w:pStyle w:val="FigureImage"/>
            </w:pPr>
            <w:r>
              <w:t>a)</w:t>
            </w:r>
          </w:p>
        </w:tc>
        <w:tc>
          <w:tcPr>
            <w:tcW w:w="2435" w:type="dxa"/>
          </w:tcPr>
          <w:p w14:paraId="46BEA3ED" w14:textId="56D594ED" w:rsidR="00E64277" w:rsidRDefault="00E64277" w:rsidP="00777269">
            <w:pPr>
              <w:pStyle w:val="FigureImage"/>
            </w:pPr>
            <w:r>
              <w:t>b)</w:t>
            </w:r>
          </w:p>
        </w:tc>
        <w:tc>
          <w:tcPr>
            <w:tcW w:w="2435" w:type="dxa"/>
          </w:tcPr>
          <w:p w14:paraId="1AA38581" w14:textId="0EDBAB31" w:rsidR="00E64277" w:rsidRDefault="00E64277" w:rsidP="00777269">
            <w:pPr>
              <w:pStyle w:val="FigureImage"/>
            </w:pPr>
            <w:r>
              <w:t>c)</w:t>
            </w:r>
          </w:p>
        </w:tc>
        <w:tc>
          <w:tcPr>
            <w:tcW w:w="2436" w:type="dxa"/>
          </w:tcPr>
          <w:p w14:paraId="0E456781" w14:textId="1407118C" w:rsidR="00E64277" w:rsidRDefault="00E64277" w:rsidP="00777269">
            <w:pPr>
              <w:pStyle w:val="FigureImage"/>
            </w:pPr>
            <w:r>
              <w:t>d)</w:t>
            </w:r>
          </w:p>
        </w:tc>
      </w:tr>
    </w:tbl>
    <w:p w14:paraId="69531893" w14:textId="709AD1A8" w:rsidR="0079403C" w:rsidRDefault="00E64277" w:rsidP="0079403C">
      <w:pPr>
        <w:pStyle w:val="KeyText"/>
      </w:pPr>
      <w:r w:rsidRPr="009D3012">
        <w:rPr>
          <w:b/>
        </w:rPr>
        <w:t>Key</w:t>
      </w:r>
    </w:p>
    <w:tbl>
      <w:tblPr>
        <w:tblW w:w="0" w:type="auto"/>
        <w:tblInd w:w="-100" w:type="dxa"/>
        <w:tblCellMar>
          <w:left w:w="100" w:type="dxa"/>
        </w:tblCellMar>
        <w:tblLook w:val="0000" w:firstRow="0" w:lastRow="0" w:firstColumn="0" w:lastColumn="0" w:noHBand="0" w:noVBand="0"/>
      </w:tblPr>
      <w:tblGrid>
        <w:gridCol w:w="318"/>
        <w:gridCol w:w="2660"/>
      </w:tblGrid>
      <w:tr w:rsidR="0079403C" w:rsidRPr="0079403C" w14:paraId="68A2721D" w14:textId="77777777" w:rsidTr="0079403C">
        <w:tc>
          <w:tcPr>
            <w:tcW w:w="0" w:type="auto"/>
            <w:shd w:val="clear" w:color="auto" w:fill="auto"/>
          </w:tcPr>
          <w:p w14:paraId="010F692E" w14:textId="77777777" w:rsidR="0079403C" w:rsidRPr="0079403C" w:rsidRDefault="0079403C" w:rsidP="0079403C">
            <w:pPr>
              <w:pStyle w:val="KeyText"/>
              <w:tabs>
                <w:tab w:val="clear" w:pos="346"/>
              </w:tabs>
              <w:ind w:left="0" w:firstLine="0"/>
            </w:pPr>
            <w:r w:rsidRPr="0079403C">
              <w:t>a</w:t>
            </w:r>
          </w:p>
        </w:tc>
        <w:tc>
          <w:tcPr>
            <w:tcW w:w="0" w:type="auto"/>
            <w:shd w:val="clear" w:color="auto" w:fill="auto"/>
          </w:tcPr>
          <w:p w14:paraId="4742CC3F" w14:textId="77777777" w:rsidR="0079403C" w:rsidRPr="0079403C" w:rsidRDefault="0079403C" w:rsidP="0079403C">
            <w:pPr>
              <w:pStyle w:val="KeyText"/>
              <w:tabs>
                <w:tab w:val="clear" w:pos="346"/>
              </w:tabs>
              <w:ind w:left="0" w:firstLine="0"/>
            </w:pPr>
            <w:r w:rsidRPr="0079403C">
              <w:t>potential delamination crack</w:t>
            </w:r>
          </w:p>
        </w:tc>
      </w:tr>
      <w:tr w:rsidR="0079403C" w:rsidRPr="009D3012" w14:paraId="024D7554" w14:textId="77777777" w:rsidTr="0079403C">
        <w:tc>
          <w:tcPr>
            <w:tcW w:w="0" w:type="auto"/>
            <w:shd w:val="clear" w:color="auto" w:fill="auto"/>
          </w:tcPr>
          <w:p w14:paraId="3B00B70D" w14:textId="77777777" w:rsidR="0079403C" w:rsidRPr="0079403C" w:rsidRDefault="0079403C" w:rsidP="0079403C">
            <w:pPr>
              <w:pStyle w:val="KeyText"/>
              <w:tabs>
                <w:tab w:val="clear" w:pos="346"/>
              </w:tabs>
              <w:ind w:left="0" w:firstLine="0"/>
            </w:pPr>
            <w:r w:rsidRPr="0079403C">
              <w:t>b</w:t>
            </w:r>
          </w:p>
        </w:tc>
        <w:tc>
          <w:tcPr>
            <w:tcW w:w="0" w:type="auto"/>
            <w:shd w:val="clear" w:color="auto" w:fill="auto"/>
          </w:tcPr>
          <w:p w14:paraId="257B3282" w14:textId="77777777" w:rsidR="0079403C" w:rsidRPr="009D3012" w:rsidRDefault="0079403C" w:rsidP="0079403C">
            <w:pPr>
              <w:pStyle w:val="KeyText"/>
              <w:tabs>
                <w:tab w:val="clear" w:pos="346"/>
              </w:tabs>
              <w:ind w:left="0" w:firstLine="0"/>
            </w:pPr>
            <w:r w:rsidRPr="0079403C">
              <w:t>potential longitudinal crack</w:t>
            </w:r>
          </w:p>
        </w:tc>
      </w:tr>
    </w:tbl>
    <w:p w14:paraId="42B92EDB" w14:textId="77777777" w:rsidR="004E22C1" w:rsidRPr="001455DC" w:rsidRDefault="004E22C1" w:rsidP="00777269">
      <w:pPr>
        <w:pStyle w:val="Figuretitle"/>
      </w:pPr>
      <w:r w:rsidRPr="001455DC">
        <w:t>Figure 11.1 — Examples of reinforcement controlling delamination and longitudinal cracks</w:t>
      </w:r>
    </w:p>
    <w:p w14:paraId="55475B54" w14:textId="77777777" w:rsidR="004E22C1" w:rsidRPr="001455DC" w:rsidRDefault="004E22C1" w:rsidP="00777269">
      <w:pPr>
        <w:pStyle w:val="a7"/>
      </w:pPr>
      <w:r w:rsidRPr="001455DC">
        <w:t>(5)</w:t>
      </w:r>
      <w:r w:rsidRPr="001455DC">
        <w:tab/>
        <w:t>Methods of anchorage as shown in Figure 11.2 may be used for reinforcing steel in tension and in compression. However, for methods b) and c) used in compression, only the first straight segment may be considered as anchorage, except as given in 11.4.4(3).</w:t>
      </w:r>
    </w:p>
    <w:p w14:paraId="2D878234" w14:textId="77777777" w:rsidR="004E22C1" w:rsidRPr="001455DC" w:rsidRDefault="004E22C1" w:rsidP="00777269">
      <w:pPr>
        <w:pStyle w:val="a7"/>
      </w:pPr>
      <w:r w:rsidRPr="001455DC">
        <w:t>(6)</w:t>
      </w:r>
      <w:r w:rsidRPr="001455DC">
        <w:tab/>
        <w:t>The start of anchorage as shown in Figure 11.2 refers to the cross section where the reinforcement force is fully transferred to the concrete in compression (examples are shown in Figures 8.28 and 8.29). For force transfer to other reinforcements, see 11.5.</w:t>
      </w:r>
    </w:p>
    <w:p w14:paraId="0A0A911E" w14:textId="1E7FB394" w:rsidR="00486ADF" w:rsidRPr="001455DC" w:rsidRDefault="00486ADF" w:rsidP="00DB201D">
      <w:pPr>
        <w:pStyle w:val="KeyTitle"/>
      </w:pPr>
    </w:p>
    <w:tbl>
      <w:tblPr>
        <w:tblW w:w="9810" w:type="dxa"/>
        <w:tblLayout w:type="fixed"/>
        <w:tblCellMar>
          <w:left w:w="28" w:type="dxa"/>
          <w:right w:w="28" w:type="dxa"/>
        </w:tblCellMar>
        <w:tblLook w:val="0000" w:firstRow="0" w:lastRow="0" w:firstColumn="0" w:lastColumn="0" w:noHBand="0" w:noVBand="0"/>
      </w:tblPr>
      <w:tblGrid>
        <w:gridCol w:w="397"/>
        <w:gridCol w:w="4508"/>
        <w:gridCol w:w="397"/>
        <w:gridCol w:w="4508"/>
      </w:tblGrid>
      <w:tr w:rsidR="00BF00EE" w:rsidRPr="001455DC" w14:paraId="17C1FA96" w14:textId="77777777" w:rsidTr="00486ADF">
        <w:tc>
          <w:tcPr>
            <w:tcW w:w="397" w:type="dxa"/>
            <w:shd w:val="clear" w:color="auto" w:fill="auto"/>
          </w:tcPr>
          <w:p w14:paraId="165DA928" w14:textId="77777777" w:rsidR="00BF00EE" w:rsidRPr="009D3012" w:rsidRDefault="00BF00EE" w:rsidP="00D86695">
            <w:pPr>
              <w:pStyle w:val="KeyText"/>
              <w:tabs>
                <w:tab w:val="clear" w:pos="346"/>
              </w:tabs>
              <w:ind w:left="0" w:firstLine="0"/>
            </w:pPr>
          </w:p>
        </w:tc>
        <w:tc>
          <w:tcPr>
            <w:tcW w:w="4508" w:type="dxa"/>
            <w:shd w:val="clear" w:color="auto" w:fill="auto"/>
          </w:tcPr>
          <w:p w14:paraId="222F1583" w14:textId="0A7813B7" w:rsidR="00BF00EE" w:rsidRPr="009D3012" w:rsidRDefault="00723CF7" w:rsidP="00D86695">
            <w:pPr>
              <w:pStyle w:val="KeyText"/>
              <w:tabs>
                <w:tab w:val="clear" w:pos="346"/>
              </w:tabs>
              <w:ind w:left="0" w:firstLine="0"/>
            </w:pPr>
            <w:r>
              <w:rPr>
                <w:noProof/>
                <w:lang w:eastAsia="en-GB"/>
              </w:rPr>
              <w:fldChar w:fldCharType="begin"/>
            </w:r>
            <w:r>
              <w:rPr>
                <w:noProof/>
                <w:lang w:eastAsia="en-GB"/>
              </w:rPr>
              <w:instrText xml:space="preserve"> INCLUDEPICTURE  "Y:\\STD_MGT\\STDDEL\\PRODUCTION\\etrans\\Download\\Z_FIRST_DEL\\SV\\00250\\00250269\\41_e_dr\\11_002a.tif"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"Y:\\STD_MGT\\STDDEL\\PRODUCTION\\Standards\\00250\\269\\41_e_dr\\11_002a.tif"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"Y:\\STD_MGT\\STDDEL\\PRODUCTION\\Standards\\00250\\269\\41_e_dr\\11_002a.tif"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"Y:\\STD_MGT\\STDDEL\\PRODUCTION\\Standards\\00250\\269\\41_e_dr\\11_002a.tif"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"Y:\\STD_MGT\\STDDEL\\PRODUCTION\\Standards\\00250\\269\\41_e_dr\\11_002a.tif"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"Y:\\STD_MGT\\STDDEL\\PRODUCTION\\Standards\\00250\\269\\41_e_dr\\11_002a.tif"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"C:\\Users\\a.dionysiou\\AppData\\Local\\Temp\\Temp1_00250269_e_20210902.zip.zip\\41_e_dr\\11_002a.tif"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6CF67A09">
                <v:shape id="_x0000_i1220" type="#_x0000_t75" style="width:183pt;height:49.5pt">
                  <v:imagedata r:id="rId410" r:href="rId411"/>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397" w:type="dxa"/>
            <w:shd w:val="clear" w:color="auto" w:fill="auto"/>
          </w:tcPr>
          <w:p w14:paraId="0358FBFD" w14:textId="77777777" w:rsidR="00BF00EE" w:rsidRPr="009D3012" w:rsidRDefault="00BF00EE" w:rsidP="00D86695">
            <w:pPr>
              <w:pStyle w:val="KeyText"/>
              <w:tabs>
                <w:tab w:val="clear" w:pos="346"/>
              </w:tabs>
              <w:ind w:left="0" w:firstLine="0"/>
            </w:pPr>
          </w:p>
        </w:tc>
        <w:tc>
          <w:tcPr>
            <w:tcW w:w="4508" w:type="dxa"/>
            <w:shd w:val="clear" w:color="auto" w:fill="auto"/>
          </w:tcPr>
          <w:p w14:paraId="07C7D1A2" w14:textId="7A19C640" w:rsidR="00BF00EE" w:rsidRPr="009D3012" w:rsidRDefault="00723CF7" w:rsidP="00D86695">
            <w:pPr>
              <w:pStyle w:val="KeyText"/>
              <w:tabs>
                <w:tab w:val="clear" w:pos="346"/>
              </w:tabs>
              <w:ind w:left="0" w:firstLine="0"/>
            </w:pPr>
            <w:r>
              <w:rPr>
                <w:noProof/>
                <w:lang w:eastAsia="en-GB"/>
              </w:rPr>
              <w:fldChar w:fldCharType="begin"/>
            </w:r>
            <w:r>
              <w:rPr>
                <w:noProof/>
                <w:lang w:eastAsia="en-GB"/>
              </w:rPr>
              <w:instrText xml:space="preserve"> INCLUDEPICTURE  "Y:\\STD_MGT\\STDDEL\\PRODUCTION\\etrans\\Download\\Z_FIRST_DEL\\SV\\00250\\00250269\\41_e_dr\\11_002d.tif"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"Y:\\STD_MGT\\STDDEL\\PRODUCTION\\Standards\\00250\\269\\41_e_dr\\11_002d.tif"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"Y:\\STD_MGT\\STDDEL\\PRODUCTION\\Standards\\00250\\269\\41_e_dr\\11_002d.tif"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"Y:\\STD_MGT\\STDDEL\\PRODUCTION\\Standards\\00250\\269\\41_e_dr\\11_002d.tif"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"Y:\\STD_MGT\\STDDEL\\PRODUCTION\\Standards\\00250\\269\\41_e_dr\\11_002d.tif"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"Y:\\STD_MGT\\STDDEL\\PRODUCTION\\Standards\\00250\\269\\41_e_dr\\11_002d.tif"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w:instrText>
            </w:r>
            <w:r w:rsidR="00231E33">
              <w:rPr>
                <w:noProof/>
                <w:lang w:eastAsia="en-GB"/>
              </w:rPr>
              <w:instrText>\\Local\\Temp\\Temp1_00250269_e_20210902.zip.zip\\41_e_dr\\11_002d.tif"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46B49944">
                <v:shape id="_x0000_i1221" type="#_x0000_t75" style="width:102.75pt;height:49.5pt">
                  <v:imagedata r:id="rId412" r:href="rId413"/>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486ADF" w:rsidRPr="001455DC" w14:paraId="12D84CE2" w14:textId="77777777" w:rsidTr="00486ADF">
        <w:tc>
          <w:tcPr>
            <w:tcW w:w="397" w:type="dxa"/>
            <w:shd w:val="clear" w:color="auto" w:fill="auto"/>
          </w:tcPr>
          <w:p w14:paraId="526DEBF6" w14:textId="2B71C95C" w:rsidR="00486ADF" w:rsidRPr="001455DC" w:rsidRDefault="00486ADF" w:rsidP="00D86695">
            <w:pPr>
              <w:pStyle w:val="KeyText"/>
              <w:tabs>
                <w:tab w:val="clear" w:pos="346"/>
              </w:tabs>
              <w:ind w:left="0" w:firstLine="0"/>
            </w:pPr>
            <w:r w:rsidRPr="009D3012">
              <w:t>a)</w:t>
            </w:r>
          </w:p>
        </w:tc>
        <w:tc>
          <w:tcPr>
            <w:tcW w:w="4508" w:type="dxa"/>
            <w:shd w:val="clear" w:color="auto" w:fill="auto"/>
          </w:tcPr>
          <w:p w14:paraId="6A3A3861" w14:textId="48195688" w:rsidR="00486ADF" w:rsidRPr="001455DC" w:rsidRDefault="00486ADF" w:rsidP="00D86695">
            <w:pPr>
              <w:pStyle w:val="KeyText"/>
              <w:tabs>
                <w:tab w:val="clear" w:pos="346"/>
              </w:tabs>
              <w:ind w:left="0" w:firstLine="0"/>
            </w:pPr>
            <w:r w:rsidRPr="009D3012">
              <w:t>Anchorage of straight bars 11.4.2</w:t>
            </w:r>
          </w:p>
        </w:tc>
        <w:tc>
          <w:tcPr>
            <w:tcW w:w="397" w:type="dxa"/>
            <w:shd w:val="clear" w:color="auto" w:fill="auto"/>
          </w:tcPr>
          <w:p w14:paraId="5691DE71" w14:textId="6BF4FCE0" w:rsidR="00486ADF" w:rsidRPr="001455DC" w:rsidRDefault="00486ADF" w:rsidP="00D86695">
            <w:pPr>
              <w:pStyle w:val="KeyText"/>
              <w:tabs>
                <w:tab w:val="clear" w:pos="346"/>
              </w:tabs>
              <w:ind w:left="0" w:firstLine="0"/>
            </w:pPr>
            <w:r w:rsidRPr="009D3012">
              <w:t>d)</w:t>
            </w:r>
          </w:p>
        </w:tc>
        <w:tc>
          <w:tcPr>
            <w:tcW w:w="4508" w:type="dxa"/>
            <w:shd w:val="clear" w:color="auto" w:fill="auto"/>
          </w:tcPr>
          <w:p w14:paraId="5E0221D2" w14:textId="5BE4733D" w:rsidR="00486ADF" w:rsidRPr="001455DC" w:rsidRDefault="00486ADF" w:rsidP="00D86695">
            <w:pPr>
              <w:pStyle w:val="KeyText"/>
              <w:tabs>
                <w:tab w:val="clear" w:pos="346"/>
              </w:tabs>
              <w:ind w:left="0" w:firstLine="0"/>
            </w:pPr>
            <w:r w:rsidRPr="009D3012">
              <w:t>Anchorage of headed bars 11.4.6</w:t>
            </w:r>
          </w:p>
        </w:tc>
      </w:tr>
      <w:tr w:rsidR="00BF00EE" w:rsidRPr="001455DC" w14:paraId="46FE6B7F" w14:textId="77777777" w:rsidTr="00486ADF">
        <w:tc>
          <w:tcPr>
            <w:tcW w:w="397" w:type="dxa"/>
            <w:shd w:val="clear" w:color="auto" w:fill="auto"/>
          </w:tcPr>
          <w:p w14:paraId="7D9AD57E" w14:textId="77777777" w:rsidR="00BF00EE" w:rsidRPr="009D3012" w:rsidRDefault="00BF00EE" w:rsidP="00D86695">
            <w:pPr>
              <w:pStyle w:val="KeyText"/>
              <w:tabs>
                <w:tab w:val="clear" w:pos="346"/>
              </w:tabs>
              <w:ind w:left="0" w:firstLine="0"/>
            </w:pPr>
          </w:p>
        </w:tc>
        <w:tc>
          <w:tcPr>
            <w:tcW w:w="4508" w:type="dxa"/>
            <w:shd w:val="clear" w:color="auto" w:fill="auto"/>
          </w:tcPr>
          <w:p w14:paraId="37FD435A" w14:textId="68649022" w:rsidR="00BF00EE" w:rsidRPr="009D3012" w:rsidRDefault="00723CF7" w:rsidP="00D86695">
            <w:pPr>
              <w:pStyle w:val="KeyText"/>
              <w:tabs>
                <w:tab w:val="clear" w:pos="346"/>
              </w:tabs>
              <w:ind w:left="0" w:firstLine="0"/>
            </w:pPr>
            <w:r>
              <w:rPr>
                <w:noProof/>
                <w:lang w:eastAsia="en-GB"/>
              </w:rPr>
              <w:fldChar w:fldCharType="begin"/>
            </w:r>
            <w:r>
              <w:rPr>
                <w:noProof/>
                <w:lang w:eastAsia="en-GB"/>
              </w:rPr>
              <w:instrText xml:space="preserve"> INCLUDEPICTURE  "Y:\\STD_MGT\\STDDEL\\PRODUCTION\\etrans\\Download\\Z_FIRST_DEL\\SV\\00250\\00250269\\41_e_dr\\11_002b.tif"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"Y:\\STD_MGT\\STDDEL\\PRODUCTION\\Standards\\00250\\269\\41_e_dr\\11_002b.tif"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"Y:\\STD_MGT\\STDDEL\\PRODUCTION\\Standards\\00250\\269\\41_e_dr\\11_002b.tif"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"Y:\\STD_MGT\\STDDEL\\PRODUCTION\\Standards\\00250\\269\\41_e_dr\\11_002b.tif"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"Y:\\STD_MGT\\STDDEL\\PRODUCTION\\Standards\\00250\\269\\41_e_dr\\11_002b.tif"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"Y:\\STD_MGT\\STDDEL\\PRODUCTION\\Standards\\00250\\269\\41_e_dr\\11_002b.tif"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w:instrText>
            </w:r>
            <w:r w:rsidR="00231E33">
              <w:rPr>
                <w:noProof/>
                <w:lang w:eastAsia="en-GB"/>
              </w:rPr>
              <w:instrText>\\Local\\Temp\\Temp1_00250269_e_20210902.zip.zip\\41_e_dr\\11_002b.tif"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1968A923">
                <v:shape id="_x0000_i1222" type="#_x0000_t75" style="width:159.75pt;height:55.5pt">
                  <v:imagedata r:id="rId414" r:href="rId415"/>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397" w:type="dxa"/>
            <w:shd w:val="clear" w:color="auto" w:fill="auto"/>
          </w:tcPr>
          <w:p w14:paraId="0A0DA1D9" w14:textId="77777777" w:rsidR="00BF00EE" w:rsidRPr="009D3012" w:rsidRDefault="00BF00EE" w:rsidP="00D86695">
            <w:pPr>
              <w:pStyle w:val="KeyText"/>
              <w:tabs>
                <w:tab w:val="clear" w:pos="346"/>
              </w:tabs>
              <w:ind w:left="0" w:firstLine="0"/>
            </w:pPr>
          </w:p>
        </w:tc>
        <w:tc>
          <w:tcPr>
            <w:tcW w:w="4508" w:type="dxa"/>
            <w:shd w:val="clear" w:color="auto" w:fill="auto"/>
          </w:tcPr>
          <w:p w14:paraId="4806C69E" w14:textId="456482F0" w:rsidR="00BF00EE" w:rsidRPr="009D3012" w:rsidRDefault="00723CF7" w:rsidP="00D86695">
            <w:pPr>
              <w:pStyle w:val="KeyText"/>
              <w:tabs>
                <w:tab w:val="clear" w:pos="346"/>
              </w:tabs>
              <w:ind w:left="0" w:firstLine="0"/>
            </w:pPr>
            <w:r>
              <w:rPr>
                <w:noProof/>
                <w:lang w:eastAsia="en-GB"/>
              </w:rPr>
              <w:fldChar w:fldCharType="begin"/>
            </w:r>
            <w:r>
              <w:rPr>
                <w:noProof/>
                <w:lang w:eastAsia="en-GB"/>
              </w:rPr>
              <w:instrText xml:space="preserve"> INCLUDEPICTURE  "Y:\\STD_MGT\\STDDEL\\PRODUCTION\\etrans\\Download\\Z_FIRST_DEL\\SV\\00250\\00250269\\41_e_dr\\11_002e.tif"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"Y:\\STD_MGT\\STDDEL\\PRODUCTION\\Standards\\00250\\269\\41_e_dr\\11_002e.tif"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"Y:\\STD_MGT\\STDDEL\\PRODUCTION\\Standards\\00250\\269\\41_e_dr\\11_002e.tif"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"Y:\\STD_MGT\\STDDEL\\PRODUCTION\\Standards\\00250\\269\\41_e_dr\\11_002e.tif"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"Y:\\STD_MGT\\STDDEL\\PRODUCTION\\Standards\\00250\\269\\41_e_dr\\11_002e.tif"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"Y:\\STD_MGT\\STDDEL\\PRODUCTION\\Standards\\00250\\269\\41_e_dr\\11_002e.tif"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w:instrText>
            </w:r>
            <w:r w:rsidR="00231E33">
              <w:rPr>
                <w:noProof/>
                <w:lang w:eastAsia="en-GB"/>
              </w:rPr>
              <w:instrText>\\Local\\Temp\\Temp1_00250269_e_20210902.zip.zip\\41_e_dr\\11_002e.tif"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5F2D589D">
                <v:shape id="_x0000_i1223" type="#_x0000_t75" style="width:155.25pt;height:49.5pt">
                  <v:imagedata r:id="rId416" r:href="rId417"/>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486ADF" w:rsidRPr="001455DC" w14:paraId="137A292A" w14:textId="77777777" w:rsidTr="00486ADF">
        <w:tc>
          <w:tcPr>
            <w:tcW w:w="397" w:type="dxa"/>
            <w:shd w:val="clear" w:color="auto" w:fill="auto"/>
          </w:tcPr>
          <w:p w14:paraId="0F0A3A8B" w14:textId="0D22C247" w:rsidR="00486ADF" w:rsidRPr="001455DC" w:rsidRDefault="00486ADF" w:rsidP="00D86695">
            <w:pPr>
              <w:pStyle w:val="KeyText"/>
              <w:tabs>
                <w:tab w:val="clear" w:pos="346"/>
              </w:tabs>
              <w:ind w:left="0" w:firstLine="0"/>
            </w:pPr>
            <w:r w:rsidRPr="009D3012">
              <w:t>b)</w:t>
            </w:r>
          </w:p>
        </w:tc>
        <w:tc>
          <w:tcPr>
            <w:tcW w:w="4508" w:type="dxa"/>
            <w:shd w:val="clear" w:color="auto" w:fill="auto"/>
          </w:tcPr>
          <w:p w14:paraId="17B4D641" w14:textId="0F197068" w:rsidR="00486ADF" w:rsidRPr="001455DC" w:rsidRDefault="00486ADF" w:rsidP="00D86695">
            <w:pPr>
              <w:pStyle w:val="KeyText"/>
              <w:tabs>
                <w:tab w:val="clear" w:pos="346"/>
              </w:tabs>
              <w:ind w:left="0" w:firstLine="0"/>
            </w:pPr>
            <w:r w:rsidRPr="009D3012">
              <w:t>Anchorage of bends and hooks 11.4.4</w:t>
            </w:r>
          </w:p>
        </w:tc>
        <w:tc>
          <w:tcPr>
            <w:tcW w:w="397" w:type="dxa"/>
            <w:shd w:val="clear" w:color="auto" w:fill="auto"/>
          </w:tcPr>
          <w:p w14:paraId="0F8C457F" w14:textId="22BF0B9D" w:rsidR="00486ADF" w:rsidRPr="001455DC" w:rsidRDefault="00486ADF" w:rsidP="00D86695">
            <w:pPr>
              <w:pStyle w:val="KeyText"/>
              <w:tabs>
                <w:tab w:val="clear" w:pos="346"/>
              </w:tabs>
              <w:ind w:left="0" w:firstLine="0"/>
            </w:pPr>
            <w:r w:rsidRPr="009D3012">
              <w:t>e)</w:t>
            </w:r>
          </w:p>
        </w:tc>
        <w:tc>
          <w:tcPr>
            <w:tcW w:w="4508" w:type="dxa"/>
            <w:shd w:val="clear" w:color="auto" w:fill="auto"/>
          </w:tcPr>
          <w:p w14:paraId="1674A211" w14:textId="6625D9E7" w:rsidR="00486ADF" w:rsidRPr="001455DC" w:rsidRDefault="00486ADF" w:rsidP="00D86695">
            <w:pPr>
              <w:pStyle w:val="KeyText"/>
              <w:tabs>
                <w:tab w:val="clear" w:pos="346"/>
              </w:tabs>
              <w:ind w:left="0" w:firstLine="0"/>
            </w:pPr>
            <w:r w:rsidRPr="009D3012">
              <w:t>Anchorage of welded reinforcement bars 11.4.7</w:t>
            </w:r>
          </w:p>
        </w:tc>
      </w:tr>
      <w:tr w:rsidR="00BF00EE" w:rsidRPr="001455DC" w14:paraId="1F6AC376" w14:textId="77777777" w:rsidTr="00486ADF">
        <w:tc>
          <w:tcPr>
            <w:tcW w:w="397" w:type="dxa"/>
            <w:shd w:val="clear" w:color="auto" w:fill="auto"/>
          </w:tcPr>
          <w:p w14:paraId="7181E5F4" w14:textId="77777777" w:rsidR="00BF00EE" w:rsidRPr="009D3012" w:rsidRDefault="00BF00EE" w:rsidP="00D86695">
            <w:pPr>
              <w:pStyle w:val="KeyText"/>
              <w:tabs>
                <w:tab w:val="clear" w:pos="346"/>
              </w:tabs>
              <w:ind w:left="0" w:firstLine="0"/>
            </w:pPr>
          </w:p>
        </w:tc>
        <w:tc>
          <w:tcPr>
            <w:tcW w:w="4508" w:type="dxa"/>
            <w:shd w:val="clear" w:color="auto" w:fill="auto"/>
          </w:tcPr>
          <w:p w14:paraId="1F5FA84B" w14:textId="6AED039B" w:rsidR="00BF00EE" w:rsidRPr="009D3012" w:rsidRDefault="00723CF7" w:rsidP="00D86695">
            <w:pPr>
              <w:pStyle w:val="KeyText"/>
              <w:tabs>
                <w:tab w:val="clear" w:pos="346"/>
              </w:tabs>
              <w:ind w:left="0" w:firstLine="0"/>
            </w:pPr>
            <w:r>
              <w:rPr>
                <w:noProof/>
                <w:lang w:eastAsia="en-GB"/>
              </w:rPr>
              <w:fldChar w:fldCharType="begin"/>
            </w:r>
            <w:r>
              <w:rPr>
                <w:noProof/>
                <w:lang w:eastAsia="en-GB"/>
              </w:rPr>
              <w:instrText xml:space="preserve"> INCLUDEPICTURE  "Y:\\STD_MGT\\STDDEL\\PRODUCTION\\etrans\\Download\\Z_FIRST_DEL\\SV\\00250\\00250269\\41_e_dr\\11_002c.tif"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"Y:\\STD_MGT\\STDDEL\\PRODUCTION\\Standards\\00250\\269\\41_e_dr\\11_002c.tif"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"Y:\\STD_MGT\\STDDEL\\PRODUCTION\\Standards\\00250\\269\\41_e_dr\\11_002c.tif"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"Y:\\STD_MGT\\STDDEL\\PRODUCTION\\Standards\\00250\\269\\41_e_dr\\11_002c.tif"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"Y:\\STD_MGT\\STDDEL\\PRODUCTION\\Standards\\00250\\269\\41_e_dr\\11_002c.tif"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"Y:\\STD_MGT\\STDDEL\\PRODUCTION\\Standards\\00250\\269\\41_e_dr\\11_002c.tif"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w:instrText>
            </w:r>
            <w:r w:rsidR="00231E33">
              <w:rPr>
                <w:noProof/>
                <w:lang w:eastAsia="en-GB"/>
              </w:rPr>
              <w:instrText>\\Local\\Temp\\Temp1_00250269_e_20210902.zip.zip\\41_e_dr\\11_002c.tif"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69AD6203">
                <v:shape id="_x0000_i1224" type="#_x0000_t75" style="width:122.25pt;height:51.75pt">
                  <v:imagedata r:id="rId418" r:href="rId419"/>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397" w:type="dxa"/>
            <w:shd w:val="clear" w:color="auto" w:fill="auto"/>
          </w:tcPr>
          <w:p w14:paraId="33C81964" w14:textId="77777777" w:rsidR="00BF00EE" w:rsidRPr="009D3012" w:rsidRDefault="00BF00EE" w:rsidP="00D86695">
            <w:pPr>
              <w:pStyle w:val="KeyText"/>
              <w:tabs>
                <w:tab w:val="clear" w:pos="346"/>
              </w:tabs>
              <w:ind w:left="0" w:firstLine="0"/>
            </w:pPr>
          </w:p>
        </w:tc>
        <w:tc>
          <w:tcPr>
            <w:tcW w:w="4508" w:type="dxa"/>
            <w:shd w:val="clear" w:color="auto" w:fill="auto"/>
          </w:tcPr>
          <w:p w14:paraId="1E82EA7F" w14:textId="0295F2F7" w:rsidR="00BF00EE" w:rsidRPr="009D3012" w:rsidRDefault="00723CF7" w:rsidP="00D86695">
            <w:pPr>
              <w:pStyle w:val="KeyText"/>
              <w:tabs>
                <w:tab w:val="clear" w:pos="346"/>
              </w:tabs>
              <w:ind w:left="0" w:firstLine="0"/>
            </w:pPr>
            <w:r>
              <w:rPr>
                <w:noProof/>
                <w:lang w:eastAsia="en-GB"/>
              </w:rPr>
              <w:fldChar w:fldCharType="begin"/>
            </w:r>
            <w:r>
              <w:rPr>
                <w:noProof/>
                <w:lang w:eastAsia="en-GB"/>
              </w:rPr>
              <w:instrText xml:space="preserve"> INCLUDEPICTURE  "Y:\\STD_MGT\\STDDEL\\PRODUCTION\\etrans\\Download\\Z_FIRST_DEL\\SV\\00250\\00250269\\41_e_dr\\11_002f.tif"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"Y:\\STD_MGT\\STDDEL\\PRODUCTION\\Standards\\00250\\269\\41_e_dr\\11_002f.tif"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"Y:\\STD_MGT\\STDDEL\\PRODUCTION\\Standards\\00250\\269\\41_e_dr\\11_002f.tif"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"Y:\\STD_MGT\\STDDEL\\PRODUCTION\\Standards\\00250\\269\\41_e_dr\\11_002f.tif"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"Y:\\STD_MGT\\STDDEL\\PRODUCTION\\Standards\\00250\\269\\41_e_dr\\11_002f.tif"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"Y:\\STD_MGT\\STDDEL\\PRODUCTION\\Standards\\00250\\269\\41_e_dr\\11_002f.tif"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w:instrText>
            </w:r>
            <w:r w:rsidR="00231E33">
              <w:rPr>
                <w:noProof/>
                <w:lang w:eastAsia="en-GB"/>
              </w:rPr>
              <w:instrText>\\Local\\Temp\\Temp1_00250269_e_20210902.zip.zip\\41_e_dr\\11_002f.tif"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3B960B45">
                <v:shape id="_x0000_i1225" type="#_x0000_t75" style="width:155.25pt;height:54.75pt">
                  <v:imagedata r:id="rId420" r:href="rId421"/>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486ADF" w:rsidRPr="001455DC" w14:paraId="4AE280E9" w14:textId="77777777" w:rsidTr="00486ADF">
        <w:tc>
          <w:tcPr>
            <w:tcW w:w="397" w:type="dxa"/>
            <w:shd w:val="clear" w:color="auto" w:fill="auto"/>
          </w:tcPr>
          <w:p w14:paraId="21BEB8F9" w14:textId="22AFA9FF" w:rsidR="00486ADF" w:rsidRPr="001455DC" w:rsidRDefault="00486ADF" w:rsidP="00D86695">
            <w:pPr>
              <w:pStyle w:val="KeyText"/>
              <w:tabs>
                <w:tab w:val="clear" w:pos="346"/>
              </w:tabs>
              <w:ind w:left="0" w:firstLine="0"/>
            </w:pPr>
            <w:r w:rsidRPr="009D3012">
              <w:t>c)</w:t>
            </w:r>
          </w:p>
        </w:tc>
        <w:tc>
          <w:tcPr>
            <w:tcW w:w="4508" w:type="dxa"/>
            <w:shd w:val="clear" w:color="auto" w:fill="auto"/>
          </w:tcPr>
          <w:p w14:paraId="2CCAE274" w14:textId="5DFA06D1" w:rsidR="00486ADF" w:rsidRPr="009D3012" w:rsidRDefault="00486ADF" w:rsidP="00D86695">
            <w:pPr>
              <w:pStyle w:val="KeyText"/>
              <w:tabs>
                <w:tab w:val="clear" w:pos="346"/>
              </w:tabs>
              <w:ind w:left="0" w:firstLine="0"/>
            </w:pPr>
            <w:r w:rsidRPr="009D3012">
              <w:t>U-bar loops 11.4.5</w:t>
            </w:r>
          </w:p>
        </w:tc>
        <w:tc>
          <w:tcPr>
            <w:tcW w:w="397" w:type="dxa"/>
            <w:shd w:val="clear" w:color="auto" w:fill="auto"/>
          </w:tcPr>
          <w:p w14:paraId="7E5E463E" w14:textId="3666D6C5" w:rsidR="00486ADF" w:rsidRPr="001455DC" w:rsidRDefault="00486ADF" w:rsidP="00D86695">
            <w:pPr>
              <w:pStyle w:val="KeyText"/>
              <w:tabs>
                <w:tab w:val="clear" w:pos="346"/>
              </w:tabs>
              <w:ind w:left="0" w:firstLine="0"/>
            </w:pPr>
            <w:r w:rsidRPr="009D3012">
              <w:t>f)</w:t>
            </w:r>
          </w:p>
        </w:tc>
        <w:tc>
          <w:tcPr>
            <w:tcW w:w="4508" w:type="dxa"/>
            <w:shd w:val="clear" w:color="auto" w:fill="auto"/>
          </w:tcPr>
          <w:p w14:paraId="01B9AB05" w14:textId="55255E97" w:rsidR="00486ADF" w:rsidRPr="001455DC" w:rsidRDefault="00486ADF" w:rsidP="00D86695">
            <w:pPr>
              <w:pStyle w:val="KeyText"/>
              <w:tabs>
                <w:tab w:val="clear" w:pos="346"/>
              </w:tabs>
              <w:ind w:left="0" w:firstLine="0"/>
            </w:pPr>
            <w:r w:rsidRPr="009D3012">
              <w:t>Anchorage of bonded post-installled reinforcing steel 11.4.8</w:t>
            </w:r>
          </w:p>
        </w:tc>
      </w:tr>
    </w:tbl>
    <w:p w14:paraId="79FD680B" w14:textId="48FDE42A" w:rsidR="0079403C" w:rsidRPr="001455DC" w:rsidRDefault="00E64277" w:rsidP="0079403C">
      <w:pPr>
        <w:pStyle w:val="KeyTitle"/>
        <w:rPr>
          <w:rStyle w:val="CCMCvariableitalic"/>
        </w:rPr>
      </w:pPr>
      <w:r>
        <w:t>Key</w:t>
      </w:r>
    </w:p>
    <w:tbl>
      <w:tblPr>
        <w:tblW w:w="0" w:type="auto"/>
        <w:tblInd w:w="-100" w:type="dxa"/>
        <w:tblCellMar>
          <w:left w:w="100" w:type="dxa"/>
        </w:tblCellMar>
        <w:tblLook w:val="0000" w:firstRow="0" w:lastRow="0" w:firstColumn="0" w:lastColumn="0" w:noHBand="0" w:noVBand="0"/>
      </w:tblPr>
      <w:tblGrid>
        <w:gridCol w:w="405"/>
        <w:gridCol w:w="2288"/>
        <w:gridCol w:w="214"/>
      </w:tblGrid>
      <w:tr w:rsidR="0079403C" w:rsidRPr="0079403C" w14:paraId="1D40F5A9" w14:textId="77777777" w:rsidTr="0079403C">
        <w:tc>
          <w:tcPr>
            <w:tcW w:w="0" w:type="auto"/>
            <w:shd w:val="clear" w:color="auto" w:fill="auto"/>
          </w:tcPr>
          <w:p w14:paraId="6ADEC94F" w14:textId="77777777" w:rsidR="0079403C" w:rsidRPr="0079403C" w:rsidRDefault="0079403C" w:rsidP="0079403C">
            <w:pPr>
              <w:pStyle w:val="KeyText"/>
              <w:tabs>
                <w:tab w:val="clear" w:pos="346"/>
              </w:tabs>
              <w:ind w:left="0" w:firstLine="0"/>
            </w:pPr>
            <w:r w:rsidRPr="0079403C">
              <w:rPr>
                <w:rStyle w:val="CCMCvariableitalic"/>
              </w:rPr>
              <w:t>l</w:t>
            </w:r>
            <w:r w:rsidRPr="0079403C">
              <w:rPr>
                <w:rStyle w:val="CCMCvariablesubscript"/>
              </w:rPr>
              <w:t>bd</w:t>
            </w:r>
            <w:r w:rsidRPr="0079403C">
              <w:t xml:space="preserve"> </w:t>
            </w:r>
          </w:p>
        </w:tc>
        <w:tc>
          <w:tcPr>
            <w:tcW w:w="0" w:type="auto"/>
            <w:shd w:val="clear" w:color="auto" w:fill="auto"/>
          </w:tcPr>
          <w:p w14:paraId="7FDDC63E" w14:textId="77777777" w:rsidR="0079403C" w:rsidRPr="0079403C" w:rsidRDefault="0079403C" w:rsidP="0079403C">
            <w:pPr>
              <w:pStyle w:val="KeyText"/>
              <w:tabs>
                <w:tab w:val="clear" w:pos="346"/>
              </w:tabs>
              <w:ind w:left="0" w:firstLine="0"/>
            </w:pPr>
            <w:r w:rsidRPr="0079403C">
              <w:t>design anchorage length</w:t>
            </w:r>
          </w:p>
        </w:tc>
        <w:tc>
          <w:tcPr>
            <w:tcW w:w="0" w:type="auto"/>
            <w:shd w:val="clear" w:color="auto" w:fill="auto"/>
          </w:tcPr>
          <w:p w14:paraId="7A0B441D" w14:textId="77777777" w:rsidR="0079403C" w:rsidRPr="0079403C" w:rsidRDefault="0079403C" w:rsidP="0079403C">
            <w:pPr>
              <w:pStyle w:val="KeyText"/>
              <w:tabs>
                <w:tab w:val="clear" w:pos="346"/>
              </w:tabs>
              <w:ind w:left="0" w:firstLine="0"/>
            </w:pPr>
          </w:p>
        </w:tc>
      </w:tr>
      <w:tr w:rsidR="0079403C" w:rsidRPr="009D3012" w14:paraId="6678F28C" w14:textId="77777777" w:rsidTr="0079403C">
        <w:tc>
          <w:tcPr>
            <w:tcW w:w="0" w:type="auto"/>
            <w:shd w:val="clear" w:color="auto" w:fill="auto"/>
          </w:tcPr>
          <w:p w14:paraId="601D283D" w14:textId="77777777" w:rsidR="0079403C" w:rsidRPr="0079403C" w:rsidRDefault="0079403C" w:rsidP="0079403C">
            <w:pPr>
              <w:pStyle w:val="KeyText"/>
              <w:tabs>
                <w:tab w:val="clear" w:pos="346"/>
              </w:tabs>
              <w:ind w:left="0" w:firstLine="0"/>
            </w:pPr>
            <w:r w:rsidRPr="0079403C">
              <w:t>X</w:t>
            </w:r>
          </w:p>
        </w:tc>
        <w:tc>
          <w:tcPr>
            <w:tcW w:w="0" w:type="auto"/>
            <w:shd w:val="clear" w:color="auto" w:fill="auto"/>
          </w:tcPr>
          <w:p w14:paraId="599D8FD0" w14:textId="77777777" w:rsidR="0079403C" w:rsidRPr="0079403C" w:rsidRDefault="0079403C" w:rsidP="0079403C">
            <w:pPr>
              <w:pStyle w:val="KeyText"/>
              <w:tabs>
                <w:tab w:val="clear" w:pos="346"/>
              </w:tabs>
              <w:ind w:left="0" w:firstLine="0"/>
            </w:pPr>
            <w:r w:rsidRPr="0079403C">
              <w:t>start of anchorage</w:t>
            </w:r>
          </w:p>
        </w:tc>
        <w:tc>
          <w:tcPr>
            <w:tcW w:w="0" w:type="auto"/>
            <w:shd w:val="clear" w:color="auto" w:fill="auto"/>
          </w:tcPr>
          <w:p w14:paraId="0CA30EBC" w14:textId="77777777" w:rsidR="0079403C" w:rsidRPr="009D3012" w:rsidRDefault="0079403C" w:rsidP="0079403C">
            <w:pPr>
              <w:pStyle w:val="KeyText"/>
              <w:tabs>
                <w:tab w:val="clear" w:pos="346"/>
              </w:tabs>
              <w:ind w:left="0" w:firstLine="0"/>
            </w:pPr>
          </w:p>
        </w:tc>
      </w:tr>
    </w:tbl>
    <w:p w14:paraId="270D6E99" w14:textId="3BE94283" w:rsidR="004E22C1" w:rsidRPr="001455DC" w:rsidRDefault="004E22C1" w:rsidP="00486ADF">
      <w:pPr>
        <w:pStyle w:val="Figuretitle"/>
      </w:pPr>
      <w:r w:rsidRPr="001455DC">
        <w:t>Figure 11.2 — Methods of anchorage (shown for tensile forces)</w:t>
      </w:r>
    </w:p>
    <w:p w14:paraId="4958B5EE" w14:textId="156DEE2E" w:rsidR="004E22C1" w:rsidRPr="001455DC" w:rsidRDefault="004E22C1" w:rsidP="00243590">
      <w:pPr>
        <w:pStyle w:val="31"/>
      </w:pPr>
      <w:bookmarkStart w:id="800" w:name="_Toc52820031"/>
      <w:bookmarkStart w:id="801" w:name="_Toc54337429"/>
      <w:bookmarkStart w:id="802" w:name="_Toc54338088"/>
      <w:bookmarkStart w:id="803" w:name="_Toc67565432"/>
      <w:r w:rsidRPr="001455DC">
        <w:t>Anchorage of straight bars</w:t>
      </w:r>
      <w:bookmarkEnd w:id="800"/>
      <w:bookmarkEnd w:id="801"/>
      <w:bookmarkEnd w:id="802"/>
      <w:bookmarkEnd w:id="803"/>
    </w:p>
    <w:p w14:paraId="6B4836D6" w14:textId="77777777" w:rsidR="004E22C1" w:rsidRPr="001455DC" w:rsidRDefault="004E22C1" w:rsidP="00486ADF">
      <w:pPr>
        <w:pStyle w:val="a7"/>
      </w:pPr>
      <w:r w:rsidRPr="001455DC">
        <w:t>(1)</w:t>
      </w:r>
      <w:r w:rsidRPr="001455DC">
        <w:tab/>
        <w:t xml:space="preserve">A design anchorage length </w:t>
      </w:r>
      <w:r w:rsidRPr="001455DC">
        <w:rPr>
          <w:rStyle w:val="CCMCvariableitalic"/>
        </w:rPr>
        <w:t>l</w:t>
      </w:r>
      <w:r w:rsidRPr="001455DC">
        <w:rPr>
          <w:rStyle w:val="CCMCvariablesubscript"/>
        </w:rPr>
        <w:t>bd</w:t>
      </w:r>
      <w:r w:rsidRPr="001455DC">
        <w:t xml:space="preserve"> (Figure </w:t>
      </w:r>
      <w:r w:rsidRPr="001455DC">
        <w:rPr>
          <w:bCs/>
        </w:rPr>
        <w:t>11.3</w:t>
      </w:r>
      <w:r w:rsidRPr="001455DC">
        <w:t>) shall at least be provided to safely transfer the forces from a bar to the surrounding concrete without spalling or bond failures.</w:t>
      </w:r>
    </w:p>
    <w:tbl>
      <w:tblPr>
        <w:tblStyle w:val="a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0"/>
        <w:gridCol w:w="3251"/>
        <w:gridCol w:w="3251"/>
      </w:tblGrid>
      <w:tr w:rsidR="00486ADF" w:rsidRPr="001455DC" w14:paraId="38E3F7A3" w14:textId="77777777" w:rsidTr="00486ADF">
        <w:trPr>
          <w:cantSplit/>
          <w:jc w:val="center"/>
        </w:trPr>
        <w:tc>
          <w:tcPr>
            <w:tcW w:w="3250" w:type="dxa"/>
            <w:vAlign w:val="center"/>
          </w:tcPr>
          <w:p w14:paraId="7028E2CE" w14:textId="249F77DB" w:rsidR="00486ADF" w:rsidRPr="001455DC" w:rsidRDefault="00723CF7" w:rsidP="00486ADF">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"Y:\\STD_MGT\\STDDEL\\PRODUCTION\\etrans\\Download\\Z_FIRST_DEL\\SV\\00250\\00250269\\41_e_dr\\11_003a.tif"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"Y:\\STD_MGT\\STDDEL\\PRODUCTION\\Standards\\00250\\269\\41_e_dr\\11_003a.tif"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"Y:\\STD_MGT\\STDDEL\\PRODUCTION\\Standards\\00250\\269\\41_e_dr\\11_003a.tif"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"Y:\\STD_MGT\\STDDEL\\PRODUCTION\\Standards\\00250\\269\\41_e_dr\\11_003a.tif"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"Y:\\STD_MGT\\STDDEL\\PRODUCTION\\Standards\\00250\\269\\41_e_dr\\11_003a.tif"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"Y:\\STD_MGT\\STDDEL\\PRODUCTION\\Standards\\00250\\269\\41_e_dr\\11_003a.tif"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w:instrText>
            </w:r>
            <w:r w:rsidR="00231E33">
              <w:rPr>
                <w:noProof/>
                <w:lang w:eastAsia="en-GB"/>
              </w:rPr>
              <w:instrText>rs\\a.dionysiou\\AppData\\Local\\Temp\\Temp1_00250269_e_20210902.zip.zip\\41_e_dr\\11_003a.tif"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063B2B6A">
                <v:shape id="_x0000_i1226" type="#_x0000_t75" style="width:152.25pt;height:48pt">
                  <v:imagedata r:id="rId422" r:href="rId423"/>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3251" w:type="dxa"/>
            <w:vAlign w:val="center"/>
          </w:tcPr>
          <w:p w14:paraId="6B91DC30" w14:textId="040B4C6D" w:rsidR="00486ADF" w:rsidRPr="001455DC" w:rsidRDefault="00723CF7" w:rsidP="00486ADF">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"Y:\\STD_MGT\\STDDEL\\PRODUCTION\\etrans\\Download\\Z_FIRST_DEL\\SV\\00250\\00250269\\41_e_dr\\11_003b.tif"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"Y:\\STD_MGT\\STDDEL\\PRODUCTION\\Standards\\00250\\269\\41_e_dr\\11_003b.tif"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"Y:\\STD_MGT\\STDDEL\\PRODUCTION\\Standards\\00250\\269\\41_e_dr\\11_003b.tif"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"Y:\\STD_MGT\\STDDEL\\PRODUCTION\\Standards\\00250\\269\\41_e_dr\\11_003b.tif"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"Y:\\STD_MGT\\STDDEL\\PRODUCTION\\Standards\\00250\\269\\41_e_dr\\11_003b.tif"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"Y:\\STD_MGT\\STDDEL\\PRODUCTION\\Standards\\00250\\269\\41_e_dr\\11_003b.tif"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w:instrText>
            </w:r>
            <w:r w:rsidR="00231E33">
              <w:rPr>
                <w:noProof/>
                <w:lang w:eastAsia="en-GB"/>
              </w:rPr>
              <w:instrText>\\Local\\Temp\\Temp1_00250269_e_20210902.zip.zip\\41_e_dr\\11_003b.tif"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26FD30B7">
                <v:shape id="_x0000_i1227" type="#_x0000_t75" style="width:143.25pt;height:41.25pt">
                  <v:imagedata r:id="rId424" r:href="rId425"/>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3251" w:type="dxa"/>
            <w:vAlign w:val="center"/>
          </w:tcPr>
          <w:p w14:paraId="55B9183E" w14:textId="79D5F3A0" w:rsidR="00486ADF" w:rsidRPr="001455DC" w:rsidRDefault="00723CF7" w:rsidP="00486ADF">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"Y:\\STD_MGT\\STDDEL\\PRODUCTION\\etrans\\Download\\Z_FIRST_DEL\\SV\\00250\\00250269\\41_e_dr\\11_003c.tif"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"Y:\\STD_MGT\\STDDEL\\PRODUCTION\\Standards\\00250\\269\\41_e_dr\\11_003c.tif"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"Y:\\STD_MGT\\STDDEL\\PRODUCTION\\Standards\\00250\\269\\41_e_dr\\11_003c.tif"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"Y:\\STD_MGT\\STDDEL\\PRODUCTION\\Standards\\00250\\269\\41_e_dr\\11_003c.tif"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"Y:\\STD_MGT\\STDDEL\\PRODUCTION\\Standards\\00250\\269\\41_e_dr\\11_003c.tif"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"Y:\\STD_MGT\\STDDEL\\PRODUCTION\\Standards\\00250\\269\\41_e_dr\\11_003c.tif"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"C:\\Users\\a.dionysiou\\AppData\\Local\\Temp\\Temp1_00250269_e_20210902.zip.zip\\41_e_dr\\11_003c.tif"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5A42A097">
                <v:shape id="_x0000_i1228" type="#_x0000_t75" style="width:128.25pt;height:95.25pt">
                  <v:imagedata r:id="rId426" r:href="rId427"/>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486ADF" w:rsidRPr="001455DC" w14:paraId="1ED6DBF1" w14:textId="77777777" w:rsidTr="00486ADF">
        <w:trPr>
          <w:cantSplit/>
          <w:jc w:val="center"/>
        </w:trPr>
        <w:tc>
          <w:tcPr>
            <w:tcW w:w="3250" w:type="dxa"/>
            <w:vAlign w:val="center"/>
          </w:tcPr>
          <w:p w14:paraId="1C9FFE63" w14:textId="13A43B17" w:rsidR="00486ADF" w:rsidRPr="001455DC" w:rsidRDefault="00486ADF" w:rsidP="00486ADF">
            <w:pPr>
              <w:pStyle w:val="FigureText"/>
              <w:jc w:val="center"/>
            </w:pPr>
            <w:r w:rsidRPr="009D3012">
              <w:t>a) tension</w:t>
            </w:r>
          </w:p>
        </w:tc>
        <w:tc>
          <w:tcPr>
            <w:tcW w:w="3251" w:type="dxa"/>
            <w:vAlign w:val="center"/>
          </w:tcPr>
          <w:p w14:paraId="40EECB18" w14:textId="77C43864" w:rsidR="00486ADF" w:rsidRPr="001455DC" w:rsidRDefault="00486ADF" w:rsidP="00486ADF">
            <w:pPr>
              <w:pStyle w:val="FigureText"/>
              <w:jc w:val="center"/>
            </w:pPr>
            <w:r w:rsidRPr="009D3012">
              <w:t>b) compression</w:t>
            </w:r>
          </w:p>
        </w:tc>
        <w:tc>
          <w:tcPr>
            <w:tcW w:w="3251" w:type="dxa"/>
            <w:vAlign w:val="center"/>
          </w:tcPr>
          <w:p w14:paraId="23F23B3A" w14:textId="6D4FE0B1" w:rsidR="00486ADF" w:rsidRPr="001455DC" w:rsidRDefault="00486ADF" w:rsidP="00486ADF">
            <w:pPr>
              <w:pStyle w:val="FigureText"/>
              <w:jc w:val="center"/>
            </w:pPr>
            <w:r w:rsidRPr="009D3012">
              <w:t xml:space="preserve">c) conditions for </w:t>
            </w:r>
            <w:r w:rsidRPr="001455DC">
              <w:rPr>
                <w:rStyle w:val="CCMCvariableitalic"/>
              </w:rPr>
              <w:t>c</w:t>
            </w:r>
            <w:r w:rsidRPr="001455DC">
              <w:rPr>
                <w:rStyle w:val="CCMCvariablesubscript"/>
              </w:rPr>
              <w:t>d</w:t>
            </w:r>
          </w:p>
        </w:tc>
      </w:tr>
    </w:tbl>
    <w:p w14:paraId="787240E6" w14:textId="77777777" w:rsidR="00486ADF" w:rsidRPr="001455DC" w:rsidRDefault="00486ADF" w:rsidP="00DB201D">
      <w:pPr>
        <w:pStyle w:val="KeyTitle"/>
      </w:pPr>
      <w:r w:rsidRPr="001455DC">
        <w:t>Key</w:t>
      </w:r>
    </w:p>
    <w:tbl>
      <w:tblPr>
        <w:tblW w:w="9809" w:type="dxa"/>
        <w:tblLayout w:type="fixed"/>
        <w:tblCellMar>
          <w:left w:w="28" w:type="dxa"/>
          <w:right w:w="28" w:type="dxa"/>
        </w:tblCellMar>
        <w:tblLook w:val="0000" w:firstRow="0" w:lastRow="0" w:firstColumn="0" w:lastColumn="0" w:noHBand="0" w:noVBand="0"/>
      </w:tblPr>
      <w:tblGrid>
        <w:gridCol w:w="397"/>
        <w:gridCol w:w="9412"/>
      </w:tblGrid>
      <w:tr w:rsidR="00486ADF" w:rsidRPr="001455DC" w14:paraId="14421B05" w14:textId="77777777" w:rsidTr="00486ADF">
        <w:tc>
          <w:tcPr>
            <w:tcW w:w="397" w:type="dxa"/>
            <w:shd w:val="clear" w:color="auto" w:fill="auto"/>
          </w:tcPr>
          <w:p w14:paraId="5230B057" w14:textId="5AF1014B" w:rsidR="00486ADF" w:rsidRPr="0079403C" w:rsidRDefault="001F055D" w:rsidP="0079403C">
            <w:pPr>
              <w:pStyle w:val="KeyText"/>
            </w:pPr>
            <w:r w:rsidRPr="0079403C">
              <w:t>1</w:t>
            </w:r>
          </w:p>
        </w:tc>
        <w:tc>
          <w:tcPr>
            <w:tcW w:w="9412" w:type="dxa"/>
            <w:shd w:val="clear" w:color="auto" w:fill="auto"/>
          </w:tcPr>
          <w:p w14:paraId="30E9CBF4" w14:textId="13127BF6" w:rsidR="00486ADF" w:rsidRPr="0079403C" w:rsidRDefault="0079403C" w:rsidP="0079403C">
            <w:pPr>
              <w:pStyle w:val="KeyText"/>
            </w:pPr>
            <w:r w:rsidRPr="0079403C">
              <w:t>e</w:t>
            </w:r>
            <w:r w:rsidR="00486ADF" w:rsidRPr="0079403C">
              <w:t>dge bar</w:t>
            </w:r>
          </w:p>
        </w:tc>
      </w:tr>
      <w:tr w:rsidR="00486ADF" w:rsidRPr="001455DC" w14:paraId="63B8ABDE" w14:textId="77777777" w:rsidTr="00486ADF">
        <w:tc>
          <w:tcPr>
            <w:tcW w:w="397" w:type="dxa"/>
            <w:shd w:val="clear" w:color="auto" w:fill="auto"/>
          </w:tcPr>
          <w:p w14:paraId="47135E51" w14:textId="6438A312" w:rsidR="00486ADF" w:rsidRPr="0079403C" w:rsidRDefault="001F055D" w:rsidP="0079403C">
            <w:pPr>
              <w:pStyle w:val="KeyText"/>
            </w:pPr>
            <w:r w:rsidRPr="0079403C">
              <w:t>2</w:t>
            </w:r>
          </w:p>
        </w:tc>
        <w:tc>
          <w:tcPr>
            <w:tcW w:w="9412" w:type="dxa"/>
            <w:shd w:val="clear" w:color="auto" w:fill="auto"/>
          </w:tcPr>
          <w:p w14:paraId="4D16188D" w14:textId="3BA38A59" w:rsidR="00486ADF" w:rsidRPr="0079403C" w:rsidRDefault="0079403C" w:rsidP="0079403C">
            <w:pPr>
              <w:pStyle w:val="KeyText"/>
            </w:pPr>
            <w:r w:rsidRPr="0079403C">
              <w:t>i</w:t>
            </w:r>
            <w:r w:rsidR="00486ADF" w:rsidRPr="0079403C">
              <w:t>nterior bar</w:t>
            </w:r>
          </w:p>
        </w:tc>
      </w:tr>
      <w:tr w:rsidR="00486ADF" w:rsidRPr="001455DC" w14:paraId="1E04A459" w14:textId="77777777" w:rsidTr="00486ADF">
        <w:tc>
          <w:tcPr>
            <w:tcW w:w="9809" w:type="dxa"/>
            <w:gridSpan w:val="2"/>
            <w:shd w:val="clear" w:color="auto" w:fill="auto"/>
          </w:tcPr>
          <w:p w14:paraId="5C5AAF51" w14:textId="21FD3126" w:rsidR="00486ADF" w:rsidRPr="001455DC" w:rsidRDefault="00486ADF" w:rsidP="00D86695">
            <w:pPr>
              <w:pStyle w:val="KeyText"/>
              <w:tabs>
                <w:tab w:val="clear" w:pos="346"/>
              </w:tabs>
              <w:ind w:left="0" w:firstLine="0"/>
            </w:pPr>
            <w:r w:rsidRPr="001455DC">
              <w:t xml:space="preserve">Nominal cover </w:t>
            </w:r>
            <w:r w:rsidRPr="001455DC">
              <w:rPr>
                <w:rStyle w:val="CCMCvariableitalic"/>
              </w:rPr>
              <w:t>c</w:t>
            </w:r>
            <w:r w:rsidRPr="001455DC">
              <w:rPr>
                <w:rStyle w:val="CCMCvariablesubscript"/>
              </w:rPr>
              <w:t>d</w:t>
            </w:r>
            <w:r w:rsidRPr="001455DC">
              <w:t> </w:t>
            </w:r>
            <w:r w:rsidR="00EC27D2" w:rsidRPr="001455DC">
              <w:rPr>
                <w:rFonts w:ascii="Cambria Math" w:hAnsi="Cambria Math"/>
              </w:rPr>
              <w:t>=</w:t>
            </w:r>
            <w:r w:rsidRPr="001455DC">
              <w:t> min{0,5</w:t>
            </w:r>
            <w:r w:rsidRPr="001455DC">
              <w:rPr>
                <w:rStyle w:val="CCMCvariableitalic"/>
              </w:rPr>
              <w:t>c</w:t>
            </w:r>
            <w:r w:rsidRPr="001455DC">
              <w:rPr>
                <w:rStyle w:val="CCMCvariablesubscript"/>
              </w:rPr>
              <w:t>s</w:t>
            </w:r>
            <w:r w:rsidRPr="001455DC">
              <w:t xml:space="preserve">; </w:t>
            </w:r>
            <w:r w:rsidRPr="001455DC">
              <w:rPr>
                <w:rStyle w:val="CCMCvariableitalic"/>
              </w:rPr>
              <w:t>c</w:t>
            </w:r>
            <w:r w:rsidRPr="001455DC">
              <w:rPr>
                <w:rStyle w:val="CCMCvariablesubscript"/>
              </w:rPr>
              <w:t>x</w:t>
            </w:r>
            <w:r w:rsidRPr="001455DC">
              <w:t xml:space="preserve">; </w:t>
            </w:r>
            <w:r w:rsidRPr="001455DC">
              <w:rPr>
                <w:rStyle w:val="CCMCvariableitalic"/>
              </w:rPr>
              <w:t>c</w:t>
            </w:r>
            <w:r w:rsidRPr="001455DC">
              <w:rPr>
                <w:rStyle w:val="CCMCvariablesubscript"/>
              </w:rPr>
              <w:t>y</w:t>
            </w:r>
            <w:r w:rsidRPr="001455DC">
              <w:t>}</w:t>
            </w:r>
          </w:p>
        </w:tc>
      </w:tr>
    </w:tbl>
    <w:p w14:paraId="772D5652" w14:textId="77777777" w:rsidR="004E22C1" w:rsidRPr="001455DC" w:rsidRDefault="004E22C1" w:rsidP="00486ADF">
      <w:pPr>
        <w:pStyle w:val="Figuretitle"/>
      </w:pPr>
      <w:r w:rsidRPr="001455DC">
        <w:t>Figure 11.3 — Definition of design anchorage length for straight anchorage</w:t>
      </w:r>
    </w:p>
    <w:p w14:paraId="21558479" w14:textId="15A9F342" w:rsidR="004E22C1" w:rsidRPr="001455DC" w:rsidRDefault="004E22C1" w:rsidP="00486ADF">
      <w:pPr>
        <w:pStyle w:val="a7"/>
      </w:pPr>
      <w:r w:rsidRPr="001455DC">
        <w:t>(2)</w:t>
      </w:r>
      <w:r w:rsidRPr="001455DC">
        <w:tab/>
        <w:t xml:space="preserve">For ribbed bars with </w:t>
      </w:r>
      <w:r w:rsidRPr="001455DC">
        <w:rPr>
          <w:rStyle w:val="CCMCvariableitalic"/>
        </w:rPr>
        <w:t>ϕ</w:t>
      </w:r>
      <w:r w:rsidRPr="001455DC">
        <w:t> </w:t>
      </w:r>
      <w:r w:rsidR="00650035" w:rsidRPr="001455DC">
        <w:rPr>
          <w:rFonts w:ascii="Cambria Math" w:hAnsi="Cambria Math"/>
        </w:rPr>
        <w:t>≤</w:t>
      </w:r>
      <w:r w:rsidRPr="001455DC">
        <w:t xml:space="preserve"> 32 mm and indented bars with </w:t>
      </w:r>
      <w:r w:rsidRPr="001455DC">
        <w:rPr>
          <w:rStyle w:val="CCMCvariableitalic"/>
        </w:rPr>
        <w:t>ϕ</w:t>
      </w:r>
      <w:r w:rsidRPr="001455DC">
        <w:t> </w:t>
      </w:r>
      <w:r w:rsidR="00650035" w:rsidRPr="001455DC">
        <w:rPr>
          <w:rFonts w:ascii="Cambria Math" w:hAnsi="Cambria Math"/>
        </w:rPr>
        <w:t>≤</w:t>
      </w:r>
      <w:r w:rsidRPr="001455DC">
        <w:t xml:space="preserve"> 14 mm in common cases the design anchorage length </w:t>
      </w:r>
      <w:r w:rsidRPr="001455DC">
        <w:rPr>
          <w:rStyle w:val="CCMCvariableitalic"/>
        </w:rPr>
        <w:t>l</w:t>
      </w:r>
      <w:r w:rsidRPr="001455DC">
        <w:rPr>
          <w:rStyle w:val="CCMCvariablesubscript"/>
        </w:rPr>
        <w:t>bd</w:t>
      </w:r>
      <w:r w:rsidRPr="001455DC">
        <w:t xml:space="preserve"> divided by diameter in tension and compression in persistent and transient design situations may be taken from Table 11.1(NDP).</w:t>
      </w:r>
    </w:p>
    <w:p w14:paraId="68C7D305" w14:textId="77777777" w:rsidR="004E22C1" w:rsidRPr="001455DC" w:rsidRDefault="004E22C1" w:rsidP="00486ADF">
      <w:pPr>
        <w:pStyle w:val="Tabletitle"/>
      </w:pPr>
      <w:bookmarkStart w:id="804" w:name="_Toc54337430"/>
      <w:r w:rsidRPr="001455DC">
        <w:t xml:space="preserve">Table 11.1 (NDP) — Anchorage length of straight bars divided by diameter </w:t>
      </w:r>
      <w:r w:rsidRPr="001455DC">
        <w:rPr>
          <w:rStyle w:val="CCMCvariableitalic"/>
        </w:rPr>
        <w:t>l</w:t>
      </w:r>
      <w:r w:rsidRPr="001455DC">
        <w:rPr>
          <w:rStyle w:val="CCMCvariablesubscript"/>
        </w:rPr>
        <w:t>bd</w:t>
      </w:r>
      <w:r w:rsidRPr="001455DC">
        <w:t>/</w:t>
      </w:r>
      <w:r w:rsidRPr="001455DC">
        <w:rPr>
          <w:rStyle w:val="CCMCvariableitalic"/>
        </w:rPr>
        <w:t>ϕ</w:t>
      </w:r>
      <w:bookmarkEnd w:id="804"/>
    </w:p>
    <w:tbl>
      <w:tblPr>
        <w:tblStyle w:val="53"/>
        <w:tblW w:w="9752" w:type="dxa"/>
        <w:tblLayout w:type="fixed"/>
        <w:tblLook w:val="0660" w:firstRow="1" w:lastRow="1" w:firstColumn="0" w:lastColumn="0" w:noHBand="1" w:noVBand="1"/>
      </w:tblPr>
      <w:tblGrid>
        <w:gridCol w:w="1301"/>
        <w:gridCol w:w="1045"/>
        <w:gridCol w:w="1074"/>
        <w:gridCol w:w="1074"/>
        <w:gridCol w:w="1046"/>
        <w:gridCol w:w="1046"/>
        <w:gridCol w:w="1046"/>
        <w:gridCol w:w="1046"/>
        <w:gridCol w:w="1074"/>
      </w:tblGrid>
      <w:tr w:rsidR="00486ADF" w:rsidRPr="001455DC" w14:paraId="2B471A8D" w14:textId="77777777" w:rsidTr="00486ADF">
        <w:trPr>
          <w:cnfStyle w:val="100000000000" w:firstRow="1" w:lastRow="0" w:firstColumn="0" w:lastColumn="0" w:oddVBand="0" w:evenVBand="0" w:oddHBand="0" w:evenHBand="0" w:firstRowFirstColumn="0" w:firstRowLastColumn="0" w:lastRowFirstColumn="0" w:lastRowLastColumn="0"/>
          <w:tblHeader/>
        </w:trPr>
        <w:tc>
          <w:tcPr>
            <w:tcW w:w="1097" w:type="dxa"/>
            <w:tcBorders>
              <w:bottom w:val="nil"/>
            </w:tcBorders>
          </w:tcPr>
          <w:p w14:paraId="326E9A08" w14:textId="36CED44B" w:rsidR="00486ADF" w:rsidRPr="009D3012" w:rsidRDefault="00486ADF" w:rsidP="00D445D8">
            <w:pPr>
              <w:pStyle w:val="Tableheader"/>
              <w:keepNext/>
              <w:rPr>
                <w:rStyle w:val="CCMCvariableitalic"/>
                <w:bCs/>
                <w:i w:val="0"/>
              </w:rPr>
            </w:pPr>
            <w:r w:rsidRPr="001455DC">
              <w:rPr>
                <w:rStyle w:val="CCMCvariableitalic"/>
                <w:bCs/>
              </w:rPr>
              <w:t>ϕ</w:t>
            </w:r>
          </w:p>
        </w:tc>
        <w:tc>
          <w:tcPr>
            <w:tcW w:w="7120" w:type="dxa"/>
            <w:gridSpan w:val="8"/>
          </w:tcPr>
          <w:p w14:paraId="5817FCB9" w14:textId="77777777" w:rsidR="00486ADF" w:rsidRPr="009D3012" w:rsidRDefault="00486ADF" w:rsidP="00D445D8">
            <w:pPr>
              <w:pStyle w:val="Tableheader"/>
              <w:keepNext/>
              <w:rPr>
                <w:rStyle w:val="CCMCvariableitalic"/>
                <w:bCs/>
              </w:rPr>
            </w:pPr>
            <w:r w:rsidRPr="009D3012">
              <w:rPr>
                <w:bCs/>
              </w:rPr>
              <w:t xml:space="preserve">Anchorage length </w:t>
            </w:r>
            <w:r w:rsidRPr="001455DC">
              <w:rPr>
                <w:rStyle w:val="CCMCvariableitalic"/>
                <w:bCs/>
              </w:rPr>
              <w:t>l</w:t>
            </w:r>
            <w:r w:rsidRPr="001455DC">
              <w:rPr>
                <w:rStyle w:val="CCMCvariablesubscript"/>
                <w:bCs/>
              </w:rPr>
              <w:t>bd</w:t>
            </w:r>
            <w:r w:rsidRPr="001455DC">
              <w:rPr>
                <w:bCs/>
              </w:rPr>
              <w:t>/</w:t>
            </w:r>
            <w:r w:rsidRPr="001455DC">
              <w:rPr>
                <w:rStyle w:val="CCMCvariableitalic"/>
                <w:bCs/>
              </w:rPr>
              <w:t>ϕ</w:t>
            </w:r>
          </w:p>
        </w:tc>
      </w:tr>
      <w:tr w:rsidR="00486ADF" w:rsidRPr="001455DC" w14:paraId="1FD36AAC" w14:textId="77777777" w:rsidTr="00486ADF">
        <w:trPr>
          <w:cnfStyle w:val="100000000000" w:firstRow="1" w:lastRow="0" w:firstColumn="0" w:lastColumn="0" w:oddVBand="0" w:evenVBand="0" w:oddHBand="0" w:evenHBand="0" w:firstRowFirstColumn="0" w:firstRowLastColumn="0" w:lastRowFirstColumn="0" w:lastRowLastColumn="0"/>
          <w:tblHeader/>
        </w:trPr>
        <w:tc>
          <w:tcPr>
            <w:tcW w:w="1097" w:type="dxa"/>
            <w:tcBorders>
              <w:top w:val="nil"/>
              <w:bottom w:val="nil"/>
            </w:tcBorders>
          </w:tcPr>
          <w:p w14:paraId="61D268CA" w14:textId="0F186B08" w:rsidR="00486ADF" w:rsidRPr="009D3012" w:rsidRDefault="00486ADF" w:rsidP="00D445D8">
            <w:pPr>
              <w:pStyle w:val="Tableheader"/>
              <w:keepNext/>
              <w:rPr>
                <w:bCs/>
              </w:rPr>
            </w:pPr>
            <w:r w:rsidRPr="001455DC">
              <w:rPr>
                <w:bCs/>
              </w:rPr>
              <w:t>[mm]</w:t>
            </w:r>
          </w:p>
        </w:tc>
        <w:tc>
          <w:tcPr>
            <w:tcW w:w="7120" w:type="dxa"/>
            <w:gridSpan w:val="8"/>
          </w:tcPr>
          <w:p w14:paraId="600AF7DB" w14:textId="77777777" w:rsidR="00486ADF" w:rsidRPr="001455DC" w:rsidRDefault="00486ADF" w:rsidP="00D445D8">
            <w:pPr>
              <w:pStyle w:val="Tableheader"/>
              <w:keepNext/>
              <w:rPr>
                <w:bCs/>
              </w:rPr>
            </w:pPr>
            <w:r w:rsidRPr="001455DC">
              <w:rPr>
                <w:rStyle w:val="CCMCvariableitalic"/>
                <w:bCs/>
              </w:rPr>
              <w:t>f</w:t>
            </w:r>
            <w:r w:rsidRPr="001455DC">
              <w:rPr>
                <w:rStyle w:val="CCMCvariablesubscript"/>
                <w:bCs/>
              </w:rPr>
              <w:t>ck</w:t>
            </w:r>
          </w:p>
        </w:tc>
      </w:tr>
      <w:tr w:rsidR="00486ADF" w:rsidRPr="001455DC" w14:paraId="73D337C8" w14:textId="77777777" w:rsidTr="00486ADF">
        <w:trPr>
          <w:cnfStyle w:val="100000000000" w:firstRow="1" w:lastRow="0" w:firstColumn="0" w:lastColumn="0" w:oddVBand="0" w:evenVBand="0" w:oddHBand="0" w:evenHBand="0" w:firstRowFirstColumn="0" w:firstRowLastColumn="0" w:lastRowFirstColumn="0" w:lastRowLastColumn="0"/>
          <w:tblHeader/>
        </w:trPr>
        <w:tc>
          <w:tcPr>
            <w:tcW w:w="1097" w:type="dxa"/>
            <w:tcBorders>
              <w:top w:val="nil"/>
            </w:tcBorders>
          </w:tcPr>
          <w:p w14:paraId="0CB0015C" w14:textId="37B3188A" w:rsidR="00486ADF" w:rsidRPr="009D3012" w:rsidRDefault="00486ADF" w:rsidP="00D445D8">
            <w:pPr>
              <w:pStyle w:val="Tableheader"/>
              <w:keepNext/>
              <w:rPr>
                <w:lang w:eastAsia="en-GB"/>
              </w:rPr>
            </w:pPr>
            <w:r w:rsidRPr="001455DC">
              <w:rPr>
                <w:lang w:eastAsia="en-GB"/>
              </w:rPr>
              <w:t> </w:t>
            </w:r>
          </w:p>
        </w:tc>
        <w:tc>
          <w:tcPr>
            <w:tcW w:w="881" w:type="dxa"/>
          </w:tcPr>
          <w:p w14:paraId="5730D4BA" w14:textId="77777777" w:rsidR="00486ADF" w:rsidRPr="001455DC" w:rsidRDefault="00486ADF" w:rsidP="00D445D8">
            <w:pPr>
              <w:pStyle w:val="Tableheader"/>
              <w:keepNext/>
            </w:pPr>
            <w:r w:rsidRPr="001455DC">
              <w:t>20</w:t>
            </w:r>
          </w:p>
        </w:tc>
        <w:tc>
          <w:tcPr>
            <w:tcW w:w="905" w:type="dxa"/>
          </w:tcPr>
          <w:p w14:paraId="075DC727" w14:textId="77777777" w:rsidR="00486ADF" w:rsidRPr="001455DC" w:rsidRDefault="00486ADF" w:rsidP="00D445D8">
            <w:pPr>
              <w:pStyle w:val="Tableheader"/>
              <w:keepNext/>
            </w:pPr>
            <w:r w:rsidRPr="001455DC">
              <w:t>25</w:t>
            </w:r>
          </w:p>
        </w:tc>
        <w:tc>
          <w:tcPr>
            <w:tcW w:w="905" w:type="dxa"/>
          </w:tcPr>
          <w:p w14:paraId="33ADE601" w14:textId="77777777" w:rsidR="00486ADF" w:rsidRPr="001455DC" w:rsidRDefault="00486ADF" w:rsidP="00D445D8">
            <w:pPr>
              <w:pStyle w:val="Tableheader"/>
              <w:keepNext/>
            </w:pPr>
            <w:r w:rsidRPr="001455DC">
              <w:t>30</w:t>
            </w:r>
          </w:p>
        </w:tc>
        <w:tc>
          <w:tcPr>
            <w:tcW w:w="881" w:type="dxa"/>
          </w:tcPr>
          <w:p w14:paraId="315D8F1A" w14:textId="77777777" w:rsidR="00486ADF" w:rsidRPr="001455DC" w:rsidRDefault="00486ADF" w:rsidP="00D445D8">
            <w:pPr>
              <w:pStyle w:val="Tableheader"/>
              <w:keepNext/>
            </w:pPr>
            <w:r w:rsidRPr="001455DC">
              <w:t>35</w:t>
            </w:r>
          </w:p>
        </w:tc>
        <w:tc>
          <w:tcPr>
            <w:tcW w:w="881" w:type="dxa"/>
          </w:tcPr>
          <w:p w14:paraId="6D47B102" w14:textId="77777777" w:rsidR="00486ADF" w:rsidRPr="001455DC" w:rsidRDefault="00486ADF" w:rsidP="00D445D8">
            <w:pPr>
              <w:pStyle w:val="Tableheader"/>
              <w:keepNext/>
            </w:pPr>
            <w:r w:rsidRPr="001455DC">
              <w:t>40</w:t>
            </w:r>
          </w:p>
        </w:tc>
        <w:tc>
          <w:tcPr>
            <w:tcW w:w="881" w:type="dxa"/>
          </w:tcPr>
          <w:p w14:paraId="725E8E63" w14:textId="77777777" w:rsidR="00486ADF" w:rsidRPr="001455DC" w:rsidRDefault="00486ADF" w:rsidP="00D445D8">
            <w:pPr>
              <w:pStyle w:val="Tableheader"/>
              <w:keepNext/>
            </w:pPr>
            <w:r w:rsidRPr="001455DC">
              <w:t>45</w:t>
            </w:r>
          </w:p>
        </w:tc>
        <w:tc>
          <w:tcPr>
            <w:tcW w:w="881" w:type="dxa"/>
          </w:tcPr>
          <w:p w14:paraId="30896520" w14:textId="77777777" w:rsidR="00486ADF" w:rsidRPr="001455DC" w:rsidRDefault="00486ADF" w:rsidP="00D445D8">
            <w:pPr>
              <w:pStyle w:val="Tableheader"/>
              <w:keepNext/>
            </w:pPr>
            <w:r w:rsidRPr="001455DC">
              <w:t>50</w:t>
            </w:r>
          </w:p>
        </w:tc>
        <w:tc>
          <w:tcPr>
            <w:tcW w:w="905" w:type="dxa"/>
          </w:tcPr>
          <w:p w14:paraId="21F94B87" w14:textId="77777777" w:rsidR="00486ADF" w:rsidRPr="001455DC" w:rsidRDefault="00486ADF" w:rsidP="00D445D8">
            <w:pPr>
              <w:pStyle w:val="Tableheader"/>
              <w:keepNext/>
            </w:pPr>
            <w:r w:rsidRPr="001455DC">
              <w:t>60</w:t>
            </w:r>
          </w:p>
        </w:tc>
      </w:tr>
      <w:tr w:rsidR="004E22C1" w:rsidRPr="001455DC" w14:paraId="7F45BD06" w14:textId="77777777" w:rsidTr="00486ADF">
        <w:trPr>
          <w:trHeight w:val="59"/>
        </w:trPr>
        <w:tc>
          <w:tcPr>
            <w:tcW w:w="1097" w:type="dxa"/>
            <w:vAlign w:val="center"/>
          </w:tcPr>
          <w:p w14:paraId="090FE746" w14:textId="13A5448D" w:rsidR="004E22C1" w:rsidRPr="001455DC" w:rsidRDefault="00650035" w:rsidP="00D445D8">
            <w:pPr>
              <w:pStyle w:val="Tablebody"/>
              <w:keepNext/>
              <w:jc w:val="center"/>
            </w:pPr>
            <w:r w:rsidRPr="001455DC">
              <w:rPr>
                <w:rFonts w:ascii="Cambria Math" w:hAnsi="Cambria Math"/>
              </w:rPr>
              <w:t>≤</w:t>
            </w:r>
            <w:r w:rsidR="004E22C1" w:rsidRPr="001455DC">
              <w:t> 12</w:t>
            </w:r>
          </w:p>
        </w:tc>
        <w:tc>
          <w:tcPr>
            <w:tcW w:w="881" w:type="dxa"/>
            <w:vAlign w:val="center"/>
          </w:tcPr>
          <w:p w14:paraId="42282665" w14:textId="77777777" w:rsidR="004E22C1" w:rsidRPr="009D3012" w:rsidRDefault="004E22C1" w:rsidP="00D445D8">
            <w:pPr>
              <w:pStyle w:val="Tablebody"/>
              <w:keepNext/>
              <w:jc w:val="center"/>
              <w:rPr>
                <w:lang w:eastAsia="de-DE"/>
              </w:rPr>
            </w:pPr>
            <w:r w:rsidRPr="009D3012">
              <w:t>47</w:t>
            </w:r>
          </w:p>
        </w:tc>
        <w:tc>
          <w:tcPr>
            <w:tcW w:w="905" w:type="dxa"/>
            <w:vAlign w:val="center"/>
          </w:tcPr>
          <w:p w14:paraId="1955D2DA" w14:textId="77777777" w:rsidR="004E22C1" w:rsidRPr="009D3012" w:rsidRDefault="004E22C1" w:rsidP="00D445D8">
            <w:pPr>
              <w:pStyle w:val="Tablebody"/>
              <w:keepNext/>
              <w:jc w:val="center"/>
            </w:pPr>
            <w:r w:rsidRPr="009D3012">
              <w:t>42</w:t>
            </w:r>
          </w:p>
        </w:tc>
        <w:tc>
          <w:tcPr>
            <w:tcW w:w="905" w:type="dxa"/>
            <w:vAlign w:val="center"/>
          </w:tcPr>
          <w:p w14:paraId="0C86A6BA" w14:textId="77777777" w:rsidR="004E22C1" w:rsidRPr="009D3012" w:rsidRDefault="004E22C1" w:rsidP="00D445D8">
            <w:pPr>
              <w:pStyle w:val="Tablebody"/>
              <w:keepNext/>
              <w:jc w:val="center"/>
            </w:pPr>
            <w:r w:rsidRPr="009D3012">
              <w:t>38</w:t>
            </w:r>
          </w:p>
        </w:tc>
        <w:tc>
          <w:tcPr>
            <w:tcW w:w="881" w:type="dxa"/>
            <w:vAlign w:val="center"/>
          </w:tcPr>
          <w:p w14:paraId="24B6E385" w14:textId="77777777" w:rsidR="004E22C1" w:rsidRPr="009D3012" w:rsidRDefault="004E22C1" w:rsidP="00D445D8">
            <w:pPr>
              <w:pStyle w:val="Tablebody"/>
              <w:keepNext/>
              <w:jc w:val="center"/>
            </w:pPr>
            <w:r w:rsidRPr="009D3012">
              <w:t>36</w:t>
            </w:r>
          </w:p>
        </w:tc>
        <w:tc>
          <w:tcPr>
            <w:tcW w:w="881" w:type="dxa"/>
            <w:vAlign w:val="center"/>
          </w:tcPr>
          <w:p w14:paraId="174336C4" w14:textId="77777777" w:rsidR="004E22C1" w:rsidRPr="009D3012" w:rsidRDefault="004E22C1" w:rsidP="00D445D8">
            <w:pPr>
              <w:pStyle w:val="Tablebody"/>
              <w:keepNext/>
              <w:jc w:val="center"/>
            </w:pPr>
            <w:r w:rsidRPr="009D3012">
              <w:t>33</w:t>
            </w:r>
          </w:p>
        </w:tc>
        <w:tc>
          <w:tcPr>
            <w:tcW w:w="881" w:type="dxa"/>
            <w:vAlign w:val="center"/>
          </w:tcPr>
          <w:p w14:paraId="0898C1B1" w14:textId="77777777" w:rsidR="004E22C1" w:rsidRPr="009D3012" w:rsidRDefault="004E22C1" w:rsidP="00D445D8">
            <w:pPr>
              <w:pStyle w:val="Tablebody"/>
              <w:keepNext/>
              <w:jc w:val="center"/>
            </w:pPr>
            <w:r w:rsidRPr="009D3012">
              <w:t>31</w:t>
            </w:r>
          </w:p>
        </w:tc>
        <w:tc>
          <w:tcPr>
            <w:tcW w:w="881" w:type="dxa"/>
            <w:vAlign w:val="center"/>
          </w:tcPr>
          <w:p w14:paraId="674B5786" w14:textId="77777777" w:rsidR="004E22C1" w:rsidRPr="009D3012" w:rsidRDefault="004E22C1" w:rsidP="00D445D8">
            <w:pPr>
              <w:pStyle w:val="Tablebody"/>
              <w:keepNext/>
              <w:jc w:val="center"/>
            </w:pPr>
            <w:r w:rsidRPr="009D3012">
              <w:t>30</w:t>
            </w:r>
          </w:p>
        </w:tc>
        <w:tc>
          <w:tcPr>
            <w:tcW w:w="905" w:type="dxa"/>
            <w:vAlign w:val="center"/>
          </w:tcPr>
          <w:p w14:paraId="5069A0AC" w14:textId="77777777" w:rsidR="004E22C1" w:rsidRPr="009D3012" w:rsidRDefault="004E22C1" w:rsidP="00D445D8">
            <w:pPr>
              <w:pStyle w:val="Tablebody"/>
              <w:keepNext/>
              <w:jc w:val="center"/>
              <w:rPr>
                <w:lang w:eastAsia="de-DE"/>
              </w:rPr>
            </w:pPr>
            <w:r w:rsidRPr="009D3012">
              <w:t>27</w:t>
            </w:r>
          </w:p>
        </w:tc>
      </w:tr>
      <w:tr w:rsidR="004E22C1" w:rsidRPr="001455DC" w14:paraId="3628D563" w14:textId="77777777" w:rsidTr="00486ADF">
        <w:trPr>
          <w:trHeight w:val="59"/>
        </w:trPr>
        <w:tc>
          <w:tcPr>
            <w:tcW w:w="1097" w:type="dxa"/>
            <w:vAlign w:val="center"/>
          </w:tcPr>
          <w:p w14:paraId="31718784" w14:textId="77777777" w:rsidR="004E22C1" w:rsidRPr="001455DC" w:rsidRDefault="004E22C1" w:rsidP="00D445D8">
            <w:pPr>
              <w:pStyle w:val="Tablebody"/>
              <w:keepNext/>
              <w:jc w:val="center"/>
            </w:pPr>
            <w:r w:rsidRPr="001455DC">
              <w:t>14</w:t>
            </w:r>
          </w:p>
        </w:tc>
        <w:tc>
          <w:tcPr>
            <w:tcW w:w="881" w:type="dxa"/>
            <w:vAlign w:val="center"/>
          </w:tcPr>
          <w:p w14:paraId="6B68A200" w14:textId="77777777" w:rsidR="004E22C1" w:rsidRPr="009D3012" w:rsidRDefault="004E22C1" w:rsidP="00D445D8">
            <w:pPr>
              <w:pStyle w:val="Tablebody"/>
              <w:keepNext/>
              <w:jc w:val="center"/>
            </w:pPr>
            <w:r w:rsidRPr="009D3012">
              <w:t>50</w:t>
            </w:r>
          </w:p>
        </w:tc>
        <w:tc>
          <w:tcPr>
            <w:tcW w:w="905" w:type="dxa"/>
            <w:vAlign w:val="center"/>
          </w:tcPr>
          <w:p w14:paraId="281BCC0B" w14:textId="77777777" w:rsidR="004E22C1" w:rsidRPr="009D3012" w:rsidRDefault="004E22C1" w:rsidP="00D445D8">
            <w:pPr>
              <w:pStyle w:val="Tablebody"/>
              <w:keepNext/>
              <w:jc w:val="center"/>
            </w:pPr>
            <w:r w:rsidRPr="009D3012">
              <w:t>44</w:t>
            </w:r>
          </w:p>
        </w:tc>
        <w:tc>
          <w:tcPr>
            <w:tcW w:w="905" w:type="dxa"/>
            <w:vAlign w:val="center"/>
          </w:tcPr>
          <w:p w14:paraId="4D6F8728" w14:textId="77777777" w:rsidR="004E22C1" w:rsidRPr="009D3012" w:rsidRDefault="004E22C1" w:rsidP="00D445D8">
            <w:pPr>
              <w:pStyle w:val="Tablebody"/>
              <w:keepNext/>
              <w:jc w:val="center"/>
            </w:pPr>
            <w:r w:rsidRPr="009D3012">
              <w:t>41</w:t>
            </w:r>
          </w:p>
        </w:tc>
        <w:tc>
          <w:tcPr>
            <w:tcW w:w="881" w:type="dxa"/>
            <w:vAlign w:val="center"/>
          </w:tcPr>
          <w:p w14:paraId="4AA0D61C" w14:textId="77777777" w:rsidR="004E22C1" w:rsidRPr="009D3012" w:rsidRDefault="004E22C1" w:rsidP="00D445D8">
            <w:pPr>
              <w:pStyle w:val="Tablebody"/>
              <w:keepNext/>
              <w:jc w:val="center"/>
            </w:pPr>
            <w:r w:rsidRPr="009D3012">
              <w:t>38</w:t>
            </w:r>
          </w:p>
        </w:tc>
        <w:tc>
          <w:tcPr>
            <w:tcW w:w="881" w:type="dxa"/>
            <w:vAlign w:val="center"/>
          </w:tcPr>
          <w:p w14:paraId="1742BC14" w14:textId="77777777" w:rsidR="004E22C1" w:rsidRPr="009D3012" w:rsidRDefault="004E22C1" w:rsidP="00D445D8">
            <w:pPr>
              <w:pStyle w:val="Tablebody"/>
              <w:keepNext/>
              <w:jc w:val="center"/>
            </w:pPr>
            <w:r w:rsidRPr="009D3012">
              <w:t>35</w:t>
            </w:r>
          </w:p>
        </w:tc>
        <w:tc>
          <w:tcPr>
            <w:tcW w:w="881" w:type="dxa"/>
            <w:vAlign w:val="center"/>
          </w:tcPr>
          <w:p w14:paraId="7635FED0" w14:textId="77777777" w:rsidR="004E22C1" w:rsidRPr="009D3012" w:rsidRDefault="004E22C1" w:rsidP="00D445D8">
            <w:pPr>
              <w:pStyle w:val="Tablebody"/>
              <w:keepNext/>
              <w:jc w:val="center"/>
            </w:pPr>
            <w:r w:rsidRPr="009D3012">
              <w:t>33</w:t>
            </w:r>
          </w:p>
        </w:tc>
        <w:tc>
          <w:tcPr>
            <w:tcW w:w="881" w:type="dxa"/>
            <w:vAlign w:val="center"/>
          </w:tcPr>
          <w:p w14:paraId="107D7092" w14:textId="77777777" w:rsidR="004E22C1" w:rsidRPr="009D3012" w:rsidRDefault="004E22C1" w:rsidP="00D445D8">
            <w:pPr>
              <w:pStyle w:val="Tablebody"/>
              <w:keepNext/>
              <w:jc w:val="center"/>
            </w:pPr>
            <w:r w:rsidRPr="009D3012">
              <w:t>31</w:t>
            </w:r>
          </w:p>
        </w:tc>
        <w:tc>
          <w:tcPr>
            <w:tcW w:w="905" w:type="dxa"/>
            <w:vAlign w:val="center"/>
          </w:tcPr>
          <w:p w14:paraId="37544005" w14:textId="77777777" w:rsidR="004E22C1" w:rsidRPr="009D3012" w:rsidRDefault="004E22C1" w:rsidP="00D445D8">
            <w:pPr>
              <w:pStyle w:val="Tablebody"/>
              <w:keepNext/>
              <w:jc w:val="center"/>
            </w:pPr>
            <w:r w:rsidRPr="009D3012">
              <w:t>29</w:t>
            </w:r>
          </w:p>
        </w:tc>
      </w:tr>
      <w:tr w:rsidR="004E22C1" w:rsidRPr="001455DC" w14:paraId="7355F722" w14:textId="77777777" w:rsidTr="00486ADF">
        <w:trPr>
          <w:trHeight w:val="59"/>
        </w:trPr>
        <w:tc>
          <w:tcPr>
            <w:tcW w:w="1097" w:type="dxa"/>
            <w:vAlign w:val="center"/>
          </w:tcPr>
          <w:p w14:paraId="578EFB13" w14:textId="77777777" w:rsidR="004E22C1" w:rsidRPr="001455DC" w:rsidRDefault="004E22C1" w:rsidP="00D445D8">
            <w:pPr>
              <w:pStyle w:val="Tablebody"/>
              <w:keepNext/>
              <w:jc w:val="center"/>
            </w:pPr>
            <w:r w:rsidRPr="001455DC">
              <w:t>16</w:t>
            </w:r>
          </w:p>
        </w:tc>
        <w:tc>
          <w:tcPr>
            <w:tcW w:w="881" w:type="dxa"/>
            <w:vAlign w:val="center"/>
          </w:tcPr>
          <w:p w14:paraId="2342E604" w14:textId="77777777" w:rsidR="004E22C1" w:rsidRPr="009D3012" w:rsidRDefault="004E22C1" w:rsidP="00D445D8">
            <w:pPr>
              <w:pStyle w:val="Tablebody"/>
              <w:keepNext/>
              <w:jc w:val="center"/>
            </w:pPr>
            <w:r w:rsidRPr="009D3012">
              <w:t>52</w:t>
            </w:r>
          </w:p>
        </w:tc>
        <w:tc>
          <w:tcPr>
            <w:tcW w:w="905" w:type="dxa"/>
            <w:vAlign w:val="center"/>
          </w:tcPr>
          <w:p w14:paraId="587EE053" w14:textId="77777777" w:rsidR="004E22C1" w:rsidRPr="009D3012" w:rsidRDefault="004E22C1" w:rsidP="00D445D8">
            <w:pPr>
              <w:pStyle w:val="Tablebody"/>
              <w:keepNext/>
              <w:jc w:val="center"/>
            </w:pPr>
            <w:r w:rsidRPr="009D3012">
              <w:t>46</w:t>
            </w:r>
          </w:p>
        </w:tc>
        <w:tc>
          <w:tcPr>
            <w:tcW w:w="905" w:type="dxa"/>
            <w:vAlign w:val="center"/>
          </w:tcPr>
          <w:p w14:paraId="1670A4D3" w14:textId="77777777" w:rsidR="004E22C1" w:rsidRPr="009D3012" w:rsidRDefault="004E22C1" w:rsidP="00D445D8">
            <w:pPr>
              <w:pStyle w:val="Tablebody"/>
              <w:keepNext/>
              <w:jc w:val="center"/>
            </w:pPr>
            <w:r w:rsidRPr="009D3012">
              <w:t>42</w:t>
            </w:r>
          </w:p>
        </w:tc>
        <w:tc>
          <w:tcPr>
            <w:tcW w:w="881" w:type="dxa"/>
            <w:vAlign w:val="center"/>
          </w:tcPr>
          <w:p w14:paraId="7A6FEFDE" w14:textId="77777777" w:rsidR="004E22C1" w:rsidRPr="009D3012" w:rsidRDefault="004E22C1" w:rsidP="00D445D8">
            <w:pPr>
              <w:pStyle w:val="Tablebody"/>
              <w:keepNext/>
              <w:jc w:val="center"/>
            </w:pPr>
            <w:r w:rsidRPr="009D3012">
              <w:t>39</w:t>
            </w:r>
          </w:p>
        </w:tc>
        <w:tc>
          <w:tcPr>
            <w:tcW w:w="881" w:type="dxa"/>
            <w:vAlign w:val="center"/>
          </w:tcPr>
          <w:p w14:paraId="335200D9" w14:textId="77777777" w:rsidR="004E22C1" w:rsidRPr="009D3012" w:rsidRDefault="004E22C1" w:rsidP="00D445D8">
            <w:pPr>
              <w:pStyle w:val="Tablebody"/>
              <w:keepNext/>
              <w:jc w:val="center"/>
            </w:pPr>
            <w:r w:rsidRPr="009D3012">
              <w:t>37</w:t>
            </w:r>
          </w:p>
        </w:tc>
        <w:tc>
          <w:tcPr>
            <w:tcW w:w="881" w:type="dxa"/>
            <w:vAlign w:val="center"/>
          </w:tcPr>
          <w:p w14:paraId="6BF75F91" w14:textId="77777777" w:rsidR="004E22C1" w:rsidRPr="009D3012" w:rsidRDefault="004E22C1" w:rsidP="00D445D8">
            <w:pPr>
              <w:pStyle w:val="Tablebody"/>
              <w:keepNext/>
              <w:jc w:val="center"/>
            </w:pPr>
            <w:r w:rsidRPr="009D3012">
              <w:t>35</w:t>
            </w:r>
          </w:p>
        </w:tc>
        <w:tc>
          <w:tcPr>
            <w:tcW w:w="881" w:type="dxa"/>
            <w:vAlign w:val="center"/>
          </w:tcPr>
          <w:p w14:paraId="0C1A3C9C" w14:textId="77777777" w:rsidR="004E22C1" w:rsidRPr="009D3012" w:rsidRDefault="004E22C1" w:rsidP="00D445D8">
            <w:pPr>
              <w:pStyle w:val="Tablebody"/>
              <w:keepNext/>
              <w:jc w:val="center"/>
            </w:pPr>
            <w:r w:rsidRPr="009D3012">
              <w:t>33</w:t>
            </w:r>
          </w:p>
        </w:tc>
        <w:tc>
          <w:tcPr>
            <w:tcW w:w="905" w:type="dxa"/>
            <w:vAlign w:val="center"/>
          </w:tcPr>
          <w:p w14:paraId="6593D4C2" w14:textId="77777777" w:rsidR="004E22C1" w:rsidRPr="009D3012" w:rsidRDefault="004E22C1" w:rsidP="00D445D8">
            <w:pPr>
              <w:pStyle w:val="Tablebody"/>
              <w:keepNext/>
              <w:jc w:val="center"/>
            </w:pPr>
            <w:r w:rsidRPr="009D3012">
              <w:t>30</w:t>
            </w:r>
          </w:p>
        </w:tc>
      </w:tr>
      <w:tr w:rsidR="004E22C1" w:rsidRPr="001455DC" w14:paraId="4686AACE" w14:textId="77777777" w:rsidTr="00486ADF">
        <w:trPr>
          <w:trHeight w:val="59"/>
        </w:trPr>
        <w:tc>
          <w:tcPr>
            <w:tcW w:w="1097" w:type="dxa"/>
            <w:vAlign w:val="center"/>
          </w:tcPr>
          <w:p w14:paraId="43F6B954" w14:textId="77777777" w:rsidR="004E22C1" w:rsidRPr="001455DC" w:rsidRDefault="004E22C1" w:rsidP="00D445D8">
            <w:pPr>
              <w:pStyle w:val="Tablebody"/>
              <w:keepNext/>
              <w:jc w:val="center"/>
            </w:pPr>
            <w:r w:rsidRPr="001455DC">
              <w:t>20</w:t>
            </w:r>
          </w:p>
        </w:tc>
        <w:tc>
          <w:tcPr>
            <w:tcW w:w="881" w:type="dxa"/>
            <w:vAlign w:val="center"/>
          </w:tcPr>
          <w:p w14:paraId="6B30AD98" w14:textId="77777777" w:rsidR="004E22C1" w:rsidRPr="009D3012" w:rsidRDefault="004E22C1" w:rsidP="00D445D8">
            <w:pPr>
              <w:pStyle w:val="Tablebody"/>
              <w:keepNext/>
              <w:jc w:val="center"/>
            </w:pPr>
            <w:r w:rsidRPr="009D3012">
              <w:t>56</w:t>
            </w:r>
          </w:p>
        </w:tc>
        <w:tc>
          <w:tcPr>
            <w:tcW w:w="905" w:type="dxa"/>
            <w:vAlign w:val="center"/>
          </w:tcPr>
          <w:p w14:paraId="45809781" w14:textId="77777777" w:rsidR="004E22C1" w:rsidRPr="009D3012" w:rsidRDefault="004E22C1" w:rsidP="00D445D8">
            <w:pPr>
              <w:pStyle w:val="Tablebody"/>
              <w:keepNext/>
              <w:jc w:val="center"/>
            </w:pPr>
            <w:r w:rsidRPr="009D3012">
              <w:t>50</w:t>
            </w:r>
          </w:p>
        </w:tc>
        <w:tc>
          <w:tcPr>
            <w:tcW w:w="905" w:type="dxa"/>
            <w:vAlign w:val="center"/>
          </w:tcPr>
          <w:p w14:paraId="7141104B" w14:textId="77777777" w:rsidR="004E22C1" w:rsidRPr="009D3012" w:rsidRDefault="004E22C1" w:rsidP="00D445D8">
            <w:pPr>
              <w:pStyle w:val="Tablebody"/>
              <w:keepNext/>
              <w:jc w:val="center"/>
            </w:pPr>
            <w:r w:rsidRPr="009D3012">
              <w:t>46</w:t>
            </w:r>
          </w:p>
        </w:tc>
        <w:tc>
          <w:tcPr>
            <w:tcW w:w="881" w:type="dxa"/>
            <w:vAlign w:val="center"/>
          </w:tcPr>
          <w:p w14:paraId="681B04AE" w14:textId="77777777" w:rsidR="004E22C1" w:rsidRPr="009D3012" w:rsidRDefault="004E22C1" w:rsidP="00D445D8">
            <w:pPr>
              <w:pStyle w:val="Tablebody"/>
              <w:keepNext/>
              <w:jc w:val="center"/>
            </w:pPr>
            <w:r w:rsidRPr="009D3012">
              <w:t>42</w:t>
            </w:r>
          </w:p>
        </w:tc>
        <w:tc>
          <w:tcPr>
            <w:tcW w:w="881" w:type="dxa"/>
            <w:vAlign w:val="center"/>
          </w:tcPr>
          <w:p w14:paraId="6F8F75BA" w14:textId="77777777" w:rsidR="004E22C1" w:rsidRPr="009D3012" w:rsidRDefault="004E22C1" w:rsidP="00D445D8">
            <w:pPr>
              <w:pStyle w:val="Tablebody"/>
              <w:keepNext/>
              <w:jc w:val="center"/>
            </w:pPr>
            <w:r w:rsidRPr="009D3012">
              <w:t>40</w:t>
            </w:r>
          </w:p>
        </w:tc>
        <w:tc>
          <w:tcPr>
            <w:tcW w:w="881" w:type="dxa"/>
            <w:vAlign w:val="center"/>
          </w:tcPr>
          <w:p w14:paraId="6DA45DB3" w14:textId="77777777" w:rsidR="004E22C1" w:rsidRPr="009D3012" w:rsidRDefault="004E22C1" w:rsidP="00D445D8">
            <w:pPr>
              <w:pStyle w:val="Tablebody"/>
              <w:keepNext/>
              <w:jc w:val="center"/>
            </w:pPr>
            <w:r w:rsidRPr="009D3012">
              <w:t>37</w:t>
            </w:r>
          </w:p>
        </w:tc>
        <w:tc>
          <w:tcPr>
            <w:tcW w:w="881" w:type="dxa"/>
            <w:vAlign w:val="center"/>
          </w:tcPr>
          <w:p w14:paraId="55AB830E" w14:textId="77777777" w:rsidR="004E22C1" w:rsidRPr="009D3012" w:rsidRDefault="004E22C1" w:rsidP="00D445D8">
            <w:pPr>
              <w:pStyle w:val="Tablebody"/>
              <w:keepNext/>
              <w:jc w:val="center"/>
            </w:pPr>
            <w:r w:rsidRPr="009D3012">
              <w:t>35</w:t>
            </w:r>
          </w:p>
        </w:tc>
        <w:tc>
          <w:tcPr>
            <w:tcW w:w="905" w:type="dxa"/>
            <w:vAlign w:val="center"/>
          </w:tcPr>
          <w:p w14:paraId="2FCF80A3" w14:textId="77777777" w:rsidR="004E22C1" w:rsidRPr="009D3012" w:rsidRDefault="004E22C1" w:rsidP="00D445D8">
            <w:pPr>
              <w:pStyle w:val="Tablebody"/>
              <w:keepNext/>
              <w:jc w:val="center"/>
            </w:pPr>
            <w:r w:rsidRPr="009D3012">
              <w:t>32</w:t>
            </w:r>
          </w:p>
        </w:tc>
      </w:tr>
      <w:tr w:rsidR="004E22C1" w:rsidRPr="001455DC" w14:paraId="3094E602" w14:textId="77777777" w:rsidTr="00486ADF">
        <w:trPr>
          <w:trHeight w:val="59"/>
        </w:trPr>
        <w:tc>
          <w:tcPr>
            <w:tcW w:w="1097" w:type="dxa"/>
            <w:vAlign w:val="center"/>
          </w:tcPr>
          <w:p w14:paraId="37538684" w14:textId="77777777" w:rsidR="004E22C1" w:rsidRPr="001455DC" w:rsidRDefault="004E22C1" w:rsidP="00D445D8">
            <w:pPr>
              <w:pStyle w:val="Tablebody"/>
              <w:keepNext/>
              <w:jc w:val="center"/>
            </w:pPr>
            <w:r w:rsidRPr="001455DC">
              <w:t>25</w:t>
            </w:r>
          </w:p>
        </w:tc>
        <w:tc>
          <w:tcPr>
            <w:tcW w:w="881" w:type="dxa"/>
            <w:vAlign w:val="center"/>
          </w:tcPr>
          <w:p w14:paraId="1A5C3C17" w14:textId="77777777" w:rsidR="004E22C1" w:rsidRPr="009D3012" w:rsidRDefault="004E22C1" w:rsidP="00D445D8">
            <w:pPr>
              <w:pStyle w:val="Tablebody"/>
              <w:keepNext/>
              <w:jc w:val="center"/>
            </w:pPr>
            <w:r w:rsidRPr="009D3012">
              <w:t>60</w:t>
            </w:r>
          </w:p>
        </w:tc>
        <w:tc>
          <w:tcPr>
            <w:tcW w:w="905" w:type="dxa"/>
            <w:vAlign w:val="center"/>
          </w:tcPr>
          <w:p w14:paraId="5F79F26E" w14:textId="77777777" w:rsidR="004E22C1" w:rsidRPr="009D3012" w:rsidRDefault="004E22C1" w:rsidP="00D445D8">
            <w:pPr>
              <w:pStyle w:val="Tablebody"/>
              <w:keepNext/>
              <w:jc w:val="center"/>
            </w:pPr>
            <w:r w:rsidRPr="009D3012">
              <w:t>54</w:t>
            </w:r>
          </w:p>
        </w:tc>
        <w:tc>
          <w:tcPr>
            <w:tcW w:w="905" w:type="dxa"/>
            <w:vAlign w:val="center"/>
          </w:tcPr>
          <w:p w14:paraId="64564904" w14:textId="77777777" w:rsidR="004E22C1" w:rsidRPr="009D3012" w:rsidRDefault="004E22C1" w:rsidP="00D445D8">
            <w:pPr>
              <w:pStyle w:val="Tablebody"/>
              <w:keepNext/>
              <w:jc w:val="center"/>
            </w:pPr>
            <w:r w:rsidRPr="009D3012">
              <w:t>49</w:t>
            </w:r>
          </w:p>
        </w:tc>
        <w:tc>
          <w:tcPr>
            <w:tcW w:w="881" w:type="dxa"/>
            <w:vAlign w:val="center"/>
          </w:tcPr>
          <w:p w14:paraId="5D3BFD3C" w14:textId="77777777" w:rsidR="004E22C1" w:rsidRPr="009D3012" w:rsidRDefault="004E22C1" w:rsidP="00D445D8">
            <w:pPr>
              <w:pStyle w:val="Tablebody"/>
              <w:keepNext/>
              <w:jc w:val="center"/>
            </w:pPr>
            <w:r w:rsidRPr="009D3012">
              <w:t>46</w:t>
            </w:r>
          </w:p>
        </w:tc>
        <w:tc>
          <w:tcPr>
            <w:tcW w:w="881" w:type="dxa"/>
            <w:vAlign w:val="center"/>
          </w:tcPr>
          <w:p w14:paraId="616EDE61" w14:textId="77777777" w:rsidR="004E22C1" w:rsidRPr="009D3012" w:rsidRDefault="004E22C1" w:rsidP="00D445D8">
            <w:pPr>
              <w:pStyle w:val="Tablebody"/>
              <w:keepNext/>
              <w:jc w:val="center"/>
            </w:pPr>
            <w:r w:rsidRPr="009D3012">
              <w:t>43</w:t>
            </w:r>
          </w:p>
        </w:tc>
        <w:tc>
          <w:tcPr>
            <w:tcW w:w="881" w:type="dxa"/>
            <w:vAlign w:val="center"/>
          </w:tcPr>
          <w:p w14:paraId="75562B8B" w14:textId="77777777" w:rsidR="004E22C1" w:rsidRPr="009D3012" w:rsidRDefault="004E22C1" w:rsidP="00D445D8">
            <w:pPr>
              <w:pStyle w:val="Tablebody"/>
              <w:keepNext/>
              <w:jc w:val="center"/>
            </w:pPr>
            <w:r w:rsidRPr="009D3012">
              <w:t>40</w:t>
            </w:r>
          </w:p>
        </w:tc>
        <w:tc>
          <w:tcPr>
            <w:tcW w:w="881" w:type="dxa"/>
            <w:vAlign w:val="center"/>
          </w:tcPr>
          <w:p w14:paraId="05D15A74" w14:textId="77777777" w:rsidR="004E22C1" w:rsidRPr="009D3012" w:rsidRDefault="004E22C1" w:rsidP="00D445D8">
            <w:pPr>
              <w:pStyle w:val="Tablebody"/>
              <w:keepNext/>
              <w:jc w:val="center"/>
            </w:pPr>
            <w:r w:rsidRPr="009D3012">
              <w:t>38</w:t>
            </w:r>
          </w:p>
        </w:tc>
        <w:tc>
          <w:tcPr>
            <w:tcW w:w="905" w:type="dxa"/>
            <w:vAlign w:val="center"/>
          </w:tcPr>
          <w:p w14:paraId="4B87B76E" w14:textId="77777777" w:rsidR="004E22C1" w:rsidRPr="009D3012" w:rsidRDefault="004E22C1" w:rsidP="00D445D8">
            <w:pPr>
              <w:pStyle w:val="Tablebody"/>
              <w:keepNext/>
              <w:jc w:val="center"/>
            </w:pPr>
            <w:r w:rsidRPr="009D3012">
              <w:t>35</w:t>
            </w:r>
          </w:p>
        </w:tc>
      </w:tr>
      <w:tr w:rsidR="004E22C1" w:rsidRPr="001455DC" w14:paraId="6660AA65" w14:textId="77777777" w:rsidTr="00486ADF">
        <w:trPr>
          <w:trHeight w:val="59"/>
        </w:trPr>
        <w:tc>
          <w:tcPr>
            <w:tcW w:w="1097" w:type="dxa"/>
            <w:vAlign w:val="center"/>
          </w:tcPr>
          <w:p w14:paraId="5B48958B" w14:textId="77777777" w:rsidR="004E22C1" w:rsidRPr="001455DC" w:rsidRDefault="004E22C1" w:rsidP="00D445D8">
            <w:pPr>
              <w:pStyle w:val="Tablebody"/>
              <w:keepNext/>
              <w:jc w:val="center"/>
            </w:pPr>
            <w:r w:rsidRPr="001455DC">
              <w:t>28</w:t>
            </w:r>
          </w:p>
        </w:tc>
        <w:tc>
          <w:tcPr>
            <w:tcW w:w="881" w:type="dxa"/>
            <w:vAlign w:val="center"/>
          </w:tcPr>
          <w:p w14:paraId="0A9DE5E4" w14:textId="77777777" w:rsidR="004E22C1" w:rsidRPr="009D3012" w:rsidRDefault="004E22C1" w:rsidP="00D445D8">
            <w:pPr>
              <w:pStyle w:val="Tablebody"/>
              <w:keepNext/>
              <w:jc w:val="center"/>
            </w:pPr>
            <w:r w:rsidRPr="009D3012">
              <w:t>63</w:t>
            </w:r>
          </w:p>
        </w:tc>
        <w:tc>
          <w:tcPr>
            <w:tcW w:w="905" w:type="dxa"/>
            <w:vAlign w:val="center"/>
          </w:tcPr>
          <w:p w14:paraId="668920FC" w14:textId="77777777" w:rsidR="004E22C1" w:rsidRPr="009D3012" w:rsidRDefault="004E22C1" w:rsidP="00D445D8">
            <w:pPr>
              <w:pStyle w:val="Tablebody"/>
              <w:keepNext/>
              <w:jc w:val="center"/>
            </w:pPr>
            <w:r w:rsidRPr="009D3012">
              <w:t>56</w:t>
            </w:r>
          </w:p>
        </w:tc>
        <w:tc>
          <w:tcPr>
            <w:tcW w:w="905" w:type="dxa"/>
            <w:vAlign w:val="center"/>
          </w:tcPr>
          <w:p w14:paraId="35C3567D" w14:textId="77777777" w:rsidR="004E22C1" w:rsidRPr="009D3012" w:rsidRDefault="004E22C1" w:rsidP="00D445D8">
            <w:pPr>
              <w:pStyle w:val="Tablebody"/>
              <w:keepNext/>
              <w:jc w:val="center"/>
            </w:pPr>
            <w:r w:rsidRPr="009D3012">
              <w:t>51</w:t>
            </w:r>
          </w:p>
        </w:tc>
        <w:tc>
          <w:tcPr>
            <w:tcW w:w="881" w:type="dxa"/>
            <w:vAlign w:val="center"/>
          </w:tcPr>
          <w:p w14:paraId="21D9C551" w14:textId="77777777" w:rsidR="004E22C1" w:rsidRPr="009D3012" w:rsidRDefault="004E22C1" w:rsidP="00D445D8">
            <w:pPr>
              <w:pStyle w:val="Tablebody"/>
              <w:keepNext/>
              <w:jc w:val="center"/>
            </w:pPr>
            <w:r w:rsidRPr="009D3012">
              <w:t>47</w:t>
            </w:r>
          </w:p>
        </w:tc>
        <w:tc>
          <w:tcPr>
            <w:tcW w:w="881" w:type="dxa"/>
            <w:vAlign w:val="center"/>
          </w:tcPr>
          <w:p w14:paraId="3A7367FA" w14:textId="77777777" w:rsidR="004E22C1" w:rsidRPr="009D3012" w:rsidRDefault="004E22C1" w:rsidP="00D445D8">
            <w:pPr>
              <w:pStyle w:val="Tablebody"/>
              <w:keepNext/>
              <w:jc w:val="center"/>
            </w:pPr>
            <w:r w:rsidRPr="009D3012">
              <w:t>44</w:t>
            </w:r>
          </w:p>
        </w:tc>
        <w:tc>
          <w:tcPr>
            <w:tcW w:w="881" w:type="dxa"/>
            <w:vAlign w:val="center"/>
          </w:tcPr>
          <w:p w14:paraId="7868BA75" w14:textId="77777777" w:rsidR="004E22C1" w:rsidRPr="009D3012" w:rsidRDefault="004E22C1" w:rsidP="00D445D8">
            <w:pPr>
              <w:pStyle w:val="Tablebody"/>
              <w:keepNext/>
              <w:jc w:val="center"/>
            </w:pPr>
            <w:r w:rsidRPr="009D3012">
              <w:t>42</w:t>
            </w:r>
          </w:p>
        </w:tc>
        <w:tc>
          <w:tcPr>
            <w:tcW w:w="881" w:type="dxa"/>
            <w:vAlign w:val="center"/>
          </w:tcPr>
          <w:p w14:paraId="64C61622" w14:textId="77777777" w:rsidR="004E22C1" w:rsidRPr="009D3012" w:rsidRDefault="004E22C1" w:rsidP="00D445D8">
            <w:pPr>
              <w:pStyle w:val="Tablebody"/>
              <w:keepNext/>
              <w:jc w:val="center"/>
            </w:pPr>
            <w:r w:rsidRPr="009D3012">
              <w:t>40</w:t>
            </w:r>
          </w:p>
        </w:tc>
        <w:tc>
          <w:tcPr>
            <w:tcW w:w="905" w:type="dxa"/>
            <w:vAlign w:val="center"/>
          </w:tcPr>
          <w:p w14:paraId="1E4C0B78" w14:textId="77777777" w:rsidR="004E22C1" w:rsidRPr="009D3012" w:rsidRDefault="004E22C1" w:rsidP="00D445D8">
            <w:pPr>
              <w:pStyle w:val="Tablebody"/>
              <w:keepNext/>
              <w:jc w:val="center"/>
            </w:pPr>
            <w:r w:rsidRPr="009D3012">
              <w:t>36</w:t>
            </w:r>
          </w:p>
        </w:tc>
      </w:tr>
      <w:tr w:rsidR="004E22C1" w:rsidRPr="001455DC" w14:paraId="45A826F5" w14:textId="77777777" w:rsidTr="00486ADF">
        <w:trPr>
          <w:trHeight w:val="59"/>
        </w:trPr>
        <w:tc>
          <w:tcPr>
            <w:tcW w:w="1097" w:type="dxa"/>
            <w:vAlign w:val="center"/>
          </w:tcPr>
          <w:p w14:paraId="2575E08D" w14:textId="77777777" w:rsidR="004E22C1" w:rsidRPr="001455DC" w:rsidRDefault="004E22C1" w:rsidP="00D445D8">
            <w:pPr>
              <w:pStyle w:val="Tablebody"/>
              <w:keepNext/>
              <w:jc w:val="center"/>
            </w:pPr>
            <w:r w:rsidRPr="001455DC">
              <w:t>32</w:t>
            </w:r>
          </w:p>
        </w:tc>
        <w:tc>
          <w:tcPr>
            <w:tcW w:w="881" w:type="dxa"/>
            <w:vAlign w:val="center"/>
          </w:tcPr>
          <w:p w14:paraId="36343E5D" w14:textId="77777777" w:rsidR="004E22C1" w:rsidRPr="009D3012" w:rsidRDefault="004E22C1" w:rsidP="00D445D8">
            <w:pPr>
              <w:pStyle w:val="Tablebody"/>
              <w:keepNext/>
              <w:jc w:val="center"/>
            </w:pPr>
            <w:r w:rsidRPr="009D3012">
              <w:t>65</w:t>
            </w:r>
          </w:p>
        </w:tc>
        <w:tc>
          <w:tcPr>
            <w:tcW w:w="905" w:type="dxa"/>
            <w:vAlign w:val="center"/>
          </w:tcPr>
          <w:p w14:paraId="0D495805" w14:textId="77777777" w:rsidR="004E22C1" w:rsidRPr="009D3012" w:rsidRDefault="004E22C1" w:rsidP="00D445D8">
            <w:pPr>
              <w:pStyle w:val="Tablebody"/>
              <w:keepNext/>
              <w:jc w:val="center"/>
            </w:pPr>
            <w:r w:rsidRPr="009D3012">
              <w:t>58</w:t>
            </w:r>
          </w:p>
        </w:tc>
        <w:tc>
          <w:tcPr>
            <w:tcW w:w="905" w:type="dxa"/>
            <w:vAlign w:val="center"/>
          </w:tcPr>
          <w:p w14:paraId="51C27050" w14:textId="77777777" w:rsidR="004E22C1" w:rsidRPr="009D3012" w:rsidRDefault="004E22C1" w:rsidP="00D445D8">
            <w:pPr>
              <w:pStyle w:val="Tablebody"/>
              <w:keepNext/>
              <w:jc w:val="center"/>
            </w:pPr>
            <w:r w:rsidRPr="009D3012">
              <w:t>53</w:t>
            </w:r>
          </w:p>
        </w:tc>
        <w:tc>
          <w:tcPr>
            <w:tcW w:w="881" w:type="dxa"/>
            <w:vAlign w:val="center"/>
          </w:tcPr>
          <w:p w14:paraId="2B5B8541" w14:textId="77777777" w:rsidR="004E22C1" w:rsidRPr="009D3012" w:rsidRDefault="004E22C1" w:rsidP="00D445D8">
            <w:pPr>
              <w:pStyle w:val="Tablebody"/>
              <w:keepNext/>
              <w:jc w:val="center"/>
            </w:pPr>
            <w:r w:rsidRPr="009D3012">
              <w:t>49</w:t>
            </w:r>
          </w:p>
        </w:tc>
        <w:tc>
          <w:tcPr>
            <w:tcW w:w="881" w:type="dxa"/>
            <w:vAlign w:val="center"/>
          </w:tcPr>
          <w:p w14:paraId="7113E06F" w14:textId="77777777" w:rsidR="004E22C1" w:rsidRPr="009D3012" w:rsidRDefault="004E22C1" w:rsidP="00D445D8">
            <w:pPr>
              <w:pStyle w:val="Tablebody"/>
              <w:keepNext/>
              <w:jc w:val="center"/>
            </w:pPr>
            <w:r w:rsidRPr="009D3012">
              <w:t>46</w:t>
            </w:r>
          </w:p>
        </w:tc>
        <w:tc>
          <w:tcPr>
            <w:tcW w:w="881" w:type="dxa"/>
            <w:vAlign w:val="center"/>
          </w:tcPr>
          <w:p w14:paraId="2295E9A7" w14:textId="77777777" w:rsidR="004E22C1" w:rsidRPr="009D3012" w:rsidRDefault="004E22C1" w:rsidP="00D445D8">
            <w:pPr>
              <w:pStyle w:val="Tablebody"/>
              <w:keepNext/>
              <w:jc w:val="center"/>
            </w:pPr>
            <w:r w:rsidRPr="009D3012">
              <w:t>44</w:t>
            </w:r>
          </w:p>
        </w:tc>
        <w:tc>
          <w:tcPr>
            <w:tcW w:w="881" w:type="dxa"/>
            <w:vAlign w:val="center"/>
          </w:tcPr>
          <w:p w14:paraId="6C3171B9" w14:textId="77777777" w:rsidR="004E22C1" w:rsidRPr="009D3012" w:rsidRDefault="004E22C1" w:rsidP="00D445D8">
            <w:pPr>
              <w:pStyle w:val="Tablebody"/>
              <w:keepNext/>
              <w:jc w:val="center"/>
            </w:pPr>
            <w:r w:rsidRPr="009D3012">
              <w:t>41</w:t>
            </w:r>
          </w:p>
        </w:tc>
        <w:tc>
          <w:tcPr>
            <w:tcW w:w="905" w:type="dxa"/>
            <w:vAlign w:val="center"/>
          </w:tcPr>
          <w:p w14:paraId="3FE4C00A" w14:textId="77777777" w:rsidR="004E22C1" w:rsidRPr="009D3012" w:rsidRDefault="004E22C1" w:rsidP="00D445D8">
            <w:pPr>
              <w:pStyle w:val="Tablebody"/>
              <w:keepNext/>
              <w:jc w:val="center"/>
            </w:pPr>
            <w:r w:rsidRPr="009D3012">
              <w:t>38</w:t>
            </w:r>
          </w:p>
        </w:tc>
      </w:tr>
      <w:tr w:rsidR="004E22C1" w:rsidRPr="001455DC" w14:paraId="09685633" w14:textId="77777777" w:rsidTr="00486ADF">
        <w:trPr>
          <w:cnfStyle w:val="010000000000" w:firstRow="0" w:lastRow="1" w:firstColumn="0" w:lastColumn="0" w:oddVBand="0" w:evenVBand="0" w:oddHBand="0" w:evenHBand="0" w:firstRowFirstColumn="0" w:firstRowLastColumn="0" w:lastRowFirstColumn="0" w:lastRowLastColumn="0"/>
          <w:trHeight w:val="59"/>
        </w:trPr>
        <w:tc>
          <w:tcPr>
            <w:tcW w:w="8217" w:type="dxa"/>
            <w:gridSpan w:val="9"/>
          </w:tcPr>
          <w:p w14:paraId="5EEB7159" w14:textId="4462546E" w:rsidR="004E22C1" w:rsidRPr="009D3012" w:rsidRDefault="004E22C1" w:rsidP="00486ADF">
            <w:pPr>
              <w:pStyle w:val="Tablefooternote"/>
              <w:rPr>
                <w:lang w:val="en-US"/>
              </w:rPr>
            </w:pPr>
            <w:r w:rsidRPr="009D3012">
              <w:rPr>
                <w:lang w:val="en-US"/>
              </w:rPr>
              <w:t>NOTE</w:t>
            </w:r>
            <w:r w:rsidRPr="009D3012">
              <w:rPr>
                <w:lang w:val="en-US"/>
              </w:rPr>
              <w:tab/>
              <w:t xml:space="preserve">The values of table 11.1(NDP) are derived from Formula (11.2). This table is valid for </w:t>
            </w:r>
            <w:r w:rsidRPr="009D3012">
              <w:rPr>
                <w:rStyle w:val="CCMCvariableitalic"/>
                <w:lang w:val="en-US"/>
              </w:rPr>
              <w:t>c</w:t>
            </w:r>
            <w:r w:rsidRPr="009D3012">
              <w:rPr>
                <w:rStyle w:val="CCMCvariablesubscript"/>
                <w:lang w:val="en-US"/>
              </w:rPr>
              <w:t>d</w:t>
            </w:r>
            <w:r w:rsidRPr="009D3012">
              <w:rPr>
                <w:lang w:val="en-US"/>
              </w:rPr>
              <w:t> </w:t>
            </w:r>
            <w:r w:rsidR="00650035" w:rsidRPr="009D3012">
              <w:rPr>
                <w:rFonts w:ascii="Cambria Math" w:hAnsi="Cambria Math"/>
                <w:lang w:val="en-US"/>
              </w:rPr>
              <w:t>≥</w:t>
            </w:r>
            <w:r w:rsidR="00073FC6" w:rsidRPr="009D3012">
              <w:rPr>
                <w:lang w:val="en-US"/>
              </w:rPr>
              <w:t> </w:t>
            </w:r>
            <w:r w:rsidRPr="009D3012">
              <w:rPr>
                <w:lang w:val="en-US"/>
              </w:rPr>
              <w:t>1,5</w:t>
            </w:r>
            <w:r w:rsidRPr="001455DC">
              <w:rPr>
                <w:rStyle w:val="CCMCvariableitalic"/>
              </w:rPr>
              <w:t>ϕ</w:t>
            </w:r>
            <w:r w:rsidRPr="009D3012">
              <w:rPr>
                <w:lang w:val="en-US"/>
              </w:rPr>
              <w:t xml:space="preserve">; </w:t>
            </w:r>
            <w:r w:rsidRPr="001455DC">
              <w:rPr>
                <w:rStyle w:val="CCMCvariableitalic"/>
              </w:rPr>
              <w:t>σ</w:t>
            </w:r>
            <w:r w:rsidRPr="009D3012">
              <w:rPr>
                <w:rStyle w:val="CCMCvariablesubscript"/>
                <w:lang w:val="en-US"/>
              </w:rPr>
              <w:t>sd</w:t>
            </w:r>
            <w:r w:rsidRPr="009D3012">
              <w:rPr>
                <w:lang w:val="en-US"/>
              </w:rPr>
              <w:t> </w:t>
            </w:r>
            <w:r w:rsidR="00EC27D2" w:rsidRPr="009D3012">
              <w:rPr>
                <w:rFonts w:ascii="Cambria Math" w:hAnsi="Cambria Math"/>
                <w:lang w:val="en-US"/>
              </w:rPr>
              <w:t>=</w:t>
            </w:r>
            <w:r w:rsidRPr="009D3012">
              <w:rPr>
                <w:lang w:val="en-US"/>
              </w:rPr>
              <w:t xml:space="preserve"> 435 MPa and for bars in good bond conditions. For bars in poor bond conditions in concrete members the values should be multiplied by 1,2. For </w:t>
            </w:r>
            <w:r w:rsidRPr="001455DC">
              <w:rPr>
                <w:rStyle w:val="CCMCvariableitalic"/>
              </w:rPr>
              <w:t>σ</w:t>
            </w:r>
            <w:r w:rsidRPr="009D3012">
              <w:rPr>
                <w:rStyle w:val="CCMCvariablesubscript"/>
                <w:lang w:val="en-US"/>
              </w:rPr>
              <w:t>sd</w:t>
            </w:r>
            <w:r w:rsidRPr="009D3012">
              <w:rPr>
                <w:lang w:val="en-US"/>
              </w:rPr>
              <w:t> </w:t>
            </w:r>
            <w:r w:rsidR="00650035" w:rsidRPr="009D3012">
              <w:rPr>
                <w:rFonts w:ascii="Cambria Math" w:hAnsi="Cambria Math"/>
                <w:lang w:val="en-US"/>
              </w:rPr>
              <w:t>&lt;</w:t>
            </w:r>
            <w:r w:rsidRPr="009D3012">
              <w:rPr>
                <w:lang w:val="en-US"/>
              </w:rPr>
              <w:t> 435 MPa the values may be multiplied by (</w:t>
            </w:r>
            <w:r w:rsidRPr="001455DC">
              <w:rPr>
                <w:rStyle w:val="CCMCvariableitalic"/>
              </w:rPr>
              <w:t>σ</w:t>
            </w:r>
            <w:r w:rsidRPr="009D3012">
              <w:rPr>
                <w:rStyle w:val="CCMCvariablesubscript"/>
                <w:lang w:val="en-US"/>
              </w:rPr>
              <w:t>sd</w:t>
            </w:r>
            <w:r w:rsidRPr="009D3012">
              <w:rPr>
                <w:lang w:val="en-US"/>
              </w:rPr>
              <w:t xml:space="preserve">/435), but consider </w:t>
            </w:r>
            <w:r w:rsidRPr="009D3012">
              <w:rPr>
                <w:rStyle w:val="CCMCvariableitalic"/>
                <w:lang w:val="en-US"/>
              </w:rPr>
              <w:t>l</w:t>
            </w:r>
            <w:r w:rsidRPr="009D3012">
              <w:rPr>
                <w:rStyle w:val="CCMCvariablesubscript"/>
                <w:lang w:val="en-US"/>
              </w:rPr>
              <w:t>bd</w:t>
            </w:r>
            <w:r w:rsidRPr="009D3012">
              <w:rPr>
                <w:lang w:val="en-US"/>
              </w:rPr>
              <w:t>/</w:t>
            </w:r>
            <w:r w:rsidRPr="001455DC">
              <w:rPr>
                <w:rStyle w:val="CCMCvariableitalic"/>
              </w:rPr>
              <w:t>ϕ</w:t>
            </w:r>
            <w:r w:rsidRPr="009D3012">
              <w:rPr>
                <w:lang w:val="en-US"/>
              </w:rPr>
              <w:t> </w:t>
            </w:r>
            <w:r w:rsidR="00650035" w:rsidRPr="009D3012">
              <w:rPr>
                <w:rFonts w:ascii="Cambria Math" w:hAnsi="Cambria Math"/>
                <w:lang w:val="en-US"/>
              </w:rPr>
              <w:t>≥</w:t>
            </w:r>
            <w:r w:rsidR="00073FC6" w:rsidRPr="009D3012">
              <w:rPr>
                <w:lang w:val="en-US"/>
              </w:rPr>
              <w:t> </w:t>
            </w:r>
            <w:r w:rsidRPr="009D3012">
              <w:rPr>
                <w:lang w:val="en-US"/>
              </w:rPr>
              <w:t>10.</w:t>
            </w:r>
          </w:p>
        </w:tc>
      </w:tr>
    </w:tbl>
    <w:p w14:paraId="02BFA777" w14:textId="77777777" w:rsidR="004E22C1" w:rsidRPr="001455DC" w:rsidRDefault="004E22C1" w:rsidP="00D445D8">
      <w:pPr>
        <w:pStyle w:val="a7"/>
      </w:pPr>
    </w:p>
    <w:p w14:paraId="0D8837E8" w14:textId="45B5B772" w:rsidR="004E22C1" w:rsidRPr="001455DC" w:rsidRDefault="004E22C1" w:rsidP="00D445D8">
      <w:pPr>
        <w:pStyle w:val="a7"/>
      </w:pPr>
      <w:r w:rsidRPr="001455DC">
        <w:t>(3)</w:t>
      </w:r>
      <w:r w:rsidRPr="001455DC">
        <w:tab/>
        <w:t xml:space="preserve">In cases not complying with the limitations of Table 11.1(NDP), or for a more detailed calculation, the design anchorage length in tension </w:t>
      </w:r>
      <w:r w:rsidRPr="001455DC">
        <w:rPr>
          <w:rStyle w:val="CCMCvariableitalic"/>
        </w:rPr>
        <w:t>l</w:t>
      </w:r>
      <w:r w:rsidRPr="001455DC">
        <w:rPr>
          <w:rStyle w:val="CCMCvariablesubscript"/>
        </w:rPr>
        <w:t>bd</w:t>
      </w:r>
      <w:r w:rsidRPr="001455DC">
        <w:t xml:space="preserve"> should be calculated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D445D8" w:rsidRPr="001455DC" w14:paraId="188B1C46" w14:textId="77777777" w:rsidTr="00F33AE7">
        <w:trPr>
          <w:cantSplit/>
        </w:trPr>
        <w:tc>
          <w:tcPr>
            <w:tcW w:w="8505" w:type="dxa"/>
            <w:vAlign w:val="center"/>
          </w:tcPr>
          <w:p w14:paraId="134AC678" w14:textId="2369724E" w:rsidR="00D445D8" w:rsidRPr="001455DC" w:rsidRDefault="00231E33" w:rsidP="00F33AE7">
            <w:pPr>
              <w:pStyle w:val="Formula"/>
              <w:jc w:val="left"/>
            </w:pPr>
            <m:oMathPara>
              <m:oMathParaPr>
                <m:jc m:val="left"/>
              </m:oMathParaPr>
              <m:oMath>
                <m:sSub>
                  <m:sSubPr>
                    <m:ctrlPr>
                      <w:rPr>
                        <w:rFonts w:ascii="Cambria Math" w:hAnsi="Cambria Math"/>
                      </w:rPr>
                    </m:ctrlPr>
                  </m:sSubPr>
                  <m:e>
                    <m:r>
                      <w:rPr>
                        <w:rFonts w:ascii="Cambria Math" w:hAnsi="Cambria Math"/>
                      </w:rPr>
                      <m:t>l</m:t>
                    </m:r>
                  </m:e>
                  <m:sub>
                    <m:r>
                      <m:rPr>
                        <m:sty m:val="p"/>
                      </m:rPr>
                      <w:rPr>
                        <w:rFonts w:ascii="Cambria Math" w:hAnsi="Cambria Math"/>
                      </w:rPr>
                      <m:t>bd</m:t>
                    </m:r>
                  </m:sub>
                </m:sSub>
                <m: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lb</m:t>
                    </m:r>
                  </m:sub>
                </m:sSub>
                <m: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cp</m:t>
                    </m:r>
                  </m:sub>
                </m:sSub>
                <m:r>
                  <w:rPr>
                    <w:rFonts w:ascii="Cambria Math" w:hAnsi="Cambria Math"/>
                  </w:rPr>
                  <m:t>⋅ϕ⋅</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σ</m:t>
                                </m:r>
                              </m:e>
                              <m:sub>
                                <m:r>
                                  <m:rPr>
                                    <m:sty m:val="p"/>
                                  </m:rPr>
                                  <w:rPr>
                                    <w:rFonts w:ascii="Cambria Math" w:hAnsi="Cambria Math"/>
                                  </w:rPr>
                                  <m:t>sd</m:t>
                                </m:r>
                              </m:sub>
                            </m:sSub>
                          </m:num>
                          <m:den>
                            <m:r>
                              <w:rPr>
                                <w:rFonts w:ascii="Cambria Math" w:hAnsi="Cambria Math"/>
                              </w:rPr>
                              <m:t>435</m:t>
                            </m:r>
                          </m:den>
                        </m:f>
                      </m:e>
                    </m:d>
                  </m:e>
                  <m:sup>
                    <m:sSub>
                      <m:sSubPr>
                        <m:ctrlPr>
                          <w:rPr>
                            <w:rFonts w:ascii="Cambria Math" w:hAnsi="Cambria Math"/>
                          </w:rPr>
                        </m:ctrlPr>
                      </m:sSubPr>
                      <m:e>
                        <m:r>
                          <w:rPr>
                            <w:rFonts w:ascii="Cambria Math" w:hAnsi="Cambria Math"/>
                          </w:rPr>
                          <m:t>n</m:t>
                        </m:r>
                      </m:e>
                      <m:sub>
                        <m:r>
                          <m:rPr>
                            <m:sty m:val="p"/>
                          </m:rPr>
                          <w:rPr>
                            <w:rFonts w:ascii="Cambria Math" w:hAnsi="Cambria Math"/>
                          </w:rPr>
                          <m:t>σ</m:t>
                        </m:r>
                      </m:sub>
                    </m:sSub>
                  </m:sup>
                </m:sSup>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25</m:t>
                            </m:r>
                          </m:num>
                          <m:den>
                            <m:sSub>
                              <m:sSubPr>
                                <m:ctrlPr>
                                  <w:rPr>
                                    <w:rFonts w:ascii="Cambria Math" w:hAnsi="Cambria Math"/>
                                  </w:rPr>
                                </m:ctrlPr>
                              </m:sSubPr>
                              <m:e>
                                <m:r>
                                  <w:rPr>
                                    <w:rFonts w:ascii="Cambria Math" w:hAnsi="Cambria Math"/>
                                  </w:rPr>
                                  <m:t>f</m:t>
                                </m:r>
                              </m:e>
                              <m:sub>
                                <m:r>
                                  <m:rPr>
                                    <m:sty m:val="p"/>
                                  </m:rPr>
                                  <w:rPr>
                                    <w:rFonts w:ascii="Cambria Math" w:hAnsi="Cambria Math"/>
                                  </w:rPr>
                                  <m:t>ck</m:t>
                                </m:r>
                              </m:sub>
                            </m:sSub>
                          </m:den>
                        </m:f>
                      </m:e>
                    </m:d>
                  </m:e>
                  <m:sup>
                    <m:f>
                      <m:fPr>
                        <m:ctrlPr>
                          <w:rPr>
                            <w:rFonts w:ascii="Cambria Math" w:hAnsi="Cambria Math"/>
                          </w:rPr>
                        </m:ctrlPr>
                      </m:fPr>
                      <m:num>
                        <m:r>
                          <w:rPr>
                            <w:rFonts w:ascii="Cambria Math" w:hAnsi="Cambria Math"/>
                          </w:rPr>
                          <m:t>1</m:t>
                        </m:r>
                      </m:num>
                      <m:den>
                        <m:r>
                          <w:rPr>
                            <w:rFonts w:ascii="Cambria Math" w:hAnsi="Cambria Math"/>
                          </w:rPr>
                          <m:t>2</m:t>
                        </m:r>
                      </m:den>
                    </m:f>
                  </m:sup>
                </m:sSup>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ϕ</m:t>
                            </m:r>
                          </m:num>
                          <m:den>
                            <m:r>
                              <w:rPr>
                                <w:rFonts w:ascii="Cambria Math" w:hAnsi="Cambria Math"/>
                              </w:rPr>
                              <m:t>20</m:t>
                            </m:r>
                          </m:den>
                        </m:f>
                      </m:e>
                    </m:d>
                  </m:e>
                  <m:sup>
                    <m:f>
                      <m:fPr>
                        <m:ctrlPr>
                          <w:rPr>
                            <w:rFonts w:ascii="Cambria Math" w:hAnsi="Cambria Math"/>
                          </w:rPr>
                        </m:ctrlPr>
                      </m:fPr>
                      <m:num>
                        <m:r>
                          <w:rPr>
                            <w:rFonts w:ascii="Cambria Math" w:hAnsi="Cambria Math"/>
                          </w:rPr>
                          <m:t>1</m:t>
                        </m:r>
                      </m:num>
                      <m:den>
                        <m:r>
                          <w:rPr>
                            <w:rFonts w:ascii="Cambria Math" w:hAnsi="Cambria Math"/>
                          </w:rPr>
                          <m:t>3</m:t>
                        </m:r>
                      </m:den>
                    </m:f>
                  </m:sup>
                </m:sSup>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1,5ϕ</m:t>
                            </m:r>
                          </m:num>
                          <m:den>
                            <m:sSub>
                              <m:sSubPr>
                                <m:ctrlPr>
                                  <w:rPr>
                                    <w:rFonts w:ascii="Cambria Math" w:hAnsi="Cambria Math"/>
                                  </w:rPr>
                                </m:ctrlPr>
                              </m:sSubPr>
                              <m:e>
                                <m:r>
                                  <w:rPr>
                                    <w:rFonts w:ascii="Cambria Math" w:hAnsi="Cambria Math"/>
                                  </w:rPr>
                                  <m:t>c</m:t>
                                </m:r>
                              </m:e>
                              <m:sub>
                                <m:r>
                                  <w:rPr>
                                    <w:rFonts w:ascii="Cambria Math" w:hAnsi="Cambria Math"/>
                                  </w:rPr>
                                  <m:t>d</m:t>
                                </m:r>
                              </m:sub>
                            </m:sSub>
                          </m:den>
                        </m:f>
                      </m:e>
                    </m:d>
                  </m:e>
                  <m:sup>
                    <m:f>
                      <m:fPr>
                        <m:ctrlPr>
                          <w:rPr>
                            <w:rFonts w:ascii="Cambria Math" w:hAnsi="Cambria Math"/>
                          </w:rPr>
                        </m:ctrlPr>
                      </m:fPr>
                      <m:num>
                        <m:r>
                          <w:rPr>
                            <w:rFonts w:ascii="Cambria Math" w:hAnsi="Cambria Math"/>
                          </w:rPr>
                          <m:t>1</m:t>
                        </m:r>
                      </m:num>
                      <m:den>
                        <m:r>
                          <w:rPr>
                            <w:rFonts w:ascii="Cambria Math" w:hAnsi="Cambria Math"/>
                          </w:rPr>
                          <m:t>2</m:t>
                        </m:r>
                      </m:den>
                    </m:f>
                  </m:sup>
                </m:sSup>
                <m:r>
                  <w:rPr>
                    <w:rFonts w:ascii="Cambria Math" w:hAnsi="Cambria Math"/>
                  </w:rPr>
                  <m:t>≥10ϕ</m:t>
                </m:r>
              </m:oMath>
            </m:oMathPara>
          </w:p>
        </w:tc>
        <w:tc>
          <w:tcPr>
            <w:tcW w:w="1247" w:type="dxa"/>
            <w:vAlign w:val="center"/>
          </w:tcPr>
          <w:p w14:paraId="36ACA6E3" w14:textId="58F63196" w:rsidR="00D445D8" w:rsidRPr="001455DC" w:rsidRDefault="00D445D8" w:rsidP="00F33AE7">
            <w:pPr>
              <w:pStyle w:val="a7"/>
              <w:jc w:val="right"/>
            </w:pPr>
            <w:r w:rsidRPr="001455DC">
              <w:t>(11.2)</w:t>
            </w:r>
          </w:p>
        </w:tc>
      </w:tr>
    </w:tbl>
    <w:p w14:paraId="6090E4BE" w14:textId="77777777" w:rsidR="00D445D8" w:rsidRPr="001455DC" w:rsidRDefault="00D445D8" w:rsidP="00A35599">
      <w:pPr>
        <w:pStyle w:val="a7"/>
        <w:keepNext/>
      </w:pPr>
      <w:r w:rsidRPr="001455DC">
        <w:t>where</w:t>
      </w:r>
    </w:p>
    <w:tbl>
      <w:tblPr>
        <w:tblW w:w="9413" w:type="dxa"/>
        <w:tblInd w:w="397" w:type="dxa"/>
        <w:tblLayout w:type="fixed"/>
        <w:tblCellMar>
          <w:left w:w="28" w:type="dxa"/>
          <w:right w:w="28" w:type="dxa"/>
        </w:tblCellMar>
        <w:tblLook w:val="04A0" w:firstRow="1" w:lastRow="0" w:firstColumn="1" w:lastColumn="0" w:noHBand="0" w:noVBand="1"/>
      </w:tblPr>
      <w:tblGrid>
        <w:gridCol w:w="1021"/>
        <w:gridCol w:w="8392"/>
      </w:tblGrid>
      <w:tr w:rsidR="00D445D8" w:rsidRPr="001455DC" w14:paraId="16B51D68" w14:textId="77777777" w:rsidTr="00D445D8">
        <w:trPr>
          <w:cantSplit/>
        </w:trPr>
        <w:tc>
          <w:tcPr>
            <w:tcW w:w="1021" w:type="dxa"/>
          </w:tcPr>
          <w:p w14:paraId="31A43A0C" w14:textId="4E7E6546" w:rsidR="00D445D8" w:rsidRPr="001455DC" w:rsidRDefault="00D445D8" w:rsidP="0000442A">
            <w:pPr>
              <w:pStyle w:val="Tablebody"/>
            </w:pPr>
            <w:r w:rsidRPr="001455DC">
              <w:rPr>
                <w:rStyle w:val="CCMCvariableitalic"/>
              </w:rPr>
              <w:t>n</w:t>
            </w:r>
            <w:r w:rsidRPr="001455DC">
              <w:rPr>
                <w:rStyle w:val="CCMCvariablesubscript"/>
              </w:rPr>
              <w:t>σ</w:t>
            </w:r>
            <w:r w:rsidRPr="001455DC">
              <w:t> </w:t>
            </w:r>
            <w:r w:rsidR="00EC27D2" w:rsidRPr="001455DC">
              <w:rPr>
                <w:rFonts w:ascii="Cambria Math" w:hAnsi="Cambria Math"/>
              </w:rPr>
              <w:t>=</w:t>
            </w:r>
            <w:r w:rsidRPr="001455DC">
              <w:t> </w:t>
            </w:r>
            <w:r w:rsidRPr="001455DC">
              <w:rPr>
                <w:bCs/>
              </w:rPr>
              <w:t>1,0</w:t>
            </w:r>
          </w:p>
        </w:tc>
        <w:tc>
          <w:tcPr>
            <w:tcW w:w="8392" w:type="dxa"/>
          </w:tcPr>
          <w:p w14:paraId="04539CDB" w14:textId="2753330A" w:rsidR="00D445D8" w:rsidRPr="001455DC" w:rsidRDefault="00D445D8" w:rsidP="00BB1209">
            <w:pPr>
              <w:pStyle w:val="Tablebody"/>
            </w:pPr>
            <w:r w:rsidRPr="001455DC">
              <w:rPr>
                <w:bCs/>
              </w:rPr>
              <w:t xml:space="preserve">for </w:t>
            </w:r>
            <w:r w:rsidRPr="001455DC">
              <w:rPr>
                <w:rStyle w:val="CCMCvariableitalic"/>
              </w:rPr>
              <w:t>σ</w:t>
            </w:r>
            <w:r w:rsidRPr="001455DC">
              <w:rPr>
                <w:rStyle w:val="CCMCvariablesubscript"/>
              </w:rPr>
              <w:t>sd</w:t>
            </w:r>
            <w:r w:rsidRPr="001455DC">
              <w:rPr>
                <w:bCs/>
              </w:rPr>
              <w:t> </w:t>
            </w:r>
            <w:r w:rsidR="00650035" w:rsidRPr="001455DC">
              <w:rPr>
                <w:rFonts w:ascii="Cambria Math" w:hAnsi="Cambria Math"/>
                <w:bCs/>
              </w:rPr>
              <w:t>≤</w:t>
            </w:r>
            <w:r w:rsidRPr="001455DC">
              <w:rPr>
                <w:bCs/>
              </w:rPr>
              <w:t> 435 MPa,</w:t>
            </w:r>
          </w:p>
        </w:tc>
      </w:tr>
      <w:tr w:rsidR="00D445D8" w:rsidRPr="001455DC" w14:paraId="4C5723A7" w14:textId="77777777" w:rsidTr="00D445D8">
        <w:trPr>
          <w:cantSplit/>
        </w:trPr>
        <w:tc>
          <w:tcPr>
            <w:tcW w:w="1021" w:type="dxa"/>
          </w:tcPr>
          <w:p w14:paraId="3D35D9D3" w14:textId="376F438C" w:rsidR="00D445D8" w:rsidRPr="001455DC" w:rsidRDefault="00D445D8" w:rsidP="0000442A">
            <w:pPr>
              <w:pStyle w:val="Tablebody"/>
            </w:pPr>
            <w:r w:rsidRPr="001455DC">
              <w:rPr>
                <w:rStyle w:val="CCMCvariableitalic"/>
              </w:rPr>
              <w:t>n</w:t>
            </w:r>
            <w:r w:rsidRPr="001455DC">
              <w:rPr>
                <w:rStyle w:val="CCMCvariablesubscript"/>
              </w:rPr>
              <w:t>σ</w:t>
            </w:r>
            <w:r w:rsidRPr="001455DC">
              <w:t> </w:t>
            </w:r>
            <w:r w:rsidR="00EC27D2" w:rsidRPr="001455DC">
              <w:rPr>
                <w:rFonts w:ascii="Cambria Math" w:hAnsi="Cambria Math"/>
              </w:rPr>
              <w:t>=</w:t>
            </w:r>
            <w:r w:rsidRPr="001455DC">
              <w:t> </w:t>
            </w:r>
            <w:r w:rsidRPr="001455DC">
              <w:rPr>
                <w:bCs/>
              </w:rPr>
              <w:t>1,5</w:t>
            </w:r>
          </w:p>
        </w:tc>
        <w:tc>
          <w:tcPr>
            <w:tcW w:w="8392" w:type="dxa"/>
          </w:tcPr>
          <w:p w14:paraId="55F25296" w14:textId="7188DC98" w:rsidR="00D445D8" w:rsidRPr="001455DC" w:rsidRDefault="00D445D8" w:rsidP="0000442A">
            <w:pPr>
              <w:pStyle w:val="Tablebody"/>
            </w:pPr>
            <w:r w:rsidRPr="001455DC">
              <w:rPr>
                <w:bCs/>
              </w:rPr>
              <w:t xml:space="preserve">for </w:t>
            </w:r>
            <w:r w:rsidRPr="001455DC">
              <w:rPr>
                <w:rStyle w:val="CCMCvariableitalic"/>
              </w:rPr>
              <w:t>σ</w:t>
            </w:r>
            <w:r w:rsidRPr="001455DC">
              <w:rPr>
                <w:rStyle w:val="CCMCvariablesubscript"/>
              </w:rPr>
              <w:t>sd</w:t>
            </w:r>
            <w:r w:rsidRPr="001455DC">
              <w:rPr>
                <w:bCs/>
              </w:rPr>
              <w:t> </w:t>
            </w:r>
            <w:r w:rsidR="00650035" w:rsidRPr="001455DC">
              <w:rPr>
                <w:rFonts w:ascii="Cambria Math" w:hAnsi="Cambria Math"/>
                <w:bCs/>
              </w:rPr>
              <w:t>&gt;</w:t>
            </w:r>
            <w:r w:rsidRPr="001455DC">
              <w:rPr>
                <w:bCs/>
              </w:rPr>
              <w:t> 435 MPa;</w:t>
            </w:r>
          </w:p>
        </w:tc>
      </w:tr>
      <w:tr w:rsidR="00D445D8" w:rsidRPr="001455DC" w14:paraId="49CC79A8" w14:textId="77777777" w:rsidTr="00D445D8">
        <w:trPr>
          <w:cantSplit/>
        </w:trPr>
        <w:tc>
          <w:tcPr>
            <w:tcW w:w="1021" w:type="dxa"/>
          </w:tcPr>
          <w:p w14:paraId="45FF8B5E" w14:textId="77A5210F" w:rsidR="00D445D8" w:rsidRPr="001455DC" w:rsidRDefault="00D445D8" w:rsidP="00D86695">
            <w:pPr>
              <w:pStyle w:val="Tablebody"/>
            </w:pPr>
            <w:r w:rsidRPr="001455DC">
              <w:rPr>
                <w:rStyle w:val="CCMCvariableitalic"/>
              </w:rPr>
              <w:t>k</w:t>
            </w:r>
            <w:r w:rsidRPr="001455DC">
              <w:rPr>
                <w:rStyle w:val="CCMCvariablesubscript"/>
              </w:rPr>
              <w:t>cp</w:t>
            </w:r>
          </w:p>
        </w:tc>
        <w:tc>
          <w:tcPr>
            <w:tcW w:w="8392" w:type="dxa"/>
          </w:tcPr>
          <w:p w14:paraId="77927CD9" w14:textId="3171BD47" w:rsidR="00D445D8" w:rsidRPr="001455DC" w:rsidRDefault="00D445D8" w:rsidP="00D86695">
            <w:pPr>
              <w:pStyle w:val="Tablebody"/>
            </w:pPr>
            <w:r w:rsidRPr="001455DC">
              <w:t>coefficient accounting for casting effects on bond conditions:</w:t>
            </w:r>
          </w:p>
        </w:tc>
      </w:tr>
      <w:tr w:rsidR="00D445D8" w:rsidRPr="001455DC" w14:paraId="5517CD11" w14:textId="77777777" w:rsidTr="00D445D8">
        <w:trPr>
          <w:cantSplit/>
        </w:trPr>
        <w:tc>
          <w:tcPr>
            <w:tcW w:w="1021" w:type="dxa"/>
          </w:tcPr>
          <w:p w14:paraId="696F6A95" w14:textId="78121F0A" w:rsidR="00D445D8" w:rsidRPr="001455DC" w:rsidRDefault="00D445D8" w:rsidP="00EC27D2">
            <w:pPr>
              <w:pStyle w:val="Tablebody"/>
            </w:pPr>
            <w:r w:rsidRPr="001455DC">
              <w:t> </w:t>
            </w:r>
          </w:p>
        </w:tc>
        <w:tc>
          <w:tcPr>
            <w:tcW w:w="8392" w:type="dxa"/>
          </w:tcPr>
          <w:p w14:paraId="7258D607" w14:textId="23EA41A2" w:rsidR="00D445D8" w:rsidRPr="009D3012" w:rsidRDefault="00D445D8" w:rsidP="00D445D8">
            <w:pPr>
              <w:pStyle w:val="Tablebody"/>
              <w:ind w:left="357" w:hanging="357"/>
            </w:pPr>
            <w:r w:rsidRPr="001455DC">
              <w:t>—</w:t>
            </w:r>
            <w:r w:rsidRPr="001455DC">
              <w:tab/>
            </w:r>
            <w:r w:rsidRPr="001455DC">
              <w:rPr>
                <w:rStyle w:val="CCMCvariableitalic"/>
              </w:rPr>
              <w:t>k</w:t>
            </w:r>
            <w:r w:rsidRPr="001455DC">
              <w:rPr>
                <w:rStyle w:val="CCMCvariablesubscript"/>
              </w:rPr>
              <w:t>cp</w:t>
            </w:r>
            <w:r w:rsidRPr="001455DC">
              <w:t> </w:t>
            </w:r>
            <w:r w:rsidR="00EC27D2" w:rsidRPr="001455DC">
              <w:rPr>
                <w:rFonts w:ascii="Cambria Math" w:hAnsi="Cambria Math"/>
              </w:rPr>
              <w:t>=</w:t>
            </w:r>
            <w:r w:rsidRPr="001455DC">
              <w:t> 1,0 for bars with good bond conditions according to Figure 11.4;</w:t>
            </w:r>
          </w:p>
        </w:tc>
      </w:tr>
      <w:tr w:rsidR="00D445D8" w:rsidRPr="001455DC" w14:paraId="75F24196" w14:textId="77777777" w:rsidTr="00D445D8">
        <w:trPr>
          <w:cantSplit/>
        </w:trPr>
        <w:tc>
          <w:tcPr>
            <w:tcW w:w="1021" w:type="dxa"/>
          </w:tcPr>
          <w:p w14:paraId="190EC83B" w14:textId="71C82086" w:rsidR="00D445D8" w:rsidRPr="001455DC" w:rsidRDefault="00D445D8" w:rsidP="00EC27D2">
            <w:pPr>
              <w:pStyle w:val="Tablebody"/>
            </w:pPr>
            <w:r w:rsidRPr="001455DC">
              <w:t> </w:t>
            </w:r>
          </w:p>
        </w:tc>
        <w:tc>
          <w:tcPr>
            <w:tcW w:w="8392" w:type="dxa"/>
          </w:tcPr>
          <w:p w14:paraId="67244830" w14:textId="1A1AF158" w:rsidR="00D445D8" w:rsidRPr="009D3012" w:rsidRDefault="00D445D8" w:rsidP="00D445D8">
            <w:pPr>
              <w:pStyle w:val="Tablebody"/>
              <w:ind w:left="357" w:hanging="357"/>
            </w:pPr>
            <w:r w:rsidRPr="001455DC">
              <w:t>—</w:t>
            </w:r>
            <w:r w:rsidRPr="001455DC">
              <w:tab/>
            </w:r>
            <w:r w:rsidRPr="001455DC">
              <w:rPr>
                <w:rStyle w:val="CCMCvariableitalic"/>
              </w:rPr>
              <w:t>k</w:t>
            </w:r>
            <w:r w:rsidRPr="001455DC">
              <w:rPr>
                <w:rStyle w:val="CCMCvariablesubscript"/>
              </w:rPr>
              <w:t>cp</w:t>
            </w:r>
            <w:r w:rsidRPr="001455DC">
              <w:t> </w:t>
            </w:r>
            <w:r w:rsidR="00EC27D2" w:rsidRPr="001455DC">
              <w:rPr>
                <w:rFonts w:ascii="Cambria Math" w:hAnsi="Cambria Math"/>
              </w:rPr>
              <w:t>=</w:t>
            </w:r>
            <w:r w:rsidRPr="001455DC">
              <w:t> 1,2 for poor bond conditions and for all bars used in slipform construction unless it is shown that the vertical bars cannot move during casting;</w:t>
            </w:r>
          </w:p>
        </w:tc>
      </w:tr>
      <w:tr w:rsidR="00D445D8" w:rsidRPr="001455DC" w14:paraId="7ECACC9D" w14:textId="77777777" w:rsidTr="00D445D8">
        <w:trPr>
          <w:cantSplit/>
        </w:trPr>
        <w:tc>
          <w:tcPr>
            <w:tcW w:w="1021" w:type="dxa"/>
          </w:tcPr>
          <w:p w14:paraId="35815C70" w14:textId="0DDCB1B3" w:rsidR="00D445D8" w:rsidRPr="001455DC" w:rsidRDefault="00D445D8" w:rsidP="00EC27D2">
            <w:pPr>
              <w:pStyle w:val="Tablebody"/>
            </w:pPr>
            <w:r w:rsidRPr="001455DC">
              <w:t> </w:t>
            </w:r>
          </w:p>
        </w:tc>
        <w:tc>
          <w:tcPr>
            <w:tcW w:w="8392" w:type="dxa"/>
          </w:tcPr>
          <w:p w14:paraId="3EC3F640" w14:textId="7E3D0C38" w:rsidR="00D445D8" w:rsidRPr="009D3012" w:rsidRDefault="00D445D8" w:rsidP="00D445D8">
            <w:pPr>
              <w:pStyle w:val="Tablebody"/>
              <w:ind w:left="357" w:hanging="357"/>
            </w:pPr>
            <w:r w:rsidRPr="001455DC">
              <w:t>—</w:t>
            </w:r>
            <w:r w:rsidRPr="001455DC">
              <w:tab/>
            </w:r>
            <w:r w:rsidRPr="001455DC">
              <w:rPr>
                <w:rStyle w:val="CCMCvariableitalic"/>
              </w:rPr>
              <w:t>k</w:t>
            </w:r>
            <w:r w:rsidRPr="001455DC">
              <w:rPr>
                <w:rStyle w:val="CCMCvariablesubscript"/>
              </w:rPr>
              <w:t>cp</w:t>
            </w:r>
            <w:r w:rsidRPr="001455DC">
              <w:t> </w:t>
            </w:r>
            <w:r w:rsidR="00EC27D2" w:rsidRPr="001455DC">
              <w:rPr>
                <w:rFonts w:ascii="Cambria Math" w:hAnsi="Cambria Math"/>
              </w:rPr>
              <w:t>=</w:t>
            </w:r>
            <w:r w:rsidRPr="001455DC">
              <w:t> 1,4 for all bars executed under bentonite or similar slurries unless data is available for the specific slurry to be used.</w:t>
            </w:r>
          </w:p>
        </w:tc>
      </w:tr>
    </w:tbl>
    <w:p w14:paraId="55077646" w14:textId="77777777" w:rsidR="004E22C1" w:rsidRPr="001455DC" w:rsidRDefault="004E22C1" w:rsidP="00D445D8">
      <w:pPr>
        <w:pStyle w:val="Note"/>
        <w:keepNext/>
        <w:spacing w:after="60"/>
        <w:rPr>
          <w:bCs/>
        </w:rPr>
      </w:pPr>
      <w:r w:rsidRPr="001455DC">
        <w:t>NOTE</w:t>
      </w:r>
      <w:r w:rsidRPr="001455DC">
        <w:tab/>
        <w:t xml:space="preserve">The following values for </w:t>
      </w:r>
      <w:r w:rsidRPr="001455DC">
        <w:rPr>
          <w:rStyle w:val="CCMCvariableitalic"/>
        </w:rPr>
        <w:t>k</w:t>
      </w:r>
      <w:r w:rsidRPr="001455DC">
        <w:rPr>
          <w:rStyle w:val="CCMCvariablesubscript"/>
        </w:rPr>
        <w:t>lb</w:t>
      </w:r>
      <w:r w:rsidRPr="001455DC">
        <w:t xml:space="preserve"> apply, unless a National Annex gives different values:</w:t>
      </w:r>
    </w:p>
    <w:p w14:paraId="1A5132B9" w14:textId="4255CEEF" w:rsidR="004E22C1" w:rsidRPr="001455DC" w:rsidRDefault="004E22C1" w:rsidP="00D445D8">
      <w:pPr>
        <w:pStyle w:val="Note"/>
        <w:keepNext/>
        <w:spacing w:after="60"/>
      </w:pPr>
      <w:r w:rsidRPr="001455DC">
        <w:rPr>
          <w:rStyle w:val="CCMCvariableitalic"/>
        </w:rPr>
        <w:t>k</w:t>
      </w:r>
      <w:r w:rsidRPr="001455DC">
        <w:rPr>
          <w:rStyle w:val="CCMCvariablesubscript"/>
        </w:rPr>
        <w:t>lb</w:t>
      </w:r>
      <w:r w:rsidRPr="001455DC">
        <w:t> </w:t>
      </w:r>
      <w:r w:rsidR="00EC27D2" w:rsidRPr="001455DC">
        <w:rPr>
          <w:rFonts w:ascii="Cambria Math" w:hAnsi="Cambria Math"/>
        </w:rPr>
        <w:t>=</w:t>
      </w:r>
      <w:r w:rsidRPr="001455DC">
        <w:t> 50 for persistent and transient design situations, and</w:t>
      </w:r>
    </w:p>
    <w:p w14:paraId="3813AE23" w14:textId="561D2493" w:rsidR="004E22C1" w:rsidRPr="001455DC" w:rsidRDefault="004E22C1" w:rsidP="00D445D8">
      <w:pPr>
        <w:pStyle w:val="Note"/>
      </w:pPr>
      <w:r w:rsidRPr="001455DC">
        <w:rPr>
          <w:rStyle w:val="CCMCvariableitalic"/>
        </w:rPr>
        <w:t>k</w:t>
      </w:r>
      <w:r w:rsidRPr="001455DC">
        <w:rPr>
          <w:rStyle w:val="CCMCvariablesubscript"/>
        </w:rPr>
        <w:t>lb</w:t>
      </w:r>
      <w:r w:rsidRPr="001455DC">
        <w:t> </w:t>
      </w:r>
      <w:r w:rsidR="00EC27D2" w:rsidRPr="001455DC">
        <w:rPr>
          <w:rFonts w:ascii="Cambria Math" w:hAnsi="Cambria Math"/>
        </w:rPr>
        <w:t>=</w:t>
      </w:r>
      <w:r w:rsidRPr="001455DC">
        <w:t> 39 for accidental design situations.</w:t>
      </w:r>
    </w:p>
    <w:p w14:paraId="660C40C4" w14:textId="60FE1A6D" w:rsidR="004E22C1" w:rsidRPr="001455DC" w:rsidRDefault="004E22C1" w:rsidP="00D445D8">
      <w:pPr>
        <w:pStyle w:val="a7"/>
      </w:pPr>
      <w:r w:rsidRPr="001455DC">
        <w:t>Ratios in Formula (11.2) with bar diameter shall be limited as (</w:t>
      </w:r>
      <w:r w:rsidRPr="001455DC">
        <w:rPr>
          <w:rStyle w:val="CCMCvariableitalic"/>
        </w:rPr>
        <w:t>ϕ</w:t>
      </w:r>
      <w:r w:rsidRPr="001455DC">
        <w:t>/20 mm) </w:t>
      </w:r>
      <w:r w:rsidR="00650035" w:rsidRPr="001455DC">
        <w:rPr>
          <w:rFonts w:ascii="Cambria Math" w:hAnsi="Cambria Math"/>
        </w:rPr>
        <w:t>≥</w:t>
      </w:r>
      <w:r w:rsidR="00073FC6" w:rsidRPr="001455DC">
        <w:t> </w:t>
      </w:r>
      <w:r w:rsidRPr="001455DC">
        <w:t>0,6 and as (1,5</w:t>
      </w:r>
      <w:r w:rsidRPr="001455DC">
        <w:rPr>
          <w:rStyle w:val="CCMCvariableitalic"/>
        </w:rPr>
        <w:t>ϕ</w:t>
      </w:r>
      <w:r w:rsidRPr="001455DC">
        <w:t>/</w:t>
      </w:r>
      <w:r w:rsidRPr="001455DC">
        <w:rPr>
          <w:rStyle w:val="CCMCvariableitalic"/>
        </w:rPr>
        <w:t>c</w:t>
      </w:r>
      <w:r w:rsidRPr="001455DC">
        <w:rPr>
          <w:rStyle w:val="CCMCvariablesubscript"/>
        </w:rPr>
        <w:t>d</w:t>
      </w:r>
      <w:r w:rsidRPr="001455DC">
        <w:t>) </w:t>
      </w:r>
      <w:r w:rsidR="00650035" w:rsidRPr="001455DC">
        <w:rPr>
          <w:rFonts w:ascii="Cambria Math" w:hAnsi="Cambria Math"/>
        </w:rPr>
        <w:t>≥</w:t>
      </w:r>
      <w:r w:rsidR="00073FC6" w:rsidRPr="001455DC">
        <w:t> </w:t>
      </w:r>
      <w:r w:rsidRPr="001455DC">
        <w:t>0,4.</w:t>
      </w:r>
    </w:p>
    <w:p w14:paraId="7F1D870D" w14:textId="77777777" w:rsidR="004E22C1" w:rsidRPr="001455DC" w:rsidRDefault="004E22C1" w:rsidP="00E844D2">
      <w:pPr>
        <w:pStyle w:val="a7"/>
        <w:keepNext/>
      </w:pPr>
      <w:r w:rsidRPr="001455DC">
        <w:t>(4)</w:t>
      </w:r>
      <w:r w:rsidRPr="001455DC">
        <w:tab/>
        <w:t>Good bond conditions are defined as:</w:t>
      </w:r>
    </w:p>
    <w:p w14:paraId="2AD2F47C" w14:textId="6478A9D6" w:rsidR="004E22C1" w:rsidRPr="001455DC" w:rsidRDefault="004E22C1" w:rsidP="00082680">
      <w:pPr>
        <w:pStyle w:val="a0"/>
        <w:numPr>
          <w:ilvl w:val="0"/>
          <w:numId w:val="28"/>
        </w:numPr>
      </w:pPr>
      <w:r w:rsidRPr="001455DC">
        <w:t>bars with an inclination of 45° to 90° to the horizontal during concreting, and</w:t>
      </w:r>
    </w:p>
    <w:p w14:paraId="79FA0F23" w14:textId="1F6783A2" w:rsidR="004E22C1" w:rsidRPr="001455DC" w:rsidRDefault="004E22C1" w:rsidP="00082680">
      <w:pPr>
        <w:pStyle w:val="a0"/>
        <w:numPr>
          <w:ilvl w:val="0"/>
          <w:numId w:val="28"/>
        </w:numPr>
      </w:pPr>
      <w:r w:rsidRPr="001455DC">
        <w:t>bars with an inclination less than 45° to the horizontal which are up to 300 mm from the bottom of the formwork or at least 300 mm from the free surface during concreting.</w:t>
      </w:r>
    </w:p>
    <w:p w14:paraId="0923A69B" w14:textId="77777777" w:rsidR="004E22C1" w:rsidRPr="001455DC" w:rsidRDefault="004E22C1" w:rsidP="00D445D8">
      <w:pPr>
        <w:pStyle w:val="a7"/>
      </w:pPr>
      <w:r w:rsidRPr="001455DC">
        <w:t>Otherwise poor bond conditions should be assumed (see Figure 11.4).</w:t>
      </w:r>
    </w:p>
    <w:p w14:paraId="39300D29" w14:textId="5ED90754" w:rsidR="003F4B71" w:rsidRDefault="00723CF7" w:rsidP="003F4B71">
      <w:pPr>
        <w:pStyle w:val="KeyTitle"/>
        <w:jc w:val="center"/>
      </w:pPr>
      <w:r>
        <w:rPr>
          <w:noProof/>
          <w:lang w:eastAsia="en-GB"/>
        </w:rPr>
        <w:fldChar w:fldCharType="begin"/>
      </w:r>
      <w:r>
        <w:rPr>
          <w:noProof/>
          <w:lang w:eastAsia="en-GB"/>
        </w:rPr>
        <w:instrText xml:space="preserve"> INCLUDEPICTURE  "Y:\\STD_MGT\\STDDEL\\PRODUCTION\\etrans\\Download\\Z_FIRST_DEL\\SV\\00250\\00250269\\41_e_dr\\11_004.tif"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"Y:\\STD_MGT\\STDDEL\\PRODUCTION\\Standards\\00250\\269\\41_e_dr\\11_004.tif"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"Y:\\STD_MGT\\STDDEL\\PRODUCTION\\Standards\\00250\\269\\41_e_dr\\11_004.tif"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"Y:\\STD_MGT\\STDDEL\\PRODUCTION\\Standards\\00250\\269\\41_e_dr\\11_004.tif"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"Y:\\STD_MGT\\STDDEL\\PRODUCTION\\Standards\\00250\\269\\41_e_dr\\11_004.tif"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"Y:\\STD_MGT\\STDDEL\\PRODUCTION\\Standards\\00250\\269\\41_e_dr\\11_004.tif"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"C:\\Users\\a.dionysiou\\AppData\\Local\\Temp\\Temp1_00250269_e_20210902.zip.zip\\41_e_dr\\11_004.tif"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49179EF7">
          <v:shape id="_x0000_i1229" type="#_x0000_t75" style="width:244.5pt;height:80.25pt">
            <v:imagedata r:id="rId428" r:href="rId429"/>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62DAEF0E" w14:textId="59B61427" w:rsidR="00D445D8" w:rsidRPr="001455DC" w:rsidRDefault="00D445D8" w:rsidP="00DB201D">
      <w:pPr>
        <w:pStyle w:val="KeyTitle"/>
      </w:pPr>
      <w:r w:rsidRPr="001455DC">
        <w:t>Key</w:t>
      </w:r>
    </w:p>
    <w:tbl>
      <w:tblPr>
        <w:tblW w:w="9809" w:type="dxa"/>
        <w:tblLayout w:type="fixed"/>
        <w:tblCellMar>
          <w:left w:w="28" w:type="dxa"/>
          <w:right w:w="28" w:type="dxa"/>
        </w:tblCellMar>
        <w:tblLook w:val="0000" w:firstRow="0" w:lastRow="0" w:firstColumn="0" w:lastColumn="0" w:noHBand="0" w:noVBand="0"/>
      </w:tblPr>
      <w:tblGrid>
        <w:gridCol w:w="397"/>
        <w:gridCol w:w="9412"/>
      </w:tblGrid>
      <w:tr w:rsidR="00D445D8" w:rsidRPr="001455DC" w14:paraId="735E95A2" w14:textId="77777777" w:rsidTr="00F33AE7">
        <w:tc>
          <w:tcPr>
            <w:tcW w:w="397" w:type="dxa"/>
            <w:shd w:val="clear" w:color="auto" w:fill="auto"/>
          </w:tcPr>
          <w:p w14:paraId="0411D48A" w14:textId="5F4DDEC3" w:rsidR="00D445D8" w:rsidRPr="001455DC" w:rsidRDefault="003F4B71" w:rsidP="00D86695">
            <w:pPr>
              <w:pStyle w:val="KeyText"/>
              <w:tabs>
                <w:tab w:val="clear" w:pos="346"/>
              </w:tabs>
              <w:ind w:left="0" w:firstLine="0"/>
            </w:pPr>
            <w:r>
              <w:t>1</w:t>
            </w:r>
          </w:p>
        </w:tc>
        <w:tc>
          <w:tcPr>
            <w:tcW w:w="9412" w:type="dxa"/>
            <w:shd w:val="clear" w:color="auto" w:fill="auto"/>
          </w:tcPr>
          <w:p w14:paraId="3B136D8D" w14:textId="5B2E889B" w:rsidR="00D445D8" w:rsidRPr="001455DC" w:rsidRDefault="0079403C" w:rsidP="00D86695">
            <w:pPr>
              <w:pStyle w:val="KeyText"/>
              <w:tabs>
                <w:tab w:val="clear" w:pos="346"/>
              </w:tabs>
              <w:ind w:left="0" w:firstLine="0"/>
            </w:pPr>
            <w:r>
              <w:t>t</w:t>
            </w:r>
            <w:r w:rsidR="00D445D8" w:rsidRPr="001455DC">
              <w:t>op surface during concreting</w:t>
            </w:r>
          </w:p>
        </w:tc>
      </w:tr>
      <w:tr w:rsidR="00D445D8" w:rsidRPr="001455DC" w14:paraId="0928140C" w14:textId="77777777" w:rsidTr="00F33AE7">
        <w:tc>
          <w:tcPr>
            <w:tcW w:w="397" w:type="dxa"/>
            <w:shd w:val="clear" w:color="auto" w:fill="auto"/>
          </w:tcPr>
          <w:p w14:paraId="0E9F58C6" w14:textId="24E0B1FA" w:rsidR="00D445D8" w:rsidRPr="001455DC" w:rsidRDefault="003F4B71" w:rsidP="00D86695">
            <w:pPr>
              <w:pStyle w:val="KeyText"/>
              <w:tabs>
                <w:tab w:val="clear" w:pos="346"/>
              </w:tabs>
              <w:ind w:left="0" w:firstLine="0"/>
            </w:pPr>
            <w:r>
              <w:t>2</w:t>
            </w:r>
          </w:p>
        </w:tc>
        <w:tc>
          <w:tcPr>
            <w:tcW w:w="9412" w:type="dxa"/>
            <w:shd w:val="clear" w:color="auto" w:fill="auto"/>
          </w:tcPr>
          <w:p w14:paraId="121D4D38" w14:textId="3E55759D" w:rsidR="00D445D8" w:rsidRPr="001455DC" w:rsidRDefault="0079403C" w:rsidP="00D86695">
            <w:pPr>
              <w:pStyle w:val="KeyText"/>
              <w:tabs>
                <w:tab w:val="clear" w:pos="346"/>
              </w:tabs>
              <w:ind w:left="0" w:firstLine="0"/>
            </w:pPr>
            <w:r>
              <w:t>z</w:t>
            </w:r>
            <w:r w:rsidR="00D445D8" w:rsidRPr="001455DC">
              <w:t>one with poor bond conditions for bars with an inclination less than 45° to the horizontal</w:t>
            </w:r>
          </w:p>
        </w:tc>
      </w:tr>
      <w:tr w:rsidR="00D445D8" w:rsidRPr="001455DC" w14:paraId="7E46D1E3" w14:textId="77777777" w:rsidTr="00F33AE7">
        <w:tc>
          <w:tcPr>
            <w:tcW w:w="397" w:type="dxa"/>
            <w:shd w:val="clear" w:color="auto" w:fill="auto"/>
          </w:tcPr>
          <w:p w14:paraId="6498098F" w14:textId="5E93089B" w:rsidR="00D445D8" w:rsidRPr="001455DC" w:rsidRDefault="003F4B71" w:rsidP="00D86695">
            <w:pPr>
              <w:pStyle w:val="KeyText"/>
              <w:tabs>
                <w:tab w:val="clear" w:pos="346"/>
              </w:tabs>
              <w:ind w:left="0" w:firstLine="0"/>
            </w:pPr>
            <w:r>
              <w:t>3</w:t>
            </w:r>
          </w:p>
        </w:tc>
        <w:tc>
          <w:tcPr>
            <w:tcW w:w="9412" w:type="dxa"/>
            <w:shd w:val="clear" w:color="auto" w:fill="auto"/>
          </w:tcPr>
          <w:p w14:paraId="37B38D77" w14:textId="2E4500E6" w:rsidR="00D445D8" w:rsidRPr="001455DC" w:rsidRDefault="0079403C" w:rsidP="00D86695">
            <w:pPr>
              <w:pStyle w:val="KeyText"/>
              <w:tabs>
                <w:tab w:val="clear" w:pos="346"/>
              </w:tabs>
              <w:ind w:left="0" w:firstLine="0"/>
            </w:pPr>
            <w:r>
              <w:t>z</w:t>
            </w:r>
            <w:r w:rsidR="00D445D8" w:rsidRPr="001455DC">
              <w:t>one with good bond conditions</w:t>
            </w:r>
          </w:p>
        </w:tc>
      </w:tr>
    </w:tbl>
    <w:p w14:paraId="6E78C8B0" w14:textId="77777777" w:rsidR="004E22C1" w:rsidRPr="001455DC" w:rsidRDefault="004E22C1" w:rsidP="00D445D8">
      <w:pPr>
        <w:pStyle w:val="Figuretitle"/>
      </w:pPr>
      <w:r w:rsidRPr="001455DC">
        <w:t>Figure 11.4 — Description of bond conditions as a function of member depth</w:t>
      </w:r>
    </w:p>
    <w:p w14:paraId="2AB800E0" w14:textId="59465110" w:rsidR="004E22C1" w:rsidRPr="001455DC" w:rsidRDefault="004E22C1" w:rsidP="00E844D2">
      <w:pPr>
        <w:pStyle w:val="a7"/>
        <w:keepNext/>
      </w:pPr>
      <w:r w:rsidRPr="001455DC">
        <w:t>(5)</w:t>
      </w:r>
      <w:r w:rsidRPr="001455DC">
        <w:tab/>
        <w:t xml:space="preserve">In presence of confinement reinforcement (Figure 11.5a)) or of transverse reinforcement arranged between the bar to be anchored and the free surface (Figure 11.5b)) or/and of external pressure (Figure 11.5c)), the design anchorage length may be reduced by replacing parameter </w:t>
      </w:r>
      <w:r w:rsidRPr="001455DC">
        <w:rPr>
          <w:rStyle w:val="CCMCvariableitalic"/>
        </w:rPr>
        <w:t>c</w:t>
      </w:r>
      <w:r w:rsidRPr="001455DC">
        <w:rPr>
          <w:rStyle w:val="CCMCvariablesubscript"/>
        </w:rPr>
        <w:t>d</w:t>
      </w:r>
      <w:r w:rsidRPr="001455DC">
        <w:t xml:space="preserve"> in Formula (11.4) by:</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D445D8" w:rsidRPr="001455DC" w14:paraId="353FF5E3" w14:textId="77777777" w:rsidTr="00F33AE7">
        <w:trPr>
          <w:cantSplit/>
        </w:trPr>
        <w:tc>
          <w:tcPr>
            <w:tcW w:w="8505" w:type="dxa"/>
            <w:vAlign w:val="center"/>
          </w:tcPr>
          <w:p w14:paraId="1319C2A2" w14:textId="72A37607" w:rsidR="00D445D8" w:rsidRPr="001455DC" w:rsidRDefault="00231E33" w:rsidP="00F33AE7">
            <w:pPr>
              <w:pStyle w:val="Formula"/>
              <w:jc w:val="left"/>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d,conf</m:t>
                    </m:r>
                  </m:sub>
                </m:sSub>
                <m: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d</m:t>
                    </m:r>
                  </m:sub>
                </m:sSub>
                <m:r>
                  <w:rPr>
                    <w:rFonts w:ascii="Cambria Math" w:hAnsi="Cambria Math"/>
                  </w:rPr>
                  <m:t>+</m:t>
                </m:r>
                <m:d>
                  <m:dPr>
                    <m:ctrlPr>
                      <w:rPr>
                        <w:rFonts w:ascii="Cambria Math" w:hAnsi="Cambria Math"/>
                      </w:rPr>
                    </m:ctrlPr>
                  </m:dPr>
                  <m:e>
                    <m:r>
                      <w:rPr>
                        <w:rFonts w:ascii="Cambria Math" w:hAnsi="Cambria Math"/>
                      </w:rPr>
                      <m:t>30</m:t>
                    </m:r>
                    <m:sSub>
                      <m:sSubPr>
                        <m:ctrlPr>
                          <w:rPr>
                            <w:rFonts w:ascii="Cambria Math" w:hAnsi="Cambria Math"/>
                          </w:rPr>
                        </m:ctrlPr>
                      </m:sSubPr>
                      <m:e>
                        <m:r>
                          <w:rPr>
                            <w:rFonts w:ascii="Cambria Math" w:hAnsi="Cambria Math"/>
                          </w:rPr>
                          <m:t>k</m:t>
                        </m:r>
                      </m:e>
                      <m:sub>
                        <m:r>
                          <m:rPr>
                            <m:sty m:val="p"/>
                          </m:rPr>
                          <w:rPr>
                            <w:rFonts w:ascii="Cambria Math" w:hAnsi="Cambria Math"/>
                          </w:rPr>
                          <m:t>conf</m:t>
                        </m:r>
                      </m:sub>
                    </m:sSub>
                    <m:r>
                      <w:rPr>
                        <w:rFonts w:ascii="Cambria Math" w:hAnsi="Cambria Math"/>
                      </w:rPr>
                      <m:t>⋅</m:t>
                    </m:r>
                    <m:sSub>
                      <m:sSubPr>
                        <m:ctrlPr>
                          <w:rPr>
                            <w:rFonts w:ascii="Cambria Math" w:hAnsi="Cambria Math"/>
                          </w:rPr>
                        </m:ctrlPr>
                      </m:sSubPr>
                      <m:e>
                        <m:r>
                          <w:rPr>
                            <w:rFonts w:ascii="Cambria Math" w:hAnsi="Cambria Math"/>
                          </w:rPr>
                          <m:t>ρ</m:t>
                        </m:r>
                      </m:e>
                      <m:sub>
                        <m:r>
                          <m:rPr>
                            <m:sty m:val="p"/>
                          </m:rPr>
                          <w:rPr>
                            <w:rFonts w:ascii="Cambria Math" w:hAnsi="Cambria Math"/>
                          </w:rPr>
                          <m:t>conf</m:t>
                        </m:r>
                      </m:sub>
                    </m:sSub>
                    <m:r>
                      <w:rPr>
                        <w:rFonts w:ascii="Cambria Math" w:hAnsi="Cambria Math"/>
                      </w:rPr>
                      <m:t>+</m:t>
                    </m:r>
                    <m:f>
                      <m:fPr>
                        <m:ctrlPr>
                          <w:rPr>
                            <w:rFonts w:ascii="Cambria Math" w:hAnsi="Cambria Math"/>
                          </w:rPr>
                        </m:ctrlPr>
                      </m:fPr>
                      <m:num>
                        <m:r>
                          <w:rPr>
                            <w:rFonts w:ascii="Cambria Math" w:hAnsi="Cambria Math"/>
                          </w:rPr>
                          <m:t>8⋅</m:t>
                        </m:r>
                        <m:sSub>
                          <m:sSubPr>
                            <m:ctrlPr>
                              <w:rPr>
                                <w:rFonts w:ascii="Cambria Math" w:hAnsi="Cambria Math"/>
                              </w:rPr>
                            </m:ctrlPr>
                          </m:sSubPr>
                          <m:e>
                            <m:r>
                              <w:rPr>
                                <w:rFonts w:ascii="Cambria Math" w:hAnsi="Cambria Math"/>
                              </w:rPr>
                              <m:t>σ</m:t>
                            </m:r>
                          </m:e>
                          <m:sub>
                            <m:r>
                              <m:rPr>
                                <m:sty m:val="p"/>
                              </m:rPr>
                              <w:rPr>
                                <w:rFonts w:ascii="Cambria Math" w:hAnsi="Cambria Math"/>
                              </w:rPr>
                              <m:t>ctd</m:t>
                            </m:r>
                          </m:sub>
                        </m:sSub>
                      </m:num>
                      <m:den>
                        <m:rad>
                          <m:radPr>
                            <m:degHide m:val="1"/>
                            <m:ctrlPr>
                              <w:rPr>
                                <w:rFonts w:ascii="Cambria Math" w:hAnsi="Cambria Math"/>
                              </w:rPr>
                            </m:ctrlPr>
                          </m:radPr>
                          <m:deg/>
                          <m:e>
                            <m:sSub>
                              <m:sSubPr>
                                <m:ctrlPr>
                                  <w:rPr>
                                    <w:rFonts w:ascii="Cambria Math" w:hAnsi="Cambria Math"/>
                                  </w:rPr>
                                </m:ctrlPr>
                              </m:sSubPr>
                              <m:e>
                                <m:r>
                                  <w:rPr>
                                    <w:rFonts w:ascii="Cambria Math" w:hAnsi="Cambria Math"/>
                                  </w:rPr>
                                  <m:t>f</m:t>
                                </m:r>
                              </m:e>
                              <m:sub>
                                <m:r>
                                  <m:rPr>
                                    <m:sty m:val="p"/>
                                  </m:rPr>
                                  <w:rPr>
                                    <w:rFonts w:ascii="Cambria Math" w:hAnsi="Cambria Math"/>
                                  </w:rPr>
                                  <m:t>ck</m:t>
                                </m:r>
                              </m:sub>
                            </m:sSub>
                          </m:e>
                        </m:rad>
                      </m:den>
                    </m:f>
                  </m:e>
                </m:d>
                <m:r>
                  <w:rPr>
                    <w:rFonts w:ascii="Cambria Math" w:hAnsi="Cambria Math"/>
                  </w:rPr>
                  <m:t>⋅ϕ≤3,75ϕ</m:t>
                </m:r>
              </m:oMath>
            </m:oMathPara>
          </w:p>
        </w:tc>
        <w:tc>
          <w:tcPr>
            <w:tcW w:w="1247" w:type="dxa"/>
            <w:vAlign w:val="center"/>
          </w:tcPr>
          <w:p w14:paraId="5E4C6EB5" w14:textId="16905F15" w:rsidR="00D445D8" w:rsidRPr="001455DC" w:rsidRDefault="00D445D8" w:rsidP="00F33AE7">
            <w:pPr>
              <w:pStyle w:val="a7"/>
              <w:jc w:val="right"/>
            </w:pPr>
            <w:r w:rsidRPr="001455DC">
              <w:t>(11.3)</w:t>
            </w:r>
          </w:p>
        </w:tc>
      </w:tr>
    </w:tbl>
    <w:p w14:paraId="58E4200C" w14:textId="77777777" w:rsidR="00F33AE7" w:rsidRPr="001455DC" w:rsidRDefault="00F33AE7" w:rsidP="00A35599">
      <w:pPr>
        <w:pStyle w:val="a7"/>
        <w:keepNext/>
      </w:pPr>
      <w:r w:rsidRPr="001455DC">
        <w:t>where</w:t>
      </w:r>
    </w:p>
    <w:tbl>
      <w:tblPr>
        <w:tblW w:w="9413" w:type="dxa"/>
        <w:tblInd w:w="397" w:type="dxa"/>
        <w:tblLayout w:type="fixed"/>
        <w:tblCellMar>
          <w:left w:w="28" w:type="dxa"/>
          <w:right w:w="28" w:type="dxa"/>
        </w:tblCellMar>
        <w:tblLook w:val="04A0" w:firstRow="1" w:lastRow="0" w:firstColumn="1" w:lastColumn="0" w:noHBand="0" w:noVBand="1"/>
      </w:tblPr>
      <w:tblGrid>
        <w:gridCol w:w="851"/>
        <w:gridCol w:w="7314"/>
        <w:gridCol w:w="1248"/>
      </w:tblGrid>
      <w:tr w:rsidR="00F33AE7" w:rsidRPr="001455DC" w14:paraId="183C43FB" w14:textId="77777777" w:rsidTr="00F33AE7">
        <w:trPr>
          <w:cantSplit/>
        </w:trPr>
        <w:tc>
          <w:tcPr>
            <w:tcW w:w="851" w:type="dxa"/>
          </w:tcPr>
          <w:p w14:paraId="42AE3F4E" w14:textId="14986F9D" w:rsidR="00F33AE7" w:rsidRPr="001455DC" w:rsidRDefault="00F33AE7" w:rsidP="0000442A">
            <w:pPr>
              <w:pStyle w:val="Tablebody"/>
            </w:pPr>
            <w:r w:rsidRPr="001455DC">
              <w:rPr>
                <w:rStyle w:val="CCMCvariableitalic"/>
              </w:rPr>
              <w:t>ρ</w:t>
            </w:r>
            <w:r w:rsidRPr="001455DC">
              <w:rPr>
                <w:rStyle w:val="CCMCvariablesubscript"/>
              </w:rPr>
              <w:t>conf</w:t>
            </w:r>
          </w:p>
        </w:tc>
        <w:tc>
          <w:tcPr>
            <w:tcW w:w="8562" w:type="dxa"/>
            <w:gridSpan w:val="2"/>
          </w:tcPr>
          <w:p w14:paraId="31BF7019" w14:textId="0758CCDE" w:rsidR="00F33AE7" w:rsidRPr="001455DC" w:rsidRDefault="00F33AE7" w:rsidP="00BB1209">
            <w:pPr>
              <w:pStyle w:val="Tablebody"/>
            </w:pPr>
            <w:r w:rsidRPr="001455DC">
              <w:t>is the ratio of the reinforcement providing confinement referred to the diameter</w:t>
            </w:r>
            <w:r w:rsidRPr="001455DC">
              <w:tab/>
              <w:t>of the bar to be anchored or spliced:</w:t>
            </w:r>
          </w:p>
        </w:tc>
      </w:tr>
      <w:tr w:rsidR="00F33AE7" w:rsidRPr="001455DC" w14:paraId="392A5AD4" w14:textId="77777777" w:rsidTr="00F33AE7">
        <w:trPr>
          <w:cantSplit/>
        </w:trPr>
        <w:tc>
          <w:tcPr>
            <w:tcW w:w="851" w:type="dxa"/>
          </w:tcPr>
          <w:p w14:paraId="5B089FF1" w14:textId="3708569F" w:rsidR="00F33AE7" w:rsidRPr="001455DC" w:rsidRDefault="00F33AE7" w:rsidP="0000442A">
            <w:pPr>
              <w:pStyle w:val="Tablebody"/>
            </w:pPr>
            <w:r w:rsidRPr="001455DC">
              <w:t> </w:t>
            </w:r>
          </w:p>
        </w:tc>
        <w:tc>
          <w:tcPr>
            <w:tcW w:w="7314" w:type="dxa"/>
            <w:vAlign w:val="center"/>
          </w:tcPr>
          <w:p w14:paraId="7FC42458" w14:textId="16D800ED" w:rsidR="00F33AE7" w:rsidRPr="001455DC" w:rsidRDefault="00231E33" w:rsidP="00F33AE7">
            <w:pPr>
              <w:pStyle w:val="Tablebody"/>
              <w:jc w:val="left"/>
            </w:pPr>
            <m:oMathPara>
              <m:oMathParaPr>
                <m:jc m:val="left"/>
              </m:oMathParaPr>
              <m:oMath>
                <m:sSub>
                  <m:sSubPr>
                    <m:ctrlPr>
                      <w:rPr>
                        <w:rFonts w:ascii="Cambria Math" w:hAnsi="Cambria Math"/>
                      </w:rPr>
                    </m:ctrlPr>
                  </m:sSubPr>
                  <m:e>
                    <m:r>
                      <w:rPr>
                        <w:rFonts w:ascii="Cambria Math" w:hAnsi="Cambria Math"/>
                      </w:rPr>
                      <m:t>ρ</m:t>
                    </m:r>
                  </m:e>
                  <m:sub>
                    <m:r>
                      <m:rPr>
                        <m:sty m:val="p"/>
                      </m:rPr>
                      <w:rPr>
                        <w:rFonts w:ascii="Cambria Math" w:hAnsi="Cambria Math"/>
                      </w:rPr>
                      <m:t>conf</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t</m:t>
                        </m:r>
                      </m:sub>
                    </m:sSub>
                    <m:r>
                      <w:rPr>
                        <w:rFonts w:ascii="Cambria Math" w:hAnsi="Cambria Math"/>
                      </w:rPr>
                      <m:t>⋅</m:t>
                    </m:r>
                    <m:r>
                      <m:rPr>
                        <m:sty m:val="p"/>
                      </m:rPr>
                      <w:rPr>
                        <w:rFonts w:ascii="Cambria Math" w:hAnsi="Cambria Math"/>
                      </w:rPr>
                      <m:t>π</m:t>
                    </m:r>
                    <m:r>
                      <w:rPr>
                        <w:rFonts w:ascii="Cambria Math" w:hAnsi="Cambria Math"/>
                      </w:rPr>
                      <m:t>⋅</m:t>
                    </m:r>
                    <m:sSubSup>
                      <m:sSubSupPr>
                        <m:ctrlPr>
                          <w:rPr>
                            <w:rFonts w:ascii="Cambria Math" w:hAnsi="Cambria Math"/>
                          </w:rPr>
                        </m:ctrlPr>
                      </m:sSubSupPr>
                      <m:e>
                        <m:r>
                          <w:rPr>
                            <w:rFonts w:ascii="Cambria Math" w:hAnsi="Cambria Math"/>
                          </w:rPr>
                          <m:t>ϕ</m:t>
                        </m:r>
                      </m:e>
                      <m:sub>
                        <m:r>
                          <m:rPr>
                            <m:sty m:val="p"/>
                          </m:rPr>
                          <w:rPr>
                            <w:rFonts w:ascii="Cambria Math" w:hAnsi="Cambria Math"/>
                          </w:rPr>
                          <m:t>t</m:t>
                        </m:r>
                      </m:sub>
                      <m:sup>
                        <m:r>
                          <w:rPr>
                            <w:rFonts w:ascii="Cambria Math" w:hAnsi="Cambria Math"/>
                          </w:rPr>
                          <m:t>2</m:t>
                        </m:r>
                      </m:sup>
                    </m:sSubSup>
                  </m:num>
                  <m:den>
                    <m:r>
                      <w:rPr>
                        <w:rFonts w:ascii="Cambria Math" w:hAnsi="Cambria Math"/>
                      </w:rPr>
                      <m:t>4⋅</m:t>
                    </m:r>
                    <m:sSub>
                      <m:sSubPr>
                        <m:ctrlPr>
                          <w:rPr>
                            <w:rFonts w:ascii="Cambria Math" w:hAnsi="Cambria Math"/>
                          </w:rPr>
                        </m:ctrlPr>
                      </m:sSubPr>
                      <m:e>
                        <m:r>
                          <w:rPr>
                            <w:rFonts w:ascii="Cambria Math" w:hAnsi="Cambria Math"/>
                          </w:rPr>
                          <m:t>n</m:t>
                        </m:r>
                      </m:e>
                      <m:sub>
                        <m:r>
                          <m:rPr>
                            <m:sty m:val="p"/>
                          </m:rPr>
                          <w:rPr>
                            <w:rFonts w:ascii="Cambria Math" w:hAnsi="Cambria Math"/>
                          </w:rPr>
                          <m:t>b</m:t>
                        </m:r>
                      </m:sub>
                    </m:sSub>
                    <m:r>
                      <w:rPr>
                        <w:rFonts w:ascii="Cambria Math" w:hAnsi="Cambria Math"/>
                      </w:rPr>
                      <m:t>⋅ϕ⋅s</m:t>
                    </m:r>
                  </m:den>
                </m:f>
              </m:oMath>
            </m:oMathPara>
          </w:p>
        </w:tc>
        <w:tc>
          <w:tcPr>
            <w:tcW w:w="1247" w:type="dxa"/>
            <w:vAlign w:val="center"/>
          </w:tcPr>
          <w:p w14:paraId="74ECBD62" w14:textId="545341DB" w:rsidR="00F33AE7" w:rsidRPr="001455DC" w:rsidRDefault="00F33AE7" w:rsidP="00F33AE7">
            <w:pPr>
              <w:pStyle w:val="Tablebody"/>
              <w:jc w:val="right"/>
            </w:pPr>
            <w:r w:rsidRPr="001455DC">
              <w:t>(11.4)</w:t>
            </w:r>
          </w:p>
        </w:tc>
      </w:tr>
      <w:tr w:rsidR="00F33AE7" w:rsidRPr="001455DC" w14:paraId="18C530E2" w14:textId="77777777" w:rsidTr="00F33AE7">
        <w:trPr>
          <w:cantSplit/>
        </w:trPr>
        <w:tc>
          <w:tcPr>
            <w:tcW w:w="851" w:type="dxa"/>
          </w:tcPr>
          <w:p w14:paraId="28EB452B" w14:textId="0F3516BB" w:rsidR="00F33AE7" w:rsidRPr="001455DC" w:rsidRDefault="00F33AE7" w:rsidP="00D86695">
            <w:pPr>
              <w:pStyle w:val="Tablebody"/>
            </w:pPr>
            <w:r w:rsidRPr="001455DC">
              <w:rPr>
                <w:rStyle w:val="CCMCvariableitalic"/>
              </w:rPr>
              <w:t>ϕ</w:t>
            </w:r>
          </w:p>
        </w:tc>
        <w:tc>
          <w:tcPr>
            <w:tcW w:w="8562" w:type="dxa"/>
            <w:gridSpan w:val="2"/>
          </w:tcPr>
          <w:p w14:paraId="64C94767" w14:textId="59479BA9" w:rsidR="00F33AE7" w:rsidRPr="001455DC" w:rsidRDefault="00F33AE7" w:rsidP="00D86695">
            <w:pPr>
              <w:pStyle w:val="Tablebody"/>
            </w:pPr>
            <w:r w:rsidRPr="001455DC">
              <w:t>is the diameter of the bar to be anchored or spliced;</w:t>
            </w:r>
          </w:p>
        </w:tc>
      </w:tr>
      <w:tr w:rsidR="00F33AE7" w:rsidRPr="001455DC" w14:paraId="23B4EA76" w14:textId="77777777" w:rsidTr="00F33AE7">
        <w:trPr>
          <w:cantSplit/>
        </w:trPr>
        <w:tc>
          <w:tcPr>
            <w:tcW w:w="851" w:type="dxa"/>
          </w:tcPr>
          <w:p w14:paraId="4BAB5D16" w14:textId="5F9301D3" w:rsidR="00F33AE7" w:rsidRPr="001455DC" w:rsidRDefault="00F33AE7" w:rsidP="00D86695">
            <w:pPr>
              <w:pStyle w:val="Tablebody"/>
            </w:pPr>
            <w:r w:rsidRPr="001455DC">
              <w:rPr>
                <w:rStyle w:val="CCMCvariableitalic"/>
              </w:rPr>
              <w:t>ϕ</w:t>
            </w:r>
            <w:r w:rsidRPr="001455DC">
              <w:rPr>
                <w:rStyle w:val="CCMCvariablesubscript"/>
              </w:rPr>
              <w:t>t</w:t>
            </w:r>
          </w:p>
        </w:tc>
        <w:tc>
          <w:tcPr>
            <w:tcW w:w="8562" w:type="dxa"/>
            <w:gridSpan w:val="2"/>
          </w:tcPr>
          <w:p w14:paraId="081EE146" w14:textId="2AE56A73" w:rsidR="00F33AE7" w:rsidRPr="001455DC" w:rsidRDefault="00F33AE7" w:rsidP="00D86695">
            <w:pPr>
              <w:pStyle w:val="Tablebody"/>
            </w:pPr>
            <w:r w:rsidRPr="001455DC">
              <w:t>is the diameter of the reinforcement providing confinement;</w:t>
            </w:r>
          </w:p>
        </w:tc>
      </w:tr>
      <w:tr w:rsidR="00F33AE7" w:rsidRPr="001455DC" w14:paraId="29A2A67D" w14:textId="77777777" w:rsidTr="00F33AE7">
        <w:trPr>
          <w:cantSplit/>
        </w:trPr>
        <w:tc>
          <w:tcPr>
            <w:tcW w:w="851" w:type="dxa"/>
          </w:tcPr>
          <w:p w14:paraId="039572CF" w14:textId="5FF27790" w:rsidR="00F33AE7" w:rsidRPr="001455DC" w:rsidRDefault="00F33AE7" w:rsidP="00D86695">
            <w:pPr>
              <w:pStyle w:val="Tablebody"/>
            </w:pPr>
            <w:r w:rsidRPr="001455DC">
              <w:rPr>
                <w:rStyle w:val="CCMCvariableitalic"/>
              </w:rPr>
              <w:t>n</w:t>
            </w:r>
            <w:r w:rsidRPr="001455DC">
              <w:rPr>
                <w:rStyle w:val="CCMCvariablesubscript"/>
              </w:rPr>
              <w:t>t</w:t>
            </w:r>
          </w:p>
        </w:tc>
        <w:tc>
          <w:tcPr>
            <w:tcW w:w="8562" w:type="dxa"/>
            <w:gridSpan w:val="2"/>
          </w:tcPr>
          <w:p w14:paraId="17621A96" w14:textId="069DBE84" w:rsidR="00F33AE7" w:rsidRPr="001455DC" w:rsidRDefault="00F33AE7" w:rsidP="00D86695">
            <w:pPr>
              <w:pStyle w:val="Tablebody"/>
            </w:pPr>
            <w:r w:rsidRPr="001455DC">
              <w:t>is the number of legs of reinforcement providing confinement and crossing the</w:t>
            </w:r>
            <w:r w:rsidRPr="001455DC">
              <w:tab/>
              <w:t>potential splitting failure surface (see Figures 11.5a) and b));</w:t>
            </w:r>
          </w:p>
        </w:tc>
      </w:tr>
      <w:tr w:rsidR="00F33AE7" w:rsidRPr="001455DC" w14:paraId="37682A82" w14:textId="77777777" w:rsidTr="00F33AE7">
        <w:trPr>
          <w:cantSplit/>
        </w:trPr>
        <w:tc>
          <w:tcPr>
            <w:tcW w:w="851" w:type="dxa"/>
          </w:tcPr>
          <w:p w14:paraId="04EED487" w14:textId="34610A73" w:rsidR="00F33AE7" w:rsidRPr="001455DC" w:rsidRDefault="00F33AE7" w:rsidP="00D86695">
            <w:pPr>
              <w:pStyle w:val="Tablebody"/>
            </w:pPr>
            <w:r w:rsidRPr="001455DC">
              <w:rPr>
                <w:rStyle w:val="CCMCvariableitalic"/>
              </w:rPr>
              <w:t>n</w:t>
            </w:r>
            <w:r w:rsidRPr="001455DC">
              <w:rPr>
                <w:rStyle w:val="CCMCvariablesubscript"/>
              </w:rPr>
              <w:t>b</w:t>
            </w:r>
          </w:p>
        </w:tc>
        <w:tc>
          <w:tcPr>
            <w:tcW w:w="8562" w:type="dxa"/>
            <w:gridSpan w:val="2"/>
          </w:tcPr>
          <w:p w14:paraId="595BF238" w14:textId="7BF57369" w:rsidR="00F33AE7" w:rsidRPr="001455DC" w:rsidRDefault="00F33AE7" w:rsidP="00D86695">
            <w:pPr>
              <w:pStyle w:val="Tablebody"/>
            </w:pPr>
            <w:r w:rsidRPr="001455DC">
              <w:t>is the number of anchored bars or pairs of lapped bars in the potential splitting failure surface;</w:t>
            </w:r>
          </w:p>
        </w:tc>
      </w:tr>
      <w:tr w:rsidR="00F33AE7" w:rsidRPr="001455DC" w14:paraId="512FC7B5" w14:textId="77777777" w:rsidTr="00F33AE7">
        <w:trPr>
          <w:cantSplit/>
        </w:trPr>
        <w:tc>
          <w:tcPr>
            <w:tcW w:w="851" w:type="dxa"/>
          </w:tcPr>
          <w:p w14:paraId="797CBBDD" w14:textId="004419DC" w:rsidR="00F33AE7" w:rsidRPr="001455DC" w:rsidRDefault="00F33AE7" w:rsidP="00D86695">
            <w:pPr>
              <w:pStyle w:val="Tablebody"/>
            </w:pPr>
            <w:r w:rsidRPr="001455DC">
              <w:rPr>
                <w:rStyle w:val="CCMCvariableitalic"/>
              </w:rPr>
              <w:t>s</w:t>
            </w:r>
          </w:p>
        </w:tc>
        <w:tc>
          <w:tcPr>
            <w:tcW w:w="8562" w:type="dxa"/>
            <w:gridSpan w:val="2"/>
          </w:tcPr>
          <w:p w14:paraId="41400C97" w14:textId="615E9161" w:rsidR="00F33AE7" w:rsidRPr="001455DC" w:rsidRDefault="00F33AE7" w:rsidP="00D86695">
            <w:pPr>
              <w:pStyle w:val="Tablebody"/>
            </w:pPr>
            <w:r w:rsidRPr="001455DC">
              <w:t>is the spacing of reinforcement providing confinement along the bar to be anchored;</w:t>
            </w:r>
          </w:p>
        </w:tc>
      </w:tr>
      <w:tr w:rsidR="00F33AE7" w:rsidRPr="001455DC" w14:paraId="66B960C5" w14:textId="77777777" w:rsidTr="00F33AE7">
        <w:trPr>
          <w:cantSplit/>
        </w:trPr>
        <w:tc>
          <w:tcPr>
            <w:tcW w:w="851" w:type="dxa"/>
          </w:tcPr>
          <w:p w14:paraId="55407CC8" w14:textId="5BF91441" w:rsidR="00F33AE7" w:rsidRPr="001455DC" w:rsidRDefault="00F33AE7" w:rsidP="00D86695">
            <w:pPr>
              <w:pStyle w:val="Tablebody"/>
            </w:pPr>
            <w:r w:rsidRPr="001455DC">
              <w:rPr>
                <w:rStyle w:val="CCMCvariableitalic"/>
              </w:rPr>
              <w:t>k</w:t>
            </w:r>
            <w:r w:rsidRPr="001455DC">
              <w:rPr>
                <w:rStyle w:val="CCMCvariablesubscript"/>
              </w:rPr>
              <w:t>conf</w:t>
            </w:r>
          </w:p>
        </w:tc>
        <w:tc>
          <w:tcPr>
            <w:tcW w:w="8562" w:type="dxa"/>
            <w:gridSpan w:val="2"/>
          </w:tcPr>
          <w:p w14:paraId="25FFF07B" w14:textId="7AA3AAC5" w:rsidR="00F33AE7" w:rsidRPr="001455DC" w:rsidRDefault="00F33AE7" w:rsidP="00D86695">
            <w:pPr>
              <w:pStyle w:val="Tablebody"/>
            </w:pPr>
            <w:r w:rsidRPr="001455DC">
              <w:t>is an effectiveness factor depending on the reinforcement detail; it may be taken as:</w:t>
            </w:r>
          </w:p>
        </w:tc>
      </w:tr>
      <w:tr w:rsidR="00F33AE7" w:rsidRPr="001455DC" w14:paraId="692B23C6" w14:textId="77777777" w:rsidTr="00F33AE7">
        <w:trPr>
          <w:cantSplit/>
        </w:trPr>
        <w:tc>
          <w:tcPr>
            <w:tcW w:w="851" w:type="dxa"/>
          </w:tcPr>
          <w:p w14:paraId="36D5A5A4" w14:textId="4851AFE8" w:rsidR="00F33AE7" w:rsidRPr="001455DC" w:rsidRDefault="00F33AE7" w:rsidP="00EC27D2">
            <w:pPr>
              <w:pStyle w:val="Tablebody"/>
            </w:pPr>
            <w:r w:rsidRPr="001455DC">
              <w:t> </w:t>
            </w:r>
          </w:p>
        </w:tc>
        <w:tc>
          <w:tcPr>
            <w:tcW w:w="8562" w:type="dxa"/>
            <w:gridSpan w:val="2"/>
          </w:tcPr>
          <w:p w14:paraId="3D405C8B" w14:textId="66386529" w:rsidR="00F33AE7" w:rsidRPr="001455DC" w:rsidRDefault="00F33AE7" w:rsidP="00F33AE7">
            <w:pPr>
              <w:pStyle w:val="Tablebody"/>
              <w:ind w:left="357" w:hanging="357"/>
            </w:pPr>
            <w:r w:rsidRPr="001455DC">
              <w:t>—</w:t>
            </w:r>
            <w:r w:rsidRPr="001455DC">
              <w:tab/>
            </w:r>
            <w:r w:rsidRPr="001455DC">
              <w:rPr>
                <w:rStyle w:val="CCMCvariableitalic"/>
              </w:rPr>
              <w:t>k</w:t>
            </w:r>
            <w:r w:rsidRPr="001455DC">
              <w:rPr>
                <w:rStyle w:val="CCMCvariablesubscript"/>
              </w:rPr>
              <w:t>conf</w:t>
            </w:r>
            <w:r w:rsidRPr="001455DC">
              <w:t> </w:t>
            </w:r>
            <w:r w:rsidR="00EC27D2" w:rsidRPr="001455DC">
              <w:rPr>
                <w:rFonts w:ascii="Cambria Math" w:hAnsi="Cambria Math"/>
              </w:rPr>
              <w:t>=</w:t>
            </w:r>
            <w:r w:rsidRPr="001455DC">
              <w:t> 1,0 for confinement reinforcement crossing the potential splitting surface and fulfilling the requirement of Figure 11.5a) (net distance </w:t>
            </w:r>
            <w:r w:rsidR="00650035" w:rsidRPr="001455DC">
              <w:rPr>
                <w:rFonts w:ascii="Cambria Math" w:hAnsi="Cambria Math"/>
              </w:rPr>
              <w:t>≤</w:t>
            </w:r>
            <w:r w:rsidRPr="001455DC">
              <w:t> 5</w:t>
            </w:r>
            <w:r w:rsidRPr="001455DC">
              <w:rPr>
                <w:rStyle w:val="CCMCvariableitalic"/>
              </w:rPr>
              <w:t>ϕ</w:t>
            </w:r>
            <w:r w:rsidRPr="001455DC">
              <w:t>),</w:t>
            </w:r>
          </w:p>
        </w:tc>
      </w:tr>
      <w:tr w:rsidR="00F33AE7" w:rsidRPr="001455DC" w14:paraId="72D1F4B2" w14:textId="77777777" w:rsidTr="00F33AE7">
        <w:trPr>
          <w:cantSplit/>
        </w:trPr>
        <w:tc>
          <w:tcPr>
            <w:tcW w:w="851" w:type="dxa"/>
          </w:tcPr>
          <w:p w14:paraId="7415CD81" w14:textId="38324162" w:rsidR="00F33AE7" w:rsidRPr="001455DC" w:rsidRDefault="00F33AE7" w:rsidP="00EC27D2">
            <w:pPr>
              <w:pStyle w:val="Tablebody"/>
            </w:pPr>
            <w:r w:rsidRPr="001455DC">
              <w:t> </w:t>
            </w:r>
          </w:p>
        </w:tc>
        <w:tc>
          <w:tcPr>
            <w:tcW w:w="8562" w:type="dxa"/>
            <w:gridSpan w:val="2"/>
          </w:tcPr>
          <w:p w14:paraId="0379CD9F" w14:textId="745FA993" w:rsidR="00F33AE7" w:rsidRPr="001455DC" w:rsidRDefault="00F33AE7" w:rsidP="00F33AE7">
            <w:pPr>
              <w:pStyle w:val="Tablebody"/>
              <w:ind w:left="357" w:hanging="357"/>
            </w:pPr>
            <w:r w:rsidRPr="001455DC">
              <w:t>—</w:t>
            </w:r>
            <w:r w:rsidRPr="001455DC">
              <w:tab/>
            </w:r>
            <w:r w:rsidRPr="001455DC">
              <w:rPr>
                <w:rStyle w:val="CCMCvariableitalic"/>
              </w:rPr>
              <w:t>k</w:t>
            </w:r>
            <w:r w:rsidRPr="001455DC">
              <w:rPr>
                <w:rStyle w:val="CCMCvariablesubscript"/>
              </w:rPr>
              <w:t>conf</w:t>
            </w:r>
            <w:r w:rsidRPr="001455DC">
              <w:t> </w:t>
            </w:r>
            <w:r w:rsidR="00EC27D2" w:rsidRPr="001455DC">
              <w:rPr>
                <w:rFonts w:ascii="Cambria Math" w:hAnsi="Cambria Math"/>
              </w:rPr>
              <w:t>=</w:t>
            </w:r>
            <w:r w:rsidRPr="001455DC">
              <w:t xml:space="preserve"> 0,25 for transverse reinforcement within the cover </w:t>
            </w:r>
            <w:r w:rsidRPr="001455DC">
              <w:rPr>
                <w:rStyle w:val="CCMCvariableitalic"/>
              </w:rPr>
              <w:t>c</w:t>
            </w:r>
            <w:r w:rsidRPr="001455DC">
              <w:rPr>
                <w:rStyle w:val="CCMCvariablesubscript"/>
              </w:rPr>
              <w:t>y</w:t>
            </w:r>
            <w:r w:rsidRPr="001455DC">
              <w:t xml:space="preserve"> and fulfilling the requirement of Figure 11.5b) (</w:t>
            </w:r>
            <w:r w:rsidRPr="001455DC">
              <w:rPr>
                <w:rStyle w:val="CCMCvariableitalic"/>
              </w:rPr>
              <w:t>c</w:t>
            </w:r>
            <w:r w:rsidRPr="001455DC">
              <w:rPr>
                <w:rStyle w:val="CCMCvariablesubscript"/>
              </w:rPr>
              <w:t>s</w:t>
            </w:r>
            <w:r w:rsidRPr="001455DC">
              <w:t> </w:t>
            </w:r>
            <w:r w:rsidR="00650035" w:rsidRPr="001455DC">
              <w:rPr>
                <w:rFonts w:ascii="Cambria Math" w:hAnsi="Cambria Math"/>
              </w:rPr>
              <w:t>≥</w:t>
            </w:r>
            <w:r w:rsidRPr="001455DC">
              <w:t> 8</w:t>
            </w:r>
            <w:r w:rsidRPr="001455DC">
              <w:rPr>
                <w:rStyle w:val="CCMCvariableitalic"/>
              </w:rPr>
              <w:t>c</w:t>
            </w:r>
            <w:r w:rsidRPr="001455DC">
              <w:rPr>
                <w:rStyle w:val="CCMCvariablesubscript"/>
              </w:rPr>
              <w:t>y</w:t>
            </w:r>
            <w:r w:rsidRPr="001455DC">
              <w:t>),</w:t>
            </w:r>
          </w:p>
        </w:tc>
      </w:tr>
      <w:tr w:rsidR="00F33AE7" w:rsidRPr="001455DC" w14:paraId="7625D7BC" w14:textId="77777777" w:rsidTr="00F33AE7">
        <w:trPr>
          <w:cantSplit/>
        </w:trPr>
        <w:tc>
          <w:tcPr>
            <w:tcW w:w="851" w:type="dxa"/>
          </w:tcPr>
          <w:p w14:paraId="351B1138" w14:textId="4C677E98" w:rsidR="00F33AE7" w:rsidRPr="001455DC" w:rsidRDefault="00F33AE7" w:rsidP="00EC27D2">
            <w:pPr>
              <w:pStyle w:val="Tablebody"/>
            </w:pPr>
            <w:r w:rsidRPr="001455DC">
              <w:t> </w:t>
            </w:r>
          </w:p>
        </w:tc>
        <w:tc>
          <w:tcPr>
            <w:tcW w:w="8562" w:type="dxa"/>
            <w:gridSpan w:val="2"/>
          </w:tcPr>
          <w:p w14:paraId="6A706D81" w14:textId="3704412F" w:rsidR="00F33AE7" w:rsidRPr="001455DC" w:rsidRDefault="00F33AE7" w:rsidP="00F33AE7">
            <w:pPr>
              <w:pStyle w:val="Tablebody"/>
              <w:ind w:left="357" w:hanging="357"/>
            </w:pPr>
            <w:r w:rsidRPr="001455DC">
              <w:t>—</w:t>
            </w:r>
            <w:r w:rsidRPr="001455DC">
              <w:tab/>
            </w:r>
            <w:r w:rsidRPr="001455DC">
              <w:rPr>
                <w:rStyle w:val="CCMCvariableitalic"/>
              </w:rPr>
              <w:t>k</w:t>
            </w:r>
            <w:r w:rsidRPr="001455DC">
              <w:rPr>
                <w:rStyle w:val="CCMCvariablesubscript"/>
              </w:rPr>
              <w:t>conf</w:t>
            </w:r>
            <w:r w:rsidRPr="001455DC">
              <w:t> </w:t>
            </w:r>
            <w:r w:rsidR="00EC27D2" w:rsidRPr="001455DC">
              <w:rPr>
                <w:rFonts w:ascii="Cambria Math" w:hAnsi="Cambria Math"/>
              </w:rPr>
              <w:t>=</w:t>
            </w:r>
            <w:r w:rsidRPr="001455DC">
              <w:t> 0 in other circumstances;</w:t>
            </w:r>
          </w:p>
        </w:tc>
      </w:tr>
      <w:tr w:rsidR="00F33AE7" w:rsidRPr="001455DC" w14:paraId="43719BBD" w14:textId="77777777" w:rsidTr="00F33AE7">
        <w:trPr>
          <w:cantSplit/>
        </w:trPr>
        <w:tc>
          <w:tcPr>
            <w:tcW w:w="851" w:type="dxa"/>
          </w:tcPr>
          <w:p w14:paraId="31B645EE" w14:textId="2C694EE4" w:rsidR="00F33AE7" w:rsidRPr="009D3012" w:rsidRDefault="00F33AE7" w:rsidP="00D86695">
            <w:pPr>
              <w:pStyle w:val="Tablebody"/>
              <w:rPr>
                <w:rStyle w:val="CCMCvariableitalic"/>
              </w:rPr>
            </w:pPr>
            <w:r w:rsidRPr="001455DC">
              <w:rPr>
                <w:rStyle w:val="CCMCvariableitalic"/>
              </w:rPr>
              <w:t>σ</w:t>
            </w:r>
            <w:r w:rsidRPr="001455DC">
              <w:rPr>
                <w:rStyle w:val="CCMCvariablesubscript"/>
              </w:rPr>
              <w:t>ctd</w:t>
            </w:r>
          </w:p>
        </w:tc>
        <w:tc>
          <w:tcPr>
            <w:tcW w:w="8562" w:type="dxa"/>
            <w:gridSpan w:val="2"/>
          </w:tcPr>
          <w:p w14:paraId="38A595D3" w14:textId="2C75A015" w:rsidR="00F33AE7" w:rsidRPr="001455DC" w:rsidRDefault="00F33AE7" w:rsidP="00D86695">
            <w:pPr>
              <w:pStyle w:val="Tablebody"/>
            </w:pPr>
            <w:r w:rsidRPr="001455DC">
              <w:t>is the design value of the mean compression stress perpendicular to the</w:t>
            </w:r>
            <w:r w:rsidRPr="001455DC">
              <w:tab/>
              <w:t>potential splitting failure (see Figure 11.5c)).</w:t>
            </w:r>
          </w:p>
        </w:tc>
      </w:tr>
    </w:tbl>
    <w:p w14:paraId="27B41CAE" w14:textId="5F0447B5" w:rsidR="004E22C1" w:rsidRPr="001455DC" w:rsidRDefault="004E22C1" w:rsidP="00F33AE7">
      <w:pPr>
        <w:pStyle w:val="a7"/>
      </w:pPr>
    </w:p>
    <w:tbl>
      <w:tblPr>
        <w:tblStyle w:val="a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0"/>
        <w:gridCol w:w="3251"/>
        <w:gridCol w:w="3251"/>
      </w:tblGrid>
      <w:tr w:rsidR="003F4B71" w:rsidRPr="001455DC" w14:paraId="5036B389" w14:textId="77777777" w:rsidTr="00C864B2">
        <w:trPr>
          <w:cantSplit/>
          <w:jc w:val="center"/>
        </w:trPr>
        <w:tc>
          <w:tcPr>
            <w:tcW w:w="9752" w:type="dxa"/>
            <w:gridSpan w:val="3"/>
            <w:vAlign w:val="center"/>
          </w:tcPr>
          <w:p w14:paraId="3BCD5B5C" w14:textId="2AA588E4" w:rsidR="003F4B71" w:rsidRPr="001455DC" w:rsidRDefault="00723CF7" w:rsidP="00F33AE7">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"Y:\\STD_MGT\\STDDEL\\PRODUCTION\\etrans\\Download\\Z_FIRST_DEL\\SV\\00250\\00250269\\41_e_dr\\11_005.tif"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"Y:\\STD_MGT\\STDDEL\\PRODUCTION\\Standards\\00250\\269\\41_e_dr\\11_005.tif"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"Y:\\STD_MGT\\STDDEL\\PRODUCTION\\Standards\\00250\\269\\41_e_dr\\11_005.tif"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"Y:\\STD_MGT\\STDDEL\\PRODUCTION\\Standards\\00250\\269\\41_e_dr\\11_005.tif"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"Y:\\STD_MGT\\STDDEL\\PRODUCTION\\Standards\\00250\\269\\41_e_dr\\11_005.tif"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"Y:\\STD_MGT\\STDDEL\\PRODUCTION\\Standards\\00250\\269\\41_e_dr\\11_005.tif"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"C:\\Users\\a.dionysiou\\AppData\\Local\\Temp\\Temp1_00250269_e_20210902.zip.zip\\41_e_dr\\11_005.tif"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2A3A48F7">
                <v:shape id="_x0000_i1230" type="#_x0000_t75" style="width:428.25pt;height:111pt">
                  <v:imagedata r:id="rId430" r:href="rId431"/>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3F4B71" w:rsidRPr="001455DC" w14:paraId="34557EE7" w14:textId="77777777" w:rsidTr="00F33AE7">
        <w:trPr>
          <w:cantSplit/>
          <w:jc w:val="center"/>
        </w:trPr>
        <w:tc>
          <w:tcPr>
            <w:tcW w:w="3250" w:type="dxa"/>
            <w:vAlign w:val="center"/>
          </w:tcPr>
          <w:p w14:paraId="6E2EA80C" w14:textId="1C34B720" w:rsidR="003F4B71" w:rsidRPr="009D3012" w:rsidRDefault="003F4B71" w:rsidP="00C864B2">
            <w:pPr>
              <w:pStyle w:val="FigureText"/>
              <w:jc w:val="center"/>
            </w:pPr>
            <w:r>
              <w:t>n</w:t>
            </w:r>
            <w:r w:rsidRPr="003F4B71">
              <w:rPr>
                <w:vertAlign w:val="subscript"/>
              </w:rPr>
              <w:t>t</w:t>
            </w:r>
            <w:r>
              <w:t>=1</w:t>
            </w:r>
            <w:r w:rsidR="00C864B2">
              <w:t>, n</w:t>
            </w:r>
            <w:r w:rsidR="00C864B2">
              <w:rPr>
                <w:vertAlign w:val="subscript"/>
              </w:rPr>
              <w:t>b</w:t>
            </w:r>
            <w:r w:rsidR="00C864B2">
              <w:t>=2,</w:t>
            </w:r>
          </w:p>
        </w:tc>
        <w:tc>
          <w:tcPr>
            <w:tcW w:w="3251" w:type="dxa"/>
            <w:vAlign w:val="center"/>
          </w:tcPr>
          <w:p w14:paraId="0EF1D3D1" w14:textId="6A7285A4" w:rsidR="003F4B71" w:rsidRPr="009D3012" w:rsidRDefault="00C864B2" w:rsidP="00C864B2">
            <w:pPr>
              <w:pStyle w:val="FigureText"/>
              <w:jc w:val="left"/>
            </w:pPr>
            <w:r>
              <w:t>n</w:t>
            </w:r>
            <w:r w:rsidRPr="003F4B71">
              <w:rPr>
                <w:vertAlign w:val="subscript"/>
              </w:rPr>
              <w:t>t</w:t>
            </w:r>
            <w:r>
              <w:t>=2, n</w:t>
            </w:r>
            <w:r>
              <w:rPr>
                <w:vertAlign w:val="subscript"/>
              </w:rPr>
              <w:t>b</w:t>
            </w:r>
            <w:r>
              <w:t xml:space="preserve">=1,                     </w:t>
            </w:r>
          </w:p>
        </w:tc>
        <w:tc>
          <w:tcPr>
            <w:tcW w:w="3251" w:type="dxa"/>
            <w:vAlign w:val="center"/>
          </w:tcPr>
          <w:p w14:paraId="6E57AB5A" w14:textId="77777777" w:rsidR="003F4B71" w:rsidRPr="009D3012" w:rsidRDefault="003F4B71" w:rsidP="00F33AE7">
            <w:pPr>
              <w:pStyle w:val="FigureText"/>
              <w:jc w:val="center"/>
            </w:pPr>
          </w:p>
        </w:tc>
      </w:tr>
      <w:tr w:rsidR="00D445D8" w:rsidRPr="001455DC" w14:paraId="414319AC" w14:textId="77777777" w:rsidTr="00F33AE7">
        <w:trPr>
          <w:cantSplit/>
          <w:jc w:val="center"/>
        </w:trPr>
        <w:tc>
          <w:tcPr>
            <w:tcW w:w="3250" w:type="dxa"/>
            <w:vAlign w:val="center"/>
          </w:tcPr>
          <w:p w14:paraId="5D9263D0" w14:textId="16F53D88" w:rsidR="00D445D8" w:rsidRPr="001455DC" w:rsidRDefault="00D445D8" w:rsidP="00F33AE7">
            <w:pPr>
              <w:pStyle w:val="FigureText"/>
              <w:jc w:val="center"/>
            </w:pPr>
            <w:r w:rsidRPr="009D3012">
              <w:t>a) confinement reinforcement</w:t>
            </w:r>
          </w:p>
        </w:tc>
        <w:tc>
          <w:tcPr>
            <w:tcW w:w="3251" w:type="dxa"/>
            <w:vAlign w:val="center"/>
          </w:tcPr>
          <w:p w14:paraId="540C029F" w14:textId="7ACCBB6F" w:rsidR="00D445D8" w:rsidRPr="001455DC" w:rsidRDefault="00D445D8" w:rsidP="00F33AE7">
            <w:pPr>
              <w:pStyle w:val="FigureText"/>
              <w:jc w:val="center"/>
            </w:pPr>
            <w:r w:rsidRPr="009D3012">
              <w:t>b) transverse reinforcement</w:t>
            </w:r>
          </w:p>
        </w:tc>
        <w:tc>
          <w:tcPr>
            <w:tcW w:w="3251" w:type="dxa"/>
            <w:vAlign w:val="center"/>
          </w:tcPr>
          <w:p w14:paraId="6BCD625A" w14:textId="1962AAF6" w:rsidR="00D445D8" w:rsidRPr="001455DC" w:rsidRDefault="00D445D8" w:rsidP="00F33AE7">
            <w:pPr>
              <w:pStyle w:val="FigureText"/>
              <w:jc w:val="center"/>
            </w:pPr>
            <w:r w:rsidRPr="009D3012">
              <w:t>c) external pressure</w:t>
            </w:r>
          </w:p>
        </w:tc>
      </w:tr>
    </w:tbl>
    <w:p w14:paraId="42521179" w14:textId="4AFF2332" w:rsidR="0079403C" w:rsidRDefault="00E64277" w:rsidP="0079403C">
      <w:pPr>
        <w:pStyle w:val="KeyTitle"/>
      </w:pPr>
      <w:r>
        <w:t>Key</w:t>
      </w:r>
    </w:p>
    <w:tbl>
      <w:tblPr>
        <w:tblW w:w="0" w:type="auto"/>
        <w:tblInd w:w="-100" w:type="dxa"/>
        <w:tblCellMar>
          <w:left w:w="100" w:type="dxa"/>
        </w:tblCellMar>
        <w:tblLook w:val="0000" w:firstRow="0" w:lastRow="0" w:firstColumn="0" w:lastColumn="0" w:noHBand="0" w:noVBand="0"/>
      </w:tblPr>
      <w:tblGrid>
        <w:gridCol w:w="319"/>
        <w:gridCol w:w="2397"/>
      </w:tblGrid>
      <w:tr w:rsidR="0079403C" w:rsidRPr="009D3012" w14:paraId="728BEA23" w14:textId="77777777" w:rsidTr="0079403C">
        <w:tc>
          <w:tcPr>
            <w:tcW w:w="0" w:type="auto"/>
            <w:shd w:val="clear" w:color="auto" w:fill="auto"/>
          </w:tcPr>
          <w:p w14:paraId="4D0DBE4C" w14:textId="77777777" w:rsidR="0079403C" w:rsidRPr="0079403C" w:rsidRDefault="0079403C" w:rsidP="0079403C">
            <w:pPr>
              <w:pStyle w:val="KeyText"/>
            </w:pPr>
            <w:r w:rsidRPr="0079403C">
              <w:t>1</w:t>
            </w:r>
          </w:p>
        </w:tc>
        <w:tc>
          <w:tcPr>
            <w:tcW w:w="0" w:type="auto"/>
            <w:shd w:val="clear" w:color="auto" w:fill="auto"/>
          </w:tcPr>
          <w:p w14:paraId="234A4027" w14:textId="77777777" w:rsidR="0079403C" w:rsidRPr="009D3012" w:rsidRDefault="0079403C" w:rsidP="0079403C">
            <w:pPr>
              <w:pStyle w:val="KeyText"/>
            </w:pPr>
            <w:r w:rsidRPr="0079403C">
              <w:t>potential splitting surface</w:t>
            </w:r>
          </w:p>
        </w:tc>
      </w:tr>
    </w:tbl>
    <w:p w14:paraId="2B16C573" w14:textId="478ED1A7" w:rsidR="00E64277" w:rsidRPr="009D3012" w:rsidRDefault="00E64277" w:rsidP="009D3012">
      <w:pPr>
        <w:pStyle w:val="Figuretitle"/>
        <w:jc w:val="left"/>
        <w:rPr>
          <w:b w:val="0"/>
        </w:rPr>
      </w:pPr>
    </w:p>
    <w:p w14:paraId="6BF88B60" w14:textId="449F373C" w:rsidR="004E22C1" w:rsidRPr="001455DC" w:rsidRDefault="004E22C1" w:rsidP="00D445D8">
      <w:pPr>
        <w:pStyle w:val="Figuretitle"/>
      </w:pPr>
      <w:r w:rsidRPr="001455DC">
        <w:t>Figure 11.5 — Definition of cases where the design anchorage length may be reduced due to confinement or transverse reinforcement</w:t>
      </w:r>
    </w:p>
    <w:p w14:paraId="3907C395" w14:textId="3F8ECAA4" w:rsidR="004E22C1" w:rsidRPr="001455DC" w:rsidRDefault="004E22C1" w:rsidP="00D445D8">
      <w:pPr>
        <w:pStyle w:val="a7"/>
      </w:pPr>
      <w:r w:rsidRPr="001455DC">
        <w:t>(6)</w:t>
      </w:r>
      <w:r w:rsidRPr="001455DC">
        <w:tab/>
        <w:t>For anchorages in compression with a free surface perpendicular to the bar at a distance </w:t>
      </w:r>
      <w:r w:rsidR="00650035" w:rsidRPr="001455DC">
        <w:rPr>
          <w:rFonts w:ascii="Cambria Math" w:hAnsi="Cambria Math"/>
        </w:rPr>
        <w:t>≥</w:t>
      </w:r>
      <w:r w:rsidR="00073FC6" w:rsidRPr="001455DC">
        <w:t> </w:t>
      </w:r>
      <w:r w:rsidRPr="001455DC">
        <w:t>3,5</w:t>
      </w:r>
      <w:r w:rsidRPr="001455DC">
        <w:rPr>
          <w:rStyle w:val="CCMCvariableitalic"/>
        </w:rPr>
        <w:t>ϕ</w:t>
      </w:r>
      <w:r w:rsidRPr="001455DC">
        <w:t xml:space="preserve">, the design anchorage length </w:t>
      </w:r>
      <w:r w:rsidRPr="001455DC">
        <w:rPr>
          <w:rStyle w:val="CCMCvariableitalic"/>
        </w:rPr>
        <w:t>l</w:t>
      </w:r>
      <w:r w:rsidRPr="001455DC">
        <w:rPr>
          <w:rStyle w:val="CCMCvariablesubscript"/>
        </w:rPr>
        <w:t>bd</w:t>
      </w:r>
      <w:r w:rsidRPr="001455DC">
        <w:t xml:space="preserve"> calculated according to (2) to (5) may be reduced by 15</w:t>
      </w:r>
      <w:r w:rsidRPr="001455DC">
        <w:rPr>
          <w:rStyle w:val="CCMCvariableitalic"/>
        </w:rPr>
        <w:t>ϕ</w:t>
      </w:r>
      <w:r w:rsidRPr="001455DC">
        <w:t>, but shall not be shorter than 10</w:t>
      </w:r>
      <w:r w:rsidRPr="001455DC">
        <w:rPr>
          <w:rStyle w:val="CCMCvariableitalic"/>
        </w:rPr>
        <w:t>ϕ</w:t>
      </w:r>
      <w:r w:rsidRPr="001455DC">
        <w:t>.</w:t>
      </w:r>
    </w:p>
    <w:p w14:paraId="79E6FF92" w14:textId="7DB49294" w:rsidR="004E22C1" w:rsidRPr="001455DC" w:rsidRDefault="004E22C1" w:rsidP="00243590">
      <w:pPr>
        <w:pStyle w:val="31"/>
      </w:pPr>
      <w:bookmarkStart w:id="805" w:name="_Toc52820032"/>
      <w:bookmarkStart w:id="806" w:name="_Toc54337431"/>
      <w:bookmarkStart w:id="807" w:name="_Toc54338089"/>
      <w:bookmarkStart w:id="808" w:name="_Toc67565433"/>
      <w:r w:rsidRPr="001455DC">
        <w:t>Anchorage of bundles</w:t>
      </w:r>
      <w:bookmarkEnd w:id="805"/>
      <w:bookmarkEnd w:id="806"/>
      <w:bookmarkEnd w:id="807"/>
      <w:bookmarkEnd w:id="808"/>
    </w:p>
    <w:p w14:paraId="2DE77914" w14:textId="2151AA2B" w:rsidR="004E22C1" w:rsidRPr="001455DC" w:rsidRDefault="004E22C1" w:rsidP="00E844D2">
      <w:pPr>
        <w:pStyle w:val="a7"/>
        <w:keepNext/>
      </w:pPr>
      <w:r w:rsidRPr="001455DC">
        <w:t>(1)</w:t>
      </w:r>
      <w:r w:rsidRPr="001455DC">
        <w:tab/>
        <w:t xml:space="preserve">All provisions for anchorage of straight bars may be used also for bundles of bars anchored in one cross section according to (3) with parameter </w:t>
      </w:r>
      <w:r w:rsidRPr="001455DC">
        <w:rPr>
          <w:rStyle w:val="CCMCvariableitalic"/>
        </w:rPr>
        <w:t>ϕ</w:t>
      </w:r>
      <w:r w:rsidRPr="001455DC">
        <w:t xml:space="preserve"> replaced by an equivalent diameter of the bundle defined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D445D8" w:rsidRPr="001455DC" w14:paraId="684686A1" w14:textId="77777777" w:rsidTr="00F33AE7">
        <w:trPr>
          <w:cantSplit/>
        </w:trPr>
        <w:tc>
          <w:tcPr>
            <w:tcW w:w="8505" w:type="dxa"/>
            <w:vAlign w:val="center"/>
          </w:tcPr>
          <w:p w14:paraId="2DA6DC81" w14:textId="6C56F151" w:rsidR="00D445D8" w:rsidRPr="001455DC" w:rsidRDefault="00231E33" w:rsidP="00F33AE7">
            <w:pPr>
              <w:pStyle w:val="Formula"/>
              <w:jc w:val="left"/>
            </w:pPr>
            <m:oMathPara>
              <m:oMathParaPr>
                <m:jc m:val="left"/>
              </m:oMathParaPr>
              <m:oMath>
                <m:sSub>
                  <m:sSubPr>
                    <m:ctrlPr>
                      <w:rPr>
                        <w:rFonts w:ascii="Cambria Math" w:hAnsi="Cambria Math"/>
                      </w:rPr>
                    </m:ctrlPr>
                  </m:sSubPr>
                  <m:e>
                    <m:r>
                      <w:rPr>
                        <w:rFonts w:ascii="Cambria Math" w:hAnsi="Cambria Math"/>
                      </w:rPr>
                      <m:t>ϕ</m:t>
                    </m:r>
                  </m:e>
                  <m:sub>
                    <m:r>
                      <m:rPr>
                        <m:sty m:val="p"/>
                      </m:rPr>
                      <w:rPr>
                        <w:rFonts w:ascii="Cambria Math" w:hAnsi="Cambria Math"/>
                      </w:rPr>
                      <m:t>b</m:t>
                    </m:r>
                  </m:sub>
                </m:sSub>
                <m:r>
                  <w:rPr>
                    <w:rFonts w:ascii="Cambria Math" w:hAnsi="Cambria Math"/>
                  </w:rPr>
                  <m:t>=</m:t>
                </m:r>
                <m:rad>
                  <m:radPr>
                    <m:degHide m:val="1"/>
                    <m:ctrlPr>
                      <w:rPr>
                        <w:rFonts w:ascii="Cambria Math" w:hAnsi="Cambria Math"/>
                      </w:rPr>
                    </m:ctrlPr>
                  </m:radPr>
                  <m:deg/>
                  <m:e>
                    <m:f>
                      <m:fPr>
                        <m:ctrlPr>
                          <w:rPr>
                            <w:rFonts w:ascii="Cambria Math" w:hAnsi="Cambria Math"/>
                          </w:rPr>
                        </m:ctrlPr>
                      </m:fPr>
                      <m:num>
                        <m:r>
                          <w:rPr>
                            <w:rFonts w:ascii="Cambria Math" w:hAnsi="Cambria Math"/>
                          </w:rPr>
                          <m:t>4</m:t>
                        </m:r>
                      </m:num>
                      <m:den>
                        <m:r>
                          <m:rPr>
                            <m:sty m:val="p"/>
                          </m:rPr>
                          <w:rPr>
                            <w:rFonts w:ascii="Cambria Math" w:hAnsi="Cambria Math"/>
                          </w:rPr>
                          <m:t>π</m:t>
                        </m:r>
                      </m:den>
                    </m:f>
                    <m:sSub>
                      <m:sSubPr>
                        <m:ctrlPr>
                          <w:rPr>
                            <w:rFonts w:ascii="Cambria Math" w:hAnsi="Cambria Math"/>
                          </w:rPr>
                        </m:ctrlPr>
                      </m:sSubPr>
                      <m:e>
                        <m:r>
                          <w:rPr>
                            <w:rFonts w:ascii="Cambria Math" w:hAnsi="Cambria Math"/>
                          </w:rPr>
                          <m:t>A</m:t>
                        </m:r>
                      </m:e>
                      <m:sub>
                        <m:r>
                          <m:rPr>
                            <m:sty m:val="p"/>
                          </m:rPr>
                          <w:rPr>
                            <w:rFonts w:ascii="Cambria Math" w:hAnsi="Cambria Math"/>
                          </w:rPr>
                          <m:t>s</m:t>
                        </m:r>
                      </m:sub>
                    </m:sSub>
                  </m:e>
                </m:rad>
              </m:oMath>
            </m:oMathPara>
          </w:p>
        </w:tc>
        <w:tc>
          <w:tcPr>
            <w:tcW w:w="1247" w:type="dxa"/>
            <w:vAlign w:val="center"/>
          </w:tcPr>
          <w:p w14:paraId="75661528" w14:textId="604F96AC" w:rsidR="00D445D8" w:rsidRPr="001455DC" w:rsidRDefault="00D445D8" w:rsidP="00F33AE7">
            <w:pPr>
              <w:pStyle w:val="a7"/>
              <w:jc w:val="right"/>
            </w:pPr>
            <w:r w:rsidRPr="001455DC">
              <w:t>(11.5)</w:t>
            </w:r>
          </w:p>
        </w:tc>
      </w:tr>
    </w:tbl>
    <w:p w14:paraId="7E894595" w14:textId="77777777" w:rsidR="004E22C1" w:rsidRPr="001455DC" w:rsidRDefault="004E22C1" w:rsidP="00D445D8">
      <w:pPr>
        <w:pStyle w:val="a7"/>
      </w:pPr>
      <w:r w:rsidRPr="001455DC">
        <w:t xml:space="preserve">where </w:t>
      </w:r>
      <w:r w:rsidRPr="001455DC">
        <w:rPr>
          <w:rStyle w:val="CCMCvariableitalic"/>
        </w:rPr>
        <w:t>A</w:t>
      </w:r>
      <w:r w:rsidRPr="001455DC">
        <w:rPr>
          <w:rStyle w:val="CCMCvariablesubscript"/>
        </w:rPr>
        <w:t>s</w:t>
      </w:r>
      <w:r w:rsidRPr="001455DC">
        <w:t xml:space="preserve"> is the total area of all bars contained in the bundle.</w:t>
      </w:r>
    </w:p>
    <w:p w14:paraId="733F6661" w14:textId="77777777" w:rsidR="004E22C1" w:rsidRPr="001455DC" w:rsidRDefault="004E22C1" w:rsidP="00D445D8">
      <w:pPr>
        <w:pStyle w:val="a7"/>
      </w:pPr>
      <w:r w:rsidRPr="001455DC">
        <w:t>(2)</w:t>
      </w:r>
      <w:r w:rsidRPr="001455DC">
        <w:tab/>
        <w:t xml:space="preserve">When anchoring one bar in a bundle, the design anchorage length should be based on its own diameter and covers. When anchoring more than one bar of a bundle, the design anchorage length of those bars should be based on their equivalent diameter and covers, see Figure 11.6. Values </w:t>
      </w:r>
      <w:r w:rsidRPr="001455DC">
        <w:rPr>
          <w:rStyle w:val="CCMCvariableitalic"/>
        </w:rPr>
        <w:t>k</w:t>
      </w:r>
      <w:r w:rsidRPr="001455DC">
        <w:rPr>
          <w:rStyle w:val="CCMCvariablesubscript"/>
        </w:rPr>
        <w:t>lb</w:t>
      </w:r>
      <w:r w:rsidRPr="001455DC">
        <w:t xml:space="preserve"> are </w:t>
      </w:r>
      <w:r w:rsidRPr="001455DC">
        <w:rPr>
          <w:rFonts w:eastAsiaTheme="minorHAnsi"/>
        </w:rPr>
        <w:t>according to Formula (11.2)</w:t>
      </w:r>
      <w:r w:rsidRPr="001455DC">
        <w:t>.</w:t>
      </w:r>
    </w:p>
    <w:p w14:paraId="3B194ADC" w14:textId="13683F50" w:rsidR="004E22C1" w:rsidRPr="001455DC" w:rsidRDefault="004E22C1" w:rsidP="00243590">
      <w:pPr>
        <w:pStyle w:val="31"/>
      </w:pPr>
      <w:bookmarkStart w:id="809" w:name="_Toc52820033"/>
      <w:bookmarkStart w:id="810" w:name="_Toc54337432"/>
      <w:bookmarkStart w:id="811" w:name="_Toc54338090"/>
      <w:bookmarkStart w:id="812" w:name="_Toc67565434"/>
      <w:r w:rsidRPr="001455DC">
        <w:rPr>
          <w:noProof/>
        </w:rPr>
        <w:t>Anchorage of bars with bends and hooks</w:t>
      </w:r>
      <w:bookmarkEnd w:id="809"/>
      <w:bookmarkEnd w:id="810"/>
      <w:bookmarkEnd w:id="811"/>
      <w:bookmarkEnd w:id="812"/>
    </w:p>
    <w:p w14:paraId="5459BD5A" w14:textId="0FF69877" w:rsidR="004E22C1" w:rsidRPr="001455DC" w:rsidRDefault="004E22C1" w:rsidP="00F33AE7">
      <w:pPr>
        <w:pStyle w:val="a7"/>
      </w:pPr>
      <w:r w:rsidRPr="001455DC">
        <w:t>(1)</w:t>
      </w:r>
      <w:r w:rsidRPr="001455DC">
        <w:tab/>
        <w:t>The design anchorage length of in 11.4.2(2) or (3) may be reduced by 15</w:t>
      </w:r>
      <w:r w:rsidRPr="001455DC">
        <w:rPr>
          <w:rStyle w:val="CCMCvariableitalic"/>
        </w:rPr>
        <w:t>ϕ</w:t>
      </w:r>
      <w:r w:rsidRPr="001455DC">
        <w:t xml:space="preserve"> for standard hook and bend anchorages in tension complying with Figure 11.6 (but with </w:t>
      </w:r>
      <w:r w:rsidRPr="001455DC">
        <w:rPr>
          <w:rStyle w:val="CCMCvariableitalic"/>
        </w:rPr>
        <w:t>l</w:t>
      </w:r>
      <w:r w:rsidRPr="001455DC">
        <w:rPr>
          <w:rStyle w:val="CCMCvariablesubscript"/>
        </w:rPr>
        <w:t>bd</w:t>
      </w:r>
      <w:r w:rsidRPr="001455DC">
        <w:t> </w:t>
      </w:r>
      <w:r w:rsidR="00650035" w:rsidRPr="001455DC">
        <w:rPr>
          <w:rFonts w:ascii="Cambria Math" w:hAnsi="Cambria Math"/>
        </w:rPr>
        <w:t>≥</w:t>
      </w:r>
      <w:r w:rsidR="00073FC6" w:rsidRPr="001455DC">
        <w:t> </w:t>
      </w:r>
      <w:r w:rsidRPr="001455DC">
        <w:t>10</w:t>
      </w:r>
      <w:r w:rsidRPr="001455DC">
        <w:rPr>
          <w:rStyle w:val="CCMCvariableitalic"/>
        </w:rPr>
        <w:t>ϕ</w:t>
      </w:r>
      <w:r w:rsidRPr="001455DC">
        <w:t>).</w:t>
      </w:r>
    </w:p>
    <w:p w14:paraId="11C200F6" w14:textId="77777777" w:rsidR="004E22C1" w:rsidRPr="001455DC" w:rsidRDefault="004E22C1" w:rsidP="00F33AE7">
      <w:pPr>
        <w:pStyle w:val="a7"/>
      </w:pPr>
      <w:r w:rsidRPr="001455DC">
        <w:t xml:space="preserve">Parameter </w:t>
      </w:r>
      <w:r w:rsidRPr="001455DC">
        <w:rPr>
          <w:rStyle w:val="CCMCvariableitalic"/>
        </w:rPr>
        <w:t>c</w:t>
      </w:r>
      <w:r w:rsidRPr="001455DC">
        <w:rPr>
          <w:rStyle w:val="CCMCvariablesubscript"/>
        </w:rPr>
        <w:t>d</w:t>
      </w:r>
      <w:r w:rsidRPr="001455DC">
        <w:t xml:space="preserve"> to be used in 11.4.2 is defined in Figure 11.6c).</w:t>
      </w:r>
    </w:p>
    <w:p w14:paraId="79FD1A03" w14:textId="1A16C8A4" w:rsidR="00644E67" w:rsidRDefault="00723CF7" w:rsidP="00644E67">
      <w:pPr>
        <w:pStyle w:val="FigureText"/>
        <w:jc w:val="center"/>
        <w:rPr>
          <w:bCs/>
        </w:rPr>
      </w:pPr>
      <w:r>
        <w:rPr>
          <w:bCs/>
          <w:noProof/>
          <w:lang w:eastAsia="en-GB"/>
        </w:rPr>
        <w:fldChar w:fldCharType="begin"/>
      </w:r>
      <w:r>
        <w:rPr>
          <w:bCs/>
          <w:noProof/>
          <w:lang w:eastAsia="en-GB"/>
        </w:rPr>
        <w:instrText xml:space="preserve"> INCLUDEPICTURE  "Y:\\STD_MGT\\STDDEL\\PRODUCTION\\etrans\\Download\\Z_FIRST_DEL\\SV\\00250\\00250269\\41_e_dr\\11_006.tif" \* MERGEFORMATINET </w:instrText>
      </w:r>
      <w:r>
        <w:rPr>
          <w:bCs/>
          <w:noProof/>
          <w:lang w:eastAsia="en-GB"/>
        </w:rPr>
        <w:fldChar w:fldCharType="separate"/>
      </w:r>
      <w:r w:rsidR="00FA575F">
        <w:rPr>
          <w:bCs/>
          <w:noProof/>
          <w:lang w:eastAsia="en-GB"/>
        </w:rPr>
        <w:fldChar w:fldCharType="begin"/>
      </w:r>
      <w:r w:rsidR="00FA575F">
        <w:rPr>
          <w:bCs/>
          <w:noProof/>
          <w:lang w:eastAsia="en-GB"/>
        </w:rPr>
        <w:instrText xml:space="preserve"> INCLUDEPICTURE  "Y:\\STD_MGT\\STDDEL\\PRODUCTION\\Standards\\00250\\269\\41_e_dr\\11_006.tif" \* MERGEFORMATINET </w:instrText>
      </w:r>
      <w:r w:rsidR="00FA575F">
        <w:rPr>
          <w:bCs/>
          <w:noProof/>
          <w:lang w:eastAsia="en-GB"/>
        </w:rPr>
        <w:fldChar w:fldCharType="separate"/>
      </w:r>
      <w:r w:rsidR="00C54E80">
        <w:rPr>
          <w:bCs/>
          <w:noProof/>
          <w:lang w:eastAsia="en-GB"/>
        </w:rPr>
        <w:fldChar w:fldCharType="begin"/>
      </w:r>
      <w:r w:rsidR="00C54E80">
        <w:rPr>
          <w:bCs/>
          <w:noProof/>
          <w:lang w:eastAsia="en-GB"/>
        </w:rPr>
        <w:instrText xml:space="preserve"> INCLUDEPICTURE  "Y:\\STD_MGT\\STDDEL\\PRODUCTION\\Standards\\00250\\269\\41_e_dr\\11_006.tif" \* MERGEFORMATINET </w:instrText>
      </w:r>
      <w:r w:rsidR="00C54E80">
        <w:rPr>
          <w:bCs/>
          <w:noProof/>
          <w:lang w:eastAsia="en-GB"/>
        </w:rPr>
        <w:fldChar w:fldCharType="separate"/>
      </w:r>
      <w:r w:rsidR="004B62E7">
        <w:rPr>
          <w:bCs/>
          <w:noProof/>
          <w:lang w:eastAsia="en-GB"/>
        </w:rPr>
        <w:fldChar w:fldCharType="begin"/>
      </w:r>
      <w:r w:rsidR="004B62E7">
        <w:rPr>
          <w:bCs/>
          <w:noProof/>
          <w:lang w:eastAsia="en-GB"/>
        </w:rPr>
        <w:instrText xml:space="preserve"> INCLUDEPICTURE  "Y:\\STD_MGT\\STDDEL\\PRODUCTION\\Standards\\00250\\269\\41_e_dr\\11_006.tif" \* MERGEFORMATINET </w:instrText>
      </w:r>
      <w:r w:rsidR="004B62E7">
        <w:rPr>
          <w:bCs/>
          <w:noProof/>
          <w:lang w:eastAsia="en-GB"/>
        </w:rPr>
        <w:fldChar w:fldCharType="separate"/>
      </w:r>
      <w:r w:rsidR="00B078F1">
        <w:rPr>
          <w:bCs/>
          <w:noProof/>
          <w:lang w:eastAsia="en-GB"/>
        </w:rPr>
        <w:fldChar w:fldCharType="begin"/>
      </w:r>
      <w:r w:rsidR="00B078F1">
        <w:rPr>
          <w:bCs/>
          <w:noProof/>
          <w:lang w:eastAsia="en-GB"/>
        </w:rPr>
        <w:instrText xml:space="preserve"> INCLUDEPICTURE  "Y:\\STD_MGT\\STDDEL\\PRODUCTION\\Standards\\00250\\269\\41_e_dr\\11_006.tif" \* MERGEFORMATINET </w:instrText>
      </w:r>
      <w:r w:rsidR="00B078F1">
        <w:rPr>
          <w:bCs/>
          <w:noProof/>
          <w:lang w:eastAsia="en-GB"/>
        </w:rPr>
        <w:fldChar w:fldCharType="separate"/>
      </w:r>
      <w:r w:rsidR="000250B6">
        <w:rPr>
          <w:bCs/>
          <w:noProof/>
          <w:lang w:eastAsia="en-GB"/>
        </w:rPr>
        <w:fldChar w:fldCharType="begin"/>
      </w:r>
      <w:r w:rsidR="000250B6">
        <w:rPr>
          <w:bCs/>
          <w:noProof/>
          <w:lang w:eastAsia="en-GB"/>
        </w:rPr>
        <w:instrText xml:space="preserve"> INCLUDEPICTURE  "Y:\\STD_MGT\\STDDEL\\PRODUCTION\\Standards\\00250\\269\\41_e_dr\\11_006.tif" \* MERGEFORMATINET </w:instrText>
      </w:r>
      <w:r w:rsidR="000250B6">
        <w:rPr>
          <w:bCs/>
          <w:noProof/>
          <w:lang w:eastAsia="en-GB"/>
        </w:rPr>
        <w:fldChar w:fldCharType="separate"/>
      </w:r>
      <w:r w:rsidR="00231E33">
        <w:rPr>
          <w:bCs/>
          <w:noProof/>
          <w:lang w:eastAsia="en-GB"/>
        </w:rPr>
        <w:fldChar w:fldCharType="begin"/>
      </w:r>
      <w:r w:rsidR="00231E33">
        <w:rPr>
          <w:bCs/>
          <w:noProof/>
          <w:lang w:eastAsia="en-GB"/>
        </w:rPr>
        <w:instrText xml:space="preserve"> </w:instrText>
      </w:r>
      <w:r w:rsidR="00231E33">
        <w:rPr>
          <w:bCs/>
          <w:noProof/>
          <w:lang w:eastAsia="en-GB"/>
        </w:rPr>
        <w:instrText>INCLUDEPICTURE  "C:\\Users\\a.dionysiou\\AppData\\Local\\Temp\\Temp1_00250269_e_20210902.zip.zip\\41_e_dr\\11_006.tif" \* MERGEFORMATINET</w:instrText>
      </w:r>
      <w:r w:rsidR="00231E33">
        <w:rPr>
          <w:bCs/>
          <w:noProof/>
          <w:lang w:eastAsia="en-GB"/>
        </w:rPr>
        <w:instrText xml:space="preserve"> </w:instrText>
      </w:r>
      <w:r w:rsidR="00231E33">
        <w:rPr>
          <w:bCs/>
          <w:noProof/>
          <w:lang w:eastAsia="en-GB"/>
        </w:rPr>
        <w:fldChar w:fldCharType="separate"/>
      </w:r>
      <w:r w:rsidR="00231E33">
        <w:rPr>
          <w:bCs/>
          <w:noProof/>
          <w:lang w:eastAsia="en-GB"/>
        </w:rPr>
        <w:pict w14:anchorId="190E0067">
          <v:shape id="_x0000_i1231" type="#_x0000_t75" style="width:460.5pt;height:104.25pt">
            <v:imagedata r:id="rId432" r:href="rId433"/>
          </v:shape>
        </w:pict>
      </w:r>
      <w:r w:rsidR="00231E33">
        <w:rPr>
          <w:bCs/>
          <w:noProof/>
          <w:lang w:eastAsia="en-GB"/>
        </w:rPr>
        <w:fldChar w:fldCharType="end"/>
      </w:r>
      <w:r w:rsidR="000250B6">
        <w:rPr>
          <w:bCs/>
          <w:noProof/>
          <w:lang w:eastAsia="en-GB"/>
        </w:rPr>
        <w:fldChar w:fldCharType="end"/>
      </w:r>
      <w:r w:rsidR="00B078F1">
        <w:rPr>
          <w:bCs/>
          <w:noProof/>
          <w:lang w:eastAsia="en-GB"/>
        </w:rPr>
        <w:fldChar w:fldCharType="end"/>
      </w:r>
      <w:r w:rsidR="004B62E7">
        <w:rPr>
          <w:bCs/>
          <w:noProof/>
          <w:lang w:eastAsia="en-GB"/>
        </w:rPr>
        <w:fldChar w:fldCharType="end"/>
      </w:r>
      <w:r w:rsidR="00C54E80">
        <w:rPr>
          <w:bCs/>
          <w:noProof/>
          <w:lang w:eastAsia="en-GB"/>
        </w:rPr>
        <w:fldChar w:fldCharType="end"/>
      </w:r>
      <w:r w:rsidR="00FA575F">
        <w:rPr>
          <w:bCs/>
          <w:noProof/>
          <w:lang w:eastAsia="en-GB"/>
        </w:rPr>
        <w:fldChar w:fldCharType="end"/>
      </w:r>
      <w:r>
        <w:rPr>
          <w:bCs/>
          <w:noProof/>
          <w:lang w:eastAsia="en-GB"/>
        </w:rPr>
        <w:fldChar w:fldCharType="end"/>
      </w:r>
    </w:p>
    <w:p w14:paraId="043F305E" w14:textId="46099DF2" w:rsidR="004E22C1" w:rsidRPr="009D3012" w:rsidRDefault="004E22C1" w:rsidP="00F33AE7">
      <w:pPr>
        <w:pStyle w:val="FigureText"/>
        <w:rPr>
          <w:bCs/>
        </w:rPr>
      </w:pPr>
      <w:r w:rsidRPr="009D3012">
        <w:rPr>
          <w:bCs/>
        </w:rPr>
        <w:t>a) standard hook</w:t>
      </w:r>
    </w:p>
    <w:p w14:paraId="072F3522" w14:textId="77777777" w:rsidR="004E22C1" w:rsidRPr="009D3012" w:rsidRDefault="004E22C1" w:rsidP="00F33AE7">
      <w:pPr>
        <w:pStyle w:val="FigureText"/>
        <w:rPr>
          <w:bCs/>
        </w:rPr>
      </w:pPr>
      <w:r w:rsidRPr="009D3012">
        <w:rPr>
          <w:bCs/>
        </w:rPr>
        <w:t>b) standard 90° bend anchorages in tension</w:t>
      </w:r>
    </w:p>
    <w:p w14:paraId="3916088F" w14:textId="77777777" w:rsidR="004E22C1" w:rsidRPr="009D3012" w:rsidRDefault="004E22C1" w:rsidP="00F33AE7">
      <w:pPr>
        <w:pStyle w:val="FigureText"/>
        <w:rPr>
          <w:bCs/>
        </w:rPr>
      </w:pPr>
      <w:r w:rsidRPr="009D3012">
        <w:rPr>
          <w:bCs/>
        </w:rPr>
        <w:t xml:space="preserve">c) definition of nominal cover </w:t>
      </w:r>
      <w:r w:rsidRPr="009D3012">
        <w:rPr>
          <w:rStyle w:val="CCMCvariableitalic"/>
          <w:bCs/>
        </w:rPr>
        <w:t>c</w:t>
      </w:r>
      <w:r w:rsidRPr="009D3012">
        <w:rPr>
          <w:rStyle w:val="CCMCvariablesubscript"/>
          <w:bCs/>
        </w:rPr>
        <w:t>d</w:t>
      </w:r>
      <w:r w:rsidRPr="009D3012">
        <w:rPr>
          <w:bCs/>
        </w:rPr>
        <w:t xml:space="preserve"> (definition of </w:t>
      </w:r>
      <w:r w:rsidRPr="009D3012">
        <w:rPr>
          <w:rStyle w:val="CCMCvariableitalic"/>
          <w:bCs/>
        </w:rPr>
        <w:t>c</w:t>
      </w:r>
      <w:r w:rsidRPr="009D3012">
        <w:rPr>
          <w:rStyle w:val="CCMCvariablesubscript"/>
          <w:bCs/>
        </w:rPr>
        <w:t>s</w:t>
      </w:r>
      <w:r w:rsidRPr="009D3012">
        <w:rPr>
          <w:bCs/>
        </w:rPr>
        <w:t xml:space="preserve"> and </w:t>
      </w:r>
      <w:r w:rsidRPr="009D3012">
        <w:rPr>
          <w:rStyle w:val="CCMCvariableitalic"/>
          <w:bCs/>
        </w:rPr>
        <w:t>c</w:t>
      </w:r>
      <w:r w:rsidRPr="009D3012">
        <w:rPr>
          <w:rStyle w:val="CCMCvariablesubscript"/>
          <w:bCs/>
        </w:rPr>
        <w:t>x</w:t>
      </w:r>
      <w:r w:rsidRPr="009D3012">
        <w:rPr>
          <w:bCs/>
        </w:rPr>
        <w:t>, see Figure 11.3c))</w:t>
      </w:r>
    </w:p>
    <w:p w14:paraId="1D531A10" w14:textId="77777777" w:rsidR="004E22C1" w:rsidRPr="001455DC" w:rsidRDefault="004E22C1" w:rsidP="00F33AE7">
      <w:pPr>
        <w:pStyle w:val="Figuretitle"/>
        <w:rPr>
          <w:bCs/>
          <w:noProof/>
          <w:lang w:eastAsia="de-DE"/>
        </w:rPr>
      </w:pPr>
      <w:r w:rsidRPr="001455DC">
        <w:t>Figure 11.6 — Anchorage with standard hook and bend</w:t>
      </w:r>
    </w:p>
    <w:p w14:paraId="181B8F90" w14:textId="77777777" w:rsidR="004E22C1" w:rsidRPr="001455DC" w:rsidRDefault="004E22C1" w:rsidP="00F33AE7">
      <w:pPr>
        <w:pStyle w:val="a7"/>
      </w:pPr>
      <w:r w:rsidRPr="001455DC">
        <w:rPr>
          <w:bCs/>
          <w:noProof/>
          <w:lang w:eastAsia="de-DE"/>
        </w:rPr>
        <w:t>(2)</w:t>
      </w:r>
      <w:r w:rsidRPr="001455DC">
        <w:rPr>
          <w:bCs/>
          <w:noProof/>
          <w:lang w:eastAsia="de-DE"/>
        </w:rPr>
        <w:tab/>
      </w:r>
      <w:r w:rsidRPr="001455DC">
        <w:t xml:space="preserve">For bend and hook anchorages in tension not complying with Figures 11.6a) or b), the total design anchorage length </w:t>
      </w:r>
      <w:r w:rsidRPr="001455DC">
        <w:rPr>
          <w:rStyle w:val="CCMCvariableitalic"/>
        </w:rPr>
        <w:t>l</w:t>
      </w:r>
      <w:r w:rsidRPr="001455DC">
        <w:rPr>
          <w:rStyle w:val="CCMCvariablesubscript"/>
        </w:rPr>
        <w:t>b,tot</w:t>
      </w:r>
      <w:r w:rsidRPr="001455DC">
        <w:t xml:space="preserve"> measured along the centre-line of the bar as defined in Figure 11.7a) may be calculated using 11.4.2.</w:t>
      </w:r>
    </w:p>
    <w:p w14:paraId="745F402E" w14:textId="77777777" w:rsidR="004E22C1" w:rsidRPr="001455DC" w:rsidRDefault="004E22C1" w:rsidP="00F33AE7">
      <w:pPr>
        <w:pStyle w:val="a7"/>
      </w:pPr>
      <w:r w:rsidRPr="001455DC">
        <w:t xml:space="preserve">Parameter </w:t>
      </w:r>
      <w:r w:rsidRPr="001455DC">
        <w:rPr>
          <w:rStyle w:val="CCMCvariableitalic"/>
        </w:rPr>
        <w:t>c</w:t>
      </w:r>
      <w:r w:rsidRPr="001455DC">
        <w:rPr>
          <w:rStyle w:val="CCMCvariablesubscript"/>
        </w:rPr>
        <w:t>d</w:t>
      </w:r>
      <w:r w:rsidRPr="001455DC">
        <w:t xml:space="preserve"> to be used in 11.4.2 is defined in Figure 11.</w:t>
      </w:r>
      <w:r w:rsidRPr="001455DC">
        <w:rPr>
          <w:bCs/>
        </w:rPr>
        <w:t>6</w:t>
      </w:r>
      <w:r w:rsidRPr="001455DC">
        <w:t>c).</w:t>
      </w:r>
    </w:p>
    <w:p w14:paraId="052E1FBF" w14:textId="7F04F1BD" w:rsidR="004E22C1" w:rsidRPr="001455DC" w:rsidRDefault="004E22C1" w:rsidP="00F33AE7">
      <w:pPr>
        <w:pStyle w:val="a7"/>
      </w:pPr>
      <w:r w:rsidRPr="001455DC">
        <w:t>(3)</w:t>
      </w:r>
      <w:r w:rsidRPr="001455DC">
        <w:tab/>
        <w:t>For bend and hook anchorages in compression, only the first straight segment (</w:t>
      </w:r>
      <w:r w:rsidRPr="001455DC">
        <w:rPr>
          <w:rStyle w:val="CCMCvariableitalic"/>
        </w:rPr>
        <w:t>l</w:t>
      </w:r>
      <w:r w:rsidRPr="001455DC">
        <w:rPr>
          <w:rStyle w:val="CCMCvariablesubscript"/>
        </w:rPr>
        <w:t>bd</w:t>
      </w:r>
      <w:r w:rsidRPr="001455DC">
        <w:t xml:space="preserve"> in Figure 11.7b)) may generally be taken to contribute to anchorage, except when all free surfaces perpendicular to the bar are at a distance </w:t>
      </w:r>
      <w:r w:rsidR="00650035" w:rsidRPr="001455DC">
        <w:rPr>
          <w:rFonts w:ascii="Cambria Math" w:hAnsi="Cambria Math"/>
        </w:rPr>
        <w:t>≥</w:t>
      </w:r>
      <w:r w:rsidR="00073FC6" w:rsidRPr="001455DC">
        <w:t> </w:t>
      </w:r>
      <w:r w:rsidRPr="001455DC">
        <w:t>3,5</w:t>
      </w:r>
      <w:r w:rsidRPr="001455DC">
        <w:rPr>
          <w:rStyle w:val="CCMCvariableitalic"/>
        </w:rPr>
        <w:t>ϕ</w:t>
      </w:r>
      <w:r w:rsidRPr="001455DC">
        <w:t xml:space="preserve">. The design anchorage length </w:t>
      </w:r>
      <w:r w:rsidRPr="001455DC">
        <w:rPr>
          <w:rStyle w:val="CCMCvariableitalic"/>
        </w:rPr>
        <w:t>l</w:t>
      </w:r>
      <w:r w:rsidRPr="001455DC">
        <w:rPr>
          <w:rStyle w:val="CCMCvariablesubscript"/>
        </w:rPr>
        <w:t>bd</w:t>
      </w:r>
      <w:r w:rsidRPr="001455DC">
        <w:t xml:space="preserve"> may be reduced by 15</w:t>
      </w:r>
      <w:r w:rsidRPr="001455DC">
        <w:rPr>
          <w:rStyle w:val="CCMCvariableitalic"/>
        </w:rPr>
        <w:t>ϕ</w:t>
      </w:r>
      <w:r w:rsidRPr="001455DC">
        <w:t>, but shall not be shorter than 10</w:t>
      </w:r>
      <w:r w:rsidRPr="001455DC">
        <w:rPr>
          <w:rStyle w:val="CCMCvariableitalic"/>
        </w:rPr>
        <w:t>ϕ</w:t>
      </w:r>
      <w:r w:rsidRPr="001455DC">
        <w:t>.</w:t>
      </w:r>
    </w:p>
    <w:tbl>
      <w:tblPr>
        <w:tblStyle w:val="a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6"/>
        <w:gridCol w:w="4876"/>
      </w:tblGrid>
      <w:tr w:rsidR="00F33AE7" w:rsidRPr="001455DC" w14:paraId="3CA9A58C" w14:textId="77777777" w:rsidTr="00F33AE7">
        <w:trPr>
          <w:cantSplit/>
          <w:jc w:val="center"/>
        </w:trPr>
        <w:tc>
          <w:tcPr>
            <w:tcW w:w="4876" w:type="dxa"/>
            <w:vAlign w:val="center"/>
          </w:tcPr>
          <w:p w14:paraId="7EED4B99" w14:textId="04E866AF" w:rsidR="00F33AE7" w:rsidRPr="001455DC" w:rsidRDefault="00723CF7" w:rsidP="00F33AE7">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"Y:\\STD_MGT\\STDDEL\\PRODUCTION\\etrans\\Download\\Z_FIRST_DEL\\SV\\00250\\00250269\\41_e_dr\\11_007a.tif"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"Y:\\STD_MGT\\STDDEL\\PRODUCTION\\Standards\\00250\\269\\41_e_dr\\11_007a.tif"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"Y:\\STD_MGT\\STDDEL\\PRODUCTION\\Standards\\00250\\269\\41_e_dr\\11_007a.tif"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"Y:\\STD_MGT\\STDDEL\\PRODUCTION\\Standards\\00250\\269\\41_e_dr\\11_007a.tif"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"Y:\\STD_MGT\\STDDEL\\PRODUCTION\\Standards\\00250\\269\\41_e_dr\\11_007a.tif"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"Y:\\STD_MGT\\STDDEL\\PRODUCTION\\Standards\\00250\\269\\41_e_dr\\11_007a.tif"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w:instrText>
            </w:r>
            <w:r w:rsidR="00231E33">
              <w:rPr>
                <w:noProof/>
                <w:lang w:eastAsia="en-GB"/>
              </w:rPr>
              <w:instrText>Temp1_00250269_e_20210902.zip.zip\\41_e_dr\\11_007a.tif"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49322CA2">
                <v:shape id="_x0000_i1232" type="#_x0000_t75" style="width:131.25pt;height:135.75pt">
                  <v:imagedata r:id="rId434" r:href="rId435"/>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4876" w:type="dxa"/>
            <w:vAlign w:val="center"/>
          </w:tcPr>
          <w:p w14:paraId="1455DA70" w14:textId="497718C1" w:rsidR="00F33AE7" w:rsidRPr="001455DC" w:rsidRDefault="00723CF7" w:rsidP="00F33AE7">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"Y:\\STD_MGT\\STDDEL\\PRODUCTION\\etrans\\Download\\Z_FIRST_DEL\\SV\\00250\\00250269\\41_e_dr\\11_007b.tif"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"Y:\\STD_MGT\\STDDEL\\PRODUCTION\\Standards\\00250\\269\\41_e_dr\\11_007b.tif"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"Y:\\STD_MGT\\STDDEL\\PRODUCTION\\Standards\\00250\\269\\41_e_dr\\11_007b.tif"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"Y:\\STD_MGT\\STDDEL\\PRODUCTION\\Standards\\00250\\269\\41_e_dr\\11_007b.tif"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"Y:\\STD_MGT\\STDDEL\\PRODUCTION\\Standards\\00250\\269\\41_e_dr\\11_007b.tif"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"Y:\\STD_MGT\\STDDEL\\PRODUCTION\\Standards\\00250\\269\\41_e_dr\\11_007b.tif"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w:instrText>
            </w:r>
            <w:r w:rsidR="00231E33">
              <w:rPr>
                <w:noProof/>
                <w:lang w:eastAsia="en-GB"/>
              </w:rPr>
              <w:instrText>\\Local\\Temp\\Temp1_00250269_e_20210902.zip.zip\\41_e_dr\\11_007b.tif"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24E72C0E">
                <v:shape id="_x0000_i1233" type="#_x0000_t75" style="width:123.75pt;height:102.75pt">
                  <v:imagedata r:id="rId436" r:href="rId437"/>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F33AE7" w:rsidRPr="001455DC" w14:paraId="3BEDA5A1" w14:textId="77777777" w:rsidTr="00F33AE7">
        <w:trPr>
          <w:cantSplit/>
          <w:jc w:val="center"/>
        </w:trPr>
        <w:tc>
          <w:tcPr>
            <w:tcW w:w="4876" w:type="dxa"/>
            <w:vAlign w:val="center"/>
          </w:tcPr>
          <w:p w14:paraId="0968DDC0" w14:textId="795A2C27" w:rsidR="00F33AE7" w:rsidRPr="001455DC" w:rsidRDefault="00F33AE7" w:rsidP="00F33AE7">
            <w:pPr>
              <w:pStyle w:val="FigureText"/>
              <w:jc w:val="center"/>
              <w:rPr>
                <w:szCs w:val="22"/>
              </w:rPr>
            </w:pPr>
            <w:r w:rsidRPr="009D3012">
              <w:rPr>
                <w:szCs w:val="22"/>
              </w:rPr>
              <w:t>a) bend or hook in tension</w:t>
            </w:r>
          </w:p>
        </w:tc>
        <w:tc>
          <w:tcPr>
            <w:tcW w:w="4876" w:type="dxa"/>
            <w:vAlign w:val="center"/>
          </w:tcPr>
          <w:p w14:paraId="1EE46B1B" w14:textId="482E8736" w:rsidR="00F33AE7" w:rsidRPr="001455DC" w:rsidRDefault="00F33AE7" w:rsidP="00F33AE7">
            <w:pPr>
              <w:pStyle w:val="FigureText"/>
              <w:jc w:val="center"/>
              <w:rPr>
                <w:szCs w:val="22"/>
              </w:rPr>
            </w:pPr>
            <w:r w:rsidRPr="009D3012">
              <w:rPr>
                <w:szCs w:val="22"/>
              </w:rPr>
              <w:t>b) bend or hook in compression</w:t>
            </w:r>
          </w:p>
        </w:tc>
      </w:tr>
    </w:tbl>
    <w:p w14:paraId="5AC3F9F6" w14:textId="77777777" w:rsidR="004E22C1" w:rsidRPr="001455DC" w:rsidRDefault="004E22C1" w:rsidP="00F33AE7">
      <w:pPr>
        <w:pStyle w:val="Figuretitle"/>
      </w:pPr>
      <w:r w:rsidRPr="001455DC">
        <w:t xml:space="preserve">Figure 11.7 — Definition of design anchorage length </w:t>
      </w:r>
      <w:r w:rsidRPr="001455DC">
        <w:rPr>
          <w:rStyle w:val="CCMCvariableitalic"/>
        </w:rPr>
        <w:t>l</w:t>
      </w:r>
      <w:r w:rsidRPr="001455DC">
        <w:rPr>
          <w:rStyle w:val="CCMCvariablesubscript"/>
        </w:rPr>
        <w:t>bd</w:t>
      </w:r>
      <w:r w:rsidRPr="001455DC">
        <w:t xml:space="preserve"> or </w:t>
      </w:r>
      <w:r w:rsidRPr="001455DC">
        <w:rPr>
          <w:rStyle w:val="CCMCvariableitalic"/>
        </w:rPr>
        <w:t>l</w:t>
      </w:r>
      <w:r w:rsidRPr="001455DC">
        <w:rPr>
          <w:rStyle w:val="CCMCvariablesubscript"/>
        </w:rPr>
        <w:t>bd,tot</w:t>
      </w:r>
      <w:r w:rsidRPr="001455DC">
        <w:t xml:space="preserve"> for bars with non-standard hooks and bends and for bars in compression</w:t>
      </w:r>
    </w:p>
    <w:p w14:paraId="2B592BAF" w14:textId="4A5A2134" w:rsidR="004E22C1" w:rsidRPr="001455DC" w:rsidRDefault="004E22C1" w:rsidP="00243590">
      <w:pPr>
        <w:pStyle w:val="31"/>
      </w:pPr>
      <w:bookmarkStart w:id="813" w:name="_Toc52820034"/>
      <w:bookmarkStart w:id="814" w:name="_Toc54337433"/>
      <w:bookmarkStart w:id="815" w:name="_Toc54338091"/>
      <w:bookmarkStart w:id="816" w:name="_Toc67565435"/>
      <w:r w:rsidRPr="001455DC">
        <w:rPr>
          <w:noProof/>
        </w:rPr>
        <w:t>Anchorage of bars with welded transverse reinforcement</w:t>
      </w:r>
      <w:bookmarkEnd w:id="813"/>
      <w:bookmarkEnd w:id="814"/>
      <w:bookmarkEnd w:id="815"/>
      <w:bookmarkEnd w:id="816"/>
    </w:p>
    <w:p w14:paraId="16ED9FD5" w14:textId="49453FE4" w:rsidR="004E22C1" w:rsidRPr="001455DC" w:rsidRDefault="004E22C1" w:rsidP="00E844D2">
      <w:pPr>
        <w:pStyle w:val="a7"/>
        <w:keepNext/>
      </w:pPr>
      <w:r w:rsidRPr="001455DC">
        <w:rPr>
          <w:bCs/>
        </w:rPr>
        <w:t>(1)</w:t>
      </w:r>
      <w:r w:rsidRPr="001455DC">
        <w:rPr>
          <w:bCs/>
        </w:rPr>
        <w:tab/>
      </w:r>
      <w:r w:rsidRPr="001455DC">
        <w:t>The design anchorage length in 11.4.2(2) or (3) with welded transverse reinforcement in tension and compression complying with Figure 11.8 (e.g. fabric) may be reduced by 15</w:t>
      </w:r>
      <w:r w:rsidRPr="001455DC">
        <w:rPr>
          <w:rStyle w:val="CCMCvariableitalic"/>
        </w:rPr>
        <w:t>ϕ</w:t>
      </w:r>
      <w:r w:rsidRPr="001455DC">
        <w:t xml:space="preserve">, (but with </w:t>
      </w:r>
      <w:r w:rsidRPr="001455DC">
        <w:rPr>
          <w:rStyle w:val="CCMCvariableitalic"/>
        </w:rPr>
        <w:t>l</w:t>
      </w:r>
      <w:r w:rsidRPr="001455DC">
        <w:rPr>
          <w:rStyle w:val="CCMCvariablesubscript"/>
        </w:rPr>
        <w:t>bd</w:t>
      </w:r>
      <w:r w:rsidRPr="001455DC">
        <w:t> </w:t>
      </w:r>
      <w:r w:rsidR="00650035" w:rsidRPr="001455DC">
        <w:rPr>
          <w:rFonts w:ascii="Cambria Math" w:hAnsi="Cambria Math"/>
        </w:rPr>
        <w:t>≥</w:t>
      </w:r>
      <w:r w:rsidR="00073FC6" w:rsidRPr="001455DC">
        <w:t> </w:t>
      </w:r>
      <w:r w:rsidRPr="001455DC">
        <w:t>10</w:t>
      </w:r>
      <w:r w:rsidRPr="001455DC">
        <w:rPr>
          <w:rStyle w:val="CCMCvariableitalic"/>
        </w:rPr>
        <w:t>ϕ</w:t>
      </w:r>
      <w:r w:rsidRPr="001455DC">
        <w:t>) under the condition that:</w:t>
      </w:r>
    </w:p>
    <w:p w14:paraId="35197E41" w14:textId="1E3896D9" w:rsidR="004E22C1" w:rsidRPr="001455DC" w:rsidRDefault="004E22C1" w:rsidP="00F33AE7">
      <w:pPr>
        <w:pStyle w:val="a0"/>
      </w:pPr>
      <w:r w:rsidRPr="001455DC">
        <w:t xml:space="preserve">when </w:t>
      </w:r>
      <w:r w:rsidRPr="001455DC">
        <w:rPr>
          <w:rStyle w:val="CCMCvariableitalic"/>
        </w:rPr>
        <w:t>ϕ</w:t>
      </w:r>
      <w:r w:rsidRPr="001455DC">
        <w:rPr>
          <w:rStyle w:val="CCMCvariablesubscript"/>
        </w:rPr>
        <w:t>t</w:t>
      </w:r>
      <w:r w:rsidRPr="001455DC">
        <w:t> </w:t>
      </w:r>
      <w:r w:rsidR="00650035" w:rsidRPr="001455DC">
        <w:rPr>
          <w:rFonts w:ascii="Cambria Math" w:hAnsi="Cambria Math"/>
        </w:rPr>
        <w:t>≥</w:t>
      </w:r>
      <w:r w:rsidR="00073FC6" w:rsidRPr="001455DC">
        <w:t> </w:t>
      </w:r>
      <w:r w:rsidRPr="001455DC">
        <w:t>0,6</w:t>
      </w:r>
      <w:r w:rsidRPr="001455DC">
        <w:rPr>
          <w:rStyle w:val="CCMCvariableitalic"/>
        </w:rPr>
        <w:t>ϕ</w:t>
      </w:r>
      <w:r w:rsidRPr="001455DC">
        <w:t xml:space="preserve"> at least one transverse bar is to be located within the anchorage length (Figure 11.8a)),</w:t>
      </w:r>
    </w:p>
    <w:p w14:paraId="2E0D4F38" w14:textId="291D5BEE" w:rsidR="004E22C1" w:rsidRPr="001455DC" w:rsidRDefault="004E22C1" w:rsidP="00F33AE7">
      <w:pPr>
        <w:pStyle w:val="a0"/>
      </w:pPr>
      <w:r w:rsidRPr="001455DC">
        <w:t xml:space="preserve">when </w:t>
      </w:r>
      <w:r w:rsidRPr="001455DC">
        <w:rPr>
          <w:rStyle w:val="CCMCvariableitalic"/>
        </w:rPr>
        <w:t>ϕ</w:t>
      </w:r>
      <w:r w:rsidRPr="001455DC">
        <w:rPr>
          <w:rStyle w:val="CCMCvariablesubscript"/>
        </w:rPr>
        <w:t>t</w:t>
      </w:r>
      <w:r w:rsidRPr="001455DC">
        <w:t> </w:t>
      </w:r>
      <w:r w:rsidR="00650035" w:rsidRPr="001455DC">
        <w:rPr>
          <w:rFonts w:ascii="Cambria Math" w:hAnsi="Cambria Math"/>
        </w:rPr>
        <w:t>≤</w:t>
      </w:r>
      <w:r w:rsidRPr="001455DC">
        <w:t> 0,6</w:t>
      </w:r>
      <w:r w:rsidRPr="001455DC">
        <w:rPr>
          <w:rStyle w:val="CCMCvariableitalic"/>
        </w:rPr>
        <w:t>ϕ</w:t>
      </w:r>
      <w:r w:rsidRPr="001455DC">
        <w:t xml:space="preserve"> a minimum of two transverse bars are to be located within the anchorage length with 50 mm </w:t>
      </w:r>
      <w:r w:rsidR="00650035" w:rsidRPr="001455DC">
        <w:rPr>
          <w:rFonts w:ascii="Cambria Math" w:hAnsi="Cambria Math"/>
        </w:rPr>
        <w:t>≤</w:t>
      </w:r>
      <w:r w:rsidRPr="001455DC">
        <w:t> </w:t>
      </w:r>
      <w:r w:rsidRPr="001455DC">
        <w:rPr>
          <w:rStyle w:val="CCMCvariableitalic"/>
        </w:rPr>
        <w:t>s</w:t>
      </w:r>
      <w:r w:rsidRPr="001455DC">
        <w:t> </w:t>
      </w:r>
      <w:r w:rsidR="00650035" w:rsidRPr="001455DC">
        <w:rPr>
          <w:rFonts w:ascii="Cambria Math" w:hAnsi="Cambria Math"/>
        </w:rPr>
        <w:t>≤</w:t>
      </w:r>
      <w:r w:rsidRPr="001455DC">
        <w:t xml:space="preserve"> 100 mm and for </w:t>
      </w:r>
      <w:r w:rsidRPr="001455DC">
        <w:rPr>
          <w:rStyle w:val="CCMCvariableitalic"/>
        </w:rPr>
        <w:t>ϕ</w:t>
      </w:r>
      <w:r w:rsidRPr="001455DC">
        <w:t> </w:t>
      </w:r>
      <w:r w:rsidR="00650035" w:rsidRPr="001455DC">
        <w:rPr>
          <w:rFonts w:ascii="Cambria Math" w:hAnsi="Cambria Math"/>
        </w:rPr>
        <w:t>≤</w:t>
      </w:r>
      <w:r w:rsidRPr="001455DC">
        <w:t> 16 mm (Figure 11.8b)).</w:t>
      </w:r>
    </w:p>
    <w:p w14:paraId="4FA4D562" w14:textId="5564EB9C" w:rsidR="004E22C1" w:rsidRPr="001455DC" w:rsidRDefault="004E22C1" w:rsidP="00F33AE7">
      <w:pPr>
        <w:pStyle w:val="Note"/>
      </w:pPr>
      <w:r w:rsidRPr="001455DC">
        <w:t>NOTE</w:t>
      </w:r>
      <w:r w:rsidRPr="001455DC">
        <w:tab/>
        <w:t>For minimum weld strength</w:t>
      </w:r>
      <w:r w:rsidR="0079403C">
        <w:t>,</w:t>
      </w:r>
      <w:r w:rsidRPr="001455DC">
        <w:t xml:space="preserve"> see C.</w:t>
      </w:r>
      <w:r w:rsidR="00DC0EB4" w:rsidRPr="001455DC">
        <w:t>4</w:t>
      </w:r>
      <w:r w:rsidR="00835063" w:rsidRPr="001455DC">
        <w:t>.1</w:t>
      </w:r>
      <w:r w:rsidRPr="001455DC">
        <w:t>(2).</w:t>
      </w:r>
    </w:p>
    <w:tbl>
      <w:tblPr>
        <w:tblStyle w:val="a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6"/>
        <w:gridCol w:w="4876"/>
      </w:tblGrid>
      <w:tr w:rsidR="00F33AE7" w:rsidRPr="001455DC" w14:paraId="10F2E4AB" w14:textId="77777777" w:rsidTr="00F33AE7">
        <w:trPr>
          <w:cantSplit/>
          <w:jc w:val="center"/>
        </w:trPr>
        <w:tc>
          <w:tcPr>
            <w:tcW w:w="4876" w:type="dxa"/>
            <w:vAlign w:val="center"/>
          </w:tcPr>
          <w:p w14:paraId="2B023BC0" w14:textId="2F06D4A0" w:rsidR="00F33AE7" w:rsidRPr="001455DC" w:rsidRDefault="00723CF7" w:rsidP="00F33AE7">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"Y:\\STD_MGT\\STDDEL\\PRODUCTION\\etrans\\Download\\Z_FIRST_DEL\\SV\\00250\\00250269\\41_e_dr\\11_008a.tif"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"Y:\\STD_MGT\\STDDEL\\PRODUCTION\\Standards\\00250\\269\\41_e_dr\\11_008a.tif"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"Y:\\STD_MGT\\STDDEL\\PRODUCTION\\Standards\\00250\\269\\41_e_dr\\11_008a.tif"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"Y:\\STD_MGT\\STDDEL\\PRODUCTION\\Standards\\00250\\269\\41_e_dr\\11_008a.tif"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"Y:\\STD_MGT\\STDDEL\\PRODUCTION\\Standards\\00250\\269\\41_e_dr\\11_008a.tif"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"Y:\\STD_MGT\\STDDEL\\PRODUCTION\\Standards\\00250\\269\\41_e_dr\\11_008a.tif"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"C:\\Users\\a.dionysiou\\AppData\\Local\\Temp\\Temp1_00250269_e_20210902.zip.zip\\41_e_dr\\11_008a.tif"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5391C976">
                <v:shape id="_x0000_i1234" type="#_x0000_t75" style="width:113.25pt;height:45pt">
                  <v:imagedata r:id="rId438" r:href="rId439"/>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4876" w:type="dxa"/>
            <w:vAlign w:val="center"/>
          </w:tcPr>
          <w:p w14:paraId="0FBAEBC0" w14:textId="10328283" w:rsidR="00F33AE7" w:rsidRPr="001455DC" w:rsidRDefault="00723CF7" w:rsidP="00F33AE7">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"Y:\\STD_MGT\\STDDEL\\PRODUCTION\\etrans\\Download\\Z_FIRST_DEL\\SV\\00250\\00250269\\41_e_dr\\11_008b.tif"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"Y:\\STD_MGT\\STDDEL\\PRODUCTION\\Standards\\00250\\269\\41_e_dr\\11_008b.tif"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"Y:\\STD_MGT\\STDDEL\\PRODUCTION\\Standards\\00250\\269\\41_e_dr\\11_008b.tif"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"Y:\\STD_MGT\\STDDEL\\PRODUCTION\\Standards\\00250\\269\\41_e_dr\\11_008b.tif"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"Y:\\STD_MGT\\STDDEL\\PRODUCTION\\Standards\\00250\\269\\41_e_dr\\11_008b.tif"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"Y:\\STD_MGT\\STDDEL\\PRODUCTION\\Standards\\00250\\269\\41_e_dr\\11_008b.tif"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w:instrText>
            </w:r>
            <w:r w:rsidR="00231E33">
              <w:rPr>
                <w:noProof/>
                <w:lang w:eastAsia="en-GB"/>
              </w:rPr>
              <w:instrText>cal\\Temp\\Temp1_00250269_e_20210902.zip.zip\\41_e_dr\\11_008b.tif"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1AEA8C6F">
                <v:shape id="_x0000_i1235" type="#_x0000_t75" style="width:113.25pt;height:66.75pt">
                  <v:imagedata r:id="rId440" r:href="rId441"/>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F33AE7" w:rsidRPr="001455DC" w14:paraId="7722C664" w14:textId="77777777" w:rsidTr="00F33AE7">
        <w:trPr>
          <w:cantSplit/>
          <w:jc w:val="center"/>
        </w:trPr>
        <w:tc>
          <w:tcPr>
            <w:tcW w:w="4876" w:type="dxa"/>
            <w:vAlign w:val="center"/>
          </w:tcPr>
          <w:p w14:paraId="513B2546" w14:textId="6781139A" w:rsidR="00F33AE7" w:rsidRPr="001455DC" w:rsidRDefault="00F33AE7" w:rsidP="00605B61">
            <w:pPr>
              <w:pStyle w:val="FigureText"/>
              <w:jc w:val="center"/>
              <w:rPr>
                <w:szCs w:val="22"/>
              </w:rPr>
            </w:pPr>
            <w:r w:rsidRPr="009D3012">
              <w:rPr>
                <w:bCs/>
              </w:rPr>
              <w:t>a) one transverse bar within the anchorage length</w:t>
            </w:r>
          </w:p>
        </w:tc>
        <w:tc>
          <w:tcPr>
            <w:tcW w:w="4876" w:type="dxa"/>
            <w:vAlign w:val="center"/>
          </w:tcPr>
          <w:p w14:paraId="6511CE43" w14:textId="1E839557" w:rsidR="00F33AE7" w:rsidRPr="009D3012" w:rsidRDefault="00F33AE7" w:rsidP="00605B61">
            <w:pPr>
              <w:pStyle w:val="FigureText"/>
              <w:jc w:val="center"/>
              <w:rPr>
                <w:bCs/>
              </w:rPr>
            </w:pPr>
            <w:r w:rsidRPr="009D3012">
              <w:rPr>
                <w:bCs/>
              </w:rPr>
              <w:t>b) two transverse bars within the anchorage length</w:t>
            </w:r>
          </w:p>
        </w:tc>
      </w:tr>
    </w:tbl>
    <w:p w14:paraId="111328DD" w14:textId="77777777" w:rsidR="004E22C1" w:rsidRPr="001455DC" w:rsidRDefault="004E22C1" w:rsidP="00F33AE7">
      <w:pPr>
        <w:pStyle w:val="Figuretitle"/>
      </w:pPr>
      <w:r w:rsidRPr="001455DC">
        <w:t>Figure 11.8 — Methods of anchorage with welded transverse reinforcement</w:t>
      </w:r>
    </w:p>
    <w:p w14:paraId="2D3C15F1" w14:textId="3CA64948" w:rsidR="004E22C1" w:rsidRPr="001455DC" w:rsidRDefault="004E22C1" w:rsidP="00243590">
      <w:pPr>
        <w:pStyle w:val="31"/>
      </w:pPr>
      <w:bookmarkStart w:id="817" w:name="_Toc52820035"/>
      <w:bookmarkStart w:id="818" w:name="_Toc54337434"/>
      <w:bookmarkStart w:id="819" w:name="_Toc54338092"/>
      <w:bookmarkStart w:id="820" w:name="_Toc67565436"/>
      <w:r w:rsidRPr="001455DC">
        <w:t>Anchorage of U-bar loops</w:t>
      </w:r>
      <w:bookmarkEnd w:id="817"/>
      <w:bookmarkEnd w:id="818"/>
      <w:bookmarkEnd w:id="819"/>
      <w:bookmarkEnd w:id="820"/>
    </w:p>
    <w:p w14:paraId="752299E3" w14:textId="77777777" w:rsidR="004E22C1" w:rsidRPr="001455DC" w:rsidRDefault="004E22C1" w:rsidP="00F33AE7">
      <w:pPr>
        <w:pStyle w:val="a7"/>
      </w:pPr>
      <w:r w:rsidRPr="001455DC">
        <w:t>(1)</w:t>
      </w:r>
      <w:r w:rsidRPr="001455DC">
        <w:tab/>
        <w:t>For U-bar loops subject to pure tension, anchorage may be considered to be provided if the loop details comply with 11.3.</w:t>
      </w:r>
    </w:p>
    <w:p w14:paraId="4B76836A" w14:textId="1C46CEC5" w:rsidR="004E22C1" w:rsidRPr="001455DC" w:rsidRDefault="004E22C1" w:rsidP="00F33AE7">
      <w:pPr>
        <w:pStyle w:val="a7"/>
      </w:pPr>
      <w:r w:rsidRPr="001455DC">
        <w:t>(2)</w:t>
      </w:r>
      <w:r w:rsidRPr="001455DC">
        <w:tab/>
        <w:t>Alternatively, the design anchorage length in 11.4.2(2) or (3) with U-bar loops in tension with the minimum mandrel diameter may be reduced by 20</w:t>
      </w:r>
      <w:r w:rsidRPr="001455DC">
        <w:rPr>
          <w:rStyle w:val="CCMCvariableitalic"/>
        </w:rPr>
        <w:t>ϕ</w:t>
      </w:r>
      <w:r w:rsidRPr="001455DC">
        <w:t xml:space="preserve"> (but with </w:t>
      </w:r>
      <w:r w:rsidRPr="001455DC">
        <w:rPr>
          <w:rStyle w:val="CCMCvariableitalic"/>
        </w:rPr>
        <w:t>l</w:t>
      </w:r>
      <w:r w:rsidRPr="001455DC">
        <w:rPr>
          <w:rStyle w:val="CCMCvariablesubscript"/>
        </w:rPr>
        <w:t>bd</w:t>
      </w:r>
      <w:r w:rsidRPr="001455DC">
        <w:t> </w:t>
      </w:r>
      <w:r w:rsidR="00650035" w:rsidRPr="001455DC">
        <w:rPr>
          <w:rFonts w:ascii="Cambria Math" w:hAnsi="Cambria Math"/>
        </w:rPr>
        <w:t>≥</w:t>
      </w:r>
      <w:r w:rsidR="00073FC6" w:rsidRPr="001455DC">
        <w:t> </w:t>
      </w:r>
      <w:r w:rsidRPr="001455DC">
        <w:t>10</w:t>
      </w:r>
      <w:r w:rsidRPr="001455DC">
        <w:rPr>
          <w:rStyle w:val="CCMCvariableitalic"/>
        </w:rPr>
        <w:t>ϕ</w:t>
      </w:r>
      <w:r w:rsidRPr="001455DC">
        <w:t>).</w:t>
      </w:r>
    </w:p>
    <w:p w14:paraId="1C9C4D5B" w14:textId="3904F529" w:rsidR="004E22C1" w:rsidRPr="001455DC" w:rsidRDefault="004E22C1" w:rsidP="00243590">
      <w:pPr>
        <w:pStyle w:val="31"/>
      </w:pPr>
      <w:bookmarkStart w:id="821" w:name="_Toc52820036"/>
      <w:bookmarkStart w:id="822" w:name="_Toc54337435"/>
      <w:bookmarkStart w:id="823" w:name="_Toc54338093"/>
      <w:bookmarkStart w:id="824" w:name="_Toc67565437"/>
      <w:r w:rsidRPr="001455DC">
        <w:t>Anchorage of headed bars</w:t>
      </w:r>
      <w:bookmarkEnd w:id="821"/>
      <w:bookmarkEnd w:id="822"/>
      <w:bookmarkEnd w:id="823"/>
      <w:bookmarkEnd w:id="824"/>
    </w:p>
    <w:p w14:paraId="3350595A" w14:textId="70595136" w:rsidR="004E22C1" w:rsidRPr="001455DC" w:rsidRDefault="004E22C1" w:rsidP="00E844D2">
      <w:pPr>
        <w:pStyle w:val="a7"/>
        <w:keepNext/>
      </w:pPr>
      <w:r w:rsidRPr="001455DC">
        <w:t>(1)</w:t>
      </w:r>
      <w:r w:rsidRPr="001455DC">
        <w:tab/>
        <w:t xml:space="preserve">A tensile stress in the reinforcing steel bar </w:t>
      </w:r>
      <w:r w:rsidRPr="001455DC">
        <w:rPr>
          <w:rStyle w:val="CCMCvariableitalic"/>
        </w:rPr>
        <w:t>σ</w:t>
      </w:r>
      <w:r w:rsidRPr="001455DC">
        <w:rPr>
          <w:rStyle w:val="CCMCvariablesubscript"/>
        </w:rPr>
        <w:t>sd</w:t>
      </w:r>
      <w:r w:rsidRPr="001455DC">
        <w:t> </w:t>
      </w:r>
      <w:r w:rsidR="00EC27D2" w:rsidRPr="001455DC">
        <w:rPr>
          <w:rFonts w:ascii="Cambria Math" w:hAnsi="Cambria Math"/>
        </w:rPr>
        <w:t>=</w:t>
      </w:r>
      <w:r w:rsidRPr="001455DC">
        <w:t xml:space="preserve"> 435 MPa may be considered to be developed without additional anchorage length for heads </w:t>
      </w:r>
      <w:r w:rsidRPr="001455DC">
        <w:rPr>
          <w:rStyle w:val="CCMCvariableitalic"/>
        </w:rPr>
        <w:t>ϕ</w:t>
      </w:r>
      <w:r w:rsidRPr="001455DC">
        <w:rPr>
          <w:rStyle w:val="CCMCvariablesubscript"/>
        </w:rPr>
        <w:t>h</w:t>
      </w:r>
      <w:r w:rsidRPr="001455DC">
        <w:t> </w:t>
      </w:r>
      <w:r w:rsidR="00650035" w:rsidRPr="001455DC">
        <w:rPr>
          <w:rFonts w:ascii="Cambria Math" w:hAnsi="Cambria Math"/>
        </w:rPr>
        <w:t>≥</w:t>
      </w:r>
      <w:r w:rsidR="00073FC6" w:rsidRPr="001455DC">
        <w:t> </w:t>
      </w:r>
      <w:r w:rsidRPr="001455DC">
        <w:t>3</w:t>
      </w:r>
      <w:r w:rsidRPr="001455DC">
        <w:rPr>
          <w:rStyle w:val="CCMCvariableitalic"/>
        </w:rPr>
        <w:t>ϕ</w:t>
      </w:r>
      <w:r w:rsidRPr="001455DC">
        <w:t xml:space="preserve"> with </w:t>
      </w:r>
      <w:r w:rsidRPr="001455DC">
        <w:rPr>
          <w:rStyle w:val="CCMCvariableitalic"/>
        </w:rPr>
        <w:t>f</w:t>
      </w:r>
      <w:r w:rsidRPr="001455DC">
        <w:rPr>
          <w:rStyle w:val="CCMCvariablesubscript"/>
        </w:rPr>
        <w:t>ck</w:t>
      </w:r>
      <w:r w:rsidRPr="001455DC">
        <w:t> </w:t>
      </w:r>
      <w:r w:rsidR="00650035" w:rsidRPr="001455DC">
        <w:rPr>
          <w:rFonts w:ascii="Cambria Math" w:hAnsi="Cambria Math"/>
        </w:rPr>
        <w:t>≥</w:t>
      </w:r>
      <w:r w:rsidR="00073FC6" w:rsidRPr="001455DC">
        <w:t> </w:t>
      </w:r>
      <w:r w:rsidRPr="001455DC">
        <w:t>25 MPa and</w:t>
      </w:r>
    </w:p>
    <w:p w14:paraId="2C809B80" w14:textId="268F7C3F" w:rsidR="004E22C1" w:rsidRPr="001455DC" w:rsidRDefault="004E22C1" w:rsidP="00F33AE7">
      <w:pPr>
        <w:pStyle w:val="a0"/>
      </w:pPr>
      <w:r w:rsidRPr="001455DC">
        <w:rPr>
          <w:rStyle w:val="CCMCvariableitalic"/>
        </w:rPr>
        <w:t>c</w:t>
      </w:r>
      <w:r w:rsidRPr="001455DC">
        <w:rPr>
          <w:rStyle w:val="CCMCvariablesubscript"/>
        </w:rPr>
        <w:t>a</w:t>
      </w:r>
      <w:r w:rsidRPr="001455DC">
        <w:rPr>
          <w:rStyle w:val="CCMCvariableitalic"/>
        </w:rPr>
        <w:t>,</w:t>
      </w:r>
      <w:r w:rsidRPr="001455DC">
        <w:t xml:space="preserve"> </w:t>
      </w:r>
      <w:r w:rsidRPr="001455DC">
        <w:rPr>
          <w:rStyle w:val="CCMCvariableitalic"/>
        </w:rPr>
        <w:t>c</w:t>
      </w:r>
      <w:r w:rsidRPr="001455DC">
        <w:rPr>
          <w:rStyle w:val="CCMCvariablesubscript"/>
        </w:rPr>
        <w:t>b</w:t>
      </w:r>
      <w:r w:rsidRPr="001455DC">
        <w:t> </w:t>
      </w:r>
      <w:r w:rsidR="00650035" w:rsidRPr="001455DC">
        <w:rPr>
          <w:rFonts w:ascii="Cambria Math" w:hAnsi="Cambria Math"/>
        </w:rPr>
        <w:t>≥</w:t>
      </w:r>
      <w:r w:rsidR="00073FC6" w:rsidRPr="001455DC">
        <w:t> </w:t>
      </w:r>
      <w:r w:rsidRPr="001455DC">
        <w:t>3</w:t>
      </w:r>
      <w:r w:rsidRPr="001455DC">
        <w:rPr>
          <w:rStyle w:val="CCMCvariableitalic"/>
        </w:rPr>
        <w:t>ϕ</w:t>
      </w:r>
      <w:r w:rsidR="00EC27D2" w:rsidRPr="001455DC">
        <w:rPr>
          <w:rFonts w:ascii="Cambria Math" w:hAnsi="Cambria Math"/>
        </w:rPr>
        <w:t> + </w:t>
      </w:r>
      <w:r w:rsidRPr="001455DC">
        <w:t>0,5</w:t>
      </w:r>
      <w:r w:rsidRPr="001455DC">
        <w:rPr>
          <w:rStyle w:val="CCMCvariableitalic"/>
        </w:rPr>
        <w:t>ϕ</w:t>
      </w:r>
      <w:r w:rsidRPr="001455DC">
        <w:rPr>
          <w:rStyle w:val="CCMCvariablesubscript"/>
        </w:rPr>
        <w:t>h</w:t>
      </w:r>
      <w:r w:rsidRPr="001455DC">
        <w:t>;</w:t>
      </w:r>
    </w:p>
    <w:p w14:paraId="5CDA541E" w14:textId="76E2B83C" w:rsidR="004E22C1" w:rsidRPr="001455DC" w:rsidRDefault="004E22C1" w:rsidP="00F33AE7">
      <w:pPr>
        <w:pStyle w:val="a0"/>
      </w:pPr>
      <w:r w:rsidRPr="001455DC">
        <w:rPr>
          <w:rStyle w:val="CCMCvariableitalic"/>
        </w:rPr>
        <w:t>s</w:t>
      </w:r>
      <w:r w:rsidRPr="001455DC">
        <w:rPr>
          <w:rStyle w:val="CCMCvariablesubscript"/>
        </w:rPr>
        <w:t>a</w:t>
      </w:r>
      <w:r w:rsidRPr="001455DC">
        <w:t> </w:t>
      </w:r>
      <w:r w:rsidR="00650035" w:rsidRPr="001455DC">
        <w:rPr>
          <w:rFonts w:ascii="Cambria Math" w:hAnsi="Cambria Math"/>
        </w:rPr>
        <w:t>≥</w:t>
      </w:r>
      <w:r w:rsidR="00073FC6" w:rsidRPr="001455DC">
        <w:t> </w:t>
      </w:r>
      <w:r w:rsidRPr="001455DC">
        <w:t>2</w:t>
      </w:r>
      <w:r w:rsidRPr="001455DC">
        <w:rPr>
          <w:rStyle w:val="CCMCvariableitalic"/>
        </w:rPr>
        <w:t>c</w:t>
      </w:r>
      <w:r w:rsidRPr="001455DC">
        <w:rPr>
          <w:rStyle w:val="CCMCvariablesubscript"/>
        </w:rPr>
        <w:t>a</w:t>
      </w:r>
      <w:r w:rsidRPr="001455DC">
        <w:t>;</w:t>
      </w:r>
    </w:p>
    <w:p w14:paraId="3ED9DBD7" w14:textId="37D4ECF5" w:rsidR="004E22C1" w:rsidRPr="001455DC" w:rsidRDefault="004E22C1" w:rsidP="00F33AE7">
      <w:pPr>
        <w:pStyle w:val="a0"/>
      </w:pPr>
      <w:r w:rsidRPr="001455DC">
        <w:rPr>
          <w:rStyle w:val="CCMCvariableitalic"/>
        </w:rPr>
        <w:t>s</w:t>
      </w:r>
      <w:r w:rsidRPr="001455DC">
        <w:rPr>
          <w:rStyle w:val="CCMCvariablesubscript"/>
        </w:rPr>
        <w:t>b</w:t>
      </w:r>
      <w:r w:rsidRPr="001455DC">
        <w:t> </w:t>
      </w:r>
      <w:r w:rsidR="00650035" w:rsidRPr="001455DC">
        <w:rPr>
          <w:rFonts w:ascii="Cambria Math" w:hAnsi="Cambria Math"/>
        </w:rPr>
        <w:t>≥</w:t>
      </w:r>
      <w:r w:rsidR="00073FC6" w:rsidRPr="001455DC">
        <w:t> </w:t>
      </w:r>
      <w:r w:rsidRPr="001455DC">
        <w:t>2</w:t>
      </w:r>
      <w:r w:rsidRPr="001455DC">
        <w:rPr>
          <w:rStyle w:val="CCMCvariableitalic"/>
        </w:rPr>
        <w:t>c</w:t>
      </w:r>
      <w:r w:rsidRPr="001455DC">
        <w:rPr>
          <w:rStyle w:val="CCMCvariablesubscript"/>
        </w:rPr>
        <w:t>b</w:t>
      </w:r>
    </w:p>
    <w:p w14:paraId="54535CEF" w14:textId="77777777" w:rsidR="00F33AE7" w:rsidRPr="001455DC" w:rsidRDefault="00F33AE7"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1134"/>
        <w:gridCol w:w="7031"/>
        <w:gridCol w:w="1247"/>
      </w:tblGrid>
      <w:tr w:rsidR="00F33AE7" w:rsidRPr="001455DC" w14:paraId="337E534D" w14:textId="77777777" w:rsidTr="00F33AE7">
        <w:trPr>
          <w:cantSplit/>
        </w:trPr>
        <w:tc>
          <w:tcPr>
            <w:tcW w:w="1134" w:type="dxa"/>
          </w:tcPr>
          <w:p w14:paraId="1D212BF2" w14:textId="7E96974A" w:rsidR="00F33AE7" w:rsidRPr="001455DC" w:rsidRDefault="00F33AE7" w:rsidP="0000442A">
            <w:pPr>
              <w:pStyle w:val="Tablebody"/>
            </w:pPr>
            <w:r w:rsidRPr="001455DC">
              <w:rPr>
                <w:rStyle w:val="CCMCvariableitalic"/>
              </w:rPr>
              <w:t>c</w:t>
            </w:r>
            <w:r w:rsidRPr="001455DC">
              <w:rPr>
                <w:rStyle w:val="CCMCvariablesubscript"/>
              </w:rPr>
              <w:t>a</w:t>
            </w:r>
            <w:r w:rsidRPr="001455DC">
              <w:rPr>
                <w:rStyle w:val="CCMCvariableitalic"/>
              </w:rPr>
              <w:t>,</w:t>
            </w:r>
            <w:r w:rsidRPr="001455DC">
              <w:t xml:space="preserve"> </w:t>
            </w:r>
            <w:r w:rsidRPr="001455DC">
              <w:rPr>
                <w:rStyle w:val="CCMCvariableitalic"/>
              </w:rPr>
              <w:t>c</w:t>
            </w:r>
            <w:r w:rsidRPr="001455DC">
              <w:rPr>
                <w:rStyle w:val="CCMCvariablesubscript"/>
              </w:rPr>
              <w:t>b</w:t>
            </w:r>
            <w:r w:rsidRPr="001455DC">
              <w:t xml:space="preserve">, </w:t>
            </w:r>
            <w:r w:rsidRPr="001455DC">
              <w:rPr>
                <w:rStyle w:val="CCMCvariableitalic"/>
              </w:rPr>
              <w:t>s</w:t>
            </w:r>
            <w:r w:rsidRPr="001455DC">
              <w:rPr>
                <w:rStyle w:val="CCMCvariablesubscript"/>
              </w:rPr>
              <w:t>a</w:t>
            </w:r>
            <w:r w:rsidRPr="001455DC">
              <w:t xml:space="preserve">, </w:t>
            </w:r>
            <w:r w:rsidRPr="001455DC">
              <w:rPr>
                <w:rStyle w:val="CCMCvariableitalic"/>
              </w:rPr>
              <w:t>s</w:t>
            </w:r>
            <w:r w:rsidRPr="001455DC">
              <w:rPr>
                <w:rStyle w:val="CCMCvariablesubscript"/>
              </w:rPr>
              <w:t>b</w:t>
            </w:r>
          </w:p>
        </w:tc>
        <w:tc>
          <w:tcPr>
            <w:tcW w:w="8278" w:type="dxa"/>
            <w:gridSpan w:val="2"/>
          </w:tcPr>
          <w:p w14:paraId="1C9FA4B4" w14:textId="3FC9F152" w:rsidR="00F33AE7" w:rsidRPr="001455DC" w:rsidRDefault="00F33AE7" w:rsidP="00BB1209">
            <w:pPr>
              <w:pStyle w:val="Tablebody"/>
            </w:pPr>
            <w:r w:rsidRPr="001455DC">
              <w:t>according to Figure 11.</w:t>
            </w:r>
            <w:r w:rsidR="00343CED">
              <w:t>9</w:t>
            </w:r>
            <w:r w:rsidR="00343CED" w:rsidRPr="001455DC">
              <w:t>b</w:t>
            </w:r>
            <w:r w:rsidRPr="001455DC">
              <w:t>);</w:t>
            </w:r>
          </w:p>
        </w:tc>
      </w:tr>
      <w:tr w:rsidR="00F33AE7" w:rsidRPr="001455DC" w14:paraId="04A101D2" w14:textId="77777777" w:rsidTr="00F33AE7">
        <w:trPr>
          <w:cantSplit/>
        </w:trPr>
        <w:tc>
          <w:tcPr>
            <w:tcW w:w="1134" w:type="dxa"/>
          </w:tcPr>
          <w:p w14:paraId="104E7682" w14:textId="695A33C5" w:rsidR="00F33AE7" w:rsidRPr="001455DC" w:rsidRDefault="00F33AE7" w:rsidP="0000442A">
            <w:pPr>
              <w:pStyle w:val="Tablebody"/>
            </w:pPr>
            <w:r w:rsidRPr="001455DC">
              <w:rPr>
                <w:rStyle w:val="CCMCvariableitalic"/>
              </w:rPr>
              <w:t>ϕ</w:t>
            </w:r>
            <w:r w:rsidRPr="001455DC">
              <w:rPr>
                <w:rStyle w:val="CCMCvariablesubscript"/>
              </w:rPr>
              <w:t>h</w:t>
            </w:r>
          </w:p>
        </w:tc>
        <w:tc>
          <w:tcPr>
            <w:tcW w:w="8278" w:type="dxa"/>
            <w:gridSpan w:val="2"/>
          </w:tcPr>
          <w:p w14:paraId="2D252248" w14:textId="55577075" w:rsidR="00F33AE7" w:rsidRPr="001455DC" w:rsidRDefault="00F33AE7" w:rsidP="0000442A">
            <w:pPr>
              <w:pStyle w:val="Tablebody"/>
            </w:pPr>
            <w:r w:rsidRPr="001455DC">
              <w:t>is the nominal head diameter or is the diameter of a circle with the same area as that of the actual head</w:t>
            </w:r>
          </w:p>
        </w:tc>
      </w:tr>
      <w:tr w:rsidR="00FB3551" w:rsidRPr="001455DC" w14:paraId="292263EC" w14:textId="77777777" w:rsidTr="00FB3551">
        <w:trPr>
          <w:cantSplit/>
        </w:trPr>
        <w:tc>
          <w:tcPr>
            <w:tcW w:w="1134" w:type="dxa"/>
          </w:tcPr>
          <w:p w14:paraId="2FCF8AB7" w14:textId="63396C18" w:rsidR="00FB3551" w:rsidRPr="001455DC" w:rsidRDefault="00FB3551" w:rsidP="00D86695">
            <w:pPr>
              <w:pStyle w:val="Tablebody"/>
            </w:pPr>
            <w:r w:rsidRPr="001455DC">
              <w:t> </w:t>
            </w:r>
          </w:p>
        </w:tc>
        <w:tc>
          <w:tcPr>
            <w:tcW w:w="7031" w:type="dxa"/>
            <w:vAlign w:val="center"/>
          </w:tcPr>
          <w:p w14:paraId="320C5C47" w14:textId="49C7AFB1" w:rsidR="00FB3551" w:rsidRPr="001455DC" w:rsidRDefault="00231E33" w:rsidP="00FB3551">
            <w:pPr>
              <w:pStyle w:val="Tablebody"/>
              <w:jc w:val="left"/>
            </w:pPr>
            <m:oMathPara>
              <m:oMathParaPr>
                <m:jc m:val="left"/>
              </m:oMathParaPr>
              <m:oMath>
                <m:sSub>
                  <m:sSubPr>
                    <m:ctrlPr>
                      <w:rPr>
                        <w:rFonts w:ascii="Cambria Math" w:hAnsi="Cambria Math"/>
                      </w:rPr>
                    </m:ctrlPr>
                  </m:sSubPr>
                  <m:e>
                    <m:r>
                      <w:rPr>
                        <w:rFonts w:ascii="Cambria Math" w:hAnsi="Cambria Math"/>
                      </w:rPr>
                      <m:t>ϕ</m:t>
                    </m:r>
                  </m:e>
                  <m:sub>
                    <m:r>
                      <m:rPr>
                        <m:sty m:val="p"/>
                      </m:rPr>
                      <w:rPr>
                        <w:rFonts w:ascii="Cambria Math" w:hAnsi="Cambria Math"/>
                      </w:rPr>
                      <m:t>h</m:t>
                    </m:r>
                  </m:sub>
                </m:sSub>
                <m:r>
                  <w:rPr>
                    <w:rFonts w:ascii="Cambria Math" w:hAnsi="Cambria Math"/>
                  </w:rPr>
                  <m:t>=2</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h</m:t>
                            </m:r>
                          </m:sub>
                        </m:sSub>
                      </m:num>
                      <m:den>
                        <m:r>
                          <m:rPr>
                            <m:sty m:val="p"/>
                          </m:rPr>
                          <w:rPr>
                            <w:rFonts w:ascii="Cambria Math" w:hAnsi="Cambria Math"/>
                          </w:rPr>
                          <m:t>π</m:t>
                        </m:r>
                      </m:den>
                    </m:f>
                  </m:e>
                </m:rad>
              </m:oMath>
            </m:oMathPara>
          </w:p>
        </w:tc>
        <w:tc>
          <w:tcPr>
            <w:tcW w:w="1247" w:type="dxa"/>
            <w:vAlign w:val="center"/>
          </w:tcPr>
          <w:p w14:paraId="48095583" w14:textId="3ED2655E" w:rsidR="00FB3551" w:rsidRPr="001455DC" w:rsidRDefault="00FB3551" w:rsidP="00FB3551">
            <w:pPr>
              <w:pStyle w:val="Tablebody"/>
              <w:jc w:val="right"/>
            </w:pPr>
            <w:r w:rsidRPr="001455DC">
              <w:t>(11.6)</w:t>
            </w:r>
          </w:p>
        </w:tc>
      </w:tr>
      <w:tr w:rsidR="00FB3551" w:rsidRPr="001455DC" w14:paraId="7E813F37" w14:textId="77777777" w:rsidTr="00F33AE7">
        <w:trPr>
          <w:cantSplit/>
        </w:trPr>
        <w:tc>
          <w:tcPr>
            <w:tcW w:w="1134" w:type="dxa"/>
          </w:tcPr>
          <w:p w14:paraId="164F378C" w14:textId="5B41FB2A" w:rsidR="00FB3551" w:rsidRPr="001455DC" w:rsidRDefault="00FB3551" w:rsidP="00D86695">
            <w:pPr>
              <w:pStyle w:val="Tablebody"/>
            </w:pPr>
            <w:r w:rsidRPr="001455DC">
              <w:t> </w:t>
            </w:r>
          </w:p>
        </w:tc>
        <w:tc>
          <w:tcPr>
            <w:tcW w:w="8278" w:type="dxa"/>
            <w:gridSpan w:val="2"/>
          </w:tcPr>
          <w:p w14:paraId="7812A643" w14:textId="442BE693" w:rsidR="00FB3551" w:rsidRPr="001455DC" w:rsidRDefault="00FB3551" w:rsidP="00D86695">
            <w:pPr>
              <w:pStyle w:val="Tablebody"/>
            </w:pPr>
            <w:r w:rsidRPr="001455DC">
              <w:t xml:space="preserve">where </w:t>
            </w:r>
            <w:r w:rsidRPr="001455DC">
              <w:rPr>
                <w:rStyle w:val="CCMCvariableitalic"/>
              </w:rPr>
              <w:t>A</w:t>
            </w:r>
            <w:r w:rsidRPr="001455DC">
              <w:rPr>
                <w:rStyle w:val="CCMCvariablesubscript"/>
              </w:rPr>
              <w:t>h</w:t>
            </w:r>
            <w:r w:rsidRPr="001455DC">
              <w:t xml:space="preserve"> is the area of the head.</w:t>
            </w:r>
          </w:p>
        </w:tc>
      </w:tr>
      <w:tr w:rsidR="00FB3551" w:rsidRPr="001455DC" w14:paraId="440925FE" w14:textId="77777777" w:rsidTr="00F33AE7">
        <w:trPr>
          <w:cantSplit/>
        </w:trPr>
        <w:tc>
          <w:tcPr>
            <w:tcW w:w="1134" w:type="dxa"/>
          </w:tcPr>
          <w:p w14:paraId="1CE09FA9" w14:textId="6F7775FF" w:rsidR="00FB3551" w:rsidRPr="001455DC" w:rsidRDefault="00FB3551" w:rsidP="00D86695">
            <w:pPr>
              <w:pStyle w:val="Tablebody"/>
            </w:pPr>
            <w:r w:rsidRPr="001455DC">
              <w:rPr>
                <w:rStyle w:val="CCMCvariableitalic"/>
              </w:rPr>
              <w:t>a</w:t>
            </w:r>
            <w:r w:rsidRPr="001455DC">
              <w:rPr>
                <w:rStyle w:val="CCMCvariablesubscript"/>
              </w:rPr>
              <w:t>h</w:t>
            </w:r>
            <w:r w:rsidRPr="001455DC">
              <w:t xml:space="preserve"> and </w:t>
            </w:r>
            <w:r w:rsidRPr="001455DC">
              <w:rPr>
                <w:rStyle w:val="CCMCvariableitalic"/>
              </w:rPr>
              <w:t>b</w:t>
            </w:r>
            <w:r w:rsidRPr="001455DC">
              <w:rPr>
                <w:rStyle w:val="CCMCvariablesubscript"/>
              </w:rPr>
              <w:t>h</w:t>
            </w:r>
          </w:p>
        </w:tc>
        <w:tc>
          <w:tcPr>
            <w:tcW w:w="8278" w:type="dxa"/>
            <w:gridSpan w:val="2"/>
          </w:tcPr>
          <w:p w14:paraId="7059E73E" w14:textId="369B9C4B" w:rsidR="00FB3551" w:rsidRPr="001455DC" w:rsidRDefault="00835063" w:rsidP="00D86695">
            <w:pPr>
              <w:pStyle w:val="Tablebody"/>
            </w:pPr>
            <w:r w:rsidRPr="001455DC">
              <w:t xml:space="preserve">shall </w:t>
            </w:r>
            <w:r w:rsidR="00FB3551" w:rsidRPr="001455DC">
              <w:t>not be taken larger than 4 times the thickness of the head plate.</w:t>
            </w:r>
          </w:p>
        </w:tc>
      </w:tr>
    </w:tbl>
    <w:p w14:paraId="5BB74093" w14:textId="77777777" w:rsidR="004E22C1" w:rsidRPr="001455DC" w:rsidRDefault="004E22C1" w:rsidP="00FB3551">
      <w:pPr>
        <w:pStyle w:val="a7"/>
      </w:pPr>
      <w:r w:rsidRPr="001455DC">
        <w:t>The bearing surface of heads should be flat and at 90 degrees to the bar unless justified by testing appropriate to the design situation under consideration.</w:t>
      </w:r>
    </w:p>
    <w:tbl>
      <w:tblPr>
        <w:tblStyle w:val="a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5924"/>
      </w:tblGrid>
      <w:tr w:rsidR="00FB3551" w:rsidRPr="001455DC" w14:paraId="6EB2CFA1" w14:textId="77777777" w:rsidTr="009E22E4">
        <w:trPr>
          <w:cantSplit/>
          <w:jc w:val="center"/>
        </w:trPr>
        <w:tc>
          <w:tcPr>
            <w:tcW w:w="3828" w:type="dxa"/>
            <w:vAlign w:val="center"/>
          </w:tcPr>
          <w:p w14:paraId="37132E80" w14:textId="42368F0A" w:rsidR="00FB3551" w:rsidRPr="001455DC" w:rsidRDefault="00723CF7" w:rsidP="00C00C3C">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"Y:\\STD_MGT\\STDDEL\\PRODUCTION\\etrans\\Download\\Z_FIRST_DEL\\SV\\00250\\00250269\\41_e_dr\\11_009a.tif"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"Y:\\STD_MGT\\STDDEL\\PRODUCTION\\Standards\\00250\\269\\41_e_dr\\11_009a.tif"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"Y:\\STD_MGT\\STDDEL\\PRODUCTION\\Standards\\00250\\269\\41_e_dr\\11_009a.tif"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"Y:\\STD_MGT\\STDDEL\\PRODUCTION\\Standards\\00250\\269\\41_e_dr\\11_009a.tif"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"Y:\\STD_MGT\\STDDEL\\PRODUCTION\\Standards\\00250\\269\\41_e_dr\\11_009a.tif"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"Y:\\STD_MGT\\STDDEL\\PRODUCTION\\Standards\\00250\\269\\41_e_dr\\11_009a.tif"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"C:\\Users\\a.dionysiou\\AppData\\Local\\Temp\\Temp1_00250269_e_20210902.zip.zip\\41_e_dr\\11_009a.tif"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331A4CA0">
                <v:shape id="_x0000_i1236" type="#_x0000_t75" style="width:120.75pt;height:108.75pt">
                  <v:imagedata r:id="rId442" r:href="rId443"/>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5924" w:type="dxa"/>
            <w:vAlign w:val="center"/>
          </w:tcPr>
          <w:p w14:paraId="75EBB605" w14:textId="02FDB1C6" w:rsidR="00FB3551" w:rsidRPr="001455DC" w:rsidRDefault="00723CF7" w:rsidP="00C00C3C">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"Y:\\STD_MGT\\STDDEL\\PRODUCTION\\etrans\\Download\\Z_FIRST_DEL\\SV\\00250\\00250269\\41_e_dr\\11_009b.tif"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"Y:\\STD_MGT\\STDDEL\\PRODUCTION\\Standards\\00250\\269\\41_e_dr\\11_009b.tif"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"Y:\\STD_MGT\\STDDEL\\PRODUCTION\\Standards\\00250\\269\\41_e_dr\\11_009b.tif"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"Y:\\STD_MGT\\STDDEL\\PRODUCTION\\Standards\\00250\\269\\41_e_dr\\11_009b.tif"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"Y:\\STD_MGT\\STDDEL\\PRODUCTION\\Standards\\00250\\269\\41_e_dr\\11_009b.tif"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"Y:\\STD_MGT\\STDDEL\\PRODUCTION\\Standards\\00250\\269\\41_e_dr\\11_009b.tif"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w:instrText>
            </w:r>
            <w:r w:rsidR="00231E33">
              <w:rPr>
                <w:noProof/>
                <w:lang w:eastAsia="en-GB"/>
              </w:rPr>
              <w:instrText>\\Local\\Temp\\Temp1_00250269_e_20210902.zip.zip\\41_e_dr\\11_009b.tif"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12FA68D9">
                <v:shape id="_x0000_i1237" type="#_x0000_t75" style="width:191.25pt;height:123.75pt">
                  <v:imagedata r:id="rId444" r:href="rId445"/>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FB3551" w:rsidRPr="001455DC" w14:paraId="6C4B9C87" w14:textId="77777777" w:rsidTr="009E22E4">
        <w:trPr>
          <w:cantSplit/>
          <w:jc w:val="center"/>
        </w:trPr>
        <w:tc>
          <w:tcPr>
            <w:tcW w:w="3828" w:type="dxa"/>
            <w:vAlign w:val="center"/>
          </w:tcPr>
          <w:p w14:paraId="5CD45064" w14:textId="75E6CC9E" w:rsidR="00FB3551" w:rsidRPr="001455DC" w:rsidRDefault="00FB3551" w:rsidP="00C00C3C">
            <w:pPr>
              <w:pStyle w:val="FigureText"/>
              <w:jc w:val="center"/>
              <w:rPr>
                <w:szCs w:val="22"/>
              </w:rPr>
            </w:pPr>
            <w:r w:rsidRPr="009D3012">
              <w:t>a) tension</w:t>
            </w:r>
          </w:p>
        </w:tc>
        <w:tc>
          <w:tcPr>
            <w:tcW w:w="5924" w:type="dxa"/>
            <w:vAlign w:val="center"/>
          </w:tcPr>
          <w:p w14:paraId="581D04BD" w14:textId="2A682BAA" w:rsidR="00FB3551" w:rsidRPr="001455DC" w:rsidRDefault="00FB3551" w:rsidP="009E22E4">
            <w:pPr>
              <w:pStyle w:val="FigureText"/>
              <w:jc w:val="center"/>
              <w:rPr>
                <w:szCs w:val="22"/>
              </w:rPr>
            </w:pPr>
            <w:r w:rsidRPr="009D3012">
              <w:t>b) definition of plate dimensions (</w:t>
            </w:r>
            <w:r w:rsidRPr="001455DC">
              <w:rPr>
                <w:rStyle w:val="CCMCvariableitalic"/>
              </w:rPr>
              <w:t>a</w:t>
            </w:r>
            <w:r w:rsidRPr="001455DC">
              <w:rPr>
                <w:rStyle w:val="CCMCvariablesubscript"/>
              </w:rPr>
              <w:t>h</w:t>
            </w:r>
            <w:r w:rsidRPr="001455DC">
              <w:rPr>
                <w:rStyle w:val="CCMCvariableitalic"/>
              </w:rPr>
              <w:t>,</w:t>
            </w:r>
            <w:r w:rsidRPr="009D3012">
              <w:t xml:space="preserve"> </w:t>
            </w:r>
            <w:r w:rsidRPr="001455DC">
              <w:rPr>
                <w:rStyle w:val="CCMCvariableitalic"/>
              </w:rPr>
              <w:t>b</w:t>
            </w:r>
            <w:r w:rsidRPr="001455DC">
              <w:rPr>
                <w:rStyle w:val="CCMCvariablesubscript"/>
              </w:rPr>
              <w:t>h</w:t>
            </w:r>
            <w:r w:rsidRPr="001455DC">
              <w:rPr>
                <w:rStyle w:val="CCMCvariableitalic"/>
              </w:rPr>
              <w:t>,</w:t>
            </w:r>
            <w:r w:rsidRPr="009D3012">
              <w:t xml:space="preserve"> </w:t>
            </w:r>
            <w:r w:rsidRPr="001455DC">
              <w:rPr>
                <w:rStyle w:val="CCMCvariableitalic"/>
              </w:rPr>
              <w:t>ϕ</w:t>
            </w:r>
            <w:r w:rsidRPr="001455DC">
              <w:rPr>
                <w:rStyle w:val="CCMCvariablesubscript"/>
              </w:rPr>
              <w:t>h</w:t>
            </w:r>
            <w:r w:rsidRPr="001455DC">
              <w:rPr>
                <w:rStyle w:val="CCMCvariableitalic"/>
              </w:rPr>
              <w:t>,</w:t>
            </w:r>
            <w:r w:rsidRPr="009D3012">
              <w:t xml:space="preserve"> </w:t>
            </w:r>
            <w:r w:rsidRPr="001455DC">
              <w:rPr>
                <w:rStyle w:val="CCMCvariableitalic"/>
              </w:rPr>
              <w:t>A</w:t>
            </w:r>
            <w:r w:rsidRPr="001455DC">
              <w:rPr>
                <w:rStyle w:val="CCMCvariablesubscript"/>
              </w:rPr>
              <w:t>h</w:t>
            </w:r>
            <w:r w:rsidRPr="009D3012">
              <w:t xml:space="preserve">), </w:t>
            </w:r>
            <w:r w:rsidR="009E22E4">
              <w:br/>
            </w:r>
            <w:r w:rsidRPr="009D3012">
              <w:t>bar spacing (</w:t>
            </w:r>
            <w:r w:rsidRPr="001455DC">
              <w:rPr>
                <w:rStyle w:val="CCMCvariableitalic"/>
              </w:rPr>
              <w:t>s</w:t>
            </w:r>
            <w:r w:rsidRPr="001455DC">
              <w:rPr>
                <w:rStyle w:val="CCMCvariablesubscript"/>
              </w:rPr>
              <w:t>a</w:t>
            </w:r>
            <w:r w:rsidRPr="009D3012">
              <w:t xml:space="preserve">, </w:t>
            </w:r>
            <w:r w:rsidRPr="001455DC">
              <w:rPr>
                <w:rStyle w:val="CCMCvariableitalic"/>
              </w:rPr>
              <w:t>s</w:t>
            </w:r>
            <w:r w:rsidRPr="001455DC">
              <w:rPr>
                <w:rStyle w:val="CCMCvariablesubscript"/>
              </w:rPr>
              <w:t>b</w:t>
            </w:r>
            <w:r w:rsidRPr="009D3012">
              <w:t>) and nominal bar covers (</w:t>
            </w:r>
            <w:r w:rsidRPr="001455DC">
              <w:rPr>
                <w:rStyle w:val="CCMCvariableitalic"/>
              </w:rPr>
              <w:t>c</w:t>
            </w:r>
            <w:r w:rsidRPr="001455DC">
              <w:rPr>
                <w:rStyle w:val="CCMCvariablesubscript"/>
              </w:rPr>
              <w:t>a</w:t>
            </w:r>
            <w:r w:rsidRPr="001455DC">
              <w:rPr>
                <w:rStyle w:val="CCMCvariableitalic"/>
              </w:rPr>
              <w:t>,</w:t>
            </w:r>
            <w:r w:rsidRPr="009D3012">
              <w:t xml:space="preserve"> </w:t>
            </w:r>
            <w:r w:rsidRPr="001455DC">
              <w:rPr>
                <w:rStyle w:val="CCMCvariableitalic"/>
              </w:rPr>
              <w:t>c</w:t>
            </w:r>
            <w:r w:rsidRPr="001455DC">
              <w:rPr>
                <w:rStyle w:val="CCMCvariablesubscript"/>
              </w:rPr>
              <w:t>b</w:t>
            </w:r>
            <w:r w:rsidRPr="009D3012">
              <w:t>)</w:t>
            </w:r>
          </w:p>
        </w:tc>
      </w:tr>
    </w:tbl>
    <w:p w14:paraId="5297BE05" w14:textId="413B9B93" w:rsidR="004E22C1" w:rsidRPr="001455DC" w:rsidRDefault="004E22C1" w:rsidP="00FB3551">
      <w:pPr>
        <w:pStyle w:val="Figuretitle"/>
      </w:pPr>
      <w:r w:rsidRPr="001455DC">
        <w:t>Figure 11.</w:t>
      </w:r>
      <w:r w:rsidR="00343CED">
        <w:t>9</w:t>
      </w:r>
      <w:r w:rsidR="00343CED" w:rsidRPr="001455DC">
        <w:t> </w:t>
      </w:r>
      <w:r w:rsidRPr="001455DC">
        <w:t>— Definition of design anchorage length for headed bars</w:t>
      </w:r>
    </w:p>
    <w:p w14:paraId="2261A7AD" w14:textId="6922252F" w:rsidR="004E22C1" w:rsidRPr="001455DC" w:rsidRDefault="004E22C1" w:rsidP="00FB3551">
      <w:pPr>
        <w:pStyle w:val="a7"/>
      </w:pPr>
      <w:r w:rsidRPr="001455DC">
        <w:t>(2)</w:t>
      </w:r>
      <w:r w:rsidRPr="001455DC">
        <w:tab/>
        <w:t>In cases not complying with the requirements of (1) or for a more detailed calculation, the maximum tensile stress in the reinforcing steel developed by the head should be calculated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FB3551" w:rsidRPr="001455DC" w14:paraId="643FE126" w14:textId="77777777" w:rsidTr="00C00C3C">
        <w:trPr>
          <w:cantSplit/>
        </w:trPr>
        <w:tc>
          <w:tcPr>
            <w:tcW w:w="8505" w:type="dxa"/>
            <w:vAlign w:val="center"/>
          </w:tcPr>
          <w:bookmarkStart w:id="825" w:name="_Hlk52782343"/>
          <w:p w14:paraId="2D5B27CB" w14:textId="49A4C776" w:rsidR="00FB3551" w:rsidRPr="001455DC" w:rsidRDefault="00231E33" w:rsidP="00C00C3C">
            <w:pPr>
              <w:pStyle w:val="Formula"/>
              <w:jc w:val="left"/>
            </w:pPr>
            <m:oMathPara>
              <m:oMathParaPr>
                <m:jc m:val="left"/>
              </m:oMathParaPr>
              <m:oMath>
                <m:sSub>
                  <m:sSubPr>
                    <m:ctrlPr>
                      <w:rPr>
                        <w:rFonts w:ascii="Cambria Math" w:hAnsi="Cambria Math"/>
                      </w:rPr>
                    </m:ctrlPr>
                  </m:sSubPr>
                  <m:e>
                    <m:r>
                      <w:rPr>
                        <w:rFonts w:ascii="Cambria Math" w:hAnsi="Cambria Math"/>
                      </w:rPr>
                      <m:t>σ</m:t>
                    </m:r>
                  </m:e>
                  <m:sub>
                    <m:r>
                      <m:rPr>
                        <m:sty m:val="p"/>
                      </m:rPr>
                      <w:rPr>
                        <w:rFonts w:ascii="Cambria Math" w:hAnsi="Cambria Math"/>
                      </w:rPr>
                      <m:t>sd</m:t>
                    </m:r>
                  </m:sub>
                </m:sSub>
                <m:r>
                  <w:rPr>
                    <w:rFonts w:ascii="Cambria Math" w:hAnsi="Cambria Math" w:hint="eastAsia"/>
                  </w:rPr>
                  <m:t>'</m:t>
                </m:r>
                <m:r>
                  <w:rPr>
                    <w:rFonts w:ascii="Cambria Math" w:hAnsi="Cambria Math"/>
                  </w:rPr>
                  <m:t>=</m:t>
                </m:r>
                <m:r>
                  <m:rPr>
                    <m:sty m:val="p"/>
                  </m:rPr>
                  <w:rPr>
                    <w:rFonts w:ascii="Cambria Math" w:hAnsi="Cambria Math"/>
                  </w:rPr>
                  <m:t>min</m:t>
                </m:r>
                <m:d>
                  <m:dPr>
                    <m:begChr m:val="{"/>
                    <m:sepChr m:val=""/>
                    <m:endChr m:val="}"/>
                    <m:ctrlPr>
                      <w:rPr>
                        <w:rFonts w:ascii="Cambria Math" w:hAnsi="Cambria Math"/>
                      </w:rPr>
                    </m:ctrlPr>
                  </m:dPr>
                  <m:e>
                    <m:f>
                      <m:fPr>
                        <m:ctrlPr>
                          <w:rPr>
                            <w:rFonts w:ascii="Cambria Math" w:hAnsi="Cambria Math"/>
                          </w:rPr>
                        </m:ctrlPr>
                      </m:fPr>
                      <m:num>
                        <m:rad>
                          <m:radPr>
                            <m:degHide m:val="1"/>
                            <m:ctrlPr>
                              <w:rPr>
                                <w:rFonts w:ascii="Cambria Math" w:hAnsi="Cambria Math"/>
                              </w:rPr>
                            </m:ctrlPr>
                          </m:radPr>
                          <m:deg/>
                          <m:e>
                            <m:sSub>
                              <m:sSubPr>
                                <m:ctrlPr>
                                  <w:rPr>
                                    <w:rFonts w:ascii="Cambria Math" w:hAnsi="Cambria Math"/>
                                  </w:rPr>
                                </m:ctrlPr>
                              </m:sSubPr>
                              <m:e>
                                <m:r>
                                  <w:rPr>
                                    <w:rFonts w:ascii="Cambria Math" w:hAnsi="Cambria Math"/>
                                  </w:rPr>
                                  <m:t>f</m:t>
                                </m:r>
                              </m:e>
                              <m:sub>
                                <m:r>
                                  <m:rPr>
                                    <m:sty m:val="p"/>
                                  </m:rPr>
                                  <w:rPr>
                                    <w:rFonts w:ascii="Cambria Math" w:hAnsi="Cambria Math"/>
                                  </w:rPr>
                                  <m:t>ck</m:t>
                                </m:r>
                              </m:sub>
                            </m:sSub>
                          </m:e>
                        </m:rad>
                      </m:num>
                      <m:den>
                        <m:sSub>
                          <m:sSubPr>
                            <m:ctrlPr>
                              <w:rPr>
                                <w:rFonts w:ascii="Cambria Math" w:hAnsi="Cambria Math"/>
                              </w:rPr>
                            </m:ctrlPr>
                          </m:sSubPr>
                          <m:e>
                            <m:r>
                              <w:rPr>
                                <w:rFonts w:ascii="Cambria Math" w:hAnsi="Cambria Math"/>
                              </w:rPr>
                              <m:t>γ</m:t>
                            </m:r>
                          </m:e>
                          <m:sub>
                            <m:r>
                              <m:rPr>
                                <m:sty m:val="p"/>
                              </m:rPr>
                              <w:rPr>
                                <w:rFonts w:ascii="Cambria Math" w:hAnsi="Cambria Math"/>
                              </w:rPr>
                              <m:t>C</m:t>
                            </m:r>
                          </m:sub>
                        </m:sSub>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s</m:t>
                            </m:r>
                          </m:sub>
                        </m:sSub>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eff</m:t>
                            </m:r>
                          </m:sub>
                        </m:sSub>
                        <m: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eff</m:t>
                            </m:r>
                          </m:sub>
                        </m:sSub>
                      </m:num>
                      <m:den>
                        <m:r>
                          <w:rPr>
                            <w:rFonts w:ascii="Cambria Math" w:hAnsi="Cambria Math"/>
                          </w:rPr>
                          <m:t>1-</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h</m:t>
                                    </m:r>
                                  </m:sub>
                                </m:sSub>
                              </m:num>
                              <m:den>
                                <m:sSub>
                                  <m:sSubPr>
                                    <m:ctrlPr>
                                      <w:rPr>
                                        <w:rFonts w:ascii="Cambria Math" w:hAnsi="Cambria Math"/>
                                      </w:rPr>
                                    </m:ctrlPr>
                                  </m:sSubPr>
                                  <m:e>
                                    <m:r>
                                      <w:rPr>
                                        <w:rFonts w:ascii="Cambria Math" w:hAnsi="Cambria Math"/>
                                      </w:rPr>
                                      <m:t>a</m:t>
                                    </m:r>
                                  </m:e>
                                  <m:sub>
                                    <m:r>
                                      <m:rPr>
                                        <m:sty m:val="p"/>
                                      </m:rPr>
                                      <w:rPr>
                                        <w:rFonts w:ascii="Cambria Math" w:hAnsi="Cambria Math"/>
                                      </w:rPr>
                                      <m:t>eff</m:t>
                                    </m:r>
                                  </m:sub>
                                </m:sSub>
                                <m: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eff</m:t>
                                    </m:r>
                                  </m:sub>
                                </m:sSub>
                              </m:den>
                            </m:f>
                          </m:e>
                        </m:rad>
                      </m:den>
                    </m:f>
                  </m:e>
                  <m:e>
                    <m:r>
                      <w:rPr>
                        <w:rFonts w:ascii="Cambria Math" w:hAnsi="Cambria Math"/>
                      </w:rPr>
                      <m:t>;</m:t>
                    </m:r>
                  </m:e>
                  <m:e>
                    <m:r>
                      <w:rPr>
                        <w:rFonts w:ascii="Cambria Math" w:hAnsi="Cambria Math"/>
                      </w:rPr>
                      <m:t xml:space="preserve"> </m:t>
                    </m:r>
                  </m:e>
                  <m:e>
                    <m:sSub>
                      <m:sSubPr>
                        <m:ctrlPr>
                          <w:rPr>
                            <w:rFonts w:ascii="Cambria Math" w:hAnsi="Cambria Math"/>
                          </w:rPr>
                        </m:ctrlPr>
                      </m:sSubPr>
                      <m:e>
                        <m:r>
                          <w:rPr>
                            <w:rFonts w:ascii="Cambria Math" w:hAnsi="Cambria Math"/>
                          </w:rPr>
                          <m:t>f</m:t>
                        </m:r>
                      </m:e>
                      <m:sub>
                        <m:r>
                          <m:rPr>
                            <m:sty m:val="p"/>
                          </m:rPr>
                          <w:rPr>
                            <w:rFonts w:ascii="Cambria Math" w:hAnsi="Cambria Math"/>
                          </w:rPr>
                          <m:t>cd</m:t>
                        </m:r>
                      </m:sub>
                    </m:sSub>
                    <m:r>
                      <w:rPr>
                        <w:rFonts w:ascii="Cambria Math" w:hAnsi="Cambria Math"/>
                      </w:rPr>
                      <m:t>⋅</m:t>
                    </m:r>
                    <m:d>
                      <m:dPr>
                        <m:ctrlPr>
                          <w:rPr>
                            <w:rFonts w:ascii="Cambria Math" w:hAnsi="Cambria Math"/>
                          </w:rPr>
                        </m:ctrlPr>
                      </m:dPr>
                      <m:e>
                        <m: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s</m:t>
                                </m:r>
                              </m:sub>
                            </m:sSub>
                          </m:num>
                          <m:den>
                            <m:sSub>
                              <m:sSubPr>
                                <m:ctrlPr>
                                  <w:rPr>
                                    <w:rFonts w:ascii="Cambria Math" w:hAnsi="Cambria Math"/>
                                  </w:rPr>
                                </m:ctrlPr>
                              </m:sSubPr>
                              <m:e>
                                <m:r>
                                  <w:rPr>
                                    <w:rFonts w:ascii="Cambria Math" w:hAnsi="Cambria Math"/>
                                  </w:rPr>
                                  <m:t>A</m:t>
                                </m:r>
                              </m:e>
                              <m:sub>
                                <m:r>
                                  <m:rPr>
                                    <m:sty m:val="p"/>
                                  </m:rPr>
                                  <w:rPr>
                                    <w:rFonts w:ascii="Cambria Math" w:hAnsi="Cambria Math"/>
                                  </w:rPr>
                                  <m:t>h</m:t>
                                </m:r>
                              </m:sub>
                            </m:sSub>
                          </m:den>
                        </m:f>
                      </m:e>
                    </m:d>
                    <m:r>
                      <m:rPr>
                        <m:sty m:val="p"/>
                      </m:rPr>
                      <w:rPr>
                        <w:rFonts w:ascii="Cambria Math" w:hAnsi="Cambria Math"/>
                      </w:rPr>
                      <m:t>⋅min</m:t>
                    </m:r>
                  </m:e>
                  <m:e>
                    <m:d>
                      <m:dPr>
                        <m:begChr m:val="{"/>
                        <m:sepChr m:val=""/>
                        <m:endChr m:val="}"/>
                        <m:ctrlPr>
                          <w:rPr>
                            <w:rFonts w:ascii="Cambria Math" w:hAnsi="Cambria Math"/>
                          </w:rPr>
                        </m:ctrlPr>
                      </m:dPr>
                      <m:e>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eff</m:t>
                                    </m:r>
                                  </m:sub>
                                </m:sSub>
                                <m: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eff</m:t>
                                    </m:r>
                                  </m:sub>
                                </m:sSub>
                              </m:num>
                              <m:den>
                                <m:sSub>
                                  <m:sSubPr>
                                    <m:ctrlPr>
                                      <w:rPr>
                                        <w:rFonts w:ascii="Cambria Math" w:hAnsi="Cambria Math"/>
                                      </w:rPr>
                                    </m:ctrlPr>
                                  </m:sSubPr>
                                  <m:e>
                                    <m:r>
                                      <w:rPr>
                                        <w:rFonts w:ascii="Cambria Math" w:hAnsi="Cambria Math"/>
                                      </w:rPr>
                                      <m:t>A</m:t>
                                    </m:r>
                                  </m:e>
                                  <m:sub>
                                    <m:r>
                                      <m:rPr>
                                        <m:sty m:val="p"/>
                                      </m:rPr>
                                      <w:rPr>
                                        <w:rFonts w:ascii="Cambria Math" w:hAnsi="Cambria Math"/>
                                      </w:rPr>
                                      <m:t>h</m:t>
                                    </m:r>
                                  </m:sub>
                                </m:sSub>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s</m:t>
                                    </m:r>
                                  </m:sub>
                                </m:sSub>
                              </m:den>
                            </m:f>
                          </m:e>
                        </m:rad>
                      </m:e>
                      <m:e>
                        <m:r>
                          <w:rPr>
                            <w:rFonts w:ascii="Cambria Math" w:hAnsi="Cambria Math"/>
                          </w:rPr>
                          <m:t>;</m:t>
                        </m:r>
                      </m:e>
                      <m:e>
                        <m:r>
                          <w:rPr>
                            <w:rFonts w:ascii="Cambria Math" w:hAnsi="Cambria Math"/>
                          </w:rPr>
                          <m:t xml:space="preserve"> </m:t>
                        </m:r>
                      </m:e>
                      <m:e>
                        <m:r>
                          <w:rPr>
                            <w:rFonts w:ascii="Cambria Math" w:hAnsi="Cambria Math"/>
                          </w:rPr>
                          <m:t>7,0</m:t>
                        </m:r>
                      </m:e>
                    </m:d>
                  </m:e>
                </m:d>
              </m:oMath>
            </m:oMathPara>
            <w:bookmarkEnd w:id="825"/>
          </w:p>
        </w:tc>
        <w:tc>
          <w:tcPr>
            <w:tcW w:w="1247" w:type="dxa"/>
            <w:vAlign w:val="center"/>
          </w:tcPr>
          <w:p w14:paraId="1D125B28" w14:textId="163DDE5A" w:rsidR="00FB3551" w:rsidRPr="001455DC" w:rsidRDefault="00FB3551" w:rsidP="00C00C3C">
            <w:pPr>
              <w:pStyle w:val="a7"/>
              <w:jc w:val="right"/>
            </w:pPr>
            <w:r w:rsidRPr="001455DC">
              <w:t>(11.7)</w:t>
            </w:r>
          </w:p>
        </w:tc>
      </w:tr>
    </w:tbl>
    <w:p w14:paraId="3AD84A1D" w14:textId="77777777" w:rsidR="00FB3551" w:rsidRPr="001455DC" w:rsidRDefault="00FB3551" w:rsidP="00A35599">
      <w:pPr>
        <w:pStyle w:val="a7"/>
        <w:keepNext/>
      </w:pPr>
      <w:r w:rsidRPr="001455DC">
        <w:t>where</w:t>
      </w:r>
    </w:p>
    <w:tbl>
      <w:tblPr>
        <w:tblW w:w="9413" w:type="dxa"/>
        <w:tblInd w:w="397" w:type="dxa"/>
        <w:tblLayout w:type="fixed"/>
        <w:tblCellMar>
          <w:left w:w="28" w:type="dxa"/>
          <w:right w:w="28" w:type="dxa"/>
        </w:tblCellMar>
        <w:tblLook w:val="04A0" w:firstRow="1" w:lastRow="0" w:firstColumn="1" w:lastColumn="0" w:noHBand="0" w:noVBand="1"/>
      </w:tblPr>
      <w:tblGrid>
        <w:gridCol w:w="1985"/>
        <w:gridCol w:w="7428"/>
      </w:tblGrid>
      <w:tr w:rsidR="00FB3551" w:rsidRPr="001455DC" w14:paraId="75E1E9EE" w14:textId="77777777" w:rsidTr="00FB3551">
        <w:trPr>
          <w:cantSplit/>
        </w:trPr>
        <w:tc>
          <w:tcPr>
            <w:tcW w:w="1985" w:type="dxa"/>
          </w:tcPr>
          <w:p w14:paraId="16A0107B" w14:textId="2AA4233E" w:rsidR="00FB3551" w:rsidRPr="001455DC" w:rsidRDefault="00FB3551" w:rsidP="0000442A">
            <w:pPr>
              <w:pStyle w:val="Tablebody"/>
            </w:pPr>
            <w:r w:rsidRPr="001455DC">
              <w:rPr>
                <w:rStyle w:val="CCMCvariableitalic"/>
              </w:rPr>
              <w:t>a</w:t>
            </w:r>
            <w:r w:rsidRPr="001455DC">
              <w:rPr>
                <w:rStyle w:val="CCMCvariablesubscript"/>
              </w:rPr>
              <w:t>eff</w:t>
            </w:r>
          </w:p>
        </w:tc>
        <w:tc>
          <w:tcPr>
            <w:tcW w:w="7428" w:type="dxa"/>
          </w:tcPr>
          <w:p w14:paraId="15A4FF46" w14:textId="3A46EC9E" w:rsidR="00FB3551" w:rsidRPr="001455DC" w:rsidRDefault="00EC27D2" w:rsidP="00BB1209">
            <w:pPr>
              <w:pStyle w:val="Tablebody"/>
            </w:pPr>
            <w:r w:rsidRPr="001455DC">
              <w:rPr>
                <w:rFonts w:ascii="Cambria Math" w:hAnsi="Cambria Math"/>
              </w:rPr>
              <w:t>=</w:t>
            </w:r>
            <w:r w:rsidR="00FB3551" w:rsidRPr="001455DC">
              <w:t> min{2</w:t>
            </w:r>
            <w:r w:rsidR="00FB3551" w:rsidRPr="001455DC">
              <w:rPr>
                <w:rStyle w:val="CCMCvariableitalic"/>
              </w:rPr>
              <w:t>c</w:t>
            </w:r>
            <w:r w:rsidR="00FB3551" w:rsidRPr="001455DC">
              <w:rPr>
                <w:rStyle w:val="CCMCvariablesubscript"/>
              </w:rPr>
              <w:t>a</w:t>
            </w:r>
            <w:r w:rsidR="00FB3551" w:rsidRPr="001455DC">
              <w:t>;</w:t>
            </w:r>
            <w:r w:rsidR="00FB3551" w:rsidRPr="001455DC">
              <w:rPr>
                <w:rStyle w:val="CCMCvariableitalic"/>
              </w:rPr>
              <w:t>s</w:t>
            </w:r>
            <w:r w:rsidR="00FB3551" w:rsidRPr="001455DC">
              <w:rPr>
                <w:rStyle w:val="CCMCvariablesubscript"/>
              </w:rPr>
              <w:t>a</w:t>
            </w:r>
            <w:r w:rsidR="00FB3551" w:rsidRPr="001455DC">
              <w:t>};</w:t>
            </w:r>
          </w:p>
        </w:tc>
      </w:tr>
      <w:tr w:rsidR="00FB3551" w:rsidRPr="001455DC" w14:paraId="62FFBAD1" w14:textId="77777777" w:rsidTr="00FB3551">
        <w:trPr>
          <w:cantSplit/>
        </w:trPr>
        <w:tc>
          <w:tcPr>
            <w:tcW w:w="1985" w:type="dxa"/>
          </w:tcPr>
          <w:p w14:paraId="76D856EE" w14:textId="7C083619" w:rsidR="00FB3551" w:rsidRPr="001455DC" w:rsidRDefault="00FB3551" w:rsidP="0000442A">
            <w:pPr>
              <w:pStyle w:val="Tablebody"/>
            </w:pPr>
            <w:r w:rsidRPr="001455DC">
              <w:rPr>
                <w:rStyle w:val="CCMCvariableitalic"/>
              </w:rPr>
              <w:t>b</w:t>
            </w:r>
            <w:r w:rsidRPr="001455DC">
              <w:rPr>
                <w:rStyle w:val="CCMCvariablesubscript"/>
              </w:rPr>
              <w:t>eff</w:t>
            </w:r>
          </w:p>
        </w:tc>
        <w:tc>
          <w:tcPr>
            <w:tcW w:w="7428" w:type="dxa"/>
          </w:tcPr>
          <w:p w14:paraId="648BD1E2" w14:textId="655F8038" w:rsidR="00FB3551" w:rsidRPr="001455DC" w:rsidRDefault="00EC27D2" w:rsidP="0000442A">
            <w:pPr>
              <w:pStyle w:val="Tablebody"/>
            </w:pPr>
            <w:r w:rsidRPr="001455DC">
              <w:rPr>
                <w:rFonts w:ascii="Cambria Math" w:hAnsi="Cambria Math"/>
              </w:rPr>
              <w:t>=</w:t>
            </w:r>
            <w:r w:rsidR="00FB3551" w:rsidRPr="001455DC">
              <w:t> min{2</w:t>
            </w:r>
            <w:r w:rsidR="00FB3551" w:rsidRPr="001455DC">
              <w:rPr>
                <w:rStyle w:val="CCMCvariableitalic"/>
              </w:rPr>
              <w:t>c</w:t>
            </w:r>
            <w:r w:rsidR="00FB3551" w:rsidRPr="001455DC">
              <w:rPr>
                <w:rStyle w:val="CCMCvariablesubscript"/>
              </w:rPr>
              <w:t>b</w:t>
            </w:r>
            <w:r w:rsidR="00FB3551" w:rsidRPr="001455DC">
              <w:t xml:space="preserve">; </w:t>
            </w:r>
            <w:r w:rsidR="00FB3551" w:rsidRPr="001455DC">
              <w:rPr>
                <w:rStyle w:val="CCMCvariableitalic"/>
              </w:rPr>
              <w:t>s</w:t>
            </w:r>
            <w:r w:rsidR="00FB3551" w:rsidRPr="001455DC">
              <w:rPr>
                <w:rStyle w:val="CCMCvariablesubscript"/>
              </w:rPr>
              <w:t>b</w:t>
            </w:r>
            <w:r w:rsidR="00FB3551" w:rsidRPr="001455DC">
              <w:t xml:space="preserve">; </w:t>
            </w:r>
            <w:r w:rsidR="00FB3551" w:rsidRPr="001455DC">
              <w:rPr>
                <w:rStyle w:val="CCMCvariableitalic"/>
              </w:rPr>
              <w:t>b</w:t>
            </w:r>
            <w:r w:rsidR="00FB3551" w:rsidRPr="001455DC">
              <w:rPr>
                <w:rStyle w:val="CCMCvariablesubscript"/>
              </w:rPr>
              <w:t>h</w:t>
            </w:r>
            <w:r w:rsidRPr="001455DC">
              <w:rPr>
                <w:rFonts w:ascii="Cambria Math" w:hAnsi="Cambria Math"/>
              </w:rPr>
              <w:t> + </w:t>
            </w:r>
            <w:r w:rsidR="00FB3551" w:rsidRPr="001455DC">
              <w:rPr>
                <w:rStyle w:val="CCMCvariableitalic"/>
              </w:rPr>
              <w:t>a</w:t>
            </w:r>
            <w:r w:rsidR="00FB3551" w:rsidRPr="001455DC">
              <w:rPr>
                <w:rStyle w:val="CCMCvariablesubscript"/>
              </w:rPr>
              <w:t>eff</w:t>
            </w:r>
            <w:r w:rsidR="00FB3551" w:rsidRPr="001455DC">
              <w:t>};</w:t>
            </w:r>
          </w:p>
        </w:tc>
      </w:tr>
      <w:tr w:rsidR="00FB3551" w:rsidRPr="001455DC" w14:paraId="7FB63783" w14:textId="77777777" w:rsidTr="00FB3551">
        <w:trPr>
          <w:cantSplit/>
        </w:trPr>
        <w:tc>
          <w:tcPr>
            <w:tcW w:w="1985" w:type="dxa"/>
          </w:tcPr>
          <w:p w14:paraId="07AEDD77" w14:textId="15927B01" w:rsidR="00FB3551" w:rsidRPr="00FA575F" w:rsidRDefault="00FB3551" w:rsidP="00D86695">
            <w:pPr>
              <w:pStyle w:val="Tablebody"/>
              <w:rPr>
                <w:lang w:val="it-IT"/>
              </w:rPr>
            </w:pPr>
            <w:r w:rsidRPr="00FA575F">
              <w:rPr>
                <w:rStyle w:val="CCMCvariableitalic"/>
                <w:lang w:val="it-IT"/>
              </w:rPr>
              <w:t>A</w:t>
            </w:r>
            <w:r w:rsidRPr="00FA575F">
              <w:rPr>
                <w:rStyle w:val="CCMCvariablesubscript"/>
                <w:lang w:val="it-IT"/>
              </w:rPr>
              <w:t>h</w:t>
            </w:r>
            <w:r w:rsidRPr="00FA575F">
              <w:rPr>
                <w:rStyle w:val="CCMCvariableitalic"/>
                <w:lang w:val="it-IT"/>
              </w:rPr>
              <w:t>,</w:t>
            </w:r>
            <w:r w:rsidRPr="00FA575F">
              <w:rPr>
                <w:lang w:val="it-IT"/>
              </w:rPr>
              <w:t xml:space="preserve"> </w:t>
            </w:r>
            <w:r w:rsidRPr="00FA575F">
              <w:rPr>
                <w:rStyle w:val="CCMCvariableitalic"/>
                <w:lang w:val="it-IT"/>
              </w:rPr>
              <w:t>c</w:t>
            </w:r>
            <w:r w:rsidRPr="00FA575F">
              <w:rPr>
                <w:rStyle w:val="CCMCvariablesubscript"/>
                <w:lang w:val="it-IT"/>
              </w:rPr>
              <w:t>a</w:t>
            </w:r>
            <w:r w:rsidRPr="00FA575F">
              <w:rPr>
                <w:rStyle w:val="CCMCvariableitalic"/>
                <w:lang w:val="it-IT"/>
              </w:rPr>
              <w:t>,</w:t>
            </w:r>
            <w:r w:rsidRPr="00FA575F">
              <w:rPr>
                <w:lang w:val="it-IT"/>
              </w:rPr>
              <w:t xml:space="preserve"> </w:t>
            </w:r>
            <w:r w:rsidRPr="00FA575F">
              <w:rPr>
                <w:rStyle w:val="CCMCvariableitalic"/>
                <w:lang w:val="it-IT"/>
              </w:rPr>
              <w:t>c</w:t>
            </w:r>
            <w:r w:rsidRPr="00FA575F">
              <w:rPr>
                <w:rStyle w:val="CCMCvariablesubscript"/>
                <w:lang w:val="it-IT"/>
              </w:rPr>
              <w:t>b</w:t>
            </w:r>
            <w:r w:rsidRPr="00FA575F">
              <w:rPr>
                <w:rStyle w:val="CCMCvariableitalic"/>
                <w:lang w:val="it-IT"/>
              </w:rPr>
              <w:t>,</w:t>
            </w:r>
            <w:r w:rsidRPr="00FA575F">
              <w:rPr>
                <w:lang w:val="it-IT"/>
              </w:rPr>
              <w:t xml:space="preserve"> </w:t>
            </w:r>
            <w:r w:rsidRPr="00FA575F">
              <w:rPr>
                <w:rStyle w:val="CCMCvariableitalic"/>
                <w:lang w:val="it-IT"/>
              </w:rPr>
              <w:t>s</w:t>
            </w:r>
            <w:r w:rsidRPr="00FA575F">
              <w:rPr>
                <w:rStyle w:val="CCMCvariablesubscript"/>
                <w:lang w:val="it-IT"/>
              </w:rPr>
              <w:t>a</w:t>
            </w:r>
            <w:r w:rsidRPr="00FA575F">
              <w:rPr>
                <w:rStyle w:val="CCMCvariableitalic"/>
                <w:lang w:val="it-IT"/>
              </w:rPr>
              <w:t>,</w:t>
            </w:r>
            <w:r w:rsidRPr="00FA575F">
              <w:rPr>
                <w:lang w:val="it-IT"/>
              </w:rPr>
              <w:t xml:space="preserve"> </w:t>
            </w:r>
            <w:r w:rsidRPr="00FA575F">
              <w:rPr>
                <w:rStyle w:val="CCMCvariableitalic"/>
                <w:lang w:val="it-IT"/>
              </w:rPr>
              <w:t>s</w:t>
            </w:r>
            <w:r w:rsidRPr="00FA575F">
              <w:rPr>
                <w:rStyle w:val="CCMCvariablesubscript"/>
                <w:lang w:val="it-IT"/>
              </w:rPr>
              <w:t>b</w:t>
            </w:r>
            <w:r w:rsidRPr="00FA575F">
              <w:rPr>
                <w:lang w:val="it-IT"/>
              </w:rPr>
              <w:t xml:space="preserve">, </w:t>
            </w:r>
            <w:r w:rsidRPr="001455DC">
              <w:rPr>
                <w:rStyle w:val="CCMCvariableitalic"/>
              </w:rPr>
              <w:t>σ</w:t>
            </w:r>
            <w:r w:rsidRPr="00FA575F">
              <w:rPr>
                <w:rFonts w:ascii="Cambria Math" w:hAnsi="Cambria Math"/>
                <w:lang w:val="it-IT"/>
              </w:rPr>
              <w:t>′</w:t>
            </w:r>
            <w:r w:rsidRPr="00FA575F">
              <w:rPr>
                <w:rStyle w:val="CCMCvariablesubscript"/>
                <w:lang w:val="it-IT"/>
              </w:rPr>
              <w:t>sd</w:t>
            </w:r>
          </w:p>
        </w:tc>
        <w:tc>
          <w:tcPr>
            <w:tcW w:w="7428" w:type="dxa"/>
          </w:tcPr>
          <w:p w14:paraId="5A72C32B" w14:textId="26CC2681" w:rsidR="00FB3551" w:rsidRPr="001455DC" w:rsidRDefault="00FB3551" w:rsidP="00D86695">
            <w:pPr>
              <w:pStyle w:val="Tablebody"/>
            </w:pPr>
            <w:r w:rsidRPr="001455DC">
              <w:t>are defined in Figure 11.</w:t>
            </w:r>
            <w:r w:rsidR="00343CED">
              <w:t>9</w:t>
            </w:r>
            <w:r w:rsidRPr="001455DC">
              <w:t>.</w:t>
            </w:r>
          </w:p>
        </w:tc>
      </w:tr>
    </w:tbl>
    <w:p w14:paraId="2933641D" w14:textId="3F58849C" w:rsidR="00B25AB7" w:rsidRPr="001455DC" w:rsidRDefault="004E22C1" w:rsidP="00B25AB7">
      <w:pPr>
        <w:pStyle w:val="a7"/>
      </w:pPr>
      <w:r w:rsidRPr="001455DC">
        <w:rPr>
          <w:rStyle w:val="Char"/>
        </w:rPr>
        <w:t>(3)</w:t>
      </w:r>
      <w:r w:rsidRPr="001455DC">
        <w:rPr>
          <w:rStyle w:val="Char"/>
        </w:rPr>
        <w:tab/>
      </w:r>
      <w:r w:rsidRPr="001455DC">
        <w:t xml:space="preserve">For tensile forces larger than the anchorage capacity of the head, both forces in the head and in the anchorage length of the bar may be accounted for. The design length in the reinforcing bar </w:t>
      </w:r>
      <w:r w:rsidRPr="001455DC">
        <w:rPr>
          <w:rStyle w:val="CCMCvariableitalic"/>
        </w:rPr>
        <w:t>l</w:t>
      </w:r>
      <w:r w:rsidRPr="001455DC">
        <w:rPr>
          <w:rStyle w:val="CCMCvariablesubscript"/>
        </w:rPr>
        <w:t>bd</w:t>
      </w:r>
      <w:r w:rsidRPr="001455DC">
        <w:t xml:space="preserve"> to develop the remaining stress </w:t>
      </w:r>
      <w:r w:rsidRPr="001455DC">
        <w:rPr>
          <w:rStyle w:val="CCMCvariableitalic"/>
        </w:rPr>
        <w:t>σ</w:t>
      </w:r>
      <w:r w:rsidRPr="001455DC">
        <w:rPr>
          <w:rStyle w:val="CCMCvariablesubscript"/>
        </w:rPr>
        <w:t>sd</w:t>
      </w:r>
      <w:r w:rsidRPr="001455DC">
        <w:t> </w:t>
      </w:r>
      <w:r w:rsidR="00EC27D2" w:rsidRPr="001455DC">
        <w:rPr>
          <w:rFonts w:ascii="Cambria Math" w:hAnsi="Cambria Math"/>
        </w:rPr>
        <w:t>−</w:t>
      </w:r>
      <w:r w:rsidRPr="001455DC">
        <w:t> </w:t>
      </w:r>
      <w:r w:rsidRPr="001455DC">
        <w:rPr>
          <w:rStyle w:val="CCMCvariableitalic"/>
        </w:rPr>
        <w:t>σ</w:t>
      </w:r>
      <w:r w:rsidR="00FB3551" w:rsidRPr="001455DC">
        <w:rPr>
          <w:rFonts w:ascii="Cambria Math" w:hAnsi="Cambria Math" w:hint="eastAsia"/>
        </w:rPr>
        <w:t>′</w:t>
      </w:r>
      <w:r w:rsidRPr="001455DC">
        <w:rPr>
          <w:rStyle w:val="CCMCvariablesubscript"/>
        </w:rPr>
        <w:t>sd</w:t>
      </w:r>
      <w:r w:rsidRPr="001455DC">
        <w:t xml:space="preserve"> should be calculated according to Formula (11.8)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B25AB7" w:rsidRPr="001455DC" w14:paraId="28C24B6D" w14:textId="77777777" w:rsidTr="00F523AB">
        <w:trPr>
          <w:cantSplit/>
        </w:trPr>
        <w:tc>
          <w:tcPr>
            <w:tcW w:w="8505" w:type="dxa"/>
            <w:vAlign w:val="center"/>
          </w:tcPr>
          <w:p w14:paraId="33946CE6" w14:textId="7B1E6B48" w:rsidR="00B25AB7" w:rsidRPr="001455DC" w:rsidRDefault="00231E33" w:rsidP="00F523AB">
            <w:pPr>
              <w:pStyle w:val="Formula"/>
              <w:jc w:val="left"/>
            </w:pPr>
            <m:oMathPara>
              <m:oMathParaPr>
                <m:jc m:val="left"/>
              </m:oMathParaPr>
              <m:oMath>
                <m:sSub>
                  <m:sSubPr>
                    <m:ctrlPr>
                      <w:rPr>
                        <w:rFonts w:ascii="Cambria Math" w:hAnsi="Cambria Math"/>
                      </w:rPr>
                    </m:ctrlPr>
                  </m:sSubPr>
                  <m:e>
                    <m:r>
                      <w:rPr>
                        <w:rFonts w:ascii="Cambria Math" w:hAnsi="Cambria Math"/>
                      </w:rPr>
                      <m:t>l</m:t>
                    </m:r>
                  </m:e>
                  <m:sub>
                    <m:r>
                      <m:rPr>
                        <m:sty m:val="p"/>
                      </m:rPr>
                      <w:rPr>
                        <w:rFonts w:ascii="Cambria Math" w:hAnsi="Cambria Math"/>
                      </w:rPr>
                      <m:t>bd</m:t>
                    </m:r>
                  </m:sub>
                </m:sSub>
                <m: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bd</m:t>
                    </m:r>
                  </m:sub>
                </m:sSub>
                <m:d>
                  <m:dPr>
                    <m:ctrlPr>
                      <w:rPr>
                        <w:rFonts w:ascii="Cambria Math" w:hAnsi="Cambria Math"/>
                      </w:rPr>
                    </m:ctrlPr>
                  </m:dPr>
                  <m:e>
                    <m:sSub>
                      <m:sSubPr>
                        <m:ctrlPr>
                          <w:rPr>
                            <w:rFonts w:ascii="Cambria Math" w:hAnsi="Cambria Math"/>
                          </w:rPr>
                        </m:ctrlPr>
                      </m:sSubPr>
                      <m:e>
                        <m:r>
                          <w:rPr>
                            <w:rFonts w:ascii="Cambria Math" w:hAnsi="Cambria Math"/>
                          </w:rPr>
                          <m:t>σ</m:t>
                        </m:r>
                      </m:e>
                      <m:sub>
                        <m:r>
                          <m:rPr>
                            <m:sty m:val="p"/>
                          </m:rPr>
                          <w:rPr>
                            <w:rFonts w:ascii="Cambria Math" w:hAnsi="Cambria Math"/>
                          </w:rPr>
                          <m:t>sd</m:t>
                        </m:r>
                      </m:sub>
                    </m:sSub>
                  </m:e>
                </m:d>
                <m: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bd</m:t>
                    </m:r>
                  </m:sub>
                </m:sSub>
                <m:d>
                  <m:dPr>
                    <m:sepChr m:val=""/>
                    <m:ctrlPr>
                      <w:rPr>
                        <w:rFonts w:ascii="Cambria Math" w:hAnsi="Cambria Math"/>
                      </w:rPr>
                    </m:ctrlPr>
                  </m:dPr>
                  <m:e>
                    <m:sSub>
                      <m:sSubPr>
                        <m:ctrlPr>
                          <w:rPr>
                            <w:rFonts w:ascii="Cambria Math" w:hAnsi="Cambria Math"/>
                          </w:rPr>
                        </m:ctrlPr>
                      </m:sSubPr>
                      <m:e>
                        <m:r>
                          <w:rPr>
                            <w:rFonts w:ascii="Cambria Math" w:hAnsi="Cambria Math"/>
                          </w:rPr>
                          <m:t>σ</m:t>
                        </m:r>
                      </m:e>
                      <m:sub>
                        <m:r>
                          <m:rPr>
                            <m:sty m:val="p"/>
                          </m:rPr>
                          <w:rPr>
                            <w:rFonts w:ascii="Cambria Math" w:hAnsi="Cambria Math"/>
                          </w:rPr>
                          <m:t>sd</m:t>
                        </m:r>
                      </m:sub>
                    </m:sSub>
                  </m:e>
                  <m:e>
                    <m:r>
                      <w:rPr>
                        <w:rFonts w:ascii="Cambria Math" w:hAnsi="Cambria Math" w:hint="eastAsia"/>
                      </w:rPr>
                      <m:t>'</m:t>
                    </m:r>
                  </m:e>
                </m:d>
              </m:oMath>
            </m:oMathPara>
          </w:p>
        </w:tc>
        <w:tc>
          <w:tcPr>
            <w:tcW w:w="1247" w:type="dxa"/>
            <w:vAlign w:val="center"/>
          </w:tcPr>
          <w:p w14:paraId="60228E84" w14:textId="5ED439A8" w:rsidR="00B25AB7" w:rsidRPr="001455DC" w:rsidRDefault="00B25AB7" w:rsidP="00F523AB">
            <w:pPr>
              <w:pStyle w:val="a7"/>
              <w:jc w:val="right"/>
            </w:pPr>
            <w:r w:rsidRPr="001455DC">
              <w:t>(11.8)</w:t>
            </w:r>
          </w:p>
        </w:tc>
      </w:tr>
    </w:tbl>
    <w:p w14:paraId="7461F972" w14:textId="77777777" w:rsidR="004E22C1" w:rsidRPr="001455DC" w:rsidRDefault="004E22C1" w:rsidP="00FB3551">
      <w:pPr>
        <w:pStyle w:val="a7"/>
      </w:pPr>
      <w:r w:rsidRPr="001455DC">
        <w:t>(4)</w:t>
      </w:r>
      <w:r w:rsidRPr="001455DC">
        <w:tab/>
        <w:t>When used for shear or confinement reinforcement, anchorage should rely on the head only.</w:t>
      </w:r>
    </w:p>
    <w:p w14:paraId="67707279" w14:textId="211BF972" w:rsidR="004E22C1" w:rsidRPr="001455DC" w:rsidRDefault="004E22C1" w:rsidP="00243590">
      <w:pPr>
        <w:pStyle w:val="31"/>
      </w:pPr>
      <w:bookmarkStart w:id="826" w:name="_Toc52820038"/>
      <w:bookmarkStart w:id="827" w:name="_Toc54337436"/>
      <w:bookmarkStart w:id="828" w:name="_Toc54338094"/>
      <w:bookmarkStart w:id="829" w:name="_Toc67565438"/>
      <w:r w:rsidRPr="001455DC">
        <w:t>Anchorage of bonded post-installed reinforcing steel</w:t>
      </w:r>
      <w:bookmarkEnd w:id="826"/>
      <w:bookmarkEnd w:id="827"/>
      <w:bookmarkEnd w:id="828"/>
      <w:bookmarkEnd w:id="829"/>
    </w:p>
    <w:p w14:paraId="5FE47B86" w14:textId="096184BF" w:rsidR="004E22C1" w:rsidRPr="001455DC" w:rsidRDefault="004E22C1" w:rsidP="00FB3551">
      <w:pPr>
        <w:pStyle w:val="a7"/>
      </w:pPr>
      <w:r w:rsidRPr="001455DC">
        <w:t>(1)</w:t>
      </w:r>
      <w:r w:rsidRPr="001455DC">
        <w:tab/>
        <w:t>This Eurocode</w:t>
      </w:r>
      <w:r w:rsidR="002951BB" w:rsidRPr="001455DC">
        <w:t xml:space="preserve"> </w:t>
      </w:r>
      <w:r w:rsidRPr="001455DC">
        <w:t xml:space="preserve">applies to post-installed reinforcing steel bars comprising a </w:t>
      </w:r>
      <w:r w:rsidR="00835063" w:rsidRPr="001455DC">
        <w:t xml:space="preserve">(de-coiled) </w:t>
      </w:r>
      <w:r w:rsidRPr="001455DC">
        <w:t>straight reinforcing steel bar with properties according to C.</w:t>
      </w:r>
      <w:r w:rsidR="00DC0EB4" w:rsidRPr="001455DC">
        <w:t xml:space="preserve">4 </w:t>
      </w:r>
      <w:r w:rsidRPr="001455DC">
        <w:t>and an anchoring mortar with established suitability and properties according to C.</w:t>
      </w:r>
      <w:r w:rsidR="007A4A17" w:rsidRPr="001455DC">
        <w:t xml:space="preserve">8 </w:t>
      </w:r>
      <w:r w:rsidRPr="001455DC">
        <w:t>for the intended application, exposure condition and temperature, see C.</w:t>
      </w:r>
      <w:r w:rsidR="007A4A17" w:rsidRPr="001455DC">
        <w:t>8</w:t>
      </w:r>
      <w:r w:rsidRPr="001455DC">
        <w:t>(4).</w:t>
      </w:r>
    </w:p>
    <w:p w14:paraId="5B63AF46" w14:textId="77777777" w:rsidR="004E22C1" w:rsidRPr="001455DC" w:rsidRDefault="004E22C1" w:rsidP="00FB3551">
      <w:pPr>
        <w:pStyle w:val="Note"/>
      </w:pPr>
      <w:r w:rsidRPr="001455DC">
        <w:t>NOTE</w:t>
      </w:r>
      <w:r w:rsidRPr="001455DC">
        <w:tab/>
        <w:t>The suitability of the post-installed reinforcing steel bars is stated in a relevant European Technical Product Specification. It is assumed that the European Technical Product Specifications provide all information required for design of post-installed reinforcing steel bars to this Eurocode.</w:t>
      </w:r>
    </w:p>
    <w:p w14:paraId="1A480A57" w14:textId="77777777" w:rsidR="004E22C1" w:rsidRPr="001455DC" w:rsidRDefault="004E22C1" w:rsidP="00FB3551">
      <w:pPr>
        <w:pStyle w:val="a7"/>
      </w:pPr>
      <w:r w:rsidRPr="001455DC">
        <w:rPr>
          <w:szCs w:val="22"/>
        </w:rPr>
        <w:t>(2)</w:t>
      </w:r>
      <w:r w:rsidRPr="001455DC">
        <w:rPr>
          <w:szCs w:val="22"/>
        </w:rPr>
        <w:tab/>
      </w:r>
      <w:r w:rsidRPr="001455DC">
        <w:t>The design of post-installed reinforcing bars according to this Eurocode assumes that the installation is performed according to the manufacturer’s installation instructions by qualified personnel and inspection of the installation is carried out by appropriately qualified personnel.</w:t>
      </w:r>
    </w:p>
    <w:p w14:paraId="58C17363" w14:textId="77777777" w:rsidR="004E22C1" w:rsidRPr="001455DC" w:rsidRDefault="004E22C1" w:rsidP="00FB3551">
      <w:pPr>
        <w:pStyle w:val="a7"/>
      </w:pPr>
      <w:r w:rsidRPr="001455DC">
        <w:t>(3)</w:t>
      </w:r>
      <w:r w:rsidRPr="001455DC">
        <w:tab/>
        <w:t xml:space="preserve">Unless differently specified in a European Technical Product Specification, the minimum concrete cover </w:t>
      </w:r>
      <w:r w:rsidRPr="001455DC">
        <w:rPr>
          <w:rStyle w:val="CCMCvariableitalic"/>
        </w:rPr>
        <w:t>c</w:t>
      </w:r>
      <w:r w:rsidRPr="001455DC">
        <w:rPr>
          <w:rStyle w:val="CCMCvariablesubscript"/>
        </w:rPr>
        <w:t>min,b</w:t>
      </w:r>
      <w:r w:rsidRPr="001455DC">
        <w:t xml:space="preserve"> for the bond of post-installed reinforcing bars in all directions should be detailed in accordance with Table 11.2, as a function of the intended drilling method and of the execution procedure.</w:t>
      </w:r>
    </w:p>
    <w:p w14:paraId="10747742" w14:textId="77777777" w:rsidR="004E22C1" w:rsidRPr="001455DC" w:rsidRDefault="004E22C1" w:rsidP="00FB3551">
      <w:pPr>
        <w:pStyle w:val="Tabletitle"/>
      </w:pPr>
      <w:bookmarkStart w:id="830" w:name="_Toc54337437"/>
      <w:r w:rsidRPr="001455DC">
        <w:t xml:space="preserve">Table 11.2 — Minimum concrete cover </w:t>
      </w:r>
      <w:r w:rsidRPr="001455DC">
        <w:rPr>
          <w:rStyle w:val="CCMCvariableitalic"/>
        </w:rPr>
        <w:t>c</w:t>
      </w:r>
      <w:r w:rsidRPr="001455DC">
        <w:rPr>
          <w:rStyle w:val="CCMCvariablesubscript"/>
        </w:rPr>
        <w:t>min,b</w:t>
      </w:r>
      <w:r w:rsidRPr="001455DC">
        <w:t xml:space="preserve"> for post-installed reinforcing steel bars</w:t>
      </w:r>
      <w:bookmarkEnd w:id="830"/>
    </w:p>
    <w:tbl>
      <w:tblPr>
        <w:tblStyle w:val="53"/>
        <w:tblW w:w="9752" w:type="dxa"/>
        <w:tblLayout w:type="fixed"/>
        <w:tblCellMar>
          <w:left w:w="71" w:type="dxa"/>
          <w:right w:w="71" w:type="dxa"/>
        </w:tblCellMar>
        <w:tblLook w:val="0620" w:firstRow="1" w:lastRow="0" w:firstColumn="0" w:lastColumn="0" w:noHBand="1" w:noVBand="1"/>
      </w:tblPr>
      <w:tblGrid>
        <w:gridCol w:w="2345"/>
        <w:gridCol w:w="1810"/>
        <w:gridCol w:w="2862"/>
        <w:gridCol w:w="2735"/>
      </w:tblGrid>
      <w:tr w:rsidR="004E22C1" w:rsidRPr="001455DC" w14:paraId="23BB3B3E" w14:textId="77777777" w:rsidTr="00FB3551">
        <w:trPr>
          <w:cnfStyle w:val="100000000000" w:firstRow="1" w:lastRow="0" w:firstColumn="0" w:lastColumn="0" w:oddVBand="0" w:evenVBand="0" w:oddHBand="0" w:evenHBand="0" w:firstRowFirstColumn="0" w:firstRowLastColumn="0" w:lastRowFirstColumn="0" w:lastRowLastColumn="0"/>
          <w:cantSplit/>
          <w:tblHeader/>
        </w:trPr>
        <w:tc>
          <w:tcPr>
            <w:tcW w:w="1976" w:type="dxa"/>
            <w:vMerge w:val="restart"/>
          </w:tcPr>
          <w:p w14:paraId="5F0FCDBB" w14:textId="77777777" w:rsidR="004E22C1" w:rsidRPr="001455DC" w:rsidRDefault="004E22C1" w:rsidP="00FB3551">
            <w:pPr>
              <w:pStyle w:val="Tableheader"/>
              <w:keepNext/>
            </w:pPr>
            <w:r w:rsidRPr="001455DC">
              <w:t>Drilling method</w:t>
            </w:r>
          </w:p>
        </w:tc>
        <w:tc>
          <w:tcPr>
            <w:tcW w:w="1524" w:type="dxa"/>
            <w:vMerge w:val="restart"/>
          </w:tcPr>
          <w:p w14:paraId="7C5465F5" w14:textId="47282578" w:rsidR="004E22C1" w:rsidRPr="001455DC" w:rsidRDefault="004E22C1" w:rsidP="00FB3551">
            <w:pPr>
              <w:pStyle w:val="Tableheader"/>
              <w:keepNext/>
            </w:pPr>
            <w:r w:rsidRPr="001455DC">
              <w:t>Bar diameter</w:t>
            </w:r>
          </w:p>
        </w:tc>
        <w:tc>
          <w:tcPr>
            <w:tcW w:w="4713" w:type="dxa"/>
            <w:gridSpan w:val="2"/>
          </w:tcPr>
          <w:p w14:paraId="4CD85ED7" w14:textId="77777777" w:rsidR="004E22C1" w:rsidRPr="009D3012" w:rsidRDefault="004E22C1" w:rsidP="00FB3551">
            <w:pPr>
              <w:pStyle w:val="Tableheader"/>
              <w:keepNext/>
              <w:rPr>
                <w:rStyle w:val="CCMCvariableitalic"/>
                <w:b w:val="0"/>
              </w:rPr>
            </w:pPr>
            <w:r w:rsidRPr="001455DC">
              <w:rPr>
                <w:rStyle w:val="CCMCvariableitalic"/>
                <w:b w:val="0"/>
              </w:rPr>
              <w:t>c</w:t>
            </w:r>
            <w:r w:rsidRPr="001455DC">
              <w:rPr>
                <w:rStyle w:val="CCMCvariablesubscript"/>
                <w:b w:val="0"/>
              </w:rPr>
              <w:t>min,b</w:t>
            </w:r>
          </w:p>
        </w:tc>
      </w:tr>
      <w:tr w:rsidR="004E22C1" w:rsidRPr="001455DC" w14:paraId="58D3F7ED" w14:textId="77777777" w:rsidTr="00FB3551">
        <w:trPr>
          <w:cnfStyle w:val="100000000000" w:firstRow="1" w:lastRow="0" w:firstColumn="0" w:lastColumn="0" w:oddVBand="0" w:evenVBand="0" w:oddHBand="0" w:evenHBand="0" w:firstRowFirstColumn="0" w:firstRowLastColumn="0" w:lastRowFirstColumn="0" w:lastRowLastColumn="0"/>
          <w:cantSplit/>
          <w:tblHeader/>
        </w:trPr>
        <w:tc>
          <w:tcPr>
            <w:tcW w:w="1976" w:type="dxa"/>
            <w:vMerge/>
          </w:tcPr>
          <w:p w14:paraId="60DC8AE5" w14:textId="77777777" w:rsidR="004E22C1" w:rsidRPr="001455DC" w:rsidRDefault="004E22C1" w:rsidP="00FB3551">
            <w:pPr>
              <w:pStyle w:val="Tableheader"/>
              <w:keepNext/>
            </w:pPr>
          </w:p>
        </w:tc>
        <w:tc>
          <w:tcPr>
            <w:tcW w:w="1524" w:type="dxa"/>
            <w:vMerge/>
          </w:tcPr>
          <w:p w14:paraId="07C95713" w14:textId="77777777" w:rsidR="004E22C1" w:rsidRPr="001455DC" w:rsidRDefault="004E22C1" w:rsidP="00FB3551">
            <w:pPr>
              <w:pStyle w:val="Tableheader"/>
              <w:keepNext/>
            </w:pPr>
          </w:p>
        </w:tc>
        <w:tc>
          <w:tcPr>
            <w:tcW w:w="2410" w:type="dxa"/>
          </w:tcPr>
          <w:p w14:paraId="521E2C3F" w14:textId="77777777" w:rsidR="004E22C1" w:rsidRPr="001455DC" w:rsidRDefault="004E22C1" w:rsidP="00FB3551">
            <w:pPr>
              <w:pStyle w:val="Tableheader"/>
              <w:keepNext/>
            </w:pPr>
            <w:r w:rsidRPr="001455DC">
              <w:t>without drilling aid</w:t>
            </w:r>
          </w:p>
        </w:tc>
        <w:tc>
          <w:tcPr>
            <w:tcW w:w="2303" w:type="dxa"/>
          </w:tcPr>
          <w:p w14:paraId="6A945D80" w14:textId="6A323832" w:rsidR="004E22C1" w:rsidRPr="001455DC" w:rsidRDefault="004E22C1" w:rsidP="00FB3551">
            <w:pPr>
              <w:pStyle w:val="Tableheader"/>
              <w:keepNext/>
            </w:pPr>
            <w:r w:rsidRPr="001455DC">
              <w:t>with drilling aid</w:t>
            </w:r>
          </w:p>
        </w:tc>
      </w:tr>
      <w:tr w:rsidR="004E22C1" w:rsidRPr="001455DC" w14:paraId="2D0B3F5E" w14:textId="77777777" w:rsidTr="00FB3551">
        <w:trPr>
          <w:cantSplit/>
        </w:trPr>
        <w:tc>
          <w:tcPr>
            <w:tcW w:w="1976" w:type="dxa"/>
            <w:vMerge w:val="restart"/>
            <w:vAlign w:val="center"/>
          </w:tcPr>
          <w:p w14:paraId="56DB25AC" w14:textId="77777777" w:rsidR="004E22C1" w:rsidRPr="009D3012" w:rsidRDefault="004E22C1" w:rsidP="00FB3551">
            <w:pPr>
              <w:pStyle w:val="Tablebody"/>
              <w:keepNext/>
              <w:jc w:val="left"/>
              <w:rPr>
                <w:lang w:val="en-US"/>
              </w:rPr>
            </w:pPr>
            <w:r w:rsidRPr="009D3012">
              <w:rPr>
                <w:lang w:val="en-US"/>
              </w:rPr>
              <w:t>Hammer drilling and diamond coring/drilling</w:t>
            </w:r>
          </w:p>
        </w:tc>
        <w:tc>
          <w:tcPr>
            <w:tcW w:w="1524" w:type="dxa"/>
            <w:vAlign w:val="center"/>
          </w:tcPr>
          <w:p w14:paraId="30412AE0" w14:textId="46DFA5AB" w:rsidR="004E22C1" w:rsidRPr="001455DC" w:rsidRDefault="004E22C1" w:rsidP="00FB3551">
            <w:pPr>
              <w:pStyle w:val="Tablebody"/>
              <w:keepNext/>
              <w:jc w:val="center"/>
            </w:pPr>
            <w:r w:rsidRPr="001455DC">
              <w:rPr>
                <w:rStyle w:val="CCMCvariableitalic"/>
              </w:rPr>
              <w:t>ϕ</w:t>
            </w:r>
            <w:r w:rsidRPr="001455DC">
              <w:rPr>
                <w:rFonts w:cstheme="minorHAnsi"/>
                <w:b/>
                <w:bCs/>
              </w:rPr>
              <w:t> </w:t>
            </w:r>
            <w:r w:rsidR="00650035" w:rsidRPr="001455DC">
              <w:rPr>
                <w:rFonts w:ascii="Cambria Math" w:hAnsi="Cambria Math" w:cstheme="minorHAnsi"/>
                <w:b/>
                <w:bCs/>
              </w:rPr>
              <w:t>&lt;</w:t>
            </w:r>
            <w:r w:rsidRPr="001455DC">
              <w:rPr>
                <w:rFonts w:cstheme="minorHAnsi"/>
                <w:b/>
                <w:bCs/>
              </w:rPr>
              <w:t> </w:t>
            </w:r>
            <w:r w:rsidRPr="001455DC">
              <w:t>25 mm</w:t>
            </w:r>
          </w:p>
        </w:tc>
        <w:tc>
          <w:tcPr>
            <w:tcW w:w="2410" w:type="dxa"/>
            <w:vAlign w:val="center"/>
          </w:tcPr>
          <w:p w14:paraId="4F16A2B9" w14:textId="7D2E5937" w:rsidR="004E22C1" w:rsidRPr="001455DC" w:rsidRDefault="004E22C1">
            <w:pPr>
              <w:pStyle w:val="Tablebody"/>
              <w:keepNext/>
              <w:jc w:val="center"/>
            </w:pPr>
            <w:r w:rsidRPr="001455DC">
              <w:t>30 mm</w:t>
            </w:r>
            <w:r w:rsidR="00EC27D2" w:rsidRPr="001455DC">
              <w:rPr>
                <w:rFonts w:ascii="Cambria Math" w:hAnsi="Cambria Math"/>
              </w:rPr>
              <w:t> + </w:t>
            </w:r>
            <w:r w:rsidRPr="001455DC">
              <w:t>0,06</w:t>
            </w:r>
            <w:r w:rsidRPr="001455DC">
              <w:rPr>
                <w:rStyle w:val="CCMCvariableitalic"/>
              </w:rPr>
              <w:t>l</w:t>
            </w:r>
            <w:r w:rsidRPr="001455DC">
              <w:rPr>
                <w:rStyle w:val="CCMCvariablesubscript"/>
              </w:rPr>
              <w:t>bd,pi</w:t>
            </w:r>
            <w:r w:rsidRPr="001455DC">
              <w:t> </w:t>
            </w:r>
            <w:r w:rsidR="00650035" w:rsidRPr="001455DC">
              <w:rPr>
                <w:rFonts w:ascii="Cambria Math" w:hAnsi="Cambria Math"/>
              </w:rPr>
              <w:t>≥</w:t>
            </w:r>
            <w:r w:rsidR="00073FC6" w:rsidRPr="001455DC">
              <w:t> </w:t>
            </w:r>
            <w:r w:rsidRPr="001455DC">
              <w:t>2</w:t>
            </w:r>
            <w:r w:rsidRPr="001455DC">
              <w:rPr>
                <w:rStyle w:val="CCMCvariableitalic"/>
              </w:rPr>
              <w:t>ϕ</w:t>
            </w:r>
          </w:p>
        </w:tc>
        <w:tc>
          <w:tcPr>
            <w:tcW w:w="2303" w:type="dxa"/>
            <w:vAlign w:val="center"/>
          </w:tcPr>
          <w:p w14:paraId="326D7AC2" w14:textId="1899A010" w:rsidR="004E22C1" w:rsidRPr="001455DC" w:rsidRDefault="004E22C1" w:rsidP="00FB3551">
            <w:pPr>
              <w:pStyle w:val="Tablebody"/>
              <w:keepNext/>
              <w:jc w:val="center"/>
            </w:pPr>
            <w:r w:rsidRPr="001455DC">
              <w:t>30 mm</w:t>
            </w:r>
            <w:r w:rsidR="00EC27D2" w:rsidRPr="001455DC">
              <w:rPr>
                <w:rFonts w:ascii="Cambria Math" w:hAnsi="Cambria Math"/>
              </w:rPr>
              <w:t> + </w:t>
            </w:r>
            <w:r w:rsidRPr="001455DC">
              <w:t>0,02</w:t>
            </w:r>
            <w:r w:rsidRPr="001455DC">
              <w:rPr>
                <w:rStyle w:val="CCMCvariableitalic"/>
              </w:rPr>
              <w:t>l</w:t>
            </w:r>
            <w:r w:rsidRPr="001455DC">
              <w:rPr>
                <w:rStyle w:val="CCMCvariablesubscript"/>
              </w:rPr>
              <w:t>bd,pi</w:t>
            </w:r>
            <w:r w:rsidRPr="001455DC">
              <w:t> </w:t>
            </w:r>
            <w:r w:rsidR="00650035" w:rsidRPr="001455DC">
              <w:rPr>
                <w:rFonts w:ascii="Cambria Math" w:hAnsi="Cambria Math"/>
              </w:rPr>
              <w:t>≥</w:t>
            </w:r>
            <w:r w:rsidR="00073FC6" w:rsidRPr="001455DC">
              <w:t> </w:t>
            </w:r>
            <w:r w:rsidRPr="001455DC">
              <w:t>2</w:t>
            </w:r>
            <w:r w:rsidRPr="001455DC">
              <w:rPr>
                <w:rStyle w:val="CCMCvariableitalic"/>
              </w:rPr>
              <w:t>ϕ</w:t>
            </w:r>
          </w:p>
        </w:tc>
      </w:tr>
      <w:tr w:rsidR="004E22C1" w:rsidRPr="001455DC" w14:paraId="342DCAAF" w14:textId="77777777" w:rsidTr="00FB3551">
        <w:trPr>
          <w:cantSplit/>
        </w:trPr>
        <w:tc>
          <w:tcPr>
            <w:tcW w:w="1976" w:type="dxa"/>
            <w:vMerge/>
            <w:vAlign w:val="center"/>
          </w:tcPr>
          <w:p w14:paraId="238AB94A" w14:textId="77777777" w:rsidR="004E22C1" w:rsidRPr="001455DC" w:rsidRDefault="004E22C1" w:rsidP="00FB3551">
            <w:pPr>
              <w:pStyle w:val="Tablebody"/>
              <w:keepNext/>
              <w:jc w:val="left"/>
            </w:pPr>
          </w:p>
        </w:tc>
        <w:tc>
          <w:tcPr>
            <w:tcW w:w="1524" w:type="dxa"/>
            <w:vAlign w:val="center"/>
          </w:tcPr>
          <w:p w14:paraId="1BF311F1" w14:textId="498717DD" w:rsidR="004E22C1" w:rsidRPr="001455DC" w:rsidRDefault="004E22C1" w:rsidP="00FB3551">
            <w:pPr>
              <w:pStyle w:val="Tablebody"/>
              <w:keepNext/>
              <w:jc w:val="center"/>
            </w:pPr>
            <w:r w:rsidRPr="001455DC">
              <w:rPr>
                <w:rStyle w:val="CCMCvariableitalic"/>
              </w:rPr>
              <w:t>ϕ</w:t>
            </w:r>
            <w:r w:rsidRPr="001455DC">
              <w:rPr>
                <w:rFonts w:cstheme="minorHAnsi"/>
                <w:bCs/>
              </w:rPr>
              <w:t> </w:t>
            </w:r>
            <w:r w:rsidR="00650035" w:rsidRPr="001455DC">
              <w:rPr>
                <w:rFonts w:ascii="Cambria Math" w:hAnsi="Cambria Math" w:cstheme="minorHAnsi"/>
                <w:bCs/>
              </w:rPr>
              <w:t>≥</w:t>
            </w:r>
            <w:r w:rsidR="00073FC6" w:rsidRPr="001455DC">
              <w:rPr>
                <w:rFonts w:cstheme="minorHAnsi"/>
                <w:bCs/>
              </w:rPr>
              <w:t> </w:t>
            </w:r>
            <w:r w:rsidRPr="001455DC">
              <w:t>25 mm</w:t>
            </w:r>
          </w:p>
        </w:tc>
        <w:tc>
          <w:tcPr>
            <w:tcW w:w="2410" w:type="dxa"/>
            <w:vAlign w:val="center"/>
          </w:tcPr>
          <w:p w14:paraId="57041E05" w14:textId="76219E45" w:rsidR="004E22C1" w:rsidRPr="001455DC" w:rsidRDefault="004E22C1">
            <w:pPr>
              <w:pStyle w:val="Tablebody"/>
              <w:keepNext/>
              <w:jc w:val="center"/>
            </w:pPr>
            <w:r w:rsidRPr="001455DC">
              <w:t>40 mm</w:t>
            </w:r>
            <w:r w:rsidR="00EC27D2" w:rsidRPr="001455DC">
              <w:rPr>
                <w:rFonts w:ascii="Cambria Math" w:hAnsi="Cambria Math"/>
              </w:rPr>
              <w:t> + </w:t>
            </w:r>
            <w:r w:rsidRPr="001455DC">
              <w:t xml:space="preserve">0,06 </w:t>
            </w:r>
            <w:r w:rsidRPr="001455DC">
              <w:rPr>
                <w:rStyle w:val="CCMCvariableitalic"/>
              </w:rPr>
              <w:t>l</w:t>
            </w:r>
            <w:r w:rsidRPr="001455DC">
              <w:rPr>
                <w:rStyle w:val="CCMCvariablesubscript"/>
              </w:rPr>
              <w:t>bd,pi</w:t>
            </w:r>
            <w:r w:rsidRPr="001455DC">
              <w:t> </w:t>
            </w:r>
            <w:r w:rsidR="00650035" w:rsidRPr="001455DC">
              <w:rPr>
                <w:rFonts w:ascii="Cambria Math" w:hAnsi="Cambria Math"/>
              </w:rPr>
              <w:t>≥</w:t>
            </w:r>
            <w:r w:rsidR="00073FC6" w:rsidRPr="001455DC">
              <w:t> </w:t>
            </w:r>
            <w:r w:rsidRPr="001455DC">
              <w:t>2</w:t>
            </w:r>
            <w:r w:rsidRPr="001455DC">
              <w:rPr>
                <w:rStyle w:val="CCMCvariableitalic"/>
              </w:rPr>
              <w:t>ϕ</w:t>
            </w:r>
          </w:p>
        </w:tc>
        <w:tc>
          <w:tcPr>
            <w:tcW w:w="2303" w:type="dxa"/>
            <w:vAlign w:val="center"/>
          </w:tcPr>
          <w:p w14:paraId="54008CFE" w14:textId="45C8D679" w:rsidR="004E22C1" w:rsidRPr="001455DC" w:rsidRDefault="004E22C1" w:rsidP="00FB3551">
            <w:pPr>
              <w:pStyle w:val="Tablebody"/>
              <w:keepNext/>
              <w:jc w:val="center"/>
            </w:pPr>
            <w:r w:rsidRPr="001455DC">
              <w:t>40 mm</w:t>
            </w:r>
            <w:r w:rsidR="00EC27D2" w:rsidRPr="001455DC">
              <w:rPr>
                <w:rFonts w:ascii="Cambria Math" w:hAnsi="Cambria Math"/>
              </w:rPr>
              <w:t> + </w:t>
            </w:r>
            <w:r w:rsidRPr="001455DC">
              <w:t>0,02</w:t>
            </w:r>
            <w:r w:rsidRPr="001455DC">
              <w:rPr>
                <w:rStyle w:val="CCMCvariableitalic"/>
              </w:rPr>
              <w:t>l</w:t>
            </w:r>
            <w:r w:rsidRPr="001455DC">
              <w:rPr>
                <w:rStyle w:val="CCMCvariablesubscript"/>
              </w:rPr>
              <w:t>bd,pi</w:t>
            </w:r>
            <w:r w:rsidRPr="001455DC">
              <w:t> </w:t>
            </w:r>
            <w:r w:rsidR="00650035" w:rsidRPr="001455DC">
              <w:rPr>
                <w:rFonts w:ascii="Cambria Math" w:hAnsi="Cambria Math"/>
              </w:rPr>
              <w:t>≥</w:t>
            </w:r>
            <w:r w:rsidR="00073FC6" w:rsidRPr="001455DC">
              <w:t> </w:t>
            </w:r>
            <w:r w:rsidRPr="001455DC">
              <w:t>2</w:t>
            </w:r>
            <w:r w:rsidRPr="001455DC">
              <w:rPr>
                <w:rStyle w:val="CCMCvariableitalic"/>
              </w:rPr>
              <w:t>ϕ</w:t>
            </w:r>
          </w:p>
        </w:tc>
      </w:tr>
      <w:tr w:rsidR="004E22C1" w:rsidRPr="001455DC" w14:paraId="0E4D9B26" w14:textId="77777777" w:rsidTr="00FB3551">
        <w:trPr>
          <w:cantSplit/>
        </w:trPr>
        <w:tc>
          <w:tcPr>
            <w:tcW w:w="1976" w:type="dxa"/>
            <w:vMerge w:val="restart"/>
            <w:vAlign w:val="center"/>
          </w:tcPr>
          <w:p w14:paraId="5BC57051" w14:textId="77777777" w:rsidR="004E22C1" w:rsidRPr="001455DC" w:rsidRDefault="004E22C1" w:rsidP="00FB3551">
            <w:pPr>
              <w:pStyle w:val="Tablebody"/>
              <w:keepNext/>
              <w:jc w:val="left"/>
            </w:pPr>
            <w:r w:rsidRPr="001455DC">
              <w:t>Compressed air drilling</w:t>
            </w:r>
          </w:p>
        </w:tc>
        <w:tc>
          <w:tcPr>
            <w:tcW w:w="1524" w:type="dxa"/>
            <w:vAlign w:val="center"/>
          </w:tcPr>
          <w:p w14:paraId="4072BDF9" w14:textId="0A8B5C8D" w:rsidR="004E22C1" w:rsidRPr="001455DC" w:rsidRDefault="004E22C1" w:rsidP="00FB3551">
            <w:pPr>
              <w:pStyle w:val="Tablebody"/>
              <w:keepNext/>
              <w:jc w:val="center"/>
            </w:pPr>
            <w:r w:rsidRPr="001455DC">
              <w:rPr>
                <w:rStyle w:val="CCMCvariableitalic"/>
              </w:rPr>
              <w:t>ϕ</w:t>
            </w:r>
            <w:r w:rsidRPr="001455DC">
              <w:rPr>
                <w:rFonts w:cstheme="minorHAnsi"/>
                <w:bCs/>
              </w:rPr>
              <w:t> </w:t>
            </w:r>
            <w:r w:rsidR="00650035" w:rsidRPr="001455DC">
              <w:rPr>
                <w:rFonts w:ascii="Cambria Math" w:hAnsi="Cambria Math" w:cstheme="minorHAnsi"/>
                <w:bCs/>
              </w:rPr>
              <w:t>&lt;</w:t>
            </w:r>
            <w:r w:rsidRPr="001455DC">
              <w:rPr>
                <w:rFonts w:cstheme="minorHAnsi"/>
                <w:bCs/>
              </w:rPr>
              <w:t> </w:t>
            </w:r>
            <w:r w:rsidRPr="001455DC">
              <w:t>25 mm</w:t>
            </w:r>
          </w:p>
        </w:tc>
        <w:tc>
          <w:tcPr>
            <w:tcW w:w="2410" w:type="dxa"/>
            <w:vAlign w:val="center"/>
          </w:tcPr>
          <w:p w14:paraId="0CEEDE8A" w14:textId="02C1B0AF" w:rsidR="004E22C1" w:rsidRPr="001455DC" w:rsidRDefault="004E22C1">
            <w:pPr>
              <w:pStyle w:val="Tablebody"/>
              <w:keepNext/>
              <w:jc w:val="center"/>
            </w:pPr>
            <w:r w:rsidRPr="001455DC">
              <w:t>50 mm</w:t>
            </w:r>
            <w:r w:rsidR="00EC27D2" w:rsidRPr="001455DC">
              <w:rPr>
                <w:rFonts w:ascii="Cambria Math" w:hAnsi="Cambria Math"/>
              </w:rPr>
              <w:t> + </w:t>
            </w:r>
            <w:r w:rsidRPr="001455DC">
              <w:t>0,08</w:t>
            </w:r>
            <w:r w:rsidRPr="001455DC">
              <w:rPr>
                <w:rStyle w:val="CCMCvariableitalic"/>
              </w:rPr>
              <w:t>l</w:t>
            </w:r>
            <w:r w:rsidRPr="001455DC">
              <w:rPr>
                <w:rStyle w:val="CCMCvariablesubscript"/>
              </w:rPr>
              <w:t>bd,pi</w:t>
            </w:r>
          </w:p>
        </w:tc>
        <w:tc>
          <w:tcPr>
            <w:tcW w:w="2303" w:type="dxa"/>
            <w:vAlign w:val="center"/>
          </w:tcPr>
          <w:p w14:paraId="42DC08E2" w14:textId="1AB4E5E2" w:rsidR="004E22C1" w:rsidRPr="001455DC" w:rsidRDefault="004E22C1" w:rsidP="00FB3551">
            <w:pPr>
              <w:pStyle w:val="Tablebody"/>
              <w:keepNext/>
              <w:jc w:val="center"/>
            </w:pPr>
            <w:r w:rsidRPr="001455DC">
              <w:t>50 mm</w:t>
            </w:r>
            <w:r w:rsidR="00EC27D2" w:rsidRPr="001455DC">
              <w:rPr>
                <w:rFonts w:ascii="Cambria Math" w:hAnsi="Cambria Math"/>
              </w:rPr>
              <w:t> + </w:t>
            </w:r>
            <w:r w:rsidRPr="001455DC">
              <w:t>0,02</w:t>
            </w:r>
            <w:r w:rsidRPr="001455DC">
              <w:rPr>
                <w:rStyle w:val="CCMCvariableitalic"/>
              </w:rPr>
              <w:t>l</w:t>
            </w:r>
            <w:r w:rsidRPr="001455DC">
              <w:rPr>
                <w:rStyle w:val="CCMCvariablesubscript"/>
              </w:rPr>
              <w:t>bd,pi</w:t>
            </w:r>
          </w:p>
        </w:tc>
      </w:tr>
      <w:tr w:rsidR="004E22C1" w:rsidRPr="001455DC" w14:paraId="69EB491A" w14:textId="77777777" w:rsidTr="00FB3551">
        <w:trPr>
          <w:cantSplit/>
        </w:trPr>
        <w:tc>
          <w:tcPr>
            <w:tcW w:w="1976" w:type="dxa"/>
            <w:vMerge/>
          </w:tcPr>
          <w:p w14:paraId="5245BA80" w14:textId="77777777" w:rsidR="004E22C1" w:rsidRPr="001455DC" w:rsidRDefault="004E22C1" w:rsidP="00FB3551">
            <w:pPr>
              <w:pStyle w:val="Tablebody"/>
              <w:jc w:val="center"/>
            </w:pPr>
          </w:p>
        </w:tc>
        <w:tc>
          <w:tcPr>
            <w:tcW w:w="1524" w:type="dxa"/>
            <w:vAlign w:val="center"/>
          </w:tcPr>
          <w:p w14:paraId="58109518" w14:textId="4690D8FC" w:rsidR="004E22C1" w:rsidRPr="001455DC" w:rsidRDefault="004E22C1" w:rsidP="00FB3551">
            <w:pPr>
              <w:pStyle w:val="Tablebody"/>
              <w:jc w:val="center"/>
            </w:pPr>
            <w:r w:rsidRPr="001455DC">
              <w:rPr>
                <w:rStyle w:val="CCMCvariableitalic"/>
              </w:rPr>
              <w:t>ϕ</w:t>
            </w:r>
            <w:r w:rsidRPr="001455DC">
              <w:rPr>
                <w:rFonts w:cstheme="minorHAnsi"/>
                <w:bCs/>
              </w:rPr>
              <w:t> </w:t>
            </w:r>
            <w:r w:rsidR="00650035" w:rsidRPr="001455DC">
              <w:rPr>
                <w:rFonts w:ascii="Cambria Math" w:hAnsi="Cambria Math" w:cstheme="minorHAnsi"/>
                <w:bCs/>
              </w:rPr>
              <w:t>≥</w:t>
            </w:r>
            <w:r w:rsidR="00073FC6" w:rsidRPr="001455DC">
              <w:rPr>
                <w:rFonts w:cstheme="minorHAnsi"/>
                <w:bCs/>
              </w:rPr>
              <w:t> </w:t>
            </w:r>
            <w:r w:rsidRPr="001455DC">
              <w:t>25 mm</w:t>
            </w:r>
          </w:p>
        </w:tc>
        <w:tc>
          <w:tcPr>
            <w:tcW w:w="2410" w:type="dxa"/>
            <w:vAlign w:val="center"/>
          </w:tcPr>
          <w:p w14:paraId="0F349655" w14:textId="5BA3E78A" w:rsidR="004E22C1" w:rsidRPr="001455DC" w:rsidRDefault="004E22C1">
            <w:pPr>
              <w:pStyle w:val="Tablebody"/>
              <w:jc w:val="center"/>
            </w:pPr>
            <w:r w:rsidRPr="001455DC">
              <w:t>60 mm</w:t>
            </w:r>
            <w:r w:rsidR="00EC27D2" w:rsidRPr="001455DC">
              <w:rPr>
                <w:rFonts w:ascii="Cambria Math" w:hAnsi="Cambria Math"/>
              </w:rPr>
              <w:t> + </w:t>
            </w:r>
            <w:r w:rsidRPr="001455DC">
              <w:t>0,08</w:t>
            </w:r>
            <w:r w:rsidRPr="001455DC">
              <w:rPr>
                <w:rStyle w:val="CCMCvariableitalic"/>
              </w:rPr>
              <w:t>l</w:t>
            </w:r>
            <w:r w:rsidRPr="001455DC">
              <w:rPr>
                <w:rStyle w:val="CCMCvariablesubscript"/>
              </w:rPr>
              <w:t>bd,pi</w:t>
            </w:r>
            <w:r w:rsidRPr="001455DC">
              <w:t> </w:t>
            </w:r>
            <w:r w:rsidR="00650035" w:rsidRPr="001455DC">
              <w:rPr>
                <w:rFonts w:ascii="Cambria Math" w:hAnsi="Cambria Math"/>
              </w:rPr>
              <w:t>≥</w:t>
            </w:r>
            <w:r w:rsidR="00073FC6" w:rsidRPr="001455DC">
              <w:t> </w:t>
            </w:r>
            <w:r w:rsidRPr="001455DC">
              <w:t>2</w:t>
            </w:r>
            <w:r w:rsidRPr="001455DC">
              <w:rPr>
                <w:rStyle w:val="CCMCvariableitalic"/>
              </w:rPr>
              <w:t>ϕ</w:t>
            </w:r>
          </w:p>
        </w:tc>
        <w:tc>
          <w:tcPr>
            <w:tcW w:w="2303" w:type="dxa"/>
            <w:vAlign w:val="center"/>
          </w:tcPr>
          <w:p w14:paraId="6F7801D5" w14:textId="6BA2B34F" w:rsidR="004E22C1" w:rsidRPr="001455DC" w:rsidRDefault="004E22C1" w:rsidP="00FB3551">
            <w:pPr>
              <w:pStyle w:val="Tablebody"/>
              <w:jc w:val="center"/>
            </w:pPr>
            <w:r w:rsidRPr="001455DC">
              <w:t>60 mm</w:t>
            </w:r>
            <w:r w:rsidR="00EC27D2" w:rsidRPr="001455DC">
              <w:rPr>
                <w:rFonts w:ascii="Cambria Math" w:hAnsi="Cambria Math"/>
              </w:rPr>
              <w:t> + </w:t>
            </w:r>
            <w:r w:rsidRPr="001455DC">
              <w:t>0,02</w:t>
            </w:r>
            <w:r w:rsidRPr="001455DC">
              <w:rPr>
                <w:rStyle w:val="CCMCvariableitalic"/>
              </w:rPr>
              <w:t>l</w:t>
            </w:r>
            <w:r w:rsidRPr="001455DC">
              <w:rPr>
                <w:rStyle w:val="CCMCvariablesubscript"/>
              </w:rPr>
              <w:t>bd,pi</w:t>
            </w:r>
            <w:r w:rsidRPr="001455DC">
              <w:t> </w:t>
            </w:r>
            <w:r w:rsidR="00650035" w:rsidRPr="001455DC">
              <w:rPr>
                <w:rFonts w:ascii="Cambria Math" w:hAnsi="Cambria Math"/>
              </w:rPr>
              <w:t>≥</w:t>
            </w:r>
            <w:r w:rsidR="00073FC6" w:rsidRPr="001455DC">
              <w:t> </w:t>
            </w:r>
            <w:r w:rsidRPr="001455DC">
              <w:t>2</w:t>
            </w:r>
            <w:r w:rsidRPr="001455DC">
              <w:rPr>
                <w:rStyle w:val="CCMCvariableitalic"/>
              </w:rPr>
              <w:t>ϕ</w:t>
            </w:r>
          </w:p>
        </w:tc>
      </w:tr>
    </w:tbl>
    <w:p w14:paraId="7AEC13B6" w14:textId="77777777" w:rsidR="004E22C1" w:rsidRPr="001455DC" w:rsidRDefault="004E22C1" w:rsidP="00FB3551">
      <w:pPr>
        <w:pStyle w:val="a7"/>
      </w:pPr>
    </w:p>
    <w:p w14:paraId="6B418E66" w14:textId="3FE4B4C7" w:rsidR="004E22C1" w:rsidRPr="001455DC" w:rsidRDefault="004E22C1" w:rsidP="00FB3551">
      <w:pPr>
        <w:pStyle w:val="a7"/>
        <w:rPr>
          <w:szCs w:val="22"/>
        </w:rPr>
      </w:pPr>
      <w:r w:rsidRPr="001455DC">
        <w:rPr>
          <w:szCs w:val="22"/>
        </w:rPr>
        <w:t>(4)</w:t>
      </w:r>
      <w:r w:rsidRPr="001455DC">
        <w:rPr>
          <w:szCs w:val="22"/>
        </w:rPr>
        <w:tab/>
        <w:t xml:space="preserve">Unless specified differently in a European Technical Product Specification, the minimum clear spacing between individual post-installed parallel bars should be </w:t>
      </w:r>
      <w:r w:rsidRPr="001455DC">
        <w:rPr>
          <w:rStyle w:val="CCMCvariableitalic"/>
          <w:szCs w:val="22"/>
        </w:rPr>
        <w:t>c</w:t>
      </w:r>
      <w:r w:rsidRPr="001455DC">
        <w:rPr>
          <w:rStyle w:val="CCMCvariablesubscript"/>
          <w:szCs w:val="22"/>
        </w:rPr>
        <w:t>s,pir</w:t>
      </w:r>
      <w:r w:rsidRPr="001455DC">
        <w:rPr>
          <w:szCs w:val="22"/>
        </w:rPr>
        <w:t> </w:t>
      </w:r>
      <w:r w:rsidR="00EC27D2" w:rsidRPr="001455DC">
        <w:rPr>
          <w:rFonts w:ascii="Cambria Math" w:hAnsi="Cambria Math"/>
          <w:szCs w:val="22"/>
        </w:rPr>
        <w:t>=</w:t>
      </w:r>
      <w:r w:rsidRPr="001455DC">
        <w:rPr>
          <w:szCs w:val="22"/>
        </w:rPr>
        <w:t> max{</w:t>
      </w:r>
      <w:r w:rsidR="00835063" w:rsidRPr="001455DC">
        <w:rPr>
          <w:szCs w:val="22"/>
        </w:rPr>
        <w:t>4</w:t>
      </w:r>
      <w:r w:rsidRPr="001455DC">
        <w:rPr>
          <w:rStyle w:val="CCMCvariableitalic"/>
          <w:szCs w:val="22"/>
        </w:rPr>
        <w:t>d</w:t>
      </w:r>
      <w:r w:rsidRPr="001455DC">
        <w:rPr>
          <w:rStyle w:val="CCMCvariablesubscript"/>
          <w:szCs w:val="22"/>
        </w:rPr>
        <w:t>0</w:t>
      </w:r>
      <w:r w:rsidRPr="001455DC">
        <w:rPr>
          <w:szCs w:val="22"/>
        </w:rPr>
        <w:t xml:space="preserve">; </w:t>
      </w:r>
      <w:r w:rsidR="00835063" w:rsidRPr="001455DC">
        <w:rPr>
          <w:szCs w:val="22"/>
        </w:rPr>
        <w:t>4</w:t>
      </w:r>
      <w:r w:rsidRPr="001455DC">
        <w:rPr>
          <w:szCs w:val="22"/>
        </w:rPr>
        <w:t>0 mm</w:t>
      </w:r>
      <w:r w:rsidR="00EC27D2" w:rsidRPr="001455DC">
        <w:rPr>
          <w:rFonts w:ascii="Cambria Math" w:hAnsi="Cambria Math"/>
          <w:szCs w:val="22"/>
        </w:rPr>
        <w:t> + </w:t>
      </w:r>
      <w:r w:rsidRPr="001455DC">
        <w:rPr>
          <w:rStyle w:val="CCMCvariableitalic"/>
          <w:szCs w:val="22"/>
        </w:rPr>
        <w:t>d</w:t>
      </w:r>
      <w:r w:rsidRPr="001455DC">
        <w:rPr>
          <w:rStyle w:val="CCMCvariablesubscript"/>
          <w:szCs w:val="22"/>
        </w:rPr>
        <w:t>0</w:t>
      </w:r>
      <w:r w:rsidRPr="001455DC">
        <w:rPr>
          <w:szCs w:val="22"/>
        </w:rPr>
        <w:t> </w:t>
      </w:r>
      <w:r w:rsidR="00835063" w:rsidRPr="001455DC">
        <w:rPr>
          <w:rFonts w:ascii="Cambria Math" w:hAnsi="Cambria Math"/>
          <w:szCs w:val="22"/>
        </w:rPr>
        <w:t>–</w:t>
      </w:r>
      <w:r w:rsidRPr="001455DC">
        <w:rPr>
          <w:szCs w:val="22"/>
        </w:rPr>
        <w:t> </w:t>
      </w:r>
      <w:r w:rsidRPr="001455DC">
        <w:rPr>
          <w:rStyle w:val="CCMCvariableitalic"/>
          <w:szCs w:val="22"/>
        </w:rPr>
        <w:t>ϕ</w:t>
      </w:r>
      <w:r w:rsidR="00835063" w:rsidRPr="001455DC">
        <w:rPr>
          <w:rStyle w:val="CCMCvariableitalic"/>
          <w:szCs w:val="22"/>
        </w:rPr>
        <w:t>; 2</w:t>
      </w:r>
      <w:r w:rsidR="00835063" w:rsidRPr="001455DC">
        <w:rPr>
          <w:rStyle w:val="CCMCvariableitalic"/>
        </w:rPr>
        <w:t>D</w:t>
      </w:r>
      <w:r w:rsidR="00835063" w:rsidRPr="001455DC">
        <w:rPr>
          <w:rStyle w:val="CCMCvariablesubscript"/>
        </w:rPr>
        <w:t>upper</w:t>
      </w:r>
      <w:r w:rsidR="00835063" w:rsidRPr="009D3012">
        <w:rPr>
          <w:szCs w:val="22"/>
        </w:rPr>
        <w:t xml:space="preserve"> + 5mm</w:t>
      </w:r>
      <w:r w:rsidRPr="001455DC">
        <w:rPr>
          <w:szCs w:val="22"/>
        </w:rPr>
        <w:t xml:space="preserve">}, where </w:t>
      </w:r>
      <w:r w:rsidRPr="001455DC">
        <w:rPr>
          <w:rStyle w:val="CCMCvariableitalic"/>
          <w:szCs w:val="22"/>
        </w:rPr>
        <w:t>d</w:t>
      </w:r>
      <w:r w:rsidRPr="001455DC">
        <w:rPr>
          <w:rStyle w:val="CCMCvariablesubscript"/>
          <w:szCs w:val="22"/>
        </w:rPr>
        <w:t>0</w:t>
      </w:r>
      <w:r w:rsidRPr="001455DC">
        <w:rPr>
          <w:szCs w:val="22"/>
        </w:rPr>
        <w:t xml:space="preserve"> is the diameter of the drilled hole.</w:t>
      </w:r>
    </w:p>
    <w:p w14:paraId="4D00D1FF" w14:textId="34C589B9" w:rsidR="004E22C1" w:rsidRPr="001455DC" w:rsidRDefault="004E22C1" w:rsidP="00FB3551">
      <w:pPr>
        <w:pStyle w:val="a7"/>
      </w:pPr>
      <w:r w:rsidRPr="001455DC">
        <w:t xml:space="preserve">The </w:t>
      </w:r>
      <w:r w:rsidR="007E1F1A" w:rsidRPr="001455DC">
        <w:t xml:space="preserve">minimum </w:t>
      </w:r>
      <w:r w:rsidRPr="001455DC">
        <w:t xml:space="preserve">clear spacing </w:t>
      </w:r>
      <w:r w:rsidRPr="001455DC">
        <w:rPr>
          <w:rStyle w:val="CCMCvariableitalic"/>
        </w:rPr>
        <w:t>c</w:t>
      </w:r>
      <w:r w:rsidRPr="001455DC">
        <w:rPr>
          <w:rStyle w:val="CCMCvariablesubscript"/>
        </w:rPr>
        <w:t>s</w:t>
      </w:r>
      <w:r w:rsidRPr="001455DC">
        <w:t xml:space="preserve"> between post-installed reinforcing and cast-in reinforcing bars shall not be less than </w:t>
      </w:r>
      <w:r w:rsidR="007E1F1A" w:rsidRPr="001455DC">
        <w:rPr>
          <w:rStyle w:val="CCMCvariableitalic"/>
          <w:szCs w:val="22"/>
        </w:rPr>
        <w:t>c</w:t>
      </w:r>
      <w:r w:rsidR="007E1F1A" w:rsidRPr="001455DC">
        <w:rPr>
          <w:rStyle w:val="CCMCvariablesubscript"/>
          <w:szCs w:val="22"/>
        </w:rPr>
        <w:t>s,pir</w:t>
      </w:r>
      <w:r w:rsidR="007E1F1A" w:rsidRPr="001455DC">
        <w:rPr>
          <w:szCs w:val="22"/>
        </w:rPr>
        <w:t> </w:t>
      </w:r>
      <w:r w:rsidR="007E1F1A" w:rsidRPr="001455DC">
        <w:rPr>
          <w:rFonts w:ascii="Cambria Math" w:hAnsi="Cambria Math"/>
          <w:szCs w:val="22"/>
        </w:rPr>
        <w:t>≥</w:t>
      </w:r>
      <w:r w:rsidR="007E1F1A" w:rsidRPr="001455DC">
        <w:rPr>
          <w:szCs w:val="22"/>
        </w:rPr>
        <w:t> max{2</w:t>
      </w:r>
      <w:r w:rsidR="007E1F1A" w:rsidRPr="001455DC">
        <w:rPr>
          <w:rStyle w:val="CCMCvariableitalic"/>
          <w:szCs w:val="22"/>
        </w:rPr>
        <w:t>d</w:t>
      </w:r>
      <w:r w:rsidR="007E1F1A" w:rsidRPr="001455DC">
        <w:rPr>
          <w:rStyle w:val="CCMCvariablesubscript"/>
          <w:szCs w:val="22"/>
        </w:rPr>
        <w:t>0</w:t>
      </w:r>
      <w:r w:rsidR="007E1F1A" w:rsidRPr="001455DC">
        <w:rPr>
          <w:szCs w:val="22"/>
        </w:rPr>
        <w:t>; 20 mm</w:t>
      </w:r>
      <w:r w:rsidR="007E1F1A" w:rsidRPr="001455DC">
        <w:rPr>
          <w:rFonts w:ascii="Cambria Math" w:hAnsi="Cambria Math"/>
          <w:szCs w:val="22"/>
        </w:rPr>
        <w:t> + 0,5(</w:t>
      </w:r>
      <w:r w:rsidR="007E1F1A" w:rsidRPr="001455DC">
        <w:rPr>
          <w:rStyle w:val="CCMCvariableitalic"/>
          <w:szCs w:val="22"/>
        </w:rPr>
        <w:t>d</w:t>
      </w:r>
      <w:r w:rsidR="007E1F1A" w:rsidRPr="001455DC">
        <w:rPr>
          <w:rStyle w:val="CCMCvariablesubscript"/>
          <w:szCs w:val="22"/>
        </w:rPr>
        <w:t>0</w:t>
      </w:r>
      <w:r w:rsidR="007E1F1A" w:rsidRPr="001455DC">
        <w:rPr>
          <w:szCs w:val="22"/>
        </w:rPr>
        <w:t> </w:t>
      </w:r>
      <w:r w:rsidR="007E1F1A" w:rsidRPr="001455DC">
        <w:rPr>
          <w:rFonts w:ascii="Cambria Math" w:hAnsi="Cambria Math"/>
          <w:szCs w:val="22"/>
        </w:rPr>
        <w:t>–</w:t>
      </w:r>
      <w:r w:rsidR="007E1F1A" w:rsidRPr="001455DC">
        <w:rPr>
          <w:szCs w:val="22"/>
        </w:rPr>
        <w:t> </w:t>
      </w:r>
      <w:r w:rsidR="007E1F1A" w:rsidRPr="001455DC">
        <w:rPr>
          <w:rStyle w:val="CCMCvariableitalic"/>
          <w:szCs w:val="22"/>
        </w:rPr>
        <w:t>ϕ</w:t>
      </w:r>
      <w:r w:rsidR="007E1F1A" w:rsidRPr="009D3012">
        <w:rPr>
          <w:rStyle w:val="CCMCvariableitalic"/>
          <w:i w:val="0"/>
          <w:szCs w:val="22"/>
        </w:rPr>
        <w:t>)</w:t>
      </w:r>
      <w:r w:rsidR="007E1F1A" w:rsidRPr="001455DC">
        <w:rPr>
          <w:rStyle w:val="CCMCvariableitalic"/>
          <w:szCs w:val="22"/>
        </w:rPr>
        <w:t>; 2</w:t>
      </w:r>
      <w:r w:rsidR="007E1F1A" w:rsidRPr="001455DC">
        <w:rPr>
          <w:rStyle w:val="CCMCvariableitalic"/>
        </w:rPr>
        <w:t>D</w:t>
      </w:r>
      <w:r w:rsidR="007E1F1A" w:rsidRPr="001455DC">
        <w:rPr>
          <w:rStyle w:val="CCMCvariablesubscript"/>
        </w:rPr>
        <w:t>upper</w:t>
      </w:r>
      <w:r w:rsidR="007E1F1A" w:rsidRPr="001455DC">
        <w:rPr>
          <w:szCs w:val="22"/>
        </w:rPr>
        <w:t xml:space="preserve"> + 5mm}</w:t>
      </w:r>
      <w:r w:rsidRPr="001455DC">
        <w:t>.</w:t>
      </w:r>
    </w:p>
    <w:p w14:paraId="3D14BC84" w14:textId="12474103" w:rsidR="002D3AC2" w:rsidRPr="001455DC" w:rsidRDefault="002D3AC2" w:rsidP="00FB3551">
      <w:pPr>
        <w:pStyle w:val="a7"/>
      </w:pPr>
      <w:r w:rsidRPr="001455DC">
        <w:t>For compressed air drilling the values for minimum clear spacings given above shall be multiplied by the factor 1,5.</w:t>
      </w:r>
    </w:p>
    <w:p w14:paraId="3384EFB1" w14:textId="6C2D059D" w:rsidR="004E22C1" w:rsidRPr="001455DC" w:rsidRDefault="004E22C1" w:rsidP="00E844D2">
      <w:pPr>
        <w:pStyle w:val="a7"/>
        <w:keepNext/>
      </w:pPr>
      <w:r w:rsidRPr="001455DC">
        <w:t>(5)</w:t>
      </w:r>
      <w:r w:rsidRPr="001455DC">
        <w:tab/>
        <w:t xml:space="preserve">The anchorage of post-installed reinforcing steel bars shall be designed considering the requirements of 11.4.1 and 11.4.2. The design anchorage length </w:t>
      </w:r>
      <w:r w:rsidRPr="001455DC">
        <w:rPr>
          <w:rStyle w:val="CCMCvariableitalic"/>
        </w:rPr>
        <w:t>l</w:t>
      </w:r>
      <w:r w:rsidRPr="001455DC">
        <w:rPr>
          <w:rStyle w:val="CCMCvariablesubscript"/>
        </w:rPr>
        <w:t>bd,pi</w:t>
      </w:r>
      <w:r w:rsidRPr="001455DC">
        <w:t xml:space="preserve"> of post-installed reinforcing steel bars in tension should be calculated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C00C3C" w:rsidRPr="001455DC" w14:paraId="6232240D" w14:textId="77777777" w:rsidTr="00C00C3C">
        <w:trPr>
          <w:cantSplit/>
        </w:trPr>
        <w:tc>
          <w:tcPr>
            <w:tcW w:w="8505" w:type="dxa"/>
            <w:vAlign w:val="center"/>
          </w:tcPr>
          <w:p w14:paraId="72C83F46" w14:textId="3C8BA42C" w:rsidR="00C00C3C" w:rsidRPr="001455DC" w:rsidRDefault="00231E33" w:rsidP="00C00C3C">
            <w:pPr>
              <w:pStyle w:val="Formula"/>
              <w:jc w:val="left"/>
            </w:pPr>
            <m:oMathPara>
              <m:oMathParaPr>
                <m:jc m:val="left"/>
              </m:oMathParaPr>
              <m:oMath>
                <m:sSub>
                  <m:sSubPr>
                    <m:ctrlPr>
                      <w:rPr>
                        <w:rFonts w:ascii="Cambria Math" w:hAnsi="Cambria Math"/>
                      </w:rPr>
                    </m:ctrlPr>
                  </m:sSubPr>
                  <m:e>
                    <m:r>
                      <w:rPr>
                        <w:rFonts w:ascii="Cambria Math" w:hAnsi="Cambria Math"/>
                      </w:rPr>
                      <m:t>l</m:t>
                    </m:r>
                  </m:e>
                  <m:sub>
                    <m:r>
                      <m:rPr>
                        <m:sty m:val="p"/>
                      </m:rPr>
                      <w:rPr>
                        <w:rFonts w:ascii="Cambria Math" w:hAnsi="Cambria Math"/>
                      </w:rPr>
                      <m:t>bd,pi</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rPr>
                          <m:t>bd</m:t>
                        </m:r>
                      </m:sub>
                    </m:sSub>
                  </m:num>
                  <m:den>
                    <m:sSub>
                      <m:sSubPr>
                        <m:ctrlPr>
                          <w:rPr>
                            <w:rFonts w:ascii="Cambria Math" w:hAnsi="Cambria Math"/>
                          </w:rPr>
                        </m:ctrlPr>
                      </m:sSubPr>
                      <m:e>
                        <m:r>
                          <w:rPr>
                            <w:rFonts w:ascii="Cambria Math" w:hAnsi="Cambria Math"/>
                          </w:rPr>
                          <m:t>k</m:t>
                        </m:r>
                      </m:e>
                      <m:sub>
                        <m:r>
                          <m:rPr>
                            <m:sty m:val="p"/>
                          </m:rPr>
                          <w:rPr>
                            <w:rFonts w:ascii="Cambria Math" w:hAnsi="Cambria Math"/>
                          </w:rPr>
                          <m:t>b,pi</m:t>
                        </m:r>
                      </m:sub>
                    </m:sSub>
                  </m:den>
                </m:f>
                <m:r>
                  <w:rPr>
                    <w:rFonts w:ascii="Cambria Math" w:hAnsi="Cambria Math"/>
                  </w:rPr>
                  <m:t>≥</m:t>
                </m:r>
                <m:r>
                  <m:rPr>
                    <m:sty m:val="p"/>
                  </m:rPr>
                  <w:rPr>
                    <w:rFonts w:ascii="Cambria Math" w:hAnsi="Cambria Math"/>
                  </w:rPr>
                  <m:t>max</m:t>
                </m:r>
                <m:d>
                  <m:dPr>
                    <m:begChr m:val="{"/>
                    <m:endChr m:val="}"/>
                    <m:ctrlPr>
                      <w:rPr>
                        <w:rFonts w:ascii="Cambria Math" w:hAnsi="Cambria Math"/>
                      </w:rPr>
                    </m:ctrlPr>
                  </m:dPr>
                  <m:e>
                    <m:r>
                      <w:rPr>
                        <w:rFonts w:ascii="Cambria Math" w:hAnsi="Cambria Math"/>
                      </w:rPr>
                      <m:t>10ϕ⋅</m:t>
                    </m:r>
                    <m:sSub>
                      <m:sSubPr>
                        <m:ctrlPr>
                          <w:rPr>
                            <w:rFonts w:ascii="Cambria Math" w:hAnsi="Cambria Math"/>
                          </w:rPr>
                        </m:ctrlPr>
                      </m:sSubPr>
                      <m:e>
                        <m:r>
                          <w:rPr>
                            <w:rFonts w:ascii="Cambria Math" w:hAnsi="Cambria Math"/>
                          </w:rPr>
                          <m:t>α</m:t>
                        </m:r>
                      </m:e>
                      <m:sub>
                        <m:r>
                          <m:rPr>
                            <m:sty m:val="p"/>
                          </m:rPr>
                          <w:rPr>
                            <w:rFonts w:ascii="Cambria Math" w:hAnsi="Cambria Math"/>
                          </w:rPr>
                          <m:t>lb</m:t>
                        </m:r>
                      </m:sub>
                    </m:sSub>
                    <m:r>
                      <w:rPr>
                        <w:rFonts w:ascii="Cambria Math" w:hAnsi="Cambria Math"/>
                      </w:rPr>
                      <m:t xml:space="preserve">;100 </m:t>
                    </m:r>
                    <m:r>
                      <m:rPr>
                        <m:nor/>
                      </m:rPr>
                      <w:rPr>
                        <w:rFonts w:ascii="Cambria Math" w:hAnsi="Cambria Math"/>
                      </w:rPr>
                      <m:t>mm</m:t>
                    </m:r>
                  </m:e>
                </m:d>
              </m:oMath>
            </m:oMathPara>
          </w:p>
        </w:tc>
        <w:tc>
          <w:tcPr>
            <w:tcW w:w="1247" w:type="dxa"/>
            <w:vAlign w:val="center"/>
          </w:tcPr>
          <w:p w14:paraId="07304776" w14:textId="289B574F" w:rsidR="00C00C3C" w:rsidRPr="001455DC" w:rsidRDefault="00C00C3C" w:rsidP="00C00C3C">
            <w:pPr>
              <w:pStyle w:val="a7"/>
              <w:jc w:val="right"/>
            </w:pPr>
            <w:r w:rsidRPr="001455DC">
              <w:t>(11.9)</w:t>
            </w:r>
          </w:p>
        </w:tc>
      </w:tr>
    </w:tbl>
    <w:p w14:paraId="5510DE9A" w14:textId="77777777" w:rsidR="00C00C3C" w:rsidRPr="001455DC" w:rsidRDefault="00C00C3C"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C00C3C" w:rsidRPr="001455DC" w14:paraId="6244C9D8" w14:textId="77777777" w:rsidTr="00C00C3C">
        <w:trPr>
          <w:cantSplit/>
        </w:trPr>
        <w:tc>
          <w:tcPr>
            <w:tcW w:w="567" w:type="dxa"/>
          </w:tcPr>
          <w:p w14:paraId="03388C25" w14:textId="18C214C2" w:rsidR="00C00C3C" w:rsidRPr="001455DC" w:rsidRDefault="00C00C3C" w:rsidP="0000442A">
            <w:pPr>
              <w:pStyle w:val="Tablebody"/>
            </w:pPr>
            <w:r w:rsidRPr="001455DC">
              <w:rPr>
                <w:rStyle w:val="CCMCvariableitalic"/>
              </w:rPr>
              <w:t>l</w:t>
            </w:r>
            <w:r w:rsidRPr="001455DC">
              <w:rPr>
                <w:rStyle w:val="CCMCvariablesubscript"/>
              </w:rPr>
              <w:t>bd</w:t>
            </w:r>
          </w:p>
        </w:tc>
        <w:tc>
          <w:tcPr>
            <w:tcW w:w="8845" w:type="dxa"/>
          </w:tcPr>
          <w:p w14:paraId="2B6524E2" w14:textId="265A22CD" w:rsidR="00C00C3C" w:rsidRPr="001455DC" w:rsidRDefault="00C00C3C">
            <w:pPr>
              <w:pStyle w:val="Tablebody"/>
            </w:pPr>
            <w:r w:rsidRPr="001455DC">
              <w:rPr>
                <w:rFonts w:cstheme="minorHAnsi"/>
              </w:rPr>
              <w:t xml:space="preserve">calculated according to 11.4.2, where the concrete strength considered in Formulae(11.3) and (11.5) shall be limited to </w:t>
            </w:r>
            <w:r w:rsidRPr="001455DC">
              <w:rPr>
                <w:rStyle w:val="CCMCvariableitalic"/>
              </w:rPr>
              <w:t>f</w:t>
            </w:r>
            <w:r w:rsidRPr="001455DC">
              <w:rPr>
                <w:rStyle w:val="CCMCvariablesubscript"/>
              </w:rPr>
              <w:t>ck</w:t>
            </w:r>
            <w:r w:rsidRPr="001455DC">
              <w:rPr>
                <w:rFonts w:cstheme="minorHAnsi"/>
              </w:rPr>
              <w:t> </w:t>
            </w:r>
            <w:r w:rsidR="00650035" w:rsidRPr="001455DC">
              <w:rPr>
                <w:rFonts w:ascii="Cambria Math" w:hAnsi="Cambria Math" w:cstheme="minorHAnsi"/>
              </w:rPr>
              <w:t>≤</w:t>
            </w:r>
            <w:r w:rsidRPr="001455DC">
              <w:rPr>
                <w:rFonts w:cstheme="minorHAnsi"/>
              </w:rPr>
              <w:t xml:space="preserve"> 50 MPa or </w:t>
            </w:r>
            <w:r w:rsidRPr="001455DC">
              <w:rPr>
                <w:rStyle w:val="CCMCvariableitalic"/>
              </w:rPr>
              <w:t>f</w:t>
            </w:r>
            <w:r w:rsidRPr="001455DC">
              <w:rPr>
                <w:rStyle w:val="CCMCvariablesubscript"/>
              </w:rPr>
              <w:t>ck,is</w:t>
            </w:r>
            <w:r w:rsidRPr="001455DC">
              <w:rPr>
                <w:rFonts w:cstheme="minorHAnsi"/>
              </w:rPr>
              <w:t> </w:t>
            </w:r>
            <w:r w:rsidR="00650035" w:rsidRPr="001455DC">
              <w:rPr>
                <w:rFonts w:ascii="Cambria Math" w:hAnsi="Cambria Math" w:cstheme="minorHAnsi"/>
              </w:rPr>
              <w:t>≤</w:t>
            </w:r>
            <w:r w:rsidRPr="001455DC">
              <w:rPr>
                <w:rFonts w:cstheme="minorHAnsi"/>
              </w:rPr>
              <w:t> 60 MPa or the value stated in</w:t>
            </w:r>
            <w:r w:rsidR="002D3AC2" w:rsidRPr="001455DC">
              <w:rPr>
                <w:rFonts w:cstheme="minorHAnsi"/>
              </w:rPr>
              <w:t xml:space="preserve"> </w:t>
            </w:r>
            <w:r w:rsidRPr="001455DC">
              <w:rPr>
                <w:rFonts w:cstheme="minorHAnsi"/>
              </w:rPr>
              <w:t>the European Technical Product Specification (whichever is larger), and the design</w:t>
            </w:r>
            <w:r w:rsidR="002D3AC2" w:rsidRPr="001455DC">
              <w:rPr>
                <w:rFonts w:cstheme="minorHAnsi"/>
              </w:rPr>
              <w:t xml:space="preserve"> </w:t>
            </w:r>
            <w:r w:rsidRPr="001455DC">
              <w:rPr>
                <w:rFonts w:cstheme="minorHAnsi"/>
              </w:rPr>
              <w:t xml:space="preserve">stress in the reinforcing bar be limited to </w:t>
            </w:r>
            <w:r w:rsidRPr="001455DC">
              <w:rPr>
                <w:rStyle w:val="CCMCvariableitalic"/>
              </w:rPr>
              <w:t>σ</w:t>
            </w:r>
            <w:r w:rsidRPr="001455DC">
              <w:rPr>
                <w:rStyle w:val="CCMCvariablesubscript"/>
              </w:rPr>
              <w:t>sd</w:t>
            </w:r>
            <w:r w:rsidRPr="001455DC">
              <w:rPr>
                <w:rFonts w:cstheme="minorHAnsi"/>
              </w:rPr>
              <w:t> </w:t>
            </w:r>
            <w:r w:rsidR="00650035" w:rsidRPr="001455DC">
              <w:rPr>
                <w:rFonts w:ascii="Cambria Math" w:hAnsi="Cambria Math" w:cstheme="minorHAnsi"/>
              </w:rPr>
              <w:t>≤</w:t>
            </w:r>
            <w:r w:rsidRPr="001455DC">
              <w:rPr>
                <w:rFonts w:cstheme="minorHAnsi"/>
              </w:rPr>
              <w:t> 435 MPa, unless tested to higher values.</w:t>
            </w:r>
          </w:p>
        </w:tc>
      </w:tr>
      <w:tr w:rsidR="00C00C3C" w:rsidRPr="001455DC" w14:paraId="4694B610" w14:textId="77777777" w:rsidTr="00C00C3C">
        <w:trPr>
          <w:cantSplit/>
        </w:trPr>
        <w:tc>
          <w:tcPr>
            <w:tcW w:w="567" w:type="dxa"/>
          </w:tcPr>
          <w:p w14:paraId="040048DA" w14:textId="746FDC0D" w:rsidR="00C00C3C" w:rsidRPr="001455DC" w:rsidRDefault="00C00C3C" w:rsidP="0000442A">
            <w:pPr>
              <w:pStyle w:val="Tablebody"/>
            </w:pPr>
            <w:r w:rsidRPr="001455DC">
              <w:rPr>
                <w:rStyle w:val="CCMCvariableitalic"/>
              </w:rPr>
              <w:t>k</w:t>
            </w:r>
            <w:r w:rsidRPr="001455DC">
              <w:rPr>
                <w:rStyle w:val="CCMCvariablesubscript"/>
              </w:rPr>
              <w:t>b,pi</w:t>
            </w:r>
          </w:p>
        </w:tc>
        <w:tc>
          <w:tcPr>
            <w:tcW w:w="8845" w:type="dxa"/>
          </w:tcPr>
          <w:p w14:paraId="19F77D75" w14:textId="6AF5EB69" w:rsidR="00C00C3C" w:rsidRPr="001455DC" w:rsidRDefault="00C00C3C">
            <w:pPr>
              <w:pStyle w:val="Tablebody"/>
            </w:pPr>
            <w:r w:rsidRPr="001455DC">
              <w:rPr>
                <w:rFonts w:cstheme="minorHAnsi"/>
                <w:iCs/>
              </w:rPr>
              <w:t>bond efficiency factor 0,7 </w:t>
            </w:r>
            <w:r w:rsidR="00650035" w:rsidRPr="001455DC">
              <w:rPr>
                <w:rFonts w:ascii="Cambria Math" w:hAnsi="Cambria Math" w:cstheme="minorHAnsi"/>
                <w:iCs/>
              </w:rPr>
              <w:t>≤</w:t>
            </w:r>
            <w:r w:rsidRPr="001455DC">
              <w:rPr>
                <w:rFonts w:cstheme="minorHAnsi"/>
                <w:iCs/>
              </w:rPr>
              <w:t> </w:t>
            </w:r>
            <w:r w:rsidRPr="001455DC">
              <w:rPr>
                <w:rStyle w:val="CCMCvariableitalic"/>
              </w:rPr>
              <w:t>k</w:t>
            </w:r>
            <w:r w:rsidRPr="001455DC">
              <w:rPr>
                <w:rStyle w:val="CCMCvariablesubscript"/>
              </w:rPr>
              <w:t>b,pi</w:t>
            </w:r>
            <w:r w:rsidRPr="001455DC">
              <w:rPr>
                <w:iCs/>
              </w:rPr>
              <w:t> </w:t>
            </w:r>
            <w:r w:rsidR="00650035" w:rsidRPr="001455DC">
              <w:rPr>
                <w:rFonts w:ascii="Cambria Math" w:hAnsi="Cambria Math"/>
                <w:iCs/>
              </w:rPr>
              <w:t>≤</w:t>
            </w:r>
            <w:r w:rsidRPr="001455DC">
              <w:rPr>
                <w:iCs/>
              </w:rPr>
              <w:t> </w:t>
            </w:r>
            <w:r w:rsidRPr="001455DC">
              <w:rPr>
                <w:rFonts w:cstheme="minorHAnsi"/>
                <w:iCs/>
              </w:rPr>
              <w:t>1,0 of the specified bond efficiency class, see C.</w:t>
            </w:r>
            <w:r w:rsidR="007A4A17" w:rsidRPr="001455DC">
              <w:rPr>
                <w:rFonts w:cstheme="minorHAnsi"/>
                <w:iCs/>
              </w:rPr>
              <w:t>8</w:t>
            </w:r>
            <w:r w:rsidRPr="001455DC">
              <w:rPr>
                <w:rFonts w:cstheme="minorHAnsi"/>
                <w:iCs/>
              </w:rPr>
              <w:t>;</w:t>
            </w:r>
          </w:p>
        </w:tc>
      </w:tr>
      <w:tr w:rsidR="00C00C3C" w:rsidRPr="001455DC" w14:paraId="06D0FABD" w14:textId="77777777" w:rsidTr="00C00C3C">
        <w:trPr>
          <w:cantSplit/>
        </w:trPr>
        <w:tc>
          <w:tcPr>
            <w:tcW w:w="567" w:type="dxa"/>
          </w:tcPr>
          <w:p w14:paraId="5219655E" w14:textId="54225089" w:rsidR="00C00C3C" w:rsidRPr="001455DC" w:rsidRDefault="00C00C3C" w:rsidP="00D86695">
            <w:pPr>
              <w:pStyle w:val="Tablebody"/>
            </w:pPr>
            <w:r w:rsidRPr="001455DC">
              <w:rPr>
                <w:rStyle w:val="CCMCvariableitalic"/>
              </w:rPr>
              <w:t>α</w:t>
            </w:r>
            <w:r w:rsidRPr="001455DC">
              <w:rPr>
                <w:rStyle w:val="CCMCvariablesubscript"/>
              </w:rPr>
              <w:t>lb</w:t>
            </w:r>
          </w:p>
        </w:tc>
        <w:tc>
          <w:tcPr>
            <w:tcW w:w="8845" w:type="dxa"/>
          </w:tcPr>
          <w:p w14:paraId="3352B405" w14:textId="0507F4DB" w:rsidR="00C00C3C" w:rsidRPr="001455DC" w:rsidRDefault="00C00C3C" w:rsidP="00D86695">
            <w:pPr>
              <w:pStyle w:val="Tablebody"/>
            </w:pPr>
            <w:r w:rsidRPr="001455DC">
              <w:rPr>
                <w:rFonts w:cstheme="minorHAnsi"/>
                <w:iCs/>
              </w:rPr>
              <w:t xml:space="preserve">cracked concrete factor which may be taken as </w:t>
            </w:r>
            <w:r w:rsidRPr="001455DC">
              <w:rPr>
                <w:rStyle w:val="CCMCvariableitalic"/>
              </w:rPr>
              <w:t>α</w:t>
            </w:r>
            <w:r w:rsidRPr="001455DC">
              <w:rPr>
                <w:rStyle w:val="CCMCvariablesubscript"/>
              </w:rPr>
              <w:t>lb</w:t>
            </w:r>
            <w:r w:rsidRPr="001455DC">
              <w:t> </w:t>
            </w:r>
            <w:r w:rsidR="00EC27D2" w:rsidRPr="001455DC">
              <w:rPr>
                <w:rFonts w:ascii="Cambria Math" w:hAnsi="Cambria Math"/>
              </w:rPr>
              <w:t>=</w:t>
            </w:r>
            <w:r w:rsidRPr="001455DC">
              <w:t> </w:t>
            </w:r>
            <w:r w:rsidRPr="001455DC">
              <w:rPr>
                <w:rFonts w:cstheme="minorHAnsi"/>
                <w:iCs/>
              </w:rPr>
              <w:t xml:space="preserve">1,5 in general or as </w:t>
            </w:r>
            <w:r w:rsidRPr="001455DC">
              <w:rPr>
                <w:rFonts w:cstheme="minorHAnsi"/>
              </w:rPr>
              <w:t>given in the European Technical Product Specification.</w:t>
            </w:r>
          </w:p>
        </w:tc>
      </w:tr>
    </w:tbl>
    <w:p w14:paraId="333AE3BE" w14:textId="77550C49" w:rsidR="004E22C1" w:rsidRPr="001455DC" w:rsidRDefault="004E22C1" w:rsidP="00FB3551">
      <w:pPr>
        <w:pStyle w:val="a7"/>
      </w:pPr>
      <w:r w:rsidRPr="001455DC">
        <w:rPr>
          <w:rFonts w:cstheme="minorHAnsi"/>
          <w:iCs/>
        </w:rPr>
        <w:t>(6)</w:t>
      </w:r>
      <w:r w:rsidRPr="001455DC">
        <w:rPr>
          <w:rFonts w:cstheme="minorHAnsi"/>
          <w:iCs/>
        </w:rPr>
        <w:tab/>
      </w:r>
      <w:r w:rsidRPr="001455DC">
        <w:t xml:space="preserve">The design anchorage length </w:t>
      </w:r>
      <w:r w:rsidRPr="001455DC">
        <w:rPr>
          <w:rStyle w:val="CCMCvariableitalic"/>
        </w:rPr>
        <w:t>l</w:t>
      </w:r>
      <w:r w:rsidRPr="001455DC">
        <w:rPr>
          <w:rStyle w:val="CCMCvariablesubscript"/>
        </w:rPr>
        <w:t>bd,pi</w:t>
      </w:r>
      <w:r w:rsidRPr="001455DC">
        <w:t xml:space="preserve"> of post-installed reinforcing steel bars in compression shall be determined according to Formula (11.9) but should not be reduced according to 11.4.2(6) unless confirmed by testing in accordance with C.</w:t>
      </w:r>
      <w:r w:rsidR="007A4A17" w:rsidRPr="001455DC">
        <w:t>8</w:t>
      </w:r>
      <w:r w:rsidRPr="001455DC">
        <w:t>.</w:t>
      </w:r>
    </w:p>
    <w:p w14:paraId="753FCCDB" w14:textId="77777777" w:rsidR="004E22C1" w:rsidRPr="001455DC" w:rsidRDefault="004E22C1" w:rsidP="00FB3551">
      <w:pPr>
        <w:pStyle w:val="a7"/>
      </w:pPr>
      <w:r w:rsidRPr="001455DC">
        <w:t>(7)</w:t>
      </w:r>
      <w:r w:rsidRPr="001455DC">
        <w:tab/>
        <w:t xml:space="preserve">Post-installed reinforcing steel bars may be lapped using </w:t>
      </w:r>
      <w:r w:rsidRPr="001455DC">
        <w:rPr>
          <w:rStyle w:val="CCMCvariableitalic"/>
        </w:rPr>
        <w:t>l</w:t>
      </w:r>
      <w:r w:rsidRPr="001455DC">
        <w:rPr>
          <w:rStyle w:val="CCMCvariablesubscript"/>
        </w:rPr>
        <w:t>sd,pi</w:t>
      </w:r>
      <w:r w:rsidRPr="001455DC">
        <w:t xml:space="preserve"> with straight cast-in deformed bars according to 11.5.2 and 11.5.3 where the design anchorage length </w:t>
      </w:r>
      <w:r w:rsidRPr="001455DC">
        <w:rPr>
          <w:rStyle w:val="CCMCvariableitalic"/>
        </w:rPr>
        <w:t>l</w:t>
      </w:r>
      <w:r w:rsidRPr="001455DC">
        <w:rPr>
          <w:rStyle w:val="CCMCvariablesubscript"/>
        </w:rPr>
        <w:t>bd</w:t>
      </w:r>
      <w:r w:rsidRPr="001455DC">
        <w:t xml:space="preserve"> is replaced by </w:t>
      </w:r>
      <w:r w:rsidRPr="001455DC">
        <w:rPr>
          <w:rStyle w:val="CCMCvariableitalic"/>
        </w:rPr>
        <w:t>l</w:t>
      </w:r>
      <w:r w:rsidRPr="001455DC">
        <w:rPr>
          <w:rStyle w:val="CCMCvariablesubscript"/>
        </w:rPr>
        <w:t>bd,pi</w:t>
      </w:r>
      <w:r w:rsidRPr="001455DC">
        <w:t xml:space="preserve">, calculated according to Formula (11.9) (see also Table 11.3). The lap length </w:t>
      </w:r>
      <w:r w:rsidRPr="001455DC">
        <w:rPr>
          <w:rStyle w:val="CCMCvariableitalic"/>
        </w:rPr>
        <w:t>l</w:t>
      </w:r>
      <w:r w:rsidRPr="001455DC">
        <w:rPr>
          <w:rStyle w:val="CCMCvariablesubscript"/>
        </w:rPr>
        <w:t>sd,pi</w:t>
      </w:r>
      <w:r w:rsidRPr="001455DC">
        <w:t xml:space="preserve"> should be designed for the minimum concrete cover of either cast-in or post-installed reinforcing steel bars and the bond conditions of the cast-in reinforcing steel bars.</w:t>
      </w:r>
    </w:p>
    <w:p w14:paraId="2BA2EFC9" w14:textId="77777777" w:rsidR="004E22C1" w:rsidRPr="001455DC" w:rsidRDefault="004E22C1" w:rsidP="00FB3551">
      <w:pPr>
        <w:pStyle w:val="a7"/>
      </w:pPr>
      <w:r w:rsidRPr="001455DC">
        <w:t>(8)</w:t>
      </w:r>
      <w:r w:rsidRPr="001455DC">
        <w:tab/>
        <w:t>For shear forces across interfaces with post-installed reinforcing steel bars see 8.2.6.</w:t>
      </w:r>
    </w:p>
    <w:p w14:paraId="24D5C02C" w14:textId="7F08CD3D" w:rsidR="004E22C1" w:rsidRPr="001455DC" w:rsidRDefault="004E22C1" w:rsidP="006D682B">
      <w:pPr>
        <w:pStyle w:val="21"/>
      </w:pPr>
      <w:bookmarkStart w:id="831" w:name="_Toc52820039"/>
      <w:bookmarkStart w:id="832" w:name="_Toc54337438"/>
      <w:bookmarkStart w:id="833" w:name="_Toc54338095"/>
      <w:bookmarkStart w:id="834" w:name="_Toc67565439"/>
      <w:r w:rsidRPr="001455DC">
        <w:t>Laps of reinforcing steel in tension and compression and mechanical couplers</w:t>
      </w:r>
      <w:bookmarkEnd w:id="831"/>
      <w:bookmarkEnd w:id="832"/>
      <w:bookmarkEnd w:id="833"/>
      <w:bookmarkEnd w:id="834"/>
    </w:p>
    <w:p w14:paraId="373A1CC5" w14:textId="0FB6A037" w:rsidR="004E22C1" w:rsidRPr="001455DC" w:rsidRDefault="004E22C1" w:rsidP="00243590">
      <w:pPr>
        <w:pStyle w:val="31"/>
      </w:pPr>
      <w:bookmarkStart w:id="835" w:name="_Toc52820040"/>
      <w:bookmarkStart w:id="836" w:name="_Toc54337439"/>
      <w:bookmarkStart w:id="837" w:name="_Toc54338096"/>
      <w:bookmarkStart w:id="838" w:name="_Toc67565440"/>
      <w:r w:rsidRPr="001455DC">
        <w:t>General</w:t>
      </w:r>
      <w:bookmarkEnd w:id="835"/>
      <w:bookmarkEnd w:id="836"/>
      <w:bookmarkEnd w:id="837"/>
      <w:bookmarkEnd w:id="838"/>
    </w:p>
    <w:p w14:paraId="4B6E81AA" w14:textId="77777777" w:rsidR="004E22C1" w:rsidRPr="001455DC" w:rsidRDefault="004E22C1" w:rsidP="00E844D2">
      <w:pPr>
        <w:pStyle w:val="a7"/>
        <w:keepNext/>
      </w:pPr>
      <w:r w:rsidRPr="001455DC">
        <w:t>(1)</w:t>
      </w:r>
      <w:r w:rsidRPr="001455DC">
        <w:tab/>
        <w:t>Tension and compression forces may be transmitted from one bar to another by:</w:t>
      </w:r>
    </w:p>
    <w:p w14:paraId="69713743" w14:textId="2E25662D" w:rsidR="004E22C1" w:rsidRPr="001455DC" w:rsidRDefault="004E22C1" w:rsidP="00C00C3C">
      <w:pPr>
        <w:pStyle w:val="a0"/>
      </w:pPr>
      <w:r w:rsidRPr="001455DC">
        <w:t>lapping of bars anchored with a method described in Table 11.3 (see 11.5.2);</w:t>
      </w:r>
    </w:p>
    <w:p w14:paraId="376203BF" w14:textId="49176C02" w:rsidR="004E22C1" w:rsidRPr="001455DC" w:rsidRDefault="004E22C1" w:rsidP="00C00C3C">
      <w:pPr>
        <w:pStyle w:val="a0"/>
      </w:pPr>
      <w:r w:rsidRPr="001455DC">
        <w:t>mechanical couplers ensuring load transfer in tension and compression or compression only (see 11.5.6);</w:t>
      </w:r>
    </w:p>
    <w:p w14:paraId="46367A46" w14:textId="269B901B" w:rsidR="004E22C1" w:rsidRPr="001455DC" w:rsidRDefault="004E22C1" w:rsidP="00C00C3C">
      <w:pPr>
        <w:pStyle w:val="a0"/>
      </w:pPr>
      <w:r w:rsidRPr="001455DC">
        <w:t>full penetration butt welds or fillet welds (see 11.5.7).</w:t>
      </w:r>
    </w:p>
    <w:p w14:paraId="32FD98A3" w14:textId="77777777" w:rsidR="004E22C1" w:rsidRPr="001455DC" w:rsidRDefault="004E22C1" w:rsidP="00C00C3C">
      <w:pPr>
        <w:pStyle w:val="a7"/>
      </w:pPr>
      <w:r w:rsidRPr="001455DC">
        <w:t>(2)</w:t>
      </w:r>
      <w:r w:rsidRPr="001455DC">
        <w:tab/>
        <w:t>Mechanical couplers and welds shall be designed for the minimum design yield strength of the reinforcing steel at both sides of the connection. In this case, they may take place at the same section, without staggering.</w:t>
      </w:r>
    </w:p>
    <w:p w14:paraId="45D56A73" w14:textId="38F422EB" w:rsidR="004E22C1" w:rsidRPr="001455DC" w:rsidRDefault="004E22C1" w:rsidP="00243590">
      <w:pPr>
        <w:pStyle w:val="31"/>
      </w:pPr>
      <w:bookmarkStart w:id="839" w:name="_Toc52820041"/>
      <w:bookmarkStart w:id="840" w:name="_Toc54337440"/>
      <w:bookmarkStart w:id="841" w:name="_Toc54338097"/>
      <w:bookmarkStart w:id="842" w:name="_Toc67565441"/>
      <w:r w:rsidRPr="001455DC">
        <w:t>All types of laps</w:t>
      </w:r>
      <w:bookmarkEnd w:id="839"/>
      <w:bookmarkEnd w:id="840"/>
      <w:bookmarkEnd w:id="841"/>
      <w:bookmarkEnd w:id="842"/>
    </w:p>
    <w:p w14:paraId="27619153" w14:textId="77777777" w:rsidR="004E22C1" w:rsidRPr="001455DC" w:rsidRDefault="004E22C1" w:rsidP="00C00C3C">
      <w:pPr>
        <w:pStyle w:val="a7"/>
      </w:pPr>
      <w:r w:rsidRPr="001455DC">
        <w:t>(1)</w:t>
      </w:r>
      <w:r w:rsidRPr="001455DC">
        <w:tab/>
        <w:t>The detailing of laps between bars shall be such that:</w:t>
      </w:r>
    </w:p>
    <w:p w14:paraId="6510E4EF" w14:textId="6D44D18B" w:rsidR="004E22C1" w:rsidRPr="001455DC" w:rsidRDefault="004E22C1" w:rsidP="00C00C3C">
      <w:pPr>
        <w:pStyle w:val="a0"/>
      </w:pPr>
      <w:r w:rsidRPr="001455DC">
        <w:t>the transfer of forces from one bar to the next is ensured,</w:t>
      </w:r>
    </w:p>
    <w:p w14:paraId="542B7F1D" w14:textId="7FF7931E" w:rsidR="004E22C1" w:rsidRPr="001455DC" w:rsidRDefault="004E22C1" w:rsidP="00C00C3C">
      <w:pPr>
        <w:pStyle w:val="a0"/>
      </w:pPr>
      <w:r w:rsidRPr="001455DC">
        <w:t>spalling of the concrete in the vicinity of the lap does not occur,</w:t>
      </w:r>
    </w:p>
    <w:p w14:paraId="23B850A8" w14:textId="78CA52C5" w:rsidR="004E22C1" w:rsidRPr="001455DC" w:rsidRDefault="004E22C1" w:rsidP="00C00C3C">
      <w:pPr>
        <w:pStyle w:val="a0"/>
      </w:pPr>
      <w:r w:rsidRPr="001455DC">
        <w:t>large cracks parallel to the lapped bars which affect the performance of the structure do not develop.</w:t>
      </w:r>
    </w:p>
    <w:p w14:paraId="70FAFDB1" w14:textId="433DBDF8" w:rsidR="004E22C1" w:rsidRPr="001455DC" w:rsidRDefault="004E22C1" w:rsidP="00C00C3C">
      <w:pPr>
        <w:pStyle w:val="a7"/>
      </w:pPr>
      <w:r w:rsidRPr="001455DC">
        <w:t>(2)</w:t>
      </w:r>
      <w:r w:rsidRPr="001455DC">
        <w:tab/>
        <w:t xml:space="preserve">A design lap length </w:t>
      </w:r>
      <w:r w:rsidRPr="001455DC">
        <w:rPr>
          <w:rStyle w:val="CCMCvariableitalic"/>
        </w:rPr>
        <w:t>l</w:t>
      </w:r>
      <w:r w:rsidRPr="001455DC">
        <w:rPr>
          <w:rStyle w:val="CCMCvariablesubscript"/>
        </w:rPr>
        <w:t>sd</w:t>
      </w:r>
      <w:r w:rsidRPr="001455DC">
        <w:t xml:space="preserve"> between two bars in tension or in compression should be provided, at least equal to the anchorage lengths </w:t>
      </w:r>
      <w:r w:rsidRPr="001455DC">
        <w:rPr>
          <w:rStyle w:val="CCMCvariableitalic"/>
        </w:rPr>
        <w:t>l</w:t>
      </w:r>
      <w:r w:rsidRPr="001455DC">
        <w:rPr>
          <w:rStyle w:val="CCMCvariablesubscript"/>
        </w:rPr>
        <w:t>bd</w:t>
      </w:r>
      <w:r w:rsidRPr="001455DC">
        <w:t xml:space="preserve"> given in 11.4, where the clear distance </w:t>
      </w:r>
      <w:r w:rsidRPr="001455DC">
        <w:rPr>
          <w:rStyle w:val="CCMCvariableitalic"/>
        </w:rPr>
        <w:t>c</w:t>
      </w:r>
      <w:r w:rsidRPr="001455DC">
        <w:rPr>
          <w:rStyle w:val="CCMCvariablesubscript"/>
        </w:rPr>
        <w:t>s</w:t>
      </w:r>
      <w:r w:rsidRPr="001455DC">
        <w:t> </w:t>
      </w:r>
      <w:r w:rsidR="00EC27D2" w:rsidRPr="001455DC">
        <w:rPr>
          <w:rFonts w:ascii="Cambria Math" w:hAnsi="Cambria Math"/>
        </w:rPr>
        <w:t>=</w:t>
      </w:r>
      <w:r w:rsidRPr="001455DC">
        <w:t> </w:t>
      </w:r>
      <w:r w:rsidRPr="001455DC">
        <w:rPr>
          <w:rStyle w:val="CCMCvariableitalic"/>
        </w:rPr>
        <w:t>c</w:t>
      </w:r>
      <w:r w:rsidRPr="001455DC">
        <w:rPr>
          <w:rStyle w:val="CCMCvariablesubscript"/>
        </w:rPr>
        <w:t>s1</w:t>
      </w:r>
      <w:r w:rsidR="00EC27D2" w:rsidRPr="001455DC">
        <w:rPr>
          <w:rFonts w:ascii="Cambria Math" w:hAnsi="Cambria Math"/>
        </w:rPr>
        <w:t> + </w:t>
      </w:r>
      <w:r w:rsidRPr="001455DC">
        <w:rPr>
          <w:rStyle w:val="CCMCvariableitalic"/>
        </w:rPr>
        <w:t>c</w:t>
      </w:r>
      <w:r w:rsidRPr="001455DC">
        <w:rPr>
          <w:rStyle w:val="CCMCvariablesubscript"/>
        </w:rPr>
        <w:t>s2</w:t>
      </w:r>
      <w:r w:rsidRPr="001455DC">
        <w:t xml:space="preserve"> should be taken according to Figure 11.10.</w:t>
      </w:r>
    </w:p>
    <w:p w14:paraId="1E94ACCA" w14:textId="79778C6F" w:rsidR="00E33265" w:rsidRDefault="00723CF7" w:rsidP="00E33265">
      <w:pPr>
        <w:pStyle w:val="KeyTitle"/>
        <w:jc w:val="center"/>
      </w:pPr>
      <w:r>
        <w:rPr>
          <w:noProof/>
          <w:lang w:eastAsia="en-GB"/>
        </w:rPr>
        <w:fldChar w:fldCharType="begin"/>
      </w:r>
      <w:r>
        <w:rPr>
          <w:noProof/>
          <w:lang w:eastAsia="en-GB"/>
        </w:rPr>
        <w:instrText xml:space="preserve"> INCLUDEPICTURE  "Y:\\STD_MGT\\STDDEL\\PRODUCTION\\etrans\\Download\\Z_FIRST_DEL\\SV\\00250\\00250269\\41_e_dr\\11_010.tif"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"Y:\\STD_MGT\\STDDEL\\PRODUCTION\\Standards\\00250\\269\\41_e_dr\\11_010.tif"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"Y:\\STD_MGT\\STDDEL\\PRODUCTION\\Standards\\00250\\269\\41_e_dr\\11_010.tif"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"Y:\\STD_MGT\\STDDEL\\PRODUCTION\\Standards\\00250\\269\\41_e_dr\\11_010.tif"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"Y:\\STD_MGT\\STDDEL\\PRODUCTION\\Standards\\00250\\269\\41_e_dr\\11_010.tif"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"Y:\\STD_MGT\\STDDEL\\PRODUCTION\\Standards\\00250\\269\\41_e_dr\\11_010.tif"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"C:\\Users\\a.dionysiou\\AppData\\Local\\Temp\\Temp1_00250269_e_20210902.zip.zip\\41_e_dr\\11_010.tif"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2B9514B1">
          <v:shape id="_x0000_i1238" type="#_x0000_t75" style="width:143.25pt;height:111pt">
            <v:imagedata r:id="rId446" r:href="rId447"/>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05F81D18" w14:textId="61233427" w:rsidR="00C00C3C" w:rsidRPr="001455DC" w:rsidRDefault="00C00C3C" w:rsidP="00DB201D">
      <w:pPr>
        <w:pStyle w:val="KeyTitle"/>
      </w:pPr>
      <w:r w:rsidRPr="001455DC">
        <w:t>Key</w:t>
      </w:r>
    </w:p>
    <w:tbl>
      <w:tblPr>
        <w:tblW w:w="9809" w:type="dxa"/>
        <w:tblLayout w:type="fixed"/>
        <w:tblCellMar>
          <w:left w:w="28" w:type="dxa"/>
          <w:right w:w="28" w:type="dxa"/>
        </w:tblCellMar>
        <w:tblLook w:val="0000" w:firstRow="0" w:lastRow="0" w:firstColumn="0" w:lastColumn="0" w:noHBand="0" w:noVBand="0"/>
      </w:tblPr>
      <w:tblGrid>
        <w:gridCol w:w="397"/>
        <w:gridCol w:w="9412"/>
      </w:tblGrid>
      <w:tr w:rsidR="00C00C3C" w:rsidRPr="001455DC" w14:paraId="507DA342" w14:textId="77777777" w:rsidTr="00C00C3C">
        <w:tc>
          <w:tcPr>
            <w:tcW w:w="397" w:type="dxa"/>
            <w:shd w:val="clear" w:color="auto" w:fill="auto"/>
          </w:tcPr>
          <w:p w14:paraId="1A80DA98" w14:textId="00EDDD03" w:rsidR="00C00C3C" w:rsidRPr="001455DC" w:rsidRDefault="00C00C3C" w:rsidP="00D86695">
            <w:pPr>
              <w:pStyle w:val="KeyText"/>
              <w:tabs>
                <w:tab w:val="clear" w:pos="346"/>
              </w:tabs>
              <w:ind w:left="0" w:firstLine="0"/>
            </w:pPr>
          </w:p>
        </w:tc>
        <w:tc>
          <w:tcPr>
            <w:tcW w:w="9412" w:type="dxa"/>
            <w:shd w:val="clear" w:color="auto" w:fill="auto"/>
          </w:tcPr>
          <w:p w14:paraId="5C4EA786" w14:textId="44FCC246" w:rsidR="00C00C3C" w:rsidRPr="001455DC" w:rsidRDefault="00C00C3C" w:rsidP="00D86695">
            <w:pPr>
              <w:pStyle w:val="KeyText"/>
              <w:tabs>
                <w:tab w:val="clear" w:pos="346"/>
              </w:tabs>
              <w:ind w:left="0" w:firstLine="0"/>
            </w:pPr>
            <w:r w:rsidRPr="001455DC">
              <w:t>lapping bars</w:t>
            </w:r>
          </w:p>
        </w:tc>
      </w:tr>
    </w:tbl>
    <w:p w14:paraId="2E9C6192" w14:textId="77777777" w:rsidR="004E22C1" w:rsidRPr="001455DC" w:rsidRDefault="004E22C1" w:rsidP="00C00C3C">
      <w:pPr>
        <w:pStyle w:val="Figuretitle"/>
      </w:pPr>
      <w:r w:rsidRPr="001455DC">
        <w:t>Figure 11.10 — Definition of clear distance cs in lap splices</w:t>
      </w:r>
    </w:p>
    <w:p w14:paraId="4057DB8E" w14:textId="77777777" w:rsidR="004E22C1" w:rsidRPr="001455DC" w:rsidRDefault="004E22C1" w:rsidP="00C00C3C">
      <w:pPr>
        <w:pStyle w:val="a7"/>
      </w:pPr>
      <w:r w:rsidRPr="001455DC">
        <w:t>(3)</w:t>
      </w:r>
      <w:r w:rsidRPr="001455DC">
        <w:tab/>
        <w:t xml:space="preserve">All bars in compression may be lapped in one section and the lap length designed for </w:t>
      </w:r>
      <w:r w:rsidRPr="001455DC">
        <w:rPr>
          <w:rStyle w:val="CCMCvariableitalic"/>
        </w:rPr>
        <w:t>σ</w:t>
      </w:r>
      <w:r w:rsidRPr="001455DC">
        <w:rPr>
          <w:rStyle w:val="CCMCvariablesubscript"/>
        </w:rPr>
        <w:t>sd</w:t>
      </w:r>
      <w:r w:rsidRPr="001455DC">
        <w:t>.</w:t>
      </w:r>
    </w:p>
    <w:p w14:paraId="058EB54D" w14:textId="77777777" w:rsidR="004E22C1" w:rsidRPr="001455DC" w:rsidRDefault="004E22C1" w:rsidP="00C00C3C">
      <w:pPr>
        <w:pStyle w:val="a7"/>
      </w:pPr>
      <w:r w:rsidRPr="001455DC">
        <w:t>(4)</w:t>
      </w:r>
      <w:r w:rsidRPr="001455DC">
        <w:tab/>
        <w:t xml:space="preserve">Away from plastic hinge locations, tension laps may be detailed with up to 100 % of bars lapped at any section and the lap length may be designed for </w:t>
      </w:r>
      <w:r w:rsidRPr="001455DC">
        <w:rPr>
          <w:rStyle w:val="CCMCvariableitalic"/>
        </w:rPr>
        <w:t>σ</w:t>
      </w:r>
      <w:r w:rsidRPr="001455DC">
        <w:rPr>
          <w:rStyle w:val="CCMCvariablesubscript"/>
        </w:rPr>
        <w:t>sd</w:t>
      </w:r>
      <w:r w:rsidRPr="001455DC">
        <w:t>.</w:t>
      </w:r>
    </w:p>
    <w:p w14:paraId="4ECDEEDD" w14:textId="39F76FE5" w:rsidR="004E22C1" w:rsidRPr="001455DC" w:rsidRDefault="004E22C1" w:rsidP="00C00C3C">
      <w:pPr>
        <w:pStyle w:val="Note"/>
      </w:pPr>
      <w:r w:rsidRPr="001455DC">
        <w:rPr>
          <w:bCs/>
        </w:rPr>
        <w:t>NOTE</w:t>
      </w:r>
      <w:r w:rsidR="0079403C">
        <w:rPr>
          <w:bCs/>
        </w:rPr>
        <w:t xml:space="preserve"> </w:t>
      </w:r>
      <w:r w:rsidRPr="001455DC">
        <w:rPr>
          <w:bCs/>
        </w:rPr>
        <w:tab/>
      </w:r>
      <w:r w:rsidRPr="001455DC">
        <w:t>It is good practice to place laps away from potential plastic hinge locations such as fixed/cast-in ends, points of support of continuous beams or mid span of linear members.</w:t>
      </w:r>
    </w:p>
    <w:p w14:paraId="4D516E59" w14:textId="77777777" w:rsidR="004E22C1" w:rsidRPr="001455DC" w:rsidRDefault="004E22C1" w:rsidP="00E844D2">
      <w:pPr>
        <w:pStyle w:val="a7"/>
        <w:keepNext/>
      </w:pPr>
      <w:r w:rsidRPr="001455DC">
        <w:t>(5)</w:t>
      </w:r>
      <w:r w:rsidRPr="001455DC">
        <w:tab/>
        <w:t xml:space="preserve">Where tension laps are located across plastic hinge locations, tension lap length may be designed for </w:t>
      </w:r>
      <w:r w:rsidRPr="001455DC">
        <w:rPr>
          <w:rStyle w:val="CCMCvariableitalic"/>
        </w:rPr>
        <w:t>σ</w:t>
      </w:r>
      <w:r w:rsidRPr="001455DC">
        <w:rPr>
          <w:rStyle w:val="CCMCvariablesubscript"/>
        </w:rPr>
        <w:t>sd</w:t>
      </w:r>
      <w:r w:rsidRPr="001455DC">
        <w:t xml:space="preserve"> if</w:t>
      </w:r>
    </w:p>
    <w:p w14:paraId="480332E9" w14:textId="6B69A9E9" w:rsidR="004E22C1" w:rsidRPr="001455DC" w:rsidRDefault="004E22C1" w:rsidP="00C00C3C">
      <w:pPr>
        <w:pStyle w:val="a0"/>
      </w:pPr>
      <w:r w:rsidRPr="001455DC">
        <w:t>a confinement reinforcement is arranged according to 11.5.2(1) or</w:t>
      </w:r>
    </w:p>
    <w:p w14:paraId="3DC4E1AC" w14:textId="14C53127" w:rsidR="004E22C1" w:rsidRPr="001455DC" w:rsidRDefault="004E22C1" w:rsidP="00C00C3C">
      <w:pPr>
        <w:pStyle w:val="a0"/>
      </w:pPr>
      <w:r w:rsidRPr="001455DC">
        <w:t>if they are staggered so that the area of lapped bars </w:t>
      </w:r>
      <w:r w:rsidR="00650035" w:rsidRPr="001455DC">
        <w:rPr>
          <w:rFonts w:ascii="Cambria Math" w:hAnsi="Cambria Math"/>
        </w:rPr>
        <w:t>≤</w:t>
      </w:r>
      <w:r w:rsidRPr="001455DC">
        <w:t> 35 % of the total cross</w:t>
      </w:r>
      <w:r w:rsidR="00B10711" w:rsidRPr="001455DC">
        <w:t xml:space="preserve"> </w:t>
      </w:r>
      <w:r w:rsidRPr="001455DC">
        <w:t>section area of the reinforcement in linear members (beams and columns) or </w:t>
      </w:r>
      <w:r w:rsidR="00650035" w:rsidRPr="001455DC">
        <w:rPr>
          <w:rFonts w:ascii="Cambria Math" w:hAnsi="Cambria Math"/>
        </w:rPr>
        <w:t>≤</w:t>
      </w:r>
      <w:r w:rsidRPr="001455DC">
        <w:t> 50 % in planar members (slabs, walls and shells).</w:t>
      </w:r>
    </w:p>
    <w:p w14:paraId="451252D5" w14:textId="77777777" w:rsidR="004E22C1" w:rsidRPr="001455DC" w:rsidRDefault="004E22C1" w:rsidP="00C00C3C">
      <w:pPr>
        <w:pStyle w:val="a7"/>
      </w:pPr>
      <w:r w:rsidRPr="001455DC">
        <w:t>Otherwise, tension lap lengths should be designed for 1,2</w:t>
      </w:r>
      <w:r w:rsidRPr="001455DC">
        <w:rPr>
          <w:rStyle w:val="CCMCvariableitalic"/>
        </w:rPr>
        <w:t>σ</w:t>
      </w:r>
      <w:r w:rsidRPr="001455DC">
        <w:rPr>
          <w:rStyle w:val="CCMCvariablesubscript"/>
        </w:rPr>
        <w:t>sd</w:t>
      </w:r>
      <w:r w:rsidRPr="001455DC">
        <w:t>.</w:t>
      </w:r>
    </w:p>
    <w:p w14:paraId="6B009CED" w14:textId="1442B4E1" w:rsidR="004E22C1" w:rsidRPr="001455DC" w:rsidRDefault="004E22C1" w:rsidP="00C00C3C">
      <w:pPr>
        <w:pStyle w:val="Note"/>
      </w:pPr>
      <w:r w:rsidRPr="001455DC">
        <w:t>NOTE</w:t>
      </w:r>
      <w:r w:rsidR="0079403C">
        <w:t xml:space="preserve"> </w:t>
      </w:r>
      <w:r w:rsidRPr="001455DC">
        <w:tab/>
        <w:t>For laps in links</w:t>
      </w:r>
      <w:r w:rsidR="0079403C">
        <w:t>,</w:t>
      </w:r>
      <w:r w:rsidRPr="001455DC">
        <w:t xml:space="preserve"> see 12.3.3.</w:t>
      </w:r>
    </w:p>
    <w:p w14:paraId="1191315A" w14:textId="77777777" w:rsidR="004E22C1" w:rsidRPr="001455DC" w:rsidRDefault="004E22C1" w:rsidP="00C00C3C">
      <w:pPr>
        <w:pStyle w:val="a7"/>
      </w:pPr>
      <w:r w:rsidRPr="001455DC">
        <w:t>(6)</w:t>
      </w:r>
      <w:r w:rsidRPr="001455DC">
        <w:tab/>
        <w:t>If staggering of laps is chosen as an option according to (5), the distance between adjacent laps is at least 0,3</w:t>
      </w:r>
      <w:r w:rsidRPr="001455DC">
        <w:rPr>
          <w:rStyle w:val="CCMCvariableitalic"/>
        </w:rPr>
        <w:t>l</w:t>
      </w:r>
      <w:r w:rsidRPr="001455DC">
        <w:rPr>
          <w:rStyle w:val="CCMCvariablesubscript"/>
        </w:rPr>
        <w:t>sd</w:t>
      </w:r>
      <w:r w:rsidRPr="001455DC">
        <w:t xml:space="preserve"> (see Figure 11.11b)).</w:t>
      </w:r>
    </w:p>
    <w:tbl>
      <w:tblPr>
        <w:tblStyle w:val="a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6"/>
        <w:gridCol w:w="4876"/>
      </w:tblGrid>
      <w:tr w:rsidR="00C00C3C" w:rsidRPr="001455DC" w14:paraId="405F2366" w14:textId="77777777" w:rsidTr="00C00C3C">
        <w:trPr>
          <w:cantSplit/>
          <w:jc w:val="center"/>
        </w:trPr>
        <w:tc>
          <w:tcPr>
            <w:tcW w:w="4876" w:type="dxa"/>
            <w:vAlign w:val="center"/>
          </w:tcPr>
          <w:p w14:paraId="4FEE7C88" w14:textId="6D19162B" w:rsidR="00C00C3C" w:rsidRPr="001455DC" w:rsidRDefault="00723CF7" w:rsidP="00C00C3C">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"Y:\\STD_MGT\\STDDEL\\PRODUCTION\\etrans\\Download\\Z_FIRST_DEL\\SV\\00250\\00250269\\41_e_dr\\11_011a.tif"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"Y:\\STD_MGT\\STDDEL\\PRODUCTION\\Standards\\00250\\269\\41_e_dr\\11_011a.tif"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"Y:\\STD_MGT\\STDDEL\\PRODUCTION\\Standards\\00250\\269\\41_e_dr\\11_011a.tif"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"Y:\\STD_MGT\\STDDEL\\PRODUCTION\\Standards\\00250\\269\\41_e_dr\\11_011a.tif"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"Y:\\STD_MGT\\STDDEL\\PRODUCTION\\Standards\\00250\\269\\41_e_dr\\11_011a.tif"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"Y:\\STD_MGT\\STDDEL\\PRODUCTION\\Standards\\00250\\269\\41_e_dr\\11_011a.tif"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w:instrText>
            </w:r>
            <w:r w:rsidR="00231E33">
              <w:rPr>
                <w:noProof/>
                <w:lang w:eastAsia="en-GB"/>
              </w:rPr>
              <w:instrText>\\Local\\Temp\\Temp1_00250269_e_20210902.zip.zip\\41_e_dr\\11_011a.tif"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11478533">
                <v:shape id="_x0000_i1239" type="#_x0000_t75" style="width:223.5pt;height:252pt">
                  <v:imagedata r:id="rId448" r:href="rId449"/>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4876" w:type="dxa"/>
            <w:vAlign w:val="center"/>
          </w:tcPr>
          <w:p w14:paraId="0B2C5FAD" w14:textId="6A1B589B" w:rsidR="00C00C3C" w:rsidRPr="001455DC" w:rsidRDefault="00723CF7" w:rsidP="00C00C3C">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"Y:\\STD_MGT\\STDDEL\\PRODUCTION\\etrans\\Download\\Z_FIRST_DEL\\SV\\00250\\00250269\\41_e_dr\\11_011b.tif"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"Y:\\STD_MGT\\STDDEL\\PRODUCTION\\Standards\\00250\\269\\41_e_dr\\11_011b.tif"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"Y:\\STD_MGT\\STDDEL\\PRODUCTION\\Standards\\00250\\269\\41_e_dr\\11_011b.tif"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"Y:\\STD_MGT\\STDDEL\\PRODUCTION\\Standards\\00250\\269\\41_e_dr\\11_011b.tif"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"Y:\\STD_MGT\\STDDEL\\PRODUCTION\\Standards\\00250\\269\\41_e_dr\\11_011b.tif"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"Y:\\STD_MGT\\STDDEL\\PRODUCTION\\Standards\\00250\\269\\41_e_dr\\11_011b.tif"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"C:\\Users\\a.dionysiou\\AppData\\Local\\Temp\\Temp1_00250269_e_20210902.zip.zip\\41_e_dr\\11_011b.tif"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7FCDA028">
                <v:shape id="_x0000_i1240" type="#_x0000_t75" style="width:185.25pt;height:161.25pt">
                  <v:imagedata r:id="rId450" r:href="rId451"/>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C00C3C" w:rsidRPr="001455DC" w14:paraId="7057146C" w14:textId="77777777" w:rsidTr="00C00C3C">
        <w:trPr>
          <w:cantSplit/>
          <w:jc w:val="center"/>
        </w:trPr>
        <w:tc>
          <w:tcPr>
            <w:tcW w:w="4876" w:type="dxa"/>
            <w:vAlign w:val="center"/>
          </w:tcPr>
          <w:p w14:paraId="1CDDD8B3" w14:textId="7269C957" w:rsidR="00C00C3C" w:rsidRPr="009D3012" w:rsidRDefault="00C00C3C" w:rsidP="00605B61">
            <w:pPr>
              <w:pStyle w:val="FigureText"/>
              <w:jc w:val="center"/>
              <w:rPr>
                <w:bCs/>
              </w:rPr>
            </w:pPr>
            <w:r w:rsidRPr="009D3012">
              <w:rPr>
                <w:bCs/>
              </w:rPr>
              <w:t>a) 100 %-lap with clear distances between adjacent laps and lapped bars</w:t>
            </w:r>
          </w:p>
        </w:tc>
        <w:tc>
          <w:tcPr>
            <w:tcW w:w="4876" w:type="dxa"/>
            <w:vAlign w:val="center"/>
          </w:tcPr>
          <w:p w14:paraId="05CEF9F0" w14:textId="76880BDE" w:rsidR="00C00C3C" w:rsidRPr="009D3012" w:rsidRDefault="00C00C3C" w:rsidP="00605B61">
            <w:pPr>
              <w:pStyle w:val="FigureText"/>
              <w:jc w:val="center"/>
              <w:rPr>
                <w:bCs/>
              </w:rPr>
            </w:pPr>
            <w:r w:rsidRPr="009D3012">
              <w:rPr>
                <w:bCs/>
              </w:rPr>
              <w:t>b) 50 %-lap with clear distances between adjacent laps and lapped bars</w:t>
            </w:r>
          </w:p>
        </w:tc>
      </w:tr>
    </w:tbl>
    <w:p w14:paraId="2A83CFEE" w14:textId="77777777" w:rsidR="004E22C1" w:rsidRPr="001455DC" w:rsidRDefault="004E22C1" w:rsidP="00C00C3C">
      <w:pPr>
        <w:pStyle w:val="Figuretitle"/>
      </w:pPr>
      <w:r w:rsidRPr="001455DC">
        <w:t>Figure 11.11 — Examples of laps in planar members</w:t>
      </w:r>
    </w:p>
    <w:p w14:paraId="1DCCB85A" w14:textId="77777777" w:rsidR="004E22C1" w:rsidRPr="001455DC" w:rsidRDefault="004E22C1" w:rsidP="00C00C3C">
      <w:pPr>
        <w:pStyle w:val="a7"/>
      </w:pPr>
      <w:r w:rsidRPr="001455DC">
        <w:t>(7)</w:t>
      </w:r>
      <w:r w:rsidRPr="001455DC">
        <w:tab/>
        <w:t xml:space="preserve">In cases of different methods of anchorage according to Table 11.3, the larger value of the design lap length </w:t>
      </w:r>
      <w:r w:rsidRPr="001455DC">
        <w:rPr>
          <w:rStyle w:val="CCMCvariableitalic"/>
        </w:rPr>
        <w:t>l</w:t>
      </w:r>
      <w:r w:rsidRPr="001455DC">
        <w:rPr>
          <w:rStyle w:val="CCMCvariablesubscript"/>
        </w:rPr>
        <w:t>sd</w:t>
      </w:r>
      <w:r w:rsidRPr="001455DC">
        <w:t xml:space="preserve"> calculated for both methods shall be used.</w:t>
      </w:r>
    </w:p>
    <w:p w14:paraId="51C914D5" w14:textId="77777777" w:rsidR="004E22C1" w:rsidRPr="001455DC" w:rsidRDefault="004E22C1" w:rsidP="00C00C3C">
      <w:pPr>
        <w:pStyle w:val="Tabletitle"/>
      </w:pPr>
      <w:bookmarkStart w:id="843" w:name="_Toc54337441"/>
      <w:r w:rsidRPr="001455DC">
        <w:t xml:space="preserve">Table 11.3 — Types of laps and design lap lengths </w:t>
      </w:r>
      <w:r w:rsidRPr="001455DC">
        <w:rPr>
          <w:rStyle w:val="CCMCvariableitalic"/>
        </w:rPr>
        <w:t>l</w:t>
      </w:r>
      <w:r w:rsidRPr="001455DC">
        <w:rPr>
          <w:rStyle w:val="CCMCvariablesubscript"/>
        </w:rPr>
        <w:t>sd</w:t>
      </w:r>
      <w:bookmarkEnd w:id="843"/>
      <w:r w:rsidRPr="001455DC">
        <w:t xml:space="preserve"> </w:t>
      </w:r>
    </w:p>
    <w:tbl>
      <w:tblPr>
        <w:tblStyle w:val="53"/>
        <w:tblW w:w="9752" w:type="dxa"/>
        <w:tblLayout w:type="fixed"/>
        <w:tblCellMar>
          <w:left w:w="71" w:type="dxa"/>
          <w:right w:w="71" w:type="dxa"/>
        </w:tblCellMar>
        <w:tblLook w:val="0620" w:firstRow="1" w:lastRow="0" w:firstColumn="0" w:lastColumn="0" w:noHBand="1" w:noVBand="1"/>
      </w:tblPr>
      <w:tblGrid>
        <w:gridCol w:w="3916"/>
        <w:gridCol w:w="1716"/>
        <w:gridCol w:w="2307"/>
        <w:gridCol w:w="1813"/>
      </w:tblGrid>
      <w:tr w:rsidR="004E22C1" w:rsidRPr="001455DC" w14:paraId="7721B6B9" w14:textId="77777777" w:rsidTr="00B25AB7">
        <w:trPr>
          <w:cnfStyle w:val="100000000000" w:firstRow="1" w:lastRow="0" w:firstColumn="0" w:lastColumn="0" w:oddVBand="0" w:evenVBand="0" w:oddHBand="0" w:evenHBand="0" w:firstRowFirstColumn="0" w:firstRowLastColumn="0" w:lastRowFirstColumn="0" w:lastRowLastColumn="0"/>
          <w:tblHeader/>
        </w:trPr>
        <w:tc>
          <w:tcPr>
            <w:tcW w:w="4845" w:type="dxa"/>
            <w:gridSpan w:val="2"/>
            <w:vMerge w:val="restart"/>
          </w:tcPr>
          <w:p w14:paraId="2A311BCD" w14:textId="77777777" w:rsidR="004E22C1" w:rsidRPr="001455DC" w:rsidRDefault="004E22C1" w:rsidP="00B25AB7">
            <w:pPr>
              <w:pStyle w:val="Tableheader"/>
              <w:keepNext/>
            </w:pPr>
            <w:r w:rsidRPr="001455DC">
              <w:t>Type of lap splice</w:t>
            </w:r>
          </w:p>
        </w:tc>
        <w:tc>
          <w:tcPr>
            <w:tcW w:w="3543" w:type="dxa"/>
            <w:gridSpan w:val="2"/>
          </w:tcPr>
          <w:p w14:paraId="39045AF2" w14:textId="77777777" w:rsidR="004E22C1" w:rsidRPr="009D3012" w:rsidRDefault="004E22C1" w:rsidP="00B25AB7">
            <w:pPr>
              <w:pStyle w:val="Tableheader"/>
              <w:keepNext/>
              <w:rPr>
                <w:rStyle w:val="CCMCvariablesubscript"/>
              </w:rPr>
            </w:pPr>
            <w:r w:rsidRPr="009D3012">
              <w:t xml:space="preserve">Design lap length </w:t>
            </w:r>
            <w:r w:rsidRPr="001455DC">
              <w:rPr>
                <w:rStyle w:val="CCMCvariableitalic"/>
                <w:b w:val="0"/>
                <w:bCs/>
              </w:rPr>
              <w:t>l</w:t>
            </w:r>
            <w:r w:rsidRPr="001455DC">
              <w:rPr>
                <w:rStyle w:val="CCMCvariablesubscript"/>
                <w:b w:val="0"/>
                <w:bCs/>
              </w:rPr>
              <w:t>sd</w:t>
            </w:r>
          </w:p>
        </w:tc>
      </w:tr>
      <w:tr w:rsidR="004E22C1" w:rsidRPr="001455DC" w14:paraId="6D1F6E81" w14:textId="77777777" w:rsidTr="00B25AB7">
        <w:trPr>
          <w:cnfStyle w:val="100000000000" w:firstRow="1" w:lastRow="0" w:firstColumn="0" w:lastColumn="0" w:oddVBand="0" w:evenVBand="0" w:oddHBand="0" w:evenHBand="0" w:firstRowFirstColumn="0" w:firstRowLastColumn="0" w:lastRowFirstColumn="0" w:lastRowLastColumn="0"/>
          <w:tblHeader/>
        </w:trPr>
        <w:tc>
          <w:tcPr>
            <w:tcW w:w="4845" w:type="dxa"/>
            <w:gridSpan w:val="2"/>
            <w:vMerge/>
          </w:tcPr>
          <w:p w14:paraId="636BDBFA" w14:textId="77777777" w:rsidR="004E22C1" w:rsidRPr="009D3012" w:rsidRDefault="004E22C1" w:rsidP="00B25AB7">
            <w:pPr>
              <w:pStyle w:val="Tableheader"/>
              <w:keepNext/>
              <w:rPr>
                <w:rStyle w:val="CCMCvariablesubscript"/>
              </w:rPr>
            </w:pPr>
          </w:p>
        </w:tc>
        <w:tc>
          <w:tcPr>
            <w:tcW w:w="1984" w:type="dxa"/>
          </w:tcPr>
          <w:p w14:paraId="0EA76EA6" w14:textId="53BFA6F5" w:rsidR="004E22C1" w:rsidRPr="009D3012" w:rsidRDefault="004E22C1" w:rsidP="00B25AB7">
            <w:pPr>
              <w:pStyle w:val="Tableheader"/>
              <w:keepNext/>
              <w:rPr>
                <w:rStyle w:val="CCMCvariablesubscript"/>
              </w:rPr>
            </w:pPr>
            <w:r w:rsidRPr="009D3012">
              <w:t>Tension</w:t>
            </w:r>
            <w:r w:rsidR="00B25AB7" w:rsidRPr="001455DC">
              <w:t xml:space="preserve"> </w:t>
            </w:r>
            <w:r w:rsidRPr="001455DC">
              <w:t>laps</w:t>
            </w:r>
          </w:p>
        </w:tc>
        <w:tc>
          <w:tcPr>
            <w:tcW w:w="1559" w:type="dxa"/>
          </w:tcPr>
          <w:p w14:paraId="3CFDBBEE" w14:textId="1DAF2BA9" w:rsidR="004E22C1" w:rsidRPr="009D3012" w:rsidRDefault="004E22C1" w:rsidP="00B25AB7">
            <w:pPr>
              <w:pStyle w:val="Tableheader"/>
              <w:keepNext/>
              <w:rPr>
                <w:rStyle w:val="CCMCvariablesubscript"/>
              </w:rPr>
            </w:pPr>
            <w:r w:rsidRPr="009D3012">
              <w:t>Compression</w:t>
            </w:r>
            <w:r w:rsidR="00B25AB7" w:rsidRPr="001455DC">
              <w:t xml:space="preserve"> </w:t>
            </w:r>
            <w:r w:rsidRPr="001455DC">
              <w:t>laps</w:t>
            </w:r>
          </w:p>
        </w:tc>
      </w:tr>
      <w:tr w:rsidR="004E22C1" w:rsidRPr="001455DC" w14:paraId="5ADC67BA" w14:textId="77777777" w:rsidTr="008A4FE4">
        <w:tc>
          <w:tcPr>
            <w:tcW w:w="3369" w:type="dxa"/>
            <w:vMerge w:val="restart"/>
            <w:tcBorders>
              <w:top w:val="single" w:sz="4" w:space="0" w:color="auto"/>
              <w:bottom w:val="nil"/>
            </w:tcBorders>
            <w:vAlign w:val="center"/>
          </w:tcPr>
          <w:p w14:paraId="69DF2AEB" w14:textId="7E1F2B3A" w:rsidR="00C16B22" w:rsidRPr="001455DC" w:rsidRDefault="00723CF7" w:rsidP="00B25AB7">
            <w:pPr>
              <w:pStyle w:val="Tablebody"/>
              <w:keepNext/>
              <w:jc w:val="center"/>
            </w:pPr>
            <w:r>
              <w:rPr>
                <w:noProof/>
                <w:lang w:eastAsia="en-GB"/>
              </w:rPr>
              <w:fldChar w:fldCharType="begin"/>
            </w:r>
            <w:r>
              <w:rPr>
                <w:noProof/>
                <w:lang w:val="en-GB" w:eastAsia="en-GB"/>
              </w:rPr>
              <w:instrText xml:space="preserve"> INCLUDEPICTURE  "Y:\\STD_MGT\\STDDEL\\PRODUCTION\\etrans\\Download\\Z_FIRST_DEL\\SV\\00250\\00250269\\41_e_dr\\t11_3_001.tif"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"Y:\\STD_MGT\\STDDEL\\PRODUCTION\\Standards\\00250\\269\\41_e_dr\\t11_3_001.tif"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"Y:\\STD_MGT\\STDDEL\\PRODUCTION\\Standards\\00250\\269\\41_e_dr\\t11_3_001.tif"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"Y:\\STD_MGT\\STDDEL\\PRODUCTION\\Standards\\00250\\269\\41_e_dr\\t11_3_001.tif"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"Y:\\STD_MGT\\STDDEL\\PRODUCTION\\Standards\\00250\\269\\41_e_dr\\t11_3_001.tif"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"Y:\\STD_MGT\\STDDEL\\PRODUCTION\\Standards\\00250\\269\\41_e_dr\\t11_3_001.tif"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w:instrText>
            </w:r>
            <w:r w:rsidR="00231E33">
              <w:rPr>
                <w:noProof/>
                <w:lang w:eastAsia="en-GB"/>
              </w:rPr>
              <w:instrText>iou\\AppData\\Local\\Temp\\Temp1_00250269_e_20210902.zip.zip\\41_e_dr\\t11_3_001.tif"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0E862C4D">
                <v:shape id="_x0000_i1241" type="#_x0000_t75" style="width:188.25pt;height:39pt">
                  <v:imagedata r:id="rId452" r:href="rId453"/>
                </v:shape>
              </w:pict>
            </w:r>
            <w:r w:rsidR="00231E33">
              <w:rPr>
                <w:noProof/>
                <w:lang w:val="en-GB"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1476" w:type="dxa"/>
            <w:vMerge w:val="restart"/>
            <w:vAlign w:val="center"/>
          </w:tcPr>
          <w:p w14:paraId="317E747B" w14:textId="77777777" w:rsidR="004E22C1" w:rsidRPr="001455DC" w:rsidRDefault="004E22C1" w:rsidP="00B25AB7">
            <w:pPr>
              <w:pStyle w:val="Tablebody"/>
              <w:keepNext/>
              <w:jc w:val="left"/>
            </w:pPr>
            <w:r w:rsidRPr="001455DC">
              <w:t>straight bars</w:t>
            </w:r>
          </w:p>
        </w:tc>
        <w:tc>
          <w:tcPr>
            <w:tcW w:w="3543" w:type="dxa"/>
            <w:gridSpan w:val="2"/>
            <w:vAlign w:val="center"/>
          </w:tcPr>
          <w:p w14:paraId="5B4756DE" w14:textId="440ACD6D" w:rsidR="004E22C1" w:rsidRPr="009D3012" w:rsidRDefault="004E22C1" w:rsidP="00B25AB7">
            <w:pPr>
              <w:pStyle w:val="Tablebody"/>
              <w:keepNext/>
              <w:jc w:val="center"/>
              <w:rPr>
                <w:rStyle w:val="CCMCvariablesubscript"/>
              </w:rPr>
            </w:pPr>
            <w:r w:rsidRPr="001455DC">
              <w:rPr>
                <w:rStyle w:val="CCMCvariableitalic"/>
              </w:rPr>
              <w:t>l</w:t>
            </w:r>
            <w:r w:rsidRPr="001455DC">
              <w:rPr>
                <w:rStyle w:val="CCMCvariablesubscript"/>
              </w:rPr>
              <w:t>sd</w:t>
            </w:r>
            <w:r w:rsidRPr="001455DC">
              <w:t> </w:t>
            </w:r>
            <w:r w:rsidR="00EC27D2" w:rsidRPr="001455DC">
              <w:rPr>
                <w:rFonts w:ascii="Cambria Math" w:hAnsi="Cambria Math"/>
              </w:rPr>
              <w:t>=</w:t>
            </w:r>
            <w:r w:rsidRPr="001455DC">
              <w:t> </w:t>
            </w:r>
            <w:r w:rsidRPr="001455DC">
              <w:rPr>
                <w:rStyle w:val="CCMCvariableitalic"/>
              </w:rPr>
              <w:t>l</w:t>
            </w:r>
            <w:r w:rsidRPr="001455DC">
              <w:rPr>
                <w:rStyle w:val="CCMCvariablesubscript"/>
              </w:rPr>
              <w:t>bd</w:t>
            </w:r>
            <w:r w:rsidRPr="001455DC">
              <w:t> </w:t>
            </w:r>
            <w:r w:rsidR="00650035" w:rsidRPr="001455DC">
              <w:rPr>
                <w:rFonts w:ascii="Cambria Math" w:hAnsi="Cambria Math"/>
              </w:rPr>
              <w:t>≥</w:t>
            </w:r>
            <w:r w:rsidR="00073FC6" w:rsidRPr="001455DC">
              <w:t> </w:t>
            </w:r>
            <w:r w:rsidRPr="001455DC">
              <w:t>15</w:t>
            </w:r>
            <w:r w:rsidRPr="001455DC">
              <w:rPr>
                <w:rStyle w:val="CCMCvariableitalic"/>
              </w:rPr>
              <w:t>ϕ</w:t>
            </w:r>
          </w:p>
        </w:tc>
      </w:tr>
      <w:tr w:rsidR="004E22C1" w:rsidRPr="001455DC" w14:paraId="5FD04D3F" w14:textId="77777777" w:rsidTr="008A4FE4">
        <w:tc>
          <w:tcPr>
            <w:tcW w:w="3369" w:type="dxa"/>
            <w:vMerge/>
            <w:tcBorders>
              <w:top w:val="nil"/>
              <w:bottom w:val="nil"/>
            </w:tcBorders>
            <w:vAlign w:val="center"/>
          </w:tcPr>
          <w:p w14:paraId="548425AF" w14:textId="77777777" w:rsidR="004E22C1" w:rsidRPr="001455DC" w:rsidRDefault="004E22C1" w:rsidP="00B25AB7">
            <w:pPr>
              <w:pStyle w:val="Tablebody"/>
              <w:keepNext/>
              <w:jc w:val="center"/>
              <w:rPr>
                <w:vertAlign w:val="subscript"/>
              </w:rPr>
            </w:pPr>
          </w:p>
        </w:tc>
        <w:tc>
          <w:tcPr>
            <w:tcW w:w="1476" w:type="dxa"/>
            <w:vMerge/>
            <w:vAlign w:val="center"/>
          </w:tcPr>
          <w:p w14:paraId="6CA67F9E" w14:textId="77777777" w:rsidR="004E22C1" w:rsidRPr="009D3012" w:rsidRDefault="004E22C1" w:rsidP="00B25AB7">
            <w:pPr>
              <w:pStyle w:val="Tablebody"/>
              <w:keepNext/>
              <w:jc w:val="left"/>
              <w:rPr>
                <w:rStyle w:val="CCMCvariablesubscript"/>
              </w:rPr>
            </w:pPr>
          </w:p>
        </w:tc>
        <w:tc>
          <w:tcPr>
            <w:tcW w:w="3543" w:type="dxa"/>
            <w:gridSpan w:val="2"/>
            <w:vAlign w:val="center"/>
          </w:tcPr>
          <w:p w14:paraId="4A7AB075" w14:textId="77777777" w:rsidR="004E22C1" w:rsidRPr="009D3012" w:rsidRDefault="004E22C1" w:rsidP="00B25AB7">
            <w:pPr>
              <w:pStyle w:val="Tablebody"/>
              <w:keepNext/>
              <w:jc w:val="center"/>
              <w:rPr>
                <w:rStyle w:val="CCMCvariablesubscript"/>
                <w:lang w:val="en-US"/>
              </w:rPr>
            </w:pPr>
            <w:r w:rsidRPr="009D3012">
              <w:rPr>
                <w:lang w:val="en-US"/>
              </w:rPr>
              <w:t xml:space="preserve">where </w:t>
            </w:r>
            <w:r w:rsidRPr="009D3012">
              <w:rPr>
                <w:rStyle w:val="CCMCvariableitalic"/>
                <w:lang w:val="en-US"/>
              </w:rPr>
              <w:t>l</w:t>
            </w:r>
            <w:r w:rsidRPr="009D3012">
              <w:rPr>
                <w:rStyle w:val="CCMCvariablesubscript"/>
                <w:lang w:val="en-US"/>
              </w:rPr>
              <w:t>bd</w:t>
            </w:r>
            <w:r w:rsidRPr="009D3012">
              <w:rPr>
                <w:lang w:val="en-US"/>
              </w:rPr>
              <w:t xml:space="preserve"> is calculated according to 11.4.2, see also 11.5.3</w:t>
            </w:r>
          </w:p>
        </w:tc>
      </w:tr>
      <w:tr w:rsidR="004E22C1" w:rsidRPr="001455DC" w14:paraId="534627DA" w14:textId="77777777" w:rsidTr="008A4FE4">
        <w:tc>
          <w:tcPr>
            <w:tcW w:w="3369" w:type="dxa"/>
            <w:tcBorders>
              <w:top w:val="nil"/>
              <w:bottom w:val="nil"/>
            </w:tcBorders>
            <w:vAlign w:val="center"/>
          </w:tcPr>
          <w:p w14:paraId="5530546F" w14:textId="461ABA56" w:rsidR="004E22C1" w:rsidRPr="009D3012" w:rsidRDefault="00723CF7" w:rsidP="00B25AB7">
            <w:pPr>
              <w:pStyle w:val="Tablebody"/>
              <w:keepNext/>
              <w:jc w:val="center"/>
              <w:rPr>
                <w:rStyle w:val="CCMCvariablesubscript"/>
                <w:lang w:val="en-US"/>
              </w:rPr>
            </w:pPr>
            <w:r>
              <w:rPr>
                <w:noProof/>
                <w:vertAlign w:val="subscript"/>
                <w:lang w:eastAsia="en-GB"/>
              </w:rPr>
              <w:fldChar w:fldCharType="begin"/>
            </w:r>
            <w:r>
              <w:rPr>
                <w:noProof/>
                <w:vertAlign w:val="subscript"/>
                <w:lang w:val="en-GB" w:eastAsia="en-GB"/>
              </w:rPr>
              <w:instrText xml:space="preserve"> INCLUDEPICTURE  "Y:\\STD_MGT\\STDDEL\\PRODUCTION\\etrans\\Download\\Z_FIRST_DEL\\SV\\00250\\00250269\\41_e_dr\\t11_3_002.tif" \* MERGEFORMATINET </w:instrText>
            </w:r>
            <w:r>
              <w:rPr>
                <w:noProof/>
                <w:vertAlign w:val="subscript"/>
                <w:lang w:eastAsia="en-GB"/>
              </w:rPr>
              <w:fldChar w:fldCharType="separate"/>
            </w:r>
            <w:r w:rsidR="00FA575F">
              <w:rPr>
                <w:noProof/>
                <w:vertAlign w:val="subscript"/>
                <w:lang w:eastAsia="en-GB"/>
              </w:rPr>
              <w:fldChar w:fldCharType="begin"/>
            </w:r>
            <w:r w:rsidR="00FA575F">
              <w:rPr>
                <w:noProof/>
                <w:vertAlign w:val="subscript"/>
                <w:lang w:eastAsia="en-GB"/>
              </w:rPr>
              <w:instrText xml:space="preserve"> INCLUDEPICTURE  "Y:\\STD_MGT\\STDDEL\\PRODUCTION\\Standards\\00250\\269\\41_e_dr\\t11_3_002.tif" \* MERGEFORMATINET </w:instrText>
            </w:r>
            <w:r w:rsidR="00FA575F">
              <w:rPr>
                <w:noProof/>
                <w:vertAlign w:val="subscript"/>
                <w:lang w:eastAsia="en-GB"/>
              </w:rPr>
              <w:fldChar w:fldCharType="separate"/>
            </w:r>
            <w:r w:rsidR="00C54E80">
              <w:rPr>
                <w:noProof/>
                <w:vertAlign w:val="subscript"/>
                <w:lang w:eastAsia="en-GB"/>
              </w:rPr>
              <w:fldChar w:fldCharType="begin"/>
            </w:r>
            <w:r w:rsidR="00C54E80">
              <w:rPr>
                <w:noProof/>
                <w:vertAlign w:val="subscript"/>
                <w:lang w:eastAsia="en-GB"/>
              </w:rPr>
              <w:instrText xml:space="preserve"> INCLUDEPICTURE  "Y:\\STD_MGT\\STDDEL\\PRODUCTION\\Standards\\00250\\269\\41_e_dr\\t11_3_002.tif" \* MERGEFORMATINET </w:instrText>
            </w:r>
            <w:r w:rsidR="00C54E80">
              <w:rPr>
                <w:noProof/>
                <w:vertAlign w:val="subscript"/>
                <w:lang w:eastAsia="en-GB"/>
              </w:rPr>
              <w:fldChar w:fldCharType="separate"/>
            </w:r>
            <w:r w:rsidR="004B62E7">
              <w:rPr>
                <w:noProof/>
                <w:vertAlign w:val="subscript"/>
                <w:lang w:eastAsia="en-GB"/>
              </w:rPr>
              <w:fldChar w:fldCharType="begin"/>
            </w:r>
            <w:r w:rsidR="004B62E7">
              <w:rPr>
                <w:noProof/>
                <w:vertAlign w:val="subscript"/>
                <w:lang w:eastAsia="en-GB"/>
              </w:rPr>
              <w:instrText xml:space="preserve"> INCLUDEPICTURE  "Y:\\STD_MGT\\STDDEL\\PRODUCTION\\Standards\\00250\\269\\41_e_dr\\t11_3_002.tif" \* MERGEFORMATINET </w:instrText>
            </w:r>
            <w:r w:rsidR="004B62E7">
              <w:rPr>
                <w:noProof/>
                <w:vertAlign w:val="subscript"/>
                <w:lang w:eastAsia="en-GB"/>
              </w:rPr>
              <w:fldChar w:fldCharType="separate"/>
            </w:r>
            <w:r w:rsidR="00B078F1">
              <w:rPr>
                <w:noProof/>
                <w:vertAlign w:val="subscript"/>
                <w:lang w:eastAsia="en-GB"/>
              </w:rPr>
              <w:fldChar w:fldCharType="begin"/>
            </w:r>
            <w:r w:rsidR="00B078F1">
              <w:rPr>
                <w:noProof/>
                <w:vertAlign w:val="subscript"/>
                <w:lang w:eastAsia="en-GB"/>
              </w:rPr>
              <w:instrText xml:space="preserve"> INCLUDEPICTURE  "Y:\\STD_MGT\\STDDEL\\PRODUCTION\\Standards\\00250\\269\\41_e_dr\\t11_3_002.tif" \* MERGEFORMATINET </w:instrText>
            </w:r>
            <w:r w:rsidR="00B078F1">
              <w:rPr>
                <w:noProof/>
                <w:vertAlign w:val="subscript"/>
                <w:lang w:eastAsia="en-GB"/>
              </w:rPr>
              <w:fldChar w:fldCharType="separate"/>
            </w:r>
            <w:r w:rsidR="000250B6">
              <w:rPr>
                <w:noProof/>
                <w:vertAlign w:val="subscript"/>
                <w:lang w:eastAsia="en-GB"/>
              </w:rPr>
              <w:fldChar w:fldCharType="begin"/>
            </w:r>
            <w:r w:rsidR="000250B6">
              <w:rPr>
                <w:noProof/>
                <w:vertAlign w:val="subscript"/>
                <w:lang w:eastAsia="en-GB"/>
              </w:rPr>
              <w:instrText xml:space="preserve"> INCLUDEPICTURE  "Y:\\STD_MGT\\STDDEL\\PRODUCTION\\Standards\\00250\\269\\41_e_dr\\t11_3_002.tif" \* MERGEFORMATINET </w:instrText>
            </w:r>
            <w:r w:rsidR="000250B6">
              <w:rPr>
                <w:noProof/>
                <w:vertAlign w:val="subscript"/>
                <w:lang w:eastAsia="en-GB"/>
              </w:rPr>
              <w:fldChar w:fldCharType="separate"/>
            </w:r>
            <w:r w:rsidR="00231E33">
              <w:rPr>
                <w:noProof/>
                <w:vertAlign w:val="subscript"/>
                <w:lang w:eastAsia="en-GB"/>
              </w:rPr>
              <w:fldChar w:fldCharType="begin"/>
            </w:r>
            <w:r w:rsidR="00231E33">
              <w:rPr>
                <w:noProof/>
                <w:vertAlign w:val="subscript"/>
                <w:lang w:eastAsia="en-GB"/>
              </w:rPr>
              <w:instrText xml:space="preserve"> </w:instrText>
            </w:r>
            <w:r w:rsidR="00231E33">
              <w:rPr>
                <w:noProof/>
                <w:vertAlign w:val="subscript"/>
                <w:lang w:eastAsia="en-GB"/>
              </w:rPr>
              <w:instrText>INCLUDEPICTURE  "C:\\Users\\a.dionysiou\\AppData\\Local\\Temp\\Temp1_00250269_e_20210902.zip.zip\\41_e_dr\\t11_3_002.tif" \* MERGEFORMATINET</w:instrText>
            </w:r>
            <w:r w:rsidR="00231E33">
              <w:rPr>
                <w:noProof/>
                <w:vertAlign w:val="subscript"/>
                <w:lang w:eastAsia="en-GB"/>
              </w:rPr>
              <w:instrText xml:space="preserve"> </w:instrText>
            </w:r>
            <w:r w:rsidR="00231E33">
              <w:rPr>
                <w:noProof/>
                <w:vertAlign w:val="subscript"/>
                <w:lang w:eastAsia="en-GB"/>
              </w:rPr>
              <w:fldChar w:fldCharType="separate"/>
            </w:r>
            <w:r w:rsidR="00231E33">
              <w:rPr>
                <w:noProof/>
                <w:vertAlign w:val="subscript"/>
                <w:lang w:eastAsia="en-GB"/>
              </w:rPr>
              <w:pict w14:anchorId="4C5E2C8F">
                <v:shape id="_x0000_i1242" type="#_x0000_t75" style="width:185.25pt;height:49.5pt">
                  <v:imagedata r:id="rId454" r:href="rId455"/>
                </v:shape>
              </w:pict>
            </w:r>
            <w:r w:rsidR="00231E33">
              <w:rPr>
                <w:noProof/>
                <w:vertAlign w:val="subscript"/>
                <w:lang w:val="en-GB" w:eastAsia="en-GB"/>
              </w:rPr>
              <w:fldChar w:fldCharType="end"/>
            </w:r>
            <w:r w:rsidR="000250B6">
              <w:rPr>
                <w:noProof/>
                <w:vertAlign w:val="subscript"/>
                <w:lang w:eastAsia="en-GB"/>
              </w:rPr>
              <w:fldChar w:fldCharType="end"/>
            </w:r>
            <w:r w:rsidR="00B078F1">
              <w:rPr>
                <w:noProof/>
                <w:vertAlign w:val="subscript"/>
                <w:lang w:eastAsia="en-GB"/>
              </w:rPr>
              <w:fldChar w:fldCharType="end"/>
            </w:r>
            <w:r w:rsidR="004B62E7">
              <w:rPr>
                <w:noProof/>
                <w:vertAlign w:val="subscript"/>
                <w:lang w:eastAsia="en-GB"/>
              </w:rPr>
              <w:fldChar w:fldCharType="end"/>
            </w:r>
            <w:r w:rsidR="00C54E80">
              <w:rPr>
                <w:noProof/>
                <w:vertAlign w:val="subscript"/>
                <w:lang w:eastAsia="en-GB"/>
              </w:rPr>
              <w:fldChar w:fldCharType="end"/>
            </w:r>
            <w:r w:rsidR="00FA575F">
              <w:rPr>
                <w:noProof/>
                <w:vertAlign w:val="subscript"/>
                <w:lang w:eastAsia="en-GB"/>
              </w:rPr>
              <w:fldChar w:fldCharType="end"/>
            </w:r>
            <w:r>
              <w:rPr>
                <w:noProof/>
                <w:vertAlign w:val="subscript"/>
                <w:lang w:eastAsia="en-GB"/>
              </w:rPr>
              <w:fldChar w:fldCharType="end"/>
            </w:r>
          </w:p>
        </w:tc>
        <w:tc>
          <w:tcPr>
            <w:tcW w:w="1476" w:type="dxa"/>
            <w:vAlign w:val="center"/>
          </w:tcPr>
          <w:p w14:paraId="3A240B67" w14:textId="77777777" w:rsidR="004E22C1" w:rsidRPr="009D3012" w:rsidRDefault="004E22C1" w:rsidP="00B25AB7">
            <w:pPr>
              <w:pStyle w:val="Tablebody"/>
              <w:keepNext/>
              <w:jc w:val="left"/>
              <w:rPr>
                <w:lang w:val="en-US"/>
              </w:rPr>
            </w:pPr>
            <w:r w:rsidRPr="009D3012">
              <w:rPr>
                <w:lang w:val="en-US"/>
              </w:rPr>
              <w:t>bends and hooks (tension only)</w:t>
            </w:r>
          </w:p>
        </w:tc>
        <w:tc>
          <w:tcPr>
            <w:tcW w:w="1984" w:type="dxa"/>
            <w:vAlign w:val="center"/>
          </w:tcPr>
          <w:p w14:paraId="13D64989" w14:textId="24BBE8E2" w:rsidR="004E22C1" w:rsidRPr="009D3012" w:rsidRDefault="004E22C1" w:rsidP="00B25AB7">
            <w:pPr>
              <w:pStyle w:val="Tablebody"/>
              <w:keepNext/>
              <w:jc w:val="center"/>
              <w:rPr>
                <w:iCs/>
                <w:lang w:val="en-US"/>
              </w:rPr>
            </w:pPr>
            <w:r w:rsidRPr="009D3012">
              <w:rPr>
                <w:rStyle w:val="CCMCvariableitalic"/>
                <w:lang w:val="en-US"/>
              </w:rPr>
              <w:t>l</w:t>
            </w:r>
            <w:r w:rsidRPr="009D3012">
              <w:rPr>
                <w:rStyle w:val="CCMCvariablesubscript"/>
                <w:lang w:val="en-US"/>
              </w:rPr>
              <w:t>sd</w:t>
            </w:r>
            <w:r w:rsidRPr="009D3012">
              <w:rPr>
                <w:lang w:val="en-US"/>
              </w:rPr>
              <w:t> </w:t>
            </w:r>
            <w:r w:rsidR="00EC27D2" w:rsidRPr="009D3012">
              <w:rPr>
                <w:rFonts w:ascii="Cambria Math" w:hAnsi="Cambria Math"/>
                <w:lang w:val="en-US"/>
              </w:rPr>
              <w:t>=</w:t>
            </w:r>
            <w:r w:rsidRPr="009D3012">
              <w:rPr>
                <w:lang w:val="en-US"/>
              </w:rPr>
              <w:t> </w:t>
            </w:r>
            <w:r w:rsidRPr="009D3012">
              <w:rPr>
                <w:rStyle w:val="CCMCvariableitalic"/>
                <w:lang w:val="en-US"/>
              </w:rPr>
              <w:t>l</w:t>
            </w:r>
            <w:r w:rsidRPr="009D3012">
              <w:rPr>
                <w:rStyle w:val="CCMCvariablesubscript"/>
                <w:lang w:val="en-US"/>
              </w:rPr>
              <w:t>bd</w:t>
            </w:r>
            <w:r w:rsidRPr="009D3012">
              <w:rPr>
                <w:lang w:val="en-US"/>
              </w:rPr>
              <w:t> </w:t>
            </w:r>
            <w:r w:rsidR="00650035" w:rsidRPr="009D3012">
              <w:rPr>
                <w:rFonts w:ascii="Cambria Math" w:hAnsi="Cambria Math"/>
                <w:lang w:val="en-US"/>
              </w:rPr>
              <w:t>≥</w:t>
            </w:r>
            <w:r w:rsidR="00073FC6" w:rsidRPr="009D3012">
              <w:rPr>
                <w:lang w:val="en-US"/>
              </w:rPr>
              <w:t> </w:t>
            </w:r>
            <w:r w:rsidRPr="009D3012">
              <w:rPr>
                <w:lang w:val="en-US"/>
              </w:rPr>
              <w:t>15</w:t>
            </w:r>
            <w:r w:rsidRPr="001455DC">
              <w:rPr>
                <w:rStyle w:val="CCMCvariableitalic"/>
              </w:rPr>
              <w:t>ϕ</w:t>
            </w:r>
          </w:p>
          <w:p w14:paraId="22570AD6" w14:textId="591EB49E" w:rsidR="004E22C1" w:rsidRPr="009D3012" w:rsidRDefault="004E22C1" w:rsidP="00B25AB7">
            <w:pPr>
              <w:pStyle w:val="Tablebody"/>
              <w:keepNext/>
              <w:jc w:val="center"/>
              <w:rPr>
                <w:rStyle w:val="CCMCvariablesubscript"/>
                <w:lang w:val="en-US"/>
              </w:rPr>
            </w:pPr>
            <w:r w:rsidRPr="009D3012">
              <w:rPr>
                <w:lang w:val="en-US"/>
              </w:rPr>
              <w:t xml:space="preserve">where </w:t>
            </w:r>
            <w:r w:rsidRPr="009D3012">
              <w:rPr>
                <w:rStyle w:val="CCMCvariableitalic"/>
                <w:lang w:val="en-US"/>
              </w:rPr>
              <w:t>l</w:t>
            </w:r>
            <w:r w:rsidRPr="009D3012">
              <w:rPr>
                <w:rStyle w:val="CCMCvariablesubscript"/>
                <w:lang w:val="en-US"/>
              </w:rPr>
              <w:t>bd</w:t>
            </w:r>
            <w:r w:rsidRPr="009D3012">
              <w:rPr>
                <w:lang w:val="en-US"/>
              </w:rPr>
              <w:t xml:space="preserve"> is calculated according to 11.4.3,</w:t>
            </w:r>
            <w:r w:rsidR="00B25AB7" w:rsidRPr="009D3012">
              <w:rPr>
                <w:lang w:val="en-US"/>
              </w:rPr>
              <w:t xml:space="preserve"> </w:t>
            </w:r>
            <w:r w:rsidRPr="009D3012">
              <w:rPr>
                <w:lang w:val="en-US"/>
              </w:rPr>
              <w:t>see also 11.5.3</w:t>
            </w:r>
          </w:p>
        </w:tc>
        <w:tc>
          <w:tcPr>
            <w:tcW w:w="1559" w:type="dxa"/>
            <w:vAlign w:val="center"/>
          </w:tcPr>
          <w:p w14:paraId="00478857" w14:textId="77777777" w:rsidR="004E22C1" w:rsidRPr="009D3012" w:rsidRDefault="004E22C1" w:rsidP="00B25AB7">
            <w:pPr>
              <w:pStyle w:val="Tablebody"/>
              <w:keepNext/>
              <w:jc w:val="center"/>
              <w:rPr>
                <w:rStyle w:val="CCMCvariablesubscript"/>
              </w:rPr>
            </w:pPr>
            <w:r w:rsidRPr="009D3012">
              <w:t>–</w:t>
            </w:r>
          </w:p>
        </w:tc>
      </w:tr>
      <w:tr w:rsidR="004E22C1" w:rsidRPr="001455DC" w14:paraId="0E5803DD" w14:textId="77777777" w:rsidTr="008A4FE4">
        <w:tc>
          <w:tcPr>
            <w:tcW w:w="3369" w:type="dxa"/>
            <w:tcBorders>
              <w:top w:val="nil"/>
              <w:bottom w:val="nil"/>
            </w:tcBorders>
            <w:vAlign w:val="center"/>
          </w:tcPr>
          <w:p w14:paraId="4573C384" w14:textId="50361C47" w:rsidR="004E22C1" w:rsidRPr="009D3012" w:rsidRDefault="00723CF7" w:rsidP="00B25AB7">
            <w:pPr>
              <w:pStyle w:val="Tablebody"/>
              <w:keepNext/>
              <w:jc w:val="center"/>
              <w:rPr>
                <w:rStyle w:val="CCMCvariablesubscript"/>
              </w:rPr>
            </w:pPr>
            <w:r>
              <w:rPr>
                <w:noProof/>
                <w:vertAlign w:val="subscript"/>
                <w:lang w:eastAsia="en-GB"/>
              </w:rPr>
              <w:fldChar w:fldCharType="begin"/>
            </w:r>
            <w:r>
              <w:rPr>
                <w:noProof/>
                <w:vertAlign w:val="subscript"/>
                <w:lang w:val="en-GB" w:eastAsia="en-GB"/>
              </w:rPr>
              <w:instrText xml:space="preserve"> INCLUDEPICTURE  "Y:\\STD_MGT\\STDDEL\\PRODUCTION\\etrans\\Download\\Z_FIRST_DEL\\SV\\00250\\00250269\\41_e_dr\\t11_3_003.tif" \* MERGEFORMATINET </w:instrText>
            </w:r>
            <w:r>
              <w:rPr>
                <w:noProof/>
                <w:vertAlign w:val="subscript"/>
                <w:lang w:eastAsia="en-GB"/>
              </w:rPr>
              <w:fldChar w:fldCharType="separate"/>
            </w:r>
            <w:r w:rsidR="00FA575F">
              <w:rPr>
                <w:noProof/>
                <w:vertAlign w:val="subscript"/>
                <w:lang w:eastAsia="en-GB"/>
              </w:rPr>
              <w:fldChar w:fldCharType="begin"/>
            </w:r>
            <w:r w:rsidR="00FA575F">
              <w:rPr>
                <w:noProof/>
                <w:vertAlign w:val="subscript"/>
                <w:lang w:eastAsia="en-GB"/>
              </w:rPr>
              <w:instrText xml:space="preserve"> INCLUDEPICTURE  "Y:\\STD_MGT\\STDDEL\\PRODUCTION\\Standards\\00250\\269\\41_e_dr\\t11_3_003.tif" \* MERGEFORMATINET </w:instrText>
            </w:r>
            <w:r w:rsidR="00FA575F">
              <w:rPr>
                <w:noProof/>
                <w:vertAlign w:val="subscript"/>
                <w:lang w:eastAsia="en-GB"/>
              </w:rPr>
              <w:fldChar w:fldCharType="separate"/>
            </w:r>
            <w:r w:rsidR="00C54E80">
              <w:rPr>
                <w:noProof/>
                <w:vertAlign w:val="subscript"/>
                <w:lang w:eastAsia="en-GB"/>
              </w:rPr>
              <w:fldChar w:fldCharType="begin"/>
            </w:r>
            <w:r w:rsidR="00C54E80">
              <w:rPr>
                <w:noProof/>
                <w:vertAlign w:val="subscript"/>
                <w:lang w:eastAsia="en-GB"/>
              </w:rPr>
              <w:instrText xml:space="preserve"> INCLUDEPICTURE  "Y:\\STD_MGT\\STDDEL\\PRODUCTION\\Standards\\00250\\269\\41_e_dr\\t11_3_003.tif" \* MERGEFORMATINET </w:instrText>
            </w:r>
            <w:r w:rsidR="00C54E80">
              <w:rPr>
                <w:noProof/>
                <w:vertAlign w:val="subscript"/>
                <w:lang w:eastAsia="en-GB"/>
              </w:rPr>
              <w:fldChar w:fldCharType="separate"/>
            </w:r>
            <w:r w:rsidR="004B62E7">
              <w:rPr>
                <w:noProof/>
                <w:vertAlign w:val="subscript"/>
                <w:lang w:eastAsia="en-GB"/>
              </w:rPr>
              <w:fldChar w:fldCharType="begin"/>
            </w:r>
            <w:r w:rsidR="004B62E7">
              <w:rPr>
                <w:noProof/>
                <w:vertAlign w:val="subscript"/>
                <w:lang w:eastAsia="en-GB"/>
              </w:rPr>
              <w:instrText xml:space="preserve"> INCLUDEPICTURE  "Y:\\STD_MGT\\STDDEL\\PRODUCTION\\Standards\\00250\\269\\41_e_dr\\t11_3_003.tif" \* MERGEFORMATINET </w:instrText>
            </w:r>
            <w:r w:rsidR="004B62E7">
              <w:rPr>
                <w:noProof/>
                <w:vertAlign w:val="subscript"/>
                <w:lang w:eastAsia="en-GB"/>
              </w:rPr>
              <w:fldChar w:fldCharType="separate"/>
            </w:r>
            <w:r w:rsidR="00B078F1">
              <w:rPr>
                <w:noProof/>
                <w:vertAlign w:val="subscript"/>
                <w:lang w:eastAsia="en-GB"/>
              </w:rPr>
              <w:fldChar w:fldCharType="begin"/>
            </w:r>
            <w:r w:rsidR="00B078F1">
              <w:rPr>
                <w:noProof/>
                <w:vertAlign w:val="subscript"/>
                <w:lang w:eastAsia="en-GB"/>
              </w:rPr>
              <w:instrText xml:space="preserve"> INCLUDEPICTURE  "Y:\\STD_MGT\\STDDEL\\PRODUCTION\\Standards\\00250\\269\\41_e_dr\\t11_3_003.tif" \* MERGEFORMATINET </w:instrText>
            </w:r>
            <w:r w:rsidR="00B078F1">
              <w:rPr>
                <w:noProof/>
                <w:vertAlign w:val="subscript"/>
                <w:lang w:eastAsia="en-GB"/>
              </w:rPr>
              <w:fldChar w:fldCharType="separate"/>
            </w:r>
            <w:r w:rsidR="000250B6">
              <w:rPr>
                <w:noProof/>
                <w:vertAlign w:val="subscript"/>
                <w:lang w:eastAsia="en-GB"/>
              </w:rPr>
              <w:fldChar w:fldCharType="begin"/>
            </w:r>
            <w:r w:rsidR="000250B6">
              <w:rPr>
                <w:noProof/>
                <w:vertAlign w:val="subscript"/>
                <w:lang w:eastAsia="en-GB"/>
              </w:rPr>
              <w:instrText xml:space="preserve"> INCLUDEPICTURE  "Y:\\STD_MGT\\STDDEL\\PRODUCTION\\Standards\\00250\\269\\41_e_dr\\t11_3_003.tif" \* MERGEFORMATINET </w:instrText>
            </w:r>
            <w:r w:rsidR="000250B6">
              <w:rPr>
                <w:noProof/>
                <w:vertAlign w:val="subscript"/>
                <w:lang w:eastAsia="en-GB"/>
              </w:rPr>
              <w:fldChar w:fldCharType="separate"/>
            </w:r>
            <w:r w:rsidR="00231E33">
              <w:rPr>
                <w:noProof/>
                <w:vertAlign w:val="subscript"/>
                <w:lang w:eastAsia="en-GB"/>
              </w:rPr>
              <w:fldChar w:fldCharType="begin"/>
            </w:r>
            <w:r w:rsidR="00231E33">
              <w:rPr>
                <w:noProof/>
                <w:vertAlign w:val="subscript"/>
                <w:lang w:eastAsia="en-GB"/>
              </w:rPr>
              <w:instrText xml:space="preserve"> </w:instrText>
            </w:r>
            <w:r w:rsidR="00231E33">
              <w:rPr>
                <w:noProof/>
                <w:vertAlign w:val="subscript"/>
                <w:lang w:eastAsia="en-GB"/>
              </w:rPr>
              <w:instrText>INCLUDEPICTURE  "C:\\Users\\a.dionysiou\\AppData\\Local\\Temp\\Temp1_00250269_e_20210902.zip.zip\\41_e_dr\\t11_3_003.tif" \* MERGEFORMATINET</w:instrText>
            </w:r>
            <w:r w:rsidR="00231E33">
              <w:rPr>
                <w:noProof/>
                <w:vertAlign w:val="subscript"/>
                <w:lang w:eastAsia="en-GB"/>
              </w:rPr>
              <w:instrText xml:space="preserve"> </w:instrText>
            </w:r>
            <w:r w:rsidR="00231E33">
              <w:rPr>
                <w:noProof/>
                <w:vertAlign w:val="subscript"/>
                <w:lang w:eastAsia="en-GB"/>
              </w:rPr>
              <w:fldChar w:fldCharType="separate"/>
            </w:r>
            <w:r w:rsidR="00231E33">
              <w:rPr>
                <w:noProof/>
                <w:vertAlign w:val="subscript"/>
                <w:lang w:eastAsia="en-GB"/>
              </w:rPr>
              <w:pict w14:anchorId="53E058B1">
                <v:shape id="_x0000_i1243" type="#_x0000_t75" style="width:174pt;height:72.75pt">
                  <v:imagedata r:id="rId456" r:href="rId457"/>
                </v:shape>
              </w:pict>
            </w:r>
            <w:r w:rsidR="00231E33">
              <w:rPr>
                <w:noProof/>
                <w:vertAlign w:val="subscript"/>
                <w:lang w:val="en-GB" w:eastAsia="en-GB"/>
              </w:rPr>
              <w:fldChar w:fldCharType="end"/>
            </w:r>
            <w:r w:rsidR="000250B6">
              <w:rPr>
                <w:noProof/>
                <w:vertAlign w:val="subscript"/>
                <w:lang w:eastAsia="en-GB"/>
              </w:rPr>
              <w:fldChar w:fldCharType="end"/>
            </w:r>
            <w:r w:rsidR="00B078F1">
              <w:rPr>
                <w:noProof/>
                <w:vertAlign w:val="subscript"/>
                <w:lang w:eastAsia="en-GB"/>
              </w:rPr>
              <w:fldChar w:fldCharType="end"/>
            </w:r>
            <w:r w:rsidR="004B62E7">
              <w:rPr>
                <w:noProof/>
                <w:vertAlign w:val="subscript"/>
                <w:lang w:eastAsia="en-GB"/>
              </w:rPr>
              <w:fldChar w:fldCharType="end"/>
            </w:r>
            <w:r w:rsidR="00C54E80">
              <w:rPr>
                <w:noProof/>
                <w:vertAlign w:val="subscript"/>
                <w:lang w:eastAsia="en-GB"/>
              </w:rPr>
              <w:fldChar w:fldCharType="end"/>
            </w:r>
            <w:r w:rsidR="00FA575F">
              <w:rPr>
                <w:noProof/>
                <w:vertAlign w:val="subscript"/>
                <w:lang w:eastAsia="en-GB"/>
              </w:rPr>
              <w:fldChar w:fldCharType="end"/>
            </w:r>
            <w:r>
              <w:rPr>
                <w:noProof/>
                <w:vertAlign w:val="subscript"/>
                <w:lang w:eastAsia="en-GB"/>
              </w:rPr>
              <w:fldChar w:fldCharType="end"/>
            </w:r>
          </w:p>
        </w:tc>
        <w:tc>
          <w:tcPr>
            <w:tcW w:w="1476" w:type="dxa"/>
            <w:vAlign w:val="center"/>
          </w:tcPr>
          <w:p w14:paraId="052087B5" w14:textId="77777777" w:rsidR="004E22C1" w:rsidRPr="001455DC" w:rsidRDefault="004E22C1" w:rsidP="00B25AB7">
            <w:pPr>
              <w:pStyle w:val="Tablebody"/>
              <w:keepNext/>
              <w:jc w:val="left"/>
            </w:pPr>
            <w:r w:rsidRPr="009D3012">
              <w:t>loops (tension only)</w:t>
            </w:r>
          </w:p>
        </w:tc>
        <w:tc>
          <w:tcPr>
            <w:tcW w:w="1984" w:type="dxa"/>
            <w:vAlign w:val="center"/>
          </w:tcPr>
          <w:p w14:paraId="4C02DBAF" w14:textId="77777777" w:rsidR="004E22C1" w:rsidRPr="009D3012" w:rsidRDefault="004E22C1" w:rsidP="00B25AB7">
            <w:pPr>
              <w:pStyle w:val="Tablebody"/>
              <w:keepNext/>
              <w:jc w:val="center"/>
              <w:rPr>
                <w:lang w:val="en-US"/>
              </w:rPr>
            </w:pPr>
            <w:r w:rsidRPr="009D3012">
              <w:rPr>
                <w:rStyle w:val="CCMCvariableitalic"/>
                <w:lang w:val="en-US"/>
              </w:rPr>
              <w:t>l</w:t>
            </w:r>
            <w:r w:rsidRPr="009D3012">
              <w:rPr>
                <w:rStyle w:val="CCMCvariablesubscript"/>
                <w:lang w:val="en-US"/>
              </w:rPr>
              <w:t>sd</w:t>
            </w:r>
            <w:r w:rsidRPr="009D3012">
              <w:rPr>
                <w:lang w:val="en-US"/>
              </w:rPr>
              <w:t xml:space="preserve"> is calculated according to 11.5.4, with the limit</w:t>
            </w:r>
          </w:p>
          <w:p w14:paraId="24B29381" w14:textId="13279D9B" w:rsidR="004E22C1" w:rsidRPr="009D3012" w:rsidRDefault="004E22C1" w:rsidP="00B25AB7">
            <w:pPr>
              <w:pStyle w:val="Tablebody"/>
              <w:keepNext/>
              <w:jc w:val="center"/>
              <w:rPr>
                <w:rStyle w:val="CCMCvariablesubscript"/>
              </w:rPr>
            </w:pPr>
            <w:r w:rsidRPr="001455DC">
              <w:rPr>
                <w:rStyle w:val="CCMCvariableitalic"/>
              </w:rPr>
              <w:t>l</w:t>
            </w:r>
            <w:r w:rsidRPr="001455DC">
              <w:rPr>
                <w:rStyle w:val="CCMCvariablesubscript"/>
              </w:rPr>
              <w:t>sd</w:t>
            </w:r>
            <w:r w:rsidRPr="001455DC">
              <w:t> </w:t>
            </w:r>
            <w:r w:rsidR="00650035" w:rsidRPr="001455DC">
              <w:rPr>
                <w:rFonts w:ascii="Cambria Math" w:hAnsi="Cambria Math"/>
              </w:rPr>
              <w:t>≥</w:t>
            </w:r>
            <w:r w:rsidR="00073FC6" w:rsidRPr="001455DC">
              <w:t> </w:t>
            </w:r>
            <w:r w:rsidRPr="001455DC">
              <w:rPr>
                <w:rStyle w:val="CCMCvariableitalic"/>
              </w:rPr>
              <w:t>ϕ</w:t>
            </w:r>
            <w:r w:rsidRPr="001455DC">
              <w:rPr>
                <w:rStyle w:val="CCMCvariablesubscript"/>
              </w:rPr>
              <w:t>mand</w:t>
            </w:r>
            <w:r w:rsidR="00EC27D2" w:rsidRPr="001455DC">
              <w:rPr>
                <w:rFonts w:ascii="Cambria Math" w:hAnsi="Cambria Math"/>
              </w:rPr>
              <w:t> + </w:t>
            </w:r>
            <w:r w:rsidRPr="001455DC">
              <w:t>4</w:t>
            </w:r>
            <w:r w:rsidRPr="001455DC">
              <w:rPr>
                <w:rStyle w:val="CCMCvariableitalic"/>
              </w:rPr>
              <w:t>ϕ</w:t>
            </w:r>
          </w:p>
        </w:tc>
        <w:tc>
          <w:tcPr>
            <w:tcW w:w="1559" w:type="dxa"/>
            <w:vAlign w:val="center"/>
          </w:tcPr>
          <w:p w14:paraId="71D187EA" w14:textId="77777777" w:rsidR="004E22C1" w:rsidRPr="009D3012" w:rsidRDefault="004E22C1" w:rsidP="00B25AB7">
            <w:pPr>
              <w:pStyle w:val="Tablebody"/>
              <w:keepNext/>
              <w:jc w:val="center"/>
              <w:rPr>
                <w:rStyle w:val="CCMCvariablesubscript"/>
              </w:rPr>
            </w:pPr>
            <w:r w:rsidRPr="009D3012">
              <w:t>–</w:t>
            </w:r>
          </w:p>
        </w:tc>
      </w:tr>
      <w:tr w:rsidR="004E22C1" w:rsidRPr="001455DC" w14:paraId="5FC87924" w14:textId="77777777" w:rsidTr="008A4FE4">
        <w:tc>
          <w:tcPr>
            <w:tcW w:w="3369" w:type="dxa"/>
            <w:tcBorders>
              <w:top w:val="nil"/>
              <w:bottom w:val="nil"/>
            </w:tcBorders>
            <w:vAlign w:val="center"/>
          </w:tcPr>
          <w:p w14:paraId="6198DF78" w14:textId="3FEDA2D3" w:rsidR="004E22C1" w:rsidRPr="009D3012" w:rsidRDefault="00723CF7" w:rsidP="00B25AB7">
            <w:pPr>
              <w:pStyle w:val="Tablebody"/>
              <w:keepNext/>
              <w:jc w:val="center"/>
              <w:rPr>
                <w:rStyle w:val="CCMCvariablesubscript"/>
              </w:rPr>
            </w:pPr>
            <w:r>
              <w:rPr>
                <w:noProof/>
                <w:vertAlign w:val="subscript"/>
                <w:lang w:eastAsia="en-GB"/>
              </w:rPr>
              <w:fldChar w:fldCharType="begin"/>
            </w:r>
            <w:r>
              <w:rPr>
                <w:noProof/>
                <w:vertAlign w:val="subscript"/>
                <w:lang w:val="en-GB" w:eastAsia="en-GB"/>
              </w:rPr>
              <w:instrText xml:space="preserve"> INCLUDEPICTURE  "Y:\\STD_MGT\\STDDEL\\PRODUCTION\\etrans\\Download\\Z_FIRST_DEL\\SV\\00250\\00250269\\41_e_dr\\t11_3_004.tif" \* MERGEFORMATINET </w:instrText>
            </w:r>
            <w:r>
              <w:rPr>
                <w:noProof/>
                <w:vertAlign w:val="subscript"/>
                <w:lang w:eastAsia="en-GB"/>
              </w:rPr>
              <w:fldChar w:fldCharType="separate"/>
            </w:r>
            <w:r w:rsidR="00FA575F">
              <w:rPr>
                <w:noProof/>
                <w:vertAlign w:val="subscript"/>
                <w:lang w:eastAsia="en-GB"/>
              </w:rPr>
              <w:fldChar w:fldCharType="begin"/>
            </w:r>
            <w:r w:rsidR="00FA575F">
              <w:rPr>
                <w:noProof/>
                <w:vertAlign w:val="subscript"/>
                <w:lang w:eastAsia="en-GB"/>
              </w:rPr>
              <w:instrText xml:space="preserve"> INCLUDEPICTURE  "Y:\\STD_MGT\\STDDEL\\PRODUCTION\\Standards\\00250\\269\\41_e_dr\\t11_3_004.tif" \* MERGEFORMATINET </w:instrText>
            </w:r>
            <w:r w:rsidR="00FA575F">
              <w:rPr>
                <w:noProof/>
                <w:vertAlign w:val="subscript"/>
                <w:lang w:eastAsia="en-GB"/>
              </w:rPr>
              <w:fldChar w:fldCharType="separate"/>
            </w:r>
            <w:r w:rsidR="00C54E80">
              <w:rPr>
                <w:noProof/>
                <w:vertAlign w:val="subscript"/>
                <w:lang w:eastAsia="en-GB"/>
              </w:rPr>
              <w:fldChar w:fldCharType="begin"/>
            </w:r>
            <w:r w:rsidR="00C54E80">
              <w:rPr>
                <w:noProof/>
                <w:vertAlign w:val="subscript"/>
                <w:lang w:eastAsia="en-GB"/>
              </w:rPr>
              <w:instrText xml:space="preserve"> INCLUDEPICTURE  "Y:\\STD_MGT\\STDDEL\\PRODUCTION\\Standards\\00250\\269\\41_e_dr\\t11_3_004.tif" \* MERGEFORMATINET </w:instrText>
            </w:r>
            <w:r w:rsidR="00C54E80">
              <w:rPr>
                <w:noProof/>
                <w:vertAlign w:val="subscript"/>
                <w:lang w:eastAsia="en-GB"/>
              </w:rPr>
              <w:fldChar w:fldCharType="separate"/>
            </w:r>
            <w:r w:rsidR="004B62E7">
              <w:rPr>
                <w:noProof/>
                <w:vertAlign w:val="subscript"/>
                <w:lang w:eastAsia="en-GB"/>
              </w:rPr>
              <w:fldChar w:fldCharType="begin"/>
            </w:r>
            <w:r w:rsidR="004B62E7">
              <w:rPr>
                <w:noProof/>
                <w:vertAlign w:val="subscript"/>
                <w:lang w:eastAsia="en-GB"/>
              </w:rPr>
              <w:instrText xml:space="preserve"> INCLUDEPICTURE  "Y:\\STD_MGT\\STDDEL\\PRODUCTION\\Standards\\00250\\269\\41_e_dr\\t11_3_004.tif" \* MERGEFORMATINET </w:instrText>
            </w:r>
            <w:r w:rsidR="004B62E7">
              <w:rPr>
                <w:noProof/>
                <w:vertAlign w:val="subscript"/>
                <w:lang w:eastAsia="en-GB"/>
              </w:rPr>
              <w:fldChar w:fldCharType="separate"/>
            </w:r>
            <w:r w:rsidR="00B078F1">
              <w:rPr>
                <w:noProof/>
                <w:vertAlign w:val="subscript"/>
                <w:lang w:eastAsia="en-GB"/>
              </w:rPr>
              <w:fldChar w:fldCharType="begin"/>
            </w:r>
            <w:r w:rsidR="00B078F1">
              <w:rPr>
                <w:noProof/>
                <w:vertAlign w:val="subscript"/>
                <w:lang w:eastAsia="en-GB"/>
              </w:rPr>
              <w:instrText xml:space="preserve"> INCLUDEPICTURE  "Y:\\STD_MGT\\STDDEL\\PRODUCTION\\Standards\\00250\\269\\41_e_dr\\t11_3_004.tif" \* MERGEFORMATINET </w:instrText>
            </w:r>
            <w:r w:rsidR="00B078F1">
              <w:rPr>
                <w:noProof/>
                <w:vertAlign w:val="subscript"/>
                <w:lang w:eastAsia="en-GB"/>
              </w:rPr>
              <w:fldChar w:fldCharType="separate"/>
            </w:r>
            <w:r w:rsidR="000250B6">
              <w:rPr>
                <w:noProof/>
                <w:vertAlign w:val="subscript"/>
                <w:lang w:eastAsia="en-GB"/>
              </w:rPr>
              <w:fldChar w:fldCharType="begin"/>
            </w:r>
            <w:r w:rsidR="000250B6">
              <w:rPr>
                <w:noProof/>
                <w:vertAlign w:val="subscript"/>
                <w:lang w:eastAsia="en-GB"/>
              </w:rPr>
              <w:instrText xml:space="preserve"> INCLUDEPICTURE  "Y:\\STD_MGT\\STDDEL\\PRODUCTION\\Standards\\00250\\269\\41_e_dr\\t11_3_004.tif" \* MERGEFORMATINET </w:instrText>
            </w:r>
            <w:r w:rsidR="000250B6">
              <w:rPr>
                <w:noProof/>
                <w:vertAlign w:val="subscript"/>
                <w:lang w:eastAsia="en-GB"/>
              </w:rPr>
              <w:fldChar w:fldCharType="separate"/>
            </w:r>
            <w:r w:rsidR="00231E33">
              <w:rPr>
                <w:noProof/>
                <w:vertAlign w:val="subscript"/>
                <w:lang w:eastAsia="en-GB"/>
              </w:rPr>
              <w:fldChar w:fldCharType="begin"/>
            </w:r>
            <w:r w:rsidR="00231E33">
              <w:rPr>
                <w:noProof/>
                <w:vertAlign w:val="subscript"/>
                <w:lang w:eastAsia="en-GB"/>
              </w:rPr>
              <w:instrText xml:space="preserve"> </w:instrText>
            </w:r>
            <w:r w:rsidR="00231E33">
              <w:rPr>
                <w:noProof/>
                <w:vertAlign w:val="subscript"/>
                <w:lang w:eastAsia="en-GB"/>
              </w:rPr>
              <w:instrText>INCLUDEPICTURE  "C:\\Users\\a.di</w:instrText>
            </w:r>
            <w:r w:rsidR="00231E33">
              <w:rPr>
                <w:noProof/>
                <w:vertAlign w:val="subscript"/>
                <w:lang w:eastAsia="en-GB"/>
              </w:rPr>
              <w:instrText>onysiou\\AppData\\Local\\Temp\\Temp1_00250269_e_20210902.zip.zip\\41_e_dr\\t11_3_004.tif" \* MERGEFORMATINET</w:instrText>
            </w:r>
            <w:r w:rsidR="00231E33">
              <w:rPr>
                <w:noProof/>
                <w:vertAlign w:val="subscript"/>
                <w:lang w:eastAsia="en-GB"/>
              </w:rPr>
              <w:instrText xml:space="preserve"> </w:instrText>
            </w:r>
            <w:r w:rsidR="00231E33">
              <w:rPr>
                <w:noProof/>
                <w:vertAlign w:val="subscript"/>
                <w:lang w:eastAsia="en-GB"/>
              </w:rPr>
              <w:fldChar w:fldCharType="separate"/>
            </w:r>
            <w:r w:rsidR="00231E33">
              <w:rPr>
                <w:noProof/>
                <w:vertAlign w:val="subscript"/>
                <w:lang w:eastAsia="en-GB"/>
              </w:rPr>
              <w:pict w14:anchorId="60B769F9">
                <v:shape id="_x0000_i1244" type="#_x0000_t75" style="width:136.5pt;height:53.25pt">
                  <v:imagedata r:id="rId458" r:href="rId459"/>
                </v:shape>
              </w:pict>
            </w:r>
            <w:r w:rsidR="00231E33">
              <w:rPr>
                <w:noProof/>
                <w:vertAlign w:val="subscript"/>
                <w:lang w:val="en-GB" w:eastAsia="en-GB"/>
              </w:rPr>
              <w:fldChar w:fldCharType="end"/>
            </w:r>
            <w:r w:rsidR="000250B6">
              <w:rPr>
                <w:noProof/>
                <w:vertAlign w:val="subscript"/>
                <w:lang w:eastAsia="en-GB"/>
              </w:rPr>
              <w:fldChar w:fldCharType="end"/>
            </w:r>
            <w:r w:rsidR="00B078F1">
              <w:rPr>
                <w:noProof/>
                <w:vertAlign w:val="subscript"/>
                <w:lang w:eastAsia="en-GB"/>
              </w:rPr>
              <w:fldChar w:fldCharType="end"/>
            </w:r>
            <w:r w:rsidR="004B62E7">
              <w:rPr>
                <w:noProof/>
                <w:vertAlign w:val="subscript"/>
                <w:lang w:eastAsia="en-GB"/>
              </w:rPr>
              <w:fldChar w:fldCharType="end"/>
            </w:r>
            <w:r w:rsidR="00C54E80">
              <w:rPr>
                <w:noProof/>
                <w:vertAlign w:val="subscript"/>
                <w:lang w:eastAsia="en-GB"/>
              </w:rPr>
              <w:fldChar w:fldCharType="end"/>
            </w:r>
            <w:r w:rsidR="00FA575F">
              <w:rPr>
                <w:noProof/>
                <w:vertAlign w:val="subscript"/>
                <w:lang w:eastAsia="en-GB"/>
              </w:rPr>
              <w:fldChar w:fldCharType="end"/>
            </w:r>
            <w:r>
              <w:rPr>
                <w:noProof/>
                <w:vertAlign w:val="subscript"/>
                <w:lang w:eastAsia="en-GB"/>
              </w:rPr>
              <w:fldChar w:fldCharType="end"/>
            </w:r>
          </w:p>
        </w:tc>
        <w:tc>
          <w:tcPr>
            <w:tcW w:w="1476" w:type="dxa"/>
            <w:vAlign w:val="center"/>
          </w:tcPr>
          <w:p w14:paraId="40C1E28C" w14:textId="77777777" w:rsidR="004E22C1" w:rsidRPr="001455DC" w:rsidRDefault="004E22C1" w:rsidP="00B25AB7">
            <w:pPr>
              <w:pStyle w:val="Tablebody"/>
              <w:keepNext/>
              <w:jc w:val="left"/>
            </w:pPr>
            <w:r w:rsidRPr="009D3012">
              <w:t>headed bars</w:t>
            </w:r>
          </w:p>
        </w:tc>
        <w:tc>
          <w:tcPr>
            <w:tcW w:w="3543" w:type="dxa"/>
            <w:gridSpan w:val="2"/>
            <w:vAlign w:val="center"/>
          </w:tcPr>
          <w:p w14:paraId="17C44645" w14:textId="7AF6B61C" w:rsidR="004E22C1" w:rsidRPr="009D3012" w:rsidRDefault="004E22C1" w:rsidP="00B25AB7">
            <w:pPr>
              <w:pStyle w:val="Tablebody"/>
              <w:keepNext/>
              <w:jc w:val="center"/>
              <w:rPr>
                <w:rStyle w:val="CCMCvariablesubscript"/>
                <w:lang w:val="en-US"/>
              </w:rPr>
            </w:pPr>
            <w:r w:rsidRPr="009D3012">
              <w:rPr>
                <w:rStyle w:val="CCMCvariableitalic"/>
                <w:lang w:val="en-US"/>
              </w:rPr>
              <w:t>l</w:t>
            </w:r>
            <w:r w:rsidRPr="009D3012">
              <w:rPr>
                <w:rStyle w:val="CCMCvariablesubscript"/>
                <w:lang w:val="en-US"/>
              </w:rPr>
              <w:t>sd</w:t>
            </w:r>
            <w:r w:rsidRPr="009D3012">
              <w:rPr>
                <w:lang w:val="en-US"/>
              </w:rPr>
              <w:t xml:space="preserve"> is calculated</w:t>
            </w:r>
            <w:r w:rsidR="00B25AB7" w:rsidRPr="009D3012">
              <w:rPr>
                <w:lang w:val="en-US"/>
              </w:rPr>
              <w:t xml:space="preserve"> </w:t>
            </w:r>
            <w:r w:rsidRPr="009D3012">
              <w:rPr>
                <w:lang w:val="en-US"/>
              </w:rPr>
              <w:t>according to 11.5.5</w:t>
            </w:r>
          </w:p>
        </w:tc>
      </w:tr>
      <w:tr w:rsidR="004E22C1" w:rsidRPr="001455DC" w14:paraId="2534BF0F" w14:textId="77777777" w:rsidTr="008A4FE4">
        <w:tc>
          <w:tcPr>
            <w:tcW w:w="3369" w:type="dxa"/>
            <w:tcBorders>
              <w:top w:val="nil"/>
              <w:bottom w:val="nil"/>
              <w:right w:val="single" w:sz="4" w:space="0" w:color="auto"/>
            </w:tcBorders>
            <w:vAlign w:val="center"/>
          </w:tcPr>
          <w:p w14:paraId="28DC3D23" w14:textId="16874374" w:rsidR="004E22C1" w:rsidRPr="009D3012" w:rsidRDefault="00723CF7" w:rsidP="00B25AB7">
            <w:pPr>
              <w:pStyle w:val="Tablebody"/>
              <w:keepNext/>
              <w:jc w:val="center"/>
              <w:rPr>
                <w:rStyle w:val="CCMCvariablesubscript"/>
                <w:lang w:val="en-US"/>
              </w:rPr>
            </w:pPr>
            <w:r>
              <w:rPr>
                <w:noProof/>
                <w:vertAlign w:val="subscript"/>
                <w:lang w:eastAsia="en-GB"/>
              </w:rPr>
              <w:fldChar w:fldCharType="begin"/>
            </w:r>
            <w:r>
              <w:rPr>
                <w:noProof/>
                <w:vertAlign w:val="subscript"/>
                <w:lang w:val="en-GB" w:eastAsia="en-GB"/>
              </w:rPr>
              <w:instrText xml:space="preserve"> INCLUDEPICTURE  "Y:\\STD_MGT\\STDDEL\\PRODUCTION\\etrans\\Download\\Z_FIRST_DEL\\SV\\00250\\00250269\\41_e_dr\\t11_3_005.tif" \* MERGEFORMATINET </w:instrText>
            </w:r>
            <w:r>
              <w:rPr>
                <w:noProof/>
                <w:vertAlign w:val="subscript"/>
                <w:lang w:eastAsia="en-GB"/>
              </w:rPr>
              <w:fldChar w:fldCharType="separate"/>
            </w:r>
            <w:r w:rsidR="00FA575F">
              <w:rPr>
                <w:noProof/>
                <w:vertAlign w:val="subscript"/>
                <w:lang w:eastAsia="en-GB"/>
              </w:rPr>
              <w:fldChar w:fldCharType="begin"/>
            </w:r>
            <w:r w:rsidR="00FA575F">
              <w:rPr>
                <w:noProof/>
                <w:vertAlign w:val="subscript"/>
                <w:lang w:eastAsia="en-GB"/>
              </w:rPr>
              <w:instrText xml:space="preserve"> INCLUDEPICTURE  "Y:\\STD_MGT\\STDDEL\\PRODUCTION\\Standards\\00250\\269\\41_e_dr\\t11_3_005.tif" \* MERGEFORMATINET </w:instrText>
            </w:r>
            <w:r w:rsidR="00FA575F">
              <w:rPr>
                <w:noProof/>
                <w:vertAlign w:val="subscript"/>
                <w:lang w:eastAsia="en-GB"/>
              </w:rPr>
              <w:fldChar w:fldCharType="separate"/>
            </w:r>
            <w:r w:rsidR="00C54E80">
              <w:rPr>
                <w:noProof/>
                <w:vertAlign w:val="subscript"/>
                <w:lang w:eastAsia="en-GB"/>
              </w:rPr>
              <w:fldChar w:fldCharType="begin"/>
            </w:r>
            <w:r w:rsidR="00C54E80">
              <w:rPr>
                <w:noProof/>
                <w:vertAlign w:val="subscript"/>
                <w:lang w:eastAsia="en-GB"/>
              </w:rPr>
              <w:instrText xml:space="preserve"> INCLUDEPICTURE  "Y:\\STD_MGT\\STDDEL\\PRODUCTION\\Standards\\00250\\269\\41_e_dr\\t11_3_005.tif" \* MERGEFORMATINET </w:instrText>
            </w:r>
            <w:r w:rsidR="00C54E80">
              <w:rPr>
                <w:noProof/>
                <w:vertAlign w:val="subscript"/>
                <w:lang w:eastAsia="en-GB"/>
              </w:rPr>
              <w:fldChar w:fldCharType="separate"/>
            </w:r>
            <w:r w:rsidR="004B62E7">
              <w:rPr>
                <w:noProof/>
                <w:vertAlign w:val="subscript"/>
                <w:lang w:eastAsia="en-GB"/>
              </w:rPr>
              <w:fldChar w:fldCharType="begin"/>
            </w:r>
            <w:r w:rsidR="004B62E7">
              <w:rPr>
                <w:noProof/>
                <w:vertAlign w:val="subscript"/>
                <w:lang w:eastAsia="en-GB"/>
              </w:rPr>
              <w:instrText xml:space="preserve"> INCLUDEPICTURE  "Y:\\STD_MGT\\STDDEL\\PRODUCTION\\Standards\\00250\\269\\41_e_dr\\t11_3_005.tif" \* MERGEFORMATINET </w:instrText>
            </w:r>
            <w:r w:rsidR="004B62E7">
              <w:rPr>
                <w:noProof/>
                <w:vertAlign w:val="subscript"/>
                <w:lang w:eastAsia="en-GB"/>
              </w:rPr>
              <w:fldChar w:fldCharType="separate"/>
            </w:r>
            <w:r w:rsidR="00B078F1">
              <w:rPr>
                <w:noProof/>
                <w:vertAlign w:val="subscript"/>
                <w:lang w:eastAsia="en-GB"/>
              </w:rPr>
              <w:fldChar w:fldCharType="begin"/>
            </w:r>
            <w:r w:rsidR="00B078F1">
              <w:rPr>
                <w:noProof/>
                <w:vertAlign w:val="subscript"/>
                <w:lang w:eastAsia="en-GB"/>
              </w:rPr>
              <w:instrText xml:space="preserve"> INCLUDEPICTURE  "Y:\\STD_MGT\\STDDEL\\PRODUCTION\\Standards\\00250\\269\\41_e_dr\\t11_3_005.tif" \* MERGEFORMATINET </w:instrText>
            </w:r>
            <w:r w:rsidR="00B078F1">
              <w:rPr>
                <w:noProof/>
                <w:vertAlign w:val="subscript"/>
                <w:lang w:eastAsia="en-GB"/>
              </w:rPr>
              <w:fldChar w:fldCharType="separate"/>
            </w:r>
            <w:r w:rsidR="000250B6">
              <w:rPr>
                <w:noProof/>
                <w:vertAlign w:val="subscript"/>
                <w:lang w:eastAsia="en-GB"/>
              </w:rPr>
              <w:fldChar w:fldCharType="begin"/>
            </w:r>
            <w:r w:rsidR="000250B6">
              <w:rPr>
                <w:noProof/>
                <w:vertAlign w:val="subscript"/>
                <w:lang w:eastAsia="en-GB"/>
              </w:rPr>
              <w:instrText xml:space="preserve"> INCLUDEPICTURE  "Y:\\STD_MGT\\STDDEL\\PRODUCTION\\Standards\\00250\\269\\41_e_dr\\t11_3_005.tif" \* MERGEFORMATINET </w:instrText>
            </w:r>
            <w:r w:rsidR="000250B6">
              <w:rPr>
                <w:noProof/>
                <w:vertAlign w:val="subscript"/>
                <w:lang w:eastAsia="en-GB"/>
              </w:rPr>
              <w:fldChar w:fldCharType="separate"/>
            </w:r>
            <w:r w:rsidR="00231E33">
              <w:rPr>
                <w:noProof/>
                <w:vertAlign w:val="subscript"/>
                <w:lang w:eastAsia="en-GB"/>
              </w:rPr>
              <w:fldChar w:fldCharType="begin"/>
            </w:r>
            <w:r w:rsidR="00231E33">
              <w:rPr>
                <w:noProof/>
                <w:vertAlign w:val="subscript"/>
                <w:lang w:eastAsia="en-GB"/>
              </w:rPr>
              <w:instrText xml:space="preserve"> </w:instrText>
            </w:r>
            <w:r w:rsidR="00231E33">
              <w:rPr>
                <w:noProof/>
                <w:vertAlign w:val="subscript"/>
                <w:lang w:eastAsia="en-GB"/>
              </w:rPr>
              <w:instrText>INCLUDEPICTURE  "C:\\Users\\a.dionysiou\\AppData\\Local\\Temp\\Temp1_00250269_e_20210902.zip.zip\\41_e_dr\\t11_3_005.tif" \* MERGEFORMATINET</w:instrText>
            </w:r>
            <w:r w:rsidR="00231E33">
              <w:rPr>
                <w:noProof/>
                <w:vertAlign w:val="subscript"/>
                <w:lang w:eastAsia="en-GB"/>
              </w:rPr>
              <w:instrText xml:space="preserve"> </w:instrText>
            </w:r>
            <w:r w:rsidR="00231E33">
              <w:rPr>
                <w:noProof/>
                <w:vertAlign w:val="subscript"/>
                <w:lang w:eastAsia="en-GB"/>
              </w:rPr>
              <w:fldChar w:fldCharType="separate"/>
            </w:r>
            <w:r w:rsidR="00231E33">
              <w:rPr>
                <w:noProof/>
                <w:vertAlign w:val="subscript"/>
                <w:lang w:eastAsia="en-GB"/>
              </w:rPr>
              <w:pict w14:anchorId="77694FF8">
                <v:shape id="_x0000_i1245" type="#_x0000_t75" style="width:189pt;height:43.5pt">
                  <v:imagedata r:id="rId460" r:href="rId461"/>
                </v:shape>
              </w:pict>
            </w:r>
            <w:r w:rsidR="00231E33">
              <w:rPr>
                <w:noProof/>
                <w:vertAlign w:val="subscript"/>
                <w:lang w:val="en-GB" w:eastAsia="en-GB"/>
              </w:rPr>
              <w:fldChar w:fldCharType="end"/>
            </w:r>
            <w:r w:rsidR="000250B6">
              <w:rPr>
                <w:noProof/>
                <w:vertAlign w:val="subscript"/>
                <w:lang w:eastAsia="en-GB"/>
              </w:rPr>
              <w:fldChar w:fldCharType="end"/>
            </w:r>
            <w:r w:rsidR="00B078F1">
              <w:rPr>
                <w:noProof/>
                <w:vertAlign w:val="subscript"/>
                <w:lang w:eastAsia="en-GB"/>
              </w:rPr>
              <w:fldChar w:fldCharType="end"/>
            </w:r>
            <w:r w:rsidR="004B62E7">
              <w:rPr>
                <w:noProof/>
                <w:vertAlign w:val="subscript"/>
                <w:lang w:eastAsia="en-GB"/>
              </w:rPr>
              <w:fldChar w:fldCharType="end"/>
            </w:r>
            <w:r w:rsidR="00C54E80">
              <w:rPr>
                <w:noProof/>
                <w:vertAlign w:val="subscript"/>
                <w:lang w:eastAsia="en-GB"/>
              </w:rPr>
              <w:fldChar w:fldCharType="end"/>
            </w:r>
            <w:r w:rsidR="00FA575F">
              <w:rPr>
                <w:noProof/>
                <w:vertAlign w:val="subscript"/>
                <w:lang w:eastAsia="en-GB"/>
              </w:rPr>
              <w:fldChar w:fldCharType="end"/>
            </w:r>
            <w:r>
              <w:rPr>
                <w:noProof/>
                <w:vertAlign w:val="subscript"/>
                <w:lang w:eastAsia="en-GB"/>
              </w:rPr>
              <w:fldChar w:fldCharType="end"/>
            </w:r>
          </w:p>
        </w:tc>
        <w:tc>
          <w:tcPr>
            <w:tcW w:w="1476" w:type="dxa"/>
            <w:tcBorders>
              <w:left w:val="single" w:sz="4" w:space="0" w:color="auto"/>
            </w:tcBorders>
            <w:vAlign w:val="center"/>
          </w:tcPr>
          <w:p w14:paraId="24222023" w14:textId="77777777" w:rsidR="004E22C1" w:rsidRPr="009D3012" w:rsidRDefault="004E22C1" w:rsidP="00B25AB7">
            <w:pPr>
              <w:pStyle w:val="Tablebody"/>
              <w:keepNext/>
              <w:jc w:val="left"/>
              <w:rPr>
                <w:rStyle w:val="CCMCvariablesubscript"/>
              </w:rPr>
            </w:pPr>
            <w:r w:rsidRPr="009D3012">
              <w:t>intermeshed fabric</w:t>
            </w:r>
          </w:p>
        </w:tc>
        <w:tc>
          <w:tcPr>
            <w:tcW w:w="3543" w:type="dxa"/>
            <w:gridSpan w:val="2"/>
            <w:vAlign w:val="center"/>
          </w:tcPr>
          <w:p w14:paraId="4C37AFF0" w14:textId="3AF2F177" w:rsidR="004E22C1" w:rsidRPr="001455DC" w:rsidRDefault="004E22C1" w:rsidP="00B25AB7">
            <w:pPr>
              <w:pStyle w:val="Tablebody"/>
              <w:keepNext/>
              <w:jc w:val="center"/>
            </w:pPr>
            <w:r w:rsidRPr="001455DC">
              <w:rPr>
                <w:rStyle w:val="CCMCvariableitalic"/>
              </w:rPr>
              <w:t>l</w:t>
            </w:r>
            <w:r w:rsidRPr="001455DC">
              <w:rPr>
                <w:rStyle w:val="CCMCvariablesubscript"/>
              </w:rPr>
              <w:t>sd</w:t>
            </w:r>
            <w:r w:rsidRPr="001455DC">
              <w:t> </w:t>
            </w:r>
            <w:r w:rsidR="00EC27D2" w:rsidRPr="001455DC">
              <w:rPr>
                <w:rFonts w:ascii="Cambria Math" w:hAnsi="Cambria Math"/>
              </w:rPr>
              <w:t>=</w:t>
            </w:r>
            <w:r w:rsidRPr="001455DC">
              <w:t> </w:t>
            </w:r>
            <w:r w:rsidRPr="001455DC">
              <w:rPr>
                <w:rStyle w:val="CCMCvariableitalic"/>
              </w:rPr>
              <w:t>l</w:t>
            </w:r>
            <w:r w:rsidRPr="001455DC">
              <w:rPr>
                <w:rStyle w:val="CCMCvariablesubscript"/>
              </w:rPr>
              <w:t>bd</w:t>
            </w:r>
            <w:r w:rsidRPr="001455DC">
              <w:t> </w:t>
            </w:r>
            <w:r w:rsidR="00650035" w:rsidRPr="001455DC">
              <w:rPr>
                <w:rFonts w:ascii="Cambria Math" w:hAnsi="Cambria Math"/>
              </w:rPr>
              <w:t>≥</w:t>
            </w:r>
            <w:r w:rsidR="00073FC6" w:rsidRPr="001455DC">
              <w:t> </w:t>
            </w:r>
            <w:r w:rsidRPr="001455DC">
              <w:t>max{15</w:t>
            </w:r>
            <w:r w:rsidRPr="001455DC">
              <w:rPr>
                <w:rStyle w:val="CCMCvariableitalic"/>
              </w:rPr>
              <w:t>ϕ</w:t>
            </w:r>
            <w:r w:rsidRPr="001455DC">
              <w:rPr>
                <w:iCs/>
              </w:rPr>
              <w:t>;</w:t>
            </w:r>
            <w:r w:rsidRPr="001455DC">
              <w:t xml:space="preserve"> 250 mm}</w:t>
            </w:r>
          </w:p>
          <w:p w14:paraId="3F25B8F1" w14:textId="0E98038A" w:rsidR="004E22C1" w:rsidRPr="009D3012" w:rsidRDefault="004E22C1" w:rsidP="00B25AB7">
            <w:pPr>
              <w:pStyle w:val="Tablebody"/>
              <w:keepNext/>
              <w:jc w:val="center"/>
              <w:rPr>
                <w:rStyle w:val="CCMCvariablesubscript"/>
                <w:lang w:val="en-US"/>
              </w:rPr>
            </w:pPr>
            <w:r w:rsidRPr="009D3012">
              <w:rPr>
                <w:lang w:val="en-US"/>
              </w:rPr>
              <w:t xml:space="preserve">where </w:t>
            </w:r>
            <w:r w:rsidRPr="009D3012">
              <w:rPr>
                <w:rStyle w:val="CCMCvariableitalic"/>
                <w:lang w:val="en-US"/>
              </w:rPr>
              <w:t>l</w:t>
            </w:r>
            <w:r w:rsidRPr="009D3012">
              <w:rPr>
                <w:rStyle w:val="CCMCvariablesubscript"/>
                <w:lang w:val="en-US"/>
              </w:rPr>
              <w:t>bd</w:t>
            </w:r>
            <w:r w:rsidRPr="009D3012">
              <w:rPr>
                <w:lang w:val="en-US"/>
              </w:rPr>
              <w:t xml:space="preserve"> is calculated</w:t>
            </w:r>
            <w:r w:rsidR="00B25AB7" w:rsidRPr="009D3012">
              <w:rPr>
                <w:lang w:val="en-US"/>
              </w:rPr>
              <w:t xml:space="preserve"> </w:t>
            </w:r>
            <w:r w:rsidRPr="009D3012">
              <w:rPr>
                <w:lang w:val="en-US"/>
              </w:rPr>
              <w:t>according to 11.4.5</w:t>
            </w:r>
          </w:p>
        </w:tc>
      </w:tr>
      <w:tr w:rsidR="004E22C1" w:rsidRPr="001455DC" w14:paraId="5911378B" w14:textId="77777777" w:rsidTr="008A4FE4">
        <w:tc>
          <w:tcPr>
            <w:tcW w:w="3369" w:type="dxa"/>
            <w:tcBorders>
              <w:top w:val="nil"/>
              <w:bottom w:val="nil"/>
              <w:right w:val="single" w:sz="4" w:space="0" w:color="auto"/>
            </w:tcBorders>
            <w:vAlign w:val="center"/>
          </w:tcPr>
          <w:p w14:paraId="73925D31" w14:textId="782240D0" w:rsidR="004E22C1" w:rsidRPr="009D3012" w:rsidRDefault="00723CF7" w:rsidP="00B25AB7">
            <w:pPr>
              <w:pStyle w:val="Tablebody"/>
              <w:keepNext/>
              <w:jc w:val="center"/>
              <w:rPr>
                <w:rStyle w:val="CCMCvariablesubscript"/>
                <w:lang w:val="en-US"/>
              </w:rPr>
            </w:pPr>
            <w:r>
              <w:rPr>
                <w:noProof/>
                <w:vertAlign w:val="subscript"/>
                <w:lang w:eastAsia="en-GB"/>
              </w:rPr>
              <w:fldChar w:fldCharType="begin"/>
            </w:r>
            <w:r>
              <w:rPr>
                <w:noProof/>
                <w:vertAlign w:val="subscript"/>
                <w:lang w:val="en-GB" w:eastAsia="en-GB"/>
              </w:rPr>
              <w:instrText xml:space="preserve"> INCLUDEPICTURE  "Y:\\STD_MGT\\STDDEL\\PRODUCTION\\etrans\\Download\\Z_FIRST_DEL\\SV\\00250\\00250269\\41_e_dr\\t11_3_006.tif" \* MERGEFORMATINET </w:instrText>
            </w:r>
            <w:r>
              <w:rPr>
                <w:noProof/>
                <w:vertAlign w:val="subscript"/>
                <w:lang w:eastAsia="en-GB"/>
              </w:rPr>
              <w:fldChar w:fldCharType="separate"/>
            </w:r>
            <w:r w:rsidR="00FA575F">
              <w:rPr>
                <w:noProof/>
                <w:vertAlign w:val="subscript"/>
                <w:lang w:eastAsia="en-GB"/>
              </w:rPr>
              <w:fldChar w:fldCharType="begin"/>
            </w:r>
            <w:r w:rsidR="00FA575F">
              <w:rPr>
                <w:noProof/>
                <w:vertAlign w:val="subscript"/>
                <w:lang w:eastAsia="en-GB"/>
              </w:rPr>
              <w:instrText xml:space="preserve"> INCLUDEPICTURE  "Y:\\STD_MGT\\STDDEL\\PRODUCTION\\Standards\\00250\\269\\41_e_dr\\t11_3_006.tif" \* MERGEFORMATINET </w:instrText>
            </w:r>
            <w:r w:rsidR="00FA575F">
              <w:rPr>
                <w:noProof/>
                <w:vertAlign w:val="subscript"/>
                <w:lang w:eastAsia="en-GB"/>
              </w:rPr>
              <w:fldChar w:fldCharType="separate"/>
            </w:r>
            <w:r w:rsidR="00C54E80">
              <w:rPr>
                <w:noProof/>
                <w:vertAlign w:val="subscript"/>
                <w:lang w:eastAsia="en-GB"/>
              </w:rPr>
              <w:fldChar w:fldCharType="begin"/>
            </w:r>
            <w:r w:rsidR="00C54E80">
              <w:rPr>
                <w:noProof/>
                <w:vertAlign w:val="subscript"/>
                <w:lang w:eastAsia="en-GB"/>
              </w:rPr>
              <w:instrText xml:space="preserve"> INCLUDEPICTURE  "Y:\\STD_MGT\\STDDEL\\PRODUCTION\\Standards\\00250\\269\\41_e_dr\\t11_3_006.tif" \* MERGEFORMATINET </w:instrText>
            </w:r>
            <w:r w:rsidR="00C54E80">
              <w:rPr>
                <w:noProof/>
                <w:vertAlign w:val="subscript"/>
                <w:lang w:eastAsia="en-GB"/>
              </w:rPr>
              <w:fldChar w:fldCharType="separate"/>
            </w:r>
            <w:r w:rsidR="004B62E7">
              <w:rPr>
                <w:noProof/>
                <w:vertAlign w:val="subscript"/>
                <w:lang w:eastAsia="en-GB"/>
              </w:rPr>
              <w:fldChar w:fldCharType="begin"/>
            </w:r>
            <w:r w:rsidR="004B62E7">
              <w:rPr>
                <w:noProof/>
                <w:vertAlign w:val="subscript"/>
                <w:lang w:eastAsia="en-GB"/>
              </w:rPr>
              <w:instrText xml:space="preserve"> INCLUDEPICTURE  "Y:\\STD_MGT\\STDDEL\\PRODUCTION\\Standards\\00250\\269\\41_e_dr\\t11_3_006.tif" \* MERGEFORMATINET </w:instrText>
            </w:r>
            <w:r w:rsidR="004B62E7">
              <w:rPr>
                <w:noProof/>
                <w:vertAlign w:val="subscript"/>
                <w:lang w:eastAsia="en-GB"/>
              </w:rPr>
              <w:fldChar w:fldCharType="separate"/>
            </w:r>
            <w:r w:rsidR="00B078F1">
              <w:rPr>
                <w:noProof/>
                <w:vertAlign w:val="subscript"/>
                <w:lang w:eastAsia="en-GB"/>
              </w:rPr>
              <w:fldChar w:fldCharType="begin"/>
            </w:r>
            <w:r w:rsidR="00B078F1">
              <w:rPr>
                <w:noProof/>
                <w:vertAlign w:val="subscript"/>
                <w:lang w:eastAsia="en-GB"/>
              </w:rPr>
              <w:instrText xml:space="preserve"> INCLUDEPICTURE  "Y:\\STD_MGT\\STDDEL\\PRODUCTION\\Standards\\00250\\269\\41_e_dr\\t11_3_006.tif" \* MERGEFORMATINET </w:instrText>
            </w:r>
            <w:r w:rsidR="00B078F1">
              <w:rPr>
                <w:noProof/>
                <w:vertAlign w:val="subscript"/>
                <w:lang w:eastAsia="en-GB"/>
              </w:rPr>
              <w:fldChar w:fldCharType="separate"/>
            </w:r>
            <w:r w:rsidR="000250B6">
              <w:rPr>
                <w:noProof/>
                <w:vertAlign w:val="subscript"/>
                <w:lang w:eastAsia="en-GB"/>
              </w:rPr>
              <w:fldChar w:fldCharType="begin"/>
            </w:r>
            <w:r w:rsidR="000250B6">
              <w:rPr>
                <w:noProof/>
                <w:vertAlign w:val="subscript"/>
                <w:lang w:eastAsia="en-GB"/>
              </w:rPr>
              <w:instrText xml:space="preserve"> INCLUDEPICTURE  "Y:\\STD_MGT\\STDDEL\\PRODUCTION\\Standards\\00250\\269\\41_e_dr\\t11_3_006.tif" \* MERGEFORMATINET </w:instrText>
            </w:r>
            <w:r w:rsidR="000250B6">
              <w:rPr>
                <w:noProof/>
                <w:vertAlign w:val="subscript"/>
                <w:lang w:eastAsia="en-GB"/>
              </w:rPr>
              <w:fldChar w:fldCharType="separate"/>
            </w:r>
            <w:r w:rsidR="00231E33">
              <w:rPr>
                <w:noProof/>
                <w:vertAlign w:val="subscript"/>
                <w:lang w:eastAsia="en-GB"/>
              </w:rPr>
              <w:fldChar w:fldCharType="begin"/>
            </w:r>
            <w:r w:rsidR="00231E33">
              <w:rPr>
                <w:noProof/>
                <w:vertAlign w:val="subscript"/>
                <w:lang w:eastAsia="en-GB"/>
              </w:rPr>
              <w:instrText xml:space="preserve"> </w:instrText>
            </w:r>
            <w:r w:rsidR="00231E33">
              <w:rPr>
                <w:noProof/>
                <w:vertAlign w:val="subscript"/>
                <w:lang w:eastAsia="en-GB"/>
              </w:rPr>
              <w:instrText>INCLUDEPICTURE  "C:\\Users\\</w:instrText>
            </w:r>
            <w:r w:rsidR="00231E33">
              <w:rPr>
                <w:noProof/>
                <w:vertAlign w:val="subscript"/>
                <w:lang w:eastAsia="en-GB"/>
              </w:rPr>
              <w:instrText>a.dionysiou\\AppData\\Local\\Temp\\Temp1_00250269_e_20210902.zip.zip\\41_e_dr\\t11_3_006.tif" \* MERGEFORMATINET</w:instrText>
            </w:r>
            <w:r w:rsidR="00231E33">
              <w:rPr>
                <w:noProof/>
                <w:vertAlign w:val="subscript"/>
                <w:lang w:eastAsia="en-GB"/>
              </w:rPr>
              <w:instrText xml:space="preserve"> </w:instrText>
            </w:r>
            <w:r w:rsidR="00231E33">
              <w:rPr>
                <w:noProof/>
                <w:vertAlign w:val="subscript"/>
                <w:lang w:eastAsia="en-GB"/>
              </w:rPr>
              <w:fldChar w:fldCharType="separate"/>
            </w:r>
            <w:r w:rsidR="00231E33">
              <w:rPr>
                <w:noProof/>
                <w:vertAlign w:val="subscript"/>
                <w:lang w:eastAsia="en-GB"/>
              </w:rPr>
              <w:pict w14:anchorId="1E2DC71F">
                <v:shape id="_x0000_i1246" type="#_x0000_t75" style="width:189pt;height:44.25pt">
                  <v:imagedata r:id="rId462" r:href="rId463"/>
                </v:shape>
              </w:pict>
            </w:r>
            <w:r w:rsidR="00231E33">
              <w:rPr>
                <w:noProof/>
                <w:vertAlign w:val="subscript"/>
                <w:lang w:val="en-GB" w:eastAsia="en-GB"/>
              </w:rPr>
              <w:fldChar w:fldCharType="end"/>
            </w:r>
            <w:r w:rsidR="000250B6">
              <w:rPr>
                <w:noProof/>
                <w:vertAlign w:val="subscript"/>
                <w:lang w:eastAsia="en-GB"/>
              </w:rPr>
              <w:fldChar w:fldCharType="end"/>
            </w:r>
            <w:r w:rsidR="00B078F1">
              <w:rPr>
                <w:noProof/>
                <w:vertAlign w:val="subscript"/>
                <w:lang w:eastAsia="en-GB"/>
              </w:rPr>
              <w:fldChar w:fldCharType="end"/>
            </w:r>
            <w:r w:rsidR="004B62E7">
              <w:rPr>
                <w:noProof/>
                <w:vertAlign w:val="subscript"/>
                <w:lang w:eastAsia="en-GB"/>
              </w:rPr>
              <w:fldChar w:fldCharType="end"/>
            </w:r>
            <w:r w:rsidR="00C54E80">
              <w:rPr>
                <w:noProof/>
                <w:vertAlign w:val="subscript"/>
                <w:lang w:eastAsia="en-GB"/>
              </w:rPr>
              <w:fldChar w:fldCharType="end"/>
            </w:r>
            <w:r w:rsidR="00FA575F">
              <w:rPr>
                <w:noProof/>
                <w:vertAlign w:val="subscript"/>
                <w:lang w:eastAsia="en-GB"/>
              </w:rPr>
              <w:fldChar w:fldCharType="end"/>
            </w:r>
            <w:r>
              <w:rPr>
                <w:noProof/>
                <w:vertAlign w:val="subscript"/>
                <w:lang w:eastAsia="en-GB"/>
              </w:rPr>
              <w:fldChar w:fldCharType="end"/>
            </w:r>
          </w:p>
        </w:tc>
        <w:tc>
          <w:tcPr>
            <w:tcW w:w="1476" w:type="dxa"/>
            <w:tcBorders>
              <w:left w:val="single" w:sz="4" w:space="0" w:color="auto"/>
            </w:tcBorders>
            <w:vAlign w:val="center"/>
          </w:tcPr>
          <w:p w14:paraId="510E0A39" w14:textId="77777777" w:rsidR="004E22C1" w:rsidRPr="009D3012" w:rsidRDefault="004E22C1" w:rsidP="00B25AB7">
            <w:pPr>
              <w:pStyle w:val="Tablebody"/>
              <w:keepNext/>
              <w:jc w:val="left"/>
              <w:rPr>
                <w:rStyle w:val="CCMCvariablesubscript"/>
              </w:rPr>
            </w:pPr>
            <w:r w:rsidRPr="009D3012">
              <w:t>layered fabric</w:t>
            </w:r>
          </w:p>
        </w:tc>
        <w:tc>
          <w:tcPr>
            <w:tcW w:w="3543" w:type="dxa"/>
            <w:gridSpan w:val="2"/>
            <w:vAlign w:val="center"/>
          </w:tcPr>
          <w:p w14:paraId="22AB1C6D" w14:textId="7531E359" w:rsidR="004E22C1" w:rsidRPr="009D3012" w:rsidRDefault="004E22C1" w:rsidP="00B25AB7">
            <w:pPr>
              <w:pStyle w:val="Tablebody"/>
              <w:keepNext/>
              <w:jc w:val="center"/>
              <w:rPr>
                <w:rStyle w:val="CCMCvariablesubscript"/>
              </w:rPr>
            </w:pPr>
            <w:r w:rsidRPr="001455DC">
              <w:rPr>
                <w:rStyle w:val="CCMCvariableitalic"/>
              </w:rPr>
              <w:t>l</w:t>
            </w:r>
            <w:r w:rsidRPr="001455DC">
              <w:rPr>
                <w:rStyle w:val="CCMCvariablesubscript"/>
              </w:rPr>
              <w:t>sd</w:t>
            </w:r>
            <w:r w:rsidRPr="001455DC">
              <w:t> </w:t>
            </w:r>
            <w:r w:rsidR="00EC27D2" w:rsidRPr="001455DC">
              <w:rPr>
                <w:rFonts w:ascii="Cambria Math" w:hAnsi="Cambria Math"/>
              </w:rPr>
              <w:t>=</w:t>
            </w:r>
            <w:r w:rsidRPr="001455DC">
              <w:t> </w:t>
            </w:r>
            <w:r w:rsidRPr="001455DC">
              <w:rPr>
                <w:rStyle w:val="CCMCvariableitalic"/>
              </w:rPr>
              <w:t>l</w:t>
            </w:r>
            <w:r w:rsidRPr="001455DC">
              <w:rPr>
                <w:rStyle w:val="CCMCvariablesubscript"/>
              </w:rPr>
              <w:t>bd</w:t>
            </w:r>
            <w:r w:rsidR="00EC27D2" w:rsidRPr="001455DC">
              <w:rPr>
                <w:rFonts w:ascii="Cambria Math" w:hAnsi="Cambria Math"/>
              </w:rPr>
              <w:t> + </w:t>
            </w:r>
            <w:r w:rsidRPr="001455DC">
              <w:t>2</w:t>
            </w:r>
            <w:r w:rsidRPr="001455DC">
              <w:rPr>
                <w:rStyle w:val="CCMCvariableitalic"/>
              </w:rPr>
              <w:t>ϕ</w:t>
            </w:r>
            <w:r w:rsidRPr="001455DC">
              <w:t> </w:t>
            </w:r>
            <w:r w:rsidR="00650035" w:rsidRPr="001455DC">
              <w:rPr>
                <w:rFonts w:ascii="Cambria Math" w:hAnsi="Cambria Math"/>
              </w:rPr>
              <w:t>≥</w:t>
            </w:r>
            <w:r w:rsidR="00073FC6" w:rsidRPr="001455DC">
              <w:t> </w:t>
            </w:r>
            <w:r w:rsidRPr="001455DC">
              <w:t>max{15</w:t>
            </w:r>
            <w:r w:rsidRPr="001455DC">
              <w:rPr>
                <w:rStyle w:val="CCMCvariableitalic"/>
              </w:rPr>
              <w:t>ϕ</w:t>
            </w:r>
            <w:r w:rsidRPr="001455DC">
              <w:rPr>
                <w:iCs/>
              </w:rPr>
              <w:t>;</w:t>
            </w:r>
            <w:r w:rsidRPr="001455DC">
              <w:t xml:space="preserve"> 250 mm}</w:t>
            </w:r>
          </w:p>
          <w:p w14:paraId="38B6D4DF" w14:textId="7BFEDFA9" w:rsidR="004E22C1" w:rsidRPr="009D3012" w:rsidRDefault="004E22C1" w:rsidP="00B25AB7">
            <w:pPr>
              <w:pStyle w:val="Tablebody"/>
              <w:keepNext/>
              <w:jc w:val="center"/>
              <w:rPr>
                <w:rStyle w:val="CCMCvariablesubscript"/>
                <w:lang w:val="en-US"/>
              </w:rPr>
            </w:pPr>
            <w:r w:rsidRPr="009D3012">
              <w:rPr>
                <w:lang w:val="en-US"/>
              </w:rPr>
              <w:t xml:space="preserve">where </w:t>
            </w:r>
            <w:r w:rsidRPr="009D3012">
              <w:rPr>
                <w:rStyle w:val="CCMCvariableitalic"/>
                <w:lang w:val="en-US"/>
              </w:rPr>
              <w:t>l</w:t>
            </w:r>
            <w:r w:rsidRPr="009D3012">
              <w:rPr>
                <w:rStyle w:val="CCMCvariablesubscript"/>
                <w:lang w:val="en-US"/>
              </w:rPr>
              <w:t>bd</w:t>
            </w:r>
            <w:r w:rsidRPr="009D3012">
              <w:rPr>
                <w:lang w:val="en-US"/>
              </w:rPr>
              <w:t xml:space="preserve"> is calculated</w:t>
            </w:r>
            <w:r w:rsidR="00B25AB7" w:rsidRPr="009D3012">
              <w:rPr>
                <w:lang w:val="en-US"/>
              </w:rPr>
              <w:t xml:space="preserve"> </w:t>
            </w:r>
            <w:r w:rsidRPr="009D3012">
              <w:rPr>
                <w:lang w:val="en-US"/>
              </w:rPr>
              <w:t>according to 11.4.5</w:t>
            </w:r>
          </w:p>
        </w:tc>
      </w:tr>
      <w:tr w:rsidR="004E22C1" w:rsidRPr="001455DC" w14:paraId="6B3CE1DA" w14:textId="77777777" w:rsidTr="008A4FE4">
        <w:tc>
          <w:tcPr>
            <w:tcW w:w="3369" w:type="dxa"/>
            <w:tcBorders>
              <w:top w:val="nil"/>
              <w:bottom w:val="single" w:sz="12" w:space="0" w:color="000000"/>
              <w:right w:val="single" w:sz="4" w:space="0" w:color="auto"/>
            </w:tcBorders>
            <w:vAlign w:val="center"/>
          </w:tcPr>
          <w:p w14:paraId="048CA2BF" w14:textId="65C763D8" w:rsidR="004E22C1" w:rsidRPr="009D3012" w:rsidRDefault="00723CF7" w:rsidP="00B25AB7">
            <w:pPr>
              <w:pStyle w:val="Tablebody"/>
              <w:jc w:val="center"/>
              <w:rPr>
                <w:rStyle w:val="CCMCvariablesubscript"/>
                <w:lang w:val="en-US"/>
              </w:rPr>
            </w:pPr>
            <w:r>
              <w:rPr>
                <w:noProof/>
                <w:vertAlign w:val="subscript"/>
                <w:lang w:eastAsia="en-GB"/>
              </w:rPr>
              <w:fldChar w:fldCharType="begin"/>
            </w:r>
            <w:r>
              <w:rPr>
                <w:noProof/>
                <w:vertAlign w:val="subscript"/>
                <w:lang w:val="en-GB" w:eastAsia="en-GB"/>
              </w:rPr>
              <w:instrText xml:space="preserve"> INCLUDEPICTURE  "Y:\\STD_MGT\\STDDEL\\PRODUCTION\\etrans\\Download\\Z_FIRST_DEL\\SV\\00250\\00250269\\41_e_dr\\t11_3_007.tif" \* MERGEFORMATINET </w:instrText>
            </w:r>
            <w:r>
              <w:rPr>
                <w:noProof/>
                <w:vertAlign w:val="subscript"/>
                <w:lang w:eastAsia="en-GB"/>
              </w:rPr>
              <w:fldChar w:fldCharType="separate"/>
            </w:r>
            <w:r w:rsidR="00FA575F">
              <w:rPr>
                <w:noProof/>
                <w:vertAlign w:val="subscript"/>
                <w:lang w:eastAsia="en-GB"/>
              </w:rPr>
              <w:fldChar w:fldCharType="begin"/>
            </w:r>
            <w:r w:rsidR="00FA575F">
              <w:rPr>
                <w:noProof/>
                <w:vertAlign w:val="subscript"/>
                <w:lang w:eastAsia="en-GB"/>
              </w:rPr>
              <w:instrText xml:space="preserve"> INCLUDEPICTURE  "Y:\\STD_MGT\\STDDEL\\PRODUCTION\\Standards\\00250\\269\\41_e_dr\\t11_3_007.tif" \* MERGEFORMATINET </w:instrText>
            </w:r>
            <w:r w:rsidR="00FA575F">
              <w:rPr>
                <w:noProof/>
                <w:vertAlign w:val="subscript"/>
                <w:lang w:eastAsia="en-GB"/>
              </w:rPr>
              <w:fldChar w:fldCharType="separate"/>
            </w:r>
            <w:r w:rsidR="00C54E80">
              <w:rPr>
                <w:noProof/>
                <w:vertAlign w:val="subscript"/>
                <w:lang w:eastAsia="en-GB"/>
              </w:rPr>
              <w:fldChar w:fldCharType="begin"/>
            </w:r>
            <w:r w:rsidR="00C54E80">
              <w:rPr>
                <w:noProof/>
                <w:vertAlign w:val="subscript"/>
                <w:lang w:eastAsia="en-GB"/>
              </w:rPr>
              <w:instrText xml:space="preserve"> INCLUDEPICTURE  "Y:\\STD_MGT\\STDDEL\\PRODUCTION\\Standards\\00250\\269\\41_e_dr\\t11_3_007.tif" \* MERGEFORMATINET </w:instrText>
            </w:r>
            <w:r w:rsidR="00C54E80">
              <w:rPr>
                <w:noProof/>
                <w:vertAlign w:val="subscript"/>
                <w:lang w:eastAsia="en-GB"/>
              </w:rPr>
              <w:fldChar w:fldCharType="separate"/>
            </w:r>
            <w:r w:rsidR="004B62E7">
              <w:rPr>
                <w:noProof/>
                <w:vertAlign w:val="subscript"/>
                <w:lang w:eastAsia="en-GB"/>
              </w:rPr>
              <w:fldChar w:fldCharType="begin"/>
            </w:r>
            <w:r w:rsidR="004B62E7">
              <w:rPr>
                <w:noProof/>
                <w:vertAlign w:val="subscript"/>
                <w:lang w:eastAsia="en-GB"/>
              </w:rPr>
              <w:instrText xml:space="preserve"> INCLUDEPICTURE  "Y:\\STD_MGT\\STDDEL\\PRODUCTION\\Standards\\00250\\269\\41_e_dr\\t11_3_007.tif" \* MERGEFORMATINET </w:instrText>
            </w:r>
            <w:r w:rsidR="004B62E7">
              <w:rPr>
                <w:noProof/>
                <w:vertAlign w:val="subscript"/>
                <w:lang w:eastAsia="en-GB"/>
              </w:rPr>
              <w:fldChar w:fldCharType="separate"/>
            </w:r>
            <w:r w:rsidR="00B078F1">
              <w:rPr>
                <w:noProof/>
                <w:vertAlign w:val="subscript"/>
                <w:lang w:eastAsia="en-GB"/>
              </w:rPr>
              <w:fldChar w:fldCharType="begin"/>
            </w:r>
            <w:r w:rsidR="00B078F1">
              <w:rPr>
                <w:noProof/>
                <w:vertAlign w:val="subscript"/>
                <w:lang w:eastAsia="en-GB"/>
              </w:rPr>
              <w:instrText xml:space="preserve"> INCLUDEPICTURE  "Y:\\STD_MGT\\STDDEL\\PRODUCTION\\Standards\\00250\\269\\41_e_dr\\t11_3_007.tif" \* MERGEFORMATINET </w:instrText>
            </w:r>
            <w:r w:rsidR="00B078F1">
              <w:rPr>
                <w:noProof/>
                <w:vertAlign w:val="subscript"/>
                <w:lang w:eastAsia="en-GB"/>
              </w:rPr>
              <w:fldChar w:fldCharType="separate"/>
            </w:r>
            <w:r w:rsidR="000250B6">
              <w:rPr>
                <w:noProof/>
                <w:vertAlign w:val="subscript"/>
                <w:lang w:eastAsia="en-GB"/>
              </w:rPr>
              <w:fldChar w:fldCharType="begin"/>
            </w:r>
            <w:r w:rsidR="000250B6">
              <w:rPr>
                <w:noProof/>
                <w:vertAlign w:val="subscript"/>
                <w:lang w:eastAsia="en-GB"/>
              </w:rPr>
              <w:instrText xml:space="preserve"> INCLUDEPICTURE  "Y:\\STD_MGT\\STDDEL\\PRODUCTION\\Standards\\00250\\269\\41_e_dr\\t11_3_007.tif" \* MERGEFORMATINET </w:instrText>
            </w:r>
            <w:r w:rsidR="000250B6">
              <w:rPr>
                <w:noProof/>
                <w:vertAlign w:val="subscript"/>
                <w:lang w:eastAsia="en-GB"/>
              </w:rPr>
              <w:fldChar w:fldCharType="separate"/>
            </w:r>
            <w:r w:rsidR="00231E33">
              <w:rPr>
                <w:noProof/>
                <w:vertAlign w:val="subscript"/>
                <w:lang w:eastAsia="en-GB"/>
              </w:rPr>
              <w:fldChar w:fldCharType="begin"/>
            </w:r>
            <w:r w:rsidR="00231E33">
              <w:rPr>
                <w:noProof/>
                <w:vertAlign w:val="subscript"/>
                <w:lang w:eastAsia="en-GB"/>
              </w:rPr>
              <w:instrText xml:space="preserve"> </w:instrText>
            </w:r>
            <w:r w:rsidR="00231E33">
              <w:rPr>
                <w:noProof/>
                <w:vertAlign w:val="subscript"/>
                <w:lang w:eastAsia="en-GB"/>
              </w:rPr>
              <w:instrText>INCLUDEPICTURE  "C:\\Users\\a.dionys</w:instrText>
            </w:r>
            <w:r w:rsidR="00231E33">
              <w:rPr>
                <w:noProof/>
                <w:vertAlign w:val="subscript"/>
                <w:lang w:eastAsia="en-GB"/>
              </w:rPr>
              <w:instrText>iou\\AppData\\Local\\Temp\\Temp1_00250269_e_20210902.zip.zip\\41_e_dr\\t11_3_007.tif" \* MERGEFORMATINET</w:instrText>
            </w:r>
            <w:r w:rsidR="00231E33">
              <w:rPr>
                <w:noProof/>
                <w:vertAlign w:val="subscript"/>
                <w:lang w:eastAsia="en-GB"/>
              </w:rPr>
              <w:instrText xml:space="preserve"> </w:instrText>
            </w:r>
            <w:r w:rsidR="00231E33">
              <w:rPr>
                <w:noProof/>
                <w:vertAlign w:val="subscript"/>
                <w:lang w:eastAsia="en-GB"/>
              </w:rPr>
              <w:fldChar w:fldCharType="separate"/>
            </w:r>
            <w:r w:rsidR="00231E33">
              <w:rPr>
                <w:noProof/>
                <w:vertAlign w:val="subscript"/>
                <w:lang w:eastAsia="en-GB"/>
              </w:rPr>
              <w:pict w14:anchorId="5D3CA4A3">
                <v:shape id="_x0000_i1247" type="#_x0000_t75" style="width:186.75pt;height:56.25pt">
                  <v:imagedata r:id="rId464" r:href="rId465"/>
                </v:shape>
              </w:pict>
            </w:r>
            <w:r w:rsidR="00231E33">
              <w:rPr>
                <w:noProof/>
                <w:vertAlign w:val="subscript"/>
                <w:lang w:val="en-GB" w:eastAsia="en-GB"/>
              </w:rPr>
              <w:fldChar w:fldCharType="end"/>
            </w:r>
            <w:r w:rsidR="000250B6">
              <w:rPr>
                <w:noProof/>
                <w:vertAlign w:val="subscript"/>
                <w:lang w:eastAsia="en-GB"/>
              </w:rPr>
              <w:fldChar w:fldCharType="end"/>
            </w:r>
            <w:r w:rsidR="00B078F1">
              <w:rPr>
                <w:noProof/>
                <w:vertAlign w:val="subscript"/>
                <w:lang w:eastAsia="en-GB"/>
              </w:rPr>
              <w:fldChar w:fldCharType="end"/>
            </w:r>
            <w:r w:rsidR="004B62E7">
              <w:rPr>
                <w:noProof/>
                <w:vertAlign w:val="subscript"/>
                <w:lang w:eastAsia="en-GB"/>
              </w:rPr>
              <w:fldChar w:fldCharType="end"/>
            </w:r>
            <w:r w:rsidR="00C54E80">
              <w:rPr>
                <w:noProof/>
                <w:vertAlign w:val="subscript"/>
                <w:lang w:eastAsia="en-GB"/>
              </w:rPr>
              <w:fldChar w:fldCharType="end"/>
            </w:r>
            <w:r w:rsidR="00FA575F">
              <w:rPr>
                <w:noProof/>
                <w:vertAlign w:val="subscript"/>
                <w:lang w:eastAsia="en-GB"/>
              </w:rPr>
              <w:fldChar w:fldCharType="end"/>
            </w:r>
            <w:r>
              <w:rPr>
                <w:noProof/>
                <w:vertAlign w:val="subscript"/>
                <w:lang w:eastAsia="en-GB"/>
              </w:rPr>
              <w:fldChar w:fldCharType="end"/>
            </w:r>
          </w:p>
        </w:tc>
        <w:tc>
          <w:tcPr>
            <w:tcW w:w="1476" w:type="dxa"/>
            <w:tcBorders>
              <w:left w:val="single" w:sz="4" w:space="0" w:color="auto"/>
            </w:tcBorders>
            <w:vAlign w:val="center"/>
          </w:tcPr>
          <w:p w14:paraId="224C254C" w14:textId="77777777" w:rsidR="004E22C1" w:rsidRPr="009D3012" w:rsidRDefault="004E22C1" w:rsidP="00B25AB7">
            <w:pPr>
              <w:pStyle w:val="Tablebody"/>
              <w:jc w:val="left"/>
              <w:rPr>
                <w:rStyle w:val="CCMCvariablesubscript"/>
              </w:rPr>
            </w:pPr>
            <w:r w:rsidRPr="009D3012">
              <w:t>bonded post-installed reinforcement</w:t>
            </w:r>
          </w:p>
        </w:tc>
        <w:tc>
          <w:tcPr>
            <w:tcW w:w="3543" w:type="dxa"/>
            <w:gridSpan w:val="2"/>
            <w:vAlign w:val="center"/>
          </w:tcPr>
          <w:p w14:paraId="5E3F9904" w14:textId="11921A05" w:rsidR="004E22C1" w:rsidRPr="001455DC" w:rsidRDefault="004E22C1" w:rsidP="00B25AB7">
            <w:pPr>
              <w:pStyle w:val="Tablebody"/>
              <w:jc w:val="center"/>
            </w:pPr>
            <w:r w:rsidRPr="001455DC">
              <w:rPr>
                <w:rStyle w:val="CCMCvariableitalic"/>
              </w:rPr>
              <w:t>l</w:t>
            </w:r>
            <w:r w:rsidRPr="001455DC">
              <w:rPr>
                <w:rStyle w:val="CCMCvariablesubscript"/>
              </w:rPr>
              <w:t>sd,pi</w:t>
            </w:r>
            <w:r w:rsidRPr="001455DC">
              <w:t> </w:t>
            </w:r>
            <w:r w:rsidR="00EC27D2" w:rsidRPr="001455DC">
              <w:rPr>
                <w:rFonts w:ascii="Cambria Math" w:hAnsi="Cambria Math"/>
              </w:rPr>
              <w:t>=</w:t>
            </w:r>
            <w:r w:rsidRPr="001455DC">
              <w:t> </w:t>
            </w:r>
            <w:r w:rsidRPr="001455DC">
              <w:rPr>
                <w:rStyle w:val="CCMCvariableitalic"/>
              </w:rPr>
              <w:t>l</w:t>
            </w:r>
            <w:r w:rsidRPr="001455DC">
              <w:rPr>
                <w:rStyle w:val="CCMCvariablesubscript"/>
              </w:rPr>
              <w:t>bd,pi</w:t>
            </w:r>
            <w:r w:rsidRPr="001455DC">
              <w:t> </w:t>
            </w:r>
            <w:r w:rsidR="00650035" w:rsidRPr="001455DC">
              <w:rPr>
                <w:rFonts w:ascii="Cambria Math" w:hAnsi="Cambria Math"/>
              </w:rPr>
              <w:t>≥</w:t>
            </w:r>
            <w:r w:rsidR="00073FC6" w:rsidRPr="001455DC">
              <w:t> </w:t>
            </w:r>
            <w:r w:rsidRPr="001455DC">
              <w:t>max{15</w:t>
            </w:r>
            <w:r w:rsidRPr="001455DC">
              <w:rPr>
                <w:rStyle w:val="CCMCvariableitalic"/>
              </w:rPr>
              <w:t>ϕ</w:t>
            </w:r>
            <w:r w:rsidRPr="001455DC">
              <w:rPr>
                <w:iCs/>
              </w:rPr>
              <w:t>;</w:t>
            </w:r>
            <w:r w:rsidRPr="001455DC">
              <w:t xml:space="preserve"> 250 mm}</w:t>
            </w:r>
          </w:p>
          <w:p w14:paraId="0DC21F71" w14:textId="72E5FB7F" w:rsidR="004E22C1" w:rsidRPr="009D3012" w:rsidRDefault="004E22C1" w:rsidP="00B25AB7">
            <w:pPr>
              <w:pStyle w:val="Tablebody"/>
              <w:jc w:val="center"/>
              <w:rPr>
                <w:rStyle w:val="CCMCvariablesubscript"/>
                <w:lang w:val="en-US"/>
              </w:rPr>
            </w:pPr>
            <w:r w:rsidRPr="009D3012">
              <w:rPr>
                <w:lang w:val="en-US"/>
              </w:rPr>
              <w:t xml:space="preserve">where </w:t>
            </w:r>
            <w:r w:rsidRPr="009D3012">
              <w:rPr>
                <w:rStyle w:val="CCMCvariableitalic"/>
                <w:lang w:val="en-US"/>
              </w:rPr>
              <w:t>l</w:t>
            </w:r>
            <w:r w:rsidRPr="009D3012">
              <w:rPr>
                <w:rStyle w:val="CCMCvariablesubscript"/>
                <w:lang w:val="en-US"/>
              </w:rPr>
              <w:t>bd,pi</w:t>
            </w:r>
            <w:r w:rsidRPr="009D3012">
              <w:rPr>
                <w:lang w:val="en-US"/>
              </w:rPr>
              <w:t xml:space="preserve"> is calculated</w:t>
            </w:r>
            <w:r w:rsidR="00B25AB7" w:rsidRPr="009D3012">
              <w:rPr>
                <w:lang w:val="en-US"/>
              </w:rPr>
              <w:t xml:space="preserve"> </w:t>
            </w:r>
            <w:r w:rsidRPr="009D3012">
              <w:rPr>
                <w:lang w:val="en-US"/>
              </w:rPr>
              <w:t>according to 11.4.8</w:t>
            </w:r>
          </w:p>
        </w:tc>
      </w:tr>
    </w:tbl>
    <w:p w14:paraId="19B1640E" w14:textId="77777777" w:rsidR="004E22C1" w:rsidRPr="001455DC" w:rsidRDefault="004E22C1" w:rsidP="00B25AB7">
      <w:pPr>
        <w:pStyle w:val="a7"/>
      </w:pPr>
    </w:p>
    <w:p w14:paraId="45582A4D" w14:textId="77777777" w:rsidR="004E22C1" w:rsidRPr="001455DC" w:rsidRDefault="004E22C1" w:rsidP="00B25AB7">
      <w:pPr>
        <w:pStyle w:val="a7"/>
      </w:pPr>
      <w:r w:rsidRPr="001455DC">
        <w:t>(8)</w:t>
      </w:r>
      <w:r w:rsidRPr="001455DC">
        <w:tab/>
        <w:t xml:space="preserve">The distance between lapped bars should be as small as possible, generally touch one another. In case the clear distance exceeds the smaller of </w:t>
      </w:r>
      <w:r w:rsidRPr="001455DC">
        <w:rPr>
          <w:szCs w:val="19"/>
        </w:rPr>
        <w:t>50 mm or 4</w:t>
      </w:r>
      <w:r w:rsidRPr="001455DC">
        <w:rPr>
          <w:rStyle w:val="CCMCvariableitalic"/>
        </w:rPr>
        <w:t>ϕ</w:t>
      </w:r>
      <w:r w:rsidRPr="001455DC">
        <w:rPr>
          <w:szCs w:val="19"/>
        </w:rPr>
        <w:t>,</w:t>
      </w:r>
      <w:r w:rsidRPr="001455DC">
        <w:t xml:space="preserve"> the design lap length shall be shifted by the axis distance and additional transverse forces due to the distance between lapped bars shall be resisted by adequate transverse reinforcement.</w:t>
      </w:r>
    </w:p>
    <w:p w14:paraId="625BB52C" w14:textId="6BFB568B" w:rsidR="004E22C1" w:rsidRPr="001455DC" w:rsidRDefault="004E22C1" w:rsidP="00B25AB7">
      <w:pPr>
        <w:pStyle w:val="a7"/>
      </w:pPr>
      <w:r w:rsidRPr="001455DC">
        <w:t>(9)</w:t>
      </w:r>
      <w:r w:rsidRPr="001455DC">
        <w:tab/>
        <w:t xml:space="preserve">Where confinement or transverse reinforcement in the lap zone is used to reduce the design lap length according to 11.4.2(5) and/or 11.5.2(2), at least 5 bars fulfilling the requirement of Figure 11.13a) or 11.13c) </w:t>
      </w:r>
      <w:r w:rsidR="00672A7C" w:rsidRPr="001455DC">
        <w:t xml:space="preserve">should </w:t>
      </w:r>
      <w:r w:rsidRPr="001455DC">
        <w:t>be distributed over the lap length, or alternatively, 3 bars over a length of 0,3</w:t>
      </w:r>
      <w:r w:rsidRPr="001455DC">
        <w:rPr>
          <w:rStyle w:val="CCMCvariableitalic"/>
        </w:rPr>
        <w:t>l</w:t>
      </w:r>
      <w:r w:rsidRPr="001455DC">
        <w:rPr>
          <w:rStyle w:val="CCMCvariablesubscript"/>
        </w:rPr>
        <w:t>sd</w:t>
      </w:r>
      <w:r w:rsidRPr="001455DC">
        <w:t xml:space="preserve"> at both ends of the lap according to Figure 11.12b) and 11.12d).</w:t>
      </w:r>
    </w:p>
    <w:p w14:paraId="734233B8" w14:textId="77777777" w:rsidR="004E22C1" w:rsidRPr="001455DC" w:rsidRDefault="004E22C1" w:rsidP="00B25AB7">
      <w:pPr>
        <w:pStyle w:val="a7"/>
        <w:rPr>
          <w:bCs/>
        </w:rPr>
      </w:pPr>
      <w:r w:rsidRPr="001455DC">
        <w:rPr>
          <w:bCs/>
        </w:rPr>
        <w:t xml:space="preserve">The minimum amount of confinement according to 11.5.2(4) should be dimensioned so that </w:t>
      </w:r>
      <w:r w:rsidRPr="001455DC">
        <w:rPr>
          <w:rStyle w:val="CCMCvariableitalic"/>
        </w:rPr>
        <w:t>c</w:t>
      </w:r>
      <w:r w:rsidRPr="001455DC">
        <w:rPr>
          <w:rStyle w:val="CCMCvariablesubscript"/>
        </w:rPr>
        <w:t>d,conf</w:t>
      </w:r>
      <w:r w:rsidRPr="001455DC">
        <w:rPr>
          <w:bCs/>
        </w:rPr>
        <w:t xml:space="preserve"> according to Formula (11.3) is not less than 3</w:t>
      </w:r>
      <w:r w:rsidRPr="001455DC">
        <w:rPr>
          <w:rStyle w:val="CCMCvariableitalic"/>
        </w:rPr>
        <w:t>ϕ</w:t>
      </w:r>
      <w:r w:rsidRPr="001455DC">
        <w:rPr>
          <w:bCs/>
        </w:rPr>
        <w:t>.</w:t>
      </w:r>
    </w:p>
    <w:p w14:paraId="4DC718C6" w14:textId="77777777" w:rsidR="004E22C1" w:rsidRPr="001455DC" w:rsidRDefault="004E22C1" w:rsidP="00B25AB7">
      <w:pPr>
        <w:pStyle w:val="a7"/>
      </w:pPr>
      <w:r w:rsidRPr="001455DC">
        <w:rPr>
          <w:bCs/>
        </w:rPr>
        <w:t>(10)</w:t>
      </w:r>
      <w:r w:rsidRPr="001455DC">
        <w:rPr>
          <w:bCs/>
        </w:rPr>
        <w:tab/>
      </w:r>
      <w:r w:rsidRPr="001455DC">
        <w:t>For compression laps, at least one transverse bar or confinement link should be placed at each end of the lap within a maximum of 50 mm or 2</w:t>
      </w:r>
      <w:r w:rsidRPr="001455DC">
        <w:rPr>
          <w:rStyle w:val="CCMCvariableitalic"/>
        </w:rPr>
        <w:t>ϕ</w:t>
      </w:r>
      <w:r w:rsidRPr="001455DC">
        <w:t xml:space="preserve"> of the ends of the lap where </w:t>
      </w:r>
      <w:r w:rsidRPr="001455DC">
        <w:rPr>
          <w:rStyle w:val="CCMCvariableitalic"/>
        </w:rPr>
        <w:t>ϕ</w:t>
      </w:r>
      <w:r w:rsidRPr="001455DC">
        <w:t xml:space="preserve"> </w:t>
      </w:r>
      <w:r w:rsidRPr="001455DC">
        <w:rPr>
          <w:iCs/>
        </w:rPr>
        <w:t>is the diam</w:t>
      </w:r>
      <w:r w:rsidRPr="001455DC">
        <w:t>eter of the smaller lapped bar. These bars or links may be one of the 5 or 3 bars under (9) above or additional, see Figure 11.12b) or 11.12d).</w:t>
      </w:r>
    </w:p>
    <w:tbl>
      <w:tblPr>
        <w:tblStyle w:val="a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6"/>
        <w:gridCol w:w="4876"/>
      </w:tblGrid>
      <w:tr w:rsidR="00C16B22" w:rsidRPr="001455DC" w14:paraId="3FD6CC6B" w14:textId="77777777" w:rsidTr="00C16B22">
        <w:trPr>
          <w:cantSplit/>
          <w:jc w:val="center"/>
        </w:trPr>
        <w:tc>
          <w:tcPr>
            <w:tcW w:w="9752" w:type="dxa"/>
            <w:gridSpan w:val="2"/>
            <w:vAlign w:val="center"/>
          </w:tcPr>
          <w:p w14:paraId="780DADF0" w14:textId="31369949" w:rsidR="00C16B22" w:rsidRPr="001455DC" w:rsidRDefault="00723CF7" w:rsidP="00F523AB">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"Y:\\STD_MGT\\STDDEL\\PRODUCTION\\etrans\\Download\\Z_FIRST_DEL\\SV\\00250\\00250269\\41_e_dr\\11_012.tif"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"Y:\\STD_MGT\\STDDEL\\PRODUCTION\\Standards\\00250\\269\\41_e_dr\\11_012.tif"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"Y:\\STD_MGT\\STDDEL\\PRODUCTION\\Standards\\00250\\269\\41_e_dr\\11_012.tif"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"Y:\\STD_MGT\\STDDEL\\PRODUCTION\\Standards\\00250\\269\\41_e_dr\\11_012.tif"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"Y:\\STD_MGT\\STDDEL\\PRODUCTION\\Standards\\00250\\269\\41_e_dr\\11_012.tif"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"Y:\\STD_MGT\\STDDEL\\PRODUCTION\\Standards\\00250\\269\\41_e_dr\\11_012.tif"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"C:\\Users\\a.dionysiou\\AppData\\Local\\Temp\\Temp1_00250269_e_20210902.zip.zip\\41_e_dr\\11_012.tif"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7A84D9C7">
                <v:shape id="_x0000_i1248" type="#_x0000_t75" style="width:233.25pt;height:141.75pt">
                  <v:imagedata r:id="rId466" r:href="rId467"/>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B25AB7" w:rsidRPr="000250B6" w14:paraId="0859A697" w14:textId="77777777" w:rsidTr="00F523AB">
        <w:trPr>
          <w:cantSplit/>
          <w:jc w:val="center"/>
        </w:trPr>
        <w:tc>
          <w:tcPr>
            <w:tcW w:w="4876" w:type="dxa"/>
            <w:vAlign w:val="center"/>
          </w:tcPr>
          <w:p w14:paraId="2E6D0501" w14:textId="328D2A83" w:rsidR="00B25AB7" w:rsidRPr="00795BE2" w:rsidRDefault="00B25AB7" w:rsidP="00F523AB">
            <w:pPr>
              <w:pStyle w:val="FigureText"/>
              <w:jc w:val="center"/>
              <w:rPr>
                <w:szCs w:val="22"/>
                <w:lang w:val="fr-FR"/>
              </w:rPr>
            </w:pPr>
            <w:r w:rsidRPr="009D3012">
              <w:rPr>
                <w:bCs/>
                <w:lang w:val="fr-FR"/>
              </w:rPr>
              <w:t>a) transverse reinforcement, tension laps</w:t>
            </w:r>
          </w:p>
        </w:tc>
        <w:tc>
          <w:tcPr>
            <w:tcW w:w="4876" w:type="dxa"/>
            <w:vAlign w:val="center"/>
          </w:tcPr>
          <w:p w14:paraId="2765D2ED" w14:textId="6592FCDE" w:rsidR="00B25AB7" w:rsidRPr="00795BE2" w:rsidRDefault="00B25AB7" w:rsidP="00F523AB">
            <w:pPr>
              <w:pStyle w:val="FigureText"/>
              <w:jc w:val="center"/>
              <w:rPr>
                <w:szCs w:val="22"/>
                <w:lang w:val="fr-FR"/>
              </w:rPr>
            </w:pPr>
            <w:r w:rsidRPr="009D3012">
              <w:rPr>
                <w:bCs/>
                <w:lang w:val="fr-FR"/>
              </w:rPr>
              <w:t>b) transverse reinforcement, compression laps</w:t>
            </w:r>
          </w:p>
        </w:tc>
      </w:tr>
      <w:tr w:rsidR="00040EBF" w:rsidRPr="000250B6" w14:paraId="5BE663EA" w14:textId="77777777" w:rsidTr="00F523AB">
        <w:trPr>
          <w:cantSplit/>
          <w:jc w:val="center"/>
        </w:trPr>
        <w:tc>
          <w:tcPr>
            <w:tcW w:w="4876" w:type="dxa"/>
            <w:vAlign w:val="center"/>
          </w:tcPr>
          <w:p w14:paraId="7A935FB6" w14:textId="1F11E1BA" w:rsidR="00040EBF" w:rsidRPr="009D3012" w:rsidRDefault="00040EBF" w:rsidP="00040EBF">
            <w:pPr>
              <w:pStyle w:val="FigureText"/>
              <w:jc w:val="center"/>
              <w:rPr>
                <w:noProof/>
                <w:lang w:val="fr-FR" w:eastAsia="de-DE"/>
              </w:rPr>
            </w:pPr>
            <w:r w:rsidRPr="009D3012">
              <w:rPr>
                <w:bCs/>
                <w:lang w:val="fr-FR"/>
              </w:rPr>
              <w:t>c) confinement reinforcement, tension laps</w:t>
            </w:r>
          </w:p>
        </w:tc>
        <w:tc>
          <w:tcPr>
            <w:tcW w:w="4876" w:type="dxa"/>
            <w:vAlign w:val="center"/>
          </w:tcPr>
          <w:p w14:paraId="02CBB4DE" w14:textId="29BF1D1F" w:rsidR="00040EBF" w:rsidRPr="009D3012" w:rsidRDefault="00040EBF" w:rsidP="00040EBF">
            <w:pPr>
              <w:pStyle w:val="FigureText"/>
              <w:jc w:val="center"/>
              <w:rPr>
                <w:noProof/>
                <w:lang w:val="fr-FR" w:eastAsia="de-DE"/>
              </w:rPr>
            </w:pPr>
            <w:r w:rsidRPr="009D3012">
              <w:rPr>
                <w:bCs/>
                <w:lang w:val="fr-FR"/>
              </w:rPr>
              <w:t>d) confinement reinforcement, compression laps</w:t>
            </w:r>
          </w:p>
        </w:tc>
      </w:tr>
    </w:tbl>
    <w:p w14:paraId="2E71A100" w14:textId="77777777" w:rsidR="0079403C" w:rsidRDefault="00795BE2" w:rsidP="0079403C">
      <w:pPr>
        <w:pStyle w:val="KeyTitle"/>
      </w:pPr>
      <w:r w:rsidRPr="0079403C">
        <w:t>Key</w:t>
      </w:r>
    </w:p>
    <w:tbl>
      <w:tblPr>
        <w:tblW w:w="0" w:type="auto"/>
        <w:tblInd w:w="-100" w:type="dxa"/>
        <w:tblCellMar>
          <w:left w:w="100" w:type="dxa"/>
        </w:tblCellMar>
        <w:tblLook w:val="0000" w:firstRow="0" w:lastRow="0" w:firstColumn="0" w:lastColumn="0" w:noHBand="0" w:noVBand="0"/>
      </w:tblPr>
      <w:tblGrid>
        <w:gridCol w:w="319"/>
        <w:gridCol w:w="2553"/>
      </w:tblGrid>
      <w:tr w:rsidR="0079403C" w:rsidRPr="0079403C" w14:paraId="692B300A" w14:textId="77777777" w:rsidTr="0079403C">
        <w:tc>
          <w:tcPr>
            <w:tcW w:w="0" w:type="auto"/>
            <w:shd w:val="clear" w:color="auto" w:fill="auto"/>
          </w:tcPr>
          <w:p w14:paraId="2CCAD6F5" w14:textId="77777777" w:rsidR="0079403C" w:rsidRPr="0079403C" w:rsidRDefault="0079403C" w:rsidP="0079403C">
            <w:pPr>
              <w:pStyle w:val="KeyText"/>
              <w:tabs>
                <w:tab w:val="clear" w:pos="346"/>
              </w:tabs>
              <w:ind w:left="0" w:firstLine="0"/>
            </w:pPr>
            <w:r w:rsidRPr="0079403C">
              <w:t>1</w:t>
            </w:r>
          </w:p>
        </w:tc>
        <w:tc>
          <w:tcPr>
            <w:tcW w:w="0" w:type="auto"/>
            <w:shd w:val="clear" w:color="auto" w:fill="auto"/>
          </w:tcPr>
          <w:p w14:paraId="7CA53690" w14:textId="77777777" w:rsidR="0079403C" w:rsidRPr="0079403C" w:rsidRDefault="0079403C" w:rsidP="0079403C">
            <w:pPr>
              <w:pStyle w:val="KeyText"/>
              <w:tabs>
                <w:tab w:val="clear" w:pos="346"/>
              </w:tabs>
              <w:ind w:left="0" w:firstLine="0"/>
            </w:pPr>
            <w:r w:rsidRPr="0079403C">
              <w:t>transverse reinforcement</w:t>
            </w:r>
          </w:p>
        </w:tc>
      </w:tr>
      <w:tr w:rsidR="0079403C" w:rsidRPr="0079403C" w14:paraId="65FED544" w14:textId="77777777" w:rsidTr="0079403C">
        <w:tc>
          <w:tcPr>
            <w:tcW w:w="0" w:type="auto"/>
            <w:shd w:val="clear" w:color="auto" w:fill="auto"/>
          </w:tcPr>
          <w:p w14:paraId="38DEE80B" w14:textId="77777777" w:rsidR="0079403C" w:rsidRPr="0079403C" w:rsidRDefault="0079403C" w:rsidP="0079403C">
            <w:pPr>
              <w:pStyle w:val="KeyText"/>
              <w:tabs>
                <w:tab w:val="clear" w:pos="346"/>
              </w:tabs>
              <w:ind w:left="0" w:firstLine="0"/>
            </w:pPr>
            <w:r w:rsidRPr="0079403C">
              <w:t>2</w:t>
            </w:r>
          </w:p>
        </w:tc>
        <w:tc>
          <w:tcPr>
            <w:tcW w:w="0" w:type="auto"/>
            <w:shd w:val="clear" w:color="auto" w:fill="auto"/>
          </w:tcPr>
          <w:p w14:paraId="5A78C3DD" w14:textId="77777777" w:rsidR="0079403C" w:rsidRPr="0079403C" w:rsidRDefault="0079403C" w:rsidP="0079403C">
            <w:pPr>
              <w:pStyle w:val="KeyText"/>
              <w:tabs>
                <w:tab w:val="clear" w:pos="346"/>
              </w:tabs>
              <w:ind w:left="0" w:firstLine="0"/>
            </w:pPr>
            <w:r w:rsidRPr="0079403C">
              <w:t>confinement reinforcement</w:t>
            </w:r>
          </w:p>
        </w:tc>
      </w:tr>
    </w:tbl>
    <w:p w14:paraId="38C5B9A1" w14:textId="35873CBA" w:rsidR="004E22C1" w:rsidRPr="001455DC" w:rsidRDefault="00B25AB7" w:rsidP="00B25AB7">
      <w:pPr>
        <w:pStyle w:val="Figuretitle"/>
      </w:pPr>
      <w:r w:rsidRPr="001455DC">
        <w:t>F</w:t>
      </w:r>
      <w:r w:rsidR="004E22C1" w:rsidRPr="001455DC">
        <w:t>igure 11.12 — Transverse and confinement reinforcement for lapped splices</w:t>
      </w:r>
    </w:p>
    <w:p w14:paraId="146F1F72" w14:textId="5184CF23" w:rsidR="004E22C1" w:rsidRPr="001455DC" w:rsidRDefault="004E22C1" w:rsidP="00243590">
      <w:pPr>
        <w:pStyle w:val="31"/>
      </w:pPr>
      <w:bookmarkStart w:id="844" w:name="_Toc52820042"/>
      <w:bookmarkStart w:id="845" w:name="_Toc54337442"/>
      <w:bookmarkStart w:id="846" w:name="_Toc54338098"/>
      <w:bookmarkStart w:id="847" w:name="_Toc67565442"/>
      <w:r w:rsidRPr="001455DC">
        <w:t>Laps of bundles</w:t>
      </w:r>
      <w:bookmarkEnd w:id="844"/>
      <w:bookmarkEnd w:id="845"/>
      <w:bookmarkEnd w:id="846"/>
      <w:bookmarkEnd w:id="847"/>
    </w:p>
    <w:p w14:paraId="0616169C" w14:textId="77777777" w:rsidR="004E22C1" w:rsidRPr="001455DC" w:rsidRDefault="004E22C1" w:rsidP="00B25AB7">
      <w:pPr>
        <w:pStyle w:val="a7"/>
      </w:pPr>
      <w:r w:rsidRPr="001455DC">
        <w:t>(1)</w:t>
      </w:r>
      <w:r w:rsidRPr="001455DC">
        <w:tab/>
        <w:t xml:space="preserve">In bundles consisting of two bars, lap splices may be used without staggering of individual bar interruptions as shown in Figure 11.13a). Design splice lengths may be calculated on the basis of 11.4.2 and with the equivalent bar diameter </w:t>
      </w:r>
      <w:r w:rsidRPr="001455DC">
        <w:rPr>
          <w:rStyle w:val="CCMCvariableitalic"/>
        </w:rPr>
        <w:t>ϕ</w:t>
      </w:r>
      <w:r w:rsidRPr="001455DC">
        <w:rPr>
          <w:rStyle w:val="CCMCvariablesubscript"/>
        </w:rPr>
        <w:t>b</w:t>
      </w:r>
      <w:r w:rsidRPr="001455DC">
        <w:t xml:space="preserve"> according to 11.4.2(9), where </w:t>
      </w:r>
      <w:r w:rsidRPr="001455DC">
        <w:rPr>
          <w:rStyle w:val="CCMCvariableitalic"/>
        </w:rPr>
        <w:t>A</w:t>
      </w:r>
      <w:r w:rsidRPr="001455DC">
        <w:rPr>
          <w:rStyle w:val="CCMCvariablesubscript"/>
        </w:rPr>
        <w:t>s</w:t>
      </w:r>
      <w:r w:rsidRPr="001455DC">
        <w:t xml:space="preserve"> is the total area of the two bars.</w:t>
      </w:r>
    </w:p>
    <w:p w14:paraId="186E0902" w14:textId="2434073D" w:rsidR="004E22C1" w:rsidRPr="001455DC" w:rsidRDefault="004E22C1" w:rsidP="00B25AB7">
      <w:pPr>
        <w:pStyle w:val="a7"/>
      </w:pPr>
      <w:r w:rsidRPr="001455DC">
        <w:t xml:space="preserve">For bundles which consist of three bars, lap splices without staggering of individual bar interruptions </w:t>
      </w:r>
      <w:r w:rsidR="009F6685" w:rsidRPr="001455DC">
        <w:t xml:space="preserve">shall </w:t>
      </w:r>
      <w:r w:rsidRPr="001455DC">
        <w:t>not be used.</w:t>
      </w:r>
    </w:p>
    <w:p w14:paraId="505C5D41" w14:textId="7F428567" w:rsidR="004E22C1" w:rsidRPr="001455DC" w:rsidRDefault="004E22C1" w:rsidP="00B25AB7">
      <w:pPr>
        <w:pStyle w:val="a7"/>
      </w:pPr>
      <w:r w:rsidRPr="001455DC">
        <w:t>(2)</w:t>
      </w:r>
      <w:r w:rsidRPr="001455DC">
        <w:tab/>
        <w:t xml:space="preserve">Design lap length </w:t>
      </w:r>
      <w:r w:rsidRPr="001455DC">
        <w:rPr>
          <w:rStyle w:val="CCMCvariableitalic"/>
        </w:rPr>
        <w:t>l</w:t>
      </w:r>
      <w:r w:rsidRPr="001455DC">
        <w:rPr>
          <w:rStyle w:val="CCMCvariablesubscript"/>
        </w:rPr>
        <w:t>sd</w:t>
      </w:r>
      <w:r w:rsidRPr="001455DC">
        <w:t xml:space="preserve"> of bundles with 2 or 3 bars may be calculated on the basis of the individual bar diameter</w:t>
      </w:r>
      <w:r w:rsidRPr="001455DC">
        <w:rPr>
          <w:rStyle w:val="CCMCvariableitalic"/>
        </w:rPr>
        <w:t>ϕ</w:t>
      </w:r>
      <w:r w:rsidRPr="001455DC">
        <w:t xml:space="preserve"> if laps are staggered with a gap between individual laps </w:t>
      </w:r>
      <w:r w:rsidR="00650035" w:rsidRPr="001455DC">
        <w:rPr>
          <w:rFonts w:ascii="Cambria Math" w:hAnsi="Cambria Math"/>
        </w:rPr>
        <w:t>≥</w:t>
      </w:r>
      <w:r w:rsidR="00073FC6" w:rsidRPr="001455DC">
        <w:t> </w:t>
      </w:r>
      <w:r w:rsidRPr="001455DC">
        <w:t>0,3</w:t>
      </w:r>
      <w:r w:rsidRPr="001455DC">
        <w:rPr>
          <w:rStyle w:val="CCMCvariableitalic"/>
        </w:rPr>
        <w:t>l</w:t>
      </w:r>
      <w:r w:rsidRPr="001455DC">
        <w:rPr>
          <w:rStyle w:val="CCMCvariablesubscript"/>
        </w:rPr>
        <w:t>sd</w:t>
      </w:r>
      <w:r w:rsidRPr="001455DC">
        <w:t xml:space="preserve"> according to Figure 11.13b) or with an additional bar as shown in Figure 11.13c).</w:t>
      </w:r>
    </w:p>
    <w:p w14:paraId="5F281407" w14:textId="151AF7C2" w:rsidR="008D5A5F" w:rsidRDefault="00723CF7" w:rsidP="008D5A5F">
      <w:pPr>
        <w:pStyle w:val="FigureText"/>
        <w:jc w:val="center"/>
      </w:pPr>
      <w:r>
        <w:rPr>
          <w:noProof/>
          <w:lang w:eastAsia="en-GB"/>
        </w:rPr>
        <w:fldChar w:fldCharType="begin"/>
      </w:r>
      <w:r>
        <w:rPr>
          <w:noProof/>
          <w:lang w:eastAsia="en-GB"/>
        </w:rPr>
        <w:instrText xml:space="preserve"> INCLUDEPICTURE  "Y:\\STD_MGT\\STDDEL\\PRODUCTION\\etrans\\Download\\Z_FIRST_DEL\\SV\\00250\\00250269\\41_e_dr\\11_013.tif"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"Y:\\STD_MGT\\STDDEL\\PRODUCTION\\Standards\\00250\\269\\41_e_dr\\11_013.tif"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"Y:\\STD_MGT\\STDDEL\\PRODUCTION\\Standards\\00250\\269\\41_e_dr\\11_013.tif"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"Y:\\STD_MGT\\STDDEL\\PRODUCTION\\Standards\\00250\\269\\41_e_dr\\11_013.tif"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"Y:\\STD_MGT\\STDDEL\\PRODUCTION\\Standards\\00250\\269\\41_e_dr\\11_013.tif"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"Y:\\STD_MGT\\STDDEL\\PRODUCTION\\Standards\\00250\\269\\41_e_dr\\11_013.tif"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"C:\\Users\\a.dionysiou\\AppData\\Local\\Temp\\Temp1_00250269_e_20210902.zip.zip\\41_e_dr\\11_013.tif" \* MER</w:instrText>
      </w:r>
      <w:r w:rsidR="00231E33">
        <w:rPr>
          <w:noProof/>
          <w:lang w:eastAsia="en-GB"/>
        </w:rPr>
        <w:instrText>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55A39BF5">
          <v:shape id="_x0000_i1249" type="#_x0000_t75" style="width:329.25pt;height:161.25pt">
            <v:imagedata r:id="rId468" r:href="rId469"/>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79750D9A" w14:textId="0D3C58D1" w:rsidR="004E22C1" w:rsidRPr="009D3012" w:rsidRDefault="004E22C1" w:rsidP="00B25AB7">
      <w:pPr>
        <w:pStyle w:val="FigureText"/>
      </w:pPr>
      <w:r w:rsidRPr="009D3012">
        <w:t>a) without staggering</w:t>
      </w:r>
    </w:p>
    <w:p w14:paraId="1A97C6B5" w14:textId="77777777" w:rsidR="004E22C1" w:rsidRPr="009D3012" w:rsidRDefault="004E22C1" w:rsidP="00B25AB7">
      <w:pPr>
        <w:pStyle w:val="FigureText"/>
      </w:pPr>
      <w:r w:rsidRPr="009D3012">
        <w:t>b) with staggering</w:t>
      </w:r>
    </w:p>
    <w:p w14:paraId="4BAEDE9A" w14:textId="77777777" w:rsidR="004E22C1" w:rsidRPr="009D3012" w:rsidRDefault="004E22C1" w:rsidP="00B25AB7">
      <w:pPr>
        <w:pStyle w:val="FigureText"/>
      </w:pPr>
      <w:r w:rsidRPr="009D3012">
        <w:t>c) with an additional bar</w:t>
      </w:r>
    </w:p>
    <w:p w14:paraId="0E9E936A" w14:textId="77777777" w:rsidR="004E22C1" w:rsidRPr="001455DC" w:rsidRDefault="004E22C1" w:rsidP="00B25AB7">
      <w:pPr>
        <w:pStyle w:val="Figuretitle"/>
      </w:pPr>
      <w:r w:rsidRPr="001455DC">
        <w:t>Figure 11.13 — Lap splices of bundles</w:t>
      </w:r>
    </w:p>
    <w:p w14:paraId="7489F856" w14:textId="77777777" w:rsidR="004E22C1" w:rsidRPr="001455DC" w:rsidRDefault="004E22C1" w:rsidP="00B25AB7">
      <w:pPr>
        <w:pStyle w:val="a7"/>
      </w:pPr>
      <w:r w:rsidRPr="001455DC">
        <w:rPr>
          <w:szCs w:val="22"/>
        </w:rPr>
        <w:t>(3)</w:t>
      </w:r>
      <w:r w:rsidRPr="001455DC">
        <w:rPr>
          <w:szCs w:val="22"/>
        </w:rPr>
        <w:tab/>
      </w:r>
      <w:r w:rsidRPr="001455DC">
        <w:t>Bundles which consist of 4 bars shall not be lapped.</w:t>
      </w:r>
    </w:p>
    <w:p w14:paraId="6C08E93C" w14:textId="02DAB868" w:rsidR="004E22C1" w:rsidRPr="001455DC" w:rsidRDefault="004E22C1" w:rsidP="00243590">
      <w:pPr>
        <w:pStyle w:val="31"/>
      </w:pPr>
      <w:bookmarkStart w:id="848" w:name="_Toc52820043"/>
      <w:bookmarkStart w:id="849" w:name="_Toc54337443"/>
      <w:bookmarkStart w:id="850" w:name="_Toc54338099"/>
      <w:bookmarkStart w:id="851" w:name="_Toc67565443"/>
      <w:r w:rsidRPr="001455DC">
        <w:t>Laps using U-bar loops</w:t>
      </w:r>
      <w:bookmarkEnd w:id="848"/>
      <w:bookmarkEnd w:id="849"/>
      <w:bookmarkEnd w:id="850"/>
      <w:bookmarkEnd w:id="851"/>
    </w:p>
    <w:p w14:paraId="2CE89583" w14:textId="71D1ADFF" w:rsidR="004E22C1" w:rsidRPr="001455DC" w:rsidRDefault="004E22C1" w:rsidP="00B25AB7">
      <w:pPr>
        <w:pStyle w:val="a7"/>
      </w:pPr>
      <w:r w:rsidRPr="001455DC">
        <w:t>(1)</w:t>
      </w:r>
      <w:r w:rsidRPr="001455DC">
        <w:tab/>
        <w:t xml:space="preserve">Transfer of tension between reinforcing steel bars may be achieved by overlapping U-bar loops (Figure 11.14). Overlapping U-bars may be single (Figure 11.14b)) or multiple (Figure 11.14c)) and both legs of each U-bar should be anchored outside the connection for the larger of the two design tension forces </w:t>
      </w:r>
      <w:r w:rsidRPr="001455DC">
        <w:rPr>
          <w:rStyle w:val="CCMCvariableitalic"/>
        </w:rPr>
        <w:t>T</w:t>
      </w:r>
      <w:r w:rsidRPr="001455DC">
        <w:rPr>
          <w:rStyle w:val="CCMCvariablesubscript"/>
        </w:rPr>
        <w:t>1</w:t>
      </w:r>
      <w:r w:rsidRPr="001455DC">
        <w:t xml:space="preserve"> and </w:t>
      </w:r>
      <w:r w:rsidRPr="001455DC">
        <w:rPr>
          <w:rStyle w:val="CCMCvariableitalic"/>
        </w:rPr>
        <w:t>T</w:t>
      </w:r>
      <w:r w:rsidRPr="001455DC">
        <w:rPr>
          <w:rStyle w:val="CCMCvariablesubscript"/>
        </w:rPr>
        <w:t>2</w:t>
      </w:r>
      <w:r w:rsidRPr="001455DC">
        <w:t xml:space="preserve"> (also when </w:t>
      </w:r>
      <w:r w:rsidRPr="001455DC">
        <w:rPr>
          <w:rStyle w:val="CCMCvariableitalic"/>
        </w:rPr>
        <w:t>T</w:t>
      </w:r>
      <w:r w:rsidRPr="001455DC">
        <w:rPr>
          <w:rStyle w:val="CCMCvariablesubscript"/>
        </w:rPr>
        <w:t>1</w:t>
      </w:r>
      <w:r w:rsidRPr="001455DC">
        <w:t xml:space="preserve"> or </w:t>
      </w:r>
      <w:r w:rsidRPr="001455DC">
        <w:rPr>
          <w:rStyle w:val="CCMCvariableitalic"/>
        </w:rPr>
        <w:t>T</w:t>
      </w:r>
      <w:r w:rsidRPr="001455DC">
        <w:rPr>
          <w:rStyle w:val="CCMCvariablesubscript"/>
        </w:rPr>
        <w:t>2</w:t>
      </w:r>
      <w:r w:rsidRPr="001455DC">
        <w:t> </w:t>
      </w:r>
      <w:r w:rsidR="00EC27D2" w:rsidRPr="001455DC">
        <w:rPr>
          <w:rFonts w:ascii="Cambria Math" w:hAnsi="Cambria Math"/>
        </w:rPr>
        <w:t>=</w:t>
      </w:r>
      <w:r w:rsidRPr="001455DC">
        <w:t> 0).</w:t>
      </w:r>
    </w:p>
    <w:p w14:paraId="71BCA006" w14:textId="744D5254" w:rsidR="004E22C1" w:rsidRPr="001455DC" w:rsidRDefault="00723CF7" w:rsidP="00B25AB7">
      <w:pPr>
        <w:pStyle w:val="FigureImage"/>
      </w:pPr>
      <w:r>
        <w:rPr>
          <w:noProof/>
          <w:lang w:eastAsia="en-GB"/>
        </w:rPr>
        <w:fldChar w:fldCharType="begin"/>
      </w:r>
      <w:r>
        <w:rPr>
          <w:noProof/>
          <w:lang w:eastAsia="en-GB"/>
        </w:rPr>
        <w:instrText xml:space="preserve"> INCLUDEPICTURE  "Y:\\STD_MGT\\STDDEL\\PRODUCTION\\etrans\\Download\\Z_FIRST_DEL\\SV\\00250\\00250269\\41_e_dr\\11_014.tif"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"Y:\\STD_MGT\\STDDEL\\PRODUCTION\\Standards\\00250\\269\\41_e_dr\\11_014.tif"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"Y:\\STD_MGT\\STDDEL\\PRODUCTION\\Standards\\00250\\269\\41_e_dr\\11_014.tif"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"Y:\\STD_MGT\\STDDEL\\PRODUCTION\\Standards\\00250\\269\\41_e_dr\\11_014.tif"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"Y:\\STD_MGT\\STDDEL\\PRODUCTION\\Standards\\00250\\269\\41_e_dr\\11_014.tif"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"Y:\\STD_MGT\\STDDEL\\PRODUCTION\\Standards\\00250\\269\\41_e_dr\\11_014.tif"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"C:\\Users\\a.dionysiou\\AppData\\Local\\Temp\\Temp1_00250269_e_20210902.zip.zip\\41_e_dr\\11_014.tif"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00A2D8CE">
          <v:shape id="_x0000_i1250" type="#_x0000_t75" style="width:302.25pt;height:330pt">
            <v:imagedata r:id="rId470" r:href="rId471"/>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6C53F36C" w14:textId="77777777" w:rsidR="004E22C1" w:rsidRPr="009D3012" w:rsidRDefault="004E22C1" w:rsidP="00B25AB7">
      <w:pPr>
        <w:pStyle w:val="FigureText"/>
        <w:rPr>
          <w:bCs/>
        </w:rPr>
      </w:pPr>
      <w:r w:rsidRPr="009D3012">
        <w:rPr>
          <w:bCs/>
        </w:rPr>
        <w:t>a) elevation view</w:t>
      </w:r>
    </w:p>
    <w:p w14:paraId="6BAE7024" w14:textId="77777777" w:rsidR="004E22C1" w:rsidRPr="009D3012" w:rsidRDefault="004E22C1" w:rsidP="00B25AB7">
      <w:pPr>
        <w:pStyle w:val="FigureText"/>
        <w:rPr>
          <w:bCs/>
        </w:rPr>
      </w:pPr>
      <w:r w:rsidRPr="009D3012">
        <w:rPr>
          <w:bCs/>
        </w:rPr>
        <w:t>b) single lap</w:t>
      </w:r>
    </w:p>
    <w:p w14:paraId="1E11034D" w14:textId="3649E0E7" w:rsidR="004E22C1" w:rsidRPr="009D3012" w:rsidRDefault="004E22C1" w:rsidP="00B25AB7">
      <w:pPr>
        <w:pStyle w:val="FigureText"/>
        <w:rPr>
          <w:bCs/>
        </w:rPr>
      </w:pPr>
      <w:r w:rsidRPr="009D3012">
        <w:rPr>
          <w:bCs/>
        </w:rPr>
        <w:t>c) multiple lap</w:t>
      </w:r>
      <w:r w:rsidR="007571BC" w:rsidRPr="009D3012">
        <w:rPr>
          <w:bCs/>
        </w:rPr>
        <w:t>s</w:t>
      </w:r>
    </w:p>
    <w:p w14:paraId="10DC70F2" w14:textId="77777777" w:rsidR="00B25AB7" w:rsidRPr="001455DC" w:rsidRDefault="00B25AB7" w:rsidP="00DB201D">
      <w:pPr>
        <w:pStyle w:val="KeyTitle"/>
      </w:pPr>
      <w:r w:rsidRPr="001455DC">
        <w:t>Key</w:t>
      </w:r>
    </w:p>
    <w:tbl>
      <w:tblPr>
        <w:tblW w:w="9809" w:type="dxa"/>
        <w:tblLayout w:type="fixed"/>
        <w:tblCellMar>
          <w:left w:w="28" w:type="dxa"/>
          <w:right w:w="28" w:type="dxa"/>
        </w:tblCellMar>
        <w:tblLook w:val="0000" w:firstRow="0" w:lastRow="0" w:firstColumn="0" w:lastColumn="0" w:noHBand="0" w:noVBand="0"/>
      </w:tblPr>
      <w:tblGrid>
        <w:gridCol w:w="9809"/>
      </w:tblGrid>
      <w:tr w:rsidR="00B25AB7" w:rsidRPr="001455DC" w14:paraId="704A57AC" w14:textId="77777777" w:rsidTr="00F523AB">
        <w:tc>
          <w:tcPr>
            <w:tcW w:w="9809" w:type="dxa"/>
            <w:shd w:val="clear" w:color="auto" w:fill="auto"/>
          </w:tcPr>
          <w:p w14:paraId="4D6D2C53" w14:textId="3C566133" w:rsidR="00B25AB7" w:rsidRPr="001455DC" w:rsidRDefault="00B25AB7" w:rsidP="00D86695">
            <w:pPr>
              <w:pStyle w:val="KeyText"/>
              <w:tabs>
                <w:tab w:val="clear" w:pos="346"/>
              </w:tabs>
              <w:ind w:left="0" w:firstLine="0"/>
            </w:pPr>
            <w:r w:rsidRPr="001455DC">
              <w:t xml:space="preserve">Design tension forces </w:t>
            </w:r>
            <w:r w:rsidRPr="001455DC">
              <w:rPr>
                <w:rStyle w:val="CCMCvariableitalic"/>
              </w:rPr>
              <w:t>T</w:t>
            </w:r>
            <w:r w:rsidRPr="001455DC">
              <w:rPr>
                <w:rStyle w:val="CCMCvariablesubscript"/>
              </w:rPr>
              <w:t>1</w:t>
            </w:r>
            <w:r w:rsidRPr="001455DC">
              <w:t> </w:t>
            </w:r>
            <w:r w:rsidR="00EC27D2" w:rsidRPr="001455DC">
              <w:rPr>
                <w:rFonts w:ascii="Cambria Math" w:hAnsi="Cambria Math"/>
              </w:rPr>
              <w:t>=</w:t>
            </w:r>
            <w:r w:rsidRPr="001455DC">
              <w:t> </w:t>
            </w:r>
            <w:r w:rsidRPr="001455DC">
              <w:rPr>
                <w:rStyle w:val="CCMCvariableitalic"/>
              </w:rPr>
              <w:t>T</w:t>
            </w:r>
            <w:r w:rsidRPr="001455DC">
              <w:rPr>
                <w:rStyle w:val="CCMCvariablesubscript"/>
              </w:rPr>
              <w:t>2</w:t>
            </w:r>
            <w:r w:rsidRPr="001455DC">
              <w:t xml:space="preserve"> when the lap transfers pure tension. </w:t>
            </w:r>
            <w:r w:rsidRPr="001455DC">
              <w:rPr>
                <w:rStyle w:val="CCMCvariableitalic"/>
              </w:rPr>
              <w:t>T</w:t>
            </w:r>
            <w:r w:rsidRPr="001455DC">
              <w:rPr>
                <w:rStyle w:val="CCMCvariablesubscript"/>
              </w:rPr>
              <w:t>1</w:t>
            </w:r>
            <w:r w:rsidRPr="001455DC">
              <w:t xml:space="preserve"> will according to a sectional analysis differ from </w:t>
            </w:r>
            <w:r w:rsidRPr="001455DC">
              <w:rPr>
                <w:rStyle w:val="CCMCvariableitalic"/>
              </w:rPr>
              <w:t>T</w:t>
            </w:r>
            <w:r w:rsidRPr="001455DC">
              <w:rPr>
                <w:rStyle w:val="CCMCvariablesubscript"/>
              </w:rPr>
              <w:t>2</w:t>
            </w:r>
            <w:r w:rsidRPr="001455DC">
              <w:t xml:space="preserve"> when the lap transfers combinations of normal forces and bending moments</w:t>
            </w:r>
            <w:r w:rsidR="007571BC" w:rsidRPr="001455DC">
              <w:t>.</w:t>
            </w:r>
          </w:p>
        </w:tc>
      </w:tr>
    </w:tbl>
    <w:p w14:paraId="06361F3D" w14:textId="77777777" w:rsidR="004E22C1" w:rsidRPr="001455DC" w:rsidRDefault="004E22C1" w:rsidP="00B25AB7">
      <w:pPr>
        <w:pStyle w:val="Figuretitle"/>
      </w:pPr>
      <w:r w:rsidRPr="001455DC">
        <w:t>Figure 11.14 — Laps using U-bar loops</w:t>
      </w:r>
    </w:p>
    <w:p w14:paraId="618574DC" w14:textId="51B8FCBC" w:rsidR="00B25AB7" w:rsidRPr="001455DC" w:rsidRDefault="004E22C1" w:rsidP="00E844D2">
      <w:pPr>
        <w:pStyle w:val="a7"/>
        <w:keepNext/>
      </w:pPr>
      <w:r w:rsidRPr="001455DC">
        <w:t>(2)</w:t>
      </w:r>
      <w:r w:rsidRPr="001455DC">
        <w:tab/>
        <w:t xml:space="preserve">The resistance of a single lap splice shown in Figure 11.14b) should be checked using as criterion the crushing strength of the concrete between the two loops. For </w:t>
      </w:r>
      <w:r w:rsidRPr="001455DC">
        <w:rPr>
          <w:rStyle w:val="CCMCvariableitalic"/>
        </w:rPr>
        <w:t>c</w:t>
      </w:r>
      <w:r w:rsidRPr="001455DC">
        <w:rPr>
          <w:rStyle w:val="CCMCvariablesubscript"/>
        </w:rPr>
        <w:t>s</w:t>
      </w:r>
      <w:r w:rsidRPr="001455DC">
        <w:t> </w:t>
      </w:r>
      <w:r w:rsidR="00650035" w:rsidRPr="001455DC">
        <w:rPr>
          <w:rFonts w:ascii="Cambria Math" w:hAnsi="Cambria Math"/>
        </w:rPr>
        <w:t>≤</w:t>
      </w:r>
      <w:r w:rsidRPr="001455DC">
        <w:t> 0,5</w:t>
      </w:r>
      <w:r w:rsidRPr="001455DC">
        <w:rPr>
          <w:rStyle w:val="CCMCvariableitalic"/>
        </w:rPr>
        <w:t>l</w:t>
      </w:r>
      <w:r w:rsidRPr="001455DC">
        <w:rPr>
          <w:rStyle w:val="CCMCvariablesubscript"/>
        </w:rPr>
        <w:t>s</w:t>
      </w:r>
      <w:r w:rsidRPr="001455DC">
        <w:t xml:space="preserve"> crushing of the concrete is prevented when the larger of the two design tension forces </w:t>
      </w:r>
      <w:r w:rsidRPr="001455DC">
        <w:rPr>
          <w:rStyle w:val="CCMCvariableitalic"/>
        </w:rPr>
        <w:t>T</w:t>
      </w:r>
      <w:r w:rsidRPr="001455DC">
        <w:rPr>
          <w:rStyle w:val="CCMCvariablesubscript"/>
        </w:rPr>
        <w:t>1</w:t>
      </w:r>
      <w:r w:rsidRPr="001455DC">
        <w:t xml:space="preserve"> and </w:t>
      </w:r>
      <w:r w:rsidRPr="001455DC">
        <w:rPr>
          <w:rStyle w:val="CCMCvariableitalic"/>
        </w:rPr>
        <w:t>T</w:t>
      </w:r>
      <w:r w:rsidRPr="001455DC">
        <w:rPr>
          <w:rStyle w:val="CCMCvariablesubscript"/>
        </w:rPr>
        <w:t>2</w:t>
      </w:r>
      <w:r w:rsidRPr="001455DC">
        <w:t xml:space="preserve"> (see Figure 11.14a) is smaller than </w:t>
      </w:r>
      <w:r w:rsidRPr="001455DC">
        <w:rPr>
          <w:rStyle w:val="CCMCvariableitalic"/>
        </w:rPr>
        <w:t>T</w:t>
      </w:r>
      <w:r w:rsidRPr="001455DC">
        <w:rPr>
          <w:rStyle w:val="CCMCvariablesubscript"/>
        </w:rPr>
        <w:t>Rd,c</w:t>
      </w:r>
      <w:r w:rsidRPr="001455DC">
        <w:t>, which may be calculated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B25AB7" w:rsidRPr="001455DC" w14:paraId="6836B65F" w14:textId="77777777" w:rsidTr="00F523AB">
        <w:trPr>
          <w:cantSplit/>
        </w:trPr>
        <w:tc>
          <w:tcPr>
            <w:tcW w:w="8505" w:type="dxa"/>
            <w:vAlign w:val="center"/>
          </w:tcPr>
          <w:p w14:paraId="57E11920" w14:textId="4A6EBC9D" w:rsidR="00B25AB7" w:rsidRPr="001455DC" w:rsidRDefault="00231E33" w:rsidP="00F523AB">
            <w:pPr>
              <w:pStyle w:val="Formula"/>
              <w:jc w:val="left"/>
            </w:pPr>
            <m:oMathPara>
              <m:oMathParaPr>
                <m:jc m:val="left"/>
              </m:oMathParaPr>
              <m:oMath>
                <m:sSub>
                  <m:sSubPr>
                    <m:ctrlPr>
                      <w:rPr>
                        <w:rFonts w:ascii="Cambria Math" w:hAnsi="Cambria Math"/>
                      </w:rPr>
                    </m:ctrlPr>
                  </m:sSubPr>
                  <m:e>
                    <m:r>
                      <w:rPr>
                        <w:rFonts w:ascii="Cambria Math" w:hAnsi="Cambria Math"/>
                      </w:rPr>
                      <m:t>T</m:t>
                    </m:r>
                  </m:e>
                  <m:sub>
                    <m:r>
                      <m:rPr>
                        <m:sty m:val="p"/>
                      </m:rPr>
                      <w:rPr>
                        <w:rFonts w:ascii="Cambria Math" w:hAnsi="Cambria Math"/>
                      </w:rPr>
                      <m:t>Rd,c</m:t>
                    </m:r>
                  </m:sub>
                </m:sSub>
                <m:r>
                  <w:rPr>
                    <w:rFonts w:ascii="Cambria Math" w:hAnsi="Cambria Math"/>
                  </w:rPr>
                  <m:t>=0,2</m:t>
                </m:r>
                <m:sSub>
                  <m:sSubPr>
                    <m:ctrlPr>
                      <w:rPr>
                        <w:rFonts w:ascii="Cambria Math" w:hAnsi="Cambria Math"/>
                      </w:rPr>
                    </m:ctrlPr>
                  </m:sSubPr>
                  <m:e>
                    <m:r>
                      <w:rPr>
                        <w:rFonts w:ascii="Cambria Math" w:hAnsi="Cambria Math"/>
                      </w:rPr>
                      <m:t>f</m:t>
                    </m:r>
                  </m:e>
                  <m:sub>
                    <m:r>
                      <m:rPr>
                        <m:sty m:val="p"/>
                      </m:rPr>
                      <w:rPr>
                        <w:rFonts w:ascii="Cambria Math" w:hAnsi="Cambria Math"/>
                      </w:rPr>
                      <m:t>cd</m:t>
                    </m:r>
                  </m:sub>
                </m:sSub>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c</m:t>
                    </m:r>
                  </m:sub>
                </m:sSub>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dg</m:t>
                                </m:r>
                              </m:sub>
                            </m:sSub>
                          </m:num>
                          <m:den>
                            <m:sSub>
                              <m:sSubPr>
                                <m:ctrlPr>
                                  <w:rPr>
                                    <w:rFonts w:ascii="Cambria Math" w:hAnsi="Cambria Math"/>
                                  </w:rPr>
                                </m:ctrlPr>
                              </m:sSubPr>
                              <m:e>
                                <m:r>
                                  <w:rPr>
                                    <w:rFonts w:ascii="Cambria Math" w:hAnsi="Cambria Math"/>
                                  </w:rPr>
                                  <m:t>l</m:t>
                                </m:r>
                              </m:e>
                              <m:sub>
                                <m:r>
                                  <m:rPr>
                                    <m:sty m:val="p"/>
                                  </m:rPr>
                                  <w:rPr>
                                    <w:rFonts w:ascii="Cambria Math" w:hAnsi="Cambria Math"/>
                                  </w:rPr>
                                  <m:t>sd</m:t>
                                </m:r>
                              </m:sub>
                            </m:sSub>
                          </m:den>
                        </m:f>
                      </m:e>
                    </m:d>
                  </m:e>
                  <m:sup>
                    <m:f>
                      <m:fPr>
                        <m:ctrlPr>
                          <w:rPr>
                            <w:rFonts w:ascii="Cambria Math" w:hAnsi="Cambria Math"/>
                          </w:rPr>
                        </m:ctrlPr>
                      </m:fPr>
                      <m:num>
                        <m:r>
                          <w:rPr>
                            <w:rFonts w:ascii="Cambria Math" w:hAnsi="Cambria Math"/>
                          </w:rPr>
                          <m:t>1</m:t>
                        </m:r>
                      </m:num>
                      <m:den>
                        <m:r>
                          <w:rPr>
                            <w:rFonts w:ascii="Cambria Math" w:hAnsi="Cambria Math"/>
                          </w:rPr>
                          <m:t>3</m:t>
                        </m:r>
                      </m:den>
                    </m:f>
                  </m:sup>
                </m:sSup>
                <m:r>
                  <w:rPr>
                    <w:rFonts w:ascii="Cambria Math" w:hAnsi="Cambria Math"/>
                  </w:rPr>
                  <m:t>⋅</m:t>
                </m:r>
                <m:d>
                  <m:dPr>
                    <m:ctrlPr>
                      <w:rPr>
                        <w:rFonts w:ascii="Cambria Math" w:hAnsi="Cambria Math"/>
                      </w:rPr>
                    </m:ctrlPr>
                  </m:dPr>
                  <m:e>
                    <m:rad>
                      <m:radPr>
                        <m:degHide m:val="1"/>
                        <m:ctrlPr>
                          <w:rPr>
                            <w:rFonts w:ascii="Cambria Math" w:hAnsi="Cambria Math"/>
                          </w:rPr>
                        </m:ctrlPr>
                      </m:radPr>
                      <m:deg/>
                      <m:e>
                        <m:sSub>
                          <m:sSubPr>
                            <m:ctrlPr>
                              <w:rPr>
                                <w:rFonts w:ascii="Cambria Math" w:hAnsi="Cambria Math"/>
                              </w:rPr>
                            </m:ctrlPr>
                          </m:sSubPr>
                          <m:e>
                            <m:r>
                              <w:rPr>
                                <w:rFonts w:ascii="Cambria Math" w:hAnsi="Cambria Math"/>
                              </w:rPr>
                              <m:t>k</m:t>
                            </m:r>
                          </m:e>
                          <m:sub>
                            <m:r>
                              <m:rPr>
                                <m:sty m:val="p"/>
                              </m:rPr>
                              <w:rPr>
                                <w:rFonts w:ascii="Cambria Math" w:hAnsi="Cambria Math"/>
                              </w:rPr>
                              <m:t>st</m:t>
                            </m:r>
                          </m:sub>
                        </m:sSub>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m:t>
                                        </m:r>
                                      </m:e>
                                      <m:sub>
                                        <m:r>
                                          <m:rPr>
                                            <m:sty m:val="p"/>
                                          </m:rPr>
                                          <w:rPr>
                                            <w:rFonts w:ascii="Cambria Math" w:hAnsi="Cambria Math"/>
                                          </w:rPr>
                                          <m:t>s</m:t>
                                        </m:r>
                                      </m:sub>
                                    </m:sSub>
                                  </m:num>
                                  <m:den>
                                    <m:sSub>
                                      <m:sSubPr>
                                        <m:ctrlPr>
                                          <w:rPr>
                                            <w:rFonts w:ascii="Cambria Math" w:hAnsi="Cambria Math"/>
                                          </w:rPr>
                                        </m:ctrlPr>
                                      </m:sSubPr>
                                      <m:e>
                                        <m:r>
                                          <w:rPr>
                                            <w:rFonts w:ascii="Cambria Math" w:hAnsi="Cambria Math"/>
                                          </w:rPr>
                                          <m:t>l</m:t>
                                        </m:r>
                                      </m:e>
                                      <m:sub>
                                        <m:r>
                                          <m:rPr>
                                            <m:sty m:val="p"/>
                                          </m:rPr>
                                          <w:rPr>
                                            <w:rFonts w:ascii="Cambria Math" w:hAnsi="Cambria Math"/>
                                          </w:rPr>
                                          <m:t>sd</m:t>
                                        </m:r>
                                      </m:sub>
                                    </m:sSub>
                                  </m:den>
                                </m:f>
                              </m:e>
                            </m:d>
                          </m:e>
                          <m:sup>
                            <m:r>
                              <w:rPr>
                                <w:rFonts w:ascii="Cambria Math" w:hAnsi="Cambria Math"/>
                              </w:rPr>
                              <m:t>2</m:t>
                            </m:r>
                          </m:sup>
                        </m:sSup>
                      </m:e>
                    </m:rad>
                    <m: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m:t>
                                </m:r>
                              </m:e>
                              <m:sub>
                                <m:r>
                                  <m:rPr>
                                    <m:sty m:val="p"/>
                                  </m:rPr>
                                  <w:rPr>
                                    <w:rFonts w:ascii="Cambria Math" w:hAnsi="Cambria Math"/>
                                  </w:rPr>
                                  <m:t>s</m:t>
                                </m:r>
                              </m:sub>
                            </m:sSub>
                          </m:num>
                          <m:den>
                            <m:sSub>
                              <m:sSubPr>
                                <m:ctrlPr>
                                  <w:rPr>
                                    <w:rFonts w:ascii="Cambria Math" w:hAnsi="Cambria Math"/>
                                  </w:rPr>
                                </m:ctrlPr>
                              </m:sSubPr>
                              <m:e>
                                <m:r>
                                  <w:rPr>
                                    <w:rFonts w:ascii="Cambria Math" w:hAnsi="Cambria Math"/>
                                  </w:rPr>
                                  <m:t>l</m:t>
                                </m:r>
                              </m:e>
                              <m:sub>
                                <m:r>
                                  <m:rPr>
                                    <m:sty m:val="p"/>
                                  </m:rPr>
                                  <w:rPr>
                                    <w:rFonts w:ascii="Cambria Math" w:hAnsi="Cambria Math"/>
                                  </w:rPr>
                                  <m:t>sd</m:t>
                                </m:r>
                              </m:sub>
                            </m:sSub>
                          </m:den>
                        </m:f>
                      </m:e>
                    </m:d>
                  </m:e>
                </m:d>
              </m:oMath>
            </m:oMathPara>
          </w:p>
        </w:tc>
        <w:tc>
          <w:tcPr>
            <w:tcW w:w="1247" w:type="dxa"/>
            <w:vAlign w:val="center"/>
          </w:tcPr>
          <w:p w14:paraId="718DCE78" w14:textId="2CCF2284" w:rsidR="00B25AB7" w:rsidRPr="001455DC" w:rsidRDefault="00B25AB7" w:rsidP="00F523AB">
            <w:pPr>
              <w:pStyle w:val="a7"/>
              <w:jc w:val="right"/>
            </w:pPr>
            <w:r w:rsidRPr="001455DC">
              <w:t>(11.10)</w:t>
            </w:r>
          </w:p>
        </w:tc>
      </w:tr>
    </w:tbl>
    <w:p w14:paraId="5EA9C6B7" w14:textId="77777777" w:rsidR="00B25AB7" w:rsidRPr="001455DC" w:rsidRDefault="00B25AB7"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7598"/>
        <w:gridCol w:w="1247"/>
      </w:tblGrid>
      <w:tr w:rsidR="00B25AB7" w:rsidRPr="001455DC" w14:paraId="1F23D199" w14:textId="77777777" w:rsidTr="00F523AB">
        <w:trPr>
          <w:cantSplit/>
        </w:trPr>
        <w:tc>
          <w:tcPr>
            <w:tcW w:w="567" w:type="dxa"/>
          </w:tcPr>
          <w:p w14:paraId="32394747" w14:textId="085B16CE" w:rsidR="00B25AB7" w:rsidRPr="001455DC" w:rsidRDefault="00B25AB7" w:rsidP="0000442A">
            <w:pPr>
              <w:pStyle w:val="Tablebody"/>
            </w:pPr>
            <w:r w:rsidRPr="001455DC">
              <w:rPr>
                <w:rStyle w:val="CCMCvariableitalic"/>
              </w:rPr>
              <w:t>A</w:t>
            </w:r>
            <w:r w:rsidRPr="001455DC">
              <w:rPr>
                <w:rStyle w:val="CCMCvariablesubscript"/>
              </w:rPr>
              <w:t>c</w:t>
            </w:r>
          </w:p>
        </w:tc>
        <w:tc>
          <w:tcPr>
            <w:tcW w:w="8845" w:type="dxa"/>
            <w:gridSpan w:val="2"/>
          </w:tcPr>
          <w:p w14:paraId="5A703EBD" w14:textId="4ABF330A" w:rsidR="00B25AB7" w:rsidRPr="001455DC" w:rsidRDefault="00B25AB7" w:rsidP="00BB1209">
            <w:pPr>
              <w:pStyle w:val="Tablebody"/>
            </w:pPr>
            <w:r w:rsidRPr="001455DC">
              <w:t>is the total effective concrete area within the curved parts of the overlapping U-bars (Figure 11.14a)):</w:t>
            </w:r>
          </w:p>
        </w:tc>
      </w:tr>
      <w:tr w:rsidR="00B25AB7" w:rsidRPr="001455DC" w14:paraId="4D89BC3F" w14:textId="77777777" w:rsidTr="00B25AB7">
        <w:trPr>
          <w:cantSplit/>
        </w:trPr>
        <w:tc>
          <w:tcPr>
            <w:tcW w:w="567" w:type="dxa"/>
          </w:tcPr>
          <w:p w14:paraId="3C2C9481" w14:textId="64ABDEEB" w:rsidR="00B25AB7" w:rsidRPr="001455DC" w:rsidRDefault="00B25AB7" w:rsidP="0000442A">
            <w:pPr>
              <w:pStyle w:val="Tablebody"/>
            </w:pPr>
            <w:r w:rsidRPr="001455DC">
              <w:t> </w:t>
            </w:r>
          </w:p>
        </w:tc>
        <w:tc>
          <w:tcPr>
            <w:tcW w:w="7598" w:type="dxa"/>
            <w:vAlign w:val="center"/>
          </w:tcPr>
          <w:p w14:paraId="765E8DE5" w14:textId="24006EFE" w:rsidR="00B25AB7" w:rsidRPr="001455DC" w:rsidRDefault="00B25AB7" w:rsidP="00B25AB7">
            <w:pPr>
              <w:pStyle w:val="Tablebody"/>
              <w:jc w:val="left"/>
            </w:pPr>
            <w:r w:rsidRPr="001455DC">
              <w:rPr>
                <w:rStyle w:val="CCMCvariableitalic"/>
              </w:rPr>
              <w:t>A</w:t>
            </w:r>
            <w:r w:rsidRPr="001455DC">
              <w:rPr>
                <w:rStyle w:val="CCMCvariablesubscript"/>
              </w:rPr>
              <w:t>c</w:t>
            </w:r>
            <w:r w:rsidRPr="001455DC">
              <w:t> </w:t>
            </w:r>
            <w:r w:rsidR="00EC27D2" w:rsidRPr="001455DC">
              <w:rPr>
                <w:rFonts w:ascii="Cambria Math" w:hAnsi="Cambria Math"/>
              </w:rPr>
              <w:t>=</w:t>
            </w:r>
            <w:r w:rsidRPr="001455DC">
              <w:t> (</w:t>
            </w:r>
            <w:r w:rsidRPr="001455DC">
              <w:rPr>
                <w:rStyle w:val="CCMCvariableitalic"/>
              </w:rPr>
              <w:t>ϕ</w:t>
            </w:r>
            <w:r w:rsidRPr="001455DC">
              <w:rPr>
                <w:rStyle w:val="CCMCvariablesubscript"/>
              </w:rPr>
              <w:t>m</w:t>
            </w:r>
            <w:r w:rsidRPr="001455DC">
              <w:t xml:space="preserve"> </w:t>
            </w:r>
            <w:r w:rsidR="00650035" w:rsidRPr="001455DC">
              <w:rPr>
                <w:rFonts w:ascii="Cambria Math" w:hAnsi="Cambria Math"/>
              </w:rPr>
              <w:t>+</w:t>
            </w:r>
            <w:r w:rsidR="00650035" w:rsidRPr="001455DC">
              <w:t xml:space="preserve"> </w:t>
            </w:r>
            <w:r w:rsidRPr="001455DC">
              <w:rPr>
                <w:rStyle w:val="CCMCvariableitalic"/>
              </w:rPr>
              <w:t>ϕ</w:t>
            </w:r>
            <w:r w:rsidRPr="001455DC">
              <w:t>) </w:t>
            </w:r>
            <w:r w:rsidRPr="001455DC">
              <w:rPr>
                <w:rFonts w:ascii="Cambria Math" w:hAnsi="Cambria Math" w:cs="Cambria Math"/>
              </w:rPr>
              <w:t>⋅</w:t>
            </w:r>
            <w:r w:rsidRPr="001455DC">
              <w:t> [</w:t>
            </w:r>
            <w:r w:rsidRPr="001455DC">
              <w:rPr>
                <w:rStyle w:val="CCMCvariableitalic"/>
              </w:rPr>
              <w:t>l</w:t>
            </w:r>
            <w:r w:rsidRPr="001455DC">
              <w:rPr>
                <w:rStyle w:val="CCMCvariablesubscript"/>
              </w:rPr>
              <w:t>s</w:t>
            </w:r>
            <w:r w:rsidRPr="001455DC">
              <w:t> </w:t>
            </w:r>
            <w:r w:rsidR="00EC27D2" w:rsidRPr="001455DC">
              <w:rPr>
                <w:rFonts w:ascii="Cambria Math" w:hAnsi="Cambria Math"/>
              </w:rPr>
              <w:t>−</w:t>
            </w:r>
            <w:r w:rsidRPr="001455DC">
              <w:t> 0,21(</w:t>
            </w:r>
            <w:r w:rsidRPr="001455DC">
              <w:rPr>
                <w:rStyle w:val="CCMCvariableitalic"/>
              </w:rPr>
              <w:t>ϕ</w:t>
            </w:r>
            <w:r w:rsidRPr="001455DC">
              <w:rPr>
                <w:rStyle w:val="CCMCvariablesubscript"/>
              </w:rPr>
              <w:t>m</w:t>
            </w:r>
            <w:r w:rsidRPr="001455DC">
              <w:t xml:space="preserve"> </w:t>
            </w:r>
            <w:r w:rsidR="00650035" w:rsidRPr="001455DC">
              <w:rPr>
                <w:rFonts w:ascii="Cambria Math" w:hAnsi="Cambria Math"/>
              </w:rPr>
              <w:t>+</w:t>
            </w:r>
            <w:r w:rsidR="00650035" w:rsidRPr="001455DC">
              <w:t xml:space="preserve"> </w:t>
            </w:r>
            <w:r w:rsidRPr="001455DC">
              <w:rPr>
                <w:rStyle w:val="CCMCvariableitalic"/>
              </w:rPr>
              <w:t>ϕ</w:t>
            </w:r>
            <w:r w:rsidRPr="001455DC">
              <w:t>)]</w:t>
            </w:r>
          </w:p>
        </w:tc>
        <w:tc>
          <w:tcPr>
            <w:tcW w:w="1247" w:type="dxa"/>
            <w:vAlign w:val="center"/>
          </w:tcPr>
          <w:p w14:paraId="1549DC01" w14:textId="6DCA03A7" w:rsidR="00B25AB7" w:rsidRPr="001455DC" w:rsidRDefault="00B25AB7" w:rsidP="00B25AB7">
            <w:pPr>
              <w:pStyle w:val="Tablebody"/>
              <w:jc w:val="right"/>
            </w:pPr>
            <w:r w:rsidRPr="001455DC">
              <w:t>(11.11)</w:t>
            </w:r>
          </w:p>
        </w:tc>
      </w:tr>
      <w:tr w:rsidR="00B25AB7" w:rsidRPr="001455DC" w14:paraId="7A7AF6D8" w14:textId="77777777" w:rsidTr="00F523AB">
        <w:trPr>
          <w:cantSplit/>
        </w:trPr>
        <w:tc>
          <w:tcPr>
            <w:tcW w:w="567" w:type="dxa"/>
          </w:tcPr>
          <w:p w14:paraId="3807AB55" w14:textId="5BB8E9D9" w:rsidR="00B25AB7" w:rsidRPr="001455DC" w:rsidRDefault="00B25AB7" w:rsidP="00D86695">
            <w:pPr>
              <w:pStyle w:val="Tablebody"/>
            </w:pPr>
            <w:r w:rsidRPr="001455DC">
              <w:rPr>
                <w:rStyle w:val="CCMCvariableitalic"/>
              </w:rPr>
              <w:t>l</w:t>
            </w:r>
            <w:r w:rsidRPr="001455DC">
              <w:rPr>
                <w:rStyle w:val="CCMCvariablesubscript"/>
              </w:rPr>
              <w:t>sd</w:t>
            </w:r>
          </w:p>
        </w:tc>
        <w:tc>
          <w:tcPr>
            <w:tcW w:w="8845" w:type="dxa"/>
            <w:gridSpan w:val="2"/>
          </w:tcPr>
          <w:p w14:paraId="1944ABAE" w14:textId="197F3609" w:rsidR="00B25AB7" w:rsidRPr="001455DC" w:rsidRDefault="00B25AB7" w:rsidP="00D86695">
            <w:pPr>
              <w:pStyle w:val="Tablebody"/>
            </w:pPr>
            <w:r w:rsidRPr="001455DC">
              <w:t>is the overlapping length (Figure 11.14);</w:t>
            </w:r>
          </w:p>
        </w:tc>
      </w:tr>
      <w:tr w:rsidR="00B25AB7" w:rsidRPr="001455DC" w14:paraId="3443B6D5" w14:textId="77777777" w:rsidTr="00F523AB">
        <w:trPr>
          <w:cantSplit/>
        </w:trPr>
        <w:tc>
          <w:tcPr>
            <w:tcW w:w="567" w:type="dxa"/>
          </w:tcPr>
          <w:p w14:paraId="6CD4542B" w14:textId="396765F6" w:rsidR="00B25AB7" w:rsidRPr="009D3012" w:rsidRDefault="00B25AB7" w:rsidP="00D86695">
            <w:pPr>
              <w:pStyle w:val="Tablebody"/>
              <w:rPr>
                <w:rStyle w:val="CCMCvariableitalic"/>
              </w:rPr>
            </w:pPr>
            <w:r w:rsidRPr="001455DC">
              <w:rPr>
                <w:rStyle w:val="CCMCvariableitalic"/>
              </w:rPr>
              <w:t>d</w:t>
            </w:r>
            <w:r w:rsidRPr="001455DC">
              <w:rPr>
                <w:rStyle w:val="CCMCvariablesubscript"/>
              </w:rPr>
              <w:t>dg</w:t>
            </w:r>
          </w:p>
        </w:tc>
        <w:tc>
          <w:tcPr>
            <w:tcW w:w="8845" w:type="dxa"/>
            <w:gridSpan w:val="2"/>
          </w:tcPr>
          <w:p w14:paraId="28ADF2AE" w14:textId="5187EC98" w:rsidR="00B25AB7" w:rsidRPr="001455DC" w:rsidRDefault="00B25AB7" w:rsidP="00D86695">
            <w:pPr>
              <w:pStyle w:val="Tablebody"/>
            </w:pPr>
            <w:r w:rsidRPr="001455DC">
              <w:t>is a coefficient that takes into account the concrete type and its aggregate properties according to 8.2.1(4);</w:t>
            </w:r>
          </w:p>
        </w:tc>
      </w:tr>
      <w:tr w:rsidR="00B25AB7" w:rsidRPr="001455DC" w14:paraId="6860C559" w14:textId="77777777" w:rsidTr="00F523AB">
        <w:trPr>
          <w:cantSplit/>
        </w:trPr>
        <w:tc>
          <w:tcPr>
            <w:tcW w:w="567" w:type="dxa"/>
          </w:tcPr>
          <w:p w14:paraId="7202CC22" w14:textId="7A00584C" w:rsidR="00B25AB7" w:rsidRPr="009D3012" w:rsidRDefault="00B25AB7" w:rsidP="00D86695">
            <w:pPr>
              <w:pStyle w:val="Tablebody"/>
              <w:rPr>
                <w:rStyle w:val="CCMCvariableitalic"/>
              </w:rPr>
            </w:pPr>
            <w:r w:rsidRPr="001455DC">
              <w:rPr>
                <w:rStyle w:val="CCMCvariableitalic"/>
              </w:rPr>
              <w:t>c</w:t>
            </w:r>
            <w:r w:rsidRPr="001455DC">
              <w:rPr>
                <w:rStyle w:val="CCMCvariablesubscript"/>
              </w:rPr>
              <w:t>s</w:t>
            </w:r>
          </w:p>
        </w:tc>
        <w:tc>
          <w:tcPr>
            <w:tcW w:w="8845" w:type="dxa"/>
            <w:gridSpan w:val="2"/>
          </w:tcPr>
          <w:p w14:paraId="705E2FE8" w14:textId="36601E2A" w:rsidR="00B25AB7" w:rsidRPr="001455DC" w:rsidRDefault="00B25AB7" w:rsidP="00D86695">
            <w:pPr>
              <w:pStyle w:val="Tablebody"/>
            </w:pPr>
            <w:r w:rsidRPr="001455DC">
              <w:t>is the clear spacing of U-bars;</w:t>
            </w:r>
          </w:p>
        </w:tc>
      </w:tr>
      <w:tr w:rsidR="00B25AB7" w:rsidRPr="001455DC" w14:paraId="36AAD123" w14:textId="77777777" w:rsidTr="00F523AB">
        <w:trPr>
          <w:cantSplit/>
        </w:trPr>
        <w:tc>
          <w:tcPr>
            <w:tcW w:w="567" w:type="dxa"/>
          </w:tcPr>
          <w:p w14:paraId="1B568B25" w14:textId="3AE880C9" w:rsidR="00B25AB7" w:rsidRPr="009D3012" w:rsidRDefault="00B25AB7" w:rsidP="00D86695">
            <w:pPr>
              <w:pStyle w:val="Tablebody"/>
              <w:rPr>
                <w:rStyle w:val="CCMCvariableitalic"/>
              </w:rPr>
            </w:pPr>
            <w:r w:rsidRPr="001455DC">
              <w:rPr>
                <w:rStyle w:val="CCMCvariableitalic"/>
              </w:rPr>
              <w:t>k</w:t>
            </w:r>
            <w:r w:rsidRPr="001455DC">
              <w:rPr>
                <w:rStyle w:val="CCMCvariablesubscript"/>
              </w:rPr>
              <w:t>st</w:t>
            </w:r>
          </w:p>
        </w:tc>
        <w:tc>
          <w:tcPr>
            <w:tcW w:w="8845" w:type="dxa"/>
            <w:gridSpan w:val="2"/>
          </w:tcPr>
          <w:p w14:paraId="6224BE71" w14:textId="6F2D87C8" w:rsidR="00B25AB7" w:rsidRPr="001455DC" w:rsidRDefault="00B25AB7" w:rsidP="00D86695">
            <w:pPr>
              <w:pStyle w:val="Tablebody"/>
            </w:pPr>
            <w:r w:rsidRPr="001455DC">
              <w:t xml:space="preserve">is the resistance factor of the confinement reinforcement, which may be taken equal to </w:t>
            </w:r>
            <w:r w:rsidRPr="001455DC">
              <w:rPr>
                <w:rStyle w:val="CCMCvariableitalic"/>
              </w:rPr>
              <w:t>k</w:t>
            </w:r>
            <w:r w:rsidRPr="001455DC">
              <w:rPr>
                <w:rStyle w:val="CCMCvariablesubscript"/>
              </w:rPr>
              <w:t>st</w:t>
            </w:r>
            <w:r w:rsidRPr="001455DC">
              <w:t> </w:t>
            </w:r>
            <w:r w:rsidR="00EC27D2" w:rsidRPr="001455DC">
              <w:rPr>
                <w:rFonts w:ascii="Cambria Math" w:hAnsi="Cambria Math"/>
              </w:rPr>
              <w:t>=</w:t>
            </w:r>
            <w:r w:rsidRPr="001455DC">
              <w:t> 1</w:t>
            </w:r>
            <w:r w:rsidRPr="001455DC">
              <w:rPr>
                <w:b/>
              </w:rPr>
              <w:t xml:space="preserve"> </w:t>
            </w:r>
            <w:r w:rsidRPr="001455DC">
              <w:t xml:space="preserve">when </w:t>
            </w:r>
            <w:r w:rsidRPr="001455DC">
              <w:rPr>
                <w:rStyle w:val="CCMCvariableitalic"/>
              </w:rPr>
              <w:t>ω</w:t>
            </w:r>
            <w:r w:rsidRPr="001455DC">
              <w:t> </w:t>
            </w:r>
            <w:r w:rsidR="00650035" w:rsidRPr="001455DC">
              <w:rPr>
                <w:rFonts w:ascii="Cambria Math" w:hAnsi="Cambria Math"/>
              </w:rPr>
              <w:t>≥</w:t>
            </w:r>
            <w:r w:rsidRPr="001455DC">
              <w:t xml:space="preserve"> 0,5 and to </w:t>
            </w:r>
            <w:r w:rsidRPr="001455DC">
              <w:rPr>
                <w:rStyle w:val="CCMCvariableitalic"/>
              </w:rPr>
              <w:t>k</w:t>
            </w:r>
            <w:r w:rsidRPr="001455DC">
              <w:rPr>
                <w:rStyle w:val="CCMCvariablesubscript"/>
              </w:rPr>
              <w:t>st</w:t>
            </w:r>
            <w:r w:rsidRPr="001455DC">
              <w:t> </w:t>
            </w:r>
            <w:r w:rsidR="00EC27D2" w:rsidRPr="001455DC">
              <w:rPr>
                <w:rFonts w:ascii="Cambria Math" w:hAnsi="Cambria Math"/>
              </w:rPr>
              <w:t>=</w:t>
            </w:r>
            <w:r w:rsidRPr="001455DC">
              <w:t> 4</w:t>
            </w:r>
            <w:r w:rsidRPr="001455DC">
              <w:rPr>
                <w:rStyle w:val="CCMCvariableitalic"/>
              </w:rPr>
              <w:t>ω</w:t>
            </w:r>
            <w:r w:rsidRPr="001455DC">
              <w:t>(1 </w:t>
            </w:r>
            <w:r w:rsidR="00EC27D2" w:rsidRPr="001455DC">
              <w:rPr>
                <w:rFonts w:ascii="Cambria Math" w:hAnsi="Cambria Math"/>
              </w:rPr>
              <w:t>−</w:t>
            </w:r>
            <w:r w:rsidRPr="001455DC">
              <w:t> </w:t>
            </w:r>
            <w:r w:rsidRPr="001455DC">
              <w:rPr>
                <w:rStyle w:val="CCMCvariableitalic"/>
              </w:rPr>
              <w:t>ω</w:t>
            </w:r>
            <w:r w:rsidRPr="001455DC">
              <w:t>)</w:t>
            </w:r>
            <w:r w:rsidRPr="001455DC">
              <w:rPr>
                <w:b/>
              </w:rPr>
              <w:t xml:space="preserve"> </w:t>
            </w:r>
            <w:r w:rsidRPr="001455DC">
              <w:t>for lower values of</w:t>
            </w:r>
          </w:p>
        </w:tc>
      </w:tr>
      <w:tr w:rsidR="00B25AB7" w:rsidRPr="001455DC" w14:paraId="64BB6742" w14:textId="77777777" w:rsidTr="00F523AB">
        <w:trPr>
          <w:cantSplit/>
        </w:trPr>
        <w:tc>
          <w:tcPr>
            <w:tcW w:w="567" w:type="dxa"/>
          </w:tcPr>
          <w:p w14:paraId="2E11BFA9" w14:textId="7931ED86" w:rsidR="00B25AB7" w:rsidRPr="001455DC" w:rsidRDefault="00B25AB7" w:rsidP="00F523AB">
            <w:pPr>
              <w:pStyle w:val="Tablebody"/>
            </w:pPr>
            <w:r w:rsidRPr="001455DC">
              <w:t> </w:t>
            </w:r>
          </w:p>
        </w:tc>
        <w:tc>
          <w:tcPr>
            <w:tcW w:w="7598" w:type="dxa"/>
            <w:vAlign w:val="center"/>
          </w:tcPr>
          <w:p w14:paraId="79F290D4" w14:textId="34BD20D4" w:rsidR="00B25AB7" w:rsidRPr="001455DC" w:rsidRDefault="00B25AB7" w:rsidP="00F523AB">
            <w:pPr>
              <w:pStyle w:val="Tablebody"/>
              <w:jc w:val="left"/>
            </w:pPr>
            <m:oMathPara>
              <m:oMathParaPr>
                <m:jc m:val="left"/>
              </m:oMathParaPr>
              <m:oMath>
                <m:r>
                  <w:rPr>
                    <w:rFonts w:ascii="Cambria Math" w:hAnsi="Cambria Math"/>
                  </w:rPr>
                  <m:t>ω=</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st</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yd</m:t>
                        </m:r>
                      </m:sub>
                    </m:sSub>
                  </m:num>
                  <m:den>
                    <m:r>
                      <w:rPr>
                        <w:rFonts w:ascii="Cambria Math" w:hAnsi="Cambria Math"/>
                      </w:rPr>
                      <m:t>0,85</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dg</m:t>
                                    </m:r>
                                  </m:sub>
                                </m:sSub>
                              </m:num>
                              <m:den>
                                <m:sSub>
                                  <m:sSubPr>
                                    <m:ctrlPr>
                                      <w:rPr>
                                        <w:rFonts w:ascii="Cambria Math" w:hAnsi="Cambria Math"/>
                                      </w:rPr>
                                    </m:ctrlPr>
                                  </m:sSubPr>
                                  <m:e>
                                    <m:r>
                                      <w:rPr>
                                        <w:rFonts w:ascii="Cambria Math" w:hAnsi="Cambria Math"/>
                                      </w:rPr>
                                      <m:t>l</m:t>
                                    </m:r>
                                  </m:e>
                                  <m:sub>
                                    <m:r>
                                      <m:rPr>
                                        <m:sty m:val="p"/>
                                      </m:rPr>
                                      <w:rPr>
                                        <w:rFonts w:ascii="Cambria Math" w:hAnsi="Cambria Math"/>
                                      </w:rPr>
                                      <m:t>sd</m:t>
                                    </m:r>
                                  </m:sub>
                                </m:sSub>
                              </m:den>
                            </m:f>
                          </m:e>
                        </m:d>
                      </m:e>
                      <m:sup>
                        <m:f>
                          <m:fPr>
                            <m:ctrlPr>
                              <w:rPr>
                                <w:rFonts w:ascii="Cambria Math" w:hAnsi="Cambria Math"/>
                              </w:rPr>
                            </m:ctrlPr>
                          </m:fPr>
                          <m:num>
                            <m:r>
                              <w:rPr>
                                <w:rFonts w:ascii="Cambria Math" w:hAnsi="Cambria Math"/>
                              </w:rPr>
                              <m:t>1</m:t>
                            </m:r>
                          </m:num>
                          <m:den>
                            <m:r>
                              <w:rPr>
                                <w:rFonts w:ascii="Cambria Math" w:hAnsi="Cambria Math"/>
                              </w:rPr>
                              <m:t>3</m:t>
                            </m:r>
                          </m:den>
                        </m:f>
                      </m:sup>
                    </m:sSup>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c</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cd</m:t>
                        </m:r>
                      </m:sub>
                    </m:sSub>
                  </m:den>
                </m:f>
                <m:r>
                  <w:rPr>
                    <w:rFonts w:ascii="Cambria Math" w:hAnsi="Cambria Math"/>
                  </w:rPr>
                  <m:t>;</m:t>
                </m:r>
              </m:oMath>
            </m:oMathPara>
          </w:p>
        </w:tc>
        <w:tc>
          <w:tcPr>
            <w:tcW w:w="1247" w:type="dxa"/>
            <w:vAlign w:val="center"/>
          </w:tcPr>
          <w:p w14:paraId="69AB1E6F" w14:textId="43F51D52" w:rsidR="00B25AB7" w:rsidRPr="001455DC" w:rsidRDefault="00B25AB7" w:rsidP="00F523AB">
            <w:pPr>
              <w:pStyle w:val="Tablebody"/>
              <w:jc w:val="right"/>
            </w:pPr>
            <w:r w:rsidRPr="001455DC">
              <w:t>(11.12)</w:t>
            </w:r>
          </w:p>
        </w:tc>
      </w:tr>
      <w:tr w:rsidR="00B25AB7" w:rsidRPr="001455DC" w14:paraId="6B985F11" w14:textId="77777777" w:rsidTr="00F523AB">
        <w:trPr>
          <w:cantSplit/>
        </w:trPr>
        <w:tc>
          <w:tcPr>
            <w:tcW w:w="567" w:type="dxa"/>
          </w:tcPr>
          <w:p w14:paraId="05E8A18A" w14:textId="45195DD7" w:rsidR="00B25AB7" w:rsidRPr="009D3012" w:rsidRDefault="00B25AB7" w:rsidP="00F523AB">
            <w:pPr>
              <w:pStyle w:val="Tablebody"/>
              <w:rPr>
                <w:rStyle w:val="CCMCvariableitalic"/>
              </w:rPr>
            </w:pPr>
            <w:r w:rsidRPr="001455DC">
              <w:rPr>
                <w:rStyle w:val="CCMCvariableitalic"/>
              </w:rPr>
              <w:t>A</w:t>
            </w:r>
            <w:r w:rsidRPr="001455DC">
              <w:rPr>
                <w:rStyle w:val="CCMCvariablesubscript"/>
              </w:rPr>
              <w:t>st</w:t>
            </w:r>
          </w:p>
        </w:tc>
        <w:tc>
          <w:tcPr>
            <w:tcW w:w="8845" w:type="dxa"/>
            <w:gridSpan w:val="2"/>
          </w:tcPr>
          <w:p w14:paraId="4889DAB6" w14:textId="033D34EA" w:rsidR="00B25AB7" w:rsidRPr="001455DC" w:rsidRDefault="00B25AB7" w:rsidP="00F523AB">
            <w:pPr>
              <w:pStyle w:val="Tablebody"/>
            </w:pPr>
            <w:r w:rsidRPr="001455DC">
              <w:t xml:space="preserve">is the total area of the fully anchored confinement reinforcement positioned within </w:t>
            </w:r>
            <w:r w:rsidRPr="001455DC">
              <w:rPr>
                <w:rStyle w:val="CCMCvariableitalic"/>
              </w:rPr>
              <w:t>A</w:t>
            </w:r>
            <w:r w:rsidRPr="001455DC">
              <w:rPr>
                <w:rStyle w:val="CCMCvariablesubscript"/>
              </w:rPr>
              <w:t>c</w:t>
            </w:r>
            <w:r w:rsidRPr="001455DC">
              <w:rPr>
                <w:rStyle w:val="CCMCvariableitalic"/>
              </w:rPr>
              <w:t>.</w:t>
            </w:r>
          </w:p>
        </w:tc>
      </w:tr>
    </w:tbl>
    <w:p w14:paraId="70555B3D" w14:textId="3BE03B6C" w:rsidR="004E22C1" w:rsidRPr="001455DC" w:rsidRDefault="004E22C1" w:rsidP="00B25AB7">
      <w:pPr>
        <w:pStyle w:val="a7"/>
      </w:pPr>
      <w:r w:rsidRPr="001455DC">
        <w:t>(3)</w:t>
      </w:r>
      <w:r w:rsidRPr="001455DC">
        <w:tab/>
        <w:t xml:space="preserve">In case of multiple U-bars as shown in Figure 11.14c), the resistance of Formula (11.10) may be calculated using an average net spacing </w:t>
      </w:r>
      <w:r w:rsidRPr="001455DC">
        <w:rPr>
          <w:rStyle w:val="CCMCvariableitalic"/>
        </w:rPr>
        <w:t>c</w:t>
      </w:r>
      <w:r w:rsidRPr="001455DC">
        <w:rPr>
          <w:rStyle w:val="CCMCvariablesubscript"/>
        </w:rPr>
        <w:t>s</w:t>
      </w:r>
      <w:r w:rsidRPr="001455DC">
        <w:t> </w:t>
      </w:r>
      <w:r w:rsidR="00EC27D2" w:rsidRPr="001455DC">
        <w:rPr>
          <w:rFonts w:ascii="Cambria Math" w:hAnsi="Cambria Math"/>
        </w:rPr>
        <w:t>=</w:t>
      </w:r>
      <w:r w:rsidRPr="001455DC">
        <w:t> 0,5(</w:t>
      </w:r>
      <w:r w:rsidRPr="001455DC">
        <w:rPr>
          <w:rStyle w:val="CCMCvariableitalic"/>
        </w:rPr>
        <w:t>c</w:t>
      </w:r>
      <w:r w:rsidRPr="001455DC">
        <w:rPr>
          <w:rStyle w:val="CCMCvariablesubscript"/>
        </w:rPr>
        <w:t>s1</w:t>
      </w:r>
      <w:r w:rsidR="00EC27D2" w:rsidRPr="001455DC">
        <w:rPr>
          <w:rFonts w:ascii="Cambria Math" w:hAnsi="Cambria Math"/>
        </w:rPr>
        <w:t> + </w:t>
      </w:r>
      <w:r w:rsidRPr="001455DC">
        <w:rPr>
          <w:rStyle w:val="CCMCvariableitalic"/>
        </w:rPr>
        <w:t>c</w:t>
      </w:r>
      <w:r w:rsidRPr="001455DC">
        <w:rPr>
          <w:rStyle w:val="CCMCvariablesubscript"/>
        </w:rPr>
        <w:t>s2</w:t>
      </w:r>
      <w:r w:rsidRPr="001455DC">
        <w:t>) (see Figure 11.14c)) and multiplied by (</w:t>
      </w:r>
      <w:r w:rsidRPr="001455DC">
        <w:rPr>
          <w:rStyle w:val="CCMCvariableitalic"/>
        </w:rPr>
        <w:t>n</w:t>
      </w:r>
      <w:r w:rsidRPr="001455DC">
        <w:rPr>
          <w:rStyle w:val="CCMCvariablesubscript"/>
        </w:rPr>
        <w:t>s</w:t>
      </w:r>
      <w:r w:rsidRPr="001455DC">
        <w:t> </w:t>
      </w:r>
      <w:r w:rsidR="00EC27D2" w:rsidRPr="001455DC">
        <w:rPr>
          <w:rFonts w:ascii="Cambria Math" w:hAnsi="Cambria Math"/>
        </w:rPr>
        <w:t>−</w:t>
      </w:r>
      <w:r w:rsidRPr="001455DC">
        <w:t xml:space="preserve"> 1) where </w:t>
      </w:r>
      <w:r w:rsidRPr="001455DC">
        <w:rPr>
          <w:rStyle w:val="CCMCvariableitalic"/>
        </w:rPr>
        <w:t>n</w:t>
      </w:r>
      <w:r w:rsidRPr="001455DC">
        <w:rPr>
          <w:rStyle w:val="CCMCvariablesubscript"/>
        </w:rPr>
        <w:t>s</w:t>
      </w:r>
      <w:r w:rsidRPr="001455DC">
        <w:t xml:space="preserve"> is the total number of U-bars (</w:t>
      </w:r>
      <w:r w:rsidRPr="001455DC">
        <w:rPr>
          <w:rStyle w:val="CCMCvariableitalic"/>
        </w:rPr>
        <w:t>n</w:t>
      </w:r>
      <w:r w:rsidRPr="001455DC">
        <w:rPr>
          <w:rStyle w:val="CCMCvariablesubscript"/>
        </w:rPr>
        <w:t>s</w:t>
      </w:r>
      <w:r w:rsidRPr="001455DC">
        <w:t> </w:t>
      </w:r>
      <w:r w:rsidR="00EC27D2" w:rsidRPr="001455DC">
        <w:rPr>
          <w:rFonts w:ascii="Cambria Math" w:hAnsi="Cambria Math"/>
        </w:rPr>
        <w:t>=</w:t>
      </w:r>
      <w:r w:rsidRPr="001455DC">
        <w:t xml:space="preserve"> 5 in the example of Figure 11.14c)). Multiple overlaps may also be treated as an assembly of single overlaps where </w:t>
      </w:r>
      <w:r w:rsidRPr="001455DC">
        <w:rPr>
          <w:rStyle w:val="CCMCvariableitalic"/>
        </w:rPr>
        <w:t>c</w:t>
      </w:r>
      <w:r w:rsidRPr="001455DC">
        <w:rPr>
          <w:rStyle w:val="CCMCvariablesubscript"/>
        </w:rPr>
        <w:t>s</w:t>
      </w:r>
      <w:r w:rsidRPr="001455DC">
        <w:t xml:space="preserve"> is taken as the smaller of </w:t>
      </w:r>
      <w:r w:rsidRPr="001455DC">
        <w:rPr>
          <w:rStyle w:val="CCMCvariableitalic"/>
        </w:rPr>
        <w:t>c</w:t>
      </w:r>
      <w:r w:rsidRPr="001455DC">
        <w:rPr>
          <w:rStyle w:val="CCMCvariablesubscript"/>
        </w:rPr>
        <w:t>s1</w:t>
      </w:r>
      <w:r w:rsidRPr="001455DC">
        <w:t xml:space="preserve"> and </w:t>
      </w:r>
      <w:r w:rsidRPr="001455DC">
        <w:rPr>
          <w:rStyle w:val="CCMCvariableitalic"/>
        </w:rPr>
        <w:t>c</w:t>
      </w:r>
      <w:r w:rsidRPr="001455DC">
        <w:rPr>
          <w:rStyle w:val="CCMCvariablesubscript"/>
        </w:rPr>
        <w:t>s2</w:t>
      </w:r>
      <w:r w:rsidRPr="001455DC">
        <w:t>.</w:t>
      </w:r>
    </w:p>
    <w:p w14:paraId="159A38C3" w14:textId="60483AA0" w:rsidR="004E22C1" w:rsidRPr="001455DC" w:rsidRDefault="004E22C1" w:rsidP="00E844D2">
      <w:pPr>
        <w:pStyle w:val="a7"/>
        <w:keepNext/>
      </w:pPr>
      <w:r w:rsidRPr="001455DC">
        <w:t>(4)</w:t>
      </w:r>
      <w:r w:rsidRPr="001455DC">
        <w:tab/>
        <w:t xml:space="preserve">To avoid brittle behaviour, a minimum amount of confinement reinforcement should be placed in a double symmetric configuration within </w:t>
      </w:r>
      <w:r w:rsidRPr="001455DC">
        <w:rPr>
          <w:rStyle w:val="CCMCvariableitalic"/>
        </w:rPr>
        <w:t>A</w:t>
      </w:r>
      <w:r w:rsidRPr="001455DC">
        <w:rPr>
          <w:rStyle w:val="CCMCvariablesubscript"/>
        </w:rPr>
        <w:t>c</w:t>
      </w:r>
      <w:r w:rsidRPr="001455DC">
        <w:t xml:space="preserve"> (see e.g. Figure 11.14a)):</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B25AB7" w:rsidRPr="001455DC" w14:paraId="7E726A20" w14:textId="77777777" w:rsidTr="00F523AB">
        <w:trPr>
          <w:cantSplit/>
        </w:trPr>
        <w:tc>
          <w:tcPr>
            <w:tcW w:w="8505" w:type="dxa"/>
            <w:vAlign w:val="center"/>
          </w:tcPr>
          <w:p w14:paraId="7F4DAC70" w14:textId="0F828E1D" w:rsidR="00B25AB7" w:rsidRPr="001455DC" w:rsidRDefault="00231E33" w:rsidP="00F523AB">
            <w:pPr>
              <w:pStyle w:val="Formula"/>
              <w:jc w:val="left"/>
            </w:pPr>
            <m:oMathPara>
              <m:oMathParaPr>
                <m:jc m:val="left"/>
              </m:oMathParaPr>
              <m:oMath>
                <m:sSub>
                  <m:sSubPr>
                    <m:ctrlPr>
                      <w:rPr>
                        <w:rFonts w:ascii="Cambria Math" w:hAnsi="Cambria Math"/>
                      </w:rPr>
                    </m:ctrlPr>
                  </m:sSubPr>
                  <m:e>
                    <m:r>
                      <w:rPr>
                        <w:rFonts w:ascii="Cambria Math" w:hAnsi="Cambria Math"/>
                      </w:rPr>
                      <m:t>A</m:t>
                    </m:r>
                  </m:e>
                  <m:sub>
                    <m:r>
                      <m:rPr>
                        <m:sty m:val="p"/>
                      </m:rPr>
                      <w:rPr>
                        <w:rFonts w:ascii="Cambria Math" w:hAnsi="Cambria Math"/>
                      </w:rPr>
                      <m:t>st</m:t>
                    </m:r>
                  </m:sub>
                </m:sSub>
                <m:r>
                  <w:rPr>
                    <w:rFonts w:ascii="Cambria Math" w:hAnsi="Cambria Math"/>
                  </w:rPr>
                  <m:t>≥0,5</m:t>
                </m:r>
                <m:rad>
                  <m:radPr>
                    <m:degHide m:val="1"/>
                    <m:ctrlPr>
                      <w:rPr>
                        <w:rFonts w:ascii="Cambria Math" w:hAnsi="Cambria Math"/>
                      </w:rPr>
                    </m:ctrlPr>
                  </m:radPr>
                  <m:deg/>
                  <m:e>
                    <m:sSub>
                      <m:sSubPr>
                        <m:ctrlPr>
                          <w:rPr>
                            <w:rFonts w:ascii="Cambria Math" w:hAnsi="Cambria Math"/>
                          </w:rPr>
                        </m:ctrlPr>
                      </m:sSubPr>
                      <m:e>
                        <m:r>
                          <w:rPr>
                            <w:rFonts w:ascii="Cambria Math" w:hAnsi="Cambria Math"/>
                          </w:rPr>
                          <m:t>f</m:t>
                        </m:r>
                      </m:e>
                      <m:sub>
                        <m:r>
                          <m:rPr>
                            <m:sty m:val="p"/>
                          </m:rPr>
                          <w:rPr>
                            <w:rFonts w:ascii="Cambria Math" w:hAnsi="Cambria Math"/>
                          </w:rPr>
                          <m:t>ck</m:t>
                        </m:r>
                      </m:sub>
                    </m:sSub>
                  </m:e>
                </m:rad>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c</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yk</m:t>
                        </m:r>
                      </m:sub>
                    </m:sSub>
                  </m:den>
                </m:f>
              </m:oMath>
            </m:oMathPara>
          </w:p>
        </w:tc>
        <w:tc>
          <w:tcPr>
            <w:tcW w:w="1247" w:type="dxa"/>
            <w:vAlign w:val="center"/>
          </w:tcPr>
          <w:p w14:paraId="61DD3621" w14:textId="24558F96" w:rsidR="00B25AB7" w:rsidRPr="001455DC" w:rsidRDefault="00B25AB7" w:rsidP="00F523AB">
            <w:pPr>
              <w:pStyle w:val="a7"/>
              <w:jc w:val="right"/>
            </w:pPr>
            <w:r w:rsidRPr="001455DC">
              <w:t>(11.13)</w:t>
            </w:r>
          </w:p>
        </w:tc>
      </w:tr>
    </w:tbl>
    <w:p w14:paraId="4B0631E4" w14:textId="65EA1583" w:rsidR="004E22C1" w:rsidRPr="001455DC" w:rsidRDefault="004E22C1" w:rsidP="00243590">
      <w:pPr>
        <w:pStyle w:val="31"/>
      </w:pPr>
      <w:bookmarkStart w:id="852" w:name="_Toc52820044"/>
      <w:bookmarkStart w:id="853" w:name="_Toc54337444"/>
      <w:bookmarkStart w:id="854" w:name="_Toc54338100"/>
      <w:bookmarkStart w:id="855" w:name="_Toc67565444"/>
      <w:r w:rsidRPr="001455DC">
        <w:t>Laps using headed bars</w:t>
      </w:r>
      <w:bookmarkEnd w:id="852"/>
      <w:bookmarkEnd w:id="853"/>
      <w:bookmarkEnd w:id="854"/>
      <w:bookmarkEnd w:id="855"/>
    </w:p>
    <w:p w14:paraId="47B4DCE8" w14:textId="77777777" w:rsidR="004E22C1" w:rsidRPr="001455DC" w:rsidRDefault="004E22C1" w:rsidP="00B25AB7">
      <w:pPr>
        <w:pStyle w:val="a7"/>
      </w:pPr>
      <w:r w:rsidRPr="001455DC">
        <w:t>(1)</w:t>
      </w:r>
      <w:r w:rsidRPr="001455DC">
        <w:tab/>
        <w:t>Transfer of tension between reinforcing steel bars may be achieved by overlapping headed bars (Figure 11.15). Overlapping headed bars may be single (Figure 11.15b)) or multiple (Figure 11.15c)) and should be anchored for the design force outside the connection.</w:t>
      </w:r>
    </w:p>
    <w:p w14:paraId="008B8B66" w14:textId="54BD9B97" w:rsidR="004E22C1" w:rsidRPr="001455DC" w:rsidRDefault="00723CF7" w:rsidP="00F523AB">
      <w:pPr>
        <w:pStyle w:val="FigureImage"/>
      </w:pPr>
      <w:r>
        <w:rPr>
          <w:noProof/>
          <w:lang w:eastAsia="en-GB"/>
        </w:rPr>
        <w:fldChar w:fldCharType="begin"/>
      </w:r>
      <w:r>
        <w:rPr>
          <w:noProof/>
          <w:lang w:eastAsia="en-GB"/>
        </w:rPr>
        <w:instrText xml:space="preserve"> INCLUDEPICTURE  "Y:\\STD_MGT\\STDDEL\\PRODUCTION\\etrans\\Download\\Z_FIRST_DEL\\SV\\00250\\00250269\\41_e_dr\\11_015.tif"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"Y:\\STD_MGT\\STDDEL\\PRODUCTION\\Standards\\00250\\269\\41_e_dr\\11_015.tif"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"Y:\\STD_MGT\\STDDEL\\PRODUCTION\\Standards\\00250\\269\\41_e_dr\\11_015.tif"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"Y:\\STD_MGT\\STDDEL\\PRODUCTION\\Standards\\00250\\269\\41_e_dr\\11_015.tif"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"Y:\\STD_MGT\\STDDEL\\PRODUCTION\\Standards\\00250\\269\\41_e_dr\\11_015.tif"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"Y:\\STD_MGT\\STDDEL\\PRODUCTION\\Standards\\00250\\269\\41_e_dr\\11_015.tif"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"C:\\Users\\a.dionysiou\\AppData\\Local\\Temp\\Temp1_00250269_e_20210902.zip.zip\\41_e_dr\\11_015.tif"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0263FF4D">
          <v:shape id="_x0000_i1251" type="#_x0000_t75" style="width:237pt;height:315pt">
            <v:imagedata r:id="rId472" r:href="rId473"/>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046F76BD" w14:textId="77777777" w:rsidR="004E22C1" w:rsidRPr="004E7F30" w:rsidRDefault="004E22C1" w:rsidP="00F523AB">
      <w:pPr>
        <w:pStyle w:val="FigureText"/>
      </w:pPr>
      <w:r w:rsidRPr="004E7F30">
        <w:t>a) elevation view</w:t>
      </w:r>
    </w:p>
    <w:p w14:paraId="432AEA5B" w14:textId="77777777" w:rsidR="004E22C1" w:rsidRPr="004E7F30" w:rsidRDefault="004E22C1" w:rsidP="00F523AB">
      <w:pPr>
        <w:pStyle w:val="FigureText"/>
      </w:pPr>
      <w:r w:rsidRPr="004E7F30">
        <w:t>b) plan view of single lap</w:t>
      </w:r>
    </w:p>
    <w:p w14:paraId="606D8526" w14:textId="09B5AD9C" w:rsidR="004E22C1" w:rsidRPr="004E7F30" w:rsidRDefault="004E22C1" w:rsidP="00F523AB">
      <w:pPr>
        <w:pStyle w:val="FigureText"/>
      </w:pPr>
      <w:r w:rsidRPr="004E7F30">
        <w:t>c) plan view of multiple lap</w:t>
      </w:r>
      <w:r w:rsidR="00FD111C" w:rsidRPr="004E7F30">
        <w:t>s</w:t>
      </w:r>
    </w:p>
    <w:p w14:paraId="58F66FAC" w14:textId="77777777" w:rsidR="00F523AB" w:rsidRPr="001455DC" w:rsidRDefault="00F523AB" w:rsidP="00DB201D">
      <w:pPr>
        <w:pStyle w:val="KeyTitle"/>
      </w:pPr>
      <w:r w:rsidRPr="001455DC">
        <w:t>Key</w:t>
      </w:r>
    </w:p>
    <w:tbl>
      <w:tblPr>
        <w:tblW w:w="9809" w:type="dxa"/>
        <w:tblLayout w:type="fixed"/>
        <w:tblCellMar>
          <w:left w:w="28" w:type="dxa"/>
          <w:right w:w="28" w:type="dxa"/>
        </w:tblCellMar>
        <w:tblLook w:val="0000" w:firstRow="0" w:lastRow="0" w:firstColumn="0" w:lastColumn="0" w:noHBand="0" w:noVBand="0"/>
      </w:tblPr>
      <w:tblGrid>
        <w:gridCol w:w="397"/>
        <w:gridCol w:w="9412"/>
      </w:tblGrid>
      <w:tr w:rsidR="00F523AB" w:rsidRPr="001455DC" w14:paraId="4E35D338" w14:textId="77777777" w:rsidTr="00F523AB">
        <w:tc>
          <w:tcPr>
            <w:tcW w:w="397" w:type="dxa"/>
            <w:shd w:val="clear" w:color="auto" w:fill="auto"/>
          </w:tcPr>
          <w:p w14:paraId="0126FABF" w14:textId="584558DC" w:rsidR="00F523AB" w:rsidRPr="001455DC" w:rsidRDefault="004E7F30" w:rsidP="00D86695">
            <w:pPr>
              <w:pStyle w:val="KeyText"/>
              <w:tabs>
                <w:tab w:val="clear" w:pos="346"/>
              </w:tabs>
              <w:ind w:left="0" w:firstLine="0"/>
            </w:pPr>
            <w:r>
              <w:t>1</w:t>
            </w:r>
          </w:p>
        </w:tc>
        <w:tc>
          <w:tcPr>
            <w:tcW w:w="9412" w:type="dxa"/>
            <w:shd w:val="clear" w:color="auto" w:fill="auto"/>
          </w:tcPr>
          <w:p w14:paraId="4F6E1C05" w14:textId="053DB80A" w:rsidR="00F523AB" w:rsidRPr="001455DC" w:rsidRDefault="0079403C" w:rsidP="00D86695">
            <w:pPr>
              <w:pStyle w:val="KeyText"/>
              <w:tabs>
                <w:tab w:val="clear" w:pos="346"/>
              </w:tabs>
              <w:ind w:left="0" w:firstLine="0"/>
            </w:pPr>
            <w:r>
              <w:rPr>
                <w:rFonts w:eastAsia="Cambria"/>
              </w:rPr>
              <w:t>t</w:t>
            </w:r>
            <w:r w:rsidR="00F523AB" w:rsidRPr="001455DC">
              <w:rPr>
                <w:rFonts w:eastAsia="Cambria"/>
              </w:rPr>
              <w:t xml:space="preserve">ransverse reinforcement </w:t>
            </w:r>
            <w:r w:rsidR="00F523AB" w:rsidRPr="001455DC">
              <w:rPr>
                <w:rStyle w:val="CCMCvariableitalic"/>
              </w:rPr>
              <w:t>A</w:t>
            </w:r>
            <w:r w:rsidR="00F523AB" w:rsidRPr="001455DC">
              <w:rPr>
                <w:rStyle w:val="CCMCvariablesubscript"/>
              </w:rPr>
              <w:t>st</w:t>
            </w:r>
          </w:p>
        </w:tc>
      </w:tr>
      <w:tr w:rsidR="00F523AB" w:rsidRPr="001455DC" w14:paraId="662755DB" w14:textId="77777777" w:rsidTr="00F523AB">
        <w:tc>
          <w:tcPr>
            <w:tcW w:w="397" w:type="dxa"/>
            <w:shd w:val="clear" w:color="auto" w:fill="auto"/>
          </w:tcPr>
          <w:p w14:paraId="01F4E3C3" w14:textId="1EE82FE5" w:rsidR="00F523AB" w:rsidRPr="001455DC" w:rsidRDefault="004E7F30" w:rsidP="00D86695">
            <w:pPr>
              <w:pStyle w:val="KeyText"/>
              <w:tabs>
                <w:tab w:val="clear" w:pos="346"/>
              </w:tabs>
              <w:ind w:left="0" w:firstLine="0"/>
            </w:pPr>
            <w:r>
              <w:t>2</w:t>
            </w:r>
          </w:p>
        </w:tc>
        <w:tc>
          <w:tcPr>
            <w:tcW w:w="9412" w:type="dxa"/>
            <w:shd w:val="clear" w:color="auto" w:fill="auto"/>
          </w:tcPr>
          <w:p w14:paraId="2AD27034" w14:textId="7E3923F3" w:rsidR="00F523AB" w:rsidRPr="001455DC" w:rsidRDefault="0079403C" w:rsidP="00D86695">
            <w:pPr>
              <w:pStyle w:val="KeyText"/>
              <w:tabs>
                <w:tab w:val="clear" w:pos="346"/>
              </w:tabs>
              <w:ind w:left="0" w:firstLine="0"/>
            </w:pPr>
            <w:r>
              <w:rPr>
                <w:rFonts w:eastAsia="Cambria"/>
              </w:rPr>
              <w:t>t</w:t>
            </w:r>
            <w:r w:rsidR="00F523AB" w:rsidRPr="001455DC">
              <w:rPr>
                <w:rFonts w:eastAsia="Cambria"/>
              </w:rPr>
              <w:t xml:space="preserve">ie down reinforcement </w:t>
            </w:r>
            <w:r w:rsidR="00F523AB" w:rsidRPr="001455DC">
              <w:rPr>
                <w:rStyle w:val="CCMCvariableitalic"/>
              </w:rPr>
              <w:t>A</w:t>
            </w:r>
            <w:r w:rsidR="00F523AB" w:rsidRPr="001455DC">
              <w:rPr>
                <w:rStyle w:val="CCMCvariablesubscript"/>
              </w:rPr>
              <w:t>std</w:t>
            </w:r>
          </w:p>
        </w:tc>
      </w:tr>
    </w:tbl>
    <w:p w14:paraId="499B7D63" w14:textId="77777777" w:rsidR="004E22C1" w:rsidRPr="001455DC" w:rsidRDefault="004E22C1" w:rsidP="00F523AB">
      <w:pPr>
        <w:pStyle w:val="Figuretitle"/>
      </w:pPr>
      <w:r w:rsidRPr="001455DC">
        <w:t>Figure 11.15 — Laps using headed bars</w:t>
      </w:r>
    </w:p>
    <w:p w14:paraId="1B76F8AC" w14:textId="77777777" w:rsidR="004E22C1" w:rsidRPr="001455DC" w:rsidRDefault="004E22C1" w:rsidP="00F523AB">
      <w:pPr>
        <w:pStyle w:val="a7"/>
      </w:pPr>
      <w:r w:rsidRPr="001455DC">
        <w:t>(2)</w:t>
      </w:r>
      <w:r w:rsidRPr="001455DC">
        <w:tab/>
        <w:t>The geometry of the heads of the headed bars should comply with 11.4.5(1).</w:t>
      </w:r>
    </w:p>
    <w:p w14:paraId="3E2E8EBD" w14:textId="77777777" w:rsidR="004E22C1" w:rsidRPr="001455DC" w:rsidRDefault="004E22C1" w:rsidP="00F523AB">
      <w:pPr>
        <w:pStyle w:val="a7"/>
      </w:pPr>
      <w:r w:rsidRPr="001455DC">
        <w:t>(3)</w:t>
      </w:r>
      <w:r w:rsidRPr="001455DC">
        <w:tab/>
        <w:t>The maximum tensile force developed in each bar should be limited by 11.4.5(2).</w:t>
      </w:r>
    </w:p>
    <w:p w14:paraId="6CD1466E" w14:textId="772D399E" w:rsidR="00F523AB" w:rsidRPr="001455DC" w:rsidRDefault="004E22C1" w:rsidP="00E844D2">
      <w:pPr>
        <w:pStyle w:val="a7"/>
        <w:keepNext/>
      </w:pPr>
      <w:r w:rsidRPr="001455DC">
        <w:t>(4)</w:t>
      </w:r>
      <w:r w:rsidRPr="001455DC">
        <w:tab/>
        <w:t xml:space="preserve">The resistance of a single headed bar lap splice shown in Figure 11.15b) should be checked using as criterion the crushing strength </w:t>
      </w:r>
      <w:r w:rsidRPr="001455DC">
        <w:rPr>
          <w:rStyle w:val="CCMCvariableitalic"/>
        </w:rPr>
        <w:t>T</w:t>
      </w:r>
      <w:r w:rsidRPr="001455DC">
        <w:rPr>
          <w:rStyle w:val="CCMCvariablesubscript"/>
        </w:rPr>
        <w:t>Rd,c</w:t>
      </w:r>
      <w:r w:rsidRPr="001455DC">
        <w:t xml:space="preserve"> of the concrete between the two heads. For 0 </w:t>
      </w:r>
      <w:r w:rsidR="00650035" w:rsidRPr="001455DC">
        <w:rPr>
          <w:rFonts w:ascii="Cambria Math" w:hAnsi="Cambria Math"/>
        </w:rPr>
        <w:t>≤</w:t>
      </w:r>
      <w:r w:rsidRPr="001455DC">
        <w:t> </w:t>
      </w:r>
      <w:r w:rsidRPr="001455DC">
        <w:rPr>
          <w:rStyle w:val="CCMCvariableitalic"/>
        </w:rPr>
        <w:t>c</w:t>
      </w:r>
      <w:r w:rsidRPr="001455DC">
        <w:rPr>
          <w:rStyle w:val="CCMCvariablesubscript"/>
        </w:rPr>
        <w:t>s</w:t>
      </w:r>
      <w:r w:rsidRPr="001455DC">
        <w:t> </w:t>
      </w:r>
      <w:r w:rsidR="00650035" w:rsidRPr="001455DC">
        <w:rPr>
          <w:rFonts w:ascii="Cambria Math" w:hAnsi="Cambria Math"/>
        </w:rPr>
        <w:t>≤</w:t>
      </w:r>
      <w:r w:rsidRPr="001455DC">
        <w:t> 0,5</w:t>
      </w:r>
      <w:r w:rsidRPr="001455DC">
        <w:rPr>
          <w:rStyle w:val="CCMCvariableitalic"/>
        </w:rPr>
        <w:t>l</w:t>
      </w:r>
      <w:r w:rsidRPr="001455DC">
        <w:rPr>
          <w:rStyle w:val="CCMCvariablesubscript"/>
        </w:rPr>
        <w:t>sd</w:t>
      </w:r>
      <w:r w:rsidRPr="001455DC">
        <w:t xml:space="preserve">, </w:t>
      </w:r>
      <w:r w:rsidRPr="001455DC">
        <w:rPr>
          <w:rStyle w:val="CCMCvariableitalic"/>
        </w:rPr>
        <w:t>T</w:t>
      </w:r>
      <w:r w:rsidRPr="001455DC">
        <w:rPr>
          <w:rStyle w:val="CCMCvariablesubscript"/>
        </w:rPr>
        <w:t>Rd,c</w:t>
      </w:r>
      <w:r w:rsidRPr="001455DC">
        <w:t xml:space="preserve"> may be calculated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F523AB" w:rsidRPr="001455DC" w14:paraId="4C3554A4" w14:textId="77777777" w:rsidTr="00F523AB">
        <w:trPr>
          <w:cantSplit/>
        </w:trPr>
        <w:tc>
          <w:tcPr>
            <w:tcW w:w="8505" w:type="dxa"/>
            <w:vAlign w:val="center"/>
          </w:tcPr>
          <w:p w14:paraId="3387EC30" w14:textId="7A4CEE5A" w:rsidR="00F523AB" w:rsidRPr="001455DC" w:rsidRDefault="00231E33" w:rsidP="00F523AB">
            <w:pPr>
              <w:pStyle w:val="Formula"/>
              <w:jc w:val="left"/>
            </w:pPr>
            <m:oMathPara>
              <m:oMathParaPr>
                <m:jc m:val="left"/>
              </m:oMathParaPr>
              <m:oMath>
                <m:sSub>
                  <m:sSubPr>
                    <m:ctrlPr>
                      <w:rPr>
                        <w:rFonts w:ascii="Cambria Math" w:hAnsi="Cambria Math"/>
                      </w:rPr>
                    </m:ctrlPr>
                  </m:sSubPr>
                  <m:e>
                    <m:r>
                      <w:rPr>
                        <w:rFonts w:ascii="Cambria Math" w:hAnsi="Cambria Math"/>
                      </w:rPr>
                      <m:t>T</m:t>
                    </m:r>
                  </m:e>
                  <m:sub>
                    <m:r>
                      <m:rPr>
                        <m:sty m:val="p"/>
                      </m:rPr>
                      <w:rPr>
                        <w:rFonts w:ascii="Cambria Math" w:hAnsi="Cambria Math"/>
                      </w:rPr>
                      <m:t>Rd,c</m:t>
                    </m:r>
                  </m:sub>
                </m:sSub>
                <m:r>
                  <w:rPr>
                    <w:rFonts w:ascii="Cambria Math" w:hAnsi="Cambria Math"/>
                  </w:rPr>
                  <m:t>=0,6</m:t>
                </m:r>
                <m:sSub>
                  <m:sSubPr>
                    <m:ctrlPr>
                      <w:rPr>
                        <w:rFonts w:ascii="Cambria Math" w:hAnsi="Cambria Math"/>
                      </w:rPr>
                    </m:ctrlPr>
                  </m:sSubPr>
                  <m:e>
                    <m:r>
                      <w:rPr>
                        <w:rFonts w:ascii="Cambria Math" w:hAnsi="Cambria Math"/>
                      </w:rPr>
                      <m:t>f</m:t>
                    </m:r>
                  </m:e>
                  <m:sub>
                    <m:r>
                      <m:rPr>
                        <m:sty m:val="p"/>
                      </m:rPr>
                      <w:rPr>
                        <w:rFonts w:ascii="Cambria Math" w:hAnsi="Cambria Math"/>
                      </w:rPr>
                      <m:t>cd</m:t>
                    </m:r>
                  </m:sub>
                </m:sSub>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c</m:t>
                    </m:r>
                  </m:sub>
                </m:sSub>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dg</m:t>
                                </m:r>
                              </m:sub>
                            </m:sSub>
                          </m:num>
                          <m:den>
                            <m:sSub>
                              <m:sSubPr>
                                <m:ctrlPr>
                                  <w:rPr>
                                    <w:rFonts w:ascii="Cambria Math" w:hAnsi="Cambria Math"/>
                                  </w:rPr>
                                </m:ctrlPr>
                              </m:sSubPr>
                              <m:e>
                                <m:r>
                                  <w:rPr>
                                    <w:rFonts w:ascii="Cambria Math" w:hAnsi="Cambria Math"/>
                                  </w:rPr>
                                  <m:t>l</m:t>
                                </m:r>
                              </m:e>
                              <m:sub>
                                <m:r>
                                  <m:rPr>
                                    <m:sty m:val="p"/>
                                  </m:rPr>
                                  <w:rPr>
                                    <w:rFonts w:ascii="Cambria Math" w:hAnsi="Cambria Math"/>
                                  </w:rPr>
                                  <m:t>sd</m:t>
                                </m:r>
                              </m:sub>
                            </m:sSub>
                            <m:r>
                              <w:rPr>
                                <w:rFonts w:ascii="Cambria Math" w:hAnsi="Cambria Math"/>
                              </w:rPr>
                              <m:t>-2ϕ</m:t>
                            </m:r>
                          </m:den>
                        </m:f>
                      </m:e>
                    </m:d>
                  </m:e>
                  <m:sup>
                    <m:f>
                      <m:fPr>
                        <m:ctrlPr>
                          <w:rPr>
                            <w:rFonts w:ascii="Cambria Math" w:hAnsi="Cambria Math"/>
                          </w:rPr>
                        </m:ctrlPr>
                      </m:fPr>
                      <m:num>
                        <m:r>
                          <w:rPr>
                            <w:rFonts w:ascii="Cambria Math" w:hAnsi="Cambria Math"/>
                          </w:rPr>
                          <m:t>1</m:t>
                        </m:r>
                      </m:num>
                      <m:den>
                        <m:r>
                          <w:rPr>
                            <w:rFonts w:ascii="Cambria Math" w:hAnsi="Cambria Math"/>
                          </w:rPr>
                          <m:t>3</m:t>
                        </m:r>
                      </m:den>
                    </m:f>
                  </m:sup>
                </m:sSup>
                <m:r>
                  <w:rPr>
                    <w:rFonts w:ascii="Cambria Math" w:hAnsi="Cambria Math"/>
                  </w:rPr>
                  <m:t>⋅</m:t>
                </m:r>
                <m:d>
                  <m:dPr>
                    <m:sepChr m:val=""/>
                    <m:ctrlPr>
                      <w:rPr>
                        <w:rFonts w:ascii="Cambria Math" w:hAnsi="Cambria Math"/>
                      </w:rPr>
                    </m:ctrlPr>
                  </m:dPr>
                  <m:e>
                    <m:rad>
                      <m:radPr>
                        <m:degHide m:val="1"/>
                        <m:ctrlPr>
                          <w:rPr>
                            <w:rFonts w:ascii="Cambria Math" w:hAnsi="Cambria Math"/>
                          </w:rPr>
                        </m:ctrlPr>
                      </m:radPr>
                      <m:deg/>
                      <m:e>
                        <m:sSub>
                          <m:sSubPr>
                            <m:ctrlPr>
                              <w:rPr>
                                <w:rFonts w:ascii="Cambria Math" w:hAnsi="Cambria Math"/>
                              </w:rPr>
                            </m:ctrlPr>
                          </m:sSubPr>
                          <m:e>
                            <m:r>
                              <w:rPr>
                                <w:rFonts w:ascii="Cambria Math" w:hAnsi="Cambria Math"/>
                              </w:rPr>
                              <m:t>k</m:t>
                            </m:r>
                          </m:e>
                          <m:sub>
                            <m:r>
                              <m:rPr>
                                <m:sty m:val="p"/>
                              </m:rPr>
                              <w:rPr>
                                <w:rFonts w:ascii="Cambria Math" w:hAnsi="Cambria Math"/>
                              </w:rPr>
                              <m:t>st</m:t>
                            </m:r>
                          </m:sub>
                        </m:sSub>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m:t>
                                        </m:r>
                                      </m:e>
                                      <m:sub>
                                        <m:r>
                                          <m:rPr>
                                            <m:sty m:val="p"/>
                                          </m:rPr>
                                          <w:rPr>
                                            <w:rFonts w:ascii="Cambria Math" w:hAnsi="Cambria Math"/>
                                          </w:rPr>
                                          <m:t>s</m:t>
                                        </m:r>
                                      </m:sub>
                                    </m:sSub>
                                  </m:num>
                                  <m:den>
                                    <m:sSub>
                                      <m:sSubPr>
                                        <m:ctrlPr>
                                          <w:rPr>
                                            <w:rFonts w:ascii="Cambria Math" w:hAnsi="Cambria Math"/>
                                          </w:rPr>
                                        </m:ctrlPr>
                                      </m:sSubPr>
                                      <m:e>
                                        <m:r>
                                          <w:rPr>
                                            <w:rFonts w:ascii="Cambria Math" w:hAnsi="Cambria Math"/>
                                          </w:rPr>
                                          <m:t>l</m:t>
                                        </m:r>
                                      </m:e>
                                      <m:sub>
                                        <m:r>
                                          <m:rPr>
                                            <m:sty m:val="p"/>
                                          </m:rPr>
                                          <w:rPr>
                                            <w:rFonts w:ascii="Cambria Math" w:hAnsi="Cambria Math"/>
                                          </w:rPr>
                                          <m:t>sd</m:t>
                                        </m:r>
                                      </m:sub>
                                    </m:sSub>
                                    <m:r>
                                      <w:rPr>
                                        <w:rFonts w:ascii="Cambria Math" w:hAnsi="Cambria Math"/>
                                      </w:rPr>
                                      <m:t>-2ϕ</m:t>
                                    </m:r>
                                  </m:den>
                                </m:f>
                              </m:e>
                            </m:d>
                          </m:e>
                          <m:sup>
                            <m:r>
                              <w:rPr>
                                <w:rFonts w:ascii="Cambria Math" w:hAnsi="Cambria Math"/>
                              </w:rPr>
                              <m:t>2</m:t>
                            </m:r>
                          </m:sup>
                        </m:sSup>
                      </m:e>
                    </m:rad>
                  </m:e>
                  <m:e>
                    <m:r>
                      <w:rPr>
                        <w:rFonts w:ascii="Cambria Math" w:hAnsi="Cambria Math"/>
                      </w:rPr>
                      <m:t>-</m:t>
                    </m:r>
                  </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m:t>
                                </m:r>
                              </m:e>
                              <m:sub>
                                <m:r>
                                  <m:rPr>
                                    <m:sty m:val="p"/>
                                  </m:rPr>
                                  <w:rPr>
                                    <w:rFonts w:ascii="Cambria Math" w:hAnsi="Cambria Math"/>
                                  </w:rPr>
                                  <m:t>s</m:t>
                                </m:r>
                              </m:sub>
                            </m:sSub>
                          </m:num>
                          <m:den>
                            <m:sSub>
                              <m:sSubPr>
                                <m:ctrlPr>
                                  <w:rPr>
                                    <w:rFonts w:ascii="Cambria Math" w:hAnsi="Cambria Math"/>
                                  </w:rPr>
                                </m:ctrlPr>
                              </m:sSubPr>
                              <m:e>
                                <m:r>
                                  <w:rPr>
                                    <w:rFonts w:ascii="Cambria Math" w:hAnsi="Cambria Math"/>
                                  </w:rPr>
                                  <m:t>l</m:t>
                                </m:r>
                              </m:e>
                              <m:sub>
                                <m:r>
                                  <m:rPr>
                                    <m:sty m:val="p"/>
                                  </m:rPr>
                                  <w:rPr>
                                    <w:rFonts w:ascii="Cambria Math" w:hAnsi="Cambria Math"/>
                                  </w:rPr>
                                  <m:t>sd</m:t>
                                </m:r>
                              </m:sub>
                            </m:sSub>
                            <m:r>
                              <w:rPr>
                                <w:rFonts w:ascii="Cambria Math" w:hAnsi="Cambria Math"/>
                              </w:rPr>
                              <m:t>-2ϕ</m:t>
                            </m:r>
                          </m:den>
                        </m:f>
                      </m:e>
                    </m:d>
                  </m:e>
                </m:d>
              </m:oMath>
            </m:oMathPara>
          </w:p>
        </w:tc>
        <w:tc>
          <w:tcPr>
            <w:tcW w:w="1247" w:type="dxa"/>
            <w:vAlign w:val="center"/>
          </w:tcPr>
          <w:p w14:paraId="007CBB98" w14:textId="0C0CF092" w:rsidR="00F523AB" w:rsidRPr="001455DC" w:rsidRDefault="00F523AB" w:rsidP="00F523AB">
            <w:pPr>
              <w:pStyle w:val="a7"/>
              <w:jc w:val="right"/>
            </w:pPr>
            <w:r w:rsidRPr="001455DC">
              <w:t>(11.14)</w:t>
            </w:r>
          </w:p>
        </w:tc>
      </w:tr>
    </w:tbl>
    <w:p w14:paraId="7B73695A" w14:textId="77777777" w:rsidR="00F523AB" w:rsidRPr="001455DC" w:rsidRDefault="00F523AB"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7598"/>
        <w:gridCol w:w="1247"/>
      </w:tblGrid>
      <w:tr w:rsidR="00F523AB" w:rsidRPr="001455DC" w14:paraId="44B1D469" w14:textId="77777777" w:rsidTr="00F523AB">
        <w:trPr>
          <w:cantSplit/>
        </w:trPr>
        <w:tc>
          <w:tcPr>
            <w:tcW w:w="567" w:type="dxa"/>
          </w:tcPr>
          <w:p w14:paraId="159D9B15" w14:textId="1465E877" w:rsidR="00F523AB" w:rsidRPr="001455DC" w:rsidRDefault="00F523AB" w:rsidP="0000442A">
            <w:pPr>
              <w:pStyle w:val="Tablebody"/>
            </w:pPr>
            <w:r w:rsidRPr="001455DC">
              <w:rPr>
                <w:rStyle w:val="CCMCvariableitalic"/>
              </w:rPr>
              <w:t>A</w:t>
            </w:r>
            <w:r w:rsidRPr="001455DC">
              <w:rPr>
                <w:rStyle w:val="CCMCvariablesubscript"/>
              </w:rPr>
              <w:t>c</w:t>
            </w:r>
          </w:p>
        </w:tc>
        <w:tc>
          <w:tcPr>
            <w:tcW w:w="8845" w:type="dxa"/>
            <w:gridSpan w:val="2"/>
          </w:tcPr>
          <w:p w14:paraId="5A5331FE" w14:textId="15DFC0D4" w:rsidR="00F523AB" w:rsidRPr="001455DC" w:rsidRDefault="00F523AB" w:rsidP="003F41D3">
            <w:pPr>
              <w:pStyle w:val="Tablebody"/>
            </w:pPr>
            <w:r w:rsidRPr="001455DC">
              <w:t>is the effective concrete area within the heads of the over lapping bars</w:t>
            </w:r>
            <w:r w:rsidRPr="001455DC">
              <w:tab/>
              <w:t>(Figure 11.15a)):</w:t>
            </w:r>
          </w:p>
        </w:tc>
      </w:tr>
      <w:tr w:rsidR="003F41D3" w:rsidRPr="001455DC" w14:paraId="165C4005" w14:textId="77777777" w:rsidTr="003F41D3">
        <w:trPr>
          <w:cantSplit/>
        </w:trPr>
        <w:tc>
          <w:tcPr>
            <w:tcW w:w="567" w:type="dxa"/>
          </w:tcPr>
          <w:p w14:paraId="3BFE9D87" w14:textId="4437D5C0" w:rsidR="003F41D3" w:rsidRPr="001455DC" w:rsidRDefault="003F41D3" w:rsidP="0000442A">
            <w:pPr>
              <w:pStyle w:val="Tablebody"/>
            </w:pPr>
            <w:r w:rsidRPr="001455DC">
              <w:t> </w:t>
            </w:r>
          </w:p>
        </w:tc>
        <w:tc>
          <w:tcPr>
            <w:tcW w:w="7598" w:type="dxa"/>
            <w:vAlign w:val="center"/>
          </w:tcPr>
          <w:p w14:paraId="32553091" w14:textId="17D0B36C" w:rsidR="003F41D3" w:rsidRPr="001455DC" w:rsidRDefault="003F41D3" w:rsidP="003F41D3">
            <w:pPr>
              <w:pStyle w:val="Tablebody"/>
              <w:jc w:val="left"/>
            </w:pPr>
            <w:r w:rsidRPr="001455DC">
              <w:rPr>
                <w:rStyle w:val="CCMCvariableitalic"/>
              </w:rPr>
              <w:t>A</w:t>
            </w:r>
            <w:r w:rsidRPr="001455DC">
              <w:rPr>
                <w:rStyle w:val="CCMCvariablesubscript"/>
              </w:rPr>
              <w:t>c</w:t>
            </w:r>
            <w:r w:rsidRPr="001455DC">
              <w:t> </w:t>
            </w:r>
            <w:r w:rsidR="00EC27D2" w:rsidRPr="001455DC">
              <w:rPr>
                <w:rFonts w:ascii="Cambria Math" w:hAnsi="Cambria Math"/>
              </w:rPr>
              <w:t>=</w:t>
            </w:r>
            <w:r w:rsidRPr="001455DC">
              <w:t> (</w:t>
            </w:r>
            <w:r w:rsidRPr="001455DC">
              <w:rPr>
                <w:rStyle w:val="CCMCvariableitalic"/>
              </w:rPr>
              <w:t>l</w:t>
            </w:r>
            <w:r w:rsidRPr="001455DC">
              <w:rPr>
                <w:rStyle w:val="CCMCvariablesubscript"/>
              </w:rPr>
              <w:t>sd</w:t>
            </w:r>
            <w:r w:rsidRPr="001455DC">
              <w:t> </w:t>
            </w:r>
            <w:r w:rsidR="00EC27D2" w:rsidRPr="001455DC">
              <w:rPr>
                <w:rFonts w:ascii="Cambria Math" w:hAnsi="Cambria Math"/>
              </w:rPr>
              <w:t>−</w:t>
            </w:r>
            <w:r w:rsidRPr="001455DC">
              <w:t> 2</w:t>
            </w:r>
            <w:r w:rsidRPr="001455DC">
              <w:rPr>
                <w:rStyle w:val="CCMCvariableitalic"/>
              </w:rPr>
              <w:t>ϕ</w:t>
            </w:r>
            <w:r w:rsidRPr="001455DC">
              <w:t>) </w:t>
            </w:r>
            <w:r w:rsidRPr="001455DC">
              <w:rPr>
                <w:rFonts w:ascii="Cambria Math" w:hAnsi="Cambria Math" w:cs="Cambria Math"/>
              </w:rPr>
              <w:t>⋅</w:t>
            </w:r>
            <w:r w:rsidRPr="001455DC">
              <w:t> </w:t>
            </w:r>
            <w:r w:rsidRPr="001455DC">
              <w:rPr>
                <w:rStyle w:val="CCMCvariableitalic"/>
              </w:rPr>
              <w:t>b</w:t>
            </w:r>
            <w:r w:rsidRPr="001455DC">
              <w:rPr>
                <w:rStyle w:val="CCMCvariablesubscript"/>
              </w:rPr>
              <w:t>h1</w:t>
            </w:r>
            <w:r w:rsidRPr="001455DC">
              <w:tab/>
            </w:r>
          </w:p>
        </w:tc>
        <w:tc>
          <w:tcPr>
            <w:tcW w:w="1247" w:type="dxa"/>
            <w:vAlign w:val="center"/>
          </w:tcPr>
          <w:p w14:paraId="31EE19B0" w14:textId="1D56D580" w:rsidR="003F41D3" w:rsidRPr="001455DC" w:rsidRDefault="003F41D3" w:rsidP="003F41D3">
            <w:pPr>
              <w:pStyle w:val="Tablebody"/>
              <w:jc w:val="right"/>
            </w:pPr>
            <w:r w:rsidRPr="001455DC">
              <w:t>(11.15)</w:t>
            </w:r>
          </w:p>
        </w:tc>
      </w:tr>
      <w:tr w:rsidR="00F523AB" w:rsidRPr="001455DC" w14:paraId="51ACB2A3" w14:textId="77777777" w:rsidTr="00F523AB">
        <w:trPr>
          <w:cantSplit/>
        </w:trPr>
        <w:tc>
          <w:tcPr>
            <w:tcW w:w="567" w:type="dxa"/>
          </w:tcPr>
          <w:p w14:paraId="1A7FAE1B" w14:textId="44D8E712" w:rsidR="00F523AB" w:rsidRPr="001455DC" w:rsidRDefault="00F523AB" w:rsidP="0000442A">
            <w:pPr>
              <w:pStyle w:val="Tablebody"/>
            </w:pPr>
            <w:r w:rsidRPr="001455DC">
              <w:rPr>
                <w:rStyle w:val="CCMCvariableitalic"/>
              </w:rPr>
              <w:t>l</w:t>
            </w:r>
            <w:r w:rsidRPr="001455DC">
              <w:rPr>
                <w:rStyle w:val="CCMCvariablesubscript"/>
              </w:rPr>
              <w:t>sd</w:t>
            </w:r>
          </w:p>
        </w:tc>
        <w:tc>
          <w:tcPr>
            <w:tcW w:w="8845" w:type="dxa"/>
            <w:gridSpan w:val="2"/>
          </w:tcPr>
          <w:p w14:paraId="2F46FEE0" w14:textId="60307FD8" w:rsidR="00F523AB" w:rsidRPr="001455DC" w:rsidRDefault="00F523AB" w:rsidP="003F41D3">
            <w:pPr>
              <w:pStyle w:val="Tablebody"/>
            </w:pPr>
            <w:r w:rsidRPr="001455DC">
              <w:t>is the overlapping length (Figure 11.15a));</w:t>
            </w:r>
          </w:p>
        </w:tc>
      </w:tr>
      <w:tr w:rsidR="00F523AB" w:rsidRPr="001455DC" w14:paraId="5A2047F6" w14:textId="77777777" w:rsidTr="00F523AB">
        <w:trPr>
          <w:cantSplit/>
        </w:trPr>
        <w:tc>
          <w:tcPr>
            <w:tcW w:w="567" w:type="dxa"/>
          </w:tcPr>
          <w:p w14:paraId="5C9B386C" w14:textId="207FA01E" w:rsidR="00F523AB" w:rsidRPr="001455DC" w:rsidRDefault="00F523AB" w:rsidP="0000442A">
            <w:pPr>
              <w:pStyle w:val="Tablebody"/>
            </w:pPr>
            <w:r w:rsidRPr="001455DC">
              <w:rPr>
                <w:rStyle w:val="CCMCvariableitalic"/>
              </w:rPr>
              <w:t>d</w:t>
            </w:r>
            <w:r w:rsidRPr="001455DC">
              <w:rPr>
                <w:rStyle w:val="CCMCvariablesubscript"/>
              </w:rPr>
              <w:t>dg</w:t>
            </w:r>
          </w:p>
        </w:tc>
        <w:tc>
          <w:tcPr>
            <w:tcW w:w="8845" w:type="dxa"/>
            <w:gridSpan w:val="2"/>
          </w:tcPr>
          <w:p w14:paraId="49D060D9" w14:textId="6D2E1E59" w:rsidR="00F523AB" w:rsidRPr="001455DC" w:rsidRDefault="00F523AB" w:rsidP="003F41D3">
            <w:pPr>
              <w:pStyle w:val="Tablebody"/>
            </w:pPr>
            <w:r w:rsidRPr="001455DC">
              <w:t>is a coefficient that takes into account the concrete type and its aggregate properties according to 8.2.1(4);</w:t>
            </w:r>
          </w:p>
        </w:tc>
      </w:tr>
      <w:tr w:rsidR="00F523AB" w:rsidRPr="001455DC" w14:paraId="6997737B" w14:textId="77777777" w:rsidTr="00F523AB">
        <w:trPr>
          <w:cantSplit/>
        </w:trPr>
        <w:tc>
          <w:tcPr>
            <w:tcW w:w="567" w:type="dxa"/>
          </w:tcPr>
          <w:p w14:paraId="15F20B14" w14:textId="54B2E800" w:rsidR="00F523AB" w:rsidRPr="001455DC" w:rsidRDefault="00F523AB" w:rsidP="0000442A">
            <w:pPr>
              <w:pStyle w:val="Tablebody"/>
            </w:pPr>
            <w:r w:rsidRPr="001455DC">
              <w:rPr>
                <w:rStyle w:val="CCMCvariableitalic"/>
              </w:rPr>
              <w:t>b</w:t>
            </w:r>
            <w:r w:rsidRPr="001455DC">
              <w:rPr>
                <w:rStyle w:val="CCMCvariablesubscript"/>
              </w:rPr>
              <w:t>h1</w:t>
            </w:r>
          </w:p>
        </w:tc>
        <w:tc>
          <w:tcPr>
            <w:tcW w:w="8845" w:type="dxa"/>
            <w:gridSpan w:val="2"/>
          </w:tcPr>
          <w:p w14:paraId="019FC6BA" w14:textId="58916095" w:rsidR="00F523AB" w:rsidRPr="001455DC" w:rsidRDefault="00F523AB" w:rsidP="003F41D3">
            <w:pPr>
              <w:pStyle w:val="Tablebody"/>
            </w:pPr>
            <w:r w:rsidRPr="001455DC">
              <w:t xml:space="preserve">is </w:t>
            </w:r>
            <w:r w:rsidRPr="001455DC">
              <w:rPr>
                <w:rFonts w:eastAsiaTheme="minorEastAsia"/>
              </w:rPr>
              <w:t xml:space="preserve">effective width of the head perpendicular to the plane of the lap (for circular head with diameter </w:t>
            </w:r>
            <w:r w:rsidRPr="001455DC">
              <w:rPr>
                <w:rStyle w:val="CCMCvariableitalic"/>
              </w:rPr>
              <w:t>ϕ</w:t>
            </w:r>
            <w:r w:rsidRPr="001455DC">
              <w:rPr>
                <w:rStyle w:val="CCMCvariablesubscript"/>
              </w:rPr>
              <w:t>h</w:t>
            </w:r>
            <w:r w:rsidRPr="001455DC">
              <w:rPr>
                <w:rFonts w:eastAsiaTheme="minorEastAsia"/>
              </w:rPr>
              <w:t>:</w:t>
            </w:r>
          </w:p>
        </w:tc>
      </w:tr>
      <w:tr w:rsidR="003F41D3" w:rsidRPr="001455DC" w14:paraId="207FE5C9" w14:textId="77777777" w:rsidTr="003F41D3">
        <w:trPr>
          <w:cantSplit/>
        </w:trPr>
        <w:tc>
          <w:tcPr>
            <w:tcW w:w="567" w:type="dxa"/>
          </w:tcPr>
          <w:p w14:paraId="2E9E9F6D" w14:textId="13852720" w:rsidR="003F41D3" w:rsidRPr="001455DC" w:rsidRDefault="003F41D3" w:rsidP="0000442A">
            <w:pPr>
              <w:pStyle w:val="Tablebody"/>
            </w:pPr>
            <w:r w:rsidRPr="001455DC">
              <w:t> </w:t>
            </w:r>
          </w:p>
        </w:tc>
        <w:tc>
          <w:tcPr>
            <w:tcW w:w="7598" w:type="dxa"/>
            <w:vAlign w:val="center"/>
          </w:tcPr>
          <w:p w14:paraId="7CD564CA" w14:textId="00212F13" w:rsidR="003F41D3" w:rsidRPr="001455DC" w:rsidRDefault="00231E33" w:rsidP="003F41D3">
            <w:pPr>
              <w:pStyle w:val="Tablebody"/>
              <w:jc w:val="left"/>
            </w:pPr>
            <m:oMathPara>
              <m:oMathParaPr>
                <m:jc m:val="left"/>
              </m:oMathParaPr>
              <m:oMath>
                <m:sSub>
                  <m:sSubPr>
                    <m:ctrlPr>
                      <w:rPr>
                        <w:rFonts w:ascii="Cambria Math" w:hAnsi="Cambria Math"/>
                      </w:rPr>
                    </m:ctrlPr>
                  </m:sSubPr>
                  <m:e>
                    <m:r>
                      <w:rPr>
                        <w:rFonts w:ascii="Cambria Math" w:hAnsi="Cambria Math"/>
                      </w:rPr>
                      <m:t>b</m:t>
                    </m:r>
                  </m:e>
                  <m:sub>
                    <m:r>
                      <m:rPr>
                        <m:sty m:val="p"/>
                      </m:rPr>
                      <w:rPr>
                        <w:rFonts w:ascii="Cambria Math" w:hAnsi="Cambria Math"/>
                      </w:rPr>
                      <m:t>h1</m:t>
                    </m:r>
                  </m:sub>
                </m:sSub>
                <m:r>
                  <w:rPr>
                    <w:rFonts w:ascii="Cambria Math" w:hAnsi="Cambria Math"/>
                  </w:rPr>
                  <m:t>=0,5</m:t>
                </m:r>
                <m:sSub>
                  <m:sSubPr>
                    <m:ctrlPr>
                      <w:rPr>
                        <w:rFonts w:ascii="Cambria Math" w:hAnsi="Cambria Math"/>
                      </w:rPr>
                    </m:ctrlPr>
                  </m:sSubPr>
                  <m:e>
                    <m:r>
                      <w:rPr>
                        <w:rFonts w:ascii="Cambria Math" w:hAnsi="Cambria Math"/>
                      </w:rPr>
                      <m:t>ϕ</m:t>
                    </m:r>
                  </m:e>
                  <m:sub>
                    <m:r>
                      <m:rPr>
                        <m:sty m:val="p"/>
                      </m:rPr>
                      <w:rPr>
                        <w:rFonts w:ascii="Cambria Math" w:hAnsi="Cambria Math"/>
                      </w:rPr>
                      <m:t>h</m:t>
                    </m:r>
                  </m:sub>
                </m:sSub>
                <m:r>
                  <w:rPr>
                    <w:rFonts w:ascii="Cambria Math" w:hAnsi="Cambria Math"/>
                  </w:rPr>
                  <m:t>⋅</m:t>
                </m:r>
                <m:rad>
                  <m:radPr>
                    <m:degHide m:val="1"/>
                    <m:ctrlPr>
                      <w:rPr>
                        <w:rFonts w:ascii="Cambria Math" w:hAnsi="Cambria Math"/>
                      </w:rPr>
                    </m:ctrlPr>
                  </m:radPr>
                  <m:deg/>
                  <m:e>
                    <m:r>
                      <m:rPr>
                        <m:sty m:val="p"/>
                      </m:rPr>
                      <w:rPr>
                        <w:rFonts w:ascii="Cambria Math" w:hAnsi="Cambria Math"/>
                      </w:rPr>
                      <m:t>π</m:t>
                    </m:r>
                  </m:e>
                </m:rad>
              </m:oMath>
            </m:oMathPara>
          </w:p>
        </w:tc>
        <w:tc>
          <w:tcPr>
            <w:tcW w:w="1247" w:type="dxa"/>
            <w:vAlign w:val="center"/>
          </w:tcPr>
          <w:p w14:paraId="1656F19E" w14:textId="323957DB" w:rsidR="003F41D3" w:rsidRPr="001455DC" w:rsidRDefault="003F41D3" w:rsidP="003F41D3">
            <w:pPr>
              <w:pStyle w:val="Tablebody"/>
              <w:jc w:val="right"/>
            </w:pPr>
            <w:r w:rsidRPr="001455DC">
              <w:t>(11.16)</w:t>
            </w:r>
          </w:p>
        </w:tc>
      </w:tr>
      <w:tr w:rsidR="00F523AB" w:rsidRPr="001455DC" w14:paraId="5729F672" w14:textId="77777777" w:rsidTr="00F523AB">
        <w:trPr>
          <w:cantSplit/>
        </w:trPr>
        <w:tc>
          <w:tcPr>
            <w:tcW w:w="567" w:type="dxa"/>
          </w:tcPr>
          <w:p w14:paraId="752E92A3" w14:textId="31D141CB" w:rsidR="00F523AB" w:rsidRPr="001455DC" w:rsidRDefault="00F523AB" w:rsidP="0000442A">
            <w:pPr>
              <w:pStyle w:val="Tablebody"/>
            </w:pPr>
            <w:r w:rsidRPr="001455DC">
              <w:rPr>
                <w:rStyle w:val="CCMCvariableitalic"/>
              </w:rPr>
              <w:t>c</w:t>
            </w:r>
            <w:r w:rsidRPr="001455DC">
              <w:rPr>
                <w:rStyle w:val="CCMCvariablesubscript"/>
              </w:rPr>
              <w:t>s</w:t>
            </w:r>
          </w:p>
        </w:tc>
        <w:tc>
          <w:tcPr>
            <w:tcW w:w="8845" w:type="dxa"/>
            <w:gridSpan w:val="2"/>
          </w:tcPr>
          <w:p w14:paraId="16BC76E5" w14:textId="198C90F0" w:rsidR="00F523AB" w:rsidRPr="001455DC" w:rsidRDefault="00F523AB" w:rsidP="003F41D3">
            <w:pPr>
              <w:pStyle w:val="Tablebody"/>
            </w:pPr>
            <w:r w:rsidRPr="001455DC">
              <w:t>is the clear spacing of headed bars;</w:t>
            </w:r>
          </w:p>
        </w:tc>
      </w:tr>
      <w:tr w:rsidR="00F523AB" w:rsidRPr="001455DC" w14:paraId="00B7F68D" w14:textId="77777777" w:rsidTr="00F523AB">
        <w:trPr>
          <w:cantSplit/>
        </w:trPr>
        <w:tc>
          <w:tcPr>
            <w:tcW w:w="567" w:type="dxa"/>
          </w:tcPr>
          <w:p w14:paraId="7FE069A6" w14:textId="2D959B9E" w:rsidR="00F523AB" w:rsidRPr="001455DC" w:rsidRDefault="00F523AB" w:rsidP="00D86695">
            <w:pPr>
              <w:pStyle w:val="Tablebody"/>
            </w:pPr>
            <w:r w:rsidRPr="001455DC">
              <w:rPr>
                <w:rStyle w:val="CCMCvariableitalic"/>
              </w:rPr>
              <w:t>k</w:t>
            </w:r>
            <w:r w:rsidRPr="001455DC">
              <w:rPr>
                <w:rStyle w:val="CCMCvariablesubscript"/>
              </w:rPr>
              <w:t>st</w:t>
            </w:r>
          </w:p>
        </w:tc>
        <w:tc>
          <w:tcPr>
            <w:tcW w:w="8845" w:type="dxa"/>
            <w:gridSpan w:val="2"/>
          </w:tcPr>
          <w:p w14:paraId="5F41F745" w14:textId="7649B730" w:rsidR="00F523AB" w:rsidRPr="001455DC" w:rsidRDefault="00F523AB" w:rsidP="003F41D3">
            <w:pPr>
              <w:pStyle w:val="Tablebody"/>
            </w:pPr>
            <w:r w:rsidRPr="001455DC">
              <w:t>is the resistance factor of the transverse reinforcement, which may be taken equal to</w:t>
            </w:r>
            <w:r w:rsidRPr="001455DC">
              <w:tab/>
            </w:r>
            <w:r w:rsidRPr="001455DC">
              <w:rPr>
                <w:rStyle w:val="CCMCvariableitalic"/>
              </w:rPr>
              <w:t>k</w:t>
            </w:r>
            <w:r w:rsidRPr="001455DC">
              <w:rPr>
                <w:rStyle w:val="CCMCvariablesubscript"/>
              </w:rPr>
              <w:t>st</w:t>
            </w:r>
            <w:r w:rsidRPr="001455DC">
              <w:t> </w:t>
            </w:r>
            <w:r w:rsidR="00EC27D2" w:rsidRPr="001455DC">
              <w:rPr>
                <w:rFonts w:ascii="Cambria Math" w:hAnsi="Cambria Math"/>
              </w:rPr>
              <w:t>=</w:t>
            </w:r>
            <w:r w:rsidRPr="001455DC">
              <w:t xml:space="preserve"> 1 when </w:t>
            </w:r>
            <w:r w:rsidRPr="001455DC">
              <w:rPr>
                <w:rStyle w:val="CCMCvariableitalic"/>
              </w:rPr>
              <w:t>ω</w:t>
            </w:r>
            <w:r w:rsidRPr="001455DC">
              <w:t> </w:t>
            </w:r>
            <w:r w:rsidR="00650035" w:rsidRPr="001455DC">
              <w:rPr>
                <w:rFonts w:ascii="Cambria Math" w:hAnsi="Cambria Math"/>
              </w:rPr>
              <w:t>≥</w:t>
            </w:r>
            <w:r w:rsidRPr="001455DC">
              <w:t xml:space="preserve"> 0,5 and to </w:t>
            </w:r>
            <w:r w:rsidRPr="001455DC">
              <w:rPr>
                <w:rStyle w:val="CCMCvariableitalic"/>
              </w:rPr>
              <w:t>k</w:t>
            </w:r>
            <w:r w:rsidRPr="001455DC">
              <w:rPr>
                <w:rStyle w:val="CCMCvariablesubscript"/>
              </w:rPr>
              <w:t>st</w:t>
            </w:r>
            <w:r w:rsidRPr="001455DC">
              <w:t> </w:t>
            </w:r>
            <w:r w:rsidR="00EC27D2" w:rsidRPr="001455DC">
              <w:rPr>
                <w:rFonts w:ascii="Cambria Math" w:hAnsi="Cambria Math"/>
              </w:rPr>
              <w:t>=</w:t>
            </w:r>
            <w:r w:rsidRPr="001455DC">
              <w:t> 4</w:t>
            </w:r>
            <w:r w:rsidRPr="001455DC">
              <w:rPr>
                <w:rStyle w:val="CCMCvariableitalic"/>
              </w:rPr>
              <w:t>ω</w:t>
            </w:r>
            <w:r w:rsidRPr="001455DC">
              <w:t>(1 </w:t>
            </w:r>
            <w:r w:rsidR="00EC27D2" w:rsidRPr="001455DC">
              <w:rPr>
                <w:rFonts w:ascii="Cambria Math" w:hAnsi="Cambria Math"/>
              </w:rPr>
              <w:t>−</w:t>
            </w:r>
            <w:r w:rsidRPr="001455DC">
              <w:t> </w:t>
            </w:r>
            <w:r w:rsidRPr="001455DC">
              <w:rPr>
                <w:rStyle w:val="CCMCvariableitalic"/>
              </w:rPr>
              <w:t>ω</w:t>
            </w:r>
            <w:r w:rsidRPr="001455DC">
              <w:t>)</w:t>
            </w:r>
            <w:r w:rsidRPr="001455DC">
              <w:rPr>
                <w:b/>
              </w:rPr>
              <w:t xml:space="preserve"> </w:t>
            </w:r>
            <w:r w:rsidRPr="001455DC">
              <w:t>for lower values of</w:t>
            </w:r>
          </w:p>
        </w:tc>
      </w:tr>
      <w:tr w:rsidR="003F41D3" w:rsidRPr="001455DC" w14:paraId="0190B4A7" w14:textId="77777777" w:rsidTr="003F41D3">
        <w:trPr>
          <w:cantSplit/>
        </w:trPr>
        <w:tc>
          <w:tcPr>
            <w:tcW w:w="567" w:type="dxa"/>
          </w:tcPr>
          <w:p w14:paraId="1D180711" w14:textId="745D717E" w:rsidR="003F41D3" w:rsidRPr="009D3012" w:rsidRDefault="003F41D3" w:rsidP="00D86695">
            <w:pPr>
              <w:pStyle w:val="Tablebody"/>
              <w:rPr>
                <w:rStyle w:val="CCMCvariableitalic"/>
              </w:rPr>
            </w:pPr>
            <w:r w:rsidRPr="009D3012">
              <w:t> </w:t>
            </w:r>
          </w:p>
        </w:tc>
        <w:tc>
          <w:tcPr>
            <w:tcW w:w="7598" w:type="dxa"/>
            <w:vAlign w:val="center"/>
          </w:tcPr>
          <w:p w14:paraId="20B6C4AF" w14:textId="2C27F4E9" w:rsidR="003F41D3" w:rsidRPr="001455DC" w:rsidRDefault="003F41D3" w:rsidP="003F41D3">
            <w:pPr>
              <w:pStyle w:val="Tablebody"/>
              <w:jc w:val="left"/>
            </w:pPr>
            <m:oMathPara>
              <m:oMathParaPr>
                <m:jc m:val="left"/>
              </m:oMathParaPr>
              <m:oMath>
                <m:r>
                  <w:rPr>
                    <w:rFonts w:ascii="Cambria Math" w:hAnsi="Cambria Math"/>
                  </w:rPr>
                  <m:t>ω=</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st</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yd</m:t>
                        </m:r>
                      </m:sub>
                    </m:sSub>
                  </m:num>
                  <m:den>
                    <m:r>
                      <w:rPr>
                        <w:rFonts w:ascii="Cambria Math" w:hAnsi="Cambria Math"/>
                      </w:rPr>
                      <m:t>1,3</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dg</m:t>
                                    </m:r>
                                  </m:sub>
                                </m:sSub>
                              </m:num>
                              <m:den>
                                <m:sSub>
                                  <m:sSubPr>
                                    <m:ctrlPr>
                                      <w:rPr>
                                        <w:rFonts w:ascii="Cambria Math" w:hAnsi="Cambria Math"/>
                                      </w:rPr>
                                    </m:ctrlPr>
                                  </m:sSubPr>
                                  <m:e>
                                    <m:r>
                                      <w:rPr>
                                        <w:rFonts w:ascii="Cambria Math" w:hAnsi="Cambria Math"/>
                                      </w:rPr>
                                      <m:t>l</m:t>
                                    </m:r>
                                  </m:e>
                                  <m:sub>
                                    <m:r>
                                      <m:rPr>
                                        <m:sty m:val="p"/>
                                      </m:rPr>
                                      <w:rPr>
                                        <w:rFonts w:ascii="Cambria Math" w:hAnsi="Cambria Math"/>
                                      </w:rPr>
                                      <m:t>sd</m:t>
                                    </m:r>
                                  </m:sub>
                                </m:sSub>
                                <m:r>
                                  <w:rPr>
                                    <w:rFonts w:ascii="Cambria Math" w:hAnsi="Cambria Math"/>
                                  </w:rPr>
                                  <m:t>-2ϕ</m:t>
                                </m:r>
                              </m:den>
                            </m:f>
                          </m:e>
                        </m:d>
                      </m:e>
                      <m:sup>
                        <m:f>
                          <m:fPr>
                            <m:ctrlPr>
                              <w:rPr>
                                <w:rFonts w:ascii="Cambria Math" w:hAnsi="Cambria Math"/>
                              </w:rPr>
                            </m:ctrlPr>
                          </m:fPr>
                          <m:num>
                            <m:r>
                              <w:rPr>
                                <w:rFonts w:ascii="Cambria Math" w:hAnsi="Cambria Math"/>
                              </w:rPr>
                              <m:t>1</m:t>
                            </m:r>
                          </m:num>
                          <m:den>
                            <m:r>
                              <w:rPr>
                                <w:rFonts w:ascii="Cambria Math" w:hAnsi="Cambria Math"/>
                              </w:rPr>
                              <m:t>3</m:t>
                            </m:r>
                          </m:den>
                        </m:f>
                      </m:sup>
                    </m:sSup>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c</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cd</m:t>
                        </m:r>
                      </m:sub>
                    </m:sSub>
                  </m:den>
                </m:f>
              </m:oMath>
            </m:oMathPara>
          </w:p>
        </w:tc>
        <w:tc>
          <w:tcPr>
            <w:tcW w:w="1247" w:type="dxa"/>
            <w:vAlign w:val="center"/>
          </w:tcPr>
          <w:p w14:paraId="3DD3CDF3" w14:textId="4C3DD0B2" w:rsidR="003F41D3" w:rsidRPr="001455DC" w:rsidRDefault="003F41D3" w:rsidP="003F41D3">
            <w:pPr>
              <w:pStyle w:val="Tablebody"/>
              <w:jc w:val="right"/>
            </w:pPr>
            <w:r w:rsidRPr="001455DC">
              <w:t>(11.17)</w:t>
            </w:r>
          </w:p>
        </w:tc>
      </w:tr>
      <w:tr w:rsidR="00F523AB" w:rsidRPr="001455DC" w14:paraId="54A967AA" w14:textId="77777777" w:rsidTr="00F523AB">
        <w:trPr>
          <w:cantSplit/>
        </w:trPr>
        <w:tc>
          <w:tcPr>
            <w:tcW w:w="567" w:type="dxa"/>
          </w:tcPr>
          <w:p w14:paraId="7BEEBC76" w14:textId="39DE38B9" w:rsidR="00F523AB" w:rsidRPr="001455DC" w:rsidRDefault="00F523AB" w:rsidP="00D86695">
            <w:pPr>
              <w:pStyle w:val="Tablebody"/>
            </w:pPr>
            <w:r w:rsidRPr="001455DC">
              <w:rPr>
                <w:rStyle w:val="CCMCvariableitalic"/>
              </w:rPr>
              <w:t>A</w:t>
            </w:r>
            <w:r w:rsidRPr="001455DC">
              <w:rPr>
                <w:rStyle w:val="CCMCvariablesubscript"/>
              </w:rPr>
              <w:t>st</w:t>
            </w:r>
          </w:p>
        </w:tc>
        <w:tc>
          <w:tcPr>
            <w:tcW w:w="8845" w:type="dxa"/>
            <w:gridSpan w:val="2"/>
          </w:tcPr>
          <w:p w14:paraId="10C0EF4F" w14:textId="021F1C40" w:rsidR="00F523AB" w:rsidRPr="001455DC" w:rsidRDefault="00F523AB" w:rsidP="003F41D3">
            <w:pPr>
              <w:pStyle w:val="Tablebody"/>
            </w:pPr>
            <w:r w:rsidRPr="001455DC">
              <w:t xml:space="preserve">is the total area of the fully anchored transverse reinforcement positioned within </w:t>
            </w:r>
            <w:r w:rsidRPr="001455DC">
              <w:rPr>
                <w:rStyle w:val="CCMCvariableitalic"/>
              </w:rPr>
              <w:t>A</w:t>
            </w:r>
            <w:r w:rsidRPr="001455DC">
              <w:rPr>
                <w:rStyle w:val="CCMCvariablesubscript"/>
              </w:rPr>
              <w:t>c</w:t>
            </w:r>
            <w:r w:rsidRPr="001455DC">
              <w:rPr>
                <w:rStyle w:val="CCMCvariableitalic"/>
              </w:rPr>
              <w:t>.</w:t>
            </w:r>
          </w:p>
        </w:tc>
      </w:tr>
    </w:tbl>
    <w:p w14:paraId="59DC4A38" w14:textId="5921B078" w:rsidR="004E22C1" w:rsidRPr="001455DC" w:rsidRDefault="004E22C1" w:rsidP="00F523AB">
      <w:pPr>
        <w:pStyle w:val="a7"/>
      </w:pPr>
      <w:r w:rsidRPr="001455DC">
        <w:t>(5)</w:t>
      </w:r>
      <w:r w:rsidRPr="001455DC">
        <w:tab/>
        <w:t xml:space="preserve">In case of multiple headed bars as shown in Figure 11.15c), the resistance of Formula (11.14) may be calculated using an average net spacing </w:t>
      </w:r>
      <w:r w:rsidRPr="001455DC">
        <w:rPr>
          <w:rStyle w:val="CCMCvariableitalic"/>
        </w:rPr>
        <w:t>c</w:t>
      </w:r>
      <w:r w:rsidRPr="001455DC">
        <w:rPr>
          <w:rStyle w:val="CCMCvariablesubscript"/>
        </w:rPr>
        <w:t>s</w:t>
      </w:r>
      <w:r w:rsidRPr="001455DC">
        <w:t> </w:t>
      </w:r>
      <w:r w:rsidR="00EC27D2" w:rsidRPr="001455DC">
        <w:rPr>
          <w:rFonts w:ascii="Cambria Math" w:hAnsi="Cambria Math"/>
        </w:rPr>
        <w:t>=</w:t>
      </w:r>
      <w:r w:rsidRPr="001455DC">
        <w:t> 0,5(</w:t>
      </w:r>
      <w:r w:rsidRPr="001455DC">
        <w:rPr>
          <w:rStyle w:val="CCMCvariableitalic"/>
        </w:rPr>
        <w:t>c</w:t>
      </w:r>
      <w:r w:rsidRPr="001455DC">
        <w:rPr>
          <w:rStyle w:val="CCMCvariablesubscript"/>
        </w:rPr>
        <w:t>s1</w:t>
      </w:r>
      <w:r w:rsidR="00EC27D2" w:rsidRPr="001455DC">
        <w:rPr>
          <w:rFonts w:ascii="Cambria Math" w:hAnsi="Cambria Math"/>
        </w:rPr>
        <w:t> + </w:t>
      </w:r>
      <w:r w:rsidRPr="001455DC">
        <w:rPr>
          <w:rStyle w:val="CCMCvariableitalic"/>
        </w:rPr>
        <w:t>c</w:t>
      </w:r>
      <w:r w:rsidRPr="001455DC">
        <w:rPr>
          <w:rStyle w:val="CCMCvariablesubscript"/>
        </w:rPr>
        <w:t>s2</w:t>
      </w:r>
      <w:r w:rsidRPr="001455DC">
        <w:t>) (see Figure 11.15c)) and multiplied by (</w:t>
      </w:r>
      <w:r w:rsidRPr="001455DC">
        <w:rPr>
          <w:rStyle w:val="CCMCvariableitalic"/>
        </w:rPr>
        <w:t>n</w:t>
      </w:r>
      <w:r w:rsidRPr="001455DC">
        <w:rPr>
          <w:rStyle w:val="CCMCvariablesubscript"/>
        </w:rPr>
        <w:t>s</w:t>
      </w:r>
      <w:r w:rsidRPr="001455DC">
        <w:t> </w:t>
      </w:r>
      <w:r w:rsidR="00EC27D2" w:rsidRPr="001455DC">
        <w:rPr>
          <w:rFonts w:ascii="Cambria Math" w:hAnsi="Cambria Math"/>
        </w:rPr>
        <w:t>−</w:t>
      </w:r>
      <w:r w:rsidRPr="001455DC">
        <w:t xml:space="preserve"> 1) where </w:t>
      </w:r>
      <w:r w:rsidRPr="001455DC">
        <w:rPr>
          <w:rStyle w:val="CCMCvariableitalic"/>
        </w:rPr>
        <w:t>n</w:t>
      </w:r>
      <w:r w:rsidRPr="001455DC">
        <w:rPr>
          <w:rStyle w:val="CCMCvariablesubscript"/>
        </w:rPr>
        <w:t>s</w:t>
      </w:r>
      <w:r w:rsidRPr="001455DC">
        <w:t xml:space="preserve"> is the total number of headed bars (</w:t>
      </w:r>
      <w:r w:rsidRPr="001455DC">
        <w:rPr>
          <w:rStyle w:val="CCMCvariableitalic"/>
        </w:rPr>
        <w:t>n</w:t>
      </w:r>
      <w:r w:rsidRPr="001455DC">
        <w:rPr>
          <w:rStyle w:val="CCMCvariablesubscript"/>
        </w:rPr>
        <w:t>s</w:t>
      </w:r>
      <w:r w:rsidRPr="001455DC">
        <w:t> </w:t>
      </w:r>
      <w:r w:rsidR="00EC27D2" w:rsidRPr="001455DC">
        <w:rPr>
          <w:rFonts w:ascii="Cambria Math" w:hAnsi="Cambria Math"/>
        </w:rPr>
        <w:t>=</w:t>
      </w:r>
      <w:r w:rsidRPr="001455DC">
        <w:t xml:space="preserve"> 5 in the example of Figure 11.15c)). Multiple overlaps may also be treated as an assembly of single overlaps where </w:t>
      </w:r>
      <w:r w:rsidRPr="001455DC">
        <w:rPr>
          <w:rStyle w:val="CCMCvariableitalic"/>
        </w:rPr>
        <w:t>c</w:t>
      </w:r>
      <w:r w:rsidRPr="001455DC">
        <w:rPr>
          <w:rStyle w:val="CCMCvariablesubscript"/>
        </w:rPr>
        <w:t>s</w:t>
      </w:r>
      <w:r w:rsidRPr="001455DC">
        <w:t xml:space="preserve"> is taken as the smaller of </w:t>
      </w:r>
      <w:r w:rsidRPr="001455DC">
        <w:rPr>
          <w:rStyle w:val="CCMCvariableitalic"/>
        </w:rPr>
        <w:t>c</w:t>
      </w:r>
      <w:r w:rsidRPr="001455DC">
        <w:rPr>
          <w:rStyle w:val="CCMCvariablesubscript"/>
        </w:rPr>
        <w:t>s1</w:t>
      </w:r>
      <w:r w:rsidRPr="001455DC">
        <w:t xml:space="preserve"> and </w:t>
      </w:r>
      <w:r w:rsidRPr="001455DC">
        <w:rPr>
          <w:rStyle w:val="CCMCvariableitalic"/>
        </w:rPr>
        <w:t>c</w:t>
      </w:r>
      <w:r w:rsidRPr="001455DC">
        <w:rPr>
          <w:rStyle w:val="CCMCvariablesubscript"/>
        </w:rPr>
        <w:t>s2</w:t>
      </w:r>
      <w:r w:rsidRPr="001455DC">
        <w:t>.</w:t>
      </w:r>
    </w:p>
    <w:p w14:paraId="221A8725" w14:textId="77777777" w:rsidR="00F523AB" w:rsidRPr="001455DC" w:rsidRDefault="004E22C1" w:rsidP="00E844D2">
      <w:pPr>
        <w:pStyle w:val="a7"/>
        <w:keepNext/>
      </w:pPr>
      <w:r w:rsidRPr="001455DC">
        <w:t>(6)</w:t>
      </w:r>
      <w:r w:rsidRPr="001455DC">
        <w:tab/>
        <w:t>To avoid brittle behaviour, a minimum amount of transverse reinforcement should be placed:</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F523AB" w:rsidRPr="001455DC" w14:paraId="40ED1589" w14:textId="77777777" w:rsidTr="00F523AB">
        <w:trPr>
          <w:cantSplit/>
        </w:trPr>
        <w:tc>
          <w:tcPr>
            <w:tcW w:w="8505" w:type="dxa"/>
            <w:vAlign w:val="center"/>
          </w:tcPr>
          <w:p w14:paraId="6EBF49EA" w14:textId="2C5D9AF4" w:rsidR="00F523AB" w:rsidRPr="001455DC" w:rsidRDefault="00231E33" w:rsidP="00F523AB">
            <w:pPr>
              <w:pStyle w:val="Formula"/>
              <w:jc w:val="left"/>
            </w:pPr>
            <m:oMathPara>
              <m:oMathParaPr>
                <m:jc m:val="left"/>
              </m:oMathParaPr>
              <m:oMath>
                <m:sSub>
                  <m:sSubPr>
                    <m:ctrlPr>
                      <w:rPr>
                        <w:rFonts w:ascii="Cambria Math" w:hAnsi="Cambria Math"/>
                      </w:rPr>
                    </m:ctrlPr>
                  </m:sSubPr>
                  <m:e>
                    <m:r>
                      <w:rPr>
                        <w:rFonts w:ascii="Cambria Math" w:hAnsi="Cambria Math"/>
                      </w:rPr>
                      <m:t>A</m:t>
                    </m:r>
                  </m:e>
                  <m:sub>
                    <m:r>
                      <w:rPr>
                        <w:rFonts w:ascii="Cambria Math" w:hAnsi="Cambria Math"/>
                      </w:rPr>
                      <m:t>st</m:t>
                    </m:r>
                  </m:sub>
                </m:sSub>
                <m:r>
                  <w:rPr>
                    <w:rFonts w:ascii="Cambria Math" w:hAnsi="Cambria Math"/>
                  </w:rPr>
                  <m:t>≥</m:t>
                </m:r>
                <m:r>
                  <m:rPr>
                    <m:sty m:val="p"/>
                  </m:rPr>
                  <w:rPr>
                    <w:rFonts w:ascii="Cambria Math" w:hAnsi="Cambria Math"/>
                  </w:rPr>
                  <m:t>max</m:t>
                </m:r>
                <m:d>
                  <m:dPr>
                    <m:begChr m:val="{"/>
                    <m:endChr m:val="}"/>
                    <m:ctrlPr>
                      <w:rPr>
                        <w:rFonts w:ascii="Cambria Math" w:hAnsi="Cambria Math"/>
                      </w:rPr>
                    </m:ctrlPr>
                  </m:dPr>
                  <m:e>
                    <m:r>
                      <w:rPr>
                        <w:rFonts w:ascii="Cambria Math" w:hAnsi="Cambria Math"/>
                      </w:rPr>
                      <m:t>0,75⋅</m:t>
                    </m:r>
                    <m:sSub>
                      <m:sSubPr>
                        <m:ctrlPr>
                          <w:rPr>
                            <w:rFonts w:ascii="Cambria Math" w:hAnsi="Cambria Math"/>
                          </w:rPr>
                        </m:ctrlPr>
                      </m:sSubPr>
                      <m:e>
                        <m:r>
                          <w:rPr>
                            <w:rFonts w:ascii="Cambria Math" w:hAnsi="Cambria Math"/>
                          </w:rPr>
                          <m:t>A</m:t>
                        </m:r>
                      </m:e>
                      <m:sub>
                        <m:r>
                          <m:rPr>
                            <m:sty m:val="p"/>
                          </m:rPr>
                          <w:rPr>
                            <w:rFonts w:ascii="Cambria Math" w:hAnsi="Cambria Math"/>
                          </w:rPr>
                          <m:t>c</m:t>
                        </m:r>
                      </m:sub>
                    </m:sSub>
                    <m:r>
                      <w:rPr>
                        <w:rFonts w:ascii="Cambria Math" w:hAnsi="Cambria Math"/>
                      </w:rPr>
                      <m:t>⋅</m:t>
                    </m:r>
                    <m:f>
                      <m:fPr>
                        <m:ctrlPr>
                          <w:rPr>
                            <w:rFonts w:ascii="Cambria Math" w:hAnsi="Cambria Math"/>
                          </w:rPr>
                        </m:ctrlPr>
                      </m:fPr>
                      <m:num>
                        <m:rad>
                          <m:radPr>
                            <m:degHide m:val="1"/>
                            <m:ctrlPr>
                              <w:rPr>
                                <w:rFonts w:ascii="Cambria Math" w:hAnsi="Cambria Math"/>
                              </w:rPr>
                            </m:ctrlPr>
                          </m:radPr>
                          <m:deg/>
                          <m:e>
                            <m:sSub>
                              <m:sSubPr>
                                <m:ctrlPr>
                                  <w:rPr>
                                    <w:rFonts w:ascii="Cambria Math" w:hAnsi="Cambria Math"/>
                                  </w:rPr>
                                </m:ctrlPr>
                              </m:sSubPr>
                              <m:e>
                                <m:r>
                                  <w:rPr>
                                    <w:rFonts w:ascii="Cambria Math" w:hAnsi="Cambria Math"/>
                                  </w:rPr>
                                  <m:t>f</m:t>
                                </m:r>
                              </m:e>
                              <m:sub>
                                <m:r>
                                  <m:rPr>
                                    <m:sty m:val="p"/>
                                  </m:rPr>
                                  <w:rPr>
                                    <w:rFonts w:ascii="Cambria Math" w:hAnsi="Cambria Math"/>
                                  </w:rPr>
                                  <m:t>ck</m:t>
                                </m:r>
                              </m:sub>
                            </m:sSub>
                          </m:e>
                        </m:rad>
                      </m:num>
                      <m:den>
                        <m:sSub>
                          <m:sSubPr>
                            <m:ctrlPr>
                              <w:rPr>
                                <w:rFonts w:ascii="Cambria Math" w:hAnsi="Cambria Math"/>
                              </w:rPr>
                            </m:ctrlPr>
                          </m:sSubPr>
                          <m:e>
                            <m:r>
                              <w:rPr>
                                <w:rFonts w:ascii="Cambria Math" w:hAnsi="Cambria Math"/>
                              </w:rPr>
                              <m:t>f</m:t>
                            </m:r>
                          </m:e>
                          <m:sub>
                            <m:r>
                              <m:rPr>
                                <m:sty m:val="p"/>
                              </m:rPr>
                              <w:rPr>
                                <w:rFonts w:ascii="Cambria Math" w:hAnsi="Cambria Math"/>
                              </w:rPr>
                              <m:t>yk</m:t>
                            </m:r>
                          </m:sub>
                        </m:sSub>
                      </m:den>
                    </m:f>
                    <m:r>
                      <w:rPr>
                        <w:rFonts w:ascii="Cambria Math" w:hAnsi="Cambria Math"/>
                      </w:rPr>
                      <m:t xml:space="preserve">; </m:t>
                    </m:r>
                    <m:f>
                      <m:fPr>
                        <m:ctrlPr>
                          <w:rPr>
                            <w:rFonts w:ascii="Cambria Math" w:hAnsi="Cambria Math"/>
                          </w:rPr>
                        </m:ctrlPr>
                      </m:fPr>
                      <m:num>
                        <m:r>
                          <m:rPr>
                            <m:sty m:val="p"/>
                          </m:rPr>
                          <w:rPr>
                            <w:rFonts w:ascii="Cambria Math" w:hAnsi="Cambria Math"/>
                          </w:rPr>
                          <m:t>π</m:t>
                        </m:r>
                      </m:num>
                      <m:den>
                        <m:r>
                          <w:rPr>
                            <w:rFonts w:ascii="Cambria Math" w:hAnsi="Cambria Math"/>
                          </w:rPr>
                          <m:t>8</m:t>
                        </m:r>
                      </m:den>
                    </m:f>
                    <m:sSup>
                      <m:sSupPr>
                        <m:ctrlPr>
                          <w:rPr>
                            <w:rFonts w:ascii="Cambria Math" w:hAnsi="Cambria Math"/>
                          </w:rPr>
                        </m:ctrlPr>
                      </m:sSupPr>
                      <m:e>
                        <m:r>
                          <w:rPr>
                            <w:rFonts w:ascii="Cambria Math" w:hAnsi="Cambria Math"/>
                          </w:rPr>
                          <m:t>ϕ</m:t>
                        </m:r>
                      </m:e>
                      <m:sup>
                        <m:r>
                          <w:rPr>
                            <w:rFonts w:ascii="Cambria Math" w:hAnsi="Cambria Math"/>
                          </w:rPr>
                          <m:t>2</m:t>
                        </m:r>
                      </m:sup>
                    </m:sSup>
                  </m:e>
                </m:d>
              </m:oMath>
            </m:oMathPara>
          </w:p>
        </w:tc>
        <w:tc>
          <w:tcPr>
            <w:tcW w:w="1247" w:type="dxa"/>
            <w:vAlign w:val="center"/>
          </w:tcPr>
          <w:p w14:paraId="3B838E0B" w14:textId="55EBB629" w:rsidR="00F523AB" w:rsidRPr="001455DC" w:rsidRDefault="003F41D3" w:rsidP="00F523AB">
            <w:pPr>
              <w:pStyle w:val="a7"/>
              <w:jc w:val="right"/>
            </w:pPr>
            <w:r w:rsidRPr="001455DC">
              <w:t>(11.18)</w:t>
            </w:r>
          </w:p>
        </w:tc>
      </w:tr>
    </w:tbl>
    <w:p w14:paraId="39EA4D00" w14:textId="77777777" w:rsidR="004E22C1" w:rsidRPr="001455DC" w:rsidRDefault="004E22C1" w:rsidP="00F523AB">
      <w:pPr>
        <w:pStyle w:val="a7"/>
      </w:pPr>
      <w:r w:rsidRPr="001455DC">
        <w:t xml:space="preserve">where </w:t>
      </w:r>
      <w:r w:rsidRPr="001455DC">
        <w:rPr>
          <w:rStyle w:val="CCMCvariableitalic"/>
        </w:rPr>
        <w:t>ϕ</w:t>
      </w:r>
      <w:r w:rsidRPr="001455DC">
        <w:t xml:space="preserve"> is the maximum diameter of the lapped headed bars.</w:t>
      </w:r>
    </w:p>
    <w:p w14:paraId="6C98CF78" w14:textId="6442F08F" w:rsidR="004E22C1" w:rsidRPr="001455DC" w:rsidRDefault="004E22C1" w:rsidP="00F523AB">
      <w:pPr>
        <w:pStyle w:val="a7"/>
      </w:pPr>
      <w:r w:rsidRPr="001455DC">
        <w:t>(7)</w:t>
      </w:r>
      <w:r w:rsidRPr="001455DC">
        <w:tab/>
        <w:t xml:space="preserve">To enhance ductility of laps designed for reinforcement yield, tie down reinforcement with total area </w:t>
      </w:r>
      <w:r w:rsidRPr="001455DC">
        <w:rPr>
          <w:rStyle w:val="CCMCvariableitalic"/>
        </w:rPr>
        <w:t>A</w:t>
      </w:r>
      <w:r w:rsidRPr="001455DC">
        <w:rPr>
          <w:rStyle w:val="CCMCvariablesubscript"/>
        </w:rPr>
        <w:t>std</w:t>
      </w:r>
      <w:r w:rsidRPr="001455DC">
        <w:t xml:space="preserve"> per single lap should be provided perpendicular to the plane of the headed bars within </w:t>
      </w:r>
      <w:r w:rsidRPr="001455DC">
        <w:rPr>
          <w:rStyle w:val="CCMCvariableitalic"/>
        </w:rPr>
        <w:t>A</w:t>
      </w:r>
      <w:r w:rsidRPr="001455DC">
        <w:rPr>
          <w:rStyle w:val="CCMCvariablesubscript"/>
        </w:rPr>
        <w:t>c</w:t>
      </w:r>
      <w:r w:rsidRPr="001455DC">
        <w:t xml:space="preserve"> (Figure 11.15a). The tie down reinforcement should be fully anchored outside </w:t>
      </w:r>
      <w:r w:rsidRPr="001455DC">
        <w:rPr>
          <w:rStyle w:val="CCMCvariableitalic"/>
        </w:rPr>
        <w:t>A</w:t>
      </w:r>
      <w:r w:rsidRPr="001455DC">
        <w:rPr>
          <w:rStyle w:val="CCMCvariablesubscript"/>
        </w:rPr>
        <w:t>c</w:t>
      </w:r>
      <w:r w:rsidRPr="001455DC">
        <w:t xml:space="preserve"> and placed symmetrically between the headed bars. The tie down reinforcement may be provided in the form of either double headed shear studs or links. For </w:t>
      </w:r>
      <w:r w:rsidRPr="001455DC">
        <w:rPr>
          <w:rStyle w:val="CCMCvariableitalic"/>
        </w:rPr>
        <w:t>l</w:t>
      </w:r>
      <w:r w:rsidRPr="001455DC">
        <w:rPr>
          <w:rStyle w:val="CCMCvariablesubscript"/>
        </w:rPr>
        <w:t>sd</w:t>
      </w:r>
      <w:r w:rsidRPr="001455DC">
        <w:t> </w:t>
      </w:r>
      <w:r w:rsidR="00650035" w:rsidRPr="001455DC">
        <w:rPr>
          <w:rFonts w:ascii="Cambria Math" w:hAnsi="Cambria Math"/>
        </w:rPr>
        <w:t>≤</w:t>
      </w:r>
      <w:r w:rsidRPr="001455DC">
        <w:t xml:space="preserve"> 200 mm, </w:t>
      </w:r>
      <w:r w:rsidRPr="001455DC">
        <w:rPr>
          <w:rStyle w:val="CCMCvariableitalic"/>
        </w:rPr>
        <w:t>A</w:t>
      </w:r>
      <w:r w:rsidRPr="001455DC">
        <w:rPr>
          <w:rStyle w:val="CCMCvariablesubscript"/>
        </w:rPr>
        <w:t>std</w:t>
      </w:r>
      <w:r w:rsidRPr="001455DC">
        <w:t xml:space="preserve"> may be provided by a single double headed shear stud (Figure 11.15c). The minimum area of tie down reinforcement equals: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F523AB" w:rsidRPr="001455DC" w14:paraId="70B4946B" w14:textId="77777777" w:rsidTr="00F523AB">
        <w:trPr>
          <w:cantSplit/>
        </w:trPr>
        <w:tc>
          <w:tcPr>
            <w:tcW w:w="8505" w:type="dxa"/>
            <w:vAlign w:val="center"/>
          </w:tcPr>
          <w:p w14:paraId="5EAD4A74" w14:textId="434D1D77" w:rsidR="00F523AB" w:rsidRPr="001455DC" w:rsidRDefault="003F41D3" w:rsidP="00F523AB">
            <w:pPr>
              <w:pStyle w:val="Formula"/>
              <w:jc w:val="left"/>
            </w:pPr>
            <w:r w:rsidRPr="001455DC">
              <w:rPr>
                <w:rStyle w:val="CCMCvariableitalic"/>
              </w:rPr>
              <w:t>A</w:t>
            </w:r>
            <w:r w:rsidRPr="001455DC">
              <w:rPr>
                <w:rStyle w:val="CCMCvariablesubscript"/>
              </w:rPr>
              <w:t>std</w:t>
            </w:r>
            <w:r w:rsidRPr="001455DC">
              <w:t> </w:t>
            </w:r>
            <w:r w:rsidR="00650035" w:rsidRPr="001455DC">
              <w:rPr>
                <w:rFonts w:ascii="Cambria Math" w:hAnsi="Cambria Math"/>
              </w:rPr>
              <w:t>≥</w:t>
            </w:r>
            <w:r w:rsidRPr="001455DC">
              <w:t> 0,12</w:t>
            </w:r>
            <w:r w:rsidRPr="001455DC">
              <w:rPr>
                <w:rStyle w:val="CCMCvariableitalic"/>
              </w:rPr>
              <w:t>ϕ</w:t>
            </w:r>
            <w:r w:rsidRPr="001455DC">
              <w:t>²</w:t>
            </w:r>
          </w:p>
        </w:tc>
        <w:tc>
          <w:tcPr>
            <w:tcW w:w="1247" w:type="dxa"/>
            <w:vAlign w:val="center"/>
          </w:tcPr>
          <w:p w14:paraId="390E3283" w14:textId="12CD79B7" w:rsidR="00F523AB" w:rsidRPr="001455DC" w:rsidRDefault="003F41D3" w:rsidP="00F523AB">
            <w:pPr>
              <w:pStyle w:val="a7"/>
              <w:jc w:val="right"/>
            </w:pPr>
            <w:r w:rsidRPr="001455DC">
              <w:t>(11.19)</w:t>
            </w:r>
          </w:p>
        </w:tc>
      </w:tr>
    </w:tbl>
    <w:p w14:paraId="0FF5ADE7" w14:textId="71D2774E" w:rsidR="004E22C1" w:rsidRPr="001455DC" w:rsidRDefault="004E22C1" w:rsidP="00243590">
      <w:pPr>
        <w:pStyle w:val="31"/>
      </w:pPr>
      <w:bookmarkStart w:id="856" w:name="_Toc52820045"/>
      <w:bookmarkStart w:id="857" w:name="_Toc54337445"/>
      <w:bookmarkStart w:id="858" w:name="_Toc54338101"/>
      <w:bookmarkStart w:id="859" w:name="_Toc67565445"/>
      <w:r w:rsidRPr="001455DC">
        <w:t>Mechanical couplers</w:t>
      </w:r>
      <w:bookmarkEnd w:id="856"/>
      <w:bookmarkEnd w:id="857"/>
      <w:bookmarkEnd w:id="858"/>
      <w:bookmarkEnd w:id="859"/>
    </w:p>
    <w:p w14:paraId="5F1D351B" w14:textId="3307485C" w:rsidR="004E22C1" w:rsidRPr="001455DC" w:rsidRDefault="004E22C1" w:rsidP="00F523AB">
      <w:pPr>
        <w:pStyle w:val="a7"/>
      </w:pPr>
      <w:r w:rsidRPr="001455DC">
        <w:t>(1)</w:t>
      </w:r>
      <w:r w:rsidRPr="001455DC">
        <w:tab/>
        <w:t xml:space="preserve">The clear distance (horizontal and vertical) between couplers and between couplers and adjacent bars should be not less than </w:t>
      </w:r>
      <w:r w:rsidRPr="001455DC">
        <w:rPr>
          <w:rStyle w:val="CCMCvariableitalic"/>
        </w:rPr>
        <w:t>D</w:t>
      </w:r>
      <w:r w:rsidRPr="001455DC">
        <w:rPr>
          <w:rStyle w:val="CCMCvariablesubscript"/>
        </w:rPr>
        <w:t>upper</w:t>
      </w:r>
      <w:r w:rsidR="00EC27D2" w:rsidRPr="001455DC">
        <w:rPr>
          <w:rFonts w:ascii="Cambria Math" w:hAnsi="Cambria Math"/>
        </w:rPr>
        <w:t> + </w:t>
      </w:r>
      <w:r w:rsidRPr="001455DC">
        <w:t>5 mm and the maximum diameter of the bars. Additional requirements related to installation should be accounted for.</w:t>
      </w:r>
    </w:p>
    <w:p w14:paraId="7E8B43DE" w14:textId="77777777" w:rsidR="004E22C1" w:rsidRPr="001455DC" w:rsidRDefault="004E22C1" w:rsidP="00F523AB">
      <w:pPr>
        <w:pStyle w:val="a7"/>
      </w:pPr>
      <w:r w:rsidRPr="001455DC">
        <w:t>(2)</w:t>
      </w:r>
      <w:r w:rsidRPr="001455DC">
        <w:tab/>
        <w:t>For cover requirements, couplers should be treated as single bars with the cover defined as the minimum clear distance between the outside surface of the coupler and the concrete surface.</w:t>
      </w:r>
    </w:p>
    <w:p w14:paraId="3FB78D8A" w14:textId="3237E180" w:rsidR="004E22C1" w:rsidRPr="001455DC" w:rsidRDefault="004E22C1" w:rsidP="00243590">
      <w:pPr>
        <w:pStyle w:val="31"/>
      </w:pPr>
      <w:bookmarkStart w:id="860" w:name="_Toc52820046"/>
      <w:bookmarkStart w:id="861" w:name="_Toc54337446"/>
      <w:bookmarkStart w:id="862" w:name="_Toc54338102"/>
      <w:bookmarkStart w:id="863" w:name="_Toc67565446"/>
      <w:r w:rsidRPr="001455DC">
        <w:t>Full penetration butt weld and fillet weld splices</w:t>
      </w:r>
      <w:bookmarkEnd w:id="860"/>
      <w:bookmarkEnd w:id="861"/>
      <w:bookmarkEnd w:id="862"/>
      <w:bookmarkEnd w:id="863"/>
    </w:p>
    <w:p w14:paraId="7FBDC491" w14:textId="77777777" w:rsidR="004E22C1" w:rsidRPr="001455DC" w:rsidRDefault="004E22C1" w:rsidP="00F523AB">
      <w:pPr>
        <w:pStyle w:val="a7"/>
      </w:pPr>
      <w:r w:rsidRPr="001455DC">
        <w:t>(1)</w:t>
      </w:r>
      <w:r w:rsidRPr="001455DC">
        <w:tab/>
        <w:t>Splices with full penetration butt welds or fillet welds shall be detailed according to EN ISO 17660</w:t>
      </w:r>
      <w:r w:rsidRPr="001455DC">
        <w:noBreakHyphen/>
        <w:t>1.</w:t>
      </w:r>
    </w:p>
    <w:p w14:paraId="2E2ADBEC" w14:textId="41BED0BF" w:rsidR="004E22C1" w:rsidRPr="001455DC" w:rsidRDefault="004E22C1" w:rsidP="006D682B">
      <w:pPr>
        <w:pStyle w:val="21"/>
      </w:pPr>
      <w:bookmarkStart w:id="864" w:name="_Toc52820047"/>
      <w:bookmarkStart w:id="865" w:name="_Toc54337447"/>
      <w:bookmarkStart w:id="866" w:name="_Toc54338103"/>
      <w:bookmarkStart w:id="867" w:name="_Toc67565447"/>
      <w:r w:rsidRPr="001455DC">
        <w:t>Post-tensioning tendons</w:t>
      </w:r>
      <w:bookmarkEnd w:id="864"/>
      <w:bookmarkEnd w:id="865"/>
      <w:bookmarkEnd w:id="866"/>
      <w:bookmarkEnd w:id="867"/>
    </w:p>
    <w:p w14:paraId="3D43C048" w14:textId="24D2B036" w:rsidR="004E22C1" w:rsidRPr="001455DC" w:rsidRDefault="004E22C1" w:rsidP="00243590">
      <w:pPr>
        <w:pStyle w:val="31"/>
      </w:pPr>
      <w:bookmarkStart w:id="868" w:name="_Toc52820048"/>
      <w:bookmarkStart w:id="869" w:name="_Toc54337448"/>
      <w:bookmarkStart w:id="870" w:name="_Toc54338104"/>
      <w:bookmarkStart w:id="871" w:name="_Toc67565448"/>
      <w:r w:rsidRPr="001455DC">
        <w:t>General</w:t>
      </w:r>
      <w:bookmarkEnd w:id="868"/>
      <w:bookmarkEnd w:id="869"/>
      <w:bookmarkEnd w:id="870"/>
      <w:bookmarkEnd w:id="871"/>
    </w:p>
    <w:p w14:paraId="6B3451EF" w14:textId="7B0662A2" w:rsidR="004E22C1" w:rsidRPr="001455DC" w:rsidRDefault="004E22C1" w:rsidP="003F41D3">
      <w:pPr>
        <w:pStyle w:val="a7"/>
      </w:pPr>
      <w:r w:rsidRPr="001455DC">
        <w:t>(1)</w:t>
      </w:r>
      <w:r w:rsidRPr="001455DC">
        <w:tab/>
        <w:t>Additional provisions for external post-tensioning are given in K.</w:t>
      </w:r>
      <w:r w:rsidR="00B71827" w:rsidRPr="001455DC">
        <w:t>13</w:t>
      </w:r>
      <w:r w:rsidRPr="001455DC">
        <w:t>.3.</w:t>
      </w:r>
    </w:p>
    <w:p w14:paraId="51383E7A" w14:textId="59F95F39" w:rsidR="004E22C1" w:rsidRPr="001455DC" w:rsidRDefault="004E22C1" w:rsidP="00243590">
      <w:pPr>
        <w:pStyle w:val="31"/>
      </w:pPr>
      <w:bookmarkStart w:id="872" w:name="_Toc52820049"/>
      <w:bookmarkStart w:id="873" w:name="_Toc54337449"/>
      <w:bookmarkStart w:id="874" w:name="_Toc54338105"/>
      <w:bookmarkStart w:id="875" w:name="_Toc67565449"/>
      <w:r w:rsidRPr="001455DC">
        <w:t>Minimum spacing of ducts</w:t>
      </w:r>
      <w:bookmarkEnd w:id="872"/>
      <w:bookmarkEnd w:id="873"/>
      <w:bookmarkEnd w:id="874"/>
      <w:bookmarkEnd w:id="875"/>
    </w:p>
    <w:p w14:paraId="75C1A383" w14:textId="0D8350D0" w:rsidR="004E22C1" w:rsidRPr="001455DC" w:rsidRDefault="004E22C1" w:rsidP="003F41D3">
      <w:pPr>
        <w:pStyle w:val="a7"/>
      </w:pPr>
      <w:r w:rsidRPr="001455DC">
        <w:t>(1)</w:t>
      </w:r>
      <w:r w:rsidRPr="001455DC">
        <w:tab/>
        <w:t>The minimum spacing for placing and compacting of concrete and for safe transfer of deviation forces should be in accordance with Figure 11.</w:t>
      </w:r>
      <w:r w:rsidR="00343CED" w:rsidRPr="001455DC">
        <w:t>1</w:t>
      </w:r>
      <w:r w:rsidR="00343CED">
        <w:t>6</w:t>
      </w:r>
      <w:r w:rsidRPr="001455DC">
        <w:t xml:space="preserve">. Minimum vertical spacing may be reduced below </w:t>
      </w:r>
      <w:r w:rsidRPr="001455DC">
        <w:rPr>
          <w:rStyle w:val="CCMCvariableitalic"/>
        </w:rPr>
        <w:t>ϕ</w:t>
      </w:r>
      <w:r w:rsidR="00D100E8" w:rsidRPr="001455DC">
        <w:rPr>
          <w:rStyle w:val="CCMCvariablesubscript"/>
        </w:rPr>
        <w:t>duct</w:t>
      </w:r>
      <w:r w:rsidRPr="001455DC">
        <w:t xml:space="preserve"> if adequate transverse reinforcement is provided to cope with the deviation forces from the tendon. Other arrangements may be used provided that satisfactory behaviour in service and at ultimate limit states may be demonstrated. Other requirements for durability are given in </w:t>
      </w:r>
      <w:r w:rsidR="001710FF" w:rsidRPr="001455DC">
        <w:t>Clause </w:t>
      </w:r>
      <w:r w:rsidRPr="001455DC">
        <w:t xml:space="preserve">6 and for fire design in </w:t>
      </w:r>
      <w:r w:rsidR="00137015">
        <w:t>pr</w:t>
      </w:r>
      <w:r w:rsidRPr="001455DC">
        <w:t>EN 1992</w:t>
      </w:r>
      <w:r w:rsidRPr="001455DC">
        <w:noBreakHyphen/>
        <w:t>1</w:t>
      </w:r>
      <w:r w:rsidRPr="001455DC">
        <w:noBreakHyphen/>
        <w:t>2.</w:t>
      </w:r>
    </w:p>
    <w:p w14:paraId="20AAC696" w14:textId="284B4FE2" w:rsidR="004E22C1" w:rsidRDefault="004E22C1" w:rsidP="003F41D3">
      <w:pPr>
        <w:pStyle w:val="a7"/>
      </w:pPr>
      <w:r w:rsidRPr="001455DC">
        <w:t>(2)</w:t>
      </w:r>
      <w:r w:rsidRPr="001455DC">
        <w:tab/>
        <w:t xml:space="preserve">The minimum spacing between bundled tendons should be </w:t>
      </w:r>
      <w:r w:rsidRPr="001455DC">
        <w:rPr>
          <w:rStyle w:val="CCMCvariableitalic"/>
        </w:rPr>
        <w:t>s</w:t>
      </w:r>
      <w:r w:rsidRPr="001455DC">
        <w:t> </w:t>
      </w:r>
      <w:r w:rsidR="00650035" w:rsidRPr="001455DC">
        <w:rPr>
          <w:rFonts w:ascii="Cambria Math" w:hAnsi="Cambria Math"/>
        </w:rPr>
        <w:t>≥</w:t>
      </w:r>
      <w:r w:rsidR="00073FC6" w:rsidRPr="001455DC">
        <w:t> </w:t>
      </w:r>
      <w:r w:rsidRPr="001455DC">
        <w:t>100 mm.</w:t>
      </w:r>
    </w:p>
    <w:p w14:paraId="6C446C96" w14:textId="61AD5CCA" w:rsidR="002374A2" w:rsidRDefault="002374A2" w:rsidP="003F41D3">
      <w:pPr>
        <w:pStyle w:val="a7"/>
      </w:pPr>
    </w:p>
    <w:p w14:paraId="10EAAA64" w14:textId="67C47D2F" w:rsidR="002374A2" w:rsidRPr="001455DC" w:rsidRDefault="00723CF7" w:rsidP="002374A2">
      <w:pPr>
        <w:pStyle w:val="FigureImage"/>
      </w:pPr>
      <w:r>
        <w:rPr>
          <w:noProof/>
          <w:lang w:eastAsia="en-GB"/>
        </w:rPr>
        <w:fldChar w:fldCharType="begin"/>
      </w:r>
      <w:r>
        <w:rPr>
          <w:noProof/>
          <w:lang w:eastAsia="en-GB"/>
        </w:rPr>
        <w:instrText xml:space="preserve"> INCLUDEPICTURE  "Y:\\STD_MGT\\STDDEL\\PRODUCTION\\etrans\\Download\\Z_FIRST_DEL\\SV\\00250\\00250269\\41_e_dr\\11_016.tif"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"Y:\\STD_MGT\\STDDEL\\PRODUCTION\\Standards\\00250\\269\\41_e_dr\\11_016.tif"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"Y:\\STD_MGT\\STDDEL\\PRODUCTION\\Standards\\00250\\269\\41_e_dr\\11_016.tif"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"Y:\\STD_MGT\\STDDEL\\PRODUCTION\\Standards\\00250\\269\\41_e_dr\\11_016.tif"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"Y:\\STD_MGT\\STDDEL\\PRODUCTION\\Standards\\00250\\269\\41_e_dr\\11_016.tif"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"Y:\\STD_MGT\\STDDEL\\PRODUCTION\\Standards\\00250\\269\\41_e_dr\\11_016.tif"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"C:\\Users\\a.dionysiou\\AppData\\Local\\Temp\\Temp1_00250269_e_20210902.zip.zip\\41_e_dr\\11_016.tif"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5145E3BF">
          <v:shape id="_x0000_i1252" type="#_x0000_t75" style="width:294pt;height:196.5pt">
            <v:imagedata r:id="rId474" r:href="rId475"/>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0DF37089" w14:textId="77777777" w:rsidR="00243590" w:rsidRDefault="002374A2" w:rsidP="00243590">
      <w:pPr>
        <w:pStyle w:val="KeyTitle"/>
      </w:pPr>
      <w:r>
        <w:t>Key</w:t>
      </w:r>
    </w:p>
    <w:tbl>
      <w:tblPr>
        <w:tblW w:w="0" w:type="auto"/>
        <w:tblInd w:w="-100" w:type="dxa"/>
        <w:tblCellMar>
          <w:left w:w="100" w:type="dxa"/>
        </w:tblCellMar>
        <w:tblLook w:val="0000" w:firstRow="0" w:lastRow="0" w:firstColumn="0" w:lastColumn="0" w:noHBand="0" w:noVBand="0"/>
      </w:tblPr>
      <w:tblGrid>
        <w:gridCol w:w="319"/>
        <w:gridCol w:w="3249"/>
      </w:tblGrid>
      <w:tr w:rsidR="00243590" w:rsidRPr="00243590" w14:paraId="0A4AA590" w14:textId="77777777" w:rsidTr="00243590">
        <w:tc>
          <w:tcPr>
            <w:tcW w:w="0" w:type="auto"/>
            <w:shd w:val="clear" w:color="auto" w:fill="auto"/>
          </w:tcPr>
          <w:p w14:paraId="207421EF" w14:textId="77777777" w:rsidR="00243590" w:rsidRPr="00243590" w:rsidRDefault="00243590" w:rsidP="00AD033B">
            <w:pPr>
              <w:pStyle w:val="KeyText"/>
              <w:tabs>
                <w:tab w:val="clear" w:pos="346"/>
              </w:tabs>
              <w:ind w:left="0" w:firstLine="0"/>
            </w:pPr>
            <w:r w:rsidRPr="00243590">
              <w:t>1</w:t>
            </w:r>
          </w:p>
        </w:tc>
        <w:tc>
          <w:tcPr>
            <w:tcW w:w="0" w:type="auto"/>
            <w:shd w:val="clear" w:color="auto" w:fill="auto"/>
          </w:tcPr>
          <w:p w14:paraId="22469EE6" w14:textId="77777777" w:rsidR="00243590" w:rsidRPr="00243590" w:rsidRDefault="00243590" w:rsidP="00AD033B">
            <w:pPr>
              <w:pStyle w:val="KeyText"/>
              <w:tabs>
                <w:tab w:val="clear" w:pos="346"/>
              </w:tabs>
              <w:ind w:left="0" w:firstLine="0"/>
            </w:pPr>
            <w:r w:rsidRPr="00243590">
              <w:t>Assumed plane of tendon curvature</w:t>
            </w:r>
          </w:p>
        </w:tc>
      </w:tr>
      <w:tr w:rsidR="00243590" w:rsidRPr="00243590" w14:paraId="3C362864" w14:textId="77777777" w:rsidTr="00243590">
        <w:tc>
          <w:tcPr>
            <w:tcW w:w="0" w:type="auto"/>
            <w:shd w:val="clear" w:color="auto" w:fill="auto"/>
          </w:tcPr>
          <w:p w14:paraId="6CBE4E24" w14:textId="77777777" w:rsidR="00243590" w:rsidRPr="00243590" w:rsidRDefault="00243590" w:rsidP="00AD033B">
            <w:pPr>
              <w:pStyle w:val="KeyText"/>
              <w:tabs>
                <w:tab w:val="clear" w:pos="346"/>
              </w:tabs>
              <w:ind w:left="0" w:firstLine="0"/>
            </w:pPr>
            <w:r w:rsidRPr="00243590">
              <w:t>2</w:t>
            </w:r>
          </w:p>
        </w:tc>
        <w:tc>
          <w:tcPr>
            <w:tcW w:w="0" w:type="auto"/>
            <w:shd w:val="clear" w:color="auto" w:fill="auto"/>
          </w:tcPr>
          <w:p w14:paraId="5BC8AA32" w14:textId="77777777" w:rsidR="00243590" w:rsidRPr="00243590" w:rsidRDefault="00243590" w:rsidP="00AD033B">
            <w:pPr>
              <w:pStyle w:val="KeyText"/>
              <w:tabs>
                <w:tab w:val="clear" w:pos="346"/>
              </w:tabs>
              <w:ind w:left="0" w:firstLine="0"/>
            </w:pPr>
            <w:r w:rsidRPr="00243590">
              <w:t>vertical</w:t>
            </w:r>
          </w:p>
        </w:tc>
      </w:tr>
    </w:tbl>
    <w:p w14:paraId="529134D8" w14:textId="4EC705AB" w:rsidR="004E22C1" w:rsidRPr="001455DC" w:rsidRDefault="004E22C1" w:rsidP="00243590">
      <w:pPr>
        <w:pStyle w:val="Note"/>
        <w:spacing w:before="120"/>
      </w:pPr>
      <w:r w:rsidRPr="001455DC">
        <w:t>NOTE</w:t>
      </w:r>
      <w:r w:rsidRPr="001455DC">
        <w:tab/>
        <w:t xml:space="preserve">Spacing shown for round ducts applies also to flat ducts. Values of </w:t>
      </w:r>
      <w:r w:rsidRPr="001455DC">
        <w:rPr>
          <w:rStyle w:val="CCMCvariableitalic"/>
        </w:rPr>
        <w:t>c</w:t>
      </w:r>
      <w:r w:rsidRPr="001455DC">
        <w:rPr>
          <w:rStyle w:val="CCMCvariablesubscript"/>
        </w:rPr>
        <w:t>min,b</w:t>
      </w:r>
      <w:r w:rsidRPr="001455DC">
        <w:t xml:space="preserve"> are given in 6.5.2.3.</w:t>
      </w:r>
    </w:p>
    <w:p w14:paraId="27A51FD5" w14:textId="01BFF8C8" w:rsidR="004E22C1" w:rsidRPr="001455DC" w:rsidRDefault="004E22C1" w:rsidP="003F41D3">
      <w:pPr>
        <w:pStyle w:val="Figuretitle"/>
      </w:pPr>
      <w:r w:rsidRPr="001455DC">
        <w:t>Figure 11.</w:t>
      </w:r>
      <w:r w:rsidR="00343CED" w:rsidRPr="001455DC">
        <w:t>1</w:t>
      </w:r>
      <w:r w:rsidR="00343CED">
        <w:t>6</w:t>
      </w:r>
      <w:r w:rsidR="00343CED" w:rsidRPr="001455DC">
        <w:t> </w:t>
      </w:r>
      <w:r w:rsidRPr="001455DC">
        <w:t>— Minimum clear spacing for internal tendons for post-tensioning</w:t>
      </w:r>
    </w:p>
    <w:p w14:paraId="04C2EE4C" w14:textId="77777777" w:rsidR="004E22C1" w:rsidRPr="001455DC" w:rsidRDefault="004E22C1" w:rsidP="003F41D3">
      <w:pPr>
        <w:pStyle w:val="a7"/>
      </w:pPr>
      <w:r w:rsidRPr="001455DC">
        <w:t>(3)</w:t>
      </w:r>
      <w:r w:rsidRPr="001455DC">
        <w:tab/>
        <w:t>Outside the anchorage zone, up to two tendon ducts and up to four greased and sheathed strands may be bundled transversally to the plane of the tendon curvature or in case of straight tendons. The effect of possible deviation forces due to tendon curvature shall be considered according to 11.7. Tendons with flat ducts shall not be bundled.</w:t>
      </w:r>
    </w:p>
    <w:p w14:paraId="453C8AC3" w14:textId="30F8FDD8" w:rsidR="004E22C1" w:rsidRPr="001455DC" w:rsidRDefault="004E22C1" w:rsidP="00243590">
      <w:pPr>
        <w:pStyle w:val="31"/>
      </w:pPr>
      <w:bookmarkStart w:id="876" w:name="_Toc52820050"/>
      <w:bookmarkStart w:id="877" w:name="_Toc54337450"/>
      <w:bookmarkStart w:id="878" w:name="_Toc54338106"/>
      <w:bookmarkStart w:id="879" w:name="_Toc67565450"/>
      <w:r w:rsidRPr="001455DC">
        <w:t>Minimum radius of curvature and straight length of tendons adjacent to the anchorages</w:t>
      </w:r>
      <w:bookmarkEnd w:id="876"/>
      <w:bookmarkEnd w:id="877"/>
      <w:bookmarkEnd w:id="878"/>
      <w:bookmarkEnd w:id="879"/>
    </w:p>
    <w:p w14:paraId="3EA43AAC" w14:textId="6B475600" w:rsidR="004E22C1" w:rsidRPr="001455DC" w:rsidRDefault="004E22C1" w:rsidP="003F41D3">
      <w:pPr>
        <w:pStyle w:val="a7"/>
      </w:pPr>
      <w:r w:rsidRPr="001455DC">
        <w:t>(1)</w:t>
      </w:r>
      <w:r w:rsidRPr="001455DC">
        <w:tab/>
        <w:t xml:space="preserve">The minimum radius of curvature of tendons and the minimum straight length of tendons adjacent to the anchorage devices shall comply with the requirements in the technical documentation of the post-tensioning system depending on the type of duct (metal duct, polymer duct, polymer pipe, steel pipe, polymer sheathing). These values </w:t>
      </w:r>
      <w:r w:rsidR="003C17A6" w:rsidRPr="001455DC">
        <w:t xml:space="preserve">shall </w:t>
      </w:r>
      <w:r w:rsidRPr="001455DC">
        <w:t>not be smaller than those given in (2) unless demonstrated by testing in accordance with EAD</w:t>
      </w:r>
      <w:r w:rsidRPr="001455DC">
        <w:noBreakHyphen/>
        <w:t>160004</w:t>
      </w:r>
      <w:r w:rsidRPr="001455DC">
        <w:noBreakHyphen/>
        <w:t>00</w:t>
      </w:r>
      <w:r w:rsidRPr="001455DC">
        <w:noBreakHyphen/>
        <w:t>0301.</w:t>
      </w:r>
    </w:p>
    <w:p w14:paraId="3D6BBE8A" w14:textId="5B2F12D8" w:rsidR="004E22C1" w:rsidRPr="001455DC" w:rsidRDefault="004E22C1" w:rsidP="00E844D2">
      <w:pPr>
        <w:pStyle w:val="a7"/>
        <w:keepNext/>
      </w:pPr>
      <w:r w:rsidRPr="001455DC">
        <w:t>(2)</w:t>
      </w:r>
      <w:r w:rsidRPr="001455DC">
        <w:tab/>
        <w:t>Unless other values are given in the technical documentation of the post-tensioning system, the minimum radius of curvature of tendons to prevent damage of the unconfined concrete on the inside of the tendon curvature during prestressing and to avoid a reduction of the axial tensile strength of the tendon may be taken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3F41D3" w:rsidRPr="001455DC" w14:paraId="1A25DDB6" w14:textId="77777777" w:rsidTr="003F41D3">
        <w:trPr>
          <w:cantSplit/>
        </w:trPr>
        <w:tc>
          <w:tcPr>
            <w:tcW w:w="8505" w:type="dxa"/>
            <w:vAlign w:val="center"/>
          </w:tcPr>
          <w:p w14:paraId="73B113B2" w14:textId="60CAB10D" w:rsidR="003F41D3" w:rsidRPr="001455DC" w:rsidRDefault="00231E33" w:rsidP="003F41D3">
            <w:pPr>
              <w:pStyle w:val="Formula"/>
              <w:jc w:val="left"/>
            </w:pPr>
            <m:oMathPara>
              <m:oMathParaPr>
                <m:jc m:val="left"/>
              </m:oMathParaPr>
              <m:oMath>
                <m:sSub>
                  <m:sSubPr>
                    <m:ctrlPr>
                      <w:rPr>
                        <w:rFonts w:ascii="Cambria Math" w:hAnsi="Cambria Math"/>
                      </w:rPr>
                    </m:ctrlPr>
                  </m:sSubPr>
                  <m:e>
                    <m:r>
                      <w:rPr>
                        <w:rFonts w:ascii="Cambria Math" w:hAnsi="Cambria Math"/>
                      </w:rPr>
                      <m:t>R</m:t>
                    </m:r>
                  </m:e>
                  <m:sub>
                    <m:r>
                      <m:rPr>
                        <m:sty m:val="p"/>
                      </m:rPr>
                      <w:rPr>
                        <w:rFonts w:ascii="Cambria Math" w:hAnsi="Cambria Math"/>
                      </w:rPr>
                      <m:t>min</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σ</m:t>
                        </m:r>
                      </m:e>
                      <m:sub>
                        <m:r>
                          <m:rPr>
                            <m:sty m:val="p"/>
                          </m:rPr>
                          <w:rPr>
                            <w:rFonts w:ascii="Cambria Math" w:hAnsi="Cambria Math"/>
                          </w:rPr>
                          <m:t>pd</m:t>
                        </m:r>
                      </m:sub>
                    </m:sSub>
                  </m:num>
                  <m:den>
                    <m:sSub>
                      <m:sSubPr>
                        <m:ctrlPr>
                          <w:rPr>
                            <w:rFonts w:ascii="Cambria Math" w:hAnsi="Cambria Math"/>
                          </w:rPr>
                        </m:ctrlPr>
                      </m:sSubPr>
                      <m:e>
                        <m:r>
                          <w:rPr>
                            <w:rFonts w:ascii="Cambria Math" w:hAnsi="Cambria Math"/>
                          </w:rPr>
                          <m:t>p</m:t>
                        </m:r>
                      </m:e>
                      <m:sub>
                        <m:r>
                          <m:rPr>
                            <m:sty m:val="p"/>
                          </m:rPr>
                          <w:rPr>
                            <w:rFonts w:ascii="Cambria Math" w:hAnsi="Cambria Math"/>
                          </w:rPr>
                          <m:t>Rd</m:t>
                        </m:r>
                      </m:sub>
                    </m:sSub>
                  </m:den>
                </m:f>
                <m:rad>
                  <m:radPr>
                    <m:degHide m:val="1"/>
                    <m:ctrlPr>
                      <w:rPr>
                        <w:rFonts w:ascii="Cambria Math" w:hAnsi="Cambria Math"/>
                      </w:rPr>
                    </m:ctrlPr>
                  </m:radPr>
                  <m:deg/>
                  <m:e>
                    <m:sSub>
                      <m:sSubPr>
                        <m:ctrlPr>
                          <w:rPr>
                            <w:rFonts w:ascii="Cambria Math" w:hAnsi="Cambria Math"/>
                          </w:rPr>
                        </m:ctrlPr>
                      </m:sSubPr>
                      <m:e>
                        <m:r>
                          <w:rPr>
                            <w:rFonts w:ascii="Cambria Math" w:hAnsi="Cambria Math"/>
                          </w:rPr>
                          <m:t>A</m:t>
                        </m:r>
                      </m:e>
                      <m:sub>
                        <m:r>
                          <m:rPr>
                            <m:sty m:val="p"/>
                          </m:rPr>
                          <w:rPr>
                            <w:rFonts w:ascii="Cambria Math" w:hAnsi="Cambria Math"/>
                          </w:rPr>
                          <m:t>p</m:t>
                        </m:r>
                      </m:sub>
                    </m:sSub>
                  </m:e>
                </m:rad>
              </m:oMath>
            </m:oMathPara>
          </w:p>
        </w:tc>
        <w:tc>
          <w:tcPr>
            <w:tcW w:w="1247" w:type="dxa"/>
            <w:vAlign w:val="center"/>
          </w:tcPr>
          <w:p w14:paraId="6B4D93A4" w14:textId="5615A521" w:rsidR="003F41D3" w:rsidRPr="001455DC" w:rsidRDefault="003F41D3" w:rsidP="003F41D3">
            <w:pPr>
              <w:pStyle w:val="a7"/>
              <w:jc w:val="right"/>
            </w:pPr>
            <w:r w:rsidRPr="001455DC">
              <w:t>(11.20)</w:t>
            </w:r>
          </w:p>
        </w:tc>
      </w:tr>
    </w:tbl>
    <w:p w14:paraId="79945C77" w14:textId="77777777" w:rsidR="003F41D3" w:rsidRPr="001455DC" w:rsidRDefault="003F41D3"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3F41D3" w:rsidRPr="001455DC" w14:paraId="43C07261" w14:textId="77777777" w:rsidTr="003F41D3">
        <w:trPr>
          <w:cantSplit/>
        </w:trPr>
        <w:tc>
          <w:tcPr>
            <w:tcW w:w="567" w:type="dxa"/>
          </w:tcPr>
          <w:p w14:paraId="4BAC43C1" w14:textId="33840211" w:rsidR="003F41D3" w:rsidRPr="001455DC" w:rsidRDefault="003F41D3" w:rsidP="0000442A">
            <w:pPr>
              <w:pStyle w:val="Tablebody"/>
            </w:pPr>
            <w:r w:rsidRPr="001455DC">
              <w:rPr>
                <w:rStyle w:val="CCMCvariableitalic"/>
              </w:rPr>
              <w:t>σ</w:t>
            </w:r>
            <w:r w:rsidRPr="001455DC">
              <w:rPr>
                <w:rStyle w:val="CCMCvariablesubscript"/>
              </w:rPr>
              <w:t>pd</w:t>
            </w:r>
          </w:p>
        </w:tc>
        <w:tc>
          <w:tcPr>
            <w:tcW w:w="8845" w:type="dxa"/>
          </w:tcPr>
          <w:p w14:paraId="2AB02D23" w14:textId="3E01FEAE" w:rsidR="003F41D3" w:rsidRPr="001455DC" w:rsidRDefault="003F41D3" w:rsidP="00BB1209">
            <w:pPr>
              <w:pStyle w:val="Tablebody"/>
            </w:pPr>
            <w:r w:rsidRPr="001455DC">
              <w:t>is the tendon design stress (at the time of tensioning, considering partial factors for prestress, see Table 4.2(NDP);</w:t>
            </w:r>
          </w:p>
        </w:tc>
      </w:tr>
      <w:tr w:rsidR="003F41D3" w:rsidRPr="001455DC" w14:paraId="65F7D59A" w14:textId="77777777" w:rsidTr="003F41D3">
        <w:trPr>
          <w:cantSplit/>
        </w:trPr>
        <w:tc>
          <w:tcPr>
            <w:tcW w:w="567" w:type="dxa"/>
          </w:tcPr>
          <w:p w14:paraId="48F0C4D6" w14:textId="20EB3A0C" w:rsidR="003F41D3" w:rsidRPr="001455DC" w:rsidRDefault="003F41D3" w:rsidP="0000442A">
            <w:pPr>
              <w:pStyle w:val="Tablebody"/>
            </w:pPr>
            <w:r w:rsidRPr="001455DC">
              <w:rPr>
                <w:rStyle w:val="CCMCvariableitalic"/>
              </w:rPr>
              <w:t>p</w:t>
            </w:r>
            <w:r w:rsidRPr="001455DC">
              <w:rPr>
                <w:rStyle w:val="CCMCvariablesubscript"/>
              </w:rPr>
              <w:t>Rd</w:t>
            </w:r>
          </w:p>
        </w:tc>
        <w:tc>
          <w:tcPr>
            <w:tcW w:w="8845" w:type="dxa"/>
          </w:tcPr>
          <w:p w14:paraId="57BC182A" w14:textId="4674F8D5" w:rsidR="003F41D3" w:rsidRPr="001455DC" w:rsidRDefault="003F41D3" w:rsidP="0000442A">
            <w:pPr>
              <w:pStyle w:val="Tablebody"/>
            </w:pPr>
            <w:r w:rsidRPr="001455DC">
              <w:t>is the maximum transverse bearing stress on the prestressing tendon which may be taken from Table 11.5.</w:t>
            </w:r>
          </w:p>
        </w:tc>
      </w:tr>
    </w:tbl>
    <w:p w14:paraId="318E7977" w14:textId="77777777" w:rsidR="004E22C1" w:rsidRPr="001455DC" w:rsidRDefault="004E22C1" w:rsidP="00E844D2">
      <w:pPr>
        <w:pStyle w:val="a7"/>
        <w:keepNext/>
      </w:pPr>
      <w:r w:rsidRPr="001455DC">
        <w:t>(3)</w:t>
      </w:r>
      <w:r w:rsidRPr="001455DC">
        <w:tab/>
        <w:t>For tendon loops in U-shape, unless more restrictive rules are given in the technical documentation of the post-tensioning system, the following detailing rules should be observed:</w:t>
      </w:r>
    </w:p>
    <w:p w14:paraId="41D6A56B" w14:textId="58703C56" w:rsidR="004E22C1" w:rsidRPr="001455DC" w:rsidRDefault="004E22C1" w:rsidP="003F41D3">
      <w:pPr>
        <w:pStyle w:val="a0"/>
      </w:pPr>
      <w:r w:rsidRPr="001455DC">
        <w:t>minimum cover transverse to the plane of the tendon loop </w:t>
      </w:r>
      <w:r w:rsidR="00650035" w:rsidRPr="001455DC">
        <w:rPr>
          <w:rFonts w:ascii="Cambria Math" w:hAnsi="Cambria Math"/>
        </w:rPr>
        <w:t>≥</w:t>
      </w:r>
      <w:r w:rsidR="00073FC6" w:rsidRPr="001455DC">
        <w:t> </w:t>
      </w:r>
      <w:r w:rsidRPr="001455DC">
        <w:t>1,0</w:t>
      </w:r>
      <w:r w:rsidRPr="001455DC">
        <w:rPr>
          <w:rStyle w:val="CCMCvariableitalic"/>
        </w:rPr>
        <w:t>ϕ</w:t>
      </w:r>
      <w:r w:rsidRPr="001455DC">
        <w:rPr>
          <w:rStyle w:val="CCMCvariablesubscript"/>
        </w:rPr>
        <w:t>D</w:t>
      </w:r>
      <w:r w:rsidRPr="001455DC">
        <w:t>;</w:t>
      </w:r>
    </w:p>
    <w:p w14:paraId="6294D5E2" w14:textId="1E5B3BD0" w:rsidR="004E22C1" w:rsidRPr="001455DC" w:rsidRDefault="004E22C1" w:rsidP="003F41D3">
      <w:pPr>
        <w:pStyle w:val="a0"/>
      </w:pPr>
      <w:r w:rsidRPr="001455DC">
        <w:t>reinforcement transverse to the plane of the tendon loop should be provided for the deviation forces along the inside of the loop;</w:t>
      </w:r>
    </w:p>
    <w:p w14:paraId="02DE1B0B" w14:textId="32E10074" w:rsidR="004E22C1" w:rsidRPr="001455DC" w:rsidRDefault="004E22C1" w:rsidP="003F41D3">
      <w:pPr>
        <w:pStyle w:val="a0"/>
      </w:pPr>
      <w:r w:rsidRPr="001455DC">
        <w:t>Half of the deviation forces in the plane of the loop transferred by reinforcement to the concrete on the outside of the loop. This reinforcement should be anchored at the centreline of the loop and may be combined with the bursting reinforcement in the form of U-shaped bars;</w:t>
      </w:r>
    </w:p>
    <w:p w14:paraId="1DC0239B" w14:textId="7D8B2C8A" w:rsidR="004E22C1" w:rsidRPr="001455DC" w:rsidRDefault="004E22C1" w:rsidP="003F41D3">
      <w:pPr>
        <w:pStyle w:val="a0"/>
      </w:pPr>
      <w:r w:rsidRPr="001455DC">
        <w:t>the bearing stress on the confined concrete inside the tendon curvature should be checked according to (2).</w:t>
      </w:r>
    </w:p>
    <w:p w14:paraId="3F59A928" w14:textId="3D0D00AE" w:rsidR="004E22C1" w:rsidRPr="001455DC" w:rsidRDefault="004E22C1" w:rsidP="003F41D3">
      <w:pPr>
        <w:pStyle w:val="Tabletitle"/>
      </w:pPr>
      <w:bookmarkStart w:id="880" w:name="_Toc54337451"/>
      <w:r w:rsidRPr="001455DC">
        <w:t>Table 11.5 — Maximum transverse bearing stress on the prestressing tendon and</w:t>
      </w:r>
      <w:r w:rsidR="003F41D3" w:rsidRPr="001455DC">
        <w:t xml:space="preserve"> </w:t>
      </w:r>
      <w:r w:rsidRPr="001455DC">
        <w:t>additional requirements</w:t>
      </w:r>
      <w:bookmarkEnd w:id="880"/>
    </w:p>
    <w:tbl>
      <w:tblPr>
        <w:tblStyle w:val="53"/>
        <w:tblW w:w="0" w:type="auto"/>
        <w:tblLayout w:type="fixed"/>
        <w:tblCellMar>
          <w:left w:w="71" w:type="dxa"/>
          <w:right w:w="71" w:type="dxa"/>
        </w:tblCellMar>
        <w:tblLook w:val="0620" w:firstRow="1" w:lastRow="0" w:firstColumn="0" w:lastColumn="0" w:noHBand="1" w:noVBand="1"/>
      </w:tblPr>
      <w:tblGrid>
        <w:gridCol w:w="4649"/>
        <w:gridCol w:w="2552"/>
        <w:gridCol w:w="2552"/>
      </w:tblGrid>
      <w:tr w:rsidR="004E22C1" w:rsidRPr="001455DC" w14:paraId="7EFBE1D8" w14:textId="77777777" w:rsidTr="003F41D3">
        <w:trPr>
          <w:cnfStyle w:val="100000000000" w:firstRow="1" w:lastRow="0" w:firstColumn="0" w:lastColumn="0" w:oddVBand="0" w:evenVBand="0" w:oddHBand="0" w:evenHBand="0" w:firstRowFirstColumn="0" w:firstRowLastColumn="0" w:lastRowFirstColumn="0" w:lastRowLastColumn="0"/>
          <w:tblHeader/>
        </w:trPr>
        <w:tc>
          <w:tcPr>
            <w:tcW w:w="4649" w:type="dxa"/>
          </w:tcPr>
          <w:p w14:paraId="6DBB35CD" w14:textId="77777777" w:rsidR="004E22C1" w:rsidRPr="001455DC" w:rsidRDefault="004E22C1" w:rsidP="003F41D3">
            <w:pPr>
              <w:pStyle w:val="Tableheader"/>
              <w:keepNext/>
            </w:pPr>
            <w:r w:rsidRPr="001455DC">
              <w:t>Case</w:t>
            </w:r>
          </w:p>
        </w:tc>
        <w:tc>
          <w:tcPr>
            <w:tcW w:w="2552" w:type="dxa"/>
          </w:tcPr>
          <w:p w14:paraId="420BE43F" w14:textId="77777777" w:rsidR="004E22C1" w:rsidRPr="009D3012" w:rsidRDefault="004E22C1" w:rsidP="003F41D3">
            <w:pPr>
              <w:pStyle w:val="Tableheader"/>
              <w:keepNext/>
              <w:rPr>
                <w:lang w:val="en-US"/>
              </w:rPr>
            </w:pPr>
            <w:r w:rsidRPr="009D3012">
              <w:rPr>
                <w:lang w:val="en-US"/>
              </w:rPr>
              <w:t>maximum transverse bearing stress on the prestressing tendon</w:t>
            </w:r>
          </w:p>
        </w:tc>
        <w:tc>
          <w:tcPr>
            <w:tcW w:w="2552" w:type="dxa"/>
          </w:tcPr>
          <w:p w14:paraId="5D401895" w14:textId="77777777" w:rsidR="004E22C1" w:rsidRPr="001455DC" w:rsidRDefault="004E22C1" w:rsidP="003F41D3">
            <w:pPr>
              <w:pStyle w:val="Tableheader"/>
              <w:keepNext/>
            </w:pPr>
            <w:r w:rsidRPr="001455DC">
              <w:t>additional requirements</w:t>
            </w:r>
          </w:p>
        </w:tc>
      </w:tr>
      <w:tr w:rsidR="004E22C1" w:rsidRPr="001455DC" w14:paraId="2239FAC4" w14:textId="77777777" w:rsidTr="003F41D3">
        <w:tc>
          <w:tcPr>
            <w:tcW w:w="4649" w:type="dxa"/>
            <w:vAlign w:val="center"/>
          </w:tcPr>
          <w:p w14:paraId="201413E1" w14:textId="77777777" w:rsidR="004E22C1" w:rsidRPr="009D3012" w:rsidRDefault="004E22C1" w:rsidP="003F41D3">
            <w:pPr>
              <w:pStyle w:val="Tablebody"/>
              <w:keepNext/>
              <w:jc w:val="left"/>
              <w:rPr>
                <w:lang w:val="en-US"/>
              </w:rPr>
            </w:pPr>
            <w:r w:rsidRPr="009D3012">
              <w:rPr>
                <w:lang w:val="en-US"/>
              </w:rPr>
              <w:t>internal tendons with corrugated ducts</w:t>
            </w:r>
          </w:p>
        </w:tc>
        <w:tc>
          <w:tcPr>
            <w:tcW w:w="2552" w:type="dxa"/>
            <w:vAlign w:val="center"/>
          </w:tcPr>
          <w:p w14:paraId="3D4B74AE" w14:textId="41406E0C" w:rsidR="004E22C1" w:rsidRPr="001455DC" w:rsidRDefault="004E22C1" w:rsidP="003F41D3">
            <w:pPr>
              <w:pStyle w:val="Tablebody"/>
              <w:keepNext/>
              <w:jc w:val="center"/>
            </w:pPr>
            <w:r w:rsidRPr="001455DC">
              <w:rPr>
                <w:rStyle w:val="CCMCvariableitalic"/>
              </w:rPr>
              <w:t>p</w:t>
            </w:r>
            <w:r w:rsidRPr="001455DC">
              <w:rPr>
                <w:rStyle w:val="CCMCvariablesubscript"/>
              </w:rPr>
              <w:t>Rd</w:t>
            </w:r>
            <w:r w:rsidRPr="001455DC">
              <w:t> </w:t>
            </w:r>
            <w:r w:rsidR="00EC27D2" w:rsidRPr="001455DC">
              <w:rPr>
                <w:rFonts w:ascii="Cambria Math" w:hAnsi="Cambria Math"/>
              </w:rPr>
              <w:t>=</w:t>
            </w:r>
            <w:r w:rsidRPr="001455DC">
              <w:t> 0,75</w:t>
            </w:r>
            <w:r w:rsidRPr="001455DC">
              <w:rPr>
                <w:rStyle w:val="CCMCvariableitalic"/>
              </w:rPr>
              <w:t>f</w:t>
            </w:r>
            <w:r w:rsidRPr="001455DC">
              <w:rPr>
                <w:rStyle w:val="CCMCvariablesubscript"/>
              </w:rPr>
              <w:t>cd</w:t>
            </w:r>
            <w:r w:rsidRPr="001455DC">
              <w:t> </w:t>
            </w:r>
            <w:r w:rsidR="00650035" w:rsidRPr="001455DC">
              <w:rPr>
                <w:rFonts w:ascii="Cambria Math" w:hAnsi="Cambria Math"/>
              </w:rPr>
              <w:t>≤</w:t>
            </w:r>
            <w:r w:rsidRPr="001455DC">
              <w:t> 12 MPa</w:t>
            </w:r>
          </w:p>
        </w:tc>
        <w:tc>
          <w:tcPr>
            <w:tcW w:w="2552" w:type="dxa"/>
            <w:vAlign w:val="center"/>
          </w:tcPr>
          <w:p w14:paraId="12C81E2A" w14:textId="77777777" w:rsidR="004E22C1" w:rsidRPr="001455DC" w:rsidRDefault="004E22C1" w:rsidP="003F41D3">
            <w:pPr>
              <w:pStyle w:val="Tablebody"/>
              <w:keepNext/>
              <w:jc w:val="center"/>
            </w:pPr>
            <w:r w:rsidRPr="001455DC">
              <w:t>–</w:t>
            </w:r>
          </w:p>
        </w:tc>
      </w:tr>
      <w:tr w:rsidR="004E22C1" w:rsidRPr="001455DC" w14:paraId="0ED706D2" w14:textId="77777777" w:rsidTr="003F41D3">
        <w:tc>
          <w:tcPr>
            <w:tcW w:w="4649" w:type="dxa"/>
            <w:vAlign w:val="center"/>
          </w:tcPr>
          <w:p w14:paraId="2555EBF3" w14:textId="77777777" w:rsidR="004E22C1" w:rsidRPr="009D3012" w:rsidRDefault="004E22C1" w:rsidP="003F41D3">
            <w:pPr>
              <w:pStyle w:val="Tablebody"/>
              <w:keepNext/>
              <w:jc w:val="left"/>
              <w:rPr>
                <w:lang w:val="en-US"/>
              </w:rPr>
            </w:pPr>
            <w:r w:rsidRPr="009D3012">
              <w:rPr>
                <w:lang w:val="en-US"/>
              </w:rPr>
              <w:t>internal tendons inside a loop in U-shape with duct or pipe without relative movement between tendon and duct (i.e. the tendon fix point during stressing is located in the centre of the U and is not subject to fatigue loading)</w:t>
            </w:r>
          </w:p>
        </w:tc>
        <w:tc>
          <w:tcPr>
            <w:tcW w:w="2552" w:type="dxa"/>
            <w:vAlign w:val="center"/>
          </w:tcPr>
          <w:p w14:paraId="6C498C56" w14:textId="49E66235" w:rsidR="004E22C1" w:rsidRPr="001455DC" w:rsidRDefault="004E22C1" w:rsidP="003F41D3">
            <w:pPr>
              <w:pStyle w:val="Tablebody"/>
              <w:keepNext/>
              <w:jc w:val="center"/>
            </w:pPr>
            <w:r w:rsidRPr="001455DC">
              <w:rPr>
                <w:rStyle w:val="CCMCvariableitalic"/>
              </w:rPr>
              <w:t>p</w:t>
            </w:r>
            <w:r w:rsidRPr="001455DC">
              <w:rPr>
                <w:rStyle w:val="CCMCvariablesubscript"/>
              </w:rPr>
              <w:t>Rd</w:t>
            </w:r>
            <w:r w:rsidRPr="001455DC">
              <w:t> </w:t>
            </w:r>
            <w:r w:rsidR="00EC27D2" w:rsidRPr="001455DC">
              <w:rPr>
                <w:rFonts w:ascii="Cambria Math" w:hAnsi="Cambria Math"/>
              </w:rPr>
              <w:t>=</w:t>
            </w:r>
            <w:r w:rsidRPr="001455DC">
              <w:t> 55 MPa</w:t>
            </w:r>
          </w:p>
        </w:tc>
        <w:tc>
          <w:tcPr>
            <w:tcW w:w="2552" w:type="dxa"/>
            <w:vAlign w:val="center"/>
          </w:tcPr>
          <w:p w14:paraId="5C99AEE2" w14:textId="77777777" w:rsidR="004E22C1" w:rsidRPr="001455DC" w:rsidRDefault="004E22C1" w:rsidP="003F41D3">
            <w:pPr>
              <w:pStyle w:val="Tablebody"/>
              <w:keepNext/>
              <w:jc w:val="center"/>
            </w:pPr>
            <w:r w:rsidRPr="001455DC">
              <w:t>see (3)</w:t>
            </w:r>
          </w:p>
        </w:tc>
      </w:tr>
      <w:tr w:rsidR="004E22C1" w:rsidRPr="001455DC" w14:paraId="1EBFD5F6" w14:textId="77777777" w:rsidTr="003F41D3">
        <w:tc>
          <w:tcPr>
            <w:tcW w:w="4649" w:type="dxa"/>
            <w:vAlign w:val="center"/>
          </w:tcPr>
          <w:p w14:paraId="6A2D5D49" w14:textId="77777777" w:rsidR="004E22C1" w:rsidRPr="009D3012" w:rsidRDefault="004E22C1" w:rsidP="003F41D3">
            <w:pPr>
              <w:pStyle w:val="Tablebody"/>
              <w:jc w:val="left"/>
              <w:rPr>
                <w:lang w:val="en-US"/>
              </w:rPr>
            </w:pPr>
            <w:r w:rsidRPr="009D3012">
              <w:rPr>
                <w:lang w:val="en-US"/>
              </w:rPr>
              <w:t>External tendons with smooth pipe with relative movement between tendon and duct</w:t>
            </w:r>
          </w:p>
        </w:tc>
        <w:tc>
          <w:tcPr>
            <w:tcW w:w="2552" w:type="dxa"/>
            <w:vAlign w:val="center"/>
          </w:tcPr>
          <w:p w14:paraId="69609FCB" w14:textId="40F4A74A" w:rsidR="004E22C1" w:rsidRPr="001455DC" w:rsidRDefault="004E22C1" w:rsidP="003F41D3">
            <w:pPr>
              <w:pStyle w:val="Tablebody"/>
              <w:jc w:val="center"/>
            </w:pPr>
            <w:r w:rsidRPr="001455DC">
              <w:rPr>
                <w:rStyle w:val="CCMCvariableitalic"/>
              </w:rPr>
              <w:t>p</w:t>
            </w:r>
            <w:r w:rsidRPr="001455DC">
              <w:rPr>
                <w:rStyle w:val="CCMCvariablesubscript"/>
              </w:rPr>
              <w:t>Rd</w:t>
            </w:r>
            <w:r w:rsidRPr="001455DC">
              <w:t> </w:t>
            </w:r>
            <w:r w:rsidR="00EC27D2" w:rsidRPr="001455DC">
              <w:rPr>
                <w:rFonts w:ascii="Cambria Math" w:hAnsi="Cambria Math"/>
              </w:rPr>
              <w:t>=</w:t>
            </w:r>
            <w:r w:rsidRPr="001455DC">
              <w:t> 24 MPa</w:t>
            </w:r>
          </w:p>
        </w:tc>
        <w:tc>
          <w:tcPr>
            <w:tcW w:w="2552" w:type="dxa"/>
            <w:vAlign w:val="center"/>
          </w:tcPr>
          <w:p w14:paraId="3ADF2CA0" w14:textId="77777777" w:rsidR="004E22C1" w:rsidRPr="009D3012" w:rsidRDefault="004E22C1" w:rsidP="003F41D3">
            <w:pPr>
              <w:pStyle w:val="Tablebody"/>
              <w:jc w:val="center"/>
              <w:rPr>
                <w:lang w:val="en-US"/>
              </w:rPr>
            </w:pPr>
            <w:r w:rsidRPr="009D3012">
              <w:rPr>
                <w:lang w:val="en-US"/>
              </w:rPr>
              <w:t>The bearing stress on the concrete inside the pipe shall be verified.</w:t>
            </w:r>
          </w:p>
        </w:tc>
      </w:tr>
    </w:tbl>
    <w:p w14:paraId="407FFE0E" w14:textId="77777777" w:rsidR="004E22C1" w:rsidRPr="001455DC" w:rsidRDefault="004E22C1" w:rsidP="003F41D3">
      <w:pPr>
        <w:pStyle w:val="a7"/>
      </w:pPr>
    </w:p>
    <w:p w14:paraId="09424810" w14:textId="36DFDE24" w:rsidR="004E22C1" w:rsidRPr="001455DC" w:rsidRDefault="004E22C1" w:rsidP="00243590">
      <w:pPr>
        <w:pStyle w:val="31"/>
      </w:pPr>
      <w:bookmarkStart w:id="881" w:name="_Toc52820051"/>
      <w:bookmarkStart w:id="882" w:name="_Toc54337452"/>
      <w:bookmarkStart w:id="883" w:name="_Toc54338107"/>
      <w:bookmarkStart w:id="884" w:name="_Toc67565451"/>
      <w:r w:rsidRPr="001455DC">
        <w:t>Anchorages, couplers and deviators of post-tensioning tendons</w:t>
      </w:r>
      <w:bookmarkEnd w:id="881"/>
      <w:bookmarkEnd w:id="882"/>
      <w:bookmarkEnd w:id="883"/>
      <w:bookmarkEnd w:id="884"/>
    </w:p>
    <w:p w14:paraId="4ED353A5" w14:textId="77777777" w:rsidR="004E22C1" w:rsidRPr="001455DC" w:rsidRDefault="004E22C1" w:rsidP="003F41D3">
      <w:pPr>
        <w:pStyle w:val="a7"/>
      </w:pPr>
      <w:r w:rsidRPr="001455DC">
        <w:t>(1)</w:t>
      </w:r>
      <w:r w:rsidRPr="001455DC">
        <w:tab/>
        <w:t>Anchorage devices and couplers used for post-tensioning tendons as well as the zone immediately around and in front of the tendon anchorage where the prestressing force is transmitted to the concrete shall be checked for minimum spacing, minimum edge distance and local anchorage zone reinforcement to be in accordance with the technical documentation of the post-tensioning system.</w:t>
      </w:r>
    </w:p>
    <w:p w14:paraId="1C3CC5DF" w14:textId="2ABB4087" w:rsidR="004E22C1" w:rsidRPr="001455DC" w:rsidRDefault="004E22C1" w:rsidP="003F41D3">
      <w:pPr>
        <w:pStyle w:val="a7"/>
      </w:pPr>
      <w:r w:rsidRPr="001455DC">
        <w:t>(2)</w:t>
      </w:r>
      <w:r w:rsidRPr="001455DC">
        <w:tab/>
        <w:t>The zone where the prestressing force is dispersed over the full cross</w:t>
      </w:r>
      <w:r w:rsidR="00B10711" w:rsidRPr="001455DC">
        <w:t xml:space="preserve"> </w:t>
      </w:r>
      <w:r w:rsidRPr="001455DC">
        <w:t>section of the member should be designed using a strut-and-tie model according to 8.5, or other appropriate representation.</w:t>
      </w:r>
    </w:p>
    <w:p w14:paraId="627FC930" w14:textId="6CA73EB3" w:rsidR="004E22C1" w:rsidRPr="001455DC" w:rsidRDefault="004E22C1" w:rsidP="003F41D3">
      <w:pPr>
        <w:pStyle w:val="a7"/>
      </w:pPr>
      <w:r w:rsidRPr="001455DC">
        <w:t>(3)</w:t>
      </w:r>
      <w:r w:rsidRPr="001455DC">
        <w:tab/>
        <w:t>If post-tensioning tendons are anchored in a section away from the ends of a member (e.g. at a construction joint, a blister or cast into the member section), compressive stresses should generally be present in the entire section in the direction of the anchored prestressing force under frequent load combination. The effect of anchoring or coupling several tendons at or close to the minimum spacing between anchorages or couplers in a single cross</w:t>
      </w:r>
      <w:r w:rsidR="00B10711" w:rsidRPr="001455DC">
        <w:t xml:space="preserve"> </w:t>
      </w:r>
      <w:r w:rsidRPr="001455DC">
        <w:t>section on the strain distribution in the member should be assessed.</w:t>
      </w:r>
    </w:p>
    <w:p w14:paraId="5B5613B9" w14:textId="671D5A0D" w:rsidR="004E22C1" w:rsidRPr="001455DC" w:rsidRDefault="004E22C1" w:rsidP="003F41D3">
      <w:pPr>
        <w:pStyle w:val="Note"/>
      </w:pPr>
      <w:r w:rsidRPr="001455DC">
        <w:t>NOTE</w:t>
      </w:r>
      <w:r w:rsidRPr="001455DC">
        <w:tab/>
        <w:t>The assumption of linear strain distribution may not apply locally where several tendons are anchored or coupled at or close to the minimum spacing in a single cross</w:t>
      </w:r>
      <w:r w:rsidR="00B10711" w:rsidRPr="001455DC">
        <w:t xml:space="preserve"> </w:t>
      </w:r>
      <w:r w:rsidRPr="001455DC">
        <w:t>section inside a member. It is considered good practice if at least 25 % of the tendon force is transferred with reinforcement (parallel to the tendon) to the member sections behind the anchorage or coupler. Compression forces acting in the member sections behind the anchorage or coupler reduce the required amount of reinforcement.</w:t>
      </w:r>
    </w:p>
    <w:p w14:paraId="103F7F85" w14:textId="4559D721" w:rsidR="004E22C1" w:rsidRPr="001455DC" w:rsidRDefault="004E22C1" w:rsidP="006D682B">
      <w:pPr>
        <w:pStyle w:val="21"/>
      </w:pPr>
      <w:bookmarkStart w:id="885" w:name="_Toc52820052"/>
      <w:bookmarkStart w:id="886" w:name="_Toc54337453"/>
      <w:bookmarkStart w:id="887" w:name="_Toc54338108"/>
      <w:bookmarkStart w:id="888" w:name="_Toc67565452"/>
      <w:r w:rsidRPr="001455DC">
        <w:t>Deviation forces due to curved tensile and compressive chords</w:t>
      </w:r>
      <w:bookmarkEnd w:id="885"/>
      <w:bookmarkEnd w:id="886"/>
      <w:bookmarkEnd w:id="887"/>
      <w:bookmarkEnd w:id="888"/>
    </w:p>
    <w:p w14:paraId="6F0BC696" w14:textId="77777777" w:rsidR="004E22C1" w:rsidRPr="001455DC" w:rsidRDefault="004E22C1" w:rsidP="003F41D3">
      <w:pPr>
        <w:pStyle w:val="a7"/>
      </w:pPr>
      <w:r w:rsidRPr="001455DC">
        <w:t>(1)</w:t>
      </w:r>
      <w:r w:rsidRPr="001455DC">
        <w:tab/>
        <w:t>In the case of curved or kinked tension or compression chords, the effects of the deviation forces shall be accounted for. The same provisions apply for curved post-tensioning tendons near the concrete surface.</w:t>
      </w:r>
    </w:p>
    <w:p w14:paraId="31CE6E51" w14:textId="3CB7D37E" w:rsidR="004E22C1" w:rsidRPr="001455DC" w:rsidRDefault="004E22C1" w:rsidP="003F41D3">
      <w:pPr>
        <w:pStyle w:val="a7"/>
      </w:pPr>
      <w:r w:rsidRPr="001455DC">
        <w:t>(2)</w:t>
      </w:r>
      <w:r w:rsidRPr="001455DC">
        <w:tab/>
        <w:t>Deviation forces in equilibrium with transverse tensile forces as shown in Figure 11.</w:t>
      </w:r>
      <w:r w:rsidR="00343CED" w:rsidRPr="001455DC">
        <w:t>1</w:t>
      </w:r>
      <w:r w:rsidR="00343CED">
        <w:t>7</w:t>
      </w:r>
      <w:r w:rsidR="00343CED" w:rsidRPr="001455DC">
        <w:t xml:space="preserve"> </w:t>
      </w:r>
      <w:r w:rsidRPr="001455DC">
        <w:t>should in general be resisted by means of additional transverse reinforcement.</w:t>
      </w:r>
    </w:p>
    <w:p w14:paraId="0EA68304" w14:textId="77777777" w:rsidR="003F41D3" w:rsidRPr="001455DC" w:rsidRDefault="004E22C1" w:rsidP="00E844D2">
      <w:pPr>
        <w:pStyle w:val="a7"/>
        <w:keepNext/>
      </w:pPr>
      <w:r w:rsidRPr="001455DC">
        <w:t>(3)</w:t>
      </w:r>
      <w:r w:rsidRPr="001455DC">
        <w:tab/>
        <w:t>If no specific transverse reinforcement is provided to carry deviation forces, it shall be verified that the deviation forces due to the longitudinal reinforcement force or due to a curved post-tensioning tendon can be resisted by the concrete in tension:</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3F41D3" w:rsidRPr="001455DC" w14:paraId="7837DA72" w14:textId="77777777" w:rsidTr="003F41D3">
        <w:trPr>
          <w:cantSplit/>
        </w:trPr>
        <w:tc>
          <w:tcPr>
            <w:tcW w:w="8505" w:type="dxa"/>
            <w:vAlign w:val="center"/>
          </w:tcPr>
          <w:p w14:paraId="24FCEF18" w14:textId="6E2B856E" w:rsidR="003F41D3" w:rsidRPr="001455DC" w:rsidRDefault="00231E33" w:rsidP="003F41D3">
            <w:pPr>
              <w:pStyle w:val="Formula"/>
              <w:jc w:val="left"/>
            </w:pPr>
            <m:oMathPara>
              <m:oMathParaPr>
                <m:jc m:val="left"/>
              </m:oMathParaPr>
              <m:oMath>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td</m:t>
                        </m:r>
                      </m:sub>
                    </m:sSub>
                  </m:num>
                  <m:den>
                    <m:r>
                      <w:rPr>
                        <w:rFonts w:ascii="Cambria Math" w:hAnsi="Cambria Math"/>
                      </w:rPr>
                      <m:t>r⋅</m:t>
                    </m:r>
                    <m:sSub>
                      <m:sSubPr>
                        <m:ctrlPr>
                          <w:rPr>
                            <w:rFonts w:ascii="Cambria Math" w:hAnsi="Cambria Math"/>
                          </w:rPr>
                        </m:ctrlPr>
                      </m:sSubPr>
                      <m:e>
                        <m:r>
                          <w:rPr>
                            <w:rFonts w:ascii="Cambria Math" w:hAnsi="Cambria Math"/>
                          </w:rPr>
                          <m:t>c</m:t>
                        </m:r>
                      </m:e>
                      <m:sub>
                        <m:r>
                          <m:rPr>
                            <m:sty m:val="p"/>
                          </m:rPr>
                          <w:rPr>
                            <w:rFonts w:ascii="Cambria Math" w:hAnsi="Cambria Math"/>
                          </w:rPr>
                          <m:t>u</m:t>
                        </m:r>
                      </m:sub>
                    </m:sSub>
                  </m:den>
                </m:f>
                <m:r>
                  <w:rPr>
                    <w:rFonts w:ascii="Cambria Math" w:hAnsi="Cambria Math"/>
                  </w:rPr>
                  <m:t>≤</m:t>
                </m:r>
                <m:f>
                  <m:fPr>
                    <m:ctrlPr>
                      <w:rPr>
                        <w:rFonts w:ascii="Cambria Math" w:hAnsi="Cambria Math"/>
                      </w:rPr>
                    </m:ctrlPr>
                  </m:fPr>
                  <m:num>
                    <m:r>
                      <w:rPr>
                        <w:rFonts w:ascii="Cambria Math" w:hAnsi="Cambria Math"/>
                      </w:rPr>
                      <m:t>0,125</m:t>
                    </m:r>
                  </m:num>
                  <m:den>
                    <m:sSub>
                      <m:sSubPr>
                        <m:ctrlPr>
                          <w:rPr>
                            <w:rFonts w:ascii="Cambria Math" w:hAnsi="Cambria Math"/>
                          </w:rPr>
                        </m:ctrlPr>
                      </m:sSubPr>
                      <m:e>
                        <m:r>
                          <w:rPr>
                            <w:rFonts w:ascii="Cambria Math" w:hAnsi="Cambria Math"/>
                          </w:rPr>
                          <m:t>γ</m:t>
                        </m:r>
                      </m:e>
                      <m:sub>
                        <m:r>
                          <m:rPr>
                            <m:sty m:val="p"/>
                          </m:rPr>
                          <w:rPr>
                            <w:rFonts w:ascii="Cambria Math" w:hAnsi="Cambria Math"/>
                          </w:rPr>
                          <m:t>C</m:t>
                        </m:r>
                      </m:sub>
                    </m:sSub>
                  </m:den>
                </m:f>
                <m:rad>
                  <m:radPr>
                    <m:degHide m:val="1"/>
                    <m:ctrlPr>
                      <w:rPr>
                        <w:rFonts w:ascii="Cambria Math" w:hAnsi="Cambria Math"/>
                      </w:rPr>
                    </m:ctrlPr>
                  </m:radPr>
                  <m:deg/>
                  <m:e>
                    <m:sSub>
                      <m:sSubPr>
                        <m:ctrlPr>
                          <w:rPr>
                            <w:rFonts w:ascii="Cambria Math" w:hAnsi="Cambria Math"/>
                          </w:rPr>
                        </m:ctrlPr>
                      </m:sSubPr>
                      <m:e>
                        <m:r>
                          <w:rPr>
                            <w:rFonts w:ascii="Cambria Math" w:hAnsi="Cambria Math"/>
                          </w:rPr>
                          <m:t>f</m:t>
                        </m:r>
                      </m:e>
                      <m:sub>
                        <m:r>
                          <m:rPr>
                            <m:sty m:val="p"/>
                          </m:rPr>
                          <w:rPr>
                            <w:rFonts w:ascii="Cambria Math" w:hAnsi="Cambria Math"/>
                          </w:rPr>
                          <m:t>ck</m:t>
                        </m:r>
                      </m:sub>
                    </m:sSub>
                  </m:e>
                </m:rad>
              </m:oMath>
            </m:oMathPara>
          </w:p>
        </w:tc>
        <w:tc>
          <w:tcPr>
            <w:tcW w:w="1247" w:type="dxa"/>
            <w:vAlign w:val="center"/>
          </w:tcPr>
          <w:p w14:paraId="166D3FDE" w14:textId="2FF49E6C" w:rsidR="003F41D3" w:rsidRPr="001455DC" w:rsidRDefault="003F41D3" w:rsidP="003F41D3">
            <w:pPr>
              <w:pStyle w:val="a7"/>
              <w:jc w:val="right"/>
            </w:pPr>
            <w:r w:rsidRPr="001455DC">
              <w:t>(11.21)</w:t>
            </w:r>
          </w:p>
        </w:tc>
      </w:tr>
    </w:tbl>
    <w:p w14:paraId="11DA5275" w14:textId="5CEFCCD8" w:rsidR="003F41D3" w:rsidRPr="001455DC" w:rsidRDefault="003F41D3" w:rsidP="00A35599">
      <w:pPr>
        <w:pStyle w:val="a7"/>
        <w:keepNext/>
      </w:pPr>
      <w:r w:rsidRPr="001455DC">
        <w:t>where</w:t>
      </w:r>
    </w:p>
    <w:p w14:paraId="079EAA12" w14:textId="2A856B09" w:rsidR="004E22C1" w:rsidRPr="001455DC" w:rsidRDefault="00231E33" w:rsidP="003F41D3">
      <w:pPr>
        <w:pStyle w:val="Formula"/>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u</m:t>
              </m:r>
            </m:sub>
          </m:sSub>
          <m:r>
            <w:rPr>
              <w:rFonts w:ascii="Cambria Math" w:hAnsi="Cambria Math"/>
            </w:rPr>
            <m:t>=</m:t>
          </m:r>
          <m:r>
            <m:rPr>
              <m:sty m:val="p"/>
            </m:rPr>
            <w:rPr>
              <w:rFonts w:ascii="Cambria Math" w:hAnsi="Cambria Math"/>
            </w:rPr>
            <m:t>min</m:t>
          </m:r>
          <m:d>
            <m:dPr>
              <m:begChr m:val="{"/>
              <m:sepChr m:val=""/>
              <m:endChr m:val="}"/>
              <m:ctrlPr>
                <w:rPr>
                  <w:rFonts w:ascii="Cambria Math" w:hAnsi="Cambria Math"/>
                </w:rPr>
              </m:ctrlPr>
            </m:dPr>
            <m:e>
              <m:sSub>
                <m:sSubPr>
                  <m:ctrlPr>
                    <w:rPr>
                      <w:rFonts w:ascii="Cambria Math" w:hAnsi="Cambria Math"/>
                    </w:rPr>
                  </m:ctrlPr>
                </m:sSubPr>
                <m:e>
                  <m:r>
                    <w:rPr>
                      <w:rFonts w:ascii="Cambria Math" w:hAnsi="Cambria Math"/>
                    </w:rPr>
                    <m:t>c</m:t>
                  </m:r>
                </m:e>
                <m:sub>
                  <m:r>
                    <m:rPr>
                      <m:sty m:val="p"/>
                    </m:rPr>
                    <w:rPr>
                      <w:rFonts w:ascii="Cambria Math" w:hAnsi="Cambria Math"/>
                    </w:rPr>
                    <m:t>s</m:t>
                  </m:r>
                </m:sub>
              </m:sSub>
            </m:e>
            <m:e>
              <m:r>
                <w:rPr>
                  <w:rFonts w:ascii="Cambria Math" w:hAnsi="Cambria Math"/>
                </w:rPr>
                <m:t>;</m:t>
              </m:r>
            </m:e>
            <m:e>
              <m:r>
                <w:rPr>
                  <w:rFonts w:ascii="Cambria Math" w:hAnsi="Cambria Math"/>
                </w:rPr>
                <m:t xml:space="preserve"> </m:t>
              </m:r>
            </m:e>
            <m:e>
              <m:r>
                <w:rPr>
                  <w:rFonts w:ascii="Cambria Math" w:hAnsi="Cambria Math"/>
                </w:rPr>
                <m:t>2</m:t>
              </m:r>
            </m:e>
            <m:e>
              <m:rad>
                <m:radPr>
                  <m:degHide m:val="1"/>
                  <m:ctrlPr>
                    <w:rPr>
                      <w:rFonts w:ascii="Cambria Math" w:hAnsi="Cambria Math"/>
                    </w:rPr>
                  </m:ctrlPr>
                </m:radPr>
                <m:deg/>
                <m:e>
                  <m:r>
                    <w:rPr>
                      <w:rFonts w:ascii="Cambria Math" w:hAnsi="Cambria Math"/>
                    </w:rPr>
                    <m:t>3</m:t>
                  </m:r>
                </m:e>
              </m:rad>
            </m:e>
            <m:e>
              <m:d>
                <m:dPr>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y</m:t>
                      </m:r>
                    </m:sub>
                  </m:sSub>
                  <m:r>
                    <w:rPr>
                      <w:rFonts w:ascii="Cambria Math" w:hAnsi="Cambria Math"/>
                    </w:rPr>
                    <m:t>+0,5ϕ</m:t>
                  </m:r>
                </m:e>
              </m:d>
            </m:e>
          </m:d>
        </m:oMath>
      </m:oMathPara>
    </w:p>
    <w:p w14:paraId="6CEF1F19" w14:textId="77777777" w:rsidR="004E22C1" w:rsidRPr="001455DC" w:rsidRDefault="004E22C1" w:rsidP="003F41D3">
      <w:pPr>
        <w:pStyle w:val="a7"/>
      </w:pPr>
      <w:r w:rsidRPr="001455DC">
        <w:rPr>
          <w:rStyle w:val="CCMCvariableitalic"/>
        </w:rPr>
        <w:t>c</w:t>
      </w:r>
      <w:r w:rsidRPr="001455DC">
        <w:rPr>
          <w:rStyle w:val="CCMCvariablesubscript"/>
        </w:rPr>
        <w:t>s</w:t>
      </w:r>
      <w:r w:rsidRPr="001455DC">
        <w:t xml:space="preserve"> and </w:t>
      </w:r>
      <w:r w:rsidRPr="001455DC">
        <w:rPr>
          <w:rStyle w:val="CCMCvariableitalic"/>
        </w:rPr>
        <w:t>c</w:t>
      </w:r>
      <w:r w:rsidRPr="001455DC">
        <w:rPr>
          <w:rStyle w:val="CCMCvariablesubscript"/>
        </w:rPr>
        <w:t>y</w:t>
      </w:r>
      <w:r w:rsidRPr="001455DC">
        <w:t xml:space="preserve"> are defined in Figure 11.3c). For post-tensioning tendons, </w:t>
      </w:r>
      <w:r w:rsidRPr="001455DC">
        <w:rPr>
          <w:rStyle w:val="CCMCvariableitalic"/>
        </w:rPr>
        <w:t>ϕ</w:t>
      </w:r>
      <w:r w:rsidRPr="001455DC">
        <w:t xml:space="preserve"> shall be replaced by </w:t>
      </w:r>
      <w:r w:rsidRPr="001455DC">
        <w:rPr>
          <w:rStyle w:val="CCMCvariableitalic"/>
        </w:rPr>
        <w:t>ϕ</w:t>
      </w:r>
      <w:r w:rsidRPr="001455DC">
        <w:rPr>
          <w:rStyle w:val="CCMCvariablesubscript"/>
        </w:rPr>
        <w:t>D</w:t>
      </w:r>
      <w:r w:rsidRPr="001455DC">
        <w:t>.</w:t>
      </w:r>
    </w:p>
    <w:p w14:paraId="2C88E284" w14:textId="3388A7E5" w:rsidR="004E22C1" w:rsidRPr="001455DC" w:rsidRDefault="00723CF7" w:rsidP="003F41D3">
      <w:pPr>
        <w:pStyle w:val="FigureImage"/>
      </w:pPr>
      <w:r>
        <w:rPr>
          <w:noProof/>
          <w:lang w:eastAsia="en-GB"/>
        </w:rPr>
        <w:fldChar w:fldCharType="begin"/>
      </w:r>
      <w:r>
        <w:rPr>
          <w:noProof/>
          <w:lang w:eastAsia="en-GB"/>
        </w:rPr>
        <w:instrText xml:space="preserve"> INCLUDEPICTURE  "Y:\\STD_MGT\\STDDEL\\PRODUCTION\\etrans\\Download\\Z_FIRST_DEL\\SV\\00250\\00250269\\41_e_dr\\11_017.tif"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"Y:\\STD_MGT\\STDDEL\\PRODUCTION\\Standards\\00250\\269\\41_e_dr\\11_017.tif"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"Y:\\STD_MGT\\STDDEL\\PRODUCTION\\Standards\\00250\\269\\41_e_dr\\11_017.tif"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"Y:\\STD_MGT\\STDDEL\\PRODUCTION\\Standards\\00250\\269\\41_e_dr\\11_017.tif"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"Y:\\STD_MGT\\STDDEL\\PRODUCTION\\Standards\\00250\\269\\41_e_dr\\11_017.tif"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"Y:\\STD_MGT\\STDDEL\\PRODUCTION\\Standards\\00250\\269\\41_e_dr\\11_017.tif"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"C:\\Users\\a.dionysiou\\AppData\\Local\\Temp\\Temp1_00250269_e_20210902.zip.zip\\41_e_dr\\11_017.tif"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013EF343">
          <v:shape id="_x0000_i1253" type="#_x0000_t75" style="width:165.75pt;height:64.5pt">
            <v:imagedata r:id="rId476" r:href="rId477"/>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1A66B31A" w14:textId="73EFE90A" w:rsidR="004E22C1" w:rsidRPr="001455DC" w:rsidRDefault="004E22C1" w:rsidP="003F41D3">
      <w:pPr>
        <w:pStyle w:val="Figuretitle"/>
      </w:pPr>
      <w:r w:rsidRPr="001455DC">
        <w:t>Figure 11.</w:t>
      </w:r>
      <w:r w:rsidR="00343CED" w:rsidRPr="001455DC">
        <w:t>1</w:t>
      </w:r>
      <w:r w:rsidR="00343CED">
        <w:t>7</w:t>
      </w:r>
      <w:r w:rsidR="00343CED" w:rsidRPr="001455DC">
        <w:t> </w:t>
      </w:r>
      <w:r w:rsidRPr="001455DC">
        <w:t>— Deviation forces and transverse tensile forces in curved members</w:t>
      </w:r>
    </w:p>
    <w:p w14:paraId="70F1BB6B" w14:textId="46D2EE5A" w:rsidR="004E22C1" w:rsidRPr="001455DC" w:rsidRDefault="004E22C1" w:rsidP="003F41D3">
      <w:pPr>
        <w:pStyle w:val="a7"/>
      </w:pPr>
      <w:r w:rsidRPr="001455DC">
        <w:t>(4)</w:t>
      </w:r>
      <w:r w:rsidRPr="001455DC">
        <w:tab/>
        <w:t>In case of lap splices of curved tensile reinforcing steel bars in regions without transverse reinforcement, the interaction between bond and transverse tensile stresses due to deviation forces should be accounted for by means of:</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3F41D3" w:rsidRPr="001455DC" w14:paraId="3769DAC7" w14:textId="77777777" w:rsidTr="003F41D3">
        <w:trPr>
          <w:cantSplit/>
        </w:trPr>
        <w:tc>
          <w:tcPr>
            <w:tcW w:w="8505" w:type="dxa"/>
            <w:vAlign w:val="center"/>
          </w:tcPr>
          <w:p w14:paraId="27C9AE82" w14:textId="54063F2B" w:rsidR="003F41D3" w:rsidRPr="001455DC" w:rsidRDefault="00231E33" w:rsidP="003F41D3">
            <w:pPr>
              <w:pStyle w:val="Formula"/>
              <w:jc w:val="left"/>
            </w:pPr>
            <m:oMathPara>
              <m:oMathParaPr>
                <m:jc m:val="left"/>
              </m:oMathParaPr>
              <m:oMath>
                <m:f>
                  <m:fPr>
                    <m:ctrlPr>
                      <w:rPr>
                        <w:rFonts w:ascii="Cambria Math" w:hAnsi="Cambria Math"/>
                      </w:rPr>
                    </m:ctrlPr>
                  </m:fPr>
                  <m:num>
                    <m:sSub>
                      <m:sSubPr>
                        <m:ctrlPr>
                          <w:rPr>
                            <w:rFonts w:ascii="Cambria Math" w:hAnsi="Cambria Math"/>
                          </w:rPr>
                        </m:ctrlPr>
                      </m:sSubPr>
                      <m:e>
                        <m:r>
                          <w:rPr>
                            <w:rFonts w:ascii="Cambria Math" w:hAnsi="Cambria Math"/>
                          </w:rPr>
                          <m:t>γ</m:t>
                        </m:r>
                      </m:e>
                      <m:sub>
                        <m:r>
                          <w:rPr>
                            <w:rFonts w:ascii="Cambria Math" w:hAnsi="Cambria Math"/>
                          </w:rPr>
                          <m:t>C</m:t>
                        </m:r>
                      </m:sub>
                    </m:sSub>
                    <m:r>
                      <w:rPr>
                        <w:rFonts w:ascii="Cambria Math" w:hAnsi="Cambria Math"/>
                      </w:rPr>
                      <m:t>⋅8⋅</m:t>
                    </m:r>
                    <m:sSub>
                      <m:sSubPr>
                        <m:ctrlPr>
                          <w:rPr>
                            <w:rFonts w:ascii="Cambria Math" w:hAnsi="Cambria Math"/>
                          </w:rPr>
                        </m:ctrlPr>
                      </m:sSubPr>
                      <m:e>
                        <m:r>
                          <w:rPr>
                            <w:rFonts w:ascii="Cambria Math" w:hAnsi="Cambria Math"/>
                          </w:rPr>
                          <m:t>F</m:t>
                        </m:r>
                      </m:e>
                      <m:sub>
                        <m:r>
                          <m:rPr>
                            <m:sty m:val="p"/>
                          </m:rPr>
                          <w:rPr>
                            <w:rFonts w:ascii="Cambria Math" w:hAnsi="Cambria Math"/>
                          </w:rPr>
                          <m:t>td</m:t>
                        </m:r>
                      </m:sub>
                    </m:sSub>
                  </m:num>
                  <m:den>
                    <m:r>
                      <w:rPr>
                        <w:rFonts w:ascii="Cambria Math" w:hAnsi="Cambria Math"/>
                      </w:rPr>
                      <m:t>r⋅</m:t>
                    </m:r>
                    <m:sSub>
                      <m:sSubPr>
                        <m:ctrlPr>
                          <w:rPr>
                            <w:rFonts w:ascii="Cambria Math" w:hAnsi="Cambria Math"/>
                          </w:rPr>
                        </m:ctrlPr>
                      </m:sSubPr>
                      <m:e>
                        <m:r>
                          <w:rPr>
                            <w:rFonts w:ascii="Cambria Math" w:hAnsi="Cambria Math"/>
                          </w:rPr>
                          <m:t>c</m:t>
                        </m:r>
                      </m:e>
                      <m:sub>
                        <m:r>
                          <w:rPr>
                            <w:rFonts w:ascii="Cambria Math" w:hAnsi="Cambria Math"/>
                          </w:rPr>
                          <m:t>u</m:t>
                        </m:r>
                      </m:sub>
                    </m:sSub>
                    <m: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w:rPr>
                                <w:rFonts w:ascii="Cambria Math" w:hAnsi="Cambria Math"/>
                              </w:rPr>
                              <m:t>f</m:t>
                            </m:r>
                          </m:e>
                          <m:sub>
                            <m:r>
                              <m:rPr>
                                <m:sty m:val="p"/>
                              </m:rPr>
                              <w:rPr>
                                <w:rFonts w:ascii="Cambria Math" w:hAnsi="Cambria Math"/>
                              </w:rPr>
                              <m:t>ck</m:t>
                            </m:r>
                          </m:sub>
                        </m:sSub>
                      </m:e>
                    </m:rad>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rPr>
                          <m:t>sd</m:t>
                        </m:r>
                      </m:sub>
                    </m:sSub>
                  </m:num>
                  <m:den>
                    <m:sSub>
                      <m:sSubPr>
                        <m:ctrlPr>
                          <w:rPr>
                            <w:rFonts w:ascii="Cambria Math" w:hAnsi="Cambria Math"/>
                          </w:rPr>
                        </m:ctrlPr>
                      </m:sSubPr>
                      <m:e>
                        <m:r>
                          <w:rPr>
                            <w:rFonts w:ascii="Cambria Math" w:hAnsi="Cambria Math"/>
                          </w:rPr>
                          <m:t>l</m:t>
                        </m:r>
                      </m:e>
                      <m:sub>
                        <m:r>
                          <m:rPr>
                            <m:sty m:val="p"/>
                          </m:rPr>
                          <w:rPr>
                            <w:rFonts w:ascii="Cambria Math" w:hAnsi="Cambria Math"/>
                          </w:rPr>
                          <m:t>s</m:t>
                        </m:r>
                      </m:sub>
                    </m:sSub>
                  </m:den>
                </m:f>
                <m:r>
                  <w:rPr>
                    <w:rFonts w:ascii="Cambria Math" w:hAnsi="Cambria Math"/>
                  </w:rPr>
                  <m:t>≤1</m:t>
                </m:r>
              </m:oMath>
            </m:oMathPara>
          </w:p>
        </w:tc>
        <w:tc>
          <w:tcPr>
            <w:tcW w:w="1247" w:type="dxa"/>
            <w:vAlign w:val="center"/>
          </w:tcPr>
          <w:p w14:paraId="7F388C43" w14:textId="28C737F0" w:rsidR="003F41D3" w:rsidRPr="001455DC" w:rsidRDefault="003F41D3" w:rsidP="003F41D3">
            <w:pPr>
              <w:pStyle w:val="a7"/>
              <w:jc w:val="right"/>
            </w:pPr>
            <w:r w:rsidRPr="001455DC">
              <w:t>(11.22)</w:t>
            </w:r>
          </w:p>
        </w:tc>
      </w:tr>
    </w:tbl>
    <w:p w14:paraId="6CA7D96A" w14:textId="77777777" w:rsidR="003F41D3" w:rsidRPr="001455DC" w:rsidRDefault="003F41D3"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3F41D3" w:rsidRPr="001455DC" w14:paraId="0F9681C7" w14:textId="77777777" w:rsidTr="003F41D3">
        <w:trPr>
          <w:cantSplit/>
        </w:trPr>
        <w:tc>
          <w:tcPr>
            <w:tcW w:w="567" w:type="dxa"/>
          </w:tcPr>
          <w:p w14:paraId="7E4CAC05" w14:textId="3C659AEE" w:rsidR="003F41D3" w:rsidRPr="001455DC" w:rsidRDefault="003F41D3" w:rsidP="0000442A">
            <w:pPr>
              <w:pStyle w:val="Tablebody"/>
            </w:pPr>
            <w:r w:rsidRPr="001455DC">
              <w:rPr>
                <w:rStyle w:val="CCMCvariableitalic"/>
              </w:rPr>
              <w:t>l</w:t>
            </w:r>
            <w:r w:rsidRPr="001455DC">
              <w:rPr>
                <w:rStyle w:val="CCMCvariablesubscript"/>
              </w:rPr>
              <w:t>s</w:t>
            </w:r>
          </w:p>
        </w:tc>
        <w:tc>
          <w:tcPr>
            <w:tcW w:w="8845" w:type="dxa"/>
          </w:tcPr>
          <w:p w14:paraId="5E70270A" w14:textId="651C5743" w:rsidR="003F41D3" w:rsidRPr="001455DC" w:rsidRDefault="003F41D3" w:rsidP="00BB1209">
            <w:pPr>
              <w:pStyle w:val="Tablebody"/>
            </w:pPr>
            <w:r w:rsidRPr="001455DC">
              <w:t>is the actual lap length;</w:t>
            </w:r>
          </w:p>
        </w:tc>
      </w:tr>
      <w:tr w:rsidR="003F41D3" w:rsidRPr="001455DC" w14:paraId="209C12AB" w14:textId="77777777" w:rsidTr="003F41D3">
        <w:trPr>
          <w:cantSplit/>
        </w:trPr>
        <w:tc>
          <w:tcPr>
            <w:tcW w:w="567" w:type="dxa"/>
          </w:tcPr>
          <w:p w14:paraId="1BFD6C4A" w14:textId="0AB863A7" w:rsidR="003F41D3" w:rsidRPr="001455DC" w:rsidRDefault="003F41D3" w:rsidP="0000442A">
            <w:pPr>
              <w:pStyle w:val="Tablebody"/>
            </w:pPr>
            <w:r w:rsidRPr="001455DC">
              <w:rPr>
                <w:rStyle w:val="CCMCvariableitalic"/>
              </w:rPr>
              <w:t>l</w:t>
            </w:r>
            <w:r w:rsidRPr="001455DC">
              <w:rPr>
                <w:rStyle w:val="CCMCvariablesubscript"/>
              </w:rPr>
              <w:t>sd</w:t>
            </w:r>
          </w:p>
        </w:tc>
        <w:tc>
          <w:tcPr>
            <w:tcW w:w="8845" w:type="dxa"/>
          </w:tcPr>
          <w:p w14:paraId="643000D0" w14:textId="5F4E51F3" w:rsidR="003F41D3" w:rsidRPr="001455DC" w:rsidRDefault="003F41D3" w:rsidP="0000442A">
            <w:pPr>
              <w:pStyle w:val="Tablebody"/>
            </w:pPr>
            <w:r w:rsidRPr="001455DC">
              <w:t>is the design lap length.</w:t>
            </w:r>
          </w:p>
        </w:tc>
      </w:tr>
    </w:tbl>
    <w:p w14:paraId="4ACC8D5B" w14:textId="77777777" w:rsidR="004E22C1" w:rsidRPr="001455DC" w:rsidRDefault="004E22C1" w:rsidP="003F41D3">
      <w:pPr>
        <w:pStyle w:val="a7"/>
      </w:pPr>
      <w:r w:rsidRPr="001455DC">
        <w:t xml:space="preserve">Calculation of parameter </w:t>
      </w:r>
      <w:r w:rsidRPr="001455DC">
        <w:rPr>
          <w:rStyle w:val="CCMCvariableitalic"/>
        </w:rPr>
        <w:t>c</w:t>
      </w:r>
      <w:r w:rsidRPr="001455DC">
        <w:rPr>
          <w:rStyle w:val="CCMCvariablesubscript"/>
        </w:rPr>
        <w:t>u</w:t>
      </w:r>
      <w:r w:rsidRPr="001455DC">
        <w:t xml:space="preserve"> according to (3) should account for the presence of additional bars in the splice region potentially reducing net spacing </w:t>
      </w:r>
      <w:r w:rsidRPr="001455DC">
        <w:rPr>
          <w:rStyle w:val="CCMCvariableitalic"/>
        </w:rPr>
        <w:t>c</w:t>
      </w:r>
      <w:r w:rsidRPr="001455DC">
        <w:rPr>
          <w:rStyle w:val="CCMCvariablesubscript"/>
        </w:rPr>
        <w:t>s</w:t>
      </w:r>
      <w:r w:rsidRPr="001455DC">
        <w:t xml:space="preserve"> as indicated in Figure 11.10a).</w:t>
      </w:r>
    </w:p>
    <w:p w14:paraId="2457B659" w14:textId="015397F1" w:rsidR="004E22C1" w:rsidRPr="001455DC" w:rsidRDefault="00817FE4" w:rsidP="00243590">
      <w:pPr>
        <w:pStyle w:val="1"/>
      </w:pPr>
      <w:bookmarkStart w:id="889" w:name="_Toc52820053"/>
      <w:bookmarkStart w:id="890" w:name="_Toc54337129"/>
      <w:bookmarkStart w:id="891" w:name="_Toc54337454"/>
      <w:bookmarkStart w:id="892" w:name="_Toc54338109"/>
      <w:bookmarkStart w:id="893" w:name="_Toc67565453"/>
      <w:r w:rsidRPr="001455DC">
        <w:t>Detailing of members and particular rules</w:t>
      </w:r>
      <w:bookmarkEnd w:id="889"/>
      <w:bookmarkEnd w:id="890"/>
      <w:bookmarkEnd w:id="891"/>
      <w:bookmarkEnd w:id="892"/>
      <w:bookmarkEnd w:id="893"/>
    </w:p>
    <w:p w14:paraId="53FB4973" w14:textId="229EF4D7" w:rsidR="004E22C1" w:rsidRPr="001455DC" w:rsidRDefault="004E22C1" w:rsidP="006D682B">
      <w:pPr>
        <w:pStyle w:val="21"/>
      </w:pPr>
      <w:bookmarkStart w:id="894" w:name="_Toc52820054"/>
      <w:bookmarkStart w:id="895" w:name="_Toc54337455"/>
      <w:bookmarkStart w:id="896" w:name="_Toc54338110"/>
      <w:bookmarkStart w:id="897" w:name="_Toc67565454"/>
      <w:r w:rsidRPr="001455DC">
        <w:t>General</w:t>
      </w:r>
      <w:bookmarkEnd w:id="894"/>
      <w:bookmarkEnd w:id="895"/>
      <w:bookmarkEnd w:id="896"/>
      <w:bookmarkEnd w:id="897"/>
    </w:p>
    <w:p w14:paraId="6A3DA7CD" w14:textId="759656B9" w:rsidR="004E22C1" w:rsidRPr="001455DC" w:rsidRDefault="004E22C1" w:rsidP="00817FE4">
      <w:pPr>
        <w:pStyle w:val="a7"/>
      </w:pPr>
      <w:r w:rsidRPr="001455DC">
        <w:t>(1)</w:t>
      </w:r>
      <w:r w:rsidRPr="001455DC">
        <w:tab/>
        <w:t xml:space="preserve">The rules in </w:t>
      </w:r>
      <w:r w:rsidR="001710FF" w:rsidRPr="001455DC">
        <w:t>Clause </w:t>
      </w:r>
      <w:r w:rsidRPr="001455DC">
        <w:t>12 are intended to detail concrete structures and concrete members such that the assumptions for the behaviour with respect to structural safety, serviceability, durability and robustness inherent in the rules of this Eurocode</w:t>
      </w:r>
      <w:r w:rsidR="00BE71AF" w:rsidRPr="001455DC">
        <w:t xml:space="preserve"> </w:t>
      </w:r>
      <w:r w:rsidRPr="001455DC">
        <w:t>are met.</w:t>
      </w:r>
    </w:p>
    <w:p w14:paraId="5A5B5A4F" w14:textId="77777777" w:rsidR="004E22C1" w:rsidRPr="001455DC" w:rsidRDefault="004E22C1" w:rsidP="00817FE4">
      <w:pPr>
        <w:pStyle w:val="a7"/>
      </w:pPr>
      <w:r w:rsidRPr="001455DC">
        <w:t>(2)</w:t>
      </w:r>
      <w:r w:rsidRPr="001455DC">
        <w:tab/>
        <w:t>Detailing of members shall be consistent with the design models adopted.</w:t>
      </w:r>
    </w:p>
    <w:p w14:paraId="7DA465AF" w14:textId="77777777" w:rsidR="004E22C1" w:rsidRPr="001455DC" w:rsidRDefault="004E22C1" w:rsidP="00817FE4">
      <w:pPr>
        <w:pStyle w:val="a7"/>
      </w:pPr>
      <w:r w:rsidRPr="001455DC">
        <w:t>(3)</w:t>
      </w:r>
      <w:r w:rsidRPr="001455DC">
        <w:tab/>
        <w:t>Concrete members shall be detailed with due consideration to the constructability and concreting operations.</w:t>
      </w:r>
    </w:p>
    <w:p w14:paraId="26DDD460" w14:textId="77777777" w:rsidR="004E22C1" w:rsidRPr="001455DC" w:rsidRDefault="004E22C1" w:rsidP="00817FE4">
      <w:pPr>
        <w:pStyle w:val="a7"/>
      </w:pPr>
      <w:r w:rsidRPr="001455DC">
        <w:t>(4)</w:t>
      </w:r>
      <w:r w:rsidRPr="001455DC">
        <w:tab/>
        <w:t xml:space="preserve">Sufficient reinforcement shall be provided at all sections to resist the envelope of the acting internal forces taking into account effects such as shear on longitudinal reinforcement. The area of reinforcement in zones of tension shall not be taken less than </w:t>
      </w:r>
      <w:r w:rsidRPr="001455DC">
        <w:rPr>
          <w:rStyle w:val="CCMCvariableitalic"/>
        </w:rPr>
        <w:t>A</w:t>
      </w:r>
      <w:r w:rsidRPr="001455DC">
        <w:rPr>
          <w:rStyle w:val="CCMCvariablesubscript"/>
        </w:rPr>
        <w:t>s,min</w:t>
      </w:r>
      <w:r w:rsidRPr="001455DC">
        <w:t>.</w:t>
      </w:r>
    </w:p>
    <w:p w14:paraId="27292CA3" w14:textId="77777777" w:rsidR="004E22C1" w:rsidRPr="001455DC" w:rsidRDefault="004E22C1" w:rsidP="00817FE4">
      <w:pPr>
        <w:pStyle w:val="a7"/>
      </w:pPr>
      <w:r w:rsidRPr="001455DC">
        <w:t>(5)</w:t>
      </w:r>
      <w:r w:rsidRPr="001455DC">
        <w:tab/>
        <w:t>For cable supported members the relevant rules of Annex K may be used.</w:t>
      </w:r>
    </w:p>
    <w:p w14:paraId="71A220CF" w14:textId="7EF8A714" w:rsidR="004E22C1" w:rsidRPr="001455DC" w:rsidRDefault="004E22C1" w:rsidP="006D682B">
      <w:pPr>
        <w:pStyle w:val="21"/>
      </w:pPr>
      <w:bookmarkStart w:id="898" w:name="_Toc52820055"/>
      <w:bookmarkStart w:id="899" w:name="_Toc54337456"/>
      <w:bookmarkStart w:id="900" w:name="_Toc54338111"/>
      <w:bookmarkStart w:id="901" w:name="_Toc67565455"/>
      <w:r w:rsidRPr="001455DC">
        <w:t>Minimum reinforcement rules</w:t>
      </w:r>
      <w:bookmarkEnd w:id="898"/>
      <w:bookmarkEnd w:id="899"/>
      <w:bookmarkEnd w:id="900"/>
      <w:bookmarkEnd w:id="901"/>
    </w:p>
    <w:p w14:paraId="73D19CDB" w14:textId="77777777" w:rsidR="004E22C1" w:rsidRPr="001455DC" w:rsidRDefault="004E22C1" w:rsidP="00E844D2">
      <w:pPr>
        <w:pStyle w:val="a7"/>
        <w:keepNext/>
      </w:pPr>
      <w:r w:rsidRPr="001455DC">
        <w:t>(1)</w:t>
      </w:r>
      <w:r w:rsidRPr="001455DC">
        <w:tab/>
        <w:t xml:space="preserve">In members designed as parts of reinforced concrete structures, minimum reinforcement </w:t>
      </w:r>
      <w:r w:rsidRPr="001455DC">
        <w:rPr>
          <w:rStyle w:val="CCMCvariableitalic"/>
        </w:rPr>
        <w:t>A</w:t>
      </w:r>
      <w:r w:rsidRPr="001455DC">
        <w:rPr>
          <w:rStyle w:val="CCMCvariablesubscript"/>
        </w:rPr>
        <w:t>s,min</w:t>
      </w:r>
      <w:r w:rsidRPr="001455DC">
        <w:t xml:space="preserve"> shall be provided to:</w:t>
      </w:r>
    </w:p>
    <w:p w14:paraId="4B7B80E8" w14:textId="449A9FA8" w:rsidR="004E22C1" w:rsidRPr="001455DC" w:rsidRDefault="004E22C1" w:rsidP="00082680">
      <w:pPr>
        <w:pStyle w:val="a0"/>
        <w:numPr>
          <w:ilvl w:val="0"/>
          <w:numId w:val="29"/>
        </w:numPr>
      </w:pPr>
      <w:r w:rsidRPr="001455DC">
        <w:t>ensure distributed cracking and to handle forces from restrained deformations where not considered explicitly in the design ((2) and (4));</w:t>
      </w:r>
    </w:p>
    <w:p w14:paraId="5C0D2E27" w14:textId="7AEBC2AD" w:rsidR="004E22C1" w:rsidRPr="001455DC" w:rsidRDefault="004E22C1" w:rsidP="00082680">
      <w:pPr>
        <w:pStyle w:val="a0"/>
        <w:numPr>
          <w:ilvl w:val="0"/>
          <w:numId w:val="29"/>
        </w:numPr>
      </w:pPr>
      <w:r w:rsidRPr="001455DC">
        <w:t>ensure sufficient deformation capacity to contribute to structural robustness by allowing alternative load paths ((2) and (4));</w:t>
      </w:r>
    </w:p>
    <w:p w14:paraId="00B08143" w14:textId="41984E19" w:rsidR="004E22C1" w:rsidRPr="001455DC" w:rsidRDefault="004E22C1" w:rsidP="00082680">
      <w:pPr>
        <w:pStyle w:val="a0"/>
        <w:numPr>
          <w:ilvl w:val="0"/>
          <w:numId w:val="29"/>
        </w:numPr>
      </w:pPr>
      <w:r w:rsidRPr="001455DC">
        <w:t>avoid failures due to unpredicted cracking (3);</w:t>
      </w:r>
    </w:p>
    <w:p w14:paraId="0E5B9AD2" w14:textId="6C149CD5" w:rsidR="004E22C1" w:rsidRPr="001455DC" w:rsidRDefault="004E22C1" w:rsidP="00082680">
      <w:pPr>
        <w:pStyle w:val="a0"/>
        <w:numPr>
          <w:ilvl w:val="0"/>
          <w:numId w:val="29"/>
        </w:numPr>
      </w:pPr>
      <w:r w:rsidRPr="001455DC">
        <w:t xml:space="preserve">ensure applicability of design models in </w:t>
      </w:r>
      <w:r w:rsidR="00116AE2" w:rsidRPr="001455DC">
        <w:t>Clauses </w:t>
      </w:r>
      <w:r w:rsidRPr="001455DC">
        <w:t xml:space="preserve">8 and 9 and Annex G; </w:t>
      </w:r>
    </w:p>
    <w:p w14:paraId="6B4F1599" w14:textId="0CB3113C" w:rsidR="004E22C1" w:rsidRPr="001455DC" w:rsidRDefault="004E22C1" w:rsidP="00082680">
      <w:pPr>
        <w:pStyle w:val="a0"/>
        <w:numPr>
          <w:ilvl w:val="0"/>
          <w:numId w:val="29"/>
        </w:numPr>
      </w:pPr>
      <w:r w:rsidRPr="001455DC">
        <w:t>ensure constructability</w:t>
      </w:r>
    </w:p>
    <w:p w14:paraId="53FC7379" w14:textId="77777777" w:rsidR="004E22C1" w:rsidRPr="001455DC" w:rsidRDefault="004E22C1" w:rsidP="00817FE4">
      <w:pPr>
        <w:pStyle w:val="Note"/>
      </w:pPr>
      <w:r w:rsidRPr="001455DC">
        <w:t>NOTE 1</w:t>
      </w:r>
      <w:r w:rsidRPr="001455DC">
        <w:tab/>
        <w:t>Additional provisions for crack control at SLS are given in 9.2.2.</w:t>
      </w:r>
    </w:p>
    <w:p w14:paraId="16E6C5F2" w14:textId="77777777" w:rsidR="004E22C1" w:rsidRPr="001455DC" w:rsidRDefault="004E22C1" w:rsidP="00817FE4">
      <w:pPr>
        <w:pStyle w:val="Note"/>
      </w:pPr>
      <w:r w:rsidRPr="001455DC">
        <w:rPr>
          <w:bCs/>
        </w:rPr>
        <w:t>NOTE 2</w:t>
      </w:r>
      <w:r w:rsidRPr="001455DC">
        <w:rPr>
          <w:bCs/>
        </w:rPr>
        <w:tab/>
      </w:r>
      <w:r w:rsidRPr="001455DC">
        <w:t xml:space="preserve">The area of minimum reinforcement </w:t>
      </w:r>
      <w:r w:rsidRPr="001455DC">
        <w:rPr>
          <w:rStyle w:val="CCMCvariableitalic"/>
        </w:rPr>
        <w:t>A</w:t>
      </w:r>
      <w:r w:rsidRPr="001455DC">
        <w:rPr>
          <w:rStyle w:val="CCMCvariablesubscript"/>
        </w:rPr>
        <w:t>s,min</w:t>
      </w:r>
      <w:r w:rsidRPr="001455DC">
        <w:t xml:space="preserve"> can include prestressed and ordinary reinforcement when bonded to the concrete.</w:t>
      </w:r>
    </w:p>
    <w:p w14:paraId="2E44985A" w14:textId="7D1F3337" w:rsidR="004E22C1" w:rsidRPr="001455DC" w:rsidRDefault="004E22C1" w:rsidP="00E844D2">
      <w:pPr>
        <w:pStyle w:val="a7"/>
        <w:keepNext/>
      </w:pPr>
      <w:r w:rsidRPr="001455DC">
        <w:t>(2)</w:t>
      </w:r>
      <w:r w:rsidRPr="001455DC">
        <w:tab/>
        <w:t xml:space="preserve">The area of minimum reinforcement </w:t>
      </w:r>
      <w:r w:rsidRPr="001455DC">
        <w:rPr>
          <w:rStyle w:val="CCMCvariableitalic"/>
        </w:rPr>
        <w:t>A</w:t>
      </w:r>
      <w:r w:rsidRPr="001455DC">
        <w:rPr>
          <w:rStyle w:val="CCMCvariablesubscript"/>
        </w:rPr>
        <w:t>s,min</w:t>
      </w:r>
      <w:r w:rsidRPr="001455DC">
        <w:t xml:space="preserve"> shall provide nominal section strength which is at least equal to the effect causing cracking:</w:t>
      </w:r>
    </w:p>
    <w:p w14:paraId="4DC02929" w14:textId="6DD177BC" w:rsidR="00817FE4" w:rsidRPr="001455DC" w:rsidRDefault="004E22C1" w:rsidP="00E844D2">
      <w:pPr>
        <w:pStyle w:val="a7"/>
        <w:keepNext/>
        <w:ind w:left="357" w:hanging="357"/>
      </w:pPr>
      <w:r w:rsidRPr="001455DC">
        <w:t>a)</w:t>
      </w:r>
      <w:r w:rsidRPr="001455DC">
        <w:tab/>
        <w:t>In members subjected to bending without or with axial force and any form of cross</w:t>
      </w:r>
      <w:r w:rsidR="00B10711" w:rsidRPr="001455DC">
        <w:t xml:space="preserve"> </w:t>
      </w:r>
      <w:r w:rsidRPr="001455DC">
        <w:t>section, minimum reinforcement shall be provided so that:</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817FE4" w:rsidRPr="001455DC" w14:paraId="23EC86D7" w14:textId="77777777" w:rsidTr="00817FE4">
        <w:trPr>
          <w:cantSplit/>
        </w:trPr>
        <w:tc>
          <w:tcPr>
            <w:tcW w:w="8505" w:type="dxa"/>
            <w:vAlign w:val="center"/>
          </w:tcPr>
          <w:p w14:paraId="5FF7F75D" w14:textId="57A32820" w:rsidR="00817FE4" w:rsidRPr="001455DC" w:rsidRDefault="00817FE4" w:rsidP="00817FE4">
            <w:pPr>
              <w:pStyle w:val="Formula"/>
              <w:jc w:val="left"/>
            </w:pPr>
            <w:r w:rsidRPr="001455DC">
              <w:rPr>
                <w:rStyle w:val="CCMCvariableitalic"/>
              </w:rPr>
              <w:t>M</w:t>
            </w:r>
            <w:r w:rsidRPr="001455DC">
              <w:rPr>
                <w:rStyle w:val="CCMCvariablesubscript"/>
              </w:rPr>
              <w:t>R,min</w:t>
            </w:r>
            <w:r w:rsidRPr="001455DC">
              <w:t xml:space="preserve"> (</w:t>
            </w:r>
            <w:r w:rsidRPr="001455DC">
              <w:rPr>
                <w:rStyle w:val="CCMCvariableitalic"/>
              </w:rPr>
              <w:t>N</w:t>
            </w:r>
            <w:r w:rsidRPr="001455DC">
              <w:rPr>
                <w:rStyle w:val="CCMCvariablesubscript"/>
              </w:rPr>
              <w:t>Ed</w:t>
            </w:r>
            <w:r w:rsidRPr="001455DC">
              <w:t>) </w:t>
            </w:r>
            <w:r w:rsidR="00650035" w:rsidRPr="001455DC">
              <w:rPr>
                <w:rFonts w:ascii="Cambria Math" w:hAnsi="Cambria Math"/>
              </w:rPr>
              <w:t>≥</w:t>
            </w:r>
            <w:r w:rsidRPr="001455DC">
              <w:t> </w:t>
            </w:r>
            <w:r w:rsidRPr="001455DC">
              <w:rPr>
                <w:rStyle w:val="CCMCvariableitalic"/>
              </w:rPr>
              <w:t>M</w:t>
            </w:r>
            <w:r w:rsidRPr="001455DC">
              <w:rPr>
                <w:rStyle w:val="CCMCvariablesubscript"/>
              </w:rPr>
              <w:t>cr</w:t>
            </w:r>
            <w:r w:rsidRPr="001455DC">
              <w:t>(</w:t>
            </w:r>
            <w:r w:rsidRPr="001455DC">
              <w:rPr>
                <w:rStyle w:val="CCMCvariableitalic"/>
              </w:rPr>
              <w:t>N</w:t>
            </w:r>
            <w:r w:rsidRPr="001455DC">
              <w:rPr>
                <w:rStyle w:val="CCMCvariablesubscript"/>
              </w:rPr>
              <w:t>Ed</w:t>
            </w:r>
            <w:r w:rsidRPr="001455DC">
              <w:t>)</w:t>
            </w:r>
          </w:p>
        </w:tc>
        <w:tc>
          <w:tcPr>
            <w:tcW w:w="1247" w:type="dxa"/>
            <w:vAlign w:val="center"/>
          </w:tcPr>
          <w:p w14:paraId="46D99316" w14:textId="751A1F79" w:rsidR="00817FE4" w:rsidRPr="001455DC" w:rsidRDefault="00817FE4" w:rsidP="00817FE4">
            <w:pPr>
              <w:pStyle w:val="a7"/>
              <w:jc w:val="right"/>
            </w:pPr>
            <w:r w:rsidRPr="001455DC">
              <w:t>(12.1)</w:t>
            </w:r>
          </w:p>
        </w:tc>
      </w:tr>
    </w:tbl>
    <w:p w14:paraId="68B1982F" w14:textId="77777777" w:rsidR="00817FE4" w:rsidRPr="001455DC" w:rsidRDefault="00817FE4" w:rsidP="00A35599">
      <w:pPr>
        <w:pStyle w:val="a7"/>
        <w:keepNext/>
      </w:pPr>
      <w:r w:rsidRPr="001455DC">
        <w:t>where</w:t>
      </w:r>
    </w:p>
    <w:tbl>
      <w:tblPr>
        <w:tblW w:w="9413" w:type="dxa"/>
        <w:tblInd w:w="397" w:type="dxa"/>
        <w:tblLayout w:type="fixed"/>
        <w:tblCellMar>
          <w:left w:w="28" w:type="dxa"/>
          <w:right w:w="28" w:type="dxa"/>
        </w:tblCellMar>
        <w:tblLook w:val="04A0" w:firstRow="1" w:lastRow="0" w:firstColumn="1" w:lastColumn="0" w:noHBand="0" w:noVBand="1"/>
      </w:tblPr>
      <w:tblGrid>
        <w:gridCol w:w="851"/>
        <w:gridCol w:w="8562"/>
      </w:tblGrid>
      <w:tr w:rsidR="00817FE4" w:rsidRPr="001455DC" w14:paraId="29371784" w14:textId="77777777" w:rsidTr="00817FE4">
        <w:trPr>
          <w:cantSplit/>
        </w:trPr>
        <w:tc>
          <w:tcPr>
            <w:tcW w:w="851" w:type="dxa"/>
          </w:tcPr>
          <w:p w14:paraId="00282742" w14:textId="1889D938" w:rsidR="00817FE4" w:rsidRPr="001455DC" w:rsidRDefault="00817FE4" w:rsidP="0000442A">
            <w:pPr>
              <w:pStyle w:val="Tablebody"/>
            </w:pPr>
            <w:r w:rsidRPr="001455DC">
              <w:rPr>
                <w:rStyle w:val="CCMCvariableitalic"/>
              </w:rPr>
              <w:t>M</w:t>
            </w:r>
            <w:r w:rsidRPr="001455DC">
              <w:rPr>
                <w:rStyle w:val="CCMCvariablesubscript"/>
              </w:rPr>
              <w:t>R,min</w:t>
            </w:r>
          </w:p>
        </w:tc>
        <w:tc>
          <w:tcPr>
            <w:tcW w:w="8562" w:type="dxa"/>
          </w:tcPr>
          <w:p w14:paraId="1F76BCD6" w14:textId="64E8F0C6" w:rsidR="00817FE4" w:rsidRPr="001455DC" w:rsidRDefault="00817FE4" w:rsidP="00BB1209">
            <w:pPr>
              <w:pStyle w:val="Tablebody"/>
            </w:pPr>
            <w:r w:rsidRPr="001455DC">
              <w:t xml:space="preserve">is the bending strength of the section with </w:t>
            </w:r>
            <w:r w:rsidRPr="001455DC">
              <w:rPr>
                <w:rStyle w:val="CCMCvariableitalic"/>
              </w:rPr>
              <w:t>A</w:t>
            </w:r>
            <w:r w:rsidRPr="001455DC">
              <w:rPr>
                <w:rStyle w:val="CCMCvariablesubscript"/>
              </w:rPr>
              <w:t>s,min</w:t>
            </w:r>
            <w:r w:rsidRPr="001455DC">
              <w:t xml:space="preserve"> in presence of the simultaneous axial force </w:t>
            </w:r>
            <w:r w:rsidRPr="001455DC">
              <w:rPr>
                <w:rStyle w:val="CCMCvariableitalic"/>
              </w:rPr>
              <w:t>N</w:t>
            </w:r>
            <w:r w:rsidRPr="001455DC">
              <w:rPr>
                <w:rStyle w:val="CCMCvariablesubscript"/>
              </w:rPr>
              <w:t>Ed</w:t>
            </w:r>
            <w:r w:rsidRPr="001455DC">
              <w:t xml:space="preserve">. </w:t>
            </w:r>
            <w:r w:rsidRPr="001455DC">
              <w:rPr>
                <w:rStyle w:val="CCMCvariableitalic"/>
              </w:rPr>
              <w:t>N</w:t>
            </w:r>
            <w:r w:rsidRPr="001455DC">
              <w:rPr>
                <w:rStyle w:val="CCMCvariablesubscript"/>
              </w:rPr>
              <w:t>Ed</w:t>
            </w:r>
            <w:r w:rsidRPr="001455DC">
              <w:t xml:space="preserve"> may be derived from the load case providing the least compression in the member;</w:t>
            </w:r>
          </w:p>
        </w:tc>
      </w:tr>
      <w:tr w:rsidR="00817FE4" w:rsidRPr="001455DC" w14:paraId="44B60DBC" w14:textId="77777777" w:rsidTr="00817FE4">
        <w:trPr>
          <w:cantSplit/>
        </w:trPr>
        <w:tc>
          <w:tcPr>
            <w:tcW w:w="851" w:type="dxa"/>
          </w:tcPr>
          <w:p w14:paraId="418DE68A" w14:textId="276D3BA3" w:rsidR="00817FE4" w:rsidRPr="001455DC" w:rsidRDefault="00817FE4" w:rsidP="0000442A">
            <w:pPr>
              <w:pStyle w:val="Tablebody"/>
            </w:pPr>
            <w:r w:rsidRPr="001455DC">
              <w:rPr>
                <w:rStyle w:val="CCMCvariableitalic"/>
              </w:rPr>
              <w:t>M</w:t>
            </w:r>
            <w:r w:rsidRPr="001455DC">
              <w:rPr>
                <w:rStyle w:val="CCMCvariablesubscript"/>
              </w:rPr>
              <w:t>cr</w:t>
            </w:r>
          </w:p>
        </w:tc>
        <w:tc>
          <w:tcPr>
            <w:tcW w:w="8562" w:type="dxa"/>
          </w:tcPr>
          <w:p w14:paraId="7BD20FD3" w14:textId="2E00D265" w:rsidR="00817FE4" w:rsidRPr="001455DC" w:rsidRDefault="00817FE4" w:rsidP="0000442A">
            <w:pPr>
              <w:pStyle w:val="Tablebody"/>
            </w:pPr>
            <w:r w:rsidRPr="001455DC">
              <w:t xml:space="preserve">is the cracking moment of the section in presence of the simultaneous axial force </w:t>
            </w:r>
            <w:r w:rsidRPr="001455DC">
              <w:rPr>
                <w:rStyle w:val="CCMCvariableitalic"/>
              </w:rPr>
              <w:t>N</w:t>
            </w:r>
            <w:r w:rsidRPr="001455DC">
              <w:rPr>
                <w:rStyle w:val="CCMCvariablesubscript"/>
              </w:rPr>
              <w:t>Ed,</w:t>
            </w:r>
            <w:r w:rsidRPr="001455DC">
              <w:t xml:space="preserve"> which may be calculated on the basis of the concrete tensile strength </w:t>
            </w:r>
            <w:r w:rsidRPr="001455DC">
              <w:rPr>
                <w:rStyle w:val="CCMCvariableitalic"/>
              </w:rPr>
              <w:t>f</w:t>
            </w:r>
            <w:r w:rsidRPr="001455DC">
              <w:rPr>
                <w:rStyle w:val="CCMCvariablesubscript"/>
              </w:rPr>
              <w:t>ctm</w:t>
            </w:r>
            <w:r w:rsidRPr="001455DC">
              <w:t xml:space="preserve"> according to Table 5.1.</w:t>
            </w:r>
          </w:p>
        </w:tc>
      </w:tr>
    </w:tbl>
    <w:p w14:paraId="538D7AE9" w14:textId="17EB57EB" w:rsidR="004E22C1" w:rsidRPr="001455DC" w:rsidRDefault="004E22C1" w:rsidP="00817FE4">
      <w:pPr>
        <w:pStyle w:val="a7"/>
      </w:pPr>
      <w:r w:rsidRPr="001455DC">
        <w:t xml:space="preserve">For sections prestressed with internal permanently unbonded tendons or with external tendons the contribution of the tendons to </w:t>
      </w:r>
      <w:r w:rsidRPr="001455DC">
        <w:rPr>
          <w:rStyle w:val="CCMCvariableitalic"/>
        </w:rPr>
        <w:t>N</w:t>
      </w:r>
      <w:r w:rsidRPr="001455DC">
        <w:rPr>
          <w:rStyle w:val="CCMCvariablesubscript"/>
        </w:rPr>
        <w:t>Ed</w:t>
      </w:r>
      <w:r w:rsidRPr="001455DC">
        <w:t xml:space="preserve">, </w:t>
      </w:r>
      <w:r w:rsidRPr="001455DC">
        <w:rPr>
          <w:rStyle w:val="CCMCvariableitalic"/>
        </w:rPr>
        <w:t>M</w:t>
      </w:r>
      <w:r w:rsidRPr="001455DC">
        <w:rPr>
          <w:rStyle w:val="CCMCvariablesubscript"/>
        </w:rPr>
        <w:t>R,min</w:t>
      </w:r>
      <w:r w:rsidRPr="001455DC">
        <w:t xml:space="preserve"> and </w:t>
      </w:r>
      <w:r w:rsidRPr="001455DC">
        <w:rPr>
          <w:rStyle w:val="CCMCvariableitalic"/>
        </w:rPr>
        <w:t>M</w:t>
      </w:r>
      <w:r w:rsidRPr="001455DC">
        <w:rPr>
          <w:rStyle w:val="CCMCvariablesubscript"/>
        </w:rPr>
        <w:t>cr</w:t>
      </w:r>
      <w:r w:rsidRPr="001455DC">
        <w:t xml:space="preserve"> should be calculated using the </w:t>
      </w:r>
      <w:r w:rsidRPr="001455DC">
        <w:rPr>
          <w:rStyle w:val="CCMCvariableitalic"/>
        </w:rPr>
        <w:t>σ</w:t>
      </w:r>
      <w:r w:rsidRPr="001455DC">
        <w:rPr>
          <w:rStyle w:val="CCMCvariablesubscript"/>
        </w:rPr>
        <w:t>p,mt</w:t>
      </w:r>
      <w:r w:rsidRPr="001455DC">
        <w:t>(</w:t>
      </w:r>
      <w:r w:rsidRPr="001455DC">
        <w:rPr>
          <w:rStyle w:val="CCMCvariableitalic"/>
        </w:rPr>
        <w:t>x</w:t>
      </w:r>
      <w:r w:rsidRPr="001455DC">
        <w:t>) (see Formula (7.</w:t>
      </w:r>
      <w:r w:rsidR="001E73AF" w:rsidRPr="001455DC">
        <w:t>32</w:t>
      </w:r>
      <w:r w:rsidRPr="001455DC">
        <w:t>)).</w:t>
      </w:r>
    </w:p>
    <w:p w14:paraId="5908A4D7" w14:textId="1A637820" w:rsidR="00817FE4" w:rsidRPr="001455DC" w:rsidRDefault="004E22C1" w:rsidP="00E844D2">
      <w:pPr>
        <w:pStyle w:val="a7"/>
        <w:keepNext/>
        <w:ind w:left="357" w:hanging="357"/>
      </w:pPr>
      <w:r w:rsidRPr="001455DC">
        <w:t>b)</w:t>
      </w:r>
      <w:r w:rsidR="00817FE4" w:rsidRPr="001455DC">
        <w:tab/>
      </w:r>
      <w:r w:rsidRPr="001455DC">
        <w:t xml:space="preserve">In members with pure tension </w:t>
      </w:r>
      <w:r w:rsidRPr="001455DC">
        <w:rPr>
          <w:rStyle w:val="CCMCvariableitalic"/>
        </w:rPr>
        <w:t>A</w:t>
      </w:r>
      <w:r w:rsidRPr="001455DC">
        <w:rPr>
          <w:rStyle w:val="CCMCvariablesubscript"/>
        </w:rPr>
        <w:t>s,min</w:t>
      </w:r>
      <w:r w:rsidRPr="001455DC">
        <w:t xml:space="preserve"> may be calculated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817FE4" w:rsidRPr="001455DC" w14:paraId="76762BC8" w14:textId="77777777" w:rsidTr="00817FE4">
        <w:trPr>
          <w:cantSplit/>
        </w:trPr>
        <w:tc>
          <w:tcPr>
            <w:tcW w:w="8505" w:type="dxa"/>
            <w:vAlign w:val="center"/>
          </w:tcPr>
          <w:p w14:paraId="3BA8A1E6" w14:textId="381F226A" w:rsidR="00817FE4" w:rsidRPr="001455DC" w:rsidRDefault="00817FE4" w:rsidP="00817FE4">
            <w:pPr>
              <w:pStyle w:val="Formula"/>
              <w:jc w:val="left"/>
            </w:pPr>
            <w:r w:rsidRPr="001455DC">
              <w:rPr>
                <w:rStyle w:val="CCMCvariableitalic"/>
              </w:rPr>
              <w:t>A</w:t>
            </w:r>
            <w:r w:rsidRPr="001455DC">
              <w:rPr>
                <w:rStyle w:val="CCMCvariablesubscript"/>
              </w:rPr>
              <w:t>s,min</w:t>
            </w:r>
            <w:r w:rsidRPr="001455DC">
              <w:t> </w:t>
            </w:r>
            <w:r w:rsidR="00EC27D2" w:rsidRPr="001455DC">
              <w:rPr>
                <w:rFonts w:ascii="Cambria Math" w:hAnsi="Cambria Math"/>
              </w:rPr>
              <w:t>=</w:t>
            </w:r>
            <w:r w:rsidRPr="001455DC">
              <w:t> </w:t>
            </w:r>
            <w:r w:rsidRPr="001455DC">
              <w:rPr>
                <w:rStyle w:val="CCMCvariableitalic"/>
              </w:rPr>
              <w:t>A</w:t>
            </w:r>
            <w:r w:rsidRPr="001455DC">
              <w:rPr>
                <w:rStyle w:val="CCMCvariablesubscript"/>
              </w:rPr>
              <w:t>c</w:t>
            </w:r>
            <w:r w:rsidRPr="001455DC">
              <w:t> </w:t>
            </w:r>
            <w:r w:rsidRPr="001455DC">
              <w:rPr>
                <w:rFonts w:ascii="Cambria Math" w:hAnsi="Cambria Math" w:cs="Cambria Math"/>
              </w:rPr>
              <w:t>⋅</w:t>
            </w:r>
            <w:r w:rsidRPr="001455DC">
              <w:t> </w:t>
            </w:r>
            <w:r w:rsidRPr="001455DC">
              <w:rPr>
                <w:rStyle w:val="CCMCvariableitalic"/>
              </w:rPr>
              <w:t>f</w:t>
            </w:r>
            <w:r w:rsidRPr="001455DC">
              <w:rPr>
                <w:rStyle w:val="CCMCvariablesubscript"/>
              </w:rPr>
              <w:t>ctm</w:t>
            </w:r>
            <w:r w:rsidRPr="001455DC">
              <w:t>/</w:t>
            </w:r>
            <w:r w:rsidRPr="001455DC">
              <w:rPr>
                <w:rStyle w:val="CCMCvariableitalic"/>
              </w:rPr>
              <w:t>f</w:t>
            </w:r>
            <w:r w:rsidRPr="001455DC">
              <w:rPr>
                <w:rStyle w:val="CCMCvariablesubscript"/>
              </w:rPr>
              <w:t>yk</w:t>
            </w:r>
          </w:p>
        </w:tc>
        <w:tc>
          <w:tcPr>
            <w:tcW w:w="1247" w:type="dxa"/>
            <w:vAlign w:val="center"/>
          </w:tcPr>
          <w:p w14:paraId="4F57CD92" w14:textId="3A8CE69F" w:rsidR="00817FE4" w:rsidRPr="001455DC" w:rsidRDefault="00817FE4" w:rsidP="00817FE4">
            <w:pPr>
              <w:pStyle w:val="a7"/>
              <w:jc w:val="right"/>
            </w:pPr>
            <w:r w:rsidRPr="001455DC">
              <w:t>(12.2)</w:t>
            </w:r>
          </w:p>
        </w:tc>
      </w:tr>
    </w:tbl>
    <w:p w14:paraId="5321442A" w14:textId="2F82D09E" w:rsidR="00817FE4" w:rsidRPr="001455DC" w:rsidRDefault="004E22C1" w:rsidP="00E844D2">
      <w:pPr>
        <w:pStyle w:val="a7"/>
        <w:keepNext/>
      </w:pPr>
      <w:r w:rsidRPr="001455DC">
        <w:t>(3)</w:t>
      </w:r>
      <w:r w:rsidRPr="001455DC">
        <w:tab/>
        <w:t xml:space="preserve">Where </w:t>
      </w:r>
      <w:r w:rsidRPr="001455DC">
        <w:rPr>
          <w:rStyle w:val="CCMCvariableitalic"/>
        </w:rPr>
        <w:t>M</w:t>
      </w:r>
      <w:r w:rsidRPr="001455DC">
        <w:rPr>
          <w:rStyle w:val="CCMCvariablesubscript"/>
        </w:rPr>
        <w:t>Ed</w:t>
      </w:r>
      <w:r w:rsidRPr="001455DC">
        <w:t> </w:t>
      </w:r>
      <w:r w:rsidR="00650035" w:rsidRPr="001455DC">
        <w:rPr>
          <w:rFonts w:ascii="Cambria Math" w:hAnsi="Cambria Math"/>
        </w:rPr>
        <w:t>&lt;</w:t>
      </w:r>
      <w:r w:rsidRPr="001455DC">
        <w:t> </w:t>
      </w:r>
      <w:r w:rsidRPr="001455DC">
        <w:rPr>
          <w:rStyle w:val="CCMCvariableitalic"/>
        </w:rPr>
        <w:t>M</w:t>
      </w:r>
      <w:r w:rsidRPr="001455DC">
        <w:rPr>
          <w:rStyle w:val="CCMCvariablesubscript"/>
        </w:rPr>
        <w:t>cr</w:t>
      </w:r>
      <w:r w:rsidRPr="001455DC">
        <w:t>(</w:t>
      </w:r>
      <w:r w:rsidRPr="001455DC">
        <w:rPr>
          <w:rStyle w:val="CCMCvariableitalic"/>
        </w:rPr>
        <w:t>N</w:t>
      </w:r>
      <w:r w:rsidRPr="001455DC">
        <w:rPr>
          <w:rStyle w:val="CCMCvariablesubscript"/>
        </w:rPr>
        <w:t>Ed</w:t>
      </w:r>
      <w:r w:rsidRPr="001455DC">
        <w:t>), the member is designed as statically determinate and where no distribution of cracking is required, a sudden collapse after cracking may also be avoided with a minimum reinforcement designed for following resistance:</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817FE4" w:rsidRPr="001455DC" w14:paraId="277F114C" w14:textId="77777777" w:rsidTr="00817FE4">
        <w:trPr>
          <w:cantSplit/>
        </w:trPr>
        <w:tc>
          <w:tcPr>
            <w:tcW w:w="8505" w:type="dxa"/>
            <w:vAlign w:val="center"/>
          </w:tcPr>
          <w:p w14:paraId="3E40D055" w14:textId="2EEC4001" w:rsidR="00817FE4" w:rsidRPr="001455DC" w:rsidRDefault="00231E33" w:rsidP="00817FE4">
            <w:pPr>
              <w:pStyle w:val="Formula"/>
              <w:jc w:val="left"/>
            </w:pPr>
            <m:oMathPara>
              <m:oMathParaPr>
                <m:jc m:val="left"/>
              </m:oMathParaPr>
              <m:oMath>
                <m:sSub>
                  <m:sSubPr>
                    <m:ctrlPr>
                      <w:rPr>
                        <w:rFonts w:ascii="Cambria Math" w:hAnsi="Cambria Math"/>
                      </w:rPr>
                    </m:ctrlPr>
                  </m:sSubPr>
                  <m:e>
                    <m:r>
                      <w:rPr>
                        <w:rFonts w:ascii="Cambria Math" w:hAnsi="Cambria Math"/>
                      </w:rPr>
                      <m:t>M</m:t>
                    </m:r>
                  </m:e>
                  <m:sub>
                    <m:r>
                      <m:rPr>
                        <m:sty m:val="p"/>
                      </m:rPr>
                      <w:rPr>
                        <w:rFonts w:ascii="Cambria Math" w:hAnsi="Cambria Math"/>
                      </w:rPr>
                      <m:t>Rd,min</m:t>
                    </m:r>
                  </m:sub>
                </m:sSub>
                <m:d>
                  <m:dPr>
                    <m:ctrlPr>
                      <w:rPr>
                        <w:rFonts w:ascii="Cambria Math" w:hAnsi="Cambria Math"/>
                      </w:rPr>
                    </m:ctrlPr>
                  </m:dPr>
                  <m:e>
                    <m:sSub>
                      <m:sSubPr>
                        <m:ctrlPr>
                          <w:rPr>
                            <w:rFonts w:ascii="Cambria Math" w:hAnsi="Cambria Math"/>
                          </w:rPr>
                        </m:ctrlPr>
                      </m:sSubPr>
                      <m:e>
                        <m:r>
                          <w:rPr>
                            <w:rFonts w:ascii="Cambria Math" w:hAnsi="Cambria Math"/>
                          </w:rPr>
                          <m:t>N</m:t>
                        </m:r>
                      </m:e>
                      <m:sub>
                        <m:r>
                          <m:rPr>
                            <m:sty m:val="p"/>
                          </m:rPr>
                          <w:rPr>
                            <w:rFonts w:ascii="Cambria Math" w:hAnsi="Cambria Math"/>
                          </w:rPr>
                          <m:t>Ed</m:t>
                        </m:r>
                      </m:sub>
                    </m:sSub>
                  </m:e>
                </m:d>
                <m: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dc</m:t>
                    </m:r>
                  </m:sub>
                </m:sSub>
                <m: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Ed</m:t>
                    </m:r>
                  </m:sub>
                </m:sSub>
              </m:oMath>
            </m:oMathPara>
          </w:p>
        </w:tc>
        <w:tc>
          <w:tcPr>
            <w:tcW w:w="1247" w:type="dxa"/>
            <w:vAlign w:val="center"/>
          </w:tcPr>
          <w:p w14:paraId="578514E2" w14:textId="5B9ABBBB" w:rsidR="00817FE4" w:rsidRPr="001455DC" w:rsidRDefault="00817FE4" w:rsidP="00817FE4">
            <w:pPr>
              <w:pStyle w:val="a7"/>
              <w:jc w:val="right"/>
            </w:pPr>
            <w:r w:rsidRPr="001455DC">
              <w:t>(12.3)</w:t>
            </w:r>
          </w:p>
        </w:tc>
      </w:tr>
    </w:tbl>
    <w:p w14:paraId="6EDD9E61" w14:textId="77777777" w:rsidR="004E22C1" w:rsidRPr="001455DC" w:rsidRDefault="004E22C1" w:rsidP="00E844D2">
      <w:pPr>
        <w:pStyle w:val="a7"/>
        <w:keepNext/>
      </w:pPr>
      <w:r w:rsidRPr="001455DC">
        <w:t xml:space="preserve">where </w:t>
      </w:r>
      <w:r w:rsidRPr="001455DC">
        <w:rPr>
          <w:rStyle w:val="CCMCvariableitalic"/>
        </w:rPr>
        <w:t>M</w:t>
      </w:r>
      <w:r w:rsidRPr="001455DC">
        <w:rPr>
          <w:rStyle w:val="CCMCvariablesubscript"/>
        </w:rPr>
        <w:t>Rd,min</w:t>
      </w:r>
      <w:r w:rsidRPr="001455DC">
        <w:t xml:space="preserve"> is the design bending strength of the section in the presence of the simultaneous axial force </w:t>
      </w:r>
      <w:r w:rsidRPr="001455DC">
        <w:rPr>
          <w:rStyle w:val="CCMCvariableitalic"/>
        </w:rPr>
        <w:t>N</w:t>
      </w:r>
      <w:r w:rsidRPr="001455DC">
        <w:rPr>
          <w:rStyle w:val="CCMCvariablesubscript"/>
        </w:rPr>
        <w:t>Ed</w:t>
      </w:r>
      <w:r w:rsidRPr="001455DC">
        <w:t xml:space="preserve">, </w:t>
      </w:r>
      <w:r w:rsidRPr="001455DC">
        <w:rPr>
          <w:rStyle w:val="CCMCvariableitalic"/>
        </w:rPr>
        <w:t>M</w:t>
      </w:r>
      <w:r w:rsidRPr="001455DC">
        <w:rPr>
          <w:rStyle w:val="CCMCvariablesubscript"/>
        </w:rPr>
        <w:t>Ed</w:t>
      </w:r>
      <w:r w:rsidRPr="001455DC">
        <w:t xml:space="preserve"> is the ULS bending force </w:t>
      </w:r>
      <w:bookmarkStart w:id="902" w:name="_Hlk21464308"/>
      <w:r w:rsidRPr="001455DC">
        <w:t xml:space="preserve">and </w:t>
      </w:r>
      <w:r w:rsidRPr="001455DC">
        <w:rPr>
          <w:rStyle w:val="CCMCvariableitalic"/>
        </w:rPr>
        <w:t>k</w:t>
      </w:r>
      <w:r w:rsidRPr="001455DC">
        <w:rPr>
          <w:rStyle w:val="CCMCvariablesubscript"/>
        </w:rPr>
        <w:t>dc</w:t>
      </w:r>
      <w:r w:rsidRPr="001455DC">
        <w:t xml:space="preserve"> </w:t>
      </w:r>
      <w:bookmarkEnd w:id="902"/>
      <w:r w:rsidRPr="001455DC">
        <w:t>is a coefficient which depends on the ductility class of the reinforcement:</w:t>
      </w:r>
    </w:p>
    <w:p w14:paraId="4711E733" w14:textId="237120D5" w:rsidR="004E22C1" w:rsidRPr="001455DC" w:rsidRDefault="004E22C1" w:rsidP="00817FE4">
      <w:pPr>
        <w:pStyle w:val="a0"/>
      </w:pPr>
      <w:r w:rsidRPr="001455DC">
        <w:rPr>
          <w:rStyle w:val="CCMCvariableitalic"/>
        </w:rPr>
        <w:t>k</w:t>
      </w:r>
      <w:r w:rsidRPr="001455DC">
        <w:rPr>
          <w:rStyle w:val="CCMCvariablesubscript"/>
        </w:rPr>
        <w:t>dc</w:t>
      </w:r>
      <w:r w:rsidRPr="001455DC">
        <w:t> </w:t>
      </w:r>
      <w:r w:rsidR="00EC27D2" w:rsidRPr="001455DC">
        <w:rPr>
          <w:rFonts w:ascii="Cambria Math" w:hAnsi="Cambria Math"/>
        </w:rPr>
        <w:t>=</w:t>
      </w:r>
      <w:r w:rsidRPr="001455DC">
        <w:t> 1,3 for ductility class A,</w:t>
      </w:r>
    </w:p>
    <w:p w14:paraId="14DF6207" w14:textId="5642BB73" w:rsidR="004E22C1" w:rsidRPr="001455DC" w:rsidRDefault="004E22C1" w:rsidP="00817FE4">
      <w:pPr>
        <w:pStyle w:val="a0"/>
      </w:pPr>
      <w:r w:rsidRPr="001455DC">
        <w:rPr>
          <w:rStyle w:val="CCMCvariableitalic"/>
        </w:rPr>
        <w:t>k</w:t>
      </w:r>
      <w:r w:rsidRPr="001455DC">
        <w:rPr>
          <w:rStyle w:val="CCMCvariablesubscript"/>
        </w:rPr>
        <w:t>dc</w:t>
      </w:r>
      <w:r w:rsidRPr="001455DC">
        <w:t> </w:t>
      </w:r>
      <w:r w:rsidR="00EC27D2" w:rsidRPr="001455DC">
        <w:rPr>
          <w:rFonts w:ascii="Cambria Math" w:hAnsi="Cambria Math"/>
        </w:rPr>
        <w:t>=</w:t>
      </w:r>
      <w:r w:rsidRPr="001455DC">
        <w:t> 1,1 for ductility class B,</w:t>
      </w:r>
    </w:p>
    <w:p w14:paraId="58C0597E" w14:textId="6F6A75A7" w:rsidR="004E22C1" w:rsidRPr="001455DC" w:rsidRDefault="004E22C1" w:rsidP="00817FE4">
      <w:pPr>
        <w:pStyle w:val="a0"/>
      </w:pPr>
      <w:r w:rsidRPr="001455DC">
        <w:rPr>
          <w:rStyle w:val="CCMCvariableitalic"/>
        </w:rPr>
        <w:t>k</w:t>
      </w:r>
      <w:r w:rsidRPr="001455DC">
        <w:rPr>
          <w:rStyle w:val="CCMCvariablesubscript"/>
        </w:rPr>
        <w:t>dc</w:t>
      </w:r>
      <w:r w:rsidRPr="001455DC">
        <w:t> </w:t>
      </w:r>
      <w:r w:rsidR="00EC27D2" w:rsidRPr="001455DC">
        <w:rPr>
          <w:rFonts w:ascii="Cambria Math" w:hAnsi="Cambria Math"/>
        </w:rPr>
        <w:t>=</w:t>
      </w:r>
      <w:r w:rsidRPr="001455DC">
        <w:t> 1,0 for ductility class C.</w:t>
      </w:r>
    </w:p>
    <w:p w14:paraId="66362464" w14:textId="77777777" w:rsidR="004E22C1" w:rsidRPr="001455DC" w:rsidRDefault="004E22C1" w:rsidP="00817FE4">
      <w:pPr>
        <w:pStyle w:val="a7"/>
      </w:pPr>
      <w:r w:rsidRPr="001455DC">
        <w:t>The area of reinforcement calculated need not be taken as greater than determined from Formula (12.1).</w:t>
      </w:r>
    </w:p>
    <w:p w14:paraId="2F4BB448" w14:textId="20518000" w:rsidR="004E22C1" w:rsidRPr="001455DC" w:rsidRDefault="004E22C1" w:rsidP="00817FE4">
      <w:pPr>
        <w:pStyle w:val="Note"/>
      </w:pPr>
      <w:r w:rsidRPr="001455DC">
        <w:t>NOTE</w:t>
      </w:r>
      <w:r w:rsidR="00243590">
        <w:t xml:space="preserve"> </w:t>
      </w:r>
      <w:r w:rsidRPr="001455DC">
        <w:tab/>
        <w:t>Use of Formula (12.3) can result in wide cracks in SLS.</w:t>
      </w:r>
    </w:p>
    <w:p w14:paraId="064FEC33" w14:textId="4CA8E71D" w:rsidR="004E22C1" w:rsidRPr="001455DC" w:rsidRDefault="004E22C1" w:rsidP="00E844D2">
      <w:pPr>
        <w:pStyle w:val="a7"/>
        <w:keepNext/>
      </w:pPr>
      <w:r w:rsidRPr="001455DC">
        <w:t>(4)</w:t>
      </w:r>
      <w:r w:rsidRPr="001455DC">
        <w:tab/>
      </w:r>
      <w:bookmarkStart w:id="903" w:name="_Hlk51684266"/>
      <w:r w:rsidRPr="001455DC">
        <w:t xml:space="preserve">In beams and slabs requiring shear or torsion reinforcement a minimum ratio of such reinforcement </w:t>
      </w:r>
      <w:r w:rsidRPr="001455DC">
        <w:rPr>
          <w:rStyle w:val="CCMCvariableitalic"/>
        </w:rPr>
        <w:t>ρ</w:t>
      </w:r>
      <w:r w:rsidRPr="001455DC">
        <w:rPr>
          <w:rStyle w:val="CCMCvariablesubscript"/>
        </w:rPr>
        <w:t>w,min</w:t>
      </w:r>
      <w:r w:rsidRPr="001455DC">
        <w:t xml:space="preserve"> shall be placed. </w:t>
      </w:r>
      <w:r w:rsidRPr="001455DC">
        <w:rPr>
          <w:rStyle w:val="CCMCvariableitalic"/>
        </w:rPr>
        <w:t>ρ</w:t>
      </w:r>
      <w:r w:rsidRPr="001455DC">
        <w:rPr>
          <w:rStyle w:val="CCMCvariablesubscript"/>
        </w:rPr>
        <w:t>w,min</w:t>
      </w:r>
      <w:r w:rsidRPr="001455DC">
        <w:t xml:space="preserve"> should be calculated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817FE4" w:rsidRPr="001455DC" w14:paraId="3A578A52" w14:textId="77777777" w:rsidTr="00817FE4">
        <w:trPr>
          <w:cantSplit/>
        </w:trPr>
        <w:tc>
          <w:tcPr>
            <w:tcW w:w="8505" w:type="dxa"/>
            <w:vAlign w:val="center"/>
          </w:tcPr>
          <w:p w14:paraId="14B0747F" w14:textId="3A988626" w:rsidR="00817FE4" w:rsidRPr="001455DC" w:rsidRDefault="00231E33">
            <w:pPr>
              <w:pStyle w:val="Formula"/>
              <w:jc w:val="left"/>
            </w:pPr>
            <m:oMathPara>
              <m:oMathParaPr>
                <m:jc m:val="left"/>
              </m:oMathParaPr>
              <m:oMath>
                <m:sSub>
                  <m:sSubPr>
                    <m:ctrlPr>
                      <w:rPr>
                        <w:rFonts w:ascii="Cambria Math" w:hAnsi="Cambria Math"/>
                      </w:rPr>
                    </m:ctrlPr>
                  </m:sSubPr>
                  <m:e>
                    <m:r>
                      <w:rPr>
                        <w:rFonts w:ascii="Cambria Math" w:hAnsi="Cambria Math"/>
                      </w:rPr>
                      <m:t>ρ</m:t>
                    </m:r>
                  </m:e>
                  <m:sub>
                    <m:r>
                      <m:rPr>
                        <m:sty m:val="p"/>
                      </m:rPr>
                      <w:rPr>
                        <w:rFonts w:ascii="Cambria Math" w:hAnsi="Cambria Math"/>
                      </w:rPr>
                      <m:t>w,min</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sw,min</m:t>
                        </m:r>
                      </m:sub>
                    </m:sSub>
                  </m:num>
                  <m:den>
                    <m:r>
                      <w:rPr>
                        <w:rFonts w:ascii="Cambria Math" w:hAnsi="Cambria Math"/>
                      </w:rPr>
                      <m:t>s⋅</m:t>
                    </m:r>
                    <m:sSub>
                      <m:sSubPr>
                        <m:ctrlPr>
                          <w:rPr>
                            <w:rFonts w:ascii="Cambria Math" w:hAnsi="Cambria Math"/>
                          </w:rPr>
                        </m:ctrlPr>
                      </m:sSubPr>
                      <m:e>
                        <m:r>
                          <w:rPr>
                            <w:rFonts w:ascii="Cambria Math" w:hAnsi="Cambria Math"/>
                          </w:rPr>
                          <m:t>b</m:t>
                        </m:r>
                      </m:e>
                      <m:sub>
                        <m:r>
                          <m:rPr>
                            <m:sty m:val="p"/>
                          </m:rPr>
                          <w:rPr>
                            <w:rFonts w:ascii="Cambria Math" w:hAnsi="Cambria Math"/>
                          </w:rPr>
                          <m:t>w</m:t>
                        </m:r>
                      </m:sub>
                    </m:sSub>
                    <m:r>
                      <w:rPr>
                        <w:rFonts w:ascii="Cambria Math" w:hAnsi="Cambria Math"/>
                      </w:rPr>
                      <m:t>⋅</m:t>
                    </m:r>
                    <m:r>
                      <m:rPr>
                        <m:sty m:val="p"/>
                      </m:rPr>
                      <w:rPr>
                        <w:rFonts w:ascii="Cambria Math" w:hAnsi="Cambria Math"/>
                      </w:rPr>
                      <m:t>sin</m:t>
                    </m:r>
                    <m:r>
                      <w:rPr>
                        <w:rFonts w:ascii="Cambria Math" w:hAnsi="Cambria Math"/>
                      </w:rPr>
                      <m:t>α</m:t>
                    </m:r>
                  </m:den>
                </m:f>
                <m:r>
                  <w:rPr>
                    <w:rFonts w:ascii="Cambria Math" w:hAnsi="Cambria Math"/>
                  </w:rPr>
                  <m:t>≥0,08</m:t>
                </m:r>
                <m:f>
                  <m:fPr>
                    <m:ctrlPr>
                      <w:rPr>
                        <w:rFonts w:ascii="Cambria Math" w:hAnsi="Cambria Math"/>
                      </w:rPr>
                    </m:ctrlPr>
                  </m:fPr>
                  <m:num>
                    <m:rad>
                      <m:radPr>
                        <m:degHide m:val="1"/>
                        <m:ctrlPr>
                          <w:rPr>
                            <w:rFonts w:ascii="Cambria Math" w:hAnsi="Cambria Math"/>
                          </w:rPr>
                        </m:ctrlPr>
                      </m:radPr>
                      <m:deg/>
                      <m:e>
                        <m:sSub>
                          <m:sSubPr>
                            <m:ctrlPr>
                              <w:rPr>
                                <w:rFonts w:ascii="Cambria Math" w:hAnsi="Cambria Math"/>
                              </w:rPr>
                            </m:ctrlPr>
                          </m:sSubPr>
                          <m:e>
                            <m:r>
                              <w:rPr>
                                <w:rFonts w:ascii="Cambria Math" w:hAnsi="Cambria Math"/>
                              </w:rPr>
                              <m:t>f</m:t>
                            </m:r>
                          </m:e>
                          <m:sub>
                            <m:r>
                              <m:rPr>
                                <m:sty m:val="p"/>
                              </m:rPr>
                              <w:rPr>
                                <w:rFonts w:ascii="Cambria Math" w:hAnsi="Cambria Math"/>
                              </w:rPr>
                              <m:t>ck</m:t>
                            </m:r>
                          </m:sub>
                        </m:sSub>
                      </m:e>
                    </m:rad>
                  </m:num>
                  <m:den>
                    <m:sSub>
                      <m:sSubPr>
                        <m:ctrlPr>
                          <w:rPr>
                            <w:rFonts w:ascii="Cambria Math" w:hAnsi="Cambria Math"/>
                          </w:rPr>
                        </m:ctrlPr>
                      </m:sSubPr>
                      <m:e>
                        <m:r>
                          <w:rPr>
                            <w:rFonts w:ascii="Cambria Math" w:hAnsi="Cambria Math"/>
                          </w:rPr>
                          <m:t>f</m:t>
                        </m:r>
                      </m:e>
                      <m:sub>
                        <m:r>
                          <m:rPr>
                            <m:sty m:val="p"/>
                          </m:rPr>
                          <w:rPr>
                            <w:rFonts w:ascii="Cambria Math" w:hAnsi="Cambria Math"/>
                          </w:rPr>
                          <m:t>yk</m:t>
                        </m:r>
                      </m:sub>
                    </m:sSub>
                  </m:den>
                </m:f>
              </m:oMath>
            </m:oMathPara>
          </w:p>
        </w:tc>
        <w:tc>
          <w:tcPr>
            <w:tcW w:w="1247" w:type="dxa"/>
            <w:vAlign w:val="center"/>
          </w:tcPr>
          <w:p w14:paraId="5071D725" w14:textId="30E55991" w:rsidR="00817FE4" w:rsidRPr="001455DC" w:rsidRDefault="00817FE4" w:rsidP="00817FE4">
            <w:pPr>
              <w:pStyle w:val="a7"/>
              <w:jc w:val="right"/>
            </w:pPr>
            <w:r w:rsidRPr="001455DC">
              <w:t>(12.4)</w:t>
            </w:r>
          </w:p>
        </w:tc>
      </w:tr>
    </w:tbl>
    <w:p w14:paraId="600D160F" w14:textId="77777777" w:rsidR="00817FE4" w:rsidRPr="001455DC" w:rsidRDefault="00817FE4" w:rsidP="00A35599">
      <w:pPr>
        <w:pStyle w:val="a7"/>
        <w:keepNext/>
      </w:pPr>
      <w:r w:rsidRPr="001455DC">
        <w:t>where</w:t>
      </w:r>
    </w:p>
    <w:tbl>
      <w:tblPr>
        <w:tblW w:w="9413" w:type="dxa"/>
        <w:tblInd w:w="397" w:type="dxa"/>
        <w:tblLayout w:type="fixed"/>
        <w:tblCellMar>
          <w:left w:w="28" w:type="dxa"/>
          <w:right w:w="28" w:type="dxa"/>
        </w:tblCellMar>
        <w:tblLook w:val="04A0" w:firstRow="1" w:lastRow="0" w:firstColumn="1" w:lastColumn="0" w:noHBand="0" w:noVBand="1"/>
      </w:tblPr>
      <w:tblGrid>
        <w:gridCol w:w="851"/>
        <w:gridCol w:w="8562"/>
      </w:tblGrid>
      <w:tr w:rsidR="00817FE4" w:rsidRPr="001455DC" w14:paraId="02ABAD75" w14:textId="77777777" w:rsidTr="00817FE4">
        <w:trPr>
          <w:cantSplit/>
        </w:trPr>
        <w:tc>
          <w:tcPr>
            <w:tcW w:w="851" w:type="dxa"/>
          </w:tcPr>
          <w:p w14:paraId="711426B9" w14:textId="1D9E8B3E" w:rsidR="00817FE4" w:rsidRPr="001455DC" w:rsidRDefault="00817FE4" w:rsidP="0000442A">
            <w:pPr>
              <w:pStyle w:val="Tablebody"/>
            </w:pPr>
            <w:r w:rsidRPr="001455DC">
              <w:rPr>
                <w:rStyle w:val="CCMCvariableitalic"/>
              </w:rPr>
              <w:t>ρ</w:t>
            </w:r>
            <w:r w:rsidRPr="001455DC">
              <w:rPr>
                <w:rStyle w:val="CCMCvariablesubscript"/>
              </w:rPr>
              <w:t>w,min</w:t>
            </w:r>
          </w:p>
        </w:tc>
        <w:tc>
          <w:tcPr>
            <w:tcW w:w="8562" w:type="dxa"/>
          </w:tcPr>
          <w:p w14:paraId="2D1E68EA" w14:textId="7F4D2627" w:rsidR="00817FE4" w:rsidRPr="001455DC" w:rsidRDefault="00817FE4" w:rsidP="00BB1209">
            <w:pPr>
              <w:pStyle w:val="Tablebody"/>
            </w:pPr>
            <w:r w:rsidRPr="001455DC">
              <w:rPr>
                <w:bCs/>
                <w:lang w:eastAsia="de-DE"/>
              </w:rPr>
              <w:t>is the minimum reinforcement ratio;</w:t>
            </w:r>
          </w:p>
        </w:tc>
      </w:tr>
      <w:tr w:rsidR="00817FE4" w:rsidRPr="001455DC" w14:paraId="2EA5CA3E" w14:textId="77777777" w:rsidTr="00817FE4">
        <w:trPr>
          <w:cantSplit/>
        </w:trPr>
        <w:tc>
          <w:tcPr>
            <w:tcW w:w="851" w:type="dxa"/>
          </w:tcPr>
          <w:p w14:paraId="0F2A09D2" w14:textId="28AA7192" w:rsidR="00817FE4" w:rsidRPr="001455DC" w:rsidRDefault="00817FE4" w:rsidP="0000442A">
            <w:pPr>
              <w:pStyle w:val="Tablebody"/>
            </w:pPr>
            <w:r w:rsidRPr="001455DC">
              <w:rPr>
                <w:rStyle w:val="CCMCvariableitalic"/>
              </w:rPr>
              <w:t>A</w:t>
            </w:r>
            <w:r w:rsidRPr="001455DC">
              <w:rPr>
                <w:rStyle w:val="CCMCvariablesubscript"/>
              </w:rPr>
              <w:t>sw,min</w:t>
            </w:r>
          </w:p>
        </w:tc>
        <w:tc>
          <w:tcPr>
            <w:tcW w:w="8562" w:type="dxa"/>
          </w:tcPr>
          <w:p w14:paraId="5AC76620" w14:textId="64975686" w:rsidR="00817FE4" w:rsidRPr="001455DC" w:rsidRDefault="00817FE4" w:rsidP="0000442A">
            <w:pPr>
              <w:pStyle w:val="Tablebody"/>
            </w:pPr>
            <w:r w:rsidRPr="001455DC">
              <w:rPr>
                <w:bCs/>
                <w:lang w:eastAsia="de-DE"/>
              </w:rPr>
              <w:t xml:space="preserve">is the area of minimum shear reinforcement within the spacing </w:t>
            </w:r>
            <w:r w:rsidRPr="001455DC">
              <w:rPr>
                <w:rStyle w:val="CCMCvariableitalic"/>
              </w:rPr>
              <w:t>s</w:t>
            </w:r>
            <w:r w:rsidRPr="001455DC">
              <w:rPr>
                <w:bCs/>
                <w:lang w:eastAsia="de-DE"/>
              </w:rPr>
              <w:t>;</w:t>
            </w:r>
          </w:p>
        </w:tc>
      </w:tr>
      <w:tr w:rsidR="00817FE4" w:rsidRPr="001455DC" w14:paraId="1D52F291" w14:textId="77777777" w:rsidTr="00817FE4">
        <w:trPr>
          <w:cantSplit/>
        </w:trPr>
        <w:tc>
          <w:tcPr>
            <w:tcW w:w="851" w:type="dxa"/>
          </w:tcPr>
          <w:p w14:paraId="294C8697" w14:textId="0E6C87DB" w:rsidR="00817FE4" w:rsidRPr="001455DC" w:rsidRDefault="00817FE4" w:rsidP="00D86695">
            <w:pPr>
              <w:pStyle w:val="Tablebody"/>
            </w:pPr>
            <w:r w:rsidRPr="001455DC">
              <w:rPr>
                <w:rStyle w:val="CCMCvariableitalic"/>
              </w:rPr>
              <w:t>s</w:t>
            </w:r>
          </w:p>
        </w:tc>
        <w:tc>
          <w:tcPr>
            <w:tcW w:w="8562" w:type="dxa"/>
          </w:tcPr>
          <w:p w14:paraId="77D40F11" w14:textId="64A93155" w:rsidR="00817FE4" w:rsidRPr="001455DC" w:rsidRDefault="00817FE4" w:rsidP="00D86695">
            <w:pPr>
              <w:pStyle w:val="Tablebody"/>
            </w:pPr>
            <w:r w:rsidRPr="001455DC">
              <w:rPr>
                <w:bCs/>
                <w:lang w:eastAsia="de-DE"/>
              </w:rPr>
              <w:t>is the spacing of the shear reinforcement measured along the longitudinal axis of the member;</w:t>
            </w:r>
          </w:p>
        </w:tc>
      </w:tr>
      <w:tr w:rsidR="00817FE4" w:rsidRPr="001455DC" w14:paraId="028C4B36" w14:textId="77777777" w:rsidTr="00817FE4">
        <w:trPr>
          <w:cantSplit/>
        </w:trPr>
        <w:tc>
          <w:tcPr>
            <w:tcW w:w="851" w:type="dxa"/>
          </w:tcPr>
          <w:p w14:paraId="0F0CC784" w14:textId="3E4BBB17" w:rsidR="00817FE4" w:rsidRPr="001455DC" w:rsidRDefault="00817FE4" w:rsidP="00D86695">
            <w:pPr>
              <w:pStyle w:val="Tablebody"/>
            </w:pPr>
            <w:r w:rsidRPr="001455DC">
              <w:rPr>
                <w:rStyle w:val="CCMCvariableitalic"/>
              </w:rPr>
              <w:t>b</w:t>
            </w:r>
            <w:r w:rsidRPr="001455DC">
              <w:rPr>
                <w:rStyle w:val="CCMCvariablesubscript"/>
              </w:rPr>
              <w:t>w</w:t>
            </w:r>
          </w:p>
        </w:tc>
        <w:tc>
          <w:tcPr>
            <w:tcW w:w="8562" w:type="dxa"/>
          </w:tcPr>
          <w:p w14:paraId="784ECFF1" w14:textId="34FAE463" w:rsidR="00817FE4" w:rsidRPr="001455DC" w:rsidRDefault="00817FE4" w:rsidP="00D86695">
            <w:pPr>
              <w:pStyle w:val="Tablebody"/>
            </w:pPr>
            <w:r w:rsidRPr="001455DC">
              <w:rPr>
                <w:bCs/>
                <w:lang w:eastAsia="de-DE"/>
              </w:rPr>
              <w:t>is the width of the web of the member;</w:t>
            </w:r>
          </w:p>
        </w:tc>
      </w:tr>
      <w:tr w:rsidR="00817FE4" w:rsidRPr="001455DC" w14:paraId="531AACD5" w14:textId="77777777" w:rsidTr="00817FE4">
        <w:trPr>
          <w:cantSplit/>
        </w:trPr>
        <w:tc>
          <w:tcPr>
            <w:tcW w:w="851" w:type="dxa"/>
          </w:tcPr>
          <w:p w14:paraId="6BA7DB75" w14:textId="4689BBD5" w:rsidR="00817FE4" w:rsidRPr="001455DC" w:rsidRDefault="00817FE4" w:rsidP="00D86695">
            <w:pPr>
              <w:pStyle w:val="Tablebody"/>
            </w:pPr>
            <w:r w:rsidRPr="001455DC">
              <w:rPr>
                <w:rStyle w:val="CCMCvariableitalic"/>
              </w:rPr>
              <w:t>α</w:t>
            </w:r>
          </w:p>
        </w:tc>
        <w:tc>
          <w:tcPr>
            <w:tcW w:w="8562" w:type="dxa"/>
          </w:tcPr>
          <w:p w14:paraId="219B04FA" w14:textId="3862AF14" w:rsidR="00817FE4" w:rsidRPr="001455DC" w:rsidRDefault="00817FE4" w:rsidP="00D86695">
            <w:pPr>
              <w:pStyle w:val="Tablebody"/>
            </w:pPr>
            <w:r w:rsidRPr="001455DC">
              <w:rPr>
                <w:bCs/>
                <w:lang w:eastAsia="de-DE"/>
              </w:rPr>
              <w:t>is the angle between shear reinforcement and the longitudinal axis.</w:t>
            </w:r>
          </w:p>
        </w:tc>
      </w:tr>
    </w:tbl>
    <w:p w14:paraId="45AF3174" w14:textId="77777777" w:rsidR="001E73AF" w:rsidRPr="009D3012" w:rsidRDefault="001E73AF" w:rsidP="009D3012">
      <w:pPr>
        <w:pStyle w:val="a7"/>
      </w:pPr>
      <w:r w:rsidRPr="009D3012">
        <w:t xml:space="preserve">The value of </w:t>
      </w:r>
      <w:r w:rsidRPr="009D3012">
        <w:rPr>
          <w:rFonts w:ascii="Symbol" w:hAnsi="Symbol"/>
          <w:i/>
          <w:iCs/>
        </w:rPr>
        <w:t></w:t>
      </w:r>
      <w:r w:rsidRPr="009D3012">
        <w:rPr>
          <w:i/>
          <w:iCs/>
          <w:vertAlign w:val="subscript"/>
        </w:rPr>
        <w:t>w</w:t>
      </w:r>
      <w:r w:rsidRPr="009D3012">
        <w:rPr>
          <w:vertAlign w:val="subscript"/>
        </w:rPr>
        <w:t>,min</w:t>
      </w:r>
      <w:r w:rsidRPr="009D3012">
        <w:t xml:space="preserve"> given by Formula (12.4) may be reduced </w:t>
      </w:r>
    </w:p>
    <w:p w14:paraId="6D090322" w14:textId="77777777" w:rsidR="001E73AF" w:rsidRPr="001455DC" w:rsidRDefault="001E73AF" w:rsidP="00082680">
      <w:pPr>
        <w:pStyle w:val="af9"/>
        <w:numPr>
          <w:ilvl w:val="0"/>
          <w:numId w:val="55"/>
        </w:numPr>
        <w:jc w:val="left"/>
        <w:rPr>
          <w:rFonts w:cs="Arial"/>
          <w:lang w:val="en-GB"/>
        </w:rPr>
      </w:pPr>
      <w:r w:rsidRPr="009D3012">
        <w:rPr>
          <w:rFonts w:cs="Arial"/>
          <w:lang w:val="en-GB"/>
        </w:rPr>
        <w:t>by 10 % when ductility class B reinforcement,</w:t>
      </w:r>
    </w:p>
    <w:p w14:paraId="0DCA20F2" w14:textId="77777777" w:rsidR="001E73AF" w:rsidRPr="001455DC" w:rsidRDefault="001E73AF" w:rsidP="00082680">
      <w:pPr>
        <w:pStyle w:val="af9"/>
        <w:numPr>
          <w:ilvl w:val="0"/>
          <w:numId w:val="55"/>
        </w:numPr>
        <w:jc w:val="left"/>
        <w:rPr>
          <w:rFonts w:cs="Arial"/>
          <w:lang w:val="en-GB"/>
        </w:rPr>
      </w:pPr>
      <w:r w:rsidRPr="009D3012">
        <w:rPr>
          <w:rFonts w:cs="Arial"/>
          <w:lang w:val="en-GB"/>
        </w:rPr>
        <w:t xml:space="preserve">by 20 % when ductility class C reinforcement </w:t>
      </w:r>
    </w:p>
    <w:p w14:paraId="78A18BB4" w14:textId="1E5EA57B" w:rsidR="001E73AF" w:rsidRPr="001455DC" w:rsidRDefault="001E73AF" w:rsidP="001E73AF">
      <w:pPr>
        <w:pStyle w:val="a7"/>
      </w:pPr>
      <w:r w:rsidRPr="009D3012">
        <w:rPr>
          <w:rFonts w:cs="Arial"/>
        </w:rPr>
        <w:t>is used.</w:t>
      </w:r>
    </w:p>
    <w:p w14:paraId="3BA91B0D" w14:textId="085F26FE" w:rsidR="004E22C1" w:rsidRPr="001455DC" w:rsidRDefault="004E22C1" w:rsidP="00817FE4">
      <w:pPr>
        <w:pStyle w:val="a7"/>
      </w:pPr>
      <w:r w:rsidRPr="001455DC">
        <w:t xml:space="preserve">Formula (12.4) ensures that the shear model in </w:t>
      </w:r>
      <w:r w:rsidR="001710FF" w:rsidRPr="001455DC">
        <w:t>Clause </w:t>
      </w:r>
      <w:r w:rsidRPr="001455DC">
        <w:t xml:space="preserve">8 is valid and that </w:t>
      </w:r>
      <w:r w:rsidR="001E73AF" w:rsidRPr="001455DC">
        <w:t>behaviour</w:t>
      </w:r>
      <w:r w:rsidRPr="001455DC">
        <w:t xml:space="preserve"> is reasonably ductile, where alternative shear models are used alternative values may be appropriate.</w:t>
      </w:r>
    </w:p>
    <w:p w14:paraId="617F9617" w14:textId="33E779BA" w:rsidR="004E22C1" w:rsidRPr="001455DC" w:rsidRDefault="004E22C1" w:rsidP="00817FE4">
      <w:pPr>
        <w:pStyle w:val="a7"/>
      </w:pPr>
      <w:r w:rsidRPr="001455DC">
        <w:t>(5)</w:t>
      </w:r>
      <w:r w:rsidRPr="001455DC">
        <w:tab/>
        <w:t xml:space="preserve">Members having less longitudinal reinforcement than </w:t>
      </w:r>
      <w:r w:rsidRPr="001455DC">
        <w:rPr>
          <w:rStyle w:val="CCMCvariableitalic"/>
        </w:rPr>
        <w:t>A</w:t>
      </w:r>
      <w:r w:rsidRPr="001455DC">
        <w:rPr>
          <w:rStyle w:val="CCMCvariablesubscript"/>
        </w:rPr>
        <w:t>s,min</w:t>
      </w:r>
      <w:r w:rsidRPr="001455DC">
        <w:t xml:space="preserve"> given in </w:t>
      </w:r>
      <w:r w:rsidR="001710FF" w:rsidRPr="001455DC">
        <w:t>Clause </w:t>
      </w:r>
      <w:r w:rsidRPr="001455DC">
        <w:t xml:space="preserve">12 shall be designed in accordance with </w:t>
      </w:r>
      <w:r w:rsidR="001710FF" w:rsidRPr="001455DC">
        <w:t>Clause </w:t>
      </w:r>
      <w:r w:rsidRPr="001455DC">
        <w:t>14.</w:t>
      </w:r>
    </w:p>
    <w:p w14:paraId="76ADDE6C" w14:textId="6D8DAA44" w:rsidR="004E22C1" w:rsidRPr="001455DC" w:rsidRDefault="004E22C1" w:rsidP="00817FE4">
      <w:pPr>
        <w:pStyle w:val="a7"/>
      </w:pPr>
      <w:r w:rsidRPr="001455DC">
        <w:t>(6)</w:t>
      </w:r>
      <w:r w:rsidRPr="001455DC">
        <w:tab/>
        <w:t>For members where brittle failure due to tensile stresses is excluded such as members in compression and members with no structural function, (2) to (5) may be disregarded.</w:t>
      </w:r>
    </w:p>
    <w:p w14:paraId="073ACEEC" w14:textId="2BFB30A5" w:rsidR="004E22C1" w:rsidRPr="001455DC" w:rsidRDefault="004E22C1" w:rsidP="00817FE4">
      <w:pPr>
        <w:pStyle w:val="a7"/>
      </w:pPr>
      <w:r w:rsidRPr="001455DC">
        <w:t>(7)</w:t>
      </w:r>
      <w:r w:rsidRPr="001455DC">
        <w:tab/>
        <w:t xml:space="preserve">Minimum reinforcement shall generally be anchored and lapped according to </w:t>
      </w:r>
      <w:r w:rsidR="001710FF" w:rsidRPr="001455DC">
        <w:t>Clause </w:t>
      </w:r>
      <w:r w:rsidRPr="001455DC">
        <w:t xml:space="preserve">11 for a design stress of </w:t>
      </w:r>
      <w:r w:rsidRPr="001455DC">
        <w:rPr>
          <w:rStyle w:val="CCMCvariableitalic"/>
        </w:rPr>
        <w:t>σ</w:t>
      </w:r>
      <w:r w:rsidRPr="001455DC">
        <w:rPr>
          <w:rStyle w:val="CCMCvariablesubscript"/>
        </w:rPr>
        <w:t>sd</w:t>
      </w:r>
      <w:r w:rsidRPr="001455DC">
        <w:t> </w:t>
      </w:r>
      <w:r w:rsidR="00EC27D2" w:rsidRPr="001455DC">
        <w:rPr>
          <w:rFonts w:ascii="Cambria Math" w:hAnsi="Cambria Math"/>
        </w:rPr>
        <w:t>=</w:t>
      </w:r>
      <w:r w:rsidRPr="001455DC">
        <w:t> </w:t>
      </w:r>
      <w:r w:rsidRPr="001455DC">
        <w:rPr>
          <w:rStyle w:val="CCMCvariableitalic"/>
        </w:rPr>
        <w:t>f</w:t>
      </w:r>
      <w:r w:rsidRPr="001455DC">
        <w:rPr>
          <w:rStyle w:val="CCMCvariablesubscript"/>
        </w:rPr>
        <w:t>yd.</w:t>
      </w:r>
      <w:r w:rsidRPr="001455DC">
        <w:t xml:space="preserve"> Reinforcement provided only to satisfy minimum steel requirements may have its anchorage length reduced providing that it is </w:t>
      </w:r>
      <w:r w:rsidR="00650035" w:rsidRPr="001455DC">
        <w:rPr>
          <w:rFonts w:ascii="Cambria Math" w:hAnsi="Cambria Math"/>
        </w:rPr>
        <w:t>≥</w:t>
      </w:r>
      <w:r w:rsidR="00073FC6" w:rsidRPr="001455DC">
        <w:t> </w:t>
      </w:r>
      <w:r w:rsidRPr="001455DC">
        <w:t>10</w:t>
      </w:r>
      <w:r w:rsidRPr="001455DC">
        <w:rPr>
          <w:rStyle w:val="CCMCvariableitalic"/>
        </w:rPr>
        <w:t>ϕ</w:t>
      </w:r>
      <w:r w:rsidRPr="001455DC">
        <w:t xml:space="preserve"> past the inner edge of the support.</w:t>
      </w:r>
    </w:p>
    <w:p w14:paraId="7620E69C" w14:textId="6402D5B6" w:rsidR="004E22C1" w:rsidRPr="001455DC" w:rsidRDefault="004E22C1" w:rsidP="006D682B">
      <w:pPr>
        <w:pStyle w:val="21"/>
      </w:pPr>
      <w:bookmarkStart w:id="904" w:name="_Toc52820056"/>
      <w:bookmarkStart w:id="905" w:name="_Toc54337457"/>
      <w:bookmarkStart w:id="906" w:name="_Toc54338112"/>
      <w:bookmarkStart w:id="907" w:name="_Toc67565456"/>
      <w:bookmarkEnd w:id="903"/>
      <w:r w:rsidRPr="001455DC">
        <w:t>Beams</w:t>
      </w:r>
      <w:bookmarkEnd w:id="904"/>
      <w:bookmarkEnd w:id="905"/>
      <w:bookmarkEnd w:id="906"/>
      <w:bookmarkEnd w:id="907"/>
    </w:p>
    <w:p w14:paraId="673BD552" w14:textId="4CAE189F" w:rsidR="004E22C1" w:rsidRPr="001455DC" w:rsidRDefault="004E22C1" w:rsidP="00243590">
      <w:pPr>
        <w:pStyle w:val="31"/>
      </w:pPr>
      <w:bookmarkStart w:id="908" w:name="_Toc52820057"/>
      <w:bookmarkStart w:id="909" w:name="_Toc54337458"/>
      <w:bookmarkStart w:id="910" w:name="_Toc54338113"/>
      <w:bookmarkStart w:id="911" w:name="_Toc67565457"/>
      <w:r w:rsidRPr="001455DC">
        <w:t>General</w:t>
      </w:r>
      <w:bookmarkEnd w:id="908"/>
      <w:bookmarkEnd w:id="909"/>
      <w:bookmarkEnd w:id="910"/>
      <w:bookmarkEnd w:id="911"/>
    </w:p>
    <w:p w14:paraId="7D73A54B" w14:textId="77777777" w:rsidR="004E22C1" w:rsidRPr="001455DC" w:rsidRDefault="004E22C1" w:rsidP="00817FE4">
      <w:pPr>
        <w:pStyle w:val="a7"/>
      </w:pPr>
      <w:r w:rsidRPr="001455DC">
        <w:t>(1)</w:t>
      </w:r>
      <w:r w:rsidRPr="001455DC">
        <w:tab/>
        <w:t>Reinforcement in beams, longitudinal and transverse, should be detailed in accordance with the requirements of Table 12.1(NDP).</w:t>
      </w:r>
    </w:p>
    <w:p w14:paraId="58992DC6" w14:textId="77777777" w:rsidR="004E22C1" w:rsidRPr="001455DC" w:rsidRDefault="004E22C1" w:rsidP="00817FE4">
      <w:pPr>
        <w:pStyle w:val="Note"/>
      </w:pPr>
      <w:r w:rsidRPr="001455DC">
        <w:t>NOTE</w:t>
      </w:r>
      <w:r w:rsidRPr="001455DC">
        <w:tab/>
        <w:t>The values in Table 12.1(NDP) apply, unless a National Annex gives other values.</w:t>
      </w:r>
    </w:p>
    <w:p w14:paraId="077DE4C4" w14:textId="77777777" w:rsidR="004E22C1" w:rsidRPr="001455DC" w:rsidRDefault="004E22C1" w:rsidP="00817FE4">
      <w:pPr>
        <w:pStyle w:val="Tabletitle"/>
      </w:pPr>
      <w:bookmarkStart w:id="912" w:name="_Toc54337459"/>
      <w:r w:rsidRPr="001455DC">
        <w:t>Table 12.1(NDP) — Detailing requirements for reinforcement in beams</w:t>
      </w:r>
      <w:bookmarkEnd w:id="912"/>
    </w:p>
    <w:tbl>
      <w:tblPr>
        <w:tblStyle w:val="53"/>
        <w:tblW w:w="9752" w:type="dxa"/>
        <w:tblLayout w:type="fixed"/>
        <w:tblLook w:val="0660" w:firstRow="1" w:lastRow="1" w:firstColumn="0" w:lastColumn="0" w:noHBand="1" w:noVBand="1"/>
      </w:tblPr>
      <w:tblGrid>
        <w:gridCol w:w="476"/>
        <w:gridCol w:w="5758"/>
        <w:gridCol w:w="1119"/>
        <w:gridCol w:w="2399"/>
      </w:tblGrid>
      <w:tr w:rsidR="004E22C1" w:rsidRPr="001455DC" w14:paraId="281BBE0D" w14:textId="77777777" w:rsidTr="005138F6">
        <w:trPr>
          <w:cnfStyle w:val="100000000000" w:firstRow="1" w:lastRow="0" w:firstColumn="0" w:lastColumn="0" w:oddVBand="0" w:evenVBand="0" w:oddHBand="0" w:evenHBand="0" w:firstRowFirstColumn="0" w:firstRowLastColumn="0" w:lastRowFirstColumn="0" w:lastRowLastColumn="0"/>
          <w:cantSplit/>
          <w:tblHeader/>
        </w:trPr>
        <w:tc>
          <w:tcPr>
            <w:tcW w:w="5524" w:type="dxa"/>
            <w:gridSpan w:val="2"/>
          </w:tcPr>
          <w:p w14:paraId="03BDF2E5" w14:textId="77777777" w:rsidR="004E22C1" w:rsidRPr="001455DC" w:rsidRDefault="004E22C1" w:rsidP="005138F6">
            <w:pPr>
              <w:pStyle w:val="Tableheader"/>
              <w:keepNext/>
            </w:pPr>
            <w:r w:rsidRPr="001455DC">
              <w:t>Description</w:t>
            </w:r>
          </w:p>
        </w:tc>
        <w:tc>
          <w:tcPr>
            <w:tcW w:w="992" w:type="dxa"/>
          </w:tcPr>
          <w:p w14:paraId="291BFDCE" w14:textId="77777777" w:rsidR="004E22C1" w:rsidRPr="001455DC" w:rsidRDefault="004E22C1" w:rsidP="005138F6">
            <w:pPr>
              <w:pStyle w:val="Tableheader"/>
              <w:keepNext/>
            </w:pPr>
            <w:r w:rsidRPr="001455DC">
              <w:t>Symbol</w:t>
            </w:r>
          </w:p>
        </w:tc>
        <w:tc>
          <w:tcPr>
            <w:tcW w:w="2126" w:type="dxa"/>
          </w:tcPr>
          <w:p w14:paraId="31E48DAC" w14:textId="77777777" w:rsidR="004E22C1" w:rsidRPr="001455DC" w:rsidRDefault="004E22C1" w:rsidP="005138F6">
            <w:pPr>
              <w:pStyle w:val="Tableheader"/>
              <w:keepNext/>
            </w:pPr>
            <w:r w:rsidRPr="001455DC">
              <w:t>Requirement</w:t>
            </w:r>
          </w:p>
        </w:tc>
      </w:tr>
      <w:tr w:rsidR="004E22C1" w:rsidRPr="001455DC" w14:paraId="4ABFF8E6" w14:textId="77777777" w:rsidTr="005138F6">
        <w:trPr>
          <w:cantSplit/>
        </w:trPr>
        <w:tc>
          <w:tcPr>
            <w:tcW w:w="421" w:type="dxa"/>
            <w:vAlign w:val="center"/>
          </w:tcPr>
          <w:p w14:paraId="4B56C5E6" w14:textId="77777777" w:rsidR="004E22C1" w:rsidRPr="001455DC" w:rsidRDefault="004E22C1" w:rsidP="00F77658">
            <w:pPr>
              <w:pStyle w:val="Tablebody"/>
              <w:keepNext/>
              <w:jc w:val="center"/>
            </w:pPr>
            <w:r w:rsidRPr="001455DC">
              <w:t>1</w:t>
            </w:r>
          </w:p>
        </w:tc>
        <w:tc>
          <w:tcPr>
            <w:tcW w:w="5103" w:type="dxa"/>
            <w:vAlign w:val="center"/>
          </w:tcPr>
          <w:p w14:paraId="5AF2E5D7" w14:textId="4CA76A82" w:rsidR="004E22C1" w:rsidRPr="009D3012" w:rsidRDefault="004E22C1" w:rsidP="005138F6">
            <w:pPr>
              <w:pStyle w:val="Tablebody"/>
              <w:keepNext/>
              <w:jc w:val="left"/>
              <w:rPr>
                <w:lang w:val="en-US"/>
              </w:rPr>
            </w:pPr>
            <w:r w:rsidRPr="009D3012">
              <w:rPr>
                <w:lang w:val="en-US"/>
              </w:rPr>
              <w:t>Minimum longitudinal reinforcement, in those parts of the section where tension may occur</w:t>
            </w:r>
          </w:p>
        </w:tc>
        <w:tc>
          <w:tcPr>
            <w:tcW w:w="992" w:type="dxa"/>
            <w:vAlign w:val="center"/>
          </w:tcPr>
          <w:p w14:paraId="3368486A" w14:textId="77777777" w:rsidR="004E22C1" w:rsidRPr="001455DC" w:rsidRDefault="004E22C1" w:rsidP="005138F6">
            <w:pPr>
              <w:pStyle w:val="Tablebody"/>
              <w:keepNext/>
              <w:jc w:val="left"/>
            </w:pPr>
            <w:r w:rsidRPr="001455DC">
              <w:rPr>
                <w:rStyle w:val="CCMCvariableitalic"/>
              </w:rPr>
              <w:t>A</w:t>
            </w:r>
            <w:r w:rsidRPr="001455DC">
              <w:rPr>
                <w:rStyle w:val="CCMCvariablesubscript"/>
              </w:rPr>
              <w:t>s,min</w:t>
            </w:r>
          </w:p>
        </w:tc>
        <w:tc>
          <w:tcPr>
            <w:tcW w:w="2126" w:type="dxa"/>
            <w:vAlign w:val="center"/>
          </w:tcPr>
          <w:p w14:paraId="42AEE625" w14:textId="77777777" w:rsidR="004E22C1" w:rsidRPr="001455DC" w:rsidRDefault="004E22C1" w:rsidP="005138F6">
            <w:pPr>
              <w:pStyle w:val="Tablebody"/>
              <w:keepNext/>
              <w:jc w:val="left"/>
            </w:pPr>
            <w:r w:rsidRPr="001455DC">
              <w:t>12.2(2), see also 12.2(3), 12.2(6)</w:t>
            </w:r>
          </w:p>
        </w:tc>
      </w:tr>
      <w:tr w:rsidR="004E22C1" w:rsidRPr="001455DC" w14:paraId="60A18883" w14:textId="77777777" w:rsidTr="005138F6">
        <w:trPr>
          <w:cantSplit/>
        </w:trPr>
        <w:tc>
          <w:tcPr>
            <w:tcW w:w="421" w:type="dxa"/>
            <w:vAlign w:val="center"/>
          </w:tcPr>
          <w:p w14:paraId="41BC7921" w14:textId="77777777" w:rsidR="004E22C1" w:rsidRPr="001455DC" w:rsidRDefault="004E22C1" w:rsidP="00F77658">
            <w:pPr>
              <w:pStyle w:val="Tablebody"/>
              <w:keepNext/>
              <w:jc w:val="center"/>
            </w:pPr>
            <w:r w:rsidRPr="001455DC">
              <w:t>2</w:t>
            </w:r>
          </w:p>
        </w:tc>
        <w:tc>
          <w:tcPr>
            <w:tcW w:w="5103" w:type="dxa"/>
            <w:vAlign w:val="center"/>
          </w:tcPr>
          <w:p w14:paraId="767FBE34" w14:textId="77777777" w:rsidR="004E22C1" w:rsidRPr="009D3012" w:rsidRDefault="004E22C1" w:rsidP="005138F6">
            <w:pPr>
              <w:pStyle w:val="Tablebody"/>
              <w:keepNext/>
              <w:jc w:val="left"/>
              <w:rPr>
                <w:lang w:val="en-US"/>
              </w:rPr>
            </w:pPr>
            <w:r w:rsidRPr="009D3012">
              <w:rPr>
                <w:lang w:val="en-US"/>
              </w:rPr>
              <w:t>Minimum shear and transverse torsional reinforcement, when required. Minimum torsion reinforcement should be provided to the full perimeter including features not counted part of the thin walled section.</w:t>
            </w:r>
          </w:p>
        </w:tc>
        <w:tc>
          <w:tcPr>
            <w:tcW w:w="992" w:type="dxa"/>
            <w:vAlign w:val="center"/>
          </w:tcPr>
          <w:p w14:paraId="1DB0BB37" w14:textId="77777777" w:rsidR="004E22C1" w:rsidRPr="001455DC" w:rsidRDefault="004E22C1" w:rsidP="005138F6">
            <w:pPr>
              <w:pStyle w:val="Tablebody"/>
              <w:keepNext/>
              <w:jc w:val="left"/>
              <w:rPr>
                <w:lang w:eastAsia="de-DE"/>
              </w:rPr>
            </w:pPr>
            <w:r w:rsidRPr="001455DC">
              <w:rPr>
                <w:rStyle w:val="CCMCvariableitalic"/>
              </w:rPr>
              <w:t>ρ</w:t>
            </w:r>
            <w:r w:rsidRPr="001455DC">
              <w:rPr>
                <w:rStyle w:val="CCMCvariablesubscript"/>
              </w:rPr>
              <w:t>w,min</w:t>
            </w:r>
          </w:p>
        </w:tc>
        <w:tc>
          <w:tcPr>
            <w:tcW w:w="2126" w:type="dxa"/>
            <w:vAlign w:val="center"/>
          </w:tcPr>
          <w:p w14:paraId="200AFD3B" w14:textId="77777777" w:rsidR="004E22C1" w:rsidRPr="001455DC" w:rsidRDefault="004E22C1" w:rsidP="005138F6">
            <w:pPr>
              <w:pStyle w:val="Tablebody"/>
              <w:keepNext/>
              <w:jc w:val="left"/>
            </w:pPr>
            <w:r w:rsidRPr="001455DC">
              <w:t>12.2(4)</w:t>
            </w:r>
          </w:p>
        </w:tc>
      </w:tr>
      <w:tr w:rsidR="004E22C1" w:rsidRPr="001455DC" w14:paraId="1B2B3EFC" w14:textId="77777777" w:rsidTr="005138F6">
        <w:trPr>
          <w:cantSplit/>
        </w:trPr>
        <w:tc>
          <w:tcPr>
            <w:tcW w:w="421" w:type="dxa"/>
            <w:vAlign w:val="center"/>
          </w:tcPr>
          <w:p w14:paraId="2FFEFFC1" w14:textId="77777777" w:rsidR="004E22C1" w:rsidRPr="009D3012" w:rsidRDefault="004E22C1" w:rsidP="00F77658">
            <w:pPr>
              <w:pStyle w:val="Tablebody"/>
              <w:keepNext/>
              <w:jc w:val="center"/>
            </w:pPr>
            <w:r w:rsidRPr="009D3012">
              <w:t>3</w:t>
            </w:r>
          </w:p>
        </w:tc>
        <w:tc>
          <w:tcPr>
            <w:tcW w:w="5103" w:type="dxa"/>
            <w:vAlign w:val="center"/>
          </w:tcPr>
          <w:p w14:paraId="64A653BF" w14:textId="77777777" w:rsidR="004E22C1" w:rsidRPr="009D3012" w:rsidRDefault="004E22C1" w:rsidP="005138F6">
            <w:pPr>
              <w:pStyle w:val="Tablebody"/>
              <w:keepNext/>
              <w:jc w:val="left"/>
              <w:rPr>
                <w:lang w:val="en-US"/>
              </w:rPr>
            </w:pPr>
            <w:r w:rsidRPr="009D3012">
              <w:rPr>
                <w:lang w:val="en-US"/>
              </w:rPr>
              <w:t>Minimum bottom reinforcement at inner supports taking account of unforeseen effects at supports</w:t>
            </w:r>
          </w:p>
        </w:tc>
        <w:tc>
          <w:tcPr>
            <w:tcW w:w="992" w:type="dxa"/>
            <w:vAlign w:val="center"/>
          </w:tcPr>
          <w:p w14:paraId="5BE7AEE9" w14:textId="786F0FB6" w:rsidR="004E22C1" w:rsidRPr="009D3012" w:rsidRDefault="005138F6" w:rsidP="005138F6">
            <w:pPr>
              <w:pStyle w:val="Tablebody"/>
              <w:keepNext/>
              <w:jc w:val="left"/>
              <w:rPr>
                <w:lang w:val="en-US" w:eastAsia="de-DE"/>
              </w:rPr>
            </w:pPr>
            <w:r w:rsidRPr="009D3012">
              <w:rPr>
                <w:lang w:val="en-US" w:eastAsia="de-DE"/>
              </w:rPr>
              <w:t> </w:t>
            </w:r>
          </w:p>
        </w:tc>
        <w:tc>
          <w:tcPr>
            <w:tcW w:w="2126" w:type="dxa"/>
            <w:vAlign w:val="center"/>
          </w:tcPr>
          <w:p w14:paraId="622E0964" w14:textId="77777777" w:rsidR="004E22C1" w:rsidRPr="001455DC" w:rsidRDefault="004E22C1" w:rsidP="005138F6">
            <w:pPr>
              <w:pStyle w:val="Tablebody"/>
              <w:keepNext/>
              <w:jc w:val="left"/>
            </w:pPr>
            <w:r w:rsidRPr="001455DC">
              <w:t xml:space="preserve">0,25 </w:t>
            </w:r>
            <w:r w:rsidRPr="001455DC">
              <w:rPr>
                <w:rStyle w:val="CCMCvariableitalic"/>
              </w:rPr>
              <w:t>A</w:t>
            </w:r>
            <w:r w:rsidRPr="001455DC">
              <w:rPr>
                <w:rStyle w:val="CCMCvariablesubscript"/>
              </w:rPr>
              <w:t>s,req</w:t>
            </w:r>
            <w:r w:rsidRPr="001455DC">
              <w:t xml:space="preserve"> </w:t>
            </w:r>
            <w:r w:rsidRPr="001455DC">
              <w:rPr>
                <w:rStyle w:val="CCMCvariablesubscript"/>
              </w:rPr>
              <w:t>span</w:t>
            </w:r>
          </w:p>
        </w:tc>
      </w:tr>
      <w:tr w:rsidR="004E22C1" w:rsidRPr="001455DC" w14:paraId="3D62A898" w14:textId="77777777" w:rsidTr="005138F6">
        <w:trPr>
          <w:cantSplit/>
        </w:trPr>
        <w:tc>
          <w:tcPr>
            <w:tcW w:w="421" w:type="dxa"/>
            <w:vAlign w:val="center"/>
          </w:tcPr>
          <w:p w14:paraId="651C1479" w14:textId="77777777" w:rsidR="004E22C1" w:rsidRPr="001455DC" w:rsidRDefault="004E22C1" w:rsidP="00F77658">
            <w:pPr>
              <w:pStyle w:val="Tablebody"/>
              <w:keepNext/>
              <w:jc w:val="center"/>
            </w:pPr>
            <w:r w:rsidRPr="001455DC">
              <w:t>4</w:t>
            </w:r>
          </w:p>
        </w:tc>
        <w:tc>
          <w:tcPr>
            <w:tcW w:w="5103" w:type="dxa"/>
            <w:vAlign w:val="center"/>
          </w:tcPr>
          <w:p w14:paraId="014A5860" w14:textId="6EB874B4" w:rsidR="004E22C1" w:rsidRPr="009D3012" w:rsidRDefault="004E22C1" w:rsidP="005138F6">
            <w:pPr>
              <w:pStyle w:val="Tablebody"/>
              <w:keepNext/>
              <w:jc w:val="left"/>
              <w:rPr>
                <w:lang w:val="en-US"/>
              </w:rPr>
            </w:pPr>
            <w:r w:rsidRPr="009D3012">
              <w:rPr>
                <w:lang w:val="en-US"/>
              </w:rPr>
              <w:t>Maximum longitudinal spacing of shear assemblies/stirrups</w:t>
            </w:r>
            <w:r w:rsidRPr="009D3012">
              <w:rPr>
                <w:rStyle w:val="CCMCvariablesuperscript"/>
                <w:lang w:val="en-US"/>
              </w:rPr>
              <w:t>a</w:t>
            </w:r>
          </w:p>
        </w:tc>
        <w:tc>
          <w:tcPr>
            <w:tcW w:w="992" w:type="dxa"/>
            <w:vAlign w:val="center"/>
          </w:tcPr>
          <w:p w14:paraId="1C2D1C5D" w14:textId="77777777" w:rsidR="004E22C1" w:rsidRPr="009D3012" w:rsidRDefault="004E22C1" w:rsidP="005138F6">
            <w:pPr>
              <w:pStyle w:val="Tablebody"/>
              <w:keepNext/>
              <w:jc w:val="left"/>
              <w:rPr>
                <w:rStyle w:val="CCMCvariablesubscript"/>
              </w:rPr>
            </w:pPr>
            <w:r w:rsidRPr="001455DC">
              <w:rPr>
                <w:rStyle w:val="CCMCvariableitalic"/>
              </w:rPr>
              <w:t>s</w:t>
            </w:r>
            <w:r w:rsidRPr="001455DC">
              <w:rPr>
                <w:rStyle w:val="CCMCvariablesubscript"/>
              </w:rPr>
              <w:t>max,l</w:t>
            </w:r>
          </w:p>
        </w:tc>
        <w:tc>
          <w:tcPr>
            <w:tcW w:w="2126" w:type="dxa"/>
            <w:vAlign w:val="center"/>
          </w:tcPr>
          <w:p w14:paraId="09A5EC30" w14:textId="0F93A980" w:rsidR="004E22C1" w:rsidRPr="009D3012" w:rsidRDefault="004E22C1" w:rsidP="005138F6">
            <w:pPr>
              <w:pStyle w:val="Tablebody"/>
              <w:keepNext/>
              <w:jc w:val="left"/>
              <w:rPr>
                <w:rStyle w:val="CCMCvariablesuperscript"/>
              </w:rPr>
            </w:pPr>
            <w:r w:rsidRPr="009D3012">
              <w:t>0,75d (1</w:t>
            </w:r>
            <w:r w:rsidR="00EC27D2" w:rsidRPr="001455DC">
              <w:rPr>
                <w:rFonts w:ascii="Cambria Math" w:hAnsi="Cambria Math"/>
              </w:rPr>
              <w:t> + </w:t>
            </w:r>
            <w:r w:rsidRPr="001455DC">
              <w:t>cot</w:t>
            </w:r>
            <w:r w:rsidRPr="001455DC">
              <w:rPr>
                <w:rStyle w:val="CCMCvariableitalic"/>
              </w:rPr>
              <w:t>α</w:t>
            </w:r>
            <w:r w:rsidRPr="001455DC">
              <w:t>)</w:t>
            </w:r>
          </w:p>
        </w:tc>
      </w:tr>
      <w:tr w:rsidR="004E22C1" w:rsidRPr="001455DC" w14:paraId="277AB7A7" w14:textId="77777777" w:rsidTr="005138F6">
        <w:trPr>
          <w:cantSplit/>
        </w:trPr>
        <w:tc>
          <w:tcPr>
            <w:tcW w:w="421" w:type="dxa"/>
            <w:vAlign w:val="center"/>
          </w:tcPr>
          <w:p w14:paraId="0CEAA56D" w14:textId="77777777" w:rsidR="004E22C1" w:rsidRPr="001455DC" w:rsidRDefault="004E22C1" w:rsidP="00F77658">
            <w:pPr>
              <w:pStyle w:val="Tablebody"/>
              <w:keepNext/>
              <w:jc w:val="center"/>
            </w:pPr>
            <w:r w:rsidRPr="001455DC">
              <w:t>5</w:t>
            </w:r>
          </w:p>
        </w:tc>
        <w:tc>
          <w:tcPr>
            <w:tcW w:w="5103" w:type="dxa"/>
            <w:vAlign w:val="center"/>
          </w:tcPr>
          <w:p w14:paraId="20D90C6F" w14:textId="0549950B" w:rsidR="004E22C1" w:rsidRPr="009D3012" w:rsidRDefault="004E22C1" w:rsidP="005138F6">
            <w:pPr>
              <w:pStyle w:val="Tablebody"/>
              <w:keepNext/>
              <w:jc w:val="left"/>
              <w:rPr>
                <w:lang w:val="en-US"/>
              </w:rPr>
            </w:pPr>
            <w:r w:rsidRPr="009D3012">
              <w:rPr>
                <w:lang w:val="en-US"/>
              </w:rPr>
              <w:t>Maximum longitudinal spacing of bent-up bars</w:t>
            </w:r>
            <w:r w:rsidRPr="009D3012">
              <w:rPr>
                <w:rStyle w:val="CCMCvariablesuperscript"/>
                <w:lang w:val="en-US"/>
              </w:rPr>
              <w:t>a</w:t>
            </w:r>
          </w:p>
        </w:tc>
        <w:tc>
          <w:tcPr>
            <w:tcW w:w="992" w:type="dxa"/>
            <w:vAlign w:val="center"/>
          </w:tcPr>
          <w:p w14:paraId="41BEBCE4" w14:textId="77777777" w:rsidR="004E22C1" w:rsidRPr="001455DC" w:rsidRDefault="004E22C1" w:rsidP="005138F6">
            <w:pPr>
              <w:pStyle w:val="Tablebody"/>
              <w:keepNext/>
              <w:jc w:val="left"/>
            </w:pPr>
            <w:r w:rsidRPr="001455DC">
              <w:rPr>
                <w:rStyle w:val="CCMCvariableitalic"/>
              </w:rPr>
              <w:t>s</w:t>
            </w:r>
            <w:r w:rsidRPr="001455DC">
              <w:rPr>
                <w:rStyle w:val="CCMCvariablesubscript"/>
              </w:rPr>
              <w:t>max,bu</w:t>
            </w:r>
          </w:p>
        </w:tc>
        <w:tc>
          <w:tcPr>
            <w:tcW w:w="2126" w:type="dxa"/>
            <w:vAlign w:val="center"/>
          </w:tcPr>
          <w:p w14:paraId="4D614401" w14:textId="06FE7534" w:rsidR="004E22C1" w:rsidRPr="001455DC" w:rsidRDefault="004E22C1" w:rsidP="005138F6">
            <w:pPr>
              <w:pStyle w:val="Tablebody"/>
              <w:keepNext/>
              <w:jc w:val="left"/>
            </w:pPr>
            <w:r w:rsidRPr="001455DC">
              <w:t>0,6</w:t>
            </w:r>
            <w:r w:rsidRPr="001455DC">
              <w:rPr>
                <w:rStyle w:val="CCMCvariableitalic"/>
              </w:rPr>
              <w:t>d</w:t>
            </w:r>
            <w:r w:rsidRPr="001455DC">
              <w:t xml:space="preserve"> (1</w:t>
            </w:r>
            <w:r w:rsidR="00EC27D2" w:rsidRPr="001455DC">
              <w:rPr>
                <w:rFonts w:ascii="Cambria Math" w:hAnsi="Cambria Math"/>
              </w:rPr>
              <w:t> + </w:t>
            </w:r>
            <w:r w:rsidRPr="001455DC">
              <w:t>cot</w:t>
            </w:r>
            <w:r w:rsidRPr="001455DC">
              <w:rPr>
                <w:rStyle w:val="CCMCvariableitalic"/>
              </w:rPr>
              <w:t>α</w:t>
            </w:r>
            <w:r w:rsidRPr="001455DC">
              <w:t>)</w:t>
            </w:r>
          </w:p>
        </w:tc>
      </w:tr>
      <w:tr w:rsidR="004E22C1" w:rsidRPr="001455DC" w14:paraId="3802FED8" w14:textId="77777777" w:rsidTr="005138F6">
        <w:trPr>
          <w:cantSplit/>
        </w:trPr>
        <w:tc>
          <w:tcPr>
            <w:tcW w:w="421" w:type="dxa"/>
            <w:vAlign w:val="center"/>
          </w:tcPr>
          <w:p w14:paraId="29E43A9D" w14:textId="77777777" w:rsidR="004E22C1" w:rsidRPr="001455DC" w:rsidRDefault="004E22C1" w:rsidP="00F77658">
            <w:pPr>
              <w:pStyle w:val="Tablebody"/>
              <w:keepNext/>
              <w:jc w:val="center"/>
            </w:pPr>
            <w:r w:rsidRPr="001455DC">
              <w:t>6</w:t>
            </w:r>
          </w:p>
        </w:tc>
        <w:tc>
          <w:tcPr>
            <w:tcW w:w="5103" w:type="dxa"/>
            <w:vAlign w:val="center"/>
          </w:tcPr>
          <w:p w14:paraId="33A974AC" w14:textId="35ED7EA5" w:rsidR="004E22C1" w:rsidRPr="009D3012" w:rsidRDefault="004E22C1" w:rsidP="005138F6">
            <w:pPr>
              <w:pStyle w:val="Tablebody"/>
              <w:keepNext/>
              <w:jc w:val="left"/>
              <w:rPr>
                <w:lang w:val="en-US"/>
              </w:rPr>
            </w:pPr>
            <w:r w:rsidRPr="009D3012">
              <w:rPr>
                <w:lang w:val="en-US"/>
              </w:rPr>
              <w:t>Maximum transverse spacing of shear legs</w:t>
            </w:r>
            <w:r w:rsidRPr="009D3012">
              <w:rPr>
                <w:rStyle w:val="CCMCvariablesuperscript"/>
                <w:lang w:val="en-US"/>
              </w:rPr>
              <w:t>a</w:t>
            </w:r>
          </w:p>
        </w:tc>
        <w:tc>
          <w:tcPr>
            <w:tcW w:w="992" w:type="dxa"/>
            <w:vAlign w:val="center"/>
          </w:tcPr>
          <w:p w14:paraId="06EDC9F2" w14:textId="77777777" w:rsidR="004E22C1" w:rsidRPr="001455DC" w:rsidRDefault="004E22C1" w:rsidP="005138F6">
            <w:pPr>
              <w:pStyle w:val="Tablebody"/>
              <w:keepNext/>
              <w:jc w:val="left"/>
            </w:pPr>
            <w:r w:rsidRPr="001455DC">
              <w:rPr>
                <w:rStyle w:val="CCMCvariableitalic"/>
              </w:rPr>
              <w:t>s</w:t>
            </w:r>
            <w:r w:rsidRPr="001455DC">
              <w:rPr>
                <w:rStyle w:val="CCMCvariablesubscript"/>
              </w:rPr>
              <w:t>max,tr</w:t>
            </w:r>
          </w:p>
        </w:tc>
        <w:tc>
          <w:tcPr>
            <w:tcW w:w="2126" w:type="dxa"/>
            <w:vAlign w:val="center"/>
          </w:tcPr>
          <w:p w14:paraId="6B690C1F" w14:textId="78E2F8B3" w:rsidR="004E22C1" w:rsidRPr="001455DC" w:rsidRDefault="004E22C1" w:rsidP="005138F6">
            <w:pPr>
              <w:pStyle w:val="Tablebody"/>
              <w:keepNext/>
              <w:jc w:val="left"/>
            </w:pPr>
            <w:r w:rsidRPr="001455DC">
              <w:t>0,75</w:t>
            </w:r>
            <w:r w:rsidRPr="001455DC">
              <w:rPr>
                <w:rStyle w:val="CCMCvariableitalic"/>
              </w:rPr>
              <w:t>d</w:t>
            </w:r>
            <w:r w:rsidRPr="001455DC">
              <w:t> </w:t>
            </w:r>
            <w:r w:rsidR="00650035" w:rsidRPr="001455DC">
              <w:rPr>
                <w:rFonts w:ascii="Cambria Math" w:hAnsi="Cambria Math"/>
              </w:rPr>
              <w:t>≤</w:t>
            </w:r>
            <w:r w:rsidRPr="001455DC">
              <w:t> 600 mm</w:t>
            </w:r>
          </w:p>
        </w:tc>
      </w:tr>
      <w:tr w:rsidR="004E22C1" w:rsidRPr="001455DC" w14:paraId="3D1E8E73" w14:textId="77777777" w:rsidTr="005138F6">
        <w:trPr>
          <w:cantSplit/>
        </w:trPr>
        <w:tc>
          <w:tcPr>
            <w:tcW w:w="421" w:type="dxa"/>
            <w:vAlign w:val="center"/>
          </w:tcPr>
          <w:p w14:paraId="65F7686D" w14:textId="77777777" w:rsidR="004E22C1" w:rsidRPr="001455DC" w:rsidRDefault="004E22C1" w:rsidP="00F77658">
            <w:pPr>
              <w:pStyle w:val="Tablebody"/>
              <w:keepNext/>
              <w:jc w:val="center"/>
            </w:pPr>
            <w:r w:rsidRPr="001455DC">
              <w:t>7</w:t>
            </w:r>
          </w:p>
        </w:tc>
        <w:tc>
          <w:tcPr>
            <w:tcW w:w="5103" w:type="dxa"/>
            <w:vAlign w:val="center"/>
          </w:tcPr>
          <w:p w14:paraId="5F6E1422" w14:textId="77777777" w:rsidR="004E22C1" w:rsidRPr="009D3012" w:rsidRDefault="004E22C1" w:rsidP="005138F6">
            <w:pPr>
              <w:pStyle w:val="Tablebody"/>
              <w:keepNext/>
              <w:jc w:val="left"/>
              <w:rPr>
                <w:lang w:val="en-US"/>
              </w:rPr>
            </w:pPr>
            <w:r w:rsidRPr="009D3012">
              <w:rPr>
                <w:lang w:val="en-US"/>
              </w:rPr>
              <w:t>Minimum ratio of shear reinforcement in the form of stirrups with respect to the required reinforcement ratio (taking account of unforeseen effect’s e.g. compatibility torsion)</w:t>
            </w:r>
          </w:p>
        </w:tc>
        <w:tc>
          <w:tcPr>
            <w:tcW w:w="992" w:type="dxa"/>
            <w:vAlign w:val="center"/>
          </w:tcPr>
          <w:p w14:paraId="1D0743D4" w14:textId="77777777" w:rsidR="004E22C1" w:rsidRPr="001455DC" w:rsidRDefault="004E22C1" w:rsidP="005138F6">
            <w:pPr>
              <w:pStyle w:val="Tablebody"/>
              <w:keepNext/>
              <w:jc w:val="left"/>
              <w:rPr>
                <w:lang w:eastAsia="de-DE"/>
              </w:rPr>
            </w:pPr>
            <w:r w:rsidRPr="001455DC">
              <w:rPr>
                <w:rStyle w:val="CCMCvariableitalic"/>
              </w:rPr>
              <w:t>ρ</w:t>
            </w:r>
            <w:r w:rsidRPr="001455DC">
              <w:rPr>
                <w:rStyle w:val="CCMCvariablesubscript"/>
              </w:rPr>
              <w:t>w,stir</w:t>
            </w:r>
          </w:p>
        </w:tc>
        <w:tc>
          <w:tcPr>
            <w:tcW w:w="2126" w:type="dxa"/>
            <w:vAlign w:val="center"/>
          </w:tcPr>
          <w:p w14:paraId="3AC1EFF0" w14:textId="52580EDA" w:rsidR="004E22C1" w:rsidRPr="009D3012" w:rsidRDefault="00650035" w:rsidP="005138F6">
            <w:pPr>
              <w:pStyle w:val="Tablebody"/>
              <w:keepNext/>
              <w:jc w:val="left"/>
              <w:rPr>
                <w:rStyle w:val="CCMCvariableitalic"/>
              </w:rPr>
            </w:pPr>
            <w:r w:rsidRPr="009D3012">
              <w:rPr>
                <w:rFonts w:ascii="Cambria Math" w:hAnsi="Cambria Math"/>
              </w:rPr>
              <w:t>≥</w:t>
            </w:r>
            <w:r w:rsidR="00073FC6" w:rsidRPr="001455DC">
              <w:t> </w:t>
            </w:r>
            <w:r w:rsidR="004E22C1" w:rsidRPr="001455DC">
              <w:t>0,5</w:t>
            </w:r>
            <w:r w:rsidR="004E22C1" w:rsidRPr="001455DC">
              <w:rPr>
                <w:rStyle w:val="CCMCvariableitalic"/>
              </w:rPr>
              <w:t>ρ</w:t>
            </w:r>
            <w:r w:rsidR="004E22C1" w:rsidRPr="001455DC">
              <w:rPr>
                <w:rStyle w:val="CCMCvariablesubscript"/>
              </w:rPr>
              <w:t>w,req</w:t>
            </w:r>
          </w:p>
        </w:tc>
      </w:tr>
      <w:tr w:rsidR="004E22C1" w:rsidRPr="001455DC" w14:paraId="4F4B2BF1" w14:textId="77777777" w:rsidTr="005138F6">
        <w:trPr>
          <w:cantSplit/>
        </w:trPr>
        <w:tc>
          <w:tcPr>
            <w:tcW w:w="421" w:type="dxa"/>
            <w:vAlign w:val="center"/>
          </w:tcPr>
          <w:p w14:paraId="5D619072" w14:textId="77777777" w:rsidR="004E22C1" w:rsidRPr="001455DC" w:rsidRDefault="004E22C1" w:rsidP="00F77658">
            <w:pPr>
              <w:pStyle w:val="Tablebody"/>
              <w:keepNext/>
              <w:jc w:val="center"/>
            </w:pPr>
            <w:r w:rsidRPr="001455DC">
              <w:t>8</w:t>
            </w:r>
          </w:p>
        </w:tc>
        <w:tc>
          <w:tcPr>
            <w:tcW w:w="5103" w:type="dxa"/>
            <w:vAlign w:val="center"/>
          </w:tcPr>
          <w:p w14:paraId="02EF4121" w14:textId="77777777" w:rsidR="004E22C1" w:rsidRPr="009D3012" w:rsidRDefault="004E22C1" w:rsidP="005138F6">
            <w:pPr>
              <w:pStyle w:val="Tablebody"/>
              <w:keepNext/>
              <w:jc w:val="left"/>
              <w:rPr>
                <w:lang w:val="en-US"/>
              </w:rPr>
            </w:pPr>
            <w:r w:rsidRPr="009D3012">
              <w:rPr>
                <w:lang w:val="en-US"/>
              </w:rPr>
              <w:t>Minimum ratio of torsion reinforcement in the form of closed stirrups with respect to the required reinforcement ratio</w:t>
            </w:r>
          </w:p>
        </w:tc>
        <w:tc>
          <w:tcPr>
            <w:tcW w:w="992" w:type="dxa"/>
            <w:vAlign w:val="center"/>
          </w:tcPr>
          <w:p w14:paraId="2FA24F0E" w14:textId="77777777" w:rsidR="004E22C1" w:rsidRPr="001455DC" w:rsidRDefault="004E22C1" w:rsidP="005138F6">
            <w:pPr>
              <w:pStyle w:val="Tablebody"/>
              <w:keepNext/>
              <w:jc w:val="left"/>
              <w:rPr>
                <w:lang w:eastAsia="de-DE"/>
              </w:rPr>
            </w:pPr>
            <w:r w:rsidRPr="001455DC">
              <w:rPr>
                <w:rStyle w:val="CCMCvariableitalic"/>
              </w:rPr>
              <w:t>ρ</w:t>
            </w:r>
            <w:r w:rsidRPr="001455DC">
              <w:rPr>
                <w:rStyle w:val="CCMCvariablesubscript"/>
              </w:rPr>
              <w:t>w,stir</w:t>
            </w:r>
          </w:p>
        </w:tc>
        <w:tc>
          <w:tcPr>
            <w:tcW w:w="2126" w:type="dxa"/>
            <w:vAlign w:val="center"/>
          </w:tcPr>
          <w:p w14:paraId="00BF8B2F" w14:textId="56A94722" w:rsidR="004E22C1" w:rsidRPr="009D3012" w:rsidRDefault="00650035" w:rsidP="005138F6">
            <w:pPr>
              <w:pStyle w:val="Tablebody"/>
              <w:keepNext/>
              <w:jc w:val="left"/>
              <w:rPr>
                <w:rStyle w:val="CCMCvariableitalic"/>
              </w:rPr>
            </w:pPr>
            <w:r w:rsidRPr="009D3012">
              <w:rPr>
                <w:rFonts w:ascii="Cambria Math" w:hAnsi="Cambria Math"/>
              </w:rPr>
              <w:t>≥</w:t>
            </w:r>
            <w:r w:rsidR="00073FC6" w:rsidRPr="001455DC">
              <w:t> </w:t>
            </w:r>
            <w:r w:rsidR="004E22C1" w:rsidRPr="001455DC">
              <w:t>0,2</w:t>
            </w:r>
            <w:r w:rsidR="004E22C1" w:rsidRPr="001455DC">
              <w:rPr>
                <w:rStyle w:val="CCMCvariableitalic"/>
              </w:rPr>
              <w:t>ρ</w:t>
            </w:r>
            <w:r w:rsidR="004E22C1" w:rsidRPr="001455DC">
              <w:rPr>
                <w:rStyle w:val="CCMCvariablesubscript"/>
              </w:rPr>
              <w:t>w,req</w:t>
            </w:r>
          </w:p>
        </w:tc>
      </w:tr>
      <w:tr w:rsidR="004E22C1" w:rsidRPr="001455DC" w14:paraId="2CCA00A0" w14:textId="77777777" w:rsidTr="005138F6">
        <w:trPr>
          <w:cantSplit/>
        </w:trPr>
        <w:tc>
          <w:tcPr>
            <w:tcW w:w="421" w:type="dxa"/>
            <w:vAlign w:val="center"/>
          </w:tcPr>
          <w:p w14:paraId="11E19A4A" w14:textId="77777777" w:rsidR="004E22C1" w:rsidRPr="001455DC" w:rsidRDefault="004E22C1" w:rsidP="00F77658">
            <w:pPr>
              <w:pStyle w:val="Tablebody"/>
              <w:keepNext/>
              <w:jc w:val="center"/>
            </w:pPr>
            <w:r w:rsidRPr="001455DC">
              <w:t>9</w:t>
            </w:r>
          </w:p>
        </w:tc>
        <w:tc>
          <w:tcPr>
            <w:tcW w:w="5103" w:type="dxa"/>
            <w:vAlign w:val="center"/>
          </w:tcPr>
          <w:p w14:paraId="16E8D0BE" w14:textId="5028B1B0" w:rsidR="004E22C1" w:rsidRPr="009D3012" w:rsidRDefault="004E22C1" w:rsidP="005138F6">
            <w:pPr>
              <w:pStyle w:val="Tablebody"/>
              <w:keepNext/>
              <w:jc w:val="left"/>
              <w:rPr>
                <w:lang w:val="en-US"/>
              </w:rPr>
            </w:pPr>
            <w:r w:rsidRPr="009D3012">
              <w:rPr>
                <w:lang w:val="en-US"/>
              </w:rPr>
              <w:t>Maximum spacing for torsion assemblies/stirrups (</w:t>
            </w:r>
            <w:r w:rsidRPr="009D3012">
              <w:rPr>
                <w:rStyle w:val="CCMCvariableitalic"/>
                <w:lang w:val="en-US"/>
              </w:rPr>
              <w:t>u</w:t>
            </w:r>
            <w:r w:rsidRPr="009D3012">
              <w:rPr>
                <w:lang w:val="en-US"/>
              </w:rPr>
              <w:t> defined in 8.3.2(2)).</w:t>
            </w:r>
          </w:p>
        </w:tc>
        <w:tc>
          <w:tcPr>
            <w:tcW w:w="992" w:type="dxa"/>
            <w:vAlign w:val="center"/>
          </w:tcPr>
          <w:p w14:paraId="7C9CC3EA" w14:textId="77777777" w:rsidR="004E22C1" w:rsidRPr="001455DC" w:rsidRDefault="004E22C1" w:rsidP="005138F6">
            <w:pPr>
              <w:pStyle w:val="Tablebody"/>
              <w:keepNext/>
              <w:jc w:val="left"/>
              <w:rPr>
                <w:lang w:eastAsia="de-DE"/>
              </w:rPr>
            </w:pPr>
            <w:r w:rsidRPr="001455DC">
              <w:rPr>
                <w:rStyle w:val="CCMCvariableitalic"/>
              </w:rPr>
              <w:t>s</w:t>
            </w:r>
            <w:r w:rsidRPr="001455DC">
              <w:rPr>
                <w:rStyle w:val="CCMCvariablesubscript"/>
              </w:rPr>
              <w:t>max,stir</w:t>
            </w:r>
          </w:p>
        </w:tc>
        <w:tc>
          <w:tcPr>
            <w:tcW w:w="2126" w:type="dxa"/>
            <w:vAlign w:val="center"/>
          </w:tcPr>
          <w:p w14:paraId="2514DF5F" w14:textId="63549D63" w:rsidR="004E22C1" w:rsidRPr="001455DC" w:rsidRDefault="004E22C1" w:rsidP="005138F6">
            <w:pPr>
              <w:pStyle w:val="Tablebody"/>
              <w:keepNext/>
              <w:jc w:val="left"/>
            </w:pPr>
            <w:r w:rsidRPr="001455DC">
              <w:rPr>
                <w:rStyle w:val="CCMCvariableitalic"/>
              </w:rPr>
              <w:t>u</w:t>
            </w:r>
            <w:r w:rsidRPr="001455DC">
              <w:t>/8 </w:t>
            </w:r>
            <w:r w:rsidR="00650035" w:rsidRPr="001455DC">
              <w:rPr>
                <w:rFonts w:ascii="Cambria Math" w:hAnsi="Cambria Math"/>
              </w:rPr>
              <w:t>≤</w:t>
            </w:r>
            <w:r w:rsidRPr="001455DC">
              <w:t> min{</w:t>
            </w:r>
            <w:r w:rsidRPr="001455DC">
              <w:rPr>
                <w:rStyle w:val="CCMCvariableitalic"/>
              </w:rPr>
              <w:t>b</w:t>
            </w:r>
            <w:r w:rsidRPr="001455DC">
              <w:t xml:space="preserve">; </w:t>
            </w:r>
            <w:r w:rsidRPr="001455DC">
              <w:rPr>
                <w:rStyle w:val="CCMCvariableitalic"/>
              </w:rPr>
              <w:t>h</w:t>
            </w:r>
            <w:r w:rsidRPr="001455DC">
              <w:t>}</w:t>
            </w:r>
          </w:p>
        </w:tc>
      </w:tr>
      <w:tr w:rsidR="004E22C1" w:rsidRPr="001455DC" w14:paraId="2768890F" w14:textId="77777777" w:rsidTr="005138F6">
        <w:trPr>
          <w:cantSplit/>
        </w:trPr>
        <w:tc>
          <w:tcPr>
            <w:tcW w:w="421" w:type="dxa"/>
            <w:vAlign w:val="center"/>
          </w:tcPr>
          <w:p w14:paraId="5C86CE0B" w14:textId="77777777" w:rsidR="004E22C1" w:rsidRPr="001455DC" w:rsidRDefault="004E22C1" w:rsidP="00F77658">
            <w:pPr>
              <w:pStyle w:val="Tablebody"/>
              <w:keepNext/>
              <w:jc w:val="center"/>
            </w:pPr>
            <w:r w:rsidRPr="001455DC">
              <w:t>10</w:t>
            </w:r>
          </w:p>
        </w:tc>
        <w:tc>
          <w:tcPr>
            <w:tcW w:w="5103" w:type="dxa"/>
            <w:vAlign w:val="center"/>
          </w:tcPr>
          <w:p w14:paraId="3A9B669F" w14:textId="17885619" w:rsidR="004E22C1" w:rsidRPr="009D3012" w:rsidRDefault="004E22C1" w:rsidP="005138F6">
            <w:pPr>
              <w:pStyle w:val="Tablebody"/>
              <w:keepNext/>
              <w:jc w:val="left"/>
              <w:rPr>
                <w:lang w:val="en-US"/>
              </w:rPr>
            </w:pPr>
            <w:r w:rsidRPr="009D3012">
              <w:rPr>
                <w:lang w:val="en-US"/>
              </w:rPr>
              <w:t>Minimum area and spacing of longitudinal surface reinforcement in beams with downstand </w:t>
            </w:r>
            <w:r w:rsidR="00650035" w:rsidRPr="009D3012">
              <w:rPr>
                <w:rFonts w:ascii="Cambria Math" w:hAnsi="Cambria Math"/>
                <w:lang w:val="en-US"/>
              </w:rPr>
              <w:t>≥</w:t>
            </w:r>
            <w:r w:rsidR="00073FC6" w:rsidRPr="009D3012">
              <w:rPr>
                <w:lang w:val="en-US"/>
              </w:rPr>
              <w:t> </w:t>
            </w:r>
            <w:r w:rsidRPr="009D3012">
              <w:rPr>
                <w:lang w:val="en-US"/>
              </w:rPr>
              <w:t>600 mm to avoid coarse cracks in SLS.</w:t>
            </w:r>
          </w:p>
        </w:tc>
        <w:tc>
          <w:tcPr>
            <w:tcW w:w="992" w:type="dxa"/>
            <w:vAlign w:val="center"/>
          </w:tcPr>
          <w:p w14:paraId="76BCA771" w14:textId="77777777" w:rsidR="004E22C1" w:rsidRPr="009D3012" w:rsidRDefault="004E22C1" w:rsidP="005138F6">
            <w:pPr>
              <w:pStyle w:val="Tablebody"/>
              <w:keepNext/>
              <w:jc w:val="left"/>
              <w:rPr>
                <w:rStyle w:val="CCMCvariablesubscript"/>
                <w:lang w:val="en-US"/>
              </w:rPr>
            </w:pPr>
            <w:r w:rsidRPr="009D3012">
              <w:rPr>
                <w:rStyle w:val="CCMCvariableitalic"/>
                <w:lang w:val="en-US"/>
              </w:rPr>
              <w:t>A</w:t>
            </w:r>
            <w:r w:rsidRPr="009D3012">
              <w:rPr>
                <w:rStyle w:val="CCMCvariablesubscript"/>
                <w:lang w:val="en-US"/>
              </w:rPr>
              <w:t>s,web</w:t>
            </w:r>
          </w:p>
          <w:p w14:paraId="3E709768" w14:textId="77777777" w:rsidR="004E22C1" w:rsidRPr="009D3012" w:rsidRDefault="004E22C1" w:rsidP="005138F6">
            <w:pPr>
              <w:pStyle w:val="Tablebody"/>
              <w:keepNext/>
              <w:jc w:val="left"/>
              <w:rPr>
                <w:rStyle w:val="CCMCvariableitalic"/>
                <w:lang w:val="en-US"/>
              </w:rPr>
            </w:pPr>
            <w:r w:rsidRPr="009D3012">
              <w:rPr>
                <w:rStyle w:val="CCMCvariableitalic"/>
                <w:lang w:val="en-US"/>
              </w:rPr>
              <w:t>s</w:t>
            </w:r>
            <w:r w:rsidRPr="009D3012">
              <w:rPr>
                <w:rStyle w:val="CCMCvariablesubscript"/>
                <w:lang w:val="en-US"/>
              </w:rPr>
              <w:t>max,l,surf</w:t>
            </w:r>
          </w:p>
        </w:tc>
        <w:tc>
          <w:tcPr>
            <w:tcW w:w="2126" w:type="dxa"/>
            <w:vAlign w:val="center"/>
          </w:tcPr>
          <w:p w14:paraId="006D4647" w14:textId="77777777" w:rsidR="004E22C1" w:rsidRPr="009D3012" w:rsidRDefault="004E22C1" w:rsidP="005138F6">
            <w:pPr>
              <w:pStyle w:val="Tablebody"/>
              <w:keepNext/>
              <w:jc w:val="left"/>
            </w:pPr>
            <w:r w:rsidRPr="009D3012">
              <w:t>9.2.2(6)</w:t>
            </w:r>
          </w:p>
          <w:p w14:paraId="7B2DCEEE" w14:textId="77777777" w:rsidR="004E22C1" w:rsidRPr="001455DC" w:rsidRDefault="004E22C1" w:rsidP="005138F6">
            <w:pPr>
              <w:pStyle w:val="Tablebody"/>
              <w:keepNext/>
              <w:jc w:val="left"/>
            </w:pPr>
            <w:r w:rsidRPr="001455DC">
              <w:t>300 mm</w:t>
            </w:r>
          </w:p>
        </w:tc>
      </w:tr>
      <w:tr w:rsidR="004E22C1" w:rsidRPr="001455DC" w14:paraId="6546760C" w14:textId="77777777" w:rsidTr="005138F6">
        <w:trPr>
          <w:cantSplit/>
        </w:trPr>
        <w:tc>
          <w:tcPr>
            <w:tcW w:w="421" w:type="dxa"/>
            <w:vAlign w:val="center"/>
          </w:tcPr>
          <w:p w14:paraId="705EC88E" w14:textId="77777777" w:rsidR="004E22C1" w:rsidRPr="001455DC" w:rsidRDefault="004E22C1" w:rsidP="00F77658">
            <w:pPr>
              <w:pStyle w:val="Tablebody"/>
              <w:keepNext/>
              <w:jc w:val="center"/>
            </w:pPr>
            <w:r w:rsidRPr="001455DC">
              <w:t>11</w:t>
            </w:r>
          </w:p>
        </w:tc>
        <w:tc>
          <w:tcPr>
            <w:tcW w:w="5103" w:type="dxa"/>
            <w:vAlign w:val="center"/>
          </w:tcPr>
          <w:p w14:paraId="7F40F40E" w14:textId="77777777" w:rsidR="004E22C1" w:rsidRPr="009D3012" w:rsidRDefault="004E22C1" w:rsidP="005138F6">
            <w:pPr>
              <w:pStyle w:val="Tablebody"/>
              <w:keepNext/>
              <w:jc w:val="left"/>
              <w:rPr>
                <w:lang w:val="en-US"/>
              </w:rPr>
            </w:pPr>
            <w:r w:rsidRPr="009D3012">
              <w:rPr>
                <w:lang w:val="en-US"/>
              </w:rPr>
              <w:t>Minimum transverse reinforcement in flanges (those part of flanges where tension in the transverse direction may occur)</w:t>
            </w:r>
          </w:p>
        </w:tc>
        <w:tc>
          <w:tcPr>
            <w:tcW w:w="992" w:type="dxa"/>
            <w:vAlign w:val="center"/>
          </w:tcPr>
          <w:p w14:paraId="79DFC2AE" w14:textId="77777777" w:rsidR="004E22C1" w:rsidRPr="009D3012" w:rsidRDefault="004E22C1" w:rsidP="005138F6">
            <w:pPr>
              <w:pStyle w:val="Tablebody"/>
              <w:keepNext/>
              <w:jc w:val="left"/>
              <w:rPr>
                <w:rStyle w:val="CCMCvariableitalic"/>
              </w:rPr>
            </w:pPr>
            <w:r w:rsidRPr="001455DC">
              <w:rPr>
                <w:rStyle w:val="CCMCvariableitalic"/>
              </w:rPr>
              <w:t>A</w:t>
            </w:r>
            <w:r w:rsidRPr="001455DC">
              <w:rPr>
                <w:rStyle w:val="CCMCvariablesubscript"/>
              </w:rPr>
              <w:t>st,min</w:t>
            </w:r>
          </w:p>
        </w:tc>
        <w:tc>
          <w:tcPr>
            <w:tcW w:w="2126" w:type="dxa"/>
            <w:vAlign w:val="center"/>
          </w:tcPr>
          <w:p w14:paraId="183C8852" w14:textId="77777777" w:rsidR="004E22C1" w:rsidRPr="001455DC" w:rsidRDefault="004E22C1" w:rsidP="005138F6">
            <w:pPr>
              <w:pStyle w:val="Tablebody"/>
              <w:keepNext/>
              <w:jc w:val="left"/>
            </w:pPr>
            <w:r w:rsidRPr="001455DC">
              <w:t>12.2(2) see 8.2.5, Figure 8.13</w:t>
            </w:r>
          </w:p>
        </w:tc>
      </w:tr>
      <w:tr w:rsidR="004E22C1" w:rsidRPr="001455DC" w14:paraId="3235EAC6" w14:textId="77777777" w:rsidTr="005138F6">
        <w:trPr>
          <w:cnfStyle w:val="010000000000" w:firstRow="0" w:lastRow="1" w:firstColumn="0" w:lastColumn="0" w:oddVBand="0" w:evenVBand="0" w:oddHBand="0" w:evenHBand="0" w:firstRowFirstColumn="0" w:firstRowLastColumn="0" w:lastRowFirstColumn="0" w:lastRowLastColumn="0"/>
          <w:cantSplit/>
        </w:trPr>
        <w:tc>
          <w:tcPr>
            <w:tcW w:w="8642" w:type="dxa"/>
            <w:gridSpan w:val="4"/>
          </w:tcPr>
          <w:p w14:paraId="5B2B9668" w14:textId="5B23688F" w:rsidR="004E22C1" w:rsidRPr="009D3012" w:rsidRDefault="004E22C1" w:rsidP="00817FE4">
            <w:pPr>
              <w:pStyle w:val="Tablefooter"/>
              <w:rPr>
                <w:strike/>
                <w:lang w:val="en-US"/>
              </w:rPr>
            </w:pPr>
            <w:r w:rsidRPr="009D3012">
              <w:rPr>
                <w:rStyle w:val="CCMCvariablesuperscript"/>
                <w:lang w:val="en-US"/>
              </w:rPr>
              <w:t>a</w:t>
            </w:r>
            <w:r w:rsidR="005138F6" w:rsidRPr="009D3012">
              <w:rPr>
                <w:lang w:val="en-US"/>
              </w:rPr>
              <w:tab/>
            </w:r>
            <w:r w:rsidRPr="009D3012">
              <w:rPr>
                <w:lang w:val="en-US"/>
              </w:rPr>
              <w:t>These spacings are consistent with the shear model in 8.2.3. Where alternative models are used alternative spacings may be required.</w:t>
            </w:r>
          </w:p>
        </w:tc>
      </w:tr>
    </w:tbl>
    <w:p w14:paraId="597C8359" w14:textId="77777777" w:rsidR="004E22C1" w:rsidRPr="001455DC" w:rsidRDefault="004E22C1" w:rsidP="005138F6">
      <w:pPr>
        <w:pStyle w:val="a7"/>
      </w:pPr>
    </w:p>
    <w:p w14:paraId="18C7C9DF" w14:textId="57BAAA2F" w:rsidR="004E22C1" w:rsidRPr="001455DC" w:rsidRDefault="004E22C1" w:rsidP="00243590">
      <w:pPr>
        <w:pStyle w:val="31"/>
      </w:pPr>
      <w:bookmarkStart w:id="913" w:name="_Toc52820058"/>
      <w:bookmarkStart w:id="914" w:name="_Toc54337460"/>
      <w:bookmarkStart w:id="915" w:name="_Toc54338114"/>
      <w:bookmarkStart w:id="916" w:name="_Toc67565458"/>
      <w:r w:rsidRPr="001455DC">
        <w:t>Longitudinal reinforcement</w:t>
      </w:r>
      <w:bookmarkEnd w:id="913"/>
      <w:bookmarkEnd w:id="914"/>
      <w:bookmarkEnd w:id="915"/>
      <w:bookmarkEnd w:id="916"/>
    </w:p>
    <w:p w14:paraId="43983000" w14:textId="456780D1" w:rsidR="004E22C1" w:rsidRPr="001455DC" w:rsidRDefault="004E22C1" w:rsidP="005138F6">
      <w:pPr>
        <w:pStyle w:val="a7"/>
        <w:rPr>
          <w:lang w:eastAsia="de-AT"/>
        </w:rPr>
      </w:pPr>
      <w:r w:rsidRPr="001455DC">
        <w:t>(1)</w:t>
      </w:r>
      <w:r w:rsidRPr="001455DC">
        <w:tab/>
        <w:t xml:space="preserve">Sufficient reinforcement should be provided at all sections to resist the envelope of the acting tensile force, including the effect of shear in webs and flanges and to </w:t>
      </w:r>
      <w:r w:rsidR="00C167D2" w:rsidRPr="001455DC">
        <w:t>fulfil</w:t>
      </w:r>
      <w:r w:rsidRPr="001455DC">
        <w:t xml:space="preserve"> the minimum reinforcement requirements.</w:t>
      </w:r>
    </w:p>
    <w:p w14:paraId="40764E7C" w14:textId="77777777" w:rsidR="004E22C1" w:rsidRPr="001455DC" w:rsidRDefault="004E22C1" w:rsidP="005138F6">
      <w:pPr>
        <w:pStyle w:val="a7"/>
      </w:pPr>
      <w:r w:rsidRPr="001455DC">
        <w:rPr>
          <w:lang w:eastAsia="de-AT"/>
        </w:rPr>
        <w:t>(2)</w:t>
      </w:r>
      <w:r w:rsidRPr="001455DC">
        <w:rPr>
          <w:lang w:eastAsia="de-AT"/>
        </w:rPr>
        <w:tab/>
      </w:r>
      <w:r w:rsidRPr="001455DC">
        <w:t xml:space="preserve">For members with shear reinforcement, the additional tensile force due to shear, </w:t>
      </w:r>
      <w:r w:rsidRPr="001455DC">
        <w:rPr>
          <w:rStyle w:val="CCMCvariableitalic"/>
        </w:rPr>
        <w:t>N</w:t>
      </w:r>
      <w:r w:rsidRPr="001455DC">
        <w:rPr>
          <w:rStyle w:val="CCMCvariablesubscript"/>
        </w:rPr>
        <w:t>vd</w:t>
      </w:r>
      <w:r w:rsidRPr="001455DC">
        <w:t>, according to 8.2.3 (8) should be considered.</w:t>
      </w:r>
    </w:p>
    <w:p w14:paraId="15ADC6C3" w14:textId="71A84FB9" w:rsidR="004E22C1" w:rsidRPr="001455DC" w:rsidRDefault="004E22C1" w:rsidP="00E844D2">
      <w:pPr>
        <w:pStyle w:val="a7"/>
        <w:keepNext/>
      </w:pPr>
      <w:r w:rsidRPr="001455DC">
        <w:t>Alternatively</w:t>
      </w:r>
      <w:r w:rsidR="00243590">
        <w:t>,</w:t>
      </w:r>
      <w:r w:rsidRPr="001455DC">
        <w:t xml:space="preserve"> for members with constant depth, the moment curve should be shifted at a distance </w:t>
      </w:r>
      <w:r w:rsidRPr="001455DC">
        <w:rPr>
          <w:rStyle w:val="CCMCvariableitalic"/>
        </w:rPr>
        <w:t>a</w:t>
      </w:r>
      <w:r w:rsidRPr="001455DC">
        <w:rPr>
          <w:rStyle w:val="CCMCvariablesubscript"/>
        </w:rPr>
        <w:t>l</w:t>
      </w:r>
      <w:r w:rsidRPr="001455DC">
        <w:t xml:space="preserve"> according to:</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5138F6" w:rsidRPr="001455DC" w14:paraId="1015EE0C" w14:textId="77777777" w:rsidTr="00BE71AF">
        <w:trPr>
          <w:cantSplit/>
        </w:trPr>
        <w:tc>
          <w:tcPr>
            <w:tcW w:w="8505" w:type="dxa"/>
            <w:vAlign w:val="center"/>
          </w:tcPr>
          <w:p w14:paraId="2DAD5263" w14:textId="461BC535" w:rsidR="005138F6" w:rsidRPr="001455DC" w:rsidRDefault="005138F6" w:rsidP="00BE71AF">
            <w:pPr>
              <w:pStyle w:val="Formula"/>
              <w:jc w:val="left"/>
            </w:pPr>
            <w:r w:rsidRPr="001455DC">
              <w:rPr>
                <w:rStyle w:val="CCMCvariableitalic"/>
              </w:rPr>
              <w:t>a</w:t>
            </w:r>
            <w:r w:rsidRPr="001455DC">
              <w:rPr>
                <w:rStyle w:val="CCMCvariablesubscript"/>
              </w:rPr>
              <w:t>l</w:t>
            </w:r>
            <w:r w:rsidRPr="001455DC">
              <w:t> </w:t>
            </w:r>
            <w:r w:rsidR="00EC27D2" w:rsidRPr="001455DC">
              <w:rPr>
                <w:rFonts w:ascii="Cambria Math" w:hAnsi="Cambria Math"/>
              </w:rPr>
              <w:t>=</w:t>
            </w:r>
            <w:r w:rsidRPr="001455DC">
              <w:t> </w:t>
            </w:r>
            <w:r w:rsidRPr="001455DC">
              <w:rPr>
                <w:rStyle w:val="CCMCvariableitalic"/>
              </w:rPr>
              <w:t>z</w:t>
            </w:r>
            <w:r w:rsidRPr="001455DC">
              <w:rPr>
                <w:szCs w:val="19"/>
              </w:rPr>
              <w:t xml:space="preserve"> (cot</w:t>
            </w:r>
            <w:r w:rsidRPr="001455DC">
              <w:rPr>
                <w:rStyle w:val="CCMCvariableitalic"/>
              </w:rPr>
              <w:t>θ</w:t>
            </w:r>
            <w:r w:rsidRPr="001455DC">
              <w:rPr>
                <w:szCs w:val="19"/>
              </w:rPr>
              <w:t> </w:t>
            </w:r>
            <w:r w:rsidR="00EC27D2" w:rsidRPr="001455DC">
              <w:rPr>
                <w:rFonts w:ascii="Cambria Math" w:hAnsi="Cambria Math"/>
                <w:szCs w:val="19"/>
              </w:rPr>
              <w:t>−</w:t>
            </w:r>
            <w:r w:rsidRPr="001455DC">
              <w:rPr>
                <w:szCs w:val="19"/>
              </w:rPr>
              <w:t> cot</w:t>
            </w:r>
            <w:r w:rsidRPr="001455DC">
              <w:rPr>
                <w:rStyle w:val="CCMCvariableitalic"/>
              </w:rPr>
              <w:t>α</w:t>
            </w:r>
            <w:r w:rsidRPr="001455DC">
              <w:rPr>
                <w:szCs w:val="19"/>
              </w:rPr>
              <w:t>)/2</w:t>
            </w:r>
          </w:p>
        </w:tc>
        <w:tc>
          <w:tcPr>
            <w:tcW w:w="1247" w:type="dxa"/>
            <w:vAlign w:val="center"/>
          </w:tcPr>
          <w:p w14:paraId="6D3E74DB" w14:textId="4BFD013B" w:rsidR="005138F6" w:rsidRPr="001455DC" w:rsidRDefault="005138F6" w:rsidP="00BE71AF">
            <w:pPr>
              <w:pStyle w:val="a7"/>
              <w:jc w:val="right"/>
            </w:pPr>
            <w:r w:rsidRPr="001455DC">
              <w:t>(12.5)</w:t>
            </w:r>
          </w:p>
        </w:tc>
      </w:tr>
    </w:tbl>
    <w:p w14:paraId="3EDD115F" w14:textId="77777777" w:rsidR="004E22C1" w:rsidRPr="001455DC" w:rsidRDefault="004E22C1" w:rsidP="005138F6">
      <w:pPr>
        <w:pStyle w:val="a7"/>
      </w:pPr>
      <w:r w:rsidRPr="001455DC">
        <w:t>as indicated in Figure 12.1.</w:t>
      </w:r>
    </w:p>
    <w:p w14:paraId="51DAA7B0" w14:textId="77777777" w:rsidR="005138F6" w:rsidRPr="001455DC" w:rsidRDefault="004E22C1" w:rsidP="00E844D2">
      <w:pPr>
        <w:pStyle w:val="a7"/>
        <w:keepNext/>
      </w:pPr>
      <w:r w:rsidRPr="001455DC">
        <w:t>For members without shear reinforcement, it may be assumed:</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5138F6" w:rsidRPr="001455DC" w14:paraId="7CE7E4E0" w14:textId="77777777" w:rsidTr="00BE71AF">
        <w:trPr>
          <w:cantSplit/>
        </w:trPr>
        <w:tc>
          <w:tcPr>
            <w:tcW w:w="8505" w:type="dxa"/>
            <w:vAlign w:val="center"/>
          </w:tcPr>
          <w:p w14:paraId="4C5FF1F7" w14:textId="333AA56D" w:rsidR="005138F6" w:rsidRPr="001455DC" w:rsidRDefault="005138F6" w:rsidP="00BE71AF">
            <w:pPr>
              <w:pStyle w:val="Formula"/>
              <w:jc w:val="left"/>
            </w:pPr>
            <w:r w:rsidRPr="001455DC">
              <w:rPr>
                <w:rStyle w:val="CCMCvariableitalic"/>
              </w:rPr>
              <w:t>a</w:t>
            </w:r>
            <w:r w:rsidRPr="001455DC">
              <w:rPr>
                <w:rStyle w:val="CCMCvariablesubscript"/>
              </w:rPr>
              <w:t>l</w:t>
            </w:r>
            <w:r w:rsidRPr="001455DC">
              <w:t> </w:t>
            </w:r>
            <w:r w:rsidR="00EC27D2" w:rsidRPr="001455DC">
              <w:rPr>
                <w:rFonts w:ascii="Cambria Math" w:hAnsi="Cambria Math"/>
              </w:rPr>
              <w:t>=</w:t>
            </w:r>
            <w:r w:rsidRPr="001455DC">
              <w:t> </w:t>
            </w:r>
            <w:r w:rsidRPr="001455DC">
              <w:rPr>
                <w:rStyle w:val="CCMCvariableitalic"/>
              </w:rPr>
              <w:t>d</w:t>
            </w:r>
          </w:p>
        </w:tc>
        <w:tc>
          <w:tcPr>
            <w:tcW w:w="1247" w:type="dxa"/>
            <w:vAlign w:val="center"/>
          </w:tcPr>
          <w:p w14:paraId="17D26135" w14:textId="2AA92056" w:rsidR="005138F6" w:rsidRPr="001455DC" w:rsidRDefault="005138F6" w:rsidP="00BE71AF">
            <w:pPr>
              <w:pStyle w:val="a7"/>
              <w:jc w:val="right"/>
            </w:pPr>
            <w:r w:rsidRPr="001455DC">
              <w:t>(12.6)</w:t>
            </w:r>
          </w:p>
        </w:tc>
      </w:tr>
    </w:tbl>
    <w:p w14:paraId="131877D2" w14:textId="77777777" w:rsidR="004E22C1" w:rsidRPr="001455DC" w:rsidRDefault="004E22C1" w:rsidP="005138F6">
      <w:pPr>
        <w:pStyle w:val="a7"/>
      </w:pPr>
      <w:r w:rsidRPr="001455DC">
        <w:t>(3)</w:t>
      </w:r>
      <w:r w:rsidRPr="001455DC">
        <w:tab/>
        <w:t>The resistance of bars within their anchorage lengths may be taken into account, assuming a linear variation of force, see Figure 12.1.</w:t>
      </w:r>
    </w:p>
    <w:p w14:paraId="2CB97647" w14:textId="2EC5A1A7" w:rsidR="004E22C1" w:rsidRPr="001455DC" w:rsidRDefault="004E22C1" w:rsidP="005138F6">
      <w:pPr>
        <w:pStyle w:val="a7"/>
      </w:pPr>
      <w:r w:rsidRPr="001455DC">
        <w:t>(4)</w:t>
      </w:r>
      <w:r w:rsidRPr="001455DC">
        <w:tab/>
        <w:t>The tensile reinforcement required in flanged cross</w:t>
      </w:r>
      <w:r w:rsidR="00B10711" w:rsidRPr="001455DC">
        <w:t xml:space="preserve"> </w:t>
      </w:r>
      <w:r w:rsidRPr="001455DC">
        <w:t>sections may be spread over the effective width of the flange or part of it may be concentrated over the web. The tensile reinforcement located outside the web should be extended by a length equal to its distance from the web times cot</w:t>
      </w:r>
      <w:r w:rsidRPr="001455DC">
        <w:rPr>
          <w:rStyle w:val="CCMCvariableitalic"/>
        </w:rPr>
        <w:t>θ</w:t>
      </w:r>
      <w:r w:rsidRPr="001455DC">
        <w:rPr>
          <w:rStyle w:val="CCMCvariablesubscript"/>
        </w:rPr>
        <w:t>fl</w:t>
      </w:r>
      <w:r w:rsidRPr="001455DC">
        <w:t xml:space="preserve"> (see 8.2.5).</w:t>
      </w:r>
    </w:p>
    <w:p w14:paraId="61FB441A" w14:textId="070C4288" w:rsidR="004E22C1" w:rsidRPr="001455DC" w:rsidRDefault="004E22C1" w:rsidP="005138F6">
      <w:pPr>
        <w:pStyle w:val="a7"/>
      </w:pPr>
      <w:r w:rsidRPr="001455DC">
        <w:t>(5)</w:t>
      </w:r>
      <w:r w:rsidRPr="001455DC">
        <w:tab/>
        <w:t>The anchorage length of a bent-up bar which contributes to the resistance to shear should be not less than 1,3</w:t>
      </w:r>
      <w:r w:rsidRPr="001455DC">
        <w:rPr>
          <w:rStyle w:val="CCMCvariableitalic"/>
        </w:rPr>
        <w:t>l</w:t>
      </w:r>
      <w:r w:rsidRPr="001455DC">
        <w:rPr>
          <w:rStyle w:val="CCMCvariablesubscript"/>
        </w:rPr>
        <w:t>bd</w:t>
      </w:r>
      <w:r w:rsidRPr="001455DC">
        <w:t xml:space="preserve"> in the tension zone and 0,7</w:t>
      </w:r>
      <w:r w:rsidRPr="001455DC">
        <w:rPr>
          <w:rStyle w:val="CCMCvariableitalic"/>
        </w:rPr>
        <w:t>l</w:t>
      </w:r>
      <w:r w:rsidRPr="001455DC">
        <w:rPr>
          <w:rStyle w:val="CCMCvariablesubscript"/>
        </w:rPr>
        <w:t>bd</w:t>
      </w:r>
      <w:r w:rsidRPr="001455DC">
        <w:t xml:space="preserve"> in the compression zone. It is measured from the point of intersection of the axes of the bent-up bar and the longitudinal reinforcement.</w:t>
      </w:r>
    </w:p>
    <w:p w14:paraId="7C611DCA" w14:textId="6B996010" w:rsidR="00BE71AF" w:rsidRPr="001455DC" w:rsidRDefault="00723CF7" w:rsidP="00BE71AF">
      <w:pPr>
        <w:pStyle w:val="FigureImage"/>
      </w:pPr>
      <w:r>
        <w:rPr>
          <w:noProof/>
          <w:lang w:eastAsia="en-GB"/>
        </w:rPr>
        <w:fldChar w:fldCharType="begin"/>
      </w:r>
      <w:r>
        <w:rPr>
          <w:noProof/>
          <w:lang w:eastAsia="en-GB"/>
        </w:rPr>
        <w:instrText xml:space="preserve"> INCLUDEPICTURE  "Y:\\STD_MGT\\STDDEL\\PRODUCTION\\etrans\\Download\\Z_FIRST_DEL\\SV\\00250\\00250269\\41_e_dr\\12_001.tif"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"Y:\\STD_MGT\\STDDEL\\PRODUCTION\\Standards\\00250\\269\\41_e_dr\\12_001.tif"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"Y:\\STD_MGT\\STDDEL\\PRODUCTION\\Standards\\00250\\269\\41_e_dr\\12_001.tif"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"Y:\\STD_MGT\\STDDEL\\PRODUCTION\\Standards\\00250\\269\\41_e_dr\\12_001.tif"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"Y:\\STD_MGT\\STDDEL\\PRODUCTION\\Standards\\00250\\269\\41_e_dr\\12_001.tif"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"Y:\\STD_MGT\\STDDEL\\PRODUCTION\\Standards\\00250\\269\\41_e_dr\\12_001.tif"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"C:\\Users\\a.dionysiou\\AppData\\Local\\Temp\\Temp1_00250269_e_20210902.zip.zip\\41_e_dr\\12_001.tif"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67070689">
          <v:shape id="_x0000_i1254" type="#_x0000_t75" style="width:306.75pt;height:252pt">
            <v:imagedata r:id="rId478" r:href="rId479"/>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01F68235" w14:textId="77777777" w:rsidR="00BE71AF" w:rsidRPr="001455DC" w:rsidRDefault="00BE71AF" w:rsidP="00DB201D">
      <w:pPr>
        <w:pStyle w:val="KeyTitle"/>
      </w:pPr>
      <w:r w:rsidRPr="001455DC">
        <w:t>Key</w:t>
      </w:r>
    </w:p>
    <w:tbl>
      <w:tblPr>
        <w:tblW w:w="9809" w:type="dxa"/>
        <w:tblLayout w:type="fixed"/>
        <w:tblCellMar>
          <w:left w:w="28" w:type="dxa"/>
          <w:right w:w="28" w:type="dxa"/>
        </w:tblCellMar>
        <w:tblLook w:val="0000" w:firstRow="0" w:lastRow="0" w:firstColumn="0" w:lastColumn="0" w:noHBand="0" w:noVBand="0"/>
      </w:tblPr>
      <w:tblGrid>
        <w:gridCol w:w="397"/>
        <w:gridCol w:w="9412"/>
      </w:tblGrid>
      <w:tr w:rsidR="00BE71AF" w:rsidRPr="001455DC" w14:paraId="2E3C3EB9" w14:textId="77777777" w:rsidTr="00BE71AF">
        <w:tc>
          <w:tcPr>
            <w:tcW w:w="397" w:type="dxa"/>
            <w:shd w:val="clear" w:color="auto" w:fill="auto"/>
          </w:tcPr>
          <w:p w14:paraId="68EDE8FE" w14:textId="2261A5C7" w:rsidR="00BE71AF" w:rsidRPr="001455DC" w:rsidRDefault="00045A1E" w:rsidP="00D86695">
            <w:pPr>
              <w:pStyle w:val="KeyText"/>
              <w:tabs>
                <w:tab w:val="clear" w:pos="346"/>
              </w:tabs>
              <w:ind w:left="0" w:firstLine="0"/>
            </w:pPr>
            <w:r>
              <w:t>1</w:t>
            </w:r>
          </w:p>
        </w:tc>
        <w:tc>
          <w:tcPr>
            <w:tcW w:w="9412" w:type="dxa"/>
            <w:shd w:val="clear" w:color="auto" w:fill="auto"/>
          </w:tcPr>
          <w:p w14:paraId="0A104BE5" w14:textId="709DFA84" w:rsidR="00BE71AF" w:rsidRPr="001455DC" w:rsidRDefault="00243590" w:rsidP="00D86695">
            <w:pPr>
              <w:pStyle w:val="KeyText"/>
              <w:tabs>
                <w:tab w:val="clear" w:pos="346"/>
              </w:tabs>
              <w:ind w:left="0" w:firstLine="0"/>
            </w:pPr>
            <w:r>
              <w:t>e</w:t>
            </w:r>
            <w:r w:rsidR="00BE71AF" w:rsidRPr="001455DC">
              <w:t xml:space="preserve">nvelope of </w:t>
            </w:r>
            <w:r w:rsidR="00BE71AF" w:rsidRPr="001455DC">
              <w:rPr>
                <w:rStyle w:val="CCMCvariableitalic"/>
              </w:rPr>
              <w:t>M</w:t>
            </w:r>
            <w:r w:rsidR="00BE71AF" w:rsidRPr="001455DC">
              <w:rPr>
                <w:rStyle w:val="CCMCvariablesubscript"/>
              </w:rPr>
              <w:t>Ed</w:t>
            </w:r>
            <w:r w:rsidR="00BE71AF" w:rsidRPr="001455DC">
              <w:t>/</w:t>
            </w:r>
            <w:r w:rsidR="00BE71AF" w:rsidRPr="001455DC">
              <w:rPr>
                <w:rStyle w:val="CCMCvariableitalic"/>
              </w:rPr>
              <w:t>z</w:t>
            </w:r>
            <w:r w:rsidR="00EC27D2" w:rsidRPr="001455DC">
              <w:rPr>
                <w:rFonts w:ascii="Cambria Math" w:hAnsi="Cambria Math"/>
              </w:rPr>
              <w:t> + </w:t>
            </w:r>
            <w:r w:rsidR="00BE71AF" w:rsidRPr="001455DC">
              <w:t>0,5</w:t>
            </w:r>
            <w:r w:rsidR="00BE71AF" w:rsidRPr="001455DC">
              <w:rPr>
                <w:rStyle w:val="CCMCvariableitalic"/>
              </w:rPr>
              <w:t>N</w:t>
            </w:r>
            <w:r w:rsidR="00BE71AF" w:rsidRPr="001455DC">
              <w:rPr>
                <w:rStyle w:val="CCMCvariablesubscript"/>
              </w:rPr>
              <w:t>Ed</w:t>
            </w:r>
          </w:p>
        </w:tc>
      </w:tr>
      <w:tr w:rsidR="00BE71AF" w:rsidRPr="001455DC" w14:paraId="427C788F" w14:textId="77777777" w:rsidTr="00BE71AF">
        <w:tc>
          <w:tcPr>
            <w:tcW w:w="397" w:type="dxa"/>
            <w:shd w:val="clear" w:color="auto" w:fill="auto"/>
          </w:tcPr>
          <w:p w14:paraId="583F1154" w14:textId="17219831" w:rsidR="00BE71AF" w:rsidRPr="001455DC" w:rsidRDefault="00045A1E" w:rsidP="00D86695">
            <w:pPr>
              <w:pStyle w:val="KeyText"/>
              <w:tabs>
                <w:tab w:val="clear" w:pos="346"/>
              </w:tabs>
              <w:ind w:left="0" w:firstLine="0"/>
            </w:pPr>
            <w:r>
              <w:t>2</w:t>
            </w:r>
          </w:p>
        </w:tc>
        <w:tc>
          <w:tcPr>
            <w:tcW w:w="9412" w:type="dxa"/>
            <w:shd w:val="clear" w:color="auto" w:fill="auto"/>
          </w:tcPr>
          <w:p w14:paraId="0688A05B" w14:textId="4FED572D" w:rsidR="00BE71AF" w:rsidRPr="001455DC" w:rsidRDefault="00BE71AF" w:rsidP="00D86695">
            <w:pPr>
              <w:pStyle w:val="KeyText"/>
              <w:tabs>
                <w:tab w:val="clear" w:pos="346"/>
              </w:tabs>
              <w:ind w:left="0" w:firstLine="0"/>
            </w:pPr>
            <w:r w:rsidRPr="001455DC">
              <w:t xml:space="preserve">acting tensile force </w:t>
            </w:r>
            <w:r w:rsidRPr="001455DC">
              <w:rPr>
                <w:rStyle w:val="CCMCvariableitalic"/>
              </w:rPr>
              <w:t>F</w:t>
            </w:r>
            <w:r w:rsidRPr="001455DC">
              <w:rPr>
                <w:rStyle w:val="CCMCvariablesubscript"/>
              </w:rPr>
              <w:t>s</w:t>
            </w:r>
          </w:p>
        </w:tc>
      </w:tr>
      <w:tr w:rsidR="00BE71AF" w:rsidRPr="001455DC" w14:paraId="06B150E9" w14:textId="77777777" w:rsidTr="00BE71AF">
        <w:tc>
          <w:tcPr>
            <w:tcW w:w="397" w:type="dxa"/>
            <w:shd w:val="clear" w:color="auto" w:fill="auto"/>
          </w:tcPr>
          <w:p w14:paraId="329893E5" w14:textId="7ED83B8E" w:rsidR="00BE71AF" w:rsidRPr="001455DC" w:rsidRDefault="00045A1E" w:rsidP="00D86695">
            <w:pPr>
              <w:pStyle w:val="KeyText"/>
              <w:tabs>
                <w:tab w:val="clear" w:pos="346"/>
              </w:tabs>
              <w:ind w:left="0" w:firstLine="0"/>
            </w:pPr>
            <w:r>
              <w:t>3</w:t>
            </w:r>
          </w:p>
        </w:tc>
        <w:tc>
          <w:tcPr>
            <w:tcW w:w="9412" w:type="dxa"/>
            <w:shd w:val="clear" w:color="auto" w:fill="auto"/>
          </w:tcPr>
          <w:p w14:paraId="226E90AF" w14:textId="5E4CE389" w:rsidR="00BE71AF" w:rsidRPr="001455DC" w:rsidRDefault="00BE71AF" w:rsidP="00D86695">
            <w:pPr>
              <w:pStyle w:val="KeyText"/>
              <w:tabs>
                <w:tab w:val="clear" w:pos="346"/>
              </w:tabs>
              <w:ind w:left="0" w:firstLine="0"/>
            </w:pPr>
            <w:r w:rsidRPr="001455DC">
              <w:t xml:space="preserve">resisting tensile force </w:t>
            </w:r>
            <w:r w:rsidRPr="001455DC">
              <w:rPr>
                <w:rStyle w:val="CCMCvariableitalic"/>
              </w:rPr>
              <w:t>F</w:t>
            </w:r>
            <w:r w:rsidRPr="001455DC">
              <w:rPr>
                <w:rStyle w:val="CCMCvariablesubscript"/>
              </w:rPr>
              <w:t>Rs</w:t>
            </w:r>
          </w:p>
        </w:tc>
      </w:tr>
    </w:tbl>
    <w:p w14:paraId="2EF5F471" w14:textId="7FD6F3CC" w:rsidR="00BE71AF" w:rsidRPr="001455DC" w:rsidRDefault="00BE71AF" w:rsidP="00BE71AF">
      <w:pPr>
        <w:pStyle w:val="Figuretitle"/>
      </w:pPr>
      <w:r w:rsidRPr="001455DC">
        <w:t>Figure 12.1 — Illustration of the curtailment of longitudinal reinforcement in members with constant depth, taking into account the effect of shear and the resistance of reinforcement within anchorage lengths</w:t>
      </w:r>
    </w:p>
    <w:p w14:paraId="7F709021" w14:textId="0A6E5308" w:rsidR="004E22C1" w:rsidRPr="001455DC" w:rsidRDefault="004E22C1" w:rsidP="005138F6">
      <w:pPr>
        <w:pStyle w:val="a7"/>
      </w:pPr>
      <w:r w:rsidRPr="001455DC">
        <w:t>(6)</w:t>
      </w:r>
      <w:r w:rsidRPr="001455DC">
        <w:tab/>
        <w:t>Bottom reinforcement at intermediate supports should, as a minimum, extend by 10</w:t>
      </w:r>
      <w:r w:rsidRPr="001455DC">
        <w:rPr>
          <w:rStyle w:val="CCMCvariableitalic"/>
        </w:rPr>
        <w:t>ϕ</w:t>
      </w:r>
      <w:r w:rsidRPr="001455DC">
        <w:t xml:space="preserve"> into the support if there is no tensile force in the reinforcement. In case there could be tension due to settlement of the support, accidental actions or due to other considerations, the reinforcement should be detailed for adequate capacity and continuity.</w:t>
      </w:r>
    </w:p>
    <w:p w14:paraId="1C563767" w14:textId="0EA58C20" w:rsidR="004E22C1" w:rsidRPr="001455DC" w:rsidRDefault="004E22C1" w:rsidP="005138F6">
      <w:pPr>
        <w:pStyle w:val="a7"/>
      </w:pPr>
      <w:r w:rsidRPr="001455DC">
        <w:t>(7)</w:t>
      </w:r>
      <w:r w:rsidRPr="001455DC">
        <w:tab/>
        <w:t>Any compression longitudinal reinforcement which is included in the resistance calculation should be confined by transverse reinforcement with spacing not greater than the limits given in Table 12.3(NDP) and 12.6(3).</w:t>
      </w:r>
    </w:p>
    <w:p w14:paraId="3298362C" w14:textId="2F1FAAA9" w:rsidR="004E22C1" w:rsidRPr="001455DC" w:rsidRDefault="004E22C1" w:rsidP="00243590">
      <w:pPr>
        <w:pStyle w:val="31"/>
      </w:pPr>
      <w:bookmarkStart w:id="917" w:name="_Toc52820059"/>
      <w:bookmarkStart w:id="918" w:name="_Toc54337461"/>
      <w:bookmarkStart w:id="919" w:name="_Toc54338115"/>
      <w:bookmarkStart w:id="920" w:name="_Toc67565459"/>
      <w:r w:rsidRPr="001455DC">
        <w:t>Shear and torsion reinforcement</w:t>
      </w:r>
      <w:bookmarkEnd w:id="917"/>
      <w:bookmarkEnd w:id="918"/>
      <w:bookmarkEnd w:id="919"/>
      <w:bookmarkEnd w:id="920"/>
    </w:p>
    <w:p w14:paraId="146301F7" w14:textId="77777777" w:rsidR="004E22C1" w:rsidRPr="001455DC" w:rsidRDefault="004E22C1" w:rsidP="00E844D2">
      <w:pPr>
        <w:pStyle w:val="a7"/>
        <w:keepNext/>
      </w:pPr>
      <w:r w:rsidRPr="001455DC">
        <w:t>(1)</w:t>
      </w:r>
      <w:r w:rsidRPr="001455DC">
        <w:tab/>
        <w:t>The shear reinforcement may consist of a combination of:</w:t>
      </w:r>
    </w:p>
    <w:p w14:paraId="354F1B40" w14:textId="425439B7" w:rsidR="004E22C1" w:rsidRPr="001455DC" w:rsidRDefault="004E22C1" w:rsidP="005138F6">
      <w:pPr>
        <w:pStyle w:val="a0"/>
      </w:pPr>
      <w:r w:rsidRPr="001455DC">
        <w:t>stirrups/links enclosing the longitudinal tension reinforcement and the compression zone according to Figure 12.2a) and b);</w:t>
      </w:r>
    </w:p>
    <w:p w14:paraId="36D53AC5" w14:textId="3AECFAA1" w:rsidR="004E22C1" w:rsidRPr="001455DC" w:rsidRDefault="004E22C1" w:rsidP="005138F6">
      <w:pPr>
        <w:pStyle w:val="a0"/>
      </w:pPr>
      <w:r w:rsidRPr="001455DC">
        <w:t>bent-up bars;</w:t>
      </w:r>
    </w:p>
    <w:p w14:paraId="2D3C6D36" w14:textId="2FEB0ADB" w:rsidR="004E22C1" w:rsidRPr="001455DC" w:rsidRDefault="004E22C1" w:rsidP="005138F6">
      <w:pPr>
        <w:pStyle w:val="a0"/>
      </w:pPr>
      <w:r w:rsidRPr="001455DC">
        <w:t>cages, ladders, etc. which are cast in without enclosing the longitudinal reinforcement but are properly anchored in the compression and tension zones according to Figure 12.2c) and d)</w:t>
      </w:r>
    </w:p>
    <w:p w14:paraId="02367BB3" w14:textId="5EA02C9D" w:rsidR="004E22C1" w:rsidRPr="001455DC" w:rsidRDefault="004E22C1" w:rsidP="005138F6">
      <w:pPr>
        <w:pStyle w:val="a0"/>
      </w:pPr>
      <w:r w:rsidRPr="001455DC">
        <w:t>continuous stirrups (spirals);</w:t>
      </w:r>
    </w:p>
    <w:p w14:paraId="7F3435A6" w14:textId="3E59A9BF" w:rsidR="004E22C1" w:rsidRPr="001455DC" w:rsidRDefault="004E22C1" w:rsidP="005138F6">
      <w:pPr>
        <w:pStyle w:val="a0"/>
        <w:rPr>
          <w:bCs/>
          <w:lang w:eastAsia="de-DE"/>
        </w:rPr>
      </w:pPr>
      <w:r w:rsidRPr="001455DC">
        <w:t>headed bars as in Figure 12.2e).</w:t>
      </w:r>
    </w:p>
    <w:p w14:paraId="10FB2748" w14:textId="2D12F464" w:rsidR="004E22C1" w:rsidRPr="001455DC" w:rsidRDefault="004E22C1" w:rsidP="005138F6">
      <w:pPr>
        <w:pStyle w:val="a7"/>
        <w:rPr>
          <w:szCs w:val="22"/>
        </w:rPr>
      </w:pPr>
      <w:r w:rsidRPr="001455DC">
        <w:rPr>
          <w:bCs/>
          <w:lang w:eastAsia="de-DE"/>
        </w:rPr>
        <w:t>(2)</w:t>
      </w:r>
      <w:r w:rsidRPr="001455DC">
        <w:rPr>
          <w:bCs/>
          <w:lang w:eastAsia="de-DE"/>
        </w:rPr>
        <w:tab/>
      </w:r>
      <w:r w:rsidRPr="001455DC">
        <w:rPr>
          <w:szCs w:val="22"/>
        </w:rPr>
        <w:t>When, based on shear design, no shear reinforcement is required, minimum shear reinforcement should nevertheless be provided according to 12.2(4). Minimum shear reinforcement may be omitted in members of minor importance (e.g. lintels with span </w:t>
      </w:r>
      <w:r w:rsidR="00650035" w:rsidRPr="001455DC">
        <w:rPr>
          <w:rFonts w:ascii="Cambria Math" w:hAnsi="Cambria Math"/>
          <w:szCs w:val="22"/>
        </w:rPr>
        <w:t>≤</w:t>
      </w:r>
      <w:r w:rsidRPr="001455DC">
        <w:rPr>
          <w:szCs w:val="22"/>
        </w:rPr>
        <w:t> 2,0 m) which do not contribute to the overall resistance and stability of the structure.</w:t>
      </w:r>
    </w:p>
    <w:p w14:paraId="0E1EB706" w14:textId="3488D289" w:rsidR="004E22C1" w:rsidRPr="001455DC" w:rsidRDefault="004E22C1" w:rsidP="005138F6">
      <w:pPr>
        <w:pStyle w:val="a7"/>
      </w:pPr>
      <w:r w:rsidRPr="001455DC">
        <w:t>(3)</w:t>
      </w:r>
      <w:r w:rsidRPr="001455DC">
        <w:tab/>
        <w:t>The shear reinforcement shall enclose the tension reinforcement or shall be effectively anchored in the tension zone at one end and in the compression zone at the other. Links and shear reinforcement should normally be anchored by means of bends, hooks, heads or welded transverse reinforcement, see Figure 12.2. A longitudinal bar of minimum diameter equal to not less than the diameter of the stirrup or link should be provided at each corner of stirrup/link and inside end hooks.</w:t>
      </w:r>
    </w:p>
    <w:p w14:paraId="4B6007B1" w14:textId="33886B35" w:rsidR="004E22C1" w:rsidRPr="001455DC" w:rsidRDefault="004E22C1" w:rsidP="005138F6">
      <w:pPr>
        <w:pStyle w:val="a7"/>
      </w:pPr>
      <w:r w:rsidRPr="001455DC">
        <w:t>(4)</w:t>
      </w:r>
      <w:r w:rsidRPr="001455DC">
        <w:tab/>
        <w:t>Closing of stirrups according to Figure 12.2f) g)</w:t>
      </w:r>
      <w:r w:rsidR="00C167D2" w:rsidRPr="001455DC">
        <w:t xml:space="preserve"> and h)</w:t>
      </w:r>
      <w:r w:rsidRPr="001455DC">
        <w:t xml:space="preserve"> may be used in the tension and compression zone of a section. The anchorage of single-leg shear links or of open stirrups according to Figure 12.2b) </w:t>
      </w:r>
      <w:r w:rsidR="00C167D2" w:rsidRPr="001455DC">
        <w:t>to d</w:t>
      </w:r>
      <w:r w:rsidRPr="001455DC">
        <w:t>) should be placed in the compression zone of the member. Welding should be carried out in accordance with 5.2.3 and have a weld capacity in accordance with 11.4.7.</w:t>
      </w:r>
    </w:p>
    <w:p w14:paraId="3E13F914" w14:textId="77777777" w:rsidR="004E22C1" w:rsidRPr="001455DC" w:rsidRDefault="004E22C1" w:rsidP="005138F6">
      <w:pPr>
        <w:pStyle w:val="a7"/>
      </w:pPr>
      <w:r w:rsidRPr="001455DC">
        <w:t>(5)</w:t>
      </w:r>
      <w:r w:rsidRPr="001455DC">
        <w:tab/>
        <w:t>Headed bars according to Figure 12.2e) should be designed according to 11.4.6.</w:t>
      </w:r>
    </w:p>
    <w:tbl>
      <w:tblPr>
        <w:tblStyle w:val="a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1299"/>
        <w:gridCol w:w="652"/>
        <w:gridCol w:w="1950"/>
        <w:gridCol w:w="649"/>
        <w:gridCol w:w="1301"/>
        <w:gridCol w:w="1950"/>
      </w:tblGrid>
      <w:tr w:rsidR="00BE71AF" w:rsidRPr="001455DC" w14:paraId="2249D525" w14:textId="77777777" w:rsidTr="00BE71AF">
        <w:trPr>
          <w:cantSplit/>
          <w:jc w:val="center"/>
        </w:trPr>
        <w:tc>
          <w:tcPr>
            <w:tcW w:w="1951" w:type="dxa"/>
          </w:tcPr>
          <w:p w14:paraId="44008435" w14:textId="0D193B9B" w:rsidR="00BE71AF" w:rsidRPr="001455DC" w:rsidRDefault="00723CF7" w:rsidP="00BE71AF">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"Y:\\STD_MGT\\STDDEL\\PRODUCTION\\etrans\\Download\\Z_FIRST_DEL\\SV\\00250\\00250269\\41_e_dr\\12_002a.tif"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"Y:\\STD_MGT\\STDDEL\\PRODUCTION\\Standards\\00250\\269\\41_e_dr\\12_002a.tif"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"Y:\\STD_MGT\\STDDEL\\PRODUCTION\\Standards\\00250\\269\\41_e_dr\\12_002a.tif"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"Y:\\STD_MGT\\STDDEL\\PRODUCTION\\Standards\\00250\\269\\41_e_dr\\12_002a.tif"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"Y:\\STD_MGT\\STDDEL\\PRODUCTION\\Standards\\00250\\269\\41_e_dr\\12_002a.tif"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"Y:\\STD_MGT\\STDDEL\\PRODUCTION\\Standards\\00250\\269\\41_e_dr\\12_002a.tif"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w:instrText>
            </w:r>
            <w:r w:rsidR="00231E33">
              <w:rPr>
                <w:noProof/>
                <w:lang w:eastAsia="en-GB"/>
              </w:rPr>
              <w:instrText>rs\\a.dionysiou\\AppData\\Local\\Temp\\Temp1_00250269_e_20210902.zip.zip\\41_e_dr\\12_002a.tif"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1392B4A1">
                <v:shape id="_x0000_i1255" type="#_x0000_t75" style="width:87.75pt;height:92.25pt">
                  <v:imagedata r:id="rId480" r:href="rId481"/>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1951" w:type="dxa"/>
            <w:gridSpan w:val="2"/>
          </w:tcPr>
          <w:p w14:paraId="62DCC72F" w14:textId="394EAD81" w:rsidR="00BE71AF" w:rsidRPr="001455DC" w:rsidRDefault="00723CF7" w:rsidP="00BE71AF">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"Y:\\STD_MGT\\STDDEL\\PRODUCTION\\etrans\\Download\\Z_FIRST_DEL\\SV\\00250\\00250269\\41_e_dr\\12_002b.tif"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"Y:\\STD_MGT\\STDDEL\\PRODUCTION\\Standards\\00250\\269\\41_e_dr\\12_002b.tif"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"Y:\\STD_MGT\\STDDEL\\PRODUCTION\\Standards\\00250\\269\\41_e_dr\\12_002b.tif"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"Y:\\STD_MGT\\STDDEL\\PRODUCTION\\Standards\\00250\\269\\41_e_dr\\12_002b.tif"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"Y:\\STD_MGT\\STDDEL\\PRODUCTION\\Standards\\00250\\269\\41_e_dr\\12_002b.tif"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"Y:\\STD_MGT\\STDDEL\\PRODUCTION\\Standards\\00250\\269\\41_e_dr\\12_002b.tif"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w:instrText>
            </w:r>
            <w:r w:rsidR="00231E33">
              <w:rPr>
                <w:noProof/>
                <w:lang w:eastAsia="en-GB"/>
              </w:rPr>
              <w:instrText>\\Local\\Temp\\Temp1_00250269_e_20210902.zip.zip\\41_e_dr\\12_002b.tif"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7E2830EB">
                <v:shape id="_x0000_i1256" type="#_x0000_t75" style="width:56.25pt;height:138.75pt">
                  <v:imagedata r:id="rId482" r:href="rId483"/>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1950" w:type="dxa"/>
          </w:tcPr>
          <w:p w14:paraId="4AD23F6C" w14:textId="63E6592A" w:rsidR="00BE71AF" w:rsidRPr="001455DC" w:rsidRDefault="00723CF7" w:rsidP="00BE71AF">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"Y:\\STD_MGT\\STDDEL\\PRODUCTION\\etrans\\Download\\Z_FIRST_DEL\\SV\\00250\\00250269\\41_e_dr\\12_002c.tif"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"Y:\\STD_MGT\\STDDEL\\PRODUCTION\\Standards\\00250\\269\\41_e_dr\\12_002c.tif"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"Y:\\STD_MGT\\STDDEL\\PRODUCTION\\Standards\\00250\\269\\41_e_dr\\12_002c.tif"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"Y:\\STD_MGT\\STDDEL\\PRODUCTION\\Standards\\00250\\269\\41_e_dr\\12_002c.tif"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"Y:\\STD_MGT\\STDDEL\\PRODUCTION\\Standards\\00250\\269\\41_e_dr\\12_002c.tif"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"Y:\\STD_MGT\\STDDEL\\PRODUCTION\\Standards\\00250\\269\\41_e_dr\\12_002c.tif"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"C:\\Users\\a.dionysiou\\AppData\\Local\\Temp\\Temp1_00250269_e_20210902.zip.zip\\41_e_dr\\12_002c.tif"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66E99C8F">
                <v:shape id="_x0000_i1257" type="#_x0000_t75" style="width:86.25pt;height:93.75pt">
                  <v:imagedata r:id="rId484" r:href="rId485"/>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1950" w:type="dxa"/>
            <w:gridSpan w:val="2"/>
          </w:tcPr>
          <w:p w14:paraId="7ED7FAE8" w14:textId="32557D40" w:rsidR="00BE71AF" w:rsidRPr="001455DC" w:rsidRDefault="00723CF7" w:rsidP="00BE71AF">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"Y:\\STD_MGT\\STDDEL\\PRODUCTION\\etrans\\Download\\Z_FIRST_DEL\\SV\\00250\\00250269\\41_e_dr\\12_002d.tif"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"Y:\\STD_MGT\\STDDEL\\PRODUCTION\\Standards\\00250\\269\\41_e_dr\\12_002d.tif"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"Y:\\STD_MGT\\STDDEL\\PRODUCTION\\Standards\\00250\\269\\41_e_dr\\12_002d.tif"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"Y:\\STD_MGT\\STDDEL\\PRODUCTION\\Standards\\00250\\269\\41_e_dr\\12_002d.tif"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"Y:\\STD_MGT\\STDDEL\\PRODUCTION\\Standards\\00250\\269\\41_e_dr\\12_002d.tif"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"Y:\\STD_MGT\\STDDEL\\PRODUCTION\\Standards\\00250\\269\\41_e_dr\\12_002d.tif"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"C:\\Users\\a.dionysiou\\AppData\\Local\\Temp\\Temp1_00250269_e_20210902.zip.zip\\41_e_dr\\12_002d.tif"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2B27F716">
                <v:shape id="_x0000_i1258" type="#_x0000_t75" style="width:86.25pt;height:113.25pt">
                  <v:imagedata r:id="rId486" r:href="rId487"/>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1950" w:type="dxa"/>
          </w:tcPr>
          <w:p w14:paraId="3EC18CF8" w14:textId="2B7400E4" w:rsidR="00BE71AF" w:rsidRPr="001455DC" w:rsidRDefault="00723CF7" w:rsidP="00BE71AF">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"Y:\\STD_MGT\\STDDEL\\PRODUCTION\\etrans\\Download\\Z_FIRST_DEL\\SV\\00250\\00250269\\41_e_dr\\12_002e.tif"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"Y:\\STD_MGT\\STDDEL\\PRODUCTION\\Standards\\00250\\269\\41_e_dr\\12_002e.tif"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"Y:\\STD_MGT\\STDDEL\\PRODUCTION\\Standards\\00250\\269\\41_e_dr\\12_002e.tif"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"Y:\\STD_MGT\\STDDEL\\PRODUCTION\\Standards\\00250\\269\\41_e_dr\\12_002e.tif"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"Y:\\STD_MGT\\STDDEL\\PRODUCTION\\Standards\\00250\\269\\41_e_dr\\12_002e.tif"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"Y:\\STD_MGT\\STDDEL\\PRODUCTION\\Standards\\00250\\269\\41_e_dr\\12_002e.tif"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w:instrText>
            </w:r>
            <w:r w:rsidR="00231E33">
              <w:rPr>
                <w:noProof/>
                <w:lang w:eastAsia="en-GB"/>
              </w:rPr>
              <w:instrText>\\Local\\Temp\\Temp1_00250269_e_20210902.zip.zip\\41_e_dr\\12_002e.tif"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373ED85D">
                <v:shape id="_x0000_i1259" type="#_x0000_t75" style="width:75.75pt;height:129.75pt">
                  <v:imagedata r:id="rId488" r:href="rId489"/>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4E22C1" w:rsidRPr="002374A2" w14:paraId="78AE1E39" w14:textId="77777777" w:rsidTr="00BE71AF">
        <w:trPr>
          <w:cantSplit/>
          <w:jc w:val="center"/>
        </w:trPr>
        <w:tc>
          <w:tcPr>
            <w:tcW w:w="1951" w:type="dxa"/>
          </w:tcPr>
          <w:p w14:paraId="0B16AFCE" w14:textId="77777777" w:rsidR="004E22C1" w:rsidRPr="009D3012" w:rsidRDefault="004E22C1" w:rsidP="00BE71AF">
            <w:pPr>
              <w:pStyle w:val="FigureText"/>
              <w:jc w:val="center"/>
              <w:rPr>
                <w:bCs/>
              </w:rPr>
            </w:pPr>
            <w:r w:rsidRPr="009D3012">
              <w:rPr>
                <w:bCs/>
              </w:rPr>
              <w:t>a) with standard hook</w:t>
            </w:r>
          </w:p>
        </w:tc>
        <w:tc>
          <w:tcPr>
            <w:tcW w:w="1951" w:type="dxa"/>
            <w:gridSpan w:val="2"/>
          </w:tcPr>
          <w:p w14:paraId="00633906" w14:textId="77777777" w:rsidR="004E22C1" w:rsidRPr="009D3012" w:rsidRDefault="004E22C1" w:rsidP="00BE71AF">
            <w:pPr>
              <w:pStyle w:val="FigureText"/>
              <w:jc w:val="center"/>
              <w:rPr>
                <w:bCs/>
              </w:rPr>
            </w:pPr>
            <w:r w:rsidRPr="009D3012">
              <w:rPr>
                <w:bCs/>
              </w:rPr>
              <w:t>b) with 90°-bend</w:t>
            </w:r>
          </w:p>
        </w:tc>
        <w:tc>
          <w:tcPr>
            <w:tcW w:w="1950" w:type="dxa"/>
          </w:tcPr>
          <w:p w14:paraId="798F3DB8" w14:textId="77777777" w:rsidR="004E22C1" w:rsidRPr="009D3012" w:rsidRDefault="004E22C1" w:rsidP="00BE71AF">
            <w:pPr>
              <w:pStyle w:val="FigureText"/>
              <w:jc w:val="center"/>
              <w:rPr>
                <w:bCs/>
              </w:rPr>
            </w:pPr>
            <w:r w:rsidRPr="009D3012">
              <w:rPr>
                <w:bCs/>
              </w:rPr>
              <w:t>c) with 2 welded transverse bars</w:t>
            </w:r>
          </w:p>
        </w:tc>
        <w:tc>
          <w:tcPr>
            <w:tcW w:w="1950" w:type="dxa"/>
            <w:gridSpan w:val="2"/>
          </w:tcPr>
          <w:p w14:paraId="073FB1F0" w14:textId="77777777" w:rsidR="004E22C1" w:rsidRPr="009D3012" w:rsidRDefault="004E22C1" w:rsidP="00BE71AF">
            <w:pPr>
              <w:pStyle w:val="FigureText"/>
              <w:jc w:val="center"/>
              <w:rPr>
                <w:bCs/>
              </w:rPr>
            </w:pPr>
            <w:r w:rsidRPr="009D3012">
              <w:rPr>
                <w:bCs/>
              </w:rPr>
              <w:t>d) with 1 welded transverse bar</w:t>
            </w:r>
          </w:p>
        </w:tc>
        <w:tc>
          <w:tcPr>
            <w:tcW w:w="1950" w:type="dxa"/>
          </w:tcPr>
          <w:p w14:paraId="3199E9E1" w14:textId="77777777" w:rsidR="004E22C1" w:rsidRPr="009D3012" w:rsidRDefault="004E22C1" w:rsidP="00BE71AF">
            <w:pPr>
              <w:pStyle w:val="FigureText"/>
              <w:jc w:val="center"/>
              <w:rPr>
                <w:bCs/>
              </w:rPr>
            </w:pPr>
            <w:r w:rsidRPr="009D3012">
              <w:rPr>
                <w:bCs/>
              </w:rPr>
              <w:t>e) with head</w:t>
            </w:r>
          </w:p>
        </w:tc>
      </w:tr>
      <w:tr w:rsidR="00BE71AF" w:rsidRPr="001455DC" w14:paraId="7314E309" w14:textId="77777777" w:rsidTr="00BE71AF">
        <w:trPr>
          <w:cantSplit/>
          <w:jc w:val="center"/>
        </w:trPr>
        <w:tc>
          <w:tcPr>
            <w:tcW w:w="3250" w:type="dxa"/>
            <w:gridSpan w:val="2"/>
          </w:tcPr>
          <w:p w14:paraId="394B8F1E" w14:textId="37F82505" w:rsidR="00BE71AF" w:rsidRPr="001455DC" w:rsidRDefault="00723CF7" w:rsidP="00BE71AF">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"Y:\\STD_MGT\\STDDEL\\PRODUCTION\\etrans\\Download\\Z_FIRST_DEL\\SV\\00250\\00250269\\41_e_dr\\12_002f.tif"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"Y:\\STD_MGT\\STDDEL\\PRODUCTION\\Standards\\00250\\269\\41_e_dr\\12_002f.tif"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"Y:\\STD_MGT\\STDDEL\\PRODUCTION\\Standards\\00250\\269\\41_e_dr\\12_002f.tif"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"Y:\\STD_MGT\\STDDEL\\PRODUCTION\\Standards\\00250\\269\\41_e_dr\\12_002f.tif"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"Y:\\STD_MGT\\STDDEL\\PRODUCTION\\Standards\\00250\\269\\41_e_dr\\12_002f.tif"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"Y:\\STD_MGT\\STDDEL\\PRODUCTION\\Standards\\00250\\269\\41_e_dr\\12_002f.tif"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w:instrText>
            </w:r>
            <w:r w:rsidR="00231E33">
              <w:rPr>
                <w:noProof/>
                <w:lang w:eastAsia="en-GB"/>
              </w:rPr>
              <w:instrText>\\Local\\Temp\\Temp1_00250269_e_20210902.zip.zip\\41_e_dr\\12_002f.tif"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00FF4BAB">
                <v:shape id="_x0000_i1260" type="#_x0000_t75" style="width:71.25pt;height:71.25pt">
                  <v:imagedata r:id="rId490" r:href="rId491"/>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3251" w:type="dxa"/>
            <w:gridSpan w:val="3"/>
          </w:tcPr>
          <w:p w14:paraId="22BE3D47" w14:textId="302CCC28" w:rsidR="00BE71AF" w:rsidRPr="001455DC" w:rsidRDefault="00723CF7" w:rsidP="00BE71AF">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"Y:\\STD_MGT\\STDDEL\\PRODUCTION\\etrans\\Download\\Z_FIRST_DEL\\SV\\00250\\00250269\\41_e_dr\\12_002g.tif"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"Y:\\STD_MGT\\STDDEL\\PRODUCTION\\Standards\\00250\\269\\41_e_dr\\12_002g.tif"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"Y:\\STD_MGT\\STDDEL\\PRODUCTION\\Standards\\00250\\269\\41_e_dr\\12_002g.tif"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"Y:\\STD_MGT\\STDDEL\\PRODUCTION\\Standards\\00250\\269\\41_e_dr\\12_002g.tif"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"Y:\\STD_MGT\\STDDEL\\PRODUCTION\\Standards\\00250\\269\\41_e_dr\\12_002g.tif"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"Y:\\STD_MGT\\STDDEL\\PRODUCTION\\Standards\\00250\\269\\41_e_dr\\12_002g.tif"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w:instrText>
            </w:r>
            <w:r w:rsidR="00231E33">
              <w:rPr>
                <w:noProof/>
                <w:lang w:eastAsia="en-GB"/>
              </w:rPr>
              <w:instrText>\\Local\\Temp\\Temp1_00250269_e_20210902.zip.zip\\41_e_dr\\12_002g.tif"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5D069777">
                <v:shape id="_x0000_i1261" type="#_x0000_t75" style="width:75pt;height:79.5pt">
                  <v:imagedata r:id="rId492" r:href="rId493"/>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3251" w:type="dxa"/>
            <w:gridSpan w:val="2"/>
          </w:tcPr>
          <w:p w14:paraId="07F23CD8" w14:textId="57446CC0" w:rsidR="00BE71AF" w:rsidRPr="001455DC" w:rsidRDefault="00723CF7" w:rsidP="00BE71AF">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"Y:\\STD_MGT\\STDDEL\\PRODUCTION\\etrans\\Download\\Z_FIRST_DEL\\SV\\00250\\00250269\\41_e_dr\\12_002h.tif"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"Y:\\STD_MGT\\STDDEL\\PRODUCTION\\Standards\\00250\\269\\41_e_dr\\12_002h.tif"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"Y:\\STD_MGT\\STDDEL\\PRODUCTION\\Standards\\00250\\269\\41_e_dr\\12_002h.tif"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"Y:\\STD_MGT\\STDDEL\\PRODUCTION\\Standards\\00250\\269\\41_e_dr\\12_002h.tif"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"Y:\\STD_MGT\\STDDEL\\PRODUCTION\\Standards\\00250\\269\\41_e_dr\\12_002h.tif"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"Y:\\STD_MGT\\STDDEL\\PRODUCTION\\Standards\\00250\\269\\41_e_dr\\12_002h.tif"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"C:\\Users\\a.dionysiou\\AppData\\Local\\Temp\\Temp1_00250269_e_20210902.zip.zip\\41_e_dr\\12_002h.tif"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60EDA0D9">
                <v:shape id="_x0000_i1262" type="#_x0000_t75" style="width:152.25pt;height:77.25pt">
                  <v:imagedata r:id="rId494" r:href="rId495"/>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BE71AF" w:rsidRPr="002374A2" w14:paraId="659CF288" w14:textId="77777777" w:rsidTr="00BE71AF">
        <w:trPr>
          <w:cantSplit/>
          <w:jc w:val="center"/>
        </w:trPr>
        <w:tc>
          <w:tcPr>
            <w:tcW w:w="3250" w:type="dxa"/>
            <w:gridSpan w:val="2"/>
          </w:tcPr>
          <w:p w14:paraId="54E32DFC" w14:textId="0F8ABDF8" w:rsidR="00BE71AF" w:rsidRPr="009D3012" w:rsidRDefault="00BE71AF" w:rsidP="00BE71AF">
            <w:pPr>
              <w:pStyle w:val="FigureText"/>
              <w:jc w:val="center"/>
              <w:rPr>
                <w:bCs/>
              </w:rPr>
            </w:pPr>
            <w:r w:rsidRPr="009D3012">
              <w:rPr>
                <w:bCs/>
              </w:rPr>
              <w:t>f) stirrup with 135°-bends</w:t>
            </w:r>
          </w:p>
        </w:tc>
        <w:tc>
          <w:tcPr>
            <w:tcW w:w="3251" w:type="dxa"/>
            <w:gridSpan w:val="3"/>
          </w:tcPr>
          <w:p w14:paraId="2A67EEBF" w14:textId="3165B644" w:rsidR="00BE71AF" w:rsidRPr="009D3012" w:rsidRDefault="00BE71AF" w:rsidP="00BE71AF">
            <w:pPr>
              <w:pStyle w:val="FigureText"/>
              <w:jc w:val="center"/>
              <w:rPr>
                <w:bCs/>
              </w:rPr>
            </w:pPr>
            <w:r w:rsidRPr="009D3012">
              <w:rPr>
                <w:bCs/>
              </w:rPr>
              <w:t>g) stirrup with 90°-bends</w:t>
            </w:r>
          </w:p>
        </w:tc>
        <w:tc>
          <w:tcPr>
            <w:tcW w:w="3251" w:type="dxa"/>
            <w:gridSpan w:val="2"/>
          </w:tcPr>
          <w:p w14:paraId="27C903A1" w14:textId="33A49A48" w:rsidR="00BE71AF" w:rsidRPr="009D3012" w:rsidRDefault="00BE71AF" w:rsidP="00BE71AF">
            <w:pPr>
              <w:pStyle w:val="FigureText"/>
              <w:jc w:val="center"/>
              <w:rPr>
                <w:bCs/>
              </w:rPr>
            </w:pPr>
            <w:r w:rsidRPr="009D3012">
              <w:rPr>
                <w:bCs/>
              </w:rPr>
              <w:t>h) closed with 90°-bended U</w:t>
            </w:r>
            <w:r w:rsidR="00F77658" w:rsidRPr="009D3012">
              <w:rPr>
                <w:bCs/>
              </w:rPr>
              <w:noBreakHyphen/>
            </w:r>
            <w:r w:rsidRPr="009D3012">
              <w:rPr>
                <w:bCs/>
              </w:rPr>
              <w:t>stirrups</w:t>
            </w:r>
          </w:p>
        </w:tc>
      </w:tr>
    </w:tbl>
    <w:p w14:paraId="7B77DD69" w14:textId="77777777" w:rsidR="00BE71AF" w:rsidRPr="001455DC" w:rsidRDefault="00BE71AF" w:rsidP="00BE71AF">
      <w:pPr>
        <w:pStyle w:val="KeyTitle"/>
      </w:pPr>
      <w:r w:rsidRPr="001455DC">
        <w:t>Key</w:t>
      </w:r>
    </w:p>
    <w:tbl>
      <w:tblPr>
        <w:tblW w:w="9809" w:type="dxa"/>
        <w:tblLayout w:type="fixed"/>
        <w:tblCellMar>
          <w:left w:w="28" w:type="dxa"/>
          <w:right w:w="28" w:type="dxa"/>
        </w:tblCellMar>
        <w:tblLook w:val="0000" w:firstRow="0" w:lastRow="0" w:firstColumn="0" w:lastColumn="0" w:noHBand="0" w:noVBand="0"/>
      </w:tblPr>
      <w:tblGrid>
        <w:gridCol w:w="9809"/>
      </w:tblGrid>
      <w:tr w:rsidR="00BE71AF" w:rsidRPr="001455DC" w14:paraId="5676E4E1" w14:textId="77777777" w:rsidTr="00BE71AF">
        <w:tc>
          <w:tcPr>
            <w:tcW w:w="9809" w:type="dxa"/>
            <w:shd w:val="clear" w:color="auto" w:fill="auto"/>
          </w:tcPr>
          <w:p w14:paraId="0C55E676" w14:textId="023C0958" w:rsidR="00BE71AF" w:rsidRPr="001455DC" w:rsidRDefault="00BE71AF" w:rsidP="00BE71AF">
            <w:pPr>
              <w:pStyle w:val="KeyText"/>
              <w:tabs>
                <w:tab w:val="clear" w:pos="346"/>
              </w:tabs>
              <w:ind w:left="0" w:firstLine="0"/>
            </w:pPr>
            <w:r w:rsidRPr="001455DC">
              <w:rPr>
                <w:rStyle w:val="CCMCvariableitalic"/>
              </w:rPr>
              <w:t>s</w:t>
            </w:r>
            <w:r w:rsidRPr="001455DC">
              <w:t> </w:t>
            </w:r>
            <w:r w:rsidR="00650035" w:rsidRPr="001455DC">
              <w:rPr>
                <w:rFonts w:ascii="Cambria Math" w:hAnsi="Cambria Math"/>
              </w:rPr>
              <w:t>≥</w:t>
            </w:r>
            <w:r w:rsidRPr="001455DC">
              <w:t> max{2</w:t>
            </w:r>
            <w:r w:rsidRPr="001455DC">
              <w:rPr>
                <w:rStyle w:val="CCMCvariableitalic"/>
              </w:rPr>
              <w:t>ϕ</w:t>
            </w:r>
            <w:r w:rsidRPr="001455DC">
              <w:t>; 20 mm} and </w:t>
            </w:r>
            <w:r w:rsidR="00650035" w:rsidRPr="001455DC">
              <w:rPr>
                <w:rFonts w:ascii="Cambria Math" w:hAnsi="Cambria Math"/>
              </w:rPr>
              <w:t>≤</w:t>
            </w:r>
            <w:r w:rsidRPr="001455DC">
              <w:t> 50 mm</w:t>
            </w:r>
          </w:p>
        </w:tc>
      </w:tr>
      <w:tr w:rsidR="00BE71AF" w:rsidRPr="001455DC" w14:paraId="3230BE4C" w14:textId="77777777" w:rsidTr="00BE71AF">
        <w:tc>
          <w:tcPr>
            <w:tcW w:w="9809" w:type="dxa"/>
            <w:shd w:val="clear" w:color="auto" w:fill="auto"/>
          </w:tcPr>
          <w:p w14:paraId="2A3AF0B3" w14:textId="212BC5FD" w:rsidR="00BE71AF" w:rsidRPr="001455DC" w:rsidRDefault="00BE71AF" w:rsidP="00BE71AF">
            <w:pPr>
              <w:pStyle w:val="KeyText"/>
              <w:tabs>
                <w:tab w:val="clear" w:pos="346"/>
              </w:tabs>
              <w:ind w:left="0" w:firstLine="0"/>
            </w:pPr>
            <w:r w:rsidRPr="001455DC">
              <w:rPr>
                <w:rStyle w:val="CCMCvariableitalic"/>
              </w:rPr>
              <w:t>a</w:t>
            </w:r>
            <w:r w:rsidRPr="001455DC">
              <w:t> </w:t>
            </w:r>
            <w:r w:rsidR="00650035" w:rsidRPr="001455DC">
              <w:rPr>
                <w:rFonts w:ascii="Cambria Math" w:hAnsi="Cambria Math"/>
              </w:rPr>
              <w:t>≥</w:t>
            </w:r>
            <w:r w:rsidRPr="001455DC">
              <w:t> 10 mm</w:t>
            </w:r>
          </w:p>
        </w:tc>
      </w:tr>
      <w:tr w:rsidR="00BE71AF" w:rsidRPr="001455DC" w14:paraId="2F092935" w14:textId="77777777" w:rsidTr="00BE71AF">
        <w:tc>
          <w:tcPr>
            <w:tcW w:w="9809" w:type="dxa"/>
            <w:shd w:val="clear" w:color="auto" w:fill="auto"/>
          </w:tcPr>
          <w:p w14:paraId="30AB19CA" w14:textId="5B52A752" w:rsidR="00BE71AF" w:rsidRPr="001455DC" w:rsidRDefault="00BE71AF" w:rsidP="00BE71AF">
            <w:pPr>
              <w:pStyle w:val="KeyText"/>
              <w:tabs>
                <w:tab w:val="clear" w:pos="346"/>
              </w:tabs>
              <w:ind w:left="0" w:firstLine="0"/>
            </w:pPr>
            <w:r w:rsidRPr="001455DC">
              <w:rPr>
                <w:rStyle w:val="CCMCvariableitalic"/>
              </w:rPr>
              <w:t>c</w:t>
            </w:r>
            <w:r w:rsidRPr="001455DC">
              <w:t> </w:t>
            </w:r>
            <w:r w:rsidR="00650035" w:rsidRPr="001455DC">
              <w:rPr>
                <w:rFonts w:ascii="Cambria Math" w:hAnsi="Cambria Math"/>
              </w:rPr>
              <w:t>≥</w:t>
            </w:r>
            <w:r w:rsidRPr="001455DC">
              <w:t> max{3</w:t>
            </w:r>
            <w:r w:rsidRPr="001455DC">
              <w:rPr>
                <w:rStyle w:val="CCMCvariableitalic"/>
              </w:rPr>
              <w:t>ϕ</w:t>
            </w:r>
            <w:r w:rsidRPr="001455DC">
              <w:t>; 50 mm}</w:t>
            </w:r>
          </w:p>
        </w:tc>
      </w:tr>
    </w:tbl>
    <w:p w14:paraId="7E920E71" w14:textId="6CD268C1" w:rsidR="004E22C1" w:rsidRPr="001455DC" w:rsidRDefault="004E22C1" w:rsidP="00BE71AF">
      <w:pPr>
        <w:pStyle w:val="Figuretitle"/>
        <w:rPr>
          <w:noProof/>
          <w:lang w:eastAsia="de-DE"/>
        </w:rPr>
      </w:pPr>
      <w:r w:rsidRPr="001455DC">
        <w:t>Figure 12.2 — Anchorage of links a)</w:t>
      </w:r>
      <w:r w:rsidR="00605B61" w:rsidRPr="001455DC">
        <w:t>–</w:t>
      </w:r>
      <w:r w:rsidRPr="001455DC">
        <w:t>e) and closing of stirrups f)</w:t>
      </w:r>
      <w:r w:rsidR="00605B61" w:rsidRPr="001455DC">
        <w:t>–</w:t>
      </w:r>
      <w:r w:rsidRPr="001455DC">
        <w:t>h)</w:t>
      </w:r>
    </w:p>
    <w:p w14:paraId="4440FB5D" w14:textId="138592A5" w:rsidR="004E22C1" w:rsidRPr="001455DC" w:rsidRDefault="004E22C1" w:rsidP="00BE71AF">
      <w:pPr>
        <w:pStyle w:val="a7"/>
      </w:pPr>
      <w:r w:rsidRPr="001455DC">
        <w:rPr>
          <w:noProof/>
          <w:lang w:eastAsia="de-DE"/>
        </w:rPr>
        <w:t>(6)</w:t>
      </w:r>
      <w:r w:rsidRPr="001455DC">
        <w:rPr>
          <w:noProof/>
          <w:lang w:eastAsia="de-DE"/>
        </w:rPr>
        <w:tab/>
      </w:r>
      <w:r w:rsidRPr="001455DC">
        <w:t>Laps on legs of stirrups in shear reinforcement may be used provided they ensure yielding of the stirrup (see Figure 12.</w:t>
      </w:r>
      <w:r w:rsidR="00C167D2" w:rsidRPr="001455DC">
        <w:t>3d</w:t>
      </w:r>
      <w:r w:rsidRPr="001455DC">
        <w:t xml:space="preserve">)). Laps shall be designed according to 11.5 for </w:t>
      </w:r>
      <w:r w:rsidRPr="001455DC">
        <w:rPr>
          <w:rStyle w:val="CCMCvariableitalic"/>
        </w:rPr>
        <w:t>σ</w:t>
      </w:r>
      <w:r w:rsidRPr="001455DC">
        <w:rPr>
          <w:rStyle w:val="CCMCvariablesubscript"/>
        </w:rPr>
        <w:t>sd</w:t>
      </w:r>
      <w:r w:rsidRPr="001455DC">
        <w:t> </w:t>
      </w:r>
      <w:r w:rsidR="00EC27D2" w:rsidRPr="001455DC">
        <w:rPr>
          <w:rFonts w:ascii="Cambria Math" w:hAnsi="Cambria Math"/>
        </w:rPr>
        <w:t>=</w:t>
      </w:r>
      <w:r w:rsidRPr="001455DC">
        <w:t> 1,2</w:t>
      </w:r>
      <w:r w:rsidRPr="001455DC">
        <w:rPr>
          <w:rStyle w:val="CCMCvariableitalic"/>
        </w:rPr>
        <w:t>f</w:t>
      </w:r>
      <w:r w:rsidRPr="001455DC">
        <w:rPr>
          <w:rStyle w:val="CCMCvariablesubscript"/>
        </w:rPr>
        <w:t>yd</w:t>
      </w:r>
      <w:r w:rsidRPr="001455DC">
        <w:t>.</w:t>
      </w:r>
    </w:p>
    <w:p w14:paraId="0BF7F16F" w14:textId="77777777" w:rsidR="004E22C1" w:rsidRPr="001455DC" w:rsidRDefault="004E22C1" w:rsidP="00BE71AF">
      <w:pPr>
        <w:pStyle w:val="a7"/>
      </w:pPr>
      <w:r w:rsidRPr="001455DC">
        <w:t>(7)</w:t>
      </w:r>
      <w:r w:rsidRPr="001455DC">
        <w:tab/>
        <w:t>When static equilibrium assumed in the analysis depends on the torsional resistance of elements of a structure, the torsion reinforcement shall comply with the rules given 12.3.3(7) and Figure 12.3. and shall enclose the whole section. When torsion arises only from compatibility and the structure is not dependent on torsional resistance for its equilibrium, minimum torsional reinforcement shall be provided according to Table 12.1(NDP).</w:t>
      </w:r>
    </w:p>
    <w:p w14:paraId="41F5F036" w14:textId="77777777" w:rsidR="004E22C1" w:rsidRPr="001455DC" w:rsidRDefault="004E22C1" w:rsidP="00BE71AF">
      <w:pPr>
        <w:pStyle w:val="a7"/>
      </w:pPr>
      <w:r w:rsidRPr="001455DC">
        <w:t>(8)</w:t>
      </w:r>
      <w:r w:rsidRPr="001455DC">
        <w:tab/>
        <w:t>Torsion links shall be closed and anchored by means of laps or hooked ends (see Figure 12.3), and should be at an angle that does not deviate more than 10</w:t>
      </w:r>
      <w:r w:rsidRPr="001455DC">
        <w:rPr>
          <w:rStyle w:val="CCMCvariablesuperscript"/>
        </w:rPr>
        <w:t>o</w:t>
      </w:r>
      <w:r w:rsidRPr="001455DC">
        <w:t xml:space="preserve"> from the ideal angle of 90° to the axis of the structural element. In case of different inclinations, torsion reinforcement should be designed using appropriate stress fields.</w:t>
      </w:r>
    </w:p>
    <w:tbl>
      <w:tblPr>
        <w:tblStyle w:val="a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8"/>
        <w:gridCol w:w="2438"/>
        <w:gridCol w:w="2438"/>
        <w:gridCol w:w="2438"/>
      </w:tblGrid>
      <w:tr w:rsidR="00030466" w:rsidRPr="001455DC" w14:paraId="6A3302D2" w14:textId="77777777" w:rsidTr="00030466">
        <w:trPr>
          <w:cantSplit/>
          <w:jc w:val="center"/>
        </w:trPr>
        <w:tc>
          <w:tcPr>
            <w:tcW w:w="9752" w:type="dxa"/>
            <w:gridSpan w:val="4"/>
          </w:tcPr>
          <w:p w14:paraId="745489AF" w14:textId="460E61F9" w:rsidR="00030466" w:rsidRPr="001455DC" w:rsidRDefault="00723CF7" w:rsidP="00BE71AF">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"Y:\\STD_MGT\\STDDEL\\PRODUCTION\\etrans\\Download\\Z_FIRST_DEL\\SV\\00250\\00250269\\41_e_dr\\12_003.tif"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"Y:\\STD_MGT\\STDDEL\\PRODUCTION\\Standards\\00250\\269\\41_e_dr\\12_003.tif"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"Y:\\STD_MGT\\STDDEL\\PRODUCTION\\Standards\\00250\\269\\41_e_dr\\12_003.tif"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"Y:\\STD_MGT\\STDDEL\\PRODUCTION\\Standards\\00250\\269\\41_e_dr\\12_003.tif"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"Y:\\STD_MGT\\STDDEL\\PRODUCTION\\Standards\\00250\\269\\41_e_dr\\12_003.tif"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"Y:\\STD_MGT\\STDDEL\\PRODUCTION\\Standards\\00250\\269\\41_e_dr\\12_003.tif"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w:instrText>
            </w:r>
            <w:r w:rsidR="00231E33">
              <w:rPr>
                <w:noProof/>
                <w:lang w:eastAsia="en-GB"/>
              </w:rPr>
              <w:instrText>l\\Temp\\Temp1_00250269_e_20210902.zip.zip\\41_e_dr\\12_003.tif"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17408A5D">
                <v:shape id="_x0000_i1263" type="#_x0000_t75" style="width:468pt;height:156.75pt">
                  <v:imagedata r:id="rId496" r:href="rId497"/>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BE71AF" w:rsidRPr="002374A2" w14:paraId="26121E4B" w14:textId="77777777" w:rsidTr="00BE71AF">
        <w:trPr>
          <w:cantSplit/>
          <w:jc w:val="center"/>
        </w:trPr>
        <w:tc>
          <w:tcPr>
            <w:tcW w:w="2438" w:type="dxa"/>
          </w:tcPr>
          <w:p w14:paraId="06C7F721" w14:textId="77777777" w:rsidR="002374A2" w:rsidRPr="00D97DF6" w:rsidRDefault="002374A2" w:rsidP="002374A2">
            <w:pPr>
              <w:pStyle w:val="FigureText"/>
              <w:rPr>
                <w:bCs/>
              </w:rPr>
            </w:pPr>
            <w:r w:rsidRPr="00D97DF6">
              <w:rPr>
                <w:bCs/>
              </w:rPr>
              <w:t>a) closed stirrup with hooks bended </w:t>
            </w:r>
            <w:r w:rsidRPr="00D97DF6">
              <w:rPr>
                <w:rFonts w:ascii="Cambria Math" w:hAnsi="Cambria Math"/>
                <w:bCs/>
              </w:rPr>
              <w:t>≥</w:t>
            </w:r>
            <w:r w:rsidRPr="00D97DF6">
              <w:rPr>
                <w:bCs/>
              </w:rPr>
              <w:t> 135°</w:t>
            </w:r>
          </w:p>
          <w:p w14:paraId="6C0BB182" w14:textId="065774E0" w:rsidR="00BE71AF" w:rsidRPr="009D3012" w:rsidRDefault="00BE71AF" w:rsidP="00BE71AF">
            <w:pPr>
              <w:pStyle w:val="FigureText"/>
              <w:jc w:val="center"/>
              <w:rPr>
                <w:bCs/>
              </w:rPr>
            </w:pPr>
          </w:p>
        </w:tc>
        <w:tc>
          <w:tcPr>
            <w:tcW w:w="2438" w:type="dxa"/>
          </w:tcPr>
          <w:p w14:paraId="011A0A7A" w14:textId="77777777" w:rsidR="002374A2" w:rsidRPr="00DC4D1A" w:rsidRDefault="002374A2" w:rsidP="002374A2">
            <w:pPr>
              <w:pStyle w:val="FigureText"/>
              <w:rPr>
                <w:bCs/>
              </w:rPr>
            </w:pPr>
            <w:r w:rsidRPr="00DC4D1A">
              <w:rPr>
                <w:bCs/>
              </w:rPr>
              <w:t>b) closed stirrup with 90°-hooks</w:t>
            </w:r>
          </w:p>
          <w:p w14:paraId="17A5C596" w14:textId="642B59F0" w:rsidR="00BE71AF" w:rsidRPr="009D3012" w:rsidRDefault="00BE71AF" w:rsidP="00BE71AF">
            <w:pPr>
              <w:pStyle w:val="FigureText"/>
              <w:jc w:val="center"/>
              <w:rPr>
                <w:bCs/>
              </w:rPr>
            </w:pPr>
          </w:p>
        </w:tc>
        <w:tc>
          <w:tcPr>
            <w:tcW w:w="2438" w:type="dxa"/>
          </w:tcPr>
          <w:p w14:paraId="0610E45E" w14:textId="77777777" w:rsidR="002374A2" w:rsidRPr="0034211C" w:rsidRDefault="002374A2" w:rsidP="002374A2">
            <w:pPr>
              <w:pStyle w:val="FigureText"/>
              <w:rPr>
                <w:bCs/>
              </w:rPr>
            </w:pPr>
            <w:r w:rsidRPr="0034211C">
              <w:rPr>
                <w:bCs/>
              </w:rPr>
              <w:t>c) open U-stirrups closed by transversal reinforcement in the flange</w:t>
            </w:r>
          </w:p>
          <w:p w14:paraId="4D99BA9F" w14:textId="6E263E9A" w:rsidR="00BE71AF" w:rsidRPr="009D3012" w:rsidRDefault="00BE71AF" w:rsidP="00BE71AF">
            <w:pPr>
              <w:pStyle w:val="FigureText"/>
              <w:jc w:val="center"/>
              <w:rPr>
                <w:bCs/>
              </w:rPr>
            </w:pPr>
          </w:p>
        </w:tc>
        <w:tc>
          <w:tcPr>
            <w:tcW w:w="2438" w:type="dxa"/>
          </w:tcPr>
          <w:p w14:paraId="42C64055" w14:textId="77777777" w:rsidR="002374A2" w:rsidRPr="002B2D8C" w:rsidRDefault="002374A2" w:rsidP="002374A2">
            <w:pPr>
              <w:pStyle w:val="FigureText"/>
              <w:rPr>
                <w:bCs/>
              </w:rPr>
            </w:pPr>
            <w:r w:rsidRPr="002B2D8C">
              <w:rPr>
                <w:bCs/>
              </w:rPr>
              <w:t xml:space="preserve">d) U-stirrups closed by laps in the height of flanges with </w:t>
            </w:r>
            <w:r w:rsidRPr="002B2D8C">
              <w:rPr>
                <w:rStyle w:val="CCMCvariableitalic"/>
                <w:bCs/>
              </w:rPr>
              <w:t>l</w:t>
            </w:r>
            <w:r w:rsidRPr="002B2D8C">
              <w:rPr>
                <w:rStyle w:val="CCMCvariablesubscript"/>
                <w:bCs/>
              </w:rPr>
              <w:t>sd</w:t>
            </w:r>
            <w:r w:rsidRPr="002B2D8C">
              <w:rPr>
                <w:bCs/>
              </w:rPr>
              <w:t xml:space="preserve"> to be designed for 1,2</w:t>
            </w:r>
            <w:r w:rsidRPr="002B2D8C">
              <w:rPr>
                <w:rStyle w:val="CCMCvariableitalic"/>
                <w:bCs/>
              </w:rPr>
              <w:t>f</w:t>
            </w:r>
            <w:r w:rsidRPr="002B2D8C">
              <w:rPr>
                <w:rStyle w:val="CCMCvariablesubscript"/>
                <w:bCs/>
              </w:rPr>
              <w:t>yd</w:t>
            </w:r>
          </w:p>
          <w:p w14:paraId="329C0254" w14:textId="4C3C81CC" w:rsidR="00BE71AF" w:rsidRPr="009D3012" w:rsidRDefault="00BE71AF" w:rsidP="00BE71AF">
            <w:pPr>
              <w:pStyle w:val="FigureText"/>
              <w:jc w:val="center"/>
              <w:rPr>
                <w:bCs/>
              </w:rPr>
            </w:pPr>
          </w:p>
        </w:tc>
      </w:tr>
    </w:tbl>
    <w:p w14:paraId="5EDB5BA9" w14:textId="5BA3DF81" w:rsidR="004E22C1" w:rsidRPr="001455DC" w:rsidRDefault="004E22C1" w:rsidP="00BE71AF">
      <w:pPr>
        <w:pStyle w:val="Figurenote"/>
      </w:pPr>
      <w:r w:rsidRPr="001455DC">
        <w:rPr>
          <w:bCs/>
        </w:rPr>
        <w:t>NOTE</w:t>
      </w:r>
      <w:r w:rsidRPr="001455DC">
        <w:rPr>
          <w:bCs/>
        </w:rPr>
        <w:tab/>
      </w:r>
      <w:r w:rsidRPr="001455DC">
        <w:t xml:space="preserve">The alternative b2) has a full lap length </w:t>
      </w:r>
      <w:r w:rsidRPr="001455DC">
        <w:rPr>
          <w:rStyle w:val="CCMCvariableitalic"/>
        </w:rPr>
        <w:t>l</w:t>
      </w:r>
      <w:r w:rsidRPr="001455DC">
        <w:rPr>
          <w:rStyle w:val="CCMCvariablesubscript"/>
        </w:rPr>
        <w:t>sd</w:t>
      </w:r>
      <w:r w:rsidRPr="001455DC">
        <w:t xml:space="preserve"> along the shortest side.</w:t>
      </w:r>
    </w:p>
    <w:p w14:paraId="20585CD4" w14:textId="77777777" w:rsidR="004E22C1" w:rsidRPr="001455DC" w:rsidRDefault="004E22C1" w:rsidP="00BE71AF">
      <w:pPr>
        <w:pStyle w:val="Figuretitle"/>
        <w:rPr>
          <w:bCs/>
          <w:lang w:eastAsia="de-DE"/>
        </w:rPr>
      </w:pPr>
      <w:r w:rsidRPr="001455DC">
        <w:t>Figure 12.3 — Examples of shapes for torsion links</w:t>
      </w:r>
    </w:p>
    <w:p w14:paraId="78EE0335" w14:textId="77777777" w:rsidR="004E22C1" w:rsidRPr="001455DC" w:rsidRDefault="004E22C1" w:rsidP="00BE71AF">
      <w:pPr>
        <w:pStyle w:val="a7"/>
        <w:rPr>
          <w:lang w:eastAsia="de-DE"/>
        </w:rPr>
      </w:pPr>
      <w:r w:rsidRPr="001455DC">
        <w:rPr>
          <w:bCs/>
          <w:lang w:eastAsia="de-DE"/>
        </w:rPr>
        <w:t>(9)</w:t>
      </w:r>
      <w:r w:rsidRPr="001455DC">
        <w:rPr>
          <w:bCs/>
          <w:lang w:eastAsia="de-DE"/>
        </w:rPr>
        <w:tab/>
      </w:r>
      <w:r w:rsidRPr="001455DC">
        <w:t>The longitudinal bars should be arranged so that there is at least one bar at each corner, the others being distributed uniformly around the inner periphery of the links, with a spacing not greater than permitted in Table 12.1(NDP).</w:t>
      </w:r>
    </w:p>
    <w:p w14:paraId="5DFE126C" w14:textId="26702502" w:rsidR="004E22C1" w:rsidRPr="001455DC" w:rsidRDefault="004E22C1" w:rsidP="00243590">
      <w:pPr>
        <w:pStyle w:val="31"/>
      </w:pPr>
      <w:bookmarkStart w:id="921" w:name="_Toc52820060"/>
      <w:bookmarkStart w:id="922" w:name="_Toc54337462"/>
      <w:bookmarkStart w:id="923" w:name="_Toc54338116"/>
      <w:bookmarkStart w:id="924" w:name="_Toc67565460"/>
      <w:r w:rsidRPr="001455DC">
        <w:t>Suspension reinforcement for indirect support</w:t>
      </w:r>
      <w:bookmarkEnd w:id="921"/>
      <w:bookmarkEnd w:id="922"/>
      <w:bookmarkEnd w:id="923"/>
      <w:bookmarkEnd w:id="924"/>
    </w:p>
    <w:p w14:paraId="771590F9" w14:textId="0C90BB99" w:rsidR="004E22C1" w:rsidRPr="001455DC" w:rsidRDefault="004E22C1" w:rsidP="00BE71AF">
      <w:pPr>
        <w:pStyle w:val="a7"/>
      </w:pPr>
      <w:r w:rsidRPr="001455DC">
        <w:t>(1)</w:t>
      </w:r>
      <w:r w:rsidRPr="001455DC">
        <w:tab/>
        <w:t>Where applied loads are introduced in a manner that causes local tensile stresses in the supporting member in accordance with 8.2.1(9), the additional suspension reinforcement should consist of stirrups or links surrounding the principal reinforcement of the supporting/supported member, whichever is at a lower level, unless a suitable stress field model demonstrates otherwise. The stirrups/links may be located inside the volume of concrete common to the two beams or distributed also outside that volume, provided a consistent strut and tie model is applied.</w:t>
      </w:r>
    </w:p>
    <w:p w14:paraId="11679533" w14:textId="758137A4" w:rsidR="004E22C1" w:rsidRPr="001455DC" w:rsidRDefault="004E22C1" w:rsidP="006D682B">
      <w:pPr>
        <w:pStyle w:val="21"/>
      </w:pPr>
      <w:bookmarkStart w:id="925" w:name="_Toc52820061"/>
      <w:bookmarkStart w:id="926" w:name="_Toc54337463"/>
      <w:bookmarkStart w:id="927" w:name="_Toc54338117"/>
      <w:bookmarkStart w:id="928" w:name="_Toc67565461"/>
      <w:r w:rsidRPr="001455DC">
        <w:t>Slabs</w:t>
      </w:r>
      <w:bookmarkEnd w:id="925"/>
      <w:bookmarkEnd w:id="926"/>
      <w:bookmarkEnd w:id="927"/>
      <w:bookmarkEnd w:id="928"/>
    </w:p>
    <w:p w14:paraId="4DD37901" w14:textId="37488E20" w:rsidR="004E22C1" w:rsidRPr="001455DC" w:rsidRDefault="004E22C1" w:rsidP="00243590">
      <w:pPr>
        <w:pStyle w:val="31"/>
      </w:pPr>
      <w:bookmarkStart w:id="929" w:name="_Toc52820062"/>
      <w:bookmarkStart w:id="930" w:name="_Toc54337464"/>
      <w:bookmarkStart w:id="931" w:name="_Toc54338118"/>
      <w:bookmarkStart w:id="932" w:name="_Toc67565462"/>
      <w:r w:rsidRPr="001455DC">
        <w:t>General</w:t>
      </w:r>
      <w:bookmarkEnd w:id="929"/>
      <w:bookmarkEnd w:id="930"/>
      <w:bookmarkEnd w:id="931"/>
      <w:bookmarkEnd w:id="932"/>
    </w:p>
    <w:p w14:paraId="44D5ED09" w14:textId="42FA5304" w:rsidR="004E22C1" w:rsidRPr="001455DC" w:rsidRDefault="004E22C1" w:rsidP="00BE71AF">
      <w:pPr>
        <w:pStyle w:val="a7"/>
      </w:pPr>
      <w:r w:rsidRPr="001455DC">
        <w:t>(1)</w:t>
      </w:r>
      <w:r w:rsidRPr="001455DC">
        <w:tab/>
        <w:t>Reinforcement in slabs</w:t>
      </w:r>
      <w:r w:rsidR="002951BB" w:rsidRPr="001455DC">
        <w:t xml:space="preserve"> </w:t>
      </w:r>
      <w:r w:rsidRPr="001455DC">
        <w:t>should be detailed in accordance with the requirements of Table 12.2(NDP).</w:t>
      </w:r>
    </w:p>
    <w:p w14:paraId="5DF34BA8" w14:textId="77777777" w:rsidR="004E22C1" w:rsidRPr="001455DC" w:rsidRDefault="004E22C1" w:rsidP="00BE71AF">
      <w:pPr>
        <w:pStyle w:val="Note"/>
      </w:pPr>
      <w:r w:rsidRPr="001455DC">
        <w:t>NOTE</w:t>
      </w:r>
      <w:r w:rsidRPr="001455DC">
        <w:tab/>
        <w:t>The recommended values in Table 12.2(NDP) apply unless a National Annex gives other values.</w:t>
      </w:r>
    </w:p>
    <w:p w14:paraId="59AA609E" w14:textId="77777777" w:rsidR="004E22C1" w:rsidRPr="001455DC" w:rsidRDefault="004E22C1" w:rsidP="00BE71AF">
      <w:pPr>
        <w:pStyle w:val="Tabletitle"/>
      </w:pPr>
      <w:bookmarkStart w:id="933" w:name="_Toc54337465"/>
      <w:r w:rsidRPr="001455DC">
        <w:t>Table 12.2(NDP) — Detailing requirements for reinforcement in slabs</w:t>
      </w:r>
      <w:bookmarkEnd w:id="933"/>
    </w:p>
    <w:tbl>
      <w:tblPr>
        <w:tblStyle w:val="53"/>
        <w:tblW w:w="9752" w:type="dxa"/>
        <w:tblLayout w:type="fixed"/>
        <w:tblCellMar>
          <w:left w:w="71" w:type="dxa"/>
          <w:right w:w="71" w:type="dxa"/>
        </w:tblCellMar>
        <w:tblLook w:val="0660" w:firstRow="1" w:lastRow="1" w:firstColumn="0" w:lastColumn="0" w:noHBand="1" w:noVBand="1"/>
      </w:tblPr>
      <w:tblGrid>
        <w:gridCol w:w="497"/>
        <w:gridCol w:w="5782"/>
        <w:gridCol w:w="1157"/>
        <w:gridCol w:w="2316"/>
      </w:tblGrid>
      <w:tr w:rsidR="004E22C1" w:rsidRPr="001455DC" w14:paraId="2826293B" w14:textId="77777777" w:rsidTr="00BE71AF">
        <w:trPr>
          <w:cnfStyle w:val="100000000000" w:firstRow="1" w:lastRow="0" w:firstColumn="0" w:lastColumn="0" w:oddVBand="0" w:evenVBand="0" w:oddHBand="0" w:evenHBand="0" w:firstRowFirstColumn="0" w:firstRowLastColumn="0" w:lastRowFirstColumn="0" w:lastRowLastColumn="0"/>
          <w:cantSplit/>
          <w:tblHeader/>
        </w:trPr>
        <w:tc>
          <w:tcPr>
            <w:tcW w:w="5382" w:type="dxa"/>
            <w:gridSpan w:val="2"/>
          </w:tcPr>
          <w:p w14:paraId="78497F83" w14:textId="77777777" w:rsidR="004E22C1" w:rsidRPr="001455DC" w:rsidRDefault="004E22C1" w:rsidP="00BE71AF">
            <w:pPr>
              <w:pStyle w:val="Tableheader"/>
              <w:keepNext/>
            </w:pPr>
            <w:r w:rsidRPr="001455DC">
              <w:t>Description</w:t>
            </w:r>
          </w:p>
        </w:tc>
        <w:tc>
          <w:tcPr>
            <w:tcW w:w="992" w:type="dxa"/>
          </w:tcPr>
          <w:p w14:paraId="36ADB6EE" w14:textId="77777777" w:rsidR="004E22C1" w:rsidRPr="001455DC" w:rsidRDefault="004E22C1" w:rsidP="00BE71AF">
            <w:pPr>
              <w:pStyle w:val="Tableheader"/>
              <w:keepNext/>
            </w:pPr>
            <w:r w:rsidRPr="001455DC">
              <w:t>Symbol</w:t>
            </w:r>
          </w:p>
        </w:tc>
        <w:tc>
          <w:tcPr>
            <w:tcW w:w="1985" w:type="dxa"/>
          </w:tcPr>
          <w:p w14:paraId="414FA97E" w14:textId="77777777" w:rsidR="004E22C1" w:rsidRPr="001455DC" w:rsidRDefault="004E22C1" w:rsidP="00BE71AF">
            <w:pPr>
              <w:pStyle w:val="Tableheader"/>
              <w:keepNext/>
            </w:pPr>
            <w:r w:rsidRPr="001455DC">
              <w:t>Requirement</w:t>
            </w:r>
          </w:p>
        </w:tc>
      </w:tr>
      <w:tr w:rsidR="004E22C1" w:rsidRPr="001455DC" w14:paraId="5835833B" w14:textId="77777777" w:rsidTr="00BE71AF">
        <w:trPr>
          <w:cantSplit/>
        </w:trPr>
        <w:tc>
          <w:tcPr>
            <w:tcW w:w="426" w:type="dxa"/>
            <w:vAlign w:val="center"/>
          </w:tcPr>
          <w:p w14:paraId="5B0889D5" w14:textId="77777777" w:rsidR="004E22C1" w:rsidRPr="001455DC" w:rsidRDefault="004E22C1" w:rsidP="00BE71AF">
            <w:pPr>
              <w:pStyle w:val="Tablebody"/>
              <w:keepNext/>
              <w:jc w:val="center"/>
            </w:pPr>
            <w:r w:rsidRPr="001455DC">
              <w:t>1</w:t>
            </w:r>
          </w:p>
        </w:tc>
        <w:tc>
          <w:tcPr>
            <w:tcW w:w="4956" w:type="dxa"/>
            <w:vAlign w:val="center"/>
          </w:tcPr>
          <w:p w14:paraId="719CA291" w14:textId="77777777" w:rsidR="004E22C1" w:rsidRPr="009D3012" w:rsidRDefault="004E22C1" w:rsidP="00BE71AF">
            <w:pPr>
              <w:pStyle w:val="Tablebody"/>
              <w:keepNext/>
              <w:jc w:val="left"/>
              <w:rPr>
                <w:lang w:val="en-US"/>
              </w:rPr>
            </w:pPr>
            <w:r w:rsidRPr="009D3012">
              <w:rPr>
                <w:rFonts w:eastAsiaTheme="minorHAnsi"/>
                <w:lang w:val="en-US"/>
              </w:rPr>
              <w:t>Minimum longitudinal reinforcement in those parts of the cross section where tension may occur</w:t>
            </w:r>
          </w:p>
        </w:tc>
        <w:tc>
          <w:tcPr>
            <w:tcW w:w="992" w:type="dxa"/>
            <w:vAlign w:val="center"/>
          </w:tcPr>
          <w:p w14:paraId="21158DFD" w14:textId="77777777" w:rsidR="004E22C1" w:rsidRPr="001455DC" w:rsidRDefault="004E22C1" w:rsidP="00BE71AF">
            <w:pPr>
              <w:pStyle w:val="Tablebody"/>
              <w:keepNext/>
              <w:jc w:val="left"/>
            </w:pPr>
            <w:r w:rsidRPr="001455DC">
              <w:rPr>
                <w:rStyle w:val="CCMCvariableitalic"/>
              </w:rPr>
              <w:t>A</w:t>
            </w:r>
            <w:r w:rsidRPr="001455DC">
              <w:rPr>
                <w:rStyle w:val="CCMCvariablesubscript"/>
              </w:rPr>
              <w:t>s,min</w:t>
            </w:r>
          </w:p>
        </w:tc>
        <w:tc>
          <w:tcPr>
            <w:tcW w:w="1985" w:type="dxa"/>
            <w:vAlign w:val="center"/>
          </w:tcPr>
          <w:p w14:paraId="52F4D962" w14:textId="77777777" w:rsidR="004E22C1" w:rsidRPr="009D3012" w:rsidRDefault="004E22C1" w:rsidP="000D02C0">
            <w:pPr>
              <w:pStyle w:val="Tablebody"/>
              <w:keepNext/>
              <w:jc w:val="left"/>
            </w:pPr>
            <w:r w:rsidRPr="009D3012">
              <w:t>12.2(2)</w:t>
            </w:r>
          </w:p>
          <w:p w14:paraId="16446077" w14:textId="77777777" w:rsidR="004E22C1" w:rsidRPr="001455DC" w:rsidRDefault="004E22C1" w:rsidP="000D02C0">
            <w:pPr>
              <w:pStyle w:val="Tablebody"/>
              <w:keepNext/>
              <w:jc w:val="left"/>
            </w:pPr>
            <w:r w:rsidRPr="001455DC">
              <w:t>see also 12.2(3), (6)</w:t>
            </w:r>
          </w:p>
        </w:tc>
      </w:tr>
      <w:tr w:rsidR="004E22C1" w:rsidRPr="001455DC" w14:paraId="02D8089A" w14:textId="77777777" w:rsidTr="00BE71AF">
        <w:trPr>
          <w:cantSplit/>
        </w:trPr>
        <w:tc>
          <w:tcPr>
            <w:tcW w:w="426" w:type="dxa"/>
            <w:vAlign w:val="center"/>
          </w:tcPr>
          <w:p w14:paraId="17F84BA6" w14:textId="77777777" w:rsidR="004E22C1" w:rsidRPr="001455DC" w:rsidRDefault="004E22C1" w:rsidP="00BE71AF">
            <w:pPr>
              <w:pStyle w:val="Tablebody"/>
              <w:keepNext/>
              <w:jc w:val="center"/>
            </w:pPr>
            <w:r w:rsidRPr="001455DC">
              <w:t>2</w:t>
            </w:r>
          </w:p>
        </w:tc>
        <w:tc>
          <w:tcPr>
            <w:tcW w:w="4956" w:type="dxa"/>
            <w:vAlign w:val="center"/>
          </w:tcPr>
          <w:p w14:paraId="2B7AD149" w14:textId="77777777" w:rsidR="004E22C1" w:rsidRPr="009D3012" w:rsidRDefault="004E22C1" w:rsidP="00BE71AF">
            <w:pPr>
              <w:pStyle w:val="Tablebody"/>
              <w:keepNext/>
              <w:jc w:val="left"/>
              <w:rPr>
                <w:lang w:val="en-US"/>
              </w:rPr>
            </w:pPr>
            <w:r w:rsidRPr="009D3012">
              <w:rPr>
                <w:lang w:val="en-US"/>
              </w:rPr>
              <w:t>Minimum shear reinforcement, when required</w:t>
            </w:r>
          </w:p>
        </w:tc>
        <w:tc>
          <w:tcPr>
            <w:tcW w:w="992" w:type="dxa"/>
            <w:vAlign w:val="center"/>
          </w:tcPr>
          <w:p w14:paraId="21BB96EB" w14:textId="77777777" w:rsidR="004E22C1" w:rsidRPr="009D3012" w:rsidRDefault="004E22C1" w:rsidP="00BE71AF">
            <w:pPr>
              <w:pStyle w:val="Tablebody"/>
              <w:keepNext/>
              <w:jc w:val="left"/>
              <w:rPr>
                <w:rStyle w:val="CCMCvariableitalic"/>
              </w:rPr>
            </w:pPr>
            <w:r w:rsidRPr="001455DC">
              <w:rPr>
                <w:rStyle w:val="CCMCvariableitalic"/>
              </w:rPr>
              <w:t>ρ</w:t>
            </w:r>
            <w:r w:rsidRPr="001455DC">
              <w:rPr>
                <w:rStyle w:val="CCMCvariablesubscript"/>
              </w:rPr>
              <w:t>w,min</w:t>
            </w:r>
          </w:p>
        </w:tc>
        <w:tc>
          <w:tcPr>
            <w:tcW w:w="1985" w:type="dxa"/>
            <w:vAlign w:val="center"/>
          </w:tcPr>
          <w:p w14:paraId="34996E18" w14:textId="77777777" w:rsidR="004E22C1" w:rsidRPr="009D3012" w:rsidRDefault="004E22C1" w:rsidP="000D02C0">
            <w:pPr>
              <w:pStyle w:val="Tablebody"/>
              <w:keepNext/>
              <w:jc w:val="left"/>
            </w:pPr>
            <w:r w:rsidRPr="009D3012">
              <w:t>12.2(4)</w:t>
            </w:r>
          </w:p>
          <w:p w14:paraId="7D215573" w14:textId="77777777" w:rsidR="004E22C1" w:rsidRPr="009D3012" w:rsidRDefault="004E22C1" w:rsidP="000D02C0">
            <w:pPr>
              <w:pStyle w:val="Tablebody"/>
              <w:keepNext/>
              <w:jc w:val="left"/>
            </w:pPr>
            <w:r w:rsidRPr="009D3012">
              <w:t>12.4.2(3)</w:t>
            </w:r>
          </w:p>
        </w:tc>
      </w:tr>
      <w:tr w:rsidR="004E22C1" w:rsidRPr="001455DC" w14:paraId="7ABBDAA0" w14:textId="77777777" w:rsidTr="00BE71AF">
        <w:trPr>
          <w:cantSplit/>
        </w:trPr>
        <w:tc>
          <w:tcPr>
            <w:tcW w:w="426" w:type="dxa"/>
            <w:vAlign w:val="center"/>
          </w:tcPr>
          <w:p w14:paraId="34CEBE1C" w14:textId="77777777" w:rsidR="004E22C1" w:rsidRPr="001455DC" w:rsidRDefault="004E22C1" w:rsidP="00BE71AF">
            <w:pPr>
              <w:pStyle w:val="Tablebody"/>
              <w:keepNext/>
              <w:jc w:val="center"/>
            </w:pPr>
            <w:r w:rsidRPr="001455DC">
              <w:t>3</w:t>
            </w:r>
          </w:p>
        </w:tc>
        <w:tc>
          <w:tcPr>
            <w:tcW w:w="4956" w:type="dxa"/>
            <w:vAlign w:val="center"/>
          </w:tcPr>
          <w:p w14:paraId="7A5FFA8F" w14:textId="3B010A4F" w:rsidR="004E22C1" w:rsidRPr="001455DC" w:rsidRDefault="004E22C1" w:rsidP="00BE71AF">
            <w:pPr>
              <w:pStyle w:val="Tablebody"/>
              <w:keepNext/>
              <w:jc w:val="left"/>
            </w:pPr>
            <w:r w:rsidRPr="001455DC">
              <w:t>Minimum secondary reinforcement</w:t>
            </w:r>
            <w:r w:rsidRPr="001455DC">
              <w:rPr>
                <w:rStyle w:val="CCMCvariablesuperscript"/>
              </w:rPr>
              <w:t>a</w:t>
            </w:r>
          </w:p>
        </w:tc>
        <w:tc>
          <w:tcPr>
            <w:tcW w:w="992" w:type="dxa"/>
            <w:vAlign w:val="center"/>
          </w:tcPr>
          <w:p w14:paraId="4F1C2E3E" w14:textId="1F572759" w:rsidR="004E22C1" w:rsidRPr="001455DC" w:rsidRDefault="000D02C0" w:rsidP="00BE71AF">
            <w:pPr>
              <w:pStyle w:val="Tablebody"/>
              <w:keepNext/>
              <w:jc w:val="left"/>
              <w:rPr>
                <w:bCs/>
                <w:lang w:eastAsia="de-DE"/>
              </w:rPr>
            </w:pPr>
            <w:r w:rsidRPr="001455DC">
              <w:rPr>
                <w:bCs/>
                <w:lang w:eastAsia="de-DE"/>
              </w:rPr>
              <w:t> </w:t>
            </w:r>
          </w:p>
        </w:tc>
        <w:tc>
          <w:tcPr>
            <w:tcW w:w="1985" w:type="dxa"/>
            <w:vAlign w:val="center"/>
          </w:tcPr>
          <w:p w14:paraId="0726E8C1" w14:textId="1049FA75" w:rsidR="004E22C1" w:rsidRPr="001455DC" w:rsidRDefault="004E22C1" w:rsidP="000D02C0">
            <w:pPr>
              <w:pStyle w:val="Tablebody"/>
              <w:keepNext/>
              <w:jc w:val="left"/>
            </w:pPr>
            <w:r w:rsidRPr="001455DC">
              <w:t>0,2</w:t>
            </w:r>
            <w:r w:rsidRPr="001455DC">
              <w:rPr>
                <w:rStyle w:val="CCMCvariableitalic"/>
              </w:rPr>
              <w:t>A</w:t>
            </w:r>
            <w:r w:rsidRPr="001455DC">
              <w:rPr>
                <w:rStyle w:val="CCMCvariablesubscript"/>
              </w:rPr>
              <w:t>s,req,span</w:t>
            </w:r>
            <w:r w:rsidRPr="001455DC">
              <w:rPr>
                <w:rStyle w:val="CCMCvariablesuperscript"/>
              </w:rPr>
              <w:t>c</w:t>
            </w:r>
          </w:p>
        </w:tc>
      </w:tr>
      <w:tr w:rsidR="004E22C1" w:rsidRPr="001455DC" w14:paraId="5137592F" w14:textId="77777777" w:rsidTr="00BE71AF">
        <w:trPr>
          <w:cantSplit/>
        </w:trPr>
        <w:tc>
          <w:tcPr>
            <w:tcW w:w="426" w:type="dxa"/>
            <w:vAlign w:val="center"/>
          </w:tcPr>
          <w:p w14:paraId="13BF13E7" w14:textId="77777777" w:rsidR="004E22C1" w:rsidRPr="001455DC" w:rsidRDefault="004E22C1" w:rsidP="00BE71AF">
            <w:pPr>
              <w:pStyle w:val="Tablebody"/>
              <w:keepNext/>
              <w:jc w:val="center"/>
            </w:pPr>
            <w:r w:rsidRPr="001455DC">
              <w:t>4</w:t>
            </w:r>
          </w:p>
        </w:tc>
        <w:tc>
          <w:tcPr>
            <w:tcW w:w="4956" w:type="dxa"/>
            <w:vAlign w:val="center"/>
          </w:tcPr>
          <w:p w14:paraId="246B4E6D" w14:textId="31F55802" w:rsidR="004E22C1" w:rsidRPr="009D3012" w:rsidRDefault="004E22C1" w:rsidP="00BE71AF">
            <w:pPr>
              <w:pStyle w:val="Tablebody"/>
              <w:keepNext/>
              <w:jc w:val="left"/>
              <w:rPr>
                <w:lang w:val="en-US"/>
              </w:rPr>
            </w:pPr>
            <w:r w:rsidRPr="009D3012">
              <w:rPr>
                <w:lang w:val="en-US"/>
              </w:rPr>
              <w:t>Minimum longitudinal bottom reinforcement at inner supports, taking account of unforeseen effects at supports</w:t>
            </w:r>
          </w:p>
        </w:tc>
        <w:tc>
          <w:tcPr>
            <w:tcW w:w="992" w:type="dxa"/>
            <w:vAlign w:val="center"/>
          </w:tcPr>
          <w:p w14:paraId="43AC6657" w14:textId="09FB3CCB" w:rsidR="004E22C1" w:rsidRPr="009D3012" w:rsidRDefault="000D02C0" w:rsidP="00BE71AF">
            <w:pPr>
              <w:pStyle w:val="Tablebody"/>
              <w:keepNext/>
              <w:jc w:val="left"/>
              <w:rPr>
                <w:bCs/>
                <w:lang w:val="en-US" w:eastAsia="de-DE"/>
              </w:rPr>
            </w:pPr>
            <w:r w:rsidRPr="009D3012">
              <w:rPr>
                <w:bCs/>
                <w:lang w:val="en-US" w:eastAsia="de-DE"/>
              </w:rPr>
              <w:t> </w:t>
            </w:r>
          </w:p>
        </w:tc>
        <w:tc>
          <w:tcPr>
            <w:tcW w:w="1985" w:type="dxa"/>
            <w:vAlign w:val="center"/>
          </w:tcPr>
          <w:p w14:paraId="47DF0108" w14:textId="29585BCA" w:rsidR="004E22C1" w:rsidRPr="001455DC" w:rsidRDefault="004E22C1" w:rsidP="000D02C0">
            <w:pPr>
              <w:pStyle w:val="Tablebody"/>
              <w:keepNext/>
              <w:jc w:val="left"/>
            </w:pPr>
            <w:r w:rsidRPr="001455DC">
              <w:t>0,25</w:t>
            </w:r>
            <w:r w:rsidRPr="001455DC">
              <w:rPr>
                <w:rStyle w:val="CCMCvariableitalic"/>
              </w:rPr>
              <w:t>A</w:t>
            </w:r>
            <w:r w:rsidRPr="001455DC">
              <w:rPr>
                <w:rStyle w:val="CCMCvariablesubscript"/>
              </w:rPr>
              <w:t>s,req</w:t>
            </w:r>
            <w:r w:rsidR="00E844D2" w:rsidRPr="001455DC">
              <w:rPr>
                <w:rStyle w:val="CCMCvariablesubscript"/>
              </w:rPr>
              <w:t>,</w:t>
            </w:r>
            <w:r w:rsidRPr="001455DC">
              <w:rPr>
                <w:rStyle w:val="CCMCvariablesubscript"/>
              </w:rPr>
              <w:t>span</w:t>
            </w:r>
            <w:r w:rsidRPr="001455DC">
              <w:rPr>
                <w:rStyle w:val="CCMCvariablesuperscript"/>
              </w:rPr>
              <w:t>c</w:t>
            </w:r>
          </w:p>
        </w:tc>
      </w:tr>
      <w:tr w:rsidR="004E22C1" w:rsidRPr="001455DC" w14:paraId="1DDE3C74" w14:textId="77777777" w:rsidTr="00BE71AF">
        <w:trPr>
          <w:cantSplit/>
        </w:trPr>
        <w:tc>
          <w:tcPr>
            <w:tcW w:w="426" w:type="dxa"/>
            <w:vAlign w:val="center"/>
          </w:tcPr>
          <w:p w14:paraId="536552A4" w14:textId="77777777" w:rsidR="004E22C1" w:rsidRPr="001455DC" w:rsidRDefault="004E22C1" w:rsidP="00BE71AF">
            <w:pPr>
              <w:pStyle w:val="Tablebody"/>
              <w:keepNext/>
              <w:jc w:val="center"/>
            </w:pPr>
            <w:r w:rsidRPr="001455DC">
              <w:t>5</w:t>
            </w:r>
          </w:p>
        </w:tc>
        <w:tc>
          <w:tcPr>
            <w:tcW w:w="4956" w:type="dxa"/>
            <w:vAlign w:val="center"/>
          </w:tcPr>
          <w:p w14:paraId="71202D00" w14:textId="2C3E205E" w:rsidR="004E22C1" w:rsidRPr="009D3012" w:rsidRDefault="004E22C1" w:rsidP="00BE71AF">
            <w:pPr>
              <w:pStyle w:val="Tablebody"/>
              <w:keepNext/>
              <w:jc w:val="left"/>
              <w:rPr>
                <w:lang w:val="en-US"/>
              </w:rPr>
            </w:pPr>
            <w:r w:rsidRPr="009D3012">
              <w:rPr>
                <w:lang w:val="en-US"/>
              </w:rPr>
              <w:t>Minimum longitudinal bottom reinforcement at end supports</w:t>
            </w:r>
          </w:p>
        </w:tc>
        <w:tc>
          <w:tcPr>
            <w:tcW w:w="992" w:type="dxa"/>
            <w:vAlign w:val="center"/>
          </w:tcPr>
          <w:p w14:paraId="7A6B4784" w14:textId="4A4895CD" w:rsidR="004E22C1" w:rsidRPr="009D3012" w:rsidRDefault="000D02C0" w:rsidP="00BE71AF">
            <w:pPr>
              <w:pStyle w:val="Tablebody"/>
              <w:keepNext/>
              <w:jc w:val="left"/>
              <w:rPr>
                <w:bCs/>
                <w:lang w:val="en-US" w:eastAsia="de-DE"/>
              </w:rPr>
            </w:pPr>
            <w:r w:rsidRPr="009D3012">
              <w:rPr>
                <w:bCs/>
                <w:lang w:val="en-US" w:eastAsia="de-DE"/>
              </w:rPr>
              <w:t> </w:t>
            </w:r>
          </w:p>
        </w:tc>
        <w:tc>
          <w:tcPr>
            <w:tcW w:w="1985" w:type="dxa"/>
            <w:vAlign w:val="center"/>
          </w:tcPr>
          <w:p w14:paraId="00A3902A" w14:textId="57DF6587" w:rsidR="004E22C1" w:rsidRPr="009D3012" w:rsidRDefault="004E22C1" w:rsidP="000D02C0">
            <w:pPr>
              <w:pStyle w:val="Tablebody"/>
              <w:keepNext/>
              <w:jc w:val="left"/>
              <w:rPr>
                <w:lang w:val="en-US"/>
              </w:rPr>
            </w:pPr>
            <w:r w:rsidRPr="009D3012">
              <w:rPr>
                <w:lang w:val="en-US"/>
              </w:rPr>
              <w:t>0,5</w:t>
            </w:r>
            <w:r w:rsidRPr="009D3012">
              <w:rPr>
                <w:rStyle w:val="CCMCvariableitalic"/>
                <w:lang w:val="en-US"/>
              </w:rPr>
              <w:t>A</w:t>
            </w:r>
            <w:r w:rsidRPr="009D3012">
              <w:rPr>
                <w:rStyle w:val="CCMCvariablesubscript"/>
                <w:lang w:val="en-US"/>
              </w:rPr>
              <w:t>s,req</w:t>
            </w:r>
            <w:r w:rsidR="00E844D2" w:rsidRPr="009D3012">
              <w:rPr>
                <w:rStyle w:val="CCMCvariablesubscript"/>
                <w:lang w:val="en-US"/>
              </w:rPr>
              <w:t>,</w:t>
            </w:r>
            <w:r w:rsidRPr="009D3012">
              <w:rPr>
                <w:rStyle w:val="CCMCvariablesubscript"/>
                <w:lang w:val="en-US"/>
              </w:rPr>
              <w:t>span</w:t>
            </w:r>
            <w:r w:rsidRPr="009D3012">
              <w:rPr>
                <w:rStyle w:val="CCMCvariablesuperscript"/>
                <w:lang w:val="en-US"/>
              </w:rPr>
              <w:t>c</w:t>
            </w:r>
            <w:r w:rsidRPr="009D3012">
              <w:rPr>
                <w:lang w:val="en-US"/>
              </w:rPr>
              <w:t> </w:t>
            </w:r>
            <w:r w:rsidR="00650035" w:rsidRPr="009D3012">
              <w:rPr>
                <w:rFonts w:ascii="Cambria Math" w:hAnsi="Cambria Math"/>
                <w:lang w:val="en-US"/>
              </w:rPr>
              <w:t>≥</w:t>
            </w:r>
            <w:r w:rsidR="00073FC6" w:rsidRPr="009D3012">
              <w:rPr>
                <w:lang w:val="en-US"/>
              </w:rPr>
              <w:t> </w:t>
            </w:r>
            <w:r w:rsidRPr="009D3012">
              <w:rPr>
                <w:rStyle w:val="CCMCvariableitalic"/>
                <w:lang w:val="en-US"/>
              </w:rPr>
              <w:t>A</w:t>
            </w:r>
            <w:r w:rsidRPr="009D3012">
              <w:rPr>
                <w:rStyle w:val="CCMCvariablesubscript"/>
                <w:lang w:val="en-US"/>
              </w:rPr>
              <w:t>s,min</w:t>
            </w:r>
          </w:p>
        </w:tc>
      </w:tr>
      <w:tr w:rsidR="004E22C1" w:rsidRPr="001455DC" w14:paraId="49CA36C8" w14:textId="77777777" w:rsidTr="00BE71AF">
        <w:trPr>
          <w:cantSplit/>
        </w:trPr>
        <w:tc>
          <w:tcPr>
            <w:tcW w:w="426" w:type="dxa"/>
            <w:vAlign w:val="center"/>
          </w:tcPr>
          <w:p w14:paraId="71C1F386" w14:textId="77777777" w:rsidR="004E22C1" w:rsidRPr="001455DC" w:rsidRDefault="004E22C1" w:rsidP="00BE71AF">
            <w:pPr>
              <w:pStyle w:val="Tablebody"/>
              <w:keepNext/>
              <w:jc w:val="center"/>
            </w:pPr>
            <w:r w:rsidRPr="001455DC">
              <w:t>6</w:t>
            </w:r>
          </w:p>
        </w:tc>
        <w:tc>
          <w:tcPr>
            <w:tcW w:w="4956" w:type="dxa"/>
            <w:vAlign w:val="center"/>
          </w:tcPr>
          <w:p w14:paraId="38A848AA" w14:textId="77777777" w:rsidR="004E22C1" w:rsidRPr="009D3012" w:rsidRDefault="004E22C1" w:rsidP="00BE71AF">
            <w:pPr>
              <w:pStyle w:val="Tablebody"/>
              <w:keepNext/>
              <w:jc w:val="left"/>
              <w:rPr>
                <w:lang w:val="en-US"/>
              </w:rPr>
            </w:pPr>
            <w:r w:rsidRPr="009D3012">
              <w:rPr>
                <w:lang w:val="en-US"/>
              </w:rPr>
              <w:t>Minimum top reinforcement at end supports in buildings, without bearings where unintentional restraint may occur.</w:t>
            </w:r>
          </w:p>
          <w:p w14:paraId="2AF8700F" w14:textId="77777777" w:rsidR="004E22C1" w:rsidRPr="009D3012" w:rsidRDefault="004E22C1" w:rsidP="00BE71AF">
            <w:pPr>
              <w:pStyle w:val="Tablebody"/>
              <w:keepNext/>
              <w:jc w:val="left"/>
              <w:rPr>
                <w:lang w:val="en-US"/>
              </w:rPr>
            </w:pPr>
            <w:r w:rsidRPr="009D3012">
              <w:rPr>
                <w:lang w:val="en-US"/>
              </w:rPr>
              <w:t>The reinforcement should extend 0,2</w:t>
            </w:r>
            <w:r w:rsidRPr="009D3012">
              <w:rPr>
                <w:rStyle w:val="CCMCvariableitalic"/>
                <w:lang w:val="en-US"/>
              </w:rPr>
              <w:t>l</w:t>
            </w:r>
            <w:r w:rsidRPr="009D3012">
              <w:rPr>
                <w:rStyle w:val="CCMCvariablesubscript"/>
                <w:lang w:val="en-US"/>
              </w:rPr>
              <w:t>span</w:t>
            </w:r>
            <w:r w:rsidRPr="009D3012">
              <w:rPr>
                <w:lang w:val="en-US"/>
              </w:rPr>
              <w:t xml:space="preserve"> from the end support.</w:t>
            </w:r>
          </w:p>
        </w:tc>
        <w:tc>
          <w:tcPr>
            <w:tcW w:w="992" w:type="dxa"/>
            <w:vAlign w:val="center"/>
          </w:tcPr>
          <w:p w14:paraId="17EFC22C" w14:textId="2AF1FEF7" w:rsidR="004E22C1" w:rsidRPr="009D3012" w:rsidRDefault="000D02C0" w:rsidP="00BE71AF">
            <w:pPr>
              <w:pStyle w:val="Tablebody"/>
              <w:keepNext/>
              <w:jc w:val="left"/>
              <w:rPr>
                <w:bCs/>
                <w:lang w:val="en-US" w:eastAsia="de-DE"/>
              </w:rPr>
            </w:pPr>
            <w:r w:rsidRPr="009D3012">
              <w:rPr>
                <w:bCs/>
                <w:lang w:val="en-US" w:eastAsia="de-DE"/>
              </w:rPr>
              <w:t> </w:t>
            </w:r>
          </w:p>
        </w:tc>
        <w:tc>
          <w:tcPr>
            <w:tcW w:w="1985" w:type="dxa"/>
            <w:vAlign w:val="center"/>
          </w:tcPr>
          <w:p w14:paraId="63F8D9D7" w14:textId="72AF4301" w:rsidR="004E22C1" w:rsidRPr="009D3012" w:rsidRDefault="004E22C1" w:rsidP="000D02C0">
            <w:pPr>
              <w:pStyle w:val="Tablebody"/>
              <w:keepNext/>
              <w:jc w:val="left"/>
              <w:rPr>
                <w:lang w:val="en-US"/>
              </w:rPr>
            </w:pPr>
            <w:r w:rsidRPr="009D3012">
              <w:rPr>
                <w:lang w:val="en-US"/>
              </w:rPr>
              <w:t>0,25</w:t>
            </w:r>
            <w:r w:rsidRPr="009D3012">
              <w:rPr>
                <w:rStyle w:val="CCMCvariableitalic"/>
                <w:lang w:val="en-US"/>
              </w:rPr>
              <w:t>A</w:t>
            </w:r>
            <w:r w:rsidRPr="009D3012">
              <w:rPr>
                <w:rStyle w:val="CCMCvariablesubscript"/>
                <w:lang w:val="en-US"/>
              </w:rPr>
              <w:t>s,req</w:t>
            </w:r>
            <w:r w:rsidR="00E844D2" w:rsidRPr="009D3012">
              <w:rPr>
                <w:rStyle w:val="CCMCvariablesubscript"/>
                <w:lang w:val="en-US"/>
              </w:rPr>
              <w:t>,</w:t>
            </w:r>
            <w:r w:rsidRPr="009D3012">
              <w:rPr>
                <w:rStyle w:val="CCMCvariablesubscript"/>
                <w:lang w:val="en-US"/>
              </w:rPr>
              <w:t>span</w:t>
            </w:r>
            <w:r w:rsidRPr="009D3012">
              <w:rPr>
                <w:rStyle w:val="CCMCvariablesuperscript"/>
                <w:lang w:val="en-US"/>
              </w:rPr>
              <w:t>c</w:t>
            </w:r>
          </w:p>
          <w:p w14:paraId="5CC9EE5C" w14:textId="1BE885FF" w:rsidR="004E22C1" w:rsidRPr="009D3012" w:rsidRDefault="004E22C1" w:rsidP="000D02C0">
            <w:pPr>
              <w:pStyle w:val="Tablebody"/>
              <w:keepNext/>
              <w:jc w:val="left"/>
              <w:rPr>
                <w:lang w:val="en-US"/>
              </w:rPr>
            </w:pPr>
            <w:r w:rsidRPr="009D3012">
              <w:rPr>
                <w:rFonts w:eastAsiaTheme="minorHAnsi"/>
                <w:lang w:val="en-US"/>
              </w:rPr>
              <w:t>(but </w:t>
            </w:r>
            <w:r w:rsidR="00650035" w:rsidRPr="009D3012">
              <w:rPr>
                <w:rFonts w:ascii="Cambria Math" w:eastAsiaTheme="minorHAnsi" w:hAnsi="Cambria Math"/>
                <w:lang w:val="en-US"/>
              </w:rPr>
              <w:t>≥</w:t>
            </w:r>
            <w:r w:rsidR="00073FC6" w:rsidRPr="009D3012">
              <w:rPr>
                <w:rFonts w:eastAsiaTheme="minorHAnsi"/>
                <w:lang w:val="en-US"/>
              </w:rPr>
              <w:t> </w:t>
            </w:r>
            <w:r w:rsidRPr="009D3012">
              <w:rPr>
                <w:rStyle w:val="CCMCvariableitalic"/>
                <w:lang w:val="en-US"/>
              </w:rPr>
              <w:t>A</w:t>
            </w:r>
            <w:r w:rsidRPr="009D3012">
              <w:rPr>
                <w:rStyle w:val="CCMCvariablesubscript"/>
                <w:lang w:val="en-US"/>
              </w:rPr>
              <w:t>s,min</w:t>
            </w:r>
            <w:r w:rsidRPr="009D3012">
              <w:rPr>
                <w:rFonts w:eastAsiaTheme="minorHAnsi"/>
                <w:lang w:val="en-US"/>
              </w:rPr>
              <w:t xml:space="preserve"> according to 12.2(2))</w:t>
            </w:r>
          </w:p>
        </w:tc>
      </w:tr>
      <w:tr w:rsidR="004E22C1" w:rsidRPr="001455DC" w14:paraId="2235EF10" w14:textId="77777777" w:rsidTr="00BE71AF">
        <w:trPr>
          <w:cantSplit/>
        </w:trPr>
        <w:tc>
          <w:tcPr>
            <w:tcW w:w="426" w:type="dxa"/>
            <w:vAlign w:val="center"/>
          </w:tcPr>
          <w:p w14:paraId="6DA47E0E" w14:textId="77777777" w:rsidR="004E22C1" w:rsidRPr="001455DC" w:rsidRDefault="004E22C1" w:rsidP="00BE71AF">
            <w:pPr>
              <w:pStyle w:val="Tablebody"/>
              <w:keepNext/>
              <w:jc w:val="center"/>
            </w:pPr>
            <w:r w:rsidRPr="001455DC">
              <w:t>7</w:t>
            </w:r>
          </w:p>
        </w:tc>
        <w:tc>
          <w:tcPr>
            <w:tcW w:w="4956" w:type="dxa"/>
            <w:vAlign w:val="center"/>
          </w:tcPr>
          <w:p w14:paraId="5A84D266" w14:textId="666C6F3E" w:rsidR="004E22C1" w:rsidRPr="009D3012" w:rsidRDefault="004E22C1" w:rsidP="00BE71AF">
            <w:pPr>
              <w:pStyle w:val="Tablebody"/>
              <w:keepNext/>
              <w:jc w:val="left"/>
              <w:rPr>
                <w:lang w:val="en-US"/>
              </w:rPr>
            </w:pPr>
            <w:r w:rsidRPr="009D3012">
              <w:rPr>
                <w:lang w:val="en-US"/>
              </w:rPr>
              <w:t>Maximum spacing of bars for concrete in tension</w:t>
            </w:r>
          </w:p>
        </w:tc>
        <w:tc>
          <w:tcPr>
            <w:tcW w:w="992" w:type="dxa"/>
            <w:vAlign w:val="center"/>
          </w:tcPr>
          <w:p w14:paraId="348881E0" w14:textId="77777777" w:rsidR="004E22C1" w:rsidRPr="009D3012" w:rsidRDefault="004E22C1" w:rsidP="00BE71AF">
            <w:pPr>
              <w:pStyle w:val="Tablebody"/>
              <w:keepNext/>
              <w:jc w:val="left"/>
              <w:rPr>
                <w:rStyle w:val="CCMCvariableitalic"/>
              </w:rPr>
            </w:pPr>
            <w:r w:rsidRPr="001455DC">
              <w:rPr>
                <w:rStyle w:val="CCMCvariableitalic"/>
              </w:rPr>
              <w:t>s</w:t>
            </w:r>
            <w:r w:rsidRPr="001455DC">
              <w:rPr>
                <w:rStyle w:val="CCMCvariablesubscript"/>
              </w:rPr>
              <w:t>max,slab</w:t>
            </w:r>
          </w:p>
        </w:tc>
        <w:tc>
          <w:tcPr>
            <w:tcW w:w="1985" w:type="dxa"/>
            <w:vAlign w:val="center"/>
          </w:tcPr>
          <w:p w14:paraId="73EB3AA6" w14:textId="13EBA704" w:rsidR="004E22C1" w:rsidRPr="001455DC" w:rsidRDefault="004E22C1" w:rsidP="000D02C0">
            <w:pPr>
              <w:pStyle w:val="Tablebody"/>
              <w:keepNext/>
              <w:jc w:val="left"/>
            </w:pPr>
            <w:r w:rsidRPr="001455DC">
              <w:t>3</w:t>
            </w:r>
            <w:r w:rsidRPr="001455DC">
              <w:rPr>
                <w:rStyle w:val="CCMCvariableitalic"/>
              </w:rPr>
              <w:t>h</w:t>
            </w:r>
            <w:r w:rsidRPr="001455DC">
              <w:t> </w:t>
            </w:r>
            <w:r w:rsidR="00650035" w:rsidRPr="001455DC">
              <w:rPr>
                <w:rFonts w:ascii="Cambria Math" w:hAnsi="Cambria Math"/>
              </w:rPr>
              <w:t>≤</w:t>
            </w:r>
            <w:r w:rsidRPr="001455DC">
              <w:t> 400 mm</w:t>
            </w:r>
          </w:p>
        </w:tc>
      </w:tr>
      <w:tr w:rsidR="004E22C1" w:rsidRPr="001455DC" w14:paraId="0201C12F" w14:textId="77777777" w:rsidTr="00BE71AF">
        <w:trPr>
          <w:cantSplit/>
        </w:trPr>
        <w:tc>
          <w:tcPr>
            <w:tcW w:w="426" w:type="dxa"/>
            <w:vAlign w:val="center"/>
          </w:tcPr>
          <w:p w14:paraId="0A20FCED" w14:textId="77777777" w:rsidR="004E22C1" w:rsidRPr="001455DC" w:rsidRDefault="004E22C1" w:rsidP="00BE71AF">
            <w:pPr>
              <w:pStyle w:val="Tablebody"/>
              <w:keepNext/>
              <w:jc w:val="center"/>
            </w:pPr>
            <w:r w:rsidRPr="001455DC">
              <w:t>8</w:t>
            </w:r>
          </w:p>
        </w:tc>
        <w:tc>
          <w:tcPr>
            <w:tcW w:w="4956" w:type="dxa"/>
            <w:vAlign w:val="center"/>
          </w:tcPr>
          <w:p w14:paraId="2E93C7D8" w14:textId="19F1E596" w:rsidR="004E22C1" w:rsidRPr="009D3012" w:rsidRDefault="004E22C1" w:rsidP="00BE71AF">
            <w:pPr>
              <w:pStyle w:val="Tablebody"/>
              <w:keepNext/>
              <w:jc w:val="left"/>
              <w:rPr>
                <w:lang w:val="en-US"/>
              </w:rPr>
            </w:pPr>
            <w:r w:rsidRPr="009D3012">
              <w:rPr>
                <w:lang w:val="en-US"/>
              </w:rPr>
              <w:t>Maximum longitudinal spacing of shear assemblies/stirrups</w:t>
            </w:r>
          </w:p>
        </w:tc>
        <w:tc>
          <w:tcPr>
            <w:tcW w:w="992" w:type="dxa"/>
            <w:vAlign w:val="center"/>
          </w:tcPr>
          <w:p w14:paraId="766688B3" w14:textId="77777777" w:rsidR="004E22C1" w:rsidRPr="009D3012" w:rsidRDefault="004E22C1" w:rsidP="00BE71AF">
            <w:pPr>
              <w:pStyle w:val="Tablebody"/>
              <w:keepNext/>
              <w:jc w:val="left"/>
              <w:rPr>
                <w:rStyle w:val="CCMCvariableitalic"/>
              </w:rPr>
            </w:pPr>
            <w:r w:rsidRPr="001455DC">
              <w:rPr>
                <w:rStyle w:val="CCMCvariableitalic"/>
              </w:rPr>
              <w:t>s</w:t>
            </w:r>
            <w:r w:rsidRPr="001455DC">
              <w:rPr>
                <w:rStyle w:val="CCMCvariablesubscript"/>
              </w:rPr>
              <w:t>max,l</w:t>
            </w:r>
          </w:p>
        </w:tc>
        <w:tc>
          <w:tcPr>
            <w:tcW w:w="1985" w:type="dxa"/>
            <w:vAlign w:val="center"/>
          </w:tcPr>
          <w:p w14:paraId="5697360F" w14:textId="157F9F42" w:rsidR="004E22C1" w:rsidRPr="009D3012" w:rsidRDefault="004E22C1" w:rsidP="000D02C0">
            <w:pPr>
              <w:pStyle w:val="Tablebody"/>
              <w:keepNext/>
              <w:jc w:val="left"/>
              <w:rPr>
                <w:rStyle w:val="CCMCvariablesuperscript"/>
              </w:rPr>
            </w:pPr>
            <w:r w:rsidRPr="009D3012">
              <w:t>0,75</w:t>
            </w:r>
            <w:r w:rsidRPr="001455DC">
              <w:rPr>
                <w:rStyle w:val="CCMCvariableitalic"/>
              </w:rPr>
              <w:t>d</w:t>
            </w:r>
            <w:r w:rsidRPr="001455DC">
              <w:t> </w:t>
            </w:r>
            <w:r w:rsidRPr="001455DC">
              <w:rPr>
                <w:rFonts w:ascii="Cambria Math" w:hAnsi="Cambria Math" w:cs="Cambria Math"/>
                <w:szCs w:val="22"/>
              </w:rPr>
              <w:t>⋅</w:t>
            </w:r>
            <w:r w:rsidRPr="001455DC">
              <w:t> (1</w:t>
            </w:r>
            <w:r w:rsidR="00EC27D2" w:rsidRPr="001455DC">
              <w:rPr>
                <w:rFonts w:ascii="Cambria Math" w:hAnsi="Cambria Math"/>
              </w:rPr>
              <w:t> + </w:t>
            </w:r>
            <w:r w:rsidRPr="001455DC">
              <w:t>cot</w:t>
            </w:r>
            <w:r w:rsidRPr="001455DC">
              <w:rPr>
                <w:rStyle w:val="CCMCvariableitalic"/>
              </w:rPr>
              <w:t>α</w:t>
            </w:r>
            <w:r w:rsidRPr="001455DC">
              <w:t>)</w:t>
            </w:r>
          </w:p>
        </w:tc>
      </w:tr>
      <w:tr w:rsidR="004E22C1" w:rsidRPr="001455DC" w14:paraId="6D0478BE" w14:textId="77777777" w:rsidTr="00BE71AF">
        <w:trPr>
          <w:cantSplit/>
        </w:trPr>
        <w:tc>
          <w:tcPr>
            <w:tcW w:w="426" w:type="dxa"/>
            <w:vAlign w:val="center"/>
          </w:tcPr>
          <w:p w14:paraId="185CD27D" w14:textId="77777777" w:rsidR="004E22C1" w:rsidRPr="001455DC" w:rsidRDefault="004E22C1" w:rsidP="00BE71AF">
            <w:pPr>
              <w:pStyle w:val="Tablebody"/>
              <w:keepNext/>
              <w:jc w:val="center"/>
            </w:pPr>
            <w:r w:rsidRPr="001455DC">
              <w:t>9</w:t>
            </w:r>
          </w:p>
        </w:tc>
        <w:tc>
          <w:tcPr>
            <w:tcW w:w="4956" w:type="dxa"/>
            <w:vAlign w:val="center"/>
          </w:tcPr>
          <w:p w14:paraId="3C03B18C" w14:textId="77777777" w:rsidR="004E22C1" w:rsidRPr="009D3012" w:rsidRDefault="004E22C1" w:rsidP="00BE71AF">
            <w:pPr>
              <w:pStyle w:val="Tablebody"/>
              <w:keepNext/>
              <w:jc w:val="left"/>
              <w:rPr>
                <w:lang w:val="en-US"/>
              </w:rPr>
            </w:pPr>
            <w:r w:rsidRPr="009D3012">
              <w:rPr>
                <w:lang w:val="en-US"/>
              </w:rPr>
              <w:t xml:space="preserve">Maximum longitudinal spacing of bent-up bars </w:t>
            </w:r>
          </w:p>
        </w:tc>
        <w:tc>
          <w:tcPr>
            <w:tcW w:w="992" w:type="dxa"/>
            <w:vAlign w:val="center"/>
          </w:tcPr>
          <w:p w14:paraId="74BF11D0" w14:textId="77777777" w:rsidR="004E22C1" w:rsidRPr="001455DC" w:rsidRDefault="004E22C1" w:rsidP="00BE71AF">
            <w:pPr>
              <w:pStyle w:val="Tablebody"/>
              <w:keepNext/>
              <w:jc w:val="left"/>
              <w:rPr>
                <w:i/>
              </w:rPr>
            </w:pPr>
            <w:r w:rsidRPr="001455DC">
              <w:rPr>
                <w:rStyle w:val="CCMCvariableitalic"/>
              </w:rPr>
              <w:t>s</w:t>
            </w:r>
            <w:r w:rsidRPr="001455DC">
              <w:rPr>
                <w:rStyle w:val="CCMCvariablesubscript"/>
              </w:rPr>
              <w:t>max,bu</w:t>
            </w:r>
          </w:p>
        </w:tc>
        <w:tc>
          <w:tcPr>
            <w:tcW w:w="1985" w:type="dxa"/>
            <w:vAlign w:val="center"/>
          </w:tcPr>
          <w:p w14:paraId="611B3D1D" w14:textId="3DAEA3FE" w:rsidR="004E22C1" w:rsidRPr="009D3012" w:rsidRDefault="004E22C1" w:rsidP="000D02C0">
            <w:pPr>
              <w:pStyle w:val="Tablebody"/>
              <w:keepNext/>
              <w:jc w:val="left"/>
              <w:rPr>
                <w:rStyle w:val="CCMCvariableitalic"/>
              </w:rPr>
            </w:pPr>
            <w:r w:rsidRPr="001455DC">
              <w:rPr>
                <w:rStyle w:val="CCMCvariableitalic"/>
              </w:rPr>
              <w:t>d</w:t>
            </w:r>
          </w:p>
        </w:tc>
      </w:tr>
      <w:tr w:rsidR="004E22C1" w:rsidRPr="001455DC" w14:paraId="5BEE209C" w14:textId="77777777" w:rsidTr="00BE71AF">
        <w:trPr>
          <w:cantSplit/>
        </w:trPr>
        <w:tc>
          <w:tcPr>
            <w:tcW w:w="426" w:type="dxa"/>
            <w:vAlign w:val="center"/>
          </w:tcPr>
          <w:p w14:paraId="5F9910D9" w14:textId="77777777" w:rsidR="004E22C1" w:rsidRPr="001455DC" w:rsidRDefault="004E22C1" w:rsidP="00BE71AF">
            <w:pPr>
              <w:pStyle w:val="Tablebody"/>
              <w:keepNext/>
              <w:jc w:val="center"/>
            </w:pPr>
            <w:r w:rsidRPr="001455DC">
              <w:t>10</w:t>
            </w:r>
          </w:p>
        </w:tc>
        <w:tc>
          <w:tcPr>
            <w:tcW w:w="4956" w:type="dxa"/>
            <w:vAlign w:val="center"/>
          </w:tcPr>
          <w:p w14:paraId="0E28508B" w14:textId="07EFA14D" w:rsidR="004E22C1" w:rsidRPr="009D3012" w:rsidRDefault="004E22C1" w:rsidP="00BE71AF">
            <w:pPr>
              <w:pStyle w:val="Tablebody"/>
              <w:keepNext/>
              <w:jc w:val="left"/>
              <w:rPr>
                <w:lang w:val="en-US"/>
              </w:rPr>
            </w:pPr>
            <w:r w:rsidRPr="009D3012">
              <w:rPr>
                <w:lang w:val="en-US"/>
              </w:rPr>
              <w:t>Maximum transverse spacing of shear legs</w:t>
            </w:r>
            <w:r w:rsidRPr="009D3012">
              <w:rPr>
                <w:rStyle w:val="CCMCvariablesuperscript"/>
                <w:lang w:val="en-US"/>
              </w:rPr>
              <w:t>b</w:t>
            </w:r>
          </w:p>
        </w:tc>
        <w:tc>
          <w:tcPr>
            <w:tcW w:w="992" w:type="dxa"/>
            <w:vAlign w:val="center"/>
          </w:tcPr>
          <w:p w14:paraId="3BA693B4" w14:textId="77777777" w:rsidR="004E22C1" w:rsidRPr="009D3012" w:rsidRDefault="004E22C1" w:rsidP="00BE71AF">
            <w:pPr>
              <w:pStyle w:val="Tablebody"/>
              <w:keepNext/>
              <w:jc w:val="left"/>
              <w:rPr>
                <w:rStyle w:val="CCMCvariableitalic"/>
              </w:rPr>
            </w:pPr>
            <w:r w:rsidRPr="001455DC">
              <w:rPr>
                <w:rStyle w:val="CCMCvariableitalic"/>
              </w:rPr>
              <w:t>s</w:t>
            </w:r>
            <w:r w:rsidRPr="001455DC">
              <w:rPr>
                <w:rStyle w:val="CCMCvariablesubscript"/>
              </w:rPr>
              <w:t>max,tr</w:t>
            </w:r>
          </w:p>
        </w:tc>
        <w:tc>
          <w:tcPr>
            <w:tcW w:w="1985" w:type="dxa"/>
            <w:vAlign w:val="center"/>
          </w:tcPr>
          <w:p w14:paraId="007D2481" w14:textId="6FD61905" w:rsidR="004E22C1" w:rsidRPr="001455DC" w:rsidRDefault="004E22C1" w:rsidP="000D02C0">
            <w:pPr>
              <w:pStyle w:val="Tablebody"/>
              <w:keepNext/>
              <w:jc w:val="left"/>
            </w:pPr>
            <w:r w:rsidRPr="001455DC">
              <w:t>1,5</w:t>
            </w:r>
            <w:r w:rsidRPr="001455DC">
              <w:rPr>
                <w:rStyle w:val="CCMCvariableitalic"/>
              </w:rPr>
              <w:t>d</w:t>
            </w:r>
          </w:p>
        </w:tc>
      </w:tr>
      <w:tr w:rsidR="004E22C1" w:rsidRPr="001455DC" w14:paraId="55626912" w14:textId="77777777" w:rsidTr="00BE71AF">
        <w:trPr>
          <w:cantSplit/>
        </w:trPr>
        <w:tc>
          <w:tcPr>
            <w:tcW w:w="426" w:type="dxa"/>
            <w:vAlign w:val="center"/>
          </w:tcPr>
          <w:p w14:paraId="5965DFE8" w14:textId="77777777" w:rsidR="004E22C1" w:rsidRPr="001455DC" w:rsidRDefault="004E22C1" w:rsidP="00BE71AF">
            <w:pPr>
              <w:pStyle w:val="Tablebody"/>
              <w:keepNext/>
              <w:jc w:val="center"/>
            </w:pPr>
            <w:r w:rsidRPr="001455DC">
              <w:t>11</w:t>
            </w:r>
          </w:p>
        </w:tc>
        <w:tc>
          <w:tcPr>
            <w:tcW w:w="7933" w:type="dxa"/>
            <w:gridSpan w:val="3"/>
            <w:vAlign w:val="center"/>
          </w:tcPr>
          <w:p w14:paraId="344BA76A" w14:textId="77777777" w:rsidR="004E22C1" w:rsidRPr="009D3012" w:rsidRDefault="004E22C1" w:rsidP="00BE71AF">
            <w:pPr>
              <w:pStyle w:val="Tablebody"/>
              <w:keepNext/>
              <w:jc w:val="left"/>
              <w:rPr>
                <w:lang w:val="en-US"/>
              </w:rPr>
            </w:pPr>
            <w:r w:rsidRPr="009D3012">
              <w:rPr>
                <w:lang w:val="en-US"/>
              </w:rPr>
              <w:t xml:space="preserve">Along a free (unsupported) edge, a slab should normally contain longitudinal and transverse reinforcement, generally arranged as shown in Figure 12.5 in order to accommodate torsional moments near the edge. </w:t>
            </w:r>
          </w:p>
        </w:tc>
      </w:tr>
      <w:tr w:rsidR="004E22C1" w:rsidRPr="001455DC" w14:paraId="7552D6D8" w14:textId="77777777" w:rsidTr="00BE71AF">
        <w:trPr>
          <w:cnfStyle w:val="010000000000" w:firstRow="0" w:lastRow="1" w:firstColumn="0" w:lastColumn="0" w:oddVBand="0" w:evenVBand="0" w:oddHBand="0" w:evenHBand="0" w:firstRowFirstColumn="0" w:firstRowLastColumn="0" w:lastRowFirstColumn="0" w:lastRowLastColumn="0"/>
          <w:cantSplit/>
        </w:trPr>
        <w:tc>
          <w:tcPr>
            <w:tcW w:w="8359" w:type="dxa"/>
            <w:gridSpan w:val="4"/>
          </w:tcPr>
          <w:p w14:paraId="3B65B008" w14:textId="6C948CFE" w:rsidR="004E22C1" w:rsidRPr="009D3012" w:rsidRDefault="004E22C1" w:rsidP="00BE71AF">
            <w:pPr>
              <w:pStyle w:val="Tablefooter"/>
              <w:rPr>
                <w:lang w:val="en-US"/>
              </w:rPr>
            </w:pPr>
            <w:r w:rsidRPr="009D3012">
              <w:rPr>
                <w:rStyle w:val="CCMCvariablesuperscript"/>
                <w:lang w:val="en-US"/>
              </w:rPr>
              <w:t>a</w:t>
            </w:r>
            <w:r w:rsidR="00BE71AF" w:rsidRPr="009D3012">
              <w:rPr>
                <w:lang w:val="en-US"/>
              </w:rPr>
              <w:tab/>
            </w:r>
            <w:r w:rsidRPr="009D3012">
              <w:rPr>
                <w:lang w:val="en-US"/>
              </w:rPr>
              <w:t>To ensure a minimum ability to locally redistribute sectional forces transverse to the span direction, secondary reinforcement is to be placed in areas of slabs which can be considered to behave as one-way slabs.</w:t>
            </w:r>
          </w:p>
          <w:p w14:paraId="471EEA3D" w14:textId="7636DFB3" w:rsidR="004E22C1" w:rsidRPr="009D3012" w:rsidRDefault="004E22C1" w:rsidP="00BE71AF">
            <w:pPr>
              <w:pStyle w:val="Tablefooter"/>
              <w:rPr>
                <w:lang w:val="en-US"/>
              </w:rPr>
            </w:pPr>
            <w:r w:rsidRPr="009D3012">
              <w:rPr>
                <w:rStyle w:val="CCMCvariablesuperscript"/>
                <w:lang w:val="en-US"/>
              </w:rPr>
              <w:t>b</w:t>
            </w:r>
            <w:r w:rsidR="00BE71AF" w:rsidRPr="009D3012">
              <w:rPr>
                <w:lang w:val="en-US"/>
              </w:rPr>
              <w:tab/>
            </w:r>
            <w:r w:rsidRPr="009D3012">
              <w:rPr>
                <w:lang w:val="en-US"/>
              </w:rPr>
              <w:t>These spacing are consistent with the shear model in 8.2.3. Where alternative models are used alternative spacings may be required.</w:t>
            </w:r>
          </w:p>
          <w:p w14:paraId="080CFD01" w14:textId="5D8272BF" w:rsidR="004E22C1" w:rsidRPr="009D3012" w:rsidRDefault="004E22C1" w:rsidP="00BE71AF">
            <w:pPr>
              <w:pStyle w:val="Tablefooter"/>
              <w:rPr>
                <w:lang w:val="en-US"/>
              </w:rPr>
            </w:pPr>
            <w:r w:rsidRPr="009D3012">
              <w:rPr>
                <w:rStyle w:val="CCMCvariablesuperscript"/>
                <w:lang w:val="en-US"/>
              </w:rPr>
              <w:t>c</w:t>
            </w:r>
            <w:r w:rsidR="00BE71AF" w:rsidRPr="009D3012">
              <w:rPr>
                <w:lang w:val="en-US"/>
              </w:rPr>
              <w:tab/>
            </w:r>
            <w:r w:rsidRPr="009D3012">
              <w:rPr>
                <w:rStyle w:val="CCMCvariableitalic"/>
                <w:lang w:val="en-US"/>
              </w:rPr>
              <w:t>A</w:t>
            </w:r>
            <w:r w:rsidRPr="009D3012">
              <w:rPr>
                <w:rStyle w:val="CCMCvariablesubscript"/>
                <w:lang w:val="en-US"/>
              </w:rPr>
              <w:t>s,req</w:t>
            </w:r>
            <w:r w:rsidRPr="009D3012">
              <w:rPr>
                <w:lang w:val="en-US"/>
              </w:rPr>
              <w:t xml:space="preserve"> </w:t>
            </w:r>
            <w:r w:rsidRPr="009D3012">
              <w:rPr>
                <w:rStyle w:val="CCMCvariablesubscript"/>
                <w:lang w:val="en-US"/>
              </w:rPr>
              <w:t>span</w:t>
            </w:r>
            <w:r w:rsidRPr="009D3012">
              <w:rPr>
                <w:lang w:val="en-US"/>
              </w:rPr>
              <w:t xml:space="preserve"> is the required reinforcement for positive bending moments at the span.</w:t>
            </w:r>
          </w:p>
        </w:tc>
      </w:tr>
    </w:tbl>
    <w:p w14:paraId="06090140" w14:textId="77777777" w:rsidR="004E22C1" w:rsidRPr="001455DC" w:rsidRDefault="004E22C1" w:rsidP="000D02C0">
      <w:pPr>
        <w:pStyle w:val="a7"/>
      </w:pPr>
    </w:p>
    <w:p w14:paraId="6D6CEEB1" w14:textId="6B32AEC3" w:rsidR="00977615" w:rsidRDefault="00723CF7" w:rsidP="000D02C0">
      <w:pPr>
        <w:pStyle w:val="Figuretitle"/>
      </w:pPr>
      <w:r>
        <w:rPr>
          <w:noProof/>
          <w:lang w:eastAsia="en-GB"/>
        </w:rPr>
        <w:fldChar w:fldCharType="begin"/>
      </w:r>
      <w:r>
        <w:rPr>
          <w:noProof/>
          <w:lang w:eastAsia="en-GB"/>
        </w:rPr>
        <w:instrText xml:space="preserve"> INCLUDEPICTURE  "Y:\\STD_MGT\\STDDEL\\PRODUCTION\\etrans\\Download\\Z_FIRST_DEL\\SV\\00250\\00250269\\41_e_dr\\12_004.tif"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"Y:\\STD_MGT\\STDDEL\\PRODUCTION\\Standards\\00250\\269\\41_e_dr\\12_004.tif"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"Y:\\STD_MGT\\STDDEL\\PRODUCTION\\Standards\\00250\\269\\41_e_dr\\12_004.tif"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"Y:\\STD_MGT\\STDDEL\\PRODUCTION\\Standards\\00250\\269\\41_e_dr\\12_004.tif"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"Y:\\STD_MGT\\STDDEL\\PRODUCTION\\Standards\\00250\\269\\41_e_dr\\12_004.tif"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"Y:\\STD_MGT\\STDDEL\\PRODUCTION\\Standards\\00250\\269\\41_e_dr\\12_004.tif"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w:instrText>
      </w:r>
      <w:r w:rsidR="00231E33">
        <w:rPr>
          <w:noProof/>
          <w:lang w:eastAsia="en-GB"/>
        </w:rPr>
        <w:instrText>l\\Temp\\Temp1_00250269_e_20210902.zip.zip\\41_e_dr\\12_004.tif"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2208C9FC">
          <v:shape id="_x0000_i1264" type="#_x0000_t75" style="width:171.75pt;height:56.25pt">
            <v:imagedata r:id="rId498" r:href="rId499"/>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64D287CF" w14:textId="009ABE77" w:rsidR="004E22C1" w:rsidRPr="001455DC" w:rsidRDefault="004E22C1" w:rsidP="000D02C0">
      <w:pPr>
        <w:pStyle w:val="Figuretitle"/>
        <w:rPr>
          <w:bCs/>
          <w:lang w:eastAsia="de-DE"/>
        </w:rPr>
      </w:pPr>
      <w:r w:rsidRPr="001455DC">
        <w:t>Figure 12.</w:t>
      </w:r>
      <w:r w:rsidR="00977615">
        <w:t>4</w:t>
      </w:r>
      <w:r w:rsidR="00977615" w:rsidRPr="001455DC">
        <w:t> </w:t>
      </w:r>
      <w:r w:rsidRPr="001455DC">
        <w:t>— Edge reinforcement for a slab</w:t>
      </w:r>
    </w:p>
    <w:p w14:paraId="7BB0EAA2" w14:textId="77777777" w:rsidR="004E22C1" w:rsidRPr="001455DC" w:rsidRDefault="004E22C1" w:rsidP="000D02C0">
      <w:pPr>
        <w:pStyle w:val="a7"/>
      </w:pPr>
      <w:r w:rsidRPr="001455DC">
        <w:rPr>
          <w:bCs/>
          <w:lang w:eastAsia="de-DE"/>
        </w:rPr>
        <w:t>(2)</w:t>
      </w:r>
      <w:r w:rsidRPr="001455DC">
        <w:rPr>
          <w:bCs/>
          <w:lang w:eastAsia="de-DE"/>
        </w:rPr>
        <w:tab/>
      </w:r>
      <w:r w:rsidRPr="001455DC">
        <w:t>Any compression longitudinal reinforcement which is included in the resistance calculation should be confined by transverse reinforcement in accordance with 12.7(3).</w:t>
      </w:r>
    </w:p>
    <w:p w14:paraId="4D265245" w14:textId="77777777" w:rsidR="004E22C1" w:rsidRPr="001455DC" w:rsidRDefault="004E22C1" w:rsidP="000D02C0">
      <w:pPr>
        <w:pStyle w:val="a7"/>
      </w:pPr>
      <w:r w:rsidRPr="001455DC">
        <w:t>(3)</w:t>
      </w:r>
      <w:r w:rsidRPr="001455DC">
        <w:tab/>
        <w:t>Where lifting of a slab-corner is restrained suitable reinforcement shall be provided.</w:t>
      </w:r>
    </w:p>
    <w:p w14:paraId="522F0000" w14:textId="77777777" w:rsidR="004E22C1" w:rsidRPr="001455DC" w:rsidRDefault="004E22C1" w:rsidP="000D02C0">
      <w:pPr>
        <w:pStyle w:val="a7"/>
      </w:pPr>
      <w:r w:rsidRPr="001455DC">
        <w:t>(4)</w:t>
      </w:r>
      <w:r w:rsidRPr="001455DC">
        <w:tab/>
        <w:t>In case of slabs with depth discontinuities on the tension side, the flexural reinforcement should be detailed as shown in Figure 12.6, or alternatively, by using 8.5.</w:t>
      </w:r>
    </w:p>
    <w:p w14:paraId="1B80275C" w14:textId="47AE402D" w:rsidR="00E14CF8" w:rsidRDefault="00E14CF8" w:rsidP="000D02C0">
      <w:pPr>
        <w:pStyle w:val="Figuretitle"/>
      </w:pPr>
    </w:p>
    <w:p w14:paraId="5299070C" w14:textId="25388974" w:rsidR="00381C12" w:rsidRPr="00381C12" w:rsidRDefault="00723CF7" w:rsidP="00381C12">
      <w:pPr>
        <w:pStyle w:val="a7"/>
        <w:jc w:val="center"/>
      </w:pPr>
      <w:r>
        <w:rPr>
          <w:noProof/>
          <w:lang w:eastAsia="en-GB"/>
        </w:rPr>
        <w:fldChar w:fldCharType="begin"/>
      </w:r>
      <w:r>
        <w:rPr>
          <w:noProof/>
          <w:lang w:eastAsia="en-GB"/>
        </w:rPr>
        <w:instrText xml:space="preserve"> INCLUDEPICTURE  "Y:\\STD_MGT\\STDDEL\\PRODUCTION\\etrans\\Download\\Z_FIRST_DEL\\SV\\00250\\00250269\\41_e_dr\\12_005.tif"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"Y:\\STD_MGT\\STDDEL\\PRODUCTION\\Standards\\00250\\269\\41_e_dr\\12_005.tif"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"Y:\\STD_MGT\\STDDEL\\PRODUCTION\\Standards\\00250\\269\\41_e_dr\\12_005.tif"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"Y:\\STD_MGT\\STDDEL\\PRODUCTION\\Standards\\00250\\269\\41_e_dr\\12_005.tif"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"Y:\\STD_MGT\\STDDEL\\PRODUCTION\\Standards\\00250\\269\\41_e_dr\\12_005.tif"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"Y:\\STD_MGT\\STDDEL\\PRODUCTION\\Standards\\00250\\269\\41_e_dr\\12_005.tif"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"C:\\Users\\a.dionysiou\\AppData\\Local\\Temp\\Temp1_00250269_e_20210902.zip.zip\\41_e_dr\\12_005.tif"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463984DD">
          <v:shape id="_x0000_i1265" type="#_x0000_t75" style="width:202.5pt;height:78pt">
            <v:imagedata r:id="rId500" r:href="rId501"/>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11C0F599" w14:textId="717D5743" w:rsidR="004E22C1" w:rsidRPr="001455DC" w:rsidRDefault="004E22C1" w:rsidP="000D02C0">
      <w:pPr>
        <w:pStyle w:val="Figuretitle"/>
      </w:pPr>
      <w:r w:rsidRPr="001455DC">
        <w:t>Figure 12.</w:t>
      </w:r>
      <w:r w:rsidR="00256080">
        <w:t>5</w:t>
      </w:r>
      <w:r w:rsidR="00256080" w:rsidRPr="001455DC">
        <w:t> </w:t>
      </w:r>
      <w:r w:rsidRPr="001455DC">
        <w:t>— Example of reinforcement detailing in case of slabs with depth discontinuities on the tension side and without shear reinforcement</w:t>
      </w:r>
    </w:p>
    <w:p w14:paraId="329AAFFF" w14:textId="0F0BCAF0" w:rsidR="004E22C1" w:rsidRPr="001455DC" w:rsidRDefault="004E22C1" w:rsidP="00243590">
      <w:pPr>
        <w:pStyle w:val="31"/>
      </w:pPr>
      <w:bookmarkStart w:id="934" w:name="_Toc52820063"/>
      <w:bookmarkStart w:id="935" w:name="_Toc54337466"/>
      <w:bookmarkStart w:id="936" w:name="_Toc54338119"/>
      <w:bookmarkStart w:id="937" w:name="_Toc67565463"/>
      <w:r w:rsidRPr="001455DC">
        <w:t>Shear reinforcement</w:t>
      </w:r>
      <w:bookmarkEnd w:id="934"/>
      <w:bookmarkEnd w:id="935"/>
      <w:bookmarkEnd w:id="936"/>
      <w:bookmarkEnd w:id="937"/>
    </w:p>
    <w:p w14:paraId="735E9310" w14:textId="77777777" w:rsidR="004E22C1" w:rsidRPr="001455DC" w:rsidRDefault="004E22C1" w:rsidP="000D02C0">
      <w:pPr>
        <w:pStyle w:val="a7"/>
      </w:pPr>
      <w:r w:rsidRPr="001455DC">
        <w:t>(1)</w:t>
      </w:r>
      <w:r w:rsidRPr="001455DC">
        <w:tab/>
        <w:t>Shear reinforcement according to 12.2.3(1) may be used.</w:t>
      </w:r>
    </w:p>
    <w:p w14:paraId="0E3CCD51" w14:textId="77777777" w:rsidR="004E22C1" w:rsidRPr="001455DC" w:rsidRDefault="004E22C1" w:rsidP="000D02C0">
      <w:pPr>
        <w:pStyle w:val="a7"/>
      </w:pPr>
      <w:r w:rsidRPr="001455DC">
        <w:t>(2)</w:t>
      </w:r>
      <w:r w:rsidRPr="001455DC">
        <w:tab/>
        <w:t xml:space="preserve">A slab in which shear reinforcement is provided should have a depth </w:t>
      </w:r>
      <w:r w:rsidRPr="001455DC">
        <w:rPr>
          <w:rStyle w:val="CCMCvariableitalic"/>
        </w:rPr>
        <w:t>h</w:t>
      </w:r>
      <w:r w:rsidRPr="001455DC">
        <w:t xml:space="preserve"> not less than 200 mm with stirrups, links or headed bars, or 160 mm with bent up bars.</w:t>
      </w:r>
    </w:p>
    <w:p w14:paraId="4D9D63AF" w14:textId="77777777" w:rsidR="004E22C1" w:rsidRPr="001455DC" w:rsidRDefault="004E22C1" w:rsidP="000D02C0">
      <w:pPr>
        <w:pStyle w:val="a7"/>
      </w:pPr>
      <w:r w:rsidRPr="001455DC">
        <w:t>(3)</w:t>
      </w:r>
      <w:r w:rsidRPr="001455DC">
        <w:tab/>
        <w:t>The minimum shear reinforcement according to 12.2(4) may be omitted in solid, ribbed or hollow core slabs where transverse redistribution of loads is possible.</w:t>
      </w:r>
    </w:p>
    <w:p w14:paraId="2A060073" w14:textId="77777777" w:rsidR="004E22C1" w:rsidRPr="001455DC" w:rsidRDefault="004E22C1" w:rsidP="000D02C0">
      <w:pPr>
        <w:pStyle w:val="a7"/>
      </w:pPr>
      <w:r w:rsidRPr="001455DC">
        <w:t>(4)</w:t>
      </w:r>
      <w:r w:rsidRPr="001455DC">
        <w:tab/>
        <w:t>Shear reinforcement should be detailed to enclose all except the outermost layers of reinforcement as shown in Figure 12.7.</w:t>
      </w:r>
    </w:p>
    <w:p w14:paraId="434C0761" w14:textId="2244989D" w:rsidR="004E22C1" w:rsidRPr="001455DC" w:rsidRDefault="004E22C1" w:rsidP="000D02C0">
      <w:pPr>
        <w:pStyle w:val="a7"/>
      </w:pPr>
      <w:r w:rsidRPr="001455DC">
        <w:t>(5)</w:t>
      </w:r>
      <w:r w:rsidRPr="001455DC">
        <w:tab/>
        <w:t xml:space="preserve">In slabs, where </w:t>
      </w:r>
      <w:r w:rsidRPr="001455DC">
        <w:rPr>
          <w:rStyle w:val="CCMCvariableitalic"/>
        </w:rPr>
        <w:t>τ</w:t>
      </w:r>
      <w:r w:rsidRPr="001455DC">
        <w:rPr>
          <w:rStyle w:val="CCMCvariablesubscript"/>
        </w:rPr>
        <w:t>Ed</w:t>
      </w:r>
      <w:r w:rsidRPr="001455DC">
        <w:t> </w:t>
      </w:r>
      <w:r w:rsidR="00650035" w:rsidRPr="001455DC">
        <w:rPr>
          <w:rFonts w:ascii="Cambria Math" w:hAnsi="Cambria Math"/>
        </w:rPr>
        <w:t>≤</w:t>
      </w:r>
      <w:r w:rsidRPr="001455DC">
        <w:t> 0,08</w:t>
      </w:r>
      <w:r w:rsidRPr="001455DC">
        <w:rPr>
          <w:rStyle w:val="CCMCvariableitalic"/>
        </w:rPr>
        <w:t>f</w:t>
      </w:r>
      <w:r w:rsidRPr="001455DC">
        <w:rPr>
          <w:rStyle w:val="CCMCvariablesubscript"/>
        </w:rPr>
        <w:t>cd</w:t>
      </w:r>
      <w:r w:rsidRPr="001455DC">
        <w:t xml:space="preserve"> the shear reinforcement may consist entirely of bent up bars or of shear reinforcement assemblies.</w:t>
      </w:r>
    </w:p>
    <w:p w14:paraId="56C3F8A4" w14:textId="77777777" w:rsidR="004E22C1" w:rsidRPr="001455DC" w:rsidRDefault="004E22C1" w:rsidP="000D02C0">
      <w:pPr>
        <w:pStyle w:val="a7"/>
      </w:pPr>
      <w:r w:rsidRPr="001455DC">
        <w:t>(6)</w:t>
      </w:r>
      <w:r w:rsidRPr="001455DC">
        <w:tab/>
        <w:t xml:space="preserve">The diameter of shear reinforcement assemblies </w:t>
      </w:r>
      <w:r w:rsidRPr="001455DC">
        <w:rPr>
          <w:rStyle w:val="CCMCvariableitalic"/>
        </w:rPr>
        <w:t>ϕ</w:t>
      </w:r>
      <w:r w:rsidRPr="001455DC">
        <w:rPr>
          <w:rStyle w:val="CCMCvariablesubscript"/>
        </w:rPr>
        <w:t>sw</w:t>
      </w:r>
      <w:r w:rsidRPr="001455DC">
        <w:t xml:space="preserve"> shall not exceed a maximum value according to 12.5.1(3).</w:t>
      </w:r>
    </w:p>
    <w:p w14:paraId="372694B4" w14:textId="527502FF" w:rsidR="004E22C1" w:rsidRPr="001455DC" w:rsidRDefault="004E22C1" w:rsidP="006D682B">
      <w:pPr>
        <w:pStyle w:val="21"/>
      </w:pPr>
      <w:bookmarkStart w:id="938" w:name="_Toc52820064"/>
      <w:bookmarkStart w:id="939" w:name="_Toc54337467"/>
      <w:bookmarkStart w:id="940" w:name="_Toc54338120"/>
      <w:bookmarkStart w:id="941" w:name="_Toc67565464"/>
      <w:r w:rsidRPr="001455DC">
        <w:t>Slab-column connections and column bases</w:t>
      </w:r>
      <w:bookmarkEnd w:id="938"/>
      <w:bookmarkEnd w:id="939"/>
      <w:bookmarkEnd w:id="940"/>
      <w:bookmarkEnd w:id="941"/>
    </w:p>
    <w:p w14:paraId="5E239129" w14:textId="6E00D81C" w:rsidR="004E22C1" w:rsidRPr="001455DC" w:rsidRDefault="004E22C1" w:rsidP="00243590">
      <w:pPr>
        <w:pStyle w:val="31"/>
      </w:pPr>
      <w:bookmarkStart w:id="942" w:name="_Toc52820065"/>
      <w:bookmarkStart w:id="943" w:name="_Toc54337468"/>
      <w:bookmarkStart w:id="944" w:name="_Toc54338121"/>
      <w:bookmarkStart w:id="945" w:name="_Toc67565465"/>
      <w:r w:rsidRPr="001455DC">
        <w:t>Punching shear reinforcement</w:t>
      </w:r>
      <w:bookmarkEnd w:id="942"/>
      <w:bookmarkEnd w:id="943"/>
      <w:bookmarkEnd w:id="944"/>
      <w:bookmarkEnd w:id="945"/>
    </w:p>
    <w:p w14:paraId="1584AE95" w14:textId="77777777" w:rsidR="004E22C1" w:rsidRPr="001455DC" w:rsidRDefault="004E22C1" w:rsidP="00E844D2">
      <w:pPr>
        <w:pStyle w:val="a7"/>
        <w:keepNext/>
        <w:rPr>
          <w:rFonts w:eastAsiaTheme="minorHAnsi"/>
        </w:rPr>
      </w:pPr>
      <w:r w:rsidRPr="001455DC">
        <w:t>(1)</w:t>
      </w:r>
      <w:r w:rsidRPr="001455DC">
        <w:tab/>
      </w:r>
      <w:r w:rsidRPr="001455DC">
        <w:rPr>
          <w:rFonts w:eastAsiaTheme="minorHAnsi"/>
        </w:rPr>
        <w:t>If punching shear reinforcement is required (see 8.4), the following types of shear reinforcement may be placed to increase the punching shear capacity:</w:t>
      </w:r>
    </w:p>
    <w:p w14:paraId="1E2A580F" w14:textId="2304E0C4" w:rsidR="004E22C1" w:rsidRPr="001455DC" w:rsidRDefault="004E22C1" w:rsidP="000D02C0">
      <w:pPr>
        <w:pStyle w:val="a0"/>
      </w:pPr>
      <w:r w:rsidRPr="001455DC">
        <w:t>stirrups (Figure 12.7a)) with anchorage according Figure 12.2a) or b));</w:t>
      </w:r>
    </w:p>
    <w:p w14:paraId="5980E754" w14:textId="254A764D" w:rsidR="004E22C1" w:rsidRPr="001455DC" w:rsidRDefault="004E22C1" w:rsidP="000D02C0">
      <w:pPr>
        <w:pStyle w:val="a0"/>
      </w:pPr>
      <w:r w:rsidRPr="001455DC">
        <w:t>double-headed studs (Figure 12.</w:t>
      </w:r>
      <w:r w:rsidR="00272FDB" w:rsidRPr="001455DC">
        <w:t>7b</w:t>
      </w:r>
      <w:r w:rsidRPr="001455DC">
        <w:t>) with anchorage according to Figure 12.</w:t>
      </w:r>
      <w:r w:rsidR="00272FDB" w:rsidRPr="001455DC">
        <w:t>2e</w:t>
      </w:r>
      <w:r w:rsidRPr="001455DC">
        <w:t>);</w:t>
      </w:r>
    </w:p>
    <w:p w14:paraId="41375DFA" w14:textId="788C8A45" w:rsidR="004E22C1" w:rsidRPr="001455DC" w:rsidRDefault="004E22C1" w:rsidP="000D02C0">
      <w:pPr>
        <w:pStyle w:val="a0"/>
      </w:pPr>
      <w:r w:rsidRPr="001455DC">
        <w:t>bent-up bars (Figure 12.7c));</w:t>
      </w:r>
    </w:p>
    <w:p w14:paraId="041D1F35" w14:textId="43D66A81" w:rsidR="004E22C1" w:rsidRPr="001455DC" w:rsidRDefault="004E22C1" w:rsidP="000D02C0">
      <w:pPr>
        <w:pStyle w:val="a0"/>
      </w:pPr>
      <w:r w:rsidRPr="001455DC">
        <w:t>single-leg shear links ((Figure 12.7d) with anchorage according Figure 12.2a) or b)).</w:t>
      </w:r>
    </w:p>
    <w:tbl>
      <w:tblPr>
        <w:tblStyle w:val="a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0"/>
        <w:gridCol w:w="3251"/>
        <w:gridCol w:w="3251"/>
      </w:tblGrid>
      <w:tr w:rsidR="00E14CF8" w:rsidRPr="001455DC" w14:paraId="1B31EFD4" w14:textId="77777777" w:rsidTr="00E14CF8">
        <w:trPr>
          <w:cantSplit/>
          <w:jc w:val="center"/>
        </w:trPr>
        <w:tc>
          <w:tcPr>
            <w:tcW w:w="9752" w:type="dxa"/>
            <w:gridSpan w:val="3"/>
          </w:tcPr>
          <w:p w14:paraId="2C24CF50" w14:textId="1A458ABC" w:rsidR="00E14CF8" w:rsidRPr="001455DC" w:rsidRDefault="00723CF7">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"Y:\\STD_MGT\\STDDEL\\PRODUCTION\\etrans\\Download\\Z_FIRST_DEL\\SV\\00250\\00250269\\41_e_dr\\12_006.tif"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"Y:\\STD_MGT\\STDDEL\\PRODUCTION\\Standards\\00250\\269\\41_e_dr\\12_006.tif"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"Y:\\STD_MGT\\STDDEL\\PRODUCTION\\Standards\\00250\\269\\41_e_dr\\12_006.tif"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"Y:\\STD_MGT\\STDDEL\\PRODUCTION\\Standards\\00250\\269\\41_e_dr\\12_006.tif"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"Y:\\STD_MGT\\STDDEL\\PRODUCTION\\Standards\\00250\\269\\41_e_dr\\12_006.tif"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"Y:\\STD_MGT\\STDDEL\\PRODUCTION\\Standards\\00250\\269\\41_e_dr\\12_006.tif"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"C:\\Users\\a.dionysiou\\AppData\\Local\\Temp\\Temp1_00250269_e_20210902.zip.zip\\41_e_dr\\12_006.tif"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27AAF498">
                <v:shape id="_x0000_i1266" type="#_x0000_t75" style="width:449.25pt;height:198.75pt">
                  <v:imagedata r:id="rId502" r:href="rId503"/>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0D02C0" w:rsidRPr="002374A2" w14:paraId="40F3D07E" w14:textId="77777777" w:rsidTr="000D02C0">
        <w:trPr>
          <w:cantSplit/>
          <w:jc w:val="center"/>
        </w:trPr>
        <w:tc>
          <w:tcPr>
            <w:tcW w:w="3250" w:type="dxa"/>
          </w:tcPr>
          <w:p w14:paraId="65C21F6D" w14:textId="68AB8973" w:rsidR="000D02C0" w:rsidRPr="009D3012" w:rsidRDefault="000D02C0" w:rsidP="00E14CF8">
            <w:pPr>
              <w:pStyle w:val="FigureText"/>
              <w:jc w:val="left"/>
              <w:rPr>
                <w:bCs/>
              </w:rPr>
            </w:pPr>
            <w:r w:rsidRPr="009D3012">
              <w:rPr>
                <w:bCs/>
              </w:rPr>
              <w:t>a) Stirrups</w:t>
            </w:r>
          </w:p>
        </w:tc>
        <w:tc>
          <w:tcPr>
            <w:tcW w:w="3251" w:type="dxa"/>
          </w:tcPr>
          <w:p w14:paraId="633C7907" w14:textId="5FDDDA66" w:rsidR="000D02C0" w:rsidRPr="009D3012" w:rsidRDefault="000D02C0" w:rsidP="00E14CF8">
            <w:pPr>
              <w:pStyle w:val="FigureText"/>
              <w:jc w:val="left"/>
              <w:rPr>
                <w:bCs/>
              </w:rPr>
            </w:pPr>
          </w:p>
        </w:tc>
        <w:tc>
          <w:tcPr>
            <w:tcW w:w="3251" w:type="dxa"/>
          </w:tcPr>
          <w:p w14:paraId="4BE590E0" w14:textId="2ED6D33F" w:rsidR="000D02C0" w:rsidRPr="009D3012" w:rsidRDefault="000D02C0" w:rsidP="00E14CF8">
            <w:pPr>
              <w:pStyle w:val="FigureText"/>
              <w:jc w:val="left"/>
              <w:rPr>
                <w:bCs/>
              </w:rPr>
            </w:pPr>
          </w:p>
        </w:tc>
      </w:tr>
      <w:tr w:rsidR="00E14CF8" w:rsidRPr="002374A2" w14:paraId="63CA5C77" w14:textId="77777777" w:rsidTr="000D02C0">
        <w:trPr>
          <w:cantSplit/>
          <w:jc w:val="center"/>
        </w:trPr>
        <w:tc>
          <w:tcPr>
            <w:tcW w:w="3250" w:type="dxa"/>
          </w:tcPr>
          <w:p w14:paraId="4BD17AE1" w14:textId="5D105E7C" w:rsidR="00E14CF8" w:rsidRPr="009D3012" w:rsidRDefault="00E14CF8" w:rsidP="00E14CF8">
            <w:pPr>
              <w:pStyle w:val="FigureText"/>
              <w:jc w:val="left"/>
              <w:rPr>
                <w:bCs/>
              </w:rPr>
            </w:pPr>
            <w:r w:rsidRPr="009D3012">
              <w:rPr>
                <w:bCs/>
              </w:rPr>
              <w:t>b) Double-headed studs</w:t>
            </w:r>
          </w:p>
        </w:tc>
        <w:tc>
          <w:tcPr>
            <w:tcW w:w="3251" w:type="dxa"/>
          </w:tcPr>
          <w:p w14:paraId="3E63DE09" w14:textId="77777777" w:rsidR="00E14CF8" w:rsidRPr="009D3012" w:rsidRDefault="00E14CF8" w:rsidP="00E14CF8">
            <w:pPr>
              <w:pStyle w:val="FigureText"/>
              <w:jc w:val="left"/>
              <w:rPr>
                <w:bCs/>
              </w:rPr>
            </w:pPr>
          </w:p>
        </w:tc>
        <w:tc>
          <w:tcPr>
            <w:tcW w:w="3251" w:type="dxa"/>
          </w:tcPr>
          <w:p w14:paraId="1849D703" w14:textId="77777777" w:rsidR="00E14CF8" w:rsidRPr="009D3012" w:rsidRDefault="00E14CF8" w:rsidP="00E14CF8">
            <w:pPr>
              <w:pStyle w:val="FigureText"/>
              <w:jc w:val="left"/>
              <w:rPr>
                <w:bCs/>
              </w:rPr>
            </w:pPr>
          </w:p>
        </w:tc>
      </w:tr>
      <w:tr w:rsidR="00E14CF8" w:rsidRPr="002374A2" w14:paraId="771F73E8" w14:textId="77777777" w:rsidTr="000D02C0">
        <w:trPr>
          <w:cantSplit/>
          <w:jc w:val="center"/>
        </w:trPr>
        <w:tc>
          <w:tcPr>
            <w:tcW w:w="3250" w:type="dxa"/>
          </w:tcPr>
          <w:p w14:paraId="23DA9CD4" w14:textId="0272E1D8" w:rsidR="00E14CF8" w:rsidRPr="009D3012" w:rsidRDefault="00E14CF8" w:rsidP="00E14CF8">
            <w:pPr>
              <w:pStyle w:val="FigureText"/>
              <w:jc w:val="left"/>
              <w:rPr>
                <w:bCs/>
              </w:rPr>
            </w:pPr>
            <w:r w:rsidRPr="009D3012">
              <w:rPr>
                <w:bCs/>
              </w:rPr>
              <w:t>c) Bent-up bars</w:t>
            </w:r>
          </w:p>
        </w:tc>
        <w:tc>
          <w:tcPr>
            <w:tcW w:w="3251" w:type="dxa"/>
          </w:tcPr>
          <w:p w14:paraId="14BF3BB9" w14:textId="77777777" w:rsidR="00E14CF8" w:rsidRPr="009D3012" w:rsidRDefault="00E14CF8" w:rsidP="00E14CF8">
            <w:pPr>
              <w:pStyle w:val="FigureText"/>
              <w:jc w:val="left"/>
              <w:rPr>
                <w:bCs/>
              </w:rPr>
            </w:pPr>
          </w:p>
        </w:tc>
        <w:tc>
          <w:tcPr>
            <w:tcW w:w="3251" w:type="dxa"/>
          </w:tcPr>
          <w:p w14:paraId="0762DF5C" w14:textId="77777777" w:rsidR="00E14CF8" w:rsidRPr="009D3012" w:rsidRDefault="00E14CF8" w:rsidP="00E14CF8">
            <w:pPr>
              <w:pStyle w:val="FigureText"/>
              <w:jc w:val="left"/>
              <w:rPr>
                <w:bCs/>
              </w:rPr>
            </w:pPr>
          </w:p>
        </w:tc>
      </w:tr>
      <w:tr w:rsidR="000D02C0" w:rsidRPr="002374A2" w14:paraId="1A9991D4" w14:textId="77777777" w:rsidTr="000D02C0">
        <w:trPr>
          <w:cantSplit/>
          <w:jc w:val="center"/>
        </w:trPr>
        <w:tc>
          <w:tcPr>
            <w:tcW w:w="9752" w:type="dxa"/>
            <w:gridSpan w:val="3"/>
          </w:tcPr>
          <w:p w14:paraId="7D0742C6" w14:textId="3C6D3A38" w:rsidR="000D02C0" w:rsidRPr="009D3012" w:rsidRDefault="000D02C0" w:rsidP="00E14CF8">
            <w:pPr>
              <w:pStyle w:val="FigureText"/>
              <w:jc w:val="left"/>
              <w:rPr>
                <w:bCs/>
              </w:rPr>
            </w:pPr>
            <w:r w:rsidRPr="009D3012">
              <w:rPr>
                <w:bCs/>
              </w:rPr>
              <w:t>d) single-leg shear links</w:t>
            </w:r>
          </w:p>
        </w:tc>
      </w:tr>
    </w:tbl>
    <w:p w14:paraId="38BB1095" w14:textId="77777777" w:rsidR="00243590" w:rsidRDefault="002A078D" w:rsidP="00243590">
      <w:pPr>
        <w:pStyle w:val="KeyTitle"/>
      </w:pPr>
      <w:r>
        <w:t>Key</w:t>
      </w:r>
    </w:p>
    <w:tbl>
      <w:tblPr>
        <w:tblW w:w="0" w:type="auto"/>
        <w:tblInd w:w="-100" w:type="dxa"/>
        <w:tblCellMar>
          <w:left w:w="100" w:type="dxa"/>
        </w:tblCellMar>
        <w:tblLook w:val="0000" w:firstRow="0" w:lastRow="0" w:firstColumn="0" w:lastColumn="0" w:noHBand="0" w:noVBand="0"/>
      </w:tblPr>
      <w:tblGrid>
        <w:gridCol w:w="319"/>
        <w:gridCol w:w="1756"/>
      </w:tblGrid>
      <w:tr w:rsidR="00243590" w:rsidRPr="00243590" w14:paraId="7AB33D86" w14:textId="77777777" w:rsidTr="00243590">
        <w:tc>
          <w:tcPr>
            <w:tcW w:w="0" w:type="auto"/>
            <w:shd w:val="clear" w:color="auto" w:fill="auto"/>
          </w:tcPr>
          <w:p w14:paraId="5790AC7A" w14:textId="77777777" w:rsidR="00243590" w:rsidRPr="00243590" w:rsidRDefault="00243590" w:rsidP="00AD033B">
            <w:pPr>
              <w:pStyle w:val="KeyText"/>
              <w:tabs>
                <w:tab w:val="clear" w:pos="346"/>
              </w:tabs>
              <w:ind w:left="0" w:firstLine="0"/>
            </w:pPr>
            <w:r w:rsidRPr="00243590">
              <w:t>1</w:t>
            </w:r>
          </w:p>
        </w:tc>
        <w:tc>
          <w:tcPr>
            <w:tcW w:w="0" w:type="auto"/>
            <w:shd w:val="clear" w:color="auto" w:fill="auto"/>
          </w:tcPr>
          <w:p w14:paraId="6435B024" w14:textId="77777777" w:rsidR="00243590" w:rsidRPr="00243590" w:rsidRDefault="00243590" w:rsidP="00AD033B">
            <w:pPr>
              <w:pStyle w:val="KeyText"/>
              <w:tabs>
                <w:tab w:val="clear" w:pos="346"/>
              </w:tabs>
              <w:ind w:left="0" w:firstLine="0"/>
            </w:pPr>
            <w:r w:rsidRPr="00243590">
              <w:t>center line</w:t>
            </w:r>
          </w:p>
        </w:tc>
      </w:tr>
      <w:tr w:rsidR="00243590" w:rsidRPr="00243590" w14:paraId="6B29B599" w14:textId="77777777" w:rsidTr="00243590">
        <w:tc>
          <w:tcPr>
            <w:tcW w:w="0" w:type="auto"/>
            <w:shd w:val="clear" w:color="auto" w:fill="auto"/>
          </w:tcPr>
          <w:p w14:paraId="494C45D3" w14:textId="77777777" w:rsidR="00243590" w:rsidRPr="00243590" w:rsidRDefault="00243590" w:rsidP="00AD033B">
            <w:pPr>
              <w:pStyle w:val="KeyText"/>
              <w:tabs>
                <w:tab w:val="clear" w:pos="346"/>
              </w:tabs>
              <w:ind w:left="0" w:firstLine="0"/>
            </w:pPr>
            <w:r w:rsidRPr="00243590">
              <w:t>2</w:t>
            </w:r>
          </w:p>
        </w:tc>
        <w:tc>
          <w:tcPr>
            <w:tcW w:w="0" w:type="auto"/>
            <w:shd w:val="clear" w:color="auto" w:fill="auto"/>
          </w:tcPr>
          <w:p w14:paraId="0E1F8B25" w14:textId="77777777" w:rsidR="00243590" w:rsidRPr="00243590" w:rsidRDefault="00243590" w:rsidP="00AD033B">
            <w:pPr>
              <w:pStyle w:val="KeyText"/>
              <w:tabs>
                <w:tab w:val="clear" w:pos="346"/>
              </w:tabs>
              <w:ind w:left="0" w:firstLine="0"/>
            </w:pPr>
            <w:r w:rsidRPr="00243590">
              <w:t>compression zone</w:t>
            </w:r>
          </w:p>
        </w:tc>
      </w:tr>
    </w:tbl>
    <w:p w14:paraId="40D8936E" w14:textId="4308BAF4" w:rsidR="004E22C1" w:rsidRPr="001455DC" w:rsidRDefault="004E22C1" w:rsidP="000D02C0">
      <w:pPr>
        <w:pStyle w:val="Figuretitle"/>
      </w:pPr>
      <w:r w:rsidRPr="001455DC">
        <w:t>Figure 12.</w:t>
      </w:r>
      <w:r w:rsidR="00256080">
        <w:t>6</w:t>
      </w:r>
      <w:r w:rsidR="00256080" w:rsidRPr="001455DC">
        <w:t> </w:t>
      </w:r>
      <w:r w:rsidRPr="001455DC">
        <w:t>— Examples of shear and punching shear reinforcement in flat slabs</w:t>
      </w:r>
    </w:p>
    <w:p w14:paraId="4F9CB575" w14:textId="4D513B59" w:rsidR="004E22C1" w:rsidRPr="001455DC" w:rsidRDefault="004E22C1" w:rsidP="000D02C0">
      <w:pPr>
        <w:pStyle w:val="a7"/>
      </w:pPr>
      <w:r w:rsidRPr="001455DC">
        <w:t>(2)</w:t>
      </w:r>
      <w:r w:rsidRPr="001455DC">
        <w:tab/>
        <w:t xml:space="preserve">Where punching shear reinforcement is required it should be placed between the loaded area/column </w:t>
      </w:r>
      <w:r w:rsidRPr="001455DC">
        <w:rPr>
          <w:rStyle w:val="CCMCvariableitalic"/>
        </w:rPr>
        <w:t>A</w:t>
      </w:r>
      <w:r w:rsidRPr="001455DC">
        <w:rPr>
          <w:rStyle w:val="CCMCvariablesubscript"/>
        </w:rPr>
        <w:t>load</w:t>
      </w:r>
      <w:r w:rsidRPr="001455DC">
        <w:t xml:space="preserve"> and 0,5</w:t>
      </w:r>
      <w:r w:rsidRPr="001455DC">
        <w:rPr>
          <w:rStyle w:val="CCMCvariableitalic"/>
        </w:rPr>
        <w:t>d</w:t>
      </w:r>
      <w:r w:rsidRPr="001455DC">
        <w:rPr>
          <w:rStyle w:val="CCMCvariablesubscript"/>
        </w:rPr>
        <w:t>v,out</w:t>
      </w:r>
      <w:r w:rsidRPr="001455DC">
        <w:t xml:space="preserve"> inside the control perimeter at which shear reinforcement is no longer required (see Figure 8.24). If stirrups, links or double-headed studs are provided, the shear reinforcement should be installed along at least two perimeters. For bent-up bars anchored as in Figure 12.8 one perimeter may be considered sufficient. The spacing of the shear reinforcement in radial and tangential directions shall satisfy the provisions in Figure 12.8.</w:t>
      </w:r>
    </w:p>
    <w:p w14:paraId="68216E9C" w14:textId="5C1FC559" w:rsidR="00DE7C2D" w:rsidRPr="009D3012" w:rsidRDefault="00DE7C2D" w:rsidP="009D3012">
      <w:pPr>
        <w:pStyle w:val="a7"/>
      </w:pPr>
      <w:r w:rsidRPr="001455DC">
        <w:t xml:space="preserve">The tangential spacing of </w:t>
      </w:r>
      <w:r w:rsidRPr="009D3012">
        <w:t>shear reinforcement located at a distance ≤ 2</w:t>
      </w:r>
      <w:r w:rsidRPr="009D3012">
        <w:rPr>
          <w:i/>
        </w:rPr>
        <w:t>d</w:t>
      </w:r>
      <w:r w:rsidRPr="009D3012">
        <w:rPr>
          <w:iCs/>
          <w:vertAlign w:val="subscript"/>
        </w:rPr>
        <w:t>v</w:t>
      </w:r>
      <w:r w:rsidRPr="009D3012">
        <w:t xml:space="preserve"> from the column edge should not exceed 1,5</w:t>
      </w:r>
      <w:r w:rsidRPr="009D3012">
        <w:rPr>
          <w:i/>
        </w:rPr>
        <w:t>d</w:t>
      </w:r>
      <w:r w:rsidRPr="009D3012">
        <w:rPr>
          <w:iCs/>
          <w:vertAlign w:val="subscript"/>
        </w:rPr>
        <w:t>v</w:t>
      </w:r>
      <w:r w:rsidRPr="009D3012">
        <w:t xml:space="preserve"> (see Figure 12.8c)).</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1"/>
      </w:tblGrid>
      <w:tr w:rsidR="00DE7C2D" w:rsidRPr="001455DC" w14:paraId="0467D275" w14:textId="77777777" w:rsidTr="009D3012">
        <w:tc>
          <w:tcPr>
            <w:tcW w:w="9891" w:type="dxa"/>
          </w:tcPr>
          <w:p w14:paraId="6056FE54" w14:textId="7BC34A9E" w:rsidR="00DE7C2D" w:rsidRPr="001455DC" w:rsidRDefault="00723CF7" w:rsidP="00243590">
            <w:pPr>
              <w:pStyle w:val="FigureImage"/>
              <w:spacing w:before="120"/>
            </w:pPr>
            <w:r>
              <w:rPr>
                <w:noProof/>
                <w:lang w:eastAsia="en-GB"/>
              </w:rPr>
              <w:fldChar w:fldCharType="begin"/>
            </w:r>
            <w:r>
              <w:rPr>
                <w:rFonts w:cs="Times New Roman"/>
                <w:noProof/>
                <w:lang w:eastAsia="en-GB"/>
              </w:rPr>
              <w:instrText xml:space="preserve"> INCLUDEPICTURE  "Y:\\STD_MGT\\STDDEL\\PRODUCTION\\etrans\\Download\\Z_FIRST_DEL\\SV\\00250\\00250269\\41_e_dr\\12_007a.tif"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"Y:\\STD_MGT\\STDDEL\\PRODUCTION\\Standards\\00250\\269\\41_e_dr\\12_007a.tif"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"Y:\\STD_MGT\\STDDEL\\PRODUCTION\\Standards\\00250\\269\\41_e_dr\\12_007a.tif"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"Y:\\STD_MGT\\STDDEL\\PRODUCTION\\Standards\\00250\\269\\41_e_dr\\12_007a.tif"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"Y:\\STD_MGT\\STDDEL\\PRODUCTION\\Standards\\00250\\269\\41_e_dr\\12_007a.tif"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"Y:\\STD_MGT\\STDDEL\\PRODUCTION\\Standards\\00250\\269\\41_e_dr\\12_007a.tif"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w:instrText>
            </w:r>
            <w:r w:rsidR="00231E33">
              <w:rPr>
                <w:noProof/>
                <w:lang w:eastAsia="en-GB"/>
              </w:rPr>
              <w:instrText>s\\a.dionysiou\\AppData\\Local\\Temp\\Temp1_00250269_e_20210902.zip.zip\\41_e_dr\\12_007a.tif"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64762AAE">
                <v:shape id="_x0000_i1267" type="#_x0000_t75" style="width:432.75pt;height:147pt">
                  <v:imagedata r:id="rId504" r:href="rId505"/>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DE7C2D" w:rsidRPr="001455DC" w14:paraId="3AEE0653" w14:textId="77777777" w:rsidTr="009D3012">
        <w:tc>
          <w:tcPr>
            <w:tcW w:w="9891" w:type="dxa"/>
          </w:tcPr>
          <w:p w14:paraId="1E01823C" w14:textId="3B6381B7" w:rsidR="00DE7C2D" w:rsidRPr="001455DC" w:rsidRDefault="00DE7C2D" w:rsidP="00243590">
            <w:pPr>
              <w:pStyle w:val="FigureImage"/>
              <w:spacing w:before="120"/>
              <w:jc w:val="left"/>
            </w:pPr>
            <w:r w:rsidRPr="001455DC">
              <w:t>a) Radial spacing rules for flat slabs</w:t>
            </w:r>
          </w:p>
        </w:tc>
      </w:tr>
      <w:tr w:rsidR="00DE7C2D" w:rsidRPr="001455DC" w14:paraId="29DA475E" w14:textId="77777777" w:rsidTr="009D3012">
        <w:tc>
          <w:tcPr>
            <w:tcW w:w="9891" w:type="dxa"/>
          </w:tcPr>
          <w:p w14:paraId="58755F6A" w14:textId="79E50FA3" w:rsidR="00DE7C2D" w:rsidRPr="001455DC" w:rsidRDefault="00723CF7" w:rsidP="00243590">
            <w:pPr>
              <w:pStyle w:val="FigureImage"/>
              <w:spacing w:before="120"/>
            </w:pPr>
            <w:r>
              <w:rPr>
                <w:noProof/>
                <w:lang w:eastAsia="en-GB"/>
              </w:rPr>
              <w:fldChar w:fldCharType="begin"/>
            </w:r>
            <w:r>
              <w:rPr>
                <w:rFonts w:cs="Times New Roman"/>
                <w:noProof/>
                <w:lang w:eastAsia="en-GB"/>
              </w:rPr>
              <w:instrText xml:space="preserve"> INCLUDEPICTURE  "Y:\\STD_MGT\\STDDEL\\PRODUCTION\\etrans\\Download\\Z_FIRST_DEL\\SV\\00250\\00250269\\41_e_dr\\12_007b.tif"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"Y:\\STD_MGT\\STDDEL\\PRODUCTION\\Standards\\00250\\269\\41_e_dr\\12_007b.tif"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"Y:\\STD_MGT\\STDDEL\\PRODUCTION\\Standards\\00250\\269\\41_e_dr\\12_007b.tif"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"Y:\\STD_MGT\\STDDEL\\PRODUCTION\\Standards\\00250\\269\\41_e_dr\\12_007b.tif"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"Y:\\STD_MGT\\STDDEL\\PRODUCTION\\Standards\\00250\\269\\41_e_dr\\12_007b.tif"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"Y:\\STD_MGT\\STDDEL\\PRODUCTION\\Standards\\00250\\269\\41_e_dr\\12_007b.tif"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w:instrText>
            </w:r>
            <w:r w:rsidR="00231E33">
              <w:rPr>
                <w:noProof/>
                <w:lang w:eastAsia="en-GB"/>
              </w:rPr>
              <w:instrText>\\Local\\Temp\\Temp1_00250269_e_20210902.zip.zip\\41_e_dr\\12_007b.tif"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24504FA5">
                <v:shape id="_x0000_i1268" type="#_x0000_t75" style="width:466.5pt;height:152.25pt">
                  <v:imagedata r:id="rId506" r:href="rId507"/>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DE7C2D" w:rsidRPr="001455DC" w14:paraId="6ACA410D" w14:textId="77777777" w:rsidTr="009D3012">
        <w:tc>
          <w:tcPr>
            <w:tcW w:w="9891" w:type="dxa"/>
          </w:tcPr>
          <w:p w14:paraId="35F09D2B" w14:textId="33027A29" w:rsidR="00DE7C2D" w:rsidRPr="001455DC" w:rsidRDefault="00DE7C2D" w:rsidP="00243590">
            <w:pPr>
              <w:pStyle w:val="FigureImage"/>
              <w:spacing w:before="120"/>
              <w:jc w:val="left"/>
            </w:pPr>
            <w:r w:rsidRPr="001455DC">
              <w:t>b) Radial spacing rules for column bases</w:t>
            </w:r>
          </w:p>
        </w:tc>
      </w:tr>
      <w:tr w:rsidR="00DE7C2D" w:rsidRPr="001455DC" w14:paraId="4FD8D9EA" w14:textId="77777777" w:rsidTr="009D3012">
        <w:tc>
          <w:tcPr>
            <w:tcW w:w="9891" w:type="dxa"/>
          </w:tcPr>
          <w:p w14:paraId="6C2E8608" w14:textId="05CCB1B2" w:rsidR="00DE7C2D" w:rsidRPr="001455DC" w:rsidRDefault="00723CF7" w:rsidP="00243590">
            <w:pPr>
              <w:pStyle w:val="FigureImage"/>
              <w:spacing w:before="120"/>
            </w:pPr>
            <w:r>
              <w:rPr>
                <w:noProof/>
                <w:lang w:eastAsia="en-GB"/>
              </w:rPr>
              <w:fldChar w:fldCharType="begin"/>
            </w:r>
            <w:r>
              <w:rPr>
                <w:rFonts w:cs="Times New Roman"/>
                <w:noProof/>
                <w:lang w:eastAsia="en-GB"/>
              </w:rPr>
              <w:instrText xml:space="preserve"> INCLUDEPICTURE  "Y:\\STD_MGT\\STDDEL\\PRODUCTION\\etrans\\Download\\Z_FIRST_DEL\\SV\\00250\\00250269\\41_e_dr\\12_007c.tif"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"Y:\\STD_MGT\\STDDEL\\PRODUCTION\\Standards\\00250\\269\\41_e_dr\\12_007c.tif"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"Y:\\STD_MGT\\STDDEL\\PRODUCTION\\Standards\\00250\\269\\41_e_dr\\12_007c.tif"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"Y:\\STD_MGT\\STDDEL\\PRODUCTION\\Standards\\00250\\269\\41_e_dr\\12_007c.tif"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"Y:\\STD_MGT\\STDDEL\\PRODUCTION\\Standards\\00250\\269\\41_e_dr\\12_007c.tif"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"Y:\\STD_MGT\\STDDEL\\PRODUCTION\\Standards\\00250\\269\\41_e_dr\\12_007c.tif"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w:instrText>
            </w:r>
            <w:r w:rsidR="00231E33">
              <w:rPr>
                <w:noProof/>
                <w:lang w:eastAsia="en-GB"/>
              </w:rPr>
              <w:instrText>\\Local\\Temp\\Temp1_00250269_e_20210902.zip.zip\\41_e_dr\\12_007c.tif"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380C3F23">
                <v:shape id="_x0000_i1269" type="#_x0000_t75" style="width:280.5pt;height:141.75pt">
                  <v:imagedata r:id="rId508" r:href="rId509"/>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DE7C2D" w:rsidRPr="001455DC" w14:paraId="4ACE223A" w14:textId="77777777" w:rsidTr="009D3012">
        <w:tc>
          <w:tcPr>
            <w:tcW w:w="9891" w:type="dxa"/>
          </w:tcPr>
          <w:p w14:paraId="4D2CCD55" w14:textId="5354464D" w:rsidR="00DE7C2D" w:rsidRPr="001455DC" w:rsidRDefault="00DE7C2D" w:rsidP="00243590">
            <w:pPr>
              <w:pStyle w:val="FigureImage"/>
              <w:spacing w:before="120"/>
              <w:jc w:val="left"/>
            </w:pPr>
            <w:r w:rsidRPr="001455DC">
              <w:t>c) Tangential spacing rules</w:t>
            </w:r>
            <w:r w:rsidR="00256080">
              <w:t xml:space="preserve"> </w:t>
            </w:r>
          </w:p>
        </w:tc>
      </w:tr>
    </w:tbl>
    <w:p w14:paraId="439E3F99" w14:textId="77777777" w:rsidR="00243590" w:rsidRDefault="00DE7C2D" w:rsidP="00243590">
      <w:pPr>
        <w:pStyle w:val="KeyTitle"/>
      </w:pPr>
      <w:r w:rsidRPr="001455DC">
        <w:t>Key</w:t>
      </w:r>
    </w:p>
    <w:tbl>
      <w:tblPr>
        <w:tblW w:w="0" w:type="auto"/>
        <w:tblInd w:w="100" w:type="dxa"/>
        <w:tblCellMar>
          <w:left w:w="100" w:type="dxa"/>
        </w:tblCellMar>
        <w:tblLook w:val="0000" w:firstRow="0" w:lastRow="0" w:firstColumn="0" w:lastColumn="0" w:noHBand="0" w:noVBand="0"/>
      </w:tblPr>
      <w:tblGrid>
        <w:gridCol w:w="319"/>
        <w:gridCol w:w="1731"/>
      </w:tblGrid>
      <w:tr w:rsidR="00243590" w:rsidRPr="00243590" w14:paraId="1CF7E5E8" w14:textId="77777777" w:rsidTr="00243590">
        <w:tc>
          <w:tcPr>
            <w:tcW w:w="0" w:type="auto"/>
            <w:shd w:val="clear" w:color="auto" w:fill="auto"/>
          </w:tcPr>
          <w:p w14:paraId="2A09FA81" w14:textId="77777777" w:rsidR="00243590" w:rsidRPr="00243590" w:rsidRDefault="00243590" w:rsidP="00AD033B">
            <w:pPr>
              <w:pStyle w:val="KeyText"/>
              <w:tabs>
                <w:tab w:val="clear" w:pos="346"/>
              </w:tabs>
              <w:ind w:left="0" w:firstLine="0"/>
            </w:pPr>
            <w:r w:rsidRPr="00243590">
              <w:t>a</w:t>
            </w:r>
          </w:p>
        </w:tc>
        <w:tc>
          <w:tcPr>
            <w:tcW w:w="0" w:type="auto"/>
            <w:shd w:val="clear" w:color="auto" w:fill="auto"/>
          </w:tcPr>
          <w:p w14:paraId="5BDBDE9C" w14:textId="77777777" w:rsidR="00243590" w:rsidRPr="00243590" w:rsidRDefault="00243590" w:rsidP="00AD033B">
            <w:pPr>
              <w:pStyle w:val="KeyText"/>
              <w:tabs>
                <w:tab w:val="clear" w:pos="346"/>
              </w:tabs>
              <w:ind w:left="0" w:firstLine="0"/>
            </w:pPr>
            <w:r w:rsidRPr="00243590">
              <w:t>within 2d</w:t>
            </w:r>
          </w:p>
        </w:tc>
      </w:tr>
      <w:tr w:rsidR="00243590" w:rsidRPr="00243590" w14:paraId="2BDA84D6" w14:textId="77777777" w:rsidTr="00243590">
        <w:tc>
          <w:tcPr>
            <w:tcW w:w="0" w:type="auto"/>
            <w:shd w:val="clear" w:color="auto" w:fill="auto"/>
          </w:tcPr>
          <w:p w14:paraId="6D3BC9F3" w14:textId="77777777" w:rsidR="00243590" w:rsidRPr="00243590" w:rsidRDefault="00243590" w:rsidP="00AD033B">
            <w:pPr>
              <w:pStyle w:val="KeyText"/>
              <w:tabs>
                <w:tab w:val="clear" w:pos="346"/>
              </w:tabs>
              <w:ind w:left="0" w:firstLine="0"/>
            </w:pPr>
            <w:r w:rsidRPr="00243590">
              <w:t>b</w:t>
            </w:r>
          </w:p>
        </w:tc>
        <w:tc>
          <w:tcPr>
            <w:tcW w:w="0" w:type="auto"/>
            <w:shd w:val="clear" w:color="auto" w:fill="auto"/>
          </w:tcPr>
          <w:p w14:paraId="29BF52DC" w14:textId="77777777" w:rsidR="00243590" w:rsidRPr="00243590" w:rsidRDefault="00243590" w:rsidP="00AD033B">
            <w:pPr>
              <w:pStyle w:val="KeyText"/>
              <w:tabs>
                <w:tab w:val="clear" w:pos="346"/>
              </w:tabs>
              <w:ind w:left="0" w:firstLine="0"/>
            </w:pPr>
            <w:r w:rsidRPr="00243590">
              <w:t>outside 2d</w:t>
            </w:r>
          </w:p>
        </w:tc>
      </w:tr>
      <w:tr w:rsidR="00243590" w:rsidRPr="00243590" w14:paraId="0FA3C071" w14:textId="77777777" w:rsidTr="00243590">
        <w:tc>
          <w:tcPr>
            <w:tcW w:w="0" w:type="auto"/>
            <w:shd w:val="clear" w:color="auto" w:fill="auto"/>
          </w:tcPr>
          <w:p w14:paraId="7926C115" w14:textId="77777777" w:rsidR="00243590" w:rsidRPr="00243590" w:rsidRDefault="00243590" w:rsidP="00AD033B">
            <w:pPr>
              <w:pStyle w:val="KeyText"/>
              <w:tabs>
                <w:tab w:val="clear" w:pos="346"/>
              </w:tabs>
              <w:ind w:left="0" w:firstLine="0"/>
            </w:pPr>
            <w:r w:rsidRPr="00243590">
              <w:t>1</w:t>
            </w:r>
          </w:p>
        </w:tc>
        <w:tc>
          <w:tcPr>
            <w:tcW w:w="0" w:type="auto"/>
            <w:shd w:val="clear" w:color="auto" w:fill="auto"/>
          </w:tcPr>
          <w:p w14:paraId="5ECA3D6F" w14:textId="77777777" w:rsidR="00243590" w:rsidRPr="00243590" w:rsidRDefault="00243590" w:rsidP="00AD033B">
            <w:pPr>
              <w:pStyle w:val="KeyText"/>
              <w:tabs>
                <w:tab w:val="clear" w:pos="346"/>
              </w:tabs>
              <w:ind w:left="0" w:firstLine="0"/>
            </w:pPr>
            <w:r w:rsidRPr="00243590">
              <w:t>radial layout</w:t>
            </w:r>
          </w:p>
        </w:tc>
      </w:tr>
      <w:tr w:rsidR="00243590" w:rsidRPr="00243590" w14:paraId="47884F3A" w14:textId="77777777" w:rsidTr="00243590">
        <w:tc>
          <w:tcPr>
            <w:tcW w:w="0" w:type="auto"/>
            <w:shd w:val="clear" w:color="auto" w:fill="auto"/>
          </w:tcPr>
          <w:p w14:paraId="181A5EDC" w14:textId="77777777" w:rsidR="00243590" w:rsidRPr="00243590" w:rsidRDefault="00243590" w:rsidP="00AD033B">
            <w:pPr>
              <w:pStyle w:val="KeyText"/>
              <w:tabs>
                <w:tab w:val="clear" w:pos="346"/>
              </w:tabs>
              <w:ind w:left="0" w:firstLine="0"/>
            </w:pPr>
            <w:r w:rsidRPr="00243590">
              <w:t>2</w:t>
            </w:r>
          </w:p>
        </w:tc>
        <w:tc>
          <w:tcPr>
            <w:tcW w:w="0" w:type="auto"/>
            <w:shd w:val="clear" w:color="auto" w:fill="auto"/>
          </w:tcPr>
          <w:p w14:paraId="46B5CD0D" w14:textId="77777777" w:rsidR="00243590" w:rsidRPr="00243590" w:rsidRDefault="00243590" w:rsidP="00AD033B">
            <w:pPr>
              <w:pStyle w:val="KeyText"/>
              <w:tabs>
                <w:tab w:val="clear" w:pos="346"/>
              </w:tabs>
              <w:ind w:left="0" w:firstLine="0"/>
            </w:pPr>
            <w:r w:rsidRPr="00243590">
              <w:t>orthogonal layout</w:t>
            </w:r>
          </w:p>
        </w:tc>
      </w:tr>
    </w:tbl>
    <w:p w14:paraId="4D7D5FBC" w14:textId="392494F9" w:rsidR="004E22C1" w:rsidRPr="001455DC" w:rsidRDefault="004E22C1" w:rsidP="000D02C0">
      <w:pPr>
        <w:pStyle w:val="Figuretitle"/>
      </w:pPr>
      <w:r w:rsidRPr="001455DC">
        <w:t>Figure 12.</w:t>
      </w:r>
      <w:r w:rsidR="00256080">
        <w:t>7</w:t>
      </w:r>
      <w:r w:rsidR="00256080" w:rsidRPr="001455DC">
        <w:t> </w:t>
      </w:r>
      <w:r w:rsidRPr="001455DC">
        <w:t>— Spacing of punching shear reinforcement</w:t>
      </w:r>
    </w:p>
    <w:p w14:paraId="5DCE7AE6" w14:textId="77777777" w:rsidR="004E22C1" w:rsidRPr="001455DC" w:rsidRDefault="004E22C1" w:rsidP="000D02C0">
      <w:pPr>
        <w:pStyle w:val="Note"/>
      </w:pPr>
      <w:r w:rsidRPr="001455DC">
        <w:t>NOTE</w:t>
      </w:r>
      <w:r w:rsidRPr="001455DC">
        <w:tab/>
        <w:t>Figure 12.8a) and b) show the position vertical leg of punching shear reinforcement simplified without anchorage elements.</w:t>
      </w:r>
    </w:p>
    <w:p w14:paraId="554DADF5" w14:textId="38F43202" w:rsidR="004E22C1" w:rsidRPr="001455DC" w:rsidRDefault="004E22C1" w:rsidP="00E844D2">
      <w:pPr>
        <w:pStyle w:val="a7"/>
        <w:keepNext/>
      </w:pPr>
      <w:r w:rsidRPr="001455DC">
        <w:t>(3)</w:t>
      </w:r>
      <w:r w:rsidRPr="001455DC">
        <w:tab/>
      </w:r>
      <w:r w:rsidR="0052191E" w:rsidRPr="001455DC">
        <w:t>The maximum effective area of one leg of shear reinforcement should be limited to that of a bar of diameter</w:t>
      </w:r>
      <w:r w:rsidR="0052191E" w:rsidRPr="001455DC" w:rsidDel="0052191E">
        <w:t xml:space="preserve"> </w:t>
      </w:r>
      <w:r w:rsidRPr="001455DC">
        <w:t xml:space="preserve"> </w:t>
      </w:r>
      <w:r w:rsidRPr="001455DC">
        <w:rPr>
          <w:rStyle w:val="CCMCvariableitalic"/>
        </w:rPr>
        <w:t>ϕ</w:t>
      </w:r>
      <w:r w:rsidRPr="001455DC">
        <w:rPr>
          <w:rStyle w:val="CCMCvariablesubscript"/>
        </w:rPr>
        <w:t>w,max</w:t>
      </w:r>
      <w:r w:rsidRPr="001455DC">
        <w:t xml:space="preserve"> </w:t>
      </w:r>
      <w:r w:rsidR="0052191E" w:rsidRPr="001455DC">
        <w:t>of</w:t>
      </w:r>
      <w:r w:rsidRPr="001455DC">
        <w:t>:</w:t>
      </w:r>
    </w:p>
    <w:p w14:paraId="20177921" w14:textId="32BA8AE8" w:rsidR="004E22C1" w:rsidRPr="001455DC" w:rsidRDefault="004E22C1" w:rsidP="000D02C0">
      <w:pPr>
        <w:pStyle w:val="a0"/>
        <w:tabs>
          <w:tab w:val="left" w:pos="357"/>
        </w:tabs>
        <w:ind w:left="5670" w:hanging="5670"/>
        <w:rPr>
          <w:iCs/>
        </w:rPr>
      </w:pPr>
      <w:r w:rsidRPr="001455DC">
        <w:t>for single leg links and open stirrups</w:t>
      </w:r>
      <w:r w:rsidRPr="001455DC">
        <w:tab/>
      </w:r>
      <m:oMath>
        <m:sSub>
          <m:sSubPr>
            <m:ctrlPr>
              <w:rPr>
                <w:rFonts w:ascii="Cambria Math" w:hAnsi="Cambria Math"/>
              </w:rPr>
            </m:ctrlPr>
          </m:sSubPr>
          <m:e>
            <m:r>
              <w:rPr>
                <w:rFonts w:ascii="Cambria Math" w:hAnsi="Cambria Math"/>
              </w:rPr>
              <m:t>ϕ</m:t>
            </m:r>
          </m:e>
          <m:sub>
            <m:r>
              <m:rPr>
                <m:sty m:val="p"/>
              </m:rPr>
              <w:rPr>
                <w:rFonts w:ascii="Cambria Math" w:hAnsi="Cambria Math"/>
              </w:rPr>
              <m:t>w,max</m:t>
            </m:r>
          </m:sub>
        </m:sSub>
        <m:r>
          <w:rPr>
            <w:rFonts w:ascii="Cambria Math" w:hAnsi="Cambria Math"/>
          </w:rPr>
          <m:t>=10</m:t>
        </m:r>
        <m:rad>
          <m:radPr>
            <m:degHide m:val="1"/>
            <m:ctrlPr>
              <w:rPr>
                <w:rFonts w:ascii="Cambria Math" w:hAnsi="Cambria Math"/>
              </w:rPr>
            </m:ctrlPr>
          </m:radPr>
          <m:deg/>
          <m:e>
            <m:r>
              <w:rPr>
                <w:rFonts w:ascii="Cambria Math" w:hAnsi="Cambria Math"/>
              </w:rPr>
              <m:t>d/200</m:t>
            </m:r>
          </m:e>
        </m:rad>
      </m:oMath>
      <w:r w:rsidRPr="001455DC">
        <w:t>,</w:t>
      </w:r>
    </w:p>
    <w:p w14:paraId="3F8EBAC2" w14:textId="74130020" w:rsidR="004E22C1" w:rsidRPr="001455DC" w:rsidRDefault="004E22C1" w:rsidP="000D02C0">
      <w:pPr>
        <w:pStyle w:val="a0"/>
        <w:tabs>
          <w:tab w:val="left" w:pos="357"/>
        </w:tabs>
        <w:ind w:left="5670" w:hanging="5670"/>
        <w:rPr>
          <w:iCs/>
        </w:rPr>
      </w:pPr>
      <w:r w:rsidRPr="001455DC">
        <w:t>for closed stirrups or bars with similar anchorage:</w:t>
      </w:r>
      <w:r w:rsidRPr="001455DC">
        <w:tab/>
      </w:r>
      <m:oMath>
        <m:sSub>
          <m:sSubPr>
            <m:ctrlPr>
              <w:rPr>
                <w:rFonts w:ascii="Cambria Math" w:hAnsi="Cambria Math"/>
              </w:rPr>
            </m:ctrlPr>
          </m:sSubPr>
          <m:e>
            <m:r>
              <w:rPr>
                <w:rFonts w:ascii="Cambria Math" w:hAnsi="Cambria Math"/>
              </w:rPr>
              <m:t>ϕ</m:t>
            </m:r>
          </m:e>
          <m:sub>
            <m:r>
              <m:rPr>
                <m:sty m:val="p"/>
              </m:rPr>
              <w:rPr>
                <w:rFonts w:ascii="Cambria Math" w:hAnsi="Cambria Math"/>
              </w:rPr>
              <m:t>w,max</m:t>
            </m:r>
          </m:sub>
        </m:sSub>
        <m:r>
          <w:rPr>
            <w:rFonts w:ascii="Cambria Math" w:hAnsi="Cambria Math"/>
          </w:rPr>
          <m:t>=11</m:t>
        </m:r>
        <m:rad>
          <m:radPr>
            <m:degHide m:val="1"/>
            <m:ctrlPr>
              <w:rPr>
                <w:rFonts w:ascii="Cambria Math" w:hAnsi="Cambria Math"/>
              </w:rPr>
            </m:ctrlPr>
          </m:radPr>
          <m:deg/>
          <m:e>
            <m:r>
              <w:rPr>
                <w:rFonts w:ascii="Cambria Math" w:hAnsi="Cambria Math"/>
              </w:rPr>
              <m:t>d/200</m:t>
            </m:r>
          </m:e>
        </m:rad>
      </m:oMath>
      <w:r w:rsidRPr="001455DC">
        <w:t>,</w:t>
      </w:r>
    </w:p>
    <w:p w14:paraId="619F8129" w14:textId="74280B96" w:rsidR="004E22C1" w:rsidRPr="001455DC" w:rsidRDefault="004E22C1" w:rsidP="000D02C0">
      <w:pPr>
        <w:pStyle w:val="a0"/>
        <w:tabs>
          <w:tab w:val="left" w:pos="357"/>
        </w:tabs>
        <w:ind w:left="5670" w:hanging="5670"/>
      </w:pPr>
      <w:r w:rsidRPr="001455DC">
        <w:t>for bent up bars and headed bars:</w:t>
      </w:r>
      <w:r w:rsidRPr="001455DC">
        <w:tab/>
      </w:r>
      <m:oMath>
        <m:sSub>
          <m:sSubPr>
            <m:ctrlPr>
              <w:rPr>
                <w:rFonts w:ascii="Cambria Math" w:hAnsi="Cambria Math"/>
              </w:rPr>
            </m:ctrlPr>
          </m:sSubPr>
          <m:e>
            <m:r>
              <w:rPr>
                <w:rFonts w:ascii="Cambria Math" w:hAnsi="Cambria Math"/>
              </w:rPr>
              <m:t>ϕ</m:t>
            </m:r>
          </m:e>
          <m:sub>
            <m:r>
              <m:rPr>
                <m:sty m:val="p"/>
              </m:rPr>
              <w:rPr>
                <w:rFonts w:ascii="Cambria Math" w:hAnsi="Cambria Math"/>
              </w:rPr>
              <m:t>w,max</m:t>
            </m:r>
          </m:sub>
        </m:sSub>
        <m:r>
          <w:rPr>
            <w:rFonts w:ascii="Cambria Math" w:hAnsi="Cambria Math"/>
          </w:rPr>
          <m:t>=16</m:t>
        </m:r>
        <m:rad>
          <m:radPr>
            <m:degHide m:val="1"/>
            <m:ctrlPr>
              <w:rPr>
                <w:rFonts w:ascii="Cambria Math" w:hAnsi="Cambria Math"/>
              </w:rPr>
            </m:ctrlPr>
          </m:radPr>
          <m:deg/>
          <m:e>
            <m:r>
              <w:rPr>
                <w:rFonts w:ascii="Cambria Math" w:hAnsi="Cambria Math"/>
              </w:rPr>
              <m:t>d/200</m:t>
            </m:r>
          </m:e>
        </m:rad>
      </m:oMath>
      <w:r w:rsidRPr="001455DC">
        <w:t>.</w:t>
      </w:r>
    </w:p>
    <w:p w14:paraId="3F2AF62F" w14:textId="77777777" w:rsidR="004E22C1" w:rsidRPr="001455DC" w:rsidRDefault="004E22C1" w:rsidP="000D02C0">
      <w:pPr>
        <w:pStyle w:val="a7"/>
      </w:pPr>
      <w:r w:rsidRPr="001455DC">
        <w:t>(4)</w:t>
      </w:r>
      <w:r w:rsidRPr="001455DC">
        <w:tab/>
        <w:t>Bent-up bars passing through the loaded area or being at a distance not exceeding 0,25</w:t>
      </w:r>
      <w:r w:rsidRPr="001455DC">
        <w:rPr>
          <w:rStyle w:val="CCMCvariableitalic"/>
        </w:rPr>
        <w:t>d</w:t>
      </w:r>
      <w:r w:rsidRPr="001455DC">
        <w:t xml:space="preserve"> from this area may be used as punching shear reinforcement (see Figure 12.8a)). For single bent-up bars, the horizontal projection of the bars has to be used for the value of </w:t>
      </w:r>
      <w:r w:rsidRPr="001455DC">
        <w:rPr>
          <w:rStyle w:val="CCMCvariableitalic"/>
        </w:rPr>
        <w:t>s</w:t>
      </w:r>
      <w:r w:rsidRPr="001455DC">
        <w:rPr>
          <w:rStyle w:val="CCMCvariablesubscript"/>
        </w:rPr>
        <w:t>r</w:t>
      </w:r>
      <w:r w:rsidRPr="001455DC">
        <w:t xml:space="preserve"> to calculate </w:t>
      </w:r>
      <w:r w:rsidRPr="001455DC">
        <w:rPr>
          <w:rStyle w:val="CCMCvariableitalic"/>
        </w:rPr>
        <w:t>ρ</w:t>
      </w:r>
      <w:r w:rsidRPr="001455DC">
        <w:rPr>
          <w:rStyle w:val="CCMCvariablesubscript"/>
        </w:rPr>
        <w:t>sw</w:t>
      </w:r>
      <w:r w:rsidRPr="001455DC">
        <w:t>.</w:t>
      </w:r>
    </w:p>
    <w:p w14:paraId="6E333F50" w14:textId="03983177" w:rsidR="004E22C1" w:rsidRPr="001455DC" w:rsidRDefault="004E22C1" w:rsidP="00243590">
      <w:pPr>
        <w:pStyle w:val="31"/>
      </w:pPr>
      <w:bookmarkStart w:id="946" w:name="_Toc52820066"/>
      <w:bookmarkStart w:id="947" w:name="_Toc54337469"/>
      <w:bookmarkStart w:id="948" w:name="_Toc54338122"/>
      <w:bookmarkStart w:id="949" w:name="_Toc67565466"/>
      <w:r w:rsidRPr="001455DC">
        <w:t>Integrity reinforcement against progressive collapse of flat slabs</w:t>
      </w:r>
      <w:bookmarkEnd w:id="946"/>
      <w:bookmarkEnd w:id="947"/>
      <w:bookmarkEnd w:id="948"/>
      <w:bookmarkEnd w:id="949"/>
    </w:p>
    <w:p w14:paraId="3F10E2E3" w14:textId="291D77D7" w:rsidR="004E22C1" w:rsidRPr="001455DC" w:rsidRDefault="004E22C1" w:rsidP="000D02C0">
      <w:pPr>
        <w:pStyle w:val="a7"/>
      </w:pPr>
      <w:r w:rsidRPr="001455DC">
        <w:t>(1)</w:t>
      </w:r>
      <w:r w:rsidRPr="001455DC">
        <w:tab/>
        <w:t xml:space="preserve">For buildings in CC2 (refer </w:t>
      </w:r>
      <w:r w:rsidR="00DF00C7">
        <w:t>pr</w:t>
      </w:r>
      <w:r w:rsidRPr="001455DC">
        <w:t>EN 1990) and higher, an integrity reinforcement of at least two bars in each orthogonal direction should be provided at all columns without punching shear reinforcement or with punching shear reinforcement not fulfilling the requirement of (2).</w:t>
      </w:r>
    </w:p>
    <w:p w14:paraId="05DCFE01" w14:textId="77777777" w:rsidR="004E22C1" w:rsidRPr="001455DC" w:rsidRDefault="004E22C1" w:rsidP="00E844D2">
      <w:pPr>
        <w:pStyle w:val="a7"/>
        <w:keepNext/>
      </w:pPr>
      <w:r w:rsidRPr="001455DC">
        <w:t>These bars should be:</w:t>
      </w:r>
    </w:p>
    <w:p w14:paraId="0A09102F" w14:textId="0E94BDA9" w:rsidR="004E22C1" w:rsidRPr="001455DC" w:rsidRDefault="004E22C1" w:rsidP="000D02C0">
      <w:pPr>
        <w:pStyle w:val="a0"/>
      </w:pPr>
      <w:r w:rsidRPr="001455DC">
        <w:t>of ductility class B or C,</w:t>
      </w:r>
    </w:p>
    <w:p w14:paraId="18BE87CF" w14:textId="6580E9A9" w:rsidR="004E22C1" w:rsidRPr="001455DC" w:rsidRDefault="004E22C1" w:rsidP="000D02C0">
      <w:pPr>
        <w:pStyle w:val="a0"/>
      </w:pPr>
      <w:r w:rsidRPr="001455DC">
        <w:t>anchored in the column or pass through it and</w:t>
      </w:r>
    </w:p>
    <w:p w14:paraId="606CD488" w14:textId="5A33FE91" w:rsidR="004E22C1" w:rsidRPr="001455DC" w:rsidRDefault="004E22C1" w:rsidP="000D02C0">
      <w:pPr>
        <w:pStyle w:val="a0"/>
      </w:pPr>
      <w:r w:rsidRPr="001455DC">
        <w:t>placed on the compression side of the slab within the vertical column reinforcement.</w:t>
      </w:r>
    </w:p>
    <w:p w14:paraId="4A22586C" w14:textId="15DA9E48" w:rsidR="004E22C1" w:rsidRPr="001455DC" w:rsidRDefault="004E22C1" w:rsidP="00E844D2">
      <w:pPr>
        <w:pStyle w:val="a7"/>
        <w:keepNext/>
      </w:pPr>
      <w:r w:rsidRPr="001455DC">
        <w:t>For robustness reasons, they should be designed for a resistance:</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0D02C0" w:rsidRPr="001455DC" w14:paraId="5D3E0218" w14:textId="77777777" w:rsidTr="000D02C0">
        <w:trPr>
          <w:cantSplit/>
        </w:trPr>
        <w:tc>
          <w:tcPr>
            <w:tcW w:w="8505" w:type="dxa"/>
            <w:vAlign w:val="center"/>
          </w:tcPr>
          <w:p w14:paraId="6CD0B32A" w14:textId="770045C1" w:rsidR="000D02C0" w:rsidRPr="001455DC" w:rsidRDefault="00231E33" w:rsidP="000D02C0">
            <w:pPr>
              <w:pStyle w:val="Formula"/>
              <w:jc w:val="left"/>
            </w:pPr>
            <m:oMathPara>
              <m:oMathParaPr>
                <m:jc m:val="left"/>
              </m:oMathParaPr>
              <m:oMath>
                <m:sSub>
                  <m:sSubPr>
                    <m:ctrlPr>
                      <w:rPr>
                        <w:rFonts w:ascii="Cambria Math" w:hAnsi="Cambria Math"/>
                      </w:rPr>
                    </m:ctrlPr>
                  </m:sSubPr>
                  <m:e>
                    <m:r>
                      <w:rPr>
                        <w:rFonts w:ascii="Cambria Math" w:hAnsi="Cambria Math"/>
                      </w:rPr>
                      <m:t>V</m:t>
                    </m:r>
                  </m:e>
                  <m:sub>
                    <m:r>
                      <m:rPr>
                        <m:sty m:val="p"/>
                      </m:rPr>
                      <w:rPr>
                        <w:rFonts w:ascii="Cambria Math" w:hAnsi="Cambria Math"/>
                      </w:rPr>
                      <m:t>Rd,int</m:t>
                    </m:r>
                  </m:sub>
                </m:sSub>
                <m:r>
                  <w:rPr>
                    <w:rFonts w:ascii="Cambria Math" w:hAnsi="Cambria Math"/>
                  </w:rPr>
                  <m:t>=</m:t>
                </m:r>
                <m:r>
                  <w:rPr>
                    <w:rFonts w:ascii="Cambria Math" w:hAnsi="Cambria Math" w:hint="eastAsia"/>
                  </w:rPr>
                  <m:t>∑</m:t>
                </m:r>
                <m:sSub>
                  <m:sSubPr>
                    <m:ctrlPr>
                      <w:rPr>
                        <w:rFonts w:ascii="Cambria Math" w:hAnsi="Cambria Math"/>
                      </w:rPr>
                    </m:ctrlPr>
                  </m:sSubPr>
                  <m:e>
                    <m:r>
                      <w:rPr>
                        <w:rFonts w:ascii="Cambria Math" w:hAnsi="Cambria Math"/>
                      </w:rPr>
                      <m:t>A</m:t>
                    </m:r>
                  </m:e>
                  <m:sub>
                    <m:r>
                      <m:rPr>
                        <m:sty m:val="p"/>
                      </m:rPr>
                      <w:rPr>
                        <w:rFonts w:ascii="Cambria Math" w:hAnsi="Cambria Math"/>
                      </w:rPr>
                      <m:t>s,int</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yd</m:t>
                    </m:r>
                  </m:sub>
                </m:sSub>
                <m: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int</m:t>
                    </m:r>
                  </m:sub>
                </m:sSub>
                <m: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Ed</m:t>
                    </m:r>
                  </m:sub>
                </m:sSub>
              </m:oMath>
            </m:oMathPara>
          </w:p>
        </w:tc>
        <w:tc>
          <w:tcPr>
            <w:tcW w:w="1247" w:type="dxa"/>
            <w:vAlign w:val="center"/>
          </w:tcPr>
          <w:p w14:paraId="1D7644E7" w14:textId="613D2EBA" w:rsidR="000D02C0" w:rsidRPr="001455DC" w:rsidRDefault="000D02C0" w:rsidP="000D02C0">
            <w:pPr>
              <w:pStyle w:val="a7"/>
              <w:jc w:val="right"/>
            </w:pPr>
            <w:r w:rsidRPr="001455DC">
              <w:t>(12.7)</w:t>
            </w:r>
          </w:p>
        </w:tc>
      </w:tr>
    </w:tbl>
    <w:p w14:paraId="3A6525E4" w14:textId="77777777" w:rsidR="000D02C0" w:rsidRPr="001455DC" w:rsidRDefault="000D02C0"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0D02C0" w:rsidRPr="001455DC" w14:paraId="126A81D5" w14:textId="77777777" w:rsidTr="000D02C0">
        <w:trPr>
          <w:cantSplit/>
        </w:trPr>
        <w:tc>
          <w:tcPr>
            <w:tcW w:w="567" w:type="dxa"/>
          </w:tcPr>
          <w:p w14:paraId="556B5F43" w14:textId="6611F2DD" w:rsidR="000D02C0" w:rsidRPr="001455DC" w:rsidRDefault="000D02C0" w:rsidP="0000442A">
            <w:pPr>
              <w:pStyle w:val="Tablebody"/>
            </w:pPr>
            <w:r w:rsidRPr="001455DC">
              <w:rPr>
                <w:rStyle w:val="CCMCvariableitalic"/>
              </w:rPr>
              <w:t>V</w:t>
            </w:r>
            <w:r w:rsidRPr="001455DC">
              <w:rPr>
                <w:rStyle w:val="CCMCvariablesubscript"/>
              </w:rPr>
              <w:t>Ed</w:t>
            </w:r>
          </w:p>
        </w:tc>
        <w:tc>
          <w:tcPr>
            <w:tcW w:w="8845" w:type="dxa"/>
          </w:tcPr>
          <w:p w14:paraId="13327977" w14:textId="119F3E89" w:rsidR="000D02C0" w:rsidRPr="001455DC" w:rsidRDefault="000D02C0" w:rsidP="00BB1209">
            <w:pPr>
              <w:pStyle w:val="Tablebody"/>
            </w:pPr>
            <w:r w:rsidRPr="001455DC">
              <w:rPr>
                <w:rFonts w:eastAsia="Cambria"/>
              </w:rPr>
              <w:t>is the design value of the acting shear force for the accidental design situation</w:t>
            </w:r>
          </w:p>
        </w:tc>
      </w:tr>
      <w:tr w:rsidR="000D02C0" w:rsidRPr="001455DC" w14:paraId="320B534A" w14:textId="77777777" w:rsidTr="000D02C0">
        <w:trPr>
          <w:cantSplit/>
        </w:trPr>
        <w:tc>
          <w:tcPr>
            <w:tcW w:w="567" w:type="dxa"/>
          </w:tcPr>
          <w:p w14:paraId="1B037351" w14:textId="6705B264" w:rsidR="000D02C0" w:rsidRPr="001455DC" w:rsidRDefault="000D02C0" w:rsidP="0000442A">
            <w:pPr>
              <w:pStyle w:val="Tablebody"/>
            </w:pPr>
            <w:r w:rsidRPr="001455DC">
              <w:rPr>
                <w:rStyle w:val="CCMCvariableitalic"/>
              </w:rPr>
              <w:t>A</w:t>
            </w:r>
            <w:r w:rsidRPr="001455DC">
              <w:rPr>
                <w:rStyle w:val="CCMCvariablesubscript"/>
              </w:rPr>
              <w:t>s,int</w:t>
            </w:r>
          </w:p>
        </w:tc>
        <w:tc>
          <w:tcPr>
            <w:tcW w:w="8845" w:type="dxa"/>
          </w:tcPr>
          <w:p w14:paraId="6E6BA0F9" w14:textId="15AEAF8F" w:rsidR="000D02C0" w:rsidRPr="001455DC" w:rsidRDefault="000D02C0">
            <w:pPr>
              <w:pStyle w:val="Tablebody"/>
            </w:pPr>
            <w:r w:rsidRPr="001455DC">
              <w:t>is the sum of the cross</w:t>
            </w:r>
            <w:r w:rsidR="00B10711" w:rsidRPr="001455DC">
              <w:t xml:space="preserve"> </w:t>
            </w:r>
            <w:r w:rsidRPr="001455DC">
              <w:t>sections of all reinforcement bars crossing a column</w:t>
            </w:r>
            <w:r w:rsidR="0052191E" w:rsidRPr="001455DC">
              <w:t xml:space="preserve"> </w:t>
            </w:r>
            <w:r w:rsidRPr="001455DC">
              <w:t>edge (the same bar may be counted twice if it passes through the column and</w:t>
            </w:r>
            <w:r w:rsidR="0052191E" w:rsidRPr="001455DC">
              <w:t xml:space="preserve"> </w:t>
            </w:r>
            <w:r w:rsidRPr="001455DC">
              <w:t>is fully anchored on both sides outside the column edges)</w:t>
            </w:r>
          </w:p>
        </w:tc>
      </w:tr>
      <w:tr w:rsidR="000D02C0" w:rsidRPr="001455DC" w14:paraId="69211174" w14:textId="77777777" w:rsidTr="000D02C0">
        <w:trPr>
          <w:cantSplit/>
        </w:trPr>
        <w:tc>
          <w:tcPr>
            <w:tcW w:w="567" w:type="dxa"/>
          </w:tcPr>
          <w:p w14:paraId="778707D5" w14:textId="1AC75D51" w:rsidR="000D02C0" w:rsidRPr="001455DC" w:rsidRDefault="000D02C0" w:rsidP="00D86695">
            <w:pPr>
              <w:pStyle w:val="Tablebody"/>
            </w:pPr>
            <w:r w:rsidRPr="001455DC">
              <w:rPr>
                <w:rStyle w:val="CCMCvariableitalic"/>
              </w:rPr>
              <w:t>k</w:t>
            </w:r>
            <w:r w:rsidRPr="001455DC">
              <w:rPr>
                <w:rStyle w:val="CCMCvariablesubscript"/>
              </w:rPr>
              <w:t>int</w:t>
            </w:r>
          </w:p>
        </w:tc>
        <w:tc>
          <w:tcPr>
            <w:tcW w:w="8845" w:type="dxa"/>
          </w:tcPr>
          <w:p w14:paraId="1244814D" w14:textId="36627710" w:rsidR="000D02C0" w:rsidRPr="001455DC" w:rsidRDefault="000D02C0" w:rsidP="00D86695">
            <w:pPr>
              <w:pStyle w:val="Tablebody"/>
            </w:pPr>
            <w:r w:rsidRPr="001455DC">
              <w:t>is a coefficient equal to:</w:t>
            </w:r>
          </w:p>
        </w:tc>
      </w:tr>
      <w:tr w:rsidR="000D02C0" w:rsidRPr="001455DC" w14:paraId="1196A77C" w14:textId="77777777" w:rsidTr="000D02C0">
        <w:trPr>
          <w:cantSplit/>
        </w:trPr>
        <w:tc>
          <w:tcPr>
            <w:tcW w:w="567" w:type="dxa"/>
          </w:tcPr>
          <w:p w14:paraId="4465F2FE" w14:textId="21469B1E" w:rsidR="000D02C0" w:rsidRPr="001455DC" w:rsidRDefault="000D02C0" w:rsidP="00D86695">
            <w:pPr>
              <w:pStyle w:val="Tablebody"/>
            </w:pPr>
            <w:r w:rsidRPr="001455DC">
              <w:t> </w:t>
            </w:r>
          </w:p>
        </w:tc>
        <w:tc>
          <w:tcPr>
            <w:tcW w:w="8845" w:type="dxa"/>
          </w:tcPr>
          <w:p w14:paraId="1627D803" w14:textId="25BA2F08" w:rsidR="000D02C0" w:rsidRPr="001455DC" w:rsidRDefault="000D02C0" w:rsidP="000D02C0">
            <w:pPr>
              <w:pStyle w:val="Tablebody"/>
              <w:ind w:left="357" w:hanging="357"/>
            </w:pPr>
            <w:r w:rsidRPr="001455DC">
              <w:t>—</w:t>
            </w:r>
            <w:r w:rsidRPr="001455DC">
              <w:tab/>
              <w:t>0,37 for bars of ductility class B</w:t>
            </w:r>
          </w:p>
        </w:tc>
      </w:tr>
      <w:tr w:rsidR="000D02C0" w:rsidRPr="001455DC" w14:paraId="1087CFFA" w14:textId="77777777" w:rsidTr="000D02C0">
        <w:trPr>
          <w:cantSplit/>
        </w:trPr>
        <w:tc>
          <w:tcPr>
            <w:tcW w:w="567" w:type="dxa"/>
          </w:tcPr>
          <w:p w14:paraId="0291C3B8" w14:textId="26BD828D" w:rsidR="000D02C0" w:rsidRPr="001455DC" w:rsidRDefault="000D02C0" w:rsidP="00D86695">
            <w:pPr>
              <w:pStyle w:val="Tablebody"/>
            </w:pPr>
            <w:r w:rsidRPr="001455DC">
              <w:t> </w:t>
            </w:r>
          </w:p>
        </w:tc>
        <w:tc>
          <w:tcPr>
            <w:tcW w:w="8845" w:type="dxa"/>
          </w:tcPr>
          <w:p w14:paraId="2D0E16A7" w14:textId="28DF8038" w:rsidR="000D02C0" w:rsidRPr="001455DC" w:rsidRDefault="000D02C0" w:rsidP="000D02C0">
            <w:pPr>
              <w:pStyle w:val="Tablebody"/>
              <w:ind w:left="357" w:hanging="357"/>
            </w:pPr>
            <w:r w:rsidRPr="001455DC">
              <w:t>—</w:t>
            </w:r>
            <w:r w:rsidRPr="001455DC">
              <w:tab/>
              <w:t>0,49 for bars of ductility class C</w:t>
            </w:r>
          </w:p>
        </w:tc>
      </w:tr>
    </w:tbl>
    <w:p w14:paraId="6E2FC669" w14:textId="77777777" w:rsidR="000D02C0" w:rsidRPr="001455DC" w:rsidRDefault="004E22C1" w:rsidP="00E844D2">
      <w:pPr>
        <w:pStyle w:val="a7"/>
        <w:keepNext/>
      </w:pPr>
      <w:r w:rsidRPr="001455DC">
        <w:t>(2)</w:t>
      </w:r>
      <w:r w:rsidRPr="001455DC">
        <w:tab/>
        <w:t>Integrity reinforcement according to (1) should also be provided in slabs with shear reinforcement if:</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0D02C0" w:rsidRPr="001455DC" w14:paraId="7AA4C414" w14:textId="77777777" w:rsidTr="000D02C0">
        <w:trPr>
          <w:cantSplit/>
        </w:trPr>
        <w:tc>
          <w:tcPr>
            <w:tcW w:w="8505" w:type="dxa"/>
            <w:vAlign w:val="center"/>
          </w:tcPr>
          <w:p w14:paraId="39DBAA1F" w14:textId="54CF3A14" w:rsidR="000D02C0" w:rsidRPr="001455DC" w:rsidRDefault="00231E33" w:rsidP="000D02C0">
            <w:pPr>
              <w:pStyle w:val="Formula"/>
              <w:jc w:val="left"/>
            </w:pPr>
            <m:oMathPara>
              <m:oMathParaPr>
                <m:jc m:val="left"/>
              </m:oMathParaPr>
              <m:oMath>
                <m:sSub>
                  <m:sSubPr>
                    <m:ctrlPr>
                      <w:rPr>
                        <w:rFonts w:ascii="Cambria Math" w:hAnsi="Cambria Math"/>
                      </w:rPr>
                    </m:ctrlPr>
                  </m:sSubPr>
                  <m:e>
                    <m:r>
                      <w:rPr>
                        <w:rFonts w:ascii="Cambria Math" w:hAnsi="Cambria Math"/>
                      </w:rPr>
                      <m:t>V</m:t>
                    </m:r>
                  </m:e>
                  <m:sub>
                    <m:r>
                      <m:rPr>
                        <m:sty m:val="p"/>
                      </m:rPr>
                      <w:rPr>
                        <w:rFonts w:ascii="Cambria Math" w:hAnsi="Cambria Math"/>
                      </w:rPr>
                      <m:t>Rd,w,int</m:t>
                    </m:r>
                  </m:sub>
                </m:sSub>
                <m:r>
                  <w:rPr>
                    <w:rFonts w:ascii="Cambria Math" w:hAnsi="Cambria Math"/>
                  </w:rPr>
                  <m:t>=</m:t>
                </m:r>
                <m:sSub>
                  <m:sSubPr>
                    <m:ctrlPr>
                      <w:rPr>
                        <w:rFonts w:ascii="Cambria Math" w:hAnsi="Cambria Math"/>
                      </w:rPr>
                    </m:ctrlPr>
                  </m:sSubPr>
                  <m:e>
                    <m:r>
                      <w:rPr>
                        <w:rFonts w:ascii="Cambria Math" w:hAnsi="Cambria Math"/>
                      </w:rPr>
                      <m:t>ρ</m:t>
                    </m:r>
                  </m:e>
                  <m:sub>
                    <m:r>
                      <m:rPr>
                        <m:sty m:val="p"/>
                      </m:rPr>
                      <w:rPr>
                        <w:rFonts w:ascii="Cambria Math" w:hAnsi="Cambria Math"/>
                      </w:rPr>
                      <m:t>w</m:t>
                    </m:r>
                  </m:sub>
                </m:sSub>
                <m:r>
                  <w:rPr>
                    <w:rFonts w:ascii="Cambria Math" w:hAnsi="Cambria Math"/>
                  </w:rPr>
                  <m:t>⋅</m:t>
                </m:r>
                <m:sSub>
                  <m:sSubPr>
                    <m:ctrlPr>
                      <w:rPr>
                        <w:rFonts w:ascii="Cambria Math" w:hAnsi="Cambria Math"/>
                        <w:iCs/>
                      </w:rPr>
                    </m:ctrlPr>
                  </m:sSubPr>
                  <m:e>
                    <m:r>
                      <w:rPr>
                        <w:rFonts w:ascii="Cambria Math" w:hAnsi="Cambria Math"/>
                      </w:rPr>
                      <m:t>f</m:t>
                    </m:r>
                  </m:e>
                  <m:sub>
                    <m:r>
                      <m:rPr>
                        <m:sty m:val="p"/>
                      </m:rPr>
                      <w:rPr>
                        <w:rFonts w:ascii="Cambria Math" w:hAnsi="Cambria Math"/>
                      </w:rPr>
                      <m:t>ywd</m:t>
                    </m:r>
                  </m:sub>
                </m:sSub>
                <m:r>
                  <w:rPr>
                    <w:rFonts w:ascii="Cambria Math" w:hAnsi="Cambria Math"/>
                  </w:rPr>
                  <m:t>⋅</m:t>
                </m:r>
                <m:r>
                  <m:rPr>
                    <m:sty m:val="p"/>
                  </m:rPr>
                  <w:rPr>
                    <w:rFonts w:ascii="Cambria Math" w:hAnsi="Cambria Math"/>
                  </w:rPr>
                  <m:t>sin</m:t>
                </m:r>
                <m:sSub>
                  <m:sSubPr>
                    <m:ctrlPr>
                      <w:rPr>
                        <w:rFonts w:ascii="Cambria Math" w:hAnsi="Cambria Math"/>
                      </w:rPr>
                    </m:ctrlPr>
                  </m:sSubPr>
                  <m:e>
                    <m:r>
                      <w:rPr>
                        <w:rFonts w:ascii="Cambria Math" w:hAnsi="Cambria Math"/>
                      </w:rPr>
                      <m:t>α</m:t>
                    </m:r>
                  </m:e>
                  <m:sub>
                    <m:r>
                      <m:rPr>
                        <m:sty m:val="p"/>
                      </m:rPr>
                      <w:rPr>
                        <w:rFonts w:ascii="Cambria Math" w:hAnsi="Cambria Math"/>
                      </w:rPr>
                      <m:t>w</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v</m:t>
                    </m:r>
                  </m:sub>
                </m:sSub>
                <m: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Ed</m:t>
                    </m:r>
                  </m:sub>
                </m:sSub>
              </m:oMath>
            </m:oMathPara>
          </w:p>
        </w:tc>
        <w:tc>
          <w:tcPr>
            <w:tcW w:w="1247" w:type="dxa"/>
            <w:vAlign w:val="center"/>
          </w:tcPr>
          <w:p w14:paraId="3B1A4A64" w14:textId="2ECB4982" w:rsidR="000D02C0" w:rsidRPr="001455DC" w:rsidRDefault="000D02C0" w:rsidP="000D02C0">
            <w:pPr>
              <w:pStyle w:val="a7"/>
              <w:jc w:val="right"/>
            </w:pPr>
            <w:r w:rsidRPr="001455DC">
              <w:t>(12.8)</w:t>
            </w:r>
          </w:p>
        </w:tc>
      </w:tr>
    </w:tbl>
    <w:p w14:paraId="18EB1DA6" w14:textId="77777777" w:rsidR="004E22C1" w:rsidRPr="001455DC" w:rsidRDefault="004E22C1" w:rsidP="000D02C0">
      <w:pPr>
        <w:pStyle w:val="a7"/>
      </w:pPr>
      <w:r w:rsidRPr="001455DC">
        <w:t xml:space="preserve">where the shear reinforcement ratio </w:t>
      </w:r>
      <w:r w:rsidRPr="001455DC">
        <w:rPr>
          <w:rStyle w:val="CCMCvariableitalic"/>
        </w:rPr>
        <w:t>ρ</w:t>
      </w:r>
      <w:r w:rsidRPr="001455DC">
        <w:rPr>
          <w:rStyle w:val="CCMCvariablesubscript"/>
        </w:rPr>
        <w:t>w</w:t>
      </w:r>
      <w:r w:rsidRPr="001455DC">
        <w:t xml:space="preserve"> is defined in 8.4.4.</w:t>
      </w:r>
    </w:p>
    <w:p w14:paraId="0EDD2F5E" w14:textId="0DF9422A" w:rsidR="004E22C1" w:rsidRPr="001455DC" w:rsidRDefault="004E22C1" w:rsidP="000D02C0">
      <w:pPr>
        <w:pStyle w:val="a7"/>
      </w:pPr>
      <w:r w:rsidRPr="001455DC">
        <w:t xml:space="preserve">In this case, the integrity reinforcement should be designed according to Formula (12.7) where </w:t>
      </w:r>
      <w:r w:rsidRPr="001455DC">
        <w:rPr>
          <w:rStyle w:val="CCMCvariableitalic"/>
        </w:rPr>
        <w:t>V</w:t>
      </w:r>
      <w:r w:rsidRPr="001455DC">
        <w:rPr>
          <w:rStyle w:val="CCMCvariablesubscript"/>
        </w:rPr>
        <w:t>Ed</w:t>
      </w:r>
      <w:r w:rsidRPr="001455DC">
        <w:t xml:space="preserve"> may be replaced by </w:t>
      </w:r>
      <w:r w:rsidRPr="001455DC">
        <w:rPr>
          <w:rStyle w:val="CCMCvariableitalic"/>
        </w:rPr>
        <w:t>V</w:t>
      </w:r>
      <w:r w:rsidRPr="001455DC">
        <w:rPr>
          <w:rStyle w:val="CCMCvariablesubscript"/>
        </w:rPr>
        <w:t>Ed</w:t>
      </w:r>
      <w:r w:rsidRPr="001455DC">
        <w:t> </w:t>
      </w:r>
      <w:r w:rsidR="00EC27D2" w:rsidRPr="001455DC">
        <w:rPr>
          <w:rFonts w:ascii="Cambria Math" w:hAnsi="Cambria Math"/>
        </w:rPr>
        <w:t>−</w:t>
      </w:r>
      <w:r w:rsidRPr="001455DC">
        <w:t> </w:t>
      </w:r>
      <w:r w:rsidRPr="001455DC">
        <w:rPr>
          <w:rStyle w:val="CCMCvariableitalic"/>
        </w:rPr>
        <w:t>V</w:t>
      </w:r>
      <w:r w:rsidRPr="001455DC">
        <w:rPr>
          <w:rStyle w:val="CCMCvariablesubscript"/>
        </w:rPr>
        <w:t>Rd,w,int</w:t>
      </w:r>
      <w:r w:rsidRPr="001455DC">
        <w:t>.</w:t>
      </w:r>
    </w:p>
    <w:p w14:paraId="566ED641" w14:textId="79F1AA53" w:rsidR="004E22C1" w:rsidRPr="001455DC" w:rsidRDefault="004E22C1" w:rsidP="006D682B">
      <w:pPr>
        <w:pStyle w:val="21"/>
      </w:pPr>
      <w:bookmarkStart w:id="950" w:name="_Toc52820067"/>
      <w:bookmarkStart w:id="951" w:name="_Toc54337470"/>
      <w:bookmarkStart w:id="952" w:name="_Toc54338123"/>
      <w:bookmarkStart w:id="953" w:name="_Toc67565467"/>
      <w:r w:rsidRPr="001455DC">
        <w:t>Columns</w:t>
      </w:r>
      <w:bookmarkEnd w:id="950"/>
      <w:bookmarkEnd w:id="951"/>
      <w:bookmarkEnd w:id="952"/>
      <w:bookmarkEnd w:id="953"/>
    </w:p>
    <w:p w14:paraId="751E62C9" w14:textId="77777777" w:rsidR="004E22C1" w:rsidRPr="001455DC" w:rsidRDefault="004E22C1" w:rsidP="000D02C0">
      <w:pPr>
        <w:pStyle w:val="a7"/>
      </w:pPr>
      <w:r w:rsidRPr="001455DC">
        <w:t>(1)</w:t>
      </w:r>
      <w:r w:rsidRPr="001455DC">
        <w:tab/>
        <w:t>Longitudinal and hoop reinforcement of columns shall be detailed in accordance with the requirements of Table 12.3(NDP).</w:t>
      </w:r>
    </w:p>
    <w:p w14:paraId="29C0BDCB" w14:textId="77777777" w:rsidR="004E22C1" w:rsidRPr="001455DC" w:rsidRDefault="004E22C1" w:rsidP="00243590">
      <w:pPr>
        <w:pStyle w:val="Note"/>
        <w:spacing w:after="160"/>
      </w:pPr>
      <w:r w:rsidRPr="001455DC">
        <w:t>NOTE</w:t>
      </w:r>
      <w:r w:rsidRPr="001455DC">
        <w:tab/>
        <w:t>The recommended values in Table 12.3(NDP) apply unless a National Annex gives other values.</w:t>
      </w:r>
    </w:p>
    <w:p w14:paraId="623DE97D" w14:textId="77777777" w:rsidR="004E22C1" w:rsidRPr="001455DC" w:rsidRDefault="004E22C1" w:rsidP="000D02C0">
      <w:pPr>
        <w:pStyle w:val="a7"/>
      </w:pPr>
      <w:r w:rsidRPr="001455DC">
        <w:t>(2)</w:t>
      </w:r>
      <w:r w:rsidRPr="001455DC">
        <w:tab/>
        <w:t>Every longitudinal bar or bundle of bars placed at a corner shall be restrained by transverse reinforcement.</w:t>
      </w:r>
    </w:p>
    <w:p w14:paraId="7C334AF4" w14:textId="6EEC0394" w:rsidR="004E22C1" w:rsidRPr="001455DC" w:rsidRDefault="004E22C1" w:rsidP="000D02C0">
      <w:pPr>
        <w:pStyle w:val="a7"/>
      </w:pPr>
      <w:r w:rsidRPr="001455DC">
        <w:t>(3)</w:t>
      </w:r>
      <w:r w:rsidRPr="001455DC">
        <w:tab/>
        <w:t>No bar within a compression zone with a compressive strain exceeding 2 ‰ should be further than 150 mm from a restrained bar. Where additional transverse reinforcement to that required by Table 12.3(NDP) is required only to restrain a longitudinal bar the spacing may be twice the maximum spacing according to Table 12.3 (NDP).</w:t>
      </w:r>
    </w:p>
    <w:p w14:paraId="56CF7E15" w14:textId="406F23D0" w:rsidR="004E22C1" w:rsidRPr="001455DC" w:rsidRDefault="004E22C1" w:rsidP="000D02C0">
      <w:pPr>
        <w:pStyle w:val="a7"/>
      </w:pPr>
      <w:r w:rsidRPr="001455DC">
        <w:t>(4)</w:t>
      </w:r>
      <w:r w:rsidRPr="001455DC">
        <w:tab/>
        <w:t>Where longitudinal bars are bent by more than 5° (tan</w:t>
      </w:r>
      <w:r w:rsidRPr="001455DC">
        <w:rPr>
          <w:rStyle w:val="CCMCvariableitalic"/>
        </w:rPr>
        <w:t>θ</w:t>
      </w:r>
      <w:r w:rsidRPr="001455DC">
        <w:t xml:space="preserve"> ≈ 1/12), with respect to the axis of the column, the transverse splitting forces produced should be resolved by transverse reinforcement in accordance with a strut and tie model or stress field model.</w:t>
      </w:r>
    </w:p>
    <w:p w14:paraId="7124C6D0" w14:textId="77777777" w:rsidR="004E22C1" w:rsidRPr="001455DC" w:rsidRDefault="004E22C1" w:rsidP="00243590">
      <w:pPr>
        <w:pStyle w:val="Tabletitle"/>
        <w:keepNext w:val="0"/>
      </w:pPr>
      <w:bookmarkStart w:id="954" w:name="_Toc54337471"/>
      <w:r w:rsidRPr="001455DC">
        <w:t>Table 12.3(NDP) — Detailing requirements for reinforcement in columns</w:t>
      </w:r>
      <w:bookmarkEnd w:id="954"/>
    </w:p>
    <w:tbl>
      <w:tblPr>
        <w:tblStyle w:val="53"/>
        <w:tblW w:w="9752" w:type="dxa"/>
        <w:tblLayout w:type="fixed"/>
        <w:tblCellMar>
          <w:left w:w="71" w:type="dxa"/>
          <w:right w:w="71" w:type="dxa"/>
        </w:tblCellMar>
        <w:tblLook w:val="0660" w:firstRow="1" w:lastRow="1" w:firstColumn="0" w:lastColumn="0" w:noHBand="1" w:noVBand="1"/>
      </w:tblPr>
      <w:tblGrid>
        <w:gridCol w:w="501"/>
        <w:gridCol w:w="5796"/>
        <w:gridCol w:w="1161"/>
        <w:gridCol w:w="2294"/>
      </w:tblGrid>
      <w:tr w:rsidR="004E22C1" w:rsidRPr="001455DC" w14:paraId="6D1BF24E" w14:textId="77777777" w:rsidTr="000D02C0">
        <w:trPr>
          <w:cnfStyle w:val="100000000000" w:firstRow="1" w:lastRow="0" w:firstColumn="0" w:lastColumn="0" w:oddVBand="0" w:evenVBand="0" w:oddHBand="0" w:evenHBand="0" w:firstRowFirstColumn="0" w:firstRowLastColumn="0" w:lastRowFirstColumn="0" w:lastRowLastColumn="0"/>
          <w:cantSplit/>
          <w:tblHeader/>
        </w:trPr>
        <w:tc>
          <w:tcPr>
            <w:tcW w:w="6297" w:type="dxa"/>
            <w:gridSpan w:val="2"/>
          </w:tcPr>
          <w:p w14:paraId="2AEC1BF0" w14:textId="77777777" w:rsidR="004E22C1" w:rsidRPr="001455DC" w:rsidRDefault="004E22C1" w:rsidP="00243590">
            <w:pPr>
              <w:pStyle w:val="Tableheader"/>
            </w:pPr>
            <w:r w:rsidRPr="001455DC">
              <w:t>Description</w:t>
            </w:r>
          </w:p>
        </w:tc>
        <w:tc>
          <w:tcPr>
            <w:tcW w:w="1161" w:type="dxa"/>
          </w:tcPr>
          <w:p w14:paraId="3EF8A220" w14:textId="77777777" w:rsidR="004E22C1" w:rsidRPr="001455DC" w:rsidRDefault="004E22C1" w:rsidP="00243590">
            <w:pPr>
              <w:pStyle w:val="Tableheader"/>
            </w:pPr>
            <w:r w:rsidRPr="001455DC">
              <w:t>Symbol</w:t>
            </w:r>
          </w:p>
        </w:tc>
        <w:tc>
          <w:tcPr>
            <w:tcW w:w="2294" w:type="dxa"/>
          </w:tcPr>
          <w:p w14:paraId="63707A98" w14:textId="77777777" w:rsidR="004E22C1" w:rsidRPr="001455DC" w:rsidRDefault="004E22C1" w:rsidP="00243590">
            <w:pPr>
              <w:pStyle w:val="Tableheader"/>
            </w:pPr>
            <w:r w:rsidRPr="001455DC">
              <w:t>Requirement</w:t>
            </w:r>
          </w:p>
        </w:tc>
      </w:tr>
      <w:tr w:rsidR="004E22C1" w:rsidRPr="001455DC" w14:paraId="519246F3" w14:textId="77777777" w:rsidTr="000D02C0">
        <w:trPr>
          <w:cantSplit/>
        </w:trPr>
        <w:tc>
          <w:tcPr>
            <w:tcW w:w="501" w:type="dxa"/>
            <w:vAlign w:val="center"/>
          </w:tcPr>
          <w:p w14:paraId="642B996A" w14:textId="77777777" w:rsidR="004E22C1" w:rsidRPr="001455DC" w:rsidRDefault="004E22C1" w:rsidP="00243590">
            <w:pPr>
              <w:pStyle w:val="Tablebody"/>
              <w:spacing w:before="40"/>
              <w:jc w:val="center"/>
              <w:rPr>
                <w:szCs w:val="22"/>
              </w:rPr>
            </w:pPr>
            <w:r w:rsidRPr="001455DC">
              <w:rPr>
                <w:szCs w:val="22"/>
              </w:rPr>
              <w:t>1</w:t>
            </w:r>
          </w:p>
        </w:tc>
        <w:tc>
          <w:tcPr>
            <w:tcW w:w="5796" w:type="dxa"/>
            <w:vAlign w:val="center"/>
          </w:tcPr>
          <w:p w14:paraId="77A953BE" w14:textId="77777777" w:rsidR="004E22C1" w:rsidRPr="009D3012" w:rsidRDefault="004E22C1" w:rsidP="00243590">
            <w:pPr>
              <w:pStyle w:val="Tablebody"/>
              <w:spacing w:before="40"/>
              <w:jc w:val="left"/>
              <w:rPr>
                <w:szCs w:val="22"/>
                <w:lang w:val="en-US"/>
              </w:rPr>
            </w:pPr>
            <w:r w:rsidRPr="009D3012">
              <w:rPr>
                <w:szCs w:val="22"/>
                <w:lang w:val="en-US"/>
              </w:rPr>
              <w:t>Minimum amount of longitudinal reinforcement for robustness and to avoid risk of compressive yielding of reinforcement due to creep and shrinkage in SLS</w:t>
            </w:r>
          </w:p>
          <w:p w14:paraId="35FE90DE" w14:textId="77777777" w:rsidR="004E22C1" w:rsidRPr="009D3012" w:rsidRDefault="004E22C1" w:rsidP="00243590">
            <w:pPr>
              <w:pStyle w:val="Tablebody"/>
              <w:spacing w:before="40"/>
              <w:jc w:val="left"/>
              <w:rPr>
                <w:szCs w:val="22"/>
                <w:lang w:val="en-US"/>
              </w:rPr>
            </w:pPr>
            <w:r w:rsidRPr="009D3012">
              <w:rPr>
                <w:szCs w:val="22"/>
                <w:lang w:val="en-US"/>
              </w:rPr>
              <w:t>When all longitudinal reinforcement is prestressed the 0,1</w:t>
            </w:r>
            <w:r w:rsidRPr="009D3012">
              <w:rPr>
                <w:rStyle w:val="CCMCvariableitalic"/>
                <w:szCs w:val="22"/>
                <w:lang w:val="en-US"/>
              </w:rPr>
              <w:t>N</w:t>
            </w:r>
            <w:r w:rsidRPr="009D3012">
              <w:rPr>
                <w:rStyle w:val="CCMCvariablesubscript"/>
                <w:szCs w:val="22"/>
                <w:lang w:val="en-US"/>
              </w:rPr>
              <w:t>Ed</w:t>
            </w:r>
            <w:r w:rsidRPr="009D3012">
              <w:rPr>
                <w:szCs w:val="22"/>
                <w:lang w:val="en-US"/>
              </w:rPr>
              <w:t>/</w:t>
            </w:r>
            <w:r w:rsidRPr="009D3012">
              <w:rPr>
                <w:rStyle w:val="CCMCvariableitalic"/>
                <w:szCs w:val="22"/>
                <w:lang w:val="en-US"/>
              </w:rPr>
              <w:t>f</w:t>
            </w:r>
            <w:r w:rsidRPr="009D3012">
              <w:rPr>
                <w:rStyle w:val="CCMCvariablesubscript"/>
                <w:szCs w:val="22"/>
                <w:lang w:val="en-US"/>
              </w:rPr>
              <w:t>yd</w:t>
            </w:r>
            <w:r w:rsidRPr="009D3012">
              <w:rPr>
                <w:szCs w:val="22"/>
                <w:lang w:val="en-US"/>
              </w:rPr>
              <w:t xml:space="preserve"> limit may be ignored.</w:t>
            </w:r>
          </w:p>
        </w:tc>
        <w:tc>
          <w:tcPr>
            <w:tcW w:w="1161" w:type="dxa"/>
            <w:vAlign w:val="center"/>
          </w:tcPr>
          <w:p w14:paraId="02085D68" w14:textId="77777777" w:rsidR="004E22C1" w:rsidRPr="001455DC" w:rsidRDefault="004E22C1" w:rsidP="00243590">
            <w:pPr>
              <w:pStyle w:val="Tablebody"/>
              <w:spacing w:before="40"/>
              <w:jc w:val="left"/>
              <w:rPr>
                <w:szCs w:val="22"/>
                <w:lang w:eastAsia="de-DE"/>
              </w:rPr>
            </w:pPr>
            <w:r w:rsidRPr="001455DC">
              <w:rPr>
                <w:rStyle w:val="CCMCvariableitalic"/>
                <w:szCs w:val="22"/>
              </w:rPr>
              <w:t>A</w:t>
            </w:r>
            <w:r w:rsidRPr="001455DC">
              <w:rPr>
                <w:rStyle w:val="CCMCvariablesubscript"/>
                <w:szCs w:val="22"/>
              </w:rPr>
              <w:t>s,min,long</w:t>
            </w:r>
          </w:p>
        </w:tc>
        <w:tc>
          <w:tcPr>
            <w:tcW w:w="2294" w:type="dxa"/>
            <w:vAlign w:val="center"/>
          </w:tcPr>
          <w:p w14:paraId="15F42092" w14:textId="14DF52AD" w:rsidR="004E22C1" w:rsidRPr="001455DC" w:rsidRDefault="000D02C0" w:rsidP="00243590">
            <w:pPr>
              <w:pStyle w:val="Tablebody"/>
              <w:spacing w:before="40"/>
              <w:jc w:val="left"/>
              <w:rPr>
                <w:szCs w:val="22"/>
                <w:lang w:eastAsia="de-DE"/>
              </w:rPr>
            </w:pPr>
            <m:oMathPara>
              <m:oMath>
                <m:r>
                  <m:rPr>
                    <m:sty m:val="p"/>
                  </m:rPr>
                  <w:rPr>
                    <w:rFonts w:ascii="Cambria Math" w:hAnsi="Cambria Math"/>
                    <w:szCs w:val="22"/>
                  </w:rPr>
                  <m:t>max</m:t>
                </m:r>
                <m:d>
                  <m:dPr>
                    <m:begChr m:val="{"/>
                    <m:sepChr m:val=""/>
                    <m:endChr m:val="}"/>
                    <m:ctrlPr>
                      <w:rPr>
                        <w:rFonts w:ascii="Cambria Math" w:hAnsi="Cambria Math"/>
                        <w:szCs w:val="22"/>
                      </w:rPr>
                    </m:ctrlPr>
                  </m:dPr>
                  <m:e>
                    <m:r>
                      <w:rPr>
                        <w:rFonts w:ascii="Cambria Math" w:hAnsi="Cambria Math"/>
                        <w:szCs w:val="22"/>
                      </w:rPr>
                      <m:t>0,1</m:t>
                    </m:r>
                  </m:e>
                  <m:e>
                    <m:f>
                      <m:fPr>
                        <m:ctrlPr>
                          <w:rPr>
                            <w:rFonts w:ascii="Cambria Math" w:hAnsi="Cambria Math"/>
                            <w:szCs w:val="22"/>
                          </w:rPr>
                        </m:ctrlPr>
                      </m:fPr>
                      <m:num>
                        <m:sSub>
                          <m:sSubPr>
                            <m:ctrlPr>
                              <w:rPr>
                                <w:rFonts w:ascii="Cambria Math" w:hAnsi="Cambria Math"/>
                                <w:szCs w:val="22"/>
                              </w:rPr>
                            </m:ctrlPr>
                          </m:sSubPr>
                          <m:e>
                            <m:r>
                              <w:rPr>
                                <w:rFonts w:ascii="Cambria Math" w:hAnsi="Cambria Math"/>
                                <w:szCs w:val="22"/>
                              </w:rPr>
                              <m:t>N</m:t>
                            </m:r>
                          </m:e>
                          <m:sub>
                            <m:r>
                              <m:rPr>
                                <m:sty m:val="p"/>
                              </m:rPr>
                              <w:rPr>
                                <w:rFonts w:ascii="Cambria Math" w:hAnsi="Cambria Math"/>
                                <w:szCs w:val="22"/>
                              </w:rPr>
                              <m:t>Ed</m:t>
                            </m:r>
                          </m:sub>
                        </m:sSub>
                      </m:num>
                      <m:den>
                        <m:sSub>
                          <m:sSubPr>
                            <m:ctrlPr>
                              <w:rPr>
                                <w:rFonts w:ascii="Cambria Math" w:hAnsi="Cambria Math"/>
                                <w:szCs w:val="22"/>
                              </w:rPr>
                            </m:ctrlPr>
                          </m:sSubPr>
                          <m:e>
                            <m:r>
                              <w:rPr>
                                <w:rFonts w:ascii="Cambria Math" w:hAnsi="Cambria Math"/>
                                <w:szCs w:val="22"/>
                              </w:rPr>
                              <m:t>f</m:t>
                            </m:r>
                          </m:e>
                          <m:sub>
                            <m:r>
                              <m:rPr>
                                <m:sty m:val="p"/>
                              </m:rPr>
                              <w:rPr>
                                <w:rFonts w:ascii="Cambria Math" w:hAnsi="Cambria Math"/>
                                <w:szCs w:val="22"/>
                              </w:rPr>
                              <m:t>yd</m:t>
                            </m:r>
                          </m:sub>
                        </m:sSub>
                      </m:den>
                    </m:f>
                  </m:e>
                  <m:e>
                    <m:r>
                      <w:rPr>
                        <w:rFonts w:ascii="Cambria Math" w:hAnsi="Cambria Math"/>
                        <w:szCs w:val="22"/>
                      </w:rPr>
                      <m:t>;</m:t>
                    </m:r>
                  </m:e>
                  <m:e>
                    <m:r>
                      <w:rPr>
                        <w:rFonts w:ascii="Cambria Math" w:hAnsi="Cambria Math"/>
                        <w:szCs w:val="22"/>
                      </w:rPr>
                      <m:t>0,002</m:t>
                    </m:r>
                  </m:e>
                  <m:e>
                    <m:sSub>
                      <m:sSubPr>
                        <m:ctrlPr>
                          <w:rPr>
                            <w:rFonts w:ascii="Cambria Math" w:hAnsi="Cambria Math"/>
                            <w:szCs w:val="22"/>
                          </w:rPr>
                        </m:ctrlPr>
                      </m:sSubPr>
                      <m:e>
                        <m:r>
                          <w:rPr>
                            <w:rFonts w:ascii="Cambria Math" w:hAnsi="Cambria Math"/>
                            <w:szCs w:val="22"/>
                          </w:rPr>
                          <m:t>A</m:t>
                        </m:r>
                      </m:e>
                      <m:sub>
                        <m:r>
                          <m:rPr>
                            <m:sty m:val="p"/>
                          </m:rPr>
                          <w:rPr>
                            <w:rFonts w:ascii="Cambria Math" w:hAnsi="Cambria Math"/>
                            <w:szCs w:val="22"/>
                          </w:rPr>
                          <m:t>c</m:t>
                        </m:r>
                      </m:sub>
                    </m:sSub>
                  </m:e>
                </m:d>
              </m:oMath>
            </m:oMathPara>
          </w:p>
        </w:tc>
      </w:tr>
      <w:tr w:rsidR="004E22C1" w:rsidRPr="001455DC" w14:paraId="57B2E841" w14:textId="77777777" w:rsidTr="000D02C0">
        <w:trPr>
          <w:cantSplit/>
        </w:trPr>
        <w:tc>
          <w:tcPr>
            <w:tcW w:w="501" w:type="dxa"/>
            <w:vMerge w:val="restart"/>
            <w:vAlign w:val="center"/>
          </w:tcPr>
          <w:p w14:paraId="73B8B4D0" w14:textId="77777777" w:rsidR="004E22C1" w:rsidRPr="001455DC" w:rsidRDefault="004E22C1" w:rsidP="00243590">
            <w:pPr>
              <w:pStyle w:val="Tablebody"/>
              <w:spacing w:before="40"/>
              <w:jc w:val="center"/>
              <w:rPr>
                <w:szCs w:val="22"/>
              </w:rPr>
            </w:pPr>
            <w:r w:rsidRPr="001455DC">
              <w:rPr>
                <w:szCs w:val="22"/>
              </w:rPr>
              <w:t>2</w:t>
            </w:r>
          </w:p>
        </w:tc>
        <w:tc>
          <w:tcPr>
            <w:tcW w:w="5796" w:type="dxa"/>
            <w:tcBorders>
              <w:bottom w:val="nil"/>
            </w:tcBorders>
            <w:vAlign w:val="center"/>
          </w:tcPr>
          <w:p w14:paraId="0FFD75EB" w14:textId="5636C4F0" w:rsidR="004E22C1" w:rsidRPr="009D3012" w:rsidRDefault="004E22C1" w:rsidP="00243590">
            <w:pPr>
              <w:pStyle w:val="Tablebody"/>
              <w:spacing w:before="40"/>
              <w:jc w:val="left"/>
              <w:rPr>
                <w:szCs w:val="22"/>
                <w:lang w:val="en-US"/>
              </w:rPr>
            </w:pPr>
            <w:r w:rsidRPr="009D3012">
              <w:rPr>
                <w:szCs w:val="22"/>
                <w:lang w:val="en-US"/>
              </w:rPr>
              <w:t>Minimum number of longitudinal bars</w:t>
            </w:r>
            <w:r w:rsidRPr="009D3012">
              <w:rPr>
                <w:rStyle w:val="CCMCvariablesuperscript"/>
                <w:szCs w:val="22"/>
                <w:lang w:val="en-US"/>
              </w:rPr>
              <w:t>a</w:t>
            </w:r>
            <w:r w:rsidRPr="009D3012">
              <w:rPr>
                <w:szCs w:val="22"/>
                <w:lang w:val="en-US"/>
              </w:rPr>
              <w:t>:</w:t>
            </w:r>
          </w:p>
        </w:tc>
        <w:tc>
          <w:tcPr>
            <w:tcW w:w="1161" w:type="dxa"/>
            <w:tcBorders>
              <w:bottom w:val="nil"/>
            </w:tcBorders>
            <w:vAlign w:val="center"/>
          </w:tcPr>
          <w:p w14:paraId="09A170A5" w14:textId="77777777" w:rsidR="004E22C1" w:rsidRPr="001455DC" w:rsidRDefault="004E22C1" w:rsidP="00243590">
            <w:pPr>
              <w:pStyle w:val="Tablebody"/>
              <w:spacing w:before="40"/>
              <w:jc w:val="left"/>
              <w:rPr>
                <w:szCs w:val="22"/>
                <w:lang w:eastAsia="de-DE"/>
              </w:rPr>
            </w:pPr>
            <w:r w:rsidRPr="001455DC">
              <w:rPr>
                <w:rStyle w:val="CCMCvariableitalic"/>
                <w:szCs w:val="22"/>
              </w:rPr>
              <w:t>n</w:t>
            </w:r>
            <w:r w:rsidRPr="001455DC">
              <w:rPr>
                <w:rStyle w:val="CCMCvariablesubscript"/>
                <w:szCs w:val="22"/>
              </w:rPr>
              <w:t>min,l</w:t>
            </w:r>
          </w:p>
        </w:tc>
        <w:tc>
          <w:tcPr>
            <w:tcW w:w="2294" w:type="dxa"/>
            <w:tcBorders>
              <w:bottom w:val="nil"/>
            </w:tcBorders>
            <w:vAlign w:val="center"/>
          </w:tcPr>
          <w:p w14:paraId="116B2D3B" w14:textId="1C399EF5" w:rsidR="004E22C1" w:rsidRPr="001455DC" w:rsidRDefault="000D02C0" w:rsidP="00243590">
            <w:pPr>
              <w:pStyle w:val="Tablebody"/>
              <w:spacing w:before="40"/>
              <w:jc w:val="left"/>
              <w:rPr>
                <w:szCs w:val="22"/>
              </w:rPr>
            </w:pPr>
            <w:r w:rsidRPr="001455DC">
              <w:rPr>
                <w:szCs w:val="22"/>
              </w:rPr>
              <w:t> </w:t>
            </w:r>
          </w:p>
        </w:tc>
      </w:tr>
      <w:tr w:rsidR="004E22C1" w:rsidRPr="001455DC" w14:paraId="65E13849" w14:textId="77777777" w:rsidTr="000D02C0">
        <w:trPr>
          <w:cantSplit/>
        </w:trPr>
        <w:tc>
          <w:tcPr>
            <w:tcW w:w="501" w:type="dxa"/>
            <w:vMerge/>
            <w:vAlign w:val="center"/>
          </w:tcPr>
          <w:p w14:paraId="0584EBD2" w14:textId="77777777" w:rsidR="004E22C1" w:rsidRPr="001455DC" w:rsidRDefault="004E22C1" w:rsidP="00243590">
            <w:pPr>
              <w:pStyle w:val="Tablebody"/>
              <w:spacing w:before="40"/>
              <w:jc w:val="center"/>
              <w:rPr>
                <w:szCs w:val="22"/>
              </w:rPr>
            </w:pPr>
          </w:p>
        </w:tc>
        <w:tc>
          <w:tcPr>
            <w:tcW w:w="5796" w:type="dxa"/>
            <w:tcBorders>
              <w:top w:val="nil"/>
              <w:bottom w:val="nil"/>
            </w:tcBorders>
          </w:tcPr>
          <w:p w14:paraId="57578179" w14:textId="6991CA3A" w:rsidR="004E22C1" w:rsidRPr="001455DC" w:rsidRDefault="000D02C0" w:rsidP="00243590">
            <w:pPr>
              <w:pStyle w:val="Tablebody"/>
              <w:spacing w:before="40"/>
              <w:ind w:left="357" w:hanging="357"/>
              <w:jc w:val="left"/>
              <w:rPr>
                <w:szCs w:val="22"/>
              </w:rPr>
            </w:pPr>
            <w:r w:rsidRPr="001455DC">
              <w:rPr>
                <w:szCs w:val="22"/>
              </w:rPr>
              <w:t>—</w:t>
            </w:r>
            <w:r w:rsidR="004E22C1" w:rsidRPr="001455DC">
              <w:rPr>
                <w:szCs w:val="22"/>
              </w:rPr>
              <w:tab/>
              <w:t>polygonal cross</w:t>
            </w:r>
            <w:r w:rsidR="00B10711" w:rsidRPr="001455DC">
              <w:rPr>
                <w:szCs w:val="22"/>
              </w:rPr>
              <w:t xml:space="preserve"> </w:t>
            </w:r>
            <w:r w:rsidR="004E22C1" w:rsidRPr="001455DC">
              <w:rPr>
                <w:szCs w:val="22"/>
              </w:rPr>
              <w:t>section</w:t>
            </w:r>
          </w:p>
        </w:tc>
        <w:tc>
          <w:tcPr>
            <w:tcW w:w="1161" w:type="dxa"/>
            <w:tcBorders>
              <w:top w:val="nil"/>
              <w:bottom w:val="nil"/>
            </w:tcBorders>
          </w:tcPr>
          <w:p w14:paraId="530EE2E9" w14:textId="28D03637" w:rsidR="004E22C1" w:rsidRPr="001455DC" w:rsidRDefault="000D02C0" w:rsidP="00243590">
            <w:pPr>
              <w:pStyle w:val="Tablebody"/>
              <w:spacing w:before="40"/>
              <w:jc w:val="left"/>
              <w:rPr>
                <w:szCs w:val="22"/>
              </w:rPr>
            </w:pPr>
            <w:r w:rsidRPr="001455DC">
              <w:rPr>
                <w:szCs w:val="22"/>
              </w:rPr>
              <w:t> </w:t>
            </w:r>
          </w:p>
        </w:tc>
        <w:tc>
          <w:tcPr>
            <w:tcW w:w="2294" w:type="dxa"/>
            <w:tcBorders>
              <w:top w:val="nil"/>
              <w:bottom w:val="nil"/>
            </w:tcBorders>
          </w:tcPr>
          <w:p w14:paraId="7D23EA52" w14:textId="4FA1F31A" w:rsidR="004E22C1" w:rsidRPr="009D3012" w:rsidRDefault="004E22C1" w:rsidP="00243590">
            <w:pPr>
              <w:pStyle w:val="Tablebody"/>
              <w:spacing w:before="40"/>
              <w:jc w:val="left"/>
              <w:rPr>
                <w:szCs w:val="22"/>
                <w:lang w:val="en-US"/>
              </w:rPr>
            </w:pPr>
            <w:r w:rsidRPr="009D3012">
              <w:rPr>
                <w:szCs w:val="22"/>
                <w:lang w:val="en-US"/>
              </w:rPr>
              <w:t>1 at each corner with a spacing</w:t>
            </w:r>
            <w:r w:rsidR="000D02C0" w:rsidRPr="009D3012">
              <w:rPr>
                <w:szCs w:val="22"/>
                <w:lang w:val="en-US"/>
              </w:rPr>
              <w:t xml:space="preserve"> </w:t>
            </w:r>
            <w:r w:rsidR="00650035" w:rsidRPr="009D3012">
              <w:rPr>
                <w:rFonts w:ascii="Cambria Math" w:hAnsi="Cambria Math"/>
                <w:szCs w:val="22"/>
                <w:lang w:val="en-US"/>
              </w:rPr>
              <w:t>≤</w:t>
            </w:r>
            <w:r w:rsidRPr="009D3012">
              <w:rPr>
                <w:szCs w:val="22"/>
                <w:lang w:val="en-US"/>
              </w:rPr>
              <w:t> 200</w:t>
            </w:r>
            <w:r w:rsidR="000D02C0" w:rsidRPr="009D3012">
              <w:rPr>
                <w:szCs w:val="22"/>
                <w:lang w:val="en-US"/>
              </w:rPr>
              <w:t> </w:t>
            </w:r>
            <w:r w:rsidRPr="009D3012">
              <w:rPr>
                <w:szCs w:val="22"/>
                <w:lang w:val="en-US"/>
              </w:rPr>
              <w:t>mm</w:t>
            </w:r>
          </w:p>
        </w:tc>
      </w:tr>
      <w:tr w:rsidR="004E22C1" w:rsidRPr="001455DC" w14:paraId="66531AC2" w14:textId="77777777" w:rsidTr="000D02C0">
        <w:trPr>
          <w:cantSplit/>
        </w:trPr>
        <w:tc>
          <w:tcPr>
            <w:tcW w:w="501" w:type="dxa"/>
            <w:vMerge/>
            <w:vAlign w:val="center"/>
          </w:tcPr>
          <w:p w14:paraId="0C3922F6" w14:textId="77777777" w:rsidR="004E22C1" w:rsidRPr="009D3012" w:rsidRDefault="004E22C1" w:rsidP="00243590">
            <w:pPr>
              <w:pStyle w:val="Tablebody"/>
              <w:spacing w:before="40"/>
              <w:jc w:val="center"/>
              <w:rPr>
                <w:szCs w:val="22"/>
                <w:lang w:val="en-US"/>
              </w:rPr>
            </w:pPr>
          </w:p>
        </w:tc>
        <w:tc>
          <w:tcPr>
            <w:tcW w:w="5796" w:type="dxa"/>
            <w:tcBorders>
              <w:top w:val="nil"/>
            </w:tcBorders>
          </w:tcPr>
          <w:p w14:paraId="06FEF410" w14:textId="190805A3" w:rsidR="004E22C1" w:rsidRPr="001455DC" w:rsidRDefault="000D02C0" w:rsidP="00243590">
            <w:pPr>
              <w:pStyle w:val="Tablebody"/>
              <w:spacing w:before="40"/>
              <w:ind w:left="357" w:hanging="357"/>
              <w:jc w:val="left"/>
              <w:rPr>
                <w:szCs w:val="22"/>
              </w:rPr>
            </w:pPr>
            <w:r w:rsidRPr="001455DC">
              <w:rPr>
                <w:szCs w:val="22"/>
              </w:rPr>
              <w:t>—</w:t>
            </w:r>
            <w:r w:rsidR="004E22C1" w:rsidRPr="001455DC">
              <w:rPr>
                <w:szCs w:val="22"/>
              </w:rPr>
              <w:tab/>
              <w:t>circular cross</w:t>
            </w:r>
            <w:r w:rsidR="00B10711" w:rsidRPr="001455DC">
              <w:rPr>
                <w:szCs w:val="22"/>
              </w:rPr>
              <w:t xml:space="preserve"> </w:t>
            </w:r>
            <w:r w:rsidR="004E22C1" w:rsidRPr="001455DC">
              <w:rPr>
                <w:szCs w:val="22"/>
              </w:rPr>
              <w:t>section</w:t>
            </w:r>
          </w:p>
        </w:tc>
        <w:tc>
          <w:tcPr>
            <w:tcW w:w="1161" w:type="dxa"/>
            <w:tcBorders>
              <w:top w:val="nil"/>
            </w:tcBorders>
          </w:tcPr>
          <w:p w14:paraId="7DE5C23B" w14:textId="23369837" w:rsidR="004E22C1" w:rsidRPr="001455DC" w:rsidRDefault="000D02C0" w:rsidP="00243590">
            <w:pPr>
              <w:pStyle w:val="Tablebody"/>
              <w:spacing w:before="40"/>
              <w:jc w:val="left"/>
              <w:rPr>
                <w:szCs w:val="22"/>
              </w:rPr>
            </w:pPr>
            <w:r w:rsidRPr="001455DC">
              <w:rPr>
                <w:szCs w:val="22"/>
              </w:rPr>
              <w:t> </w:t>
            </w:r>
          </w:p>
        </w:tc>
        <w:tc>
          <w:tcPr>
            <w:tcW w:w="2294" w:type="dxa"/>
            <w:tcBorders>
              <w:top w:val="nil"/>
            </w:tcBorders>
          </w:tcPr>
          <w:p w14:paraId="72594904" w14:textId="4FE7F243" w:rsidR="004E22C1" w:rsidRPr="009D3012" w:rsidRDefault="004E22C1" w:rsidP="00243590">
            <w:pPr>
              <w:pStyle w:val="Tablebody"/>
              <w:spacing w:before="40"/>
              <w:jc w:val="left"/>
              <w:rPr>
                <w:szCs w:val="22"/>
                <w:lang w:val="en-US"/>
              </w:rPr>
            </w:pPr>
            <w:r w:rsidRPr="009D3012">
              <w:rPr>
                <w:szCs w:val="22"/>
                <w:lang w:val="en-US"/>
              </w:rPr>
              <w:t>6 evenly distributed with a spacing</w:t>
            </w:r>
            <w:r w:rsidR="000D02C0" w:rsidRPr="009D3012">
              <w:rPr>
                <w:szCs w:val="22"/>
                <w:lang w:val="en-US"/>
              </w:rPr>
              <w:t xml:space="preserve"> </w:t>
            </w:r>
            <w:r w:rsidR="00650035" w:rsidRPr="009D3012">
              <w:rPr>
                <w:rFonts w:ascii="Cambria Math" w:hAnsi="Cambria Math"/>
                <w:szCs w:val="22"/>
                <w:lang w:val="en-US"/>
              </w:rPr>
              <w:t>≤</w:t>
            </w:r>
            <w:r w:rsidRPr="009D3012">
              <w:rPr>
                <w:szCs w:val="22"/>
                <w:lang w:val="en-US"/>
              </w:rPr>
              <w:t> 200</w:t>
            </w:r>
            <w:r w:rsidR="000D02C0" w:rsidRPr="009D3012">
              <w:rPr>
                <w:szCs w:val="22"/>
                <w:lang w:val="en-US"/>
              </w:rPr>
              <w:t> </w:t>
            </w:r>
            <w:r w:rsidRPr="009D3012">
              <w:rPr>
                <w:szCs w:val="22"/>
                <w:lang w:val="en-US"/>
              </w:rPr>
              <w:t>mm</w:t>
            </w:r>
          </w:p>
        </w:tc>
      </w:tr>
      <w:tr w:rsidR="000D02C0" w:rsidRPr="001455DC" w14:paraId="4850C187" w14:textId="77777777" w:rsidTr="000D02C0">
        <w:trPr>
          <w:cantSplit/>
        </w:trPr>
        <w:tc>
          <w:tcPr>
            <w:tcW w:w="501" w:type="dxa"/>
            <w:vMerge w:val="restart"/>
            <w:vAlign w:val="center"/>
          </w:tcPr>
          <w:p w14:paraId="1D366B81" w14:textId="77777777" w:rsidR="000D02C0" w:rsidRPr="001455DC" w:rsidRDefault="000D02C0" w:rsidP="00243590">
            <w:pPr>
              <w:pStyle w:val="Tablebody"/>
              <w:spacing w:before="40"/>
              <w:jc w:val="center"/>
              <w:rPr>
                <w:szCs w:val="22"/>
              </w:rPr>
            </w:pPr>
            <w:r w:rsidRPr="001455DC">
              <w:rPr>
                <w:szCs w:val="22"/>
              </w:rPr>
              <w:t>3</w:t>
            </w:r>
          </w:p>
        </w:tc>
        <w:tc>
          <w:tcPr>
            <w:tcW w:w="5796" w:type="dxa"/>
            <w:tcBorders>
              <w:bottom w:val="nil"/>
            </w:tcBorders>
            <w:vAlign w:val="center"/>
          </w:tcPr>
          <w:p w14:paraId="4BC70456" w14:textId="480FABAB" w:rsidR="000D02C0" w:rsidRPr="009D3012" w:rsidRDefault="000D02C0" w:rsidP="00243590">
            <w:pPr>
              <w:pStyle w:val="Tablebody"/>
              <w:spacing w:before="40"/>
              <w:jc w:val="left"/>
              <w:rPr>
                <w:szCs w:val="22"/>
                <w:lang w:val="en-US"/>
              </w:rPr>
            </w:pPr>
            <w:r w:rsidRPr="009D3012">
              <w:rPr>
                <w:lang w:val="en-US"/>
              </w:rPr>
              <w:t xml:space="preserve">Maximum longitudinal spacing of transverse reinforcement (stirrups/hoops) for columns with dimensions </w:t>
            </w:r>
            <w:r w:rsidRPr="009D3012">
              <w:rPr>
                <w:rStyle w:val="CCMCvariableitalic"/>
                <w:szCs w:val="22"/>
                <w:lang w:val="en-US"/>
              </w:rPr>
              <w:t>h</w:t>
            </w:r>
            <w:r w:rsidRPr="009D3012">
              <w:rPr>
                <w:lang w:val="en-US"/>
              </w:rPr>
              <w:t xml:space="preserve"> and </w:t>
            </w:r>
            <w:r w:rsidRPr="009D3012">
              <w:rPr>
                <w:rStyle w:val="CCMCvariableitalic"/>
                <w:szCs w:val="22"/>
                <w:lang w:val="en-US"/>
              </w:rPr>
              <w:t>b</w:t>
            </w:r>
            <w:r w:rsidRPr="009D3012">
              <w:rPr>
                <w:lang w:val="en-US"/>
              </w:rPr>
              <w:t>:</w:t>
            </w:r>
          </w:p>
        </w:tc>
        <w:tc>
          <w:tcPr>
            <w:tcW w:w="1161" w:type="dxa"/>
            <w:tcBorders>
              <w:bottom w:val="nil"/>
            </w:tcBorders>
          </w:tcPr>
          <w:p w14:paraId="2F267EDF" w14:textId="58DA7568" w:rsidR="000D02C0" w:rsidRPr="001455DC" w:rsidRDefault="000D02C0" w:rsidP="00243590">
            <w:pPr>
              <w:pStyle w:val="Tablebody"/>
              <w:spacing w:before="40"/>
              <w:jc w:val="left"/>
              <w:rPr>
                <w:szCs w:val="22"/>
                <w:vertAlign w:val="subscript"/>
              </w:rPr>
            </w:pPr>
            <w:r w:rsidRPr="001455DC">
              <w:rPr>
                <w:rStyle w:val="CCMCvariableitalic"/>
                <w:szCs w:val="22"/>
              </w:rPr>
              <w:t>s</w:t>
            </w:r>
            <w:r w:rsidRPr="001455DC">
              <w:rPr>
                <w:rStyle w:val="CCMCvariablesubscript"/>
                <w:szCs w:val="22"/>
              </w:rPr>
              <w:t>max</w:t>
            </w:r>
          </w:p>
        </w:tc>
        <w:tc>
          <w:tcPr>
            <w:tcW w:w="2294" w:type="dxa"/>
            <w:tcBorders>
              <w:bottom w:val="nil"/>
            </w:tcBorders>
          </w:tcPr>
          <w:p w14:paraId="72DDF6C4" w14:textId="4B263A75" w:rsidR="000D02C0" w:rsidRPr="001455DC" w:rsidRDefault="000D02C0" w:rsidP="00243590">
            <w:pPr>
              <w:pStyle w:val="Tablebody"/>
              <w:spacing w:before="40"/>
              <w:jc w:val="left"/>
              <w:rPr>
                <w:szCs w:val="22"/>
                <w:lang w:eastAsia="de-DE"/>
              </w:rPr>
            </w:pPr>
            <w:r w:rsidRPr="001455DC">
              <w:rPr>
                <w:szCs w:val="22"/>
                <w:lang w:eastAsia="de-DE"/>
              </w:rPr>
              <w:t> </w:t>
            </w:r>
          </w:p>
        </w:tc>
      </w:tr>
      <w:tr w:rsidR="000D02C0" w:rsidRPr="001455DC" w14:paraId="1EE3D5B6" w14:textId="77777777" w:rsidTr="000D02C0">
        <w:trPr>
          <w:cantSplit/>
        </w:trPr>
        <w:tc>
          <w:tcPr>
            <w:tcW w:w="501" w:type="dxa"/>
            <w:vMerge/>
            <w:vAlign w:val="center"/>
          </w:tcPr>
          <w:p w14:paraId="5D1D297D" w14:textId="77777777" w:rsidR="000D02C0" w:rsidRPr="001455DC" w:rsidRDefault="000D02C0" w:rsidP="00243590">
            <w:pPr>
              <w:pStyle w:val="Tablebody"/>
              <w:spacing w:before="40"/>
              <w:jc w:val="center"/>
              <w:rPr>
                <w:szCs w:val="22"/>
              </w:rPr>
            </w:pPr>
          </w:p>
        </w:tc>
        <w:tc>
          <w:tcPr>
            <w:tcW w:w="5796" w:type="dxa"/>
            <w:tcBorders>
              <w:top w:val="nil"/>
              <w:bottom w:val="nil"/>
            </w:tcBorders>
          </w:tcPr>
          <w:p w14:paraId="42CD8B42" w14:textId="2081B640" w:rsidR="000D02C0" w:rsidRPr="009D3012" w:rsidRDefault="000D02C0" w:rsidP="00243590">
            <w:pPr>
              <w:pStyle w:val="Tablebody"/>
              <w:spacing w:before="40"/>
              <w:ind w:left="357" w:hanging="357"/>
              <w:jc w:val="left"/>
              <w:rPr>
                <w:szCs w:val="22"/>
                <w:lang w:val="en-US"/>
              </w:rPr>
            </w:pPr>
            <w:r w:rsidRPr="009D3012">
              <w:rPr>
                <w:szCs w:val="22"/>
                <w:lang w:val="en-US"/>
              </w:rPr>
              <w:t>—</w:t>
            </w:r>
            <w:r w:rsidRPr="009D3012">
              <w:rPr>
                <w:szCs w:val="22"/>
                <w:lang w:val="en-US"/>
              </w:rPr>
              <w:tab/>
              <w:t>intermediate region between the two end regions</w:t>
            </w:r>
            <w:r w:rsidRPr="009D3012">
              <w:rPr>
                <w:rStyle w:val="CCMCvariablesuperscript"/>
                <w:szCs w:val="22"/>
                <w:lang w:val="en-US"/>
              </w:rPr>
              <w:t>b</w:t>
            </w:r>
          </w:p>
        </w:tc>
        <w:tc>
          <w:tcPr>
            <w:tcW w:w="1161" w:type="dxa"/>
            <w:tcBorders>
              <w:top w:val="nil"/>
              <w:bottom w:val="nil"/>
            </w:tcBorders>
          </w:tcPr>
          <w:p w14:paraId="62643D90" w14:textId="48A93CD4" w:rsidR="000D02C0" w:rsidRPr="009D3012" w:rsidRDefault="000D02C0" w:rsidP="00243590">
            <w:pPr>
              <w:pStyle w:val="Tablebody"/>
              <w:spacing w:before="40"/>
              <w:jc w:val="left"/>
              <w:rPr>
                <w:szCs w:val="22"/>
                <w:lang w:val="en-US" w:eastAsia="de-DE"/>
              </w:rPr>
            </w:pPr>
            <w:r w:rsidRPr="009D3012">
              <w:rPr>
                <w:szCs w:val="22"/>
                <w:lang w:val="en-US"/>
              </w:rPr>
              <w:t> </w:t>
            </w:r>
          </w:p>
        </w:tc>
        <w:tc>
          <w:tcPr>
            <w:tcW w:w="2294" w:type="dxa"/>
            <w:tcBorders>
              <w:top w:val="nil"/>
              <w:bottom w:val="nil"/>
            </w:tcBorders>
          </w:tcPr>
          <w:p w14:paraId="3A9AAE4E" w14:textId="7640B57C" w:rsidR="000D02C0" w:rsidRPr="009D3012" w:rsidRDefault="000D02C0" w:rsidP="00243590">
            <w:pPr>
              <w:pStyle w:val="Tablebody"/>
              <w:spacing w:before="40"/>
              <w:jc w:val="left"/>
              <w:rPr>
                <w:rStyle w:val="CCMCvariablesuperscript"/>
                <w:szCs w:val="22"/>
                <w:lang w:val="en-US"/>
              </w:rPr>
            </w:pPr>
            <w:r w:rsidRPr="009D3012">
              <w:rPr>
                <w:szCs w:val="22"/>
                <w:lang w:val="en-US"/>
              </w:rPr>
              <w:t>15</w:t>
            </w:r>
            <w:r w:rsidRPr="001455DC">
              <w:rPr>
                <w:rStyle w:val="CCMCvariableitalic"/>
                <w:szCs w:val="22"/>
              </w:rPr>
              <w:t>ϕ</w:t>
            </w:r>
            <w:r w:rsidRPr="009D3012">
              <w:rPr>
                <w:rStyle w:val="CCMCvariablesubscript"/>
                <w:szCs w:val="22"/>
                <w:lang w:val="en-US"/>
              </w:rPr>
              <w:t>max,l</w:t>
            </w:r>
            <w:r w:rsidRPr="009D3012">
              <w:rPr>
                <w:lang w:val="en-US"/>
              </w:rPr>
              <w:t xml:space="preserve"> </w:t>
            </w:r>
            <w:r w:rsidRPr="009D3012">
              <w:rPr>
                <w:rStyle w:val="CCMCvariablesuperscript"/>
                <w:szCs w:val="22"/>
                <w:lang w:val="en-US"/>
              </w:rPr>
              <w:t>c</w:t>
            </w:r>
          </w:p>
          <w:p w14:paraId="5B1DBCE0" w14:textId="5F545FC8" w:rsidR="000D02C0" w:rsidRPr="009D3012" w:rsidRDefault="00650035" w:rsidP="00243590">
            <w:pPr>
              <w:pStyle w:val="Tablebody"/>
              <w:spacing w:before="40"/>
              <w:jc w:val="left"/>
              <w:rPr>
                <w:szCs w:val="22"/>
                <w:lang w:val="en-US"/>
              </w:rPr>
            </w:pPr>
            <w:r w:rsidRPr="009D3012">
              <w:rPr>
                <w:rFonts w:ascii="Cambria Math" w:hAnsi="Cambria Math"/>
                <w:szCs w:val="22"/>
                <w:lang w:val="en-US"/>
              </w:rPr>
              <w:t>≤</w:t>
            </w:r>
            <w:r w:rsidR="000D02C0" w:rsidRPr="009D3012">
              <w:rPr>
                <w:szCs w:val="22"/>
                <w:lang w:val="en-US"/>
              </w:rPr>
              <w:t> min{</w:t>
            </w:r>
            <w:r w:rsidR="000D02C0" w:rsidRPr="009D3012">
              <w:rPr>
                <w:rStyle w:val="CCMCvariableitalic"/>
                <w:szCs w:val="22"/>
                <w:lang w:val="en-US"/>
              </w:rPr>
              <w:t>h</w:t>
            </w:r>
            <w:r w:rsidR="000D02C0" w:rsidRPr="009D3012">
              <w:rPr>
                <w:szCs w:val="22"/>
                <w:lang w:val="en-US"/>
              </w:rPr>
              <w:t xml:space="preserve">; </w:t>
            </w:r>
            <w:r w:rsidR="000D02C0" w:rsidRPr="009D3012">
              <w:rPr>
                <w:rStyle w:val="CCMCvariableitalic"/>
                <w:szCs w:val="22"/>
                <w:lang w:val="en-US"/>
              </w:rPr>
              <w:t>b</w:t>
            </w:r>
            <w:r w:rsidR="000D02C0" w:rsidRPr="009D3012">
              <w:rPr>
                <w:szCs w:val="22"/>
                <w:lang w:val="en-US"/>
              </w:rPr>
              <w:t>; 300 mm}</w:t>
            </w:r>
          </w:p>
        </w:tc>
      </w:tr>
      <w:tr w:rsidR="000D02C0" w:rsidRPr="001455DC" w14:paraId="667D1B7B" w14:textId="77777777" w:rsidTr="000D02C0">
        <w:trPr>
          <w:cantSplit/>
        </w:trPr>
        <w:tc>
          <w:tcPr>
            <w:tcW w:w="501" w:type="dxa"/>
            <w:vMerge/>
            <w:vAlign w:val="center"/>
          </w:tcPr>
          <w:p w14:paraId="258A7605" w14:textId="77777777" w:rsidR="000D02C0" w:rsidRPr="009D3012" w:rsidRDefault="000D02C0" w:rsidP="00243590">
            <w:pPr>
              <w:pStyle w:val="Tablebody"/>
              <w:spacing w:before="40"/>
              <w:jc w:val="center"/>
              <w:rPr>
                <w:szCs w:val="22"/>
                <w:lang w:val="en-US"/>
              </w:rPr>
            </w:pPr>
          </w:p>
        </w:tc>
        <w:tc>
          <w:tcPr>
            <w:tcW w:w="5796" w:type="dxa"/>
            <w:tcBorders>
              <w:top w:val="nil"/>
              <w:bottom w:val="nil"/>
            </w:tcBorders>
          </w:tcPr>
          <w:p w14:paraId="4BDE5B8F" w14:textId="5F9E2618" w:rsidR="000D02C0" w:rsidRPr="009D3012" w:rsidRDefault="000D02C0" w:rsidP="00243590">
            <w:pPr>
              <w:pStyle w:val="Tablebody"/>
              <w:spacing w:before="40"/>
              <w:ind w:left="357" w:hanging="357"/>
              <w:jc w:val="left"/>
              <w:rPr>
                <w:szCs w:val="22"/>
                <w:lang w:val="en-US"/>
              </w:rPr>
            </w:pPr>
            <w:r w:rsidRPr="009D3012">
              <w:rPr>
                <w:szCs w:val="22"/>
                <w:lang w:val="en-US"/>
              </w:rPr>
              <w:t>—</w:t>
            </w:r>
            <w:r w:rsidRPr="009D3012">
              <w:rPr>
                <w:szCs w:val="22"/>
                <w:lang w:val="en-US"/>
              </w:rPr>
              <w:tab/>
              <w:t xml:space="preserve"> intermediate region between the two end regions, when longitudinal bars are not accounted for column resistance</w:t>
            </w:r>
          </w:p>
        </w:tc>
        <w:tc>
          <w:tcPr>
            <w:tcW w:w="1161" w:type="dxa"/>
            <w:tcBorders>
              <w:top w:val="nil"/>
              <w:bottom w:val="nil"/>
            </w:tcBorders>
          </w:tcPr>
          <w:p w14:paraId="2C6B4A34" w14:textId="6EF6E0F0" w:rsidR="000D02C0" w:rsidRPr="009D3012" w:rsidRDefault="000D02C0" w:rsidP="00243590">
            <w:pPr>
              <w:pStyle w:val="Tablebody"/>
              <w:spacing w:before="40"/>
              <w:jc w:val="left"/>
              <w:rPr>
                <w:szCs w:val="22"/>
                <w:lang w:val="en-US" w:eastAsia="de-DE"/>
              </w:rPr>
            </w:pPr>
            <w:r w:rsidRPr="009D3012">
              <w:rPr>
                <w:szCs w:val="22"/>
                <w:lang w:val="en-US"/>
              </w:rPr>
              <w:t> </w:t>
            </w:r>
          </w:p>
        </w:tc>
        <w:tc>
          <w:tcPr>
            <w:tcW w:w="2294" w:type="dxa"/>
            <w:tcBorders>
              <w:top w:val="nil"/>
              <w:bottom w:val="nil"/>
            </w:tcBorders>
          </w:tcPr>
          <w:p w14:paraId="49AF55D8" w14:textId="77777777" w:rsidR="000D02C0" w:rsidRPr="001455DC" w:rsidRDefault="000D02C0" w:rsidP="00243590">
            <w:pPr>
              <w:pStyle w:val="Tablebody"/>
              <w:spacing w:before="40"/>
              <w:jc w:val="left"/>
              <w:rPr>
                <w:szCs w:val="22"/>
                <w:lang w:eastAsia="de-DE"/>
              </w:rPr>
            </w:pPr>
            <w:r w:rsidRPr="001455DC">
              <w:rPr>
                <w:szCs w:val="22"/>
              </w:rPr>
              <w:t>min{</w:t>
            </w:r>
            <w:r w:rsidRPr="001455DC">
              <w:rPr>
                <w:rStyle w:val="CCMCvariableitalic"/>
                <w:szCs w:val="22"/>
              </w:rPr>
              <w:t>h</w:t>
            </w:r>
            <w:r w:rsidRPr="001455DC">
              <w:rPr>
                <w:szCs w:val="22"/>
              </w:rPr>
              <w:t xml:space="preserve">; </w:t>
            </w:r>
            <w:r w:rsidRPr="001455DC">
              <w:rPr>
                <w:rStyle w:val="CCMCvariableitalic"/>
                <w:szCs w:val="22"/>
              </w:rPr>
              <w:t>b</w:t>
            </w:r>
            <w:r w:rsidRPr="001455DC">
              <w:rPr>
                <w:szCs w:val="22"/>
              </w:rPr>
              <w:t>; 400 mm}</w:t>
            </w:r>
          </w:p>
        </w:tc>
      </w:tr>
      <w:tr w:rsidR="000D02C0" w:rsidRPr="001455DC" w14:paraId="5DFF8C71" w14:textId="77777777" w:rsidTr="000D02C0">
        <w:trPr>
          <w:cantSplit/>
        </w:trPr>
        <w:tc>
          <w:tcPr>
            <w:tcW w:w="501" w:type="dxa"/>
            <w:vMerge/>
            <w:vAlign w:val="center"/>
          </w:tcPr>
          <w:p w14:paraId="6894199E" w14:textId="77777777" w:rsidR="000D02C0" w:rsidRPr="001455DC" w:rsidRDefault="000D02C0" w:rsidP="00243590">
            <w:pPr>
              <w:pStyle w:val="Tablebody"/>
              <w:spacing w:before="40"/>
              <w:jc w:val="center"/>
              <w:rPr>
                <w:szCs w:val="22"/>
              </w:rPr>
            </w:pPr>
          </w:p>
        </w:tc>
        <w:tc>
          <w:tcPr>
            <w:tcW w:w="5796" w:type="dxa"/>
            <w:tcBorders>
              <w:top w:val="nil"/>
              <w:bottom w:val="nil"/>
            </w:tcBorders>
          </w:tcPr>
          <w:p w14:paraId="14A7BDBC" w14:textId="63CD0DA3" w:rsidR="000D02C0" w:rsidRPr="003F0CF8" w:rsidRDefault="000D02C0" w:rsidP="00243590">
            <w:pPr>
              <w:pStyle w:val="Tablebody"/>
              <w:spacing w:before="40"/>
              <w:ind w:left="357" w:hanging="357"/>
              <w:jc w:val="left"/>
              <w:rPr>
                <w:szCs w:val="22"/>
                <w:lang w:val="en-GB"/>
              </w:rPr>
            </w:pPr>
            <w:r w:rsidRPr="009D3012">
              <w:rPr>
                <w:szCs w:val="22"/>
                <w:lang w:val="en-US"/>
              </w:rPr>
              <w:t>—</w:t>
            </w:r>
            <w:r w:rsidRPr="009D3012">
              <w:rPr>
                <w:szCs w:val="22"/>
                <w:lang w:val="en-US"/>
              </w:rPr>
              <w:tab/>
              <w:t xml:space="preserve">end regions, over a length equal to the larger dimension of the column. </w:t>
            </w:r>
            <w:r w:rsidRPr="009D3012">
              <w:rPr>
                <w:rFonts w:eastAsiaTheme="minorHAnsi"/>
                <w:szCs w:val="22"/>
                <w:lang w:val="en-US"/>
              </w:rPr>
              <w:t xml:space="preserve">For concrete with </w:t>
            </w:r>
            <w:r w:rsidRPr="009D3012">
              <w:rPr>
                <w:rStyle w:val="CCMCvariableitalic"/>
                <w:szCs w:val="22"/>
                <w:lang w:val="en-US"/>
              </w:rPr>
              <w:t>f</w:t>
            </w:r>
            <w:r w:rsidRPr="009D3012">
              <w:rPr>
                <w:rStyle w:val="CCMCvariablesubscript"/>
                <w:szCs w:val="22"/>
                <w:lang w:val="en-US"/>
              </w:rPr>
              <w:t>ck</w:t>
            </w:r>
            <w:r w:rsidRPr="009D3012">
              <w:rPr>
                <w:rFonts w:eastAsiaTheme="minorHAnsi"/>
                <w:szCs w:val="22"/>
                <w:lang w:val="en-US"/>
              </w:rPr>
              <w:t> </w:t>
            </w:r>
            <w:r w:rsidR="00650035" w:rsidRPr="009D3012">
              <w:rPr>
                <w:rFonts w:ascii="Cambria Math" w:eastAsiaTheme="minorHAnsi" w:hAnsi="Cambria Math"/>
                <w:szCs w:val="22"/>
                <w:lang w:val="en-US"/>
              </w:rPr>
              <w:t>&gt;</w:t>
            </w:r>
            <w:r w:rsidRPr="009D3012">
              <w:rPr>
                <w:rFonts w:eastAsiaTheme="minorHAnsi"/>
                <w:szCs w:val="22"/>
                <w:lang w:val="en-US"/>
              </w:rPr>
              <w:t xml:space="preserve"> 50 MPa the transverse reinforcement shall provide a minimum confinement of </w:t>
            </w:r>
            <w:r w:rsidRPr="009D3012">
              <w:rPr>
                <w:rStyle w:val="CCMCvariableitalic"/>
                <w:szCs w:val="22"/>
                <w:lang w:val="en-US"/>
              </w:rPr>
              <w:t>k</w:t>
            </w:r>
            <w:r w:rsidRPr="009D3012">
              <w:rPr>
                <w:rFonts w:eastAsiaTheme="minorHAnsi"/>
                <w:szCs w:val="22"/>
                <w:lang w:val="en-US"/>
              </w:rPr>
              <w:t> </w:t>
            </w:r>
            <w:r w:rsidR="00C74721" w:rsidRPr="009D3012">
              <w:rPr>
                <w:rFonts w:ascii="Cambria Math" w:eastAsiaTheme="minorHAnsi" w:hAnsi="Cambria Math"/>
                <w:szCs w:val="22"/>
                <w:lang w:val="en-US"/>
              </w:rPr>
              <w:t>⋅</w:t>
            </w:r>
            <w:r w:rsidRPr="009D3012">
              <w:rPr>
                <w:rFonts w:eastAsiaTheme="minorHAnsi"/>
                <w:szCs w:val="22"/>
                <w:lang w:val="en-US"/>
              </w:rPr>
              <w:t> </w:t>
            </w:r>
            <w:r w:rsidRPr="009D3012">
              <w:rPr>
                <w:rStyle w:val="CCMCvariableitalic"/>
                <w:szCs w:val="22"/>
                <w:lang w:val="en-US"/>
              </w:rPr>
              <w:t>f</w:t>
            </w:r>
            <w:r w:rsidRPr="009D3012">
              <w:rPr>
                <w:rStyle w:val="CCMCvariablesubscript"/>
                <w:szCs w:val="22"/>
                <w:lang w:val="en-US"/>
              </w:rPr>
              <w:t>cd</w:t>
            </w:r>
            <w:r w:rsidRPr="009D3012">
              <w:rPr>
                <w:rFonts w:eastAsiaTheme="minorHAnsi"/>
                <w:szCs w:val="22"/>
                <w:lang w:val="en-US"/>
              </w:rPr>
              <w:t xml:space="preserve"> in accordance with 8.1.4, Formula (8.</w:t>
            </w:r>
            <w:r w:rsidR="00C6630A" w:rsidRPr="003F0CF8">
              <w:rPr>
                <w:rFonts w:eastAsiaTheme="minorHAnsi"/>
                <w:szCs w:val="22"/>
                <w:lang w:val="en-US"/>
              </w:rPr>
              <w:t>7</w:t>
            </w:r>
            <w:r w:rsidRPr="003F0CF8">
              <w:rPr>
                <w:rFonts w:eastAsiaTheme="minorHAnsi"/>
                <w:szCs w:val="22"/>
                <w:lang w:val="en-US"/>
              </w:rPr>
              <w:t>)</w:t>
            </w:r>
            <w:r w:rsidRPr="003F0CF8">
              <w:rPr>
                <w:rStyle w:val="CCMCvariablesuperscript"/>
                <w:szCs w:val="22"/>
                <w:lang w:val="en-US"/>
              </w:rPr>
              <w:t>d</w:t>
            </w:r>
          </w:p>
        </w:tc>
        <w:tc>
          <w:tcPr>
            <w:tcW w:w="1161" w:type="dxa"/>
            <w:tcBorders>
              <w:top w:val="nil"/>
              <w:bottom w:val="nil"/>
            </w:tcBorders>
          </w:tcPr>
          <w:p w14:paraId="02268807" w14:textId="2742735C" w:rsidR="000D02C0" w:rsidRPr="003F0CF8" w:rsidRDefault="000D02C0" w:rsidP="00243590">
            <w:pPr>
              <w:pStyle w:val="Tablebody"/>
              <w:spacing w:before="40"/>
              <w:jc w:val="left"/>
              <w:rPr>
                <w:szCs w:val="22"/>
                <w:lang w:val="en-GB" w:eastAsia="de-DE"/>
              </w:rPr>
            </w:pPr>
            <w:r w:rsidRPr="003F0CF8">
              <w:rPr>
                <w:szCs w:val="22"/>
                <w:lang w:val="en-US"/>
              </w:rPr>
              <w:t> </w:t>
            </w:r>
          </w:p>
        </w:tc>
        <w:tc>
          <w:tcPr>
            <w:tcW w:w="2294" w:type="dxa"/>
            <w:tcBorders>
              <w:top w:val="nil"/>
              <w:bottom w:val="nil"/>
            </w:tcBorders>
          </w:tcPr>
          <w:p w14:paraId="1409FB6F" w14:textId="430CB076" w:rsidR="000D02C0" w:rsidRPr="001455DC" w:rsidRDefault="000D02C0" w:rsidP="00243590">
            <w:pPr>
              <w:pStyle w:val="Tablebody"/>
              <w:spacing w:before="40"/>
              <w:jc w:val="left"/>
              <w:rPr>
                <w:szCs w:val="22"/>
              </w:rPr>
            </w:pPr>
            <w:r w:rsidRPr="001455DC">
              <w:rPr>
                <w:szCs w:val="22"/>
              </w:rPr>
              <w:t>0,6</w:t>
            </w:r>
            <w:r w:rsidRPr="001455DC">
              <w:rPr>
                <w:rStyle w:val="CCMCvariableitalic"/>
                <w:szCs w:val="22"/>
              </w:rPr>
              <w:t>s</w:t>
            </w:r>
            <w:r w:rsidRPr="001455DC">
              <w:rPr>
                <w:rStyle w:val="CCMCvariablesubscript"/>
                <w:szCs w:val="22"/>
              </w:rPr>
              <w:t>max.col</w:t>
            </w:r>
          </w:p>
        </w:tc>
      </w:tr>
      <w:tr w:rsidR="000D02C0" w:rsidRPr="001455DC" w14:paraId="31851B3F" w14:textId="77777777" w:rsidTr="000D02C0">
        <w:trPr>
          <w:cantSplit/>
        </w:trPr>
        <w:tc>
          <w:tcPr>
            <w:tcW w:w="501" w:type="dxa"/>
            <w:vMerge/>
            <w:vAlign w:val="center"/>
          </w:tcPr>
          <w:p w14:paraId="2FBBB0F4" w14:textId="77777777" w:rsidR="000D02C0" w:rsidRPr="001455DC" w:rsidRDefault="000D02C0" w:rsidP="00243590">
            <w:pPr>
              <w:pStyle w:val="Tablebody"/>
              <w:spacing w:before="40"/>
              <w:jc w:val="center"/>
              <w:rPr>
                <w:szCs w:val="22"/>
              </w:rPr>
            </w:pPr>
          </w:p>
        </w:tc>
        <w:tc>
          <w:tcPr>
            <w:tcW w:w="5796" w:type="dxa"/>
            <w:tcBorders>
              <w:top w:val="nil"/>
            </w:tcBorders>
          </w:tcPr>
          <w:p w14:paraId="4E805BAE" w14:textId="59446242" w:rsidR="000D02C0" w:rsidRPr="009D3012" w:rsidRDefault="000D02C0" w:rsidP="00243590">
            <w:pPr>
              <w:pStyle w:val="Tablebody"/>
              <w:spacing w:before="40"/>
              <w:ind w:left="357" w:hanging="357"/>
              <w:jc w:val="left"/>
              <w:rPr>
                <w:szCs w:val="22"/>
                <w:lang w:val="en-US"/>
              </w:rPr>
            </w:pPr>
            <w:r w:rsidRPr="009D3012">
              <w:rPr>
                <w:szCs w:val="22"/>
                <w:lang w:val="en-US"/>
              </w:rPr>
              <w:t>—</w:t>
            </w:r>
            <w:r w:rsidRPr="009D3012">
              <w:rPr>
                <w:szCs w:val="22"/>
                <w:lang w:val="en-US"/>
              </w:rPr>
              <w:tab/>
              <w:t xml:space="preserve">at lap area where </w:t>
            </w:r>
            <w:r w:rsidRPr="001455DC">
              <w:rPr>
                <w:rStyle w:val="CCMCvariableitalic"/>
                <w:szCs w:val="22"/>
              </w:rPr>
              <w:t>ϕ</w:t>
            </w:r>
            <w:r w:rsidRPr="009D3012">
              <w:rPr>
                <w:rStyle w:val="CCMCvariablesubscript"/>
                <w:szCs w:val="22"/>
                <w:lang w:val="en-US"/>
              </w:rPr>
              <w:t>l</w:t>
            </w:r>
            <w:r w:rsidRPr="009D3012">
              <w:rPr>
                <w:szCs w:val="22"/>
                <w:lang w:val="en-US"/>
              </w:rPr>
              <w:t> </w:t>
            </w:r>
            <w:r w:rsidR="00650035" w:rsidRPr="009D3012">
              <w:rPr>
                <w:rFonts w:ascii="Cambria Math" w:hAnsi="Cambria Math"/>
                <w:szCs w:val="22"/>
                <w:lang w:val="en-US"/>
              </w:rPr>
              <w:t>≥</w:t>
            </w:r>
            <w:r w:rsidRPr="009D3012">
              <w:rPr>
                <w:szCs w:val="22"/>
                <w:lang w:val="en-US"/>
              </w:rPr>
              <w:t> 14 mm</w:t>
            </w:r>
          </w:p>
        </w:tc>
        <w:tc>
          <w:tcPr>
            <w:tcW w:w="1161" w:type="dxa"/>
            <w:tcBorders>
              <w:top w:val="nil"/>
            </w:tcBorders>
          </w:tcPr>
          <w:p w14:paraId="2D49F04A" w14:textId="48FE25FF" w:rsidR="000D02C0" w:rsidRPr="009D3012" w:rsidRDefault="000D02C0" w:rsidP="00243590">
            <w:pPr>
              <w:pStyle w:val="Tablebody"/>
              <w:spacing w:before="40"/>
              <w:jc w:val="left"/>
              <w:rPr>
                <w:szCs w:val="22"/>
                <w:lang w:val="en-US"/>
              </w:rPr>
            </w:pPr>
            <w:r w:rsidRPr="009D3012">
              <w:rPr>
                <w:szCs w:val="22"/>
                <w:lang w:val="en-US"/>
              </w:rPr>
              <w:t> </w:t>
            </w:r>
          </w:p>
        </w:tc>
        <w:tc>
          <w:tcPr>
            <w:tcW w:w="2294" w:type="dxa"/>
            <w:tcBorders>
              <w:top w:val="nil"/>
            </w:tcBorders>
          </w:tcPr>
          <w:p w14:paraId="089404B4" w14:textId="77777777" w:rsidR="000D02C0" w:rsidRPr="001455DC" w:rsidRDefault="000D02C0" w:rsidP="00243590">
            <w:pPr>
              <w:pStyle w:val="Tablebody"/>
              <w:spacing w:before="40"/>
              <w:jc w:val="left"/>
              <w:rPr>
                <w:szCs w:val="22"/>
              </w:rPr>
            </w:pPr>
            <w:r w:rsidRPr="001455DC">
              <w:rPr>
                <w:szCs w:val="22"/>
              </w:rPr>
              <w:t>0,6</w:t>
            </w:r>
            <w:r w:rsidRPr="001455DC">
              <w:rPr>
                <w:rStyle w:val="CCMCvariableitalic"/>
              </w:rPr>
              <w:t>s</w:t>
            </w:r>
            <w:r w:rsidRPr="001455DC">
              <w:rPr>
                <w:rStyle w:val="CCMCvariablesubscript"/>
                <w:szCs w:val="22"/>
              </w:rPr>
              <w:t>max.col</w:t>
            </w:r>
          </w:p>
        </w:tc>
      </w:tr>
      <w:tr w:rsidR="004E22C1" w:rsidRPr="001455DC" w14:paraId="78ACD08B" w14:textId="77777777" w:rsidTr="000D02C0">
        <w:trPr>
          <w:cantSplit/>
        </w:trPr>
        <w:tc>
          <w:tcPr>
            <w:tcW w:w="501" w:type="dxa"/>
            <w:vAlign w:val="center"/>
          </w:tcPr>
          <w:p w14:paraId="5A732005" w14:textId="77777777" w:rsidR="004E22C1" w:rsidRPr="001455DC" w:rsidRDefault="004E22C1" w:rsidP="00243590">
            <w:pPr>
              <w:pStyle w:val="Tablebody"/>
              <w:jc w:val="center"/>
              <w:rPr>
                <w:szCs w:val="22"/>
              </w:rPr>
            </w:pPr>
            <w:r w:rsidRPr="001455DC">
              <w:rPr>
                <w:szCs w:val="22"/>
              </w:rPr>
              <w:t>4</w:t>
            </w:r>
          </w:p>
        </w:tc>
        <w:tc>
          <w:tcPr>
            <w:tcW w:w="5796" w:type="dxa"/>
            <w:vAlign w:val="center"/>
          </w:tcPr>
          <w:p w14:paraId="0DA03B62" w14:textId="77777777" w:rsidR="004E22C1" w:rsidRPr="001455DC" w:rsidRDefault="004E22C1" w:rsidP="00243590">
            <w:pPr>
              <w:pStyle w:val="Tablebody"/>
              <w:jc w:val="left"/>
              <w:rPr>
                <w:szCs w:val="22"/>
              </w:rPr>
            </w:pPr>
            <w:r w:rsidRPr="001455DC">
              <w:rPr>
                <w:szCs w:val="22"/>
              </w:rPr>
              <w:t>Minimum bar diameter for transverse reinforcement (bars in stirrups, wires in welded mesh)</w:t>
            </w:r>
          </w:p>
        </w:tc>
        <w:tc>
          <w:tcPr>
            <w:tcW w:w="1161" w:type="dxa"/>
            <w:vAlign w:val="center"/>
          </w:tcPr>
          <w:p w14:paraId="5712D0BA" w14:textId="77777777" w:rsidR="004E22C1" w:rsidRPr="001455DC" w:rsidRDefault="004E22C1" w:rsidP="00243590">
            <w:pPr>
              <w:pStyle w:val="Tablebody"/>
              <w:jc w:val="left"/>
              <w:rPr>
                <w:szCs w:val="22"/>
              </w:rPr>
            </w:pPr>
            <w:r w:rsidRPr="001455DC">
              <w:rPr>
                <w:rStyle w:val="CCMCvariableitalic"/>
                <w:szCs w:val="22"/>
              </w:rPr>
              <w:t>ϕ</w:t>
            </w:r>
            <w:r w:rsidRPr="001455DC">
              <w:rPr>
                <w:rStyle w:val="CCMCvariablesubscript"/>
                <w:szCs w:val="22"/>
              </w:rPr>
              <w:t>min,trans</w:t>
            </w:r>
          </w:p>
        </w:tc>
        <w:tc>
          <w:tcPr>
            <w:tcW w:w="2294" w:type="dxa"/>
            <w:vAlign w:val="center"/>
          </w:tcPr>
          <w:p w14:paraId="07DE5D45" w14:textId="06731CFA" w:rsidR="004E22C1" w:rsidRPr="001455DC" w:rsidRDefault="00650035" w:rsidP="00243590">
            <w:pPr>
              <w:pStyle w:val="Tablebody"/>
              <w:jc w:val="left"/>
              <w:rPr>
                <w:szCs w:val="22"/>
              </w:rPr>
            </w:pPr>
            <w:r w:rsidRPr="001455DC">
              <w:rPr>
                <w:rFonts w:ascii="Cambria Math" w:hAnsi="Cambria Math"/>
                <w:szCs w:val="22"/>
              </w:rPr>
              <w:t>≥</w:t>
            </w:r>
            <w:r w:rsidR="00073FC6" w:rsidRPr="001455DC">
              <w:rPr>
                <w:szCs w:val="22"/>
              </w:rPr>
              <w:t> </w:t>
            </w:r>
            <w:r w:rsidR="004E22C1" w:rsidRPr="001455DC">
              <w:rPr>
                <w:szCs w:val="22"/>
              </w:rPr>
              <w:t>0,25</w:t>
            </w:r>
            <w:r w:rsidR="004E22C1" w:rsidRPr="001455DC">
              <w:rPr>
                <w:rStyle w:val="CCMCvariableitalic"/>
                <w:szCs w:val="22"/>
              </w:rPr>
              <w:t>ϕ</w:t>
            </w:r>
            <w:r w:rsidR="004E22C1" w:rsidRPr="001455DC">
              <w:rPr>
                <w:rStyle w:val="CCMCvariablesubscript"/>
                <w:szCs w:val="22"/>
              </w:rPr>
              <w:t>max,l</w:t>
            </w:r>
            <w:r w:rsidR="004E22C1" w:rsidRPr="001455DC">
              <w:rPr>
                <w:szCs w:val="22"/>
              </w:rPr>
              <w:t xml:space="preserve"> </w:t>
            </w:r>
            <w:r w:rsidR="004E22C1" w:rsidRPr="001455DC">
              <w:rPr>
                <w:rStyle w:val="CCMCvariablesuperscript"/>
                <w:szCs w:val="22"/>
              </w:rPr>
              <w:t>a</w:t>
            </w:r>
          </w:p>
        </w:tc>
      </w:tr>
      <w:tr w:rsidR="004E22C1" w:rsidRPr="001455DC" w14:paraId="4AD3CC94" w14:textId="77777777" w:rsidTr="000D02C0">
        <w:trPr>
          <w:cnfStyle w:val="010000000000" w:firstRow="0" w:lastRow="1" w:firstColumn="0" w:lastColumn="0" w:oddVBand="0" w:evenVBand="0" w:oddHBand="0" w:evenHBand="0" w:firstRowFirstColumn="0" w:firstRowLastColumn="0" w:lastRowFirstColumn="0" w:lastRowLastColumn="0"/>
          <w:cantSplit/>
        </w:trPr>
        <w:tc>
          <w:tcPr>
            <w:tcW w:w="9752" w:type="dxa"/>
            <w:gridSpan w:val="4"/>
          </w:tcPr>
          <w:p w14:paraId="18C95258" w14:textId="4084D5D9" w:rsidR="004E22C1" w:rsidRPr="009D3012" w:rsidRDefault="004E22C1" w:rsidP="00243590">
            <w:pPr>
              <w:pStyle w:val="Tablefooter"/>
              <w:rPr>
                <w:lang w:val="en-US"/>
              </w:rPr>
            </w:pPr>
            <w:r w:rsidRPr="009D3012">
              <w:rPr>
                <w:rStyle w:val="CCMCvariablesuperscript"/>
                <w:lang w:val="en-US"/>
              </w:rPr>
              <w:t>a</w:t>
            </w:r>
            <w:r w:rsidR="000D02C0" w:rsidRPr="009D3012">
              <w:rPr>
                <w:lang w:val="en-US"/>
              </w:rPr>
              <w:tab/>
            </w:r>
            <w:r w:rsidRPr="009D3012">
              <w:rPr>
                <w:lang w:val="en-US"/>
              </w:rPr>
              <w:t xml:space="preserve">For constructability, the diameter of longitudinal bars </w:t>
            </w:r>
            <w:r w:rsidRPr="001455DC">
              <w:rPr>
                <w:rStyle w:val="CCMCvariableitalic"/>
              </w:rPr>
              <w:t>ϕ</w:t>
            </w:r>
            <w:r w:rsidRPr="009D3012">
              <w:rPr>
                <w:rStyle w:val="CCMCvariablesubscript"/>
                <w:lang w:val="en-US"/>
              </w:rPr>
              <w:t>,max,l</w:t>
            </w:r>
            <w:r w:rsidRPr="009D3012">
              <w:rPr>
                <w:lang w:val="en-US"/>
              </w:rPr>
              <w:t xml:space="preserve"> should be at least 12 mm.</w:t>
            </w:r>
          </w:p>
          <w:p w14:paraId="7E68B888" w14:textId="2ABD702A" w:rsidR="004E22C1" w:rsidRPr="009D3012" w:rsidRDefault="004E22C1" w:rsidP="00243590">
            <w:pPr>
              <w:pStyle w:val="Tablefooter"/>
              <w:rPr>
                <w:lang w:val="en-US"/>
              </w:rPr>
            </w:pPr>
            <w:r w:rsidRPr="009D3012">
              <w:rPr>
                <w:rStyle w:val="CCMCvariablesuperscript"/>
                <w:lang w:val="en-US"/>
              </w:rPr>
              <w:t>b</w:t>
            </w:r>
            <w:r w:rsidR="000D02C0" w:rsidRPr="009D3012">
              <w:rPr>
                <w:lang w:val="en-US"/>
              </w:rPr>
              <w:tab/>
            </w:r>
            <w:r w:rsidRPr="009D3012">
              <w:rPr>
                <w:lang w:val="en-US"/>
              </w:rPr>
              <w:t>Where all bars are prestressed a spacing of min{</w:t>
            </w:r>
            <w:r w:rsidRPr="009D3012">
              <w:rPr>
                <w:rStyle w:val="CCMCvariableitalic"/>
                <w:lang w:val="en-US"/>
              </w:rPr>
              <w:t>h</w:t>
            </w:r>
            <w:r w:rsidRPr="009D3012">
              <w:rPr>
                <w:lang w:val="en-US"/>
              </w:rPr>
              <w:t xml:space="preserve">; </w:t>
            </w:r>
            <w:r w:rsidRPr="009D3012">
              <w:rPr>
                <w:rStyle w:val="CCMCvariableitalic"/>
                <w:lang w:val="en-US"/>
              </w:rPr>
              <w:t>b</w:t>
            </w:r>
            <w:r w:rsidRPr="009D3012">
              <w:rPr>
                <w:lang w:val="en-US"/>
              </w:rPr>
              <w:t>; 300 mm} may be used.</w:t>
            </w:r>
          </w:p>
          <w:p w14:paraId="127C2CF3" w14:textId="56378385" w:rsidR="004E22C1" w:rsidRPr="009D3012" w:rsidRDefault="004E22C1" w:rsidP="00243590">
            <w:pPr>
              <w:pStyle w:val="Tablefooter"/>
              <w:rPr>
                <w:lang w:val="en-US"/>
              </w:rPr>
            </w:pPr>
            <w:r w:rsidRPr="009D3012">
              <w:rPr>
                <w:rStyle w:val="CCMCvariablesuperscript"/>
                <w:lang w:val="en-US"/>
              </w:rPr>
              <w:t>c</w:t>
            </w:r>
            <w:r w:rsidR="000D02C0" w:rsidRPr="009D3012">
              <w:rPr>
                <w:lang w:val="en-US"/>
              </w:rPr>
              <w:tab/>
            </w:r>
            <w:r w:rsidRPr="001455DC">
              <w:rPr>
                <w:rStyle w:val="CCMCvariableitalic"/>
              </w:rPr>
              <w:t>ϕ</w:t>
            </w:r>
            <w:r w:rsidRPr="009D3012">
              <w:rPr>
                <w:rStyle w:val="CCMCvariablesubscript"/>
                <w:lang w:val="en-US"/>
              </w:rPr>
              <w:t>,max,l</w:t>
            </w:r>
            <w:r w:rsidRPr="009D3012">
              <w:rPr>
                <w:lang w:val="en-US"/>
              </w:rPr>
              <w:t xml:space="preserve"> – maximum diameter of longitudinal bars.</w:t>
            </w:r>
          </w:p>
          <w:p w14:paraId="40D51D5A" w14:textId="4C5CA252" w:rsidR="004E22C1" w:rsidRPr="009D3012" w:rsidRDefault="004E22C1" w:rsidP="00243590">
            <w:pPr>
              <w:pStyle w:val="Tablefooter"/>
              <w:rPr>
                <w:rFonts w:eastAsiaTheme="minorHAnsi"/>
                <w:sz w:val="19"/>
                <w:szCs w:val="19"/>
                <w:lang w:val="en-US"/>
              </w:rPr>
            </w:pPr>
            <w:r w:rsidRPr="009D3012">
              <w:rPr>
                <w:rStyle w:val="CCMCvariablesuperscript"/>
                <w:lang w:val="en-US"/>
              </w:rPr>
              <w:t>d</w:t>
            </w:r>
            <w:r w:rsidR="000D02C0" w:rsidRPr="009D3012">
              <w:rPr>
                <w:rFonts w:eastAsiaTheme="minorHAnsi"/>
                <w:lang w:val="en-US"/>
              </w:rPr>
              <w:tab/>
            </w:r>
            <w:r w:rsidRPr="009D3012">
              <w:rPr>
                <w:rFonts w:eastAsiaTheme="minorHAnsi"/>
                <w:lang w:val="en-US"/>
              </w:rPr>
              <w:t xml:space="preserve">This requirement is to provide a minimum level of ductility to higher strength concrete columns. </w:t>
            </w:r>
            <w:r w:rsidRPr="009D3012">
              <w:rPr>
                <w:rStyle w:val="CCMCvariableitalic"/>
                <w:lang w:val="en-US"/>
              </w:rPr>
              <w:t>k</w:t>
            </w:r>
            <w:r w:rsidRPr="009D3012">
              <w:rPr>
                <w:lang w:val="en-US"/>
              </w:rPr>
              <w:t> </w:t>
            </w:r>
            <w:r w:rsidR="00EC27D2" w:rsidRPr="009D3012">
              <w:rPr>
                <w:rFonts w:ascii="Cambria Math" w:hAnsi="Cambria Math"/>
                <w:lang w:val="en-US"/>
              </w:rPr>
              <w:t>=</w:t>
            </w:r>
            <w:r w:rsidRPr="009D3012">
              <w:rPr>
                <w:lang w:val="en-US"/>
              </w:rPr>
              <w:t> </w:t>
            </w:r>
            <w:r w:rsidRPr="009D3012">
              <w:rPr>
                <w:rFonts w:eastAsiaTheme="minorHAnsi"/>
                <w:lang w:val="en-US"/>
              </w:rPr>
              <w:t>0,02 unless a National Annex gives a different value.</w:t>
            </w:r>
          </w:p>
        </w:tc>
      </w:tr>
    </w:tbl>
    <w:p w14:paraId="3A5C1D29" w14:textId="77777777" w:rsidR="004E22C1" w:rsidRPr="001455DC" w:rsidRDefault="004E22C1" w:rsidP="000D02C0">
      <w:pPr>
        <w:pStyle w:val="a7"/>
      </w:pPr>
    </w:p>
    <w:p w14:paraId="7AD78E19" w14:textId="6080FED0" w:rsidR="004E22C1" w:rsidRPr="001455DC" w:rsidRDefault="004E22C1" w:rsidP="006D682B">
      <w:pPr>
        <w:pStyle w:val="21"/>
      </w:pPr>
      <w:bookmarkStart w:id="955" w:name="_Toc52820068"/>
      <w:bookmarkStart w:id="956" w:name="_Toc54337472"/>
      <w:bookmarkStart w:id="957" w:name="_Toc54338124"/>
      <w:bookmarkStart w:id="958" w:name="_Toc67565468"/>
      <w:r w:rsidRPr="001455DC">
        <w:t>Walls and deep beams</w:t>
      </w:r>
      <w:bookmarkEnd w:id="955"/>
      <w:bookmarkEnd w:id="956"/>
      <w:bookmarkEnd w:id="957"/>
      <w:bookmarkEnd w:id="958"/>
    </w:p>
    <w:p w14:paraId="3A735DFA" w14:textId="77777777" w:rsidR="004E22C1" w:rsidRPr="001455DC" w:rsidRDefault="004E22C1" w:rsidP="000D02C0">
      <w:pPr>
        <w:pStyle w:val="a7"/>
      </w:pPr>
      <w:r w:rsidRPr="001455DC">
        <w:t>(1)</w:t>
      </w:r>
      <w:r w:rsidRPr="001455DC">
        <w:tab/>
        <w:t>For walls subjected predominantly to out-of-plane bending, the rules for slabs apply (see 12.3).</w:t>
      </w:r>
    </w:p>
    <w:p w14:paraId="76E91443" w14:textId="77777777" w:rsidR="004E22C1" w:rsidRPr="001455DC" w:rsidRDefault="004E22C1" w:rsidP="000D02C0">
      <w:pPr>
        <w:pStyle w:val="a7"/>
      </w:pPr>
      <w:r w:rsidRPr="001455DC">
        <w:t>(2)</w:t>
      </w:r>
      <w:r w:rsidRPr="001455DC">
        <w:tab/>
        <w:t>Vertical, horizontal and orthogonal-to-the-surface reinforcement in walls, shall be detailed in accordance with the requirements of Table 12.4(NDP).</w:t>
      </w:r>
    </w:p>
    <w:p w14:paraId="66BB4360" w14:textId="77777777" w:rsidR="004E22C1" w:rsidRPr="001455DC" w:rsidRDefault="004E22C1" w:rsidP="000D02C0">
      <w:pPr>
        <w:pStyle w:val="Note"/>
      </w:pPr>
      <w:r w:rsidRPr="001455DC">
        <w:t>NOTE</w:t>
      </w:r>
      <w:r w:rsidRPr="001455DC">
        <w:tab/>
        <w:t>The recommended values in Table 12.4(NDP) apply unless a National Annex gives other values.</w:t>
      </w:r>
    </w:p>
    <w:p w14:paraId="3914AF97" w14:textId="77777777" w:rsidR="004E22C1" w:rsidRPr="001455DC" w:rsidRDefault="004E22C1" w:rsidP="000D02C0">
      <w:pPr>
        <w:pStyle w:val="Tabletitle"/>
      </w:pPr>
      <w:bookmarkStart w:id="959" w:name="_Toc54337473"/>
      <w:r w:rsidRPr="001455DC">
        <w:t>Table 12.4(NDP) — Detailing requirements for reinforcement in walls and deep beams</w:t>
      </w:r>
      <w:bookmarkEnd w:id="959"/>
    </w:p>
    <w:tbl>
      <w:tblPr>
        <w:tblStyle w:val="53"/>
        <w:tblW w:w="9752" w:type="dxa"/>
        <w:tblLayout w:type="fixed"/>
        <w:tblCellMar>
          <w:left w:w="71" w:type="dxa"/>
          <w:right w:w="71" w:type="dxa"/>
        </w:tblCellMar>
        <w:tblLook w:val="0660" w:firstRow="1" w:lastRow="1" w:firstColumn="0" w:lastColumn="0" w:noHBand="1" w:noVBand="1"/>
      </w:tblPr>
      <w:tblGrid>
        <w:gridCol w:w="517"/>
        <w:gridCol w:w="5817"/>
        <w:gridCol w:w="1161"/>
        <w:gridCol w:w="2257"/>
      </w:tblGrid>
      <w:tr w:rsidR="004E22C1" w:rsidRPr="001455DC" w14:paraId="1DA87D5E" w14:textId="77777777" w:rsidTr="00182974">
        <w:trPr>
          <w:cnfStyle w:val="100000000000" w:firstRow="1" w:lastRow="0" w:firstColumn="0" w:lastColumn="0" w:oddVBand="0" w:evenVBand="0" w:oddHBand="0" w:evenHBand="0" w:firstRowFirstColumn="0" w:firstRowLastColumn="0" w:lastRowFirstColumn="0" w:lastRowLastColumn="0"/>
          <w:cantSplit/>
          <w:tblHeader/>
        </w:trPr>
        <w:tc>
          <w:tcPr>
            <w:tcW w:w="6334" w:type="dxa"/>
            <w:gridSpan w:val="2"/>
          </w:tcPr>
          <w:p w14:paraId="69A0F50A" w14:textId="77777777" w:rsidR="004E22C1" w:rsidRPr="001455DC" w:rsidRDefault="004E22C1" w:rsidP="000D02C0">
            <w:pPr>
              <w:pStyle w:val="Tableheader"/>
            </w:pPr>
            <w:r w:rsidRPr="001455DC">
              <w:t>Description</w:t>
            </w:r>
          </w:p>
        </w:tc>
        <w:tc>
          <w:tcPr>
            <w:tcW w:w="1161" w:type="dxa"/>
          </w:tcPr>
          <w:p w14:paraId="5EE581E2" w14:textId="77777777" w:rsidR="004E22C1" w:rsidRPr="001455DC" w:rsidRDefault="004E22C1" w:rsidP="000D02C0">
            <w:pPr>
              <w:pStyle w:val="Tableheader"/>
            </w:pPr>
            <w:r w:rsidRPr="001455DC">
              <w:t>Symbol</w:t>
            </w:r>
          </w:p>
        </w:tc>
        <w:tc>
          <w:tcPr>
            <w:tcW w:w="2257" w:type="dxa"/>
          </w:tcPr>
          <w:p w14:paraId="25B4A19B" w14:textId="77777777" w:rsidR="004E22C1" w:rsidRPr="001455DC" w:rsidRDefault="004E22C1" w:rsidP="000D02C0">
            <w:pPr>
              <w:pStyle w:val="Tableheader"/>
            </w:pPr>
            <w:r w:rsidRPr="001455DC">
              <w:t>Requirement</w:t>
            </w:r>
          </w:p>
        </w:tc>
      </w:tr>
      <w:tr w:rsidR="000D02C0" w:rsidRPr="001455DC" w14:paraId="742A1BCC" w14:textId="77777777" w:rsidTr="00182974">
        <w:trPr>
          <w:cantSplit/>
        </w:trPr>
        <w:tc>
          <w:tcPr>
            <w:tcW w:w="517" w:type="dxa"/>
            <w:vMerge w:val="restart"/>
            <w:vAlign w:val="center"/>
          </w:tcPr>
          <w:p w14:paraId="63DE529E" w14:textId="77777777" w:rsidR="000D02C0" w:rsidRPr="001455DC" w:rsidRDefault="000D02C0" w:rsidP="000D02C0">
            <w:pPr>
              <w:pStyle w:val="Tablebody"/>
              <w:jc w:val="left"/>
            </w:pPr>
            <w:r w:rsidRPr="001455DC">
              <w:t>1</w:t>
            </w:r>
          </w:p>
        </w:tc>
        <w:tc>
          <w:tcPr>
            <w:tcW w:w="5817" w:type="dxa"/>
            <w:tcBorders>
              <w:bottom w:val="nil"/>
            </w:tcBorders>
          </w:tcPr>
          <w:p w14:paraId="1B3AFF4F" w14:textId="02A50AEF" w:rsidR="000D02C0" w:rsidRPr="009D3012" w:rsidRDefault="000D02C0" w:rsidP="000D02C0">
            <w:pPr>
              <w:pStyle w:val="Tablebody"/>
              <w:jc w:val="left"/>
              <w:rPr>
                <w:lang w:val="en-US"/>
              </w:rPr>
            </w:pPr>
            <w:r w:rsidRPr="009D3012">
              <w:rPr>
                <w:lang w:val="en-US"/>
              </w:rPr>
              <w:t>Minimum amount of vertical reinforcement (each surface):</w:t>
            </w:r>
          </w:p>
        </w:tc>
        <w:tc>
          <w:tcPr>
            <w:tcW w:w="1161" w:type="dxa"/>
            <w:tcBorders>
              <w:bottom w:val="nil"/>
            </w:tcBorders>
          </w:tcPr>
          <w:p w14:paraId="41613DE2" w14:textId="77777777" w:rsidR="000D02C0" w:rsidRPr="001455DC" w:rsidRDefault="000D02C0" w:rsidP="000D02C0">
            <w:pPr>
              <w:pStyle w:val="Tablebody"/>
              <w:jc w:val="left"/>
            </w:pPr>
            <w:r w:rsidRPr="001455DC">
              <w:rPr>
                <w:rStyle w:val="CCMCvariableitalic"/>
              </w:rPr>
              <w:t>A</w:t>
            </w:r>
            <w:r w:rsidRPr="001455DC">
              <w:rPr>
                <w:rStyle w:val="CCMCvariablesubscript"/>
              </w:rPr>
              <w:t>s,min,v</w:t>
            </w:r>
          </w:p>
        </w:tc>
        <w:tc>
          <w:tcPr>
            <w:tcW w:w="2257" w:type="dxa"/>
            <w:tcBorders>
              <w:bottom w:val="nil"/>
            </w:tcBorders>
          </w:tcPr>
          <w:p w14:paraId="5412E6B9" w14:textId="2E299608" w:rsidR="000D02C0" w:rsidRPr="001455DC" w:rsidRDefault="000D02C0" w:rsidP="000D02C0">
            <w:pPr>
              <w:pStyle w:val="Tablebody"/>
              <w:jc w:val="left"/>
            </w:pPr>
          </w:p>
        </w:tc>
      </w:tr>
      <w:tr w:rsidR="000D02C0" w:rsidRPr="001455DC" w14:paraId="6F6CDA57" w14:textId="77777777" w:rsidTr="00182974">
        <w:trPr>
          <w:cantSplit/>
        </w:trPr>
        <w:tc>
          <w:tcPr>
            <w:tcW w:w="517" w:type="dxa"/>
            <w:vMerge/>
            <w:vAlign w:val="center"/>
          </w:tcPr>
          <w:p w14:paraId="4979D24E" w14:textId="77777777" w:rsidR="000D02C0" w:rsidRPr="001455DC" w:rsidRDefault="000D02C0" w:rsidP="000D02C0">
            <w:pPr>
              <w:pStyle w:val="Tablebody"/>
              <w:jc w:val="left"/>
            </w:pPr>
          </w:p>
        </w:tc>
        <w:tc>
          <w:tcPr>
            <w:tcW w:w="5817" w:type="dxa"/>
            <w:tcBorders>
              <w:top w:val="nil"/>
              <w:bottom w:val="nil"/>
            </w:tcBorders>
          </w:tcPr>
          <w:p w14:paraId="6185E0B0" w14:textId="6D102CB4" w:rsidR="000D02C0" w:rsidRPr="009D3012" w:rsidRDefault="000D02C0" w:rsidP="000D02C0">
            <w:pPr>
              <w:pStyle w:val="Tablebody"/>
              <w:keepNext/>
              <w:ind w:left="357" w:hanging="357"/>
              <w:jc w:val="left"/>
              <w:rPr>
                <w:lang w:val="en-US"/>
              </w:rPr>
            </w:pPr>
            <w:r w:rsidRPr="009D3012">
              <w:rPr>
                <w:rFonts w:eastAsiaTheme="minorHAnsi"/>
                <w:lang w:val="en-US"/>
              </w:rPr>
              <w:t>—</w:t>
            </w:r>
            <w:r w:rsidRPr="009D3012">
              <w:rPr>
                <w:rFonts w:eastAsiaTheme="minorHAnsi"/>
                <w:lang w:val="en-US"/>
              </w:rPr>
              <w:tab/>
            </w:r>
            <w:r w:rsidRPr="009D3012">
              <w:rPr>
                <w:szCs w:val="22"/>
                <w:lang w:val="en-US"/>
              </w:rPr>
              <w:t>where</w:t>
            </w:r>
            <w:r w:rsidRPr="009D3012">
              <w:rPr>
                <w:lang w:val="en-US"/>
              </w:rPr>
              <w:t xml:space="preserve"> the member carries in-plane normal and shear stresses and designed/verified by use of 8.5 or Annex G.</w:t>
            </w:r>
          </w:p>
        </w:tc>
        <w:tc>
          <w:tcPr>
            <w:tcW w:w="1161" w:type="dxa"/>
            <w:tcBorders>
              <w:top w:val="nil"/>
              <w:bottom w:val="nil"/>
            </w:tcBorders>
          </w:tcPr>
          <w:p w14:paraId="68099E6C" w14:textId="116FEF4D" w:rsidR="000D02C0" w:rsidRPr="009D3012" w:rsidRDefault="000D02C0" w:rsidP="000D02C0">
            <w:pPr>
              <w:pStyle w:val="Tablebody"/>
              <w:jc w:val="left"/>
              <w:rPr>
                <w:lang w:val="en-US"/>
              </w:rPr>
            </w:pPr>
            <w:r w:rsidRPr="009D3012">
              <w:rPr>
                <w:lang w:val="en-US"/>
              </w:rPr>
              <w:t> </w:t>
            </w:r>
          </w:p>
        </w:tc>
        <w:tc>
          <w:tcPr>
            <w:tcW w:w="2257" w:type="dxa"/>
            <w:tcBorders>
              <w:top w:val="nil"/>
              <w:bottom w:val="nil"/>
            </w:tcBorders>
          </w:tcPr>
          <w:p w14:paraId="540F70F2" w14:textId="3325AB14" w:rsidR="000D02C0" w:rsidRPr="001455DC" w:rsidRDefault="000D02C0" w:rsidP="000D02C0">
            <w:pPr>
              <w:pStyle w:val="Tablebody"/>
              <w:jc w:val="left"/>
            </w:pPr>
            <m:oMathPara>
              <m:oMathParaPr>
                <m:jc m:val="left"/>
              </m:oMathParaPr>
              <m:oMath>
                <m:r>
                  <w:rPr>
                    <w:rFonts w:ascii="Cambria Math" w:hAnsi="Cambria Math"/>
                  </w:rPr>
                  <m:t>0,25</m:t>
                </m:r>
                <m:sSub>
                  <m:sSubPr>
                    <m:ctrlPr>
                      <w:rPr>
                        <w:rFonts w:ascii="Cambria Math" w:hAnsi="Cambria Math"/>
                      </w:rPr>
                    </m:ctrlPr>
                  </m:sSubPr>
                  <m:e>
                    <m:r>
                      <w:rPr>
                        <w:rFonts w:ascii="Cambria Math" w:hAnsi="Cambria Math"/>
                      </w:rPr>
                      <m:t>A</m:t>
                    </m:r>
                  </m:e>
                  <m:sub>
                    <m:r>
                      <w:rPr>
                        <w:rFonts w:ascii="Cambria Math" w:hAnsi="Cambria Math"/>
                      </w:rPr>
                      <m:t>c</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ctm</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yk</m:t>
                        </m:r>
                      </m:sub>
                    </m:sSub>
                  </m:den>
                </m:f>
              </m:oMath>
            </m:oMathPara>
          </w:p>
        </w:tc>
      </w:tr>
      <w:tr w:rsidR="000D02C0" w:rsidRPr="001455DC" w14:paraId="34AE1482" w14:textId="77777777" w:rsidTr="00182974">
        <w:trPr>
          <w:cantSplit/>
        </w:trPr>
        <w:tc>
          <w:tcPr>
            <w:tcW w:w="517" w:type="dxa"/>
            <w:vMerge/>
            <w:vAlign w:val="center"/>
          </w:tcPr>
          <w:p w14:paraId="2D1AA354" w14:textId="77777777" w:rsidR="000D02C0" w:rsidRPr="001455DC" w:rsidRDefault="000D02C0" w:rsidP="000D02C0">
            <w:pPr>
              <w:pStyle w:val="Tablebody"/>
              <w:jc w:val="left"/>
            </w:pPr>
          </w:p>
        </w:tc>
        <w:tc>
          <w:tcPr>
            <w:tcW w:w="5817" w:type="dxa"/>
            <w:tcBorders>
              <w:top w:val="nil"/>
            </w:tcBorders>
          </w:tcPr>
          <w:p w14:paraId="71F88868" w14:textId="63F97F9F" w:rsidR="000D02C0" w:rsidRPr="009D3012" w:rsidRDefault="000D02C0" w:rsidP="000D02C0">
            <w:pPr>
              <w:pStyle w:val="Tablebody"/>
              <w:keepNext/>
              <w:ind w:left="357" w:hanging="357"/>
              <w:jc w:val="left"/>
              <w:rPr>
                <w:lang w:val="en-US"/>
              </w:rPr>
            </w:pPr>
            <w:r w:rsidRPr="009D3012">
              <w:rPr>
                <w:rFonts w:eastAsiaTheme="minorHAnsi"/>
                <w:lang w:val="en-US"/>
              </w:rPr>
              <w:t>—</w:t>
            </w:r>
            <w:r w:rsidRPr="009D3012">
              <w:rPr>
                <w:rFonts w:eastAsiaTheme="minorHAnsi"/>
                <w:lang w:val="en-US"/>
              </w:rPr>
              <w:tab/>
            </w:r>
            <w:r w:rsidRPr="009D3012">
              <w:rPr>
                <w:lang w:val="en-US"/>
              </w:rPr>
              <w:t>where the member is only loaded by vertical in-plane compression and out of plane bending</w:t>
            </w:r>
          </w:p>
        </w:tc>
        <w:tc>
          <w:tcPr>
            <w:tcW w:w="1161" w:type="dxa"/>
            <w:tcBorders>
              <w:top w:val="nil"/>
            </w:tcBorders>
          </w:tcPr>
          <w:p w14:paraId="6695F524" w14:textId="2426632E" w:rsidR="000D02C0" w:rsidRPr="009D3012" w:rsidRDefault="000D02C0" w:rsidP="000D02C0">
            <w:pPr>
              <w:pStyle w:val="Tablebody"/>
              <w:jc w:val="left"/>
              <w:rPr>
                <w:lang w:val="en-US"/>
              </w:rPr>
            </w:pPr>
            <w:r w:rsidRPr="009D3012">
              <w:rPr>
                <w:lang w:val="en-US"/>
              </w:rPr>
              <w:t> </w:t>
            </w:r>
          </w:p>
        </w:tc>
        <w:tc>
          <w:tcPr>
            <w:tcW w:w="2257" w:type="dxa"/>
            <w:tcBorders>
              <w:top w:val="nil"/>
            </w:tcBorders>
          </w:tcPr>
          <w:p w14:paraId="21EA4D8E" w14:textId="0C6D7252" w:rsidR="000D02C0" w:rsidRPr="001455DC" w:rsidRDefault="000D02C0" w:rsidP="000D02C0">
            <w:pPr>
              <w:pStyle w:val="Tablebody"/>
              <w:jc w:val="left"/>
            </w:pPr>
            <w:r w:rsidRPr="001455DC">
              <w:t>0,001</w:t>
            </w:r>
            <w:r w:rsidRPr="001455DC">
              <w:rPr>
                <w:rStyle w:val="CCMCvariableitalic"/>
              </w:rPr>
              <w:t>A</w:t>
            </w:r>
            <w:r w:rsidRPr="001455DC">
              <w:rPr>
                <w:rStyle w:val="CCMCvariablesubscript"/>
              </w:rPr>
              <w:t>c</w:t>
            </w:r>
          </w:p>
        </w:tc>
      </w:tr>
      <w:tr w:rsidR="000D02C0" w:rsidRPr="001455DC" w14:paraId="035A85A1" w14:textId="77777777" w:rsidTr="00182974">
        <w:trPr>
          <w:cantSplit/>
        </w:trPr>
        <w:tc>
          <w:tcPr>
            <w:tcW w:w="517" w:type="dxa"/>
            <w:vMerge w:val="restart"/>
            <w:vAlign w:val="center"/>
          </w:tcPr>
          <w:p w14:paraId="0E796416" w14:textId="77777777" w:rsidR="000D02C0" w:rsidRPr="001455DC" w:rsidRDefault="000D02C0" w:rsidP="000D02C0">
            <w:pPr>
              <w:pStyle w:val="Tablebody"/>
              <w:jc w:val="left"/>
            </w:pPr>
            <w:r w:rsidRPr="001455DC">
              <w:t>2</w:t>
            </w:r>
          </w:p>
        </w:tc>
        <w:tc>
          <w:tcPr>
            <w:tcW w:w="5817" w:type="dxa"/>
            <w:tcBorders>
              <w:bottom w:val="nil"/>
            </w:tcBorders>
          </w:tcPr>
          <w:p w14:paraId="618A39AA" w14:textId="3354C842" w:rsidR="000D02C0" w:rsidRPr="009D3012" w:rsidRDefault="000D02C0" w:rsidP="000D02C0">
            <w:pPr>
              <w:pStyle w:val="Tablebody"/>
              <w:jc w:val="left"/>
              <w:rPr>
                <w:lang w:val="en-US"/>
              </w:rPr>
            </w:pPr>
            <w:r w:rsidRPr="009D3012">
              <w:rPr>
                <w:lang w:val="en-US"/>
              </w:rPr>
              <w:t>Minimum amount of horizontal reinforcement (each face):</w:t>
            </w:r>
          </w:p>
        </w:tc>
        <w:tc>
          <w:tcPr>
            <w:tcW w:w="1161" w:type="dxa"/>
            <w:tcBorders>
              <w:bottom w:val="nil"/>
            </w:tcBorders>
          </w:tcPr>
          <w:p w14:paraId="0ED311BE" w14:textId="77777777" w:rsidR="000D02C0" w:rsidRPr="001455DC" w:rsidRDefault="000D02C0" w:rsidP="000D02C0">
            <w:pPr>
              <w:pStyle w:val="Tablebody"/>
              <w:jc w:val="left"/>
            </w:pPr>
            <w:r w:rsidRPr="001455DC">
              <w:rPr>
                <w:rStyle w:val="CCMCvariableitalic"/>
              </w:rPr>
              <w:t>A</w:t>
            </w:r>
            <w:r w:rsidRPr="001455DC">
              <w:rPr>
                <w:rStyle w:val="CCMCvariablesubscript"/>
              </w:rPr>
              <w:t>s,min,h</w:t>
            </w:r>
          </w:p>
        </w:tc>
        <w:tc>
          <w:tcPr>
            <w:tcW w:w="2257" w:type="dxa"/>
            <w:tcBorders>
              <w:bottom w:val="nil"/>
            </w:tcBorders>
          </w:tcPr>
          <w:p w14:paraId="537D2753" w14:textId="4720F867" w:rsidR="000D02C0" w:rsidRPr="001455DC" w:rsidRDefault="000D02C0" w:rsidP="000D02C0">
            <w:pPr>
              <w:pStyle w:val="Tablebody"/>
              <w:jc w:val="left"/>
              <w:rPr>
                <w:bCs/>
                <w:lang w:eastAsia="de-DE"/>
              </w:rPr>
            </w:pPr>
            <w:r w:rsidRPr="001455DC">
              <w:rPr>
                <w:b/>
                <w:bCs/>
                <w:lang w:eastAsia="de-DE"/>
              </w:rPr>
              <w:t> </w:t>
            </w:r>
          </w:p>
        </w:tc>
      </w:tr>
      <w:tr w:rsidR="000D02C0" w:rsidRPr="001455DC" w14:paraId="64A070C7" w14:textId="77777777" w:rsidTr="00182974">
        <w:trPr>
          <w:cantSplit/>
        </w:trPr>
        <w:tc>
          <w:tcPr>
            <w:tcW w:w="517" w:type="dxa"/>
            <w:vMerge/>
            <w:vAlign w:val="center"/>
          </w:tcPr>
          <w:p w14:paraId="7F1D2A13" w14:textId="77777777" w:rsidR="000D02C0" w:rsidRPr="001455DC" w:rsidRDefault="000D02C0" w:rsidP="000D02C0">
            <w:pPr>
              <w:pStyle w:val="Tablebody"/>
              <w:jc w:val="left"/>
            </w:pPr>
          </w:p>
        </w:tc>
        <w:tc>
          <w:tcPr>
            <w:tcW w:w="5817" w:type="dxa"/>
            <w:tcBorders>
              <w:top w:val="nil"/>
              <w:bottom w:val="nil"/>
            </w:tcBorders>
          </w:tcPr>
          <w:p w14:paraId="1CE41F74" w14:textId="208FF72B" w:rsidR="000D02C0" w:rsidRPr="009D3012" w:rsidRDefault="000D02C0" w:rsidP="000D02C0">
            <w:pPr>
              <w:pStyle w:val="Tablebody"/>
              <w:keepNext/>
              <w:ind w:left="357" w:hanging="357"/>
              <w:jc w:val="left"/>
              <w:rPr>
                <w:lang w:val="en-US"/>
              </w:rPr>
            </w:pPr>
            <w:r w:rsidRPr="009D3012">
              <w:rPr>
                <w:lang w:val="en-US"/>
              </w:rPr>
              <w:t>—</w:t>
            </w:r>
            <w:r w:rsidRPr="009D3012">
              <w:rPr>
                <w:lang w:val="en-US"/>
              </w:rPr>
              <w:tab/>
            </w:r>
            <w:r w:rsidRPr="009D3012">
              <w:rPr>
                <w:szCs w:val="22"/>
                <w:lang w:val="en-US"/>
              </w:rPr>
              <w:t>where</w:t>
            </w:r>
            <w:r w:rsidRPr="009D3012">
              <w:rPr>
                <w:lang w:val="en-US"/>
              </w:rPr>
              <w:t xml:space="preserve"> the member carries in-plane normal and shear stresses and designed/verified by use of 8.5 or Annex G.</w:t>
            </w:r>
          </w:p>
        </w:tc>
        <w:tc>
          <w:tcPr>
            <w:tcW w:w="1161" w:type="dxa"/>
            <w:tcBorders>
              <w:top w:val="nil"/>
              <w:bottom w:val="nil"/>
            </w:tcBorders>
          </w:tcPr>
          <w:p w14:paraId="7697650D" w14:textId="6064082A" w:rsidR="000D02C0" w:rsidRPr="009D3012" w:rsidRDefault="000D02C0" w:rsidP="000D02C0">
            <w:pPr>
              <w:pStyle w:val="Tablebody"/>
              <w:jc w:val="left"/>
              <w:rPr>
                <w:lang w:val="en-US"/>
              </w:rPr>
            </w:pPr>
            <w:r w:rsidRPr="009D3012">
              <w:rPr>
                <w:lang w:val="en-US"/>
              </w:rPr>
              <w:t> </w:t>
            </w:r>
          </w:p>
        </w:tc>
        <w:tc>
          <w:tcPr>
            <w:tcW w:w="2257" w:type="dxa"/>
            <w:tcBorders>
              <w:top w:val="nil"/>
              <w:bottom w:val="nil"/>
            </w:tcBorders>
          </w:tcPr>
          <w:p w14:paraId="290CA19B" w14:textId="69501909" w:rsidR="000D02C0" w:rsidRPr="001455DC" w:rsidRDefault="000D02C0" w:rsidP="000D02C0">
            <w:pPr>
              <w:pStyle w:val="Tablebody"/>
              <w:jc w:val="left"/>
            </w:pPr>
            <m:oMathPara>
              <m:oMathParaPr>
                <m:jc m:val="left"/>
              </m:oMathParaPr>
              <m:oMath>
                <m:r>
                  <w:rPr>
                    <w:rFonts w:ascii="Cambria Math" w:hAnsi="Cambria Math"/>
                  </w:rPr>
                  <m:t>0,25</m:t>
                </m:r>
                <m:sSub>
                  <m:sSubPr>
                    <m:ctrlPr>
                      <w:rPr>
                        <w:rFonts w:ascii="Cambria Math" w:hAnsi="Cambria Math"/>
                      </w:rPr>
                    </m:ctrlPr>
                  </m:sSubPr>
                  <m:e>
                    <m:r>
                      <w:rPr>
                        <w:rFonts w:ascii="Cambria Math" w:hAnsi="Cambria Math"/>
                      </w:rPr>
                      <m:t>A</m:t>
                    </m:r>
                  </m:e>
                  <m:sub>
                    <m:r>
                      <w:rPr>
                        <w:rFonts w:ascii="Cambria Math" w:hAnsi="Cambria Math"/>
                      </w:rPr>
                      <m:t>c</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ctm</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yk</m:t>
                        </m:r>
                      </m:sub>
                    </m:sSub>
                  </m:den>
                </m:f>
              </m:oMath>
            </m:oMathPara>
          </w:p>
        </w:tc>
      </w:tr>
      <w:tr w:rsidR="000D02C0" w:rsidRPr="001455DC" w14:paraId="59B57FEE" w14:textId="77777777" w:rsidTr="00182974">
        <w:trPr>
          <w:cantSplit/>
        </w:trPr>
        <w:tc>
          <w:tcPr>
            <w:tcW w:w="517" w:type="dxa"/>
            <w:vMerge/>
            <w:vAlign w:val="center"/>
          </w:tcPr>
          <w:p w14:paraId="37EE904A" w14:textId="77777777" w:rsidR="000D02C0" w:rsidRPr="001455DC" w:rsidRDefault="000D02C0" w:rsidP="000D02C0">
            <w:pPr>
              <w:pStyle w:val="Tablebody"/>
              <w:jc w:val="left"/>
            </w:pPr>
          </w:p>
        </w:tc>
        <w:tc>
          <w:tcPr>
            <w:tcW w:w="5817" w:type="dxa"/>
            <w:tcBorders>
              <w:top w:val="nil"/>
            </w:tcBorders>
          </w:tcPr>
          <w:p w14:paraId="562243F1" w14:textId="36774DBD" w:rsidR="000D02C0" w:rsidRPr="009D3012" w:rsidRDefault="000D02C0" w:rsidP="000D02C0">
            <w:pPr>
              <w:pStyle w:val="Tablebody"/>
              <w:keepNext/>
              <w:ind w:left="357" w:hanging="357"/>
              <w:jc w:val="left"/>
              <w:rPr>
                <w:lang w:val="en-US"/>
              </w:rPr>
            </w:pPr>
            <w:r w:rsidRPr="009D3012">
              <w:rPr>
                <w:lang w:val="en-US"/>
              </w:rPr>
              <w:t>—</w:t>
            </w:r>
            <w:r w:rsidRPr="009D3012">
              <w:rPr>
                <w:lang w:val="en-US"/>
              </w:rPr>
              <w:tab/>
            </w:r>
            <w:r w:rsidRPr="009D3012">
              <w:rPr>
                <w:szCs w:val="22"/>
                <w:lang w:val="en-US"/>
              </w:rPr>
              <w:t>where</w:t>
            </w:r>
            <w:r w:rsidRPr="009D3012">
              <w:rPr>
                <w:lang w:val="en-US"/>
              </w:rPr>
              <w:t xml:space="preserve"> the member is only loaded by vertical in-plane compression and out of plane bending.</w:t>
            </w:r>
          </w:p>
        </w:tc>
        <w:tc>
          <w:tcPr>
            <w:tcW w:w="1161" w:type="dxa"/>
            <w:tcBorders>
              <w:top w:val="nil"/>
            </w:tcBorders>
          </w:tcPr>
          <w:p w14:paraId="7B956551" w14:textId="6443DA15" w:rsidR="000D02C0" w:rsidRPr="009D3012" w:rsidRDefault="000D02C0" w:rsidP="000D02C0">
            <w:pPr>
              <w:pStyle w:val="Tablebody"/>
              <w:jc w:val="left"/>
              <w:rPr>
                <w:lang w:val="en-US"/>
              </w:rPr>
            </w:pPr>
            <w:r w:rsidRPr="009D3012">
              <w:rPr>
                <w:lang w:val="en-US"/>
              </w:rPr>
              <w:t> </w:t>
            </w:r>
          </w:p>
        </w:tc>
        <w:tc>
          <w:tcPr>
            <w:tcW w:w="2257" w:type="dxa"/>
            <w:tcBorders>
              <w:top w:val="nil"/>
            </w:tcBorders>
          </w:tcPr>
          <w:p w14:paraId="2D5CBC6D" w14:textId="3717F74C" w:rsidR="000D02C0" w:rsidRPr="001455DC" w:rsidRDefault="000D02C0" w:rsidP="000D02C0">
            <w:pPr>
              <w:pStyle w:val="Tablebody"/>
              <w:jc w:val="left"/>
            </w:pPr>
            <w:r w:rsidRPr="001455DC">
              <w:t>0,25</w:t>
            </w:r>
            <w:r w:rsidRPr="001455DC">
              <w:rPr>
                <w:rStyle w:val="CCMCvariableitalic"/>
              </w:rPr>
              <w:t>A</w:t>
            </w:r>
            <w:r w:rsidRPr="001455DC">
              <w:rPr>
                <w:rStyle w:val="CCMCvariablesubscript"/>
              </w:rPr>
              <w:t>s,v</w:t>
            </w:r>
          </w:p>
        </w:tc>
      </w:tr>
      <w:tr w:rsidR="004E22C1" w:rsidRPr="001455DC" w14:paraId="3156D162" w14:textId="77777777" w:rsidTr="00182974">
        <w:trPr>
          <w:cantSplit/>
        </w:trPr>
        <w:tc>
          <w:tcPr>
            <w:tcW w:w="517" w:type="dxa"/>
            <w:vAlign w:val="center"/>
          </w:tcPr>
          <w:p w14:paraId="42C5293C" w14:textId="77777777" w:rsidR="004E22C1" w:rsidRPr="001455DC" w:rsidRDefault="004E22C1" w:rsidP="000D02C0">
            <w:pPr>
              <w:pStyle w:val="Tablebody"/>
              <w:jc w:val="left"/>
            </w:pPr>
            <w:r w:rsidRPr="001455DC">
              <w:t>3</w:t>
            </w:r>
          </w:p>
        </w:tc>
        <w:tc>
          <w:tcPr>
            <w:tcW w:w="5817" w:type="dxa"/>
          </w:tcPr>
          <w:p w14:paraId="20CBC208" w14:textId="68865B46" w:rsidR="004E22C1" w:rsidRPr="009D3012" w:rsidRDefault="004E22C1" w:rsidP="000D02C0">
            <w:pPr>
              <w:pStyle w:val="Tablebody"/>
              <w:jc w:val="left"/>
              <w:rPr>
                <w:u w:val="single"/>
                <w:lang w:val="en-US"/>
              </w:rPr>
            </w:pPr>
            <w:r w:rsidRPr="009D3012">
              <w:rPr>
                <w:lang w:val="en-US"/>
              </w:rPr>
              <w:t>Maximum spacing of vertical reinforcement</w:t>
            </w:r>
          </w:p>
        </w:tc>
        <w:tc>
          <w:tcPr>
            <w:tcW w:w="1161" w:type="dxa"/>
          </w:tcPr>
          <w:p w14:paraId="43DF8193" w14:textId="67DF08BD" w:rsidR="004E22C1" w:rsidRPr="009D3012" w:rsidRDefault="000D02C0" w:rsidP="000D02C0">
            <w:pPr>
              <w:pStyle w:val="Tablebody"/>
              <w:jc w:val="left"/>
              <w:rPr>
                <w:lang w:val="en-US"/>
              </w:rPr>
            </w:pPr>
            <w:r w:rsidRPr="009D3012">
              <w:rPr>
                <w:lang w:val="en-US"/>
              </w:rPr>
              <w:t> </w:t>
            </w:r>
          </w:p>
        </w:tc>
        <w:tc>
          <w:tcPr>
            <w:tcW w:w="2257" w:type="dxa"/>
          </w:tcPr>
          <w:p w14:paraId="707AC7FB" w14:textId="4C9114BC" w:rsidR="004E22C1" w:rsidRPr="001455DC" w:rsidRDefault="004E22C1">
            <w:pPr>
              <w:pStyle w:val="Tablebody"/>
              <w:jc w:val="left"/>
            </w:pPr>
            <w:r w:rsidRPr="001455DC">
              <w:t>min{3</w:t>
            </w:r>
            <w:r w:rsidRPr="001455DC">
              <w:rPr>
                <w:rStyle w:val="CCMCvariableitalic"/>
              </w:rPr>
              <w:t>h</w:t>
            </w:r>
            <w:r w:rsidRPr="001455DC">
              <w:rPr>
                <w:rStyle w:val="CCMCvariablesuperscript"/>
              </w:rPr>
              <w:t>a</w:t>
            </w:r>
            <w:r w:rsidRPr="001455DC">
              <w:t>; 400 mm}</w:t>
            </w:r>
          </w:p>
        </w:tc>
      </w:tr>
      <w:tr w:rsidR="004E22C1" w:rsidRPr="001455DC" w14:paraId="21219062" w14:textId="77777777" w:rsidTr="00182974">
        <w:trPr>
          <w:cantSplit/>
        </w:trPr>
        <w:tc>
          <w:tcPr>
            <w:tcW w:w="517" w:type="dxa"/>
            <w:vAlign w:val="center"/>
          </w:tcPr>
          <w:p w14:paraId="6AAB7756" w14:textId="77777777" w:rsidR="004E22C1" w:rsidRPr="001455DC" w:rsidRDefault="004E22C1" w:rsidP="000D02C0">
            <w:pPr>
              <w:pStyle w:val="Tablebody"/>
              <w:jc w:val="left"/>
            </w:pPr>
            <w:r w:rsidRPr="001455DC">
              <w:t>4</w:t>
            </w:r>
          </w:p>
        </w:tc>
        <w:tc>
          <w:tcPr>
            <w:tcW w:w="5817" w:type="dxa"/>
          </w:tcPr>
          <w:p w14:paraId="4F0E1D2C" w14:textId="77777777" w:rsidR="004E22C1" w:rsidRPr="009D3012" w:rsidRDefault="004E22C1" w:rsidP="000D02C0">
            <w:pPr>
              <w:pStyle w:val="Tablebody"/>
              <w:jc w:val="left"/>
              <w:rPr>
                <w:lang w:val="en-US"/>
              </w:rPr>
            </w:pPr>
            <w:r w:rsidRPr="009D3012">
              <w:rPr>
                <w:lang w:val="en-US"/>
              </w:rPr>
              <w:t>Maximum spacing of horizontal reinforcement</w:t>
            </w:r>
          </w:p>
        </w:tc>
        <w:tc>
          <w:tcPr>
            <w:tcW w:w="1161" w:type="dxa"/>
          </w:tcPr>
          <w:p w14:paraId="6B81EF48" w14:textId="71997DEB" w:rsidR="004E22C1" w:rsidRPr="009D3012" w:rsidRDefault="000D02C0" w:rsidP="000D02C0">
            <w:pPr>
              <w:pStyle w:val="Tablebody"/>
              <w:jc w:val="left"/>
              <w:rPr>
                <w:lang w:val="en-US"/>
              </w:rPr>
            </w:pPr>
            <w:r w:rsidRPr="009D3012">
              <w:rPr>
                <w:lang w:val="en-US"/>
              </w:rPr>
              <w:t> </w:t>
            </w:r>
          </w:p>
        </w:tc>
        <w:tc>
          <w:tcPr>
            <w:tcW w:w="2257" w:type="dxa"/>
          </w:tcPr>
          <w:p w14:paraId="72C5963D" w14:textId="77777777" w:rsidR="004E22C1" w:rsidRPr="001455DC" w:rsidRDefault="004E22C1" w:rsidP="000D02C0">
            <w:pPr>
              <w:pStyle w:val="Tablebody"/>
              <w:jc w:val="left"/>
            </w:pPr>
            <w:r w:rsidRPr="001455DC">
              <w:t>400 mm</w:t>
            </w:r>
          </w:p>
        </w:tc>
      </w:tr>
      <w:tr w:rsidR="004E22C1" w:rsidRPr="001455DC" w14:paraId="5BB3AEED" w14:textId="77777777" w:rsidTr="00182974">
        <w:trPr>
          <w:cantSplit/>
        </w:trPr>
        <w:tc>
          <w:tcPr>
            <w:tcW w:w="517" w:type="dxa"/>
            <w:vAlign w:val="center"/>
          </w:tcPr>
          <w:p w14:paraId="1FACBA93" w14:textId="77777777" w:rsidR="004E22C1" w:rsidRPr="001455DC" w:rsidRDefault="004E22C1" w:rsidP="000D02C0">
            <w:pPr>
              <w:pStyle w:val="Tablebody"/>
              <w:jc w:val="left"/>
            </w:pPr>
            <w:r w:rsidRPr="001455DC">
              <w:t>5</w:t>
            </w:r>
          </w:p>
        </w:tc>
        <w:tc>
          <w:tcPr>
            <w:tcW w:w="5817" w:type="dxa"/>
          </w:tcPr>
          <w:p w14:paraId="407E4B01" w14:textId="5EF0AF66" w:rsidR="004E22C1" w:rsidRPr="009D3012" w:rsidRDefault="004E22C1" w:rsidP="000D02C0">
            <w:pPr>
              <w:pStyle w:val="Tablebody"/>
              <w:jc w:val="left"/>
              <w:rPr>
                <w:lang w:val="en-US"/>
              </w:rPr>
            </w:pPr>
            <w:r w:rsidRPr="009D3012">
              <w:rPr>
                <w:lang w:val="en-US"/>
              </w:rPr>
              <w:t xml:space="preserve">Maximum spacing of orthogonal-to-the-surface reinforcement where </w:t>
            </w:r>
            <w:r w:rsidRPr="009D3012">
              <w:rPr>
                <w:rStyle w:val="CCMCvariableitalic"/>
                <w:lang w:val="en-US"/>
              </w:rPr>
              <w:t>A</w:t>
            </w:r>
            <w:r w:rsidRPr="009D3012">
              <w:rPr>
                <w:rStyle w:val="CCMCvariablesubscript"/>
                <w:lang w:val="en-US"/>
              </w:rPr>
              <w:t>s,v</w:t>
            </w:r>
            <w:r w:rsidRPr="009D3012">
              <w:rPr>
                <w:lang w:val="en-US"/>
              </w:rPr>
              <w:t xml:space="preserve"> exceeds 0,02</w:t>
            </w:r>
            <w:r w:rsidRPr="009D3012">
              <w:rPr>
                <w:rStyle w:val="CCMCvariableitalic"/>
                <w:lang w:val="en-US"/>
              </w:rPr>
              <w:t>A</w:t>
            </w:r>
            <w:r w:rsidRPr="009D3012">
              <w:rPr>
                <w:rStyle w:val="CCMCvariablesubscript"/>
                <w:lang w:val="en-US"/>
              </w:rPr>
              <w:t>c</w:t>
            </w:r>
            <w:r w:rsidRPr="009D3012">
              <w:rPr>
                <w:lang w:val="en-US"/>
              </w:rPr>
              <w:t xml:space="preserve"> and is utilised in compression (end region is taken as </w:t>
            </w:r>
            <w:r w:rsidR="00650035" w:rsidRPr="009D3012">
              <w:rPr>
                <w:rFonts w:ascii="Cambria Math" w:hAnsi="Cambria Math"/>
                <w:lang w:val="en-US"/>
              </w:rPr>
              <w:t>≥</w:t>
            </w:r>
            <w:r w:rsidR="00073FC6" w:rsidRPr="009D3012">
              <w:rPr>
                <w:lang w:val="en-US"/>
              </w:rPr>
              <w:t> </w:t>
            </w:r>
            <w:r w:rsidRPr="009D3012">
              <w:rPr>
                <w:lang w:val="en-US"/>
              </w:rPr>
              <w:t>4</w:t>
            </w:r>
            <w:r w:rsidRPr="009D3012">
              <w:rPr>
                <w:rStyle w:val="CCMCvariableitalic"/>
                <w:lang w:val="en-US"/>
              </w:rPr>
              <w:t>h</w:t>
            </w:r>
            <w:r w:rsidRPr="009D3012">
              <w:rPr>
                <w:lang w:val="en-US"/>
              </w:rPr>
              <w:t xml:space="preserve"> </w:t>
            </w:r>
            <w:r w:rsidRPr="009D3012">
              <w:rPr>
                <w:rStyle w:val="CCMCvariablesuperscript"/>
                <w:lang w:val="en-US"/>
              </w:rPr>
              <w:t>a</w:t>
            </w:r>
            <w:r w:rsidRPr="009D3012">
              <w:rPr>
                <w:lang w:val="en-US"/>
              </w:rPr>
              <w:t>)</w:t>
            </w:r>
          </w:p>
        </w:tc>
        <w:tc>
          <w:tcPr>
            <w:tcW w:w="1161" w:type="dxa"/>
          </w:tcPr>
          <w:p w14:paraId="481048A5" w14:textId="03F11D04" w:rsidR="004E22C1" w:rsidRPr="009D3012" w:rsidRDefault="000D02C0" w:rsidP="000D02C0">
            <w:pPr>
              <w:pStyle w:val="Tablebody"/>
              <w:jc w:val="left"/>
              <w:rPr>
                <w:lang w:val="en-US"/>
              </w:rPr>
            </w:pPr>
            <w:r w:rsidRPr="009D3012">
              <w:rPr>
                <w:lang w:val="en-US"/>
              </w:rPr>
              <w:t> </w:t>
            </w:r>
          </w:p>
        </w:tc>
        <w:tc>
          <w:tcPr>
            <w:tcW w:w="2257" w:type="dxa"/>
          </w:tcPr>
          <w:p w14:paraId="33BFAF45" w14:textId="3230C18D" w:rsidR="004E22C1" w:rsidRPr="001455DC" w:rsidRDefault="004E22C1" w:rsidP="000D02C0">
            <w:pPr>
              <w:pStyle w:val="Tablebody"/>
              <w:jc w:val="left"/>
              <w:rPr>
                <w:b/>
                <w:bCs/>
                <w:lang w:eastAsia="de-DE"/>
              </w:rPr>
            </w:pPr>
            <w:r w:rsidRPr="001455DC">
              <w:t>see 12.6.</w:t>
            </w:r>
          </w:p>
        </w:tc>
      </w:tr>
      <w:tr w:rsidR="004E22C1" w:rsidRPr="001455DC" w14:paraId="22AFD4A6" w14:textId="77777777" w:rsidTr="00182974">
        <w:trPr>
          <w:cnfStyle w:val="010000000000" w:firstRow="0" w:lastRow="1" w:firstColumn="0" w:lastColumn="0" w:oddVBand="0" w:evenVBand="0" w:oddHBand="0" w:evenHBand="0" w:firstRowFirstColumn="0" w:firstRowLastColumn="0" w:lastRowFirstColumn="0" w:lastRowLastColumn="0"/>
          <w:cantSplit/>
        </w:trPr>
        <w:tc>
          <w:tcPr>
            <w:tcW w:w="9752" w:type="dxa"/>
            <w:gridSpan w:val="4"/>
          </w:tcPr>
          <w:p w14:paraId="174A912B" w14:textId="68F39050" w:rsidR="004E22C1" w:rsidRPr="009D3012" w:rsidRDefault="004E22C1" w:rsidP="000D02C0">
            <w:pPr>
              <w:pStyle w:val="Tablefooter"/>
              <w:rPr>
                <w:lang w:val="en-US"/>
              </w:rPr>
            </w:pPr>
            <w:r w:rsidRPr="009D3012">
              <w:rPr>
                <w:rStyle w:val="CCMCvariablesuperscript"/>
                <w:lang w:val="en-US"/>
              </w:rPr>
              <w:t>a</w:t>
            </w:r>
            <w:r w:rsidR="00182974" w:rsidRPr="009D3012">
              <w:rPr>
                <w:lang w:val="en-US"/>
              </w:rPr>
              <w:tab/>
            </w:r>
            <w:r w:rsidRPr="009D3012">
              <w:rPr>
                <w:rStyle w:val="CCMCvariableitalic"/>
                <w:lang w:val="en-US"/>
              </w:rPr>
              <w:t>h</w:t>
            </w:r>
            <w:r w:rsidRPr="009D3012">
              <w:rPr>
                <w:lang w:val="en-US"/>
              </w:rPr>
              <w:t xml:space="preserve"> – thickness of wall</w:t>
            </w:r>
          </w:p>
        </w:tc>
      </w:tr>
    </w:tbl>
    <w:p w14:paraId="4E7D965B" w14:textId="77777777" w:rsidR="004E22C1" w:rsidRPr="001455DC" w:rsidRDefault="004E22C1" w:rsidP="00182974">
      <w:pPr>
        <w:pStyle w:val="a7"/>
      </w:pPr>
    </w:p>
    <w:p w14:paraId="42FE07C9" w14:textId="1398C0D9" w:rsidR="004E22C1" w:rsidRPr="001455DC" w:rsidRDefault="004E22C1" w:rsidP="00182974">
      <w:pPr>
        <w:pStyle w:val="a7"/>
      </w:pPr>
      <w:r w:rsidRPr="001455DC">
        <w:t>(3)</w:t>
      </w:r>
      <w:r w:rsidRPr="001455DC">
        <w:tab/>
        <w:t>Where the longitudinal reinforcement is utilized in compression at ULS and is placed outside the horizontal reinforcement a minimum of number of stirrups with 4</w:t>
      </w:r>
      <w:r w:rsidR="00E844D2" w:rsidRPr="001455DC">
        <w:t> </w:t>
      </w:r>
      <w:r w:rsidRPr="001455DC">
        <w:t>legs per m</w:t>
      </w:r>
      <w:r w:rsidRPr="001455DC">
        <w:rPr>
          <w:rStyle w:val="CCMCvariablesuperscript"/>
        </w:rPr>
        <w:t>2</w:t>
      </w:r>
      <w:r w:rsidRPr="001455DC">
        <w:t xml:space="preserve"> of wall area, perpendicular to the surface, should be provided unless welded wire mesh or bars of diameter </w:t>
      </w:r>
      <w:r w:rsidRPr="001455DC">
        <w:rPr>
          <w:rStyle w:val="CCMCvariableitalic"/>
        </w:rPr>
        <w:t>ϕ</w:t>
      </w:r>
      <w:r w:rsidR="00E844D2" w:rsidRPr="001455DC">
        <w:t> </w:t>
      </w:r>
      <w:r w:rsidR="00650035" w:rsidRPr="001455DC">
        <w:rPr>
          <w:rFonts w:ascii="Cambria Math" w:hAnsi="Cambria Math"/>
        </w:rPr>
        <w:t>≤</w:t>
      </w:r>
      <w:r w:rsidRPr="001455DC">
        <w:t> 16 mm are used with concrete cover larger than 2</w:t>
      </w:r>
      <w:r w:rsidRPr="001455DC">
        <w:rPr>
          <w:rStyle w:val="CCMCvariableitalic"/>
        </w:rPr>
        <w:t>ϕ</w:t>
      </w:r>
      <w:r w:rsidRPr="001455DC">
        <w:t>.</w:t>
      </w:r>
    </w:p>
    <w:p w14:paraId="267D84FC" w14:textId="76AB69D9" w:rsidR="004E22C1" w:rsidRPr="001455DC" w:rsidRDefault="004E22C1" w:rsidP="006D682B">
      <w:pPr>
        <w:pStyle w:val="21"/>
      </w:pPr>
      <w:bookmarkStart w:id="960" w:name="_Toc52820069"/>
      <w:bookmarkStart w:id="961" w:name="_Toc54337474"/>
      <w:bookmarkStart w:id="962" w:name="_Toc54338125"/>
      <w:bookmarkStart w:id="963" w:name="_Toc67565469"/>
      <w:r w:rsidRPr="001455DC">
        <w:t>Foundations</w:t>
      </w:r>
      <w:bookmarkEnd w:id="960"/>
      <w:bookmarkEnd w:id="961"/>
      <w:bookmarkEnd w:id="962"/>
      <w:bookmarkEnd w:id="963"/>
    </w:p>
    <w:p w14:paraId="38637EA8" w14:textId="77777777" w:rsidR="004E22C1" w:rsidRPr="001455DC" w:rsidRDefault="004E22C1" w:rsidP="00BB0FE4">
      <w:pPr>
        <w:pStyle w:val="a7"/>
      </w:pPr>
      <w:r w:rsidRPr="001455DC">
        <w:t>(1)</w:t>
      </w:r>
      <w:r w:rsidRPr="001455DC">
        <w:tab/>
        <w:t>Foundations shall be detailed with due regard to possible deviations in geometry and position of piles, supporting bedrock or soil.</w:t>
      </w:r>
    </w:p>
    <w:p w14:paraId="5BFEB4F7" w14:textId="77777777" w:rsidR="004E22C1" w:rsidRPr="001455DC" w:rsidRDefault="004E22C1" w:rsidP="00E844D2">
      <w:pPr>
        <w:pStyle w:val="a7"/>
        <w:keepNext/>
      </w:pPr>
      <w:r w:rsidRPr="001455DC">
        <w:t>(2)</w:t>
      </w:r>
      <w:r w:rsidRPr="001455DC">
        <w:tab/>
        <w:t>The main tensile reinforcement in pile caps may be designed using strut and tie models according to 8.5 or it may also be designed for bending and shear by considering the foundation as a slab if the main reinforcement near to piles is:</w:t>
      </w:r>
    </w:p>
    <w:p w14:paraId="557161F0" w14:textId="4B5919A3" w:rsidR="004E22C1" w:rsidRPr="001455DC" w:rsidRDefault="004E22C1" w:rsidP="00BB0FE4">
      <w:pPr>
        <w:pStyle w:val="a0"/>
      </w:pPr>
      <w:r w:rsidRPr="001455DC">
        <w:t>designed according to 8.2(11) or 8.2.3(8) and</w:t>
      </w:r>
    </w:p>
    <w:p w14:paraId="79C717D7" w14:textId="163D05E4" w:rsidR="004E22C1" w:rsidRPr="001455DC" w:rsidRDefault="004E22C1" w:rsidP="00BB0FE4">
      <w:pPr>
        <w:pStyle w:val="a0"/>
      </w:pPr>
      <w:r w:rsidRPr="001455DC">
        <w:t xml:space="preserve">placed within the width </w:t>
      </w:r>
      <w:r w:rsidRPr="001455DC">
        <w:rPr>
          <w:rStyle w:val="CCMCvariableitalic"/>
        </w:rPr>
        <w:t>b</w:t>
      </w:r>
      <w:r w:rsidRPr="001455DC">
        <w:rPr>
          <w:rStyle w:val="CCMCvariablesubscript"/>
        </w:rPr>
        <w:t>s</w:t>
      </w:r>
      <w:r w:rsidRPr="001455DC">
        <w:t xml:space="preserve"> defined in Figure 12.9a).</w:t>
      </w:r>
    </w:p>
    <w:p w14:paraId="65EA8345" w14:textId="77777777" w:rsidR="004E22C1" w:rsidRPr="001455DC" w:rsidRDefault="004E22C1" w:rsidP="00BB0FE4">
      <w:pPr>
        <w:pStyle w:val="a7"/>
      </w:pPr>
      <w:r w:rsidRPr="001455DC">
        <w:t>In the area confined by the pile reaction according to Figure 12.9a), the anchorage length of main reinforcement may be reduced according to 11.4.2(5).</w:t>
      </w:r>
    </w:p>
    <w:p w14:paraId="70BAEB1E" w14:textId="77777777" w:rsidR="004E22C1" w:rsidRPr="001455DC" w:rsidRDefault="004E22C1" w:rsidP="00BB0FE4">
      <w:pPr>
        <w:pStyle w:val="a7"/>
      </w:pPr>
      <w:r w:rsidRPr="001455DC">
        <w:t xml:space="preserve">The main reinforcement perpendicular to free edges outside the widths </w:t>
      </w:r>
      <w:r w:rsidRPr="001455DC">
        <w:rPr>
          <w:rStyle w:val="CCMCvariableitalic"/>
        </w:rPr>
        <w:t>b</w:t>
      </w:r>
      <w:r w:rsidRPr="001455DC">
        <w:rPr>
          <w:rStyle w:val="CCMCvariablesubscript"/>
        </w:rPr>
        <w:t>s</w:t>
      </w:r>
      <w:r w:rsidRPr="001455DC">
        <w:t xml:space="preserve"> may also be activated if the vertical component of the corresponding struts can be carried to the piles by the system according to Figure 12.9b).</w:t>
      </w:r>
    </w:p>
    <w:tbl>
      <w:tblPr>
        <w:tblStyle w:val="a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402"/>
        <w:gridCol w:w="6350"/>
      </w:tblGrid>
      <w:tr w:rsidR="00055233" w:rsidRPr="001455DC" w14:paraId="314356C0" w14:textId="77777777" w:rsidTr="00055233">
        <w:trPr>
          <w:cantSplit/>
          <w:jc w:val="center"/>
        </w:trPr>
        <w:tc>
          <w:tcPr>
            <w:tcW w:w="3402" w:type="dxa"/>
          </w:tcPr>
          <w:p w14:paraId="47C6C4F6" w14:textId="0D432166" w:rsidR="00055233" w:rsidRPr="001455DC" w:rsidRDefault="00723CF7" w:rsidP="00434309">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"Y:\\STD_MGT\\STDDEL\\PRODUCTION\\etrans\\Download\\Z_FIRST_DEL\\SV\\00250\\00250269\\41_e_dr\\12_008a.tif"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"Y:\\STD_MGT\\STDDEL\\PRODUCTION\\Standards\\00250\\269\\41_e_dr\\12_008a.tif"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"Y:\\STD_MGT\\STDDEL\\PRODUCTION\\Standards\\00250\\269\\41_e_dr\\12_008a.tif"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"Y:\\STD_MGT\\STDDEL\\PRODUCTION\\Standards\\00250\\269\\41_e_dr\\12_008a.tif"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"Y:\\STD_MGT\\STDDEL\\PRODUCTION\\Standards\\00250\\269\\41_e_dr\\12_008a.tif"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"Y:\\STD_MGT\\STDDEL\\PRODUCTION\\Standards\\00250\\269\\41_e_dr\\12_008a.tif"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"C:\\Users\\a.dionysiou\\AppData\\Local\\Temp\\Temp1_00250269_e_20210902.zip.zip\\41_e_dr\\12_008a.tif"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48DF0585">
                <v:shape id="_x0000_i1270" type="#_x0000_t75" style="width:102.75pt;height:117pt">
                  <v:imagedata r:id="rId510" r:href="rId511"/>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6350" w:type="dxa"/>
          </w:tcPr>
          <w:p w14:paraId="2F7EDF25" w14:textId="342483D0" w:rsidR="00055233" w:rsidRPr="001455DC" w:rsidRDefault="00723CF7" w:rsidP="00434309">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"Y:\\STD_MGT\\STDDEL\\PRODUCTION\\etrans\\Download\\Z_FIRST_DEL\\SV\\00250\\00250269\\41_e_dr\\12_008b.tif"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"Y:\\STD_MGT\\STDDEL\\PRODUCTION\\Standards\\00250\\269\\41_e_dr\\12_008b.tif"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"Y:\\STD_MGT\\STDDEL\\PRODUCTION\\Standards\\00250\\269\\41_e_dr\\12_008b.tif"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"Y:\\STD_MGT\\STDDEL\\PRODUCTION\\Standards\\00250\\269\\41_e_dr\\12_008b.tif"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"Y:\\STD_MGT\\STDDEL\\PRODUCTION\\Standards\\00250\\269\\41_e_dr\\12_008b.tif"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"Y:\\STD_MGT\\STDDEL\\PRODUCTION\\Standards\\00250\\269\\41_e_dr\\12_008b.tif"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w:instrText>
            </w:r>
            <w:r w:rsidR="00231E33">
              <w:rPr>
                <w:noProof/>
                <w:lang w:eastAsia="en-GB"/>
              </w:rPr>
              <w:instrText>\\Local\\Temp\\Temp1_00250269_e_20210902.zip.zip\\41_e_dr\\12_008b.tif"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2EE3970F">
                <v:shape id="_x0000_i1271" type="#_x0000_t75" style="width:121.5pt;height:124.5pt">
                  <v:imagedata r:id="rId512" r:href="rId513"/>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055233" w:rsidRPr="001455DC" w14:paraId="458D35A2" w14:textId="77777777" w:rsidTr="00055233">
        <w:trPr>
          <w:cantSplit/>
          <w:jc w:val="center"/>
        </w:trPr>
        <w:tc>
          <w:tcPr>
            <w:tcW w:w="3402" w:type="dxa"/>
          </w:tcPr>
          <w:p w14:paraId="7F63C216" w14:textId="7BDBBBD6" w:rsidR="00055233" w:rsidRPr="001455DC" w:rsidRDefault="00055233" w:rsidP="00055233">
            <w:pPr>
              <w:pStyle w:val="FigureText"/>
              <w:jc w:val="left"/>
            </w:pPr>
            <w:r w:rsidRPr="001455DC">
              <w:t xml:space="preserve">a) Definition of width </w:t>
            </w:r>
            <w:r w:rsidRPr="001455DC">
              <w:rPr>
                <w:rStyle w:val="CCMCvariableitalic"/>
              </w:rPr>
              <w:t>b</w:t>
            </w:r>
            <w:r w:rsidRPr="001455DC">
              <w:rPr>
                <w:rStyle w:val="CCMCvariablesubscript"/>
              </w:rPr>
              <w:t>s</w:t>
            </w:r>
          </w:p>
        </w:tc>
        <w:tc>
          <w:tcPr>
            <w:tcW w:w="6350" w:type="dxa"/>
          </w:tcPr>
          <w:p w14:paraId="3119CAFE" w14:textId="37567185" w:rsidR="00055233" w:rsidRPr="001455DC" w:rsidRDefault="00055233" w:rsidP="00055233">
            <w:pPr>
              <w:pStyle w:val="FigureText"/>
              <w:jc w:val="left"/>
            </w:pPr>
            <w:r w:rsidRPr="001455DC">
              <w:t>b) load carrying system with bent-up of main reinforcement outside widths bs as suspension reinforcement</w:t>
            </w:r>
          </w:p>
        </w:tc>
      </w:tr>
    </w:tbl>
    <w:p w14:paraId="4DDAE42B" w14:textId="2206B1F3" w:rsidR="004E22C1" w:rsidRPr="001455DC" w:rsidRDefault="00723CF7" w:rsidP="00BB0FE4">
      <w:pPr>
        <w:pStyle w:val="FigureImage"/>
      </w:pPr>
      <w:r>
        <w:rPr>
          <w:noProof/>
          <w:lang w:eastAsia="en-GB"/>
        </w:rPr>
        <w:fldChar w:fldCharType="begin"/>
      </w:r>
      <w:r>
        <w:rPr>
          <w:noProof/>
          <w:lang w:eastAsia="en-GB"/>
        </w:rPr>
        <w:instrText xml:space="preserve"> INCLUDEPICTURE  "Y:\\STD_MGT\\STDDEL\\PRODUCTION\\etrans\\Download\\Z_FIRST_DEL\\SV\\00250\\00250269\\41_e_dr\\12_008c.tif"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"Y:\\STD_MGT\\STDDEL\\PRODUCTION\\Standards\\00250\\269\\41_e_dr\\12_008c.tif"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"Y:\\STD_MGT\\STDDEL\\PRODUCTION\\Standards\\00250\\269\\41_e_dr\\12_008c.tif"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"Y:\\STD_MGT\\STDDEL\\PRODUCTION\\Standards\\00250\\269\\41_e_dr\\12_008c.tif"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"Y:\\STD_MGT\\STDDEL\\PRODUCTION\\Standards\\00250\\269\\41_e_dr\\12_008c.tif"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"Y:\\STD_MGT\\STDDEL\\PRODUCTION\\Standards\\00250\\269\\41_e_dr\\12_008c.tif"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w:instrText>
      </w:r>
      <w:r w:rsidR="00231E33">
        <w:rPr>
          <w:noProof/>
          <w:lang w:eastAsia="en-GB"/>
        </w:rPr>
        <w:instrText>nysiou\\AppData\\Local\\Temp\\Temp1_00250269_e_20210902.zip.zip\\41_e_dr\\12_008c.tif"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6C26E8D2">
          <v:shape id="_x0000_i1272" type="#_x0000_t75" style="width:280.5pt;height:141.75pt">
            <v:imagedata r:id="rId514" r:href="rId515"/>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6096FE10" w14:textId="77777777" w:rsidR="00055233" w:rsidRPr="001455DC" w:rsidRDefault="00055233" w:rsidP="00055233">
      <w:pPr>
        <w:pStyle w:val="FigureText"/>
      </w:pPr>
      <w:r w:rsidRPr="001455DC">
        <w:t>c) definition of anchorage zones with and without confinement due to pile compression</w:t>
      </w:r>
    </w:p>
    <w:p w14:paraId="61D8B2F9" w14:textId="77777777" w:rsidR="00055233" w:rsidRPr="001455DC" w:rsidRDefault="00055233" w:rsidP="00DB201D">
      <w:pPr>
        <w:pStyle w:val="KeyTitle"/>
      </w:pPr>
      <w:r w:rsidRPr="001455DC">
        <w:t>Key</w:t>
      </w:r>
    </w:p>
    <w:tbl>
      <w:tblPr>
        <w:tblW w:w="9809" w:type="dxa"/>
        <w:tblLayout w:type="fixed"/>
        <w:tblCellMar>
          <w:left w:w="28" w:type="dxa"/>
          <w:right w:w="28" w:type="dxa"/>
        </w:tblCellMar>
        <w:tblLook w:val="0000" w:firstRow="0" w:lastRow="0" w:firstColumn="0" w:lastColumn="0" w:noHBand="0" w:noVBand="0"/>
      </w:tblPr>
      <w:tblGrid>
        <w:gridCol w:w="397"/>
        <w:gridCol w:w="9412"/>
      </w:tblGrid>
      <w:tr w:rsidR="00055233" w:rsidRPr="001455DC" w14:paraId="437C425B" w14:textId="77777777" w:rsidTr="00055233">
        <w:tc>
          <w:tcPr>
            <w:tcW w:w="397" w:type="dxa"/>
            <w:shd w:val="clear" w:color="auto" w:fill="auto"/>
          </w:tcPr>
          <w:p w14:paraId="5156ED19" w14:textId="5734470E" w:rsidR="00055233" w:rsidRPr="001455DC" w:rsidRDefault="00DE2C2B" w:rsidP="00D86695">
            <w:pPr>
              <w:pStyle w:val="KeyText"/>
              <w:tabs>
                <w:tab w:val="clear" w:pos="346"/>
              </w:tabs>
              <w:ind w:left="0" w:firstLine="0"/>
            </w:pPr>
            <w:r>
              <w:t>1</w:t>
            </w:r>
          </w:p>
        </w:tc>
        <w:tc>
          <w:tcPr>
            <w:tcW w:w="9412" w:type="dxa"/>
            <w:shd w:val="clear" w:color="auto" w:fill="auto"/>
          </w:tcPr>
          <w:p w14:paraId="0ED2AE7A" w14:textId="74D54710" w:rsidR="00055233" w:rsidRPr="001455DC" w:rsidRDefault="00055233" w:rsidP="00D86695">
            <w:pPr>
              <w:pStyle w:val="KeyText"/>
              <w:tabs>
                <w:tab w:val="clear" w:pos="346"/>
              </w:tabs>
              <w:ind w:left="0" w:firstLine="0"/>
            </w:pPr>
            <w:r w:rsidRPr="001455DC">
              <w:t xml:space="preserve">main reinforcement in the width </w:t>
            </w:r>
            <w:r w:rsidR="00C6630A" w:rsidRPr="001455DC">
              <w:rPr>
                <w:rStyle w:val="CCMCvariableitalic"/>
              </w:rPr>
              <w:t>b</w:t>
            </w:r>
            <w:r w:rsidR="00C6630A" w:rsidRPr="001455DC">
              <w:rPr>
                <w:rStyle w:val="CCMCvariablesubscript"/>
              </w:rPr>
              <w:t>s</w:t>
            </w:r>
            <w:r w:rsidRPr="001455DC">
              <w:t xml:space="preserve"> and anchored behind the pile</w:t>
            </w:r>
          </w:p>
        </w:tc>
      </w:tr>
      <w:tr w:rsidR="00055233" w:rsidRPr="001455DC" w14:paraId="2286D166" w14:textId="77777777" w:rsidTr="00055233">
        <w:tc>
          <w:tcPr>
            <w:tcW w:w="397" w:type="dxa"/>
            <w:shd w:val="clear" w:color="auto" w:fill="auto"/>
          </w:tcPr>
          <w:p w14:paraId="110A7434" w14:textId="0B96BE4E" w:rsidR="00055233" w:rsidRPr="001455DC" w:rsidRDefault="00DE2C2B" w:rsidP="00D86695">
            <w:pPr>
              <w:pStyle w:val="KeyText"/>
              <w:tabs>
                <w:tab w:val="clear" w:pos="346"/>
              </w:tabs>
              <w:ind w:left="0" w:firstLine="0"/>
            </w:pPr>
            <w:r>
              <w:t>2</w:t>
            </w:r>
          </w:p>
        </w:tc>
        <w:tc>
          <w:tcPr>
            <w:tcW w:w="9412" w:type="dxa"/>
            <w:shd w:val="clear" w:color="auto" w:fill="auto"/>
          </w:tcPr>
          <w:p w14:paraId="5918ABE2" w14:textId="351417B1" w:rsidR="00055233" w:rsidRPr="001455DC" w:rsidRDefault="00055233" w:rsidP="00D86695">
            <w:pPr>
              <w:pStyle w:val="KeyText"/>
              <w:tabs>
                <w:tab w:val="clear" w:pos="346"/>
              </w:tabs>
              <w:ind w:left="0" w:firstLine="0"/>
            </w:pPr>
            <w:r w:rsidRPr="001455DC">
              <w:t xml:space="preserve">main reinforcement outside the width </w:t>
            </w:r>
            <w:r w:rsidR="00C6630A" w:rsidRPr="001455DC">
              <w:rPr>
                <w:rStyle w:val="CCMCvariableitalic"/>
              </w:rPr>
              <w:t>b</w:t>
            </w:r>
            <w:r w:rsidR="00C6630A" w:rsidRPr="001455DC">
              <w:rPr>
                <w:rStyle w:val="CCMCvariablesubscript"/>
              </w:rPr>
              <w:t>s</w:t>
            </w:r>
          </w:p>
        </w:tc>
      </w:tr>
      <w:tr w:rsidR="00055233" w:rsidRPr="001455DC" w14:paraId="32D83CBB" w14:textId="77777777" w:rsidTr="00055233">
        <w:tc>
          <w:tcPr>
            <w:tcW w:w="397" w:type="dxa"/>
            <w:shd w:val="clear" w:color="auto" w:fill="auto"/>
          </w:tcPr>
          <w:p w14:paraId="1560D229" w14:textId="310F5E20" w:rsidR="00055233" w:rsidRPr="001455DC" w:rsidRDefault="00DE2C2B" w:rsidP="00D86695">
            <w:pPr>
              <w:pStyle w:val="KeyText"/>
              <w:tabs>
                <w:tab w:val="clear" w:pos="346"/>
              </w:tabs>
              <w:ind w:left="0" w:firstLine="0"/>
            </w:pPr>
            <w:r>
              <w:t>3</w:t>
            </w:r>
          </w:p>
        </w:tc>
        <w:tc>
          <w:tcPr>
            <w:tcW w:w="9412" w:type="dxa"/>
            <w:shd w:val="clear" w:color="auto" w:fill="auto"/>
          </w:tcPr>
          <w:p w14:paraId="3E6B3B8C" w14:textId="15D33EF7" w:rsidR="00055233" w:rsidRPr="001455DC" w:rsidRDefault="00055233" w:rsidP="00D86695">
            <w:pPr>
              <w:pStyle w:val="KeyText"/>
              <w:tabs>
                <w:tab w:val="clear" w:pos="346"/>
              </w:tabs>
              <w:ind w:left="0" w:firstLine="0"/>
            </w:pPr>
            <w:r w:rsidRPr="001455DC">
              <w:t>struts carrying shear</w:t>
            </w:r>
          </w:p>
        </w:tc>
      </w:tr>
      <w:tr w:rsidR="00055233" w:rsidRPr="001455DC" w14:paraId="210D9720" w14:textId="77777777" w:rsidTr="00055233">
        <w:tc>
          <w:tcPr>
            <w:tcW w:w="397" w:type="dxa"/>
            <w:shd w:val="clear" w:color="auto" w:fill="auto"/>
          </w:tcPr>
          <w:p w14:paraId="48E9014F" w14:textId="359AB669" w:rsidR="00055233" w:rsidRPr="001455DC" w:rsidRDefault="00DE2C2B" w:rsidP="00D86695">
            <w:pPr>
              <w:pStyle w:val="KeyText"/>
              <w:tabs>
                <w:tab w:val="clear" w:pos="346"/>
              </w:tabs>
              <w:ind w:left="0" w:firstLine="0"/>
            </w:pPr>
            <w:r>
              <w:t>4</w:t>
            </w:r>
          </w:p>
        </w:tc>
        <w:tc>
          <w:tcPr>
            <w:tcW w:w="9412" w:type="dxa"/>
            <w:shd w:val="clear" w:color="auto" w:fill="auto"/>
          </w:tcPr>
          <w:p w14:paraId="2DE40E84" w14:textId="4C360106" w:rsidR="00055233" w:rsidRPr="001455DC" w:rsidRDefault="00055233" w:rsidP="00D86695">
            <w:pPr>
              <w:pStyle w:val="KeyText"/>
              <w:tabs>
                <w:tab w:val="clear" w:pos="346"/>
              </w:tabs>
              <w:ind w:left="0" w:firstLine="0"/>
            </w:pPr>
            <w:r w:rsidRPr="001455DC">
              <w:t>bent-up part of main reinforcement acting as suspension reinforcement</w:t>
            </w:r>
          </w:p>
        </w:tc>
      </w:tr>
      <w:tr w:rsidR="00055233" w:rsidRPr="001455DC" w14:paraId="42A8B7B3" w14:textId="77777777" w:rsidTr="00055233">
        <w:tc>
          <w:tcPr>
            <w:tcW w:w="397" w:type="dxa"/>
            <w:shd w:val="clear" w:color="auto" w:fill="auto"/>
          </w:tcPr>
          <w:p w14:paraId="1F5A8F22" w14:textId="0B54AA3F" w:rsidR="00055233" w:rsidRPr="001455DC" w:rsidRDefault="00DE2C2B" w:rsidP="00D86695">
            <w:pPr>
              <w:pStyle w:val="KeyText"/>
              <w:tabs>
                <w:tab w:val="clear" w:pos="346"/>
              </w:tabs>
              <w:ind w:left="0" w:firstLine="0"/>
            </w:pPr>
            <w:r>
              <w:t>5</w:t>
            </w:r>
          </w:p>
        </w:tc>
        <w:tc>
          <w:tcPr>
            <w:tcW w:w="9412" w:type="dxa"/>
            <w:shd w:val="clear" w:color="auto" w:fill="auto"/>
          </w:tcPr>
          <w:p w14:paraId="7031D441" w14:textId="1236A017" w:rsidR="00055233" w:rsidRPr="001455DC" w:rsidRDefault="00055233" w:rsidP="00D86695">
            <w:pPr>
              <w:pStyle w:val="KeyText"/>
              <w:tabs>
                <w:tab w:val="clear" w:pos="346"/>
              </w:tabs>
              <w:ind w:left="0" w:firstLine="0"/>
            </w:pPr>
            <w:r w:rsidRPr="001455DC">
              <w:t>anchorage of the suspension reinforcement</w:t>
            </w:r>
          </w:p>
        </w:tc>
      </w:tr>
      <w:tr w:rsidR="00055233" w:rsidRPr="001455DC" w14:paraId="6B1B406E" w14:textId="77777777" w:rsidTr="00055233">
        <w:tc>
          <w:tcPr>
            <w:tcW w:w="397" w:type="dxa"/>
            <w:shd w:val="clear" w:color="auto" w:fill="auto"/>
          </w:tcPr>
          <w:p w14:paraId="7DF98C41" w14:textId="4A13ED08" w:rsidR="00055233" w:rsidRPr="001455DC" w:rsidRDefault="00DE2C2B" w:rsidP="00D86695">
            <w:pPr>
              <w:pStyle w:val="KeyText"/>
              <w:tabs>
                <w:tab w:val="clear" w:pos="346"/>
              </w:tabs>
              <w:ind w:left="0" w:firstLine="0"/>
            </w:pPr>
            <w:r>
              <w:t>6</w:t>
            </w:r>
          </w:p>
        </w:tc>
        <w:tc>
          <w:tcPr>
            <w:tcW w:w="9412" w:type="dxa"/>
            <w:shd w:val="clear" w:color="auto" w:fill="auto"/>
          </w:tcPr>
          <w:p w14:paraId="69869551" w14:textId="1ACF86C7" w:rsidR="00055233" w:rsidRPr="001455DC" w:rsidRDefault="00055233" w:rsidP="00D86695">
            <w:pPr>
              <w:pStyle w:val="KeyText"/>
              <w:tabs>
                <w:tab w:val="clear" w:pos="346"/>
              </w:tabs>
              <w:ind w:left="0" w:firstLine="0"/>
            </w:pPr>
            <w:r w:rsidRPr="001455DC">
              <w:t>anchorage zone of main reinforcement with confinement due to pile compression</w:t>
            </w:r>
          </w:p>
        </w:tc>
      </w:tr>
      <w:tr w:rsidR="00055233" w:rsidRPr="001455DC" w14:paraId="103EB338" w14:textId="77777777" w:rsidTr="00055233">
        <w:tc>
          <w:tcPr>
            <w:tcW w:w="397" w:type="dxa"/>
            <w:shd w:val="clear" w:color="auto" w:fill="auto"/>
          </w:tcPr>
          <w:p w14:paraId="6D0442BC" w14:textId="797923F2" w:rsidR="00055233" w:rsidRPr="001455DC" w:rsidRDefault="00DE2C2B" w:rsidP="00D86695">
            <w:pPr>
              <w:pStyle w:val="KeyText"/>
              <w:tabs>
                <w:tab w:val="clear" w:pos="346"/>
              </w:tabs>
              <w:ind w:left="0" w:firstLine="0"/>
            </w:pPr>
            <w:r>
              <w:t>7</w:t>
            </w:r>
          </w:p>
        </w:tc>
        <w:tc>
          <w:tcPr>
            <w:tcW w:w="9412" w:type="dxa"/>
            <w:shd w:val="clear" w:color="auto" w:fill="auto"/>
          </w:tcPr>
          <w:p w14:paraId="57812393" w14:textId="05A98E62" w:rsidR="00055233" w:rsidRPr="001455DC" w:rsidRDefault="00055233" w:rsidP="00D86695">
            <w:pPr>
              <w:pStyle w:val="KeyText"/>
              <w:tabs>
                <w:tab w:val="clear" w:pos="346"/>
              </w:tabs>
              <w:ind w:left="0" w:firstLine="0"/>
            </w:pPr>
            <w:r w:rsidRPr="001455DC">
              <w:t>anchorage zone without confinement due to pile compression</w:t>
            </w:r>
          </w:p>
        </w:tc>
      </w:tr>
    </w:tbl>
    <w:p w14:paraId="617032A4" w14:textId="5EDDA3E9" w:rsidR="004E22C1" w:rsidRPr="001455DC" w:rsidRDefault="004E22C1" w:rsidP="00BB0FE4">
      <w:pPr>
        <w:pStyle w:val="Figuretitle"/>
      </w:pPr>
      <w:r w:rsidRPr="001455DC">
        <w:t>Figure 12.</w:t>
      </w:r>
      <w:r w:rsidR="00256080">
        <w:t>8</w:t>
      </w:r>
      <w:r w:rsidR="00256080" w:rsidRPr="001455DC">
        <w:t> </w:t>
      </w:r>
      <w:r w:rsidRPr="001455DC">
        <w:t>— Anchorage of main reinforcement in pile caps</w:t>
      </w:r>
    </w:p>
    <w:p w14:paraId="2853A26F" w14:textId="77777777" w:rsidR="004E22C1" w:rsidRPr="001455DC" w:rsidRDefault="004E22C1" w:rsidP="00BB0FE4">
      <w:pPr>
        <w:pStyle w:val="a7"/>
      </w:pPr>
      <w:r w:rsidRPr="001455DC">
        <w:t>(3)</w:t>
      </w:r>
      <w:r w:rsidRPr="001455DC">
        <w:tab/>
        <w:t>The main reinforcement in footings and pile caps without shear reinforcement should be designed accounting for the concentrated compression zone and the resulting reduced lever arm of the internal forces under the column according to Figure 12.10a) and b). The increase of concrete strength in vertical direction under the column due to confinement according to 8.4 may be accounted for. Without detailed verification, a concrete strength in horizontal direction under the column up to 1,25</w:t>
      </w:r>
      <w:r w:rsidRPr="001455DC">
        <w:rPr>
          <w:rStyle w:val="CCMCvariableitalic"/>
        </w:rPr>
        <w:t>f</w:t>
      </w:r>
      <w:r w:rsidRPr="001455DC">
        <w:rPr>
          <w:rStyle w:val="CCMCvariablesubscript"/>
        </w:rPr>
        <w:t>cd</w:t>
      </w:r>
      <w:r w:rsidRPr="001455DC">
        <w:t xml:space="preserve"> may be assumed.</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6"/>
        <w:gridCol w:w="4876"/>
      </w:tblGrid>
      <w:tr w:rsidR="00BB0FE4" w:rsidRPr="001455DC" w14:paraId="1B02938B" w14:textId="77777777" w:rsidTr="00BB0FE4">
        <w:trPr>
          <w:cantSplit/>
          <w:jc w:val="center"/>
        </w:trPr>
        <w:tc>
          <w:tcPr>
            <w:tcW w:w="4876" w:type="dxa"/>
          </w:tcPr>
          <w:p w14:paraId="286FA9F5" w14:textId="00B857B3" w:rsidR="00BB0FE4" w:rsidRPr="001455DC" w:rsidRDefault="00723CF7" w:rsidP="00BB0FE4">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"Y:\\STD_MGT\\STDDEL\\PRODUCTION\\etrans\\Download\\Z_FIRST_DEL\\SV\\00250\\00250269\\41_e_dr\\12_009a.tif"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"Y:\\STD_MGT\\STDDEL\\PRODUCTION\\Standards\\00250\\269\\41_e_dr\\12_009a.tif"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"Y:\\STD_MGT\\STDDEL\\PRODUCTION\\Standards\\00250\\269\\41_e_dr\\12_009a.tif"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"Y:\\STD_MGT\\STDDEL\\PRODUCTION\\Standards\\00250\\269\\41_e_dr\\12_009a.tif"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"Y:\\STD_MGT\\STDDEL\\PRODUCTION\\Standards\\00250\\269\\41_e_dr\\12_009a.tif"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"Y:\\STD_MGT\\STDDEL\\PRODUCTION\\Standards\\00250\\269\\41_e_dr\\12_009a.tif"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"C:\\Users\\a.dionysiou\\AppData\\Local\\Temp\\Temp1_00250269_e_20210902.zip.zip\\41_e_dr\\12_009</w:instrText>
            </w:r>
            <w:r w:rsidR="00231E33">
              <w:rPr>
                <w:noProof/>
                <w:lang w:eastAsia="en-GB"/>
              </w:rPr>
              <w:instrText>a.tif"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2BBEC058">
                <v:shape id="_x0000_i1273" type="#_x0000_t75" style="width:185.25pt;height:94.5pt">
                  <v:imagedata r:id="rId516" r:href="rId517"/>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4876" w:type="dxa"/>
          </w:tcPr>
          <w:p w14:paraId="5ED7E1E9" w14:textId="668B383A" w:rsidR="00BB0FE4" w:rsidRPr="001455DC" w:rsidRDefault="00723CF7" w:rsidP="00BB0FE4">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"Y:\\STD_MGT\\STDDEL\\PRODUCTION\\etrans\\Download\\Z_FIRST_DEL\\SV\\00250\\00250269\\41_e_dr\\12_009b.tif"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"Y:\\STD_MGT\\STDDEL\\PRODUCTION\\Standards\\00250\\269\\41_e_dr\\12_009b.tif"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"Y:\\STD_MGT\\STDDEL\\PRODUCTION\\Standards\\00250\\269\\41_e_dr\\12_009b.tif"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"Y:\\STD_MGT\\STDDEL\\PRODUCTION\\Standards\\00250\\269\\41_e_dr\\12_009b.tif"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"Y:\\STD_MGT\\STDDEL\\PRODUCTION\\Standards\\00250\\269\\41_e_dr\\12_009b.tif"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"Y:\\STD_MGT\\STDDEL\\PRODUCTION\\Standards\\00250\\269\\41_e_dr\\12_009b.tif"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w:instrText>
            </w:r>
            <w:r w:rsidR="00231E33">
              <w:rPr>
                <w:noProof/>
                <w:lang w:eastAsia="en-GB"/>
              </w:rPr>
              <w:instrText>\\Local\\Temp\\Temp1_00250269_e_20210902.zip.zip\\41_e_dr\\12_009b.tif"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4FE5B3C7">
                <v:shape id="_x0000_i1274" type="#_x0000_t75" style="width:185.25pt;height:123.75pt">
                  <v:imagedata r:id="rId518" r:href="rId519"/>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4E22C1" w:rsidRPr="001455DC" w14:paraId="27BAA54C" w14:textId="77777777" w:rsidTr="00BB0FE4">
        <w:trPr>
          <w:cantSplit/>
          <w:jc w:val="center"/>
        </w:trPr>
        <w:tc>
          <w:tcPr>
            <w:tcW w:w="4876" w:type="dxa"/>
          </w:tcPr>
          <w:p w14:paraId="18843CD1" w14:textId="77777777" w:rsidR="004E22C1" w:rsidRPr="001455DC" w:rsidRDefault="004E22C1" w:rsidP="00BB0FE4">
            <w:pPr>
              <w:pStyle w:val="FigureText"/>
            </w:pPr>
            <w:r w:rsidRPr="001455DC">
              <w:t>a) compression field carrying shear</w:t>
            </w:r>
          </w:p>
        </w:tc>
        <w:tc>
          <w:tcPr>
            <w:tcW w:w="4876" w:type="dxa"/>
          </w:tcPr>
          <w:p w14:paraId="241DD680" w14:textId="77777777" w:rsidR="004E22C1" w:rsidRPr="001455DC" w:rsidRDefault="004E22C1" w:rsidP="00BB0FE4">
            <w:pPr>
              <w:pStyle w:val="FigureText"/>
            </w:pPr>
            <w:r w:rsidRPr="001455DC">
              <w:t xml:space="preserve">b) concentration of compression zone under the column and resulting reduced level arm </w:t>
            </w:r>
            <w:r w:rsidRPr="001455DC">
              <w:rPr>
                <w:rStyle w:val="CCMCvariableitalic"/>
              </w:rPr>
              <w:t>z</w:t>
            </w:r>
            <w:r w:rsidRPr="001455DC">
              <w:t xml:space="preserve"> </w:t>
            </w:r>
          </w:p>
        </w:tc>
      </w:tr>
    </w:tbl>
    <w:p w14:paraId="3E64224F" w14:textId="77E60DD7" w:rsidR="004E22C1" w:rsidRPr="001455DC" w:rsidRDefault="004E22C1" w:rsidP="00BB0FE4">
      <w:pPr>
        <w:pStyle w:val="Figuretitle"/>
      </w:pPr>
      <w:r w:rsidRPr="001455DC">
        <w:t>Figure 12.</w:t>
      </w:r>
      <w:r w:rsidR="00256080">
        <w:t>9</w:t>
      </w:r>
      <w:r w:rsidR="00256080" w:rsidRPr="001455DC">
        <w:t> </w:t>
      </w:r>
      <w:r w:rsidRPr="001455DC">
        <w:t>— Concentrated compression zones in pile caps and footings</w:t>
      </w:r>
    </w:p>
    <w:p w14:paraId="22851867" w14:textId="77777777" w:rsidR="004E22C1" w:rsidRPr="001455DC" w:rsidRDefault="004E22C1" w:rsidP="00BB0FE4">
      <w:pPr>
        <w:pStyle w:val="a7"/>
      </w:pPr>
      <w:r w:rsidRPr="001455DC">
        <w:t>(4)</w:t>
      </w:r>
      <w:r w:rsidRPr="001455DC">
        <w:tab/>
        <w:t>Top surface and sides of pile caps and footings may be designed without surface reinforcement if there is no tension developing in these areas.</w:t>
      </w:r>
    </w:p>
    <w:p w14:paraId="6705E9E1" w14:textId="7A63A8DB" w:rsidR="004E22C1" w:rsidRPr="001455DC" w:rsidRDefault="004E22C1" w:rsidP="006D682B">
      <w:pPr>
        <w:pStyle w:val="21"/>
      </w:pPr>
      <w:bookmarkStart w:id="964" w:name="_Toc52820070"/>
      <w:bookmarkStart w:id="965" w:name="_Toc54337475"/>
      <w:bookmarkStart w:id="966" w:name="_Toc54338126"/>
      <w:bookmarkStart w:id="967" w:name="_Toc67565470"/>
      <w:r w:rsidRPr="001455DC">
        <w:t>Tying systems for robustness of buildings</w:t>
      </w:r>
      <w:bookmarkEnd w:id="964"/>
      <w:bookmarkEnd w:id="965"/>
      <w:bookmarkEnd w:id="966"/>
      <w:bookmarkEnd w:id="967"/>
    </w:p>
    <w:p w14:paraId="68EA3AFF" w14:textId="766E23E3" w:rsidR="004E22C1" w:rsidRPr="001455DC" w:rsidRDefault="004E22C1" w:rsidP="00243590">
      <w:pPr>
        <w:pStyle w:val="31"/>
      </w:pPr>
      <w:bookmarkStart w:id="968" w:name="_Toc52820071"/>
      <w:bookmarkStart w:id="969" w:name="_Toc54337476"/>
      <w:bookmarkStart w:id="970" w:name="_Toc54338127"/>
      <w:bookmarkStart w:id="971" w:name="_Toc67565471"/>
      <w:r w:rsidRPr="001455DC">
        <w:t>General</w:t>
      </w:r>
      <w:bookmarkEnd w:id="968"/>
      <w:bookmarkEnd w:id="969"/>
      <w:bookmarkEnd w:id="970"/>
      <w:bookmarkEnd w:id="971"/>
    </w:p>
    <w:p w14:paraId="7CE635CE" w14:textId="77777777" w:rsidR="004E22C1" w:rsidRPr="001455DC" w:rsidRDefault="004E22C1" w:rsidP="00BB0FE4">
      <w:pPr>
        <w:pStyle w:val="a7"/>
      </w:pPr>
      <w:r w:rsidRPr="001455DC">
        <w:t>(1)</w:t>
      </w:r>
      <w:r w:rsidRPr="001455DC">
        <w:tab/>
        <w:t>Structures requiring an adequate level of robustness appropriate to the consequences of failure. Structures with normal consequences of failure should have a suitable tying system, to prevent progressive collapse by providing alternative load paths after local damage.</w:t>
      </w:r>
    </w:p>
    <w:p w14:paraId="26AB12A1" w14:textId="77777777" w:rsidR="004E22C1" w:rsidRPr="001455DC" w:rsidRDefault="004E22C1" w:rsidP="00E844D2">
      <w:pPr>
        <w:pStyle w:val="a7"/>
        <w:keepNext/>
      </w:pPr>
      <w:r w:rsidRPr="001455DC">
        <w:t>(2)</w:t>
      </w:r>
      <w:r w:rsidRPr="001455DC">
        <w:tab/>
        <w:t>In the absence of detailed analysis, the following ties should be provided as applicable:</w:t>
      </w:r>
    </w:p>
    <w:p w14:paraId="0BF66875" w14:textId="08A5D5E9" w:rsidR="004E22C1" w:rsidRPr="001455DC" w:rsidRDefault="004E22C1" w:rsidP="00082680">
      <w:pPr>
        <w:pStyle w:val="a0"/>
        <w:numPr>
          <w:ilvl w:val="0"/>
          <w:numId w:val="30"/>
        </w:numPr>
      </w:pPr>
      <w:r w:rsidRPr="001455DC">
        <w:t>peripheral ties,</w:t>
      </w:r>
    </w:p>
    <w:p w14:paraId="07120C4D" w14:textId="5D0C0F01" w:rsidR="004E22C1" w:rsidRPr="001455DC" w:rsidRDefault="004E22C1" w:rsidP="00082680">
      <w:pPr>
        <w:pStyle w:val="a0"/>
        <w:numPr>
          <w:ilvl w:val="0"/>
          <w:numId w:val="30"/>
        </w:numPr>
      </w:pPr>
      <w:r w:rsidRPr="001455DC">
        <w:t>internal ties,</w:t>
      </w:r>
    </w:p>
    <w:p w14:paraId="5A6E9780" w14:textId="32A87E85" w:rsidR="004E22C1" w:rsidRPr="001455DC" w:rsidRDefault="004E22C1" w:rsidP="00082680">
      <w:pPr>
        <w:pStyle w:val="a0"/>
        <w:keepNext/>
        <w:numPr>
          <w:ilvl w:val="0"/>
          <w:numId w:val="30"/>
        </w:numPr>
      </w:pPr>
      <w:r w:rsidRPr="001455DC">
        <w:t>horizontal column and wall ties,</w:t>
      </w:r>
    </w:p>
    <w:p w14:paraId="5FB6E5CF" w14:textId="050A700A" w:rsidR="004E22C1" w:rsidRPr="001455DC" w:rsidRDefault="004E22C1" w:rsidP="00082680">
      <w:pPr>
        <w:pStyle w:val="a0"/>
        <w:numPr>
          <w:ilvl w:val="0"/>
          <w:numId w:val="30"/>
        </w:numPr>
      </w:pPr>
      <w:r w:rsidRPr="001455DC">
        <w:t>vertical column and wall ties.</w:t>
      </w:r>
    </w:p>
    <w:p w14:paraId="069B2E03" w14:textId="77777777" w:rsidR="004E22C1" w:rsidRPr="001455DC" w:rsidRDefault="004E22C1" w:rsidP="00BB0FE4">
      <w:pPr>
        <w:pStyle w:val="a7"/>
      </w:pPr>
      <w:r w:rsidRPr="001455DC">
        <w:t>(3)</w:t>
      </w:r>
      <w:r w:rsidRPr="001455DC">
        <w:tab/>
        <w:t>Where a building is divided by expansion joints into structurally independent sections, each section should have an independent tying system.</w:t>
      </w:r>
    </w:p>
    <w:p w14:paraId="0A40ED94" w14:textId="4FADD609" w:rsidR="004E22C1" w:rsidRPr="001455DC" w:rsidRDefault="004E22C1" w:rsidP="00BB0FE4">
      <w:pPr>
        <w:pStyle w:val="a7"/>
      </w:pPr>
      <w:r w:rsidRPr="001455DC">
        <w:t>(4)</w:t>
      </w:r>
      <w:r w:rsidRPr="001455DC">
        <w:tab/>
        <w:t xml:space="preserve">In the design of the ties the reinforcement may be assumed to be acting at its characteristic strength and shall be capable of carrying tensile forces defined in the following </w:t>
      </w:r>
      <w:r w:rsidR="005156B4" w:rsidRPr="001455DC">
        <w:t>subclauses</w:t>
      </w:r>
      <w:r w:rsidRPr="001455DC">
        <w:t>. Reinforcement of ductility classes B or C shall be used.</w:t>
      </w:r>
    </w:p>
    <w:p w14:paraId="77E6FAFD" w14:textId="77777777" w:rsidR="004E22C1" w:rsidRPr="001455DC" w:rsidRDefault="004E22C1" w:rsidP="00BB0FE4">
      <w:pPr>
        <w:pStyle w:val="a7"/>
      </w:pPr>
      <w:r w:rsidRPr="001455DC">
        <w:t>(5)</w:t>
      </w:r>
      <w:r w:rsidRPr="001455DC">
        <w:tab/>
        <w:t>Reinforcement provided for other purposes in columns, walls, beams and floors may be regarded as providing part of or the whole of these ties.</w:t>
      </w:r>
    </w:p>
    <w:p w14:paraId="7337ACE6" w14:textId="3C3272E2" w:rsidR="004E22C1" w:rsidRPr="001455DC" w:rsidRDefault="004E22C1" w:rsidP="00243590">
      <w:pPr>
        <w:pStyle w:val="31"/>
      </w:pPr>
      <w:bookmarkStart w:id="972" w:name="_Toc52820072"/>
      <w:bookmarkStart w:id="973" w:name="_Toc54337477"/>
      <w:bookmarkStart w:id="974" w:name="_Toc54338128"/>
      <w:bookmarkStart w:id="975" w:name="_Toc67565472"/>
      <w:r w:rsidRPr="001455DC">
        <w:t>Dimensioning of ties</w:t>
      </w:r>
      <w:bookmarkEnd w:id="972"/>
      <w:bookmarkEnd w:id="973"/>
      <w:bookmarkEnd w:id="974"/>
      <w:bookmarkEnd w:id="975"/>
    </w:p>
    <w:p w14:paraId="39F0F076" w14:textId="4CE3048D" w:rsidR="004E22C1" w:rsidRPr="001455DC" w:rsidRDefault="004E22C1" w:rsidP="00243590">
      <w:pPr>
        <w:pStyle w:val="41"/>
      </w:pPr>
      <w:bookmarkStart w:id="976" w:name="_Toc52820073"/>
      <w:bookmarkStart w:id="977" w:name="_Toc54338129"/>
      <w:r w:rsidRPr="001455DC">
        <w:t>Peripheral ties</w:t>
      </w:r>
      <w:bookmarkEnd w:id="976"/>
      <w:bookmarkEnd w:id="977"/>
    </w:p>
    <w:p w14:paraId="6B45B0E9" w14:textId="77777777" w:rsidR="004E22C1" w:rsidRPr="001455DC" w:rsidRDefault="004E22C1" w:rsidP="00BB0FE4">
      <w:pPr>
        <w:pStyle w:val="a7"/>
      </w:pPr>
      <w:r w:rsidRPr="001455DC">
        <w:t>(1)</w:t>
      </w:r>
      <w:r w:rsidRPr="001455DC">
        <w:tab/>
        <w:t>At each floor and roof level of a structure an effectively continuous peripheral tie within 1,2 m from the edge should be provided according to Table 12.5(NDP). The tie may include reinforcement used as part of the internal tie.</w:t>
      </w:r>
    </w:p>
    <w:p w14:paraId="6BA0D6E0" w14:textId="7C78DA30" w:rsidR="004E22C1" w:rsidRPr="001455DC" w:rsidRDefault="004E22C1" w:rsidP="00243590">
      <w:pPr>
        <w:pStyle w:val="41"/>
      </w:pPr>
      <w:bookmarkStart w:id="978" w:name="_Toc52820074"/>
      <w:bookmarkStart w:id="979" w:name="_Toc54338130"/>
      <w:r w:rsidRPr="001455DC">
        <w:t>Internal ties</w:t>
      </w:r>
      <w:bookmarkEnd w:id="978"/>
      <w:bookmarkEnd w:id="979"/>
    </w:p>
    <w:p w14:paraId="14602F83" w14:textId="77777777" w:rsidR="004E22C1" w:rsidRPr="001455DC" w:rsidRDefault="004E22C1" w:rsidP="00BB0FE4">
      <w:pPr>
        <w:pStyle w:val="a7"/>
      </w:pPr>
      <w:r w:rsidRPr="001455DC">
        <w:t>(1)</w:t>
      </w:r>
      <w:r w:rsidRPr="001455DC">
        <w:tab/>
        <w:t>Internal ties should be at each floor and roof level in two directions approximately at right angles. They should be effectively continuous throughout their length and should be anchored to the peripheral ties at each end, unless continuing as horizontal ties to columns or walls.</w:t>
      </w:r>
    </w:p>
    <w:p w14:paraId="490B69DD" w14:textId="1963A693" w:rsidR="004E22C1" w:rsidRPr="001455DC" w:rsidRDefault="004E22C1" w:rsidP="00BB0FE4">
      <w:pPr>
        <w:pStyle w:val="a7"/>
      </w:pPr>
      <w:r w:rsidRPr="001455DC">
        <w:t>(2)</w:t>
      </w:r>
      <w:r w:rsidRPr="001455DC">
        <w:tab/>
        <w:t>The internal ties may, in whole or in part, be spread evenly in the slabs or may be grouped at or in beams, walls or other appropriate positions. In walls they should be within 0,5 m from the top or bottom of floor slabs.</w:t>
      </w:r>
    </w:p>
    <w:p w14:paraId="55E922BE" w14:textId="77777777" w:rsidR="004E22C1" w:rsidRPr="001455DC" w:rsidRDefault="004E22C1" w:rsidP="00BB0FE4">
      <w:pPr>
        <w:pStyle w:val="a7"/>
      </w:pPr>
      <w:r w:rsidRPr="001455DC">
        <w:t>(3)</w:t>
      </w:r>
      <w:r w:rsidRPr="001455DC">
        <w:tab/>
        <w:t>In each direction, internal ties should be capable of resisting a design value of tensile force according to Table 12.5(NDP).</w:t>
      </w:r>
    </w:p>
    <w:p w14:paraId="6BE6BC98" w14:textId="43576A3C" w:rsidR="004E22C1" w:rsidRPr="001455DC" w:rsidRDefault="004E22C1" w:rsidP="00243590">
      <w:pPr>
        <w:pStyle w:val="41"/>
      </w:pPr>
      <w:bookmarkStart w:id="980" w:name="_Toc52820075"/>
      <w:bookmarkStart w:id="981" w:name="_Toc54338131"/>
      <w:r w:rsidRPr="001455DC">
        <w:t>Horizontal ties to columns and/or walls</w:t>
      </w:r>
      <w:bookmarkEnd w:id="980"/>
      <w:bookmarkEnd w:id="981"/>
    </w:p>
    <w:p w14:paraId="0DDE10CD" w14:textId="77777777" w:rsidR="004E22C1" w:rsidRPr="001455DC" w:rsidRDefault="004E22C1" w:rsidP="00BB0FE4">
      <w:pPr>
        <w:pStyle w:val="a7"/>
      </w:pPr>
      <w:r w:rsidRPr="001455DC">
        <w:t>(1)</w:t>
      </w:r>
      <w:r w:rsidRPr="001455DC">
        <w:tab/>
        <w:t>Columns and walls should be tied horizontally to the structure at each floor and roof level.</w:t>
      </w:r>
    </w:p>
    <w:p w14:paraId="1B374C6F" w14:textId="77777777" w:rsidR="004E22C1" w:rsidRPr="001455DC" w:rsidRDefault="004E22C1" w:rsidP="00BB0FE4">
      <w:pPr>
        <w:pStyle w:val="a7"/>
      </w:pPr>
      <w:r w:rsidRPr="001455DC">
        <w:t>(2)</w:t>
      </w:r>
      <w:r w:rsidRPr="001455DC">
        <w:tab/>
        <w:t xml:space="preserve">The ties should be capable of resisting a tensile force </w:t>
      </w:r>
      <w:r w:rsidRPr="001455DC">
        <w:rPr>
          <w:rStyle w:val="CCMCvariableitalic"/>
        </w:rPr>
        <w:t>t</w:t>
      </w:r>
      <w:r w:rsidRPr="001455DC">
        <w:rPr>
          <w:rStyle w:val="CCMCvariablesubscript"/>
        </w:rPr>
        <w:t>fac</w:t>
      </w:r>
      <w:r w:rsidRPr="001455DC">
        <w:t xml:space="preserve"> per metre of the wall. For columns the force need not exceed </w:t>
      </w:r>
      <w:r w:rsidRPr="001455DC">
        <w:rPr>
          <w:rStyle w:val="CCMCvariableitalic"/>
        </w:rPr>
        <w:t>T</w:t>
      </w:r>
      <w:r w:rsidRPr="001455DC">
        <w:rPr>
          <w:rStyle w:val="CCMCvariablesubscript"/>
        </w:rPr>
        <w:t>col</w:t>
      </w:r>
      <w:r w:rsidRPr="001455DC">
        <w:t>. Connections between columns and/or walls and the structure at each floor and roof level shall – without beneficial effects from external loads – be capable of transferring the specified tie forces.</w:t>
      </w:r>
    </w:p>
    <w:p w14:paraId="337C0E80" w14:textId="77777777" w:rsidR="004E22C1" w:rsidRPr="001455DC" w:rsidRDefault="004E22C1" w:rsidP="00BB0FE4">
      <w:pPr>
        <w:pStyle w:val="a7"/>
        <w:rPr>
          <w:bCs/>
        </w:rPr>
      </w:pPr>
      <w:r w:rsidRPr="001455DC">
        <w:t>(3)</w:t>
      </w:r>
      <w:r w:rsidRPr="001455DC">
        <w:tab/>
        <w:t>Corner columns should be tied in two directions. Bonded and unbonded reinforcement provided for the peripheral tie may be used as the horizontal tie in this case.</w:t>
      </w:r>
    </w:p>
    <w:p w14:paraId="3945059D" w14:textId="0B9350F3" w:rsidR="004E22C1" w:rsidRPr="001455DC" w:rsidRDefault="004E22C1" w:rsidP="00243590">
      <w:pPr>
        <w:pStyle w:val="41"/>
      </w:pPr>
      <w:bookmarkStart w:id="982" w:name="_Toc101325733"/>
      <w:bookmarkStart w:id="983" w:name="_Toc438630513"/>
      <w:bookmarkStart w:id="984" w:name="_Toc52820076"/>
      <w:bookmarkStart w:id="985" w:name="_Toc54338132"/>
      <w:r w:rsidRPr="001455DC">
        <w:t>Vertical ties</w:t>
      </w:r>
      <w:bookmarkEnd w:id="982"/>
      <w:bookmarkEnd w:id="983"/>
      <w:bookmarkEnd w:id="984"/>
      <w:bookmarkEnd w:id="985"/>
    </w:p>
    <w:p w14:paraId="27F52BF5" w14:textId="77777777" w:rsidR="004E22C1" w:rsidRPr="001455DC" w:rsidRDefault="004E22C1" w:rsidP="00BB0FE4">
      <w:pPr>
        <w:pStyle w:val="a7"/>
      </w:pPr>
      <w:r w:rsidRPr="001455DC">
        <w:t>(1)</w:t>
      </w:r>
      <w:r w:rsidRPr="001455DC">
        <w:tab/>
        <w:t>Where a column or wall is supported at its lowest level by an element other than a foundation (e.g. by a beam or flat slab) accidental loss of this element should be considered in the design and a suitable alternative load path should be provided.</w:t>
      </w:r>
    </w:p>
    <w:p w14:paraId="03A41A45" w14:textId="2D9522E4" w:rsidR="004E22C1" w:rsidRPr="001455DC" w:rsidRDefault="004E22C1" w:rsidP="00243590">
      <w:pPr>
        <w:pStyle w:val="31"/>
      </w:pPr>
      <w:bookmarkStart w:id="986" w:name="_Toc52820077"/>
      <w:bookmarkStart w:id="987" w:name="_Toc54337478"/>
      <w:bookmarkStart w:id="988" w:name="_Toc54338133"/>
      <w:bookmarkStart w:id="989" w:name="_Toc67565473"/>
      <w:r w:rsidRPr="001455DC">
        <w:t>Required resistances for ties</w:t>
      </w:r>
      <w:bookmarkEnd w:id="986"/>
      <w:bookmarkEnd w:id="987"/>
      <w:bookmarkEnd w:id="988"/>
      <w:bookmarkEnd w:id="989"/>
    </w:p>
    <w:p w14:paraId="49906863" w14:textId="77777777" w:rsidR="004E22C1" w:rsidRPr="001455DC" w:rsidRDefault="004E22C1" w:rsidP="00BB0FE4">
      <w:pPr>
        <w:pStyle w:val="a7"/>
      </w:pPr>
      <w:r w:rsidRPr="001455DC">
        <w:t>(1)</w:t>
      </w:r>
      <w:r w:rsidRPr="001455DC">
        <w:tab/>
        <w:t>Ties (see Figure 12.11) should be capable of resisting a tensile force given in Table 12.5(NDP).</w:t>
      </w:r>
    </w:p>
    <w:p w14:paraId="440174F5" w14:textId="77777777" w:rsidR="004E22C1" w:rsidRPr="001455DC" w:rsidRDefault="004E22C1" w:rsidP="00BB0FE4">
      <w:pPr>
        <w:pStyle w:val="Note"/>
      </w:pPr>
      <w:r w:rsidRPr="001455DC">
        <w:t>NOTE</w:t>
      </w:r>
      <w:r w:rsidRPr="001455DC">
        <w:tab/>
        <w:t>The recommended values in Table 12.5(NDP) apply unless a National Annex gives other values.</w:t>
      </w:r>
    </w:p>
    <w:p w14:paraId="06F0B06D" w14:textId="77777777" w:rsidR="004E22C1" w:rsidRPr="001455DC" w:rsidRDefault="004E22C1" w:rsidP="00BB0FE4">
      <w:pPr>
        <w:pStyle w:val="Tabletitle"/>
      </w:pPr>
      <w:bookmarkStart w:id="990" w:name="_Toc54337479"/>
      <w:r w:rsidRPr="001455DC">
        <w:t>Table 12.5(NDP) — Resistances for reinforcement in ties</w:t>
      </w:r>
      <w:bookmarkEnd w:id="990"/>
    </w:p>
    <w:tbl>
      <w:tblPr>
        <w:tblStyle w:val="53"/>
        <w:tblW w:w="7094" w:type="dxa"/>
        <w:tblLayout w:type="fixed"/>
        <w:tblLook w:val="0620" w:firstRow="1" w:lastRow="0" w:firstColumn="0" w:lastColumn="0" w:noHBand="1" w:noVBand="1"/>
      </w:tblPr>
      <w:tblGrid>
        <w:gridCol w:w="430"/>
        <w:gridCol w:w="3080"/>
        <w:gridCol w:w="1327"/>
        <w:gridCol w:w="2257"/>
      </w:tblGrid>
      <w:tr w:rsidR="004E22C1" w:rsidRPr="001455DC" w14:paraId="63893845" w14:textId="77777777" w:rsidTr="009D3012">
        <w:trPr>
          <w:cnfStyle w:val="100000000000" w:firstRow="1" w:lastRow="0" w:firstColumn="0" w:lastColumn="0" w:oddVBand="0" w:evenVBand="0" w:oddHBand="0" w:evenHBand="0" w:firstRowFirstColumn="0" w:firstRowLastColumn="0" w:lastRowFirstColumn="0" w:lastRowLastColumn="0"/>
          <w:tblHeader/>
        </w:trPr>
        <w:tc>
          <w:tcPr>
            <w:tcW w:w="3510" w:type="dxa"/>
            <w:gridSpan w:val="2"/>
          </w:tcPr>
          <w:p w14:paraId="5AACFBC5" w14:textId="77777777" w:rsidR="004E22C1" w:rsidRPr="001455DC" w:rsidRDefault="004E22C1" w:rsidP="00BB0FE4">
            <w:pPr>
              <w:pStyle w:val="Tableheader"/>
              <w:keepNext/>
            </w:pPr>
            <w:r w:rsidRPr="001455DC">
              <w:t>Description</w:t>
            </w:r>
          </w:p>
        </w:tc>
        <w:tc>
          <w:tcPr>
            <w:tcW w:w="1327" w:type="dxa"/>
          </w:tcPr>
          <w:p w14:paraId="39439AEB" w14:textId="77777777" w:rsidR="004E22C1" w:rsidRPr="001455DC" w:rsidRDefault="004E22C1" w:rsidP="00BB0FE4">
            <w:pPr>
              <w:pStyle w:val="Tableheader"/>
              <w:keepNext/>
            </w:pPr>
            <w:r w:rsidRPr="001455DC">
              <w:t>Symbol</w:t>
            </w:r>
          </w:p>
        </w:tc>
        <w:tc>
          <w:tcPr>
            <w:tcW w:w="2257" w:type="dxa"/>
          </w:tcPr>
          <w:p w14:paraId="719B07DA" w14:textId="77777777" w:rsidR="004E22C1" w:rsidRPr="001455DC" w:rsidRDefault="004E22C1" w:rsidP="00BB0FE4">
            <w:pPr>
              <w:pStyle w:val="Tableheader"/>
              <w:keepNext/>
            </w:pPr>
            <w:r w:rsidRPr="001455DC">
              <w:t>Requirement</w:t>
            </w:r>
          </w:p>
        </w:tc>
      </w:tr>
      <w:tr w:rsidR="004E22C1" w:rsidRPr="001455DC" w14:paraId="38A6C219" w14:textId="77777777" w:rsidTr="009D3012">
        <w:tc>
          <w:tcPr>
            <w:tcW w:w="430" w:type="dxa"/>
            <w:vAlign w:val="center"/>
          </w:tcPr>
          <w:p w14:paraId="2240957F" w14:textId="77777777" w:rsidR="004E22C1" w:rsidRPr="001455DC" w:rsidRDefault="004E22C1" w:rsidP="00BB0FE4">
            <w:pPr>
              <w:pStyle w:val="Tablebody"/>
              <w:keepNext/>
              <w:jc w:val="center"/>
            </w:pPr>
            <w:r w:rsidRPr="001455DC">
              <w:t>1</w:t>
            </w:r>
          </w:p>
        </w:tc>
        <w:tc>
          <w:tcPr>
            <w:tcW w:w="3080" w:type="dxa"/>
            <w:vAlign w:val="center"/>
          </w:tcPr>
          <w:p w14:paraId="22B3E83A" w14:textId="77777777" w:rsidR="004E22C1" w:rsidRPr="009D3012" w:rsidRDefault="004E22C1" w:rsidP="00BB0FE4">
            <w:pPr>
              <w:pStyle w:val="Tablebody"/>
              <w:keepNext/>
              <w:jc w:val="left"/>
            </w:pPr>
            <w:r w:rsidRPr="001455DC">
              <w:t>Peripheral ties</w:t>
            </w:r>
          </w:p>
        </w:tc>
        <w:tc>
          <w:tcPr>
            <w:tcW w:w="1327" w:type="dxa"/>
            <w:vAlign w:val="center"/>
          </w:tcPr>
          <w:p w14:paraId="6AE0D0A9" w14:textId="34D9FC44" w:rsidR="004E22C1" w:rsidRPr="009D3012" w:rsidRDefault="004E22C1" w:rsidP="00BB0FE4">
            <w:pPr>
              <w:pStyle w:val="Tablebody"/>
              <w:keepNext/>
              <w:jc w:val="left"/>
              <w:rPr>
                <w:rStyle w:val="CCMCvariableitalic"/>
              </w:rPr>
            </w:pPr>
            <w:r w:rsidRPr="001455DC">
              <w:rPr>
                <w:rStyle w:val="CCMCvariableitalic"/>
              </w:rPr>
              <w:t>T</w:t>
            </w:r>
            <w:r w:rsidRPr="001455DC">
              <w:rPr>
                <w:rStyle w:val="CCMCvariablesubscript"/>
              </w:rPr>
              <w:t>p</w:t>
            </w:r>
          </w:p>
        </w:tc>
        <w:tc>
          <w:tcPr>
            <w:tcW w:w="2257" w:type="dxa"/>
            <w:vAlign w:val="center"/>
          </w:tcPr>
          <w:p w14:paraId="4DB1CA32" w14:textId="77777777" w:rsidR="004E22C1" w:rsidRPr="009D3012" w:rsidRDefault="004E22C1" w:rsidP="00BB0FE4">
            <w:pPr>
              <w:pStyle w:val="Tablebody"/>
              <w:keepNext/>
              <w:jc w:val="left"/>
              <w:rPr>
                <w:rStyle w:val="CCMCvariablesuperscript"/>
              </w:rPr>
            </w:pPr>
            <w:r w:rsidRPr="009D3012">
              <w:t>EN 1991</w:t>
            </w:r>
            <w:r w:rsidRPr="001455DC">
              <w:noBreakHyphen/>
              <w:t>1</w:t>
            </w:r>
            <w:r w:rsidRPr="001455DC">
              <w:noBreakHyphen/>
              <w:t>7</w:t>
            </w:r>
          </w:p>
        </w:tc>
      </w:tr>
      <w:tr w:rsidR="004E22C1" w:rsidRPr="001455DC" w14:paraId="676787B7" w14:textId="77777777" w:rsidTr="009D3012">
        <w:tc>
          <w:tcPr>
            <w:tcW w:w="430" w:type="dxa"/>
            <w:vAlign w:val="center"/>
          </w:tcPr>
          <w:p w14:paraId="7070FC11" w14:textId="77777777" w:rsidR="004E22C1" w:rsidRPr="001455DC" w:rsidRDefault="004E22C1" w:rsidP="00BB0FE4">
            <w:pPr>
              <w:pStyle w:val="Tablebody"/>
              <w:keepNext/>
              <w:jc w:val="center"/>
            </w:pPr>
            <w:r w:rsidRPr="001455DC">
              <w:t>2</w:t>
            </w:r>
          </w:p>
        </w:tc>
        <w:tc>
          <w:tcPr>
            <w:tcW w:w="3080" w:type="dxa"/>
            <w:vAlign w:val="center"/>
          </w:tcPr>
          <w:p w14:paraId="398300DA" w14:textId="4D684989" w:rsidR="004E22C1" w:rsidRPr="001455DC" w:rsidRDefault="004E22C1" w:rsidP="00BB0FE4">
            <w:pPr>
              <w:pStyle w:val="Tablebody"/>
              <w:keepNext/>
              <w:jc w:val="left"/>
            </w:pPr>
            <w:r w:rsidRPr="001455DC">
              <w:t>Internal ties</w:t>
            </w:r>
          </w:p>
        </w:tc>
        <w:tc>
          <w:tcPr>
            <w:tcW w:w="1327" w:type="dxa"/>
            <w:vAlign w:val="center"/>
          </w:tcPr>
          <w:p w14:paraId="71C47B97" w14:textId="77777777" w:rsidR="004E22C1" w:rsidRPr="009D3012" w:rsidRDefault="004E22C1" w:rsidP="00BB0FE4">
            <w:pPr>
              <w:pStyle w:val="Tablebody"/>
              <w:keepNext/>
              <w:jc w:val="left"/>
              <w:rPr>
                <w:rStyle w:val="CCMCvariableitalic"/>
              </w:rPr>
            </w:pPr>
            <w:r w:rsidRPr="001455DC">
              <w:rPr>
                <w:rStyle w:val="CCMCvariableitalic"/>
              </w:rPr>
              <w:t>T</w:t>
            </w:r>
            <w:r w:rsidRPr="001455DC">
              <w:rPr>
                <w:rStyle w:val="CCMCvariablesubscript"/>
              </w:rPr>
              <w:t>i</w:t>
            </w:r>
          </w:p>
        </w:tc>
        <w:tc>
          <w:tcPr>
            <w:tcW w:w="2257" w:type="dxa"/>
            <w:vAlign w:val="center"/>
          </w:tcPr>
          <w:p w14:paraId="19C64C3D" w14:textId="77777777" w:rsidR="004E22C1" w:rsidRPr="001455DC" w:rsidRDefault="004E22C1" w:rsidP="00BB0FE4">
            <w:pPr>
              <w:pStyle w:val="Tablebody"/>
              <w:keepNext/>
              <w:jc w:val="left"/>
              <w:rPr>
                <w:b/>
              </w:rPr>
            </w:pPr>
            <w:r w:rsidRPr="001455DC">
              <w:t>EN 1991</w:t>
            </w:r>
            <w:r w:rsidRPr="001455DC">
              <w:noBreakHyphen/>
              <w:t>1</w:t>
            </w:r>
            <w:r w:rsidRPr="001455DC">
              <w:noBreakHyphen/>
              <w:t>7</w:t>
            </w:r>
          </w:p>
        </w:tc>
      </w:tr>
      <w:tr w:rsidR="004E22C1" w:rsidRPr="001455DC" w14:paraId="57E5C1D5" w14:textId="77777777" w:rsidTr="009D3012">
        <w:tc>
          <w:tcPr>
            <w:tcW w:w="430" w:type="dxa"/>
            <w:vAlign w:val="center"/>
          </w:tcPr>
          <w:p w14:paraId="09CE633B" w14:textId="77777777" w:rsidR="004E22C1" w:rsidRPr="001455DC" w:rsidRDefault="004E22C1" w:rsidP="00BB0FE4">
            <w:pPr>
              <w:pStyle w:val="Tablebody"/>
              <w:keepNext/>
              <w:jc w:val="center"/>
            </w:pPr>
            <w:r w:rsidRPr="001455DC">
              <w:t>3</w:t>
            </w:r>
          </w:p>
        </w:tc>
        <w:tc>
          <w:tcPr>
            <w:tcW w:w="3080" w:type="dxa"/>
            <w:vAlign w:val="center"/>
          </w:tcPr>
          <w:p w14:paraId="4DC1898D" w14:textId="29AF7AF8" w:rsidR="004E22C1" w:rsidRPr="001455DC" w:rsidRDefault="004E22C1" w:rsidP="00BB0FE4">
            <w:pPr>
              <w:pStyle w:val="Tablebody"/>
              <w:keepNext/>
              <w:jc w:val="left"/>
            </w:pPr>
            <w:r w:rsidRPr="001455DC">
              <w:t>Vertical ties</w:t>
            </w:r>
          </w:p>
        </w:tc>
        <w:tc>
          <w:tcPr>
            <w:tcW w:w="1327" w:type="dxa"/>
            <w:vAlign w:val="center"/>
          </w:tcPr>
          <w:p w14:paraId="14C6CC21" w14:textId="77777777" w:rsidR="004E22C1" w:rsidRPr="009D3012" w:rsidRDefault="004E22C1" w:rsidP="00BB0FE4">
            <w:pPr>
              <w:pStyle w:val="Tablebody"/>
              <w:keepNext/>
              <w:jc w:val="left"/>
              <w:rPr>
                <w:rStyle w:val="CCMCvariableitalic"/>
              </w:rPr>
            </w:pPr>
            <w:r w:rsidRPr="001455DC">
              <w:rPr>
                <w:rStyle w:val="CCMCvariableitalic"/>
              </w:rPr>
              <w:t>T</w:t>
            </w:r>
            <w:r w:rsidRPr="001455DC">
              <w:rPr>
                <w:rStyle w:val="CCMCvariablesubscript"/>
              </w:rPr>
              <w:t>v</w:t>
            </w:r>
          </w:p>
        </w:tc>
        <w:tc>
          <w:tcPr>
            <w:tcW w:w="2257" w:type="dxa"/>
            <w:vAlign w:val="center"/>
          </w:tcPr>
          <w:p w14:paraId="2991C2AA" w14:textId="77777777" w:rsidR="004E22C1" w:rsidRPr="001455DC" w:rsidRDefault="004E22C1" w:rsidP="00BB0FE4">
            <w:pPr>
              <w:pStyle w:val="Tablebody"/>
              <w:keepNext/>
              <w:jc w:val="left"/>
              <w:rPr>
                <w:b/>
              </w:rPr>
            </w:pPr>
            <w:r w:rsidRPr="001455DC">
              <w:t>EN 1991</w:t>
            </w:r>
            <w:r w:rsidRPr="001455DC">
              <w:noBreakHyphen/>
              <w:t>1</w:t>
            </w:r>
            <w:r w:rsidRPr="001455DC">
              <w:noBreakHyphen/>
              <w:t>7</w:t>
            </w:r>
          </w:p>
        </w:tc>
      </w:tr>
      <w:tr w:rsidR="004E22C1" w:rsidRPr="001455DC" w14:paraId="305E9F57" w14:textId="77777777" w:rsidTr="009D3012">
        <w:tc>
          <w:tcPr>
            <w:tcW w:w="430" w:type="dxa"/>
            <w:vAlign w:val="center"/>
          </w:tcPr>
          <w:p w14:paraId="2449EC8F" w14:textId="77777777" w:rsidR="004E22C1" w:rsidRPr="001455DC" w:rsidRDefault="004E22C1" w:rsidP="00BB0FE4">
            <w:pPr>
              <w:pStyle w:val="Tablebody"/>
              <w:keepNext/>
              <w:jc w:val="center"/>
            </w:pPr>
            <w:r w:rsidRPr="001455DC">
              <w:t>4</w:t>
            </w:r>
          </w:p>
        </w:tc>
        <w:tc>
          <w:tcPr>
            <w:tcW w:w="3080" w:type="dxa"/>
            <w:vAlign w:val="center"/>
          </w:tcPr>
          <w:p w14:paraId="4304FE2B" w14:textId="77777777" w:rsidR="004E22C1" w:rsidRPr="001455DC" w:rsidRDefault="004E22C1" w:rsidP="00BB0FE4">
            <w:pPr>
              <w:pStyle w:val="Tablebody"/>
              <w:keepNext/>
              <w:jc w:val="left"/>
            </w:pPr>
            <w:r w:rsidRPr="001455DC">
              <w:t>Horizontal ties to walls</w:t>
            </w:r>
          </w:p>
        </w:tc>
        <w:tc>
          <w:tcPr>
            <w:tcW w:w="1327" w:type="dxa"/>
            <w:vAlign w:val="center"/>
          </w:tcPr>
          <w:p w14:paraId="319797C1" w14:textId="77777777" w:rsidR="004E22C1" w:rsidRPr="009D3012" w:rsidRDefault="004E22C1" w:rsidP="00BB0FE4">
            <w:pPr>
              <w:pStyle w:val="Tablebody"/>
              <w:keepNext/>
              <w:jc w:val="left"/>
              <w:rPr>
                <w:rStyle w:val="CCMCvariableitalic"/>
              </w:rPr>
            </w:pPr>
            <w:r w:rsidRPr="001455DC">
              <w:rPr>
                <w:rStyle w:val="CCMCvariableitalic"/>
              </w:rPr>
              <w:t>t</w:t>
            </w:r>
            <w:r w:rsidRPr="001455DC">
              <w:rPr>
                <w:rStyle w:val="CCMCvariablesubscript"/>
              </w:rPr>
              <w:t>fac</w:t>
            </w:r>
          </w:p>
        </w:tc>
        <w:tc>
          <w:tcPr>
            <w:tcW w:w="2257" w:type="dxa"/>
            <w:vAlign w:val="center"/>
          </w:tcPr>
          <w:p w14:paraId="1FA5A2AE" w14:textId="413EC81E" w:rsidR="004E22C1" w:rsidRPr="001455DC" w:rsidRDefault="00650035" w:rsidP="00BB0FE4">
            <w:pPr>
              <w:pStyle w:val="Tablebody"/>
              <w:keepNext/>
              <w:jc w:val="left"/>
            </w:pPr>
            <w:r w:rsidRPr="001455DC">
              <w:rPr>
                <w:rFonts w:ascii="Cambria Math" w:hAnsi="Cambria Math"/>
              </w:rPr>
              <w:t>≥</w:t>
            </w:r>
            <w:r w:rsidR="00073FC6" w:rsidRPr="001455DC">
              <w:t> </w:t>
            </w:r>
            <w:r w:rsidR="004E22C1" w:rsidRPr="001455DC">
              <w:t>20</w:t>
            </w:r>
            <w:r w:rsidR="00116AE2" w:rsidRPr="001455DC">
              <w:t> kN/</w:t>
            </w:r>
            <w:r w:rsidR="004E22C1" w:rsidRPr="001455DC">
              <w:t>m</w:t>
            </w:r>
          </w:p>
        </w:tc>
      </w:tr>
      <w:tr w:rsidR="004E22C1" w:rsidRPr="001455DC" w14:paraId="736743A0" w14:textId="77777777" w:rsidTr="009D3012">
        <w:tc>
          <w:tcPr>
            <w:tcW w:w="430" w:type="dxa"/>
            <w:vAlign w:val="center"/>
          </w:tcPr>
          <w:p w14:paraId="391393F0" w14:textId="77777777" w:rsidR="004E22C1" w:rsidRPr="001455DC" w:rsidRDefault="004E22C1" w:rsidP="00BB0FE4">
            <w:pPr>
              <w:pStyle w:val="Tablebody"/>
              <w:jc w:val="center"/>
            </w:pPr>
            <w:r w:rsidRPr="001455DC">
              <w:t>5</w:t>
            </w:r>
          </w:p>
        </w:tc>
        <w:tc>
          <w:tcPr>
            <w:tcW w:w="3080" w:type="dxa"/>
            <w:vAlign w:val="center"/>
          </w:tcPr>
          <w:p w14:paraId="3F1F3508" w14:textId="4C0D53C2" w:rsidR="004E22C1" w:rsidRPr="001455DC" w:rsidRDefault="004E22C1" w:rsidP="00BB0FE4">
            <w:pPr>
              <w:pStyle w:val="Tablebody"/>
              <w:jc w:val="left"/>
            </w:pPr>
            <w:r w:rsidRPr="001455DC">
              <w:t>Horizontal ties to columns</w:t>
            </w:r>
          </w:p>
        </w:tc>
        <w:tc>
          <w:tcPr>
            <w:tcW w:w="1327" w:type="dxa"/>
            <w:vAlign w:val="center"/>
          </w:tcPr>
          <w:p w14:paraId="2B423B64" w14:textId="77777777" w:rsidR="004E22C1" w:rsidRPr="009D3012" w:rsidRDefault="004E22C1" w:rsidP="00BB0FE4">
            <w:pPr>
              <w:pStyle w:val="Tablebody"/>
              <w:jc w:val="left"/>
              <w:rPr>
                <w:rStyle w:val="CCMCvariableitalic"/>
              </w:rPr>
            </w:pPr>
            <w:r w:rsidRPr="001455DC">
              <w:rPr>
                <w:rStyle w:val="CCMCvariableitalic"/>
              </w:rPr>
              <w:t>T</w:t>
            </w:r>
            <w:r w:rsidRPr="001455DC">
              <w:rPr>
                <w:rStyle w:val="CCMCvariablesubscript"/>
              </w:rPr>
              <w:t>col</w:t>
            </w:r>
          </w:p>
        </w:tc>
        <w:tc>
          <w:tcPr>
            <w:tcW w:w="2257" w:type="dxa"/>
            <w:vAlign w:val="center"/>
          </w:tcPr>
          <w:p w14:paraId="26ED29BF" w14:textId="1D7E80A2" w:rsidR="004E22C1" w:rsidRPr="001455DC" w:rsidRDefault="00650035" w:rsidP="00BB0FE4">
            <w:pPr>
              <w:pStyle w:val="Tablebody"/>
              <w:jc w:val="left"/>
            </w:pPr>
            <w:r w:rsidRPr="001455DC">
              <w:rPr>
                <w:rFonts w:ascii="Cambria Math" w:hAnsi="Cambria Math"/>
              </w:rPr>
              <w:t>≥</w:t>
            </w:r>
            <w:r w:rsidR="00073FC6" w:rsidRPr="001455DC">
              <w:t> </w:t>
            </w:r>
            <w:r w:rsidR="004E22C1" w:rsidRPr="001455DC">
              <w:t>150 kN</w:t>
            </w:r>
          </w:p>
        </w:tc>
      </w:tr>
    </w:tbl>
    <w:p w14:paraId="5B9A36A7" w14:textId="77777777" w:rsidR="004E22C1" w:rsidRPr="001455DC" w:rsidRDefault="004E22C1" w:rsidP="00BB0FE4">
      <w:pPr>
        <w:pStyle w:val="a7"/>
        <w:rPr>
          <w:noProof/>
        </w:rPr>
      </w:pPr>
    </w:p>
    <w:p w14:paraId="462F834D" w14:textId="3AE056E4" w:rsidR="004E22C1" w:rsidRPr="001455DC" w:rsidRDefault="00723CF7" w:rsidP="00BB0FE4">
      <w:pPr>
        <w:pStyle w:val="FigureImage"/>
      </w:pPr>
      <w:r>
        <w:rPr>
          <w:noProof/>
          <w:lang w:eastAsia="en-GB"/>
        </w:rPr>
        <w:fldChar w:fldCharType="begin"/>
      </w:r>
      <w:r>
        <w:rPr>
          <w:noProof/>
          <w:lang w:eastAsia="en-GB"/>
        </w:rPr>
        <w:instrText xml:space="preserve"> INCLUDEPICTURE  "Y:\\STD_MGT\\STDDEL\\PRODUCTION\\etrans\\Download\\Z_FIRST_DEL\\SV\\00250\\00250269\\41_e_dr\\12_010.tif"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"Y:\\STD_MGT\\STDDEL\\PRODUCTION\\Standards\\00250\\269\\41_e_dr\\12_010.tif"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"Y:\\STD_MGT\\STDDEL\\PRODUCTION\\Standards\\00250\\269\\41_e_dr\\12_010.tif"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"Y:\\STD_MGT\\STDDEL\\PRODUCTION\\Standards\\00250\\269\\41_e_dr\\12_010.tif"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"Y:\\STD_MGT\\STDDEL\\PRODUCTION\\Standards\\00250\\269\\41_e_dr\\12_010.tif"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"Y:\\STD_MGT\\STDDEL\\PRODUCTION\\Standards\\00250\\269\\41_e_dr\\12_010.tif"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"C:\\Users\\a.dionysiou\\AppData\\Local\\Temp\\Temp1_00250269_e_20210902.zip.zip\\41_e_dr\\12_010.tif"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3A2EC1E5">
          <v:shape id="_x0000_i1275" type="#_x0000_t75" style="width:294pt;height:127.5pt">
            <v:imagedata r:id="rId520" r:href="rId521"/>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62924D9C" w14:textId="77777777" w:rsidR="00243590" w:rsidRDefault="003C7E57" w:rsidP="00243590">
      <w:pPr>
        <w:pStyle w:val="KeyTitle"/>
      </w:pPr>
      <w:r>
        <w:t>Key</w:t>
      </w:r>
    </w:p>
    <w:tbl>
      <w:tblPr>
        <w:tblW w:w="0" w:type="auto"/>
        <w:tblInd w:w="-100" w:type="dxa"/>
        <w:tblCellMar>
          <w:left w:w="100" w:type="dxa"/>
        </w:tblCellMar>
        <w:tblLook w:val="0000" w:firstRow="0" w:lastRow="0" w:firstColumn="0" w:lastColumn="0" w:noHBand="0" w:noVBand="0"/>
      </w:tblPr>
      <w:tblGrid>
        <w:gridCol w:w="319"/>
        <w:gridCol w:w="2676"/>
      </w:tblGrid>
      <w:tr w:rsidR="00243590" w:rsidRPr="00243590" w14:paraId="5A179F87" w14:textId="77777777" w:rsidTr="00243590">
        <w:tc>
          <w:tcPr>
            <w:tcW w:w="0" w:type="auto"/>
            <w:shd w:val="clear" w:color="auto" w:fill="auto"/>
          </w:tcPr>
          <w:p w14:paraId="3ABEDE0F" w14:textId="77777777" w:rsidR="00243590" w:rsidRPr="00243590" w:rsidRDefault="00243590" w:rsidP="00AD033B">
            <w:pPr>
              <w:pStyle w:val="KeyText"/>
              <w:tabs>
                <w:tab w:val="clear" w:pos="346"/>
              </w:tabs>
              <w:ind w:left="0" w:firstLine="0"/>
            </w:pPr>
            <w:r w:rsidRPr="00243590">
              <w:t>1</w:t>
            </w:r>
          </w:p>
        </w:tc>
        <w:tc>
          <w:tcPr>
            <w:tcW w:w="0" w:type="auto"/>
            <w:shd w:val="clear" w:color="auto" w:fill="auto"/>
          </w:tcPr>
          <w:p w14:paraId="4759C642" w14:textId="77777777" w:rsidR="00243590" w:rsidRPr="00243590" w:rsidRDefault="00243590" w:rsidP="00AD033B">
            <w:pPr>
              <w:pStyle w:val="KeyText"/>
              <w:tabs>
                <w:tab w:val="clear" w:pos="346"/>
              </w:tabs>
              <w:ind w:left="0" w:firstLine="0"/>
            </w:pPr>
            <w:r w:rsidRPr="00243590">
              <w:t>peripheral tie</w:t>
            </w:r>
          </w:p>
        </w:tc>
      </w:tr>
      <w:tr w:rsidR="00243590" w:rsidRPr="00243590" w14:paraId="633E7D6D" w14:textId="77777777" w:rsidTr="00243590">
        <w:tc>
          <w:tcPr>
            <w:tcW w:w="0" w:type="auto"/>
            <w:shd w:val="clear" w:color="auto" w:fill="auto"/>
          </w:tcPr>
          <w:p w14:paraId="574FD7CE" w14:textId="77777777" w:rsidR="00243590" w:rsidRPr="00243590" w:rsidRDefault="00243590" w:rsidP="00AD033B">
            <w:pPr>
              <w:pStyle w:val="KeyText"/>
              <w:tabs>
                <w:tab w:val="clear" w:pos="346"/>
              </w:tabs>
              <w:ind w:left="0" w:firstLine="0"/>
            </w:pPr>
            <w:r w:rsidRPr="00243590">
              <w:t>2</w:t>
            </w:r>
          </w:p>
        </w:tc>
        <w:tc>
          <w:tcPr>
            <w:tcW w:w="0" w:type="auto"/>
            <w:shd w:val="clear" w:color="auto" w:fill="auto"/>
          </w:tcPr>
          <w:p w14:paraId="2D16EAE7" w14:textId="77777777" w:rsidR="00243590" w:rsidRPr="00243590" w:rsidRDefault="00243590" w:rsidP="00AD033B">
            <w:pPr>
              <w:pStyle w:val="KeyText"/>
              <w:tabs>
                <w:tab w:val="clear" w:pos="346"/>
              </w:tabs>
              <w:ind w:left="0" w:firstLine="0"/>
            </w:pPr>
            <w:r w:rsidRPr="00243590">
              <w:t>internal tie</w:t>
            </w:r>
          </w:p>
        </w:tc>
      </w:tr>
      <w:tr w:rsidR="00243590" w:rsidRPr="00243590" w14:paraId="2A06867A" w14:textId="77777777" w:rsidTr="00243590">
        <w:tc>
          <w:tcPr>
            <w:tcW w:w="0" w:type="auto"/>
            <w:shd w:val="clear" w:color="auto" w:fill="auto"/>
          </w:tcPr>
          <w:p w14:paraId="6F5EB2CF" w14:textId="77777777" w:rsidR="00243590" w:rsidRPr="00243590" w:rsidRDefault="00243590" w:rsidP="00AD033B">
            <w:pPr>
              <w:pStyle w:val="KeyText"/>
              <w:tabs>
                <w:tab w:val="clear" w:pos="346"/>
              </w:tabs>
              <w:ind w:left="0" w:firstLine="0"/>
            </w:pPr>
            <w:r w:rsidRPr="00243590">
              <w:t>3</w:t>
            </w:r>
          </w:p>
        </w:tc>
        <w:tc>
          <w:tcPr>
            <w:tcW w:w="0" w:type="auto"/>
            <w:shd w:val="clear" w:color="auto" w:fill="auto"/>
          </w:tcPr>
          <w:p w14:paraId="1EFEA4D7" w14:textId="77777777" w:rsidR="00243590" w:rsidRPr="00243590" w:rsidRDefault="00243590" w:rsidP="00AD033B">
            <w:pPr>
              <w:pStyle w:val="KeyText"/>
              <w:tabs>
                <w:tab w:val="clear" w:pos="346"/>
              </w:tabs>
              <w:ind w:left="0" w:firstLine="0"/>
            </w:pPr>
            <w:r w:rsidRPr="00243590">
              <w:t>horizontal column or wall tie</w:t>
            </w:r>
          </w:p>
        </w:tc>
      </w:tr>
    </w:tbl>
    <w:p w14:paraId="27CD0AA0" w14:textId="03BB5540" w:rsidR="004E22C1" w:rsidRPr="001455DC" w:rsidRDefault="004E22C1" w:rsidP="00BB0FE4">
      <w:pPr>
        <w:pStyle w:val="Figuretitle"/>
        <w:rPr>
          <w:noProof/>
          <w:lang w:eastAsia="nb-NO"/>
        </w:rPr>
      </w:pPr>
      <w:r w:rsidRPr="001455DC">
        <w:t>Figure 12.</w:t>
      </w:r>
      <w:r w:rsidR="00256080" w:rsidRPr="001455DC">
        <w:t>1</w:t>
      </w:r>
      <w:r w:rsidR="00256080">
        <w:t>0</w:t>
      </w:r>
      <w:r w:rsidR="00256080" w:rsidRPr="001455DC">
        <w:t> </w:t>
      </w:r>
      <w:r w:rsidRPr="001455DC">
        <w:t>— Ties for robustness</w:t>
      </w:r>
    </w:p>
    <w:p w14:paraId="7276BC72" w14:textId="3653273F" w:rsidR="004E22C1" w:rsidRPr="001455DC" w:rsidRDefault="004E22C1" w:rsidP="006D682B">
      <w:pPr>
        <w:pStyle w:val="21"/>
      </w:pPr>
      <w:bookmarkStart w:id="991" w:name="_Toc52820078"/>
      <w:bookmarkStart w:id="992" w:name="_Toc54337480"/>
      <w:bookmarkStart w:id="993" w:name="_Toc54338134"/>
      <w:bookmarkStart w:id="994" w:name="_Toc67565474"/>
      <w:r w:rsidRPr="001455DC">
        <w:t>Supports, bearings and expansion joints</w:t>
      </w:r>
      <w:bookmarkEnd w:id="991"/>
      <w:bookmarkEnd w:id="992"/>
      <w:bookmarkEnd w:id="993"/>
      <w:bookmarkEnd w:id="994"/>
    </w:p>
    <w:p w14:paraId="502853BE" w14:textId="77777777" w:rsidR="004E22C1" w:rsidRPr="001455DC" w:rsidRDefault="004E22C1" w:rsidP="00BB0FE4">
      <w:pPr>
        <w:pStyle w:val="a7"/>
      </w:pPr>
      <w:r w:rsidRPr="001455DC">
        <w:t>(1)</w:t>
      </w:r>
      <w:r w:rsidRPr="001455DC">
        <w:tab/>
        <w:t>Supports and bearings shall be designed and detailed for the relevant actions (loads, movements, rotations) to ensure correct positioning of the bearing reaction in accordance with the design model, taking into account construction deviations.</w:t>
      </w:r>
    </w:p>
    <w:p w14:paraId="36217B5D" w14:textId="52C26749" w:rsidR="004E22C1" w:rsidRPr="001455DC" w:rsidRDefault="004E22C1" w:rsidP="00BB0FE4">
      <w:pPr>
        <w:pStyle w:val="a7"/>
      </w:pPr>
      <w:r w:rsidRPr="001455DC">
        <w:t>(2)</w:t>
      </w:r>
      <w:r w:rsidRPr="001455DC">
        <w:tab/>
        <w:t>For supports and bearings which permit movements, the shift of the bearing reaction should be taken into account in the design of the adjacent members.</w:t>
      </w:r>
    </w:p>
    <w:p w14:paraId="3D86625F" w14:textId="77777777" w:rsidR="004E22C1" w:rsidRPr="001455DC" w:rsidRDefault="004E22C1" w:rsidP="00BB0FE4">
      <w:pPr>
        <w:pStyle w:val="a7"/>
      </w:pPr>
      <w:r w:rsidRPr="001455DC">
        <w:t>(3)</w:t>
      </w:r>
      <w:r w:rsidRPr="001455DC">
        <w:tab/>
        <w:t>For supports which do not permit movements or rotation without overcoming significant restraint, actions due to restrained movements of the adjacent members (elastic, creep, shrinkage, temperature) and misalignment, lack of plumb, etc. shall be taken into account in the design of these members.</w:t>
      </w:r>
    </w:p>
    <w:p w14:paraId="6778AA34" w14:textId="77777777" w:rsidR="004E22C1" w:rsidRPr="001455DC" w:rsidRDefault="004E22C1" w:rsidP="00BB0FE4">
      <w:pPr>
        <w:pStyle w:val="a7"/>
      </w:pPr>
      <w:r w:rsidRPr="001455DC">
        <w:t>(4)</w:t>
      </w:r>
      <w:r w:rsidRPr="001455DC">
        <w:tab/>
        <w:t>Positioning and sizing of supports and bearings as well as detailing of reinforcement in supporting and supported members shall ensure effective transfer of forces compatible with the assumed action effects in the members and in the respective nodes of stress field or struts and ties, see Figure 8.28. Ties in the form of bent bars should effectively enclose the node.</w:t>
      </w:r>
    </w:p>
    <w:p w14:paraId="1B2688F9" w14:textId="77777777" w:rsidR="004E22C1" w:rsidRPr="001455DC" w:rsidRDefault="004E22C1" w:rsidP="00E844D2">
      <w:pPr>
        <w:pStyle w:val="a7"/>
        <w:keepNext/>
      </w:pPr>
      <w:r w:rsidRPr="001455DC">
        <w:t>(5)</w:t>
      </w:r>
      <w:r w:rsidRPr="001455DC">
        <w:tab/>
        <w:t xml:space="preserve">The nominal length </w:t>
      </w:r>
      <w:r w:rsidRPr="001455DC">
        <w:rPr>
          <w:rStyle w:val="CCMCvariableitalic"/>
        </w:rPr>
        <w:t>a</w:t>
      </w:r>
      <w:r w:rsidRPr="001455DC">
        <w:rPr>
          <w:rStyle w:val="CCMCvariablesubscript"/>
        </w:rPr>
        <w:t>1</w:t>
      </w:r>
      <w:r w:rsidRPr="001455DC">
        <w:t xml:space="preserve"> of a simple support or bearing as shown in Figure 12.12 should be detailed accounting for:</w:t>
      </w:r>
    </w:p>
    <w:p w14:paraId="30618A81" w14:textId="444EC7BF" w:rsidR="004E22C1" w:rsidRPr="001455DC" w:rsidRDefault="004E22C1" w:rsidP="00BB0FE4">
      <w:pPr>
        <w:pStyle w:val="a0"/>
      </w:pPr>
      <w:r w:rsidRPr="001455DC">
        <w:t xml:space="preserve">the net support or bearing length </w:t>
      </w:r>
      <w:r w:rsidRPr="001455DC">
        <w:rPr>
          <w:rStyle w:val="CCMCvariableitalic"/>
        </w:rPr>
        <w:t>a</w:t>
      </w:r>
      <w:r w:rsidRPr="001455DC">
        <w:rPr>
          <w:rStyle w:val="CCMCvariablesubscript"/>
        </w:rPr>
        <w:t>1</w:t>
      </w:r>
      <w:r w:rsidRPr="001455DC">
        <w:t xml:space="preserve"> with regard to bearing capacity as defined in (6),</w:t>
      </w:r>
    </w:p>
    <w:p w14:paraId="290B4CBC" w14:textId="641E3F89" w:rsidR="004E22C1" w:rsidRPr="001455DC" w:rsidRDefault="004E22C1" w:rsidP="00BB0FE4">
      <w:pPr>
        <w:pStyle w:val="a0"/>
      </w:pPr>
      <w:r w:rsidRPr="001455DC">
        <w:t>anticipated movements where relevant,</w:t>
      </w:r>
    </w:p>
    <w:p w14:paraId="318B81EB" w14:textId="5D9C12F1" w:rsidR="004E22C1" w:rsidRPr="001455DC" w:rsidRDefault="004E22C1" w:rsidP="00BB0FE4">
      <w:pPr>
        <w:pStyle w:val="a0"/>
      </w:pPr>
      <w:r w:rsidRPr="001455DC">
        <w:t>edge distances of supported and supporting members that may be considered ineffective due to, for example, the possibility of spalling or crumbling or due to incompatible stiffness,</w:t>
      </w:r>
    </w:p>
    <w:p w14:paraId="5003E1FF" w14:textId="7E9F19C0" w:rsidR="004E22C1" w:rsidRPr="001455DC" w:rsidRDefault="004E22C1" w:rsidP="00BB0FE4">
      <w:pPr>
        <w:pStyle w:val="a0"/>
      </w:pPr>
      <w:r w:rsidRPr="001455DC">
        <w:t>the allowances for construction deviations Δ</w:t>
      </w:r>
      <w:r w:rsidRPr="001455DC">
        <w:rPr>
          <w:rStyle w:val="CCMCvariableitalic"/>
        </w:rPr>
        <w:t>a</w:t>
      </w:r>
      <w:r w:rsidRPr="001455DC">
        <w:rPr>
          <w:rStyle w:val="CCMCvariablesubscript"/>
        </w:rPr>
        <w:t>2</w:t>
      </w:r>
      <w:r w:rsidRPr="001455DC">
        <w:t xml:space="preserve"> and Δ</w:t>
      </w:r>
      <w:r w:rsidRPr="001455DC">
        <w:rPr>
          <w:rStyle w:val="CCMCvariableitalic"/>
        </w:rPr>
        <w:t>a</w:t>
      </w:r>
      <w:r w:rsidRPr="001455DC">
        <w:rPr>
          <w:rStyle w:val="CCMCvariablesubscript"/>
        </w:rPr>
        <w:t>3</w:t>
      </w:r>
      <w:r w:rsidRPr="001455DC">
        <w:t xml:space="preserve"> in geometry and position of the supported and supporting members.</w:t>
      </w:r>
    </w:p>
    <w:p w14:paraId="4001D45F" w14:textId="77777777" w:rsidR="004E22C1" w:rsidRPr="001455DC" w:rsidRDefault="004E22C1" w:rsidP="00E844D2">
      <w:pPr>
        <w:pStyle w:val="a7"/>
        <w:keepNext/>
      </w:pPr>
      <w:r w:rsidRPr="001455DC">
        <w:t>Detailing of members and supports should respect the following conditions, see Figure 12.12:</w:t>
      </w:r>
    </w:p>
    <w:p w14:paraId="213D0719" w14:textId="09F4878E" w:rsidR="004E22C1" w:rsidRPr="001455DC" w:rsidRDefault="004E22C1" w:rsidP="00BB0FE4">
      <w:pPr>
        <w:pStyle w:val="a0"/>
        <w:tabs>
          <w:tab w:val="left" w:pos="357"/>
        </w:tabs>
        <w:ind w:left="2268" w:hanging="2268"/>
      </w:pPr>
      <w:r w:rsidRPr="001455DC">
        <w:rPr>
          <w:rStyle w:val="CCMCvariableitalic"/>
        </w:rPr>
        <w:t>d</w:t>
      </w:r>
      <w:r w:rsidRPr="001455DC">
        <w:rPr>
          <w:rStyle w:val="CCMCvariablesubscript"/>
        </w:rPr>
        <w:t>i</w:t>
      </w:r>
      <w:r w:rsidRPr="001455DC">
        <w:t> </w:t>
      </w:r>
      <w:r w:rsidR="00EC27D2" w:rsidRPr="001455DC">
        <w:rPr>
          <w:rFonts w:ascii="Cambria Math" w:hAnsi="Cambria Math"/>
        </w:rPr>
        <w:t>=</w:t>
      </w:r>
      <w:r w:rsidRPr="001455DC">
        <w:t> </w:t>
      </w:r>
      <w:r w:rsidRPr="001455DC">
        <w:rPr>
          <w:rStyle w:val="CCMCvariableitalic"/>
        </w:rPr>
        <w:t>c</w:t>
      </w:r>
      <w:r w:rsidRPr="001455DC">
        <w:rPr>
          <w:rStyle w:val="CCMCvariablesubscript"/>
        </w:rPr>
        <w:t>i</w:t>
      </w:r>
      <w:r w:rsidR="00EC27D2" w:rsidRPr="001455DC">
        <w:rPr>
          <w:rFonts w:ascii="Cambria Math" w:hAnsi="Cambria Math"/>
        </w:rPr>
        <w:t> + </w:t>
      </w:r>
      <w:r w:rsidRPr="001455DC">
        <w:t>Δ</w:t>
      </w:r>
      <w:r w:rsidRPr="001455DC">
        <w:rPr>
          <w:rStyle w:val="CCMCvariableitalic"/>
        </w:rPr>
        <w:t>a</w:t>
      </w:r>
      <w:r w:rsidRPr="001455DC">
        <w:rPr>
          <w:rStyle w:val="CCMCvariablesubscript"/>
        </w:rPr>
        <w:t>i</w:t>
      </w:r>
      <w:r w:rsidRPr="001455DC">
        <w:tab/>
        <w:t>with horizontal U-bar loops or otherwise anchored bars,</w:t>
      </w:r>
    </w:p>
    <w:p w14:paraId="3D46019B" w14:textId="00770A82" w:rsidR="004E22C1" w:rsidRPr="001455DC" w:rsidRDefault="004E22C1" w:rsidP="00BB0FE4">
      <w:pPr>
        <w:pStyle w:val="a0"/>
        <w:tabs>
          <w:tab w:val="left" w:pos="357"/>
        </w:tabs>
        <w:ind w:left="2268" w:hanging="2268"/>
      </w:pPr>
      <w:r w:rsidRPr="001455DC">
        <w:rPr>
          <w:rStyle w:val="CCMCvariableitalic"/>
        </w:rPr>
        <w:t>d</w:t>
      </w:r>
      <w:r w:rsidRPr="001455DC">
        <w:rPr>
          <w:rStyle w:val="CCMCvariablesubscript"/>
        </w:rPr>
        <w:t>i</w:t>
      </w:r>
      <w:r w:rsidRPr="001455DC">
        <w:t> </w:t>
      </w:r>
      <w:r w:rsidR="00EC27D2" w:rsidRPr="001455DC">
        <w:rPr>
          <w:rFonts w:ascii="Cambria Math" w:hAnsi="Cambria Math"/>
        </w:rPr>
        <w:t>=</w:t>
      </w:r>
      <w:r w:rsidRPr="001455DC">
        <w:t> </w:t>
      </w:r>
      <w:r w:rsidRPr="001455DC">
        <w:rPr>
          <w:rStyle w:val="CCMCvariableitalic"/>
        </w:rPr>
        <w:t>c</w:t>
      </w:r>
      <w:r w:rsidRPr="001455DC">
        <w:rPr>
          <w:rStyle w:val="CCMCvariablesubscript"/>
        </w:rPr>
        <w:t>i</w:t>
      </w:r>
      <w:r w:rsidR="00EC27D2" w:rsidRPr="001455DC">
        <w:rPr>
          <w:rFonts w:ascii="Cambria Math" w:hAnsi="Cambria Math"/>
        </w:rPr>
        <w:t> + </w:t>
      </w:r>
      <w:r w:rsidRPr="001455DC">
        <w:t>Δ</w:t>
      </w:r>
      <w:r w:rsidRPr="001455DC">
        <w:rPr>
          <w:rStyle w:val="CCMCvariableitalic"/>
        </w:rPr>
        <w:t>a</w:t>
      </w:r>
      <w:r w:rsidRPr="001455DC">
        <w:rPr>
          <w:rStyle w:val="CCMCvariablesubscript"/>
        </w:rPr>
        <w:t>i</w:t>
      </w:r>
      <w:r w:rsidR="00EC27D2" w:rsidRPr="001455DC">
        <w:rPr>
          <w:rFonts w:ascii="Cambria Math" w:hAnsi="Cambria Math"/>
        </w:rPr>
        <w:t> + </w:t>
      </w:r>
      <w:r w:rsidRPr="001455DC">
        <w:rPr>
          <w:rStyle w:val="CCMCvariableitalic"/>
        </w:rPr>
        <w:t>r</w:t>
      </w:r>
      <w:r w:rsidRPr="001455DC">
        <w:rPr>
          <w:rStyle w:val="CCMCvariablesubscript"/>
        </w:rPr>
        <w:t>i</w:t>
      </w:r>
      <w:r w:rsidR="00BB0FE4" w:rsidRPr="001455DC">
        <w:tab/>
      </w:r>
      <w:r w:rsidRPr="001455DC">
        <w:t>with vertically bent bars,</w:t>
      </w:r>
    </w:p>
    <w:p w14:paraId="41B861A3" w14:textId="2BBD85F9" w:rsidR="004E22C1" w:rsidRPr="001455DC" w:rsidRDefault="004E22C1" w:rsidP="00BB0FE4">
      <w:pPr>
        <w:pStyle w:val="a0"/>
        <w:tabs>
          <w:tab w:val="left" w:pos="357"/>
        </w:tabs>
        <w:ind w:left="2268" w:hanging="2268"/>
      </w:pPr>
      <w:r w:rsidRPr="001455DC">
        <w:rPr>
          <w:rStyle w:val="CCMCvariableitalic"/>
        </w:rPr>
        <w:t>c</w:t>
      </w:r>
      <w:r w:rsidRPr="001455DC">
        <w:rPr>
          <w:rStyle w:val="CCMCvariablesubscript"/>
        </w:rPr>
        <w:t>v,i</w:t>
      </w:r>
      <w:r w:rsidRPr="001455DC">
        <w:t> </w:t>
      </w:r>
      <w:r w:rsidR="00650035" w:rsidRPr="001455DC">
        <w:rPr>
          <w:rFonts w:ascii="Cambria Math" w:hAnsi="Cambria Math"/>
        </w:rPr>
        <w:t>≤</w:t>
      </w:r>
      <w:r w:rsidRPr="001455DC">
        <w:t> </w:t>
      </w:r>
      <w:r w:rsidRPr="001455DC">
        <w:rPr>
          <w:rStyle w:val="CCMCvariableitalic"/>
        </w:rPr>
        <w:t>d</w:t>
      </w:r>
      <w:r w:rsidRPr="001455DC">
        <w:rPr>
          <w:rStyle w:val="CCMCvariablesubscript"/>
        </w:rPr>
        <w:t>i</w:t>
      </w:r>
      <w:r w:rsidRPr="001455DC">
        <w:tab/>
        <w:t>level of horizontal U-bar loops.</w:t>
      </w:r>
    </w:p>
    <w:p w14:paraId="20C97322" w14:textId="1F47667B" w:rsidR="00182760" w:rsidRPr="001455DC" w:rsidRDefault="00182760" w:rsidP="009D3012">
      <w:pPr>
        <w:pStyle w:val="a7"/>
        <w:keepNext/>
      </w:pPr>
      <w:r w:rsidRPr="001455DC">
        <w:t xml:space="preserve">Where measures are taken to prevent spalling of concrete outside of the vertical bend, dimension </w:t>
      </w:r>
      <w:r w:rsidRPr="009D3012">
        <w:rPr>
          <w:i/>
        </w:rPr>
        <w:t xml:space="preserve">d </w:t>
      </w:r>
      <w:r w:rsidRPr="001455DC">
        <w:t>may be reduced, but</w:t>
      </w:r>
      <w:r w:rsidRPr="009D3012">
        <w:rPr>
          <w:rStyle w:val="CCMCvariableitalic"/>
        </w:rPr>
        <w:t xml:space="preserve"> a</w:t>
      </w:r>
      <w:r w:rsidRPr="009D3012">
        <w:rPr>
          <w:rStyle w:val="CCMCvariablesubscript"/>
        </w:rPr>
        <w:t>1/2</w:t>
      </w:r>
      <w:r w:rsidRPr="001455DC">
        <w:t xml:space="preserve"> + </w:t>
      </w:r>
      <w:r w:rsidRPr="009D3012">
        <w:rPr>
          <w:rStyle w:val="CCMCvariableitalic"/>
        </w:rPr>
        <w:t>d</w:t>
      </w:r>
      <w:r w:rsidRPr="009D3012">
        <w:rPr>
          <w:rStyle w:val="CCMCvariablesubscript"/>
        </w:rPr>
        <w:t>i</w:t>
      </w:r>
      <w:r w:rsidRPr="001455DC">
        <w:t xml:space="preserve"> </w:t>
      </w:r>
      <w:r w:rsidRPr="001455DC">
        <w:rPr>
          <w:rFonts w:ascii="Cambria Math" w:hAnsi="Cambria Math"/>
        </w:rPr>
        <w:t>≥</w:t>
      </w:r>
      <w:r w:rsidRPr="001455DC">
        <w:t xml:space="preserve"> </w:t>
      </w:r>
      <w:r w:rsidRPr="009D3012">
        <w:rPr>
          <w:rStyle w:val="CCMCvariableitalic"/>
        </w:rPr>
        <w:t>c</w:t>
      </w:r>
      <w:r w:rsidRPr="009D3012">
        <w:rPr>
          <w:rStyle w:val="CCMCvariablesubscript"/>
        </w:rPr>
        <w:t xml:space="preserve">i </w:t>
      </w:r>
      <w:r w:rsidRPr="001455DC">
        <w:t>+ Δ</w:t>
      </w:r>
      <w:r w:rsidRPr="009D3012">
        <w:rPr>
          <w:rStyle w:val="CCMCvariablesubscript"/>
        </w:rPr>
        <w:t>ai</w:t>
      </w:r>
      <w:r w:rsidRPr="001455DC">
        <w:t xml:space="preserve"> + </w:t>
      </w:r>
      <w:r w:rsidRPr="009D3012">
        <w:rPr>
          <w:rStyle w:val="CCMCvariableitalic"/>
        </w:rPr>
        <w:t>r</w:t>
      </w:r>
      <w:r w:rsidRPr="009D3012">
        <w:rPr>
          <w:rStyle w:val="CCMCvariablesubscript"/>
        </w:rPr>
        <w:t>i</w:t>
      </w:r>
      <w:r w:rsidRPr="001455DC">
        <w:t>.</w:t>
      </w:r>
    </w:p>
    <w:p w14:paraId="16CA475F" w14:textId="78CAD36C" w:rsidR="004E22C1" w:rsidRPr="001455DC" w:rsidRDefault="00723CF7" w:rsidP="00BB0FE4">
      <w:pPr>
        <w:pStyle w:val="FigureImage"/>
      </w:pPr>
      <w:r>
        <w:rPr>
          <w:noProof/>
          <w:lang w:eastAsia="en-GB"/>
        </w:rPr>
        <w:fldChar w:fldCharType="begin"/>
      </w:r>
      <w:r>
        <w:rPr>
          <w:noProof/>
          <w:lang w:eastAsia="en-GB"/>
        </w:rPr>
        <w:instrText xml:space="preserve"> INCLUDEPICTURE  "Y:\\STD_MGT\\STDDEL\\PRODUCTION\\etrans\\Download\\Z_FIRST_DEL\\SV\\00250\\00250269\\41_e_dr\\12_011.tif"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"Y:\\STD_MGT\\STDDEL\\PRODUCTION\\Standards\\00250\\269\\41_e_dr\\12_011.tif"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"Y:\\STD_MGT\\STDDEL\\PRODUCTION\\Standards\\00250\\269\\41_e_dr\\12_011.tif"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"Y:\\STD_MGT\\STDDEL\\PRODUCTION\\Standards\\00250\\269\\41_e_dr\\12_011.tif"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"Y:\\STD_MGT\\STDDEL\\PRODUCTION\\Standards\\00250\\269\\41_e_dr\\12_011.tif"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"Y:\\STD_MGT\\STDDEL\\PRODUCTION\\Standards\\00250\\269\\41_e_dr\\12_011.tif"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w:instrText>
      </w:r>
      <w:r w:rsidR="00231E33">
        <w:rPr>
          <w:noProof/>
          <w:lang w:eastAsia="en-GB"/>
        </w:rPr>
        <w:instrText>l\\Temp\\Temp1_00250269_e_20210902.zip.zip\\41_e_dr\\12_011.tif"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2ED1378C">
          <v:shape id="_x0000_i1276" type="#_x0000_t75" style="width:223.5pt;height:200.25pt">
            <v:imagedata r:id="rId522" r:href="rId523"/>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23C68BFE" w14:textId="0726C076" w:rsidR="00BB0FE4" w:rsidRPr="001455DC" w:rsidRDefault="00BB0FE4" w:rsidP="00DB201D">
      <w:pPr>
        <w:pStyle w:val="KeyTitle"/>
      </w:pPr>
      <w:r w:rsidRPr="001455DC">
        <w:t>Key</w:t>
      </w:r>
    </w:p>
    <w:tbl>
      <w:tblPr>
        <w:tblW w:w="9810" w:type="dxa"/>
        <w:tblLayout w:type="fixed"/>
        <w:tblCellMar>
          <w:left w:w="28" w:type="dxa"/>
          <w:right w:w="28" w:type="dxa"/>
        </w:tblCellMar>
        <w:tblLook w:val="0000" w:firstRow="0" w:lastRow="0" w:firstColumn="0" w:lastColumn="0" w:noHBand="0" w:noVBand="0"/>
      </w:tblPr>
      <w:tblGrid>
        <w:gridCol w:w="397"/>
        <w:gridCol w:w="4508"/>
        <w:gridCol w:w="397"/>
        <w:gridCol w:w="4508"/>
      </w:tblGrid>
      <w:tr w:rsidR="003C7E57" w:rsidRPr="001455DC" w14:paraId="00D753D3" w14:textId="77777777" w:rsidTr="00BB0FE4">
        <w:tc>
          <w:tcPr>
            <w:tcW w:w="397" w:type="dxa"/>
            <w:shd w:val="clear" w:color="auto" w:fill="auto"/>
          </w:tcPr>
          <w:p w14:paraId="12F5546F" w14:textId="090A7AB8" w:rsidR="003C7E57" w:rsidRPr="001455DC" w:rsidRDefault="003C7E57" w:rsidP="003C7E57">
            <w:pPr>
              <w:pStyle w:val="KeyText"/>
              <w:tabs>
                <w:tab w:val="clear" w:pos="346"/>
              </w:tabs>
              <w:ind w:left="0" w:firstLine="0"/>
            </w:pPr>
            <w:r w:rsidRPr="001455DC">
              <w:rPr>
                <w:rStyle w:val="CCMCvariableitalic"/>
              </w:rPr>
              <w:t>a</w:t>
            </w:r>
            <w:r w:rsidRPr="001455DC">
              <w:rPr>
                <w:rStyle w:val="CCMCvariablesubscript"/>
              </w:rPr>
              <w:t>1</w:t>
            </w:r>
          </w:p>
        </w:tc>
        <w:tc>
          <w:tcPr>
            <w:tcW w:w="4508" w:type="dxa"/>
            <w:shd w:val="clear" w:color="auto" w:fill="auto"/>
          </w:tcPr>
          <w:p w14:paraId="577FBABE" w14:textId="7212AC79" w:rsidR="003C7E57" w:rsidRPr="001455DC" w:rsidRDefault="003C7E57" w:rsidP="003C7E57">
            <w:pPr>
              <w:pStyle w:val="KeyText"/>
              <w:tabs>
                <w:tab w:val="clear" w:pos="346"/>
              </w:tabs>
              <w:ind w:left="0" w:firstLine="0"/>
            </w:pPr>
            <w:r w:rsidRPr="001455DC">
              <w:t>bearing length</w:t>
            </w:r>
          </w:p>
        </w:tc>
        <w:tc>
          <w:tcPr>
            <w:tcW w:w="397" w:type="dxa"/>
            <w:shd w:val="clear" w:color="auto" w:fill="auto"/>
          </w:tcPr>
          <w:p w14:paraId="5A2BDDE5" w14:textId="6E548355" w:rsidR="003C7E57" w:rsidRPr="001455DC" w:rsidRDefault="003C7E57" w:rsidP="003C7E57">
            <w:pPr>
              <w:pStyle w:val="KeyText"/>
              <w:tabs>
                <w:tab w:val="clear" w:pos="346"/>
              </w:tabs>
              <w:ind w:left="0" w:firstLine="0"/>
            </w:pPr>
            <w:r w:rsidRPr="001455DC">
              <w:t>1</w:t>
            </w:r>
          </w:p>
        </w:tc>
        <w:tc>
          <w:tcPr>
            <w:tcW w:w="4508" w:type="dxa"/>
            <w:shd w:val="clear" w:color="auto" w:fill="auto"/>
          </w:tcPr>
          <w:p w14:paraId="68B4F2E6" w14:textId="74B22364" w:rsidR="003C7E57" w:rsidRPr="001455DC" w:rsidRDefault="003C7E57" w:rsidP="003C7E57">
            <w:pPr>
              <w:pStyle w:val="KeyText"/>
              <w:tabs>
                <w:tab w:val="clear" w:pos="346"/>
              </w:tabs>
              <w:ind w:left="0" w:firstLine="0"/>
            </w:pPr>
            <w:r w:rsidRPr="001455DC">
              <w:t>bearing</w:t>
            </w:r>
          </w:p>
        </w:tc>
      </w:tr>
      <w:tr w:rsidR="003C7E57" w:rsidRPr="001455DC" w14:paraId="64357A23" w14:textId="77777777" w:rsidTr="00BB0FE4">
        <w:tc>
          <w:tcPr>
            <w:tcW w:w="397" w:type="dxa"/>
            <w:shd w:val="clear" w:color="auto" w:fill="auto"/>
          </w:tcPr>
          <w:p w14:paraId="5FB77934" w14:textId="516F90AC" w:rsidR="003C7E57" w:rsidRPr="001455DC" w:rsidRDefault="003C7E57" w:rsidP="003C7E57">
            <w:pPr>
              <w:pStyle w:val="KeyText"/>
              <w:tabs>
                <w:tab w:val="clear" w:pos="346"/>
              </w:tabs>
              <w:ind w:left="0" w:firstLine="0"/>
            </w:pPr>
            <w:r w:rsidRPr="001455DC">
              <w:rPr>
                <w:rStyle w:val="CCMCvariableitalic"/>
              </w:rPr>
              <w:t>c</w:t>
            </w:r>
            <w:r w:rsidRPr="001455DC">
              <w:rPr>
                <w:rStyle w:val="CCMCvariablesubscript"/>
              </w:rPr>
              <w:t>i</w:t>
            </w:r>
          </w:p>
        </w:tc>
        <w:tc>
          <w:tcPr>
            <w:tcW w:w="4508" w:type="dxa"/>
            <w:shd w:val="clear" w:color="auto" w:fill="auto"/>
          </w:tcPr>
          <w:p w14:paraId="70572376" w14:textId="400DF3EC" w:rsidR="003C7E57" w:rsidRPr="001455DC" w:rsidRDefault="003C7E57" w:rsidP="003C7E57">
            <w:pPr>
              <w:pStyle w:val="KeyText"/>
              <w:tabs>
                <w:tab w:val="clear" w:pos="346"/>
              </w:tabs>
              <w:ind w:left="0" w:firstLine="0"/>
            </w:pPr>
            <w:r w:rsidRPr="001455DC">
              <w:t>nominal cover</w:t>
            </w:r>
          </w:p>
        </w:tc>
        <w:tc>
          <w:tcPr>
            <w:tcW w:w="397" w:type="dxa"/>
            <w:shd w:val="clear" w:color="auto" w:fill="auto"/>
          </w:tcPr>
          <w:p w14:paraId="59F854AF" w14:textId="3B3F3B0E" w:rsidR="003C7E57" w:rsidRPr="001455DC" w:rsidRDefault="003C7E57" w:rsidP="003C7E57">
            <w:pPr>
              <w:pStyle w:val="KeyText"/>
              <w:tabs>
                <w:tab w:val="clear" w:pos="346"/>
              </w:tabs>
              <w:ind w:left="0" w:firstLine="0"/>
            </w:pPr>
            <w:r w:rsidRPr="001455DC">
              <w:t>2</w:t>
            </w:r>
          </w:p>
        </w:tc>
        <w:tc>
          <w:tcPr>
            <w:tcW w:w="4508" w:type="dxa"/>
            <w:shd w:val="clear" w:color="auto" w:fill="auto"/>
          </w:tcPr>
          <w:p w14:paraId="1CB19889" w14:textId="1355A4E9" w:rsidR="003C7E57" w:rsidRPr="001455DC" w:rsidRDefault="003C7E57" w:rsidP="003C7E57">
            <w:pPr>
              <w:pStyle w:val="KeyText"/>
              <w:tabs>
                <w:tab w:val="clear" w:pos="346"/>
              </w:tabs>
              <w:ind w:left="0" w:firstLine="0"/>
            </w:pPr>
            <w:r w:rsidRPr="001455DC">
              <w:t>support</w:t>
            </w:r>
          </w:p>
        </w:tc>
      </w:tr>
      <w:tr w:rsidR="003C7E57" w:rsidRPr="001455DC" w14:paraId="5DEE174D" w14:textId="77777777" w:rsidTr="00BB0FE4">
        <w:tc>
          <w:tcPr>
            <w:tcW w:w="397" w:type="dxa"/>
            <w:shd w:val="clear" w:color="auto" w:fill="auto"/>
          </w:tcPr>
          <w:p w14:paraId="5CE9EC45" w14:textId="72536B9D" w:rsidR="003C7E57" w:rsidRPr="001455DC" w:rsidRDefault="003C7E57" w:rsidP="003C7E57">
            <w:pPr>
              <w:pStyle w:val="KeyText"/>
              <w:tabs>
                <w:tab w:val="clear" w:pos="346"/>
              </w:tabs>
              <w:ind w:left="0" w:firstLine="0"/>
            </w:pPr>
            <w:r w:rsidRPr="009D3012">
              <w:t>Δ</w:t>
            </w:r>
            <w:r w:rsidRPr="001455DC">
              <w:rPr>
                <w:rStyle w:val="CCMCvariableitalic"/>
              </w:rPr>
              <w:t>a</w:t>
            </w:r>
            <w:r w:rsidRPr="001455DC">
              <w:rPr>
                <w:rStyle w:val="CCMCvariablesubscript"/>
              </w:rPr>
              <w:t>i</w:t>
            </w:r>
          </w:p>
        </w:tc>
        <w:tc>
          <w:tcPr>
            <w:tcW w:w="4508" w:type="dxa"/>
            <w:shd w:val="clear" w:color="auto" w:fill="auto"/>
          </w:tcPr>
          <w:p w14:paraId="1519F6F3" w14:textId="05545FCC" w:rsidR="003C7E57" w:rsidRPr="001455DC" w:rsidRDefault="003C7E57" w:rsidP="003C7E57">
            <w:pPr>
              <w:pStyle w:val="KeyText"/>
              <w:tabs>
                <w:tab w:val="clear" w:pos="346"/>
              </w:tabs>
              <w:ind w:left="0" w:firstLine="0"/>
            </w:pPr>
            <w:r w:rsidRPr="001455DC">
              <w:t>deviations</w:t>
            </w:r>
          </w:p>
        </w:tc>
        <w:tc>
          <w:tcPr>
            <w:tcW w:w="397" w:type="dxa"/>
            <w:shd w:val="clear" w:color="auto" w:fill="auto"/>
          </w:tcPr>
          <w:p w14:paraId="202380A0" w14:textId="03C96693" w:rsidR="003C7E57" w:rsidRPr="001455DC" w:rsidRDefault="003C7E57" w:rsidP="003C7E57">
            <w:pPr>
              <w:pStyle w:val="KeyText"/>
              <w:tabs>
                <w:tab w:val="clear" w:pos="346"/>
              </w:tabs>
              <w:ind w:left="0" w:firstLine="0"/>
            </w:pPr>
            <w:r w:rsidRPr="001455DC">
              <w:t>3</w:t>
            </w:r>
          </w:p>
        </w:tc>
        <w:tc>
          <w:tcPr>
            <w:tcW w:w="4508" w:type="dxa"/>
            <w:shd w:val="clear" w:color="auto" w:fill="auto"/>
          </w:tcPr>
          <w:p w14:paraId="0D0A4462" w14:textId="6E549098" w:rsidR="003C7E57" w:rsidRPr="001455DC" w:rsidRDefault="003C7E57" w:rsidP="003C7E57">
            <w:pPr>
              <w:pStyle w:val="KeyText"/>
              <w:tabs>
                <w:tab w:val="clear" w:pos="346"/>
              </w:tabs>
              <w:ind w:left="0" w:firstLine="0"/>
            </w:pPr>
            <w:r w:rsidRPr="001455DC">
              <w:t>supported member</w:t>
            </w:r>
          </w:p>
        </w:tc>
      </w:tr>
      <w:tr w:rsidR="003C7E57" w:rsidRPr="001455DC" w14:paraId="5928D3E5" w14:textId="77777777" w:rsidTr="00BB0FE4">
        <w:tc>
          <w:tcPr>
            <w:tcW w:w="397" w:type="dxa"/>
            <w:shd w:val="clear" w:color="auto" w:fill="auto"/>
          </w:tcPr>
          <w:p w14:paraId="5B75C2EE" w14:textId="4ADD92EE" w:rsidR="003C7E57" w:rsidRPr="001455DC" w:rsidRDefault="003C7E57" w:rsidP="003C7E57">
            <w:pPr>
              <w:pStyle w:val="KeyText"/>
              <w:tabs>
                <w:tab w:val="clear" w:pos="346"/>
              </w:tabs>
              <w:ind w:left="0" w:firstLine="0"/>
            </w:pPr>
            <w:r w:rsidRPr="001455DC">
              <w:rPr>
                <w:rStyle w:val="CCMCvariableitalic"/>
              </w:rPr>
              <w:t>r</w:t>
            </w:r>
            <w:r w:rsidRPr="001455DC">
              <w:rPr>
                <w:rStyle w:val="CCMCvariablesubscript"/>
              </w:rPr>
              <w:t>i</w:t>
            </w:r>
          </w:p>
        </w:tc>
        <w:tc>
          <w:tcPr>
            <w:tcW w:w="4508" w:type="dxa"/>
            <w:shd w:val="clear" w:color="auto" w:fill="auto"/>
          </w:tcPr>
          <w:p w14:paraId="4FC41933" w14:textId="315A86BC" w:rsidR="003C7E57" w:rsidRPr="001455DC" w:rsidRDefault="003C7E57" w:rsidP="003C7E57">
            <w:pPr>
              <w:pStyle w:val="KeyText"/>
              <w:tabs>
                <w:tab w:val="clear" w:pos="346"/>
              </w:tabs>
              <w:ind w:left="0" w:firstLine="0"/>
            </w:pPr>
            <w:r w:rsidRPr="001455DC">
              <w:t>bend radius</w:t>
            </w:r>
          </w:p>
        </w:tc>
        <w:tc>
          <w:tcPr>
            <w:tcW w:w="397" w:type="dxa"/>
            <w:shd w:val="clear" w:color="auto" w:fill="auto"/>
          </w:tcPr>
          <w:p w14:paraId="31079338" w14:textId="78EF9EB4" w:rsidR="003C7E57" w:rsidRPr="001455DC" w:rsidRDefault="003C7E57" w:rsidP="003C7E57">
            <w:pPr>
              <w:pStyle w:val="KeyText"/>
              <w:tabs>
                <w:tab w:val="clear" w:pos="346"/>
              </w:tabs>
              <w:ind w:left="0" w:firstLine="0"/>
            </w:pPr>
            <w:r>
              <w:t>4</w:t>
            </w:r>
          </w:p>
        </w:tc>
        <w:tc>
          <w:tcPr>
            <w:tcW w:w="4508" w:type="dxa"/>
            <w:shd w:val="clear" w:color="auto" w:fill="auto"/>
          </w:tcPr>
          <w:p w14:paraId="0AA78F15" w14:textId="1BA85960" w:rsidR="003C7E57" w:rsidRPr="001455DC" w:rsidRDefault="003C7E57" w:rsidP="003C7E57">
            <w:pPr>
              <w:pStyle w:val="KeyText"/>
              <w:tabs>
                <w:tab w:val="clear" w:pos="346"/>
              </w:tabs>
              <w:ind w:left="0" w:firstLine="0"/>
            </w:pPr>
            <w:r w:rsidRPr="001455DC">
              <w:t>centre-line of support</w:t>
            </w:r>
          </w:p>
        </w:tc>
      </w:tr>
      <w:tr w:rsidR="003C7E57" w:rsidRPr="001455DC" w14:paraId="67620B67" w14:textId="77777777" w:rsidTr="00BB0FE4">
        <w:tc>
          <w:tcPr>
            <w:tcW w:w="397" w:type="dxa"/>
            <w:shd w:val="clear" w:color="auto" w:fill="auto"/>
          </w:tcPr>
          <w:p w14:paraId="0A6A3F29" w14:textId="652E7E4A" w:rsidR="003C7E57" w:rsidRPr="009D3012" w:rsidRDefault="003C7E57" w:rsidP="003C7E57">
            <w:pPr>
              <w:pStyle w:val="KeyText"/>
              <w:tabs>
                <w:tab w:val="clear" w:pos="346"/>
              </w:tabs>
              <w:ind w:left="0" w:firstLine="0"/>
              <w:rPr>
                <w:rStyle w:val="CCMCvariableitalic"/>
              </w:rPr>
            </w:pPr>
          </w:p>
        </w:tc>
        <w:tc>
          <w:tcPr>
            <w:tcW w:w="4508" w:type="dxa"/>
            <w:shd w:val="clear" w:color="auto" w:fill="auto"/>
          </w:tcPr>
          <w:p w14:paraId="2905AF29" w14:textId="43AFD8BD" w:rsidR="003C7E57" w:rsidRPr="001455DC" w:rsidRDefault="003C7E57" w:rsidP="003C7E57">
            <w:pPr>
              <w:pStyle w:val="KeyText"/>
              <w:tabs>
                <w:tab w:val="clear" w:pos="346"/>
              </w:tabs>
              <w:ind w:left="0" w:firstLine="0"/>
            </w:pPr>
          </w:p>
        </w:tc>
        <w:tc>
          <w:tcPr>
            <w:tcW w:w="397" w:type="dxa"/>
            <w:shd w:val="clear" w:color="auto" w:fill="auto"/>
          </w:tcPr>
          <w:p w14:paraId="5A1D7243" w14:textId="4C1AAE2A" w:rsidR="003C7E57" w:rsidRPr="001455DC" w:rsidRDefault="003C7E57" w:rsidP="003C7E57">
            <w:pPr>
              <w:pStyle w:val="KeyText"/>
              <w:tabs>
                <w:tab w:val="clear" w:pos="346"/>
              </w:tabs>
              <w:ind w:left="0" w:firstLine="0"/>
            </w:pPr>
            <w:r>
              <w:t>5</w:t>
            </w:r>
          </w:p>
        </w:tc>
        <w:tc>
          <w:tcPr>
            <w:tcW w:w="4508" w:type="dxa"/>
            <w:shd w:val="clear" w:color="auto" w:fill="auto"/>
          </w:tcPr>
          <w:p w14:paraId="36B56149" w14:textId="3698637D" w:rsidR="003C7E57" w:rsidRPr="001455DC" w:rsidRDefault="003C7E57" w:rsidP="003C7E57">
            <w:pPr>
              <w:pStyle w:val="KeyText"/>
              <w:tabs>
                <w:tab w:val="clear" w:pos="346"/>
              </w:tabs>
              <w:ind w:left="0" w:firstLine="0"/>
            </w:pPr>
            <w:r w:rsidRPr="001455DC">
              <w:t>horizontal U-bar loop</w:t>
            </w:r>
          </w:p>
        </w:tc>
      </w:tr>
      <w:tr w:rsidR="003C7E57" w:rsidRPr="001455DC" w14:paraId="327AF5FD" w14:textId="77777777" w:rsidTr="00BB0FE4">
        <w:tc>
          <w:tcPr>
            <w:tcW w:w="397" w:type="dxa"/>
            <w:shd w:val="clear" w:color="auto" w:fill="auto"/>
          </w:tcPr>
          <w:p w14:paraId="7BAA49BB" w14:textId="2150A1CD" w:rsidR="003C7E57" w:rsidRPr="009D3012" w:rsidRDefault="003C7E57" w:rsidP="003C7E57">
            <w:pPr>
              <w:pStyle w:val="KeyText"/>
              <w:tabs>
                <w:tab w:val="clear" w:pos="346"/>
              </w:tabs>
              <w:ind w:left="0" w:firstLine="0"/>
              <w:rPr>
                <w:rStyle w:val="CCMCvariableitalic"/>
              </w:rPr>
            </w:pPr>
          </w:p>
        </w:tc>
        <w:tc>
          <w:tcPr>
            <w:tcW w:w="4508" w:type="dxa"/>
            <w:shd w:val="clear" w:color="auto" w:fill="auto"/>
          </w:tcPr>
          <w:p w14:paraId="4EDB8B6F" w14:textId="2D5BF670" w:rsidR="003C7E57" w:rsidRPr="001455DC" w:rsidRDefault="003C7E57" w:rsidP="003C7E57">
            <w:pPr>
              <w:pStyle w:val="KeyText"/>
              <w:tabs>
                <w:tab w:val="clear" w:pos="346"/>
              </w:tabs>
              <w:ind w:left="0" w:firstLine="0"/>
            </w:pPr>
          </w:p>
        </w:tc>
        <w:tc>
          <w:tcPr>
            <w:tcW w:w="397" w:type="dxa"/>
            <w:shd w:val="clear" w:color="auto" w:fill="auto"/>
          </w:tcPr>
          <w:p w14:paraId="57810EF1" w14:textId="3C09ECAC" w:rsidR="003C7E57" w:rsidRPr="001455DC" w:rsidRDefault="003C7E57" w:rsidP="003C7E57">
            <w:pPr>
              <w:pStyle w:val="KeyText"/>
              <w:tabs>
                <w:tab w:val="clear" w:pos="346"/>
              </w:tabs>
              <w:ind w:left="0" w:firstLine="0"/>
            </w:pPr>
            <w:r>
              <w:t>6</w:t>
            </w:r>
          </w:p>
        </w:tc>
        <w:tc>
          <w:tcPr>
            <w:tcW w:w="4508" w:type="dxa"/>
            <w:shd w:val="clear" w:color="auto" w:fill="auto"/>
          </w:tcPr>
          <w:p w14:paraId="0D2729CB" w14:textId="63C94EFC" w:rsidR="003C7E57" w:rsidRPr="001455DC" w:rsidRDefault="003C7E57" w:rsidP="003C7E57">
            <w:pPr>
              <w:pStyle w:val="KeyText"/>
              <w:tabs>
                <w:tab w:val="clear" w:pos="346"/>
              </w:tabs>
              <w:ind w:left="0" w:firstLine="0"/>
            </w:pPr>
            <w:r w:rsidRPr="001455DC">
              <w:t>vertical bent bar</w:t>
            </w:r>
          </w:p>
        </w:tc>
      </w:tr>
    </w:tbl>
    <w:p w14:paraId="42EE4926" w14:textId="79672F14" w:rsidR="004E22C1" w:rsidRPr="001455DC" w:rsidRDefault="004E22C1" w:rsidP="00BB0FE4">
      <w:pPr>
        <w:pStyle w:val="Figuretitle"/>
      </w:pPr>
      <w:r w:rsidRPr="001455DC">
        <w:t>Figure 12.</w:t>
      </w:r>
      <w:r w:rsidR="00256080" w:rsidRPr="001455DC">
        <w:t>1</w:t>
      </w:r>
      <w:r w:rsidR="00256080">
        <w:t>1</w:t>
      </w:r>
      <w:r w:rsidR="00256080" w:rsidRPr="001455DC">
        <w:t> </w:t>
      </w:r>
      <w:r w:rsidRPr="001455DC">
        <w:t>— Example of bearing and lengths definitions</w:t>
      </w:r>
    </w:p>
    <w:p w14:paraId="4A78FD63" w14:textId="77777777" w:rsidR="004E22C1" w:rsidRPr="001455DC" w:rsidRDefault="004E22C1" w:rsidP="00BB0FE4">
      <w:pPr>
        <w:pStyle w:val="a7"/>
        <w:rPr>
          <w:noProof/>
        </w:rPr>
      </w:pPr>
      <w:r w:rsidRPr="001455DC">
        <w:t>(6)</w:t>
      </w:r>
      <w:r w:rsidRPr="001455DC">
        <w:tab/>
      </w:r>
      <w:r w:rsidRPr="001455DC">
        <w:rPr>
          <w:noProof/>
        </w:rPr>
        <w:t>Supported and supporting members shall be verified for the effects of the support or bearing reactions in accordance with 8.6.</w:t>
      </w:r>
    </w:p>
    <w:p w14:paraId="1E9D9CDA" w14:textId="77777777" w:rsidR="004E22C1" w:rsidRPr="001455DC" w:rsidRDefault="004E22C1" w:rsidP="00BB0FE4">
      <w:pPr>
        <w:pStyle w:val="a7"/>
        <w:rPr>
          <w:noProof/>
        </w:rPr>
      </w:pPr>
      <w:r w:rsidRPr="001455DC">
        <w:rPr>
          <w:noProof/>
        </w:rPr>
        <w:t>(7)</w:t>
      </w:r>
      <w:r w:rsidRPr="001455DC">
        <w:rPr>
          <w:noProof/>
        </w:rPr>
        <w:tab/>
        <w:t>The choice of the type of bearing and expansion joints should be compatible with the structural system assumed in the design of the structure and suitable for the anticipated movements.</w:t>
      </w:r>
    </w:p>
    <w:p w14:paraId="1F972187" w14:textId="77777777" w:rsidR="004E22C1" w:rsidRPr="001455DC" w:rsidRDefault="004E22C1" w:rsidP="00BB0FE4">
      <w:pPr>
        <w:pStyle w:val="a7"/>
        <w:rPr>
          <w:noProof/>
        </w:rPr>
      </w:pPr>
      <w:r w:rsidRPr="001455DC">
        <w:rPr>
          <w:noProof/>
        </w:rPr>
        <w:t>(8)</w:t>
      </w:r>
      <w:r w:rsidRPr="001455DC">
        <w:rPr>
          <w:noProof/>
        </w:rPr>
        <w:tab/>
        <w:t>The arrangement of bearings should be such that restraints of the adjacent members are avoided or minimised.</w:t>
      </w:r>
    </w:p>
    <w:p w14:paraId="03EDF2B7" w14:textId="77777777" w:rsidR="004E22C1" w:rsidRPr="001455DC" w:rsidRDefault="004E22C1" w:rsidP="00BB0FE4">
      <w:pPr>
        <w:pStyle w:val="a7"/>
        <w:rPr>
          <w:noProof/>
        </w:rPr>
      </w:pPr>
      <w:r w:rsidRPr="001455DC">
        <w:rPr>
          <w:noProof/>
        </w:rPr>
        <w:t>(9)</w:t>
      </w:r>
      <w:r w:rsidRPr="001455DC">
        <w:rPr>
          <w:noProof/>
        </w:rPr>
        <w:tab/>
        <w:t>Where the design service life of the bearing or expansion joint is less than the design service life of the member, bearings and expansion joints shall be designed to be replaceable.</w:t>
      </w:r>
    </w:p>
    <w:p w14:paraId="3E265ECE" w14:textId="036B14C1" w:rsidR="004E22C1" w:rsidRPr="001455DC" w:rsidRDefault="004E22C1" w:rsidP="006D682B">
      <w:pPr>
        <w:pStyle w:val="21"/>
      </w:pPr>
      <w:bookmarkStart w:id="995" w:name="_Toc52820079"/>
      <w:bookmarkStart w:id="996" w:name="_Toc54337481"/>
      <w:bookmarkStart w:id="997" w:name="_Toc54338135"/>
      <w:bookmarkStart w:id="998" w:name="_Toc67565475"/>
      <w:r w:rsidRPr="001455DC">
        <w:t>Surface reinforcement for large diameter bars</w:t>
      </w:r>
      <w:bookmarkEnd w:id="995"/>
      <w:bookmarkEnd w:id="996"/>
      <w:bookmarkEnd w:id="997"/>
      <w:bookmarkEnd w:id="998"/>
    </w:p>
    <w:p w14:paraId="610FD0A9" w14:textId="77777777" w:rsidR="004E22C1" w:rsidRPr="001455DC" w:rsidRDefault="004E22C1" w:rsidP="00BB0FE4">
      <w:pPr>
        <w:pStyle w:val="a7"/>
      </w:pPr>
      <w:r w:rsidRPr="001455DC">
        <w:t>(1)</w:t>
      </w:r>
      <w:r w:rsidRPr="001455DC">
        <w:tab/>
        <w:t>If a verification of the crack width for large diameter bars by calculation has been omitted, a constructive web surface reinforcement should be used.</w:t>
      </w:r>
    </w:p>
    <w:p w14:paraId="36C4DCB4" w14:textId="77777777" w:rsidR="004E22C1" w:rsidRPr="001455DC" w:rsidRDefault="004E22C1" w:rsidP="00E844D2">
      <w:pPr>
        <w:pStyle w:val="a7"/>
        <w:keepNext/>
      </w:pPr>
      <w:r w:rsidRPr="001455DC">
        <w:t>(2)</w:t>
      </w:r>
      <w:r w:rsidRPr="001455DC">
        <w:tab/>
        <w:t>This surface reinforcement to limit crack widths or to resist spalling should be used where the main reinforcement is made up of:</w:t>
      </w:r>
    </w:p>
    <w:p w14:paraId="3953C227" w14:textId="4C196013" w:rsidR="004E22C1" w:rsidRPr="001455DC" w:rsidRDefault="004E22C1" w:rsidP="00BB0FE4">
      <w:pPr>
        <w:pStyle w:val="a0"/>
      </w:pPr>
      <w:r w:rsidRPr="001455DC">
        <w:t xml:space="preserve">bars with diameter </w:t>
      </w:r>
      <w:r w:rsidRPr="001455DC">
        <w:rPr>
          <w:rStyle w:val="CCMCvariableitalic"/>
        </w:rPr>
        <w:t>ϕ</w:t>
      </w:r>
      <w:r w:rsidRPr="001455DC">
        <w:t> </w:t>
      </w:r>
      <w:r w:rsidR="00650035" w:rsidRPr="001455DC">
        <w:rPr>
          <w:rFonts w:ascii="Cambria Math" w:hAnsi="Cambria Math"/>
        </w:rPr>
        <w:t>&gt;</w:t>
      </w:r>
      <w:r w:rsidR="00073FC6" w:rsidRPr="001455DC">
        <w:t> </w:t>
      </w:r>
      <w:r w:rsidRPr="001455DC">
        <w:t>32 mm or</w:t>
      </w:r>
    </w:p>
    <w:p w14:paraId="5D4C270F" w14:textId="5F26BF6E" w:rsidR="004E22C1" w:rsidRPr="001455DC" w:rsidRDefault="004E22C1" w:rsidP="00BB0FE4">
      <w:pPr>
        <w:pStyle w:val="a0"/>
      </w:pPr>
      <w:r w:rsidRPr="001455DC">
        <w:t xml:space="preserve">bundled bars with equivalent diameter </w:t>
      </w:r>
      <w:r w:rsidRPr="001455DC">
        <w:rPr>
          <w:rStyle w:val="CCMCvariableitalic"/>
        </w:rPr>
        <w:t>ϕ</w:t>
      </w:r>
      <w:r w:rsidRPr="001455DC">
        <w:rPr>
          <w:rStyle w:val="CCMCvariablesubscript"/>
        </w:rPr>
        <w:t>b</w:t>
      </w:r>
      <w:r w:rsidRPr="001455DC">
        <w:t> </w:t>
      </w:r>
      <w:r w:rsidR="00650035" w:rsidRPr="001455DC">
        <w:rPr>
          <w:rFonts w:ascii="Cambria Math" w:hAnsi="Cambria Math"/>
        </w:rPr>
        <w:t>&gt;</w:t>
      </w:r>
      <w:r w:rsidR="00073FC6" w:rsidRPr="001455DC">
        <w:t> </w:t>
      </w:r>
      <w:r w:rsidRPr="001455DC">
        <w:t>32 mm.</w:t>
      </w:r>
    </w:p>
    <w:p w14:paraId="4D8362EF" w14:textId="5AF54F26" w:rsidR="004E22C1" w:rsidRPr="001455DC" w:rsidRDefault="004E22C1" w:rsidP="00BB0FE4">
      <w:pPr>
        <w:pStyle w:val="a7"/>
      </w:pPr>
      <w:r w:rsidRPr="001455DC">
        <w:t>(3)</w:t>
      </w:r>
      <w:r w:rsidRPr="001455DC">
        <w:tab/>
        <w:t xml:space="preserve">This surface reinforcement </w:t>
      </w:r>
      <w:r w:rsidRPr="001455DC">
        <w:rPr>
          <w:rStyle w:val="CCMCvariableitalic"/>
        </w:rPr>
        <w:t>A</w:t>
      </w:r>
      <w:r w:rsidRPr="001455DC">
        <w:rPr>
          <w:rStyle w:val="CCMCvariablesubscript"/>
        </w:rPr>
        <w:t>s,surf</w:t>
      </w:r>
      <w:r w:rsidRPr="001455DC">
        <w:t xml:space="preserve"> should consist of wire mesh or small diameter bars in the two directions parallel and orthogonal to the tension reinforcement in the beam and be placed outside the links in the cover as indicated in Figure 12.13.</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BB0FE4" w:rsidRPr="001455DC" w14:paraId="1142DB9B" w14:textId="77777777" w:rsidTr="0077336D">
        <w:trPr>
          <w:cantSplit/>
        </w:trPr>
        <w:tc>
          <w:tcPr>
            <w:tcW w:w="8505" w:type="dxa"/>
            <w:vAlign w:val="center"/>
          </w:tcPr>
          <w:p w14:paraId="19FE1251" w14:textId="063C633A" w:rsidR="00BB0FE4" w:rsidRPr="001455DC" w:rsidRDefault="00BB0FE4" w:rsidP="0077336D">
            <w:pPr>
              <w:pStyle w:val="Formula"/>
              <w:jc w:val="left"/>
            </w:pPr>
            <w:r w:rsidRPr="001455DC">
              <w:rPr>
                <w:rStyle w:val="CCMCvariableitalic"/>
              </w:rPr>
              <w:t>A</w:t>
            </w:r>
            <w:r w:rsidRPr="001455DC">
              <w:rPr>
                <w:rStyle w:val="CCMCvariablesubscript"/>
              </w:rPr>
              <w:t>s,surf</w:t>
            </w:r>
            <w:r w:rsidRPr="001455DC">
              <w:rPr>
                <w:noProof/>
                <w:lang w:eastAsia="de-DE"/>
              </w:rPr>
              <w:t> </w:t>
            </w:r>
            <w:r w:rsidR="00650035" w:rsidRPr="001455DC">
              <w:rPr>
                <w:rFonts w:ascii="Cambria Math" w:hAnsi="Cambria Math"/>
                <w:noProof/>
                <w:lang w:eastAsia="de-DE"/>
              </w:rPr>
              <w:t>≥</w:t>
            </w:r>
            <w:r w:rsidRPr="001455DC">
              <w:rPr>
                <w:noProof/>
                <w:lang w:eastAsia="de-DE"/>
              </w:rPr>
              <w:t> 0,01</w:t>
            </w:r>
            <w:r w:rsidRPr="001455DC">
              <w:rPr>
                <w:rStyle w:val="CCMCvariableitalic"/>
              </w:rPr>
              <w:t>A</w:t>
            </w:r>
            <w:r w:rsidRPr="001455DC">
              <w:rPr>
                <w:rStyle w:val="CCMCvariablesubscript"/>
              </w:rPr>
              <w:t>ct,ext</w:t>
            </w:r>
            <w:r w:rsidRPr="001455DC">
              <w:rPr>
                <w:noProof/>
                <w:lang w:eastAsia="de-DE"/>
              </w:rPr>
              <w:t xml:space="preserve"> (in each direction)</w:t>
            </w:r>
          </w:p>
        </w:tc>
        <w:tc>
          <w:tcPr>
            <w:tcW w:w="1247" w:type="dxa"/>
            <w:vAlign w:val="center"/>
          </w:tcPr>
          <w:p w14:paraId="43117F06" w14:textId="3E62FB6A" w:rsidR="00BB0FE4" w:rsidRPr="001455DC" w:rsidRDefault="00BB0FE4" w:rsidP="0077336D">
            <w:pPr>
              <w:pStyle w:val="a7"/>
              <w:jc w:val="right"/>
            </w:pPr>
            <w:r w:rsidRPr="001455DC">
              <w:t>(12.9)</w:t>
            </w:r>
          </w:p>
        </w:tc>
      </w:tr>
    </w:tbl>
    <w:p w14:paraId="217EB170" w14:textId="23E4D04B" w:rsidR="003C7E57" w:rsidRDefault="00243590" w:rsidP="003F0CF8">
      <w:pPr>
        <w:pStyle w:val="FigureImage"/>
        <w:jc w:val="right"/>
        <w:rPr>
          <w:noProof/>
          <w:lang w:val="de-DE" w:eastAsia="de-DE"/>
        </w:rPr>
      </w:pPr>
      <w:r>
        <w:rPr>
          <w:noProof/>
          <w:lang w:val="de-DE" w:eastAsia="de-DE"/>
        </w:rPr>
        <w:t>Dimensions in m</w:t>
      </w:r>
      <w:r w:rsidR="003C7E57">
        <w:rPr>
          <w:noProof/>
          <w:lang w:val="de-DE" w:eastAsia="de-DE"/>
        </w:rPr>
        <w:t>illimetres</w:t>
      </w:r>
    </w:p>
    <w:p w14:paraId="50700F03" w14:textId="47D8A520" w:rsidR="00BB0FE4" w:rsidRPr="001455DC" w:rsidRDefault="00723CF7" w:rsidP="00BB0FE4">
      <w:pPr>
        <w:pStyle w:val="FigureImage"/>
      </w:pPr>
      <w:r>
        <w:rPr>
          <w:noProof/>
          <w:lang w:eastAsia="en-GB"/>
        </w:rPr>
        <w:fldChar w:fldCharType="begin"/>
      </w:r>
      <w:r>
        <w:rPr>
          <w:noProof/>
          <w:lang w:eastAsia="en-GB"/>
        </w:rPr>
        <w:instrText xml:space="preserve"> INCLUDEPICTURE  "Y:\\STD_MGT\\STDDEL\\PRODUCTION\\etrans\\Download\\Z_FIRST_DEL\\SV\\00250\\00250269\\41_e_dr\\12_012.tif"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"Y:\\STD_MGT\\STDDEL\\PRODUCTION\\Standards\\00250\\269\\41_e_dr\\12_012.tif"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"Y:\\STD_MGT\\STDDEL\\PRODUCTION\\Standards\\00250\\269\\41_e_dr\\12_012.tif"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"Y:\\STD_MGT\\STDDEL\\PRODUCTION\\Standards\\00250\\269\\41_e_dr\\12_012.tif"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"Y:\\STD_MGT\\STDDEL\\PRODUCTION\\Standards\\00250\\269\\41_e_dr\\12_012.tif"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"Y:\\STD_MGT\\STDDEL\\PRODUCTION\\Standards\\00250\\269\\41_e_dr\\12_012.tif"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"C:\\Users\\a.dionysiou\\AppData\\Local\\Temp\\Temp1_00250269_e_20210902.zip.zip\\41_e_dr\\12_012.tif"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2B4CC908">
          <v:shape id="_x0000_i1277" type="#_x0000_t75" style="width:385.5pt;height:147pt">
            <v:imagedata r:id="rId524" r:href="rId525"/>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4D9EF7D1" w14:textId="77777777" w:rsidR="00BB0FE4" w:rsidRPr="001455DC" w:rsidRDefault="00BB0FE4" w:rsidP="00DB201D">
      <w:pPr>
        <w:pStyle w:val="KeyTitle"/>
      </w:pPr>
      <w:r w:rsidRPr="001455DC">
        <w:t>Key</w:t>
      </w:r>
    </w:p>
    <w:tbl>
      <w:tblPr>
        <w:tblW w:w="9809" w:type="dxa"/>
        <w:tblLayout w:type="fixed"/>
        <w:tblCellMar>
          <w:left w:w="28" w:type="dxa"/>
          <w:right w:w="28" w:type="dxa"/>
        </w:tblCellMar>
        <w:tblLook w:val="0000" w:firstRow="0" w:lastRow="0" w:firstColumn="0" w:lastColumn="0" w:noHBand="0" w:noVBand="0"/>
      </w:tblPr>
      <w:tblGrid>
        <w:gridCol w:w="397"/>
        <w:gridCol w:w="9412"/>
      </w:tblGrid>
      <w:tr w:rsidR="00BB0FE4" w:rsidRPr="001455DC" w14:paraId="45BEA3E6" w14:textId="77777777" w:rsidTr="0077336D">
        <w:tc>
          <w:tcPr>
            <w:tcW w:w="397" w:type="dxa"/>
            <w:shd w:val="clear" w:color="auto" w:fill="auto"/>
          </w:tcPr>
          <w:p w14:paraId="6695FA8B" w14:textId="61E86936" w:rsidR="00BB0FE4" w:rsidRPr="001455DC" w:rsidRDefault="00BB0FE4" w:rsidP="00D86695">
            <w:pPr>
              <w:pStyle w:val="KeyText"/>
              <w:tabs>
                <w:tab w:val="clear" w:pos="346"/>
              </w:tabs>
              <w:ind w:left="0" w:firstLine="0"/>
            </w:pPr>
            <w:r w:rsidRPr="001455DC">
              <w:rPr>
                <w:rStyle w:val="CCMCvariableitalic"/>
              </w:rPr>
              <w:t>x</w:t>
            </w:r>
          </w:p>
        </w:tc>
        <w:tc>
          <w:tcPr>
            <w:tcW w:w="9412" w:type="dxa"/>
            <w:shd w:val="clear" w:color="auto" w:fill="auto"/>
          </w:tcPr>
          <w:p w14:paraId="22B99CBC" w14:textId="4D3A8843" w:rsidR="00BB0FE4" w:rsidRPr="001455DC" w:rsidRDefault="00BB0FE4" w:rsidP="00D86695">
            <w:pPr>
              <w:pStyle w:val="KeyText"/>
              <w:tabs>
                <w:tab w:val="clear" w:pos="346"/>
              </w:tabs>
              <w:ind w:left="0" w:firstLine="0"/>
            </w:pPr>
            <w:r w:rsidRPr="001455DC">
              <w:t>is the depth of the neutral axis at ULS</w:t>
            </w:r>
          </w:p>
        </w:tc>
      </w:tr>
    </w:tbl>
    <w:p w14:paraId="6E30EB07" w14:textId="06861492" w:rsidR="004E22C1" w:rsidRPr="001455DC" w:rsidRDefault="004E22C1" w:rsidP="00BB0FE4">
      <w:pPr>
        <w:pStyle w:val="Figuretitle"/>
      </w:pPr>
      <w:r w:rsidRPr="001455DC">
        <w:t>Figure 12.</w:t>
      </w:r>
      <w:r w:rsidR="00256080" w:rsidRPr="001455DC">
        <w:t>1</w:t>
      </w:r>
      <w:r w:rsidR="00256080">
        <w:t>2</w:t>
      </w:r>
      <w:r w:rsidR="00256080" w:rsidRPr="001455DC">
        <w:t> </w:t>
      </w:r>
      <w:r w:rsidRPr="001455DC">
        <w:t>— Surface reinforcement confining large diameter bars and bundles</w:t>
      </w:r>
    </w:p>
    <w:p w14:paraId="65B56A3F" w14:textId="77777777" w:rsidR="004E22C1" w:rsidRPr="001455DC" w:rsidRDefault="004E22C1" w:rsidP="00BB0FE4">
      <w:pPr>
        <w:pStyle w:val="a7"/>
        <w:rPr>
          <w:noProof/>
        </w:rPr>
      </w:pPr>
      <w:r w:rsidRPr="001455DC">
        <w:t>(4)</w:t>
      </w:r>
      <w:r w:rsidRPr="001455DC">
        <w:tab/>
      </w:r>
      <w:r w:rsidRPr="001455DC">
        <w:rPr>
          <w:noProof/>
        </w:rPr>
        <w:t>Where the cover to reinforcement is greater than 70 mm, for enhanced durability similar surface reinforcement should be used, with an area of 0,005</w:t>
      </w:r>
      <w:r w:rsidRPr="001455DC">
        <w:rPr>
          <w:rStyle w:val="CCMCvariableitalic"/>
        </w:rPr>
        <w:t>A</w:t>
      </w:r>
      <w:r w:rsidRPr="001455DC">
        <w:rPr>
          <w:rStyle w:val="CCMCvariablesubscript"/>
        </w:rPr>
        <w:t>ct,ext</w:t>
      </w:r>
      <w:r w:rsidRPr="001455DC">
        <w:rPr>
          <w:noProof/>
        </w:rPr>
        <w:t xml:space="preserve"> in each direction.</w:t>
      </w:r>
    </w:p>
    <w:p w14:paraId="7BB9D2B7" w14:textId="77777777" w:rsidR="004E22C1" w:rsidRPr="001455DC" w:rsidRDefault="004E22C1" w:rsidP="005965D6">
      <w:pPr>
        <w:pStyle w:val="a7"/>
        <w:rPr>
          <w:noProof/>
        </w:rPr>
      </w:pPr>
      <w:r w:rsidRPr="001455DC">
        <w:rPr>
          <w:noProof/>
        </w:rPr>
        <w:t>(5)</w:t>
      </w:r>
      <w:r w:rsidRPr="001455DC">
        <w:rPr>
          <w:noProof/>
        </w:rPr>
        <w:tab/>
        <w:t>The longitudinal bars of the surface reinforcement may be taken into account as longitudinal bending reinforcement and the transverse bars as shear reinforcement provided that they meet the requirements for the arrangement and anchorage of these types of reinforcement.</w:t>
      </w:r>
    </w:p>
    <w:p w14:paraId="7DA2B450" w14:textId="7BDB1B29" w:rsidR="004E22C1" w:rsidRPr="001455DC" w:rsidRDefault="00BB0FE4" w:rsidP="00BB0FE4">
      <w:pPr>
        <w:pStyle w:val="1"/>
        <w:pageBreakBefore/>
      </w:pPr>
      <w:bookmarkStart w:id="999" w:name="_Toc52820080"/>
      <w:bookmarkStart w:id="1000" w:name="_Toc54337130"/>
      <w:bookmarkStart w:id="1001" w:name="_Toc54337482"/>
      <w:bookmarkStart w:id="1002" w:name="_Toc54338136"/>
      <w:bookmarkStart w:id="1003" w:name="_Toc67565476"/>
      <w:r w:rsidRPr="001455DC">
        <w:t>Additional rules for precast concrete elements and structures</w:t>
      </w:r>
      <w:bookmarkEnd w:id="999"/>
      <w:bookmarkEnd w:id="1000"/>
      <w:bookmarkEnd w:id="1001"/>
      <w:bookmarkEnd w:id="1002"/>
      <w:bookmarkEnd w:id="1003"/>
    </w:p>
    <w:p w14:paraId="65EC5B32" w14:textId="2B98FB5D" w:rsidR="004E22C1" w:rsidRPr="001455DC" w:rsidRDefault="004E22C1" w:rsidP="006D682B">
      <w:pPr>
        <w:pStyle w:val="21"/>
      </w:pPr>
      <w:bookmarkStart w:id="1004" w:name="_Toc52820081"/>
      <w:bookmarkStart w:id="1005" w:name="_Toc54337483"/>
      <w:bookmarkStart w:id="1006" w:name="_Toc54338137"/>
      <w:bookmarkStart w:id="1007" w:name="_Toc67565477"/>
      <w:r w:rsidRPr="001455DC">
        <w:t>General</w:t>
      </w:r>
      <w:bookmarkEnd w:id="1004"/>
      <w:bookmarkEnd w:id="1005"/>
      <w:bookmarkEnd w:id="1006"/>
      <w:bookmarkEnd w:id="1007"/>
    </w:p>
    <w:p w14:paraId="37736A00" w14:textId="0E8D00D2" w:rsidR="004E22C1" w:rsidRPr="001455DC" w:rsidRDefault="004E22C1" w:rsidP="00BB0FE4">
      <w:pPr>
        <w:pStyle w:val="a7"/>
      </w:pPr>
      <w:r w:rsidRPr="001455DC">
        <w:t>(1)</w:t>
      </w:r>
      <w:r w:rsidRPr="001455DC">
        <w:tab/>
        <w:t xml:space="preserve">The rules in </w:t>
      </w:r>
      <w:r w:rsidR="001710FF" w:rsidRPr="001455DC">
        <w:t>Clause </w:t>
      </w:r>
      <w:r w:rsidRPr="001455DC">
        <w:t>13 apply to structures made partly or entirely of precast concrete elements and are supplementary to other rules in this Eurocode.</w:t>
      </w:r>
    </w:p>
    <w:p w14:paraId="61B65DDC" w14:textId="5534F2E9" w:rsidR="004E22C1" w:rsidRPr="001455DC" w:rsidRDefault="004E22C1" w:rsidP="00BB0FE4">
      <w:pPr>
        <w:pStyle w:val="a7"/>
      </w:pPr>
      <w:r w:rsidRPr="001455DC">
        <w:t>(2)</w:t>
      </w:r>
      <w:r w:rsidRPr="001455DC">
        <w:tab/>
        <w:t>Further development of the provisions for specific precast concrete products – related to design, detailing, tolerances and production – is given in EN 13369 and in the respective European product standards. Provisions for assembly are given in EN 13670.</w:t>
      </w:r>
    </w:p>
    <w:p w14:paraId="2C3BB549" w14:textId="77777777" w:rsidR="004E22C1" w:rsidRPr="001455DC" w:rsidRDefault="004E22C1" w:rsidP="00BB0FE4">
      <w:pPr>
        <w:pStyle w:val="a7"/>
      </w:pPr>
      <w:r w:rsidRPr="001455DC">
        <w:t>(3)</w:t>
      </w:r>
      <w:r w:rsidRPr="001455DC">
        <w:tab/>
        <w:t>Execution class in accordance with EN 13670 shall be specified.</w:t>
      </w:r>
    </w:p>
    <w:p w14:paraId="09A68EBC" w14:textId="26EFF388" w:rsidR="004E22C1" w:rsidRPr="001455DC" w:rsidRDefault="004E22C1" w:rsidP="006D682B">
      <w:pPr>
        <w:pStyle w:val="21"/>
      </w:pPr>
      <w:bookmarkStart w:id="1008" w:name="_Toc52820082"/>
      <w:bookmarkStart w:id="1009" w:name="_Toc54337484"/>
      <w:bookmarkStart w:id="1010" w:name="_Toc54338138"/>
      <w:bookmarkStart w:id="1011" w:name="_Toc67565478"/>
      <w:r w:rsidRPr="001455DC">
        <w:t>Specific requirements</w:t>
      </w:r>
      <w:bookmarkEnd w:id="1008"/>
      <w:bookmarkEnd w:id="1009"/>
      <w:bookmarkEnd w:id="1010"/>
      <w:bookmarkEnd w:id="1011"/>
    </w:p>
    <w:p w14:paraId="55BE7446" w14:textId="77777777" w:rsidR="004E22C1" w:rsidRPr="001455DC" w:rsidRDefault="004E22C1" w:rsidP="00E844D2">
      <w:pPr>
        <w:pStyle w:val="a7"/>
        <w:keepNext/>
      </w:pPr>
      <w:r w:rsidRPr="001455DC">
        <w:t>(1)</w:t>
      </w:r>
      <w:r w:rsidRPr="001455DC">
        <w:tab/>
        <w:t>In design and detailing, the following shall be considered specifically:</w:t>
      </w:r>
    </w:p>
    <w:p w14:paraId="067F8131" w14:textId="6E10051F" w:rsidR="004E22C1" w:rsidRPr="001455DC" w:rsidRDefault="004E22C1" w:rsidP="00BB0FE4">
      <w:pPr>
        <w:pStyle w:val="a0"/>
      </w:pPr>
      <w:r w:rsidRPr="001455DC">
        <w:t>bearings (temporary and permanent), joints and connections;</w:t>
      </w:r>
    </w:p>
    <w:p w14:paraId="648BED85" w14:textId="77A16B26" w:rsidR="004E22C1" w:rsidRPr="001455DC" w:rsidRDefault="004E22C1" w:rsidP="00BB0FE4">
      <w:pPr>
        <w:pStyle w:val="a0"/>
      </w:pPr>
      <w:r w:rsidRPr="001455DC">
        <w:t>transient situations like demoulding, transfer of prestress, transports, storage, erection and assembly.</w:t>
      </w:r>
    </w:p>
    <w:p w14:paraId="6723F469" w14:textId="77777777" w:rsidR="004E22C1" w:rsidRPr="001455DC" w:rsidRDefault="004E22C1" w:rsidP="00BB0FE4">
      <w:pPr>
        <w:pStyle w:val="a7"/>
      </w:pPr>
      <w:r w:rsidRPr="001455DC">
        <w:t>(2)</w:t>
      </w:r>
      <w:r w:rsidRPr="001455DC">
        <w:tab/>
        <w:t>Where relevant, dynamic effects in transient situations should be taken into account. In the absence of an accurate analysis, static effects may be multiplied by an appropriate factor (for precast products, directions may be provided in specific product standards).</w:t>
      </w:r>
    </w:p>
    <w:p w14:paraId="69644BF7" w14:textId="2250F5E5" w:rsidR="004E22C1" w:rsidRPr="001455DC" w:rsidRDefault="004E22C1" w:rsidP="006D682B">
      <w:pPr>
        <w:pStyle w:val="21"/>
      </w:pPr>
      <w:bookmarkStart w:id="1012" w:name="_Toc52820083"/>
      <w:bookmarkStart w:id="1013" w:name="_Toc54337485"/>
      <w:bookmarkStart w:id="1014" w:name="_Toc54338139"/>
      <w:bookmarkStart w:id="1015" w:name="_Toc67565479"/>
      <w:r w:rsidRPr="001455DC">
        <w:t>Concrete</w:t>
      </w:r>
      <w:bookmarkEnd w:id="1012"/>
      <w:bookmarkEnd w:id="1013"/>
      <w:bookmarkEnd w:id="1014"/>
      <w:bookmarkEnd w:id="1015"/>
    </w:p>
    <w:p w14:paraId="47C32B2E" w14:textId="0698786F" w:rsidR="004E22C1" w:rsidRPr="001455DC" w:rsidRDefault="004E22C1" w:rsidP="00243590">
      <w:pPr>
        <w:pStyle w:val="31"/>
      </w:pPr>
      <w:bookmarkStart w:id="1016" w:name="_Toc52820084"/>
      <w:bookmarkStart w:id="1017" w:name="_Toc54337486"/>
      <w:bookmarkStart w:id="1018" w:name="_Toc54338140"/>
      <w:bookmarkStart w:id="1019" w:name="_Toc67565480"/>
      <w:r w:rsidRPr="001455DC">
        <w:t>Strength for heat curing</w:t>
      </w:r>
      <w:bookmarkEnd w:id="1016"/>
      <w:bookmarkEnd w:id="1017"/>
      <w:bookmarkEnd w:id="1018"/>
      <w:bookmarkEnd w:id="1019"/>
    </w:p>
    <w:p w14:paraId="255C657F" w14:textId="77777777" w:rsidR="004E22C1" w:rsidRPr="001455DC" w:rsidRDefault="004E22C1" w:rsidP="00BB0FE4">
      <w:pPr>
        <w:pStyle w:val="a7"/>
      </w:pPr>
      <w:r w:rsidRPr="001455DC">
        <w:t>(1)</w:t>
      </w:r>
      <w:r w:rsidRPr="001455DC">
        <w:tab/>
        <w:t xml:space="preserve">In the case of heat curing, the mean compressive strength of concrete at an age </w:t>
      </w:r>
      <w:r w:rsidRPr="001455DC">
        <w:rPr>
          <w:rStyle w:val="CCMCvariableitalic"/>
        </w:rPr>
        <w:t>t</w:t>
      </w:r>
      <w:r w:rsidRPr="001455DC">
        <w:t xml:space="preserve"> less than </w:t>
      </w:r>
      <w:r w:rsidRPr="001455DC">
        <w:rPr>
          <w:rStyle w:val="CCMCvariableitalic"/>
        </w:rPr>
        <w:t>t</w:t>
      </w:r>
      <w:r w:rsidRPr="001455DC">
        <w:rPr>
          <w:rStyle w:val="CCMCvariablesubscript"/>
        </w:rPr>
        <w:t>ref</w:t>
      </w:r>
      <w:r w:rsidRPr="001455DC">
        <w:t xml:space="preserve">, </w:t>
      </w:r>
      <w:r w:rsidRPr="001455DC">
        <w:rPr>
          <w:rStyle w:val="CCMCvariableitalic"/>
        </w:rPr>
        <w:t>f</w:t>
      </w:r>
      <w:r w:rsidRPr="001455DC">
        <w:rPr>
          <w:rStyle w:val="CCMCvariablesubscript"/>
        </w:rPr>
        <w:t>cm</w:t>
      </w:r>
      <w:r w:rsidRPr="001455DC">
        <w:t>(</w:t>
      </w:r>
      <w:r w:rsidRPr="001455DC">
        <w:rPr>
          <w:rStyle w:val="CCMCvariableitalic"/>
        </w:rPr>
        <w:t>t</w:t>
      </w:r>
      <w:r w:rsidRPr="001455DC">
        <w:t xml:space="preserve">), may be estimated from Formula (B.1), replacing the concrete age </w:t>
      </w:r>
      <w:r w:rsidRPr="001455DC">
        <w:rPr>
          <w:rStyle w:val="CCMCvariableitalic"/>
        </w:rPr>
        <w:t>t</w:t>
      </w:r>
      <w:r w:rsidRPr="001455DC">
        <w:t xml:space="preserve"> with the temperature adjusted concrete age obtained by Formula (B.18), where the coefficient </w:t>
      </w:r>
      <w:r w:rsidRPr="001455DC">
        <w:rPr>
          <w:rStyle w:val="CCMCvariableitalic"/>
        </w:rPr>
        <w:t>β</w:t>
      </w:r>
      <w:r w:rsidRPr="001455DC">
        <w:rPr>
          <w:rStyle w:val="CCMCvariablesubscript"/>
        </w:rPr>
        <w:t>cc</w:t>
      </w:r>
      <w:r w:rsidRPr="001455DC">
        <w:t>(</w:t>
      </w:r>
      <w:r w:rsidRPr="001455DC">
        <w:rPr>
          <w:rStyle w:val="CCMCvariableitalic"/>
        </w:rPr>
        <w:t>t</w:t>
      </w:r>
      <w:r w:rsidRPr="001455DC">
        <w:t>) should be limited to 1,0.</w:t>
      </w:r>
    </w:p>
    <w:p w14:paraId="64AE6E2F" w14:textId="580EC9E9" w:rsidR="004E22C1" w:rsidRPr="001455DC" w:rsidRDefault="004E22C1" w:rsidP="00E844D2">
      <w:pPr>
        <w:pStyle w:val="a7"/>
        <w:keepNext/>
      </w:pPr>
      <w:r w:rsidRPr="001455DC">
        <w:t>For the effect of heat curing, Formula (13.1) may be used:</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BB0FE4" w:rsidRPr="001455DC" w14:paraId="0EC00C1C" w14:textId="77777777" w:rsidTr="0077336D">
        <w:trPr>
          <w:cantSplit/>
        </w:trPr>
        <w:tc>
          <w:tcPr>
            <w:tcW w:w="8505" w:type="dxa"/>
            <w:vAlign w:val="center"/>
          </w:tcPr>
          <w:p w14:paraId="1BF9E73F" w14:textId="0C99A396" w:rsidR="00BB0FE4" w:rsidRPr="001455DC" w:rsidRDefault="00231E33" w:rsidP="0077336D">
            <w:pPr>
              <w:pStyle w:val="Formula"/>
              <w:jc w:val="left"/>
              <w:rPr>
                <w:szCs w:val="22"/>
              </w:rPr>
            </w:pPr>
            <m:oMathPara>
              <m:oMathParaPr>
                <m:jc m:val="left"/>
              </m:oMathParaPr>
              <m:oMath>
                <m:sSub>
                  <m:sSubPr>
                    <m:ctrlPr>
                      <w:rPr>
                        <w:rFonts w:ascii="Cambria Math" w:hAnsi="Cambria Math"/>
                        <w:szCs w:val="22"/>
                      </w:rPr>
                    </m:ctrlPr>
                  </m:sSubPr>
                  <m:e>
                    <m:r>
                      <w:rPr>
                        <w:rFonts w:ascii="Cambria Math" w:hAnsi="Cambria Math"/>
                        <w:szCs w:val="22"/>
                      </w:rPr>
                      <m:t>f</m:t>
                    </m:r>
                  </m:e>
                  <m:sub>
                    <m:r>
                      <m:rPr>
                        <m:sty m:val="p"/>
                      </m:rPr>
                      <w:rPr>
                        <w:rFonts w:ascii="Cambria Math" w:hAnsi="Cambria Math"/>
                        <w:szCs w:val="22"/>
                      </w:rPr>
                      <m:t>cm</m:t>
                    </m:r>
                  </m:sub>
                </m:sSub>
                <m:d>
                  <m:dPr>
                    <m:ctrlPr>
                      <w:rPr>
                        <w:rFonts w:ascii="Cambria Math" w:hAnsi="Cambria Math"/>
                        <w:i/>
                        <w:szCs w:val="22"/>
                      </w:rPr>
                    </m:ctrlPr>
                  </m:dPr>
                  <m:e>
                    <m:r>
                      <w:rPr>
                        <w:rFonts w:ascii="Cambria Math" w:hAnsi="Cambria Math"/>
                        <w:szCs w:val="22"/>
                      </w:rPr>
                      <m:t>t</m:t>
                    </m:r>
                  </m:e>
                </m:d>
                <m:r>
                  <w:rPr>
                    <w:rFonts w:ascii="Cambria Math" w:hAnsi="Cambria Math"/>
                    <w:szCs w:val="22"/>
                  </w:rPr>
                  <m:t>=</m:t>
                </m:r>
                <m:sSub>
                  <m:sSubPr>
                    <m:ctrlPr>
                      <w:rPr>
                        <w:rFonts w:ascii="Cambria Math" w:hAnsi="Cambria Math"/>
                        <w:szCs w:val="22"/>
                      </w:rPr>
                    </m:ctrlPr>
                  </m:sSubPr>
                  <m:e>
                    <m:r>
                      <w:rPr>
                        <w:rFonts w:ascii="Cambria Math" w:hAnsi="Cambria Math"/>
                        <w:szCs w:val="22"/>
                      </w:rPr>
                      <m:t>f</m:t>
                    </m:r>
                  </m:e>
                  <m:sub>
                    <m:r>
                      <m:rPr>
                        <m:sty m:val="p"/>
                      </m:rPr>
                      <w:rPr>
                        <w:rFonts w:ascii="Cambria Math" w:hAnsi="Cambria Math"/>
                        <w:szCs w:val="22"/>
                      </w:rPr>
                      <m:t>cmp</m:t>
                    </m:r>
                  </m:sub>
                </m:sSub>
                <m:r>
                  <w:rPr>
                    <w:rFonts w:ascii="Cambria Math" w:hAnsi="Cambria Math"/>
                    <w:szCs w:val="22"/>
                  </w:rPr>
                  <m:t>+</m:t>
                </m:r>
                <m:f>
                  <m:fPr>
                    <m:ctrlPr>
                      <w:rPr>
                        <w:rFonts w:ascii="Cambria Math" w:hAnsi="Cambria Math"/>
                        <w:szCs w:val="22"/>
                      </w:rPr>
                    </m:ctrlPr>
                  </m:fPr>
                  <m:num>
                    <m:sSub>
                      <m:sSubPr>
                        <m:ctrlPr>
                          <w:rPr>
                            <w:rFonts w:ascii="Cambria Math" w:hAnsi="Cambria Math"/>
                            <w:szCs w:val="22"/>
                          </w:rPr>
                        </m:ctrlPr>
                      </m:sSubPr>
                      <m:e>
                        <m:r>
                          <w:rPr>
                            <w:rFonts w:ascii="Cambria Math" w:hAnsi="Cambria Math"/>
                            <w:szCs w:val="22"/>
                          </w:rPr>
                          <m:t>f</m:t>
                        </m:r>
                      </m:e>
                      <m:sub>
                        <m:r>
                          <m:rPr>
                            <m:sty m:val="p"/>
                          </m:rPr>
                          <w:rPr>
                            <w:rFonts w:ascii="Cambria Math" w:hAnsi="Cambria Math"/>
                            <w:szCs w:val="22"/>
                          </w:rPr>
                          <m:t>cm</m:t>
                        </m:r>
                      </m:sub>
                    </m:sSub>
                    <m:r>
                      <w:rPr>
                        <w:rFonts w:ascii="Cambria Math" w:hAnsi="Cambria Math"/>
                        <w:szCs w:val="22"/>
                      </w:rPr>
                      <m:t>(</m:t>
                    </m:r>
                    <m:sSub>
                      <m:sSubPr>
                        <m:ctrlPr>
                          <w:rPr>
                            <w:rFonts w:ascii="Cambria Math" w:hAnsi="Cambria Math"/>
                            <w:szCs w:val="22"/>
                          </w:rPr>
                        </m:ctrlPr>
                      </m:sSubPr>
                      <m:e>
                        <m:r>
                          <w:rPr>
                            <w:rFonts w:ascii="Cambria Math" w:hAnsi="Cambria Math"/>
                            <w:szCs w:val="22"/>
                          </w:rPr>
                          <m:t>t</m:t>
                        </m:r>
                      </m:e>
                      <m:sub>
                        <m:r>
                          <m:rPr>
                            <m:sty m:val="p"/>
                          </m:rPr>
                          <w:rPr>
                            <w:rFonts w:ascii="Cambria Math" w:hAnsi="Cambria Math"/>
                            <w:szCs w:val="22"/>
                          </w:rPr>
                          <m:t>ref</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m:rPr>
                            <m:sty m:val="p"/>
                          </m:rPr>
                          <w:rPr>
                            <w:rFonts w:ascii="Cambria Math" w:hAnsi="Cambria Math"/>
                            <w:szCs w:val="22"/>
                          </w:rPr>
                          <m:t>cmp</m:t>
                        </m:r>
                      </m:sub>
                    </m:sSub>
                  </m:num>
                  <m:den>
                    <m:r>
                      <m:rPr>
                        <m:sty m:val="p"/>
                      </m:rPr>
                      <w:rPr>
                        <w:rFonts w:ascii="Cambria Math" w:hAnsi="Cambria Math"/>
                        <w:szCs w:val="22"/>
                      </w:rPr>
                      <m:t>lg</m:t>
                    </m:r>
                    <m:r>
                      <w:rPr>
                        <w:rFonts w:ascii="Cambria Math" w:hAnsi="Cambria Math"/>
                        <w:szCs w:val="22"/>
                      </w:rPr>
                      <m:t>(</m:t>
                    </m:r>
                    <m:sSub>
                      <m:sSubPr>
                        <m:ctrlPr>
                          <w:rPr>
                            <w:rFonts w:ascii="Cambria Math" w:hAnsi="Cambria Math"/>
                            <w:szCs w:val="22"/>
                          </w:rPr>
                        </m:ctrlPr>
                      </m:sSubPr>
                      <m:e>
                        <m:r>
                          <w:rPr>
                            <w:rFonts w:ascii="Cambria Math" w:hAnsi="Cambria Math"/>
                            <w:szCs w:val="22"/>
                          </w:rPr>
                          <m:t>t</m:t>
                        </m:r>
                      </m:e>
                      <m:sub>
                        <m:r>
                          <m:rPr>
                            <m:sty m:val="p"/>
                          </m:rPr>
                          <w:rPr>
                            <w:rFonts w:ascii="Cambria Math" w:hAnsi="Cambria Math"/>
                            <w:szCs w:val="22"/>
                          </w:rPr>
                          <m:t>ref</m:t>
                        </m:r>
                      </m:sub>
                    </m:sSub>
                    <m:r>
                      <w:rPr>
                        <w:rFonts w:ascii="Cambria Math" w:hAnsi="Cambria Math"/>
                        <w:szCs w:val="22"/>
                      </w:rPr>
                      <m:t>-</m:t>
                    </m:r>
                    <m:sSub>
                      <m:sSubPr>
                        <m:ctrlPr>
                          <w:rPr>
                            <w:rFonts w:ascii="Cambria Math" w:hAnsi="Cambria Math"/>
                            <w:szCs w:val="22"/>
                          </w:rPr>
                        </m:ctrlPr>
                      </m:sSubPr>
                      <m:e>
                        <m:r>
                          <w:rPr>
                            <w:rFonts w:ascii="Cambria Math" w:hAnsi="Cambria Math"/>
                            <w:szCs w:val="22"/>
                          </w:rPr>
                          <m:t>t</m:t>
                        </m:r>
                      </m:e>
                      <m:sub>
                        <m:r>
                          <w:rPr>
                            <w:rFonts w:ascii="Cambria Math" w:hAnsi="Cambria Math"/>
                            <w:szCs w:val="22"/>
                          </w:rPr>
                          <m:t>p</m:t>
                        </m:r>
                      </m:sub>
                    </m:sSub>
                    <m:r>
                      <w:rPr>
                        <w:rFonts w:ascii="Cambria Math" w:hAnsi="Cambria Math"/>
                        <w:szCs w:val="22"/>
                      </w:rPr>
                      <m:t>+1)</m:t>
                    </m:r>
                  </m:den>
                </m:f>
                <m:r>
                  <m:rPr>
                    <m:sty m:val="p"/>
                  </m:rPr>
                  <w:rPr>
                    <w:rFonts w:ascii="Cambria Math" w:hAnsi="Cambria Math"/>
                    <w:szCs w:val="22"/>
                  </w:rPr>
                  <m:t>lg</m:t>
                </m:r>
                <m:r>
                  <w:rPr>
                    <w:rFonts w:ascii="Cambria Math" w:hAnsi="Cambria Math"/>
                    <w:szCs w:val="22"/>
                  </w:rPr>
                  <m:t>(t-</m:t>
                </m:r>
                <m:sSub>
                  <m:sSubPr>
                    <m:ctrlPr>
                      <w:rPr>
                        <w:rFonts w:ascii="Cambria Math" w:hAnsi="Cambria Math"/>
                        <w:szCs w:val="22"/>
                      </w:rPr>
                    </m:ctrlPr>
                  </m:sSubPr>
                  <m:e>
                    <m:r>
                      <w:rPr>
                        <w:rFonts w:ascii="Cambria Math" w:hAnsi="Cambria Math"/>
                        <w:szCs w:val="22"/>
                      </w:rPr>
                      <m:t>t</m:t>
                    </m:r>
                  </m:e>
                  <m:sub>
                    <m:r>
                      <w:rPr>
                        <w:rFonts w:ascii="Cambria Math" w:hAnsi="Cambria Math"/>
                        <w:szCs w:val="22"/>
                      </w:rPr>
                      <m:t>p</m:t>
                    </m:r>
                  </m:sub>
                </m:sSub>
                <m:r>
                  <w:rPr>
                    <w:rFonts w:ascii="Cambria Math" w:hAnsi="Cambria Math"/>
                    <w:szCs w:val="22"/>
                  </w:rPr>
                  <m:t>+1)</m:t>
                </m:r>
              </m:oMath>
            </m:oMathPara>
          </w:p>
        </w:tc>
        <w:tc>
          <w:tcPr>
            <w:tcW w:w="1247" w:type="dxa"/>
            <w:vAlign w:val="center"/>
          </w:tcPr>
          <w:p w14:paraId="5D2926BD" w14:textId="22111F2F" w:rsidR="00BB0FE4" w:rsidRPr="001455DC" w:rsidRDefault="00BB0FE4" w:rsidP="0077336D">
            <w:pPr>
              <w:pStyle w:val="a7"/>
              <w:jc w:val="right"/>
            </w:pPr>
            <w:r w:rsidRPr="001455DC">
              <w:t>(13.1)</w:t>
            </w:r>
          </w:p>
        </w:tc>
      </w:tr>
    </w:tbl>
    <w:p w14:paraId="3D9828F9" w14:textId="77777777" w:rsidR="00BB0FE4" w:rsidRPr="001455DC" w:rsidRDefault="00BB0FE4"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BB0FE4" w:rsidRPr="001455DC" w14:paraId="380F815A" w14:textId="77777777" w:rsidTr="0077336D">
        <w:trPr>
          <w:cantSplit/>
        </w:trPr>
        <w:tc>
          <w:tcPr>
            <w:tcW w:w="567" w:type="dxa"/>
          </w:tcPr>
          <w:p w14:paraId="1168A569" w14:textId="09D1F8BA" w:rsidR="00BB0FE4" w:rsidRPr="001455DC" w:rsidRDefault="00BB0FE4" w:rsidP="0000442A">
            <w:pPr>
              <w:pStyle w:val="Tablebody"/>
            </w:pPr>
            <w:r w:rsidRPr="001455DC">
              <w:rPr>
                <w:rStyle w:val="CCMCvariableitalic"/>
              </w:rPr>
              <w:t>f</w:t>
            </w:r>
            <w:r w:rsidRPr="001455DC">
              <w:rPr>
                <w:rStyle w:val="CCMCvariablesubscript"/>
              </w:rPr>
              <w:t>cmp</w:t>
            </w:r>
          </w:p>
        </w:tc>
        <w:tc>
          <w:tcPr>
            <w:tcW w:w="8845" w:type="dxa"/>
          </w:tcPr>
          <w:p w14:paraId="769E7586" w14:textId="740C37F1" w:rsidR="00BB0FE4" w:rsidRPr="001455DC" w:rsidRDefault="00BB0FE4" w:rsidP="00BB1209">
            <w:pPr>
              <w:pStyle w:val="Tablebody"/>
            </w:pPr>
            <w:r w:rsidRPr="001455DC">
              <w:t xml:space="preserve">is the mean compressive strength after the heat curing (i.e. at tendon release), measured by testing samples at the time </w:t>
            </w:r>
            <w:r w:rsidRPr="001455DC">
              <w:rPr>
                <w:rStyle w:val="CCMCvariableitalic"/>
              </w:rPr>
              <w:t>t</w:t>
            </w:r>
            <w:r w:rsidRPr="001455DC">
              <w:rPr>
                <w:rStyle w:val="CCMCvariablesubscript"/>
              </w:rPr>
              <w:t>p</w:t>
            </w:r>
            <w:r w:rsidRPr="001455DC">
              <w:t xml:space="preserve"> (</w:t>
            </w:r>
            <w:r w:rsidRPr="001455DC">
              <w:rPr>
                <w:rStyle w:val="CCMCvariableitalic"/>
              </w:rPr>
              <w:t>t</w:t>
            </w:r>
            <w:r w:rsidRPr="001455DC">
              <w:rPr>
                <w:rStyle w:val="CCMCvariablesubscript"/>
              </w:rPr>
              <w:t>p</w:t>
            </w:r>
            <w:r w:rsidRPr="001455DC">
              <w:t> </w:t>
            </w:r>
            <w:r w:rsidR="00650035" w:rsidRPr="001455DC">
              <w:rPr>
                <w:rFonts w:ascii="Cambria Math" w:hAnsi="Cambria Math"/>
              </w:rPr>
              <w:t>&lt;</w:t>
            </w:r>
            <w:r w:rsidRPr="001455DC">
              <w:t> </w:t>
            </w:r>
            <w:r w:rsidRPr="001455DC">
              <w:rPr>
                <w:rStyle w:val="CCMCvariableitalic"/>
              </w:rPr>
              <w:t>t</w:t>
            </w:r>
            <w:r w:rsidRPr="001455DC">
              <w:rPr>
                <w:rStyle w:val="CCMCvariablesubscript"/>
              </w:rPr>
              <w:t>ref</w:t>
            </w:r>
            <w:r w:rsidRPr="001455DC">
              <w:t>) subject to the same heat treatment as the precast concrete product;</w:t>
            </w:r>
          </w:p>
        </w:tc>
      </w:tr>
      <w:tr w:rsidR="00BB0FE4" w:rsidRPr="001455DC" w14:paraId="23724B59" w14:textId="77777777" w:rsidTr="0077336D">
        <w:trPr>
          <w:cantSplit/>
        </w:trPr>
        <w:tc>
          <w:tcPr>
            <w:tcW w:w="567" w:type="dxa"/>
          </w:tcPr>
          <w:p w14:paraId="45E23449" w14:textId="255C1348" w:rsidR="00BB0FE4" w:rsidRPr="001455DC" w:rsidRDefault="00BB0FE4" w:rsidP="0000442A">
            <w:pPr>
              <w:pStyle w:val="Tablebody"/>
            </w:pPr>
            <w:r w:rsidRPr="001455DC">
              <w:rPr>
                <w:rStyle w:val="CCMCvariableitalic"/>
              </w:rPr>
              <w:t>t</w:t>
            </w:r>
            <w:r w:rsidRPr="001455DC">
              <w:rPr>
                <w:rStyle w:val="CCMCvariablesubscript"/>
              </w:rPr>
              <w:t>ref</w:t>
            </w:r>
          </w:p>
        </w:tc>
        <w:tc>
          <w:tcPr>
            <w:tcW w:w="8845" w:type="dxa"/>
          </w:tcPr>
          <w:p w14:paraId="11FC9F27" w14:textId="483D8B43" w:rsidR="00BB0FE4" w:rsidRPr="001455DC" w:rsidRDefault="00BB0FE4" w:rsidP="0000442A">
            <w:pPr>
              <w:pStyle w:val="Tablebody"/>
            </w:pPr>
            <w:r w:rsidRPr="001455DC">
              <w:t>is defined in 5.1.3.</w:t>
            </w:r>
          </w:p>
        </w:tc>
      </w:tr>
    </w:tbl>
    <w:p w14:paraId="4AB34B63" w14:textId="3BB2DE81" w:rsidR="004E22C1" w:rsidRPr="001455DC" w:rsidRDefault="004E22C1" w:rsidP="00243590">
      <w:pPr>
        <w:pStyle w:val="31"/>
      </w:pPr>
      <w:bookmarkStart w:id="1020" w:name="_Toc52820085"/>
      <w:bookmarkStart w:id="1021" w:name="_Toc54337487"/>
      <w:bookmarkStart w:id="1022" w:name="_Toc54338141"/>
      <w:bookmarkStart w:id="1023" w:name="_Toc67565481"/>
      <w:r w:rsidRPr="001455DC">
        <w:t>Creep and shrinkage</w:t>
      </w:r>
      <w:bookmarkEnd w:id="1020"/>
      <w:bookmarkEnd w:id="1021"/>
      <w:bookmarkEnd w:id="1022"/>
      <w:bookmarkEnd w:id="1023"/>
    </w:p>
    <w:p w14:paraId="5B5FF6D2" w14:textId="77777777" w:rsidR="004E22C1" w:rsidRPr="001455DC" w:rsidRDefault="004E22C1" w:rsidP="00BB0FE4">
      <w:pPr>
        <w:pStyle w:val="a7"/>
      </w:pPr>
      <w:r w:rsidRPr="001455DC">
        <w:t>(1)</w:t>
      </w:r>
      <w:r w:rsidRPr="001455DC">
        <w:tab/>
        <w:t xml:space="preserve">In case of heat cured precast concrete elements, the values of creep deformations may be estimated according to the maturity function of Formula (B.14) in Annex B, in which the age of concrete at loading </w:t>
      </w:r>
      <w:r w:rsidRPr="001455DC">
        <w:rPr>
          <w:rStyle w:val="CCMCvariableitalic"/>
        </w:rPr>
        <w:t>t</w:t>
      </w:r>
      <w:r w:rsidRPr="001455DC">
        <w:rPr>
          <w:rStyle w:val="CCMCvariablesubscript"/>
        </w:rPr>
        <w:t>0</w:t>
      </w:r>
      <w:r w:rsidRPr="001455DC">
        <w:t xml:space="preserve"> (in days) in Formula (B.9) should be replaced by the equivalent concrete age obtained by Formulae (B.17) and (B.18).</w:t>
      </w:r>
    </w:p>
    <w:p w14:paraId="0B8CB8AC" w14:textId="77777777" w:rsidR="004E22C1" w:rsidRPr="001455DC" w:rsidRDefault="004E22C1" w:rsidP="00BB0FE4">
      <w:pPr>
        <w:pStyle w:val="a7"/>
      </w:pPr>
      <w:r w:rsidRPr="001455DC">
        <w:t>(2)</w:t>
      </w:r>
      <w:r w:rsidRPr="001455DC">
        <w:tab/>
        <w:t>In elements subjected to heat curing, drying shrinkage strain and basic shrinkage strain during heat curing may be assumed negligible.</w:t>
      </w:r>
    </w:p>
    <w:p w14:paraId="309564EB" w14:textId="79974805" w:rsidR="004E22C1" w:rsidRPr="001455DC" w:rsidRDefault="004E22C1" w:rsidP="006D682B">
      <w:pPr>
        <w:pStyle w:val="21"/>
      </w:pPr>
      <w:bookmarkStart w:id="1024" w:name="_Toc52820086"/>
      <w:bookmarkStart w:id="1025" w:name="_Toc54337488"/>
      <w:bookmarkStart w:id="1026" w:name="_Toc54338142"/>
      <w:bookmarkStart w:id="1027" w:name="_Toc67565482"/>
      <w:r w:rsidRPr="001455DC">
        <w:t>Structural analysis</w:t>
      </w:r>
      <w:bookmarkEnd w:id="1024"/>
      <w:bookmarkEnd w:id="1025"/>
      <w:bookmarkEnd w:id="1026"/>
      <w:bookmarkEnd w:id="1027"/>
    </w:p>
    <w:p w14:paraId="6E4D5B51" w14:textId="16F6152E" w:rsidR="004E22C1" w:rsidRPr="001455DC" w:rsidRDefault="004E22C1" w:rsidP="00243590">
      <w:pPr>
        <w:pStyle w:val="31"/>
      </w:pPr>
      <w:bookmarkStart w:id="1028" w:name="_Toc52820087"/>
      <w:bookmarkStart w:id="1029" w:name="_Toc54337489"/>
      <w:bookmarkStart w:id="1030" w:name="_Toc54338143"/>
      <w:bookmarkStart w:id="1031" w:name="_Toc67565483"/>
      <w:r w:rsidRPr="001455DC">
        <w:t>General</w:t>
      </w:r>
      <w:bookmarkEnd w:id="1028"/>
      <w:bookmarkEnd w:id="1029"/>
      <w:bookmarkEnd w:id="1030"/>
      <w:bookmarkEnd w:id="1031"/>
    </w:p>
    <w:p w14:paraId="28B52B5D" w14:textId="77777777" w:rsidR="004E22C1" w:rsidRPr="001455DC" w:rsidRDefault="004E22C1" w:rsidP="00243590">
      <w:pPr>
        <w:pStyle w:val="a7"/>
        <w:keepNext/>
        <w:spacing w:after="160"/>
      </w:pPr>
      <w:r w:rsidRPr="001455DC">
        <w:t>(1)</w:t>
      </w:r>
      <w:r w:rsidRPr="001455DC">
        <w:tab/>
        <w:t>The analysis shall account for:</w:t>
      </w:r>
    </w:p>
    <w:p w14:paraId="494D48DB" w14:textId="1357F012" w:rsidR="004E22C1" w:rsidRPr="001455DC" w:rsidRDefault="004E22C1" w:rsidP="00243590">
      <w:pPr>
        <w:pStyle w:val="a0"/>
        <w:spacing w:after="160"/>
      </w:pPr>
      <w:r w:rsidRPr="001455DC">
        <w:t>the behaviour of the structural elements at all stages of construction, using the appropriate geometry and properties for each stage, and their interaction with other elements (e.g. composite action with in-situ concrete or other precast units);</w:t>
      </w:r>
    </w:p>
    <w:p w14:paraId="34F0CAA2" w14:textId="1A3DA7F6" w:rsidR="004E22C1" w:rsidRPr="001455DC" w:rsidRDefault="004E22C1" w:rsidP="00243590">
      <w:pPr>
        <w:pStyle w:val="a0"/>
        <w:spacing w:after="160"/>
      </w:pPr>
      <w:r w:rsidRPr="001455DC">
        <w:t>the influence of the behaviour of the connections, with particular regard to their actual deformability and strength;</w:t>
      </w:r>
    </w:p>
    <w:p w14:paraId="149A70DC" w14:textId="60A7D314" w:rsidR="004E22C1" w:rsidRPr="001455DC" w:rsidRDefault="004E22C1" w:rsidP="00243590">
      <w:pPr>
        <w:pStyle w:val="a0"/>
        <w:spacing w:after="160"/>
      </w:pPr>
      <w:r w:rsidRPr="001455DC">
        <w:t>the uncertainties affecting restraints and force transmission between elements, arising from deviations in geometry and in positioning of elements and bearings;</w:t>
      </w:r>
    </w:p>
    <w:p w14:paraId="03E870C2" w14:textId="3AB0D1F4" w:rsidR="004E22C1" w:rsidRPr="001455DC" w:rsidRDefault="004E22C1" w:rsidP="00243590">
      <w:pPr>
        <w:pStyle w:val="a0"/>
        <w:spacing w:after="160"/>
      </w:pPr>
      <w:r w:rsidRPr="001455DC">
        <w:t>the influence of the flexibility of members supporting precast floor elements on the load distribution between the precast floor elements.</w:t>
      </w:r>
    </w:p>
    <w:p w14:paraId="073A64DF" w14:textId="77777777" w:rsidR="004E22C1" w:rsidRPr="001455DC" w:rsidRDefault="004E22C1" w:rsidP="00243590">
      <w:pPr>
        <w:pStyle w:val="a7"/>
        <w:keepNext/>
        <w:spacing w:after="160"/>
      </w:pPr>
      <w:r w:rsidRPr="001455DC">
        <w:t>(2)</w:t>
      </w:r>
      <w:r w:rsidRPr="001455DC">
        <w:tab/>
        <w:t xml:space="preserve">In bearings of beams and slabs, beneficial effects of horizontal restraint caused by friction due to gravity loads may be taken into account only in non-seismic situations (using </w:t>
      </w:r>
      <w:r w:rsidRPr="001455DC">
        <w:rPr>
          <w:rStyle w:val="CCMCvariableitalic"/>
        </w:rPr>
        <w:t>γ</w:t>
      </w:r>
      <w:r w:rsidRPr="001455DC">
        <w:rPr>
          <w:rStyle w:val="CCMCvariablesubscript"/>
        </w:rPr>
        <w:t>G,inf</w:t>
      </w:r>
      <w:r w:rsidRPr="001455DC">
        <w:t>) and where</w:t>
      </w:r>
    </w:p>
    <w:p w14:paraId="663C80CC" w14:textId="16EF4CF2" w:rsidR="004E22C1" w:rsidRPr="001455DC" w:rsidRDefault="004E22C1" w:rsidP="00243590">
      <w:pPr>
        <w:pStyle w:val="a0"/>
        <w:spacing w:after="160"/>
      </w:pPr>
      <w:r w:rsidRPr="001455DC">
        <w:t>friction is not solely relied upon for overall stability of the structure;</w:t>
      </w:r>
    </w:p>
    <w:p w14:paraId="3A25FE62" w14:textId="24FDCD6E" w:rsidR="004E22C1" w:rsidRPr="001455DC" w:rsidRDefault="004E22C1" w:rsidP="00243590">
      <w:pPr>
        <w:pStyle w:val="a0"/>
        <w:spacing w:after="160"/>
      </w:pPr>
      <w:r w:rsidRPr="001455DC">
        <w:t>bearing arrangements preclude the possibility of accumulation of sliding of the elements;</w:t>
      </w:r>
    </w:p>
    <w:p w14:paraId="5E9CBB22" w14:textId="28FD1A9A" w:rsidR="004E22C1" w:rsidRPr="001455DC" w:rsidRDefault="004E22C1" w:rsidP="00243590">
      <w:pPr>
        <w:pStyle w:val="a0"/>
        <w:spacing w:after="160"/>
      </w:pPr>
      <w:r w:rsidRPr="001455DC">
        <w:t>risk of significant impact loading is excluded.</w:t>
      </w:r>
    </w:p>
    <w:p w14:paraId="3DC3F6C5" w14:textId="77777777" w:rsidR="004E22C1" w:rsidRPr="001455DC" w:rsidRDefault="004E22C1" w:rsidP="00243590">
      <w:pPr>
        <w:pStyle w:val="a7"/>
        <w:spacing w:after="160"/>
      </w:pPr>
      <w:r w:rsidRPr="001455DC">
        <w:t>(3)</w:t>
      </w:r>
      <w:r w:rsidRPr="001455DC">
        <w:tab/>
        <w:t>The effects of relative movements of elements on bearings should be considered in design with respect to the resistance of the structure and the integrity of the connections.</w:t>
      </w:r>
    </w:p>
    <w:p w14:paraId="21DEC13B" w14:textId="645E30A0" w:rsidR="004E22C1" w:rsidRPr="001455DC" w:rsidRDefault="004E22C1" w:rsidP="00243590">
      <w:pPr>
        <w:pStyle w:val="31"/>
      </w:pPr>
      <w:bookmarkStart w:id="1032" w:name="_Toc52820088"/>
      <w:bookmarkStart w:id="1033" w:name="_Toc54337490"/>
      <w:bookmarkStart w:id="1034" w:name="_Toc54338144"/>
      <w:bookmarkStart w:id="1035" w:name="_Toc67565484"/>
      <w:r w:rsidRPr="001455DC">
        <w:t>Losses of prestress during heat curin</w:t>
      </w:r>
      <w:bookmarkEnd w:id="1032"/>
      <w:r w:rsidRPr="001455DC">
        <w:t>g</w:t>
      </w:r>
      <w:bookmarkEnd w:id="1033"/>
      <w:bookmarkEnd w:id="1034"/>
      <w:bookmarkEnd w:id="1035"/>
    </w:p>
    <w:p w14:paraId="79A7A9DB" w14:textId="2FA191AC" w:rsidR="004E22C1" w:rsidRPr="001455DC" w:rsidRDefault="004E22C1" w:rsidP="00243590">
      <w:pPr>
        <w:pStyle w:val="41"/>
      </w:pPr>
      <w:bookmarkStart w:id="1036" w:name="_Toc52820089"/>
      <w:bookmarkStart w:id="1037" w:name="_Toc54338145"/>
      <w:r w:rsidRPr="001455DC">
        <w:t>Relaxation losses</w:t>
      </w:r>
      <w:bookmarkEnd w:id="1036"/>
      <w:bookmarkEnd w:id="1037"/>
    </w:p>
    <w:p w14:paraId="302C23F5" w14:textId="77777777" w:rsidR="004E22C1" w:rsidRPr="001455DC" w:rsidRDefault="004E22C1" w:rsidP="0077336D">
      <w:pPr>
        <w:pStyle w:val="a7"/>
      </w:pPr>
      <w:r w:rsidRPr="001455DC">
        <w:t>(1)</w:t>
      </w:r>
      <w:r w:rsidRPr="001455DC">
        <w:tab/>
        <w:t>For pre-tensioned members, the effect of heat treatment on the relaxation losses shall be considered.</w:t>
      </w:r>
    </w:p>
    <w:p w14:paraId="113CFDF6" w14:textId="77777777" w:rsidR="0077336D" w:rsidRPr="001455DC" w:rsidRDefault="004E22C1" w:rsidP="0077336D">
      <w:pPr>
        <w:pStyle w:val="a7"/>
      </w:pPr>
      <w:r w:rsidRPr="001455DC">
        <w:t>(2)</w:t>
      </w:r>
      <w:r w:rsidRPr="001455DC">
        <w:tab/>
        <w:t xml:space="preserve">This effect of heat treatment on the relaxation losses may be accounted for by the simplified method given in Formula (13.2). In this case, an equivalent time </w:t>
      </w:r>
      <w:r w:rsidRPr="001455DC">
        <w:rPr>
          <w:rStyle w:val="CCMCvariableitalic"/>
        </w:rPr>
        <w:t>t</w:t>
      </w:r>
      <w:r w:rsidRPr="001455DC">
        <w:rPr>
          <w:rStyle w:val="CCMCvariablesubscript"/>
        </w:rPr>
        <w:t>eq</w:t>
      </w:r>
      <w:r w:rsidRPr="001455DC">
        <w:t xml:space="preserve"> should be added to the time after tensioning </w:t>
      </w:r>
      <w:r w:rsidRPr="001455DC">
        <w:rPr>
          <w:rStyle w:val="CCMCvariableitalic"/>
        </w:rPr>
        <w:t>t</w:t>
      </w:r>
      <w:r w:rsidRPr="001455DC">
        <w:t xml:space="preserve"> used in Annex B.</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77336D" w:rsidRPr="001455DC" w14:paraId="3CD787E1" w14:textId="77777777" w:rsidTr="0077336D">
        <w:trPr>
          <w:cantSplit/>
        </w:trPr>
        <w:tc>
          <w:tcPr>
            <w:tcW w:w="8505" w:type="dxa"/>
            <w:vAlign w:val="center"/>
          </w:tcPr>
          <w:p w14:paraId="6BE781C8" w14:textId="66892C62" w:rsidR="0077336D" w:rsidRPr="001455DC" w:rsidRDefault="00231E33" w:rsidP="0077336D">
            <w:pPr>
              <w:pStyle w:val="Formula"/>
              <w:jc w:val="left"/>
            </w:pPr>
            <m:oMathPara>
              <m:oMathParaPr>
                <m:jc m:val="left"/>
              </m:oMathParaPr>
              <m:oMath>
                <m:sSub>
                  <m:sSubPr>
                    <m:ctrlPr>
                      <w:rPr>
                        <w:rFonts w:ascii="Cambria Math" w:hAnsi="Cambria Math"/>
                      </w:rPr>
                    </m:ctrlPr>
                  </m:sSubPr>
                  <m:e>
                    <m:r>
                      <w:rPr>
                        <w:rFonts w:ascii="Cambria Math" w:hAnsi="Cambria Math"/>
                      </w:rPr>
                      <m:t>t</m:t>
                    </m:r>
                  </m:e>
                  <m:sub>
                    <m:r>
                      <m:rPr>
                        <m:sty m:val="p"/>
                      </m:rPr>
                      <w:rPr>
                        <w:rFonts w:ascii="Cambria Math" w:hAnsi="Cambria Math"/>
                      </w:rPr>
                      <m:t>eq</m:t>
                    </m:r>
                  </m:sub>
                </m:sSub>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1,14</m:t>
                        </m:r>
                      </m:e>
                      <m:sup>
                        <m:sSub>
                          <m:sSubPr>
                            <m:ctrlPr>
                              <w:rPr>
                                <w:rFonts w:ascii="Cambria Math" w:hAnsi="Cambria Math"/>
                              </w:rPr>
                            </m:ctrlPr>
                          </m:sSubPr>
                          <m:e>
                            <m:r>
                              <w:rPr>
                                <w:rFonts w:ascii="Cambria Math" w:hAnsi="Cambria Math"/>
                              </w:rPr>
                              <m:t>T</m:t>
                            </m:r>
                          </m:e>
                          <m:sub>
                            <m:r>
                              <m:rPr>
                                <m:sty m:val="p"/>
                              </m:rPr>
                              <w:rPr>
                                <w:rFonts w:ascii="Cambria Math" w:hAnsi="Cambria Math"/>
                              </w:rPr>
                              <m:t>max</m:t>
                            </m:r>
                          </m:sub>
                        </m:sSub>
                        <m:r>
                          <w:rPr>
                            <w:rFonts w:ascii="Cambria Math" w:hAnsi="Cambria Math"/>
                          </w:rPr>
                          <m:t>-20</m:t>
                        </m:r>
                      </m:sup>
                    </m:sSup>
                  </m:num>
                  <m:den>
                    <m:sSub>
                      <m:sSubPr>
                        <m:ctrlPr>
                          <w:rPr>
                            <w:rFonts w:ascii="Cambria Math" w:hAnsi="Cambria Math"/>
                          </w:rPr>
                        </m:ctrlPr>
                      </m:sSubPr>
                      <m:e>
                        <m:r>
                          <w:rPr>
                            <w:rFonts w:ascii="Cambria Math" w:hAnsi="Cambria Math"/>
                          </w:rPr>
                          <m:t>T</m:t>
                        </m:r>
                      </m:e>
                      <m:sub>
                        <m:r>
                          <m:rPr>
                            <m:sty m:val="p"/>
                          </m:rPr>
                          <w:rPr>
                            <w:rFonts w:ascii="Cambria Math" w:hAnsi="Cambria Math"/>
                          </w:rPr>
                          <m:t>max</m:t>
                        </m:r>
                      </m:sub>
                    </m:sSub>
                    <m:r>
                      <w:rPr>
                        <w:rFonts w:ascii="Cambria Math" w:hAnsi="Cambria Math"/>
                      </w:rPr>
                      <m:t>-20</m:t>
                    </m:r>
                  </m:den>
                </m:f>
                <m:nary>
                  <m:naryPr>
                    <m:chr m:val="∑"/>
                    <m:limLoc m:val="undOvr"/>
                    <m:grow m:val="1"/>
                    <m:ctrlPr>
                      <w:rPr>
                        <w:rFonts w:ascii="Cambria Math" w:hAnsi="Cambria Math"/>
                      </w:rPr>
                    </m:ctrlPr>
                  </m:naryPr>
                  <m:sub>
                    <m:r>
                      <w:rPr>
                        <w:rFonts w:ascii="Cambria Math" w:hAnsi="Cambria Math"/>
                      </w:rPr>
                      <m:t>i=1</m:t>
                    </m:r>
                  </m:sub>
                  <m:sup>
                    <m:r>
                      <w:rPr>
                        <w:rFonts w:ascii="Cambria Math" w:hAnsi="Cambria Math"/>
                      </w:rPr>
                      <m:t>n</m:t>
                    </m:r>
                  </m:sup>
                  <m:e>
                    <m:d>
                      <m:dPr>
                        <m:sepChr m:val=""/>
                        <m:ctrlPr>
                          <w:rPr>
                            <w:rFonts w:ascii="Cambria Math" w:hAnsi="Cambria Math"/>
                          </w:rPr>
                        </m:ctrlPr>
                      </m:dPr>
                      <m:e>
                        <m:sSub>
                          <m:sSubPr>
                            <m:ctrlPr>
                              <w:rPr>
                                <w:rFonts w:ascii="Cambria Math" w:hAnsi="Cambria Math"/>
                              </w:rPr>
                            </m:ctrlPr>
                          </m:sSubPr>
                          <m:e>
                            <m:r>
                              <w:rPr>
                                <w:rFonts w:ascii="Cambria Math" w:hAnsi="Cambria Math"/>
                              </w:rPr>
                              <m:t>T</m:t>
                            </m:r>
                          </m:e>
                          <m:sub>
                            <m:d>
                              <m:dPr>
                                <m:ctrlPr>
                                  <w:rPr>
                                    <w:rFonts w:ascii="Cambria Math" w:hAnsi="Cambria Math"/>
                                  </w:rPr>
                                </m:ctrlPr>
                              </m:dPr>
                              <m:e>
                                <m:sSub>
                                  <m:sSubPr>
                                    <m:ctrlPr>
                                      <w:rPr>
                                        <w:rFonts w:ascii="Cambria Math" w:hAnsi="Cambria Math"/>
                                      </w:rPr>
                                    </m:ctrlPr>
                                  </m:sSubPr>
                                  <m:e>
                                    <m:r>
                                      <m:rPr>
                                        <m:sty m:val="p"/>
                                      </m:rPr>
                                      <w:rPr>
                                        <w:rFonts w:ascii="Cambria Math" w:hAnsi="Cambria Math"/>
                                      </w:rPr>
                                      <m:t>Δ</m:t>
                                    </m:r>
                                    <m:r>
                                      <w:rPr>
                                        <w:rFonts w:ascii="Cambria Math" w:hAnsi="Cambria Math"/>
                                      </w:rPr>
                                      <m:t>t</m:t>
                                    </m:r>
                                  </m:e>
                                  <m:sub>
                                    <m:r>
                                      <m:rPr>
                                        <m:sty m:val="p"/>
                                      </m:rPr>
                                      <w:rPr>
                                        <w:rFonts w:ascii="Cambria Math" w:hAnsi="Cambria Math"/>
                                      </w:rPr>
                                      <m:t>i</m:t>
                                    </m:r>
                                  </m:sub>
                                </m:sSub>
                              </m:e>
                            </m:d>
                          </m:sub>
                        </m:sSub>
                      </m:e>
                      <m:e>
                        <m:r>
                          <w:rPr>
                            <w:rFonts w:ascii="Cambria Math" w:hAnsi="Cambria Math"/>
                          </w:rPr>
                          <m:t>-</m:t>
                        </m:r>
                      </m:e>
                      <m:e>
                        <m:r>
                          <w:rPr>
                            <w:rFonts w:ascii="Cambria Math" w:hAnsi="Cambria Math"/>
                          </w:rPr>
                          <m:t>20</m:t>
                        </m:r>
                      </m:e>
                    </m:d>
                  </m:e>
                </m:nary>
                <m:r>
                  <w:rPr>
                    <w:rFonts w:ascii="Cambria Math" w:hAnsi="Cambria Math"/>
                  </w:rPr>
                  <m:t xml:space="preserve">  </m:t>
                </m:r>
                <m:r>
                  <m:rPr>
                    <m:sty m:val="p"/>
                  </m:rPr>
                  <w:rPr>
                    <w:rFonts w:ascii="Cambria Math" w:hAnsi="Cambria Math"/>
                  </w:rPr>
                  <m:t>Δ</m:t>
                </m:r>
                <m:sSub>
                  <m:sSubPr>
                    <m:ctrlPr>
                      <w:rPr>
                        <w:rFonts w:ascii="Cambria Math" w:hAnsi="Cambria Math"/>
                      </w:rPr>
                    </m:ctrlPr>
                  </m:sSubPr>
                  <m:e>
                    <m:r>
                      <w:rPr>
                        <w:rFonts w:ascii="Cambria Math" w:hAnsi="Cambria Math"/>
                      </w:rPr>
                      <m:t>t</m:t>
                    </m:r>
                  </m:e>
                  <m:sub>
                    <m:r>
                      <m:rPr>
                        <m:sty m:val="p"/>
                      </m:rPr>
                      <w:rPr>
                        <w:rFonts w:ascii="Cambria Math" w:hAnsi="Cambria Math"/>
                      </w:rPr>
                      <m:t>i</m:t>
                    </m:r>
                  </m:sub>
                </m:sSub>
              </m:oMath>
            </m:oMathPara>
          </w:p>
        </w:tc>
        <w:tc>
          <w:tcPr>
            <w:tcW w:w="1247" w:type="dxa"/>
            <w:vAlign w:val="center"/>
          </w:tcPr>
          <w:p w14:paraId="2B6AD76F" w14:textId="0DD6A7E1" w:rsidR="0077336D" w:rsidRPr="001455DC" w:rsidRDefault="0077336D" w:rsidP="0077336D">
            <w:pPr>
              <w:pStyle w:val="a7"/>
              <w:jc w:val="right"/>
            </w:pPr>
            <w:r w:rsidRPr="001455DC">
              <w:t>(13.2)</w:t>
            </w:r>
          </w:p>
        </w:tc>
      </w:tr>
    </w:tbl>
    <w:p w14:paraId="21837C84" w14:textId="77777777" w:rsidR="0077336D" w:rsidRPr="001455DC" w:rsidRDefault="0077336D"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737"/>
        <w:gridCol w:w="8675"/>
      </w:tblGrid>
      <w:tr w:rsidR="0077336D" w:rsidRPr="001455DC" w14:paraId="6C95BFBF" w14:textId="77777777" w:rsidTr="00D163D6">
        <w:trPr>
          <w:cantSplit/>
        </w:trPr>
        <w:tc>
          <w:tcPr>
            <w:tcW w:w="737" w:type="dxa"/>
          </w:tcPr>
          <w:p w14:paraId="4C4C9836" w14:textId="620F431F" w:rsidR="0077336D" w:rsidRPr="001455DC" w:rsidRDefault="0077336D" w:rsidP="0000442A">
            <w:pPr>
              <w:pStyle w:val="Tablebody"/>
            </w:pPr>
            <w:r w:rsidRPr="001455DC">
              <w:rPr>
                <w:rStyle w:val="CCMCvariableitalic"/>
              </w:rPr>
              <w:t>t</w:t>
            </w:r>
            <w:r w:rsidRPr="001455DC">
              <w:rPr>
                <w:rStyle w:val="CCMCvariablesubscript"/>
              </w:rPr>
              <w:t>eq</w:t>
            </w:r>
          </w:p>
        </w:tc>
        <w:tc>
          <w:tcPr>
            <w:tcW w:w="8675" w:type="dxa"/>
          </w:tcPr>
          <w:p w14:paraId="31783BAA" w14:textId="6B3F0E51" w:rsidR="0077336D" w:rsidRPr="001455DC" w:rsidRDefault="0077336D" w:rsidP="00BB1209">
            <w:pPr>
              <w:pStyle w:val="Tablebody"/>
            </w:pPr>
            <w:r w:rsidRPr="001455DC">
              <w:t>is the equivalent time (in hours);</w:t>
            </w:r>
          </w:p>
        </w:tc>
      </w:tr>
      <w:tr w:rsidR="0077336D" w:rsidRPr="001455DC" w14:paraId="07E8A8E3" w14:textId="77777777" w:rsidTr="00D163D6">
        <w:trPr>
          <w:cantSplit/>
        </w:trPr>
        <w:tc>
          <w:tcPr>
            <w:tcW w:w="737" w:type="dxa"/>
          </w:tcPr>
          <w:p w14:paraId="47E9FE2B" w14:textId="0075BA3C" w:rsidR="0077336D" w:rsidRPr="001455DC" w:rsidRDefault="00231E33" w:rsidP="0000442A">
            <w:pPr>
              <w:pStyle w:val="Tablebody"/>
            </w:pPr>
            <m:oMathPara>
              <m:oMath>
                <m:sSub>
                  <m:sSubPr>
                    <m:ctrlPr>
                      <w:rPr>
                        <w:rFonts w:ascii="Cambria Math" w:hAnsi="Cambria Math"/>
                      </w:rPr>
                    </m:ctrlPr>
                  </m:sSubPr>
                  <m:e>
                    <m:r>
                      <w:rPr>
                        <w:rFonts w:ascii="Cambria Math" w:hAnsi="Cambria Math"/>
                      </w:rPr>
                      <m:t>T</m:t>
                    </m:r>
                  </m:e>
                  <m:sub>
                    <m:d>
                      <m:dPr>
                        <m:ctrlPr>
                          <w:rPr>
                            <w:rFonts w:ascii="Cambria Math" w:hAnsi="Cambria Math"/>
                          </w:rPr>
                        </m:ctrlPr>
                      </m:dPr>
                      <m:e>
                        <m:sSub>
                          <m:sSubPr>
                            <m:ctrlPr>
                              <w:rPr>
                                <w:rFonts w:ascii="Cambria Math" w:hAnsi="Cambria Math"/>
                              </w:rPr>
                            </m:ctrlPr>
                          </m:sSubPr>
                          <m:e>
                            <m:r>
                              <m:rPr>
                                <m:sty m:val="p"/>
                              </m:rPr>
                              <w:rPr>
                                <w:rFonts w:ascii="Cambria Math" w:hAnsi="Cambria Math"/>
                              </w:rPr>
                              <m:t>Δ</m:t>
                            </m:r>
                            <m:r>
                              <w:rPr>
                                <w:rFonts w:ascii="Cambria Math" w:hAnsi="Cambria Math"/>
                              </w:rPr>
                              <m:t>t</m:t>
                            </m:r>
                          </m:e>
                          <m:sub>
                            <m:r>
                              <m:rPr>
                                <m:sty m:val="p"/>
                              </m:rPr>
                              <w:rPr>
                                <w:rFonts w:ascii="Cambria Math" w:hAnsi="Cambria Math"/>
                              </w:rPr>
                              <m:t>i</m:t>
                            </m:r>
                          </m:sub>
                        </m:sSub>
                      </m:e>
                    </m:d>
                  </m:sub>
                </m:sSub>
              </m:oMath>
            </m:oMathPara>
          </w:p>
        </w:tc>
        <w:tc>
          <w:tcPr>
            <w:tcW w:w="8675" w:type="dxa"/>
          </w:tcPr>
          <w:p w14:paraId="76C89428" w14:textId="0B1A118F" w:rsidR="0077336D" w:rsidRPr="001455DC" w:rsidRDefault="0077336D" w:rsidP="0000442A">
            <w:pPr>
              <w:pStyle w:val="Tablebody"/>
            </w:pPr>
            <w:r w:rsidRPr="001455DC">
              <w:t>is the temperature during the time interval Δ</w:t>
            </w:r>
            <w:r w:rsidRPr="001455DC">
              <w:rPr>
                <w:rStyle w:val="CCMCvariableitalic"/>
              </w:rPr>
              <w:t>t</w:t>
            </w:r>
            <w:r w:rsidRPr="001455DC">
              <w:rPr>
                <w:rStyle w:val="CCMCvariablesubscript"/>
              </w:rPr>
              <w:t>i</w:t>
            </w:r>
            <w:r w:rsidRPr="001455DC">
              <w:t>;</w:t>
            </w:r>
          </w:p>
        </w:tc>
      </w:tr>
      <w:tr w:rsidR="0077336D" w:rsidRPr="001455DC" w14:paraId="1184A71A" w14:textId="77777777" w:rsidTr="00D163D6">
        <w:trPr>
          <w:cantSplit/>
        </w:trPr>
        <w:tc>
          <w:tcPr>
            <w:tcW w:w="737" w:type="dxa"/>
          </w:tcPr>
          <w:p w14:paraId="03A3C4BD" w14:textId="6CB799F5" w:rsidR="0077336D" w:rsidRPr="001455DC" w:rsidRDefault="0077336D" w:rsidP="00D86695">
            <w:pPr>
              <w:pStyle w:val="Tablebody"/>
            </w:pPr>
            <w:r w:rsidRPr="001455DC">
              <w:rPr>
                <w:rStyle w:val="CCMCvariableitalic"/>
              </w:rPr>
              <w:t>T</w:t>
            </w:r>
            <w:r w:rsidRPr="001455DC">
              <w:rPr>
                <w:rStyle w:val="CCMCvariablesubscript"/>
              </w:rPr>
              <w:t>max</w:t>
            </w:r>
          </w:p>
        </w:tc>
        <w:tc>
          <w:tcPr>
            <w:tcW w:w="8675" w:type="dxa"/>
          </w:tcPr>
          <w:p w14:paraId="3CBF49F2" w14:textId="27357E10" w:rsidR="0077336D" w:rsidRPr="001455DC" w:rsidRDefault="0077336D" w:rsidP="00D86695">
            <w:pPr>
              <w:pStyle w:val="Tablebody"/>
            </w:pPr>
            <w:r w:rsidRPr="001455DC">
              <w:t>is the maximum temperature during the heat treatment.</w:t>
            </w:r>
          </w:p>
        </w:tc>
      </w:tr>
    </w:tbl>
    <w:p w14:paraId="76984CB3" w14:textId="0C7C4C5C" w:rsidR="004E22C1" w:rsidRPr="001455DC" w:rsidRDefault="004E22C1" w:rsidP="00243590">
      <w:pPr>
        <w:pStyle w:val="41"/>
      </w:pPr>
      <w:bookmarkStart w:id="1038" w:name="_Toc52820090"/>
      <w:bookmarkStart w:id="1039" w:name="_Toc54338146"/>
      <w:r w:rsidRPr="001455DC">
        <w:t>Thermal losse</w:t>
      </w:r>
      <w:bookmarkEnd w:id="1038"/>
      <w:r w:rsidRPr="001455DC">
        <w:t>s</w:t>
      </w:r>
      <w:bookmarkEnd w:id="1039"/>
    </w:p>
    <w:p w14:paraId="4BC36DE1" w14:textId="178A1DEC" w:rsidR="004E22C1" w:rsidRPr="001455DC" w:rsidRDefault="004E22C1" w:rsidP="00E844D2">
      <w:pPr>
        <w:pStyle w:val="a7"/>
        <w:keepNext/>
      </w:pPr>
      <w:r w:rsidRPr="001455DC">
        <w:t>(1)</w:t>
      </w:r>
      <w:r w:rsidRPr="001455DC">
        <w:tab/>
        <w:t>A specific thermal loss Δ</w:t>
      </w:r>
      <w:r w:rsidRPr="001455DC">
        <w:rPr>
          <w:rStyle w:val="CCMCvariableitalic"/>
        </w:rPr>
        <w:t>σ</w:t>
      </w:r>
      <w:r w:rsidRPr="001455DC">
        <w:rPr>
          <w:rStyle w:val="CCMCvariablesubscript"/>
        </w:rPr>
        <w:t>θ</w:t>
      </w:r>
      <w:r w:rsidRPr="001455DC">
        <w:t xml:space="preserve"> induced by heat treatment should be avoided or taken into account. The thermal loss may be estimated by Formula (13.3):</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77336D" w:rsidRPr="001455DC" w14:paraId="3E310756" w14:textId="77777777" w:rsidTr="0077336D">
        <w:trPr>
          <w:cantSplit/>
        </w:trPr>
        <w:tc>
          <w:tcPr>
            <w:tcW w:w="8505" w:type="dxa"/>
            <w:vAlign w:val="center"/>
          </w:tcPr>
          <w:p w14:paraId="46A426DA" w14:textId="7DD6459D" w:rsidR="0077336D" w:rsidRPr="001455DC" w:rsidRDefault="0077336D" w:rsidP="0077336D">
            <w:pPr>
              <w:pStyle w:val="Formula"/>
              <w:jc w:val="left"/>
            </w:pPr>
            <w:r w:rsidRPr="001455DC">
              <w:t>Δ</w:t>
            </w:r>
            <w:r w:rsidRPr="001455DC">
              <w:rPr>
                <w:rStyle w:val="CCMCvariableitalic"/>
              </w:rPr>
              <w:t>σ</w:t>
            </w:r>
            <w:r w:rsidRPr="001455DC">
              <w:rPr>
                <w:rStyle w:val="CCMCvariablesubscript"/>
              </w:rPr>
              <w:t>θ</w:t>
            </w:r>
            <w:r w:rsidRPr="001455DC">
              <w:t> </w:t>
            </w:r>
            <w:r w:rsidR="00EC27D2" w:rsidRPr="001455DC">
              <w:rPr>
                <w:rFonts w:ascii="Cambria Math" w:hAnsi="Cambria Math"/>
              </w:rPr>
              <w:t>=</w:t>
            </w:r>
            <w:r w:rsidRPr="001455DC">
              <w:t> </w:t>
            </w:r>
            <w:r w:rsidRPr="001455DC">
              <w:rPr>
                <w:noProof/>
              </w:rPr>
              <w:t>0,5</w:t>
            </w:r>
            <w:r w:rsidRPr="001455DC">
              <w:rPr>
                <w:rStyle w:val="CCMCvariableitalic"/>
              </w:rPr>
              <w:t>E</w:t>
            </w:r>
            <w:r w:rsidRPr="001455DC">
              <w:rPr>
                <w:rStyle w:val="CCMCvariablesubscript"/>
              </w:rPr>
              <w:t>p</w:t>
            </w:r>
            <w:r w:rsidRPr="001455DC">
              <w:t> </w:t>
            </w:r>
            <w:r w:rsidRPr="001455DC">
              <w:rPr>
                <w:rFonts w:ascii="Cambria Math" w:hAnsi="Cambria Math" w:cs="Cambria Math"/>
              </w:rPr>
              <w:t>⋅</w:t>
            </w:r>
            <w:r w:rsidRPr="001455DC">
              <w:t> </w:t>
            </w:r>
            <w:r w:rsidRPr="001455DC">
              <w:rPr>
                <w:rStyle w:val="CCMCvariableitalic"/>
              </w:rPr>
              <w:t>α</w:t>
            </w:r>
            <w:r w:rsidRPr="001455DC">
              <w:rPr>
                <w:rStyle w:val="CCMCvariablesubscript"/>
              </w:rPr>
              <w:t>c,th</w:t>
            </w:r>
            <w:r w:rsidRPr="001455DC">
              <w:rPr>
                <w:noProof/>
              </w:rPr>
              <w:t> </w:t>
            </w:r>
            <w:r w:rsidRPr="001455DC">
              <w:rPr>
                <w:rFonts w:ascii="Cambria Math" w:hAnsi="Cambria Math" w:cs="Cambria Math"/>
                <w:noProof/>
              </w:rPr>
              <w:t>⋅</w:t>
            </w:r>
            <w:r w:rsidRPr="001455DC">
              <w:rPr>
                <w:noProof/>
              </w:rPr>
              <w:t> (</w:t>
            </w:r>
            <w:r w:rsidRPr="001455DC">
              <w:rPr>
                <w:rStyle w:val="CCMCvariableitalic"/>
              </w:rPr>
              <w:t>T</w:t>
            </w:r>
            <w:r w:rsidRPr="001455DC">
              <w:rPr>
                <w:rStyle w:val="CCMCvariablesubscript"/>
              </w:rPr>
              <w:t>max</w:t>
            </w:r>
            <w:r w:rsidRPr="001455DC">
              <w:t> </w:t>
            </w:r>
            <w:r w:rsidR="00EC27D2" w:rsidRPr="001455DC">
              <w:rPr>
                <w:rFonts w:ascii="Cambria Math" w:hAnsi="Cambria Math"/>
              </w:rPr>
              <w:t>−</w:t>
            </w:r>
            <w:r w:rsidRPr="001455DC">
              <w:t> </w:t>
            </w:r>
            <w:r w:rsidRPr="001455DC">
              <w:rPr>
                <w:rStyle w:val="CCMCvariableitalic"/>
              </w:rPr>
              <w:t>T</w:t>
            </w:r>
            <w:r w:rsidRPr="001455DC">
              <w:rPr>
                <w:rStyle w:val="CCMCvariablesubscript"/>
              </w:rPr>
              <w:t>0</w:t>
            </w:r>
            <w:r w:rsidRPr="001455DC">
              <w:t>)</w:t>
            </w:r>
          </w:p>
        </w:tc>
        <w:tc>
          <w:tcPr>
            <w:tcW w:w="1247" w:type="dxa"/>
            <w:vAlign w:val="center"/>
          </w:tcPr>
          <w:p w14:paraId="2273592E" w14:textId="23F4BF45" w:rsidR="0077336D" w:rsidRPr="001455DC" w:rsidRDefault="0077336D" w:rsidP="0077336D">
            <w:pPr>
              <w:pStyle w:val="a7"/>
              <w:jc w:val="right"/>
            </w:pPr>
            <w:r w:rsidRPr="001455DC">
              <w:t>(13.3)</w:t>
            </w:r>
          </w:p>
        </w:tc>
      </w:tr>
    </w:tbl>
    <w:p w14:paraId="7E79DF09" w14:textId="5C7E0EBC" w:rsidR="004E22C1" w:rsidRPr="001455DC" w:rsidRDefault="004E22C1" w:rsidP="0077336D">
      <w:pPr>
        <w:pStyle w:val="a7"/>
      </w:pPr>
      <w:r w:rsidRPr="001455DC">
        <w:t>where (</w:t>
      </w:r>
      <w:r w:rsidRPr="001455DC">
        <w:rPr>
          <w:rStyle w:val="CCMCvariableitalic"/>
        </w:rPr>
        <w:t>T</w:t>
      </w:r>
      <w:r w:rsidRPr="001455DC">
        <w:rPr>
          <w:rStyle w:val="CCMCvariablesubscript"/>
        </w:rPr>
        <w:t>max</w:t>
      </w:r>
      <w:r w:rsidRPr="001455DC">
        <w:t> </w:t>
      </w:r>
      <w:r w:rsidR="00EC27D2" w:rsidRPr="001455DC">
        <w:rPr>
          <w:rFonts w:ascii="Cambria Math" w:hAnsi="Cambria Math"/>
        </w:rPr>
        <w:t>−</w:t>
      </w:r>
      <w:r w:rsidRPr="001455DC">
        <w:t> </w:t>
      </w:r>
      <w:r w:rsidRPr="001455DC">
        <w:rPr>
          <w:rStyle w:val="CCMCvariableitalic"/>
        </w:rPr>
        <w:t>T</w:t>
      </w:r>
      <w:r w:rsidRPr="001455DC">
        <w:rPr>
          <w:rStyle w:val="CCMCvariablesubscript"/>
        </w:rPr>
        <w:t>0</w:t>
      </w:r>
      <w:r w:rsidRPr="001455DC">
        <w:t>) is the difference between maximum and initial concrete temperature near the tendons.</w:t>
      </w:r>
    </w:p>
    <w:p w14:paraId="246E45FF" w14:textId="38755084" w:rsidR="004E22C1" w:rsidRPr="001455DC" w:rsidRDefault="004E22C1" w:rsidP="006D682B">
      <w:pPr>
        <w:pStyle w:val="21"/>
      </w:pPr>
      <w:bookmarkStart w:id="1040" w:name="_Toc52820091"/>
      <w:bookmarkStart w:id="1041" w:name="_Toc54337491"/>
      <w:bookmarkStart w:id="1042" w:name="_Toc54338147"/>
      <w:bookmarkStart w:id="1043" w:name="_Toc67565485"/>
      <w:r w:rsidRPr="001455DC">
        <w:t>Design and detailing of pre-tensioning tendons</w:t>
      </w:r>
      <w:bookmarkEnd w:id="1040"/>
      <w:bookmarkEnd w:id="1041"/>
      <w:bookmarkEnd w:id="1042"/>
      <w:bookmarkEnd w:id="1043"/>
    </w:p>
    <w:p w14:paraId="35800681" w14:textId="5E59DCB7" w:rsidR="004E22C1" w:rsidRPr="001455DC" w:rsidRDefault="004E22C1" w:rsidP="00243590">
      <w:pPr>
        <w:pStyle w:val="31"/>
      </w:pPr>
      <w:bookmarkStart w:id="1044" w:name="_Toc52820092"/>
      <w:bookmarkStart w:id="1045" w:name="_Toc54337492"/>
      <w:bookmarkStart w:id="1046" w:name="_Toc54338148"/>
      <w:bookmarkStart w:id="1047" w:name="_Toc67565486"/>
      <w:r w:rsidRPr="001455DC">
        <w:t>Arrangement of tendons</w:t>
      </w:r>
      <w:bookmarkEnd w:id="1044"/>
      <w:bookmarkEnd w:id="1045"/>
      <w:bookmarkEnd w:id="1046"/>
      <w:bookmarkEnd w:id="1047"/>
    </w:p>
    <w:p w14:paraId="0B86458E" w14:textId="77777777" w:rsidR="004E22C1" w:rsidRPr="001455DC" w:rsidRDefault="004E22C1" w:rsidP="00D163D6">
      <w:pPr>
        <w:pStyle w:val="a7"/>
      </w:pPr>
      <w:r w:rsidRPr="001455DC">
        <w:t>(1)</w:t>
      </w:r>
      <w:r w:rsidRPr="001455DC">
        <w:tab/>
        <w:t>The spacing and concrete cover of pre-tensioning tendons shall be such as to ensure that placing and compacting concrete will be carried out satisfactorily and that sufficient bond will be attained between the concrete and the tendons.</w:t>
      </w:r>
    </w:p>
    <w:p w14:paraId="281269FD" w14:textId="60CFD3B8" w:rsidR="004E22C1" w:rsidRPr="001455DC" w:rsidRDefault="004E22C1" w:rsidP="00D163D6">
      <w:pPr>
        <w:pStyle w:val="a7"/>
      </w:pPr>
      <w:r w:rsidRPr="001455DC">
        <w:t>(2)</w:t>
      </w:r>
      <w:r w:rsidRPr="001455DC">
        <w:tab/>
        <w:t>The minimum spacing and cover for bond stress and to avoid splitting should be in accordance with Figure 13.1 and Table 13.1.</w:t>
      </w:r>
      <w:r w:rsidR="00F80BBC" w:rsidRPr="001455DC">
        <w:t xml:space="preserve"> </w:t>
      </w:r>
      <w:r w:rsidRPr="001455DC">
        <w:t>Depending on, for example, the production method, the level of pre-stressing or the level of release strength, other values of spacing and cover may be used, provided that satisfactory behaviour in service and at ultimate is demonstrated by testing or permitted by the specific European product standard with factory production control.</w:t>
      </w:r>
    </w:p>
    <w:p w14:paraId="6578DC75" w14:textId="074EA99E" w:rsidR="004E22C1" w:rsidRPr="001455DC" w:rsidRDefault="00723CF7" w:rsidP="00D163D6">
      <w:pPr>
        <w:pStyle w:val="FigureImage"/>
      </w:pPr>
      <w:r>
        <w:rPr>
          <w:noProof/>
          <w:lang w:eastAsia="en-GB"/>
        </w:rPr>
        <w:fldChar w:fldCharType="begin"/>
      </w:r>
      <w:r>
        <w:rPr>
          <w:noProof/>
          <w:lang w:eastAsia="en-GB"/>
        </w:rPr>
        <w:instrText xml:space="preserve"> INCLUDEPICTURE  "Y:\\STD_MGT\\STDDEL\\PRODUCTION\\etrans\\Download\\Z_FIRST_DEL\\SV\\00250\\00250269\\41_e_dr\\13_001.tif"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"Y:\\STD_MGT\\STDDEL\\PRODUCTION\\Standards\\00250\\269\\41_e_dr\\13_001.tif"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"Y:\\STD_MGT\\STDDEL\\PRODUCTION\\Standards\\00250\\269\\41_e_dr\\13_001.tif"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"Y:\\STD_MGT\\STDDEL\\PRODUCTION\\Standards\\00250\\269\\41_e_dr\\13_001.tif"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"Y:\\STD_MGT\\STDDEL\\PRODUCTION\\Standards\\00250\\269\\41_e_dr\\13_001.tif"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"Y:\\STD_MGT\\STDDEL\\PRODUCTION\\Standards\\00250\\269\\41_e_dr\\13_001.tif"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 xml:space="preserve">INCLUDEPICTURE </w:instrText>
      </w:r>
      <w:r w:rsidR="00231E33">
        <w:rPr>
          <w:noProof/>
          <w:lang w:eastAsia="en-GB"/>
        </w:rPr>
        <w:instrText xml:space="preserve"> "C:\\Users\\a.dionysiou\\AppData\\Local\\Temp\\Temp1_00250269_e_20210902.zip.zip\\41_e_dr\\13_001.tif"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3BC90336">
          <v:shape id="_x0000_i1278" type="#_x0000_t75" style="width:102.75pt;height:93.75pt">
            <v:imagedata r:id="rId526" r:href="rId527"/>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68AE74A1" w14:textId="704674ED" w:rsidR="004E22C1" w:rsidRPr="001455DC" w:rsidRDefault="004E22C1" w:rsidP="00D163D6">
      <w:pPr>
        <w:pStyle w:val="FigureText"/>
      </w:pPr>
      <w:r w:rsidRPr="001455DC">
        <w:t xml:space="preserve">with </w:t>
      </w:r>
      <w:r w:rsidRPr="001455DC">
        <w:rPr>
          <w:rStyle w:val="CCMCvariableitalic"/>
        </w:rPr>
        <w:t>s</w:t>
      </w:r>
      <w:r w:rsidRPr="001455DC">
        <w:rPr>
          <w:rStyle w:val="CCMCvariablesubscript"/>
        </w:rPr>
        <w:t>v</w:t>
      </w:r>
      <w:r w:rsidRPr="001455DC">
        <w:t> </w:t>
      </w:r>
      <w:r w:rsidR="00EC27D2" w:rsidRPr="001455DC">
        <w:rPr>
          <w:rFonts w:ascii="Cambria Math" w:hAnsi="Cambria Math"/>
        </w:rPr>
        <w:t>=</w:t>
      </w:r>
      <w:r w:rsidRPr="001455DC">
        <w:t> max{2</w:t>
      </w:r>
      <w:r w:rsidRPr="001455DC">
        <w:rPr>
          <w:rStyle w:val="CCMCvariableitalic"/>
        </w:rPr>
        <w:t>ϕ</w:t>
      </w:r>
      <w:r w:rsidRPr="001455DC">
        <w:t xml:space="preserve">; </w:t>
      </w:r>
      <w:r w:rsidRPr="001455DC">
        <w:rPr>
          <w:rStyle w:val="CCMCvariableitalic"/>
        </w:rPr>
        <w:t>D</w:t>
      </w:r>
      <w:r w:rsidRPr="001455DC">
        <w:rPr>
          <w:rStyle w:val="CCMCvariablesubscript"/>
        </w:rPr>
        <w:t>upper</w:t>
      </w:r>
      <w:r w:rsidRPr="001455DC">
        <w:t xml:space="preserve">} and </w:t>
      </w:r>
      <w:r w:rsidRPr="001455DC">
        <w:rPr>
          <w:rStyle w:val="CCMCvariableitalic"/>
        </w:rPr>
        <w:t>s</w:t>
      </w:r>
      <w:r w:rsidRPr="001455DC">
        <w:rPr>
          <w:rStyle w:val="CCMCvariablesubscript"/>
        </w:rPr>
        <w:t>h</w:t>
      </w:r>
      <w:r w:rsidRPr="001455DC">
        <w:t> </w:t>
      </w:r>
      <w:r w:rsidR="00EC27D2" w:rsidRPr="001455DC">
        <w:rPr>
          <w:rFonts w:ascii="Cambria Math" w:hAnsi="Cambria Math"/>
        </w:rPr>
        <w:t>=</w:t>
      </w:r>
      <w:r w:rsidRPr="001455DC">
        <w:t> max{2</w:t>
      </w:r>
      <w:r w:rsidRPr="001455DC">
        <w:rPr>
          <w:rStyle w:val="CCMCvariableitalic"/>
        </w:rPr>
        <w:t>ϕ</w:t>
      </w:r>
      <w:r w:rsidRPr="001455DC">
        <w:t xml:space="preserve">; </w:t>
      </w:r>
      <w:r w:rsidRPr="001455DC">
        <w:rPr>
          <w:rStyle w:val="CCMCvariableitalic"/>
        </w:rPr>
        <w:t>D</w:t>
      </w:r>
      <w:r w:rsidRPr="001455DC">
        <w:rPr>
          <w:rStyle w:val="CCMCvariablesubscript"/>
        </w:rPr>
        <w:t>upper</w:t>
      </w:r>
      <w:r w:rsidR="00EC27D2" w:rsidRPr="001455DC">
        <w:rPr>
          <w:rFonts w:ascii="Cambria Math" w:hAnsi="Cambria Math"/>
        </w:rPr>
        <w:t> + </w:t>
      </w:r>
      <w:r w:rsidRPr="001455DC">
        <w:t>5 mm; 20 mm}</w:t>
      </w:r>
    </w:p>
    <w:p w14:paraId="07BD358F" w14:textId="4DFC9C02" w:rsidR="004E22C1" w:rsidRPr="001455DC" w:rsidRDefault="004E22C1" w:rsidP="00D163D6">
      <w:pPr>
        <w:pStyle w:val="Figurenote"/>
      </w:pPr>
      <w:r w:rsidRPr="001455DC">
        <w:t>NOTE</w:t>
      </w:r>
      <w:r w:rsidRPr="001455DC">
        <w:tab/>
        <w:t xml:space="preserve">For </w:t>
      </w:r>
      <w:r w:rsidRPr="001455DC">
        <w:rPr>
          <w:rStyle w:val="CCMCvariableitalic"/>
        </w:rPr>
        <w:t>c</w:t>
      </w:r>
      <w:r w:rsidRPr="001455DC">
        <w:rPr>
          <w:rStyle w:val="CCMCvariablesubscript"/>
        </w:rPr>
        <w:t>min,b</w:t>
      </w:r>
      <w:r w:rsidR="00243590">
        <w:t xml:space="preserve">, </w:t>
      </w:r>
      <w:r w:rsidRPr="001455DC">
        <w:t>see 6.5.2.3.</w:t>
      </w:r>
    </w:p>
    <w:p w14:paraId="00BC661A" w14:textId="77777777" w:rsidR="004E22C1" w:rsidRPr="001455DC" w:rsidRDefault="004E22C1" w:rsidP="00D163D6">
      <w:pPr>
        <w:pStyle w:val="Figuretitle"/>
      </w:pPr>
      <w:r w:rsidRPr="001455DC">
        <w:t>Figure 13.1 — Minimum clear spacing and cover for bond for pre-tensioning tendons</w:t>
      </w:r>
    </w:p>
    <w:p w14:paraId="56A59AEE" w14:textId="77777777" w:rsidR="004E22C1" w:rsidRPr="001455DC" w:rsidRDefault="004E22C1" w:rsidP="00D163D6">
      <w:pPr>
        <w:pStyle w:val="Tabletitle"/>
      </w:pPr>
      <w:bookmarkStart w:id="1048" w:name="_Toc54337493"/>
      <w:r w:rsidRPr="001455DC">
        <w:t xml:space="preserve">Table 13.1 — Minimum concrete cover </w:t>
      </w:r>
      <w:r w:rsidRPr="001455DC">
        <w:rPr>
          <w:rStyle w:val="CCMCvariableitalic"/>
          <w:b w:val="0"/>
        </w:rPr>
        <w:t>c</w:t>
      </w:r>
      <w:r w:rsidRPr="001455DC">
        <w:rPr>
          <w:rStyle w:val="CCMCvariablesubscript"/>
          <w:b w:val="0"/>
        </w:rPr>
        <w:t>min,b</w:t>
      </w:r>
      <w:r w:rsidRPr="001455DC">
        <w:t xml:space="preserve"> for pre-tensioning tendons</w:t>
      </w:r>
      <w:bookmarkEnd w:id="1048"/>
    </w:p>
    <w:tbl>
      <w:tblPr>
        <w:tblStyle w:val="53"/>
        <w:tblW w:w="5670" w:type="dxa"/>
        <w:tblLayout w:type="fixed"/>
        <w:tblLook w:val="0620" w:firstRow="1" w:lastRow="0" w:firstColumn="0" w:lastColumn="0" w:noHBand="1" w:noVBand="1"/>
      </w:tblPr>
      <w:tblGrid>
        <w:gridCol w:w="1910"/>
        <w:gridCol w:w="1567"/>
        <w:gridCol w:w="2193"/>
      </w:tblGrid>
      <w:tr w:rsidR="00D163D6" w:rsidRPr="001455DC" w14:paraId="085B89FC" w14:textId="77777777" w:rsidTr="00D163D6">
        <w:trPr>
          <w:cnfStyle w:val="100000000000" w:firstRow="1" w:lastRow="0" w:firstColumn="0" w:lastColumn="0" w:oddVBand="0" w:evenVBand="0" w:oddHBand="0" w:evenHBand="0" w:firstRowFirstColumn="0" w:firstRowLastColumn="0" w:lastRowFirstColumn="0" w:lastRowLastColumn="0"/>
          <w:cantSplit/>
          <w:tblHeader/>
        </w:trPr>
        <w:tc>
          <w:tcPr>
            <w:tcW w:w="1728" w:type="dxa"/>
            <w:tcBorders>
              <w:bottom w:val="nil"/>
            </w:tcBorders>
          </w:tcPr>
          <w:p w14:paraId="2A35921A" w14:textId="47A20333" w:rsidR="00D163D6" w:rsidRPr="001455DC" w:rsidRDefault="00D163D6" w:rsidP="00D163D6">
            <w:pPr>
              <w:pStyle w:val="Tableheader"/>
              <w:keepNext/>
            </w:pPr>
            <w:r w:rsidRPr="001455DC">
              <w:t>clear spacing</w:t>
            </w:r>
          </w:p>
        </w:tc>
        <w:tc>
          <w:tcPr>
            <w:tcW w:w="3402" w:type="dxa"/>
            <w:gridSpan w:val="2"/>
            <w:tcBorders>
              <w:bottom w:val="nil"/>
            </w:tcBorders>
          </w:tcPr>
          <w:p w14:paraId="6432B520" w14:textId="4820A276" w:rsidR="00D163D6" w:rsidRPr="001455DC" w:rsidRDefault="00D163D6" w:rsidP="00D163D6">
            <w:pPr>
              <w:pStyle w:val="Tableheader"/>
              <w:keepNext/>
            </w:pPr>
            <w:r w:rsidRPr="001455DC">
              <w:t>Minimum cover</w:t>
            </w:r>
          </w:p>
        </w:tc>
      </w:tr>
      <w:tr w:rsidR="00D163D6" w:rsidRPr="001455DC" w14:paraId="48F5F075" w14:textId="77777777" w:rsidTr="00D163D6">
        <w:trPr>
          <w:cnfStyle w:val="100000000000" w:firstRow="1" w:lastRow="0" w:firstColumn="0" w:lastColumn="0" w:oddVBand="0" w:evenVBand="0" w:oddHBand="0" w:evenHBand="0" w:firstRowFirstColumn="0" w:firstRowLastColumn="0" w:lastRowFirstColumn="0" w:lastRowLastColumn="0"/>
          <w:cantSplit/>
          <w:tblHeader/>
        </w:trPr>
        <w:tc>
          <w:tcPr>
            <w:tcW w:w="1728" w:type="dxa"/>
            <w:tcBorders>
              <w:top w:val="nil"/>
              <w:bottom w:val="nil"/>
            </w:tcBorders>
          </w:tcPr>
          <w:p w14:paraId="5A61CA89" w14:textId="76A0C4C2" w:rsidR="00D163D6" w:rsidRPr="009D3012" w:rsidRDefault="00D163D6" w:rsidP="00D163D6">
            <w:pPr>
              <w:pStyle w:val="Tableheader"/>
              <w:keepNext/>
              <w:spacing w:before="0"/>
              <w:rPr>
                <w:rStyle w:val="CCMCvariableitalic"/>
                <w:b w:val="0"/>
              </w:rPr>
            </w:pPr>
            <w:r w:rsidRPr="001455DC">
              <w:rPr>
                <w:rStyle w:val="CCMCvariableitalic"/>
                <w:b w:val="0"/>
              </w:rPr>
              <w:t>s</w:t>
            </w:r>
          </w:p>
        </w:tc>
        <w:tc>
          <w:tcPr>
            <w:tcW w:w="3402" w:type="dxa"/>
            <w:gridSpan w:val="2"/>
            <w:tcBorders>
              <w:top w:val="nil"/>
              <w:bottom w:val="nil"/>
            </w:tcBorders>
          </w:tcPr>
          <w:p w14:paraId="74A3BF7C" w14:textId="04E45F17" w:rsidR="00D163D6" w:rsidRPr="001455DC" w:rsidRDefault="00D163D6" w:rsidP="00D163D6">
            <w:pPr>
              <w:pStyle w:val="Tableheader"/>
              <w:keepNext/>
              <w:spacing w:before="0"/>
              <w:rPr>
                <w:b w:val="0"/>
              </w:rPr>
            </w:pPr>
            <w:r w:rsidRPr="001455DC">
              <w:rPr>
                <w:rStyle w:val="CCMCvariableitalic"/>
                <w:b w:val="0"/>
              </w:rPr>
              <w:t>c</w:t>
            </w:r>
            <w:r w:rsidRPr="001455DC">
              <w:rPr>
                <w:rStyle w:val="CCMCvariablesubscript"/>
                <w:b w:val="0"/>
              </w:rPr>
              <w:t>min,b</w:t>
            </w:r>
          </w:p>
        </w:tc>
      </w:tr>
      <w:tr w:rsidR="00D163D6" w:rsidRPr="001455DC" w14:paraId="315B9BC1" w14:textId="77777777" w:rsidTr="00D163D6">
        <w:trPr>
          <w:cnfStyle w:val="100000000000" w:firstRow="1" w:lastRow="0" w:firstColumn="0" w:lastColumn="0" w:oddVBand="0" w:evenVBand="0" w:oddHBand="0" w:evenHBand="0" w:firstRowFirstColumn="0" w:firstRowLastColumn="0" w:lastRowFirstColumn="0" w:lastRowLastColumn="0"/>
          <w:cantSplit/>
          <w:tblHeader/>
        </w:trPr>
        <w:tc>
          <w:tcPr>
            <w:tcW w:w="1728" w:type="dxa"/>
            <w:tcBorders>
              <w:top w:val="nil"/>
            </w:tcBorders>
          </w:tcPr>
          <w:p w14:paraId="3AC9379A" w14:textId="2705700C" w:rsidR="00D163D6" w:rsidRPr="001455DC" w:rsidRDefault="00D163D6" w:rsidP="00D163D6">
            <w:pPr>
              <w:pStyle w:val="Tableheader"/>
              <w:keepNext/>
            </w:pPr>
            <w:r w:rsidRPr="001455DC">
              <w:t> </w:t>
            </w:r>
          </w:p>
        </w:tc>
        <w:tc>
          <w:tcPr>
            <w:tcW w:w="1418" w:type="dxa"/>
            <w:tcBorders>
              <w:top w:val="nil"/>
            </w:tcBorders>
          </w:tcPr>
          <w:p w14:paraId="5466EB7B" w14:textId="77777777" w:rsidR="00D163D6" w:rsidRPr="001455DC" w:rsidRDefault="00D163D6" w:rsidP="00D163D6">
            <w:pPr>
              <w:pStyle w:val="Tableheader"/>
              <w:keepNext/>
            </w:pPr>
            <w:r w:rsidRPr="001455DC">
              <w:t>Strand</w:t>
            </w:r>
          </w:p>
        </w:tc>
        <w:tc>
          <w:tcPr>
            <w:tcW w:w="1984" w:type="dxa"/>
            <w:tcBorders>
              <w:top w:val="nil"/>
            </w:tcBorders>
          </w:tcPr>
          <w:p w14:paraId="0B64B40A" w14:textId="77777777" w:rsidR="00D163D6" w:rsidRPr="001455DC" w:rsidRDefault="00D163D6" w:rsidP="00D163D6">
            <w:pPr>
              <w:pStyle w:val="Tableheader"/>
              <w:keepNext/>
            </w:pPr>
            <w:r w:rsidRPr="001455DC">
              <w:t>Indented wire</w:t>
            </w:r>
          </w:p>
        </w:tc>
      </w:tr>
      <w:tr w:rsidR="004E22C1" w:rsidRPr="001455DC" w14:paraId="725B196F" w14:textId="77777777" w:rsidTr="00D163D6">
        <w:trPr>
          <w:cantSplit/>
        </w:trPr>
        <w:tc>
          <w:tcPr>
            <w:tcW w:w="1728" w:type="dxa"/>
          </w:tcPr>
          <w:p w14:paraId="227316D4" w14:textId="466E5B12" w:rsidR="004E22C1" w:rsidRPr="001455DC" w:rsidRDefault="004E22C1" w:rsidP="00D163D6">
            <w:pPr>
              <w:pStyle w:val="Tablebody"/>
              <w:keepNext/>
              <w:jc w:val="center"/>
            </w:pPr>
            <w:r w:rsidRPr="001455DC">
              <w:rPr>
                <w:rStyle w:val="CCMCvariableitalic"/>
              </w:rPr>
              <w:t>s</w:t>
            </w:r>
            <w:r w:rsidRPr="001455DC">
              <w:t> </w:t>
            </w:r>
            <w:r w:rsidR="00EC27D2" w:rsidRPr="001455DC">
              <w:rPr>
                <w:rFonts w:ascii="Cambria Math" w:hAnsi="Cambria Math"/>
              </w:rPr>
              <w:t>=</w:t>
            </w:r>
            <w:r w:rsidRPr="001455DC">
              <w:t> 2</w:t>
            </w:r>
            <w:r w:rsidRPr="001455DC">
              <w:rPr>
                <w:rStyle w:val="CCMCvariableitalic"/>
              </w:rPr>
              <w:t>ϕ</w:t>
            </w:r>
            <w:r w:rsidRPr="001455DC">
              <w:rPr>
                <w:rStyle w:val="CCMCvariablesubscript"/>
              </w:rPr>
              <w:t>p</w:t>
            </w:r>
          </w:p>
        </w:tc>
        <w:tc>
          <w:tcPr>
            <w:tcW w:w="1418" w:type="dxa"/>
          </w:tcPr>
          <w:p w14:paraId="343F8315" w14:textId="77777777" w:rsidR="004E22C1" w:rsidRPr="001455DC" w:rsidRDefault="004E22C1" w:rsidP="00D163D6">
            <w:pPr>
              <w:pStyle w:val="Tablebody"/>
              <w:keepNext/>
              <w:jc w:val="center"/>
            </w:pPr>
            <w:r w:rsidRPr="001455DC">
              <w:t>3,0</w:t>
            </w:r>
            <w:r w:rsidRPr="001455DC">
              <w:rPr>
                <w:rStyle w:val="CCMCvariableitalic"/>
              </w:rPr>
              <w:t>ϕ</w:t>
            </w:r>
            <w:r w:rsidRPr="001455DC">
              <w:rPr>
                <w:rStyle w:val="CCMCvariablesubscript"/>
              </w:rPr>
              <w:t>p</w:t>
            </w:r>
          </w:p>
        </w:tc>
        <w:tc>
          <w:tcPr>
            <w:tcW w:w="1984" w:type="dxa"/>
          </w:tcPr>
          <w:p w14:paraId="03947BB9" w14:textId="77777777" w:rsidR="004E22C1" w:rsidRPr="001455DC" w:rsidRDefault="004E22C1" w:rsidP="00D163D6">
            <w:pPr>
              <w:pStyle w:val="Tablebody"/>
              <w:keepNext/>
              <w:jc w:val="center"/>
            </w:pPr>
            <w:r w:rsidRPr="001455DC">
              <w:t>4,5</w:t>
            </w:r>
            <w:r w:rsidRPr="001455DC">
              <w:rPr>
                <w:rStyle w:val="CCMCvariableitalic"/>
              </w:rPr>
              <w:t>ϕ</w:t>
            </w:r>
            <w:r w:rsidRPr="001455DC">
              <w:rPr>
                <w:rStyle w:val="CCMCvariablesubscript"/>
              </w:rPr>
              <w:t>p</w:t>
            </w:r>
          </w:p>
        </w:tc>
      </w:tr>
      <w:tr w:rsidR="004E22C1" w:rsidRPr="001455DC" w14:paraId="13601481" w14:textId="77777777" w:rsidTr="00D163D6">
        <w:trPr>
          <w:cantSplit/>
        </w:trPr>
        <w:tc>
          <w:tcPr>
            <w:tcW w:w="1728" w:type="dxa"/>
          </w:tcPr>
          <w:p w14:paraId="2BEB9E21" w14:textId="782B656A" w:rsidR="004E22C1" w:rsidRPr="001455DC" w:rsidRDefault="004E22C1" w:rsidP="00D163D6">
            <w:pPr>
              <w:pStyle w:val="Tablebody"/>
              <w:jc w:val="center"/>
            </w:pPr>
            <w:r w:rsidRPr="001455DC">
              <w:rPr>
                <w:rStyle w:val="CCMCvariableitalic"/>
              </w:rPr>
              <w:t>s</w:t>
            </w:r>
            <w:r w:rsidRPr="001455DC">
              <w:t> </w:t>
            </w:r>
            <w:r w:rsidR="00650035" w:rsidRPr="001455DC">
              <w:rPr>
                <w:rFonts w:ascii="Cambria Math" w:hAnsi="Cambria Math"/>
              </w:rPr>
              <w:t>≥</w:t>
            </w:r>
            <w:r w:rsidR="00073FC6" w:rsidRPr="001455DC">
              <w:t> </w:t>
            </w:r>
            <w:r w:rsidRPr="001455DC">
              <w:t>2,5</w:t>
            </w:r>
            <w:r w:rsidRPr="001455DC">
              <w:rPr>
                <w:rStyle w:val="CCMCvariableitalic"/>
              </w:rPr>
              <w:t>ϕ</w:t>
            </w:r>
            <w:r w:rsidRPr="001455DC">
              <w:rPr>
                <w:rStyle w:val="CCMCvariablesubscript"/>
              </w:rPr>
              <w:t>p</w:t>
            </w:r>
          </w:p>
        </w:tc>
        <w:tc>
          <w:tcPr>
            <w:tcW w:w="1418" w:type="dxa"/>
          </w:tcPr>
          <w:p w14:paraId="091E138F" w14:textId="77777777" w:rsidR="004E22C1" w:rsidRPr="001455DC" w:rsidRDefault="004E22C1" w:rsidP="00D163D6">
            <w:pPr>
              <w:pStyle w:val="Tablebody"/>
              <w:jc w:val="center"/>
            </w:pPr>
            <w:r w:rsidRPr="001455DC">
              <w:t>2,5</w:t>
            </w:r>
            <w:r w:rsidRPr="001455DC">
              <w:rPr>
                <w:rStyle w:val="CCMCvariableitalic"/>
              </w:rPr>
              <w:t>ϕ</w:t>
            </w:r>
            <w:r w:rsidRPr="001455DC">
              <w:rPr>
                <w:rStyle w:val="CCMCvariablesubscript"/>
              </w:rPr>
              <w:t>p</w:t>
            </w:r>
          </w:p>
        </w:tc>
        <w:tc>
          <w:tcPr>
            <w:tcW w:w="1984" w:type="dxa"/>
          </w:tcPr>
          <w:p w14:paraId="61E117EF" w14:textId="77777777" w:rsidR="004E22C1" w:rsidRPr="001455DC" w:rsidRDefault="004E22C1" w:rsidP="00D163D6">
            <w:pPr>
              <w:pStyle w:val="Tablebody"/>
              <w:jc w:val="center"/>
            </w:pPr>
            <w:r w:rsidRPr="001455DC">
              <w:t>4,0</w:t>
            </w:r>
            <w:r w:rsidRPr="001455DC">
              <w:rPr>
                <w:rStyle w:val="CCMCvariableitalic"/>
              </w:rPr>
              <w:t>ϕ</w:t>
            </w:r>
            <w:r w:rsidRPr="001455DC">
              <w:rPr>
                <w:rStyle w:val="CCMCvariablesubscript"/>
              </w:rPr>
              <w:t>p</w:t>
            </w:r>
          </w:p>
        </w:tc>
      </w:tr>
    </w:tbl>
    <w:p w14:paraId="67FF42D2" w14:textId="77777777" w:rsidR="004E22C1" w:rsidRPr="001455DC" w:rsidRDefault="004E22C1" w:rsidP="00D163D6">
      <w:pPr>
        <w:pStyle w:val="a7"/>
      </w:pPr>
    </w:p>
    <w:p w14:paraId="46B367B4" w14:textId="77777777" w:rsidR="004E22C1" w:rsidRPr="001455DC" w:rsidRDefault="004E22C1" w:rsidP="00D163D6">
      <w:pPr>
        <w:pStyle w:val="a7"/>
      </w:pPr>
      <w:r w:rsidRPr="001455DC">
        <w:t>(3)</w:t>
      </w:r>
      <w:r w:rsidRPr="001455DC">
        <w:tab/>
        <w:t>Bundling of tendons should not occur in the anchorage zones without taking special provisions to cover splitting forces. Outside the anchorage zone up to three tendons may be bundled.</w:t>
      </w:r>
    </w:p>
    <w:p w14:paraId="6B9E3011" w14:textId="1FE164CC" w:rsidR="004E22C1" w:rsidRPr="001455DC" w:rsidRDefault="004E22C1" w:rsidP="00D163D6">
      <w:pPr>
        <w:pStyle w:val="a7"/>
      </w:pPr>
      <w:r w:rsidRPr="001455DC">
        <w:t>(4)</w:t>
      </w:r>
      <w:r w:rsidRPr="001455DC">
        <w:tab/>
        <w:t>Tendon ends shall be protected for durability. Methods of protection for durability may be given by the specific European product standard with factory production control or applied otherwise provided that satisfactory behaviour is demonstrated.</w:t>
      </w:r>
    </w:p>
    <w:p w14:paraId="2EA6E78D" w14:textId="16A83469" w:rsidR="004E22C1" w:rsidRPr="001455DC" w:rsidRDefault="004E22C1" w:rsidP="00243590">
      <w:pPr>
        <w:pStyle w:val="31"/>
      </w:pPr>
      <w:bookmarkStart w:id="1049" w:name="_Toc438630456"/>
      <w:bookmarkStart w:id="1050" w:name="_Toc52820093"/>
      <w:bookmarkStart w:id="1051" w:name="_Toc54337494"/>
      <w:bookmarkStart w:id="1052" w:name="_Toc54338149"/>
      <w:bookmarkStart w:id="1053" w:name="_Toc67565487"/>
      <w:r w:rsidRPr="001455DC">
        <w:t>Anchorage zones</w:t>
      </w:r>
      <w:bookmarkEnd w:id="1049"/>
      <w:bookmarkEnd w:id="1050"/>
      <w:bookmarkEnd w:id="1051"/>
      <w:bookmarkEnd w:id="1052"/>
      <w:bookmarkEnd w:id="1053"/>
    </w:p>
    <w:p w14:paraId="540DCAF0" w14:textId="77777777" w:rsidR="004E22C1" w:rsidRPr="001455DC" w:rsidRDefault="004E22C1" w:rsidP="00E844D2">
      <w:pPr>
        <w:pStyle w:val="a7"/>
        <w:keepNext/>
      </w:pPr>
      <w:r w:rsidRPr="001455DC">
        <w:t>(1)</w:t>
      </w:r>
      <w:r w:rsidRPr="001455DC">
        <w:tab/>
        <w:t>In anchorage zones of tendons, the following length parameters should be considered, see Figure 13.2 and Figure 13.3:</w:t>
      </w:r>
    </w:p>
    <w:p w14:paraId="302F344D" w14:textId="70A4553A" w:rsidR="004E22C1" w:rsidRPr="001455DC" w:rsidRDefault="004E22C1" w:rsidP="00D163D6">
      <w:pPr>
        <w:pStyle w:val="a0"/>
      </w:pPr>
      <w:r w:rsidRPr="001455DC">
        <w:t xml:space="preserve">Transmission length </w:t>
      </w:r>
      <w:r w:rsidRPr="001455DC">
        <w:rPr>
          <w:rStyle w:val="CCMCvariableitalic"/>
        </w:rPr>
        <w:t>l</w:t>
      </w:r>
      <w:r w:rsidRPr="001455DC">
        <w:rPr>
          <w:rStyle w:val="CCMCvariablesubscript"/>
        </w:rPr>
        <w:t>pt</w:t>
      </w:r>
      <w:r w:rsidRPr="001455DC">
        <w:t xml:space="preserve">, over which the prestressing force </w:t>
      </w:r>
      <w:r w:rsidRPr="001455DC">
        <w:rPr>
          <w:rStyle w:val="CCMCvariableitalic"/>
        </w:rPr>
        <w:t>P</w:t>
      </w:r>
      <w:r w:rsidRPr="001455DC">
        <w:rPr>
          <w:rStyle w:val="CCMCvariablesubscript"/>
        </w:rPr>
        <w:t>0</w:t>
      </w:r>
      <w:r w:rsidRPr="001455DC">
        <w:t xml:space="preserve"> is fully transmitted to the concrete, see 13.5.3(1)</w:t>
      </w:r>
    </w:p>
    <w:p w14:paraId="1DF64305" w14:textId="54F5C7FE" w:rsidR="004E22C1" w:rsidRPr="001455DC" w:rsidRDefault="004E22C1" w:rsidP="00D163D6">
      <w:pPr>
        <w:pStyle w:val="a0"/>
      </w:pPr>
      <w:r w:rsidRPr="001455DC">
        <w:t xml:space="preserve">Dispersion length </w:t>
      </w:r>
      <w:r w:rsidRPr="001455DC">
        <w:rPr>
          <w:rStyle w:val="CCMCvariableitalic"/>
        </w:rPr>
        <w:t>l</w:t>
      </w:r>
      <w:r w:rsidRPr="001455DC">
        <w:rPr>
          <w:rStyle w:val="CCMCvariablesubscript"/>
        </w:rPr>
        <w:t>disp</w:t>
      </w:r>
      <w:r w:rsidRPr="001455DC">
        <w:t>, over which the concrete stresses gradually disperse to a linear distribution across the concrete section, see 13.5.3(3)</w:t>
      </w:r>
    </w:p>
    <w:p w14:paraId="0B75D084" w14:textId="2D86A754" w:rsidR="004E22C1" w:rsidRPr="001455DC" w:rsidRDefault="004E22C1" w:rsidP="00D163D6">
      <w:pPr>
        <w:pStyle w:val="a0"/>
      </w:pPr>
      <w:r w:rsidRPr="001455DC">
        <w:t xml:space="preserve">Anchorage length </w:t>
      </w:r>
      <w:r w:rsidRPr="001455DC">
        <w:rPr>
          <w:rStyle w:val="CCMCvariableitalic"/>
        </w:rPr>
        <w:t>l</w:t>
      </w:r>
      <w:r w:rsidRPr="001455DC">
        <w:rPr>
          <w:rStyle w:val="CCMCvariablesubscript"/>
        </w:rPr>
        <w:t>bpd</w:t>
      </w:r>
      <w:r w:rsidRPr="001455DC">
        <w:t xml:space="preserve">, over which the tendon force </w:t>
      </w:r>
      <w:r w:rsidRPr="001455DC">
        <w:rPr>
          <w:rStyle w:val="CCMCvariableitalic"/>
        </w:rPr>
        <w:t>P</w:t>
      </w:r>
      <w:r w:rsidRPr="001455DC">
        <w:rPr>
          <w:rStyle w:val="CCMCvariablesubscript"/>
        </w:rPr>
        <w:t>pd</w:t>
      </w:r>
      <w:r w:rsidRPr="001455DC">
        <w:t>, in the ultimate limit state is fully anchored in the concrete, see 13.5.4(2).</w:t>
      </w:r>
    </w:p>
    <w:p w14:paraId="41CD062F" w14:textId="46073EB5" w:rsidR="004E22C1" w:rsidRPr="001455DC" w:rsidRDefault="00723CF7" w:rsidP="00D163D6">
      <w:pPr>
        <w:pStyle w:val="FigureImage"/>
      </w:pPr>
      <w:r>
        <w:rPr>
          <w:noProof/>
          <w:lang w:eastAsia="en-GB"/>
        </w:rPr>
        <w:fldChar w:fldCharType="begin"/>
      </w:r>
      <w:r>
        <w:rPr>
          <w:noProof/>
          <w:lang w:eastAsia="en-GB"/>
        </w:rPr>
        <w:instrText xml:space="preserve"> INCLUDEPICTURE  "Y:\\STD_MGT\\STDDEL\\PRODUCTION\\etrans\\Download\\Z_FIRST_DEL\\SV\\00250\\00250269\\41_e_dr\\13_002.tif"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"Y:\\STD_MGT\\STDDEL\\PRODUCTION\\Standards\\00250\\269\\41_e_dr\\13_002.tif"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"Y:\\STD_MGT\\STDDEL\\PRODUCTION\\Standards\\00250\\269\\41_e_dr\\13_002.tif"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"Y:\\STD_MGT\\STDDEL\\PRODUCTION\\Standards\\00250\\269\\41_e_dr\\13_002.tif"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"Y:\\STD_MGT\\STDDEL\\PRODUCTION\\Standards\\00250\\269\\41_e_dr\\13_002.tif"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"Y:\\STD_MGT\\STDDEL\\PRODUCTION\\Standards\\00250\\269\\41_e_dr\\13_002.tif"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w:instrText>
      </w:r>
      <w:r w:rsidR="00231E33">
        <w:rPr>
          <w:noProof/>
          <w:lang w:eastAsia="en-GB"/>
        </w:rPr>
        <w:instrText>\\Temp\\Temp1_00250269_e_20210902.zip.zip\\41_e_dr\\13_002.tif"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298CF726">
          <v:shape id="_x0000_i1279" type="#_x0000_t75" style="width:231.75pt;height:117pt">
            <v:imagedata r:id="rId528" r:href="rId529"/>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717315AF" w14:textId="77777777" w:rsidR="004E22C1" w:rsidRPr="001455DC" w:rsidRDefault="004E22C1" w:rsidP="00D163D6">
      <w:pPr>
        <w:pStyle w:val="Figuretitle"/>
      </w:pPr>
      <w:r w:rsidRPr="001455DC">
        <w:t>Figure 13.2 — Transfer of prestress in pre-tensioned member; length parameters</w:t>
      </w:r>
    </w:p>
    <w:p w14:paraId="07E83B6F" w14:textId="7F9BAA4C" w:rsidR="008C0574" w:rsidRDefault="00723CF7" w:rsidP="003F0CF8">
      <w:pPr>
        <w:pStyle w:val="KeyTitle"/>
        <w:jc w:val="center"/>
      </w:pPr>
      <w:r>
        <w:rPr>
          <w:noProof/>
          <w:lang w:eastAsia="en-GB"/>
        </w:rPr>
        <w:fldChar w:fldCharType="begin"/>
      </w:r>
      <w:r>
        <w:rPr>
          <w:noProof/>
          <w:lang w:eastAsia="en-GB"/>
        </w:rPr>
        <w:instrText xml:space="preserve"> INCLUDEPICTURE  "Y:\\STD_MGT\\STDDEL\\PRODUCTION\\etrans\\Download\\Z_FIRST_DEL\\SV\\00250\\00250269\\41_e_dr\\13_003.tif"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"Y:\\STD_MGT\\STDDEL\\PRODUCTION\\Standards\\00250\\269\\41_e_dr\\13_003.tif"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"Y:\\STD_MGT\\STDDEL\\PRODUCTION\\Standards\\00250\\269\\41_e_dr\\13_003.tif"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"Y:\\STD_MGT\\STDDEL\\PRODUCTION\\Standards\\00250\\269\\41_e_dr\\13_003.tif"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"Y:\\STD_MGT\\STDDEL\\PRODUCTION\\Standards\\00250\\269\\41_e_dr\\13_003.tif"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"Y:\\STD_MGT\\STDDEL\\PRODUCTION\\Standards\\00250\\269\\41_e_dr\\13_003.tif"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"C:\\Users\\a.dionysiou\\AppData\\Local\\Temp\\Temp1_00250269_e_20210902.zip.zip\\41_e_dr\\13_003.tif" \* MER</w:instrText>
      </w:r>
      <w:r w:rsidR="00231E33">
        <w:rPr>
          <w:noProof/>
          <w:lang w:eastAsia="en-GB"/>
        </w:rPr>
        <w:instrText>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1FF2400D">
          <v:shape id="_x0000_i1280" type="#_x0000_t75" style="width:177pt;height:158.25pt">
            <v:imagedata r:id="rId530" r:href="rId531"/>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4FFE1A67" w14:textId="4609FAD3" w:rsidR="00D163D6" w:rsidRPr="001455DC" w:rsidRDefault="00D163D6" w:rsidP="00DB201D">
      <w:pPr>
        <w:pStyle w:val="KeyTitle"/>
      </w:pPr>
      <w:r w:rsidRPr="001455DC">
        <w:t>Key</w:t>
      </w:r>
    </w:p>
    <w:tbl>
      <w:tblPr>
        <w:tblW w:w="9809" w:type="dxa"/>
        <w:tblLayout w:type="fixed"/>
        <w:tblCellMar>
          <w:left w:w="28" w:type="dxa"/>
          <w:right w:w="28" w:type="dxa"/>
        </w:tblCellMar>
        <w:tblLook w:val="0000" w:firstRow="0" w:lastRow="0" w:firstColumn="0" w:lastColumn="0" w:noHBand="0" w:noVBand="0"/>
      </w:tblPr>
      <w:tblGrid>
        <w:gridCol w:w="397"/>
        <w:gridCol w:w="9412"/>
      </w:tblGrid>
      <w:tr w:rsidR="00D163D6" w:rsidRPr="001455DC" w14:paraId="13249383" w14:textId="77777777" w:rsidTr="00D163D6">
        <w:tc>
          <w:tcPr>
            <w:tcW w:w="397" w:type="dxa"/>
            <w:shd w:val="clear" w:color="auto" w:fill="auto"/>
          </w:tcPr>
          <w:p w14:paraId="6247BCC1" w14:textId="6E22DDD9" w:rsidR="00D163D6" w:rsidRPr="001455DC" w:rsidRDefault="008C0574" w:rsidP="00D86695">
            <w:pPr>
              <w:pStyle w:val="KeyText"/>
              <w:tabs>
                <w:tab w:val="clear" w:pos="346"/>
              </w:tabs>
              <w:ind w:left="0" w:firstLine="0"/>
            </w:pPr>
            <w:r>
              <w:t>Y</w:t>
            </w:r>
          </w:p>
        </w:tc>
        <w:tc>
          <w:tcPr>
            <w:tcW w:w="9412" w:type="dxa"/>
            <w:shd w:val="clear" w:color="auto" w:fill="auto"/>
          </w:tcPr>
          <w:p w14:paraId="7521220F" w14:textId="3B2416C5" w:rsidR="00D163D6" w:rsidRPr="001455DC" w:rsidRDefault="00243590" w:rsidP="00D86695">
            <w:pPr>
              <w:pStyle w:val="KeyText"/>
              <w:tabs>
                <w:tab w:val="clear" w:pos="346"/>
              </w:tabs>
              <w:ind w:left="0" w:firstLine="0"/>
            </w:pPr>
            <w:r>
              <w:t>t</w:t>
            </w:r>
            <w:r w:rsidR="00D163D6" w:rsidRPr="001455DC">
              <w:t>endon stress</w:t>
            </w:r>
          </w:p>
        </w:tc>
      </w:tr>
      <w:tr w:rsidR="00D163D6" w:rsidRPr="001455DC" w14:paraId="26686D21" w14:textId="77777777" w:rsidTr="00D163D6">
        <w:tc>
          <w:tcPr>
            <w:tcW w:w="397" w:type="dxa"/>
            <w:shd w:val="clear" w:color="auto" w:fill="auto"/>
          </w:tcPr>
          <w:p w14:paraId="7D3BB804" w14:textId="4AA5D1B5" w:rsidR="00D163D6" w:rsidRPr="001455DC" w:rsidRDefault="008C0574" w:rsidP="00D86695">
            <w:pPr>
              <w:pStyle w:val="KeyText"/>
              <w:tabs>
                <w:tab w:val="clear" w:pos="346"/>
              </w:tabs>
              <w:ind w:left="0" w:firstLine="0"/>
            </w:pPr>
            <w:r>
              <w:t>X</w:t>
            </w:r>
          </w:p>
        </w:tc>
        <w:tc>
          <w:tcPr>
            <w:tcW w:w="9412" w:type="dxa"/>
            <w:shd w:val="clear" w:color="auto" w:fill="auto"/>
          </w:tcPr>
          <w:p w14:paraId="770F70D4" w14:textId="3FAD01C8" w:rsidR="00D163D6" w:rsidRPr="001455DC" w:rsidRDefault="00243590" w:rsidP="00D86695">
            <w:pPr>
              <w:pStyle w:val="KeyText"/>
              <w:tabs>
                <w:tab w:val="clear" w:pos="346"/>
              </w:tabs>
              <w:ind w:left="0" w:firstLine="0"/>
            </w:pPr>
            <w:r>
              <w:t>d</w:t>
            </w:r>
            <w:r w:rsidR="00D163D6" w:rsidRPr="001455DC">
              <w:t>istance from end</w:t>
            </w:r>
          </w:p>
        </w:tc>
      </w:tr>
      <w:tr w:rsidR="00D163D6" w:rsidRPr="001455DC" w14:paraId="7A4CF42F" w14:textId="77777777" w:rsidTr="00D163D6">
        <w:tc>
          <w:tcPr>
            <w:tcW w:w="397" w:type="dxa"/>
            <w:shd w:val="clear" w:color="auto" w:fill="auto"/>
          </w:tcPr>
          <w:p w14:paraId="7838F432" w14:textId="5C513B95" w:rsidR="00D163D6" w:rsidRPr="001455DC" w:rsidRDefault="00D163D6">
            <w:pPr>
              <w:pStyle w:val="KeyText"/>
              <w:tabs>
                <w:tab w:val="clear" w:pos="346"/>
              </w:tabs>
              <w:ind w:left="0" w:firstLine="0"/>
            </w:pPr>
            <w:r w:rsidRPr="001455DC">
              <w:t>1</w:t>
            </w:r>
          </w:p>
        </w:tc>
        <w:tc>
          <w:tcPr>
            <w:tcW w:w="9412" w:type="dxa"/>
            <w:shd w:val="clear" w:color="auto" w:fill="auto"/>
          </w:tcPr>
          <w:p w14:paraId="3BFD2A4F" w14:textId="06224490" w:rsidR="00D163D6" w:rsidRPr="001455DC" w:rsidRDefault="00D163D6" w:rsidP="00D86695">
            <w:pPr>
              <w:pStyle w:val="KeyText"/>
              <w:tabs>
                <w:tab w:val="clear" w:pos="346"/>
              </w:tabs>
              <w:ind w:left="0" w:firstLine="0"/>
            </w:pPr>
            <w:r w:rsidRPr="001455DC">
              <w:t>at release</w:t>
            </w:r>
          </w:p>
        </w:tc>
      </w:tr>
      <w:tr w:rsidR="00D163D6" w:rsidRPr="001455DC" w14:paraId="70B6D8A8" w14:textId="77777777" w:rsidTr="00D163D6">
        <w:tc>
          <w:tcPr>
            <w:tcW w:w="397" w:type="dxa"/>
            <w:shd w:val="clear" w:color="auto" w:fill="auto"/>
          </w:tcPr>
          <w:p w14:paraId="55E803FA" w14:textId="2A005C21" w:rsidR="00D163D6" w:rsidRPr="001455DC" w:rsidRDefault="00D163D6" w:rsidP="00D86695">
            <w:pPr>
              <w:pStyle w:val="KeyText"/>
              <w:tabs>
                <w:tab w:val="clear" w:pos="346"/>
              </w:tabs>
              <w:ind w:left="0" w:firstLine="0"/>
            </w:pPr>
            <w:r w:rsidRPr="001455DC">
              <w:t>2</w:t>
            </w:r>
          </w:p>
        </w:tc>
        <w:tc>
          <w:tcPr>
            <w:tcW w:w="9412" w:type="dxa"/>
            <w:shd w:val="clear" w:color="auto" w:fill="auto"/>
          </w:tcPr>
          <w:p w14:paraId="40ED7539" w14:textId="404CD956" w:rsidR="00D163D6" w:rsidRPr="001455DC" w:rsidRDefault="00D163D6" w:rsidP="00D86695">
            <w:pPr>
              <w:pStyle w:val="KeyText"/>
              <w:tabs>
                <w:tab w:val="clear" w:pos="346"/>
              </w:tabs>
              <w:ind w:left="0" w:firstLine="0"/>
            </w:pPr>
            <w:r w:rsidRPr="001455DC">
              <w:t>at ULS</w:t>
            </w:r>
          </w:p>
        </w:tc>
      </w:tr>
    </w:tbl>
    <w:p w14:paraId="25EE0B32" w14:textId="77777777" w:rsidR="004E22C1" w:rsidRPr="001455DC" w:rsidRDefault="004E22C1" w:rsidP="00D163D6">
      <w:pPr>
        <w:pStyle w:val="Figuretitle"/>
      </w:pPr>
      <w:r w:rsidRPr="001455DC">
        <w:t>Figure 13.3 — Tendon stresses</w:t>
      </w:r>
    </w:p>
    <w:p w14:paraId="383051D5" w14:textId="2C182C95" w:rsidR="004E22C1" w:rsidRPr="001455DC" w:rsidRDefault="004E22C1" w:rsidP="00243590">
      <w:pPr>
        <w:pStyle w:val="31"/>
      </w:pPr>
      <w:bookmarkStart w:id="1054" w:name="_Toc52820094"/>
      <w:bookmarkStart w:id="1055" w:name="_Toc54337495"/>
      <w:bookmarkStart w:id="1056" w:name="_Toc54338150"/>
      <w:bookmarkStart w:id="1057" w:name="_Toc67565488"/>
      <w:r w:rsidRPr="001455DC">
        <w:t>Transfer of prestress</w:t>
      </w:r>
      <w:bookmarkEnd w:id="1054"/>
      <w:bookmarkEnd w:id="1055"/>
      <w:bookmarkEnd w:id="1056"/>
      <w:bookmarkEnd w:id="1057"/>
    </w:p>
    <w:p w14:paraId="7591C063" w14:textId="77777777" w:rsidR="00D163D6" w:rsidRPr="001455DC" w:rsidRDefault="004E22C1" w:rsidP="00E844D2">
      <w:pPr>
        <w:pStyle w:val="a7"/>
        <w:keepNext/>
      </w:pPr>
      <w:r w:rsidRPr="001455DC">
        <w:t>(1)</w:t>
      </w:r>
      <w:r w:rsidRPr="001455DC">
        <w:tab/>
        <w:t xml:space="preserve">The basic value of the transmission length </w:t>
      </w:r>
      <w:r w:rsidRPr="001455DC">
        <w:rPr>
          <w:rStyle w:val="CCMCvariableitalic"/>
        </w:rPr>
        <w:t>l</w:t>
      </w:r>
      <w:r w:rsidRPr="001455DC">
        <w:rPr>
          <w:rStyle w:val="CCMCvariablesubscript"/>
        </w:rPr>
        <w:t>pt</w:t>
      </w:r>
      <w:r w:rsidRPr="001455DC">
        <w:t xml:space="preserve"> may be taken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D163D6" w:rsidRPr="001455DC" w14:paraId="667743CD" w14:textId="77777777" w:rsidTr="00D163D6">
        <w:trPr>
          <w:cantSplit/>
        </w:trPr>
        <w:tc>
          <w:tcPr>
            <w:tcW w:w="8505" w:type="dxa"/>
            <w:vAlign w:val="center"/>
          </w:tcPr>
          <w:p w14:paraId="738E841B" w14:textId="4D9D508E" w:rsidR="00D163D6" w:rsidRPr="001455DC" w:rsidRDefault="00231E33" w:rsidP="00D163D6">
            <w:pPr>
              <w:pStyle w:val="Formula"/>
              <w:jc w:val="left"/>
            </w:pPr>
            <m:oMathPara>
              <m:oMathParaPr>
                <m:jc m:val="left"/>
              </m:oMathParaPr>
              <m:oMath>
                <m:sSub>
                  <m:sSubPr>
                    <m:ctrlPr>
                      <w:rPr>
                        <w:rFonts w:ascii="Cambria Math" w:hAnsi="Cambria Math"/>
                      </w:rPr>
                    </m:ctrlPr>
                  </m:sSubPr>
                  <m:e>
                    <m:r>
                      <w:rPr>
                        <w:rFonts w:ascii="Cambria Math" w:hAnsi="Cambria Math"/>
                      </w:rPr>
                      <m:t>l</m:t>
                    </m:r>
                  </m:e>
                  <m:sub>
                    <m:r>
                      <m:rPr>
                        <m:sty m:val="p"/>
                      </m:rPr>
                      <w:rPr>
                        <w:rFonts w:ascii="Cambria Math" w:hAnsi="Cambria Math"/>
                      </w:rPr>
                      <m:t>pt</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γ</m:t>
                        </m:r>
                      </m:e>
                      <m:sub>
                        <m:r>
                          <m:rPr>
                            <m:sty m:val="p"/>
                          </m:rPr>
                          <w:rPr>
                            <w:rFonts w:ascii="Cambria Math" w:hAnsi="Cambria Math"/>
                          </w:rPr>
                          <m:t>C</m:t>
                        </m:r>
                      </m:sub>
                    </m:sSub>
                  </m:num>
                  <m:den>
                    <m:r>
                      <w:rPr>
                        <w:rFonts w:ascii="Cambria Math" w:hAnsi="Cambria Math"/>
                      </w:rPr>
                      <m:t>1,5</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α</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σ</m:t>
                        </m:r>
                      </m:e>
                      <m:sub>
                        <m:r>
                          <m:rPr>
                            <m:sty m:val="p"/>
                          </m:rPr>
                          <w:rPr>
                            <w:rFonts w:ascii="Cambria Math" w:hAnsi="Cambria Math"/>
                          </w:rPr>
                          <m:t>pm0</m:t>
                        </m:r>
                      </m:sub>
                    </m:sSub>
                  </m:num>
                  <m:den>
                    <m:sSub>
                      <m:sSubPr>
                        <m:ctrlPr>
                          <w:rPr>
                            <w:rFonts w:ascii="Cambria Math" w:hAnsi="Cambria Math"/>
                          </w:rPr>
                        </m:ctrlPr>
                      </m:sSubPr>
                      <m:e>
                        <m:r>
                          <w:rPr>
                            <w:rFonts w:ascii="Cambria Math" w:hAnsi="Cambria Math"/>
                          </w:rPr>
                          <m:t>η</m:t>
                        </m:r>
                      </m:e>
                      <m:sub>
                        <m:r>
                          <w:rPr>
                            <w:rFonts w:ascii="Cambria Math" w:hAnsi="Cambria Math"/>
                          </w:rPr>
                          <m:t>1</m:t>
                        </m:r>
                      </m:sub>
                    </m:sSub>
                    <m: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w:rPr>
                                <w:rFonts w:ascii="Cambria Math" w:hAnsi="Cambria Math"/>
                              </w:rPr>
                              <m:t>f</m:t>
                            </m:r>
                          </m:e>
                          <m:sub>
                            <m:r>
                              <m:rPr>
                                <m:sty m:val="p"/>
                              </m:rPr>
                              <w:rPr>
                                <w:rFonts w:ascii="Cambria Math" w:hAnsi="Cambria Math"/>
                              </w:rPr>
                              <m:t>ck</m:t>
                            </m:r>
                          </m:sub>
                        </m:sSub>
                        <m:d>
                          <m:dPr>
                            <m:ctrlPr>
                              <w:rPr>
                                <w:rFonts w:ascii="Cambria Math" w:hAnsi="Cambria Math"/>
                              </w:rPr>
                            </m:ctrlPr>
                          </m:dPr>
                          <m:e>
                            <m:r>
                              <w:rPr>
                                <w:rFonts w:ascii="Cambria Math" w:hAnsi="Cambria Math"/>
                              </w:rPr>
                              <m:t>t</m:t>
                            </m:r>
                          </m:e>
                        </m:d>
                      </m:e>
                    </m:rad>
                  </m:den>
                </m:f>
                <m:r>
                  <w:rPr>
                    <w:rFonts w:ascii="Cambria Math" w:hAnsi="Cambria Math"/>
                  </w:rPr>
                  <m:t>⋅</m:t>
                </m:r>
                <m:sSub>
                  <m:sSubPr>
                    <m:ctrlPr>
                      <w:rPr>
                        <w:rFonts w:ascii="Cambria Math" w:hAnsi="Cambria Math"/>
                      </w:rPr>
                    </m:ctrlPr>
                  </m:sSubPr>
                  <m:e>
                    <m:r>
                      <w:rPr>
                        <w:rFonts w:ascii="Cambria Math" w:hAnsi="Cambria Math"/>
                      </w:rPr>
                      <m:t>ϕ</m:t>
                    </m:r>
                  </m:e>
                  <m:sub>
                    <m:r>
                      <m:rPr>
                        <m:sty m:val="p"/>
                      </m:rPr>
                      <w:rPr>
                        <w:rFonts w:ascii="Cambria Math" w:hAnsi="Cambria Math"/>
                      </w:rPr>
                      <m:t>p</m:t>
                    </m:r>
                  </m:sub>
                </m:sSub>
              </m:oMath>
            </m:oMathPara>
          </w:p>
        </w:tc>
        <w:tc>
          <w:tcPr>
            <w:tcW w:w="1247" w:type="dxa"/>
            <w:vAlign w:val="center"/>
          </w:tcPr>
          <w:p w14:paraId="3D6F009C" w14:textId="5C0AE08E" w:rsidR="00D163D6" w:rsidRPr="001455DC" w:rsidRDefault="00D163D6" w:rsidP="00D163D6">
            <w:pPr>
              <w:pStyle w:val="a7"/>
              <w:jc w:val="right"/>
            </w:pPr>
            <w:r w:rsidRPr="001455DC">
              <w:t>(13.4)</w:t>
            </w:r>
          </w:p>
        </w:tc>
      </w:tr>
    </w:tbl>
    <w:p w14:paraId="71AA5621" w14:textId="77777777" w:rsidR="00D163D6" w:rsidRPr="001455DC" w:rsidRDefault="00D163D6" w:rsidP="00A35599">
      <w:pPr>
        <w:pStyle w:val="a7"/>
        <w:keepNext/>
      </w:pPr>
      <w:r w:rsidRPr="001455DC">
        <w:t>where</w:t>
      </w:r>
    </w:p>
    <w:tbl>
      <w:tblPr>
        <w:tblW w:w="9413" w:type="dxa"/>
        <w:tblInd w:w="397" w:type="dxa"/>
        <w:tblLayout w:type="fixed"/>
        <w:tblCellMar>
          <w:left w:w="28" w:type="dxa"/>
          <w:right w:w="28" w:type="dxa"/>
        </w:tblCellMar>
        <w:tblLook w:val="04A0" w:firstRow="1" w:lastRow="0" w:firstColumn="1" w:lastColumn="0" w:noHBand="0" w:noVBand="1"/>
      </w:tblPr>
      <w:tblGrid>
        <w:gridCol w:w="851"/>
        <w:gridCol w:w="7314"/>
        <w:gridCol w:w="1248"/>
      </w:tblGrid>
      <w:tr w:rsidR="00D163D6" w:rsidRPr="001455DC" w14:paraId="613D4CA1" w14:textId="77777777" w:rsidTr="00D163D6">
        <w:trPr>
          <w:cantSplit/>
        </w:trPr>
        <w:tc>
          <w:tcPr>
            <w:tcW w:w="851" w:type="dxa"/>
          </w:tcPr>
          <w:p w14:paraId="2EB7263A" w14:textId="28D117A9" w:rsidR="00D163D6" w:rsidRPr="001455DC" w:rsidRDefault="00D163D6" w:rsidP="0000442A">
            <w:pPr>
              <w:pStyle w:val="Tablebody"/>
            </w:pPr>
            <w:r w:rsidRPr="001455DC">
              <w:rPr>
                <w:rStyle w:val="CCMCvariableitalic"/>
              </w:rPr>
              <w:t>α</w:t>
            </w:r>
            <w:r w:rsidRPr="001455DC">
              <w:rPr>
                <w:rStyle w:val="CCMCvariablesubscript"/>
              </w:rPr>
              <w:t>1</w:t>
            </w:r>
          </w:p>
        </w:tc>
        <w:tc>
          <w:tcPr>
            <w:tcW w:w="8562" w:type="dxa"/>
            <w:gridSpan w:val="2"/>
          </w:tcPr>
          <w:p w14:paraId="43424AD3" w14:textId="699A0731" w:rsidR="00D163D6" w:rsidRPr="001455DC" w:rsidRDefault="00EC27D2" w:rsidP="00BB1209">
            <w:pPr>
              <w:pStyle w:val="Tablebody"/>
            </w:pPr>
            <w:r w:rsidRPr="001455DC">
              <w:rPr>
                <w:rFonts w:ascii="Cambria Math" w:hAnsi="Cambria Math"/>
              </w:rPr>
              <w:t>=</w:t>
            </w:r>
            <w:r w:rsidR="00D163D6" w:rsidRPr="001455DC">
              <w:t xml:space="preserve"> 1,0 for gradual release,</w:t>
            </w:r>
          </w:p>
        </w:tc>
      </w:tr>
      <w:tr w:rsidR="00D163D6" w:rsidRPr="001455DC" w14:paraId="46C67A8D" w14:textId="77777777" w:rsidTr="00D163D6">
        <w:trPr>
          <w:cantSplit/>
        </w:trPr>
        <w:tc>
          <w:tcPr>
            <w:tcW w:w="851" w:type="dxa"/>
          </w:tcPr>
          <w:p w14:paraId="07B19D60" w14:textId="65F67FDB" w:rsidR="00D163D6" w:rsidRPr="001455DC" w:rsidRDefault="00D163D6" w:rsidP="0000442A">
            <w:pPr>
              <w:pStyle w:val="Tablebody"/>
            </w:pPr>
            <w:r w:rsidRPr="001455DC">
              <w:t> </w:t>
            </w:r>
          </w:p>
        </w:tc>
        <w:tc>
          <w:tcPr>
            <w:tcW w:w="8562" w:type="dxa"/>
            <w:gridSpan w:val="2"/>
          </w:tcPr>
          <w:p w14:paraId="43EF1A08" w14:textId="4F11A0C1" w:rsidR="00D163D6" w:rsidRPr="001455DC" w:rsidRDefault="00EC27D2" w:rsidP="0000442A">
            <w:pPr>
              <w:pStyle w:val="Tablebody"/>
            </w:pPr>
            <w:r w:rsidRPr="001455DC">
              <w:rPr>
                <w:rFonts w:ascii="Cambria Math" w:hAnsi="Cambria Math"/>
              </w:rPr>
              <w:t>=</w:t>
            </w:r>
            <w:r w:rsidR="00D163D6" w:rsidRPr="001455DC">
              <w:t xml:space="preserve"> 1,25 for sudden release;</w:t>
            </w:r>
          </w:p>
        </w:tc>
      </w:tr>
      <w:tr w:rsidR="00D163D6" w:rsidRPr="001455DC" w14:paraId="604806B7" w14:textId="77777777" w:rsidTr="00D163D6">
        <w:trPr>
          <w:cantSplit/>
        </w:trPr>
        <w:tc>
          <w:tcPr>
            <w:tcW w:w="851" w:type="dxa"/>
          </w:tcPr>
          <w:p w14:paraId="70A10E37" w14:textId="424D4D8B" w:rsidR="00D163D6" w:rsidRPr="001455DC" w:rsidRDefault="00D163D6" w:rsidP="0000442A">
            <w:pPr>
              <w:pStyle w:val="Tablebody"/>
            </w:pPr>
            <w:r w:rsidRPr="001455DC">
              <w:rPr>
                <w:rStyle w:val="CCMCvariableitalic"/>
              </w:rPr>
              <w:t>α</w:t>
            </w:r>
            <w:r w:rsidRPr="001455DC">
              <w:rPr>
                <w:rStyle w:val="CCMCvariablesubscript"/>
              </w:rPr>
              <w:t>2</w:t>
            </w:r>
          </w:p>
        </w:tc>
        <w:tc>
          <w:tcPr>
            <w:tcW w:w="8562" w:type="dxa"/>
            <w:gridSpan w:val="2"/>
          </w:tcPr>
          <w:p w14:paraId="6DAB50CF" w14:textId="22E086D8" w:rsidR="00D163D6" w:rsidRPr="001455DC" w:rsidRDefault="00EC27D2" w:rsidP="0000442A">
            <w:pPr>
              <w:pStyle w:val="Tablebody"/>
            </w:pPr>
            <w:r w:rsidRPr="001455DC">
              <w:rPr>
                <w:rFonts w:ascii="Cambria Math" w:hAnsi="Cambria Math"/>
              </w:rPr>
              <w:t>=</w:t>
            </w:r>
            <w:r w:rsidR="00D163D6" w:rsidRPr="001455DC">
              <w:t xml:space="preserve"> 0,40 for indented wires,</w:t>
            </w:r>
          </w:p>
        </w:tc>
      </w:tr>
      <w:tr w:rsidR="00D163D6" w:rsidRPr="001455DC" w14:paraId="455BE411" w14:textId="77777777" w:rsidTr="00D163D6">
        <w:trPr>
          <w:cantSplit/>
        </w:trPr>
        <w:tc>
          <w:tcPr>
            <w:tcW w:w="851" w:type="dxa"/>
          </w:tcPr>
          <w:p w14:paraId="3C0C7724" w14:textId="4561E789" w:rsidR="00D163D6" w:rsidRPr="001455DC" w:rsidRDefault="00D163D6" w:rsidP="0000442A">
            <w:pPr>
              <w:pStyle w:val="Tablebody"/>
            </w:pPr>
            <w:r w:rsidRPr="001455DC">
              <w:t> </w:t>
            </w:r>
          </w:p>
        </w:tc>
        <w:tc>
          <w:tcPr>
            <w:tcW w:w="8562" w:type="dxa"/>
            <w:gridSpan w:val="2"/>
          </w:tcPr>
          <w:p w14:paraId="454363E3" w14:textId="4B83EA9E" w:rsidR="00D163D6" w:rsidRPr="001455DC" w:rsidRDefault="00EC27D2" w:rsidP="0000442A">
            <w:pPr>
              <w:pStyle w:val="Tablebody"/>
            </w:pPr>
            <w:r w:rsidRPr="001455DC">
              <w:rPr>
                <w:rFonts w:ascii="Cambria Math" w:hAnsi="Cambria Math"/>
              </w:rPr>
              <w:t>=</w:t>
            </w:r>
            <w:r w:rsidR="00D163D6" w:rsidRPr="001455DC">
              <w:t xml:space="preserve"> 0,26 for 3- and 7-wire strands;</w:t>
            </w:r>
          </w:p>
        </w:tc>
      </w:tr>
      <w:tr w:rsidR="00D163D6" w:rsidRPr="001455DC" w14:paraId="6B9EC6D4" w14:textId="77777777" w:rsidTr="00D163D6">
        <w:trPr>
          <w:cantSplit/>
        </w:trPr>
        <w:tc>
          <w:tcPr>
            <w:tcW w:w="851" w:type="dxa"/>
          </w:tcPr>
          <w:p w14:paraId="4565C2D2" w14:textId="7CEFB037" w:rsidR="00D163D6" w:rsidRPr="001455DC" w:rsidRDefault="00D163D6" w:rsidP="0000442A">
            <w:pPr>
              <w:pStyle w:val="Tablebody"/>
            </w:pPr>
            <w:r w:rsidRPr="001455DC">
              <w:rPr>
                <w:rStyle w:val="CCMCvariableitalic"/>
              </w:rPr>
              <w:t>ϕ</w:t>
            </w:r>
            <w:r w:rsidRPr="001455DC">
              <w:rPr>
                <w:rStyle w:val="CCMCvariablesubscript"/>
              </w:rPr>
              <w:t>p</w:t>
            </w:r>
          </w:p>
        </w:tc>
        <w:tc>
          <w:tcPr>
            <w:tcW w:w="8562" w:type="dxa"/>
            <w:gridSpan w:val="2"/>
          </w:tcPr>
          <w:p w14:paraId="6BEFDA83" w14:textId="11172397" w:rsidR="00D163D6" w:rsidRPr="001455DC" w:rsidRDefault="00D163D6" w:rsidP="0000442A">
            <w:pPr>
              <w:pStyle w:val="Tablebody"/>
            </w:pPr>
            <w:r w:rsidRPr="001455DC">
              <w:t>is the nominal diameter of the tendon;</w:t>
            </w:r>
          </w:p>
        </w:tc>
      </w:tr>
      <w:tr w:rsidR="00D163D6" w:rsidRPr="001455DC" w14:paraId="3A7BF7E8" w14:textId="77777777" w:rsidTr="00D163D6">
        <w:trPr>
          <w:cantSplit/>
        </w:trPr>
        <w:tc>
          <w:tcPr>
            <w:tcW w:w="851" w:type="dxa"/>
          </w:tcPr>
          <w:p w14:paraId="7CE47031" w14:textId="2D2FC437" w:rsidR="00D163D6" w:rsidRPr="001455DC" w:rsidRDefault="00D163D6" w:rsidP="0000442A">
            <w:pPr>
              <w:pStyle w:val="Tablebody"/>
            </w:pPr>
            <w:r w:rsidRPr="001455DC">
              <w:rPr>
                <w:rStyle w:val="CCMCvariableitalic"/>
              </w:rPr>
              <w:t>σ</w:t>
            </w:r>
            <w:r w:rsidRPr="001455DC">
              <w:rPr>
                <w:rStyle w:val="CCMCvariablesubscript"/>
              </w:rPr>
              <w:t>pm0</w:t>
            </w:r>
          </w:p>
        </w:tc>
        <w:tc>
          <w:tcPr>
            <w:tcW w:w="8562" w:type="dxa"/>
            <w:gridSpan w:val="2"/>
          </w:tcPr>
          <w:p w14:paraId="62B0FA37" w14:textId="67F7B17C" w:rsidR="00D163D6" w:rsidRPr="001455DC" w:rsidRDefault="00D163D6" w:rsidP="0000442A">
            <w:pPr>
              <w:pStyle w:val="Tablebody"/>
            </w:pPr>
            <w:r w:rsidRPr="001455DC">
              <w:t>is the tendon stress just after release;</w:t>
            </w:r>
          </w:p>
        </w:tc>
      </w:tr>
      <w:tr w:rsidR="00D163D6" w:rsidRPr="001455DC" w14:paraId="7DCE61F9" w14:textId="77777777" w:rsidTr="00D163D6">
        <w:trPr>
          <w:cantSplit/>
        </w:trPr>
        <w:tc>
          <w:tcPr>
            <w:tcW w:w="851" w:type="dxa"/>
          </w:tcPr>
          <w:p w14:paraId="47583E4D" w14:textId="28E881F9" w:rsidR="00D163D6" w:rsidRPr="001455DC" w:rsidRDefault="00D163D6" w:rsidP="00D86695">
            <w:pPr>
              <w:pStyle w:val="Tablebody"/>
            </w:pPr>
            <w:r w:rsidRPr="001455DC">
              <w:rPr>
                <w:rStyle w:val="CCMCvariableitalic"/>
              </w:rPr>
              <w:t>η</w:t>
            </w:r>
            <w:r w:rsidRPr="001455DC">
              <w:rPr>
                <w:rStyle w:val="CCMCvariablesubscript"/>
              </w:rPr>
              <w:t>1</w:t>
            </w:r>
          </w:p>
        </w:tc>
        <w:tc>
          <w:tcPr>
            <w:tcW w:w="8562" w:type="dxa"/>
            <w:gridSpan w:val="2"/>
          </w:tcPr>
          <w:p w14:paraId="1F5AE9F7" w14:textId="6E3CFF8C" w:rsidR="00D163D6" w:rsidRPr="001455DC" w:rsidRDefault="00EC27D2" w:rsidP="00D86695">
            <w:pPr>
              <w:pStyle w:val="Tablebody"/>
            </w:pPr>
            <w:r w:rsidRPr="001455DC">
              <w:rPr>
                <w:rFonts w:ascii="Cambria Math" w:hAnsi="Cambria Math"/>
              </w:rPr>
              <w:t>=</w:t>
            </w:r>
            <w:r w:rsidR="00D163D6" w:rsidRPr="001455DC">
              <w:t xml:space="preserve"> </w:t>
            </w:r>
            <w:r w:rsidR="00F80BBC" w:rsidRPr="001455DC">
              <w:t xml:space="preserve"> </w:t>
            </w:r>
            <w:r w:rsidR="00D163D6" w:rsidRPr="001455DC">
              <w:t>1,0 for tendons located in favourable positions during concreting (see 11.4.2(4)),</w:t>
            </w:r>
          </w:p>
        </w:tc>
      </w:tr>
      <w:tr w:rsidR="00D163D6" w:rsidRPr="001455DC" w14:paraId="5CDAADE0" w14:textId="77777777" w:rsidTr="00D163D6">
        <w:trPr>
          <w:cantSplit/>
        </w:trPr>
        <w:tc>
          <w:tcPr>
            <w:tcW w:w="851" w:type="dxa"/>
          </w:tcPr>
          <w:p w14:paraId="4F17A231" w14:textId="59B152DB" w:rsidR="00D163D6" w:rsidRPr="001455DC" w:rsidRDefault="00D163D6" w:rsidP="00D86695">
            <w:pPr>
              <w:pStyle w:val="Tablebody"/>
            </w:pPr>
            <w:r w:rsidRPr="001455DC">
              <w:t> </w:t>
            </w:r>
          </w:p>
        </w:tc>
        <w:tc>
          <w:tcPr>
            <w:tcW w:w="8562" w:type="dxa"/>
            <w:gridSpan w:val="2"/>
          </w:tcPr>
          <w:p w14:paraId="58B6189A" w14:textId="1FFA19E7" w:rsidR="00D163D6" w:rsidRPr="001455DC" w:rsidRDefault="00EC27D2">
            <w:pPr>
              <w:pStyle w:val="Tablebody"/>
            </w:pPr>
            <w:r w:rsidRPr="001455DC">
              <w:rPr>
                <w:rFonts w:ascii="Cambria Math" w:hAnsi="Cambria Math"/>
              </w:rPr>
              <w:t>=</w:t>
            </w:r>
            <w:r w:rsidR="00F80BBC" w:rsidRPr="001455DC">
              <w:t xml:space="preserve"> </w:t>
            </w:r>
            <w:r w:rsidR="00D163D6" w:rsidRPr="001455DC">
              <w:t>0,7 otherwise, unless a higher value can be justified with regard to special circumstances in execution;</w:t>
            </w:r>
          </w:p>
        </w:tc>
      </w:tr>
      <w:tr w:rsidR="00D163D6" w:rsidRPr="001455DC" w14:paraId="2F63222E" w14:textId="77777777" w:rsidTr="00D163D6">
        <w:trPr>
          <w:cantSplit/>
        </w:trPr>
        <w:tc>
          <w:tcPr>
            <w:tcW w:w="851" w:type="dxa"/>
          </w:tcPr>
          <w:p w14:paraId="10750994" w14:textId="33904D3F" w:rsidR="00D163D6" w:rsidRPr="001455DC" w:rsidRDefault="00D163D6" w:rsidP="00D86695">
            <w:pPr>
              <w:pStyle w:val="Tablebody"/>
            </w:pPr>
            <w:r w:rsidRPr="001455DC">
              <w:rPr>
                <w:rStyle w:val="CCMCvariableitalic"/>
              </w:rPr>
              <w:t>f</w:t>
            </w:r>
            <w:r w:rsidRPr="001455DC">
              <w:rPr>
                <w:rStyle w:val="CCMCvariablesubscript"/>
              </w:rPr>
              <w:t>ck</w:t>
            </w:r>
            <w:r w:rsidRPr="001455DC">
              <w:t>(</w:t>
            </w:r>
            <w:r w:rsidRPr="001455DC">
              <w:rPr>
                <w:rStyle w:val="CCMCvariableitalic"/>
              </w:rPr>
              <w:t>t</w:t>
            </w:r>
            <w:r w:rsidRPr="001455DC">
              <w:t>)</w:t>
            </w:r>
          </w:p>
        </w:tc>
        <w:tc>
          <w:tcPr>
            <w:tcW w:w="8562" w:type="dxa"/>
            <w:gridSpan w:val="2"/>
          </w:tcPr>
          <w:p w14:paraId="74FD2AE2" w14:textId="05CE7B7F" w:rsidR="00D163D6" w:rsidRPr="001455DC" w:rsidRDefault="00D163D6" w:rsidP="00D86695">
            <w:pPr>
              <w:pStyle w:val="Tablebody"/>
            </w:pPr>
            <w:r w:rsidRPr="001455DC">
              <w:t>is the concrete compressive strength at time of release which may be taken as:</w:t>
            </w:r>
          </w:p>
        </w:tc>
      </w:tr>
      <w:tr w:rsidR="00D163D6" w:rsidRPr="001455DC" w14:paraId="06D438E9" w14:textId="77777777" w:rsidTr="00D163D6">
        <w:trPr>
          <w:cantSplit/>
        </w:trPr>
        <w:tc>
          <w:tcPr>
            <w:tcW w:w="851" w:type="dxa"/>
          </w:tcPr>
          <w:p w14:paraId="45BEB294" w14:textId="56CE5A0F" w:rsidR="00D163D6" w:rsidRPr="009D3012" w:rsidRDefault="00D163D6" w:rsidP="00D86695">
            <w:pPr>
              <w:pStyle w:val="Tablebody"/>
              <w:rPr>
                <w:rStyle w:val="CCMCvariableitalic"/>
              </w:rPr>
            </w:pPr>
            <w:r w:rsidRPr="009D3012">
              <w:t> </w:t>
            </w:r>
          </w:p>
        </w:tc>
        <w:tc>
          <w:tcPr>
            <w:tcW w:w="7314" w:type="dxa"/>
            <w:vAlign w:val="center"/>
          </w:tcPr>
          <w:p w14:paraId="6778EAA5" w14:textId="590D8DF4" w:rsidR="00D163D6" w:rsidRPr="009D3012" w:rsidRDefault="00D163D6" w:rsidP="00D163D6">
            <w:pPr>
              <w:pStyle w:val="Tablebody"/>
              <w:jc w:val="left"/>
              <w:rPr>
                <w:lang w:val="de-DE"/>
              </w:rPr>
            </w:pPr>
            <w:r w:rsidRPr="009D3012">
              <w:rPr>
                <w:rStyle w:val="CCMCvariableitalic"/>
                <w:lang w:val="de-DE"/>
              </w:rPr>
              <w:t>f</w:t>
            </w:r>
            <w:r w:rsidRPr="009D3012">
              <w:rPr>
                <w:rStyle w:val="CCMCvariablesubscript"/>
                <w:lang w:val="de-DE"/>
              </w:rPr>
              <w:t>ck</w:t>
            </w:r>
            <w:r w:rsidRPr="009D3012">
              <w:rPr>
                <w:lang w:val="de-DE"/>
              </w:rPr>
              <w:t>(</w:t>
            </w:r>
            <w:r w:rsidRPr="009D3012">
              <w:rPr>
                <w:rStyle w:val="CCMCvariableitalic"/>
                <w:lang w:val="de-DE"/>
              </w:rPr>
              <w:t>t</w:t>
            </w:r>
            <w:r w:rsidRPr="009D3012">
              <w:rPr>
                <w:lang w:val="de-DE"/>
              </w:rPr>
              <w:t>) </w:t>
            </w:r>
            <w:r w:rsidR="00EC27D2" w:rsidRPr="009D3012">
              <w:rPr>
                <w:rFonts w:ascii="Cambria Math" w:hAnsi="Cambria Math"/>
                <w:lang w:val="de-DE"/>
              </w:rPr>
              <w:t>=</w:t>
            </w:r>
            <w:r w:rsidRPr="009D3012">
              <w:rPr>
                <w:lang w:val="de-DE"/>
              </w:rPr>
              <w:t> [</w:t>
            </w:r>
            <w:r w:rsidRPr="001455DC">
              <w:rPr>
                <w:rStyle w:val="CCMCvariableitalic"/>
              </w:rPr>
              <w:t>β</w:t>
            </w:r>
            <w:r w:rsidRPr="009D3012">
              <w:rPr>
                <w:rStyle w:val="CCMCvariablesubscript"/>
                <w:lang w:val="de-DE"/>
              </w:rPr>
              <w:t>cc</w:t>
            </w:r>
            <w:r w:rsidRPr="009D3012">
              <w:rPr>
                <w:lang w:val="de-DE"/>
              </w:rPr>
              <w:t>(</w:t>
            </w:r>
            <w:r w:rsidRPr="009D3012">
              <w:rPr>
                <w:rStyle w:val="CCMCvariableitalic"/>
                <w:lang w:val="de-DE"/>
              </w:rPr>
              <w:t>t</w:t>
            </w:r>
            <w:r w:rsidRPr="009D3012">
              <w:rPr>
                <w:lang w:val="de-DE"/>
              </w:rPr>
              <w:t>)]</w:t>
            </w:r>
            <w:r w:rsidRPr="009D3012">
              <w:rPr>
                <w:rStyle w:val="CCMCvariablesuperscript"/>
                <w:lang w:val="de-DE"/>
              </w:rPr>
              <w:t>2/3</w:t>
            </w:r>
            <w:r w:rsidRPr="009D3012">
              <w:rPr>
                <w:lang w:val="de-DE"/>
              </w:rPr>
              <w:t xml:space="preserve"> ∙ </w:t>
            </w:r>
            <w:r w:rsidRPr="009D3012">
              <w:rPr>
                <w:rStyle w:val="CCMCvariableitalic"/>
                <w:lang w:val="de-DE"/>
              </w:rPr>
              <w:t>f</w:t>
            </w:r>
            <w:r w:rsidRPr="009D3012">
              <w:rPr>
                <w:rStyle w:val="CCMCvariablesubscript"/>
                <w:lang w:val="de-DE"/>
              </w:rPr>
              <w:t>ck</w:t>
            </w:r>
          </w:p>
        </w:tc>
        <w:tc>
          <w:tcPr>
            <w:tcW w:w="1247" w:type="dxa"/>
            <w:vAlign w:val="center"/>
          </w:tcPr>
          <w:p w14:paraId="3FD5C430" w14:textId="5A7D9A00" w:rsidR="00D163D6" w:rsidRPr="001455DC" w:rsidRDefault="00D163D6" w:rsidP="00D163D6">
            <w:pPr>
              <w:pStyle w:val="Tablebody"/>
              <w:jc w:val="right"/>
            </w:pPr>
            <w:r w:rsidRPr="001455DC">
              <w:t>(13.5)</w:t>
            </w:r>
          </w:p>
        </w:tc>
      </w:tr>
    </w:tbl>
    <w:p w14:paraId="690B422F" w14:textId="77777777" w:rsidR="004E22C1" w:rsidRPr="009D3012" w:rsidRDefault="004E22C1" w:rsidP="00D163D6">
      <w:pPr>
        <w:pStyle w:val="a7"/>
        <w:rPr>
          <w:rStyle w:val="CCMCvariablesubscript"/>
        </w:rPr>
      </w:pPr>
      <w:r w:rsidRPr="009D3012">
        <w:t>Other values of transmission length may be used, provided that satisfactory behaviour in service is demonstrated by testing or permitted by the specific European product standard with factory production control.</w:t>
      </w:r>
    </w:p>
    <w:p w14:paraId="108C69E5" w14:textId="77777777" w:rsidR="00D163D6" w:rsidRPr="001455DC" w:rsidRDefault="004E22C1" w:rsidP="00E844D2">
      <w:pPr>
        <w:pStyle w:val="a7"/>
        <w:keepNext/>
      </w:pPr>
      <w:r w:rsidRPr="001455DC">
        <w:t>(2)</w:t>
      </w:r>
      <w:r w:rsidRPr="001455DC">
        <w:tab/>
        <w:t>Depending on the design situation, the design value of the transmission length should be taken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D163D6" w:rsidRPr="001455DC" w14:paraId="6D51030D" w14:textId="77777777" w:rsidTr="00D163D6">
        <w:trPr>
          <w:cantSplit/>
        </w:trPr>
        <w:tc>
          <w:tcPr>
            <w:tcW w:w="8505" w:type="dxa"/>
            <w:vAlign w:val="center"/>
          </w:tcPr>
          <w:p w14:paraId="75C74264" w14:textId="70B1012E" w:rsidR="00D163D6" w:rsidRPr="001455DC" w:rsidRDefault="00D163D6" w:rsidP="00D163D6">
            <w:pPr>
              <w:pStyle w:val="Formula"/>
              <w:jc w:val="left"/>
            </w:pPr>
            <w:r w:rsidRPr="001455DC">
              <w:rPr>
                <w:rStyle w:val="CCMCvariableitalic"/>
              </w:rPr>
              <w:t>l</w:t>
            </w:r>
            <w:r w:rsidRPr="001455DC">
              <w:rPr>
                <w:rStyle w:val="CCMCvariablesubscript"/>
              </w:rPr>
              <w:t>pt1</w:t>
            </w:r>
            <w:r w:rsidRPr="001455DC">
              <w:t> </w:t>
            </w:r>
            <w:r w:rsidR="00EC27D2" w:rsidRPr="001455DC">
              <w:rPr>
                <w:rFonts w:ascii="Cambria Math" w:hAnsi="Cambria Math"/>
              </w:rPr>
              <w:t>=</w:t>
            </w:r>
            <w:r w:rsidRPr="001455DC">
              <w:t> 0,8</w:t>
            </w:r>
            <w:r w:rsidRPr="001455DC">
              <w:rPr>
                <w:rStyle w:val="CCMCvariableitalic"/>
              </w:rPr>
              <w:t>l</w:t>
            </w:r>
            <w:r w:rsidRPr="001455DC">
              <w:rPr>
                <w:rStyle w:val="CCMCvariablesubscript"/>
              </w:rPr>
              <w:t>pt</w:t>
            </w:r>
            <w:r w:rsidRPr="001455DC">
              <w:t xml:space="preserve"> for the verification of local stresses at release</w:t>
            </w:r>
          </w:p>
        </w:tc>
        <w:tc>
          <w:tcPr>
            <w:tcW w:w="1247" w:type="dxa"/>
            <w:vAlign w:val="center"/>
          </w:tcPr>
          <w:p w14:paraId="784AEC1D" w14:textId="51E91A5B" w:rsidR="00D163D6" w:rsidRPr="001455DC" w:rsidRDefault="00D163D6" w:rsidP="00D163D6">
            <w:pPr>
              <w:pStyle w:val="a7"/>
              <w:jc w:val="right"/>
            </w:pPr>
            <w:r w:rsidRPr="001455DC">
              <w:t>(13.6)</w:t>
            </w:r>
          </w:p>
        </w:tc>
      </w:tr>
      <w:tr w:rsidR="00D163D6" w:rsidRPr="001455DC" w14:paraId="7F14083D" w14:textId="77777777" w:rsidTr="00D163D6">
        <w:trPr>
          <w:cantSplit/>
        </w:trPr>
        <w:tc>
          <w:tcPr>
            <w:tcW w:w="8505" w:type="dxa"/>
            <w:vAlign w:val="center"/>
          </w:tcPr>
          <w:p w14:paraId="7948207C" w14:textId="4DDE7568" w:rsidR="00D163D6" w:rsidRPr="001455DC" w:rsidRDefault="00D163D6" w:rsidP="00D163D6">
            <w:pPr>
              <w:pStyle w:val="Formula"/>
              <w:jc w:val="left"/>
            </w:pPr>
            <w:r w:rsidRPr="001455DC">
              <w:rPr>
                <w:rStyle w:val="CCMCvariableitalic"/>
              </w:rPr>
              <w:t>l</w:t>
            </w:r>
            <w:r w:rsidRPr="001455DC">
              <w:rPr>
                <w:rStyle w:val="CCMCvariablesubscript"/>
              </w:rPr>
              <w:t>pt2</w:t>
            </w:r>
            <w:r w:rsidRPr="001455DC">
              <w:t> </w:t>
            </w:r>
            <w:r w:rsidR="00EC27D2" w:rsidRPr="001455DC">
              <w:rPr>
                <w:rFonts w:ascii="Cambria Math" w:hAnsi="Cambria Math"/>
              </w:rPr>
              <w:t>=</w:t>
            </w:r>
            <w:r w:rsidRPr="001455DC">
              <w:t> 1,2</w:t>
            </w:r>
            <w:r w:rsidRPr="001455DC">
              <w:rPr>
                <w:rStyle w:val="CCMCvariableitalic"/>
              </w:rPr>
              <w:t>l</w:t>
            </w:r>
            <w:r w:rsidRPr="001455DC">
              <w:rPr>
                <w:rStyle w:val="CCMCvariablesubscript"/>
              </w:rPr>
              <w:t>pt</w:t>
            </w:r>
            <w:r w:rsidRPr="001455DC">
              <w:t xml:space="preserve"> for ultimate limit states (shear, anchorage, etc.)</w:t>
            </w:r>
          </w:p>
        </w:tc>
        <w:tc>
          <w:tcPr>
            <w:tcW w:w="1247" w:type="dxa"/>
            <w:vAlign w:val="center"/>
          </w:tcPr>
          <w:p w14:paraId="5F133639" w14:textId="70C33EC0" w:rsidR="00D163D6" w:rsidRPr="001455DC" w:rsidRDefault="00D163D6" w:rsidP="00D163D6">
            <w:pPr>
              <w:pStyle w:val="a7"/>
              <w:jc w:val="right"/>
            </w:pPr>
            <w:r w:rsidRPr="001455DC">
              <w:t>(13.7)</w:t>
            </w:r>
          </w:p>
        </w:tc>
      </w:tr>
    </w:tbl>
    <w:p w14:paraId="3D7996BD" w14:textId="58C08783" w:rsidR="00D163D6" w:rsidRPr="001455DC" w:rsidRDefault="004E22C1" w:rsidP="00E844D2">
      <w:pPr>
        <w:pStyle w:val="a7"/>
        <w:keepNext/>
      </w:pPr>
      <w:r w:rsidRPr="001455DC">
        <w:t>(3)</w:t>
      </w:r>
      <w:r w:rsidRPr="001455DC">
        <w:tab/>
        <w:t>Concrete stresses may be assumed to have a linear distribution in the member cross</w:t>
      </w:r>
      <w:r w:rsidR="00B10711" w:rsidRPr="001455DC">
        <w:t xml:space="preserve"> </w:t>
      </w:r>
      <w:r w:rsidRPr="001455DC">
        <w:t xml:space="preserve">section outside the dispersion length, </w:t>
      </w:r>
      <w:r w:rsidRPr="001455DC">
        <w:rPr>
          <w:rStyle w:val="CCMCvariableitalic"/>
        </w:rPr>
        <w:t>l</w:t>
      </w:r>
      <w:r w:rsidRPr="001455DC">
        <w:rPr>
          <w:rStyle w:val="CCMCvariablesubscript"/>
        </w:rPr>
        <w:t>disp</w:t>
      </w:r>
      <w:r w:rsidRPr="001455DC">
        <w:t>, see Figure 13.2:</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D163D6" w:rsidRPr="001455DC" w14:paraId="05DBCB04" w14:textId="77777777" w:rsidTr="00D163D6">
        <w:trPr>
          <w:cantSplit/>
        </w:trPr>
        <w:tc>
          <w:tcPr>
            <w:tcW w:w="8505" w:type="dxa"/>
            <w:vAlign w:val="center"/>
          </w:tcPr>
          <w:p w14:paraId="7C9894EB" w14:textId="6B4C60AD" w:rsidR="00D163D6" w:rsidRPr="001455DC" w:rsidRDefault="00231E33" w:rsidP="00D163D6">
            <w:pPr>
              <w:pStyle w:val="Formula"/>
              <w:jc w:val="left"/>
            </w:pPr>
            <m:oMathPara>
              <m:oMathParaPr>
                <m:jc m:val="left"/>
              </m:oMathParaPr>
              <m:oMath>
                <m:sSub>
                  <m:sSubPr>
                    <m:ctrlPr>
                      <w:rPr>
                        <w:rFonts w:ascii="Cambria Math" w:hAnsi="Cambria Math"/>
                      </w:rPr>
                    </m:ctrlPr>
                  </m:sSubPr>
                  <m:e>
                    <m:r>
                      <w:rPr>
                        <w:rFonts w:ascii="Cambria Math" w:hAnsi="Cambria Math"/>
                      </w:rPr>
                      <m:t>l</m:t>
                    </m:r>
                  </m:e>
                  <m:sub>
                    <m:r>
                      <m:rPr>
                        <m:sty m:val="p"/>
                      </m:rPr>
                      <w:rPr>
                        <w:rFonts w:ascii="Cambria Math" w:hAnsi="Cambria Math"/>
                      </w:rPr>
                      <m:t>disp</m:t>
                    </m:r>
                  </m:sub>
                </m:sSub>
                <m:r>
                  <w:rPr>
                    <w:rFonts w:ascii="Cambria Math" w:hAnsi="Cambria Math"/>
                  </w:rPr>
                  <m:t>=</m:t>
                </m:r>
                <m:rad>
                  <m:radPr>
                    <m:degHide m:val="1"/>
                    <m:ctrlPr>
                      <w:rPr>
                        <w:rFonts w:ascii="Cambria Math" w:hAnsi="Cambria Math"/>
                      </w:rPr>
                    </m:ctrlPr>
                  </m:radPr>
                  <m:deg/>
                  <m:e>
                    <m:sSup>
                      <m:sSupPr>
                        <m:ctrlPr>
                          <w:rPr>
                            <w:rFonts w:ascii="Cambria Math" w:hAnsi="Cambria Math"/>
                          </w:rPr>
                        </m:ctrlPr>
                      </m:sSupPr>
                      <m:e>
                        <m:sSub>
                          <m:sSubPr>
                            <m:ctrlPr>
                              <w:rPr>
                                <w:rFonts w:ascii="Cambria Math" w:hAnsi="Cambria Math"/>
                              </w:rPr>
                            </m:ctrlPr>
                          </m:sSubPr>
                          <m:e>
                            <m:r>
                              <w:rPr>
                                <w:rFonts w:ascii="Cambria Math" w:hAnsi="Cambria Math"/>
                              </w:rPr>
                              <m:t>l</m:t>
                            </m:r>
                          </m:e>
                          <m:sub>
                            <m:r>
                              <m:rPr>
                                <m:sty m:val="p"/>
                              </m:rPr>
                              <w:rPr>
                                <w:rFonts w:ascii="Cambria Math" w:hAnsi="Cambria Math"/>
                              </w:rPr>
                              <m:t>pt</m:t>
                            </m:r>
                          </m:sub>
                        </m:sSub>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d</m:t>
                        </m:r>
                      </m:e>
                      <m:sup>
                        <m:r>
                          <w:rPr>
                            <w:rFonts w:ascii="Cambria Math" w:hAnsi="Cambria Math"/>
                          </w:rPr>
                          <m:t>2</m:t>
                        </m:r>
                      </m:sup>
                    </m:sSup>
                  </m:e>
                </m:rad>
              </m:oMath>
            </m:oMathPara>
          </w:p>
        </w:tc>
        <w:tc>
          <w:tcPr>
            <w:tcW w:w="1247" w:type="dxa"/>
            <w:vAlign w:val="center"/>
          </w:tcPr>
          <w:p w14:paraId="0495E76C" w14:textId="48BC5BA0" w:rsidR="00D163D6" w:rsidRPr="001455DC" w:rsidRDefault="00D163D6" w:rsidP="00D163D6">
            <w:pPr>
              <w:pStyle w:val="a7"/>
              <w:jc w:val="right"/>
            </w:pPr>
            <w:r w:rsidRPr="001455DC">
              <w:t>(13.8)</w:t>
            </w:r>
          </w:p>
        </w:tc>
      </w:tr>
    </w:tbl>
    <w:p w14:paraId="48D28998" w14:textId="77777777" w:rsidR="004E22C1" w:rsidRPr="001455DC" w:rsidRDefault="004E22C1" w:rsidP="00D163D6">
      <w:pPr>
        <w:pStyle w:val="a7"/>
      </w:pPr>
      <w:r w:rsidRPr="001455DC">
        <w:rPr>
          <w:bCs/>
        </w:rPr>
        <w:t>(4)</w:t>
      </w:r>
      <w:r w:rsidRPr="001455DC">
        <w:rPr>
          <w:bCs/>
        </w:rPr>
        <w:tab/>
      </w:r>
      <w:r w:rsidRPr="001455DC">
        <w:t>Alternative models for the transfer of prestressing force may be used, if adequately justified and if the transmission length is modified accordingly.</w:t>
      </w:r>
    </w:p>
    <w:p w14:paraId="4FF5774A" w14:textId="3673295F" w:rsidR="004E22C1" w:rsidRPr="001455DC" w:rsidRDefault="004E22C1" w:rsidP="00243590">
      <w:pPr>
        <w:pStyle w:val="31"/>
      </w:pPr>
      <w:bookmarkStart w:id="1058" w:name="_Toc52820095"/>
      <w:bookmarkStart w:id="1059" w:name="_Toc54337496"/>
      <w:bookmarkStart w:id="1060" w:name="_Toc54338151"/>
      <w:bookmarkStart w:id="1061" w:name="_Toc67565489"/>
      <w:r w:rsidRPr="001455DC">
        <w:t>Anchorage of tensile force at ULS</w:t>
      </w:r>
      <w:bookmarkEnd w:id="1058"/>
      <w:bookmarkEnd w:id="1059"/>
      <w:bookmarkEnd w:id="1060"/>
      <w:bookmarkEnd w:id="1061"/>
    </w:p>
    <w:p w14:paraId="16EE4161" w14:textId="77777777" w:rsidR="004E22C1" w:rsidRPr="001455DC" w:rsidRDefault="004E22C1" w:rsidP="005965D6">
      <w:pPr>
        <w:pStyle w:val="a7"/>
      </w:pPr>
      <w:r w:rsidRPr="001455DC">
        <w:t>(1)</w:t>
      </w:r>
      <w:r w:rsidRPr="001455DC">
        <w:tab/>
        <w:t xml:space="preserve">The anchorage of tendons shall be checked in sections where the concrete tensile stress determined for the characteristic combination of actions exceeds </w:t>
      </w:r>
      <w:r w:rsidRPr="001455DC">
        <w:rPr>
          <w:rStyle w:val="CCMCvariableitalic"/>
        </w:rPr>
        <w:t>f</w:t>
      </w:r>
      <w:r w:rsidRPr="001455DC">
        <w:rPr>
          <w:rStyle w:val="CCMCvariablesubscript"/>
        </w:rPr>
        <w:t>ctk,0,05</w:t>
      </w:r>
      <w:r w:rsidRPr="001455DC">
        <w:t>.</w:t>
      </w:r>
    </w:p>
    <w:p w14:paraId="4D4EE481" w14:textId="6D1B8933" w:rsidR="004E22C1" w:rsidRPr="001455DC" w:rsidRDefault="004E22C1" w:rsidP="005965D6">
      <w:pPr>
        <w:pStyle w:val="a7"/>
        <w:rPr>
          <w:bCs/>
        </w:rPr>
      </w:pPr>
      <w:r w:rsidRPr="001455DC">
        <w:t xml:space="preserve">The tendon stress </w:t>
      </w:r>
      <w:r w:rsidRPr="001455DC">
        <w:rPr>
          <w:rStyle w:val="CCMCvariableitalic"/>
        </w:rPr>
        <w:t>σ</w:t>
      </w:r>
      <w:r w:rsidRPr="001455DC">
        <w:rPr>
          <w:rStyle w:val="CCMCvariablesubscript"/>
        </w:rPr>
        <w:t>pd</w:t>
      </w:r>
      <w:r w:rsidRPr="001455DC">
        <w:t xml:space="preserve"> shall be calculated for a cracked section, including the effect of shear according to Formula (8.</w:t>
      </w:r>
      <w:r w:rsidR="00F80BBC" w:rsidRPr="001455DC">
        <w:t>36</w:t>
      </w:r>
      <w:r w:rsidRPr="001455DC">
        <w:t>).</w:t>
      </w:r>
    </w:p>
    <w:p w14:paraId="46963550" w14:textId="77777777" w:rsidR="00D163D6" w:rsidRPr="001455DC" w:rsidRDefault="004E22C1" w:rsidP="00E844D2">
      <w:pPr>
        <w:pStyle w:val="a7"/>
        <w:keepNext/>
      </w:pPr>
      <w:r w:rsidRPr="001455DC">
        <w:rPr>
          <w:bCs/>
        </w:rPr>
        <w:t>(2)</w:t>
      </w:r>
      <w:r w:rsidRPr="001455DC">
        <w:rPr>
          <w:bCs/>
        </w:rPr>
        <w:tab/>
      </w:r>
      <w:r w:rsidRPr="001455DC">
        <w:t xml:space="preserve">If concrete is uncracked all along the transmission length, the total anchorage length for anchoring a tendon at ultimate limit state with stress </w:t>
      </w:r>
      <w:r w:rsidRPr="001455DC">
        <w:rPr>
          <w:rStyle w:val="CCMCvariableitalic"/>
        </w:rPr>
        <w:t>σ</w:t>
      </w:r>
      <w:r w:rsidRPr="001455DC">
        <w:rPr>
          <w:rStyle w:val="CCMCvariablesubscript"/>
        </w:rPr>
        <w:t>pd</w:t>
      </w:r>
      <w:r w:rsidRPr="001455DC">
        <w:t xml:space="preserve"> may be taken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D163D6" w:rsidRPr="001455DC" w14:paraId="747C2FFF" w14:textId="77777777" w:rsidTr="00D163D6">
        <w:trPr>
          <w:cantSplit/>
        </w:trPr>
        <w:tc>
          <w:tcPr>
            <w:tcW w:w="8505" w:type="dxa"/>
            <w:vAlign w:val="center"/>
          </w:tcPr>
          <w:p w14:paraId="0B88204C" w14:textId="6C271A7C" w:rsidR="00D163D6" w:rsidRPr="001455DC" w:rsidRDefault="00231E33" w:rsidP="00D163D6">
            <w:pPr>
              <w:pStyle w:val="Formula"/>
              <w:jc w:val="left"/>
            </w:pPr>
            <m:oMathPara>
              <m:oMathParaPr>
                <m:jc m:val="left"/>
              </m:oMathParaPr>
              <m:oMath>
                <m:sSub>
                  <m:sSubPr>
                    <m:ctrlPr>
                      <w:rPr>
                        <w:rFonts w:ascii="Cambria Math" w:hAnsi="Cambria Math"/>
                      </w:rPr>
                    </m:ctrlPr>
                  </m:sSubPr>
                  <m:e>
                    <m:r>
                      <w:rPr>
                        <w:rFonts w:ascii="Cambria Math" w:hAnsi="Cambria Math"/>
                      </w:rPr>
                      <m:t>l</m:t>
                    </m:r>
                  </m:e>
                  <m:sub>
                    <m:r>
                      <m:rPr>
                        <m:sty m:val="p"/>
                      </m:rPr>
                      <w:rPr>
                        <w:rFonts w:ascii="Cambria Math" w:hAnsi="Cambria Math"/>
                      </w:rPr>
                      <m:t>bpd</m:t>
                    </m:r>
                  </m:sub>
                </m:sSub>
                <m: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pt2</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γ</m:t>
                        </m:r>
                      </m:e>
                      <m:sub>
                        <m:r>
                          <w:rPr>
                            <w:rFonts w:ascii="Cambria Math" w:hAnsi="Cambria Math"/>
                          </w:rPr>
                          <m:t>C</m:t>
                        </m:r>
                      </m:sub>
                    </m:sSub>
                  </m:num>
                  <m:den>
                    <m:r>
                      <w:rPr>
                        <w:rFonts w:ascii="Cambria Math" w:hAnsi="Cambria Math"/>
                      </w:rPr>
                      <m:t>1,5</m:t>
                    </m:r>
                  </m:den>
                </m:f>
                <m:r>
                  <w:rPr>
                    <w:rFonts w:ascii="Cambria Math" w:hAnsi="Cambria Math"/>
                  </w:rPr>
                  <m:t>⋅</m:t>
                </m:r>
                <m:f>
                  <m:fPr>
                    <m:ctrlPr>
                      <w:rPr>
                        <w:rFonts w:ascii="Cambria Math" w:hAnsi="Cambria Math"/>
                      </w:rPr>
                    </m:ctrlPr>
                  </m:fPr>
                  <m:num>
                    <m:r>
                      <w:rPr>
                        <w:rFonts w:ascii="Cambria Math" w:hAnsi="Cambria Math"/>
                      </w:rPr>
                      <m:t>2⋅</m:t>
                    </m:r>
                    <m:sSub>
                      <m:sSubPr>
                        <m:ctrlPr>
                          <w:rPr>
                            <w:rFonts w:ascii="Cambria Math" w:hAnsi="Cambria Math"/>
                          </w:rPr>
                        </m:ctrlPr>
                      </m:sSubPr>
                      <m:e>
                        <m:r>
                          <w:rPr>
                            <w:rFonts w:ascii="Cambria Math" w:hAnsi="Cambria Math"/>
                          </w:rPr>
                          <m:t>α</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3</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σ</m:t>
                            </m:r>
                          </m:e>
                          <m:sub>
                            <m:r>
                              <m:rPr>
                                <m:sty m:val="p"/>
                              </m:rPr>
                              <w:rPr>
                                <w:rFonts w:ascii="Cambria Math" w:hAnsi="Cambria Math"/>
                              </w:rPr>
                              <m:t>pd</m:t>
                            </m:r>
                          </m:sub>
                        </m:sSub>
                        <m:r>
                          <w:rPr>
                            <w:rFonts w:ascii="Cambria Math" w:hAnsi="Cambria Math"/>
                          </w:rPr>
                          <m:t>-</m:t>
                        </m:r>
                        <m:sSub>
                          <m:sSubPr>
                            <m:ctrlPr>
                              <w:rPr>
                                <w:rFonts w:ascii="Cambria Math" w:hAnsi="Cambria Math"/>
                              </w:rPr>
                            </m:ctrlPr>
                          </m:sSubPr>
                          <m:e>
                            <m:r>
                              <w:rPr>
                                <w:rFonts w:ascii="Cambria Math" w:hAnsi="Cambria Math"/>
                              </w:rPr>
                              <m:t>σ</m:t>
                            </m:r>
                          </m:e>
                          <m:sub>
                            <m:r>
                              <m:rPr>
                                <m:sty m:val="p"/>
                              </m:rPr>
                              <w:rPr>
                                <w:rFonts w:ascii="Cambria Math" w:hAnsi="Cambria Math"/>
                              </w:rPr>
                              <m:t>pm</m:t>
                            </m:r>
                            <m:r>
                              <m:rPr>
                                <m:sty m:val="p"/>
                              </m:rPr>
                              <w:rPr>
                                <w:rFonts w:ascii="Cambria Math" w:hAnsi="Cambria Math" w:hint="eastAsia"/>
                              </w:rPr>
                              <m:t>∞</m:t>
                            </m:r>
                          </m:sub>
                        </m:sSub>
                      </m:e>
                    </m:d>
                  </m:num>
                  <m:den>
                    <m:sSub>
                      <m:sSubPr>
                        <m:ctrlPr>
                          <w:rPr>
                            <w:rFonts w:ascii="Cambria Math" w:hAnsi="Cambria Math"/>
                          </w:rPr>
                        </m:ctrlPr>
                      </m:sSubPr>
                      <m:e>
                        <m:r>
                          <w:rPr>
                            <w:rFonts w:ascii="Cambria Math" w:hAnsi="Cambria Math"/>
                          </w:rPr>
                          <m:t>η</m:t>
                        </m:r>
                      </m:e>
                      <m:sub>
                        <m:r>
                          <w:rPr>
                            <w:rFonts w:ascii="Cambria Math" w:hAnsi="Cambria Math"/>
                          </w:rPr>
                          <m:t>1</m:t>
                        </m:r>
                      </m:sub>
                    </m:sSub>
                    <m: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w:rPr>
                                <w:rFonts w:ascii="Cambria Math" w:hAnsi="Cambria Math"/>
                              </w:rPr>
                              <m:t>f</m:t>
                            </m:r>
                          </m:e>
                          <m:sub>
                            <m:r>
                              <m:rPr>
                                <m:sty m:val="p"/>
                              </m:rPr>
                              <w:rPr>
                                <w:rFonts w:ascii="Cambria Math" w:hAnsi="Cambria Math"/>
                              </w:rPr>
                              <m:t>ck</m:t>
                            </m:r>
                          </m:sub>
                        </m:sSub>
                      </m:e>
                    </m:rad>
                  </m:den>
                </m:f>
                <m:r>
                  <w:rPr>
                    <w:rFonts w:ascii="Cambria Math" w:hAnsi="Cambria Math"/>
                  </w:rPr>
                  <m:t>⋅</m:t>
                </m:r>
                <m:sSub>
                  <m:sSubPr>
                    <m:ctrlPr>
                      <w:rPr>
                        <w:rFonts w:ascii="Cambria Math" w:hAnsi="Cambria Math"/>
                      </w:rPr>
                    </m:ctrlPr>
                  </m:sSubPr>
                  <m:e>
                    <m:r>
                      <w:rPr>
                        <w:rFonts w:ascii="Cambria Math" w:hAnsi="Cambria Math"/>
                      </w:rPr>
                      <m:t>ϕ</m:t>
                    </m:r>
                  </m:e>
                  <m:sub>
                    <m:r>
                      <m:rPr>
                        <m:sty m:val="p"/>
                      </m:rPr>
                      <w:rPr>
                        <w:rFonts w:ascii="Cambria Math" w:hAnsi="Cambria Math"/>
                      </w:rPr>
                      <m:t>p</m:t>
                    </m:r>
                  </m:sub>
                </m:sSub>
              </m:oMath>
            </m:oMathPara>
          </w:p>
        </w:tc>
        <w:tc>
          <w:tcPr>
            <w:tcW w:w="1247" w:type="dxa"/>
            <w:vAlign w:val="center"/>
          </w:tcPr>
          <w:p w14:paraId="004BBC1C" w14:textId="42AFE46F" w:rsidR="00D163D6" w:rsidRPr="001455DC" w:rsidRDefault="00D163D6" w:rsidP="00D163D6">
            <w:pPr>
              <w:pStyle w:val="a7"/>
              <w:jc w:val="right"/>
            </w:pPr>
            <w:r w:rsidRPr="001455DC">
              <w:t>(13.9)</w:t>
            </w:r>
          </w:p>
        </w:tc>
      </w:tr>
    </w:tbl>
    <w:p w14:paraId="6243BCC0" w14:textId="77777777" w:rsidR="00D163D6" w:rsidRPr="001455DC" w:rsidRDefault="00D163D6"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D163D6" w:rsidRPr="001455DC" w14:paraId="1CEEF48E" w14:textId="77777777" w:rsidTr="00D163D6">
        <w:trPr>
          <w:cantSplit/>
        </w:trPr>
        <w:tc>
          <w:tcPr>
            <w:tcW w:w="567" w:type="dxa"/>
          </w:tcPr>
          <w:p w14:paraId="5BAD037D" w14:textId="6A73A664" w:rsidR="00D163D6" w:rsidRPr="001455DC" w:rsidRDefault="00D163D6" w:rsidP="0000442A">
            <w:pPr>
              <w:pStyle w:val="Tablebody"/>
            </w:pPr>
            <w:r w:rsidRPr="001455DC">
              <w:rPr>
                <w:rStyle w:val="CCMCvariableitalic"/>
              </w:rPr>
              <w:t>l</w:t>
            </w:r>
            <w:r w:rsidRPr="001455DC">
              <w:rPr>
                <w:rStyle w:val="CCMCvariablesubscript"/>
              </w:rPr>
              <w:t>pt2</w:t>
            </w:r>
          </w:p>
        </w:tc>
        <w:tc>
          <w:tcPr>
            <w:tcW w:w="8845" w:type="dxa"/>
          </w:tcPr>
          <w:p w14:paraId="176BC846" w14:textId="7CEF9296" w:rsidR="00D163D6" w:rsidRPr="001455DC" w:rsidRDefault="00D163D6" w:rsidP="00BB1209">
            <w:pPr>
              <w:pStyle w:val="Tablebody"/>
            </w:pPr>
            <w:r w:rsidRPr="001455DC">
              <w:t>is the upper design value of transmission length, see 13.5.3(2);</w:t>
            </w:r>
          </w:p>
        </w:tc>
      </w:tr>
      <w:tr w:rsidR="00D163D6" w:rsidRPr="001455DC" w14:paraId="688452F3" w14:textId="77777777" w:rsidTr="00D163D6">
        <w:trPr>
          <w:cantSplit/>
        </w:trPr>
        <w:tc>
          <w:tcPr>
            <w:tcW w:w="567" w:type="dxa"/>
          </w:tcPr>
          <w:p w14:paraId="1628BE3C" w14:textId="3C0B3D6B" w:rsidR="00D163D6" w:rsidRPr="001455DC" w:rsidRDefault="00D163D6" w:rsidP="0000442A">
            <w:pPr>
              <w:pStyle w:val="Tablebody"/>
            </w:pPr>
            <w:r w:rsidRPr="001455DC">
              <w:rPr>
                <w:rStyle w:val="CCMCvariableitalic"/>
              </w:rPr>
              <w:t>α</w:t>
            </w:r>
            <w:r w:rsidRPr="001455DC">
              <w:rPr>
                <w:rStyle w:val="CCMCvariablesubscript"/>
              </w:rPr>
              <w:t>2</w:t>
            </w:r>
          </w:p>
        </w:tc>
        <w:tc>
          <w:tcPr>
            <w:tcW w:w="8845" w:type="dxa"/>
          </w:tcPr>
          <w:p w14:paraId="3416C4B0" w14:textId="04DB64A6" w:rsidR="00D163D6" w:rsidRPr="001455DC" w:rsidRDefault="00D163D6" w:rsidP="0000442A">
            <w:pPr>
              <w:pStyle w:val="Tablebody"/>
            </w:pPr>
            <w:r w:rsidRPr="001455DC">
              <w:t>is as defined in 13.5.3(1);</w:t>
            </w:r>
          </w:p>
        </w:tc>
      </w:tr>
      <w:tr w:rsidR="00D163D6" w:rsidRPr="001455DC" w14:paraId="08D3AFE6" w14:textId="77777777" w:rsidTr="00D163D6">
        <w:trPr>
          <w:cantSplit/>
        </w:trPr>
        <w:tc>
          <w:tcPr>
            <w:tcW w:w="567" w:type="dxa"/>
          </w:tcPr>
          <w:p w14:paraId="376F2B44" w14:textId="14A8ED89" w:rsidR="00D163D6" w:rsidRPr="001455DC" w:rsidRDefault="00D163D6" w:rsidP="00D86695">
            <w:pPr>
              <w:pStyle w:val="Tablebody"/>
            </w:pPr>
            <w:r w:rsidRPr="001455DC">
              <w:rPr>
                <w:rStyle w:val="CCMCvariableitalic"/>
              </w:rPr>
              <w:t>α</w:t>
            </w:r>
            <w:r w:rsidRPr="001455DC">
              <w:rPr>
                <w:rStyle w:val="CCMCvariablesubscript"/>
              </w:rPr>
              <w:t>3</w:t>
            </w:r>
          </w:p>
        </w:tc>
        <w:tc>
          <w:tcPr>
            <w:tcW w:w="8845" w:type="dxa"/>
          </w:tcPr>
          <w:p w14:paraId="3EDB9443" w14:textId="5B4DCF48" w:rsidR="00D163D6" w:rsidRPr="001455DC" w:rsidRDefault="00EC27D2" w:rsidP="00D86695">
            <w:pPr>
              <w:pStyle w:val="Tablebody"/>
            </w:pPr>
            <w:r w:rsidRPr="001455DC">
              <w:rPr>
                <w:rFonts w:ascii="Cambria Math" w:hAnsi="Cambria Math"/>
              </w:rPr>
              <w:t>=</w:t>
            </w:r>
            <w:r w:rsidR="00D163D6" w:rsidRPr="001455DC">
              <w:t xml:space="preserve"> 1,5 in cases where fatigue verification is required, see 10.1,</w:t>
            </w:r>
          </w:p>
        </w:tc>
      </w:tr>
      <w:tr w:rsidR="00D163D6" w:rsidRPr="001455DC" w14:paraId="762613BF" w14:textId="77777777" w:rsidTr="00D163D6">
        <w:trPr>
          <w:cantSplit/>
        </w:trPr>
        <w:tc>
          <w:tcPr>
            <w:tcW w:w="567" w:type="dxa"/>
          </w:tcPr>
          <w:p w14:paraId="549EFB71" w14:textId="2D91B59A" w:rsidR="00D163D6" w:rsidRPr="001455DC" w:rsidRDefault="00D163D6" w:rsidP="00EC27D2">
            <w:pPr>
              <w:pStyle w:val="Tablebody"/>
            </w:pPr>
            <w:r w:rsidRPr="001455DC">
              <w:t> </w:t>
            </w:r>
          </w:p>
        </w:tc>
        <w:tc>
          <w:tcPr>
            <w:tcW w:w="8845" w:type="dxa"/>
          </w:tcPr>
          <w:p w14:paraId="7220FA0F" w14:textId="099D9286" w:rsidR="00D163D6" w:rsidRPr="001455DC" w:rsidRDefault="00EC27D2" w:rsidP="00D86695">
            <w:pPr>
              <w:pStyle w:val="Tablebody"/>
            </w:pPr>
            <w:r w:rsidRPr="001455DC">
              <w:rPr>
                <w:rFonts w:ascii="Cambria Math" w:hAnsi="Cambria Math"/>
              </w:rPr>
              <w:t>=</w:t>
            </w:r>
            <w:r w:rsidR="00D163D6" w:rsidRPr="001455DC">
              <w:t xml:space="preserve"> 1,0 in all other cases;</w:t>
            </w:r>
          </w:p>
        </w:tc>
      </w:tr>
      <w:tr w:rsidR="00D163D6" w:rsidRPr="001455DC" w14:paraId="10681B15" w14:textId="77777777" w:rsidTr="00D163D6">
        <w:trPr>
          <w:cantSplit/>
        </w:trPr>
        <w:tc>
          <w:tcPr>
            <w:tcW w:w="567" w:type="dxa"/>
          </w:tcPr>
          <w:p w14:paraId="570FF792" w14:textId="3F01F0BF" w:rsidR="00D163D6" w:rsidRPr="009D3012" w:rsidRDefault="00D163D6" w:rsidP="00D86695">
            <w:pPr>
              <w:pStyle w:val="Tablebody"/>
              <w:rPr>
                <w:rStyle w:val="CCMCvariableitalic"/>
              </w:rPr>
            </w:pPr>
            <w:r w:rsidRPr="001455DC">
              <w:rPr>
                <w:rStyle w:val="CCMCvariableitalic"/>
              </w:rPr>
              <w:t>σ</w:t>
            </w:r>
            <w:r w:rsidRPr="001455DC">
              <w:rPr>
                <w:rStyle w:val="CCMCvariablesubscript"/>
              </w:rPr>
              <w:t>pm∞</w:t>
            </w:r>
          </w:p>
        </w:tc>
        <w:tc>
          <w:tcPr>
            <w:tcW w:w="8845" w:type="dxa"/>
          </w:tcPr>
          <w:p w14:paraId="1A99914E" w14:textId="78DB013E" w:rsidR="00D163D6" w:rsidRPr="001455DC" w:rsidRDefault="00D163D6" w:rsidP="00D86695">
            <w:pPr>
              <w:pStyle w:val="Tablebody"/>
            </w:pPr>
            <w:r w:rsidRPr="001455DC">
              <w:t>is the tendon stress after all losses;</w:t>
            </w:r>
          </w:p>
        </w:tc>
      </w:tr>
      <w:tr w:rsidR="00D163D6" w:rsidRPr="001455DC" w14:paraId="2CC58F8A" w14:textId="77777777" w:rsidTr="00D163D6">
        <w:trPr>
          <w:cantSplit/>
        </w:trPr>
        <w:tc>
          <w:tcPr>
            <w:tcW w:w="567" w:type="dxa"/>
          </w:tcPr>
          <w:p w14:paraId="1EF8742F" w14:textId="31702CE6" w:rsidR="00D163D6" w:rsidRPr="009D3012" w:rsidRDefault="00D163D6" w:rsidP="00D86695">
            <w:pPr>
              <w:pStyle w:val="Tablebody"/>
              <w:rPr>
                <w:rStyle w:val="CCMCvariableitalic"/>
              </w:rPr>
            </w:pPr>
            <w:r w:rsidRPr="001455DC">
              <w:rPr>
                <w:rStyle w:val="CCMCvariableitalic"/>
              </w:rPr>
              <w:t>η</w:t>
            </w:r>
            <w:r w:rsidRPr="001455DC">
              <w:rPr>
                <w:rStyle w:val="CCMCvariablesubscript"/>
              </w:rPr>
              <w:t>1</w:t>
            </w:r>
          </w:p>
        </w:tc>
        <w:tc>
          <w:tcPr>
            <w:tcW w:w="8845" w:type="dxa"/>
          </w:tcPr>
          <w:p w14:paraId="3C8DF38F" w14:textId="653140D9" w:rsidR="00D163D6" w:rsidRPr="001455DC" w:rsidRDefault="00D163D6" w:rsidP="00D86695">
            <w:pPr>
              <w:pStyle w:val="Tablebody"/>
            </w:pPr>
            <w:r w:rsidRPr="001455DC">
              <w:t>is as defined in 13.5.3(1).</w:t>
            </w:r>
          </w:p>
        </w:tc>
      </w:tr>
    </w:tbl>
    <w:p w14:paraId="472671D7" w14:textId="77777777" w:rsidR="004E22C1" w:rsidRPr="001455DC" w:rsidRDefault="004E22C1" w:rsidP="00D163D6">
      <w:pPr>
        <w:pStyle w:val="a7"/>
      </w:pPr>
      <w:r w:rsidRPr="001455DC">
        <w:t>Tendon stresses in the anchorage zone are illustrated in Figure 13.3.</w:t>
      </w:r>
    </w:p>
    <w:p w14:paraId="28EA31C1" w14:textId="6C6F8A1C" w:rsidR="004E22C1" w:rsidRPr="001455DC" w:rsidRDefault="004E22C1" w:rsidP="00243590">
      <w:pPr>
        <w:pStyle w:val="31"/>
      </w:pPr>
      <w:bookmarkStart w:id="1062" w:name="_Toc52820096"/>
      <w:bookmarkStart w:id="1063" w:name="_Toc54337497"/>
      <w:bookmarkStart w:id="1064" w:name="_Toc54338152"/>
      <w:bookmarkStart w:id="1065" w:name="_Toc67565490"/>
      <w:r w:rsidRPr="001455DC">
        <w:t>Shear resistance of precast members without shear reinforcement</w:t>
      </w:r>
      <w:bookmarkEnd w:id="1062"/>
      <w:bookmarkEnd w:id="1063"/>
      <w:bookmarkEnd w:id="1064"/>
      <w:bookmarkEnd w:id="1065"/>
    </w:p>
    <w:p w14:paraId="3B837B20" w14:textId="77777777" w:rsidR="004E22C1" w:rsidRPr="001455DC" w:rsidRDefault="004E22C1" w:rsidP="00D163D6">
      <w:pPr>
        <w:pStyle w:val="a7"/>
      </w:pPr>
      <w:r w:rsidRPr="001455DC">
        <w:t>(1)</w:t>
      </w:r>
      <w:r w:rsidRPr="001455DC">
        <w:tab/>
        <w:t>Except for the conditions described in (2), 8.2.2 applies.</w:t>
      </w:r>
    </w:p>
    <w:p w14:paraId="3E175570" w14:textId="77777777" w:rsidR="004E22C1" w:rsidRPr="001455DC" w:rsidRDefault="004E22C1" w:rsidP="00E844D2">
      <w:pPr>
        <w:pStyle w:val="a7"/>
        <w:keepNext/>
      </w:pPr>
      <w:r w:rsidRPr="001455DC">
        <w:t>(2)</w:t>
      </w:r>
      <w:r w:rsidRPr="001455DC">
        <w:tab/>
        <w:t>Provided that following conditions are fulfilled:</w:t>
      </w:r>
    </w:p>
    <w:p w14:paraId="20358939" w14:textId="5C3CFA73" w:rsidR="004E22C1" w:rsidRPr="001455DC" w:rsidRDefault="004E22C1" w:rsidP="00D163D6">
      <w:pPr>
        <w:pStyle w:val="a0"/>
      </w:pPr>
      <w:r w:rsidRPr="001455DC">
        <w:t>the member is prestressed and simply supported,</w:t>
      </w:r>
    </w:p>
    <w:p w14:paraId="40DE19E3" w14:textId="666DFE5B" w:rsidR="004E22C1" w:rsidRPr="001455DC" w:rsidRDefault="004E22C1" w:rsidP="00D163D6">
      <w:pPr>
        <w:pStyle w:val="a0"/>
      </w:pPr>
      <w:r w:rsidRPr="001455DC">
        <w:t>the effective depth is not larger than 500 mm,</w:t>
      </w:r>
    </w:p>
    <w:p w14:paraId="480FF0F5" w14:textId="00832613" w:rsidR="004E22C1" w:rsidRPr="001455DC" w:rsidRDefault="004E22C1" w:rsidP="00D163D6">
      <w:pPr>
        <w:pStyle w:val="a0"/>
      </w:pPr>
      <w:r w:rsidRPr="001455DC">
        <w:t xml:space="preserve">the investigated region is uncracked in bending (where the flexural tensile stress for the characteristic combination of actions, including effects of imposed deformations is smaller than </w:t>
      </w:r>
      <w:r w:rsidRPr="001455DC">
        <w:rPr>
          <w:rStyle w:val="CCMCvariableitalic"/>
        </w:rPr>
        <w:t>f</w:t>
      </w:r>
      <w:r w:rsidRPr="001455DC">
        <w:rPr>
          <w:rStyle w:val="CCMCvariablesubscript"/>
        </w:rPr>
        <w:t>ctk,0,05</w:t>
      </w:r>
      <w:r w:rsidRPr="001455DC">
        <w:t>/</w:t>
      </w:r>
      <w:r w:rsidRPr="001455DC">
        <w:rPr>
          <w:rStyle w:val="CCMCvariableitalic"/>
        </w:rPr>
        <w:t>γ</w:t>
      </w:r>
      <w:r w:rsidRPr="001455DC">
        <w:rPr>
          <w:rStyle w:val="CCMCvariablesubscript"/>
        </w:rPr>
        <w:t>C</w:t>
      </w:r>
      <w:r w:rsidRPr="001455DC">
        <w:t>)</w:t>
      </w:r>
      <w:r w:rsidR="00E75685" w:rsidRPr="001455DC">
        <w:t>.</w:t>
      </w:r>
    </w:p>
    <w:p w14:paraId="0A86A3C7" w14:textId="5D6E8E5D" w:rsidR="00D163D6" w:rsidRPr="001455DC" w:rsidRDefault="00E75685" w:rsidP="00E844D2">
      <w:pPr>
        <w:pStyle w:val="a7"/>
        <w:keepNext/>
      </w:pPr>
      <w:r w:rsidRPr="001455DC">
        <w:t>T</w:t>
      </w:r>
      <w:r w:rsidR="004E22C1" w:rsidRPr="001455DC">
        <w:t xml:space="preserve">he shear </w:t>
      </w:r>
      <w:r w:rsidRPr="001455DC">
        <w:t xml:space="preserve">resistance </w:t>
      </w:r>
      <w:r w:rsidR="004E22C1" w:rsidRPr="001455DC">
        <w:t xml:space="preserve">may be </w:t>
      </w:r>
      <w:r w:rsidRPr="001455DC">
        <w:t>checked</w:t>
      </w:r>
      <w:r w:rsidR="004E22C1" w:rsidRPr="001455DC">
        <w:t xml:space="preserve"> by</w:t>
      </w:r>
      <w:r w:rsidRPr="001455DC">
        <w:t xml:space="preserve"> the verification of the principal stresse</w:t>
      </w:r>
      <w:r w:rsidR="004E22C1" w:rsidRPr="001455DC">
        <w:t>:</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D163D6" w:rsidRPr="001455DC" w14:paraId="10304027" w14:textId="77777777" w:rsidTr="00D163D6">
        <w:trPr>
          <w:cantSplit/>
        </w:trPr>
        <w:tc>
          <w:tcPr>
            <w:tcW w:w="8505" w:type="dxa"/>
            <w:vAlign w:val="center"/>
          </w:tcPr>
          <w:p w14:paraId="6A45C801" w14:textId="4BAF227B" w:rsidR="00E75685" w:rsidRPr="001455DC" w:rsidRDefault="00231E33">
            <w:pPr>
              <w:pStyle w:val="Formula"/>
              <w:jc w:val="left"/>
            </w:pPr>
            <m:oMath>
              <m:sSub>
                <m:sSubPr>
                  <m:ctrlPr>
                    <w:rPr>
                      <w:rFonts w:ascii="Cambria Math" w:hAnsi="Cambria Math"/>
                      <w:i/>
                    </w:rPr>
                  </m:ctrlPr>
                </m:sSubPr>
                <m:e>
                  <m:r>
                    <w:rPr>
                      <w:rFonts w:ascii="Cambria Math" w:hAnsi="Cambria Math"/>
                    </w:rPr>
                    <m:t>σ</m:t>
                  </m:r>
                </m:e>
                <m:sub>
                  <m:r>
                    <w:rPr>
                      <w:rFonts w:ascii="Cambria Math" w:hAnsi="Cambria Math"/>
                    </w:rPr>
                    <m:t>1d</m:t>
                  </m:r>
                </m:sub>
              </m:sSub>
              <m:d>
                <m:dPr>
                  <m:ctrlPr>
                    <w:rPr>
                      <w:rFonts w:ascii="Cambria Math" w:hAnsi="Cambria Math"/>
                      <w:i/>
                    </w:rPr>
                  </m:ctrlPr>
                </m:dPr>
                <m:e>
                  <m:r>
                    <w:rPr>
                      <w:rFonts w:ascii="Cambria Math" w:hAnsi="Cambria Math"/>
                    </w:rPr>
                    <m:t>y</m:t>
                  </m:r>
                </m:e>
              </m:d>
              <m:r>
                <w:rPr>
                  <w:rFonts w:ascii="Cambria Math" w:hAnsi="Cambria Math"/>
                </w:rPr>
                <m:t>≤</m:t>
              </m:r>
              <m:f>
                <m:fPr>
                  <m:ctrlPr>
                    <w:rPr>
                      <w:rFonts w:ascii="Cambria Math" w:hAnsi="Cambria Math"/>
                      <w:i/>
                    </w:rPr>
                  </m:ctrlPr>
                </m:fPr>
                <m:num>
                  <m:sSub>
                    <m:sSubPr>
                      <m:ctrlPr>
                        <w:rPr>
                          <w:rFonts w:ascii="Cambria Math" w:hAnsi="Cambria Math"/>
                        </w:rPr>
                      </m:ctrlPr>
                    </m:sSubPr>
                    <m:e>
                      <m:r>
                        <w:rPr>
                          <w:rFonts w:ascii="Cambria Math" w:hAnsi="Cambria Math"/>
                        </w:rPr>
                        <m:t>f</m:t>
                      </m:r>
                    </m:e>
                    <m:sub>
                      <m:r>
                        <m:rPr>
                          <m:sty m:val="p"/>
                        </m:rPr>
                        <w:rPr>
                          <w:rFonts w:ascii="Cambria Math" w:hAnsi="Cambria Math"/>
                        </w:rPr>
                        <m:t>ctk,0,05</m:t>
                      </m:r>
                    </m:sub>
                  </m:sSub>
                </m:num>
                <m:den>
                  <m:sSub>
                    <m:sSubPr>
                      <m:ctrlPr>
                        <w:rPr>
                          <w:rFonts w:ascii="Cambria Math" w:hAnsi="Cambria Math"/>
                          <w:i/>
                        </w:rPr>
                      </m:ctrlPr>
                    </m:sSubPr>
                    <m:e>
                      <m:r>
                        <w:rPr>
                          <w:rFonts w:ascii="Cambria Math" w:hAnsi="Cambria Math"/>
                        </w:rPr>
                        <m:t>γ</m:t>
                      </m:r>
                    </m:e>
                    <m:sub>
                      <m:r>
                        <w:rPr>
                          <w:rFonts w:ascii="Cambria Math" w:hAnsi="Cambria Math"/>
                        </w:rPr>
                        <m:t>c</m:t>
                      </m:r>
                    </m:sub>
                  </m:sSub>
                </m:den>
              </m:f>
            </m:oMath>
            <w:r w:rsidR="00E75685" w:rsidRPr="001455DC">
              <w:rPr>
                <w:rFonts w:ascii="Cambria Math" w:hAnsi="Cambria Math"/>
              </w:rPr>
              <w:t xml:space="preserve"> </w:t>
            </w:r>
          </w:p>
        </w:tc>
        <w:tc>
          <w:tcPr>
            <w:tcW w:w="1247" w:type="dxa"/>
            <w:vAlign w:val="center"/>
          </w:tcPr>
          <w:p w14:paraId="1216CFD8" w14:textId="074DA2E0" w:rsidR="00D163D6" w:rsidRPr="001455DC" w:rsidRDefault="00D163D6" w:rsidP="00D163D6">
            <w:pPr>
              <w:pStyle w:val="a7"/>
              <w:jc w:val="right"/>
            </w:pPr>
            <w:r w:rsidRPr="001455DC">
              <w:t>(13.10)</w:t>
            </w:r>
          </w:p>
        </w:tc>
      </w:tr>
    </w:tbl>
    <w:p w14:paraId="56EA406A" w14:textId="69BBEC84" w:rsidR="00D163D6" w:rsidRPr="001455DC" w:rsidRDefault="00D163D6"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D163D6" w:rsidRPr="001455DC" w14:paraId="42BC8D7B" w14:textId="77777777" w:rsidTr="00D163D6">
        <w:trPr>
          <w:cantSplit/>
        </w:trPr>
        <w:tc>
          <w:tcPr>
            <w:tcW w:w="567" w:type="dxa"/>
          </w:tcPr>
          <w:p w14:paraId="0B4A9969" w14:textId="331705D7" w:rsidR="00D163D6" w:rsidRPr="001455DC" w:rsidRDefault="00231E33" w:rsidP="00D163D6">
            <w:pPr>
              <w:pStyle w:val="Tablebody"/>
            </w:pPr>
            <m:oMathPara>
              <m:oMath>
                <m:sSub>
                  <m:sSubPr>
                    <m:ctrlPr>
                      <w:rPr>
                        <w:rFonts w:ascii="Cambria Math" w:hAnsi="Cambria Math"/>
                        <w:i/>
                      </w:rPr>
                    </m:ctrlPr>
                  </m:sSubPr>
                  <m:e>
                    <m:r>
                      <w:rPr>
                        <w:rFonts w:ascii="Cambria Math" w:hAnsi="Cambria Math"/>
                      </w:rPr>
                      <m:t>σ</m:t>
                    </m:r>
                  </m:e>
                  <m:sub>
                    <m:r>
                      <w:rPr>
                        <w:rFonts w:ascii="Cambria Math" w:hAnsi="Cambria Math"/>
                      </w:rPr>
                      <m:t>1d</m:t>
                    </m:r>
                  </m:sub>
                </m:sSub>
                <m:d>
                  <m:dPr>
                    <m:ctrlPr>
                      <w:rPr>
                        <w:rFonts w:ascii="Cambria Math" w:hAnsi="Cambria Math"/>
                        <w:i/>
                      </w:rPr>
                    </m:ctrlPr>
                  </m:dPr>
                  <m:e>
                    <m:r>
                      <w:rPr>
                        <w:rFonts w:ascii="Cambria Math" w:hAnsi="Cambria Math"/>
                      </w:rPr>
                      <m:t>y</m:t>
                    </m:r>
                  </m:e>
                </m:d>
              </m:oMath>
            </m:oMathPara>
          </w:p>
        </w:tc>
        <w:tc>
          <w:tcPr>
            <w:tcW w:w="8845" w:type="dxa"/>
          </w:tcPr>
          <w:p w14:paraId="47EBF902" w14:textId="36F9F54B" w:rsidR="00D163D6" w:rsidRPr="001455DC" w:rsidRDefault="004E5733">
            <w:pPr>
              <w:pStyle w:val="Tablebody"/>
            </w:pPr>
            <w:r w:rsidRPr="001455DC">
              <w:t>is the maximum value of the principal tensile stress in the concrete cross section,</w:t>
            </w:r>
          </w:p>
        </w:tc>
      </w:tr>
    </w:tbl>
    <w:p w14:paraId="75CB9542" w14:textId="77777777" w:rsidR="004E5733" w:rsidRPr="001455DC" w:rsidRDefault="004E5733" w:rsidP="00D163D6">
      <w:pPr>
        <w:pStyle w:val="a7"/>
      </w:pP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E5733" w:rsidRPr="001455DC" w14:paraId="6F8EB4B1" w14:textId="77777777" w:rsidTr="008D528C">
        <w:trPr>
          <w:cantSplit/>
        </w:trPr>
        <w:tc>
          <w:tcPr>
            <w:tcW w:w="8505" w:type="dxa"/>
            <w:vAlign w:val="center"/>
          </w:tcPr>
          <w:p w14:paraId="3FF81FE1" w14:textId="7CF4528D" w:rsidR="004E5733" w:rsidRPr="001455DC" w:rsidRDefault="004E5733" w:rsidP="008D528C">
            <w:pPr>
              <w:pStyle w:val="Formula"/>
              <w:jc w:val="left"/>
            </w:pPr>
            <w:r w:rsidRPr="009D3012">
              <w:rPr>
                <w:position w:val="-32"/>
              </w:rPr>
              <w:object w:dxaOrig="3760" w:dyaOrig="840" w14:anchorId="092F76FC">
                <v:shape id="_x0000_i1281" type="#_x0000_t75" style="width:152.25pt;height:35.25pt" o:ole="">
                  <v:imagedata r:id="rId532" o:title=""/>
                </v:shape>
                <o:OLEObject Type="Embed" ProgID="Equation.DSMT4" ShapeID="_x0000_i1281" DrawAspect="Content" ObjectID="_1692169478" r:id="rId533"/>
              </w:object>
            </w:r>
          </w:p>
        </w:tc>
        <w:tc>
          <w:tcPr>
            <w:tcW w:w="1247" w:type="dxa"/>
            <w:vAlign w:val="center"/>
          </w:tcPr>
          <w:p w14:paraId="2CEBDD1F" w14:textId="4ADE43FA" w:rsidR="004E5733" w:rsidRPr="001455DC" w:rsidRDefault="004E5733">
            <w:pPr>
              <w:pStyle w:val="a7"/>
              <w:jc w:val="right"/>
            </w:pPr>
            <w:r w:rsidRPr="001455DC">
              <w:t>(13.11)</w:t>
            </w:r>
          </w:p>
        </w:tc>
      </w:tr>
    </w:tbl>
    <w:p w14:paraId="00F068DC" w14:textId="77777777" w:rsidR="004E5733" w:rsidRPr="001455DC" w:rsidRDefault="004E5733" w:rsidP="00D163D6">
      <w:pPr>
        <w:pStyle w:val="a7"/>
      </w:pPr>
    </w:p>
    <w:tbl>
      <w:tblPr>
        <w:tblW w:w="9412" w:type="dxa"/>
        <w:tblInd w:w="397" w:type="dxa"/>
        <w:tblLayout w:type="fixed"/>
        <w:tblCellMar>
          <w:left w:w="28" w:type="dxa"/>
          <w:right w:w="28" w:type="dxa"/>
        </w:tblCellMar>
        <w:tblLook w:val="04A0" w:firstRow="1" w:lastRow="0" w:firstColumn="1" w:lastColumn="0" w:noHBand="0" w:noVBand="1"/>
      </w:tblPr>
      <w:tblGrid>
        <w:gridCol w:w="907"/>
        <w:gridCol w:w="8505"/>
      </w:tblGrid>
      <w:tr w:rsidR="004E5733" w:rsidRPr="001455DC" w14:paraId="22B2A977" w14:textId="77777777" w:rsidTr="009D3012">
        <w:trPr>
          <w:cantSplit/>
        </w:trPr>
        <w:tc>
          <w:tcPr>
            <w:tcW w:w="907" w:type="dxa"/>
          </w:tcPr>
          <w:p w14:paraId="58F40FE2" w14:textId="35C3F974" w:rsidR="004E5733" w:rsidRPr="001455DC" w:rsidRDefault="004E5733" w:rsidP="008D528C">
            <w:pPr>
              <w:pStyle w:val="Tablebody"/>
            </w:pPr>
            <w:r w:rsidRPr="009D3012">
              <w:rPr>
                <w:i/>
                <w:iCs/>
              </w:rPr>
              <w:sym w:font="Symbol" w:char="F073"/>
            </w:r>
            <w:r w:rsidRPr="009D3012">
              <w:rPr>
                <w:vertAlign w:val="subscript"/>
              </w:rPr>
              <w:t>x,Ed</w:t>
            </w:r>
            <w:r w:rsidRPr="009D3012">
              <w:t>(</w:t>
            </w:r>
            <w:r w:rsidRPr="009D3012">
              <w:rPr>
                <w:i/>
                <w:iCs/>
              </w:rPr>
              <w:t>y</w:t>
            </w:r>
            <w:r w:rsidRPr="009D3012">
              <w:t>)</w:t>
            </w:r>
          </w:p>
        </w:tc>
        <w:tc>
          <w:tcPr>
            <w:tcW w:w="8505" w:type="dxa"/>
          </w:tcPr>
          <w:p w14:paraId="26122F70" w14:textId="7E7A03D1" w:rsidR="004E5733" w:rsidRPr="009D3012" w:rsidRDefault="004E5733" w:rsidP="009D3012">
            <w:pPr>
              <w:ind w:left="113"/>
            </w:pPr>
            <w:r w:rsidRPr="009D3012">
              <w:t xml:space="preserve">is the normal stress in the longitudinal direction of the structure determined in a fibre at distance </w:t>
            </w:r>
            <w:r w:rsidRPr="009D3012">
              <w:rPr>
                <w:i/>
                <w:iCs/>
              </w:rPr>
              <w:t>y</w:t>
            </w:r>
            <w:r w:rsidRPr="009D3012">
              <w:t xml:space="preserve"> from the centroidal axis, assuming linear stress distribution </w:t>
            </w:r>
            <w:r w:rsidRPr="009D3012">
              <w:rPr>
                <w:rFonts w:cs="Arial"/>
              </w:rPr>
              <w:t xml:space="preserve">over the depth. For cross sections within the transmission length of pre-tensioning tendons </w:t>
            </w:r>
            <w:r w:rsidRPr="009D3012">
              <w:rPr>
                <w:rFonts w:ascii="Times New Roman" w:hAnsi="Times New Roman"/>
                <w:i/>
              </w:rPr>
              <w:t>l</w:t>
            </w:r>
            <w:r w:rsidRPr="009D3012">
              <w:rPr>
                <w:rFonts w:cs="Arial"/>
                <w:iCs/>
                <w:vertAlign w:val="subscript"/>
              </w:rPr>
              <w:t>pt2</w:t>
            </w:r>
            <w:r w:rsidRPr="009D3012">
              <w:rPr>
                <w:rFonts w:cs="Arial"/>
              </w:rPr>
              <w:t xml:space="preserve"> according to Formula (13.7), the contribution of the related prestressing force to </w:t>
            </w:r>
            <w:r w:rsidRPr="009D3012">
              <w:rPr>
                <w:rFonts w:cs="Arial"/>
                <w:i/>
              </w:rPr>
              <w:t>N</w:t>
            </w:r>
            <w:r w:rsidRPr="009D3012">
              <w:rPr>
                <w:rFonts w:cs="Arial"/>
                <w:vertAlign w:val="subscript"/>
              </w:rPr>
              <w:t>Ed</w:t>
            </w:r>
            <w:r w:rsidRPr="009D3012">
              <w:rPr>
                <w:rFonts w:cs="Arial"/>
              </w:rPr>
              <w:t xml:space="preserve"> and </w:t>
            </w:r>
            <w:r w:rsidRPr="009D3012">
              <w:rPr>
                <w:rFonts w:cs="Arial"/>
                <w:i/>
              </w:rPr>
              <w:t>M</w:t>
            </w:r>
            <w:r w:rsidRPr="009D3012">
              <w:rPr>
                <w:rFonts w:cs="Arial"/>
                <w:vertAlign w:val="subscript"/>
              </w:rPr>
              <w:t>Ed</w:t>
            </w:r>
            <w:r w:rsidRPr="009D3012">
              <w:rPr>
                <w:rFonts w:cs="Arial"/>
              </w:rPr>
              <w:t xml:space="preserve"> should be considered with a linear distribution according to Figure 13.3;</w:t>
            </w:r>
          </w:p>
        </w:tc>
      </w:tr>
      <w:tr w:rsidR="004E5733" w:rsidRPr="001455DC" w14:paraId="2CE711E1" w14:textId="77777777" w:rsidTr="009D3012">
        <w:trPr>
          <w:cantSplit/>
        </w:trPr>
        <w:tc>
          <w:tcPr>
            <w:tcW w:w="907" w:type="dxa"/>
          </w:tcPr>
          <w:p w14:paraId="7F14D816" w14:textId="37A9987B" w:rsidR="004E5733" w:rsidRPr="001455DC" w:rsidRDefault="004E5733" w:rsidP="008D528C">
            <w:pPr>
              <w:pStyle w:val="Tablebody"/>
              <w:rPr>
                <w:rFonts w:eastAsia="MS Mincho"/>
              </w:rPr>
            </w:pPr>
            <w:r w:rsidRPr="009D3012">
              <w:rPr>
                <w:i/>
                <w:iCs/>
              </w:rPr>
              <w:sym w:font="Symbol" w:char="F074"/>
            </w:r>
            <w:r w:rsidRPr="009D3012">
              <w:rPr>
                <w:vertAlign w:val="subscript"/>
              </w:rPr>
              <w:t>Ed</w:t>
            </w:r>
            <w:r w:rsidRPr="009D3012">
              <w:t>(</w:t>
            </w:r>
            <w:r w:rsidRPr="009D3012">
              <w:rPr>
                <w:i/>
                <w:iCs/>
              </w:rPr>
              <w:t>y</w:t>
            </w:r>
            <w:r w:rsidRPr="009D3012">
              <w:t xml:space="preserve">) </w:t>
            </w:r>
            <w:r w:rsidRPr="009D3012">
              <w:tab/>
            </w:r>
          </w:p>
        </w:tc>
        <w:tc>
          <w:tcPr>
            <w:tcW w:w="8505" w:type="dxa"/>
          </w:tcPr>
          <w:p w14:paraId="5DB2BC1A" w14:textId="65A18731" w:rsidR="004E5733" w:rsidRPr="009D3012" w:rsidRDefault="004E5733" w:rsidP="009D3012">
            <w:pPr>
              <w:ind w:left="113"/>
            </w:pPr>
            <w:r w:rsidRPr="009D3012">
              <w:t xml:space="preserve">is the shear stress in a fibre at distance </w:t>
            </w:r>
            <w:r w:rsidRPr="009D3012">
              <w:rPr>
                <w:i/>
                <w:iCs/>
              </w:rPr>
              <w:t>y</w:t>
            </w:r>
            <w:r w:rsidRPr="009D3012">
              <w:t xml:space="preserve"> from the centroidal axis: </w:t>
            </w:r>
          </w:p>
        </w:tc>
      </w:tr>
    </w:tbl>
    <w:p w14:paraId="2DD72F46" w14:textId="77777777" w:rsidR="004E5733" w:rsidRPr="001455DC" w:rsidRDefault="004E5733"/>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E5733" w:rsidRPr="001455DC" w14:paraId="47BE77DC" w14:textId="77777777" w:rsidTr="008D528C">
        <w:trPr>
          <w:cantSplit/>
        </w:trPr>
        <w:tc>
          <w:tcPr>
            <w:tcW w:w="8505" w:type="dxa"/>
            <w:vAlign w:val="center"/>
          </w:tcPr>
          <w:p w14:paraId="76F36ED3" w14:textId="501A1C26" w:rsidR="004E5733" w:rsidRPr="001455DC" w:rsidRDefault="004E5733" w:rsidP="008D528C">
            <w:pPr>
              <w:pStyle w:val="Formula"/>
              <w:jc w:val="left"/>
            </w:pPr>
            <w:r w:rsidRPr="009D3012">
              <w:rPr>
                <w:position w:val="-30"/>
              </w:rPr>
              <w:object w:dxaOrig="1820" w:dyaOrig="680" w14:anchorId="219AF0F1">
                <v:shape id="_x0000_i1282" type="#_x0000_t75" style="width:79.5pt;height:28.5pt" o:ole="">
                  <v:imagedata r:id="rId534" o:title=""/>
                </v:shape>
                <o:OLEObject Type="Embed" ProgID="Equation.DSMT4" ShapeID="_x0000_i1282" DrawAspect="Content" ObjectID="_1692169479" r:id="rId535"/>
              </w:object>
            </w:r>
          </w:p>
        </w:tc>
        <w:tc>
          <w:tcPr>
            <w:tcW w:w="1247" w:type="dxa"/>
            <w:vAlign w:val="center"/>
          </w:tcPr>
          <w:p w14:paraId="73EF8B43" w14:textId="786403FE" w:rsidR="004E5733" w:rsidRPr="001455DC" w:rsidRDefault="004E5733">
            <w:pPr>
              <w:pStyle w:val="a7"/>
              <w:jc w:val="right"/>
            </w:pPr>
            <w:r w:rsidRPr="001455DC">
              <w:t>(13.12)</w:t>
            </w:r>
          </w:p>
        </w:tc>
      </w:tr>
    </w:tbl>
    <w:p w14:paraId="5975598B" w14:textId="1AC5B5AB" w:rsidR="004E5733" w:rsidRPr="001455DC" w:rsidRDefault="004E5733">
      <w:r w:rsidRPr="001455DC">
        <w:br w:type="page"/>
      </w:r>
    </w:p>
    <w:tbl>
      <w:tblPr>
        <w:tblW w:w="9412" w:type="dxa"/>
        <w:tblInd w:w="397" w:type="dxa"/>
        <w:tblLayout w:type="fixed"/>
        <w:tblCellMar>
          <w:left w:w="28" w:type="dxa"/>
          <w:right w:w="28" w:type="dxa"/>
        </w:tblCellMar>
        <w:tblLook w:val="04A0" w:firstRow="1" w:lastRow="0" w:firstColumn="1" w:lastColumn="0" w:noHBand="0" w:noVBand="1"/>
      </w:tblPr>
      <w:tblGrid>
        <w:gridCol w:w="907"/>
        <w:gridCol w:w="8505"/>
      </w:tblGrid>
      <w:tr w:rsidR="004E5733" w:rsidRPr="001455DC" w14:paraId="79C0FD6D" w14:textId="77777777" w:rsidTr="004E5733">
        <w:trPr>
          <w:cantSplit/>
        </w:trPr>
        <w:tc>
          <w:tcPr>
            <w:tcW w:w="907" w:type="dxa"/>
          </w:tcPr>
          <w:p w14:paraId="67EFF20E" w14:textId="257A21F4" w:rsidR="004E5733" w:rsidRPr="001455DC" w:rsidRDefault="004E5733" w:rsidP="008D528C">
            <w:pPr>
              <w:pStyle w:val="Tablebody"/>
              <w:rPr>
                <w:rFonts w:eastAsia="MS Mincho"/>
              </w:rPr>
            </w:pPr>
            <w:r w:rsidRPr="009D3012">
              <w:rPr>
                <w:rFonts w:ascii="Times New Roman" w:hAnsi="Times New Roman"/>
                <w:i/>
                <w:iCs/>
              </w:rPr>
              <w:t>I</w:t>
            </w:r>
          </w:p>
        </w:tc>
        <w:tc>
          <w:tcPr>
            <w:tcW w:w="8505" w:type="dxa"/>
          </w:tcPr>
          <w:p w14:paraId="7B25F1FA" w14:textId="65739802" w:rsidR="004E5733" w:rsidRPr="009D3012" w:rsidRDefault="004E5733" w:rsidP="009D3012">
            <w:pPr>
              <w:ind w:left="113"/>
              <w:rPr>
                <w:i/>
                <w:iCs/>
              </w:rPr>
            </w:pPr>
            <w:r w:rsidRPr="009D3012">
              <w:t>is the second moment of area of the concrete cross section;</w:t>
            </w:r>
          </w:p>
        </w:tc>
      </w:tr>
      <w:tr w:rsidR="004E5733" w:rsidRPr="001455DC" w14:paraId="426B19DF" w14:textId="77777777" w:rsidTr="004E5733">
        <w:trPr>
          <w:cantSplit/>
        </w:trPr>
        <w:tc>
          <w:tcPr>
            <w:tcW w:w="907" w:type="dxa"/>
          </w:tcPr>
          <w:p w14:paraId="01B50BFF" w14:textId="47CBE7AE" w:rsidR="004E5733" w:rsidRPr="001455DC" w:rsidRDefault="004E5733" w:rsidP="008D528C">
            <w:pPr>
              <w:pStyle w:val="Tablebody"/>
              <w:rPr>
                <w:rFonts w:eastAsia="MS Mincho"/>
              </w:rPr>
            </w:pPr>
            <w:r w:rsidRPr="009D3012">
              <w:rPr>
                <w:i/>
                <w:iCs/>
              </w:rPr>
              <w:t>b</w:t>
            </w:r>
            <w:r w:rsidRPr="009D3012">
              <w:t>(</w:t>
            </w:r>
            <w:r w:rsidRPr="009D3012">
              <w:rPr>
                <w:i/>
                <w:iCs/>
              </w:rPr>
              <w:t>y</w:t>
            </w:r>
            <w:r w:rsidRPr="009D3012">
              <w:t>)</w:t>
            </w:r>
          </w:p>
        </w:tc>
        <w:tc>
          <w:tcPr>
            <w:tcW w:w="8505" w:type="dxa"/>
          </w:tcPr>
          <w:p w14:paraId="1999F57A" w14:textId="36D9C8AD" w:rsidR="004E5733" w:rsidRPr="009D3012" w:rsidRDefault="004E5733" w:rsidP="009D3012">
            <w:pPr>
              <w:ind w:left="113"/>
            </w:pPr>
            <w:r w:rsidRPr="009D3012">
              <w:t xml:space="preserve">is </w:t>
            </w:r>
            <w:r w:rsidR="00B10711" w:rsidRPr="001455DC">
              <w:t xml:space="preserve">the width of the concrete cross </w:t>
            </w:r>
            <w:r w:rsidRPr="009D3012">
              <w:t xml:space="preserve">section at a distance </w:t>
            </w:r>
            <w:r w:rsidRPr="009D3012">
              <w:rPr>
                <w:i/>
                <w:iCs/>
              </w:rPr>
              <w:t>y</w:t>
            </w:r>
            <w:r w:rsidRPr="009D3012">
              <w:t xml:space="preserve"> from the centroidal axis; </w:t>
            </w:r>
          </w:p>
        </w:tc>
      </w:tr>
      <w:tr w:rsidR="004E5733" w:rsidRPr="001455DC" w14:paraId="63F721F5" w14:textId="77777777" w:rsidTr="004E5733">
        <w:trPr>
          <w:cantSplit/>
        </w:trPr>
        <w:tc>
          <w:tcPr>
            <w:tcW w:w="907" w:type="dxa"/>
          </w:tcPr>
          <w:p w14:paraId="2A23CB31" w14:textId="319F6CD8" w:rsidR="004E5733" w:rsidRPr="001455DC" w:rsidRDefault="004E5733" w:rsidP="008D528C">
            <w:pPr>
              <w:pStyle w:val="Tablebody"/>
              <w:rPr>
                <w:rFonts w:eastAsia="MS Mincho"/>
              </w:rPr>
            </w:pPr>
            <w:r w:rsidRPr="009D3012">
              <w:rPr>
                <w:i/>
                <w:iCs/>
              </w:rPr>
              <w:t>S</w:t>
            </w:r>
            <w:r w:rsidRPr="009D3012">
              <w:t>(</w:t>
            </w:r>
            <w:r w:rsidRPr="009D3012">
              <w:rPr>
                <w:i/>
                <w:iCs/>
              </w:rPr>
              <w:t>y</w:t>
            </w:r>
            <w:r w:rsidRPr="009D3012">
              <w:t>)</w:t>
            </w:r>
          </w:p>
        </w:tc>
        <w:tc>
          <w:tcPr>
            <w:tcW w:w="8505" w:type="dxa"/>
          </w:tcPr>
          <w:p w14:paraId="3A36D0DB" w14:textId="70EF03AC" w:rsidR="004E5733" w:rsidRPr="009D3012" w:rsidRDefault="004E5733" w:rsidP="009D3012">
            <w:pPr>
              <w:ind w:left="113"/>
              <w:rPr>
                <w:i/>
                <w:iCs/>
              </w:rPr>
            </w:pPr>
            <w:r w:rsidRPr="009D3012">
              <w:t xml:space="preserve">is the first moment of area of the concrete cross section above the fibre at distance </w:t>
            </w:r>
            <w:r w:rsidRPr="009D3012">
              <w:rPr>
                <w:i/>
                <w:iCs/>
              </w:rPr>
              <w:t>y</w:t>
            </w:r>
            <w:r w:rsidRPr="009D3012">
              <w:t xml:space="preserve"> for the centroidal axis taken about the centroidal axis;</w:t>
            </w:r>
          </w:p>
        </w:tc>
      </w:tr>
      <w:tr w:rsidR="004E5733" w:rsidRPr="001455DC" w14:paraId="2A59D42B" w14:textId="77777777" w:rsidTr="004E5733">
        <w:trPr>
          <w:cantSplit/>
        </w:trPr>
        <w:tc>
          <w:tcPr>
            <w:tcW w:w="907" w:type="dxa"/>
          </w:tcPr>
          <w:p w14:paraId="4D64B760" w14:textId="1E03B544" w:rsidR="004E5733" w:rsidRPr="001455DC" w:rsidRDefault="004E5733" w:rsidP="008D528C">
            <w:pPr>
              <w:pStyle w:val="Tablebody"/>
              <w:rPr>
                <w:rFonts w:eastAsia="MS Mincho"/>
              </w:rPr>
            </w:pPr>
            <w:r w:rsidRPr="009D3012">
              <w:rPr>
                <w:i/>
                <w:iCs/>
              </w:rPr>
              <w:t>y</w:t>
            </w:r>
          </w:p>
        </w:tc>
        <w:tc>
          <w:tcPr>
            <w:tcW w:w="8505" w:type="dxa"/>
          </w:tcPr>
          <w:p w14:paraId="2BDBCD25" w14:textId="786D2312" w:rsidR="004E5733" w:rsidRPr="009D3012" w:rsidRDefault="004E5733" w:rsidP="009D3012">
            <w:pPr>
              <w:ind w:left="113"/>
              <w:rPr>
                <w:i/>
                <w:iCs/>
              </w:rPr>
            </w:pPr>
            <w:r w:rsidRPr="009D3012">
              <w:t xml:space="preserve">is the distance from the considered fibre considered to centroidal axis of the concrete cross section, </w:t>
            </w:r>
            <w:r w:rsidRPr="009D3012">
              <w:rPr>
                <w:i/>
                <w:iCs/>
              </w:rPr>
              <w:t>y</w:t>
            </w:r>
            <w:r w:rsidRPr="009D3012">
              <w:t xml:space="preserve"> should be choose so that the maximum value of </w:t>
            </w:r>
            <w:r w:rsidRPr="009D3012">
              <w:rPr>
                <w:i/>
                <w:iCs/>
              </w:rPr>
              <w:sym w:font="Symbol" w:char="F073"/>
            </w:r>
            <w:r w:rsidRPr="009D3012">
              <w:rPr>
                <w:vertAlign w:val="subscript"/>
              </w:rPr>
              <w:t>1,Ed</w:t>
            </w:r>
            <w:r w:rsidRPr="009D3012">
              <w:t xml:space="preserve"> is found,</w:t>
            </w:r>
          </w:p>
        </w:tc>
      </w:tr>
    </w:tbl>
    <w:p w14:paraId="127B4F22" w14:textId="1E7B515C" w:rsidR="004E22C1" w:rsidRPr="001455DC" w:rsidRDefault="00215B3F" w:rsidP="00D163D6">
      <w:pPr>
        <w:pStyle w:val="a7"/>
      </w:pPr>
      <w:r w:rsidRPr="009D3012">
        <w:t>Shear stresses due to transverse bending, for example near flexible supports, and/or due to the dispersion of tendon anchorage forces should be considered.</w:t>
      </w:r>
    </w:p>
    <w:p w14:paraId="1F978234" w14:textId="4794DFE1" w:rsidR="004E22C1" w:rsidRPr="001455DC" w:rsidRDefault="004E22C1" w:rsidP="006D682B">
      <w:pPr>
        <w:pStyle w:val="21"/>
      </w:pPr>
      <w:bookmarkStart w:id="1066" w:name="_Toc52820097"/>
      <w:bookmarkStart w:id="1067" w:name="_Toc54337498"/>
      <w:bookmarkStart w:id="1068" w:name="_Toc54338153"/>
      <w:bookmarkStart w:id="1069" w:name="_Toc67565491"/>
      <w:r w:rsidRPr="001455DC">
        <w:t>Floor systems for buildings</w:t>
      </w:r>
      <w:bookmarkEnd w:id="1066"/>
      <w:bookmarkEnd w:id="1067"/>
      <w:bookmarkEnd w:id="1068"/>
      <w:bookmarkEnd w:id="1069"/>
    </w:p>
    <w:p w14:paraId="126AB6DF" w14:textId="355D975A" w:rsidR="004E22C1" w:rsidRPr="001455DC" w:rsidRDefault="004E22C1" w:rsidP="00243590">
      <w:pPr>
        <w:pStyle w:val="31"/>
      </w:pPr>
      <w:bookmarkStart w:id="1070" w:name="_Toc52820098"/>
      <w:bookmarkStart w:id="1071" w:name="_Toc54337499"/>
      <w:bookmarkStart w:id="1072" w:name="_Toc54338154"/>
      <w:bookmarkStart w:id="1073" w:name="_Toc67565492"/>
      <w:r w:rsidRPr="001455DC">
        <w:t>Transverse distribution of loads</w:t>
      </w:r>
      <w:bookmarkEnd w:id="1070"/>
      <w:bookmarkEnd w:id="1071"/>
      <w:bookmarkEnd w:id="1072"/>
      <w:bookmarkEnd w:id="1073"/>
    </w:p>
    <w:p w14:paraId="22F64269" w14:textId="77777777" w:rsidR="004E22C1" w:rsidRPr="001455DC" w:rsidRDefault="004E22C1" w:rsidP="00D163D6">
      <w:pPr>
        <w:pStyle w:val="a7"/>
      </w:pPr>
      <w:r w:rsidRPr="001455DC">
        <w:t>(1)</w:t>
      </w:r>
      <w:r w:rsidRPr="001455DC">
        <w:tab/>
        <w:t>Where transverse load distribution between adjacent elements has been taken into account, appropriate shear connections shall be provided across the longitudinal joints.</w:t>
      </w:r>
    </w:p>
    <w:p w14:paraId="5C5E6EDD" w14:textId="77777777" w:rsidR="004E22C1" w:rsidRPr="001455DC" w:rsidRDefault="004E22C1" w:rsidP="00D163D6">
      <w:pPr>
        <w:pStyle w:val="a7"/>
      </w:pPr>
      <w:r w:rsidRPr="001455DC">
        <w:t>(2)</w:t>
      </w:r>
      <w:r w:rsidRPr="001455DC">
        <w:tab/>
        <w:t>Transverse shear transfer across longitudinal joints between precast elements may be achieved as shown by examples in Figure 13.4.</w:t>
      </w:r>
    </w:p>
    <w:tbl>
      <w:tblPr>
        <w:tblW w:w="9752" w:type="dxa"/>
        <w:jc w:val="center"/>
        <w:tblLayout w:type="fixed"/>
        <w:tblLook w:val="0000" w:firstRow="0" w:lastRow="0" w:firstColumn="0" w:lastColumn="0" w:noHBand="0" w:noVBand="0"/>
      </w:tblPr>
      <w:tblGrid>
        <w:gridCol w:w="3250"/>
        <w:gridCol w:w="3251"/>
        <w:gridCol w:w="3251"/>
      </w:tblGrid>
      <w:tr w:rsidR="00D163D6" w:rsidRPr="001455DC" w14:paraId="78DFC36F" w14:textId="77777777" w:rsidTr="00D163D6">
        <w:trPr>
          <w:cantSplit/>
          <w:jc w:val="center"/>
        </w:trPr>
        <w:tc>
          <w:tcPr>
            <w:tcW w:w="3250" w:type="dxa"/>
            <w:vAlign w:val="center"/>
          </w:tcPr>
          <w:p w14:paraId="793AD2E6" w14:textId="07A21539" w:rsidR="00D163D6" w:rsidRPr="001455DC" w:rsidRDefault="00723CF7" w:rsidP="00D163D6">
            <w:pPr>
              <w:pStyle w:val="FigureImage"/>
            </w:pPr>
            <w:r>
              <w:rPr>
                <w:noProof/>
                <w:lang w:eastAsia="en-GB"/>
              </w:rPr>
              <w:fldChar w:fldCharType="begin"/>
            </w:r>
            <w:r>
              <w:rPr>
                <w:noProof/>
                <w:lang w:eastAsia="en-GB"/>
              </w:rPr>
              <w:instrText xml:space="preserve"> INCLUDEPICTURE  "Y:\\STD_MGT\\STDDEL\\PRODUCTION\\etrans\\Download\\Z_FIRST_DEL\\SV\\00250\\00250269\\41_e_dr\\13_004a.tif"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"Y:\\STD_MGT\\STDDEL\\PRODUCTION\\Standards\\00250\\269\\41_e_dr\\13_004a.tif"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"Y:\\STD_MGT\\STDDEL\\PRODUCTION\\Standards\\00250\\269\\41_e_dr\\13_004a.tif"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"Y:\\STD_MGT\\STDDEL\\PRODUCTION\\Standards\\00250\\269\\41_e_dr\\13_004a.tif"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"Y:\\STD_MGT\\STDDEL\\PRODUCTION\\Standards\\00250\\269\\41_e_dr\\13_004a.tif"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"Y:\\STD_MGT\\STDDEL\\PRODUCTION\\Standards\\00250\\269\\41_e_dr\\13_004a.tif"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"C:\\Users\\a.dionysiou\\AppData\\Local\\Temp\\Temp1_00250269_e_20210902.zip.zip\\41_e_dr\\13_004a.tif"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2B9004FF">
                <v:shape id="_x0000_i1283" type="#_x0000_t75" style="width:96.75pt;height:39.75pt">
                  <v:imagedata r:id="rId536" r:href="rId537"/>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3251" w:type="dxa"/>
            <w:vAlign w:val="center"/>
          </w:tcPr>
          <w:p w14:paraId="60B9B9F6" w14:textId="6DA8A9E3" w:rsidR="00D163D6" w:rsidRPr="001455DC" w:rsidRDefault="00723CF7" w:rsidP="00D163D6">
            <w:pPr>
              <w:pStyle w:val="FigureImage"/>
            </w:pPr>
            <w:r>
              <w:rPr>
                <w:noProof/>
                <w:lang w:eastAsia="en-GB"/>
              </w:rPr>
              <w:fldChar w:fldCharType="begin"/>
            </w:r>
            <w:r>
              <w:rPr>
                <w:noProof/>
                <w:lang w:eastAsia="en-GB"/>
              </w:rPr>
              <w:instrText xml:space="preserve"> INCLUDEPICTURE  "Y:\\STD_MGT\\STDDEL\\PRODUCTION\\etrans\\Download\\Z_FIRST_DEL\\SV\\00250\\00250269\\41_e_dr\\13_004b.tif"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"Y:\\STD_MGT\\STDDEL\\PRODUCTION\\Standards\\00250\\269\\41_e_dr\\13_004b.tif"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"Y:\\STD_MGT\\STDDEL\\PRODUCTION\\Standards\\00250\\269\\41_e_dr\\13_004b.tif"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"Y:\\STD_MGT\\STDDEL\\PRODUCTION\\Standards\\00250\\269\\41_e_dr\\13_004b.tif"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"Y:\\STD_MGT\\STDDEL\\PRODUCTION\\Standards\\00250\\269\\41_e_dr\\13_004b.tif"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"Y:\\STD_MGT\\STDDEL\\PRODUCTION\\Standards\\00250\\269\\41_e_dr\\13_004b.tif"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"C:\\Users\\a.dionysiou\\AppData\\Local\\Temp\\Temp1_00250269_e_20210902.zip.zip\\41_e_dr\\13_004b.tif"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4F1C6F0C">
                <v:shape id="_x0000_i1284" type="#_x0000_t75" style="width:129.75pt;height:39.75pt">
                  <v:imagedata r:id="rId538" r:href="rId539"/>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3251" w:type="dxa"/>
            <w:vAlign w:val="center"/>
          </w:tcPr>
          <w:p w14:paraId="50200EAC" w14:textId="2A1321BC" w:rsidR="00D163D6" w:rsidRPr="001455DC" w:rsidRDefault="00723CF7" w:rsidP="00D163D6">
            <w:pPr>
              <w:pStyle w:val="FigureImage"/>
            </w:pPr>
            <w:r>
              <w:rPr>
                <w:noProof/>
                <w:lang w:eastAsia="en-GB"/>
              </w:rPr>
              <w:fldChar w:fldCharType="begin"/>
            </w:r>
            <w:r>
              <w:rPr>
                <w:noProof/>
                <w:lang w:eastAsia="en-GB"/>
              </w:rPr>
              <w:instrText xml:space="preserve"> INCLUDEPICTURE  "Y:\\STD_MGT\\STDDEL\\PRODUCTION\\etrans\\Download\\Z_FIRST_DEL\\SV\\00250\\00250269\\41_e_dr\\13_004c.tif"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"Y:\\STD_MGT\\STDDEL\\PRODUCTION\\Standards\\00250\\269\\41_e_dr\\13_004c.tif"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"Y:\\STD_MGT\\STDDEL\\PRODUCTION\\Standards\\00250\\269\\41_e_dr\\13_004c.tif"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"Y:\\STD_MGT\\STDDEL\\PRODUCTION\\Standards\\00250\\269\\41_e_dr\\13_004c.tif"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"Y:\\STD_MGT\\STDDEL\\PRODUCTION\\Standards\\00250\\269\\41_e_dr\\13_004c.tif"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"Y:\\STD_MGT\\STDDEL\\PRODUCTION\\Standards\\00250\\269\\41_e_dr\\13_004c.tif"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"C:\\Users\\a.dionysiou\\AppData\\Local\\Temp\\Temp1_00250269_e_20210902.zip.zip\\41_e_dr\\13_004c.tif"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10DCF2FC">
                <v:shape id="_x0000_i1285" type="#_x0000_t75" style="width:129.75pt;height:39.75pt">
                  <v:imagedata r:id="rId540" r:href="rId541"/>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4E22C1" w:rsidRPr="001455DC" w14:paraId="2B5CCCA8" w14:textId="77777777" w:rsidTr="00D163D6">
        <w:trPr>
          <w:cantSplit/>
          <w:jc w:val="center"/>
        </w:trPr>
        <w:tc>
          <w:tcPr>
            <w:tcW w:w="3250" w:type="dxa"/>
            <w:vAlign w:val="center"/>
          </w:tcPr>
          <w:p w14:paraId="1FD1D210" w14:textId="77777777" w:rsidR="004E22C1" w:rsidRPr="009D3012" w:rsidRDefault="004E22C1" w:rsidP="00D163D6">
            <w:pPr>
              <w:pStyle w:val="FigureText"/>
              <w:jc w:val="center"/>
              <w:rPr>
                <w:bCs/>
              </w:rPr>
            </w:pPr>
            <w:r w:rsidRPr="009D3012">
              <w:rPr>
                <w:bCs/>
              </w:rPr>
              <w:t>a) longitudinal key infilled with mortar or concrete</w:t>
            </w:r>
          </w:p>
        </w:tc>
        <w:tc>
          <w:tcPr>
            <w:tcW w:w="3251" w:type="dxa"/>
            <w:vAlign w:val="center"/>
          </w:tcPr>
          <w:p w14:paraId="4F7471E6" w14:textId="67EFE76E" w:rsidR="004E22C1" w:rsidRPr="009D3012" w:rsidRDefault="004E22C1" w:rsidP="00D163D6">
            <w:pPr>
              <w:pStyle w:val="FigureText"/>
              <w:jc w:val="center"/>
              <w:rPr>
                <w:bCs/>
              </w:rPr>
            </w:pPr>
            <w:r w:rsidRPr="009D3012">
              <w:rPr>
                <w:bCs/>
              </w:rPr>
              <w:t>b) welded or bolted anchored plates</w:t>
            </w:r>
          </w:p>
        </w:tc>
        <w:tc>
          <w:tcPr>
            <w:tcW w:w="3251" w:type="dxa"/>
            <w:vAlign w:val="center"/>
          </w:tcPr>
          <w:p w14:paraId="41426656" w14:textId="70255DFB" w:rsidR="004E22C1" w:rsidRPr="009D3012" w:rsidRDefault="004E22C1" w:rsidP="00D163D6">
            <w:pPr>
              <w:pStyle w:val="FigureText"/>
              <w:jc w:val="center"/>
              <w:rPr>
                <w:bCs/>
              </w:rPr>
            </w:pPr>
            <w:r w:rsidRPr="009D3012">
              <w:rPr>
                <w:bCs/>
              </w:rPr>
              <w:t>c) structural reinforced</w:t>
            </w:r>
            <w:r w:rsidR="00D163D6" w:rsidRPr="009D3012">
              <w:rPr>
                <w:bCs/>
              </w:rPr>
              <w:t xml:space="preserve"> </w:t>
            </w:r>
            <w:r w:rsidRPr="009D3012">
              <w:rPr>
                <w:bCs/>
              </w:rPr>
              <w:t>concrete topping</w:t>
            </w:r>
          </w:p>
        </w:tc>
      </w:tr>
    </w:tbl>
    <w:p w14:paraId="22241396" w14:textId="77777777" w:rsidR="004E22C1" w:rsidRPr="001455DC" w:rsidRDefault="004E22C1" w:rsidP="00D163D6">
      <w:pPr>
        <w:pStyle w:val="Figuretitle"/>
      </w:pPr>
      <w:r w:rsidRPr="001455DC">
        <w:t>Figure 13.4 — Connections for vertical shear transfer between parallel precast units</w:t>
      </w:r>
    </w:p>
    <w:p w14:paraId="5D103111" w14:textId="77777777" w:rsidR="004E22C1" w:rsidRPr="001455DC" w:rsidRDefault="004E22C1" w:rsidP="00D163D6">
      <w:pPr>
        <w:pStyle w:val="a7"/>
      </w:pPr>
      <w:r w:rsidRPr="001455DC">
        <w:t>(3)</w:t>
      </w:r>
      <w:r w:rsidRPr="001455DC">
        <w:tab/>
        <w:t>Transverse distribution of vertical loads between adjacent elements should be based on analysis or tests</w:t>
      </w:r>
      <w:r w:rsidRPr="001455DC">
        <w:rPr>
          <w:szCs w:val="19"/>
        </w:rPr>
        <w:t xml:space="preserve"> </w:t>
      </w:r>
      <w:r w:rsidRPr="001455DC">
        <w:t>taking into account the likely load variation between precast elements and the strength of the interface.</w:t>
      </w:r>
    </w:p>
    <w:p w14:paraId="1FCA1B89" w14:textId="77777777" w:rsidR="00D163D6" w:rsidRPr="001455DC" w:rsidRDefault="004E22C1" w:rsidP="00E844D2">
      <w:pPr>
        <w:pStyle w:val="a7"/>
        <w:keepNext/>
      </w:pPr>
      <w:r w:rsidRPr="001455DC">
        <w:t>(4)</w:t>
      </w:r>
      <w:r w:rsidRPr="001455DC">
        <w:tab/>
        <w:t>For building floors with uniformly distributed load and in the absence of a more accurate analysis, the shear force acting in joints to adjacent precast elements per unit length of longitudinal joint may be taken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D163D6" w:rsidRPr="001455DC" w14:paraId="6D2474E4" w14:textId="77777777" w:rsidTr="00D163D6">
        <w:trPr>
          <w:cantSplit/>
        </w:trPr>
        <w:tc>
          <w:tcPr>
            <w:tcW w:w="8505" w:type="dxa"/>
            <w:vAlign w:val="center"/>
          </w:tcPr>
          <w:p w14:paraId="278F1842" w14:textId="1E3E2AD7" w:rsidR="00D163D6" w:rsidRPr="001455DC" w:rsidRDefault="00D163D6" w:rsidP="00D163D6">
            <w:pPr>
              <w:pStyle w:val="Formula"/>
              <w:jc w:val="left"/>
            </w:pPr>
            <w:r w:rsidRPr="001455DC">
              <w:rPr>
                <w:rStyle w:val="CCMCvariableitalic"/>
                <w:szCs w:val="22"/>
              </w:rPr>
              <w:t>v</w:t>
            </w:r>
            <w:r w:rsidRPr="001455DC">
              <w:rPr>
                <w:rStyle w:val="CCMCvariablesubscript"/>
                <w:szCs w:val="22"/>
              </w:rPr>
              <w:t>Ed</w:t>
            </w:r>
            <w:r w:rsidRPr="001455DC">
              <w:rPr>
                <w:szCs w:val="22"/>
              </w:rPr>
              <w:t> </w:t>
            </w:r>
            <w:r w:rsidR="00EC27D2" w:rsidRPr="001455DC">
              <w:rPr>
                <w:rFonts w:ascii="Cambria Math" w:hAnsi="Cambria Math"/>
                <w:szCs w:val="22"/>
              </w:rPr>
              <w:t>=</w:t>
            </w:r>
            <w:r w:rsidRPr="001455DC">
              <w:rPr>
                <w:szCs w:val="22"/>
              </w:rPr>
              <w:t> </w:t>
            </w:r>
            <w:r w:rsidRPr="001455DC">
              <w:rPr>
                <w:rStyle w:val="CCMCvariableitalic"/>
                <w:szCs w:val="22"/>
              </w:rPr>
              <w:t>q</w:t>
            </w:r>
            <w:r w:rsidRPr="001455DC">
              <w:rPr>
                <w:rStyle w:val="CCMCvariablesubscript"/>
                <w:szCs w:val="22"/>
              </w:rPr>
              <w:t>Ed</w:t>
            </w:r>
            <w:r w:rsidRPr="001455DC">
              <w:rPr>
                <w:szCs w:val="22"/>
              </w:rPr>
              <w:t> </w:t>
            </w:r>
            <w:r w:rsidRPr="001455DC">
              <w:rPr>
                <w:rFonts w:ascii="Cambria Math" w:hAnsi="Cambria Math" w:cs="Cambria Math"/>
                <w:szCs w:val="22"/>
              </w:rPr>
              <w:t>⋅</w:t>
            </w:r>
            <w:r w:rsidRPr="001455DC">
              <w:rPr>
                <w:szCs w:val="22"/>
              </w:rPr>
              <w:t> </w:t>
            </w:r>
            <w:r w:rsidRPr="001455DC">
              <w:rPr>
                <w:rStyle w:val="CCMCvariableitalic"/>
                <w:szCs w:val="22"/>
              </w:rPr>
              <w:t>b</w:t>
            </w:r>
            <w:r w:rsidRPr="001455DC">
              <w:rPr>
                <w:rStyle w:val="CCMCvariablesubscript"/>
                <w:szCs w:val="22"/>
              </w:rPr>
              <w:t>e</w:t>
            </w:r>
            <w:r w:rsidRPr="001455DC">
              <w:rPr>
                <w:szCs w:val="22"/>
              </w:rPr>
              <w:t>/3</w:t>
            </w:r>
          </w:p>
        </w:tc>
        <w:tc>
          <w:tcPr>
            <w:tcW w:w="1247" w:type="dxa"/>
            <w:vAlign w:val="center"/>
          </w:tcPr>
          <w:p w14:paraId="37A26C60" w14:textId="167F4F3C" w:rsidR="00D163D6" w:rsidRPr="001455DC" w:rsidRDefault="00D163D6">
            <w:pPr>
              <w:pStyle w:val="a7"/>
              <w:jc w:val="right"/>
            </w:pPr>
            <w:r w:rsidRPr="001455DC">
              <w:rPr>
                <w:szCs w:val="22"/>
              </w:rPr>
              <w:t>(13.</w:t>
            </w:r>
            <w:r w:rsidR="008D528C" w:rsidRPr="001455DC">
              <w:rPr>
                <w:szCs w:val="22"/>
              </w:rPr>
              <w:t>13</w:t>
            </w:r>
            <w:r w:rsidRPr="001455DC">
              <w:rPr>
                <w:szCs w:val="22"/>
              </w:rPr>
              <w:t>)</w:t>
            </w:r>
          </w:p>
        </w:tc>
      </w:tr>
    </w:tbl>
    <w:p w14:paraId="55E0D33D" w14:textId="634DDD27" w:rsidR="00D163D6" w:rsidRPr="001455DC" w:rsidRDefault="004E22C1"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D163D6" w:rsidRPr="001455DC" w14:paraId="4E4013F7" w14:textId="77777777" w:rsidTr="00D163D6">
        <w:trPr>
          <w:cantSplit/>
        </w:trPr>
        <w:tc>
          <w:tcPr>
            <w:tcW w:w="567" w:type="dxa"/>
          </w:tcPr>
          <w:p w14:paraId="2D14C059" w14:textId="0D03E43A" w:rsidR="00D163D6" w:rsidRPr="001455DC" w:rsidRDefault="00D163D6" w:rsidP="00D163D6">
            <w:pPr>
              <w:pStyle w:val="Tablebody"/>
            </w:pPr>
            <w:r w:rsidRPr="001455DC">
              <w:rPr>
                <w:rStyle w:val="CCMCvariableitalic"/>
              </w:rPr>
              <w:t>q</w:t>
            </w:r>
            <w:r w:rsidRPr="001455DC">
              <w:rPr>
                <w:rStyle w:val="CCMCvariablesubscript"/>
              </w:rPr>
              <w:t>Ed</w:t>
            </w:r>
          </w:p>
        </w:tc>
        <w:tc>
          <w:tcPr>
            <w:tcW w:w="8845" w:type="dxa"/>
          </w:tcPr>
          <w:p w14:paraId="1023F379" w14:textId="66E0E37B" w:rsidR="00D163D6" w:rsidRPr="001455DC" w:rsidRDefault="00D163D6" w:rsidP="00D163D6">
            <w:pPr>
              <w:pStyle w:val="Tablebody"/>
            </w:pPr>
            <w:r w:rsidRPr="001455DC">
              <w:t>is the design value of variable load;</w:t>
            </w:r>
          </w:p>
        </w:tc>
      </w:tr>
      <w:tr w:rsidR="00D163D6" w:rsidRPr="001455DC" w14:paraId="22721ADC" w14:textId="77777777" w:rsidTr="00D163D6">
        <w:trPr>
          <w:cantSplit/>
        </w:trPr>
        <w:tc>
          <w:tcPr>
            <w:tcW w:w="567" w:type="dxa"/>
          </w:tcPr>
          <w:p w14:paraId="0B4ACE9D" w14:textId="7DEB4487" w:rsidR="00D163D6" w:rsidRPr="001455DC" w:rsidRDefault="00D163D6" w:rsidP="00D163D6">
            <w:pPr>
              <w:pStyle w:val="Tablebody"/>
            </w:pPr>
            <w:r w:rsidRPr="001455DC">
              <w:rPr>
                <w:rStyle w:val="CCMCvariableitalic"/>
              </w:rPr>
              <w:t>b</w:t>
            </w:r>
            <w:r w:rsidRPr="001455DC">
              <w:rPr>
                <w:rStyle w:val="CCMCvariablesubscript"/>
              </w:rPr>
              <w:t>e</w:t>
            </w:r>
          </w:p>
        </w:tc>
        <w:tc>
          <w:tcPr>
            <w:tcW w:w="8845" w:type="dxa"/>
          </w:tcPr>
          <w:p w14:paraId="4FE51561" w14:textId="48064816" w:rsidR="00D163D6" w:rsidRPr="001455DC" w:rsidRDefault="00D163D6" w:rsidP="00D163D6">
            <w:pPr>
              <w:pStyle w:val="Tablebody"/>
            </w:pPr>
            <w:r w:rsidRPr="001455DC">
              <w:t>is the width of the element.</w:t>
            </w:r>
          </w:p>
        </w:tc>
      </w:tr>
    </w:tbl>
    <w:p w14:paraId="23B1CE21" w14:textId="77777777" w:rsidR="004E22C1" w:rsidRPr="001455DC" w:rsidRDefault="004E22C1" w:rsidP="00D163D6">
      <w:pPr>
        <w:pStyle w:val="a7"/>
      </w:pPr>
      <w:r w:rsidRPr="001455DC">
        <w:t>(5)</w:t>
      </w:r>
      <w:r w:rsidRPr="001455DC">
        <w:tab/>
        <w:t>Precast concrete elements with a topping at least 40 mm thick may be designed as composite elements, if shear at the interface is verified according to 8.2.6.</w:t>
      </w:r>
    </w:p>
    <w:p w14:paraId="773D8FB1" w14:textId="77777777" w:rsidR="004E22C1" w:rsidRPr="001455DC" w:rsidRDefault="004E22C1" w:rsidP="00D163D6">
      <w:pPr>
        <w:pStyle w:val="a7"/>
      </w:pPr>
      <w:r w:rsidRPr="001455DC">
        <w:t>(6)</w:t>
      </w:r>
      <w:r w:rsidRPr="001455DC">
        <w:tab/>
        <w:t>Transverse reinforcement for bending and other action effects may be placed within the topping.</w:t>
      </w:r>
    </w:p>
    <w:p w14:paraId="046733AD" w14:textId="77777777" w:rsidR="004E22C1" w:rsidRPr="001455DC" w:rsidRDefault="004E22C1" w:rsidP="00D163D6">
      <w:pPr>
        <w:pStyle w:val="a7"/>
      </w:pPr>
      <w:r w:rsidRPr="001455DC">
        <w:t>(7)</w:t>
      </w:r>
      <w:r w:rsidRPr="001455DC">
        <w:tab/>
        <w:t>Building floor slabs combining parallel beams with unreinforced blocks in between without topping may be analysed in shear and bending as solid slabs, if</w:t>
      </w:r>
    </w:p>
    <w:p w14:paraId="0636217C" w14:textId="47034D66" w:rsidR="004E22C1" w:rsidRPr="001455DC" w:rsidRDefault="004E22C1" w:rsidP="00D163D6">
      <w:pPr>
        <w:pStyle w:val="a7"/>
        <w:ind w:left="454" w:hanging="454"/>
      </w:pPr>
      <w:r w:rsidRPr="001455DC">
        <w:t>(i)</w:t>
      </w:r>
      <w:r w:rsidR="00D163D6" w:rsidRPr="001455DC">
        <w:tab/>
      </w:r>
      <w:r w:rsidRPr="001455DC">
        <w:t>cast-in-situ transverse ribs are provided with a continuous reinforcement through the longitudinal ribs and</w:t>
      </w:r>
    </w:p>
    <w:p w14:paraId="65AF36E9" w14:textId="453499C1" w:rsidR="004E22C1" w:rsidRPr="001455DC" w:rsidRDefault="004E22C1" w:rsidP="00D163D6">
      <w:pPr>
        <w:pStyle w:val="a7"/>
        <w:ind w:left="454" w:hanging="454"/>
      </w:pPr>
      <w:r w:rsidRPr="001455DC">
        <w:t>(ii)</w:t>
      </w:r>
      <w:r w:rsidR="00D163D6" w:rsidRPr="001455DC">
        <w:tab/>
      </w:r>
      <w:r w:rsidRPr="001455DC">
        <w:t xml:space="preserve">the spacing </w:t>
      </w:r>
      <w:r w:rsidRPr="001455DC">
        <w:rPr>
          <w:rStyle w:val="CCMCvariableitalic"/>
        </w:rPr>
        <w:t>s</w:t>
      </w:r>
      <w:r w:rsidRPr="001455DC">
        <w:rPr>
          <w:rStyle w:val="CCMCvariablesubscript"/>
        </w:rPr>
        <w:t>T</w:t>
      </w:r>
      <w:r w:rsidRPr="001455DC">
        <w:t xml:space="preserve"> of such transverse ribs complies with the limits in Table 13.2.</w:t>
      </w:r>
    </w:p>
    <w:p w14:paraId="0DDA7093" w14:textId="77777777" w:rsidR="004E22C1" w:rsidRPr="001455DC" w:rsidRDefault="004E22C1" w:rsidP="00D163D6">
      <w:pPr>
        <w:pStyle w:val="Tabletitle"/>
      </w:pPr>
      <w:bookmarkStart w:id="1074" w:name="_Toc54337500"/>
      <w:r w:rsidRPr="001455DC">
        <w:t xml:space="preserve">Table 13.2 — Maximum spacing of transverse ribs </w:t>
      </w:r>
      <w:r w:rsidRPr="001455DC">
        <w:rPr>
          <w:rStyle w:val="CCMCvariableitalic"/>
        </w:rPr>
        <w:t>s</w:t>
      </w:r>
      <w:r w:rsidRPr="001455DC">
        <w:rPr>
          <w:rStyle w:val="CCMCvariablesubscript"/>
        </w:rPr>
        <w:t>T</w:t>
      </w:r>
      <w:bookmarkEnd w:id="1074"/>
    </w:p>
    <w:tbl>
      <w:tblPr>
        <w:tblStyle w:val="53"/>
        <w:tblW w:w="5670" w:type="dxa"/>
        <w:tblLayout w:type="fixed"/>
        <w:tblLook w:val="0660" w:firstRow="1" w:lastRow="1" w:firstColumn="0" w:lastColumn="0" w:noHBand="1" w:noVBand="1"/>
      </w:tblPr>
      <w:tblGrid>
        <w:gridCol w:w="2299"/>
        <w:gridCol w:w="1646"/>
        <w:gridCol w:w="1725"/>
      </w:tblGrid>
      <w:tr w:rsidR="004E22C1" w:rsidRPr="001455DC" w14:paraId="58DCC34D" w14:textId="77777777" w:rsidTr="00181041">
        <w:trPr>
          <w:cnfStyle w:val="100000000000" w:firstRow="1" w:lastRow="0" w:firstColumn="0" w:lastColumn="0" w:oddVBand="0" w:evenVBand="0" w:oddHBand="0" w:evenHBand="0" w:firstRowFirstColumn="0" w:firstRowLastColumn="0" w:lastRowFirstColumn="0" w:lastRowLastColumn="0"/>
          <w:cantSplit/>
        </w:trPr>
        <w:tc>
          <w:tcPr>
            <w:tcW w:w="2369" w:type="dxa"/>
          </w:tcPr>
          <w:p w14:paraId="101D6869" w14:textId="77777777" w:rsidR="004E22C1" w:rsidRPr="001455DC" w:rsidRDefault="004E22C1" w:rsidP="00181041">
            <w:pPr>
              <w:pStyle w:val="Tableheader"/>
              <w:keepNext/>
            </w:pPr>
            <w:r w:rsidRPr="001455DC">
              <w:t>Type of actions</w:t>
            </w:r>
          </w:p>
        </w:tc>
        <w:tc>
          <w:tcPr>
            <w:tcW w:w="1694" w:type="dxa"/>
          </w:tcPr>
          <w:p w14:paraId="533B2FAD" w14:textId="4C4F81D3" w:rsidR="004E22C1" w:rsidRPr="001455DC" w:rsidRDefault="004E22C1" w:rsidP="00181041">
            <w:pPr>
              <w:pStyle w:val="Tableheader"/>
              <w:keepNext/>
            </w:pPr>
            <w:r w:rsidRPr="001455DC">
              <w:rPr>
                <w:rStyle w:val="CCMCvariableitalic"/>
              </w:rPr>
              <w:t>s</w:t>
            </w:r>
            <w:r w:rsidRPr="001455DC">
              <w:rPr>
                <w:rStyle w:val="CCMCvariablesubscript"/>
              </w:rPr>
              <w:t>L</w:t>
            </w:r>
            <w:r w:rsidRPr="001455DC">
              <w:t> </w:t>
            </w:r>
            <w:r w:rsidR="00650035" w:rsidRPr="001455DC">
              <w:rPr>
                <w:rFonts w:ascii="Cambria Math" w:hAnsi="Cambria Math"/>
              </w:rPr>
              <w:t>≤</w:t>
            </w:r>
            <w:r w:rsidRPr="001455DC">
              <w:t> </w:t>
            </w:r>
            <w:r w:rsidRPr="001455DC">
              <w:rPr>
                <w:rStyle w:val="CCMCvariableitalic"/>
              </w:rPr>
              <w:t>l</w:t>
            </w:r>
            <w:r w:rsidRPr="001455DC">
              <w:rPr>
                <w:rStyle w:val="CCMCvariablesubscript"/>
              </w:rPr>
              <w:t>L</w:t>
            </w:r>
            <w:r w:rsidRPr="001455DC">
              <w:t>/8</w:t>
            </w:r>
          </w:p>
        </w:tc>
        <w:tc>
          <w:tcPr>
            <w:tcW w:w="1776" w:type="dxa"/>
          </w:tcPr>
          <w:p w14:paraId="20A0EE25" w14:textId="2053887C" w:rsidR="004E22C1" w:rsidRPr="001455DC" w:rsidRDefault="004E22C1" w:rsidP="00181041">
            <w:pPr>
              <w:pStyle w:val="Tableheader"/>
              <w:keepNext/>
            </w:pPr>
            <w:r w:rsidRPr="001455DC">
              <w:rPr>
                <w:rStyle w:val="CCMCvariableitalic"/>
              </w:rPr>
              <w:t>s</w:t>
            </w:r>
            <w:r w:rsidRPr="001455DC">
              <w:rPr>
                <w:rStyle w:val="CCMCvariablesubscript"/>
              </w:rPr>
              <w:t>L</w:t>
            </w:r>
            <w:r w:rsidRPr="001455DC">
              <w:t> </w:t>
            </w:r>
            <w:r w:rsidR="00650035" w:rsidRPr="001455DC">
              <w:rPr>
                <w:rFonts w:ascii="Cambria Math" w:hAnsi="Cambria Math"/>
              </w:rPr>
              <w:t>&gt;</w:t>
            </w:r>
            <w:r w:rsidR="00073FC6" w:rsidRPr="001455DC">
              <w:t> </w:t>
            </w:r>
            <w:r w:rsidRPr="001455DC">
              <w:rPr>
                <w:rStyle w:val="CCMCvariableitalic"/>
              </w:rPr>
              <w:t>l</w:t>
            </w:r>
            <w:r w:rsidRPr="001455DC">
              <w:rPr>
                <w:rStyle w:val="CCMCvariablesubscript"/>
              </w:rPr>
              <w:t>L</w:t>
            </w:r>
            <w:r w:rsidRPr="001455DC">
              <w:t>/8</w:t>
            </w:r>
          </w:p>
        </w:tc>
      </w:tr>
      <w:tr w:rsidR="004E22C1" w:rsidRPr="001455DC" w14:paraId="0CD01667" w14:textId="77777777" w:rsidTr="00181041">
        <w:trPr>
          <w:cantSplit/>
        </w:trPr>
        <w:tc>
          <w:tcPr>
            <w:tcW w:w="2369" w:type="dxa"/>
          </w:tcPr>
          <w:p w14:paraId="283D5437" w14:textId="77777777" w:rsidR="004E22C1" w:rsidRPr="001455DC" w:rsidRDefault="004E22C1" w:rsidP="00181041">
            <w:pPr>
              <w:pStyle w:val="Tablebody"/>
              <w:keepNext/>
            </w:pPr>
            <w:r w:rsidRPr="001455DC">
              <w:t xml:space="preserve">residential, snow </w:t>
            </w:r>
          </w:p>
        </w:tc>
        <w:tc>
          <w:tcPr>
            <w:tcW w:w="1694" w:type="dxa"/>
          </w:tcPr>
          <w:p w14:paraId="53D48364" w14:textId="77777777" w:rsidR="004E22C1" w:rsidRPr="001455DC" w:rsidRDefault="004E22C1" w:rsidP="00181041">
            <w:pPr>
              <w:pStyle w:val="Tablebody"/>
              <w:keepNext/>
              <w:jc w:val="center"/>
            </w:pPr>
            <w:r w:rsidRPr="001455DC">
              <w:t>not required</w:t>
            </w:r>
          </w:p>
        </w:tc>
        <w:tc>
          <w:tcPr>
            <w:tcW w:w="1776" w:type="dxa"/>
          </w:tcPr>
          <w:p w14:paraId="1AC18320" w14:textId="71250468" w:rsidR="004E22C1" w:rsidRPr="001455DC" w:rsidRDefault="004E22C1" w:rsidP="00181041">
            <w:pPr>
              <w:pStyle w:val="Tablebody"/>
              <w:keepNext/>
              <w:jc w:val="center"/>
            </w:pPr>
            <w:r w:rsidRPr="001455DC">
              <w:rPr>
                <w:rStyle w:val="CCMCvariableitalic"/>
              </w:rPr>
              <w:t>s</w:t>
            </w:r>
            <w:r w:rsidRPr="001455DC">
              <w:rPr>
                <w:rStyle w:val="CCMCvariablesubscript"/>
              </w:rPr>
              <w:t>T</w:t>
            </w:r>
            <w:r w:rsidRPr="001455DC">
              <w:t> </w:t>
            </w:r>
            <w:r w:rsidR="00650035" w:rsidRPr="001455DC">
              <w:rPr>
                <w:rFonts w:ascii="Cambria Math" w:hAnsi="Cambria Math"/>
              </w:rPr>
              <w:t>≤</w:t>
            </w:r>
            <w:r w:rsidRPr="001455DC">
              <w:t> 12</w:t>
            </w:r>
            <w:r w:rsidRPr="001455DC">
              <w:rPr>
                <w:rStyle w:val="CCMCvariableitalic"/>
              </w:rPr>
              <w:t>h</w:t>
            </w:r>
          </w:p>
        </w:tc>
      </w:tr>
      <w:tr w:rsidR="004E22C1" w:rsidRPr="001455DC" w14:paraId="29DE2D67" w14:textId="77777777" w:rsidTr="00181041">
        <w:trPr>
          <w:cantSplit/>
        </w:trPr>
        <w:tc>
          <w:tcPr>
            <w:tcW w:w="2369" w:type="dxa"/>
          </w:tcPr>
          <w:p w14:paraId="25F8349A" w14:textId="77777777" w:rsidR="004E22C1" w:rsidRPr="001455DC" w:rsidRDefault="004E22C1" w:rsidP="00181041">
            <w:pPr>
              <w:pStyle w:val="Tablebody"/>
              <w:keepNext/>
            </w:pPr>
            <w:r w:rsidRPr="001455DC">
              <w:t xml:space="preserve">other </w:t>
            </w:r>
          </w:p>
        </w:tc>
        <w:tc>
          <w:tcPr>
            <w:tcW w:w="1694" w:type="dxa"/>
          </w:tcPr>
          <w:p w14:paraId="3E06C0DA" w14:textId="56CE3047" w:rsidR="004E22C1" w:rsidRPr="001455DC" w:rsidRDefault="004E22C1" w:rsidP="00181041">
            <w:pPr>
              <w:pStyle w:val="Tablebody"/>
              <w:keepNext/>
              <w:jc w:val="center"/>
            </w:pPr>
            <w:r w:rsidRPr="001455DC">
              <w:rPr>
                <w:rStyle w:val="CCMCvariableitalic"/>
              </w:rPr>
              <w:t>s</w:t>
            </w:r>
            <w:r w:rsidRPr="001455DC">
              <w:rPr>
                <w:rStyle w:val="CCMCvariablesubscript"/>
              </w:rPr>
              <w:t>T</w:t>
            </w:r>
            <w:r w:rsidRPr="001455DC">
              <w:t> </w:t>
            </w:r>
            <w:r w:rsidR="00650035" w:rsidRPr="001455DC">
              <w:rPr>
                <w:rFonts w:ascii="Cambria Math" w:hAnsi="Cambria Math"/>
              </w:rPr>
              <w:t>≤</w:t>
            </w:r>
            <w:r w:rsidRPr="001455DC">
              <w:t> 10</w:t>
            </w:r>
            <w:r w:rsidRPr="001455DC">
              <w:rPr>
                <w:rStyle w:val="CCMCvariableitalic"/>
              </w:rPr>
              <w:t>h</w:t>
            </w:r>
          </w:p>
        </w:tc>
        <w:tc>
          <w:tcPr>
            <w:tcW w:w="1776" w:type="dxa"/>
          </w:tcPr>
          <w:p w14:paraId="24213AEC" w14:textId="230A74F2" w:rsidR="004E22C1" w:rsidRPr="001455DC" w:rsidRDefault="004E22C1" w:rsidP="00181041">
            <w:pPr>
              <w:pStyle w:val="Tablebody"/>
              <w:keepNext/>
              <w:jc w:val="center"/>
            </w:pPr>
            <w:r w:rsidRPr="001455DC">
              <w:rPr>
                <w:rStyle w:val="CCMCvariableitalic"/>
              </w:rPr>
              <w:t>s</w:t>
            </w:r>
            <w:r w:rsidRPr="001455DC">
              <w:rPr>
                <w:rStyle w:val="CCMCvariablesubscript"/>
              </w:rPr>
              <w:t>T</w:t>
            </w:r>
            <w:r w:rsidRPr="001455DC">
              <w:t> </w:t>
            </w:r>
            <w:r w:rsidR="00650035" w:rsidRPr="001455DC">
              <w:rPr>
                <w:rFonts w:ascii="Cambria Math" w:hAnsi="Cambria Math"/>
              </w:rPr>
              <w:t>≤</w:t>
            </w:r>
            <w:r w:rsidRPr="001455DC">
              <w:t> 8</w:t>
            </w:r>
            <w:r w:rsidRPr="001455DC">
              <w:rPr>
                <w:rStyle w:val="CCMCvariableitalic"/>
              </w:rPr>
              <w:t>h</w:t>
            </w:r>
          </w:p>
        </w:tc>
      </w:tr>
      <w:tr w:rsidR="004E22C1" w:rsidRPr="001455DC" w14:paraId="5CE5C146" w14:textId="77777777" w:rsidTr="00181041">
        <w:trPr>
          <w:cnfStyle w:val="010000000000" w:firstRow="0" w:lastRow="1" w:firstColumn="0" w:lastColumn="0" w:oddVBand="0" w:evenVBand="0" w:oddHBand="0" w:evenHBand="0" w:firstRowFirstColumn="0" w:firstRowLastColumn="0" w:lastRowFirstColumn="0" w:lastRowLastColumn="0"/>
          <w:cantSplit/>
        </w:trPr>
        <w:tc>
          <w:tcPr>
            <w:tcW w:w="5839" w:type="dxa"/>
            <w:gridSpan w:val="3"/>
          </w:tcPr>
          <w:p w14:paraId="4B808EB3" w14:textId="77777777" w:rsidR="004E22C1" w:rsidRPr="009D3012" w:rsidRDefault="004E22C1" w:rsidP="00A35599">
            <w:pPr>
              <w:pStyle w:val="Tablebody-"/>
              <w:keepNext/>
              <w:rPr>
                <w:lang w:val="en-US"/>
              </w:rPr>
            </w:pPr>
            <w:r w:rsidRPr="009D3012">
              <w:rPr>
                <w:lang w:val="en-US"/>
              </w:rPr>
              <w:t>where</w:t>
            </w:r>
          </w:p>
          <w:p w14:paraId="1DEF5168" w14:textId="458E775A" w:rsidR="004E22C1" w:rsidRPr="009D3012" w:rsidRDefault="004E22C1" w:rsidP="00181041">
            <w:pPr>
              <w:pStyle w:val="Tablebody-"/>
              <w:ind w:left="397" w:hanging="397"/>
              <w:rPr>
                <w:lang w:val="en-US"/>
              </w:rPr>
            </w:pPr>
            <w:r w:rsidRPr="009D3012">
              <w:rPr>
                <w:rStyle w:val="CCMCvariableitalic"/>
                <w:lang w:val="en-US"/>
              </w:rPr>
              <w:t>s</w:t>
            </w:r>
            <w:r w:rsidRPr="009D3012">
              <w:rPr>
                <w:rStyle w:val="CCMCvariablesubscript"/>
                <w:lang w:val="en-US"/>
              </w:rPr>
              <w:t>L</w:t>
            </w:r>
            <w:r w:rsidRPr="009D3012">
              <w:rPr>
                <w:lang w:val="en-US"/>
              </w:rPr>
              <w:tab/>
              <w:t>spacing of longitudinal ribs;</w:t>
            </w:r>
          </w:p>
          <w:p w14:paraId="0112B73C" w14:textId="6E66DADF" w:rsidR="004E22C1" w:rsidRPr="009D3012" w:rsidRDefault="004E22C1" w:rsidP="00181041">
            <w:pPr>
              <w:pStyle w:val="Tablebody-"/>
              <w:ind w:left="397" w:hanging="397"/>
              <w:rPr>
                <w:lang w:val="en-US"/>
              </w:rPr>
            </w:pPr>
            <w:r w:rsidRPr="009D3012">
              <w:rPr>
                <w:rStyle w:val="CCMCvariableitalic"/>
                <w:lang w:val="en-US"/>
              </w:rPr>
              <w:t>h</w:t>
            </w:r>
            <w:r w:rsidRPr="009D3012">
              <w:rPr>
                <w:lang w:val="en-US"/>
              </w:rPr>
              <w:tab/>
              <w:t>depth of the floor</w:t>
            </w:r>
          </w:p>
          <w:p w14:paraId="460C31F8" w14:textId="1FB17898" w:rsidR="004E22C1" w:rsidRPr="009D3012" w:rsidRDefault="004E22C1" w:rsidP="00181041">
            <w:pPr>
              <w:pStyle w:val="Tablebody-"/>
              <w:ind w:left="397" w:hanging="397"/>
              <w:rPr>
                <w:lang w:val="en-US"/>
              </w:rPr>
            </w:pPr>
            <w:r w:rsidRPr="009D3012">
              <w:rPr>
                <w:rStyle w:val="CCMCvariableitalic"/>
                <w:lang w:val="en-US"/>
              </w:rPr>
              <w:t>l</w:t>
            </w:r>
            <w:r w:rsidRPr="009D3012">
              <w:rPr>
                <w:rStyle w:val="CCMCvariablesubscript"/>
                <w:lang w:val="en-US"/>
              </w:rPr>
              <w:t>L</w:t>
            </w:r>
            <w:r w:rsidRPr="009D3012">
              <w:rPr>
                <w:lang w:val="en-US"/>
              </w:rPr>
              <w:tab/>
              <w:t xml:space="preserve">length (span) of longitudinal ribs, </w:t>
            </w:r>
            <w:r w:rsidRPr="009D3012">
              <w:rPr>
                <w:rStyle w:val="CCMCvariableitalic"/>
                <w:lang w:val="en-US"/>
              </w:rPr>
              <w:t>h</w:t>
            </w:r>
            <w:r w:rsidRPr="009D3012">
              <w:rPr>
                <w:lang w:val="en-US"/>
              </w:rPr>
              <w:t> </w:t>
            </w:r>
            <w:r w:rsidR="00EC27D2" w:rsidRPr="009D3012">
              <w:rPr>
                <w:rFonts w:ascii="Cambria Math" w:hAnsi="Cambria Math"/>
                <w:lang w:val="en-US"/>
              </w:rPr>
              <w:t>=</w:t>
            </w:r>
            <w:r w:rsidRPr="009D3012">
              <w:rPr>
                <w:lang w:val="en-US"/>
              </w:rPr>
              <w:t> thickness of ribbed floor.</w:t>
            </w:r>
          </w:p>
        </w:tc>
      </w:tr>
    </w:tbl>
    <w:p w14:paraId="753478FC" w14:textId="77777777" w:rsidR="004E22C1" w:rsidRPr="001455DC" w:rsidRDefault="004E22C1" w:rsidP="00D163D6">
      <w:pPr>
        <w:pStyle w:val="a7"/>
      </w:pPr>
    </w:p>
    <w:p w14:paraId="79126496" w14:textId="77777777" w:rsidR="004E22C1" w:rsidRPr="001455DC" w:rsidRDefault="004E22C1" w:rsidP="00D163D6">
      <w:pPr>
        <w:pStyle w:val="a7"/>
      </w:pPr>
      <w:r w:rsidRPr="001455DC">
        <w:t>(8)</w:t>
      </w:r>
      <w:r w:rsidRPr="001455DC">
        <w:tab/>
        <w:t>Webs or ribs in isolated slab elements should be provided with shear reinforcement as for beams.</w:t>
      </w:r>
    </w:p>
    <w:p w14:paraId="51A9D73C" w14:textId="77777777" w:rsidR="004E22C1" w:rsidRPr="001455DC" w:rsidRDefault="004E22C1" w:rsidP="00D163D6">
      <w:pPr>
        <w:pStyle w:val="a7"/>
      </w:pPr>
      <w:r w:rsidRPr="001455DC">
        <w:t>(9)</w:t>
      </w:r>
      <w:r w:rsidRPr="001455DC">
        <w:tab/>
        <w:t>The effects of possible restraints of precast units shall be considered.</w:t>
      </w:r>
    </w:p>
    <w:p w14:paraId="7BB305AA" w14:textId="0F2929CE" w:rsidR="004E22C1" w:rsidRPr="001455DC" w:rsidRDefault="004E22C1" w:rsidP="00243590">
      <w:pPr>
        <w:pStyle w:val="31"/>
      </w:pPr>
      <w:bookmarkStart w:id="1075" w:name="_Toc52820099"/>
      <w:bookmarkStart w:id="1076" w:name="_Toc54337501"/>
      <w:bookmarkStart w:id="1077" w:name="_Toc54338155"/>
      <w:bookmarkStart w:id="1078" w:name="_Toc67565493"/>
      <w:r w:rsidRPr="001455DC">
        <w:t>Diaphragm action</w:t>
      </w:r>
      <w:bookmarkEnd w:id="1075"/>
      <w:bookmarkEnd w:id="1076"/>
      <w:bookmarkEnd w:id="1077"/>
      <w:bookmarkEnd w:id="1078"/>
    </w:p>
    <w:p w14:paraId="1DED480A" w14:textId="77777777" w:rsidR="004E22C1" w:rsidRPr="001455DC" w:rsidRDefault="004E22C1" w:rsidP="00E844D2">
      <w:pPr>
        <w:pStyle w:val="a7"/>
        <w:keepNext/>
      </w:pPr>
      <w:r w:rsidRPr="001455DC">
        <w:t>(1)</w:t>
      </w:r>
      <w:r w:rsidRPr="001455DC">
        <w:tab/>
        <w:t>Where precast concrete floors in buildings are assumed to act as horizontal diaphragms transferring horizontal forces to vertical bracing units:</w:t>
      </w:r>
    </w:p>
    <w:p w14:paraId="32F17615" w14:textId="565F6501" w:rsidR="004E22C1" w:rsidRPr="001455DC" w:rsidRDefault="004E22C1" w:rsidP="00181041">
      <w:pPr>
        <w:pStyle w:val="a0"/>
      </w:pPr>
      <w:r w:rsidRPr="001455DC">
        <w:t>the diaphragm should form part of a realistic structural model, taking into account the deformation compatibility with bracing units;</w:t>
      </w:r>
    </w:p>
    <w:p w14:paraId="744BE449" w14:textId="790809BF" w:rsidR="004E22C1" w:rsidRPr="001455DC" w:rsidRDefault="004E22C1" w:rsidP="00181041">
      <w:pPr>
        <w:pStyle w:val="a0"/>
      </w:pPr>
      <w:r w:rsidRPr="001455DC">
        <w:t>the effects of horizontal deformations should be taken into account for all parts of the structure involved in the transfer of horizontal loads;</w:t>
      </w:r>
    </w:p>
    <w:p w14:paraId="1E81AA80" w14:textId="514C6392" w:rsidR="004E22C1" w:rsidRPr="001455DC" w:rsidRDefault="004E22C1" w:rsidP="00181041">
      <w:pPr>
        <w:pStyle w:val="a0"/>
      </w:pPr>
      <w:r w:rsidRPr="001455DC">
        <w:t>the diaphragm should be reinforced and connected for the tensile forces derived from the analysis;</w:t>
      </w:r>
    </w:p>
    <w:p w14:paraId="6F76AC37" w14:textId="36CEE705" w:rsidR="004E22C1" w:rsidRPr="001455DC" w:rsidRDefault="004E22C1" w:rsidP="00181041">
      <w:pPr>
        <w:pStyle w:val="a0"/>
      </w:pPr>
      <w:r w:rsidRPr="001455DC">
        <w:t>stress concentrations at openings and connections should be taken into account in the detailing of the reinforcement.</w:t>
      </w:r>
    </w:p>
    <w:p w14:paraId="36B9B144" w14:textId="2D0F64B9" w:rsidR="004E22C1" w:rsidRPr="001455DC" w:rsidRDefault="004E22C1" w:rsidP="00181041">
      <w:pPr>
        <w:pStyle w:val="a7"/>
      </w:pPr>
      <w:r w:rsidRPr="001455DC">
        <w:t>(2)</w:t>
      </w:r>
      <w:r w:rsidRPr="001455DC">
        <w:tab/>
        <w:t xml:space="preserve">If tie bars with diameter </w:t>
      </w:r>
      <w:r w:rsidRPr="001455DC">
        <w:rPr>
          <w:rStyle w:val="CCMCvariableitalic"/>
        </w:rPr>
        <w:t>ϕ</w:t>
      </w:r>
      <w:r w:rsidRPr="001455DC">
        <w:t xml:space="preserve"> are anchored in the concrete infilled in longitudinal joints between parallel elements, the joint width should be </w:t>
      </w:r>
      <w:r w:rsidRPr="001455DC">
        <w:rPr>
          <w:rStyle w:val="CCMCvariableitalic"/>
        </w:rPr>
        <w:t>t</w:t>
      </w:r>
      <w:r w:rsidRPr="001455DC">
        <w:rPr>
          <w:rStyle w:val="CCMCvariablesubscript"/>
        </w:rPr>
        <w:t>j</w:t>
      </w:r>
      <w:r w:rsidRPr="001455DC">
        <w:t> </w:t>
      </w:r>
      <w:r w:rsidR="00650035" w:rsidRPr="001455DC">
        <w:rPr>
          <w:rFonts w:ascii="Cambria Math" w:hAnsi="Cambria Math"/>
        </w:rPr>
        <w:t>≥</w:t>
      </w:r>
      <w:r w:rsidR="00073FC6" w:rsidRPr="001455DC">
        <w:t> </w:t>
      </w:r>
      <w:r w:rsidRPr="001455DC">
        <w:t>3</w:t>
      </w:r>
      <w:r w:rsidRPr="001455DC">
        <w:rPr>
          <w:rStyle w:val="CCMCvariableitalic"/>
        </w:rPr>
        <w:t>ϕ</w:t>
      </w:r>
      <w:r w:rsidRPr="001455DC">
        <w:t xml:space="preserve">. Such solution </w:t>
      </w:r>
      <w:r w:rsidR="00B45950" w:rsidRPr="001455DC">
        <w:t xml:space="preserve">shall </w:t>
      </w:r>
      <w:r w:rsidRPr="001455DC">
        <w:t>not be adopted in structures designed for earthquake resistance.</w:t>
      </w:r>
    </w:p>
    <w:p w14:paraId="0CD25E24" w14:textId="77777777" w:rsidR="004E22C1" w:rsidRPr="001455DC" w:rsidRDefault="004E22C1" w:rsidP="00181041">
      <w:pPr>
        <w:pStyle w:val="a7"/>
      </w:pPr>
      <w:r w:rsidRPr="001455DC">
        <w:t>(3)</w:t>
      </w:r>
      <w:r w:rsidRPr="001455DC">
        <w:tab/>
        <w:t>Transverse reinforcement provided across longitudinal joints as part of the tying system may be concentrated along the elements’ supports and shall be consistent with the structural model.</w:t>
      </w:r>
    </w:p>
    <w:p w14:paraId="7D7235C9" w14:textId="77777777" w:rsidR="004E22C1" w:rsidRPr="001455DC" w:rsidRDefault="004E22C1" w:rsidP="00181041">
      <w:pPr>
        <w:pStyle w:val="a7"/>
      </w:pPr>
      <w:r w:rsidRPr="001455DC">
        <w:t>(4)</w:t>
      </w:r>
      <w:r w:rsidRPr="001455DC">
        <w:tab/>
        <w:t>In diaphragm action provided by untopped building floors made of precast slab elements with concreted or grouted longitudinal joints, their shear resistance should be determined according to shear-friction mechanisms, accounting for the transverse compressive force on the joint surface and for its roughness or presence of keys. For shear at the interface, reference should be made to 8.2.6 or to design assisted by testing.</w:t>
      </w:r>
    </w:p>
    <w:p w14:paraId="21864E64" w14:textId="3A818C99" w:rsidR="004E22C1" w:rsidRPr="001455DC" w:rsidRDefault="004E22C1" w:rsidP="006D682B">
      <w:pPr>
        <w:pStyle w:val="21"/>
      </w:pPr>
      <w:bookmarkStart w:id="1079" w:name="_Toc52820100"/>
      <w:bookmarkStart w:id="1080" w:name="_Toc54337502"/>
      <w:bookmarkStart w:id="1081" w:name="_Toc54338156"/>
      <w:bookmarkStart w:id="1082" w:name="_Toc67565494"/>
      <w:r w:rsidRPr="001455DC">
        <w:t>Connections and supports</w:t>
      </w:r>
      <w:bookmarkEnd w:id="1079"/>
      <w:bookmarkEnd w:id="1080"/>
      <w:bookmarkEnd w:id="1081"/>
      <w:bookmarkEnd w:id="1082"/>
    </w:p>
    <w:p w14:paraId="387A1B3C" w14:textId="16FBA4FF" w:rsidR="004E22C1" w:rsidRPr="001455DC" w:rsidRDefault="004E22C1" w:rsidP="00243590">
      <w:pPr>
        <w:pStyle w:val="31"/>
      </w:pPr>
      <w:bookmarkStart w:id="1083" w:name="_Toc52820101"/>
      <w:bookmarkStart w:id="1084" w:name="_Toc54337503"/>
      <w:bookmarkStart w:id="1085" w:name="_Toc54338157"/>
      <w:bookmarkStart w:id="1086" w:name="_Toc67565495"/>
      <w:r w:rsidRPr="001455DC">
        <w:t>General</w:t>
      </w:r>
      <w:bookmarkEnd w:id="1083"/>
      <w:bookmarkEnd w:id="1084"/>
      <w:bookmarkEnd w:id="1085"/>
      <w:bookmarkEnd w:id="1086"/>
    </w:p>
    <w:p w14:paraId="3F739C85" w14:textId="77777777" w:rsidR="004E22C1" w:rsidRPr="001455DC" w:rsidRDefault="004E22C1" w:rsidP="00E844D2">
      <w:pPr>
        <w:pStyle w:val="a7"/>
        <w:keepNext/>
      </w:pPr>
      <w:r w:rsidRPr="001455DC">
        <w:t>(1)</w:t>
      </w:r>
      <w:r w:rsidRPr="001455DC">
        <w:tab/>
        <w:t>Materials for connections shall be:</w:t>
      </w:r>
    </w:p>
    <w:p w14:paraId="51487E58" w14:textId="3E694860" w:rsidR="004E22C1" w:rsidRPr="001455DC" w:rsidRDefault="004E22C1" w:rsidP="00181041">
      <w:pPr>
        <w:pStyle w:val="a0"/>
      </w:pPr>
      <w:r w:rsidRPr="001455DC">
        <w:t>stable and durable for the design service life of the structure,</w:t>
      </w:r>
    </w:p>
    <w:p w14:paraId="6523E29D" w14:textId="7136D89E" w:rsidR="004E22C1" w:rsidRPr="001455DC" w:rsidRDefault="004E22C1" w:rsidP="00181041">
      <w:pPr>
        <w:pStyle w:val="a0"/>
      </w:pPr>
      <w:r w:rsidRPr="001455DC">
        <w:t>chemically and physically compatible.</w:t>
      </w:r>
    </w:p>
    <w:p w14:paraId="2CB98969" w14:textId="77777777" w:rsidR="004E22C1" w:rsidRPr="001455DC" w:rsidRDefault="004E22C1" w:rsidP="00181041">
      <w:pPr>
        <w:pStyle w:val="a7"/>
      </w:pPr>
      <w:r w:rsidRPr="001455DC">
        <w:t>(2)</w:t>
      </w:r>
      <w:r w:rsidRPr="001455DC">
        <w:tab/>
        <w:t>Connections shall be designed to resist all action effects consistent with design assumptions, to accommodate the necessary deformations and ensure robust behaviour of the structure.</w:t>
      </w:r>
    </w:p>
    <w:p w14:paraId="64D95BF5" w14:textId="77777777" w:rsidR="004E22C1" w:rsidRPr="001455DC" w:rsidRDefault="004E22C1" w:rsidP="00181041">
      <w:pPr>
        <w:pStyle w:val="a7"/>
      </w:pPr>
      <w:r w:rsidRPr="001455DC">
        <w:t>(3)</w:t>
      </w:r>
      <w:r w:rsidRPr="001455DC">
        <w:tab/>
        <w:t>The verification of resistance and stiffness of connections may be based on numerical analysis, possibly assisted by testing.</w:t>
      </w:r>
    </w:p>
    <w:p w14:paraId="01A9A58B" w14:textId="77777777" w:rsidR="004E22C1" w:rsidRPr="001455DC" w:rsidRDefault="004E22C1" w:rsidP="00181041">
      <w:pPr>
        <w:pStyle w:val="a7"/>
      </w:pPr>
      <w:r w:rsidRPr="001455DC">
        <w:t>(4)</w:t>
      </w:r>
      <w:r w:rsidRPr="001455DC">
        <w:tab/>
        <w:t>Except in exposure classes X0 and XC1, fasteners for claddings shall be made of corrosion resistant material unless adequately protected against environmental actions.</w:t>
      </w:r>
    </w:p>
    <w:p w14:paraId="6440694F" w14:textId="77777777" w:rsidR="004E22C1" w:rsidRPr="001455DC" w:rsidRDefault="004E22C1" w:rsidP="00181041">
      <w:pPr>
        <w:pStyle w:val="a7"/>
      </w:pPr>
      <w:r w:rsidRPr="001455DC">
        <w:t>(5)</w:t>
      </w:r>
      <w:r w:rsidRPr="001455DC">
        <w:tab/>
        <w:t>Shear forces may be ignored in compression connections if they are less than 10 % of the compressive force.</w:t>
      </w:r>
    </w:p>
    <w:p w14:paraId="1614F529" w14:textId="77777777" w:rsidR="004E22C1" w:rsidRPr="001455DC" w:rsidRDefault="004E22C1" w:rsidP="00181041">
      <w:pPr>
        <w:pStyle w:val="a7"/>
      </w:pPr>
      <w:r w:rsidRPr="001455DC">
        <w:t>(6)</w:t>
      </w:r>
      <w:r w:rsidRPr="001455DC">
        <w:tab/>
        <w:t>At connections with bedding materials like mortar, concrete or polymeric pads, relative movement between the connected surfaces shall be prevented during hardening of the material.</w:t>
      </w:r>
    </w:p>
    <w:p w14:paraId="3D0DF5B2" w14:textId="77777777" w:rsidR="004E22C1" w:rsidRPr="001455DC" w:rsidRDefault="004E22C1" w:rsidP="00181041">
      <w:pPr>
        <w:pStyle w:val="a7"/>
      </w:pPr>
      <w:r w:rsidRPr="001455DC">
        <w:t>(7)</w:t>
      </w:r>
      <w:r w:rsidRPr="001455DC">
        <w:tab/>
        <w:t>Connections for compressive force without bedding material or mortar bed may only be used where appropriate quality of workmanship can be achieved. The average stress between plane surfaces should not exceed 0,4</w:t>
      </w:r>
      <w:r w:rsidRPr="001455DC">
        <w:rPr>
          <w:rStyle w:val="CCMCvariableitalic"/>
        </w:rPr>
        <w:t>f</w:t>
      </w:r>
      <w:r w:rsidRPr="001455DC">
        <w:rPr>
          <w:rStyle w:val="CCMCvariablesubscript"/>
        </w:rPr>
        <w:t>cd</w:t>
      </w:r>
      <w:r w:rsidRPr="001455DC">
        <w:t>.</w:t>
      </w:r>
    </w:p>
    <w:p w14:paraId="5B97724C" w14:textId="77777777" w:rsidR="004E22C1" w:rsidRPr="001455DC" w:rsidRDefault="004E22C1" w:rsidP="00181041">
      <w:pPr>
        <w:pStyle w:val="a7"/>
      </w:pPr>
      <w:r w:rsidRPr="001455DC">
        <w:t>(8)</w:t>
      </w:r>
      <w:r w:rsidRPr="001455DC">
        <w:tab/>
        <w:t>Transverse tensile stresses near the ends of adjacent precast concrete elements should be considered. They may be due to concentrated compression according to Figure 13.5a), or due to the expansion of a soft padding according to Figure 13.5b). Reinforcement in case a) may be designed and located according to 8.5.5. Reinforcement in case b) should be placed close to the surfaces of the adjacent elements.</w:t>
      </w:r>
    </w:p>
    <w:p w14:paraId="5C08B622" w14:textId="6EFD811C" w:rsidR="004E22C1" w:rsidRPr="001455DC" w:rsidRDefault="004E22C1" w:rsidP="00E844D2">
      <w:pPr>
        <w:pStyle w:val="a7"/>
        <w:keepNext/>
      </w:pPr>
      <w:r w:rsidRPr="001455DC">
        <w:t>(9)</w:t>
      </w:r>
      <w:r w:rsidRPr="001455DC">
        <w:tab/>
        <w:t>In absence of more accurate models, reinforcement in Figure 13.5b) may be calculated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181041" w:rsidRPr="001455DC" w14:paraId="2A8E014F" w14:textId="77777777" w:rsidTr="00C11449">
        <w:trPr>
          <w:cantSplit/>
        </w:trPr>
        <w:tc>
          <w:tcPr>
            <w:tcW w:w="8505" w:type="dxa"/>
            <w:vAlign w:val="center"/>
          </w:tcPr>
          <w:p w14:paraId="37FD1F53" w14:textId="63419E85" w:rsidR="00181041" w:rsidRPr="001455DC" w:rsidRDefault="00231E33" w:rsidP="00C11449">
            <w:pPr>
              <w:pStyle w:val="Formula"/>
              <w:jc w:val="left"/>
            </w:pPr>
            <m:oMathPara>
              <m:oMathParaPr>
                <m:jc m:val="left"/>
              </m:oMathParaPr>
              <m:oMath>
                <m:sSub>
                  <m:sSubPr>
                    <m:ctrlPr>
                      <w:rPr>
                        <w:rFonts w:ascii="Cambria Math" w:hAnsi="Cambria Math"/>
                      </w:rPr>
                    </m:ctrlPr>
                  </m:sSubPr>
                  <m:e>
                    <m:r>
                      <w:rPr>
                        <w:rFonts w:ascii="Cambria Math" w:hAnsi="Cambria Math"/>
                      </w:rPr>
                      <m:t>A</m:t>
                    </m:r>
                  </m:e>
                  <m:sub>
                    <m:r>
                      <w:rPr>
                        <w:rFonts w:ascii="Cambria Math" w:hAnsi="Cambria Math"/>
                      </w:rPr>
                      <m:t>s</m:t>
                    </m:r>
                  </m:sub>
                </m:sSub>
                <m:r>
                  <w:rPr>
                    <w:rFonts w:ascii="Cambria Math" w:hAnsi="Cambria Math"/>
                  </w:rPr>
                  <m:t>=0,25</m:t>
                </m:r>
                <m:f>
                  <m:fPr>
                    <m:ctrlPr>
                      <w:rPr>
                        <w:rFonts w:ascii="Cambria Math" w:hAnsi="Cambria Math"/>
                      </w:rPr>
                    </m:ctrlPr>
                  </m:fPr>
                  <m:num>
                    <m:r>
                      <w:rPr>
                        <w:rFonts w:ascii="Cambria Math" w:hAnsi="Cambria Math"/>
                      </w:rPr>
                      <m:t>t</m:t>
                    </m:r>
                  </m:num>
                  <m:den>
                    <m:r>
                      <w:rPr>
                        <w:rFonts w:ascii="Cambria Math" w:hAnsi="Cambria Math"/>
                      </w:rPr>
                      <m:t>h</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Ed</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yd</m:t>
                        </m:r>
                      </m:sub>
                    </m:sSub>
                  </m:den>
                </m:f>
              </m:oMath>
            </m:oMathPara>
          </w:p>
        </w:tc>
        <w:tc>
          <w:tcPr>
            <w:tcW w:w="1247" w:type="dxa"/>
            <w:vAlign w:val="center"/>
          </w:tcPr>
          <w:p w14:paraId="04A78B0C" w14:textId="4297E253" w:rsidR="00181041" w:rsidRPr="001455DC" w:rsidRDefault="00181041">
            <w:pPr>
              <w:pStyle w:val="a7"/>
              <w:jc w:val="right"/>
            </w:pPr>
            <w:r w:rsidRPr="001455DC">
              <w:t>(13.</w:t>
            </w:r>
            <w:r w:rsidR="00B45950" w:rsidRPr="001455DC">
              <w:t>14</w:t>
            </w:r>
            <w:r w:rsidRPr="001455DC">
              <w:t>)</w:t>
            </w:r>
          </w:p>
        </w:tc>
      </w:tr>
    </w:tbl>
    <w:p w14:paraId="563E96FE" w14:textId="77777777" w:rsidR="00181041" w:rsidRPr="001455DC" w:rsidRDefault="00181041"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181041" w:rsidRPr="001455DC" w14:paraId="3C3B4163" w14:textId="77777777" w:rsidTr="00C11449">
        <w:trPr>
          <w:cantSplit/>
        </w:trPr>
        <w:tc>
          <w:tcPr>
            <w:tcW w:w="567" w:type="dxa"/>
          </w:tcPr>
          <w:p w14:paraId="3A33796C" w14:textId="2184C6E0" w:rsidR="00181041" w:rsidRPr="001455DC" w:rsidRDefault="00181041" w:rsidP="0000442A">
            <w:pPr>
              <w:pStyle w:val="Tablebody"/>
            </w:pPr>
            <w:r w:rsidRPr="001455DC">
              <w:rPr>
                <w:rStyle w:val="CCMCvariableitalic"/>
              </w:rPr>
              <w:t>A</w:t>
            </w:r>
            <w:r w:rsidRPr="001455DC">
              <w:rPr>
                <w:rStyle w:val="CCMCvariablesubscript"/>
              </w:rPr>
              <w:t>s</w:t>
            </w:r>
          </w:p>
        </w:tc>
        <w:tc>
          <w:tcPr>
            <w:tcW w:w="8845" w:type="dxa"/>
          </w:tcPr>
          <w:p w14:paraId="63C5F455" w14:textId="502FF2E5" w:rsidR="00181041" w:rsidRPr="001455DC" w:rsidRDefault="00181041" w:rsidP="00BB1209">
            <w:pPr>
              <w:pStyle w:val="Tablebody"/>
            </w:pPr>
            <w:r w:rsidRPr="001455DC">
              <w:t>is the reinforcement area in each surface;</w:t>
            </w:r>
          </w:p>
        </w:tc>
      </w:tr>
      <w:tr w:rsidR="00181041" w:rsidRPr="001455DC" w14:paraId="7465033D" w14:textId="77777777" w:rsidTr="00C11449">
        <w:trPr>
          <w:cantSplit/>
        </w:trPr>
        <w:tc>
          <w:tcPr>
            <w:tcW w:w="567" w:type="dxa"/>
          </w:tcPr>
          <w:p w14:paraId="48484B01" w14:textId="30866B8E" w:rsidR="00181041" w:rsidRPr="001455DC" w:rsidRDefault="00181041" w:rsidP="0000442A">
            <w:pPr>
              <w:pStyle w:val="Tablebody"/>
            </w:pPr>
            <w:r w:rsidRPr="001455DC">
              <w:rPr>
                <w:rStyle w:val="CCMCvariableitalic"/>
              </w:rPr>
              <w:t>t</w:t>
            </w:r>
          </w:p>
        </w:tc>
        <w:tc>
          <w:tcPr>
            <w:tcW w:w="8845" w:type="dxa"/>
          </w:tcPr>
          <w:p w14:paraId="18724F9D" w14:textId="42094913" w:rsidR="00181041" w:rsidRPr="001455DC" w:rsidRDefault="00181041" w:rsidP="0000442A">
            <w:pPr>
              <w:pStyle w:val="Tablebody"/>
            </w:pPr>
            <w:r w:rsidRPr="001455DC">
              <w:t>is the thickness of padding;</w:t>
            </w:r>
          </w:p>
        </w:tc>
      </w:tr>
      <w:tr w:rsidR="00181041" w:rsidRPr="001455DC" w14:paraId="192011F7" w14:textId="77777777" w:rsidTr="00C11449">
        <w:trPr>
          <w:cantSplit/>
        </w:trPr>
        <w:tc>
          <w:tcPr>
            <w:tcW w:w="567" w:type="dxa"/>
          </w:tcPr>
          <w:p w14:paraId="623A26C1" w14:textId="7D8F8FD7" w:rsidR="00181041" w:rsidRPr="001455DC" w:rsidRDefault="00181041" w:rsidP="00D86695">
            <w:pPr>
              <w:pStyle w:val="Tablebody"/>
            </w:pPr>
            <w:r w:rsidRPr="001455DC">
              <w:rPr>
                <w:rStyle w:val="CCMCvariableitalic"/>
              </w:rPr>
              <w:t>h</w:t>
            </w:r>
          </w:p>
        </w:tc>
        <w:tc>
          <w:tcPr>
            <w:tcW w:w="8845" w:type="dxa"/>
          </w:tcPr>
          <w:p w14:paraId="6BEDB405" w14:textId="20F4B68B" w:rsidR="00181041" w:rsidRPr="001455DC" w:rsidRDefault="00181041" w:rsidP="00D86695">
            <w:pPr>
              <w:pStyle w:val="Tablebody"/>
            </w:pPr>
            <w:r w:rsidRPr="001455DC">
              <w:t>is the dimension of padding in the direction of the reinforcement;</w:t>
            </w:r>
          </w:p>
        </w:tc>
      </w:tr>
      <w:tr w:rsidR="00181041" w:rsidRPr="001455DC" w14:paraId="3C835F92" w14:textId="77777777" w:rsidTr="00C11449">
        <w:trPr>
          <w:cantSplit/>
        </w:trPr>
        <w:tc>
          <w:tcPr>
            <w:tcW w:w="567" w:type="dxa"/>
          </w:tcPr>
          <w:p w14:paraId="1DC62AC4" w14:textId="7B9E87C1" w:rsidR="00181041" w:rsidRPr="001455DC" w:rsidRDefault="00181041" w:rsidP="00D86695">
            <w:pPr>
              <w:pStyle w:val="Tablebody"/>
            </w:pPr>
            <w:r w:rsidRPr="001455DC">
              <w:rPr>
                <w:rStyle w:val="CCMCvariableitalic"/>
              </w:rPr>
              <w:t>F</w:t>
            </w:r>
            <w:r w:rsidRPr="001455DC">
              <w:rPr>
                <w:rStyle w:val="CCMCvariablesubscript"/>
              </w:rPr>
              <w:t>Ed</w:t>
            </w:r>
          </w:p>
        </w:tc>
        <w:tc>
          <w:tcPr>
            <w:tcW w:w="8845" w:type="dxa"/>
          </w:tcPr>
          <w:p w14:paraId="56635A13" w14:textId="53FA6196" w:rsidR="00181041" w:rsidRPr="001455DC" w:rsidRDefault="00181041" w:rsidP="00D86695">
            <w:pPr>
              <w:pStyle w:val="Tablebody"/>
            </w:pPr>
            <w:r w:rsidRPr="001455DC">
              <w:t>is the compressive force in the connection.</w:t>
            </w:r>
          </w:p>
        </w:tc>
      </w:tr>
    </w:tbl>
    <w:p w14:paraId="2ED2CBC5" w14:textId="77777777" w:rsidR="004E22C1" w:rsidRPr="001455DC" w:rsidRDefault="004E22C1" w:rsidP="00181041">
      <w:pPr>
        <w:pStyle w:val="a7"/>
      </w:pPr>
      <w:r w:rsidRPr="001455DC">
        <w:t>(10)</w:t>
      </w:r>
      <w:r w:rsidRPr="001455DC">
        <w:tab/>
        <w:t>The maximum capacity of compression connections should be determined according to 8.6, or should be based on design assisted by testing.</w:t>
      </w:r>
    </w:p>
    <w:tbl>
      <w:tblPr>
        <w:tblStyle w:val="a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876"/>
        <w:gridCol w:w="4876"/>
      </w:tblGrid>
      <w:tr w:rsidR="00181041" w:rsidRPr="001455DC" w14:paraId="6DCD6083" w14:textId="77777777" w:rsidTr="00C11449">
        <w:trPr>
          <w:cantSplit/>
          <w:jc w:val="center"/>
        </w:trPr>
        <w:tc>
          <w:tcPr>
            <w:tcW w:w="4946" w:type="dxa"/>
          </w:tcPr>
          <w:p w14:paraId="1F8A17A6" w14:textId="529EDCAB" w:rsidR="00181041" w:rsidRPr="001455DC" w:rsidRDefault="00723CF7" w:rsidP="00C11449">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"Y:\\STD_MGT\\STDDEL\\PRODUCTION\\etrans\\Download\\Z_FIRST_DEL\\SV\\00250\\00250269\\41_e_dr\\13_005a.tif"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"Y:\\STD_MGT\\STDDEL\\PRODUCTION\\Standards\\00250\\269\\41_e_dr\\13_005a.tif"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"Y:\\STD_MGT\\STDDEL\\PRODUCTION\\Standards\\00250\\269\\41_e_dr\\13_005a.tif"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"Y:\\STD_MGT\\STDDEL\\PRODUCTION\\Standards\\00250\\269\\41_e_dr\\13_005a.tif"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"Y:\\STD_MGT\\STDDEL\\PRODUCTION\\Standards\\00250\\269\\41_e_dr\\13_005a.tif"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"Y:\\STD_MGT\\STDDEL\\PRODUCTION\\Standards\\00250\\269\\41_e_dr\\13_005a.tif"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"C:\\Users\\a.dionysiou\\AppData\\Local\\Temp\\Temp1_00250269_e_20210902.zip.zip\\41_e_dr\\13_005a.tif"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076255F0">
                <v:shape id="_x0000_i1286" type="#_x0000_t75" style="width:75pt;height:144.75pt">
                  <v:imagedata r:id="rId542" r:href="rId543"/>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4946" w:type="dxa"/>
          </w:tcPr>
          <w:p w14:paraId="0FBA0137" w14:textId="7AB28FBE" w:rsidR="00181041" w:rsidRPr="001455DC" w:rsidRDefault="00723CF7" w:rsidP="00C11449">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"Y:\\STD_MGT\\STDDEL\\PRODUCTION\\etrans\\Download\\Z_FIRST_DEL\\SV\\00250\\00250269\\41_e_dr\\13_005b.tif"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"Y:\\STD_MGT\\STDDEL\\PRODUCTION\\Standards\\00250\\269\\41_e_dr\\13_005b.tif"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"Y:\\STD_MGT\\STDDEL\\PRODUCTION\\Standards\\00250\\269\\41_e_dr\\13_005b.tif"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"Y:\\STD_MGT\\STDDEL\\PRODUCTION\\Standards\\00250\\269\\41_e_dr\\13_005b.tif"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"Y:\\STD_MGT\\STDDEL\\PRODUCTION\\Standards\\00250\\269\\41_e_dr\\13_005b.tif"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"Y:\\STD_MGT\\STDDEL\\PRODUCTION\\Standards\\00250\\269\\41_e_dr\\13_005b.tif"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w:instrText>
            </w:r>
            <w:r w:rsidR="00231E33">
              <w:rPr>
                <w:noProof/>
                <w:lang w:eastAsia="en-GB"/>
              </w:rPr>
              <w:instrText>\\Local\\Temp\\Temp1_00250269_e_20210902.zip.zip\\41_e_dr\\13_005b.tif"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628787FD">
                <v:shape id="_x0000_i1287" type="#_x0000_t75" style="width:111pt;height:171.75pt">
                  <v:imagedata r:id="rId544" r:href="rId545"/>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181041" w:rsidRPr="001455DC" w14:paraId="21C48CB3" w14:textId="77777777" w:rsidTr="00C11449">
        <w:trPr>
          <w:cantSplit/>
          <w:jc w:val="center"/>
        </w:trPr>
        <w:tc>
          <w:tcPr>
            <w:tcW w:w="4946" w:type="dxa"/>
          </w:tcPr>
          <w:p w14:paraId="7AFC7101" w14:textId="4C779926" w:rsidR="00181041" w:rsidRPr="001455DC" w:rsidRDefault="00181041" w:rsidP="00C11449">
            <w:pPr>
              <w:pStyle w:val="FigureText"/>
              <w:jc w:val="center"/>
            </w:pPr>
            <w:r w:rsidRPr="009D3012">
              <w:t>a) concentrated bearing</w:t>
            </w:r>
          </w:p>
        </w:tc>
        <w:tc>
          <w:tcPr>
            <w:tcW w:w="4946" w:type="dxa"/>
          </w:tcPr>
          <w:p w14:paraId="41883776" w14:textId="3F7DF297" w:rsidR="00181041" w:rsidRPr="001455DC" w:rsidRDefault="00181041" w:rsidP="00C11449">
            <w:pPr>
              <w:pStyle w:val="FigureText"/>
              <w:jc w:val="center"/>
            </w:pPr>
            <w:r w:rsidRPr="009D3012">
              <w:t>b) expansion of soft padding</w:t>
            </w:r>
          </w:p>
        </w:tc>
      </w:tr>
    </w:tbl>
    <w:p w14:paraId="77BA4735" w14:textId="77777777" w:rsidR="004E22C1" w:rsidRPr="001455DC" w:rsidRDefault="004E22C1" w:rsidP="00181041">
      <w:pPr>
        <w:pStyle w:val="Figuretitle"/>
      </w:pPr>
      <w:r w:rsidRPr="001455DC">
        <w:t>Figure 13.5 — Transverse tensile stresses at connections transmitting compression</w:t>
      </w:r>
    </w:p>
    <w:p w14:paraId="404AA228" w14:textId="77777777" w:rsidR="004E22C1" w:rsidRPr="001455DC" w:rsidRDefault="004E22C1" w:rsidP="00181041">
      <w:pPr>
        <w:pStyle w:val="a7"/>
      </w:pPr>
      <w:r w:rsidRPr="001455DC">
        <w:t>(11)</w:t>
      </w:r>
      <w:r w:rsidRPr="001455DC">
        <w:tab/>
        <w:t>In building wall elements installed over floor slabs, reinforcement should normally be provided for possible eccentricities and concentrations of the vertical load at the end of the wall.</w:t>
      </w:r>
    </w:p>
    <w:p w14:paraId="44F7606C" w14:textId="77777777" w:rsidR="00181041" w:rsidRPr="001455DC" w:rsidRDefault="004E22C1" w:rsidP="00E844D2">
      <w:pPr>
        <w:pStyle w:val="a7"/>
        <w:keepNext/>
      </w:pPr>
      <w:r w:rsidRPr="001455DC">
        <w:t>(12)</w:t>
      </w:r>
      <w:r w:rsidRPr="001455DC">
        <w:tab/>
        <w:t>Specific reinforcement in building walls over a connection may be omitted, if the vertical load satisfies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181041" w:rsidRPr="001455DC" w14:paraId="286F3B5B" w14:textId="77777777" w:rsidTr="00C11449">
        <w:trPr>
          <w:cantSplit/>
        </w:trPr>
        <w:tc>
          <w:tcPr>
            <w:tcW w:w="8505" w:type="dxa"/>
            <w:vAlign w:val="center"/>
          </w:tcPr>
          <w:p w14:paraId="613AE95F" w14:textId="08D5AC94" w:rsidR="00181041" w:rsidRPr="001455DC" w:rsidRDefault="00181041" w:rsidP="00C11449">
            <w:pPr>
              <w:pStyle w:val="Formula"/>
              <w:jc w:val="left"/>
            </w:pPr>
            <w:r w:rsidRPr="001455DC">
              <w:rPr>
                <w:rStyle w:val="CCMCvariableitalic"/>
              </w:rPr>
              <w:t>F</w:t>
            </w:r>
            <w:r w:rsidRPr="001455DC">
              <w:rPr>
                <w:rStyle w:val="CCMCvariablesubscript"/>
              </w:rPr>
              <w:t>Ed</w:t>
            </w:r>
            <w:r w:rsidRPr="001455DC">
              <w:t> </w:t>
            </w:r>
            <w:r w:rsidR="00650035" w:rsidRPr="001455DC">
              <w:rPr>
                <w:rFonts w:ascii="Cambria Math" w:hAnsi="Cambria Math"/>
              </w:rPr>
              <w:t>≤</w:t>
            </w:r>
            <w:r w:rsidRPr="001455DC">
              <w:t> 0,5</w:t>
            </w:r>
            <w:r w:rsidRPr="001455DC">
              <w:rPr>
                <w:rStyle w:val="CCMCvariableitalic"/>
              </w:rPr>
              <w:t>h</w:t>
            </w:r>
            <w:r w:rsidRPr="001455DC">
              <w:t> </w:t>
            </w:r>
            <w:r w:rsidRPr="001455DC">
              <w:rPr>
                <w:rFonts w:ascii="Cambria Math" w:hAnsi="Cambria Math" w:cs="Cambria Math"/>
              </w:rPr>
              <w:t>⋅</w:t>
            </w:r>
            <w:r w:rsidRPr="001455DC">
              <w:t> </w:t>
            </w:r>
            <w:r w:rsidRPr="001455DC">
              <w:rPr>
                <w:rStyle w:val="CCMCvariableitalic"/>
              </w:rPr>
              <w:t>f</w:t>
            </w:r>
            <w:r w:rsidRPr="001455DC">
              <w:rPr>
                <w:rStyle w:val="CCMCvariablesubscript"/>
              </w:rPr>
              <w:t>cd</w:t>
            </w:r>
          </w:p>
        </w:tc>
        <w:tc>
          <w:tcPr>
            <w:tcW w:w="1247" w:type="dxa"/>
            <w:vAlign w:val="center"/>
          </w:tcPr>
          <w:p w14:paraId="2C17CF0F" w14:textId="57D2712D" w:rsidR="00181041" w:rsidRPr="001455DC" w:rsidRDefault="00181041">
            <w:pPr>
              <w:pStyle w:val="a7"/>
              <w:jc w:val="right"/>
            </w:pPr>
            <w:r w:rsidRPr="001455DC">
              <w:t>(13.</w:t>
            </w:r>
            <w:r w:rsidR="00B45950" w:rsidRPr="001455DC">
              <w:t>15</w:t>
            </w:r>
            <w:r w:rsidRPr="001455DC">
              <w:t>)</w:t>
            </w:r>
          </w:p>
        </w:tc>
      </w:tr>
    </w:tbl>
    <w:p w14:paraId="45AB5AB7" w14:textId="77777777" w:rsidR="004E22C1" w:rsidRPr="001455DC" w:rsidRDefault="004E22C1" w:rsidP="00181041">
      <w:pPr>
        <w:pStyle w:val="a7"/>
      </w:pPr>
      <w:r w:rsidRPr="001455DC">
        <w:t xml:space="preserve">where </w:t>
      </w:r>
      <w:r w:rsidRPr="001455DC">
        <w:rPr>
          <w:rStyle w:val="CCMCvariableitalic"/>
        </w:rPr>
        <w:t>h</w:t>
      </w:r>
      <w:r w:rsidRPr="001455DC">
        <w:t xml:space="preserve"> is the wall thickness (see Figure 13.6).</w:t>
      </w:r>
    </w:p>
    <w:p w14:paraId="6C5D5D21" w14:textId="3F4CC22F" w:rsidR="00181041" w:rsidRPr="001455DC" w:rsidRDefault="004E22C1" w:rsidP="00E844D2">
      <w:pPr>
        <w:pStyle w:val="a7"/>
        <w:keepNext/>
      </w:pPr>
      <w:r w:rsidRPr="001455DC">
        <w:t>(13)</w:t>
      </w:r>
      <w:r w:rsidRPr="001455DC">
        <w:tab/>
      </w:r>
      <w:r w:rsidRPr="001455DC">
        <w:rPr>
          <w:rStyle w:val="CCMCvariableitalic"/>
        </w:rPr>
        <w:t>F</w:t>
      </w:r>
      <w:r w:rsidRPr="001455DC">
        <w:rPr>
          <w:rStyle w:val="CCMCvariablesubscript"/>
        </w:rPr>
        <w:t>Ed</w:t>
      </w:r>
      <w:r w:rsidRPr="001455DC">
        <w:t xml:space="preserve"> in Formula (13.</w:t>
      </w:r>
      <w:r w:rsidR="00B45950" w:rsidRPr="001455DC">
        <w:t>15</w:t>
      </w:r>
      <w:r w:rsidRPr="001455DC">
        <w:t>) may be increased to</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181041" w:rsidRPr="001455DC" w14:paraId="1C55710C" w14:textId="77777777" w:rsidTr="00C11449">
        <w:trPr>
          <w:cantSplit/>
        </w:trPr>
        <w:tc>
          <w:tcPr>
            <w:tcW w:w="8505" w:type="dxa"/>
            <w:vAlign w:val="center"/>
          </w:tcPr>
          <w:p w14:paraId="54CAB32C" w14:textId="2FDE913F" w:rsidR="00181041" w:rsidRPr="001455DC" w:rsidRDefault="00181041" w:rsidP="00C11449">
            <w:pPr>
              <w:pStyle w:val="Formula"/>
              <w:jc w:val="left"/>
            </w:pPr>
            <w:r w:rsidRPr="001455DC">
              <w:rPr>
                <w:rStyle w:val="CCMCvariableitalic"/>
              </w:rPr>
              <w:t>F</w:t>
            </w:r>
            <w:r w:rsidRPr="001455DC">
              <w:rPr>
                <w:rStyle w:val="CCMCvariablesubscript"/>
              </w:rPr>
              <w:t>Ed</w:t>
            </w:r>
            <w:r w:rsidRPr="001455DC">
              <w:t> </w:t>
            </w:r>
            <w:r w:rsidR="00EC27D2" w:rsidRPr="001455DC">
              <w:rPr>
                <w:rFonts w:ascii="Cambria Math" w:hAnsi="Cambria Math"/>
              </w:rPr>
              <w:t>=</w:t>
            </w:r>
            <w:r w:rsidRPr="001455DC">
              <w:t> 0,6</w:t>
            </w:r>
            <w:r w:rsidRPr="001455DC">
              <w:rPr>
                <w:rStyle w:val="CCMCvariableitalic"/>
              </w:rPr>
              <w:t>h</w:t>
            </w:r>
            <w:r w:rsidRPr="001455DC">
              <w:t> </w:t>
            </w:r>
            <w:r w:rsidRPr="001455DC">
              <w:rPr>
                <w:rFonts w:ascii="Cambria Math" w:hAnsi="Cambria Math" w:cs="Cambria Math"/>
              </w:rPr>
              <w:t>⋅</w:t>
            </w:r>
            <w:r w:rsidRPr="001455DC">
              <w:t> </w:t>
            </w:r>
            <w:r w:rsidRPr="001455DC">
              <w:rPr>
                <w:rStyle w:val="CCMCvariableitalic"/>
              </w:rPr>
              <w:t>f</w:t>
            </w:r>
            <w:r w:rsidRPr="001455DC">
              <w:rPr>
                <w:rStyle w:val="CCMCvariablesubscript"/>
              </w:rPr>
              <w:t>cd</w:t>
            </w:r>
          </w:p>
        </w:tc>
        <w:tc>
          <w:tcPr>
            <w:tcW w:w="1247" w:type="dxa"/>
            <w:vAlign w:val="center"/>
          </w:tcPr>
          <w:p w14:paraId="7F48864F" w14:textId="7EC2620F" w:rsidR="00181041" w:rsidRPr="001455DC" w:rsidRDefault="00181041">
            <w:pPr>
              <w:pStyle w:val="a7"/>
              <w:jc w:val="right"/>
            </w:pPr>
            <w:r w:rsidRPr="001455DC">
              <w:t>(13.</w:t>
            </w:r>
            <w:r w:rsidR="00B45950" w:rsidRPr="001455DC">
              <w:t>16</w:t>
            </w:r>
            <w:r w:rsidRPr="001455DC">
              <w:t>)</w:t>
            </w:r>
          </w:p>
        </w:tc>
      </w:tr>
    </w:tbl>
    <w:p w14:paraId="345BEEF8" w14:textId="0238C341" w:rsidR="004E22C1" w:rsidRPr="001455DC" w:rsidRDefault="004E22C1" w:rsidP="00181041">
      <w:pPr>
        <w:pStyle w:val="a7"/>
      </w:pPr>
      <w:r w:rsidRPr="001455DC">
        <w:t xml:space="preserve">in presence of reinforcement as in Figure 13.6, having diameter </w:t>
      </w:r>
      <w:r w:rsidRPr="001455DC">
        <w:rPr>
          <w:rStyle w:val="CCMCvariableitalic"/>
        </w:rPr>
        <w:t>ϕ</w:t>
      </w:r>
      <w:r w:rsidRPr="001455DC">
        <w:t> </w:t>
      </w:r>
      <w:r w:rsidR="00650035" w:rsidRPr="001455DC">
        <w:rPr>
          <w:rFonts w:ascii="Cambria Math" w:hAnsi="Cambria Math"/>
        </w:rPr>
        <w:t>≥</w:t>
      </w:r>
      <w:r w:rsidR="00073FC6" w:rsidRPr="001455DC">
        <w:t> </w:t>
      </w:r>
      <w:r w:rsidRPr="001455DC">
        <w:t xml:space="preserve">6 mm and spacing </w:t>
      </w:r>
      <w:r w:rsidRPr="001455DC">
        <w:rPr>
          <w:rStyle w:val="CCMCvariableitalic"/>
        </w:rPr>
        <w:t>s</w:t>
      </w:r>
      <w:r w:rsidRPr="001455DC">
        <w:t xml:space="preserve"> not greater than the lesser of </w:t>
      </w:r>
      <w:r w:rsidRPr="001455DC">
        <w:rPr>
          <w:rStyle w:val="CCMCvariableitalic"/>
        </w:rPr>
        <w:t>h</w:t>
      </w:r>
      <w:r w:rsidRPr="001455DC">
        <w:t xml:space="preserve"> and 200 mm. For higher loads, reinforcement should be designed according to Formula (13.</w:t>
      </w:r>
      <w:r w:rsidR="00B45950" w:rsidRPr="001455DC">
        <w:t>14</w:t>
      </w:r>
      <w:r w:rsidRPr="001455DC">
        <w:t>). A separate check should be made for the lower wall.</w:t>
      </w:r>
    </w:p>
    <w:tbl>
      <w:tblPr>
        <w:tblStyle w:val="a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876"/>
        <w:gridCol w:w="4876"/>
      </w:tblGrid>
      <w:tr w:rsidR="00181041" w:rsidRPr="001455DC" w14:paraId="6934CB52" w14:textId="77777777" w:rsidTr="00C11449">
        <w:trPr>
          <w:cantSplit/>
          <w:jc w:val="center"/>
        </w:trPr>
        <w:tc>
          <w:tcPr>
            <w:tcW w:w="4946" w:type="dxa"/>
          </w:tcPr>
          <w:p w14:paraId="13CB49DF" w14:textId="78BCE306" w:rsidR="00181041" w:rsidRPr="001455DC" w:rsidRDefault="00723CF7" w:rsidP="00C11449">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"Y:\\STD_MGT\\STDDEL\\PRODUCTION\\etrans\\Download\\Z_FIRST_DEL\\SV\\00250\\00250269\\41_e_dr\\13_006a.tif"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"Y:\\STD_MGT\\STDDEL\\PRODUCTION\\Standards\\00250\\269\\41_e_dr\\13_006a.tif"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"Y:\\STD_MGT\\STDDEL\\PRODUCTION\\Standards\\00250\\269\\41_e_dr\\13_006a.tif"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"Y:\\STD_MGT\\STDDEL\\PRODUCTION\\Standards\\00250\\269\\41_e_dr\\13_006a.tif"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"Y:\\STD_MGT\\STDDEL\\PRODUCTION\\Standards\\00250\\269\\41_e_dr\\13_006a.tif"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"Y:\\STD_MGT\\STDDEL\\PRODUCTION\\Standards\\00250\\269\\41_e_dr\\13_006a.tif"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"C:\\Users\\a.dionysiou\\AppData\\Local\\Temp\\Temp1_00250269_e_20210902.zip.zip\\41_e_dr\\13_006a.tif"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0478F0C5">
                <v:shape id="_x0000_i1288" type="#_x0000_t75" style="width:205.5pt;height:127.5pt">
                  <v:imagedata r:id="rId546" r:href="rId547"/>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4946" w:type="dxa"/>
          </w:tcPr>
          <w:p w14:paraId="78DD9F4A" w14:textId="1D9E5A00" w:rsidR="00181041" w:rsidRPr="001455DC" w:rsidRDefault="00723CF7" w:rsidP="00C11449">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"Y:\\STD_MGT\\STDDEL\\PRODUCTION\\etrans\\Download\\Z_FIRST_DEL\\SV\\00250\\00250269\\41_e_dr\\13_006b.tif"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"Y:\\STD_MGT\\STDDEL\\PRODUCTION\\Standards\\00250\\269\\41_e_dr\\13_006b.tif"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"Y:\\STD_MGT\\STDDEL\\PRODUCTION\\Standards\\00250\\269\\41_e_dr\\13_006b.tif"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"Y:\\STD_MGT\\STDDEL\\PRODUCTION\\Standards\\00250\\269\\41_e_dr\\13_006b.tif"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"Y:\\STD_MGT\\STDDEL\\PRODUCTION\\Standards\\00250\\269\\41_e_dr\\13_006b.tif"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"Y:\\STD_MGT\\STDDEL\\PRODUCTION\\Standards\\00250\\269\\41_e_dr\\13_006b.tif"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w:instrText>
            </w:r>
            <w:r w:rsidR="00231E33">
              <w:rPr>
                <w:noProof/>
                <w:lang w:eastAsia="en-GB"/>
              </w:rPr>
              <w:instrText>e_20210902.zip.zip\\41_e_dr\\13_006b.tif"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2EB972B6">
                <v:shape id="_x0000_i1289" type="#_x0000_t75" style="width:81pt;height:116.25pt">
                  <v:imagedata r:id="rId548" r:href="rId549"/>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181041" w:rsidRPr="001455DC" w14:paraId="498BC9DE" w14:textId="77777777" w:rsidTr="00C11449">
        <w:trPr>
          <w:cantSplit/>
          <w:jc w:val="center"/>
        </w:trPr>
        <w:tc>
          <w:tcPr>
            <w:tcW w:w="4946" w:type="dxa"/>
          </w:tcPr>
          <w:p w14:paraId="2969094B" w14:textId="28CEB6EC" w:rsidR="00181041" w:rsidRPr="001455DC" w:rsidRDefault="00181041" w:rsidP="00C11449">
            <w:pPr>
              <w:pStyle w:val="FigureText"/>
              <w:jc w:val="center"/>
            </w:pPr>
            <w:r w:rsidRPr="009D3012">
              <w:t>a) transverse view</w:t>
            </w:r>
          </w:p>
        </w:tc>
        <w:tc>
          <w:tcPr>
            <w:tcW w:w="4946" w:type="dxa"/>
          </w:tcPr>
          <w:p w14:paraId="3D96496E" w14:textId="0946FAAD" w:rsidR="00181041" w:rsidRPr="001455DC" w:rsidRDefault="00181041" w:rsidP="00C11449">
            <w:pPr>
              <w:pStyle w:val="FigureText"/>
              <w:jc w:val="center"/>
            </w:pPr>
            <w:r w:rsidRPr="009D3012">
              <w:t>b) longitudinal view</w:t>
            </w:r>
          </w:p>
        </w:tc>
      </w:tr>
    </w:tbl>
    <w:p w14:paraId="7E0D30E5" w14:textId="77777777" w:rsidR="004E22C1" w:rsidRPr="001455DC" w:rsidRDefault="004E22C1" w:rsidP="00181041">
      <w:pPr>
        <w:pStyle w:val="Figuretitle"/>
      </w:pPr>
      <w:r w:rsidRPr="001455DC">
        <w:t>Figure 13.6 — Example of reinforcement in a building wall over a connection between floor slabs</w:t>
      </w:r>
    </w:p>
    <w:p w14:paraId="5B19CD3B" w14:textId="29D75E3D" w:rsidR="004E22C1" w:rsidRPr="001455DC" w:rsidRDefault="004E22C1" w:rsidP="00181041">
      <w:pPr>
        <w:pStyle w:val="a7"/>
      </w:pPr>
      <w:r w:rsidRPr="001455DC">
        <w:t>(14)</w:t>
      </w:r>
      <w:r w:rsidRPr="001455DC">
        <w:tab/>
        <w:t xml:space="preserve">Reinforcement for </w:t>
      </w:r>
      <w:r w:rsidR="00862802" w:rsidRPr="001455DC">
        <w:t>transferring</w:t>
      </w:r>
      <w:r w:rsidRPr="001455DC">
        <w:t xml:space="preserve"> bending moments or tensile forces shall be continuous across the connection and anchored in the adjacent precast concrete elements.</w:t>
      </w:r>
    </w:p>
    <w:p w14:paraId="07E33D02" w14:textId="3C9393F6" w:rsidR="004E22C1" w:rsidRPr="001455DC" w:rsidRDefault="004E22C1" w:rsidP="00243590">
      <w:pPr>
        <w:pStyle w:val="31"/>
      </w:pPr>
      <w:bookmarkStart w:id="1087" w:name="_Toc52820102"/>
      <w:bookmarkStart w:id="1088" w:name="_Toc54337504"/>
      <w:bookmarkStart w:id="1089" w:name="_Toc54338158"/>
      <w:bookmarkStart w:id="1090" w:name="_Toc67565496"/>
      <w:r w:rsidRPr="001455DC">
        <w:t>Supports</w:t>
      </w:r>
      <w:bookmarkEnd w:id="1087"/>
      <w:bookmarkEnd w:id="1088"/>
      <w:bookmarkEnd w:id="1089"/>
      <w:bookmarkEnd w:id="1090"/>
    </w:p>
    <w:p w14:paraId="33A830C5" w14:textId="77777777" w:rsidR="004E22C1" w:rsidRPr="001455DC" w:rsidRDefault="004E22C1" w:rsidP="00181041">
      <w:pPr>
        <w:pStyle w:val="a7"/>
      </w:pPr>
      <w:r w:rsidRPr="001455DC">
        <w:t>(1)</w:t>
      </w:r>
      <w:r w:rsidRPr="001455DC">
        <w:tab/>
        <w:t>Bearings shall be designed and detailed to ensure correct positioning, taking into account production and assembling deviations.</w:t>
      </w:r>
    </w:p>
    <w:p w14:paraId="5663D480" w14:textId="77777777" w:rsidR="004E22C1" w:rsidRPr="001455DC" w:rsidRDefault="004E22C1" w:rsidP="00181041">
      <w:pPr>
        <w:pStyle w:val="a7"/>
      </w:pPr>
      <w:r w:rsidRPr="001455DC">
        <w:t>(2)</w:t>
      </w:r>
      <w:r w:rsidRPr="001455DC">
        <w:tab/>
        <w:t>For bearings which do not permit sliding or rotation without significant restraint, actions due to creep, shrinkage, temperature, misalignment, lack of plumb etc. shall be taken into account in the design of supported and adjacent members.</w:t>
      </w:r>
    </w:p>
    <w:p w14:paraId="4EDC11A9" w14:textId="77777777" w:rsidR="004E22C1" w:rsidRPr="001455DC" w:rsidRDefault="004E22C1" w:rsidP="00181041">
      <w:pPr>
        <w:pStyle w:val="a7"/>
      </w:pPr>
      <w:r w:rsidRPr="001455DC">
        <w:t>(3)</w:t>
      </w:r>
      <w:r w:rsidRPr="001455DC">
        <w:tab/>
        <w:t>Reinforcement in supporting and supported members shall be detailed to ensure effectiveness in the respective nodes, allowing for deviations, see 12.10.</w:t>
      </w:r>
    </w:p>
    <w:p w14:paraId="6B9E4E18" w14:textId="77777777" w:rsidR="004E22C1" w:rsidRPr="001455DC" w:rsidRDefault="004E22C1" w:rsidP="00E844D2">
      <w:pPr>
        <w:pStyle w:val="a7"/>
        <w:keepNext/>
      </w:pPr>
      <w:r w:rsidRPr="001455DC">
        <w:t>(4)</w:t>
      </w:r>
      <w:r w:rsidRPr="001455DC">
        <w:tab/>
        <w:t xml:space="preserve">The nominal length </w:t>
      </w:r>
      <w:r w:rsidRPr="001455DC">
        <w:rPr>
          <w:rStyle w:val="CCMCvariableitalic"/>
        </w:rPr>
        <w:t>a</w:t>
      </w:r>
      <w:r w:rsidRPr="001455DC">
        <w:t xml:space="preserve"> of a simple support bearing as shown in Figure 13.7 should be calculated accounting for:</w:t>
      </w:r>
    </w:p>
    <w:p w14:paraId="3326D66C" w14:textId="1322C999" w:rsidR="004E22C1" w:rsidRPr="001455DC" w:rsidRDefault="004E22C1" w:rsidP="00181041">
      <w:pPr>
        <w:pStyle w:val="a0"/>
      </w:pPr>
      <w:r w:rsidRPr="001455DC">
        <w:t xml:space="preserve">the net bearing length </w:t>
      </w:r>
      <w:r w:rsidRPr="001455DC">
        <w:rPr>
          <w:rStyle w:val="CCMCvariableitalic"/>
        </w:rPr>
        <w:t>a</w:t>
      </w:r>
      <w:r w:rsidRPr="001455DC">
        <w:rPr>
          <w:rStyle w:val="CCMCvariablesubscript"/>
        </w:rPr>
        <w:t>1</w:t>
      </w:r>
      <w:r w:rsidRPr="001455DC">
        <w:t xml:space="preserve"> with regard to bearing strength as defined in (5),</w:t>
      </w:r>
    </w:p>
    <w:p w14:paraId="73FCAFB1" w14:textId="6BE92723" w:rsidR="004E22C1" w:rsidRPr="001455DC" w:rsidRDefault="004E22C1" w:rsidP="00181041">
      <w:pPr>
        <w:pStyle w:val="a0"/>
      </w:pPr>
      <w:r w:rsidRPr="001455DC">
        <w:t xml:space="preserve">the distances </w:t>
      </w:r>
      <w:r w:rsidRPr="001455DC">
        <w:rPr>
          <w:rStyle w:val="CCMCvariableitalic"/>
        </w:rPr>
        <w:t>a</w:t>
      </w:r>
      <w:r w:rsidRPr="001455DC">
        <w:rPr>
          <w:rStyle w:val="CCMCvariablesubscript"/>
        </w:rPr>
        <w:t>2</w:t>
      </w:r>
      <w:r w:rsidRPr="001455DC">
        <w:t xml:space="preserve"> and </w:t>
      </w:r>
      <w:r w:rsidRPr="001455DC">
        <w:rPr>
          <w:rStyle w:val="CCMCvariableitalic"/>
        </w:rPr>
        <w:t>a</w:t>
      </w:r>
      <w:r w:rsidRPr="001455DC">
        <w:rPr>
          <w:rStyle w:val="CCMCvariablesubscript"/>
        </w:rPr>
        <w:t>3</w:t>
      </w:r>
      <w:r w:rsidRPr="001455DC">
        <w:t xml:space="preserve"> assumed beyond bearings,</w:t>
      </w:r>
    </w:p>
    <w:p w14:paraId="3FED1DED" w14:textId="18D9C566" w:rsidR="004E22C1" w:rsidRPr="001455DC" w:rsidRDefault="004E22C1" w:rsidP="00181041">
      <w:pPr>
        <w:pStyle w:val="a0"/>
      </w:pPr>
      <w:r w:rsidRPr="001455DC">
        <w:t>the allowances for deviations Δ</w:t>
      </w:r>
      <w:r w:rsidRPr="001455DC">
        <w:rPr>
          <w:rStyle w:val="CCMCvariableitalic"/>
        </w:rPr>
        <w:t>a</w:t>
      </w:r>
      <w:r w:rsidRPr="001455DC">
        <w:rPr>
          <w:rStyle w:val="CCMCvariablesubscript"/>
        </w:rPr>
        <w:t>2</w:t>
      </w:r>
      <w:r w:rsidRPr="001455DC">
        <w:t xml:space="preserve"> and Δ</w:t>
      </w:r>
      <w:r w:rsidRPr="001455DC">
        <w:rPr>
          <w:rStyle w:val="CCMCvariableitalic"/>
        </w:rPr>
        <w:t>a</w:t>
      </w:r>
      <w:r w:rsidRPr="001455DC">
        <w:rPr>
          <w:rStyle w:val="CCMCvariablesubscript"/>
        </w:rPr>
        <w:t>3</w:t>
      </w:r>
      <w:r w:rsidRPr="001455DC">
        <w:t xml:space="preserve"> in length of both members and of their distance.</w:t>
      </w:r>
    </w:p>
    <w:p w14:paraId="06A1D40F" w14:textId="77777777" w:rsidR="004E22C1" w:rsidRPr="001455DC" w:rsidRDefault="004E22C1" w:rsidP="00181041">
      <w:pPr>
        <w:pStyle w:val="a7"/>
      </w:pPr>
      <w:r w:rsidRPr="001455DC">
        <w:t xml:space="preserve">Indications for evaluating the distances </w:t>
      </w:r>
      <w:r w:rsidRPr="001455DC">
        <w:rPr>
          <w:rStyle w:val="CCMCvariableitalic"/>
        </w:rPr>
        <w:t>a</w:t>
      </w:r>
      <w:r w:rsidRPr="001455DC">
        <w:rPr>
          <w:rStyle w:val="CCMCvariablesubscript"/>
        </w:rPr>
        <w:t>2</w:t>
      </w:r>
      <w:r w:rsidRPr="001455DC">
        <w:t xml:space="preserve"> and </w:t>
      </w:r>
      <w:r w:rsidRPr="001455DC">
        <w:rPr>
          <w:rStyle w:val="CCMCvariableitalic"/>
        </w:rPr>
        <w:t>a</w:t>
      </w:r>
      <w:r w:rsidRPr="001455DC">
        <w:rPr>
          <w:rStyle w:val="CCMCvariablesubscript"/>
        </w:rPr>
        <w:t>3</w:t>
      </w:r>
      <w:r w:rsidRPr="001455DC">
        <w:t xml:space="preserve"> and the deviations Δ</w:t>
      </w:r>
      <w:r w:rsidRPr="001455DC">
        <w:rPr>
          <w:rStyle w:val="CCMCvariableitalic"/>
        </w:rPr>
        <w:t>a</w:t>
      </w:r>
      <w:r w:rsidRPr="001455DC">
        <w:rPr>
          <w:rStyle w:val="CCMCvariablesubscript"/>
        </w:rPr>
        <w:t>2</w:t>
      </w:r>
      <w:r w:rsidRPr="001455DC">
        <w:t xml:space="preserve"> and Δ</w:t>
      </w:r>
      <w:r w:rsidRPr="001455DC">
        <w:rPr>
          <w:rStyle w:val="CCMCvariableitalic"/>
        </w:rPr>
        <w:t>a</w:t>
      </w:r>
      <w:r w:rsidRPr="001455DC">
        <w:rPr>
          <w:rStyle w:val="CCMCvariablesubscript"/>
        </w:rPr>
        <w:t>3</w:t>
      </w:r>
      <w:r w:rsidRPr="001455DC">
        <w:t xml:space="preserve"> as function of the tolerances are given in EN 13369.</w:t>
      </w:r>
    </w:p>
    <w:p w14:paraId="0950F774" w14:textId="2528478D" w:rsidR="004E22C1" w:rsidRPr="001455DC" w:rsidRDefault="00723CF7" w:rsidP="00181041">
      <w:pPr>
        <w:pStyle w:val="FigureImage"/>
      </w:pPr>
      <w:r>
        <w:rPr>
          <w:noProof/>
          <w:lang w:eastAsia="en-GB"/>
        </w:rPr>
        <w:fldChar w:fldCharType="begin"/>
      </w:r>
      <w:r>
        <w:rPr>
          <w:noProof/>
          <w:lang w:eastAsia="en-GB"/>
        </w:rPr>
        <w:instrText xml:space="preserve"> INCLUDEPICTURE  "Y:\\STD_MGT\\STDDEL\\PRODUCTION\\etrans\\Download\\Z_FIRST_DEL\\SV\\00250\\00250269\\41_e_dr\\13_007.tif"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"Y:\\STD_MGT\\STDDEL\\PRODUCTION\\Standards\\00250\\269\\41_e_dr\\13_007.tif"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"Y:\\STD_MGT\\STDDEL\\PRODUCTION\\Standards\\00250\\269\\41_e_dr\\13_007.tif"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"Y:\\STD_MGT\\STDDEL\\PRODUCTION\\Standards\\00250\\269\\41_e_dr\\13_007.tif"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"Y:\\STD_MGT\\STDDEL\\PRODUCTION\\Standards\\00250\\269\\41_e_dr\\13_007.tif"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"Y:\\STD_MGT\\STDDEL\\PRODUCTION\\Standards\\00250\\269\\41_e_dr\\13_007.tif"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w:instrText>
      </w:r>
      <w:r w:rsidR="00231E33">
        <w:rPr>
          <w:noProof/>
          <w:lang w:eastAsia="en-GB"/>
        </w:rPr>
        <w:instrText>\\Temp\\Temp1_00250269_e_20210902.zip.zip\\41_e_dr\\13_007.tif"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1B726BFD">
          <v:shape id="_x0000_i1290" type="#_x0000_t75" style="width:318pt;height:144.75pt">
            <v:imagedata r:id="rId550" r:href="rId551"/>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4C734B31" w14:textId="77777777" w:rsidR="004E22C1" w:rsidRPr="001455DC" w:rsidRDefault="004E22C1" w:rsidP="00181041">
      <w:pPr>
        <w:pStyle w:val="Figuretitle"/>
        <w:rPr>
          <w:iCs/>
        </w:rPr>
      </w:pPr>
      <w:r w:rsidRPr="001455DC">
        <w:t>Figure 13.7 — Example of bearing and lengths definitions</w:t>
      </w:r>
    </w:p>
    <w:p w14:paraId="7DDD260F" w14:textId="77777777" w:rsidR="00181041" w:rsidRPr="001455DC" w:rsidRDefault="004E22C1" w:rsidP="00E844D2">
      <w:pPr>
        <w:pStyle w:val="a7"/>
        <w:keepNext/>
      </w:pPr>
      <w:r w:rsidRPr="001455DC">
        <w:t>(5)</w:t>
      </w:r>
      <w:r w:rsidRPr="001455DC">
        <w:tab/>
        <w:t>In the absence of more detailed specifications, the following values may be used for the bearing strength:</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181041" w:rsidRPr="001455DC" w14:paraId="77579217" w14:textId="77777777" w:rsidTr="00C11449">
        <w:trPr>
          <w:cantSplit/>
        </w:trPr>
        <w:tc>
          <w:tcPr>
            <w:tcW w:w="8505" w:type="dxa"/>
            <w:vAlign w:val="center"/>
          </w:tcPr>
          <w:p w14:paraId="280A0530" w14:textId="52981F74" w:rsidR="00181041" w:rsidRPr="001455DC" w:rsidRDefault="00181041" w:rsidP="00C11449">
            <w:pPr>
              <w:pStyle w:val="Formula"/>
              <w:jc w:val="left"/>
            </w:pPr>
            <w:r w:rsidRPr="001455DC">
              <w:rPr>
                <w:rStyle w:val="CCMCvariableitalic"/>
              </w:rPr>
              <w:t>f</w:t>
            </w:r>
            <w:r w:rsidRPr="001455DC">
              <w:rPr>
                <w:rStyle w:val="CCMCvariablesubscript"/>
              </w:rPr>
              <w:t>Rd</w:t>
            </w:r>
            <w:r w:rsidRPr="001455DC">
              <w:t> </w:t>
            </w:r>
            <w:r w:rsidR="00EC27D2" w:rsidRPr="001455DC">
              <w:rPr>
                <w:rFonts w:ascii="Cambria Math" w:hAnsi="Cambria Math"/>
              </w:rPr>
              <w:t>=</w:t>
            </w:r>
            <w:r w:rsidRPr="001455DC">
              <w:t> 0,4</w:t>
            </w:r>
            <w:r w:rsidRPr="001455DC">
              <w:rPr>
                <w:rStyle w:val="CCMCvariableitalic"/>
              </w:rPr>
              <w:t>f</w:t>
            </w:r>
            <w:r w:rsidRPr="001455DC">
              <w:rPr>
                <w:rStyle w:val="CCMCvariablesubscript"/>
              </w:rPr>
              <w:t>cd</w:t>
            </w:r>
            <w:r w:rsidRPr="001455DC">
              <w:t xml:space="preserve"> for dry connections, see 13.7.1(7)</w:t>
            </w:r>
          </w:p>
        </w:tc>
        <w:tc>
          <w:tcPr>
            <w:tcW w:w="1247" w:type="dxa"/>
            <w:vAlign w:val="center"/>
          </w:tcPr>
          <w:p w14:paraId="2375C01B" w14:textId="46471E01" w:rsidR="00181041" w:rsidRPr="001455DC" w:rsidRDefault="00181041">
            <w:pPr>
              <w:pStyle w:val="a7"/>
              <w:jc w:val="right"/>
            </w:pPr>
            <w:r w:rsidRPr="001455DC">
              <w:t>(13.</w:t>
            </w:r>
            <w:r w:rsidR="00504093" w:rsidRPr="001455DC">
              <w:t>17</w:t>
            </w:r>
            <w:r w:rsidRPr="001455DC">
              <w:t>)</w:t>
            </w:r>
          </w:p>
        </w:tc>
      </w:tr>
      <w:tr w:rsidR="00181041" w:rsidRPr="001455DC" w14:paraId="0D68BBBB" w14:textId="77777777" w:rsidTr="00C11449">
        <w:trPr>
          <w:cantSplit/>
        </w:trPr>
        <w:tc>
          <w:tcPr>
            <w:tcW w:w="8505" w:type="dxa"/>
            <w:vAlign w:val="center"/>
          </w:tcPr>
          <w:p w14:paraId="6EFC54B6" w14:textId="29E4AE4E" w:rsidR="00181041" w:rsidRPr="001455DC" w:rsidRDefault="00181041" w:rsidP="00C11449">
            <w:pPr>
              <w:pStyle w:val="Formula"/>
              <w:jc w:val="left"/>
            </w:pPr>
            <w:r w:rsidRPr="001455DC">
              <w:rPr>
                <w:rStyle w:val="CCMCvariableitalic"/>
              </w:rPr>
              <w:t>f</w:t>
            </w:r>
            <w:r w:rsidRPr="001455DC">
              <w:rPr>
                <w:rStyle w:val="CCMCvariablesubscript"/>
              </w:rPr>
              <w:t>Rd</w:t>
            </w:r>
            <w:r w:rsidRPr="001455DC">
              <w:t> </w:t>
            </w:r>
            <w:r w:rsidR="00EC27D2" w:rsidRPr="001455DC">
              <w:rPr>
                <w:rFonts w:ascii="Cambria Math" w:hAnsi="Cambria Math"/>
              </w:rPr>
              <w:t>=</w:t>
            </w:r>
            <w:r w:rsidRPr="001455DC">
              <w:t> </w:t>
            </w:r>
            <w:r w:rsidRPr="001455DC">
              <w:rPr>
                <w:rStyle w:val="CCMCvariableitalic"/>
              </w:rPr>
              <w:t>f</w:t>
            </w:r>
            <w:r w:rsidRPr="001455DC">
              <w:rPr>
                <w:rStyle w:val="CCMCvariablesubscript"/>
              </w:rPr>
              <w:t>bed</w:t>
            </w:r>
            <w:r w:rsidRPr="001455DC">
              <w:t> </w:t>
            </w:r>
            <w:r w:rsidR="00650035" w:rsidRPr="001455DC">
              <w:rPr>
                <w:rFonts w:ascii="Cambria Math" w:hAnsi="Cambria Math"/>
              </w:rPr>
              <w:t>≤</w:t>
            </w:r>
            <w:r w:rsidRPr="001455DC">
              <w:t> 0,85</w:t>
            </w:r>
            <w:r w:rsidRPr="001455DC">
              <w:rPr>
                <w:rStyle w:val="CCMCvariableitalic"/>
              </w:rPr>
              <w:t>f</w:t>
            </w:r>
            <w:r w:rsidRPr="001455DC">
              <w:rPr>
                <w:rStyle w:val="CCMCvariablesubscript"/>
              </w:rPr>
              <w:t>cd</w:t>
            </w:r>
            <w:r w:rsidRPr="001455DC">
              <w:t xml:space="preserve"> for all other cases</w:t>
            </w:r>
          </w:p>
        </w:tc>
        <w:tc>
          <w:tcPr>
            <w:tcW w:w="1247" w:type="dxa"/>
            <w:vAlign w:val="center"/>
          </w:tcPr>
          <w:p w14:paraId="614ACB5E" w14:textId="3156F005" w:rsidR="00181041" w:rsidRPr="001455DC" w:rsidRDefault="00181041">
            <w:pPr>
              <w:pStyle w:val="a7"/>
              <w:jc w:val="right"/>
            </w:pPr>
            <w:r w:rsidRPr="001455DC">
              <w:t>(13.</w:t>
            </w:r>
            <w:r w:rsidR="00504093" w:rsidRPr="001455DC">
              <w:t>18</w:t>
            </w:r>
            <w:r w:rsidRPr="001455DC">
              <w:t>)</w:t>
            </w:r>
          </w:p>
        </w:tc>
      </w:tr>
    </w:tbl>
    <w:p w14:paraId="47581C68" w14:textId="77777777" w:rsidR="00181041" w:rsidRPr="001455DC" w:rsidRDefault="00181041"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181041" w:rsidRPr="001455DC" w14:paraId="58A9EB5A" w14:textId="77777777" w:rsidTr="00C11449">
        <w:trPr>
          <w:cantSplit/>
        </w:trPr>
        <w:tc>
          <w:tcPr>
            <w:tcW w:w="567" w:type="dxa"/>
          </w:tcPr>
          <w:p w14:paraId="1A469A80" w14:textId="3D3AFF2B" w:rsidR="00181041" w:rsidRPr="001455DC" w:rsidRDefault="00181041" w:rsidP="0000442A">
            <w:pPr>
              <w:pStyle w:val="Tablebody"/>
            </w:pPr>
            <w:r w:rsidRPr="001455DC">
              <w:rPr>
                <w:rStyle w:val="CCMCvariableitalic"/>
              </w:rPr>
              <w:t>f</w:t>
            </w:r>
            <w:r w:rsidRPr="001455DC">
              <w:rPr>
                <w:rStyle w:val="CCMCvariablesubscript"/>
              </w:rPr>
              <w:t>cd</w:t>
            </w:r>
          </w:p>
        </w:tc>
        <w:tc>
          <w:tcPr>
            <w:tcW w:w="8845" w:type="dxa"/>
          </w:tcPr>
          <w:p w14:paraId="21A1D660" w14:textId="042D829C" w:rsidR="00181041" w:rsidRPr="001455DC" w:rsidRDefault="00181041" w:rsidP="00BB1209">
            <w:pPr>
              <w:pStyle w:val="Tablebody"/>
            </w:pPr>
            <w:r w:rsidRPr="001455DC">
              <w:t>is the lower value of the design strengths of supported and supporting members;</w:t>
            </w:r>
          </w:p>
        </w:tc>
      </w:tr>
      <w:tr w:rsidR="00181041" w:rsidRPr="001455DC" w14:paraId="7216DF9B" w14:textId="77777777" w:rsidTr="00C11449">
        <w:trPr>
          <w:cantSplit/>
        </w:trPr>
        <w:tc>
          <w:tcPr>
            <w:tcW w:w="567" w:type="dxa"/>
          </w:tcPr>
          <w:p w14:paraId="09B6CAAB" w14:textId="01D7914B" w:rsidR="00181041" w:rsidRPr="001455DC" w:rsidRDefault="00181041" w:rsidP="0000442A">
            <w:pPr>
              <w:pStyle w:val="Tablebody"/>
            </w:pPr>
            <w:r w:rsidRPr="001455DC">
              <w:rPr>
                <w:rStyle w:val="CCMCvariableitalic"/>
              </w:rPr>
              <w:t>f</w:t>
            </w:r>
            <w:r w:rsidRPr="001455DC">
              <w:rPr>
                <w:rStyle w:val="CCMCvariablesubscript"/>
              </w:rPr>
              <w:t>bed</w:t>
            </w:r>
          </w:p>
        </w:tc>
        <w:tc>
          <w:tcPr>
            <w:tcW w:w="8845" w:type="dxa"/>
          </w:tcPr>
          <w:p w14:paraId="4489B5F9" w14:textId="685FE531" w:rsidR="00181041" w:rsidRPr="001455DC" w:rsidRDefault="00181041" w:rsidP="0000442A">
            <w:pPr>
              <w:pStyle w:val="Tablebody"/>
            </w:pPr>
            <w:r w:rsidRPr="001455DC">
              <w:t>is the appropriate design resistance of the bedding material, consistent with the design model and the limit state being checked.</w:t>
            </w:r>
          </w:p>
        </w:tc>
      </w:tr>
    </w:tbl>
    <w:p w14:paraId="34784986" w14:textId="77777777" w:rsidR="004E22C1" w:rsidRPr="001455DC" w:rsidRDefault="004E22C1" w:rsidP="00181041">
      <w:pPr>
        <w:pStyle w:val="a7"/>
      </w:pPr>
      <w:r w:rsidRPr="001455DC">
        <w:t>(6)</w:t>
      </w:r>
      <w:r w:rsidRPr="001455DC">
        <w:tab/>
        <w:t>For isolated elements, e.g. beams or single slab elements, the nominal length shall be 20 mm greater than for non-isolated elements.</w:t>
      </w:r>
    </w:p>
    <w:p w14:paraId="05A96A28" w14:textId="77777777" w:rsidR="004E22C1" w:rsidRPr="001455DC" w:rsidRDefault="004E22C1" w:rsidP="00181041">
      <w:pPr>
        <w:pStyle w:val="a7"/>
      </w:pPr>
      <w:r w:rsidRPr="001455DC">
        <w:t>(7)</w:t>
      </w:r>
      <w:r w:rsidRPr="001455DC">
        <w:tab/>
        <w:t>If the bearing of isolated elements allows longitudinal movements, the net bearing length shall be increased to cover possible movements.</w:t>
      </w:r>
    </w:p>
    <w:p w14:paraId="4F5A3727" w14:textId="77777777" w:rsidR="004E22C1" w:rsidRPr="001455DC" w:rsidRDefault="004E22C1" w:rsidP="00181041">
      <w:pPr>
        <w:pStyle w:val="a7"/>
      </w:pPr>
      <w:r w:rsidRPr="001455DC">
        <w:t>(8)</w:t>
      </w:r>
      <w:r w:rsidRPr="001455DC">
        <w:tab/>
        <w:t xml:space="preserve">If an isolated element is tied other than at the level of its bearing, the net bearing length </w:t>
      </w:r>
      <w:r w:rsidRPr="001455DC">
        <w:rPr>
          <w:rStyle w:val="CCMCvariableitalic"/>
        </w:rPr>
        <w:t>a</w:t>
      </w:r>
      <w:r w:rsidRPr="001455DC">
        <w:rPr>
          <w:rStyle w:val="CCMCvariablesubscript"/>
        </w:rPr>
        <w:t>1</w:t>
      </w:r>
      <w:r w:rsidRPr="001455DC">
        <w:t xml:space="preserve"> shall be increased to cover the effect of possible rotation around the tie.</w:t>
      </w:r>
    </w:p>
    <w:p w14:paraId="5302BCF7" w14:textId="77777777" w:rsidR="004E22C1" w:rsidRPr="001455DC" w:rsidRDefault="004E22C1" w:rsidP="00181041">
      <w:pPr>
        <w:pStyle w:val="a7"/>
      </w:pPr>
      <w:r w:rsidRPr="001455DC">
        <w:t>(9)</w:t>
      </w:r>
      <w:r w:rsidRPr="001455DC">
        <w:tab/>
        <w:t xml:space="preserve">If a uniform distribution of the bearing pressure can be obtained, e.g. by mortar, neoprene or other pads, the design bearing width may be taken as the actual bearing width. Otherwise </w:t>
      </w:r>
      <w:r w:rsidRPr="001455DC">
        <w:rPr>
          <w:rStyle w:val="CCMCvariableitalic"/>
        </w:rPr>
        <w:t>b</w:t>
      </w:r>
      <w:r w:rsidRPr="001455DC">
        <w:rPr>
          <w:rStyle w:val="CCMCvariablesubscript"/>
        </w:rPr>
        <w:t>1</w:t>
      </w:r>
      <w:r w:rsidRPr="001455DC">
        <w:t xml:space="preserve"> should not be taken greater than 600 mm.</w:t>
      </w:r>
    </w:p>
    <w:p w14:paraId="2B183BDB" w14:textId="6308EA95" w:rsidR="004E22C1" w:rsidRPr="001455DC" w:rsidRDefault="004E22C1" w:rsidP="00243590">
      <w:pPr>
        <w:pStyle w:val="31"/>
      </w:pPr>
      <w:bookmarkStart w:id="1091" w:name="_Toc52820103"/>
      <w:bookmarkStart w:id="1092" w:name="_Toc54337505"/>
      <w:bookmarkStart w:id="1093" w:name="_Toc54338159"/>
      <w:bookmarkStart w:id="1094" w:name="_Toc67565497"/>
      <w:r w:rsidRPr="001455DC">
        <w:t>Pocket foundations for buildings</w:t>
      </w:r>
      <w:bookmarkEnd w:id="1091"/>
      <w:bookmarkEnd w:id="1092"/>
      <w:bookmarkEnd w:id="1093"/>
      <w:bookmarkEnd w:id="1094"/>
    </w:p>
    <w:p w14:paraId="5BBCF827" w14:textId="7576A0EF" w:rsidR="004E22C1" w:rsidRPr="001455DC" w:rsidRDefault="004E22C1" w:rsidP="00243590">
      <w:pPr>
        <w:pStyle w:val="41"/>
      </w:pPr>
      <w:bookmarkStart w:id="1095" w:name="_Toc52820104"/>
      <w:bookmarkStart w:id="1096" w:name="_Toc54338160"/>
      <w:r w:rsidRPr="001455DC">
        <w:t>General</w:t>
      </w:r>
      <w:bookmarkEnd w:id="1095"/>
      <w:bookmarkEnd w:id="1096"/>
    </w:p>
    <w:p w14:paraId="7B88E7D3" w14:textId="77777777" w:rsidR="004E22C1" w:rsidRPr="001455DC" w:rsidRDefault="004E22C1" w:rsidP="00181041">
      <w:pPr>
        <w:pStyle w:val="a7"/>
      </w:pPr>
      <w:r w:rsidRPr="001455DC">
        <w:t>(1)</w:t>
      </w:r>
      <w:r w:rsidRPr="001455DC">
        <w:tab/>
        <w:t>Pocket foundations, embedding a precast column base within side walls infilled with in-situ concrete (see Figs. 13.8 and 13.9, where only the main reinforcement is sketched) and transferring member action effects by shear and bending, may be considered to provide full restraint of the column in the pocket.</w:t>
      </w:r>
    </w:p>
    <w:p w14:paraId="4E328CED" w14:textId="77777777" w:rsidR="004E22C1" w:rsidRPr="001455DC" w:rsidRDefault="004E22C1" w:rsidP="00181041">
      <w:pPr>
        <w:pStyle w:val="Note"/>
      </w:pPr>
      <w:r w:rsidRPr="001455DC">
        <w:t>NOTE</w:t>
      </w:r>
      <w:r w:rsidRPr="001455DC">
        <w:tab/>
        <w:t>Depending on soil properties, soil-structure interaction can however result in lower restraints than available between column and pocket.</w:t>
      </w:r>
    </w:p>
    <w:p w14:paraId="045542EF" w14:textId="77777777" w:rsidR="004E22C1" w:rsidRPr="001455DC" w:rsidRDefault="004E22C1" w:rsidP="00181041">
      <w:pPr>
        <w:pStyle w:val="a7"/>
      </w:pPr>
      <w:r w:rsidRPr="001455DC">
        <w:rPr>
          <w:szCs w:val="22"/>
        </w:rPr>
        <w:t>(2)</w:t>
      </w:r>
      <w:r w:rsidRPr="001455DC">
        <w:rPr>
          <w:szCs w:val="22"/>
        </w:rPr>
        <w:tab/>
      </w:r>
      <w:r w:rsidRPr="001455DC">
        <w:t>Pockets should be large enough to enable a good concrete filling below and around the column.</w:t>
      </w:r>
    </w:p>
    <w:p w14:paraId="55F56E57" w14:textId="77777777" w:rsidR="004E22C1" w:rsidRPr="001455DC" w:rsidRDefault="004E22C1" w:rsidP="00181041">
      <w:pPr>
        <w:pStyle w:val="a7"/>
        <w:rPr>
          <w:bCs/>
        </w:rPr>
      </w:pPr>
      <w:r w:rsidRPr="001455DC">
        <w:t>(3)</w:t>
      </w:r>
      <w:r w:rsidRPr="001455DC">
        <w:tab/>
        <w:t>Pocket foundations may host members other than a single column, e.g., twin columns, short walls, etc.; in these cases, specific adequate provisions should be devised for ensuring the assumed restraint for these elements.</w:t>
      </w:r>
    </w:p>
    <w:p w14:paraId="4396DD31" w14:textId="45ED9BEC" w:rsidR="004E22C1" w:rsidRPr="001455DC" w:rsidRDefault="004E22C1" w:rsidP="00243590">
      <w:pPr>
        <w:pStyle w:val="41"/>
      </w:pPr>
      <w:bookmarkStart w:id="1097" w:name="_Toc52820105"/>
      <w:bookmarkStart w:id="1098" w:name="_Toc54338161"/>
      <w:r w:rsidRPr="001455DC">
        <w:t>Pocket foundations with keyed surface</w:t>
      </w:r>
      <w:bookmarkEnd w:id="1097"/>
      <w:bookmarkEnd w:id="1098"/>
    </w:p>
    <w:p w14:paraId="0DB0759F" w14:textId="77777777" w:rsidR="004E22C1" w:rsidRPr="001455DC" w:rsidRDefault="004E22C1" w:rsidP="00181041">
      <w:pPr>
        <w:pStyle w:val="a7"/>
      </w:pPr>
      <w:r w:rsidRPr="001455DC">
        <w:t>(1)</w:t>
      </w:r>
      <w:r w:rsidRPr="001455DC">
        <w:tab/>
        <w:t>Pocket and hosted column, both provided with adequate keys able to mobilise strut mechanisms (Figure 13.8), may be considered monolithically connected with overlapped reinforcements.</w:t>
      </w:r>
    </w:p>
    <w:p w14:paraId="459D1FEA" w14:textId="77777777" w:rsidR="004E22C1" w:rsidRPr="001455DC" w:rsidRDefault="004E22C1" w:rsidP="00181041">
      <w:pPr>
        <w:pStyle w:val="a7"/>
      </w:pPr>
      <w:r w:rsidRPr="001455DC">
        <w:t>(2)</w:t>
      </w:r>
      <w:r w:rsidRPr="001455DC">
        <w:tab/>
        <w:t xml:space="preserve">The lap length between the reinforcement of the column and of the pocket according to 11.5.2 should be increased by at least the distance </w:t>
      </w:r>
      <w:r w:rsidRPr="001455DC">
        <w:rPr>
          <w:rStyle w:val="CCMCvariableitalic"/>
        </w:rPr>
        <w:t>s</w:t>
      </w:r>
      <w:r w:rsidRPr="001455DC">
        <w:t xml:space="preserve"> between the lapped bars. Adequate confinement reinforcement at the lapped splice should be provided (see Figure 13.8).</w:t>
      </w:r>
    </w:p>
    <w:p w14:paraId="37DE34F7" w14:textId="601F2EBD" w:rsidR="004E22C1" w:rsidRPr="001455DC" w:rsidRDefault="00723CF7" w:rsidP="00181041">
      <w:pPr>
        <w:pStyle w:val="FigureImage"/>
      </w:pPr>
      <w:r>
        <w:rPr>
          <w:noProof/>
          <w:lang w:eastAsia="en-GB"/>
        </w:rPr>
        <w:fldChar w:fldCharType="begin"/>
      </w:r>
      <w:r>
        <w:rPr>
          <w:noProof/>
          <w:lang w:eastAsia="en-GB"/>
        </w:rPr>
        <w:instrText xml:space="preserve"> INCLUDEPICTURE  "Y:\\STD_MGT\\STDDEL\\PRODUCTION\\etrans\\Download\\Z_FIRST_DEL\\SV\\00250\\00250269\\41_e_dr\\13_008.tif"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"Y:\\STD_MGT\\STDDEL\\PRODUCTION\\Standards\\00250\\269\\41_e_dr\\13_008.tif"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"Y:\\STD_MGT\\STDDEL\\PRODUCTION\\Standards\\00250\\269\\41_e_dr\\13_008.tif"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"Y:\\STD_MGT\\STDDEL\\PRODUCTION\\Standards\\00250\\269\\41_e_dr\\13_008.tif"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"Y:\\STD_MGT\\STDDEL\\PRODUCTION\\Standards\\00250\\269\\41_e_dr\\13_008.tif"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"Y:\\STD_MGT\\STDDEL\\PRODUCTION\\Standards\\00250\\269\\41_e_dr\\13_008.tif"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"C:\\Users\\a.dionysiou\\AppData\\Local\\Temp\\Temp1_00250269_e_20210902.zip.zip\\41_e_dr\\13_008.tif"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0FA58169">
          <v:shape id="_x0000_i1291" type="#_x0000_t75" style="width:154.5pt;height:160.5pt">
            <v:imagedata r:id="rId552" r:href="rId553"/>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62A2C337" w14:textId="77777777" w:rsidR="004E22C1" w:rsidRPr="001455DC" w:rsidRDefault="004E22C1" w:rsidP="00181041">
      <w:pPr>
        <w:pStyle w:val="Figuretitle"/>
      </w:pPr>
      <w:r w:rsidRPr="001455DC">
        <w:t>Figure 13.8 — Pocket foundations with keyed surfaces</w:t>
      </w:r>
    </w:p>
    <w:p w14:paraId="1679F7EA" w14:textId="478396FC" w:rsidR="004E22C1" w:rsidRPr="001455DC" w:rsidRDefault="004E22C1" w:rsidP="00243590">
      <w:pPr>
        <w:pStyle w:val="41"/>
      </w:pPr>
      <w:bookmarkStart w:id="1099" w:name="_Toc52820106"/>
      <w:bookmarkStart w:id="1100" w:name="_Toc54338162"/>
      <w:r w:rsidRPr="001455DC">
        <w:t>Pocket foundations with smooth or rough surfaces</w:t>
      </w:r>
      <w:bookmarkEnd w:id="1099"/>
      <w:bookmarkEnd w:id="1100"/>
    </w:p>
    <w:p w14:paraId="60289702" w14:textId="6F42B99E" w:rsidR="004E22C1" w:rsidRPr="001455DC" w:rsidRDefault="004E22C1" w:rsidP="00181041">
      <w:pPr>
        <w:pStyle w:val="a7"/>
      </w:pPr>
      <w:r w:rsidRPr="001455DC">
        <w:t>(1)</w:t>
      </w:r>
      <w:r w:rsidRPr="001455DC">
        <w:tab/>
        <w:t>In case of pocket and column with smooth or rough surfaces (non</w:t>
      </w:r>
      <w:r w:rsidR="00504093" w:rsidRPr="001455DC">
        <w:t>-</w:t>
      </w:r>
      <w:r w:rsidRPr="001455DC">
        <w:t xml:space="preserve">keyed), the action effects from the column may be assumed to be transferred through the concrete filling by the compressive forces </w:t>
      </w:r>
      <w:r w:rsidRPr="001455DC">
        <w:rPr>
          <w:rStyle w:val="CCMCvariableitalic"/>
        </w:rPr>
        <w:t>F</w:t>
      </w:r>
      <w:r w:rsidRPr="001455DC">
        <w:rPr>
          <w:rStyle w:val="CCMCvariablesubscript"/>
        </w:rPr>
        <w:t>1</w:t>
      </w:r>
      <w:r w:rsidRPr="001455DC">
        <w:t xml:space="preserve">, </w:t>
      </w:r>
      <w:r w:rsidRPr="001455DC">
        <w:rPr>
          <w:rStyle w:val="CCMCvariableitalic"/>
        </w:rPr>
        <w:t>F</w:t>
      </w:r>
      <w:r w:rsidRPr="001455DC">
        <w:rPr>
          <w:rStyle w:val="CCMCvariablesubscript"/>
        </w:rPr>
        <w:t>2</w:t>
      </w:r>
      <w:r w:rsidRPr="001455DC">
        <w:t>, F</w:t>
      </w:r>
      <w:r w:rsidRPr="001455DC">
        <w:rPr>
          <w:rStyle w:val="CCMCvariablesubscript"/>
        </w:rPr>
        <w:t>3</w:t>
      </w:r>
      <w:r w:rsidRPr="001455DC">
        <w:t xml:space="preserve"> and the corresponding friction forces </w:t>
      </w:r>
      <w:r w:rsidRPr="001455DC">
        <w:rPr>
          <w:rStyle w:val="CCMCvariableitalic"/>
        </w:rPr>
        <w:t>μ</w:t>
      </w:r>
      <w:r w:rsidRPr="001455DC">
        <w:rPr>
          <w:rStyle w:val="CCMCvariablesubscript"/>
        </w:rPr>
        <w:t>v</w:t>
      </w:r>
      <w:r w:rsidRPr="001455DC">
        <w:rPr>
          <w:rStyle w:val="CCMCvariableitalic"/>
        </w:rPr>
        <w:t>F</w:t>
      </w:r>
      <w:r w:rsidRPr="001455DC">
        <w:rPr>
          <w:rStyle w:val="CCMCvariablesubscript"/>
        </w:rPr>
        <w:t>1</w:t>
      </w:r>
      <w:r w:rsidRPr="001455DC">
        <w:t xml:space="preserve">, </w:t>
      </w:r>
      <w:r w:rsidRPr="001455DC">
        <w:rPr>
          <w:rStyle w:val="CCMCvariableitalic"/>
        </w:rPr>
        <w:t>μ</w:t>
      </w:r>
      <w:r w:rsidRPr="001455DC">
        <w:rPr>
          <w:rStyle w:val="CCMCvariablesubscript"/>
        </w:rPr>
        <w:t>v</w:t>
      </w:r>
      <w:r w:rsidRPr="001455DC">
        <w:rPr>
          <w:rStyle w:val="CCMCvariableitalic"/>
        </w:rPr>
        <w:t>F</w:t>
      </w:r>
      <w:r w:rsidRPr="001455DC">
        <w:rPr>
          <w:rStyle w:val="CCMCvariablesubscript"/>
        </w:rPr>
        <w:t>2</w:t>
      </w:r>
      <w:r w:rsidRPr="001455DC">
        <w:t xml:space="preserve">, </w:t>
      </w:r>
      <w:r w:rsidRPr="001455DC">
        <w:rPr>
          <w:rStyle w:val="CCMCvariableitalic"/>
        </w:rPr>
        <w:t>μ</w:t>
      </w:r>
      <w:r w:rsidRPr="001455DC">
        <w:rPr>
          <w:rStyle w:val="CCMCvariablesubscript"/>
        </w:rPr>
        <w:t>v</w:t>
      </w:r>
      <w:r w:rsidRPr="001455DC">
        <w:rPr>
          <w:rStyle w:val="CCMCvariableitalic"/>
        </w:rPr>
        <w:t>F</w:t>
      </w:r>
      <w:r w:rsidRPr="001455DC">
        <w:rPr>
          <w:rStyle w:val="CCMCvariablesubscript"/>
        </w:rPr>
        <w:t>3</w:t>
      </w:r>
      <w:r w:rsidRPr="001455DC">
        <w:t>, as shown in Figure 13.9 a).</w:t>
      </w:r>
    </w:p>
    <w:p w14:paraId="508572A1" w14:textId="77777777" w:rsidR="00181041" w:rsidRPr="001455DC" w:rsidRDefault="004E22C1" w:rsidP="00E844D2">
      <w:pPr>
        <w:pStyle w:val="a7"/>
        <w:keepNext/>
      </w:pPr>
      <w:r w:rsidRPr="001455DC">
        <w:t>(2)</w:t>
      </w:r>
      <w:r w:rsidRPr="001455DC">
        <w:tab/>
        <w:t xml:space="preserve">With the assumption of (1) above, the minimum embedded length </w:t>
      </w:r>
      <w:r w:rsidRPr="001455DC">
        <w:rPr>
          <w:rStyle w:val="CCMCvariableitalic"/>
        </w:rPr>
        <w:t>l</w:t>
      </w:r>
      <w:r w:rsidRPr="001455DC">
        <w:t xml:space="preserve"> should be</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181041" w:rsidRPr="001455DC" w14:paraId="7B7F2718" w14:textId="77777777" w:rsidTr="00C11449">
        <w:trPr>
          <w:cantSplit/>
        </w:trPr>
        <w:tc>
          <w:tcPr>
            <w:tcW w:w="8505" w:type="dxa"/>
            <w:vAlign w:val="center"/>
          </w:tcPr>
          <w:p w14:paraId="2A8B6AFF" w14:textId="2256F1B4" w:rsidR="00181041" w:rsidRPr="001455DC" w:rsidRDefault="00181041" w:rsidP="00C11449">
            <w:pPr>
              <w:pStyle w:val="Formula"/>
              <w:jc w:val="left"/>
            </w:pPr>
            <w:r w:rsidRPr="001455DC">
              <w:rPr>
                <w:rStyle w:val="CCMCvariableitalic"/>
              </w:rPr>
              <w:t>l</w:t>
            </w:r>
            <w:r w:rsidRPr="001455DC">
              <w:t> </w:t>
            </w:r>
            <w:r w:rsidR="00650035" w:rsidRPr="001455DC">
              <w:rPr>
                <w:rFonts w:ascii="Cambria Math" w:hAnsi="Cambria Math"/>
              </w:rPr>
              <w:t>≥</w:t>
            </w:r>
            <w:r w:rsidRPr="001455DC">
              <w:t> 1,2</w:t>
            </w:r>
            <w:r w:rsidRPr="001455DC">
              <w:rPr>
                <w:rStyle w:val="CCMCvariableitalic"/>
              </w:rPr>
              <w:t>h</w:t>
            </w:r>
            <w:r w:rsidRPr="001455DC">
              <w:rPr>
                <w:rStyle w:val="CCMCvariablesubscript"/>
              </w:rPr>
              <w:t>col</w:t>
            </w:r>
            <w:r w:rsidRPr="001455DC">
              <w:t xml:space="preserve"> for </w:t>
            </w:r>
            <w:r w:rsidRPr="001455DC">
              <w:rPr>
                <w:rStyle w:val="CCMCvariableitalic"/>
              </w:rPr>
              <w:t>M</w:t>
            </w:r>
            <w:r w:rsidRPr="001455DC">
              <w:rPr>
                <w:rStyle w:val="CCMCvariablesubscript"/>
              </w:rPr>
              <w:t>Ed</w:t>
            </w:r>
            <w:r w:rsidRPr="001455DC">
              <w:t>/</w:t>
            </w:r>
            <w:r w:rsidRPr="001455DC">
              <w:rPr>
                <w:rStyle w:val="CCMCvariableitalic"/>
              </w:rPr>
              <w:t>N</w:t>
            </w:r>
            <w:r w:rsidRPr="001455DC">
              <w:rPr>
                <w:rStyle w:val="CCMCvariablesubscript"/>
              </w:rPr>
              <w:t>Ed</w:t>
            </w:r>
            <w:r w:rsidRPr="001455DC">
              <w:t> </w:t>
            </w:r>
            <w:r w:rsidR="00650035" w:rsidRPr="001455DC">
              <w:rPr>
                <w:rFonts w:ascii="Cambria Math" w:hAnsi="Cambria Math"/>
              </w:rPr>
              <w:t>≤</w:t>
            </w:r>
            <w:r w:rsidRPr="001455DC">
              <w:t> 0,15</w:t>
            </w:r>
            <w:r w:rsidRPr="001455DC">
              <w:rPr>
                <w:rStyle w:val="CCMCvariableitalic"/>
              </w:rPr>
              <w:t>h</w:t>
            </w:r>
            <w:r w:rsidRPr="001455DC">
              <w:rPr>
                <w:rStyle w:val="CCMCvariablesubscript"/>
              </w:rPr>
              <w:t>col</w:t>
            </w:r>
          </w:p>
        </w:tc>
        <w:tc>
          <w:tcPr>
            <w:tcW w:w="1247" w:type="dxa"/>
            <w:vAlign w:val="center"/>
          </w:tcPr>
          <w:p w14:paraId="419490AD" w14:textId="6DD7DF60" w:rsidR="00181041" w:rsidRPr="001455DC" w:rsidRDefault="00181041">
            <w:pPr>
              <w:pStyle w:val="a7"/>
              <w:jc w:val="right"/>
            </w:pPr>
            <w:r w:rsidRPr="001455DC">
              <w:t>(13.</w:t>
            </w:r>
            <w:r w:rsidR="00504093" w:rsidRPr="001455DC">
              <w:t>19</w:t>
            </w:r>
            <w:r w:rsidRPr="001455DC">
              <w:t>)</w:t>
            </w:r>
          </w:p>
        </w:tc>
      </w:tr>
      <w:tr w:rsidR="00181041" w:rsidRPr="001455DC" w14:paraId="59D9DEFD" w14:textId="77777777" w:rsidTr="00C11449">
        <w:trPr>
          <w:cantSplit/>
        </w:trPr>
        <w:tc>
          <w:tcPr>
            <w:tcW w:w="8505" w:type="dxa"/>
            <w:vAlign w:val="center"/>
          </w:tcPr>
          <w:p w14:paraId="587C78A1" w14:textId="6F2B332B" w:rsidR="00181041" w:rsidRPr="001455DC" w:rsidRDefault="00181041" w:rsidP="00C11449">
            <w:pPr>
              <w:pStyle w:val="Formula"/>
              <w:jc w:val="left"/>
            </w:pPr>
            <w:r w:rsidRPr="001455DC">
              <w:rPr>
                <w:rStyle w:val="CCMCvariableitalic"/>
              </w:rPr>
              <w:t>l</w:t>
            </w:r>
            <w:r w:rsidRPr="001455DC">
              <w:t> </w:t>
            </w:r>
            <w:r w:rsidR="00650035" w:rsidRPr="001455DC">
              <w:rPr>
                <w:rFonts w:ascii="Cambria Math" w:hAnsi="Cambria Math"/>
              </w:rPr>
              <w:t>≥</w:t>
            </w:r>
            <w:r w:rsidRPr="001455DC">
              <w:t> 2,0</w:t>
            </w:r>
            <w:r w:rsidRPr="001455DC">
              <w:rPr>
                <w:rStyle w:val="CCMCvariableitalic"/>
              </w:rPr>
              <w:t>h</w:t>
            </w:r>
            <w:r w:rsidRPr="001455DC">
              <w:rPr>
                <w:rStyle w:val="CCMCvariablesubscript"/>
              </w:rPr>
              <w:t>col</w:t>
            </w:r>
            <w:r w:rsidRPr="001455DC">
              <w:t xml:space="preserve"> for </w:t>
            </w:r>
            <w:r w:rsidRPr="001455DC">
              <w:rPr>
                <w:rStyle w:val="CCMCvariableitalic"/>
              </w:rPr>
              <w:t>M</w:t>
            </w:r>
            <w:r w:rsidRPr="001455DC">
              <w:rPr>
                <w:rStyle w:val="CCMCvariablesubscript"/>
              </w:rPr>
              <w:t>Ed</w:t>
            </w:r>
            <w:r w:rsidRPr="001455DC">
              <w:t>/</w:t>
            </w:r>
            <w:r w:rsidRPr="001455DC">
              <w:rPr>
                <w:rStyle w:val="CCMCvariableitalic"/>
              </w:rPr>
              <w:t>N</w:t>
            </w:r>
            <w:r w:rsidRPr="001455DC">
              <w:rPr>
                <w:rStyle w:val="CCMCvariablesubscript"/>
              </w:rPr>
              <w:t>Ed</w:t>
            </w:r>
            <w:r w:rsidRPr="001455DC">
              <w:t> </w:t>
            </w:r>
            <w:r w:rsidR="00650035" w:rsidRPr="001455DC">
              <w:rPr>
                <w:rFonts w:ascii="Cambria Math" w:hAnsi="Cambria Math"/>
              </w:rPr>
              <w:t>≥</w:t>
            </w:r>
            <w:r w:rsidRPr="001455DC">
              <w:t> 2,0</w:t>
            </w:r>
            <w:r w:rsidRPr="001455DC">
              <w:rPr>
                <w:rStyle w:val="CCMCvariableitalic"/>
              </w:rPr>
              <w:t>h</w:t>
            </w:r>
            <w:r w:rsidRPr="001455DC">
              <w:rPr>
                <w:rStyle w:val="CCMCvariablesubscript"/>
              </w:rPr>
              <w:t>col</w:t>
            </w:r>
          </w:p>
        </w:tc>
        <w:tc>
          <w:tcPr>
            <w:tcW w:w="1247" w:type="dxa"/>
            <w:vAlign w:val="center"/>
          </w:tcPr>
          <w:p w14:paraId="3A2C8AE9" w14:textId="0DA1652E" w:rsidR="00181041" w:rsidRPr="001455DC" w:rsidRDefault="00181041">
            <w:pPr>
              <w:pStyle w:val="a7"/>
              <w:jc w:val="right"/>
            </w:pPr>
            <w:r w:rsidRPr="001455DC">
              <w:t>(13.</w:t>
            </w:r>
            <w:r w:rsidR="00504093" w:rsidRPr="001455DC">
              <w:t>20</w:t>
            </w:r>
            <w:r w:rsidRPr="001455DC">
              <w:t>)</w:t>
            </w:r>
          </w:p>
        </w:tc>
      </w:tr>
    </w:tbl>
    <w:p w14:paraId="5B7770CC" w14:textId="77777777" w:rsidR="004E22C1" w:rsidRPr="001455DC" w:rsidRDefault="004E22C1" w:rsidP="00181041">
      <w:pPr>
        <w:pStyle w:val="a7"/>
        <w:rPr>
          <w:iCs/>
        </w:rPr>
      </w:pPr>
      <w:r w:rsidRPr="001455DC">
        <w:t>where C is the largest side of the column’s section.</w:t>
      </w:r>
    </w:p>
    <w:p w14:paraId="102F1B6D" w14:textId="17604429" w:rsidR="004E22C1" w:rsidRPr="001455DC" w:rsidRDefault="004E22C1" w:rsidP="00181041">
      <w:pPr>
        <w:pStyle w:val="a7"/>
      </w:pPr>
      <w:r w:rsidRPr="001455DC">
        <w:rPr>
          <w:rStyle w:val="CCMCvariableitalic"/>
        </w:rPr>
        <w:t>l</w:t>
      </w:r>
      <w:r w:rsidRPr="001455DC">
        <w:t xml:space="preserve"> may be interpolated for 0,15</w:t>
      </w:r>
      <w:r w:rsidRPr="001455DC">
        <w:rPr>
          <w:rStyle w:val="CCMCvariableitalic"/>
        </w:rPr>
        <w:t>h</w:t>
      </w:r>
      <w:r w:rsidRPr="001455DC">
        <w:rPr>
          <w:rStyle w:val="CCMCvariablesubscript"/>
        </w:rPr>
        <w:t>col</w:t>
      </w:r>
      <w:r w:rsidRPr="001455DC">
        <w:t> </w:t>
      </w:r>
      <w:r w:rsidR="00650035" w:rsidRPr="001455DC">
        <w:rPr>
          <w:rFonts w:ascii="Cambria Math" w:hAnsi="Cambria Math"/>
        </w:rPr>
        <w:t>&lt;</w:t>
      </w:r>
      <w:r w:rsidRPr="001455DC">
        <w:t> </w:t>
      </w:r>
      <w:r w:rsidRPr="001455DC">
        <w:rPr>
          <w:rStyle w:val="CCMCvariableitalic"/>
        </w:rPr>
        <w:t>M</w:t>
      </w:r>
      <w:r w:rsidRPr="001455DC">
        <w:rPr>
          <w:rStyle w:val="CCMCvariablesubscript"/>
        </w:rPr>
        <w:t>Ed</w:t>
      </w:r>
      <w:r w:rsidRPr="001455DC">
        <w:t>/</w:t>
      </w:r>
      <w:r w:rsidRPr="001455DC">
        <w:rPr>
          <w:rStyle w:val="CCMCvariableitalic"/>
        </w:rPr>
        <w:t>N</w:t>
      </w:r>
      <w:r w:rsidRPr="001455DC">
        <w:rPr>
          <w:rStyle w:val="CCMCvariablesubscript"/>
        </w:rPr>
        <w:t>Ed</w:t>
      </w:r>
      <w:r w:rsidRPr="001455DC">
        <w:t> </w:t>
      </w:r>
      <w:r w:rsidR="00650035" w:rsidRPr="001455DC">
        <w:rPr>
          <w:rFonts w:ascii="Cambria Math" w:hAnsi="Cambria Math"/>
        </w:rPr>
        <w:t>&lt;</w:t>
      </w:r>
      <w:r w:rsidRPr="001455DC">
        <w:t> 2,0</w:t>
      </w:r>
      <w:r w:rsidRPr="001455DC">
        <w:rPr>
          <w:rStyle w:val="CCMCvariableitalic"/>
        </w:rPr>
        <w:t>h</w:t>
      </w:r>
      <w:r w:rsidRPr="001455DC">
        <w:rPr>
          <w:rStyle w:val="CCMCvariablesubscript"/>
        </w:rPr>
        <w:t>col</w:t>
      </w:r>
      <w:r w:rsidRPr="001455DC">
        <w:t>.</w:t>
      </w:r>
    </w:p>
    <w:p w14:paraId="7A3BEBDA" w14:textId="77777777" w:rsidR="004E22C1" w:rsidRPr="001455DC" w:rsidRDefault="004E22C1" w:rsidP="00181041">
      <w:pPr>
        <w:pStyle w:val="a7"/>
      </w:pPr>
      <w:r w:rsidRPr="001455DC">
        <w:t>(3)</w:t>
      </w:r>
      <w:r w:rsidRPr="001455DC">
        <w:tab/>
        <w:t xml:space="preserve">The coefficient of friction </w:t>
      </w:r>
      <w:r w:rsidRPr="001455DC">
        <w:rPr>
          <w:rStyle w:val="CCMCvariableitalic"/>
        </w:rPr>
        <w:t>μ</w:t>
      </w:r>
      <w:r w:rsidRPr="001455DC">
        <w:rPr>
          <w:rStyle w:val="CCMCvariablesubscript"/>
        </w:rPr>
        <w:t>v</w:t>
      </w:r>
      <w:r w:rsidRPr="001455DC">
        <w:t xml:space="preserve"> should be taken from Table 8.1, according to the relevant type of surface.</w:t>
      </w:r>
    </w:p>
    <w:p w14:paraId="67D4006E" w14:textId="77777777" w:rsidR="004E22C1" w:rsidRPr="001455DC" w:rsidRDefault="004E22C1" w:rsidP="00181041">
      <w:pPr>
        <w:pStyle w:val="a7"/>
      </w:pPr>
      <w:r w:rsidRPr="001455DC">
        <w:t>(4)</w:t>
      </w:r>
      <w:r w:rsidRPr="001455DC">
        <w:tab/>
        <w:t>The transfer of forces to the base slab may be checked at ULS by assuming a strut-and-tie model in accordance with 8.5.</w:t>
      </w:r>
    </w:p>
    <w:p w14:paraId="4B216E14" w14:textId="0BFF6626" w:rsidR="004E22C1" w:rsidRPr="001455DC" w:rsidRDefault="004E22C1" w:rsidP="00181041">
      <w:pPr>
        <w:pStyle w:val="a7"/>
      </w:pPr>
      <w:r w:rsidRPr="001455DC">
        <w:t>(5)</w:t>
      </w:r>
      <w:r w:rsidRPr="001455DC">
        <w:tab/>
        <w:t xml:space="preserve">The position of </w:t>
      </w:r>
      <w:r w:rsidRPr="001455DC">
        <w:rPr>
          <w:rStyle w:val="CCMCvariableitalic"/>
        </w:rPr>
        <w:t>F</w:t>
      </w:r>
      <w:r w:rsidRPr="001455DC">
        <w:rPr>
          <w:rStyle w:val="CCMCvariablesubscript"/>
        </w:rPr>
        <w:t>1</w:t>
      </w:r>
      <w:r w:rsidRPr="001455DC">
        <w:t xml:space="preserve"> should be chosen with </w:t>
      </w:r>
      <w:r w:rsidRPr="001455DC">
        <w:rPr>
          <w:rStyle w:val="CCMCvariableitalic"/>
        </w:rPr>
        <w:t>a</w:t>
      </w:r>
      <w:r w:rsidRPr="001455DC">
        <w:t> </w:t>
      </w:r>
      <w:r w:rsidR="00650035" w:rsidRPr="001455DC">
        <w:rPr>
          <w:rFonts w:ascii="Cambria Math" w:hAnsi="Cambria Math"/>
        </w:rPr>
        <w:t>≥</w:t>
      </w:r>
      <w:r w:rsidR="00073FC6" w:rsidRPr="001455DC">
        <w:t> </w:t>
      </w:r>
      <w:r w:rsidRPr="001455DC">
        <w:t>0,1</w:t>
      </w:r>
      <w:r w:rsidRPr="001455DC">
        <w:rPr>
          <w:rStyle w:val="CCMCvariableitalic"/>
        </w:rPr>
        <w:t>l</w:t>
      </w:r>
      <w:r w:rsidRPr="001455DC">
        <w:t>.</w:t>
      </w:r>
    </w:p>
    <w:p w14:paraId="5C88C13E" w14:textId="6686A93A" w:rsidR="004E22C1" w:rsidRPr="001455DC" w:rsidRDefault="00723CF7" w:rsidP="00181041">
      <w:pPr>
        <w:pStyle w:val="FigureImage"/>
      </w:pPr>
      <w:r>
        <w:rPr>
          <w:noProof/>
          <w:lang w:eastAsia="en-GB"/>
        </w:rPr>
        <w:fldChar w:fldCharType="begin"/>
      </w:r>
      <w:r>
        <w:rPr>
          <w:noProof/>
          <w:lang w:eastAsia="en-GB"/>
        </w:rPr>
        <w:instrText xml:space="preserve"> INCLUDEPICTURE  "Y:\\STD_MGT\\STDDEL\\PRODUCTION\\etrans\\Download\\Z_FIRST_DEL\\SV\\00250\\00250269\\41_e_dr\\13_009.tif"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"Y:\\STD_MGT\\STDDEL\\PRODUCTION\\Standards\\00250\\269\\41_e_dr\\13_009.tif"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"Y:\\STD_MGT\\STDDEL\\PRODUCTION\\Standards\\00250\\269\\41_e_dr\\13_009.tif"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"Y:\\STD_MGT\\STDDEL\\PRODUCTION\\Standards\\00250\\269\\41_e_dr\\13_009.tif"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"Y:\\STD_MGT\\STDDEL\\PRODUCTION\\Standards\\00250\\269\\41_e_dr\\13_009.tif"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"Y:\\STD_MGT\\STDDEL\\PRODUCTION\\Standards\\00250\\269\\41_e_dr\\13_009.tif"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w:instrText>
      </w:r>
      <w:r w:rsidR="00231E33">
        <w:rPr>
          <w:noProof/>
          <w:lang w:eastAsia="en-GB"/>
        </w:rPr>
        <w:instrText>l\\Temp\\Temp1_00250269_e_20210902.zip.zip\\41_e_dr\\13_009.tif"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5B624AF8">
          <v:shape id="_x0000_i1292" type="#_x0000_t75" style="width:237pt;height:165.75pt">
            <v:imagedata r:id="rId554" r:href="rId555"/>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056A4869" w14:textId="77777777" w:rsidR="004E22C1" w:rsidRPr="001455DC" w:rsidRDefault="004E22C1" w:rsidP="00181041">
      <w:pPr>
        <w:pStyle w:val="Figuretitle"/>
      </w:pPr>
      <w:r w:rsidRPr="001455DC">
        <w:t>Figure 13.9 — Pocket foundations with smooth or rough joint surface</w:t>
      </w:r>
    </w:p>
    <w:p w14:paraId="5968924D" w14:textId="1E4421C2" w:rsidR="004E22C1" w:rsidRPr="001455DC" w:rsidRDefault="004E22C1" w:rsidP="00243590">
      <w:pPr>
        <w:pStyle w:val="31"/>
      </w:pPr>
      <w:bookmarkStart w:id="1101" w:name="_Toc52820107"/>
      <w:bookmarkStart w:id="1102" w:name="_Toc54337506"/>
      <w:bookmarkStart w:id="1103" w:name="_Toc54338163"/>
      <w:bookmarkStart w:id="1104" w:name="_Toc67565498"/>
      <w:r w:rsidRPr="001455DC">
        <w:t>Tying system</w:t>
      </w:r>
      <w:bookmarkEnd w:id="1101"/>
      <w:r w:rsidRPr="001455DC">
        <w:t>s for buildings</w:t>
      </w:r>
      <w:bookmarkEnd w:id="1102"/>
      <w:bookmarkEnd w:id="1103"/>
      <w:bookmarkEnd w:id="1104"/>
    </w:p>
    <w:p w14:paraId="1BC1699E" w14:textId="77777777" w:rsidR="004E22C1" w:rsidRPr="001455DC" w:rsidRDefault="004E22C1" w:rsidP="00181041">
      <w:pPr>
        <w:pStyle w:val="a7"/>
      </w:pPr>
      <w:r w:rsidRPr="001455DC">
        <w:t>(1)</w:t>
      </w:r>
      <w:r w:rsidRPr="001455DC">
        <w:tab/>
        <w:t>Precast structures should be provided with a tying system to secure robustness of the structure according to the rules of 12.9. For building structures the following additional provisions apply.</w:t>
      </w:r>
    </w:p>
    <w:p w14:paraId="65FD9D79" w14:textId="77777777" w:rsidR="004E22C1" w:rsidRPr="001455DC" w:rsidRDefault="004E22C1" w:rsidP="00181041">
      <w:pPr>
        <w:pStyle w:val="a7"/>
      </w:pPr>
      <w:r w:rsidRPr="001455DC">
        <w:t>(2)</w:t>
      </w:r>
      <w:r w:rsidRPr="001455DC">
        <w:tab/>
        <w:t>In planar elements loaded in their own plane, e.g. in multi-storey walls and floor diaphragms composed of precast elements, the necessary interaction among elements for the overall resistance may be obtained by tying them together with peripheral and/or internal ties.</w:t>
      </w:r>
    </w:p>
    <w:p w14:paraId="4D8F2B4F" w14:textId="77777777" w:rsidR="004E22C1" w:rsidRPr="001455DC" w:rsidRDefault="004E22C1" w:rsidP="00181041">
      <w:pPr>
        <w:pStyle w:val="a7"/>
      </w:pPr>
      <w:r w:rsidRPr="001455DC">
        <w:t>(3)</w:t>
      </w:r>
      <w:r w:rsidRPr="001455DC">
        <w:tab/>
        <w:t>The same ties may also be relied upon to provide overall robustness of the structure, according to 12.9.</w:t>
      </w:r>
    </w:p>
    <w:p w14:paraId="3914BBCF" w14:textId="77777777" w:rsidR="004E22C1" w:rsidRPr="001455DC" w:rsidRDefault="004E22C1" w:rsidP="00181041">
      <w:pPr>
        <w:pStyle w:val="a7"/>
      </w:pPr>
      <w:r w:rsidRPr="001455DC">
        <w:t>(4)</w:t>
      </w:r>
      <w:r w:rsidRPr="001455DC">
        <w:tab/>
        <w:t>Horizontal ties may be provided wholly within the in situ concrete topping or at connections of precast members. Where ties are not continuous in one plane, the bending effects resulting from the eccentricities should be considered.</w:t>
      </w:r>
    </w:p>
    <w:p w14:paraId="6B75B8E8" w14:textId="77777777" w:rsidR="004E22C1" w:rsidRPr="001455DC" w:rsidRDefault="004E22C1" w:rsidP="00181041">
      <w:pPr>
        <w:pStyle w:val="a7"/>
      </w:pPr>
      <w:r w:rsidRPr="001455DC">
        <w:t>(5)</w:t>
      </w:r>
      <w:r w:rsidRPr="001455DC">
        <w:tab/>
        <w:t>Ties should not be lapped in narrow joints between precast elements. Mechanical anchorage shall be used in these cases.</w:t>
      </w:r>
    </w:p>
    <w:p w14:paraId="1E438BC7" w14:textId="77777777" w:rsidR="004E22C1" w:rsidRPr="001455DC" w:rsidRDefault="004E22C1" w:rsidP="00181041">
      <w:pPr>
        <w:pStyle w:val="a7"/>
      </w:pPr>
      <w:r w:rsidRPr="001455DC">
        <w:t>(6)</w:t>
      </w:r>
      <w:r w:rsidRPr="001455DC">
        <w:tab/>
        <w:t>If internal ties are grouped along lines, surrounding members should be designed to distribute the tying forces within the slab.</w:t>
      </w:r>
    </w:p>
    <w:p w14:paraId="209FB89E" w14:textId="1DD7E13F" w:rsidR="004E22C1" w:rsidRPr="001455DC" w:rsidRDefault="00181041" w:rsidP="00181041">
      <w:pPr>
        <w:pStyle w:val="1"/>
        <w:pageBreakBefore/>
      </w:pPr>
      <w:bookmarkStart w:id="1105" w:name="_Toc52820108"/>
      <w:bookmarkStart w:id="1106" w:name="_Toc54337131"/>
      <w:bookmarkStart w:id="1107" w:name="_Toc54337507"/>
      <w:bookmarkStart w:id="1108" w:name="_Toc54338164"/>
      <w:bookmarkStart w:id="1109" w:name="_Toc67565499"/>
      <w:r w:rsidRPr="001455DC">
        <w:t>Plain and lightly reinforced concrete structures</w:t>
      </w:r>
      <w:bookmarkEnd w:id="1105"/>
      <w:bookmarkEnd w:id="1106"/>
      <w:bookmarkEnd w:id="1107"/>
      <w:bookmarkEnd w:id="1108"/>
      <w:bookmarkEnd w:id="1109"/>
    </w:p>
    <w:p w14:paraId="2A7A4CCF" w14:textId="79952282" w:rsidR="004E22C1" w:rsidRPr="001455DC" w:rsidRDefault="004E22C1" w:rsidP="006D682B">
      <w:pPr>
        <w:pStyle w:val="21"/>
      </w:pPr>
      <w:bookmarkStart w:id="1110" w:name="_Toc52820109"/>
      <w:bookmarkStart w:id="1111" w:name="_Toc54337508"/>
      <w:bookmarkStart w:id="1112" w:name="_Toc54338165"/>
      <w:bookmarkStart w:id="1113" w:name="_Toc67565500"/>
      <w:r w:rsidRPr="001455DC">
        <w:t>General</w:t>
      </w:r>
      <w:bookmarkEnd w:id="1110"/>
      <w:bookmarkEnd w:id="1111"/>
      <w:bookmarkEnd w:id="1112"/>
      <w:bookmarkEnd w:id="1113"/>
    </w:p>
    <w:p w14:paraId="30E158A6" w14:textId="6F5C48EB" w:rsidR="004E22C1" w:rsidRPr="001455DC" w:rsidRDefault="004E22C1" w:rsidP="00181041">
      <w:pPr>
        <w:pStyle w:val="a7"/>
      </w:pPr>
      <w:r w:rsidRPr="001455DC">
        <w:t>(1)</w:t>
      </w:r>
      <w:r w:rsidRPr="001455DC">
        <w:tab/>
      </w:r>
      <w:r w:rsidR="001710FF" w:rsidRPr="001455DC">
        <w:t>Clause </w:t>
      </w:r>
      <w:r w:rsidRPr="001455DC">
        <w:t xml:space="preserve">14 provides additional rules for plain concrete structures or where the reinforcement provided is less than the minimum required for reinforced concrete according to </w:t>
      </w:r>
      <w:r w:rsidR="001710FF" w:rsidRPr="001455DC">
        <w:t>Clause </w:t>
      </w:r>
      <w:r w:rsidRPr="001455DC">
        <w:t>12.</w:t>
      </w:r>
    </w:p>
    <w:p w14:paraId="50129BAA" w14:textId="77777777" w:rsidR="004E22C1" w:rsidRPr="001455DC" w:rsidRDefault="004E22C1" w:rsidP="00181041">
      <w:pPr>
        <w:pStyle w:val="a7"/>
      </w:pPr>
      <w:r w:rsidRPr="001455DC">
        <w:t>(2)</w:t>
      </w:r>
      <w:r w:rsidRPr="001455DC">
        <w:tab/>
        <w:t>It should be ensured that brittle failure of these members does not lead to collapse of the structure.</w:t>
      </w:r>
    </w:p>
    <w:p w14:paraId="74EAADE8" w14:textId="6BDDA29D" w:rsidR="004E22C1" w:rsidRPr="001455DC" w:rsidRDefault="004E22C1" w:rsidP="00E844D2">
      <w:pPr>
        <w:pStyle w:val="a7"/>
        <w:keepNext/>
      </w:pPr>
      <w:r w:rsidRPr="001455DC">
        <w:t>(3)</w:t>
      </w:r>
      <w:r w:rsidRPr="001455DC">
        <w:tab/>
      </w:r>
      <w:r w:rsidR="001710FF" w:rsidRPr="001455DC">
        <w:t>Clause </w:t>
      </w:r>
      <w:r w:rsidRPr="001455DC">
        <w:t>14 applies to members mainly subjected to compression other than that due to prestressing such as:</w:t>
      </w:r>
    </w:p>
    <w:p w14:paraId="6A1EA5B9" w14:textId="6CE91E20" w:rsidR="004E22C1" w:rsidRPr="001455DC" w:rsidRDefault="004E22C1" w:rsidP="00181041">
      <w:pPr>
        <w:pStyle w:val="a0"/>
      </w:pPr>
      <w:r w:rsidRPr="001455DC">
        <w:t>walls, columns, arches, vaults, and tunnels;</w:t>
      </w:r>
    </w:p>
    <w:p w14:paraId="34C8A192" w14:textId="0FF79D30" w:rsidR="004E22C1" w:rsidRPr="001455DC" w:rsidRDefault="004E22C1" w:rsidP="00181041">
      <w:pPr>
        <w:pStyle w:val="a0"/>
      </w:pPr>
      <w:r w:rsidRPr="001455DC">
        <w:t>strip and pad footings for foundations;</w:t>
      </w:r>
    </w:p>
    <w:p w14:paraId="0FEB1F15" w14:textId="5FCEA49A" w:rsidR="004E22C1" w:rsidRPr="001455DC" w:rsidRDefault="004E22C1" w:rsidP="00181041">
      <w:pPr>
        <w:pStyle w:val="a0"/>
      </w:pPr>
      <w:r w:rsidRPr="001455DC">
        <w:t>gravity retaining walls;</w:t>
      </w:r>
    </w:p>
    <w:p w14:paraId="4A140F37" w14:textId="538611D8" w:rsidR="004E22C1" w:rsidRPr="001455DC" w:rsidRDefault="004E22C1" w:rsidP="00181041">
      <w:pPr>
        <w:pStyle w:val="a0"/>
      </w:pPr>
      <w:r w:rsidRPr="001455DC">
        <w:t>piles with diameter </w:t>
      </w:r>
      <w:r w:rsidR="00650035" w:rsidRPr="001455DC">
        <w:rPr>
          <w:rFonts w:ascii="Cambria Math" w:hAnsi="Cambria Math"/>
        </w:rPr>
        <w:t>≥</w:t>
      </w:r>
      <w:r w:rsidR="00073FC6" w:rsidRPr="001455DC">
        <w:t> </w:t>
      </w:r>
      <w:r w:rsidRPr="001455DC">
        <w:t xml:space="preserve">600 mm and where </w:t>
      </w:r>
      <w:r w:rsidRPr="001455DC">
        <w:rPr>
          <w:rStyle w:val="CCMCvariableitalic"/>
        </w:rPr>
        <w:t>N</w:t>
      </w:r>
      <w:r w:rsidRPr="001455DC">
        <w:rPr>
          <w:rStyle w:val="CCMCvariablesubscript"/>
        </w:rPr>
        <w:t>Ed</w:t>
      </w:r>
      <w:r w:rsidRPr="001455DC">
        <w:t>/</w:t>
      </w:r>
      <w:r w:rsidRPr="001455DC">
        <w:rPr>
          <w:rStyle w:val="CCMCvariableitalic"/>
        </w:rPr>
        <w:t>A</w:t>
      </w:r>
      <w:r w:rsidRPr="001455DC">
        <w:rPr>
          <w:rStyle w:val="CCMCvariablesubscript"/>
        </w:rPr>
        <w:t>c</w:t>
      </w:r>
      <w:r w:rsidRPr="001455DC">
        <w:t> </w:t>
      </w:r>
      <w:r w:rsidR="00650035" w:rsidRPr="001455DC">
        <w:rPr>
          <w:rFonts w:ascii="Cambria Math" w:hAnsi="Cambria Math"/>
        </w:rPr>
        <w:t>≤</w:t>
      </w:r>
      <w:r w:rsidRPr="001455DC">
        <w:t> 0,30</w:t>
      </w:r>
      <w:r w:rsidRPr="001455DC">
        <w:rPr>
          <w:rStyle w:val="CCMCvariableitalic"/>
        </w:rPr>
        <w:t>f</w:t>
      </w:r>
      <w:r w:rsidRPr="001455DC">
        <w:rPr>
          <w:rStyle w:val="CCMCvariablesubscript"/>
        </w:rPr>
        <w:t>ck</w:t>
      </w:r>
      <w:r w:rsidRPr="001455DC">
        <w:t>.</w:t>
      </w:r>
    </w:p>
    <w:p w14:paraId="7E989FB9" w14:textId="105FB13A" w:rsidR="004E22C1" w:rsidRPr="001455DC" w:rsidRDefault="001710FF" w:rsidP="00181041">
      <w:pPr>
        <w:pStyle w:val="a7"/>
      </w:pPr>
      <w:r w:rsidRPr="001455DC">
        <w:t>Clause </w:t>
      </w:r>
      <w:r w:rsidR="004E22C1" w:rsidRPr="001455DC">
        <w:t>14 does not apply to members affected by dynamic actions (other than seismic) such as those from rotating machines and traffic loads.</w:t>
      </w:r>
    </w:p>
    <w:p w14:paraId="403467E1" w14:textId="77777777" w:rsidR="004E22C1" w:rsidRPr="001455DC" w:rsidRDefault="004E22C1" w:rsidP="00181041">
      <w:pPr>
        <w:pStyle w:val="a7"/>
      </w:pPr>
      <w:r w:rsidRPr="001455DC">
        <w:t>(4)</w:t>
      </w:r>
      <w:r w:rsidRPr="001455DC">
        <w:tab/>
        <w:t>For members made of lightweight aggregate concrete with closed structure according to Annex M or for precast concrete elements and structures covered by this Eurocode, the design rules should be modified accordingly.</w:t>
      </w:r>
    </w:p>
    <w:p w14:paraId="3581FD54" w14:textId="77777777" w:rsidR="004E22C1" w:rsidRPr="001455DC" w:rsidRDefault="004E22C1" w:rsidP="00181041">
      <w:pPr>
        <w:pStyle w:val="a7"/>
      </w:pPr>
      <w:r w:rsidRPr="001455DC">
        <w:t>(5)</w:t>
      </w:r>
      <w:r w:rsidRPr="001455DC">
        <w:tab/>
        <w:t>Plain concrete members may include steel reinforcement to satisfy serviceability, or partial reinforcement. Such reinforcement may be taken into account for local verification of ultimate limit states and for verification of serviceability limit states.</w:t>
      </w:r>
    </w:p>
    <w:p w14:paraId="56E04A25" w14:textId="77777777" w:rsidR="004E22C1" w:rsidRPr="001455DC" w:rsidRDefault="004E22C1" w:rsidP="00181041">
      <w:pPr>
        <w:pStyle w:val="a7"/>
        <w:rPr>
          <w:bCs/>
        </w:rPr>
      </w:pPr>
      <w:r w:rsidRPr="001455DC">
        <w:t>(6)</w:t>
      </w:r>
      <w:r w:rsidRPr="001455DC">
        <w:tab/>
        <w:t>Members subject to imposed deformations except as noted in 14.4.2 should be designed as reinforced members or constructed with joints to avoid uncontrolled cracking.</w:t>
      </w:r>
    </w:p>
    <w:p w14:paraId="758943FB" w14:textId="4B1AA447" w:rsidR="004E22C1" w:rsidRPr="001455DC" w:rsidRDefault="004E22C1" w:rsidP="006D682B">
      <w:pPr>
        <w:pStyle w:val="21"/>
      </w:pPr>
      <w:bookmarkStart w:id="1114" w:name="_Toc52820110"/>
      <w:bookmarkStart w:id="1115" w:name="_Toc54337509"/>
      <w:bookmarkStart w:id="1116" w:name="_Toc54338166"/>
      <w:bookmarkStart w:id="1117" w:name="_Toc67565501"/>
      <w:r w:rsidRPr="001455DC">
        <w:t>Concrete</w:t>
      </w:r>
      <w:bookmarkEnd w:id="1114"/>
      <w:bookmarkEnd w:id="1115"/>
      <w:bookmarkEnd w:id="1116"/>
      <w:bookmarkEnd w:id="1117"/>
    </w:p>
    <w:p w14:paraId="2E01EC85" w14:textId="52BB1FB0" w:rsidR="004E22C1" w:rsidRPr="001455DC" w:rsidRDefault="004E22C1" w:rsidP="00E844D2">
      <w:pPr>
        <w:pStyle w:val="a7"/>
        <w:keepNext/>
      </w:pPr>
      <w:r w:rsidRPr="001455DC">
        <w:rPr>
          <w:rFonts w:eastAsiaTheme="minorHAnsi"/>
        </w:rPr>
        <w:t>(1)</w:t>
      </w:r>
      <w:r w:rsidRPr="001455DC">
        <w:rPr>
          <w:rFonts w:eastAsiaTheme="minorHAnsi"/>
        </w:rPr>
        <w:tab/>
      </w:r>
      <w:r w:rsidRPr="001455DC">
        <w:t xml:space="preserve">For the verification of plain concrete members at ULS, the values for </w:t>
      </w:r>
      <w:r w:rsidRPr="001455DC">
        <w:rPr>
          <w:rStyle w:val="CCMCvariableitalic"/>
        </w:rPr>
        <w:t>f</w:t>
      </w:r>
      <w:r w:rsidRPr="001455DC">
        <w:rPr>
          <w:rStyle w:val="CCMCvariablesubscript"/>
        </w:rPr>
        <w:t>cd,pl</w:t>
      </w:r>
      <w:r w:rsidRPr="001455DC">
        <w:t xml:space="preserve"> and </w:t>
      </w:r>
      <w:r w:rsidRPr="001455DC">
        <w:rPr>
          <w:rStyle w:val="CCMCvariableitalic"/>
        </w:rPr>
        <w:t>f</w:t>
      </w:r>
      <w:r w:rsidRPr="001455DC">
        <w:rPr>
          <w:rStyle w:val="CCMCvariablesubscript"/>
        </w:rPr>
        <w:t>ctd,pl</w:t>
      </w:r>
      <w:r w:rsidRPr="001455DC">
        <w:t xml:space="preserve"> shall be taken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181041" w:rsidRPr="001455DC" w14:paraId="5658C335" w14:textId="77777777" w:rsidTr="00C11449">
        <w:trPr>
          <w:cantSplit/>
        </w:trPr>
        <w:tc>
          <w:tcPr>
            <w:tcW w:w="8505" w:type="dxa"/>
            <w:vAlign w:val="center"/>
          </w:tcPr>
          <w:p w14:paraId="34D178AC" w14:textId="2DA86540" w:rsidR="00181041" w:rsidRPr="001455DC" w:rsidRDefault="00181041" w:rsidP="00C11449">
            <w:pPr>
              <w:pStyle w:val="Formula"/>
              <w:jc w:val="left"/>
            </w:pPr>
            <w:r w:rsidRPr="001455DC">
              <w:rPr>
                <w:rStyle w:val="CCMCvariableitalic"/>
              </w:rPr>
              <w:t>f</w:t>
            </w:r>
            <w:r w:rsidRPr="001455DC">
              <w:rPr>
                <w:rStyle w:val="CCMCvariablesubscript"/>
              </w:rPr>
              <w:t>cd,pl</w:t>
            </w:r>
            <w:r w:rsidRPr="001455DC">
              <w:t> </w:t>
            </w:r>
            <w:r w:rsidR="00EC27D2" w:rsidRPr="001455DC">
              <w:rPr>
                <w:rFonts w:ascii="Cambria Math" w:hAnsi="Cambria Math"/>
              </w:rPr>
              <w:t>=</w:t>
            </w:r>
            <w:r w:rsidRPr="001455DC">
              <w:t> </w:t>
            </w:r>
            <w:r w:rsidRPr="001455DC">
              <w:rPr>
                <w:rStyle w:val="CCMCvariableitalic"/>
              </w:rPr>
              <w:t>k</w:t>
            </w:r>
            <w:r w:rsidRPr="001455DC">
              <w:rPr>
                <w:rStyle w:val="CCMCvariablesubscript"/>
              </w:rPr>
              <w:t>c,pl</w:t>
            </w:r>
            <w:r w:rsidRPr="001455DC">
              <w:t xml:space="preserve"> </w:t>
            </w:r>
            <w:r w:rsidRPr="001455DC">
              <w:rPr>
                <w:rStyle w:val="CCMCvariableitalic"/>
              </w:rPr>
              <w:t>∙</w:t>
            </w:r>
            <w:r w:rsidRPr="001455DC">
              <w:t xml:space="preserve"> </w:t>
            </w:r>
            <w:r w:rsidRPr="001455DC">
              <w:rPr>
                <w:rStyle w:val="CCMCvariableitalic"/>
              </w:rPr>
              <w:t>f</w:t>
            </w:r>
            <w:r w:rsidRPr="001455DC">
              <w:rPr>
                <w:rStyle w:val="CCMCvariablesubscript"/>
              </w:rPr>
              <w:t>cd</w:t>
            </w:r>
          </w:p>
        </w:tc>
        <w:tc>
          <w:tcPr>
            <w:tcW w:w="1247" w:type="dxa"/>
            <w:vAlign w:val="center"/>
          </w:tcPr>
          <w:p w14:paraId="630F2058" w14:textId="78ED8AA0" w:rsidR="00181041" w:rsidRPr="001455DC" w:rsidRDefault="00181041" w:rsidP="00C11449">
            <w:pPr>
              <w:pStyle w:val="a7"/>
              <w:jc w:val="right"/>
            </w:pPr>
            <w:r w:rsidRPr="001455DC">
              <w:t>(14.1a)</w:t>
            </w:r>
          </w:p>
        </w:tc>
      </w:tr>
      <w:tr w:rsidR="00181041" w:rsidRPr="001455DC" w14:paraId="7B33A7F6" w14:textId="77777777" w:rsidTr="00C11449">
        <w:trPr>
          <w:cantSplit/>
        </w:trPr>
        <w:tc>
          <w:tcPr>
            <w:tcW w:w="8505" w:type="dxa"/>
            <w:vAlign w:val="center"/>
          </w:tcPr>
          <w:p w14:paraId="686CC195" w14:textId="4CE5681D" w:rsidR="00181041" w:rsidRPr="001455DC" w:rsidRDefault="00181041" w:rsidP="00C11449">
            <w:pPr>
              <w:pStyle w:val="Formula"/>
              <w:jc w:val="left"/>
            </w:pPr>
            <w:r w:rsidRPr="001455DC">
              <w:rPr>
                <w:rStyle w:val="CCMCvariableitalic"/>
              </w:rPr>
              <w:t>f</w:t>
            </w:r>
            <w:r w:rsidRPr="001455DC">
              <w:rPr>
                <w:rStyle w:val="CCMCvariablesubscript"/>
              </w:rPr>
              <w:t>ctd,pl</w:t>
            </w:r>
            <w:r w:rsidRPr="001455DC">
              <w:t> </w:t>
            </w:r>
            <w:r w:rsidR="00EC27D2" w:rsidRPr="001455DC">
              <w:rPr>
                <w:rFonts w:ascii="Cambria Math" w:hAnsi="Cambria Math"/>
              </w:rPr>
              <w:t>=</w:t>
            </w:r>
            <w:r w:rsidRPr="001455DC">
              <w:t> </w:t>
            </w:r>
            <w:r w:rsidRPr="001455DC">
              <w:rPr>
                <w:rStyle w:val="CCMCvariableitalic"/>
              </w:rPr>
              <w:t>k</w:t>
            </w:r>
            <w:r w:rsidRPr="001455DC">
              <w:rPr>
                <w:rStyle w:val="CCMCvariablesubscript"/>
              </w:rPr>
              <w:t>t,pl</w:t>
            </w:r>
            <w:r w:rsidRPr="001455DC">
              <w:t xml:space="preserve"> </w:t>
            </w:r>
            <w:r w:rsidRPr="001455DC">
              <w:rPr>
                <w:rStyle w:val="CCMCvariableitalic"/>
              </w:rPr>
              <w:t>∙</w:t>
            </w:r>
            <w:r w:rsidRPr="001455DC">
              <w:t xml:space="preserve"> </w:t>
            </w:r>
            <w:r w:rsidRPr="001455DC">
              <w:rPr>
                <w:rStyle w:val="CCMCvariableitalic"/>
              </w:rPr>
              <w:t>f</w:t>
            </w:r>
            <w:r w:rsidRPr="001455DC">
              <w:rPr>
                <w:rStyle w:val="CCMCvariablesubscript"/>
              </w:rPr>
              <w:t>ctd</w:t>
            </w:r>
          </w:p>
        </w:tc>
        <w:tc>
          <w:tcPr>
            <w:tcW w:w="1247" w:type="dxa"/>
            <w:vAlign w:val="center"/>
          </w:tcPr>
          <w:p w14:paraId="2F4B6A24" w14:textId="38F57089" w:rsidR="00181041" w:rsidRPr="001455DC" w:rsidRDefault="00181041" w:rsidP="00C11449">
            <w:pPr>
              <w:pStyle w:val="a7"/>
              <w:jc w:val="right"/>
            </w:pPr>
            <w:r w:rsidRPr="001455DC">
              <w:t>(14.1b)</w:t>
            </w:r>
          </w:p>
        </w:tc>
      </w:tr>
    </w:tbl>
    <w:p w14:paraId="56FD4806" w14:textId="77777777" w:rsidR="004E22C1" w:rsidRPr="001455DC" w:rsidRDefault="004E22C1" w:rsidP="00181041">
      <w:pPr>
        <w:pStyle w:val="Note"/>
      </w:pPr>
      <w:r w:rsidRPr="001455DC">
        <w:t>NOTE</w:t>
      </w:r>
      <w:r w:rsidRPr="001455DC">
        <w:tab/>
        <w:t xml:space="preserve">The values of </w:t>
      </w:r>
      <w:r w:rsidRPr="001455DC">
        <w:rPr>
          <w:rStyle w:val="CCMCvariableitalic"/>
        </w:rPr>
        <w:t>k</w:t>
      </w:r>
      <w:r w:rsidRPr="001455DC">
        <w:rPr>
          <w:rStyle w:val="CCMCvariablesubscript"/>
        </w:rPr>
        <w:t>c,pl</w:t>
      </w:r>
      <w:r w:rsidRPr="001455DC">
        <w:t xml:space="preserve"> and </w:t>
      </w:r>
      <w:r w:rsidRPr="001455DC">
        <w:rPr>
          <w:rStyle w:val="CCMCvariableitalic"/>
        </w:rPr>
        <w:t>k</w:t>
      </w:r>
      <w:r w:rsidRPr="001455DC">
        <w:rPr>
          <w:rStyle w:val="CCMCvariablesubscript"/>
        </w:rPr>
        <w:t>t,pl</w:t>
      </w:r>
      <w:r w:rsidRPr="001455DC">
        <w:t xml:space="preserve"> are both 0,8 unless a National Annex gives other values.</w:t>
      </w:r>
    </w:p>
    <w:p w14:paraId="4DC0F342" w14:textId="77777777" w:rsidR="004E22C1" w:rsidRPr="001455DC" w:rsidRDefault="004E22C1" w:rsidP="00181041">
      <w:pPr>
        <w:pStyle w:val="a7"/>
      </w:pPr>
      <w:r w:rsidRPr="001455DC">
        <w:t>(2)</w:t>
      </w:r>
      <w:r w:rsidRPr="001455DC">
        <w:tab/>
        <w:t xml:space="preserve">When tensile stresses are considered for the design resistance of plain concrete members, the stress strain diagram (see 8.1.1) may be extended linearly up to the tensile design strength </w:t>
      </w:r>
      <w:r w:rsidRPr="001455DC">
        <w:rPr>
          <w:rStyle w:val="CCMCvariableitalic"/>
        </w:rPr>
        <w:t>f</w:t>
      </w:r>
      <w:r w:rsidRPr="001455DC">
        <w:rPr>
          <w:rStyle w:val="CCMCvariablesubscript"/>
        </w:rPr>
        <w:t>ctd,pl</w:t>
      </w:r>
      <w:r w:rsidRPr="001455DC">
        <w:t>.</w:t>
      </w:r>
    </w:p>
    <w:p w14:paraId="7E410616" w14:textId="1A26CA64" w:rsidR="004E22C1" w:rsidRPr="001455DC" w:rsidRDefault="004E22C1" w:rsidP="006D682B">
      <w:pPr>
        <w:pStyle w:val="21"/>
      </w:pPr>
      <w:bookmarkStart w:id="1118" w:name="_Toc101325806"/>
      <w:bookmarkStart w:id="1119" w:name="_Toc110045716"/>
      <w:bookmarkStart w:id="1120" w:name="_Toc438630586"/>
      <w:bookmarkStart w:id="1121" w:name="_Toc52820111"/>
      <w:bookmarkStart w:id="1122" w:name="_Toc54337510"/>
      <w:bookmarkStart w:id="1123" w:name="_Toc54338167"/>
      <w:bookmarkStart w:id="1124" w:name="_Toc67565502"/>
      <w:r w:rsidRPr="001455DC">
        <w:t>Structural analysis</w:t>
      </w:r>
      <w:bookmarkEnd w:id="1118"/>
      <w:bookmarkEnd w:id="1119"/>
      <w:bookmarkEnd w:id="1120"/>
      <w:bookmarkEnd w:id="1121"/>
      <w:bookmarkEnd w:id="1122"/>
      <w:bookmarkEnd w:id="1123"/>
      <w:bookmarkEnd w:id="1124"/>
    </w:p>
    <w:p w14:paraId="1F937567" w14:textId="6BC37E00" w:rsidR="004E22C1" w:rsidRPr="001455DC" w:rsidRDefault="004E22C1" w:rsidP="00181041">
      <w:pPr>
        <w:pStyle w:val="a7"/>
      </w:pPr>
      <w:r w:rsidRPr="001455DC">
        <w:t>(1)</w:t>
      </w:r>
      <w:r w:rsidRPr="001455DC">
        <w:tab/>
        <w:t xml:space="preserve">Since plain concrete members have limited deformation capacity, analysis methods according to </w:t>
      </w:r>
      <w:r w:rsidR="001710FF" w:rsidRPr="001455DC">
        <w:t>Clause </w:t>
      </w:r>
      <w:r w:rsidRPr="001455DC">
        <w:t>7 such as stress fields, strut-and-tie or FE should be used which permit neglecting the tensile strength of concrete, in general.</w:t>
      </w:r>
    </w:p>
    <w:p w14:paraId="770BAA2F" w14:textId="245CE0BF" w:rsidR="004E22C1" w:rsidRPr="001455DC" w:rsidRDefault="004E22C1" w:rsidP="006D682B">
      <w:pPr>
        <w:pStyle w:val="21"/>
      </w:pPr>
      <w:bookmarkStart w:id="1125" w:name="_Toc52820112"/>
      <w:bookmarkStart w:id="1126" w:name="_Toc54337511"/>
      <w:bookmarkStart w:id="1127" w:name="_Toc54338168"/>
      <w:bookmarkStart w:id="1128" w:name="_Toc67565503"/>
      <w:r w:rsidRPr="001455DC">
        <w:t>Ultimate limit states</w:t>
      </w:r>
      <w:bookmarkEnd w:id="1125"/>
      <w:bookmarkEnd w:id="1126"/>
      <w:bookmarkEnd w:id="1127"/>
      <w:bookmarkEnd w:id="1128"/>
    </w:p>
    <w:p w14:paraId="158CCF01" w14:textId="0FE020F4" w:rsidR="004E22C1" w:rsidRPr="001455DC" w:rsidRDefault="004E22C1" w:rsidP="00243590">
      <w:pPr>
        <w:pStyle w:val="31"/>
      </w:pPr>
      <w:bookmarkStart w:id="1129" w:name="_Toc52820113"/>
      <w:bookmarkStart w:id="1130" w:name="_Toc54337512"/>
      <w:bookmarkStart w:id="1131" w:name="_Toc54338169"/>
      <w:bookmarkStart w:id="1132" w:name="_Toc67565504"/>
      <w:r w:rsidRPr="001455DC">
        <w:t>General</w:t>
      </w:r>
      <w:bookmarkEnd w:id="1129"/>
      <w:bookmarkEnd w:id="1130"/>
      <w:bookmarkEnd w:id="1131"/>
      <w:bookmarkEnd w:id="1132"/>
    </w:p>
    <w:p w14:paraId="55EE0BA4" w14:textId="77777777" w:rsidR="004E22C1" w:rsidRPr="001455DC" w:rsidRDefault="004E22C1" w:rsidP="00181041">
      <w:pPr>
        <w:pStyle w:val="a7"/>
        <w:rPr>
          <w:bCs/>
        </w:rPr>
      </w:pPr>
      <w:r w:rsidRPr="001455DC">
        <w:t>(1)</w:t>
      </w:r>
      <w:r w:rsidRPr="001455DC">
        <w:tab/>
        <w:t>Beams, slabs and other structural members without axial compression or axial restraint and with predominantely bending moments should not be designed as plain concrete members taking into account concrete tensile strength. In cases of axially loaded members and shear forces 14.4.3 may be used. Strip and pad footings are allowed to be designed according to 14.6.3.</w:t>
      </w:r>
    </w:p>
    <w:p w14:paraId="284167D9" w14:textId="6C85592E" w:rsidR="004E22C1" w:rsidRPr="001455DC" w:rsidRDefault="004E22C1" w:rsidP="00243590">
      <w:pPr>
        <w:pStyle w:val="31"/>
      </w:pPr>
      <w:bookmarkStart w:id="1133" w:name="_Toc52820114"/>
      <w:bookmarkStart w:id="1134" w:name="_Toc54337513"/>
      <w:bookmarkStart w:id="1135" w:name="_Toc54338170"/>
      <w:bookmarkStart w:id="1136" w:name="_Toc67565505"/>
      <w:r w:rsidRPr="001455DC">
        <w:t>Design resistance to bending with axial force</w:t>
      </w:r>
      <w:bookmarkEnd w:id="1133"/>
      <w:bookmarkEnd w:id="1134"/>
      <w:bookmarkEnd w:id="1135"/>
      <w:bookmarkEnd w:id="1136"/>
    </w:p>
    <w:p w14:paraId="7039BE6E" w14:textId="77777777" w:rsidR="004E22C1" w:rsidRPr="001455DC" w:rsidRDefault="004E22C1" w:rsidP="00181041">
      <w:pPr>
        <w:pStyle w:val="a7"/>
      </w:pPr>
      <w:r w:rsidRPr="001455DC">
        <w:t>(1)</w:t>
      </w:r>
      <w:r w:rsidRPr="001455DC">
        <w:tab/>
        <w:t>In the case of walls, subject to the provision of adequate construction details and curing, the imposed deformations due to temperature or shrinkage may be ignored.</w:t>
      </w:r>
    </w:p>
    <w:p w14:paraId="724B708D" w14:textId="77777777" w:rsidR="004E22C1" w:rsidRPr="001455DC" w:rsidRDefault="004E22C1" w:rsidP="00181041">
      <w:pPr>
        <w:pStyle w:val="a7"/>
      </w:pPr>
      <w:r w:rsidRPr="001455DC">
        <w:t>(2)</w:t>
      </w:r>
      <w:r w:rsidRPr="001455DC">
        <w:tab/>
        <w:t>The general provisions of 8.1 apply for determining the ultimate resistance of sections to bending with axial force.</w:t>
      </w:r>
    </w:p>
    <w:p w14:paraId="7016195B" w14:textId="03B36091" w:rsidR="00181041" w:rsidRPr="001455DC" w:rsidRDefault="004E22C1" w:rsidP="00E844D2">
      <w:pPr>
        <w:pStyle w:val="a7"/>
        <w:keepNext/>
      </w:pPr>
      <w:r w:rsidRPr="001455DC">
        <w:t>(3)</w:t>
      </w:r>
      <w:r w:rsidRPr="001455DC">
        <w:tab/>
        <w:t xml:space="preserve">The axial resistance </w:t>
      </w:r>
      <w:r w:rsidRPr="001455DC">
        <w:rPr>
          <w:rStyle w:val="CCMCvariableitalic"/>
        </w:rPr>
        <w:t>N</w:t>
      </w:r>
      <w:r w:rsidRPr="001455DC">
        <w:rPr>
          <w:rStyle w:val="CCMCvariablesubscript"/>
        </w:rPr>
        <w:t>Rd</w:t>
      </w:r>
      <w:r w:rsidRPr="001455DC">
        <w:t xml:space="preserve"> of a rectangular cross</w:t>
      </w:r>
      <w:r w:rsidR="00B10711" w:rsidRPr="001455DC">
        <w:t xml:space="preserve"> </w:t>
      </w:r>
      <w:r w:rsidRPr="001455DC">
        <w:t xml:space="preserve">section with a uniaxial eccentricity </w:t>
      </w:r>
      <w:r w:rsidRPr="001455DC">
        <w:rPr>
          <w:rStyle w:val="CCMCvariableitalic"/>
        </w:rPr>
        <w:t>e</w:t>
      </w:r>
      <w:r w:rsidRPr="001455DC">
        <w:t xml:space="preserve"> in the direction of </w:t>
      </w:r>
      <w:r w:rsidRPr="001455DC">
        <w:rPr>
          <w:rStyle w:val="CCMCvariableitalic"/>
        </w:rPr>
        <w:t>h</w:t>
      </w:r>
      <w:r w:rsidRPr="001455DC">
        <w:t>, may be taken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181041" w:rsidRPr="001455DC" w14:paraId="5021BA48" w14:textId="77777777" w:rsidTr="00C11449">
        <w:trPr>
          <w:cantSplit/>
        </w:trPr>
        <w:tc>
          <w:tcPr>
            <w:tcW w:w="8505" w:type="dxa"/>
            <w:vAlign w:val="center"/>
          </w:tcPr>
          <w:p w14:paraId="1AD7ABFA" w14:textId="356DAB60" w:rsidR="00181041" w:rsidRPr="001455DC" w:rsidRDefault="00181041" w:rsidP="00C11449">
            <w:pPr>
              <w:pStyle w:val="Formula"/>
              <w:jc w:val="left"/>
            </w:pPr>
            <w:r w:rsidRPr="001455DC">
              <w:rPr>
                <w:rStyle w:val="CCMCvariableitalic"/>
              </w:rPr>
              <w:t>N</w:t>
            </w:r>
            <w:r w:rsidRPr="001455DC">
              <w:rPr>
                <w:rStyle w:val="CCMCvariablesubscript"/>
              </w:rPr>
              <w:t>Rd</w:t>
            </w:r>
            <w:r w:rsidRPr="001455DC">
              <w:t> </w:t>
            </w:r>
            <w:r w:rsidR="00EC27D2" w:rsidRPr="001455DC">
              <w:rPr>
                <w:rFonts w:ascii="Cambria Math" w:hAnsi="Cambria Math"/>
              </w:rPr>
              <w:t>=</w:t>
            </w:r>
            <w:r w:rsidRPr="001455DC">
              <w:t> </w:t>
            </w:r>
            <w:r w:rsidRPr="001455DC">
              <w:rPr>
                <w:rStyle w:val="CCMCvariableitalic"/>
              </w:rPr>
              <w:t>f</w:t>
            </w:r>
            <w:r w:rsidRPr="001455DC">
              <w:rPr>
                <w:rStyle w:val="CCMCvariablesubscript"/>
              </w:rPr>
              <w:t>cd,pl</w:t>
            </w:r>
            <w:r w:rsidRPr="001455DC">
              <w:t> </w:t>
            </w:r>
            <w:r w:rsidRPr="001455DC">
              <w:rPr>
                <w:rFonts w:ascii="Cambria Math" w:hAnsi="Cambria Math" w:cs="Cambria Math"/>
              </w:rPr>
              <w:t>⋅</w:t>
            </w:r>
            <w:r w:rsidRPr="001455DC">
              <w:t> </w:t>
            </w:r>
            <w:r w:rsidRPr="001455DC">
              <w:rPr>
                <w:rStyle w:val="CCMCvariableitalic"/>
              </w:rPr>
              <w:t>b</w:t>
            </w:r>
            <w:r w:rsidRPr="001455DC">
              <w:t xml:space="preserve"> ∙ </w:t>
            </w:r>
            <w:r w:rsidRPr="001455DC">
              <w:rPr>
                <w:rStyle w:val="CCMCvariableitalic"/>
              </w:rPr>
              <w:t>h</w:t>
            </w:r>
            <w:r w:rsidRPr="001455DC">
              <w:rPr>
                <w:rStyle w:val="CCMCvariablesubscript"/>
              </w:rPr>
              <w:t>w</w:t>
            </w:r>
            <w:r w:rsidRPr="001455DC">
              <w:t xml:space="preserve"> (1 </w:t>
            </w:r>
            <w:r w:rsidR="00EC27D2" w:rsidRPr="001455DC">
              <w:rPr>
                <w:rFonts w:ascii="Cambria Math" w:hAnsi="Cambria Math"/>
              </w:rPr>
              <w:t>−</w:t>
            </w:r>
            <w:r w:rsidRPr="001455DC">
              <w:t xml:space="preserve"> 2 </w:t>
            </w:r>
            <w:r w:rsidRPr="001455DC">
              <w:rPr>
                <w:rStyle w:val="CCMCvariableitalic"/>
              </w:rPr>
              <w:t>e</w:t>
            </w:r>
            <w:r w:rsidRPr="001455DC">
              <w:t>/</w:t>
            </w:r>
            <w:r w:rsidRPr="001455DC">
              <w:rPr>
                <w:rStyle w:val="CCMCvariableitalic"/>
              </w:rPr>
              <w:t>h</w:t>
            </w:r>
            <w:r w:rsidRPr="001455DC">
              <w:rPr>
                <w:rStyle w:val="CCMCvariablesubscript"/>
              </w:rPr>
              <w:t>w</w:t>
            </w:r>
            <w:r w:rsidRPr="001455DC">
              <w:t>)</w:t>
            </w:r>
          </w:p>
        </w:tc>
        <w:tc>
          <w:tcPr>
            <w:tcW w:w="1247" w:type="dxa"/>
            <w:vAlign w:val="center"/>
          </w:tcPr>
          <w:p w14:paraId="5EED494B" w14:textId="3379FD3F" w:rsidR="00181041" w:rsidRPr="001455DC" w:rsidRDefault="00181041" w:rsidP="00C11449">
            <w:pPr>
              <w:pStyle w:val="a7"/>
              <w:jc w:val="right"/>
            </w:pPr>
            <w:r w:rsidRPr="001455DC">
              <w:t>(14.2)</w:t>
            </w:r>
          </w:p>
        </w:tc>
      </w:tr>
    </w:tbl>
    <w:p w14:paraId="76C43EC8" w14:textId="77777777" w:rsidR="00181041" w:rsidRPr="001455DC" w:rsidRDefault="00181041"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181041" w:rsidRPr="001455DC" w14:paraId="75454742" w14:textId="77777777" w:rsidTr="00C11449">
        <w:trPr>
          <w:cantSplit/>
        </w:trPr>
        <w:tc>
          <w:tcPr>
            <w:tcW w:w="567" w:type="dxa"/>
          </w:tcPr>
          <w:p w14:paraId="61A97F02" w14:textId="7D103442" w:rsidR="00181041" w:rsidRPr="001455DC" w:rsidRDefault="00181041" w:rsidP="0000442A">
            <w:pPr>
              <w:pStyle w:val="Tablebody"/>
            </w:pPr>
            <w:r w:rsidRPr="001455DC">
              <w:rPr>
                <w:rStyle w:val="CCMCvariableitalic"/>
              </w:rPr>
              <w:t>b</w:t>
            </w:r>
          </w:p>
        </w:tc>
        <w:tc>
          <w:tcPr>
            <w:tcW w:w="8845" w:type="dxa"/>
          </w:tcPr>
          <w:p w14:paraId="3E7A4F69" w14:textId="138C5FC3" w:rsidR="00181041" w:rsidRPr="001455DC" w:rsidRDefault="00181041" w:rsidP="00BB1209">
            <w:pPr>
              <w:pStyle w:val="Tablebody"/>
            </w:pPr>
            <w:r w:rsidRPr="001455DC">
              <w:t>is the overall width of the cross</w:t>
            </w:r>
            <w:r w:rsidR="00B10711" w:rsidRPr="001455DC">
              <w:t xml:space="preserve"> </w:t>
            </w:r>
            <w:r w:rsidRPr="001455DC">
              <w:t>section (see Figure 14.1);</w:t>
            </w:r>
          </w:p>
        </w:tc>
      </w:tr>
      <w:tr w:rsidR="00181041" w:rsidRPr="001455DC" w14:paraId="6D6833CD" w14:textId="77777777" w:rsidTr="00C11449">
        <w:trPr>
          <w:cantSplit/>
        </w:trPr>
        <w:tc>
          <w:tcPr>
            <w:tcW w:w="567" w:type="dxa"/>
          </w:tcPr>
          <w:p w14:paraId="7DCBA031" w14:textId="3B8BE3FD" w:rsidR="00181041" w:rsidRPr="001455DC" w:rsidRDefault="00181041" w:rsidP="0000442A">
            <w:pPr>
              <w:pStyle w:val="Tablebody"/>
            </w:pPr>
            <w:r w:rsidRPr="001455DC">
              <w:rPr>
                <w:rStyle w:val="CCMCvariableitalic"/>
              </w:rPr>
              <w:t>h</w:t>
            </w:r>
            <w:r w:rsidRPr="001455DC">
              <w:rPr>
                <w:rStyle w:val="CCMCvariablesubscript"/>
              </w:rPr>
              <w:t>w</w:t>
            </w:r>
          </w:p>
        </w:tc>
        <w:tc>
          <w:tcPr>
            <w:tcW w:w="8845" w:type="dxa"/>
          </w:tcPr>
          <w:p w14:paraId="07CD6354" w14:textId="0B428174" w:rsidR="00181041" w:rsidRPr="001455DC" w:rsidRDefault="00181041" w:rsidP="0000442A">
            <w:pPr>
              <w:pStyle w:val="Tablebody"/>
            </w:pPr>
            <w:r w:rsidRPr="001455DC">
              <w:t>is the overall depth of the cross</w:t>
            </w:r>
            <w:r w:rsidR="00B10711" w:rsidRPr="001455DC">
              <w:t xml:space="preserve"> </w:t>
            </w:r>
            <w:r w:rsidRPr="001455DC">
              <w:t>section;</w:t>
            </w:r>
          </w:p>
        </w:tc>
      </w:tr>
      <w:tr w:rsidR="00181041" w:rsidRPr="001455DC" w14:paraId="20E58C9E" w14:textId="77777777" w:rsidTr="00C11449">
        <w:trPr>
          <w:cantSplit/>
        </w:trPr>
        <w:tc>
          <w:tcPr>
            <w:tcW w:w="567" w:type="dxa"/>
          </w:tcPr>
          <w:p w14:paraId="519838B5" w14:textId="10AE758B" w:rsidR="00181041" w:rsidRPr="001455DC" w:rsidRDefault="00181041" w:rsidP="00D86695">
            <w:pPr>
              <w:pStyle w:val="Tablebody"/>
            </w:pPr>
            <w:r w:rsidRPr="001455DC">
              <w:rPr>
                <w:rStyle w:val="CCMCvariableitalic"/>
              </w:rPr>
              <w:t>e</w:t>
            </w:r>
          </w:p>
        </w:tc>
        <w:tc>
          <w:tcPr>
            <w:tcW w:w="8845" w:type="dxa"/>
          </w:tcPr>
          <w:p w14:paraId="57C44DB2" w14:textId="41207AD3" w:rsidR="00181041" w:rsidRPr="001455DC" w:rsidRDefault="00181041" w:rsidP="00D86695">
            <w:pPr>
              <w:pStyle w:val="Tablebody"/>
            </w:pPr>
            <w:r w:rsidRPr="001455DC">
              <w:t xml:space="preserve">is the eccentricity of </w:t>
            </w:r>
            <w:r w:rsidRPr="001455DC">
              <w:rPr>
                <w:rStyle w:val="CCMCvariableitalic"/>
              </w:rPr>
              <w:t>N</w:t>
            </w:r>
            <w:r w:rsidRPr="001455DC">
              <w:rPr>
                <w:rStyle w:val="CCMCvariablesubscript"/>
              </w:rPr>
              <w:t>Ed</w:t>
            </w:r>
            <w:r w:rsidRPr="001455DC">
              <w:t xml:space="preserve"> in the direction of </w:t>
            </w:r>
            <w:r w:rsidRPr="001455DC">
              <w:rPr>
                <w:rStyle w:val="CCMCvariableitalic"/>
              </w:rPr>
              <w:t>h</w:t>
            </w:r>
            <w:r w:rsidRPr="001455DC">
              <w:t>.</w:t>
            </w:r>
          </w:p>
        </w:tc>
      </w:tr>
    </w:tbl>
    <w:p w14:paraId="184DE8CF" w14:textId="2B42B2AA" w:rsidR="00F77658" w:rsidRPr="001455DC" w:rsidRDefault="00723CF7" w:rsidP="00F77658">
      <w:pPr>
        <w:pStyle w:val="FigureImage"/>
      </w:pPr>
      <w:r>
        <w:rPr>
          <w:noProof/>
          <w:lang w:eastAsia="en-GB"/>
        </w:rPr>
        <w:fldChar w:fldCharType="begin"/>
      </w:r>
      <w:r>
        <w:rPr>
          <w:noProof/>
          <w:lang w:eastAsia="en-GB"/>
        </w:rPr>
        <w:instrText xml:space="preserve"> INCLUDEPICTURE  "Y:\\STD_MGT\\STDDEL\\PRODUCTION\\etrans\\Download\\Z_FIRST_DEL\\SV\\00250\\00250269\\41_e_dr\\14_001.tif"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"Y:\\STD_MGT\\STDDEL\\PRODUCTION\\Standards\\00250\\269\\41_e_dr\\14_001.tif"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"Y:\\STD_MGT\\STDDEL\\PRODUCTION\\Standards\\00250\\269\\41_e_dr\\14_001.tif"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"Y:\\STD_MGT\\STDDEL\\PRODUCTION\\Standards\\00250\\269\\41_e_dr\\14_001.tif"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"Y:\\STD_MGT\\STDDEL\\PRODUCTION\\Standards\\00250\\269\\41_e_dr\\14_001.tif"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"Y:\\STD_MGT\\STDDEL\\PRODUCTION\\Standards\\00250\\269\\41_e_dr\\14_001.tif"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w:instrText>
      </w:r>
      <w:r w:rsidR="00231E33">
        <w:rPr>
          <w:noProof/>
          <w:lang w:eastAsia="en-GB"/>
        </w:rPr>
        <w:instrText>LUDEPICTURE  "C:\\Users\\a.dionysiou\\AppData\\Local\\Temp\\Temp1_00250269_e_20210902.zip.zip\\41_e_dr\\14_001.tif"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64E30447">
          <v:shape id="_x0000_i1293" type="#_x0000_t75" style="width:193.5pt;height:234.75pt">
            <v:imagedata r:id="rId556" r:href="rId557"/>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5BAE2A16" w14:textId="1F083109" w:rsidR="00181041" w:rsidRPr="001455DC" w:rsidRDefault="00181041" w:rsidP="00DB201D">
      <w:pPr>
        <w:pStyle w:val="KeyTitle"/>
      </w:pPr>
      <w:r w:rsidRPr="001455DC">
        <w:t>Key</w:t>
      </w:r>
    </w:p>
    <w:tbl>
      <w:tblPr>
        <w:tblW w:w="9809" w:type="dxa"/>
        <w:tblLayout w:type="fixed"/>
        <w:tblCellMar>
          <w:left w:w="28" w:type="dxa"/>
          <w:right w:w="28" w:type="dxa"/>
        </w:tblCellMar>
        <w:tblLook w:val="0000" w:firstRow="0" w:lastRow="0" w:firstColumn="0" w:lastColumn="0" w:noHBand="0" w:noVBand="0"/>
      </w:tblPr>
      <w:tblGrid>
        <w:gridCol w:w="397"/>
        <w:gridCol w:w="9412"/>
      </w:tblGrid>
      <w:tr w:rsidR="00181041" w:rsidRPr="001455DC" w14:paraId="23BDFDE9" w14:textId="77777777" w:rsidTr="00C11449">
        <w:tc>
          <w:tcPr>
            <w:tcW w:w="397" w:type="dxa"/>
            <w:shd w:val="clear" w:color="auto" w:fill="auto"/>
          </w:tcPr>
          <w:p w14:paraId="439184C1" w14:textId="037C117E" w:rsidR="00181041" w:rsidRPr="001455DC" w:rsidRDefault="00181041" w:rsidP="00D86695">
            <w:pPr>
              <w:pStyle w:val="KeyText"/>
              <w:tabs>
                <w:tab w:val="clear" w:pos="346"/>
              </w:tabs>
              <w:ind w:left="0" w:firstLine="0"/>
            </w:pPr>
            <w:r w:rsidRPr="001455DC">
              <w:rPr>
                <w:rStyle w:val="CCMCvariableitalic"/>
              </w:rPr>
              <w:t>N</w:t>
            </w:r>
            <w:r w:rsidRPr="001455DC">
              <w:rPr>
                <w:rStyle w:val="CCMCvariablesubscript"/>
              </w:rPr>
              <w:t>Ed</w:t>
            </w:r>
          </w:p>
        </w:tc>
        <w:tc>
          <w:tcPr>
            <w:tcW w:w="9412" w:type="dxa"/>
            <w:shd w:val="clear" w:color="auto" w:fill="auto"/>
          </w:tcPr>
          <w:p w14:paraId="409EB622" w14:textId="6DB2AC84" w:rsidR="00181041" w:rsidRPr="001455DC" w:rsidRDefault="00181041" w:rsidP="00D86695">
            <w:pPr>
              <w:pStyle w:val="KeyText"/>
              <w:tabs>
                <w:tab w:val="clear" w:pos="346"/>
              </w:tabs>
              <w:ind w:left="0" w:firstLine="0"/>
            </w:pPr>
            <w:r w:rsidRPr="001455DC">
              <w:rPr>
                <w:iCs/>
              </w:rPr>
              <w:t>resultant force of the actions</w:t>
            </w:r>
          </w:p>
        </w:tc>
      </w:tr>
    </w:tbl>
    <w:p w14:paraId="5553BD6B" w14:textId="77777777" w:rsidR="004E22C1" w:rsidRPr="001455DC" w:rsidRDefault="004E22C1" w:rsidP="00181041">
      <w:pPr>
        <w:pStyle w:val="Figuretitle"/>
      </w:pPr>
      <w:r w:rsidRPr="001455DC">
        <w:t>Figure 14.1 — Notation for plain walls</w:t>
      </w:r>
    </w:p>
    <w:p w14:paraId="08968858" w14:textId="581D063E" w:rsidR="004E22C1" w:rsidRPr="001455DC" w:rsidRDefault="004E22C1" w:rsidP="00243590">
      <w:pPr>
        <w:pStyle w:val="31"/>
      </w:pPr>
      <w:bookmarkStart w:id="1137" w:name="_Toc52820115"/>
      <w:bookmarkStart w:id="1138" w:name="_Toc54337514"/>
      <w:bookmarkStart w:id="1139" w:name="_Toc54338171"/>
      <w:bookmarkStart w:id="1140" w:name="_Toc67565506"/>
      <w:r w:rsidRPr="001455DC">
        <w:t>Shear</w:t>
      </w:r>
      <w:bookmarkEnd w:id="1137"/>
      <w:bookmarkEnd w:id="1138"/>
      <w:bookmarkEnd w:id="1139"/>
      <w:bookmarkEnd w:id="1140"/>
    </w:p>
    <w:p w14:paraId="11F93C9D" w14:textId="1758E1E8" w:rsidR="004E22C1" w:rsidRPr="001455DC" w:rsidRDefault="004E22C1" w:rsidP="00181041">
      <w:pPr>
        <w:pStyle w:val="a7"/>
      </w:pPr>
      <w:r w:rsidRPr="001455DC">
        <w:t>(1)</w:t>
      </w:r>
      <w:r w:rsidRPr="001455DC">
        <w:tab/>
        <w:t>In members with axial compression, approaches based on compression fields without ties according to 8.5 should be used to calculate shear resistance.</w:t>
      </w:r>
    </w:p>
    <w:p w14:paraId="2196FFB2" w14:textId="4BBB9B80" w:rsidR="004E22C1" w:rsidRPr="001455DC" w:rsidRDefault="004E22C1" w:rsidP="00181041">
      <w:pPr>
        <w:pStyle w:val="a7"/>
      </w:pPr>
      <w:r w:rsidRPr="001455DC">
        <w:t>(2)</w:t>
      </w:r>
      <w:r w:rsidRPr="001455DC">
        <w:tab/>
        <w:t>In plain concrete members account may be taken of the concrete tensile strength in the ultimate limit state for shear, provided that either by calculations or by experience, brittle failure may be excluded and adequate resistance is ensured.</w:t>
      </w:r>
    </w:p>
    <w:p w14:paraId="6D5BF47B" w14:textId="77777777" w:rsidR="00181041" w:rsidRPr="001455DC" w:rsidRDefault="004E22C1" w:rsidP="00E844D2">
      <w:pPr>
        <w:pStyle w:val="a7"/>
        <w:keepNext/>
      </w:pPr>
      <w:r w:rsidRPr="001455DC">
        <w:t>(3)</w:t>
      </w:r>
      <w:r w:rsidRPr="001455DC">
        <w:tab/>
        <w:t xml:space="preserve">For a section subject to a shear force </w:t>
      </w:r>
      <w:r w:rsidRPr="001455DC">
        <w:rPr>
          <w:rStyle w:val="CCMCvariableitalic"/>
        </w:rPr>
        <w:t>V</w:t>
      </w:r>
      <w:r w:rsidRPr="001455DC">
        <w:rPr>
          <w:rStyle w:val="CCMCvariablesubscript"/>
        </w:rPr>
        <w:t>Ed</w:t>
      </w:r>
      <w:r w:rsidRPr="001455DC">
        <w:t xml:space="preserve"> and a normal compressive force |</w:t>
      </w:r>
      <w:r w:rsidRPr="001455DC">
        <w:rPr>
          <w:rStyle w:val="CCMCvariableitalic"/>
        </w:rPr>
        <w:t>N</w:t>
      </w:r>
      <w:r w:rsidRPr="001455DC">
        <w:rPr>
          <w:rStyle w:val="CCMCvariablesubscript"/>
        </w:rPr>
        <w:t>Ed</w:t>
      </w:r>
      <w:r w:rsidRPr="001455DC">
        <w:t xml:space="preserve">| acting over a compressive area </w:t>
      </w:r>
      <w:r w:rsidRPr="001455DC">
        <w:rPr>
          <w:rStyle w:val="CCMCvariableitalic"/>
        </w:rPr>
        <w:t>A</w:t>
      </w:r>
      <w:r w:rsidRPr="001455DC">
        <w:rPr>
          <w:rStyle w:val="CCMCvariablesubscript"/>
        </w:rPr>
        <w:t>cc</w:t>
      </w:r>
      <w:r w:rsidRPr="001455DC">
        <w:t xml:space="preserve"> the absolute value of the components of design stress may be taken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181041" w:rsidRPr="001455DC" w14:paraId="089D6165" w14:textId="77777777" w:rsidTr="00C11449">
        <w:trPr>
          <w:cantSplit/>
        </w:trPr>
        <w:tc>
          <w:tcPr>
            <w:tcW w:w="8505" w:type="dxa"/>
            <w:vAlign w:val="center"/>
          </w:tcPr>
          <w:p w14:paraId="7BBF09BE" w14:textId="522B0598" w:rsidR="00181041" w:rsidRPr="001455DC" w:rsidRDefault="00181041" w:rsidP="00C11449">
            <w:pPr>
              <w:pStyle w:val="Formula"/>
              <w:jc w:val="left"/>
            </w:pPr>
            <w:r w:rsidRPr="001455DC">
              <w:rPr>
                <w:rStyle w:val="CCMCvariableitalic"/>
              </w:rPr>
              <w:t>σ</w:t>
            </w:r>
            <w:r w:rsidRPr="001455DC">
              <w:rPr>
                <w:rStyle w:val="CCMCvariablesubscript"/>
              </w:rPr>
              <w:t>cp</w:t>
            </w:r>
            <w:r w:rsidRPr="001455DC">
              <w:t xml:space="preserve"> </w:t>
            </w:r>
            <w:r w:rsidR="00EC27D2" w:rsidRPr="001455DC">
              <w:rPr>
                <w:rFonts w:ascii="Cambria Math" w:hAnsi="Cambria Math"/>
              </w:rPr>
              <w:t>=</w:t>
            </w:r>
            <w:r w:rsidRPr="001455DC">
              <w:t xml:space="preserve"> |</w:t>
            </w:r>
            <w:r w:rsidRPr="001455DC">
              <w:rPr>
                <w:rStyle w:val="CCMCvariableitalic"/>
              </w:rPr>
              <w:t>N</w:t>
            </w:r>
            <w:r w:rsidRPr="001455DC">
              <w:rPr>
                <w:rStyle w:val="CCMCvariablesubscript"/>
              </w:rPr>
              <w:t xml:space="preserve">Ed </w:t>
            </w:r>
            <w:r w:rsidRPr="001455DC">
              <w:t>|/</w:t>
            </w:r>
            <w:r w:rsidRPr="001455DC">
              <w:rPr>
                <w:rStyle w:val="CCMCvariableitalic"/>
              </w:rPr>
              <w:t>A</w:t>
            </w:r>
            <w:r w:rsidRPr="001455DC">
              <w:rPr>
                <w:rStyle w:val="CCMCvariablesubscript"/>
              </w:rPr>
              <w:t>cc</w:t>
            </w:r>
          </w:p>
        </w:tc>
        <w:tc>
          <w:tcPr>
            <w:tcW w:w="1247" w:type="dxa"/>
            <w:vAlign w:val="center"/>
          </w:tcPr>
          <w:p w14:paraId="6AE5AFFD" w14:textId="361D724B" w:rsidR="00181041" w:rsidRPr="001455DC" w:rsidRDefault="00181041" w:rsidP="00C11449">
            <w:pPr>
              <w:pStyle w:val="a7"/>
              <w:jc w:val="right"/>
            </w:pPr>
            <w:r w:rsidRPr="001455DC">
              <w:t>(14.3)</w:t>
            </w:r>
          </w:p>
        </w:tc>
      </w:tr>
      <w:tr w:rsidR="00181041" w:rsidRPr="001455DC" w14:paraId="3732E826" w14:textId="77777777" w:rsidTr="00C11449">
        <w:trPr>
          <w:cantSplit/>
        </w:trPr>
        <w:tc>
          <w:tcPr>
            <w:tcW w:w="8505" w:type="dxa"/>
            <w:vAlign w:val="center"/>
          </w:tcPr>
          <w:p w14:paraId="3DA09043" w14:textId="4486624A" w:rsidR="00181041" w:rsidRPr="001455DC" w:rsidRDefault="00181041" w:rsidP="00C11449">
            <w:pPr>
              <w:pStyle w:val="Formula"/>
              <w:jc w:val="left"/>
            </w:pPr>
            <w:r w:rsidRPr="001455DC">
              <w:rPr>
                <w:rStyle w:val="CCMCvariableitalic"/>
              </w:rPr>
              <w:t>τ</w:t>
            </w:r>
            <w:r w:rsidRPr="001455DC">
              <w:rPr>
                <w:rStyle w:val="CCMCvariablesubscript"/>
              </w:rPr>
              <w:t>cp</w:t>
            </w:r>
            <w:r w:rsidRPr="001455DC">
              <w:t xml:space="preserve"> </w:t>
            </w:r>
            <w:r w:rsidR="00EC27D2" w:rsidRPr="001455DC">
              <w:rPr>
                <w:rFonts w:ascii="Cambria Math" w:hAnsi="Cambria Math"/>
              </w:rPr>
              <w:t>=</w:t>
            </w:r>
            <w:r w:rsidRPr="001455DC">
              <w:t xml:space="preserve"> 1,5 ∙ </w:t>
            </w:r>
            <w:r w:rsidRPr="001455DC">
              <w:rPr>
                <w:rStyle w:val="CCMCvariableitalic"/>
              </w:rPr>
              <w:t>V</w:t>
            </w:r>
            <w:r w:rsidRPr="001455DC">
              <w:rPr>
                <w:rStyle w:val="CCMCvariablesubscript"/>
              </w:rPr>
              <w:t>Ed</w:t>
            </w:r>
            <w:r w:rsidRPr="001455DC">
              <w:t>/</w:t>
            </w:r>
            <w:r w:rsidRPr="001455DC">
              <w:rPr>
                <w:rStyle w:val="CCMCvariableitalic"/>
              </w:rPr>
              <w:t>A</w:t>
            </w:r>
            <w:r w:rsidRPr="001455DC">
              <w:rPr>
                <w:rStyle w:val="CCMCvariablesubscript"/>
              </w:rPr>
              <w:t>cc</w:t>
            </w:r>
            <w:r w:rsidRPr="001455DC">
              <w:t xml:space="preserve"> (for rectangular sections)</w:t>
            </w:r>
          </w:p>
        </w:tc>
        <w:tc>
          <w:tcPr>
            <w:tcW w:w="1247" w:type="dxa"/>
            <w:vAlign w:val="center"/>
          </w:tcPr>
          <w:p w14:paraId="53CB3EBE" w14:textId="79B35E7F" w:rsidR="00181041" w:rsidRPr="001455DC" w:rsidRDefault="00181041" w:rsidP="00C11449">
            <w:pPr>
              <w:pStyle w:val="a7"/>
              <w:jc w:val="right"/>
            </w:pPr>
            <w:r w:rsidRPr="001455DC">
              <w:t>(14.4)</w:t>
            </w:r>
          </w:p>
        </w:tc>
      </w:tr>
    </w:tbl>
    <w:p w14:paraId="4EF2C625" w14:textId="77777777" w:rsidR="004E22C1" w:rsidRPr="001455DC" w:rsidRDefault="004E22C1" w:rsidP="00E844D2">
      <w:pPr>
        <w:pStyle w:val="a7"/>
        <w:keepNext/>
      </w:pPr>
      <w:r w:rsidRPr="001455DC">
        <w:t>and the following should be satisfied:</w:t>
      </w:r>
    </w:p>
    <w:p w14:paraId="52A847AA" w14:textId="6DA964C0" w:rsidR="004E22C1" w:rsidRPr="001455DC" w:rsidRDefault="004E22C1" w:rsidP="00181041">
      <w:pPr>
        <w:pStyle w:val="Formula"/>
        <w:rPr>
          <w:rStyle w:val="CCMCvariablesubscript"/>
        </w:rPr>
      </w:pPr>
      <w:r w:rsidRPr="001455DC">
        <w:rPr>
          <w:rStyle w:val="CCMCvariableitalic"/>
        </w:rPr>
        <w:t>τ</w:t>
      </w:r>
      <w:r w:rsidRPr="001455DC">
        <w:rPr>
          <w:rStyle w:val="CCMCvariablesubscript"/>
        </w:rPr>
        <w:t>cp</w:t>
      </w:r>
      <w:r w:rsidRPr="001455DC">
        <w:t> </w:t>
      </w:r>
      <w:r w:rsidR="00650035" w:rsidRPr="001455DC">
        <w:rPr>
          <w:rFonts w:ascii="Cambria Math" w:hAnsi="Cambria Math"/>
        </w:rPr>
        <w:t>≤</w:t>
      </w:r>
      <w:r w:rsidRPr="001455DC">
        <w:t> </w:t>
      </w:r>
      <w:r w:rsidRPr="001455DC">
        <w:rPr>
          <w:rStyle w:val="CCMCvariableitalic"/>
        </w:rPr>
        <w:t>τ</w:t>
      </w:r>
      <w:r w:rsidRPr="001455DC">
        <w:rPr>
          <w:rStyle w:val="CCMCvariablesubscript"/>
        </w:rPr>
        <w:t>Rd,pl</w:t>
      </w:r>
    </w:p>
    <w:p w14:paraId="5191CF4F" w14:textId="5F444564" w:rsidR="00C11449" w:rsidRPr="001455DC" w:rsidRDefault="00C11449" w:rsidP="00A35599">
      <w:pPr>
        <w:pStyle w:val="a7"/>
        <w:keepNext/>
      </w:pPr>
      <w:r w:rsidRPr="001455DC">
        <w:t>where</w:t>
      </w:r>
    </w:p>
    <w:tbl>
      <w:tblPr>
        <w:tblW w:w="9413" w:type="dxa"/>
        <w:tblInd w:w="397" w:type="dxa"/>
        <w:tblLayout w:type="fixed"/>
        <w:tblCellMar>
          <w:left w:w="28" w:type="dxa"/>
          <w:right w:w="28" w:type="dxa"/>
        </w:tblCellMar>
        <w:tblLook w:val="04A0" w:firstRow="1" w:lastRow="0" w:firstColumn="1" w:lastColumn="0" w:noHBand="0" w:noVBand="1"/>
      </w:tblPr>
      <w:tblGrid>
        <w:gridCol w:w="1418"/>
        <w:gridCol w:w="6747"/>
        <w:gridCol w:w="1248"/>
      </w:tblGrid>
      <w:tr w:rsidR="00F55541" w:rsidRPr="001455DC" w14:paraId="7FA05E60" w14:textId="77777777" w:rsidTr="00F55541">
        <w:trPr>
          <w:cantSplit/>
        </w:trPr>
        <w:tc>
          <w:tcPr>
            <w:tcW w:w="1418" w:type="dxa"/>
            <w:vAlign w:val="center"/>
          </w:tcPr>
          <w:p w14:paraId="61CAE0B0" w14:textId="6E395C5F" w:rsidR="00F55541" w:rsidRPr="001455DC" w:rsidRDefault="00F55541" w:rsidP="00F55541">
            <w:pPr>
              <w:pStyle w:val="Tablebody"/>
              <w:jc w:val="left"/>
            </w:pPr>
            <w:r w:rsidRPr="001455DC">
              <w:t xml:space="preserve">if </w:t>
            </w:r>
            <w:r w:rsidRPr="001455DC">
              <w:rPr>
                <w:rStyle w:val="CCMCvariableitalic"/>
              </w:rPr>
              <w:t>σ</w:t>
            </w:r>
            <w:r w:rsidRPr="001455DC">
              <w:rPr>
                <w:rStyle w:val="CCMCvariablesubscript"/>
              </w:rPr>
              <w:t>cp</w:t>
            </w:r>
            <w:r w:rsidRPr="001455DC">
              <w:t> </w:t>
            </w:r>
            <w:r w:rsidR="00650035" w:rsidRPr="001455DC">
              <w:rPr>
                <w:rFonts w:ascii="Cambria Math" w:hAnsi="Cambria Math"/>
              </w:rPr>
              <w:t>≤</w:t>
            </w:r>
            <w:r w:rsidRPr="001455DC">
              <w:t> </w:t>
            </w:r>
            <w:r w:rsidRPr="001455DC">
              <w:rPr>
                <w:rStyle w:val="CCMCvariableitalic"/>
              </w:rPr>
              <w:t>σ</w:t>
            </w:r>
            <w:r w:rsidRPr="001455DC">
              <w:rPr>
                <w:rStyle w:val="CCMCvariablesubscript"/>
              </w:rPr>
              <w:t>c,lim</w:t>
            </w:r>
            <w:r w:rsidRPr="001455DC">
              <w:t>:</w:t>
            </w:r>
          </w:p>
        </w:tc>
        <w:tc>
          <w:tcPr>
            <w:tcW w:w="6747" w:type="dxa"/>
            <w:vAlign w:val="center"/>
          </w:tcPr>
          <w:p w14:paraId="526D04CB" w14:textId="174F8E24" w:rsidR="00F55541" w:rsidRPr="001455DC" w:rsidRDefault="00231E33" w:rsidP="00F55541">
            <w:pPr>
              <w:pStyle w:val="Tablebody"/>
              <w:jc w:val="left"/>
            </w:pPr>
            <m:oMathPara>
              <m:oMathParaPr>
                <m:jc m:val="left"/>
              </m:oMathParaPr>
              <m:oMath>
                <m:sSub>
                  <m:sSubPr>
                    <m:ctrlPr>
                      <w:rPr>
                        <w:rFonts w:ascii="Cambria Math" w:hAnsi="Cambria Math"/>
                      </w:rPr>
                    </m:ctrlPr>
                  </m:sSubPr>
                  <m:e>
                    <m:r>
                      <w:rPr>
                        <w:rFonts w:ascii="Cambria Math" w:hAnsi="Cambria Math"/>
                      </w:rPr>
                      <m:t>τ</m:t>
                    </m:r>
                  </m:e>
                  <m:sub>
                    <m:r>
                      <m:rPr>
                        <m:sty m:val="p"/>
                      </m:rPr>
                      <w:rPr>
                        <w:rFonts w:ascii="Cambria Math" w:hAnsi="Cambria Math"/>
                      </w:rPr>
                      <m:t>Rd,pl</m:t>
                    </m:r>
                  </m:sub>
                </m:sSub>
                <m: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f</m:t>
                        </m:r>
                      </m:e>
                      <m:sub>
                        <m:r>
                          <m:rPr>
                            <m:sty m:val="p"/>
                          </m:rPr>
                          <w:rPr>
                            <w:rFonts w:ascii="Cambria Math" w:hAnsi="Cambria Math"/>
                          </w:rPr>
                          <m:t>ctd,pl</m:t>
                        </m:r>
                      </m:sub>
                      <m:sup>
                        <m:r>
                          <w:rPr>
                            <w:rFonts w:ascii="Cambria Math" w:hAnsi="Cambria Math"/>
                          </w:rPr>
                          <m:t>2</m:t>
                        </m:r>
                      </m:sup>
                    </m:sSubSup>
                    <m:r>
                      <w:rPr>
                        <w:rFonts w:ascii="Cambria Math" w:hAnsi="Cambria Math"/>
                      </w:rPr>
                      <m:t>+</m:t>
                    </m:r>
                    <m:sSub>
                      <m:sSubPr>
                        <m:ctrlPr>
                          <w:rPr>
                            <w:rFonts w:ascii="Cambria Math" w:hAnsi="Cambria Math"/>
                          </w:rPr>
                        </m:ctrlPr>
                      </m:sSubPr>
                      <m:e>
                        <m:r>
                          <w:rPr>
                            <w:rFonts w:ascii="Cambria Math" w:hAnsi="Cambria Math"/>
                          </w:rPr>
                          <m:t>σ</m:t>
                        </m:r>
                      </m:e>
                      <m:sub>
                        <m:r>
                          <m:rPr>
                            <m:sty m:val="p"/>
                          </m:rPr>
                          <w:rPr>
                            <w:rFonts w:ascii="Cambria Math" w:hAnsi="Cambria Math"/>
                          </w:rPr>
                          <m:t>cp</m:t>
                        </m:r>
                      </m:sub>
                    </m:sSub>
                    <m:sSub>
                      <m:sSubPr>
                        <m:ctrlPr>
                          <w:rPr>
                            <w:rFonts w:ascii="Cambria Math" w:hAnsi="Cambria Math"/>
                          </w:rPr>
                        </m:ctrlPr>
                      </m:sSubPr>
                      <m:e>
                        <m:r>
                          <w:rPr>
                            <w:rFonts w:ascii="Cambria Math" w:hAnsi="Cambria Math"/>
                          </w:rPr>
                          <m:t>f</m:t>
                        </m:r>
                      </m:e>
                      <m:sub>
                        <m:r>
                          <m:rPr>
                            <m:sty m:val="p"/>
                          </m:rPr>
                          <w:rPr>
                            <w:rFonts w:ascii="Cambria Math" w:hAnsi="Cambria Math"/>
                          </w:rPr>
                          <m:t>ctd,pl</m:t>
                        </m:r>
                      </m:sub>
                    </m:sSub>
                  </m:e>
                </m:rad>
              </m:oMath>
            </m:oMathPara>
          </w:p>
        </w:tc>
        <w:tc>
          <w:tcPr>
            <w:tcW w:w="1248" w:type="dxa"/>
            <w:vAlign w:val="center"/>
          </w:tcPr>
          <w:p w14:paraId="3F1ABBB8" w14:textId="376F8203" w:rsidR="00F55541" w:rsidRPr="001455DC" w:rsidRDefault="00F55541" w:rsidP="00F55541">
            <w:pPr>
              <w:pStyle w:val="Tablebody"/>
              <w:jc w:val="right"/>
            </w:pPr>
            <w:r w:rsidRPr="001455DC">
              <w:t>(14.5)</w:t>
            </w:r>
          </w:p>
        </w:tc>
      </w:tr>
      <w:tr w:rsidR="00F55541" w:rsidRPr="001455DC" w14:paraId="29072A53" w14:textId="77777777" w:rsidTr="00F55541">
        <w:trPr>
          <w:cantSplit/>
        </w:trPr>
        <w:tc>
          <w:tcPr>
            <w:tcW w:w="1418" w:type="dxa"/>
          </w:tcPr>
          <w:p w14:paraId="7CB3A9B9" w14:textId="2DEF0DF9" w:rsidR="00F55541" w:rsidRPr="001455DC" w:rsidRDefault="00F55541" w:rsidP="00C11449">
            <w:pPr>
              <w:pStyle w:val="Tablebody"/>
            </w:pPr>
            <w:r w:rsidRPr="001455DC">
              <w:t>or</w:t>
            </w:r>
          </w:p>
        </w:tc>
        <w:tc>
          <w:tcPr>
            <w:tcW w:w="7995" w:type="dxa"/>
            <w:gridSpan w:val="2"/>
          </w:tcPr>
          <w:p w14:paraId="138323F5" w14:textId="1E451235" w:rsidR="00F55541" w:rsidRPr="001455DC" w:rsidRDefault="00F55541" w:rsidP="00C11449">
            <w:pPr>
              <w:pStyle w:val="Tablebody"/>
            </w:pPr>
            <w:r w:rsidRPr="001455DC">
              <w:t> </w:t>
            </w:r>
          </w:p>
        </w:tc>
      </w:tr>
      <w:tr w:rsidR="00F55541" w:rsidRPr="001455DC" w14:paraId="2E4D09BA" w14:textId="77777777" w:rsidTr="00F55541">
        <w:trPr>
          <w:cantSplit/>
        </w:trPr>
        <w:tc>
          <w:tcPr>
            <w:tcW w:w="1418" w:type="dxa"/>
            <w:vAlign w:val="center"/>
          </w:tcPr>
          <w:p w14:paraId="48B768BD" w14:textId="20A1858B" w:rsidR="00F55541" w:rsidRPr="001455DC" w:rsidRDefault="00F55541" w:rsidP="00F55541">
            <w:pPr>
              <w:pStyle w:val="Tablebody"/>
              <w:jc w:val="left"/>
            </w:pPr>
            <w:r w:rsidRPr="001455DC">
              <w:t xml:space="preserve">if </w:t>
            </w:r>
            <w:r w:rsidRPr="001455DC">
              <w:rPr>
                <w:rStyle w:val="CCMCvariableitalic"/>
              </w:rPr>
              <w:t>σ</w:t>
            </w:r>
            <w:r w:rsidRPr="001455DC">
              <w:rPr>
                <w:rStyle w:val="CCMCvariablesubscript"/>
              </w:rPr>
              <w:t>cp</w:t>
            </w:r>
            <w:r w:rsidRPr="001455DC">
              <w:t> </w:t>
            </w:r>
            <w:r w:rsidR="00650035" w:rsidRPr="001455DC">
              <w:rPr>
                <w:rFonts w:ascii="Cambria Math" w:hAnsi="Cambria Math"/>
              </w:rPr>
              <w:t>&gt;</w:t>
            </w:r>
            <w:r w:rsidRPr="001455DC">
              <w:t> </w:t>
            </w:r>
            <w:r w:rsidRPr="001455DC">
              <w:rPr>
                <w:rStyle w:val="CCMCvariableitalic"/>
              </w:rPr>
              <w:t>σ</w:t>
            </w:r>
            <w:r w:rsidRPr="001455DC">
              <w:rPr>
                <w:rStyle w:val="CCMCvariablesubscript"/>
              </w:rPr>
              <w:t>c,lim</w:t>
            </w:r>
            <w:r w:rsidRPr="001455DC">
              <w:t>:</w:t>
            </w:r>
          </w:p>
        </w:tc>
        <w:tc>
          <w:tcPr>
            <w:tcW w:w="6747" w:type="dxa"/>
            <w:vAlign w:val="center"/>
          </w:tcPr>
          <w:p w14:paraId="0E1C3266" w14:textId="56F669AE" w:rsidR="00F55541" w:rsidRPr="001455DC" w:rsidRDefault="00231E33" w:rsidP="00F55541">
            <w:pPr>
              <w:pStyle w:val="Tablebody"/>
              <w:jc w:val="left"/>
            </w:pPr>
            <m:oMathPara>
              <m:oMathParaPr>
                <m:jc m:val="left"/>
              </m:oMathParaPr>
              <m:oMath>
                <m:sSub>
                  <m:sSubPr>
                    <m:ctrlPr>
                      <w:rPr>
                        <w:rFonts w:ascii="Cambria Math" w:hAnsi="Cambria Math"/>
                      </w:rPr>
                    </m:ctrlPr>
                  </m:sSubPr>
                  <m:e>
                    <m:r>
                      <w:rPr>
                        <w:rFonts w:ascii="Cambria Math" w:hAnsi="Cambria Math"/>
                      </w:rPr>
                      <m:t>τ</m:t>
                    </m:r>
                  </m:e>
                  <m:sub>
                    <m:r>
                      <m:rPr>
                        <m:sty m:val="p"/>
                      </m:rPr>
                      <w:rPr>
                        <w:rFonts w:ascii="Cambria Math" w:hAnsi="Cambria Math"/>
                      </w:rPr>
                      <m:t>Rd,pl</m:t>
                    </m:r>
                  </m:sub>
                </m:sSub>
                <m: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f</m:t>
                        </m:r>
                      </m:e>
                      <m:sub>
                        <m:r>
                          <m:rPr>
                            <m:sty m:val="p"/>
                          </m:rPr>
                          <w:rPr>
                            <w:rFonts w:ascii="Cambria Math" w:hAnsi="Cambria Math"/>
                          </w:rPr>
                          <m:t>ctd,pl</m:t>
                        </m:r>
                      </m:sub>
                      <m:sup>
                        <m:r>
                          <w:rPr>
                            <w:rFonts w:ascii="Cambria Math" w:hAnsi="Cambria Math"/>
                          </w:rPr>
                          <m:t>2</m:t>
                        </m:r>
                      </m:sup>
                    </m:sSubSup>
                    <m:r>
                      <w:rPr>
                        <w:rFonts w:ascii="Cambria Math" w:hAnsi="Cambria Math"/>
                      </w:rPr>
                      <m:t>+</m:t>
                    </m:r>
                    <m:sSub>
                      <m:sSubPr>
                        <m:ctrlPr>
                          <w:rPr>
                            <w:rFonts w:ascii="Cambria Math" w:hAnsi="Cambria Math"/>
                          </w:rPr>
                        </m:ctrlPr>
                      </m:sSubPr>
                      <m:e>
                        <m:r>
                          <w:rPr>
                            <w:rFonts w:ascii="Cambria Math" w:hAnsi="Cambria Math"/>
                          </w:rPr>
                          <m:t>σ</m:t>
                        </m:r>
                      </m:e>
                      <m:sub>
                        <m:r>
                          <m:rPr>
                            <m:sty m:val="p"/>
                          </m:rPr>
                          <w:rPr>
                            <w:rFonts w:ascii="Cambria Math" w:hAnsi="Cambria Math"/>
                          </w:rPr>
                          <m:t>cp</m:t>
                        </m:r>
                      </m:sub>
                    </m:sSub>
                    <m:sSub>
                      <m:sSubPr>
                        <m:ctrlPr>
                          <w:rPr>
                            <w:rFonts w:ascii="Cambria Math" w:hAnsi="Cambria Math"/>
                          </w:rPr>
                        </m:ctrlPr>
                      </m:sSubPr>
                      <m:e>
                        <m:r>
                          <w:rPr>
                            <w:rFonts w:ascii="Cambria Math" w:hAnsi="Cambria Math"/>
                          </w:rPr>
                          <m:t>f</m:t>
                        </m:r>
                      </m:e>
                      <m:sub>
                        <m:r>
                          <m:rPr>
                            <m:sty m:val="p"/>
                          </m:rPr>
                          <w:rPr>
                            <w:rFonts w:ascii="Cambria Math" w:hAnsi="Cambria Math"/>
                          </w:rPr>
                          <m:t>ctd,pl</m:t>
                        </m:r>
                      </m:sub>
                    </m:sSub>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σ</m:t>
                                    </m:r>
                                  </m:e>
                                  <m:sub>
                                    <m:r>
                                      <m:rPr>
                                        <m:sty m:val="p"/>
                                      </m:rPr>
                                      <w:rPr>
                                        <w:rFonts w:ascii="Cambria Math" w:hAnsi="Cambria Math"/>
                                      </w:rPr>
                                      <m:t>cp</m:t>
                                    </m:r>
                                  </m:sub>
                                </m:sSub>
                                <m:r>
                                  <w:rPr>
                                    <w:rFonts w:ascii="Cambria Math" w:hAnsi="Cambria Math"/>
                                  </w:rPr>
                                  <m:t>-</m:t>
                                </m:r>
                                <m:sSub>
                                  <m:sSubPr>
                                    <m:ctrlPr>
                                      <w:rPr>
                                        <w:rFonts w:ascii="Cambria Math" w:hAnsi="Cambria Math"/>
                                      </w:rPr>
                                    </m:ctrlPr>
                                  </m:sSubPr>
                                  <m:e>
                                    <m:r>
                                      <w:rPr>
                                        <w:rFonts w:ascii="Cambria Math" w:hAnsi="Cambria Math"/>
                                      </w:rPr>
                                      <m:t>σ</m:t>
                                    </m:r>
                                  </m:e>
                                  <m:sub>
                                    <m:r>
                                      <m:rPr>
                                        <m:sty m:val="p"/>
                                      </m:rPr>
                                      <w:rPr>
                                        <w:rFonts w:ascii="Cambria Math" w:hAnsi="Cambria Math"/>
                                      </w:rPr>
                                      <m:t>c,lim</m:t>
                                    </m:r>
                                  </m:sub>
                                </m:sSub>
                              </m:num>
                              <m:den>
                                <m:r>
                                  <w:rPr>
                                    <w:rFonts w:ascii="Cambria Math" w:hAnsi="Cambria Math"/>
                                  </w:rPr>
                                  <m:t>2</m:t>
                                </m:r>
                              </m:den>
                            </m:f>
                          </m:e>
                        </m:d>
                      </m:e>
                      <m:sup>
                        <m:r>
                          <w:rPr>
                            <w:rFonts w:ascii="Cambria Math" w:hAnsi="Cambria Math"/>
                          </w:rPr>
                          <m:t>2</m:t>
                        </m:r>
                      </m:sup>
                    </m:sSup>
                  </m:e>
                </m:rad>
              </m:oMath>
            </m:oMathPara>
          </w:p>
        </w:tc>
        <w:tc>
          <w:tcPr>
            <w:tcW w:w="1248" w:type="dxa"/>
            <w:vAlign w:val="center"/>
          </w:tcPr>
          <w:p w14:paraId="3F39FA88" w14:textId="1EFAC332" w:rsidR="00F55541" w:rsidRPr="001455DC" w:rsidRDefault="00F55541" w:rsidP="00F55541">
            <w:pPr>
              <w:pStyle w:val="Tablebody"/>
              <w:jc w:val="right"/>
            </w:pPr>
            <w:r w:rsidRPr="001455DC">
              <w:rPr>
                <w:rFonts w:eastAsiaTheme="minorEastAsia"/>
              </w:rPr>
              <w:t>(14.6)</w:t>
            </w:r>
          </w:p>
        </w:tc>
      </w:tr>
      <w:tr w:rsidR="00F55541" w:rsidRPr="001455DC" w14:paraId="68B5B008" w14:textId="77777777" w:rsidTr="002540CA">
        <w:trPr>
          <w:cantSplit/>
        </w:trPr>
        <w:tc>
          <w:tcPr>
            <w:tcW w:w="8165" w:type="dxa"/>
            <w:gridSpan w:val="2"/>
          </w:tcPr>
          <w:p w14:paraId="3EC4BC0C" w14:textId="112D02C4" w:rsidR="00F55541" w:rsidRPr="001455DC" w:rsidRDefault="00231E33" w:rsidP="00F55541">
            <w:pPr>
              <w:pStyle w:val="Tablebody"/>
              <w:jc w:val="left"/>
            </w:pPr>
            <m:oMathPara>
              <m:oMathParaPr>
                <m:jc m:val="left"/>
              </m:oMathParaPr>
              <m:oMath>
                <m:sSub>
                  <m:sSubPr>
                    <m:ctrlPr>
                      <w:rPr>
                        <w:rFonts w:ascii="Cambria Math" w:hAnsi="Cambria Math"/>
                      </w:rPr>
                    </m:ctrlPr>
                  </m:sSubPr>
                  <m:e>
                    <m:r>
                      <w:rPr>
                        <w:rFonts w:ascii="Cambria Math" w:hAnsi="Cambria Math"/>
                      </w:rPr>
                      <m:t>σ</m:t>
                    </m:r>
                  </m:e>
                  <m:sub>
                    <m:r>
                      <m:rPr>
                        <m:sty m:val="p"/>
                      </m:rPr>
                      <w:rPr>
                        <w:rFonts w:ascii="Cambria Math" w:hAnsi="Cambria Math"/>
                      </w:rPr>
                      <m:t>c,lim</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ctd,pl</m:t>
                    </m:r>
                  </m:sub>
                </m:sSub>
                <m:r>
                  <w:rPr>
                    <w:rFonts w:ascii="Cambria Math" w:hAnsi="Cambria Math"/>
                  </w:rPr>
                  <m:t>-2</m:t>
                </m:r>
                <m:rad>
                  <m:radPr>
                    <m:degHide m:val="1"/>
                    <m:ctrlPr>
                      <w:rPr>
                        <w:rFonts w:ascii="Cambria Math" w:hAnsi="Cambria Math"/>
                      </w:rPr>
                    </m:ctrlPr>
                  </m:radPr>
                  <m:deg/>
                  <m:e>
                    <m:sSub>
                      <m:sSubPr>
                        <m:ctrlPr>
                          <w:rPr>
                            <w:rFonts w:ascii="Cambria Math" w:hAnsi="Cambria Math"/>
                          </w:rPr>
                        </m:ctrlPr>
                      </m:sSubPr>
                      <m:e>
                        <m:r>
                          <w:rPr>
                            <w:rFonts w:ascii="Cambria Math" w:hAnsi="Cambria Math"/>
                          </w:rPr>
                          <m:t>f</m:t>
                        </m:r>
                      </m:e>
                      <m:sub>
                        <m:r>
                          <m:rPr>
                            <m:sty m:val="p"/>
                          </m:rPr>
                          <w:rPr>
                            <w:rFonts w:ascii="Cambria Math" w:hAnsi="Cambria Math"/>
                          </w:rPr>
                          <m:t>ctd,pl</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ctd,pl</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cd,pl</m:t>
                            </m:r>
                          </m:sub>
                        </m:sSub>
                      </m:e>
                    </m:d>
                  </m:e>
                </m:rad>
              </m:oMath>
            </m:oMathPara>
          </w:p>
        </w:tc>
        <w:tc>
          <w:tcPr>
            <w:tcW w:w="1248" w:type="dxa"/>
            <w:vAlign w:val="center"/>
          </w:tcPr>
          <w:p w14:paraId="1C6EFB91" w14:textId="015D902D" w:rsidR="00F55541" w:rsidRPr="001455DC" w:rsidRDefault="00F55541" w:rsidP="00F55541">
            <w:pPr>
              <w:pStyle w:val="Tablebody"/>
              <w:jc w:val="right"/>
            </w:pPr>
            <w:r w:rsidRPr="001455DC">
              <w:t>(14.7)</w:t>
            </w:r>
          </w:p>
        </w:tc>
      </w:tr>
    </w:tbl>
    <w:p w14:paraId="20C55257" w14:textId="77777777" w:rsidR="004E22C1" w:rsidRPr="001455DC" w:rsidRDefault="004E22C1" w:rsidP="00181041">
      <w:pPr>
        <w:pStyle w:val="a7"/>
      </w:pPr>
      <w:r w:rsidRPr="001455DC">
        <w:t xml:space="preserve">where </w:t>
      </w:r>
      <w:r w:rsidRPr="001455DC">
        <w:rPr>
          <w:rStyle w:val="CCMCvariableitalic"/>
        </w:rPr>
        <w:t>τ</w:t>
      </w:r>
      <w:r w:rsidRPr="001455DC">
        <w:rPr>
          <w:rStyle w:val="CCMCvariablesubscript"/>
        </w:rPr>
        <w:t>Rd,pl</w:t>
      </w:r>
      <w:r w:rsidRPr="001455DC">
        <w:t xml:space="preserve"> is the plain concrete design strength in shear.</w:t>
      </w:r>
    </w:p>
    <w:p w14:paraId="4CF4873B" w14:textId="77777777" w:rsidR="004E22C1" w:rsidRPr="001455DC" w:rsidRDefault="004E22C1" w:rsidP="00181041">
      <w:pPr>
        <w:pStyle w:val="a7"/>
      </w:pPr>
      <w:r w:rsidRPr="001455DC">
        <w:t>(4)</w:t>
      </w:r>
      <w:r w:rsidRPr="001455DC">
        <w:tab/>
        <w:t xml:space="preserve">A concrete member may be considered to be uncracked at the ultimate limit state if either it remains completely under compression or if the absolute value of the principal concrete tensile stress does not exceed </w:t>
      </w:r>
      <w:r w:rsidRPr="001455DC">
        <w:rPr>
          <w:rStyle w:val="CCMCvariableitalic"/>
        </w:rPr>
        <w:t>f</w:t>
      </w:r>
      <w:r w:rsidRPr="001455DC">
        <w:rPr>
          <w:rStyle w:val="CCMCvariablesubscript"/>
        </w:rPr>
        <w:t>ctd,pl</w:t>
      </w:r>
      <w:r w:rsidRPr="001455DC">
        <w:t>.</w:t>
      </w:r>
    </w:p>
    <w:p w14:paraId="5BF4C20A" w14:textId="77777777" w:rsidR="004E22C1" w:rsidRPr="001455DC" w:rsidRDefault="004E22C1" w:rsidP="00181041">
      <w:pPr>
        <w:pStyle w:val="a7"/>
      </w:pPr>
      <w:r w:rsidRPr="001455DC">
        <w:t>(5)</w:t>
      </w:r>
      <w:r w:rsidRPr="001455DC">
        <w:tab/>
        <w:t>Shear forces in construction joints should be verified according to 8.2.6.</w:t>
      </w:r>
    </w:p>
    <w:p w14:paraId="57C4F124" w14:textId="61B27124" w:rsidR="004E22C1" w:rsidRPr="001455DC" w:rsidRDefault="004E22C1" w:rsidP="00243590">
      <w:pPr>
        <w:pStyle w:val="31"/>
      </w:pPr>
      <w:bookmarkStart w:id="1141" w:name="_Toc52820116"/>
      <w:bookmarkStart w:id="1142" w:name="_Toc54337515"/>
      <w:bookmarkStart w:id="1143" w:name="_Toc54338172"/>
      <w:bookmarkStart w:id="1144" w:name="_Toc67565507"/>
      <w:r w:rsidRPr="001455DC">
        <w:t>Torsion</w:t>
      </w:r>
      <w:bookmarkEnd w:id="1141"/>
      <w:bookmarkEnd w:id="1142"/>
      <w:bookmarkEnd w:id="1143"/>
      <w:bookmarkEnd w:id="1144"/>
    </w:p>
    <w:p w14:paraId="3963E76B" w14:textId="77777777" w:rsidR="004E22C1" w:rsidRPr="001455DC" w:rsidRDefault="004E22C1" w:rsidP="00C11449">
      <w:pPr>
        <w:pStyle w:val="a7"/>
      </w:pPr>
      <w:r w:rsidRPr="001455DC">
        <w:t>(1)</w:t>
      </w:r>
      <w:r w:rsidRPr="001455DC">
        <w:tab/>
        <w:t>Cracked members should not be designed to resist torsional moments unless it can be justified otherwise.</w:t>
      </w:r>
    </w:p>
    <w:p w14:paraId="48B1B895" w14:textId="53C8570E" w:rsidR="004E22C1" w:rsidRPr="001455DC" w:rsidRDefault="004E22C1" w:rsidP="00243590">
      <w:pPr>
        <w:pStyle w:val="31"/>
      </w:pPr>
      <w:bookmarkStart w:id="1145" w:name="_Toc52820117"/>
      <w:bookmarkStart w:id="1146" w:name="_Toc54337516"/>
      <w:bookmarkStart w:id="1147" w:name="_Toc54338173"/>
      <w:bookmarkStart w:id="1148" w:name="_Toc67565508"/>
      <w:r w:rsidRPr="001455DC">
        <w:t>Ultimate limit states induced by structural deformation (buckling)</w:t>
      </w:r>
      <w:bookmarkEnd w:id="1145"/>
      <w:bookmarkEnd w:id="1146"/>
      <w:bookmarkEnd w:id="1147"/>
      <w:bookmarkEnd w:id="1148"/>
    </w:p>
    <w:p w14:paraId="6502F542" w14:textId="5FA4E3E9" w:rsidR="004E22C1" w:rsidRPr="001455DC" w:rsidRDefault="004E22C1" w:rsidP="00243590">
      <w:pPr>
        <w:pStyle w:val="41"/>
      </w:pPr>
      <w:bookmarkStart w:id="1149" w:name="_Toc52820118"/>
      <w:bookmarkStart w:id="1150" w:name="_Toc54338174"/>
      <w:r w:rsidRPr="001455DC">
        <w:t>Slenderness of columns and wall</w:t>
      </w:r>
      <w:bookmarkEnd w:id="1149"/>
      <w:r w:rsidRPr="001455DC">
        <w:t>s</w:t>
      </w:r>
      <w:bookmarkEnd w:id="1150"/>
    </w:p>
    <w:p w14:paraId="3D27764A" w14:textId="77777777" w:rsidR="00C11449" w:rsidRPr="001455DC" w:rsidRDefault="004E22C1" w:rsidP="00E844D2">
      <w:pPr>
        <w:pStyle w:val="a7"/>
        <w:keepNext/>
      </w:pPr>
      <w:r w:rsidRPr="001455DC">
        <w:t>(1)</w:t>
      </w:r>
      <w:r w:rsidRPr="001455DC">
        <w:tab/>
        <w:t>The effective length of a column or wall should be calculated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C11449" w:rsidRPr="001455DC" w14:paraId="1F1D9B6B" w14:textId="77777777" w:rsidTr="00C11449">
        <w:trPr>
          <w:cantSplit/>
        </w:trPr>
        <w:tc>
          <w:tcPr>
            <w:tcW w:w="8505" w:type="dxa"/>
            <w:vAlign w:val="center"/>
          </w:tcPr>
          <w:p w14:paraId="2DF1DC70" w14:textId="246E54D4" w:rsidR="00C11449" w:rsidRPr="001455DC" w:rsidRDefault="00C11449" w:rsidP="00C11449">
            <w:pPr>
              <w:pStyle w:val="Formula"/>
              <w:jc w:val="left"/>
            </w:pPr>
            <w:r w:rsidRPr="001455DC">
              <w:rPr>
                <w:rStyle w:val="CCMCvariableitalic"/>
              </w:rPr>
              <w:t>l</w:t>
            </w:r>
            <w:r w:rsidRPr="001455DC">
              <w:rPr>
                <w:rStyle w:val="CCMCvariablesubscript"/>
              </w:rPr>
              <w:t>0</w:t>
            </w:r>
            <w:r w:rsidRPr="001455DC">
              <w:t> </w:t>
            </w:r>
            <w:r w:rsidR="00EC27D2" w:rsidRPr="001455DC">
              <w:rPr>
                <w:rFonts w:ascii="Cambria Math" w:hAnsi="Cambria Math"/>
              </w:rPr>
              <w:t>=</w:t>
            </w:r>
            <w:r w:rsidRPr="001455DC">
              <w:t> </w:t>
            </w:r>
            <w:r w:rsidRPr="001455DC">
              <w:rPr>
                <w:rStyle w:val="CCMCvariableitalic"/>
              </w:rPr>
              <w:t>β</w:t>
            </w:r>
            <w:r w:rsidRPr="001455DC">
              <w:rPr>
                <w:rStyle w:val="CCMCvariablesubscript"/>
              </w:rPr>
              <w:t>Eul</w:t>
            </w:r>
            <w:r w:rsidRPr="001455DC">
              <w:t> </w:t>
            </w:r>
            <w:r w:rsidRPr="001455DC">
              <w:rPr>
                <w:rFonts w:ascii="Cambria Math" w:hAnsi="Cambria Math" w:cs="Cambria Math"/>
              </w:rPr>
              <w:t>⋅</w:t>
            </w:r>
            <w:r w:rsidRPr="001455DC">
              <w:t> </w:t>
            </w:r>
            <w:r w:rsidRPr="001455DC">
              <w:rPr>
                <w:rStyle w:val="CCMCvariableitalic"/>
              </w:rPr>
              <w:t>l</w:t>
            </w:r>
            <w:r w:rsidRPr="001455DC">
              <w:rPr>
                <w:rStyle w:val="CCMCvariablesubscript"/>
              </w:rPr>
              <w:t>w</w:t>
            </w:r>
          </w:p>
        </w:tc>
        <w:tc>
          <w:tcPr>
            <w:tcW w:w="1247" w:type="dxa"/>
            <w:vAlign w:val="center"/>
          </w:tcPr>
          <w:p w14:paraId="32A28037" w14:textId="0B076DE5" w:rsidR="00C11449" w:rsidRPr="001455DC" w:rsidRDefault="00C11449" w:rsidP="00C11449">
            <w:pPr>
              <w:pStyle w:val="a7"/>
              <w:jc w:val="right"/>
            </w:pPr>
            <w:r w:rsidRPr="001455DC">
              <w:t>(14.8)</w:t>
            </w:r>
          </w:p>
        </w:tc>
      </w:tr>
    </w:tbl>
    <w:p w14:paraId="527FBB7E" w14:textId="77777777" w:rsidR="00C11449" w:rsidRPr="001455DC" w:rsidRDefault="00C11449"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C11449" w:rsidRPr="001455DC" w14:paraId="7E0BCA7E" w14:textId="77777777" w:rsidTr="00C11449">
        <w:trPr>
          <w:cantSplit/>
        </w:trPr>
        <w:tc>
          <w:tcPr>
            <w:tcW w:w="567" w:type="dxa"/>
          </w:tcPr>
          <w:p w14:paraId="0948BE3F" w14:textId="2ED48AA4" w:rsidR="00C11449" w:rsidRPr="001455DC" w:rsidRDefault="00C11449" w:rsidP="0000442A">
            <w:pPr>
              <w:pStyle w:val="Tablebody"/>
            </w:pPr>
            <w:r w:rsidRPr="001455DC">
              <w:rPr>
                <w:rStyle w:val="CCMCvariableitalic"/>
              </w:rPr>
              <w:t>l</w:t>
            </w:r>
            <w:r w:rsidRPr="001455DC">
              <w:rPr>
                <w:rStyle w:val="CCMCvariablesubscript"/>
              </w:rPr>
              <w:t>w</w:t>
            </w:r>
          </w:p>
        </w:tc>
        <w:tc>
          <w:tcPr>
            <w:tcW w:w="8845" w:type="dxa"/>
          </w:tcPr>
          <w:p w14:paraId="46B738D3" w14:textId="64CE62A8" w:rsidR="00C11449" w:rsidRPr="001455DC" w:rsidRDefault="00C11449" w:rsidP="00BB1209">
            <w:pPr>
              <w:pStyle w:val="Tablebody"/>
            </w:pPr>
            <w:r w:rsidRPr="001455DC">
              <w:t>clear height of the member;</w:t>
            </w:r>
          </w:p>
        </w:tc>
      </w:tr>
      <w:tr w:rsidR="00C11449" w:rsidRPr="001455DC" w14:paraId="3F516D95" w14:textId="77777777" w:rsidTr="00C11449">
        <w:trPr>
          <w:cantSplit/>
        </w:trPr>
        <w:tc>
          <w:tcPr>
            <w:tcW w:w="567" w:type="dxa"/>
          </w:tcPr>
          <w:p w14:paraId="25644DCB" w14:textId="702403A0" w:rsidR="00C11449" w:rsidRPr="001455DC" w:rsidRDefault="00C11449" w:rsidP="0000442A">
            <w:pPr>
              <w:pStyle w:val="Tablebody"/>
            </w:pPr>
            <w:r w:rsidRPr="001455DC">
              <w:rPr>
                <w:rStyle w:val="CCMCvariableitalic"/>
              </w:rPr>
              <w:t>β</w:t>
            </w:r>
            <w:r w:rsidRPr="001455DC">
              <w:rPr>
                <w:rStyle w:val="CCMCvariablesubscript"/>
              </w:rPr>
              <w:t>Eul</w:t>
            </w:r>
          </w:p>
        </w:tc>
        <w:tc>
          <w:tcPr>
            <w:tcW w:w="8845" w:type="dxa"/>
          </w:tcPr>
          <w:p w14:paraId="14092EB4" w14:textId="5982E631" w:rsidR="00C11449" w:rsidRPr="001455DC" w:rsidRDefault="00C11449" w:rsidP="0000442A">
            <w:pPr>
              <w:pStyle w:val="Tablebody"/>
            </w:pPr>
            <w:r w:rsidRPr="001455DC">
              <w:rPr>
                <w:rStyle w:val="CCMCvariableitalic"/>
              </w:rPr>
              <w:t>Euler</w:t>
            </w:r>
            <w:r w:rsidRPr="001455DC">
              <w:t>-coefficient which depends on the support conditions (</w:t>
            </w:r>
            <w:r w:rsidRPr="001455DC">
              <w:rPr>
                <w:rStyle w:val="CCMCvariableitalic"/>
              </w:rPr>
              <w:t>Euler</w:t>
            </w:r>
            <w:r w:rsidRPr="001455DC">
              <w:t xml:space="preserve">-cases). For walls supported on 3 or more sides </w:t>
            </w:r>
            <w:r w:rsidRPr="001455DC">
              <w:rPr>
                <w:rStyle w:val="CCMCvariableitalic"/>
              </w:rPr>
              <w:t>β</w:t>
            </w:r>
            <w:r w:rsidRPr="001455DC">
              <w:rPr>
                <w:rStyle w:val="CCMCvariablesubscript"/>
              </w:rPr>
              <w:t>Eul</w:t>
            </w:r>
            <w:r w:rsidRPr="001455DC">
              <w:noBreakHyphen/>
              <w:t>values may be taken from Table 14.1.</w:t>
            </w:r>
          </w:p>
        </w:tc>
      </w:tr>
    </w:tbl>
    <w:p w14:paraId="00BCBB06" w14:textId="77777777" w:rsidR="004E22C1" w:rsidRPr="001455DC" w:rsidRDefault="004E22C1" w:rsidP="00C11449">
      <w:pPr>
        <w:pStyle w:val="a7"/>
      </w:pPr>
      <w:r w:rsidRPr="001455DC">
        <w:t>(2)</w:t>
      </w:r>
      <w:r w:rsidRPr="001455DC">
        <w:tab/>
        <w:t xml:space="preserve">The </w:t>
      </w:r>
      <w:r w:rsidRPr="001455DC">
        <w:rPr>
          <w:rStyle w:val="CCMCvariableitalic"/>
        </w:rPr>
        <w:t>β</w:t>
      </w:r>
      <w:r w:rsidRPr="001455DC">
        <w:rPr>
          <w:rStyle w:val="CCMCvariablesubscript"/>
        </w:rPr>
        <w:t>Eul</w:t>
      </w:r>
      <w:r w:rsidRPr="001455DC">
        <w:t xml:space="preserve"> </w:t>
      </w:r>
      <w:r w:rsidRPr="001455DC">
        <w:noBreakHyphen/>
        <w:t>values should be increased appropriately if the transverse bearing capacity is affected by chases or recesses.</w:t>
      </w:r>
    </w:p>
    <w:p w14:paraId="635F90E5" w14:textId="77777777" w:rsidR="004E22C1" w:rsidRPr="001455DC" w:rsidRDefault="004E22C1" w:rsidP="00E844D2">
      <w:pPr>
        <w:pStyle w:val="a7"/>
        <w:keepNext/>
      </w:pPr>
      <w:r w:rsidRPr="001455DC">
        <w:t>(3)</w:t>
      </w:r>
      <w:r w:rsidRPr="001455DC">
        <w:tab/>
        <w:t>A transverse wall may be considered as a bracing wall if:</w:t>
      </w:r>
    </w:p>
    <w:p w14:paraId="6446987A" w14:textId="44B204FF" w:rsidR="004E22C1" w:rsidRPr="001455DC" w:rsidRDefault="004E22C1" w:rsidP="00C11449">
      <w:pPr>
        <w:pStyle w:val="a0"/>
      </w:pPr>
      <w:r w:rsidRPr="001455DC">
        <w:t>its total thickness is not less than 0,5</w:t>
      </w:r>
      <w:r w:rsidRPr="001455DC">
        <w:rPr>
          <w:rStyle w:val="CCMCvariableitalic"/>
        </w:rPr>
        <w:t>h</w:t>
      </w:r>
      <w:r w:rsidRPr="001455DC">
        <w:rPr>
          <w:rStyle w:val="CCMCvariablesubscript"/>
        </w:rPr>
        <w:t>w</w:t>
      </w:r>
      <w:r w:rsidRPr="001455DC">
        <w:t xml:space="preserve">, where </w:t>
      </w:r>
      <w:r w:rsidRPr="001455DC">
        <w:rPr>
          <w:rStyle w:val="CCMCvariableitalic"/>
        </w:rPr>
        <w:t>h</w:t>
      </w:r>
      <w:r w:rsidRPr="001455DC">
        <w:rPr>
          <w:rStyle w:val="CCMCvariablesubscript"/>
        </w:rPr>
        <w:t>w</w:t>
      </w:r>
      <w:r w:rsidRPr="001455DC">
        <w:t xml:space="preserve"> is the overall thickness of the braced wall;</w:t>
      </w:r>
    </w:p>
    <w:p w14:paraId="03546C39" w14:textId="6B715AB8" w:rsidR="004E22C1" w:rsidRPr="001455DC" w:rsidRDefault="004E22C1" w:rsidP="00C11449">
      <w:pPr>
        <w:pStyle w:val="a0"/>
      </w:pPr>
      <w:r w:rsidRPr="001455DC">
        <w:t xml:space="preserve">it has the same height </w:t>
      </w:r>
      <w:r w:rsidRPr="001455DC">
        <w:rPr>
          <w:rStyle w:val="CCMCvariableitalic"/>
        </w:rPr>
        <w:t>l</w:t>
      </w:r>
      <w:r w:rsidRPr="001455DC">
        <w:rPr>
          <w:rStyle w:val="CCMCvariablesubscript"/>
        </w:rPr>
        <w:t>w</w:t>
      </w:r>
      <w:r w:rsidRPr="001455DC">
        <w:t xml:space="preserve"> as the braced wall under consideration;</w:t>
      </w:r>
    </w:p>
    <w:p w14:paraId="58C86966" w14:textId="2FF8B024" w:rsidR="004E22C1" w:rsidRPr="001455DC" w:rsidRDefault="004E22C1" w:rsidP="00C11449">
      <w:pPr>
        <w:pStyle w:val="a0"/>
      </w:pPr>
      <w:r w:rsidRPr="001455DC">
        <w:t xml:space="preserve">its length is at least equal to </w:t>
      </w:r>
      <w:r w:rsidRPr="001455DC">
        <w:rPr>
          <w:rStyle w:val="CCMCvariableitalic"/>
        </w:rPr>
        <w:t>l</w:t>
      </w:r>
      <w:r w:rsidRPr="001455DC">
        <w:rPr>
          <w:rStyle w:val="CCMCvariablesubscript"/>
        </w:rPr>
        <w:t>w</w:t>
      </w:r>
      <w:r w:rsidRPr="001455DC">
        <w:t xml:space="preserve">/5, where </w:t>
      </w:r>
      <w:r w:rsidRPr="001455DC">
        <w:rPr>
          <w:rStyle w:val="CCMCvariableitalic"/>
        </w:rPr>
        <w:t>l</w:t>
      </w:r>
      <w:r w:rsidRPr="001455DC">
        <w:rPr>
          <w:rStyle w:val="CCMCvariablesubscript"/>
        </w:rPr>
        <w:t>w</w:t>
      </w:r>
      <w:r w:rsidRPr="001455DC">
        <w:t xml:space="preserve"> denotes the clear height of the braced wall;</w:t>
      </w:r>
    </w:p>
    <w:p w14:paraId="1B804BB8" w14:textId="3A64BCF9" w:rsidR="004E22C1" w:rsidRPr="001455DC" w:rsidRDefault="004E22C1" w:rsidP="00C11449">
      <w:pPr>
        <w:pStyle w:val="a0"/>
        <w:rPr>
          <w:b/>
        </w:rPr>
      </w:pPr>
      <w:r w:rsidRPr="001455DC">
        <w:t xml:space="preserve">within the length </w:t>
      </w:r>
      <w:r w:rsidRPr="001455DC">
        <w:rPr>
          <w:rStyle w:val="CCMCvariableitalic"/>
        </w:rPr>
        <w:t>l</w:t>
      </w:r>
      <w:r w:rsidRPr="001455DC">
        <w:rPr>
          <w:rStyle w:val="CCMCvariablesubscript"/>
        </w:rPr>
        <w:t>w</w:t>
      </w:r>
      <w:r w:rsidRPr="001455DC">
        <w:t>/5 the transverse wall has no openings.</w:t>
      </w:r>
    </w:p>
    <w:p w14:paraId="7C3D81D8" w14:textId="77777777" w:rsidR="004E22C1" w:rsidRPr="001455DC" w:rsidRDefault="004E22C1" w:rsidP="00C11449">
      <w:pPr>
        <w:pStyle w:val="a7"/>
      </w:pPr>
      <w:r w:rsidRPr="001455DC">
        <w:t>(4)</w:t>
      </w:r>
      <w:r w:rsidRPr="001455DC">
        <w:tab/>
        <w:t xml:space="preserve">In the case of a wall connected along the top and bottom in a flexurally rigid manner by in situ concrete and reinforcement, so that the end moments can be fully resisted, the values for </w:t>
      </w:r>
      <w:r w:rsidRPr="001455DC">
        <w:rPr>
          <w:rStyle w:val="CCMCvariableitalic"/>
        </w:rPr>
        <w:t>β</w:t>
      </w:r>
      <w:r w:rsidRPr="001455DC">
        <w:rPr>
          <w:rStyle w:val="CCMCvariablesubscript"/>
        </w:rPr>
        <w:t>Eul</w:t>
      </w:r>
      <w:r w:rsidRPr="001455DC">
        <w:t xml:space="preserve"> given in Table 14.1 may be factored by 0,85.</w:t>
      </w:r>
    </w:p>
    <w:p w14:paraId="5EAB39B9" w14:textId="0317DAE0" w:rsidR="004E22C1" w:rsidRPr="001455DC" w:rsidRDefault="004E22C1" w:rsidP="00C11449">
      <w:pPr>
        <w:pStyle w:val="a7"/>
        <w:rPr>
          <w:bCs/>
        </w:rPr>
      </w:pPr>
      <w:r w:rsidRPr="001455DC">
        <w:t>(5)</w:t>
      </w:r>
      <w:r w:rsidRPr="001455DC">
        <w:tab/>
        <w:t xml:space="preserve">The slenderness of walls in plain concrete cast in situ should generally not exceed </w:t>
      </w:r>
      <w:r w:rsidRPr="001455DC">
        <w:rPr>
          <w:rStyle w:val="CCMCvariableitalic"/>
        </w:rPr>
        <w:t>λ</w:t>
      </w:r>
      <w:r w:rsidRPr="001455DC">
        <w:t> </w:t>
      </w:r>
      <w:r w:rsidR="00EC27D2" w:rsidRPr="001455DC">
        <w:rPr>
          <w:rFonts w:ascii="Cambria Math" w:hAnsi="Cambria Math"/>
        </w:rPr>
        <w:t>=</w:t>
      </w:r>
      <w:r w:rsidRPr="001455DC">
        <w:t xml:space="preserve"> 86 (i.e. </w:t>
      </w:r>
      <w:r w:rsidRPr="001455DC">
        <w:rPr>
          <w:rStyle w:val="CCMCvariableitalic"/>
        </w:rPr>
        <w:t>l</w:t>
      </w:r>
      <w:r w:rsidRPr="001455DC">
        <w:rPr>
          <w:rStyle w:val="CCMCvariablesubscript"/>
        </w:rPr>
        <w:t>0</w:t>
      </w:r>
      <w:r w:rsidRPr="001455DC">
        <w:t>/</w:t>
      </w:r>
      <w:r w:rsidRPr="001455DC">
        <w:rPr>
          <w:rStyle w:val="CCMCvariableitalic"/>
        </w:rPr>
        <w:t>h</w:t>
      </w:r>
      <w:r w:rsidRPr="001455DC">
        <w:rPr>
          <w:rStyle w:val="CCMCvariablesubscript"/>
        </w:rPr>
        <w:t>w</w:t>
      </w:r>
      <w:r w:rsidRPr="001455DC">
        <w:t> </w:t>
      </w:r>
      <w:r w:rsidR="00EC27D2" w:rsidRPr="001455DC">
        <w:rPr>
          <w:rFonts w:ascii="Cambria Math" w:hAnsi="Cambria Math"/>
        </w:rPr>
        <w:t>=</w:t>
      </w:r>
      <w:r w:rsidRPr="001455DC">
        <w:t> 25).</w:t>
      </w:r>
    </w:p>
    <w:p w14:paraId="69D24A97" w14:textId="77777777" w:rsidR="004E22C1" w:rsidRPr="001455DC" w:rsidRDefault="004E22C1" w:rsidP="00C11449">
      <w:pPr>
        <w:pStyle w:val="Tabletitle"/>
      </w:pPr>
      <w:bookmarkStart w:id="1151" w:name="_Toc54337517"/>
      <w:r w:rsidRPr="001455DC">
        <w:t xml:space="preserve">Table 14.1 — Values of </w:t>
      </w:r>
      <w:r w:rsidRPr="001455DC">
        <w:rPr>
          <w:rStyle w:val="CCMCvariableitalic"/>
        </w:rPr>
        <w:t>β</w:t>
      </w:r>
      <w:r w:rsidRPr="001455DC">
        <w:rPr>
          <w:rStyle w:val="CCMCvariablesubscript"/>
        </w:rPr>
        <w:t>Eul</w:t>
      </w:r>
      <w:r w:rsidRPr="001455DC">
        <w:t xml:space="preserve"> for different support conditions</w:t>
      </w:r>
      <w:bookmarkEnd w:id="1151"/>
    </w:p>
    <w:tbl>
      <w:tblPr>
        <w:tblStyle w:val="53"/>
        <w:tblW w:w="9752" w:type="dxa"/>
        <w:tblLayout w:type="fixed"/>
        <w:tblLook w:val="0660" w:firstRow="1" w:lastRow="1" w:firstColumn="0" w:lastColumn="0" w:noHBand="1" w:noVBand="1"/>
      </w:tblPr>
      <w:tblGrid>
        <w:gridCol w:w="1514"/>
        <w:gridCol w:w="4612"/>
        <w:gridCol w:w="1831"/>
        <w:gridCol w:w="932"/>
        <w:gridCol w:w="863"/>
      </w:tblGrid>
      <w:tr w:rsidR="004E22C1" w:rsidRPr="001455DC" w14:paraId="32E356AC" w14:textId="77777777" w:rsidTr="00F55541">
        <w:trPr>
          <w:cnfStyle w:val="100000000000" w:firstRow="1" w:lastRow="0" w:firstColumn="0" w:lastColumn="0" w:oddVBand="0" w:evenVBand="0" w:oddHBand="0" w:evenHBand="0" w:firstRowFirstColumn="0" w:firstRowLastColumn="0" w:lastRowFirstColumn="0" w:lastRowLastColumn="0"/>
        </w:trPr>
        <w:tc>
          <w:tcPr>
            <w:tcW w:w="1514" w:type="dxa"/>
            <w:hideMark/>
          </w:tcPr>
          <w:p w14:paraId="4D6E0A94" w14:textId="7016A7E9" w:rsidR="004E22C1" w:rsidRPr="001455DC" w:rsidRDefault="004E22C1" w:rsidP="00F55541">
            <w:pPr>
              <w:pStyle w:val="Tableheader"/>
            </w:pPr>
            <w:r w:rsidRPr="001455DC">
              <w:t>Lateral</w:t>
            </w:r>
            <w:r w:rsidR="00F55541" w:rsidRPr="001455DC">
              <w:t xml:space="preserve"> </w:t>
            </w:r>
            <w:r w:rsidRPr="001455DC">
              <w:t>bearing</w:t>
            </w:r>
          </w:p>
        </w:tc>
        <w:tc>
          <w:tcPr>
            <w:tcW w:w="4612" w:type="dxa"/>
            <w:hideMark/>
          </w:tcPr>
          <w:p w14:paraId="1198AABB" w14:textId="77777777" w:rsidR="004E22C1" w:rsidRPr="001455DC" w:rsidRDefault="004E22C1" w:rsidP="00F55541">
            <w:pPr>
              <w:pStyle w:val="Tableheader"/>
              <w:rPr>
                <w:lang w:eastAsia="ja-JP"/>
              </w:rPr>
            </w:pPr>
            <w:r w:rsidRPr="001455DC">
              <w:t>Elevation of wall</w:t>
            </w:r>
          </w:p>
        </w:tc>
        <w:tc>
          <w:tcPr>
            <w:tcW w:w="1831" w:type="dxa"/>
            <w:hideMark/>
          </w:tcPr>
          <w:p w14:paraId="28DA8F0B" w14:textId="77777777" w:rsidR="004E22C1" w:rsidRPr="001455DC" w:rsidRDefault="004E22C1" w:rsidP="00F55541">
            <w:pPr>
              <w:pStyle w:val="Tableheader"/>
              <w:rPr>
                <w:lang w:eastAsia="ja-JP"/>
              </w:rPr>
            </w:pPr>
            <w:r w:rsidRPr="001455DC">
              <w:t>Formula</w:t>
            </w:r>
          </w:p>
        </w:tc>
        <w:tc>
          <w:tcPr>
            <w:tcW w:w="1795" w:type="dxa"/>
            <w:gridSpan w:val="2"/>
            <w:hideMark/>
          </w:tcPr>
          <w:p w14:paraId="63AE5AEE" w14:textId="77777777" w:rsidR="004E22C1" w:rsidRPr="009D3012" w:rsidRDefault="004E22C1" w:rsidP="00F55541">
            <w:pPr>
              <w:pStyle w:val="Tableheader"/>
              <w:rPr>
                <w:rStyle w:val="CCMCvariableitalic"/>
              </w:rPr>
            </w:pPr>
            <w:r w:rsidRPr="009D3012">
              <w:t xml:space="preserve">Factor </w:t>
            </w:r>
            <w:r w:rsidRPr="001455DC">
              <w:rPr>
                <w:rStyle w:val="CCMCvariableitalic"/>
                <w:b w:val="0"/>
                <w:bCs/>
              </w:rPr>
              <w:t>β</w:t>
            </w:r>
            <w:r w:rsidRPr="001455DC">
              <w:rPr>
                <w:rStyle w:val="CCMCvariablesubscript"/>
                <w:b w:val="0"/>
                <w:bCs/>
              </w:rPr>
              <w:t>Eul</w:t>
            </w:r>
          </w:p>
        </w:tc>
      </w:tr>
      <w:tr w:rsidR="004E22C1" w:rsidRPr="001455DC" w14:paraId="4A4EF352" w14:textId="77777777" w:rsidTr="00F55541">
        <w:tc>
          <w:tcPr>
            <w:tcW w:w="1514" w:type="dxa"/>
            <w:vMerge w:val="restart"/>
            <w:vAlign w:val="center"/>
          </w:tcPr>
          <w:p w14:paraId="2496B919" w14:textId="34340D15" w:rsidR="004E22C1" w:rsidRPr="001455DC" w:rsidRDefault="004E22C1" w:rsidP="00F55541">
            <w:pPr>
              <w:pStyle w:val="Tablebody"/>
              <w:jc w:val="center"/>
              <w:rPr>
                <w:i/>
                <w:lang w:eastAsia="ja-JP"/>
              </w:rPr>
            </w:pPr>
            <w:r w:rsidRPr="001455DC">
              <w:t>along</w:t>
            </w:r>
            <w:r w:rsidR="00F55541" w:rsidRPr="001455DC">
              <w:t xml:space="preserve"> </w:t>
            </w:r>
            <w:r w:rsidRPr="001455DC">
              <w:t>three sides</w:t>
            </w:r>
          </w:p>
        </w:tc>
        <w:tc>
          <w:tcPr>
            <w:tcW w:w="4612" w:type="dxa"/>
            <w:vMerge w:val="restart"/>
            <w:vAlign w:val="center"/>
          </w:tcPr>
          <w:p w14:paraId="4547CAB3" w14:textId="28E7E240" w:rsidR="004E22C1" w:rsidRPr="001455DC" w:rsidRDefault="00723CF7" w:rsidP="00F77658">
            <w:pPr>
              <w:pStyle w:val="FigureImage"/>
            </w:pPr>
            <w:r>
              <w:rPr>
                <w:noProof/>
                <w:lang w:eastAsia="en-GB"/>
              </w:rPr>
              <w:fldChar w:fldCharType="begin"/>
            </w:r>
            <w:r>
              <w:rPr>
                <w:rFonts w:cs="Times New Roman"/>
                <w:noProof/>
                <w:lang w:val="en-GB" w:eastAsia="en-GB"/>
              </w:rPr>
              <w:instrText xml:space="preserve"> INCLUDEPICTURE  "Y:\\STD_MGT\\STDDEL\\PRODUCTION\\etrans\\Download\\Z_FIRST_DEL\\SV\\00250\\00250269\\41_e_dr\\t14_1_001.tif"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"Y:\\STD_MGT\\STDDEL\\PRODUCTION\\Standards\\00250\\269\\41_e_dr\\t14_1_001.tif"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"Y:\\STD_MGT\\STDDEL\\PRODUCTION\\Standards\\00250\\269\\41_e_dr\\t14_1_001.tif"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"Y:\\STD_MGT\\STDDEL\\PRODUCTION\\Standards\\00250\\269\\41_e_dr\\t14_1_001.tif"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"Y:\\STD_MGT\\STDDEL\\PRODUCTION\\Standards\\00250\\269\\41_e_dr\\t14_1_001.tif"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"Y:\\STD_MGT\\STDDEL\\PRODUCTION\\Standards\\00250\\269\\41_e_dr\\t14_1_001.tif"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"C:\\Users\\a.dionysiou\\AppData\\Local\\Temp\\Temp1_00250269_e_20210902.zip.zip\\41_e_dr\\t14_1_001.tif"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7427FF1E">
                <v:shape id="_x0000_i1294" type="#_x0000_t75" style="width:169.5pt;height:79.5pt">
                  <v:imagedata r:id="rId558" r:href="rId559"/>
                </v:shape>
              </w:pict>
            </w:r>
            <w:r w:rsidR="00231E33">
              <w:rPr>
                <w:rFonts w:cs="Times New Roman"/>
                <w:noProof/>
                <w:lang w:val="en-GB"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1831" w:type="dxa"/>
            <w:vMerge w:val="restart"/>
            <w:vAlign w:val="center"/>
            <w:hideMark/>
          </w:tcPr>
          <w:p w14:paraId="6E380DF7" w14:textId="4A6925A6" w:rsidR="004E22C1" w:rsidRPr="001455DC" w:rsidRDefault="00231E33" w:rsidP="00F55541">
            <w:pPr>
              <w:pStyle w:val="Tablebody"/>
              <w:jc w:val="center"/>
              <w:rPr>
                <w:i/>
                <w:lang w:eastAsia="ja-JP"/>
              </w:rPr>
            </w:pPr>
            <m:oMathPara>
              <m:oMathParaPr>
                <m:jc m:val="center"/>
              </m:oMathParaPr>
              <m:oMath>
                <m:sSub>
                  <m:sSubPr>
                    <m:ctrlPr>
                      <w:rPr>
                        <w:rFonts w:ascii="Cambria Math" w:hAnsi="Cambria Math"/>
                        <w:lang w:eastAsia="ja-JP"/>
                      </w:rPr>
                    </m:ctrlPr>
                  </m:sSubPr>
                  <m:e>
                    <m:r>
                      <w:rPr>
                        <w:rFonts w:ascii="Cambria Math" w:hAnsi="Cambria Math"/>
                      </w:rPr>
                      <m:t>β</m:t>
                    </m:r>
                  </m:e>
                  <m:sub>
                    <m:r>
                      <m:rPr>
                        <m:sty m:val="p"/>
                      </m:rPr>
                      <w:rPr>
                        <w:rFonts w:ascii="Cambria Math" w:hAnsi="Cambria Math"/>
                      </w:rPr>
                      <m:t>Eul</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1+</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rPr>
                                      <m:t>w</m:t>
                                    </m:r>
                                  </m:sub>
                                </m:sSub>
                              </m:num>
                              <m:den>
                                <m:r>
                                  <w:rPr>
                                    <w:rFonts w:ascii="Cambria Math" w:hAnsi="Cambria Math"/>
                                  </w:rPr>
                                  <m:t>3b</m:t>
                                </m:r>
                              </m:den>
                            </m:f>
                          </m:e>
                        </m:d>
                      </m:e>
                      <m:sup>
                        <m:r>
                          <w:rPr>
                            <w:rFonts w:ascii="Cambria Math" w:hAnsi="Cambria Math"/>
                          </w:rPr>
                          <m:t>2</m:t>
                        </m:r>
                      </m:sup>
                    </m:sSup>
                  </m:den>
                </m:f>
              </m:oMath>
            </m:oMathPara>
          </w:p>
        </w:tc>
        <w:tc>
          <w:tcPr>
            <w:tcW w:w="932" w:type="dxa"/>
            <w:vAlign w:val="center"/>
            <w:hideMark/>
          </w:tcPr>
          <w:p w14:paraId="777CADDF" w14:textId="77777777" w:rsidR="004E22C1" w:rsidRPr="001455DC" w:rsidRDefault="004E22C1" w:rsidP="00F55541">
            <w:pPr>
              <w:pStyle w:val="Tablebody"/>
              <w:jc w:val="center"/>
              <w:rPr>
                <w:i/>
                <w:lang w:eastAsia="ja-JP"/>
              </w:rPr>
            </w:pPr>
            <w:r w:rsidRPr="001455DC">
              <w:rPr>
                <w:rStyle w:val="CCMCvariableitalic"/>
              </w:rPr>
              <w:t>b</w:t>
            </w:r>
            <w:r w:rsidRPr="001455DC">
              <w:t>/</w:t>
            </w:r>
            <w:r w:rsidRPr="001455DC">
              <w:rPr>
                <w:rStyle w:val="CCMCvariableitalic"/>
              </w:rPr>
              <w:t>l</w:t>
            </w:r>
            <w:r w:rsidRPr="001455DC">
              <w:rPr>
                <w:rStyle w:val="CCMCvariablesubscript"/>
              </w:rPr>
              <w:t>w</w:t>
            </w:r>
          </w:p>
        </w:tc>
        <w:tc>
          <w:tcPr>
            <w:tcW w:w="863" w:type="dxa"/>
            <w:vAlign w:val="center"/>
            <w:hideMark/>
          </w:tcPr>
          <w:p w14:paraId="052728A5" w14:textId="77777777" w:rsidR="004E22C1" w:rsidRPr="009D3012" w:rsidRDefault="004E22C1" w:rsidP="00F55541">
            <w:pPr>
              <w:pStyle w:val="Tablebody"/>
              <w:jc w:val="center"/>
              <w:rPr>
                <w:rStyle w:val="CCMCvariableitalic"/>
              </w:rPr>
            </w:pPr>
            <w:r w:rsidRPr="001455DC">
              <w:rPr>
                <w:rStyle w:val="CCMCvariableitalic"/>
              </w:rPr>
              <w:t>β</w:t>
            </w:r>
            <w:r w:rsidRPr="001455DC">
              <w:rPr>
                <w:rStyle w:val="CCMCvariablesubscript"/>
              </w:rPr>
              <w:t>Eul</w:t>
            </w:r>
          </w:p>
        </w:tc>
      </w:tr>
      <w:tr w:rsidR="00F55541" w:rsidRPr="001455DC" w14:paraId="1C31658D" w14:textId="77777777" w:rsidTr="00F55541">
        <w:tc>
          <w:tcPr>
            <w:tcW w:w="1514" w:type="dxa"/>
            <w:vMerge/>
            <w:vAlign w:val="center"/>
          </w:tcPr>
          <w:p w14:paraId="0FCACCBE" w14:textId="77777777" w:rsidR="00F55541" w:rsidRPr="001455DC" w:rsidRDefault="00F55541" w:rsidP="00F55541">
            <w:pPr>
              <w:pStyle w:val="Tablebody"/>
              <w:jc w:val="center"/>
            </w:pPr>
          </w:p>
        </w:tc>
        <w:tc>
          <w:tcPr>
            <w:tcW w:w="4612" w:type="dxa"/>
            <w:vMerge/>
            <w:vAlign w:val="center"/>
          </w:tcPr>
          <w:p w14:paraId="721D4DE4" w14:textId="77777777" w:rsidR="00F55541" w:rsidRPr="001455DC" w:rsidRDefault="00F55541" w:rsidP="00F77658">
            <w:pPr>
              <w:pStyle w:val="FigureImage"/>
            </w:pPr>
          </w:p>
        </w:tc>
        <w:tc>
          <w:tcPr>
            <w:tcW w:w="1831" w:type="dxa"/>
            <w:vMerge/>
            <w:vAlign w:val="center"/>
          </w:tcPr>
          <w:p w14:paraId="69421EDC" w14:textId="77777777" w:rsidR="00F55541" w:rsidRPr="001455DC" w:rsidRDefault="00F55541" w:rsidP="00F55541">
            <w:pPr>
              <w:pStyle w:val="Tablebody"/>
              <w:jc w:val="center"/>
              <w:rPr>
                <w:i/>
                <w:lang w:eastAsia="ja-JP"/>
              </w:rPr>
            </w:pPr>
          </w:p>
        </w:tc>
        <w:tc>
          <w:tcPr>
            <w:tcW w:w="932" w:type="dxa"/>
            <w:tcBorders>
              <w:bottom w:val="nil"/>
            </w:tcBorders>
            <w:vAlign w:val="center"/>
          </w:tcPr>
          <w:p w14:paraId="28A6C1A7" w14:textId="550B067A" w:rsidR="00F55541" w:rsidRPr="009D3012" w:rsidRDefault="00F55541" w:rsidP="00F55541">
            <w:pPr>
              <w:pStyle w:val="Tablebody"/>
              <w:jc w:val="center"/>
              <w:rPr>
                <w:rStyle w:val="CCMCvariableitalic"/>
              </w:rPr>
            </w:pPr>
            <w:r w:rsidRPr="009D3012">
              <w:t>0,2</w:t>
            </w:r>
          </w:p>
        </w:tc>
        <w:tc>
          <w:tcPr>
            <w:tcW w:w="863" w:type="dxa"/>
            <w:tcBorders>
              <w:bottom w:val="nil"/>
            </w:tcBorders>
            <w:vAlign w:val="center"/>
          </w:tcPr>
          <w:p w14:paraId="205FF471" w14:textId="0388002A" w:rsidR="00F55541" w:rsidRPr="009D3012" w:rsidRDefault="00F55541" w:rsidP="00F55541">
            <w:pPr>
              <w:pStyle w:val="Tablebody"/>
              <w:jc w:val="center"/>
              <w:rPr>
                <w:rStyle w:val="CCMCvariableitalic"/>
              </w:rPr>
            </w:pPr>
            <w:r w:rsidRPr="009D3012">
              <w:t>0,26</w:t>
            </w:r>
          </w:p>
        </w:tc>
      </w:tr>
      <w:tr w:rsidR="00F55541" w:rsidRPr="001455DC" w14:paraId="0A3FF554" w14:textId="77777777" w:rsidTr="00F55541">
        <w:tc>
          <w:tcPr>
            <w:tcW w:w="1514" w:type="dxa"/>
            <w:vMerge/>
            <w:vAlign w:val="center"/>
          </w:tcPr>
          <w:p w14:paraId="5752225B" w14:textId="77777777" w:rsidR="00F55541" w:rsidRPr="001455DC" w:rsidRDefault="00F55541" w:rsidP="00F55541">
            <w:pPr>
              <w:pStyle w:val="Tablebody"/>
              <w:jc w:val="center"/>
            </w:pPr>
          </w:p>
        </w:tc>
        <w:tc>
          <w:tcPr>
            <w:tcW w:w="4612" w:type="dxa"/>
            <w:vMerge/>
            <w:vAlign w:val="center"/>
          </w:tcPr>
          <w:p w14:paraId="04FCD1CE" w14:textId="77777777" w:rsidR="00F55541" w:rsidRPr="001455DC" w:rsidRDefault="00F55541" w:rsidP="00F77658">
            <w:pPr>
              <w:pStyle w:val="FigureImage"/>
            </w:pPr>
          </w:p>
        </w:tc>
        <w:tc>
          <w:tcPr>
            <w:tcW w:w="1831" w:type="dxa"/>
            <w:vMerge/>
            <w:vAlign w:val="center"/>
          </w:tcPr>
          <w:p w14:paraId="72099005" w14:textId="77777777" w:rsidR="00F55541" w:rsidRPr="001455DC" w:rsidRDefault="00F55541" w:rsidP="00F55541">
            <w:pPr>
              <w:pStyle w:val="Tablebody"/>
              <w:jc w:val="center"/>
              <w:rPr>
                <w:i/>
                <w:lang w:eastAsia="ja-JP"/>
              </w:rPr>
            </w:pPr>
          </w:p>
        </w:tc>
        <w:tc>
          <w:tcPr>
            <w:tcW w:w="932" w:type="dxa"/>
            <w:tcBorders>
              <w:top w:val="nil"/>
              <w:bottom w:val="nil"/>
            </w:tcBorders>
            <w:vAlign w:val="center"/>
          </w:tcPr>
          <w:p w14:paraId="73E6F4E4" w14:textId="44F8B0E5" w:rsidR="00F55541" w:rsidRPr="009D3012" w:rsidRDefault="00F55541" w:rsidP="00F55541">
            <w:pPr>
              <w:pStyle w:val="Tablebody"/>
              <w:jc w:val="center"/>
              <w:rPr>
                <w:rStyle w:val="CCMCvariableitalic"/>
              </w:rPr>
            </w:pPr>
            <w:r w:rsidRPr="009D3012">
              <w:t>0,4</w:t>
            </w:r>
          </w:p>
        </w:tc>
        <w:tc>
          <w:tcPr>
            <w:tcW w:w="863" w:type="dxa"/>
            <w:tcBorders>
              <w:top w:val="nil"/>
              <w:bottom w:val="nil"/>
            </w:tcBorders>
            <w:vAlign w:val="center"/>
          </w:tcPr>
          <w:p w14:paraId="7E4DD060" w14:textId="4291AC33" w:rsidR="00F55541" w:rsidRPr="009D3012" w:rsidRDefault="00F55541" w:rsidP="00F55541">
            <w:pPr>
              <w:pStyle w:val="Tablebody"/>
              <w:jc w:val="center"/>
              <w:rPr>
                <w:rStyle w:val="CCMCvariableitalic"/>
              </w:rPr>
            </w:pPr>
            <w:r w:rsidRPr="009D3012">
              <w:t>0,59</w:t>
            </w:r>
          </w:p>
        </w:tc>
      </w:tr>
      <w:tr w:rsidR="00F55541" w:rsidRPr="001455DC" w14:paraId="4661954E" w14:textId="77777777" w:rsidTr="00F55541">
        <w:tc>
          <w:tcPr>
            <w:tcW w:w="1514" w:type="dxa"/>
            <w:vMerge/>
            <w:vAlign w:val="center"/>
          </w:tcPr>
          <w:p w14:paraId="046C1CBE" w14:textId="77777777" w:rsidR="00F55541" w:rsidRPr="001455DC" w:rsidRDefault="00F55541" w:rsidP="00F55541">
            <w:pPr>
              <w:pStyle w:val="Tablebody"/>
              <w:jc w:val="center"/>
            </w:pPr>
          </w:p>
        </w:tc>
        <w:tc>
          <w:tcPr>
            <w:tcW w:w="4612" w:type="dxa"/>
            <w:vMerge/>
            <w:vAlign w:val="center"/>
          </w:tcPr>
          <w:p w14:paraId="429758B9" w14:textId="77777777" w:rsidR="00F55541" w:rsidRPr="001455DC" w:rsidRDefault="00F55541" w:rsidP="00F77658">
            <w:pPr>
              <w:pStyle w:val="FigureImage"/>
            </w:pPr>
          </w:p>
        </w:tc>
        <w:tc>
          <w:tcPr>
            <w:tcW w:w="1831" w:type="dxa"/>
            <w:vMerge/>
            <w:vAlign w:val="center"/>
          </w:tcPr>
          <w:p w14:paraId="433397C9" w14:textId="77777777" w:rsidR="00F55541" w:rsidRPr="001455DC" w:rsidRDefault="00F55541" w:rsidP="00F55541">
            <w:pPr>
              <w:pStyle w:val="Tablebody"/>
              <w:jc w:val="center"/>
              <w:rPr>
                <w:i/>
                <w:lang w:eastAsia="ja-JP"/>
              </w:rPr>
            </w:pPr>
          </w:p>
        </w:tc>
        <w:tc>
          <w:tcPr>
            <w:tcW w:w="932" w:type="dxa"/>
            <w:tcBorders>
              <w:top w:val="nil"/>
              <w:bottom w:val="nil"/>
            </w:tcBorders>
            <w:vAlign w:val="center"/>
          </w:tcPr>
          <w:p w14:paraId="2D52C70C" w14:textId="56F3294A" w:rsidR="00F55541" w:rsidRPr="009D3012" w:rsidRDefault="00F55541" w:rsidP="00F55541">
            <w:pPr>
              <w:pStyle w:val="Tablebody"/>
              <w:jc w:val="center"/>
              <w:rPr>
                <w:rStyle w:val="CCMCvariableitalic"/>
              </w:rPr>
            </w:pPr>
            <w:r w:rsidRPr="009D3012">
              <w:t>0,6</w:t>
            </w:r>
          </w:p>
        </w:tc>
        <w:tc>
          <w:tcPr>
            <w:tcW w:w="863" w:type="dxa"/>
            <w:tcBorders>
              <w:top w:val="nil"/>
              <w:bottom w:val="nil"/>
            </w:tcBorders>
            <w:vAlign w:val="center"/>
          </w:tcPr>
          <w:p w14:paraId="5BAAE6B5" w14:textId="535E2291" w:rsidR="00F55541" w:rsidRPr="009D3012" w:rsidRDefault="00F55541" w:rsidP="00F55541">
            <w:pPr>
              <w:pStyle w:val="Tablebody"/>
              <w:jc w:val="center"/>
              <w:rPr>
                <w:rStyle w:val="CCMCvariableitalic"/>
              </w:rPr>
            </w:pPr>
            <w:r w:rsidRPr="009D3012">
              <w:t>0,76</w:t>
            </w:r>
          </w:p>
        </w:tc>
      </w:tr>
      <w:tr w:rsidR="004E22C1" w:rsidRPr="001455DC" w14:paraId="2CF99648" w14:textId="77777777" w:rsidTr="00F55541">
        <w:tc>
          <w:tcPr>
            <w:tcW w:w="1514" w:type="dxa"/>
            <w:vMerge/>
            <w:vAlign w:val="center"/>
          </w:tcPr>
          <w:p w14:paraId="51D95F2A" w14:textId="77777777" w:rsidR="004E22C1" w:rsidRPr="001455DC" w:rsidRDefault="004E22C1" w:rsidP="00F55541">
            <w:pPr>
              <w:pStyle w:val="Tablebody"/>
              <w:jc w:val="center"/>
              <w:rPr>
                <w:i/>
                <w:lang w:eastAsia="ja-JP"/>
              </w:rPr>
            </w:pPr>
          </w:p>
        </w:tc>
        <w:tc>
          <w:tcPr>
            <w:tcW w:w="4612" w:type="dxa"/>
            <w:vMerge/>
            <w:vAlign w:val="center"/>
          </w:tcPr>
          <w:p w14:paraId="1B24A7F3" w14:textId="77777777" w:rsidR="004E22C1" w:rsidRPr="001455DC" w:rsidRDefault="004E22C1" w:rsidP="00F77658">
            <w:pPr>
              <w:pStyle w:val="FigureImage"/>
            </w:pPr>
          </w:p>
        </w:tc>
        <w:tc>
          <w:tcPr>
            <w:tcW w:w="1831" w:type="dxa"/>
            <w:vMerge/>
            <w:vAlign w:val="center"/>
            <w:hideMark/>
          </w:tcPr>
          <w:p w14:paraId="684BD903" w14:textId="77777777" w:rsidR="004E22C1" w:rsidRPr="009D3012" w:rsidRDefault="004E22C1" w:rsidP="00F55541">
            <w:pPr>
              <w:pStyle w:val="Tablebody"/>
              <w:jc w:val="center"/>
              <w:rPr>
                <w:rStyle w:val="CCMCvariableitalic"/>
              </w:rPr>
            </w:pPr>
          </w:p>
        </w:tc>
        <w:tc>
          <w:tcPr>
            <w:tcW w:w="932" w:type="dxa"/>
            <w:tcBorders>
              <w:top w:val="nil"/>
            </w:tcBorders>
            <w:vAlign w:val="center"/>
            <w:hideMark/>
          </w:tcPr>
          <w:p w14:paraId="72EF6A55" w14:textId="77777777" w:rsidR="004E22C1" w:rsidRPr="001455DC" w:rsidRDefault="004E22C1" w:rsidP="00F55541">
            <w:pPr>
              <w:pStyle w:val="Tablebody"/>
              <w:jc w:val="center"/>
              <w:rPr>
                <w:lang w:eastAsia="ja-JP"/>
              </w:rPr>
            </w:pPr>
            <w:bookmarkStart w:id="1152" w:name="_Toc110045725"/>
            <w:bookmarkStart w:id="1153" w:name="_Toc110043150"/>
            <w:bookmarkStart w:id="1154" w:name="_Toc107805642"/>
            <w:bookmarkStart w:id="1155" w:name="_Toc107300693"/>
            <w:bookmarkStart w:id="1156" w:name="_Toc105830304"/>
            <w:bookmarkStart w:id="1157" w:name="_Toc105568553"/>
            <w:bookmarkStart w:id="1158" w:name="_Toc105563365"/>
            <w:bookmarkStart w:id="1159" w:name="_Toc103143832"/>
            <w:bookmarkStart w:id="1160" w:name="_Toc110045724"/>
            <w:bookmarkStart w:id="1161" w:name="_Toc110043149"/>
            <w:bookmarkStart w:id="1162" w:name="_Toc107805641"/>
            <w:bookmarkStart w:id="1163" w:name="_Toc107300692"/>
            <w:bookmarkStart w:id="1164" w:name="_Toc105830303"/>
            <w:bookmarkStart w:id="1165" w:name="_Toc105568552"/>
            <w:bookmarkStart w:id="1166" w:name="_Toc105563364"/>
            <w:bookmarkStart w:id="1167" w:name="_Toc103143831"/>
            <w:bookmarkStart w:id="1168" w:name="_Toc110045723"/>
            <w:bookmarkStart w:id="1169" w:name="_Toc110043148"/>
            <w:bookmarkStart w:id="1170" w:name="_Toc107805640"/>
            <w:bookmarkStart w:id="1171" w:name="_Toc107300691"/>
            <w:bookmarkStart w:id="1172" w:name="_Toc105830302"/>
            <w:bookmarkStart w:id="1173" w:name="_Toc105568551"/>
            <w:bookmarkStart w:id="1174" w:name="_Toc105563363"/>
            <w:bookmarkStart w:id="1175" w:name="_Toc103143830"/>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r w:rsidRPr="009D3012">
              <w:t>0,8</w:t>
            </w:r>
          </w:p>
        </w:tc>
        <w:tc>
          <w:tcPr>
            <w:tcW w:w="863" w:type="dxa"/>
            <w:tcBorders>
              <w:top w:val="nil"/>
            </w:tcBorders>
            <w:vAlign w:val="center"/>
            <w:hideMark/>
          </w:tcPr>
          <w:p w14:paraId="363511D3" w14:textId="77777777" w:rsidR="004E22C1" w:rsidRPr="001455DC" w:rsidRDefault="004E22C1" w:rsidP="00F55541">
            <w:pPr>
              <w:pStyle w:val="Tablebody"/>
              <w:jc w:val="center"/>
              <w:rPr>
                <w:lang w:eastAsia="ja-JP"/>
              </w:rPr>
            </w:pPr>
            <w:r w:rsidRPr="001455DC">
              <w:t>0,85</w:t>
            </w:r>
          </w:p>
        </w:tc>
      </w:tr>
      <w:tr w:rsidR="00F55541" w:rsidRPr="001455DC" w14:paraId="6B28F249" w14:textId="77777777" w:rsidTr="00F55541">
        <w:tc>
          <w:tcPr>
            <w:tcW w:w="1514" w:type="dxa"/>
            <w:vMerge/>
            <w:vAlign w:val="center"/>
          </w:tcPr>
          <w:p w14:paraId="7F916AD0" w14:textId="77777777" w:rsidR="00F55541" w:rsidRPr="001455DC" w:rsidRDefault="00F55541" w:rsidP="00F55541">
            <w:pPr>
              <w:pStyle w:val="Tablebody"/>
              <w:jc w:val="center"/>
              <w:rPr>
                <w:i/>
                <w:lang w:eastAsia="ja-JP"/>
              </w:rPr>
            </w:pPr>
          </w:p>
        </w:tc>
        <w:tc>
          <w:tcPr>
            <w:tcW w:w="4612" w:type="dxa"/>
            <w:vMerge/>
            <w:vAlign w:val="center"/>
          </w:tcPr>
          <w:p w14:paraId="08BB9890" w14:textId="77777777" w:rsidR="00F55541" w:rsidRPr="001455DC" w:rsidRDefault="00F55541" w:rsidP="00F77658">
            <w:pPr>
              <w:pStyle w:val="FigureImage"/>
            </w:pPr>
          </w:p>
        </w:tc>
        <w:tc>
          <w:tcPr>
            <w:tcW w:w="1831" w:type="dxa"/>
            <w:vMerge/>
            <w:vAlign w:val="center"/>
          </w:tcPr>
          <w:p w14:paraId="1FD88E7A" w14:textId="77777777" w:rsidR="00F55541" w:rsidRPr="009D3012" w:rsidRDefault="00F55541" w:rsidP="00F55541">
            <w:pPr>
              <w:pStyle w:val="Tablebody"/>
              <w:jc w:val="center"/>
              <w:rPr>
                <w:rStyle w:val="CCMCvariableitalic"/>
              </w:rPr>
            </w:pPr>
          </w:p>
        </w:tc>
        <w:tc>
          <w:tcPr>
            <w:tcW w:w="932" w:type="dxa"/>
            <w:tcBorders>
              <w:top w:val="nil"/>
              <w:bottom w:val="nil"/>
            </w:tcBorders>
            <w:vAlign w:val="center"/>
          </w:tcPr>
          <w:p w14:paraId="51DEA0B5" w14:textId="349CBF57" w:rsidR="00F55541" w:rsidRPr="001455DC" w:rsidRDefault="00F55541" w:rsidP="00F55541">
            <w:pPr>
              <w:pStyle w:val="Tablebody"/>
              <w:jc w:val="center"/>
            </w:pPr>
            <w:r w:rsidRPr="009D3012">
              <w:t>1,0</w:t>
            </w:r>
          </w:p>
        </w:tc>
        <w:tc>
          <w:tcPr>
            <w:tcW w:w="863" w:type="dxa"/>
            <w:tcBorders>
              <w:top w:val="nil"/>
              <w:bottom w:val="nil"/>
            </w:tcBorders>
            <w:vAlign w:val="center"/>
          </w:tcPr>
          <w:p w14:paraId="64C8170B" w14:textId="0E1C2F29" w:rsidR="00F55541" w:rsidRPr="001455DC" w:rsidRDefault="00F55541" w:rsidP="00F55541">
            <w:pPr>
              <w:pStyle w:val="Tablebody"/>
              <w:jc w:val="center"/>
            </w:pPr>
            <w:r w:rsidRPr="001455DC">
              <w:t>0,90</w:t>
            </w:r>
          </w:p>
        </w:tc>
      </w:tr>
      <w:tr w:rsidR="00F55541" w:rsidRPr="001455DC" w14:paraId="5BEDFF58" w14:textId="77777777" w:rsidTr="00F55541">
        <w:tc>
          <w:tcPr>
            <w:tcW w:w="1514" w:type="dxa"/>
            <w:vMerge/>
            <w:vAlign w:val="center"/>
          </w:tcPr>
          <w:p w14:paraId="38C58AE3" w14:textId="77777777" w:rsidR="00F55541" w:rsidRPr="001455DC" w:rsidRDefault="00F55541" w:rsidP="00F55541">
            <w:pPr>
              <w:pStyle w:val="Tablebody"/>
              <w:jc w:val="center"/>
              <w:rPr>
                <w:i/>
                <w:lang w:eastAsia="ja-JP"/>
              </w:rPr>
            </w:pPr>
          </w:p>
        </w:tc>
        <w:tc>
          <w:tcPr>
            <w:tcW w:w="4612" w:type="dxa"/>
            <w:vMerge/>
            <w:vAlign w:val="center"/>
          </w:tcPr>
          <w:p w14:paraId="0D6DE7BB" w14:textId="77777777" w:rsidR="00F55541" w:rsidRPr="001455DC" w:rsidRDefault="00F55541" w:rsidP="00F77658">
            <w:pPr>
              <w:pStyle w:val="FigureImage"/>
            </w:pPr>
          </w:p>
        </w:tc>
        <w:tc>
          <w:tcPr>
            <w:tcW w:w="1831" w:type="dxa"/>
            <w:vMerge/>
            <w:vAlign w:val="center"/>
          </w:tcPr>
          <w:p w14:paraId="4C5FAC6D" w14:textId="77777777" w:rsidR="00F55541" w:rsidRPr="009D3012" w:rsidRDefault="00F55541" w:rsidP="00F55541">
            <w:pPr>
              <w:pStyle w:val="Tablebody"/>
              <w:jc w:val="center"/>
              <w:rPr>
                <w:rStyle w:val="CCMCvariableitalic"/>
              </w:rPr>
            </w:pPr>
          </w:p>
        </w:tc>
        <w:tc>
          <w:tcPr>
            <w:tcW w:w="932" w:type="dxa"/>
            <w:tcBorders>
              <w:top w:val="nil"/>
              <w:bottom w:val="nil"/>
            </w:tcBorders>
            <w:vAlign w:val="center"/>
          </w:tcPr>
          <w:p w14:paraId="0D66B3FB" w14:textId="3BC80B0A" w:rsidR="00F55541" w:rsidRPr="001455DC" w:rsidRDefault="00F55541" w:rsidP="00F55541">
            <w:pPr>
              <w:pStyle w:val="Tablebody"/>
              <w:jc w:val="center"/>
            </w:pPr>
            <w:r w:rsidRPr="009D3012">
              <w:t>1,5</w:t>
            </w:r>
          </w:p>
        </w:tc>
        <w:tc>
          <w:tcPr>
            <w:tcW w:w="863" w:type="dxa"/>
            <w:tcBorders>
              <w:top w:val="nil"/>
              <w:bottom w:val="nil"/>
            </w:tcBorders>
            <w:vAlign w:val="center"/>
          </w:tcPr>
          <w:p w14:paraId="38136A9E" w14:textId="41F6A0F3" w:rsidR="00F55541" w:rsidRPr="001455DC" w:rsidRDefault="00F55541" w:rsidP="00F55541">
            <w:pPr>
              <w:pStyle w:val="Tablebody"/>
              <w:jc w:val="center"/>
            </w:pPr>
            <w:r w:rsidRPr="001455DC">
              <w:t>0,95</w:t>
            </w:r>
          </w:p>
        </w:tc>
      </w:tr>
      <w:tr w:rsidR="00F55541" w:rsidRPr="001455DC" w14:paraId="28362241" w14:textId="77777777" w:rsidTr="00F55541">
        <w:tc>
          <w:tcPr>
            <w:tcW w:w="1514" w:type="dxa"/>
            <w:vMerge/>
            <w:vAlign w:val="center"/>
          </w:tcPr>
          <w:p w14:paraId="4CE447C6" w14:textId="77777777" w:rsidR="00F55541" w:rsidRPr="001455DC" w:rsidRDefault="00F55541" w:rsidP="00F55541">
            <w:pPr>
              <w:pStyle w:val="Tablebody"/>
              <w:jc w:val="center"/>
              <w:rPr>
                <w:i/>
                <w:lang w:eastAsia="ja-JP"/>
              </w:rPr>
            </w:pPr>
          </w:p>
        </w:tc>
        <w:tc>
          <w:tcPr>
            <w:tcW w:w="4612" w:type="dxa"/>
            <w:vMerge/>
            <w:vAlign w:val="center"/>
          </w:tcPr>
          <w:p w14:paraId="6CA26406" w14:textId="77777777" w:rsidR="00F55541" w:rsidRPr="001455DC" w:rsidRDefault="00F55541" w:rsidP="00F77658">
            <w:pPr>
              <w:pStyle w:val="FigureImage"/>
            </w:pPr>
          </w:p>
        </w:tc>
        <w:tc>
          <w:tcPr>
            <w:tcW w:w="1831" w:type="dxa"/>
            <w:vMerge/>
            <w:vAlign w:val="center"/>
          </w:tcPr>
          <w:p w14:paraId="2CE42601" w14:textId="77777777" w:rsidR="00F55541" w:rsidRPr="009D3012" w:rsidRDefault="00F55541" w:rsidP="00F55541">
            <w:pPr>
              <w:pStyle w:val="Tablebody"/>
              <w:jc w:val="center"/>
              <w:rPr>
                <w:rStyle w:val="CCMCvariableitalic"/>
              </w:rPr>
            </w:pPr>
          </w:p>
        </w:tc>
        <w:tc>
          <w:tcPr>
            <w:tcW w:w="932" w:type="dxa"/>
            <w:tcBorders>
              <w:top w:val="nil"/>
              <w:bottom w:val="nil"/>
            </w:tcBorders>
            <w:vAlign w:val="center"/>
          </w:tcPr>
          <w:p w14:paraId="4792B686" w14:textId="7A841DC6" w:rsidR="00F55541" w:rsidRPr="001455DC" w:rsidRDefault="00F55541" w:rsidP="00F55541">
            <w:pPr>
              <w:pStyle w:val="Tablebody"/>
              <w:jc w:val="center"/>
            </w:pPr>
            <w:r w:rsidRPr="009D3012">
              <w:t>2,0</w:t>
            </w:r>
          </w:p>
        </w:tc>
        <w:tc>
          <w:tcPr>
            <w:tcW w:w="863" w:type="dxa"/>
            <w:tcBorders>
              <w:top w:val="nil"/>
              <w:bottom w:val="nil"/>
            </w:tcBorders>
            <w:vAlign w:val="center"/>
          </w:tcPr>
          <w:p w14:paraId="62711B6D" w14:textId="5D29CB37" w:rsidR="00F55541" w:rsidRPr="001455DC" w:rsidRDefault="00F55541" w:rsidP="00F55541">
            <w:pPr>
              <w:pStyle w:val="Tablebody"/>
              <w:jc w:val="center"/>
            </w:pPr>
            <w:r w:rsidRPr="001455DC">
              <w:t>0,97</w:t>
            </w:r>
          </w:p>
        </w:tc>
      </w:tr>
      <w:tr w:rsidR="004E22C1" w:rsidRPr="001455DC" w14:paraId="2C8F35AE" w14:textId="77777777" w:rsidTr="00F55541">
        <w:tc>
          <w:tcPr>
            <w:tcW w:w="1514" w:type="dxa"/>
            <w:vMerge/>
            <w:vAlign w:val="center"/>
          </w:tcPr>
          <w:p w14:paraId="7E071EB2" w14:textId="77777777" w:rsidR="004E22C1" w:rsidRPr="001455DC" w:rsidRDefault="004E22C1" w:rsidP="00F55541">
            <w:pPr>
              <w:pStyle w:val="Tablebody"/>
              <w:jc w:val="center"/>
              <w:rPr>
                <w:i/>
                <w:lang w:eastAsia="ja-JP"/>
              </w:rPr>
            </w:pPr>
          </w:p>
        </w:tc>
        <w:tc>
          <w:tcPr>
            <w:tcW w:w="4612" w:type="dxa"/>
            <w:vMerge/>
            <w:vAlign w:val="center"/>
          </w:tcPr>
          <w:p w14:paraId="72318AFF" w14:textId="77777777" w:rsidR="004E22C1" w:rsidRPr="001455DC" w:rsidRDefault="004E22C1" w:rsidP="00F77658">
            <w:pPr>
              <w:pStyle w:val="FigureImage"/>
            </w:pPr>
          </w:p>
        </w:tc>
        <w:tc>
          <w:tcPr>
            <w:tcW w:w="1831" w:type="dxa"/>
            <w:vMerge/>
            <w:vAlign w:val="center"/>
            <w:hideMark/>
          </w:tcPr>
          <w:p w14:paraId="71AE4E0C" w14:textId="77777777" w:rsidR="004E22C1" w:rsidRPr="009D3012" w:rsidRDefault="004E22C1" w:rsidP="00F55541">
            <w:pPr>
              <w:pStyle w:val="Tablebody"/>
              <w:jc w:val="center"/>
              <w:rPr>
                <w:rStyle w:val="CCMCvariableitalic"/>
              </w:rPr>
            </w:pPr>
          </w:p>
        </w:tc>
        <w:tc>
          <w:tcPr>
            <w:tcW w:w="932" w:type="dxa"/>
            <w:tcBorders>
              <w:top w:val="nil"/>
              <w:bottom w:val="single" w:sz="6" w:space="0" w:color="000000"/>
            </w:tcBorders>
            <w:vAlign w:val="center"/>
            <w:hideMark/>
          </w:tcPr>
          <w:p w14:paraId="7AE2EC2E" w14:textId="77777777" w:rsidR="004E22C1" w:rsidRPr="001455DC" w:rsidRDefault="004E22C1" w:rsidP="00F55541">
            <w:pPr>
              <w:pStyle w:val="Tablebody"/>
              <w:jc w:val="center"/>
              <w:rPr>
                <w:lang w:eastAsia="ja-JP"/>
              </w:rPr>
            </w:pPr>
            <w:bookmarkStart w:id="1176" w:name="_Toc110045728"/>
            <w:bookmarkStart w:id="1177" w:name="_Toc110043153"/>
            <w:bookmarkStart w:id="1178" w:name="_Toc107805645"/>
            <w:bookmarkStart w:id="1179" w:name="_Toc107300696"/>
            <w:bookmarkStart w:id="1180" w:name="_Toc105830307"/>
            <w:bookmarkStart w:id="1181" w:name="_Toc105568556"/>
            <w:bookmarkStart w:id="1182" w:name="_Toc105563368"/>
            <w:bookmarkStart w:id="1183" w:name="_Toc103143835"/>
            <w:bookmarkStart w:id="1184" w:name="_Toc110045727"/>
            <w:bookmarkStart w:id="1185" w:name="_Toc110043152"/>
            <w:bookmarkStart w:id="1186" w:name="_Toc107805644"/>
            <w:bookmarkStart w:id="1187" w:name="_Toc107300695"/>
            <w:bookmarkStart w:id="1188" w:name="_Toc105830306"/>
            <w:bookmarkStart w:id="1189" w:name="_Toc105568555"/>
            <w:bookmarkStart w:id="1190" w:name="_Toc105563367"/>
            <w:bookmarkStart w:id="1191" w:name="_Toc103143834"/>
            <w:bookmarkStart w:id="1192" w:name="_Toc110045726"/>
            <w:bookmarkStart w:id="1193" w:name="_Toc110043151"/>
            <w:bookmarkStart w:id="1194" w:name="_Toc107805643"/>
            <w:bookmarkStart w:id="1195" w:name="_Toc107300694"/>
            <w:bookmarkStart w:id="1196" w:name="_Toc105830305"/>
            <w:bookmarkStart w:id="1197" w:name="_Toc105568554"/>
            <w:bookmarkStart w:id="1198" w:name="_Toc105563366"/>
            <w:bookmarkStart w:id="1199" w:name="_Toc103143833"/>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r w:rsidRPr="009D3012">
              <w:t>5,0</w:t>
            </w:r>
          </w:p>
        </w:tc>
        <w:tc>
          <w:tcPr>
            <w:tcW w:w="863" w:type="dxa"/>
            <w:tcBorders>
              <w:top w:val="nil"/>
              <w:bottom w:val="single" w:sz="6" w:space="0" w:color="000000"/>
            </w:tcBorders>
            <w:vAlign w:val="center"/>
            <w:hideMark/>
          </w:tcPr>
          <w:p w14:paraId="054B15C7" w14:textId="08AA0B12" w:rsidR="004E22C1" w:rsidRPr="001455DC" w:rsidRDefault="00F55541" w:rsidP="00F55541">
            <w:pPr>
              <w:pStyle w:val="Tablebody"/>
              <w:jc w:val="center"/>
              <w:rPr>
                <w:lang w:eastAsia="ja-JP"/>
              </w:rPr>
            </w:pPr>
            <w:r w:rsidRPr="001455DC">
              <w:t>1</w:t>
            </w:r>
            <w:r w:rsidR="004E22C1" w:rsidRPr="001455DC">
              <w:t>,00</w:t>
            </w:r>
          </w:p>
        </w:tc>
      </w:tr>
      <w:tr w:rsidR="004E22C1" w:rsidRPr="001455DC" w14:paraId="28690C49" w14:textId="77777777" w:rsidTr="00F55541">
        <w:tc>
          <w:tcPr>
            <w:tcW w:w="1514" w:type="dxa"/>
            <w:vMerge w:val="restart"/>
            <w:vAlign w:val="center"/>
          </w:tcPr>
          <w:p w14:paraId="0090BECC" w14:textId="6CF7C87F" w:rsidR="004E22C1" w:rsidRPr="001455DC" w:rsidRDefault="004E22C1" w:rsidP="00F55541">
            <w:pPr>
              <w:pStyle w:val="Tablebody"/>
              <w:jc w:val="center"/>
              <w:rPr>
                <w:lang w:eastAsia="ja-JP"/>
              </w:rPr>
            </w:pPr>
            <w:r w:rsidRPr="001455DC">
              <w:t>along</w:t>
            </w:r>
            <w:r w:rsidR="00F55541" w:rsidRPr="001455DC">
              <w:t xml:space="preserve"> </w:t>
            </w:r>
            <w:r w:rsidRPr="001455DC">
              <w:t>four sides</w:t>
            </w:r>
          </w:p>
        </w:tc>
        <w:tc>
          <w:tcPr>
            <w:tcW w:w="4612" w:type="dxa"/>
            <w:vMerge w:val="restart"/>
            <w:vAlign w:val="center"/>
          </w:tcPr>
          <w:p w14:paraId="4BF43DCC" w14:textId="327DBED5" w:rsidR="004E22C1" w:rsidRPr="001455DC" w:rsidRDefault="00723CF7" w:rsidP="00F77658">
            <w:pPr>
              <w:pStyle w:val="FigureImage"/>
            </w:pPr>
            <w:r>
              <w:rPr>
                <w:noProof/>
                <w:lang w:eastAsia="en-GB"/>
              </w:rPr>
              <w:fldChar w:fldCharType="begin"/>
            </w:r>
            <w:r>
              <w:rPr>
                <w:rFonts w:cs="Times New Roman"/>
                <w:noProof/>
                <w:lang w:val="en-GB" w:eastAsia="en-GB"/>
              </w:rPr>
              <w:instrText xml:space="preserve"> INCLUDEPICTURE  "Y:\\STD_MGT\\STDDEL\\PRODUCTION\\etrans\\Download\\Z_FIRST_DEL\\SV\\00250\\00250269\\41_e_dr\\t14_1_002.tif"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"Y:\\STD_MGT\\STDDEL\\PRODUCTION\\Standards\\00250\\269\\41_e_dr\\t14_1_002.tif"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"Y:\\STD_MGT\\STDDEL\\PRODUCTION\\Standards\\00250\\269\\41_e_dr\\t14_1_002.tif"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"Y:\\STD_MGT\\STDDEL\\PRODUCTION\\Standards\\00250\\269\\41_e_dr\\t14_1_002.tif"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"Y:\\STD_MGT\\STDDEL\\PRODUCTION\\Standards\\00250\\269\\41_e_dr\\t14_1_002.tif"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"Y:\\STD_MGT\\STDDEL\\PRODUCTION\\Standards\\00250\\269\\41_e_dr\\t14_1_002.tif"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w:instrText>
            </w:r>
            <w:r w:rsidR="00231E33">
              <w:rPr>
                <w:noProof/>
                <w:lang w:eastAsia="en-GB"/>
              </w:rPr>
              <w:instrText>Users\\a.dionysiou\\AppData\\Local\\Temp\\Temp1_00250269_e_20210902.zip.zip\\41_e_dr\\t14_1_002.tif"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3D730E3F">
                <v:shape id="_x0000_i1295" type="#_x0000_t75" style="width:168.75pt;height:79.5pt">
                  <v:imagedata r:id="rId560" r:href="rId561"/>
                </v:shape>
              </w:pict>
            </w:r>
            <w:r w:rsidR="00231E33">
              <w:rPr>
                <w:rFonts w:cs="Times New Roman"/>
                <w:noProof/>
                <w:lang w:val="en-GB"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1831" w:type="dxa"/>
            <w:vMerge w:val="restart"/>
            <w:vAlign w:val="center"/>
            <w:hideMark/>
          </w:tcPr>
          <w:p w14:paraId="73F3A2F5" w14:textId="14C5FF3C" w:rsidR="004E22C1" w:rsidRPr="001455DC" w:rsidRDefault="004E22C1" w:rsidP="00F55541">
            <w:pPr>
              <w:pStyle w:val="Tablebody"/>
              <w:jc w:val="center"/>
              <w:rPr>
                <w:iCs/>
                <w:lang w:eastAsia="ja-JP"/>
              </w:rPr>
            </w:pPr>
            <w:r w:rsidRPr="001455DC">
              <w:t xml:space="preserve">if </w:t>
            </w:r>
            <w:r w:rsidRPr="001455DC">
              <w:rPr>
                <w:rStyle w:val="CCMCvariableitalic"/>
              </w:rPr>
              <w:t>b</w:t>
            </w:r>
            <w:r w:rsidRPr="001455DC">
              <w:t> </w:t>
            </w:r>
            <w:r w:rsidR="00650035" w:rsidRPr="001455DC">
              <w:rPr>
                <w:rFonts w:ascii="Cambria Math" w:hAnsi="Cambria Math"/>
              </w:rPr>
              <w:t>≥</w:t>
            </w:r>
            <w:r w:rsidR="00073FC6" w:rsidRPr="001455DC">
              <w:t> </w:t>
            </w:r>
            <w:r w:rsidRPr="001455DC">
              <w:rPr>
                <w:rStyle w:val="CCMCvariableitalic"/>
              </w:rPr>
              <w:t>l</w:t>
            </w:r>
            <w:r w:rsidRPr="001455DC">
              <w:rPr>
                <w:rStyle w:val="CCMCvariablesubscript"/>
              </w:rPr>
              <w:t>w</w:t>
            </w:r>
            <w:r w:rsidRPr="001455DC">
              <w:t>:</w:t>
            </w:r>
          </w:p>
          <w:p w14:paraId="64BF933A" w14:textId="37C68D2F" w:rsidR="004E22C1" w:rsidRPr="001455DC" w:rsidRDefault="00231E33" w:rsidP="00F55541">
            <w:pPr>
              <w:pStyle w:val="Tablebody"/>
              <w:jc w:val="center"/>
              <w:rPr>
                <w:iCs/>
              </w:rPr>
            </w:pPr>
            <m:oMathPara>
              <m:oMathParaPr>
                <m:jc m:val="center"/>
              </m:oMathParaPr>
              <m:oMath>
                <m:sSub>
                  <m:sSubPr>
                    <m:ctrlPr>
                      <w:rPr>
                        <w:rFonts w:ascii="Cambria Math" w:hAnsi="Cambria Math"/>
                        <w:lang w:eastAsia="ja-JP"/>
                      </w:rPr>
                    </m:ctrlPr>
                  </m:sSubPr>
                  <m:e>
                    <m:r>
                      <w:rPr>
                        <w:rFonts w:ascii="Cambria Math" w:hAnsi="Cambria Math"/>
                      </w:rPr>
                      <m:t>β</m:t>
                    </m:r>
                  </m:e>
                  <m:sub>
                    <m:r>
                      <m:rPr>
                        <m:sty m:val="p"/>
                      </m:rPr>
                      <w:rPr>
                        <w:rFonts w:ascii="Cambria Math" w:hAnsi="Cambria Math"/>
                      </w:rPr>
                      <m:t>Eul</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1+</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w</m:t>
                                    </m:r>
                                  </m:sub>
                                </m:sSub>
                              </m:num>
                              <m:den>
                                <m:r>
                                  <w:rPr>
                                    <w:rFonts w:ascii="Cambria Math" w:hAnsi="Cambria Math"/>
                                  </w:rPr>
                                  <m:t>b</m:t>
                                </m:r>
                              </m:den>
                            </m:f>
                          </m:e>
                        </m:d>
                      </m:e>
                      <m:sup>
                        <m:r>
                          <w:rPr>
                            <w:rFonts w:ascii="Cambria Math" w:hAnsi="Cambria Math"/>
                          </w:rPr>
                          <m:t>2</m:t>
                        </m:r>
                      </m:sup>
                    </m:sSup>
                  </m:den>
                </m:f>
              </m:oMath>
            </m:oMathPara>
          </w:p>
          <w:p w14:paraId="24800C96" w14:textId="68E9265C" w:rsidR="004E22C1" w:rsidRPr="001455DC" w:rsidRDefault="004E22C1" w:rsidP="00F55541">
            <w:pPr>
              <w:pStyle w:val="Tablebody"/>
              <w:jc w:val="center"/>
              <w:rPr>
                <w:iCs/>
              </w:rPr>
            </w:pPr>
            <w:r w:rsidRPr="001455DC">
              <w:t xml:space="preserve">if </w:t>
            </w:r>
            <w:r w:rsidRPr="001455DC">
              <w:rPr>
                <w:rStyle w:val="CCMCvariableitalic"/>
              </w:rPr>
              <w:t>b</w:t>
            </w:r>
            <w:r w:rsidRPr="001455DC">
              <w:t> </w:t>
            </w:r>
            <w:r w:rsidR="00650035" w:rsidRPr="001455DC">
              <w:rPr>
                <w:rFonts w:ascii="Cambria Math" w:hAnsi="Cambria Math"/>
              </w:rPr>
              <w:t>&lt;</w:t>
            </w:r>
            <w:r w:rsidRPr="001455DC">
              <w:t> </w:t>
            </w:r>
            <w:r w:rsidRPr="001455DC">
              <w:rPr>
                <w:rStyle w:val="CCMCvariableitalic"/>
              </w:rPr>
              <w:t>l</w:t>
            </w:r>
            <w:r w:rsidRPr="001455DC">
              <w:rPr>
                <w:rStyle w:val="CCMCvariablesubscript"/>
              </w:rPr>
              <w:t>w</w:t>
            </w:r>
            <w:r w:rsidRPr="001455DC">
              <w:t>:</w:t>
            </w:r>
          </w:p>
          <w:bookmarkStart w:id="1200" w:name="_Toc101324755"/>
          <w:bookmarkStart w:id="1201" w:name="_Toc101325814"/>
          <w:bookmarkStart w:id="1202" w:name="_Toc103143836"/>
          <w:bookmarkStart w:id="1203" w:name="_Toc105563369"/>
          <w:bookmarkStart w:id="1204" w:name="_Toc105568557"/>
          <w:bookmarkStart w:id="1205" w:name="_Toc105830308"/>
          <w:bookmarkStart w:id="1206" w:name="_Toc107300697"/>
          <w:bookmarkStart w:id="1207" w:name="_Toc107805646"/>
          <w:bookmarkStart w:id="1208" w:name="_Toc110043154"/>
          <w:bookmarkStart w:id="1209" w:name="_Toc110045729"/>
          <w:bookmarkEnd w:id="1200"/>
          <w:bookmarkEnd w:id="1201"/>
          <w:bookmarkEnd w:id="1202"/>
          <w:bookmarkEnd w:id="1203"/>
          <w:bookmarkEnd w:id="1204"/>
          <w:bookmarkEnd w:id="1205"/>
          <w:bookmarkEnd w:id="1206"/>
          <w:bookmarkEnd w:id="1207"/>
          <w:bookmarkEnd w:id="1208"/>
          <w:bookmarkEnd w:id="1209"/>
          <w:p w14:paraId="5F6F9B46" w14:textId="34BC92AF" w:rsidR="004E22C1" w:rsidRPr="001455DC" w:rsidRDefault="00231E33" w:rsidP="00F55541">
            <w:pPr>
              <w:pStyle w:val="Tablebody"/>
              <w:jc w:val="center"/>
              <w:rPr>
                <w:lang w:eastAsia="ja-JP"/>
              </w:rPr>
            </w:pPr>
            <m:oMathPara>
              <m:oMathParaPr>
                <m:jc m:val="center"/>
              </m:oMathParaPr>
              <m:oMath>
                <m:sSub>
                  <m:sSubPr>
                    <m:ctrlPr>
                      <w:rPr>
                        <w:rFonts w:ascii="Cambria Math" w:hAnsi="Cambria Math"/>
                        <w:lang w:eastAsia="ja-JP"/>
                      </w:rPr>
                    </m:ctrlPr>
                  </m:sSubPr>
                  <m:e>
                    <m:r>
                      <w:rPr>
                        <w:rFonts w:ascii="Cambria Math" w:hAnsi="Cambria Math"/>
                      </w:rPr>
                      <m:t>β</m:t>
                    </m:r>
                  </m:e>
                  <m:sub>
                    <m:r>
                      <m:rPr>
                        <m:sty m:val="p"/>
                      </m:rPr>
                      <w:rPr>
                        <w:rFonts w:ascii="Cambria Math" w:hAnsi="Cambria Math"/>
                      </w:rPr>
                      <m:t>Eul</m:t>
                    </m:r>
                  </m:sub>
                </m:sSub>
                <m:r>
                  <w:rPr>
                    <w:rFonts w:ascii="Cambria Math" w:hAnsi="Cambria Math"/>
                  </w:rPr>
                  <m:t>=</m:t>
                </m:r>
                <m:f>
                  <m:fPr>
                    <m:ctrlPr>
                      <w:rPr>
                        <w:rFonts w:ascii="Cambria Math" w:hAnsi="Cambria Math"/>
                      </w:rPr>
                    </m:ctrlPr>
                  </m:fPr>
                  <m:num>
                    <m:r>
                      <w:rPr>
                        <w:rFonts w:ascii="Cambria Math" w:hAnsi="Cambria Math"/>
                      </w:rPr>
                      <m:t>b</m:t>
                    </m:r>
                  </m:num>
                  <m:den>
                    <m:r>
                      <w:rPr>
                        <w:rFonts w:ascii="Cambria Math" w:hAnsi="Cambria Math"/>
                      </w:rPr>
                      <m:t>2</m:t>
                    </m:r>
                    <m:sSub>
                      <m:sSubPr>
                        <m:ctrlPr>
                          <w:rPr>
                            <w:rFonts w:ascii="Cambria Math" w:hAnsi="Cambria Math"/>
                          </w:rPr>
                        </m:ctrlPr>
                      </m:sSubPr>
                      <m:e>
                        <m:r>
                          <w:rPr>
                            <w:rFonts w:ascii="Cambria Math" w:hAnsi="Cambria Math"/>
                          </w:rPr>
                          <m:t>l</m:t>
                        </m:r>
                      </m:e>
                      <m:sub>
                        <m:r>
                          <m:rPr>
                            <m:sty m:val="p"/>
                          </m:rPr>
                          <w:rPr>
                            <w:rFonts w:ascii="Cambria Math" w:hAnsi="Cambria Math"/>
                          </w:rPr>
                          <m:t>w</m:t>
                        </m:r>
                      </m:sub>
                    </m:sSub>
                  </m:den>
                </m:f>
              </m:oMath>
            </m:oMathPara>
          </w:p>
        </w:tc>
        <w:tc>
          <w:tcPr>
            <w:tcW w:w="932" w:type="dxa"/>
            <w:tcBorders>
              <w:top w:val="single" w:sz="6" w:space="0" w:color="000000"/>
            </w:tcBorders>
            <w:vAlign w:val="center"/>
            <w:hideMark/>
          </w:tcPr>
          <w:p w14:paraId="57A4C2E4" w14:textId="77777777" w:rsidR="004E22C1" w:rsidRPr="001455DC" w:rsidRDefault="004E22C1" w:rsidP="00F55541">
            <w:pPr>
              <w:pStyle w:val="Tablebody"/>
              <w:jc w:val="center"/>
              <w:rPr>
                <w:i/>
                <w:lang w:eastAsia="ja-JP"/>
              </w:rPr>
            </w:pPr>
            <w:r w:rsidRPr="001455DC">
              <w:rPr>
                <w:rStyle w:val="CCMCvariableitalic"/>
              </w:rPr>
              <w:t>b</w:t>
            </w:r>
            <w:r w:rsidRPr="001455DC">
              <w:t>/</w:t>
            </w:r>
            <w:r w:rsidRPr="001455DC">
              <w:rPr>
                <w:rStyle w:val="CCMCvariableitalic"/>
              </w:rPr>
              <w:t>l</w:t>
            </w:r>
            <w:r w:rsidRPr="001455DC">
              <w:rPr>
                <w:rStyle w:val="CCMCvariablesubscript"/>
              </w:rPr>
              <w:t>w</w:t>
            </w:r>
          </w:p>
        </w:tc>
        <w:tc>
          <w:tcPr>
            <w:tcW w:w="863" w:type="dxa"/>
            <w:tcBorders>
              <w:top w:val="single" w:sz="6" w:space="0" w:color="000000"/>
            </w:tcBorders>
            <w:vAlign w:val="center"/>
            <w:hideMark/>
          </w:tcPr>
          <w:p w14:paraId="66D58555" w14:textId="77777777" w:rsidR="004E22C1" w:rsidRPr="009D3012" w:rsidRDefault="004E22C1" w:rsidP="00F55541">
            <w:pPr>
              <w:pStyle w:val="Tablebody"/>
              <w:jc w:val="center"/>
              <w:rPr>
                <w:rStyle w:val="CCMCvariableitalic"/>
              </w:rPr>
            </w:pPr>
            <w:r w:rsidRPr="001455DC">
              <w:rPr>
                <w:rStyle w:val="CCMCvariableitalic"/>
              </w:rPr>
              <w:t>β</w:t>
            </w:r>
            <w:r w:rsidRPr="001455DC">
              <w:rPr>
                <w:rStyle w:val="CCMCvariablesubscript"/>
              </w:rPr>
              <w:t>Eul</w:t>
            </w:r>
          </w:p>
        </w:tc>
      </w:tr>
      <w:tr w:rsidR="00F55541" w:rsidRPr="001455DC" w14:paraId="6DBA289A" w14:textId="77777777" w:rsidTr="00F55541">
        <w:tc>
          <w:tcPr>
            <w:tcW w:w="1514" w:type="dxa"/>
            <w:vMerge/>
            <w:vAlign w:val="center"/>
          </w:tcPr>
          <w:p w14:paraId="76A85B71" w14:textId="77777777" w:rsidR="00F55541" w:rsidRPr="001455DC" w:rsidRDefault="00F55541" w:rsidP="00F55541">
            <w:pPr>
              <w:pStyle w:val="Tablebody"/>
              <w:jc w:val="center"/>
            </w:pPr>
          </w:p>
        </w:tc>
        <w:tc>
          <w:tcPr>
            <w:tcW w:w="4612" w:type="dxa"/>
            <w:vMerge/>
            <w:vAlign w:val="center"/>
          </w:tcPr>
          <w:p w14:paraId="33C905E6" w14:textId="77777777" w:rsidR="00F55541" w:rsidRPr="001455DC" w:rsidRDefault="00F55541" w:rsidP="00F55541">
            <w:pPr>
              <w:pStyle w:val="Tablebody"/>
              <w:jc w:val="center"/>
              <w:rPr>
                <w:lang w:eastAsia="ja-JP"/>
              </w:rPr>
            </w:pPr>
          </w:p>
        </w:tc>
        <w:tc>
          <w:tcPr>
            <w:tcW w:w="1831" w:type="dxa"/>
            <w:vMerge/>
            <w:vAlign w:val="center"/>
          </w:tcPr>
          <w:p w14:paraId="41F4082B" w14:textId="77777777" w:rsidR="00F55541" w:rsidRPr="001455DC" w:rsidRDefault="00F55541" w:rsidP="00F55541">
            <w:pPr>
              <w:pStyle w:val="Tablebody"/>
              <w:jc w:val="center"/>
            </w:pPr>
          </w:p>
        </w:tc>
        <w:tc>
          <w:tcPr>
            <w:tcW w:w="932" w:type="dxa"/>
            <w:tcBorders>
              <w:top w:val="single" w:sz="6" w:space="0" w:color="000000"/>
              <w:bottom w:val="nil"/>
            </w:tcBorders>
            <w:vAlign w:val="center"/>
          </w:tcPr>
          <w:p w14:paraId="49EA3BA1" w14:textId="621CABE7" w:rsidR="00F55541" w:rsidRPr="009D3012" w:rsidRDefault="00F55541" w:rsidP="00F55541">
            <w:pPr>
              <w:pStyle w:val="Tablebody"/>
              <w:jc w:val="center"/>
              <w:rPr>
                <w:rStyle w:val="CCMCvariableitalic"/>
              </w:rPr>
            </w:pPr>
            <w:r w:rsidRPr="009D3012">
              <w:t>0,2</w:t>
            </w:r>
          </w:p>
        </w:tc>
        <w:tc>
          <w:tcPr>
            <w:tcW w:w="863" w:type="dxa"/>
            <w:tcBorders>
              <w:top w:val="single" w:sz="6" w:space="0" w:color="000000"/>
              <w:bottom w:val="nil"/>
            </w:tcBorders>
            <w:vAlign w:val="center"/>
          </w:tcPr>
          <w:p w14:paraId="39FE5971" w14:textId="77146281" w:rsidR="00F55541" w:rsidRPr="009D3012" w:rsidRDefault="00F55541" w:rsidP="00F55541">
            <w:pPr>
              <w:pStyle w:val="Tablebody"/>
              <w:jc w:val="center"/>
              <w:rPr>
                <w:rStyle w:val="CCMCvariableitalic"/>
              </w:rPr>
            </w:pPr>
            <w:r w:rsidRPr="009D3012">
              <w:t>0,10</w:t>
            </w:r>
          </w:p>
        </w:tc>
      </w:tr>
      <w:tr w:rsidR="00F55541" w:rsidRPr="001455DC" w14:paraId="776D6128" w14:textId="77777777" w:rsidTr="00F55541">
        <w:tc>
          <w:tcPr>
            <w:tcW w:w="1514" w:type="dxa"/>
            <w:vMerge/>
            <w:vAlign w:val="center"/>
          </w:tcPr>
          <w:p w14:paraId="726F1456" w14:textId="77777777" w:rsidR="00F55541" w:rsidRPr="001455DC" w:rsidRDefault="00F55541" w:rsidP="00F55541">
            <w:pPr>
              <w:pStyle w:val="Tablebody"/>
              <w:jc w:val="center"/>
            </w:pPr>
          </w:p>
        </w:tc>
        <w:tc>
          <w:tcPr>
            <w:tcW w:w="4612" w:type="dxa"/>
            <w:vMerge/>
            <w:vAlign w:val="center"/>
          </w:tcPr>
          <w:p w14:paraId="2A6C0A00" w14:textId="77777777" w:rsidR="00F55541" w:rsidRPr="001455DC" w:rsidRDefault="00F55541" w:rsidP="00F55541">
            <w:pPr>
              <w:pStyle w:val="Tablebody"/>
              <w:jc w:val="center"/>
              <w:rPr>
                <w:lang w:eastAsia="ja-JP"/>
              </w:rPr>
            </w:pPr>
          </w:p>
        </w:tc>
        <w:tc>
          <w:tcPr>
            <w:tcW w:w="1831" w:type="dxa"/>
            <w:vMerge/>
            <w:vAlign w:val="center"/>
          </w:tcPr>
          <w:p w14:paraId="0DC86510" w14:textId="77777777" w:rsidR="00F55541" w:rsidRPr="001455DC" w:rsidRDefault="00F55541" w:rsidP="00F55541">
            <w:pPr>
              <w:pStyle w:val="Tablebody"/>
              <w:jc w:val="center"/>
            </w:pPr>
          </w:p>
        </w:tc>
        <w:tc>
          <w:tcPr>
            <w:tcW w:w="932" w:type="dxa"/>
            <w:tcBorders>
              <w:top w:val="nil"/>
              <w:bottom w:val="nil"/>
            </w:tcBorders>
            <w:vAlign w:val="center"/>
          </w:tcPr>
          <w:p w14:paraId="5BD9E017" w14:textId="5E35E2D1" w:rsidR="00F55541" w:rsidRPr="009D3012" w:rsidRDefault="00F55541" w:rsidP="00F55541">
            <w:pPr>
              <w:pStyle w:val="Tablebody"/>
              <w:jc w:val="center"/>
              <w:rPr>
                <w:rStyle w:val="CCMCvariableitalic"/>
              </w:rPr>
            </w:pPr>
            <w:r w:rsidRPr="009D3012">
              <w:t>0,4</w:t>
            </w:r>
          </w:p>
        </w:tc>
        <w:tc>
          <w:tcPr>
            <w:tcW w:w="863" w:type="dxa"/>
            <w:tcBorders>
              <w:top w:val="nil"/>
              <w:bottom w:val="nil"/>
            </w:tcBorders>
            <w:vAlign w:val="center"/>
          </w:tcPr>
          <w:p w14:paraId="5076C4EC" w14:textId="28D089A4" w:rsidR="00F55541" w:rsidRPr="009D3012" w:rsidRDefault="00F55541" w:rsidP="00F55541">
            <w:pPr>
              <w:pStyle w:val="Tablebody"/>
              <w:jc w:val="center"/>
              <w:rPr>
                <w:rStyle w:val="CCMCvariableitalic"/>
              </w:rPr>
            </w:pPr>
            <w:r w:rsidRPr="009D3012">
              <w:t>0,20</w:t>
            </w:r>
          </w:p>
        </w:tc>
      </w:tr>
      <w:tr w:rsidR="00F55541" w:rsidRPr="001455DC" w14:paraId="44E429E5" w14:textId="77777777" w:rsidTr="00F55541">
        <w:tc>
          <w:tcPr>
            <w:tcW w:w="1514" w:type="dxa"/>
            <w:vMerge/>
            <w:vAlign w:val="center"/>
          </w:tcPr>
          <w:p w14:paraId="041D647B" w14:textId="77777777" w:rsidR="00F55541" w:rsidRPr="001455DC" w:rsidRDefault="00F55541" w:rsidP="00F55541">
            <w:pPr>
              <w:pStyle w:val="Tablebody"/>
              <w:jc w:val="center"/>
            </w:pPr>
          </w:p>
        </w:tc>
        <w:tc>
          <w:tcPr>
            <w:tcW w:w="4612" w:type="dxa"/>
            <w:vMerge/>
            <w:vAlign w:val="center"/>
          </w:tcPr>
          <w:p w14:paraId="76A48358" w14:textId="77777777" w:rsidR="00F55541" w:rsidRPr="001455DC" w:rsidRDefault="00F55541" w:rsidP="00F55541">
            <w:pPr>
              <w:pStyle w:val="Tablebody"/>
              <w:jc w:val="center"/>
              <w:rPr>
                <w:lang w:eastAsia="ja-JP"/>
              </w:rPr>
            </w:pPr>
          </w:p>
        </w:tc>
        <w:tc>
          <w:tcPr>
            <w:tcW w:w="1831" w:type="dxa"/>
            <w:vMerge/>
            <w:vAlign w:val="center"/>
          </w:tcPr>
          <w:p w14:paraId="204FBDCF" w14:textId="77777777" w:rsidR="00F55541" w:rsidRPr="001455DC" w:rsidRDefault="00F55541" w:rsidP="00F55541">
            <w:pPr>
              <w:pStyle w:val="Tablebody"/>
              <w:jc w:val="center"/>
            </w:pPr>
          </w:p>
        </w:tc>
        <w:tc>
          <w:tcPr>
            <w:tcW w:w="932" w:type="dxa"/>
            <w:tcBorders>
              <w:top w:val="nil"/>
              <w:bottom w:val="nil"/>
            </w:tcBorders>
            <w:vAlign w:val="center"/>
          </w:tcPr>
          <w:p w14:paraId="2E3164F9" w14:textId="19B5EA63" w:rsidR="00F55541" w:rsidRPr="009D3012" w:rsidRDefault="00F55541" w:rsidP="00F55541">
            <w:pPr>
              <w:pStyle w:val="Tablebody"/>
              <w:jc w:val="center"/>
              <w:rPr>
                <w:rStyle w:val="CCMCvariableitalic"/>
              </w:rPr>
            </w:pPr>
            <w:r w:rsidRPr="009D3012">
              <w:t>0,6</w:t>
            </w:r>
          </w:p>
        </w:tc>
        <w:tc>
          <w:tcPr>
            <w:tcW w:w="863" w:type="dxa"/>
            <w:tcBorders>
              <w:top w:val="nil"/>
              <w:bottom w:val="nil"/>
            </w:tcBorders>
            <w:vAlign w:val="center"/>
          </w:tcPr>
          <w:p w14:paraId="37FB75D4" w14:textId="2F5A7E7C" w:rsidR="00F55541" w:rsidRPr="009D3012" w:rsidRDefault="00F55541" w:rsidP="00F55541">
            <w:pPr>
              <w:pStyle w:val="Tablebody"/>
              <w:jc w:val="center"/>
              <w:rPr>
                <w:rStyle w:val="CCMCvariableitalic"/>
              </w:rPr>
            </w:pPr>
            <w:r w:rsidRPr="009D3012">
              <w:t>0,30</w:t>
            </w:r>
          </w:p>
        </w:tc>
      </w:tr>
      <w:tr w:rsidR="004E22C1" w:rsidRPr="001455DC" w14:paraId="7D51A4FA" w14:textId="77777777" w:rsidTr="00F55541">
        <w:tc>
          <w:tcPr>
            <w:tcW w:w="1514" w:type="dxa"/>
            <w:vMerge/>
            <w:vAlign w:val="center"/>
          </w:tcPr>
          <w:p w14:paraId="61091067" w14:textId="77777777" w:rsidR="004E22C1" w:rsidRPr="001455DC" w:rsidRDefault="004E22C1" w:rsidP="00F55541">
            <w:pPr>
              <w:pStyle w:val="Tablebody"/>
              <w:jc w:val="center"/>
              <w:rPr>
                <w:lang w:eastAsia="ja-JP"/>
              </w:rPr>
            </w:pPr>
          </w:p>
        </w:tc>
        <w:tc>
          <w:tcPr>
            <w:tcW w:w="4612" w:type="dxa"/>
            <w:vMerge/>
            <w:vAlign w:val="center"/>
          </w:tcPr>
          <w:p w14:paraId="33C72EFD" w14:textId="77777777" w:rsidR="004E22C1" w:rsidRPr="001455DC" w:rsidRDefault="004E22C1" w:rsidP="00F55541">
            <w:pPr>
              <w:pStyle w:val="Tablebody"/>
              <w:jc w:val="center"/>
              <w:rPr>
                <w:lang w:eastAsia="ja-JP"/>
              </w:rPr>
            </w:pPr>
          </w:p>
        </w:tc>
        <w:tc>
          <w:tcPr>
            <w:tcW w:w="1831" w:type="dxa"/>
            <w:vMerge/>
            <w:vAlign w:val="center"/>
            <w:hideMark/>
          </w:tcPr>
          <w:p w14:paraId="7B626524" w14:textId="77777777" w:rsidR="004E22C1" w:rsidRPr="001455DC" w:rsidRDefault="004E22C1" w:rsidP="00F55541">
            <w:pPr>
              <w:pStyle w:val="Tablebody"/>
              <w:jc w:val="center"/>
              <w:rPr>
                <w:b/>
                <w:lang w:eastAsia="ja-JP"/>
              </w:rPr>
            </w:pPr>
          </w:p>
        </w:tc>
        <w:tc>
          <w:tcPr>
            <w:tcW w:w="932" w:type="dxa"/>
            <w:tcBorders>
              <w:top w:val="nil"/>
            </w:tcBorders>
            <w:vAlign w:val="center"/>
            <w:hideMark/>
          </w:tcPr>
          <w:p w14:paraId="623503DD" w14:textId="1EE11B90" w:rsidR="004E22C1" w:rsidRPr="001455DC" w:rsidRDefault="00F55541" w:rsidP="00F55541">
            <w:pPr>
              <w:pStyle w:val="Tablebody"/>
              <w:jc w:val="center"/>
              <w:rPr>
                <w:lang w:eastAsia="ja-JP"/>
              </w:rPr>
            </w:pPr>
            <w:bookmarkStart w:id="1210" w:name="_Toc110045732"/>
            <w:bookmarkStart w:id="1211" w:name="_Toc110043157"/>
            <w:bookmarkStart w:id="1212" w:name="_Toc107805649"/>
            <w:bookmarkStart w:id="1213" w:name="_Toc107300700"/>
            <w:bookmarkStart w:id="1214" w:name="_Toc105830311"/>
            <w:bookmarkStart w:id="1215" w:name="_Toc105568560"/>
            <w:bookmarkStart w:id="1216" w:name="_Toc105563372"/>
            <w:bookmarkStart w:id="1217" w:name="_Toc103143839"/>
            <w:bookmarkStart w:id="1218" w:name="_Toc110045731"/>
            <w:bookmarkStart w:id="1219" w:name="_Toc110043156"/>
            <w:bookmarkStart w:id="1220" w:name="_Toc107805648"/>
            <w:bookmarkStart w:id="1221" w:name="_Toc107300699"/>
            <w:bookmarkStart w:id="1222" w:name="_Toc105830310"/>
            <w:bookmarkStart w:id="1223" w:name="_Toc105568559"/>
            <w:bookmarkStart w:id="1224" w:name="_Toc105563371"/>
            <w:bookmarkStart w:id="1225" w:name="_Toc103143838"/>
            <w:bookmarkStart w:id="1226" w:name="_Toc110045730"/>
            <w:bookmarkStart w:id="1227" w:name="_Toc110043155"/>
            <w:bookmarkStart w:id="1228" w:name="_Toc107805647"/>
            <w:bookmarkStart w:id="1229" w:name="_Toc107300698"/>
            <w:bookmarkStart w:id="1230" w:name="_Toc105830309"/>
            <w:bookmarkStart w:id="1231" w:name="_Toc105568558"/>
            <w:bookmarkStart w:id="1232" w:name="_Toc105563370"/>
            <w:bookmarkStart w:id="1233" w:name="_Toc103143837"/>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r w:rsidRPr="001455DC">
              <w:t>0</w:t>
            </w:r>
            <w:r w:rsidR="004E22C1" w:rsidRPr="001455DC">
              <w:t>,8</w:t>
            </w:r>
          </w:p>
        </w:tc>
        <w:tc>
          <w:tcPr>
            <w:tcW w:w="863" w:type="dxa"/>
            <w:tcBorders>
              <w:top w:val="nil"/>
            </w:tcBorders>
            <w:vAlign w:val="center"/>
            <w:hideMark/>
          </w:tcPr>
          <w:p w14:paraId="04098C22" w14:textId="77777777" w:rsidR="004E22C1" w:rsidRPr="001455DC" w:rsidRDefault="004E22C1" w:rsidP="00F55541">
            <w:pPr>
              <w:pStyle w:val="Tablebody"/>
              <w:jc w:val="center"/>
              <w:rPr>
                <w:caps/>
                <w:lang w:eastAsia="ja-JP"/>
              </w:rPr>
            </w:pPr>
            <w:r w:rsidRPr="001455DC">
              <w:t>0,40</w:t>
            </w:r>
          </w:p>
        </w:tc>
      </w:tr>
      <w:tr w:rsidR="00F55541" w:rsidRPr="001455DC" w14:paraId="1D5CF829" w14:textId="77777777" w:rsidTr="00F55541">
        <w:tc>
          <w:tcPr>
            <w:tcW w:w="1514" w:type="dxa"/>
            <w:vMerge/>
            <w:vAlign w:val="center"/>
          </w:tcPr>
          <w:p w14:paraId="4F9E487C" w14:textId="77777777" w:rsidR="00F55541" w:rsidRPr="001455DC" w:rsidRDefault="00F55541" w:rsidP="00F55541">
            <w:pPr>
              <w:pStyle w:val="Tablebody"/>
              <w:jc w:val="center"/>
              <w:rPr>
                <w:lang w:eastAsia="ja-JP"/>
              </w:rPr>
            </w:pPr>
          </w:p>
        </w:tc>
        <w:tc>
          <w:tcPr>
            <w:tcW w:w="4612" w:type="dxa"/>
            <w:vMerge/>
            <w:vAlign w:val="center"/>
          </w:tcPr>
          <w:p w14:paraId="064FA1AE" w14:textId="77777777" w:rsidR="00F55541" w:rsidRPr="001455DC" w:rsidRDefault="00F55541" w:rsidP="00F55541">
            <w:pPr>
              <w:pStyle w:val="Tablebody"/>
              <w:jc w:val="center"/>
              <w:rPr>
                <w:lang w:eastAsia="ja-JP"/>
              </w:rPr>
            </w:pPr>
          </w:p>
        </w:tc>
        <w:tc>
          <w:tcPr>
            <w:tcW w:w="1831" w:type="dxa"/>
            <w:vMerge/>
            <w:vAlign w:val="center"/>
          </w:tcPr>
          <w:p w14:paraId="37FA4184" w14:textId="77777777" w:rsidR="00F55541" w:rsidRPr="001455DC" w:rsidRDefault="00F55541" w:rsidP="00F55541">
            <w:pPr>
              <w:pStyle w:val="Tablebody"/>
              <w:jc w:val="center"/>
              <w:rPr>
                <w:b/>
                <w:lang w:eastAsia="ja-JP"/>
              </w:rPr>
            </w:pPr>
          </w:p>
        </w:tc>
        <w:tc>
          <w:tcPr>
            <w:tcW w:w="932" w:type="dxa"/>
            <w:tcBorders>
              <w:top w:val="nil"/>
              <w:bottom w:val="nil"/>
            </w:tcBorders>
            <w:vAlign w:val="center"/>
          </w:tcPr>
          <w:p w14:paraId="16B02C5D" w14:textId="23BD2A49" w:rsidR="00F55541" w:rsidRPr="001455DC" w:rsidRDefault="00F55541" w:rsidP="00F55541">
            <w:pPr>
              <w:pStyle w:val="Tablebody"/>
              <w:jc w:val="center"/>
            </w:pPr>
            <w:r w:rsidRPr="001455DC">
              <w:t>1,0</w:t>
            </w:r>
          </w:p>
        </w:tc>
        <w:tc>
          <w:tcPr>
            <w:tcW w:w="863" w:type="dxa"/>
            <w:tcBorders>
              <w:top w:val="nil"/>
              <w:bottom w:val="nil"/>
            </w:tcBorders>
            <w:vAlign w:val="center"/>
          </w:tcPr>
          <w:p w14:paraId="7FA2A33B" w14:textId="5010555F" w:rsidR="00F55541" w:rsidRPr="001455DC" w:rsidRDefault="00F55541" w:rsidP="00F55541">
            <w:pPr>
              <w:pStyle w:val="Tablebody"/>
              <w:jc w:val="center"/>
            </w:pPr>
            <w:r w:rsidRPr="001455DC">
              <w:t>0,50</w:t>
            </w:r>
          </w:p>
        </w:tc>
      </w:tr>
      <w:tr w:rsidR="00F55541" w:rsidRPr="001455DC" w14:paraId="4150DCF7" w14:textId="77777777" w:rsidTr="00F55541">
        <w:tc>
          <w:tcPr>
            <w:tcW w:w="1514" w:type="dxa"/>
            <w:vMerge/>
            <w:vAlign w:val="center"/>
          </w:tcPr>
          <w:p w14:paraId="2CD296C2" w14:textId="77777777" w:rsidR="00F55541" w:rsidRPr="001455DC" w:rsidRDefault="00F55541" w:rsidP="00F55541">
            <w:pPr>
              <w:pStyle w:val="Tablebody"/>
              <w:jc w:val="center"/>
              <w:rPr>
                <w:lang w:eastAsia="ja-JP"/>
              </w:rPr>
            </w:pPr>
          </w:p>
        </w:tc>
        <w:tc>
          <w:tcPr>
            <w:tcW w:w="4612" w:type="dxa"/>
            <w:vMerge/>
            <w:vAlign w:val="center"/>
          </w:tcPr>
          <w:p w14:paraId="25EE4C7F" w14:textId="77777777" w:rsidR="00F55541" w:rsidRPr="001455DC" w:rsidRDefault="00F55541" w:rsidP="00F55541">
            <w:pPr>
              <w:pStyle w:val="Tablebody"/>
              <w:jc w:val="center"/>
              <w:rPr>
                <w:lang w:eastAsia="ja-JP"/>
              </w:rPr>
            </w:pPr>
          </w:p>
        </w:tc>
        <w:tc>
          <w:tcPr>
            <w:tcW w:w="1831" w:type="dxa"/>
            <w:vMerge/>
            <w:vAlign w:val="center"/>
          </w:tcPr>
          <w:p w14:paraId="41F96A92" w14:textId="77777777" w:rsidR="00F55541" w:rsidRPr="001455DC" w:rsidRDefault="00F55541" w:rsidP="00F55541">
            <w:pPr>
              <w:pStyle w:val="Tablebody"/>
              <w:jc w:val="center"/>
              <w:rPr>
                <w:b/>
                <w:lang w:eastAsia="ja-JP"/>
              </w:rPr>
            </w:pPr>
          </w:p>
        </w:tc>
        <w:tc>
          <w:tcPr>
            <w:tcW w:w="932" w:type="dxa"/>
            <w:tcBorders>
              <w:top w:val="nil"/>
              <w:bottom w:val="nil"/>
            </w:tcBorders>
            <w:vAlign w:val="center"/>
          </w:tcPr>
          <w:p w14:paraId="187A32FE" w14:textId="0E72041E" w:rsidR="00F55541" w:rsidRPr="001455DC" w:rsidRDefault="00F55541" w:rsidP="00F55541">
            <w:pPr>
              <w:pStyle w:val="Tablebody"/>
              <w:jc w:val="center"/>
            </w:pPr>
            <w:r w:rsidRPr="001455DC">
              <w:t>1,5</w:t>
            </w:r>
          </w:p>
        </w:tc>
        <w:tc>
          <w:tcPr>
            <w:tcW w:w="863" w:type="dxa"/>
            <w:tcBorders>
              <w:top w:val="nil"/>
              <w:bottom w:val="nil"/>
            </w:tcBorders>
            <w:vAlign w:val="center"/>
          </w:tcPr>
          <w:p w14:paraId="2302E67C" w14:textId="56F0AFB5" w:rsidR="00F55541" w:rsidRPr="001455DC" w:rsidRDefault="00F55541" w:rsidP="00F55541">
            <w:pPr>
              <w:pStyle w:val="Tablebody"/>
              <w:jc w:val="center"/>
            </w:pPr>
            <w:r w:rsidRPr="001455DC">
              <w:t>0,69</w:t>
            </w:r>
          </w:p>
        </w:tc>
      </w:tr>
      <w:tr w:rsidR="00F55541" w:rsidRPr="001455DC" w14:paraId="4014A139" w14:textId="77777777" w:rsidTr="00F55541">
        <w:tc>
          <w:tcPr>
            <w:tcW w:w="1514" w:type="dxa"/>
            <w:vMerge/>
            <w:vAlign w:val="center"/>
          </w:tcPr>
          <w:p w14:paraId="49C922DF" w14:textId="77777777" w:rsidR="00F55541" w:rsidRPr="001455DC" w:rsidRDefault="00F55541" w:rsidP="00F55541">
            <w:pPr>
              <w:pStyle w:val="Tablebody"/>
              <w:jc w:val="center"/>
              <w:rPr>
                <w:lang w:eastAsia="ja-JP"/>
              </w:rPr>
            </w:pPr>
          </w:p>
        </w:tc>
        <w:tc>
          <w:tcPr>
            <w:tcW w:w="4612" w:type="dxa"/>
            <w:vMerge/>
            <w:vAlign w:val="center"/>
          </w:tcPr>
          <w:p w14:paraId="444BAF69" w14:textId="77777777" w:rsidR="00F55541" w:rsidRPr="001455DC" w:rsidRDefault="00F55541" w:rsidP="00F55541">
            <w:pPr>
              <w:pStyle w:val="Tablebody"/>
              <w:jc w:val="center"/>
              <w:rPr>
                <w:lang w:eastAsia="ja-JP"/>
              </w:rPr>
            </w:pPr>
          </w:p>
        </w:tc>
        <w:tc>
          <w:tcPr>
            <w:tcW w:w="1831" w:type="dxa"/>
            <w:vMerge/>
            <w:vAlign w:val="center"/>
          </w:tcPr>
          <w:p w14:paraId="2695264A" w14:textId="77777777" w:rsidR="00F55541" w:rsidRPr="001455DC" w:rsidRDefault="00F55541" w:rsidP="00F55541">
            <w:pPr>
              <w:pStyle w:val="Tablebody"/>
              <w:jc w:val="center"/>
              <w:rPr>
                <w:b/>
                <w:lang w:eastAsia="ja-JP"/>
              </w:rPr>
            </w:pPr>
          </w:p>
        </w:tc>
        <w:tc>
          <w:tcPr>
            <w:tcW w:w="932" w:type="dxa"/>
            <w:tcBorders>
              <w:top w:val="nil"/>
              <w:bottom w:val="nil"/>
            </w:tcBorders>
            <w:vAlign w:val="center"/>
          </w:tcPr>
          <w:p w14:paraId="42EAA1E0" w14:textId="54AAAF13" w:rsidR="00F55541" w:rsidRPr="001455DC" w:rsidRDefault="00F55541" w:rsidP="00F55541">
            <w:pPr>
              <w:pStyle w:val="Tablebody"/>
              <w:jc w:val="center"/>
            </w:pPr>
            <w:r w:rsidRPr="001455DC">
              <w:t>2,0</w:t>
            </w:r>
          </w:p>
        </w:tc>
        <w:tc>
          <w:tcPr>
            <w:tcW w:w="863" w:type="dxa"/>
            <w:tcBorders>
              <w:top w:val="nil"/>
              <w:bottom w:val="nil"/>
            </w:tcBorders>
            <w:vAlign w:val="center"/>
          </w:tcPr>
          <w:p w14:paraId="3E50E2AB" w14:textId="355A93A5" w:rsidR="00F55541" w:rsidRPr="001455DC" w:rsidRDefault="00F55541" w:rsidP="00F55541">
            <w:pPr>
              <w:pStyle w:val="Tablebody"/>
              <w:jc w:val="center"/>
            </w:pPr>
            <w:r w:rsidRPr="001455DC">
              <w:t>0,80</w:t>
            </w:r>
          </w:p>
        </w:tc>
      </w:tr>
      <w:tr w:rsidR="004E22C1" w:rsidRPr="001455DC" w14:paraId="62B07FFC" w14:textId="77777777" w:rsidTr="00F55541">
        <w:tc>
          <w:tcPr>
            <w:tcW w:w="1514" w:type="dxa"/>
            <w:vMerge/>
            <w:tcBorders>
              <w:bottom w:val="single" w:sz="12" w:space="0" w:color="000000"/>
            </w:tcBorders>
            <w:vAlign w:val="center"/>
          </w:tcPr>
          <w:p w14:paraId="4033069A" w14:textId="77777777" w:rsidR="004E22C1" w:rsidRPr="001455DC" w:rsidRDefault="004E22C1" w:rsidP="00F55541">
            <w:pPr>
              <w:pStyle w:val="Tablebody"/>
              <w:jc w:val="center"/>
              <w:rPr>
                <w:lang w:eastAsia="ja-JP"/>
              </w:rPr>
            </w:pPr>
          </w:p>
        </w:tc>
        <w:tc>
          <w:tcPr>
            <w:tcW w:w="4612" w:type="dxa"/>
            <w:vMerge/>
            <w:tcBorders>
              <w:bottom w:val="single" w:sz="12" w:space="0" w:color="000000"/>
            </w:tcBorders>
            <w:vAlign w:val="center"/>
          </w:tcPr>
          <w:p w14:paraId="00911E7C" w14:textId="77777777" w:rsidR="004E22C1" w:rsidRPr="001455DC" w:rsidRDefault="004E22C1" w:rsidP="00F55541">
            <w:pPr>
              <w:pStyle w:val="Tablebody"/>
              <w:jc w:val="center"/>
              <w:rPr>
                <w:lang w:eastAsia="ja-JP"/>
              </w:rPr>
            </w:pPr>
          </w:p>
        </w:tc>
        <w:tc>
          <w:tcPr>
            <w:tcW w:w="1831" w:type="dxa"/>
            <w:vMerge/>
            <w:tcBorders>
              <w:bottom w:val="single" w:sz="12" w:space="0" w:color="000000"/>
            </w:tcBorders>
            <w:vAlign w:val="center"/>
            <w:hideMark/>
          </w:tcPr>
          <w:p w14:paraId="5A4B3B09" w14:textId="77777777" w:rsidR="004E22C1" w:rsidRPr="001455DC" w:rsidRDefault="004E22C1" w:rsidP="00F55541">
            <w:pPr>
              <w:pStyle w:val="Tablebody"/>
              <w:jc w:val="center"/>
              <w:rPr>
                <w:b/>
                <w:lang w:eastAsia="ja-JP"/>
              </w:rPr>
            </w:pPr>
          </w:p>
        </w:tc>
        <w:tc>
          <w:tcPr>
            <w:tcW w:w="932" w:type="dxa"/>
            <w:tcBorders>
              <w:top w:val="nil"/>
              <w:bottom w:val="single" w:sz="12" w:space="0" w:color="000000"/>
            </w:tcBorders>
            <w:vAlign w:val="center"/>
            <w:hideMark/>
          </w:tcPr>
          <w:p w14:paraId="762EFBFD" w14:textId="77777777" w:rsidR="004E22C1" w:rsidRPr="001455DC" w:rsidRDefault="004E22C1" w:rsidP="00F55541">
            <w:pPr>
              <w:pStyle w:val="Tablebody"/>
              <w:jc w:val="center"/>
              <w:rPr>
                <w:lang w:eastAsia="ja-JP"/>
              </w:rPr>
            </w:pPr>
            <w:bookmarkStart w:id="1234" w:name="_Toc110045735"/>
            <w:bookmarkStart w:id="1235" w:name="_Toc110043160"/>
            <w:bookmarkStart w:id="1236" w:name="_Toc107805652"/>
            <w:bookmarkStart w:id="1237" w:name="_Toc107300703"/>
            <w:bookmarkStart w:id="1238" w:name="_Toc105830314"/>
            <w:bookmarkStart w:id="1239" w:name="_Toc105568563"/>
            <w:bookmarkStart w:id="1240" w:name="_Toc105563375"/>
            <w:bookmarkStart w:id="1241" w:name="_Toc103143842"/>
            <w:bookmarkStart w:id="1242" w:name="_Toc110045734"/>
            <w:bookmarkStart w:id="1243" w:name="_Toc110043159"/>
            <w:bookmarkStart w:id="1244" w:name="_Toc107805651"/>
            <w:bookmarkStart w:id="1245" w:name="_Toc107300702"/>
            <w:bookmarkStart w:id="1246" w:name="_Toc105830313"/>
            <w:bookmarkStart w:id="1247" w:name="_Toc105568562"/>
            <w:bookmarkStart w:id="1248" w:name="_Toc105563374"/>
            <w:bookmarkStart w:id="1249" w:name="_Toc103143841"/>
            <w:bookmarkStart w:id="1250" w:name="_Toc110045733"/>
            <w:bookmarkStart w:id="1251" w:name="_Toc110043158"/>
            <w:bookmarkStart w:id="1252" w:name="_Toc107805650"/>
            <w:bookmarkStart w:id="1253" w:name="_Toc107300701"/>
            <w:bookmarkStart w:id="1254" w:name="_Toc105830312"/>
            <w:bookmarkStart w:id="1255" w:name="_Toc105568561"/>
            <w:bookmarkStart w:id="1256" w:name="_Toc105563373"/>
            <w:bookmarkStart w:id="1257" w:name="_Toc103143840"/>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r w:rsidRPr="001455DC">
              <w:t>5,0</w:t>
            </w:r>
          </w:p>
        </w:tc>
        <w:tc>
          <w:tcPr>
            <w:tcW w:w="863" w:type="dxa"/>
            <w:tcBorders>
              <w:top w:val="nil"/>
              <w:bottom w:val="single" w:sz="12" w:space="0" w:color="000000"/>
            </w:tcBorders>
            <w:vAlign w:val="center"/>
            <w:hideMark/>
          </w:tcPr>
          <w:p w14:paraId="56F3D147" w14:textId="77777777" w:rsidR="004E22C1" w:rsidRPr="001455DC" w:rsidRDefault="004E22C1" w:rsidP="00F55541">
            <w:pPr>
              <w:pStyle w:val="Tablebody"/>
              <w:jc w:val="center"/>
              <w:rPr>
                <w:caps/>
                <w:lang w:eastAsia="ja-JP"/>
              </w:rPr>
            </w:pPr>
            <w:r w:rsidRPr="001455DC">
              <w:t>0,96</w:t>
            </w:r>
          </w:p>
        </w:tc>
      </w:tr>
      <w:tr w:rsidR="004E22C1" w:rsidRPr="001455DC" w14:paraId="63924F1E" w14:textId="77777777" w:rsidTr="00F55541">
        <w:tc>
          <w:tcPr>
            <w:tcW w:w="9752" w:type="dxa"/>
            <w:gridSpan w:val="5"/>
            <w:tcBorders>
              <w:top w:val="single" w:sz="12" w:space="0" w:color="000000"/>
              <w:bottom w:val="single" w:sz="12" w:space="0" w:color="auto"/>
            </w:tcBorders>
            <w:vAlign w:val="center"/>
            <w:hideMark/>
          </w:tcPr>
          <w:p w14:paraId="2D7A98F0" w14:textId="2AB1ED76" w:rsidR="00F00164" w:rsidRPr="009D3012" w:rsidRDefault="00A8751A" w:rsidP="00F55541">
            <w:pPr>
              <w:pStyle w:val="Tablebody-"/>
              <w:jc w:val="left"/>
              <w:rPr>
                <w:lang w:val="en-US"/>
              </w:rPr>
            </w:pPr>
            <w:r>
              <w:rPr>
                <w:lang w:val="en-US"/>
              </w:rPr>
              <w:t>1</w:t>
            </w:r>
            <w:r w:rsidRPr="009D3012">
              <w:rPr>
                <w:lang w:val="en-US"/>
              </w:rPr>
              <w:t xml:space="preserve"> </w:t>
            </w:r>
            <w:r w:rsidR="004E22C1" w:rsidRPr="009D3012">
              <w:rPr>
                <w:lang w:val="en-US"/>
              </w:rPr>
              <w:t xml:space="preserve">– floor slab; </w:t>
            </w:r>
          </w:p>
          <w:p w14:paraId="282AD5AB" w14:textId="06EF8DB4" w:rsidR="004E22C1" w:rsidRPr="009D3012" w:rsidRDefault="00A8751A" w:rsidP="00F55541">
            <w:pPr>
              <w:pStyle w:val="Tablebody-"/>
              <w:jc w:val="left"/>
              <w:rPr>
                <w:lang w:val="en-US"/>
              </w:rPr>
            </w:pPr>
            <w:r>
              <w:rPr>
                <w:lang w:val="en-US"/>
              </w:rPr>
              <w:t>2</w:t>
            </w:r>
            <w:r w:rsidRPr="009D3012">
              <w:rPr>
                <w:lang w:val="en-US"/>
              </w:rPr>
              <w:t xml:space="preserve"> </w:t>
            </w:r>
            <w:r w:rsidR="004E22C1" w:rsidRPr="009D3012">
              <w:rPr>
                <w:lang w:val="en-US"/>
              </w:rPr>
              <w:t>– free edge;</w:t>
            </w:r>
          </w:p>
          <w:p w14:paraId="3E692A8E" w14:textId="2F1BF0F5" w:rsidR="004E22C1" w:rsidRPr="009D3012" w:rsidRDefault="00A8751A" w:rsidP="00F55541">
            <w:pPr>
              <w:pStyle w:val="Tablebody-"/>
              <w:jc w:val="left"/>
              <w:rPr>
                <w:lang w:val="en-US"/>
              </w:rPr>
            </w:pPr>
            <w:r>
              <w:rPr>
                <w:lang w:val="en-US"/>
              </w:rPr>
              <w:t>3</w:t>
            </w:r>
            <w:r w:rsidRPr="009D3012">
              <w:rPr>
                <w:lang w:val="en-US"/>
              </w:rPr>
              <w:t xml:space="preserve"> </w:t>
            </w:r>
            <w:r w:rsidR="004E22C1" w:rsidRPr="009D3012">
              <w:rPr>
                <w:lang w:val="en-US"/>
              </w:rPr>
              <w:t>– transverse wall with thickness </w:t>
            </w:r>
            <w:r w:rsidR="00650035" w:rsidRPr="009D3012">
              <w:rPr>
                <w:rFonts w:ascii="Cambria Math" w:hAnsi="Cambria Math"/>
                <w:lang w:val="en-US"/>
              </w:rPr>
              <w:t>≥</w:t>
            </w:r>
            <w:r w:rsidR="00073FC6" w:rsidRPr="009D3012">
              <w:rPr>
                <w:lang w:val="en-US"/>
              </w:rPr>
              <w:t> </w:t>
            </w:r>
            <w:r w:rsidR="004E22C1" w:rsidRPr="009D3012">
              <w:rPr>
                <w:lang w:val="en-US"/>
              </w:rPr>
              <w:t>0,5</w:t>
            </w:r>
            <w:r w:rsidR="004E22C1" w:rsidRPr="009D3012">
              <w:rPr>
                <w:rStyle w:val="CCMCvariableitalic"/>
                <w:lang w:val="en-US"/>
              </w:rPr>
              <w:t>h</w:t>
            </w:r>
            <w:r w:rsidR="004E22C1" w:rsidRPr="009D3012">
              <w:rPr>
                <w:rStyle w:val="CCMCvariablesubscript"/>
                <w:lang w:val="en-US"/>
              </w:rPr>
              <w:t>w</w:t>
            </w:r>
            <w:r w:rsidR="004E22C1" w:rsidRPr="009D3012">
              <w:rPr>
                <w:lang w:val="en-US"/>
              </w:rPr>
              <w:t xml:space="preserve"> and with a length </w:t>
            </w:r>
            <w:r w:rsidR="00650035" w:rsidRPr="009D3012">
              <w:rPr>
                <w:rFonts w:ascii="Cambria Math" w:hAnsi="Cambria Math"/>
                <w:lang w:val="en-US"/>
              </w:rPr>
              <w:t>≥</w:t>
            </w:r>
            <w:r w:rsidR="00073FC6" w:rsidRPr="009D3012">
              <w:rPr>
                <w:lang w:val="en-US"/>
              </w:rPr>
              <w:t> </w:t>
            </w:r>
            <w:r w:rsidR="004E22C1" w:rsidRPr="009D3012">
              <w:rPr>
                <w:rStyle w:val="CCMCvariableitalic"/>
                <w:lang w:val="en-US"/>
              </w:rPr>
              <w:t>l</w:t>
            </w:r>
            <w:r w:rsidR="004E22C1" w:rsidRPr="009D3012">
              <w:rPr>
                <w:rStyle w:val="CCMCvariablesubscript"/>
                <w:lang w:val="en-US"/>
              </w:rPr>
              <w:t>w</w:t>
            </w:r>
            <w:r w:rsidR="004E22C1" w:rsidRPr="009D3012">
              <w:rPr>
                <w:lang w:val="en-US"/>
              </w:rPr>
              <w:t>/5</w:t>
            </w:r>
          </w:p>
        </w:tc>
      </w:tr>
      <w:tr w:rsidR="00F55541" w:rsidRPr="001455DC" w14:paraId="0F880FBE" w14:textId="77777777" w:rsidTr="00F55541">
        <w:trPr>
          <w:cnfStyle w:val="010000000000" w:firstRow="0" w:lastRow="1" w:firstColumn="0" w:lastColumn="0" w:oddVBand="0" w:evenVBand="0" w:oddHBand="0" w:evenHBand="0" w:firstRowFirstColumn="0" w:firstRowLastColumn="0" w:lastRowFirstColumn="0" w:lastRowLastColumn="0"/>
        </w:trPr>
        <w:tc>
          <w:tcPr>
            <w:tcW w:w="9752" w:type="dxa"/>
            <w:gridSpan w:val="5"/>
            <w:vAlign w:val="center"/>
          </w:tcPr>
          <w:p w14:paraId="6CD70281" w14:textId="06877C22" w:rsidR="00F55541" w:rsidRPr="009D3012" w:rsidRDefault="00F55541" w:rsidP="00F55541">
            <w:pPr>
              <w:pStyle w:val="Tablefooternote"/>
              <w:rPr>
                <w:lang w:val="en-US"/>
              </w:rPr>
            </w:pPr>
            <w:r w:rsidRPr="009D3012">
              <w:rPr>
                <w:lang w:val="en-US"/>
              </w:rPr>
              <w:t>NOTE</w:t>
            </w:r>
            <w:r w:rsidRPr="009D3012">
              <w:rPr>
                <w:lang w:val="en-US"/>
              </w:rPr>
              <w:tab/>
              <w:t xml:space="preserve">The information in Table 14.1 assumes that the wall has no openings with a height exceeding 1/3 of the wall height </w:t>
            </w:r>
            <w:r w:rsidRPr="009D3012">
              <w:rPr>
                <w:rStyle w:val="CCMCvariableitalic"/>
                <w:lang w:val="en-US"/>
              </w:rPr>
              <w:t>l</w:t>
            </w:r>
            <w:r w:rsidRPr="009D3012">
              <w:rPr>
                <w:rStyle w:val="CCMCvariablesubscript"/>
                <w:lang w:val="en-US"/>
              </w:rPr>
              <w:t>w</w:t>
            </w:r>
            <w:r w:rsidRPr="009D3012">
              <w:rPr>
                <w:lang w:val="en-US"/>
              </w:rPr>
              <w:t xml:space="preserve"> or with an area exceeding 1/10 of the wall area. In walls laterally restrained along 3 or 4 sides with openings exceeding these limits, the parts between the openings should be considered as laterally restrained along 2 sides only and be designed accordingly.</w:t>
            </w:r>
          </w:p>
        </w:tc>
      </w:tr>
    </w:tbl>
    <w:p w14:paraId="7EF22150" w14:textId="77777777" w:rsidR="004E22C1" w:rsidRPr="001455DC" w:rsidRDefault="004E22C1" w:rsidP="00F55541">
      <w:pPr>
        <w:pStyle w:val="a7"/>
      </w:pPr>
      <w:bookmarkStart w:id="1258" w:name="_Toc52820119"/>
    </w:p>
    <w:p w14:paraId="29F4FE16" w14:textId="6EDEF9CE" w:rsidR="004E22C1" w:rsidRPr="001455DC" w:rsidRDefault="004E22C1" w:rsidP="00243590">
      <w:pPr>
        <w:pStyle w:val="41"/>
      </w:pPr>
      <w:bookmarkStart w:id="1259" w:name="_Toc54338175"/>
      <w:r w:rsidRPr="001455DC">
        <w:t>Simplified design method for walls and columns</w:t>
      </w:r>
      <w:bookmarkEnd w:id="1258"/>
      <w:bookmarkEnd w:id="1259"/>
    </w:p>
    <w:p w14:paraId="36C46DEE" w14:textId="4368F99F" w:rsidR="004E22C1" w:rsidRPr="001455DC" w:rsidRDefault="004E22C1" w:rsidP="00E844D2">
      <w:pPr>
        <w:pStyle w:val="a7"/>
        <w:keepNext/>
      </w:pPr>
      <w:r w:rsidRPr="001455DC">
        <w:t>(1)</w:t>
      </w:r>
      <w:r w:rsidRPr="001455DC">
        <w:tab/>
        <w:t xml:space="preserve">In the absence of a more rigorous approach according to 7.4.3.3, the design resistance in terms of axial force for a braced wall or column in plain concrete with </w:t>
      </w:r>
      <w:r w:rsidRPr="001455DC">
        <w:rPr>
          <w:rStyle w:val="CCMCvariableitalic"/>
        </w:rPr>
        <w:t>f</w:t>
      </w:r>
      <w:r w:rsidRPr="001455DC">
        <w:rPr>
          <w:rStyle w:val="CCMCvariablesubscript"/>
        </w:rPr>
        <w:t>ck</w:t>
      </w:r>
      <w:r w:rsidRPr="001455DC">
        <w:t> </w:t>
      </w:r>
      <w:r w:rsidR="00650035" w:rsidRPr="001455DC">
        <w:rPr>
          <w:rFonts w:ascii="Cambria Math" w:hAnsi="Cambria Math"/>
        </w:rPr>
        <w:t>&lt;</w:t>
      </w:r>
      <w:r w:rsidRPr="001455DC">
        <w:t> 55 MPa, may be calculated as follows: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FF4409" w:rsidRPr="001455DC" w14:paraId="62356C96" w14:textId="77777777" w:rsidTr="008C277A">
        <w:trPr>
          <w:cantSplit/>
        </w:trPr>
        <w:tc>
          <w:tcPr>
            <w:tcW w:w="8505" w:type="dxa"/>
            <w:vAlign w:val="center"/>
          </w:tcPr>
          <w:p w14:paraId="20F206B4" w14:textId="0A474949" w:rsidR="00FF4409" w:rsidRPr="001455DC" w:rsidRDefault="00FF4409" w:rsidP="008C277A">
            <w:pPr>
              <w:pStyle w:val="Formula"/>
              <w:jc w:val="left"/>
            </w:pPr>
            <w:r w:rsidRPr="001455DC">
              <w:rPr>
                <w:rStyle w:val="CCMCvariableitalic"/>
              </w:rPr>
              <w:t>N</w:t>
            </w:r>
            <w:r w:rsidRPr="001455DC">
              <w:rPr>
                <w:rStyle w:val="CCMCvariablesubscript"/>
              </w:rPr>
              <w:t>Rd</w:t>
            </w:r>
            <w:r w:rsidRPr="001455DC">
              <w:t> </w:t>
            </w:r>
            <w:r w:rsidR="00EC27D2" w:rsidRPr="001455DC">
              <w:rPr>
                <w:rFonts w:ascii="Cambria Math" w:hAnsi="Cambria Math"/>
              </w:rPr>
              <w:t>=</w:t>
            </w:r>
            <w:r w:rsidRPr="001455DC">
              <w:t> </w:t>
            </w:r>
            <w:r w:rsidRPr="001455DC">
              <w:rPr>
                <w:rStyle w:val="CCMCvariableitalic"/>
              </w:rPr>
              <w:t>b</w:t>
            </w:r>
            <w:r w:rsidRPr="001455DC">
              <w:t> </w:t>
            </w:r>
            <w:r w:rsidRPr="001455DC">
              <w:rPr>
                <w:rFonts w:ascii="Cambria Math" w:hAnsi="Cambria Math" w:cs="Cambria Math"/>
              </w:rPr>
              <w:t>⋅</w:t>
            </w:r>
            <w:r w:rsidRPr="001455DC">
              <w:t> </w:t>
            </w:r>
            <w:r w:rsidRPr="001455DC">
              <w:rPr>
                <w:rStyle w:val="CCMCvariableitalic"/>
              </w:rPr>
              <w:t>h</w:t>
            </w:r>
            <w:r w:rsidRPr="001455DC">
              <w:t> </w:t>
            </w:r>
            <w:r w:rsidRPr="001455DC">
              <w:rPr>
                <w:rFonts w:ascii="Cambria Math" w:hAnsi="Cambria Math" w:cs="Cambria Math"/>
              </w:rPr>
              <w:t>⋅</w:t>
            </w:r>
            <w:r w:rsidRPr="001455DC">
              <w:t> </w:t>
            </w:r>
            <w:r w:rsidRPr="001455DC">
              <w:rPr>
                <w:rStyle w:val="CCMCvariableitalic"/>
              </w:rPr>
              <w:t>f</w:t>
            </w:r>
            <w:r w:rsidRPr="001455DC">
              <w:rPr>
                <w:rStyle w:val="CCMCvariablesubscript"/>
              </w:rPr>
              <w:t>cd,pl</w:t>
            </w:r>
            <w:r w:rsidRPr="001455DC">
              <w:t> </w:t>
            </w:r>
            <w:r w:rsidRPr="001455DC">
              <w:rPr>
                <w:rFonts w:ascii="Cambria Math" w:hAnsi="Cambria Math" w:cs="Cambria Math"/>
              </w:rPr>
              <w:t>⋅</w:t>
            </w:r>
            <w:r w:rsidRPr="001455DC">
              <w:t> </w:t>
            </w:r>
            <w:r w:rsidRPr="001455DC">
              <w:rPr>
                <w:rStyle w:val="CCMCvariableitalic"/>
              </w:rPr>
              <w:t>Φ</w:t>
            </w:r>
          </w:p>
        </w:tc>
        <w:tc>
          <w:tcPr>
            <w:tcW w:w="1247" w:type="dxa"/>
            <w:vAlign w:val="center"/>
          </w:tcPr>
          <w:p w14:paraId="7FF7D864" w14:textId="59399DCB" w:rsidR="00FF4409" w:rsidRPr="001455DC" w:rsidRDefault="00FF4409" w:rsidP="008C277A">
            <w:pPr>
              <w:pStyle w:val="a7"/>
              <w:jc w:val="right"/>
            </w:pPr>
            <w:r w:rsidRPr="001455DC">
              <w:t>(14.9)</w:t>
            </w:r>
          </w:p>
        </w:tc>
      </w:tr>
    </w:tbl>
    <w:p w14:paraId="14F5B5C7" w14:textId="77777777" w:rsidR="00FF4409" w:rsidRPr="001455DC" w:rsidRDefault="00FF4409"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567"/>
        <w:gridCol w:w="7031"/>
        <w:gridCol w:w="1247"/>
      </w:tblGrid>
      <w:tr w:rsidR="00FF4409" w:rsidRPr="001455DC" w14:paraId="3AB4328C" w14:textId="77777777" w:rsidTr="008C277A">
        <w:trPr>
          <w:cantSplit/>
        </w:trPr>
        <w:tc>
          <w:tcPr>
            <w:tcW w:w="567" w:type="dxa"/>
          </w:tcPr>
          <w:p w14:paraId="314B5E13" w14:textId="38F7400F" w:rsidR="00FF4409" w:rsidRPr="001455DC" w:rsidRDefault="00FF4409" w:rsidP="00F77658">
            <w:pPr>
              <w:pStyle w:val="Tablebody"/>
              <w:keepNext/>
            </w:pPr>
            <w:r w:rsidRPr="001455DC">
              <w:rPr>
                <w:rStyle w:val="CCMCvariableitalic"/>
              </w:rPr>
              <w:t>N</w:t>
            </w:r>
            <w:r w:rsidRPr="001455DC">
              <w:rPr>
                <w:rStyle w:val="CCMCvariablesubscript"/>
              </w:rPr>
              <w:t>Rd</w:t>
            </w:r>
          </w:p>
        </w:tc>
        <w:tc>
          <w:tcPr>
            <w:tcW w:w="8845" w:type="dxa"/>
            <w:gridSpan w:val="3"/>
          </w:tcPr>
          <w:p w14:paraId="3364BD05" w14:textId="5B0200C7" w:rsidR="00FF4409" w:rsidRPr="001455DC" w:rsidRDefault="00FF4409" w:rsidP="00BB1209">
            <w:pPr>
              <w:pStyle w:val="Tablebody"/>
            </w:pPr>
            <w:r w:rsidRPr="001455DC">
              <w:t>is the axial force resistance;</w:t>
            </w:r>
          </w:p>
        </w:tc>
      </w:tr>
      <w:tr w:rsidR="00FF4409" w:rsidRPr="001455DC" w14:paraId="5B266D49" w14:textId="77777777" w:rsidTr="008C277A">
        <w:trPr>
          <w:cantSplit/>
        </w:trPr>
        <w:tc>
          <w:tcPr>
            <w:tcW w:w="567" w:type="dxa"/>
          </w:tcPr>
          <w:p w14:paraId="2E03F482" w14:textId="31FCED85" w:rsidR="00FF4409" w:rsidRPr="001455DC" w:rsidRDefault="00FF4409" w:rsidP="00F77658">
            <w:pPr>
              <w:pStyle w:val="Tablebody"/>
              <w:keepNext/>
            </w:pPr>
            <w:r w:rsidRPr="001455DC">
              <w:rPr>
                <w:rStyle w:val="CCMCvariableitalic"/>
              </w:rPr>
              <w:t>Φ</w:t>
            </w:r>
          </w:p>
        </w:tc>
        <w:tc>
          <w:tcPr>
            <w:tcW w:w="8845" w:type="dxa"/>
            <w:gridSpan w:val="3"/>
          </w:tcPr>
          <w:p w14:paraId="68C7FC49" w14:textId="1AD7F33D" w:rsidR="00FF4409" w:rsidRPr="001455DC" w:rsidRDefault="00FF4409" w:rsidP="0000442A">
            <w:pPr>
              <w:pStyle w:val="Tablebody"/>
            </w:pPr>
            <w:r w:rsidRPr="001455DC">
              <w:t>is the factor taking into account eccentricity, including second order effects</w:t>
            </w:r>
          </w:p>
        </w:tc>
      </w:tr>
      <w:tr w:rsidR="00FF4409" w:rsidRPr="001455DC" w14:paraId="0070A986" w14:textId="77777777" w:rsidTr="00FF4409">
        <w:trPr>
          <w:cantSplit/>
        </w:trPr>
        <w:tc>
          <w:tcPr>
            <w:tcW w:w="567" w:type="dxa"/>
          </w:tcPr>
          <w:p w14:paraId="6C3B7185" w14:textId="504EAF89" w:rsidR="00FF4409" w:rsidRPr="001455DC" w:rsidRDefault="00FF4409" w:rsidP="00D86695">
            <w:pPr>
              <w:pStyle w:val="Tablebody"/>
            </w:pPr>
            <w:r w:rsidRPr="001455DC">
              <w:t> </w:t>
            </w:r>
          </w:p>
        </w:tc>
        <w:tc>
          <w:tcPr>
            <w:tcW w:w="7598" w:type="dxa"/>
            <w:gridSpan w:val="2"/>
            <w:vAlign w:val="center"/>
          </w:tcPr>
          <w:p w14:paraId="4555AF82" w14:textId="79C53C80" w:rsidR="00FF4409" w:rsidRPr="001455DC" w:rsidRDefault="00FF4409" w:rsidP="00FF4409">
            <w:pPr>
              <w:pStyle w:val="Tablebody"/>
              <w:jc w:val="left"/>
            </w:pPr>
            <m:oMathPara>
              <m:oMathParaPr>
                <m:jc m:val="left"/>
              </m:oMathParaPr>
              <m:oMath>
                <m:r>
                  <w:rPr>
                    <w:rFonts w:ascii="Cambria Math" w:hAnsi="Cambria Math"/>
                  </w:rPr>
                  <m:t>Φ=1,15-2,35⋅</m:t>
                </m:r>
                <m:f>
                  <m:fPr>
                    <m:ctrlPr>
                      <w:rPr>
                        <w:rFonts w:ascii="Cambria Math" w:hAnsi="Cambria Math"/>
                      </w:rPr>
                    </m:ctrlPr>
                  </m:fPr>
                  <m:num>
                    <m:sSub>
                      <m:sSubPr>
                        <m:ctrlPr>
                          <w:rPr>
                            <w:rFonts w:ascii="Cambria Math" w:hAnsi="Cambria Math"/>
                          </w:rPr>
                        </m:ctrlPr>
                      </m:sSubPr>
                      <m:e>
                        <m:r>
                          <w:rPr>
                            <w:rFonts w:ascii="Cambria Math" w:hAnsi="Cambria Math"/>
                          </w:rPr>
                          <m:t>e</m:t>
                        </m:r>
                      </m:e>
                      <m:sub>
                        <m:r>
                          <m:rPr>
                            <m:sty m:val="p"/>
                          </m:rPr>
                          <w:rPr>
                            <w:rFonts w:ascii="Cambria Math" w:hAnsi="Cambria Math"/>
                          </w:rPr>
                          <m:t>tot</m:t>
                        </m:r>
                      </m:sub>
                    </m:sSub>
                  </m:num>
                  <m:den>
                    <m:sSub>
                      <m:sSubPr>
                        <m:ctrlPr>
                          <w:rPr>
                            <w:rFonts w:ascii="Cambria Math" w:hAnsi="Cambria Math"/>
                          </w:rPr>
                        </m:ctrlPr>
                      </m:sSubPr>
                      <m:e>
                        <m:r>
                          <w:rPr>
                            <w:rFonts w:ascii="Cambria Math" w:hAnsi="Cambria Math"/>
                          </w:rPr>
                          <m:t>h</m:t>
                        </m:r>
                      </m:e>
                      <m:sub>
                        <m:r>
                          <m:rPr>
                            <m:sty m:val="p"/>
                          </m:rPr>
                          <w:rPr>
                            <w:rFonts w:ascii="Cambria Math" w:hAnsi="Cambria Math"/>
                          </w:rPr>
                          <m:t>w</m:t>
                        </m:r>
                      </m:sub>
                    </m:sSub>
                  </m:den>
                </m:f>
                <m:r>
                  <w:rPr>
                    <w:rFonts w:ascii="Cambria Math" w:hAnsi="Cambria Math"/>
                  </w:rPr>
                  <m:t>-0,016⋅</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0</m:t>
                        </m:r>
                      </m:sub>
                    </m:sSub>
                  </m:num>
                  <m:den>
                    <m:sSub>
                      <m:sSubPr>
                        <m:ctrlPr>
                          <w:rPr>
                            <w:rFonts w:ascii="Cambria Math" w:hAnsi="Cambria Math"/>
                          </w:rPr>
                        </m:ctrlPr>
                      </m:sSubPr>
                      <m:e>
                        <m:r>
                          <w:rPr>
                            <w:rFonts w:ascii="Cambria Math" w:hAnsi="Cambria Math"/>
                          </w:rPr>
                          <m:t>h</m:t>
                        </m:r>
                      </m:e>
                      <m:sub>
                        <m:r>
                          <m:rPr>
                            <m:sty m:val="p"/>
                          </m:rPr>
                          <w:rPr>
                            <w:rFonts w:ascii="Cambria Math" w:hAnsi="Cambria Math"/>
                          </w:rPr>
                          <m:t>w</m:t>
                        </m:r>
                      </m:sub>
                    </m:sSub>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ck</m:t>
                        </m:r>
                      </m:sub>
                    </m:sSub>
                  </m:num>
                  <m:den>
                    <m:r>
                      <w:rPr>
                        <w:rFonts w:ascii="Cambria Math" w:hAnsi="Cambria Math"/>
                      </w:rPr>
                      <m:t>1 000</m:t>
                    </m:r>
                  </m:den>
                </m:f>
                <m:r>
                  <w:rPr>
                    <w:rFonts w:ascii="Cambria Math" w:hAnsi="Cambria Math"/>
                  </w:rPr>
                  <m:t>⋅</m:t>
                </m:r>
                <m:d>
                  <m:dPr>
                    <m:ctrlPr>
                      <w:rPr>
                        <w:rFonts w:ascii="Cambria Math" w:hAnsi="Cambria Math"/>
                      </w:rPr>
                    </m:ctrlPr>
                  </m:dPr>
                  <m:e>
                    <m:r>
                      <w:rPr>
                        <w:rFonts w:ascii="Cambria Math" w:hAnsi="Cambria Math"/>
                      </w:rPr>
                      <m:t>9⋅</m:t>
                    </m:r>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tot</m:t>
                            </m:r>
                          </m:sub>
                        </m:sSub>
                      </m:num>
                      <m:den>
                        <m:sSub>
                          <m:sSubPr>
                            <m:ctrlPr>
                              <w:rPr>
                                <w:rFonts w:ascii="Cambria Math" w:hAnsi="Cambria Math"/>
                              </w:rPr>
                            </m:ctrlPr>
                          </m:sSubPr>
                          <m:e>
                            <m:r>
                              <w:rPr>
                                <w:rFonts w:ascii="Cambria Math" w:hAnsi="Cambria Math"/>
                              </w:rPr>
                              <m:t>h</m:t>
                            </m:r>
                          </m:e>
                          <m:sub>
                            <m:r>
                              <w:rPr>
                                <w:rFonts w:ascii="Cambria Math" w:hAnsi="Cambria Math"/>
                              </w:rPr>
                              <m:t>w</m:t>
                            </m:r>
                          </m:sub>
                        </m:sSub>
                      </m:den>
                    </m:f>
                    <m:r>
                      <w:rPr>
                        <w:rFonts w:ascii="Cambria Math" w:hAnsi="Cambria Math"/>
                      </w:rPr>
                      <m:t>-4</m:t>
                    </m:r>
                  </m:e>
                </m:d>
                <m:r>
                  <w:rPr>
                    <w:rFonts w:ascii="Cambria Math" w:hAnsi="Cambria Math"/>
                  </w:rPr>
                  <m:t>-</m:t>
                </m:r>
                <m:sSub>
                  <m:sSubPr>
                    <m:ctrlPr>
                      <w:rPr>
                        <w:rFonts w:ascii="Cambria Math" w:hAnsi="Cambria Math"/>
                      </w:rPr>
                    </m:ctrlPr>
                  </m:sSubPr>
                  <m:e>
                    <m:r>
                      <w:rPr>
                        <w:rFonts w:ascii="Cambria Math" w:hAnsi="Cambria Math"/>
                      </w:rPr>
                      <m:t>Φ</m:t>
                    </m:r>
                  </m:e>
                  <m:sub>
                    <m:r>
                      <m:rPr>
                        <m:sty m:val="p"/>
                      </m:rPr>
                      <w:rPr>
                        <w:rFonts w:ascii="Cambria Math" w:hAnsi="Cambria Math"/>
                      </w:rPr>
                      <m:t>φ</m:t>
                    </m:r>
                  </m:sub>
                </m:sSub>
                <m:r>
                  <m:rPr>
                    <m:sty m:val="p"/>
                  </m:rPr>
                  <w:rPr>
                    <w:rFonts w:ascii="Cambria Math" w:hAnsi="Cambria Math"/>
                  </w:rPr>
                  <w:br/>
                </m:r>
              </m:oMath>
              <m:oMath>
                <m:r>
                  <w:rPr>
                    <w:rFonts w:ascii="Cambria Math" w:hAnsi="Cambria Math"/>
                  </w:rPr>
                  <m:t>≤0,98-1,96</m:t>
                </m:r>
                <m:f>
                  <m:fPr>
                    <m:ctrlPr>
                      <w:rPr>
                        <w:rFonts w:ascii="Cambria Math" w:hAnsi="Cambria Math"/>
                      </w:rPr>
                    </m:ctrlPr>
                  </m:fPr>
                  <m:num>
                    <m:sSub>
                      <m:sSubPr>
                        <m:ctrlPr>
                          <w:rPr>
                            <w:rFonts w:ascii="Cambria Math" w:hAnsi="Cambria Math"/>
                          </w:rPr>
                        </m:ctrlPr>
                      </m:sSubPr>
                      <m:e>
                        <m:r>
                          <w:rPr>
                            <w:rFonts w:ascii="Cambria Math" w:hAnsi="Cambria Math"/>
                          </w:rPr>
                          <m:t>e</m:t>
                        </m:r>
                      </m:e>
                      <m:sub>
                        <m:r>
                          <m:rPr>
                            <m:sty m:val="p"/>
                          </m:rPr>
                          <w:rPr>
                            <w:rFonts w:ascii="Cambria Math" w:hAnsi="Cambria Math"/>
                          </w:rPr>
                          <m:t>tot</m:t>
                        </m:r>
                      </m:sub>
                    </m:sSub>
                  </m:num>
                  <m:den>
                    <m:sSub>
                      <m:sSubPr>
                        <m:ctrlPr>
                          <w:rPr>
                            <w:rFonts w:ascii="Cambria Math" w:hAnsi="Cambria Math"/>
                          </w:rPr>
                        </m:ctrlPr>
                      </m:sSubPr>
                      <m:e>
                        <m:r>
                          <w:rPr>
                            <w:rFonts w:ascii="Cambria Math" w:hAnsi="Cambria Math"/>
                          </w:rPr>
                          <m:t>h</m:t>
                        </m:r>
                      </m:e>
                      <m:sub>
                        <m:r>
                          <m:rPr>
                            <m:sty m:val="p"/>
                          </m:rPr>
                          <w:rPr>
                            <w:rFonts w:ascii="Cambria Math" w:hAnsi="Cambria Math"/>
                          </w:rPr>
                          <m:t>w</m:t>
                        </m:r>
                      </m:sub>
                    </m:sSub>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ck</m:t>
                        </m:r>
                      </m:sub>
                    </m:sSub>
                  </m:num>
                  <m:den>
                    <m:r>
                      <w:rPr>
                        <w:rFonts w:ascii="Cambria Math" w:hAnsi="Cambria Math"/>
                      </w:rPr>
                      <m:t>1000</m:t>
                    </m:r>
                  </m:den>
                </m:f>
                <m:r>
                  <w:rPr>
                    <w:rFonts w:ascii="Cambria Math" w:hAnsi="Cambria Math"/>
                  </w:rPr>
                  <m:t>⋅</m:t>
                </m:r>
                <m:d>
                  <m:dPr>
                    <m:ctrlPr>
                      <w:rPr>
                        <w:rFonts w:ascii="Cambria Math" w:hAnsi="Cambria Math"/>
                      </w:rPr>
                    </m:ctrlPr>
                  </m:dPr>
                  <m:e>
                    <m:r>
                      <w:rPr>
                        <w:rFonts w:ascii="Cambria Math" w:hAnsi="Cambria Math"/>
                      </w:rPr>
                      <m:t>3⋅</m:t>
                    </m:r>
                    <m:f>
                      <m:fPr>
                        <m:ctrlPr>
                          <w:rPr>
                            <w:rFonts w:ascii="Cambria Math" w:hAnsi="Cambria Math"/>
                          </w:rPr>
                        </m:ctrlPr>
                      </m:fPr>
                      <m:num>
                        <m:sSub>
                          <m:sSubPr>
                            <m:ctrlPr>
                              <w:rPr>
                                <w:rFonts w:ascii="Cambria Math" w:hAnsi="Cambria Math"/>
                              </w:rPr>
                            </m:ctrlPr>
                          </m:sSubPr>
                          <m:e>
                            <m:r>
                              <w:rPr>
                                <w:rFonts w:ascii="Cambria Math" w:hAnsi="Cambria Math"/>
                              </w:rPr>
                              <m:t>e</m:t>
                            </m:r>
                          </m:e>
                          <m:sub>
                            <m:r>
                              <m:rPr>
                                <m:sty m:val="p"/>
                              </m:rPr>
                              <w:rPr>
                                <w:rFonts w:ascii="Cambria Math" w:hAnsi="Cambria Math"/>
                              </w:rPr>
                              <m:t>tot</m:t>
                            </m:r>
                          </m:sub>
                        </m:sSub>
                      </m:num>
                      <m:den>
                        <m:sSub>
                          <m:sSubPr>
                            <m:ctrlPr>
                              <w:rPr>
                                <w:rFonts w:ascii="Cambria Math" w:hAnsi="Cambria Math"/>
                              </w:rPr>
                            </m:ctrlPr>
                          </m:sSubPr>
                          <m:e>
                            <m:r>
                              <w:rPr>
                                <w:rFonts w:ascii="Cambria Math" w:hAnsi="Cambria Math"/>
                              </w:rPr>
                              <m:t>h</m:t>
                            </m:r>
                          </m:e>
                          <m:sub>
                            <m:r>
                              <m:rPr>
                                <m:sty m:val="p"/>
                              </m:rPr>
                              <w:rPr>
                                <w:rFonts w:ascii="Cambria Math" w:hAnsi="Cambria Math"/>
                              </w:rPr>
                              <m:t>w</m:t>
                            </m:r>
                          </m:sub>
                        </m:sSub>
                      </m:den>
                    </m:f>
                    <m:r>
                      <w:rPr>
                        <w:rFonts w:ascii="Cambria Math" w:hAnsi="Cambria Math"/>
                      </w:rPr>
                      <m:t>-2</m:t>
                    </m:r>
                  </m:e>
                </m:d>
              </m:oMath>
            </m:oMathPara>
          </w:p>
        </w:tc>
        <w:tc>
          <w:tcPr>
            <w:tcW w:w="1247" w:type="dxa"/>
            <w:vAlign w:val="center"/>
          </w:tcPr>
          <w:p w14:paraId="3F7ED9A7" w14:textId="774951B9" w:rsidR="00FF4409" w:rsidRPr="001455DC" w:rsidRDefault="00FF4409" w:rsidP="00FF4409">
            <w:pPr>
              <w:pStyle w:val="Tablebody"/>
              <w:jc w:val="right"/>
            </w:pPr>
            <w:r w:rsidRPr="001455DC">
              <w:t>(14.10)</w:t>
            </w:r>
          </w:p>
        </w:tc>
      </w:tr>
      <w:tr w:rsidR="00FF4409" w:rsidRPr="001455DC" w14:paraId="53B3014B" w14:textId="77777777" w:rsidTr="00FF4409">
        <w:trPr>
          <w:cantSplit/>
        </w:trPr>
        <w:tc>
          <w:tcPr>
            <w:tcW w:w="567" w:type="dxa"/>
          </w:tcPr>
          <w:p w14:paraId="65D5258B" w14:textId="46F6B678" w:rsidR="00FF4409" w:rsidRPr="001455DC" w:rsidRDefault="00FF4409" w:rsidP="00D86695">
            <w:pPr>
              <w:pStyle w:val="Tablebody"/>
            </w:pPr>
            <w:r w:rsidRPr="001455DC">
              <w:t> </w:t>
            </w:r>
          </w:p>
        </w:tc>
        <w:tc>
          <w:tcPr>
            <w:tcW w:w="7598" w:type="dxa"/>
            <w:gridSpan w:val="2"/>
            <w:vAlign w:val="center"/>
          </w:tcPr>
          <w:p w14:paraId="3D0E2900" w14:textId="3DE8F23D" w:rsidR="00FF4409" w:rsidRPr="001455DC" w:rsidRDefault="00FF4409" w:rsidP="00FF4409">
            <w:pPr>
              <w:pStyle w:val="Tablebody"/>
              <w:jc w:val="left"/>
            </w:pPr>
            <w:r w:rsidRPr="001455DC">
              <w:t>where</w:t>
            </w:r>
          </w:p>
        </w:tc>
        <w:tc>
          <w:tcPr>
            <w:tcW w:w="1247" w:type="dxa"/>
            <w:vAlign w:val="center"/>
          </w:tcPr>
          <w:p w14:paraId="6347C73B" w14:textId="77777777" w:rsidR="00FF4409" w:rsidRPr="001455DC" w:rsidRDefault="00FF4409" w:rsidP="00FF4409">
            <w:pPr>
              <w:pStyle w:val="Tablebody"/>
              <w:jc w:val="right"/>
            </w:pPr>
          </w:p>
        </w:tc>
      </w:tr>
      <w:tr w:rsidR="00FF4409" w:rsidRPr="001455DC" w14:paraId="03CA8024" w14:textId="77777777" w:rsidTr="00FF4409">
        <w:trPr>
          <w:cantSplit/>
        </w:trPr>
        <w:tc>
          <w:tcPr>
            <w:tcW w:w="567" w:type="dxa"/>
          </w:tcPr>
          <w:p w14:paraId="0B1BE726" w14:textId="01C2EE0B" w:rsidR="00FF4409" w:rsidRPr="001455DC" w:rsidRDefault="00FF4409" w:rsidP="00D86695">
            <w:pPr>
              <w:pStyle w:val="Tablebody"/>
            </w:pPr>
            <w:r w:rsidRPr="001455DC">
              <w:t> </w:t>
            </w:r>
          </w:p>
        </w:tc>
        <w:tc>
          <w:tcPr>
            <w:tcW w:w="7598" w:type="dxa"/>
            <w:gridSpan w:val="2"/>
            <w:vAlign w:val="center"/>
          </w:tcPr>
          <w:p w14:paraId="487F4245" w14:textId="64F7F2B8" w:rsidR="00FF4409" w:rsidRPr="001455DC" w:rsidRDefault="00FF4409" w:rsidP="00FF4409">
            <w:pPr>
              <w:pStyle w:val="Tablebody"/>
              <w:jc w:val="left"/>
            </w:pPr>
            <w:r w:rsidRPr="001455DC">
              <w:rPr>
                <w:rStyle w:val="CCMCvariableitalic"/>
              </w:rPr>
              <w:t>e</w:t>
            </w:r>
            <w:r w:rsidRPr="001455DC">
              <w:rPr>
                <w:rStyle w:val="CCMCvariablesubscript"/>
              </w:rPr>
              <w:t>tot</w:t>
            </w:r>
            <w:r w:rsidRPr="001455DC">
              <w:t> </w:t>
            </w:r>
            <w:r w:rsidR="00EC27D2" w:rsidRPr="001455DC">
              <w:rPr>
                <w:rFonts w:ascii="Cambria Math" w:hAnsi="Cambria Math"/>
              </w:rPr>
              <w:t>=</w:t>
            </w:r>
            <w:r w:rsidRPr="001455DC">
              <w:t> </w:t>
            </w:r>
            <w:r w:rsidRPr="001455DC">
              <w:rPr>
                <w:rStyle w:val="CCMCvariableitalic"/>
              </w:rPr>
              <w:t>e</w:t>
            </w:r>
            <w:r w:rsidRPr="001455DC">
              <w:rPr>
                <w:rStyle w:val="CCMCvariablesubscript"/>
              </w:rPr>
              <w:t>0</w:t>
            </w:r>
            <w:r w:rsidR="00EC27D2" w:rsidRPr="001455DC">
              <w:rPr>
                <w:rFonts w:ascii="Cambria Math" w:hAnsi="Cambria Math"/>
              </w:rPr>
              <w:t> + </w:t>
            </w:r>
            <w:r w:rsidRPr="001455DC">
              <w:rPr>
                <w:rStyle w:val="CCMCvariableitalic"/>
              </w:rPr>
              <w:t>e</w:t>
            </w:r>
            <w:r w:rsidRPr="001455DC">
              <w:rPr>
                <w:rStyle w:val="CCMCvariablesubscript"/>
              </w:rPr>
              <w:t>i</w:t>
            </w:r>
          </w:p>
        </w:tc>
        <w:tc>
          <w:tcPr>
            <w:tcW w:w="1247" w:type="dxa"/>
            <w:vAlign w:val="center"/>
          </w:tcPr>
          <w:p w14:paraId="551E3B01" w14:textId="0E9BA9F5" w:rsidR="00FF4409" w:rsidRPr="001455DC" w:rsidRDefault="00FF4409" w:rsidP="00FF4409">
            <w:pPr>
              <w:pStyle w:val="Tablebody"/>
              <w:jc w:val="right"/>
            </w:pPr>
            <w:r w:rsidRPr="001455DC">
              <w:t>(14.11)</w:t>
            </w:r>
          </w:p>
        </w:tc>
      </w:tr>
      <w:tr w:rsidR="00FF4409" w:rsidRPr="001455DC" w14:paraId="2EC59C36" w14:textId="77777777" w:rsidTr="00FF4409">
        <w:trPr>
          <w:cantSplit/>
        </w:trPr>
        <w:tc>
          <w:tcPr>
            <w:tcW w:w="567" w:type="dxa"/>
          </w:tcPr>
          <w:p w14:paraId="5AEC5C1E" w14:textId="6F468B1A" w:rsidR="00FF4409" w:rsidRPr="001455DC" w:rsidRDefault="00FF4409" w:rsidP="00D86695">
            <w:pPr>
              <w:pStyle w:val="Tablebody"/>
            </w:pPr>
            <w:r w:rsidRPr="001455DC">
              <w:t> </w:t>
            </w:r>
          </w:p>
        </w:tc>
        <w:tc>
          <w:tcPr>
            <w:tcW w:w="567" w:type="dxa"/>
          </w:tcPr>
          <w:p w14:paraId="3896CBA2" w14:textId="5DC8834F" w:rsidR="00FF4409" w:rsidRPr="001455DC" w:rsidRDefault="00FF4409" w:rsidP="00FF4409">
            <w:pPr>
              <w:pStyle w:val="Tablebody"/>
              <w:jc w:val="left"/>
            </w:pPr>
            <w:r w:rsidRPr="001455DC">
              <w:rPr>
                <w:rStyle w:val="CCMCvariableitalic"/>
              </w:rPr>
              <w:t>e</w:t>
            </w:r>
            <w:r w:rsidRPr="001455DC">
              <w:rPr>
                <w:rStyle w:val="CCMCvariablesubscript"/>
              </w:rPr>
              <w:t>0</w:t>
            </w:r>
          </w:p>
        </w:tc>
        <w:tc>
          <w:tcPr>
            <w:tcW w:w="8278" w:type="dxa"/>
            <w:gridSpan w:val="2"/>
          </w:tcPr>
          <w:p w14:paraId="0C0ECC70" w14:textId="4A97ACE4" w:rsidR="00FF4409" w:rsidRPr="001455DC" w:rsidRDefault="00FF4409" w:rsidP="00FF4409">
            <w:pPr>
              <w:pStyle w:val="Tablebody"/>
            </w:pPr>
            <w:r w:rsidRPr="001455DC">
              <w:t xml:space="preserve">is the first order eccentricity including, where relevant, the effects of floors (e.g. possible clamping moments transmitted to the wall from a slab) and horizontal actions. </w:t>
            </w:r>
            <w:r w:rsidRPr="001455DC">
              <w:rPr>
                <w:bCs/>
              </w:rPr>
              <w:t xml:space="preserve">To determine </w:t>
            </w:r>
            <w:r w:rsidRPr="001455DC">
              <w:rPr>
                <w:rStyle w:val="CCMCvariableitalic"/>
              </w:rPr>
              <w:t>e</w:t>
            </w:r>
            <w:r w:rsidRPr="001455DC">
              <w:rPr>
                <w:rStyle w:val="CCMCvariablesubscript"/>
              </w:rPr>
              <w:t>0</w:t>
            </w:r>
            <w:r w:rsidRPr="001455DC">
              <w:rPr>
                <w:bCs/>
              </w:rPr>
              <w:t xml:space="preserve"> an equivalent first order end moment, </w:t>
            </w:r>
            <w:r w:rsidRPr="001455DC">
              <w:rPr>
                <w:rStyle w:val="CCMCvariableitalic"/>
              </w:rPr>
              <w:t>M</w:t>
            </w:r>
            <w:r w:rsidRPr="001455DC">
              <w:rPr>
                <w:rStyle w:val="CCMCvariablesubscript"/>
              </w:rPr>
              <w:t>0Ed</w:t>
            </w:r>
            <w:r w:rsidRPr="001455DC">
              <w:rPr>
                <w:bCs/>
              </w:rPr>
              <w:t xml:space="preserve"> may be used, see O.7.2</w:t>
            </w:r>
            <w:r w:rsidRPr="001455DC">
              <w:t>;</w:t>
            </w:r>
          </w:p>
        </w:tc>
      </w:tr>
      <w:tr w:rsidR="00FF4409" w:rsidRPr="001455DC" w14:paraId="4DA6B7E8" w14:textId="77777777" w:rsidTr="00FF4409">
        <w:trPr>
          <w:cantSplit/>
        </w:trPr>
        <w:tc>
          <w:tcPr>
            <w:tcW w:w="567" w:type="dxa"/>
          </w:tcPr>
          <w:p w14:paraId="1B76EBDE" w14:textId="629F4AE4" w:rsidR="00FF4409" w:rsidRPr="001455DC" w:rsidRDefault="00FF4409" w:rsidP="00D86695">
            <w:pPr>
              <w:pStyle w:val="Tablebody"/>
            </w:pPr>
            <w:r w:rsidRPr="001455DC">
              <w:t> </w:t>
            </w:r>
          </w:p>
        </w:tc>
        <w:tc>
          <w:tcPr>
            <w:tcW w:w="567" w:type="dxa"/>
          </w:tcPr>
          <w:p w14:paraId="3C4357E0" w14:textId="5E8BB167" w:rsidR="00FF4409" w:rsidRPr="001455DC" w:rsidRDefault="00FF4409" w:rsidP="00FF4409">
            <w:pPr>
              <w:pStyle w:val="Tablebody"/>
              <w:jc w:val="left"/>
            </w:pPr>
            <w:r w:rsidRPr="001455DC">
              <w:rPr>
                <w:rStyle w:val="CCMCvariableitalic"/>
              </w:rPr>
              <w:t>e</w:t>
            </w:r>
            <w:r w:rsidRPr="001455DC">
              <w:rPr>
                <w:rStyle w:val="CCMCvariablesubscript"/>
              </w:rPr>
              <w:t>i</w:t>
            </w:r>
          </w:p>
        </w:tc>
        <w:tc>
          <w:tcPr>
            <w:tcW w:w="8278" w:type="dxa"/>
            <w:gridSpan w:val="2"/>
          </w:tcPr>
          <w:p w14:paraId="7E8EF700" w14:textId="453EC44F" w:rsidR="00FF4409" w:rsidRPr="001455DC" w:rsidRDefault="00FF4409" w:rsidP="00FF4409">
            <w:pPr>
              <w:pStyle w:val="Tablebody"/>
            </w:pPr>
            <w:r w:rsidRPr="001455DC">
              <w:t>is the additional eccentricity covering the effects of geometrical imperfections, see 7.2.1;</w:t>
            </w:r>
          </w:p>
        </w:tc>
      </w:tr>
      <w:tr w:rsidR="00FF4409" w:rsidRPr="001455DC" w14:paraId="712DA410" w14:textId="77777777" w:rsidTr="00FF4409">
        <w:trPr>
          <w:cantSplit/>
        </w:trPr>
        <w:tc>
          <w:tcPr>
            <w:tcW w:w="567" w:type="dxa"/>
          </w:tcPr>
          <w:p w14:paraId="4DE47147" w14:textId="62247D47" w:rsidR="00FF4409" w:rsidRPr="001455DC" w:rsidRDefault="00FF4409" w:rsidP="00D86695">
            <w:pPr>
              <w:pStyle w:val="Tablebody"/>
            </w:pPr>
            <w:r w:rsidRPr="001455DC">
              <w:t> </w:t>
            </w:r>
          </w:p>
        </w:tc>
        <w:tc>
          <w:tcPr>
            <w:tcW w:w="567" w:type="dxa"/>
          </w:tcPr>
          <w:p w14:paraId="4FDAA1EF" w14:textId="7BFDD562" w:rsidR="00FF4409" w:rsidRPr="001455DC" w:rsidRDefault="00FF4409" w:rsidP="00FF4409">
            <w:pPr>
              <w:pStyle w:val="Tablebody"/>
              <w:jc w:val="left"/>
            </w:pPr>
            <w:r w:rsidRPr="001455DC">
              <w:rPr>
                <w:rStyle w:val="CCMCvariableitalic"/>
              </w:rPr>
              <w:t>Φ</w:t>
            </w:r>
            <w:r w:rsidRPr="001455DC">
              <w:rPr>
                <w:rStyle w:val="CCMCvariablesubscript"/>
              </w:rPr>
              <w:t>φ</w:t>
            </w:r>
          </w:p>
        </w:tc>
        <w:tc>
          <w:tcPr>
            <w:tcW w:w="8278" w:type="dxa"/>
            <w:gridSpan w:val="2"/>
          </w:tcPr>
          <w:p w14:paraId="1183324E" w14:textId="13E4F7C2" w:rsidR="00FF4409" w:rsidRPr="001455DC" w:rsidRDefault="00FF4409" w:rsidP="00FF4409">
            <w:pPr>
              <w:pStyle w:val="Tablebody"/>
            </w:pPr>
            <w:r w:rsidRPr="001455DC">
              <w:t xml:space="preserve">is a reduction part of </w:t>
            </w:r>
            <w:r w:rsidRPr="001455DC">
              <w:rPr>
                <w:rStyle w:val="CCMCvariableitalic"/>
              </w:rPr>
              <w:t>Φ</w:t>
            </w:r>
            <w:r w:rsidRPr="001455DC">
              <w:t xml:space="preserve"> by creep effects.</w:t>
            </w:r>
          </w:p>
        </w:tc>
      </w:tr>
    </w:tbl>
    <w:p w14:paraId="26A27AC9" w14:textId="77777777" w:rsidR="00FF4409" w:rsidRPr="001455DC" w:rsidRDefault="004E22C1" w:rsidP="00FF4409">
      <w:pPr>
        <w:pStyle w:val="Note"/>
        <w:keepNext/>
        <w:spacing w:after="120"/>
      </w:pPr>
      <w:r w:rsidRPr="001455DC">
        <w:t>NOTE</w:t>
      </w:r>
      <w:r w:rsidRPr="001455DC">
        <w:tab/>
        <w:t xml:space="preserve">Formula (14.12) for </w:t>
      </w:r>
      <w:r w:rsidRPr="001455DC">
        <w:rPr>
          <w:rStyle w:val="CCMCvariableitalic"/>
        </w:rPr>
        <w:t>Φ</w:t>
      </w:r>
      <w:r w:rsidRPr="001455DC">
        <w:rPr>
          <w:rStyle w:val="CCMCvariablesubscript"/>
        </w:rPr>
        <w:t>φ</w:t>
      </w:r>
      <w:r w:rsidRPr="001455DC">
        <w:t xml:space="preserve"> apply unless a National Annex give a different formula:</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FF4409" w:rsidRPr="001455DC" w14:paraId="4ECE2F68" w14:textId="77777777" w:rsidTr="008C277A">
        <w:trPr>
          <w:cantSplit/>
        </w:trPr>
        <w:tc>
          <w:tcPr>
            <w:tcW w:w="8505" w:type="dxa"/>
            <w:vAlign w:val="center"/>
          </w:tcPr>
          <w:p w14:paraId="424D2F96" w14:textId="08018B11" w:rsidR="00FF4409" w:rsidRPr="001455DC" w:rsidRDefault="00231E33" w:rsidP="008C277A">
            <w:pPr>
              <w:pStyle w:val="Formula"/>
              <w:jc w:val="left"/>
              <w:rPr>
                <w:sz w:val="20"/>
              </w:rPr>
            </w:pPr>
            <m:oMathPara>
              <m:oMathParaPr>
                <m:jc m:val="left"/>
              </m:oMathParaPr>
              <m:oMath>
                <m:sSub>
                  <m:sSubPr>
                    <m:ctrlPr>
                      <w:rPr>
                        <w:rFonts w:ascii="Cambria Math" w:hAnsi="Cambria Math"/>
                        <w:sz w:val="20"/>
                      </w:rPr>
                    </m:ctrlPr>
                  </m:sSubPr>
                  <m:e>
                    <m:r>
                      <w:rPr>
                        <w:rFonts w:ascii="Cambria Math" w:hAnsi="Cambria Math"/>
                        <w:sz w:val="20"/>
                      </w:rPr>
                      <m:t>Φ</m:t>
                    </m:r>
                  </m:e>
                  <m:sub>
                    <m:r>
                      <m:rPr>
                        <m:sty m:val="p"/>
                      </m:rPr>
                      <w:rPr>
                        <w:rFonts w:ascii="Cambria Math" w:hAnsi="Cambria Math"/>
                        <w:sz w:val="20"/>
                      </w:rPr>
                      <m:t>φ</m:t>
                    </m:r>
                  </m:sub>
                </m:sSub>
                <m:r>
                  <w:rPr>
                    <w:rFonts w:ascii="Cambria Math" w:hAnsi="Cambria Math"/>
                    <w:sz w:val="20"/>
                  </w:rPr>
                  <m:t>=0,12</m:t>
                </m:r>
                <m:sSub>
                  <m:sSubPr>
                    <m:ctrlPr>
                      <w:rPr>
                        <w:rFonts w:ascii="Cambria Math" w:hAnsi="Cambria Math"/>
                        <w:sz w:val="20"/>
                      </w:rPr>
                    </m:ctrlPr>
                  </m:sSubPr>
                  <m:e>
                    <m:r>
                      <w:rPr>
                        <w:rFonts w:ascii="Cambria Math" w:hAnsi="Cambria Math"/>
                        <w:sz w:val="20"/>
                      </w:rPr>
                      <m:t>φ</m:t>
                    </m:r>
                  </m:e>
                  <m:sub>
                    <m:r>
                      <m:rPr>
                        <m:sty m:val="p"/>
                      </m:rPr>
                      <w:rPr>
                        <w:rFonts w:ascii="Cambria Math" w:hAnsi="Cambria Math"/>
                        <w:sz w:val="20"/>
                      </w:rPr>
                      <m:t>eff</m:t>
                    </m:r>
                  </m:sub>
                </m:sSub>
                <m:r>
                  <w:rPr>
                    <w:rFonts w:ascii="Cambria Math" w:hAnsi="Cambria Math"/>
                    <w:sz w:val="20"/>
                  </w:rPr>
                  <m:t>⋅</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l</m:t>
                        </m:r>
                      </m:e>
                      <m:sub>
                        <m:r>
                          <w:rPr>
                            <w:rFonts w:ascii="Cambria Math" w:hAnsi="Cambria Math"/>
                            <w:sz w:val="20"/>
                          </w:rPr>
                          <m:t>0</m:t>
                        </m:r>
                      </m:sub>
                    </m:sSub>
                  </m:num>
                  <m:den>
                    <m:sSub>
                      <m:sSubPr>
                        <m:ctrlPr>
                          <w:rPr>
                            <w:rFonts w:ascii="Cambria Math" w:hAnsi="Cambria Math"/>
                            <w:sz w:val="20"/>
                          </w:rPr>
                        </m:ctrlPr>
                      </m:sSubPr>
                      <m:e>
                        <m:r>
                          <w:rPr>
                            <w:rFonts w:ascii="Cambria Math" w:hAnsi="Cambria Math"/>
                            <w:sz w:val="20"/>
                          </w:rPr>
                          <m:t>h</m:t>
                        </m:r>
                      </m:e>
                      <m:sub>
                        <m:r>
                          <m:rPr>
                            <m:sty m:val="p"/>
                          </m:rPr>
                          <w:rPr>
                            <w:rFonts w:ascii="Cambria Math" w:hAnsi="Cambria Math"/>
                            <w:sz w:val="20"/>
                          </w:rPr>
                          <m:t>w</m:t>
                        </m:r>
                      </m:sub>
                    </m:sSub>
                  </m:den>
                </m:f>
                <m:r>
                  <w:rPr>
                    <w:rFonts w:ascii="Cambria Math" w:hAnsi="Cambria Math"/>
                    <w:sz w:val="20"/>
                  </w:rPr>
                  <m:t>⋅</m:t>
                </m:r>
                <m:d>
                  <m:dPr>
                    <m:ctrlPr>
                      <w:rPr>
                        <w:rFonts w:ascii="Cambria Math" w:hAnsi="Cambria Math"/>
                        <w:sz w:val="20"/>
                      </w:rPr>
                    </m:ctrlPr>
                  </m:dPr>
                  <m:e>
                    <m:r>
                      <w:rPr>
                        <w:rFonts w:ascii="Cambria Math" w:hAnsi="Cambria Math"/>
                        <w:sz w:val="20"/>
                      </w:rPr>
                      <m:t>0,075-0,1</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e</m:t>
                            </m:r>
                          </m:e>
                          <m:sub>
                            <m:r>
                              <m:rPr>
                                <m:sty m:val="p"/>
                              </m:rPr>
                              <w:rPr>
                                <w:rFonts w:ascii="Cambria Math" w:hAnsi="Cambria Math"/>
                                <w:sz w:val="20"/>
                              </w:rPr>
                              <m:t>tot</m:t>
                            </m:r>
                          </m:sub>
                        </m:sSub>
                      </m:num>
                      <m:den>
                        <m:sSub>
                          <m:sSubPr>
                            <m:ctrlPr>
                              <w:rPr>
                                <w:rFonts w:ascii="Cambria Math" w:hAnsi="Cambria Math"/>
                                <w:sz w:val="20"/>
                              </w:rPr>
                            </m:ctrlPr>
                          </m:sSubPr>
                          <m:e>
                            <m:r>
                              <w:rPr>
                                <w:rFonts w:ascii="Cambria Math" w:hAnsi="Cambria Math"/>
                                <w:sz w:val="20"/>
                              </w:rPr>
                              <m:t>h</m:t>
                            </m:r>
                          </m:e>
                          <m:sub>
                            <m:r>
                              <m:rPr>
                                <m:sty m:val="p"/>
                              </m:rPr>
                              <w:rPr>
                                <w:rFonts w:ascii="Cambria Math" w:hAnsi="Cambria Math"/>
                                <w:sz w:val="20"/>
                              </w:rPr>
                              <m:t>w</m:t>
                            </m:r>
                          </m:sub>
                        </m:sSub>
                      </m:den>
                    </m:f>
                  </m:e>
                </m:d>
                <m:r>
                  <w:rPr>
                    <w:rFonts w:ascii="Cambria Math" w:hAnsi="Cambria Math"/>
                    <w:sz w:val="20"/>
                  </w:rPr>
                  <m:t>≥0</m:t>
                </m:r>
              </m:oMath>
            </m:oMathPara>
          </w:p>
        </w:tc>
        <w:tc>
          <w:tcPr>
            <w:tcW w:w="1247" w:type="dxa"/>
            <w:vAlign w:val="center"/>
          </w:tcPr>
          <w:p w14:paraId="26275AAC" w14:textId="07B1434F" w:rsidR="00FF4409" w:rsidRPr="001455DC" w:rsidRDefault="00FF4409" w:rsidP="008C277A">
            <w:pPr>
              <w:pStyle w:val="a7"/>
              <w:jc w:val="right"/>
              <w:rPr>
                <w:sz w:val="20"/>
              </w:rPr>
            </w:pPr>
            <w:r w:rsidRPr="001455DC">
              <w:rPr>
                <w:sz w:val="20"/>
              </w:rPr>
              <w:t>(14.12)</w:t>
            </w:r>
          </w:p>
        </w:tc>
      </w:tr>
    </w:tbl>
    <w:p w14:paraId="0C366935" w14:textId="77777777" w:rsidR="004E22C1" w:rsidRPr="001455DC" w:rsidRDefault="004E22C1" w:rsidP="00FF4409">
      <w:pPr>
        <w:pStyle w:val="a7"/>
      </w:pPr>
      <w:r w:rsidRPr="001455DC">
        <w:t>In some cases, depending on slenderness, the end moment(s) (</w:t>
      </w:r>
      <w:r w:rsidRPr="001455DC">
        <w:rPr>
          <w:rStyle w:val="CCMCvariableitalic"/>
        </w:rPr>
        <w:t>M</w:t>
      </w:r>
      <w:r w:rsidRPr="001455DC">
        <w:rPr>
          <w:rStyle w:val="CCMCvariablesubscript"/>
        </w:rPr>
        <w:t>02</w:t>
      </w:r>
      <w:r w:rsidRPr="001455DC">
        <w:t xml:space="preserve">) can be more critical for the structure than the equivalent first order end moment </w:t>
      </w:r>
      <w:r w:rsidRPr="001455DC">
        <w:rPr>
          <w:rStyle w:val="CCMCvariableitalic"/>
        </w:rPr>
        <w:t>M</w:t>
      </w:r>
      <w:r w:rsidRPr="001455DC">
        <w:rPr>
          <w:rStyle w:val="CCMCvariablesubscript"/>
        </w:rPr>
        <w:t>0Ed</w:t>
      </w:r>
      <w:r w:rsidRPr="001455DC">
        <w:t>. In such cases Formula (14.2) should be used for the ultimate limit state.</w:t>
      </w:r>
    </w:p>
    <w:p w14:paraId="1E6ED2B9" w14:textId="77777777" w:rsidR="004E22C1" w:rsidRPr="001455DC" w:rsidRDefault="004E22C1" w:rsidP="00FF4409">
      <w:pPr>
        <w:pStyle w:val="a7"/>
      </w:pPr>
      <w:r w:rsidRPr="001455DC">
        <w:t>(2)</w:t>
      </w:r>
      <w:r w:rsidRPr="001455DC">
        <w:tab/>
        <w:t>Other simplified methods may be used provided that they are not less conservative than a rigorous method in accordance with 7.8.5.</w:t>
      </w:r>
    </w:p>
    <w:p w14:paraId="1C96CD17" w14:textId="5A2DC88F" w:rsidR="004E22C1" w:rsidRPr="001455DC" w:rsidRDefault="004E22C1" w:rsidP="006D682B">
      <w:pPr>
        <w:pStyle w:val="21"/>
      </w:pPr>
      <w:bookmarkStart w:id="1260" w:name="_Toc52820120"/>
      <w:bookmarkStart w:id="1261" w:name="_Toc54337518"/>
      <w:bookmarkStart w:id="1262" w:name="_Toc54338176"/>
      <w:bookmarkStart w:id="1263" w:name="_Toc67565509"/>
      <w:r w:rsidRPr="001455DC">
        <w:t>Serviceability limit states</w:t>
      </w:r>
      <w:bookmarkEnd w:id="1260"/>
      <w:bookmarkEnd w:id="1261"/>
      <w:bookmarkEnd w:id="1262"/>
      <w:bookmarkEnd w:id="1263"/>
    </w:p>
    <w:p w14:paraId="6046A293" w14:textId="77777777" w:rsidR="004E22C1" w:rsidRPr="001455DC" w:rsidRDefault="004E22C1" w:rsidP="002540CA">
      <w:pPr>
        <w:pStyle w:val="a7"/>
      </w:pPr>
      <w:r w:rsidRPr="001455DC">
        <w:t>(1)</w:t>
      </w:r>
      <w:r w:rsidRPr="001455DC">
        <w:tab/>
        <w:t>Stresses should be checked where structural restraint is expected to occur.</w:t>
      </w:r>
    </w:p>
    <w:p w14:paraId="10D7DC96" w14:textId="77777777" w:rsidR="004E22C1" w:rsidRPr="001455DC" w:rsidRDefault="004E22C1" w:rsidP="00E844D2">
      <w:pPr>
        <w:pStyle w:val="a7"/>
        <w:keepNext/>
      </w:pPr>
      <w:r w:rsidRPr="001455DC">
        <w:t>(2)</w:t>
      </w:r>
      <w:r w:rsidRPr="001455DC">
        <w:tab/>
        <w:t>The following measures to ensure adequate serviceability should be considered:</w:t>
      </w:r>
    </w:p>
    <w:p w14:paraId="443631A5" w14:textId="77A0EB35" w:rsidR="004E22C1" w:rsidRPr="001455DC" w:rsidRDefault="004E22C1" w:rsidP="00082680">
      <w:pPr>
        <w:pStyle w:val="a0"/>
        <w:keepNext/>
        <w:numPr>
          <w:ilvl w:val="0"/>
          <w:numId w:val="31"/>
        </w:numPr>
      </w:pPr>
      <w:r w:rsidRPr="001455DC">
        <w:t>with regard to crack formation:</w:t>
      </w:r>
    </w:p>
    <w:p w14:paraId="6E1B67E5" w14:textId="4AB45D35" w:rsidR="004E22C1" w:rsidRPr="001455DC" w:rsidRDefault="004E22C1" w:rsidP="00082680">
      <w:pPr>
        <w:pStyle w:val="2"/>
        <w:numPr>
          <w:ilvl w:val="0"/>
          <w:numId w:val="32"/>
        </w:numPr>
        <w:ind w:left="714" w:hanging="357"/>
      </w:pPr>
      <w:r w:rsidRPr="001455DC">
        <w:t xml:space="preserve">limitation of concrete tensile stresses according to </w:t>
      </w:r>
      <w:r w:rsidR="001710FF" w:rsidRPr="001455DC">
        <w:t>Clause </w:t>
      </w:r>
      <w:r w:rsidRPr="001455DC">
        <w:t>9;</w:t>
      </w:r>
    </w:p>
    <w:p w14:paraId="2C6DBE0B" w14:textId="6081D411" w:rsidR="004E22C1" w:rsidRPr="001455DC" w:rsidRDefault="004E22C1" w:rsidP="00082680">
      <w:pPr>
        <w:pStyle w:val="2"/>
        <w:numPr>
          <w:ilvl w:val="0"/>
          <w:numId w:val="32"/>
        </w:numPr>
        <w:ind w:left="714" w:hanging="357"/>
      </w:pPr>
      <w:r w:rsidRPr="001455DC">
        <w:t>provision of subsidiary structural reinforcement (surface reinforcement, tying system where necessary);</w:t>
      </w:r>
    </w:p>
    <w:p w14:paraId="09207D99" w14:textId="6FB171CE" w:rsidR="004E22C1" w:rsidRPr="001455DC" w:rsidRDefault="004E22C1" w:rsidP="00082680">
      <w:pPr>
        <w:pStyle w:val="2"/>
        <w:numPr>
          <w:ilvl w:val="0"/>
          <w:numId w:val="32"/>
        </w:numPr>
        <w:ind w:left="714" w:hanging="357"/>
      </w:pPr>
      <w:r w:rsidRPr="001455DC">
        <w:t>provision of joints;</w:t>
      </w:r>
    </w:p>
    <w:p w14:paraId="3E7F02A4" w14:textId="0567DFAE" w:rsidR="004E22C1" w:rsidRPr="001455DC" w:rsidRDefault="004E22C1" w:rsidP="00082680">
      <w:pPr>
        <w:pStyle w:val="2"/>
        <w:numPr>
          <w:ilvl w:val="0"/>
          <w:numId w:val="32"/>
        </w:numPr>
        <w:ind w:left="714" w:hanging="357"/>
      </w:pPr>
      <w:r w:rsidRPr="001455DC">
        <w:t>choice of concrete technology (e.g. appropriate concrete composition, curing);</w:t>
      </w:r>
    </w:p>
    <w:p w14:paraId="29951FED" w14:textId="7CFCC2CA" w:rsidR="004E22C1" w:rsidRPr="001455DC" w:rsidRDefault="004E22C1" w:rsidP="00082680">
      <w:pPr>
        <w:pStyle w:val="2"/>
        <w:numPr>
          <w:ilvl w:val="0"/>
          <w:numId w:val="32"/>
        </w:numPr>
        <w:ind w:left="714" w:hanging="357"/>
      </w:pPr>
      <w:r w:rsidRPr="001455DC">
        <w:t>choice of appropriate method of construction.</w:t>
      </w:r>
    </w:p>
    <w:p w14:paraId="58F69279" w14:textId="5B200D09" w:rsidR="004E22C1" w:rsidRPr="001455DC" w:rsidRDefault="004E22C1" w:rsidP="00082680">
      <w:pPr>
        <w:pStyle w:val="a0"/>
        <w:keepNext/>
        <w:numPr>
          <w:ilvl w:val="0"/>
          <w:numId w:val="31"/>
        </w:numPr>
      </w:pPr>
      <w:r w:rsidRPr="001455DC">
        <w:t>with regard to limitation of deformations:</w:t>
      </w:r>
    </w:p>
    <w:p w14:paraId="065E21D3" w14:textId="07C9C283" w:rsidR="004E22C1" w:rsidRPr="001455DC" w:rsidRDefault="004E22C1" w:rsidP="00082680">
      <w:pPr>
        <w:pStyle w:val="2"/>
        <w:numPr>
          <w:ilvl w:val="0"/>
          <w:numId w:val="33"/>
        </w:numPr>
        <w:ind w:left="714" w:hanging="357"/>
      </w:pPr>
      <w:r w:rsidRPr="001455DC">
        <w:t>a minimum section size (see 14.6);</w:t>
      </w:r>
    </w:p>
    <w:p w14:paraId="64444469" w14:textId="6237CA45" w:rsidR="004E22C1" w:rsidRPr="001455DC" w:rsidRDefault="004E22C1" w:rsidP="00082680">
      <w:pPr>
        <w:pStyle w:val="2"/>
        <w:numPr>
          <w:ilvl w:val="0"/>
          <w:numId w:val="33"/>
        </w:numPr>
        <w:ind w:left="714" w:hanging="357"/>
      </w:pPr>
      <w:r w:rsidRPr="001455DC">
        <w:t>limitation of slenderness in the case of compression members.</w:t>
      </w:r>
    </w:p>
    <w:p w14:paraId="2A016928" w14:textId="09182164" w:rsidR="004E22C1" w:rsidRPr="001455DC" w:rsidRDefault="004E22C1" w:rsidP="002540CA">
      <w:pPr>
        <w:pStyle w:val="a7"/>
      </w:pPr>
      <w:r w:rsidRPr="001455DC">
        <w:t>(3)</w:t>
      </w:r>
      <w:r w:rsidRPr="001455DC">
        <w:tab/>
        <w:t xml:space="preserve">Any reinforcement provided in plain concrete members, although not taken into account for load bearing purposes, should comply with durability requirements according to </w:t>
      </w:r>
      <w:r w:rsidR="001710FF" w:rsidRPr="001455DC">
        <w:t>Clause </w:t>
      </w:r>
      <w:r w:rsidRPr="001455DC">
        <w:t>6.</w:t>
      </w:r>
    </w:p>
    <w:p w14:paraId="132BE46C" w14:textId="2973F569" w:rsidR="004E22C1" w:rsidRPr="001455DC" w:rsidRDefault="004E22C1" w:rsidP="006D682B">
      <w:pPr>
        <w:pStyle w:val="21"/>
      </w:pPr>
      <w:bookmarkStart w:id="1264" w:name="_Toc52820121"/>
      <w:bookmarkStart w:id="1265" w:name="_Toc54337519"/>
      <w:bookmarkStart w:id="1266" w:name="_Toc54338177"/>
      <w:bookmarkStart w:id="1267" w:name="_Toc67565510"/>
      <w:r w:rsidRPr="001455DC">
        <w:t>Detailing of members and particular rules</w:t>
      </w:r>
      <w:bookmarkEnd w:id="1264"/>
      <w:bookmarkEnd w:id="1265"/>
      <w:bookmarkEnd w:id="1266"/>
      <w:bookmarkEnd w:id="1267"/>
    </w:p>
    <w:p w14:paraId="15E6C241" w14:textId="609A805B" w:rsidR="004E22C1" w:rsidRPr="001455DC" w:rsidRDefault="004E22C1" w:rsidP="00243590">
      <w:pPr>
        <w:pStyle w:val="31"/>
      </w:pPr>
      <w:bookmarkStart w:id="1268" w:name="_Toc52820122"/>
      <w:bookmarkStart w:id="1269" w:name="_Toc54337520"/>
      <w:bookmarkStart w:id="1270" w:name="_Toc54338178"/>
      <w:bookmarkStart w:id="1271" w:name="_Toc67565511"/>
      <w:r w:rsidRPr="001455DC">
        <w:t>Structural members</w:t>
      </w:r>
      <w:bookmarkEnd w:id="1268"/>
      <w:bookmarkEnd w:id="1269"/>
      <w:bookmarkEnd w:id="1270"/>
      <w:bookmarkEnd w:id="1271"/>
    </w:p>
    <w:p w14:paraId="50B6E1DF" w14:textId="77777777" w:rsidR="004E22C1" w:rsidRPr="001455DC" w:rsidRDefault="004E22C1" w:rsidP="002540CA">
      <w:pPr>
        <w:pStyle w:val="a7"/>
      </w:pPr>
      <w:r w:rsidRPr="001455DC">
        <w:t>(1)</w:t>
      </w:r>
      <w:r w:rsidRPr="001455DC">
        <w:tab/>
        <w:t>The overall thickness of a cast in-situ plain concrete wall should not be less than 120 mm.</w:t>
      </w:r>
    </w:p>
    <w:p w14:paraId="130412F0" w14:textId="77777777" w:rsidR="004E22C1" w:rsidRPr="001455DC" w:rsidRDefault="004E22C1" w:rsidP="002540CA">
      <w:pPr>
        <w:pStyle w:val="a7"/>
      </w:pPr>
      <w:r w:rsidRPr="001455DC">
        <w:t>(2)</w:t>
      </w:r>
      <w:r w:rsidRPr="001455DC">
        <w:tab/>
        <w:t>Local reinforcement may need to be added at chases and recesses to control cracking.</w:t>
      </w:r>
    </w:p>
    <w:p w14:paraId="1E573C62" w14:textId="223AFA47" w:rsidR="004E22C1" w:rsidRPr="001455DC" w:rsidRDefault="004E22C1" w:rsidP="00243590">
      <w:pPr>
        <w:pStyle w:val="31"/>
      </w:pPr>
      <w:bookmarkStart w:id="1272" w:name="_Toc52820123"/>
      <w:bookmarkStart w:id="1273" w:name="_Toc54337521"/>
      <w:bookmarkStart w:id="1274" w:name="_Toc54338179"/>
      <w:bookmarkStart w:id="1275" w:name="_Toc67565512"/>
      <w:r w:rsidRPr="001455DC">
        <w:t>Construction joints</w:t>
      </w:r>
      <w:bookmarkEnd w:id="1272"/>
      <w:bookmarkEnd w:id="1273"/>
      <w:bookmarkEnd w:id="1274"/>
      <w:bookmarkEnd w:id="1275"/>
    </w:p>
    <w:p w14:paraId="13B4421D" w14:textId="77777777" w:rsidR="004E22C1" w:rsidRPr="001455DC" w:rsidRDefault="004E22C1" w:rsidP="002540CA">
      <w:pPr>
        <w:pStyle w:val="a7"/>
      </w:pPr>
      <w:r w:rsidRPr="001455DC">
        <w:t>(1)</w:t>
      </w:r>
      <w:r w:rsidRPr="001455DC">
        <w:tab/>
        <w:t>Construction joints should be designed according to 8.2.6.</w:t>
      </w:r>
    </w:p>
    <w:p w14:paraId="05590318" w14:textId="77777777" w:rsidR="004E22C1" w:rsidRPr="001455DC" w:rsidRDefault="004E22C1" w:rsidP="002540CA">
      <w:pPr>
        <w:pStyle w:val="a7"/>
      </w:pPr>
      <w:r w:rsidRPr="001455DC">
        <w:t>(2)</w:t>
      </w:r>
      <w:r w:rsidRPr="001455DC">
        <w:tab/>
        <w:t>Where tensile stresses are expected to occur in concrete at constructions joints, reinforcement shall be detailed to provide required strength and to control cracking.</w:t>
      </w:r>
    </w:p>
    <w:p w14:paraId="42D857CE" w14:textId="4BA039C1" w:rsidR="004E22C1" w:rsidRPr="001455DC" w:rsidRDefault="004E22C1" w:rsidP="00243590">
      <w:pPr>
        <w:pStyle w:val="31"/>
      </w:pPr>
      <w:bookmarkStart w:id="1276" w:name="_Toc52820124"/>
      <w:bookmarkStart w:id="1277" w:name="_Toc54337522"/>
      <w:bookmarkStart w:id="1278" w:name="_Toc54338180"/>
      <w:bookmarkStart w:id="1279" w:name="_Toc67565513"/>
      <w:r w:rsidRPr="001455DC">
        <w:t>Strip and pad footings</w:t>
      </w:r>
      <w:bookmarkEnd w:id="1276"/>
      <w:bookmarkEnd w:id="1277"/>
      <w:bookmarkEnd w:id="1278"/>
      <w:bookmarkEnd w:id="1279"/>
    </w:p>
    <w:p w14:paraId="5B239EDF" w14:textId="5DC29582" w:rsidR="00FF4409" w:rsidRPr="001455DC" w:rsidRDefault="004E22C1" w:rsidP="00E844D2">
      <w:pPr>
        <w:pStyle w:val="a7"/>
        <w:keepNext/>
      </w:pPr>
      <w:r w:rsidRPr="001455DC">
        <w:t>(1)</w:t>
      </w:r>
      <w:r w:rsidRPr="001455DC">
        <w:tab/>
        <w:t>In the absence of more detailed data, axially loaded strip and pad footings may be designed and constructed as plain concrete provided that:</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FF4409" w:rsidRPr="001455DC" w14:paraId="1067C118" w14:textId="77777777" w:rsidTr="008C277A">
        <w:trPr>
          <w:cantSplit/>
        </w:trPr>
        <w:tc>
          <w:tcPr>
            <w:tcW w:w="8505" w:type="dxa"/>
            <w:vAlign w:val="center"/>
          </w:tcPr>
          <w:p w14:paraId="0092B678" w14:textId="2DE9F8EC" w:rsidR="00FF4409" w:rsidRPr="001455DC" w:rsidRDefault="00231E33" w:rsidP="00605B61">
            <w:pPr>
              <w:pStyle w:val="Formula"/>
            </w:pPr>
            <m:oMathPara>
              <m:oMathParaPr>
                <m:jc m:val="left"/>
              </m:oMathParaPr>
              <m:oMath>
                <m:f>
                  <m:fPr>
                    <m:ctrlPr>
                      <w:rPr>
                        <w:rFonts w:ascii="Cambria Math" w:hAnsi="Cambria Math"/>
                      </w:rPr>
                    </m:ctrlPr>
                  </m:fPr>
                  <m:num>
                    <m:r>
                      <w:rPr>
                        <w:rFonts w:ascii="Cambria Math" w:hAnsi="Cambria Math"/>
                      </w:rPr>
                      <m:t>0,85⋅</m:t>
                    </m:r>
                    <m:sSub>
                      <m:sSubPr>
                        <m:ctrlPr>
                          <w:rPr>
                            <w:rFonts w:ascii="Cambria Math" w:hAnsi="Cambria Math"/>
                          </w:rPr>
                        </m:ctrlPr>
                      </m:sSubPr>
                      <m:e>
                        <m:r>
                          <w:rPr>
                            <w:rFonts w:ascii="Cambria Math" w:hAnsi="Cambria Math"/>
                          </w:rPr>
                          <m:t>h</m:t>
                        </m:r>
                      </m:e>
                      <m:sub>
                        <m:r>
                          <m:rPr>
                            <m:sty m:val="p"/>
                          </m:rPr>
                          <w:rPr>
                            <w:rFonts w:ascii="Cambria Math" w:hAnsi="Cambria Math"/>
                          </w:rPr>
                          <m:t>F</m:t>
                        </m:r>
                      </m:sub>
                    </m:sSub>
                  </m:num>
                  <m:den>
                    <m:sSub>
                      <m:sSubPr>
                        <m:ctrlPr>
                          <w:rPr>
                            <w:rFonts w:ascii="Cambria Math" w:hAnsi="Cambria Math"/>
                          </w:rPr>
                        </m:ctrlPr>
                      </m:sSubPr>
                      <m:e>
                        <m:r>
                          <w:rPr>
                            <w:rFonts w:ascii="Cambria Math" w:hAnsi="Cambria Math"/>
                          </w:rPr>
                          <m:t>a</m:t>
                        </m:r>
                      </m:e>
                      <m:sub>
                        <m:r>
                          <m:rPr>
                            <m:sty m:val="p"/>
                          </m:rPr>
                          <w:rPr>
                            <w:rFonts w:ascii="Cambria Math" w:hAnsi="Cambria Math"/>
                          </w:rPr>
                          <m:t>F</m:t>
                        </m:r>
                      </m:sub>
                    </m:sSub>
                  </m:den>
                </m:f>
                <m:r>
                  <w:rPr>
                    <w:rFonts w:ascii="Cambria Math" w:hAnsi="Cambria Math"/>
                  </w:rPr>
                  <m:t>≥</m:t>
                </m:r>
                <m:rad>
                  <m:radPr>
                    <m:degHide m:val="1"/>
                    <m:ctrlPr>
                      <w:rPr>
                        <w:rFonts w:ascii="Cambria Math" w:hAnsi="Cambria Math"/>
                      </w:rPr>
                    </m:ctrlPr>
                  </m:radPr>
                  <m:deg/>
                  <m:e>
                    <m:f>
                      <m:fPr>
                        <m:ctrlPr>
                          <w:rPr>
                            <w:rFonts w:ascii="Cambria Math" w:hAnsi="Cambria Math"/>
                          </w:rPr>
                        </m:ctrlPr>
                      </m:fPr>
                      <m:num>
                        <m:r>
                          <w:rPr>
                            <w:rFonts w:ascii="Cambria Math" w:hAnsi="Cambria Math"/>
                          </w:rPr>
                          <m:t>3</m:t>
                        </m:r>
                        <m:sSub>
                          <m:sSubPr>
                            <m:ctrlPr>
                              <w:rPr>
                                <w:rFonts w:ascii="Cambria Math" w:hAnsi="Cambria Math"/>
                              </w:rPr>
                            </m:ctrlPr>
                          </m:sSubPr>
                          <m:e>
                            <m:r>
                              <w:rPr>
                                <w:rFonts w:ascii="Cambria Math" w:hAnsi="Cambria Math"/>
                              </w:rPr>
                              <m:t>σ</m:t>
                            </m:r>
                          </m:e>
                          <m:sub>
                            <m:r>
                              <m:rPr>
                                <m:sty m:val="p"/>
                              </m:rPr>
                              <w:rPr>
                                <w:rFonts w:ascii="Cambria Math" w:hAnsi="Cambria Math"/>
                              </w:rPr>
                              <m:t>gd</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ctd,pl</m:t>
                            </m:r>
                          </m:sub>
                        </m:sSub>
                      </m:den>
                    </m:f>
                  </m:e>
                </m:rad>
              </m:oMath>
            </m:oMathPara>
          </w:p>
        </w:tc>
        <w:tc>
          <w:tcPr>
            <w:tcW w:w="1247" w:type="dxa"/>
            <w:vAlign w:val="center"/>
          </w:tcPr>
          <w:p w14:paraId="176ECAD3" w14:textId="41A5F8AB" w:rsidR="00FF4409" w:rsidRPr="001455DC" w:rsidRDefault="00FF4409" w:rsidP="008C277A">
            <w:pPr>
              <w:pStyle w:val="a7"/>
              <w:jc w:val="right"/>
            </w:pPr>
            <w:r w:rsidRPr="001455DC">
              <w:t>(14.13)</w:t>
            </w:r>
          </w:p>
        </w:tc>
      </w:tr>
    </w:tbl>
    <w:p w14:paraId="7428C91E" w14:textId="77777777" w:rsidR="00FF4409" w:rsidRPr="001455DC" w:rsidRDefault="004E22C1" w:rsidP="00E844D2">
      <w:pPr>
        <w:pStyle w:val="a7"/>
        <w:keepNext/>
      </w:pPr>
      <w:r w:rsidRPr="001455DC">
        <w:t>As a simplification, the relation in Formula (14.14) may be used:</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FF4409" w:rsidRPr="001455DC" w14:paraId="504BC54C" w14:textId="77777777" w:rsidTr="008C277A">
        <w:trPr>
          <w:cantSplit/>
        </w:trPr>
        <w:tc>
          <w:tcPr>
            <w:tcW w:w="8505" w:type="dxa"/>
            <w:vAlign w:val="center"/>
          </w:tcPr>
          <w:p w14:paraId="5BB87663" w14:textId="1AC7B524" w:rsidR="00FF4409" w:rsidRPr="001455DC" w:rsidRDefault="00231E33" w:rsidP="00605B61">
            <w:pPr>
              <w:pStyle w:val="Formula"/>
            </w:pPr>
            <m:oMathPara>
              <m:oMathParaPr>
                <m:jc m:val="left"/>
              </m:oMathParaPr>
              <m:oMath>
                <m:f>
                  <m:fPr>
                    <m:ctrlPr>
                      <w:rPr>
                        <w:rFonts w:ascii="Cambria Math" w:hAnsi="Cambria Math"/>
                      </w:rPr>
                    </m:ctrlPr>
                  </m:fPr>
                  <m:num>
                    <m:sSub>
                      <m:sSubPr>
                        <m:ctrlPr>
                          <w:rPr>
                            <w:rFonts w:ascii="Cambria Math" w:hAnsi="Cambria Math"/>
                          </w:rPr>
                        </m:ctrlPr>
                      </m:sSubPr>
                      <m:e>
                        <m:r>
                          <w:rPr>
                            <w:rFonts w:ascii="Cambria Math" w:hAnsi="Cambria Math"/>
                          </w:rPr>
                          <m:t>h</m:t>
                        </m:r>
                      </m:e>
                      <m:sub>
                        <m:r>
                          <m:rPr>
                            <m:sty m:val="p"/>
                          </m:rPr>
                          <w:rPr>
                            <w:rFonts w:ascii="Cambria Math" w:hAnsi="Cambria Math"/>
                          </w:rPr>
                          <m:t>F</m:t>
                        </m:r>
                      </m:sub>
                    </m:sSub>
                  </m:num>
                  <m:den>
                    <m:sSub>
                      <m:sSubPr>
                        <m:ctrlPr>
                          <w:rPr>
                            <w:rFonts w:ascii="Cambria Math" w:hAnsi="Cambria Math"/>
                          </w:rPr>
                        </m:ctrlPr>
                      </m:sSubPr>
                      <m:e>
                        <m:r>
                          <w:rPr>
                            <w:rFonts w:ascii="Cambria Math" w:hAnsi="Cambria Math"/>
                          </w:rPr>
                          <m:t>a</m:t>
                        </m:r>
                      </m:e>
                      <m:sub>
                        <m:r>
                          <m:rPr>
                            <m:sty m:val="p"/>
                          </m:rPr>
                          <w:rPr>
                            <w:rFonts w:ascii="Cambria Math" w:hAnsi="Cambria Math"/>
                          </w:rPr>
                          <m:t>F</m:t>
                        </m:r>
                      </m:sub>
                    </m:sSub>
                  </m:den>
                </m:f>
                <m:r>
                  <w:rPr>
                    <w:rFonts w:ascii="Cambria Math" w:hAnsi="Cambria Math"/>
                  </w:rPr>
                  <m:t>≥2</m:t>
                </m:r>
              </m:oMath>
            </m:oMathPara>
          </w:p>
        </w:tc>
        <w:tc>
          <w:tcPr>
            <w:tcW w:w="1247" w:type="dxa"/>
            <w:vAlign w:val="center"/>
          </w:tcPr>
          <w:p w14:paraId="4EA2A2C9" w14:textId="5639513C" w:rsidR="00FF4409" w:rsidRPr="001455DC" w:rsidRDefault="00FF4409" w:rsidP="008C277A">
            <w:pPr>
              <w:pStyle w:val="a7"/>
              <w:jc w:val="right"/>
            </w:pPr>
            <w:r w:rsidRPr="001455DC">
              <w:t>(14.14)</w:t>
            </w:r>
          </w:p>
        </w:tc>
      </w:tr>
    </w:tbl>
    <w:p w14:paraId="7788B3E8" w14:textId="465D74D1" w:rsidR="00FF4409" w:rsidRPr="001455DC" w:rsidRDefault="004E22C1"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FF4409" w:rsidRPr="001455DC" w14:paraId="435C3C73" w14:textId="77777777" w:rsidTr="008C277A">
        <w:trPr>
          <w:cantSplit/>
        </w:trPr>
        <w:tc>
          <w:tcPr>
            <w:tcW w:w="567" w:type="dxa"/>
          </w:tcPr>
          <w:p w14:paraId="526ABA06" w14:textId="44BF77F7" w:rsidR="00FF4409" w:rsidRPr="001455DC" w:rsidRDefault="00FF4409" w:rsidP="008C277A">
            <w:pPr>
              <w:pStyle w:val="Tablebody"/>
            </w:pPr>
            <w:r w:rsidRPr="001455DC">
              <w:rPr>
                <w:rStyle w:val="CCMCvariableitalic"/>
              </w:rPr>
              <w:t>h</w:t>
            </w:r>
            <w:r w:rsidRPr="001455DC">
              <w:rPr>
                <w:rStyle w:val="CCMCvariablesubscript"/>
              </w:rPr>
              <w:t>F</w:t>
            </w:r>
          </w:p>
        </w:tc>
        <w:tc>
          <w:tcPr>
            <w:tcW w:w="8845" w:type="dxa"/>
          </w:tcPr>
          <w:p w14:paraId="636F6400" w14:textId="72CF459E" w:rsidR="00FF4409" w:rsidRPr="001455DC" w:rsidRDefault="00FF4409" w:rsidP="008C277A">
            <w:pPr>
              <w:pStyle w:val="Tablebody"/>
            </w:pPr>
            <w:r w:rsidRPr="001455DC">
              <w:t>is the footing depth;</w:t>
            </w:r>
          </w:p>
        </w:tc>
      </w:tr>
      <w:tr w:rsidR="00FF4409" w:rsidRPr="001455DC" w14:paraId="0A203058" w14:textId="77777777" w:rsidTr="008C277A">
        <w:trPr>
          <w:cantSplit/>
        </w:trPr>
        <w:tc>
          <w:tcPr>
            <w:tcW w:w="567" w:type="dxa"/>
          </w:tcPr>
          <w:p w14:paraId="4487E98F" w14:textId="2AFA1E26" w:rsidR="00FF4409" w:rsidRPr="001455DC" w:rsidRDefault="00FF4409" w:rsidP="008C277A">
            <w:pPr>
              <w:pStyle w:val="Tablebody"/>
            </w:pPr>
            <w:r w:rsidRPr="001455DC">
              <w:rPr>
                <w:rStyle w:val="CCMCvariableitalic"/>
              </w:rPr>
              <w:t>a</w:t>
            </w:r>
            <w:r w:rsidRPr="001455DC">
              <w:rPr>
                <w:rStyle w:val="CCMCvariablesubscript"/>
              </w:rPr>
              <w:t>F</w:t>
            </w:r>
          </w:p>
        </w:tc>
        <w:tc>
          <w:tcPr>
            <w:tcW w:w="8845" w:type="dxa"/>
          </w:tcPr>
          <w:p w14:paraId="2D17EE5D" w14:textId="316409B7" w:rsidR="00FF4409" w:rsidRPr="001455DC" w:rsidRDefault="00FF4409" w:rsidP="008C277A">
            <w:pPr>
              <w:pStyle w:val="Tablebody"/>
            </w:pPr>
            <w:r w:rsidRPr="001455DC">
              <w:t>is the distance from the footing edge to the column face (see Figure 14.2);</w:t>
            </w:r>
          </w:p>
        </w:tc>
      </w:tr>
      <w:tr w:rsidR="00FF4409" w:rsidRPr="001455DC" w14:paraId="0A93905D" w14:textId="77777777" w:rsidTr="008C277A">
        <w:trPr>
          <w:cantSplit/>
        </w:trPr>
        <w:tc>
          <w:tcPr>
            <w:tcW w:w="567" w:type="dxa"/>
          </w:tcPr>
          <w:p w14:paraId="0FEB492F" w14:textId="560B9DE1" w:rsidR="00FF4409" w:rsidRPr="001455DC" w:rsidRDefault="00FF4409" w:rsidP="008C277A">
            <w:pPr>
              <w:pStyle w:val="Tablebody"/>
            </w:pPr>
            <w:r w:rsidRPr="001455DC">
              <w:rPr>
                <w:rStyle w:val="CCMCvariableitalic"/>
              </w:rPr>
              <w:t>σ</w:t>
            </w:r>
            <w:r w:rsidRPr="001455DC">
              <w:rPr>
                <w:rStyle w:val="CCMCvariablesubscript"/>
              </w:rPr>
              <w:t>gd</w:t>
            </w:r>
          </w:p>
        </w:tc>
        <w:tc>
          <w:tcPr>
            <w:tcW w:w="8845" w:type="dxa"/>
          </w:tcPr>
          <w:p w14:paraId="50633FCE" w14:textId="35537C40" w:rsidR="00FF4409" w:rsidRPr="001455DC" w:rsidRDefault="00FF4409" w:rsidP="008C277A">
            <w:pPr>
              <w:pStyle w:val="Tablebody"/>
            </w:pPr>
            <w:r w:rsidRPr="001455DC">
              <w:t>is the design value of ground pressure.</w:t>
            </w:r>
          </w:p>
        </w:tc>
      </w:tr>
    </w:tbl>
    <w:p w14:paraId="77E671F4" w14:textId="5C128F74" w:rsidR="004E22C1" w:rsidRPr="001455DC" w:rsidRDefault="00723CF7" w:rsidP="002540CA">
      <w:pPr>
        <w:pStyle w:val="FigureImage"/>
      </w:pPr>
      <w:r>
        <w:rPr>
          <w:noProof/>
          <w:lang w:eastAsia="en-GB"/>
        </w:rPr>
        <w:fldChar w:fldCharType="begin"/>
      </w:r>
      <w:r>
        <w:rPr>
          <w:noProof/>
          <w:lang w:eastAsia="en-GB"/>
        </w:rPr>
        <w:instrText xml:space="preserve"> INCLUDEPICTURE  "Y:\\STD_MGT\\STDDEL\\PRODUCTION\\etrans\\Download\\Z_FIRST_DEL\\SV\\00250\\00250269\\41_e_dr\\14_002.tif"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"Y:\\STD_MGT\\STDDEL\\PRODUCTION\\Standards\\00250\\269\\41_e_dr\\14_002.tif"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"Y:\\STD_MGT\\STDDEL\\PRODUCTION\\Standards\\00250\\269\\41_e_dr\\14_002.tif"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"Y:\\STD_MGT\\STDDEL\\PRODUCTION\\Standards\\00250\\269\\41_e_dr\\14_002.tif"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"Y:\\STD_MGT\\STDDEL\\PRODUCTION\\Standards\\00250\\269\\41_e_dr\\14_002.tif"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"Y:\\STD_MGT\\STDDEL\\PRODUCTION\\Standards\\00250\\269\\41_e_dr\\14_002.tif"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"C:\\Users\\a.dionysiou\\AppData\\Local\\Temp\\Temp1_00250269_e_20210902.zip.zip\\41_e_dr\\14_002.tif"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01F6538B">
          <v:shape id="_x0000_i1296" type="#_x0000_t75" style="width:99pt;height:138.75pt">
            <v:imagedata r:id="rId562" r:href="rId563"/>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5EAE88B6" w14:textId="77777777" w:rsidR="004E22C1" w:rsidRPr="001455DC" w:rsidRDefault="004E22C1" w:rsidP="002540CA">
      <w:pPr>
        <w:pStyle w:val="Figuretitle"/>
      </w:pPr>
      <w:r w:rsidRPr="001455DC">
        <w:t>Figure 14.2 — Unreinforced pad footings; notations</w:t>
      </w:r>
    </w:p>
    <w:p w14:paraId="68BF9DAF" w14:textId="52EBAA1C" w:rsidR="004E22C1" w:rsidRPr="001455DC" w:rsidRDefault="002951BB" w:rsidP="002951BB">
      <w:pPr>
        <w:pStyle w:val="ANNEX"/>
      </w:pPr>
      <w:bookmarkStart w:id="1280" w:name="_Toc52820125"/>
      <w:r w:rsidRPr="001455DC">
        <w:br/>
      </w:r>
      <w:bookmarkStart w:id="1281" w:name="_Toc54337132"/>
      <w:bookmarkStart w:id="1282" w:name="_Toc54337523"/>
      <w:bookmarkStart w:id="1283" w:name="_Toc54338181"/>
      <w:bookmarkStart w:id="1284" w:name="_Toc67565514"/>
      <w:r w:rsidR="004E22C1" w:rsidRPr="001455DC">
        <w:rPr>
          <w:b w:val="0"/>
        </w:rPr>
        <w:t>(normative)</w:t>
      </w:r>
      <w:r w:rsidRPr="001455DC">
        <w:rPr>
          <w:b w:val="0"/>
        </w:rPr>
        <w:br/>
      </w:r>
      <w:r w:rsidRPr="001455DC">
        <w:br/>
      </w:r>
      <w:r w:rsidR="004E22C1" w:rsidRPr="001455DC">
        <w:t>A</w:t>
      </w:r>
      <w:r w:rsidRPr="001455DC">
        <w:t>djustment</w:t>
      </w:r>
      <w:r w:rsidR="004E22C1" w:rsidRPr="001455DC">
        <w:t xml:space="preserve"> of partial factors for material</w:t>
      </w:r>
      <w:r w:rsidRPr="001455DC">
        <w:t>s</w:t>
      </w:r>
      <w:bookmarkEnd w:id="1280"/>
      <w:bookmarkEnd w:id="1281"/>
      <w:bookmarkEnd w:id="1282"/>
      <w:bookmarkEnd w:id="1283"/>
      <w:bookmarkEnd w:id="1284"/>
    </w:p>
    <w:p w14:paraId="0A81D275" w14:textId="17B25267" w:rsidR="007C3199" w:rsidRPr="009D3012" w:rsidRDefault="007C3199" w:rsidP="00082680">
      <w:pPr>
        <w:pStyle w:val="a2"/>
      </w:pPr>
      <w:bookmarkStart w:id="1285" w:name="_Toc56582604"/>
      <w:bookmarkStart w:id="1286" w:name="_Toc56595655"/>
      <w:bookmarkStart w:id="1287" w:name="_Toc67565515"/>
      <w:bookmarkEnd w:id="1285"/>
      <w:bookmarkEnd w:id="1286"/>
      <w:r w:rsidRPr="009D3012">
        <w:t>Use of this annex</w:t>
      </w:r>
      <w:bookmarkEnd w:id="1287"/>
    </w:p>
    <w:p w14:paraId="317399E9" w14:textId="77777777" w:rsidR="007C3199" w:rsidRPr="009D3012" w:rsidRDefault="007C3199" w:rsidP="009D3012">
      <w:pPr>
        <w:pStyle w:val="a7"/>
      </w:pPr>
      <w:r w:rsidRPr="009D3012">
        <w:t xml:space="preserve">(1) This Normative Annex contains information on the basis of the recommended partial factors for materials and provisions for adjustment of partial factors for materials for different reliability levels. </w:t>
      </w:r>
    </w:p>
    <w:p w14:paraId="3AE45D75" w14:textId="12ECF62A" w:rsidR="007C3199" w:rsidRPr="009D3012" w:rsidRDefault="007C3199" w:rsidP="00082680">
      <w:pPr>
        <w:pStyle w:val="a2"/>
      </w:pPr>
      <w:bookmarkStart w:id="1288" w:name="_Toc67565516"/>
      <w:r w:rsidRPr="009D3012">
        <w:t>Scope and fields of application</w:t>
      </w:r>
      <w:bookmarkEnd w:id="1288"/>
    </w:p>
    <w:p w14:paraId="65E214DD" w14:textId="77777777" w:rsidR="007C3199" w:rsidRPr="009D3012" w:rsidRDefault="007C3199" w:rsidP="009D3012">
      <w:pPr>
        <w:pStyle w:val="a7"/>
      </w:pPr>
      <w:r w:rsidRPr="009D3012">
        <w:t xml:space="preserve">(1) This Normative Annex applies to all clauses and annexes of this standard. </w:t>
      </w:r>
    </w:p>
    <w:p w14:paraId="055A3E78" w14:textId="39F03063" w:rsidR="007C3199" w:rsidRPr="009D3012" w:rsidRDefault="007C3199" w:rsidP="00082680">
      <w:pPr>
        <w:pStyle w:val="a2"/>
      </w:pPr>
      <w:r w:rsidRPr="009D3012">
        <w:tab/>
      </w:r>
      <w:bookmarkStart w:id="1289" w:name="_Toc67565517"/>
      <w:r w:rsidRPr="009D3012">
        <w:t>General</w:t>
      </w:r>
      <w:bookmarkEnd w:id="1289"/>
    </w:p>
    <w:p w14:paraId="07A1D12D" w14:textId="3E55BE5A" w:rsidR="004E22C1" w:rsidRPr="001455DC" w:rsidRDefault="00676AF3" w:rsidP="009D3012">
      <w:pPr>
        <w:pStyle w:val="a7"/>
        <w:keepNext/>
      </w:pPr>
      <w:r w:rsidRPr="001455DC">
        <w:t xml:space="preserve">(1) </w:t>
      </w:r>
      <w:r w:rsidR="004E22C1" w:rsidRPr="001455DC">
        <w:t xml:space="preserve">The partial factors for materials given in Table 4.3(NDP) may be adjusted according to this </w:t>
      </w:r>
      <w:r w:rsidRPr="001455DC">
        <w:t xml:space="preserve">Annex A </w:t>
      </w:r>
      <w:r w:rsidR="004E22C1" w:rsidRPr="001455DC">
        <w:t>if at least one of the conditions defined in Table A.1(NDP) applies.</w:t>
      </w:r>
    </w:p>
    <w:p w14:paraId="1A4C634D" w14:textId="77777777" w:rsidR="009D6383" w:rsidRPr="001455DC" w:rsidRDefault="009D6383" w:rsidP="009D6383">
      <w:pPr>
        <w:pStyle w:val="a7"/>
        <w:keepNext/>
      </w:pPr>
      <w:r w:rsidRPr="001455DC">
        <w:rPr>
          <w:lang w:eastAsia="ja-JP"/>
        </w:rPr>
        <w:t>(3)</w:t>
      </w:r>
      <w:r w:rsidRPr="001455DC">
        <w:rPr>
          <w:lang w:eastAsia="ja-JP"/>
        </w:rPr>
        <w:tab/>
      </w:r>
      <w:r w:rsidRPr="001455DC">
        <w:t>If there is an evidence that the actual statistical data of at least one of following variables:</w:t>
      </w:r>
    </w:p>
    <w:p w14:paraId="7F8A375E" w14:textId="77777777" w:rsidR="009D6383" w:rsidRPr="001455DC" w:rsidRDefault="009D6383" w:rsidP="00082680">
      <w:pPr>
        <w:pStyle w:val="a0"/>
        <w:keepNext/>
        <w:numPr>
          <w:ilvl w:val="0"/>
          <w:numId w:val="56"/>
        </w:numPr>
      </w:pPr>
      <w:r w:rsidRPr="001455DC">
        <w:t>material strength,</w:t>
      </w:r>
    </w:p>
    <w:p w14:paraId="747B0C67" w14:textId="77777777" w:rsidR="009D6383" w:rsidRPr="001455DC" w:rsidRDefault="009D6383" w:rsidP="00082680">
      <w:pPr>
        <w:pStyle w:val="a0"/>
        <w:keepNext/>
        <w:numPr>
          <w:ilvl w:val="0"/>
          <w:numId w:val="56"/>
        </w:numPr>
      </w:pPr>
      <w:r w:rsidRPr="001455DC">
        <w:t>dominant geometrical value or</w:t>
      </w:r>
    </w:p>
    <w:p w14:paraId="2F97C3FB" w14:textId="77777777" w:rsidR="009D6383" w:rsidRPr="001455DC" w:rsidRDefault="009D6383" w:rsidP="00082680">
      <w:pPr>
        <w:pStyle w:val="a0"/>
        <w:numPr>
          <w:ilvl w:val="0"/>
          <w:numId w:val="56"/>
        </w:numPr>
      </w:pPr>
      <w:r w:rsidRPr="001455DC">
        <w:t>model uncertainty</w:t>
      </w:r>
    </w:p>
    <w:p w14:paraId="73E7A952" w14:textId="5D0EC571" w:rsidR="00676AF3" w:rsidRPr="009D3012" w:rsidRDefault="009D6383" w:rsidP="009D3012">
      <w:pPr>
        <w:jc w:val="left"/>
        <w:rPr>
          <w:rFonts w:cs="Arial"/>
        </w:rPr>
      </w:pPr>
      <w:r w:rsidRPr="009D3012">
        <w:t>is more unfavourable than the values defined in Table A.2, the partial factors for materials given in Table 4.3(NDP) shall be adapted according to (3).</w:t>
      </w:r>
    </w:p>
    <w:p w14:paraId="5035E307" w14:textId="0830B3CF" w:rsidR="004E22C1" w:rsidRPr="001455DC" w:rsidRDefault="004E22C1" w:rsidP="00994AC0">
      <w:pPr>
        <w:pStyle w:val="Tabletitle"/>
      </w:pPr>
      <w:bookmarkStart w:id="1290" w:name="_Toc54337524"/>
      <w:r w:rsidRPr="001455DC">
        <w:t>Table A.1</w:t>
      </w:r>
      <w:r w:rsidR="00676AF3" w:rsidRPr="001455DC">
        <w:t>a</w:t>
      </w:r>
      <w:r w:rsidRPr="001455DC">
        <w:t xml:space="preserve"> (NDP) — Values of adjusted material factors</w:t>
      </w:r>
      <w:bookmarkEnd w:id="1290"/>
      <w:r w:rsidR="00676AF3" w:rsidRPr="001455DC">
        <w:t xml:space="preserve"> - General</w:t>
      </w:r>
    </w:p>
    <w:tbl>
      <w:tblPr>
        <w:tblStyle w:val="53"/>
        <w:tblW w:w="9752" w:type="dxa"/>
        <w:tblLayout w:type="fixed"/>
        <w:tblCellMar>
          <w:left w:w="71" w:type="dxa"/>
          <w:right w:w="71" w:type="dxa"/>
        </w:tblCellMar>
        <w:tblLook w:val="0660" w:firstRow="1" w:lastRow="1" w:firstColumn="0" w:lastColumn="0" w:noHBand="1" w:noVBand="1"/>
      </w:tblPr>
      <w:tblGrid>
        <w:gridCol w:w="5087"/>
        <w:gridCol w:w="676"/>
        <w:gridCol w:w="717"/>
        <w:gridCol w:w="790"/>
        <w:gridCol w:w="11"/>
        <w:gridCol w:w="776"/>
        <w:gridCol w:w="717"/>
        <w:gridCol w:w="978"/>
      </w:tblGrid>
      <w:tr w:rsidR="004E22C1" w:rsidRPr="001455DC" w14:paraId="6AD459A1" w14:textId="77777777" w:rsidTr="00994AC0">
        <w:trPr>
          <w:cnfStyle w:val="100000000000" w:firstRow="1" w:lastRow="0" w:firstColumn="0" w:lastColumn="0" w:oddVBand="0" w:evenVBand="0" w:oddHBand="0" w:evenHBand="0" w:firstRowFirstColumn="0" w:firstRowLastColumn="0" w:lastRowFirstColumn="0" w:lastRowLastColumn="0"/>
          <w:cantSplit/>
          <w:tblHeader/>
        </w:trPr>
        <w:tc>
          <w:tcPr>
            <w:tcW w:w="5027" w:type="dxa"/>
            <w:vMerge w:val="restart"/>
          </w:tcPr>
          <w:p w14:paraId="3E5355AA" w14:textId="63C0DC3E" w:rsidR="004E22C1" w:rsidRPr="009D3012" w:rsidRDefault="004E22C1">
            <w:pPr>
              <w:pStyle w:val="Tableheader-"/>
              <w:keepNext/>
              <w:keepLines/>
              <w:rPr>
                <w:lang w:val="en-US"/>
              </w:rPr>
            </w:pPr>
            <w:r w:rsidRPr="009D3012">
              <w:rPr>
                <w:lang w:val="en-US"/>
              </w:rPr>
              <w:t xml:space="preserve">Condition for </w:t>
            </w:r>
            <w:r w:rsidR="00676AF3" w:rsidRPr="009D3012">
              <w:rPr>
                <w:lang w:val="en-US"/>
              </w:rPr>
              <w:t xml:space="preserve">adjusted </w:t>
            </w:r>
            <w:r w:rsidRPr="009D3012">
              <w:rPr>
                <w:lang w:val="en-US"/>
              </w:rPr>
              <w:t>material factor</w:t>
            </w:r>
            <w:r w:rsidR="00676AF3" w:rsidRPr="009D3012">
              <w:rPr>
                <w:lang w:val="en-US"/>
              </w:rPr>
              <w:t>s</w:t>
            </w:r>
          </w:p>
        </w:tc>
        <w:tc>
          <w:tcPr>
            <w:tcW w:w="2158" w:type="dxa"/>
            <w:gridSpan w:val="3"/>
          </w:tcPr>
          <w:p w14:paraId="1E0A3799" w14:textId="77777777" w:rsidR="004E22C1" w:rsidRPr="001455DC" w:rsidRDefault="004E22C1" w:rsidP="00994AC0">
            <w:pPr>
              <w:pStyle w:val="Tableheader-"/>
              <w:keepNext/>
              <w:keepLines/>
            </w:pPr>
            <w:r w:rsidRPr="001455DC">
              <w:t>persistent and transient design situations</w:t>
            </w:r>
          </w:p>
        </w:tc>
        <w:tc>
          <w:tcPr>
            <w:tcW w:w="2454" w:type="dxa"/>
            <w:gridSpan w:val="4"/>
          </w:tcPr>
          <w:p w14:paraId="09039E16" w14:textId="77777777" w:rsidR="004E22C1" w:rsidRPr="009D3012" w:rsidRDefault="004E22C1" w:rsidP="00994AC0">
            <w:pPr>
              <w:pStyle w:val="Tableheader-"/>
              <w:keepNext/>
              <w:keepLines/>
              <w:rPr>
                <w:rStyle w:val="CCMCvariableitalic"/>
              </w:rPr>
            </w:pPr>
            <w:r w:rsidRPr="009D3012">
              <w:t>accidental design situations</w:t>
            </w:r>
          </w:p>
        </w:tc>
      </w:tr>
      <w:tr w:rsidR="004E22C1" w:rsidRPr="001455DC" w14:paraId="558B51DD" w14:textId="77777777" w:rsidTr="00994AC0">
        <w:trPr>
          <w:cnfStyle w:val="100000000000" w:firstRow="1" w:lastRow="0" w:firstColumn="0" w:lastColumn="0" w:oddVBand="0" w:evenVBand="0" w:oddHBand="0" w:evenHBand="0" w:firstRowFirstColumn="0" w:firstRowLastColumn="0" w:lastRowFirstColumn="0" w:lastRowLastColumn="0"/>
          <w:cantSplit/>
          <w:tblHeader/>
        </w:trPr>
        <w:tc>
          <w:tcPr>
            <w:tcW w:w="5027" w:type="dxa"/>
            <w:vMerge/>
          </w:tcPr>
          <w:p w14:paraId="6F7F52B2" w14:textId="77777777" w:rsidR="004E22C1" w:rsidRPr="001455DC" w:rsidRDefault="004E22C1" w:rsidP="00994AC0">
            <w:pPr>
              <w:pStyle w:val="Tableheader-"/>
              <w:keepNext/>
              <w:keepLines/>
            </w:pPr>
          </w:p>
        </w:tc>
        <w:tc>
          <w:tcPr>
            <w:tcW w:w="668" w:type="dxa"/>
          </w:tcPr>
          <w:p w14:paraId="0294755F" w14:textId="11391196" w:rsidR="004E22C1" w:rsidRPr="001455DC" w:rsidRDefault="004E22C1" w:rsidP="00994AC0">
            <w:pPr>
              <w:pStyle w:val="Tableheader-"/>
              <w:keepNext/>
              <w:keepLines/>
              <w:rPr>
                <w:b w:val="0"/>
                <w:i/>
              </w:rPr>
            </w:pPr>
            <w:r w:rsidRPr="001455DC">
              <w:rPr>
                <w:rStyle w:val="CCMCvariableitalic"/>
                <w:b w:val="0"/>
              </w:rPr>
              <w:t>γ</w:t>
            </w:r>
            <w:r w:rsidRPr="001455DC">
              <w:rPr>
                <w:rStyle w:val="CCMCvariablesubscript"/>
                <w:b w:val="0"/>
              </w:rPr>
              <w:t>S</w:t>
            </w:r>
          </w:p>
        </w:tc>
        <w:tc>
          <w:tcPr>
            <w:tcW w:w="709" w:type="dxa"/>
          </w:tcPr>
          <w:p w14:paraId="146776FC" w14:textId="77777777" w:rsidR="004E22C1" w:rsidRPr="001455DC" w:rsidRDefault="004E22C1" w:rsidP="00994AC0">
            <w:pPr>
              <w:pStyle w:val="Tableheader-"/>
              <w:keepNext/>
              <w:keepLines/>
              <w:rPr>
                <w:b w:val="0"/>
                <w:i/>
              </w:rPr>
            </w:pPr>
            <w:r w:rsidRPr="001455DC">
              <w:rPr>
                <w:rStyle w:val="CCMCvariableitalic"/>
                <w:b w:val="0"/>
              </w:rPr>
              <w:t>γ</w:t>
            </w:r>
            <w:r w:rsidRPr="001455DC">
              <w:rPr>
                <w:rStyle w:val="CCMCvariablesubscript"/>
                <w:b w:val="0"/>
              </w:rPr>
              <w:t>C</w:t>
            </w:r>
          </w:p>
        </w:tc>
        <w:tc>
          <w:tcPr>
            <w:tcW w:w="781" w:type="dxa"/>
          </w:tcPr>
          <w:p w14:paraId="604C613D" w14:textId="77777777" w:rsidR="004E22C1" w:rsidRPr="001455DC" w:rsidRDefault="004E22C1" w:rsidP="00994AC0">
            <w:pPr>
              <w:pStyle w:val="Tableheader-"/>
              <w:keepNext/>
              <w:keepLines/>
              <w:rPr>
                <w:b w:val="0"/>
                <w:i/>
              </w:rPr>
            </w:pPr>
            <w:r w:rsidRPr="001455DC">
              <w:rPr>
                <w:rStyle w:val="CCMCvariableitalic"/>
                <w:b w:val="0"/>
              </w:rPr>
              <w:t>γ</w:t>
            </w:r>
            <w:r w:rsidRPr="001455DC">
              <w:rPr>
                <w:rStyle w:val="CCMCvariablesubscript"/>
                <w:b w:val="0"/>
              </w:rPr>
              <w:t>V</w:t>
            </w:r>
          </w:p>
        </w:tc>
        <w:tc>
          <w:tcPr>
            <w:tcW w:w="778" w:type="dxa"/>
            <w:gridSpan w:val="2"/>
          </w:tcPr>
          <w:p w14:paraId="6D3B3AC6" w14:textId="77777777" w:rsidR="004E22C1" w:rsidRPr="001455DC" w:rsidRDefault="004E22C1" w:rsidP="00994AC0">
            <w:pPr>
              <w:pStyle w:val="Tableheader-"/>
              <w:keepNext/>
              <w:keepLines/>
              <w:rPr>
                <w:b w:val="0"/>
                <w:i/>
              </w:rPr>
            </w:pPr>
            <w:r w:rsidRPr="001455DC">
              <w:rPr>
                <w:rStyle w:val="CCMCvariableitalic"/>
                <w:b w:val="0"/>
              </w:rPr>
              <w:t>γ</w:t>
            </w:r>
            <w:r w:rsidRPr="001455DC">
              <w:rPr>
                <w:rStyle w:val="CCMCvariablesubscript"/>
                <w:b w:val="0"/>
              </w:rPr>
              <w:t>S</w:t>
            </w:r>
          </w:p>
        </w:tc>
        <w:tc>
          <w:tcPr>
            <w:tcW w:w="709" w:type="dxa"/>
          </w:tcPr>
          <w:p w14:paraId="144AA110" w14:textId="77777777" w:rsidR="004E22C1" w:rsidRPr="001455DC" w:rsidRDefault="004E22C1" w:rsidP="00994AC0">
            <w:pPr>
              <w:pStyle w:val="Tableheader-"/>
              <w:keepNext/>
              <w:keepLines/>
              <w:rPr>
                <w:b w:val="0"/>
                <w:i/>
              </w:rPr>
            </w:pPr>
            <w:r w:rsidRPr="001455DC">
              <w:rPr>
                <w:rStyle w:val="CCMCvariableitalic"/>
                <w:b w:val="0"/>
              </w:rPr>
              <w:t>γ</w:t>
            </w:r>
            <w:r w:rsidRPr="001455DC">
              <w:rPr>
                <w:rStyle w:val="CCMCvariablesubscript"/>
                <w:b w:val="0"/>
              </w:rPr>
              <w:t>C</w:t>
            </w:r>
          </w:p>
        </w:tc>
        <w:tc>
          <w:tcPr>
            <w:tcW w:w="967" w:type="dxa"/>
          </w:tcPr>
          <w:p w14:paraId="0E11A248" w14:textId="77777777" w:rsidR="004E22C1" w:rsidRPr="009D3012" w:rsidRDefault="004E22C1" w:rsidP="00994AC0">
            <w:pPr>
              <w:pStyle w:val="Tableheader-"/>
              <w:keepNext/>
              <w:keepLines/>
              <w:rPr>
                <w:rStyle w:val="CCMCvariableitalic"/>
                <w:b w:val="0"/>
              </w:rPr>
            </w:pPr>
            <w:r w:rsidRPr="001455DC">
              <w:rPr>
                <w:rStyle w:val="CCMCvariableitalic"/>
                <w:b w:val="0"/>
              </w:rPr>
              <w:t>γ</w:t>
            </w:r>
            <w:r w:rsidRPr="001455DC">
              <w:rPr>
                <w:rStyle w:val="CCMCvariablesubscript"/>
                <w:b w:val="0"/>
              </w:rPr>
              <w:t>V</w:t>
            </w:r>
          </w:p>
        </w:tc>
      </w:tr>
      <w:tr w:rsidR="004E22C1" w:rsidRPr="001455DC" w14:paraId="7C44DCC3" w14:textId="77777777" w:rsidTr="00994AC0">
        <w:trPr>
          <w:cantSplit/>
        </w:trPr>
        <w:tc>
          <w:tcPr>
            <w:tcW w:w="5027" w:type="dxa"/>
            <w:vMerge w:val="restart"/>
            <w:vAlign w:val="center"/>
          </w:tcPr>
          <w:p w14:paraId="5CD05D7B" w14:textId="05174518" w:rsidR="004E22C1" w:rsidRPr="009D3012" w:rsidRDefault="004E22C1" w:rsidP="00994AC0">
            <w:pPr>
              <w:pStyle w:val="Tablebody-"/>
              <w:keepNext/>
              <w:keepLines/>
              <w:ind w:left="357" w:hanging="357"/>
              <w:jc w:val="left"/>
              <w:rPr>
                <w:szCs w:val="19"/>
                <w:lang w:val="en-US"/>
              </w:rPr>
            </w:pPr>
            <w:r w:rsidRPr="009D3012">
              <w:rPr>
                <w:szCs w:val="19"/>
                <w:lang w:val="en-US"/>
              </w:rPr>
              <w:t>a)</w:t>
            </w:r>
            <w:r w:rsidRPr="009D3012">
              <w:rPr>
                <w:szCs w:val="19"/>
                <w:lang w:val="en-US"/>
              </w:rPr>
              <w:tab/>
              <w:t>if the execution ensures that geometrical deviations of Tolerance Class 2 according to EN 13670 are fulfilled</w:t>
            </w:r>
          </w:p>
        </w:tc>
        <w:tc>
          <w:tcPr>
            <w:tcW w:w="668" w:type="dxa"/>
            <w:vAlign w:val="center"/>
          </w:tcPr>
          <w:p w14:paraId="409F1B7D" w14:textId="77777777" w:rsidR="004E22C1" w:rsidRPr="001455DC" w:rsidRDefault="004E22C1" w:rsidP="00994AC0">
            <w:pPr>
              <w:pStyle w:val="Tablebody-"/>
              <w:keepNext/>
              <w:keepLines/>
              <w:jc w:val="center"/>
            </w:pPr>
            <w:r w:rsidRPr="001455DC">
              <w:t>1,08</w:t>
            </w:r>
          </w:p>
        </w:tc>
        <w:tc>
          <w:tcPr>
            <w:tcW w:w="709" w:type="dxa"/>
            <w:vAlign w:val="center"/>
          </w:tcPr>
          <w:p w14:paraId="32EE6227" w14:textId="77777777" w:rsidR="004E22C1" w:rsidRPr="001455DC" w:rsidRDefault="004E22C1" w:rsidP="00994AC0">
            <w:pPr>
              <w:pStyle w:val="Tablebody-"/>
              <w:keepNext/>
              <w:keepLines/>
              <w:jc w:val="center"/>
            </w:pPr>
            <w:r w:rsidRPr="001455DC">
              <w:t>1,48</w:t>
            </w:r>
          </w:p>
        </w:tc>
        <w:tc>
          <w:tcPr>
            <w:tcW w:w="781" w:type="dxa"/>
            <w:vAlign w:val="center"/>
          </w:tcPr>
          <w:p w14:paraId="7E38408A" w14:textId="77777777" w:rsidR="004E22C1" w:rsidRPr="001455DC" w:rsidRDefault="004E22C1" w:rsidP="00994AC0">
            <w:pPr>
              <w:pStyle w:val="Tablebody-"/>
              <w:keepNext/>
              <w:keepLines/>
              <w:jc w:val="center"/>
            </w:pPr>
            <w:r w:rsidRPr="001455DC">
              <w:t>1,33</w:t>
            </w:r>
          </w:p>
        </w:tc>
        <w:tc>
          <w:tcPr>
            <w:tcW w:w="778" w:type="dxa"/>
            <w:gridSpan w:val="2"/>
            <w:vAlign w:val="center"/>
          </w:tcPr>
          <w:p w14:paraId="4F10EE2F" w14:textId="77777777" w:rsidR="004E22C1" w:rsidRPr="001455DC" w:rsidRDefault="004E22C1" w:rsidP="00994AC0">
            <w:pPr>
              <w:pStyle w:val="Tablebody-"/>
              <w:keepNext/>
              <w:keepLines/>
              <w:jc w:val="center"/>
            </w:pPr>
            <w:r w:rsidRPr="001455DC">
              <w:t>0,97</w:t>
            </w:r>
          </w:p>
        </w:tc>
        <w:tc>
          <w:tcPr>
            <w:tcW w:w="709" w:type="dxa"/>
            <w:vAlign w:val="center"/>
          </w:tcPr>
          <w:p w14:paraId="578E6B3F" w14:textId="77777777" w:rsidR="004E22C1" w:rsidRPr="001455DC" w:rsidRDefault="004E22C1" w:rsidP="00994AC0">
            <w:pPr>
              <w:pStyle w:val="Tablebody-"/>
              <w:keepNext/>
              <w:keepLines/>
              <w:jc w:val="center"/>
            </w:pPr>
            <w:r w:rsidRPr="001455DC">
              <w:t>1,15</w:t>
            </w:r>
          </w:p>
        </w:tc>
        <w:tc>
          <w:tcPr>
            <w:tcW w:w="967" w:type="dxa"/>
            <w:vAlign w:val="center"/>
          </w:tcPr>
          <w:p w14:paraId="0DB5387D" w14:textId="77777777" w:rsidR="004E22C1" w:rsidRPr="001455DC" w:rsidRDefault="004E22C1" w:rsidP="00994AC0">
            <w:pPr>
              <w:pStyle w:val="Tablebody-"/>
              <w:keepNext/>
              <w:keepLines/>
              <w:jc w:val="center"/>
            </w:pPr>
            <w:r w:rsidRPr="001455DC">
              <w:t>1,11</w:t>
            </w:r>
          </w:p>
        </w:tc>
      </w:tr>
      <w:tr w:rsidR="004E22C1" w:rsidRPr="001455DC" w14:paraId="42655E6C" w14:textId="77777777" w:rsidTr="00994AC0">
        <w:trPr>
          <w:cantSplit/>
        </w:trPr>
        <w:tc>
          <w:tcPr>
            <w:tcW w:w="5027" w:type="dxa"/>
            <w:vMerge/>
            <w:vAlign w:val="center"/>
          </w:tcPr>
          <w:p w14:paraId="78D61E5F" w14:textId="77777777" w:rsidR="004E22C1" w:rsidRPr="001455DC" w:rsidRDefault="004E22C1" w:rsidP="00994AC0">
            <w:pPr>
              <w:pStyle w:val="Tablebody-"/>
              <w:keepNext/>
              <w:keepLines/>
              <w:ind w:left="357" w:hanging="357"/>
              <w:jc w:val="left"/>
              <w:rPr>
                <w:szCs w:val="19"/>
              </w:rPr>
            </w:pPr>
          </w:p>
        </w:tc>
        <w:tc>
          <w:tcPr>
            <w:tcW w:w="4612" w:type="dxa"/>
            <w:gridSpan w:val="7"/>
            <w:vAlign w:val="center"/>
          </w:tcPr>
          <w:p w14:paraId="49581454" w14:textId="14569176" w:rsidR="004E22C1" w:rsidRPr="009D3012" w:rsidRDefault="004E22C1" w:rsidP="00994AC0">
            <w:pPr>
              <w:pStyle w:val="Tablebody-"/>
              <w:keepNext/>
              <w:keepLines/>
              <w:jc w:val="center"/>
              <w:rPr>
                <w:szCs w:val="19"/>
                <w:lang w:val="en-US"/>
              </w:rPr>
            </w:pPr>
            <w:r w:rsidRPr="009D3012">
              <w:rPr>
                <w:szCs w:val="19"/>
                <w:lang w:val="en-US"/>
              </w:rPr>
              <w:t>according to (</w:t>
            </w:r>
            <w:r w:rsidR="00676AF3" w:rsidRPr="009D3012">
              <w:rPr>
                <w:szCs w:val="19"/>
                <w:lang w:val="en-US"/>
              </w:rPr>
              <w:t>3</w:t>
            </w:r>
            <w:r w:rsidRPr="009D3012">
              <w:rPr>
                <w:szCs w:val="19"/>
                <w:lang w:val="en-US"/>
              </w:rPr>
              <w:t>) and (</w:t>
            </w:r>
            <w:r w:rsidR="00676AF3" w:rsidRPr="009D3012">
              <w:rPr>
                <w:szCs w:val="19"/>
                <w:lang w:val="en-US"/>
              </w:rPr>
              <w:t>3</w:t>
            </w:r>
            <w:r w:rsidRPr="009D3012">
              <w:rPr>
                <w:szCs w:val="19"/>
                <w:lang w:val="en-US"/>
              </w:rPr>
              <w:t>)</w:t>
            </w:r>
          </w:p>
          <w:p w14:paraId="5310B10F" w14:textId="77777777" w:rsidR="004E22C1" w:rsidRPr="009D3012" w:rsidRDefault="004E22C1" w:rsidP="00994AC0">
            <w:pPr>
              <w:pStyle w:val="Tablebody-"/>
              <w:keepNext/>
              <w:keepLines/>
              <w:jc w:val="center"/>
              <w:rPr>
                <w:lang w:val="en-US"/>
              </w:rPr>
            </w:pPr>
            <w:r w:rsidRPr="009D3012">
              <w:rPr>
                <w:szCs w:val="19"/>
                <w:lang w:val="en-US"/>
              </w:rPr>
              <w:t>if also other conditions are fulfilled</w:t>
            </w:r>
          </w:p>
        </w:tc>
      </w:tr>
      <w:tr w:rsidR="004E22C1" w:rsidRPr="001455DC" w14:paraId="45BE4831" w14:textId="77777777" w:rsidTr="00994AC0">
        <w:trPr>
          <w:cantSplit/>
        </w:trPr>
        <w:tc>
          <w:tcPr>
            <w:tcW w:w="5027" w:type="dxa"/>
            <w:vMerge w:val="restart"/>
            <w:vAlign w:val="center"/>
          </w:tcPr>
          <w:p w14:paraId="45E42422" w14:textId="58170F0B" w:rsidR="004E22C1" w:rsidRPr="009D3012" w:rsidRDefault="004E22C1">
            <w:pPr>
              <w:pStyle w:val="Tablebody-"/>
              <w:keepNext/>
              <w:keepLines/>
              <w:ind w:left="357" w:hanging="357"/>
              <w:jc w:val="left"/>
              <w:rPr>
                <w:lang w:val="en-US"/>
              </w:rPr>
            </w:pPr>
            <w:r w:rsidRPr="009D3012">
              <w:rPr>
                <w:lang w:val="en-US"/>
              </w:rPr>
              <w:t>b)</w:t>
            </w:r>
            <w:r w:rsidRPr="009D3012">
              <w:rPr>
                <w:lang w:val="en-US"/>
              </w:rPr>
              <w:tab/>
              <w:t>if the calculation of design resistance is based on the value of the dominant geometrical data measured in the finished structure and the CoV of the measurement is not larger than the values given in (</w:t>
            </w:r>
            <w:r w:rsidR="00676AF3" w:rsidRPr="009D3012">
              <w:rPr>
                <w:lang w:val="en-US"/>
              </w:rPr>
              <w:t>5</w:t>
            </w:r>
            <w:r w:rsidRPr="009D3012">
              <w:rPr>
                <w:lang w:val="en-US"/>
              </w:rPr>
              <w:t>)</w:t>
            </w:r>
          </w:p>
        </w:tc>
        <w:tc>
          <w:tcPr>
            <w:tcW w:w="668" w:type="dxa"/>
            <w:vAlign w:val="center"/>
          </w:tcPr>
          <w:p w14:paraId="5C4B1074" w14:textId="77777777" w:rsidR="004E22C1" w:rsidRPr="001455DC" w:rsidRDefault="004E22C1" w:rsidP="00994AC0">
            <w:pPr>
              <w:pStyle w:val="Tablebody-"/>
              <w:keepNext/>
              <w:keepLines/>
              <w:jc w:val="center"/>
            </w:pPr>
            <w:r w:rsidRPr="001455DC">
              <w:t>1,04</w:t>
            </w:r>
          </w:p>
        </w:tc>
        <w:tc>
          <w:tcPr>
            <w:tcW w:w="709" w:type="dxa"/>
            <w:vAlign w:val="center"/>
          </w:tcPr>
          <w:p w14:paraId="46C325C1" w14:textId="77777777" w:rsidR="004E22C1" w:rsidRPr="001455DC" w:rsidRDefault="004E22C1" w:rsidP="00994AC0">
            <w:pPr>
              <w:pStyle w:val="Tablebody-"/>
              <w:keepNext/>
              <w:keepLines/>
              <w:jc w:val="center"/>
            </w:pPr>
            <w:r w:rsidRPr="001455DC">
              <w:t>1,48</w:t>
            </w:r>
          </w:p>
        </w:tc>
        <w:tc>
          <w:tcPr>
            <w:tcW w:w="781" w:type="dxa"/>
            <w:vAlign w:val="center"/>
          </w:tcPr>
          <w:p w14:paraId="478C415E" w14:textId="77777777" w:rsidR="004E22C1" w:rsidRPr="001455DC" w:rsidRDefault="004E22C1" w:rsidP="00994AC0">
            <w:pPr>
              <w:pStyle w:val="Tablebody-"/>
              <w:keepNext/>
              <w:keepLines/>
              <w:jc w:val="center"/>
            </w:pPr>
            <w:r w:rsidRPr="001455DC">
              <w:t>1,29</w:t>
            </w:r>
          </w:p>
        </w:tc>
        <w:tc>
          <w:tcPr>
            <w:tcW w:w="778" w:type="dxa"/>
            <w:gridSpan w:val="2"/>
            <w:vAlign w:val="center"/>
          </w:tcPr>
          <w:p w14:paraId="6AB48E55" w14:textId="77777777" w:rsidR="004E22C1" w:rsidRPr="001455DC" w:rsidRDefault="004E22C1" w:rsidP="00994AC0">
            <w:pPr>
              <w:pStyle w:val="Tablebody-"/>
              <w:keepNext/>
              <w:keepLines/>
              <w:jc w:val="center"/>
            </w:pPr>
            <w:r w:rsidRPr="001455DC">
              <w:t>0,95</w:t>
            </w:r>
          </w:p>
        </w:tc>
        <w:tc>
          <w:tcPr>
            <w:tcW w:w="709" w:type="dxa"/>
            <w:vAlign w:val="center"/>
          </w:tcPr>
          <w:p w14:paraId="2BC55541" w14:textId="77777777" w:rsidR="004E22C1" w:rsidRPr="001455DC" w:rsidRDefault="004E22C1" w:rsidP="00994AC0">
            <w:pPr>
              <w:pStyle w:val="Tablebody-"/>
              <w:keepNext/>
              <w:keepLines/>
              <w:jc w:val="center"/>
            </w:pPr>
            <w:r w:rsidRPr="001455DC">
              <w:t>1,15</w:t>
            </w:r>
          </w:p>
        </w:tc>
        <w:tc>
          <w:tcPr>
            <w:tcW w:w="967" w:type="dxa"/>
            <w:vAlign w:val="center"/>
          </w:tcPr>
          <w:p w14:paraId="4C647A8D" w14:textId="77777777" w:rsidR="004E22C1" w:rsidRPr="001455DC" w:rsidRDefault="004E22C1" w:rsidP="00994AC0">
            <w:pPr>
              <w:pStyle w:val="Tablebody-"/>
              <w:keepNext/>
              <w:keepLines/>
              <w:jc w:val="center"/>
            </w:pPr>
            <w:r w:rsidRPr="001455DC">
              <w:t>1,08</w:t>
            </w:r>
          </w:p>
        </w:tc>
      </w:tr>
      <w:tr w:rsidR="004E22C1" w:rsidRPr="001455DC" w14:paraId="4CE8DFBB" w14:textId="77777777" w:rsidTr="00994AC0">
        <w:trPr>
          <w:cantSplit/>
        </w:trPr>
        <w:tc>
          <w:tcPr>
            <w:tcW w:w="5027" w:type="dxa"/>
            <w:vMerge/>
            <w:vAlign w:val="center"/>
          </w:tcPr>
          <w:p w14:paraId="2FE458E4" w14:textId="77777777" w:rsidR="004E22C1" w:rsidRPr="001455DC" w:rsidRDefault="004E22C1" w:rsidP="00994AC0">
            <w:pPr>
              <w:pStyle w:val="Tablebody-"/>
              <w:keepNext/>
              <w:keepLines/>
              <w:ind w:left="357" w:hanging="357"/>
              <w:jc w:val="left"/>
            </w:pPr>
          </w:p>
        </w:tc>
        <w:tc>
          <w:tcPr>
            <w:tcW w:w="4612" w:type="dxa"/>
            <w:gridSpan w:val="7"/>
            <w:vAlign w:val="center"/>
          </w:tcPr>
          <w:p w14:paraId="65A66ECA" w14:textId="77D1E967" w:rsidR="00994AC0" w:rsidRPr="009D3012" w:rsidRDefault="004E22C1" w:rsidP="00994AC0">
            <w:pPr>
              <w:pStyle w:val="Tablebody-"/>
              <w:keepNext/>
              <w:keepLines/>
              <w:jc w:val="center"/>
              <w:rPr>
                <w:szCs w:val="19"/>
                <w:lang w:val="en-US"/>
              </w:rPr>
            </w:pPr>
            <w:r w:rsidRPr="009D3012">
              <w:rPr>
                <w:szCs w:val="19"/>
                <w:lang w:val="en-US"/>
              </w:rPr>
              <w:t>according to (</w:t>
            </w:r>
            <w:r w:rsidR="00676AF3" w:rsidRPr="009D3012">
              <w:rPr>
                <w:szCs w:val="19"/>
                <w:lang w:val="en-US"/>
              </w:rPr>
              <w:t>3</w:t>
            </w:r>
            <w:r w:rsidRPr="009D3012">
              <w:rPr>
                <w:szCs w:val="19"/>
                <w:lang w:val="en-US"/>
              </w:rPr>
              <w:t>) and (</w:t>
            </w:r>
            <w:r w:rsidR="00676AF3" w:rsidRPr="009D3012">
              <w:rPr>
                <w:szCs w:val="19"/>
                <w:lang w:val="en-US"/>
              </w:rPr>
              <w:t>5</w:t>
            </w:r>
            <w:r w:rsidRPr="009D3012">
              <w:rPr>
                <w:szCs w:val="19"/>
                <w:lang w:val="en-US"/>
              </w:rPr>
              <w:t>)</w:t>
            </w:r>
          </w:p>
          <w:p w14:paraId="6632FB8B" w14:textId="55D19DFA" w:rsidR="004E22C1" w:rsidRPr="009D3012" w:rsidRDefault="004E22C1" w:rsidP="00994AC0">
            <w:pPr>
              <w:pStyle w:val="Tablebody-"/>
              <w:keepNext/>
              <w:keepLines/>
              <w:jc w:val="center"/>
              <w:rPr>
                <w:lang w:val="en-US"/>
              </w:rPr>
            </w:pPr>
            <w:r w:rsidRPr="009D3012">
              <w:rPr>
                <w:szCs w:val="19"/>
                <w:lang w:val="en-US"/>
              </w:rPr>
              <w:t>if also other conditions are fulfilled</w:t>
            </w:r>
          </w:p>
        </w:tc>
      </w:tr>
      <w:tr w:rsidR="004E22C1" w:rsidRPr="001455DC" w14:paraId="2FC1410B" w14:textId="77777777" w:rsidTr="00994AC0">
        <w:trPr>
          <w:cantSplit/>
        </w:trPr>
        <w:tc>
          <w:tcPr>
            <w:tcW w:w="5027" w:type="dxa"/>
            <w:vMerge w:val="restart"/>
            <w:vAlign w:val="center"/>
          </w:tcPr>
          <w:p w14:paraId="1CDBF9C7" w14:textId="4AF40782" w:rsidR="004E22C1" w:rsidRPr="009D3012" w:rsidRDefault="004E22C1">
            <w:pPr>
              <w:pStyle w:val="Tablebody-"/>
              <w:keepNext/>
              <w:keepLines/>
              <w:ind w:left="357" w:hanging="357"/>
              <w:jc w:val="left"/>
              <w:rPr>
                <w:lang w:val="en-US"/>
              </w:rPr>
            </w:pPr>
            <w:r w:rsidRPr="009D3012">
              <w:rPr>
                <w:lang w:val="en-US"/>
              </w:rPr>
              <w:t>c)</w:t>
            </w:r>
            <w:r w:rsidRPr="009D3012">
              <w:rPr>
                <w:lang w:val="en-US"/>
              </w:rPr>
              <w:tab/>
              <w:t>if the calculation of design resistance is based on the design value of the effective depth according to (</w:t>
            </w:r>
            <w:r w:rsidR="00676AF3" w:rsidRPr="009D3012">
              <w:rPr>
                <w:lang w:val="en-US"/>
              </w:rPr>
              <w:t>6</w:t>
            </w:r>
            <w:r w:rsidRPr="009D3012">
              <w:rPr>
                <w:lang w:val="en-US"/>
              </w:rPr>
              <w:t>)</w:t>
            </w:r>
          </w:p>
        </w:tc>
        <w:tc>
          <w:tcPr>
            <w:tcW w:w="668" w:type="dxa"/>
            <w:vAlign w:val="center"/>
          </w:tcPr>
          <w:p w14:paraId="3E0A0FE6" w14:textId="77777777" w:rsidR="004E22C1" w:rsidRPr="001455DC" w:rsidRDefault="004E22C1" w:rsidP="00994AC0">
            <w:pPr>
              <w:pStyle w:val="Tablebody-"/>
              <w:keepNext/>
              <w:keepLines/>
              <w:jc w:val="center"/>
            </w:pPr>
            <w:r w:rsidRPr="001455DC">
              <w:t>1,03</w:t>
            </w:r>
          </w:p>
        </w:tc>
        <w:tc>
          <w:tcPr>
            <w:tcW w:w="709" w:type="dxa"/>
            <w:vAlign w:val="center"/>
          </w:tcPr>
          <w:p w14:paraId="2310C4C5" w14:textId="77777777" w:rsidR="004E22C1" w:rsidRPr="001455DC" w:rsidRDefault="004E22C1" w:rsidP="00994AC0">
            <w:pPr>
              <w:pStyle w:val="Tablebody-"/>
              <w:keepNext/>
              <w:keepLines/>
              <w:jc w:val="center"/>
            </w:pPr>
            <w:r w:rsidRPr="001455DC">
              <w:t>–</w:t>
            </w:r>
          </w:p>
        </w:tc>
        <w:tc>
          <w:tcPr>
            <w:tcW w:w="792" w:type="dxa"/>
            <w:gridSpan w:val="2"/>
            <w:vAlign w:val="center"/>
          </w:tcPr>
          <w:p w14:paraId="555987B7" w14:textId="77777777" w:rsidR="004E22C1" w:rsidRPr="001455DC" w:rsidRDefault="004E22C1" w:rsidP="00994AC0">
            <w:pPr>
              <w:pStyle w:val="Tablebody-"/>
              <w:keepNext/>
              <w:keepLines/>
              <w:jc w:val="center"/>
            </w:pPr>
            <w:r w:rsidRPr="001455DC">
              <w:t>1,29</w:t>
            </w:r>
          </w:p>
        </w:tc>
        <w:tc>
          <w:tcPr>
            <w:tcW w:w="767" w:type="dxa"/>
            <w:vAlign w:val="center"/>
          </w:tcPr>
          <w:p w14:paraId="66B862A0" w14:textId="77777777" w:rsidR="004E22C1" w:rsidRPr="001455DC" w:rsidRDefault="004E22C1" w:rsidP="00994AC0">
            <w:pPr>
              <w:pStyle w:val="Tablebody-"/>
              <w:keepNext/>
              <w:keepLines/>
              <w:jc w:val="center"/>
            </w:pPr>
            <w:r w:rsidRPr="001455DC">
              <w:t>0,94</w:t>
            </w:r>
          </w:p>
        </w:tc>
        <w:tc>
          <w:tcPr>
            <w:tcW w:w="709" w:type="dxa"/>
            <w:vAlign w:val="center"/>
          </w:tcPr>
          <w:p w14:paraId="4AAC8A96" w14:textId="77777777" w:rsidR="004E22C1" w:rsidRPr="001455DC" w:rsidRDefault="004E22C1" w:rsidP="00994AC0">
            <w:pPr>
              <w:pStyle w:val="Tablebody-"/>
              <w:keepNext/>
              <w:keepLines/>
              <w:jc w:val="center"/>
            </w:pPr>
            <w:r w:rsidRPr="001455DC">
              <w:t>–</w:t>
            </w:r>
          </w:p>
        </w:tc>
        <w:tc>
          <w:tcPr>
            <w:tcW w:w="967" w:type="dxa"/>
            <w:vAlign w:val="center"/>
          </w:tcPr>
          <w:p w14:paraId="584D7D00" w14:textId="77777777" w:rsidR="004E22C1" w:rsidRPr="001455DC" w:rsidRDefault="004E22C1" w:rsidP="00994AC0">
            <w:pPr>
              <w:pStyle w:val="Tablebody-"/>
              <w:keepNext/>
              <w:keepLines/>
              <w:jc w:val="center"/>
            </w:pPr>
            <w:r w:rsidRPr="001455DC">
              <w:t>1,07</w:t>
            </w:r>
          </w:p>
        </w:tc>
      </w:tr>
      <w:tr w:rsidR="004E22C1" w:rsidRPr="001455DC" w14:paraId="2E4C305F" w14:textId="77777777" w:rsidTr="00994AC0">
        <w:trPr>
          <w:cantSplit/>
        </w:trPr>
        <w:tc>
          <w:tcPr>
            <w:tcW w:w="5027" w:type="dxa"/>
            <w:vMerge/>
            <w:vAlign w:val="center"/>
          </w:tcPr>
          <w:p w14:paraId="23E906E2" w14:textId="77777777" w:rsidR="004E22C1" w:rsidRPr="001455DC" w:rsidRDefault="004E22C1" w:rsidP="00994AC0">
            <w:pPr>
              <w:pStyle w:val="Tablebody-"/>
              <w:keepNext/>
              <w:keepLines/>
              <w:ind w:left="357" w:hanging="357"/>
              <w:jc w:val="left"/>
            </w:pPr>
          </w:p>
        </w:tc>
        <w:tc>
          <w:tcPr>
            <w:tcW w:w="4612" w:type="dxa"/>
            <w:gridSpan w:val="7"/>
            <w:vAlign w:val="center"/>
          </w:tcPr>
          <w:p w14:paraId="3DB9D54F" w14:textId="7E30BDD8" w:rsidR="004E22C1" w:rsidRPr="009D3012" w:rsidRDefault="004E22C1" w:rsidP="00994AC0">
            <w:pPr>
              <w:pStyle w:val="Tablebody-"/>
              <w:keepNext/>
              <w:keepLines/>
              <w:jc w:val="center"/>
              <w:rPr>
                <w:szCs w:val="19"/>
                <w:lang w:val="en-US"/>
              </w:rPr>
            </w:pPr>
            <w:r w:rsidRPr="009D3012">
              <w:rPr>
                <w:szCs w:val="19"/>
                <w:lang w:val="en-US"/>
              </w:rPr>
              <w:t>according to (</w:t>
            </w:r>
            <w:r w:rsidR="00676AF3" w:rsidRPr="009D3012">
              <w:rPr>
                <w:szCs w:val="19"/>
                <w:lang w:val="en-US"/>
              </w:rPr>
              <w:t>3</w:t>
            </w:r>
            <w:r w:rsidRPr="009D3012">
              <w:rPr>
                <w:szCs w:val="19"/>
                <w:lang w:val="en-US"/>
              </w:rPr>
              <w:t>) and (</w:t>
            </w:r>
            <w:r w:rsidR="00676AF3" w:rsidRPr="009D3012">
              <w:rPr>
                <w:szCs w:val="19"/>
                <w:lang w:val="en-US"/>
              </w:rPr>
              <w:t>6</w:t>
            </w:r>
            <w:r w:rsidRPr="009D3012">
              <w:rPr>
                <w:szCs w:val="19"/>
                <w:lang w:val="en-US"/>
              </w:rPr>
              <w:t>)</w:t>
            </w:r>
          </w:p>
          <w:p w14:paraId="1D38FCEF" w14:textId="77777777" w:rsidR="004E22C1" w:rsidRPr="009D3012" w:rsidRDefault="004E22C1" w:rsidP="00994AC0">
            <w:pPr>
              <w:pStyle w:val="Tablebody-"/>
              <w:keepNext/>
              <w:keepLines/>
              <w:jc w:val="center"/>
              <w:rPr>
                <w:lang w:val="en-US"/>
              </w:rPr>
            </w:pPr>
            <w:r w:rsidRPr="009D3012">
              <w:rPr>
                <w:szCs w:val="19"/>
                <w:lang w:val="en-US"/>
              </w:rPr>
              <w:t>if also other conditions are fulfilled</w:t>
            </w:r>
          </w:p>
        </w:tc>
      </w:tr>
      <w:tr w:rsidR="004E22C1" w:rsidRPr="001455DC" w14:paraId="3972CBE4" w14:textId="77777777" w:rsidTr="00994AC0">
        <w:trPr>
          <w:cantSplit/>
        </w:trPr>
        <w:tc>
          <w:tcPr>
            <w:tcW w:w="5027" w:type="dxa"/>
            <w:vAlign w:val="center"/>
          </w:tcPr>
          <w:p w14:paraId="3BE8744B" w14:textId="4951E402" w:rsidR="004E22C1" w:rsidRPr="009D3012" w:rsidRDefault="004E22C1" w:rsidP="00994AC0">
            <w:pPr>
              <w:pStyle w:val="Tablebody-"/>
              <w:keepNext/>
              <w:keepLines/>
              <w:ind w:left="357" w:hanging="357"/>
              <w:jc w:val="left"/>
              <w:rPr>
                <w:lang w:val="en-US"/>
              </w:rPr>
            </w:pPr>
            <w:r w:rsidRPr="009D3012">
              <w:rPr>
                <w:lang w:val="en-US"/>
              </w:rPr>
              <w:t>d)</w:t>
            </w:r>
            <w:r w:rsidRPr="009D3012">
              <w:rPr>
                <w:lang w:val="en-US"/>
              </w:rPr>
              <w:tab/>
              <w:t>if the in-situ concrete strength in the finished structure is assessed according to EN 13791</w:t>
            </w:r>
            <w:r w:rsidR="00A04E33" w:rsidRPr="001455DC">
              <w:rPr>
                <w:lang w:val="en-US"/>
              </w:rPr>
              <w:t>:2019,</w:t>
            </w:r>
            <w:r w:rsidRPr="009D3012">
              <w:rPr>
                <w:lang w:val="en-US"/>
              </w:rPr>
              <w:t xml:space="preserve"> </w:t>
            </w:r>
            <w:r w:rsidR="00A04E33" w:rsidRPr="001455DC">
              <w:rPr>
                <w:lang w:val="en-US"/>
              </w:rPr>
              <w:t>Clause 8</w:t>
            </w:r>
          </w:p>
        </w:tc>
        <w:tc>
          <w:tcPr>
            <w:tcW w:w="4612" w:type="dxa"/>
            <w:gridSpan w:val="7"/>
            <w:vAlign w:val="center"/>
          </w:tcPr>
          <w:p w14:paraId="5FC23B88" w14:textId="65A4F372" w:rsidR="004E22C1" w:rsidRPr="001455DC" w:rsidRDefault="004E22C1">
            <w:pPr>
              <w:pStyle w:val="Tablebody-"/>
              <w:keepNext/>
              <w:keepLines/>
              <w:jc w:val="center"/>
            </w:pPr>
            <w:r w:rsidRPr="001455DC">
              <w:rPr>
                <w:rStyle w:val="CCMCvariableitalic"/>
              </w:rPr>
              <w:t>γ</w:t>
            </w:r>
            <w:r w:rsidRPr="001455DC">
              <w:rPr>
                <w:rStyle w:val="CCMCvariablesubscript"/>
              </w:rPr>
              <w:t>C</w:t>
            </w:r>
            <w:r w:rsidRPr="001455DC">
              <w:t xml:space="preserve"> according to (</w:t>
            </w:r>
            <w:r w:rsidR="00676AF3" w:rsidRPr="001455DC">
              <w:t>7</w:t>
            </w:r>
            <w:r w:rsidRPr="001455DC">
              <w:t>)</w:t>
            </w:r>
          </w:p>
        </w:tc>
      </w:tr>
      <w:tr w:rsidR="004E22C1" w:rsidRPr="001455DC" w14:paraId="193171E0" w14:textId="77777777" w:rsidTr="00994AC0">
        <w:trPr>
          <w:cantSplit/>
        </w:trPr>
        <w:tc>
          <w:tcPr>
            <w:tcW w:w="5027" w:type="dxa"/>
            <w:vAlign w:val="center"/>
          </w:tcPr>
          <w:p w14:paraId="0404AA7F" w14:textId="041C4AA3" w:rsidR="004E22C1" w:rsidRPr="009D3012" w:rsidRDefault="004E22C1">
            <w:pPr>
              <w:pStyle w:val="Tablebody-"/>
              <w:keepNext/>
              <w:keepLines/>
              <w:ind w:left="357" w:hanging="357"/>
              <w:jc w:val="left"/>
              <w:rPr>
                <w:lang w:val="en-US"/>
              </w:rPr>
            </w:pPr>
            <w:r w:rsidRPr="009D3012">
              <w:rPr>
                <w:lang w:val="en-US"/>
              </w:rPr>
              <w:t>e)</w:t>
            </w:r>
            <w:r w:rsidRPr="009D3012">
              <w:rPr>
                <w:lang w:val="en-US"/>
              </w:rPr>
              <w:tab/>
              <w:t xml:space="preserve">if the verification of the structure or of the </w:t>
            </w:r>
            <w:r w:rsidR="00676AF3" w:rsidRPr="009D3012">
              <w:rPr>
                <w:lang w:val="en-US"/>
              </w:rPr>
              <w:t xml:space="preserve">member </w:t>
            </w:r>
            <w:r w:rsidRPr="009D3012">
              <w:rPr>
                <w:lang w:val="en-US"/>
              </w:rPr>
              <w:t>is conducted according to more refined methods ensuring reduced uncertainties of the resistance model.</w:t>
            </w:r>
          </w:p>
        </w:tc>
        <w:tc>
          <w:tcPr>
            <w:tcW w:w="4612" w:type="dxa"/>
            <w:gridSpan w:val="7"/>
            <w:vAlign w:val="center"/>
          </w:tcPr>
          <w:p w14:paraId="420D743F" w14:textId="4C680A1C" w:rsidR="004E22C1" w:rsidRPr="009D3012" w:rsidRDefault="004E22C1">
            <w:pPr>
              <w:pStyle w:val="Tablebody-"/>
              <w:keepNext/>
              <w:keepLines/>
              <w:jc w:val="center"/>
              <w:rPr>
                <w:lang w:val="en-US"/>
              </w:rPr>
            </w:pPr>
            <w:r w:rsidRPr="001455DC">
              <w:rPr>
                <w:rStyle w:val="CCMCvariableitalic"/>
              </w:rPr>
              <w:t>γ</w:t>
            </w:r>
            <w:r w:rsidRPr="009D3012">
              <w:rPr>
                <w:rStyle w:val="CCMCvariablesubscript"/>
                <w:lang w:val="en-US"/>
              </w:rPr>
              <w:t>S</w:t>
            </w:r>
            <w:r w:rsidRPr="009D3012">
              <w:rPr>
                <w:lang w:val="en-US"/>
              </w:rPr>
              <w:t xml:space="preserve"> and </w:t>
            </w:r>
            <w:r w:rsidRPr="001455DC">
              <w:rPr>
                <w:rStyle w:val="CCMCvariableitalic"/>
              </w:rPr>
              <w:t>γ</w:t>
            </w:r>
            <w:r w:rsidRPr="009D3012">
              <w:rPr>
                <w:rStyle w:val="CCMCvariablesubscript"/>
                <w:lang w:val="en-US"/>
              </w:rPr>
              <w:t>C</w:t>
            </w:r>
            <w:r w:rsidRPr="009D3012">
              <w:rPr>
                <w:lang w:val="en-US"/>
              </w:rPr>
              <w:t xml:space="preserve"> according to (</w:t>
            </w:r>
            <w:r w:rsidR="00676AF3" w:rsidRPr="009D3012">
              <w:rPr>
                <w:lang w:val="en-US"/>
              </w:rPr>
              <w:t>3</w:t>
            </w:r>
            <w:r w:rsidRPr="009D3012">
              <w:rPr>
                <w:lang w:val="en-US"/>
              </w:rPr>
              <w:t>) where the statistical values describing the model uncertainties in Table A.2 are replaced by the actual ones</w:t>
            </w:r>
          </w:p>
        </w:tc>
      </w:tr>
      <w:tr w:rsidR="004E22C1" w:rsidRPr="001455DC" w14:paraId="7F70A098" w14:textId="77777777" w:rsidTr="00994AC0">
        <w:trPr>
          <w:cantSplit/>
        </w:trPr>
        <w:tc>
          <w:tcPr>
            <w:tcW w:w="5027" w:type="dxa"/>
            <w:vAlign w:val="center"/>
          </w:tcPr>
          <w:p w14:paraId="18EA61D0" w14:textId="39C54A06" w:rsidR="004E22C1" w:rsidRPr="009D3012" w:rsidRDefault="004E22C1">
            <w:pPr>
              <w:pStyle w:val="Tablebody-"/>
              <w:keepNext/>
              <w:keepLines/>
              <w:ind w:left="357" w:hanging="357"/>
              <w:jc w:val="left"/>
              <w:rPr>
                <w:lang w:val="en-US"/>
              </w:rPr>
            </w:pPr>
            <w:r w:rsidRPr="009D3012">
              <w:rPr>
                <w:lang w:val="en-US"/>
              </w:rPr>
              <w:t>f)</w:t>
            </w:r>
            <w:r w:rsidRPr="009D3012">
              <w:rPr>
                <w:lang w:val="en-US"/>
              </w:rPr>
              <w:tab/>
              <w:t>if the verification of the structure or of the</w:t>
            </w:r>
            <w:r w:rsidR="00676AF3" w:rsidRPr="009D3012">
              <w:rPr>
                <w:lang w:val="en-US"/>
              </w:rPr>
              <w:t>member</w:t>
            </w:r>
            <w:r w:rsidRPr="009D3012">
              <w:rPr>
                <w:lang w:val="en-US"/>
              </w:rPr>
              <w:t xml:space="preserve"> is conducted using non-linear analysis and the model uncertainty is considered separately according to F.</w:t>
            </w:r>
            <w:r w:rsidR="00B603A5" w:rsidRPr="001455DC">
              <w:rPr>
                <w:lang w:val="en-US"/>
              </w:rPr>
              <w:t>4</w:t>
            </w:r>
            <w:r w:rsidRPr="009D3012">
              <w:rPr>
                <w:lang w:val="en-US"/>
              </w:rPr>
              <w:t>(1).</w:t>
            </w:r>
          </w:p>
        </w:tc>
        <w:tc>
          <w:tcPr>
            <w:tcW w:w="668" w:type="dxa"/>
            <w:vAlign w:val="center"/>
          </w:tcPr>
          <w:p w14:paraId="72B72E51" w14:textId="77777777" w:rsidR="004E22C1" w:rsidRPr="001455DC" w:rsidRDefault="004E22C1" w:rsidP="00994AC0">
            <w:pPr>
              <w:pStyle w:val="Tablebody-"/>
              <w:keepNext/>
              <w:keepLines/>
              <w:jc w:val="center"/>
            </w:pPr>
            <w:r w:rsidRPr="001455DC">
              <w:t>1,20</w:t>
            </w:r>
          </w:p>
        </w:tc>
        <w:tc>
          <w:tcPr>
            <w:tcW w:w="709" w:type="dxa"/>
            <w:vAlign w:val="center"/>
          </w:tcPr>
          <w:p w14:paraId="7878DDBF" w14:textId="77777777" w:rsidR="004E22C1" w:rsidRPr="001455DC" w:rsidRDefault="004E22C1" w:rsidP="00994AC0">
            <w:pPr>
              <w:pStyle w:val="Tablebody-"/>
              <w:keepNext/>
              <w:keepLines/>
              <w:jc w:val="center"/>
            </w:pPr>
            <w:r w:rsidRPr="001455DC">
              <w:t>1,46</w:t>
            </w:r>
          </w:p>
        </w:tc>
        <w:tc>
          <w:tcPr>
            <w:tcW w:w="792" w:type="dxa"/>
            <w:gridSpan w:val="2"/>
            <w:vAlign w:val="center"/>
          </w:tcPr>
          <w:p w14:paraId="4FDFE032" w14:textId="3CD45D15" w:rsidR="004E22C1" w:rsidRPr="001455DC" w:rsidRDefault="004E22C1" w:rsidP="00994AC0">
            <w:pPr>
              <w:pStyle w:val="Tablebody-"/>
              <w:keepNext/>
              <w:keepLines/>
              <w:jc w:val="center"/>
            </w:pPr>
            <w:r w:rsidRPr="001455DC">
              <w:t>1,31</w:t>
            </w:r>
            <w:r w:rsidRPr="001455DC">
              <w:rPr>
                <w:rStyle w:val="CCMCvariablesuperscript"/>
              </w:rPr>
              <w:t>b</w:t>
            </w:r>
          </w:p>
        </w:tc>
        <w:tc>
          <w:tcPr>
            <w:tcW w:w="767" w:type="dxa"/>
            <w:vAlign w:val="center"/>
          </w:tcPr>
          <w:p w14:paraId="5AA8C916" w14:textId="77777777" w:rsidR="004E22C1" w:rsidRPr="001455DC" w:rsidRDefault="004E22C1" w:rsidP="00994AC0">
            <w:pPr>
              <w:pStyle w:val="Tablebody-"/>
              <w:keepNext/>
              <w:keepLines/>
              <w:jc w:val="center"/>
            </w:pPr>
            <w:r w:rsidRPr="001455DC">
              <w:t>1,09</w:t>
            </w:r>
          </w:p>
        </w:tc>
        <w:tc>
          <w:tcPr>
            <w:tcW w:w="709" w:type="dxa"/>
            <w:vAlign w:val="center"/>
          </w:tcPr>
          <w:p w14:paraId="1837328D" w14:textId="77777777" w:rsidR="004E22C1" w:rsidRPr="001455DC" w:rsidRDefault="004E22C1" w:rsidP="00994AC0">
            <w:pPr>
              <w:pStyle w:val="Tablebody-"/>
              <w:keepNext/>
              <w:keepLines/>
              <w:jc w:val="center"/>
            </w:pPr>
            <w:r w:rsidRPr="001455DC">
              <w:t>1,16</w:t>
            </w:r>
          </w:p>
        </w:tc>
        <w:tc>
          <w:tcPr>
            <w:tcW w:w="967" w:type="dxa"/>
            <w:vAlign w:val="center"/>
          </w:tcPr>
          <w:p w14:paraId="05FABEA6" w14:textId="3CB8C614" w:rsidR="004E22C1" w:rsidRPr="001455DC" w:rsidRDefault="004E22C1" w:rsidP="00994AC0">
            <w:pPr>
              <w:pStyle w:val="Tablebody-"/>
              <w:keepNext/>
              <w:keepLines/>
              <w:jc w:val="center"/>
            </w:pPr>
            <w:r w:rsidRPr="001455DC">
              <w:t>1,16</w:t>
            </w:r>
            <w:r w:rsidRPr="001455DC">
              <w:rPr>
                <w:rStyle w:val="CCMCvariablesuperscript"/>
              </w:rPr>
              <w:t>b</w:t>
            </w:r>
          </w:p>
        </w:tc>
      </w:tr>
      <w:tr w:rsidR="004E22C1" w:rsidRPr="001455DC" w14:paraId="177FDED5" w14:textId="77777777" w:rsidTr="00994AC0">
        <w:trPr>
          <w:cantSplit/>
        </w:trPr>
        <w:tc>
          <w:tcPr>
            <w:tcW w:w="5027" w:type="dxa"/>
            <w:vAlign w:val="center"/>
          </w:tcPr>
          <w:p w14:paraId="1ECDF390" w14:textId="7ECB5415" w:rsidR="004E22C1" w:rsidRPr="009D3012" w:rsidRDefault="004E22C1" w:rsidP="00994AC0">
            <w:pPr>
              <w:pStyle w:val="Tablebody-"/>
              <w:keepNext/>
              <w:keepLines/>
              <w:ind w:left="357" w:hanging="357"/>
              <w:jc w:val="left"/>
              <w:rPr>
                <w:lang w:val="en-US"/>
              </w:rPr>
            </w:pPr>
            <w:r w:rsidRPr="009D3012">
              <w:rPr>
                <w:lang w:val="en-US"/>
              </w:rPr>
              <w:t>g)</w:t>
            </w:r>
            <w:r w:rsidRPr="009D3012">
              <w:rPr>
                <w:lang w:val="en-US"/>
              </w:rPr>
              <w:tab/>
              <w:t xml:space="preserve">if the target value for the reliability index </w:t>
            </w:r>
            <w:r w:rsidRPr="001455DC">
              <w:rPr>
                <w:rStyle w:val="CCMCvariableitalic"/>
              </w:rPr>
              <w:t>β</w:t>
            </w:r>
            <w:r w:rsidRPr="009D3012">
              <w:rPr>
                <w:rStyle w:val="CCMCvariablesubscript"/>
                <w:lang w:val="en-US"/>
              </w:rPr>
              <w:t>tgt</w:t>
            </w:r>
            <w:r w:rsidRPr="009D3012">
              <w:rPr>
                <w:lang w:val="en-US"/>
              </w:rPr>
              <w:t xml:space="preserve"> given in Table A.3 is modified in accordance with the relevant authority</w:t>
            </w:r>
          </w:p>
        </w:tc>
        <w:tc>
          <w:tcPr>
            <w:tcW w:w="4612" w:type="dxa"/>
            <w:gridSpan w:val="7"/>
            <w:vAlign w:val="center"/>
          </w:tcPr>
          <w:p w14:paraId="5E059707" w14:textId="60B59521" w:rsidR="004E22C1" w:rsidRPr="009D3012" w:rsidRDefault="004E22C1">
            <w:pPr>
              <w:pStyle w:val="Tablebody-"/>
              <w:keepNext/>
              <w:keepLines/>
              <w:jc w:val="center"/>
              <w:rPr>
                <w:lang w:val="en-US"/>
              </w:rPr>
            </w:pPr>
            <w:r w:rsidRPr="001455DC">
              <w:rPr>
                <w:rStyle w:val="CCMCvariableitalic"/>
              </w:rPr>
              <w:t>γ</w:t>
            </w:r>
            <w:r w:rsidRPr="009D3012">
              <w:rPr>
                <w:rStyle w:val="CCMCvariablesubscript"/>
                <w:lang w:val="en-US"/>
              </w:rPr>
              <w:t>S</w:t>
            </w:r>
            <w:r w:rsidRPr="009D3012">
              <w:rPr>
                <w:lang w:val="en-US"/>
              </w:rPr>
              <w:t xml:space="preserve"> and </w:t>
            </w:r>
            <w:r w:rsidRPr="001455DC">
              <w:rPr>
                <w:rStyle w:val="CCMCvariableitalic"/>
              </w:rPr>
              <w:t>γ</w:t>
            </w:r>
            <w:r w:rsidRPr="009D3012">
              <w:rPr>
                <w:rStyle w:val="CCMCvariablesubscript"/>
                <w:lang w:val="en-US"/>
              </w:rPr>
              <w:t>C</w:t>
            </w:r>
            <w:r w:rsidRPr="009D3012">
              <w:rPr>
                <w:lang w:val="en-US"/>
              </w:rPr>
              <w:t xml:space="preserve"> according to (</w:t>
            </w:r>
            <w:r w:rsidR="009D6383" w:rsidRPr="009D3012">
              <w:rPr>
                <w:lang w:val="en-US"/>
              </w:rPr>
              <w:t>3</w:t>
            </w:r>
            <w:r w:rsidRPr="009D3012">
              <w:rPr>
                <w:lang w:val="en-US"/>
              </w:rPr>
              <w:t>) with the statistical values in Table A.2</w:t>
            </w:r>
          </w:p>
        </w:tc>
      </w:tr>
      <w:tr w:rsidR="004E22C1" w:rsidRPr="001455DC" w14:paraId="26ADB234" w14:textId="77777777" w:rsidTr="00994AC0">
        <w:trPr>
          <w:cantSplit/>
        </w:trPr>
        <w:tc>
          <w:tcPr>
            <w:tcW w:w="5027" w:type="dxa"/>
            <w:tcBorders>
              <w:bottom w:val="single" w:sz="12" w:space="0" w:color="000000"/>
            </w:tcBorders>
            <w:vAlign w:val="center"/>
          </w:tcPr>
          <w:p w14:paraId="1F944B73" w14:textId="312701BC" w:rsidR="004E22C1" w:rsidRPr="009D3012" w:rsidRDefault="004E22C1">
            <w:pPr>
              <w:pStyle w:val="Tablebody-"/>
              <w:keepNext/>
              <w:keepLines/>
              <w:ind w:left="357" w:hanging="357"/>
              <w:jc w:val="left"/>
              <w:rPr>
                <w:lang w:val="en-US"/>
              </w:rPr>
            </w:pPr>
            <w:r w:rsidRPr="009D3012">
              <w:rPr>
                <w:lang w:val="en-US"/>
              </w:rPr>
              <w:t>h)</w:t>
            </w:r>
            <w:r w:rsidRPr="009D3012">
              <w:rPr>
                <w:lang w:val="en-US"/>
              </w:rPr>
              <w:tab/>
              <w:t>if it can be shown that the statistical data of either material strength</w:t>
            </w:r>
            <w:r w:rsidRPr="009D3012">
              <w:rPr>
                <w:rStyle w:val="CCMCvariablesuperscript"/>
                <w:lang w:val="en-US"/>
              </w:rPr>
              <w:t>a</w:t>
            </w:r>
            <w:r w:rsidRPr="009D3012">
              <w:rPr>
                <w:lang w:val="en-US"/>
              </w:rPr>
              <w:t>, dominant geometrical value or resistance model are more favourable (smaller coefficient of variation or larger bias factor) than the values given in Table A.2</w:t>
            </w:r>
          </w:p>
        </w:tc>
        <w:tc>
          <w:tcPr>
            <w:tcW w:w="4612" w:type="dxa"/>
            <w:gridSpan w:val="7"/>
            <w:tcBorders>
              <w:bottom w:val="single" w:sz="12" w:space="0" w:color="000000"/>
            </w:tcBorders>
            <w:vAlign w:val="center"/>
          </w:tcPr>
          <w:p w14:paraId="171F4BDA" w14:textId="407A4E9B" w:rsidR="004E22C1" w:rsidRPr="009D3012" w:rsidRDefault="004E22C1">
            <w:pPr>
              <w:pStyle w:val="Tablebody-"/>
              <w:keepNext/>
              <w:keepLines/>
              <w:jc w:val="center"/>
              <w:rPr>
                <w:lang w:val="en-US"/>
              </w:rPr>
            </w:pPr>
            <w:r w:rsidRPr="001455DC">
              <w:rPr>
                <w:rStyle w:val="CCMCvariableitalic"/>
              </w:rPr>
              <w:t>γ</w:t>
            </w:r>
            <w:r w:rsidRPr="009D3012">
              <w:rPr>
                <w:rStyle w:val="CCMCvariablesubscript"/>
                <w:lang w:val="en-US"/>
              </w:rPr>
              <w:t>S</w:t>
            </w:r>
            <w:r w:rsidRPr="009D3012">
              <w:rPr>
                <w:lang w:val="en-US"/>
              </w:rPr>
              <w:t xml:space="preserve"> and </w:t>
            </w:r>
            <w:r w:rsidRPr="001455DC">
              <w:rPr>
                <w:rStyle w:val="CCMCvariableitalic"/>
              </w:rPr>
              <w:t>γ</w:t>
            </w:r>
            <w:r w:rsidRPr="009D3012">
              <w:rPr>
                <w:rStyle w:val="CCMCvariablesubscript"/>
                <w:lang w:val="en-US"/>
              </w:rPr>
              <w:t>C</w:t>
            </w:r>
            <w:r w:rsidRPr="009D3012">
              <w:rPr>
                <w:lang w:val="en-US"/>
              </w:rPr>
              <w:t xml:space="preserve"> according to (</w:t>
            </w:r>
            <w:r w:rsidR="009D6383" w:rsidRPr="009D3012">
              <w:rPr>
                <w:lang w:val="en-US"/>
              </w:rPr>
              <w:t>3</w:t>
            </w:r>
            <w:r w:rsidRPr="009D3012">
              <w:rPr>
                <w:lang w:val="en-US"/>
              </w:rPr>
              <w:t>) where the corresponding statistical values in Table A.2 are replaced by the actual ones</w:t>
            </w:r>
          </w:p>
        </w:tc>
      </w:tr>
      <w:tr w:rsidR="004E22C1" w:rsidRPr="001455DC" w14:paraId="522B9F18" w14:textId="77777777" w:rsidTr="00994AC0">
        <w:trPr>
          <w:cantSplit/>
        </w:trPr>
        <w:tc>
          <w:tcPr>
            <w:tcW w:w="9639" w:type="dxa"/>
            <w:gridSpan w:val="8"/>
            <w:tcBorders>
              <w:top w:val="single" w:sz="12" w:space="0" w:color="000000"/>
              <w:bottom w:val="single" w:sz="12" w:space="0" w:color="auto"/>
            </w:tcBorders>
          </w:tcPr>
          <w:p w14:paraId="47318798" w14:textId="0B0BF01E" w:rsidR="004E22C1" w:rsidRPr="009D3012" w:rsidRDefault="004E22C1" w:rsidP="00994AC0">
            <w:pPr>
              <w:pStyle w:val="Tablefooternote"/>
              <w:keepNext/>
              <w:keepLines/>
              <w:tabs>
                <w:tab w:val="clear" w:pos="680"/>
                <w:tab w:val="left" w:pos="851"/>
              </w:tabs>
              <w:rPr>
                <w:lang w:val="en-US"/>
              </w:rPr>
            </w:pPr>
            <w:r w:rsidRPr="009D3012">
              <w:rPr>
                <w:lang w:val="en-US"/>
              </w:rPr>
              <w:t>NOTE 1</w:t>
            </w:r>
            <w:r w:rsidRPr="009D3012">
              <w:rPr>
                <w:lang w:val="en-US"/>
              </w:rPr>
              <w:tab/>
              <w:t>The values given in Table A.1</w:t>
            </w:r>
            <w:r w:rsidR="009D6383" w:rsidRPr="009D3012">
              <w:rPr>
                <w:lang w:val="en-US"/>
              </w:rPr>
              <w:t>(</w:t>
            </w:r>
            <w:r w:rsidRPr="009D3012">
              <w:rPr>
                <w:lang w:val="en-US"/>
              </w:rPr>
              <w:t>NDP) apply unless the National Annex gives different values.</w:t>
            </w:r>
          </w:p>
        </w:tc>
      </w:tr>
      <w:tr w:rsidR="00994AC0" w:rsidRPr="001455DC" w14:paraId="3CCE8C47" w14:textId="77777777" w:rsidTr="00994AC0">
        <w:trPr>
          <w:cnfStyle w:val="010000000000" w:firstRow="0" w:lastRow="1" w:firstColumn="0" w:lastColumn="0" w:oddVBand="0" w:evenVBand="0" w:oddHBand="0" w:evenHBand="0" w:firstRowFirstColumn="0" w:firstRowLastColumn="0" w:lastRowFirstColumn="0" w:lastRowLastColumn="0"/>
          <w:cantSplit/>
        </w:trPr>
        <w:tc>
          <w:tcPr>
            <w:tcW w:w="9639" w:type="dxa"/>
            <w:gridSpan w:val="8"/>
          </w:tcPr>
          <w:p w14:paraId="2CF0D551" w14:textId="25A1BB76" w:rsidR="00994AC0" w:rsidRPr="009D3012" w:rsidRDefault="00994AC0" w:rsidP="00994AC0">
            <w:pPr>
              <w:pStyle w:val="Tablefooter"/>
              <w:rPr>
                <w:lang w:val="en-US"/>
              </w:rPr>
            </w:pPr>
            <w:r w:rsidRPr="009D3012">
              <w:rPr>
                <w:rStyle w:val="CCMCvariablesuperscript"/>
                <w:lang w:val="en-US"/>
              </w:rPr>
              <w:t>a</w:t>
            </w:r>
            <w:r w:rsidRPr="009D3012">
              <w:rPr>
                <w:lang w:val="en-US"/>
              </w:rPr>
              <w:tab/>
              <w:t xml:space="preserve">If the partial safety factor is applied to the characteristic value of the material strength, the advantage of a reduced coefficient of variation of the material strength is compensated by the reduction of ratio </w:t>
            </w:r>
            <w:r w:rsidRPr="009D3012">
              <w:rPr>
                <w:rStyle w:val="CCMCvariableitalic"/>
                <w:lang w:val="en-US"/>
              </w:rPr>
              <w:t>f</w:t>
            </w:r>
            <w:r w:rsidRPr="009D3012">
              <w:rPr>
                <w:rStyle w:val="CCMCvariablesubscript"/>
                <w:lang w:val="en-US"/>
              </w:rPr>
              <w:t>ym</w:t>
            </w:r>
            <w:r w:rsidRPr="009D3012">
              <w:rPr>
                <w:lang w:val="en-US"/>
              </w:rPr>
              <w:t>/</w:t>
            </w:r>
            <w:r w:rsidRPr="009D3012">
              <w:rPr>
                <w:rStyle w:val="CCMCvariableitalic"/>
                <w:lang w:val="en-US"/>
              </w:rPr>
              <w:t>f</w:t>
            </w:r>
            <w:r w:rsidRPr="009D3012">
              <w:rPr>
                <w:rStyle w:val="CCMCvariablesubscript"/>
                <w:lang w:val="en-US"/>
              </w:rPr>
              <w:t>yk</w:t>
            </w:r>
            <w:r w:rsidRPr="009D3012">
              <w:rPr>
                <w:lang w:val="en-US"/>
              </w:rPr>
              <w:t xml:space="preserve"> defined in Table A.2.</w:t>
            </w:r>
          </w:p>
          <w:p w14:paraId="408B587D" w14:textId="48A16174" w:rsidR="00994AC0" w:rsidRPr="009D3012" w:rsidRDefault="00994AC0" w:rsidP="00994AC0">
            <w:pPr>
              <w:pStyle w:val="Tablefooter"/>
              <w:rPr>
                <w:lang w:val="en-US"/>
              </w:rPr>
            </w:pPr>
            <w:r w:rsidRPr="009D3012">
              <w:rPr>
                <w:rStyle w:val="CCMCvariablesuperscript"/>
                <w:lang w:val="en-US"/>
              </w:rPr>
              <w:t>b</w:t>
            </w:r>
            <w:r w:rsidRPr="009D3012">
              <w:rPr>
                <w:lang w:val="en-US" w:eastAsia="ja-JP"/>
              </w:rPr>
              <w:tab/>
              <w:t>These values apply for failures modes similar to punching and shear failures in members without shear reinforcement.</w:t>
            </w:r>
          </w:p>
        </w:tc>
      </w:tr>
    </w:tbl>
    <w:p w14:paraId="6E83437E" w14:textId="77D70A66" w:rsidR="004E22C1" w:rsidRPr="001455DC" w:rsidRDefault="004E22C1" w:rsidP="008C277A">
      <w:pPr>
        <w:pStyle w:val="a7"/>
      </w:pPr>
    </w:p>
    <w:p w14:paraId="0FB6D7A1" w14:textId="61857368" w:rsidR="002769FA" w:rsidRPr="001455DC" w:rsidRDefault="002769FA" w:rsidP="008C277A">
      <w:pPr>
        <w:pStyle w:val="a7"/>
      </w:pPr>
    </w:p>
    <w:p w14:paraId="57A94CDF" w14:textId="77777777" w:rsidR="002769FA" w:rsidRPr="001455DC" w:rsidRDefault="002769FA" w:rsidP="008C277A">
      <w:pPr>
        <w:pStyle w:val="a7"/>
      </w:pPr>
    </w:p>
    <w:p w14:paraId="64AD6F1F" w14:textId="77777777" w:rsidR="009D6383" w:rsidRPr="009D3012" w:rsidRDefault="009D6383" w:rsidP="009D3012">
      <w:pPr>
        <w:pStyle w:val="Tabletitle"/>
      </w:pPr>
      <w:r w:rsidRPr="009D3012">
        <w:t>Table A.1b(NDP) –  Values of adjusted material factors – Additional provisions for precast members</w:t>
      </w:r>
    </w:p>
    <w:tbl>
      <w:tblPr>
        <w:tblStyle w:val="53"/>
        <w:tblW w:w="8530" w:type="dxa"/>
        <w:tblLayout w:type="fixed"/>
        <w:tblLook w:val="04A0" w:firstRow="1" w:lastRow="0" w:firstColumn="1" w:lastColumn="0" w:noHBand="0" w:noVBand="1"/>
      </w:tblPr>
      <w:tblGrid>
        <w:gridCol w:w="4703"/>
        <w:gridCol w:w="709"/>
        <w:gridCol w:w="567"/>
        <w:gridCol w:w="567"/>
        <w:gridCol w:w="708"/>
        <w:gridCol w:w="567"/>
        <w:gridCol w:w="709"/>
      </w:tblGrid>
      <w:tr w:rsidR="009D6383" w:rsidRPr="001455DC" w14:paraId="0A13A0C2" w14:textId="77777777" w:rsidTr="009D301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703" w:type="dxa"/>
            <w:vMerge w:val="restart"/>
          </w:tcPr>
          <w:p w14:paraId="6C8CD240" w14:textId="77777777" w:rsidR="009D6383" w:rsidRPr="009D3012" w:rsidRDefault="009D6383" w:rsidP="009D6383">
            <w:pPr>
              <w:autoSpaceDE w:val="0"/>
              <w:autoSpaceDN w:val="0"/>
              <w:adjustRightInd w:val="0"/>
              <w:spacing w:before="0" w:after="0"/>
              <w:rPr>
                <w:rFonts w:cs="Arial"/>
                <w:b/>
                <w:bCs/>
                <w:sz w:val="18"/>
                <w:szCs w:val="18"/>
                <w:lang w:val="en-US"/>
              </w:rPr>
            </w:pPr>
            <w:r w:rsidRPr="009D3012">
              <w:rPr>
                <w:rFonts w:cs="Arial"/>
                <w:b/>
                <w:bCs/>
                <w:sz w:val="18"/>
                <w:szCs w:val="18"/>
                <w:lang w:val="en-US"/>
              </w:rPr>
              <w:t xml:space="preserve">Condition for adjusting material factors </w:t>
            </w:r>
          </w:p>
          <w:p w14:paraId="716AC0DB" w14:textId="77777777" w:rsidR="009D6383" w:rsidRPr="009D3012" w:rsidRDefault="009D6383" w:rsidP="009D6383">
            <w:pPr>
              <w:autoSpaceDE w:val="0"/>
              <w:autoSpaceDN w:val="0"/>
              <w:adjustRightInd w:val="0"/>
              <w:spacing w:before="0" w:after="0"/>
              <w:rPr>
                <w:rFonts w:cs="Arial"/>
                <w:sz w:val="18"/>
                <w:szCs w:val="18"/>
                <w:lang w:val="en-US"/>
              </w:rPr>
            </w:pPr>
            <w:r w:rsidRPr="009D3012">
              <w:rPr>
                <w:rFonts w:cs="Arial"/>
                <w:b/>
                <w:bCs/>
                <w:sz w:val="18"/>
                <w:szCs w:val="18"/>
                <w:lang w:val="en-US"/>
              </w:rPr>
              <w:t>for precast members</w:t>
            </w:r>
          </w:p>
        </w:tc>
        <w:tc>
          <w:tcPr>
            <w:tcW w:w="1843" w:type="dxa"/>
            <w:gridSpan w:val="3"/>
            <w:tcBorders>
              <w:bottom w:val="nil"/>
            </w:tcBorders>
          </w:tcPr>
          <w:p w14:paraId="27758912" w14:textId="77777777" w:rsidR="009D6383" w:rsidRPr="009D3012" w:rsidRDefault="009D6383" w:rsidP="009D6383">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Arial"/>
                <w:b/>
                <w:bCs/>
                <w:sz w:val="18"/>
                <w:szCs w:val="18"/>
              </w:rPr>
            </w:pPr>
            <w:r w:rsidRPr="009D3012">
              <w:rPr>
                <w:rFonts w:cs="Arial"/>
                <w:b/>
                <w:bCs/>
                <w:sz w:val="18"/>
                <w:szCs w:val="18"/>
              </w:rPr>
              <w:t>persistent and</w:t>
            </w:r>
          </w:p>
          <w:p w14:paraId="63184696" w14:textId="77777777" w:rsidR="009D6383" w:rsidRPr="009D3012" w:rsidRDefault="009D6383" w:rsidP="009D6383">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Arial"/>
                <w:b/>
                <w:bCs/>
                <w:sz w:val="18"/>
                <w:szCs w:val="18"/>
              </w:rPr>
            </w:pPr>
            <w:r w:rsidRPr="009D3012">
              <w:rPr>
                <w:rFonts w:cs="Arial"/>
                <w:b/>
                <w:bCs/>
                <w:sz w:val="18"/>
                <w:szCs w:val="18"/>
              </w:rPr>
              <w:t>transient design</w:t>
            </w:r>
          </w:p>
          <w:p w14:paraId="3558DA89" w14:textId="77777777" w:rsidR="009D6383" w:rsidRPr="009D3012" w:rsidRDefault="009D6383" w:rsidP="009D6383">
            <w:pPr>
              <w:spacing w:before="0" w:after="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9D3012">
              <w:rPr>
                <w:rFonts w:cs="Arial"/>
                <w:b/>
                <w:bCs/>
                <w:sz w:val="18"/>
                <w:szCs w:val="18"/>
              </w:rPr>
              <w:t>situations</w:t>
            </w:r>
          </w:p>
        </w:tc>
        <w:tc>
          <w:tcPr>
            <w:tcW w:w="1984" w:type="dxa"/>
            <w:gridSpan w:val="3"/>
            <w:tcBorders>
              <w:bottom w:val="nil"/>
            </w:tcBorders>
          </w:tcPr>
          <w:p w14:paraId="2CC47EC8" w14:textId="77777777" w:rsidR="009D6383" w:rsidRPr="009D3012" w:rsidRDefault="009D6383" w:rsidP="009D6383">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Arial"/>
                <w:b/>
                <w:bCs/>
                <w:sz w:val="18"/>
                <w:szCs w:val="18"/>
              </w:rPr>
            </w:pPr>
            <w:r w:rsidRPr="009D3012">
              <w:rPr>
                <w:rFonts w:cs="Arial"/>
                <w:b/>
                <w:bCs/>
                <w:sz w:val="18"/>
                <w:szCs w:val="18"/>
              </w:rPr>
              <w:t>accidental design</w:t>
            </w:r>
          </w:p>
          <w:p w14:paraId="09407D4D" w14:textId="77777777" w:rsidR="009D6383" w:rsidRPr="009D3012" w:rsidRDefault="009D6383" w:rsidP="009D6383">
            <w:pPr>
              <w:spacing w:before="0" w:after="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9D3012">
              <w:rPr>
                <w:rFonts w:cs="Arial"/>
                <w:b/>
                <w:bCs/>
                <w:sz w:val="18"/>
                <w:szCs w:val="18"/>
              </w:rPr>
              <w:t>situations</w:t>
            </w:r>
          </w:p>
        </w:tc>
      </w:tr>
      <w:tr w:rsidR="009D6383" w:rsidRPr="001455DC" w14:paraId="6B90520E" w14:textId="77777777" w:rsidTr="009D3012">
        <w:tc>
          <w:tcPr>
            <w:tcW w:w="4703" w:type="dxa"/>
            <w:vMerge/>
            <w:tcBorders>
              <w:bottom w:val="single" w:sz="12" w:space="0" w:color="auto"/>
            </w:tcBorders>
          </w:tcPr>
          <w:p w14:paraId="2E0AE548" w14:textId="77777777" w:rsidR="009D6383" w:rsidRPr="009D3012" w:rsidRDefault="009D6383" w:rsidP="009D6383">
            <w:pPr>
              <w:rPr>
                <w:sz w:val="18"/>
                <w:szCs w:val="18"/>
              </w:rPr>
            </w:pPr>
          </w:p>
        </w:tc>
        <w:tc>
          <w:tcPr>
            <w:tcW w:w="709" w:type="dxa"/>
            <w:tcBorders>
              <w:top w:val="nil"/>
              <w:bottom w:val="single" w:sz="12" w:space="0" w:color="auto"/>
            </w:tcBorders>
          </w:tcPr>
          <w:p w14:paraId="730AB479" w14:textId="77777777" w:rsidR="009D6383" w:rsidRPr="009D3012" w:rsidRDefault="009D6383" w:rsidP="009D6383">
            <w:pPr>
              <w:jc w:val="center"/>
              <w:rPr>
                <w:bCs/>
                <w:i/>
                <w:iCs/>
                <w:sz w:val="18"/>
                <w:szCs w:val="18"/>
                <w:lang w:val="nl-BE"/>
              </w:rPr>
            </w:pPr>
            <w:r w:rsidRPr="009D3012">
              <w:rPr>
                <w:rFonts w:ascii="Symbol" w:hAnsi="Symbol"/>
                <w:bCs/>
                <w:i/>
                <w:iCs/>
                <w:sz w:val="18"/>
                <w:szCs w:val="18"/>
                <w:lang w:val="nl-BE"/>
              </w:rPr>
              <w:t></w:t>
            </w:r>
            <w:r w:rsidRPr="009D3012">
              <w:rPr>
                <w:bCs/>
                <w:sz w:val="18"/>
                <w:szCs w:val="18"/>
                <w:vertAlign w:val="subscript"/>
                <w:lang w:val="nl-BE"/>
              </w:rPr>
              <w:t>S</w:t>
            </w:r>
          </w:p>
        </w:tc>
        <w:tc>
          <w:tcPr>
            <w:tcW w:w="567" w:type="dxa"/>
            <w:tcBorders>
              <w:top w:val="nil"/>
              <w:bottom w:val="single" w:sz="12" w:space="0" w:color="auto"/>
            </w:tcBorders>
          </w:tcPr>
          <w:p w14:paraId="7CBA846F" w14:textId="77777777" w:rsidR="009D6383" w:rsidRPr="009D3012" w:rsidRDefault="009D6383" w:rsidP="009D6383">
            <w:pPr>
              <w:jc w:val="center"/>
              <w:rPr>
                <w:bCs/>
                <w:sz w:val="18"/>
                <w:szCs w:val="18"/>
              </w:rPr>
            </w:pPr>
            <w:r w:rsidRPr="009D3012">
              <w:rPr>
                <w:rFonts w:ascii="Symbol" w:hAnsi="Symbol"/>
                <w:bCs/>
                <w:i/>
                <w:iCs/>
                <w:sz w:val="18"/>
                <w:szCs w:val="18"/>
                <w:lang w:val="nl-BE"/>
              </w:rPr>
              <w:t></w:t>
            </w:r>
            <w:r w:rsidRPr="009D3012">
              <w:rPr>
                <w:bCs/>
                <w:sz w:val="18"/>
                <w:szCs w:val="18"/>
                <w:vertAlign w:val="subscript"/>
                <w:lang w:val="nl-BE"/>
              </w:rPr>
              <w:t>C</w:t>
            </w:r>
          </w:p>
        </w:tc>
        <w:tc>
          <w:tcPr>
            <w:tcW w:w="567" w:type="dxa"/>
            <w:tcBorders>
              <w:top w:val="nil"/>
              <w:bottom w:val="single" w:sz="12" w:space="0" w:color="auto"/>
            </w:tcBorders>
          </w:tcPr>
          <w:p w14:paraId="1A77878B" w14:textId="77777777" w:rsidR="009D6383" w:rsidRPr="009D3012" w:rsidRDefault="009D6383" w:rsidP="009D6383">
            <w:pPr>
              <w:jc w:val="center"/>
              <w:rPr>
                <w:bCs/>
                <w:sz w:val="18"/>
                <w:szCs w:val="18"/>
              </w:rPr>
            </w:pPr>
            <w:r w:rsidRPr="009D3012">
              <w:rPr>
                <w:rFonts w:ascii="Symbol" w:hAnsi="Symbol"/>
                <w:bCs/>
                <w:i/>
                <w:iCs/>
                <w:sz w:val="18"/>
                <w:szCs w:val="18"/>
                <w:lang w:val="nl-BE"/>
              </w:rPr>
              <w:t></w:t>
            </w:r>
            <w:r w:rsidRPr="009D3012">
              <w:rPr>
                <w:bCs/>
                <w:sz w:val="18"/>
                <w:szCs w:val="18"/>
                <w:vertAlign w:val="subscript"/>
                <w:lang w:val="nl-BE"/>
              </w:rPr>
              <w:t>V</w:t>
            </w:r>
          </w:p>
        </w:tc>
        <w:tc>
          <w:tcPr>
            <w:tcW w:w="708" w:type="dxa"/>
            <w:tcBorders>
              <w:top w:val="nil"/>
              <w:bottom w:val="single" w:sz="12" w:space="0" w:color="auto"/>
            </w:tcBorders>
          </w:tcPr>
          <w:p w14:paraId="7697A4A7" w14:textId="77777777" w:rsidR="009D6383" w:rsidRPr="009D3012" w:rsidRDefault="009D6383" w:rsidP="009D6383">
            <w:pPr>
              <w:jc w:val="center"/>
              <w:rPr>
                <w:bCs/>
                <w:sz w:val="18"/>
                <w:szCs w:val="18"/>
              </w:rPr>
            </w:pPr>
            <w:r w:rsidRPr="009D3012">
              <w:rPr>
                <w:rFonts w:ascii="Symbol" w:hAnsi="Symbol"/>
                <w:bCs/>
                <w:i/>
                <w:iCs/>
                <w:sz w:val="18"/>
                <w:szCs w:val="18"/>
                <w:lang w:val="nl-BE"/>
              </w:rPr>
              <w:t></w:t>
            </w:r>
            <w:r w:rsidRPr="009D3012">
              <w:rPr>
                <w:bCs/>
                <w:sz w:val="18"/>
                <w:szCs w:val="18"/>
                <w:vertAlign w:val="subscript"/>
                <w:lang w:val="nl-BE"/>
              </w:rPr>
              <w:t>S</w:t>
            </w:r>
          </w:p>
        </w:tc>
        <w:tc>
          <w:tcPr>
            <w:tcW w:w="567" w:type="dxa"/>
            <w:tcBorders>
              <w:top w:val="nil"/>
              <w:bottom w:val="single" w:sz="12" w:space="0" w:color="auto"/>
            </w:tcBorders>
          </w:tcPr>
          <w:p w14:paraId="32948D9C" w14:textId="77777777" w:rsidR="009D6383" w:rsidRPr="009D3012" w:rsidRDefault="009D6383" w:rsidP="009D6383">
            <w:pPr>
              <w:jc w:val="center"/>
              <w:rPr>
                <w:bCs/>
                <w:sz w:val="18"/>
                <w:szCs w:val="18"/>
              </w:rPr>
            </w:pPr>
            <w:r w:rsidRPr="009D3012">
              <w:rPr>
                <w:rFonts w:ascii="Symbol" w:hAnsi="Symbol"/>
                <w:bCs/>
                <w:i/>
                <w:iCs/>
                <w:sz w:val="18"/>
                <w:szCs w:val="18"/>
                <w:lang w:val="nl-BE"/>
              </w:rPr>
              <w:t></w:t>
            </w:r>
            <w:r w:rsidRPr="009D3012">
              <w:rPr>
                <w:bCs/>
                <w:sz w:val="18"/>
                <w:szCs w:val="18"/>
                <w:vertAlign w:val="subscript"/>
                <w:lang w:val="nl-BE"/>
              </w:rPr>
              <w:t>C</w:t>
            </w:r>
          </w:p>
        </w:tc>
        <w:tc>
          <w:tcPr>
            <w:tcW w:w="709" w:type="dxa"/>
            <w:tcBorders>
              <w:top w:val="nil"/>
              <w:bottom w:val="single" w:sz="12" w:space="0" w:color="auto"/>
            </w:tcBorders>
          </w:tcPr>
          <w:p w14:paraId="080965BA" w14:textId="77777777" w:rsidR="009D6383" w:rsidRPr="009D3012" w:rsidRDefault="009D6383" w:rsidP="009D6383">
            <w:pPr>
              <w:jc w:val="center"/>
              <w:rPr>
                <w:bCs/>
                <w:sz w:val="18"/>
                <w:szCs w:val="18"/>
              </w:rPr>
            </w:pPr>
            <w:r w:rsidRPr="009D3012">
              <w:rPr>
                <w:rFonts w:ascii="Symbol" w:hAnsi="Symbol"/>
                <w:bCs/>
                <w:i/>
                <w:iCs/>
                <w:sz w:val="18"/>
                <w:szCs w:val="18"/>
                <w:lang w:val="nl-BE"/>
              </w:rPr>
              <w:t></w:t>
            </w:r>
            <w:r w:rsidRPr="009D3012">
              <w:rPr>
                <w:bCs/>
                <w:sz w:val="18"/>
                <w:szCs w:val="18"/>
                <w:vertAlign w:val="subscript"/>
                <w:lang w:val="nl-BE"/>
              </w:rPr>
              <w:t>V</w:t>
            </w:r>
          </w:p>
        </w:tc>
      </w:tr>
      <w:tr w:rsidR="009D6383" w:rsidRPr="001455DC" w14:paraId="304C4C52" w14:textId="77777777" w:rsidTr="009D3012">
        <w:tc>
          <w:tcPr>
            <w:tcW w:w="4703" w:type="dxa"/>
            <w:tcBorders>
              <w:top w:val="single" w:sz="12" w:space="0" w:color="auto"/>
            </w:tcBorders>
          </w:tcPr>
          <w:p w14:paraId="1AA8D9DA" w14:textId="77777777" w:rsidR="009D6383" w:rsidRPr="009D3012" w:rsidRDefault="009D6383" w:rsidP="009D6383">
            <w:pPr>
              <w:tabs>
                <w:tab w:val="left" w:pos="591"/>
              </w:tabs>
              <w:ind w:left="591" w:hanging="591"/>
              <w:rPr>
                <w:rFonts w:cs="Arial"/>
                <w:sz w:val="18"/>
                <w:szCs w:val="18"/>
                <w:lang w:val="en-US"/>
              </w:rPr>
            </w:pPr>
            <w:r w:rsidRPr="009D3012">
              <w:rPr>
                <w:rFonts w:cs="Arial"/>
                <w:sz w:val="18"/>
                <w:szCs w:val="18"/>
                <w:lang w:val="en-US"/>
              </w:rPr>
              <w:t>(i)</w:t>
            </w:r>
            <w:r w:rsidRPr="009D3012">
              <w:rPr>
                <w:rFonts w:cs="Arial"/>
                <w:sz w:val="18"/>
                <w:szCs w:val="18"/>
                <w:lang w:val="en-US"/>
              </w:rPr>
              <w:tab/>
              <w:t xml:space="preserve">In case (a) is fulfilled and System of AVCP 2+ is applied </w:t>
            </w:r>
          </w:p>
        </w:tc>
        <w:tc>
          <w:tcPr>
            <w:tcW w:w="709" w:type="dxa"/>
            <w:tcBorders>
              <w:top w:val="single" w:sz="12" w:space="0" w:color="auto"/>
            </w:tcBorders>
          </w:tcPr>
          <w:p w14:paraId="5ABA2FEC" w14:textId="77777777" w:rsidR="009D6383" w:rsidRPr="009D3012" w:rsidRDefault="009D6383" w:rsidP="009D6383">
            <w:pPr>
              <w:jc w:val="center"/>
              <w:rPr>
                <w:rFonts w:cs="Arial"/>
                <w:sz w:val="18"/>
                <w:szCs w:val="18"/>
                <w:lang w:val="nl-BE"/>
              </w:rPr>
            </w:pPr>
            <w:r w:rsidRPr="009D3012">
              <w:rPr>
                <w:rFonts w:cs="Arial"/>
                <w:sz w:val="18"/>
                <w:szCs w:val="18"/>
                <w:lang w:val="nl-BE"/>
              </w:rPr>
              <w:t>1,10</w:t>
            </w:r>
          </w:p>
        </w:tc>
        <w:tc>
          <w:tcPr>
            <w:tcW w:w="567" w:type="dxa"/>
            <w:tcBorders>
              <w:top w:val="single" w:sz="12" w:space="0" w:color="auto"/>
            </w:tcBorders>
          </w:tcPr>
          <w:p w14:paraId="33CD65A0" w14:textId="77777777" w:rsidR="009D6383" w:rsidRPr="009D3012" w:rsidRDefault="009D6383" w:rsidP="009D6383">
            <w:pPr>
              <w:jc w:val="center"/>
              <w:rPr>
                <w:rFonts w:cs="Arial"/>
                <w:sz w:val="18"/>
                <w:szCs w:val="18"/>
                <w:lang w:val="nl-BE"/>
              </w:rPr>
            </w:pPr>
            <w:r w:rsidRPr="009D3012">
              <w:rPr>
                <w:rFonts w:cs="Arial"/>
                <w:sz w:val="18"/>
                <w:szCs w:val="18"/>
                <w:lang w:val="nl-BE"/>
              </w:rPr>
              <w:t>1,40</w:t>
            </w:r>
          </w:p>
        </w:tc>
        <w:tc>
          <w:tcPr>
            <w:tcW w:w="567" w:type="dxa"/>
            <w:tcBorders>
              <w:top w:val="single" w:sz="12" w:space="0" w:color="auto"/>
            </w:tcBorders>
          </w:tcPr>
          <w:p w14:paraId="69C06C63" w14:textId="77777777" w:rsidR="009D6383" w:rsidRPr="009D3012" w:rsidRDefault="009D6383" w:rsidP="009D6383">
            <w:pPr>
              <w:jc w:val="center"/>
              <w:rPr>
                <w:rFonts w:cs="Arial"/>
                <w:sz w:val="18"/>
                <w:szCs w:val="18"/>
                <w:lang w:val="nl-BE"/>
              </w:rPr>
            </w:pPr>
            <w:r w:rsidRPr="009D3012">
              <w:rPr>
                <w:rFonts w:cs="Arial"/>
                <w:sz w:val="18"/>
                <w:szCs w:val="18"/>
                <w:lang w:val="nl-BE"/>
              </w:rPr>
              <w:t>1,30</w:t>
            </w:r>
          </w:p>
        </w:tc>
        <w:tc>
          <w:tcPr>
            <w:tcW w:w="708" w:type="dxa"/>
            <w:tcBorders>
              <w:top w:val="single" w:sz="12" w:space="0" w:color="auto"/>
            </w:tcBorders>
          </w:tcPr>
          <w:p w14:paraId="160AF3D3" w14:textId="77777777" w:rsidR="009D6383" w:rsidRPr="009D3012" w:rsidRDefault="009D6383" w:rsidP="009D6383">
            <w:pPr>
              <w:jc w:val="center"/>
              <w:rPr>
                <w:rFonts w:cs="Arial"/>
                <w:sz w:val="18"/>
                <w:szCs w:val="18"/>
                <w:lang w:val="nl-BE"/>
              </w:rPr>
            </w:pPr>
            <w:r w:rsidRPr="009D3012">
              <w:rPr>
                <w:rFonts w:cs="Arial"/>
                <w:sz w:val="18"/>
                <w:szCs w:val="18"/>
                <w:lang w:val="nl-BE"/>
              </w:rPr>
              <w:t>0,95</w:t>
            </w:r>
          </w:p>
        </w:tc>
        <w:tc>
          <w:tcPr>
            <w:tcW w:w="567" w:type="dxa"/>
            <w:tcBorders>
              <w:top w:val="single" w:sz="12" w:space="0" w:color="auto"/>
            </w:tcBorders>
          </w:tcPr>
          <w:p w14:paraId="3D38A1AC" w14:textId="77777777" w:rsidR="009D6383" w:rsidRPr="009D3012" w:rsidRDefault="009D6383" w:rsidP="009D6383">
            <w:pPr>
              <w:jc w:val="center"/>
              <w:rPr>
                <w:rFonts w:cs="Arial"/>
                <w:sz w:val="18"/>
                <w:szCs w:val="18"/>
                <w:lang w:val="nl-BE"/>
              </w:rPr>
            </w:pPr>
            <w:r w:rsidRPr="009D3012">
              <w:rPr>
                <w:rFonts w:cs="Arial"/>
                <w:sz w:val="18"/>
                <w:szCs w:val="18"/>
                <w:lang w:val="nl-BE"/>
              </w:rPr>
              <w:t>1,05</w:t>
            </w:r>
          </w:p>
        </w:tc>
        <w:tc>
          <w:tcPr>
            <w:tcW w:w="709" w:type="dxa"/>
            <w:tcBorders>
              <w:top w:val="single" w:sz="12" w:space="0" w:color="auto"/>
            </w:tcBorders>
          </w:tcPr>
          <w:p w14:paraId="409F09EB" w14:textId="77777777" w:rsidR="009D6383" w:rsidRPr="009D3012" w:rsidRDefault="009D6383" w:rsidP="009D6383">
            <w:pPr>
              <w:jc w:val="center"/>
              <w:rPr>
                <w:rFonts w:cs="Arial"/>
                <w:sz w:val="18"/>
                <w:szCs w:val="18"/>
                <w:lang w:val="nl-BE"/>
              </w:rPr>
            </w:pPr>
            <w:r w:rsidRPr="009D3012">
              <w:rPr>
                <w:rFonts w:cs="Arial"/>
                <w:sz w:val="18"/>
                <w:szCs w:val="18"/>
                <w:lang w:val="nl-BE"/>
              </w:rPr>
              <w:t>1,05</w:t>
            </w:r>
          </w:p>
        </w:tc>
      </w:tr>
      <w:tr w:rsidR="009D6383" w:rsidRPr="001455DC" w14:paraId="006DB12D" w14:textId="77777777" w:rsidTr="009D3012">
        <w:tc>
          <w:tcPr>
            <w:tcW w:w="4703" w:type="dxa"/>
          </w:tcPr>
          <w:p w14:paraId="7A18B85B" w14:textId="77777777" w:rsidR="009D6383" w:rsidRPr="009D3012" w:rsidRDefault="009D6383" w:rsidP="009D6383">
            <w:pPr>
              <w:tabs>
                <w:tab w:val="left" w:pos="591"/>
              </w:tabs>
              <w:ind w:left="591" w:hanging="591"/>
              <w:rPr>
                <w:rFonts w:cs="Arial"/>
                <w:sz w:val="18"/>
                <w:szCs w:val="18"/>
                <w:lang w:val="en-US"/>
              </w:rPr>
            </w:pPr>
            <w:r w:rsidRPr="009D3012">
              <w:rPr>
                <w:rFonts w:cs="Arial"/>
                <w:sz w:val="18"/>
                <w:szCs w:val="18"/>
                <w:lang w:val="en-US"/>
              </w:rPr>
              <w:t>(j)</w:t>
            </w:r>
            <w:r w:rsidRPr="009D3012">
              <w:rPr>
                <w:rFonts w:cs="Arial"/>
                <w:sz w:val="18"/>
                <w:szCs w:val="18"/>
                <w:lang w:val="en-US"/>
              </w:rPr>
              <w:tab/>
              <w:t>In case System of AVCP 2+ is applied and the calculation of design resistance is based on critical dimensions, including effective depth which are either:</w:t>
            </w:r>
          </w:p>
          <w:p w14:paraId="216581B5" w14:textId="77777777" w:rsidR="009D6383" w:rsidRPr="009D3012" w:rsidRDefault="009D6383" w:rsidP="00082680">
            <w:pPr>
              <w:pStyle w:val="af9"/>
              <w:widowControl/>
              <w:numPr>
                <w:ilvl w:val="0"/>
                <w:numId w:val="57"/>
              </w:numPr>
              <w:tabs>
                <w:tab w:val="left" w:pos="591"/>
              </w:tabs>
              <w:spacing w:before="0" w:after="0"/>
              <w:jc w:val="left"/>
              <w:rPr>
                <w:rFonts w:cs="Arial"/>
                <w:sz w:val="18"/>
                <w:szCs w:val="18"/>
              </w:rPr>
            </w:pPr>
            <w:r w:rsidRPr="009D3012">
              <w:rPr>
                <w:rFonts w:cs="Arial"/>
                <w:sz w:val="18"/>
                <w:szCs w:val="18"/>
              </w:rPr>
              <w:t>reduced by tolerances, or</w:t>
            </w:r>
          </w:p>
          <w:p w14:paraId="4E2DBFF7" w14:textId="77777777" w:rsidR="009D6383" w:rsidRPr="009D3012" w:rsidRDefault="009D6383" w:rsidP="00082680">
            <w:pPr>
              <w:pStyle w:val="af9"/>
              <w:widowControl/>
              <w:numPr>
                <w:ilvl w:val="0"/>
                <w:numId w:val="57"/>
              </w:numPr>
              <w:tabs>
                <w:tab w:val="left" w:pos="591"/>
              </w:tabs>
              <w:spacing w:before="0" w:after="0"/>
              <w:jc w:val="left"/>
              <w:rPr>
                <w:rFonts w:cs="Arial"/>
                <w:sz w:val="18"/>
                <w:szCs w:val="18"/>
              </w:rPr>
            </w:pPr>
            <w:r w:rsidRPr="009D3012">
              <w:rPr>
                <w:rFonts w:cs="Arial"/>
                <w:sz w:val="18"/>
                <w:szCs w:val="18"/>
              </w:rPr>
              <w:t>measured in the finished structure</w:t>
            </w:r>
          </w:p>
        </w:tc>
        <w:tc>
          <w:tcPr>
            <w:tcW w:w="709" w:type="dxa"/>
          </w:tcPr>
          <w:p w14:paraId="4C2A3DF2" w14:textId="77777777" w:rsidR="009D6383" w:rsidRPr="009D3012" w:rsidRDefault="009D6383" w:rsidP="009D6383">
            <w:pPr>
              <w:jc w:val="center"/>
              <w:rPr>
                <w:rFonts w:cs="Arial"/>
                <w:sz w:val="18"/>
                <w:szCs w:val="18"/>
                <w:lang w:val="nl-BE"/>
              </w:rPr>
            </w:pPr>
            <w:r w:rsidRPr="009D3012">
              <w:rPr>
                <w:rFonts w:cs="Arial"/>
                <w:sz w:val="18"/>
                <w:szCs w:val="18"/>
                <w:lang w:val="nl-BE"/>
              </w:rPr>
              <w:t>1,05</w:t>
            </w:r>
          </w:p>
        </w:tc>
        <w:tc>
          <w:tcPr>
            <w:tcW w:w="567" w:type="dxa"/>
          </w:tcPr>
          <w:p w14:paraId="0B97573E" w14:textId="77777777" w:rsidR="009D6383" w:rsidRPr="009D3012" w:rsidRDefault="009D6383" w:rsidP="009D6383">
            <w:pPr>
              <w:jc w:val="center"/>
              <w:rPr>
                <w:rFonts w:cs="Arial"/>
                <w:sz w:val="18"/>
                <w:szCs w:val="18"/>
                <w:lang w:val="nl-BE"/>
              </w:rPr>
            </w:pPr>
            <w:r w:rsidRPr="009D3012">
              <w:rPr>
                <w:rFonts w:cs="Arial"/>
                <w:sz w:val="18"/>
                <w:szCs w:val="18"/>
                <w:lang w:val="nl-BE"/>
              </w:rPr>
              <w:t>1,35</w:t>
            </w:r>
          </w:p>
        </w:tc>
        <w:tc>
          <w:tcPr>
            <w:tcW w:w="567" w:type="dxa"/>
          </w:tcPr>
          <w:p w14:paraId="47FA8F55" w14:textId="77777777" w:rsidR="009D6383" w:rsidRPr="009D3012" w:rsidRDefault="009D6383" w:rsidP="009D6383">
            <w:pPr>
              <w:jc w:val="center"/>
              <w:rPr>
                <w:rFonts w:cs="Arial"/>
                <w:sz w:val="18"/>
                <w:szCs w:val="18"/>
              </w:rPr>
            </w:pPr>
            <w:r w:rsidRPr="009D3012">
              <w:rPr>
                <w:rFonts w:cs="Arial"/>
                <w:sz w:val="18"/>
                <w:szCs w:val="18"/>
              </w:rPr>
              <w:t>1,28</w:t>
            </w:r>
          </w:p>
        </w:tc>
        <w:tc>
          <w:tcPr>
            <w:tcW w:w="708" w:type="dxa"/>
          </w:tcPr>
          <w:p w14:paraId="7259975A" w14:textId="77777777" w:rsidR="009D6383" w:rsidRPr="009D3012" w:rsidRDefault="009D6383" w:rsidP="009D6383">
            <w:pPr>
              <w:jc w:val="center"/>
              <w:rPr>
                <w:rFonts w:cs="Arial"/>
                <w:sz w:val="18"/>
                <w:szCs w:val="18"/>
              </w:rPr>
            </w:pPr>
            <w:r w:rsidRPr="009D3012">
              <w:rPr>
                <w:rFonts w:cs="Arial"/>
                <w:sz w:val="18"/>
                <w:szCs w:val="18"/>
              </w:rPr>
              <w:t>0,90</w:t>
            </w:r>
          </w:p>
        </w:tc>
        <w:tc>
          <w:tcPr>
            <w:tcW w:w="567" w:type="dxa"/>
          </w:tcPr>
          <w:p w14:paraId="721051FA" w14:textId="77777777" w:rsidR="009D6383" w:rsidRPr="009D3012" w:rsidRDefault="009D6383" w:rsidP="009D6383">
            <w:pPr>
              <w:jc w:val="center"/>
              <w:rPr>
                <w:rFonts w:cs="Arial"/>
                <w:sz w:val="18"/>
                <w:szCs w:val="18"/>
              </w:rPr>
            </w:pPr>
            <w:r w:rsidRPr="009D3012">
              <w:rPr>
                <w:rFonts w:cs="Arial"/>
                <w:sz w:val="18"/>
                <w:szCs w:val="18"/>
              </w:rPr>
              <w:t>1,05</w:t>
            </w:r>
          </w:p>
        </w:tc>
        <w:tc>
          <w:tcPr>
            <w:tcW w:w="709" w:type="dxa"/>
          </w:tcPr>
          <w:p w14:paraId="7725CE71" w14:textId="77777777" w:rsidR="009D6383" w:rsidRPr="009D3012" w:rsidRDefault="009D6383" w:rsidP="009D6383">
            <w:pPr>
              <w:jc w:val="center"/>
              <w:rPr>
                <w:rFonts w:cs="Arial"/>
                <w:sz w:val="18"/>
                <w:szCs w:val="18"/>
              </w:rPr>
            </w:pPr>
            <w:r w:rsidRPr="009D3012">
              <w:rPr>
                <w:rFonts w:cs="Arial"/>
                <w:sz w:val="18"/>
                <w:szCs w:val="18"/>
              </w:rPr>
              <w:t>1,05</w:t>
            </w:r>
          </w:p>
        </w:tc>
      </w:tr>
    </w:tbl>
    <w:p w14:paraId="7A098626" w14:textId="77777777" w:rsidR="009D6383" w:rsidRPr="001455DC" w:rsidRDefault="009D6383" w:rsidP="008C277A">
      <w:pPr>
        <w:pStyle w:val="a7"/>
      </w:pPr>
    </w:p>
    <w:p w14:paraId="58A82AFD" w14:textId="7A745C88" w:rsidR="004E22C1" w:rsidRPr="001455DC" w:rsidRDefault="004E22C1" w:rsidP="008C277A">
      <w:pPr>
        <w:pStyle w:val="a7"/>
      </w:pPr>
    </w:p>
    <w:p w14:paraId="7E572063" w14:textId="77777777" w:rsidR="00994AC0" w:rsidRPr="001455DC" w:rsidRDefault="00994AC0" w:rsidP="008C277A">
      <w:pPr>
        <w:pStyle w:val="a7"/>
        <w:sectPr w:rsidR="00994AC0" w:rsidRPr="001455DC" w:rsidSect="004E22C1">
          <w:type w:val="continuous"/>
          <w:pgSz w:w="11906" w:h="16838" w:code="9"/>
          <w:pgMar w:top="1644" w:right="737" w:bottom="1418" w:left="851" w:header="709" w:footer="284" w:gutter="567"/>
          <w:cols w:space="708"/>
          <w:docGrid w:linePitch="360"/>
        </w:sectPr>
      </w:pPr>
    </w:p>
    <w:p w14:paraId="46860FF0" w14:textId="77777777" w:rsidR="004E22C1" w:rsidRPr="001455DC" w:rsidRDefault="004E22C1" w:rsidP="00F72049">
      <w:pPr>
        <w:pStyle w:val="Tabletitle"/>
      </w:pPr>
      <w:bookmarkStart w:id="1291" w:name="_Toc54337525"/>
      <w:r w:rsidRPr="001455DC">
        <w:t>Table A.2 — Statistical data assumed for the calculation of partial factor defined in Table 4.3(NDP)</w:t>
      </w:r>
      <w:bookmarkEnd w:id="1291"/>
    </w:p>
    <w:tbl>
      <w:tblPr>
        <w:tblStyle w:val="53"/>
        <w:tblW w:w="14348" w:type="dxa"/>
        <w:tblLayout w:type="fixed"/>
        <w:tblCellMar>
          <w:left w:w="56" w:type="dxa"/>
          <w:right w:w="56" w:type="dxa"/>
        </w:tblCellMar>
        <w:tblLook w:val="0660" w:firstRow="1" w:lastRow="1" w:firstColumn="0" w:lastColumn="0" w:noHBand="1" w:noVBand="1"/>
      </w:tblPr>
      <w:tblGrid>
        <w:gridCol w:w="5246"/>
        <w:gridCol w:w="4188"/>
        <w:gridCol w:w="4914"/>
      </w:tblGrid>
      <w:tr w:rsidR="002769FA" w:rsidRPr="001455DC" w14:paraId="327BD308" w14:textId="77777777" w:rsidTr="009D3012">
        <w:trPr>
          <w:cnfStyle w:val="100000000000" w:firstRow="1" w:lastRow="0" w:firstColumn="0" w:lastColumn="0" w:oddVBand="0" w:evenVBand="0" w:oddHBand="0" w:evenHBand="0" w:firstRowFirstColumn="0" w:firstRowLastColumn="0" w:lastRowFirstColumn="0" w:lastRowLastColumn="0"/>
          <w:tblHeader/>
        </w:trPr>
        <w:tc>
          <w:tcPr>
            <w:tcW w:w="5246" w:type="dxa"/>
          </w:tcPr>
          <w:p w14:paraId="201E56D6" w14:textId="77777777" w:rsidR="002769FA" w:rsidRPr="009D3012" w:rsidRDefault="002769FA" w:rsidP="00994AC0">
            <w:pPr>
              <w:pStyle w:val="Tableheader-"/>
              <w:rPr>
                <w:szCs w:val="20"/>
                <w:lang w:val="en-US"/>
              </w:rPr>
            </w:pPr>
          </w:p>
        </w:tc>
        <w:tc>
          <w:tcPr>
            <w:tcW w:w="4188" w:type="dxa"/>
          </w:tcPr>
          <w:p w14:paraId="46F611C1" w14:textId="6FDCE44F" w:rsidR="002769FA" w:rsidRPr="009D3012" w:rsidRDefault="002769FA">
            <w:pPr>
              <w:pStyle w:val="Tableheader-"/>
              <w:rPr>
                <w:rStyle w:val="CCMCvariableitalic"/>
                <w:szCs w:val="20"/>
              </w:rPr>
            </w:pPr>
            <w:r w:rsidRPr="009D3012">
              <w:rPr>
                <w:szCs w:val="20"/>
              </w:rPr>
              <w:t xml:space="preserve">Coefficient of variation </w:t>
            </w:r>
          </w:p>
        </w:tc>
        <w:tc>
          <w:tcPr>
            <w:tcW w:w="4911" w:type="dxa"/>
          </w:tcPr>
          <w:p w14:paraId="3D81AAA2" w14:textId="51AA2124" w:rsidR="002769FA" w:rsidRPr="001455DC" w:rsidRDefault="002769FA">
            <w:pPr>
              <w:pStyle w:val="Tableheader-"/>
              <w:rPr>
                <w:szCs w:val="20"/>
              </w:rPr>
            </w:pPr>
            <w:r w:rsidRPr="009D3012">
              <w:rPr>
                <w:b w:val="0"/>
                <w:szCs w:val="20"/>
              </w:rPr>
              <w:t xml:space="preserve">Bias factor </w:t>
            </w:r>
            <w:r w:rsidRPr="001455DC">
              <w:rPr>
                <w:rStyle w:val="CCMCvariablesuperscript"/>
                <w:bCs/>
                <w:szCs w:val="20"/>
              </w:rPr>
              <w:t>a</w:t>
            </w:r>
          </w:p>
        </w:tc>
      </w:tr>
      <w:tr w:rsidR="004E22C1" w:rsidRPr="001455DC" w14:paraId="7F08C3B2" w14:textId="77777777" w:rsidTr="009D3012">
        <w:tc>
          <w:tcPr>
            <w:tcW w:w="14348" w:type="dxa"/>
            <w:gridSpan w:val="3"/>
            <w:vAlign w:val="center"/>
          </w:tcPr>
          <w:p w14:paraId="535BAD00" w14:textId="77777777" w:rsidR="004E22C1" w:rsidRPr="009D3012" w:rsidRDefault="004E22C1" w:rsidP="00994AC0">
            <w:pPr>
              <w:pStyle w:val="Tablebody-"/>
              <w:jc w:val="left"/>
              <w:rPr>
                <w:b/>
                <w:bCs/>
                <w:szCs w:val="20"/>
                <w:lang w:val="en-US"/>
              </w:rPr>
            </w:pPr>
            <w:r w:rsidRPr="009D3012">
              <w:rPr>
                <w:b/>
                <w:bCs/>
                <w:szCs w:val="20"/>
                <w:lang w:val="en-US"/>
              </w:rPr>
              <w:t xml:space="preserve">Partial factor for reinforcement </w:t>
            </w:r>
            <w:r w:rsidRPr="001455DC">
              <w:rPr>
                <w:rStyle w:val="CCMCvariableitalic"/>
                <w:b/>
                <w:bCs/>
                <w:szCs w:val="20"/>
              </w:rPr>
              <w:t>γ</w:t>
            </w:r>
            <w:r w:rsidRPr="009D3012">
              <w:rPr>
                <w:rStyle w:val="CCMCvariablesubscript"/>
                <w:b/>
                <w:bCs/>
                <w:szCs w:val="20"/>
                <w:lang w:val="en-US"/>
              </w:rPr>
              <w:t>S</w:t>
            </w:r>
          </w:p>
        </w:tc>
      </w:tr>
      <w:tr w:rsidR="002769FA" w:rsidRPr="001455DC" w14:paraId="260E8847" w14:textId="77777777" w:rsidTr="009D3012">
        <w:tc>
          <w:tcPr>
            <w:tcW w:w="5246" w:type="dxa"/>
            <w:vAlign w:val="center"/>
          </w:tcPr>
          <w:p w14:paraId="0E4876AF" w14:textId="77777777" w:rsidR="002769FA" w:rsidRPr="001455DC" w:rsidRDefault="002769FA" w:rsidP="00994AC0">
            <w:pPr>
              <w:pStyle w:val="Tablebody-"/>
              <w:jc w:val="left"/>
              <w:rPr>
                <w:szCs w:val="20"/>
              </w:rPr>
            </w:pPr>
            <w:r w:rsidRPr="001455DC">
              <w:rPr>
                <w:szCs w:val="20"/>
              </w:rPr>
              <w:t xml:space="preserve">Yield strength </w:t>
            </w:r>
            <w:r w:rsidRPr="001455DC">
              <w:rPr>
                <w:rStyle w:val="CCMCvariableitalic"/>
                <w:szCs w:val="20"/>
              </w:rPr>
              <w:t>f</w:t>
            </w:r>
            <w:r w:rsidRPr="001455DC">
              <w:rPr>
                <w:rStyle w:val="CCMCvariablesubscript"/>
                <w:szCs w:val="20"/>
              </w:rPr>
              <w:t>y</w:t>
            </w:r>
          </w:p>
        </w:tc>
        <w:tc>
          <w:tcPr>
            <w:tcW w:w="4188" w:type="dxa"/>
            <w:vAlign w:val="center"/>
          </w:tcPr>
          <w:p w14:paraId="0CFDC429" w14:textId="033CAE3A" w:rsidR="002769FA" w:rsidRPr="001455DC" w:rsidRDefault="002769FA" w:rsidP="00994AC0">
            <w:pPr>
              <w:pStyle w:val="Tablebody-"/>
              <w:jc w:val="center"/>
              <w:rPr>
                <w:szCs w:val="20"/>
              </w:rPr>
            </w:pPr>
            <w:r w:rsidRPr="001455DC">
              <w:rPr>
                <w:rStyle w:val="CCMCvariableitalic"/>
                <w:szCs w:val="20"/>
              </w:rPr>
              <w:t>V</w:t>
            </w:r>
            <w:r w:rsidRPr="001455DC">
              <w:rPr>
                <w:rStyle w:val="CCMCvariablesubscript"/>
                <w:szCs w:val="20"/>
              </w:rPr>
              <w:t>fy</w:t>
            </w:r>
            <w:r w:rsidRPr="001455DC">
              <w:rPr>
                <w:szCs w:val="20"/>
              </w:rPr>
              <w:t> </w:t>
            </w:r>
            <w:r w:rsidRPr="001455DC">
              <w:rPr>
                <w:rFonts w:ascii="Cambria Math" w:hAnsi="Cambria Math"/>
                <w:szCs w:val="20"/>
              </w:rPr>
              <w:t>=</w:t>
            </w:r>
            <w:r w:rsidRPr="001455DC">
              <w:rPr>
                <w:szCs w:val="20"/>
              </w:rPr>
              <w:t> 0,045</w:t>
            </w:r>
          </w:p>
        </w:tc>
        <w:tc>
          <w:tcPr>
            <w:tcW w:w="4911" w:type="dxa"/>
            <w:vAlign w:val="center"/>
          </w:tcPr>
          <w:p w14:paraId="06668525" w14:textId="7D5D1EE5" w:rsidR="002769FA" w:rsidRPr="001455DC" w:rsidRDefault="002769FA">
            <w:pPr>
              <w:pStyle w:val="Tablebody-"/>
              <w:jc w:val="center"/>
              <w:rPr>
                <w:iCs/>
                <w:szCs w:val="20"/>
              </w:rPr>
            </w:pPr>
            <w:r w:rsidRPr="001455DC">
              <w:rPr>
                <w:rStyle w:val="CCMCvariableitalic"/>
                <w:szCs w:val="20"/>
              </w:rPr>
              <w:t>f</w:t>
            </w:r>
            <w:r w:rsidRPr="001455DC">
              <w:rPr>
                <w:rStyle w:val="CCMCvariablesubscript"/>
                <w:szCs w:val="20"/>
              </w:rPr>
              <w:t>ym</w:t>
            </w:r>
            <w:r w:rsidRPr="001455DC">
              <w:rPr>
                <w:szCs w:val="20"/>
              </w:rPr>
              <w:t>/</w:t>
            </w:r>
            <w:r w:rsidRPr="001455DC">
              <w:rPr>
                <w:rStyle w:val="CCMCvariableitalic"/>
                <w:szCs w:val="20"/>
              </w:rPr>
              <w:t>f</w:t>
            </w:r>
            <w:r w:rsidRPr="001455DC">
              <w:rPr>
                <w:rStyle w:val="CCMCvariablesubscript"/>
                <w:szCs w:val="20"/>
              </w:rPr>
              <w:t>yk</w:t>
            </w:r>
            <w:r w:rsidRPr="001455DC">
              <w:rPr>
                <w:szCs w:val="20"/>
              </w:rPr>
              <w:t> </w:t>
            </w:r>
            <w:r w:rsidRPr="001455DC">
              <w:rPr>
                <w:rFonts w:ascii="Cambria Math" w:hAnsi="Cambria Math"/>
                <w:szCs w:val="20"/>
              </w:rPr>
              <w:t>=</w:t>
            </w:r>
            <w:r w:rsidRPr="001455DC">
              <w:rPr>
                <w:szCs w:val="20"/>
              </w:rPr>
              <w:t> exp(1,645</w:t>
            </w:r>
            <w:r w:rsidRPr="001455DC">
              <w:rPr>
                <w:rStyle w:val="CCMCvariableitalic"/>
                <w:szCs w:val="20"/>
              </w:rPr>
              <w:t>V</w:t>
            </w:r>
            <w:r w:rsidRPr="001455DC">
              <w:rPr>
                <w:rStyle w:val="CCMCvariablesubscript"/>
                <w:szCs w:val="20"/>
              </w:rPr>
              <w:t>fy</w:t>
            </w:r>
            <w:r w:rsidRPr="001455DC">
              <w:rPr>
                <w:szCs w:val="20"/>
              </w:rPr>
              <w:t>)</w:t>
            </w:r>
          </w:p>
        </w:tc>
      </w:tr>
      <w:tr w:rsidR="002769FA" w:rsidRPr="001455DC" w14:paraId="6E88DCD8" w14:textId="77777777" w:rsidTr="009D3012">
        <w:tc>
          <w:tcPr>
            <w:tcW w:w="5246" w:type="dxa"/>
            <w:vAlign w:val="center"/>
          </w:tcPr>
          <w:p w14:paraId="168EC93D" w14:textId="5E7B5BA1" w:rsidR="002769FA" w:rsidRPr="001455DC" w:rsidRDefault="002769FA" w:rsidP="00994AC0">
            <w:pPr>
              <w:pStyle w:val="Tablebody-"/>
              <w:jc w:val="left"/>
              <w:rPr>
                <w:szCs w:val="20"/>
              </w:rPr>
            </w:pPr>
            <w:r w:rsidRPr="001455DC">
              <w:rPr>
                <w:szCs w:val="20"/>
              </w:rPr>
              <w:t xml:space="preserve">Effective depth </w:t>
            </w:r>
            <w:r w:rsidRPr="001455DC">
              <w:rPr>
                <w:rStyle w:val="CCMCvariableitalic"/>
                <w:szCs w:val="20"/>
              </w:rPr>
              <w:t>d</w:t>
            </w:r>
          </w:p>
        </w:tc>
        <w:tc>
          <w:tcPr>
            <w:tcW w:w="4188" w:type="dxa"/>
            <w:vAlign w:val="center"/>
          </w:tcPr>
          <w:p w14:paraId="7ECADA89" w14:textId="44958860" w:rsidR="002769FA" w:rsidRPr="001455DC" w:rsidRDefault="002769FA" w:rsidP="00994AC0">
            <w:pPr>
              <w:pStyle w:val="Tablebody-"/>
              <w:jc w:val="center"/>
              <w:rPr>
                <w:szCs w:val="20"/>
              </w:rPr>
            </w:pPr>
            <w:r w:rsidRPr="001455DC">
              <w:rPr>
                <w:rStyle w:val="CCMCvariableitalic"/>
                <w:szCs w:val="20"/>
              </w:rPr>
              <w:t>V</w:t>
            </w:r>
            <w:r w:rsidRPr="001455DC">
              <w:rPr>
                <w:rStyle w:val="CCMCvariablesubscript"/>
                <w:szCs w:val="20"/>
              </w:rPr>
              <w:t>d</w:t>
            </w:r>
            <w:r w:rsidRPr="001455DC">
              <w:rPr>
                <w:szCs w:val="20"/>
              </w:rPr>
              <w:t> </w:t>
            </w:r>
            <w:r w:rsidRPr="001455DC">
              <w:rPr>
                <w:rFonts w:ascii="Cambria Math" w:hAnsi="Cambria Math"/>
                <w:szCs w:val="20"/>
              </w:rPr>
              <w:t>=</w:t>
            </w:r>
            <w:r w:rsidRPr="001455DC">
              <w:rPr>
                <w:szCs w:val="20"/>
              </w:rPr>
              <w:t xml:space="preserve"> 0,050 </w:t>
            </w:r>
            <w:r w:rsidRPr="001455DC">
              <w:rPr>
                <w:rStyle w:val="CCMCvariablesuperscript"/>
                <w:szCs w:val="20"/>
              </w:rPr>
              <w:t>b</w:t>
            </w:r>
          </w:p>
        </w:tc>
        <w:tc>
          <w:tcPr>
            <w:tcW w:w="4911" w:type="dxa"/>
            <w:vAlign w:val="center"/>
          </w:tcPr>
          <w:p w14:paraId="64E98B10" w14:textId="0EC06472" w:rsidR="002769FA" w:rsidRPr="001455DC" w:rsidRDefault="002769FA">
            <w:pPr>
              <w:pStyle w:val="Tablebody-"/>
              <w:jc w:val="center"/>
              <w:rPr>
                <w:iCs/>
                <w:szCs w:val="20"/>
              </w:rPr>
            </w:pPr>
            <w:r w:rsidRPr="001455DC">
              <w:rPr>
                <w:rStyle w:val="CCMCvariableitalic"/>
                <w:szCs w:val="20"/>
              </w:rPr>
              <w:t>μ</w:t>
            </w:r>
            <w:r w:rsidRPr="001455DC">
              <w:rPr>
                <w:rStyle w:val="CCMCvariablesubscript"/>
                <w:szCs w:val="20"/>
              </w:rPr>
              <w:t>d</w:t>
            </w:r>
            <w:r w:rsidRPr="001455DC">
              <w:rPr>
                <w:szCs w:val="20"/>
              </w:rPr>
              <w:t> </w:t>
            </w:r>
            <w:r w:rsidRPr="001455DC">
              <w:rPr>
                <w:rFonts w:ascii="Cambria Math" w:hAnsi="Cambria Math"/>
                <w:szCs w:val="20"/>
              </w:rPr>
              <w:t>=</w:t>
            </w:r>
            <w:r w:rsidRPr="001455DC">
              <w:rPr>
                <w:szCs w:val="20"/>
              </w:rPr>
              <w:t xml:space="preserve"> 0,95 </w:t>
            </w:r>
            <w:r w:rsidRPr="001455DC">
              <w:rPr>
                <w:rStyle w:val="CCMCvariablesuperscript"/>
                <w:szCs w:val="20"/>
              </w:rPr>
              <w:t>b</w:t>
            </w:r>
          </w:p>
        </w:tc>
      </w:tr>
      <w:tr w:rsidR="002769FA" w:rsidRPr="001455DC" w14:paraId="16C0BD30" w14:textId="77777777" w:rsidTr="009D3012">
        <w:tc>
          <w:tcPr>
            <w:tcW w:w="5246" w:type="dxa"/>
            <w:vAlign w:val="center"/>
          </w:tcPr>
          <w:p w14:paraId="138D4A39" w14:textId="77777777" w:rsidR="002769FA" w:rsidRPr="001455DC" w:rsidRDefault="002769FA" w:rsidP="00994AC0">
            <w:pPr>
              <w:pStyle w:val="Tablebody-"/>
              <w:jc w:val="left"/>
              <w:rPr>
                <w:szCs w:val="20"/>
              </w:rPr>
            </w:pPr>
            <w:r w:rsidRPr="001455DC">
              <w:rPr>
                <w:szCs w:val="20"/>
              </w:rPr>
              <w:t>Model uncertainty</w:t>
            </w:r>
          </w:p>
        </w:tc>
        <w:tc>
          <w:tcPr>
            <w:tcW w:w="4188" w:type="dxa"/>
            <w:vAlign w:val="center"/>
          </w:tcPr>
          <w:p w14:paraId="2E653B02" w14:textId="613283E7" w:rsidR="002769FA" w:rsidRPr="001455DC" w:rsidRDefault="002769FA" w:rsidP="00994AC0">
            <w:pPr>
              <w:pStyle w:val="Tablebody-"/>
              <w:jc w:val="center"/>
              <w:rPr>
                <w:szCs w:val="20"/>
              </w:rPr>
            </w:pPr>
            <w:r w:rsidRPr="001455DC">
              <w:rPr>
                <w:rStyle w:val="CCMCvariableitalic"/>
                <w:szCs w:val="20"/>
              </w:rPr>
              <w:t>V</w:t>
            </w:r>
            <w:r w:rsidRPr="001455DC">
              <w:rPr>
                <w:rStyle w:val="CCMCvariablesubscript"/>
                <w:szCs w:val="20"/>
              </w:rPr>
              <w:t>θs</w:t>
            </w:r>
            <w:r w:rsidRPr="001455DC">
              <w:rPr>
                <w:szCs w:val="20"/>
              </w:rPr>
              <w:t> </w:t>
            </w:r>
            <w:r w:rsidRPr="001455DC">
              <w:rPr>
                <w:rFonts w:ascii="Cambria Math" w:hAnsi="Cambria Math"/>
                <w:szCs w:val="20"/>
              </w:rPr>
              <w:t>=</w:t>
            </w:r>
            <w:r w:rsidRPr="001455DC">
              <w:rPr>
                <w:szCs w:val="20"/>
              </w:rPr>
              <w:t xml:space="preserve"> 0,045 </w:t>
            </w:r>
            <w:r w:rsidRPr="001455DC">
              <w:rPr>
                <w:rStyle w:val="CCMCvariablesuperscript"/>
                <w:szCs w:val="20"/>
              </w:rPr>
              <w:t>c</w:t>
            </w:r>
          </w:p>
        </w:tc>
        <w:tc>
          <w:tcPr>
            <w:tcW w:w="4911" w:type="dxa"/>
            <w:vAlign w:val="center"/>
          </w:tcPr>
          <w:p w14:paraId="108699A3" w14:textId="1E730765" w:rsidR="002769FA" w:rsidRPr="001455DC" w:rsidRDefault="002769FA">
            <w:pPr>
              <w:pStyle w:val="Tablebody-"/>
              <w:jc w:val="center"/>
              <w:rPr>
                <w:iCs/>
                <w:szCs w:val="20"/>
              </w:rPr>
            </w:pPr>
            <w:r w:rsidRPr="001455DC">
              <w:rPr>
                <w:rStyle w:val="CCMCvariableitalic"/>
                <w:szCs w:val="20"/>
              </w:rPr>
              <w:t>μ</w:t>
            </w:r>
            <w:r w:rsidRPr="001455DC">
              <w:rPr>
                <w:rStyle w:val="CCMCvariablesubscript"/>
                <w:szCs w:val="20"/>
              </w:rPr>
              <w:t>θs</w:t>
            </w:r>
            <w:r w:rsidRPr="001455DC">
              <w:rPr>
                <w:szCs w:val="20"/>
              </w:rPr>
              <w:t> </w:t>
            </w:r>
            <w:r w:rsidRPr="001455DC">
              <w:rPr>
                <w:rFonts w:ascii="Cambria Math" w:hAnsi="Cambria Math"/>
                <w:szCs w:val="20"/>
              </w:rPr>
              <w:t>=</w:t>
            </w:r>
            <w:r w:rsidRPr="001455DC">
              <w:rPr>
                <w:szCs w:val="20"/>
              </w:rPr>
              <w:t xml:space="preserve"> 1,09 </w:t>
            </w:r>
            <w:r w:rsidRPr="001455DC">
              <w:rPr>
                <w:rStyle w:val="CCMCvariablesuperscript"/>
                <w:szCs w:val="20"/>
              </w:rPr>
              <w:t>c</w:t>
            </w:r>
          </w:p>
        </w:tc>
      </w:tr>
      <w:tr w:rsidR="002769FA" w:rsidRPr="001455DC" w14:paraId="00A0F642" w14:textId="77777777" w:rsidTr="009D3012">
        <w:tc>
          <w:tcPr>
            <w:tcW w:w="5246" w:type="dxa"/>
            <w:vAlign w:val="center"/>
          </w:tcPr>
          <w:p w14:paraId="10D73EEA" w14:textId="50A2C0FE" w:rsidR="002769FA" w:rsidRPr="009D3012" w:rsidRDefault="002769FA" w:rsidP="00994AC0">
            <w:pPr>
              <w:pStyle w:val="Tablebody-"/>
              <w:jc w:val="left"/>
              <w:rPr>
                <w:szCs w:val="20"/>
                <w:lang w:val="en-US"/>
              </w:rPr>
            </w:pPr>
            <w:r w:rsidRPr="009D3012">
              <w:rPr>
                <w:szCs w:val="20"/>
                <w:lang w:val="en-US"/>
              </w:rPr>
              <w:t>Coefficient of variation and bias factor of resistance for reinforcement</w:t>
            </w:r>
          </w:p>
        </w:tc>
        <w:tc>
          <w:tcPr>
            <w:tcW w:w="4188" w:type="dxa"/>
            <w:vAlign w:val="center"/>
          </w:tcPr>
          <w:p w14:paraId="2C956469" w14:textId="263E1FF7" w:rsidR="002769FA" w:rsidRPr="001455DC" w:rsidRDefault="00231E33">
            <w:pPr>
              <w:pStyle w:val="Tablebody-"/>
              <w:jc w:val="center"/>
              <w:rPr>
                <w:szCs w:val="20"/>
              </w:rPr>
            </w:pPr>
            <m:oMathPara>
              <m:oMath>
                <m:sSub>
                  <m:sSubPr>
                    <m:ctrlPr>
                      <w:rPr>
                        <w:rFonts w:ascii="Cambria Math" w:hAnsi="Cambria Math"/>
                        <w:szCs w:val="20"/>
                      </w:rPr>
                    </m:ctrlPr>
                  </m:sSubPr>
                  <m:e>
                    <m:r>
                      <w:rPr>
                        <w:rFonts w:ascii="Cambria Math" w:hAnsi="Cambria Math"/>
                        <w:szCs w:val="20"/>
                      </w:rPr>
                      <m:t>V</m:t>
                    </m:r>
                  </m:e>
                  <m:sub>
                    <m:r>
                      <m:rPr>
                        <m:sty m:val="p"/>
                      </m:rPr>
                      <w:rPr>
                        <w:rFonts w:ascii="Cambria Math" w:hAnsi="Cambria Math"/>
                        <w:szCs w:val="20"/>
                      </w:rPr>
                      <m:t>RS</m:t>
                    </m:r>
                  </m:sub>
                </m:sSub>
                <m:r>
                  <w:rPr>
                    <w:rFonts w:ascii="Cambria Math" w:hAnsi="Cambria Math"/>
                    <w:szCs w:val="20"/>
                  </w:rPr>
                  <m:t>=0,081</m:t>
                </m:r>
                <m:sSup>
                  <m:sSupPr>
                    <m:ctrlPr>
                      <w:rPr>
                        <w:rStyle w:val="CCMCvariablesuperscript"/>
                        <w:rFonts w:ascii="Cambria Math" w:hAnsi="Cambria Math"/>
                        <w:szCs w:val="20"/>
                      </w:rPr>
                    </m:ctrlPr>
                  </m:sSupPr>
                  <m:e>
                    <m:r>
                      <m:rPr>
                        <m:sty m:val="p"/>
                      </m:rPr>
                      <w:rPr>
                        <w:rStyle w:val="CCMCvariablesuperscript"/>
                        <w:rFonts w:ascii="Cambria Math" w:hAnsi="Cambria Math"/>
                        <w:szCs w:val="20"/>
                      </w:rPr>
                      <m:t>c</m:t>
                    </m:r>
                  </m:e>
                  <m:sup>
                    <m:r>
                      <m:rPr>
                        <m:sty m:val="p"/>
                      </m:rPr>
                      <w:rPr>
                        <w:rStyle w:val="CCMCvariablesuperscript"/>
                        <w:rFonts w:ascii="Cambria Math" w:hAnsi="Cambria Math"/>
                        <w:szCs w:val="20"/>
                      </w:rPr>
                      <m:t>i</m:t>
                    </m:r>
                  </m:sup>
                </m:sSup>
              </m:oMath>
            </m:oMathPara>
          </w:p>
        </w:tc>
        <w:tc>
          <w:tcPr>
            <w:tcW w:w="4911" w:type="dxa"/>
            <w:vAlign w:val="center"/>
          </w:tcPr>
          <w:p w14:paraId="18B8B268" w14:textId="3270FD87" w:rsidR="002769FA" w:rsidRPr="001455DC" w:rsidRDefault="00231E33">
            <w:pPr>
              <w:pStyle w:val="Tablebody-"/>
              <w:jc w:val="center"/>
              <w:rPr>
                <w:szCs w:val="20"/>
              </w:rPr>
            </w:pPr>
            <m:oMathPara>
              <m:oMath>
                <m:sSub>
                  <m:sSubPr>
                    <m:ctrlPr>
                      <w:rPr>
                        <w:rFonts w:ascii="Cambria Math" w:hAnsi="Cambria Math"/>
                        <w:szCs w:val="20"/>
                      </w:rPr>
                    </m:ctrlPr>
                  </m:sSubPr>
                  <m:e>
                    <m:r>
                      <w:rPr>
                        <w:rFonts w:ascii="Cambria Math" w:hAnsi="Cambria Math"/>
                        <w:szCs w:val="20"/>
                      </w:rPr>
                      <m:t>μ</m:t>
                    </m:r>
                  </m:e>
                  <m:sub>
                    <m:r>
                      <m:rPr>
                        <m:sty m:val="p"/>
                      </m:rPr>
                      <w:rPr>
                        <w:rFonts w:ascii="Cambria Math" w:hAnsi="Cambria Math"/>
                        <w:szCs w:val="20"/>
                      </w:rPr>
                      <m:t>RS</m:t>
                    </m:r>
                  </m:sub>
                </m:sSub>
                <m:r>
                  <w:rPr>
                    <w:rFonts w:ascii="Cambria Math" w:hAnsi="Cambria Math"/>
                    <w:szCs w:val="20"/>
                  </w:rPr>
                  <m:t>=</m:t>
                </m:r>
                <m:sSup>
                  <m:sSupPr>
                    <m:ctrlPr>
                      <w:rPr>
                        <w:rFonts w:ascii="Cambria Math" w:hAnsi="Cambria Math"/>
                        <w:szCs w:val="20"/>
                      </w:rPr>
                    </m:ctrlPr>
                  </m:sSupPr>
                  <m:e>
                    <m:r>
                      <m:rPr>
                        <m:sty m:val="p"/>
                      </m:rPr>
                      <w:rPr>
                        <w:rFonts w:ascii="Cambria Math" w:hAnsi="Cambria Math"/>
                        <w:szCs w:val="20"/>
                      </w:rPr>
                      <m:t>1,115</m:t>
                    </m:r>
                  </m:e>
                  <m:sup>
                    <m:r>
                      <m:rPr>
                        <m:sty m:val="p"/>
                      </m:rPr>
                      <w:rPr>
                        <w:rFonts w:ascii="Cambria Math" w:hAnsi="Cambria Math"/>
                        <w:szCs w:val="20"/>
                      </w:rPr>
                      <m:t>i</m:t>
                    </m:r>
                  </m:sup>
                </m:sSup>
              </m:oMath>
            </m:oMathPara>
          </w:p>
        </w:tc>
      </w:tr>
      <w:tr w:rsidR="002769FA" w:rsidRPr="001455DC" w14:paraId="32B01F77" w14:textId="77777777" w:rsidTr="009D3012">
        <w:tc>
          <w:tcPr>
            <w:tcW w:w="14348" w:type="dxa"/>
            <w:gridSpan w:val="3"/>
            <w:vAlign w:val="center"/>
          </w:tcPr>
          <w:p w14:paraId="2B09D153" w14:textId="24ED7CAA" w:rsidR="002769FA" w:rsidRPr="009D3012" w:rsidRDefault="002769FA" w:rsidP="009D3012">
            <w:pPr>
              <w:pStyle w:val="Tablebody-"/>
              <w:jc w:val="left"/>
              <w:rPr>
                <w:szCs w:val="20"/>
                <w:lang w:val="en-US"/>
              </w:rPr>
            </w:pPr>
            <w:r w:rsidRPr="009D3012">
              <w:rPr>
                <w:b/>
                <w:bCs/>
                <w:szCs w:val="20"/>
                <w:lang w:val="en-US"/>
              </w:rPr>
              <w:t xml:space="preserve">Partial factor for concrete </w:t>
            </w:r>
            <w:r w:rsidRPr="001455DC">
              <w:rPr>
                <w:rStyle w:val="CCMCvariableitalic"/>
                <w:b/>
                <w:bCs/>
                <w:szCs w:val="20"/>
              </w:rPr>
              <w:t>γ</w:t>
            </w:r>
            <w:r w:rsidRPr="009D3012">
              <w:rPr>
                <w:rStyle w:val="CCMCvariablesubscript"/>
                <w:b/>
                <w:bCs/>
                <w:szCs w:val="20"/>
                <w:lang w:val="en-US"/>
              </w:rPr>
              <w:t>C</w:t>
            </w:r>
          </w:p>
        </w:tc>
      </w:tr>
      <w:tr w:rsidR="002769FA" w:rsidRPr="000250B6" w14:paraId="441D1546" w14:textId="77777777" w:rsidTr="009D3012">
        <w:tc>
          <w:tcPr>
            <w:tcW w:w="5246" w:type="dxa"/>
            <w:vAlign w:val="center"/>
          </w:tcPr>
          <w:p w14:paraId="29B3E88E" w14:textId="77777777" w:rsidR="002769FA" w:rsidRPr="009D3012" w:rsidRDefault="002769FA" w:rsidP="00994AC0">
            <w:pPr>
              <w:pStyle w:val="Tablebody-"/>
              <w:jc w:val="left"/>
              <w:rPr>
                <w:szCs w:val="20"/>
                <w:lang w:val="en-US"/>
              </w:rPr>
            </w:pPr>
            <w:r w:rsidRPr="009D3012">
              <w:rPr>
                <w:szCs w:val="20"/>
                <w:lang w:val="en-US"/>
              </w:rPr>
              <w:t xml:space="preserve">Compressive strength </w:t>
            </w:r>
            <w:r w:rsidRPr="009D3012">
              <w:rPr>
                <w:rStyle w:val="CCMCvariableitalic"/>
                <w:szCs w:val="20"/>
                <w:lang w:val="en-US"/>
              </w:rPr>
              <w:t>f</w:t>
            </w:r>
            <w:r w:rsidRPr="009D3012">
              <w:rPr>
                <w:rStyle w:val="CCMCvariablesubscript"/>
                <w:szCs w:val="20"/>
                <w:lang w:val="en-US"/>
              </w:rPr>
              <w:t>c</w:t>
            </w:r>
            <w:r w:rsidRPr="009D3012">
              <w:rPr>
                <w:szCs w:val="20"/>
                <w:lang w:val="en-US"/>
              </w:rPr>
              <w:t xml:space="preserve"> (control specimen)</w:t>
            </w:r>
          </w:p>
        </w:tc>
        <w:tc>
          <w:tcPr>
            <w:tcW w:w="4188" w:type="dxa"/>
            <w:vAlign w:val="center"/>
          </w:tcPr>
          <w:p w14:paraId="75ED5EA2" w14:textId="0F785973" w:rsidR="002769FA" w:rsidRPr="001455DC" w:rsidRDefault="002769FA" w:rsidP="00994AC0">
            <w:pPr>
              <w:pStyle w:val="Tablebody-"/>
              <w:jc w:val="center"/>
              <w:rPr>
                <w:szCs w:val="20"/>
              </w:rPr>
            </w:pPr>
            <w:r w:rsidRPr="001455DC">
              <w:rPr>
                <w:rStyle w:val="CCMCvariableitalic"/>
                <w:szCs w:val="20"/>
              </w:rPr>
              <w:t>V</w:t>
            </w:r>
            <w:r w:rsidRPr="001455DC">
              <w:rPr>
                <w:rStyle w:val="CCMCvariablesubscript"/>
                <w:szCs w:val="20"/>
              </w:rPr>
              <w:t>fy</w:t>
            </w:r>
            <w:r w:rsidRPr="001455DC">
              <w:rPr>
                <w:szCs w:val="20"/>
              </w:rPr>
              <w:t> </w:t>
            </w:r>
            <w:r w:rsidRPr="001455DC">
              <w:rPr>
                <w:rFonts w:ascii="Cambria Math" w:hAnsi="Cambria Math"/>
                <w:szCs w:val="20"/>
              </w:rPr>
              <w:t>=</w:t>
            </w:r>
            <w:r w:rsidRPr="001455DC">
              <w:rPr>
                <w:szCs w:val="20"/>
              </w:rPr>
              <w:t> 0,100</w:t>
            </w:r>
          </w:p>
        </w:tc>
        <w:tc>
          <w:tcPr>
            <w:tcW w:w="4911" w:type="dxa"/>
            <w:vAlign w:val="center"/>
          </w:tcPr>
          <w:p w14:paraId="75C93C59" w14:textId="237D48E2" w:rsidR="002769FA" w:rsidRPr="001455DC" w:rsidRDefault="002769FA">
            <w:pPr>
              <w:pStyle w:val="Tablebody-"/>
              <w:jc w:val="center"/>
              <w:rPr>
                <w:iCs/>
                <w:szCs w:val="20"/>
              </w:rPr>
            </w:pPr>
            <w:r w:rsidRPr="001455DC">
              <w:rPr>
                <w:rStyle w:val="CCMCvariableitalic"/>
                <w:szCs w:val="20"/>
              </w:rPr>
              <w:t>f</w:t>
            </w:r>
            <w:r w:rsidRPr="001455DC">
              <w:rPr>
                <w:rStyle w:val="CCMCvariablesubscript"/>
                <w:szCs w:val="20"/>
              </w:rPr>
              <w:t>cm</w:t>
            </w:r>
            <w:r w:rsidRPr="001455DC">
              <w:rPr>
                <w:szCs w:val="20"/>
              </w:rPr>
              <w:t>/</w:t>
            </w:r>
            <w:r w:rsidRPr="001455DC">
              <w:rPr>
                <w:rStyle w:val="CCMCvariableitalic"/>
                <w:szCs w:val="20"/>
              </w:rPr>
              <w:t>f</w:t>
            </w:r>
            <w:r w:rsidRPr="001455DC">
              <w:rPr>
                <w:rStyle w:val="CCMCvariablesubscript"/>
                <w:szCs w:val="20"/>
              </w:rPr>
              <w:t>ck</w:t>
            </w:r>
            <w:r w:rsidRPr="001455DC">
              <w:rPr>
                <w:szCs w:val="20"/>
              </w:rPr>
              <w:t> </w:t>
            </w:r>
            <w:r w:rsidRPr="001455DC">
              <w:rPr>
                <w:rFonts w:ascii="Cambria Math" w:hAnsi="Cambria Math"/>
                <w:szCs w:val="20"/>
              </w:rPr>
              <w:t>=</w:t>
            </w:r>
            <w:r w:rsidRPr="001455DC">
              <w:rPr>
                <w:szCs w:val="20"/>
              </w:rPr>
              <w:t> exp(1,645</w:t>
            </w:r>
            <w:r w:rsidRPr="001455DC">
              <w:rPr>
                <w:rStyle w:val="CCMCvariableitalic"/>
                <w:szCs w:val="20"/>
              </w:rPr>
              <w:t>V</w:t>
            </w:r>
            <w:r w:rsidRPr="001455DC">
              <w:rPr>
                <w:rStyle w:val="CCMCvariablesubscript"/>
                <w:szCs w:val="20"/>
              </w:rPr>
              <w:t>fc</w:t>
            </w:r>
            <w:r w:rsidRPr="001455DC">
              <w:rPr>
                <w:szCs w:val="20"/>
              </w:rPr>
              <w:t xml:space="preserve">) </w:t>
            </w:r>
            <w:r w:rsidRPr="001455DC">
              <w:rPr>
                <w:rStyle w:val="CCMCvariablesuperscript"/>
                <w:szCs w:val="20"/>
              </w:rPr>
              <w:t>d</w:t>
            </w:r>
          </w:p>
        </w:tc>
      </w:tr>
      <w:tr w:rsidR="002769FA" w:rsidRPr="001455DC" w14:paraId="125CF623" w14:textId="77777777" w:rsidTr="009D3012">
        <w:tc>
          <w:tcPr>
            <w:tcW w:w="5246" w:type="dxa"/>
            <w:vAlign w:val="center"/>
          </w:tcPr>
          <w:p w14:paraId="2AC5EA7C" w14:textId="554FC3C8" w:rsidR="002769FA" w:rsidRPr="00FA575F" w:rsidRDefault="002769FA" w:rsidP="00994AC0">
            <w:pPr>
              <w:pStyle w:val="Tablebody-"/>
              <w:jc w:val="left"/>
              <w:rPr>
                <w:szCs w:val="20"/>
                <w:lang w:val="en-GB"/>
              </w:rPr>
            </w:pPr>
            <w:r w:rsidRPr="00FA575F">
              <w:rPr>
                <w:szCs w:val="20"/>
                <w:lang w:val="en-GB"/>
              </w:rPr>
              <w:t xml:space="preserve">In-situ factor </w:t>
            </w:r>
            <w:r w:rsidRPr="001455DC">
              <w:rPr>
                <w:rStyle w:val="CCMCvariableitalic"/>
                <w:szCs w:val="20"/>
              </w:rPr>
              <w:t>η</w:t>
            </w:r>
            <w:r w:rsidRPr="00FA575F">
              <w:rPr>
                <w:rStyle w:val="CCMCvariablesubscript"/>
                <w:szCs w:val="20"/>
                <w:lang w:val="en-GB"/>
              </w:rPr>
              <w:t>is</w:t>
            </w:r>
            <w:r w:rsidRPr="00FA575F">
              <w:rPr>
                <w:szCs w:val="20"/>
                <w:lang w:val="en-GB"/>
              </w:rPr>
              <w:t> </w:t>
            </w:r>
            <w:r w:rsidRPr="00FA575F">
              <w:rPr>
                <w:rFonts w:ascii="Cambria Math" w:hAnsi="Cambria Math"/>
                <w:szCs w:val="20"/>
                <w:lang w:val="en-GB"/>
              </w:rPr>
              <w:t>=</w:t>
            </w:r>
            <w:r w:rsidRPr="00FA575F">
              <w:rPr>
                <w:szCs w:val="20"/>
                <w:lang w:val="en-GB"/>
              </w:rPr>
              <w:t> </w:t>
            </w:r>
            <w:r w:rsidRPr="00FA575F">
              <w:rPr>
                <w:rStyle w:val="CCMCvariableitalic"/>
                <w:szCs w:val="20"/>
                <w:lang w:val="en-GB"/>
              </w:rPr>
              <w:t>f</w:t>
            </w:r>
            <w:r w:rsidRPr="00FA575F">
              <w:rPr>
                <w:rStyle w:val="CCMCvariablesubscript"/>
                <w:szCs w:val="20"/>
                <w:lang w:val="en-GB"/>
              </w:rPr>
              <w:t>c,ais</w:t>
            </w:r>
            <w:r w:rsidRPr="00FA575F">
              <w:rPr>
                <w:szCs w:val="20"/>
                <w:lang w:val="en-GB"/>
              </w:rPr>
              <w:t>/</w:t>
            </w:r>
            <w:r w:rsidRPr="00FA575F">
              <w:rPr>
                <w:rStyle w:val="CCMCvariableitalic"/>
                <w:szCs w:val="20"/>
                <w:lang w:val="en-GB"/>
              </w:rPr>
              <w:t>f</w:t>
            </w:r>
            <w:r w:rsidRPr="00FA575F">
              <w:rPr>
                <w:rStyle w:val="CCMCvariablesubscript"/>
                <w:szCs w:val="20"/>
                <w:lang w:val="en-GB"/>
              </w:rPr>
              <w:t>c</w:t>
            </w:r>
            <w:r w:rsidRPr="00FA575F">
              <w:rPr>
                <w:szCs w:val="20"/>
                <w:lang w:val="en-GB"/>
              </w:rPr>
              <w:t xml:space="preserve"> </w:t>
            </w:r>
            <w:r w:rsidRPr="00FA575F">
              <w:rPr>
                <w:rStyle w:val="CCMCvariablesuperscript"/>
                <w:szCs w:val="20"/>
                <w:lang w:val="en-GB"/>
              </w:rPr>
              <w:t>e</w:t>
            </w:r>
          </w:p>
        </w:tc>
        <w:tc>
          <w:tcPr>
            <w:tcW w:w="4188" w:type="dxa"/>
            <w:vAlign w:val="center"/>
          </w:tcPr>
          <w:p w14:paraId="05C1588A" w14:textId="3179B2E9" w:rsidR="002769FA" w:rsidRPr="001455DC" w:rsidRDefault="002769FA" w:rsidP="00994AC0">
            <w:pPr>
              <w:pStyle w:val="Tablebody-"/>
              <w:jc w:val="center"/>
              <w:rPr>
                <w:szCs w:val="20"/>
              </w:rPr>
            </w:pPr>
            <w:r w:rsidRPr="001455DC">
              <w:rPr>
                <w:rStyle w:val="CCMCvariableitalic"/>
                <w:szCs w:val="20"/>
              </w:rPr>
              <w:t>V</w:t>
            </w:r>
            <w:r w:rsidRPr="001455DC">
              <w:rPr>
                <w:rStyle w:val="CCMCvariablesubscript"/>
                <w:szCs w:val="20"/>
              </w:rPr>
              <w:t>ηis</w:t>
            </w:r>
            <w:r w:rsidRPr="001455DC">
              <w:rPr>
                <w:szCs w:val="20"/>
              </w:rPr>
              <w:t> </w:t>
            </w:r>
            <w:r w:rsidRPr="001455DC">
              <w:rPr>
                <w:rFonts w:ascii="Cambria Math" w:hAnsi="Cambria Math"/>
                <w:szCs w:val="20"/>
              </w:rPr>
              <w:t>=</w:t>
            </w:r>
            <w:r w:rsidRPr="001455DC">
              <w:rPr>
                <w:szCs w:val="20"/>
              </w:rPr>
              <w:t> 0,120</w:t>
            </w:r>
          </w:p>
        </w:tc>
        <w:tc>
          <w:tcPr>
            <w:tcW w:w="4911" w:type="dxa"/>
            <w:vAlign w:val="center"/>
          </w:tcPr>
          <w:p w14:paraId="540657A3" w14:textId="7D8E3595" w:rsidR="002769FA" w:rsidRPr="009D3012" w:rsidRDefault="002769FA">
            <w:pPr>
              <w:pStyle w:val="Tablebody-"/>
              <w:jc w:val="center"/>
              <w:rPr>
                <w:rStyle w:val="CCMCvariableitalic"/>
                <w:sz w:val="22"/>
                <w:szCs w:val="20"/>
              </w:rPr>
            </w:pPr>
            <w:r w:rsidRPr="001455DC">
              <w:rPr>
                <w:rStyle w:val="CCMCvariableitalic"/>
                <w:szCs w:val="20"/>
              </w:rPr>
              <w:t>μ</w:t>
            </w:r>
            <w:r w:rsidRPr="001455DC">
              <w:rPr>
                <w:rStyle w:val="CCMCvariablesubscript"/>
                <w:szCs w:val="20"/>
              </w:rPr>
              <w:t>ηis</w:t>
            </w:r>
            <w:r w:rsidRPr="001455DC">
              <w:rPr>
                <w:szCs w:val="20"/>
              </w:rPr>
              <w:t> </w:t>
            </w:r>
            <w:r w:rsidRPr="001455DC">
              <w:rPr>
                <w:rFonts w:ascii="Cambria Math" w:hAnsi="Cambria Math"/>
                <w:szCs w:val="20"/>
              </w:rPr>
              <w:t>=</w:t>
            </w:r>
            <w:r w:rsidRPr="001455DC">
              <w:rPr>
                <w:szCs w:val="20"/>
              </w:rPr>
              <w:t> 0,95</w:t>
            </w:r>
          </w:p>
        </w:tc>
      </w:tr>
      <w:tr w:rsidR="002769FA" w:rsidRPr="001455DC" w14:paraId="11ED8EE5" w14:textId="77777777" w:rsidTr="009D3012">
        <w:tc>
          <w:tcPr>
            <w:tcW w:w="5246" w:type="dxa"/>
            <w:vAlign w:val="center"/>
          </w:tcPr>
          <w:p w14:paraId="135B621A" w14:textId="77777777" w:rsidR="002769FA" w:rsidRPr="001455DC" w:rsidRDefault="002769FA" w:rsidP="00994AC0">
            <w:pPr>
              <w:pStyle w:val="Tablebody-"/>
              <w:jc w:val="left"/>
              <w:rPr>
                <w:szCs w:val="20"/>
              </w:rPr>
            </w:pPr>
            <w:r w:rsidRPr="001455DC">
              <w:rPr>
                <w:szCs w:val="20"/>
              </w:rPr>
              <w:t xml:space="preserve">Concrete area </w:t>
            </w:r>
            <w:r w:rsidRPr="001455DC">
              <w:rPr>
                <w:rStyle w:val="CCMCvariableitalic"/>
                <w:szCs w:val="20"/>
              </w:rPr>
              <w:t>A</w:t>
            </w:r>
            <w:r w:rsidRPr="001455DC">
              <w:rPr>
                <w:rStyle w:val="CCMCvariablesubscript"/>
                <w:szCs w:val="20"/>
              </w:rPr>
              <w:t>c</w:t>
            </w:r>
          </w:p>
        </w:tc>
        <w:tc>
          <w:tcPr>
            <w:tcW w:w="4188" w:type="dxa"/>
            <w:vAlign w:val="center"/>
          </w:tcPr>
          <w:p w14:paraId="33CF3A91" w14:textId="457ACF60" w:rsidR="002769FA" w:rsidRPr="001455DC" w:rsidRDefault="002769FA" w:rsidP="00994AC0">
            <w:pPr>
              <w:pStyle w:val="Tablebody-"/>
              <w:jc w:val="center"/>
              <w:rPr>
                <w:szCs w:val="20"/>
              </w:rPr>
            </w:pPr>
            <w:r w:rsidRPr="001455DC">
              <w:rPr>
                <w:rStyle w:val="CCMCvariableitalic"/>
                <w:szCs w:val="20"/>
              </w:rPr>
              <w:t>V</w:t>
            </w:r>
            <w:r w:rsidRPr="001455DC">
              <w:rPr>
                <w:rStyle w:val="CCMCvariablesubscript"/>
                <w:szCs w:val="20"/>
              </w:rPr>
              <w:t>Ac</w:t>
            </w:r>
            <w:r w:rsidRPr="001455DC">
              <w:rPr>
                <w:szCs w:val="20"/>
              </w:rPr>
              <w:t> </w:t>
            </w:r>
            <w:r w:rsidRPr="001455DC">
              <w:rPr>
                <w:rFonts w:ascii="Cambria Math" w:hAnsi="Cambria Math"/>
                <w:szCs w:val="20"/>
              </w:rPr>
              <w:t>=</w:t>
            </w:r>
            <w:r w:rsidRPr="001455DC">
              <w:rPr>
                <w:szCs w:val="20"/>
              </w:rPr>
              <w:t> 0,040</w:t>
            </w:r>
          </w:p>
        </w:tc>
        <w:tc>
          <w:tcPr>
            <w:tcW w:w="4911" w:type="dxa"/>
            <w:vAlign w:val="center"/>
          </w:tcPr>
          <w:p w14:paraId="063DF506" w14:textId="50EDBE1C" w:rsidR="002769FA" w:rsidRPr="009D3012" w:rsidRDefault="002769FA">
            <w:pPr>
              <w:pStyle w:val="Tablebody-"/>
              <w:jc w:val="center"/>
              <w:rPr>
                <w:rStyle w:val="CCMCvariableitalic"/>
                <w:sz w:val="22"/>
                <w:szCs w:val="20"/>
              </w:rPr>
            </w:pPr>
            <w:r w:rsidRPr="001455DC">
              <w:rPr>
                <w:rStyle w:val="CCMCvariableitalic"/>
                <w:szCs w:val="20"/>
              </w:rPr>
              <w:t>μ</w:t>
            </w:r>
            <w:r w:rsidRPr="001455DC">
              <w:rPr>
                <w:rStyle w:val="CCMCvariablesubscript"/>
                <w:szCs w:val="20"/>
              </w:rPr>
              <w:t>Ac</w:t>
            </w:r>
            <w:r w:rsidRPr="001455DC">
              <w:rPr>
                <w:szCs w:val="20"/>
              </w:rPr>
              <w:t> </w:t>
            </w:r>
            <w:r w:rsidRPr="001455DC">
              <w:rPr>
                <w:rFonts w:ascii="Cambria Math" w:hAnsi="Cambria Math"/>
                <w:szCs w:val="20"/>
              </w:rPr>
              <w:t>=</w:t>
            </w:r>
            <w:r w:rsidRPr="001455DC">
              <w:rPr>
                <w:szCs w:val="20"/>
              </w:rPr>
              <w:t> 1,00</w:t>
            </w:r>
          </w:p>
        </w:tc>
      </w:tr>
      <w:tr w:rsidR="002769FA" w:rsidRPr="001455DC" w14:paraId="53607A39" w14:textId="77777777" w:rsidTr="009D3012">
        <w:tc>
          <w:tcPr>
            <w:tcW w:w="5246" w:type="dxa"/>
            <w:vAlign w:val="center"/>
          </w:tcPr>
          <w:p w14:paraId="618FA501" w14:textId="77777777" w:rsidR="002769FA" w:rsidRPr="001455DC" w:rsidRDefault="002769FA" w:rsidP="00994AC0">
            <w:pPr>
              <w:pStyle w:val="Tablebody-"/>
              <w:jc w:val="left"/>
              <w:rPr>
                <w:szCs w:val="20"/>
              </w:rPr>
            </w:pPr>
            <w:r w:rsidRPr="001455DC">
              <w:rPr>
                <w:szCs w:val="20"/>
              </w:rPr>
              <w:t>Model uncertainty</w:t>
            </w:r>
          </w:p>
        </w:tc>
        <w:tc>
          <w:tcPr>
            <w:tcW w:w="4188" w:type="dxa"/>
            <w:vAlign w:val="center"/>
          </w:tcPr>
          <w:p w14:paraId="5EBA11F2" w14:textId="05A45546" w:rsidR="002769FA" w:rsidRPr="001455DC" w:rsidRDefault="002769FA" w:rsidP="00994AC0">
            <w:pPr>
              <w:pStyle w:val="Tablebody-"/>
              <w:jc w:val="center"/>
              <w:rPr>
                <w:szCs w:val="20"/>
              </w:rPr>
            </w:pPr>
            <w:r w:rsidRPr="001455DC">
              <w:rPr>
                <w:rStyle w:val="CCMCvariableitalic"/>
                <w:szCs w:val="20"/>
              </w:rPr>
              <w:t>V</w:t>
            </w:r>
            <w:r w:rsidRPr="001455DC">
              <w:rPr>
                <w:rStyle w:val="CCMCvariablesubscript"/>
                <w:szCs w:val="20"/>
              </w:rPr>
              <w:t>θc</w:t>
            </w:r>
            <w:r w:rsidRPr="001455DC">
              <w:rPr>
                <w:szCs w:val="20"/>
              </w:rPr>
              <w:t> </w:t>
            </w:r>
            <w:r w:rsidRPr="001455DC">
              <w:rPr>
                <w:rFonts w:ascii="Cambria Math" w:hAnsi="Cambria Math"/>
                <w:szCs w:val="20"/>
              </w:rPr>
              <w:t>=</w:t>
            </w:r>
            <w:r w:rsidRPr="001455DC">
              <w:rPr>
                <w:szCs w:val="20"/>
              </w:rPr>
              <w:t xml:space="preserve"> 0,060 </w:t>
            </w:r>
            <w:r w:rsidRPr="001455DC">
              <w:rPr>
                <w:rStyle w:val="CCMCvariablesuperscript"/>
                <w:szCs w:val="20"/>
              </w:rPr>
              <w:t>f</w:t>
            </w:r>
          </w:p>
        </w:tc>
        <w:tc>
          <w:tcPr>
            <w:tcW w:w="4911" w:type="dxa"/>
            <w:vAlign w:val="center"/>
          </w:tcPr>
          <w:p w14:paraId="34E514EC" w14:textId="4B1EE171" w:rsidR="002769FA" w:rsidRPr="009D3012" w:rsidRDefault="002769FA">
            <w:pPr>
              <w:pStyle w:val="Tablebody-"/>
              <w:jc w:val="center"/>
              <w:rPr>
                <w:rStyle w:val="CCMCvariableitalic"/>
                <w:sz w:val="22"/>
                <w:szCs w:val="20"/>
              </w:rPr>
            </w:pPr>
            <w:r w:rsidRPr="001455DC">
              <w:rPr>
                <w:rStyle w:val="CCMCvariableitalic"/>
                <w:szCs w:val="20"/>
              </w:rPr>
              <w:t>μ</w:t>
            </w:r>
            <w:r w:rsidRPr="001455DC">
              <w:rPr>
                <w:rStyle w:val="CCMCvariablesubscript"/>
                <w:szCs w:val="20"/>
              </w:rPr>
              <w:t>θc</w:t>
            </w:r>
            <w:r w:rsidRPr="001455DC">
              <w:rPr>
                <w:szCs w:val="20"/>
              </w:rPr>
              <w:t> </w:t>
            </w:r>
            <w:r w:rsidRPr="001455DC">
              <w:rPr>
                <w:rFonts w:ascii="Cambria Math" w:hAnsi="Cambria Math"/>
                <w:szCs w:val="20"/>
              </w:rPr>
              <w:t>=</w:t>
            </w:r>
            <w:r w:rsidRPr="001455DC">
              <w:rPr>
                <w:szCs w:val="20"/>
              </w:rPr>
              <w:t xml:space="preserve"> 1,02 </w:t>
            </w:r>
            <w:r w:rsidRPr="001455DC">
              <w:rPr>
                <w:rStyle w:val="CCMCvariablesuperscript"/>
                <w:szCs w:val="20"/>
              </w:rPr>
              <w:t>f</w:t>
            </w:r>
          </w:p>
        </w:tc>
      </w:tr>
      <w:tr w:rsidR="002769FA" w:rsidRPr="001455DC" w14:paraId="22279BC8" w14:textId="77777777" w:rsidTr="009D3012">
        <w:tc>
          <w:tcPr>
            <w:tcW w:w="5246" w:type="dxa"/>
            <w:vAlign w:val="center"/>
          </w:tcPr>
          <w:p w14:paraId="373DCA67" w14:textId="77777777" w:rsidR="002769FA" w:rsidRPr="009D3012" w:rsidRDefault="002769FA" w:rsidP="00994AC0">
            <w:pPr>
              <w:pStyle w:val="Tablebody-"/>
              <w:jc w:val="left"/>
              <w:rPr>
                <w:szCs w:val="20"/>
                <w:lang w:val="en-US"/>
              </w:rPr>
            </w:pPr>
            <w:r w:rsidRPr="009D3012">
              <w:rPr>
                <w:szCs w:val="20"/>
                <w:lang w:val="en-US"/>
              </w:rPr>
              <w:t>Coefficient of variation and bias factor of resistance for concrete</w:t>
            </w:r>
          </w:p>
        </w:tc>
        <w:tc>
          <w:tcPr>
            <w:tcW w:w="4188" w:type="dxa"/>
            <w:vAlign w:val="center"/>
          </w:tcPr>
          <w:p w14:paraId="588AA842" w14:textId="314BDF3B" w:rsidR="002769FA" w:rsidRPr="001455DC" w:rsidRDefault="00231E33">
            <w:pPr>
              <w:pStyle w:val="Tablebody-"/>
              <w:jc w:val="center"/>
              <w:rPr>
                <w:szCs w:val="20"/>
              </w:rPr>
            </w:pPr>
            <m:oMathPara>
              <m:oMath>
                <m:sSub>
                  <m:sSubPr>
                    <m:ctrlPr>
                      <w:rPr>
                        <w:rFonts w:ascii="Cambria Math" w:hAnsi="Cambria Math"/>
                        <w:szCs w:val="20"/>
                      </w:rPr>
                    </m:ctrlPr>
                  </m:sSubPr>
                  <m:e>
                    <m:r>
                      <w:rPr>
                        <w:rFonts w:ascii="Cambria Math" w:hAnsi="Cambria Math"/>
                        <w:szCs w:val="20"/>
                      </w:rPr>
                      <m:t>V</m:t>
                    </m:r>
                  </m:e>
                  <m:sub>
                    <m:r>
                      <m:rPr>
                        <m:sty m:val="p"/>
                      </m:rPr>
                      <w:rPr>
                        <w:rFonts w:ascii="Cambria Math" w:hAnsi="Cambria Math"/>
                        <w:szCs w:val="20"/>
                      </w:rPr>
                      <m:t>RC</m:t>
                    </m:r>
                  </m:sub>
                </m:sSub>
                <m:r>
                  <w:rPr>
                    <w:rFonts w:ascii="Cambria Math" w:hAnsi="Cambria Math"/>
                    <w:szCs w:val="20"/>
                  </w:rPr>
                  <m:t>=</m:t>
                </m:r>
                <m:sSup>
                  <m:sSupPr>
                    <m:ctrlPr>
                      <w:rPr>
                        <w:rFonts w:ascii="Cambria Math" w:hAnsi="Cambria Math"/>
                        <w:szCs w:val="20"/>
                      </w:rPr>
                    </m:ctrlPr>
                  </m:sSupPr>
                  <m:e>
                    <m:r>
                      <m:rPr>
                        <m:sty m:val="p"/>
                      </m:rPr>
                      <w:rPr>
                        <w:rFonts w:ascii="Cambria Math" w:hAnsi="Cambria Math"/>
                        <w:szCs w:val="20"/>
                      </w:rPr>
                      <m:t>0,176</m:t>
                    </m:r>
                  </m:e>
                  <m:sup>
                    <m:r>
                      <m:rPr>
                        <m:sty m:val="p"/>
                      </m:rPr>
                      <w:rPr>
                        <w:rFonts w:ascii="Cambria Math" w:hAnsi="Cambria Math"/>
                        <w:szCs w:val="20"/>
                      </w:rPr>
                      <m:t>i</m:t>
                    </m:r>
                  </m:sup>
                </m:sSup>
              </m:oMath>
            </m:oMathPara>
          </w:p>
        </w:tc>
        <w:tc>
          <w:tcPr>
            <w:tcW w:w="4911" w:type="dxa"/>
            <w:vAlign w:val="center"/>
          </w:tcPr>
          <w:p w14:paraId="10623212" w14:textId="169CA4AE" w:rsidR="002769FA" w:rsidRPr="001455DC" w:rsidRDefault="00231E33">
            <w:pPr>
              <w:pStyle w:val="Tablebody-"/>
              <w:jc w:val="center"/>
              <w:rPr>
                <w:szCs w:val="20"/>
              </w:rPr>
            </w:pPr>
            <m:oMathPara>
              <m:oMath>
                <m:sSub>
                  <m:sSubPr>
                    <m:ctrlPr>
                      <w:rPr>
                        <w:rFonts w:ascii="Cambria Math" w:hAnsi="Cambria Math"/>
                        <w:szCs w:val="20"/>
                      </w:rPr>
                    </m:ctrlPr>
                  </m:sSubPr>
                  <m:e>
                    <m:r>
                      <w:rPr>
                        <w:rFonts w:ascii="Cambria Math" w:hAnsi="Cambria Math"/>
                        <w:szCs w:val="20"/>
                      </w:rPr>
                      <m:t>μ</m:t>
                    </m:r>
                  </m:e>
                  <m:sub>
                    <m:r>
                      <m:rPr>
                        <m:sty m:val="p"/>
                      </m:rPr>
                      <w:rPr>
                        <w:rFonts w:ascii="Cambria Math" w:hAnsi="Cambria Math"/>
                        <w:szCs w:val="20"/>
                      </w:rPr>
                      <m:t>RC</m:t>
                    </m:r>
                  </m:sub>
                </m:sSub>
                <m:r>
                  <w:rPr>
                    <w:rFonts w:ascii="Cambria Math" w:hAnsi="Cambria Math"/>
                    <w:szCs w:val="20"/>
                  </w:rPr>
                  <m:t>=</m:t>
                </m:r>
                <m:sSup>
                  <m:sSupPr>
                    <m:ctrlPr>
                      <w:rPr>
                        <w:rFonts w:ascii="Cambria Math" w:hAnsi="Cambria Math"/>
                        <w:szCs w:val="20"/>
                      </w:rPr>
                    </m:ctrlPr>
                  </m:sSupPr>
                  <m:e>
                    <m:r>
                      <m:rPr>
                        <m:sty m:val="p"/>
                      </m:rPr>
                      <w:rPr>
                        <w:rFonts w:ascii="Cambria Math" w:hAnsi="Cambria Math"/>
                        <w:szCs w:val="20"/>
                      </w:rPr>
                      <m:t>1,142</m:t>
                    </m:r>
                  </m:e>
                  <m:sup>
                    <m:r>
                      <m:rPr>
                        <m:sty m:val="p"/>
                      </m:rPr>
                      <w:rPr>
                        <w:rFonts w:ascii="Cambria Math" w:hAnsi="Cambria Math"/>
                        <w:szCs w:val="20"/>
                      </w:rPr>
                      <m:t>i</m:t>
                    </m:r>
                  </m:sup>
                </m:sSup>
              </m:oMath>
            </m:oMathPara>
          </w:p>
        </w:tc>
      </w:tr>
      <w:tr w:rsidR="004E22C1" w:rsidRPr="001455DC" w14:paraId="046284DA" w14:textId="77777777" w:rsidTr="009D3012">
        <w:tc>
          <w:tcPr>
            <w:tcW w:w="14348" w:type="dxa"/>
            <w:gridSpan w:val="3"/>
            <w:vAlign w:val="center"/>
          </w:tcPr>
          <w:p w14:paraId="649006D2" w14:textId="14211653" w:rsidR="004E22C1" w:rsidRPr="009D3012" w:rsidRDefault="004E22C1">
            <w:pPr>
              <w:pStyle w:val="Tablebody-"/>
              <w:jc w:val="left"/>
              <w:rPr>
                <w:b/>
                <w:bCs/>
                <w:szCs w:val="20"/>
                <w:lang w:val="en-US"/>
              </w:rPr>
            </w:pPr>
            <w:r w:rsidRPr="009D3012">
              <w:rPr>
                <w:b/>
                <w:bCs/>
                <w:szCs w:val="20"/>
                <w:lang w:val="en-US"/>
              </w:rPr>
              <w:t xml:space="preserve">Partial factor for shear and punching </w:t>
            </w:r>
            <w:r w:rsidRPr="001455DC">
              <w:rPr>
                <w:rStyle w:val="CCMCvariableitalic"/>
                <w:b/>
                <w:bCs/>
                <w:szCs w:val="20"/>
              </w:rPr>
              <w:t>γ</w:t>
            </w:r>
            <w:r w:rsidRPr="009D3012">
              <w:rPr>
                <w:rStyle w:val="CCMCvariablesubscript"/>
                <w:b/>
                <w:bCs/>
                <w:szCs w:val="20"/>
                <w:lang w:val="en-US"/>
              </w:rPr>
              <w:t>V</w:t>
            </w:r>
            <w:r w:rsidRPr="009D3012">
              <w:rPr>
                <w:b/>
                <w:bCs/>
                <w:szCs w:val="20"/>
                <w:lang w:val="en-US"/>
              </w:rPr>
              <w:t xml:space="preserve"> (see 8.2.2, 8.4, I.8.</w:t>
            </w:r>
            <w:r w:rsidR="00763209" w:rsidRPr="001455DC">
              <w:rPr>
                <w:b/>
                <w:bCs/>
                <w:szCs w:val="20"/>
                <w:lang w:val="en-US"/>
              </w:rPr>
              <w:t>3</w:t>
            </w:r>
            <w:r w:rsidRPr="009D3012">
              <w:rPr>
                <w:b/>
                <w:bCs/>
                <w:szCs w:val="20"/>
                <w:lang w:val="en-US"/>
              </w:rPr>
              <w:t>.</w:t>
            </w:r>
            <w:r w:rsidR="00763209" w:rsidRPr="001455DC">
              <w:rPr>
                <w:b/>
                <w:bCs/>
                <w:szCs w:val="20"/>
                <w:lang w:val="en-US"/>
              </w:rPr>
              <w:t>1</w:t>
            </w:r>
            <w:r w:rsidRPr="009D3012">
              <w:rPr>
                <w:b/>
                <w:bCs/>
                <w:szCs w:val="20"/>
                <w:lang w:val="en-US"/>
              </w:rPr>
              <w:t>, I.8.</w:t>
            </w:r>
            <w:r w:rsidR="00763209" w:rsidRPr="001455DC">
              <w:rPr>
                <w:b/>
                <w:bCs/>
                <w:szCs w:val="20"/>
                <w:lang w:val="en-US"/>
              </w:rPr>
              <w:t>5</w:t>
            </w:r>
            <w:r w:rsidRPr="009D3012">
              <w:rPr>
                <w:b/>
                <w:bCs/>
                <w:szCs w:val="20"/>
                <w:lang w:val="en-US"/>
              </w:rPr>
              <w:t>)</w:t>
            </w:r>
          </w:p>
        </w:tc>
      </w:tr>
      <w:tr w:rsidR="002769FA" w:rsidRPr="000250B6" w14:paraId="0B3D46AA" w14:textId="77777777" w:rsidTr="009D3012">
        <w:tc>
          <w:tcPr>
            <w:tcW w:w="5246" w:type="dxa"/>
            <w:vAlign w:val="center"/>
          </w:tcPr>
          <w:p w14:paraId="528F5B83" w14:textId="77777777" w:rsidR="002769FA" w:rsidRPr="009D3012" w:rsidRDefault="002769FA" w:rsidP="00994AC0">
            <w:pPr>
              <w:pStyle w:val="Tablebody-"/>
              <w:jc w:val="left"/>
              <w:rPr>
                <w:szCs w:val="20"/>
                <w:lang w:val="en-US"/>
              </w:rPr>
            </w:pPr>
            <w:r w:rsidRPr="009D3012">
              <w:rPr>
                <w:szCs w:val="20"/>
                <w:lang w:val="en-US"/>
              </w:rPr>
              <w:t xml:space="preserve">Compressive strength </w:t>
            </w:r>
            <w:r w:rsidRPr="009D3012">
              <w:rPr>
                <w:rStyle w:val="CCMCvariableitalic"/>
                <w:szCs w:val="20"/>
                <w:lang w:val="en-US"/>
              </w:rPr>
              <w:t>f</w:t>
            </w:r>
            <w:r w:rsidRPr="009D3012">
              <w:rPr>
                <w:rStyle w:val="CCMCvariablesubscript"/>
                <w:szCs w:val="20"/>
                <w:lang w:val="en-US"/>
              </w:rPr>
              <w:t>c</w:t>
            </w:r>
            <w:r w:rsidRPr="009D3012">
              <w:rPr>
                <w:szCs w:val="20"/>
                <w:lang w:val="en-US"/>
              </w:rPr>
              <w:t xml:space="preserve"> (control specimen)</w:t>
            </w:r>
          </w:p>
        </w:tc>
        <w:tc>
          <w:tcPr>
            <w:tcW w:w="4188" w:type="dxa"/>
            <w:vAlign w:val="center"/>
          </w:tcPr>
          <w:p w14:paraId="60B692E5" w14:textId="50BB090A" w:rsidR="002769FA" w:rsidRPr="001455DC" w:rsidRDefault="002769FA" w:rsidP="00994AC0">
            <w:pPr>
              <w:pStyle w:val="Tablebody-"/>
              <w:jc w:val="center"/>
              <w:rPr>
                <w:szCs w:val="20"/>
              </w:rPr>
            </w:pPr>
            <w:r w:rsidRPr="001455DC">
              <w:rPr>
                <w:rStyle w:val="CCMCvariableitalic"/>
                <w:szCs w:val="20"/>
              </w:rPr>
              <w:t>V</w:t>
            </w:r>
            <w:r w:rsidRPr="001455DC">
              <w:rPr>
                <w:rStyle w:val="CCMCvariablesubscript"/>
                <w:szCs w:val="20"/>
              </w:rPr>
              <w:t>fc</w:t>
            </w:r>
            <w:r w:rsidRPr="001455DC">
              <w:rPr>
                <w:szCs w:val="20"/>
              </w:rPr>
              <w:t> </w:t>
            </w:r>
            <w:r w:rsidRPr="001455DC">
              <w:rPr>
                <w:rFonts w:ascii="Cambria Math" w:hAnsi="Cambria Math"/>
                <w:szCs w:val="20"/>
              </w:rPr>
              <w:t>=</w:t>
            </w:r>
            <w:r w:rsidRPr="001455DC">
              <w:rPr>
                <w:szCs w:val="20"/>
              </w:rPr>
              <w:t> 0,100</w:t>
            </w:r>
          </w:p>
        </w:tc>
        <w:tc>
          <w:tcPr>
            <w:tcW w:w="4911" w:type="dxa"/>
            <w:vAlign w:val="center"/>
          </w:tcPr>
          <w:p w14:paraId="248130E3" w14:textId="57B0411E" w:rsidR="002769FA" w:rsidRPr="001455DC" w:rsidRDefault="002769FA">
            <w:pPr>
              <w:pStyle w:val="Tablebody-"/>
              <w:jc w:val="center"/>
              <w:rPr>
                <w:szCs w:val="20"/>
              </w:rPr>
            </w:pPr>
            <w:r w:rsidRPr="001455DC">
              <w:rPr>
                <w:rStyle w:val="CCMCvariableitalic"/>
                <w:szCs w:val="20"/>
              </w:rPr>
              <w:t>f</w:t>
            </w:r>
            <w:r w:rsidRPr="001455DC">
              <w:rPr>
                <w:rStyle w:val="CCMCvariablesubscript"/>
              </w:rPr>
              <w:t>cm</w:t>
            </w:r>
            <w:r w:rsidRPr="001455DC">
              <w:rPr>
                <w:szCs w:val="20"/>
              </w:rPr>
              <w:t>/</w:t>
            </w:r>
            <w:r w:rsidRPr="001455DC">
              <w:rPr>
                <w:rStyle w:val="CCMCvariableitalic"/>
                <w:szCs w:val="20"/>
              </w:rPr>
              <w:t>f</w:t>
            </w:r>
            <w:r w:rsidRPr="001455DC">
              <w:rPr>
                <w:rStyle w:val="CCMCvariablesubscript"/>
              </w:rPr>
              <w:t>ck</w:t>
            </w:r>
            <w:r w:rsidRPr="001455DC">
              <w:rPr>
                <w:szCs w:val="20"/>
              </w:rPr>
              <w:t> </w:t>
            </w:r>
            <w:r w:rsidRPr="001455DC">
              <w:rPr>
                <w:rFonts w:ascii="Cambria Math" w:hAnsi="Cambria Math"/>
                <w:szCs w:val="20"/>
              </w:rPr>
              <w:t>=</w:t>
            </w:r>
            <w:r w:rsidRPr="001455DC">
              <w:rPr>
                <w:szCs w:val="20"/>
              </w:rPr>
              <w:t> exp(1,645</w:t>
            </w:r>
            <w:r w:rsidRPr="001455DC">
              <w:rPr>
                <w:rStyle w:val="CCMCvariableitalic"/>
                <w:szCs w:val="20"/>
              </w:rPr>
              <w:t>V</w:t>
            </w:r>
            <w:r w:rsidRPr="001455DC">
              <w:rPr>
                <w:rStyle w:val="CCMCvariablesubscript"/>
              </w:rPr>
              <w:t>fc</w:t>
            </w:r>
            <w:r w:rsidRPr="001455DC">
              <w:rPr>
                <w:szCs w:val="20"/>
              </w:rPr>
              <w:t xml:space="preserve">) </w:t>
            </w:r>
            <w:r w:rsidRPr="001455DC">
              <w:rPr>
                <w:rStyle w:val="CCMCvariablesuperscript"/>
                <w:szCs w:val="20"/>
              </w:rPr>
              <w:t>d</w:t>
            </w:r>
          </w:p>
        </w:tc>
      </w:tr>
      <w:tr w:rsidR="002769FA" w:rsidRPr="001455DC" w14:paraId="78E9D27F" w14:textId="77777777" w:rsidTr="009D3012">
        <w:tc>
          <w:tcPr>
            <w:tcW w:w="5246" w:type="dxa"/>
            <w:vAlign w:val="center"/>
          </w:tcPr>
          <w:p w14:paraId="48CCA533" w14:textId="27AD29C1" w:rsidR="002769FA" w:rsidRPr="00FA575F" w:rsidRDefault="002769FA" w:rsidP="00994AC0">
            <w:pPr>
              <w:pStyle w:val="Tablebody-"/>
              <w:jc w:val="left"/>
              <w:rPr>
                <w:szCs w:val="20"/>
                <w:lang w:val="en-GB"/>
              </w:rPr>
            </w:pPr>
            <w:r w:rsidRPr="00FA575F">
              <w:rPr>
                <w:szCs w:val="20"/>
                <w:lang w:val="en-GB"/>
              </w:rPr>
              <w:t xml:space="preserve">In-situ factor </w:t>
            </w:r>
            <w:r w:rsidRPr="001455DC">
              <w:rPr>
                <w:rStyle w:val="CCMCvariableitalic"/>
                <w:szCs w:val="20"/>
              </w:rPr>
              <w:t>η</w:t>
            </w:r>
            <w:r w:rsidRPr="00FA575F">
              <w:rPr>
                <w:rStyle w:val="CCMCvariablesubscript"/>
                <w:szCs w:val="20"/>
                <w:lang w:val="en-GB"/>
              </w:rPr>
              <w:t>is</w:t>
            </w:r>
            <w:r w:rsidRPr="00FA575F">
              <w:rPr>
                <w:szCs w:val="20"/>
                <w:lang w:val="en-GB"/>
              </w:rPr>
              <w:t> </w:t>
            </w:r>
            <w:r w:rsidRPr="00FA575F">
              <w:rPr>
                <w:rFonts w:ascii="Cambria Math" w:hAnsi="Cambria Math"/>
                <w:szCs w:val="20"/>
                <w:lang w:val="en-GB"/>
              </w:rPr>
              <w:t>=</w:t>
            </w:r>
            <w:r w:rsidRPr="00FA575F">
              <w:rPr>
                <w:szCs w:val="20"/>
                <w:lang w:val="en-GB"/>
              </w:rPr>
              <w:t> </w:t>
            </w:r>
            <w:r w:rsidRPr="00FA575F">
              <w:rPr>
                <w:rStyle w:val="CCMCvariableitalic"/>
                <w:szCs w:val="20"/>
                <w:lang w:val="en-GB"/>
              </w:rPr>
              <w:t>f</w:t>
            </w:r>
            <w:r w:rsidRPr="00FA575F">
              <w:rPr>
                <w:rStyle w:val="CCMCvariablesubscript"/>
                <w:szCs w:val="20"/>
                <w:lang w:val="en-GB"/>
              </w:rPr>
              <w:t>c,ais</w:t>
            </w:r>
            <w:r w:rsidRPr="00FA575F">
              <w:rPr>
                <w:szCs w:val="20"/>
                <w:lang w:val="en-GB"/>
              </w:rPr>
              <w:t>/</w:t>
            </w:r>
            <w:r w:rsidRPr="00FA575F">
              <w:rPr>
                <w:rStyle w:val="CCMCvariableitalic"/>
                <w:szCs w:val="20"/>
                <w:lang w:val="en-GB"/>
              </w:rPr>
              <w:t>f</w:t>
            </w:r>
            <w:r w:rsidRPr="00FA575F">
              <w:rPr>
                <w:rStyle w:val="CCMCvariablesubscript"/>
                <w:szCs w:val="20"/>
                <w:lang w:val="en-GB"/>
              </w:rPr>
              <w:t>c</w:t>
            </w:r>
            <w:r w:rsidRPr="00FA575F">
              <w:rPr>
                <w:szCs w:val="20"/>
                <w:lang w:val="en-GB"/>
              </w:rPr>
              <w:t xml:space="preserve"> </w:t>
            </w:r>
            <w:r w:rsidRPr="00FA575F">
              <w:rPr>
                <w:rStyle w:val="CCMCvariablesuperscript"/>
                <w:szCs w:val="20"/>
                <w:lang w:val="en-GB"/>
              </w:rPr>
              <w:t>e</w:t>
            </w:r>
          </w:p>
        </w:tc>
        <w:tc>
          <w:tcPr>
            <w:tcW w:w="4188" w:type="dxa"/>
            <w:vAlign w:val="center"/>
          </w:tcPr>
          <w:p w14:paraId="6DEA6D44" w14:textId="3E554CAA" w:rsidR="002769FA" w:rsidRPr="001455DC" w:rsidRDefault="002769FA" w:rsidP="00994AC0">
            <w:pPr>
              <w:pStyle w:val="Tablebody-"/>
              <w:jc w:val="center"/>
              <w:rPr>
                <w:szCs w:val="20"/>
              </w:rPr>
            </w:pPr>
            <w:r w:rsidRPr="001455DC">
              <w:rPr>
                <w:rStyle w:val="CCMCvariableitalic"/>
                <w:szCs w:val="20"/>
              </w:rPr>
              <w:t>V</w:t>
            </w:r>
            <w:r w:rsidRPr="001455DC">
              <w:rPr>
                <w:rStyle w:val="CCMCvariablesubscript"/>
                <w:szCs w:val="20"/>
              </w:rPr>
              <w:t>ηis</w:t>
            </w:r>
            <w:r w:rsidRPr="001455DC">
              <w:rPr>
                <w:szCs w:val="20"/>
              </w:rPr>
              <w:t> </w:t>
            </w:r>
            <w:r w:rsidRPr="001455DC">
              <w:rPr>
                <w:rFonts w:ascii="Cambria Math" w:hAnsi="Cambria Math"/>
                <w:szCs w:val="20"/>
              </w:rPr>
              <w:t>=</w:t>
            </w:r>
            <w:r w:rsidRPr="001455DC">
              <w:rPr>
                <w:szCs w:val="20"/>
              </w:rPr>
              <w:t> 0,120</w:t>
            </w:r>
          </w:p>
        </w:tc>
        <w:tc>
          <w:tcPr>
            <w:tcW w:w="4911" w:type="dxa"/>
            <w:vAlign w:val="center"/>
          </w:tcPr>
          <w:p w14:paraId="148CCEE5" w14:textId="003033EF" w:rsidR="002769FA" w:rsidRPr="001455DC" w:rsidRDefault="002769FA">
            <w:pPr>
              <w:pStyle w:val="Tablebody-"/>
              <w:jc w:val="center"/>
              <w:rPr>
                <w:szCs w:val="20"/>
              </w:rPr>
            </w:pPr>
            <w:r w:rsidRPr="001455DC">
              <w:rPr>
                <w:rStyle w:val="CCMCvariableitalic"/>
                <w:szCs w:val="20"/>
              </w:rPr>
              <w:t>μ</w:t>
            </w:r>
            <w:r w:rsidRPr="001455DC">
              <w:rPr>
                <w:rStyle w:val="CCMCvariablesubscript"/>
                <w:szCs w:val="20"/>
              </w:rPr>
              <w:t>ηis</w:t>
            </w:r>
            <w:r w:rsidRPr="001455DC">
              <w:rPr>
                <w:szCs w:val="20"/>
              </w:rPr>
              <w:t> </w:t>
            </w:r>
            <w:r w:rsidRPr="001455DC">
              <w:rPr>
                <w:rFonts w:ascii="Cambria Math" w:hAnsi="Cambria Math"/>
                <w:szCs w:val="20"/>
              </w:rPr>
              <w:t>=</w:t>
            </w:r>
            <w:r w:rsidRPr="001455DC">
              <w:rPr>
                <w:szCs w:val="20"/>
              </w:rPr>
              <w:t> 0,95</w:t>
            </w:r>
          </w:p>
        </w:tc>
      </w:tr>
      <w:tr w:rsidR="002769FA" w:rsidRPr="001455DC" w14:paraId="456CCCB7" w14:textId="77777777" w:rsidTr="009D3012">
        <w:tc>
          <w:tcPr>
            <w:tcW w:w="5246" w:type="dxa"/>
            <w:vAlign w:val="center"/>
          </w:tcPr>
          <w:p w14:paraId="3D3D51E4" w14:textId="77777777" w:rsidR="002769FA" w:rsidRPr="001455DC" w:rsidRDefault="002769FA" w:rsidP="00994AC0">
            <w:pPr>
              <w:pStyle w:val="Tablebody-"/>
              <w:jc w:val="left"/>
              <w:rPr>
                <w:szCs w:val="20"/>
              </w:rPr>
            </w:pPr>
            <w:r w:rsidRPr="001455DC">
              <w:rPr>
                <w:szCs w:val="20"/>
              </w:rPr>
              <w:t xml:space="preserve">Effective depth </w:t>
            </w:r>
            <w:r w:rsidRPr="001455DC">
              <w:rPr>
                <w:rStyle w:val="CCMCvariableitalic"/>
                <w:szCs w:val="20"/>
              </w:rPr>
              <w:t>d</w:t>
            </w:r>
          </w:p>
        </w:tc>
        <w:tc>
          <w:tcPr>
            <w:tcW w:w="4188" w:type="dxa"/>
            <w:vAlign w:val="center"/>
          </w:tcPr>
          <w:p w14:paraId="747B6620" w14:textId="51D6DE16" w:rsidR="002769FA" w:rsidRPr="001455DC" w:rsidRDefault="002769FA" w:rsidP="00994AC0">
            <w:pPr>
              <w:pStyle w:val="Tablebody-"/>
              <w:jc w:val="center"/>
              <w:rPr>
                <w:szCs w:val="20"/>
              </w:rPr>
            </w:pPr>
            <w:r w:rsidRPr="001455DC">
              <w:rPr>
                <w:rStyle w:val="CCMCvariableitalic"/>
                <w:szCs w:val="20"/>
              </w:rPr>
              <w:t>V</w:t>
            </w:r>
            <w:r w:rsidRPr="001455DC">
              <w:rPr>
                <w:rStyle w:val="CCMCvariablesubscript"/>
                <w:szCs w:val="20"/>
              </w:rPr>
              <w:t>d</w:t>
            </w:r>
            <w:r w:rsidRPr="001455DC">
              <w:rPr>
                <w:szCs w:val="20"/>
              </w:rPr>
              <w:t> </w:t>
            </w:r>
            <w:r w:rsidRPr="001455DC">
              <w:rPr>
                <w:rFonts w:ascii="Cambria Math" w:hAnsi="Cambria Math"/>
                <w:szCs w:val="20"/>
              </w:rPr>
              <w:t>=</w:t>
            </w:r>
            <w:r w:rsidRPr="001455DC">
              <w:rPr>
                <w:szCs w:val="20"/>
              </w:rPr>
              <w:t xml:space="preserve"> 0,050 </w:t>
            </w:r>
            <w:r w:rsidRPr="001455DC">
              <w:rPr>
                <w:rStyle w:val="CCMCvariablesuperscript"/>
                <w:szCs w:val="20"/>
              </w:rPr>
              <w:t>b</w:t>
            </w:r>
          </w:p>
        </w:tc>
        <w:tc>
          <w:tcPr>
            <w:tcW w:w="4911" w:type="dxa"/>
            <w:vAlign w:val="center"/>
          </w:tcPr>
          <w:p w14:paraId="3CE557F9" w14:textId="778A5DBF" w:rsidR="002769FA" w:rsidRPr="001455DC" w:rsidRDefault="002769FA">
            <w:pPr>
              <w:pStyle w:val="Tablebody-"/>
              <w:jc w:val="center"/>
              <w:rPr>
                <w:szCs w:val="20"/>
              </w:rPr>
            </w:pPr>
            <w:r w:rsidRPr="001455DC">
              <w:rPr>
                <w:rStyle w:val="CCMCvariableitalic"/>
                <w:szCs w:val="20"/>
              </w:rPr>
              <w:t>μ</w:t>
            </w:r>
            <w:r w:rsidRPr="001455DC">
              <w:rPr>
                <w:rStyle w:val="CCMCvariablesubscript"/>
                <w:szCs w:val="20"/>
              </w:rPr>
              <w:t>d</w:t>
            </w:r>
            <w:r w:rsidRPr="001455DC">
              <w:rPr>
                <w:szCs w:val="20"/>
              </w:rPr>
              <w:t> </w:t>
            </w:r>
            <w:r w:rsidRPr="001455DC">
              <w:rPr>
                <w:rFonts w:ascii="Cambria Math" w:hAnsi="Cambria Math"/>
                <w:szCs w:val="20"/>
              </w:rPr>
              <w:t>=</w:t>
            </w:r>
            <w:r w:rsidRPr="001455DC">
              <w:rPr>
                <w:szCs w:val="20"/>
              </w:rPr>
              <w:t xml:space="preserve"> 0,95 </w:t>
            </w:r>
            <w:r w:rsidRPr="001455DC">
              <w:rPr>
                <w:rStyle w:val="CCMCvariablesuperscript"/>
                <w:szCs w:val="20"/>
              </w:rPr>
              <w:t>b</w:t>
            </w:r>
          </w:p>
        </w:tc>
      </w:tr>
      <w:tr w:rsidR="002769FA" w:rsidRPr="001455DC" w14:paraId="69292BF8" w14:textId="77777777" w:rsidTr="009D3012">
        <w:tc>
          <w:tcPr>
            <w:tcW w:w="5246" w:type="dxa"/>
            <w:vAlign w:val="center"/>
          </w:tcPr>
          <w:p w14:paraId="79F6597A" w14:textId="77777777" w:rsidR="002769FA" w:rsidRPr="001455DC" w:rsidRDefault="002769FA" w:rsidP="00994AC0">
            <w:pPr>
              <w:pStyle w:val="Tablebody-"/>
              <w:jc w:val="left"/>
              <w:rPr>
                <w:szCs w:val="20"/>
              </w:rPr>
            </w:pPr>
            <w:r w:rsidRPr="001455DC">
              <w:rPr>
                <w:szCs w:val="20"/>
              </w:rPr>
              <w:t>Model uncertainty</w:t>
            </w:r>
          </w:p>
        </w:tc>
        <w:tc>
          <w:tcPr>
            <w:tcW w:w="4188" w:type="dxa"/>
            <w:vAlign w:val="center"/>
          </w:tcPr>
          <w:p w14:paraId="7AD384B8" w14:textId="5398797D" w:rsidR="002769FA" w:rsidRPr="001455DC" w:rsidRDefault="002769FA" w:rsidP="00994AC0">
            <w:pPr>
              <w:pStyle w:val="Tablebody-"/>
              <w:jc w:val="center"/>
              <w:rPr>
                <w:szCs w:val="20"/>
              </w:rPr>
            </w:pPr>
            <w:r w:rsidRPr="001455DC">
              <w:rPr>
                <w:rStyle w:val="CCMCvariableitalic"/>
                <w:szCs w:val="20"/>
              </w:rPr>
              <w:t>V</w:t>
            </w:r>
            <w:r w:rsidRPr="001455DC">
              <w:rPr>
                <w:rStyle w:val="CCMCvariablesubscript"/>
                <w:szCs w:val="20"/>
              </w:rPr>
              <w:t>θs</w:t>
            </w:r>
            <w:r w:rsidRPr="001455DC">
              <w:rPr>
                <w:szCs w:val="20"/>
              </w:rPr>
              <w:t> </w:t>
            </w:r>
            <w:r w:rsidRPr="001455DC">
              <w:rPr>
                <w:rFonts w:ascii="Cambria Math" w:hAnsi="Cambria Math"/>
                <w:szCs w:val="20"/>
              </w:rPr>
              <w:t>=</w:t>
            </w:r>
            <w:r w:rsidRPr="001455DC">
              <w:rPr>
                <w:szCs w:val="20"/>
              </w:rPr>
              <w:t xml:space="preserve"> 0,107 </w:t>
            </w:r>
            <w:r w:rsidRPr="001455DC">
              <w:rPr>
                <w:rStyle w:val="CCMCvariablesuperscript"/>
                <w:szCs w:val="20"/>
              </w:rPr>
              <w:t>g</w:t>
            </w:r>
          </w:p>
        </w:tc>
        <w:tc>
          <w:tcPr>
            <w:tcW w:w="4911" w:type="dxa"/>
            <w:vAlign w:val="center"/>
          </w:tcPr>
          <w:p w14:paraId="11363F5A" w14:textId="0BD1FE7C" w:rsidR="002769FA" w:rsidRPr="001455DC" w:rsidRDefault="002769FA">
            <w:pPr>
              <w:pStyle w:val="Tablebody-"/>
              <w:jc w:val="center"/>
              <w:rPr>
                <w:szCs w:val="20"/>
              </w:rPr>
            </w:pPr>
            <w:r w:rsidRPr="001455DC">
              <w:rPr>
                <w:rStyle w:val="CCMCvariableitalic"/>
                <w:szCs w:val="20"/>
              </w:rPr>
              <w:t>μ</w:t>
            </w:r>
            <w:r w:rsidRPr="001455DC">
              <w:rPr>
                <w:rStyle w:val="CCMCvariablesubscript"/>
                <w:szCs w:val="20"/>
              </w:rPr>
              <w:t>θs</w:t>
            </w:r>
            <w:r w:rsidRPr="001455DC">
              <w:rPr>
                <w:szCs w:val="20"/>
              </w:rPr>
              <w:t> </w:t>
            </w:r>
            <w:r w:rsidRPr="001455DC">
              <w:rPr>
                <w:rFonts w:ascii="Cambria Math" w:hAnsi="Cambria Math"/>
                <w:szCs w:val="20"/>
              </w:rPr>
              <w:t>=</w:t>
            </w:r>
            <w:r w:rsidRPr="001455DC">
              <w:rPr>
                <w:szCs w:val="20"/>
              </w:rPr>
              <w:t xml:space="preserve"> 1,10 </w:t>
            </w:r>
            <w:r w:rsidRPr="001455DC">
              <w:rPr>
                <w:rStyle w:val="CCMCvariablesuperscript"/>
                <w:szCs w:val="20"/>
              </w:rPr>
              <w:t>g</w:t>
            </w:r>
          </w:p>
        </w:tc>
      </w:tr>
      <w:tr w:rsidR="002769FA" w:rsidRPr="001455DC" w14:paraId="329A66A5" w14:textId="77777777" w:rsidTr="009D3012">
        <w:tc>
          <w:tcPr>
            <w:tcW w:w="5246" w:type="dxa"/>
            <w:vAlign w:val="center"/>
          </w:tcPr>
          <w:p w14:paraId="6B88C5D9" w14:textId="1F625952" w:rsidR="002769FA" w:rsidRPr="001455DC" w:rsidRDefault="002769FA" w:rsidP="00994AC0">
            <w:pPr>
              <w:pStyle w:val="Tablebody-"/>
              <w:jc w:val="left"/>
              <w:rPr>
                <w:szCs w:val="20"/>
              </w:rPr>
            </w:pPr>
            <w:r w:rsidRPr="001455DC">
              <w:rPr>
                <w:szCs w:val="20"/>
              </w:rPr>
              <w:t>Residual uncertainties</w:t>
            </w:r>
          </w:p>
        </w:tc>
        <w:tc>
          <w:tcPr>
            <w:tcW w:w="4188" w:type="dxa"/>
            <w:vAlign w:val="center"/>
          </w:tcPr>
          <w:p w14:paraId="791B003A" w14:textId="674A10E0" w:rsidR="002769FA" w:rsidRPr="001455DC" w:rsidRDefault="002769FA" w:rsidP="00994AC0">
            <w:pPr>
              <w:pStyle w:val="Tablebody-"/>
              <w:jc w:val="center"/>
              <w:rPr>
                <w:szCs w:val="20"/>
              </w:rPr>
            </w:pPr>
            <w:r w:rsidRPr="001455DC">
              <w:rPr>
                <w:rStyle w:val="CCMCvariableitalic"/>
                <w:szCs w:val="20"/>
              </w:rPr>
              <w:t>V</w:t>
            </w:r>
            <w:r w:rsidRPr="001455DC">
              <w:rPr>
                <w:rStyle w:val="CCMCvariablesubscript"/>
                <w:szCs w:val="20"/>
              </w:rPr>
              <w:t>res,v</w:t>
            </w:r>
            <w:r w:rsidRPr="001455DC">
              <w:rPr>
                <w:szCs w:val="20"/>
              </w:rPr>
              <w:t> </w:t>
            </w:r>
            <w:r w:rsidRPr="001455DC">
              <w:rPr>
                <w:rFonts w:ascii="Cambria Math" w:hAnsi="Cambria Math"/>
                <w:szCs w:val="20"/>
              </w:rPr>
              <w:t>=</w:t>
            </w:r>
            <w:r w:rsidRPr="001455DC">
              <w:rPr>
                <w:szCs w:val="20"/>
              </w:rPr>
              <w:t xml:space="preserve"> 0,046 </w:t>
            </w:r>
            <w:r w:rsidRPr="001455DC">
              <w:rPr>
                <w:rStyle w:val="CCMCvariablesuperscript"/>
                <w:szCs w:val="20"/>
              </w:rPr>
              <w:t>h</w:t>
            </w:r>
          </w:p>
        </w:tc>
        <w:tc>
          <w:tcPr>
            <w:tcW w:w="4911" w:type="dxa"/>
            <w:vAlign w:val="center"/>
          </w:tcPr>
          <w:p w14:paraId="2F0A20D5" w14:textId="6ED6425B" w:rsidR="002769FA" w:rsidRPr="001455DC" w:rsidRDefault="002769FA">
            <w:pPr>
              <w:pStyle w:val="Tablebody-"/>
              <w:jc w:val="center"/>
              <w:rPr>
                <w:szCs w:val="20"/>
              </w:rPr>
            </w:pPr>
            <w:r w:rsidRPr="001455DC">
              <w:rPr>
                <w:szCs w:val="20"/>
              </w:rPr>
              <w:t>–</w:t>
            </w:r>
          </w:p>
        </w:tc>
      </w:tr>
      <w:tr w:rsidR="002769FA" w:rsidRPr="001455DC" w14:paraId="7C47C111" w14:textId="77777777" w:rsidTr="009D3012">
        <w:tc>
          <w:tcPr>
            <w:tcW w:w="5246" w:type="dxa"/>
            <w:vAlign w:val="center"/>
          </w:tcPr>
          <w:p w14:paraId="6860848E" w14:textId="56DB3437" w:rsidR="002769FA" w:rsidRPr="009D3012" w:rsidRDefault="002769FA" w:rsidP="00994AC0">
            <w:pPr>
              <w:pStyle w:val="Tablebody-"/>
              <w:jc w:val="left"/>
              <w:rPr>
                <w:szCs w:val="20"/>
                <w:lang w:val="en-US"/>
              </w:rPr>
            </w:pPr>
            <w:r w:rsidRPr="009D3012">
              <w:rPr>
                <w:szCs w:val="20"/>
                <w:lang w:val="en-US"/>
              </w:rPr>
              <w:t>Coefficient of variation and bias factor of resistance for shear</w:t>
            </w:r>
            <w:r w:rsidR="00D144A1" w:rsidRPr="009D3012">
              <w:rPr>
                <w:szCs w:val="20"/>
                <w:lang w:val="en-US"/>
              </w:rPr>
              <w:t xml:space="preserve"> and punching (members without shear reinforcement)</w:t>
            </w:r>
          </w:p>
        </w:tc>
        <w:tc>
          <w:tcPr>
            <w:tcW w:w="4188" w:type="dxa"/>
            <w:vAlign w:val="center"/>
          </w:tcPr>
          <w:p w14:paraId="59CA39C4" w14:textId="5771AD1F" w:rsidR="002769FA" w:rsidRPr="009D3012" w:rsidRDefault="00231E33">
            <w:pPr>
              <w:pStyle w:val="Tablebody-"/>
              <w:jc w:val="center"/>
              <w:rPr>
                <w:rStyle w:val="CCMCvariableitalic"/>
                <w:szCs w:val="20"/>
              </w:rPr>
            </w:pPr>
            <m:oMathPara>
              <m:oMath>
                <m:sSub>
                  <m:sSubPr>
                    <m:ctrlPr>
                      <w:rPr>
                        <w:rFonts w:ascii="Cambria Math" w:hAnsi="Cambria Math"/>
                        <w:szCs w:val="20"/>
                      </w:rPr>
                    </m:ctrlPr>
                  </m:sSubPr>
                  <m:e>
                    <m:r>
                      <w:rPr>
                        <w:rFonts w:ascii="Cambria Math" w:hAnsi="Cambria Math"/>
                        <w:szCs w:val="20"/>
                      </w:rPr>
                      <m:t>V</m:t>
                    </m:r>
                  </m:e>
                  <m:sub>
                    <m:r>
                      <m:rPr>
                        <m:sty m:val="p"/>
                      </m:rPr>
                      <w:rPr>
                        <w:rFonts w:ascii="Cambria Math" w:hAnsi="Cambria Math"/>
                        <w:szCs w:val="20"/>
                      </w:rPr>
                      <m:t>RV</m:t>
                    </m:r>
                  </m:sub>
                </m:sSub>
                <m:r>
                  <w:rPr>
                    <w:rFonts w:ascii="Cambria Math" w:hAnsi="Cambria Math"/>
                    <w:szCs w:val="20"/>
                  </w:rPr>
                  <m:t>=</m:t>
                </m:r>
                <m:sSup>
                  <m:sSupPr>
                    <m:ctrlPr>
                      <w:rPr>
                        <w:rFonts w:ascii="Cambria Math" w:hAnsi="Cambria Math"/>
                        <w:i/>
                        <w:szCs w:val="20"/>
                      </w:rPr>
                    </m:ctrlPr>
                  </m:sSupPr>
                  <m:e>
                    <m:r>
                      <w:rPr>
                        <w:rFonts w:ascii="Cambria Math" w:hAnsi="Cambria Math"/>
                        <w:szCs w:val="20"/>
                      </w:rPr>
                      <m:t>0,137</m:t>
                    </m:r>
                  </m:e>
                  <m:sup>
                    <m:r>
                      <w:rPr>
                        <w:rFonts w:ascii="Cambria Math" w:hAnsi="Cambria Math"/>
                        <w:szCs w:val="20"/>
                      </w:rPr>
                      <m:t>i</m:t>
                    </m:r>
                  </m:sup>
                </m:sSup>
              </m:oMath>
            </m:oMathPara>
          </w:p>
        </w:tc>
        <w:tc>
          <w:tcPr>
            <w:tcW w:w="4911" w:type="dxa"/>
            <w:vAlign w:val="center"/>
          </w:tcPr>
          <w:p w14:paraId="100A756E" w14:textId="0B23E317" w:rsidR="002769FA" w:rsidRPr="001455DC" w:rsidRDefault="00231E33">
            <w:pPr>
              <w:pStyle w:val="Tablebody-"/>
              <w:jc w:val="center"/>
              <w:rPr>
                <w:szCs w:val="20"/>
              </w:rPr>
            </w:pPr>
            <m:oMathPara>
              <m:oMath>
                <m:sSub>
                  <m:sSubPr>
                    <m:ctrlPr>
                      <w:rPr>
                        <w:rFonts w:ascii="Cambria Math" w:hAnsi="Cambria Math"/>
                        <w:szCs w:val="20"/>
                      </w:rPr>
                    </m:ctrlPr>
                  </m:sSubPr>
                  <m:e>
                    <m:r>
                      <w:rPr>
                        <w:rFonts w:ascii="Cambria Math" w:hAnsi="Cambria Math"/>
                        <w:szCs w:val="20"/>
                      </w:rPr>
                      <m:t>μ</m:t>
                    </m:r>
                  </m:e>
                  <m:sub>
                    <m:r>
                      <m:rPr>
                        <m:sty m:val="p"/>
                      </m:rPr>
                      <w:rPr>
                        <w:rFonts w:ascii="Cambria Math" w:hAnsi="Cambria Math"/>
                        <w:szCs w:val="20"/>
                      </w:rPr>
                      <m:t>RV</m:t>
                    </m:r>
                  </m:sub>
                </m:sSub>
                <m:r>
                  <w:rPr>
                    <w:rFonts w:ascii="Cambria Math" w:hAnsi="Cambria Math"/>
                    <w:szCs w:val="20"/>
                  </w:rPr>
                  <m:t>=</m:t>
                </m:r>
                <m:sSup>
                  <m:sSupPr>
                    <m:ctrlPr>
                      <w:rPr>
                        <w:rFonts w:ascii="Cambria Math" w:hAnsi="Cambria Math"/>
                        <w:i/>
                        <w:szCs w:val="20"/>
                      </w:rPr>
                    </m:ctrlPr>
                  </m:sSupPr>
                  <m:e>
                    <m:r>
                      <w:rPr>
                        <w:rFonts w:ascii="Cambria Math" w:hAnsi="Cambria Math"/>
                        <w:szCs w:val="20"/>
                      </w:rPr>
                      <m:t>1,085</m:t>
                    </m:r>
                  </m:e>
                  <m:sup>
                    <m:r>
                      <w:rPr>
                        <w:rFonts w:ascii="Cambria Math" w:hAnsi="Cambria Math"/>
                        <w:szCs w:val="20"/>
                      </w:rPr>
                      <m:t>i</m:t>
                    </m:r>
                  </m:sup>
                </m:sSup>
              </m:oMath>
            </m:oMathPara>
          </w:p>
        </w:tc>
      </w:tr>
      <w:tr w:rsidR="004E22C1" w:rsidRPr="001455DC" w14:paraId="338F0802" w14:textId="77777777" w:rsidTr="009D3012">
        <w:trPr>
          <w:cnfStyle w:val="010000000000" w:firstRow="0" w:lastRow="1" w:firstColumn="0" w:lastColumn="0" w:oddVBand="0" w:evenVBand="0" w:oddHBand="0" w:evenHBand="0" w:firstRowFirstColumn="0" w:firstRowLastColumn="0" w:lastRowFirstColumn="0" w:lastRowLastColumn="0"/>
        </w:trPr>
        <w:tc>
          <w:tcPr>
            <w:tcW w:w="14348" w:type="dxa"/>
            <w:gridSpan w:val="3"/>
          </w:tcPr>
          <w:p w14:paraId="67C6ADA6" w14:textId="2D16523A" w:rsidR="004E22C1" w:rsidRPr="009D3012" w:rsidRDefault="004E22C1" w:rsidP="00994AC0">
            <w:pPr>
              <w:pStyle w:val="Tablefooter"/>
              <w:rPr>
                <w:lang w:val="en-US"/>
              </w:rPr>
            </w:pPr>
            <w:r w:rsidRPr="009D3012">
              <w:rPr>
                <w:rStyle w:val="CCMCvariablesuperscript"/>
                <w:lang w:val="en-US"/>
              </w:rPr>
              <w:t>a</w:t>
            </w:r>
            <w:r w:rsidR="00994AC0" w:rsidRPr="009D3012">
              <w:rPr>
                <w:lang w:val="en-US"/>
              </w:rPr>
              <w:tab/>
            </w:r>
            <w:r w:rsidRPr="009D3012">
              <w:rPr>
                <w:lang w:val="en-US"/>
              </w:rPr>
              <w:t>The values in this column refer to ratio between mean value and values used in the design formulae (characteristic or nominal).</w:t>
            </w:r>
          </w:p>
          <w:p w14:paraId="4C00988A" w14:textId="7A27BD00" w:rsidR="004E22C1" w:rsidRPr="009D3012" w:rsidRDefault="004E22C1" w:rsidP="00994AC0">
            <w:pPr>
              <w:pStyle w:val="Tablefooter"/>
              <w:rPr>
                <w:lang w:val="en-US"/>
              </w:rPr>
            </w:pPr>
            <w:r w:rsidRPr="009D3012">
              <w:rPr>
                <w:rStyle w:val="CCMCvariablesuperscript"/>
                <w:lang w:val="en-US"/>
              </w:rPr>
              <w:t>b</w:t>
            </w:r>
            <w:r w:rsidR="00994AC0" w:rsidRPr="009D3012">
              <w:rPr>
                <w:lang w:val="en-US"/>
              </w:rPr>
              <w:tab/>
            </w:r>
            <w:r w:rsidRPr="009D3012">
              <w:rPr>
                <w:lang w:val="en-US"/>
              </w:rPr>
              <w:t xml:space="preserve">These values are valid for </w:t>
            </w:r>
            <w:r w:rsidRPr="009D3012">
              <w:rPr>
                <w:rStyle w:val="CCMCvariableitalic"/>
                <w:lang w:val="en-US"/>
              </w:rPr>
              <w:t>d</w:t>
            </w:r>
            <w:r w:rsidRPr="009D3012">
              <w:rPr>
                <w:lang w:val="en-US"/>
              </w:rPr>
              <w:t> </w:t>
            </w:r>
            <w:r w:rsidR="00EC27D2" w:rsidRPr="009D3012">
              <w:rPr>
                <w:rFonts w:ascii="Cambria Math" w:hAnsi="Cambria Math"/>
                <w:lang w:val="en-US"/>
              </w:rPr>
              <w:t>=</w:t>
            </w:r>
            <w:r w:rsidRPr="009D3012">
              <w:rPr>
                <w:lang w:val="en-US"/>
              </w:rPr>
              <w:t xml:space="preserve"> 200 mm. For other effective depths: </w:t>
            </w:r>
            <w:r w:rsidRPr="009D3012">
              <w:rPr>
                <w:rStyle w:val="CCMCvariableitalic"/>
                <w:lang w:val="en-US"/>
              </w:rPr>
              <w:t>V</w:t>
            </w:r>
            <w:r w:rsidRPr="009D3012">
              <w:rPr>
                <w:rStyle w:val="CCMCvariablesubscript"/>
                <w:lang w:val="en-US"/>
              </w:rPr>
              <w:t>d</w:t>
            </w:r>
            <w:r w:rsidRPr="009D3012">
              <w:rPr>
                <w:lang w:val="en-US"/>
              </w:rPr>
              <w:t> </w:t>
            </w:r>
            <w:r w:rsidR="00EC27D2" w:rsidRPr="009D3012">
              <w:rPr>
                <w:rFonts w:ascii="Cambria Math" w:hAnsi="Cambria Math"/>
                <w:lang w:val="en-US"/>
              </w:rPr>
              <w:t>=</w:t>
            </w:r>
            <w:r w:rsidRPr="009D3012">
              <w:rPr>
                <w:lang w:val="en-US"/>
              </w:rPr>
              <w:t> 0,05(200/</w:t>
            </w:r>
            <w:r w:rsidRPr="009D3012">
              <w:rPr>
                <w:rStyle w:val="CCMCvariableitalic"/>
                <w:lang w:val="en-US"/>
              </w:rPr>
              <w:t>d</w:t>
            </w:r>
            <w:r w:rsidRPr="009D3012">
              <w:rPr>
                <w:lang w:val="en-US"/>
              </w:rPr>
              <w:t>)</w:t>
            </w:r>
            <w:r w:rsidRPr="009D3012">
              <w:rPr>
                <w:rStyle w:val="CCMCvariablesuperscript"/>
                <w:lang w:val="en-US"/>
              </w:rPr>
              <w:t>2/3</w:t>
            </w:r>
            <w:r w:rsidRPr="009D3012">
              <w:rPr>
                <w:lang w:val="en-US"/>
              </w:rPr>
              <w:t xml:space="preserve"> and </w:t>
            </w:r>
            <w:r w:rsidRPr="001455DC">
              <w:rPr>
                <w:rStyle w:val="CCMCvariableitalic"/>
              </w:rPr>
              <w:t>μ</w:t>
            </w:r>
            <w:r w:rsidRPr="009D3012">
              <w:rPr>
                <w:rStyle w:val="CCMCvariablesubscript"/>
                <w:lang w:val="en-US"/>
              </w:rPr>
              <w:t>d</w:t>
            </w:r>
            <w:r w:rsidRPr="009D3012">
              <w:rPr>
                <w:lang w:val="en-US"/>
              </w:rPr>
              <w:t> </w:t>
            </w:r>
            <w:r w:rsidR="00EC27D2" w:rsidRPr="009D3012">
              <w:rPr>
                <w:rFonts w:ascii="Cambria Math" w:hAnsi="Cambria Math"/>
                <w:lang w:val="en-US"/>
              </w:rPr>
              <w:t>=</w:t>
            </w:r>
            <w:r w:rsidRPr="009D3012">
              <w:rPr>
                <w:lang w:val="en-US"/>
              </w:rPr>
              <w:t> 1 </w:t>
            </w:r>
            <w:r w:rsidR="00EC27D2" w:rsidRPr="009D3012">
              <w:rPr>
                <w:rFonts w:ascii="Cambria Math" w:hAnsi="Cambria Math"/>
                <w:lang w:val="en-US"/>
              </w:rPr>
              <w:t>−</w:t>
            </w:r>
            <w:r w:rsidRPr="009D3012">
              <w:rPr>
                <w:lang w:val="en-US"/>
              </w:rPr>
              <w:t> 0,05(200/</w:t>
            </w:r>
            <w:r w:rsidRPr="009D3012">
              <w:rPr>
                <w:rStyle w:val="CCMCvariableitalic"/>
                <w:lang w:val="en-US"/>
              </w:rPr>
              <w:t>d</w:t>
            </w:r>
            <w:r w:rsidRPr="009D3012">
              <w:rPr>
                <w:lang w:val="en-US"/>
              </w:rPr>
              <w:t>)</w:t>
            </w:r>
            <w:r w:rsidRPr="009D3012">
              <w:rPr>
                <w:rStyle w:val="CCMCvariablesuperscript"/>
                <w:lang w:val="en-US"/>
              </w:rPr>
              <w:t>2/3</w:t>
            </w:r>
            <w:r w:rsidRPr="009D3012">
              <w:rPr>
                <w:lang w:val="en-US"/>
              </w:rPr>
              <w:t>.</w:t>
            </w:r>
          </w:p>
          <w:p w14:paraId="4DE8BACD" w14:textId="2EDDB660" w:rsidR="004E22C1" w:rsidRPr="009D3012" w:rsidRDefault="004E22C1" w:rsidP="00994AC0">
            <w:pPr>
              <w:pStyle w:val="Tablefooter"/>
              <w:rPr>
                <w:lang w:val="en-US"/>
              </w:rPr>
            </w:pPr>
            <w:r w:rsidRPr="009D3012">
              <w:rPr>
                <w:rStyle w:val="CCMCvariablesuperscript"/>
                <w:lang w:val="en-US"/>
              </w:rPr>
              <w:t>c</w:t>
            </w:r>
            <w:r w:rsidR="00994AC0" w:rsidRPr="009D3012">
              <w:rPr>
                <w:lang w:val="en-US"/>
              </w:rPr>
              <w:tab/>
            </w:r>
            <w:r w:rsidRPr="009D3012">
              <w:rPr>
                <w:lang w:val="en-US"/>
              </w:rPr>
              <w:t xml:space="preserve">The partial factor </w:t>
            </w:r>
            <w:r w:rsidRPr="001455DC">
              <w:rPr>
                <w:rStyle w:val="CCMCvariableitalic"/>
              </w:rPr>
              <w:t>γ</w:t>
            </w:r>
            <w:r w:rsidRPr="009D3012">
              <w:rPr>
                <w:rStyle w:val="CCMCvariablesubscript"/>
                <w:lang w:val="en-US"/>
              </w:rPr>
              <w:t>S</w:t>
            </w:r>
            <w:r w:rsidRPr="009D3012">
              <w:rPr>
                <w:lang w:val="en-US"/>
              </w:rPr>
              <w:t xml:space="preserve"> is calibrated for the case of pure bending according to 5.2.4 and 8.1.</w:t>
            </w:r>
          </w:p>
          <w:p w14:paraId="74532E0D" w14:textId="0AAA5686" w:rsidR="004E22C1" w:rsidRPr="009D3012" w:rsidRDefault="004E22C1" w:rsidP="00994AC0">
            <w:pPr>
              <w:pStyle w:val="Tablefooter"/>
              <w:rPr>
                <w:lang w:val="en-US"/>
              </w:rPr>
            </w:pPr>
            <w:r w:rsidRPr="009D3012">
              <w:rPr>
                <w:rStyle w:val="CCMCvariablesuperscript"/>
                <w:lang w:val="en-US"/>
              </w:rPr>
              <w:t>d</w:t>
            </w:r>
            <w:r w:rsidR="00994AC0" w:rsidRPr="009D3012">
              <w:rPr>
                <w:lang w:val="en-US"/>
              </w:rPr>
              <w:tab/>
            </w:r>
            <w:r w:rsidRPr="009D3012">
              <w:rPr>
                <w:lang w:val="en-US"/>
              </w:rPr>
              <w:t>This formula replaces relationship given in Table 5.1 for the purpose of Annex A.</w:t>
            </w:r>
          </w:p>
          <w:p w14:paraId="361A91EC" w14:textId="43C5F765" w:rsidR="004E22C1" w:rsidRPr="009D3012" w:rsidRDefault="004E22C1" w:rsidP="00994AC0">
            <w:pPr>
              <w:pStyle w:val="Tablefooter"/>
              <w:rPr>
                <w:lang w:val="en-US"/>
              </w:rPr>
            </w:pPr>
            <w:r w:rsidRPr="009D3012">
              <w:rPr>
                <w:rStyle w:val="CCMCvariablesuperscript"/>
                <w:lang w:val="en-US"/>
              </w:rPr>
              <w:t>e</w:t>
            </w:r>
            <w:r w:rsidR="00994AC0" w:rsidRPr="009D3012">
              <w:rPr>
                <w:lang w:val="en-US"/>
              </w:rPr>
              <w:tab/>
            </w:r>
            <w:r w:rsidRPr="009D3012">
              <w:rPr>
                <w:lang w:val="en-US"/>
              </w:rPr>
              <w:t xml:space="preserve">In-situ factor </w:t>
            </w:r>
            <w:r w:rsidRPr="001455DC">
              <w:rPr>
                <w:rStyle w:val="CCMCvariableitalic"/>
              </w:rPr>
              <w:t>η</w:t>
            </w:r>
            <w:r w:rsidRPr="009D3012">
              <w:rPr>
                <w:rStyle w:val="CCMCvariablesubscript"/>
                <w:lang w:val="en-US"/>
              </w:rPr>
              <w:t>is</w:t>
            </w:r>
            <w:r w:rsidRPr="009D3012">
              <w:rPr>
                <w:lang w:val="en-US"/>
              </w:rPr>
              <w:t xml:space="preserve"> accounts for the difference between the actual in-situ concrete strength in the structure </w:t>
            </w:r>
            <w:r w:rsidRPr="009D3012">
              <w:rPr>
                <w:rStyle w:val="CCMCvariableitalic"/>
                <w:lang w:val="en-US"/>
              </w:rPr>
              <w:t>f</w:t>
            </w:r>
            <w:r w:rsidRPr="009D3012">
              <w:rPr>
                <w:rStyle w:val="CCMCvariablesubscript"/>
                <w:lang w:val="en-US"/>
              </w:rPr>
              <w:t>c,ais</w:t>
            </w:r>
            <w:r w:rsidRPr="009D3012">
              <w:rPr>
                <w:lang w:val="en-US"/>
              </w:rPr>
              <w:t xml:space="preserve"> and the strength of the control specimen </w:t>
            </w:r>
            <w:r w:rsidRPr="009D3012">
              <w:rPr>
                <w:rStyle w:val="CCMCvariableitalic"/>
                <w:lang w:val="en-US"/>
              </w:rPr>
              <w:t>f</w:t>
            </w:r>
            <w:r w:rsidRPr="009D3012">
              <w:rPr>
                <w:rStyle w:val="CCMCvariablesubscript"/>
                <w:lang w:val="en-US"/>
              </w:rPr>
              <w:t>c</w:t>
            </w:r>
            <w:r w:rsidRPr="009D3012">
              <w:rPr>
                <w:lang w:val="en-US"/>
              </w:rPr>
              <w:t xml:space="preserve">. For strength </w:t>
            </w:r>
            <w:r w:rsidRPr="009D3012">
              <w:rPr>
                <w:rStyle w:val="CCMCvariableitalic"/>
                <w:lang w:val="en-US"/>
              </w:rPr>
              <w:t>f</w:t>
            </w:r>
            <w:r w:rsidRPr="009D3012">
              <w:rPr>
                <w:rStyle w:val="CCMCvariablesubscript"/>
                <w:lang w:val="en-US"/>
              </w:rPr>
              <w:t>c,is</w:t>
            </w:r>
            <w:r w:rsidRPr="009D3012">
              <w:rPr>
                <w:lang w:val="en-US"/>
              </w:rPr>
              <w:t xml:space="preserve"> assessed on extracted 2:1 cores according to EN 13791, see (7).</w:t>
            </w:r>
          </w:p>
          <w:p w14:paraId="345CE579" w14:textId="1CB0B7AF" w:rsidR="004E22C1" w:rsidRPr="009D3012" w:rsidRDefault="004E22C1" w:rsidP="00994AC0">
            <w:pPr>
              <w:pStyle w:val="Tablefooter"/>
              <w:rPr>
                <w:lang w:val="en-US"/>
              </w:rPr>
            </w:pPr>
            <w:r w:rsidRPr="009D3012">
              <w:rPr>
                <w:rStyle w:val="CCMCvariablesuperscript"/>
                <w:lang w:val="en-US"/>
              </w:rPr>
              <w:t>f</w:t>
            </w:r>
            <w:r w:rsidR="00994AC0" w:rsidRPr="009D3012">
              <w:rPr>
                <w:lang w:val="en-US"/>
              </w:rPr>
              <w:tab/>
            </w:r>
            <w:r w:rsidRPr="009D3012">
              <w:rPr>
                <w:lang w:val="en-US"/>
              </w:rPr>
              <w:t xml:space="preserve">The partial factor </w:t>
            </w:r>
            <w:r w:rsidRPr="001455DC">
              <w:rPr>
                <w:rStyle w:val="CCMCvariableitalic"/>
              </w:rPr>
              <w:t>γ</w:t>
            </w:r>
            <w:r w:rsidRPr="009D3012">
              <w:rPr>
                <w:rStyle w:val="CCMCvariablesubscript"/>
                <w:lang w:val="en-US"/>
              </w:rPr>
              <w:t>C</w:t>
            </w:r>
            <w:r w:rsidRPr="009D3012">
              <w:rPr>
                <w:lang w:val="en-US"/>
              </w:rPr>
              <w:t xml:space="preserve"> is calibrated for the case of axial compression according to 5.1.6 and 8.1.</w:t>
            </w:r>
          </w:p>
          <w:p w14:paraId="6ADC2B85" w14:textId="42836DD2" w:rsidR="004E22C1" w:rsidRPr="009D3012" w:rsidRDefault="004E22C1" w:rsidP="00994AC0">
            <w:pPr>
              <w:pStyle w:val="Tablefooter"/>
              <w:rPr>
                <w:lang w:val="en-US"/>
              </w:rPr>
            </w:pPr>
            <w:r w:rsidRPr="009D3012">
              <w:rPr>
                <w:rStyle w:val="CCMCvariablesuperscript"/>
                <w:lang w:val="en-US"/>
              </w:rPr>
              <w:t>g</w:t>
            </w:r>
            <w:r w:rsidR="00994AC0" w:rsidRPr="009D3012">
              <w:rPr>
                <w:lang w:val="en-US"/>
              </w:rPr>
              <w:tab/>
            </w:r>
            <w:r w:rsidRPr="009D3012">
              <w:rPr>
                <w:lang w:val="en-US"/>
              </w:rPr>
              <w:t xml:space="preserve">The partial factor </w:t>
            </w:r>
            <w:r w:rsidRPr="001455DC">
              <w:rPr>
                <w:rStyle w:val="CCMCvariableitalic"/>
              </w:rPr>
              <w:t>γ</w:t>
            </w:r>
            <w:r w:rsidRPr="009D3012">
              <w:rPr>
                <w:rStyle w:val="CCMCvariablesubscript"/>
                <w:lang w:val="en-US"/>
              </w:rPr>
              <w:t>V</w:t>
            </w:r>
            <w:r w:rsidRPr="009D3012">
              <w:rPr>
                <w:lang w:val="en-US"/>
              </w:rPr>
              <w:t xml:space="preserve"> is calibrated for the case of punching according to 8.4 and applies also for the case of shear without shear reinforcement according to 8.2.2 (similar statistical values).</w:t>
            </w:r>
          </w:p>
          <w:p w14:paraId="1B7E81FB" w14:textId="4718E270" w:rsidR="004E22C1" w:rsidRPr="009D3012" w:rsidRDefault="004E22C1" w:rsidP="00994AC0">
            <w:pPr>
              <w:pStyle w:val="Tablefooter"/>
              <w:rPr>
                <w:lang w:val="en-US"/>
              </w:rPr>
            </w:pPr>
            <w:r w:rsidRPr="009D3012">
              <w:rPr>
                <w:rStyle w:val="CCMCvariablesuperscript"/>
                <w:lang w:val="en-US"/>
              </w:rPr>
              <w:t>h</w:t>
            </w:r>
            <w:r w:rsidR="00994AC0" w:rsidRPr="009D3012">
              <w:rPr>
                <w:lang w:val="en-US"/>
              </w:rPr>
              <w:tab/>
            </w:r>
            <w:r w:rsidRPr="009D3012">
              <w:rPr>
                <w:lang w:val="en-US"/>
              </w:rPr>
              <w:t>The residual uncertainties refer to aggregate size, reinforcement area and spacing and column size.</w:t>
            </w:r>
          </w:p>
          <w:p w14:paraId="5F4D4CFA" w14:textId="11B71C93" w:rsidR="004E22C1" w:rsidRPr="009D3012" w:rsidRDefault="004E22C1" w:rsidP="00994AC0">
            <w:pPr>
              <w:pStyle w:val="Tablefooter"/>
              <w:rPr>
                <w:rStyle w:val="CCMCvariablesuperscript"/>
                <w:lang w:val="en-US"/>
              </w:rPr>
            </w:pPr>
            <w:r w:rsidRPr="009D3012">
              <w:rPr>
                <w:rStyle w:val="CCMCvariablesuperscript"/>
                <w:lang w:val="en-US"/>
              </w:rPr>
              <w:t>i</w:t>
            </w:r>
            <w:r w:rsidR="00994AC0" w:rsidRPr="009D3012">
              <w:rPr>
                <w:lang w:val="en-US"/>
              </w:rPr>
              <w:tab/>
            </w:r>
            <w:r w:rsidR="00D144A1" w:rsidRPr="009D3012">
              <w:rPr>
                <w:rFonts w:cs="Arial"/>
                <w:sz w:val="18"/>
                <w:szCs w:val="18"/>
                <w:lang w:val="en-US" w:eastAsia="ja-JP"/>
              </w:rPr>
              <w:t>Based on the statistical values above and calculated using Formulae (A.2) and (A.3).</w:t>
            </w:r>
          </w:p>
        </w:tc>
      </w:tr>
    </w:tbl>
    <w:p w14:paraId="113311DE" w14:textId="6F8281DA" w:rsidR="004E22C1" w:rsidRPr="001455DC" w:rsidRDefault="004E22C1" w:rsidP="008C277A">
      <w:pPr>
        <w:pStyle w:val="a7"/>
      </w:pPr>
    </w:p>
    <w:p w14:paraId="4A464BE8" w14:textId="77777777" w:rsidR="00994AC0" w:rsidRPr="001455DC" w:rsidRDefault="00994AC0" w:rsidP="008C277A">
      <w:pPr>
        <w:pStyle w:val="a7"/>
        <w:sectPr w:rsidR="00994AC0" w:rsidRPr="001455DC" w:rsidSect="00994AC0">
          <w:pgSz w:w="16838" w:h="11906" w:orient="landscape" w:code="9"/>
          <w:pgMar w:top="851" w:right="1644" w:bottom="737" w:left="1418" w:header="709" w:footer="284" w:gutter="567"/>
          <w:cols w:space="708"/>
          <w:docGrid w:linePitch="360"/>
        </w:sectPr>
      </w:pPr>
    </w:p>
    <w:p w14:paraId="6F411CA8" w14:textId="03815F36" w:rsidR="004E22C1" w:rsidRPr="001455DC" w:rsidRDefault="004E22C1" w:rsidP="00E844D2">
      <w:pPr>
        <w:pStyle w:val="a7"/>
        <w:keepNext/>
      </w:pPr>
      <w:r w:rsidRPr="001455DC">
        <w:t>(4)</w:t>
      </w:r>
      <w:r w:rsidRPr="001455DC">
        <w:tab/>
        <w:t>The adjusted partial factors may be calculated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0E2087" w:rsidRPr="001455DC" w14:paraId="2DA81D17" w14:textId="77777777" w:rsidTr="00EC773D">
        <w:trPr>
          <w:cantSplit/>
        </w:trPr>
        <w:tc>
          <w:tcPr>
            <w:tcW w:w="8505" w:type="dxa"/>
            <w:vAlign w:val="center"/>
          </w:tcPr>
          <w:p w14:paraId="2D6C31EA" w14:textId="6CC077EB" w:rsidR="000E2087" w:rsidRPr="001455DC" w:rsidRDefault="00231E33" w:rsidP="00EC773D">
            <w:pPr>
              <w:pStyle w:val="Formula"/>
              <w:jc w:val="left"/>
            </w:pPr>
            <m:oMathPara>
              <m:oMathParaPr>
                <m:jc m:val="left"/>
              </m:oMathParaPr>
              <m:oMath>
                <m:sSub>
                  <m:sSubPr>
                    <m:ctrlPr>
                      <w:rPr>
                        <w:rFonts w:ascii="Cambria Math" w:hAnsi="Cambria Math"/>
                      </w:rPr>
                    </m:ctrlPr>
                  </m:sSubPr>
                  <m:e>
                    <m:r>
                      <w:rPr>
                        <w:rFonts w:ascii="Cambria Math" w:hAnsi="Cambria Math"/>
                      </w:rPr>
                      <m:t>γ</m:t>
                    </m:r>
                  </m:e>
                  <m:sub>
                    <m:r>
                      <m:rPr>
                        <m:sty m:val="p"/>
                      </m:rPr>
                      <w:rPr>
                        <w:rFonts w:ascii="Cambria Math" w:hAnsi="Cambria Math"/>
                      </w:rPr>
                      <m:t>M</m:t>
                    </m:r>
                  </m:sub>
                </m:sSub>
                <m:r>
                  <w:rPr>
                    <w:rFonts w:ascii="Cambria Math" w:hAnsi="Cambria Math"/>
                  </w:rPr>
                  <m:t>=</m:t>
                </m:r>
                <m:f>
                  <m:fPr>
                    <m:ctrlPr>
                      <w:rPr>
                        <w:rFonts w:ascii="Cambria Math" w:hAnsi="Cambria Math"/>
                      </w:rPr>
                    </m:ctrlPr>
                  </m:fPr>
                  <m:num>
                    <m:r>
                      <m:rPr>
                        <m:sty m:val="p"/>
                      </m:rPr>
                      <w:rPr>
                        <w:rFonts w:ascii="Cambria Math" w:hAnsi="Cambria Math"/>
                      </w:rPr>
                      <m:t>exp</m:t>
                    </m:r>
                    <m:d>
                      <m:dPr>
                        <m:ctrlPr>
                          <w:rPr>
                            <w:rFonts w:ascii="Cambria Math" w:hAnsi="Cambria Math"/>
                          </w:rPr>
                        </m:ctrlPr>
                      </m:dPr>
                      <m:e>
                        <m:sSub>
                          <m:sSubPr>
                            <m:ctrlPr>
                              <w:rPr>
                                <w:rFonts w:ascii="Cambria Math" w:hAnsi="Cambria Math"/>
                              </w:rPr>
                            </m:ctrlPr>
                          </m:sSubPr>
                          <m:e>
                            <m:r>
                              <w:rPr>
                                <w:rFonts w:ascii="Cambria Math" w:hAnsi="Cambria Math"/>
                              </w:rPr>
                              <m:t>α</m:t>
                            </m:r>
                          </m:e>
                          <m:sub>
                            <m:r>
                              <m:rPr>
                                <m:sty m:val="p"/>
                              </m:rP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tgt</m:t>
                            </m:r>
                          </m:sub>
                        </m:sSub>
                        <m: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RM</m:t>
                            </m:r>
                          </m:sub>
                        </m:sSub>
                      </m:e>
                    </m:d>
                  </m:num>
                  <m:den>
                    <m:sSub>
                      <m:sSubPr>
                        <m:ctrlPr>
                          <w:rPr>
                            <w:rFonts w:ascii="Cambria Math" w:hAnsi="Cambria Math"/>
                          </w:rPr>
                        </m:ctrlPr>
                      </m:sSubPr>
                      <m:e>
                        <m:r>
                          <w:rPr>
                            <w:rFonts w:ascii="Cambria Math" w:hAnsi="Cambria Math"/>
                          </w:rPr>
                          <m:t>μ</m:t>
                        </m:r>
                      </m:e>
                      <m:sub>
                        <m:r>
                          <m:rPr>
                            <m:sty m:val="p"/>
                          </m:rPr>
                          <w:rPr>
                            <w:rFonts w:ascii="Cambria Math" w:hAnsi="Cambria Math"/>
                          </w:rPr>
                          <m:t>RM</m:t>
                        </m:r>
                      </m:sub>
                    </m:sSub>
                  </m:den>
                </m:f>
              </m:oMath>
            </m:oMathPara>
          </w:p>
        </w:tc>
        <w:tc>
          <w:tcPr>
            <w:tcW w:w="1247" w:type="dxa"/>
            <w:vAlign w:val="center"/>
          </w:tcPr>
          <w:p w14:paraId="2AC39E99" w14:textId="75A60B79" w:rsidR="000E2087" w:rsidRPr="001455DC" w:rsidRDefault="000E2087" w:rsidP="00EC773D">
            <w:pPr>
              <w:pStyle w:val="a7"/>
              <w:jc w:val="right"/>
            </w:pPr>
            <w:r w:rsidRPr="001455DC">
              <w:t>(A.1)</w:t>
            </w:r>
          </w:p>
        </w:tc>
      </w:tr>
    </w:tbl>
    <w:p w14:paraId="2D04A56D" w14:textId="77777777" w:rsidR="000E2087" w:rsidRPr="001455DC" w:rsidRDefault="000E2087"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1134"/>
        <w:gridCol w:w="7031"/>
        <w:gridCol w:w="1247"/>
      </w:tblGrid>
      <w:tr w:rsidR="000E2087" w:rsidRPr="001455DC" w14:paraId="3C3A9A28" w14:textId="77777777" w:rsidTr="000E2087">
        <w:trPr>
          <w:cantSplit/>
        </w:trPr>
        <w:tc>
          <w:tcPr>
            <w:tcW w:w="1134" w:type="dxa"/>
          </w:tcPr>
          <w:p w14:paraId="264AFFFF" w14:textId="06FF387A" w:rsidR="000E2087" w:rsidRPr="001455DC" w:rsidRDefault="000E2087" w:rsidP="0000442A">
            <w:pPr>
              <w:pStyle w:val="Tablebody"/>
            </w:pPr>
            <w:r w:rsidRPr="001455DC">
              <w:t>index M</w:t>
            </w:r>
          </w:p>
        </w:tc>
        <w:tc>
          <w:tcPr>
            <w:tcW w:w="8278" w:type="dxa"/>
            <w:gridSpan w:val="2"/>
          </w:tcPr>
          <w:p w14:paraId="264B925C" w14:textId="38CFF723" w:rsidR="000E2087" w:rsidRPr="001455DC" w:rsidRDefault="000E2087">
            <w:pPr>
              <w:pStyle w:val="Tablebody"/>
            </w:pPr>
            <w:r w:rsidRPr="001455DC">
              <w:t>is S for reinforcement</w:t>
            </w:r>
            <w:r w:rsidR="00186111" w:rsidRPr="001455DC">
              <w:t>,</w:t>
            </w:r>
            <w:r w:rsidRPr="001455DC">
              <w:t xml:space="preserve"> C for concrete in compression</w:t>
            </w:r>
            <w:r w:rsidR="00186111" w:rsidRPr="001455DC">
              <w:t xml:space="preserve"> and V for shear</w:t>
            </w:r>
            <w:r w:rsidRPr="001455DC">
              <w:t>;</w:t>
            </w:r>
          </w:p>
        </w:tc>
      </w:tr>
      <w:tr w:rsidR="000E2087" w:rsidRPr="001455DC" w14:paraId="03E41235" w14:textId="77777777" w:rsidTr="000E2087">
        <w:trPr>
          <w:cantSplit/>
        </w:trPr>
        <w:tc>
          <w:tcPr>
            <w:tcW w:w="1134" w:type="dxa"/>
          </w:tcPr>
          <w:p w14:paraId="2F38B5FE" w14:textId="0365DE1E" w:rsidR="000E2087" w:rsidRPr="001455DC" w:rsidRDefault="000E2087" w:rsidP="0000442A">
            <w:pPr>
              <w:pStyle w:val="Tablebody"/>
            </w:pPr>
            <w:r w:rsidRPr="001455DC">
              <w:rPr>
                <w:rStyle w:val="CCMCvariableitalic"/>
              </w:rPr>
              <w:t>α</w:t>
            </w:r>
            <w:r w:rsidRPr="001455DC">
              <w:rPr>
                <w:rStyle w:val="CCMCvariablesubscript"/>
              </w:rPr>
              <w:t>R</w:t>
            </w:r>
          </w:p>
        </w:tc>
        <w:tc>
          <w:tcPr>
            <w:tcW w:w="8278" w:type="dxa"/>
            <w:gridSpan w:val="2"/>
          </w:tcPr>
          <w:p w14:paraId="2DAA935D" w14:textId="6B211443" w:rsidR="000E2087" w:rsidRPr="001455DC" w:rsidRDefault="000E2087" w:rsidP="0000442A">
            <w:pPr>
              <w:pStyle w:val="Tablebody"/>
            </w:pPr>
            <w:r w:rsidRPr="001455DC">
              <w:t>is the sensitivity factor for resistance according to Table A.3(NDP);</w:t>
            </w:r>
          </w:p>
        </w:tc>
      </w:tr>
      <w:tr w:rsidR="000E2087" w:rsidRPr="001455DC" w14:paraId="0877FC68" w14:textId="77777777" w:rsidTr="000E2087">
        <w:trPr>
          <w:cantSplit/>
        </w:trPr>
        <w:tc>
          <w:tcPr>
            <w:tcW w:w="1134" w:type="dxa"/>
          </w:tcPr>
          <w:p w14:paraId="5F9B304D" w14:textId="06B10AF8" w:rsidR="000E2087" w:rsidRPr="001455DC" w:rsidRDefault="000E2087" w:rsidP="00D86695">
            <w:pPr>
              <w:pStyle w:val="Tablebody"/>
            </w:pPr>
            <w:r w:rsidRPr="001455DC">
              <w:rPr>
                <w:rStyle w:val="CCMCvariableitalic"/>
              </w:rPr>
              <w:t>β</w:t>
            </w:r>
            <w:r w:rsidRPr="001455DC">
              <w:rPr>
                <w:rStyle w:val="CCMCvariablesubscript"/>
              </w:rPr>
              <w:t>tgt</w:t>
            </w:r>
          </w:p>
        </w:tc>
        <w:tc>
          <w:tcPr>
            <w:tcW w:w="8278" w:type="dxa"/>
            <w:gridSpan w:val="2"/>
          </w:tcPr>
          <w:p w14:paraId="5F98EAE3" w14:textId="6983ED8F" w:rsidR="000E2087" w:rsidRPr="001455DC" w:rsidRDefault="000E2087" w:rsidP="00D86695">
            <w:pPr>
              <w:pStyle w:val="Tablebody"/>
            </w:pPr>
            <w:r w:rsidRPr="001455DC">
              <w:t>is the target value for the 50-year reliability index according to Table A.3(NDP);</w:t>
            </w:r>
          </w:p>
        </w:tc>
      </w:tr>
      <w:tr w:rsidR="000E2087" w:rsidRPr="001455DC" w14:paraId="796F371F" w14:textId="77777777" w:rsidTr="000E2087">
        <w:trPr>
          <w:cantSplit/>
        </w:trPr>
        <w:tc>
          <w:tcPr>
            <w:tcW w:w="1134" w:type="dxa"/>
          </w:tcPr>
          <w:p w14:paraId="0C463B1D" w14:textId="1FE9C7A4" w:rsidR="000E2087" w:rsidRPr="001455DC" w:rsidRDefault="000E2087" w:rsidP="00D86695">
            <w:pPr>
              <w:pStyle w:val="Tablebody"/>
            </w:pPr>
            <w:r w:rsidRPr="001455DC">
              <w:rPr>
                <w:rStyle w:val="CCMCvariableitalic"/>
              </w:rPr>
              <w:t>V</w:t>
            </w:r>
            <w:r w:rsidRPr="001455DC">
              <w:rPr>
                <w:rStyle w:val="CCMCvariablesubscript"/>
              </w:rPr>
              <w:t>RM</w:t>
            </w:r>
          </w:p>
        </w:tc>
        <w:tc>
          <w:tcPr>
            <w:tcW w:w="8278" w:type="dxa"/>
            <w:gridSpan w:val="2"/>
          </w:tcPr>
          <w:p w14:paraId="7D56790F" w14:textId="4A6127D0" w:rsidR="000E2087" w:rsidRPr="001455DC" w:rsidRDefault="000E2087" w:rsidP="00D86695">
            <w:pPr>
              <w:pStyle w:val="Tablebody"/>
            </w:pPr>
            <w:r w:rsidRPr="001455DC">
              <w:t>is the coefficient of variation of the resistance which may be calculated from</w:t>
            </w:r>
          </w:p>
        </w:tc>
      </w:tr>
      <w:tr w:rsidR="000E2087" w:rsidRPr="001455DC" w14:paraId="78031080" w14:textId="77777777" w:rsidTr="009D3012">
        <w:trPr>
          <w:cantSplit/>
          <w:trHeight w:val="797"/>
        </w:trPr>
        <w:tc>
          <w:tcPr>
            <w:tcW w:w="1134" w:type="dxa"/>
          </w:tcPr>
          <w:p w14:paraId="5DE7882C" w14:textId="45A1ACEC" w:rsidR="000E2087" w:rsidRPr="001455DC" w:rsidRDefault="000E2087" w:rsidP="00D86695">
            <w:pPr>
              <w:pStyle w:val="Tablebody"/>
            </w:pPr>
            <w:r w:rsidRPr="001455DC">
              <w:t> </w:t>
            </w:r>
          </w:p>
        </w:tc>
        <w:tc>
          <w:tcPr>
            <w:tcW w:w="7031" w:type="dxa"/>
            <w:vAlign w:val="center"/>
          </w:tcPr>
          <w:p w14:paraId="22252C39" w14:textId="01BF8200" w:rsidR="000E2087" w:rsidRPr="001455DC" w:rsidRDefault="000E2087" w:rsidP="000E2087">
            <w:pPr>
              <w:pStyle w:val="Tablebody"/>
              <w:jc w:val="left"/>
            </w:pPr>
          </w:p>
        </w:tc>
        <w:tc>
          <w:tcPr>
            <w:tcW w:w="1247" w:type="dxa"/>
            <w:vAlign w:val="center"/>
          </w:tcPr>
          <w:p w14:paraId="165FE5E4" w14:textId="20A12DA0" w:rsidR="000E2087" w:rsidRPr="001455DC" w:rsidRDefault="000E2087" w:rsidP="000E2087">
            <w:pPr>
              <w:pStyle w:val="Tablebody"/>
              <w:jc w:val="right"/>
            </w:pPr>
            <w:r w:rsidRPr="001455DC">
              <w:t>(A.2</w:t>
            </w:r>
            <w:r w:rsidR="00186111" w:rsidRPr="001455DC">
              <w:t>a</w:t>
            </w:r>
            <w:r w:rsidRPr="001455DC">
              <w:t>)</w:t>
            </w:r>
          </w:p>
        </w:tc>
      </w:tr>
      <w:tr w:rsidR="00186111" w:rsidRPr="001455DC" w14:paraId="082E7833" w14:textId="77777777" w:rsidTr="000E2087">
        <w:trPr>
          <w:cantSplit/>
        </w:trPr>
        <w:tc>
          <w:tcPr>
            <w:tcW w:w="1134" w:type="dxa"/>
          </w:tcPr>
          <w:p w14:paraId="55A81FF7" w14:textId="77777777" w:rsidR="00186111" w:rsidRPr="001455DC" w:rsidRDefault="00186111" w:rsidP="00D86695">
            <w:pPr>
              <w:pStyle w:val="Tablebody"/>
            </w:pPr>
          </w:p>
        </w:tc>
        <w:tc>
          <w:tcPr>
            <w:tcW w:w="7031" w:type="dxa"/>
            <w:vAlign w:val="center"/>
          </w:tcPr>
          <w:p w14:paraId="2DDF3969" w14:textId="0656D77B" w:rsidR="00186111" w:rsidRPr="001455DC" w:rsidRDefault="00186111" w:rsidP="000E2087">
            <w:pPr>
              <w:pStyle w:val="Tablebody"/>
              <w:jc w:val="left"/>
            </w:pPr>
            <w:r w:rsidRPr="009D3012">
              <w:rPr>
                <w:position w:val="-14"/>
                <w:sz w:val="18"/>
                <w:szCs w:val="18"/>
              </w:rPr>
              <w:object w:dxaOrig="2360" w:dyaOrig="420" w14:anchorId="000CCE66">
                <v:shape id="_x0000_i1297" type="#_x0000_t75" style="width:94.5pt;height:22.5pt" o:ole="" fillcolor="window">
                  <v:imagedata r:id="rId564" o:title=""/>
                </v:shape>
                <o:OLEObject Type="Embed" ProgID="Equation.DSMT4" ShapeID="_x0000_i1297" DrawAspect="Content" ObjectID="_1692169480" r:id="rId565"/>
              </w:object>
            </w:r>
          </w:p>
        </w:tc>
        <w:tc>
          <w:tcPr>
            <w:tcW w:w="1247" w:type="dxa"/>
            <w:vAlign w:val="center"/>
          </w:tcPr>
          <w:p w14:paraId="67AA37E0" w14:textId="4D37EAD2" w:rsidR="00186111" w:rsidRPr="001455DC" w:rsidRDefault="00186111">
            <w:pPr>
              <w:pStyle w:val="Tablebody"/>
              <w:jc w:val="right"/>
            </w:pPr>
            <w:r w:rsidRPr="001455DC">
              <w:t>(A.2b)</w:t>
            </w:r>
          </w:p>
        </w:tc>
      </w:tr>
      <w:tr w:rsidR="00186111" w:rsidRPr="001455DC" w14:paraId="5BD2B2AA" w14:textId="77777777" w:rsidTr="000E2087">
        <w:trPr>
          <w:cantSplit/>
        </w:trPr>
        <w:tc>
          <w:tcPr>
            <w:tcW w:w="1134" w:type="dxa"/>
          </w:tcPr>
          <w:p w14:paraId="4F18B3B7" w14:textId="77777777" w:rsidR="00186111" w:rsidRPr="001455DC" w:rsidRDefault="00186111" w:rsidP="00D86695">
            <w:pPr>
              <w:pStyle w:val="Tablebody"/>
            </w:pPr>
          </w:p>
        </w:tc>
        <w:tc>
          <w:tcPr>
            <w:tcW w:w="7031" w:type="dxa"/>
            <w:vAlign w:val="center"/>
          </w:tcPr>
          <w:p w14:paraId="01B34BAD" w14:textId="235E51CE" w:rsidR="00186111" w:rsidRPr="001455DC" w:rsidRDefault="00186111" w:rsidP="000E2087">
            <w:pPr>
              <w:pStyle w:val="Tablebody"/>
              <w:jc w:val="left"/>
            </w:pPr>
            <w:r w:rsidRPr="009D3012">
              <w:rPr>
                <w:position w:val="-32"/>
              </w:rPr>
              <w:object w:dxaOrig="3540" w:dyaOrig="820" w14:anchorId="13544817">
                <v:shape id="_x0000_i1298" type="#_x0000_t75" style="width:174pt;height:35.25pt" o:ole="" fillcolor="window">
                  <v:imagedata r:id="rId566" o:title=""/>
                </v:shape>
                <o:OLEObject Type="Embed" ProgID="Equation.DSMT4" ShapeID="_x0000_i1298" DrawAspect="Content" ObjectID="_1692169481" r:id="rId567"/>
              </w:object>
            </w:r>
          </w:p>
        </w:tc>
        <w:tc>
          <w:tcPr>
            <w:tcW w:w="1247" w:type="dxa"/>
            <w:vAlign w:val="center"/>
          </w:tcPr>
          <w:p w14:paraId="566AD74E" w14:textId="59B45D4A" w:rsidR="00186111" w:rsidRPr="001455DC" w:rsidRDefault="00186111" w:rsidP="000E2087">
            <w:pPr>
              <w:pStyle w:val="Tablebody"/>
              <w:jc w:val="right"/>
            </w:pPr>
            <w:r w:rsidRPr="001455DC">
              <w:t>(A.2c)</w:t>
            </w:r>
          </w:p>
        </w:tc>
      </w:tr>
      <w:tr w:rsidR="000E2087" w:rsidRPr="001455DC" w14:paraId="18345937" w14:textId="77777777" w:rsidTr="000E2087">
        <w:trPr>
          <w:cantSplit/>
        </w:trPr>
        <w:tc>
          <w:tcPr>
            <w:tcW w:w="1134" w:type="dxa"/>
          </w:tcPr>
          <w:p w14:paraId="1D6FA7CE" w14:textId="334FE285" w:rsidR="000E2087" w:rsidRPr="001455DC" w:rsidRDefault="000E2087" w:rsidP="00D86695">
            <w:pPr>
              <w:pStyle w:val="Tablebody"/>
            </w:pPr>
            <w:r w:rsidRPr="001455DC">
              <w:t> </w:t>
            </w:r>
          </w:p>
        </w:tc>
        <w:tc>
          <w:tcPr>
            <w:tcW w:w="8278" w:type="dxa"/>
            <w:gridSpan w:val="2"/>
          </w:tcPr>
          <w:p w14:paraId="5F854EFE" w14:textId="33613E4D" w:rsidR="000E2087" w:rsidRPr="001455DC" w:rsidRDefault="000E2087">
            <w:pPr>
              <w:pStyle w:val="Tablebody"/>
            </w:pPr>
            <w:r w:rsidRPr="001455DC">
              <w:t>where the coefficient</w:t>
            </w:r>
            <w:r w:rsidR="00186111" w:rsidRPr="001455DC">
              <w:t>s</w:t>
            </w:r>
            <w:r w:rsidRPr="001455DC">
              <w:t xml:space="preserve"> of variation of </w:t>
            </w:r>
            <w:r w:rsidR="00186111" w:rsidRPr="001455DC">
              <w:t xml:space="preserve">each </w:t>
            </w:r>
            <w:r w:rsidRPr="001455DC">
              <w:t>uncertaint</w:t>
            </w:r>
            <w:r w:rsidR="00186111" w:rsidRPr="001455DC">
              <w:t>y are</w:t>
            </w:r>
            <w:r w:rsidRPr="001455DC">
              <w:t xml:space="preserve"> defined in Table A.2</w:t>
            </w:r>
            <w:r w:rsidR="00186111" w:rsidRPr="001455DC">
              <w:t xml:space="preserve"> or updated (for conditions, see Table A1(NDP))</w:t>
            </w:r>
            <w:r w:rsidRPr="001455DC">
              <w:t>;</w:t>
            </w:r>
          </w:p>
        </w:tc>
      </w:tr>
      <w:tr w:rsidR="000E2087" w:rsidRPr="001455DC" w14:paraId="46DC7B53" w14:textId="77777777" w:rsidTr="000E2087">
        <w:trPr>
          <w:cantSplit/>
        </w:trPr>
        <w:tc>
          <w:tcPr>
            <w:tcW w:w="1134" w:type="dxa"/>
          </w:tcPr>
          <w:p w14:paraId="1BDC53F4" w14:textId="6739F437" w:rsidR="000E2087" w:rsidRPr="001455DC" w:rsidRDefault="000E2087" w:rsidP="00D86695">
            <w:pPr>
              <w:pStyle w:val="Tablebody"/>
            </w:pPr>
            <w:r w:rsidRPr="001455DC">
              <w:rPr>
                <w:rStyle w:val="CCMCvariableitalic"/>
              </w:rPr>
              <w:t>μ</w:t>
            </w:r>
            <w:r w:rsidRPr="001455DC">
              <w:rPr>
                <w:rStyle w:val="CCMCvariablesubscript"/>
              </w:rPr>
              <w:t>RM</w:t>
            </w:r>
          </w:p>
        </w:tc>
        <w:tc>
          <w:tcPr>
            <w:tcW w:w="8278" w:type="dxa"/>
            <w:gridSpan w:val="2"/>
          </w:tcPr>
          <w:p w14:paraId="6E8D8963" w14:textId="71647593" w:rsidR="000E2087" w:rsidRPr="001455DC" w:rsidRDefault="000E2087">
            <w:pPr>
              <w:pStyle w:val="Tablebody"/>
            </w:pPr>
            <w:r w:rsidRPr="001455DC">
              <w:t xml:space="preserve">is the bias factor of the resistance </w:t>
            </w:r>
            <w:r w:rsidR="00186111" w:rsidRPr="001455DC">
              <w:t xml:space="preserve">and </w:t>
            </w:r>
            <w:r w:rsidRPr="001455DC">
              <w:t>may be calculated from:</w:t>
            </w:r>
          </w:p>
        </w:tc>
      </w:tr>
      <w:tr w:rsidR="000E2087" w:rsidRPr="001455DC" w14:paraId="390B1A5D" w14:textId="77777777" w:rsidTr="00EC773D">
        <w:trPr>
          <w:cantSplit/>
        </w:trPr>
        <w:tc>
          <w:tcPr>
            <w:tcW w:w="1134" w:type="dxa"/>
          </w:tcPr>
          <w:p w14:paraId="48A402A8" w14:textId="28F05FCF" w:rsidR="000E2087" w:rsidRPr="001455DC" w:rsidRDefault="000E2087" w:rsidP="00EC773D">
            <w:pPr>
              <w:pStyle w:val="Tablebody"/>
            </w:pPr>
            <w:r w:rsidRPr="001455DC">
              <w:t> </w:t>
            </w:r>
          </w:p>
        </w:tc>
        <w:tc>
          <w:tcPr>
            <w:tcW w:w="7031" w:type="dxa"/>
            <w:vAlign w:val="center"/>
          </w:tcPr>
          <w:p w14:paraId="5706B0D6" w14:textId="4886E405" w:rsidR="000E2087" w:rsidRPr="001455DC" w:rsidRDefault="00186111" w:rsidP="00EC773D">
            <w:pPr>
              <w:pStyle w:val="Tablebody"/>
              <w:jc w:val="left"/>
            </w:pPr>
            <w:r w:rsidRPr="009D3012">
              <w:rPr>
                <w:position w:val="-28"/>
                <w:sz w:val="18"/>
                <w:szCs w:val="18"/>
              </w:rPr>
              <w:object w:dxaOrig="1460" w:dyaOrig="639" w14:anchorId="60859714">
                <v:shape id="_x0000_i1299" type="#_x0000_t75" style="width:64.5pt;height:28.5pt" o:ole="" fillcolor="window">
                  <v:imagedata r:id="rId568" o:title=""/>
                </v:shape>
                <o:OLEObject Type="Embed" ProgID="Equation.DSMT4" ShapeID="_x0000_i1299" DrawAspect="Content" ObjectID="_1692169482" r:id="rId569"/>
              </w:object>
            </w:r>
          </w:p>
        </w:tc>
        <w:tc>
          <w:tcPr>
            <w:tcW w:w="1247" w:type="dxa"/>
            <w:vAlign w:val="center"/>
          </w:tcPr>
          <w:p w14:paraId="36BAD85C" w14:textId="428B5120" w:rsidR="000E2087" w:rsidRPr="001455DC" w:rsidRDefault="000E2087" w:rsidP="00EC773D">
            <w:pPr>
              <w:pStyle w:val="Tablebody"/>
              <w:jc w:val="right"/>
            </w:pPr>
            <w:r w:rsidRPr="001455DC">
              <w:t>(A.3</w:t>
            </w:r>
            <w:r w:rsidR="00186111" w:rsidRPr="001455DC">
              <w:t>a</w:t>
            </w:r>
            <w:r w:rsidRPr="001455DC">
              <w:t>)</w:t>
            </w:r>
          </w:p>
        </w:tc>
      </w:tr>
      <w:tr w:rsidR="00186111" w:rsidRPr="001455DC" w14:paraId="78BEFFBF" w14:textId="77777777" w:rsidTr="00EC773D">
        <w:trPr>
          <w:cantSplit/>
        </w:trPr>
        <w:tc>
          <w:tcPr>
            <w:tcW w:w="1134" w:type="dxa"/>
          </w:tcPr>
          <w:p w14:paraId="26246651" w14:textId="77777777" w:rsidR="00186111" w:rsidRPr="001455DC" w:rsidRDefault="00186111" w:rsidP="00186111">
            <w:pPr>
              <w:pStyle w:val="Tablebody"/>
            </w:pPr>
          </w:p>
        </w:tc>
        <w:tc>
          <w:tcPr>
            <w:tcW w:w="7031" w:type="dxa"/>
            <w:vAlign w:val="center"/>
          </w:tcPr>
          <w:p w14:paraId="5D75F0E3" w14:textId="5954A689" w:rsidR="00186111" w:rsidRPr="001455DC" w:rsidDel="00186111" w:rsidRDefault="00186111" w:rsidP="00186111">
            <w:pPr>
              <w:pStyle w:val="Tablebody"/>
              <w:jc w:val="left"/>
            </w:pPr>
            <w:r w:rsidRPr="009D3012">
              <w:rPr>
                <w:position w:val="-26"/>
                <w:sz w:val="18"/>
                <w:szCs w:val="18"/>
              </w:rPr>
              <w:object w:dxaOrig="1960" w:dyaOrig="600" w14:anchorId="253ABC40">
                <v:shape id="_x0000_i1300" type="#_x0000_t75" style="width:86.25pt;height:28.5pt" o:ole="" fillcolor="window">
                  <v:imagedata r:id="rId570" o:title=""/>
                </v:shape>
                <o:OLEObject Type="Embed" ProgID="Equation.DSMT4" ShapeID="_x0000_i1300" DrawAspect="Content" ObjectID="_1692169483" r:id="rId571"/>
              </w:object>
            </w:r>
          </w:p>
        </w:tc>
        <w:tc>
          <w:tcPr>
            <w:tcW w:w="1247" w:type="dxa"/>
            <w:vAlign w:val="center"/>
          </w:tcPr>
          <w:p w14:paraId="10A72EE7" w14:textId="3AB6FBC8" w:rsidR="00186111" w:rsidRPr="001455DC" w:rsidRDefault="00186111">
            <w:pPr>
              <w:pStyle w:val="Tablebody"/>
              <w:jc w:val="right"/>
            </w:pPr>
            <w:r w:rsidRPr="001455DC">
              <w:t>(A.3b)</w:t>
            </w:r>
          </w:p>
        </w:tc>
      </w:tr>
      <w:tr w:rsidR="00186111" w:rsidRPr="001455DC" w14:paraId="19E7B863" w14:textId="77777777" w:rsidTr="00EC773D">
        <w:trPr>
          <w:cantSplit/>
        </w:trPr>
        <w:tc>
          <w:tcPr>
            <w:tcW w:w="1134" w:type="dxa"/>
          </w:tcPr>
          <w:p w14:paraId="6A576173" w14:textId="77777777" w:rsidR="00186111" w:rsidRPr="001455DC" w:rsidRDefault="00186111" w:rsidP="00186111">
            <w:pPr>
              <w:pStyle w:val="Tablebody"/>
            </w:pPr>
          </w:p>
        </w:tc>
        <w:tc>
          <w:tcPr>
            <w:tcW w:w="7031" w:type="dxa"/>
            <w:vAlign w:val="center"/>
          </w:tcPr>
          <w:p w14:paraId="354273E3" w14:textId="56D50D35" w:rsidR="00186111" w:rsidRPr="001455DC" w:rsidDel="00186111" w:rsidRDefault="00186111" w:rsidP="00186111">
            <w:pPr>
              <w:pStyle w:val="Tablebody"/>
              <w:jc w:val="left"/>
            </w:pPr>
            <w:r w:rsidRPr="009D3012">
              <w:rPr>
                <w:position w:val="-28"/>
              </w:rPr>
              <w:object w:dxaOrig="2360" w:dyaOrig="740" w14:anchorId="0CE8B784">
                <v:shape id="_x0000_i1301" type="#_x0000_t75" style="width:107.25pt;height:36.75pt" o:ole="" fillcolor="window">
                  <v:imagedata r:id="rId572" o:title=""/>
                </v:shape>
                <o:OLEObject Type="Embed" ProgID="Equation.DSMT4" ShapeID="_x0000_i1301" DrawAspect="Content" ObjectID="_1692169484" r:id="rId573"/>
              </w:object>
            </w:r>
          </w:p>
        </w:tc>
        <w:tc>
          <w:tcPr>
            <w:tcW w:w="1247" w:type="dxa"/>
            <w:vAlign w:val="center"/>
          </w:tcPr>
          <w:p w14:paraId="51648FA6" w14:textId="7543A895" w:rsidR="00186111" w:rsidRPr="001455DC" w:rsidRDefault="00186111" w:rsidP="00186111">
            <w:pPr>
              <w:pStyle w:val="Tablebody"/>
              <w:jc w:val="right"/>
            </w:pPr>
            <w:r w:rsidRPr="001455DC">
              <w:t>(A.3c)</w:t>
            </w:r>
          </w:p>
        </w:tc>
      </w:tr>
      <w:tr w:rsidR="00186111" w:rsidRPr="001455DC" w14:paraId="53A7D331" w14:textId="77777777" w:rsidTr="00EC773D">
        <w:trPr>
          <w:cantSplit/>
        </w:trPr>
        <w:tc>
          <w:tcPr>
            <w:tcW w:w="1134" w:type="dxa"/>
          </w:tcPr>
          <w:p w14:paraId="2CB64CD7" w14:textId="2085E7E6" w:rsidR="00186111" w:rsidRPr="001455DC" w:rsidRDefault="00186111" w:rsidP="00186111">
            <w:pPr>
              <w:pStyle w:val="Tablebody"/>
            </w:pPr>
            <w:r w:rsidRPr="001455DC">
              <w:t> </w:t>
            </w:r>
          </w:p>
        </w:tc>
        <w:tc>
          <w:tcPr>
            <w:tcW w:w="8278" w:type="dxa"/>
            <w:gridSpan w:val="2"/>
            <w:vAlign w:val="center"/>
          </w:tcPr>
          <w:p w14:paraId="10317024" w14:textId="695AB375" w:rsidR="00186111" w:rsidRPr="001455DC" w:rsidRDefault="00186111">
            <w:pPr>
              <w:pStyle w:val="Tablebody"/>
            </w:pPr>
            <w:r w:rsidRPr="001455DC">
              <w:t xml:space="preserve">where the bias factors of </w:t>
            </w:r>
            <w:r w:rsidR="002A2DE0" w:rsidRPr="001455DC">
              <w:t xml:space="preserve">each uncertainty are </w:t>
            </w:r>
            <w:r w:rsidRPr="001455DC">
              <w:t>defined in Table (A.</w:t>
            </w:r>
            <w:r w:rsidR="002A2DE0" w:rsidRPr="001455DC">
              <w:t>2</w:t>
            </w:r>
            <w:r w:rsidRPr="001455DC">
              <w:t>)</w:t>
            </w:r>
            <w:r w:rsidR="002A2DE0" w:rsidRPr="001455DC">
              <w:t xml:space="preserve"> or updated (for conditions, see Table A.1(NDP))</w:t>
            </w:r>
            <w:r w:rsidRPr="001455DC">
              <w:t>.</w:t>
            </w:r>
          </w:p>
        </w:tc>
      </w:tr>
    </w:tbl>
    <w:p w14:paraId="4D0B844E" w14:textId="68D8EF2A" w:rsidR="004E22C1" w:rsidRPr="001455DC" w:rsidRDefault="000E2087" w:rsidP="00994AC0">
      <w:pPr>
        <w:pStyle w:val="Note"/>
      </w:pPr>
      <w:r w:rsidRPr="001455DC">
        <w:t>N</w:t>
      </w:r>
      <w:r w:rsidR="004E22C1" w:rsidRPr="001455DC">
        <w:t>OTE</w:t>
      </w:r>
      <w:r w:rsidR="00AD033B">
        <w:t xml:space="preserve"> </w:t>
      </w:r>
      <w:r w:rsidR="004E22C1" w:rsidRPr="001455DC">
        <w:tab/>
        <w:t xml:space="preserve">According to </w:t>
      </w:r>
      <w:r w:rsidR="00A85879">
        <w:t>pr</w:t>
      </w:r>
      <w:r w:rsidR="004E22C1" w:rsidRPr="001455DC">
        <w:t xml:space="preserve">EN 1990:2020, C.4.3.2, the approximated Formula (A.1) </w:t>
      </w:r>
      <w:r w:rsidR="00AD033B">
        <w:t>can</w:t>
      </w:r>
      <w:r w:rsidR="004E22C1" w:rsidRPr="001455DC">
        <w:t xml:space="preserve"> be used for </w:t>
      </w:r>
      <w:r w:rsidR="004E22C1" w:rsidRPr="001455DC">
        <w:rPr>
          <w:rStyle w:val="CCMCvariableitalic"/>
        </w:rPr>
        <w:t>V</w:t>
      </w:r>
      <w:r w:rsidR="004E22C1" w:rsidRPr="001455DC">
        <w:rPr>
          <w:rStyle w:val="CCMCvariablesubscript"/>
        </w:rPr>
        <w:t>RM</w:t>
      </w:r>
      <w:r w:rsidR="004E22C1" w:rsidRPr="001455DC">
        <w:t> </w:t>
      </w:r>
      <w:r w:rsidR="00650035" w:rsidRPr="001455DC">
        <w:rPr>
          <w:rFonts w:ascii="Cambria Math" w:hAnsi="Cambria Math"/>
        </w:rPr>
        <w:t>&lt;</w:t>
      </w:r>
      <w:r w:rsidR="004E22C1" w:rsidRPr="001455DC">
        <w:t xml:space="preserve"> 0,20. The exact Formula to be used for higher coefficients of variation </w:t>
      </w:r>
      <w:r w:rsidR="004E22C1" w:rsidRPr="001455DC">
        <w:rPr>
          <w:rStyle w:val="CCMCvariableitalic"/>
        </w:rPr>
        <w:t>V</w:t>
      </w:r>
      <w:r w:rsidR="004E22C1" w:rsidRPr="001455DC">
        <w:rPr>
          <w:rStyle w:val="CCMCvariablesubscript"/>
        </w:rPr>
        <w:t>RM</w:t>
      </w:r>
      <w:r w:rsidR="004E22C1" w:rsidRPr="001455DC">
        <w:t xml:space="preserve"> can be found in </w:t>
      </w:r>
      <w:bookmarkStart w:id="1292" w:name="_Hlk60999235"/>
      <w:r w:rsidR="004E22C1" w:rsidRPr="001455DC">
        <w:t xml:space="preserve">prEN 1990:2020, </w:t>
      </w:r>
      <w:bookmarkEnd w:id="1292"/>
      <w:r w:rsidR="004E22C1" w:rsidRPr="001455DC">
        <w:t xml:space="preserve">Formula (C.17) (which provides 3 % higher values of </w:t>
      </w:r>
      <w:r w:rsidR="004E22C1" w:rsidRPr="001455DC">
        <w:rPr>
          <w:rStyle w:val="CCMCvariableitalic"/>
        </w:rPr>
        <w:t>γ</w:t>
      </w:r>
      <w:r w:rsidR="004E22C1" w:rsidRPr="001455DC">
        <w:rPr>
          <w:rStyle w:val="CCMCvariablesubscript"/>
        </w:rPr>
        <w:t>M</w:t>
      </w:r>
      <w:r w:rsidR="004E22C1" w:rsidRPr="001455DC">
        <w:t xml:space="preserve"> for </w:t>
      </w:r>
      <w:r w:rsidR="004E22C1" w:rsidRPr="001455DC">
        <w:rPr>
          <w:rStyle w:val="CCMCvariableitalic"/>
        </w:rPr>
        <w:t>V</w:t>
      </w:r>
      <w:r w:rsidR="004E22C1" w:rsidRPr="001455DC">
        <w:rPr>
          <w:rStyle w:val="CCMCvariablesubscript"/>
        </w:rPr>
        <w:t>RM</w:t>
      </w:r>
      <w:r w:rsidR="004E22C1" w:rsidRPr="001455DC">
        <w:t> </w:t>
      </w:r>
      <w:r w:rsidR="00EC27D2" w:rsidRPr="001455DC">
        <w:rPr>
          <w:rFonts w:ascii="Cambria Math" w:hAnsi="Cambria Math"/>
        </w:rPr>
        <w:t>=</w:t>
      </w:r>
      <w:r w:rsidR="004E22C1" w:rsidRPr="001455DC">
        <w:t> 0,30).</w:t>
      </w:r>
    </w:p>
    <w:p w14:paraId="4DDF7795" w14:textId="77777777" w:rsidR="004E22C1" w:rsidRPr="001455DC" w:rsidRDefault="004E22C1" w:rsidP="00F72049">
      <w:pPr>
        <w:pStyle w:val="Tabletitle"/>
      </w:pPr>
      <w:bookmarkStart w:id="1293" w:name="_Toc54337526"/>
      <w:r w:rsidRPr="001455DC">
        <w:t xml:space="preserve">Table A.3 (NDP) — Sensitivity factors for resistance </w:t>
      </w:r>
      <w:r w:rsidRPr="001455DC">
        <w:rPr>
          <w:rStyle w:val="CCMCvariableitalic"/>
        </w:rPr>
        <w:t>α</w:t>
      </w:r>
      <w:r w:rsidRPr="001455DC">
        <w:rPr>
          <w:rStyle w:val="CCMCvariablesubscript"/>
        </w:rPr>
        <w:t>R</w:t>
      </w:r>
      <w:r w:rsidRPr="001455DC">
        <w:t xml:space="preserve"> and target values for the 50-year reliability index </w:t>
      </w:r>
      <w:r w:rsidRPr="001455DC">
        <w:rPr>
          <w:rStyle w:val="CCMCvariableitalic"/>
        </w:rPr>
        <w:t>β</w:t>
      </w:r>
      <w:r w:rsidRPr="001455DC">
        <w:rPr>
          <w:rStyle w:val="CCMCvariablesubscript"/>
        </w:rPr>
        <w:t>tgt</w:t>
      </w:r>
      <w:bookmarkEnd w:id="1293"/>
    </w:p>
    <w:tbl>
      <w:tblPr>
        <w:tblStyle w:val="53"/>
        <w:tblW w:w="9752" w:type="dxa"/>
        <w:tblLayout w:type="fixed"/>
        <w:tblLook w:val="0660" w:firstRow="1" w:lastRow="1" w:firstColumn="0" w:lastColumn="0" w:noHBand="1" w:noVBand="1"/>
      </w:tblPr>
      <w:tblGrid>
        <w:gridCol w:w="4314"/>
        <w:gridCol w:w="2472"/>
        <w:gridCol w:w="2966"/>
      </w:tblGrid>
      <w:tr w:rsidR="004E22C1" w:rsidRPr="001455DC" w14:paraId="6C6463F6" w14:textId="77777777" w:rsidTr="00994AC0">
        <w:trPr>
          <w:cnfStyle w:val="100000000000" w:firstRow="1" w:lastRow="0" w:firstColumn="0" w:lastColumn="0" w:oddVBand="0" w:evenVBand="0" w:oddHBand="0" w:evenHBand="0" w:firstRowFirstColumn="0" w:firstRowLastColumn="0" w:lastRowFirstColumn="0" w:lastRowLastColumn="0"/>
        </w:trPr>
        <w:tc>
          <w:tcPr>
            <w:tcW w:w="3711" w:type="dxa"/>
          </w:tcPr>
          <w:p w14:paraId="10FB6167" w14:textId="77777777" w:rsidR="004E22C1" w:rsidRPr="001455DC" w:rsidRDefault="004E22C1" w:rsidP="00994AC0">
            <w:pPr>
              <w:pStyle w:val="Tableheader"/>
            </w:pPr>
            <w:r w:rsidRPr="001455DC">
              <w:t>Design situations/Limit states</w:t>
            </w:r>
          </w:p>
        </w:tc>
        <w:tc>
          <w:tcPr>
            <w:tcW w:w="2126" w:type="dxa"/>
          </w:tcPr>
          <w:p w14:paraId="16D470D5" w14:textId="77777777" w:rsidR="004E22C1" w:rsidRPr="009D3012" w:rsidRDefault="004E22C1" w:rsidP="00994AC0">
            <w:pPr>
              <w:pStyle w:val="Tableheader"/>
              <w:rPr>
                <w:lang w:val="en-US"/>
              </w:rPr>
            </w:pPr>
            <w:r w:rsidRPr="009D3012">
              <w:rPr>
                <w:lang w:val="en-US"/>
              </w:rPr>
              <w:t xml:space="preserve">Sensitivity factors for resistance </w:t>
            </w:r>
            <w:r w:rsidRPr="001455DC">
              <w:rPr>
                <w:rStyle w:val="CCMCvariableitalic"/>
                <w:b w:val="0"/>
                <w:bCs/>
              </w:rPr>
              <w:t>α</w:t>
            </w:r>
            <w:r w:rsidRPr="009D3012">
              <w:rPr>
                <w:rStyle w:val="CCMCvariablesubscript"/>
                <w:b w:val="0"/>
                <w:bCs/>
                <w:lang w:val="en-US"/>
              </w:rPr>
              <w:t>R</w:t>
            </w:r>
          </w:p>
        </w:tc>
        <w:tc>
          <w:tcPr>
            <w:tcW w:w="2551" w:type="dxa"/>
          </w:tcPr>
          <w:p w14:paraId="6EF948A2" w14:textId="77777777" w:rsidR="004E22C1" w:rsidRPr="009D3012" w:rsidRDefault="004E22C1" w:rsidP="00994AC0">
            <w:pPr>
              <w:pStyle w:val="Tableheader"/>
              <w:rPr>
                <w:szCs w:val="22"/>
                <w:lang w:val="en-US"/>
              </w:rPr>
            </w:pPr>
            <w:r w:rsidRPr="009D3012">
              <w:rPr>
                <w:szCs w:val="22"/>
                <w:lang w:val="en-US"/>
              </w:rPr>
              <w:t xml:space="preserve">target value for the 50-year reliability index </w:t>
            </w:r>
            <w:r w:rsidRPr="001455DC">
              <w:rPr>
                <w:rStyle w:val="CCMCvariableitalic"/>
                <w:b w:val="0"/>
                <w:bCs/>
                <w:szCs w:val="22"/>
              </w:rPr>
              <w:t>β</w:t>
            </w:r>
            <w:r w:rsidRPr="009D3012">
              <w:rPr>
                <w:rStyle w:val="CCMCvariablesubscript"/>
                <w:b w:val="0"/>
                <w:bCs/>
                <w:szCs w:val="22"/>
                <w:lang w:val="en-US"/>
              </w:rPr>
              <w:t>tgt</w:t>
            </w:r>
          </w:p>
        </w:tc>
      </w:tr>
      <w:tr w:rsidR="004E22C1" w:rsidRPr="001455DC" w14:paraId="5C57D2C2" w14:textId="77777777" w:rsidTr="00994AC0">
        <w:tc>
          <w:tcPr>
            <w:tcW w:w="3711" w:type="dxa"/>
            <w:vAlign w:val="center"/>
          </w:tcPr>
          <w:p w14:paraId="625BD0F9" w14:textId="77777777" w:rsidR="004E22C1" w:rsidRPr="009D3012" w:rsidRDefault="004E22C1" w:rsidP="00994AC0">
            <w:pPr>
              <w:pStyle w:val="Tablebody"/>
              <w:jc w:val="left"/>
              <w:rPr>
                <w:lang w:val="en-US"/>
              </w:rPr>
            </w:pPr>
            <w:r w:rsidRPr="009D3012">
              <w:rPr>
                <w:lang w:val="en-US"/>
              </w:rPr>
              <w:t>Persistent or transient design situation</w:t>
            </w:r>
          </w:p>
        </w:tc>
        <w:tc>
          <w:tcPr>
            <w:tcW w:w="2126" w:type="dxa"/>
            <w:vAlign w:val="center"/>
          </w:tcPr>
          <w:p w14:paraId="776CBCFE" w14:textId="77777777" w:rsidR="004E22C1" w:rsidRPr="001455DC" w:rsidRDefault="004E22C1" w:rsidP="00994AC0">
            <w:pPr>
              <w:pStyle w:val="Tablebody"/>
              <w:jc w:val="center"/>
            </w:pPr>
            <w:r w:rsidRPr="001455DC">
              <w:t>0,8</w:t>
            </w:r>
          </w:p>
        </w:tc>
        <w:tc>
          <w:tcPr>
            <w:tcW w:w="2551" w:type="dxa"/>
            <w:vAlign w:val="center"/>
          </w:tcPr>
          <w:p w14:paraId="219B42A1" w14:textId="77777777" w:rsidR="004E22C1" w:rsidRPr="009D3012" w:rsidRDefault="004E22C1" w:rsidP="00994AC0">
            <w:pPr>
              <w:pStyle w:val="Tablebody"/>
              <w:jc w:val="center"/>
              <w:rPr>
                <w:rStyle w:val="CCMCvariablesuperscript"/>
              </w:rPr>
            </w:pPr>
            <w:r w:rsidRPr="009D3012">
              <w:t>3,8</w:t>
            </w:r>
          </w:p>
        </w:tc>
      </w:tr>
      <w:tr w:rsidR="004E22C1" w:rsidRPr="001455DC" w14:paraId="6277ADF7" w14:textId="77777777" w:rsidTr="00994AC0">
        <w:tc>
          <w:tcPr>
            <w:tcW w:w="3711" w:type="dxa"/>
            <w:vAlign w:val="center"/>
          </w:tcPr>
          <w:p w14:paraId="303D4620" w14:textId="77777777" w:rsidR="004E22C1" w:rsidRPr="001455DC" w:rsidRDefault="004E22C1" w:rsidP="00994AC0">
            <w:pPr>
              <w:pStyle w:val="Tablebody"/>
              <w:jc w:val="left"/>
            </w:pPr>
            <w:r w:rsidRPr="001455DC">
              <w:t>Fatigue design situation</w:t>
            </w:r>
          </w:p>
        </w:tc>
        <w:tc>
          <w:tcPr>
            <w:tcW w:w="2126" w:type="dxa"/>
            <w:vAlign w:val="center"/>
          </w:tcPr>
          <w:p w14:paraId="39B817D0" w14:textId="77777777" w:rsidR="004E22C1" w:rsidRPr="001455DC" w:rsidRDefault="004E22C1" w:rsidP="00994AC0">
            <w:pPr>
              <w:pStyle w:val="Tablebody"/>
              <w:jc w:val="center"/>
            </w:pPr>
            <w:r w:rsidRPr="001455DC">
              <w:t>0,8</w:t>
            </w:r>
          </w:p>
        </w:tc>
        <w:tc>
          <w:tcPr>
            <w:tcW w:w="2551" w:type="dxa"/>
            <w:vAlign w:val="center"/>
          </w:tcPr>
          <w:p w14:paraId="66764666" w14:textId="77777777" w:rsidR="004E22C1" w:rsidRPr="001455DC" w:rsidRDefault="004E22C1" w:rsidP="00994AC0">
            <w:pPr>
              <w:pStyle w:val="Tablebody"/>
              <w:jc w:val="center"/>
            </w:pPr>
            <w:r w:rsidRPr="001455DC">
              <w:t>3,8</w:t>
            </w:r>
          </w:p>
        </w:tc>
      </w:tr>
      <w:tr w:rsidR="004E22C1" w:rsidRPr="001455DC" w14:paraId="322427D4" w14:textId="77777777" w:rsidTr="00994AC0">
        <w:tc>
          <w:tcPr>
            <w:tcW w:w="3711" w:type="dxa"/>
            <w:vAlign w:val="center"/>
          </w:tcPr>
          <w:p w14:paraId="2459C0B0" w14:textId="77777777" w:rsidR="004E22C1" w:rsidRPr="001455DC" w:rsidRDefault="004E22C1" w:rsidP="00994AC0">
            <w:pPr>
              <w:pStyle w:val="Tablebody"/>
              <w:jc w:val="left"/>
            </w:pPr>
            <w:r w:rsidRPr="001455DC">
              <w:t>Accidental design situation</w:t>
            </w:r>
          </w:p>
        </w:tc>
        <w:tc>
          <w:tcPr>
            <w:tcW w:w="2126" w:type="dxa"/>
            <w:vAlign w:val="center"/>
          </w:tcPr>
          <w:p w14:paraId="2241DF41" w14:textId="77777777" w:rsidR="004E22C1" w:rsidRPr="001455DC" w:rsidRDefault="004E22C1" w:rsidP="00994AC0">
            <w:pPr>
              <w:pStyle w:val="Tablebody"/>
              <w:jc w:val="center"/>
            </w:pPr>
            <w:r w:rsidRPr="001455DC">
              <w:t>0,8</w:t>
            </w:r>
          </w:p>
        </w:tc>
        <w:tc>
          <w:tcPr>
            <w:tcW w:w="2551" w:type="dxa"/>
            <w:vAlign w:val="center"/>
          </w:tcPr>
          <w:p w14:paraId="541E86BF" w14:textId="77777777" w:rsidR="004E22C1" w:rsidRPr="001455DC" w:rsidRDefault="004E22C1" w:rsidP="00994AC0">
            <w:pPr>
              <w:pStyle w:val="Tablebody"/>
              <w:jc w:val="center"/>
            </w:pPr>
            <w:r w:rsidRPr="001455DC">
              <w:t>2,0</w:t>
            </w:r>
          </w:p>
        </w:tc>
      </w:tr>
      <w:tr w:rsidR="004E22C1" w:rsidRPr="001455DC" w14:paraId="36B7D15B" w14:textId="77777777" w:rsidTr="00994AC0">
        <w:trPr>
          <w:cnfStyle w:val="010000000000" w:firstRow="0" w:lastRow="1" w:firstColumn="0" w:lastColumn="0" w:oddVBand="0" w:evenVBand="0" w:oddHBand="0" w:evenHBand="0" w:firstRowFirstColumn="0" w:firstRowLastColumn="0" w:lastRowFirstColumn="0" w:lastRowLastColumn="0"/>
        </w:trPr>
        <w:tc>
          <w:tcPr>
            <w:tcW w:w="8388" w:type="dxa"/>
            <w:gridSpan w:val="3"/>
          </w:tcPr>
          <w:p w14:paraId="3018ACB5" w14:textId="0E5B68A6" w:rsidR="004E22C1" w:rsidRPr="009D3012" w:rsidRDefault="004E22C1" w:rsidP="00994AC0">
            <w:pPr>
              <w:pStyle w:val="Tablefooternote"/>
              <w:tabs>
                <w:tab w:val="clear" w:pos="680"/>
                <w:tab w:val="left" w:pos="851"/>
              </w:tabs>
              <w:rPr>
                <w:lang w:val="en-US"/>
              </w:rPr>
            </w:pPr>
            <w:r w:rsidRPr="009D3012">
              <w:rPr>
                <w:lang w:val="en-US"/>
              </w:rPr>
              <w:t>NOTE 1</w:t>
            </w:r>
            <w:r w:rsidRPr="009D3012">
              <w:rPr>
                <w:lang w:val="en-US"/>
              </w:rPr>
              <w:tab/>
              <w:t xml:space="preserve">These values refer to CC2. For others Consequence Classes, refer to </w:t>
            </w:r>
            <w:r w:rsidR="006C0555">
              <w:rPr>
                <w:lang w:val="en-US"/>
              </w:rPr>
              <w:t>pr</w:t>
            </w:r>
            <w:r w:rsidRPr="009D3012">
              <w:rPr>
                <w:lang w:val="en-US"/>
              </w:rPr>
              <w:t>EN 1990</w:t>
            </w:r>
            <w:r w:rsidR="00DF00C7">
              <w:rPr>
                <w:lang w:val="en-US"/>
              </w:rPr>
              <w:t>:2002</w:t>
            </w:r>
            <w:r w:rsidRPr="009D3012">
              <w:rPr>
                <w:lang w:val="en-US"/>
              </w:rPr>
              <w:t xml:space="preserve">, </w:t>
            </w:r>
            <w:r w:rsidR="006C0555">
              <w:rPr>
                <w:lang w:val="en-US"/>
              </w:rPr>
              <w:t>Clause 4</w:t>
            </w:r>
            <w:r w:rsidR="00AD033B">
              <w:rPr>
                <w:lang w:val="en-US"/>
              </w:rPr>
              <w:t>.</w:t>
            </w:r>
          </w:p>
          <w:p w14:paraId="3DA67A8A" w14:textId="77777777" w:rsidR="004E22C1" w:rsidRPr="009D3012" w:rsidRDefault="004E22C1" w:rsidP="00994AC0">
            <w:pPr>
              <w:pStyle w:val="Tablefooternote"/>
              <w:tabs>
                <w:tab w:val="clear" w:pos="680"/>
                <w:tab w:val="left" w:pos="851"/>
              </w:tabs>
              <w:rPr>
                <w:lang w:val="en-US"/>
              </w:rPr>
            </w:pPr>
            <w:r w:rsidRPr="009D3012">
              <w:rPr>
                <w:lang w:val="en-US"/>
              </w:rPr>
              <w:t>NOTE 2</w:t>
            </w:r>
            <w:r w:rsidRPr="009D3012">
              <w:rPr>
                <w:lang w:val="en-US"/>
              </w:rPr>
              <w:tab/>
              <w:t>The values for the target value of the reliability index given in Table A.2(NDP) apply unless a National Annex gives different values.</w:t>
            </w:r>
          </w:p>
        </w:tc>
      </w:tr>
    </w:tbl>
    <w:p w14:paraId="44E76600" w14:textId="77777777" w:rsidR="004E22C1" w:rsidRPr="001455DC" w:rsidRDefault="004E22C1" w:rsidP="00994AC0">
      <w:pPr>
        <w:pStyle w:val="a7"/>
      </w:pPr>
    </w:p>
    <w:p w14:paraId="7C40F4F3" w14:textId="33F31C4C" w:rsidR="004E22C1" w:rsidRPr="001455DC" w:rsidRDefault="004E22C1" w:rsidP="00E844D2">
      <w:pPr>
        <w:pStyle w:val="a7"/>
        <w:keepNext/>
      </w:pPr>
      <w:r w:rsidRPr="001455DC">
        <w:t>(</w:t>
      </w:r>
      <w:r w:rsidR="002A2DE0" w:rsidRPr="001455DC">
        <w:t>4</w:t>
      </w:r>
      <w:r w:rsidRPr="001455DC">
        <w:t>)</w:t>
      </w:r>
      <w:r w:rsidRPr="001455DC">
        <w:tab/>
        <w:t xml:space="preserve">If the execution is subjected to a </w:t>
      </w:r>
      <w:r w:rsidRPr="001455DC">
        <w:rPr>
          <w:bCs/>
          <w:iCs/>
        </w:rPr>
        <w:t>quality control system</w:t>
      </w:r>
      <w:r w:rsidRPr="001455DC">
        <w:t>, which ensures that geometrical deviations of Tolerance Class 2 according to EN 13670 are fulfilled, the statistical data of the geometrical values in Table A.2 may be replaced by:</w:t>
      </w:r>
    </w:p>
    <w:p w14:paraId="6301FE25" w14:textId="0C49BA6B" w:rsidR="004E22C1" w:rsidRPr="001455DC" w:rsidRDefault="004E22C1" w:rsidP="00994AC0">
      <w:pPr>
        <w:pStyle w:val="a0"/>
      </w:pPr>
      <w:r w:rsidRPr="001455DC">
        <w:t xml:space="preserve">effective depth </w:t>
      </w:r>
      <w:r w:rsidRPr="001455DC">
        <w:rPr>
          <w:rStyle w:val="CCMCvariableitalic"/>
        </w:rPr>
        <w:t>d</w:t>
      </w:r>
      <w:r w:rsidRPr="001455DC">
        <w:t xml:space="preserve"> of the reinforcement:</w:t>
      </w:r>
    </w:p>
    <w:p w14:paraId="5E7FB29F" w14:textId="582491C5" w:rsidR="004E22C1" w:rsidRPr="001455DC" w:rsidRDefault="004E22C1" w:rsidP="00994AC0">
      <w:pPr>
        <w:pStyle w:val="a7"/>
        <w:ind w:left="360"/>
        <w:rPr>
          <w:szCs w:val="22"/>
        </w:rPr>
      </w:pPr>
      <w:r w:rsidRPr="001455DC">
        <w:rPr>
          <w:rStyle w:val="CCMCvariableitalic"/>
          <w:szCs w:val="22"/>
        </w:rPr>
        <w:t>V</w:t>
      </w:r>
      <w:r w:rsidRPr="001455DC">
        <w:rPr>
          <w:rStyle w:val="CCMCvariablesubscript"/>
          <w:szCs w:val="22"/>
        </w:rPr>
        <w:t>d</w:t>
      </w:r>
      <w:r w:rsidRPr="001455DC">
        <w:rPr>
          <w:szCs w:val="22"/>
        </w:rPr>
        <w:t> </w:t>
      </w:r>
      <w:r w:rsidR="00EC27D2" w:rsidRPr="001455DC">
        <w:rPr>
          <w:rFonts w:ascii="Cambria Math" w:hAnsi="Cambria Math"/>
          <w:szCs w:val="22"/>
        </w:rPr>
        <w:t>=</w:t>
      </w:r>
      <w:r w:rsidRPr="001455DC">
        <w:rPr>
          <w:szCs w:val="22"/>
        </w:rPr>
        <w:t xml:space="preserve"> 0,025 for </w:t>
      </w:r>
      <w:r w:rsidRPr="001455DC">
        <w:rPr>
          <w:rStyle w:val="CCMCvariableitalic"/>
          <w:szCs w:val="22"/>
        </w:rPr>
        <w:t>d</w:t>
      </w:r>
      <w:r w:rsidRPr="001455DC">
        <w:rPr>
          <w:szCs w:val="22"/>
        </w:rPr>
        <w:t> </w:t>
      </w:r>
      <w:r w:rsidR="00650035" w:rsidRPr="001455DC">
        <w:rPr>
          <w:rFonts w:ascii="Cambria Math" w:hAnsi="Cambria Math"/>
          <w:szCs w:val="22"/>
        </w:rPr>
        <w:t>≥</w:t>
      </w:r>
      <w:r w:rsidR="00073FC6" w:rsidRPr="001455DC">
        <w:rPr>
          <w:szCs w:val="22"/>
        </w:rPr>
        <w:t> </w:t>
      </w:r>
      <w:r w:rsidRPr="001455DC">
        <w:rPr>
          <w:szCs w:val="22"/>
        </w:rPr>
        <w:t xml:space="preserve">200 mm or </w:t>
      </w:r>
      <w:r w:rsidRPr="001455DC">
        <w:rPr>
          <w:rStyle w:val="CCMCvariableitalic"/>
          <w:szCs w:val="22"/>
        </w:rPr>
        <w:t>V</w:t>
      </w:r>
      <w:r w:rsidRPr="001455DC">
        <w:rPr>
          <w:rStyle w:val="CCMCvariablesubscript"/>
          <w:szCs w:val="22"/>
        </w:rPr>
        <w:t>d</w:t>
      </w:r>
      <w:r w:rsidRPr="001455DC">
        <w:rPr>
          <w:szCs w:val="22"/>
        </w:rPr>
        <w:t> </w:t>
      </w:r>
      <w:r w:rsidR="00EC27D2" w:rsidRPr="001455DC">
        <w:rPr>
          <w:rFonts w:ascii="Cambria Math" w:hAnsi="Cambria Math"/>
          <w:szCs w:val="22"/>
        </w:rPr>
        <w:t>=</w:t>
      </w:r>
      <w:r w:rsidRPr="001455DC">
        <w:rPr>
          <w:szCs w:val="22"/>
        </w:rPr>
        <w:t> 0,025(200/</w:t>
      </w:r>
      <w:r w:rsidRPr="001455DC">
        <w:rPr>
          <w:rStyle w:val="CCMCvariableitalic"/>
          <w:szCs w:val="22"/>
        </w:rPr>
        <w:t>d</w:t>
      </w:r>
      <w:r w:rsidRPr="001455DC">
        <w:rPr>
          <w:szCs w:val="22"/>
        </w:rPr>
        <w:t>)</w:t>
      </w:r>
      <w:r w:rsidRPr="001455DC">
        <w:rPr>
          <w:rStyle w:val="CCMCvariablesuperscript"/>
          <w:szCs w:val="22"/>
        </w:rPr>
        <w:t>2/3</w:t>
      </w:r>
      <w:r w:rsidRPr="001455DC">
        <w:rPr>
          <w:szCs w:val="22"/>
        </w:rPr>
        <w:t xml:space="preserve"> otherwise; </w:t>
      </w:r>
      <w:r w:rsidRPr="001455DC">
        <w:rPr>
          <w:rStyle w:val="CCMCvariableitalic"/>
          <w:szCs w:val="22"/>
        </w:rPr>
        <w:t>μ</w:t>
      </w:r>
      <w:r w:rsidRPr="001455DC">
        <w:rPr>
          <w:rStyle w:val="CCMCvariablesubscript"/>
          <w:szCs w:val="22"/>
        </w:rPr>
        <w:t>d</w:t>
      </w:r>
      <w:r w:rsidRPr="001455DC">
        <w:rPr>
          <w:szCs w:val="22"/>
        </w:rPr>
        <w:t> </w:t>
      </w:r>
      <w:r w:rsidR="00EC27D2" w:rsidRPr="001455DC">
        <w:rPr>
          <w:rFonts w:ascii="Cambria Math" w:hAnsi="Cambria Math"/>
          <w:szCs w:val="22"/>
        </w:rPr>
        <w:t>=</w:t>
      </w:r>
      <w:r w:rsidRPr="001455DC">
        <w:rPr>
          <w:szCs w:val="22"/>
        </w:rPr>
        <w:t> </w:t>
      </w:r>
      <w:r w:rsidRPr="001455DC">
        <w:rPr>
          <w:szCs w:val="22"/>
          <w:lang w:eastAsia="ja-JP"/>
        </w:rPr>
        <w:t>0,975;</w:t>
      </w:r>
    </w:p>
    <w:p w14:paraId="63F46E27" w14:textId="67FDDB4B" w:rsidR="004E22C1" w:rsidRPr="001455DC" w:rsidRDefault="004E22C1" w:rsidP="00994AC0">
      <w:pPr>
        <w:pStyle w:val="a0"/>
      </w:pPr>
      <w:r w:rsidRPr="001455DC">
        <w:t xml:space="preserve">concrete area: </w:t>
      </w:r>
      <w:r w:rsidRPr="001455DC">
        <w:rPr>
          <w:rStyle w:val="CCMCvariableitalic"/>
        </w:rPr>
        <w:t>V</w:t>
      </w:r>
      <w:r w:rsidRPr="001455DC">
        <w:rPr>
          <w:rStyle w:val="CCMCvariablesubscript"/>
        </w:rPr>
        <w:t>Ac</w:t>
      </w:r>
      <w:r w:rsidRPr="001455DC">
        <w:t> </w:t>
      </w:r>
      <w:r w:rsidR="00EC27D2" w:rsidRPr="001455DC">
        <w:rPr>
          <w:rFonts w:ascii="Cambria Math" w:hAnsi="Cambria Math"/>
        </w:rPr>
        <w:t>=</w:t>
      </w:r>
      <w:r w:rsidRPr="001455DC">
        <w:t xml:space="preserve"> 0,02 and </w:t>
      </w:r>
      <w:r w:rsidRPr="001455DC">
        <w:rPr>
          <w:rStyle w:val="CCMCvariableitalic"/>
        </w:rPr>
        <w:t>μ</w:t>
      </w:r>
      <w:r w:rsidRPr="001455DC">
        <w:rPr>
          <w:rStyle w:val="CCMCvariablesubscript"/>
        </w:rPr>
        <w:t>Ac</w:t>
      </w:r>
      <w:r w:rsidRPr="001455DC">
        <w:t> </w:t>
      </w:r>
      <w:r w:rsidR="00EC27D2" w:rsidRPr="001455DC">
        <w:rPr>
          <w:rFonts w:ascii="Cambria Math" w:hAnsi="Cambria Math"/>
        </w:rPr>
        <w:t>=</w:t>
      </w:r>
      <w:r w:rsidRPr="001455DC">
        <w:t> </w:t>
      </w:r>
      <w:r w:rsidRPr="001455DC">
        <w:rPr>
          <w:lang w:eastAsia="ja-JP"/>
        </w:rPr>
        <w:t>1,00.</w:t>
      </w:r>
    </w:p>
    <w:p w14:paraId="3C0A87E1" w14:textId="10915239" w:rsidR="004E22C1" w:rsidRPr="001455DC" w:rsidRDefault="004E22C1" w:rsidP="00E844D2">
      <w:pPr>
        <w:pStyle w:val="a7"/>
        <w:keepLines/>
      </w:pPr>
      <w:r w:rsidRPr="001455DC">
        <w:t>(</w:t>
      </w:r>
      <w:r w:rsidR="002A2DE0" w:rsidRPr="001455DC">
        <w:t>5</w:t>
      </w:r>
      <w:r w:rsidRPr="001455DC">
        <w:t>)</w:t>
      </w:r>
      <w:r w:rsidRPr="001455DC">
        <w:tab/>
        <w:t>If the calculation of design resistance is based on the value of the dominant geometrical data (e.g. the effective depth for bending or the concrete area for axial compressive force) measured in the finished structure at the governing cross section, the statistical data of the geometrical values in Table A.2 may be replaced by:</w:t>
      </w:r>
    </w:p>
    <w:p w14:paraId="7B0B8EA3" w14:textId="18F088FC" w:rsidR="004E22C1" w:rsidRPr="001455DC" w:rsidRDefault="004E22C1" w:rsidP="000E2087">
      <w:pPr>
        <w:pStyle w:val="a0"/>
      </w:pPr>
      <w:r w:rsidRPr="001455DC">
        <w:t xml:space="preserve">effective depth </w:t>
      </w:r>
      <w:r w:rsidRPr="001455DC">
        <w:rPr>
          <w:rStyle w:val="CCMCvariableitalic"/>
        </w:rPr>
        <w:t>d</w:t>
      </w:r>
      <w:r w:rsidRPr="001455DC">
        <w:t xml:space="preserve"> of the reinforcement: </w:t>
      </w:r>
      <w:r w:rsidRPr="001455DC">
        <w:rPr>
          <w:rStyle w:val="CCMCvariableitalic"/>
        </w:rPr>
        <w:t>V</w:t>
      </w:r>
      <w:r w:rsidRPr="001455DC">
        <w:rPr>
          <w:rStyle w:val="CCMCvariablesubscript"/>
        </w:rPr>
        <w:t>d</w:t>
      </w:r>
      <w:r w:rsidRPr="001455DC">
        <w:t> </w:t>
      </w:r>
      <w:r w:rsidR="00EC27D2" w:rsidRPr="001455DC">
        <w:rPr>
          <w:rFonts w:ascii="Cambria Math" w:hAnsi="Cambria Math"/>
        </w:rPr>
        <w:t>=</w:t>
      </w:r>
      <w:r w:rsidRPr="001455DC">
        <w:t xml:space="preserve"> 0,015 and </w:t>
      </w:r>
      <w:r w:rsidRPr="001455DC">
        <w:rPr>
          <w:rStyle w:val="CCMCvariableitalic"/>
        </w:rPr>
        <w:t>μ</w:t>
      </w:r>
      <w:r w:rsidRPr="001455DC">
        <w:rPr>
          <w:rStyle w:val="CCMCvariablesubscript"/>
        </w:rPr>
        <w:t>d</w:t>
      </w:r>
      <w:r w:rsidRPr="001455DC">
        <w:t> </w:t>
      </w:r>
      <w:r w:rsidR="00EC27D2" w:rsidRPr="001455DC">
        <w:rPr>
          <w:rFonts w:ascii="Cambria Math" w:hAnsi="Cambria Math"/>
        </w:rPr>
        <w:t>=</w:t>
      </w:r>
      <w:r w:rsidRPr="001455DC">
        <w:t> </w:t>
      </w:r>
      <w:r w:rsidRPr="001455DC">
        <w:rPr>
          <w:lang w:eastAsia="ja-JP"/>
        </w:rPr>
        <w:t>1,00;</w:t>
      </w:r>
    </w:p>
    <w:p w14:paraId="056C037F" w14:textId="42329556" w:rsidR="004E22C1" w:rsidRPr="001455DC" w:rsidRDefault="004E22C1" w:rsidP="000E2087">
      <w:pPr>
        <w:pStyle w:val="a0"/>
      </w:pPr>
      <w:r w:rsidRPr="001455DC">
        <w:t xml:space="preserve">concrete area: </w:t>
      </w:r>
      <w:r w:rsidRPr="001455DC">
        <w:rPr>
          <w:rStyle w:val="CCMCvariableitalic"/>
        </w:rPr>
        <w:t>V</w:t>
      </w:r>
      <w:r w:rsidRPr="001455DC">
        <w:rPr>
          <w:rStyle w:val="CCMCvariablesubscript"/>
        </w:rPr>
        <w:t>Ac</w:t>
      </w:r>
      <w:r w:rsidRPr="001455DC">
        <w:t> </w:t>
      </w:r>
      <w:r w:rsidR="00EC27D2" w:rsidRPr="001455DC">
        <w:rPr>
          <w:rFonts w:ascii="Cambria Math" w:hAnsi="Cambria Math"/>
        </w:rPr>
        <w:t>=</w:t>
      </w:r>
      <w:r w:rsidRPr="001455DC">
        <w:t xml:space="preserve"> 0,015 and </w:t>
      </w:r>
      <w:r w:rsidRPr="001455DC">
        <w:rPr>
          <w:rStyle w:val="CCMCvariableitalic"/>
        </w:rPr>
        <w:t>μ</w:t>
      </w:r>
      <w:r w:rsidRPr="001455DC">
        <w:rPr>
          <w:rStyle w:val="CCMCvariablesubscript"/>
        </w:rPr>
        <w:t>Ac</w:t>
      </w:r>
      <w:r w:rsidRPr="001455DC">
        <w:t> </w:t>
      </w:r>
      <w:r w:rsidR="00EC27D2" w:rsidRPr="001455DC">
        <w:rPr>
          <w:rFonts w:ascii="Cambria Math" w:hAnsi="Cambria Math"/>
        </w:rPr>
        <w:t>=</w:t>
      </w:r>
      <w:r w:rsidRPr="001455DC">
        <w:t> </w:t>
      </w:r>
      <w:r w:rsidRPr="001455DC">
        <w:rPr>
          <w:lang w:eastAsia="ja-JP"/>
        </w:rPr>
        <w:t>1,00.</w:t>
      </w:r>
    </w:p>
    <w:p w14:paraId="1BCED16B" w14:textId="77777777" w:rsidR="004E22C1" w:rsidRPr="001455DC" w:rsidRDefault="004E22C1" w:rsidP="000E2087">
      <w:pPr>
        <w:pStyle w:val="a7"/>
      </w:pPr>
      <w:r w:rsidRPr="001455DC">
        <w:t>The measurements of the effective depth and of the concrete area should be conducted to allow for the coefficients of variation defined above. If this is not possible, the statistical values should be adapted accounting for the actual uncertainties of the measurements.</w:t>
      </w:r>
    </w:p>
    <w:p w14:paraId="4804ACFF" w14:textId="320C1A8B" w:rsidR="000E2087" w:rsidRPr="001455DC" w:rsidRDefault="004E22C1" w:rsidP="000E2087">
      <w:pPr>
        <w:pStyle w:val="a7"/>
      </w:pPr>
      <w:r w:rsidRPr="001455DC">
        <w:t>(</w:t>
      </w:r>
      <w:r w:rsidR="002A2DE0" w:rsidRPr="001455DC">
        <w:t>6</w:t>
      </w:r>
      <w:r w:rsidRPr="001455DC">
        <w:t>)</w:t>
      </w:r>
      <w:r w:rsidRPr="001455DC">
        <w:tab/>
        <w:t xml:space="preserve">The statistical data of the effective depth in Table A.2 may be replaced by </w:t>
      </w:r>
      <w:r w:rsidRPr="001455DC">
        <w:rPr>
          <w:rStyle w:val="CCMCvariableitalic"/>
        </w:rPr>
        <w:t>V</w:t>
      </w:r>
      <w:r w:rsidRPr="001455DC">
        <w:rPr>
          <w:rStyle w:val="CCMCvariablesubscript"/>
        </w:rPr>
        <w:t>d</w:t>
      </w:r>
      <w:r w:rsidRPr="001455DC">
        <w:t> </w:t>
      </w:r>
      <w:r w:rsidR="00EC27D2" w:rsidRPr="001455DC">
        <w:rPr>
          <w:rFonts w:ascii="Cambria Math" w:hAnsi="Cambria Math"/>
        </w:rPr>
        <w:t>=</w:t>
      </w:r>
      <w:r w:rsidRPr="001455DC">
        <w:t xml:space="preserve"> 0,00 and </w:t>
      </w:r>
      <w:r w:rsidRPr="001455DC">
        <w:rPr>
          <w:rStyle w:val="CCMCvariableitalic"/>
        </w:rPr>
        <w:t>μ</w:t>
      </w:r>
      <w:r w:rsidRPr="001455DC">
        <w:rPr>
          <w:rStyle w:val="CCMCvariablesubscript"/>
        </w:rPr>
        <w:t>d</w:t>
      </w:r>
      <w:r w:rsidRPr="001455DC">
        <w:t> </w:t>
      </w:r>
      <w:r w:rsidR="00EC27D2" w:rsidRPr="001455DC">
        <w:rPr>
          <w:rFonts w:ascii="Cambria Math" w:hAnsi="Cambria Math"/>
        </w:rPr>
        <w:t>=</w:t>
      </w:r>
      <w:r w:rsidRPr="001455DC">
        <w:t> 1,00 if the calculation of the design resistance is based on the design value of the effective depth</w:t>
      </w:r>
      <w:r w:rsidRPr="001455DC">
        <w:rPr>
          <w:lang w:eastAsia="ja-JP"/>
        </w:rPr>
        <w:t xml:space="preserve"> </w:t>
      </w:r>
      <w:r w:rsidRPr="001455DC">
        <w:rPr>
          <w:rStyle w:val="CCMCvariableitalic"/>
        </w:rPr>
        <w:t>d</w:t>
      </w:r>
      <w:r w:rsidRPr="001455DC">
        <w:rPr>
          <w:rStyle w:val="CCMCvariablesubscript"/>
        </w:rPr>
        <w:t>d</w:t>
      </w:r>
      <w:r w:rsidRPr="001455DC">
        <w:t>:</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0E2087" w:rsidRPr="001455DC" w14:paraId="5FE53FB7" w14:textId="77777777" w:rsidTr="00EC773D">
        <w:trPr>
          <w:cantSplit/>
        </w:trPr>
        <w:tc>
          <w:tcPr>
            <w:tcW w:w="8505" w:type="dxa"/>
            <w:vAlign w:val="center"/>
          </w:tcPr>
          <w:p w14:paraId="766D8235" w14:textId="1E03133A" w:rsidR="000E2087" w:rsidRPr="001455DC" w:rsidRDefault="000E2087" w:rsidP="00EC773D">
            <w:pPr>
              <w:pStyle w:val="Formula"/>
              <w:jc w:val="left"/>
            </w:pPr>
            <w:r w:rsidRPr="001455DC">
              <w:rPr>
                <w:rStyle w:val="CCMCvariableitalic"/>
              </w:rPr>
              <w:t>d</w:t>
            </w:r>
            <w:r w:rsidRPr="001455DC">
              <w:rPr>
                <w:rStyle w:val="CCMCvariablesubscript"/>
              </w:rPr>
              <w:t>d</w:t>
            </w:r>
            <w:r w:rsidRPr="001455DC">
              <w:t> </w:t>
            </w:r>
            <w:r w:rsidR="00EC27D2" w:rsidRPr="001455DC">
              <w:rPr>
                <w:rFonts w:ascii="Cambria Math" w:hAnsi="Cambria Math"/>
              </w:rPr>
              <w:t>=</w:t>
            </w:r>
            <w:r w:rsidRPr="001455DC">
              <w:t> </w:t>
            </w:r>
            <w:r w:rsidRPr="001455DC">
              <w:rPr>
                <w:rStyle w:val="CCMCvariableitalic"/>
              </w:rPr>
              <w:t>d</w:t>
            </w:r>
            <w:r w:rsidRPr="001455DC">
              <w:rPr>
                <w:rStyle w:val="CCMCvariablesubscript"/>
              </w:rPr>
              <w:t>nom</w:t>
            </w:r>
            <w:r w:rsidRPr="001455DC">
              <w:rPr>
                <w:lang w:eastAsia="ja-JP"/>
              </w:rPr>
              <w:t> </w:t>
            </w:r>
            <w:r w:rsidR="00EC27D2" w:rsidRPr="001455DC">
              <w:rPr>
                <w:rFonts w:ascii="Cambria Math" w:hAnsi="Cambria Math"/>
                <w:lang w:eastAsia="ja-JP"/>
              </w:rPr>
              <w:t>−</w:t>
            </w:r>
            <w:r w:rsidRPr="001455DC">
              <w:rPr>
                <w:lang w:eastAsia="ja-JP"/>
              </w:rPr>
              <w:t> Δ</w:t>
            </w:r>
            <w:r w:rsidRPr="001455DC">
              <w:rPr>
                <w:rStyle w:val="CCMCvariableitalic"/>
              </w:rPr>
              <w:t>d</w:t>
            </w:r>
          </w:p>
        </w:tc>
        <w:tc>
          <w:tcPr>
            <w:tcW w:w="1247" w:type="dxa"/>
            <w:vAlign w:val="center"/>
          </w:tcPr>
          <w:p w14:paraId="622927B5" w14:textId="5702A8ED" w:rsidR="000E2087" w:rsidRPr="001455DC" w:rsidRDefault="000E2087" w:rsidP="00EC773D">
            <w:pPr>
              <w:pStyle w:val="a7"/>
              <w:jc w:val="right"/>
            </w:pPr>
            <w:r w:rsidRPr="001455DC">
              <w:t>(A.4)</w:t>
            </w:r>
          </w:p>
        </w:tc>
      </w:tr>
    </w:tbl>
    <w:p w14:paraId="3FDDF4F3" w14:textId="77777777" w:rsidR="000E2087" w:rsidRPr="001455DC" w:rsidRDefault="000E2087"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0E2087" w:rsidRPr="001455DC" w14:paraId="3C3C1594" w14:textId="77777777" w:rsidTr="00EC773D">
        <w:trPr>
          <w:cantSplit/>
        </w:trPr>
        <w:tc>
          <w:tcPr>
            <w:tcW w:w="567" w:type="dxa"/>
          </w:tcPr>
          <w:p w14:paraId="1AF67900" w14:textId="46E4D9F5" w:rsidR="000E2087" w:rsidRPr="001455DC" w:rsidRDefault="000E2087" w:rsidP="0000442A">
            <w:pPr>
              <w:pStyle w:val="Tablebody"/>
            </w:pPr>
            <w:r w:rsidRPr="001455DC">
              <w:rPr>
                <w:lang w:eastAsia="ja-JP"/>
              </w:rPr>
              <w:t>Δ</w:t>
            </w:r>
            <w:r w:rsidRPr="001455DC">
              <w:rPr>
                <w:rStyle w:val="CCMCvariableitalic"/>
              </w:rPr>
              <w:t>d</w:t>
            </w:r>
          </w:p>
        </w:tc>
        <w:tc>
          <w:tcPr>
            <w:tcW w:w="8845" w:type="dxa"/>
          </w:tcPr>
          <w:p w14:paraId="7C8CAFAA" w14:textId="1BFA3BF2" w:rsidR="000E2087" w:rsidRPr="001455DC" w:rsidRDefault="000E2087" w:rsidP="0000442A">
            <w:pPr>
              <w:pStyle w:val="Tablebody"/>
            </w:pPr>
            <w:r w:rsidRPr="001455DC">
              <w:rPr>
                <w:lang w:eastAsia="ja-JP"/>
              </w:rPr>
              <w:t>is the deviation value of the effective depth:</w:t>
            </w:r>
          </w:p>
        </w:tc>
      </w:tr>
      <w:tr w:rsidR="000E2087" w:rsidRPr="001455DC" w14:paraId="7C108780" w14:textId="77777777" w:rsidTr="00EC773D">
        <w:trPr>
          <w:cantSplit/>
        </w:trPr>
        <w:tc>
          <w:tcPr>
            <w:tcW w:w="567" w:type="dxa"/>
          </w:tcPr>
          <w:p w14:paraId="68149C50" w14:textId="62AB218E" w:rsidR="000E2087" w:rsidRPr="001455DC" w:rsidRDefault="000E2087" w:rsidP="00D86695">
            <w:pPr>
              <w:pStyle w:val="Tablebody"/>
            </w:pPr>
            <w:r w:rsidRPr="001455DC">
              <w:t> </w:t>
            </w:r>
          </w:p>
        </w:tc>
        <w:tc>
          <w:tcPr>
            <w:tcW w:w="8845" w:type="dxa"/>
          </w:tcPr>
          <w:p w14:paraId="79BDA930" w14:textId="3A46B7FF" w:rsidR="000E2087" w:rsidRPr="001455DC" w:rsidRDefault="000E2087" w:rsidP="00D86695">
            <w:pPr>
              <w:pStyle w:val="Tablebody"/>
            </w:pPr>
            <w:r w:rsidRPr="001455DC">
              <w:rPr>
                <w:lang w:eastAsia="ja-JP"/>
              </w:rPr>
              <w:t>Δ</w:t>
            </w:r>
            <w:r w:rsidRPr="001455DC">
              <w:rPr>
                <w:rStyle w:val="CCMCvariableitalic"/>
              </w:rPr>
              <w:t>d</w:t>
            </w:r>
            <w:r w:rsidRPr="001455DC">
              <w:t> </w:t>
            </w:r>
            <w:r w:rsidR="00EC27D2" w:rsidRPr="001455DC">
              <w:rPr>
                <w:rFonts w:ascii="Cambria Math" w:hAnsi="Cambria Math"/>
              </w:rPr>
              <w:t>=</w:t>
            </w:r>
            <w:r w:rsidRPr="001455DC">
              <w:t> </w:t>
            </w:r>
            <w:r w:rsidRPr="001455DC">
              <w:rPr>
                <w:lang w:eastAsia="ja-JP"/>
              </w:rPr>
              <w:t>15 mm</w:t>
            </w:r>
            <w:r w:rsidRPr="001455DC">
              <w:rPr>
                <w:lang w:eastAsia="ja-JP"/>
              </w:rPr>
              <w:tab/>
            </w:r>
            <w:r w:rsidRPr="001455DC">
              <w:t>for reinforcing and post-tensioning steel,</w:t>
            </w:r>
          </w:p>
        </w:tc>
      </w:tr>
      <w:tr w:rsidR="000E2087" w:rsidRPr="001455DC" w14:paraId="0DC70F44" w14:textId="77777777" w:rsidTr="00EC773D">
        <w:trPr>
          <w:cantSplit/>
        </w:trPr>
        <w:tc>
          <w:tcPr>
            <w:tcW w:w="567" w:type="dxa"/>
          </w:tcPr>
          <w:p w14:paraId="0BD2118E" w14:textId="353C8B89" w:rsidR="000E2087" w:rsidRPr="001455DC" w:rsidRDefault="000E2087" w:rsidP="00D86695">
            <w:pPr>
              <w:pStyle w:val="Tablebody"/>
            </w:pPr>
            <w:r w:rsidRPr="001455DC">
              <w:t> </w:t>
            </w:r>
          </w:p>
        </w:tc>
        <w:tc>
          <w:tcPr>
            <w:tcW w:w="8845" w:type="dxa"/>
          </w:tcPr>
          <w:p w14:paraId="14F81EEC" w14:textId="10A11983" w:rsidR="000E2087" w:rsidRPr="001455DC" w:rsidRDefault="000E2087" w:rsidP="00D86695">
            <w:pPr>
              <w:pStyle w:val="Tablebody"/>
            </w:pPr>
            <w:r w:rsidRPr="001455DC">
              <w:rPr>
                <w:lang w:eastAsia="ja-JP"/>
              </w:rPr>
              <w:t>Δ</w:t>
            </w:r>
            <w:r w:rsidRPr="001455DC">
              <w:rPr>
                <w:rStyle w:val="CCMCvariableitalic"/>
              </w:rPr>
              <w:t>d</w:t>
            </w:r>
            <w:r w:rsidRPr="001455DC">
              <w:t> </w:t>
            </w:r>
            <w:r w:rsidR="00EC27D2" w:rsidRPr="001455DC">
              <w:rPr>
                <w:rFonts w:ascii="Cambria Math" w:hAnsi="Cambria Math"/>
              </w:rPr>
              <w:t>=</w:t>
            </w:r>
            <w:r w:rsidRPr="001455DC">
              <w:t> </w:t>
            </w:r>
            <w:r w:rsidRPr="001455DC">
              <w:rPr>
                <w:lang w:eastAsia="ja-JP"/>
              </w:rPr>
              <w:t>5 mm</w:t>
            </w:r>
            <w:r w:rsidRPr="001455DC">
              <w:rPr>
                <w:lang w:eastAsia="ja-JP"/>
              </w:rPr>
              <w:tab/>
              <w:t>for pre-tensioning steel.</w:t>
            </w:r>
          </w:p>
        </w:tc>
      </w:tr>
    </w:tbl>
    <w:p w14:paraId="3DC9A607" w14:textId="19DB689C" w:rsidR="004E22C1" w:rsidRPr="001455DC" w:rsidRDefault="004E22C1" w:rsidP="000E2087">
      <w:pPr>
        <w:pStyle w:val="Note"/>
        <w:rPr>
          <w:bCs/>
        </w:rPr>
      </w:pPr>
      <w:r w:rsidRPr="001455DC">
        <w:t>NOTE</w:t>
      </w:r>
      <w:r w:rsidR="00AD033B">
        <w:t xml:space="preserve"> </w:t>
      </w:r>
      <w:r w:rsidRPr="001455DC">
        <w:tab/>
        <w:t>The design value of the effective depth</w:t>
      </w:r>
      <w:r w:rsidRPr="001455DC">
        <w:rPr>
          <w:lang w:eastAsia="ja-JP"/>
        </w:rPr>
        <w:t xml:space="preserve"> </w:t>
      </w:r>
      <w:r w:rsidRPr="001455DC">
        <w:rPr>
          <w:rStyle w:val="CCMCvariableitalic"/>
        </w:rPr>
        <w:t>d</w:t>
      </w:r>
      <w:r w:rsidRPr="001455DC">
        <w:rPr>
          <w:rStyle w:val="CCMCvariablesubscript"/>
        </w:rPr>
        <w:t>d</w:t>
      </w:r>
      <w:r w:rsidRPr="001455DC">
        <w:t xml:space="preserve"> can be used unless a National Annex gives limitations.</w:t>
      </w:r>
    </w:p>
    <w:p w14:paraId="0994B763" w14:textId="15630510" w:rsidR="000E2087" w:rsidRPr="001455DC" w:rsidRDefault="004E22C1" w:rsidP="000E2087">
      <w:pPr>
        <w:pStyle w:val="a7"/>
      </w:pPr>
      <w:r w:rsidRPr="001455DC">
        <w:t>(</w:t>
      </w:r>
      <w:r w:rsidR="002A2DE0" w:rsidRPr="001455DC">
        <w:t>7</w:t>
      </w:r>
      <w:r w:rsidRPr="001455DC">
        <w:t>)</w:t>
      </w:r>
      <w:r w:rsidRPr="001455DC">
        <w:tab/>
        <w:t>If the compressive concrete strength is assessed according to EN 13791</w:t>
      </w:r>
      <w:r w:rsidR="00D63A10" w:rsidRPr="001455DC">
        <w:t>:2019</w:t>
      </w:r>
      <w:r w:rsidRPr="001455DC">
        <w:t xml:space="preserve">, </w:t>
      </w:r>
      <w:r w:rsidR="001710FF" w:rsidRPr="001455DC">
        <w:t>Clause </w:t>
      </w:r>
      <w:r w:rsidRPr="001455DC">
        <w:t xml:space="preserve">8, the partial safety factor </w:t>
      </w:r>
      <w:r w:rsidRPr="001455DC">
        <w:rPr>
          <w:rStyle w:val="CCMCvariableitalic"/>
        </w:rPr>
        <w:t>γ</w:t>
      </w:r>
      <w:r w:rsidRPr="001455DC">
        <w:rPr>
          <w:rStyle w:val="CCMCvariablesubscript"/>
        </w:rPr>
        <w:t>C</w:t>
      </w:r>
      <w:r w:rsidRPr="001455DC">
        <w:rPr>
          <w:iCs/>
        </w:rPr>
        <w:t xml:space="preserve"> </w:t>
      </w:r>
      <w:r w:rsidRPr="001455DC">
        <w:t>may be adjusted using Formula (A.1), where Formulae (A.2</w:t>
      </w:r>
      <w:r w:rsidR="00D63A10" w:rsidRPr="001455DC">
        <w:t>b</w:t>
      </w:r>
      <w:r w:rsidRPr="001455DC">
        <w:t>)</w:t>
      </w:r>
      <w:r w:rsidR="00D63A10" w:rsidRPr="001455DC">
        <w:t>, (A.2c), (A.3b)</w:t>
      </w:r>
      <w:r w:rsidRPr="001455DC">
        <w:t xml:space="preserve"> and (A.3</w:t>
      </w:r>
      <w:r w:rsidR="00D63A10" w:rsidRPr="001455DC">
        <w:t>c</w:t>
      </w:r>
      <w:r w:rsidRPr="001455DC">
        <w:t>) should be replaced by Formulae (A.5) and (A.6), respectively:</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0E2087" w:rsidRPr="001455DC" w14:paraId="08E4F8F8" w14:textId="77777777" w:rsidTr="00EC773D">
        <w:trPr>
          <w:cantSplit/>
        </w:trPr>
        <w:tc>
          <w:tcPr>
            <w:tcW w:w="8505" w:type="dxa"/>
            <w:vAlign w:val="center"/>
          </w:tcPr>
          <w:p w14:paraId="294BF7DB" w14:textId="5E976E70" w:rsidR="000E2087" w:rsidRPr="001455DC" w:rsidRDefault="00231E33" w:rsidP="00EC773D">
            <w:pPr>
              <w:pStyle w:val="Formula"/>
              <w:jc w:val="left"/>
            </w:pPr>
            <m:oMathPara>
              <m:oMathParaPr>
                <m:jc m:val="left"/>
              </m:oMathParaPr>
              <m:oMath>
                <m:sSub>
                  <m:sSubPr>
                    <m:ctrlPr>
                      <w:rPr>
                        <w:rFonts w:ascii="Cambria Math" w:hAnsi="Cambria Math"/>
                      </w:rPr>
                    </m:ctrlPr>
                  </m:sSubPr>
                  <m:e>
                    <m:r>
                      <w:rPr>
                        <w:rFonts w:ascii="Cambria Math" w:hAnsi="Cambria Math"/>
                      </w:rPr>
                      <m:t>V</m:t>
                    </m:r>
                  </m:e>
                  <m:sub>
                    <m:r>
                      <m:rPr>
                        <m:sty m:val="p"/>
                      </m:rPr>
                      <w:rPr>
                        <w:rFonts w:ascii="Cambria Math" w:hAnsi="Cambria Math"/>
                      </w:rPr>
                      <m:t>RC</m:t>
                    </m:r>
                  </m:sub>
                </m:sSub>
                <m: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V</m:t>
                        </m:r>
                      </m:e>
                      <m:sub>
                        <m:r>
                          <m:rPr>
                            <m:sty m:val="p"/>
                          </m:rPr>
                          <w:rPr>
                            <w:rFonts w:ascii="Cambria Math" w:hAnsi="Cambria Math"/>
                          </w:rPr>
                          <m:t>fc,is,corr</m:t>
                        </m:r>
                      </m:sub>
                      <m:sup>
                        <m:r>
                          <w:rPr>
                            <w:rFonts w:ascii="Cambria Math" w:hAnsi="Cambria Math"/>
                          </w:rPr>
                          <m:t>2</m:t>
                        </m:r>
                      </m:sup>
                    </m:sSubSup>
                    <m:r>
                      <w:rPr>
                        <w:rFonts w:ascii="Cambria Math" w:hAnsi="Cambria Math"/>
                      </w:rPr>
                      <m:t>+</m:t>
                    </m:r>
                    <m:sSubSup>
                      <m:sSubSupPr>
                        <m:ctrlPr>
                          <w:rPr>
                            <w:rFonts w:ascii="Cambria Math" w:hAnsi="Cambria Math"/>
                          </w:rPr>
                        </m:ctrlPr>
                      </m:sSubSupPr>
                      <m:e>
                        <m:r>
                          <w:rPr>
                            <w:rFonts w:ascii="Cambria Math" w:hAnsi="Cambria Math"/>
                          </w:rPr>
                          <m:t>V</m:t>
                        </m:r>
                      </m:e>
                      <m:sub>
                        <m:r>
                          <m:rPr>
                            <m:sty m:val="p"/>
                          </m:rPr>
                          <w:rPr>
                            <w:rFonts w:ascii="Cambria Math" w:hAnsi="Cambria Math"/>
                          </w:rPr>
                          <m:t>Ac</m:t>
                        </m:r>
                      </m:sub>
                      <m:sup>
                        <m:r>
                          <w:rPr>
                            <w:rFonts w:ascii="Cambria Math" w:hAnsi="Cambria Math"/>
                          </w:rPr>
                          <m:t>2</m:t>
                        </m:r>
                      </m:sup>
                    </m:sSubSup>
                    <m:r>
                      <w:rPr>
                        <w:rFonts w:ascii="Cambria Math" w:hAnsi="Cambria Math"/>
                      </w:rPr>
                      <m:t>+</m:t>
                    </m:r>
                    <m:sSubSup>
                      <m:sSubSupPr>
                        <m:ctrlPr>
                          <w:rPr>
                            <w:rFonts w:ascii="Cambria Math" w:hAnsi="Cambria Math"/>
                          </w:rPr>
                        </m:ctrlPr>
                      </m:sSubSupPr>
                      <m:e>
                        <m:r>
                          <w:rPr>
                            <w:rFonts w:ascii="Cambria Math" w:hAnsi="Cambria Math"/>
                          </w:rPr>
                          <m:t>V</m:t>
                        </m:r>
                      </m:e>
                      <m:sub>
                        <m:r>
                          <m:rPr>
                            <m:sty m:val="p"/>
                          </m:rPr>
                          <w:rPr>
                            <w:rFonts w:ascii="Cambria Math" w:hAnsi="Cambria Math"/>
                          </w:rPr>
                          <m:t>θc</m:t>
                        </m:r>
                      </m:sub>
                      <m:sup>
                        <m:r>
                          <w:rPr>
                            <w:rFonts w:ascii="Cambria Math" w:hAnsi="Cambria Math"/>
                          </w:rPr>
                          <m:t>2</m:t>
                        </m:r>
                      </m:sup>
                    </m:sSubSup>
                  </m:e>
                </m:rad>
              </m:oMath>
            </m:oMathPara>
          </w:p>
        </w:tc>
        <w:tc>
          <w:tcPr>
            <w:tcW w:w="1247" w:type="dxa"/>
            <w:vAlign w:val="center"/>
          </w:tcPr>
          <w:p w14:paraId="62704A73" w14:textId="382C9686" w:rsidR="000E2087" w:rsidRPr="001455DC" w:rsidRDefault="000E2087" w:rsidP="00EC773D">
            <w:pPr>
              <w:pStyle w:val="a7"/>
              <w:jc w:val="right"/>
            </w:pPr>
            <w:r w:rsidRPr="001455DC">
              <w:t>(A.5a)</w:t>
            </w:r>
          </w:p>
        </w:tc>
      </w:tr>
      <w:tr w:rsidR="000E2087" w:rsidRPr="001455DC" w14:paraId="194FED3A" w14:textId="77777777" w:rsidTr="00EC773D">
        <w:trPr>
          <w:cantSplit/>
        </w:trPr>
        <w:tc>
          <w:tcPr>
            <w:tcW w:w="8505" w:type="dxa"/>
            <w:vAlign w:val="center"/>
          </w:tcPr>
          <w:p w14:paraId="1E804C3E" w14:textId="33BF8E9D" w:rsidR="000E2087" w:rsidRPr="001455DC" w:rsidRDefault="00231E33" w:rsidP="00EC773D">
            <w:pPr>
              <w:pStyle w:val="Formula"/>
              <w:jc w:val="left"/>
            </w:pPr>
            <m:oMathPara>
              <m:oMathParaPr>
                <m:jc m:val="left"/>
              </m:oMathParaPr>
              <m:oMath>
                <m:sSub>
                  <m:sSubPr>
                    <m:ctrlPr>
                      <w:rPr>
                        <w:rFonts w:ascii="Cambria Math" w:hAnsi="Cambria Math"/>
                      </w:rPr>
                    </m:ctrlPr>
                  </m:sSubPr>
                  <m:e>
                    <m:r>
                      <w:rPr>
                        <w:rFonts w:ascii="Cambria Math" w:hAnsi="Cambria Math"/>
                      </w:rPr>
                      <m:t>V</m:t>
                    </m:r>
                  </m:e>
                  <m:sub>
                    <m:r>
                      <m:rPr>
                        <m:sty m:val="p"/>
                      </m:rPr>
                      <w:rPr>
                        <w:rFonts w:ascii="Cambria Math" w:hAnsi="Cambria Math"/>
                      </w:rPr>
                      <m:t>RV</m:t>
                    </m:r>
                  </m:sub>
                </m:sSub>
                <m:r>
                  <w:rPr>
                    <w:rFonts w:ascii="Cambria Math" w:hAnsi="Cambria Math"/>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fc,is,corr</m:t>
                                    </m:r>
                                  </m:sub>
                                </m:sSub>
                              </m:num>
                              <m:den>
                                <m:r>
                                  <w:rPr>
                                    <w:rFonts w:ascii="Cambria Math" w:hAnsi="Cambria Math"/>
                                  </w:rPr>
                                  <m:t>3</m:t>
                                </m:r>
                              </m:den>
                            </m:f>
                          </m:e>
                        </m:d>
                      </m:e>
                      <m:sup>
                        <m:r>
                          <w:rPr>
                            <w:rFonts w:ascii="Cambria Math" w:hAnsi="Cambria Math"/>
                          </w:rPr>
                          <m:t>2</m:t>
                        </m:r>
                      </m:sup>
                    </m:sSup>
                    <m:r>
                      <w:rPr>
                        <w:rFonts w:ascii="Cambria Math" w:hAnsi="Cambria Math"/>
                      </w:rPr>
                      <m:t>+</m:t>
                    </m:r>
                    <m:sSubSup>
                      <m:sSubSupPr>
                        <m:ctrlPr>
                          <w:rPr>
                            <w:rFonts w:ascii="Cambria Math" w:hAnsi="Cambria Math"/>
                          </w:rPr>
                        </m:ctrlPr>
                      </m:sSubSupPr>
                      <m:e>
                        <m:r>
                          <w:rPr>
                            <w:rFonts w:ascii="Cambria Math" w:hAnsi="Cambria Math"/>
                          </w:rPr>
                          <m:t>V</m:t>
                        </m:r>
                      </m:e>
                      <m:sub>
                        <m:r>
                          <m:rPr>
                            <m:sty m:val="p"/>
                          </m:rPr>
                          <w:rPr>
                            <w:rFonts w:ascii="Cambria Math" w:hAnsi="Cambria Math"/>
                          </w:rPr>
                          <m:t>d</m:t>
                        </m:r>
                      </m:sub>
                      <m:sup>
                        <m:r>
                          <w:rPr>
                            <w:rFonts w:ascii="Cambria Math" w:hAnsi="Cambria Math"/>
                          </w:rPr>
                          <m:t>2</m:t>
                        </m:r>
                      </m:sup>
                    </m:sSubSup>
                    <m:r>
                      <w:rPr>
                        <w:rFonts w:ascii="Cambria Math" w:hAnsi="Cambria Math"/>
                      </w:rPr>
                      <m:t>+</m:t>
                    </m:r>
                    <m:sSubSup>
                      <m:sSubSupPr>
                        <m:ctrlPr>
                          <w:rPr>
                            <w:rFonts w:ascii="Cambria Math" w:hAnsi="Cambria Math"/>
                          </w:rPr>
                        </m:ctrlPr>
                      </m:sSubSupPr>
                      <m:e>
                        <m:r>
                          <w:rPr>
                            <w:rFonts w:ascii="Cambria Math" w:hAnsi="Cambria Math"/>
                          </w:rPr>
                          <m:t>V</m:t>
                        </m:r>
                      </m:e>
                      <m:sub>
                        <m:r>
                          <m:rPr>
                            <m:sty m:val="p"/>
                          </m:rPr>
                          <w:rPr>
                            <w:rFonts w:ascii="Cambria Math" w:hAnsi="Cambria Math"/>
                          </w:rPr>
                          <m:t>θv</m:t>
                        </m:r>
                      </m:sub>
                      <m:sup>
                        <m:r>
                          <w:rPr>
                            <w:rFonts w:ascii="Cambria Math" w:hAnsi="Cambria Math"/>
                          </w:rPr>
                          <m:t>2</m:t>
                        </m:r>
                      </m:sup>
                    </m:sSubSup>
                    <m:r>
                      <w:rPr>
                        <w:rFonts w:ascii="Cambria Math" w:hAnsi="Cambria Math"/>
                      </w:rPr>
                      <m:t>+</m:t>
                    </m:r>
                    <m:sSubSup>
                      <m:sSubSupPr>
                        <m:ctrlPr>
                          <w:rPr>
                            <w:rFonts w:ascii="Cambria Math" w:hAnsi="Cambria Math"/>
                          </w:rPr>
                        </m:ctrlPr>
                      </m:sSubSupPr>
                      <m:e>
                        <m:r>
                          <w:rPr>
                            <w:rFonts w:ascii="Cambria Math" w:hAnsi="Cambria Math"/>
                          </w:rPr>
                          <m:t>V</m:t>
                        </m:r>
                      </m:e>
                      <m:sub>
                        <m:r>
                          <m:rPr>
                            <m:sty m:val="p"/>
                          </m:rPr>
                          <w:rPr>
                            <w:rFonts w:ascii="Cambria Math" w:hAnsi="Cambria Math"/>
                          </w:rPr>
                          <m:t>res,v</m:t>
                        </m:r>
                      </m:sub>
                      <m:sup>
                        <m:r>
                          <w:rPr>
                            <w:rFonts w:ascii="Cambria Math" w:hAnsi="Cambria Math"/>
                          </w:rPr>
                          <m:t>2</m:t>
                        </m:r>
                      </m:sup>
                    </m:sSubSup>
                  </m:e>
                </m:rad>
              </m:oMath>
            </m:oMathPara>
          </w:p>
        </w:tc>
        <w:tc>
          <w:tcPr>
            <w:tcW w:w="1247" w:type="dxa"/>
            <w:vAlign w:val="center"/>
          </w:tcPr>
          <w:p w14:paraId="3AF9B98B" w14:textId="79CBF912" w:rsidR="000E2087" w:rsidRPr="001455DC" w:rsidRDefault="000E2087" w:rsidP="00EC773D">
            <w:pPr>
              <w:pStyle w:val="a7"/>
              <w:jc w:val="right"/>
            </w:pPr>
            <w:r w:rsidRPr="001455DC">
              <w:t>(A.5b)</w:t>
            </w:r>
          </w:p>
        </w:tc>
      </w:tr>
    </w:tbl>
    <w:p w14:paraId="759C16A4" w14:textId="77777777" w:rsidR="000E2087" w:rsidRPr="001455DC" w:rsidRDefault="000E2087" w:rsidP="000E2087">
      <w:pPr>
        <w:pStyle w:val="a7"/>
      </w:pPr>
      <w:r w:rsidRPr="001455DC">
        <w:t>and</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0E2087" w:rsidRPr="001455DC" w14:paraId="6420591C" w14:textId="77777777" w:rsidTr="00EC773D">
        <w:trPr>
          <w:cantSplit/>
        </w:trPr>
        <w:tc>
          <w:tcPr>
            <w:tcW w:w="8505" w:type="dxa"/>
            <w:vAlign w:val="center"/>
          </w:tcPr>
          <w:p w14:paraId="44EA52BE" w14:textId="7A35B62B" w:rsidR="000E2087" w:rsidRPr="001455DC" w:rsidRDefault="00231E33" w:rsidP="00EC773D">
            <w:pPr>
              <w:pStyle w:val="Formula"/>
              <w:jc w:val="left"/>
            </w:pPr>
            <m:oMathPara>
              <m:oMathParaPr>
                <m:jc m:val="left"/>
              </m:oMathParaPr>
              <m:oMath>
                <m:sSub>
                  <m:sSubPr>
                    <m:ctrlPr>
                      <w:rPr>
                        <w:rFonts w:ascii="Cambria Math" w:hAnsi="Cambria Math"/>
                      </w:rPr>
                    </m:ctrlPr>
                  </m:sSubPr>
                  <m:e>
                    <m:r>
                      <w:rPr>
                        <w:rFonts w:ascii="Cambria Math" w:hAnsi="Cambria Math"/>
                      </w:rPr>
                      <m:t>μ</m:t>
                    </m:r>
                  </m:e>
                  <m:sub>
                    <m:r>
                      <m:rPr>
                        <m:sty m:val="p"/>
                      </m:rPr>
                      <w:rPr>
                        <w:rFonts w:ascii="Cambria Math" w:hAnsi="Cambria Math"/>
                      </w:rPr>
                      <m:t>RC</m:t>
                    </m:r>
                  </m:sub>
                </m:sSub>
                <m:r>
                  <w:rPr>
                    <w:rFonts w:ascii="Cambria Math" w:hAnsi="Cambria Math"/>
                  </w:rPr>
                  <m:t>=</m:t>
                </m:r>
                <m:sSub>
                  <m:sSubPr>
                    <m:ctrlPr>
                      <w:rPr>
                        <w:rFonts w:ascii="Cambria Math" w:hAnsi="Cambria Math"/>
                      </w:rPr>
                    </m:ctrlPr>
                  </m:sSubPr>
                  <m:e>
                    <m:r>
                      <w:rPr>
                        <w:rFonts w:ascii="Cambria Math" w:hAnsi="Cambria Math"/>
                      </w:rPr>
                      <m:t>μ</m:t>
                    </m:r>
                  </m:e>
                  <m:sub>
                    <m:r>
                      <m:rPr>
                        <m:sty m:val="p"/>
                      </m:rPr>
                      <w:rPr>
                        <w:rFonts w:ascii="Cambria Math" w:hAnsi="Cambria Math"/>
                      </w:rPr>
                      <m:t>fc,is</m:t>
                    </m:r>
                  </m:sub>
                </m:sSub>
                <m:r>
                  <w:rPr>
                    <w:rFonts w:ascii="Cambria Math" w:hAnsi="Cambria Math"/>
                  </w:rPr>
                  <m:t>⋅</m:t>
                </m:r>
                <m:sSub>
                  <m:sSubPr>
                    <m:ctrlPr>
                      <w:rPr>
                        <w:rFonts w:ascii="Cambria Math" w:hAnsi="Cambria Math"/>
                      </w:rPr>
                    </m:ctrlPr>
                  </m:sSubPr>
                  <m:e>
                    <m:r>
                      <w:rPr>
                        <w:rFonts w:ascii="Cambria Math" w:hAnsi="Cambria Math"/>
                      </w:rPr>
                      <m:t>μ</m:t>
                    </m:r>
                  </m:e>
                  <m:sub>
                    <m:r>
                      <m:rPr>
                        <m:sty m:val="p"/>
                      </m:rPr>
                      <w:rPr>
                        <w:rFonts w:ascii="Cambria Math" w:hAnsi="Cambria Math"/>
                      </w:rPr>
                      <m:t>Ac</m:t>
                    </m:r>
                  </m:sub>
                </m:sSub>
                <m:r>
                  <w:rPr>
                    <w:rFonts w:ascii="Cambria Math" w:hAnsi="Cambria Math"/>
                  </w:rPr>
                  <m:t>⋅</m:t>
                </m:r>
                <m:sSub>
                  <m:sSubPr>
                    <m:ctrlPr>
                      <w:rPr>
                        <w:rFonts w:ascii="Cambria Math" w:hAnsi="Cambria Math"/>
                      </w:rPr>
                    </m:ctrlPr>
                  </m:sSubPr>
                  <m:e>
                    <m:r>
                      <w:rPr>
                        <w:rFonts w:ascii="Cambria Math" w:hAnsi="Cambria Math"/>
                      </w:rPr>
                      <m:t>μ</m:t>
                    </m:r>
                  </m:e>
                  <m:sub>
                    <m:r>
                      <m:rPr>
                        <m:sty m:val="p"/>
                      </m:rPr>
                      <w:rPr>
                        <w:rFonts w:ascii="Cambria Math" w:hAnsi="Cambria Math"/>
                      </w:rPr>
                      <m:t>θc</m:t>
                    </m:r>
                  </m:sub>
                </m:sSub>
              </m:oMath>
            </m:oMathPara>
          </w:p>
        </w:tc>
        <w:tc>
          <w:tcPr>
            <w:tcW w:w="1247" w:type="dxa"/>
            <w:vAlign w:val="center"/>
          </w:tcPr>
          <w:p w14:paraId="6C751E82" w14:textId="53EF1C42" w:rsidR="000E2087" w:rsidRPr="001455DC" w:rsidRDefault="000E2087" w:rsidP="00EC773D">
            <w:pPr>
              <w:pStyle w:val="a7"/>
              <w:jc w:val="right"/>
            </w:pPr>
            <w:r w:rsidRPr="001455DC">
              <w:t>(A.6a)</w:t>
            </w:r>
          </w:p>
        </w:tc>
      </w:tr>
      <w:tr w:rsidR="000E2087" w:rsidRPr="001455DC" w14:paraId="31295E50" w14:textId="77777777" w:rsidTr="00EC773D">
        <w:trPr>
          <w:cantSplit/>
        </w:trPr>
        <w:tc>
          <w:tcPr>
            <w:tcW w:w="8505" w:type="dxa"/>
            <w:vAlign w:val="center"/>
          </w:tcPr>
          <w:p w14:paraId="2CA63C24" w14:textId="3DCBBB03" w:rsidR="000E2087" w:rsidRPr="001455DC" w:rsidRDefault="00231E33" w:rsidP="00EC773D">
            <w:pPr>
              <w:pStyle w:val="Formula"/>
              <w:jc w:val="left"/>
            </w:pPr>
            <m:oMathPara>
              <m:oMathParaPr>
                <m:jc m:val="left"/>
              </m:oMathParaPr>
              <m:oMath>
                <m:sSub>
                  <m:sSubPr>
                    <m:ctrlPr>
                      <w:rPr>
                        <w:rFonts w:ascii="Cambria Math" w:hAnsi="Cambria Math"/>
                      </w:rPr>
                    </m:ctrlPr>
                  </m:sSubPr>
                  <m:e>
                    <m:r>
                      <w:rPr>
                        <w:rFonts w:ascii="Cambria Math" w:hAnsi="Cambria Math"/>
                      </w:rPr>
                      <m:t>μ</m:t>
                    </m:r>
                  </m:e>
                  <m:sub>
                    <m:r>
                      <m:rPr>
                        <m:sty m:val="p"/>
                      </m:rPr>
                      <w:rPr>
                        <w:rFonts w:ascii="Cambria Math" w:hAnsi="Cambria Math"/>
                      </w:rPr>
                      <m:t>RV</m:t>
                    </m:r>
                  </m:sub>
                </m:sSub>
                <m:r>
                  <w:rPr>
                    <w:rFonts w:ascii="Cambria Math" w:hAnsi="Cambria Math"/>
                  </w:rPr>
                  <m:t>=</m:t>
                </m:r>
                <m:sSubSup>
                  <m:sSubSupPr>
                    <m:ctrlPr>
                      <w:rPr>
                        <w:rFonts w:ascii="Cambria Math" w:hAnsi="Cambria Math"/>
                      </w:rPr>
                    </m:ctrlPr>
                  </m:sSubSupPr>
                  <m:e>
                    <m:r>
                      <w:rPr>
                        <w:rFonts w:ascii="Cambria Math" w:hAnsi="Cambria Math"/>
                      </w:rPr>
                      <m:t>μ</m:t>
                    </m:r>
                  </m:e>
                  <m:sub>
                    <m:r>
                      <m:rPr>
                        <m:sty m:val="p"/>
                      </m:rPr>
                      <w:rPr>
                        <w:rFonts w:ascii="Cambria Math" w:hAnsi="Cambria Math"/>
                      </w:rPr>
                      <m:t>fc,is</m:t>
                    </m:r>
                  </m:sub>
                  <m:sup>
                    <m:f>
                      <m:fPr>
                        <m:type m:val="lin"/>
                        <m:ctrlPr>
                          <w:rPr>
                            <w:rFonts w:ascii="Cambria Math" w:hAnsi="Cambria Math"/>
                          </w:rPr>
                        </m:ctrlPr>
                      </m:fPr>
                      <m:num>
                        <m:r>
                          <w:rPr>
                            <w:rFonts w:ascii="Cambria Math" w:hAnsi="Cambria Math"/>
                          </w:rPr>
                          <m:t>1</m:t>
                        </m:r>
                      </m:num>
                      <m:den>
                        <m:r>
                          <w:rPr>
                            <w:rFonts w:ascii="Cambria Math" w:hAnsi="Cambria Math"/>
                          </w:rPr>
                          <m:t>3</m:t>
                        </m:r>
                      </m:den>
                    </m:f>
                  </m:sup>
                </m:sSubSup>
                <m:r>
                  <w:rPr>
                    <w:rFonts w:ascii="Cambria Math" w:hAnsi="Cambria Math"/>
                  </w:rPr>
                  <m:t>⋅</m:t>
                </m:r>
                <m:sSub>
                  <m:sSubPr>
                    <m:ctrlPr>
                      <w:rPr>
                        <w:rFonts w:ascii="Cambria Math" w:hAnsi="Cambria Math"/>
                      </w:rPr>
                    </m:ctrlPr>
                  </m:sSubPr>
                  <m:e>
                    <m:r>
                      <w:rPr>
                        <w:rFonts w:ascii="Cambria Math" w:hAnsi="Cambria Math"/>
                      </w:rPr>
                      <m:t>μ</m:t>
                    </m:r>
                  </m:e>
                  <m:sub>
                    <m:r>
                      <m:rPr>
                        <m:sty m:val="p"/>
                      </m:rPr>
                      <w:rPr>
                        <w:rFonts w:ascii="Cambria Math" w:hAnsi="Cambria Math"/>
                      </w:rPr>
                      <m:t>d</m:t>
                    </m:r>
                  </m:sub>
                </m:sSub>
                <m:r>
                  <w:rPr>
                    <w:rFonts w:ascii="Cambria Math" w:hAnsi="Cambria Math"/>
                  </w:rPr>
                  <m:t>⋅</m:t>
                </m:r>
                <m:sSub>
                  <m:sSubPr>
                    <m:ctrlPr>
                      <w:rPr>
                        <w:rFonts w:ascii="Cambria Math" w:hAnsi="Cambria Math"/>
                      </w:rPr>
                    </m:ctrlPr>
                  </m:sSubPr>
                  <m:e>
                    <m:r>
                      <w:rPr>
                        <w:rFonts w:ascii="Cambria Math" w:hAnsi="Cambria Math"/>
                      </w:rPr>
                      <m:t>μ</m:t>
                    </m:r>
                  </m:e>
                  <m:sub>
                    <m:r>
                      <m:rPr>
                        <m:sty m:val="p"/>
                      </m:rPr>
                      <w:rPr>
                        <w:rFonts w:ascii="Cambria Math" w:hAnsi="Cambria Math"/>
                      </w:rPr>
                      <m:t>θv</m:t>
                    </m:r>
                  </m:sub>
                </m:sSub>
              </m:oMath>
            </m:oMathPara>
          </w:p>
        </w:tc>
        <w:tc>
          <w:tcPr>
            <w:tcW w:w="1247" w:type="dxa"/>
            <w:vAlign w:val="center"/>
          </w:tcPr>
          <w:p w14:paraId="005DFFC2" w14:textId="781EA81A" w:rsidR="000E2087" w:rsidRPr="001455DC" w:rsidRDefault="000E2087" w:rsidP="00EC773D">
            <w:pPr>
              <w:pStyle w:val="a7"/>
              <w:jc w:val="right"/>
            </w:pPr>
            <w:r w:rsidRPr="001455DC">
              <w:t>(A.6b)</w:t>
            </w:r>
          </w:p>
        </w:tc>
      </w:tr>
    </w:tbl>
    <w:p w14:paraId="2E4E29CD" w14:textId="77777777" w:rsidR="002E1907" w:rsidRPr="001455DC" w:rsidRDefault="002E1907"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7598"/>
        <w:gridCol w:w="1247"/>
      </w:tblGrid>
      <w:tr w:rsidR="002E1907" w:rsidRPr="001455DC" w14:paraId="0DCB4ABE" w14:textId="77777777" w:rsidTr="00EC773D">
        <w:trPr>
          <w:cantSplit/>
        </w:trPr>
        <w:tc>
          <w:tcPr>
            <w:tcW w:w="9412" w:type="dxa"/>
            <w:gridSpan w:val="3"/>
          </w:tcPr>
          <w:p w14:paraId="15C3A630" w14:textId="46E4D85E" w:rsidR="002E1907" w:rsidRPr="001455DC" w:rsidRDefault="002E1907" w:rsidP="00BB1209">
            <w:pPr>
              <w:pStyle w:val="Tablebody"/>
            </w:pPr>
            <w:r w:rsidRPr="001455DC">
              <w:rPr>
                <w:rStyle w:val="CCMCvariableitalic"/>
              </w:rPr>
              <w:t>V</w:t>
            </w:r>
            <w:r w:rsidRPr="001455DC">
              <w:rPr>
                <w:rStyle w:val="CCMCvariablesubscript"/>
              </w:rPr>
              <w:t>Ac</w:t>
            </w:r>
            <w:r w:rsidRPr="001455DC">
              <w:t>, V</w:t>
            </w:r>
            <w:r w:rsidRPr="001455DC">
              <w:rPr>
                <w:rStyle w:val="CCMCvariablesubscript"/>
              </w:rPr>
              <w:t>θc</w:t>
            </w:r>
            <w:r w:rsidRPr="001455DC">
              <w:t xml:space="preserve">, </w:t>
            </w:r>
            <w:r w:rsidRPr="001455DC">
              <w:rPr>
                <w:rStyle w:val="CCMCvariableitalic"/>
              </w:rPr>
              <w:t>μ</w:t>
            </w:r>
            <w:r w:rsidRPr="001455DC">
              <w:rPr>
                <w:rStyle w:val="CCMCvariablesubscript"/>
              </w:rPr>
              <w:t>Ac</w:t>
            </w:r>
            <w:r w:rsidRPr="001455DC">
              <w:t xml:space="preserve"> and </w:t>
            </w:r>
            <w:r w:rsidRPr="001455DC">
              <w:rPr>
                <w:rStyle w:val="CCMCvariableitalic"/>
              </w:rPr>
              <w:t>μ</w:t>
            </w:r>
            <w:r w:rsidRPr="001455DC">
              <w:rPr>
                <w:rStyle w:val="CCMCvariablesubscript"/>
              </w:rPr>
              <w:t>θc</w:t>
            </w:r>
            <w:r w:rsidRPr="001455DC">
              <w:t xml:space="preserve"> are taken from Table A.2 or updated considering the cases (b), (c), (e), (g) or (h) defined in Table A.1;</w:t>
            </w:r>
          </w:p>
        </w:tc>
      </w:tr>
      <w:tr w:rsidR="002E1907" w:rsidRPr="001455DC" w14:paraId="6295AAA6" w14:textId="77777777" w:rsidTr="002E1907">
        <w:trPr>
          <w:cantSplit/>
        </w:trPr>
        <w:tc>
          <w:tcPr>
            <w:tcW w:w="8165" w:type="dxa"/>
            <w:gridSpan w:val="2"/>
            <w:vAlign w:val="center"/>
          </w:tcPr>
          <w:p w14:paraId="4AFF238E" w14:textId="4F726EAE" w:rsidR="002E1907" w:rsidRPr="001455DC" w:rsidRDefault="00231E33" w:rsidP="002E1907">
            <w:pPr>
              <w:pStyle w:val="Tablebody"/>
              <w:jc w:val="left"/>
            </w:pPr>
            <m:oMathPara>
              <m:oMathParaPr>
                <m:jc m:val="left"/>
              </m:oMathParaPr>
              <m:oMath>
                <m:sSub>
                  <m:sSubPr>
                    <m:ctrlPr>
                      <w:rPr>
                        <w:rFonts w:ascii="Cambria Math" w:hAnsi="Cambria Math"/>
                      </w:rPr>
                    </m:ctrlPr>
                  </m:sSubPr>
                  <m:e>
                    <m:r>
                      <w:rPr>
                        <w:rFonts w:ascii="Cambria Math" w:hAnsi="Cambria Math"/>
                      </w:rPr>
                      <m:t>V</m:t>
                    </m:r>
                  </m:e>
                  <m:sub>
                    <m:r>
                      <m:rPr>
                        <m:sty m:val="p"/>
                      </m:rPr>
                      <w:rPr>
                        <w:rFonts w:ascii="Cambria Math" w:hAnsi="Cambria Math"/>
                      </w:rPr>
                      <m:t>fc,is,corr</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rPr>
                          <m:t>d,n</m:t>
                        </m:r>
                      </m:sub>
                    </m:sSub>
                  </m:num>
                  <m:den>
                    <m:sSub>
                      <m:sSubPr>
                        <m:ctrlPr>
                          <w:rPr>
                            <w:rFonts w:ascii="Cambria Math" w:hAnsi="Cambria Math"/>
                          </w:rPr>
                        </m:ctrlPr>
                      </m:sSubPr>
                      <m:e>
                        <m:r>
                          <w:rPr>
                            <w:rFonts w:ascii="Cambria Math" w:hAnsi="Cambria Math"/>
                          </w:rPr>
                          <m:t>α</m:t>
                        </m:r>
                      </m:e>
                      <m:sub>
                        <m:r>
                          <m:rPr>
                            <m:sty m:val="p"/>
                          </m:rP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tgt</m:t>
                        </m:r>
                      </m:sub>
                    </m:sSub>
                  </m:den>
                </m:f>
                <m:sSub>
                  <m:sSubPr>
                    <m:ctrlPr>
                      <w:rPr>
                        <w:rFonts w:ascii="Cambria Math" w:hAnsi="Cambria Math"/>
                      </w:rPr>
                    </m:ctrlPr>
                  </m:sSubPr>
                  <m:e>
                    <m:r>
                      <w:rPr>
                        <w:rFonts w:ascii="Cambria Math" w:hAnsi="Cambria Math"/>
                      </w:rPr>
                      <m:t>V</m:t>
                    </m:r>
                  </m:e>
                  <m:sub>
                    <m:r>
                      <m:rPr>
                        <m:sty m:val="p"/>
                      </m:rPr>
                      <w:rPr>
                        <w:rFonts w:ascii="Cambria Math" w:hAnsi="Cambria Math"/>
                      </w:rPr>
                      <m:t>fc,is</m:t>
                    </m:r>
                  </m:sub>
                </m:sSub>
              </m:oMath>
            </m:oMathPara>
          </w:p>
        </w:tc>
        <w:tc>
          <w:tcPr>
            <w:tcW w:w="1247" w:type="dxa"/>
            <w:vAlign w:val="center"/>
          </w:tcPr>
          <w:p w14:paraId="3903D1D5" w14:textId="5FC65D16" w:rsidR="002E1907" w:rsidRPr="001455DC" w:rsidRDefault="002E1907" w:rsidP="002E1907">
            <w:pPr>
              <w:pStyle w:val="Tablebody"/>
              <w:jc w:val="right"/>
            </w:pPr>
            <w:r w:rsidRPr="001455DC">
              <w:t>(A.7)</w:t>
            </w:r>
          </w:p>
        </w:tc>
      </w:tr>
      <w:tr w:rsidR="002E1907" w:rsidRPr="001455DC" w14:paraId="6D61D236" w14:textId="77777777" w:rsidTr="002E1907">
        <w:trPr>
          <w:cantSplit/>
        </w:trPr>
        <w:tc>
          <w:tcPr>
            <w:tcW w:w="8165" w:type="dxa"/>
            <w:gridSpan w:val="2"/>
            <w:vAlign w:val="center"/>
          </w:tcPr>
          <w:p w14:paraId="22C08D14" w14:textId="1B25BBDC" w:rsidR="002E1907" w:rsidRPr="001455DC" w:rsidRDefault="00231E33" w:rsidP="002E1907">
            <w:pPr>
              <w:pStyle w:val="Tablebody"/>
              <w:jc w:val="left"/>
            </w:pPr>
            <m:oMathPara>
              <m:oMathParaPr>
                <m:jc m:val="left"/>
              </m:oMathParaPr>
              <m:oMath>
                <m:sSub>
                  <m:sSubPr>
                    <m:ctrlPr>
                      <w:rPr>
                        <w:rFonts w:ascii="Cambria Math" w:hAnsi="Cambria Math"/>
                      </w:rPr>
                    </m:ctrlPr>
                  </m:sSubPr>
                  <m:e>
                    <m:r>
                      <w:rPr>
                        <w:rFonts w:ascii="Cambria Math" w:hAnsi="Cambria Math"/>
                      </w:rPr>
                      <m:t>μ</m:t>
                    </m:r>
                  </m:e>
                  <m:sub>
                    <m:r>
                      <m:rPr>
                        <m:sty m:val="p"/>
                      </m:rPr>
                      <w:rPr>
                        <w:rFonts w:ascii="Cambria Math" w:hAnsi="Cambria Math"/>
                      </w:rPr>
                      <m:t>fc,is</m:t>
                    </m:r>
                  </m:sub>
                </m:sSub>
                <m:r>
                  <w:rPr>
                    <w:rFonts w:ascii="Cambria Math" w:hAnsi="Cambria Math"/>
                  </w:rPr>
                  <m:t>=</m:t>
                </m:r>
                <m:r>
                  <m:rPr>
                    <m:sty m:val="p"/>
                  </m:rPr>
                  <w:rPr>
                    <w:rFonts w:ascii="Cambria Math" w:hAnsi="Cambria Math"/>
                  </w:rPr>
                  <m:t>exp</m:t>
                </m:r>
                <m:d>
                  <m:dPr>
                    <m:ctrlPr>
                      <w:rPr>
                        <w:rFonts w:ascii="Cambria Math" w:hAnsi="Cambria Math"/>
                      </w:rPr>
                    </m:ctrlPr>
                  </m:dPr>
                  <m:e>
                    <m:sSub>
                      <m:sSubPr>
                        <m:ctrlPr>
                          <w:rPr>
                            <w:rFonts w:ascii="Cambria Math" w:hAnsi="Cambria Math"/>
                          </w:rPr>
                        </m:ctrlPr>
                      </m:sSubPr>
                      <m:e>
                        <m:r>
                          <w:rPr>
                            <w:rFonts w:ascii="Cambria Math" w:hAnsi="Cambria Math"/>
                          </w:rPr>
                          <m:t>k</m:t>
                        </m:r>
                      </m:e>
                      <m:sub>
                        <m:r>
                          <m:rPr>
                            <m:sty m:val="p"/>
                          </m:rP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fc,is</m:t>
                        </m:r>
                      </m:sub>
                    </m:sSub>
                  </m:e>
                </m:d>
              </m:oMath>
            </m:oMathPara>
          </w:p>
        </w:tc>
        <w:tc>
          <w:tcPr>
            <w:tcW w:w="1247" w:type="dxa"/>
            <w:vAlign w:val="center"/>
          </w:tcPr>
          <w:p w14:paraId="4FF10BE3" w14:textId="4986B26A" w:rsidR="002E1907" w:rsidRPr="001455DC" w:rsidRDefault="002E1907" w:rsidP="002E1907">
            <w:pPr>
              <w:pStyle w:val="Tablebody"/>
              <w:jc w:val="right"/>
            </w:pPr>
            <w:r w:rsidRPr="001455DC">
              <w:t>(A.8)</w:t>
            </w:r>
          </w:p>
        </w:tc>
      </w:tr>
      <w:tr w:rsidR="002E1907" w:rsidRPr="001455DC" w14:paraId="4E327084" w14:textId="77777777" w:rsidTr="00EC773D">
        <w:trPr>
          <w:cantSplit/>
        </w:trPr>
        <w:tc>
          <w:tcPr>
            <w:tcW w:w="567" w:type="dxa"/>
          </w:tcPr>
          <w:p w14:paraId="0DE368B6" w14:textId="529BF16E" w:rsidR="002E1907" w:rsidRPr="001455DC" w:rsidRDefault="002E1907" w:rsidP="00D86695">
            <w:pPr>
              <w:pStyle w:val="Tablebody"/>
            </w:pPr>
            <w:r w:rsidRPr="001455DC">
              <w:rPr>
                <w:rStyle w:val="CCMCvariableitalic"/>
              </w:rPr>
              <w:t>k</w:t>
            </w:r>
            <w:r w:rsidRPr="001455DC">
              <w:rPr>
                <w:rStyle w:val="CCMCvariablesubscript"/>
              </w:rPr>
              <w:t>d,n</w:t>
            </w:r>
          </w:p>
        </w:tc>
        <w:tc>
          <w:tcPr>
            <w:tcW w:w="8845" w:type="dxa"/>
            <w:gridSpan w:val="2"/>
          </w:tcPr>
          <w:p w14:paraId="6834D73F" w14:textId="42A04DBA" w:rsidR="002E1907" w:rsidRPr="001455DC" w:rsidRDefault="002E1907" w:rsidP="00D86695">
            <w:pPr>
              <w:pStyle w:val="Tablebody"/>
            </w:pPr>
            <w:r w:rsidRPr="001455DC">
              <w:t>is a parameter which depends on the number of samples according to Table A.4;</w:t>
            </w:r>
          </w:p>
        </w:tc>
      </w:tr>
      <w:tr w:rsidR="002E1907" w:rsidRPr="001455DC" w14:paraId="63F91077" w14:textId="77777777" w:rsidTr="00EC773D">
        <w:trPr>
          <w:cantSplit/>
        </w:trPr>
        <w:tc>
          <w:tcPr>
            <w:tcW w:w="567" w:type="dxa"/>
          </w:tcPr>
          <w:p w14:paraId="152CDFDC" w14:textId="517B2A75" w:rsidR="002E1907" w:rsidRPr="001455DC" w:rsidRDefault="002E1907" w:rsidP="00D86695">
            <w:pPr>
              <w:pStyle w:val="Tablebody"/>
            </w:pPr>
            <w:r w:rsidRPr="001455DC">
              <w:rPr>
                <w:rStyle w:val="CCMCvariableitalic"/>
              </w:rPr>
              <w:t>V</w:t>
            </w:r>
            <w:r w:rsidRPr="001455DC">
              <w:rPr>
                <w:rStyle w:val="CCMCvariablesubscript"/>
              </w:rPr>
              <w:t>fc,is</w:t>
            </w:r>
          </w:p>
        </w:tc>
        <w:tc>
          <w:tcPr>
            <w:tcW w:w="8845" w:type="dxa"/>
            <w:gridSpan w:val="2"/>
          </w:tcPr>
          <w:p w14:paraId="7594AE8B" w14:textId="6AA5464F" w:rsidR="002E1907" w:rsidRPr="001455DC" w:rsidRDefault="002E1907" w:rsidP="00D86695">
            <w:pPr>
              <w:pStyle w:val="Tablebody"/>
            </w:pPr>
            <w:r w:rsidRPr="001455DC">
              <w:t>is the coefficient of variation of the core strength according to EN 13791, but not smaller than 0,08;</w:t>
            </w:r>
          </w:p>
        </w:tc>
      </w:tr>
      <w:tr w:rsidR="002E1907" w:rsidRPr="001455DC" w14:paraId="6F0E208A" w14:textId="77777777" w:rsidTr="00EC773D">
        <w:trPr>
          <w:cantSplit/>
        </w:trPr>
        <w:tc>
          <w:tcPr>
            <w:tcW w:w="567" w:type="dxa"/>
          </w:tcPr>
          <w:p w14:paraId="1D52F00D" w14:textId="0769528C" w:rsidR="002E1907" w:rsidRPr="001455DC" w:rsidRDefault="002E1907" w:rsidP="00D86695">
            <w:pPr>
              <w:pStyle w:val="Tablebody"/>
            </w:pPr>
            <w:r w:rsidRPr="001455DC">
              <w:rPr>
                <w:rStyle w:val="CCMCvariableitalic"/>
              </w:rPr>
              <w:t>k</w:t>
            </w:r>
            <w:r w:rsidRPr="001455DC">
              <w:rPr>
                <w:rStyle w:val="CCMCvariablesubscript"/>
              </w:rPr>
              <w:t>n</w:t>
            </w:r>
          </w:p>
        </w:tc>
        <w:tc>
          <w:tcPr>
            <w:tcW w:w="8845" w:type="dxa"/>
            <w:gridSpan w:val="2"/>
          </w:tcPr>
          <w:p w14:paraId="11CFE197" w14:textId="621D4932" w:rsidR="002E1907" w:rsidRPr="001455DC" w:rsidRDefault="002E1907" w:rsidP="00D86695">
            <w:pPr>
              <w:pStyle w:val="Tablebody"/>
            </w:pPr>
            <w:r w:rsidRPr="001455DC">
              <w:t xml:space="preserve">is the parameter which depends on the number of samples and has been used to calculate </w:t>
            </w:r>
            <w:r w:rsidRPr="001455DC">
              <w:rPr>
                <w:rStyle w:val="CCMCvariableitalic"/>
              </w:rPr>
              <w:t>f</w:t>
            </w:r>
            <w:r w:rsidRPr="001455DC">
              <w:rPr>
                <w:rStyle w:val="CCMCvariablesubscript"/>
              </w:rPr>
              <w:t>ck,is</w:t>
            </w:r>
            <w:r w:rsidRPr="001455DC">
              <w:rPr>
                <w:iCs/>
              </w:rPr>
              <w:t xml:space="preserve"> </w:t>
            </w:r>
            <w:r w:rsidRPr="001455DC">
              <w:t>according to EN 13791</w:t>
            </w:r>
            <w:r w:rsidR="00D63A10" w:rsidRPr="001455DC">
              <w:t>:2019</w:t>
            </w:r>
            <w:r w:rsidRPr="001455DC">
              <w:t>, Table 6 (see also Table A.4).</w:t>
            </w:r>
          </w:p>
        </w:tc>
      </w:tr>
    </w:tbl>
    <w:p w14:paraId="71D32785" w14:textId="77777777" w:rsidR="004E22C1" w:rsidRPr="001455DC" w:rsidRDefault="004E22C1" w:rsidP="00F72049">
      <w:pPr>
        <w:pStyle w:val="Tabletitle"/>
      </w:pPr>
      <w:bookmarkStart w:id="1294" w:name="_Toc54337527"/>
      <w:r w:rsidRPr="001455DC">
        <w:t xml:space="preserve">Table A.4 — Values of </w:t>
      </w:r>
      <w:r w:rsidRPr="001455DC">
        <w:rPr>
          <w:rStyle w:val="CCMCvariableitalic"/>
        </w:rPr>
        <w:t>k</w:t>
      </w:r>
      <w:r w:rsidRPr="001455DC">
        <w:rPr>
          <w:rStyle w:val="CCMCvariablesubscript"/>
        </w:rPr>
        <w:t>n</w:t>
      </w:r>
      <w:r w:rsidRPr="001455DC">
        <w:t xml:space="preserve"> and </w:t>
      </w:r>
      <w:r w:rsidRPr="001455DC">
        <w:rPr>
          <w:rStyle w:val="CCMCvariableitalic"/>
        </w:rPr>
        <w:t>k</w:t>
      </w:r>
      <w:r w:rsidRPr="001455DC">
        <w:rPr>
          <w:rStyle w:val="CCMCvariablesubscript"/>
        </w:rPr>
        <w:t>d,n</w:t>
      </w:r>
      <w:r w:rsidRPr="001455DC">
        <w:t xml:space="preserve"> as function of the number of sample </w:t>
      </w:r>
      <w:r w:rsidRPr="001455DC">
        <w:rPr>
          <w:rStyle w:val="CCMCvariableitalic"/>
        </w:rPr>
        <w:t>n</w:t>
      </w:r>
      <w:bookmarkEnd w:id="1294"/>
    </w:p>
    <w:tbl>
      <w:tblPr>
        <w:tblStyle w:val="53"/>
        <w:tblW w:w="9866" w:type="dxa"/>
        <w:tblLayout w:type="fixed"/>
        <w:tblLook w:val="0600" w:firstRow="0" w:lastRow="0" w:firstColumn="0" w:lastColumn="0" w:noHBand="1" w:noVBand="1"/>
      </w:tblPr>
      <w:tblGrid>
        <w:gridCol w:w="2269"/>
        <w:gridCol w:w="1085"/>
        <w:gridCol w:w="1085"/>
        <w:gridCol w:w="1085"/>
        <w:gridCol w:w="1086"/>
        <w:gridCol w:w="1085"/>
        <w:gridCol w:w="1085"/>
        <w:gridCol w:w="1086"/>
      </w:tblGrid>
      <w:tr w:rsidR="004E22C1" w:rsidRPr="001455DC" w14:paraId="6C7E9197" w14:textId="77777777" w:rsidTr="009D3012">
        <w:trPr>
          <w:cantSplit/>
        </w:trPr>
        <w:tc>
          <w:tcPr>
            <w:tcW w:w="2269" w:type="dxa"/>
            <w:tcBorders>
              <w:top w:val="single" w:sz="12" w:space="0" w:color="000000"/>
              <w:bottom w:val="single" w:sz="6" w:space="0" w:color="000000"/>
              <w:right w:val="single" w:sz="12" w:space="0" w:color="000000"/>
            </w:tcBorders>
            <w:vAlign w:val="center"/>
          </w:tcPr>
          <w:p w14:paraId="4CA01F5D" w14:textId="77777777" w:rsidR="004E22C1" w:rsidRPr="009D3012" w:rsidRDefault="004E22C1" w:rsidP="000E2087">
            <w:pPr>
              <w:pStyle w:val="Tablebody"/>
              <w:jc w:val="left"/>
              <w:rPr>
                <w:rStyle w:val="CCMCvariableitalic"/>
                <w:b/>
              </w:rPr>
            </w:pPr>
            <w:r w:rsidRPr="009D3012">
              <w:rPr>
                <w:rStyle w:val="CCMCvariableitalic"/>
                <w:b/>
              </w:rPr>
              <w:t>n</w:t>
            </w:r>
          </w:p>
        </w:tc>
        <w:tc>
          <w:tcPr>
            <w:tcW w:w="1085" w:type="dxa"/>
            <w:tcBorders>
              <w:left w:val="single" w:sz="12" w:space="0" w:color="000000"/>
            </w:tcBorders>
            <w:vAlign w:val="center"/>
          </w:tcPr>
          <w:p w14:paraId="35E00AFA" w14:textId="77777777" w:rsidR="004E22C1" w:rsidRPr="009D3012" w:rsidRDefault="004E22C1" w:rsidP="000E2087">
            <w:pPr>
              <w:pStyle w:val="Tablebody"/>
              <w:jc w:val="center"/>
              <w:rPr>
                <w:b/>
              </w:rPr>
            </w:pPr>
            <w:r w:rsidRPr="009D3012">
              <w:rPr>
                <w:b/>
              </w:rPr>
              <w:t>8</w:t>
            </w:r>
          </w:p>
        </w:tc>
        <w:tc>
          <w:tcPr>
            <w:tcW w:w="1085" w:type="dxa"/>
            <w:vAlign w:val="center"/>
          </w:tcPr>
          <w:p w14:paraId="6F11EAA4" w14:textId="77777777" w:rsidR="004E22C1" w:rsidRPr="009D3012" w:rsidRDefault="004E22C1" w:rsidP="000E2087">
            <w:pPr>
              <w:pStyle w:val="Tablebody"/>
              <w:jc w:val="center"/>
              <w:rPr>
                <w:b/>
              </w:rPr>
            </w:pPr>
            <w:r w:rsidRPr="009D3012">
              <w:rPr>
                <w:b/>
              </w:rPr>
              <w:t>10</w:t>
            </w:r>
          </w:p>
        </w:tc>
        <w:tc>
          <w:tcPr>
            <w:tcW w:w="1085" w:type="dxa"/>
            <w:vAlign w:val="center"/>
          </w:tcPr>
          <w:p w14:paraId="1D637CE8" w14:textId="77777777" w:rsidR="004E22C1" w:rsidRPr="009D3012" w:rsidRDefault="004E22C1" w:rsidP="000E2087">
            <w:pPr>
              <w:pStyle w:val="Tablebody"/>
              <w:jc w:val="center"/>
              <w:rPr>
                <w:b/>
              </w:rPr>
            </w:pPr>
            <w:r w:rsidRPr="009D3012">
              <w:rPr>
                <w:b/>
              </w:rPr>
              <w:t>12</w:t>
            </w:r>
          </w:p>
        </w:tc>
        <w:tc>
          <w:tcPr>
            <w:tcW w:w="1086" w:type="dxa"/>
            <w:vAlign w:val="center"/>
          </w:tcPr>
          <w:p w14:paraId="0CBB9658" w14:textId="77777777" w:rsidR="004E22C1" w:rsidRPr="009D3012" w:rsidRDefault="004E22C1" w:rsidP="000E2087">
            <w:pPr>
              <w:pStyle w:val="Tablebody"/>
              <w:jc w:val="center"/>
              <w:rPr>
                <w:b/>
              </w:rPr>
            </w:pPr>
            <w:r w:rsidRPr="009D3012">
              <w:rPr>
                <w:b/>
              </w:rPr>
              <w:t>16</w:t>
            </w:r>
          </w:p>
        </w:tc>
        <w:tc>
          <w:tcPr>
            <w:tcW w:w="1085" w:type="dxa"/>
            <w:vAlign w:val="center"/>
          </w:tcPr>
          <w:p w14:paraId="13835B14" w14:textId="77777777" w:rsidR="004E22C1" w:rsidRPr="009D3012" w:rsidRDefault="004E22C1" w:rsidP="000E2087">
            <w:pPr>
              <w:pStyle w:val="Tablebody"/>
              <w:jc w:val="center"/>
              <w:rPr>
                <w:b/>
              </w:rPr>
            </w:pPr>
            <w:r w:rsidRPr="009D3012">
              <w:rPr>
                <w:b/>
              </w:rPr>
              <w:t>20</w:t>
            </w:r>
          </w:p>
        </w:tc>
        <w:tc>
          <w:tcPr>
            <w:tcW w:w="1085" w:type="dxa"/>
            <w:vAlign w:val="center"/>
          </w:tcPr>
          <w:p w14:paraId="3149CF14" w14:textId="77777777" w:rsidR="004E22C1" w:rsidRPr="009D3012" w:rsidRDefault="004E22C1" w:rsidP="000E2087">
            <w:pPr>
              <w:pStyle w:val="Tablebody"/>
              <w:jc w:val="center"/>
              <w:rPr>
                <w:b/>
              </w:rPr>
            </w:pPr>
            <w:r w:rsidRPr="009D3012">
              <w:rPr>
                <w:b/>
              </w:rPr>
              <w:t>30</w:t>
            </w:r>
          </w:p>
        </w:tc>
        <w:tc>
          <w:tcPr>
            <w:tcW w:w="1086" w:type="dxa"/>
            <w:vAlign w:val="center"/>
          </w:tcPr>
          <w:p w14:paraId="779A10AC" w14:textId="77777777" w:rsidR="004E22C1" w:rsidRPr="009D3012" w:rsidRDefault="004E22C1" w:rsidP="000E2087">
            <w:pPr>
              <w:pStyle w:val="Tablebody"/>
              <w:jc w:val="center"/>
              <w:rPr>
                <w:b/>
              </w:rPr>
            </w:pPr>
            <w:r w:rsidRPr="009D3012">
              <w:rPr>
                <w:b/>
              </w:rPr>
              <w:t>∞</w:t>
            </w:r>
          </w:p>
        </w:tc>
      </w:tr>
      <w:tr w:rsidR="004E22C1" w:rsidRPr="001455DC" w14:paraId="5C00AB01" w14:textId="77777777" w:rsidTr="009D3012">
        <w:trPr>
          <w:cantSplit/>
        </w:trPr>
        <w:tc>
          <w:tcPr>
            <w:tcW w:w="2269" w:type="dxa"/>
            <w:tcBorders>
              <w:top w:val="single" w:sz="6" w:space="0" w:color="000000"/>
              <w:bottom w:val="single" w:sz="6" w:space="0" w:color="000000"/>
              <w:right w:val="single" w:sz="12" w:space="0" w:color="000000"/>
            </w:tcBorders>
            <w:vAlign w:val="center"/>
          </w:tcPr>
          <w:p w14:paraId="4EA4387A" w14:textId="77777777" w:rsidR="004E22C1" w:rsidRPr="009D3012" w:rsidRDefault="004E22C1" w:rsidP="000E2087">
            <w:pPr>
              <w:pStyle w:val="Tablebody"/>
              <w:jc w:val="left"/>
              <w:rPr>
                <w:rStyle w:val="CCMCvariableitalic"/>
              </w:rPr>
            </w:pPr>
            <w:r w:rsidRPr="001455DC">
              <w:rPr>
                <w:rStyle w:val="CCMCvariableitalic"/>
              </w:rPr>
              <w:t>k</w:t>
            </w:r>
            <w:r w:rsidRPr="001455DC">
              <w:rPr>
                <w:rStyle w:val="CCMCvariablesubscript"/>
              </w:rPr>
              <w:t>n</w:t>
            </w:r>
          </w:p>
        </w:tc>
        <w:tc>
          <w:tcPr>
            <w:tcW w:w="1085" w:type="dxa"/>
            <w:tcBorders>
              <w:left w:val="single" w:sz="12" w:space="0" w:color="000000"/>
            </w:tcBorders>
            <w:vAlign w:val="center"/>
          </w:tcPr>
          <w:p w14:paraId="0D178C72" w14:textId="77777777" w:rsidR="004E22C1" w:rsidRPr="001455DC" w:rsidRDefault="004E22C1" w:rsidP="000E2087">
            <w:pPr>
              <w:pStyle w:val="Tablebody"/>
              <w:jc w:val="center"/>
            </w:pPr>
            <w:r w:rsidRPr="001455DC">
              <w:t>2,00</w:t>
            </w:r>
          </w:p>
        </w:tc>
        <w:tc>
          <w:tcPr>
            <w:tcW w:w="1085" w:type="dxa"/>
            <w:vAlign w:val="center"/>
          </w:tcPr>
          <w:p w14:paraId="5B73A902" w14:textId="77777777" w:rsidR="004E22C1" w:rsidRPr="001455DC" w:rsidRDefault="004E22C1" w:rsidP="000E2087">
            <w:pPr>
              <w:pStyle w:val="Tablebody"/>
              <w:jc w:val="center"/>
            </w:pPr>
            <w:r w:rsidRPr="001455DC">
              <w:t>1,92</w:t>
            </w:r>
          </w:p>
        </w:tc>
        <w:tc>
          <w:tcPr>
            <w:tcW w:w="1085" w:type="dxa"/>
            <w:vAlign w:val="center"/>
          </w:tcPr>
          <w:p w14:paraId="7F27A962" w14:textId="77777777" w:rsidR="004E22C1" w:rsidRPr="001455DC" w:rsidRDefault="004E22C1" w:rsidP="000E2087">
            <w:pPr>
              <w:pStyle w:val="Tablebody"/>
              <w:jc w:val="center"/>
            </w:pPr>
            <w:r w:rsidRPr="001455DC">
              <w:t>1,87</w:t>
            </w:r>
          </w:p>
        </w:tc>
        <w:tc>
          <w:tcPr>
            <w:tcW w:w="1086" w:type="dxa"/>
            <w:vAlign w:val="center"/>
          </w:tcPr>
          <w:p w14:paraId="2F9A17E1" w14:textId="77777777" w:rsidR="004E22C1" w:rsidRPr="001455DC" w:rsidRDefault="004E22C1" w:rsidP="000E2087">
            <w:pPr>
              <w:pStyle w:val="Tablebody"/>
              <w:jc w:val="center"/>
            </w:pPr>
            <w:r w:rsidRPr="001455DC">
              <w:t>1,81</w:t>
            </w:r>
          </w:p>
        </w:tc>
        <w:tc>
          <w:tcPr>
            <w:tcW w:w="1085" w:type="dxa"/>
            <w:vAlign w:val="center"/>
          </w:tcPr>
          <w:p w14:paraId="4592CF35" w14:textId="77777777" w:rsidR="004E22C1" w:rsidRPr="001455DC" w:rsidRDefault="004E22C1" w:rsidP="000E2087">
            <w:pPr>
              <w:pStyle w:val="Tablebody"/>
              <w:jc w:val="center"/>
            </w:pPr>
            <w:r w:rsidRPr="001455DC">
              <w:t>1,76</w:t>
            </w:r>
          </w:p>
        </w:tc>
        <w:tc>
          <w:tcPr>
            <w:tcW w:w="1085" w:type="dxa"/>
            <w:vAlign w:val="center"/>
          </w:tcPr>
          <w:p w14:paraId="2C23EE22" w14:textId="77777777" w:rsidR="004E22C1" w:rsidRPr="001455DC" w:rsidRDefault="004E22C1" w:rsidP="000E2087">
            <w:pPr>
              <w:pStyle w:val="Tablebody"/>
              <w:jc w:val="center"/>
            </w:pPr>
            <w:r w:rsidRPr="001455DC">
              <w:t>1,73</w:t>
            </w:r>
          </w:p>
        </w:tc>
        <w:tc>
          <w:tcPr>
            <w:tcW w:w="1086" w:type="dxa"/>
            <w:vAlign w:val="center"/>
          </w:tcPr>
          <w:p w14:paraId="79736BEF" w14:textId="77777777" w:rsidR="004E22C1" w:rsidRPr="001455DC" w:rsidRDefault="004E22C1" w:rsidP="000E2087">
            <w:pPr>
              <w:pStyle w:val="Tablebody"/>
              <w:jc w:val="center"/>
            </w:pPr>
            <w:r w:rsidRPr="001455DC">
              <w:t>1,645</w:t>
            </w:r>
          </w:p>
        </w:tc>
      </w:tr>
      <w:tr w:rsidR="004E22C1" w:rsidRPr="001455DC" w14:paraId="484B3C72" w14:textId="77777777" w:rsidTr="009D3012">
        <w:trPr>
          <w:cantSplit/>
        </w:trPr>
        <w:tc>
          <w:tcPr>
            <w:tcW w:w="2269" w:type="dxa"/>
            <w:tcBorders>
              <w:top w:val="single" w:sz="6" w:space="0" w:color="000000"/>
              <w:bottom w:val="single" w:sz="12" w:space="0" w:color="000000"/>
              <w:right w:val="single" w:sz="12" w:space="0" w:color="000000"/>
            </w:tcBorders>
            <w:vAlign w:val="center"/>
          </w:tcPr>
          <w:p w14:paraId="20AD36E2" w14:textId="06833C72" w:rsidR="004E22C1" w:rsidRPr="009D3012" w:rsidRDefault="004E22C1" w:rsidP="000E2087">
            <w:pPr>
              <w:pStyle w:val="Tablebody"/>
              <w:jc w:val="left"/>
              <w:rPr>
                <w:rStyle w:val="CCMCvariableitalic"/>
                <w:lang w:val="en-US"/>
              </w:rPr>
            </w:pPr>
            <w:r w:rsidRPr="009D3012">
              <w:rPr>
                <w:rStyle w:val="CCMCvariableitalic"/>
                <w:lang w:val="en-US"/>
              </w:rPr>
              <w:t>k</w:t>
            </w:r>
            <w:r w:rsidRPr="009D3012">
              <w:rPr>
                <w:rStyle w:val="CCMCvariablesubscript"/>
                <w:lang w:val="en-US"/>
              </w:rPr>
              <w:t>d,n</w:t>
            </w:r>
            <w:r w:rsidR="00D63A10" w:rsidRPr="009D3012">
              <w:rPr>
                <w:rFonts w:cs="Arial"/>
                <w:iCs/>
                <w:lang w:val="en-US"/>
              </w:rPr>
              <w:t xml:space="preserve">(for </w:t>
            </w:r>
            <w:r w:rsidR="00D63A10" w:rsidRPr="009D3012">
              <w:rPr>
                <w:rFonts w:cs="Arial"/>
                <w:i/>
                <w:iCs/>
              </w:rPr>
              <w:t>α</w:t>
            </w:r>
            <w:r w:rsidR="00D63A10" w:rsidRPr="009D3012">
              <w:rPr>
                <w:rFonts w:cs="Arial"/>
                <w:iCs/>
                <w:vertAlign w:val="subscript"/>
                <w:lang w:val="en-US"/>
              </w:rPr>
              <w:t xml:space="preserve">R </w:t>
            </w:r>
            <w:r w:rsidR="00D63A10" w:rsidRPr="009D3012">
              <w:rPr>
                <w:rFonts w:cs="Arial"/>
                <w:iCs/>
                <w:lang w:val="en-US"/>
              </w:rPr>
              <w:t xml:space="preserve">· </w:t>
            </w:r>
            <w:r w:rsidR="00D63A10" w:rsidRPr="009D3012">
              <w:rPr>
                <w:rFonts w:cs="Arial"/>
                <w:i/>
                <w:iCs/>
              </w:rPr>
              <w:t>β</w:t>
            </w:r>
            <w:r w:rsidR="00D63A10" w:rsidRPr="009D3012">
              <w:rPr>
                <w:rFonts w:cs="Arial"/>
                <w:iCs/>
                <w:vertAlign w:val="subscript"/>
                <w:lang w:val="en-US"/>
              </w:rPr>
              <w:t>tgt</w:t>
            </w:r>
            <w:r w:rsidR="00D63A10" w:rsidRPr="009D3012">
              <w:rPr>
                <w:rFonts w:cs="Arial"/>
                <w:iCs/>
                <w:lang w:val="en-US"/>
              </w:rPr>
              <w:t xml:space="preserve"> = 3,04)</w:t>
            </w:r>
          </w:p>
        </w:tc>
        <w:tc>
          <w:tcPr>
            <w:tcW w:w="1085" w:type="dxa"/>
            <w:tcBorders>
              <w:left w:val="single" w:sz="12" w:space="0" w:color="000000"/>
            </w:tcBorders>
            <w:vAlign w:val="center"/>
          </w:tcPr>
          <w:p w14:paraId="301F36B2" w14:textId="3605CA44" w:rsidR="004E22C1" w:rsidRPr="001455DC" w:rsidRDefault="004E22C1" w:rsidP="000E2087">
            <w:pPr>
              <w:pStyle w:val="Tablebody"/>
              <w:jc w:val="center"/>
            </w:pPr>
            <w:r w:rsidRPr="001455DC">
              <w:t>5,07</w:t>
            </w:r>
          </w:p>
        </w:tc>
        <w:tc>
          <w:tcPr>
            <w:tcW w:w="1085" w:type="dxa"/>
            <w:vAlign w:val="center"/>
          </w:tcPr>
          <w:p w14:paraId="38822627" w14:textId="77777777" w:rsidR="004E22C1" w:rsidRPr="001455DC" w:rsidRDefault="004E22C1" w:rsidP="000E2087">
            <w:pPr>
              <w:pStyle w:val="Tablebody"/>
              <w:jc w:val="center"/>
            </w:pPr>
            <w:r w:rsidRPr="001455DC">
              <w:t>4,51</w:t>
            </w:r>
          </w:p>
        </w:tc>
        <w:tc>
          <w:tcPr>
            <w:tcW w:w="1085" w:type="dxa"/>
            <w:vAlign w:val="center"/>
          </w:tcPr>
          <w:p w14:paraId="73FE77B0" w14:textId="77777777" w:rsidR="004E22C1" w:rsidRPr="001455DC" w:rsidRDefault="004E22C1" w:rsidP="000E2087">
            <w:pPr>
              <w:pStyle w:val="Tablebody"/>
              <w:jc w:val="center"/>
            </w:pPr>
            <w:r w:rsidRPr="001455DC">
              <w:t>4,19</w:t>
            </w:r>
          </w:p>
        </w:tc>
        <w:tc>
          <w:tcPr>
            <w:tcW w:w="1086" w:type="dxa"/>
            <w:vAlign w:val="center"/>
          </w:tcPr>
          <w:p w14:paraId="04428CC2" w14:textId="77777777" w:rsidR="004E22C1" w:rsidRPr="001455DC" w:rsidRDefault="004E22C1" w:rsidP="000E2087">
            <w:pPr>
              <w:pStyle w:val="Tablebody"/>
              <w:jc w:val="center"/>
            </w:pPr>
            <w:r w:rsidRPr="001455DC">
              <w:t>3,85</w:t>
            </w:r>
          </w:p>
        </w:tc>
        <w:tc>
          <w:tcPr>
            <w:tcW w:w="1085" w:type="dxa"/>
            <w:vAlign w:val="center"/>
          </w:tcPr>
          <w:p w14:paraId="081E9EA9" w14:textId="77777777" w:rsidR="004E22C1" w:rsidRPr="001455DC" w:rsidRDefault="004E22C1" w:rsidP="000E2087">
            <w:pPr>
              <w:pStyle w:val="Tablebody"/>
              <w:jc w:val="center"/>
            </w:pPr>
            <w:r w:rsidRPr="001455DC">
              <w:t>3,64</w:t>
            </w:r>
          </w:p>
        </w:tc>
        <w:tc>
          <w:tcPr>
            <w:tcW w:w="1085" w:type="dxa"/>
            <w:vAlign w:val="center"/>
          </w:tcPr>
          <w:p w14:paraId="19B96501" w14:textId="77777777" w:rsidR="004E22C1" w:rsidRPr="001455DC" w:rsidRDefault="004E22C1" w:rsidP="000E2087">
            <w:pPr>
              <w:pStyle w:val="Tablebody"/>
              <w:jc w:val="center"/>
            </w:pPr>
            <w:r w:rsidRPr="001455DC">
              <w:t>3,44</w:t>
            </w:r>
          </w:p>
        </w:tc>
        <w:tc>
          <w:tcPr>
            <w:tcW w:w="1086" w:type="dxa"/>
            <w:vAlign w:val="center"/>
          </w:tcPr>
          <w:p w14:paraId="7864A642" w14:textId="77777777" w:rsidR="004E22C1" w:rsidRPr="001455DC" w:rsidRDefault="004E22C1" w:rsidP="000E2087">
            <w:pPr>
              <w:pStyle w:val="Tablebody"/>
              <w:jc w:val="center"/>
            </w:pPr>
            <w:r w:rsidRPr="001455DC">
              <w:t>3,04</w:t>
            </w:r>
          </w:p>
        </w:tc>
      </w:tr>
    </w:tbl>
    <w:p w14:paraId="095AAEAB" w14:textId="77777777" w:rsidR="004E22C1" w:rsidRPr="001455DC" w:rsidRDefault="004E22C1" w:rsidP="005965D6">
      <w:pPr>
        <w:pStyle w:val="a7"/>
      </w:pPr>
    </w:p>
    <w:p w14:paraId="76EB9402" w14:textId="397E49A4" w:rsidR="004E22C1" w:rsidRPr="001455DC" w:rsidRDefault="00F72049" w:rsidP="00F72049">
      <w:pPr>
        <w:pStyle w:val="ANNEX"/>
      </w:pPr>
      <w:bookmarkStart w:id="1295" w:name="_Toc52820126"/>
      <w:r w:rsidRPr="001455DC">
        <w:br/>
      </w:r>
      <w:bookmarkStart w:id="1296" w:name="_Toc54337133"/>
      <w:bookmarkStart w:id="1297" w:name="_Toc54337528"/>
      <w:bookmarkStart w:id="1298" w:name="_Toc54338182"/>
      <w:bookmarkStart w:id="1299" w:name="_Toc67565518"/>
      <w:r w:rsidR="004E22C1" w:rsidRPr="001455DC">
        <w:rPr>
          <w:b w:val="0"/>
        </w:rPr>
        <w:t>(normative)</w:t>
      </w:r>
      <w:r w:rsidRPr="001455DC">
        <w:rPr>
          <w:b w:val="0"/>
        </w:rPr>
        <w:br/>
      </w:r>
      <w:r w:rsidRPr="001455DC">
        <w:br/>
      </w:r>
      <w:r w:rsidR="004E22C1" w:rsidRPr="001455DC">
        <w:t>Time dependent behaviour of materials: Creep, shrinkage and elastic strain of concrete and relaxation of prestressing steel</w:t>
      </w:r>
      <w:bookmarkEnd w:id="1295"/>
      <w:bookmarkEnd w:id="1296"/>
      <w:bookmarkEnd w:id="1297"/>
      <w:bookmarkEnd w:id="1298"/>
      <w:bookmarkEnd w:id="1299"/>
    </w:p>
    <w:p w14:paraId="2405E8B0" w14:textId="1106C513" w:rsidR="00B55757" w:rsidRPr="001455DC" w:rsidRDefault="00B55757" w:rsidP="00082680">
      <w:pPr>
        <w:pStyle w:val="a2"/>
      </w:pPr>
      <w:bookmarkStart w:id="1300" w:name="_Toc67565519"/>
      <w:bookmarkStart w:id="1301" w:name="_Ref477695206"/>
      <w:bookmarkStart w:id="1302" w:name="_Toc52820127"/>
      <w:bookmarkStart w:id="1303" w:name="_Toc54337134"/>
      <w:bookmarkStart w:id="1304" w:name="_Toc54337529"/>
      <w:bookmarkStart w:id="1305" w:name="_Toc54338183"/>
      <w:r w:rsidRPr="001455DC">
        <w:t>Use of this annex</w:t>
      </w:r>
      <w:bookmarkEnd w:id="1300"/>
    </w:p>
    <w:p w14:paraId="4BC314D6" w14:textId="22D941E8" w:rsidR="00B55757" w:rsidRPr="009D3012" w:rsidRDefault="00B55757" w:rsidP="009D3012">
      <w:pPr>
        <w:pStyle w:val="a7"/>
      </w:pPr>
      <w:r w:rsidRPr="009D3012">
        <w:t>(1) This Normative Annex contains more detailed provisions for the time dependent behaviour of materials, i.e. creep, shrinkage and elastic strains and relaxation of prestressing steel.</w:t>
      </w:r>
    </w:p>
    <w:p w14:paraId="062033AD" w14:textId="77777777" w:rsidR="00B55757" w:rsidRPr="009D3012" w:rsidRDefault="00B55757" w:rsidP="00082680">
      <w:pPr>
        <w:pStyle w:val="a2"/>
      </w:pPr>
      <w:bookmarkStart w:id="1306" w:name="_Toc67565520"/>
      <w:r w:rsidRPr="009D3012">
        <w:t>Scope and field of application</w:t>
      </w:r>
      <w:bookmarkEnd w:id="1306"/>
    </w:p>
    <w:p w14:paraId="03C237FA" w14:textId="42BCB900" w:rsidR="00B55757" w:rsidRPr="009D3012" w:rsidRDefault="00B55757" w:rsidP="009D3012">
      <w:pPr>
        <w:pStyle w:val="a7"/>
      </w:pPr>
      <w:r w:rsidRPr="009D3012">
        <w:t>(1) This Normative Annex applies to all types of members and structures. For members and structures very sensitive to deformations, testing of the elastic modulus, creep and shrinkage should be carried out. For more accurate prediction of relaxation losses, results of relaxation tests on the prestressing steel should be considered.</w:t>
      </w:r>
    </w:p>
    <w:p w14:paraId="469A1247" w14:textId="466822A5" w:rsidR="004E22C1" w:rsidRPr="001455DC" w:rsidRDefault="004E22C1" w:rsidP="00082680">
      <w:pPr>
        <w:pStyle w:val="a2"/>
      </w:pPr>
      <w:bookmarkStart w:id="1307" w:name="_Toc67565521"/>
      <w:r w:rsidRPr="001455DC">
        <w:t>General</w:t>
      </w:r>
      <w:bookmarkEnd w:id="1301"/>
      <w:bookmarkEnd w:id="1302"/>
      <w:bookmarkEnd w:id="1303"/>
      <w:bookmarkEnd w:id="1304"/>
      <w:bookmarkEnd w:id="1305"/>
      <w:bookmarkEnd w:id="1307"/>
    </w:p>
    <w:p w14:paraId="1FBC09E2" w14:textId="77777777" w:rsidR="004E22C1" w:rsidRPr="001455DC" w:rsidRDefault="004E22C1" w:rsidP="002E1907">
      <w:pPr>
        <w:pStyle w:val="Note"/>
      </w:pPr>
      <w:r w:rsidRPr="001455DC">
        <w:t>NOTE 1</w:t>
      </w:r>
      <w:r w:rsidRPr="001455DC">
        <w:tab/>
        <w:t>Both creep and shrinkage are subdivided into two components, basic creep and drying creep or basic shrinkage and drying shrinkage, respectively, due to the pronounced effect of the ambient climate conditions on the magnitude and the kinetics of the time-dependent deformations.</w:t>
      </w:r>
    </w:p>
    <w:p w14:paraId="0BD3DFA6" w14:textId="77777777" w:rsidR="004E22C1" w:rsidRPr="001455DC" w:rsidRDefault="004E22C1" w:rsidP="002E1907">
      <w:pPr>
        <w:pStyle w:val="Note"/>
      </w:pPr>
      <w:r w:rsidRPr="001455DC">
        <w:t>NOTE 2</w:t>
      </w:r>
      <w:r w:rsidRPr="001455DC">
        <w:tab/>
        <w:t xml:space="preserve">The drying shrinkage strain develops slowly, since it is a function of the migration of the water through the hardened concrete. The basic shrinkage strain develops during hardening of the concrete: the major part therefore develops in the early days after casting. Basic shrinkage is a function of the water/cement ratio and thus of the concrete strength. It should be considered specifically when new high strength concrete is cast against hardened concrete. For normal strength concrete </w:t>
      </w:r>
      <w:r w:rsidRPr="001455DC">
        <w:rPr>
          <w:rStyle w:val="CCMCvariableitalic"/>
        </w:rPr>
        <w:t>ε</w:t>
      </w:r>
      <w:r w:rsidRPr="001455DC">
        <w:rPr>
          <w:rStyle w:val="CCMCvariablesubscript"/>
        </w:rPr>
        <w:t>cbs</w:t>
      </w:r>
      <w:r w:rsidRPr="001455DC">
        <w:t xml:space="preserve"> is rather low. For bond between old and new/young concrete total shrinkage should always be considered (risk of cracking).</w:t>
      </w:r>
    </w:p>
    <w:p w14:paraId="5A378DCA" w14:textId="3BDC5026" w:rsidR="004E22C1" w:rsidRPr="001455DC" w:rsidRDefault="004E22C1" w:rsidP="002E1907">
      <w:pPr>
        <w:pStyle w:val="Note"/>
      </w:pPr>
      <w:r w:rsidRPr="001455DC">
        <w:t>NOTE 3</w:t>
      </w:r>
      <w:r w:rsidRPr="001455DC">
        <w:tab/>
        <w:t>The data base behind the models represents most of the creep and shrinkage investigations conducted around the world within the years 1960 and 2000. New binder type concretes like for instance concretes with a high amount (close or beyond the maximum values defined in EN 206 or national annexes) of fly ash or ground granulated blast-furnace slag (GGBS) are not sufficiently represented by the models.</w:t>
      </w:r>
    </w:p>
    <w:p w14:paraId="0DFBA8D6" w14:textId="1148F746" w:rsidR="00C67580" w:rsidRPr="001455DC" w:rsidRDefault="00C67580">
      <w:pPr>
        <w:pStyle w:val="Note"/>
      </w:pPr>
      <w:r w:rsidRPr="009D3012">
        <w:rPr>
          <w:bCs/>
        </w:rPr>
        <w:t>NOTE 4</w:t>
      </w:r>
      <w:r w:rsidR="00C54E80">
        <w:tab/>
      </w:r>
      <w:r w:rsidRPr="009D3012">
        <w:t xml:space="preserve">The indizes “cm” or “ck” of values </w:t>
      </w:r>
      <w:r w:rsidRPr="009D3012">
        <w:rPr>
          <w:i/>
          <w:iCs/>
        </w:rPr>
        <w:t>f</w:t>
      </w:r>
      <w:r w:rsidRPr="009D3012">
        <w:rPr>
          <w:vertAlign w:val="subscript"/>
        </w:rPr>
        <w:t>cm</w:t>
      </w:r>
      <w:r w:rsidRPr="009D3012">
        <w:t xml:space="preserve"> = </w:t>
      </w:r>
      <w:r w:rsidRPr="009D3012">
        <w:rPr>
          <w:i/>
          <w:iCs/>
        </w:rPr>
        <w:t>f</w:t>
      </w:r>
      <w:r w:rsidRPr="009D3012">
        <w:rPr>
          <w:vertAlign w:val="subscript"/>
        </w:rPr>
        <w:t>cm,ref</w:t>
      </w:r>
      <w:r w:rsidRPr="009D3012">
        <w:t xml:space="preserve"> or </w:t>
      </w:r>
      <w:r w:rsidRPr="009D3012">
        <w:rPr>
          <w:i/>
          <w:iCs/>
        </w:rPr>
        <w:t>f</w:t>
      </w:r>
      <w:r w:rsidRPr="009D3012">
        <w:rPr>
          <w:vertAlign w:val="subscript"/>
        </w:rPr>
        <w:t>ck</w:t>
      </w:r>
      <w:r w:rsidRPr="009D3012">
        <w:t xml:space="preserve"> = </w:t>
      </w:r>
      <w:r w:rsidRPr="009D3012">
        <w:rPr>
          <w:i/>
          <w:iCs/>
        </w:rPr>
        <w:t>f</w:t>
      </w:r>
      <w:r w:rsidRPr="009D3012">
        <w:rPr>
          <w:vertAlign w:val="subscript"/>
        </w:rPr>
        <w:t>ck,ref</w:t>
      </w:r>
      <w:r w:rsidRPr="009D3012">
        <w:t xml:space="preserve"> means any specified value between 28 </w:t>
      </w:r>
      <w:r w:rsidR="00AD033B">
        <w:t xml:space="preserve">days </w:t>
      </w:r>
      <w:r w:rsidRPr="009D3012">
        <w:t>and 91 days.</w:t>
      </w:r>
    </w:p>
    <w:p w14:paraId="204757D9" w14:textId="68C27E73" w:rsidR="004E22C1" w:rsidRPr="001455DC" w:rsidRDefault="004E22C1" w:rsidP="00116AE2">
      <w:pPr>
        <w:pStyle w:val="a7"/>
        <w:keepNext/>
      </w:pPr>
      <w:r w:rsidRPr="001455DC">
        <w:rPr>
          <w:szCs w:val="22"/>
        </w:rPr>
        <w:t>(1)</w:t>
      </w:r>
      <w:r w:rsidRPr="001455DC">
        <w:rPr>
          <w:szCs w:val="22"/>
        </w:rPr>
        <w:tab/>
      </w:r>
      <w:r w:rsidRPr="001455DC">
        <w:t>The early strength development of concrete with time (</w:t>
      </w:r>
      <w:r w:rsidR="00C67580" w:rsidRPr="001455DC">
        <w:t>slow</w:t>
      </w:r>
      <w:r w:rsidRPr="001455DC">
        <w:t>, normal,</w:t>
      </w:r>
      <w:r w:rsidR="00C67580" w:rsidRPr="001455DC">
        <w:t xml:space="preserve"> rapid</w:t>
      </w:r>
      <w:r w:rsidRPr="001455DC">
        <w:t xml:space="preserve">) is subdivided into the Classes </w:t>
      </w:r>
      <w:r w:rsidR="00C67580" w:rsidRPr="001455DC">
        <w:t>CS</w:t>
      </w:r>
      <w:r w:rsidRPr="001455DC">
        <w:t xml:space="preserve">, CN and </w:t>
      </w:r>
      <w:r w:rsidR="00C67580" w:rsidRPr="001455DC">
        <w:t>CR according to Table B.1</w:t>
      </w:r>
      <w:r w:rsidRPr="001455DC">
        <w:t xml:space="preserve">, which are subsequently defined from the cement/binder characteristics and compositions (see Formulae (B.2) and (B.17) or Tables </w:t>
      </w:r>
      <w:r w:rsidR="000E40D7" w:rsidRPr="001455DC">
        <w:t xml:space="preserve">B.2, </w:t>
      </w:r>
      <w:r w:rsidRPr="001455DC">
        <w:t>B.</w:t>
      </w:r>
      <w:r w:rsidR="00D36AE6" w:rsidRPr="001455DC">
        <w:t>4</w:t>
      </w:r>
      <w:r w:rsidRPr="001455DC">
        <w:t xml:space="preserve"> and D.</w:t>
      </w:r>
      <w:r w:rsidR="008B0767" w:rsidRPr="001455DC">
        <w:t>3</w:t>
      </w:r>
      <w:r w:rsidRPr="001455DC">
        <w:t>):</w:t>
      </w:r>
    </w:p>
    <w:p w14:paraId="178DCB8E" w14:textId="554BAB7D" w:rsidR="00C67580" w:rsidRPr="009D3012" w:rsidRDefault="00C67580" w:rsidP="00AD033B">
      <w:pPr>
        <w:pStyle w:val="Tabletitle"/>
        <w:keepLines/>
      </w:pPr>
      <w:r w:rsidRPr="009D3012">
        <w:t xml:space="preserve">Table B.1 </w:t>
      </w:r>
      <w:r w:rsidR="00657BB2" w:rsidRPr="009D3012">
        <w:t>—</w:t>
      </w:r>
      <w:r w:rsidRPr="009D3012">
        <w:t xml:space="preserve"> Strength development classes of concrete</w:t>
      </w:r>
    </w:p>
    <w:tbl>
      <w:tblPr>
        <w:tblStyle w:val="53"/>
        <w:tblW w:w="0" w:type="auto"/>
        <w:tblLayout w:type="fixed"/>
        <w:tblLook w:val="04A0" w:firstRow="1" w:lastRow="0" w:firstColumn="1" w:lastColumn="0" w:noHBand="0" w:noVBand="1"/>
      </w:tblPr>
      <w:tblGrid>
        <w:gridCol w:w="876"/>
        <w:gridCol w:w="1134"/>
        <w:gridCol w:w="1842"/>
        <w:gridCol w:w="4711"/>
      </w:tblGrid>
      <w:tr w:rsidR="00C67580" w:rsidRPr="001455DC" w14:paraId="6E66D2E1" w14:textId="77777777" w:rsidTr="009D301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876" w:type="dxa"/>
            <w:vMerge w:val="restart"/>
          </w:tcPr>
          <w:p w14:paraId="0E60A3AC" w14:textId="77777777" w:rsidR="00C67580" w:rsidRPr="001455DC" w:rsidRDefault="00C67580" w:rsidP="00AD033B">
            <w:pPr>
              <w:keepNext/>
              <w:keepLines/>
              <w:spacing w:before="0" w:after="0"/>
              <w:jc w:val="center"/>
              <w:rPr>
                <w:b/>
                <w:bCs/>
              </w:rPr>
            </w:pPr>
            <w:r w:rsidRPr="001455DC">
              <w:rPr>
                <w:b/>
                <w:bCs/>
              </w:rPr>
              <w:t>Class</w:t>
            </w:r>
          </w:p>
        </w:tc>
        <w:tc>
          <w:tcPr>
            <w:tcW w:w="7687" w:type="dxa"/>
            <w:gridSpan w:val="3"/>
            <w:tcBorders>
              <w:bottom w:val="single" w:sz="4" w:space="0" w:color="auto"/>
            </w:tcBorders>
          </w:tcPr>
          <w:p w14:paraId="2C73B801" w14:textId="77777777" w:rsidR="00C67580" w:rsidRPr="009D3012" w:rsidRDefault="00C67580" w:rsidP="00AD033B">
            <w:pPr>
              <w:keepNext/>
              <w:keepLines/>
              <w:spacing w:before="0" w:after="0"/>
              <w:jc w:val="center"/>
              <w:cnfStyle w:val="100000000000" w:firstRow="1" w:lastRow="0" w:firstColumn="0" w:lastColumn="0" w:oddVBand="0" w:evenVBand="0" w:oddHBand="0" w:evenHBand="0" w:firstRowFirstColumn="0" w:firstRowLastColumn="0" w:lastRowFirstColumn="0" w:lastRowLastColumn="0"/>
              <w:rPr>
                <w:rFonts w:cs="Arial"/>
                <w:b/>
                <w:bCs/>
                <w:lang w:val="en-US"/>
              </w:rPr>
            </w:pPr>
            <w:r w:rsidRPr="009D3012">
              <w:rPr>
                <w:rFonts w:cs="Arial"/>
                <w:b/>
                <w:lang w:val="en-US"/>
              </w:rPr>
              <w:t>Composition and properties of the binder</w:t>
            </w:r>
          </w:p>
        </w:tc>
      </w:tr>
      <w:tr w:rsidR="00C67580" w:rsidRPr="001455DC" w14:paraId="2DB841EE" w14:textId="77777777" w:rsidTr="009D3012">
        <w:tc>
          <w:tcPr>
            <w:tcW w:w="876" w:type="dxa"/>
            <w:vMerge/>
            <w:tcBorders>
              <w:bottom w:val="single" w:sz="12" w:space="0" w:color="auto"/>
            </w:tcBorders>
          </w:tcPr>
          <w:p w14:paraId="79B4FDBE" w14:textId="77777777" w:rsidR="00C67580" w:rsidRPr="009D3012" w:rsidRDefault="00C67580" w:rsidP="00AD033B">
            <w:pPr>
              <w:keepNext/>
              <w:keepLines/>
              <w:spacing w:before="0" w:after="0"/>
              <w:rPr>
                <w:b/>
                <w:bCs/>
                <w:lang w:val="en-US"/>
              </w:rPr>
            </w:pPr>
          </w:p>
        </w:tc>
        <w:tc>
          <w:tcPr>
            <w:tcW w:w="1134" w:type="dxa"/>
            <w:tcBorders>
              <w:top w:val="single" w:sz="4" w:space="0" w:color="auto"/>
              <w:bottom w:val="single" w:sz="12" w:space="0" w:color="auto"/>
            </w:tcBorders>
            <w:vAlign w:val="center"/>
          </w:tcPr>
          <w:p w14:paraId="2F77538B" w14:textId="77777777" w:rsidR="00C67580" w:rsidRPr="001455DC" w:rsidRDefault="00C67580" w:rsidP="00AD033B">
            <w:pPr>
              <w:keepNext/>
              <w:keepLines/>
              <w:spacing w:before="0" w:after="0"/>
              <w:jc w:val="center"/>
              <w:rPr>
                <w:rFonts w:cs="Arial"/>
              </w:rPr>
            </w:pPr>
            <w:r w:rsidRPr="001455DC">
              <w:rPr>
                <w:rFonts w:cs="Arial"/>
                <w:b/>
              </w:rPr>
              <w:t>Type of cement</w:t>
            </w:r>
          </w:p>
        </w:tc>
        <w:tc>
          <w:tcPr>
            <w:tcW w:w="1842" w:type="dxa"/>
            <w:tcBorders>
              <w:top w:val="single" w:sz="4" w:space="0" w:color="auto"/>
              <w:bottom w:val="single" w:sz="12" w:space="0" w:color="auto"/>
            </w:tcBorders>
            <w:vAlign w:val="center"/>
          </w:tcPr>
          <w:p w14:paraId="0FCCB62B" w14:textId="08A4B35A" w:rsidR="00C67580" w:rsidRPr="009D3012" w:rsidRDefault="00C67580" w:rsidP="00AD033B">
            <w:pPr>
              <w:keepNext/>
              <w:keepLines/>
              <w:spacing w:before="0" w:after="0"/>
              <w:jc w:val="center"/>
              <w:rPr>
                <w:rFonts w:cs="Arial"/>
                <w:lang w:val="en-US"/>
              </w:rPr>
            </w:pPr>
            <w:r w:rsidRPr="009D3012">
              <w:rPr>
                <w:rFonts w:cs="Arial"/>
                <w:b/>
                <w:lang w:val="en-US"/>
              </w:rPr>
              <w:t>Cement strength class</w:t>
            </w:r>
            <w:r w:rsidRPr="009D3012">
              <w:rPr>
                <w:rFonts w:cs="Arial"/>
                <w:b/>
                <w:vertAlign w:val="superscript"/>
                <w:lang w:val="en-US"/>
              </w:rPr>
              <w:t xml:space="preserve"> </w:t>
            </w:r>
            <w:r w:rsidRPr="009D3012">
              <w:rPr>
                <w:rFonts w:cs="Arial"/>
                <w:vertAlign w:val="superscript"/>
                <w:lang w:val="en-US"/>
              </w:rPr>
              <w:t>a</w:t>
            </w:r>
            <w:r w:rsidRPr="009D3012">
              <w:rPr>
                <w:rFonts w:cs="Arial"/>
                <w:b/>
                <w:lang w:val="en-US"/>
              </w:rPr>
              <w:t>, e.g.</w:t>
            </w:r>
          </w:p>
        </w:tc>
        <w:tc>
          <w:tcPr>
            <w:tcW w:w="4711" w:type="dxa"/>
            <w:tcBorders>
              <w:top w:val="single" w:sz="4" w:space="0" w:color="auto"/>
              <w:bottom w:val="single" w:sz="12" w:space="0" w:color="auto"/>
            </w:tcBorders>
            <w:vAlign w:val="center"/>
          </w:tcPr>
          <w:p w14:paraId="3B754BB7" w14:textId="5CE4F164" w:rsidR="00C67580" w:rsidRPr="009D3012" w:rsidRDefault="00C67580" w:rsidP="00AD033B">
            <w:pPr>
              <w:keepNext/>
              <w:keepLines/>
              <w:spacing w:before="0" w:after="0"/>
              <w:jc w:val="center"/>
              <w:rPr>
                <w:rFonts w:cs="Arial"/>
                <w:b/>
                <w:lang w:val="en-US"/>
              </w:rPr>
            </w:pPr>
            <w:r w:rsidRPr="009D3012">
              <w:rPr>
                <w:rFonts w:cs="Arial"/>
                <w:b/>
                <w:lang w:val="en-US"/>
              </w:rPr>
              <w:t>Composition of the binder</w:t>
            </w:r>
          </w:p>
          <w:p w14:paraId="1DE678E2" w14:textId="59A2B06E" w:rsidR="00C67580" w:rsidRPr="009D3012" w:rsidRDefault="00C67580" w:rsidP="00AD033B">
            <w:pPr>
              <w:keepNext/>
              <w:keepLines/>
              <w:spacing w:before="0" w:after="0"/>
              <w:jc w:val="center"/>
              <w:rPr>
                <w:rFonts w:cs="Arial"/>
                <w:b/>
                <w:bCs/>
                <w:lang w:val="en-US"/>
              </w:rPr>
            </w:pPr>
            <w:r w:rsidRPr="009D3012">
              <w:rPr>
                <w:rFonts w:cs="Arial"/>
                <w:b/>
                <w:lang w:val="en-US"/>
              </w:rPr>
              <w:t xml:space="preserve">(cement und SCM </w:t>
            </w:r>
            <w:r w:rsidRPr="009D3012">
              <w:rPr>
                <w:rFonts w:cs="Arial"/>
                <w:vertAlign w:val="superscript"/>
                <w:lang w:val="en-US"/>
              </w:rPr>
              <w:t>b</w:t>
            </w:r>
            <w:r w:rsidRPr="009D3012">
              <w:rPr>
                <w:rFonts w:cs="Arial"/>
                <w:b/>
                <w:lang w:val="en-US"/>
              </w:rPr>
              <w:t>)</w:t>
            </w:r>
          </w:p>
        </w:tc>
      </w:tr>
      <w:tr w:rsidR="00C67580" w:rsidRPr="001455DC" w14:paraId="39EEB1BA" w14:textId="77777777" w:rsidTr="009D3012">
        <w:tc>
          <w:tcPr>
            <w:tcW w:w="876" w:type="dxa"/>
            <w:tcBorders>
              <w:top w:val="single" w:sz="12" w:space="0" w:color="auto"/>
            </w:tcBorders>
          </w:tcPr>
          <w:p w14:paraId="10C61A69" w14:textId="77777777" w:rsidR="00C67580" w:rsidRPr="001455DC" w:rsidRDefault="00C67580" w:rsidP="00AD033B">
            <w:pPr>
              <w:keepNext/>
              <w:keepLines/>
              <w:spacing w:before="0" w:after="0"/>
              <w:jc w:val="center"/>
              <w:rPr>
                <w:b/>
                <w:bCs/>
              </w:rPr>
            </w:pPr>
            <w:r w:rsidRPr="001455DC">
              <w:rPr>
                <w:b/>
                <w:bCs/>
              </w:rPr>
              <w:t>CS</w:t>
            </w:r>
          </w:p>
        </w:tc>
        <w:tc>
          <w:tcPr>
            <w:tcW w:w="1134" w:type="dxa"/>
            <w:tcBorders>
              <w:top w:val="single" w:sz="12" w:space="0" w:color="auto"/>
            </w:tcBorders>
          </w:tcPr>
          <w:p w14:paraId="1AEFE48C" w14:textId="77777777" w:rsidR="00C67580" w:rsidRPr="009D3012" w:rsidRDefault="00C67580" w:rsidP="00AD033B">
            <w:pPr>
              <w:keepNext/>
              <w:keepLines/>
              <w:spacing w:before="0" w:after="0"/>
              <w:jc w:val="left"/>
              <w:rPr>
                <w:rFonts w:cs="Arial"/>
                <w:lang w:val="en-US"/>
              </w:rPr>
            </w:pPr>
            <w:r w:rsidRPr="009D3012">
              <w:rPr>
                <w:rFonts w:cs="Arial"/>
                <w:lang w:val="en-US"/>
              </w:rPr>
              <w:t>CEM III</w:t>
            </w:r>
          </w:p>
          <w:p w14:paraId="001F7D65" w14:textId="77777777" w:rsidR="00C67580" w:rsidRPr="009D3012" w:rsidRDefault="00C67580" w:rsidP="00AD033B">
            <w:pPr>
              <w:keepNext/>
              <w:keepLines/>
              <w:spacing w:before="0" w:after="0"/>
              <w:jc w:val="left"/>
              <w:rPr>
                <w:rFonts w:cs="Arial"/>
                <w:lang w:val="en-US"/>
              </w:rPr>
            </w:pPr>
            <w:r w:rsidRPr="009D3012">
              <w:rPr>
                <w:rFonts w:cs="Arial"/>
                <w:lang w:val="en-US"/>
              </w:rPr>
              <w:t>CEM II/B</w:t>
            </w:r>
          </w:p>
        </w:tc>
        <w:tc>
          <w:tcPr>
            <w:tcW w:w="1842" w:type="dxa"/>
            <w:tcBorders>
              <w:top w:val="single" w:sz="12" w:space="0" w:color="auto"/>
            </w:tcBorders>
          </w:tcPr>
          <w:p w14:paraId="531A3773" w14:textId="77777777" w:rsidR="00C67580" w:rsidRPr="001455DC" w:rsidRDefault="00C67580" w:rsidP="00AD033B">
            <w:pPr>
              <w:keepNext/>
              <w:keepLines/>
              <w:spacing w:before="0" w:after="0"/>
              <w:rPr>
                <w:rFonts w:cs="Arial"/>
              </w:rPr>
            </w:pPr>
            <w:r w:rsidRPr="001455DC">
              <w:rPr>
                <w:rFonts w:cs="Arial"/>
              </w:rPr>
              <w:t>32,5 N</w:t>
            </w:r>
          </w:p>
          <w:p w14:paraId="2FCE139E" w14:textId="77777777" w:rsidR="00C67580" w:rsidRPr="001455DC" w:rsidRDefault="00C67580" w:rsidP="00AD033B">
            <w:pPr>
              <w:keepNext/>
              <w:keepLines/>
              <w:spacing w:before="0" w:after="0"/>
              <w:rPr>
                <w:rFonts w:cs="Arial"/>
              </w:rPr>
            </w:pPr>
            <w:r w:rsidRPr="001455DC">
              <w:rPr>
                <w:rFonts w:cs="Arial"/>
              </w:rPr>
              <w:t>42,5 N</w:t>
            </w:r>
          </w:p>
        </w:tc>
        <w:tc>
          <w:tcPr>
            <w:tcW w:w="4711" w:type="dxa"/>
            <w:tcBorders>
              <w:top w:val="single" w:sz="12" w:space="0" w:color="auto"/>
            </w:tcBorders>
          </w:tcPr>
          <w:p w14:paraId="0FD35849" w14:textId="77777777" w:rsidR="00C67580" w:rsidRPr="009D3012" w:rsidRDefault="00C67580" w:rsidP="00AD033B">
            <w:pPr>
              <w:keepNext/>
              <w:keepLines/>
              <w:spacing w:before="0" w:after="0"/>
              <w:rPr>
                <w:rFonts w:cs="Arial"/>
                <w:sz w:val="18"/>
                <w:szCs w:val="18"/>
                <w:lang w:val="en-US"/>
              </w:rPr>
            </w:pPr>
            <w:r w:rsidRPr="009D3012">
              <w:rPr>
                <w:rFonts w:cs="Arial"/>
                <w:sz w:val="18"/>
                <w:szCs w:val="18"/>
                <w:lang w:val="en-US"/>
              </w:rPr>
              <w:t>Portland cement (CEM I) and more than 65 M.-% of ground granulated blast furnace slag (ggbs) or more than 35 M.-% of fly ash (fa)</w:t>
            </w:r>
          </w:p>
        </w:tc>
      </w:tr>
      <w:tr w:rsidR="00C67580" w:rsidRPr="001455DC" w14:paraId="5FDC20F0" w14:textId="77777777" w:rsidTr="009D3012">
        <w:tc>
          <w:tcPr>
            <w:tcW w:w="876" w:type="dxa"/>
          </w:tcPr>
          <w:p w14:paraId="1524F1CF" w14:textId="77777777" w:rsidR="00C67580" w:rsidRPr="001455DC" w:rsidRDefault="00C67580" w:rsidP="00AD033B">
            <w:pPr>
              <w:keepNext/>
              <w:keepLines/>
              <w:spacing w:before="0" w:after="0"/>
              <w:jc w:val="center"/>
              <w:rPr>
                <w:b/>
                <w:bCs/>
              </w:rPr>
            </w:pPr>
            <w:r w:rsidRPr="001455DC">
              <w:rPr>
                <w:b/>
                <w:bCs/>
              </w:rPr>
              <w:t>CN</w:t>
            </w:r>
          </w:p>
        </w:tc>
        <w:tc>
          <w:tcPr>
            <w:tcW w:w="1134" w:type="dxa"/>
          </w:tcPr>
          <w:p w14:paraId="455D3F62" w14:textId="77777777" w:rsidR="00C67580" w:rsidRPr="001455DC" w:rsidRDefault="00C67580" w:rsidP="00AD033B">
            <w:pPr>
              <w:keepNext/>
              <w:keepLines/>
              <w:spacing w:before="0" w:after="0"/>
              <w:jc w:val="left"/>
              <w:rPr>
                <w:rFonts w:cs="Arial"/>
              </w:rPr>
            </w:pPr>
            <w:r w:rsidRPr="001455DC">
              <w:rPr>
                <w:rFonts w:cs="Arial"/>
              </w:rPr>
              <w:t>CEM II CEM I</w:t>
            </w:r>
          </w:p>
        </w:tc>
        <w:tc>
          <w:tcPr>
            <w:tcW w:w="1842" w:type="dxa"/>
          </w:tcPr>
          <w:p w14:paraId="25555A63" w14:textId="77777777" w:rsidR="00C67580" w:rsidRPr="001455DC" w:rsidRDefault="00C67580" w:rsidP="00AD033B">
            <w:pPr>
              <w:keepNext/>
              <w:keepLines/>
              <w:spacing w:before="0" w:after="0"/>
              <w:rPr>
                <w:rFonts w:cs="Arial"/>
              </w:rPr>
            </w:pPr>
            <w:r w:rsidRPr="001455DC">
              <w:rPr>
                <w:rFonts w:cs="Arial"/>
              </w:rPr>
              <w:t>42,5 N</w:t>
            </w:r>
          </w:p>
          <w:p w14:paraId="56793BE4" w14:textId="77777777" w:rsidR="00C67580" w:rsidRPr="001455DC" w:rsidRDefault="00C67580" w:rsidP="00AD033B">
            <w:pPr>
              <w:keepNext/>
              <w:keepLines/>
              <w:spacing w:before="0" w:after="0"/>
              <w:rPr>
                <w:rFonts w:cs="Arial"/>
              </w:rPr>
            </w:pPr>
            <w:r w:rsidRPr="001455DC">
              <w:rPr>
                <w:rFonts w:cs="Arial"/>
              </w:rPr>
              <w:t>32,5 R</w:t>
            </w:r>
          </w:p>
        </w:tc>
        <w:tc>
          <w:tcPr>
            <w:tcW w:w="4711" w:type="dxa"/>
          </w:tcPr>
          <w:p w14:paraId="03FB6EF3" w14:textId="77777777" w:rsidR="00C67580" w:rsidRPr="009D3012" w:rsidRDefault="00C67580" w:rsidP="00AD033B">
            <w:pPr>
              <w:keepNext/>
              <w:keepLines/>
              <w:spacing w:before="0" w:after="0"/>
              <w:rPr>
                <w:rFonts w:cs="Arial"/>
                <w:sz w:val="18"/>
                <w:szCs w:val="18"/>
                <w:lang w:val="en-US"/>
              </w:rPr>
            </w:pPr>
            <w:r w:rsidRPr="009D3012">
              <w:rPr>
                <w:rFonts w:cs="Arial"/>
                <w:sz w:val="18"/>
                <w:szCs w:val="18"/>
                <w:lang w:val="en-US"/>
              </w:rPr>
              <w:t>Portland cement (CEM I) and more than 35 M.-% but less than 65 M.-% of ground granulated blast furnace slag (ggbs) or more than 20 M.-% but less than 35 M.-% of fly ash (fa)</w:t>
            </w:r>
          </w:p>
        </w:tc>
      </w:tr>
      <w:tr w:rsidR="00C67580" w:rsidRPr="001455DC" w14:paraId="05E6E16E" w14:textId="77777777" w:rsidTr="009D3012">
        <w:tc>
          <w:tcPr>
            <w:tcW w:w="876" w:type="dxa"/>
            <w:tcBorders>
              <w:bottom w:val="single" w:sz="12" w:space="0" w:color="auto"/>
            </w:tcBorders>
          </w:tcPr>
          <w:p w14:paraId="1AE88E07" w14:textId="77777777" w:rsidR="00C67580" w:rsidRPr="001455DC" w:rsidRDefault="00C67580" w:rsidP="00AD033B">
            <w:pPr>
              <w:keepNext/>
              <w:keepLines/>
              <w:spacing w:before="0" w:after="0"/>
              <w:jc w:val="center"/>
              <w:rPr>
                <w:b/>
                <w:bCs/>
              </w:rPr>
            </w:pPr>
            <w:r w:rsidRPr="001455DC">
              <w:rPr>
                <w:b/>
                <w:bCs/>
              </w:rPr>
              <w:t>CR</w:t>
            </w:r>
          </w:p>
        </w:tc>
        <w:tc>
          <w:tcPr>
            <w:tcW w:w="1134" w:type="dxa"/>
            <w:tcBorders>
              <w:bottom w:val="single" w:sz="12" w:space="0" w:color="auto"/>
            </w:tcBorders>
          </w:tcPr>
          <w:p w14:paraId="669D592A" w14:textId="77777777" w:rsidR="00C67580" w:rsidRPr="001455DC" w:rsidRDefault="00C67580" w:rsidP="00AD033B">
            <w:pPr>
              <w:keepNext/>
              <w:keepLines/>
              <w:spacing w:before="0" w:after="0"/>
              <w:jc w:val="left"/>
              <w:rPr>
                <w:rFonts w:cs="Arial"/>
              </w:rPr>
            </w:pPr>
            <w:r w:rsidRPr="001455DC">
              <w:rPr>
                <w:rFonts w:cs="Arial"/>
              </w:rPr>
              <w:t>CEM I</w:t>
            </w:r>
          </w:p>
        </w:tc>
        <w:tc>
          <w:tcPr>
            <w:tcW w:w="1842" w:type="dxa"/>
            <w:tcBorders>
              <w:bottom w:val="single" w:sz="12" w:space="0" w:color="auto"/>
            </w:tcBorders>
          </w:tcPr>
          <w:p w14:paraId="3D728A0F" w14:textId="77777777" w:rsidR="00C67580" w:rsidRPr="001455DC" w:rsidRDefault="00C67580" w:rsidP="00AD033B">
            <w:pPr>
              <w:keepNext/>
              <w:keepLines/>
              <w:spacing w:before="0" w:after="0"/>
              <w:rPr>
                <w:rFonts w:cs="Arial"/>
              </w:rPr>
            </w:pPr>
            <w:r w:rsidRPr="001455DC">
              <w:rPr>
                <w:rFonts w:cs="Arial"/>
              </w:rPr>
              <w:t xml:space="preserve">42,5 R </w:t>
            </w:r>
          </w:p>
          <w:p w14:paraId="6E272734" w14:textId="77777777" w:rsidR="00C67580" w:rsidRPr="001455DC" w:rsidRDefault="00C67580" w:rsidP="00AD033B">
            <w:pPr>
              <w:keepNext/>
              <w:keepLines/>
              <w:spacing w:before="0" w:after="0"/>
              <w:rPr>
                <w:rFonts w:cs="Arial"/>
              </w:rPr>
            </w:pPr>
            <w:r w:rsidRPr="001455DC">
              <w:rPr>
                <w:rFonts w:cs="Arial"/>
              </w:rPr>
              <w:t>52,5 N; 52,5 R</w:t>
            </w:r>
          </w:p>
        </w:tc>
        <w:tc>
          <w:tcPr>
            <w:tcW w:w="4711" w:type="dxa"/>
          </w:tcPr>
          <w:p w14:paraId="6F17FA36" w14:textId="66B55525" w:rsidR="00C67580" w:rsidRPr="001455DC" w:rsidRDefault="00657BB2" w:rsidP="00AD033B">
            <w:pPr>
              <w:keepNext/>
              <w:keepLines/>
              <w:spacing w:before="0" w:after="0"/>
              <w:jc w:val="center"/>
              <w:rPr>
                <w:rFonts w:cs="Arial"/>
              </w:rPr>
            </w:pPr>
            <w:r w:rsidRPr="001455DC">
              <w:t>—</w:t>
            </w:r>
          </w:p>
        </w:tc>
      </w:tr>
      <w:tr w:rsidR="00C67580" w:rsidRPr="001455DC" w14:paraId="67552FE1" w14:textId="77777777" w:rsidTr="009D3012">
        <w:tc>
          <w:tcPr>
            <w:tcW w:w="8563" w:type="dxa"/>
            <w:gridSpan w:val="4"/>
            <w:tcBorders>
              <w:top w:val="single" w:sz="12" w:space="0" w:color="auto"/>
            </w:tcBorders>
          </w:tcPr>
          <w:p w14:paraId="0562FD86" w14:textId="4C499EFC" w:rsidR="00C67580" w:rsidRPr="009D3012" w:rsidRDefault="00C67580" w:rsidP="00AD033B">
            <w:pPr>
              <w:keepNext/>
              <w:keepLines/>
              <w:tabs>
                <w:tab w:val="left" w:pos="426"/>
              </w:tabs>
              <w:spacing w:before="0" w:after="0"/>
              <w:rPr>
                <w:rFonts w:cs="Arial"/>
                <w:bCs/>
                <w:sz w:val="20"/>
                <w:szCs w:val="20"/>
                <w:lang w:val="en-US"/>
              </w:rPr>
            </w:pPr>
            <w:r w:rsidRPr="009D3012">
              <w:rPr>
                <w:rFonts w:cs="Arial"/>
                <w:bCs/>
                <w:sz w:val="20"/>
                <w:szCs w:val="20"/>
                <w:vertAlign w:val="superscript"/>
                <w:lang w:val="en-US"/>
              </w:rPr>
              <w:t>a</w:t>
            </w:r>
            <w:r w:rsidR="00C54E80">
              <w:rPr>
                <w:rFonts w:cs="Arial"/>
                <w:bCs/>
                <w:sz w:val="20"/>
                <w:szCs w:val="20"/>
                <w:lang w:val="en-US"/>
              </w:rPr>
              <w:tab/>
              <w:t>A</w:t>
            </w:r>
            <w:r w:rsidRPr="009D3012">
              <w:rPr>
                <w:rFonts w:cs="Arial"/>
                <w:bCs/>
                <w:sz w:val="20"/>
                <w:szCs w:val="20"/>
                <w:lang w:val="en-US"/>
              </w:rPr>
              <w:t>ccording to EN 197-1</w:t>
            </w:r>
            <w:r w:rsidR="00C54E80">
              <w:rPr>
                <w:rFonts w:cs="Arial"/>
                <w:bCs/>
                <w:sz w:val="20"/>
                <w:szCs w:val="20"/>
                <w:lang w:val="en-US"/>
              </w:rPr>
              <w:t>.</w:t>
            </w:r>
          </w:p>
          <w:p w14:paraId="41A4B8E0" w14:textId="220EB554" w:rsidR="00C67580" w:rsidRPr="009D3012" w:rsidRDefault="00C67580" w:rsidP="00AD033B">
            <w:pPr>
              <w:keepNext/>
              <w:keepLines/>
              <w:tabs>
                <w:tab w:val="left" w:pos="426"/>
              </w:tabs>
              <w:spacing w:before="0" w:after="0"/>
              <w:rPr>
                <w:rFonts w:cs="Arial"/>
                <w:bCs/>
                <w:sz w:val="18"/>
                <w:szCs w:val="18"/>
                <w:lang w:val="en-US"/>
              </w:rPr>
            </w:pPr>
            <w:r w:rsidRPr="009D3012">
              <w:rPr>
                <w:rFonts w:cs="Arial"/>
                <w:bCs/>
                <w:sz w:val="20"/>
                <w:szCs w:val="20"/>
                <w:vertAlign w:val="superscript"/>
                <w:lang w:val="en-US"/>
              </w:rPr>
              <w:t>b</w:t>
            </w:r>
            <w:r w:rsidRPr="009D3012">
              <w:rPr>
                <w:rFonts w:cs="Arial"/>
                <w:bCs/>
                <w:sz w:val="20"/>
                <w:szCs w:val="20"/>
                <w:lang w:val="en-US"/>
              </w:rPr>
              <w:tab/>
            </w:r>
            <w:r w:rsidR="00C54E80">
              <w:rPr>
                <w:rFonts w:cs="Arial"/>
                <w:bCs/>
                <w:sz w:val="20"/>
                <w:szCs w:val="20"/>
                <w:lang w:val="en-US"/>
              </w:rPr>
              <w:t>C</w:t>
            </w:r>
            <w:r w:rsidRPr="009D3012">
              <w:rPr>
                <w:rFonts w:cs="Arial"/>
                <w:bCs/>
                <w:sz w:val="20"/>
                <w:szCs w:val="20"/>
                <w:lang w:val="en-US"/>
              </w:rPr>
              <w:t>onsidered as binder for the water-binder-ratio according to EN 206</w:t>
            </w:r>
            <w:r w:rsidR="00C54E80">
              <w:rPr>
                <w:rFonts w:cs="Arial"/>
                <w:bCs/>
                <w:sz w:val="20"/>
                <w:szCs w:val="20"/>
                <w:lang w:val="en-US"/>
              </w:rPr>
              <w:t>.</w:t>
            </w:r>
          </w:p>
        </w:tc>
      </w:tr>
    </w:tbl>
    <w:p w14:paraId="608A2A21" w14:textId="77777777" w:rsidR="00C67580" w:rsidRPr="001455DC" w:rsidRDefault="00C67580" w:rsidP="00116AE2">
      <w:pPr>
        <w:pStyle w:val="a7"/>
        <w:keepNext/>
      </w:pPr>
    </w:p>
    <w:p w14:paraId="098E0F64" w14:textId="526C18E6" w:rsidR="004E22C1" w:rsidRPr="001455DC" w:rsidRDefault="00C67580" w:rsidP="002E1907">
      <w:pPr>
        <w:pStyle w:val="a7"/>
      </w:pPr>
      <w:r w:rsidRPr="001455DC" w:rsidDel="00C67580">
        <w:t xml:space="preserve"> </w:t>
      </w:r>
      <w:r w:rsidR="004E22C1" w:rsidRPr="001455DC">
        <w:t>(2)</w:t>
      </w:r>
      <w:r w:rsidR="004E22C1" w:rsidRPr="001455DC">
        <w:tab/>
        <w:t>The relations for creep and shrinkage given in Annex B predict the time-dependent mean cross</w:t>
      </w:r>
      <w:r w:rsidR="00B10711" w:rsidRPr="001455DC">
        <w:t xml:space="preserve"> </w:t>
      </w:r>
      <w:r w:rsidR="004E22C1" w:rsidRPr="001455DC">
        <w:t xml:space="preserve">section behaviour of an unreinforced member moist cured at normal temperature for not longer than 14 days. These values should be used in conjunction with </w:t>
      </w:r>
      <w:r w:rsidR="000E40D7" w:rsidRPr="001455DC">
        <w:t>7.3.1(6), 7.3.1(7), 7.4.2, 7.6.4, 9.1(3) and 9.3.3(2)</w:t>
      </w:r>
      <w:r w:rsidR="004E22C1" w:rsidRPr="001455DC">
        <w:t>.</w:t>
      </w:r>
    </w:p>
    <w:p w14:paraId="29F12F3E" w14:textId="71EB6B31" w:rsidR="004E22C1" w:rsidRPr="001455DC" w:rsidRDefault="004E22C1" w:rsidP="002E1907">
      <w:pPr>
        <w:pStyle w:val="a7"/>
      </w:pPr>
      <w:r w:rsidRPr="001455DC">
        <w:t>(3)</w:t>
      </w:r>
      <w:r w:rsidRPr="001455DC">
        <w:tab/>
        <w:t>Unless special provisions are given, the relations are valid for structural concrete (12 MPa </w:t>
      </w:r>
      <w:r w:rsidR="00650035" w:rsidRPr="001455DC">
        <w:rPr>
          <w:rFonts w:ascii="Cambria Math" w:hAnsi="Cambria Math"/>
        </w:rPr>
        <w:t>≤</w:t>
      </w:r>
      <w:r w:rsidRPr="001455DC">
        <w:t> </w:t>
      </w:r>
      <w:r w:rsidRPr="001455DC">
        <w:rPr>
          <w:rStyle w:val="CCMCvariableitalic"/>
        </w:rPr>
        <w:t>f</w:t>
      </w:r>
      <w:r w:rsidRPr="001455DC">
        <w:rPr>
          <w:rStyle w:val="CCMCvariablesubscript"/>
        </w:rPr>
        <w:t>ck</w:t>
      </w:r>
      <w:r w:rsidRPr="001455DC">
        <w:t> </w:t>
      </w:r>
      <w:r w:rsidR="00650035" w:rsidRPr="001455DC">
        <w:rPr>
          <w:rFonts w:ascii="Cambria Math" w:hAnsi="Cambria Math"/>
        </w:rPr>
        <w:t>≤</w:t>
      </w:r>
      <w:r w:rsidRPr="001455DC">
        <w:t xml:space="preserve"> 100 MPa) subjected to a constant compressive stress </w:t>
      </w:r>
      <w:r w:rsidRPr="001455DC">
        <w:rPr>
          <w:rStyle w:val="CCMCvariableitalic"/>
        </w:rPr>
        <w:t>σ</w:t>
      </w:r>
      <w:r w:rsidRPr="001455DC">
        <w:rPr>
          <w:rStyle w:val="CCMCvariablesubscript"/>
        </w:rPr>
        <w:t>c</w:t>
      </w:r>
      <w:r w:rsidRPr="001455DC">
        <w:t> </w:t>
      </w:r>
      <w:r w:rsidR="00650035" w:rsidRPr="001455DC">
        <w:rPr>
          <w:rFonts w:ascii="Cambria Math" w:hAnsi="Cambria Math"/>
        </w:rPr>
        <w:t>≤</w:t>
      </w:r>
      <w:r w:rsidRPr="001455DC">
        <w:t> 0,40</w:t>
      </w:r>
      <w:r w:rsidRPr="001455DC">
        <w:rPr>
          <w:rStyle w:val="CCMCvariableitalic"/>
        </w:rPr>
        <w:t>f</w:t>
      </w:r>
      <w:r w:rsidRPr="001455DC">
        <w:rPr>
          <w:rStyle w:val="CCMCvariablesubscript"/>
        </w:rPr>
        <w:t>cm</w:t>
      </w:r>
      <w:r w:rsidRPr="001455DC">
        <w:t>(</w:t>
      </w:r>
      <w:r w:rsidRPr="001455DC">
        <w:rPr>
          <w:rStyle w:val="CCMCvariableitalic"/>
        </w:rPr>
        <w:t>t</w:t>
      </w:r>
      <w:r w:rsidRPr="001455DC">
        <w:rPr>
          <w:rStyle w:val="CCMCvariablesubscript"/>
        </w:rPr>
        <w:t>0</w:t>
      </w:r>
      <w:r w:rsidRPr="001455DC">
        <w:t xml:space="preserve">) at an age at loading </w:t>
      </w:r>
      <w:r w:rsidRPr="001455DC">
        <w:rPr>
          <w:rStyle w:val="CCMCvariableitalic"/>
        </w:rPr>
        <w:t>t</w:t>
      </w:r>
      <w:r w:rsidRPr="001455DC">
        <w:rPr>
          <w:rStyle w:val="CCMCvariablesubscript"/>
        </w:rPr>
        <w:t>0</w:t>
      </w:r>
      <w:r w:rsidRPr="001455DC">
        <w:t xml:space="preserve"> (unless corrected by Formula (B.</w:t>
      </w:r>
      <w:r w:rsidR="000E40D7" w:rsidRPr="001455DC">
        <w:t>17</w:t>
      </w:r>
      <w:r w:rsidRPr="001455DC">
        <w:t>)) and exposed to a mean relative humidity in the range of 20 % to 100 % at a mean temperature in the range of 5 °C to 30 °C. The age at loading should be at least 1</w:t>
      </w:r>
      <w:r w:rsidR="00F77658" w:rsidRPr="001455DC">
        <w:t> </w:t>
      </w:r>
      <w:r w:rsidRPr="001455DC">
        <w:t>day. The relations consider shrinkage deformation beginning from a concrete age of 1</w:t>
      </w:r>
      <w:r w:rsidR="00F77658" w:rsidRPr="001455DC">
        <w:t> </w:t>
      </w:r>
      <w:r w:rsidRPr="001455DC">
        <w:t>day. For variable stresses see B.</w:t>
      </w:r>
      <w:r w:rsidR="00EE3F01" w:rsidRPr="001455DC">
        <w:t>8</w:t>
      </w:r>
      <w:r w:rsidRPr="001455DC">
        <w:t>.</w:t>
      </w:r>
    </w:p>
    <w:p w14:paraId="24AE350B" w14:textId="77777777" w:rsidR="004E22C1" w:rsidRPr="001455DC" w:rsidRDefault="004E22C1" w:rsidP="002E1907">
      <w:pPr>
        <w:pStyle w:val="a7"/>
      </w:pPr>
      <w:r w:rsidRPr="001455DC">
        <w:t>(4)</w:t>
      </w:r>
      <w:r w:rsidRPr="001455DC">
        <w:tab/>
        <w:t>The relations may be applied as well to concrete in tension.</w:t>
      </w:r>
    </w:p>
    <w:p w14:paraId="4A35A077" w14:textId="77777777" w:rsidR="004E22C1" w:rsidRPr="001455DC" w:rsidRDefault="004E22C1" w:rsidP="002E1907">
      <w:pPr>
        <w:pStyle w:val="a7"/>
      </w:pPr>
      <w:r w:rsidRPr="001455DC">
        <w:t>(5)</w:t>
      </w:r>
      <w:r w:rsidRPr="001455DC">
        <w:tab/>
        <w:t>Both basic and drying shrinkage are isotropic strains. Creep is an anisotropic strain. For uncracked concrete, Poisson’s ratio may be taken as 0,2 for basic and for drying creep.</w:t>
      </w:r>
    </w:p>
    <w:p w14:paraId="0659DB49" w14:textId="5D546004" w:rsidR="004E22C1" w:rsidRPr="001455DC" w:rsidRDefault="004E22C1" w:rsidP="00082680">
      <w:pPr>
        <w:pStyle w:val="a2"/>
      </w:pPr>
      <w:bookmarkStart w:id="1308" w:name="_Toc52820128"/>
      <w:bookmarkStart w:id="1309" w:name="_Toc54337135"/>
      <w:bookmarkStart w:id="1310" w:name="_Toc54337530"/>
      <w:bookmarkStart w:id="1311" w:name="_Toc54338184"/>
      <w:bookmarkStart w:id="1312" w:name="_Toc67565522"/>
      <w:r w:rsidRPr="001455DC">
        <w:t>Development of concrete strength and stiffness with time</w:t>
      </w:r>
      <w:bookmarkEnd w:id="1308"/>
      <w:bookmarkEnd w:id="1309"/>
      <w:bookmarkEnd w:id="1310"/>
      <w:bookmarkEnd w:id="1311"/>
      <w:bookmarkEnd w:id="1312"/>
    </w:p>
    <w:p w14:paraId="403E4222" w14:textId="41E7FFBE" w:rsidR="004E22C1" w:rsidRPr="001455DC" w:rsidRDefault="004E22C1" w:rsidP="002E1907">
      <w:pPr>
        <w:pStyle w:val="Note"/>
      </w:pPr>
      <w:r w:rsidRPr="001455DC">
        <w:t>NOTE</w:t>
      </w:r>
      <w:r w:rsidR="00AD033B">
        <w:t xml:space="preserve"> </w:t>
      </w:r>
      <w:r w:rsidRPr="001455DC">
        <w:tab/>
        <w:t xml:space="preserve">The compressive strength of concrete at an age </w:t>
      </w:r>
      <w:r w:rsidRPr="001455DC">
        <w:rPr>
          <w:rStyle w:val="CCMCvariableitalic"/>
        </w:rPr>
        <w:t>t</w:t>
      </w:r>
      <w:r w:rsidRPr="001455DC">
        <w:t xml:space="preserve"> depends on the composition of the concrete, the </w:t>
      </w:r>
      <w:r w:rsidR="000E40D7" w:rsidRPr="001455DC">
        <w:t>composition and properties of the binder</w:t>
      </w:r>
      <w:r w:rsidRPr="001455DC">
        <w:t>, temperature and curing conditions.</w:t>
      </w:r>
    </w:p>
    <w:p w14:paraId="2F7BD830" w14:textId="6F790D68" w:rsidR="004E22C1" w:rsidRPr="001455DC" w:rsidRDefault="004E22C1" w:rsidP="002E1907">
      <w:pPr>
        <w:pStyle w:val="a7"/>
      </w:pPr>
      <w:r w:rsidRPr="001455DC">
        <w:rPr>
          <w:szCs w:val="22"/>
        </w:rPr>
        <w:t>(1)</w:t>
      </w:r>
      <w:r w:rsidRPr="001455DC">
        <w:rPr>
          <w:szCs w:val="22"/>
        </w:rPr>
        <w:tab/>
      </w:r>
      <w:r w:rsidRPr="001455DC">
        <w:t xml:space="preserve">For a mean temperature of 20 °C and curing in accordance with EN 13670 the compressive strength of concrete at various ages </w:t>
      </w:r>
      <w:r w:rsidRPr="001455DC">
        <w:rPr>
          <w:rStyle w:val="CCMCvariableitalic"/>
        </w:rPr>
        <w:t>f</w:t>
      </w:r>
      <w:r w:rsidRPr="001455DC">
        <w:rPr>
          <w:rStyle w:val="CCMCvariablesubscript"/>
        </w:rPr>
        <w:t>cm</w:t>
      </w:r>
      <w:r w:rsidRPr="001455DC">
        <w:t>(</w:t>
      </w:r>
      <w:r w:rsidRPr="001455DC">
        <w:rPr>
          <w:rStyle w:val="CCMCvariableitalic"/>
        </w:rPr>
        <w:t>t</w:t>
      </w:r>
      <w:r w:rsidRPr="001455DC">
        <w:t>) may be estimated from Formulae (B.1) and (B.2). For other temperatures, concrete age may be considered according to Formula (B.18).</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E1907" w:rsidRPr="001455DC" w14:paraId="65A4F677" w14:textId="77777777" w:rsidTr="00EC773D">
        <w:trPr>
          <w:cantSplit/>
        </w:trPr>
        <w:tc>
          <w:tcPr>
            <w:tcW w:w="8505" w:type="dxa"/>
            <w:vAlign w:val="center"/>
          </w:tcPr>
          <w:p w14:paraId="19E6CD81" w14:textId="208187DC" w:rsidR="002E1907" w:rsidRPr="001455DC" w:rsidRDefault="00231E33" w:rsidP="00EC773D">
            <w:pPr>
              <w:pStyle w:val="Formula"/>
              <w:jc w:val="left"/>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cm</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cc</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cm</m:t>
                    </m:r>
                  </m:sub>
                </m:sSub>
              </m:oMath>
            </m:oMathPara>
          </w:p>
        </w:tc>
        <w:tc>
          <w:tcPr>
            <w:tcW w:w="1247" w:type="dxa"/>
            <w:vAlign w:val="center"/>
          </w:tcPr>
          <w:p w14:paraId="46668263" w14:textId="038BBFBB" w:rsidR="002E1907" w:rsidRPr="001455DC" w:rsidRDefault="002E1907" w:rsidP="00EC773D">
            <w:pPr>
              <w:pStyle w:val="a7"/>
              <w:jc w:val="right"/>
            </w:pPr>
            <w:r w:rsidRPr="001455DC">
              <w:t>(B.1)</w:t>
            </w:r>
          </w:p>
        </w:tc>
      </w:tr>
    </w:tbl>
    <w:p w14:paraId="4DD33106" w14:textId="77777777" w:rsidR="002E1907" w:rsidRPr="001455DC" w:rsidRDefault="002E1907" w:rsidP="002E1907">
      <w:pPr>
        <w:pStyle w:val="a7"/>
      </w:pPr>
      <w:r w:rsidRPr="001455DC">
        <w:t>with</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E1907" w:rsidRPr="001455DC" w14:paraId="547E3B7F" w14:textId="77777777" w:rsidTr="00EC773D">
        <w:trPr>
          <w:cantSplit/>
        </w:trPr>
        <w:tc>
          <w:tcPr>
            <w:tcW w:w="8505" w:type="dxa"/>
            <w:vAlign w:val="center"/>
          </w:tcPr>
          <w:p w14:paraId="3A0C8035" w14:textId="09432B1D" w:rsidR="002E1907" w:rsidRPr="001455DC" w:rsidRDefault="00231E33">
            <w:pPr>
              <w:pStyle w:val="Formula"/>
              <w:jc w:val="left"/>
            </w:pPr>
            <m:oMathPara>
              <m:oMathParaPr>
                <m:jc m:val="left"/>
              </m:oMathParaPr>
              <m:oMath>
                <m:sSub>
                  <m:sSubPr>
                    <m:ctrlPr>
                      <w:rPr>
                        <w:rFonts w:ascii="Cambria Math" w:hAnsi="Cambria Math"/>
                      </w:rPr>
                    </m:ctrlPr>
                  </m:sSubPr>
                  <m:e>
                    <m:r>
                      <w:rPr>
                        <w:rFonts w:ascii="Cambria Math" w:hAnsi="Cambria Math"/>
                      </w:rPr>
                      <m:t>β</m:t>
                    </m:r>
                  </m:e>
                  <m:sub>
                    <m:r>
                      <m:rPr>
                        <m:sty m:val="p"/>
                      </m:rPr>
                      <w:rPr>
                        <w:rFonts w:ascii="Cambria Math" w:hAnsi="Cambria Math"/>
                      </w:rPr>
                      <m:t>cc</m:t>
                    </m:r>
                  </m:sub>
                </m:sSub>
                <m:d>
                  <m:dPr>
                    <m:ctrlPr>
                      <w:rPr>
                        <w:rFonts w:ascii="Cambria Math" w:hAnsi="Cambria Math"/>
                      </w:rPr>
                    </m:ctrlPr>
                  </m:dPr>
                  <m:e>
                    <m:r>
                      <w:rPr>
                        <w:rFonts w:ascii="Cambria Math" w:hAnsi="Cambria Math"/>
                      </w:rPr>
                      <m:t>t</m:t>
                    </m:r>
                  </m:e>
                </m:d>
                <m:r>
                  <w:rPr>
                    <w:rFonts w:ascii="Cambria Math" w:hAnsi="Cambria Math"/>
                  </w:rPr>
                  <m:t>=</m:t>
                </m:r>
                <m:r>
                  <m:rPr>
                    <m:sty m:val="p"/>
                  </m:rPr>
                  <w:rPr>
                    <w:rFonts w:ascii="Cambria Math" w:hAnsi="Cambria Math"/>
                  </w:rPr>
                  <m:t>exp</m:t>
                </m:r>
                <m:d>
                  <m:dPr>
                    <m:begChr m:val="["/>
                    <m:endChr m:val="]"/>
                    <m:ctrlPr>
                      <w:rPr>
                        <w:rFonts w:ascii="Cambria Math" w:hAnsi="Cambria Math"/>
                        <w:i/>
                      </w:rPr>
                    </m:ctrlPr>
                  </m:dPr>
                  <m:e>
                    <m:sSub>
                      <m:sSubPr>
                        <m:ctrlPr>
                          <w:rPr>
                            <w:rFonts w:ascii="Cambria Math" w:hAnsi="Cambria Math"/>
                          </w:rPr>
                        </m:ctrlPr>
                      </m:sSubPr>
                      <m:e>
                        <m:r>
                          <w:rPr>
                            <w:rFonts w:ascii="Cambria Math" w:hAnsi="Cambria Math"/>
                          </w:rPr>
                          <m:t>s</m:t>
                        </m:r>
                      </m:e>
                      <m:sub>
                        <m:r>
                          <m:rPr>
                            <m:sty m:val="p"/>
                          </m:rPr>
                          <w:rPr>
                            <w:rFonts w:ascii="Cambria Math" w:hAnsi="Cambria Math"/>
                          </w:rPr>
                          <m:t>C</m:t>
                        </m:r>
                      </m:sub>
                    </m:sSub>
                    <m:d>
                      <m:dPr>
                        <m:sepChr m:val=""/>
                        <m:ctrlPr>
                          <w:rPr>
                            <w:rFonts w:ascii="Cambria Math" w:hAnsi="Cambria Math"/>
                          </w:rPr>
                        </m:ctrlPr>
                      </m:dPr>
                      <m:e>
                        <m:r>
                          <w:rPr>
                            <w:rFonts w:ascii="Cambria Math" w:hAnsi="Cambria Math"/>
                          </w:rPr>
                          <m:t>1</m:t>
                        </m:r>
                      </m:e>
                      <m:e>
                        <m:r>
                          <w:rPr>
                            <w:rFonts w:ascii="Cambria Math" w:hAnsi="Cambria Math"/>
                          </w:rPr>
                          <m:t>-</m:t>
                        </m:r>
                      </m:e>
                      <m:e>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rPr>
                                      <m:t>t</m:t>
                                    </m:r>
                                  </m:e>
                                  <m:sub>
                                    <m:r>
                                      <m:rPr>
                                        <m:sty m:val="p"/>
                                      </m:rPr>
                                      <w:rPr>
                                        <w:rFonts w:ascii="Cambria Math" w:hAnsi="Cambria Math"/>
                                      </w:rPr>
                                      <m:t>ref</m:t>
                                    </m:r>
                                  </m:sub>
                                </m:sSub>
                              </m:num>
                              <m:den>
                                <m:r>
                                  <w:rPr>
                                    <w:rFonts w:ascii="Cambria Math" w:hAnsi="Cambria Math"/>
                                  </w:rPr>
                                  <m:t>t</m:t>
                                </m:r>
                              </m:den>
                            </m:f>
                          </m:e>
                        </m:rad>
                      </m:e>
                    </m:d>
                    <m:rad>
                      <m:radPr>
                        <m:degHide m:val="1"/>
                        <m:ctrlPr>
                          <w:rPr>
                            <w:rFonts w:ascii="Cambria Math" w:hAnsi="Cambria Math"/>
                          </w:rPr>
                        </m:ctrlPr>
                      </m:radPr>
                      <m:deg/>
                      <m:e>
                        <m:f>
                          <m:fPr>
                            <m:ctrlPr>
                              <w:rPr>
                                <w:rFonts w:ascii="Cambria Math" w:hAnsi="Cambria Math"/>
                              </w:rPr>
                            </m:ctrlPr>
                          </m:fPr>
                          <m:num>
                            <m:r>
                              <w:rPr>
                                <w:rFonts w:ascii="Cambria Math" w:hAnsi="Cambria Math"/>
                              </w:rPr>
                              <m:t>28</m:t>
                            </m:r>
                          </m:num>
                          <m:den>
                            <m:sSub>
                              <m:sSubPr>
                                <m:ctrlPr>
                                  <w:rPr>
                                    <w:rFonts w:ascii="Cambria Math" w:hAnsi="Cambria Math"/>
                                  </w:rPr>
                                </m:ctrlPr>
                              </m:sSubPr>
                              <m:e>
                                <m:r>
                                  <w:rPr>
                                    <w:rFonts w:ascii="Cambria Math" w:hAnsi="Cambria Math"/>
                                  </w:rPr>
                                  <m:t>t</m:t>
                                </m:r>
                              </m:e>
                              <m:sub>
                                <m:r>
                                  <m:rPr>
                                    <m:sty m:val="p"/>
                                  </m:rPr>
                                  <w:rPr>
                                    <w:rFonts w:ascii="Cambria Math" w:hAnsi="Cambria Math"/>
                                  </w:rPr>
                                  <m:t>ref</m:t>
                                </m:r>
                              </m:sub>
                            </m:sSub>
                          </m:den>
                        </m:f>
                      </m:e>
                    </m:rad>
                  </m:e>
                </m:d>
              </m:oMath>
            </m:oMathPara>
          </w:p>
        </w:tc>
        <w:tc>
          <w:tcPr>
            <w:tcW w:w="1247" w:type="dxa"/>
            <w:vAlign w:val="center"/>
          </w:tcPr>
          <w:p w14:paraId="0C9F409B" w14:textId="43EA0B6F" w:rsidR="002E1907" w:rsidRPr="001455DC" w:rsidRDefault="002E1907" w:rsidP="00EC773D">
            <w:pPr>
              <w:pStyle w:val="a7"/>
              <w:jc w:val="right"/>
            </w:pPr>
            <w:r w:rsidRPr="001455DC">
              <w:t>(B.2)</w:t>
            </w:r>
          </w:p>
        </w:tc>
      </w:tr>
    </w:tbl>
    <w:p w14:paraId="36C41F45" w14:textId="77777777" w:rsidR="002E1907" w:rsidRPr="001455DC" w:rsidRDefault="002E1907"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2E1907" w:rsidRPr="001455DC" w14:paraId="1A179E29" w14:textId="77777777" w:rsidTr="00EC773D">
        <w:trPr>
          <w:cantSplit/>
        </w:trPr>
        <w:tc>
          <w:tcPr>
            <w:tcW w:w="567" w:type="dxa"/>
          </w:tcPr>
          <w:p w14:paraId="1CF0794D" w14:textId="324772B4" w:rsidR="002E1907" w:rsidRPr="001455DC" w:rsidRDefault="002E1907" w:rsidP="0000442A">
            <w:pPr>
              <w:pStyle w:val="Tablebody"/>
            </w:pPr>
            <w:r w:rsidRPr="001455DC">
              <w:rPr>
                <w:rStyle w:val="CCMCvariableitalic"/>
              </w:rPr>
              <w:t>s</w:t>
            </w:r>
            <w:r w:rsidRPr="001455DC">
              <w:rPr>
                <w:rStyle w:val="CCMCvariablesubscript"/>
              </w:rPr>
              <w:t>C</w:t>
            </w:r>
          </w:p>
        </w:tc>
        <w:tc>
          <w:tcPr>
            <w:tcW w:w="8845" w:type="dxa"/>
          </w:tcPr>
          <w:p w14:paraId="506A53A4" w14:textId="70D9B3B3" w:rsidR="0096382E" w:rsidRPr="001455DC" w:rsidRDefault="002E1907">
            <w:pPr>
              <w:pStyle w:val="Tablebody"/>
            </w:pPr>
            <w:r w:rsidRPr="001455DC">
              <w:t>is a coefficient which depends on early strength development of the concrete and the concrete strength as defined in Table B.</w:t>
            </w:r>
            <w:r w:rsidR="0096382E" w:rsidRPr="001455DC">
              <w:t>2</w:t>
            </w:r>
            <w:r w:rsidRPr="001455DC">
              <w:t>.</w:t>
            </w:r>
          </w:p>
        </w:tc>
      </w:tr>
    </w:tbl>
    <w:p w14:paraId="5933D95E" w14:textId="422204B2" w:rsidR="004E22C1" w:rsidRPr="001455DC" w:rsidRDefault="004E22C1" w:rsidP="002E1907">
      <w:pPr>
        <w:pStyle w:val="a7"/>
      </w:pPr>
      <w:r w:rsidRPr="001455DC">
        <w:t xml:space="preserve">The values of </w:t>
      </w:r>
      <w:r w:rsidRPr="001455DC">
        <w:rPr>
          <w:rStyle w:val="CCMCvariableitalic"/>
        </w:rPr>
        <w:t>s</w:t>
      </w:r>
      <w:r w:rsidRPr="001455DC">
        <w:rPr>
          <w:rStyle w:val="CCMCvariablesubscript"/>
        </w:rPr>
        <w:t>C</w:t>
      </w:r>
      <w:r w:rsidRPr="001455DC">
        <w:t xml:space="preserve"> in Table B.</w:t>
      </w:r>
      <w:r w:rsidR="000E40D7" w:rsidRPr="001455DC">
        <w:t xml:space="preserve">2 </w:t>
      </w:r>
      <w:r w:rsidRPr="001455DC">
        <w:t>are valid for concrete covered by the data considered, see B.</w:t>
      </w:r>
      <w:r w:rsidR="00D36AE6" w:rsidRPr="001455DC">
        <w:t>3</w:t>
      </w:r>
      <w:r w:rsidRPr="001455DC">
        <w:t>, Note 3. In other cases, e.g. where there is a high content of pozzolanic binder, experimental verification should be carried out for structures which are sensitive to the development of compressive stress.</w:t>
      </w:r>
    </w:p>
    <w:p w14:paraId="3526D998" w14:textId="2E1B01FF" w:rsidR="004E22C1" w:rsidRPr="001455DC" w:rsidRDefault="004E22C1" w:rsidP="00F72049">
      <w:pPr>
        <w:pStyle w:val="Tabletitle"/>
      </w:pPr>
      <w:bookmarkStart w:id="1313" w:name="_Toc54337531"/>
      <w:r w:rsidRPr="001455DC">
        <w:t>Table B.</w:t>
      </w:r>
      <w:r w:rsidR="00657BB2" w:rsidRPr="001455DC">
        <w:t>2 </w:t>
      </w:r>
      <w:r w:rsidRPr="001455DC">
        <w:t xml:space="preserve">— Values of the coefficient </w:t>
      </w:r>
      <w:r w:rsidRPr="001455DC">
        <w:rPr>
          <w:rStyle w:val="CCMCvariableitalic"/>
        </w:rPr>
        <w:t>s</w:t>
      </w:r>
      <w:r w:rsidRPr="001455DC">
        <w:rPr>
          <w:rStyle w:val="CCMCvariablesubscript"/>
        </w:rPr>
        <w:t>C</w:t>
      </w:r>
      <w:r w:rsidRPr="001455DC">
        <w:t xml:space="preserve"> for different early strength development of concrete and concrete strength</w:t>
      </w:r>
      <w:bookmarkEnd w:id="1313"/>
    </w:p>
    <w:tbl>
      <w:tblPr>
        <w:tblStyle w:val="53"/>
        <w:tblW w:w="9752" w:type="dxa"/>
        <w:tblLayout w:type="fixed"/>
        <w:tblLook w:val="0660" w:firstRow="1" w:lastRow="1" w:firstColumn="0" w:lastColumn="0" w:noHBand="1" w:noVBand="1"/>
      </w:tblPr>
      <w:tblGrid>
        <w:gridCol w:w="3693"/>
        <w:gridCol w:w="2018"/>
        <w:gridCol w:w="2186"/>
        <w:gridCol w:w="1855"/>
      </w:tblGrid>
      <w:tr w:rsidR="004E22C1" w:rsidRPr="001455DC" w14:paraId="6D55E44D" w14:textId="77777777" w:rsidTr="0096382E">
        <w:trPr>
          <w:cnfStyle w:val="100000000000" w:firstRow="1" w:lastRow="0" w:firstColumn="0" w:lastColumn="0" w:oddVBand="0" w:evenVBand="0" w:oddHBand="0" w:evenHBand="0" w:firstRowFirstColumn="0" w:firstRowLastColumn="0" w:lastRowFirstColumn="0" w:lastRowLastColumn="0"/>
          <w:tblHeader/>
        </w:trPr>
        <w:tc>
          <w:tcPr>
            <w:tcW w:w="3693" w:type="dxa"/>
            <w:vMerge w:val="restart"/>
          </w:tcPr>
          <w:p w14:paraId="2E766C05" w14:textId="1CBE1B98" w:rsidR="004E22C1" w:rsidRPr="001455DC" w:rsidRDefault="004E22C1" w:rsidP="00F77658">
            <w:pPr>
              <w:pStyle w:val="Tableheader"/>
              <w:keepNext/>
            </w:pPr>
            <w:r w:rsidRPr="001455DC">
              <w:t>Concrete strength</w:t>
            </w:r>
          </w:p>
        </w:tc>
        <w:tc>
          <w:tcPr>
            <w:tcW w:w="6059" w:type="dxa"/>
            <w:gridSpan w:val="3"/>
          </w:tcPr>
          <w:p w14:paraId="101AC074" w14:textId="69572B23" w:rsidR="004E22C1" w:rsidRPr="009D3012" w:rsidRDefault="004E22C1">
            <w:pPr>
              <w:pStyle w:val="Tableheader"/>
              <w:keepNext/>
              <w:rPr>
                <w:lang w:val="en-US"/>
              </w:rPr>
            </w:pPr>
            <w:r w:rsidRPr="009D3012">
              <w:rPr>
                <w:lang w:val="en-US"/>
              </w:rPr>
              <w:t>Development of concrete strength</w:t>
            </w:r>
            <w:r w:rsidR="000E40D7" w:rsidRPr="009D3012">
              <w:rPr>
                <w:rStyle w:val="CCMCvariablesuperscript"/>
                <w:b w:val="0"/>
                <w:bCs/>
                <w:lang w:val="en-US"/>
              </w:rPr>
              <w:t>a</w:t>
            </w:r>
          </w:p>
        </w:tc>
      </w:tr>
      <w:tr w:rsidR="004E22C1" w:rsidRPr="001455DC" w14:paraId="63005A16" w14:textId="77777777" w:rsidTr="0096382E">
        <w:trPr>
          <w:cnfStyle w:val="100000000000" w:firstRow="1" w:lastRow="0" w:firstColumn="0" w:lastColumn="0" w:oddVBand="0" w:evenVBand="0" w:oddHBand="0" w:evenHBand="0" w:firstRowFirstColumn="0" w:firstRowLastColumn="0" w:lastRowFirstColumn="0" w:lastRowLastColumn="0"/>
          <w:tblHeader/>
        </w:trPr>
        <w:tc>
          <w:tcPr>
            <w:tcW w:w="3693" w:type="dxa"/>
            <w:vMerge/>
          </w:tcPr>
          <w:p w14:paraId="132446BA" w14:textId="77777777" w:rsidR="004E22C1" w:rsidRPr="009D3012" w:rsidRDefault="004E22C1" w:rsidP="00F77658">
            <w:pPr>
              <w:pStyle w:val="Tableheader"/>
              <w:keepNext/>
              <w:rPr>
                <w:lang w:val="en-US"/>
              </w:rPr>
            </w:pPr>
          </w:p>
        </w:tc>
        <w:tc>
          <w:tcPr>
            <w:tcW w:w="2018" w:type="dxa"/>
          </w:tcPr>
          <w:p w14:paraId="71B9FEA5" w14:textId="72B4D639" w:rsidR="004E22C1" w:rsidRPr="001455DC" w:rsidRDefault="004E22C1">
            <w:pPr>
              <w:pStyle w:val="Tableheader"/>
              <w:keepNext/>
            </w:pPr>
            <w:r w:rsidRPr="001455DC">
              <w:t xml:space="preserve">Class </w:t>
            </w:r>
            <w:r w:rsidR="0096382E" w:rsidRPr="001455DC">
              <w:t>CS</w:t>
            </w:r>
          </w:p>
        </w:tc>
        <w:tc>
          <w:tcPr>
            <w:tcW w:w="2186" w:type="dxa"/>
          </w:tcPr>
          <w:p w14:paraId="076AFF2C" w14:textId="1E8B3C66" w:rsidR="004E22C1" w:rsidRPr="001455DC" w:rsidRDefault="004E22C1">
            <w:pPr>
              <w:pStyle w:val="Tableheader"/>
              <w:keepNext/>
            </w:pPr>
            <w:r w:rsidRPr="001455DC">
              <w:t>Class CN</w:t>
            </w:r>
            <w:r w:rsidR="0096382E" w:rsidRPr="001455DC">
              <w:rPr>
                <w:rStyle w:val="CCMCvariablesuperscript"/>
                <w:b w:val="0"/>
                <w:bCs/>
              </w:rPr>
              <w:t xml:space="preserve"> </w:t>
            </w:r>
          </w:p>
        </w:tc>
        <w:tc>
          <w:tcPr>
            <w:tcW w:w="1855" w:type="dxa"/>
          </w:tcPr>
          <w:p w14:paraId="2ECBFEF2" w14:textId="28ECBD14" w:rsidR="004E22C1" w:rsidRPr="001455DC" w:rsidRDefault="004E22C1">
            <w:pPr>
              <w:pStyle w:val="Tableheader"/>
              <w:keepNext/>
            </w:pPr>
            <w:r w:rsidRPr="001455DC">
              <w:t xml:space="preserve">Class </w:t>
            </w:r>
            <w:r w:rsidR="0096382E" w:rsidRPr="001455DC">
              <w:t>CR</w:t>
            </w:r>
          </w:p>
        </w:tc>
      </w:tr>
      <w:tr w:rsidR="0096382E" w:rsidRPr="001455DC" w14:paraId="20A3339F" w14:textId="77777777" w:rsidTr="0096382E">
        <w:tc>
          <w:tcPr>
            <w:tcW w:w="3693" w:type="dxa"/>
            <w:vAlign w:val="center"/>
          </w:tcPr>
          <w:p w14:paraId="1F8CE578" w14:textId="6DADCF7E" w:rsidR="0096382E" w:rsidRPr="001455DC" w:rsidRDefault="0096382E" w:rsidP="0096382E">
            <w:pPr>
              <w:pStyle w:val="Tablebody"/>
              <w:keepNext/>
              <w:jc w:val="center"/>
            </w:pPr>
            <w:r w:rsidRPr="001455DC">
              <w:rPr>
                <w:rStyle w:val="CCMCvariableitalic"/>
              </w:rPr>
              <w:t>f</w:t>
            </w:r>
            <w:r w:rsidRPr="001455DC">
              <w:rPr>
                <w:rStyle w:val="CCMCvariablesubscript"/>
              </w:rPr>
              <w:t>ck</w:t>
            </w:r>
            <w:r w:rsidRPr="001455DC">
              <w:rPr>
                <w:bCs/>
              </w:rPr>
              <w:t> </w:t>
            </w:r>
            <w:r w:rsidRPr="001455DC">
              <w:rPr>
                <w:rFonts w:ascii="Cambria Math" w:hAnsi="Cambria Math"/>
                <w:bCs/>
              </w:rPr>
              <w:t>≤</w:t>
            </w:r>
            <w:r w:rsidRPr="001455DC">
              <w:rPr>
                <w:bCs/>
              </w:rPr>
              <w:t> </w:t>
            </w:r>
            <w:r w:rsidRPr="001455DC">
              <w:t>35 MPa</w:t>
            </w:r>
          </w:p>
        </w:tc>
        <w:tc>
          <w:tcPr>
            <w:tcW w:w="2018" w:type="dxa"/>
            <w:vAlign w:val="center"/>
          </w:tcPr>
          <w:p w14:paraId="7B4C0083" w14:textId="1D1E5E4B" w:rsidR="0096382E" w:rsidRPr="001455DC" w:rsidRDefault="0096382E" w:rsidP="0096382E">
            <w:pPr>
              <w:pStyle w:val="Tablebody"/>
              <w:keepNext/>
              <w:jc w:val="center"/>
            </w:pPr>
            <w:r w:rsidRPr="001455DC">
              <w:t>0,6</w:t>
            </w:r>
          </w:p>
        </w:tc>
        <w:tc>
          <w:tcPr>
            <w:tcW w:w="2186" w:type="dxa"/>
            <w:vAlign w:val="center"/>
          </w:tcPr>
          <w:p w14:paraId="2DBC8C37" w14:textId="77777777" w:rsidR="0096382E" w:rsidRPr="001455DC" w:rsidRDefault="0096382E" w:rsidP="0096382E">
            <w:pPr>
              <w:pStyle w:val="Tablebody"/>
              <w:keepNext/>
              <w:jc w:val="center"/>
            </w:pPr>
            <w:r w:rsidRPr="001455DC">
              <w:t>0,5</w:t>
            </w:r>
          </w:p>
        </w:tc>
        <w:tc>
          <w:tcPr>
            <w:tcW w:w="1855" w:type="dxa"/>
            <w:vAlign w:val="center"/>
          </w:tcPr>
          <w:p w14:paraId="355BDFBD" w14:textId="3114154D" w:rsidR="0096382E" w:rsidRPr="001455DC" w:rsidRDefault="0096382E" w:rsidP="0096382E">
            <w:pPr>
              <w:pStyle w:val="Tablebody"/>
              <w:keepNext/>
              <w:jc w:val="center"/>
            </w:pPr>
            <w:r w:rsidRPr="001455DC">
              <w:t>0,3</w:t>
            </w:r>
          </w:p>
        </w:tc>
      </w:tr>
      <w:tr w:rsidR="0096382E" w:rsidRPr="001455DC" w14:paraId="42494E5C" w14:textId="77777777" w:rsidTr="0096382E">
        <w:tc>
          <w:tcPr>
            <w:tcW w:w="3693" w:type="dxa"/>
            <w:vAlign w:val="center"/>
          </w:tcPr>
          <w:p w14:paraId="30002C0F" w14:textId="74FB86C0" w:rsidR="0096382E" w:rsidRPr="001455DC" w:rsidRDefault="0096382E" w:rsidP="0096382E">
            <w:pPr>
              <w:pStyle w:val="Tablebody"/>
              <w:keepNext/>
              <w:jc w:val="center"/>
            </w:pPr>
            <w:r w:rsidRPr="001455DC">
              <w:t>35 MPa </w:t>
            </w:r>
            <w:r w:rsidRPr="001455DC">
              <w:rPr>
                <w:rFonts w:ascii="Cambria Math" w:hAnsi="Cambria Math"/>
              </w:rPr>
              <w:t>&lt;</w:t>
            </w:r>
            <w:r w:rsidRPr="001455DC">
              <w:t> </w:t>
            </w:r>
            <w:r w:rsidRPr="001455DC">
              <w:rPr>
                <w:rStyle w:val="CCMCvariableitalic"/>
              </w:rPr>
              <w:t>f</w:t>
            </w:r>
            <w:r w:rsidRPr="001455DC">
              <w:rPr>
                <w:rStyle w:val="CCMCvariablesubscript"/>
              </w:rPr>
              <w:t>ck</w:t>
            </w:r>
            <w:r w:rsidRPr="001455DC">
              <w:rPr>
                <w:bCs/>
              </w:rPr>
              <w:t> </w:t>
            </w:r>
            <w:r w:rsidRPr="001455DC">
              <w:rPr>
                <w:rFonts w:ascii="Cambria Math" w:hAnsi="Cambria Math"/>
                <w:bCs/>
              </w:rPr>
              <w:t>&lt;</w:t>
            </w:r>
            <w:r w:rsidRPr="001455DC">
              <w:rPr>
                <w:bCs/>
              </w:rPr>
              <w:t> </w:t>
            </w:r>
            <w:r w:rsidRPr="001455DC">
              <w:t>60 MPa</w:t>
            </w:r>
          </w:p>
        </w:tc>
        <w:tc>
          <w:tcPr>
            <w:tcW w:w="2018" w:type="dxa"/>
            <w:vAlign w:val="center"/>
          </w:tcPr>
          <w:p w14:paraId="11A7185D" w14:textId="6A81EB55" w:rsidR="0096382E" w:rsidRPr="001455DC" w:rsidRDefault="0096382E" w:rsidP="0096382E">
            <w:pPr>
              <w:pStyle w:val="Tablebody"/>
              <w:keepNext/>
              <w:jc w:val="center"/>
            </w:pPr>
            <w:r w:rsidRPr="001455DC">
              <w:t>0,5</w:t>
            </w:r>
          </w:p>
        </w:tc>
        <w:tc>
          <w:tcPr>
            <w:tcW w:w="2186" w:type="dxa"/>
            <w:vAlign w:val="center"/>
          </w:tcPr>
          <w:p w14:paraId="525E6440" w14:textId="77777777" w:rsidR="0096382E" w:rsidRPr="001455DC" w:rsidRDefault="0096382E" w:rsidP="0096382E">
            <w:pPr>
              <w:pStyle w:val="Tablebody"/>
              <w:keepNext/>
              <w:jc w:val="center"/>
            </w:pPr>
            <w:r w:rsidRPr="001455DC">
              <w:t>0,4</w:t>
            </w:r>
          </w:p>
        </w:tc>
        <w:tc>
          <w:tcPr>
            <w:tcW w:w="1855" w:type="dxa"/>
            <w:vAlign w:val="center"/>
          </w:tcPr>
          <w:p w14:paraId="0A38DB7F" w14:textId="152E1D35" w:rsidR="0096382E" w:rsidRPr="001455DC" w:rsidRDefault="0096382E" w:rsidP="0096382E">
            <w:pPr>
              <w:pStyle w:val="Tablebody"/>
              <w:keepNext/>
              <w:jc w:val="center"/>
            </w:pPr>
            <w:r w:rsidRPr="001455DC">
              <w:t>0,2</w:t>
            </w:r>
          </w:p>
        </w:tc>
      </w:tr>
      <w:tr w:rsidR="0096382E" w:rsidRPr="001455DC" w14:paraId="45B065AD" w14:textId="77777777" w:rsidTr="0096382E">
        <w:tc>
          <w:tcPr>
            <w:tcW w:w="3693" w:type="dxa"/>
            <w:vAlign w:val="center"/>
          </w:tcPr>
          <w:p w14:paraId="114FF43E" w14:textId="259D2C1F" w:rsidR="0096382E" w:rsidRPr="001455DC" w:rsidRDefault="0096382E" w:rsidP="0096382E">
            <w:pPr>
              <w:pStyle w:val="Tablebody"/>
              <w:keepNext/>
              <w:jc w:val="center"/>
            </w:pPr>
            <w:r w:rsidRPr="001455DC">
              <w:rPr>
                <w:rStyle w:val="CCMCvariableitalic"/>
              </w:rPr>
              <w:t>f</w:t>
            </w:r>
            <w:r w:rsidRPr="001455DC">
              <w:rPr>
                <w:rStyle w:val="CCMCvariablesubscript"/>
              </w:rPr>
              <w:t>ck</w:t>
            </w:r>
            <w:r w:rsidRPr="001455DC">
              <w:t> </w:t>
            </w:r>
            <w:r w:rsidRPr="001455DC">
              <w:rPr>
                <w:rFonts w:ascii="Cambria Math" w:hAnsi="Cambria Math"/>
              </w:rPr>
              <w:t>≥</w:t>
            </w:r>
            <w:r w:rsidRPr="001455DC">
              <w:t> 60 MPa</w:t>
            </w:r>
          </w:p>
        </w:tc>
        <w:tc>
          <w:tcPr>
            <w:tcW w:w="2018" w:type="dxa"/>
            <w:vAlign w:val="center"/>
          </w:tcPr>
          <w:p w14:paraId="4359B9AD" w14:textId="2523415D" w:rsidR="0096382E" w:rsidRPr="001455DC" w:rsidRDefault="0096382E" w:rsidP="0096382E">
            <w:pPr>
              <w:pStyle w:val="Tablebody"/>
              <w:keepNext/>
              <w:jc w:val="center"/>
            </w:pPr>
            <w:r w:rsidRPr="001455DC">
              <w:t>0,4</w:t>
            </w:r>
          </w:p>
        </w:tc>
        <w:tc>
          <w:tcPr>
            <w:tcW w:w="2186" w:type="dxa"/>
            <w:vAlign w:val="center"/>
          </w:tcPr>
          <w:p w14:paraId="643502CE" w14:textId="77777777" w:rsidR="0096382E" w:rsidRPr="001455DC" w:rsidRDefault="0096382E" w:rsidP="0096382E">
            <w:pPr>
              <w:pStyle w:val="Tablebody"/>
              <w:keepNext/>
              <w:jc w:val="center"/>
            </w:pPr>
            <w:r w:rsidRPr="001455DC">
              <w:t>0,3</w:t>
            </w:r>
          </w:p>
        </w:tc>
        <w:tc>
          <w:tcPr>
            <w:tcW w:w="1855" w:type="dxa"/>
            <w:vAlign w:val="center"/>
          </w:tcPr>
          <w:p w14:paraId="60B97452" w14:textId="548F4EB9" w:rsidR="0096382E" w:rsidRPr="001455DC" w:rsidRDefault="0096382E" w:rsidP="0096382E">
            <w:pPr>
              <w:pStyle w:val="Tablebody"/>
              <w:keepNext/>
              <w:jc w:val="center"/>
            </w:pPr>
            <w:r w:rsidRPr="001455DC">
              <w:t>0,1</w:t>
            </w:r>
          </w:p>
        </w:tc>
      </w:tr>
      <w:tr w:rsidR="0096382E" w:rsidRPr="001455DC" w14:paraId="04898572" w14:textId="77777777" w:rsidTr="0096382E">
        <w:trPr>
          <w:cnfStyle w:val="010000000000" w:firstRow="0" w:lastRow="1" w:firstColumn="0" w:lastColumn="0" w:oddVBand="0" w:evenVBand="0" w:oddHBand="0" w:evenHBand="0" w:firstRowFirstColumn="0" w:firstRowLastColumn="0" w:lastRowFirstColumn="0" w:lastRowLastColumn="0"/>
        </w:trPr>
        <w:tc>
          <w:tcPr>
            <w:tcW w:w="9752" w:type="dxa"/>
            <w:gridSpan w:val="4"/>
          </w:tcPr>
          <w:p w14:paraId="1B39694E" w14:textId="18CBE30E" w:rsidR="0096382E" w:rsidRPr="001455DC" w:rsidRDefault="0096382E">
            <w:pPr>
              <w:pStyle w:val="Tablefooter"/>
            </w:pPr>
            <w:r w:rsidRPr="001455DC">
              <w:rPr>
                <w:rStyle w:val="CCMCvariablesuperscript"/>
              </w:rPr>
              <w:t>a</w:t>
            </w:r>
            <w:r w:rsidRPr="001455DC">
              <w:tab/>
              <w:t>See B.</w:t>
            </w:r>
            <w:r w:rsidR="00D36AE6" w:rsidRPr="001455DC">
              <w:t>3</w:t>
            </w:r>
            <w:r w:rsidRPr="001455DC">
              <w:t xml:space="preserve">(1). </w:t>
            </w:r>
          </w:p>
        </w:tc>
      </w:tr>
    </w:tbl>
    <w:p w14:paraId="2AD10B0E" w14:textId="77777777" w:rsidR="004E22C1" w:rsidRPr="001455DC" w:rsidRDefault="004E22C1" w:rsidP="002E1907">
      <w:pPr>
        <w:pStyle w:val="a7"/>
      </w:pPr>
    </w:p>
    <w:p w14:paraId="30A1EB1C" w14:textId="7C4AE693" w:rsidR="004E22C1" w:rsidRPr="001455DC" w:rsidRDefault="004E22C1" w:rsidP="00605B61">
      <w:pPr>
        <w:pStyle w:val="Note"/>
      </w:pPr>
      <w:bookmarkStart w:id="1314" w:name="_Toc54337532"/>
      <w:r w:rsidRPr="001455DC">
        <w:t>NOTE</w:t>
      </w:r>
      <w:r w:rsidR="00657BB2" w:rsidRPr="001455DC">
        <w:t xml:space="preserve"> </w:t>
      </w:r>
      <w:r w:rsidRPr="001455DC">
        <w:tab/>
        <w:t xml:space="preserve">The development of </w:t>
      </w:r>
      <w:r w:rsidRPr="001455DC">
        <w:rPr>
          <w:iCs/>
        </w:rPr>
        <w:t>tensile strength</w:t>
      </w:r>
      <w:r w:rsidRPr="001455DC">
        <w:t xml:space="preserve"> with time is strongly influenced by the early strength cement class, curing and drying conditions as well as by the dimensions of the structural members.</w:t>
      </w:r>
      <w:bookmarkEnd w:id="1314"/>
    </w:p>
    <w:p w14:paraId="4F2630E9" w14:textId="77777777" w:rsidR="002E1907" w:rsidRPr="001455DC" w:rsidRDefault="004E22C1" w:rsidP="00116AE2">
      <w:pPr>
        <w:pStyle w:val="a7"/>
        <w:keepNext/>
      </w:pPr>
      <w:r w:rsidRPr="001455DC">
        <w:t>(2)</w:t>
      </w:r>
      <w:r w:rsidRPr="001455DC">
        <w:tab/>
        <w:t xml:space="preserve">It may be assumed that the tensile strength </w:t>
      </w:r>
      <w:r w:rsidRPr="001455DC">
        <w:rPr>
          <w:rStyle w:val="CCMCvariableitalic"/>
        </w:rPr>
        <w:t>f</w:t>
      </w:r>
      <w:r w:rsidRPr="001455DC">
        <w:rPr>
          <w:rStyle w:val="CCMCvariablesubscript"/>
        </w:rPr>
        <w:t>ctm</w:t>
      </w:r>
      <w:r w:rsidRPr="001455DC">
        <w:t>(</w:t>
      </w:r>
      <w:r w:rsidRPr="001455DC">
        <w:rPr>
          <w:rStyle w:val="CCMCvariableitalic"/>
        </w:rPr>
        <w:t>t</w:t>
      </w:r>
      <w:r w:rsidRPr="001455DC">
        <w:t>) is equal to:</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E1907" w:rsidRPr="001455DC" w14:paraId="4E379655" w14:textId="77777777" w:rsidTr="00EC773D">
        <w:trPr>
          <w:cantSplit/>
        </w:trPr>
        <w:tc>
          <w:tcPr>
            <w:tcW w:w="8505" w:type="dxa"/>
            <w:vAlign w:val="center"/>
          </w:tcPr>
          <w:p w14:paraId="072F4220" w14:textId="1F30D5CC" w:rsidR="002E1907" w:rsidRPr="001455DC" w:rsidRDefault="002E1907" w:rsidP="00EC773D">
            <w:pPr>
              <w:pStyle w:val="Formula"/>
              <w:jc w:val="left"/>
            </w:pPr>
            <w:r w:rsidRPr="001455DC">
              <w:rPr>
                <w:rStyle w:val="CCMCvariableitalic"/>
              </w:rPr>
              <w:t>f</w:t>
            </w:r>
            <w:r w:rsidRPr="001455DC">
              <w:rPr>
                <w:rStyle w:val="CCMCvariablesubscript"/>
              </w:rPr>
              <w:t>ctm</w:t>
            </w:r>
            <w:r w:rsidRPr="001455DC">
              <w:t>(</w:t>
            </w:r>
            <w:r w:rsidRPr="001455DC">
              <w:rPr>
                <w:rStyle w:val="CCMCvariableitalic"/>
              </w:rPr>
              <w:t>t</w:t>
            </w:r>
            <w:r w:rsidRPr="001455DC">
              <w:t>) </w:t>
            </w:r>
            <w:r w:rsidR="00EC27D2" w:rsidRPr="001455DC">
              <w:rPr>
                <w:rFonts w:ascii="Cambria Math" w:hAnsi="Cambria Math"/>
              </w:rPr>
              <w:t>=</w:t>
            </w:r>
            <w:r w:rsidRPr="001455DC">
              <w:t> </w:t>
            </w:r>
            <w:r w:rsidRPr="001455DC">
              <w:rPr>
                <w:rStyle w:val="CCMCvariableitalic"/>
              </w:rPr>
              <w:t>β</w:t>
            </w:r>
            <w:r w:rsidRPr="001455DC">
              <w:rPr>
                <w:rStyle w:val="CCMCvariablesubscript"/>
              </w:rPr>
              <w:t>cc</w:t>
            </w:r>
            <w:r w:rsidRPr="001455DC">
              <w:rPr>
                <w:rStyle w:val="CCMCvariablesuperscript"/>
              </w:rPr>
              <w:t>0,6</w:t>
            </w:r>
            <w:r w:rsidRPr="001455DC">
              <w:t> </w:t>
            </w:r>
            <w:r w:rsidR="00C74721" w:rsidRPr="001455DC">
              <w:rPr>
                <w:rFonts w:ascii="Cambria Math" w:hAnsi="Cambria Math"/>
              </w:rPr>
              <w:t>⋅</w:t>
            </w:r>
            <w:r w:rsidRPr="001455DC">
              <w:t> </w:t>
            </w:r>
            <w:r w:rsidRPr="001455DC">
              <w:rPr>
                <w:rStyle w:val="CCMCvariableitalic"/>
              </w:rPr>
              <w:t>f</w:t>
            </w:r>
            <w:r w:rsidRPr="001455DC">
              <w:rPr>
                <w:rStyle w:val="CCMCvariablesubscript"/>
              </w:rPr>
              <w:t>ctm</w:t>
            </w:r>
          </w:p>
        </w:tc>
        <w:tc>
          <w:tcPr>
            <w:tcW w:w="1247" w:type="dxa"/>
            <w:vAlign w:val="center"/>
          </w:tcPr>
          <w:p w14:paraId="3B08732F" w14:textId="5065B686" w:rsidR="002E1907" w:rsidRPr="001455DC" w:rsidRDefault="002E1907" w:rsidP="00EC773D">
            <w:pPr>
              <w:pStyle w:val="a7"/>
              <w:jc w:val="right"/>
            </w:pPr>
            <w:r w:rsidRPr="001455DC">
              <w:t>(B.3)</w:t>
            </w:r>
          </w:p>
        </w:tc>
      </w:tr>
    </w:tbl>
    <w:p w14:paraId="248E9AC8" w14:textId="77777777" w:rsidR="004E22C1" w:rsidRPr="001455DC" w:rsidRDefault="004E22C1" w:rsidP="002E1907">
      <w:pPr>
        <w:pStyle w:val="a7"/>
      </w:pPr>
      <w:r w:rsidRPr="001455DC">
        <w:t xml:space="preserve">where </w:t>
      </w:r>
      <w:r w:rsidRPr="001455DC">
        <w:rPr>
          <w:rStyle w:val="CCMCvariableitalic"/>
        </w:rPr>
        <w:t>β</w:t>
      </w:r>
      <w:r w:rsidRPr="001455DC">
        <w:rPr>
          <w:rStyle w:val="CCMCvariablesubscript"/>
        </w:rPr>
        <w:t>cc</w:t>
      </w:r>
      <w:r w:rsidRPr="001455DC">
        <w:t xml:space="preserve"> follows from Formula (B.2) and the values for </w:t>
      </w:r>
      <w:r w:rsidRPr="001455DC">
        <w:rPr>
          <w:rStyle w:val="CCMCvariableitalic"/>
        </w:rPr>
        <w:t>f</w:t>
      </w:r>
      <w:r w:rsidRPr="001455DC">
        <w:rPr>
          <w:rStyle w:val="CCMCvariablesubscript"/>
        </w:rPr>
        <w:t>ctm</w:t>
      </w:r>
      <w:r w:rsidRPr="001455DC">
        <w:t xml:space="preserve"> are given in Table 5.1.</w:t>
      </w:r>
    </w:p>
    <w:p w14:paraId="0DD49D9D" w14:textId="77777777" w:rsidR="004E22C1" w:rsidRPr="001455DC" w:rsidRDefault="004E22C1" w:rsidP="002E1907">
      <w:pPr>
        <w:pStyle w:val="a7"/>
        <w:rPr>
          <w:iCs/>
        </w:rPr>
      </w:pPr>
      <w:r w:rsidRPr="001455DC">
        <w:t>(3)</w:t>
      </w:r>
      <w:r w:rsidRPr="001455DC">
        <w:tab/>
        <w:t>Where the development of the tensile strength with time is important, tests should be carried out considering the exposure conditions and the dimensions of the structural member.</w:t>
      </w:r>
    </w:p>
    <w:p w14:paraId="4E124552" w14:textId="77777777" w:rsidR="002E1907" w:rsidRPr="001455DC" w:rsidRDefault="004E22C1" w:rsidP="00116AE2">
      <w:pPr>
        <w:pStyle w:val="a7"/>
        <w:keepNext/>
      </w:pPr>
      <w:r w:rsidRPr="001455DC">
        <w:t>(4)</w:t>
      </w:r>
      <w:r w:rsidRPr="001455DC">
        <w:tab/>
        <w:t>The development of the modulus of elasticity with time may be estimated by:</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E1907" w:rsidRPr="001455DC" w14:paraId="2852A744" w14:textId="77777777" w:rsidTr="00EC773D">
        <w:trPr>
          <w:cantSplit/>
        </w:trPr>
        <w:tc>
          <w:tcPr>
            <w:tcW w:w="8505" w:type="dxa"/>
            <w:vAlign w:val="center"/>
          </w:tcPr>
          <w:p w14:paraId="2DFA4B42" w14:textId="4FA6A153" w:rsidR="002E1907" w:rsidRPr="001455DC" w:rsidRDefault="002E1907" w:rsidP="00EC773D">
            <w:pPr>
              <w:pStyle w:val="Formula"/>
              <w:jc w:val="left"/>
            </w:pPr>
            <w:r w:rsidRPr="001455DC">
              <w:rPr>
                <w:rStyle w:val="CCMCvariableitalic"/>
              </w:rPr>
              <w:t>E</w:t>
            </w:r>
            <w:r w:rsidRPr="001455DC">
              <w:rPr>
                <w:rStyle w:val="CCMCvariablesubscript"/>
              </w:rPr>
              <w:t>cm</w:t>
            </w:r>
            <w:r w:rsidRPr="001455DC">
              <w:t>(</w:t>
            </w:r>
            <w:r w:rsidRPr="001455DC">
              <w:rPr>
                <w:rStyle w:val="CCMCvariableitalic"/>
              </w:rPr>
              <w:t>t</w:t>
            </w:r>
            <w:r w:rsidRPr="001455DC">
              <w:t xml:space="preserve">) </w:t>
            </w:r>
            <w:r w:rsidR="00EC27D2" w:rsidRPr="001455DC">
              <w:rPr>
                <w:rFonts w:ascii="Cambria Math" w:hAnsi="Cambria Math"/>
              </w:rPr>
              <w:t>=</w:t>
            </w:r>
            <w:r w:rsidRPr="001455DC">
              <w:t xml:space="preserve"> </w:t>
            </w:r>
            <w:r w:rsidRPr="001455DC">
              <w:rPr>
                <w:rStyle w:val="CCMCvariableitalic"/>
              </w:rPr>
              <w:t>β</w:t>
            </w:r>
            <w:r w:rsidRPr="001455DC">
              <w:rPr>
                <w:rStyle w:val="CCMCvariablesubscript"/>
              </w:rPr>
              <w:t>cc</w:t>
            </w:r>
            <w:r w:rsidRPr="001455DC">
              <w:rPr>
                <w:rStyle w:val="CCMCvariablesuperscript"/>
              </w:rPr>
              <w:t>1/3</w:t>
            </w:r>
            <w:r w:rsidRPr="001455DC">
              <w:rPr>
                <w:rStyle w:val="CCMCvariableitalic"/>
              </w:rPr>
              <w:t>E</w:t>
            </w:r>
            <w:r w:rsidRPr="001455DC">
              <w:rPr>
                <w:rStyle w:val="CCMCvariablesubscript"/>
              </w:rPr>
              <w:t>cm</w:t>
            </w:r>
          </w:p>
        </w:tc>
        <w:tc>
          <w:tcPr>
            <w:tcW w:w="1247" w:type="dxa"/>
            <w:vAlign w:val="center"/>
          </w:tcPr>
          <w:p w14:paraId="7625EF1A" w14:textId="2E0BC1A4" w:rsidR="002E1907" w:rsidRPr="001455DC" w:rsidRDefault="002E1907" w:rsidP="00EC773D">
            <w:pPr>
              <w:pStyle w:val="a7"/>
              <w:jc w:val="right"/>
            </w:pPr>
            <w:r w:rsidRPr="001455DC">
              <w:t>(B.4)</w:t>
            </w:r>
          </w:p>
        </w:tc>
      </w:tr>
    </w:tbl>
    <w:p w14:paraId="6485C46A" w14:textId="77777777" w:rsidR="004E22C1" w:rsidRPr="001455DC" w:rsidRDefault="004E22C1" w:rsidP="002E1907">
      <w:pPr>
        <w:pStyle w:val="a7"/>
      </w:pPr>
      <w:r w:rsidRPr="001455DC">
        <w:t xml:space="preserve">where </w:t>
      </w:r>
      <w:r w:rsidRPr="001455DC">
        <w:rPr>
          <w:rStyle w:val="CCMCvariableitalic"/>
        </w:rPr>
        <w:t>β</w:t>
      </w:r>
      <w:r w:rsidRPr="001455DC">
        <w:rPr>
          <w:rStyle w:val="CCMCvariablesubscript"/>
        </w:rPr>
        <w:t>cc</w:t>
      </w:r>
      <w:r w:rsidRPr="001455DC">
        <w:t xml:space="preserve"> follows from Formula (B.2) and </w:t>
      </w:r>
      <w:r w:rsidRPr="001455DC">
        <w:rPr>
          <w:rStyle w:val="CCMCvariableitalic"/>
        </w:rPr>
        <w:t>E</w:t>
      </w:r>
      <w:r w:rsidRPr="001455DC">
        <w:rPr>
          <w:rStyle w:val="CCMCvariablesubscript"/>
        </w:rPr>
        <w:t>cm</w:t>
      </w:r>
      <w:r w:rsidRPr="001455DC">
        <w:t xml:space="preserve"> from Formula (5.1).</w:t>
      </w:r>
    </w:p>
    <w:p w14:paraId="7ACD14C2" w14:textId="01DCC7FC" w:rsidR="004E22C1" w:rsidRPr="001455DC" w:rsidRDefault="004E22C1" w:rsidP="00082680">
      <w:pPr>
        <w:pStyle w:val="a2"/>
      </w:pPr>
      <w:bookmarkStart w:id="1315" w:name="_Ref477695215"/>
      <w:bookmarkStart w:id="1316" w:name="_Toc52820129"/>
      <w:bookmarkStart w:id="1317" w:name="_Toc54337136"/>
      <w:bookmarkStart w:id="1318" w:name="_Toc54337533"/>
      <w:bookmarkStart w:id="1319" w:name="_Toc54338185"/>
      <w:bookmarkStart w:id="1320" w:name="_Toc67565523"/>
      <w:r w:rsidRPr="001455DC">
        <w:t>Basic formulae for determining the creep coefficient</w:t>
      </w:r>
      <w:bookmarkEnd w:id="1315"/>
      <w:bookmarkEnd w:id="1316"/>
      <w:bookmarkEnd w:id="1317"/>
      <w:bookmarkEnd w:id="1318"/>
      <w:bookmarkEnd w:id="1319"/>
      <w:bookmarkEnd w:id="1320"/>
    </w:p>
    <w:p w14:paraId="4B4FF0D8" w14:textId="60CCB499" w:rsidR="002E1907" w:rsidRPr="001455DC" w:rsidRDefault="004E22C1" w:rsidP="00116AE2">
      <w:pPr>
        <w:pStyle w:val="a7"/>
        <w:keepNext/>
      </w:pPr>
      <w:r w:rsidRPr="001455DC">
        <w:t>(1)</w:t>
      </w:r>
      <w:r w:rsidRPr="001455DC">
        <w:tab/>
        <w:t xml:space="preserve">The total mean creep coefficient </w:t>
      </w:r>
      <w:r w:rsidRPr="001455DC">
        <w:rPr>
          <w:rStyle w:val="CCMCvariableitalic"/>
        </w:rPr>
        <w:t>φ(t</w:t>
      </w:r>
      <w:r w:rsidRPr="001455DC">
        <w:t>,</w:t>
      </w:r>
      <w:r w:rsidRPr="001455DC">
        <w:rPr>
          <w:rStyle w:val="CCMCvariableitalic"/>
        </w:rPr>
        <w:t>t</w:t>
      </w:r>
      <w:r w:rsidRPr="001455DC">
        <w:rPr>
          <w:rStyle w:val="CCMCvariablesubscript"/>
        </w:rPr>
        <w:t>0</w:t>
      </w:r>
      <w:r w:rsidRPr="001455DC">
        <w:t xml:space="preserve">) may be calculated from </w:t>
      </w:r>
      <w:r w:rsidRPr="001455DC">
        <w:rPr>
          <w:rFonts w:eastAsiaTheme="minorHAnsi"/>
        </w:rPr>
        <w:t xml:space="preserve">Formula (B.5). For characteristic values of </w:t>
      </w:r>
      <w:r w:rsidR="000E40D7" w:rsidRPr="001455DC">
        <w:rPr>
          <w:rFonts w:eastAsiaTheme="minorHAnsi"/>
        </w:rPr>
        <w:t xml:space="preserve">the </w:t>
      </w:r>
      <w:r w:rsidRPr="001455DC">
        <w:rPr>
          <w:rFonts w:eastAsiaTheme="minorHAnsi"/>
        </w:rPr>
        <w:t>creep coefficient, see (8).</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E1907" w:rsidRPr="001455DC" w14:paraId="0435BC98" w14:textId="77777777" w:rsidTr="00EC773D">
        <w:trPr>
          <w:cantSplit/>
        </w:trPr>
        <w:tc>
          <w:tcPr>
            <w:tcW w:w="8505" w:type="dxa"/>
            <w:vAlign w:val="center"/>
          </w:tcPr>
          <w:p w14:paraId="54D76935" w14:textId="7CB74DD3" w:rsidR="002E1907" w:rsidRPr="001455DC" w:rsidRDefault="002E1907" w:rsidP="00EC773D">
            <w:pPr>
              <w:pStyle w:val="Formula"/>
              <w:jc w:val="left"/>
            </w:pPr>
            <m:oMathPara>
              <m:oMathParaPr>
                <m:jc m:val="left"/>
              </m:oMathParaPr>
              <m:oMath>
                <m:r>
                  <w:rPr>
                    <w:rFonts w:ascii="Cambria Math" w:hAnsi="Cambria Math"/>
                  </w:rPr>
                  <m:t>φ</m:t>
                </m:r>
                <m:d>
                  <m:dPr>
                    <m:sepChr m:val=""/>
                    <m:ctrlPr>
                      <w:rPr>
                        <w:rFonts w:ascii="Cambria Math" w:hAnsi="Cambria Math"/>
                      </w:rPr>
                    </m:ctrlPr>
                  </m:dPr>
                  <m:e>
                    <m:r>
                      <w:rPr>
                        <w:rFonts w:ascii="Cambria Math" w:hAnsi="Cambria Math"/>
                      </w:rPr>
                      <m:t>t</m:t>
                    </m:r>
                  </m:e>
                  <m:e>
                    <m:r>
                      <w:rPr>
                        <w:rFonts w:ascii="Cambria Math" w:hAnsi="Cambria Math"/>
                      </w:rPr>
                      <m:t>,</m:t>
                    </m:r>
                  </m:e>
                  <m:e>
                    <m:sSub>
                      <m:sSubPr>
                        <m:ctrlPr>
                          <w:rPr>
                            <w:rFonts w:ascii="Cambria Math" w:hAnsi="Cambria Math"/>
                          </w:rPr>
                        </m:ctrlPr>
                      </m:sSubPr>
                      <m:e>
                        <m:r>
                          <w:rPr>
                            <w:rFonts w:ascii="Cambria Math" w:hAnsi="Cambria Math"/>
                          </w:rPr>
                          <m:t>t</m:t>
                        </m:r>
                      </m:e>
                      <m:sub>
                        <m:r>
                          <w:rPr>
                            <w:rFonts w:ascii="Cambria Math" w:hAnsi="Cambria Math"/>
                          </w:rPr>
                          <m:t>0</m:t>
                        </m:r>
                      </m:sub>
                    </m:sSub>
                  </m:e>
                </m:d>
                <m:r>
                  <w:rPr>
                    <w:rFonts w:ascii="Cambria Math" w:hAnsi="Cambria Math"/>
                  </w:rPr>
                  <m:t>=</m:t>
                </m:r>
                <m:sSub>
                  <m:sSubPr>
                    <m:ctrlPr>
                      <w:rPr>
                        <w:rFonts w:ascii="Cambria Math" w:hAnsi="Cambria Math"/>
                      </w:rPr>
                    </m:ctrlPr>
                  </m:sSubPr>
                  <m:e>
                    <m:r>
                      <w:rPr>
                        <w:rFonts w:ascii="Cambria Math" w:hAnsi="Cambria Math"/>
                      </w:rPr>
                      <m:t>φ</m:t>
                    </m:r>
                  </m:e>
                  <m:sub>
                    <m:r>
                      <m:rPr>
                        <m:sty m:val="p"/>
                      </m:rPr>
                      <w:rPr>
                        <w:rFonts w:ascii="Cambria Math" w:hAnsi="Cambria Math"/>
                      </w:rPr>
                      <m:t>bc</m:t>
                    </m:r>
                  </m:sub>
                </m:sSub>
                <m:d>
                  <m:dPr>
                    <m:sepChr m:val=""/>
                    <m:ctrlPr>
                      <w:rPr>
                        <w:rFonts w:ascii="Cambria Math" w:hAnsi="Cambria Math"/>
                      </w:rPr>
                    </m:ctrlPr>
                  </m:dPr>
                  <m:e>
                    <m:r>
                      <w:rPr>
                        <w:rFonts w:ascii="Cambria Math" w:hAnsi="Cambria Math"/>
                      </w:rPr>
                      <m:t>t</m:t>
                    </m:r>
                  </m:e>
                  <m:e>
                    <m:r>
                      <w:rPr>
                        <w:rFonts w:ascii="Cambria Math" w:hAnsi="Cambria Math"/>
                      </w:rPr>
                      <m:t>,</m:t>
                    </m:r>
                  </m:e>
                  <m:e>
                    <m:sSub>
                      <m:sSubPr>
                        <m:ctrlPr>
                          <w:rPr>
                            <w:rFonts w:ascii="Cambria Math" w:hAnsi="Cambria Math"/>
                          </w:rPr>
                        </m:ctrlPr>
                      </m:sSubPr>
                      <m:e>
                        <m:r>
                          <w:rPr>
                            <w:rFonts w:ascii="Cambria Math" w:hAnsi="Cambria Math"/>
                          </w:rPr>
                          <m:t>t</m:t>
                        </m:r>
                      </m:e>
                      <m:sub>
                        <m:r>
                          <w:rPr>
                            <w:rFonts w:ascii="Cambria Math" w:hAnsi="Cambria Math"/>
                          </w:rPr>
                          <m:t>0</m:t>
                        </m:r>
                      </m:sub>
                    </m:sSub>
                  </m:e>
                </m:d>
                <m:r>
                  <w:rPr>
                    <w:rFonts w:ascii="Cambria Math" w:hAnsi="Cambria Math"/>
                  </w:rPr>
                  <m:t>+</m:t>
                </m:r>
                <m:sSub>
                  <m:sSubPr>
                    <m:ctrlPr>
                      <w:rPr>
                        <w:rFonts w:ascii="Cambria Math" w:hAnsi="Cambria Math"/>
                      </w:rPr>
                    </m:ctrlPr>
                  </m:sSubPr>
                  <m:e>
                    <m:r>
                      <w:rPr>
                        <w:rFonts w:ascii="Cambria Math" w:hAnsi="Cambria Math"/>
                      </w:rPr>
                      <m:t>φ</m:t>
                    </m:r>
                  </m:e>
                  <m:sub>
                    <m:r>
                      <m:rPr>
                        <m:sty m:val="p"/>
                      </m:rPr>
                      <w:rPr>
                        <w:rFonts w:ascii="Cambria Math" w:hAnsi="Cambria Math"/>
                      </w:rPr>
                      <m:t>dc</m:t>
                    </m:r>
                  </m:sub>
                </m:sSub>
                <m:d>
                  <m:dPr>
                    <m:sepChr m:val=""/>
                    <m:ctrlPr>
                      <w:rPr>
                        <w:rFonts w:ascii="Cambria Math" w:hAnsi="Cambria Math"/>
                      </w:rPr>
                    </m:ctrlPr>
                  </m:dPr>
                  <m:e>
                    <m:r>
                      <w:rPr>
                        <w:rFonts w:ascii="Cambria Math" w:hAnsi="Cambria Math"/>
                      </w:rPr>
                      <m:t>t</m:t>
                    </m:r>
                  </m:e>
                  <m:e>
                    <m:r>
                      <w:rPr>
                        <w:rFonts w:ascii="Cambria Math" w:hAnsi="Cambria Math"/>
                      </w:rPr>
                      <m:t>,</m:t>
                    </m:r>
                  </m:e>
                  <m:e>
                    <m:sSub>
                      <m:sSubPr>
                        <m:ctrlPr>
                          <w:rPr>
                            <w:rFonts w:ascii="Cambria Math" w:hAnsi="Cambria Math"/>
                          </w:rPr>
                        </m:ctrlPr>
                      </m:sSubPr>
                      <m:e>
                        <m:r>
                          <w:rPr>
                            <w:rFonts w:ascii="Cambria Math" w:hAnsi="Cambria Math"/>
                          </w:rPr>
                          <m:t>t</m:t>
                        </m:r>
                      </m:e>
                      <m:sub>
                        <m:r>
                          <w:rPr>
                            <w:rFonts w:ascii="Cambria Math" w:hAnsi="Cambria Math"/>
                          </w:rPr>
                          <m:t>0</m:t>
                        </m:r>
                      </m:sub>
                    </m:sSub>
                  </m:e>
                </m:d>
              </m:oMath>
            </m:oMathPara>
          </w:p>
        </w:tc>
        <w:tc>
          <w:tcPr>
            <w:tcW w:w="1247" w:type="dxa"/>
            <w:vAlign w:val="center"/>
          </w:tcPr>
          <w:p w14:paraId="66EBEED1" w14:textId="45B323F9" w:rsidR="002E1907" w:rsidRPr="001455DC" w:rsidRDefault="002E1907" w:rsidP="00EC773D">
            <w:pPr>
              <w:pStyle w:val="a7"/>
              <w:jc w:val="right"/>
            </w:pPr>
            <w:r w:rsidRPr="001455DC">
              <w:t>(B.5)</w:t>
            </w:r>
          </w:p>
        </w:tc>
      </w:tr>
    </w:tbl>
    <w:p w14:paraId="634D7D7B" w14:textId="319EEFBE" w:rsidR="00EC773D" w:rsidRPr="001455DC" w:rsidRDefault="00EC773D"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1134"/>
        <w:gridCol w:w="8278"/>
      </w:tblGrid>
      <w:tr w:rsidR="00EC773D" w:rsidRPr="001455DC" w14:paraId="50E70239" w14:textId="77777777" w:rsidTr="00EC773D">
        <w:trPr>
          <w:cantSplit/>
        </w:trPr>
        <w:tc>
          <w:tcPr>
            <w:tcW w:w="1134" w:type="dxa"/>
          </w:tcPr>
          <w:p w14:paraId="2ED3CEE5" w14:textId="4D4AF984" w:rsidR="00EC773D" w:rsidRPr="001455DC" w:rsidRDefault="00EC773D" w:rsidP="00EC773D">
            <w:pPr>
              <w:pStyle w:val="Tablebody"/>
            </w:pPr>
            <w:r w:rsidRPr="001455DC">
              <w:rPr>
                <w:rStyle w:val="CCMCvariableitalic"/>
              </w:rPr>
              <w:t>φ</w:t>
            </w:r>
            <w:r w:rsidRPr="001455DC">
              <w:rPr>
                <w:rStyle w:val="CCMCvariablesubscript"/>
              </w:rPr>
              <w:t>bc</w:t>
            </w:r>
            <w:r w:rsidRPr="001455DC">
              <w:t xml:space="preserve"> (</w:t>
            </w:r>
            <w:r w:rsidRPr="001455DC">
              <w:rPr>
                <w:rStyle w:val="CCMCvariableitalic"/>
              </w:rPr>
              <w:t>t</w:t>
            </w:r>
            <w:r w:rsidRPr="001455DC">
              <w:t>,</w:t>
            </w:r>
            <w:r w:rsidRPr="001455DC">
              <w:rPr>
                <w:rStyle w:val="CCMCvariableitalic"/>
              </w:rPr>
              <w:t>t</w:t>
            </w:r>
            <w:r w:rsidRPr="001455DC">
              <w:rPr>
                <w:rStyle w:val="CCMCvariablesubscript"/>
              </w:rPr>
              <w:t>0</w:t>
            </w:r>
            <w:r w:rsidRPr="001455DC">
              <w:t>)</w:t>
            </w:r>
          </w:p>
        </w:tc>
        <w:tc>
          <w:tcPr>
            <w:tcW w:w="8278" w:type="dxa"/>
          </w:tcPr>
          <w:p w14:paraId="0EB500A9" w14:textId="7CA2D379" w:rsidR="00EC773D" w:rsidRPr="001455DC" w:rsidRDefault="00EC773D" w:rsidP="00EC773D">
            <w:pPr>
              <w:pStyle w:val="Tablebody"/>
            </w:pPr>
            <w:r w:rsidRPr="001455DC">
              <w:t>is the basic creep coefficient, Formula (B.6);</w:t>
            </w:r>
          </w:p>
        </w:tc>
      </w:tr>
      <w:tr w:rsidR="00EC773D" w:rsidRPr="001455DC" w14:paraId="186C5E1E" w14:textId="77777777" w:rsidTr="00EC773D">
        <w:trPr>
          <w:cantSplit/>
        </w:trPr>
        <w:tc>
          <w:tcPr>
            <w:tcW w:w="1134" w:type="dxa"/>
          </w:tcPr>
          <w:p w14:paraId="6DE5CD7F" w14:textId="343D41BB" w:rsidR="00EC773D" w:rsidRPr="001455DC" w:rsidRDefault="00EC773D" w:rsidP="00EC773D">
            <w:pPr>
              <w:pStyle w:val="Tablebody"/>
            </w:pPr>
            <w:r w:rsidRPr="001455DC">
              <w:rPr>
                <w:rStyle w:val="CCMCvariableitalic"/>
              </w:rPr>
              <w:t>φ</w:t>
            </w:r>
            <w:r w:rsidRPr="001455DC">
              <w:rPr>
                <w:rStyle w:val="CCMCvariablesubscript"/>
              </w:rPr>
              <w:t>dc</w:t>
            </w:r>
            <w:r w:rsidRPr="001455DC">
              <w:t xml:space="preserve"> (</w:t>
            </w:r>
            <w:r w:rsidRPr="001455DC">
              <w:rPr>
                <w:rStyle w:val="CCMCvariableitalic"/>
              </w:rPr>
              <w:t>t</w:t>
            </w:r>
            <w:r w:rsidRPr="001455DC">
              <w:t>,</w:t>
            </w:r>
            <w:r w:rsidRPr="001455DC">
              <w:rPr>
                <w:rStyle w:val="CCMCvariableitalic"/>
              </w:rPr>
              <w:t>t</w:t>
            </w:r>
            <w:r w:rsidRPr="001455DC">
              <w:rPr>
                <w:rStyle w:val="CCMCvariablesubscript"/>
              </w:rPr>
              <w:t>0</w:t>
            </w:r>
            <w:r w:rsidRPr="001455DC">
              <w:t>)</w:t>
            </w:r>
          </w:p>
        </w:tc>
        <w:tc>
          <w:tcPr>
            <w:tcW w:w="8278" w:type="dxa"/>
          </w:tcPr>
          <w:p w14:paraId="24096B76" w14:textId="38671BAD" w:rsidR="00EC773D" w:rsidRPr="001455DC" w:rsidRDefault="00EC773D" w:rsidP="00EC773D">
            <w:pPr>
              <w:pStyle w:val="Tablebody"/>
            </w:pPr>
            <w:r w:rsidRPr="001455DC">
              <w:t>is the drying creep coefficient, Formula (B.9);</w:t>
            </w:r>
          </w:p>
        </w:tc>
      </w:tr>
      <w:tr w:rsidR="00EC773D" w:rsidRPr="001455DC" w14:paraId="59299134" w14:textId="77777777" w:rsidTr="00EC773D">
        <w:trPr>
          <w:cantSplit/>
        </w:trPr>
        <w:tc>
          <w:tcPr>
            <w:tcW w:w="1134" w:type="dxa"/>
          </w:tcPr>
          <w:p w14:paraId="192593EF" w14:textId="4BF381AA" w:rsidR="00EC773D" w:rsidRPr="001455DC" w:rsidRDefault="00EC773D" w:rsidP="00EC773D">
            <w:pPr>
              <w:pStyle w:val="Tablebody"/>
            </w:pPr>
            <w:r w:rsidRPr="001455DC">
              <w:rPr>
                <w:rStyle w:val="CCMCvariableitalic"/>
              </w:rPr>
              <w:t>t</w:t>
            </w:r>
          </w:p>
        </w:tc>
        <w:tc>
          <w:tcPr>
            <w:tcW w:w="8278" w:type="dxa"/>
          </w:tcPr>
          <w:p w14:paraId="51A8F0C5" w14:textId="21C8B772" w:rsidR="00EC773D" w:rsidRPr="001455DC" w:rsidRDefault="00EC773D" w:rsidP="00EC773D">
            <w:pPr>
              <w:pStyle w:val="Tablebody"/>
            </w:pPr>
            <w:r w:rsidRPr="001455DC">
              <w:t>is the age of concrete in days at the moment considered;</w:t>
            </w:r>
          </w:p>
        </w:tc>
      </w:tr>
      <w:tr w:rsidR="00EC773D" w:rsidRPr="001455DC" w14:paraId="459A9216" w14:textId="77777777" w:rsidTr="00EC773D">
        <w:trPr>
          <w:cantSplit/>
        </w:trPr>
        <w:tc>
          <w:tcPr>
            <w:tcW w:w="1134" w:type="dxa"/>
          </w:tcPr>
          <w:p w14:paraId="40B6AD77" w14:textId="37C9E5E8" w:rsidR="00EC773D" w:rsidRPr="001455DC" w:rsidRDefault="00EC773D" w:rsidP="00EC773D">
            <w:pPr>
              <w:pStyle w:val="Tablebody"/>
            </w:pPr>
            <w:r w:rsidRPr="001455DC">
              <w:rPr>
                <w:rStyle w:val="CCMCvariableitalic"/>
              </w:rPr>
              <w:t>t</w:t>
            </w:r>
            <w:r w:rsidRPr="001455DC">
              <w:rPr>
                <w:rStyle w:val="CCMCvariablesubscript"/>
              </w:rPr>
              <w:t>0</w:t>
            </w:r>
          </w:p>
        </w:tc>
        <w:tc>
          <w:tcPr>
            <w:tcW w:w="8278" w:type="dxa"/>
          </w:tcPr>
          <w:p w14:paraId="3B299735" w14:textId="60D24D60" w:rsidR="00EC773D" w:rsidRPr="001455DC" w:rsidRDefault="00EC773D">
            <w:pPr>
              <w:pStyle w:val="Tablebody"/>
            </w:pPr>
            <w:r w:rsidRPr="001455DC">
              <w:t>is the age of concrete at loading in days adjusted according to Formulae (B.17).</w:t>
            </w:r>
          </w:p>
        </w:tc>
      </w:tr>
    </w:tbl>
    <w:p w14:paraId="0E528CFD" w14:textId="77777777" w:rsidR="002E1907" w:rsidRPr="001455DC" w:rsidRDefault="004E22C1" w:rsidP="00116AE2">
      <w:pPr>
        <w:pStyle w:val="a7"/>
        <w:keepNext/>
      </w:pPr>
      <w:r w:rsidRPr="001455DC">
        <w:t>(2)</w:t>
      </w:r>
      <w:r w:rsidRPr="001455DC">
        <w:tab/>
        <w:t xml:space="preserve">The basic creep coefficient </w:t>
      </w:r>
      <w:r w:rsidRPr="001455DC">
        <w:rPr>
          <w:rStyle w:val="CCMCvariableitalic"/>
        </w:rPr>
        <w:t>φ</w:t>
      </w:r>
      <w:r w:rsidRPr="001455DC">
        <w:rPr>
          <w:rStyle w:val="CCMCvariablesubscript"/>
        </w:rPr>
        <w:t>bc</w:t>
      </w:r>
      <w:r w:rsidRPr="001455DC">
        <w:rPr>
          <w:rStyle w:val="CCMCvariableitalic"/>
        </w:rPr>
        <w:t> </w:t>
      </w:r>
      <w:r w:rsidRPr="001455DC">
        <w:t>(</w:t>
      </w:r>
      <w:r w:rsidRPr="001455DC">
        <w:rPr>
          <w:rStyle w:val="CCMCvariableitalic"/>
        </w:rPr>
        <w:t>t</w:t>
      </w:r>
      <w:r w:rsidRPr="001455DC">
        <w:t>,</w:t>
      </w:r>
      <w:r w:rsidRPr="001455DC">
        <w:rPr>
          <w:rStyle w:val="CCMCvariableitalic"/>
        </w:rPr>
        <w:t>t</w:t>
      </w:r>
      <w:r w:rsidRPr="001455DC">
        <w:rPr>
          <w:rStyle w:val="CCMCvariablesubscript"/>
        </w:rPr>
        <w:t>0</w:t>
      </w:r>
      <w:r w:rsidRPr="001455DC">
        <w:t>) may be estimated from:</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E1907" w:rsidRPr="001455DC" w14:paraId="0E086386" w14:textId="77777777" w:rsidTr="00EC773D">
        <w:trPr>
          <w:cantSplit/>
        </w:trPr>
        <w:tc>
          <w:tcPr>
            <w:tcW w:w="8505" w:type="dxa"/>
            <w:vAlign w:val="center"/>
          </w:tcPr>
          <w:p w14:paraId="0FF76C6D" w14:textId="2E1B54B8" w:rsidR="002E1907" w:rsidRPr="001455DC" w:rsidRDefault="00231E33" w:rsidP="00EC773D">
            <w:pPr>
              <w:pStyle w:val="Formula"/>
              <w:jc w:val="left"/>
            </w:pPr>
            <m:oMathPara>
              <m:oMathParaPr>
                <m:jc m:val="left"/>
              </m:oMathParaPr>
              <m:oMath>
                <m:sSub>
                  <m:sSubPr>
                    <m:ctrlPr>
                      <w:rPr>
                        <w:rFonts w:ascii="Cambria Math" w:hAnsi="Cambria Math"/>
                      </w:rPr>
                    </m:ctrlPr>
                  </m:sSubPr>
                  <m:e>
                    <m:r>
                      <w:rPr>
                        <w:rFonts w:ascii="Cambria Math" w:hAnsi="Cambria Math"/>
                      </w:rPr>
                      <m:t>φ</m:t>
                    </m:r>
                  </m:e>
                  <m:sub>
                    <m:r>
                      <m:rPr>
                        <m:sty m:val="p"/>
                      </m:rPr>
                      <w:rPr>
                        <w:rFonts w:ascii="Cambria Math" w:hAnsi="Cambria Math"/>
                      </w:rPr>
                      <m:t>bc</m:t>
                    </m:r>
                  </m:sub>
                </m:sSub>
                <m:r>
                  <w:rPr>
                    <w:rFonts w:ascii="Cambria Math" w:hAnsi="Cambria Math"/>
                  </w:rPr>
                  <m:t>(t,</m:t>
                </m:r>
                <m:sSub>
                  <m:sSubPr>
                    <m:ctrlPr>
                      <w:rPr>
                        <w:rFonts w:ascii="Cambria Math" w:hAnsi="Cambria Math"/>
                      </w:rPr>
                    </m:ctrlPr>
                  </m:sSubPr>
                  <m:e>
                    <m:r>
                      <w:rPr>
                        <w:rFonts w:ascii="Cambria Math" w:hAnsi="Cambria Math"/>
                      </w:rPr>
                      <m:t>t</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β</m:t>
                    </m:r>
                  </m:e>
                  <m:sub>
                    <m:sSub>
                      <m:sSubPr>
                        <m:ctrlPr>
                          <w:rPr>
                            <w:rFonts w:ascii="Cambria Math" w:hAnsi="Cambria Math"/>
                            <w:iCs/>
                          </w:rPr>
                        </m:ctrlPr>
                      </m:sSubPr>
                      <m:e>
                        <m:r>
                          <m:rPr>
                            <m:sty m:val="p"/>
                          </m:rPr>
                          <w:rPr>
                            <w:rFonts w:ascii="Cambria Math" w:hAnsi="Cambria Math"/>
                          </w:rPr>
                          <m:t>bc,</m:t>
                        </m:r>
                        <m:r>
                          <w:rPr>
                            <w:rFonts w:ascii="Cambria Math" w:hAnsi="Cambria Math"/>
                          </w:rPr>
                          <m:t>f</m:t>
                        </m:r>
                      </m:e>
                      <m:sub>
                        <m:r>
                          <m:rPr>
                            <m:sty m:val="p"/>
                          </m:rPr>
                          <w:rPr>
                            <w:rFonts w:ascii="Cambria Math" w:hAnsi="Cambria Math"/>
                          </w:rPr>
                          <m:t>cm</m:t>
                        </m:r>
                      </m:sub>
                    </m:sSub>
                  </m:sub>
                </m:sSub>
                <m:r>
                  <w:rPr>
                    <w:rFonts w:ascii="Cambria Math" w:hAnsi="Cambria Math"/>
                  </w:rPr>
                  <m:t>⋅</m:t>
                </m:r>
                <m:sSub>
                  <m:sSubPr>
                    <m:ctrlPr>
                      <w:rPr>
                        <w:rFonts w:ascii="Cambria Math" w:hAnsi="Cambria Math"/>
                      </w:rPr>
                    </m:ctrlPr>
                  </m:sSubPr>
                  <m:e>
                    <m:r>
                      <w:rPr>
                        <w:rFonts w:ascii="Cambria Math" w:hAnsi="Cambria Math"/>
                      </w:rPr>
                      <m:t>β</m:t>
                    </m:r>
                  </m:e>
                  <m:sub>
                    <m:sSub>
                      <m:sSubPr>
                        <m:ctrlPr>
                          <w:rPr>
                            <w:rFonts w:ascii="Cambria Math" w:hAnsi="Cambria Math"/>
                            <w:iCs/>
                          </w:rPr>
                        </m:ctrlPr>
                      </m:sSubPr>
                      <m:e>
                        <m:r>
                          <m:rPr>
                            <m:sty m:val="p"/>
                          </m:rPr>
                          <w:rPr>
                            <w:rFonts w:ascii="Cambria Math" w:hAnsi="Cambria Math"/>
                          </w:rPr>
                          <m:t>bc,</m:t>
                        </m:r>
                        <m:r>
                          <w:rPr>
                            <w:rFonts w:ascii="Cambria Math" w:hAnsi="Cambria Math"/>
                          </w:rPr>
                          <m:t>t-t</m:t>
                        </m:r>
                      </m:e>
                      <m:sub>
                        <m:r>
                          <m:rPr>
                            <m:sty m:val="p"/>
                          </m:rPr>
                          <w:rPr>
                            <w:rFonts w:ascii="Cambria Math" w:hAnsi="Cambria Math"/>
                          </w:rPr>
                          <m:t>0</m:t>
                        </m:r>
                      </m:sub>
                    </m:sSub>
                  </m:sub>
                </m:sSub>
              </m:oMath>
            </m:oMathPara>
          </w:p>
        </w:tc>
        <w:tc>
          <w:tcPr>
            <w:tcW w:w="1247" w:type="dxa"/>
            <w:vAlign w:val="center"/>
          </w:tcPr>
          <w:p w14:paraId="22075303" w14:textId="2EDD302B" w:rsidR="002E1907" w:rsidRPr="001455DC" w:rsidRDefault="00EC773D" w:rsidP="00EC773D">
            <w:pPr>
              <w:pStyle w:val="a7"/>
              <w:jc w:val="right"/>
            </w:pPr>
            <w:r w:rsidRPr="001455DC">
              <w:t>(B.6)</w:t>
            </w:r>
          </w:p>
        </w:tc>
      </w:tr>
    </w:tbl>
    <w:p w14:paraId="235202D1" w14:textId="2C5FF296" w:rsidR="00EC773D" w:rsidRPr="001455DC" w:rsidRDefault="00EC773D" w:rsidP="00A35599">
      <w:pPr>
        <w:pStyle w:val="a7"/>
        <w:keepNext/>
      </w:pPr>
      <w:r w:rsidRPr="001455DC">
        <w:t>where</w:t>
      </w:r>
    </w:p>
    <w:tbl>
      <w:tblPr>
        <w:tblW w:w="9413" w:type="dxa"/>
        <w:tblInd w:w="397" w:type="dxa"/>
        <w:tblLayout w:type="fixed"/>
        <w:tblCellMar>
          <w:left w:w="28" w:type="dxa"/>
          <w:right w:w="28" w:type="dxa"/>
        </w:tblCellMar>
        <w:tblLook w:val="04A0" w:firstRow="1" w:lastRow="0" w:firstColumn="1" w:lastColumn="0" w:noHBand="0" w:noVBand="1"/>
      </w:tblPr>
      <w:tblGrid>
        <w:gridCol w:w="851"/>
        <w:gridCol w:w="7314"/>
        <w:gridCol w:w="1248"/>
      </w:tblGrid>
      <w:tr w:rsidR="00EC773D" w:rsidRPr="001455DC" w14:paraId="37F84053" w14:textId="77777777" w:rsidTr="00EC773D">
        <w:trPr>
          <w:cantSplit/>
        </w:trPr>
        <w:tc>
          <w:tcPr>
            <w:tcW w:w="851" w:type="dxa"/>
          </w:tcPr>
          <w:p w14:paraId="1C42C061" w14:textId="3D416DE5" w:rsidR="00EC773D" w:rsidRPr="001455DC" w:rsidRDefault="00231E33" w:rsidP="00EC773D">
            <w:pPr>
              <w:pStyle w:val="Tablebody"/>
            </w:pPr>
            <m:oMathPara>
              <m:oMathParaPr>
                <m:jc m:val="left"/>
              </m:oMathParaPr>
              <m:oMath>
                <m:sSub>
                  <m:sSubPr>
                    <m:ctrlPr>
                      <w:rPr>
                        <w:rFonts w:ascii="Cambria Math" w:hAnsi="Cambria Math"/>
                      </w:rPr>
                    </m:ctrlPr>
                  </m:sSubPr>
                  <m:e>
                    <m:r>
                      <w:rPr>
                        <w:rFonts w:ascii="Cambria Math" w:hAnsi="Cambria Math"/>
                      </w:rPr>
                      <m:t>β</m:t>
                    </m:r>
                  </m:e>
                  <m:sub>
                    <m:sSub>
                      <m:sSubPr>
                        <m:ctrlPr>
                          <w:rPr>
                            <w:rFonts w:ascii="Cambria Math" w:hAnsi="Cambria Math"/>
                            <w:iCs/>
                          </w:rPr>
                        </m:ctrlPr>
                      </m:sSubPr>
                      <m:e>
                        <m:r>
                          <m:rPr>
                            <m:sty m:val="p"/>
                          </m:rPr>
                          <w:rPr>
                            <w:rFonts w:ascii="Cambria Math" w:hAnsi="Cambria Math"/>
                          </w:rPr>
                          <m:t>bc,</m:t>
                        </m:r>
                        <m:r>
                          <w:rPr>
                            <w:rFonts w:ascii="Cambria Math" w:hAnsi="Cambria Math"/>
                          </w:rPr>
                          <m:t>f</m:t>
                        </m:r>
                      </m:e>
                      <m:sub>
                        <m:r>
                          <m:rPr>
                            <m:sty m:val="p"/>
                          </m:rPr>
                          <w:rPr>
                            <w:rFonts w:ascii="Cambria Math" w:hAnsi="Cambria Math"/>
                          </w:rPr>
                          <m:t>cm</m:t>
                        </m:r>
                      </m:sub>
                    </m:sSub>
                  </m:sub>
                </m:sSub>
              </m:oMath>
            </m:oMathPara>
          </w:p>
        </w:tc>
        <w:tc>
          <w:tcPr>
            <w:tcW w:w="8562" w:type="dxa"/>
            <w:gridSpan w:val="2"/>
          </w:tcPr>
          <w:p w14:paraId="47DB0269" w14:textId="30894218" w:rsidR="00EC773D" w:rsidRPr="001455DC" w:rsidRDefault="00EC773D" w:rsidP="00EC773D">
            <w:pPr>
              <w:pStyle w:val="Tablebody"/>
            </w:pPr>
            <w:r w:rsidRPr="001455DC">
              <w:t>is a function to describe the effect of concrete strength on basic creep, see Formula (B.7);</w:t>
            </w:r>
          </w:p>
        </w:tc>
      </w:tr>
      <w:tr w:rsidR="00EC773D" w:rsidRPr="001455DC" w14:paraId="44CB124E" w14:textId="77777777" w:rsidTr="00EC773D">
        <w:trPr>
          <w:cantSplit/>
        </w:trPr>
        <w:tc>
          <w:tcPr>
            <w:tcW w:w="851" w:type="dxa"/>
          </w:tcPr>
          <w:p w14:paraId="00C107CE" w14:textId="331707D7" w:rsidR="00EC773D" w:rsidRPr="001455DC" w:rsidRDefault="00231E33" w:rsidP="00EC773D">
            <w:pPr>
              <w:pStyle w:val="Tablebody"/>
            </w:pPr>
            <m:oMathPara>
              <m:oMathParaPr>
                <m:jc m:val="left"/>
              </m:oMathParaPr>
              <m:oMath>
                <m:sSub>
                  <m:sSubPr>
                    <m:ctrlPr>
                      <w:rPr>
                        <w:rFonts w:ascii="Cambria Math" w:hAnsi="Cambria Math"/>
                      </w:rPr>
                    </m:ctrlPr>
                  </m:sSubPr>
                  <m:e>
                    <m:r>
                      <w:rPr>
                        <w:rFonts w:ascii="Cambria Math" w:hAnsi="Cambria Math"/>
                      </w:rPr>
                      <m:t>β</m:t>
                    </m:r>
                  </m:e>
                  <m:sub>
                    <m:sSub>
                      <m:sSubPr>
                        <m:ctrlPr>
                          <w:rPr>
                            <w:rFonts w:ascii="Cambria Math" w:hAnsi="Cambria Math"/>
                            <w:iCs/>
                          </w:rPr>
                        </m:ctrlPr>
                      </m:sSubPr>
                      <m:e>
                        <m:r>
                          <m:rPr>
                            <m:sty m:val="p"/>
                          </m:rPr>
                          <w:rPr>
                            <w:rFonts w:ascii="Cambria Math" w:hAnsi="Cambria Math"/>
                          </w:rPr>
                          <m:t>bc,</m:t>
                        </m:r>
                        <m:r>
                          <w:rPr>
                            <w:rFonts w:ascii="Cambria Math" w:hAnsi="Cambria Math"/>
                          </w:rPr>
                          <m:t>t-t</m:t>
                        </m:r>
                      </m:e>
                      <m:sub>
                        <m:r>
                          <m:rPr>
                            <m:sty m:val="p"/>
                          </m:rPr>
                          <w:rPr>
                            <w:rFonts w:ascii="Cambria Math" w:hAnsi="Cambria Math"/>
                          </w:rPr>
                          <m:t>0</m:t>
                        </m:r>
                      </m:sub>
                    </m:sSub>
                  </m:sub>
                </m:sSub>
              </m:oMath>
            </m:oMathPara>
          </w:p>
        </w:tc>
        <w:tc>
          <w:tcPr>
            <w:tcW w:w="8562" w:type="dxa"/>
            <w:gridSpan w:val="2"/>
          </w:tcPr>
          <w:p w14:paraId="08552076" w14:textId="4EF61DDB" w:rsidR="00EC773D" w:rsidRPr="001455DC" w:rsidRDefault="00EC773D" w:rsidP="00EC773D">
            <w:pPr>
              <w:pStyle w:val="Tablebody"/>
            </w:pPr>
            <w:r w:rsidRPr="001455DC">
              <w:t>is a function to describe the time development of basic creep, see Formula (B.8)</w:t>
            </w:r>
          </w:p>
        </w:tc>
      </w:tr>
      <w:tr w:rsidR="00EC773D" w:rsidRPr="001455DC" w14:paraId="6E8A15D9" w14:textId="77777777" w:rsidTr="00EC773D">
        <w:trPr>
          <w:cantSplit/>
        </w:trPr>
        <w:tc>
          <w:tcPr>
            <w:tcW w:w="851" w:type="dxa"/>
          </w:tcPr>
          <w:p w14:paraId="20F8EEEF" w14:textId="11DC4666" w:rsidR="00EC773D" w:rsidRPr="001455DC" w:rsidRDefault="00EC773D" w:rsidP="00EC773D">
            <w:pPr>
              <w:pStyle w:val="Tablebody"/>
              <w:rPr>
                <w:rFonts w:eastAsia="Calibri" w:cs="Times New Roman"/>
              </w:rPr>
            </w:pPr>
            <w:r w:rsidRPr="001455DC">
              <w:rPr>
                <w:rFonts w:eastAsia="Calibri" w:cs="Times New Roman"/>
              </w:rPr>
              <w:t> </w:t>
            </w:r>
          </w:p>
        </w:tc>
        <w:tc>
          <w:tcPr>
            <w:tcW w:w="7314" w:type="dxa"/>
            <w:vAlign w:val="center"/>
          </w:tcPr>
          <w:p w14:paraId="676E2FFE" w14:textId="5DA6A224" w:rsidR="00EC773D" w:rsidRPr="001455DC" w:rsidRDefault="00231E33" w:rsidP="00EC773D">
            <w:pPr>
              <w:pStyle w:val="Tablebody"/>
              <w:jc w:val="left"/>
            </w:pPr>
            <m:oMathPara>
              <m:oMathParaPr>
                <m:jc m:val="left"/>
              </m:oMathParaPr>
              <m:oMath>
                <m:sSub>
                  <m:sSubPr>
                    <m:ctrlPr>
                      <w:rPr>
                        <w:rFonts w:ascii="Cambria Math" w:hAnsi="Cambria Math"/>
                      </w:rPr>
                    </m:ctrlPr>
                  </m:sSubPr>
                  <m:e>
                    <m:r>
                      <w:rPr>
                        <w:rFonts w:ascii="Cambria Math" w:hAnsi="Cambria Math"/>
                      </w:rPr>
                      <m:t>β</m:t>
                    </m:r>
                  </m:e>
                  <m:sub>
                    <m:sSub>
                      <m:sSubPr>
                        <m:ctrlPr>
                          <w:rPr>
                            <w:rFonts w:ascii="Cambria Math" w:hAnsi="Cambria Math"/>
                          </w:rPr>
                        </m:ctrlPr>
                      </m:sSubPr>
                      <m:e>
                        <m:r>
                          <m:rPr>
                            <m:sty m:val="p"/>
                          </m:rPr>
                          <w:rPr>
                            <w:rFonts w:ascii="Cambria Math" w:hAnsi="Cambria Math"/>
                          </w:rPr>
                          <m:t>bc</m:t>
                        </m:r>
                        <m:r>
                          <w:rPr>
                            <w:rFonts w:ascii="Cambria Math" w:hAnsi="Cambria Math"/>
                          </w:rPr>
                          <m:t>,f</m:t>
                        </m:r>
                      </m:e>
                      <m:sub>
                        <m:r>
                          <m:rPr>
                            <m:sty m:val="p"/>
                          </m:rPr>
                          <w:rPr>
                            <w:rFonts w:ascii="Cambria Math" w:hAnsi="Cambria Math"/>
                          </w:rPr>
                          <m:t>cm</m:t>
                        </m:r>
                      </m:sub>
                    </m:sSub>
                  </m:sub>
                </m:sSub>
                <m:r>
                  <w:rPr>
                    <w:rFonts w:ascii="Cambria Math" w:hAnsi="Cambria Math"/>
                  </w:rPr>
                  <m:t>=</m:t>
                </m:r>
                <m:f>
                  <m:fPr>
                    <m:ctrlPr>
                      <w:rPr>
                        <w:rFonts w:ascii="Cambria Math" w:hAnsi="Cambria Math"/>
                      </w:rPr>
                    </m:ctrlPr>
                  </m:fPr>
                  <m:num>
                    <m:r>
                      <w:rPr>
                        <w:rFonts w:ascii="Cambria Math" w:hAnsi="Cambria Math"/>
                      </w:rPr>
                      <m:t>1,8</m:t>
                    </m:r>
                  </m:num>
                  <m:den>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cm,28</m:t>
                                </m:r>
                              </m:sub>
                            </m:sSub>
                          </m:e>
                        </m:d>
                      </m:e>
                      <m:sup>
                        <m:r>
                          <w:rPr>
                            <w:rFonts w:ascii="Cambria Math" w:hAnsi="Cambria Math"/>
                          </w:rPr>
                          <m:t>0,7</m:t>
                        </m:r>
                      </m:sup>
                    </m:sSup>
                  </m:den>
                </m:f>
              </m:oMath>
            </m:oMathPara>
          </w:p>
        </w:tc>
        <w:tc>
          <w:tcPr>
            <w:tcW w:w="1247" w:type="dxa"/>
            <w:vAlign w:val="center"/>
          </w:tcPr>
          <w:p w14:paraId="08F30817" w14:textId="4F4BFEC3" w:rsidR="00EC773D" w:rsidRPr="001455DC" w:rsidRDefault="00EC773D" w:rsidP="00EC773D">
            <w:pPr>
              <w:pStyle w:val="Tablebody"/>
              <w:jc w:val="right"/>
            </w:pPr>
            <w:bookmarkStart w:id="1321" w:name="_Ref477695227"/>
            <w:r w:rsidRPr="001455DC">
              <w:t>(B.7)</w:t>
            </w:r>
            <w:bookmarkEnd w:id="1321"/>
          </w:p>
        </w:tc>
      </w:tr>
      <w:tr w:rsidR="00EC773D" w:rsidRPr="001455DC" w14:paraId="32AF3FA8" w14:textId="77777777" w:rsidTr="00EC773D">
        <w:trPr>
          <w:cantSplit/>
        </w:trPr>
        <w:tc>
          <w:tcPr>
            <w:tcW w:w="851" w:type="dxa"/>
          </w:tcPr>
          <w:p w14:paraId="327EFBE8" w14:textId="3C961301" w:rsidR="00EC773D" w:rsidRPr="001455DC" w:rsidRDefault="00EC773D" w:rsidP="00EC773D">
            <w:pPr>
              <w:pStyle w:val="Tablebody"/>
              <w:rPr>
                <w:rFonts w:eastAsia="Calibri" w:cs="Times New Roman"/>
              </w:rPr>
            </w:pPr>
            <w:r w:rsidRPr="001455DC">
              <w:rPr>
                <w:rFonts w:eastAsia="Calibri" w:cs="Times New Roman"/>
              </w:rPr>
              <w:t> </w:t>
            </w:r>
          </w:p>
        </w:tc>
        <w:tc>
          <w:tcPr>
            <w:tcW w:w="7314" w:type="dxa"/>
            <w:vAlign w:val="center"/>
          </w:tcPr>
          <w:p w14:paraId="055067FE" w14:textId="0087DBE6" w:rsidR="00EC773D" w:rsidRPr="001455DC" w:rsidRDefault="00231E33" w:rsidP="00EC773D">
            <w:pPr>
              <w:pStyle w:val="Tablebody"/>
              <w:jc w:val="left"/>
            </w:pPr>
            <m:oMathPara>
              <m:oMathParaPr>
                <m:jc m:val="left"/>
              </m:oMathParaPr>
              <m:oMath>
                <m:sSub>
                  <m:sSubPr>
                    <m:ctrlPr>
                      <w:rPr>
                        <w:rFonts w:ascii="Cambria Math" w:hAnsi="Cambria Math"/>
                      </w:rPr>
                    </m:ctrlPr>
                  </m:sSubPr>
                  <m:e>
                    <m:r>
                      <w:rPr>
                        <w:rFonts w:ascii="Cambria Math" w:hAnsi="Cambria Math"/>
                      </w:rPr>
                      <m:t>β</m:t>
                    </m:r>
                  </m:e>
                  <m:sub>
                    <m:sSub>
                      <m:sSubPr>
                        <m:ctrlPr>
                          <w:rPr>
                            <w:rFonts w:ascii="Cambria Math" w:hAnsi="Cambria Math"/>
                            <w:iCs/>
                          </w:rPr>
                        </m:ctrlPr>
                      </m:sSubPr>
                      <m:e>
                        <m:r>
                          <m:rPr>
                            <m:sty m:val="p"/>
                          </m:rPr>
                          <w:rPr>
                            <w:rFonts w:ascii="Cambria Math" w:hAnsi="Cambria Math"/>
                          </w:rPr>
                          <m:t>bc,</m:t>
                        </m:r>
                        <m:r>
                          <w:rPr>
                            <w:rFonts w:ascii="Cambria Math" w:hAnsi="Cambria Math"/>
                          </w:rPr>
                          <m:t>t-t</m:t>
                        </m:r>
                      </m:e>
                      <m:sub>
                        <m:r>
                          <m:rPr>
                            <m:sty m:val="p"/>
                          </m:rPr>
                          <w:rPr>
                            <w:rFonts w:ascii="Cambria Math" w:hAnsi="Cambria Math"/>
                          </w:rPr>
                          <m:t>0</m:t>
                        </m:r>
                      </m:sub>
                    </m:sSub>
                  </m:sub>
                </m:sSub>
                <m:r>
                  <w:rPr>
                    <w:rFonts w:ascii="Cambria Math" w:hAnsi="Cambria Math"/>
                  </w:rPr>
                  <m:t>=</m:t>
                </m:r>
                <m:r>
                  <m:rPr>
                    <m:sty m:val="p"/>
                  </m:rPr>
                  <w:rPr>
                    <w:rFonts w:ascii="Cambria Math" w:hAnsi="Cambria Math"/>
                  </w:rPr>
                  <m:t>ln</m:t>
                </m:r>
                <m:d>
                  <m:dPr>
                    <m:sepChr m:val=""/>
                    <m:ctrlPr>
                      <w:rPr>
                        <w:rFonts w:ascii="Cambria Math" w:hAnsi="Cambria Math"/>
                      </w:rPr>
                    </m:ctrlPr>
                  </m:dPr>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30</m:t>
                                </m:r>
                              </m:num>
                              <m:den>
                                <m:sSub>
                                  <m:sSubPr>
                                    <m:ctrlPr>
                                      <w:rPr>
                                        <w:rFonts w:ascii="Cambria Math" w:hAnsi="Cambria Math"/>
                                      </w:rPr>
                                    </m:ctrlPr>
                                  </m:sSubPr>
                                  <m:e>
                                    <m:r>
                                      <w:rPr>
                                        <w:rFonts w:ascii="Cambria Math" w:hAnsi="Cambria Math"/>
                                      </w:rPr>
                                      <m:t>t</m:t>
                                    </m:r>
                                  </m:e>
                                  <m:sub>
                                    <m:r>
                                      <m:rPr>
                                        <m:sty m:val="p"/>
                                      </m:rPr>
                                      <w:rPr>
                                        <w:rFonts w:ascii="Cambria Math" w:hAnsi="Cambria Math"/>
                                      </w:rPr>
                                      <m:t>0,adj</m:t>
                                    </m:r>
                                  </m:sub>
                                </m:sSub>
                              </m:den>
                            </m:f>
                            <m:r>
                              <w:rPr>
                                <w:rFonts w:ascii="Cambria Math" w:hAnsi="Cambria Math"/>
                              </w:rPr>
                              <m:t>+0,035</m:t>
                            </m:r>
                          </m:e>
                        </m:d>
                      </m:e>
                      <m:sup>
                        <m:r>
                          <w:rPr>
                            <w:rFonts w:ascii="Cambria Math" w:hAnsi="Cambria Math"/>
                          </w:rPr>
                          <m:t>2</m:t>
                        </m:r>
                      </m:sup>
                    </m:sSup>
                  </m:e>
                  <m:e>
                    <m:d>
                      <m:dPr>
                        <m:sepChr m:val=""/>
                        <m:ctrlPr>
                          <w:rPr>
                            <w:rFonts w:ascii="Cambria Math" w:hAnsi="Cambria Math"/>
                          </w:rPr>
                        </m:ctrlPr>
                      </m:dPr>
                      <m:e>
                        <m:r>
                          <w:rPr>
                            <w:rFonts w:ascii="Cambria Math" w:hAnsi="Cambria Math"/>
                          </w:rPr>
                          <m:t>t</m:t>
                        </m:r>
                      </m:e>
                      <m:e>
                        <m:r>
                          <w:rPr>
                            <w:rFonts w:ascii="Cambria Math" w:hAnsi="Cambria Math"/>
                          </w:rPr>
                          <m:t>-</m:t>
                        </m:r>
                      </m:e>
                      <m:e>
                        <m:sSub>
                          <m:sSubPr>
                            <m:ctrlPr>
                              <w:rPr>
                                <w:rFonts w:ascii="Cambria Math" w:hAnsi="Cambria Math"/>
                              </w:rPr>
                            </m:ctrlPr>
                          </m:sSubPr>
                          <m:e>
                            <m:r>
                              <w:rPr>
                                <w:rFonts w:ascii="Cambria Math" w:hAnsi="Cambria Math"/>
                              </w:rPr>
                              <m:t>t</m:t>
                            </m:r>
                          </m:e>
                          <m:sub>
                            <m:r>
                              <w:rPr>
                                <w:rFonts w:ascii="Cambria Math" w:hAnsi="Cambria Math"/>
                              </w:rPr>
                              <m:t>0</m:t>
                            </m:r>
                          </m:sub>
                        </m:sSub>
                      </m:e>
                    </m:d>
                  </m:e>
                  <m:e>
                    <m:r>
                      <w:rPr>
                        <w:rFonts w:ascii="Cambria Math" w:hAnsi="Cambria Math"/>
                      </w:rPr>
                      <m:t>+</m:t>
                    </m:r>
                  </m:e>
                  <m:e>
                    <m:r>
                      <w:rPr>
                        <w:rFonts w:ascii="Cambria Math" w:hAnsi="Cambria Math"/>
                      </w:rPr>
                      <m:t>1</m:t>
                    </m:r>
                  </m:e>
                </m:d>
              </m:oMath>
            </m:oMathPara>
          </w:p>
        </w:tc>
        <w:tc>
          <w:tcPr>
            <w:tcW w:w="1247" w:type="dxa"/>
            <w:vAlign w:val="center"/>
          </w:tcPr>
          <w:p w14:paraId="4C92B179" w14:textId="7B8841BC" w:rsidR="00EC773D" w:rsidRPr="001455DC" w:rsidRDefault="00EC773D" w:rsidP="00EC773D">
            <w:pPr>
              <w:pStyle w:val="Tablebody"/>
              <w:jc w:val="right"/>
            </w:pPr>
            <w:r w:rsidRPr="001455DC">
              <w:t>(B.8)</w:t>
            </w:r>
          </w:p>
        </w:tc>
      </w:tr>
      <w:tr w:rsidR="00EC773D" w:rsidRPr="001455DC" w14:paraId="57237663" w14:textId="77777777" w:rsidTr="00EC773D">
        <w:trPr>
          <w:cantSplit/>
        </w:trPr>
        <w:tc>
          <w:tcPr>
            <w:tcW w:w="851" w:type="dxa"/>
          </w:tcPr>
          <w:p w14:paraId="1D254E54" w14:textId="13999AEF" w:rsidR="00EC773D" w:rsidRPr="001455DC" w:rsidRDefault="00EC773D" w:rsidP="00EC773D">
            <w:pPr>
              <w:pStyle w:val="Tablebody"/>
              <w:rPr>
                <w:rFonts w:eastAsia="Calibri" w:cs="Times New Roman"/>
              </w:rPr>
            </w:pPr>
            <w:r w:rsidRPr="001455DC">
              <w:rPr>
                <w:rFonts w:eastAsia="Calibri" w:cs="Times New Roman"/>
              </w:rPr>
              <w:t> </w:t>
            </w:r>
          </w:p>
        </w:tc>
        <w:tc>
          <w:tcPr>
            <w:tcW w:w="8562" w:type="dxa"/>
            <w:gridSpan w:val="2"/>
          </w:tcPr>
          <w:p w14:paraId="3B3ABAF7" w14:textId="7EEF4C0A" w:rsidR="00EC773D" w:rsidRPr="001455DC" w:rsidRDefault="00EC773D">
            <w:pPr>
              <w:pStyle w:val="Tablebody"/>
            </w:pPr>
            <w:r w:rsidRPr="001455DC">
              <w:t xml:space="preserve">where </w:t>
            </w:r>
            <w:r w:rsidRPr="001455DC">
              <w:rPr>
                <w:rStyle w:val="CCMCvariableitalic"/>
              </w:rPr>
              <w:t>t</w:t>
            </w:r>
            <w:r w:rsidRPr="001455DC">
              <w:rPr>
                <w:rStyle w:val="CCMCvariablesubscript"/>
              </w:rPr>
              <w:t>0,adj</w:t>
            </w:r>
            <w:r w:rsidRPr="001455DC">
              <w:t xml:space="preserve"> is the adjusted age at loading in days according to Formula (B.</w:t>
            </w:r>
            <w:r w:rsidR="00943C97" w:rsidRPr="001455DC">
              <w:t>17</w:t>
            </w:r>
            <w:r w:rsidRPr="001455DC">
              <w:t>).</w:t>
            </w:r>
          </w:p>
        </w:tc>
      </w:tr>
    </w:tbl>
    <w:p w14:paraId="1E35A2D3" w14:textId="77777777" w:rsidR="002E1907" w:rsidRPr="001455DC" w:rsidRDefault="004E22C1" w:rsidP="00116AE2">
      <w:pPr>
        <w:pStyle w:val="a7"/>
        <w:keepNext/>
      </w:pPr>
      <w:r w:rsidRPr="001455DC">
        <w:t>(3)</w:t>
      </w:r>
      <w:r w:rsidRPr="001455DC">
        <w:tab/>
        <w:t xml:space="preserve">The drying creep coefficient </w:t>
      </w:r>
      <w:r w:rsidRPr="001455DC">
        <w:rPr>
          <w:rStyle w:val="CCMCvariableitalic"/>
        </w:rPr>
        <w:t>φ</w:t>
      </w:r>
      <w:r w:rsidRPr="001455DC">
        <w:rPr>
          <w:rStyle w:val="CCMCvariablesubscript"/>
        </w:rPr>
        <w:t>dc</w:t>
      </w:r>
      <w:r w:rsidRPr="001455DC">
        <w:t xml:space="preserve"> may be estimated from:</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E1907" w:rsidRPr="001455DC" w14:paraId="76370D5C" w14:textId="77777777" w:rsidTr="00EC773D">
        <w:trPr>
          <w:cantSplit/>
        </w:trPr>
        <w:tc>
          <w:tcPr>
            <w:tcW w:w="8505" w:type="dxa"/>
            <w:vAlign w:val="center"/>
          </w:tcPr>
          <w:p w14:paraId="0AB44934" w14:textId="332172F7" w:rsidR="002E1907" w:rsidRPr="001455DC" w:rsidRDefault="00231E33" w:rsidP="00EC773D">
            <w:pPr>
              <w:pStyle w:val="Formula"/>
              <w:jc w:val="left"/>
            </w:pPr>
            <m:oMathPara>
              <m:oMathParaPr>
                <m:jc m:val="left"/>
              </m:oMathParaPr>
              <m:oMath>
                <m:sSub>
                  <m:sSubPr>
                    <m:ctrlPr>
                      <w:rPr>
                        <w:rFonts w:ascii="Cambria Math" w:hAnsi="Cambria Math"/>
                      </w:rPr>
                    </m:ctrlPr>
                  </m:sSubPr>
                  <m:e>
                    <m:r>
                      <w:rPr>
                        <w:rFonts w:ascii="Cambria Math" w:hAnsi="Cambria Math"/>
                      </w:rPr>
                      <m:t>φ</m:t>
                    </m:r>
                  </m:e>
                  <m:sub>
                    <m:r>
                      <m:rPr>
                        <m:sty m:val="p"/>
                      </m:rPr>
                      <w:rPr>
                        <w:rFonts w:ascii="Cambria Math" w:hAnsi="Cambria Math"/>
                      </w:rPr>
                      <m:t>dc</m:t>
                    </m:r>
                  </m:sub>
                </m:sSub>
                <m:r>
                  <w:rPr>
                    <w:rFonts w:ascii="Cambria Math" w:hAnsi="Cambria Math"/>
                  </w:rPr>
                  <m:t>(t,</m:t>
                </m:r>
                <m:sSub>
                  <m:sSubPr>
                    <m:ctrlPr>
                      <w:rPr>
                        <w:rFonts w:ascii="Cambria Math" w:hAnsi="Cambria Math"/>
                      </w:rPr>
                    </m:ctrlPr>
                  </m:sSubPr>
                  <m:e>
                    <m:r>
                      <w:rPr>
                        <w:rFonts w:ascii="Cambria Math" w:hAnsi="Cambria Math"/>
                      </w:rPr>
                      <m:t>t</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β</m:t>
                    </m:r>
                  </m:e>
                  <m:sub>
                    <m:sSub>
                      <m:sSubPr>
                        <m:ctrlPr>
                          <w:rPr>
                            <w:rFonts w:ascii="Cambria Math" w:hAnsi="Cambria Math"/>
                          </w:rPr>
                        </m:ctrlPr>
                      </m:sSubPr>
                      <m:e>
                        <m:r>
                          <m:rPr>
                            <m:sty m:val="p"/>
                          </m:rPr>
                          <w:rPr>
                            <w:rFonts w:ascii="Cambria Math" w:hAnsi="Cambria Math"/>
                          </w:rPr>
                          <m:t>dc</m:t>
                        </m:r>
                        <m:r>
                          <w:rPr>
                            <w:rFonts w:ascii="Cambria Math" w:hAnsi="Cambria Math"/>
                          </w:rPr>
                          <m:t>,f</m:t>
                        </m:r>
                      </m:e>
                      <m:sub>
                        <m:r>
                          <m:rPr>
                            <m:sty m:val="p"/>
                          </m:rPr>
                          <w:rPr>
                            <w:rFonts w:ascii="Cambria Math" w:hAnsi="Cambria Math"/>
                          </w:rPr>
                          <m:t>cm</m:t>
                        </m:r>
                      </m:sub>
                    </m:sSub>
                  </m:sub>
                </m:sSub>
                <m: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dc,RH</m:t>
                    </m:r>
                  </m:sub>
                </m:sSub>
                <m:r>
                  <w:rPr>
                    <w:rFonts w:ascii="Cambria Math" w:hAnsi="Cambria Math"/>
                  </w:rPr>
                  <m:t>⋅</m:t>
                </m:r>
                <m:sSub>
                  <m:sSubPr>
                    <m:ctrlPr>
                      <w:rPr>
                        <w:rFonts w:ascii="Cambria Math" w:hAnsi="Cambria Math"/>
                      </w:rPr>
                    </m:ctrlPr>
                  </m:sSubPr>
                  <m:e>
                    <m:r>
                      <w:rPr>
                        <w:rFonts w:ascii="Cambria Math" w:hAnsi="Cambria Math"/>
                      </w:rPr>
                      <m:t>β</m:t>
                    </m:r>
                  </m:e>
                  <m:sub>
                    <m:sSub>
                      <m:sSubPr>
                        <m:ctrlPr>
                          <w:rPr>
                            <w:rFonts w:ascii="Cambria Math" w:hAnsi="Cambria Math"/>
                          </w:rPr>
                        </m:ctrlPr>
                      </m:sSubPr>
                      <m:e>
                        <m:r>
                          <m:rPr>
                            <m:sty m:val="p"/>
                          </m:rPr>
                          <w:rPr>
                            <w:rFonts w:ascii="Cambria Math" w:hAnsi="Cambria Math"/>
                          </w:rPr>
                          <m:t>dc</m:t>
                        </m:r>
                        <m:r>
                          <w:rPr>
                            <w:rFonts w:ascii="Cambria Math" w:hAnsi="Cambria Math"/>
                          </w:rPr>
                          <m:t>,t</m:t>
                        </m:r>
                      </m:e>
                      <m:sub>
                        <m:r>
                          <w:rPr>
                            <w:rFonts w:ascii="Cambria Math" w:hAnsi="Cambria Math"/>
                          </w:rPr>
                          <m:t>0</m:t>
                        </m:r>
                      </m:sub>
                    </m:sSub>
                  </m:sub>
                </m:sSub>
                <m:r>
                  <w:rPr>
                    <w:rFonts w:ascii="Cambria Math" w:hAnsi="Cambria Math"/>
                  </w:rPr>
                  <m:t>⋅</m:t>
                </m:r>
                <m:sSub>
                  <m:sSubPr>
                    <m:ctrlPr>
                      <w:rPr>
                        <w:rFonts w:ascii="Cambria Math" w:hAnsi="Cambria Math"/>
                      </w:rPr>
                    </m:ctrlPr>
                  </m:sSubPr>
                  <m:e>
                    <m:r>
                      <w:rPr>
                        <w:rFonts w:ascii="Cambria Math" w:hAnsi="Cambria Math"/>
                      </w:rPr>
                      <m:t>β</m:t>
                    </m:r>
                  </m:e>
                  <m:sub>
                    <m:sSub>
                      <m:sSubPr>
                        <m:ctrlPr>
                          <w:rPr>
                            <w:rFonts w:ascii="Cambria Math" w:hAnsi="Cambria Math"/>
                          </w:rPr>
                        </m:ctrlPr>
                      </m:sSubPr>
                      <m:e>
                        <m:r>
                          <m:rPr>
                            <m:sty m:val="p"/>
                          </m:rPr>
                          <w:rPr>
                            <w:rFonts w:ascii="Cambria Math" w:hAnsi="Cambria Math"/>
                          </w:rPr>
                          <m:t>dc</m:t>
                        </m:r>
                        <m:r>
                          <w:rPr>
                            <w:rFonts w:ascii="Cambria Math" w:hAnsi="Cambria Math"/>
                          </w:rPr>
                          <m:t>,t-t</m:t>
                        </m:r>
                      </m:e>
                      <m:sub>
                        <m:r>
                          <w:rPr>
                            <w:rFonts w:ascii="Cambria Math" w:hAnsi="Cambria Math"/>
                          </w:rPr>
                          <m:t>0</m:t>
                        </m:r>
                      </m:sub>
                    </m:sSub>
                  </m:sub>
                </m:sSub>
              </m:oMath>
            </m:oMathPara>
          </w:p>
        </w:tc>
        <w:tc>
          <w:tcPr>
            <w:tcW w:w="1247" w:type="dxa"/>
            <w:vAlign w:val="center"/>
          </w:tcPr>
          <w:p w14:paraId="41690D7B" w14:textId="61814A5C" w:rsidR="002E1907" w:rsidRPr="001455DC" w:rsidRDefault="00EC773D" w:rsidP="00EC773D">
            <w:pPr>
              <w:pStyle w:val="a7"/>
              <w:jc w:val="right"/>
            </w:pPr>
            <w:bookmarkStart w:id="1322" w:name="_Ref477691481"/>
            <w:r w:rsidRPr="001455DC">
              <w:t>(B.9)</w:t>
            </w:r>
            <w:bookmarkEnd w:id="1322"/>
          </w:p>
        </w:tc>
      </w:tr>
    </w:tbl>
    <w:p w14:paraId="6A0A40D4" w14:textId="3C6C722A" w:rsidR="00EC773D" w:rsidRPr="001455DC" w:rsidRDefault="00EC773D" w:rsidP="00A35599">
      <w:pPr>
        <w:pStyle w:val="a7"/>
        <w:keepNext/>
      </w:pPr>
      <w:r w:rsidRPr="001455DC">
        <w:t>where</w:t>
      </w:r>
    </w:p>
    <w:tbl>
      <w:tblPr>
        <w:tblW w:w="9413" w:type="dxa"/>
        <w:tblInd w:w="397" w:type="dxa"/>
        <w:tblLayout w:type="fixed"/>
        <w:tblCellMar>
          <w:left w:w="28" w:type="dxa"/>
          <w:right w:w="28" w:type="dxa"/>
        </w:tblCellMar>
        <w:tblLook w:val="04A0" w:firstRow="1" w:lastRow="0" w:firstColumn="1" w:lastColumn="0" w:noHBand="0" w:noVBand="1"/>
      </w:tblPr>
      <w:tblGrid>
        <w:gridCol w:w="851"/>
        <w:gridCol w:w="7314"/>
        <w:gridCol w:w="1248"/>
      </w:tblGrid>
      <w:tr w:rsidR="00EC773D" w:rsidRPr="001455DC" w14:paraId="48E853FE" w14:textId="77777777" w:rsidTr="00EC773D">
        <w:trPr>
          <w:cantSplit/>
        </w:trPr>
        <w:tc>
          <w:tcPr>
            <w:tcW w:w="851" w:type="dxa"/>
          </w:tcPr>
          <w:p w14:paraId="2665F8C8" w14:textId="714650AE" w:rsidR="00EC773D" w:rsidRPr="001455DC" w:rsidRDefault="00231E33" w:rsidP="00EC773D">
            <w:pPr>
              <w:pStyle w:val="Tablebody"/>
            </w:pPr>
            <m:oMathPara>
              <m:oMathParaPr>
                <m:jc m:val="left"/>
              </m:oMathParaPr>
              <m:oMath>
                <m:sSub>
                  <m:sSubPr>
                    <m:ctrlPr>
                      <w:rPr>
                        <w:rFonts w:ascii="Cambria Math" w:hAnsi="Cambria Math"/>
                      </w:rPr>
                    </m:ctrlPr>
                  </m:sSubPr>
                  <m:e>
                    <m:r>
                      <w:rPr>
                        <w:rFonts w:ascii="Cambria Math" w:hAnsi="Cambria Math"/>
                      </w:rPr>
                      <m:t>β</m:t>
                    </m:r>
                  </m:e>
                  <m:sub>
                    <m:sSub>
                      <m:sSubPr>
                        <m:ctrlPr>
                          <w:rPr>
                            <w:rFonts w:ascii="Cambria Math" w:hAnsi="Cambria Math"/>
                          </w:rPr>
                        </m:ctrlPr>
                      </m:sSubPr>
                      <m:e>
                        <m:r>
                          <m:rPr>
                            <m:sty m:val="p"/>
                          </m:rPr>
                          <w:rPr>
                            <w:rFonts w:ascii="Cambria Math" w:hAnsi="Cambria Math"/>
                          </w:rPr>
                          <m:t>dc</m:t>
                        </m:r>
                        <m:r>
                          <w:rPr>
                            <w:rFonts w:ascii="Cambria Math" w:hAnsi="Cambria Math"/>
                          </w:rPr>
                          <m:t>,f</m:t>
                        </m:r>
                      </m:e>
                      <m:sub>
                        <m:r>
                          <m:rPr>
                            <m:sty m:val="p"/>
                          </m:rPr>
                          <w:rPr>
                            <w:rFonts w:ascii="Cambria Math" w:hAnsi="Cambria Math"/>
                          </w:rPr>
                          <m:t>cm</m:t>
                        </m:r>
                      </m:sub>
                    </m:sSub>
                  </m:sub>
                </m:sSub>
              </m:oMath>
            </m:oMathPara>
          </w:p>
        </w:tc>
        <w:tc>
          <w:tcPr>
            <w:tcW w:w="8562" w:type="dxa"/>
            <w:gridSpan w:val="2"/>
          </w:tcPr>
          <w:p w14:paraId="3105DC7C" w14:textId="74E89BB3" w:rsidR="00EC773D" w:rsidRPr="001455DC" w:rsidRDefault="00EC773D" w:rsidP="00EC773D">
            <w:pPr>
              <w:pStyle w:val="Tablebody"/>
            </w:pPr>
            <w:r w:rsidRPr="001455DC">
              <w:t>is a function to describe the effect of concrete strength on drying creep, see Formula (B.10);</w:t>
            </w:r>
          </w:p>
        </w:tc>
      </w:tr>
      <w:tr w:rsidR="00EC773D" w:rsidRPr="001455DC" w14:paraId="0A0E4DA6" w14:textId="77777777" w:rsidTr="00EC773D">
        <w:trPr>
          <w:cantSplit/>
        </w:trPr>
        <w:tc>
          <w:tcPr>
            <w:tcW w:w="851" w:type="dxa"/>
          </w:tcPr>
          <w:p w14:paraId="7C1F20C3" w14:textId="4D5E4079" w:rsidR="00EC773D" w:rsidRPr="001455DC" w:rsidRDefault="00231E33" w:rsidP="00EC773D">
            <w:pPr>
              <w:pStyle w:val="Tablebody"/>
            </w:pPr>
            <m:oMathPara>
              <m:oMathParaPr>
                <m:jc m:val="left"/>
              </m:oMathParaPr>
              <m:oMath>
                <m:sSub>
                  <m:sSubPr>
                    <m:ctrlPr>
                      <w:rPr>
                        <w:rFonts w:ascii="Cambria Math" w:hAnsi="Cambria Math"/>
                      </w:rPr>
                    </m:ctrlPr>
                  </m:sSubPr>
                  <m:e>
                    <m:r>
                      <w:rPr>
                        <w:rFonts w:ascii="Cambria Math" w:hAnsi="Cambria Math"/>
                      </w:rPr>
                      <m:t>β</m:t>
                    </m:r>
                  </m:e>
                  <m:sub>
                    <m:r>
                      <m:rPr>
                        <m:sty m:val="p"/>
                      </m:rPr>
                      <w:rPr>
                        <w:rFonts w:ascii="Cambria Math" w:hAnsi="Cambria Math"/>
                      </w:rPr>
                      <m:t>dc,RH</m:t>
                    </m:r>
                  </m:sub>
                </m:sSub>
              </m:oMath>
            </m:oMathPara>
          </w:p>
        </w:tc>
        <w:tc>
          <w:tcPr>
            <w:tcW w:w="8562" w:type="dxa"/>
            <w:gridSpan w:val="2"/>
          </w:tcPr>
          <w:p w14:paraId="5138C5EF" w14:textId="795168B5" w:rsidR="00EC773D" w:rsidRPr="001455DC" w:rsidRDefault="00EC773D" w:rsidP="00EC773D">
            <w:pPr>
              <w:pStyle w:val="Tablebody"/>
            </w:pPr>
            <w:r w:rsidRPr="001455DC">
              <w:t>is a function to describe the effect of relative humidity and notional size on drying creep, see Formula (B.11);</w:t>
            </w:r>
          </w:p>
        </w:tc>
      </w:tr>
      <w:tr w:rsidR="00EC773D" w:rsidRPr="001455DC" w14:paraId="68800F60" w14:textId="77777777" w:rsidTr="00EC773D">
        <w:trPr>
          <w:cantSplit/>
        </w:trPr>
        <w:tc>
          <w:tcPr>
            <w:tcW w:w="851" w:type="dxa"/>
          </w:tcPr>
          <w:p w14:paraId="3B95A6DD" w14:textId="7CC5DE7F" w:rsidR="00EC773D" w:rsidRPr="001455DC" w:rsidRDefault="00231E33" w:rsidP="00EC773D">
            <w:pPr>
              <w:pStyle w:val="Tablebody"/>
            </w:pPr>
            <m:oMathPara>
              <m:oMathParaPr>
                <m:jc m:val="left"/>
              </m:oMathParaPr>
              <m:oMath>
                <m:sSub>
                  <m:sSubPr>
                    <m:ctrlPr>
                      <w:rPr>
                        <w:rFonts w:ascii="Cambria Math" w:hAnsi="Cambria Math"/>
                      </w:rPr>
                    </m:ctrlPr>
                  </m:sSubPr>
                  <m:e>
                    <m:r>
                      <w:rPr>
                        <w:rFonts w:ascii="Cambria Math" w:hAnsi="Cambria Math"/>
                      </w:rPr>
                      <m:t>β</m:t>
                    </m:r>
                  </m:e>
                  <m:sub>
                    <m:sSub>
                      <m:sSubPr>
                        <m:ctrlPr>
                          <w:rPr>
                            <w:rFonts w:ascii="Cambria Math" w:hAnsi="Cambria Math"/>
                          </w:rPr>
                        </m:ctrlPr>
                      </m:sSubPr>
                      <m:e>
                        <m:r>
                          <m:rPr>
                            <m:sty m:val="p"/>
                          </m:rPr>
                          <w:rPr>
                            <w:rFonts w:ascii="Cambria Math" w:hAnsi="Cambria Math"/>
                          </w:rPr>
                          <m:t>dc</m:t>
                        </m:r>
                        <m:r>
                          <w:rPr>
                            <w:rFonts w:ascii="Cambria Math" w:hAnsi="Cambria Math"/>
                          </w:rPr>
                          <m:t>,t</m:t>
                        </m:r>
                      </m:e>
                      <m:sub>
                        <m:r>
                          <w:rPr>
                            <w:rFonts w:ascii="Cambria Math" w:hAnsi="Cambria Math"/>
                          </w:rPr>
                          <m:t>0</m:t>
                        </m:r>
                      </m:sub>
                    </m:sSub>
                  </m:sub>
                </m:sSub>
              </m:oMath>
            </m:oMathPara>
          </w:p>
        </w:tc>
        <w:tc>
          <w:tcPr>
            <w:tcW w:w="8562" w:type="dxa"/>
            <w:gridSpan w:val="2"/>
          </w:tcPr>
          <w:p w14:paraId="772F3137" w14:textId="30FDAD43" w:rsidR="00EC773D" w:rsidRPr="001455DC" w:rsidRDefault="00EC773D" w:rsidP="00EC773D">
            <w:pPr>
              <w:pStyle w:val="Tablebody"/>
            </w:pPr>
            <w:r w:rsidRPr="001455DC">
              <w:t>is a function to describe the effect of the adjusted concrete age at loading on drying creep, see Formula (B.12);</w:t>
            </w:r>
          </w:p>
        </w:tc>
      </w:tr>
      <w:tr w:rsidR="00EC773D" w:rsidRPr="001455DC" w14:paraId="778D01C6" w14:textId="77777777" w:rsidTr="00EC773D">
        <w:trPr>
          <w:cantSplit/>
        </w:trPr>
        <w:tc>
          <w:tcPr>
            <w:tcW w:w="851" w:type="dxa"/>
          </w:tcPr>
          <w:p w14:paraId="5BE98A1A" w14:textId="59D9EA11" w:rsidR="00EC773D" w:rsidRPr="001455DC" w:rsidRDefault="00231E33" w:rsidP="00EC773D">
            <w:pPr>
              <w:pStyle w:val="Tablebody"/>
            </w:pPr>
            <m:oMathPara>
              <m:oMathParaPr>
                <m:jc m:val="left"/>
              </m:oMathParaPr>
              <m:oMath>
                <m:sSub>
                  <m:sSubPr>
                    <m:ctrlPr>
                      <w:rPr>
                        <w:rFonts w:ascii="Cambria Math" w:hAnsi="Cambria Math"/>
                      </w:rPr>
                    </m:ctrlPr>
                  </m:sSubPr>
                  <m:e>
                    <m:r>
                      <w:rPr>
                        <w:rFonts w:ascii="Cambria Math" w:hAnsi="Cambria Math"/>
                      </w:rPr>
                      <m:t>β</m:t>
                    </m:r>
                  </m:e>
                  <m:sub>
                    <m:sSub>
                      <m:sSubPr>
                        <m:ctrlPr>
                          <w:rPr>
                            <w:rFonts w:ascii="Cambria Math" w:hAnsi="Cambria Math"/>
                          </w:rPr>
                        </m:ctrlPr>
                      </m:sSubPr>
                      <m:e>
                        <m:r>
                          <m:rPr>
                            <m:sty m:val="p"/>
                          </m:rPr>
                          <w:rPr>
                            <w:rFonts w:ascii="Cambria Math" w:hAnsi="Cambria Math"/>
                          </w:rPr>
                          <m:t>dc</m:t>
                        </m:r>
                        <m:r>
                          <w:rPr>
                            <w:rFonts w:ascii="Cambria Math" w:hAnsi="Cambria Math"/>
                          </w:rPr>
                          <m:t>,t-t</m:t>
                        </m:r>
                      </m:e>
                      <m:sub>
                        <m:r>
                          <w:rPr>
                            <w:rFonts w:ascii="Cambria Math" w:hAnsi="Cambria Math"/>
                          </w:rPr>
                          <m:t>0</m:t>
                        </m:r>
                      </m:sub>
                    </m:sSub>
                  </m:sub>
                </m:sSub>
              </m:oMath>
            </m:oMathPara>
          </w:p>
        </w:tc>
        <w:tc>
          <w:tcPr>
            <w:tcW w:w="8562" w:type="dxa"/>
            <w:gridSpan w:val="2"/>
          </w:tcPr>
          <w:p w14:paraId="2963DFCA" w14:textId="3397C33B" w:rsidR="00EC773D" w:rsidRPr="001455DC" w:rsidRDefault="00EC773D" w:rsidP="00EC773D">
            <w:pPr>
              <w:pStyle w:val="Tablebody"/>
            </w:pPr>
            <w:r w:rsidRPr="001455DC">
              <w:t>is a function to describe the time development of drying creep, see Formula (B.13);</w:t>
            </w:r>
          </w:p>
        </w:tc>
      </w:tr>
      <w:tr w:rsidR="002E684B" w:rsidRPr="001455DC" w14:paraId="6D13B82A" w14:textId="77777777" w:rsidTr="002E684B">
        <w:trPr>
          <w:cantSplit/>
        </w:trPr>
        <w:tc>
          <w:tcPr>
            <w:tcW w:w="851" w:type="dxa"/>
          </w:tcPr>
          <w:p w14:paraId="5121660B" w14:textId="77777777" w:rsidR="002E684B" w:rsidRPr="001455DC" w:rsidRDefault="002E684B" w:rsidP="008C783D">
            <w:pPr>
              <w:pStyle w:val="Tablebody"/>
              <w:rPr>
                <w:rFonts w:eastAsia="Calibri" w:cs="Times New Roman"/>
              </w:rPr>
            </w:pPr>
            <w:r w:rsidRPr="001455DC">
              <w:rPr>
                <w:rFonts w:eastAsia="Calibri" w:cs="Times New Roman"/>
              </w:rPr>
              <w:t> </w:t>
            </w:r>
          </w:p>
        </w:tc>
        <w:tc>
          <w:tcPr>
            <w:tcW w:w="7314" w:type="dxa"/>
            <w:vAlign w:val="center"/>
          </w:tcPr>
          <w:p w14:paraId="09549482" w14:textId="586CAAAA" w:rsidR="002E684B" w:rsidRPr="001455DC" w:rsidRDefault="00231E33" w:rsidP="008C783D">
            <w:pPr>
              <w:pStyle w:val="Tablebody"/>
              <w:jc w:val="left"/>
            </w:pPr>
            <m:oMathPara>
              <m:oMathParaPr>
                <m:jc m:val="left"/>
              </m:oMathParaPr>
              <m:oMath>
                <m:sSub>
                  <m:sSubPr>
                    <m:ctrlPr>
                      <w:rPr>
                        <w:rFonts w:ascii="Cambria Math" w:hAnsi="Cambria Math"/>
                      </w:rPr>
                    </m:ctrlPr>
                  </m:sSubPr>
                  <m:e>
                    <m:r>
                      <w:rPr>
                        <w:rFonts w:ascii="Cambria Math" w:hAnsi="Cambria Math"/>
                      </w:rPr>
                      <m:t>β</m:t>
                    </m:r>
                  </m:e>
                  <m:sub>
                    <m:sSub>
                      <m:sSubPr>
                        <m:ctrlPr>
                          <w:rPr>
                            <w:rFonts w:ascii="Cambria Math" w:hAnsi="Cambria Math"/>
                          </w:rPr>
                        </m:ctrlPr>
                      </m:sSubPr>
                      <m:e>
                        <m:r>
                          <m:rPr>
                            <m:sty m:val="p"/>
                          </m:rPr>
                          <w:rPr>
                            <w:rFonts w:ascii="Cambria Math" w:hAnsi="Cambria Math"/>
                          </w:rPr>
                          <m:t>dc</m:t>
                        </m:r>
                        <m:r>
                          <w:rPr>
                            <w:rFonts w:ascii="Cambria Math" w:hAnsi="Cambria Math"/>
                          </w:rPr>
                          <m:t>,f</m:t>
                        </m:r>
                      </m:e>
                      <m:sub>
                        <m:r>
                          <m:rPr>
                            <m:sty m:val="p"/>
                          </m:rPr>
                          <w:rPr>
                            <w:rFonts w:ascii="Cambria Math" w:hAnsi="Cambria Math"/>
                          </w:rPr>
                          <m:t>cm</m:t>
                        </m:r>
                      </m:sub>
                    </m:sSub>
                  </m:sub>
                </m:sSub>
                <m:r>
                  <w:rPr>
                    <w:rFonts w:ascii="Cambria Math" w:hAnsi="Cambria Math"/>
                  </w:rPr>
                  <m:t>=</m:t>
                </m:r>
                <m:f>
                  <m:fPr>
                    <m:ctrlPr>
                      <w:rPr>
                        <w:rFonts w:ascii="Cambria Math" w:hAnsi="Cambria Math"/>
                      </w:rPr>
                    </m:ctrlPr>
                  </m:fPr>
                  <m:num>
                    <m:r>
                      <w:rPr>
                        <w:rFonts w:ascii="Cambria Math" w:hAnsi="Cambria Math"/>
                      </w:rPr>
                      <m:t>412</m:t>
                    </m:r>
                  </m:num>
                  <m:den>
                    <m:sSup>
                      <m:sSupPr>
                        <m:ctrlPr>
                          <w:rPr>
                            <w:rFonts w:ascii="Cambria Math" w:hAnsi="Cambria Math"/>
                          </w:rPr>
                        </m:ctrlPr>
                      </m:sSupPr>
                      <m:e>
                        <m:sSub>
                          <m:sSubPr>
                            <m:ctrlPr>
                              <w:rPr>
                                <w:rFonts w:ascii="Cambria Math" w:hAnsi="Cambria Math"/>
                              </w:rPr>
                            </m:ctrlPr>
                          </m:sSubPr>
                          <m:e>
                            <m:r>
                              <w:rPr>
                                <w:rFonts w:ascii="Cambria Math" w:hAnsi="Cambria Math"/>
                              </w:rPr>
                              <m:t>f</m:t>
                            </m:r>
                          </m:e>
                          <m:sub>
                            <m:r>
                              <m:rPr>
                                <m:sty m:val="p"/>
                              </m:rPr>
                              <w:rPr>
                                <w:rFonts w:ascii="Cambria Math" w:hAnsi="Cambria Math"/>
                              </w:rPr>
                              <m:t>cm,28</m:t>
                            </m:r>
                          </m:sub>
                        </m:sSub>
                      </m:e>
                      <m:sup>
                        <m:r>
                          <w:rPr>
                            <w:rFonts w:ascii="Cambria Math" w:hAnsi="Cambria Math"/>
                          </w:rPr>
                          <m:t>1,4</m:t>
                        </m:r>
                      </m:sup>
                    </m:sSup>
                  </m:den>
                </m:f>
              </m:oMath>
            </m:oMathPara>
          </w:p>
        </w:tc>
        <w:tc>
          <w:tcPr>
            <w:tcW w:w="1248" w:type="dxa"/>
            <w:vAlign w:val="center"/>
          </w:tcPr>
          <w:p w14:paraId="0CD1F0E8" w14:textId="6566DA9E" w:rsidR="002E684B" w:rsidRPr="001455DC" w:rsidRDefault="002E684B" w:rsidP="008C783D">
            <w:pPr>
              <w:pStyle w:val="Tablebody"/>
              <w:jc w:val="right"/>
            </w:pPr>
            <w:r w:rsidRPr="001455DC">
              <w:t>(B.10)</w:t>
            </w:r>
          </w:p>
        </w:tc>
      </w:tr>
      <w:tr w:rsidR="002E684B" w:rsidRPr="001455DC" w14:paraId="5679E6D9" w14:textId="77777777" w:rsidTr="002E684B">
        <w:trPr>
          <w:cantSplit/>
        </w:trPr>
        <w:tc>
          <w:tcPr>
            <w:tcW w:w="851" w:type="dxa"/>
          </w:tcPr>
          <w:p w14:paraId="705EA86F" w14:textId="1B30E2A4" w:rsidR="002E684B" w:rsidRPr="001455DC" w:rsidRDefault="002E684B" w:rsidP="008C783D">
            <w:pPr>
              <w:pStyle w:val="Tablebody"/>
              <w:rPr>
                <w:rFonts w:eastAsia="Calibri" w:cs="Times New Roman"/>
              </w:rPr>
            </w:pPr>
            <w:r w:rsidRPr="001455DC">
              <w:rPr>
                <w:rFonts w:eastAsia="Calibri" w:cs="Times New Roman"/>
              </w:rPr>
              <w:t> </w:t>
            </w:r>
          </w:p>
        </w:tc>
        <w:tc>
          <w:tcPr>
            <w:tcW w:w="7314" w:type="dxa"/>
            <w:vAlign w:val="center"/>
          </w:tcPr>
          <w:p w14:paraId="7A70B0AB" w14:textId="05ADE30B" w:rsidR="002E684B" w:rsidRPr="001455DC" w:rsidRDefault="00231E33" w:rsidP="008C783D">
            <w:pPr>
              <w:pStyle w:val="Tablebody"/>
              <w:jc w:val="left"/>
            </w:pPr>
            <m:oMathPara>
              <m:oMathParaPr>
                <m:jc m:val="left"/>
              </m:oMathParaPr>
              <m:oMath>
                <m:sSub>
                  <m:sSubPr>
                    <m:ctrlPr>
                      <w:rPr>
                        <w:rFonts w:ascii="Cambria Math" w:hAnsi="Cambria Math"/>
                      </w:rPr>
                    </m:ctrlPr>
                  </m:sSubPr>
                  <m:e>
                    <m:r>
                      <w:rPr>
                        <w:rFonts w:ascii="Cambria Math" w:hAnsi="Cambria Math"/>
                      </w:rPr>
                      <m:t>β</m:t>
                    </m:r>
                  </m:e>
                  <m:sub>
                    <m:r>
                      <m:rPr>
                        <m:sty m:val="p"/>
                      </m:rPr>
                      <w:rPr>
                        <w:rFonts w:ascii="Cambria Math" w:hAnsi="Cambria Math"/>
                      </w:rPr>
                      <m:t>dc,RH</m:t>
                    </m:r>
                  </m:sub>
                </m:sSub>
                <m:r>
                  <w:rPr>
                    <w:rFonts w:ascii="Cambria Math" w:hAnsi="Cambria Math"/>
                  </w:rPr>
                  <m:t>=</m:t>
                </m:r>
                <m:f>
                  <m:fPr>
                    <m:ctrlPr>
                      <w:rPr>
                        <w:rFonts w:ascii="Cambria Math" w:hAnsi="Cambria Math"/>
                      </w:rPr>
                    </m:ctrlPr>
                  </m:fPr>
                  <m:num>
                    <m:r>
                      <w:rPr>
                        <w:rFonts w:ascii="Cambria Math" w:hAnsi="Cambria Math"/>
                      </w:rPr>
                      <m:t>1-</m:t>
                    </m:r>
                    <m:f>
                      <m:fPr>
                        <m:ctrlPr>
                          <w:rPr>
                            <w:rFonts w:ascii="Cambria Math" w:hAnsi="Cambria Math"/>
                          </w:rPr>
                        </m:ctrlPr>
                      </m:fPr>
                      <m:num>
                        <m:r>
                          <w:rPr>
                            <w:rFonts w:ascii="Cambria Math" w:hAnsi="Cambria Math"/>
                          </w:rPr>
                          <m:t>RH</m:t>
                        </m:r>
                      </m:num>
                      <m:den>
                        <m:r>
                          <w:rPr>
                            <w:rFonts w:ascii="Cambria Math" w:hAnsi="Cambria Math"/>
                          </w:rPr>
                          <m:t>100</m:t>
                        </m:r>
                      </m:den>
                    </m:f>
                  </m:num>
                  <m:den>
                    <m:rad>
                      <m:radPr>
                        <m:ctrlPr>
                          <w:rPr>
                            <w:rFonts w:ascii="Cambria Math" w:hAnsi="Cambria Math"/>
                          </w:rPr>
                        </m:ctrlPr>
                      </m:radPr>
                      <m:deg>
                        <m:r>
                          <w:rPr>
                            <w:rFonts w:ascii="Cambria Math" w:hAnsi="Cambria Math"/>
                          </w:rPr>
                          <m:t>3</m:t>
                        </m:r>
                      </m:deg>
                      <m:e>
                        <m:r>
                          <w:rPr>
                            <w:rFonts w:ascii="Cambria Math" w:hAnsi="Cambria Math"/>
                          </w:rPr>
                          <m:t>0,1</m:t>
                        </m:r>
                        <m:f>
                          <m:fPr>
                            <m:ctrlPr>
                              <w:rPr>
                                <w:rFonts w:ascii="Cambria Math" w:hAnsi="Cambria Math"/>
                              </w:rPr>
                            </m:ctrlPr>
                          </m:fPr>
                          <m:num>
                            <m:sSub>
                              <m:sSubPr>
                                <m:ctrlPr>
                                  <w:rPr>
                                    <w:rFonts w:ascii="Cambria Math" w:hAnsi="Cambria Math"/>
                                  </w:rPr>
                                </m:ctrlPr>
                              </m:sSubPr>
                              <m:e>
                                <m:r>
                                  <w:rPr>
                                    <w:rFonts w:ascii="Cambria Math" w:hAnsi="Cambria Math"/>
                                  </w:rPr>
                                  <m:t>h</m:t>
                                </m:r>
                              </m:e>
                              <m:sub>
                                <m:r>
                                  <m:rPr>
                                    <m:sty m:val="p"/>
                                  </m:rPr>
                                  <w:rPr>
                                    <w:rFonts w:ascii="Cambria Math" w:hAnsi="Cambria Math"/>
                                  </w:rPr>
                                  <m:t>n</m:t>
                                </m:r>
                              </m:sub>
                            </m:sSub>
                          </m:num>
                          <m:den>
                            <m:r>
                              <w:rPr>
                                <w:rFonts w:ascii="Cambria Math" w:hAnsi="Cambria Math"/>
                              </w:rPr>
                              <m:t>100</m:t>
                            </m:r>
                          </m:den>
                        </m:f>
                      </m:e>
                    </m:rad>
                  </m:den>
                </m:f>
              </m:oMath>
            </m:oMathPara>
          </w:p>
        </w:tc>
        <w:tc>
          <w:tcPr>
            <w:tcW w:w="1248" w:type="dxa"/>
            <w:vAlign w:val="center"/>
          </w:tcPr>
          <w:p w14:paraId="5036842F" w14:textId="594EEC7F" w:rsidR="002E684B" w:rsidRPr="001455DC" w:rsidRDefault="002E684B" w:rsidP="008C783D">
            <w:pPr>
              <w:pStyle w:val="Tablebody"/>
              <w:jc w:val="right"/>
            </w:pPr>
            <w:r w:rsidRPr="001455DC">
              <w:t>(B.11)</w:t>
            </w:r>
          </w:p>
        </w:tc>
      </w:tr>
      <w:tr w:rsidR="002E684B" w:rsidRPr="001455DC" w14:paraId="0C9E3505" w14:textId="77777777" w:rsidTr="002E684B">
        <w:trPr>
          <w:cantSplit/>
        </w:trPr>
        <w:tc>
          <w:tcPr>
            <w:tcW w:w="851" w:type="dxa"/>
          </w:tcPr>
          <w:p w14:paraId="2A025EBE" w14:textId="3D7378E2" w:rsidR="002E684B" w:rsidRPr="001455DC" w:rsidRDefault="002E684B" w:rsidP="008C783D">
            <w:pPr>
              <w:pStyle w:val="Tablebody"/>
              <w:rPr>
                <w:rFonts w:eastAsia="Calibri" w:cs="Times New Roman"/>
              </w:rPr>
            </w:pPr>
            <w:r w:rsidRPr="001455DC">
              <w:rPr>
                <w:rFonts w:eastAsia="Calibri" w:cs="Times New Roman"/>
              </w:rPr>
              <w:t> </w:t>
            </w:r>
          </w:p>
        </w:tc>
        <w:tc>
          <w:tcPr>
            <w:tcW w:w="7314" w:type="dxa"/>
            <w:vAlign w:val="center"/>
          </w:tcPr>
          <w:p w14:paraId="37F97245" w14:textId="426D51DB" w:rsidR="002E684B" w:rsidRPr="001455DC" w:rsidRDefault="00231E33" w:rsidP="008C783D">
            <w:pPr>
              <w:pStyle w:val="Tablebody"/>
              <w:jc w:val="left"/>
            </w:pPr>
            <m:oMathPara>
              <m:oMathParaPr>
                <m:jc m:val="left"/>
              </m:oMathParaPr>
              <m:oMath>
                <m:sSub>
                  <m:sSubPr>
                    <m:ctrlPr>
                      <w:rPr>
                        <w:rFonts w:ascii="Cambria Math" w:hAnsi="Cambria Math"/>
                      </w:rPr>
                    </m:ctrlPr>
                  </m:sSubPr>
                  <m:e>
                    <m:r>
                      <w:rPr>
                        <w:rFonts w:ascii="Cambria Math" w:hAnsi="Cambria Math"/>
                      </w:rPr>
                      <m:t>β</m:t>
                    </m:r>
                  </m:e>
                  <m:sub>
                    <m:sSub>
                      <m:sSubPr>
                        <m:ctrlPr>
                          <w:rPr>
                            <w:rFonts w:ascii="Cambria Math" w:hAnsi="Cambria Math"/>
                          </w:rPr>
                        </m:ctrlPr>
                      </m:sSubPr>
                      <m:e>
                        <m:r>
                          <m:rPr>
                            <m:sty m:val="p"/>
                          </m:rPr>
                          <w:rPr>
                            <w:rFonts w:ascii="Cambria Math" w:hAnsi="Cambria Math"/>
                          </w:rPr>
                          <m:t>dc</m:t>
                        </m:r>
                        <m:r>
                          <w:rPr>
                            <w:rFonts w:ascii="Cambria Math" w:hAnsi="Cambria Math"/>
                          </w:rPr>
                          <m:t>,t</m:t>
                        </m:r>
                      </m:e>
                      <m:sub>
                        <m:r>
                          <w:rPr>
                            <w:rFonts w:ascii="Cambria Math" w:hAnsi="Cambria Math"/>
                          </w:rPr>
                          <m:t>0</m:t>
                        </m:r>
                      </m:sub>
                    </m:sSub>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0,1+t</m:t>
                    </m:r>
                  </m:den>
                </m:f>
              </m:oMath>
            </m:oMathPara>
          </w:p>
        </w:tc>
        <w:tc>
          <w:tcPr>
            <w:tcW w:w="1248" w:type="dxa"/>
            <w:vAlign w:val="center"/>
          </w:tcPr>
          <w:p w14:paraId="77A19356" w14:textId="6F9CDE77" w:rsidR="002E684B" w:rsidRPr="001455DC" w:rsidRDefault="002E684B" w:rsidP="008C783D">
            <w:pPr>
              <w:pStyle w:val="Tablebody"/>
              <w:jc w:val="right"/>
            </w:pPr>
            <w:r w:rsidRPr="001455DC">
              <w:t>(B.12)</w:t>
            </w:r>
          </w:p>
        </w:tc>
      </w:tr>
      <w:tr w:rsidR="002E684B" w:rsidRPr="001455DC" w14:paraId="4536ADFD" w14:textId="77777777" w:rsidTr="002E684B">
        <w:trPr>
          <w:cantSplit/>
        </w:trPr>
        <w:tc>
          <w:tcPr>
            <w:tcW w:w="851" w:type="dxa"/>
          </w:tcPr>
          <w:p w14:paraId="5C375A63" w14:textId="3F8F4775" w:rsidR="002E684B" w:rsidRPr="001455DC" w:rsidRDefault="002E684B" w:rsidP="008C783D">
            <w:pPr>
              <w:pStyle w:val="Tablebody"/>
              <w:rPr>
                <w:rFonts w:eastAsia="Calibri" w:cs="Times New Roman"/>
              </w:rPr>
            </w:pPr>
            <w:r w:rsidRPr="001455DC">
              <w:rPr>
                <w:rFonts w:eastAsia="Calibri" w:cs="Times New Roman"/>
              </w:rPr>
              <w:t> </w:t>
            </w:r>
          </w:p>
        </w:tc>
        <w:tc>
          <w:tcPr>
            <w:tcW w:w="7314" w:type="dxa"/>
            <w:vAlign w:val="center"/>
          </w:tcPr>
          <w:p w14:paraId="529377AF" w14:textId="17F9F133" w:rsidR="002E684B" w:rsidRPr="001455DC" w:rsidRDefault="00231E33" w:rsidP="008C783D">
            <w:pPr>
              <w:pStyle w:val="Tablebody"/>
              <w:jc w:val="left"/>
            </w:pPr>
            <m:oMathPara>
              <m:oMathParaPr>
                <m:jc m:val="left"/>
              </m:oMathParaPr>
              <m:oMath>
                <m:sSub>
                  <m:sSubPr>
                    <m:ctrlPr>
                      <w:rPr>
                        <w:rFonts w:ascii="Cambria Math" w:hAnsi="Cambria Math"/>
                      </w:rPr>
                    </m:ctrlPr>
                  </m:sSubPr>
                  <m:e>
                    <m:r>
                      <w:rPr>
                        <w:rFonts w:ascii="Cambria Math" w:hAnsi="Cambria Math"/>
                      </w:rPr>
                      <m:t>β</m:t>
                    </m:r>
                  </m:e>
                  <m:sub>
                    <m:sSub>
                      <m:sSubPr>
                        <m:ctrlPr>
                          <w:rPr>
                            <w:rFonts w:ascii="Cambria Math" w:hAnsi="Cambria Math"/>
                          </w:rPr>
                        </m:ctrlPr>
                      </m:sSubPr>
                      <m:e>
                        <m:r>
                          <m:rPr>
                            <m:sty m:val="p"/>
                          </m:rPr>
                          <w:rPr>
                            <w:rFonts w:ascii="Cambria Math" w:hAnsi="Cambria Math"/>
                          </w:rPr>
                          <m:t>dc</m:t>
                        </m:r>
                        <m:r>
                          <w:rPr>
                            <w:rFonts w:ascii="Cambria Math" w:hAnsi="Cambria Math"/>
                          </w:rPr>
                          <m:t>,t-t</m:t>
                        </m:r>
                      </m:e>
                      <m:sub>
                        <m:r>
                          <w:rPr>
                            <w:rFonts w:ascii="Cambria Math" w:hAnsi="Cambria Math"/>
                          </w:rPr>
                          <m:t>0</m:t>
                        </m:r>
                      </m:sub>
                    </m:sSub>
                  </m:sub>
                </m:sSub>
                <m:r>
                  <w:rPr>
                    <w:rFonts w:ascii="Cambria Math" w:hAnsi="Cambria Math"/>
                  </w:rPr>
                  <m:t>=</m:t>
                </m:r>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d>
                              <m:dPr>
                                <m:sepChr m:val=""/>
                                <m:ctrlPr>
                                  <w:rPr>
                                    <w:rFonts w:ascii="Cambria Math" w:hAnsi="Cambria Math"/>
                                  </w:rPr>
                                </m:ctrlPr>
                              </m:dPr>
                              <m:e>
                                <m:r>
                                  <w:rPr>
                                    <w:rFonts w:ascii="Cambria Math" w:hAnsi="Cambria Math"/>
                                  </w:rPr>
                                  <m:t>t</m:t>
                                </m:r>
                              </m:e>
                              <m:e>
                                <m:r>
                                  <w:rPr>
                                    <w:rFonts w:ascii="Cambria Math" w:hAnsi="Cambria Math"/>
                                  </w:rPr>
                                  <m:t>-</m:t>
                                </m:r>
                              </m:e>
                              <m:e>
                                <m:sSub>
                                  <m:sSubPr>
                                    <m:ctrlPr>
                                      <w:rPr>
                                        <w:rFonts w:ascii="Cambria Math" w:hAnsi="Cambria Math"/>
                                      </w:rPr>
                                    </m:ctrlPr>
                                  </m:sSubPr>
                                  <m:e>
                                    <m:r>
                                      <w:rPr>
                                        <w:rFonts w:ascii="Cambria Math" w:hAnsi="Cambria Math"/>
                                      </w:rPr>
                                      <m:t>t</m:t>
                                    </m:r>
                                  </m:e>
                                  <m:sub>
                                    <m:r>
                                      <w:rPr>
                                        <w:rFonts w:ascii="Cambria Math" w:hAnsi="Cambria Math"/>
                                      </w:rPr>
                                      <m:t>0</m:t>
                                    </m:r>
                                  </m:sub>
                                </m:sSub>
                              </m:e>
                            </m:d>
                          </m:num>
                          <m:den>
                            <m:sSub>
                              <m:sSubPr>
                                <m:ctrlPr>
                                  <w:rPr>
                                    <w:rFonts w:ascii="Cambria Math" w:hAnsi="Cambria Math"/>
                                  </w:rPr>
                                </m:ctrlPr>
                              </m:sSubPr>
                              <m:e>
                                <m:r>
                                  <w:rPr>
                                    <w:rFonts w:ascii="Cambria Math" w:hAnsi="Cambria Math"/>
                                  </w:rPr>
                                  <m:t>β</m:t>
                                </m:r>
                              </m:e>
                              <m:sub>
                                <m:r>
                                  <m:rPr>
                                    <m:sty m:val="p"/>
                                  </m:rPr>
                                  <w:rPr>
                                    <w:rFonts w:ascii="Cambria Math" w:hAnsi="Cambria Math"/>
                                  </w:rPr>
                                  <m:t>h</m:t>
                                </m:r>
                              </m:sub>
                            </m:sSub>
                            <m:r>
                              <w:rPr>
                                <w:rFonts w:ascii="Cambria Math" w:hAnsi="Cambria Math"/>
                              </w:rPr>
                              <m:t>+</m:t>
                            </m:r>
                            <m:d>
                              <m:dPr>
                                <m:sepChr m:val=""/>
                                <m:ctrlPr>
                                  <w:rPr>
                                    <w:rFonts w:ascii="Cambria Math" w:hAnsi="Cambria Math"/>
                                  </w:rPr>
                                </m:ctrlPr>
                              </m:dPr>
                              <m:e>
                                <m:r>
                                  <w:rPr>
                                    <w:rFonts w:ascii="Cambria Math" w:hAnsi="Cambria Math"/>
                                  </w:rPr>
                                  <m:t>t</m:t>
                                </m:r>
                              </m:e>
                              <m:e>
                                <m:r>
                                  <w:rPr>
                                    <w:rFonts w:ascii="Cambria Math" w:hAnsi="Cambria Math"/>
                                  </w:rPr>
                                  <m:t>-</m:t>
                                </m:r>
                              </m:e>
                              <m:e>
                                <m:sSub>
                                  <m:sSubPr>
                                    <m:ctrlPr>
                                      <w:rPr>
                                        <w:rFonts w:ascii="Cambria Math" w:hAnsi="Cambria Math"/>
                                      </w:rPr>
                                    </m:ctrlPr>
                                  </m:sSubPr>
                                  <m:e>
                                    <m:r>
                                      <w:rPr>
                                        <w:rFonts w:ascii="Cambria Math" w:hAnsi="Cambria Math"/>
                                      </w:rPr>
                                      <m:t>t</m:t>
                                    </m:r>
                                  </m:e>
                                  <m:sub>
                                    <m:r>
                                      <w:rPr>
                                        <w:rFonts w:ascii="Cambria Math" w:hAnsi="Cambria Math"/>
                                      </w:rPr>
                                      <m:t>0</m:t>
                                    </m:r>
                                  </m:sub>
                                </m:sSub>
                              </m:e>
                            </m:d>
                          </m:den>
                        </m:f>
                      </m:e>
                    </m:d>
                  </m:e>
                  <m:sup>
                    <m:r>
                      <w:rPr>
                        <w:rFonts w:ascii="Cambria Math" w:hAnsi="Cambria Math"/>
                      </w:rPr>
                      <m:t>γ</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0,</m:t>
                            </m:r>
                            <m:r>
                              <m:rPr>
                                <m:sty m:val="p"/>
                              </m:rPr>
                              <w:rPr>
                                <w:rFonts w:ascii="Cambria Math" w:hAnsi="Cambria Math"/>
                              </w:rPr>
                              <m:t>adj</m:t>
                            </m:r>
                          </m:sub>
                        </m:sSub>
                      </m:e>
                    </m:d>
                  </m:sup>
                </m:sSup>
              </m:oMath>
            </m:oMathPara>
          </w:p>
        </w:tc>
        <w:tc>
          <w:tcPr>
            <w:tcW w:w="1248" w:type="dxa"/>
            <w:vAlign w:val="center"/>
          </w:tcPr>
          <w:p w14:paraId="7E635EBE" w14:textId="2126FD62" w:rsidR="002E684B" w:rsidRPr="001455DC" w:rsidRDefault="002E684B" w:rsidP="008C783D">
            <w:pPr>
              <w:pStyle w:val="Tablebody"/>
              <w:jc w:val="right"/>
            </w:pPr>
            <w:r w:rsidRPr="001455DC">
              <w:t>(B.13)</w:t>
            </w:r>
          </w:p>
        </w:tc>
      </w:tr>
      <w:tr w:rsidR="002E684B" w:rsidRPr="001455DC" w14:paraId="07524A49" w14:textId="77777777" w:rsidTr="002E684B">
        <w:trPr>
          <w:cantSplit/>
        </w:trPr>
        <w:tc>
          <w:tcPr>
            <w:tcW w:w="851" w:type="dxa"/>
          </w:tcPr>
          <w:p w14:paraId="273B3D99" w14:textId="237C52C1" w:rsidR="002E684B" w:rsidRPr="001455DC" w:rsidRDefault="002E684B" w:rsidP="008C783D">
            <w:pPr>
              <w:pStyle w:val="Tablebody"/>
              <w:rPr>
                <w:rFonts w:eastAsia="Calibri" w:cs="Times New Roman"/>
              </w:rPr>
            </w:pPr>
            <w:r w:rsidRPr="001455DC">
              <w:t>with</w:t>
            </w:r>
          </w:p>
        </w:tc>
        <w:tc>
          <w:tcPr>
            <w:tcW w:w="7314" w:type="dxa"/>
            <w:vAlign w:val="center"/>
          </w:tcPr>
          <w:p w14:paraId="26B6D1DA" w14:textId="38DCAC2C" w:rsidR="002E684B" w:rsidRPr="001455DC" w:rsidRDefault="002E684B" w:rsidP="008C783D">
            <w:pPr>
              <w:pStyle w:val="Tablebody"/>
              <w:jc w:val="left"/>
            </w:pPr>
            <w:r w:rsidRPr="001455DC">
              <w:t> </w:t>
            </w:r>
          </w:p>
        </w:tc>
        <w:tc>
          <w:tcPr>
            <w:tcW w:w="1248" w:type="dxa"/>
            <w:vAlign w:val="center"/>
          </w:tcPr>
          <w:p w14:paraId="4E9D65AC" w14:textId="77777777" w:rsidR="002E684B" w:rsidRPr="001455DC" w:rsidRDefault="002E684B" w:rsidP="008C783D">
            <w:pPr>
              <w:pStyle w:val="Tablebody"/>
              <w:jc w:val="right"/>
            </w:pPr>
          </w:p>
        </w:tc>
      </w:tr>
      <w:tr w:rsidR="002E684B" w:rsidRPr="001455DC" w14:paraId="22B5A298" w14:textId="77777777" w:rsidTr="002E684B">
        <w:trPr>
          <w:cantSplit/>
        </w:trPr>
        <w:tc>
          <w:tcPr>
            <w:tcW w:w="851" w:type="dxa"/>
          </w:tcPr>
          <w:p w14:paraId="6614E3A5" w14:textId="76B52D57" w:rsidR="002E684B" w:rsidRPr="001455DC" w:rsidRDefault="002E684B" w:rsidP="008C783D">
            <w:pPr>
              <w:pStyle w:val="Tablebody"/>
              <w:rPr>
                <w:rFonts w:eastAsia="Calibri" w:cs="Times New Roman"/>
              </w:rPr>
            </w:pPr>
            <w:r w:rsidRPr="001455DC">
              <w:rPr>
                <w:rFonts w:eastAsia="Calibri" w:cs="Times New Roman"/>
              </w:rPr>
              <w:t> </w:t>
            </w:r>
          </w:p>
        </w:tc>
        <w:tc>
          <w:tcPr>
            <w:tcW w:w="7314" w:type="dxa"/>
            <w:vAlign w:val="center"/>
          </w:tcPr>
          <w:p w14:paraId="4A6E0BAE" w14:textId="4AF49904" w:rsidR="002E684B" w:rsidRPr="001455DC" w:rsidRDefault="002E684B" w:rsidP="008C783D">
            <w:pPr>
              <w:pStyle w:val="Tablebody"/>
              <w:jc w:val="left"/>
            </w:pPr>
            <m:oMathPara>
              <m:oMathParaPr>
                <m:jc m:val="left"/>
              </m:oMathParaPr>
              <m:oMath>
                <m:r>
                  <w:rPr>
                    <w:rFonts w:ascii="Cambria Math" w:hAnsi="Cambria Math"/>
                  </w:rPr>
                  <m:t>γ</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0,</m:t>
                        </m:r>
                        <m:r>
                          <m:rPr>
                            <m:sty m:val="p"/>
                          </m:rPr>
                          <w:rPr>
                            <w:rFonts w:ascii="Cambria Math" w:hAnsi="Cambria Math"/>
                          </w:rPr>
                          <m:t>adj</m:t>
                        </m:r>
                      </m:sub>
                    </m:sSub>
                  </m:e>
                </m:d>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2,3+</m:t>
                    </m:r>
                    <m:f>
                      <m:fPr>
                        <m:ctrlPr>
                          <w:rPr>
                            <w:rFonts w:ascii="Cambria Math" w:hAnsi="Cambria Math"/>
                          </w:rPr>
                        </m:ctrlPr>
                      </m:fPr>
                      <m:num>
                        <m:r>
                          <w:rPr>
                            <w:rFonts w:ascii="Cambria Math" w:hAnsi="Cambria Math"/>
                          </w:rPr>
                          <m:t>3,5</m:t>
                        </m:r>
                      </m:num>
                      <m:den>
                        <m:rad>
                          <m:radPr>
                            <m:degHide m:val="1"/>
                            <m:ctrlPr>
                              <w:rPr>
                                <w:rFonts w:ascii="Cambria Math" w:hAnsi="Cambria Math"/>
                              </w:rPr>
                            </m:ctrlPr>
                          </m:radPr>
                          <m:deg/>
                          <m:e>
                            <m:sSub>
                              <m:sSubPr>
                                <m:ctrlPr>
                                  <w:rPr>
                                    <w:rFonts w:ascii="Cambria Math" w:hAnsi="Cambria Math"/>
                                  </w:rPr>
                                </m:ctrlPr>
                              </m:sSubPr>
                              <m:e>
                                <m:r>
                                  <w:rPr>
                                    <w:rFonts w:ascii="Cambria Math" w:hAnsi="Cambria Math"/>
                                  </w:rPr>
                                  <m:t>t</m:t>
                                </m:r>
                              </m:e>
                              <m:sub>
                                <m:r>
                                  <w:rPr>
                                    <w:rFonts w:ascii="Cambria Math" w:hAnsi="Cambria Math"/>
                                  </w:rPr>
                                  <m:t>0,</m:t>
                                </m:r>
                                <m:r>
                                  <m:rPr>
                                    <m:sty m:val="p"/>
                                  </m:rPr>
                                  <w:rPr>
                                    <w:rFonts w:ascii="Cambria Math" w:hAnsi="Cambria Math"/>
                                  </w:rPr>
                                  <m:t>adj</m:t>
                                </m:r>
                              </m:sub>
                            </m:sSub>
                          </m:e>
                        </m:rad>
                      </m:den>
                    </m:f>
                  </m:den>
                </m:f>
              </m:oMath>
            </m:oMathPara>
          </w:p>
        </w:tc>
        <w:tc>
          <w:tcPr>
            <w:tcW w:w="1248" w:type="dxa"/>
            <w:vAlign w:val="center"/>
          </w:tcPr>
          <w:p w14:paraId="7AC2EAC6" w14:textId="12A7335E" w:rsidR="002E684B" w:rsidRPr="001455DC" w:rsidRDefault="002E684B" w:rsidP="008C783D">
            <w:pPr>
              <w:pStyle w:val="Tablebody"/>
              <w:jc w:val="right"/>
            </w:pPr>
            <w:r w:rsidRPr="001455DC">
              <w:t>(B.14)</w:t>
            </w:r>
          </w:p>
        </w:tc>
      </w:tr>
      <w:tr w:rsidR="002E684B" w:rsidRPr="001455DC" w14:paraId="58A8D4CA" w14:textId="77777777" w:rsidTr="002E684B">
        <w:trPr>
          <w:cantSplit/>
        </w:trPr>
        <w:tc>
          <w:tcPr>
            <w:tcW w:w="851" w:type="dxa"/>
          </w:tcPr>
          <w:p w14:paraId="6F281FC1" w14:textId="3455A494" w:rsidR="002E684B" w:rsidRPr="001455DC" w:rsidRDefault="002E684B" w:rsidP="008C783D">
            <w:pPr>
              <w:pStyle w:val="Tablebody"/>
              <w:rPr>
                <w:rFonts w:eastAsia="Calibri" w:cs="Times New Roman"/>
              </w:rPr>
            </w:pPr>
            <w:r w:rsidRPr="001455DC">
              <w:rPr>
                <w:rFonts w:eastAsia="Calibri" w:cs="Times New Roman"/>
              </w:rPr>
              <w:t> </w:t>
            </w:r>
          </w:p>
        </w:tc>
        <w:tc>
          <w:tcPr>
            <w:tcW w:w="7314" w:type="dxa"/>
            <w:vAlign w:val="center"/>
          </w:tcPr>
          <w:p w14:paraId="71572C51" w14:textId="7E2B734B" w:rsidR="002E684B" w:rsidRPr="001455DC" w:rsidRDefault="00231E33" w:rsidP="008C783D">
            <w:pPr>
              <w:pStyle w:val="Tablebody"/>
              <w:jc w:val="left"/>
            </w:pPr>
            <m:oMathPara>
              <m:oMathParaPr>
                <m:jc m:val="left"/>
              </m:oMathParaPr>
              <m:oMath>
                <m:sSub>
                  <m:sSubPr>
                    <m:ctrlPr>
                      <w:rPr>
                        <w:rFonts w:ascii="Cambria Math" w:hAnsi="Cambria Math"/>
                      </w:rPr>
                    </m:ctrlPr>
                  </m:sSubPr>
                  <m:e>
                    <m:r>
                      <w:rPr>
                        <w:rFonts w:ascii="Cambria Math" w:hAnsi="Cambria Math"/>
                      </w:rPr>
                      <m:t>β</m:t>
                    </m:r>
                  </m:e>
                  <m:sub>
                    <m:r>
                      <m:rPr>
                        <m:sty m:val="p"/>
                      </m:rPr>
                      <w:rPr>
                        <w:rFonts w:ascii="Cambria Math" w:hAnsi="Cambria Math"/>
                      </w:rPr>
                      <m:t>h</m:t>
                    </m:r>
                  </m:sub>
                </m:sSub>
                <m:r>
                  <w:rPr>
                    <w:rFonts w:ascii="Cambria Math" w:hAnsi="Cambria Math"/>
                  </w:rPr>
                  <m:t>=1,5</m:t>
                </m:r>
                <m:sSub>
                  <m:sSubPr>
                    <m:ctrlPr>
                      <w:rPr>
                        <w:rFonts w:ascii="Cambria Math" w:hAnsi="Cambria Math"/>
                      </w:rPr>
                    </m:ctrlPr>
                  </m:sSubPr>
                  <m:e>
                    <m:r>
                      <w:rPr>
                        <w:rFonts w:ascii="Cambria Math" w:hAnsi="Cambria Math"/>
                      </w:rPr>
                      <m:t>h</m:t>
                    </m:r>
                  </m:e>
                  <m:sub>
                    <m:r>
                      <m:rPr>
                        <m:sty m:val="p"/>
                      </m:rPr>
                      <w:rPr>
                        <w:rFonts w:ascii="Cambria Math" w:hAnsi="Cambria Math"/>
                      </w:rPr>
                      <m:t>n</m:t>
                    </m:r>
                  </m:sub>
                </m:sSub>
                <m:r>
                  <w:rPr>
                    <w:rFonts w:ascii="Cambria Math" w:hAnsi="Cambria Math"/>
                  </w:rPr>
                  <m:t>+250</m:t>
                </m:r>
                <m:sSub>
                  <m:sSubPr>
                    <m:ctrlPr>
                      <w:rPr>
                        <w:rFonts w:ascii="Cambria Math" w:hAnsi="Cambria Math"/>
                      </w:rPr>
                    </m:ctrlPr>
                  </m:sSubPr>
                  <m:e>
                    <m:r>
                      <w:rPr>
                        <w:rFonts w:ascii="Cambria Math" w:hAnsi="Cambria Math"/>
                      </w:rPr>
                      <m:t>α</m:t>
                    </m:r>
                  </m:e>
                  <m:sub>
                    <m:sSub>
                      <m:sSubPr>
                        <m:ctrlPr>
                          <w:rPr>
                            <w:rFonts w:ascii="Cambria Math" w:hAnsi="Cambria Math"/>
                          </w:rPr>
                        </m:ctrlPr>
                      </m:sSubPr>
                      <m:e>
                        <m:r>
                          <w:rPr>
                            <w:rFonts w:ascii="Cambria Math" w:hAnsi="Cambria Math"/>
                          </w:rPr>
                          <m:t>f</m:t>
                        </m:r>
                      </m:e>
                      <m:sub>
                        <m:r>
                          <m:rPr>
                            <m:sty m:val="p"/>
                          </m:rPr>
                          <w:rPr>
                            <w:rFonts w:ascii="Cambria Math" w:hAnsi="Cambria Math"/>
                          </w:rPr>
                          <m:t>cm</m:t>
                        </m:r>
                      </m:sub>
                    </m:sSub>
                  </m:sub>
                </m:sSub>
                <m:r>
                  <w:rPr>
                    <w:rFonts w:ascii="Cambria Math" w:hAnsi="Cambria Math"/>
                  </w:rPr>
                  <m:t>≤1 500</m:t>
                </m:r>
                <m:sSub>
                  <m:sSubPr>
                    <m:ctrlPr>
                      <w:rPr>
                        <w:rFonts w:ascii="Cambria Math" w:hAnsi="Cambria Math"/>
                      </w:rPr>
                    </m:ctrlPr>
                  </m:sSubPr>
                  <m:e>
                    <m:r>
                      <w:rPr>
                        <w:rFonts w:ascii="Cambria Math" w:hAnsi="Cambria Math"/>
                      </w:rPr>
                      <m:t>α</m:t>
                    </m:r>
                  </m:e>
                  <m:sub>
                    <m:sSub>
                      <m:sSubPr>
                        <m:ctrlPr>
                          <w:rPr>
                            <w:rFonts w:ascii="Cambria Math" w:hAnsi="Cambria Math"/>
                          </w:rPr>
                        </m:ctrlPr>
                      </m:sSubPr>
                      <m:e>
                        <m:r>
                          <w:rPr>
                            <w:rFonts w:ascii="Cambria Math" w:hAnsi="Cambria Math"/>
                          </w:rPr>
                          <m:t>f</m:t>
                        </m:r>
                      </m:e>
                      <m:sub>
                        <m:r>
                          <m:rPr>
                            <m:sty m:val="p"/>
                          </m:rPr>
                          <w:rPr>
                            <w:rFonts w:ascii="Cambria Math" w:hAnsi="Cambria Math"/>
                          </w:rPr>
                          <m:t>cm</m:t>
                        </m:r>
                      </m:sub>
                    </m:sSub>
                  </m:sub>
                </m:sSub>
              </m:oMath>
            </m:oMathPara>
          </w:p>
        </w:tc>
        <w:tc>
          <w:tcPr>
            <w:tcW w:w="1248" w:type="dxa"/>
            <w:vAlign w:val="center"/>
          </w:tcPr>
          <w:p w14:paraId="384C0D59" w14:textId="37294675" w:rsidR="002E684B" w:rsidRPr="001455DC" w:rsidRDefault="002E684B" w:rsidP="008C783D">
            <w:pPr>
              <w:pStyle w:val="Tablebody"/>
              <w:jc w:val="right"/>
            </w:pPr>
            <w:r w:rsidRPr="001455DC">
              <w:t>(B.15)</w:t>
            </w:r>
          </w:p>
        </w:tc>
      </w:tr>
      <w:tr w:rsidR="002E684B" w:rsidRPr="001455DC" w14:paraId="22BBD3F3" w14:textId="77777777" w:rsidTr="002E684B">
        <w:trPr>
          <w:cantSplit/>
        </w:trPr>
        <w:tc>
          <w:tcPr>
            <w:tcW w:w="851" w:type="dxa"/>
          </w:tcPr>
          <w:p w14:paraId="76D41325" w14:textId="57874768" w:rsidR="002E684B" w:rsidRPr="001455DC" w:rsidRDefault="002E684B" w:rsidP="008C783D">
            <w:pPr>
              <w:pStyle w:val="Tablebody"/>
              <w:rPr>
                <w:rFonts w:eastAsia="Calibri" w:cs="Times New Roman"/>
              </w:rPr>
            </w:pPr>
            <w:r w:rsidRPr="001455DC">
              <w:t>and</w:t>
            </w:r>
          </w:p>
        </w:tc>
        <w:tc>
          <w:tcPr>
            <w:tcW w:w="7314" w:type="dxa"/>
            <w:vAlign w:val="center"/>
          </w:tcPr>
          <w:p w14:paraId="40EF689B" w14:textId="6AA6E97F" w:rsidR="002E684B" w:rsidRPr="001455DC" w:rsidRDefault="002E684B" w:rsidP="008C783D">
            <w:pPr>
              <w:pStyle w:val="Tablebody"/>
              <w:jc w:val="left"/>
            </w:pPr>
            <w:r w:rsidRPr="001455DC">
              <w:t> </w:t>
            </w:r>
          </w:p>
        </w:tc>
        <w:tc>
          <w:tcPr>
            <w:tcW w:w="1248" w:type="dxa"/>
            <w:vAlign w:val="center"/>
          </w:tcPr>
          <w:p w14:paraId="3B8CC705" w14:textId="77777777" w:rsidR="002E684B" w:rsidRPr="001455DC" w:rsidRDefault="002E684B" w:rsidP="008C783D">
            <w:pPr>
              <w:pStyle w:val="Tablebody"/>
              <w:jc w:val="right"/>
            </w:pPr>
          </w:p>
        </w:tc>
      </w:tr>
      <w:tr w:rsidR="002E684B" w:rsidRPr="001455DC" w14:paraId="598FD199" w14:textId="77777777" w:rsidTr="002E684B">
        <w:trPr>
          <w:cantSplit/>
        </w:trPr>
        <w:tc>
          <w:tcPr>
            <w:tcW w:w="851" w:type="dxa"/>
          </w:tcPr>
          <w:p w14:paraId="6D13A9A6" w14:textId="09E3A5F2" w:rsidR="002E684B" w:rsidRPr="001455DC" w:rsidRDefault="002E684B" w:rsidP="008C783D">
            <w:pPr>
              <w:pStyle w:val="Tablebody"/>
              <w:rPr>
                <w:rFonts w:eastAsia="Calibri" w:cs="Times New Roman"/>
              </w:rPr>
            </w:pPr>
            <w:r w:rsidRPr="001455DC">
              <w:rPr>
                <w:rFonts w:eastAsia="Calibri" w:cs="Times New Roman"/>
              </w:rPr>
              <w:t> </w:t>
            </w:r>
          </w:p>
        </w:tc>
        <w:tc>
          <w:tcPr>
            <w:tcW w:w="7314" w:type="dxa"/>
            <w:vAlign w:val="center"/>
          </w:tcPr>
          <w:p w14:paraId="266033C0" w14:textId="4B7950C4" w:rsidR="002E684B" w:rsidRPr="001455DC" w:rsidRDefault="00231E33" w:rsidP="008C783D">
            <w:pPr>
              <w:pStyle w:val="Tablebody"/>
              <w:jc w:val="left"/>
            </w:pPr>
            <m:oMathPara>
              <m:oMathParaPr>
                <m:jc m:val="left"/>
              </m:oMathParaPr>
              <m:oMath>
                <m:sSub>
                  <m:sSubPr>
                    <m:ctrlPr>
                      <w:rPr>
                        <w:rFonts w:ascii="Cambria Math" w:hAnsi="Cambria Math"/>
                      </w:rPr>
                    </m:ctrlPr>
                  </m:sSubPr>
                  <m:e>
                    <m:r>
                      <w:rPr>
                        <w:rFonts w:ascii="Cambria Math" w:hAnsi="Cambria Math"/>
                      </w:rPr>
                      <m:t>α</m:t>
                    </m:r>
                  </m:e>
                  <m:sub>
                    <m:sSub>
                      <m:sSubPr>
                        <m:ctrlPr>
                          <w:rPr>
                            <w:rFonts w:ascii="Cambria Math" w:hAnsi="Cambria Math"/>
                          </w:rPr>
                        </m:ctrlPr>
                      </m:sSubPr>
                      <m:e>
                        <m:r>
                          <w:rPr>
                            <w:rFonts w:ascii="Cambria Math" w:hAnsi="Cambria Math"/>
                          </w:rPr>
                          <m:t>f</m:t>
                        </m:r>
                      </m:e>
                      <m:sub>
                        <m:r>
                          <m:rPr>
                            <m:sty m:val="p"/>
                          </m:rPr>
                          <w:rPr>
                            <w:rFonts w:ascii="Cambria Math" w:hAnsi="Cambria Math"/>
                          </w:rPr>
                          <m:t>cm</m:t>
                        </m:r>
                      </m:sub>
                    </m:sSub>
                  </m:sub>
                </m:sSub>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35</m:t>
                            </m:r>
                          </m:num>
                          <m:den>
                            <m:sSub>
                              <m:sSubPr>
                                <m:ctrlPr>
                                  <w:rPr>
                                    <w:rFonts w:ascii="Cambria Math" w:hAnsi="Cambria Math"/>
                                  </w:rPr>
                                </m:ctrlPr>
                              </m:sSubPr>
                              <m:e>
                                <m:r>
                                  <w:rPr>
                                    <w:rFonts w:ascii="Cambria Math" w:hAnsi="Cambria Math"/>
                                  </w:rPr>
                                  <m:t>f</m:t>
                                </m:r>
                              </m:e>
                              <m:sub>
                                <m:r>
                                  <m:rPr>
                                    <m:sty m:val="p"/>
                                  </m:rPr>
                                  <w:rPr>
                                    <w:rFonts w:ascii="Cambria Math" w:hAnsi="Cambria Math"/>
                                  </w:rPr>
                                  <m:t>cm,28</m:t>
                                </m:r>
                              </m:sub>
                            </m:sSub>
                          </m:den>
                        </m:f>
                      </m:e>
                    </m:d>
                  </m:e>
                  <m:sup>
                    <m:r>
                      <w:rPr>
                        <w:rFonts w:ascii="Cambria Math" w:hAnsi="Cambria Math"/>
                      </w:rPr>
                      <m:t>0,5</m:t>
                    </m:r>
                  </m:sup>
                </m:sSup>
              </m:oMath>
            </m:oMathPara>
          </w:p>
        </w:tc>
        <w:tc>
          <w:tcPr>
            <w:tcW w:w="1248" w:type="dxa"/>
            <w:vAlign w:val="center"/>
          </w:tcPr>
          <w:p w14:paraId="53AE1CB3" w14:textId="7002B9B9" w:rsidR="002E684B" w:rsidRPr="001455DC" w:rsidRDefault="002E684B" w:rsidP="008C783D">
            <w:pPr>
              <w:pStyle w:val="Tablebody"/>
              <w:jc w:val="right"/>
            </w:pPr>
            <w:r w:rsidRPr="001455DC">
              <w:t>(B.16)</w:t>
            </w:r>
          </w:p>
        </w:tc>
      </w:tr>
      <w:tr w:rsidR="002E684B" w:rsidRPr="001455DC" w14:paraId="4F3E415C" w14:textId="77777777" w:rsidTr="002E684B">
        <w:trPr>
          <w:cantSplit/>
        </w:trPr>
        <w:tc>
          <w:tcPr>
            <w:tcW w:w="851" w:type="dxa"/>
          </w:tcPr>
          <w:p w14:paraId="51616DFD" w14:textId="750F9AB9" w:rsidR="002E684B" w:rsidRPr="001455DC" w:rsidRDefault="002E684B" w:rsidP="008C783D">
            <w:pPr>
              <w:pStyle w:val="Tablebody"/>
              <w:rPr>
                <w:rFonts w:eastAsia="Calibri" w:cs="Times New Roman"/>
              </w:rPr>
            </w:pPr>
            <w:r w:rsidRPr="001455DC">
              <w:t>where</w:t>
            </w:r>
          </w:p>
        </w:tc>
        <w:tc>
          <w:tcPr>
            <w:tcW w:w="7314" w:type="dxa"/>
            <w:vAlign w:val="center"/>
          </w:tcPr>
          <w:p w14:paraId="21C55FAC" w14:textId="04C5F0F9" w:rsidR="002E684B" w:rsidRPr="001455DC" w:rsidRDefault="002E684B" w:rsidP="008C783D">
            <w:pPr>
              <w:pStyle w:val="Tablebody"/>
              <w:jc w:val="left"/>
              <w:rPr>
                <w:rFonts w:eastAsia="Calibri" w:cs="Times New Roman"/>
              </w:rPr>
            </w:pPr>
            <w:r w:rsidRPr="001455DC">
              <w:rPr>
                <w:rFonts w:eastAsia="Calibri" w:cs="Times New Roman"/>
              </w:rPr>
              <w:t> </w:t>
            </w:r>
          </w:p>
        </w:tc>
        <w:tc>
          <w:tcPr>
            <w:tcW w:w="1248" w:type="dxa"/>
            <w:vAlign w:val="center"/>
          </w:tcPr>
          <w:p w14:paraId="2BF41E61" w14:textId="77777777" w:rsidR="002E684B" w:rsidRPr="001455DC" w:rsidRDefault="002E684B" w:rsidP="008C783D">
            <w:pPr>
              <w:pStyle w:val="Tablebody"/>
              <w:jc w:val="right"/>
            </w:pPr>
          </w:p>
        </w:tc>
      </w:tr>
      <w:tr w:rsidR="002E684B" w:rsidRPr="001455DC" w14:paraId="7F8EE9BF" w14:textId="77777777" w:rsidTr="008C783D">
        <w:trPr>
          <w:cantSplit/>
        </w:trPr>
        <w:tc>
          <w:tcPr>
            <w:tcW w:w="851" w:type="dxa"/>
          </w:tcPr>
          <w:p w14:paraId="3FC851BC" w14:textId="5FAB770C" w:rsidR="002E684B" w:rsidRPr="001455DC" w:rsidRDefault="002E684B" w:rsidP="008C783D">
            <w:pPr>
              <w:pStyle w:val="Tablebody"/>
              <w:rPr>
                <w:rFonts w:eastAsia="Calibri" w:cs="Times New Roman"/>
              </w:rPr>
            </w:pPr>
            <w:r w:rsidRPr="001455DC">
              <w:rPr>
                <w:rStyle w:val="CCMCvariableitalic"/>
              </w:rPr>
              <w:t>RH</w:t>
            </w:r>
          </w:p>
        </w:tc>
        <w:tc>
          <w:tcPr>
            <w:tcW w:w="8562" w:type="dxa"/>
            <w:gridSpan w:val="2"/>
            <w:vAlign w:val="center"/>
          </w:tcPr>
          <w:p w14:paraId="7808AAD7" w14:textId="157C6448" w:rsidR="002E684B" w:rsidRPr="001455DC" w:rsidRDefault="002E684B" w:rsidP="002E684B">
            <w:pPr>
              <w:pStyle w:val="Tablebody"/>
            </w:pPr>
            <w:r w:rsidRPr="001455DC">
              <w:t>is the relative humidity [ %] of the ambient environment;</w:t>
            </w:r>
          </w:p>
        </w:tc>
      </w:tr>
      <w:tr w:rsidR="002E684B" w:rsidRPr="001455DC" w14:paraId="51D44171" w14:textId="77777777" w:rsidTr="008C783D">
        <w:trPr>
          <w:cantSplit/>
        </w:trPr>
        <w:tc>
          <w:tcPr>
            <w:tcW w:w="851" w:type="dxa"/>
          </w:tcPr>
          <w:p w14:paraId="0DB6A9BB" w14:textId="3235C049" w:rsidR="002E684B" w:rsidRPr="001455DC" w:rsidRDefault="002E684B" w:rsidP="008C783D">
            <w:pPr>
              <w:pStyle w:val="Tablebody"/>
              <w:rPr>
                <w:rFonts w:eastAsia="Calibri" w:cs="Times New Roman"/>
              </w:rPr>
            </w:pPr>
            <w:r w:rsidRPr="001455DC">
              <w:rPr>
                <w:rStyle w:val="CCMCvariableitalic"/>
              </w:rPr>
              <w:t>h</w:t>
            </w:r>
            <w:r w:rsidRPr="001455DC">
              <w:rPr>
                <w:rStyle w:val="CCMCvariablesubscript"/>
              </w:rPr>
              <w:t>n</w:t>
            </w:r>
          </w:p>
        </w:tc>
        <w:tc>
          <w:tcPr>
            <w:tcW w:w="8562" w:type="dxa"/>
            <w:gridSpan w:val="2"/>
            <w:vAlign w:val="center"/>
          </w:tcPr>
          <w:p w14:paraId="3AA472C8" w14:textId="3D45189D" w:rsidR="002E684B" w:rsidRPr="001455DC" w:rsidRDefault="00EC27D2" w:rsidP="002E684B">
            <w:pPr>
              <w:pStyle w:val="Tablebody"/>
            </w:pPr>
            <w:r w:rsidRPr="001455DC">
              <w:rPr>
                <w:rFonts w:ascii="Cambria Math" w:hAnsi="Cambria Math"/>
              </w:rPr>
              <w:t>=</w:t>
            </w:r>
            <w:r w:rsidR="00EC0A75" w:rsidRPr="001455DC">
              <w:t> </w:t>
            </w:r>
            <w:r w:rsidR="002E684B" w:rsidRPr="001455DC">
              <w:t>2</w:t>
            </w:r>
            <w:r w:rsidR="002E684B" w:rsidRPr="001455DC">
              <w:rPr>
                <w:rStyle w:val="CCMCvariableitalic"/>
              </w:rPr>
              <w:t>A</w:t>
            </w:r>
            <w:r w:rsidR="002E684B" w:rsidRPr="001455DC">
              <w:rPr>
                <w:rStyle w:val="CCMCvariablesubscript"/>
              </w:rPr>
              <w:t>c</w:t>
            </w:r>
            <w:r w:rsidR="002E684B" w:rsidRPr="001455DC">
              <w:t>/</w:t>
            </w:r>
            <w:r w:rsidR="002E684B" w:rsidRPr="001455DC">
              <w:rPr>
                <w:rStyle w:val="CCMCvariableitalic"/>
              </w:rPr>
              <w:t>u</w:t>
            </w:r>
            <w:r w:rsidR="002E684B" w:rsidRPr="001455DC">
              <w:t xml:space="preserve">, is the notional size [mm] of the member, where </w:t>
            </w:r>
            <w:r w:rsidR="002E684B" w:rsidRPr="001455DC">
              <w:rPr>
                <w:rStyle w:val="CCMCvariableitalic"/>
              </w:rPr>
              <w:t>A</w:t>
            </w:r>
            <w:r w:rsidR="002E684B" w:rsidRPr="001455DC">
              <w:rPr>
                <w:rStyle w:val="CCMCvariablesubscript"/>
              </w:rPr>
              <w:t>c</w:t>
            </w:r>
            <w:r w:rsidR="002E684B" w:rsidRPr="001455DC">
              <w:t xml:space="preserve"> is the cross</w:t>
            </w:r>
            <w:r w:rsidR="00B10711" w:rsidRPr="001455DC">
              <w:t xml:space="preserve"> </w:t>
            </w:r>
            <w:r w:rsidR="002E684B" w:rsidRPr="001455DC">
              <w:t xml:space="preserve">section area and </w:t>
            </w:r>
            <w:r w:rsidR="002E684B" w:rsidRPr="001455DC">
              <w:rPr>
                <w:rStyle w:val="CCMCvariableitalic"/>
              </w:rPr>
              <w:t>u</w:t>
            </w:r>
            <w:r w:rsidR="002E684B" w:rsidRPr="001455DC">
              <w:t xml:space="preserve"> is the perimeter of the structural member in contact with the atmosphere;</w:t>
            </w:r>
          </w:p>
        </w:tc>
      </w:tr>
      <w:tr w:rsidR="002E684B" w:rsidRPr="001455DC" w14:paraId="5D68C3E9" w14:textId="77777777" w:rsidTr="008C783D">
        <w:trPr>
          <w:cantSplit/>
        </w:trPr>
        <w:tc>
          <w:tcPr>
            <w:tcW w:w="851" w:type="dxa"/>
          </w:tcPr>
          <w:p w14:paraId="3EF9295E" w14:textId="11FB828B" w:rsidR="002E684B" w:rsidRPr="009D3012" w:rsidRDefault="002E684B" w:rsidP="008C783D">
            <w:pPr>
              <w:pStyle w:val="Tablebody"/>
              <w:rPr>
                <w:rStyle w:val="CCMCvariableitalic"/>
              </w:rPr>
            </w:pPr>
            <w:r w:rsidRPr="001455DC">
              <w:rPr>
                <w:rStyle w:val="CCMCvariableitalic"/>
              </w:rPr>
              <w:t>t</w:t>
            </w:r>
            <w:r w:rsidRPr="001455DC">
              <w:rPr>
                <w:rStyle w:val="CCMCvariablesubscript"/>
              </w:rPr>
              <w:t>0,adj</w:t>
            </w:r>
          </w:p>
        </w:tc>
        <w:tc>
          <w:tcPr>
            <w:tcW w:w="8562" w:type="dxa"/>
            <w:gridSpan w:val="2"/>
            <w:vAlign w:val="center"/>
          </w:tcPr>
          <w:p w14:paraId="6D61D657" w14:textId="1ECE17FA" w:rsidR="002E684B" w:rsidRPr="001455DC" w:rsidRDefault="002E684B">
            <w:pPr>
              <w:pStyle w:val="Tablebody"/>
            </w:pPr>
            <w:r w:rsidRPr="001455DC">
              <w:t>is the adjusted age at loading in days adjusted according to Formula (B.17</w:t>
            </w:r>
            <w:r w:rsidR="00165E36" w:rsidRPr="001455DC">
              <w:t>);</w:t>
            </w:r>
          </w:p>
        </w:tc>
      </w:tr>
      <w:tr w:rsidR="00165E36" w:rsidRPr="001455DC" w14:paraId="52DCCF9A" w14:textId="77777777" w:rsidTr="008C783D">
        <w:trPr>
          <w:cantSplit/>
        </w:trPr>
        <w:tc>
          <w:tcPr>
            <w:tcW w:w="851" w:type="dxa"/>
          </w:tcPr>
          <w:p w14:paraId="47BF6837" w14:textId="5E5103B9" w:rsidR="00165E36" w:rsidRPr="001455DC" w:rsidRDefault="00165E36">
            <w:pPr>
              <w:pStyle w:val="Tablebody"/>
              <w:rPr>
                <w:rStyle w:val="CCMCvariableitalic"/>
                <w:rFonts w:eastAsia="Calibri" w:cs="Times New Roman"/>
                <w:szCs w:val="22"/>
                <w:lang w:eastAsia="en-US"/>
              </w:rPr>
            </w:pPr>
            <m:oMathPara>
              <m:oMath>
                <m:r>
                  <w:rPr>
                    <w:rFonts w:ascii="Cambria Math" w:hAnsi="Cambria Math"/>
                  </w:rPr>
                  <m:t>t-</m:t>
                </m:r>
                <m:sSub>
                  <m:sSubPr>
                    <m:ctrlPr>
                      <w:rPr>
                        <w:rFonts w:ascii="Cambria Math" w:hAnsi="Cambria Math"/>
                      </w:rPr>
                    </m:ctrlPr>
                  </m:sSubPr>
                  <m:e>
                    <m:r>
                      <w:rPr>
                        <w:rFonts w:ascii="Cambria Math" w:hAnsi="Cambria Math"/>
                      </w:rPr>
                      <m:t>t</m:t>
                    </m:r>
                  </m:e>
                  <m:sub>
                    <m:r>
                      <w:rPr>
                        <w:rFonts w:ascii="Cambria Math" w:hAnsi="Cambria Math"/>
                      </w:rPr>
                      <m:t>0</m:t>
                    </m:r>
                  </m:sub>
                </m:sSub>
              </m:oMath>
            </m:oMathPara>
          </w:p>
        </w:tc>
        <w:tc>
          <w:tcPr>
            <w:tcW w:w="8562" w:type="dxa"/>
            <w:gridSpan w:val="2"/>
            <w:vAlign w:val="center"/>
          </w:tcPr>
          <w:p w14:paraId="150DF0D5" w14:textId="78133058" w:rsidR="00165E36" w:rsidRPr="001455DC" w:rsidRDefault="00165E36">
            <w:pPr>
              <w:pStyle w:val="Tablebody"/>
            </w:pPr>
            <w:r w:rsidRPr="001455DC">
              <w:t>Is the non-adjusted duration of loading [ d].</w:t>
            </w:r>
          </w:p>
        </w:tc>
      </w:tr>
    </w:tbl>
    <w:p w14:paraId="61786254" w14:textId="77777777" w:rsidR="002E684B" w:rsidRPr="001455DC" w:rsidRDefault="004E22C1" w:rsidP="00116AE2">
      <w:pPr>
        <w:pStyle w:val="a7"/>
        <w:keepNext/>
      </w:pPr>
      <w:r w:rsidRPr="001455DC">
        <w:t>(4)</w:t>
      </w:r>
      <w:r w:rsidRPr="001455DC">
        <w:tab/>
        <w:t xml:space="preserve">The effect of early strength development of concrete on the creep coefficient of concrete may be considered by modifying the age at loading </w:t>
      </w:r>
      <w:r w:rsidRPr="001455DC">
        <w:rPr>
          <w:rStyle w:val="CCMCvariableitalic"/>
        </w:rPr>
        <w:t>t</w:t>
      </w:r>
      <w:r w:rsidRPr="001455DC">
        <w:rPr>
          <w:rStyle w:val="CCMCvariablesubscript"/>
        </w:rPr>
        <w:t>0</w:t>
      </w:r>
      <w:r w:rsidRPr="001455DC">
        <w:t xml:space="preserve"> to </w:t>
      </w:r>
      <w:r w:rsidRPr="001455DC">
        <w:rPr>
          <w:rStyle w:val="CCMCvariableitalic"/>
        </w:rPr>
        <w:t>t</w:t>
      </w:r>
      <w:r w:rsidRPr="001455DC">
        <w:rPr>
          <w:rStyle w:val="CCMCvariablesubscript"/>
        </w:rPr>
        <w:t>0,adj</w:t>
      </w:r>
      <w:r w:rsidRPr="001455DC">
        <w:t xml:space="preserve"> according to Formula (B.17):</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E684B" w:rsidRPr="001455DC" w14:paraId="546E906E" w14:textId="77777777" w:rsidTr="008C783D">
        <w:trPr>
          <w:cantSplit/>
        </w:trPr>
        <w:tc>
          <w:tcPr>
            <w:tcW w:w="8505" w:type="dxa"/>
            <w:vAlign w:val="center"/>
          </w:tcPr>
          <w:p w14:paraId="62612660" w14:textId="514CC2F2" w:rsidR="002E684B" w:rsidRPr="001455DC" w:rsidRDefault="00231E33" w:rsidP="008C783D">
            <w:pPr>
              <w:pStyle w:val="Formula"/>
              <w:jc w:val="left"/>
            </w:pPr>
            <m:oMathPara>
              <m:oMathParaPr>
                <m:jc m:val="left"/>
              </m:oMathParaPr>
              <m:oMath>
                <m:sSub>
                  <m:sSubPr>
                    <m:ctrlPr>
                      <w:rPr>
                        <w:rFonts w:ascii="Cambria Math" w:hAnsi="Cambria Math"/>
                      </w:rPr>
                    </m:ctrlPr>
                  </m:sSubPr>
                  <m:e>
                    <m:r>
                      <w:rPr>
                        <w:rFonts w:ascii="Cambria Math" w:hAnsi="Cambria Math"/>
                      </w:rPr>
                      <m:t>t</m:t>
                    </m:r>
                  </m:e>
                  <m:sub>
                    <m:r>
                      <w:rPr>
                        <w:rFonts w:ascii="Cambria Math" w:hAnsi="Cambria Math"/>
                      </w:rPr>
                      <m:t>0,</m:t>
                    </m:r>
                    <m:r>
                      <m:rPr>
                        <m:sty m:val="p"/>
                      </m:rPr>
                      <w:rPr>
                        <w:rFonts w:ascii="Cambria Math" w:hAnsi="Cambria Math"/>
                      </w:rPr>
                      <m:t>adj</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0,</m:t>
                    </m:r>
                    <m:r>
                      <m:rPr>
                        <m:sty m:val="p"/>
                      </m:rPr>
                      <w:rPr>
                        <w:rFonts w:ascii="Cambria Math" w:hAnsi="Cambria Math"/>
                      </w:rPr>
                      <m:t>T</m:t>
                    </m:r>
                  </m:sub>
                </m:sSub>
                <m:sSup>
                  <m:sSupPr>
                    <m:ctrlPr>
                      <w:rPr>
                        <w:rFonts w:ascii="Cambria Math" w:hAnsi="Cambria Math"/>
                      </w:rPr>
                    </m:ctrlPr>
                  </m:sSupPr>
                  <m:e>
                    <m:d>
                      <m:dPr>
                        <m:begChr m:val="["/>
                        <m:sepChr m:val=""/>
                        <m:endChr m:val="]"/>
                        <m:ctrlPr>
                          <w:rPr>
                            <w:rFonts w:ascii="Cambria Math" w:hAnsi="Cambria Math"/>
                          </w:rPr>
                        </m:ctrlPr>
                      </m:dPr>
                      <m:e>
                        <m:f>
                          <m:fPr>
                            <m:ctrlPr>
                              <w:rPr>
                                <w:rFonts w:ascii="Cambria Math" w:hAnsi="Cambria Math"/>
                              </w:rPr>
                            </m:ctrlPr>
                          </m:fPr>
                          <m:num>
                            <m:r>
                              <w:rPr>
                                <w:rFonts w:ascii="Cambria Math" w:hAnsi="Cambria Math"/>
                              </w:rPr>
                              <m:t>9</m:t>
                            </m:r>
                          </m:num>
                          <m:den>
                            <m:r>
                              <w:rPr>
                                <w:rFonts w:ascii="Cambria Math" w:hAnsi="Cambria Math"/>
                              </w:rPr>
                              <m:t>2+</m:t>
                            </m:r>
                            <m:sSubSup>
                              <m:sSubSupPr>
                                <m:ctrlPr>
                                  <w:rPr>
                                    <w:rFonts w:ascii="Cambria Math" w:hAnsi="Cambria Math"/>
                                  </w:rPr>
                                </m:ctrlPr>
                              </m:sSubSupPr>
                              <m:e>
                                <m:r>
                                  <w:rPr>
                                    <w:rFonts w:ascii="Cambria Math" w:hAnsi="Cambria Math"/>
                                  </w:rPr>
                                  <m:t>t</m:t>
                                </m:r>
                              </m:e>
                              <m:sub>
                                <m:r>
                                  <w:rPr>
                                    <w:rFonts w:ascii="Cambria Math" w:hAnsi="Cambria Math"/>
                                  </w:rPr>
                                  <m:t>0,</m:t>
                                </m:r>
                                <m:r>
                                  <m:rPr>
                                    <m:sty m:val="p"/>
                                  </m:rPr>
                                  <w:rPr>
                                    <w:rFonts w:ascii="Cambria Math" w:hAnsi="Cambria Math"/>
                                  </w:rPr>
                                  <m:t>T</m:t>
                                </m:r>
                              </m:sub>
                              <m:sup>
                                <m:r>
                                  <w:rPr>
                                    <w:rFonts w:ascii="Cambria Math" w:hAnsi="Cambria Math"/>
                                  </w:rPr>
                                  <m:t>1,2</m:t>
                                </m:r>
                              </m:sup>
                            </m:sSubSup>
                          </m:den>
                        </m:f>
                      </m:e>
                      <m:e>
                        <m:r>
                          <w:rPr>
                            <w:rFonts w:ascii="Cambria Math" w:hAnsi="Cambria Math"/>
                          </w:rPr>
                          <m:t>+</m:t>
                        </m:r>
                      </m:e>
                      <m:e>
                        <m:r>
                          <w:rPr>
                            <w:rFonts w:ascii="Cambria Math" w:hAnsi="Cambria Math"/>
                          </w:rPr>
                          <m:t>1</m:t>
                        </m:r>
                      </m:e>
                    </m:d>
                  </m:e>
                  <m:sup>
                    <m:sSub>
                      <m:sSubPr>
                        <m:ctrlPr>
                          <w:rPr>
                            <w:rFonts w:ascii="Cambria Math" w:hAnsi="Cambria Math"/>
                          </w:rPr>
                        </m:ctrlPr>
                      </m:sSubPr>
                      <m:e>
                        <m:r>
                          <w:rPr>
                            <w:rFonts w:ascii="Cambria Math" w:hAnsi="Cambria Math"/>
                          </w:rPr>
                          <m:t>α</m:t>
                        </m:r>
                      </m:e>
                      <m:sub>
                        <m:r>
                          <m:rPr>
                            <m:sty m:val="p"/>
                          </m:rPr>
                          <w:rPr>
                            <w:rFonts w:ascii="Cambria Math" w:hAnsi="Cambria Math"/>
                          </w:rPr>
                          <m:t>SC</m:t>
                        </m:r>
                      </m:sub>
                    </m:sSub>
                  </m:sup>
                </m:sSup>
                <m:r>
                  <w:rPr>
                    <w:rFonts w:ascii="Cambria Math" w:hAnsi="Cambria Math"/>
                  </w:rPr>
                  <m:t>≥0,5</m:t>
                </m:r>
              </m:oMath>
            </m:oMathPara>
          </w:p>
        </w:tc>
        <w:tc>
          <w:tcPr>
            <w:tcW w:w="1247" w:type="dxa"/>
            <w:vAlign w:val="center"/>
          </w:tcPr>
          <w:p w14:paraId="440A265D" w14:textId="300E311B" w:rsidR="002E684B" w:rsidRPr="001455DC" w:rsidRDefault="002E684B" w:rsidP="008C783D">
            <w:pPr>
              <w:pStyle w:val="a7"/>
              <w:jc w:val="right"/>
            </w:pPr>
            <w:r w:rsidRPr="001455DC">
              <w:t>(B.17)</w:t>
            </w:r>
          </w:p>
        </w:tc>
      </w:tr>
    </w:tbl>
    <w:p w14:paraId="23288373" w14:textId="77777777" w:rsidR="002E684B" w:rsidRPr="001455DC" w:rsidRDefault="002E684B" w:rsidP="00A35599">
      <w:pPr>
        <w:pStyle w:val="a7"/>
        <w:keepNext/>
      </w:pPr>
      <w:r w:rsidRPr="001455DC">
        <w:t>where</w:t>
      </w:r>
    </w:p>
    <w:tbl>
      <w:tblPr>
        <w:tblW w:w="9413" w:type="dxa"/>
        <w:tblInd w:w="397" w:type="dxa"/>
        <w:tblLayout w:type="fixed"/>
        <w:tblCellMar>
          <w:left w:w="28" w:type="dxa"/>
          <w:right w:w="28" w:type="dxa"/>
        </w:tblCellMar>
        <w:tblLook w:val="04A0" w:firstRow="1" w:lastRow="0" w:firstColumn="1" w:lastColumn="0" w:noHBand="0" w:noVBand="1"/>
      </w:tblPr>
      <w:tblGrid>
        <w:gridCol w:w="567"/>
        <w:gridCol w:w="1304"/>
        <w:gridCol w:w="7542"/>
      </w:tblGrid>
      <w:tr w:rsidR="002E684B" w:rsidRPr="001455DC" w14:paraId="2FD571B6" w14:textId="77777777" w:rsidTr="002E684B">
        <w:trPr>
          <w:cantSplit/>
        </w:trPr>
        <w:tc>
          <w:tcPr>
            <w:tcW w:w="567" w:type="dxa"/>
          </w:tcPr>
          <w:p w14:paraId="644790AB" w14:textId="6BF3C8E3" w:rsidR="002E684B" w:rsidRPr="001455DC" w:rsidRDefault="002E684B" w:rsidP="0000442A">
            <w:pPr>
              <w:pStyle w:val="Tablebody"/>
            </w:pPr>
            <w:r w:rsidRPr="001455DC">
              <w:rPr>
                <w:rStyle w:val="CCMCvariableitalic"/>
              </w:rPr>
              <w:t>t</w:t>
            </w:r>
            <w:r w:rsidRPr="001455DC">
              <w:rPr>
                <w:rStyle w:val="CCMCvariablesubscript"/>
              </w:rPr>
              <w:t>0</w:t>
            </w:r>
            <w:r w:rsidRPr="001455DC">
              <w:t>,</w:t>
            </w:r>
            <w:r w:rsidRPr="001455DC">
              <w:rPr>
                <w:rStyle w:val="CCMCvariablesubscript"/>
              </w:rPr>
              <w:t>T</w:t>
            </w:r>
          </w:p>
        </w:tc>
        <w:tc>
          <w:tcPr>
            <w:tcW w:w="8846" w:type="dxa"/>
            <w:gridSpan w:val="2"/>
          </w:tcPr>
          <w:p w14:paraId="2885CB50" w14:textId="21DAAD59" w:rsidR="002E684B" w:rsidRPr="001455DC" w:rsidRDefault="002E684B" w:rsidP="00BB1209">
            <w:pPr>
              <w:pStyle w:val="Tablebody"/>
            </w:pPr>
            <w:r w:rsidRPr="001455DC">
              <w:t xml:space="preserve">is the age of concrete at loading in days adjusted according to the concrete temperature as given in Formula (B.18). For </w:t>
            </w:r>
            <w:r w:rsidRPr="001455DC">
              <w:rPr>
                <w:rStyle w:val="CCMCvariableitalic"/>
              </w:rPr>
              <w:t>T</w:t>
            </w:r>
            <w:r w:rsidRPr="001455DC">
              <w:t> </w:t>
            </w:r>
            <w:r w:rsidR="00EC27D2" w:rsidRPr="001455DC">
              <w:rPr>
                <w:rFonts w:ascii="Cambria Math" w:hAnsi="Cambria Math"/>
              </w:rPr>
              <w:t>=</w:t>
            </w:r>
            <w:r w:rsidRPr="001455DC">
              <w:t xml:space="preserve"> 20 °C, </w:t>
            </w:r>
            <w:r w:rsidRPr="001455DC">
              <w:rPr>
                <w:rStyle w:val="CCMCvariableitalic"/>
              </w:rPr>
              <w:t>t</w:t>
            </w:r>
            <w:r w:rsidRPr="001455DC">
              <w:rPr>
                <w:rStyle w:val="CCMCvariablesubscript"/>
              </w:rPr>
              <w:t>0</w:t>
            </w:r>
            <w:r w:rsidRPr="001455DC">
              <w:t>,</w:t>
            </w:r>
            <w:r w:rsidRPr="001455DC">
              <w:rPr>
                <w:rStyle w:val="CCMCvariablesubscript"/>
              </w:rPr>
              <w:t>T</w:t>
            </w:r>
            <w:r w:rsidRPr="001455DC">
              <w:t xml:space="preserve"> corresponds to </w:t>
            </w:r>
            <w:r w:rsidRPr="001455DC">
              <w:rPr>
                <w:rStyle w:val="CCMCvariableitalic"/>
              </w:rPr>
              <w:t>t</w:t>
            </w:r>
            <w:r w:rsidRPr="001455DC">
              <w:rPr>
                <w:rStyle w:val="CCMCvariablesubscript"/>
              </w:rPr>
              <w:t>0</w:t>
            </w:r>
            <w:r w:rsidRPr="001455DC">
              <w:t>;</w:t>
            </w:r>
          </w:p>
        </w:tc>
      </w:tr>
      <w:tr w:rsidR="002E684B" w:rsidRPr="001455DC" w14:paraId="4ADF4F2D" w14:textId="77777777" w:rsidTr="002E684B">
        <w:trPr>
          <w:cantSplit/>
        </w:trPr>
        <w:tc>
          <w:tcPr>
            <w:tcW w:w="567" w:type="dxa"/>
          </w:tcPr>
          <w:p w14:paraId="2A782F0E" w14:textId="3E6292B1" w:rsidR="002E684B" w:rsidRPr="001455DC" w:rsidRDefault="002E684B" w:rsidP="0000442A">
            <w:pPr>
              <w:pStyle w:val="Tablebody"/>
            </w:pPr>
            <w:r w:rsidRPr="001455DC">
              <w:rPr>
                <w:rStyle w:val="CCMCvariableitalic"/>
              </w:rPr>
              <w:t>α</w:t>
            </w:r>
            <w:r w:rsidRPr="001455DC">
              <w:rPr>
                <w:rStyle w:val="CCMCvariablesubscript"/>
              </w:rPr>
              <w:t>SC</w:t>
            </w:r>
          </w:p>
        </w:tc>
        <w:tc>
          <w:tcPr>
            <w:tcW w:w="8846" w:type="dxa"/>
            <w:gridSpan w:val="2"/>
          </w:tcPr>
          <w:p w14:paraId="5FB2010E" w14:textId="637A9C99" w:rsidR="002E684B" w:rsidRPr="001455DC" w:rsidRDefault="002E684B">
            <w:pPr>
              <w:pStyle w:val="Tablebody"/>
            </w:pPr>
            <w:r w:rsidRPr="001455DC">
              <w:t>is a coefficient which depends on the strength development of concrete (see B.</w:t>
            </w:r>
            <w:r w:rsidR="00D36AE6" w:rsidRPr="001455DC">
              <w:t>3</w:t>
            </w:r>
            <w:r w:rsidRPr="001455DC">
              <w:t>(1)):</w:t>
            </w:r>
          </w:p>
        </w:tc>
      </w:tr>
      <w:tr w:rsidR="002E684B" w:rsidRPr="001455DC" w14:paraId="1E56D147" w14:textId="77777777" w:rsidTr="002E684B">
        <w:trPr>
          <w:cantSplit/>
        </w:trPr>
        <w:tc>
          <w:tcPr>
            <w:tcW w:w="567" w:type="dxa"/>
          </w:tcPr>
          <w:p w14:paraId="73ED4A0F" w14:textId="59D4C75A" w:rsidR="002E684B" w:rsidRPr="001455DC" w:rsidRDefault="002E684B" w:rsidP="00D86695">
            <w:pPr>
              <w:pStyle w:val="Tablebody"/>
            </w:pPr>
            <w:r w:rsidRPr="001455DC">
              <w:t> </w:t>
            </w:r>
          </w:p>
        </w:tc>
        <w:tc>
          <w:tcPr>
            <w:tcW w:w="1304" w:type="dxa"/>
          </w:tcPr>
          <w:p w14:paraId="354FD525" w14:textId="6B7024B6" w:rsidR="002E684B" w:rsidRPr="001455DC" w:rsidRDefault="002E684B" w:rsidP="00D86695">
            <w:pPr>
              <w:pStyle w:val="Tablebody"/>
            </w:pPr>
            <w:r w:rsidRPr="001455DC">
              <w:rPr>
                <w:rStyle w:val="CCMCvariableitalic"/>
              </w:rPr>
              <w:t>α</w:t>
            </w:r>
            <w:r w:rsidRPr="001455DC">
              <w:rPr>
                <w:rStyle w:val="CCMCvariablesubscript"/>
              </w:rPr>
              <w:t>SC</w:t>
            </w:r>
            <w:r w:rsidRPr="001455DC">
              <w:t> </w:t>
            </w:r>
            <w:r w:rsidR="00EC27D2" w:rsidRPr="001455DC">
              <w:rPr>
                <w:rFonts w:ascii="Cambria Math" w:hAnsi="Cambria Math"/>
              </w:rPr>
              <w:t>=</w:t>
            </w:r>
            <w:r w:rsidRPr="001455DC">
              <w:t> </w:t>
            </w:r>
            <w:r w:rsidRPr="001455DC">
              <w:rPr>
                <w:rFonts w:ascii="Cambria Math" w:hAnsi="Cambria Math"/>
              </w:rPr>
              <w:t>−</w:t>
            </w:r>
            <w:r w:rsidRPr="001455DC">
              <w:t>1</w:t>
            </w:r>
          </w:p>
        </w:tc>
        <w:tc>
          <w:tcPr>
            <w:tcW w:w="7541" w:type="dxa"/>
          </w:tcPr>
          <w:p w14:paraId="713F240C" w14:textId="03D8F586" w:rsidR="002E684B" w:rsidRPr="001455DC" w:rsidRDefault="002E684B" w:rsidP="00D86695">
            <w:pPr>
              <w:pStyle w:val="Tablebody"/>
            </w:pPr>
            <w:r w:rsidRPr="001455DC">
              <w:t>for class CS;</w:t>
            </w:r>
          </w:p>
        </w:tc>
      </w:tr>
      <w:tr w:rsidR="002E684B" w:rsidRPr="001455DC" w14:paraId="787FCC7D" w14:textId="77777777" w:rsidTr="002E684B">
        <w:trPr>
          <w:cantSplit/>
        </w:trPr>
        <w:tc>
          <w:tcPr>
            <w:tcW w:w="567" w:type="dxa"/>
          </w:tcPr>
          <w:p w14:paraId="2186770C" w14:textId="2BD8CBD8" w:rsidR="002E684B" w:rsidRPr="001455DC" w:rsidRDefault="002E684B" w:rsidP="00D86695">
            <w:pPr>
              <w:pStyle w:val="Tablebody"/>
            </w:pPr>
            <w:r w:rsidRPr="001455DC">
              <w:t> </w:t>
            </w:r>
          </w:p>
        </w:tc>
        <w:tc>
          <w:tcPr>
            <w:tcW w:w="1304" w:type="dxa"/>
          </w:tcPr>
          <w:p w14:paraId="4A208959" w14:textId="741DD4C6" w:rsidR="002E684B" w:rsidRPr="001455DC" w:rsidRDefault="002E684B" w:rsidP="00D86695">
            <w:pPr>
              <w:pStyle w:val="Tablebody"/>
            </w:pPr>
            <w:r w:rsidRPr="001455DC">
              <w:rPr>
                <w:rStyle w:val="CCMCvariableitalic"/>
              </w:rPr>
              <w:t>α</w:t>
            </w:r>
            <w:r w:rsidRPr="001455DC">
              <w:rPr>
                <w:rStyle w:val="CCMCvariablesubscript"/>
              </w:rPr>
              <w:t>SC</w:t>
            </w:r>
            <w:r w:rsidRPr="001455DC">
              <w:t> </w:t>
            </w:r>
            <w:r w:rsidR="00EC27D2" w:rsidRPr="001455DC">
              <w:rPr>
                <w:rFonts w:ascii="Cambria Math" w:hAnsi="Cambria Math"/>
              </w:rPr>
              <w:t>=</w:t>
            </w:r>
            <w:r w:rsidRPr="001455DC">
              <w:t> 0</w:t>
            </w:r>
          </w:p>
        </w:tc>
        <w:tc>
          <w:tcPr>
            <w:tcW w:w="7541" w:type="dxa"/>
          </w:tcPr>
          <w:p w14:paraId="3E91C001" w14:textId="52E22E8C" w:rsidR="002E684B" w:rsidRPr="001455DC" w:rsidRDefault="002E684B" w:rsidP="00D86695">
            <w:pPr>
              <w:pStyle w:val="Tablebody"/>
            </w:pPr>
            <w:r w:rsidRPr="001455DC">
              <w:t>for class CN;</w:t>
            </w:r>
          </w:p>
        </w:tc>
      </w:tr>
      <w:tr w:rsidR="002E684B" w:rsidRPr="001455DC" w14:paraId="47B720C6" w14:textId="77777777" w:rsidTr="002E684B">
        <w:trPr>
          <w:cantSplit/>
        </w:trPr>
        <w:tc>
          <w:tcPr>
            <w:tcW w:w="567" w:type="dxa"/>
          </w:tcPr>
          <w:p w14:paraId="71769EF0" w14:textId="51501C58" w:rsidR="002E684B" w:rsidRPr="001455DC" w:rsidRDefault="002E684B" w:rsidP="00D86695">
            <w:pPr>
              <w:pStyle w:val="Tablebody"/>
            </w:pPr>
            <w:r w:rsidRPr="001455DC">
              <w:t> </w:t>
            </w:r>
          </w:p>
        </w:tc>
        <w:tc>
          <w:tcPr>
            <w:tcW w:w="1304" w:type="dxa"/>
          </w:tcPr>
          <w:p w14:paraId="57774842" w14:textId="2D1AEDE4" w:rsidR="002E684B" w:rsidRPr="001455DC" w:rsidRDefault="002E684B" w:rsidP="00D86695">
            <w:pPr>
              <w:pStyle w:val="Tablebody"/>
            </w:pPr>
            <w:r w:rsidRPr="001455DC">
              <w:rPr>
                <w:rStyle w:val="CCMCvariableitalic"/>
              </w:rPr>
              <w:t>α</w:t>
            </w:r>
            <w:r w:rsidRPr="001455DC">
              <w:rPr>
                <w:rStyle w:val="CCMCvariablesubscript"/>
              </w:rPr>
              <w:t>SC</w:t>
            </w:r>
            <w:r w:rsidRPr="001455DC">
              <w:t> </w:t>
            </w:r>
            <w:r w:rsidR="00EC27D2" w:rsidRPr="001455DC">
              <w:rPr>
                <w:rFonts w:ascii="Cambria Math" w:hAnsi="Cambria Math"/>
              </w:rPr>
              <w:t>=</w:t>
            </w:r>
            <w:r w:rsidRPr="001455DC">
              <w:t> 1</w:t>
            </w:r>
          </w:p>
        </w:tc>
        <w:tc>
          <w:tcPr>
            <w:tcW w:w="7541" w:type="dxa"/>
          </w:tcPr>
          <w:p w14:paraId="6EBC452F" w14:textId="3D3C9044" w:rsidR="002E684B" w:rsidRPr="001455DC" w:rsidRDefault="002E684B" w:rsidP="00D86695">
            <w:pPr>
              <w:pStyle w:val="Tablebody"/>
            </w:pPr>
            <w:r w:rsidRPr="001455DC">
              <w:t>for class CR.</w:t>
            </w:r>
          </w:p>
        </w:tc>
      </w:tr>
    </w:tbl>
    <w:p w14:paraId="1C55C96B" w14:textId="064C2D45" w:rsidR="002E684B" w:rsidRPr="001455DC" w:rsidRDefault="004E22C1" w:rsidP="00116AE2">
      <w:pPr>
        <w:pStyle w:val="a7"/>
        <w:keepNext/>
      </w:pPr>
      <w:r w:rsidRPr="001455DC">
        <w:t>(5)</w:t>
      </w:r>
      <w:r w:rsidRPr="001455DC">
        <w:tab/>
        <w:t>The effect of elevated or reduced concrete temperatures within the range of 0 °C </w:t>
      </w:r>
      <w:r w:rsidR="00650035" w:rsidRPr="001455DC">
        <w:rPr>
          <w:rFonts w:ascii="Cambria Math" w:hAnsi="Cambria Math"/>
        </w:rPr>
        <w:t>≤</w:t>
      </w:r>
      <w:r w:rsidRPr="001455DC">
        <w:t> </w:t>
      </w:r>
      <w:r w:rsidRPr="001455DC">
        <w:rPr>
          <w:rStyle w:val="CCMCvariableitalic"/>
        </w:rPr>
        <w:t>T</w:t>
      </w:r>
      <w:r w:rsidRPr="001455DC">
        <w:t> </w:t>
      </w:r>
      <w:r w:rsidR="00650035" w:rsidRPr="001455DC">
        <w:rPr>
          <w:rFonts w:ascii="Cambria Math" w:hAnsi="Cambria Math"/>
        </w:rPr>
        <w:t>≤</w:t>
      </w:r>
      <w:r w:rsidRPr="001455DC">
        <w:t> </w:t>
      </w:r>
      <w:r w:rsidR="00650035" w:rsidRPr="001455DC">
        <w:rPr>
          <w:rFonts w:ascii="Cambria Math" w:hAnsi="Cambria Math"/>
        </w:rPr>
        <w:t>+</w:t>
      </w:r>
      <w:r w:rsidRPr="001455DC">
        <w:t>80 °C on the maturity of concrete may be considered by adjusting the concrete age according to Formula (B.18):</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E684B" w:rsidRPr="001455DC" w14:paraId="66C53143" w14:textId="77777777" w:rsidTr="008C783D">
        <w:trPr>
          <w:cantSplit/>
        </w:trPr>
        <w:tc>
          <w:tcPr>
            <w:tcW w:w="8505" w:type="dxa"/>
            <w:vAlign w:val="center"/>
          </w:tcPr>
          <w:p w14:paraId="221CD6EE" w14:textId="4CAEF58B" w:rsidR="002E684B" w:rsidRPr="001455DC" w:rsidRDefault="00231E33">
            <w:pPr>
              <w:pStyle w:val="Formula"/>
              <w:jc w:val="left"/>
            </w:pPr>
            <m:oMathPara>
              <m:oMathParaPr>
                <m:jc m:val="left"/>
              </m:oMathParaPr>
              <m:oMath>
                <m:sSub>
                  <m:sSubPr>
                    <m:ctrlPr>
                      <w:rPr>
                        <w:rFonts w:ascii="Cambria Math" w:hAnsi="Cambria Math"/>
                      </w:rPr>
                    </m:ctrlPr>
                  </m:sSubPr>
                  <m:e>
                    <m:r>
                      <w:rPr>
                        <w:rFonts w:ascii="Cambria Math" w:hAnsi="Cambria Math"/>
                      </w:rPr>
                      <m:t>t</m:t>
                    </m:r>
                  </m:e>
                  <m:sub>
                    <m:r>
                      <m:rPr>
                        <m:sty m:val="p"/>
                      </m:rPr>
                      <w:rPr>
                        <w:rFonts w:ascii="Cambria Math" w:hAnsi="Cambria Math"/>
                      </w:rPr>
                      <m:t>T</m:t>
                    </m:r>
                  </m:sub>
                </m:sSub>
                <m:r>
                  <w:rPr>
                    <w:rFonts w:ascii="Cambria Math" w:hAnsi="Cambria Math"/>
                  </w:rPr>
                  <m:t>=</m:t>
                </m:r>
                <m:nary>
                  <m:naryPr>
                    <m:chr m:val="∑"/>
                    <m:limLoc m:val="undOvr"/>
                    <m:grow m:val="1"/>
                    <m:ctrlPr>
                      <w:rPr>
                        <w:rFonts w:ascii="Cambria Math" w:hAnsi="Cambria Math"/>
                      </w:rPr>
                    </m:ctrlPr>
                  </m:naryPr>
                  <m:sub>
                    <m:r>
                      <w:rPr>
                        <w:rFonts w:ascii="Cambria Math" w:hAnsi="Cambria Math"/>
                      </w:rPr>
                      <m:t>i=1</m:t>
                    </m:r>
                  </m:sub>
                  <m:sup>
                    <m:r>
                      <w:rPr>
                        <w:rFonts w:ascii="Cambria Math" w:hAnsi="Cambria Math"/>
                      </w:rPr>
                      <m:t>n</m:t>
                    </m:r>
                  </m:sup>
                  <m:e>
                    <m:r>
                      <m:rPr>
                        <m:sty m:val="p"/>
                      </m:rPr>
                      <w:rPr>
                        <w:rFonts w:ascii="Cambria Math" w:hAnsi="Cambria Math"/>
                      </w:rPr>
                      <m:t>Δ</m:t>
                    </m:r>
                    <m:sSub>
                      <m:sSubPr>
                        <m:ctrlPr>
                          <w:rPr>
                            <w:rFonts w:ascii="Cambria Math" w:hAnsi="Cambria Math"/>
                          </w:rPr>
                        </m:ctrlPr>
                      </m:sSubPr>
                      <m:e>
                        <m:r>
                          <w:rPr>
                            <w:rFonts w:ascii="Cambria Math" w:hAnsi="Cambria Math"/>
                          </w:rPr>
                          <m:t>t</m:t>
                        </m:r>
                      </m:e>
                      <m:sub>
                        <m:r>
                          <m:rPr>
                            <m:sty m:val="p"/>
                          </m:rPr>
                          <w:rPr>
                            <w:rFonts w:ascii="Cambria Math" w:hAnsi="Cambria Math"/>
                          </w:rPr>
                          <m:t>i</m:t>
                        </m:r>
                      </m:sub>
                    </m:sSub>
                    <m:r>
                      <w:rPr>
                        <w:rFonts w:ascii="Cambria Math" w:hAnsi="Cambria Math"/>
                      </w:rPr>
                      <m:t>⋅</m:t>
                    </m:r>
                    <m:sSup>
                      <m:sSupPr>
                        <m:ctrlPr>
                          <w:rPr>
                            <w:rFonts w:ascii="Cambria Math" w:hAnsi="Cambria Math"/>
                          </w:rPr>
                        </m:ctrlPr>
                      </m:sSupPr>
                      <m:e>
                        <m:r>
                          <m:rPr>
                            <m:sty m:val="p"/>
                          </m:rPr>
                          <w:rPr>
                            <w:rFonts w:ascii="Cambria Math" w:hAnsi="Cambria Math"/>
                          </w:rPr>
                          <m:t>exp</m:t>
                        </m:r>
                        <m:d>
                          <m:dPr>
                            <m:ctrlPr>
                              <w:rPr>
                                <w:rFonts w:ascii="Cambria Math" w:hAnsi="Cambria Math"/>
                                <w:i/>
                              </w:rPr>
                            </m:ctrlPr>
                          </m:dPr>
                          <m:e>
                            <m:r>
                              <w:rPr>
                                <w:rFonts w:ascii="Cambria Math" w:hAnsi="Cambria Math"/>
                              </w:rPr>
                              <m:t xml:space="preserve">13,65 - </m:t>
                            </m:r>
                            <m:f>
                              <m:fPr>
                                <m:ctrlPr>
                                  <w:rPr>
                                    <w:rFonts w:ascii="Cambria Math" w:hAnsi="Cambria Math"/>
                                  </w:rPr>
                                </m:ctrlPr>
                              </m:fPr>
                              <m:num>
                                <m:r>
                                  <w:rPr>
                                    <w:rFonts w:ascii="Cambria Math" w:hAnsi="Cambria Math"/>
                                  </w:rPr>
                                  <m:t>4000</m:t>
                                </m:r>
                              </m:num>
                              <m:den>
                                <m:r>
                                  <w:rPr>
                                    <w:rFonts w:ascii="Cambria Math" w:hAnsi="Cambria Math"/>
                                  </w:rPr>
                                  <m:t>273+T</m:t>
                                </m:r>
                                <m:d>
                                  <m:dPr>
                                    <m:ctrlPr>
                                      <w:rPr>
                                        <w:rFonts w:ascii="Cambria Math" w:hAnsi="Cambria Math"/>
                                      </w:rPr>
                                    </m:ctrlPr>
                                  </m:dPr>
                                  <m:e>
                                    <m:r>
                                      <m:rPr>
                                        <m:sty m:val="p"/>
                                      </m:rPr>
                                      <w:rPr>
                                        <w:rFonts w:ascii="Cambria Math" w:hAnsi="Cambria Math"/>
                                      </w:rPr>
                                      <m:t>Δ</m:t>
                                    </m:r>
                                    <m:sSub>
                                      <m:sSubPr>
                                        <m:ctrlPr>
                                          <w:rPr>
                                            <w:rFonts w:ascii="Cambria Math" w:hAnsi="Cambria Math"/>
                                          </w:rPr>
                                        </m:ctrlPr>
                                      </m:sSubPr>
                                      <m:e>
                                        <m:r>
                                          <w:rPr>
                                            <w:rFonts w:ascii="Cambria Math" w:hAnsi="Cambria Math"/>
                                          </w:rPr>
                                          <m:t>t</m:t>
                                        </m:r>
                                      </m:e>
                                      <m:sub>
                                        <m:r>
                                          <m:rPr>
                                            <m:sty m:val="p"/>
                                          </m:rPr>
                                          <w:rPr>
                                            <w:rFonts w:ascii="Cambria Math" w:hAnsi="Cambria Math"/>
                                          </w:rPr>
                                          <m:t>i</m:t>
                                        </m:r>
                                      </m:sub>
                                    </m:sSub>
                                  </m:e>
                                </m:d>
                              </m:den>
                            </m:f>
                          </m:e>
                        </m:d>
                      </m:e>
                      <m:sup/>
                    </m:sSup>
                  </m:e>
                </m:nary>
              </m:oMath>
            </m:oMathPara>
          </w:p>
        </w:tc>
        <w:tc>
          <w:tcPr>
            <w:tcW w:w="1247" w:type="dxa"/>
            <w:vAlign w:val="center"/>
          </w:tcPr>
          <w:p w14:paraId="476E1FC2" w14:textId="301F6107" w:rsidR="002E684B" w:rsidRPr="001455DC" w:rsidRDefault="002E684B" w:rsidP="008C783D">
            <w:pPr>
              <w:pStyle w:val="a7"/>
              <w:jc w:val="right"/>
            </w:pPr>
            <w:r w:rsidRPr="001455DC">
              <w:t>(B.18)</w:t>
            </w:r>
          </w:p>
        </w:tc>
      </w:tr>
    </w:tbl>
    <w:p w14:paraId="787C48E4" w14:textId="77777777" w:rsidR="002E684B" w:rsidRPr="001455DC" w:rsidRDefault="002E684B" w:rsidP="00A35599">
      <w:pPr>
        <w:pStyle w:val="a7"/>
        <w:keepNext/>
      </w:pPr>
      <w:r w:rsidRPr="001455DC">
        <w:t>where</w:t>
      </w:r>
    </w:p>
    <w:tbl>
      <w:tblPr>
        <w:tblW w:w="9413" w:type="dxa"/>
        <w:tblInd w:w="397" w:type="dxa"/>
        <w:tblLayout w:type="fixed"/>
        <w:tblCellMar>
          <w:left w:w="28" w:type="dxa"/>
          <w:right w:w="28" w:type="dxa"/>
        </w:tblCellMar>
        <w:tblLook w:val="04A0" w:firstRow="1" w:lastRow="0" w:firstColumn="1" w:lastColumn="0" w:noHBand="0" w:noVBand="1"/>
      </w:tblPr>
      <w:tblGrid>
        <w:gridCol w:w="851"/>
        <w:gridCol w:w="8562"/>
      </w:tblGrid>
      <w:tr w:rsidR="002E684B" w:rsidRPr="001455DC" w14:paraId="5739BF81" w14:textId="77777777" w:rsidTr="002E684B">
        <w:trPr>
          <w:cantSplit/>
        </w:trPr>
        <w:tc>
          <w:tcPr>
            <w:tcW w:w="851" w:type="dxa"/>
          </w:tcPr>
          <w:p w14:paraId="5305508F" w14:textId="3BCB77F0" w:rsidR="002E684B" w:rsidRPr="001455DC" w:rsidRDefault="002E684B" w:rsidP="008C783D">
            <w:pPr>
              <w:pStyle w:val="Tablebody"/>
            </w:pPr>
            <w:r w:rsidRPr="001455DC">
              <w:rPr>
                <w:rStyle w:val="CCMCvariableitalic"/>
              </w:rPr>
              <w:t>t</w:t>
            </w:r>
            <w:r w:rsidRPr="001455DC">
              <w:rPr>
                <w:rStyle w:val="CCMCvariablesubscript"/>
              </w:rPr>
              <w:t>T</w:t>
            </w:r>
          </w:p>
        </w:tc>
        <w:tc>
          <w:tcPr>
            <w:tcW w:w="8562" w:type="dxa"/>
          </w:tcPr>
          <w:p w14:paraId="0DF05000" w14:textId="7FDA8901" w:rsidR="002E684B" w:rsidRPr="001455DC" w:rsidRDefault="002E684B" w:rsidP="008C783D">
            <w:pPr>
              <w:pStyle w:val="Tablebody"/>
            </w:pPr>
            <w:r w:rsidRPr="001455DC">
              <w:t xml:space="preserve">is the temperature-adjusted concrete age in days which replaces </w:t>
            </w:r>
            <w:r w:rsidRPr="001455DC">
              <w:rPr>
                <w:rStyle w:val="CCMCvariableitalic"/>
              </w:rPr>
              <w:t>t</w:t>
            </w:r>
            <w:r w:rsidRPr="001455DC">
              <w:t xml:space="preserve"> in the corresponding formulae;</w:t>
            </w:r>
          </w:p>
        </w:tc>
      </w:tr>
      <w:tr w:rsidR="002E684B" w:rsidRPr="001455DC" w14:paraId="45AEA67F" w14:textId="77777777" w:rsidTr="002E684B">
        <w:trPr>
          <w:cantSplit/>
        </w:trPr>
        <w:tc>
          <w:tcPr>
            <w:tcW w:w="851" w:type="dxa"/>
          </w:tcPr>
          <w:p w14:paraId="15136C2C" w14:textId="61DB6FBF" w:rsidR="002E684B" w:rsidRPr="001455DC" w:rsidRDefault="002E684B" w:rsidP="008C783D">
            <w:pPr>
              <w:pStyle w:val="Tablebody"/>
            </w:pPr>
            <w:r w:rsidRPr="001455DC">
              <w:t>Δ</w:t>
            </w:r>
            <w:r w:rsidRPr="001455DC">
              <w:rPr>
                <w:rStyle w:val="CCMCvariableitalic"/>
              </w:rPr>
              <w:t>t</w:t>
            </w:r>
            <w:r w:rsidRPr="001455DC">
              <w:rPr>
                <w:rStyle w:val="CCMCvariablesubscript"/>
              </w:rPr>
              <w:t>i</w:t>
            </w:r>
          </w:p>
        </w:tc>
        <w:tc>
          <w:tcPr>
            <w:tcW w:w="8562" w:type="dxa"/>
          </w:tcPr>
          <w:p w14:paraId="25298A62" w14:textId="78C94A3E" w:rsidR="002E684B" w:rsidRPr="001455DC" w:rsidRDefault="002E684B" w:rsidP="008C783D">
            <w:pPr>
              <w:pStyle w:val="Tablebody"/>
            </w:pPr>
            <w:r w:rsidRPr="001455DC">
              <w:t xml:space="preserve">is the number of days where a temperature </w:t>
            </w:r>
            <w:r w:rsidRPr="001455DC">
              <w:rPr>
                <w:rStyle w:val="CCMCvariableitalic"/>
              </w:rPr>
              <w:t>T</w:t>
            </w:r>
            <w:r w:rsidRPr="001455DC">
              <w:t xml:space="preserve"> prevails;</w:t>
            </w:r>
          </w:p>
        </w:tc>
      </w:tr>
      <w:tr w:rsidR="002E684B" w:rsidRPr="001455DC" w14:paraId="367C10DE" w14:textId="77777777" w:rsidTr="002E684B">
        <w:trPr>
          <w:cantSplit/>
        </w:trPr>
        <w:tc>
          <w:tcPr>
            <w:tcW w:w="851" w:type="dxa"/>
          </w:tcPr>
          <w:p w14:paraId="6A6076F9" w14:textId="48846DA3" w:rsidR="002E684B" w:rsidRPr="001455DC" w:rsidRDefault="002E684B" w:rsidP="008C783D">
            <w:pPr>
              <w:pStyle w:val="Tablebody"/>
            </w:pPr>
            <w:r w:rsidRPr="001455DC">
              <w:rPr>
                <w:rStyle w:val="CCMCvariableitalic"/>
              </w:rPr>
              <w:t>T</w:t>
            </w:r>
            <w:r w:rsidRPr="001455DC">
              <w:t>(Δ</w:t>
            </w:r>
            <w:r w:rsidRPr="001455DC">
              <w:rPr>
                <w:rStyle w:val="CCMCvariableitalic"/>
              </w:rPr>
              <w:t>t</w:t>
            </w:r>
            <w:r w:rsidRPr="001455DC">
              <w:rPr>
                <w:rStyle w:val="CCMCvariablesubscript"/>
              </w:rPr>
              <w:t>i</w:t>
            </w:r>
            <w:r w:rsidRPr="001455DC">
              <w:t>)</w:t>
            </w:r>
          </w:p>
        </w:tc>
        <w:tc>
          <w:tcPr>
            <w:tcW w:w="8562" w:type="dxa"/>
          </w:tcPr>
          <w:p w14:paraId="11C10F7E" w14:textId="088754DF" w:rsidR="002E684B" w:rsidRPr="001455DC" w:rsidRDefault="002E684B" w:rsidP="008C783D">
            <w:pPr>
              <w:pStyle w:val="Tablebody"/>
            </w:pPr>
            <w:r w:rsidRPr="001455DC">
              <w:t>is the mean concrete temperature in °C during the time period Δ</w:t>
            </w:r>
            <w:r w:rsidRPr="001455DC">
              <w:rPr>
                <w:rStyle w:val="CCMCvariableitalic"/>
              </w:rPr>
              <w:t>t</w:t>
            </w:r>
            <w:r w:rsidRPr="001455DC">
              <w:rPr>
                <w:rStyle w:val="CCMCvariablesubscript"/>
              </w:rPr>
              <w:t>i</w:t>
            </w:r>
            <w:r w:rsidRPr="001455DC">
              <w:rPr>
                <w:rStyle w:val="CCMCvariableitalic"/>
              </w:rPr>
              <w:t>.</w:t>
            </w:r>
          </w:p>
        </w:tc>
      </w:tr>
    </w:tbl>
    <w:p w14:paraId="2526B10A" w14:textId="725E21C0" w:rsidR="002E684B" w:rsidRPr="001455DC" w:rsidRDefault="004E22C1" w:rsidP="00116AE2">
      <w:pPr>
        <w:pStyle w:val="a7"/>
        <w:keepNext/>
      </w:pPr>
      <w:r w:rsidRPr="001455DC">
        <w:t>(6)</w:t>
      </w:r>
      <w:r w:rsidRPr="001455DC">
        <w:tab/>
        <w:t>For high stress levels in the range of 0,4</w:t>
      </w:r>
      <w:r w:rsidRPr="001455DC">
        <w:rPr>
          <w:rStyle w:val="CCMCvariableitalic"/>
        </w:rPr>
        <w:t>f</w:t>
      </w:r>
      <w:r w:rsidRPr="001455DC">
        <w:rPr>
          <w:rStyle w:val="CCMCvariablesubscript"/>
        </w:rPr>
        <w:t>cm</w:t>
      </w:r>
      <w:r w:rsidR="008C783D" w:rsidRPr="001455DC">
        <w:t xml:space="preserve"> </w:t>
      </w:r>
      <w:r w:rsidRPr="001455DC">
        <w:t>(</w:t>
      </w:r>
      <w:r w:rsidRPr="001455DC">
        <w:rPr>
          <w:rStyle w:val="CCMCvariableitalic"/>
        </w:rPr>
        <w:t>t</w:t>
      </w:r>
      <w:r w:rsidRPr="001455DC">
        <w:rPr>
          <w:rStyle w:val="CCMCvariablesubscript"/>
        </w:rPr>
        <w:t>0</w:t>
      </w:r>
      <w:r w:rsidRPr="001455DC">
        <w:t>)</w:t>
      </w:r>
      <w:r w:rsidR="008C783D" w:rsidRPr="001455DC">
        <w:t xml:space="preserve"> </w:t>
      </w:r>
      <w:r w:rsidR="00650035" w:rsidRPr="001455DC">
        <w:rPr>
          <w:rFonts w:ascii="Cambria Math" w:hAnsi="Cambria Math"/>
        </w:rPr>
        <w:t>&lt;</w:t>
      </w:r>
      <w:r w:rsidRPr="001455DC">
        <w:t xml:space="preserve"> </w:t>
      </w:r>
      <w:r w:rsidRPr="001455DC">
        <w:rPr>
          <w:rStyle w:val="CCMCvariableitalic"/>
        </w:rPr>
        <w:t>σ</w:t>
      </w:r>
      <w:r w:rsidRPr="001455DC">
        <w:rPr>
          <w:rStyle w:val="CCMCvariablesubscript"/>
        </w:rPr>
        <w:t>c</w:t>
      </w:r>
      <w:r w:rsidRPr="001455DC">
        <w:t xml:space="preserve">  </w:t>
      </w:r>
      <w:r w:rsidR="00650035" w:rsidRPr="001455DC">
        <w:rPr>
          <w:rFonts w:ascii="Cambria Math" w:hAnsi="Cambria Math"/>
        </w:rPr>
        <w:t>&lt;</w:t>
      </w:r>
      <w:r w:rsidRPr="001455DC">
        <w:t xml:space="preserve"> 0,6</w:t>
      </w:r>
      <w:r w:rsidRPr="001455DC">
        <w:rPr>
          <w:rStyle w:val="CCMCvariableitalic"/>
        </w:rPr>
        <w:t>f</w:t>
      </w:r>
      <w:r w:rsidRPr="001455DC">
        <w:rPr>
          <w:rStyle w:val="CCMCvariablesubscript"/>
        </w:rPr>
        <w:t>cm</w:t>
      </w:r>
      <w:r w:rsidRPr="001455DC">
        <w:rPr>
          <w:rStyle w:val="CCMCvariableitalic"/>
        </w:rPr>
        <w:t> </w:t>
      </w:r>
      <w:r w:rsidRPr="001455DC">
        <w:t>(</w:t>
      </w:r>
      <w:r w:rsidRPr="001455DC">
        <w:rPr>
          <w:rStyle w:val="CCMCvariableitalic"/>
        </w:rPr>
        <w:t>t</w:t>
      </w:r>
      <w:r w:rsidRPr="001455DC">
        <w:rPr>
          <w:rStyle w:val="CCMCvariablesubscript"/>
        </w:rPr>
        <w:t>0</w:t>
      </w:r>
      <w:r w:rsidRPr="001455DC">
        <w:t>) the non</w:t>
      </w:r>
      <w:r w:rsidRPr="001455DC">
        <w:noBreakHyphen/>
        <w:t>linearity of creep may be considered by adjusting the creep coefficient according to Formula (B.19):</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E684B" w:rsidRPr="001455DC" w14:paraId="40FDDDDD" w14:textId="77777777" w:rsidTr="008C783D">
        <w:trPr>
          <w:cantSplit/>
        </w:trPr>
        <w:tc>
          <w:tcPr>
            <w:tcW w:w="8505" w:type="dxa"/>
            <w:vAlign w:val="center"/>
          </w:tcPr>
          <w:p w14:paraId="5862A5CC" w14:textId="1FE25981" w:rsidR="002E684B" w:rsidRPr="001455DC" w:rsidRDefault="00231E33">
            <w:pPr>
              <w:pStyle w:val="Formula"/>
              <w:jc w:val="left"/>
            </w:pPr>
            <m:oMathPara>
              <m:oMathParaPr>
                <m:jc m:val="left"/>
              </m:oMathParaPr>
              <m:oMath>
                <m:sSub>
                  <m:sSubPr>
                    <m:ctrlPr>
                      <w:rPr>
                        <w:rFonts w:ascii="Cambria Math" w:hAnsi="Cambria Math"/>
                      </w:rPr>
                    </m:ctrlPr>
                  </m:sSubPr>
                  <m:e>
                    <m:r>
                      <w:rPr>
                        <w:rFonts w:ascii="Cambria Math" w:hAnsi="Cambria Math"/>
                      </w:rPr>
                      <m:t>φ</m:t>
                    </m:r>
                  </m:e>
                  <m:sub>
                    <m:r>
                      <m:rPr>
                        <m:sty m:val="p"/>
                      </m:rPr>
                      <w:rPr>
                        <w:rFonts w:ascii="Cambria Math" w:hAnsi="Cambria Math"/>
                      </w:rPr>
                      <m:t>σ</m:t>
                    </m:r>
                  </m:sub>
                </m:sSub>
                <m:d>
                  <m:dPr>
                    <m:sepChr m:val=""/>
                    <m:ctrlPr>
                      <w:rPr>
                        <w:rFonts w:ascii="Cambria Math" w:hAnsi="Cambria Math"/>
                      </w:rPr>
                    </m:ctrlPr>
                  </m:dPr>
                  <m:e>
                    <m:r>
                      <w:rPr>
                        <w:rFonts w:ascii="Cambria Math" w:hAnsi="Cambria Math"/>
                      </w:rPr>
                      <m:t>t</m:t>
                    </m:r>
                  </m:e>
                  <m:e>
                    <m:r>
                      <w:rPr>
                        <w:rFonts w:ascii="Cambria Math" w:hAnsi="Cambria Math"/>
                      </w:rPr>
                      <m:t>,</m:t>
                    </m:r>
                  </m:e>
                  <m:e>
                    <m:sSub>
                      <m:sSubPr>
                        <m:ctrlPr>
                          <w:rPr>
                            <w:rFonts w:ascii="Cambria Math" w:hAnsi="Cambria Math"/>
                          </w:rPr>
                        </m:ctrlPr>
                      </m:sSubPr>
                      <m:e>
                        <m:r>
                          <w:rPr>
                            <w:rFonts w:ascii="Cambria Math" w:hAnsi="Cambria Math"/>
                          </w:rPr>
                          <m:t>t</m:t>
                        </m:r>
                      </m:e>
                      <m:sub>
                        <m:r>
                          <w:rPr>
                            <w:rFonts w:ascii="Cambria Math" w:hAnsi="Cambria Math"/>
                          </w:rPr>
                          <m:t>0</m:t>
                        </m:r>
                      </m:sub>
                    </m:sSub>
                  </m:e>
                </m:d>
                <m:r>
                  <w:rPr>
                    <w:rFonts w:ascii="Cambria Math" w:hAnsi="Cambria Math"/>
                  </w:rPr>
                  <m:t>=φ</m:t>
                </m:r>
                <m:d>
                  <m:dPr>
                    <m:sepChr m:val=""/>
                    <m:ctrlPr>
                      <w:rPr>
                        <w:rFonts w:ascii="Cambria Math" w:hAnsi="Cambria Math"/>
                      </w:rPr>
                    </m:ctrlPr>
                  </m:dPr>
                  <m:e>
                    <m:r>
                      <w:rPr>
                        <w:rFonts w:ascii="Cambria Math" w:hAnsi="Cambria Math"/>
                      </w:rPr>
                      <m:t>t</m:t>
                    </m:r>
                  </m:e>
                  <m:e>
                    <m:r>
                      <w:rPr>
                        <w:rFonts w:ascii="Cambria Math" w:hAnsi="Cambria Math"/>
                      </w:rPr>
                      <m:t>,</m:t>
                    </m:r>
                  </m:e>
                  <m:e>
                    <m:sSub>
                      <m:sSubPr>
                        <m:ctrlPr>
                          <w:rPr>
                            <w:rFonts w:ascii="Cambria Math" w:hAnsi="Cambria Math"/>
                          </w:rPr>
                        </m:ctrlPr>
                      </m:sSubPr>
                      <m:e>
                        <m:r>
                          <w:rPr>
                            <w:rFonts w:ascii="Cambria Math" w:hAnsi="Cambria Math"/>
                          </w:rPr>
                          <m:t>t</m:t>
                        </m:r>
                      </m:e>
                      <m:sub>
                        <m:r>
                          <w:rPr>
                            <w:rFonts w:ascii="Cambria Math" w:hAnsi="Cambria Math"/>
                          </w:rPr>
                          <m:t>0</m:t>
                        </m:r>
                      </m:sub>
                    </m:sSub>
                  </m:e>
                </m:d>
                <m:r>
                  <w:rPr>
                    <w:rFonts w:ascii="Cambria Math" w:hAnsi="Cambria Math"/>
                  </w:rPr>
                  <m:t>⋅</m:t>
                </m:r>
                <m:sSup>
                  <m:sSupPr>
                    <m:ctrlPr>
                      <w:rPr>
                        <w:rFonts w:ascii="Cambria Math" w:hAnsi="Cambria Math"/>
                      </w:rPr>
                    </m:ctrlPr>
                  </m:sSupPr>
                  <m:e>
                    <m:r>
                      <w:rPr>
                        <w:rFonts w:ascii="Cambria Math" w:hAnsi="Cambria Math"/>
                      </w:rPr>
                      <m:t>e</m:t>
                    </m:r>
                    <m:r>
                      <m:rPr>
                        <m:sty m:val="p"/>
                      </m:rPr>
                      <w:rPr>
                        <w:rFonts w:ascii="Cambria Math" w:hAnsi="Cambria Math"/>
                      </w:rPr>
                      <m:t>xp</m:t>
                    </m:r>
                    <m:d>
                      <m:dPr>
                        <m:begChr m:val="["/>
                        <m:endChr m:val="]"/>
                        <m:ctrlPr>
                          <w:rPr>
                            <w:rFonts w:ascii="Cambria Math" w:hAnsi="Cambria Math"/>
                            <w:i/>
                          </w:rPr>
                        </m:ctrlPr>
                      </m:dPr>
                      <m:e>
                        <m:r>
                          <w:rPr>
                            <w:rFonts w:ascii="Cambria Math" w:hAnsi="Cambria Math"/>
                          </w:rPr>
                          <m:t>1,5</m:t>
                        </m:r>
                        <m:d>
                          <m:dPr>
                            <m:sepChr m:val=""/>
                            <m:ctrlPr>
                              <w:rPr>
                                <w:rFonts w:ascii="Cambria Math" w:hAnsi="Cambria Math"/>
                              </w:rPr>
                            </m:ctrlPr>
                          </m:dPr>
                          <m:e>
                            <m:sSub>
                              <m:sSubPr>
                                <m:ctrlPr>
                                  <w:rPr>
                                    <w:rFonts w:ascii="Cambria Math" w:hAnsi="Cambria Math"/>
                                  </w:rPr>
                                </m:ctrlPr>
                              </m:sSubPr>
                              <m:e>
                                <m:r>
                                  <w:rPr>
                                    <w:rFonts w:ascii="Cambria Math" w:hAnsi="Cambria Math"/>
                                  </w:rPr>
                                  <m:t>k</m:t>
                                </m:r>
                              </m:e>
                              <m:sub>
                                <m:r>
                                  <m:rPr>
                                    <m:sty m:val="p"/>
                                  </m:rPr>
                                  <w:rPr>
                                    <w:rFonts w:ascii="Cambria Math" w:hAnsi="Cambria Math"/>
                                  </w:rPr>
                                  <m:t>σ</m:t>
                                </m:r>
                              </m:sub>
                            </m:sSub>
                          </m:e>
                          <m:e>
                            <m:r>
                              <w:rPr>
                                <w:rFonts w:ascii="Cambria Math" w:hAnsi="Cambria Math"/>
                              </w:rPr>
                              <m:t>-</m:t>
                            </m:r>
                          </m:e>
                          <m:e>
                            <m:r>
                              <w:rPr>
                                <w:rFonts w:ascii="Cambria Math" w:hAnsi="Cambria Math"/>
                              </w:rPr>
                              <m:t>0,4</m:t>
                            </m:r>
                          </m:e>
                        </m:d>
                      </m:e>
                    </m:d>
                  </m:e>
                  <m:sup/>
                </m:sSup>
                <m:r>
                  <m:rPr>
                    <m:nor/>
                  </m:rPr>
                  <w:rPr>
                    <w:rFonts w:ascii="Cambria Math" w:hAnsi="Cambria Math"/>
                  </w:rPr>
                  <m:t xml:space="preserve"> for</m:t>
                </m:r>
                <m:r>
                  <w:rPr>
                    <w:rFonts w:ascii="Cambria Math" w:hAnsi="Cambria Math"/>
                  </w:rPr>
                  <m:t xml:space="preserve"> 0,4&lt;</m:t>
                </m:r>
                <m:sSub>
                  <m:sSubPr>
                    <m:ctrlPr>
                      <w:rPr>
                        <w:rFonts w:ascii="Cambria Math" w:hAnsi="Cambria Math"/>
                        <w:i/>
                      </w:rPr>
                    </m:ctrlPr>
                  </m:sSubPr>
                  <m:e>
                    <m:r>
                      <w:rPr>
                        <w:rFonts w:ascii="Cambria Math" w:hAnsi="Cambria Math"/>
                      </w:rPr>
                      <m:t>k</m:t>
                    </m:r>
                  </m:e>
                  <m:sub>
                    <m:r>
                      <m:rPr>
                        <m:sty m:val="p"/>
                      </m:rPr>
                      <w:rPr>
                        <w:rFonts w:ascii="Cambria Math" w:hAnsi="Cambria Math"/>
                      </w:rPr>
                      <m:t>σ</m:t>
                    </m:r>
                  </m:sub>
                </m:sSub>
                <m:r>
                  <w:rPr>
                    <w:rFonts w:ascii="Cambria Math" w:hAnsi="Cambria Math"/>
                  </w:rPr>
                  <m:t>≤0,6</m:t>
                </m:r>
              </m:oMath>
            </m:oMathPara>
          </w:p>
        </w:tc>
        <w:tc>
          <w:tcPr>
            <w:tcW w:w="1247" w:type="dxa"/>
            <w:vAlign w:val="center"/>
          </w:tcPr>
          <w:p w14:paraId="5B7F62CB" w14:textId="1CE1E2BF" w:rsidR="002E684B" w:rsidRPr="001455DC" w:rsidRDefault="002E684B" w:rsidP="008C783D">
            <w:pPr>
              <w:pStyle w:val="a7"/>
              <w:jc w:val="right"/>
            </w:pPr>
            <w:r w:rsidRPr="001455DC">
              <w:t>(B.19)</w:t>
            </w:r>
          </w:p>
        </w:tc>
      </w:tr>
    </w:tbl>
    <w:p w14:paraId="44036D06" w14:textId="77777777" w:rsidR="002E684B" w:rsidRPr="001455DC" w:rsidRDefault="002E684B"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1531"/>
        <w:gridCol w:w="7881"/>
      </w:tblGrid>
      <w:tr w:rsidR="002E684B" w:rsidRPr="001455DC" w14:paraId="5031FC07" w14:textId="77777777" w:rsidTr="002E684B">
        <w:trPr>
          <w:cantSplit/>
        </w:trPr>
        <w:tc>
          <w:tcPr>
            <w:tcW w:w="1531" w:type="dxa"/>
          </w:tcPr>
          <w:p w14:paraId="527A5220" w14:textId="42B2D1B7" w:rsidR="002E684B" w:rsidRPr="001455DC" w:rsidRDefault="002E684B" w:rsidP="008C783D">
            <w:pPr>
              <w:pStyle w:val="Tablebody"/>
            </w:pPr>
            <w:r w:rsidRPr="001455DC">
              <w:rPr>
                <w:rStyle w:val="CCMCvariableitalic"/>
              </w:rPr>
              <w:t>φ</w:t>
            </w:r>
            <w:r w:rsidRPr="001455DC">
              <w:rPr>
                <w:rStyle w:val="CCMCvariablesubscript"/>
              </w:rPr>
              <w:t>σ</w:t>
            </w:r>
            <w:r w:rsidRPr="001455DC">
              <w:rPr>
                <w:rStyle w:val="CCMCvariableitalic"/>
              </w:rPr>
              <w:t> </w:t>
            </w:r>
            <w:r w:rsidRPr="001455DC">
              <w:t>(</w:t>
            </w:r>
            <w:r w:rsidRPr="001455DC">
              <w:rPr>
                <w:rStyle w:val="CCMCvariableitalic"/>
              </w:rPr>
              <w:t>t</w:t>
            </w:r>
            <w:r w:rsidRPr="001455DC">
              <w:t>,</w:t>
            </w:r>
            <w:r w:rsidRPr="001455DC">
              <w:rPr>
                <w:rStyle w:val="CCMCvariableitalic"/>
              </w:rPr>
              <w:t>t</w:t>
            </w:r>
            <w:r w:rsidRPr="001455DC">
              <w:rPr>
                <w:rStyle w:val="CCMCvariablesubscript"/>
              </w:rPr>
              <w:t>0</w:t>
            </w:r>
            <w:r w:rsidRPr="001455DC">
              <w:t>)</w:t>
            </w:r>
          </w:p>
        </w:tc>
        <w:tc>
          <w:tcPr>
            <w:tcW w:w="7881" w:type="dxa"/>
          </w:tcPr>
          <w:p w14:paraId="39AD80C6" w14:textId="256B06EF" w:rsidR="002E684B" w:rsidRPr="001455DC" w:rsidRDefault="002E684B" w:rsidP="008C783D">
            <w:pPr>
              <w:pStyle w:val="Tablebody"/>
            </w:pPr>
            <w:r w:rsidRPr="001455DC">
              <w:t>is the non-linear notional creep coefficient;</w:t>
            </w:r>
          </w:p>
        </w:tc>
      </w:tr>
      <w:tr w:rsidR="002E684B" w:rsidRPr="001455DC" w14:paraId="2F5CA190" w14:textId="77777777" w:rsidTr="002E684B">
        <w:trPr>
          <w:cantSplit/>
        </w:trPr>
        <w:tc>
          <w:tcPr>
            <w:tcW w:w="1531" w:type="dxa"/>
          </w:tcPr>
          <w:p w14:paraId="04DFFE8D" w14:textId="7FCD06D9" w:rsidR="002E684B" w:rsidRPr="001455DC" w:rsidRDefault="00231E33" w:rsidP="008C783D">
            <w:pPr>
              <w:pStyle w:val="Tablebody"/>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rPr>
                      <m:t>σ</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σ</m:t>
                        </m:r>
                      </m:e>
                      <m:sub>
                        <m:r>
                          <m:rPr>
                            <m:sty m:val="p"/>
                          </m:rPr>
                          <w:rPr>
                            <w:rFonts w:ascii="Cambria Math" w:hAnsi="Cambria Math"/>
                          </w:rPr>
                          <m:t>c</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cm</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0</m:t>
                            </m:r>
                          </m:sub>
                        </m:sSub>
                      </m:e>
                    </m:d>
                  </m:den>
                </m:f>
              </m:oMath>
            </m:oMathPara>
          </w:p>
        </w:tc>
        <w:tc>
          <w:tcPr>
            <w:tcW w:w="7881" w:type="dxa"/>
            <w:vAlign w:val="center"/>
          </w:tcPr>
          <w:p w14:paraId="20351468" w14:textId="7CD484FB" w:rsidR="002E684B" w:rsidRPr="001455DC" w:rsidRDefault="002E684B" w:rsidP="002E684B">
            <w:pPr>
              <w:pStyle w:val="Tablebody"/>
            </w:pPr>
            <w:r w:rsidRPr="001455DC">
              <w:t>is the stress-strength ratio.</w:t>
            </w:r>
          </w:p>
        </w:tc>
      </w:tr>
    </w:tbl>
    <w:p w14:paraId="726089A8" w14:textId="77777777" w:rsidR="002E684B" w:rsidRPr="001455DC" w:rsidRDefault="004E22C1" w:rsidP="00116AE2">
      <w:pPr>
        <w:pStyle w:val="a7"/>
        <w:keepNext/>
      </w:pPr>
      <w:r w:rsidRPr="001455DC">
        <w:t>(7)</w:t>
      </w:r>
      <w:r w:rsidRPr="001455DC">
        <w:tab/>
        <w:t>Creep strains may be calculated by means of the Formula (B.20):</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E684B" w:rsidRPr="001455DC" w14:paraId="48211A18" w14:textId="77777777" w:rsidTr="008C783D">
        <w:trPr>
          <w:cantSplit/>
        </w:trPr>
        <w:tc>
          <w:tcPr>
            <w:tcW w:w="8505" w:type="dxa"/>
            <w:vAlign w:val="center"/>
          </w:tcPr>
          <w:p w14:paraId="7C8DF0A8" w14:textId="4563DDF7" w:rsidR="002E684B" w:rsidRPr="001455DC" w:rsidRDefault="00231E33" w:rsidP="008C783D">
            <w:pPr>
              <w:pStyle w:val="Formula"/>
              <w:jc w:val="left"/>
            </w:pPr>
            <m:oMathPara>
              <m:oMathParaPr>
                <m:jc m:val="left"/>
              </m:oMathParaPr>
              <m:oMath>
                <m:sSub>
                  <m:sSubPr>
                    <m:ctrlPr>
                      <w:rPr>
                        <w:rFonts w:ascii="Cambria Math" w:hAnsi="Cambria Math"/>
                      </w:rPr>
                    </m:ctrlPr>
                  </m:sSubPr>
                  <m:e>
                    <m:r>
                      <w:rPr>
                        <w:rFonts w:ascii="Cambria Math" w:hAnsi="Cambria Math"/>
                      </w:rPr>
                      <m:t>ε</m:t>
                    </m:r>
                  </m:e>
                  <m:sub>
                    <m:r>
                      <m:rPr>
                        <m:sty m:val="p"/>
                      </m:rPr>
                      <w:rPr>
                        <w:rFonts w:ascii="Cambria Math" w:hAnsi="Cambria Math"/>
                      </w:rPr>
                      <m:t>cc</m:t>
                    </m:r>
                  </m:sub>
                </m:sSub>
                <m:d>
                  <m:dPr>
                    <m:sepChr m:val=""/>
                    <m:ctrlPr>
                      <w:rPr>
                        <w:rFonts w:ascii="Cambria Math" w:hAnsi="Cambria Math"/>
                      </w:rPr>
                    </m:ctrlPr>
                  </m:dPr>
                  <m:e>
                    <m:r>
                      <w:rPr>
                        <w:rFonts w:ascii="Cambria Math" w:hAnsi="Cambria Math"/>
                      </w:rPr>
                      <m:t>t</m:t>
                    </m:r>
                  </m:e>
                  <m:e>
                    <m:r>
                      <w:rPr>
                        <w:rFonts w:ascii="Cambria Math" w:hAnsi="Cambria Math"/>
                      </w:rPr>
                      <m:t>,</m:t>
                    </m:r>
                  </m:e>
                  <m:e>
                    <m:sSub>
                      <m:sSubPr>
                        <m:ctrlPr>
                          <w:rPr>
                            <w:rFonts w:ascii="Cambria Math" w:hAnsi="Cambria Math"/>
                          </w:rPr>
                        </m:ctrlPr>
                      </m:sSubPr>
                      <m:e>
                        <m:r>
                          <w:rPr>
                            <w:rFonts w:ascii="Cambria Math" w:hAnsi="Cambria Math"/>
                          </w:rPr>
                          <m:t>t</m:t>
                        </m:r>
                      </m:e>
                      <m:sub>
                        <m:r>
                          <w:rPr>
                            <w:rFonts w:ascii="Cambria Math" w:hAnsi="Cambria Math"/>
                          </w:rPr>
                          <m:t>0</m:t>
                        </m:r>
                      </m:sub>
                    </m:sSub>
                  </m:e>
                </m:d>
                <m:r>
                  <w:rPr>
                    <w:rFonts w:ascii="Cambria Math" w:hAnsi="Cambria Math"/>
                  </w:rPr>
                  <m:t>=φ</m:t>
                </m:r>
                <m:d>
                  <m:dPr>
                    <m:sepChr m:val=""/>
                    <m:ctrlPr>
                      <w:rPr>
                        <w:rFonts w:ascii="Cambria Math" w:hAnsi="Cambria Math"/>
                      </w:rPr>
                    </m:ctrlPr>
                  </m:dPr>
                  <m:e>
                    <m:r>
                      <w:rPr>
                        <w:rFonts w:ascii="Cambria Math" w:hAnsi="Cambria Math"/>
                      </w:rPr>
                      <m:t>t</m:t>
                    </m:r>
                  </m:e>
                  <m:e>
                    <m:r>
                      <w:rPr>
                        <w:rFonts w:ascii="Cambria Math" w:hAnsi="Cambria Math"/>
                      </w:rPr>
                      <m:t>,</m:t>
                    </m:r>
                  </m:e>
                  <m:e>
                    <m:sSub>
                      <m:sSubPr>
                        <m:ctrlPr>
                          <w:rPr>
                            <w:rFonts w:ascii="Cambria Math" w:hAnsi="Cambria Math"/>
                          </w:rPr>
                        </m:ctrlPr>
                      </m:sSubPr>
                      <m:e>
                        <m:r>
                          <w:rPr>
                            <w:rFonts w:ascii="Cambria Math" w:hAnsi="Cambria Math"/>
                          </w:rPr>
                          <m:t>t</m:t>
                        </m:r>
                      </m:e>
                      <m:sub>
                        <m:r>
                          <w:rPr>
                            <w:rFonts w:ascii="Cambria Math" w:hAnsi="Cambria Math"/>
                          </w:rPr>
                          <m:t>0</m:t>
                        </m:r>
                      </m:sub>
                    </m:sSub>
                  </m:e>
                </m:d>
                <m:f>
                  <m:fPr>
                    <m:ctrlPr>
                      <w:rPr>
                        <w:rFonts w:ascii="Cambria Math" w:hAnsi="Cambria Math"/>
                      </w:rPr>
                    </m:ctrlPr>
                  </m:fPr>
                  <m:num>
                    <m:sSub>
                      <m:sSubPr>
                        <m:ctrlPr>
                          <w:rPr>
                            <w:rFonts w:ascii="Cambria Math" w:hAnsi="Cambria Math"/>
                          </w:rPr>
                        </m:ctrlPr>
                      </m:sSubPr>
                      <m:e>
                        <m:r>
                          <w:rPr>
                            <w:rFonts w:ascii="Cambria Math" w:hAnsi="Cambria Math"/>
                          </w:rPr>
                          <m:t>σ</m:t>
                        </m:r>
                      </m:e>
                      <m:sub>
                        <m:r>
                          <m:rPr>
                            <m:sty m:val="p"/>
                          </m:rPr>
                          <w:rPr>
                            <w:rFonts w:ascii="Cambria Math" w:hAnsi="Cambria Math"/>
                          </w:rPr>
                          <m:t>c</m:t>
                        </m:r>
                      </m:sub>
                    </m:sSub>
                  </m:num>
                  <m:den>
                    <m:sSub>
                      <m:sSubPr>
                        <m:ctrlPr>
                          <w:rPr>
                            <w:rFonts w:ascii="Cambria Math" w:hAnsi="Cambria Math"/>
                          </w:rPr>
                        </m:ctrlPr>
                      </m:sSubPr>
                      <m:e>
                        <m:r>
                          <w:rPr>
                            <w:rFonts w:ascii="Cambria Math" w:hAnsi="Cambria Math"/>
                          </w:rPr>
                          <m:t>E</m:t>
                        </m:r>
                      </m:e>
                      <m:sub>
                        <m:r>
                          <m:rPr>
                            <m:sty m:val="p"/>
                          </m:rPr>
                          <w:rPr>
                            <w:rFonts w:ascii="Cambria Math" w:hAnsi="Cambria Math"/>
                          </w:rPr>
                          <m:t>c</m:t>
                        </m:r>
                      </m:sub>
                    </m:sSub>
                  </m:den>
                </m:f>
              </m:oMath>
            </m:oMathPara>
          </w:p>
        </w:tc>
        <w:tc>
          <w:tcPr>
            <w:tcW w:w="1247" w:type="dxa"/>
            <w:vAlign w:val="center"/>
          </w:tcPr>
          <w:p w14:paraId="6C565C55" w14:textId="1408D697" w:rsidR="002E684B" w:rsidRPr="001455DC" w:rsidRDefault="002E684B" w:rsidP="008C783D">
            <w:pPr>
              <w:pStyle w:val="a7"/>
              <w:jc w:val="right"/>
            </w:pPr>
            <w:r w:rsidRPr="001455DC">
              <w:t>(B.20)</w:t>
            </w:r>
          </w:p>
        </w:tc>
      </w:tr>
    </w:tbl>
    <w:p w14:paraId="78AB04E2" w14:textId="77777777" w:rsidR="002E684B" w:rsidRPr="001455DC" w:rsidRDefault="004E22C1" w:rsidP="00A35599">
      <w:pPr>
        <w:pStyle w:val="a7"/>
        <w:keepNext/>
      </w:pPr>
      <w:r w:rsidRPr="001455DC">
        <w:t>where</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E684B" w:rsidRPr="001455DC" w14:paraId="00C4EAEF" w14:textId="77777777" w:rsidTr="008C783D">
        <w:trPr>
          <w:cantSplit/>
        </w:trPr>
        <w:tc>
          <w:tcPr>
            <w:tcW w:w="8505" w:type="dxa"/>
            <w:vAlign w:val="center"/>
          </w:tcPr>
          <w:p w14:paraId="53E737B4" w14:textId="0F07D350" w:rsidR="002E684B" w:rsidRPr="001455DC" w:rsidRDefault="002E684B" w:rsidP="008C783D">
            <w:pPr>
              <w:pStyle w:val="Formula"/>
              <w:jc w:val="left"/>
            </w:pPr>
            <w:r w:rsidRPr="001455DC">
              <w:rPr>
                <w:rStyle w:val="CCMCvariableitalic"/>
              </w:rPr>
              <w:t>E</w:t>
            </w:r>
            <w:r w:rsidRPr="001455DC">
              <w:rPr>
                <w:rStyle w:val="CCMCvariablesubscript"/>
              </w:rPr>
              <w:t>c</w:t>
            </w:r>
            <w:r w:rsidRPr="001455DC">
              <w:t> </w:t>
            </w:r>
            <w:r w:rsidR="00EC27D2" w:rsidRPr="001455DC">
              <w:rPr>
                <w:rFonts w:ascii="Cambria Math" w:hAnsi="Cambria Math"/>
              </w:rPr>
              <w:t>=</w:t>
            </w:r>
            <w:r w:rsidRPr="001455DC">
              <w:t> </w:t>
            </w:r>
            <w:r w:rsidRPr="001455DC">
              <w:rPr>
                <w:rStyle w:val="CCMCvariableitalic"/>
              </w:rPr>
              <w:t>α</w:t>
            </w:r>
            <w:r w:rsidRPr="001455DC">
              <w:rPr>
                <w:rStyle w:val="CCMCvariablesubscript"/>
              </w:rPr>
              <w:t>c</w:t>
            </w:r>
            <w:r w:rsidRPr="001455DC">
              <w:t> </w:t>
            </w:r>
            <w:r w:rsidRPr="001455DC">
              <w:rPr>
                <w:rFonts w:ascii="Cambria Math" w:hAnsi="Cambria Math" w:cs="Cambria Math"/>
              </w:rPr>
              <w:t>⋅</w:t>
            </w:r>
            <w:r w:rsidRPr="001455DC">
              <w:t> </w:t>
            </w:r>
            <w:r w:rsidRPr="001455DC">
              <w:rPr>
                <w:rStyle w:val="CCMCvariableitalic"/>
              </w:rPr>
              <w:t>E</w:t>
            </w:r>
            <w:r w:rsidRPr="001455DC">
              <w:rPr>
                <w:rStyle w:val="CCMCvariablesubscript"/>
              </w:rPr>
              <w:t>cm</w:t>
            </w:r>
          </w:p>
        </w:tc>
        <w:tc>
          <w:tcPr>
            <w:tcW w:w="1247" w:type="dxa"/>
            <w:vAlign w:val="center"/>
          </w:tcPr>
          <w:p w14:paraId="6850D9EB" w14:textId="6D46DAE4" w:rsidR="002E684B" w:rsidRPr="001455DC" w:rsidRDefault="002E684B" w:rsidP="008C783D">
            <w:pPr>
              <w:pStyle w:val="a7"/>
              <w:jc w:val="right"/>
            </w:pPr>
            <w:r w:rsidRPr="001455DC">
              <w:t>(B.21)</w:t>
            </w:r>
          </w:p>
        </w:tc>
      </w:tr>
      <w:tr w:rsidR="002E684B" w:rsidRPr="001455DC" w14:paraId="17A7F953" w14:textId="77777777" w:rsidTr="008C783D">
        <w:trPr>
          <w:cantSplit/>
        </w:trPr>
        <w:tc>
          <w:tcPr>
            <w:tcW w:w="8505" w:type="dxa"/>
            <w:vAlign w:val="center"/>
          </w:tcPr>
          <w:p w14:paraId="0EC23738" w14:textId="0D4F65AF" w:rsidR="002E684B" w:rsidRPr="001455DC" w:rsidRDefault="00231E33" w:rsidP="008C783D">
            <w:pPr>
              <w:pStyle w:val="Formula"/>
              <w:jc w:val="left"/>
            </w:pPr>
            <m:oMathPara>
              <m:oMathParaPr>
                <m:jc m:val="left"/>
              </m:oMathParaPr>
              <m:oMath>
                <m:sSub>
                  <m:sSubPr>
                    <m:ctrlPr>
                      <w:rPr>
                        <w:rFonts w:ascii="Cambria Math" w:hAnsi="Cambria Math"/>
                      </w:rPr>
                    </m:ctrlPr>
                  </m:sSubPr>
                  <m:e>
                    <m:r>
                      <w:rPr>
                        <w:rFonts w:ascii="Cambria Math" w:hAnsi="Cambria Math"/>
                      </w:rPr>
                      <m:t>α</m:t>
                    </m:r>
                  </m:e>
                  <m:sub>
                    <m:r>
                      <m:rPr>
                        <m:sty m:val="p"/>
                      </m:rPr>
                      <w:rPr>
                        <w:rFonts w:ascii="Cambria Math" w:hAnsi="Cambria Math"/>
                      </w:rPr>
                      <m:t>c</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0,8+0,2</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cm,28</m:t>
                            </m:r>
                          </m:sub>
                        </m:sSub>
                      </m:num>
                      <m:den>
                        <m:r>
                          <w:rPr>
                            <w:rFonts w:ascii="Cambria Math" w:hAnsi="Cambria Math"/>
                          </w:rPr>
                          <m:t>88</m:t>
                        </m:r>
                      </m:den>
                    </m:f>
                  </m:den>
                </m:f>
                <m:r>
                  <w:rPr>
                    <w:rFonts w:ascii="Cambria Math" w:hAnsi="Cambria Math"/>
                  </w:rPr>
                  <m:t>≥1,0</m:t>
                </m:r>
              </m:oMath>
            </m:oMathPara>
          </w:p>
        </w:tc>
        <w:tc>
          <w:tcPr>
            <w:tcW w:w="1247" w:type="dxa"/>
            <w:vAlign w:val="center"/>
          </w:tcPr>
          <w:p w14:paraId="4BCD2241" w14:textId="0B8EAF21" w:rsidR="002E684B" w:rsidRPr="001455DC" w:rsidRDefault="002E684B" w:rsidP="008C783D">
            <w:pPr>
              <w:pStyle w:val="a7"/>
              <w:jc w:val="right"/>
            </w:pPr>
            <w:r w:rsidRPr="001455DC">
              <w:t>(B.22)</w:t>
            </w:r>
          </w:p>
        </w:tc>
      </w:tr>
    </w:tbl>
    <w:p w14:paraId="13664B45" w14:textId="77777777" w:rsidR="004E22C1" w:rsidRPr="001455DC" w:rsidRDefault="004E22C1" w:rsidP="002E684B">
      <w:pPr>
        <w:pStyle w:val="a7"/>
      </w:pPr>
      <w:r w:rsidRPr="001455DC">
        <w:t xml:space="preserve">where </w:t>
      </w:r>
      <w:r w:rsidRPr="001455DC">
        <w:rPr>
          <w:rStyle w:val="CCMCvariableitalic"/>
        </w:rPr>
        <w:t>E</w:t>
      </w:r>
      <w:r w:rsidRPr="001455DC">
        <w:rPr>
          <w:rStyle w:val="CCMCvariablesubscript"/>
        </w:rPr>
        <w:t>c</w:t>
      </w:r>
      <w:r w:rsidRPr="001455DC">
        <w:t xml:space="preserve"> is the tangent and </w:t>
      </w:r>
      <w:r w:rsidRPr="001455DC">
        <w:rPr>
          <w:rStyle w:val="CCMCvariableitalic"/>
        </w:rPr>
        <w:t>E</w:t>
      </w:r>
      <w:r w:rsidRPr="001455DC">
        <w:rPr>
          <w:rStyle w:val="CCMCvariablesubscript"/>
        </w:rPr>
        <w:t>cm</w:t>
      </w:r>
      <w:r w:rsidRPr="001455DC">
        <w:t xml:space="preserve"> is the secant modulus of elasticity.</w:t>
      </w:r>
    </w:p>
    <w:p w14:paraId="5662456C" w14:textId="11DB12CB" w:rsidR="004E22C1" w:rsidRPr="001455DC" w:rsidRDefault="004E22C1" w:rsidP="00116AE2">
      <w:pPr>
        <w:pStyle w:val="a7"/>
        <w:keepNext/>
      </w:pPr>
      <w:r w:rsidRPr="001455DC">
        <w:t>(8)</w:t>
      </w:r>
      <w:r w:rsidRPr="001455DC">
        <w:tab/>
        <w:t xml:space="preserve">Lower and upper characteristic values of </w:t>
      </w:r>
      <w:r w:rsidR="00FD6160" w:rsidRPr="001455DC">
        <w:t xml:space="preserve">the </w:t>
      </w:r>
      <w:r w:rsidRPr="001455DC">
        <w:t xml:space="preserve">creep coefficient </w:t>
      </w:r>
      <w:r w:rsidRPr="001455DC">
        <w:rPr>
          <w:rStyle w:val="CCMCvariableitalic"/>
        </w:rPr>
        <w:t>φ</w:t>
      </w:r>
      <w:r w:rsidRPr="001455DC">
        <w:rPr>
          <w:rStyle w:val="CCMCvariablesubscript"/>
        </w:rPr>
        <w:t>k</w:t>
      </w:r>
      <w:r w:rsidRPr="001455DC">
        <w:t xml:space="preserve"> may be taken as:</w:t>
      </w:r>
    </w:p>
    <w:p w14:paraId="130E1249" w14:textId="7C781A66" w:rsidR="004E22C1" w:rsidRPr="009D3012" w:rsidRDefault="004E22C1" w:rsidP="002E684B">
      <w:pPr>
        <w:pStyle w:val="a0"/>
        <w:rPr>
          <w:rFonts w:eastAsiaTheme="minorHAnsi"/>
          <w:lang w:val="de-DE"/>
        </w:rPr>
      </w:pPr>
      <w:r w:rsidRPr="001455DC">
        <w:rPr>
          <w:rStyle w:val="CCMCvariableitalic"/>
        </w:rPr>
        <w:t>φ</w:t>
      </w:r>
      <w:r w:rsidRPr="009D3012">
        <w:rPr>
          <w:rStyle w:val="CCMCvariablesubscript"/>
          <w:lang w:val="de-DE"/>
        </w:rPr>
        <w:t>k;0,10</w:t>
      </w:r>
      <w:r w:rsidR="00EC0A75" w:rsidRPr="009D3012">
        <w:rPr>
          <w:lang w:val="de-DE"/>
        </w:rPr>
        <w:t xml:space="preserve"> </w:t>
      </w:r>
      <w:r w:rsidR="00EC27D2" w:rsidRPr="009D3012">
        <w:rPr>
          <w:rFonts w:ascii="Cambria Math" w:eastAsiaTheme="minorHAnsi" w:hAnsi="Cambria Math"/>
          <w:lang w:val="de-DE"/>
        </w:rPr>
        <w:t>=</w:t>
      </w:r>
      <w:r w:rsidRPr="009D3012">
        <w:rPr>
          <w:rFonts w:eastAsiaTheme="minorHAnsi"/>
          <w:lang w:val="de-DE"/>
        </w:rPr>
        <w:t xml:space="preserve"> 0,6</w:t>
      </w:r>
      <w:r w:rsidRPr="001455DC">
        <w:rPr>
          <w:rStyle w:val="CCMCvariableitalic"/>
        </w:rPr>
        <w:t>φ</w:t>
      </w:r>
      <w:r w:rsidRPr="009D3012">
        <w:rPr>
          <w:lang w:val="de-DE"/>
        </w:rPr>
        <w:t>(</w:t>
      </w:r>
      <w:r w:rsidRPr="009D3012">
        <w:rPr>
          <w:rStyle w:val="CCMCvariableitalic"/>
          <w:lang w:val="de-DE"/>
        </w:rPr>
        <w:t>t</w:t>
      </w:r>
      <w:r w:rsidRPr="009D3012">
        <w:rPr>
          <w:lang w:val="de-DE"/>
        </w:rPr>
        <w:t>,</w:t>
      </w:r>
      <w:r w:rsidRPr="009D3012">
        <w:rPr>
          <w:rStyle w:val="CCMCvariableitalic"/>
          <w:lang w:val="de-DE"/>
        </w:rPr>
        <w:t>t</w:t>
      </w:r>
      <w:r w:rsidRPr="009D3012">
        <w:rPr>
          <w:rStyle w:val="CCMCvariablesubscript"/>
          <w:lang w:val="de-DE"/>
        </w:rPr>
        <w:t>0</w:t>
      </w:r>
      <w:r w:rsidRPr="009D3012">
        <w:rPr>
          <w:lang w:val="de-DE"/>
        </w:rPr>
        <w:t xml:space="preserve">) </w:t>
      </w:r>
      <w:r w:rsidRPr="009D3012">
        <w:rPr>
          <w:rFonts w:eastAsiaTheme="minorHAnsi"/>
          <w:lang w:val="de-DE"/>
        </w:rPr>
        <w:t xml:space="preserve">and </w:t>
      </w:r>
      <w:r w:rsidRPr="001455DC">
        <w:rPr>
          <w:rStyle w:val="CCMCvariableitalic"/>
        </w:rPr>
        <w:t>φ</w:t>
      </w:r>
      <w:r w:rsidRPr="009D3012">
        <w:rPr>
          <w:rStyle w:val="CCMCvariablesubscript"/>
          <w:lang w:val="de-DE"/>
        </w:rPr>
        <w:t>k;0,05</w:t>
      </w:r>
      <w:r w:rsidRPr="009D3012">
        <w:rPr>
          <w:rStyle w:val="CCMCvariableitalic"/>
          <w:lang w:val="de-DE"/>
        </w:rPr>
        <w:t> </w:t>
      </w:r>
      <w:r w:rsidR="00EC27D2" w:rsidRPr="009D3012">
        <w:rPr>
          <w:rFonts w:ascii="Cambria Math" w:eastAsiaTheme="minorHAnsi" w:hAnsi="Cambria Math"/>
          <w:lang w:val="de-DE"/>
        </w:rPr>
        <w:t>=</w:t>
      </w:r>
      <w:r w:rsidRPr="009D3012">
        <w:rPr>
          <w:rFonts w:eastAsiaTheme="minorHAnsi"/>
          <w:lang w:val="de-DE"/>
        </w:rPr>
        <w:t xml:space="preserve"> 0,5</w:t>
      </w:r>
      <w:r w:rsidRPr="001455DC">
        <w:rPr>
          <w:rStyle w:val="CCMCvariableitalic"/>
        </w:rPr>
        <w:t>φ</w:t>
      </w:r>
      <w:r w:rsidRPr="009D3012">
        <w:rPr>
          <w:lang w:val="de-DE"/>
        </w:rPr>
        <w:t>(</w:t>
      </w:r>
      <w:r w:rsidRPr="009D3012">
        <w:rPr>
          <w:rStyle w:val="CCMCvariableitalic"/>
          <w:lang w:val="de-DE"/>
        </w:rPr>
        <w:t>t</w:t>
      </w:r>
      <w:r w:rsidRPr="009D3012">
        <w:rPr>
          <w:lang w:val="de-DE"/>
        </w:rPr>
        <w:t>,</w:t>
      </w:r>
      <w:r w:rsidRPr="009D3012">
        <w:rPr>
          <w:rStyle w:val="CCMCvariableitalic"/>
          <w:lang w:val="de-DE"/>
        </w:rPr>
        <w:t>t</w:t>
      </w:r>
      <w:r w:rsidRPr="009D3012">
        <w:rPr>
          <w:rStyle w:val="CCMCvariablesubscript"/>
          <w:lang w:val="de-DE"/>
        </w:rPr>
        <w:t>0</w:t>
      </w:r>
      <w:r w:rsidRPr="009D3012">
        <w:rPr>
          <w:lang w:val="de-DE"/>
        </w:rPr>
        <w:t>),</w:t>
      </w:r>
    </w:p>
    <w:p w14:paraId="1DE02A07" w14:textId="762F04C9" w:rsidR="004E22C1" w:rsidRPr="009D3012" w:rsidRDefault="004E22C1" w:rsidP="002E684B">
      <w:pPr>
        <w:pStyle w:val="a0"/>
        <w:rPr>
          <w:rFonts w:eastAsiaTheme="minorHAnsi"/>
          <w:lang w:val="de-DE"/>
        </w:rPr>
      </w:pPr>
      <w:r w:rsidRPr="001455DC">
        <w:rPr>
          <w:rStyle w:val="CCMCvariableitalic"/>
        </w:rPr>
        <w:t>φ</w:t>
      </w:r>
      <w:r w:rsidRPr="009D3012">
        <w:rPr>
          <w:rStyle w:val="CCMCvariablesubscript"/>
          <w:lang w:val="de-DE"/>
        </w:rPr>
        <w:t>k;0,90</w:t>
      </w:r>
      <w:r w:rsidR="00EC0A75" w:rsidRPr="009D3012">
        <w:rPr>
          <w:lang w:val="de-DE"/>
        </w:rPr>
        <w:t xml:space="preserve"> </w:t>
      </w:r>
      <w:r w:rsidR="00EC27D2" w:rsidRPr="009D3012">
        <w:rPr>
          <w:rFonts w:ascii="Cambria Math" w:eastAsiaTheme="minorHAnsi" w:hAnsi="Cambria Math"/>
          <w:lang w:val="de-DE"/>
        </w:rPr>
        <w:t>=</w:t>
      </w:r>
      <w:r w:rsidRPr="009D3012">
        <w:rPr>
          <w:rFonts w:eastAsiaTheme="minorHAnsi"/>
          <w:lang w:val="de-DE"/>
        </w:rPr>
        <w:t xml:space="preserve"> 1,4</w:t>
      </w:r>
      <w:r w:rsidRPr="001455DC">
        <w:rPr>
          <w:rStyle w:val="CCMCvariableitalic"/>
        </w:rPr>
        <w:t>φ</w:t>
      </w:r>
      <w:r w:rsidRPr="009D3012">
        <w:rPr>
          <w:lang w:val="de-DE"/>
        </w:rPr>
        <w:t>(</w:t>
      </w:r>
      <w:r w:rsidRPr="009D3012">
        <w:rPr>
          <w:rStyle w:val="CCMCvariableitalic"/>
          <w:lang w:val="de-DE"/>
        </w:rPr>
        <w:t>t</w:t>
      </w:r>
      <w:r w:rsidRPr="009D3012">
        <w:rPr>
          <w:lang w:val="de-DE"/>
        </w:rPr>
        <w:t>,</w:t>
      </w:r>
      <w:r w:rsidRPr="009D3012">
        <w:rPr>
          <w:rStyle w:val="CCMCvariableitalic"/>
          <w:lang w:val="de-DE"/>
        </w:rPr>
        <w:t>t</w:t>
      </w:r>
      <w:r w:rsidRPr="009D3012">
        <w:rPr>
          <w:rStyle w:val="CCMCvariablesubscript"/>
          <w:lang w:val="de-DE"/>
        </w:rPr>
        <w:t>0</w:t>
      </w:r>
      <w:r w:rsidRPr="009D3012">
        <w:rPr>
          <w:lang w:val="de-DE"/>
        </w:rPr>
        <w:t xml:space="preserve">) </w:t>
      </w:r>
      <w:r w:rsidRPr="009D3012">
        <w:rPr>
          <w:rFonts w:eastAsiaTheme="minorHAnsi"/>
          <w:lang w:val="de-DE"/>
        </w:rPr>
        <w:t xml:space="preserve">and </w:t>
      </w:r>
      <w:r w:rsidRPr="001455DC">
        <w:rPr>
          <w:rStyle w:val="CCMCvariableitalic"/>
        </w:rPr>
        <w:t>φ</w:t>
      </w:r>
      <w:r w:rsidRPr="009D3012">
        <w:rPr>
          <w:rStyle w:val="CCMCvariablesubscript"/>
          <w:lang w:val="de-DE"/>
        </w:rPr>
        <w:t>k;0,95</w:t>
      </w:r>
      <w:r w:rsidRPr="009D3012">
        <w:rPr>
          <w:rStyle w:val="CCMCvariableitalic"/>
          <w:lang w:val="de-DE"/>
        </w:rPr>
        <w:t> </w:t>
      </w:r>
      <w:r w:rsidR="00EC27D2" w:rsidRPr="009D3012">
        <w:rPr>
          <w:rFonts w:ascii="Cambria Math" w:eastAsiaTheme="minorHAnsi" w:hAnsi="Cambria Math"/>
          <w:lang w:val="de-DE"/>
        </w:rPr>
        <w:t>=</w:t>
      </w:r>
      <w:r w:rsidRPr="009D3012">
        <w:rPr>
          <w:rFonts w:eastAsiaTheme="minorHAnsi"/>
          <w:lang w:val="de-DE"/>
        </w:rPr>
        <w:t xml:space="preserve"> 1,5</w:t>
      </w:r>
      <w:r w:rsidRPr="001455DC">
        <w:rPr>
          <w:rStyle w:val="CCMCvariableitalic"/>
        </w:rPr>
        <w:t>φ</w:t>
      </w:r>
      <w:r w:rsidRPr="009D3012">
        <w:rPr>
          <w:lang w:val="de-DE"/>
        </w:rPr>
        <w:t>(</w:t>
      </w:r>
      <w:r w:rsidRPr="009D3012">
        <w:rPr>
          <w:rStyle w:val="CCMCvariableitalic"/>
          <w:lang w:val="de-DE"/>
        </w:rPr>
        <w:t>t</w:t>
      </w:r>
      <w:r w:rsidRPr="009D3012">
        <w:rPr>
          <w:lang w:val="de-DE"/>
        </w:rPr>
        <w:t>,</w:t>
      </w:r>
      <w:r w:rsidRPr="009D3012">
        <w:rPr>
          <w:rStyle w:val="CCMCvariableitalic"/>
          <w:lang w:val="de-DE"/>
        </w:rPr>
        <w:t>t</w:t>
      </w:r>
      <w:r w:rsidRPr="009D3012">
        <w:rPr>
          <w:rStyle w:val="CCMCvariablesubscript"/>
          <w:lang w:val="de-DE"/>
        </w:rPr>
        <w:t>0</w:t>
      </w:r>
      <w:r w:rsidRPr="009D3012">
        <w:rPr>
          <w:lang w:val="de-DE"/>
        </w:rPr>
        <w:t>).</w:t>
      </w:r>
    </w:p>
    <w:p w14:paraId="3BB9082A" w14:textId="3C710F6B" w:rsidR="004E22C1" w:rsidRPr="001455DC" w:rsidRDefault="004E22C1" w:rsidP="00082680">
      <w:pPr>
        <w:pStyle w:val="a2"/>
      </w:pPr>
      <w:bookmarkStart w:id="1323" w:name="_Toc52820130"/>
      <w:bookmarkStart w:id="1324" w:name="_Toc54337137"/>
      <w:bookmarkStart w:id="1325" w:name="_Toc54337534"/>
      <w:bookmarkStart w:id="1326" w:name="_Toc54338186"/>
      <w:bookmarkStart w:id="1327" w:name="_Toc67565524"/>
      <w:r w:rsidRPr="001455DC">
        <w:t>Basic formulae for determining the shrinkage strain</w:t>
      </w:r>
      <w:bookmarkEnd w:id="1323"/>
      <w:bookmarkEnd w:id="1324"/>
      <w:bookmarkEnd w:id="1325"/>
      <w:bookmarkEnd w:id="1326"/>
      <w:bookmarkEnd w:id="1327"/>
    </w:p>
    <w:p w14:paraId="697BCB9B" w14:textId="77777777" w:rsidR="002E684B" w:rsidRPr="001455DC" w:rsidRDefault="004E22C1" w:rsidP="00116AE2">
      <w:pPr>
        <w:pStyle w:val="a7"/>
        <w:keepNext/>
      </w:pPr>
      <w:r w:rsidRPr="001455DC">
        <w:t>(1)</w:t>
      </w:r>
      <w:r w:rsidRPr="001455DC">
        <w:tab/>
        <w:t xml:space="preserve">The total mean shrinkage or swelling strain </w:t>
      </w:r>
      <w:r w:rsidRPr="001455DC">
        <w:rPr>
          <w:rStyle w:val="CCMCvariableitalic"/>
        </w:rPr>
        <w:t>ε</w:t>
      </w:r>
      <w:r w:rsidRPr="001455DC">
        <w:rPr>
          <w:rStyle w:val="CCMCvariablesubscript"/>
        </w:rPr>
        <w:t>cs</w:t>
      </w:r>
      <w:r w:rsidRPr="001455DC">
        <w:t> (</w:t>
      </w:r>
      <w:r w:rsidRPr="001455DC">
        <w:rPr>
          <w:rStyle w:val="CCMCvariableitalic"/>
        </w:rPr>
        <w:t>t</w:t>
      </w:r>
      <w:r w:rsidRPr="001455DC">
        <w:t>,</w:t>
      </w:r>
      <w:r w:rsidRPr="001455DC">
        <w:rPr>
          <w:rStyle w:val="CCMCvariableitalic"/>
        </w:rPr>
        <w:t>t</w:t>
      </w:r>
      <w:r w:rsidRPr="001455DC">
        <w:rPr>
          <w:rStyle w:val="CCMCvariablesubscript"/>
        </w:rPr>
        <w:t>s</w:t>
      </w:r>
      <w:r w:rsidRPr="001455DC">
        <w:t>) may be calculated from Formula (B.23). For characteristic values of shrinkage or swelling strain, see (4).</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E684B" w:rsidRPr="001455DC" w14:paraId="23020B38" w14:textId="77777777" w:rsidTr="008C783D">
        <w:trPr>
          <w:cantSplit/>
        </w:trPr>
        <w:tc>
          <w:tcPr>
            <w:tcW w:w="8505" w:type="dxa"/>
            <w:vAlign w:val="center"/>
          </w:tcPr>
          <w:p w14:paraId="4D3EE3EE" w14:textId="4A118B23" w:rsidR="002E684B" w:rsidRPr="001455DC" w:rsidRDefault="00231E33" w:rsidP="008C783D">
            <w:pPr>
              <w:pStyle w:val="Formula"/>
              <w:jc w:val="left"/>
            </w:pPr>
            <m:oMathPara>
              <m:oMathParaPr>
                <m:jc m:val="left"/>
              </m:oMathParaPr>
              <m:oMath>
                <m:sSub>
                  <m:sSubPr>
                    <m:ctrlPr>
                      <w:rPr>
                        <w:rFonts w:ascii="Cambria Math" w:hAnsi="Cambria Math"/>
                      </w:rPr>
                    </m:ctrlPr>
                  </m:sSubPr>
                  <m:e>
                    <m:r>
                      <w:rPr>
                        <w:rFonts w:ascii="Cambria Math" w:hAnsi="Cambria Math"/>
                      </w:rPr>
                      <m:t>ε</m:t>
                    </m:r>
                  </m:e>
                  <m:sub>
                    <m:r>
                      <m:rPr>
                        <m:sty m:val="p"/>
                      </m:rPr>
                      <w:rPr>
                        <w:rFonts w:ascii="Cambria Math" w:hAnsi="Cambria Math"/>
                      </w:rPr>
                      <m:t>cs</m:t>
                    </m:r>
                  </m:sub>
                </m:sSub>
                <m:d>
                  <m:dPr>
                    <m:sepChr m:val=""/>
                    <m:ctrlPr>
                      <w:rPr>
                        <w:rFonts w:ascii="Cambria Math" w:hAnsi="Cambria Math"/>
                      </w:rPr>
                    </m:ctrlPr>
                  </m:dPr>
                  <m:e>
                    <m:r>
                      <w:rPr>
                        <w:rFonts w:ascii="Cambria Math" w:hAnsi="Cambria Math"/>
                      </w:rPr>
                      <m:t>t</m:t>
                    </m:r>
                  </m:e>
                  <m:e>
                    <m:r>
                      <w:rPr>
                        <w:rFonts w:ascii="Cambria Math" w:hAnsi="Cambria Math"/>
                      </w:rPr>
                      <m:t>,</m:t>
                    </m:r>
                  </m:e>
                  <m:e>
                    <m:sSub>
                      <m:sSubPr>
                        <m:ctrlPr>
                          <w:rPr>
                            <w:rFonts w:ascii="Cambria Math" w:hAnsi="Cambria Math"/>
                          </w:rPr>
                        </m:ctrlPr>
                      </m:sSubPr>
                      <m:e>
                        <m:r>
                          <w:rPr>
                            <w:rFonts w:ascii="Cambria Math" w:hAnsi="Cambria Math"/>
                          </w:rPr>
                          <m:t>t</m:t>
                        </m:r>
                      </m:e>
                      <m:sub>
                        <m:r>
                          <w:rPr>
                            <w:rFonts w:ascii="Cambria Math" w:hAnsi="Cambria Math"/>
                          </w:rPr>
                          <m:t>s</m:t>
                        </m:r>
                      </m:sub>
                    </m:sSub>
                  </m:e>
                </m:d>
                <m:r>
                  <w:rPr>
                    <w:rFonts w:ascii="Cambria Math" w:hAnsi="Cambria Math"/>
                  </w:rPr>
                  <m:t>=</m:t>
                </m:r>
                <m:sSub>
                  <m:sSubPr>
                    <m:ctrlPr>
                      <w:rPr>
                        <w:rFonts w:ascii="Cambria Math" w:hAnsi="Cambria Math"/>
                      </w:rPr>
                    </m:ctrlPr>
                  </m:sSubPr>
                  <m:e>
                    <m:r>
                      <w:rPr>
                        <w:rFonts w:ascii="Cambria Math" w:hAnsi="Cambria Math"/>
                      </w:rPr>
                      <m:t>ε</m:t>
                    </m:r>
                  </m:e>
                  <m:sub>
                    <m:r>
                      <m:rPr>
                        <m:sty m:val="p"/>
                      </m:rPr>
                      <w:rPr>
                        <w:rFonts w:ascii="Cambria Math" w:hAnsi="Cambria Math"/>
                      </w:rPr>
                      <m:t>cbs</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r>
                      <w:rPr>
                        <w:rFonts w:ascii="Cambria Math" w:hAnsi="Cambria Math"/>
                      </w:rPr>
                      <m:t>ε</m:t>
                    </m:r>
                  </m:e>
                  <m:sub>
                    <m:r>
                      <m:rPr>
                        <m:sty m:val="p"/>
                      </m:rPr>
                      <w:rPr>
                        <w:rFonts w:ascii="Cambria Math" w:hAnsi="Cambria Math"/>
                      </w:rPr>
                      <m:t>cds</m:t>
                    </m:r>
                  </m:sub>
                </m:sSub>
                <m:d>
                  <m:dPr>
                    <m:ctrlPr>
                      <w:rPr>
                        <w:rFonts w:ascii="Cambria Math" w:hAnsi="Cambria Math"/>
                      </w:rPr>
                    </m:ctrlPr>
                  </m:dPr>
                  <m:e>
                    <m:r>
                      <w:rPr>
                        <w:rFonts w:ascii="Cambria Math" w:hAnsi="Cambria Math"/>
                      </w:rPr>
                      <m:t>t-</m:t>
                    </m:r>
                    <m:sSub>
                      <m:sSubPr>
                        <m:ctrlPr>
                          <w:rPr>
                            <w:rFonts w:ascii="Cambria Math" w:hAnsi="Cambria Math"/>
                          </w:rPr>
                        </m:ctrlPr>
                      </m:sSubPr>
                      <m:e>
                        <m:r>
                          <w:rPr>
                            <w:rFonts w:ascii="Cambria Math" w:hAnsi="Cambria Math"/>
                          </w:rPr>
                          <m:t>t</m:t>
                        </m:r>
                      </m:e>
                      <m:sub>
                        <m:r>
                          <m:rPr>
                            <m:sty m:val="p"/>
                          </m:rPr>
                          <w:rPr>
                            <w:rFonts w:ascii="Cambria Math" w:hAnsi="Cambria Math"/>
                          </w:rPr>
                          <m:t>s</m:t>
                        </m:r>
                      </m:sub>
                    </m:sSub>
                  </m:e>
                </m:d>
              </m:oMath>
            </m:oMathPara>
          </w:p>
        </w:tc>
        <w:tc>
          <w:tcPr>
            <w:tcW w:w="1247" w:type="dxa"/>
            <w:vAlign w:val="center"/>
          </w:tcPr>
          <w:p w14:paraId="00BB0D83" w14:textId="0FF081CF" w:rsidR="002E684B" w:rsidRPr="001455DC" w:rsidRDefault="008C783D" w:rsidP="008C783D">
            <w:pPr>
              <w:pStyle w:val="a7"/>
              <w:jc w:val="right"/>
            </w:pPr>
            <w:r w:rsidRPr="001455DC">
              <w:t>(B.23)</w:t>
            </w:r>
          </w:p>
        </w:tc>
      </w:tr>
    </w:tbl>
    <w:p w14:paraId="3A101194" w14:textId="77777777" w:rsidR="002E684B" w:rsidRPr="001455DC" w:rsidRDefault="004E22C1" w:rsidP="00116AE2">
      <w:pPr>
        <w:pStyle w:val="a7"/>
        <w:keepNext/>
      </w:pPr>
      <w:r w:rsidRPr="001455DC">
        <w:t>where shrinkage is subdivided into the basic shrinkage ε</w:t>
      </w:r>
      <w:r w:rsidRPr="001455DC">
        <w:rPr>
          <w:rStyle w:val="CCMCvariablesubscript"/>
        </w:rPr>
        <w:t>cbs </w:t>
      </w:r>
      <w:r w:rsidRPr="001455DC">
        <w:t>(</w:t>
      </w:r>
      <w:r w:rsidRPr="001455DC">
        <w:rPr>
          <w:rStyle w:val="CCMCvariableitalic"/>
        </w:rPr>
        <w:t>t</w:t>
      </w:r>
      <w:r w:rsidRPr="001455DC">
        <w:t>) which occurs even if no moisture loss is possible:</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E684B" w:rsidRPr="001455DC" w14:paraId="20C66591" w14:textId="77777777" w:rsidTr="008C783D">
        <w:trPr>
          <w:cantSplit/>
        </w:trPr>
        <w:tc>
          <w:tcPr>
            <w:tcW w:w="8505" w:type="dxa"/>
            <w:vAlign w:val="center"/>
          </w:tcPr>
          <w:p w14:paraId="157F216D" w14:textId="7E6844CC" w:rsidR="002E684B" w:rsidRPr="001455DC" w:rsidRDefault="00231E33" w:rsidP="008C783D">
            <w:pPr>
              <w:pStyle w:val="Formula"/>
              <w:jc w:val="left"/>
            </w:pPr>
            <m:oMathPara>
              <m:oMathParaPr>
                <m:jc m:val="left"/>
              </m:oMathParaPr>
              <m:oMath>
                <m:sSub>
                  <m:sSubPr>
                    <m:ctrlPr>
                      <w:rPr>
                        <w:rFonts w:ascii="Cambria Math" w:hAnsi="Cambria Math"/>
                      </w:rPr>
                    </m:ctrlPr>
                  </m:sSubPr>
                  <m:e>
                    <m:r>
                      <w:rPr>
                        <w:rFonts w:ascii="Cambria Math" w:hAnsi="Cambria Math"/>
                      </w:rPr>
                      <m:t>ε</m:t>
                    </m:r>
                  </m:e>
                  <m:sub>
                    <m:r>
                      <m:rPr>
                        <m:sty m:val="p"/>
                      </m:rPr>
                      <w:rPr>
                        <w:rFonts w:ascii="Cambria Math" w:hAnsi="Cambria Math"/>
                      </w:rPr>
                      <m:t>cbs</m:t>
                    </m:r>
                  </m:sub>
                </m:sSub>
                <m:r>
                  <w:rPr>
                    <w:rFonts w:ascii="Cambria Math" w:hAnsi="Cambria Math"/>
                  </w:rPr>
                  <m:t>(t)=</m:t>
                </m:r>
                <m:sSub>
                  <m:sSubPr>
                    <m:ctrlPr>
                      <w:rPr>
                        <w:rFonts w:ascii="Cambria Math" w:hAnsi="Cambria Math"/>
                      </w:rPr>
                    </m:ctrlPr>
                  </m:sSubPr>
                  <m:e>
                    <m:r>
                      <w:rPr>
                        <w:rFonts w:ascii="Cambria Math" w:hAnsi="Cambria Math"/>
                      </w:rPr>
                      <m:t>ε</m:t>
                    </m:r>
                  </m:e>
                  <m:sub>
                    <m:sSub>
                      <m:sSubPr>
                        <m:ctrlPr>
                          <w:rPr>
                            <w:rFonts w:ascii="Cambria Math" w:hAnsi="Cambria Math"/>
                          </w:rPr>
                        </m:ctrlPr>
                      </m:sSubPr>
                      <m:e>
                        <m:r>
                          <m:rPr>
                            <m:sty m:val="p"/>
                          </m:rPr>
                          <w:rPr>
                            <w:rFonts w:ascii="Cambria Math" w:hAnsi="Cambria Math"/>
                          </w:rPr>
                          <m:t>cbs</m:t>
                        </m:r>
                        <m:r>
                          <w:rPr>
                            <w:rFonts w:ascii="Cambria Math" w:hAnsi="Cambria Math"/>
                          </w:rPr>
                          <m:t>,f</m:t>
                        </m:r>
                      </m:e>
                      <m:sub>
                        <m:r>
                          <m:rPr>
                            <m:sty m:val="p"/>
                          </m:rPr>
                          <w:rPr>
                            <w:rFonts w:ascii="Cambria Math" w:hAnsi="Cambria Math"/>
                          </w:rPr>
                          <m:t>cm</m:t>
                        </m:r>
                      </m:sub>
                    </m:sSub>
                  </m:sub>
                </m:sSub>
                <m: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bs,t</m:t>
                    </m:r>
                  </m:sub>
                </m:sSub>
                <m:r>
                  <w:rPr>
                    <w:rFonts w:ascii="Cambria Math" w:hAnsi="Cambria Math"/>
                  </w:rPr>
                  <m:t>⋅</m:t>
                </m:r>
                <m:sSub>
                  <m:sSubPr>
                    <m:ctrlPr>
                      <w:rPr>
                        <w:rFonts w:ascii="Cambria Math" w:hAnsi="Cambria Math"/>
                      </w:rPr>
                    </m:ctrlPr>
                  </m:sSubPr>
                  <m:e>
                    <m:r>
                      <w:rPr>
                        <w:rFonts w:ascii="Cambria Math" w:hAnsi="Cambria Math"/>
                      </w:rPr>
                      <m:t>α</m:t>
                    </m:r>
                  </m:e>
                  <m:sub>
                    <m:r>
                      <m:rPr>
                        <m:sty m:val="p"/>
                      </m:rPr>
                      <w:rPr>
                        <w:rFonts w:ascii="Cambria Math" w:hAnsi="Cambria Math"/>
                      </w:rPr>
                      <m:t>NDP,b</m:t>
                    </m:r>
                  </m:sub>
                </m:sSub>
              </m:oMath>
            </m:oMathPara>
          </w:p>
        </w:tc>
        <w:tc>
          <w:tcPr>
            <w:tcW w:w="1247" w:type="dxa"/>
            <w:vAlign w:val="center"/>
          </w:tcPr>
          <w:p w14:paraId="49321116" w14:textId="26C82C54" w:rsidR="002E684B" w:rsidRPr="001455DC" w:rsidRDefault="008C783D" w:rsidP="008C783D">
            <w:pPr>
              <w:pStyle w:val="a7"/>
              <w:jc w:val="right"/>
            </w:pPr>
            <w:r w:rsidRPr="001455DC">
              <w:t>(B.24)</w:t>
            </w:r>
          </w:p>
        </w:tc>
      </w:tr>
    </w:tbl>
    <w:p w14:paraId="603D8A79" w14:textId="77777777" w:rsidR="002E684B" w:rsidRPr="001455DC" w:rsidRDefault="004E22C1" w:rsidP="00116AE2">
      <w:pPr>
        <w:pStyle w:val="a7"/>
        <w:keepNext/>
      </w:pPr>
      <w:r w:rsidRPr="001455DC">
        <w:t xml:space="preserve">and the drying shrinkage </w:t>
      </w:r>
      <w:r w:rsidRPr="001455DC">
        <w:rPr>
          <w:rStyle w:val="CCMCvariableitalic"/>
        </w:rPr>
        <w:t>ε</w:t>
      </w:r>
      <w:r w:rsidRPr="001455DC">
        <w:rPr>
          <w:rStyle w:val="CCMCvariablesubscript"/>
        </w:rPr>
        <w:t>cds </w:t>
      </w:r>
      <w:r w:rsidRPr="001455DC">
        <w:t>(</w:t>
      </w:r>
      <w:r w:rsidRPr="001455DC">
        <w:rPr>
          <w:rStyle w:val="CCMCvariableitalic"/>
        </w:rPr>
        <w:t>t</w:t>
      </w:r>
      <w:r w:rsidRPr="001455DC">
        <w:t>,</w:t>
      </w:r>
      <w:r w:rsidRPr="001455DC">
        <w:rPr>
          <w:rStyle w:val="CCMCvariableitalic"/>
        </w:rPr>
        <w:t>t</w:t>
      </w:r>
      <w:r w:rsidRPr="001455DC">
        <w:rPr>
          <w:rStyle w:val="CCMCvariablesubscript"/>
        </w:rPr>
        <w:t>s</w:t>
      </w:r>
      <w:r w:rsidRPr="001455DC">
        <w:t>) giving the additional shrinkage if moisture loss occurs: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E684B" w:rsidRPr="001455DC" w14:paraId="12BC0007" w14:textId="77777777" w:rsidTr="008C783D">
        <w:trPr>
          <w:cantSplit/>
        </w:trPr>
        <w:tc>
          <w:tcPr>
            <w:tcW w:w="8505" w:type="dxa"/>
            <w:vAlign w:val="center"/>
          </w:tcPr>
          <w:p w14:paraId="33F62FA1" w14:textId="5AB87D30" w:rsidR="002E684B" w:rsidRPr="001455DC" w:rsidRDefault="00231E33" w:rsidP="008C783D">
            <w:pPr>
              <w:pStyle w:val="Formula"/>
              <w:jc w:val="left"/>
            </w:pPr>
            <m:oMathPara>
              <m:oMathParaPr>
                <m:jc m:val="left"/>
              </m:oMathParaPr>
              <m:oMath>
                <m:sSub>
                  <m:sSubPr>
                    <m:ctrlPr>
                      <w:rPr>
                        <w:rFonts w:ascii="Cambria Math" w:hAnsi="Cambria Math"/>
                      </w:rPr>
                    </m:ctrlPr>
                  </m:sSubPr>
                  <m:e>
                    <m:r>
                      <w:rPr>
                        <w:rFonts w:ascii="Cambria Math" w:hAnsi="Cambria Math"/>
                      </w:rPr>
                      <m:t>ε</m:t>
                    </m:r>
                  </m:e>
                  <m:sub>
                    <m:r>
                      <m:rPr>
                        <m:sty m:val="p"/>
                      </m:rPr>
                      <w:rPr>
                        <w:rFonts w:ascii="Cambria Math" w:hAnsi="Cambria Math"/>
                      </w:rPr>
                      <m:t>cds</m:t>
                    </m:r>
                  </m:sub>
                </m:sSub>
                <m:r>
                  <w:rPr>
                    <w:rFonts w:ascii="Cambria Math" w:hAnsi="Cambria Math"/>
                  </w:rPr>
                  <m:t>(t-</m:t>
                </m:r>
                <m:sSub>
                  <m:sSubPr>
                    <m:ctrlPr>
                      <w:rPr>
                        <w:rFonts w:ascii="Cambria Math" w:hAnsi="Cambria Math"/>
                      </w:rPr>
                    </m:ctrlPr>
                  </m:sSubPr>
                  <m:e>
                    <m:r>
                      <w:rPr>
                        <w:rFonts w:ascii="Cambria Math" w:hAnsi="Cambria Math"/>
                      </w:rPr>
                      <m:t>t</m:t>
                    </m:r>
                  </m:e>
                  <m:sub>
                    <m:r>
                      <m:rPr>
                        <m:sty m:val="p"/>
                      </m:rPr>
                      <w:rPr>
                        <w:rFonts w:ascii="Cambria Math" w:hAnsi="Cambria Math"/>
                      </w:rPr>
                      <m:t>s</m:t>
                    </m:r>
                  </m:sub>
                </m:sSub>
                <m:r>
                  <w:rPr>
                    <w:rFonts w:ascii="Cambria Math" w:hAnsi="Cambria Math"/>
                  </w:rPr>
                  <m:t>)=</m:t>
                </m:r>
                <m:sSub>
                  <m:sSubPr>
                    <m:ctrlPr>
                      <w:rPr>
                        <w:rFonts w:ascii="Cambria Math" w:hAnsi="Cambria Math"/>
                      </w:rPr>
                    </m:ctrlPr>
                  </m:sSubPr>
                  <m:e>
                    <m:r>
                      <w:rPr>
                        <w:rFonts w:ascii="Cambria Math" w:hAnsi="Cambria Math"/>
                      </w:rPr>
                      <m:t>ε</m:t>
                    </m:r>
                  </m:e>
                  <m:sub>
                    <m:sSub>
                      <m:sSubPr>
                        <m:ctrlPr>
                          <w:rPr>
                            <w:rFonts w:ascii="Cambria Math" w:hAnsi="Cambria Math"/>
                          </w:rPr>
                        </m:ctrlPr>
                      </m:sSubPr>
                      <m:e>
                        <m:r>
                          <m:rPr>
                            <m:sty m:val="p"/>
                          </m:rPr>
                          <w:rPr>
                            <w:rFonts w:ascii="Cambria Math" w:hAnsi="Cambria Math"/>
                          </w:rPr>
                          <m:t>cds</m:t>
                        </m:r>
                        <m:r>
                          <w:rPr>
                            <w:rFonts w:ascii="Cambria Math" w:hAnsi="Cambria Math"/>
                          </w:rPr>
                          <m:t>,f</m:t>
                        </m:r>
                      </m:e>
                      <m:sub>
                        <m:r>
                          <m:rPr>
                            <m:sty m:val="p"/>
                          </m:rPr>
                          <w:rPr>
                            <w:rFonts w:ascii="Cambria Math" w:hAnsi="Cambria Math"/>
                          </w:rPr>
                          <m:t>cm</m:t>
                        </m:r>
                      </m:sub>
                    </m:sSub>
                  </m:sub>
                </m:sSub>
                <m: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RH</m:t>
                    </m:r>
                  </m:sub>
                </m:sSub>
                <m:r>
                  <w:rPr>
                    <w:rFonts w:ascii="Cambria Math" w:hAnsi="Cambria Math"/>
                  </w:rPr>
                  <m:t>⋅</m:t>
                </m:r>
                <m:sSub>
                  <m:sSubPr>
                    <m:ctrlPr>
                      <w:rPr>
                        <w:rFonts w:ascii="Cambria Math" w:hAnsi="Cambria Math"/>
                      </w:rPr>
                    </m:ctrlPr>
                  </m:sSubPr>
                  <m:e>
                    <m:r>
                      <w:rPr>
                        <w:rFonts w:ascii="Cambria Math" w:hAnsi="Cambria Math"/>
                      </w:rPr>
                      <m:t>β</m:t>
                    </m:r>
                  </m:e>
                  <m:sub>
                    <m:sSub>
                      <m:sSubPr>
                        <m:ctrlPr>
                          <w:rPr>
                            <w:rFonts w:ascii="Cambria Math" w:hAnsi="Cambria Math"/>
                          </w:rPr>
                        </m:ctrlPr>
                      </m:sSubPr>
                      <m:e>
                        <m:r>
                          <m:rPr>
                            <m:sty m:val="p"/>
                          </m:rPr>
                          <w:rPr>
                            <w:rFonts w:ascii="Cambria Math" w:hAnsi="Cambria Math"/>
                          </w:rPr>
                          <m:t>ds</m:t>
                        </m:r>
                        <m:r>
                          <w:rPr>
                            <w:rFonts w:ascii="Cambria Math" w:hAnsi="Cambria Math"/>
                          </w:rPr>
                          <m:t>,t-t</m:t>
                        </m:r>
                      </m:e>
                      <m:sub>
                        <m:r>
                          <m:rPr>
                            <m:sty m:val="p"/>
                          </m:rPr>
                          <w:rPr>
                            <w:rFonts w:ascii="Cambria Math" w:hAnsi="Cambria Math"/>
                          </w:rPr>
                          <m:t>s</m:t>
                        </m:r>
                      </m:sub>
                    </m:sSub>
                  </m:sub>
                </m:sSub>
                <m:r>
                  <w:rPr>
                    <w:rFonts w:ascii="Cambria Math" w:hAnsi="Cambria Math"/>
                  </w:rPr>
                  <m:t>⋅</m:t>
                </m:r>
                <m:sSub>
                  <m:sSubPr>
                    <m:ctrlPr>
                      <w:rPr>
                        <w:rFonts w:ascii="Cambria Math" w:hAnsi="Cambria Math"/>
                      </w:rPr>
                    </m:ctrlPr>
                  </m:sSubPr>
                  <m:e>
                    <m:r>
                      <w:rPr>
                        <w:rFonts w:ascii="Cambria Math" w:hAnsi="Cambria Math"/>
                      </w:rPr>
                      <m:t>α</m:t>
                    </m:r>
                  </m:e>
                  <m:sub>
                    <m:r>
                      <m:rPr>
                        <m:sty m:val="p"/>
                      </m:rPr>
                      <w:rPr>
                        <w:rFonts w:ascii="Cambria Math" w:hAnsi="Cambria Math"/>
                      </w:rPr>
                      <m:t>NDP,d</m:t>
                    </m:r>
                  </m:sub>
                </m:sSub>
              </m:oMath>
            </m:oMathPara>
          </w:p>
        </w:tc>
        <w:tc>
          <w:tcPr>
            <w:tcW w:w="1247" w:type="dxa"/>
            <w:vAlign w:val="center"/>
          </w:tcPr>
          <w:p w14:paraId="068E0E01" w14:textId="66A4A371" w:rsidR="002E684B" w:rsidRPr="001455DC" w:rsidRDefault="008C783D" w:rsidP="008C783D">
            <w:pPr>
              <w:pStyle w:val="a7"/>
              <w:jc w:val="right"/>
            </w:pPr>
            <w:r w:rsidRPr="001455DC">
              <w:t>(B.25)</w:t>
            </w:r>
          </w:p>
        </w:tc>
      </w:tr>
    </w:tbl>
    <w:p w14:paraId="347503B5" w14:textId="1636E9E0" w:rsidR="008C783D" w:rsidRPr="001455DC" w:rsidRDefault="008C783D"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1531"/>
        <w:gridCol w:w="7881"/>
      </w:tblGrid>
      <w:tr w:rsidR="008C783D" w:rsidRPr="001455DC" w14:paraId="5390B74E" w14:textId="77777777" w:rsidTr="008C783D">
        <w:trPr>
          <w:cantSplit/>
        </w:trPr>
        <w:tc>
          <w:tcPr>
            <w:tcW w:w="1531" w:type="dxa"/>
          </w:tcPr>
          <w:p w14:paraId="081C0642" w14:textId="22F3C520" w:rsidR="008C783D" w:rsidRPr="001455DC" w:rsidRDefault="00231E33" w:rsidP="008C783D">
            <w:pPr>
              <w:pStyle w:val="Tablebody"/>
            </w:pPr>
            <m:oMathPara>
              <m:oMathParaPr>
                <m:jc m:val="left"/>
              </m:oMathParaPr>
              <m:oMath>
                <m:sSub>
                  <m:sSubPr>
                    <m:ctrlPr>
                      <w:rPr>
                        <w:rFonts w:ascii="Cambria Math" w:hAnsi="Cambria Math"/>
                      </w:rPr>
                    </m:ctrlPr>
                  </m:sSubPr>
                  <m:e>
                    <m:r>
                      <w:rPr>
                        <w:rFonts w:ascii="Cambria Math" w:hAnsi="Cambria Math"/>
                      </w:rPr>
                      <m:t>ε</m:t>
                    </m:r>
                  </m:e>
                  <m:sub>
                    <m:sSub>
                      <m:sSubPr>
                        <m:ctrlPr>
                          <w:rPr>
                            <w:rFonts w:ascii="Cambria Math" w:hAnsi="Cambria Math"/>
                          </w:rPr>
                        </m:ctrlPr>
                      </m:sSubPr>
                      <m:e>
                        <m:r>
                          <m:rPr>
                            <m:sty m:val="p"/>
                          </m:rPr>
                          <w:rPr>
                            <w:rFonts w:ascii="Cambria Math" w:hAnsi="Cambria Math"/>
                          </w:rPr>
                          <m:t>cbs</m:t>
                        </m:r>
                        <m:r>
                          <w:rPr>
                            <w:rFonts w:ascii="Cambria Math" w:hAnsi="Cambria Math"/>
                          </w:rPr>
                          <m:t>,f</m:t>
                        </m:r>
                      </m:e>
                      <m:sub>
                        <m:r>
                          <m:rPr>
                            <m:sty m:val="p"/>
                          </m:rPr>
                          <w:rPr>
                            <w:rFonts w:ascii="Cambria Math" w:hAnsi="Cambria Math"/>
                          </w:rPr>
                          <m:t>cm</m:t>
                        </m:r>
                      </m:sub>
                    </m:sSub>
                  </m:sub>
                </m:sSub>
              </m:oMath>
            </m:oMathPara>
          </w:p>
        </w:tc>
        <w:tc>
          <w:tcPr>
            <w:tcW w:w="7881" w:type="dxa"/>
          </w:tcPr>
          <w:p w14:paraId="3628BABD" w14:textId="748FA7D9" w:rsidR="008C783D" w:rsidRPr="001455DC" w:rsidRDefault="00632983" w:rsidP="008C783D">
            <w:pPr>
              <w:pStyle w:val="Tablebody"/>
            </w:pPr>
            <w:r w:rsidRPr="001455DC">
              <w:t>is the notional basic shrinkage coefficient, see Formula (B.26);</w:t>
            </w:r>
          </w:p>
        </w:tc>
      </w:tr>
      <w:tr w:rsidR="00632983" w:rsidRPr="001455DC" w14:paraId="1098B9E0" w14:textId="77777777" w:rsidTr="008C783D">
        <w:trPr>
          <w:cantSplit/>
        </w:trPr>
        <w:tc>
          <w:tcPr>
            <w:tcW w:w="1531" w:type="dxa"/>
          </w:tcPr>
          <w:p w14:paraId="408C14FE" w14:textId="3D53D1D9" w:rsidR="00632983" w:rsidRPr="001455DC" w:rsidRDefault="00231E33" w:rsidP="008C783D">
            <w:pPr>
              <w:pStyle w:val="Tablebody"/>
            </w:pPr>
            <m:oMathPara>
              <m:oMathParaPr>
                <m:jc m:val="left"/>
              </m:oMathParaPr>
              <m:oMath>
                <m:sSub>
                  <m:sSubPr>
                    <m:ctrlPr>
                      <w:rPr>
                        <w:rFonts w:ascii="Cambria Math" w:hAnsi="Cambria Math"/>
                      </w:rPr>
                    </m:ctrlPr>
                  </m:sSubPr>
                  <m:e>
                    <m:r>
                      <w:rPr>
                        <w:rFonts w:ascii="Cambria Math" w:hAnsi="Cambria Math"/>
                      </w:rPr>
                      <m:t>ε</m:t>
                    </m:r>
                  </m:e>
                  <m:sub>
                    <m:sSub>
                      <m:sSubPr>
                        <m:ctrlPr>
                          <w:rPr>
                            <w:rFonts w:ascii="Cambria Math" w:hAnsi="Cambria Math"/>
                          </w:rPr>
                        </m:ctrlPr>
                      </m:sSubPr>
                      <m:e>
                        <m:r>
                          <m:rPr>
                            <m:sty m:val="p"/>
                          </m:rPr>
                          <w:rPr>
                            <w:rFonts w:ascii="Cambria Math" w:hAnsi="Cambria Math"/>
                          </w:rPr>
                          <m:t>cds</m:t>
                        </m:r>
                        <m:r>
                          <w:rPr>
                            <w:rFonts w:ascii="Cambria Math" w:hAnsi="Cambria Math"/>
                          </w:rPr>
                          <m:t>,f</m:t>
                        </m:r>
                      </m:e>
                      <m:sub>
                        <m:r>
                          <m:rPr>
                            <m:sty m:val="p"/>
                          </m:rPr>
                          <w:rPr>
                            <w:rFonts w:ascii="Cambria Math" w:hAnsi="Cambria Math"/>
                          </w:rPr>
                          <m:t>cm</m:t>
                        </m:r>
                      </m:sub>
                    </m:sSub>
                  </m:sub>
                </m:sSub>
              </m:oMath>
            </m:oMathPara>
          </w:p>
        </w:tc>
        <w:tc>
          <w:tcPr>
            <w:tcW w:w="7881" w:type="dxa"/>
          </w:tcPr>
          <w:p w14:paraId="590E31C8" w14:textId="17B757E4" w:rsidR="00632983" w:rsidRPr="001455DC" w:rsidRDefault="00632983" w:rsidP="008C783D">
            <w:pPr>
              <w:pStyle w:val="Tablebody"/>
            </w:pPr>
            <w:r w:rsidRPr="001455DC">
              <w:t>is the notional drying shrinkage coefficient, see Formula (B.28);</w:t>
            </w:r>
          </w:p>
        </w:tc>
      </w:tr>
      <w:tr w:rsidR="00632983" w:rsidRPr="001455DC" w14:paraId="043D16AE" w14:textId="77777777" w:rsidTr="008C783D">
        <w:trPr>
          <w:cantSplit/>
        </w:trPr>
        <w:tc>
          <w:tcPr>
            <w:tcW w:w="1531" w:type="dxa"/>
          </w:tcPr>
          <w:p w14:paraId="6E0CB568" w14:textId="5C3798B9" w:rsidR="00632983" w:rsidRPr="001455DC" w:rsidRDefault="00231E33" w:rsidP="008C783D">
            <w:pPr>
              <w:pStyle w:val="Tablebody"/>
            </w:pPr>
            <m:oMathPara>
              <m:oMathParaPr>
                <m:jc m:val="left"/>
              </m:oMathParaPr>
              <m:oMath>
                <m:sSub>
                  <m:sSubPr>
                    <m:ctrlPr>
                      <w:rPr>
                        <w:rFonts w:ascii="Cambria Math" w:hAnsi="Cambria Math"/>
                      </w:rPr>
                    </m:ctrlPr>
                  </m:sSubPr>
                  <m:e>
                    <m:r>
                      <w:rPr>
                        <w:rFonts w:ascii="Cambria Math" w:hAnsi="Cambria Math"/>
                      </w:rPr>
                      <m:t>β</m:t>
                    </m:r>
                  </m:e>
                  <m:sub>
                    <m:r>
                      <m:rPr>
                        <m:sty m:val="p"/>
                      </m:rPr>
                      <w:rPr>
                        <w:rFonts w:ascii="Cambria Math" w:hAnsi="Cambria Math"/>
                      </w:rPr>
                      <m:t>bs,t</m:t>
                    </m:r>
                  </m:sub>
                </m:sSub>
              </m:oMath>
            </m:oMathPara>
          </w:p>
        </w:tc>
        <w:tc>
          <w:tcPr>
            <w:tcW w:w="7881" w:type="dxa"/>
          </w:tcPr>
          <w:p w14:paraId="78984286" w14:textId="4990746B" w:rsidR="00632983" w:rsidRPr="001455DC" w:rsidRDefault="00632983" w:rsidP="008C783D">
            <w:pPr>
              <w:pStyle w:val="Tablebody"/>
            </w:pPr>
            <w:r w:rsidRPr="001455DC">
              <w:t>is a function to describe the time</w:t>
            </w:r>
            <w:r w:rsidR="006E72E1" w:rsidRPr="001455DC">
              <w:t xml:space="preserve"> </w:t>
            </w:r>
            <w:r w:rsidRPr="001455DC">
              <w:t>development of basic shrinkage, see Formula (B.27);</w:t>
            </w:r>
          </w:p>
        </w:tc>
      </w:tr>
      <w:tr w:rsidR="00632983" w:rsidRPr="001455DC" w14:paraId="38B51B97" w14:textId="77777777" w:rsidTr="008C783D">
        <w:trPr>
          <w:cantSplit/>
        </w:trPr>
        <w:tc>
          <w:tcPr>
            <w:tcW w:w="1531" w:type="dxa"/>
          </w:tcPr>
          <w:p w14:paraId="42912EE4" w14:textId="19326BD0" w:rsidR="00632983" w:rsidRPr="001455DC" w:rsidRDefault="00231E33" w:rsidP="008C783D">
            <w:pPr>
              <w:pStyle w:val="Tablebody"/>
            </w:pPr>
            <m:oMathPara>
              <m:oMathParaPr>
                <m:jc m:val="left"/>
              </m:oMathParaPr>
              <m:oMath>
                <m:sSub>
                  <m:sSubPr>
                    <m:ctrlPr>
                      <w:rPr>
                        <w:rFonts w:ascii="Cambria Math" w:hAnsi="Cambria Math"/>
                      </w:rPr>
                    </m:ctrlPr>
                  </m:sSubPr>
                  <m:e>
                    <m:r>
                      <w:rPr>
                        <w:rFonts w:ascii="Cambria Math" w:hAnsi="Cambria Math"/>
                      </w:rPr>
                      <m:t>β</m:t>
                    </m:r>
                  </m:e>
                  <m:sub>
                    <m:r>
                      <m:rPr>
                        <m:sty m:val="p"/>
                      </m:rPr>
                      <w:rPr>
                        <w:rFonts w:ascii="Cambria Math" w:hAnsi="Cambria Math"/>
                      </w:rPr>
                      <m:t>RH</m:t>
                    </m:r>
                  </m:sub>
                </m:sSub>
              </m:oMath>
            </m:oMathPara>
          </w:p>
        </w:tc>
        <w:tc>
          <w:tcPr>
            <w:tcW w:w="7881" w:type="dxa"/>
          </w:tcPr>
          <w:p w14:paraId="56C0ACE1" w14:textId="33BC3E74" w:rsidR="00632983" w:rsidRPr="001455DC" w:rsidRDefault="00632983" w:rsidP="008C783D">
            <w:pPr>
              <w:pStyle w:val="Tablebody"/>
            </w:pPr>
            <w:r w:rsidRPr="001455DC">
              <w:t>is a coefficient to consider the effect of relative humidity on drying shrinkage, see Formula (B.29);</w:t>
            </w:r>
          </w:p>
        </w:tc>
      </w:tr>
      <w:tr w:rsidR="00632983" w:rsidRPr="001455DC" w14:paraId="2BF4BC07" w14:textId="77777777" w:rsidTr="008C783D">
        <w:trPr>
          <w:cantSplit/>
        </w:trPr>
        <w:tc>
          <w:tcPr>
            <w:tcW w:w="1531" w:type="dxa"/>
          </w:tcPr>
          <w:p w14:paraId="25DD4B92" w14:textId="243C0482" w:rsidR="00632983" w:rsidRPr="001455DC" w:rsidRDefault="00231E33" w:rsidP="008C783D">
            <w:pPr>
              <w:pStyle w:val="Tablebody"/>
            </w:pPr>
            <m:oMathPara>
              <m:oMathParaPr>
                <m:jc m:val="left"/>
              </m:oMathParaPr>
              <m:oMath>
                <m:sSub>
                  <m:sSubPr>
                    <m:ctrlPr>
                      <w:rPr>
                        <w:rFonts w:ascii="Cambria Math" w:hAnsi="Cambria Math"/>
                      </w:rPr>
                    </m:ctrlPr>
                  </m:sSubPr>
                  <m:e>
                    <m:r>
                      <w:rPr>
                        <w:rFonts w:ascii="Cambria Math" w:hAnsi="Cambria Math"/>
                      </w:rPr>
                      <m:t>β</m:t>
                    </m:r>
                  </m:e>
                  <m:sub>
                    <m:sSub>
                      <m:sSubPr>
                        <m:ctrlPr>
                          <w:rPr>
                            <w:rFonts w:ascii="Cambria Math" w:hAnsi="Cambria Math"/>
                          </w:rPr>
                        </m:ctrlPr>
                      </m:sSubPr>
                      <m:e>
                        <m:r>
                          <m:rPr>
                            <m:sty m:val="p"/>
                          </m:rPr>
                          <w:rPr>
                            <w:rFonts w:ascii="Cambria Math" w:hAnsi="Cambria Math"/>
                          </w:rPr>
                          <m:t>ds</m:t>
                        </m:r>
                        <m:r>
                          <w:rPr>
                            <w:rFonts w:ascii="Cambria Math" w:hAnsi="Cambria Math"/>
                          </w:rPr>
                          <m:t>,t-t</m:t>
                        </m:r>
                      </m:e>
                      <m:sub>
                        <m:r>
                          <m:rPr>
                            <m:sty m:val="p"/>
                          </m:rPr>
                          <w:rPr>
                            <w:rFonts w:ascii="Cambria Math" w:hAnsi="Cambria Math"/>
                          </w:rPr>
                          <m:t>s</m:t>
                        </m:r>
                      </m:sub>
                    </m:sSub>
                  </m:sub>
                </m:sSub>
              </m:oMath>
            </m:oMathPara>
          </w:p>
        </w:tc>
        <w:tc>
          <w:tcPr>
            <w:tcW w:w="7881" w:type="dxa"/>
          </w:tcPr>
          <w:p w14:paraId="35A8E8B8" w14:textId="45CEFC72" w:rsidR="00632983" w:rsidRPr="001455DC" w:rsidRDefault="00632983" w:rsidP="008C783D">
            <w:pPr>
              <w:pStyle w:val="Tablebody"/>
            </w:pPr>
            <w:r w:rsidRPr="001455DC">
              <w:t>is a function to describe the time</w:t>
            </w:r>
            <w:r w:rsidR="006E72E1" w:rsidRPr="001455DC">
              <w:t xml:space="preserve"> </w:t>
            </w:r>
            <w:r w:rsidRPr="001455DC">
              <w:t>development of drying shrinkage, see Formula (B.31);</w:t>
            </w:r>
          </w:p>
        </w:tc>
      </w:tr>
      <w:tr w:rsidR="00632983" w:rsidRPr="001455DC" w14:paraId="1F0B6556" w14:textId="77777777" w:rsidTr="008C783D">
        <w:trPr>
          <w:cantSplit/>
        </w:trPr>
        <w:tc>
          <w:tcPr>
            <w:tcW w:w="1531" w:type="dxa"/>
          </w:tcPr>
          <w:p w14:paraId="5F20422E" w14:textId="5263E841" w:rsidR="00632983" w:rsidRPr="001455DC" w:rsidRDefault="00632983" w:rsidP="008C783D">
            <w:pPr>
              <w:pStyle w:val="Tablebody"/>
            </w:pPr>
            <w:r w:rsidRPr="001455DC">
              <w:rPr>
                <w:rStyle w:val="CCMCvariableitalic"/>
              </w:rPr>
              <w:t>t</w:t>
            </w:r>
            <w:r w:rsidRPr="001455DC">
              <w:rPr>
                <w:rStyle w:val="CCMCvariablesubscript"/>
              </w:rPr>
              <w:t>s</w:t>
            </w:r>
          </w:p>
        </w:tc>
        <w:tc>
          <w:tcPr>
            <w:tcW w:w="7881" w:type="dxa"/>
          </w:tcPr>
          <w:p w14:paraId="7397BBC5" w14:textId="67CC1CC1" w:rsidR="00632983" w:rsidRPr="001455DC" w:rsidRDefault="00632983" w:rsidP="008C783D">
            <w:pPr>
              <w:pStyle w:val="Tablebody"/>
            </w:pPr>
            <w:r w:rsidRPr="001455DC">
              <w:t>is the concrete age at the beginning of drying [d];</w:t>
            </w:r>
          </w:p>
        </w:tc>
      </w:tr>
      <w:tr w:rsidR="00632983" w:rsidRPr="001455DC" w14:paraId="20B5B359" w14:textId="77777777" w:rsidTr="008C783D">
        <w:trPr>
          <w:cantSplit/>
        </w:trPr>
        <w:tc>
          <w:tcPr>
            <w:tcW w:w="1531" w:type="dxa"/>
          </w:tcPr>
          <w:p w14:paraId="68831001" w14:textId="556B9641" w:rsidR="00632983" w:rsidRPr="001455DC" w:rsidRDefault="00632983" w:rsidP="008C783D">
            <w:pPr>
              <w:pStyle w:val="Tablebody"/>
            </w:pPr>
            <w:r w:rsidRPr="001455DC">
              <w:rPr>
                <w:rStyle w:val="CCMCvariableitalic"/>
              </w:rPr>
              <w:t>t</w:t>
            </w:r>
            <w:r w:rsidRPr="001455DC">
              <w:t xml:space="preserve"> </w:t>
            </w:r>
            <w:r w:rsidRPr="001455DC">
              <w:rPr>
                <w:rFonts w:ascii="Cambria Math" w:hAnsi="Cambria Math"/>
              </w:rPr>
              <w:t>−</w:t>
            </w:r>
            <w:r w:rsidRPr="001455DC">
              <w:t xml:space="preserve"> </w:t>
            </w:r>
            <w:r w:rsidRPr="001455DC">
              <w:rPr>
                <w:rStyle w:val="CCMCvariableitalic"/>
              </w:rPr>
              <w:t>t</w:t>
            </w:r>
            <w:r w:rsidRPr="001455DC">
              <w:rPr>
                <w:rStyle w:val="CCMCvariablesubscript"/>
              </w:rPr>
              <w:t>s</w:t>
            </w:r>
          </w:p>
        </w:tc>
        <w:tc>
          <w:tcPr>
            <w:tcW w:w="7881" w:type="dxa"/>
          </w:tcPr>
          <w:p w14:paraId="0709DED1" w14:textId="37235458" w:rsidR="00632983" w:rsidRPr="001455DC" w:rsidRDefault="00632983" w:rsidP="008C783D">
            <w:pPr>
              <w:pStyle w:val="Tablebody"/>
            </w:pPr>
            <w:r w:rsidRPr="001455DC">
              <w:t xml:space="preserve">is the </w:t>
            </w:r>
            <w:r w:rsidR="006E72E1" w:rsidRPr="001455DC">
              <w:t xml:space="preserve">real (non-adjusted) </w:t>
            </w:r>
            <w:r w:rsidRPr="001455DC">
              <w:t>duration of drying [d].</w:t>
            </w:r>
          </w:p>
        </w:tc>
      </w:tr>
    </w:tbl>
    <w:p w14:paraId="4B2AC34D" w14:textId="77777777" w:rsidR="004E22C1" w:rsidRPr="001455DC" w:rsidRDefault="004E22C1" w:rsidP="00632983">
      <w:pPr>
        <w:pStyle w:val="Note"/>
      </w:pPr>
      <w:r w:rsidRPr="001455DC">
        <w:t>NOTE</w:t>
      </w:r>
      <w:r w:rsidRPr="001455DC">
        <w:tab/>
        <w:t xml:space="preserve">The values of </w:t>
      </w:r>
      <w:r w:rsidRPr="001455DC">
        <w:rPr>
          <w:rStyle w:val="CCMCvariableitalic"/>
        </w:rPr>
        <w:t>α</w:t>
      </w:r>
      <w:r w:rsidRPr="001455DC">
        <w:rPr>
          <w:rStyle w:val="CCMCvariablesubscript"/>
        </w:rPr>
        <w:t>NDP,b</w:t>
      </w:r>
      <w:r w:rsidRPr="001455DC">
        <w:t xml:space="preserve"> and </w:t>
      </w:r>
      <w:r w:rsidRPr="001455DC">
        <w:rPr>
          <w:rStyle w:val="CCMCvariableitalic"/>
        </w:rPr>
        <w:t>α</w:t>
      </w:r>
      <w:r w:rsidRPr="001455DC">
        <w:rPr>
          <w:rStyle w:val="CCMCvariablesubscript"/>
        </w:rPr>
        <w:t>NDP,d</w:t>
      </w:r>
      <w:r w:rsidRPr="001455DC">
        <w:t xml:space="preserve"> are 1,0 unless a National Annex gives different values.</w:t>
      </w:r>
    </w:p>
    <w:p w14:paraId="022341BF" w14:textId="77777777" w:rsidR="002E684B" w:rsidRPr="001455DC" w:rsidRDefault="004E22C1" w:rsidP="00116AE2">
      <w:pPr>
        <w:pStyle w:val="a7"/>
        <w:keepNext/>
      </w:pPr>
      <w:r w:rsidRPr="001455DC">
        <w:t>(2)</w:t>
      </w:r>
      <w:r w:rsidRPr="001455DC">
        <w:tab/>
        <w:t xml:space="preserve">The basic shrinkage </w:t>
      </w:r>
      <w:r w:rsidRPr="001455DC">
        <w:rPr>
          <w:rStyle w:val="CCMCvariableitalic"/>
        </w:rPr>
        <w:t>ε</w:t>
      </w:r>
      <w:r w:rsidRPr="001455DC">
        <w:rPr>
          <w:rStyle w:val="CCMCvariablesubscript"/>
        </w:rPr>
        <w:t>cbs </w:t>
      </w:r>
      <w:r w:rsidRPr="001455DC">
        <w:t>(</w:t>
      </w:r>
      <w:r w:rsidRPr="001455DC">
        <w:rPr>
          <w:rStyle w:val="CCMCvariableitalic"/>
        </w:rPr>
        <w:t>t</w:t>
      </w:r>
      <w:r w:rsidRPr="001455DC">
        <w:t>) according to Formula (B.24) may be estimated by applying Formulae (B.26) and (B.27):</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E684B" w:rsidRPr="001455DC" w14:paraId="211616EA" w14:textId="77777777" w:rsidTr="008C783D">
        <w:trPr>
          <w:cantSplit/>
        </w:trPr>
        <w:tc>
          <w:tcPr>
            <w:tcW w:w="8505" w:type="dxa"/>
            <w:vAlign w:val="center"/>
          </w:tcPr>
          <w:p w14:paraId="1D9DF2F0" w14:textId="6ABE3D7D" w:rsidR="002E684B" w:rsidRPr="001455DC" w:rsidRDefault="00231E33" w:rsidP="008C783D">
            <w:pPr>
              <w:pStyle w:val="Formula"/>
              <w:jc w:val="left"/>
            </w:pPr>
            <m:oMathPara>
              <m:oMathParaPr>
                <m:jc m:val="left"/>
              </m:oMathParaPr>
              <m:oMath>
                <m:sSub>
                  <m:sSubPr>
                    <m:ctrlPr>
                      <w:rPr>
                        <w:rFonts w:ascii="Cambria Math" w:hAnsi="Cambria Math"/>
                      </w:rPr>
                    </m:ctrlPr>
                  </m:sSubPr>
                  <m:e>
                    <m:r>
                      <w:rPr>
                        <w:rFonts w:ascii="Cambria Math" w:hAnsi="Cambria Math"/>
                      </w:rPr>
                      <m:t>ε</m:t>
                    </m:r>
                  </m:e>
                  <m:sub>
                    <m:sSub>
                      <m:sSubPr>
                        <m:ctrlPr>
                          <w:rPr>
                            <w:rFonts w:ascii="Cambria Math" w:hAnsi="Cambria Math"/>
                          </w:rPr>
                        </m:ctrlPr>
                      </m:sSubPr>
                      <m:e>
                        <m:r>
                          <m:rPr>
                            <m:sty m:val="p"/>
                          </m:rPr>
                          <w:rPr>
                            <w:rFonts w:ascii="Cambria Math" w:hAnsi="Cambria Math"/>
                          </w:rPr>
                          <m:t>cbs</m:t>
                        </m:r>
                        <m:r>
                          <w:rPr>
                            <w:rFonts w:ascii="Cambria Math" w:hAnsi="Cambria Math"/>
                          </w:rPr>
                          <m:t>,f</m:t>
                        </m:r>
                      </m:e>
                      <m:sub>
                        <m:r>
                          <m:rPr>
                            <m:sty m:val="p"/>
                          </m:rPr>
                          <w:rPr>
                            <w:rFonts w:ascii="Cambria Math" w:hAnsi="Cambria Math"/>
                          </w:rPr>
                          <m:t>cm</m:t>
                        </m:r>
                      </m:sub>
                    </m:sSub>
                  </m:sub>
                </m:sSub>
                <m:r>
                  <w:rPr>
                    <w:rFonts w:ascii="Cambria Math" w:hAnsi="Cambria Math"/>
                  </w:rPr>
                  <m:t>=-</m:t>
                </m:r>
                <m:sSub>
                  <m:sSubPr>
                    <m:ctrlPr>
                      <w:rPr>
                        <w:rFonts w:ascii="Cambria Math" w:hAnsi="Cambria Math"/>
                      </w:rPr>
                    </m:ctrlPr>
                  </m:sSubPr>
                  <m:e>
                    <m:r>
                      <w:rPr>
                        <w:rFonts w:ascii="Cambria Math" w:hAnsi="Cambria Math"/>
                      </w:rPr>
                      <m:t>α</m:t>
                    </m:r>
                  </m:e>
                  <m:sub>
                    <m:r>
                      <m:rPr>
                        <m:sty m:val="p"/>
                      </m:rPr>
                      <w:rPr>
                        <w:rFonts w:ascii="Cambria Math" w:hAnsi="Cambria Math"/>
                      </w:rPr>
                      <m:t>bs</m:t>
                    </m:r>
                  </m:sub>
                </m:sSub>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cm,28</m:t>
                                </m:r>
                              </m:sub>
                            </m:sSub>
                          </m:num>
                          <m:den>
                            <m:r>
                              <w:rPr>
                                <w:rFonts w:ascii="Cambria Math" w:hAnsi="Cambria Math"/>
                              </w:rPr>
                              <m:t>60+</m:t>
                            </m:r>
                            <m:sSub>
                              <m:sSubPr>
                                <m:ctrlPr>
                                  <w:rPr>
                                    <w:rFonts w:ascii="Cambria Math" w:hAnsi="Cambria Math"/>
                                  </w:rPr>
                                </m:ctrlPr>
                              </m:sSubPr>
                              <m:e>
                                <m:r>
                                  <w:rPr>
                                    <w:rFonts w:ascii="Cambria Math" w:hAnsi="Cambria Math"/>
                                  </w:rPr>
                                  <m:t>f</m:t>
                                </m:r>
                              </m:e>
                              <m:sub>
                                <m:r>
                                  <m:rPr>
                                    <m:sty m:val="p"/>
                                  </m:rPr>
                                  <w:rPr>
                                    <w:rFonts w:ascii="Cambria Math" w:hAnsi="Cambria Math"/>
                                  </w:rPr>
                                  <m:t>cm,28</m:t>
                                </m:r>
                              </m:sub>
                            </m:sSub>
                          </m:den>
                        </m:f>
                      </m:e>
                    </m:d>
                  </m:e>
                  <m:sup>
                    <m:r>
                      <w:rPr>
                        <w:rFonts w:ascii="Cambria Math" w:hAnsi="Cambria Math"/>
                      </w:rPr>
                      <m:t>2,5</m:t>
                    </m:r>
                  </m:sup>
                </m:sSup>
                <m: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-6</m:t>
                    </m:r>
                  </m:sup>
                </m:sSup>
              </m:oMath>
            </m:oMathPara>
          </w:p>
        </w:tc>
        <w:tc>
          <w:tcPr>
            <w:tcW w:w="1247" w:type="dxa"/>
            <w:vAlign w:val="center"/>
          </w:tcPr>
          <w:p w14:paraId="4F7D9DA8" w14:textId="4AC2EAB5" w:rsidR="002E684B" w:rsidRPr="001455DC" w:rsidRDefault="00632983" w:rsidP="008C783D">
            <w:pPr>
              <w:pStyle w:val="a7"/>
              <w:jc w:val="right"/>
            </w:pPr>
            <w:r w:rsidRPr="001455DC">
              <w:t>(B.26)</w:t>
            </w:r>
          </w:p>
        </w:tc>
      </w:tr>
      <w:tr w:rsidR="002E684B" w:rsidRPr="001455DC" w14:paraId="785C3369" w14:textId="77777777" w:rsidTr="008C783D">
        <w:trPr>
          <w:cantSplit/>
        </w:trPr>
        <w:tc>
          <w:tcPr>
            <w:tcW w:w="8505" w:type="dxa"/>
            <w:vAlign w:val="center"/>
          </w:tcPr>
          <w:p w14:paraId="46291171" w14:textId="3CA1A160" w:rsidR="002E684B" w:rsidRPr="001455DC" w:rsidRDefault="00231E33">
            <w:pPr>
              <w:pStyle w:val="Formula"/>
              <w:jc w:val="left"/>
            </w:pPr>
            <m:oMathPara>
              <m:oMathParaPr>
                <m:jc m:val="left"/>
              </m:oMathParaPr>
              <m:oMath>
                <m:sSub>
                  <m:sSubPr>
                    <m:ctrlPr>
                      <w:rPr>
                        <w:rFonts w:ascii="Cambria Math" w:hAnsi="Cambria Math"/>
                      </w:rPr>
                    </m:ctrlPr>
                  </m:sSubPr>
                  <m:e>
                    <m:r>
                      <w:rPr>
                        <w:rFonts w:ascii="Cambria Math" w:hAnsi="Cambria Math"/>
                      </w:rPr>
                      <m:t>β</m:t>
                    </m:r>
                  </m:e>
                  <m:sub>
                    <m:r>
                      <m:rPr>
                        <m:sty m:val="p"/>
                      </m:rPr>
                      <w:rPr>
                        <w:rFonts w:ascii="Cambria Math" w:hAnsi="Cambria Math"/>
                      </w:rPr>
                      <m:t>bs,t</m:t>
                    </m:r>
                  </m:sub>
                </m:sSub>
                <m:r>
                  <w:rPr>
                    <w:rFonts w:ascii="Cambria Math" w:hAnsi="Cambria Math"/>
                  </w:rPr>
                  <m:t>=1-</m:t>
                </m:r>
                <m:sSup>
                  <m:sSupPr>
                    <m:ctrlPr>
                      <w:rPr>
                        <w:rFonts w:ascii="Cambria Math" w:hAnsi="Cambria Math"/>
                      </w:rPr>
                    </m:ctrlPr>
                  </m:sSupPr>
                  <m:e>
                    <m:r>
                      <m:rPr>
                        <m:sty m:val="p"/>
                      </m:rPr>
                      <w:rPr>
                        <w:rFonts w:ascii="Cambria Math" w:hAnsi="Cambria Math"/>
                      </w:rPr>
                      <m:t>exp</m:t>
                    </m:r>
                    <m:d>
                      <m:dPr>
                        <m:ctrlPr>
                          <w:rPr>
                            <w:rFonts w:ascii="Cambria Math" w:hAnsi="Cambria Math"/>
                            <w:i/>
                          </w:rPr>
                        </m:ctrlPr>
                      </m:dPr>
                      <m:e>
                        <m:r>
                          <w:rPr>
                            <w:rFonts w:ascii="Cambria Math" w:hAnsi="Cambria Math"/>
                          </w:rPr>
                          <m:t>-0,2</m:t>
                        </m:r>
                        <m:rad>
                          <m:radPr>
                            <m:degHide m:val="1"/>
                            <m:ctrlPr>
                              <w:rPr>
                                <w:rFonts w:ascii="Cambria Math" w:hAnsi="Cambria Math"/>
                              </w:rPr>
                            </m:ctrlPr>
                          </m:radPr>
                          <m:deg/>
                          <m:e>
                            <m:r>
                              <w:rPr>
                                <w:rFonts w:ascii="Cambria Math" w:hAnsi="Cambria Math"/>
                              </w:rPr>
                              <m:t>t</m:t>
                            </m:r>
                          </m:e>
                        </m:rad>
                      </m:e>
                    </m:d>
                  </m:e>
                  <m:sup/>
                </m:sSup>
              </m:oMath>
            </m:oMathPara>
          </w:p>
        </w:tc>
        <w:tc>
          <w:tcPr>
            <w:tcW w:w="1247" w:type="dxa"/>
            <w:vAlign w:val="center"/>
          </w:tcPr>
          <w:p w14:paraId="308EFBBC" w14:textId="4E2D65A3" w:rsidR="002E684B" w:rsidRPr="001455DC" w:rsidRDefault="00632983" w:rsidP="008C783D">
            <w:pPr>
              <w:pStyle w:val="a7"/>
              <w:jc w:val="right"/>
            </w:pPr>
            <w:r w:rsidRPr="001455DC">
              <w:t>(B.27)</w:t>
            </w:r>
          </w:p>
        </w:tc>
      </w:tr>
    </w:tbl>
    <w:p w14:paraId="3C587D6E" w14:textId="1861F119" w:rsidR="00632983" w:rsidRPr="001455DC" w:rsidRDefault="00632983" w:rsidP="00A35599">
      <w:pPr>
        <w:pStyle w:val="a7"/>
        <w:keepNext/>
      </w:pPr>
      <w:r w:rsidRPr="001455DC">
        <w:t>where</w:t>
      </w:r>
    </w:p>
    <w:tbl>
      <w:tblPr>
        <w:tblW w:w="9299" w:type="dxa"/>
        <w:tblInd w:w="397" w:type="dxa"/>
        <w:tblLayout w:type="fixed"/>
        <w:tblCellMar>
          <w:left w:w="28" w:type="dxa"/>
          <w:right w:w="28" w:type="dxa"/>
        </w:tblCellMar>
        <w:tblLook w:val="04A0" w:firstRow="1" w:lastRow="0" w:firstColumn="1" w:lastColumn="0" w:noHBand="0" w:noVBand="1"/>
      </w:tblPr>
      <w:tblGrid>
        <w:gridCol w:w="567"/>
        <w:gridCol w:w="8732"/>
      </w:tblGrid>
      <w:tr w:rsidR="00632983" w:rsidRPr="001455DC" w14:paraId="74129EB1" w14:textId="77777777" w:rsidTr="00632983">
        <w:trPr>
          <w:cantSplit/>
        </w:trPr>
        <w:tc>
          <w:tcPr>
            <w:tcW w:w="567" w:type="dxa"/>
          </w:tcPr>
          <w:p w14:paraId="29D0C71E" w14:textId="0C088243" w:rsidR="00632983" w:rsidRPr="001455DC" w:rsidRDefault="00632983" w:rsidP="00822F09">
            <w:pPr>
              <w:pStyle w:val="Tablebody"/>
            </w:pPr>
            <w:r w:rsidRPr="001455DC">
              <w:rPr>
                <w:rStyle w:val="CCMCvariableitalic"/>
              </w:rPr>
              <w:t>α</w:t>
            </w:r>
            <w:r w:rsidRPr="001455DC">
              <w:rPr>
                <w:rStyle w:val="CCMCvariablesubscript"/>
              </w:rPr>
              <w:t>bs</w:t>
            </w:r>
          </w:p>
        </w:tc>
        <w:tc>
          <w:tcPr>
            <w:tcW w:w="8732" w:type="dxa"/>
          </w:tcPr>
          <w:p w14:paraId="4973A1CA" w14:textId="1FB8C1BC" w:rsidR="00632983" w:rsidRPr="001455DC" w:rsidRDefault="00632983">
            <w:pPr>
              <w:pStyle w:val="Tablebody"/>
            </w:pPr>
            <w:r w:rsidRPr="001455DC">
              <w:t>is a coefficient which depends on the early strength development of concrete, see Table B.</w:t>
            </w:r>
            <w:r w:rsidR="0035737C" w:rsidRPr="001455DC">
              <w:t>3</w:t>
            </w:r>
            <w:r w:rsidRPr="001455DC">
              <w:t>.</w:t>
            </w:r>
          </w:p>
        </w:tc>
      </w:tr>
    </w:tbl>
    <w:p w14:paraId="604D1022" w14:textId="0DED0551" w:rsidR="004E22C1" w:rsidRPr="001455DC" w:rsidRDefault="004E22C1" w:rsidP="00F72049">
      <w:pPr>
        <w:pStyle w:val="Tabletitle"/>
      </w:pPr>
      <w:bookmarkStart w:id="1328" w:name="_Ref410822353"/>
      <w:bookmarkStart w:id="1329" w:name="_Toc54337535"/>
      <w:r w:rsidRPr="001455DC">
        <w:t>Table B.</w:t>
      </w:r>
      <w:bookmarkEnd w:id="1328"/>
      <w:r w:rsidR="0035737C" w:rsidRPr="001455DC">
        <w:t>3 </w:t>
      </w:r>
      <w:r w:rsidRPr="001455DC">
        <w:t xml:space="preserve">— Coefficients </w:t>
      </w:r>
      <w:r w:rsidRPr="001455DC">
        <w:rPr>
          <w:rStyle w:val="CCMCvariableitalic"/>
        </w:rPr>
        <w:t>α</w:t>
      </w:r>
      <w:r w:rsidRPr="001455DC">
        <w:rPr>
          <w:rStyle w:val="CCMCvariablesubscript"/>
        </w:rPr>
        <w:t>bs</w:t>
      </w:r>
      <w:r w:rsidRPr="001455DC">
        <w:rPr>
          <w:bCs/>
        </w:rPr>
        <w:t xml:space="preserve"> and </w:t>
      </w:r>
      <w:r w:rsidRPr="001455DC">
        <w:rPr>
          <w:rStyle w:val="CCMCvariableitalic"/>
        </w:rPr>
        <w:t>α</w:t>
      </w:r>
      <w:r w:rsidRPr="001455DC">
        <w:rPr>
          <w:rStyle w:val="CCMCvariablesubscript"/>
        </w:rPr>
        <w:t>ds</w:t>
      </w:r>
      <w:r w:rsidRPr="001455DC">
        <w:t xml:space="preserve"> used in Formulae (B.26) and (B.28), respectively</w:t>
      </w:r>
      <w:bookmarkEnd w:id="1329"/>
    </w:p>
    <w:tbl>
      <w:tblPr>
        <w:tblStyle w:val="53"/>
        <w:tblW w:w="9752" w:type="dxa"/>
        <w:tblLayout w:type="fixed"/>
        <w:tblLook w:val="0660" w:firstRow="1" w:lastRow="1" w:firstColumn="0" w:lastColumn="0" w:noHBand="1" w:noVBand="1"/>
      </w:tblPr>
      <w:tblGrid>
        <w:gridCol w:w="6896"/>
        <w:gridCol w:w="1346"/>
        <w:gridCol w:w="1510"/>
      </w:tblGrid>
      <w:tr w:rsidR="004E22C1" w:rsidRPr="001455DC" w14:paraId="23F4C0DD" w14:textId="77777777" w:rsidTr="0035737C">
        <w:trPr>
          <w:cnfStyle w:val="100000000000" w:firstRow="1" w:lastRow="0" w:firstColumn="0" w:lastColumn="0" w:oddVBand="0" w:evenVBand="0" w:oddHBand="0" w:evenHBand="0" w:firstRowFirstColumn="0" w:firstRowLastColumn="0" w:lastRowFirstColumn="0" w:lastRowLastColumn="0"/>
          <w:cantSplit/>
        </w:trPr>
        <w:tc>
          <w:tcPr>
            <w:tcW w:w="6896" w:type="dxa"/>
          </w:tcPr>
          <w:p w14:paraId="0770DAB2" w14:textId="75082274" w:rsidR="004E22C1" w:rsidRPr="009D3012" w:rsidRDefault="004E22C1" w:rsidP="00415374">
            <w:pPr>
              <w:pStyle w:val="Tableheader"/>
              <w:rPr>
                <w:lang w:val="en-US"/>
              </w:rPr>
            </w:pPr>
            <w:bookmarkStart w:id="1330" w:name="_Hlk514580425"/>
            <w:r w:rsidRPr="009D3012">
              <w:rPr>
                <w:lang w:val="en-US"/>
              </w:rPr>
              <w:t>Early strength development of concret</w:t>
            </w:r>
            <w:r w:rsidR="00415374" w:rsidRPr="009D3012">
              <w:rPr>
                <w:lang w:val="en-US"/>
              </w:rPr>
              <w:t>e</w:t>
            </w:r>
            <w:r w:rsidR="006E72E1" w:rsidRPr="001455DC">
              <w:rPr>
                <w:rStyle w:val="CCMCvariablesuperscript"/>
                <w:lang w:val="en-US"/>
              </w:rPr>
              <w:t>a</w:t>
            </w:r>
          </w:p>
        </w:tc>
        <w:tc>
          <w:tcPr>
            <w:tcW w:w="1346" w:type="dxa"/>
          </w:tcPr>
          <w:p w14:paraId="0F829930" w14:textId="77777777" w:rsidR="004E22C1" w:rsidRPr="009D3012" w:rsidRDefault="004E22C1" w:rsidP="00415374">
            <w:pPr>
              <w:pStyle w:val="Tableheader"/>
              <w:rPr>
                <w:rStyle w:val="CCMCvariablesubscript"/>
                <w:b w:val="0"/>
              </w:rPr>
            </w:pPr>
            <w:r w:rsidRPr="001455DC">
              <w:rPr>
                <w:rStyle w:val="CCMCvariableitalic"/>
                <w:b w:val="0"/>
              </w:rPr>
              <w:t>α</w:t>
            </w:r>
            <w:r w:rsidRPr="001455DC">
              <w:rPr>
                <w:rStyle w:val="CCMCvariablesubscript"/>
                <w:b w:val="0"/>
              </w:rPr>
              <w:t>bs</w:t>
            </w:r>
          </w:p>
        </w:tc>
        <w:tc>
          <w:tcPr>
            <w:tcW w:w="1510" w:type="dxa"/>
          </w:tcPr>
          <w:p w14:paraId="203B7498" w14:textId="77777777" w:rsidR="004E22C1" w:rsidRPr="009D3012" w:rsidRDefault="004E22C1" w:rsidP="00415374">
            <w:pPr>
              <w:pStyle w:val="Tableheader"/>
              <w:rPr>
                <w:rStyle w:val="CCMCvariableitalic"/>
                <w:b w:val="0"/>
              </w:rPr>
            </w:pPr>
            <w:r w:rsidRPr="001455DC">
              <w:rPr>
                <w:rStyle w:val="CCMCvariableitalic"/>
                <w:b w:val="0"/>
              </w:rPr>
              <w:t>α</w:t>
            </w:r>
            <w:r w:rsidRPr="001455DC">
              <w:rPr>
                <w:rStyle w:val="CCMCvariablesubscript"/>
                <w:b w:val="0"/>
              </w:rPr>
              <w:t>ds</w:t>
            </w:r>
          </w:p>
        </w:tc>
      </w:tr>
      <w:tr w:rsidR="0035737C" w:rsidRPr="001455DC" w14:paraId="14A5FC3B" w14:textId="77777777" w:rsidTr="0035737C">
        <w:trPr>
          <w:cantSplit/>
        </w:trPr>
        <w:tc>
          <w:tcPr>
            <w:tcW w:w="6896" w:type="dxa"/>
            <w:vAlign w:val="center"/>
          </w:tcPr>
          <w:p w14:paraId="7F97A95C" w14:textId="4C9A59DF" w:rsidR="0035737C" w:rsidRPr="009D3012" w:rsidRDefault="0035737C" w:rsidP="0035737C">
            <w:pPr>
              <w:pStyle w:val="Tablebody"/>
              <w:jc w:val="left"/>
              <w:rPr>
                <w:lang w:val="en-US"/>
              </w:rPr>
            </w:pPr>
            <w:r w:rsidRPr="009D3012">
              <w:rPr>
                <w:lang w:val="en-US"/>
              </w:rPr>
              <w:t>Low early strength: Class CS</w:t>
            </w:r>
          </w:p>
        </w:tc>
        <w:tc>
          <w:tcPr>
            <w:tcW w:w="1346" w:type="dxa"/>
            <w:vAlign w:val="center"/>
          </w:tcPr>
          <w:p w14:paraId="78492EC5" w14:textId="58769295" w:rsidR="0035737C" w:rsidRPr="001455DC" w:rsidRDefault="0035737C" w:rsidP="0035737C">
            <w:pPr>
              <w:pStyle w:val="Tablebody"/>
              <w:jc w:val="center"/>
            </w:pPr>
            <w:r w:rsidRPr="001455DC">
              <w:t>800</w:t>
            </w:r>
          </w:p>
        </w:tc>
        <w:tc>
          <w:tcPr>
            <w:tcW w:w="1510" w:type="dxa"/>
            <w:vAlign w:val="center"/>
          </w:tcPr>
          <w:p w14:paraId="2A94419D" w14:textId="57E23E69" w:rsidR="0035737C" w:rsidRPr="001455DC" w:rsidRDefault="0035737C" w:rsidP="0035737C">
            <w:pPr>
              <w:pStyle w:val="Tablebody"/>
              <w:jc w:val="center"/>
            </w:pPr>
            <w:r w:rsidRPr="001455DC">
              <w:t>3</w:t>
            </w:r>
          </w:p>
        </w:tc>
      </w:tr>
      <w:tr w:rsidR="0035737C" w:rsidRPr="001455DC" w14:paraId="5F2B3074" w14:textId="77777777" w:rsidTr="0035737C">
        <w:trPr>
          <w:cantSplit/>
        </w:trPr>
        <w:tc>
          <w:tcPr>
            <w:tcW w:w="6896" w:type="dxa"/>
            <w:vAlign w:val="center"/>
          </w:tcPr>
          <w:p w14:paraId="3ECA0EE4" w14:textId="1D812BA5" w:rsidR="0035737C" w:rsidRPr="009D3012" w:rsidRDefault="0035737C">
            <w:pPr>
              <w:pStyle w:val="Tablebody"/>
              <w:jc w:val="left"/>
              <w:rPr>
                <w:lang w:val="en-US"/>
              </w:rPr>
            </w:pPr>
            <w:r w:rsidRPr="009D3012">
              <w:rPr>
                <w:lang w:val="en-US"/>
              </w:rPr>
              <w:t>Ordinary early strength: Class CN</w:t>
            </w:r>
          </w:p>
        </w:tc>
        <w:tc>
          <w:tcPr>
            <w:tcW w:w="1346" w:type="dxa"/>
            <w:vAlign w:val="center"/>
          </w:tcPr>
          <w:p w14:paraId="68AA2827" w14:textId="77777777" w:rsidR="0035737C" w:rsidRPr="001455DC" w:rsidRDefault="0035737C" w:rsidP="0035737C">
            <w:pPr>
              <w:pStyle w:val="Tablebody"/>
              <w:jc w:val="center"/>
            </w:pPr>
            <w:r w:rsidRPr="001455DC">
              <w:t>700</w:t>
            </w:r>
          </w:p>
        </w:tc>
        <w:tc>
          <w:tcPr>
            <w:tcW w:w="1510" w:type="dxa"/>
            <w:vAlign w:val="center"/>
          </w:tcPr>
          <w:p w14:paraId="62D34C83" w14:textId="77777777" w:rsidR="0035737C" w:rsidRPr="001455DC" w:rsidRDefault="0035737C" w:rsidP="0035737C">
            <w:pPr>
              <w:pStyle w:val="Tablebody"/>
              <w:jc w:val="center"/>
            </w:pPr>
            <w:r w:rsidRPr="001455DC">
              <w:t>4</w:t>
            </w:r>
          </w:p>
        </w:tc>
      </w:tr>
      <w:tr w:rsidR="0035737C" w:rsidRPr="001455DC" w14:paraId="3024795C" w14:textId="77777777" w:rsidTr="0035737C">
        <w:trPr>
          <w:cantSplit/>
        </w:trPr>
        <w:tc>
          <w:tcPr>
            <w:tcW w:w="6896" w:type="dxa"/>
            <w:vAlign w:val="center"/>
          </w:tcPr>
          <w:p w14:paraId="09C44DF8" w14:textId="654DBD7A" w:rsidR="0035737C" w:rsidRPr="009D3012" w:rsidRDefault="0035737C" w:rsidP="0035737C">
            <w:pPr>
              <w:pStyle w:val="Tablebody"/>
              <w:jc w:val="left"/>
              <w:rPr>
                <w:lang w:val="en-US"/>
              </w:rPr>
            </w:pPr>
            <w:r w:rsidRPr="009D3012">
              <w:rPr>
                <w:lang w:val="en-US"/>
              </w:rPr>
              <w:t xml:space="preserve"> High early strength: Class CR</w:t>
            </w:r>
          </w:p>
        </w:tc>
        <w:tc>
          <w:tcPr>
            <w:tcW w:w="1346" w:type="dxa"/>
            <w:vAlign w:val="center"/>
          </w:tcPr>
          <w:p w14:paraId="4AEFE302" w14:textId="4CAB7F3F" w:rsidR="0035737C" w:rsidRPr="001455DC" w:rsidRDefault="0035737C" w:rsidP="0035737C">
            <w:pPr>
              <w:pStyle w:val="Tablebody"/>
              <w:jc w:val="center"/>
            </w:pPr>
            <w:r w:rsidRPr="001455DC">
              <w:t>600</w:t>
            </w:r>
          </w:p>
        </w:tc>
        <w:tc>
          <w:tcPr>
            <w:tcW w:w="1510" w:type="dxa"/>
            <w:vAlign w:val="center"/>
          </w:tcPr>
          <w:p w14:paraId="6FE49B3D" w14:textId="6A3D6362" w:rsidR="0035737C" w:rsidRPr="001455DC" w:rsidRDefault="0035737C" w:rsidP="0035737C">
            <w:pPr>
              <w:pStyle w:val="Tablebody"/>
              <w:jc w:val="center"/>
            </w:pPr>
            <w:r w:rsidRPr="001455DC">
              <w:t>6</w:t>
            </w:r>
          </w:p>
        </w:tc>
      </w:tr>
      <w:tr w:rsidR="0035737C" w:rsidRPr="001455DC" w14:paraId="634A6593" w14:textId="77777777" w:rsidTr="0035737C">
        <w:trPr>
          <w:cnfStyle w:val="010000000000" w:firstRow="0" w:lastRow="1" w:firstColumn="0" w:lastColumn="0" w:oddVBand="0" w:evenVBand="0" w:oddHBand="0" w:evenHBand="0" w:firstRowFirstColumn="0" w:firstRowLastColumn="0" w:lastRowFirstColumn="0" w:lastRowLastColumn="0"/>
          <w:cantSplit/>
        </w:trPr>
        <w:tc>
          <w:tcPr>
            <w:tcW w:w="9752" w:type="dxa"/>
            <w:gridSpan w:val="3"/>
          </w:tcPr>
          <w:p w14:paraId="6DA4B897" w14:textId="7F742930" w:rsidR="0035737C" w:rsidRPr="001455DC" w:rsidRDefault="0035737C">
            <w:pPr>
              <w:pStyle w:val="Tablefooter"/>
            </w:pPr>
            <w:r w:rsidRPr="001455DC">
              <w:rPr>
                <w:rStyle w:val="CCMCvariablesuperscript"/>
              </w:rPr>
              <w:t>a</w:t>
            </w:r>
            <w:r w:rsidRPr="001455DC">
              <w:tab/>
              <w:t>See B.</w:t>
            </w:r>
            <w:r w:rsidR="00D36AE6" w:rsidRPr="001455DC">
              <w:t>3</w:t>
            </w:r>
            <w:r w:rsidRPr="001455DC">
              <w:t>(1).</w:t>
            </w:r>
          </w:p>
        </w:tc>
      </w:tr>
      <w:bookmarkEnd w:id="1330"/>
    </w:tbl>
    <w:p w14:paraId="3827A7D2" w14:textId="77777777" w:rsidR="004E22C1" w:rsidRPr="001455DC" w:rsidRDefault="004E22C1" w:rsidP="00415374">
      <w:pPr>
        <w:pStyle w:val="a7"/>
      </w:pPr>
    </w:p>
    <w:p w14:paraId="645E00F3" w14:textId="5991220C" w:rsidR="004E22C1" w:rsidRPr="001455DC" w:rsidRDefault="004E22C1" w:rsidP="00116AE2">
      <w:pPr>
        <w:pStyle w:val="a7"/>
        <w:keepNext/>
      </w:pPr>
      <w:r w:rsidRPr="001455DC">
        <w:t>(3)</w:t>
      </w:r>
      <w:r w:rsidRPr="001455DC">
        <w:tab/>
        <w:t xml:space="preserve">For drying shrinkage </w:t>
      </w:r>
      <w:r w:rsidRPr="001455DC">
        <w:rPr>
          <w:rStyle w:val="CCMCvariableitalic"/>
        </w:rPr>
        <w:t>ε</w:t>
      </w:r>
      <w:r w:rsidRPr="001455DC">
        <w:rPr>
          <w:rStyle w:val="CCMCvariablesubscript"/>
        </w:rPr>
        <w:t>cds</w:t>
      </w:r>
      <w:r w:rsidRPr="001455DC">
        <w:rPr>
          <w:rStyle w:val="CCMCvariableitalic"/>
        </w:rPr>
        <w:t> </w:t>
      </w:r>
      <w:r w:rsidRPr="001455DC">
        <w:t>(</w:t>
      </w:r>
      <w:r w:rsidRPr="001455DC">
        <w:rPr>
          <w:rStyle w:val="CCMCvariableitalic"/>
        </w:rPr>
        <w:t>t</w:t>
      </w:r>
      <w:r w:rsidR="00121F59" w:rsidRPr="001455DC">
        <w:t>-</w:t>
      </w:r>
      <w:r w:rsidRPr="001455DC">
        <w:rPr>
          <w:rStyle w:val="CCMCvariableitalic"/>
        </w:rPr>
        <w:t>t</w:t>
      </w:r>
      <w:r w:rsidRPr="001455DC">
        <w:rPr>
          <w:rStyle w:val="CCMCvariablesubscript"/>
        </w:rPr>
        <w:t>s</w:t>
      </w:r>
      <w:r w:rsidRPr="001455DC">
        <w:t>) according to Formula (B.25), Formulae (B.28)</w:t>
      </w:r>
      <w:r w:rsidR="00121F59" w:rsidRPr="001455DC">
        <w:t xml:space="preserve"> to Formula (B.31)</w:t>
      </w:r>
      <w:r w:rsidRPr="001455DC">
        <w:t xml:space="preserve"> may be applied:</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252"/>
        <w:gridCol w:w="4253"/>
        <w:gridCol w:w="1247"/>
      </w:tblGrid>
      <w:tr w:rsidR="00415374" w:rsidRPr="001455DC" w14:paraId="146800D6" w14:textId="77777777" w:rsidTr="00822F09">
        <w:trPr>
          <w:cantSplit/>
        </w:trPr>
        <w:tc>
          <w:tcPr>
            <w:tcW w:w="8505" w:type="dxa"/>
            <w:gridSpan w:val="2"/>
            <w:vAlign w:val="center"/>
          </w:tcPr>
          <w:p w14:paraId="2230FC20" w14:textId="50A1048B" w:rsidR="00415374" w:rsidRPr="001455DC" w:rsidRDefault="00231E33">
            <w:pPr>
              <w:pStyle w:val="Formula"/>
              <w:jc w:val="left"/>
            </w:pPr>
            <m:oMathPara>
              <m:oMathParaPr>
                <m:jc m:val="left"/>
              </m:oMathParaPr>
              <m:oMath>
                <m:sSub>
                  <m:sSubPr>
                    <m:ctrlPr>
                      <w:rPr>
                        <w:rFonts w:ascii="Cambria Math" w:hAnsi="Cambria Math"/>
                      </w:rPr>
                    </m:ctrlPr>
                  </m:sSubPr>
                  <m:e>
                    <m:r>
                      <w:rPr>
                        <w:rFonts w:ascii="Cambria Math" w:hAnsi="Cambria Math"/>
                      </w:rPr>
                      <m:t>ε</m:t>
                    </m:r>
                  </m:e>
                  <m:sub>
                    <m:sSub>
                      <m:sSubPr>
                        <m:ctrlPr>
                          <w:rPr>
                            <w:rFonts w:ascii="Cambria Math" w:hAnsi="Cambria Math"/>
                          </w:rPr>
                        </m:ctrlPr>
                      </m:sSubPr>
                      <m:e>
                        <m:r>
                          <m:rPr>
                            <m:sty m:val="p"/>
                          </m:rPr>
                          <w:rPr>
                            <w:rFonts w:ascii="Cambria Math" w:hAnsi="Cambria Math"/>
                          </w:rPr>
                          <m:t>cds</m:t>
                        </m:r>
                        <m:r>
                          <w:rPr>
                            <w:rFonts w:ascii="Cambria Math" w:hAnsi="Cambria Math"/>
                          </w:rPr>
                          <m:t>,f</m:t>
                        </m:r>
                      </m:e>
                      <m:sub>
                        <m:r>
                          <m:rPr>
                            <m:sty m:val="p"/>
                          </m:rPr>
                          <w:rPr>
                            <w:rFonts w:ascii="Cambria Math" w:hAnsi="Cambria Math"/>
                          </w:rPr>
                          <m:t>cm</m:t>
                        </m:r>
                      </m:sub>
                    </m:sSub>
                  </m:sub>
                </m:sSub>
                <m:r>
                  <w:rPr>
                    <w:rFonts w:ascii="Cambria Math" w:hAnsi="Cambria Math"/>
                  </w:rPr>
                  <m:t>=</m:t>
                </m:r>
                <m:d>
                  <m:dPr>
                    <m:sepChr m:val=""/>
                    <m:ctrlPr>
                      <w:rPr>
                        <w:rFonts w:ascii="Cambria Math" w:hAnsi="Cambria Math"/>
                      </w:rPr>
                    </m:ctrlPr>
                  </m:dPr>
                  <m:e>
                    <m:r>
                      <w:rPr>
                        <w:rFonts w:ascii="Cambria Math" w:hAnsi="Cambria Math"/>
                      </w:rPr>
                      <m:t>220</m:t>
                    </m:r>
                  </m:e>
                  <m:e>
                    <m:r>
                      <w:rPr>
                        <w:rFonts w:ascii="Cambria Math" w:hAnsi="Cambria Math"/>
                      </w:rPr>
                      <m:t>+</m:t>
                    </m:r>
                  </m:e>
                  <m:e>
                    <m:r>
                      <w:rPr>
                        <w:rFonts w:ascii="Cambria Math" w:hAnsi="Cambria Math"/>
                      </w:rPr>
                      <m:t>110</m:t>
                    </m:r>
                  </m:e>
                  <m:e>
                    <m:sSub>
                      <m:sSubPr>
                        <m:ctrlPr>
                          <w:rPr>
                            <w:rFonts w:ascii="Cambria Math" w:hAnsi="Cambria Math"/>
                          </w:rPr>
                        </m:ctrlPr>
                      </m:sSubPr>
                      <m:e>
                        <m:r>
                          <w:rPr>
                            <w:rFonts w:ascii="Cambria Math" w:hAnsi="Cambria Math"/>
                          </w:rPr>
                          <m:t>α</m:t>
                        </m:r>
                      </m:e>
                      <m:sub>
                        <m:r>
                          <m:rPr>
                            <m:sty m:val="p"/>
                          </m:rPr>
                          <w:rPr>
                            <w:rFonts w:ascii="Cambria Math" w:hAnsi="Cambria Math"/>
                          </w:rPr>
                          <m:t>ds</m:t>
                        </m:r>
                      </m:sub>
                    </m:sSub>
                  </m:e>
                </m:d>
                <m:r>
                  <w:rPr>
                    <w:rFonts w:ascii="Cambria Math" w:hAnsi="Cambria Math"/>
                  </w:rPr>
                  <m:t>⋅</m:t>
                </m:r>
                <m:sSup>
                  <m:sSupPr>
                    <m:ctrlPr>
                      <w:rPr>
                        <w:rFonts w:ascii="Cambria Math" w:hAnsi="Cambria Math"/>
                      </w:rPr>
                    </m:ctrlPr>
                  </m:sSupPr>
                  <m:e>
                    <m:r>
                      <m:rPr>
                        <m:sty m:val="p"/>
                      </m:rPr>
                      <w:rPr>
                        <w:rFonts w:ascii="Cambria Math" w:hAnsi="Cambria Math"/>
                      </w:rPr>
                      <m:t>exp</m:t>
                    </m:r>
                    <m:d>
                      <m:dPr>
                        <m:ctrlPr>
                          <w:rPr>
                            <w:rFonts w:ascii="Cambria Math" w:hAnsi="Cambria Math"/>
                            <w:i/>
                          </w:rPr>
                        </m:ctrlPr>
                      </m:dPr>
                      <m:e>
                        <m:r>
                          <w:rPr>
                            <w:rFonts w:ascii="Cambria Math" w:hAnsi="Cambria Math"/>
                          </w:rPr>
                          <m:t>-0,012</m:t>
                        </m:r>
                        <m:sSub>
                          <m:sSubPr>
                            <m:ctrlPr>
                              <w:rPr>
                                <w:rFonts w:ascii="Cambria Math" w:hAnsi="Cambria Math"/>
                              </w:rPr>
                            </m:ctrlPr>
                          </m:sSubPr>
                          <m:e>
                            <m:r>
                              <w:rPr>
                                <w:rFonts w:ascii="Cambria Math" w:hAnsi="Cambria Math"/>
                              </w:rPr>
                              <m:t>f</m:t>
                            </m:r>
                          </m:e>
                          <m:sub>
                            <m:r>
                              <m:rPr>
                                <m:sty m:val="p"/>
                              </m:rPr>
                              <w:rPr>
                                <w:rFonts w:ascii="Cambria Math" w:hAnsi="Cambria Math"/>
                              </w:rPr>
                              <m:t>cm,28</m:t>
                            </m:r>
                          </m:sub>
                        </m:sSub>
                      </m:e>
                    </m:d>
                  </m:e>
                  <m:sup/>
                </m:sSup>
                <m: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-6</m:t>
                    </m:r>
                  </m:sup>
                </m:sSup>
              </m:oMath>
            </m:oMathPara>
          </w:p>
        </w:tc>
        <w:tc>
          <w:tcPr>
            <w:tcW w:w="1247" w:type="dxa"/>
            <w:vAlign w:val="center"/>
          </w:tcPr>
          <w:p w14:paraId="4C4529F9" w14:textId="1C4EB725" w:rsidR="00415374" w:rsidRPr="001455DC" w:rsidRDefault="00415374" w:rsidP="00822F09">
            <w:pPr>
              <w:pStyle w:val="a7"/>
              <w:jc w:val="right"/>
            </w:pPr>
            <w:r w:rsidRPr="001455DC">
              <w:t>(B.28)</w:t>
            </w:r>
          </w:p>
        </w:tc>
      </w:tr>
      <w:tr w:rsidR="00415374" w:rsidRPr="001455DC" w14:paraId="6F00204E" w14:textId="77777777" w:rsidTr="00822F09">
        <w:trPr>
          <w:cantSplit/>
        </w:trPr>
        <w:tc>
          <w:tcPr>
            <w:tcW w:w="4252" w:type="dxa"/>
            <w:vAlign w:val="center"/>
          </w:tcPr>
          <w:p w14:paraId="7F3F542B" w14:textId="6853F228" w:rsidR="00415374" w:rsidRPr="001455DC" w:rsidRDefault="00231E33" w:rsidP="00822F09">
            <w:pPr>
              <w:pStyle w:val="Formula"/>
              <w:jc w:val="left"/>
            </w:pPr>
            <m:oMathPara>
              <m:oMathParaPr>
                <m:jc m:val="left"/>
              </m:oMathParaPr>
              <m:oMath>
                <m:sSub>
                  <m:sSubPr>
                    <m:ctrlPr>
                      <w:rPr>
                        <w:rFonts w:ascii="Cambria Math" w:hAnsi="Cambria Math"/>
                      </w:rPr>
                    </m:ctrlPr>
                  </m:sSubPr>
                  <m:e>
                    <m:r>
                      <w:rPr>
                        <w:rFonts w:ascii="Cambria Math" w:hAnsi="Cambria Math"/>
                      </w:rPr>
                      <m:t>β</m:t>
                    </m:r>
                  </m:e>
                  <m:sub>
                    <m:r>
                      <m:rPr>
                        <m:sty m:val="p"/>
                      </m:rPr>
                      <w:rPr>
                        <w:rFonts w:ascii="Cambria Math" w:hAnsi="Cambria Math"/>
                      </w:rPr>
                      <m:t>RH</m:t>
                    </m:r>
                  </m:sub>
                </m:sSub>
                <m:r>
                  <w:rPr>
                    <w:rFonts w:ascii="Cambria Math" w:hAnsi="Cambria Math"/>
                  </w:rPr>
                  <m:t xml:space="preserve">=-1,55 ⋅ </m:t>
                </m:r>
                <m:d>
                  <m:dPr>
                    <m:begChr m:val="["/>
                    <m:sepChr m:val=""/>
                    <m:endChr m:val="]"/>
                    <m:ctrlPr>
                      <w:rPr>
                        <w:rFonts w:ascii="Cambria Math" w:hAnsi="Cambria Math"/>
                      </w:rPr>
                    </m:ctrlPr>
                  </m:dPr>
                  <m:e>
                    <m:r>
                      <w:rPr>
                        <w:rFonts w:ascii="Cambria Math" w:hAnsi="Cambria Math"/>
                      </w:rPr>
                      <m:t>1</m:t>
                    </m:r>
                  </m:e>
                  <m:e>
                    <m:r>
                      <w:rPr>
                        <w:rFonts w:ascii="Cambria Math" w:hAnsi="Cambria Math"/>
                      </w:rPr>
                      <m:t>-</m:t>
                    </m:r>
                  </m:e>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RH</m:t>
                                </m:r>
                              </m:num>
                              <m:den>
                                <m:r>
                                  <w:rPr>
                                    <w:rFonts w:ascii="Cambria Math" w:hAnsi="Cambria Math"/>
                                  </w:rPr>
                                  <m:t>R</m:t>
                                </m:r>
                                <m:sSub>
                                  <m:sSubPr>
                                    <m:ctrlPr>
                                      <w:rPr>
                                        <w:rFonts w:ascii="Cambria Math" w:hAnsi="Cambria Math"/>
                                      </w:rPr>
                                    </m:ctrlPr>
                                  </m:sSubPr>
                                  <m:e>
                                    <m:r>
                                      <w:rPr>
                                        <w:rFonts w:ascii="Cambria Math" w:hAnsi="Cambria Math"/>
                                      </w:rPr>
                                      <m:t>H</m:t>
                                    </m:r>
                                  </m:e>
                                  <m:sub>
                                    <m:r>
                                      <m:rPr>
                                        <m:sty m:val="p"/>
                                      </m:rPr>
                                      <w:rPr>
                                        <w:rFonts w:ascii="Cambria Math" w:hAnsi="Cambria Math"/>
                                      </w:rPr>
                                      <m:t>eq</m:t>
                                    </m:r>
                                  </m:sub>
                                </m:sSub>
                              </m:den>
                            </m:f>
                          </m:e>
                        </m:d>
                      </m:e>
                      <m:sup>
                        <m:r>
                          <w:rPr>
                            <w:rFonts w:ascii="Cambria Math" w:hAnsi="Cambria Math"/>
                          </w:rPr>
                          <m:t>3</m:t>
                        </m:r>
                      </m:sup>
                    </m:sSup>
                  </m:e>
                </m:d>
              </m:oMath>
            </m:oMathPara>
          </w:p>
        </w:tc>
        <w:tc>
          <w:tcPr>
            <w:tcW w:w="4253" w:type="dxa"/>
            <w:vAlign w:val="center"/>
          </w:tcPr>
          <w:p w14:paraId="242C2370" w14:textId="2DA34999" w:rsidR="00415374" w:rsidRPr="001455DC" w:rsidRDefault="00415374" w:rsidP="00822F09">
            <w:pPr>
              <w:pStyle w:val="Formula"/>
              <w:jc w:val="left"/>
            </w:pPr>
            <w:bookmarkStart w:id="1331" w:name="_Ref477695115"/>
            <w:r w:rsidRPr="001455DC">
              <w:t>for 20 % </w:t>
            </w:r>
            <w:r w:rsidR="00650035" w:rsidRPr="001455DC">
              <w:rPr>
                <w:rFonts w:ascii="Cambria Math" w:hAnsi="Cambria Math"/>
              </w:rPr>
              <w:t>≤</w:t>
            </w:r>
            <w:r w:rsidRPr="001455DC">
              <w:t> </w:t>
            </w:r>
            <w:r w:rsidRPr="001455DC">
              <w:rPr>
                <w:rStyle w:val="CCMCvariableitalic"/>
              </w:rPr>
              <w:t>RH</w:t>
            </w:r>
            <w:r w:rsidRPr="001455DC">
              <w:t> </w:t>
            </w:r>
            <w:r w:rsidR="00650035" w:rsidRPr="001455DC">
              <w:rPr>
                <w:rFonts w:ascii="Cambria Math" w:hAnsi="Cambria Math"/>
              </w:rPr>
              <w:t>≤</w:t>
            </w:r>
            <w:r w:rsidRPr="001455DC">
              <w:t> </w:t>
            </w:r>
            <w:r w:rsidRPr="001455DC">
              <w:rPr>
                <w:rStyle w:val="CCMCvariableitalic"/>
              </w:rPr>
              <w:t>RH</w:t>
            </w:r>
            <w:r w:rsidRPr="001455DC">
              <w:rPr>
                <w:rStyle w:val="CCMCvariablesubscript"/>
              </w:rPr>
              <w:t>eq</w:t>
            </w:r>
            <w:bookmarkEnd w:id="1331"/>
          </w:p>
        </w:tc>
        <w:tc>
          <w:tcPr>
            <w:tcW w:w="1247" w:type="dxa"/>
            <w:vAlign w:val="center"/>
          </w:tcPr>
          <w:p w14:paraId="4C583543" w14:textId="220C56E5" w:rsidR="00415374" w:rsidRPr="001455DC" w:rsidRDefault="00415374" w:rsidP="00822F09">
            <w:pPr>
              <w:pStyle w:val="a7"/>
              <w:jc w:val="right"/>
            </w:pPr>
            <w:r w:rsidRPr="001455DC">
              <w:t>(B.29a)</w:t>
            </w:r>
          </w:p>
        </w:tc>
      </w:tr>
      <w:tr w:rsidR="00415374" w:rsidRPr="001455DC" w14:paraId="296DF9C5" w14:textId="77777777" w:rsidTr="00822F09">
        <w:trPr>
          <w:cantSplit/>
        </w:trPr>
        <w:tc>
          <w:tcPr>
            <w:tcW w:w="4252" w:type="dxa"/>
            <w:vAlign w:val="center"/>
          </w:tcPr>
          <w:p w14:paraId="528E9B2B" w14:textId="778FEBA0" w:rsidR="00415374" w:rsidRPr="001455DC" w:rsidRDefault="00231E33" w:rsidP="00822F09">
            <w:pPr>
              <w:pStyle w:val="Formula"/>
              <w:jc w:val="left"/>
            </w:pPr>
            <m:oMathPara>
              <m:oMathParaPr>
                <m:jc m:val="left"/>
              </m:oMathParaPr>
              <m:oMath>
                <m:sSub>
                  <m:sSubPr>
                    <m:ctrlPr>
                      <w:rPr>
                        <w:rFonts w:ascii="Cambria Math" w:hAnsi="Cambria Math"/>
                      </w:rPr>
                    </m:ctrlPr>
                  </m:sSubPr>
                  <m:e>
                    <m:r>
                      <w:rPr>
                        <w:rFonts w:ascii="Cambria Math" w:hAnsi="Cambria Math"/>
                      </w:rPr>
                      <m:t>β</m:t>
                    </m:r>
                  </m:e>
                  <m:sub>
                    <m:r>
                      <m:rPr>
                        <m:sty m:val="p"/>
                      </m:rPr>
                      <w:rPr>
                        <w:rFonts w:ascii="Cambria Math" w:hAnsi="Cambria Math"/>
                      </w:rPr>
                      <m:t>RH</m:t>
                    </m:r>
                  </m:sub>
                </m:sSub>
                <m:r>
                  <w:rPr>
                    <w:rFonts w:ascii="Cambria Math" w:hAnsi="Cambria Math"/>
                  </w:rPr>
                  <m:t xml:space="preserve">=-1,55 ⋅ </m:t>
                </m:r>
                <m:d>
                  <m:dPr>
                    <m:begChr m:val="["/>
                    <m:sepChr m:val=""/>
                    <m:endChr m:val="]"/>
                    <m:ctrlPr>
                      <w:rPr>
                        <w:rFonts w:ascii="Cambria Math" w:hAnsi="Cambria Math"/>
                      </w:rPr>
                    </m:ctrlPr>
                  </m:dPr>
                  <m:e>
                    <m:r>
                      <w:rPr>
                        <w:rFonts w:ascii="Cambria Math" w:hAnsi="Cambria Math"/>
                      </w:rPr>
                      <m:t>1</m:t>
                    </m:r>
                  </m:e>
                  <m:e>
                    <m:r>
                      <w:rPr>
                        <w:rFonts w:ascii="Cambria Math" w:hAnsi="Cambria Math"/>
                      </w:rPr>
                      <m:t>-</m:t>
                    </m:r>
                  </m:e>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RH</m:t>
                                </m:r>
                              </m:num>
                              <m:den>
                                <m:r>
                                  <w:rPr>
                                    <w:rFonts w:ascii="Cambria Math" w:hAnsi="Cambria Math"/>
                                  </w:rPr>
                                  <m:t>R</m:t>
                                </m:r>
                                <m:sSub>
                                  <m:sSubPr>
                                    <m:ctrlPr>
                                      <w:rPr>
                                        <w:rFonts w:ascii="Cambria Math" w:hAnsi="Cambria Math"/>
                                      </w:rPr>
                                    </m:ctrlPr>
                                  </m:sSubPr>
                                  <m:e>
                                    <m:r>
                                      <w:rPr>
                                        <w:rFonts w:ascii="Cambria Math" w:hAnsi="Cambria Math"/>
                                      </w:rPr>
                                      <m:t>H</m:t>
                                    </m:r>
                                  </m:e>
                                  <m:sub>
                                    <m:r>
                                      <m:rPr>
                                        <m:sty m:val="p"/>
                                      </m:rPr>
                                      <w:rPr>
                                        <w:rFonts w:ascii="Cambria Math" w:hAnsi="Cambria Math"/>
                                      </w:rPr>
                                      <m:t>eq</m:t>
                                    </m:r>
                                  </m:sub>
                                </m:sSub>
                              </m:den>
                            </m:f>
                          </m:e>
                        </m:d>
                      </m:e>
                      <m:sup>
                        <m:r>
                          <w:rPr>
                            <w:rFonts w:ascii="Cambria Math" w:hAnsi="Cambria Math"/>
                          </w:rPr>
                          <m:t>2</m:t>
                        </m:r>
                      </m:sup>
                    </m:sSup>
                  </m:e>
                </m:d>
              </m:oMath>
            </m:oMathPara>
          </w:p>
        </w:tc>
        <w:tc>
          <w:tcPr>
            <w:tcW w:w="4253" w:type="dxa"/>
            <w:vAlign w:val="center"/>
          </w:tcPr>
          <w:p w14:paraId="1EE2571A" w14:textId="63E6A470" w:rsidR="00415374" w:rsidRPr="001455DC" w:rsidRDefault="00415374" w:rsidP="00822F09">
            <w:pPr>
              <w:pStyle w:val="Formula"/>
              <w:jc w:val="left"/>
            </w:pPr>
            <w:r w:rsidRPr="001455DC">
              <w:t xml:space="preserve">for </w:t>
            </w:r>
            <w:r w:rsidRPr="001455DC">
              <w:rPr>
                <w:rStyle w:val="CCMCvariableitalic"/>
              </w:rPr>
              <w:t>RH</w:t>
            </w:r>
            <w:r w:rsidRPr="001455DC">
              <w:rPr>
                <w:rStyle w:val="CCMCvariablesubscript"/>
              </w:rPr>
              <w:t>eq</w:t>
            </w:r>
            <w:r w:rsidRPr="001455DC">
              <w:t> </w:t>
            </w:r>
            <w:r w:rsidR="00650035" w:rsidRPr="001455DC">
              <w:rPr>
                <w:rFonts w:ascii="Cambria Math" w:hAnsi="Cambria Math"/>
              </w:rPr>
              <w:t>&lt;</w:t>
            </w:r>
            <w:r w:rsidRPr="001455DC">
              <w:t> </w:t>
            </w:r>
            <w:r w:rsidRPr="001455DC">
              <w:rPr>
                <w:rStyle w:val="CCMCvariableitalic"/>
              </w:rPr>
              <w:t>RH</w:t>
            </w:r>
            <w:r w:rsidRPr="001455DC">
              <w:t> </w:t>
            </w:r>
            <w:r w:rsidR="00650035" w:rsidRPr="001455DC">
              <w:rPr>
                <w:rFonts w:ascii="Cambria Math" w:hAnsi="Cambria Math"/>
              </w:rPr>
              <w:t>&lt;</w:t>
            </w:r>
            <w:r w:rsidRPr="001455DC">
              <w:t> 100 %</w:t>
            </w:r>
          </w:p>
        </w:tc>
        <w:tc>
          <w:tcPr>
            <w:tcW w:w="1247" w:type="dxa"/>
            <w:vAlign w:val="center"/>
          </w:tcPr>
          <w:p w14:paraId="6C3431F8" w14:textId="49DE1589" w:rsidR="00415374" w:rsidRPr="001455DC" w:rsidRDefault="00415374" w:rsidP="00822F09">
            <w:pPr>
              <w:pStyle w:val="a7"/>
              <w:jc w:val="right"/>
            </w:pPr>
            <w:r w:rsidRPr="001455DC">
              <w:t>(B.29b)</w:t>
            </w:r>
          </w:p>
        </w:tc>
      </w:tr>
      <w:tr w:rsidR="00415374" w:rsidRPr="001455DC" w14:paraId="6BB02E19" w14:textId="77777777" w:rsidTr="00822F09">
        <w:trPr>
          <w:cantSplit/>
        </w:trPr>
        <w:tc>
          <w:tcPr>
            <w:tcW w:w="4252" w:type="dxa"/>
            <w:vAlign w:val="center"/>
          </w:tcPr>
          <w:p w14:paraId="57ECF0B5" w14:textId="7ADA8295" w:rsidR="00415374" w:rsidRPr="001455DC" w:rsidRDefault="00231E33" w:rsidP="00822F09">
            <w:pPr>
              <w:pStyle w:val="Formula"/>
              <w:jc w:val="left"/>
            </w:pPr>
            <m:oMathPara>
              <m:oMathParaPr>
                <m:jc m:val="left"/>
              </m:oMathParaPr>
              <m:oMath>
                <m:sSub>
                  <m:sSubPr>
                    <m:ctrlPr>
                      <w:rPr>
                        <w:rFonts w:ascii="Cambria Math" w:hAnsi="Cambria Math"/>
                      </w:rPr>
                    </m:ctrlPr>
                  </m:sSubPr>
                  <m:e>
                    <m:r>
                      <w:rPr>
                        <w:rFonts w:ascii="Cambria Math" w:hAnsi="Cambria Math"/>
                      </w:rPr>
                      <m:t>β</m:t>
                    </m:r>
                  </m:e>
                  <m:sub>
                    <m:r>
                      <m:rPr>
                        <m:sty m:val="p"/>
                      </m:rPr>
                      <w:rPr>
                        <w:rFonts w:ascii="Cambria Math" w:hAnsi="Cambria Math"/>
                      </w:rPr>
                      <m:t>RH</m:t>
                    </m:r>
                  </m:sub>
                </m:sSub>
                <m:r>
                  <w:rPr>
                    <w:rFonts w:ascii="Cambria Math" w:hAnsi="Cambria Math"/>
                  </w:rPr>
                  <m:t xml:space="preserve">=-1,55 ⋅ </m:t>
                </m:r>
                <m:d>
                  <m:dPr>
                    <m:begChr m:val="["/>
                    <m:sepChr m:val=""/>
                    <m:endChr m:val="]"/>
                    <m:ctrlPr>
                      <w:rPr>
                        <w:rFonts w:ascii="Cambria Math" w:hAnsi="Cambria Math"/>
                      </w:rPr>
                    </m:ctrlPr>
                  </m:dPr>
                  <m:e>
                    <m:r>
                      <w:rPr>
                        <w:rFonts w:ascii="Cambria Math" w:hAnsi="Cambria Math"/>
                      </w:rPr>
                      <m:t>1</m:t>
                    </m:r>
                  </m:e>
                  <m:e>
                    <m:r>
                      <w:rPr>
                        <w:rFonts w:ascii="Cambria Math" w:hAnsi="Cambria Math"/>
                      </w:rPr>
                      <m:t>-</m:t>
                    </m:r>
                  </m:e>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RH</m:t>
                                </m:r>
                              </m:num>
                              <m:den>
                                <m:r>
                                  <w:rPr>
                                    <w:rFonts w:ascii="Cambria Math" w:hAnsi="Cambria Math"/>
                                  </w:rPr>
                                  <m:t>R</m:t>
                                </m:r>
                                <m:sSub>
                                  <m:sSubPr>
                                    <m:ctrlPr>
                                      <w:rPr>
                                        <w:rFonts w:ascii="Cambria Math" w:hAnsi="Cambria Math"/>
                                      </w:rPr>
                                    </m:ctrlPr>
                                  </m:sSubPr>
                                  <m:e>
                                    <m:r>
                                      <w:rPr>
                                        <w:rFonts w:ascii="Cambria Math" w:hAnsi="Cambria Math"/>
                                      </w:rPr>
                                      <m:t>H</m:t>
                                    </m:r>
                                  </m:e>
                                  <m:sub>
                                    <m:r>
                                      <m:rPr>
                                        <m:sty m:val="p"/>
                                      </m:rPr>
                                      <w:rPr>
                                        <w:rFonts w:ascii="Cambria Math" w:hAnsi="Cambria Math"/>
                                      </w:rPr>
                                      <m:t>eq</m:t>
                                    </m:r>
                                  </m:sub>
                                </m:sSub>
                              </m:den>
                            </m:f>
                          </m:e>
                        </m:d>
                      </m:e>
                      <m:sup>
                        <m:r>
                          <w:rPr>
                            <w:rFonts w:ascii="Cambria Math" w:hAnsi="Cambria Math"/>
                          </w:rPr>
                          <m:t>2</m:t>
                        </m:r>
                      </m:sup>
                    </m:sSup>
                  </m:e>
                </m:d>
                <m:r>
                  <w:rPr>
                    <w:rFonts w:ascii="Cambria Math" w:hAnsi="Cambria Math"/>
                  </w:rPr>
                  <m:t>+0,25</m:t>
                </m:r>
              </m:oMath>
            </m:oMathPara>
          </w:p>
        </w:tc>
        <w:tc>
          <w:tcPr>
            <w:tcW w:w="4253" w:type="dxa"/>
            <w:vAlign w:val="center"/>
          </w:tcPr>
          <w:p w14:paraId="6F63A08E" w14:textId="59B40C02" w:rsidR="00415374" w:rsidRPr="001455DC" w:rsidRDefault="00415374" w:rsidP="00822F09">
            <w:pPr>
              <w:pStyle w:val="Formula"/>
              <w:jc w:val="left"/>
            </w:pPr>
            <w:r w:rsidRPr="001455DC">
              <w:t xml:space="preserve">for </w:t>
            </w:r>
            <w:r w:rsidRPr="001455DC">
              <w:rPr>
                <w:rStyle w:val="CCMCvariableitalic"/>
              </w:rPr>
              <w:t>RH</w:t>
            </w:r>
            <w:r w:rsidRPr="001455DC">
              <w:t> </w:t>
            </w:r>
            <w:r w:rsidR="00EC27D2" w:rsidRPr="001455DC">
              <w:rPr>
                <w:rFonts w:ascii="Cambria Math" w:hAnsi="Cambria Math"/>
              </w:rPr>
              <w:t>=</w:t>
            </w:r>
            <w:r w:rsidRPr="001455DC">
              <w:t> 100 %</w:t>
            </w:r>
          </w:p>
        </w:tc>
        <w:tc>
          <w:tcPr>
            <w:tcW w:w="1247" w:type="dxa"/>
            <w:vAlign w:val="center"/>
          </w:tcPr>
          <w:p w14:paraId="5C134E50" w14:textId="4EFEC105" w:rsidR="00415374" w:rsidRPr="001455DC" w:rsidRDefault="00415374" w:rsidP="00822F09">
            <w:pPr>
              <w:pStyle w:val="a7"/>
              <w:jc w:val="right"/>
            </w:pPr>
            <w:r w:rsidRPr="001455DC">
              <w:t>(B.29c)</w:t>
            </w:r>
          </w:p>
        </w:tc>
      </w:tr>
      <w:tr w:rsidR="00415374" w:rsidRPr="001455DC" w14:paraId="3EABE5C4" w14:textId="77777777" w:rsidTr="00822F09">
        <w:trPr>
          <w:cantSplit/>
        </w:trPr>
        <w:tc>
          <w:tcPr>
            <w:tcW w:w="8505" w:type="dxa"/>
            <w:gridSpan w:val="2"/>
            <w:vAlign w:val="center"/>
          </w:tcPr>
          <w:p w14:paraId="14C66844" w14:textId="1AFB6BC3" w:rsidR="00415374" w:rsidRPr="001455DC" w:rsidRDefault="00415374" w:rsidP="00822F09">
            <w:pPr>
              <w:pStyle w:val="Formula"/>
              <w:jc w:val="left"/>
            </w:pPr>
            <m:oMathPara>
              <m:oMathParaPr>
                <m:jc m:val="left"/>
              </m:oMathParaPr>
              <m:oMath>
                <m:r>
                  <w:rPr>
                    <w:rFonts w:ascii="Cambria Math" w:hAnsi="Cambria Math"/>
                  </w:rPr>
                  <m:t>R</m:t>
                </m:r>
                <m:sSub>
                  <m:sSubPr>
                    <m:ctrlPr>
                      <w:rPr>
                        <w:rFonts w:ascii="Cambria Math" w:hAnsi="Cambria Math"/>
                      </w:rPr>
                    </m:ctrlPr>
                  </m:sSubPr>
                  <m:e>
                    <m:r>
                      <w:rPr>
                        <w:rFonts w:ascii="Cambria Math" w:hAnsi="Cambria Math"/>
                      </w:rPr>
                      <m:t>H</m:t>
                    </m:r>
                  </m:e>
                  <m:sub>
                    <m:r>
                      <m:rPr>
                        <m:sty m:val="p"/>
                      </m:rPr>
                      <w:rPr>
                        <w:rFonts w:ascii="Cambria Math" w:hAnsi="Cambria Math"/>
                      </w:rPr>
                      <m:t>eq</m:t>
                    </m:r>
                  </m:sub>
                </m:sSub>
                <m:r>
                  <w:rPr>
                    <w:rFonts w:ascii="Cambria Math" w:hAnsi="Cambria Math"/>
                  </w:rPr>
                  <m:t>=99⋅</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35</m:t>
                            </m:r>
                          </m:num>
                          <m:den>
                            <m:sSub>
                              <m:sSubPr>
                                <m:ctrlPr>
                                  <w:rPr>
                                    <w:rFonts w:ascii="Cambria Math" w:hAnsi="Cambria Math"/>
                                  </w:rPr>
                                </m:ctrlPr>
                              </m:sSubPr>
                              <m:e>
                                <m:r>
                                  <w:rPr>
                                    <w:rFonts w:ascii="Cambria Math" w:hAnsi="Cambria Math"/>
                                  </w:rPr>
                                  <m:t>f</m:t>
                                </m:r>
                              </m:e>
                              <m:sub>
                                <m:r>
                                  <m:rPr>
                                    <m:sty m:val="p"/>
                                  </m:rPr>
                                  <w:rPr>
                                    <w:rFonts w:ascii="Cambria Math" w:hAnsi="Cambria Math"/>
                                  </w:rPr>
                                  <m:t>cm,28</m:t>
                                </m:r>
                              </m:sub>
                            </m:sSub>
                          </m:den>
                        </m:f>
                      </m:e>
                    </m:d>
                  </m:e>
                  <m:sup>
                    <m:r>
                      <w:rPr>
                        <w:rFonts w:ascii="Cambria Math" w:hAnsi="Cambria Math"/>
                      </w:rPr>
                      <m:t>0,1</m:t>
                    </m:r>
                  </m:sup>
                </m:sSup>
                <m:r>
                  <w:rPr>
                    <w:rFonts w:ascii="Cambria Math" w:hAnsi="Cambria Math"/>
                  </w:rPr>
                  <m:t>≤99</m:t>
                </m:r>
              </m:oMath>
            </m:oMathPara>
          </w:p>
        </w:tc>
        <w:tc>
          <w:tcPr>
            <w:tcW w:w="1247" w:type="dxa"/>
            <w:vAlign w:val="center"/>
          </w:tcPr>
          <w:p w14:paraId="1A9AC608" w14:textId="426B761D" w:rsidR="00415374" w:rsidRPr="001455DC" w:rsidRDefault="00415374" w:rsidP="00822F09">
            <w:pPr>
              <w:pStyle w:val="a7"/>
              <w:jc w:val="right"/>
            </w:pPr>
            <w:r w:rsidRPr="001455DC">
              <w:t>(B.30)</w:t>
            </w:r>
          </w:p>
        </w:tc>
      </w:tr>
      <w:tr w:rsidR="00415374" w:rsidRPr="001455DC" w14:paraId="1B011F20" w14:textId="77777777" w:rsidTr="00822F09">
        <w:trPr>
          <w:cantSplit/>
        </w:trPr>
        <w:tc>
          <w:tcPr>
            <w:tcW w:w="8505" w:type="dxa"/>
            <w:gridSpan w:val="2"/>
            <w:vAlign w:val="center"/>
          </w:tcPr>
          <w:p w14:paraId="10AC8A7F" w14:textId="2284B359" w:rsidR="00415374" w:rsidRPr="001455DC" w:rsidRDefault="00231E33" w:rsidP="00822F09">
            <w:pPr>
              <w:pStyle w:val="Formula"/>
              <w:jc w:val="left"/>
              <w:rPr>
                <w:rFonts w:eastAsia="Calibri" w:cs="Times New Roman"/>
              </w:rPr>
            </w:pPr>
            <m:oMathPara>
              <m:oMathParaPr>
                <m:jc m:val="left"/>
              </m:oMathParaPr>
              <m:oMath>
                <m:sSub>
                  <m:sSubPr>
                    <m:ctrlPr>
                      <w:rPr>
                        <w:rFonts w:ascii="Cambria Math" w:hAnsi="Cambria Math"/>
                      </w:rPr>
                    </m:ctrlPr>
                  </m:sSubPr>
                  <m:e>
                    <m:r>
                      <w:rPr>
                        <w:rFonts w:ascii="Cambria Math" w:hAnsi="Cambria Math"/>
                      </w:rPr>
                      <m:t>β</m:t>
                    </m:r>
                  </m:e>
                  <m:sub>
                    <m:sSub>
                      <m:sSubPr>
                        <m:ctrlPr>
                          <w:rPr>
                            <w:rFonts w:ascii="Cambria Math" w:hAnsi="Cambria Math"/>
                          </w:rPr>
                        </m:ctrlPr>
                      </m:sSubPr>
                      <m:e>
                        <m:r>
                          <m:rPr>
                            <m:sty m:val="p"/>
                          </m:rPr>
                          <w:rPr>
                            <w:rFonts w:ascii="Cambria Math" w:hAnsi="Cambria Math"/>
                          </w:rPr>
                          <m:t>ds</m:t>
                        </m:r>
                        <m:r>
                          <w:rPr>
                            <w:rFonts w:ascii="Cambria Math" w:hAnsi="Cambria Math"/>
                          </w:rPr>
                          <m:t>,t-t</m:t>
                        </m:r>
                      </m:e>
                      <m:sub>
                        <m:r>
                          <w:rPr>
                            <w:rFonts w:ascii="Cambria Math" w:hAnsi="Cambria Math"/>
                          </w:rPr>
                          <m:t>s</m:t>
                        </m:r>
                      </m:sub>
                    </m:sSub>
                  </m:sub>
                </m:sSub>
                <m:r>
                  <w:rPr>
                    <w:rFonts w:ascii="Cambria Math" w:hAnsi="Cambria Math"/>
                  </w:rPr>
                  <m:t>=</m:t>
                </m:r>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d>
                              <m:dPr>
                                <m:sepChr m:val=""/>
                                <m:ctrlPr>
                                  <w:rPr>
                                    <w:rFonts w:ascii="Cambria Math" w:hAnsi="Cambria Math"/>
                                  </w:rPr>
                                </m:ctrlPr>
                              </m:dPr>
                              <m:e>
                                <m:r>
                                  <w:rPr>
                                    <w:rFonts w:ascii="Cambria Math" w:hAnsi="Cambria Math"/>
                                  </w:rPr>
                                  <m:t>t</m:t>
                                </m:r>
                              </m:e>
                              <m:e>
                                <m:r>
                                  <w:rPr>
                                    <w:rFonts w:ascii="Cambria Math" w:hAnsi="Cambria Math"/>
                                  </w:rPr>
                                  <m:t>-</m:t>
                                </m:r>
                              </m:e>
                              <m:e>
                                <m:sSub>
                                  <m:sSubPr>
                                    <m:ctrlPr>
                                      <w:rPr>
                                        <w:rFonts w:ascii="Cambria Math" w:hAnsi="Cambria Math"/>
                                      </w:rPr>
                                    </m:ctrlPr>
                                  </m:sSubPr>
                                  <m:e>
                                    <m:r>
                                      <w:rPr>
                                        <w:rFonts w:ascii="Cambria Math" w:hAnsi="Cambria Math"/>
                                      </w:rPr>
                                      <m:t>t</m:t>
                                    </m:r>
                                  </m:e>
                                  <m:sub>
                                    <m:r>
                                      <w:rPr>
                                        <w:rFonts w:ascii="Cambria Math" w:hAnsi="Cambria Math"/>
                                      </w:rPr>
                                      <m:t>s</m:t>
                                    </m:r>
                                  </m:sub>
                                </m:sSub>
                              </m:e>
                            </m:d>
                          </m:num>
                          <m:den>
                            <m:r>
                              <w:rPr>
                                <w:rFonts w:ascii="Cambria Math" w:hAnsi="Cambria Math"/>
                              </w:rPr>
                              <m:t>0,035</m:t>
                            </m:r>
                            <m:sSubSup>
                              <m:sSubSupPr>
                                <m:ctrlPr>
                                  <w:rPr>
                                    <w:rFonts w:ascii="Cambria Math" w:hAnsi="Cambria Math"/>
                                  </w:rPr>
                                </m:ctrlPr>
                              </m:sSubSupPr>
                              <m:e>
                                <m:r>
                                  <w:rPr>
                                    <w:rFonts w:ascii="Cambria Math" w:hAnsi="Cambria Math"/>
                                  </w:rPr>
                                  <m:t>h</m:t>
                                </m:r>
                              </m:e>
                              <m:sub>
                                <m:r>
                                  <m:rPr>
                                    <m:sty m:val="p"/>
                                  </m:rPr>
                                  <w:rPr>
                                    <w:rFonts w:ascii="Cambria Math" w:hAnsi="Cambria Math"/>
                                  </w:rPr>
                                  <m:t>n</m:t>
                                </m:r>
                              </m:sub>
                              <m:sup>
                                <m:r>
                                  <w:rPr>
                                    <w:rFonts w:ascii="Cambria Math" w:hAnsi="Cambria Math"/>
                                  </w:rPr>
                                  <m:t>2</m:t>
                                </m:r>
                              </m:sup>
                            </m:sSubSup>
                            <m:r>
                              <w:rPr>
                                <w:rFonts w:ascii="Cambria Math" w:hAnsi="Cambria Math"/>
                              </w:rPr>
                              <m:t>+</m:t>
                            </m:r>
                            <m:d>
                              <m:dPr>
                                <m:sepChr m:val=""/>
                                <m:ctrlPr>
                                  <w:rPr>
                                    <w:rFonts w:ascii="Cambria Math" w:hAnsi="Cambria Math"/>
                                  </w:rPr>
                                </m:ctrlPr>
                              </m:dPr>
                              <m:e>
                                <m:r>
                                  <w:rPr>
                                    <w:rFonts w:ascii="Cambria Math" w:hAnsi="Cambria Math"/>
                                  </w:rPr>
                                  <m:t>t</m:t>
                                </m:r>
                              </m:e>
                              <m:e>
                                <m:r>
                                  <w:rPr>
                                    <w:rFonts w:ascii="Cambria Math" w:hAnsi="Cambria Math"/>
                                  </w:rPr>
                                  <m:t>-</m:t>
                                </m:r>
                              </m:e>
                              <m:e>
                                <m:sSub>
                                  <m:sSubPr>
                                    <m:ctrlPr>
                                      <w:rPr>
                                        <w:rFonts w:ascii="Cambria Math" w:hAnsi="Cambria Math"/>
                                      </w:rPr>
                                    </m:ctrlPr>
                                  </m:sSubPr>
                                  <m:e>
                                    <m:r>
                                      <w:rPr>
                                        <w:rFonts w:ascii="Cambria Math" w:hAnsi="Cambria Math"/>
                                      </w:rPr>
                                      <m:t>t</m:t>
                                    </m:r>
                                  </m:e>
                                  <m:sub>
                                    <m:r>
                                      <m:rPr>
                                        <m:sty m:val="p"/>
                                      </m:rPr>
                                      <w:rPr>
                                        <w:rFonts w:ascii="Cambria Math" w:hAnsi="Cambria Math"/>
                                      </w:rPr>
                                      <m:t>s</m:t>
                                    </m:r>
                                  </m:sub>
                                </m:sSub>
                              </m:e>
                            </m:d>
                          </m:den>
                        </m:f>
                      </m:e>
                    </m:d>
                  </m:e>
                  <m:sup>
                    <m:r>
                      <w:rPr>
                        <w:rFonts w:ascii="Cambria Math" w:hAnsi="Cambria Math"/>
                      </w:rPr>
                      <m:t>0,5</m:t>
                    </m:r>
                  </m:sup>
                </m:sSup>
              </m:oMath>
            </m:oMathPara>
          </w:p>
        </w:tc>
        <w:tc>
          <w:tcPr>
            <w:tcW w:w="1247" w:type="dxa"/>
            <w:vAlign w:val="center"/>
          </w:tcPr>
          <w:p w14:paraId="4649DF1C" w14:textId="6D976A0F" w:rsidR="00415374" w:rsidRPr="001455DC" w:rsidRDefault="00415374" w:rsidP="00822F09">
            <w:pPr>
              <w:pStyle w:val="a7"/>
              <w:jc w:val="right"/>
            </w:pPr>
            <w:r w:rsidRPr="001455DC">
              <w:t>(B.31)</w:t>
            </w:r>
          </w:p>
        </w:tc>
      </w:tr>
    </w:tbl>
    <w:p w14:paraId="7051E3F5" w14:textId="77777777" w:rsidR="00415374" w:rsidRPr="001455DC" w:rsidRDefault="00415374"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415374" w:rsidRPr="001455DC" w14:paraId="449B03F9" w14:textId="77777777" w:rsidTr="00822F09">
        <w:trPr>
          <w:cantSplit/>
        </w:trPr>
        <w:tc>
          <w:tcPr>
            <w:tcW w:w="567" w:type="dxa"/>
          </w:tcPr>
          <w:p w14:paraId="10A3193B" w14:textId="5C07D31C" w:rsidR="00415374" w:rsidRPr="001455DC" w:rsidRDefault="00415374" w:rsidP="0000442A">
            <w:pPr>
              <w:pStyle w:val="Tablebody"/>
            </w:pPr>
            <w:r w:rsidRPr="001455DC">
              <w:rPr>
                <w:rStyle w:val="CCMCvariableitalic"/>
              </w:rPr>
              <w:t>α</w:t>
            </w:r>
            <w:r w:rsidRPr="001455DC">
              <w:rPr>
                <w:rStyle w:val="CCMCvariablesubscript"/>
              </w:rPr>
              <w:t>ds</w:t>
            </w:r>
          </w:p>
        </w:tc>
        <w:tc>
          <w:tcPr>
            <w:tcW w:w="8845" w:type="dxa"/>
          </w:tcPr>
          <w:p w14:paraId="5C0B9D36" w14:textId="4C3818BE" w:rsidR="00415374" w:rsidRPr="001455DC" w:rsidRDefault="00415374">
            <w:pPr>
              <w:pStyle w:val="Tablebody"/>
            </w:pPr>
            <w:r w:rsidRPr="001455DC">
              <w:t>is a coefficient depending on the early strength development of concrete, see Table B.</w:t>
            </w:r>
            <w:r w:rsidR="001B55B2" w:rsidRPr="001455DC">
              <w:t>3</w:t>
            </w:r>
            <w:r w:rsidRPr="001455DC">
              <w:t>;</w:t>
            </w:r>
          </w:p>
        </w:tc>
      </w:tr>
      <w:tr w:rsidR="00415374" w:rsidRPr="001455DC" w14:paraId="4E2A51A3" w14:textId="77777777" w:rsidTr="00822F09">
        <w:trPr>
          <w:cantSplit/>
        </w:trPr>
        <w:tc>
          <w:tcPr>
            <w:tcW w:w="567" w:type="dxa"/>
          </w:tcPr>
          <w:p w14:paraId="09F43BC1" w14:textId="51036DAF" w:rsidR="00415374" w:rsidRPr="001455DC" w:rsidRDefault="00415374" w:rsidP="0000442A">
            <w:pPr>
              <w:pStyle w:val="Tablebody"/>
            </w:pPr>
            <w:r w:rsidRPr="001455DC">
              <w:rPr>
                <w:rStyle w:val="CCMCvariableitalic"/>
              </w:rPr>
              <w:t>RH</w:t>
            </w:r>
            <w:r w:rsidRPr="001455DC">
              <w:rPr>
                <w:rStyle w:val="CCMCvariablesubscript"/>
              </w:rPr>
              <w:t>eq</w:t>
            </w:r>
          </w:p>
        </w:tc>
        <w:tc>
          <w:tcPr>
            <w:tcW w:w="8845" w:type="dxa"/>
          </w:tcPr>
          <w:p w14:paraId="79A51BD9" w14:textId="1F1A1F78" w:rsidR="00415374" w:rsidRPr="001455DC" w:rsidRDefault="00415374">
            <w:pPr>
              <w:pStyle w:val="Tablebody"/>
            </w:pPr>
            <w:r w:rsidRPr="001455DC">
              <w:t xml:space="preserve">is the internal relative humidity of concrete [ %] at equilibrium. It considers self-desiccation  </w:t>
            </w:r>
            <w:r w:rsidR="00E305E2" w:rsidRPr="001455DC">
              <w:t xml:space="preserve">(relevant for </w:t>
            </w:r>
            <w:r w:rsidRPr="001455DC">
              <w:t>high performance concrete</w:t>
            </w:r>
            <w:r w:rsidR="00E305E2" w:rsidRPr="001455DC">
              <w:t>)</w:t>
            </w:r>
            <w:r w:rsidRPr="001455DC">
              <w:t>.</w:t>
            </w:r>
          </w:p>
        </w:tc>
      </w:tr>
    </w:tbl>
    <w:p w14:paraId="61166C2C" w14:textId="2369B7A5" w:rsidR="004E22C1" w:rsidRPr="001455DC" w:rsidRDefault="004E22C1" w:rsidP="00415374">
      <w:pPr>
        <w:pStyle w:val="a7"/>
      </w:pPr>
      <w:r w:rsidRPr="001455DC">
        <w:t>(4)</w:t>
      </w:r>
      <w:r w:rsidRPr="001455DC">
        <w:tab/>
        <w:t>Lower and upper characteristic values of total shrinkage or swelling strain</w:t>
      </w:r>
      <w:r w:rsidR="001B55B2" w:rsidRPr="001455DC">
        <w:t xml:space="preserve"> </w:t>
      </w:r>
      <w:r w:rsidR="001B55B2" w:rsidRPr="001455DC">
        <w:rPr>
          <w:rStyle w:val="CCMCvariableitalic"/>
        </w:rPr>
        <w:t>ε</w:t>
      </w:r>
      <w:r w:rsidR="001B55B2" w:rsidRPr="009D3012">
        <w:rPr>
          <w:rStyle w:val="CCMCvariablesubscript"/>
          <w:lang w:val="en-US"/>
        </w:rPr>
        <w:t>cs</w:t>
      </w:r>
      <w:r w:rsidRPr="001455DC">
        <w:t xml:space="preserve"> may be taken as:</w:t>
      </w:r>
    </w:p>
    <w:p w14:paraId="3440C44E" w14:textId="0D822EE0" w:rsidR="004E22C1" w:rsidRPr="003F0CF8" w:rsidRDefault="004E22C1" w:rsidP="00415374">
      <w:pPr>
        <w:pStyle w:val="a0"/>
        <w:rPr>
          <w:rFonts w:eastAsiaTheme="minorHAnsi"/>
          <w:lang w:val="fr-CH"/>
        </w:rPr>
      </w:pPr>
      <w:r w:rsidRPr="001455DC">
        <w:rPr>
          <w:rStyle w:val="CCMCvariableitalic"/>
        </w:rPr>
        <w:t>ε</w:t>
      </w:r>
      <w:r w:rsidRPr="003F0CF8">
        <w:rPr>
          <w:rStyle w:val="CCMCvariablesubscript"/>
          <w:lang w:val="fr-CH"/>
        </w:rPr>
        <w:t>k;0,10</w:t>
      </w:r>
      <w:r w:rsidRPr="003F0CF8">
        <w:rPr>
          <w:rStyle w:val="CCMCvariableitalic"/>
          <w:lang w:val="fr-CH"/>
        </w:rPr>
        <w:t> </w:t>
      </w:r>
      <w:r w:rsidR="00EC27D2" w:rsidRPr="003F0CF8">
        <w:rPr>
          <w:rFonts w:ascii="Cambria Math" w:eastAsiaTheme="minorHAnsi" w:hAnsi="Cambria Math"/>
          <w:lang w:val="fr-CH"/>
        </w:rPr>
        <w:t>=</w:t>
      </w:r>
      <w:r w:rsidRPr="003F0CF8">
        <w:rPr>
          <w:rFonts w:eastAsiaTheme="minorHAnsi"/>
          <w:lang w:val="fr-CH"/>
        </w:rPr>
        <w:t xml:space="preserve"> 0,6</w:t>
      </w:r>
      <w:r w:rsidRPr="001455DC">
        <w:rPr>
          <w:rStyle w:val="CCMCvariableitalic"/>
        </w:rPr>
        <w:t>ε</w:t>
      </w:r>
      <w:r w:rsidR="001B55B2" w:rsidRPr="003F0CF8">
        <w:rPr>
          <w:rStyle w:val="CCMCvariablesubscript"/>
          <w:lang w:val="fr-CH"/>
        </w:rPr>
        <w:t>cs</w:t>
      </w:r>
      <w:r w:rsidR="001B55B2" w:rsidRPr="003F0CF8">
        <w:rPr>
          <w:lang w:val="fr-CH"/>
        </w:rPr>
        <w:t xml:space="preserve"> </w:t>
      </w:r>
      <w:r w:rsidRPr="003F0CF8">
        <w:rPr>
          <w:lang w:val="fr-CH"/>
        </w:rPr>
        <w:t>(</w:t>
      </w:r>
      <w:r w:rsidRPr="003F0CF8">
        <w:rPr>
          <w:rStyle w:val="CCMCvariableitalic"/>
          <w:lang w:val="fr-CH"/>
        </w:rPr>
        <w:t>t</w:t>
      </w:r>
      <w:r w:rsidRPr="003F0CF8">
        <w:rPr>
          <w:lang w:val="fr-CH"/>
        </w:rPr>
        <w:t>,</w:t>
      </w:r>
      <w:r w:rsidR="001B55B2" w:rsidRPr="003F0CF8">
        <w:rPr>
          <w:rStyle w:val="CCMCvariableitalic"/>
          <w:lang w:val="fr-CH"/>
        </w:rPr>
        <w:t>t</w:t>
      </w:r>
      <w:r w:rsidR="001B55B2" w:rsidRPr="003F0CF8">
        <w:rPr>
          <w:rStyle w:val="CCMCvariablesubscript"/>
          <w:lang w:val="fr-CH"/>
        </w:rPr>
        <w:t>s</w:t>
      </w:r>
      <w:r w:rsidRPr="003F0CF8">
        <w:rPr>
          <w:lang w:val="fr-CH"/>
        </w:rPr>
        <w:t xml:space="preserve">) </w:t>
      </w:r>
      <w:r w:rsidRPr="003F0CF8">
        <w:rPr>
          <w:rFonts w:eastAsiaTheme="minorHAnsi"/>
          <w:lang w:val="fr-CH"/>
        </w:rPr>
        <w:t xml:space="preserve">and </w:t>
      </w:r>
      <w:r w:rsidRPr="001455DC">
        <w:rPr>
          <w:rStyle w:val="CCMCvariableitalic"/>
        </w:rPr>
        <w:t>ε</w:t>
      </w:r>
      <w:r w:rsidRPr="003F0CF8">
        <w:rPr>
          <w:rStyle w:val="CCMCvariablesubscript"/>
          <w:lang w:val="fr-CH"/>
        </w:rPr>
        <w:t>k;0,05</w:t>
      </w:r>
      <w:r w:rsidRPr="003F0CF8">
        <w:rPr>
          <w:rStyle w:val="CCMCvariableitalic"/>
          <w:lang w:val="fr-CH"/>
        </w:rPr>
        <w:t> </w:t>
      </w:r>
      <w:r w:rsidR="00EC27D2" w:rsidRPr="003F0CF8">
        <w:rPr>
          <w:rFonts w:ascii="Cambria Math" w:eastAsiaTheme="minorHAnsi" w:hAnsi="Cambria Math"/>
          <w:lang w:val="fr-CH"/>
        </w:rPr>
        <w:t>=</w:t>
      </w:r>
      <w:r w:rsidRPr="003F0CF8">
        <w:rPr>
          <w:rFonts w:eastAsiaTheme="minorHAnsi"/>
          <w:lang w:val="fr-CH"/>
        </w:rPr>
        <w:t xml:space="preserve"> 0,5</w:t>
      </w:r>
      <w:r w:rsidR="001B55B2" w:rsidRPr="001455DC">
        <w:rPr>
          <w:rStyle w:val="CCMCvariableitalic"/>
        </w:rPr>
        <w:t>ε</w:t>
      </w:r>
      <w:r w:rsidR="001B55B2" w:rsidRPr="003F0CF8">
        <w:rPr>
          <w:rStyle w:val="CCMCvariablesubscript"/>
          <w:lang w:val="fr-CH"/>
        </w:rPr>
        <w:t>cs</w:t>
      </w:r>
      <w:r w:rsidR="001B55B2" w:rsidRPr="003F0CF8" w:rsidDel="001B55B2">
        <w:rPr>
          <w:rStyle w:val="CCMCvariableitalic"/>
          <w:lang w:val="fr-CH"/>
        </w:rPr>
        <w:t xml:space="preserve"> </w:t>
      </w:r>
      <w:r w:rsidRPr="003F0CF8">
        <w:rPr>
          <w:lang w:val="fr-CH"/>
        </w:rPr>
        <w:t>(</w:t>
      </w:r>
      <w:r w:rsidRPr="003F0CF8">
        <w:rPr>
          <w:rStyle w:val="CCMCvariableitalic"/>
          <w:lang w:val="fr-CH"/>
        </w:rPr>
        <w:t>t</w:t>
      </w:r>
      <w:r w:rsidRPr="003F0CF8">
        <w:rPr>
          <w:lang w:val="fr-CH"/>
        </w:rPr>
        <w:t>,</w:t>
      </w:r>
      <w:r w:rsidR="001B55B2" w:rsidRPr="003F0CF8">
        <w:rPr>
          <w:rStyle w:val="CCMCvariableitalic"/>
          <w:lang w:val="fr-CH"/>
        </w:rPr>
        <w:t>t</w:t>
      </w:r>
      <w:r w:rsidR="001B55B2" w:rsidRPr="003F0CF8">
        <w:rPr>
          <w:rStyle w:val="CCMCvariablesubscript"/>
          <w:lang w:val="fr-CH"/>
        </w:rPr>
        <w:t>s</w:t>
      </w:r>
      <w:r w:rsidRPr="003F0CF8">
        <w:rPr>
          <w:lang w:val="fr-CH"/>
        </w:rPr>
        <w:t>),</w:t>
      </w:r>
    </w:p>
    <w:p w14:paraId="33B7A287" w14:textId="2A0C168B" w:rsidR="004E22C1" w:rsidRPr="003F0CF8" w:rsidRDefault="004E22C1" w:rsidP="00415374">
      <w:pPr>
        <w:pStyle w:val="a0"/>
        <w:rPr>
          <w:rFonts w:eastAsiaTheme="minorHAnsi"/>
          <w:lang w:val="fr-CH"/>
        </w:rPr>
      </w:pPr>
      <w:r w:rsidRPr="001455DC">
        <w:rPr>
          <w:rStyle w:val="CCMCvariableitalic"/>
        </w:rPr>
        <w:t>ε</w:t>
      </w:r>
      <w:r w:rsidRPr="003F0CF8">
        <w:rPr>
          <w:rStyle w:val="CCMCvariablesubscript"/>
          <w:lang w:val="fr-CH"/>
        </w:rPr>
        <w:t>k;0,90</w:t>
      </w:r>
      <w:r w:rsidRPr="003F0CF8">
        <w:rPr>
          <w:rStyle w:val="CCMCvariableitalic"/>
          <w:lang w:val="fr-CH"/>
        </w:rPr>
        <w:t> </w:t>
      </w:r>
      <w:r w:rsidR="00EC27D2" w:rsidRPr="003F0CF8">
        <w:rPr>
          <w:rFonts w:ascii="Cambria Math" w:eastAsiaTheme="minorHAnsi" w:hAnsi="Cambria Math"/>
          <w:lang w:val="fr-CH"/>
        </w:rPr>
        <w:t>=</w:t>
      </w:r>
      <w:r w:rsidRPr="003F0CF8">
        <w:rPr>
          <w:rFonts w:eastAsiaTheme="minorHAnsi"/>
          <w:lang w:val="fr-CH"/>
        </w:rPr>
        <w:t xml:space="preserve"> 1,4</w:t>
      </w:r>
      <w:r w:rsidR="001B55B2" w:rsidRPr="001455DC">
        <w:rPr>
          <w:rStyle w:val="CCMCvariableitalic"/>
        </w:rPr>
        <w:t>ε</w:t>
      </w:r>
      <w:r w:rsidR="001B55B2" w:rsidRPr="003F0CF8">
        <w:rPr>
          <w:rStyle w:val="CCMCvariablesubscript"/>
          <w:lang w:val="fr-CH"/>
        </w:rPr>
        <w:t>cs</w:t>
      </w:r>
      <w:r w:rsidR="001B55B2" w:rsidRPr="003F0CF8" w:rsidDel="001B55B2">
        <w:rPr>
          <w:rStyle w:val="CCMCvariableitalic"/>
          <w:lang w:val="fr-CH"/>
        </w:rPr>
        <w:t xml:space="preserve"> </w:t>
      </w:r>
      <w:r w:rsidRPr="003F0CF8">
        <w:rPr>
          <w:lang w:val="fr-CH"/>
        </w:rPr>
        <w:t>(</w:t>
      </w:r>
      <w:r w:rsidRPr="003F0CF8">
        <w:rPr>
          <w:rStyle w:val="CCMCvariableitalic"/>
          <w:lang w:val="fr-CH"/>
        </w:rPr>
        <w:t>t</w:t>
      </w:r>
      <w:r w:rsidRPr="003F0CF8">
        <w:rPr>
          <w:lang w:val="fr-CH"/>
        </w:rPr>
        <w:t>,</w:t>
      </w:r>
      <w:r w:rsidR="001B55B2" w:rsidRPr="003F0CF8">
        <w:rPr>
          <w:rStyle w:val="CCMCvariableitalic"/>
          <w:lang w:val="fr-CH"/>
        </w:rPr>
        <w:t>t</w:t>
      </w:r>
      <w:r w:rsidR="001B55B2" w:rsidRPr="003F0CF8">
        <w:rPr>
          <w:rStyle w:val="CCMCvariablesubscript"/>
          <w:lang w:val="fr-CH"/>
        </w:rPr>
        <w:t>s</w:t>
      </w:r>
      <w:r w:rsidRPr="003F0CF8">
        <w:rPr>
          <w:lang w:val="fr-CH"/>
        </w:rPr>
        <w:t xml:space="preserve">) </w:t>
      </w:r>
      <w:r w:rsidRPr="003F0CF8">
        <w:rPr>
          <w:rFonts w:eastAsiaTheme="minorHAnsi"/>
          <w:lang w:val="fr-CH"/>
        </w:rPr>
        <w:t xml:space="preserve">and </w:t>
      </w:r>
      <w:r w:rsidRPr="001455DC">
        <w:rPr>
          <w:rStyle w:val="CCMCvariableitalic"/>
        </w:rPr>
        <w:t>ε</w:t>
      </w:r>
      <w:r w:rsidRPr="003F0CF8">
        <w:rPr>
          <w:rStyle w:val="CCMCvariablesubscript"/>
          <w:lang w:val="fr-CH"/>
        </w:rPr>
        <w:t>k;0,95</w:t>
      </w:r>
      <w:r w:rsidRPr="003F0CF8">
        <w:rPr>
          <w:rStyle w:val="CCMCvariableitalic"/>
          <w:lang w:val="fr-CH"/>
        </w:rPr>
        <w:t> </w:t>
      </w:r>
      <w:r w:rsidR="00EC27D2" w:rsidRPr="003F0CF8">
        <w:rPr>
          <w:rFonts w:ascii="Cambria Math" w:eastAsiaTheme="minorHAnsi" w:hAnsi="Cambria Math"/>
          <w:lang w:val="fr-CH"/>
        </w:rPr>
        <w:t>=</w:t>
      </w:r>
      <w:r w:rsidRPr="003F0CF8">
        <w:rPr>
          <w:rFonts w:eastAsiaTheme="minorHAnsi"/>
          <w:lang w:val="fr-CH"/>
        </w:rPr>
        <w:t xml:space="preserve"> 1,5</w:t>
      </w:r>
      <w:r w:rsidR="001B55B2" w:rsidRPr="001455DC">
        <w:rPr>
          <w:rStyle w:val="CCMCvariableitalic"/>
        </w:rPr>
        <w:t>ε</w:t>
      </w:r>
      <w:r w:rsidR="001B55B2" w:rsidRPr="003F0CF8">
        <w:rPr>
          <w:rStyle w:val="CCMCvariablesubscript"/>
          <w:lang w:val="fr-CH"/>
        </w:rPr>
        <w:t>cs</w:t>
      </w:r>
      <w:r w:rsidR="001B55B2" w:rsidRPr="003F0CF8" w:rsidDel="001B55B2">
        <w:rPr>
          <w:rStyle w:val="CCMCvariableitalic"/>
          <w:lang w:val="fr-CH"/>
        </w:rPr>
        <w:t xml:space="preserve"> </w:t>
      </w:r>
      <w:r w:rsidRPr="003F0CF8">
        <w:rPr>
          <w:lang w:val="fr-CH"/>
        </w:rPr>
        <w:t>(</w:t>
      </w:r>
      <w:r w:rsidRPr="003F0CF8">
        <w:rPr>
          <w:rStyle w:val="CCMCvariableitalic"/>
          <w:lang w:val="fr-CH"/>
        </w:rPr>
        <w:t>t</w:t>
      </w:r>
      <w:r w:rsidRPr="003F0CF8">
        <w:rPr>
          <w:lang w:val="fr-CH"/>
        </w:rPr>
        <w:t>,</w:t>
      </w:r>
      <w:r w:rsidR="001B55B2" w:rsidRPr="003F0CF8">
        <w:rPr>
          <w:rStyle w:val="CCMCvariableitalic"/>
          <w:lang w:val="fr-CH"/>
        </w:rPr>
        <w:t>t</w:t>
      </w:r>
      <w:r w:rsidR="001B55B2" w:rsidRPr="003F0CF8">
        <w:rPr>
          <w:rStyle w:val="CCMCvariablesubscript"/>
          <w:lang w:val="fr-CH"/>
        </w:rPr>
        <w:t>s</w:t>
      </w:r>
      <w:r w:rsidRPr="003F0CF8">
        <w:rPr>
          <w:lang w:val="fr-CH"/>
        </w:rPr>
        <w:t>).</w:t>
      </w:r>
    </w:p>
    <w:p w14:paraId="26E2E5BE" w14:textId="42892CE6" w:rsidR="004E22C1" w:rsidRPr="001455DC" w:rsidRDefault="004E22C1" w:rsidP="00082680">
      <w:pPr>
        <w:pStyle w:val="a2"/>
      </w:pPr>
      <w:bookmarkStart w:id="1332" w:name="_Toc52820131"/>
      <w:bookmarkStart w:id="1333" w:name="_Toc54337138"/>
      <w:bookmarkStart w:id="1334" w:name="_Toc54337536"/>
      <w:bookmarkStart w:id="1335" w:name="_Toc54338187"/>
      <w:bookmarkStart w:id="1336" w:name="_Toc67565525"/>
      <w:r w:rsidRPr="001455DC">
        <w:t>Tests on elastic deformations, creep and shrinkage</w:t>
      </w:r>
      <w:bookmarkEnd w:id="1332"/>
      <w:bookmarkEnd w:id="1333"/>
      <w:bookmarkEnd w:id="1334"/>
      <w:bookmarkEnd w:id="1335"/>
      <w:bookmarkEnd w:id="1336"/>
    </w:p>
    <w:p w14:paraId="6994758D" w14:textId="77777777" w:rsidR="004E22C1" w:rsidRPr="001455DC" w:rsidRDefault="004E22C1" w:rsidP="00415374">
      <w:pPr>
        <w:pStyle w:val="a7"/>
      </w:pPr>
      <w:r w:rsidRPr="001455DC">
        <w:t>(1)</w:t>
      </w:r>
      <w:r w:rsidRPr="001455DC">
        <w:tab/>
        <w:t>If a member or a structure is very sensitive to deformations (e.g. long span prestressed concrete girder bridges) testing of elastic modulus, creep and shrinkage behaviour should be carried out.</w:t>
      </w:r>
    </w:p>
    <w:p w14:paraId="7F6E7FA8" w14:textId="40793D4F" w:rsidR="004E22C1" w:rsidRPr="001455DC" w:rsidRDefault="004E22C1" w:rsidP="00116AE2">
      <w:pPr>
        <w:pStyle w:val="a7"/>
        <w:keepNext/>
      </w:pPr>
      <w:r w:rsidRPr="001455DC">
        <w:t>(2)</w:t>
      </w:r>
      <w:r w:rsidR="00116AE2" w:rsidRPr="001455DC">
        <w:tab/>
      </w:r>
      <w:r w:rsidRPr="001455DC">
        <w:t>Tests should also be carried out, for sensitive structures only, if:</w:t>
      </w:r>
    </w:p>
    <w:p w14:paraId="4D243D47" w14:textId="2CC997E2" w:rsidR="004E22C1" w:rsidRPr="001455DC" w:rsidRDefault="004E22C1" w:rsidP="00116AE2">
      <w:pPr>
        <w:pStyle w:val="a0"/>
        <w:keepNext/>
      </w:pPr>
      <w:r w:rsidRPr="001455DC">
        <w:t xml:space="preserve">the design with upper and lower bound values of the creep coefficient </w:t>
      </w:r>
      <w:r w:rsidR="001B55B2" w:rsidRPr="009D3012">
        <w:rPr>
          <w:lang w:eastAsia="de-DE"/>
        </w:rPr>
        <w:t>(see B.</w:t>
      </w:r>
      <w:r w:rsidR="001A17A7" w:rsidRPr="009D3012">
        <w:rPr>
          <w:lang w:eastAsia="de-DE"/>
        </w:rPr>
        <w:t>5</w:t>
      </w:r>
      <w:r w:rsidR="001B55B2" w:rsidRPr="009D3012">
        <w:rPr>
          <w:lang w:eastAsia="de-DE"/>
        </w:rPr>
        <w:t>(8)) and of the total shrinkage or swelling strain (see B.</w:t>
      </w:r>
      <w:r w:rsidR="0051522D" w:rsidRPr="009D3012">
        <w:rPr>
          <w:lang w:eastAsia="de-DE"/>
        </w:rPr>
        <w:t>6</w:t>
      </w:r>
      <w:r w:rsidR="001B55B2" w:rsidRPr="009D3012">
        <w:rPr>
          <w:lang w:eastAsia="de-DE"/>
        </w:rPr>
        <w:t xml:space="preserve">(4)) </w:t>
      </w:r>
      <w:r w:rsidRPr="001455DC">
        <w:t>of</w:t>
      </w:r>
    </w:p>
    <w:p w14:paraId="0D4EFA79" w14:textId="362263CA" w:rsidR="001B55B2" w:rsidRPr="00FA575F" w:rsidRDefault="001B55B2" w:rsidP="009D3012">
      <w:pPr>
        <w:pStyle w:val="a7"/>
        <w:ind w:left="360"/>
      </w:pPr>
      <w:r w:rsidRPr="009D3012">
        <w:rPr>
          <w:i/>
        </w:rPr>
        <w:sym w:font="Symbol" w:char="F06A"/>
      </w:r>
      <w:r w:rsidRPr="00FA575F">
        <w:rPr>
          <w:vertAlign w:val="subscript"/>
        </w:rPr>
        <w:t>k;0,10</w:t>
      </w:r>
      <w:r w:rsidRPr="00FA575F">
        <w:t xml:space="preserve"> = 0,6</w:t>
      </w:r>
      <w:r w:rsidRPr="009D3012">
        <w:rPr>
          <w:i/>
        </w:rPr>
        <w:sym w:font="Symbol" w:char="F06A"/>
      </w:r>
      <w:r w:rsidRPr="00FA575F">
        <w:t>(</w:t>
      </w:r>
      <w:r w:rsidRPr="00FA575F">
        <w:rPr>
          <w:i/>
        </w:rPr>
        <w:t>t,t</w:t>
      </w:r>
      <w:r w:rsidR="00E305E2" w:rsidRPr="00FA575F">
        <w:rPr>
          <w:vertAlign w:val="subscript"/>
        </w:rPr>
        <w:t>0</w:t>
      </w:r>
      <w:r w:rsidRPr="00FA575F">
        <w:t>);</w:t>
      </w:r>
      <w:r w:rsidRPr="00FA575F">
        <w:rPr>
          <w:rFonts w:ascii="Times New Roman" w:hAnsi="Times New Roman"/>
          <w:i/>
          <w:vertAlign w:val="subscript"/>
        </w:rPr>
        <w:t xml:space="preserve"> </w:t>
      </w:r>
      <w:r w:rsidRPr="009D3012">
        <w:rPr>
          <w:i/>
        </w:rPr>
        <w:sym w:font="Symbol" w:char="F06A"/>
      </w:r>
      <w:r w:rsidRPr="00FA575F">
        <w:rPr>
          <w:vertAlign w:val="subscript"/>
        </w:rPr>
        <w:t>k;0,05</w:t>
      </w:r>
      <w:r w:rsidRPr="00FA575F">
        <w:t xml:space="preserve"> = 0,5</w:t>
      </w:r>
      <w:r w:rsidRPr="009D3012">
        <w:rPr>
          <w:i/>
        </w:rPr>
        <w:sym w:font="Symbol" w:char="F06A"/>
      </w:r>
      <w:r w:rsidRPr="00FA575F">
        <w:t>(</w:t>
      </w:r>
      <w:r w:rsidRPr="00FA575F">
        <w:rPr>
          <w:i/>
        </w:rPr>
        <w:t>t,t</w:t>
      </w:r>
      <w:r w:rsidR="00E305E2" w:rsidRPr="00FA575F">
        <w:rPr>
          <w:vertAlign w:val="subscript"/>
        </w:rPr>
        <w:t>0</w:t>
      </w:r>
      <w:r w:rsidRPr="00FA575F">
        <w:t>),</w:t>
      </w:r>
      <w:r w:rsidRPr="00FA575F">
        <w:tab/>
      </w:r>
    </w:p>
    <w:p w14:paraId="29EBA350" w14:textId="48825AC2" w:rsidR="001B55B2" w:rsidRPr="00FA575F" w:rsidRDefault="001B55B2" w:rsidP="009D3012">
      <w:pPr>
        <w:pStyle w:val="a7"/>
        <w:ind w:firstLine="360"/>
      </w:pPr>
      <w:r w:rsidRPr="009D3012">
        <w:rPr>
          <w:i/>
        </w:rPr>
        <w:sym w:font="Symbol" w:char="F06A"/>
      </w:r>
      <w:r w:rsidRPr="00FA575F">
        <w:rPr>
          <w:vertAlign w:val="subscript"/>
        </w:rPr>
        <w:t>k;0,90</w:t>
      </w:r>
      <w:r w:rsidRPr="00FA575F">
        <w:t xml:space="preserve"> = 1,3</w:t>
      </w:r>
      <w:r w:rsidRPr="009D3012">
        <w:rPr>
          <w:i/>
        </w:rPr>
        <w:sym w:font="Symbol" w:char="F06A"/>
      </w:r>
      <w:r w:rsidRPr="00FA575F">
        <w:t>(</w:t>
      </w:r>
      <w:r w:rsidRPr="00FA575F">
        <w:rPr>
          <w:i/>
        </w:rPr>
        <w:t>t,t</w:t>
      </w:r>
      <w:r w:rsidR="00E305E2" w:rsidRPr="00FA575F">
        <w:rPr>
          <w:vertAlign w:val="subscript"/>
        </w:rPr>
        <w:t>0</w:t>
      </w:r>
      <w:r w:rsidRPr="00FA575F">
        <w:t xml:space="preserve">); </w:t>
      </w:r>
      <w:r w:rsidRPr="009D3012">
        <w:rPr>
          <w:i/>
        </w:rPr>
        <w:sym w:font="Symbol" w:char="F06A"/>
      </w:r>
      <w:r w:rsidRPr="00FA575F">
        <w:rPr>
          <w:vertAlign w:val="subscript"/>
        </w:rPr>
        <w:t>k;0,95</w:t>
      </w:r>
      <w:r w:rsidRPr="00FA575F">
        <w:t xml:space="preserve"> = 1,4</w:t>
      </w:r>
      <w:r w:rsidRPr="009D3012">
        <w:rPr>
          <w:i/>
        </w:rPr>
        <w:sym w:font="Symbol" w:char="F06A"/>
      </w:r>
      <w:r w:rsidRPr="00FA575F">
        <w:t>(</w:t>
      </w:r>
      <w:r w:rsidRPr="00FA575F">
        <w:rPr>
          <w:i/>
        </w:rPr>
        <w:t>t,t</w:t>
      </w:r>
      <w:r w:rsidR="00E305E2" w:rsidRPr="00FA575F">
        <w:rPr>
          <w:vertAlign w:val="subscript"/>
        </w:rPr>
        <w:t>0</w:t>
      </w:r>
      <w:r w:rsidR="00E305E2" w:rsidRPr="00FA575F">
        <w:t>),</w:t>
      </w:r>
      <w:r w:rsidRPr="00FA575F">
        <w:tab/>
      </w:r>
    </w:p>
    <w:p w14:paraId="4FE5061C" w14:textId="033662D7" w:rsidR="001B55B2" w:rsidRPr="00FA575F" w:rsidRDefault="001B55B2" w:rsidP="009D3012">
      <w:pPr>
        <w:pStyle w:val="a7"/>
        <w:ind w:firstLine="360"/>
      </w:pPr>
      <w:r w:rsidRPr="009D3012">
        <w:rPr>
          <w:i/>
        </w:rPr>
        <w:sym w:font="Symbol" w:char="F065"/>
      </w:r>
      <w:r w:rsidRPr="00FA575F">
        <w:rPr>
          <w:vertAlign w:val="subscript"/>
        </w:rPr>
        <w:t>k;0,10</w:t>
      </w:r>
      <w:r w:rsidRPr="00FA575F">
        <w:t xml:space="preserve"> = 0,6</w:t>
      </w:r>
      <w:r w:rsidRPr="009D3012">
        <w:rPr>
          <w:i/>
        </w:rPr>
        <w:sym w:font="Symbol" w:char="F065"/>
      </w:r>
      <w:r w:rsidRPr="00FA575F">
        <w:rPr>
          <w:rFonts w:ascii="Times New Roman" w:hAnsi="Times New Roman"/>
          <w:i/>
          <w:vertAlign w:val="subscript"/>
        </w:rPr>
        <w:t> </w:t>
      </w:r>
      <w:r w:rsidRPr="00FA575F">
        <w:t>(</w:t>
      </w:r>
      <w:r w:rsidRPr="00FA575F">
        <w:rPr>
          <w:i/>
        </w:rPr>
        <w:t>t,t</w:t>
      </w:r>
      <w:r w:rsidRPr="00FA575F">
        <w:rPr>
          <w:vertAlign w:val="subscript"/>
        </w:rPr>
        <w:t>s</w:t>
      </w:r>
      <w:r w:rsidRPr="00FA575F">
        <w:t xml:space="preserve">); </w:t>
      </w:r>
      <w:r w:rsidRPr="009D3012">
        <w:rPr>
          <w:i/>
        </w:rPr>
        <w:sym w:font="Symbol" w:char="F065"/>
      </w:r>
      <w:r w:rsidRPr="00FA575F">
        <w:rPr>
          <w:vertAlign w:val="subscript"/>
        </w:rPr>
        <w:t>k;0,05</w:t>
      </w:r>
      <w:r w:rsidRPr="00FA575F">
        <w:t xml:space="preserve"> = 0,5</w:t>
      </w:r>
      <w:r w:rsidRPr="009D3012">
        <w:rPr>
          <w:i/>
        </w:rPr>
        <w:sym w:font="Symbol" w:char="F065"/>
      </w:r>
      <w:r w:rsidRPr="00FA575F">
        <w:rPr>
          <w:rFonts w:ascii="Times New Roman" w:hAnsi="Times New Roman"/>
          <w:i/>
          <w:vertAlign w:val="subscript"/>
        </w:rPr>
        <w:t> </w:t>
      </w:r>
      <w:r w:rsidRPr="00FA575F">
        <w:t>(</w:t>
      </w:r>
      <w:r w:rsidRPr="00FA575F">
        <w:rPr>
          <w:i/>
        </w:rPr>
        <w:t>t,t</w:t>
      </w:r>
      <w:r w:rsidRPr="00FA575F">
        <w:rPr>
          <w:vertAlign w:val="subscript"/>
        </w:rPr>
        <w:t>s</w:t>
      </w:r>
      <w:r w:rsidRPr="00FA575F">
        <w:t>),</w:t>
      </w:r>
      <w:r w:rsidRPr="00FA575F">
        <w:tab/>
      </w:r>
    </w:p>
    <w:p w14:paraId="20E35AE6" w14:textId="238DF145" w:rsidR="001B55B2" w:rsidRPr="00FA575F" w:rsidRDefault="001B55B2" w:rsidP="001B55B2">
      <w:pPr>
        <w:pStyle w:val="a7"/>
        <w:ind w:left="360"/>
        <w:rPr>
          <w:szCs w:val="22"/>
        </w:rPr>
      </w:pPr>
      <w:r w:rsidRPr="009D3012">
        <w:rPr>
          <w:i/>
          <w:szCs w:val="22"/>
        </w:rPr>
        <w:sym w:font="Symbol" w:char="F065"/>
      </w:r>
      <w:r w:rsidRPr="00FA575F">
        <w:rPr>
          <w:szCs w:val="22"/>
          <w:vertAlign w:val="subscript"/>
        </w:rPr>
        <w:t>k;0,90</w:t>
      </w:r>
      <w:r w:rsidRPr="00FA575F">
        <w:rPr>
          <w:szCs w:val="22"/>
        </w:rPr>
        <w:t xml:space="preserve"> = 1,3</w:t>
      </w:r>
      <w:r w:rsidRPr="009D3012">
        <w:rPr>
          <w:i/>
          <w:szCs w:val="22"/>
        </w:rPr>
        <w:sym w:font="Symbol" w:char="F065"/>
      </w:r>
      <w:r w:rsidRPr="00FA575F">
        <w:rPr>
          <w:rFonts w:ascii="Times New Roman" w:hAnsi="Times New Roman"/>
          <w:i/>
          <w:szCs w:val="22"/>
          <w:vertAlign w:val="subscript"/>
        </w:rPr>
        <w:t> </w:t>
      </w:r>
      <w:r w:rsidRPr="00FA575F">
        <w:rPr>
          <w:szCs w:val="22"/>
        </w:rPr>
        <w:t>(</w:t>
      </w:r>
      <w:r w:rsidRPr="00FA575F">
        <w:rPr>
          <w:i/>
          <w:szCs w:val="22"/>
        </w:rPr>
        <w:t>t,t</w:t>
      </w:r>
      <w:r w:rsidRPr="00FA575F">
        <w:rPr>
          <w:szCs w:val="22"/>
          <w:vertAlign w:val="subscript"/>
        </w:rPr>
        <w:t>s</w:t>
      </w:r>
      <w:r w:rsidRPr="00FA575F">
        <w:rPr>
          <w:szCs w:val="22"/>
        </w:rPr>
        <w:t xml:space="preserve">); </w:t>
      </w:r>
      <w:r w:rsidRPr="009D3012">
        <w:rPr>
          <w:i/>
          <w:szCs w:val="22"/>
        </w:rPr>
        <w:sym w:font="Symbol" w:char="F065"/>
      </w:r>
      <w:r w:rsidRPr="00FA575F">
        <w:rPr>
          <w:szCs w:val="22"/>
          <w:vertAlign w:val="subscript"/>
        </w:rPr>
        <w:t>k;0,95</w:t>
      </w:r>
      <w:r w:rsidRPr="00FA575F">
        <w:rPr>
          <w:szCs w:val="22"/>
        </w:rPr>
        <w:t xml:space="preserve"> = 1,4</w:t>
      </w:r>
      <w:r w:rsidRPr="009D3012">
        <w:rPr>
          <w:i/>
          <w:szCs w:val="22"/>
        </w:rPr>
        <w:sym w:font="Symbol" w:char="F065"/>
      </w:r>
      <w:r w:rsidRPr="00FA575F">
        <w:rPr>
          <w:rFonts w:ascii="Times New Roman" w:hAnsi="Times New Roman"/>
          <w:i/>
          <w:szCs w:val="22"/>
          <w:vertAlign w:val="subscript"/>
        </w:rPr>
        <w:t> </w:t>
      </w:r>
      <w:r w:rsidRPr="00FA575F">
        <w:rPr>
          <w:szCs w:val="22"/>
        </w:rPr>
        <w:t>(</w:t>
      </w:r>
      <w:r w:rsidRPr="00FA575F">
        <w:rPr>
          <w:i/>
          <w:szCs w:val="22"/>
        </w:rPr>
        <w:t>t,t</w:t>
      </w:r>
      <w:r w:rsidRPr="00FA575F">
        <w:rPr>
          <w:szCs w:val="22"/>
          <w:vertAlign w:val="subscript"/>
        </w:rPr>
        <w:t>s</w:t>
      </w:r>
      <w:r w:rsidRPr="00FA575F">
        <w:rPr>
          <w:szCs w:val="22"/>
        </w:rPr>
        <w:t>)</w:t>
      </w:r>
      <w:r w:rsidR="00E305E2" w:rsidRPr="00FA575F">
        <w:rPr>
          <w:szCs w:val="22"/>
        </w:rPr>
        <w:t>,</w:t>
      </w:r>
    </w:p>
    <w:p w14:paraId="42273D42" w14:textId="229B4CEE" w:rsidR="004E22C1" w:rsidRPr="001455DC" w:rsidRDefault="004E22C1" w:rsidP="00415374">
      <w:pPr>
        <w:pStyle w:val="a7"/>
      </w:pPr>
      <w:r w:rsidRPr="001455DC">
        <w:t>gives no satisfactory results with respect to the limit states</w:t>
      </w:r>
      <w:r w:rsidR="001B55B2" w:rsidRPr="001455DC">
        <w:t>;</w:t>
      </w:r>
      <w:r w:rsidRPr="001455DC">
        <w:t xml:space="preserve"> </w:t>
      </w:r>
    </w:p>
    <w:p w14:paraId="7665D2BB" w14:textId="3AE31942" w:rsidR="004E22C1" w:rsidRPr="001455DC" w:rsidRDefault="004E22C1" w:rsidP="00415374">
      <w:pPr>
        <w:pStyle w:val="a0"/>
      </w:pPr>
      <w:r w:rsidRPr="001455DC">
        <w:t>if concrete is used for which the prediction models considered does not apply, see B.</w:t>
      </w:r>
      <w:r w:rsidR="005A7F00" w:rsidRPr="001455DC">
        <w:t>3</w:t>
      </w:r>
      <w:r w:rsidRPr="001455DC">
        <w:t>, NOTE 3;</w:t>
      </w:r>
    </w:p>
    <w:p w14:paraId="3B525442" w14:textId="5D99E09B" w:rsidR="004E22C1" w:rsidRPr="001455DC" w:rsidRDefault="004E22C1" w:rsidP="00415374">
      <w:pPr>
        <w:pStyle w:val="a0"/>
      </w:pPr>
      <w:r w:rsidRPr="001455DC">
        <w:t>the environmental conditions at the structure are not covered by the prediction models given in B.</w:t>
      </w:r>
      <w:r w:rsidR="001A17A7" w:rsidRPr="001455DC">
        <w:t xml:space="preserve">5 </w:t>
      </w:r>
      <w:r w:rsidRPr="001455DC">
        <w:t>and B.</w:t>
      </w:r>
      <w:r w:rsidR="0051522D" w:rsidRPr="001455DC">
        <w:t>6</w:t>
      </w:r>
      <w:r w:rsidRPr="001455DC">
        <w:t>.</w:t>
      </w:r>
    </w:p>
    <w:p w14:paraId="6077396C" w14:textId="77777777" w:rsidR="004E22C1" w:rsidRPr="001455DC" w:rsidRDefault="004E22C1" w:rsidP="00116AE2">
      <w:pPr>
        <w:pStyle w:val="a7"/>
        <w:keepNext/>
      </w:pPr>
      <w:r w:rsidRPr="001455DC">
        <w:t>(3)</w:t>
      </w:r>
      <w:r w:rsidRPr="001455DC">
        <w:tab/>
        <w:t>For the tests, the guidelines given below should be followed:</w:t>
      </w:r>
    </w:p>
    <w:p w14:paraId="58E2CF15" w14:textId="2F466A8C" w:rsidR="004E22C1" w:rsidRPr="001455DC" w:rsidRDefault="004E22C1" w:rsidP="00415374">
      <w:pPr>
        <w:pStyle w:val="a0"/>
        <w:tabs>
          <w:tab w:val="left" w:pos="357"/>
        </w:tabs>
        <w:ind w:left="4536" w:hanging="4536"/>
      </w:pPr>
      <w:r w:rsidRPr="001455DC">
        <w:t>elastic deformation, modulus of elasticity:</w:t>
      </w:r>
      <w:r w:rsidRPr="001455DC">
        <w:tab/>
        <w:t>EN 12390</w:t>
      </w:r>
      <w:r w:rsidRPr="001455DC">
        <w:noBreakHyphen/>
        <w:t>13,</w:t>
      </w:r>
    </w:p>
    <w:p w14:paraId="102F3338" w14:textId="2A8F188F" w:rsidR="004E22C1" w:rsidRPr="001455DC" w:rsidRDefault="004E22C1" w:rsidP="00415374">
      <w:pPr>
        <w:pStyle w:val="a0"/>
        <w:tabs>
          <w:tab w:val="left" w:pos="357"/>
        </w:tabs>
        <w:ind w:left="4536" w:hanging="4536"/>
      </w:pPr>
      <w:r w:rsidRPr="001455DC">
        <w:t>creep:</w:t>
      </w:r>
      <w:r w:rsidRPr="001455DC">
        <w:tab/>
        <w:t>EN 12390</w:t>
      </w:r>
      <w:r w:rsidRPr="001455DC">
        <w:noBreakHyphen/>
        <w:t>15,</w:t>
      </w:r>
    </w:p>
    <w:p w14:paraId="7DCCB5F8" w14:textId="7F4CD2D3" w:rsidR="004E22C1" w:rsidRPr="001455DC" w:rsidRDefault="004E22C1" w:rsidP="00415374">
      <w:pPr>
        <w:pStyle w:val="a0"/>
        <w:tabs>
          <w:tab w:val="left" w:pos="357"/>
        </w:tabs>
        <w:ind w:left="4536" w:hanging="4536"/>
      </w:pPr>
      <w:r w:rsidRPr="001455DC">
        <w:t>shrinkage:</w:t>
      </w:r>
      <w:r w:rsidRPr="001455DC">
        <w:tab/>
        <w:t>EN 12390</w:t>
      </w:r>
      <w:r w:rsidRPr="001455DC">
        <w:noBreakHyphen/>
        <w:t>16.</w:t>
      </w:r>
    </w:p>
    <w:p w14:paraId="316DE800" w14:textId="77777777" w:rsidR="004E22C1" w:rsidRPr="001455DC" w:rsidRDefault="004E22C1" w:rsidP="00415374">
      <w:pPr>
        <w:pStyle w:val="a7"/>
      </w:pPr>
      <w:r w:rsidRPr="001455DC">
        <w:t>(4)</w:t>
      </w:r>
      <w:r w:rsidRPr="001455DC">
        <w:tab/>
        <w:t>For creep and shrinkage tests a minimum duration of loading and drying, respectively, of 3 months shall be kept.</w:t>
      </w:r>
    </w:p>
    <w:p w14:paraId="606A1A0B" w14:textId="77777777" w:rsidR="004E22C1" w:rsidRPr="001455DC" w:rsidRDefault="004E22C1" w:rsidP="00415374">
      <w:pPr>
        <w:pStyle w:val="a7"/>
      </w:pPr>
      <w:r w:rsidRPr="001455DC">
        <w:t>(5)</w:t>
      </w:r>
      <w:r w:rsidRPr="001455DC">
        <w:tab/>
        <w:t>From the test results an adapted creep or shrinkage model is obtained by means of the subsequent procedure.</w:t>
      </w:r>
    </w:p>
    <w:p w14:paraId="1C61CCF3" w14:textId="77777777" w:rsidR="00415374" w:rsidRPr="001455DC" w:rsidRDefault="004E22C1" w:rsidP="00116AE2">
      <w:pPr>
        <w:pStyle w:val="a7"/>
        <w:keepNext/>
      </w:pPr>
      <w:r w:rsidRPr="001455DC">
        <w:t>The creep coefficient should be derived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15374" w:rsidRPr="001455DC" w14:paraId="4A0E4691" w14:textId="77777777" w:rsidTr="00822F09">
        <w:trPr>
          <w:cantSplit/>
        </w:trPr>
        <w:tc>
          <w:tcPr>
            <w:tcW w:w="8505" w:type="dxa"/>
            <w:vAlign w:val="center"/>
          </w:tcPr>
          <w:p w14:paraId="6F004CEF" w14:textId="4C7FA5B8" w:rsidR="00415374" w:rsidRPr="001455DC" w:rsidRDefault="00415374" w:rsidP="00822F09">
            <w:pPr>
              <w:pStyle w:val="Formula"/>
              <w:jc w:val="left"/>
            </w:pPr>
            <m:oMathPara>
              <m:oMathParaPr>
                <m:jc m:val="left"/>
              </m:oMathParaPr>
              <m:oMath>
                <m:r>
                  <w:rPr>
                    <w:rFonts w:ascii="Cambria Math" w:hAnsi="Cambria Math"/>
                  </w:rPr>
                  <m:t>φ</m:t>
                </m:r>
                <m:d>
                  <m:dPr>
                    <m:sepChr m:val=""/>
                    <m:ctrlPr>
                      <w:rPr>
                        <w:rFonts w:ascii="Cambria Math" w:hAnsi="Cambria Math"/>
                      </w:rPr>
                    </m:ctrlPr>
                  </m:dPr>
                  <m:e>
                    <m:r>
                      <w:rPr>
                        <w:rFonts w:ascii="Cambria Math" w:hAnsi="Cambria Math"/>
                      </w:rPr>
                      <m:t>t</m:t>
                    </m:r>
                  </m:e>
                  <m:e>
                    <m:r>
                      <w:rPr>
                        <w:rFonts w:ascii="Cambria Math" w:hAnsi="Cambria Math"/>
                      </w:rPr>
                      <m:t>,</m:t>
                    </m:r>
                  </m:e>
                  <m:e>
                    <m:sSub>
                      <m:sSubPr>
                        <m:ctrlPr>
                          <w:rPr>
                            <w:rFonts w:ascii="Cambria Math" w:hAnsi="Cambria Math"/>
                          </w:rPr>
                        </m:ctrlPr>
                      </m:sSubPr>
                      <m:e>
                        <m:r>
                          <w:rPr>
                            <w:rFonts w:ascii="Cambria Math" w:hAnsi="Cambria Math"/>
                          </w:rPr>
                          <m:t>t</m:t>
                        </m:r>
                      </m:e>
                      <m:sub>
                        <m:r>
                          <w:rPr>
                            <w:rFonts w:ascii="Cambria Math" w:hAnsi="Cambria Math"/>
                          </w:rPr>
                          <m:t>0</m:t>
                        </m:r>
                      </m:sub>
                    </m:sSub>
                  </m:e>
                </m:d>
                <m: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bc1</m:t>
                    </m:r>
                  </m:sub>
                </m:sSub>
                <m:r>
                  <w:rPr>
                    <w:rFonts w:ascii="Cambria Math" w:hAnsi="Cambria Math"/>
                  </w:rPr>
                  <m:t>⋅</m:t>
                </m:r>
                <m:sSub>
                  <m:sSubPr>
                    <m:ctrlPr>
                      <w:rPr>
                        <w:rFonts w:ascii="Cambria Math" w:hAnsi="Cambria Math"/>
                      </w:rPr>
                    </m:ctrlPr>
                  </m:sSubPr>
                  <m:e>
                    <m:r>
                      <w:rPr>
                        <w:rFonts w:ascii="Cambria Math" w:hAnsi="Cambria Math"/>
                      </w:rPr>
                      <m:t>φ</m:t>
                    </m:r>
                  </m:e>
                  <m:sub>
                    <m:r>
                      <m:rPr>
                        <m:sty m:val="p"/>
                      </m:rPr>
                      <w:rPr>
                        <w:rFonts w:ascii="Cambria Math" w:hAnsi="Cambria Math"/>
                      </w:rPr>
                      <m:t>bc</m:t>
                    </m:r>
                  </m:sub>
                </m:sSub>
                <m:d>
                  <m:dPr>
                    <m:sepChr m:val=""/>
                    <m:ctrlPr>
                      <w:rPr>
                        <w:rFonts w:ascii="Cambria Math" w:hAnsi="Cambria Math"/>
                      </w:rPr>
                    </m:ctrlPr>
                  </m:dPr>
                  <m:e>
                    <m:r>
                      <w:rPr>
                        <w:rFonts w:ascii="Cambria Math" w:hAnsi="Cambria Math"/>
                      </w:rPr>
                      <m:t>t</m:t>
                    </m:r>
                  </m:e>
                  <m:e>
                    <m:r>
                      <w:rPr>
                        <w:rFonts w:ascii="Cambria Math" w:hAnsi="Cambria Math"/>
                      </w:rPr>
                      <m:t>,</m:t>
                    </m:r>
                  </m:e>
                  <m:e>
                    <m:sSub>
                      <m:sSubPr>
                        <m:ctrlPr>
                          <w:rPr>
                            <w:rFonts w:ascii="Cambria Math" w:hAnsi="Cambria Math"/>
                          </w:rPr>
                        </m:ctrlPr>
                      </m:sSubPr>
                      <m:e>
                        <m:r>
                          <w:rPr>
                            <w:rFonts w:ascii="Cambria Math" w:hAnsi="Cambria Math"/>
                          </w:rPr>
                          <m:t>t</m:t>
                        </m:r>
                      </m:e>
                      <m:sub>
                        <m:r>
                          <w:rPr>
                            <w:rFonts w:ascii="Cambria Math" w:hAnsi="Cambria Math"/>
                          </w:rPr>
                          <m:t>0</m:t>
                        </m:r>
                      </m:sub>
                    </m:sSub>
                  </m:e>
                </m:d>
                <m: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dc1</m:t>
                    </m:r>
                  </m:sub>
                </m:sSub>
                <m:r>
                  <w:rPr>
                    <w:rFonts w:ascii="Cambria Math" w:hAnsi="Cambria Math"/>
                  </w:rPr>
                  <m:t>⋅</m:t>
                </m:r>
                <m:sSub>
                  <m:sSubPr>
                    <m:ctrlPr>
                      <w:rPr>
                        <w:rFonts w:ascii="Cambria Math" w:hAnsi="Cambria Math"/>
                      </w:rPr>
                    </m:ctrlPr>
                  </m:sSubPr>
                  <m:e>
                    <m:r>
                      <w:rPr>
                        <w:rFonts w:ascii="Cambria Math" w:hAnsi="Cambria Math"/>
                      </w:rPr>
                      <m:t>φ</m:t>
                    </m:r>
                  </m:e>
                  <m:sub>
                    <m:r>
                      <m:rPr>
                        <m:sty m:val="p"/>
                      </m:rPr>
                      <w:rPr>
                        <w:rFonts w:ascii="Cambria Math" w:hAnsi="Cambria Math"/>
                      </w:rPr>
                      <m:t>dc</m:t>
                    </m:r>
                  </m:sub>
                </m:sSub>
                <m:d>
                  <m:dPr>
                    <m:sepChr m:val=""/>
                    <m:ctrlPr>
                      <w:rPr>
                        <w:rFonts w:ascii="Cambria Math" w:hAnsi="Cambria Math"/>
                      </w:rPr>
                    </m:ctrlPr>
                  </m:dPr>
                  <m:e>
                    <m:r>
                      <w:rPr>
                        <w:rFonts w:ascii="Cambria Math" w:hAnsi="Cambria Math"/>
                      </w:rPr>
                      <m:t>t</m:t>
                    </m:r>
                  </m:e>
                  <m:e>
                    <m:r>
                      <w:rPr>
                        <w:rFonts w:ascii="Cambria Math" w:hAnsi="Cambria Math"/>
                      </w:rPr>
                      <m:t>,</m:t>
                    </m:r>
                  </m:e>
                  <m:e>
                    <m:sSub>
                      <m:sSubPr>
                        <m:ctrlPr>
                          <w:rPr>
                            <w:rFonts w:ascii="Cambria Math" w:hAnsi="Cambria Math"/>
                          </w:rPr>
                        </m:ctrlPr>
                      </m:sSubPr>
                      <m:e>
                        <m:r>
                          <w:rPr>
                            <w:rFonts w:ascii="Cambria Math" w:hAnsi="Cambria Math"/>
                          </w:rPr>
                          <m:t>t</m:t>
                        </m:r>
                      </m:e>
                      <m:sub>
                        <m:r>
                          <w:rPr>
                            <w:rFonts w:ascii="Cambria Math" w:hAnsi="Cambria Math"/>
                          </w:rPr>
                          <m:t>0</m:t>
                        </m:r>
                      </m:sub>
                    </m:sSub>
                  </m:e>
                </m:d>
              </m:oMath>
            </m:oMathPara>
          </w:p>
        </w:tc>
        <w:tc>
          <w:tcPr>
            <w:tcW w:w="1247" w:type="dxa"/>
            <w:vAlign w:val="center"/>
          </w:tcPr>
          <w:p w14:paraId="799451AD" w14:textId="6CE79A30" w:rsidR="00415374" w:rsidRPr="001455DC" w:rsidRDefault="00415374" w:rsidP="00822F09">
            <w:pPr>
              <w:pStyle w:val="a7"/>
              <w:jc w:val="right"/>
            </w:pPr>
            <w:r w:rsidRPr="001455DC">
              <w:t>(B.32)</w:t>
            </w:r>
          </w:p>
        </w:tc>
      </w:tr>
    </w:tbl>
    <w:p w14:paraId="519AAAD5" w14:textId="0ED193E1" w:rsidR="00415374" w:rsidRPr="001455DC" w:rsidRDefault="004E22C1" w:rsidP="00116AE2">
      <w:pPr>
        <w:pStyle w:val="a7"/>
        <w:keepNext/>
      </w:pPr>
      <w:r w:rsidRPr="001455DC">
        <w:t>where the adapted time</w:t>
      </w:r>
      <w:r w:rsidR="00F46BA4" w:rsidRPr="001455DC">
        <w:t xml:space="preserve"> </w:t>
      </w:r>
      <w:r w:rsidRPr="001455DC">
        <w:t>development functions (see B.</w:t>
      </w:r>
      <w:r w:rsidR="001A17A7" w:rsidRPr="001455DC">
        <w:t>5</w:t>
      </w:r>
      <w:r w:rsidRPr="001455DC">
        <w:t>) may be obtained from:</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15374" w:rsidRPr="001455DC" w14:paraId="3865D358" w14:textId="77777777" w:rsidTr="00822F09">
        <w:trPr>
          <w:cantSplit/>
        </w:trPr>
        <w:tc>
          <w:tcPr>
            <w:tcW w:w="8505" w:type="dxa"/>
            <w:vAlign w:val="center"/>
          </w:tcPr>
          <w:p w14:paraId="359884D2" w14:textId="0CA40DF9" w:rsidR="00415374" w:rsidRPr="001455DC" w:rsidRDefault="00231E33" w:rsidP="00822F09">
            <w:pPr>
              <w:pStyle w:val="Formula"/>
              <w:jc w:val="left"/>
            </w:pPr>
            <m:oMathPara>
              <m:oMathParaPr>
                <m:jc m:val="left"/>
              </m:oMathParaPr>
              <m:oMath>
                <m:sSub>
                  <m:sSubPr>
                    <m:ctrlPr>
                      <w:rPr>
                        <w:rFonts w:ascii="Cambria Math" w:hAnsi="Cambria Math"/>
                      </w:rPr>
                    </m:ctrlPr>
                  </m:sSubPr>
                  <m:e>
                    <m:r>
                      <w:rPr>
                        <w:rFonts w:ascii="Cambria Math" w:hAnsi="Cambria Math"/>
                      </w:rPr>
                      <m:t>β</m:t>
                    </m:r>
                  </m:e>
                  <m:sub>
                    <m:sSub>
                      <m:sSubPr>
                        <m:ctrlPr>
                          <w:rPr>
                            <w:rFonts w:ascii="Cambria Math" w:hAnsi="Cambria Math"/>
                          </w:rPr>
                        </m:ctrlPr>
                      </m:sSubPr>
                      <m:e>
                        <m:r>
                          <m:rPr>
                            <m:sty m:val="p"/>
                          </m:rPr>
                          <w:rPr>
                            <w:rFonts w:ascii="Cambria Math" w:hAnsi="Cambria Math"/>
                          </w:rPr>
                          <m:t>bc</m:t>
                        </m:r>
                        <m:r>
                          <w:rPr>
                            <w:rFonts w:ascii="Cambria Math" w:hAnsi="Cambria Math"/>
                          </w:rPr>
                          <m:t>,t-t</m:t>
                        </m:r>
                      </m:e>
                      <m:sub>
                        <m:r>
                          <w:rPr>
                            <w:rFonts w:ascii="Cambria Math" w:hAnsi="Cambria Math"/>
                          </w:rPr>
                          <m:t>0</m:t>
                        </m:r>
                      </m:sub>
                    </m:sSub>
                  </m:sub>
                </m:sSub>
                <m:r>
                  <w:rPr>
                    <w:rFonts w:ascii="Cambria Math" w:hAnsi="Cambria Math"/>
                  </w:rPr>
                  <m:t>=</m:t>
                </m:r>
                <m:r>
                  <m:rPr>
                    <m:sty m:val="p"/>
                  </m:rPr>
                  <w:rPr>
                    <w:rFonts w:ascii="Cambria Math" w:hAnsi="Cambria Math"/>
                  </w:rPr>
                  <m:t>ln</m:t>
                </m:r>
                <m:d>
                  <m:dPr>
                    <m:sepChr m:val=""/>
                    <m:ctrlPr>
                      <w:rPr>
                        <w:rFonts w:ascii="Cambria Math" w:hAnsi="Cambria Math"/>
                      </w:rPr>
                    </m:ctrlPr>
                  </m:dPr>
                  <m:e>
                    <m:sSup>
                      <m:sSupPr>
                        <m:ctrlPr>
                          <w:rPr>
                            <w:rFonts w:ascii="Cambria Math" w:hAnsi="Cambria Math"/>
                          </w:rPr>
                        </m:ctrlPr>
                      </m:sSupPr>
                      <m:e>
                        <m:d>
                          <m:dPr>
                            <m:sepChr m:val=""/>
                            <m:ctrlPr>
                              <w:rPr>
                                <w:rFonts w:ascii="Cambria Math" w:hAnsi="Cambria Math"/>
                              </w:rPr>
                            </m:ctrlPr>
                          </m:dPr>
                          <m:e>
                            <m:f>
                              <m:fPr>
                                <m:ctrlPr>
                                  <w:rPr>
                                    <w:rFonts w:ascii="Cambria Math" w:hAnsi="Cambria Math"/>
                                  </w:rPr>
                                </m:ctrlPr>
                              </m:fPr>
                              <m:num>
                                <m:r>
                                  <w:rPr>
                                    <w:rFonts w:ascii="Cambria Math" w:hAnsi="Cambria Math"/>
                                  </w:rPr>
                                  <m:t>30</m:t>
                                </m:r>
                              </m:num>
                              <m:den>
                                <m:sSub>
                                  <m:sSubPr>
                                    <m:ctrlPr>
                                      <w:rPr>
                                        <w:rFonts w:ascii="Cambria Math" w:hAnsi="Cambria Math"/>
                                      </w:rPr>
                                    </m:ctrlPr>
                                  </m:sSubPr>
                                  <m:e>
                                    <m:r>
                                      <w:rPr>
                                        <w:rFonts w:ascii="Cambria Math" w:hAnsi="Cambria Math"/>
                                      </w:rPr>
                                      <m:t>t</m:t>
                                    </m:r>
                                  </m:e>
                                  <m:sub>
                                    <m:r>
                                      <w:rPr>
                                        <w:rFonts w:ascii="Cambria Math" w:hAnsi="Cambria Math"/>
                                      </w:rPr>
                                      <m:t>0,</m:t>
                                    </m:r>
                                    <m:r>
                                      <m:rPr>
                                        <m:sty m:val="p"/>
                                      </m:rPr>
                                      <w:rPr>
                                        <w:rFonts w:ascii="Cambria Math" w:hAnsi="Cambria Math"/>
                                      </w:rPr>
                                      <m:t>adj</m:t>
                                    </m:r>
                                  </m:sub>
                                </m:sSub>
                              </m:den>
                            </m:f>
                          </m:e>
                          <m:e>
                            <m:r>
                              <w:rPr>
                                <w:rFonts w:ascii="Cambria Math" w:hAnsi="Cambria Math"/>
                              </w:rPr>
                              <m:t>+</m:t>
                            </m:r>
                          </m:e>
                          <m:e>
                            <m:r>
                              <w:rPr>
                                <w:rFonts w:ascii="Cambria Math" w:hAnsi="Cambria Math"/>
                              </w:rPr>
                              <m:t>0,035</m:t>
                            </m:r>
                          </m:e>
                        </m:d>
                      </m:e>
                      <m:sup>
                        <m:r>
                          <w:rPr>
                            <w:rFonts w:ascii="Cambria Math" w:hAnsi="Cambria Math"/>
                          </w:rPr>
                          <m:t>2</m:t>
                        </m:r>
                      </m:sup>
                    </m:sSup>
                  </m:e>
                  <m:e>
                    <m:f>
                      <m:fPr>
                        <m:ctrlPr>
                          <w:rPr>
                            <w:rFonts w:ascii="Cambria Math" w:hAnsi="Cambria Math"/>
                          </w:rPr>
                        </m:ctrlPr>
                      </m:fPr>
                      <m:num>
                        <m:d>
                          <m:dPr>
                            <m:sepChr m:val=""/>
                            <m:ctrlPr>
                              <w:rPr>
                                <w:rFonts w:ascii="Cambria Math" w:hAnsi="Cambria Math"/>
                              </w:rPr>
                            </m:ctrlPr>
                          </m:dPr>
                          <m:e>
                            <m:r>
                              <w:rPr>
                                <w:rFonts w:ascii="Cambria Math" w:hAnsi="Cambria Math"/>
                              </w:rPr>
                              <m:t>t</m:t>
                            </m:r>
                          </m:e>
                          <m:e>
                            <m:r>
                              <w:rPr>
                                <w:rFonts w:ascii="Cambria Math" w:hAnsi="Cambria Math"/>
                              </w:rPr>
                              <m:t>-</m:t>
                            </m:r>
                          </m:e>
                          <m:e>
                            <m:sSub>
                              <m:sSubPr>
                                <m:ctrlPr>
                                  <w:rPr>
                                    <w:rFonts w:ascii="Cambria Math" w:hAnsi="Cambria Math"/>
                                  </w:rPr>
                                </m:ctrlPr>
                              </m:sSubPr>
                              <m:e>
                                <m:r>
                                  <w:rPr>
                                    <w:rFonts w:ascii="Cambria Math" w:hAnsi="Cambria Math"/>
                                  </w:rPr>
                                  <m:t>t</m:t>
                                </m:r>
                              </m:e>
                              <m:sub>
                                <m:r>
                                  <w:rPr>
                                    <w:rFonts w:ascii="Cambria Math" w:hAnsi="Cambria Math"/>
                                  </w:rPr>
                                  <m:t>0</m:t>
                                </m:r>
                              </m:sub>
                            </m:sSub>
                          </m:e>
                        </m:d>
                      </m:num>
                      <m:den>
                        <m:sSub>
                          <m:sSubPr>
                            <m:ctrlPr>
                              <w:rPr>
                                <w:rFonts w:ascii="Cambria Math" w:hAnsi="Cambria Math"/>
                              </w:rPr>
                            </m:ctrlPr>
                          </m:sSubPr>
                          <m:e>
                            <m:r>
                              <w:rPr>
                                <w:rFonts w:ascii="Cambria Math" w:hAnsi="Cambria Math"/>
                              </w:rPr>
                              <m:t>ξ</m:t>
                            </m:r>
                          </m:e>
                          <m:sub>
                            <m:r>
                              <m:rPr>
                                <m:sty m:val="p"/>
                              </m:rPr>
                              <w:rPr>
                                <w:rFonts w:ascii="Cambria Math" w:hAnsi="Cambria Math"/>
                              </w:rPr>
                              <m:t>bc2</m:t>
                            </m:r>
                          </m:sub>
                        </m:sSub>
                      </m:den>
                    </m:f>
                    <m:r>
                      <w:rPr>
                        <w:rFonts w:ascii="Cambria Math" w:hAnsi="Cambria Math"/>
                      </w:rPr>
                      <m:t>+1</m:t>
                    </m:r>
                  </m:e>
                </m:d>
              </m:oMath>
            </m:oMathPara>
          </w:p>
        </w:tc>
        <w:tc>
          <w:tcPr>
            <w:tcW w:w="1247" w:type="dxa"/>
            <w:vAlign w:val="center"/>
          </w:tcPr>
          <w:p w14:paraId="372C4528" w14:textId="563F942B" w:rsidR="00415374" w:rsidRPr="001455DC" w:rsidRDefault="00415374" w:rsidP="00822F09">
            <w:pPr>
              <w:pStyle w:val="a7"/>
              <w:jc w:val="right"/>
            </w:pPr>
            <w:r w:rsidRPr="001455DC">
              <w:t>(B.33)</w:t>
            </w:r>
          </w:p>
        </w:tc>
      </w:tr>
      <w:tr w:rsidR="00415374" w:rsidRPr="001455DC" w14:paraId="02CE458C" w14:textId="77777777" w:rsidTr="00822F09">
        <w:trPr>
          <w:cantSplit/>
        </w:trPr>
        <w:tc>
          <w:tcPr>
            <w:tcW w:w="8505" w:type="dxa"/>
            <w:vAlign w:val="center"/>
          </w:tcPr>
          <w:p w14:paraId="2EB169E8" w14:textId="0D146170" w:rsidR="00415374" w:rsidRPr="001455DC" w:rsidRDefault="00231E33" w:rsidP="00822F09">
            <w:pPr>
              <w:pStyle w:val="Formula"/>
              <w:jc w:val="left"/>
            </w:pPr>
            <m:oMathPara>
              <m:oMathParaPr>
                <m:jc m:val="left"/>
              </m:oMathParaPr>
              <m:oMath>
                <m:sSub>
                  <m:sSubPr>
                    <m:ctrlPr>
                      <w:rPr>
                        <w:rFonts w:ascii="Cambria Math" w:hAnsi="Cambria Math"/>
                      </w:rPr>
                    </m:ctrlPr>
                  </m:sSubPr>
                  <m:e>
                    <m:r>
                      <w:rPr>
                        <w:rFonts w:ascii="Cambria Math" w:hAnsi="Cambria Math"/>
                      </w:rPr>
                      <m:t>β</m:t>
                    </m:r>
                  </m:e>
                  <m:sub>
                    <m:sSub>
                      <m:sSubPr>
                        <m:ctrlPr>
                          <w:rPr>
                            <w:rFonts w:ascii="Cambria Math" w:hAnsi="Cambria Math"/>
                          </w:rPr>
                        </m:ctrlPr>
                      </m:sSubPr>
                      <m:e>
                        <m:r>
                          <m:rPr>
                            <m:sty m:val="p"/>
                          </m:rPr>
                          <w:rPr>
                            <w:rFonts w:ascii="Cambria Math" w:hAnsi="Cambria Math"/>
                          </w:rPr>
                          <m:t>dc</m:t>
                        </m:r>
                        <m:r>
                          <w:rPr>
                            <w:rFonts w:ascii="Cambria Math" w:hAnsi="Cambria Math"/>
                          </w:rPr>
                          <m:t>,t-t</m:t>
                        </m:r>
                      </m:e>
                      <m:sub>
                        <m:r>
                          <w:rPr>
                            <w:rFonts w:ascii="Cambria Math" w:hAnsi="Cambria Math"/>
                          </w:rPr>
                          <m:t>0</m:t>
                        </m:r>
                      </m:sub>
                    </m:sSub>
                  </m:sub>
                </m:sSub>
                <m:r>
                  <w:rPr>
                    <w:rFonts w:ascii="Cambria Math" w:hAnsi="Cambria Math"/>
                  </w:rPr>
                  <m:t>=</m:t>
                </m:r>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d>
                              <m:dPr>
                                <m:ctrlPr>
                                  <w:rPr>
                                    <w:rFonts w:ascii="Cambria Math" w:hAnsi="Cambria Math"/>
                                  </w:rPr>
                                </m:ctrlPr>
                              </m:dPr>
                              <m:e>
                                <m:r>
                                  <w:rPr>
                                    <w:rFonts w:ascii="Cambria Math" w:hAnsi="Cambria Math"/>
                                  </w:rPr>
                                  <m:t>t-</m:t>
                                </m:r>
                                <m:sSub>
                                  <m:sSubPr>
                                    <m:ctrlPr>
                                      <w:rPr>
                                        <w:rFonts w:ascii="Cambria Math" w:hAnsi="Cambria Math"/>
                                      </w:rPr>
                                    </m:ctrlPr>
                                  </m:sSubPr>
                                  <m:e>
                                    <m:r>
                                      <w:rPr>
                                        <w:rFonts w:ascii="Cambria Math" w:hAnsi="Cambria Math"/>
                                      </w:rPr>
                                      <m:t>t</m:t>
                                    </m:r>
                                  </m:e>
                                  <m:sub>
                                    <m:r>
                                      <w:rPr>
                                        <w:rFonts w:ascii="Cambria Math" w:hAnsi="Cambria Math"/>
                                      </w:rPr>
                                      <m:t>0</m:t>
                                    </m:r>
                                  </m:sub>
                                </m:sSub>
                              </m:e>
                            </m:d>
                          </m:num>
                          <m:den>
                            <m:sSub>
                              <m:sSubPr>
                                <m:ctrlPr>
                                  <w:rPr>
                                    <w:rFonts w:ascii="Cambria Math" w:hAnsi="Cambria Math"/>
                                  </w:rPr>
                                </m:ctrlPr>
                              </m:sSubPr>
                              <m:e>
                                <m:r>
                                  <w:rPr>
                                    <w:rFonts w:ascii="Cambria Math" w:hAnsi="Cambria Math"/>
                                  </w:rPr>
                                  <m:t>β</m:t>
                                </m:r>
                              </m:e>
                              <m:sub>
                                <m:r>
                                  <m:rPr>
                                    <m:sty m:val="p"/>
                                  </m:rPr>
                                  <w:rPr>
                                    <w:rFonts w:ascii="Cambria Math" w:hAnsi="Cambria Math"/>
                                  </w:rPr>
                                  <m:t>h</m:t>
                                </m:r>
                              </m:sub>
                            </m:sSub>
                            <m:sSub>
                              <m:sSubPr>
                                <m:ctrlPr>
                                  <w:rPr>
                                    <w:rFonts w:ascii="Cambria Math" w:hAnsi="Cambria Math"/>
                                  </w:rPr>
                                </m:ctrlPr>
                              </m:sSubPr>
                              <m:e>
                                <m:r>
                                  <w:rPr>
                                    <w:rFonts w:ascii="Cambria Math" w:hAnsi="Cambria Math"/>
                                  </w:rPr>
                                  <m:t>ξ</m:t>
                                </m:r>
                              </m:e>
                              <m:sub>
                                <m:r>
                                  <m:rPr>
                                    <m:sty m:val="p"/>
                                  </m:rPr>
                                  <w:rPr>
                                    <w:rFonts w:ascii="Cambria Math" w:hAnsi="Cambria Math"/>
                                  </w:rPr>
                                  <m:t>dc</m:t>
                                </m:r>
                                <m:r>
                                  <w:rPr>
                                    <w:rFonts w:ascii="Cambria Math" w:hAnsi="Cambria Math"/>
                                  </w:rPr>
                                  <m:t>2</m:t>
                                </m:r>
                              </m:sub>
                            </m:sSub>
                            <m:r>
                              <w:rPr>
                                <w:rFonts w:ascii="Cambria Math" w:hAnsi="Cambria Math"/>
                              </w:rPr>
                              <m:t>+</m:t>
                            </m:r>
                            <m:d>
                              <m:dPr>
                                <m:ctrlPr>
                                  <w:rPr>
                                    <w:rFonts w:ascii="Cambria Math" w:hAnsi="Cambria Math"/>
                                  </w:rPr>
                                </m:ctrlPr>
                              </m:dPr>
                              <m:e>
                                <m:r>
                                  <w:rPr>
                                    <w:rFonts w:ascii="Cambria Math" w:hAnsi="Cambria Math"/>
                                  </w:rPr>
                                  <m:t>t-</m:t>
                                </m:r>
                                <m:sSub>
                                  <m:sSubPr>
                                    <m:ctrlPr>
                                      <w:rPr>
                                        <w:rFonts w:ascii="Cambria Math" w:hAnsi="Cambria Math"/>
                                      </w:rPr>
                                    </m:ctrlPr>
                                  </m:sSubPr>
                                  <m:e>
                                    <m:r>
                                      <w:rPr>
                                        <w:rFonts w:ascii="Cambria Math" w:hAnsi="Cambria Math"/>
                                      </w:rPr>
                                      <m:t>t</m:t>
                                    </m:r>
                                  </m:e>
                                  <m:sub>
                                    <m:r>
                                      <w:rPr>
                                        <w:rFonts w:ascii="Cambria Math" w:hAnsi="Cambria Math"/>
                                      </w:rPr>
                                      <m:t>0</m:t>
                                    </m:r>
                                  </m:sub>
                                </m:sSub>
                              </m:e>
                            </m:d>
                          </m:den>
                        </m:f>
                      </m:e>
                    </m:d>
                  </m:e>
                  <m:sup>
                    <m:r>
                      <w:rPr>
                        <w:rFonts w:ascii="Cambria Math" w:hAnsi="Cambria Math"/>
                      </w:rPr>
                      <m:t>γ</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0,</m:t>
                            </m:r>
                            <m:r>
                              <m:rPr>
                                <m:sty m:val="p"/>
                              </m:rPr>
                              <w:rPr>
                                <w:rFonts w:ascii="Cambria Math" w:hAnsi="Cambria Math"/>
                              </w:rPr>
                              <m:t>adj</m:t>
                            </m:r>
                          </m:sub>
                        </m:sSub>
                      </m:e>
                    </m:d>
                  </m:sup>
                </m:sSup>
              </m:oMath>
            </m:oMathPara>
          </w:p>
        </w:tc>
        <w:tc>
          <w:tcPr>
            <w:tcW w:w="1247" w:type="dxa"/>
            <w:vAlign w:val="center"/>
          </w:tcPr>
          <w:p w14:paraId="6738A2E6" w14:textId="530343B2" w:rsidR="00415374" w:rsidRPr="001455DC" w:rsidRDefault="00415374" w:rsidP="00822F09">
            <w:pPr>
              <w:pStyle w:val="a7"/>
              <w:jc w:val="right"/>
            </w:pPr>
            <w:r w:rsidRPr="001455DC">
              <w:t>(B.34)</w:t>
            </w:r>
          </w:p>
        </w:tc>
      </w:tr>
    </w:tbl>
    <w:p w14:paraId="1BC5E839" w14:textId="77777777" w:rsidR="00415374" w:rsidRPr="001455DC" w:rsidRDefault="004E22C1" w:rsidP="00116AE2">
      <w:pPr>
        <w:pStyle w:val="a7"/>
        <w:keepNext/>
      </w:pPr>
      <w:r w:rsidRPr="001455DC">
        <w:t>The shrinkage strain should be derived from:</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15374" w:rsidRPr="001455DC" w14:paraId="5671C116" w14:textId="77777777" w:rsidTr="00822F09">
        <w:trPr>
          <w:cantSplit/>
        </w:trPr>
        <w:tc>
          <w:tcPr>
            <w:tcW w:w="8505" w:type="dxa"/>
            <w:vAlign w:val="center"/>
          </w:tcPr>
          <w:p w14:paraId="126AA163" w14:textId="5193C654" w:rsidR="00415374" w:rsidRPr="001455DC" w:rsidRDefault="00231E33" w:rsidP="00822F09">
            <w:pPr>
              <w:pStyle w:val="Formula"/>
              <w:jc w:val="left"/>
            </w:pPr>
            <m:oMathPara>
              <m:oMathParaPr>
                <m:jc m:val="left"/>
              </m:oMathParaPr>
              <m:oMath>
                <m:sSub>
                  <m:sSubPr>
                    <m:ctrlPr>
                      <w:rPr>
                        <w:rFonts w:ascii="Cambria Math" w:hAnsi="Cambria Math"/>
                      </w:rPr>
                    </m:ctrlPr>
                  </m:sSubPr>
                  <m:e>
                    <m:r>
                      <w:rPr>
                        <w:rFonts w:ascii="Cambria Math" w:hAnsi="Cambria Math"/>
                      </w:rPr>
                      <m:t>ε</m:t>
                    </m:r>
                  </m:e>
                  <m:sub>
                    <m:r>
                      <m:rPr>
                        <m:sty m:val="p"/>
                      </m:rPr>
                      <w:rPr>
                        <w:rFonts w:ascii="Cambria Math" w:hAnsi="Cambria Math"/>
                      </w:rPr>
                      <m:t>cs</m:t>
                    </m:r>
                  </m:sub>
                </m:sSub>
                <m:d>
                  <m:dPr>
                    <m:sepChr m:val=""/>
                    <m:ctrlPr>
                      <w:rPr>
                        <w:rFonts w:ascii="Cambria Math" w:hAnsi="Cambria Math"/>
                      </w:rPr>
                    </m:ctrlPr>
                  </m:dPr>
                  <m:e>
                    <m:r>
                      <w:rPr>
                        <w:rFonts w:ascii="Cambria Math" w:hAnsi="Cambria Math"/>
                      </w:rPr>
                      <m:t>t</m:t>
                    </m:r>
                  </m:e>
                  <m:e>
                    <m:r>
                      <w:rPr>
                        <w:rFonts w:ascii="Cambria Math" w:hAnsi="Cambria Math"/>
                      </w:rPr>
                      <m:t>,</m:t>
                    </m:r>
                  </m:e>
                  <m:e>
                    <m:sSub>
                      <m:sSubPr>
                        <m:ctrlPr>
                          <w:rPr>
                            <w:rFonts w:ascii="Cambria Math" w:hAnsi="Cambria Math"/>
                          </w:rPr>
                        </m:ctrlPr>
                      </m:sSubPr>
                      <m:e>
                        <m:r>
                          <w:rPr>
                            <w:rFonts w:ascii="Cambria Math" w:hAnsi="Cambria Math"/>
                          </w:rPr>
                          <m:t>t</m:t>
                        </m:r>
                      </m:e>
                      <m:sub>
                        <m:r>
                          <m:rPr>
                            <m:sty m:val="p"/>
                          </m:rPr>
                          <w:rPr>
                            <w:rFonts w:ascii="Cambria Math" w:hAnsi="Cambria Math"/>
                          </w:rPr>
                          <m:t>s</m:t>
                        </m:r>
                      </m:sub>
                    </m:sSub>
                  </m:e>
                </m:d>
                <m: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bs1</m:t>
                    </m:r>
                  </m:sub>
                </m:sSub>
                <m:r>
                  <w:rPr>
                    <w:rFonts w:ascii="Cambria Math" w:hAnsi="Cambria Math"/>
                  </w:rPr>
                  <m:t>⋅</m:t>
                </m:r>
                <m:sSub>
                  <m:sSubPr>
                    <m:ctrlPr>
                      <w:rPr>
                        <w:rFonts w:ascii="Cambria Math" w:hAnsi="Cambria Math"/>
                      </w:rPr>
                    </m:ctrlPr>
                  </m:sSubPr>
                  <m:e>
                    <m:r>
                      <w:rPr>
                        <w:rFonts w:ascii="Cambria Math" w:hAnsi="Cambria Math"/>
                      </w:rPr>
                      <m:t>ε</m:t>
                    </m:r>
                  </m:e>
                  <m:sub>
                    <m:r>
                      <m:rPr>
                        <m:sty m:val="p"/>
                      </m:rPr>
                      <w:rPr>
                        <w:rFonts w:ascii="Cambria Math" w:hAnsi="Cambria Math"/>
                      </w:rPr>
                      <m:t>cbs</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r>
                      <w:rPr>
                        <w:rFonts w:ascii="Cambria Math" w:hAnsi="Cambria Math"/>
                      </w:rPr>
                      <m:t>ξ</m:t>
                    </m:r>
                  </m:e>
                  <m:sub>
                    <m:r>
                      <m:rPr>
                        <m:sty m:val="p"/>
                      </m:rPr>
                      <w:rPr>
                        <w:rFonts w:ascii="Cambria Math" w:hAnsi="Cambria Math"/>
                      </w:rPr>
                      <m:t>ds1</m:t>
                    </m:r>
                  </m:sub>
                </m:sSub>
                <m:r>
                  <w:rPr>
                    <w:rFonts w:ascii="Cambria Math" w:hAnsi="Cambria Math"/>
                  </w:rPr>
                  <m:t>⋅</m:t>
                </m:r>
                <m:sSub>
                  <m:sSubPr>
                    <m:ctrlPr>
                      <w:rPr>
                        <w:rFonts w:ascii="Cambria Math" w:hAnsi="Cambria Math"/>
                      </w:rPr>
                    </m:ctrlPr>
                  </m:sSubPr>
                  <m:e>
                    <m:r>
                      <w:rPr>
                        <w:rFonts w:ascii="Cambria Math" w:hAnsi="Cambria Math"/>
                      </w:rPr>
                      <m:t>ε</m:t>
                    </m:r>
                  </m:e>
                  <m:sub>
                    <m:r>
                      <m:rPr>
                        <m:sty m:val="p"/>
                      </m:rPr>
                      <w:rPr>
                        <w:rFonts w:ascii="Cambria Math" w:hAnsi="Cambria Math"/>
                      </w:rPr>
                      <m:t>cds</m:t>
                    </m:r>
                  </m:sub>
                </m:sSub>
                <m:d>
                  <m:dPr>
                    <m:ctrlPr>
                      <w:rPr>
                        <w:rFonts w:ascii="Cambria Math" w:hAnsi="Cambria Math"/>
                      </w:rPr>
                    </m:ctrlPr>
                  </m:dPr>
                  <m:e>
                    <m:r>
                      <w:rPr>
                        <w:rFonts w:ascii="Cambria Math" w:hAnsi="Cambria Math"/>
                      </w:rPr>
                      <m:t>t-</m:t>
                    </m:r>
                    <m:sSub>
                      <m:sSubPr>
                        <m:ctrlPr>
                          <w:rPr>
                            <w:rFonts w:ascii="Cambria Math" w:hAnsi="Cambria Math"/>
                          </w:rPr>
                        </m:ctrlPr>
                      </m:sSubPr>
                      <m:e>
                        <m:r>
                          <w:rPr>
                            <w:rFonts w:ascii="Cambria Math" w:hAnsi="Cambria Math"/>
                          </w:rPr>
                          <m:t>t</m:t>
                        </m:r>
                      </m:e>
                      <m:sub>
                        <m:r>
                          <w:rPr>
                            <w:rFonts w:ascii="Cambria Math" w:hAnsi="Cambria Math"/>
                          </w:rPr>
                          <m:t>s</m:t>
                        </m:r>
                      </m:sub>
                    </m:sSub>
                  </m:e>
                </m:d>
              </m:oMath>
            </m:oMathPara>
          </w:p>
        </w:tc>
        <w:tc>
          <w:tcPr>
            <w:tcW w:w="1247" w:type="dxa"/>
            <w:vAlign w:val="center"/>
          </w:tcPr>
          <w:p w14:paraId="1FBDFBCE" w14:textId="2B9A95AF" w:rsidR="00415374" w:rsidRPr="001455DC" w:rsidRDefault="00415374" w:rsidP="00822F09">
            <w:pPr>
              <w:pStyle w:val="a7"/>
              <w:jc w:val="right"/>
            </w:pPr>
            <w:r w:rsidRPr="001455DC">
              <w:t>(B.35)</w:t>
            </w:r>
          </w:p>
        </w:tc>
      </w:tr>
    </w:tbl>
    <w:p w14:paraId="742B2594" w14:textId="68A5111D" w:rsidR="00415374" w:rsidRPr="001455DC" w:rsidRDefault="004E22C1" w:rsidP="00116AE2">
      <w:pPr>
        <w:pStyle w:val="a7"/>
        <w:keepNext/>
      </w:pPr>
      <w:r w:rsidRPr="001455DC">
        <w:t>where the adapted time</w:t>
      </w:r>
      <w:r w:rsidR="00F46BA4" w:rsidRPr="001455DC">
        <w:t xml:space="preserve"> </w:t>
      </w:r>
      <w:r w:rsidRPr="001455DC">
        <w:t>development functions (see B.</w:t>
      </w:r>
      <w:r w:rsidR="0051522D" w:rsidRPr="001455DC">
        <w:t>6</w:t>
      </w:r>
      <w:r w:rsidRPr="001455DC">
        <w:t>) result from:</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15374" w:rsidRPr="001455DC" w14:paraId="73C47173" w14:textId="77777777" w:rsidTr="00822F09">
        <w:trPr>
          <w:cantSplit/>
        </w:trPr>
        <w:tc>
          <w:tcPr>
            <w:tcW w:w="8505" w:type="dxa"/>
            <w:vAlign w:val="center"/>
          </w:tcPr>
          <w:p w14:paraId="364D8BCA" w14:textId="37B835C0" w:rsidR="00415374" w:rsidRPr="001455DC" w:rsidRDefault="00231E33">
            <w:pPr>
              <w:pStyle w:val="Formula"/>
              <w:jc w:val="left"/>
            </w:pPr>
            <m:oMathPara>
              <m:oMathParaPr>
                <m:jc m:val="left"/>
              </m:oMathParaPr>
              <m:oMath>
                <m:sSub>
                  <m:sSubPr>
                    <m:ctrlPr>
                      <w:rPr>
                        <w:rFonts w:ascii="Cambria Math" w:hAnsi="Cambria Math"/>
                      </w:rPr>
                    </m:ctrlPr>
                  </m:sSubPr>
                  <m:e>
                    <m:r>
                      <w:rPr>
                        <w:rFonts w:ascii="Cambria Math" w:hAnsi="Cambria Math"/>
                      </w:rPr>
                      <m:t>β</m:t>
                    </m:r>
                  </m:e>
                  <m:sub>
                    <m:r>
                      <m:rPr>
                        <m:sty m:val="p"/>
                      </m:rPr>
                      <w:rPr>
                        <w:rFonts w:ascii="Cambria Math" w:hAnsi="Cambria Math"/>
                      </w:rPr>
                      <m:t>bs,t</m:t>
                    </m:r>
                  </m:sub>
                </m:sSub>
                <m:r>
                  <w:rPr>
                    <w:rFonts w:ascii="Cambria Math" w:hAnsi="Cambria Math"/>
                  </w:rPr>
                  <m:t>=1-</m:t>
                </m:r>
                <m:sSup>
                  <m:sSupPr>
                    <m:ctrlPr>
                      <w:rPr>
                        <w:rFonts w:ascii="Cambria Math" w:hAnsi="Cambria Math"/>
                      </w:rPr>
                    </m:ctrlPr>
                  </m:sSupPr>
                  <m:e>
                    <m:r>
                      <m:rPr>
                        <m:sty m:val="p"/>
                      </m:rPr>
                      <w:rPr>
                        <w:rFonts w:ascii="Cambria Math" w:hAnsi="Cambria Math"/>
                      </w:rPr>
                      <m:t>exp</m:t>
                    </m:r>
                    <m:d>
                      <m:dPr>
                        <m:ctrlPr>
                          <w:rPr>
                            <w:rFonts w:ascii="Cambria Math" w:hAnsi="Cambria Math"/>
                            <w:i/>
                          </w:rPr>
                        </m:ctrlPr>
                      </m:dPr>
                      <m:e>
                        <m:r>
                          <w:rPr>
                            <w:rFonts w:ascii="Cambria Math" w:hAnsi="Cambria Math"/>
                          </w:rPr>
                          <m:t>-0,2</m:t>
                        </m:r>
                        <m:sSub>
                          <m:sSubPr>
                            <m:ctrlPr>
                              <w:rPr>
                                <w:rFonts w:ascii="Cambria Math" w:hAnsi="Cambria Math"/>
                              </w:rPr>
                            </m:ctrlPr>
                          </m:sSubPr>
                          <m:e>
                            <m:r>
                              <w:rPr>
                                <w:rFonts w:ascii="Cambria Math" w:hAnsi="Cambria Math"/>
                              </w:rPr>
                              <m:t>ξ</m:t>
                            </m:r>
                          </m:e>
                          <m:sub>
                            <m:r>
                              <m:rPr>
                                <m:sty m:val="p"/>
                              </m:rPr>
                              <w:rPr>
                                <w:rFonts w:ascii="Cambria Math" w:hAnsi="Cambria Math"/>
                              </w:rPr>
                              <m:t>bs2</m:t>
                            </m:r>
                          </m:sub>
                        </m:sSub>
                        <m:rad>
                          <m:radPr>
                            <m:degHide m:val="1"/>
                            <m:ctrlPr>
                              <w:rPr>
                                <w:rFonts w:ascii="Cambria Math" w:hAnsi="Cambria Math"/>
                              </w:rPr>
                            </m:ctrlPr>
                          </m:radPr>
                          <m:deg/>
                          <m:e>
                            <m:r>
                              <w:rPr>
                                <w:rFonts w:ascii="Cambria Math" w:hAnsi="Cambria Math"/>
                              </w:rPr>
                              <m:t>t</m:t>
                            </m:r>
                          </m:e>
                        </m:rad>
                      </m:e>
                    </m:d>
                  </m:e>
                  <m:sup/>
                </m:sSup>
              </m:oMath>
            </m:oMathPara>
          </w:p>
        </w:tc>
        <w:tc>
          <w:tcPr>
            <w:tcW w:w="1247" w:type="dxa"/>
            <w:vAlign w:val="center"/>
          </w:tcPr>
          <w:p w14:paraId="57F882F2" w14:textId="62C1A939" w:rsidR="00415374" w:rsidRPr="001455DC" w:rsidRDefault="00415374" w:rsidP="00822F09">
            <w:pPr>
              <w:pStyle w:val="a7"/>
              <w:jc w:val="right"/>
            </w:pPr>
            <w:r w:rsidRPr="001455DC">
              <w:t>(B.36)</w:t>
            </w:r>
          </w:p>
        </w:tc>
      </w:tr>
      <w:tr w:rsidR="00415374" w:rsidRPr="001455DC" w14:paraId="53FFB671" w14:textId="77777777" w:rsidTr="00822F09">
        <w:trPr>
          <w:cantSplit/>
        </w:trPr>
        <w:tc>
          <w:tcPr>
            <w:tcW w:w="8505" w:type="dxa"/>
            <w:vAlign w:val="center"/>
          </w:tcPr>
          <w:p w14:paraId="635593B8" w14:textId="2B3509E9" w:rsidR="00415374" w:rsidRPr="001455DC" w:rsidRDefault="00231E33" w:rsidP="00822F09">
            <w:pPr>
              <w:pStyle w:val="Formula"/>
              <w:jc w:val="left"/>
            </w:pPr>
            <m:oMathPara>
              <m:oMathParaPr>
                <m:jc m:val="left"/>
              </m:oMathParaPr>
              <m:oMath>
                <m:sSub>
                  <m:sSubPr>
                    <m:ctrlPr>
                      <w:rPr>
                        <w:rFonts w:ascii="Cambria Math" w:hAnsi="Cambria Math"/>
                      </w:rPr>
                    </m:ctrlPr>
                  </m:sSubPr>
                  <m:e>
                    <m:r>
                      <w:rPr>
                        <w:rFonts w:ascii="Cambria Math" w:hAnsi="Cambria Math"/>
                      </w:rPr>
                      <m:t>β</m:t>
                    </m:r>
                  </m:e>
                  <m:sub>
                    <m:sSub>
                      <m:sSubPr>
                        <m:ctrlPr>
                          <w:rPr>
                            <w:rFonts w:ascii="Cambria Math" w:hAnsi="Cambria Math"/>
                          </w:rPr>
                        </m:ctrlPr>
                      </m:sSubPr>
                      <m:e>
                        <m:r>
                          <m:rPr>
                            <m:sty m:val="p"/>
                          </m:rPr>
                          <w:rPr>
                            <w:rFonts w:ascii="Cambria Math" w:hAnsi="Cambria Math"/>
                          </w:rPr>
                          <m:t>ds</m:t>
                        </m:r>
                        <m:r>
                          <w:rPr>
                            <w:rFonts w:ascii="Cambria Math" w:hAnsi="Cambria Math"/>
                          </w:rPr>
                          <m:t>,t-t</m:t>
                        </m:r>
                      </m:e>
                      <m:sub>
                        <m:r>
                          <w:rPr>
                            <w:rFonts w:ascii="Cambria Math" w:hAnsi="Cambria Math"/>
                          </w:rPr>
                          <m:t>s</m:t>
                        </m:r>
                      </m:sub>
                    </m:sSub>
                  </m:sub>
                </m:sSub>
                <m:r>
                  <w:rPr>
                    <w:rFonts w:ascii="Cambria Math" w:hAnsi="Cambria Math"/>
                  </w:rPr>
                  <m:t>=</m:t>
                </m:r>
                <m:rad>
                  <m:radPr>
                    <m:degHide m:val="1"/>
                    <m:ctrlPr>
                      <w:rPr>
                        <w:rFonts w:ascii="Cambria Math" w:hAnsi="Cambria Math"/>
                      </w:rPr>
                    </m:ctrlPr>
                  </m:radPr>
                  <m:deg/>
                  <m:e>
                    <m:f>
                      <m:fPr>
                        <m:ctrlPr>
                          <w:rPr>
                            <w:rFonts w:ascii="Cambria Math" w:hAnsi="Cambria Math"/>
                          </w:rPr>
                        </m:ctrlPr>
                      </m:fPr>
                      <m:num>
                        <m:d>
                          <m:dPr>
                            <m:ctrlPr>
                              <w:rPr>
                                <w:rFonts w:ascii="Cambria Math" w:hAnsi="Cambria Math"/>
                              </w:rPr>
                            </m:ctrlPr>
                          </m:dPr>
                          <m:e>
                            <m:r>
                              <w:rPr>
                                <w:rFonts w:ascii="Cambria Math" w:hAnsi="Cambria Math"/>
                              </w:rPr>
                              <m:t>t-</m:t>
                            </m:r>
                            <m:sSub>
                              <m:sSubPr>
                                <m:ctrlPr>
                                  <w:rPr>
                                    <w:rFonts w:ascii="Cambria Math" w:hAnsi="Cambria Math"/>
                                  </w:rPr>
                                </m:ctrlPr>
                              </m:sSubPr>
                              <m:e>
                                <m:r>
                                  <w:rPr>
                                    <w:rFonts w:ascii="Cambria Math" w:hAnsi="Cambria Math"/>
                                  </w:rPr>
                                  <m:t>t</m:t>
                                </m:r>
                              </m:e>
                              <m:sub>
                                <m:r>
                                  <w:rPr>
                                    <w:rFonts w:ascii="Cambria Math" w:hAnsi="Cambria Math"/>
                                  </w:rPr>
                                  <m:t>s</m:t>
                                </m:r>
                              </m:sub>
                            </m:sSub>
                          </m:e>
                        </m:d>
                      </m:num>
                      <m:den>
                        <m:r>
                          <w:rPr>
                            <w:rFonts w:ascii="Cambria Math" w:hAnsi="Cambria Math"/>
                          </w:rPr>
                          <m:t>0,035</m:t>
                        </m:r>
                        <m:sSub>
                          <m:sSubPr>
                            <m:ctrlPr>
                              <w:rPr>
                                <w:rFonts w:ascii="Cambria Math" w:hAnsi="Cambria Math"/>
                              </w:rPr>
                            </m:ctrlPr>
                          </m:sSubPr>
                          <m:e>
                            <m:r>
                              <w:rPr>
                                <w:rFonts w:ascii="Cambria Math" w:hAnsi="Cambria Math"/>
                              </w:rPr>
                              <m:t>ξ</m:t>
                            </m:r>
                          </m:e>
                          <m:sub>
                            <m:r>
                              <m:rPr>
                                <m:sty m:val="p"/>
                              </m:rPr>
                              <w:rPr>
                                <w:rFonts w:ascii="Cambria Math" w:hAnsi="Cambria Math"/>
                              </w:rPr>
                              <m:t>ds2</m:t>
                            </m:r>
                          </m:sub>
                        </m:sSub>
                        <m:r>
                          <w:rPr>
                            <w:rFonts w:ascii="Cambria Math" w:hAnsi="Cambria Math"/>
                          </w:rPr>
                          <m:t>⋅</m:t>
                        </m:r>
                        <m:sSubSup>
                          <m:sSubSupPr>
                            <m:ctrlPr>
                              <w:rPr>
                                <w:rFonts w:ascii="Cambria Math" w:hAnsi="Cambria Math"/>
                              </w:rPr>
                            </m:ctrlPr>
                          </m:sSubSupPr>
                          <m:e>
                            <m:r>
                              <w:rPr>
                                <w:rFonts w:ascii="Cambria Math" w:hAnsi="Cambria Math"/>
                              </w:rPr>
                              <m:t>h</m:t>
                            </m:r>
                          </m:e>
                          <m:sub>
                            <m:r>
                              <m:rPr>
                                <m:sty m:val="p"/>
                              </m:rPr>
                              <w:rPr>
                                <w:rFonts w:ascii="Cambria Math" w:hAnsi="Cambria Math"/>
                              </w:rPr>
                              <m:t>n</m:t>
                            </m:r>
                          </m:sub>
                          <m:sup>
                            <m:r>
                              <w:rPr>
                                <w:rFonts w:ascii="Cambria Math" w:hAnsi="Cambria Math"/>
                              </w:rPr>
                              <m:t>2</m:t>
                            </m:r>
                          </m:sup>
                        </m:sSubSup>
                        <m:r>
                          <w:rPr>
                            <w:rFonts w:ascii="Cambria Math" w:hAnsi="Cambria Math"/>
                          </w:rPr>
                          <m:t>+</m:t>
                        </m:r>
                        <m:d>
                          <m:dPr>
                            <m:ctrlPr>
                              <w:rPr>
                                <w:rFonts w:ascii="Cambria Math" w:hAnsi="Cambria Math"/>
                              </w:rPr>
                            </m:ctrlPr>
                          </m:dPr>
                          <m:e>
                            <m:r>
                              <w:rPr>
                                <w:rFonts w:ascii="Cambria Math" w:hAnsi="Cambria Math"/>
                              </w:rPr>
                              <m:t>t-</m:t>
                            </m:r>
                            <m:sSub>
                              <m:sSubPr>
                                <m:ctrlPr>
                                  <w:rPr>
                                    <w:rFonts w:ascii="Cambria Math" w:hAnsi="Cambria Math"/>
                                  </w:rPr>
                                </m:ctrlPr>
                              </m:sSubPr>
                              <m:e>
                                <m:r>
                                  <w:rPr>
                                    <w:rFonts w:ascii="Cambria Math" w:hAnsi="Cambria Math"/>
                                  </w:rPr>
                                  <m:t>t</m:t>
                                </m:r>
                              </m:e>
                              <m:sub>
                                <m:r>
                                  <m:rPr>
                                    <m:sty m:val="p"/>
                                  </m:rPr>
                                  <w:rPr>
                                    <w:rFonts w:ascii="Cambria Math" w:hAnsi="Cambria Math"/>
                                  </w:rPr>
                                  <m:t>s</m:t>
                                </m:r>
                              </m:sub>
                            </m:sSub>
                          </m:e>
                        </m:d>
                      </m:den>
                    </m:f>
                  </m:e>
                </m:rad>
              </m:oMath>
            </m:oMathPara>
          </w:p>
        </w:tc>
        <w:tc>
          <w:tcPr>
            <w:tcW w:w="1247" w:type="dxa"/>
            <w:vAlign w:val="center"/>
          </w:tcPr>
          <w:p w14:paraId="6510E3CA" w14:textId="7867185B" w:rsidR="00415374" w:rsidRPr="001455DC" w:rsidRDefault="00415374" w:rsidP="00822F09">
            <w:pPr>
              <w:pStyle w:val="a7"/>
              <w:jc w:val="right"/>
            </w:pPr>
            <w:r w:rsidRPr="001455DC">
              <w:t>(B.37)</w:t>
            </w:r>
          </w:p>
        </w:tc>
      </w:tr>
    </w:tbl>
    <w:p w14:paraId="418BEA95" w14:textId="77777777" w:rsidR="004E22C1" w:rsidRPr="001455DC" w:rsidRDefault="004E22C1" w:rsidP="00415374">
      <w:pPr>
        <w:pStyle w:val="a7"/>
      </w:pPr>
      <w:r w:rsidRPr="001455DC">
        <w:t xml:space="preserve">Parameters </w:t>
      </w:r>
      <w:r w:rsidRPr="001455DC">
        <w:rPr>
          <w:rStyle w:val="CCMCvariableitalic"/>
        </w:rPr>
        <w:t>ξ</w:t>
      </w:r>
      <w:r w:rsidRPr="001455DC">
        <w:rPr>
          <w:rStyle w:val="CCMCvariablesubscript"/>
        </w:rPr>
        <w:t>bc1</w:t>
      </w:r>
      <w:r w:rsidRPr="001455DC">
        <w:t xml:space="preserve">, </w:t>
      </w:r>
      <w:r w:rsidRPr="001455DC">
        <w:rPr>
          <w:rStyle w:val="CCMCvariableitalic"/>
        </w:rPr>
        <w:t>ξ</w:t>
      </w:r>
      <w:r w:rsidRPr="001455DC">
        <w:rPr>
          <w:rStyle w:val="CCMCvariablesubscript"/>
        </w:rPr>
        <w:t>bc2</w:t>
      </w:r>
      <w:r w:rsidRPr="001455DC">
        <w:t xml:space="preserve">, </w:t>
      </w:r>
      <w:r w:rsidRPr="001455DC">
        <w:rPr>
          <w:rStyle w:val="CCMCvariableitalic"/>
        </w:rPr>
        <w:t>ξ</w:t>
      </w:r>
      <w:r w:rsidRPr="001455DC">
        <w:rPr>
          <w:rStyle w:val="CCMCvariablesubscript"/>
        </w:rPr>
        <w:t>dc1</w:t>
      </w:r>
      <w:r w:rsidRPr="001455DC">
        <w:t xml:space="preserve"> and </w:t>
      </w:r>
      <w:r w:rsidRPr="001455DC">
        <w:rPr>
          <w:rStyle w:val="CCMCvariableitalic"/>
        </w:rPr>
        <w:t>ξ</w:t>
      </w:r>
      <w:r w:rsidRPr="001455DC">
        <w:rPr>
          <w:rStyle w:val="CCMCvariablesubscript"/>
        </w:rPr>
        <w:t>dc2</w:t>
      </w:r>
      <w:r w:rsidRPr="001455DC">
        <w:t xml:space="preserve"> for creep as well as parameters </w:t>
      </w:r>
      <w:r w:rsidRPr="001455DC">
        <w:rPr>
          <w:rStyle w:val="CCMCvariableitalic"/>
        </w:rPr>
        <w:t>ξ</w:t>
      </w:r>
      <w:r w:rsidRPr="001455DC">
        <w:rPr>
          <w:rStyle w:val="CCMCvariablesubscript"/>
        </w:rPr>
        <w:t>bs1</w:t>
      </w:r>
      <w:r w:rsidRPr="001455DC">
        <w:t xml:space="preserve">, </w:t>
      </w:r>
      <w:r w:rsidRPr="001455DC">
        <w:rPr>
          <w:rStyle w:val="CCMCvariableitalic"/>
        </w:rPr>
        <w:t>ξ</w:t>
      </w:r>
      <w:r w:rsidRPr="001455DC">
        <w:rPr>
          <w:rStyle w:val="CCMCvariablesubscript"/>
        </w:rPr>
        <w:t>bs2</w:t>
      </w:r>
      <w:r w:rsidRPr="001455DC">
        <w:t xml:space="preserve">, </w:t>
      </w:r>
      <w:r w:rsidRPr="001455DC">
        <w:rPr>
          <w:rStyle w:val="CCMCvariableitalic"/>
        </w:rPr>
        <w:t>ξ</w:t>
      </w:r>
      <w:r w:rsidRPr="001455DC">
        <w:rPr>
          <w:rStyle w:val="CCMCvariablesubscript"/>
        </w:rPr>
        <w:t>ds1</w:t>
      </w:r>
      <w:r w:rsidRPr="001455DC">
        <w:t xml:space="preserve"> and </w:t>
      </w:r>
      <w:r w:rsidRPr="001455DC">
        <w:rPr>
          <w:rStyle w:val="CCMCvariableitalic"/>
        </w:rPr>
        <w:t>ξ</w:t>
      </w:r>
      <w:r w:rsidRPr="001455DC">
        <w:rPr>
          <w:rStyle w:val="CCMCvariablesubscript"/>
        </w:rPr>
        <w:t>ds2</w:t>
      </w:r>
      <w:r w:rsidRPr="001455DC">
        <w:t xml:space="preserve"> for shrinkage should be determined such as to minimise the sum of the squares of the differences between the model estimation and the experimental results. The strain readings from the experimental results to be used for the calibration should be taken at constant intervals in the logarithmic time scale, i.e. in a geometric progression of reading times, in accordance with the test guidelines.</w:t>
      </w:r>
    </w:p>
    <w:p w14:paraId="2FB337C3" w14:textId="30F2C9D0" w:rsidR="004E22C1" w:rsidRPr="001455DC" w:rsidRDefault="004E22C1" w:rsidP="00415374">
      <w:pPr>
        <w:pStyle w:val="a7"/>
      </w:pPr>
      <w:r w:rsidRPr="001455DC">
        <w:t>Once the parameters are obtained, the inputs of the model may be varied to meet the in-situ conditions as long as these conditions remain within the validity of the prediction models according to B.</w:t>
      </w:r>
      <w:r w:rsidR="005A7F00" w:rsidRPr="001455DC">
        <w:t>3</w:t>
      </w:r>
      <w:r w:rsidRPr="001455DC">
        <w:t>.</w:t>
      </w:r>
    </w:p>
    <w:p w14:paraId="096F0152" w14:textId="77777777" w:rsidR="004E22C1" w:rsidRPr="001455DC" w:rsidRDefault="004E22C1" w:rsidP="00415374">
      <w:pPr>
        <w:pStyle w:val="Note"/>
      </w:pPr>
      <w:r w:rsidRPr="001455DC">
        <w:t>NOTE</w:t>
      </w:r>
      <w:r w:rsidRPr="001455DC">
        <w:tab/>
        <w:t>Calibrating the models with experimental results reduces the coefficient of variation from 30 % to 10 % but does not make the variation disappear.</w:t>
      </w:r>
    </w:p>
    <w:p w14:paraId="0292533A" w14:textId="4DC0C7EF" w:rsidR="004E22C1" w:rsidRPr="001455DC" w:rsidRDefault="004E22C1" w:rsidP="00082680">
      <w:pPr>
        <w:pStyle w:val="a2"/>
      </w:pPr>
      <w:bookmarkStart w:id="1337" w:name="_Toc52820132"/>
      <w:bookmarkStart w:id="1338" w:name="_Toc54337139"/>
      <w:bookmarkStart w:id="1339" w:name="_Toc54337537"/>
      <w:bookmarkStart w:id="1340" w:name="_Toc54338188"/>
      <w:bookmarkStart w:id="1341" w:name="_Toc67565526"/>
      <w:r w:rsidRPr="001455DC">
        <w:t>Detailed analysis for creep at variable loading</w:t>
      </w:r>
      <w:bookmarkEnd w:id="1337"/>
      <w:bookmarkEnd w:id="1338"/>
      <w:bookmarkEnd w:id="1339"/>
      <w:bookmarkEnd w:id="1340"/>
      <w:bookmarkEnd w:id="1341"/>
    </w:p>
    <w:p w14:paraId="2D2906AC" w14:textId="6D34F9D7" w:rsidR="00415374" w:rsidRPr="001455DC" w:rsidRDefault="004E22C1" w:rsidP="00116AE2">
      <w:pPr>
        <w:pStyle w:val="a7"/>
        <w:keepNext/>
      </w:pPr>
      <w:r w:rsidRPr="001455DC">
        <w:t>(1)</w:t>
      </w:r>
      <w:r w:rsidRPr="001455DC">
        <w:tab/>
        <w:t xml:space="preserve">A constant stress </w:t>
      </w:r>
      <w:r w:rsidRPr="001455DC">
        <w:rPr>
          <w:rStyle w:val="CCMCvariableitalic"/>
        </w:rPr>
        <w:t>σ</w:t>
      </w:r>
      <w:r w:rsidRPr="001455DC">
        <w:rPr>
          <w:rStyle w:val="CCMCvariablesubscript"/>
        </w:rPr>
        <w:t>c</w:t>
      </w:r>
      <w:r w:rsidRPr="001455DC">
        <w:t>(</w:t>
      </w:r>
      <w:r w:rsidRPr="001455DC">
        <w:rPr>
          <w:rStyle w:val="CCMCvariableitalic"/>
        </w:rPr>
        <w:t>t</w:t>
      </w:r>
      <w:r w:rsidRPr="001455DC">
        <w:rPr>
          <w:rStyle w:val="CCMCvariablesubscript"/>
        </w:rPr>
        <w:t>0</w:t>
      </w:r>
      <w:r w:rsidRPr="001455DC">
        <w:t xml:space="preserve">) applied at time </w:t>
      </w:r>
      <w:r w:rsidRPr="001455DC">
        <w:rPr>
          <w:rStyle w:val="CCMCvariableitalic"/>
        </w:rPr>
        <w:t>t</w:t>
      </w:r>
      <w:r w:rsidRPr="001455DC">
        <w:rPr>
          <w:rStyle w:val="CCMCvariablesubscript"/>
        </w:rPr>
        <w:t>0</w:t>
      </w:r>
      <w:r w:rsidRPr="001455DC">
        <w:t xml:space="preserve"> lead to the subsequent stress</w:t>
      </w:r>
      <w:r w:rsidR="00F46BA4" w:rsidRPr="001455DC">
        <w:t>-</w:t>
      </w:r>
      <w:r w:rsidRPr="001455DC">
        <w:t xml:space="preserve">dependent strain </w:t>
      </w:r>
      <w:r w:rsidRPr="001455DC">
        <w:rPr>
          <w:rStyle w:val="CCMCvariableitalic"/>
        </w:rPr>
        <w:t>ε</w:t>
      </w:r>
      <w:r w:rsidRPr="001455DC">
        <w:rPr>
          <w:rStyle w:val="CCMCvariablesubscript"/>
        </w:rPr>
        <w:t>cσ</w:t>
      </w:r>
      <w:r w:rsidRPr="001455DC">
        <w:t>(</w:t>
      </w:r>
      <w:r w:rsidRPr="001455DC">
        <w:rPr>
          <w:rStyle w:val="CCMCvariableitalic"/>
        </w:rPr>
        <w:t>t</w:t>
      </w:r>
      <w:r w:rsidRPr="001455DC">
        <w:t>,</w:t>
      </w:r>
      <w:r w:rsidRPr="001455DC">
        <w:rPr>
          <w:rStyle w:val="CCMCvariableitalic"/>
        </w:rPr>
        <w:t>t</w:t>
      </w:r>
      <w:r w:rsidRPr="001455DC">
        <w:rPr>
          <w:rStyle w:val="CCMCvariablesubscript"/>
        </w:rPr>
        <w:t>0</w:t>
      </w:r>
      <w:r w:rsidRPr="001455DC">
        <w:t xml:space="preserve">) at time </w:t>
      </w:r>
      <w:r w:rsidRPr="001455DC">
        <w:rPr>
          <w:rStyle w:val="CCMCvariableitalic"/>
        </w:rPr>
        <w:t>t</w:t>
      </w:r>
      <w:r w:rsidRPr="001455DC">
        <w:t xml:space="preserve">, which corresponds to the sum of the elastic strain </w:t>
      </w:r>
      <w:r w:rsidRPr="001455DC">
        <w:rPr>
          <w:rStyle w:val="CCMCvariableitalic"/>
        </w:rPr>
        <w:t>ε</w:t>
      </w:r>
      <w:r w:rsidRPr="001455DC">
        <w:rPr>
          <w:rStyle w:val="CCMCvariablesubscript"/>
        </w:rPr>
        <w:t>ci</w:t>
      </w:r>
      <w:r w:rsidRPr="001455DC">
        <w:t>(</w:t>
      </w:r>
      <w:r w:rsidRPr="001455DC">
        <w:rPr>
          <w:rStyle w:val="CCMCvariableitalic"/>
        </w:rPr>
        <w:t>t</w:t>
      </w:r>
      <w:r w:rsidRPr="001455DC">
        <w:rPr>
          <w:rStyle w:val="CCMCvariablesubscript"/>
        </w:rPr>
        <w:t>0</w:t>
      </w:r>
      <w:r w:rsidRPr="001455DC">
        <w:t xml:space="preserve">) and the creep strain </w:t>
      </w:r>
      <w:r w:rsidRPr="001455DC">
        <w:rPr>
          <w:rStyle w:val="CCMCvariableitalic"/>
        </w:rPr>
        <w:t>ε</w:t>
      </w:r>
      <w:r w:rsidRPr="001455DC">
        <w:rPr>
          <w:rStyle w:val="CCMCvariablesubscript"/>
        </w:rPr>
        <w:t>cc</w:t>
      </w:r>
      <w:r w:rsidRPr="001455DC">
        <w:t>(</w:t>
      </w:r>
      <w:r w:rsidRPr="001455DC">
        <w:rPr>
          <w:rStyle w:val="CCMCvariableitalic"/>
        </w:rPr>
        <w:t>t</w:t>
      </w:r>
      <w:r w:rsidRPr="001455DC">
        <w:t>,</w:t>
      </w:r>
      <w:r w:rsidRPr="001455DC">
        <w:rPr>
          <w:rStyle w:val="CCMCvariableitalic"/>
        </w:rPr>
        <w:t>t</w:t>
      </w:r>
      <w:r w:rsidRPr="001455DC">
        <w:rPr>
          <w:rStyle w:val="CCMCvariablesubscript"/>
        </w:rPr>
        <w:t>0</w:t>
      </w:r>
      <w:r w:rsidRPr="001455DC">
        <w:t>) and may be expressed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15374" w:rsidRPr="001455DC" w14:paraId="3D0A063B" w14:textId="77777777" w:rsidTr="00822F09">
        <w:trPr>
          <w:cantSplit/>
        </w:trPr>
        <w:tc>
          <w:tcPr>
            <w:tcW w:w="8505" w:type="dxa"/>
            <w:vAlign w:val="center"/>
          </w:tcPr>
          <w:p w14:paraId="19F1D19F" w14:textId="713146CB" w:rsidR="00415374" w:rsidRPr="001455DC" w:rsidRDefault="00231E33" w:rsidP="00822F09">
            <w:pPr>
              <w:pStyle w:val="Formula"/>
              <w:jc w:val="left"/>
            </w:pPr>
            <m:oMathPara>
              <m:oMathParaPr>
                <m:jc m:val="left"/>
              </m:oMathParaPr>
              <m:oMath>
                <m:sSub>
                  <m:sSubPr>
                    <m:ctrlPr>
                      <w:rPr>
                        <w:rFonts w:ascii="Cambria Math" w:hAnsi="Cambria Math"/>
                      </w:rPr>
                    </m:ctrlPr>
                  </m:sSubPr>
                  <m:e>
                    <m:r>
                      <w:rPr>
                        <w:rFonts w:ascii="Cambria Math" w:hAnsi="Cambria Math"/>
                      </w:rPr>
                      <m:t>ε</m:t>
                    </m:r>
                  </m:e>
                  <m:sub>
                    <m:r>
                      <m:rPr>
                        <m:sty m:val="p"/>
                      </m:rPr>
                      <w:rPr>
                        <w:rFonts w:ascii="Cambria Math" w:hAnsi="Cambria Math"/>
                      </w:rPr>
                      <m:t>cσ</m:t>
                    </m:r>
                  </m:sub>
                </m:sSub>
                <m:d>
                  <m:dPr>
                    <m:sepChr m:val=""/>
                    <m:ctrlPr>
                      <w:rPr>
                        <w:rFonts w:ascii="Cambria Math" w:hAnsi="Cambria Math"/>
                      </w:rPr>
                    </m:ctrlPr>
                  </m:dPr>
                  <m:e>
                    <m:r>
                      <w:rPr>
                        <w:rFonts w:ascii="Cambria Math" w:hAnsi="Cambria Math"/>
                      </w:rPr>
                      <m:t>t</m:t>
                    </m:r>
                  </m:e>
                  <m:e>
                    <m:r>
                      <w:rPr>
                        <w:rFonts w:ascii="Cambria Math" w:hAnsi="Cambria Math"/>
                      </w:rPr>
                      <m:t>,</m:t>
                    </m:r>
                  </m:e>
                  <m:e>
                    <m:sSub>
                      <m:sSubPr>
                        <m:ctrlPr>
                          <w:rPr>
                            <w:rFonts w:ascii="Cambria Math" w:hAnsi="Cambria Math"/>
                          </w:rPr>
                        </m:ctrlPr>
                      </m:sSubPr>
                      <m:e>
                        <m:r>
                          <w:rPr>
                            <w:rFonts w:ascii="Cambria Math" w:hAnsi="Cambria Math"/>
                          </w:rPr>
                          <m:t>t</m:t>
                        </m:r>
                      </m:e>
                      <m:sub>
                        <m:r>
                          <w:rPr>
                            <w:rFonts w:ascii="Cambria Math" w:hAnsi="Cambria Math"/>
                          </w:rPr>
                          <m:t>0</m:t>
                        </m:r>
                      </m:sub>
                    </m:sSub>
                  </m:e>
                </m:d>
                <m:r>
                  <w:rPr>
                    <w:rFonts w:ascii="Cambria Math" w:hAnsi="Cambria Math"/>
                  </w:rPr>
                  <m:t>=</m:t>
                </m:r>
                <m:sSub>
                  <m:sSubPr>
                    <m:ctrlPr>
                      <w:rPr>
                        <w:rFonts w:ascii="Cambria Math" w:hAnsi="Cambria Math"/>
                      </w:rPr>
                    </m:ctrlPr>
                  </m:sSubPr>
                  <m:e>
                    <m:r>
                      <w:rPr>
                        <w:rFonts w:ascii="Cambria Math" w:hAnsi="Cambria Math"/>
                      </w:rPr>
                      <m:t>ε</m:t>
                    </m:r>
                  </m:e>
                  <m:sub>
                    <m:r>
                      <m:rPr>
                        <m:sty m:val="p"/>
                      </m:rPr>
                      <w:rPr>
                        <w:rFonts w:ascii="Cambria Math" w:hAnsi="Cambria Math"/>
                      </w:rPr>
                      <m:t>ci</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0</m:t>
                        </m:r>
                      </m:sub>
                    </m:sSub>
                  </m:e>
                </m:d>
                <m:r>
                  <w:rPr>
                    <w:rFonts w:ascii="Cambria Math" w:hAnsi="Cambria Math"/>
                  </w:rPr>
                  <m:t>+</m:t>
                </m:r>
                <m:sSub>
                  <m:sSubPr>
                    <m:ctrlPr>
                      <w:rPr>
                        <w:rFonts w:ascii="Cambria Math" w:hAnsi="Cambria Math"/>
                      </w:rPr>
                    </m:ctrlPr>
                  </m:sSubPr>
                  <m:e>
                    <m:r>
                      <w:rPr>
                        <w:rFonts w:ascii="Cambria Math" w:hAnsi="Cambria Math"/>
                      </w:rPr>
                      <m:t>ε</m:t>
                    </m:r>
                  </m:e>
                  <m:sub>
                    <m:r>
                      <m:rPr>
                        <m:sty m:val="p"/>
                      </m:rPr>
                      <w:rPr>
                        <w:rFonts w:ascii="Cambria Math" w:hAnsi="Cambria Math"/>
                      </w:rPr>
                      <m:t>cc</m:t>
                    </m:r>
                  </m:sub>
                </m:sSub>
                <m:d>
                  <m:dPr>
                    <m:sepChr m:val=""/>
                    <m:ctrlPr>
                      <w:rPr>
                        <w:rFonts w:ascii="Cambria Math" w:hAnsi="Cambria Math"/>
                      </w:rPr>
                    </m:ctrlPr>
                  </m:dPr>
                  <m:e>
                    <m:r>
                      <w:rPr>
                        <w:rFonts w:ascii="Cambria Math" w:hAnsi="Cambria Math"/>
                      </w:rPr>
                      <m:t>t</m:t>
                    </m:r>
                  </m:e>
                  <m:e>
                    <m:r>
                      <w:rPr>
                        <w:rFonts w:ascii="Cambria Math" w:hAnsi="Cambria Math"/>
                      </w:rPr>
                      <m:t>,</m:t>
                    </m:r>
                  </m:e>
                  <m:e>
                    <m:sSub>
                      <m:sSubPr>
                        <m:ctrlPr>
                          <w:rPr>
                            <w:rFonts w:ascii="Cambria Math" w:hAnsi="Cambria Math"/>
                          </w:rPr>
                        </m:ctrlPr>
                      </m:sSubPr>
                      <m:e>
                        <m:r>
                          <w:rPr>
                            <w:rFonts w:ascii="Cambria Math" w:hAnsi="Cambria Math"/>
                          </w:rPr>
                          <m:t>t</m:t>
                        </m:r>
                      </m:e>
                      <m:sub>
                        <m:r>
                          <w:rPr>
                            <w:rFonts w:ascii="Cambria Math" w:hAnsi="Cambria Math"/>
                          </w:rPr>
                          <m:t>0</m:t>
                        </m:r>
                      </m:sub>
                    </m:sSub>
                  </m:e>
                </m:d>
                <m:r>
                  <w:rPr>
                    <w:rFonts w:ascii="Cambria Math" w:hAnsi="Cambria Math"/>
                  </w:rPr>
                  <m:t>=</m:t>
                </m:r>
                <m:sSub>
                  <m:sSubPr>
                    <m:ctrlPr>
                      <w:rPr>
                        <w:rFonts w:ascii="Cambria Math" w:hAnsi="Cambria Math"/>
                      </w:rPr>
                    </m:ctrlPr>
                  </m:sSubPr>
                  <m:e>
                    <m:r>
                      <w:rPr>
                        <w:rFonts w:ascii="Cambria Math" w:hAnsi="Cambria Math"/>
                      </w:rPr>
                      <m:t>σ</m:t>
                    </m:r>
                  </m:e>
                  <m:sub>
                    <m:r>
                      <m:rPr>
                        <m:sty m:val="p"/>
                      </m:rPr>
                      <w:rPr>
                        <w:rFonts w:ascii="Cambria Math" w:hAnsi="Cambria Math"/>
                      </w:rPr>
                      <m:t>c</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0</m:t>
                        </m:r>
                      </m:sub>
                    </m:sSub>
                  </m:e>
                </m:d>
                <m:d>
                  <m:dPr>
                    <m:begChr m:val="["/>
                    <m:endChr m:val="]"/>
                    <m:ctrlPr>
                      <w:rPr>
                        <w:rFonts w:ascii="Cambria Math" w:hAnsi="Cambria Math"/>
                      </w:rPr>
                    </m:ctrlPr>
                  </m:dPr>
                  <m:e>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E</m:t>
                            </m:r>
                          </m:e>
                          <m:sub>
                            <m:r>
                              <m:rPr>
                                <m:sty m:val="p"/>
                              </m:rPr>
                              <w:rPr>
                                <w:rFonts w:ascii="Cambria Math" w:hAnsi="Cambria Math"/>
                              </w:rPr>
                              <m:t>c</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0</m:t>
                                </m:r>
                              </m:sub>
                            </m:sSub>
                          </m:e>
                        </m:d>
                      </m:den>
                    </m:f>
                    <m:r>
                      <w:rPr>
                        <w:rFonts w:ascii="Cambria Math" w:hAnsi="Cambria Math"/>
                      </w:rPr>
                      <m:t>+</m:t>
                    </m:r>
                    <m:f>
                      <m:fPr>
                        <m:ctrlPr>
                          <w:rPr>
                            <w:rFonts w:ascii="Cambria Math" w:hAnsi="Cambria Math"/>
                          </w:rPr>
                        </m:ctrlPr>
                      </m:fPr>
                      <m:num>
                        <m:r>
                          <w:rPr>
                            <w:rFonts w:ascii="Cambria Math" w:hAnsi="Cambria Math"/>
                          </w:rPr>
                          <m:t>φ</m:t>
                        </m:r>
                        <m:d>
                          <m:dPr>
                            <m:sepChr m:val=""/>
                            <m:ctrlPr>
                              <w:rPr>
                                <w:rFonts w:ascii="Cambria Math" w:hAnsi="Cambria Math"/>
                              </w:rPr>
                            </m:ctrlPr>
                          </m:dPr>
                          <m:e>
                            <m:r>
                              <w:rPr>
                                <w:rFonts w:ascii="Cambria Math" w:hAnsi="Cambria Math"/>
                              </w:rPr>
                              <m:t>t</m:t>
                            </m:r>
                          </m:e>
                          <m:e>
                            <m:r>
                              <w:rPr>
                                <w:rFonts w:ascii="Cambria Math" w:hAnsi="Cambria Math"/>
                              </w:rPr>
                              <m:t>,</m:t>
                            </m:r>
                          </m:e>
                          <m:e>
                            <m:sSub>
                              <m:sSubPr>
                                <m:ctrlPr>
                                  <w:rPr>
                                    <w:rFonts w:ascii="Cambria Math" w:hAnsi="Cambria Math"/>
                                  </w:rPr>
                                </m:ctrlPr>
                              </m:sSubPr>
                              <m:e>
                                <m:r>
                                  <w:rPr>
                                    <w:rFonts w:ascii="Cambria Math" w:hAnsi="Cambria Math"/>
                                  </w:rPr>
                                  <m:t>t</m:t>
                                </m:r>
                              </m:e>
                              <m:sub>
                                <m:r>
                                  <w:rPr>
                                    <w:rFonts w:ascii="Cambria Math" w:hAnsi="Cambria Math"/>
                                  </w:rPr>
                                  <m:t>0</m:t>
                                </m:r>
                              </m:sub>
                            </m:sSub>
                          </m:e>
                        </m:d>
                      </m:num>
                      <m:den>
                        <m:sSub>
                          <m:sSubPr>
                            <m:ctrlPr>
                              <w:rPr>
                                <w:rFonts w:ascii="Cambria Math" w:hAnsi="Cambria Math"/>
                              </w:rPr>
                            </m:ctrlPr>
                          </m:sSubPr>
                          <m:e>
                            <m:r>
                              <w:rPr>
                                <w:rFonts w:ascii="Cambria Math" w:hAnsi="Cambria Math"/>
                              </w:rPr>
                              <m:t>E</m:t>
                            </m:r>
                          </m:e>
                          <m:sub>
                            <m:r>
                              <m:rPr>
                                <m:sty m:val="p"/>
                              </m:rPr>
                              <w:rPr>
                                <w:rFonts w:ascii="Cambria Math" w:hAnsi="Cambria Math"/>
                              </w:rPr>
                              <m:t>c</m:t>
                            </m:r>
                          </m:sub>
                        </m:sSub>
                        <m:d>
                          <m:dPr>
                            <m:ctrlPr>
                              <w:rPr>
                                <w:rFonts w:ascii="Cambria Math" w:hAnsi="Cambria Math"/>
                              </w:rPr>
                            </m:ctrlPr>
                          </m:dPr>
                          <m:e>
                            <m:r>
                              <w:rPr>
                                <w:rFonts w:ascii="Cambria Math" w:hAnsi="Cambria Math"/>
                              </w:rPr>
                              <m:t>28</m:t>
                            </m:r>
                          </m:e>
                        </m:d>
                      </m:den>
                    </m:f>
                  </m:e>
                </m:d>
                <m:r>
                  <w:rPr>
                    <w:rFonts w:ascii="Cambria Math" w:hAnsi="Cambria Math"/>
                  </w:rPr>
                  <m:t>=</m:t>
                </m:r>
                <m:sSub>
                  <m:sSubPr>
                    <m:ctrlPr>
                      <w:rPr>
                        <w:rFonts w:ascii="Cambria Math" w:hAnsi="Cambria Math"/>
                      </w:rPr>
                    </m:ctrlPr>
                  </m:sSubPr>
                  <m:e>
                    <m:r>
                      <w:rPr>
                        <w:rFonts w:ascii="Cambria Math" w:hAnsi="Cambria Math"/>
                      </w:rPr>
                      <m:t>σ</m:t>
                    </m:r>
                  </m:e>
                  <m:sub>
                    <m:r>
                      <m:rPr>
                        <m:sty m:val="p"/>
                      </m:rPr>
                      <w:rPr>
                        <w:rFonts w:ascii="Cambria Math" w:hAnsi="Cambria Math"/>
                      </w:rPr>
                      <m:t>c</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0</m:t>
                        </m:r>
                      </m:sub>
                    </m:sSub>
                  </m:e>
                </m:d>
                <m:r>
                  <w:rPr>
                    <w:rFonts w:ascii="Cambria Math" w:hAnsi="Cambria Math"/>
                  </w:rPr>
                  <m:t>J</m:t>
                </m:r>
                <m:d>
                  <m:dPr>
                    <m:sepChr m:val=""/>
                    <m:ctrlPr>
                      <w:rPr>
                        <w:rFonts w:ascii="Cambria Math" w:hAnsi="Cambria Math"/>
                      </w:rPr>
                    </m:ctrlPr>
                  </m:dPr>
                  <m:e>
                    <m:r>
                      <w:rPr>
                        <w:rFonts w:ascii="Cambria Math" w:hAnsi="Cambria Math"/>
                      </w:rPr>
                      <m:t>t</m:t>
                    </m:r>
                  </m:e>
                  <m:e>
                    <m:r>
                      <w:rPr>
                        <w:rFonts w:ascii="Cambria Math" w:hAnsi="Cambria Math"/>
                      </w:rPr>
                      <m:t>,</m:t>
                    </m:r>
                  </m:e>
                  <m:e>
                    <m:sSub>
                      <m:sSubPr>
                        <m:ctrlPr>
                          <w:rPr>
                            <w:rFonts w:ascii="Cambria Math" w:hAnsi="Cambria Math"/>
                          </w:rPr>
                        </m:ctrlPr>
                      </m:sSubPr>
                      <m:e>
                        <m:r>
                          <w:rPr>
                            <w:rFonts w:ascii="Cambria Math" w:hAnsi="Cambria Math"/>
                          </w:rPr>
                          <m:t>t</m:t>
                        </m:r>
                      </m:e>
                      <m:sub>
                        <m:r>
                          <w:rPr>
                            <w:rFonts w:ascii="Cambria Math" w:hAnsi="Cambria Math"/>
                          </w:rPr>
                          <m:t>0</m:t>
                        </m:r>
                      </m:sub>
                    </m:sSub>
                  </m:e>
                </m:d>
              </m:oMath>
            </m:oMathPara>
          </w:p>
        </w:tc>
        <w:tc>
          <w:tcPr>
            <w:tcW w:w="1247" w:type="dxa"/>
            <w:vAlign w:val="center"/>
          </w:tcPr>
          <w:p w14:paraId="6D039222" w14:textId="583EE127" w:rsidR="00415374" w:rsidRPr="001455DC" w:rsidRDefault="00415374" w:rsidP="00822F09">
            <w:pPr>
              <w:pStyle w:val="a7"/>
              <w:jc w:val="right"/>
            </w:pPr>
            <w:r w:rsidRPr="001455DC">
              <w:t>(B.38)</w:t>
            </w:r>
          </w:p>
        </w:tc>
      </w:tr>
    </w:tbl>
    <w:p w14:paraId="7A3265E3" w14:textId="77777777" w:rsidR="00BF792D" w:rsidRPr="001455DC" w:rsidRDefault="00BF792D" w:rsidP="00A35599">
      <w:pPr>
        <w:pStyle w:val="a7"/>
        <w:keepNext/>
      </w:pPr>
      <w:r w:rsidRPr="001455DC">
        <w:t>where</w:t>
      </w:r>
    </w:p>
    <w:tbl>
      <w:tblPr>
        <w:tblW w:w="9413" w:type="dxa"/>
        <w:tblInd w:w="397" w:type="dxa"/>
        <w:tblLayout w:type="fixed"/>
        <w:tblCellMar>
          <w:left w:w="28" w:type="dxa"/>
          <w:right w:w="28" w:type="dxa"/>
        </w:tblCellMar>
        <w:tblLook w:val="04A0" w:firstRow="1" w:lastRow="0" w:firstColumn="1" w:lastColumn="0" w:noHBand="0" w:noVBand="1"/>
      </w:tblPr>
      <w:tblGrid>
        <w:gridCol w:w="851"/>
        <w:gridCol w:w="8562"/>
      </w:tblGrid>
      <w:tr w:rsidR="00BF792D" w:rsidRPr="001455DC" w14:paraId="0C9E929C" w14:textId="77777777" w:rsidTr="00BF792D">
        <w:trPr>
          <w:cantSplit/>
        </w:trPr>
        <w:tc>
          <w:tcPr>
            <w:tcW w:w="851" w:type="dxa"/>
          </w:tcPr>
          <w:p w14:paraId="7A7BAB06" w14:textId="2F2B05A6" w:rsidR="00BF792D" w:rsidRPr="001455DC" w:rsidRDefault="00BF792D" w:rsidP="0000442A">
            <w:pPr>
              <w:pStyle w:val="Tablebody"/>
            </w:pPr>
            <w:r w:rsidRPr="001455DC">
              <w:rPr>
                <w:rStyle w:val="CCMCvariableitalic"/>
              </w:rPr>
              <w:t>J</w:t>
            </w:r>
            <w:r w:rsidRPr="001455DC">
              <w:t>(</w:t>
            </w:r>
            <w:r w:rsidRPr="001455DC">
              <w:rPr>
                <w:rStyle w:val="CCMCvariableitalic"/>
              </w:rPr>
              <w:t>t</w:t>
            </w:r>
            <w:r w:rsidRPr="001455DC">
              <w:t>,</w:t>
            </w:r>
            <w:r w:rsidRPr="001455DC">
              <w:rPr>
                <w:rStyle w:val="CCMCvariableitalic"/>
              </w:rPr>
              <w:t>t</w:t>
            </w:r>
            <w:r w:rsidRPr="001455DC">
              <w:rPr>
                <w:rStyle w:val="CCMCvariablesubscript"/>
              </w:rPr>
              <w:t>0</w:t>
            </w:r>
            <w:r w:rsidRPr="001455DC">
              <w:t>)</w:t>
            </w:r>
          </w:p>
        </w:tc>
        <w:tc>
          <w:tcPr>
            <w:tcW w:w="8562" w:type="dxa"/>
          </w:tcPr>
          <w:p w14:paraId="755D053B" w14:textId="6C0E8361" w:rsidR="00BF792D" w:rsidRPr="001455DC" w:rsidRDefault="00BF792D" w:rsidP="00BB1209">
            <w:pPr>
              <w:pStyle w:val="Tablebody"/>
            </w:pPr>
            <w:r w:rsidRPr="001455DC">
              <w:t>is the creep function or creep compliance, representing the total stress-dependent strain per unit stress;</w:t>
            </w:r>
          </w:p>
        </w:tc>
      </w:tr>
      <w:tr w:rsidR="00BF792D" w:rsidRPr="001455DC" w14:paraId="50012D0F" w14:textId="77777777" w:rsidTr="00BF792D">
        <w:trPr>
          <w:cantSplit/>
        </w:trPr>
        <w:tc>
          <w:tcPr>
            <w:tcW w:w="851" w:type="dxa"/>
          </w:tcPr>
          <w:p w14:paraId="3A6B2CFC" w14:textId="7C671DFD" w:rsidR="00BF792D" w:rsidRPr="001455DC" w:rsidRDefault="00BF792D" w:rsidP="0000442A">
            <w:pPr>
              <w:pStyle w:val="Tablebody"/>
            </w:pPr>
            <w:r w:rsidRPr="001455DC">
              <w:rPr>
                <w:rStyle w:val="CCMCvariableitalic"/>
              </w:rPr>
              <w:t>E</w:t>
            </w:r>
            <w:r w:rsidRPr="001455DC">
              <w:rPr>
                <w:rStyle w:val="CCMCvariablesubscript"/>
              </w:rPr>
              <w:t>c</w:t>
            </w:r>
            <w:r w:rsidRPr="001455DC">
              <w:t>(</w:t>
            </w:r>
            <w:r w:rsidRPr="001455DC">
              <w:rPr>
                <w:rStyle w:val="CCMCvariableitalic"/>
              </w:rPr>
              <w:t>t</w:t>
            </w:r>
            <w:r w:rsidRPr="001455DC">
              <w:rPr>
                <w:rStyle w:val="CCMCvariablesubscript"/>
              </w:rPr>
              <w:t>0</w:t>
            </w:r>
            <w:r w:rsidRPr="001455DC">
              <w:t>)</w:t>
            </w:r>
          </w:p>
        </w:tc>
        <w:tc>
          <w:tcPr>
            <w:tcW w:w="8562" w:type="dxa"/>
          </w:tcPr>
          <w:p w14:paraId="3CA98FDF" w14:textId="67C3DC92" w:rsidR="00BF792D" w:rsidRPr="001455DC" w:rsidRDefault="00BF792D" w:rsidP="0000442A">
            <w:pPr>
              <w:pStyle w:val="Tablebody"/>
            </w:pPr>
            <w:r w:rsidRPr="001455DC">
              <w:t xml:space="preserve">is the tangent modulus of elasticity at the time of loading </w:t>
            </w:r>
            <w:r w:rsidRPr="001455DC">
              <w:rPr>
                <w:rStyle w:val="CCMCvariableitalic"/>
              </w:rPr>
              <w:t>t</w:t>
            </w:r>
            <w:r w:rsidRPr="001455DC">
              <w:rPr>
                <w:rStyle w:val="CCMCvariablesubscript"/>
              </w:rPr>
              <w:t>0</w:t>
            </w:r>
            <w:r w:rsidRPr="001455DC">
              <w:t>;</w:t>
            </w:r>
          </w:p>
        </w:tc>
      </w:tr>
      <w:tr w:rsidR="00BF792D" w:rsidRPr="001455DC" w14:paraId="3F9685A9" w14:textId="77777777" w:rsidTr="00BF792D">
        <w:trPr>
          <w:cantSplit/>
        </w:trPr>
        <w:tc>
          <w:tcPr>
            <w:tcW w:w="851" w:type="dxa"/>
          </w:tcPr>
          <w:p w14:paraId="582A8A7D" w14:textId="72FA8C98" w:rsidR="00BF792D" w:rsidRPr="001455DC" w:rsidRDefault="00BF792D" w:rsidP="00D86695">
            <w:pPr>
              <w:pStyle w:val="Tablebody"/>
            </w:pPr>
            <w:r w:rsidRPr="001455DC">
              <w:rPr>
                <w:rStyle w:val="CCMCvariableitalic"/>
              </w:rPr>
              <w:t>E</w:t>
            </w:r>
            <w:r w:rsidRPr="001455DC">
              <w:rPr>
                <w:rStyle w:val="CCMCvariablesubscript"/>
              </w:rPr>
              <w:t>c</w:t>
            </w:r>
            <w:r w:rsidRPr="001455DC">
              <w:t>(28)</w:t>
            </w:r>
          </w:p>
        </w:tc>
        <w:tc>
          <w:tcPr>
            <w:tcW w:w="8562" w:type="dxa"/>
          </w:tcPr>
          <w:p w14:paraId="730FC8C8" w14:textId="34BCC66A" w:rsidR="00BF792D" w:rsidRPr="001455DC" w:rsidRDefault="00BF792D" w:rsidP="00D86695">
            <w:pPr>
              <w:pStyle w:val="Tablebody"/>
            </w:pPr>
            <w:r w:rsidRPr="001455DC">
              <w:t>is the tangent modulus of elasticity at the concrete age of 28 days.</w:t>
            </w:r>
          </w:p>
        </w:tc>
      </w:tr>
    </w:tbl>
    <w:p w14:paraId="1C0CE23B" w14:textId="1BE5A944" w:rsidR="00BF792D" w:rsidRPr="001455DC" w:rsidRDefault="004E22C1" w:rsidP="00116AE2">
      <w:pPr>
        <w:pStyle w:val="a7"/>
        <w:keepNext/>
      </w:pPr>
      <w:r w:rsidRPr="001455DC">
        <w:t>(2)</w:t>
      </w:r>
      <w:r w:rsidRPr="001455DC">
        <w:tab/>
        <w:t xml:space="preserve">Within the range of service stresses </w:t>
      </w:r>
      <w:r w:rsidRPr="001455DC">
        <w:rPr>
          <w:rStyle w:val="CCMCvariableitalic"/>
        </w:rPr>
        <w:t>σ</w:t>
      </w:r>
      <w:r w:rsidRPr="001455DC">
        <w:rPr>
          <w:rStyle w:val="CCMCvariablesubscript"/>
        </w:rPr>
        <w:t>c</w:t>
      </w:r>
      <w:r w:rsidRPr="001455DC">
        <w:t> </w:t>
      </w:r>
      <w:r w:rsidR="00650035" w:rsidRPr="001455DC">
        <w:rPr>
          <w:rFonts w:ascii="Cambria Math" w:hAnsi="Cambria Math"/>
        </w:rPr>
        <w:t>≤</w:t>
      </w:r>
      <w:r w:rsidRPr="001455DC">
        <w:t> 0,40</w:t>
      </w:r>
      <w:r w:rsidRPr="001455DC">
        <w:rPr>
          <w:rStyle w:val="CCMCvariableitalic"/>
        </w:rPr>
        <w:t>f</w:t>
      </w:r>
      <w:r w:rsidRPr="001455DC">
        <w:rPr>
          <w:rStyle w:val="CCMCvariablesubscript"/>
        </w:rPr>
        <w:t>cm</w:t>
      </w:r>
      <w:r w:rsidRPr="001455DC">
        <w:t xml:space="preserve">, creep may be assumed to be linearly related to stress. Superposition may be applied. The strain caused by the stress history </w:t>
      </w:r>
      <w:r w:rsidRPr="001455DC">
        <w:rPr>
          <w:rStyle w:val="CCMCvariableitalic"/>
        </w:rPr>
        <w:t>σ</w:t>
      </w:r>
      <w:r w:rsidRPr="001455DC">
        <w:rPr>
          <w:rStyle w:val="CCMCvariablesubscript"/>
        </w:rPr>
        <w:t>c</w:t>
      </w:r>
      <w:r w:rsidRPr="001455DC">
        <w:t>(</w:t>
      </w:r>
      <w:r w:rsidRPr="001455DC">
        <w:rPr>
          <w:rStyle w:val="CCMCvariableitalic"/>
        </w:rPr>
        <w:t>t</w:t>
      </w:r>
      <w:r w:rsidRPr="001455DC">
        <w:t>) may be obtained by decomposing the stress history to small increments Δ</w:t>
      </w:r>
      <w:r w:rsidRPr="001455DC">
        <w:rPr>
          <w:rStyle w:val="CCMCvariableitalic"/>
        </w:rPr>
        <w:t>σ</w:t>
      </w:r>
      <w:r w:rsidRPr="001455DC">
        <w:rPr>
          <w:rStyle w:val="CCMCvariablesubscript"/>
        </w:rPr>
        <w:t>c</w:t>
      </w:r>
      <w:r w:rsidRPr="001455DC">
        <w:t xml:space="preserve"> applied at times </w:t>
      </w:r>
      <w:r w:rsidRPr="001455DC">
        <w:rPr>
          <w:rStyle w:val="CCMCvariableitalic"/>
        </w:rPr>
        <w:t>τ</w:t>
      </w:r>
      <w:r w:rsidRPr="001455DC">
        <w:rPr>
          <w:rStyle w:val="CCMCvariablesubscript"/>
        </w:rPr>
        <w:t>i</w:t>
      </w:r>
      <w:r w:rsidRPr="001455DC">
        <w:t>, and summing up the corresponding strains (see Formula (B.39)):</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BF792D" w:rsidRPr="001455DC" w14:paraId="0EE2094E" w14:textId="77777777" w:rsidTr="00822F09">
        <w:trPr>
          <w:cantSplit/>
        </w:trPr>
        <w:tc>
          <w:tcPr>
            <w:tcW w:w="8505" w:type="dxa"/>
            <w:vAlign w:val="center"/>
          </w:tcPr>
          <w:p w14:paraId="354FAB6E" w14:textId="05849E67" w:rsidR="00BF792D" w:rsidRPr="001455DC" w:rsidRDefault="00231E33" w:rsidP="00822F09">
            <w:pPr>
              <w:pStyle w:val="Formula"/>
              <w:jc w:val="left"/>
            </w:pPr>
            <m:oMathPara>
              <m:oMathParaPr>
                <m:jc m:val="left"/>
              </m:oMathParaPr>
              <m:oMath>
                <m:sSub>
                  <m:sSubPr>
                    <m:ctrlPr>
                      <w:rPr>
                        <w:rFonts w:ascii="Cambria Math" w:hAnsi="Cambria Math"/>
                      </w:rPr>
                    </m:ctrlPr>
                  </m:sSubPr>
                  <m:e>
                    <m:r>
                      <w:rPr>
                        <w:rFonts w:ascii="Cambria Math" w:hAnsi="Cambria Math"/>
                      </w:rPr>
                      <m:t>ε</m:t>
                    </m:r>
                  </m:e>
                  <m:sub>
                    <m:r>
                      <m:rPr>
                        <m:sty m:val="p"/>
                      </m:rPr>
                      <w:rPr>
                        <w:rFonts w:ascii="Cambria Math" w:hAnsi="Cambria Math"/>
                      </w:rPr>
                      <m:t>cσ</m:t>
                    </m:r>
                  </m:sub>
                </m:sSub>
                <m:d>
                  <m:dPr>
                    <m:sepChr m:val=""/>
                    <m:ctrlPr>
                      <w:rPr>
                        <w:rFonts w:ascii="Cambria Math" w:hAnsi="Cambria Math"/>
                      </w:rPr>
                    </m:ctrlPr>
                  </m:dPr>
                  <m:e>
                    <m:r>
                      <w:rPr>
                        <w:rFonts w:ascii="Cambria Math" w:hAnsi="Cambria Math"/>
                      </w:rPr>
                      <m:t>t</m:t>
                    </m:r>
                  </m:e>
                  <m:e>
                    <m:r>
                      <w:rPr>
                        <w:rFonts w:ascii="Cambria Math" w:hAnsi="Cambria Math"/>
                      </w:rPr>
                      <m:t>,</m:t>
                    </m:r>
                  </m:e>
                  <m:e>
                    <m:sSub>
                      <m:sSubPr>
                        <m:ctrlPr>
                          <w:rPr>
                            <w:rFonts w:ascii="Cambria Math" w:hAnsi="Cambria Math"/>
                          </w:rPr>
                        </m:ctrlPr>
                      </m:sSubPr>
                      <m:e>
                        <m:r>
                          <w:rPr>
                            <w:rFonts w:ascii="Cambria Math" w:hAnsi="Cambria Math"/>
                          </w:rPr>
                          <m:t>σ</m:t>
                        </m:r>
                      </m:e>
                      <m:sub>
                        <m:r>
                          <m:rPr>
                            <m:sty m:val="p"/>
                          </m:rPr>
                          <w:rPr>
                            <w:rFonts w:ascii="Cambria Math" w:hAnsi="Cambria Math"/>
                          </w:rPr>
                          <m:t>c</m:t>
                        </m:r>
                      </m:sub>
                    </m:sSub>
                  </m:e>
                </m:d>
                <m:r>
                  <w:rPr>
                    <w:rFonts w:ascii="Cambria Math" w:hAnsi="Cambria Math"/>
                  </w:rPr>
                  <m:t>=</m:t>
                </m:r>
                <m:sSub>
                  <m:sSubPr>
                    <m:ctrlPr>
                      <w:rPr>
                        <w:rFonts w:ascii="Cambria Math" w:hAnsi="Cambria Math"/>
                      </w:rPr>
                    </m:ctrlPr>
                  </m:sSubPr>
                  <m:e>
                    <m:r>
                      <w:rPr>
                        <w:rFonts w:ascii="Cambria Math" w:hAnsi="Cambria Math"/>
                      </w:rPr>
                      <m:t>σ</m:t>
                    </m:r>
                  </m:e>
                  <m:sub>
                    <m:r>
                      <m:rPr>
                        <m:sty m:val="p"/>
                      </m:rPr>
                      <w:rPr>
                        <w:rFonts w:ascii="Cambria Math" w:hAnsi="Cambria Math"/>
                      </w:rPr>
                      <m:t>c</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0</m:t>
                        </m:r>
                      </m:sub>
                    </m:sSub>
                  </m:e>
                </m:d>
                <m:r>
                  <w:rPr>
                    <w:rFonts w:ascii="Cambria Math" w:hAnsi="Cambria Math"/>
                  </w:rPr>
                  <m:t>⋅J</m:t>
                </m:r>
                <m:d>
                  <m:dPr>
                    <m:sepChr m:val=""/>
                    <m:ctrlPr>
                      <w:rPr>
                        <w:rFonts w:ascii="Cambria Math" w:hAnsi="Cambria Math"/>
                      </w:rPr>
                    </m:ctrlPr>
                  </m:dPr>
                  <m:e>
                    <m:r>
                      <w:rPr>
                        <w:rFonts w:ascii="Cambria Math" w:hAnsi="Cambria Math"/>
                      </w:rPr>
                      <m:t>t</m:t>
                    </m:r>
                  </m:e>
                  <m:e>
                    <m:r>
                      <w:rPr>
                        <w:rFonts w:ascii="Cambria Math" w:hAnsi="Cambria Math"/>
                      </w:rPr>
                      <m:t>,</m:t>
                    </m:r>
                  </m:e>
                  <m:e>
                    <m:sSub>
                      <m:sSubPr>
                        <m:ctrlPr>
                          <w:rPr>
                            <w:rFonts w:ascii="Cambria Math" w:hAnsi="Cambria Math"/>
                          </w:rPr>
                        </m:ctrlPr>
                      </m:sSubPr>
                      <m:e>
                        <m:r>
                          <w:rPr>
                            <w:rFonts w:ascii="Cambria Math" w:hAnsi="Cambria Math"/>
                          </w:rPr>
                          <m:t>t</m:t>
                        </m:r>
                      </m:e>
                      <m:sub>
                        <m:r>
                          <w:rPr>
                            <w:rFonts w:ascii="Cambria Math" w:hAnsi="Cambria Math"/>
                          </w:rPr>
                          <m:t>0</m:t>
                        </m:r>
                      </m:sub>
                    </m:sSub>
                  </m:e>
                </m:d>
                <m:r>
                  <w:rPr>
                    <w:rFonts w:ascii="Cambria Math" w:hAnsi="Cambria Math"/>
                  </w:rPr>
                  <m:t>+</m:t>
                </m:r>
                <m:nary>
                  <m:naryPr>
                    <m:chr m:val="∑"/>
                    <m:limLoc m:val="undOvr"/>
                    <m:grow m:val="1"/>
                    <m:ctrlPr>
                      <w:rPr>
                        <w:rFonts w:ascii="Cambria Math" w:hAnsi="Cambria Math"/>
                      </w:rPr>
                    </m:ctrlPr>
                  </m:naryPr>
                  <m:sub>
                    <m:r>
                      <w:rPr>
                        <w:rFonts w:ascii="Cambria Math" w:hAnsi="Cambria Math"/>
                      </w:rPr>
                      <m:t>i=1</m:t>
                    </m:r>
                  </m:sub>
                  <m:sup>
                    <m:r>
                      <w:rPr>
                        <w:rFonts w:ascii="Cambria Math" w:hAnsi="Cambria Math"/>
                      </w:rPr>
                      <m:t>n</m:t>
                    </m:r>
                  </m:sup>
                  <m:e>
                    <m:r>
                      <m:rPr>
                        <m:sty m:val="p"/>
                      </m:rPr>
                      <w:rPr>
                        <w:rFonts w:ascii="Cambria Math" w:hAnsi="Cambria Math"/>
                      </w:rPr>
                      <m:t>Δ</m:t>
                    </m:r>
                    <m:sSub>
                      <m:sSubPr>
                        <m:ctrlPr>
                          <w:rPr>
                            <w:rFonts w:ascii="Cambria Math" w:hAnsi="Cambria Math"/>
                          </w:rPr>
                        </m:ctrlPr>
                      </m:sSubPr>
                      <m:e>
                        <m:r>
                          <w:rPr>
                            <w:rFonts w:ascii="Cambria Math" w:hAnsi="Cambria Math"/>
                          </w:rPr>
                          <m:t>σ</m:t>
                        </m:r>
                      </m:e>
                      <m:sub>
                        <m:r>
                          <m:rPr>
                            <m:sty m:val="p"/>
                          </m:rPr>
                          <w:rPr>
                            <w:rFonts w:ascii="Cambria Math" w:hAnsi="Cambria Math"/>
                          </w:rPr>
                          <m:t>c</m:t>
                        </m:r>
                      </m:sub>
                    </m:sSub>
                    <m:d>
                      <m:dPr>
                        <m:ctrlPr>
                          <w:rPr>
                            <w:rFonts w:ascii="Cambria Math" w:hAnsi="Cambria Math"/>
                          </w:rPr>
                        </m:ctrlPr>
                      </m:dPr>
                      <m:e>
                        <m:sSub>
                          <m:sSubPr>
                            <m:ctrlPr>
                              <w:rPr>
                                <w:rFonts w:ascii="Cambria Math" w:hAnsi="Cambria Math"/>
                              </w:rPr>
                            </m:ctrlPr>
                          </m:sSubPr>
                          <m:e>
                            <m:r>
                              <w:rPr>
                                <w:rFonts w:ascii="Cambria Math" w:hAnsi="Cambria Math"/>
                              </w:rPr>
                              <m:t>τ</m:t>
                            </m:r>
                          </m:e>
                          <m:sub>
                            <m:r>
                              <m:rPr>
                                <m:sty m:val="p"/>
                              </m:rPr>
                              <w:rPr>
                                <w:rFonts w:ascii="Cambria Math" w:hAnsi="Cambria Math"/>
                              </w:rPr>
                              <m:t>i</m:t>
                            </m:r>
                          </m:sub>
                        </m:sSub>
                      </m:e>
                    </m:d>
                    <m:r>
                      <w:rPr>
                        <w:rFonts w:ascii="Cambria Math" w:hAnsi="Cambria Math"/>
                      </w:rPr>
                      <m:t>⋅J</m:t>
                    </m:r>
                    <m:d>
                      <m:dPr>
                        <m:sepChr m:val=""/>
                        <m:ctrlPr>
                          <w:rPr>
                            <w:rFonts w:ascii="Cambria Math" w:hAnsi="Cambria Math"/>
                          </w:rPr>
                        </m:ctrlPr>
                      </m:dPr>
                      <m:e>
                        <m:r>
                          <w:rPr>
                            <w:rFonts w:ascii="Cambria Math" w:hAnsi="Cambria Math"/>
                          </w:rPr>
                          <m:t>t</m:t>
                        </m:r>
                      </m:e>
                      <m:e>
                        <m:r>
                          <w:rPr>
                            <w:rFonts w:ascii="Cambria Math" w:hAnsi="Cambria Math"/>
                          </w:rPr>
                          <m:t>,</m:t>
                        </m:r>
                      </m:e>
                      <m:e>
                        <m:sSub>
                          <m:sSubPr>
                            <m:ctrlPr>
                              <w:rPr>
                                <w:rFonts w:ascii="Cambria Math" w:hAnsi="Cambria Math"/>
                              </w:rPr>
                            </m:ctrlPr>
                          </m:sSubPr>
                          <m:e>
                            <m:r>
                              <w:rPr>
                                <w:rFonts w:ascii="Cambria Math" w:hAnsi="Cambria Math"/>
                              </w:rPr>
                              <m:t>τ</m:t>
                            </m:r>
                          </m:e>
                          <m:sub>
                            <m:r>
                              <m:rPr>
                                <m:sty m:val="p"/>
                              </m:rPr>
                              <w:rPr>
                                <w:rFonts w:ascii="Cambria Math" w:hAnsi="Cambria Math"/>
                              </w:rPr>
                              <m:t>i</m:t>
                            </m:r>
                          </m:sub>
                        </m:sSub>
                      </m:e>
                    </m:d>
                  </m:e>
                </m:nary>
              </m:oMath>
            </m:oMathPara>
          </w:p>
        </w:tc>
        <w:tc>
          <w:tcPr>
            <w:tcW w:w="1247" w:type="dxa"/>
            <w:vAlign w:val="center"/>
          </w:tcPr>
          <w:p w14:paraId="4C706511" w14:textId="78E8E01C" w:rsidR="00BF792D" w:rsidRPr="001455DC" w:rsidRDefault="00BF792D" w:rsidP="00822F09">
            <w:pPr>
              <w:pStyle w:val="a7"/>
              <w:jc w:val="right"/>
            </w:pPr>
            <w:r w:rsidRPr="001455DC">
              <w:t>(B.39)</w:t>
            </w:r>
          </w:p>
        </w:tc>
      </w:tr>
    </w:tbl>
    <w:p w14:paraId="50A74D21" w14:textId="24619FAC" w:rsidR="004E22C1" w:rsidRPr="001455DC" w:rsidRDefault="004E22C1" w:rsidP="00BF792D">
      <w:pPr>
        <w:pStyle w:val="a7"/>
      </w:pPr>
      <w:r w:rsidRPr="001455DC">
        <w:t xml:space="preserve">If </w:t>
      </w:r>
      <w:r w:rsidRPr="001455DC">
        <w:rPr>
          <w:rStyle w:val="CCMCvariableitalic"/>
        </w:rPr>
        <w:t>σ</w:t>
      </w:r>
      <w:r w:rsidRPr="001455DC">
        <w:rPr>
          <w:rStyle w:val="CCMCvariablesubscript"/>
        </w:rPr>
        <w:t>c</w:t>
      </w:r>
      <w:r w:rsidRPr="001455DC">
        <w:t>(</w:t>
      </w:r>
      <w:r w:rsidRPr="001455DC">
        <w:rPr>
          <w:rStyle w:val="CCMCvariableitalic"/>
        </w:rPr>
        <w:t>t</w:t>
      </w:r>
      <w:r w:rsidRPr="001455DC">
        <w:t>) is a continuous function the expression Δ</w:t>
      </w:r>
      <w:r w:rsidRPr="001455DC">
        <w:rPr>
          <w:rStyle w:val="CCMCvariableitalic"/>
        </w:rPr>
        <w:t>σ</w:t>
      </w:r>
      <w:r w:rsidRPr="001455DC">
        <w:rPr>
          <w:rStyle w:val="CCMCvariablesubscript"/>
        </w:rPr>
        <w:t>c</w:t>
      </w:r>
      <w:r w:rsidRPr="001455DC">
        <w:t>(</w:t>
      </w:r>
      <w:r w:rsidRPr="001455DC">
        <w:rPr>
          <w:rStyle w:val="CCMCvariableitalic"/>
        </w:rPr>
        <w:t>τ</w:t>
      </w:r>
      <w:r w:rsidRPr="001455DC">
        <w:rPr>
          <w:rStyle w:val="CCMCvariablesubscript"/>
        </w:rPr>
        <w:t>i</w:t>
      </w:r>
      <w:r w:rsidRPr="001455DC">
        <w:t xml:space="preserve">) may be replaced by </w:t>
      </w:r>
      <m:oMath>
        <m:f>
          <m:fPr>
            <m:ctrlPr>
              <w:rPr>
                <w:rFonts w:ascii="Cambria Math" w:hAnsi="Cambria Math"/>
              </w:rPr>
            </m:ctrlPr>
          </m:fPr>
          <m:num>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σ</m:t>
                </m:r>
              </m:e>
              <m:sub>
                <m:r>
                  <m:rPr>
                    <m:nor/>
                  </m:rPr>
                  <m:t>c</m:t>
                </m:r>
              </m:sub>
            </m:sSub>
            <m:d>
              <m:dPr>
                <m:ctrlPr>
                  <w:rPr>
                    <w:rFonts w:ascii="Cambria Math" w:hAnsi="Cambria Math"/>
                  </w:rPr>
                </m:ctrlPr>
              </m:dPr>
              <m:e>
                <m:r>
                  <m:rPr>
                    <m:sty m:val="p"/>
                  </m:rPr>
                  <w:rPr>
                    <w:rFonts w:ascii="Cambria Math" w:hAnsi="Cambria Math"/>
                  </w:rPr>
                  <m:t>τ</m:t>
                </m:r>
              </m:e>
            </m:d>
          </m:num>
          <m:den>
            <m:r>
              <m:rPr>
                <m:sty m:val="p"/>
              </m:rPr>
              <w:rPr>
                <w:rFonts w:ascii="Cambria Math" w:hAnsi="Cambria Math" w:hint="eastAsia"/>
              </w:rPr>
              <m:t>∂τ</m:t>
            </m:r>
          </m:den>
        </m:f>
        <m:r>
          <m:rPr>
            <m:sty m:val="p"/>
          </m:rPr>
          <w:rPr>
            <w:rFonts w:ascii="Cambria Math" w:hAnsi="Cambria Math"/>
          </w:rPr>
          <m:t>⋅</m:t>
        </m:r>
        <m:r>
          <w:rPr>
            <w:rFonts w:ascii="Cambria Math" w:hAnsi="Cambria Math"/>
          </w:rPr>
          <m:t>d</m:t>
        </m:r>
        <m:r>
          <m:rPr>
            <m:sty m:val="p"/>
          </m:rPr>
          <w:rPr>
            <w:rFonts w:ascii="Cambria Math" w:hAnsi="Cambria Math"/>
          </w:rPr>
          <m:t>τ</m:t>
        </m:r>
      </m:oMath>
      <w:r w:rsidRPr="001455DC">
        <w:t>.</w:t>
      </w:r>
    </w:p>
    <w:p w14:paraId="74DF3F04" w14:textId="503758FC" w:rsidR="00EE6E03" w:rsidRPr="001455DC" w:rsidRDefault="004E22C1" w:rsidP="00BF792D">
      <w:pPr>
        <w:pStyle w:val="a7"/>
      </w:pPr>
      <w:r w:rsidRPr="001455DC">
        <w:t xml:space="preserve">With </w:t>
      </w:r>
      <w:r w:rsidRPr="001455DC">
        <w:rPr>
          <w:rStyle w:val="CCMCvariableitalic"/>
        </w:rPr>
        <w:t>t</w:t>
      </w:r>
      <w:r w:rsidRPr="001455DC">
        <w:t xml:space="preserve"> as the age of concrete at the moment considered and the time </w:t>
      </w:r>
      <w:r w:rsidRPr="001455DC">
        <w:rPr>
          <w:rStyle w:val="CCMCvariableitalic"/>
        </w:rPr>
        <w:t>τ</w:t>
      </w:r>
      <w:r w:rsidRPr="001455DC">
        <w:t xml:space="preserve"> as the integration variable ranging from </w:t>
      </w:r>
      <w:r w:rsidRPr="001455DC">
        <w:rPr>
          <w:rStyle w:val="CCMCvariableitalic"/>
        </w:rPr>
        <w:t>t</w:t>
      </w:r>
      <w:r w:rsidRPr="001455DC">
        <w:rPr>
          <w:rStyle w:val="CCMCvariablesubscript"/>
        </w:rPr>
        <w:t>0</w:t>
      </w:r>
      <w:r w:rsidRPr="001455DC">
        <w:t> </w:t>
      </w:r>
      <w:r w:rsidR="00650035" w:rsidRPr="001455DC">
        <w:rPr>
          <w:rFonts w:ascii="Cambria Math" w:hAnsi="Cambria Math"/>
        </w:rPr>
        <w:t>≤</w:t>
      </w:r>
      <w:r w:rsidRPr="001455DC">
        <w:t> </w:t>
      </w:r>
      <w:r w:rsidRPr="001455DC">
        <w:rPr>
          <w:rStyle w:val="CCMCvariableitalic"/>
        </w:rPr>
        <w:t>τ</w:t>
      </w:r>
      <w:r w:rsidRPr="001455DC">
        <w:t> </w:t>
      </w:r>
      <w:r w:rsidR="00650035" w:rsidRPr="001455DC">
        <w:rPr>
          <w:rFonts w:ascii="Cambria Math" w:hAnsi="Cambria Math"/>
        </w:rPr>
        <w:t>≤</w:t>
      </w:r>
      <w:r w:rsidRPr="001455DC">
        <w:t> </w:t>
      </w:r>
      <w:r w:rsidRPr="001455DC">
        <w:rPr>
          <w:rStyle w:val="CCMCvariableitalic"/>
        </w:rPr>
        <w:t>t</w:t>
      </w:r>
      <w:r w:rsidRPr="001455DC">
        <w:t>, Formula (B.</w:t>
      </w:r>
      <w:r w:rsidR="00F46BA4" w:rsidRPr="001455DC">
        <w:t>39</w:t>
      </w:r>
      <w:r w:rsidRPr="001455DC">
        <w:t>) may then be expressed as follows:</w:t>
      </w:r>
      <w:bookmarkStart w:id="1342" w:name="_Toc52820133"/>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EE6E03" w:rsidRPr="001455DC" w14:paraId="1B2B7562" w14:textId="77777777" w:rsidTr="00EE6E03">
        <w:trPr>
          <w:cantSplit/>
        </w:trPr>
        <w:tc>
          <w:tcPr>
            <w:tcW w:w="8505" w:type="dxa"/>
            <w:vAlign w:val="center"/>
          </w:tcPr>
          <w:p w14:paraId="7CF7B7E8" w14:textId="5B304AB8" w:rsidR="00EE6E03" w:rsidRPr="001455DC" w:rsidRDefault="00231E33">
            <w:pPr>
              <w:pStyle w:val="Formula"/>
              <w:jc w:val="left"/>
            </w:pPr>
            <m:oMathPara>
              <m:oMathParaPr>
                <m:jc m:val="left"/>
              </m:oMathParaPr>
              <m:oMath>
                <m:sSub>
                  <m:sSubPr>
                    <m:ctrlPr>
                      <w:rPr>
                        <w:rFonts w:ascii="Cambria Math" w:hAnsi="Cambria Math"/>
                      </w:rPr>
                    </m:ctrlPr>
                  </m:sSubPr>
                  <m:e>
                    <m:r>
                      <w:rPr>
                        <w:rFonts w:ascii="Cambria Math" w:hAnsi="Cambria Math"/>
                      </w:rPr>
                      <m:t>ε</m:t>
                    </m:r>
                  </m:e>
                  <m:sub>
                    <m:r>
                      <m:rPr>
                        <m:sty m:val="p"/>
                      </m:rPr>
                      <w:rPr>
                        <w:rFonts w:ascii="Cambria Math" w:hAnsi="Cambria Math"/>
                      </w:rPr>
                      <m:t>cσ</m:t>
                    </m:r>
                  </m:sub>
                </m:sSub>
                <m:d>
                  <m:dPr>
                    <m:sepChr m:val=""/>
                    <m:ctrlPr>
                      <w:rPr>
                        <w:rFonts w:ascii="Cambria Math" w:hAnsi="Cambria Math"/>
                      </w:rPr>
                    </m:ctrlPr>
                  </m:dPr>
                  <m:e>
                    <m:r>
                      <w:rPr>
                        <w:rFonts w:ascii="Cambria Math" w:hAnsi="Cambria Math"/>
                      </w:rPr>
                      <m:t>t</m:t>
                    </m:r>
                  </m:e>
                  <m:e>
                    <m:r>
                      <w:rPr>
                        <w:rFonts w:ascii="Cambria Math" w:hAnsi="Cambria Math"/>
                      </w:rPr>
                      <m:t>,</m:t>
                    </m:r>
                  </m:e>
                  <m:e>
                    <m:sSub>
                      <m:sSubPr>
                        <m:ctrlPr>
                          <w:rPr>
                            <w:rFonts w:ascii="Cambria Math" w:hAnsi="Cambria Math"/>
                          </w:rPr>
                        </m:ctrlPr>
                      </m:sSubPr>
                      <m:e>
                        <m:r>
                          <w:rPr>
                            <w:rFonts w:ascii="Cambria Math" w:hAnsi="Cambria Math"/>
                          </w:rPr>
                          <m:t>σ</m:t>
                        </m:r>
                      </m:e>
                      <m:sub>
                        <m:r>
                          <m:rPr>
                            <m:sty m:val="p"/>
                          </m:rPr>
                          <w:rPr>
                            <w:rFonts w:ascii="Cambria Math" w:hAnsi="Cambria Math"/>
                          </w:rPr>
                          <m:t>c</m:t>
                        </m:r>
                      </m:sub>
                    </m:sSub>
                  </m:e>
                </m:d>
                <m:r>
                  <w:rPr>
                    <w:rFonts w:ascii="Cambria Math" w:hAnsi="Cambria Math"/>
                  </w:rPr>
                  <m:t>=</m:t>
                </m:r>
                <m:sSub>
                  <m:sSubPr>
                    <m:ctrlPr>
                      <w:rPr>
                        <w:rFonts w:ascii="Cambria Math" w:hAnsi="Cambria Math"/>
                      </w:rPr>
                    </m:ctrlPr>
                  </m:sSubPr>
                  <m:e>
                    <m:r>
                      <w:rPr>
                        <w:rFonts w:ascii="Cambria Math" w:hAnsi="Cambria Math"/>
                      </w:rPr>
                      <m:t>σ</m:t>
                    </m:r>
                  </m:e>
                  <m:sub>
                    <m:r>
                      <m:rPr>
                        <m:sty m:val="p"/>
                      </m:rPr>
                      <w:rPr>
                        <w:rFonts w:ascii="Cambria Math" w:hAnsi="Cambria Math"/>
                      </w:rPr>
                      <m:t>c</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0</m:t>
                        </m:r>
                      </m:sub>
                    </m:sSub>
                  </m:e>
                </m:d>
                <m:r>
                  <w:rPr>
                    <w:rFonts w:ascii="Cambria Math" w:hAnsi="Cambria Math"/>
                  </w:rPr>
                  <m:t>⋅J</m:t>
                </m:r>
                <m:d>
                  <m:dPr>
                    <m:sepChr m:val=""/>
                    <m:ctrlPr>
                      <w:rPr>
                        <w:rFonts w:ascii="Cambria Math" w:hAnsi="Cambria Math"/>
                      </w:rPr>
                    </m:ctrlPr>
                  </m:dPr>
                  <m:e>
                    <m:r>
                      <w:rPr>
                        <w:rFonts w:ascii="Cambria Math" w:hAnsi="Cambria Math"/>
                      </w:rPr>
                      <m:t>t</m:t>
                    </m:r>
                  </m:e>
                  <m:e>
                    <m:r>
                      <w:rPr>
                        <w:rFonts w:ascii="Cambria Math" w:hAnsi="Cambria Math"/>
                      </w:rPr>
                      <m:t>,</m:t>
                    </m:r>
                  </m:e>
                  <m:e>
                    <m:sSub>
                      <m:sSubPr>
                        <m:ctrlPr>
                          <w:rPr>
                            <w:rFonts w:ascii="Cambria Math" w:hAnsi="Cambria Math"/>
                          </w:rPr>
                        </m:ctrlPr>
                      </m:sSubPr>
                      <m:e>
                        <m:r>
                          <w:rPr>
                            <w:rFonts w:ascii="Cambria Math" w:hAnsi="Cambria Math"/>
                          </w:rPr>
                          <m:t>t</m:t>
                        </m:r>
                      </m:e>
                      <m:sub>
                        <m:r>
                          <w:rPr>
                            <w:rFonts w:ascii="Cambria Math" w:hAnsi="Cambria Math"/>
                          </w:rPr>
                          <m:t>0</m:t>
                        </m:r>
                      </m:sub>
                    </m:sSub>
                  </m:e>
                </m:d>
                <m:r>
                  <w:rPr>
                    <w:rFonts w:ascii="Cambria Math" w:hAnsi="Cambria Math"/>
                  </w:rPr>
                  <m:t>+</m:t>
                </m:r>
                <m:nary>
                  <m:naryPr>
                    <m:limLoc m:val="undOvr"/>
                    <m:ctrlPr>
                      <w:rPr>
                        <w:rFonts w:ascii="Cambria Math" w:hAnsi="Cambria Math"/>
                      </w:rPr>
                    </m:ctrlPr>
                  </m:naryPr>
                  <m:sub>
                    <m:sSub>
                      <m:sSubPr>
                        <m:ctrlPr>
                          <w:rPr>
                            <w:rFonts w:ascii="Cambria Math" w:hAnsi="Cambria Math"/>
                            <w:i/>
                          </w:rPr>
                        </m:ctrlPr>
                      </m:sSubPr>
                      <m:e>
                        <m:r>
                          <w:rPr>
                            <w:rFonts w:ascii="Cambria Math" w:hAnsi="Cambria Math"/>
                          </w:rPr>
                          <m:t>t</m:t>
                        </m:r>
                      </m:e>
                      <m:sub>
                        <m:r>
                          <w:rPr>
                            <w:rFonts w:ascii="Cambria Math" w:hAnsi="Cambria Math"/>
                          </w:rPr>
                          <m:t>0</m:t>
                        </m:r>
                      </m:sub>
                    </m:sSub>
                  </m:sub>
                  <m:sup>
                    <m:r>
                      <w:rPr>
                        <w:rFonts w:ascii="Cambria Math" w:hAnsi="Cambria Math"/>
                      </w:rPr>
                      <m:t>t</m:t>
                    </m:r>
                  </m:sup>
                  <m:e>
                    <m:f>
                      <m:fPr>
                        <m:ctrlPr>
                          <w:rPr>
                            <w:rFonts w:ascii="Cambria Math" w:hAnsi="Cambria Math"/>
                            <w:i/>
                          </w:rPr>
                        </m:ctrlPr>
                      </m:fPr>
                      <m:num>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σ</m:t>
                            </m:r>
                          </m:e>
                          <m:sub>
                            <m:r>
                              <m:rPr>
                                <m:nor/>
                              </m:rPr>
                              <m:t>c</m:t>
                            </m:r>
                          </m:sub>
                        </m:sSub>
                        <m:d>
                          <m:dPr>
                            <m:ctrlPr>
                              <w:rPr>
                                <w:rFonts w:ascii="Cambria Math" w:hAnsi="Cambria Math"/>
                              </w:rPr>
                            </m:ctrlPr>
                          </m:dPr>
                          <m:e>
                            <m:r>
                              <m:rPr>
                                <m:sty m:val="p"/>
                              </m:rPr>
                              <w:rPr>
                                <w:rFonts w:ascii="Cambria Math" w:hAnsi="Cambria Math"/>
                              </w:rPr>
                              <m:t>τ</m:t>
                            </m:r>
                          </m:e>
                        </m:d>
                      </m:num>
                      <m:den>
                        <m:r>
                          <m:rPr>
                            <m:sty m:val="p"/>
                          </m:rPr>
                          <w:rPr>
                            <w:rFonts w:ascii="Cambria Math" w:hAnsi="Cambria Math" w:hint="eastAsia"/>
                          </w:rPr>
                          <m:t>∂τ</m:t>
                        </m:r>
                      </m:den>
                    </m:f>
                  </m:e>
                </m:nary>
                <m:r>
                  <w:rPr>
                    <w:rFonts w:ascii="Cambria Math" w:hAnsi="Cambria Math"/>
                  </w:rPr>
                  <m:t>⋅J</m:t>
                </m:r>
                <m:d>
                  <m:dPr>
                    <m:sepChr m:val=""/>
                    <m:ctrlPr>
                      <w:rPr>
                        <w:rFonts w:ascii="Cambria Math" w:hAnsi="Cambria Math"/>
                      </w:rPr>
                    </m:ctrlPr>
                  </m:dPr>
                  <m:e>
                    <m:r>
                      <w:rPr>
                        <w:rFonts w:ascii="Cambria Math" w:hAnsi="Cambria Math"/>
                      </w:rPr>
                      <m:t>t</m:t>
                    </m:r>
                  </m:e>
                  <m:e>
                    <m:r>
                      <w:rPr>
                        <w:rFonts w:ascii="Cambria Math" w:hAnsi="Cambria Math"/>
                      </w:rPr>
                      <m:t>,</m:t>
                    </m:r>
                  </m:e>
                  <m:e>
                    <m:sSub>
                      <m:sSubPr>
                        <m:ctrlPr>
                          <w:rPr>
                            <w:rFonts w:ascii="Cambria Math" w:hAnsi="Cambria Math"/>
                          </w:rPr>
                        </m:ctrlPr>
                      </m:sSubPr>
                      <m:e>
                        <m:r>
                          <w:rPr>
                            <w:rFonts w:ascii="Cambria Math" w:hAnsi="Cambria Math"/>
                          </w:rPr>
                          <m:t>τ</m:t>
                        </m:r>
                      </m:e>
                      <m:sub>
                        <m:r>
                          <m:rPr>
                            <m:sty m:val="p"/>
                          </m:rPr>
                          <w:rPr>
                            <w:rFonts w:ascii="Cambria Math" w:hAnsi="Cambria Math"/>
                          </w:rPr>
                          <m:t>i</m:t>
                        </m:r>
                      </m:sub>
                    </m:sSub>
                  </m:e>
                </m:d>
              </m:oMath>
            </m:oMathPara>
          </w:p>
        </w:tc>
        <w:tc>
          <w:tcPr>
            <w:tcW w:w="1247" w:type="dxa"/>
            <w:vAlign w:val="center"/>
          </w:tcPr>
          <w:p w14:paraId="465738D1" w14:textId="5FF6042D" w:rsidR="00EE6E03" w:rsidRPr="001455DC" w:rsidRDefault="00EE6E03">
            <w:pPr>
              <w:pStyle w:val="a7"/>
              <w:jc w:val="right"/>
            </w:pPr>
            <w:r w:rsidRPr="001455DC">
              <w:t>(B.40)</w:t>
            </w:r>
          </w:p>
        </w:tc>
      </w:tr>
    </w:tbl>
    <w:p w14:paraId="0B6D2326" w14:textId="33816401" w:rsidR="004E22C1" w:rsidRPr="009D3012" w:rsidRDefault="004E22C1" w:rsidP="00082680">
      <w:pPr>
        <w:pStyle w:val="a2"/>
      </w:pPr>
      <w:bookmarkStart w:id="1343" w:name="_Toc67565527"/>
      <w:r w:rsidRPr="009D3012">
        <w:t>Relaxation of prestressing steel</w:t>
      </w:r>
      <w:bookmarkEnd w:id="1342"/>
      <w:bookmarkEnd w:id="1343"/>
    </w:p>
    <w:p w14:paraId="74EA202D" w14:textId="1D460C58" w:rsidR="004E22C1" w:rsidRPr="001455DC" w:rsidRDefault="004E22C1" w:rsidP="00BF792D">
      <w:pPr>
        <w:pStyle w:val="a7"/>
      </w:pPr>
      <w:r w:rsidRPr="001455DC">
        <w:t>(1)</w:t>
      </w:r>
      <w:r w:rsidRPr="001455DC">
        <w:tab/>
        <w:t xml:space="preserve">The design calculations for the loss of tendon stress due to relaxation of the prestressing steel should be based on the value of </w:t>
      </w:r>
      <w:r w:rsidRPr="001455DC">
        <w:rPr>
          <w:rStyle w:val="CCMCvariableitalic"/>
        </w:rPr>
        <w:t>ρ</w:t>
      </w:r>
      <w:r w:rsidRPr="001455DC">
        <w:rPr>
          <w:rStyle w:val="CCMCvariablesubscript"/>
        </w:rPr>
        <w:t>1000</w:t>
      </w:r>
      <w:r w:rsidRPr="001455DC">
        <w:t>, the relaxation loss [ %] at 1</w:t>
      </w:r>
      <w:r w:rsidR="00932315" w:rsidRPr="001455DC">
        <w:t xml:space="preserve"> </w:t>
      </w:r>
      <w:r w:rsidRPr="001455DC">
        <w:t>000 hours after tensioning to an initial load of either 70 % or 80 % of the actual strength of the prestressing steel and at a mean temperature of 20 °C.</w:t>
      </w:r>
    </w:p>
    <w:p w14:paraId="54E14F7B" w14:textId="765D8AAB" w:rsidR="004E22C1" w:rsidRPr="001455DC" w:rsidRDefault="004E22C1" w:rsidP="00BF792D">
      <w:pPr>
        <w:pStyle w:val="a7"/>
      </w:pPr>
      <w:r w:rsidRPr="001455DC">
        <w:t>(2)</w:t>
      </w:r>
      <w:r w:rsidRPr="001455DC">
        <w:tab/>
        <w:t xml:space="preserve">The values for </w:t>
      </w:r>
      <w:r w:rsidRPr="001455DC">
        <w:rPr>
          <w:rStyle w:val="CCMCvariableitalic"/>
        </w:rPr>
        <w:t>ρ</w:t>
      </w:r>
      <w:r w:rsidRPr="001455DC">
        <w:rPr>
          <w:rStyle w:val="CCMCvariablesubscript"/>
        </w:rPr>
        <w:t>1000</w:t>
      </w:r>
      <w:r w:rsidRPr="001455DC">
        <w:t xml:space="preserve"> may either be taken from Table B.</w:t>
      </w:r>
      <w:r w:rsidR="00932315" w:rsidRPr="001455DC">
        <w:t xml:space="preserve">4 </w:t>
      </w:r>
      <w:r w:rsidRPr="001455DC">
        <w:t>or may be taken from test certificates from the manufacturer of the specific fabrication lot of prestressing steel for the same type of prestressing steel.</w:t>
      </w:r>
    </w:p>
    <w:p w14:paraId="62B2F706" w14:textId="7D9DBB20" w:rsidR="004E22C1" w:rsidRPr="001455DC" w:rsidRDefault="004E22C1" w:rsidP="00BF792D">
      <w:pPr>
        <w:pStyle w:val="Tabletitle"/>
        <w:rPr>
          <w:snapToGrid w:val="0"/>
        </w:rPr>
      </w:pPr>
      <w:bookmarkStart w:id="1344" w:name="_Toc54337538"/>
      <w:r w:rsidRPr="001455DC">
        <w:rPr>
          <w:snapToGrid w:val="0"/>
        </w:rPr>
        <w:t>Table B.</w:t>
      </w:r>
      <w:r w:rsidR="00932315" w:rsidRPr="001455DC">
        <w:rPr>
          <w:snapToGrid w:val="0"/>
        </w:rPr>
        <w:t>4 </w:t>
      </w:r>
      <w:r w:rsidRPr="001455DC">
        <w:rPr>
          <w:snapToGrid w:val="0"/>
        </w:rPr>
        <w:t>— Relaxation of prestressing steel</w:t>
      </w:r>
      <w:bookmarkEnd w:id="1344"/>
      <w:r w:rsidRPr="001455DC">
        <w:t xml:space="preserve"> </w:t>
      </w:r>
    </w:p>
    <w:tbl>
      <w:tblPr>
        <w:tblStyle w:val="53"/>
        <w:tblW w:w="9752" w:type="dxa"/>
        <w:tblLayout w:type="fixed"/>
        <w:tblLook w:val="0660" w:firstRow="1" w:lastRow="1" w:firstColumn="0" w:lastColumn="0" w:noHBand="1" w:noVBand="1"/>
      </w:tblPr>
      <w:tblGrid>
        <w:gridCol w:w="5752"/>
        <w:gridCol w:w="1280"/>
        <w:gridCol w:w="1280"/>
        <w:gridCol w:w="1440"/>
      </w:tblGrid>
      <w:tr w:rsidR="004E22C1" w:rsidRPr="001455DC" w14:paraId="69BC090D" w14:textId="77777777" w:rsidTr="00BF792D">
        <w:trPr>
          <w:cnfStyle w:val="100000000000" w:firstRow="1" w:lastRow="0" w:firstColumn="0" w:lastColumn="0" w:oddVBand="0" w:evenVBand="0" w:oddHBand="0" w:evenHBand="0" w:firstRowFirstColumn="0" w:firstRowLastColumn="0" w:lastRowFirstColumn="0" w:lastRowLastColumn="0"/>
          <w:cantSplit/>
          <w:tblHeader/>
        </w:trPr>
        <w:tc>
          <w:tcPr>
            <w:tcW w:w="5752" w:type="dxa"/>
          </w:tcPr>
          <w:p w14:paraId="06BB9D1D" w14:textId="7A093BF9" w:rsidR="004E22C1" w:rsidRPr="009D3012" w:rsidRDefault="004E22C1" w:rsidP="00BF792D">
            <w:pPr>
              <w:pStyle w:val="Tableheader"/>
              <w:rPr>
                <w:lang w:val="en-US"/>
              </w:rPr>
            </w:pPr>
            <w:r w:rsidRPr="009D3012">
              <w:rPr>
                <w:lang w:val="en-US"/>
              </w:rPr>
              <w:t>Maximum relaxation at 1</w:t>
            </w:r>
            <w:r w:rsidR="00932315" w:rsidRPr="009D3012">
              <w:rPr>
                <w:lang w:val="en-US"/>
              </w:rPr>
              <w:t xml:space="preserve"> </w:t>
            </w:r>
            <w:r w:rsidRPr="009D3012">
              <w:rPr>
                <w:lang w:val="en-US"/>
              </w:rPr>
              <w:t xml:space="preserve">000 hours </w:t>
            </w:r>
            <w:r w:rsidRPr="009D3012">
              <w:rPr>
                <w:rStyle w:val="CCMCvariablesuperscript"/>
                <w:b w:val="0"/>
                <w:bCs/>
                <w:lang w:val="en-US"/>
              </w:rPr>
              <w:t>a</w:t>
            </w:r>
          </w:p>
        </w:tc>
        <w:tc>
          <w:tcPr>
            <w:tcW w:w="4000" w:type="dxa"/>
            <w:gridSpan w:val="3"/>
          </w:tcPr>
          <w:p w14:paraId="668725A5" w14:textId="77777777" w:rsidR="004E22C1" w:rsidRPr="009D3012" w:rsidRDefault="004E22C1" w:rsidP="00BF792D">
            <w:pPr>
              <w:pStyle w:val="Tableheader"/>
              <w:rPr>
                <w:rStyle w:val="CCMCvariableitalic"/>
              </w:rPr>
            </w:pPr>
            <w:r w:rsidRPr="001455DC">
              <w:rPr>
                <w:rStyle w:val="CCMCvariableitalic"/>
              </w:rPr>
              <w:t>ρ</w:t>
            </w:r>
            <w:r w:rsidRPr="001455DC">
              <w:rPr>
                <w:rStyle w:val="CCMCvariablesubscript"/>
              </w:rPr>
              <w:t>1000</w:t>
            </w:r>
          </w:p>
        </w:tc>
      </w:tr>
      <w:tr w:rsidR="00BF792D" w:rsidRPr="001455DC" w14:paraId="3B95792B" w14:textId="77777777" w:rsidTr="00BF792D">
        <w:trPr>
          <w:cnfStyle w:val="100000000000" w:firstRow="1" w:lastRow="0" w:firstColumn="0" w:lastColumn="0" w:oddVBand="0" w:evenVBand="0" w:oddHBand="0" w:evenHBand="0" w:firstRowFirstColumn="0" w:firstRowLastColumn="0" w:lastRowFirstColumn="0" w:lastRowLastColumn="0"/>
          <w:cantSplit/>
          <w:trHeight w:val="217"/>
          <w:tblHeader/>
        </w:trPr>
        <w:tc>
          <w:tcPr>
            <w:tcW w:w="5752" w:type="dxa"/>
            <w:vMerge w:val="restart"/>
          </w:tcPr>
          <w:p w14:paraId="6DB416F4" w14:textId="10F0AAB1" w:rsidR="00BF792D" w:rsidRPr="001455DC" w:rsidRDefault="00BF792D" w:rsidP="00BF792D">
            <w:pPr>
              <w:pStyle w:val="Tableheader"/>
            </w:pPr>
            <w:r w:rsidRPr="001455DC">
              <w:t>Type of prestressing steel</w:t>
            </w:r>
          </w:p>
        </w:tc>
        <w:tc>
          <w:tcPr>
            <w:tcW w:w="1280" w:type="dxa"/>
            <w:vMerge w:val="restart"/>
          </w:tcPr>
          <w:p w14:paraId="30E189AD" w14:textId="77777777" w:rsidR="00BF792D" w:rsidRPr="001455DC" w:rsidRDefault="00BF792D" w:rsidP="00BF792D">
            <w:pPr>
              <w:pStyle w:val="Tableheader"/>
              <w:rPr>
                <w:bCs/>
              </w:rPr>
            </w:pPr>
            <w:r w:rsidRPr="001455DC">
              <w:rPr>
                <w:bCs/>
              </w:rPr>
              <w:t>Wires and Strands</w:t>
            </w:r>
          </w:p>
        </w:tc>
        <w:tc>
          <w:tcPr>
            <w:tcW w:w="1280" w:type="dxa"/>
            <w:tcBorders>
              <w:bottom w:val="nil"/>
            </w:tcBorders>
          </w:tcPr>
          <w:p w14:paraId="4F9661C1" w14:textId="20F5A86D" w:rsidR="00BF792D" w:rsidRPr="001455DC" w:rsidRDefault="00BF792D" w:rsidP="00BF792D">
            <w:pPr>
              <w:pStyle w:val="Tableheader"/>
              <w:rPr>
                <w:bCs/>
              </w:rPr>
            </w:pPr>
            <w:r w:rsidRPr="001455DC">
              <w:rPr>
                <w:bCs/>
              </w:rPr>
              <w:t>Bars</w:t>
            </w:r>
          </w:p>
        </w:tc>
        <w:tc>
          <w:tcPr>
            <w:tcW w:w="1440" w:type="dxa"/>
            <w:tcBorders>
              <w:bottom w:val="nil"/>
            </w:tcBorders>
          </w:tcPr>
          <w:p w14:paraId="0D3168FD" w14:textId="318D9E10" w:rsidR="00BF792D" w:rsidRPr="001455DC" w:rsidRDefault="00BF792D" w:rsidP="00BF792D">
            <w:pPr>
              <w:pStyle w:val="Tableheader"/>
              <w:rPr>
                <w:bCs/>
              </w:rPr>
            </w:pPr>
            <w:r w:rsidRPr="001455DC">
              <w:rPr>
                <w:bCs/>
              </w:rPr>
              <w:t>Bars</w:t>
            </w:r>
          </w:p>
        </w:tc>
      </w:tr>
      <w:tr w:rsidR="00BF792D" w:rsidRPr="001455DC" w14:paraId="42482586" w14:textId="77777777" w:rsidTr="00BF792D">
        <w:trPr>
          <w:cnfStyle w:val="100000000000" w:firstRow="1" w:lastRow="0" w:firstColumn="0" w:lastColumn="0" w:oddVBand="0" w:evenVBand="0" w:oddHBand="0" w:evenHBand="0" w:firstRowFirstColumn="0" w:firstRowLastColumn="0" w:lastRowFirstColumn="0" w:lastRowLastColumn="0"/>
          <w:cantSplit/>
          <w:trHeight w:val="217"/>
          <w:tblHeader/>
        </w:trPr>
        <w:tc>
          <w:tcPr>
            <w:tcW w:w="5752" w:type="dxa"/>
            <w:vMerge/>
          </w:tcPr>
          <w:p w14:paraId="5EA83BD5" w14:textId="77777777" w:rsidR="00BF792D" w:rsidRPr="001455DC" w:rsidRDefault="00BF792D" w:rsidP="00BF792D">
            <w:pPr>
              <w:pStyle w:val="Tableheader"/>
            </w:pPr>
          </w:p>
        </w:tc>
        <w:tc>
          <w:tcPr>
            <w:tcW w:w="1280" w:type="dxa"/>
            <w:vMerge/>
          </w:tcPr>
          <w:p w14:paraId="770C539C" w14:textId="77777777" w:rsidR="00BF792D" w:rsidRPr="001455DC" w:rsidRDefault="00BF792D" w:rsidP="00BF792D">
            <w:pPr>
              <w:pStyle w:val="Tableheader"/>
              <w:rPr>
                <w:bCs/>
              </w:rPr>
            </w:pPr>
          </w:p>
        </w:tc>
        <w:tc>
          <w:tcPr>
            <w:tcW w:w="1280" w:type="dxa"/>
            <w:tcBorders>
              <w:top w:val="nil"/>
            </w:tcBorders>
          </w:tcPr>
          <w:p w14:paraId="2EF083D4" w14:textId="3118588C" w:rsidR="00BF792D" w:rsidRPr="001455DC" w:rsidRDefault="00BF792D" w:rsidP="00BF792D">
            <w:pPr>
              <w:pStyle w:val="Tableheader"/>
              <w:rPr>
                <w:bCs/>
              </w:rPr>
            </w:pPr>
            <w:r w:rsidRPr="001455DC">
              <w:rPr>
                <w:rStyle w:val="CCMCvariableitalic"/>
              </w:rPr>
              <w:t>ϕ</w:t>
            </w:r>
            <w:r w:rsidRPr="001455DC">
              <w:rPr>
                <w:bCs/>
              </w:rPr>
              <w:t> </w:t>
            </w:r>
            <w:r w:rsidR="00650035" w:rsidRPr="001455DC">
              <w:rPr>
                <w:rFonts w:ascii="Cambria Math" w:hAnsi="Cambria Math"/>
                <w:bCs/>
              </w:rPr>
              <w:t>≤</w:t>
            </w:r>
            <w:r w:rsidRPr="001455DC">
              <w:rPr>
                <w:bCs/>
              </w:rPr>
              <w:t> 15 mm</w:t>
            </w:r>
          </w:p>
        </w:tc>
        <w:tc>
          <w:tcPr>
            <w:tcW w:w="1440" w:type="dxa"/>
            <w:tcBorders>
              <w:top w:val="nil"/>
            </w:tcBorders>
          </w:tcPr>
          <w:p w14:paraId="5BFE351B" w14:textId="098F1895" w:rsidR="00BF792D" w:rsidRPr="001455DC" w:rsidRDefault="00BF792D" w:rsidP="00BF792D">
            <w:pPr>
              <w:pStyle w:val="Tableheader"/>
              <w:rPr>
                <w:bCs/>
              </w:rPr>
            </w:pPr>
            <w:r w:rsidRPr="001455DC">
              <w:rPr>
                <w:rStyle w:val="CCMCvariableitalic"/>
              </w:rPr>
              <w:t>ϕ</w:t>
            </w:r>
            <w:r w:rsidRPr="001455DC">
              <w:rPr>
                <w:bCs/>
              </w:rPr>
              <w:t> </w:t>
            </w:r>
            <w:r w:rsidR="00650035" w:rsidRPr="001455DC">
              <w:rPr>
                <w:rFonts w:ascii="Cambria Math" w:hAnsi="Cambria Math"/>
                <w:bCs/>
              </w:rPr>
              <w:t>&gt;</w:t>
            </w:r>
            <w:r w:rsidRPr="001455DC">
              <w:rPr>
                <w:bCs/>
              </w:rPr>
              <w:t> 15 mm</w:t>
            </w:r>
          </w:p>
        </w:tc>
      </w:tr>
      <w:tr w:rsidR="004E22C1" w:rsidRPr="001455DC" w14:paraId="6124EED9" w14:textId="77777777" w:rsidTr="00BF792D">
        <w:trPr>
          <w:cantSplit/>
        </w:trPr>
        <w:tc>
          <w:tcPr>
            <w:tcW w:w="5752" w:type="dxa"/>
            <w:vAlign w:val="center"/>
          </w:tcPr>
          <w:p w14:paraId="7056367E" w14:textId="77777777" w:rsidR="004E22C1" w:rsidRPr="009D3012" w:rsidRDefault="004E22C1" w:rsidP="00BF792D">
            <w:pPr>
              <w:pStyle w:val="Tablebody"/>
              <w:jc w:val="left"/>
              <w:rPr>
                <w:lang w:val="en-US"/>
              </w:rPr>
            </w:pPr>
            <w:r w:rsidRPr="009D3012">
              <w:rPr>
                <w:lang w:val="en-US"/>
              </w:rPr>
              <w:t xml:space="preserve">for initial stress </w:t>
            </w:r>
            <w:r w:rsidRPr="001455DC">
              <w:rPr>
                <w:rStyle w:val="CCMCvariableitalic"/>
              </w:rPr>
              <w:t>σ</w:t>
            </w:r>
            <w:r w:rsidRPr="009D3012">
              <w:rPr>
                <w:rStyle w:val="CCMCvariablesubscript"/>
                <w:lang w:val="en-US"/>
              </w:rPr>
              <w:t>pi</w:t>
            </w:r>
            <w:r w:rsidRPr="009D3012">
              <w:rPr>
                <w:lang w:val="en-US"/>
              </w:rPr>
              <w:t xml:space="preserve"> of 50 % of actual tensile strength</w:t>
            </w:r>
            <w:r w:rsidRPr="009D3012">
              <w:rPr>
                <w:szCs w:val="22"/>
                <w:lang w:val="en-US"/>
              </w:rPr>
              <w:t xml:space="preserve"> </w:t>
            </w:r>
            <w:r w:rsidRPr="009D3012">
              <w:rPr>
                <w:rStyle w:val="CCMCvariableitalic"/>
                <w:lang w:val="en-US"/>
              </w:rPr>
              <w:t>f</w:t>
            </w:r>
            <w:r w:rsidRPr="009D3012">
              <w:rPr>
                <w:rStyle w:val="CCMCvariablesubscript"/>
                <w:lang w:val="en-US"/>
              </w:rPr>
              <w:t>p</w:t>
            </w:r>
          </w:p>
        </w:tc>
        <w:tc>
          <w:tcPr>
            <w:tcW w:w="1280" w:type="dxa"/>
            <w:vAlign w:val="center"/>
          </w:tcPr>
          <w:p w14:paraId="367571BE" w14:textId="77777777" w:rsidR="004E22C1" w:rsidRPr="001455DC" w:rsidRDefault="004E22C1" w:rsidP="00BF792D">
            <w:pPr>
              <w:pStyle w:val="Tablebody"/>
              <w:jc w:val="center"/>
            </w:pPr>
            <w:r w:rsidRPr="001455DC">
              <w:t>0 %</w:t>
            </w:r>
          </w:p>
        </w:tc>
        <w:tc>
          <w:tcPr>
            <w:tcW w:w="1280" w:type="dxa"/>
            <w:vAlign w:val="center"/>
          </w:tcPr>
          <w:p w14:paraId="52994423" w14:textId="77777777" w:rsidR="004E22C1" w:rsidRPr="001455DC" w:rsidRDefault="004E22C1" w:rsidP="00BF792D">
            <w:pPr>
              <w:pStyle w:val="Tablebody"/>
              <w:jc w:val="center"/>
            </w:pPr>
            <w:r w:rsidRPr="001455DC">
              <w:t>0 %</w:t>
            </w:r>
          </w:p>
        </w:tc>
        <w:tc>
          <w:tcPr>
            <w:tcW w:w="1440" w:type="dxa"/>
            <w:vAlign w:val="center"/>
          </w:tcPr>
          <w:p w14:paraId="5CD7E2CE" w14:textId="77777777" w:rsidR="004E22C1" w:rsidRPr="001455DC" w:rsidRDefault="004E22C1" w:rsidP="00BF792D">
            <w:pPr>
              <w:pStyle w:val="Tablebody"/>
              <w:jc w:val="center"/>
            </w:pPr>
            <w:r w:rsidRPr="001455DC">
              <w:t>0 %</w:t>
            </w:r>
          </w:p>
        </w:tc>
      </w:tr>
      <w:tr w:rsidR="004E22C1" w:rsidRPr="001455DC" w14:paraId="4BF24FFC" w14:textId="77777777" w:rsidTr="00BF792D">
        <w:trPr>
          <w:cantSplit/>
        </w:trPr>
        <w:tc>
          <w:tcPr>
            <w:tcW w:w="5752" w:type="dxa"/>
            <w:vAlign w:val="center"/>
          </w:tcPr>
          <w:p w14:paraId="60EBD7E4" w14:textId="77777777" w:rsidR="004E22C1" w:rsidRPr="009D3012" w:rsidRDefault="004E22C1" w:rsidP="00BF792D">
            <w:pPr>
              <w:pStyle w:val="Tablebody"/>
              <w:jc w:val="left"/>
              <w:rPr>
                <w:lang w:val="en-US"/>
              </w:rPr>
            </w:pPr>
            <w:r w:rsidRPr="009D3012">
              <w:rPr>
                <w:lang w:val="en-US"/>
              </w:rPr>
              <w:t xml:space="preserve">for initial stress </w:t>
            </w:r>
            <w:r w:rsidRPr="001455DC">
              <w:rPr>
                <w:rStyle w:val="CCMCvariableitalic"/>
              </w:rPr>
              <w:t>σ</w:t>
            </w:r>
            <w:r w:rsidRPr="009D3012">
              <w:rPr>
                <w:rStyle w:val="CCMCvariablesubscript"/>
                <w:lang w:val="en-US"/>
              </w:rPr>
              <w:t>pi</w:t>
            </w:r>
            <w:r w:rsidRPr="009D3012">
              <w:rPr>
                <w:lang w:val="en-US"/>
              </w:rPr>
              <w:t xml:space="preserve"> of 70 % of actual tensile strength </w:t>
            </w:r>
            <w:r w:rsidRPr="009D3012">
              <w:rPr>
                <w:rStyle w:val="CCMCvariableitalic"/>
                <w:lang w:val="en-US"/>
              </w:rPr>
              <w:t>f</w:t>
            </w:r>
            <w:r w:rsidRPr="009D3012">
              <w:rPr>
                <w:rStyle w:val="CCMCvariablesubscript"/>
                <w:lang w:val="en-US"/>
              </w:rPr>
              <w:t>p</w:t>
            </w:r>
          </w:p>
        </w:tc>
        <w:tc>
          <w:tcPr>
            <w:tcW w:w="1280" w:type="dxa"/>
            <w:vAlign w:val="center"/>
          </w:tcPr>
          <w:p w14:paraId="52C63698" w14:textId="77777777" w:rsidR="004E22C1" w:rsidRPr="001455DC" w:rsidRDefault="004E22C1" w:rsidP="00BF792D">
            <w:pPr>
              <w:pStyle w:val="Tablebody"/>
              <w:jc w:val="center"/>
            </w:pPr>
            <w:r w:rsidRPr="001455DC">
              <w:t>2,5 %</w:t>
            </w:r>
          </w:p>
        </w:tc>
        <w:tc>
          <w:tcPr>
            <w:tcW w:w="1280" w:type="dxa"/>
            <w:vAlign w:val="center"/>
          </w:tcPr>
          <w:p w14:paraId="19294D39" w14:textId="77777777" w:rsidR="004E22C1" w:rsidRPr="001455DC" w:rsidRDefault="004E22C1" w:rsidP="00BF792D">
            <w:pPr>
              <w:pStyle w:val="Tablebody"/>
              <w:jc w:val="center"/>
            </w:pPr>
            <w:r w:rsidRPr="001455DC">
              <w:t>6,0 %</w:t>
            </w:r>
          </w:p>
        </w:tc>
        <w:tc>
          <w:tcPr>
            <w:tcW w:w="1440" w:type="dxa"/>
            <w:vAlign w:val="center"/>
          </w:tcPr>
          <w:p w14:paraId="60843BAD" w14:textId="77777777" w:rsidR="004E22C1" w:rsidRPr="001455DC" w:rsidRDefault="004E22C1" w:rsidP="00BF792D">
            <w:pPr>
              <w:pStyle w:val="Tablebody"/>
              <w:jc w:val="center"/>
            </w:pPr>
            <w:r w:rsidRPr="001455DC">
              <w:t>4,0 %</w:t>
            </w:r>
          </w:p>
        </w:tc>
      </w:tr>
      <w:tr w:rsidR="004E22C1" w:rsidRPr="001455DC" w14:paraId="7DDD84F8" w14:textId="77777777" w:rsidTr="00BF792D">
        <w:trPr>
          <w:cantSplit/>
        </w:trPr>
        <w:tc>
          <w:tcPr>
            <w:tcW w:w="5752" w:type="dxa"/>
            <w:tcBorders>
              <w:bottom w:val="single" w:sz="12" w:space="0" w:color="000000"/>
            </w:tcBorders>
            <w:vAlign w:val="center"/>
          </w:tcPr>
          <w:p w14:paraId="29F36538" w14:textId="77777777" w:rsidR="004E22C1" w:rsidRPr="009D3012" w:rsidRDefault="004E22C1" w:rsidP="00BF792D">
            <w:pPr>
              <w:pStyle w:val="Tablebody"/>
              <w:jc w:val="left"/>
              <w:rPr>
                <w:rStyle w:val="CCMCvariablesuperscript"/>
                <w:lang w:val="en-US"/>
              </w:rPr>
            </w:pPr>
            <w:r w:rsidRPr="009D3012">
              <w:rPr>
                <w:lang w:val="en-US"/>
              </w:rPr>
              <w:t xml:space="preserve">for initial stress </w:t>
            </w:r>
            <w:r w:rsidRPr="001455DC">
              <w:rPr>
                <w:rStyle w:val="CCMCvariableitalic"/>
              </w:rPr>
              <w:t>σ</w:t>
            </w:r>
            <w:r w:rsidRPr="009D3012">
              <w:rPr>
                <w:rStyle w:val="CCMCvariablesubscript"/>
                <w:lang w:val="en-US"/>
              </w:rPr>
              <w:t>pi</w:t>
            </w:r>
            <w:r w:rsidRPr="009D3012">
              <w:rPr>
                <w:lang w:val="en-US"/>
              </w:rPr>
              <w:t xml:space="preserve"> of 80 % of actual tensile strength </w:t>
            </w:r>
            <w:r w:rsidRPr="009D3012">
              <w:rPr>
                <w:rStyle w:val="CCMCvariableitalic"/>
                <w:lang w:val="en-US"/>
              </w:rPr>
              <w:t>f</w:t>
            </w:r>
            <w:r w:rsidRPr="009D3012">
              <w:rPr>
                <w:rStyle w:val="CCMCvariablesubscript"/>
                <w:lang w:val="en-US"/>
              </w:rPr>
              <w:t>p</w:t>
            </w:r>
          </w:p>
        </w:tc>
        <w:tc>
          <w:tcPr>
            <w:tcW w:w="1280" w:type="dxa"/>
            <w:tcBorders>
              <w:bottom w:val="single" w:sz="12" w:space="0" w:color="000000"/>
            </w:tcBorders>
            <w:vAlign w:val="center"/>
          </w:tcPr>
          <w:p w14:paraId="797ED3AE" w14:textId="77777777" w:rsidR="004E22C1" w:rsidRPr="001455DC" w:rsidRDefault="004E22C1" w:rsidP="00BF792D">
            <w:pPr>
              <w:pStyle w:val="Tablebody"/>
              <w:jc w:val="center"/>
            </w:pPr>
            <w:r w:rsidRPr="001455DC">
              <w:t>4,5 %</w:t>
            </w:r>
          </w:p>
        </w:tc>
        <w:tc>
          <w:tcPr>
            <w:tcW w:w="1280" w:type="dxa"/>
            <w:tcBorders>
              <w:bottom w:val="single" w:sz="12" w:space="0" w:color="000000"/>
            </w:tcBorders>
            <w:vAlign w:val="center"/>
          </w:tcPr>
          <w:p w14:paraId="118BBF36" w14:textId="77777777" w:rsidR="004E22C1" w:rsidRPr="001455DC" w:rsidRDefault="004E22C1" w:rsidP="00BF792D">
            <w:pPr>
              <w:pStyle w:val="Tablebody"/>
              <w:jc w:val="center"/>
            </w:pPr>
            <w:r w:rsidRPr="001455DC">
              <w:t>–</w:t>
            </w:r>
          </w:p>
        </w:tc>
        <w:tc>
          <w:tcPr>
            <w:tcW w:w="1440" w:type="dxa"/>
            <w:tcBorders>
              <w:bottom w:val="single" w:sz="12" w:space="0" w:color="000000"/>
            </w:tcBorders>
            <w:vAlign w:val="center"/>
          </w:tcPr>
          <w:p w14:paraId="39333DFA" w14:textId="77777777" w:rsidR="004E22C1" w:rsidRPr="001455DC" w:rsidRDefault="004E22C1" w:rsidP="00BF792D">
            <w:pPr>
              <w:pStyle w:val="Tablebody"/>
              <w:jc w:val="center"/>
            </w:pPr>
            <w:r w:rsidRPr="001455DC">
              <w:t>–</w:t>
            </w:r>
          </w:p>
        </w:tc>
      </w:tr>
      <w:tr w:rsidR="004E22C1" w:rsidRPr="001455DC" w14:paraId="69FB484F" w14:textId="77777777" w:rsidTr="00BF792D">
        <w:trPr>
          <w:cantSplit/>
        </w:trPr>
        <w:tc>
          <w:tcPr>
            <w:tcW w:w="9752" w:type="dxa"/>
            <w:gridSpan w:val="4"/>
            <w:tcBorders>
              <w:top w:val="single" w:sz="12" w:space="0" w:color="000000"/>
              <w:bottom w:val="single" w:sz="12" w:space="0" w:color="auto"/>
            </w:tcBorders>
          </w:tcPr>
          <w:p w14:paraId="3643268A" w14:textId="77777777" w:rsidR="004E22C1" w:rsidRPr="009D3012" w:rsidRDefault="004E22C1" w:rsidP="00BF792D">
            <w:pPr>
              <w:pStyle w:val="Tablefooternote"/>
              <w:tabs>
                <w:tab w:val="clear" w:pos="680"/>
                <w:tab w:val="left" w:pos="851"/>
              </w:tabs>
              <w:rPr>
                <w:lang w:val="en-US"/>
              </w:rPr>
            </w:pPr>
            <w:r w:rsidRPr="009D3012">
              <w:rPr>
                <w:lang w:val="en-US"/>
              </w:rPr>
              <w:t>NOTE 1</w:t>
            </w:r>
            <w:r w:rsidRPr="009D3012">
              <w:rPr>
                <w:lang w:val="en-US"/>
              </w:rPr>
              <w:tab/>
              <w:t>Values apply for all prestressing steel strength classes.</w:t>
            </w:r>
          </w:p>
          <w:p w14:paraId="492A4D21" w14:textId="77777777" w:rsidR="004E22C1" w:rsidRPr="009D3012" w:rsidRDefault="004E22C1" w:rsidP="00BF792D">
            <w:pPr>
              <w:pStyle w:val="Tablefooternote"/>
              <w:tabs>
                <w:tab w:val="clear" w:pos="680"/>
                <w:tab w:val="left" w:pos="851"/>
              </w:tabs>
              <w:rPr>
                <w:lang w:val="en-US"/>
              </w:rPr>
            </w:pPr>
            <w:r w:rsidRPr="009D3012">
              <w:rPr>
                <w:lang w:val="en-US"/>
              </w:rPr>
              <w:t>NOTE 2</w:t>
            </w:r>
            <w:r w:rsidRPr="009D3012">
              <w:rPr>
                <w:lang w:val="en-US"/>
              </w:rPr>
              <w:tab/>
              <w:t>In the absence of more detailed information, the relaxation loss can be interpolated linearly between the initial stress values.</w:t>
            </w:r>
          </w:p>
          <w:p w14:paraId="76DDD263" w14:textId="361E4A1C" w:rsidR="004E22C1" w:rsidRPr="009D3012" w:rsidRDefault="004E22C1" w:rsidP="00BF792D">
            <w:pPr>
              <w:pStyle w:val="Tablefooternote"/>
              <w:tabs>
                <w:tab w:val="clear" w:pos="680"/>
                <w:tab w:val="left" w:pos="851"/>
              </w:tabs>
              <w:rPr>
                <w:bCs/>
                <w:lang w:val="en-US"/>
              </w:rPr>
            </w:pPr>
            <w:r w:rsidRPr="009D3012">
              <w:rPr>
                <w:lang w:val="en-US"/>
              </w:rPr>
              <w:t>NOTE 3</w:t>
            </w:r>
            <w:r w:rsidRPr="009D3012">
              <w:rPr>
                <w:lang w:val="en-US"/>
              </w:rPr>
              <w:tab/>
            </w:r>
            <w:r w:rsidRPr="009D3012">
              <w:rPr>
                <w:rStyle w:val="CCMCvariableitalic"/>
                <w:lang w:val="en-US"/>
              </w:rPr>
              <w:t>f</w:t>
            </w:r>
            <w:r w:rsidRPr="009D3012">
              <w:rPr>
                <w:rStyle w:val="CCMCvariablesubscript"/>
                <w:lang w:val="en-US"/>
              </w:rPr>
              <w:t>p</w:t>
            </w:r>
            <w:r w:rsidRPr="009D3012">
              <w:rPr>
                <w:lang w:val="en-US"/>
              </w:rPr>
              <w:t> </w:t>
            </w:r>
            <w:r w:rsidR="00EC27D2" w:rsidRPr="009D3012">
              <w:rPr>
                <w:rFonts w:ascii="Cambria Math" w:hAnsi="Cambria Math"/>
                <w:lang w:val="en-US"/>
              </w:rPr>
              <w:t>=</w:t>
            </w:r>
            <w:r w:rsidRPr="009D3012">
              <w:rPr>
                <w:lang w:val="en-US"/>
              </w:rPr>
              <w:t> </w:t>
            </w:r>
            <w:r w:rsidRPr="009D3012">
              <w:rPr>
                <w:rStyle w:val="CCMCvariableitalic"/>
                <w:lang w:val="en-US"/>
              </w:rPr>
              <w:t>f</w:t>
            </w:r>
            <w:r w:rsidRPr="009D3012">
              <w:rPr>
                <w:rStyle w:val="CCMCvariablesubscript"/>
                <w:lang w:val="en-US"/>
              </w:rPr>
              <w:t>pk</w:t>
            </w:r>
            <w:r w:rsidRPr="009D3012">
              <w:rPr>
                <w:lang w:val="en-US"/>
              </w:rPr>
              <w:t xml:space="preserve"> can be assumed if the actual strength of prestressing steel is not known.</w:t>
            </w:r>
          </w:p>
          <w:p w14:paraId="5A39799C" w14:textId="1836210F" w:rsidR="004E22C1" w:rsidRPr="009D3012" w:rsidRDefault="004E22C1" w:rsidP="00BF792D">
            <w:pPr>
              <w:pStyle w:val="Tablefooternote"/>
              <w:tabs>
                <w:tab w:val="clear" w:pos="680"/>
                <w:tab w:val="left" w:pos="851"/>
              </w:tabs>
              <w:rPr>
                <w:lang w:val="en-US"/>
              </w:rPr>
            </w:pPr>
            <w:r w:rsidRPr="009D3012">
              <w:rPr>
                <w:lang w:val="en-US"/>
              </w:rPr>
              <w:t>NOTE 4</w:t>
            </w:r>
            <w:r w:rsidRPr="009D3012">
              <w:rPr>
                <w:lang w:val="en-US"/>
              </w:rPr>
              <w:tab/>
              <w:t>Relaxation losses are very sensitive to the temperature of the prestressing steel.</w:t>
            </w:r>
          </w:p>
        </w:tc>
      </w:tr>
      <w:tr w:rsidR="00BF792D" w:rsidRPr="001455DC" w14:paraId="3B22BEEC" w14:textId="77777777" w:rsidTr="00BF792D">
        <w:trPr>
          <w:cnfStyle w:val="010000000000" w:firstRow="0" w:lastRow="1" w:firstColumn="0" w:lastColumn="0" w:oddVBand="0" w:evenVBand="0" w:oddHBand="0" w:evenHBand="0" w:firstRowFirstColumn="0" w:firstRowLastColumn="0" w:lastRowFirstColumn="0" w:lastRowLastColumn="0"/>
          <w:cantSplit/>
        </w:trPr>
        <w:tc>
          <w:tcPr>
            <w:tcW w:w="9752" w:type="dxa"/>
            <w:gridSpan w:val="4"/>
          </w:tcPr>
          <w:p w14:paraId="766C7DCB" w14:textId="2B91ECCC" w:rsidR="00BF792D" w:rsidRPr="009D3012" w:rsidRDefault="00BF792D" w:rsidP="00BF792D">
            <w:pPr>
              <w:pStyle w:val="Tablefooter"/>
              <w:rPr>
                <w:lang w:val="en-US"/>
              </w:rPr>
            </w:pPr>
            <w:r w:rsidRPr="009D3012">
              <w:rPr>
                <w:rStyle w:val="CCMCvariablesuperscript"/>
                <w:lang w:val="en-US"/>
              </w:rPr>
              <w:t>a</w:t>
            </w:r>
            <w:r w:rsidRPr="009D3012">
              <w:rPr>
                <w:lang w:val="en-US"/>
              </w:rPr>
              <w:tab/>
              <w:t>Relaxation losses apply at a mean temperature of 20 °C.</w:t>
            </w:r>
          </w:p>
        </w:tc>
      </w:tr>
    </w:tbl>
    <w:p w14:paraId="6811FB74" w14:textId="77777777" w:rsidR="004E22C1" w:rsidRPr="001455DC" w:rsidRDefault="004E22C1" w:rsidP="00BF792D">
      <w:pPr>
        <w:pStyle w:val="a7"/>
      </w:pPr>
    </w:p>
    <w:p w14:paraId="4D40E338" w14:textId="77777777" w:rsidR="00BF792D" w:rsidRPr="001455DC" w:rsidRDefault="004E22C1" w:rsidP="00116AE2">
      <w:pPr>
        <w:pStyle w:val="a7"/>
        <w:keepNext/>
      </w:pPr>
      <w:r w:rsidRPr="001455DC">
        <w:t>(3)</w:t>
      </w:r>
      <w:r w:rsidRPr="001455DC">
        <w:tab/>
        <w:t>The evolution of relaxation loss over time may be assumed to be according to Formula (B.41):</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BF792D" w:rsidRPr="001455DC" w14:paraId="049EC8C4" w14:textId="77777777" w:rsidTr="00822F09">
        <w:trPr>
          <w:cantSplit/>
        </w:trPr>
        <w:tc>
          <w:tcPr>
            <w:tcW w:w="8505" w:type="dxa"/>
            <w:vAlign w:val="center"/>
          </w:tcPr>
          <w:p w14:paraId="4D59B482" w14:textId="26250CE0" w:rsidR="00BF792D" w:rsidRPr="001455DC" w:rsidRDefault="00231E33" w:rsidP="00822F09">
            <w:pPr>
              <w:pStyle w:val="Formula"/>
              <w:jc w:val="left"/>
            </w:pPr>
            <m:oMathPara>
              <m:oMathParaPr>
                <m:jc m:val="left"/>
              </m:oMathParaPr>
              <m:oMath>
                <m:f>
                  <m:fPr>
                    <m:ctrlPr>
                      <w:rPr>
                        <w:rFonts w:ascii="Cambria Math" w:hAnsi="Cambria Math"/>
                      </w:rPr>
                    </m:ctrlPr>
                  </m:fPr>
                  <m:num>
                    <m:r>
                      <m:rPr>
                        <m:sty m:val="p"/>
                      </m:rPr>
                      <w:rPr>
                        <w:rFonts w:ascii="Cambria Math" w:hAnsi="Cambria Math"/>
                      </w:rPr>
                      <m:t>Δ</m:t>
                    </m:r>
                    <m:sSub>
                      <m:sSubPr>
                        <m:ctrlPr>
                          <w:rPr>
                            <w:rFonts w:ascii="Cambria Math" w:hAnsi="Cambria Math"/>
                          </w:rPr>
                        </m:ctrlPr>
                      </m:sSubPr>
                      <m:e>
                        <m:r>
                          <w:rPr>
                            <w:rFonts w:ascii="Cambria Math" w:hAnsi="Cambria Math"/>
                          </w:rPr>
                          <m:t>σ</m:t>
                        </m:r>
                      </m:e>
                      <m:sub>
                        <m:r>
                          <m:rPr>
                            <m:sty m:val="p"/>
                          </m:rPr>
                          <w:rPr>
                            <w:rFonts w:ascii="Cambria Math" w:hAnsi="Cambria Math"/>
                          </w:rPr>
                          <m:t>pr</m:t>
                        </m:r>
                      </m:sub>
                    </m:sSub>
                  </m:num>
                  <m:den>
                    <m:sSub>
                      <m:sSubPr>
                        <m:ctrlPr>
                          <w:rPr>
                            <w:rFonts w:ascii="Cambria Math" w:hAnsi="Cambria Math"/>
                          </w:rPr>
                        </m:ctrlPr>
                      </m:sSubPr>
                      <m:e>
                        <m:r>
                          <w:rPr>
                            <w:rFonts w:ascii="Cambria Math" w:hAnsi="Cambria Math"/>
                          </w:rPr>
                          <m:t>σ</m:t>
                        </m:r>
                      </m:e>
                      <m:sub>
                        <m:r>
                          <m:rPr>
                            <m:sty m:val="p"/>
                          </m:rPr>
                          <w:rPr>
                            <w:rFonts w:ascii="Cambria Math" w:hAnsi="Cambria Math"/>
                          </w:rPr>
                          <m:t>pi</m:t>
                        </m:r>
                      </m:sub>
                    </m:sSub>
                  </m:den>
                </m:f>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1000</m:t>
                    </m:r>
                  </m:sub>
                </m:sSub>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24⋅t</m:t>
                            </m:r>
                          </m:num>
                          <m:den>
                            <m:r>
                              <w:rPr>
                                <w:rFonts w:ascii="Cambria Math" w:hAnsi="Cambria Math"/>
                              </w:rPr>
                              <m:t>1 000</m:t>
                            </m:r>
                          </m:den>
                        </m:f>
                      </m:e>
                    </m:d>
                  </m:e>
                  <m:sup>
                    <m:sSub>
                      <m:sSubPr>
                        <m:ctrlPr>
                          <w:rPr>
                            <w:rFonts w:ascii="Cambria Math" w:hAnsi="Cambria Math"/>
                          </w:rPr>
                        </m:ctrlPr>
                      </m:sSubPr>
                      <m:e>
                        <m:r>
                          <w:rPr>
                            <w:rFonts w:ascii="Cambria Math" w:hAnsi="Cambria Math"/>
                          </w:rPr>
                          <m:t>k</m:t>
                        </m:r>
                      </m:e>
                      <m:sub>
                        <m:r>
                          <m:rPr>
                            <m:sty m:val="p"/>
                          </m:rPr>
                          <w:rPr>
                            <w:rFonts w:ascii="Cambria Math" w:hAnsi="Cambria Math"/>
                          </w:rPr>
                          <m:t>ρ</m:t>
                        </m:r>
                      </m:sub>
                    </m:sSub>
                  </m:sup>
                </m:sSup>
              </m:oMath>
            </m:oMathPara>
          </w:p>
        </w:tc>
        <w:tc>
          <w:tcPr>
            <w:tcW w:w="1247" w:type="dxa"/>
            <w:vAlign w:val="center"/>
          </w:tcPr>
          <w:p w14:paraId="056EBEEA" w14:textId="0B0AF12E" w:rsidR="00BF792D" w:rsidRPr="001455DC" w:rsidRDefault="00BF792D" w:rsidP="00822F09">
            <w:pPr>
              <w:pStyle w:val="a7"/>
              <w:jc w:val="right"/>
            </w:pPr>
            <w:r w:rsidRPr="001455DC">
              <w:t>(B.41)</w:t>
            </w:r>
          </w:p>
        </w:tc>
      </w:tr>
    </w:tbl>
    <w:p w14:paraId="174924C1" w14:textId="77777777" w:rsidR="00BF792D" w:rsidRPr="001455DC" w:rsidRDefault="00BF792D" w:rsidP="00A35599">
      <w:pPr>
        <w:pStyle w:val="a7"/>
        <w:keepNext/>
      </w:pPr>
      <w:r w:rsidRPr="001455DC">
        <w:t>where</w:t>
      </w:r>
    </w:p>
    <w:tbl>
      <w:tblPr>
        <w:tblW w:w="9413" w:type="dxa"/>
        <w:tblInd w:w="397" w:type="dxa"/>
        <w:tblLayout w:type="fixed"/>
        <w:tblCellMar>
          <w:left w:w="28" w:type="dxa"/>
          <w:right w:w="28" w:type="dxa"/>
        </w:tblCellMar>
        <w:tblLook w:val="04A0" w:firstRow="1" w:lastRow="0" w:firstColumn="1" w:lastColumn="0" w:noHBand="0" w:noVBand="1"/>
      </w:tblPr>
      <w:tblGrid>
        <w:gridCol w:w="851"/>
        <w:gridCol w:w="8562"/>
      </w:tblGrid>
      <w:tr w:rsidR="00BF792D" w:rsidRPr="001455DC" w14:paraId="36B12682" w14:textId="77777777" w:rsidTr="00822F09">
        <w:trPr>
          <w:cantSplit/>
        </w:trPr>
        <w:tc>
          <w:tcPr>
            <w:tcW w:w="851" w:type="dxa"/>
          </w:tcPr>
          <w:p w14:paraId="6C13CFAF" w14:textId="1C3352F0" w:rsidR="00BF792D" w:rsidRPr="001455DC" w:rsidRDefault="00BF792D" w:rsidP="00822F09">
            <w:pPr>
              <w:pStyle w:val="Tablebody"/>
            </w:pPr>
            <w:r w:rsidRPr="001455DC">
              <w:t>Δ</w:t>
            </w:r>
            <w:r w:rsidRPr="001455DC">
              <w:rPr>
                <w:rStyle w:val="CCMCvariableitalic"/>
              </w:rPr>
              <w:t>σ</w:t>
            </w:r>
            <w:r w:rsidRPr="001455DC">
              <w:rPr>
                <w:rStyle w:val="CCMCvariablesubscript"/>
              </w:rPr>
              <w:t>pr</w:t>
            </w:r>
          </w:p>
        </w:tc>
        <w:tc>
          <w:tcPr>
            <w:tcW w:w="8562" w:type="dxa"/>
          </w:tcPr>
          <w:p w14:paraId="4F136908" w14:textId="524BBF75" w:rsidR="00BF792D" w:rsidRPr="001455DC" w:rsidRDefault="00BF792D" w:rsidP="00822F09">
            <w:pPr>
              <w:pStyle w:val="Tablebody"/>
            </w:pPr>
            <w:r w:rsidRPr="001455DC">
              <w:t>is the absolute value of loss of stress in the prestressing steel;</w:t>
            </w:r>
          </w:p>
        </w:tc>
      </w:tr>
      <w:tr w:rsidR="00BF792D" w:rsidRPr="001455DC" w14:paraId="06ADCAD7" w14:textId="77777777" w:rsidTr="00822F09">
        <w:trPr>
          <w:cantSplit/>
        </w:trPr>
        <w:tc>
          <w:tcPr>
            <w:tcW w:w="851" w:type="dxa"/>
          </w:tcPr>
          <w:p w14:paraId="5656A2E2" w14:textId="5250DE7C" w:rsidR="00BF792D" w:rsidRPr="001455DC" w:rsidRDefault="00BF792D" w:rsidP="00822F09">
            <w:pPr>
              <w:pStyle w:val="Tablebody"/>
            </w:pPr>
            <w:r w:rsidRPr="001455DC">
              <w:rPr>
                <w:rStyle w:val="CCMCvariableitalic"/>
              </w:rPr>
              <w:t>σ</w:t>
            </w:r>
            <w:r w:rsidRPr="001455DC">
              <w:rPr>
                <w:rStyle w:val="CCMCvariablesubscript"/>
              </w:rPr>
              <w:t>pi</w:t>
            </w:r>
          </w:p>
        </w:tc>
        <w:tc>
          <w:tcPr>
            <w:tcW w:w="8562" w:type="dxa"/>
          </w:tcPr>
          <w:p w14:paraId="54B38979" w14:textId="4342910D" w:rsidR="00BF792D" w:rsidRPr="001455DC" w:rsidRDefault="00BF792D" w:rsidP="00822F09">
            <w:pPr>
              <w:pStyle w:val="Tablebody"/>
            </w:pPr>
            <w:r w:rsidRPr="001455DC">
              <w:t>is the initial stress in the prestressing steel;</w:t>
            </w:r>
          </w:p>
        </w:tc>
      </w:tr>
      <w:tr w:rsidR="00BF792D" w:rsidRPr="001455DC" w14:paraId="524676FC" w14:textId="77777777" w:rsidTr="00822F09">
        <w:trPr>
          <w:cantSplit/>
        </w:trPr>
        <w:tc>
          <w:tcPr>
            <w:tcW w:w="851" w:type="dxa"/>
          </w:tcPr>
          <w:p w14:paraId="303A2C69" w14:textId="757451F2" w:rsidR="00BF792D" w:rsidRPr="001455DC" w:rsidRDefault="00BF792D" w:rsidP="00822F09">
            <w:pPr>
              <w:pStyle w:val="Tablebody"/>
            </w:pPr>
            <w:r w:rsidRPr="001455DC">
              <w:rPr>
                <w:rStyle w:val="CCMCvariableitalic"/>
              </w:rPr>
              <w:t>k</w:t>
            </w:r>
            <w:r w:rsidRPr="001455DC">
              <w:rPr>
                <w:rStyle w:val="CCMCvariablesubscript"/>
              </w:rPr>
              <w:t>ρ</w:t>
            </w:r>
          </w:p>
        </w:tc>
        <w:tc>
          <w:tcPr>
            <w:tcW w:w="8562" w:type="dxa"/>
          </w:tcPr>
          <w:p w14:paraId="42C6736A" w14:textId="08B5B7A9" w:rsidR="00BF792D" w:rsidRPr="001455DC" w:rsidRDefault="00BF792D" w:rsidP="00822F09">
            <w:pPr>
              <w:pStyle w:val="Tablebody"/>
            </w:pPr>
            <w:r w:rsidRPr="001455DC">
              <w:t>is a coefficient which describes the evolution of relaxation losses over time</w:t>
            </w:r>
            <w:r w:rsidRPr="001455DC">
              <w:rPr>
                <w:szCs w:val="19"/>
              </w:rPr>
              <w:t xml:space="preserve">, a value of </w:t>
            </w:r>
            <w:r w:rsidRPr="001455DC">
              <w:rPr>
                <w:rStyle w:val="CCMCvariableitalic"/>
              </w:rPr>
              <w:t>k</w:t>
            </w:r>
            <w:r w:rsidRPr="001455DC">
              <w:rPr>
                <w:rStyle w:val="CCMCvariablesubscript"/>
              </w:rPr>
              <w:t>ρ</w:t>
            </w:r>
            <w:r w:rsidRPr="001455DC">
              <w:t> </w:t>
            </w:r>
            <w:r w:rsidR="00EC27D2" w:rsidRPr="001455DC">
              <w:rPr>
                <w:rFonts w:ascii="Cambria Math" w:hAnsi="Cambria Math"/>
              </w:rPr>
              <w:t>=</w:t>
            </w:r>
            <w:r w:rsidRPr="001455DC">
              <w:t> </w:t>
            </w:r>
            <w:r w:rsidRPr="001455DC">
              <w:rPr>
                <w:szCs w:val="19"/>
              </w:rPr>
              <w:t>0,16 may be assumed</w:t>
            </w:r>
            <w:r w:rsidRPr="001455DC">
              <w:t>;</w:t>
            </w:r>
          </w:p>
        </w:tc>
      </w:tr>
      <w:tr w:rsidR="00BF792D" w:rsidRPr="001455DC" w14:paraId="60E475D6" w14:textId="77777777" w:rsidTr="00822F09">
        <w:trPr>
          <w:cantSplit/>
        </w:trPr>
        <w:tc>
          <w:tcPr>
            <w:tcW w:w="851" w:type="dxa"/>
          </w:tcPr>
          <w:p w14:paraId="61FC4753" w14:textId="01E63F41" w:rsidR="00BF792D" w:rsidRPr="001455DC" w:rsidRDefault="00BF792D" w:rsidP="00822F09">
            <w:pPr>
              <w:pStyle w:val="Tablebody"/>
            </w:pPr>
            <w:r w:rsidRPr="001455DC">
              <w:rPr>
                <w:rStyle w:val="CCMCvariableitalic"/>
              </w:rPr>
              <w:t>ρ</w:t>
            </w:r>
            <w:r w:rsidRPr="001455DC">
              <w:rPr>
                <w:rStyle w:val="CCMCvariablesubscript"/>
              </w:rPr>
              <w:t>1000</w:t>
            </w:r>
          </w:p>
        </w:tc>
        <w:tc>
          <w:tcPr>
            <w:tcW w:w="8562" w:type="dxa"/>
          </w:tcPr>
          <w:p w14:paraId="264930DE" w14:textId="2957F1A6" w:rsidR="00BF792D" w:rsidRPr="001455DC" w:rsidRDefault="00BF792D" w:rsidP="00822F09">
            <w:pPr>
              <w:pStyle w:val="Tablebody"/>
            </w:pPr>
            <w:r w:rsidRPr="001455DC">
              <w:t>is the relaxation loss [ %] after 1</w:t>
            </w:r>
            <w:r w:rsidR="00932315" w:rsidRPr="001455DC">
              <w:t xml:space="preserve"> </w:t>
            </w:r>
            <w:r w:rsidRPr="001455DC">
              <w:t xml:space="preserve">000 hours at initial stress </w:t>
            </w:r>
            <w:r w:rsidRPr="001455DC">
              <w:rPr>
                <w:rStyle w:val="CCMCvariableitalic"/>
              </w:rPr>
              <w:t>σ</w:t>
            </w:r>
            <w:r w:rsidRPr="001455DC">
              <w:rPr>
                <w:rStyle w:val="CCMCvariablesubscript"/>
              </w:rPr>
              <w:t>pi</w:t>
            </w:r>
            <w:r w:rsidRPr="001455DC">
              <w:t>.</w:t>
            </w:r>
          </w:p>
        </w:tc>
      </w:tr>
    </w:tbl>
    <w:p w14:paraId="6043C89B" w14:textId="12DEE8F0" w:rsidR="00BF792D" w:rsidRPr="001455DC" w:rsidRDefault="004E22C1" w:rsidP="00116AE2">
      <w:pPr>
        <w:pStyle w:val="a7"/>
        <w:keepNext/>
      </w:pPr>
      <w:r w:rsidRPr="001455DC">
        <w:t>(4)</w:t>
      </w:r>
      <w:r w:rsidRPr="001455DC">
        <w:tab/>
        <w:t>If relaxation loss is taken from test certificates based on testing in accordance with EN ISO 15630</w:t>
      </w:r>
      <w:r w:rsidRPr="001455DC">
        <w:noBreakHyphen/>
        <w:t>3 up to a duration of at least 1</w:t>
      </w:r>
      <w:r w:rsidR="00932315" w:rsidRPr="001455DC">
        <w:t xml:space="preserve"> </w:t>
      </w:r>
      <w:r w:rsidRPr="001455DC">
        <w:t>000 hours, the evolution of relaxation loss Δ</w:t>
      </w:r>
      <w:r w:rsidRPr="001455DC">
        <w:rPr>
          <w:rStyle w:val="CCMCvariableitalic"/>
        </w:rPr>
        <w:t>σ</w:t>
      </w:r>
      <w:r w:rsidRPr="001455DC">
        <w:rPr>
          <w:rStyle w:val="CCMCvariablesubscript"/>
        </w:rPr>
        <w:t>pr</w:t>
      </w:r>
      <w:r w:rsidRPr="001455DC">
        <w:t xml:space="preserve"> over time at initial stress </w:t>
      </w:r>
      <w:r w:rsidRPr="001455DC">
        <w:rPr>
          <w:rStyle w:val="CCMCvariableitalic"/>
        </w:rPr>
        <w:t>σ</w:t>
      </w:r>
      <w:r w:rsidRPr="001455DC">
        <w:rPr>
          <w:rStyle w:val="CCMCvariablesubscript"/>
        </w:rPr>
        <w:t>pi</w:t>
      </w:r>
      <w:r w:rsidRPr="001455DC">
        <w:t xml:space="preserve"> may be assumed as best fit curve of the actual test results according to Formula (B.42):</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BF792D" w:rsidRPr="001455DC" w14:paraId="300F87E6" w14:textId="77777777" w:rsidTr="00822F09">
        <w:trPr>
          <w:cantSplit/>
        </w:trPr>
        <w:tc>
          <w:tcPr>
            <w:tcW w:w="8505" w:type="dxa"/>
            <w:vAlign w:val="center"/>
          </w:tcPr>
          <w:p w14:paraId="2373BF72" w14:textId="2705BE87" w:rsidR="00BF792D" w:rsidRPr="001455DC" w:rsidRDefault="00BF792D" w:rsidP="00822F09">
            <w:pPr>
              <w:pStyle w:val="Formula"/>
              <w:jc w:val="left"/>
            </w:pPr>
            <w:r w:rsidRPr="001455DC">
              <w:t>(Δ</w:t>
            </w:r>
            <w:r w:rsidRPr="001455DC">
              <w:rPr>
                <w:rStyle w:val="CCMCvariableitalic"/>
              </w:rPr>
              <w:t>σ</w:t>
            </w:r>
            <w:r w:rsidRPr="001455DC">
              <w:rPr>
                <w:rStyle w:val="CCMCvariablesubscript"/>
              </w:rPr>
              <w:t>pr</w:t>
            </w:r>
            <w:r w:rsidRPr="001455DC">
              <w:t>/</w:t>
            </w:r>
            <w:r w:rsidRPr="001455DC">
              <w:rPr>
                <w:rStyle w:val="CCMCvariableitalic"/>
              </w:rPr>
              <w:t>σ</w:t>
            </w:r>
            <w:r w:rsidRPr="001455DC">
              <w:rPr>
                <w:rStyle w:val="CCMCvariablesubscript"/>
              </w:rPr>
              <w:t>pi</w:t>
            </w:r>
            <w:r w:rsidRPr="001455DC">
              <w:t>) </w:t>
            </w:r>
            <w:r w:rsidR="00EC27D2" w:rsidRPr="001455DC">
              <w:rPr>
                <w:rFonts w:ascii="Cambria Math" w:hAnsi="Cambria Math"/>
              </w:rPr>
              <w:t>=</w:t>
            </w:r>
            <w:r w:rsidRPr="001455DC">
              <w:t> </w:t>
            </w:r>
            <w:r w:rsidRPr="001455DC">
              <w:rPr>
                <w:rStyle w:val="CCMCvariableitalic"/>
              </w:rPr>
              <w:t>b</w:t>
            </w:r>
            <w:r w:rsidRPr="001455DC">
              <w:t> </w:t>
            </w:r>
            <w:r w:rsidRPr="001455DC">
              <w:rPr>
                <w:rFonts w:ascii="Cambria Math" w:hAnsi="Cambria Math" w:cs="Cambria Math"/>
              </w:rPr>
              <w:t>⋅</w:t>
            </w:r>
            <w:r w:rsidRPr="001455DC">
              <w:t> </w:t>
            </w:r>
            <w:r w:rsidRPr="001455DC">
              <w:rPr>
                <w:rStyle w:val="CCMCvariableitalic"/>
              </w:rPr>
              <w:t>t</w:t>
            </w:r>
            <w:r w:rsidRPr="001455DC">
              <w:rPr>
                <w:rStyle w:val="CCMCvariablesuperscript"/>
              </w:rPr>
              <w:t>a</w:t>
            </w:r>
          </w:p>
        </w:tc>
        <w:tc>
          <w:tcPr>
            <w:tcW w:w="1247" w:type="dxa"/>
            <w:vAlign w:val="center"/>
          </w:tcPr>
          <w:p w14:paraId="2A8449CA" w14:textId="4F200679" w:rsidR="00BF792D" w:rsidRPr="001455DC" w:rsidRDefault="00BF792D" w:rsidP="00822F09">
            <w:pPr>
              <w:pStyle w:val="a7"/>
              <w:jc w:val="right"/>
            </w:pPr>
            <w:r w:rsidRPr="001455DC">
              <w:t>(B.42)</w:t>
            </w:r>
          </w:p>
        </w:tc>
      </w:tr>
    </w:tbl>
    <w:p w14:paraId="141AC80C" w14:textId="77777777" w:rsidR="004E22C1" w:rsidRPr="001455DC" w:rsidRDefault="004E22C1" w:rsidP="00BF792D">
      <w:pPr>
        <w:pStyle w:val="a7"/>
      </w:pPr>
      <w:r w:rsidRPr="001455DC">
        <w:t xml:space="preserve">where </w:t>
      </w:r>
      <w:r w:rsidRPr="001455DC">
        <w:rPr>
          <w:rStyle w:val="CCMCvariableitalic"/>
        </w:rPr>
        <w:t>a</w:t>
      </w:r>
      <w:r w:rsidRPr="001455DC">
        <w:t xml:space="preserve"> and </w:t>
      </w:r>
      <w:r w:rsidRPr="001455DC">
        <w:rPr>
          <w:rStyle w:val="CCMCvariableitalic"/>
        </w:rPr>
        <w:t>b</w:t>
      </w:r>
      <w:r w:rsidRPr="001455DC">
        <w:t xml:space="preserve"> are coefficients of the best fit curve of relaxation tests performed at initial stress </w:t>
      </w:r>
      <w:r w:rsidRPr="001455DC">
        <w:rPr>
          <w:rStyle w:val="CCMCvariableitalic"/>
        </w:rPr>
        <w:t>σ</w:t>
      </w:r>
      <w:r w:rsidRPr="001455DC">
        <w:rPr>
          <w:rStyle w:val="CCMCvariablesubscript"/>
        </w:rPr>
        <w:t>pi</w:t>
      </w:r>
      <w:r w:rsidRPr="001455DC">
        <w:t>.</w:t>
      </w:r>
    </w:p>
    <w:p w14:paraId="62792F8D" w14:textId="77777777" w:rsidR="004E22C1" w:rsidRPr="001455DC" w:rsidRDefault="004E22C1" w:rsidP="00BF792D">
      <w:pPr>
        <w:pStyle w:val="a7"/>
      </w:pPr>
      <w:r w:rsidRPr="001455DC">
        <w:t>(5)</w:t>
      </w:r>
      <w:r w:rsidRPr="001455DC">
        <w:tab/>
        <w:t xml:space="preserve">The long term (final) value of the relaxation loss may be estimated for a time </w:t>
      </w:r>
      <w:r w:rsidRPr="001455DC">
        <w:rPr>
          <w:rStyle w:val="CCMCvariableitalic"/>
        </w:rPr>
        <w:t>t</w:t>
      </w:r>
      <w:r w:rsidRPr="001455DC">
        <w:t xml:space="preserve"> equal to the design service life of the structure using Formulae (B.41) or (B.42).</w:t>
      </w:r>
    </w:p>
    <w:p w14:paraId="5E222118" w14:textId="6C4721F3" w:rsidR="004E22C1" w:rsidRPr="001455DC" w:rsidRDefault="004E22C1" w:rsidP="00F77658">
      <w:pPr>
        <w:pStyle w:val="a7"/>
        <w:keepNext/>
      </w:pPr>
      <w:r w:rsidRPr="001455DC">
        <w:t>(6)</w:t>
      </w:r>
      <w:r w:rsidRPr="001455DC">
        <w:tab/>
        <w:t>In cases where the mean temperature of prestressing steel is 30 °C or higher the relaxation loss should be determined based on testing in accordance with EN ISO 15630</w:t>
      </w:r>
      <w:r w:rsidRPr="001455DC">
        <w:noBreakHyphen/>
        <w:t xml:space="preserve">3 at initial stress </w:t>
      </w:r>
      <w:r w:rsidRPr="001455DC">
        <w:rPr>
          <w:rStyle w:val="CCMCvariableitalic"/>
        </w:rPr>
        <w:t>σ</w:t>
      </w:r>
      <w:r w:rsidRPr="001455DC">
        <w:rPr>
          <w:rStyle w:val="CCMCvariablesubscript"/>
        </w:rPr>
        <w:t>pi</w:t>
      </w:r>
      <w:r w:rsidRPr="001455DC">
        <w:t xml:space="preserve"> and assumed actual mean temperature up to a duration of at least 1</w:t>
      </w:r>
      <w:r w:rsidR="00BF792D" w:rsidRPr="001455DC">
        <w:t> </w:t>
      </w:r>
      <w:r w:rsidRPr="001455DC">
        <w:t>000</w:t>
      </w:r>
      <w:r w:rsidR="00BF792D" w:rsidRPr="001455DC">
        <w:t> </w:t>
      </w:r>
      <w:r w:rsidRPr="001455DC">
        <w:t>hours and then extrapolated over time in accordance with Formulae (B.42).</w:t>
      </w:r>
    </w:p>
    <w:p w14:paraId="5E5C6CA2" w14:textId="313D254C" w:rsidR="004E22C1" w:rsidRPr="001455DC" w:rsidRDefault="004E22C1" w:rsidP="00BF792D">
      <w:pPr>
        <w:pStyle w:val="Note"/>
      </w:pPr>
      <w:r w:rsidRPr="001455DC">
        <w:t>NOTE</w:t>
      </w:r>
      <w:r w:rsidRPr="001455DC">
        <w:tab/>
        <w:t xml:space="preserve">Where prestressed concrete members are subjected to heat treatment (e.g. by steam), refer to </w:t>
      </w:r>
      <w:r w:rsidR="001710FF" w:rsidRPr="001455DC">
        <w:t>Clause </w:t>
      </w:r>
      <w:r w:rsidRPr="001455DC">
        <w:t>13 for relaxation losses during heat treatment.</w:t>
      </w:r>
    </w:p>
    <w:p w14:paraId="64BB956A" w14:textId="6A03697B" w:rsidR="004E22C1" w:rsidRPr="001455DC" w:rsidRDefault="00F72049" w:rsidP="00F72049">
      <w:pPr>
        <w:pStyle w:val="ANNEX"/>
      </w:pPr>
      <w:bookmarkStart w:id="1345" w:name="_Toc52820134"/>
      <w:r w:rsidRPr="001455DC">
        <w:br/>
      </w:r>
      <w:bookmarkStart w:id="1346" w:name="_Toc54337140"/>
      <w:bookmarkStart w:id="1347" w:name="_Toc54337539"/>
      <w:bookmarkStart w:id="1348" w:name="_Toc54338189"/>
      <w:bookmarkStart w:id="1349" w:name="_Toc67565528"/>
      <w:r w:rsidR="004E22C1" w:rsidRPr="001455DC">
        <w:rPr>
          <w:b w:val="0"/>
          <w:bCs/>
        </w:rPr>
        <w:t>(normative)</w:t>
      </w:r>
      <w:r w:rsidRPr="001455DC">
        <w:rPr>
          <w:b w:val="0"/>
          <w:bCs/>
        </w:rPr>
        <w:br/>
      </w:r>
      <w:r w:rsidRPr="001455DC">
        <w:br/>
      </w:r>
      <w:bookmarkEnd w:id="1345"/>
      <w:r w:rsidRPr="001455DC">
        <w:t>Requirements to materials</w:t>
      </w:r>
      <w:bookmarkEnd w:id="1346"/>
      <w:bookmarkEnd w:id="1347"/>
      <w:bookmarkEnd w:id="1348"/>
      <w:bookmarkEnd w:id="1349"/>
    </w:p>
    <w:p w14:paraId="0B5FE97D" w14:textId="2720C851" w:rsidR="004E22C1" w:rsidRPr="001455DC" w:rsidRDefault="00421207" w:rsidP="00082680">
      <w:pPr>
        <w:pStyle w:val="a2"/>
      </w:pPr>
      <w:bookmarkStart w:id="1350" w:name="_Toc67565529"/>
      <w:r w:rsidRPr="001455DC">
        <w:t>Use of this annex</w:t>
      </w:r>
      <w:bookmarkEnd w:id="1350"/>
    </w:p>
    <w:p w14:paraId="009EA055" w14:textId="4A271584" w:rsidR="00421207" w:rsidRPr="001455DC" w:rsidRDefault="005072C9" w:rsidP="002540CA">
      <w:pPr>
        <w:pStyle w:val="a7"/>
      </w:pPr>
      <w:r w:rsidRPr="001455DC">
        <w:t xml:space="preserve">(1) </w:t>
      </w:r>
      <w:r w:rsidR="00421207" w:rsidRPr="001455DC">
        <w:t xml:space="preserve">This Normative Annex contains additional provisions for material properties with minimum or maximum values or an interval of values for which the design provisions of this Eurocode apply. This Normative Annex gives these requirements as information to producers, manufacturers and inspection engineers. </w:t>
      </w:r>
    </w:p>
    <w:p w14:paraId="0E280173" w14:textId="6311A10D" w:rsidR="00421207" w:rsidRPr="009D3012" w:rsidRDefault="00421207" w:rsidP="00082680">
      <w:pPr>
        <w:pStyle w:val="a2"/>
      </w:pPr>
      <w:bookmarkStart w:id="1351" w:name="_Toc67565530"/>
      <w:r w:rsidRPr="009D3012">
        <w:t>Scope and field of application</w:t>
      </w:r>
      <w:bookmarkEnd w:id="1351"/>
    </w:p>
    <w:p w14:paraId="365C528E" w14:textId="14FFD0A5" w:rsidR="00421207" w:rsidRPr="001455DC" w:rsidRDefault="00421207" w:rsidP="002540CA">
      <w:pPr>
        <w:pStyle w:val="a7"/>
      </w:pPr>
      <w:r w:rsidRPr="001455DC">
        <w:t>(1) This Normative Annex applies to materials and products in accordance with Clause 5 and Annexes J, JA, L, and M.</w:t>
      </w:r>
    </w:p>
    <w:p w14:paraId="357A0F0B" w14:textId="33E76DC4" w:rsidR="004E22C1" w:rsidRPr="001455DC" w:rsidRDefault="004E22C1" w:rsidP="00082680">
      <w:pPr>
        <w:pStyle w:val="a2"/>
      </w:pPr>
      <w:bookmarkStart w:id="1352" w:name="_Toc52820136"/>
      <w:bookmarkStart w:id="1353" w:name="_Toc54337142"/>
      <w:bookmarkStart w:id="1354" w:name="_Toc54337541"/>
      <w:bookmarkStart w:id="1355" w:name="_Toc54338191"/>
      <w:bookmarkStart w:id="1356" w:name="_Toc67565531"/>
      <w:r w:rsidRPr="001455DC">
        <w:t>Concrete</w:t>
      </w:r>
      <w:bookmarkEnd w:id="1352"/>
      <w:bookmarkEnd w:id="1353"/>
      <w:bookmarkEnd w:id="1354"/>
      <w:bookmarkEnd w:id="1355"/>
      <w:bookmarkEnd w:id="1356"/>
    </w:p>
    <w:p w14:paraId="269FD743" w14:textId="506ABA37" w:rsidR="004E22C1" w:rsidRPr="001455DC" w:rsidRDefault="004E22C1" w:rsidP="00243590">
      <w:pPr>
        <w:pStyle w:val="a3"/>
      </w:pPr>
      <w:bookmarkStart w:id="1357" w:name="_Toc52820137"/>
      <w:bookmarkStart w:id="1358" w:name="_Toc54337542"/>
      <w:bookmarkStart w:id="1359" w:name="_Toc54338192"/>
      <w:r w:rsidRPr="001455DC">
        <w:t>Normalweight (C) and Lightweight Aggregate (LWAC) Concrete</w:t>
      </w:r>
      <w:bookmarkEnd w:id="1357"/>
      <w:bookmarkEnd w:id="1358"/>
      <w:bookmarkEnd w:id="1359"/>
    </w:p>
    <w:p w14:paraId="5D11FD01" w14:textId="0ADA1239" w:rsidR="004E22C1" w:rsidRPr="001455DC" w:rsidRDefault="005072C9" w:rsidP="002540CA">
      <w:pPr>
        <w:pStyle w:val="a7"/>
      </w:pPr>
      <w:r w:rsidRPr="001455DC">
        <w:t xml:space="preserve">(1) </w:t>
      </w:r>
      <w:r w:rsidR="004E22C1" w:rsidRPr="001455DC">
        <w:t xml:space="preserve">In the design according to this Eurocode concrete strength classes and concrete resistance classes according to EN 206 shall be used. Intermediate strength </w:t>
      </w:r>
      <w:r w:rsidR="004E22C1" w:rsidRPr="001455DC">
        <w:rPr>
          <w:rStyle w:val="CCMCvariableitalic"/>
        </w:rPr>
        <w:t>f</w:t>
      </w:r>
      <w:r w:rsidR="004E22C1" w:rsidRPr="001455DC">
        <w:rPr>
          <w:rStyle w:val="CCMCvariablesubscript"/>
        </w:rPr>
        <w:t>ck</w:t>
      </w:r>
      <w:r w:rsidR="004E22C1" w:rsidRPr="001455DC">
        <w:t xml:space="preserve"> may be used in design.</w:t>
      </w:r>
    </w:p>
    <w:p w14:paraId="1623FD23" w14:textId="2976AACC" w:rsidR="004E22C1" w:rsidRPr="001455DC" w:rsidRDefault="004E22C1" w:rsidP="00243590">
      <w:pPr>
        <w:pStyle w:val="a3"/>
      </w:pPr>
      <w:bookmarkStart w:id="1360" w:name="_Toc52820138"/>
      <w:bookmarkStart w:id="1361" w:name="_Toc54337543"/>
      <w:bookmarkStart w:id="1362" w:name="_Toc54338193"/>
      <w:r w:rsidRPr="001455DC">
        <w:t>Steel Fibre Reinforced Concrete (SFRC)</w:t>
      </w:r>
      <w:bookmarkEnd w:id="1360"/>
      <w:bookmarkEnd w:id="1361"/>
      <w:bookmarkEnd w:id="1362"/>
    </w:p>
    <w:p w14:paraId="7DB2DF29" w14:textId="0E1BE067" w:rsidR="004E22C1" w:rsidRPr="001455DC" w:rsidRDefault="004E22C1" w:rsidP="002540CA">
      <w:pPr>
        <w:pStyle w:val="a7"/>
      </w:pPr>
      <w:r w:rsidRPr="001455DC">
        <w:t>(1)</w:t>
      </w:r>
      <w:r w:rsidRPr="001455DC">
        <w:tab/>
        <w:t>In L.5.</w:t>
      </w:r>
      <w:r w:rsidR="00BA012D" w:rsidRPr="001455DC">
        <w:t>2</w:t>
      </w:r>
      <w:r w:rsidRPr="001455DC">
        <w:t xml:space="preserve"> residual strength classes </w:t>
      </w:r>
      <w:r w:rsidR="005072C9" w:rsidRPr="009D3012">
        <w:rPr>
          <w:rFonts w:cs="Arial"/>
          <w:lang w:eastAsia="en-US"/>
        </w:rPr>
        <w:t>for concrete reinforced with steel fibres according to EN 14889-1</w:t>
      </w:r>
      <w:r w:rsidR="005072C9" w:rsidRPr="001455DC">
        <w:t xml:space="preserve"> are defined</w:t>
      </w:r>
      <w:r w:rsidRPr="001455DC">
        <w:t xml:space="preserve">, which are based on the characteristic residual flexural strength </w:t>
      </w:r>
      <w:r w:rsidRPr="001455DC">
        <w:rPr>
          <w:rStyle w:val="CCMCvariableitalic"/>
        </w:rPr>
        <w:t>f</w:t>
      </w:r>
      <w:r w:rsidRPr="001455DC">
        <w:rPr>
          <w:rStyle w:val="CCMCvariablesubscript"/>
        </w:rPr>
        <w:t>R,1k</w:t>
      </w:r>
      <w:r w:rsidRPr="001455DC">
        <w:t xml:space="preserve"> (1,0; 1,5; 2,0; 2,5; 3,0; 4,0; 5,0; 6,0; 8,0). Ductility classes a) to e) are defined according to Figure C.1.</w:t>
      </w:r>
    </w:p>
    <w:p w14:paraId="5228119E" w14:textId="77777777" w:rsidR="004E22C1" w:rsidRPr="001455DC" w:rsidRDefault="004E22C1" w:rsidP="002540CA">
      <w:pPr>
        <w:pStyle w:val="Note"/>
      </w:pPr>
      <w:r w:rsidRPr="001455DC">
        <w:t>NOTE 1</w:t>
      </w:r>
      <w:r w:rsidRPr="001455DC">
        <w:tab/>
        <w:t xml:space="preserve">The classification is denominated according to </w:t>
      </w:r>
      <w:r w:rsidRPr="001455DC">
        <w:rPr>
          <w:rStyle w:val="CCMCvariableitalic"/>
        </w:rPr>
        <w:t>f</w:t>
      </w:r>
      <w:r w:rsidRPr="001455DC">
        <w:rPr>
          <w:rStyle w:val="CCMCvariablesubscript"/>
        </w:rPr>
        <w:t>R,1k</w:t>
      </w:r>
      <w:r w:rsidRPr="001455DC">
        <w:t xml:space="preserve"> and the ratio </w:t>
      </w:r>
      <w:r w:rsidRPr="001455DC">
        <w:rPr>
          <w:rStyle w:val="CCMCvariableitalic"/>
        </w:rPr>
        <w:t>f</w:t>
      </w:r>
      <w:r w:rsidRPr="001455DC">
        <w:rPr>
          <w:rStyle w:val="CCMCvariablesubscript"/>
        </w:rPr>
        <w:t>R,3k</w:t>
      </w:r>
      <w:r w:rsidRPr="001455DC">
        <w:t>/</w:t>
      </w:r>
      <w:r w:rsidRPr="001455DC">
        <w:rPr>
          <w:rStyle w:val="CCMCvariableitalic"/>
        </w:rPr>
        <w:t>f</w:t>
      </w:r>
      <w:r w:rsidRPr="001455DC">
        <w:rPr>
          <w:rStyle w:val="CCMCvariablesubscript"/>
        </w:rPr>
        <w:t>R,1k</w:t>
      </w:r>
      <w:r w:rsidRPr="001455DC">
        <w:t xml:space="preserve"> denominated by a letter. The letter defines the ductility class which is illustrated in Figure L.1a).</w:t>
      </w:r>
    </w:p>
    <w:p w14:paraId="6638BFA0" w14:textId="77777777" w:rsidR="004E22C1" w:rsidRPr="001455DC" w:rsidRDefault="004E22C1" w:rsidP="002540CA">
      <w:pPr>
        <w:pStyle w:val="Note"/>
      </w:pPr>
      <w:r w:rsidRPr="001455DC">
        <w:rPr>
          <w:bCs/>
        </w:rPr>
        <w:t>NOTE 2</w:t>
      </w:r>
      <w:r w:rsidRPr="001455DC">
        <w:rPr>
          <w:bCs/>
        </w:rPr>
        <w:tab/>
      </w:r>
      <w:r w:rsidRPr="001455DC">
        <w:t xml:space="preserve">Values of characteristic residual flexural strength used in this Eurocode correspond to those determined using EN 14651 at the age </w:t>
      </w:r>
      <w:r w:rsidRPr="001455DC">
        <w:rPr>
          <w:rStyle w:val="CCMCvariableitalic"/>
        </w:rPr>
        <w:t>t</w:t>
      </w:r>
      <w:r w:rsidRPr="001455DC">
        <w:rPr>
          <w:rStyle w:val="CCMCvariablesubscript"/>
        </w:rPr>
        <w:t>ref</w:t>
      </w:r>
      <w:r w:rsidRPr="001455DC">
        <w:t xml:space="preserve"> defined in 5.1.3(2).</w:t>
      </w:r>
    </w:p>
    <w:p w14:paraId="2A1C462D" w14:textId="23346C6A" w:rsidR="004E22C1" w:rsidRDefault="00723CF7" w:rsidP="00F72049">
      <w:pPr>
        <w:pStyle w:val="FigureImage"/>
      </w:pPr>
      <w:r>
        <w:rPr>
          <w:noProof/>
          <w:lang w:eastAsia="en-GB"/>
        </w:rPr>
        <w:fldChar w:fldCharType="begin"/>
      </w:r>
      <w:r>
        <w:rPr>
          <w:noProof/>
          <w:lang w:eastAsia="en-GB"/>
        </w:rPr>
        <w:instrText xml:space="preserve"> INCLUDEPICTURE  "Y:\\STD_MGT\\STDDEL\\PRODUCTION\\etrans\\Download\\Z_FIRST_DEL\\SV\\00250\\00250269\\41_e_dr\\c001.tif"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"Y:\\STD_MGT\\STDDEL\\PRODUCTION\\Standards\\00250\\269\\41_e_dr\\c001.tif"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"Y:\\STD_MGT\\STDDEL\\PRODUCTION\\Standards\\00250\\269\\41_e_dr\\c001.tif"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"Y:\\STD_MGT\\STDDEL\\PRODUCTION\\Standards\\00250\\269\\41_e_dr\\c001.tif"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"Y:\\STD_MGT\\STDDEL\\PRODUCTION\\Standards\\00250\\269\\41_e_dr\\c001.tif"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"Y:\\STD_MGT\\STDDEL\\PRODUCTION\\Standards\\00250\\269\\41_e_dr\\c001.tif"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"C:\\Users\\a.dionysiou\\AppData\\Local\\Temp\\Temp1_00250269_e_20210902.zip.zip\\41_e_dr\\c001.tif"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61EFA800">
          <v:shape id="_x0000_i1302" type="#_x0000_t75" style="width:189pt;height:121.5pt">
            <v:imagedata r:id="rId574" r:href="rId575"/>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38F427A1" w14:textId="77777777" w:rsidR="00AD033B" w:rsidRDefault="006F55FF" w:rsidP="00AD033B">
      <w:pPr>
        <w:pStyle w:val="KeyTitle"/>
      </w:pPr>
      <w:r w:rsidRPr="009D3012">
        <w:t>Key</w:t>
      </w:r>
    </w:p>
    <w:tbl>
      <w:tblPr>
        <w:tblW w:w="0" w:type="auto"/>
        <w:tblInd w:w="-100" w:type="dxa"/>
        <w:tblCellMar>
          <w:left w:w="100" w:type="dxa"/>
        </w:tblCellMar>
        <w:tblLook w:val="0000" w:firstRow="0" w:lastRow="0" w:firstColumn="0" w:lastColumn="0" w:noHBand="0" w:noVBand="0"/>
      </w:tblPr>
      <w:tblGrid>
        <w:gridCol w:w="323"/>
        <w:gridCol w:w="1170"/>
      </w:tblGrid>
      <w:tr w:rsidR="00AD033B" w:rsidRPr="00AD033B" w14:paraId="66820402" w14:textId="77777777" w:rsidTr="00AD033B">
        <w:tc>
          <w:tcPr>
            <w:tcW w:w="0" w:type="auto"/>
            <w:shd w:val="clear" w:color="auto" w:fill="auto"/>
          </w:tcPr>
          <w:p w14:paraId="3C8B2499" w14:textId="77777777" w:rsidR="00AD033B" w:rsidRPr="00AD033B" w:rsidRDefault="00AD033B" w:rsidP="00AD033B">
            <w:pPr>
              <w:pStyle w:val="KeyText"/>
              <w:tabs>
                <w:tab w:val="clear" w:pos="346"/>
              </w:tabs>
              <w:ind w:left="0" w:firstLine="0"/>
            </w:pPr>
            <w:r w:rsidRPr="00AD033B">
              <w:t>X</w:t>
            </w:r>
          </w:p>
        </w:tc>
        <w:tc>
          <w:tcPr>
            <w:tcW w:w="0" w:type="auto"/>
            <w:shd w:val="clear" w:color="auto" w:fill="auto"/>
          </w:tcPr>
          <w:p w14:paraId="4107E251" w14:textId="77777777" w:rsidR="00AD033B" w:rsidRPr="00AD033B" w:rsidRDefault="00AD033B" w:rsidP="00AD033B">
            <w:pPr>
              <w:pStyle w:val="KeyText"/>
              <w:tabs>
                <w:tab w:val="clear" w:pos="346"/>
              </w:tabs>
              <w:ind w:left="0" w:firstLine="0"/>
            </w:pPr>
            <w:r w:rsidRPr="00AD033B">
              <w:t>crackwidth</w:t>
            </w:r>
          </w:p>
        </w:tc>
      </w:tr>
      <w:tr w:rsidR="00AD033B" w:rsidRPr="00AD033B" w14:paraId="06544BD2" w14:textId="77777777" w:rsidTr="00AD033B">
        <w:tc>
          <w:tcPr>
            <w:tcW w:w="0" w:type="auto"/>
            <w:shd w:val="clear" w:color="auto" w:fill="auto"/>
          </w:tcPr>
          <w:p w14:paraId="24E09E9D" w14:textId="77777777" w:rsidR="00AD033B" w:rsidRPr="00AD033B" w:rsidRDefault="00AD033B" w:rsidP="00AD033B">
            <w:pPr>
              <w:pStyle w:val="KeyText"/>
              <w:tabs>
                <w:tab w:val="clear" w:pos="346"/>
              </w:tabs>
              <w:ind w:left="0" w:firstLine="0"/>
            </w:pPr>
            <w:r w:rsidRPr="00AD033B">
              <w:t>Y</w:t>
            </w:r>
          </w:p>
        </w:tc>
        <w:tc>
          <w:tcPr>
            <w:tcW w:w="0" w:type="auto"/>
            <w:shd w:val="clear" w:color="auto" w:fill="auto"/>
          </w:tcPr>
          <w:p w14:paraId="5831B75D" w14:textId="77777777" w:rsidR="00AD033B" w:rsidRPr="00AD033B" w:rsidRDefault="00AD033B" w:rsidP="00AD033B">
            <w:pPr>
              <w:pStyle w:val="KeyText"/>
              <w:tabs>
                <w:tab w:val="clear" w:pos="346"/>
              </w:tabs>
              <w:ind w:left="0" w:firstLine="0"/>
            </w:pPr>
            <w:r w:rsidRPr="00AD033B">
              <w:rPr>
                <w:rStyle w:val="CCMCvariableitalic"/>
              </w:rPr>
              <w:t>f</w:t>
            </w:r>
            <w:r w:rsidRPr="00AD033B">
              <w:rPr>
                <w:rStyle w:val="CCMCvariablesubscript"/>
              </w:rPr>
              <w:t>R,ik</w:t>
            </w:r>
            <w:r w:rsidRPr="00AD033B">
              <w:t>/</w:t>
            </w:r>
            <w:r w:rsidRPr="00AD033B">
              <w:rPr>
                <w:rStyle w:val="CCMCvariableitalic"/>
              </w:rPr>
              <w:t>f</w:t>
            </w:r>
            <w:r w:rsidRPr="00AD033B">
              <w:rPr>
                <w:rStyle w:val="CCMCvariablesubscript"/>
              </w:rPr>
              <w:t>R,1k</w:t>
            </w:r>
          </w:p>
        </w:tc>
      </w:tr>
    </w:tbl>
    <w:p w14:paraId="19BCF927" w14:textId="5E7C7DCC" w:rsidR="004E22C1" w:rsidRPr="001455DC" w:rsidRDefault="004E22C1" w:rsidP="00F72049">
      <w:pPr>
        <w:pStyle w:val="Figuretitle"/>
      </w:pPr>
      <w:r w:rsidRPr="001455DC">
        <w:t xml:space="preserve">Figure C.1 — </w:t>
      </w:r>
      <w:r w:rsidR="005072C9" w:rsidRPr="001455DC">
        <w:t xml:space="preserve">Illustration </w:t>
      </w:r>
      <w:r w:rsidRPr="001455DC">
        <w:t>of the ductility classes</w:t>
      </w:r>
    </w:p>
    <w:p w14:paraId="01AF079E" w14:textId="33586449" w:rsidR="004E22C1" w:rsidRPr="001455DC" w:rsidRDefault="004E22C1" w:rsidP="00F72049">
      <w:pPr>
        <w:pStyle w:val="a7"/>
      </w:pPr>
      <w:r w:rsidRPr="001455DC">
        <w:t>(2)</w:t>
      </w:r>
      <w:r w:rsidRPr="001455DC">
        <w:tab/>
        <w:t xml:space="preserve">The test report of a SFRC shall contain the </w:t>
      </w:r>
      <w:r w:rsidR="005072C9" w:rsidRPr="001455DC">
        <w:t>load</w:t>
      </w:r>
      <w:r w:rsidRPr="001455DC">
        <w:t>-</w:t>
      </w:r>
      <w:r w:rsidRPr="001455DC">
        <w:rPr>
          <w:rStyle w:val="CCMCvariableitalic"/>
        </w:rPr>
        <w:t>CMOD</w:t>
      </w:r>
      <w:r w:rsidRPr="001455DC">
        <w:t xml:space="preserve"> curve or the </w:t>
      </w:r>
      <w:r w:rsidR="005072C9" w:rsidRPr="001455DC">
        <w:t xml:space="preserve">load </w:t>
      </w:r>
      <w:r w:rsidRPr="001455DC">
        <w:t xml:space="preserve">Deflection curve and the </w:t>
      </w:r>
      <w:r w:rsidR="005072C9" w:rsidRPr="001455DC">
        <w:t xml:space="preserve">limit </w:t>
      </w:r>
      <w:r w:rsidRPr="001455DC">
        <w:t xml:space="preserve">of proportionality </w:t>
      </w:r>
      <w:r w:rsidRPr="001455DC">
        <w:rPr>
          <w:rStyle w:val="CCMCvariableitalic"/>
        </w:rPr>
        <w:t>LOP</w:t>
      </w:r>
      <w:r w:rsidRPr="001455DC">
        <w:t>.</w:t>
      </w:r>
    </w:p>
    <w:p w14:paraId="32C3DF96" w14:textId="706CC0AA" w:rsidR="004E22C1" w:rsidRPr="001455DC" w:rsidRDefault="004E22C1" w:rsidP="00F72049">
      <w:pPr>
        <w:pStyle w:val="a7"/>
        <w:rPr>
          <w:lang w:eastAsia="en-US"/>
        </w:rPr>
      </w:pPr>
      <w:r w:rsidRPr="001455DC">
        <w:rPr>
          <w:lang w:eastAsia="en-US"/>
        </w:rPr>
        <w:t>(3)</w:t>
      </w:r>
      <w:r w:rsidRPr="001455DC">
        <w:rPr>
          <w:lang w:eastAsia="en-US"/>
        </w:rPr>
        <w:tab/>
        <w:t>If the steel fibre content is to be determined, it must be added to the report printout at the mixing plant or, in the absence of a recording device, the production records in connection with the mixing instructions for charge can be removed.</w:t>
      </w:r>
      <w:r w:rsidR="005072C9" w:rsidRPr="001455DC">
        <w:rPr>
          <w:lang w:eastAsia="en-US"/>
        </w:rPr>
        <w:t xml:space="preserve"> </w:t>
      </w:r>
      <w:r w:rsidRPr="001455DC">
        <w:rPr>
          <w:lang w:eastAsia="en-US"/>
        </w:rPr>
        <w:t xml:space="preserve">The steel fibre content is defined by a minimum value </w:t>
      </w:r>
      <w:r w:rsidRPr="001455DC">
        <w:rPr>
          <w:rStyle w:val="CCMCvariableitalic"/>
        </w:rPr>
        <w:t>m</w:t>
      </w:r>
      <w:r w:rsidRPr="001455DC">
        <w:rPr>
          <w:rStyle w:val="CCMCvariablesubscript"/>
        </w:rPr>
        <w:t>f,min</w:t>
      </w:r>
      <w:r w:rsidRPr="001455DC">
        <w:rPr>
          <w:lang w:eastAsia="en-US"/>
        </w:rPr>
        <w:t>.</w:t>
      </w:r>
    </w:p>
    <w:p w14:paraId="1F655743" w14:textId="77777777" w:rsidR="004E22C1" w:rsidRPr="001455DC" w:rsidRDefault="004E22C1" w:rsidP="00F72049">
      <w:pPr>
        <w:pStyle w:val="a7"/>
        <w:rPr>
          <w:lang w:eastAsia="en-US"/>
        </w:rPr>
      </w:pPr>
      <w:r w:rsidRPr="001455DC">
        <w:rPr>
          <w:lang w:eastAsia="en-US"/>
        </w:rPr>
        <w:t>(4)</w:t>
      </w:r>
      <w:r w:rsidRPr="001455DC">
        <w:rPr>
          <w:lang w:eastAsia="en-US"/>
        </w:rPr>
        <w:tab/>
        <w:t>If a new steel fibre concrete mix is used, an initial test must be carried out by the producer in order to obtain a mixture design that meets the specified characteristic residual flexural strength according (1).</w:t>
      </w:r>
    </w:p>
    <w:p w14:paraId="0DD160B0" w14:textId="01EAE612" w:rsidR="004E22C1" w:rsidRPr="001455DC" w:rsidRDefault="004E22C1" w:rsidP="00F72049">
      <w:pPr>
        <w:pStyle w:val="a7"/>
      </w:pPr>
      <w:r w:rsidRPr="001455DC">
        <w:t>(5</w:t>
      </w:r>
      <w:r w:rsidR="005072C9" w:rsidRPr="001455DC">
        <w:t>)</w:t>
      </w:r>
      <w:r w:rsidRPr="001455DC">
        <w:t xml:space="preserve"> The initial assessment shall demonstrate, that the documented procedures a uniform fibre distribution in the load is achieved.</w:t>
      </w:r>
    </w:p>
    <w:p w14:paraId="3476EE05" w14:textId="29847887" w:rsidR="004E22C1" w:rsidRPr="001455DC" w:rsidRDefault="004E22C1" w:rsidP="00F72049">
      <w:pPr>
        <w:pStyle w:val="a7"/>
        <w:rPr>
          <w:lang w:eastAsia="en-US"/>
        </w:rPr>
      </w:pPr>
      <w:r w:rsidRPr="001455DC">
        <w:rPr>
          <w:lang w:eastAsia="en-US"/>
        </w:rPr>
        <w:t>(6)</w:t>
      </w:r>
      <w:r w:rsidRPr="001455DC">
        <w:rPr>
          <w:lang w:eastAsia="en-US"/>
        </w:rPr>
        <w:tab/>
        <w:t xml:space="preserve">The sample body </w:t>
      </w:r>
      <w:r w:rsidR="00AD44B5" w:rsidRPr="001455DC">
        <w:rPr>
          <w:lang w:eastAsia="en-US"/>
        </w:rPr>
        <w:t xml:space="preserve">shall </w:t>
      </w:r>
      <w:r w:rsidRPr="001455DC">
        <w:rPr>
          <w:lang w:eastAsia="en-US"/>
        </w:rPr>
        <w:t>have at least six bars of the dimensions 150 mm/150 mm/700 mm according to EN 14651. The dimensions of the sample body apply up to a nominal value of the maximum grain size the aggregate of 16 mm for round grain and 22 mm for crushed grain. For a higher nominal value of the maximum grain size, the dimensions of the sample body require special consideration. The length of the steel fibres should not be less than 1,5 times the maximum grain size. For the production of test specimens from normal concrete, EN 14651 shall be observed.</w:t>
      </w:r>
    </w:p>
    <w:p w14:paraId="5196047E" w14:textId="283D895F" w:rsidR="004E22C1" w:rsidRPr="001455DC" w:rsidRDefault="004E22C1" w:rsidP="00F72049">
      <w:pPr>
        <w:pStyle w:val="a7"/>
        <w:rPr>
          <w:lang w:eastAsia="en-US"/>
        </w:rPr>
      </w:pPr>
      <w:r w:rsidRPr="001455DC">
        <w:rPr>
          <w:lang w:eastAsia="en-US"/>
        </w:rPr>
        <w:t>(7)</w:t>
      </w:r>
      <w:r w:rsidRPr="001455DC">
        <w:rPr>
          <w:lang w:eastAsia="en-US"/>
        </w:rPr>
        <w:tab/>
      </w:r>
      <w:r w:rsidR="00AD44B5" w:rsidRPr="009D3012">
        <w:t xml:space="preserve">For determination of </w:t>
      </w:r>
      <w:r w:rsidR="00AD44B5" w:rsidRPr="009D3012">
        <w:rPr>
          <w:i/>
          <w:iCs/>
        </w:rPr>
        <w:t>f</w:t>
      </w:r>
      <w:r w:rsidR="00AD44B5" w:rsidRPr="009D3012">
        <w:rPr>
          <w:vertAlign w:val="subscript"/>
        </w:rPr>
        <w:t>r1,k</w:t>
      </w:r>
      <w:r w:rsidR="00AD44B5" w:rsidRPr="009D3012">
        <w:t xml:space="preserve"> and </w:t>
      </w:r>
      <w:r w:rsidR="00AD44B5" w:rsidRPr="009D3012">
        <w:rPr>
          <w:i/>
          <w:iCs/>
        </w:rPr>
        <w:t>f</w:t>
      </w:r>
      <w:r w:rsidR="00AD44B5" w:rsidRPr="009D3012">
        <w:rPr>
          <w:vertAlign w:val="subscript"/>
        </w:rPr>
        <w:t>r3,k</w:t>
      </w:r>
      <w:r w:rsidR="00AD44B5" w:rsidRPr="009D3012">
        <w:t xml:space="preserve">, the value of </w:t>
      </w:r>
      <w:r w:rsidR="00AD44B5" w:rsidRPr="009D3012">
        <w:rPr>
          <w:rFonts w:ascii="Symbol" w:hAnsi="Symbol"/>
          <w:i/>
          <w:iCs/>
        </w:rPr>
        <w:t></w:t>
      </w:r>
      <w:r w:rsidR="00AD44B5" w:rsidRPr="009D3012">
        <w:rPr>
          <w:vertAlign w:val="subscript"/>
        </w:rPr>
        <w:t>k,max</w:t>
      </w:r>
      <w:r w:rsidR="00AD44B5" w:rsidRPr="009D3012">
        <w:t xml:space="preserve"> in EN 206 shall be taken as 0,6.</w:t>
      </w:r>
    </w:p>
    <w:p w14:paraId="033724FA" w14:textId="66A14D55" w:rsidR="004E22C1" w:rsidRPr="001455DC" w:rsidRDefault="004E22C1" w:rsidP="00082680">
      <w:pPr>
        <w:pStyle w:val="a2"/>
      </w:pPr>
      <w:bookmarkStart w:id="1363" w:name="_Toc52820139"/>
      <w:bookmarkStart w:id="1364" w:name="_Toc54337143"/>
      <w:bookmarkStart w:id="1365" w:name="_Toc54337544"/>
      <w:bookmarkStart w:id="1366" w:name="_Toc54338194"/>
      <w:bookmarkStart w:id="1367" w:name="_Toc67565532"/>
      <w:r w:rsidRPr="001455DC">
        <w:t>Reinforcing Steel</w:t>
      </w:r>
      <w:bookmarkEnd w:id="1363"/>
      <w:bookmarkEnd w:id="1364"/>
      <w:bookmarkEnd w:id="1365"/>
      <w:bookmarkEnd w:id="1366"/>
      <w:bookmarkEnd w:id="1367"/>
    </w:p>
    <w:p w14:paraId="75923E11" w14:textId="48830D48" w:rsidR="004E22C1" w:rsidRPr="001455DC" w:rsidRDefault="004E22C1" w:rsidP="00243590">
      <w:pPr>
        <w:pStyle w:val="a3"/>
      </w:pPr>
      <w:bookmarkStart w:id="1368" w:name="_Toc52820140"/>
      <w:bookmarkStart w:id="1369" w:name="_Toc54337545"/>
      <w:bookmarkStart w:id="1370" w:name="_Toc54338195"/>
      <w:r w:rsidRPr="001455DC">
        <w:t>Carbon Reinforcing Steel</w:t>
      </w:r>
      <w:bookmarkEnd w:id="1368"/>
      <w:bookmarkEnd w:id="1369"/>
      <w:bookmarkEnd w:id="1370"/>
    </w:p>
    <w:p w14:paraId="06641BAD" w14:textId="5BCBD61B" w:rsidR="004E22C1" w:rsidRPr="001455DC" w:rsidRDefault="004E22C1" w:rsidP="00F72049">
      <w:pPr>
        <w:pStyle w:val="a7"/>
      </w:pPr>
      <w:r w:rsidRPr="001455DC">
        <w:t>(1)</w:t>
      </w:r>
      <w:r w:rsidRPr="001455DC">
        <w:tab/>
        <w:t>In the design reinforcing steel classes are be used. Carbon reinforcing steel products according to EN 10080 fulfilling the following requirements may be classified in strength classes B as in Table C.1a and in ductility classes as in Table C.</w:t>
      </w:r>
      <w:r w:rsidR="00AD44B5" w:rsidRPr="001455DC">
        <w:t>1b</w:t>
      </w:r>
      <w:r w:rsidRPr="001455DC">
        <w:t>.</w:t>
      </w:r>
    </w:p>
    <w:p w14:paraId="49866BE0" w14:textId="4FE4E83F" w:rsidR="004E22C1" w:rsidRPr="001455DC" w:rsidRDefault="004E22C1" w:rsidP="00F72049">
      <w:pPr>
        <w:pStyle w:val="Tabletitle"/>
      </w:pPr>
      <w:bookmarkStart w:id="1371" w:name="_Toc54337546"/>
      <w:r w:rsidRPr="001455DC">
        <w:t>Table C.1a — Strength properties of reinforcing steel according to EN 10080</w:t>
      </w:r>
      <w:bookmarkEnd w:id="1371"/>
    </w:p>
    <w:tbl>
      <w:tblPr>
        <w:tblStyle w:val="53"/>
        <w:tblW w:w="9752" w:type="dxa"/>
        <w:tblLayout w:type="fixed"/>
        <w:tblLook w:val="0660" w:firstRow="1" w:lastRow="1" w:firstColumn="0" w:lastColumn="0" w:noHBand="1" w:noVBand="1"/>
      </w:tblPr>
      <w:tblGrid>
        <w:gridCol w:w="4224"/>
        <w:gridCol w:w="976"/>
        <w:gridCol w:w="976"/>
        <w:gridCol w:w="813"/>
        <w:gridCol w:w="975"/>
        <w:gridCol w:w="813"/>
        <w:gridCol w:w="975"/>
      </w:tblGrid>
      <w:tr w:rsidR="004E22C1" w:rsidRPr="001455DC" w14:paraId="5A78D6E5" w14:textId="77777777" w:rsidTr="0033314D">
        <w:trPr>
          <w:cnfStyle w:val="100000000000" w:firstRow="1" w:lastRow="0" w:firstColumn="0" w:lastColumn="0" w:oddVBand="0" w:evenVBand="0" w:oddHBand="0" w:evenHBand="0" w:firstRowFirstColumn="0" w:firstRowLastColumn="0" w:lastRowFirstColumn="0" w:lastRowLastColumn="0"/>
          <w:tblHeader/>
        </w:trPr>
        <w:tc>
          <w:tcPr>
            <w:tcW w:w="3681" w:type="dxa"/>
            <w:vMerge w:val="restart"/>
          </w:tcPr>
          <w:p w14:paraId="44E55AC6" w14:textId="77777777" w:rsidR="004E22C1" w:rsidRPr="001455DC" w:rsidRDefault="004E22C1" w:rsidP="0033314D">
            <w:pPr>
              <w:pStyle w:val="Tableheader"/>
              <w:rPr>
                <w:szCs w:val="22"/>
              </w:rPr>
            </w:pPr>
            <w:r w:rsidRPr="001455DC">
              <w:rPr>
                <w:szCs w:val="22"/>
              </w:rPr>
              <w:t>Property</w:t>
            </w:r>
          </w:p>
        </w:tc>
        <w:tc>
          <w:tcPr>
            <w:tcW w:w="4819" w:type="dxa"/>
            <w:gridSpan w:val="6"/>
          </w:tcPr>
          <w:p w14:paraId="2DD83513" w14:textId="2DF35C08" w:rsidR="004E22C1" w:rsidRPr="001455DC" w:rsidRDefault="004E22C1" w:rsidP="0033314D">
            <w:pPr>
              <w:pStyle w:val="Tableheader"/>
              <w:rPr>
                <w:szCs w:val="22"/>
              </w:rPr>
            </w:pPr>
            <w:r w:rsidRPr="001455DC">
              <w:rPr>
                <w:szCs w:val="22"/>
              </w:rPr>
              <w:t>Reinforcing steel strength class</w:t>
            </w:r>
            <w:r w:rsidRPr="001455DC">
              <w:rPr>
                <w:rStyle w:val="CCMCvariablesuperscript"/>
                <w:b w:val="0"/>
                <w:bCs/>
                <w:szCs w:val="22"/>
              </w:rPr>
              <w:t>a</w:t>
            </w:r>
          </w:p>
        </w:tc>
      </w:tr>
      <w:tr w:rsidR="004E22C1" w:rsidRPr="001455DC" w14:paraId="03BB26E7" w14:textId="77777777" w:rsidTr="0033314D">
        <w:trPr>
          <w:cnfStyle w:val="100000000000" w:firstRow="1" w:lastRow="0" w:firstColumn="0" w:lastColumn="0" w:oddVBand="0" w:evenVBand="0" w:oddHBand="0" w:evenHBand="0" w:firstRowFirstColumn="0" w:firstRowLastColumn="0" w:lastRowFirstColumn="0" w:lastRowLastColumn="0"/>
          <w:trHeight w:val="200"/>
          <w:tblHeader/>
        </w:trPr>
        <w:tc>
          <w:tcPr>
            <w:tcW w:w="3681" w:type="dxa"/>
            <w:vMerge/>
          </w:tcPr>
          <w:p w14:paraId="68D8E37C" w14:textId="77777777" w:rsidR="004E22C1" w:rsidRPr="001455DC" w:rsidRDefault="004E22C1" w:rsidP="0033314D">
            <w:pPr>
              <w:pStyle w:val="Tableheader"/>
              <w:rPr>
                <w:szCs w:val="22"/>
              </w:rPr>
            </w:pPr>
          </w:p>
        </w:tc>
        <w:tc>
          <w:tcPr>
            <w:tcW w:w="850" w:type="dxa"/>
          </w:tcPr>
          <w:p w14:paraId="639BF325" w14:textId="77777777" w:rsidR="004E22C1" w:rsidRPr="001455DC" w:rsidRDefault="004E22C1" w:rsidP="0033314D">
            <w:pPr>
              <w:pStyle w:val="Tableheader"/>
              <w:rPr>
                <w:szCs w:val="22"/>
              </w:rPr>
            </w:pPr>
            <w:r w:rsidRPr="001455DC">
              <w:rPr>
                <w:szCs w:val="22"/>
              </w:rPr>
              <w:t>B400</w:t>
            </w:r>
          </w:p>
        </w:tc>
        <w:tc>
          <w:tcPr>
            <w:tcW w:w="851" w:type="dxa"/>
          </w:tcPr>
          <w:p w14:paraId="70CBD03E" w14:textId="77777777" w:rsidR="004E22C1" w:rsidRPr="001455DC" w:rsidRDefault="004E22C1" w:rsidP="0033314D">
            <w:pPr>
              <w:pStyle w:val="Tableheader"/>
              <w:rPr>
                <w:szCs w:val="22"/>
              </w:rPr>
            </w:pPr>
            <w:r w:rsidRPr="001455DC">
              <w:rPr>
                <w:szCs w:val="22"/>
              </w:rPr>
              <w:t>B450</w:t>
            </w:r>
          </w:p>
        </w:tc>
        <w:tc>
          <w:tcPr>
            <w:tcW w:w="709" w:type="dxa"/>
          </w:tcPr>
          <w:p w14:paraId="5600D9C0" w14:textId="77777777" w:rsidR="004E22C1" w:rsidRPr="001455DC" w:rsidRDefault="004E22C1" w:rsidP="0033314D">
            <w:pPr>
              <w:pStyle w:val="Tableheader"/>
              <w:rPr>
                <w:szCs w:val="22"/>
              </w:rPr>
            </w:pPr>
            <w:r w:rsidRPr="001455DC">
              <w:rPr>
                <w:szCs w:val="22"/>
              </w:rPr>
              <w:t>B500</w:t>
            </w:r>
          </w:p>
        </w:tc>
        <w:tc>
          <w:tcPr>
            <w:tcW w:w="850" w:type="dxa"/>
          </w:tcPr>
          <w:p w14:paraId="79AE8512" w14:textId="77777777" w:rsidR="004E22C1" w:rsidRPr="001455DC" w:rsidRDefault="004E22C1" w:rsidP="0033314D">
            <w:pPr>
              <w:pStyle w:val="Tableheader"/>
              <w:rPr>
                <w:szCs w:val="22"/>
              </w:rPr>
            </w:pPr>
            <w:r w:rsidRPr="001455DC">
              <w:rPr>
                <w:szCs w:val="22"/>
              </w:rPr>
              <w:t>B550</w:t>
            </w:r>
          </w:p>
        </w:tc>
        <w:tc>
          <w:tcPr>
            <w:tcW w:w="709" w:type="dxa"/>
          </w:tcPr>
          <w:p w14:paraId="3733FA14" w14:textId="77777777" w:rsidR="004E22C1" w:rsidRPr="001455DC" w:rsidRDefault="004E22C1" w:rsidP="0033314D">
            <w:pPr>
              <w:pStyle w:val="Tableheader"/>
              <w:rPr>
                <w:szCs w:val="22"/>
              </w:rPr>
            </w:pPr>
            <w:r w:rsidRPr="001455DC">
              <w:rPr>
                <w:szCs w:val="22"/>
              </w:rPr>
              <w:t>B600</w:t>
            </w:r>
          </w:p>
        </w:tc>
        <w:tc>
          <w:tcPr>
            <w:tcW w:w="850" w:type="dxa"/>
          </w:tcPr>
          <w:p w14:paraId="600D9287" w14:textId="77777777" w:rsidR="004E22C1" w:rsidRPr="001455DC" w:rsidRDefault="004E22C1" w:rsidP="0033314D">
            <w:pPr>
              <w:pStyle w:val="Tableheader"/>
            </w:pPr>
            <w:r w:rsidRPr="001455DC">
              <w:t>B700</w:t>
            </w:r>
          </w:p>
        </w:tc>
      </w:tr>
      <w:tr w:rsidR="004E22C1" w:rsidRPr="001455DC" w14:paraId="2F4D52E1" w14:textId="77777777" w:rsidTr="0033314D">
        <w:trPr>
          <w:trHeight w:val="272"/>
        </w:trPr>
        <w:tc>
          <w:tcPr>
            <w:tcW w:w="3681" w:type="dxa"/>
            <w:vAlign w:val="center"/>
          </w:tcPr>
          <w:p w14:paraId="3DD027F0" w14:textId="77777777" w:rsidR="004E22C1" w:rsidRPr="009D3012" w:rsidRDefault="004E22C1" w:rsidP="0033314D">
            <w:pPr>
              <w:pStyle w:val="Tablebody"/>
              <w:jc w:val="left"/>
              <w:rPr>
                <w:szCs w:val="22"/>
                <w:lang w:val="en-US"/>
              </w:rPr>
            </w:pPr>
            <w:r w:rsidRPr="009D3012">
              <w:rPr>
                <w:rFonts w:eastAsiaTheme="minorHAnsi"/>
                <w:szCs w:val="22"/>
                <w:lang w:val="en-US"/>
              </w:rPr>
              <w:t>Bars including de-coiled bars</w:t>
            </w:r>
          </w:p>
          <w:p w14:paraId="7598E89E" w14:textId="792B3263" w:rsidR="004E22C1" w:rsidRPr="009D3012" w:rsidRDefault="004E22C1">
            <w:pPr>
              <w:pStyle w:val="Tablebody"/>
              <w:jc w:val="left"/>
              <w:rPr>
                <w:b/>
                <w:szCs w:val="22"/>
                <w:lang w:val="en-US"/>
              </w:rPr>
            </w:pPr>
            <w:r w:rsidRPr="009D3012">
              <w:rPr>
                <w:szCs w:val="22"/>
                <w:lang w:val="en-US"/>
              </w:rPr>
              <w:t xml:space="preserve">Yield strength </w:t>
            </w:r>
            <w:r w:rsidRPr="009D3012">
              <w:rPr>
                <w:rStyle w:val="CCMCvariableitalic"/>
                <w:szCs w:val="22"/>
                <w:lang w:val="en-US"/>
              </w:rPr>
              <w:t>R</w:t>
            </w:r>
            <w:r w:rsidRPr="009D3012">
              <w:rPr>
                <w:rStyle w:val="CCMCvariablesubscript"/>
                <w:szCs w:val="22"/>
                <w:lang w:val="en-US"/>
              </w:rPr>
              <w:t>e</w:t>
            </w:r>
            <w:r w:rsidRPr="009D3012">
              <w:rPr>
                <w:szCs w:val="22"/>
                <w:lang w:val="en-US"/>
              </w:rPr>
              <w:t xml:space="preserve"> </w:t>
            </w:r>
            <w:r w:rsidR="00AD44B5" w:rsidRPr="009D3012">
              <w:rPr>
                <w:szCs w:val="22"/>
                <w:lang w:val="en-US"/>
              </w:rPr>
              <w:t xml:space="preserve">or </w:t>
            </w:r>
            <w:r w:rsidR="00AD44B5" w:rsidRPr="009D3012">
              <w:rPr>
                <w:rStyle w:val="CCMCvariableitalic"/>
                <w:szCs w:val="22"/>
                <w:lang w:val="en-US"/>
              </w:rPr>
              <w:t>R</w:t>
            </w:r>
            <w:r w:rsidR="00AD44B5" w:rsidRPr="009D3012">
              <w:rPr>
                <w:rStyle w:val="CCMCvariablesubscript"/>
                <w:szCs w:val="22"/>
                <w:lang w:val="en-US"/>
              </w:rPr>
              <w:t>p0,2</w:t>
            </w:r>
            <w:r w:rsidR="00AD44B5" w:rsidRPr="009D3012">
              <w:rPr>
                <w:szCs w:val="22"/>
                <w:lang w:val="en-US"/>
              </w:rPr>
              <w:t xml:space="preserve"> </w:t>
            </w:r>
            <w:r w:rsidRPr="009D3012">
              <w:rPr>
                <w:szCs w:val="22"/>
                <w:lang w:val="en-US"/>
              </w:rPr>
              <w:t xml:space="preserve">[MPa] (5 % quantile) </w:t>
            </w:r>
          </w:p>
        </w:tc>
        <w:tc>
          <w:tcPr>
            <w:tcW w:w="850" w:type="dxa"/>
            <w:vAlign w:val="center"/>
          </w:tcPr>
          <w:p w14:paraId="0620EBB7" w14:textId="6A7ABC0B" w:rsidR="004E22C1" w:rsidRPr="001455DC" w:rsidRDefault="00650035" w:rsidP="0033314D">
            <w:pPr>
              <w:pStyle w:val="Tablebody"/>
              <w:jc w:val="center"/>
              <w:rPr>
                <w:szCs w:val="22"/>
              </w:rPr>
            </w:pPr>
            <w:r w:rsidRPr="001455DC">
              <w:rPr>
                <w:rFonts w:ascii="Cambria Math" w:hAnsi="Cambria Math"/>
                <w:szCs w:val="22"/>
              </w:rPr>
              <w:t>≥</w:t>
            </w:r>
            <w:r w:rsidR="00073FC6" w:rsidRPr="001455DC">
              <w:rPr>
                <w:szCs w:val="22"/>
              </w:rPr>
              <w:t> </w:t>
            </w:r>
            <w:r w:rsidR="004E22C1" w:rsidRPr="001455DC">
              <w:rPr>
                <w:szCs w:val="22"/>
              </w:rPr>
              <w:t>400</w:t>
            </w:r>
          </w:p>
        </w:tc>
        <w:tc>
          <w:tcPr>
            <w:tcW w:w="851" w:type="dxa"/>
            <w:vAlign w:val="center"/>
          </w:tcPr>
          <w:p w14:paraId="37FF77C4" w14:textId="15F54E8F" w:rsidR="004E22C1" w:rsidRPr="001455DC" w:rsidRDefault="00650035" w:rsidP="0033314D">
            <w:pPr>
              <w:pStyle w:val="Tablebody"/>
              <w:jc w:val="center"/>
              <w:rPr>
                <w:szCs w:val="22"/>
              </w:rPr>
            </w:pPr>
            <w:r w:rsidRPr="001455DC">
              <w:rPr>
                <w:rFonts w:ascii="Cambria Math" w:hAnsi="Cambria Math"/>
                <w:szCs w:val="22"/>
              </w:rPr>
              <w:t>≥</w:t>
            </w:r>
            <w:r w:rsidR="00073FC6" w:rsidRPr="001455DC">
              <w:rPr>
                <w:szCs w:val="22"/>
              </w:rPr>
              <w:t> </w:t>
            </w:r>
            <w:r w:rsidR="004E22C1" w:rsidRPr="001455DC">
              <w:rPr>
                <w:szCs w:val="22"/>
              </w:rPr>
              <w:t>450</w:t>
            </w:r>
          </w:p>
        </w:tc>
        <w:tc>
          <w:tcPr>
            <w:tcW w:w="709" w:type="dxa"/>
            <w:vAlign w:val="center"/>
          </w:tcPr>
          <w:p w14:paraId="5EA25B17" w14:textId="11181398" w:rsidR="004E22C1" w:rsidRPr="001455DC" w:rsidRDefault="00650035" w:rsidP="0033314D">
            <w:pPr>
              <w:pStyle w:val="Tablebody"/>
              <w:jc w:val="center"/>
              <w:rPr>
                <w:szCs w:val="22"/>
              </w:rPr>
            </w:pPr>
            <w:r w:rsidRPr="001455DC">
              <w:rPr>
                <w:rFonts w:ascii="Cambria Math" w:hAnsi="Cambria Math"/>
                <w:szCs w:val="22"/>
              </w:rPr>
              <w:t>≥</w:t>
            </w:r>
            <w:r w:rsidR="00073FC6" w:rsidRPr="001455DC">
              <w:rPr>
                <w:szCs w:val="22"/>
              </w:rPr>
              <w:t> </w:t>
            </w:r>
            <w:r w:rsidR="004E22C1" w:rsidRPr="001455DC">
              <w:rPr>
                <w:szCs w:val="22"/>
              </w:rPr>
              <w:t>500</w:t>
            </w:r>
          </w:p>
        </w:tc>
        <w:tc>
          <w:tcPr>
            <w:tcW w:w="850" w:type="dxa"/>
            <w:vAlign w:val="center"/>
          </w:tcPr>
          <w:p w14:paraId="158D66BD" w14:textId="1B456DA1" w:rsidR="004E22C1" w:rsidRPr="001455DC" w:rsidRDefault="00650035" w:rsidP="0033314D">
            <w:pPr>
              <w:pStyle w:val="Tablebody"/>
              <w:jc w:val="center"/>
              <w:rPr>
                <w:szCs w:val="22"/>
              </w:rPr>
            </w:pPr>
            <w:r w:rsidRPr="001455DC">
              <w:rPr>
                <w:rFonts w:ascii="Cambria Math" w:hAnsi="Cambria Math"/>
                <w:szCs w:val="22"/>
              </w:rPr>
              <w:t>≥</w:t>
            </w:r>
            <w:r w:rsidR="00073FC6" w:rsidRPr="001455DC">
              <w:rPr>
                <w:szCs w:val="22"/>
              </w:rPr>
              <w:t> </w:t>
            </w:r>
            <w:r w:rsidR="004E22C1" w:rsidRPr="001455DC">
              <w:rPr>
                <w:szCs w:val="22"/>
              </w:rPr>
              <w:t>550</w:t>
            </w:r>
          </w:p>
        </w:tc>
        <w:tc>
          <w:tcPr>
            <w:tcW w:w="709" w:type="dxa"/>
            <w:vAlign w:val="center"/>
          </w:tcPr>
          <w:p w14:paraId="6CAB0AEB" w14:textId="70556991" w:rsidR="004E22C1" w:rsidRPr="001455DC" w:rsidRDefault="00650035" w:rsidP="0033314D">
            <w:pPr>
              <w:pStyle w:val="Tablebody"/>
              <w:jc w:val="center"/>
              <w:rPr>
                <w:szCs w:val="22"/>
              </w:rPr>
            </w:pPr>
            <w:r w:rsidRPr="001455DC">
              <w:rPr>
                <w:rFonts w:ascii="Cambria Math" w:hAnsi="Cambria Math"/>
                <w:szCs w:val="22"/>
              </w:rPr>
              <w:t>≥</w:t>
            </w:r>
            <w:r w:rsidR="00073FC6" w:rsidRPr="001455DC">
              <w:rPr>
                <w:szCs w:val="22"/>
              </w:rPr>
              <w:t> </w:t>
            </w:r>
            <w:r w:rsidR="004E22C1" w:rsidRPr="001455DC">
              <w:rPr>
                <w:szCs w:val="22"/>
              </w:rPr>
              <w:t>600</w:t>
            </w:r>
          </w:p>
        </w:tc>
        <w:tc>
          <w:tcPr>
            <w:tcW w:w="850" w:type="dxa"/>
            <w:vAlign w:val="center"/>
          </w:tcPr>
          <w:p w14:paraId="78CEC44A" w14:textId="366CD2F4" w:rsidR="004E22C1" w:rsidRPr="001455DC" w:rsidRDefault="00650035" w:rsidP="0033314D">
            <w:pPr>
              <w:pStyle w:val="Tablebody"/>
              <w:jc w:val="center"/>
              <w:rPr>
                <w:szCs w:val="22"/>
              </w:rPr>
            </w:pPr>
            <w:r w:rsidRPr="001455DC">
              <w:rPr>
                <w:rFonts w:ascii="Cambria Math" w:hAnsi="Cambria Math"/>
                <w:szCs w:val="22"/>
              </w:rPr>
              <w:t>≥</w:t>
            </w:r>
            <w:r w:rsidR="00073FC6" w:rsidRPr="001455DC">
              <w:rPr>
                <w:szCs w:val="22"/>
              </w:rPr>
              <w:t> </w:t>
            </w:r>
            <w:r w:rsidR="004E22C1" w:rsidRPr="001455DC">
              <w:rPr>
                <w:szCs w:val="22"/>
              </w:rPr>
              <w:t>700</w:t>
            </w:r>
          </w:p>
        </w:tc>
      </w:tr>
      <w:tr w:rsidR="004E22C1" w:rsidRPr="001455DC" w14:paraId="5A7A54E6" w14:textId="77777777" w:rsidTr="0033314D">
        <w:trPr>
          <w:trHeight w:val="565"/>
        </w:trPr>
        <w:tc>
          <w:tcPr>
            <w:tcW w:w="3681" w:type="dxa"/>
            <w:vAlign w:val="center"/>
          </w:tcPr>
          <w:p w14:paraId="44714F4A" w14:textId="2D73DA1F" w:rsidR="004E22C1" w:rsidRPr="009D3012" w:rsidRDefault="004E22C1" w:rsidP="0033314D">
            <w:pPr>
              <w:pStyle w:val="Tablebody"/>
              <w:jc w:val="left"/>
              <w:rPr>
                <w:szCs w:val="22"/>
                <w:lang w:val="en-US"/>
              </w:rPr>
            </w:pPr>
            <w:r w:rsidRPr="009D3012">
              <w:rPr>
                <w:szCs w:val="22"/>
                <w:lang w:val="en-US"/>
              </w:rPr>
              <w:t>Fatigue stress range 2</w:t>
            </w:r>
            <w:r w:rsidRPr="001455DC">
              <w:rPr>
                <w:rStyle w:val="CCMCvariableitalic"/>
                <w:szCs w:val="22"/>
              </w:rPr>
              <w:t>σ</w:t>
            </w:r>
            <w:r w:rsidRPr="009D3012">
              <w:rPr>
                <w:rStyle w:val="CCMCvariablesubscript"/>
                <w:szCs w:val="22"/>
                <w:lang w:val="en-US"/>
              </w:rPr>
              <w:t>a</w:t>
            </w:r>
            <w:r w:rsidRPr="009D3012">
              <w:rPr>
                <w:szCs w:val="22"/>
                <w:lang w:val="en-US"/>
              </w:rPr>
              <w:t xml:space="preserve"> in testing [MPa] for </w:t>
            </w:r>
            <w:r w:rsidRPr="009D3012">
              <w:rPr>
                <w:rStyle w:val="CCMCvariableitalic"/>
                <w:szCs w:val="22"/>
                <w:lang w:val="en-US"/>
              </w:rPr>
              <w:t>N</w:t>
            </w:r>
            <w:r w:rsidRPr="009D3012">
              <w:rPr>
                <w:szCs w:val="22"/>
                <w:lang w:val="en-US"/>
              </w:rPr>
              <w:t> </w:t>
            </w:r>
            <w:r w:rsidR="00650035" w:rsidRPr="009D3012">
              <w:rPr>
                <w:rFonts w:ascii="Cambria Math" w:hAnsi="Cambria Math"/>
                <w:szCs w:val="22"/>
                <w:lang w:val="en-US"/>
              </w:rPr>
              <w:t>≥</w:t>
            </w:r>
            <w:r w:rsidR="00073FC6" w:rsidRPr="009D3012">
              <w:rPr>
                <w:szCs w:val="22"/>
                <w:lang w:val="en-US"/>
              </w:rPr>
              <w:t> </w:t>
            </w:r>
            <w:r w:rsidRPr="009D3012">
              <w:rPr>
                <w:szCs w:val="22"/>
                <w:lang w:val="en-US"/>
              </w:rPr>
              <w:t>2</w:t>
            </w:r>
            <w:r w:rsidR="00650035" w:rsidRPr="009D3012">
              <w:rPr>
                <w:szCs w:val="22"/>
                <w:lang w:val="en-US"/>
              </w:rPr>
              <w:t> </w:t>
            </w:r>
            <w:r w:rsidR="00650035" w:rsidRPr="009D3012">
              <w:rPr>
                <w:rFonts w:ascii="Cambria Math" w:hAnsi="Cambria Math"/>
                <w:szCs w:val="22"/>
                <w:lang w:val="en-US"/>
              </w:rPr>
              <w:t>×</w:t>
            </w:r>
            <w:r w:rsidR="00650035" w:rsidRPr="009D3012">
              <w:rPr>
                <w:szCs w:val="22"/>
                <w:lang w:val="en-US"/>
              </w:rPr>
              <w:t> </w:t>
            </w:r>
            <w:r w:rsidRPr="009D3012">
              <w:rPr>
                <w:szCs w:val="22"/>
                <w:lang w:val="en-US"/>
              </w:rPr>
              <w:t>10</w:t>
            </w:r>
            <w:r w:rsidRPr="009D3012">
              <w:rPr>
                <w:rStyle w:val="CCMCvariablesuperscript"/>
                <w:szCs w:val="22"/>
                <w:lang w:val="en-US"/>
              </w:rPr>
              <w:t>6</w:t>
            </w:r>
            <w:r w:rsidRPr="009D3012">
              <w:rPr>
                <w:szCs w:val="22"/>
                <w:lang w:val="en-US"/>
              </w:rPr>
              <w:t xml:space="preserve"> cycles based on an upper stress limit of </w:t>
            </w:r>
            <w:r w:rsidRPr="009D3012">
              <w:rPr>
                <w:iCs/>
                <w:szCs w:val="22"/>
                <w:lang w:val="en-US"/>
              </w:rPr>
              <w:t>0,6</w:t>
            </w:r>
            <w:r w:rsidRPr="009D3012">
              <w:rPr>
                <w:rStyle w:val="CCMCvariableitalic"/>
                <w:szCs w:val="22"/>
                <w:lang w:val="en-US"/>
              </w:rPr>
              <w:t>f</w:t>
            </w:r>
            <w:r w:rsidRPr="009D3012">
              <w:rPr>
                <w:rStyle w:val="CCMCvariablesubscript"/>
                <w:szCs w:val="22"/>
                <w:lang w:val="en-US"/>
              </w:rPr>
              <w:t>yk</w:t>
            </w:r>
            <w:r w:rsidRPr="009D3012">
              <w:rPr>
                <w:szCs w:val="22"/>
                <w:lang w:val="en-US"/>
              </w:rPr>
              <w:t xml:space="preserve"> (10 % quantile)</w:t>
            </w:r>
            <w:r w:rsidRPr="009D3012">
              <w:rPr>
                <w:rStyle w:val="CCMCvariablesuperscript"/>
                <w:szCs w:val="22"/>
                <w:lang w:val="en-US"/>
              </w:rPr>
              <w:t>b</w:t>
            </w:r>
          </w:p>
        </w:tc>
        <w:tc>
          <w:tcPr>
            <w:tcW w:w="4819" w:type="dxa"/>
            <w:gridSpan w:val="6"/>
            <w:vAlign w:val="center"/>
          </w:tcPr>
          <w:p w14:paraId="49FBA3A6" w14:textId="29777B45" w:rsidR="004E22C1" w:rsidRPr="009D3012" w:rsidRDefault="004E22C1" w:rsidP="0033314D">
            <w:pPr>
              <w:pStyle w:val="Tablebody"/>
              <w:jc w:val="left"/>
              <w:rPr>
                <w:szCs w:val="22"/>
                <w:lang w:val="en-US"/>
              </w:rPr>
            </w:pPr>
            <w:r w:rsidRPr="009D3012">
              <w:rPr>
                <w:szCs w:val="22"/>
                <w:lang w:val="en-US"/>
              </w:rPr>
              <w:t xml:space="preserve">160 for bars and de-coiled bars </w:t>
            </w:r>
            <w:r w:rsidRPr="001455DC">
              <w:rPr>
                <w:rStyle w:val="CCMCvariableitalic"/>
                <w:szCs w:val="22"/>
              </w:rPr>
              <w:t>ϕ</w:t>
            </w:r>
            <w:r w:rsidRPr="009D3012">
              <w:rPr>
                <w:szCs w:val="22"/>
                <w:lang w:val="en-US"/>
              </w:rPr>
              <w:t> </w:t>
            </w:r>
            <w:r w:rsidR="00650035" w:rsidRPr="009D3012">
              <w:rPr>
                <w:rFonts w:ascii="Cambria Math" w:hAnsi="Cambria Math"/>
                <w:szCs w:val="22"/>
                <w:lang w:val="en-US"/>
              </w:rPr>
              <w:t>≤</w:t>
            </w:r>
            <w:r w:rsidRPr="009D3012">
              <w:rPr>
                <w:szCs w:val="22"/>
                <w:lang w:val="en-US"/>
              </w:rPr>
              <w:t> 12 mm</w:t>
            </w:r>
          </w:p>
          <w:p w14:paraId="55C1E202" w14:textId="72B9158F" w:rsidR="004E22C1" w:rsidRPr="009D3012" w:rsidRDefault="004E22C1" w:rsidP="0033314D">
            <w:pPr>
              <w:pStyle w:val="Tablebody"/>
              <w:jc w:val="left"/>
              <w:rPr>
                <w:szCs w:val="22"/>
                <w:lang w:val="en-US"/>
              </w:rPr>
            </w:pPr>
            <w:r w:rsidRPr="009D3012">
              <w:rPr>
                <w:szCs w:val="22"/>
                <w:lang w:val="en-US"/>
              </w:rPr>
              <w:t>140 for bars and de-coiled bars 12 mm </w:t>
            </w:r>
            <w:r w:rsidR="00650035" w:rsidRPr="009D3012">
              <w:rPr>
                <w:rFonts w:ascii="Cambria Math" w:hAnsi="Cambria Math"/>
                <w:szCs w:val="22"/>
                <w:lang w:val="en-US"/>
              </w:rPr>
              <w:t>&lt;</w:t>
            </w:r>
            <w:r w:rsidRPr="009D3012">
              <w:rPr>
                <w:szCs w:val="22"/>
                <w:lang w:val="en-US"/>
              </w:rPr>
              <w:t> </w:t>
            </w:r>
            <w:r w:rsidRPr="001455DC">
              <w:rPr>
                <w:rStyle w:val="CCMCvariableitalic"/>
                <w:szCs w:val="22"/>
              </w:rPr>
              <w:t>ϕ</w:t>
            </w:r>
            <w:r w:rsidRPr="009D3012">
              <w:rPr>
                <w:szCs w:val="22"/>
                <w:lang w:val="en-US"/>
              </w:rPr>
              <w:t> </w:t>
            </w:r>
            <w:r w:rsidR="00650035" w:rsidRPr="009D3012">
              <w:rPr>
                <w:rFonts w:ascii="Cambria Math" w:hAnsi="Cambria Math"/>
                <w:szCs w:val="22"/>
                <w:lang w:val="en-US"/>
              </w:rPr>
              <w:t>≤</w:t>
            </w:r>
            <w:r w:rsidRPr="009D3012">
              <w:rPr>
                <w:szCs w:val="22"/>
                <w:lang w:val="en-US"/>
              </w:rPr>
              <w:t> 16 mm</w:t>
            </w:r>
          </w:p>
          <w:p w14:paraId="0A08443E" w14:textId="74CC8792" w:rsidR="004E22C1" w:rsidRPr="009D3012" w:rsidRDefault="004E22C1" w:rsidP="0033314D">
            <w:pPr>
              <w:pStyle w:val="Tablebody"/>
              <w:jc w:val="left"/>
              <w:rPr>
                <w:szCs w:val="22"/>
                <w:lang w:val="en-US"/>
              </w:rPr>
            </w:pPr>
            <w:r w:rsidRPr="009D3012">
              <w:rPr>
                <w:szCs w:val="22"/>
                <w:lang w:val="en-US"/>
              </w:rPr>
              <w:t>130 for bars and de-coiled bars 16 mm </w:t>
            </w:r>
            <w:r w:rsidR="00650035" w:rsidRPr="009D3012">
              <w:rPr>
                <w:rFonts w:ascii="Cambria Math" w:hAnsi="Cambria Math"/>
                <w:szCs w:val="22"/>
                <w:lang w:val="en-US"/>
              </w:rPr>
              <w:t>&lt;</w:t>
            </w:r>
            <w:r w:rsidRPr="009D3012">
              <w:rPr>
                <w:szCs w:val="22"/>
                <w:lang w:val="en-US"/>
              </w:rPr>
              <w:t> </w:t>
            </w:r>
            <w:r w:rsidRPr="001455DC">
              <w:rPr>
                <w:rStyle w:val="CCMCvariableitalic"/>
                <w:szCs w:val="22"/>
              </w:rPr>
              <w:t>ϕ</w:t>
            </w:r>
            <w:r w:rsidRPr="009D3012">
              <w:rPr>
                <w:szCs w:val="22"/>
                <w:lang w:val="en-US"/>
              </w:rPr>
              <w:t> </w:t>
            </w:r>
            <w:r w:rsidR="00650035" w:rsidRPr="009D3012">
              <w:rPr>
                <w:rFonts w:ascii="Cambria Math" w:hAnsi="Cambria Math"/>
                <w:szCs w:val="22"/>
                <w:lang w:val="en-US"/>
              </w:rPr>
              <w:t>≤</w:t>
            </w:r>
            <w:r w:rsidRPr="009D3012">
              <w:rPr>
                <w:szCs w:val="22"/>
                <w:lang w:val="en-US"/>
              </w:rPr>
              <w:t> 20 mm</w:t>
            </w:r>
          </w:p>
          <w:p w14:paraId="7A2EA602" w14:textId="364482A4" w:rsidR="004E22C1" w:rsidRPr="009D3012" w:rsidRDefault="004E22C1" w:rsidP="0033314D">
            <w:pPr>
              <w:pStyle w:val="Tablebody"/>
              <w:jc w:val="left"/>
              <w:rPr>
                <w:szCs w:val="22"/>
                <w:lang w:val="en-US"/>
              </w:rPr>
            </w:pPr>
            <w:r w:rsidRPr="009D3012">
              <w:rPr>
                <w:szCs w:val="22"/>
                <w:lang w:val="en-US"/>
              </w:rPr>
              <w:t xml:space="preserve">130 for straight bars </w:t>
            </w:r>
            <w:r w:rsidRPr="001455DC">
              <w:rPr>
                <w:rStyle w:val="CCMCvariableitalic"/>
                <w:szCs w:val="22"/>
              </w:rPr>
              <w:t>ϕ</w:t>
            </w:r>
            <w:r w:rsidRPr="009D3012">
              <w:rPr>
                <w:szCs w:val="22"/>
                <w:lang w:val="en-US"/>
              </w:rPr>
              <w:t> </w:t>
            </w:r>
            <w:r w:rsidR="00650035" w:rsidRPr="009D3012">
              <w:rPr>
                <w:rFonts w:ascii="Cambria Math" w:hAnsi="Cambria Math"/>
                <w:szCs w:val="22"/>
                <w:lang w:val="en-US"/>
              </w:rPr>
              <w:t>&gt;</w:t>
            </w:r>
            <w:r w:rsidR="00073FC6" w:rsidRPr="009D3012">
              <w:rPr>
                <w:szCs w:val="22"/>
                <w:lang w:val="en-US"/>
              </w:rPr>
              <w:t> </w:t>
            </w:r>
            <w:r w:rsidRPr="009D3012">
              <w:rPr>
                <w:szCs w:val="22"/>
                <w:lang w:val="en-US"/>
              </w:rPr>
              <w:t>20 mm</w:t>
            </w:r>
          </w:p>
          <w:p w14:paraId="6AA3905D" w14:textId="5BFB93DC" w:rsidR="004E22C1" w:rsidRPr="009D3012" w:rsidRDefault="004E22C1" w:rsidP="0033314D">
            <w:pPr>
              <w:pStyle w:val="Tablebody"/>
              <w:jc w:val="left"/>
              <w:rPr>
                <w:szCs w:val="22"/>
                <w:lang w:val="en-US"/>
              </w:rPr>
            </w:pPr>
            <w:r w:rsidRPr="009D3012">
              <w:rPr>
                <w:szCs w:val="22"/>
                <w:lang w:val="en-US"/>
              </w:rPr>
              <w:t xml:space="preserve">100 for wire fabrics </w:t>
            </w:r>
            <w:r w:rsidRPr="001455DC">
              <w:rPr>
                <w:rStyle w:val="CCMCvariableitalic"/>
                <w:szCs w:val="22"/>
              </w:rPr>
              <w:t>ϕ</w:t>
            </w:r>
            <w:r w:rsidRPr="009D3012">
              <w:rPr>
                <w:szCs w:val="22"/>
                <w:lang w:val="en-US"/>
              </w:rPr>
              <w:t> </w:t>
            </w:r>
            <w:r w:rsidR="00650035" w:rsidRPr="009D3012">
              <w:rPr>
                <w:rFonts w:ascii="Cambria Math" w:hAnsi="Cambria Math"/>
                <w:szCs w:val="22"/>
                <w:lang w:val="en-US"/>
              </w:rPr>
              <w:t>≤</w:t>
            </w:r>
            <w:r w:rsidRPr="009D3012">
              <w:rPr>
                <w:szCs w:val="22"/>
                <w:lang w:val="en-US"/>
              </w:rPr>
              <w:t> 12 mm</w:t>
            </w:r>
          </w:p>
          <w:p w14:paraId="1FE62085" w14:textId="2FB972CF" w:rsidR="004E22C1" w:rsidRPr="009D3012" w:rsidRDefault="004E22C1" w:rsidP="0033314D">
            <w:pPr>
              <w:pStyle w:val="Tablebody"/>
              <w:jc w:val="left"/>
              <w:rPr>
                <w:szCs w:val="22"/>
                <w:lang w:val="en-US"/>
              </w:rPr>
            </w:pPr>
            <w:r w:rsidRPr="009D3012">
              <w:rPr>
                <w:szCs w:val="22"/>
                <w:lang w:val="en-US"/>
              </w:rPr>
              <w:t xml:space="preserve">80 for wire fabrics </w:t>
            </w:r>
            <w:r w:rsidRPr="001455DC">
              <w:rPr>
                <w:rStyle w:val="CCMCvariableitalic"/>
                <w:szCs w:val="22"/>
              </w:rPr>
              <w:t>ϕ</w:t>
            </w:r>
            <w:r w:rsidRPr="009D3012">
              <w:rPr>
                <w:szCs w:val="22"/>
                <w:lang w:val="en-US"/>
              </w:rPr>
              <w:t> </w:t>
            </w:r>
            <w:r w:rsidR="00650035" w:rsidRPr="009D3012">
              <w:rPr>
                <w:rFonts w:ascii="Cambria Math" w:hAnsi="Cambria Math"/>
                <w:szCs w:val="22"/>
                <w:lang w:val="en-US"/>
              </w:rPr>
              <w:t>&gt;</w:t>
            </w:r>
            <w:r w:rsidR="00073FC6" w:rsidRPr="009D3012">
              <w:rPr>
                <w:szCs w:val="22"/>
                <w:lang w:val="en-US"/>
              </w:rPr>
              <w:t> </w:t>
            </w:r>
            <w:r w:rsidRPr="009D3012">
              <w:rPr>
                <w:szCs w:val="22"/>
                <w:lang w:val="en-US"/>
              </w:rPr>
              <w:t>12 mm</w:t>
            </w:r>
          </w:p>
        </w:tc>
      </w:tr>
      <w:tr w:rsidR="004E22C1" w:rsidRPr="001455DC" w14:paraId="49B29715" w14:textId="77777777" w:rsidTr="0033314D">
        <w:tc>
          <w:tcPr>
            <w:tcW w:w="3681" w:type="dxa"/>
            <w:vAlign w:val="center"/>
          </w:tcPr>
          <w:p w14:paraId="2217D971" w14:textId="77777777" w:rsidR="004E22C1" w:rsidRPr="009D3012" w:rsidRDefault="004E22C1" w:rsidP="0033314D">
            <w:pPr>
              <w:pStyle w:val="Tablebody"/>
              <w:jc w:val="left"/>
              <w:rPr>
                <w:szCs w:val="22"/>
                <w:lang w:val="en-US"/>
              </w:rPr>
            </w:pPr>
            <w:r w:rsidRPr="009D3012">
              <w:rPr>
                <w:szCs w:val="22"/>
                <w:lang w:val="en-US"/>
              </w:rPr>
              <w:t xml:space="preserve">Minimum relative rib area </w:t>
            </w:r>
            <w:r w:rsidRPr="009D3012">
              <w:rPr>
                <w:rStyle w:val="CCMCvariableitalic"/>
                <w:szCs w:val="22"/>
                <w:lang w:val="en-US"/>
              </w:rPr>
              <w:t>f</w:t>
            </w:r>
            <w:r w:rsidRPr="009D3012">
              <w:rPr>
                <w:rStyle w:val="CCMCvariablesubscript"/>
                <w:szCs w:val="22"/>
                <w:lang w:val="en-US"/>
              </w:rPr>
              <w:t>R,min</w:t>
            </w:r>
            <w:r w:rsidRPr="009D3012">
              <w:rPr>
                <w:szCs w:val="22"/>
                <w:lang w:val="en-US"/>
              </w:rPr>
              <w:t xml:space="preserve"> or relative indentation area </w:t>
            </w:r>
            <w:r w:rsidRPr="009D3012">
              <w:rPr>
                <w:rStyle w:val="CCMCvariableitalic"/>
                <w:szCs w:val="22"/>
                <w:lang w:val="en-US"/>
              </w:rPr>
              <w:t>f</w:t>
            </w:r>
            <w:r w:rsidRPr="009D3012">
              <w:rPr>
                <w:rStyle w:val="CCMCvariablesubscript"/>
                <w:szCs w:val="22"/>
                <w:lang w:val="en-US"/>
              </w:rPr>
              <w:t>P,min</w:t>
            </w:r>
            <w:r w:rsidRPr="009D3012">
              <w:rPr>
                <w:szCs w:val="22"/>
                <w:lang w:val="en-US"/>
              </w:rPr>
              <w:t xml:space="preserve"> (5 % quantile)</w:t>
            </w:r>
          </w:p>
        </w:tc>
        <w:tc>
          <w:tcPr>
            <w:tcW w:w="4819" w:type="dxa"/>
            <w:gridSpan w:val="6"/>
            <w:vAlign w:val="center"/>
          </w:tcPr>
          <w:p w14:paraId="07FD8E62" w14:textId="69721C0B" w:rsidR="004E22C1" w:rsidRPr="009D3012" w:rsidRDefault="004E22C1" w:rsidP="0033314D">
            <w:pPr>
              <w:pStyle w:val="Tablebody"/>
              <w:jc w:val="left"/>
              <w:rPr>
                <w:szCs w:val="22"/>
                <w:lang w:val="en-US"/>
              </w:rPr>
            </w:pPr>
            <w:r w:rsidRPr="009D3012">
              <w:rPr>
                <w:szCs w:val="22"/>
                <w:lang w:val="en-US"/>
              </w:rPr>
              <w:t xml:space="preserve">0,035 for </w:t>
            </w:r>
            <w:r w:rsidRPr="001455DC">
              <w:rPr>
                <w:rStyle w:val="CCMCvariableitalic"/>
                <w:szCs w:val="22"/>
              </w:rPr>
              <w:t>ϕ</w:t>
            </w:r>
            <w:r w:rsidRPr="009D3012">
              <w:rPr>
                <w:szCs w:val="22"/>
                <w:lang w:val="en-US"/>
              </w:rPr>
              <w:t> </w:t>
            </w:r>
            <w:r w:rsidR="00650035" w:rsidRPr="009D3012">
              <w:rPr>
                <w:rFonts w:ascii="Cambria Math" w:hAnsi="Cambria Math"/>
                <w:szCs w:val="22"/>
                <w:lang w:val="en-US"/>
              </w:rPr>
              <w:t>≤</w:t>
            </w:r>
            <w:r w:rsidRPr="009D3012">
              <w:rPr>
                <w:szCs w:val="22"/>
                <w:lang w:val="en-US"/>
              </w:rPr>
              <w:t> 6 mm</w:t>
            </w:r>
          </w:p>
          <w:p w14:paraId="254C0046" w14:textId="10DBFEAF" w:rsidR="004E22C1" w:rsidRPr="009D3012" w:rsidRDefault="004E22C1" w:rsidP="0033314D">
            <w:pPr>
              <w:pStyle w:val="Tablebody"/>
              <w:jc w:val="left"/>
              <w:rPr>
                <w:szCs w:val="22"/>
                <w:lang w:val="en-US"/>
              </w:rPr>
            </w:pPr>
            <w:r w:rsidRPr="009D3012">
              <w:rPr>
                <w:szCs w:val="22"/>
                <w:lang w:val="en-US"/>
              </w:rPr>
              <w:t>0,040 for 6 mm </w:t>
            </w:r>
            <w:r w:rsidR="00650035" w:rsidRPr="009D3012">
              <w:rPr>
                <w:rFonts w:ascii="Cambria Math" w:hAnsi="Cambria Math"/>
                <w:szCs w:val="22"/>
                <w:lang w:val="en-US"/>
              </w:rPr>
              <w:t>&lt;</w:t>
            </w:r>
            <w:r w:rsidRPr="009D3012">
              <w:rPr>
                <w:szCs w:val="22"/>
                <w:lang w:val="en-US"/>
              </w:rPr>
              <w:t> </w:t>
            </w:r>
            <w:r w:rsidRPr="001455DC">
              <w:rPr>
                <w:rStyle w:val="CCMCvariableitalic"/>
                <w:szCs w:val="22"/>
              </w:rPr>
              <w:t>ϕ</w:t>
            </w:r>
            <w:r w:rsidRPr="009D3012">
              <w:rPr>
                <w:szCs w:val="22"/>
                <w:lang w:val="en-US"/>
              </w:rPr>
              <w:t> </w:t>
            </w:r>
            <w:r w:rsidR="00650035" w:rsidRPr="009D3012">
              <w:rPr>
                <w:rFonts w:ascii="Cambria Math" w:hAnsi="Cambria Math"/>
                <w:szCs w:val="22"/>
                <w:lang w:val="en-US"/>
              </w:rPr>
              <w:t>≤</w:t>
            </w:r>
            <w:r w:rsidRPr="009D3012">
              <w:rPr>
                <w:szCs w:val="22"/>
                <w:lang w:val="en-US"/>
              </w:rPr>
              <w:t> 12 mm</w:t>
            </w:r>
          </w:p>
          <w:p w14:paraId="6FB33985" w14:textId="6A7B71B8" w:rsidR="004E22C1" w:rsidRPr="001455DC" w:rsidRDefault="004E22C1" w:rsidP="0033314D">
            <w:pPr>
              <w:pStyle w:val="Tablebody"/>
              <w:jc w:val="left"/>
              <w:rPr>
                <w:szCs w:val="22"/>
              </w:rPr>
            </w:pPr>
            <w:r w:rsidRPr="001455DC">
              <w:rPr>
                <w:szCs w:val="22"/>
              </w:rPr>
              <w:t xml:space="preserve">0,056 for </w:t>
            </w:r>
            <w:r w:rsidRPr="001455DC">
              <w:rPr>
                <w:rStyle w:val="CCMCvariableitalic"/>
                <w:szCs w:val="22"/>
              </w:rPr>
              <w:t>ϕ</w:t>
            </w:r>
            <w:r w:rsidRPr="001455DC">
              <w:rPr>
                <w:szCs w:val="22"/>
              </w:rPr>
              <w:t> </w:t>
            </w:r>
            <w:r w:rsidR="00650035" w:rsidRPr="001455DC">
              <w:rPr>
                <w:rFonts w:ascii="Cambria Math" w:hAnsi="Cambria Math"/>
                <w:szCs w:val="22"/>
              </w:rPr>
              <w:t>&gt;</w:t>
            </w:r>
            <w:r w:rsidR="00073FC6" w:rsidRPr="001455DC">
              <w:rPr>
                <w:szCs w:val="22"/>
              </w:rPr>
              <w:t> </w:t>
            </w:r>
            <w:r w:rsidRPr="001455DC">
              <w:rPr>
                <w:szCs w:val="22"/>
              </w:rPr>
              <w:t>12 mm</w:t>
            </w:r>
          </w:p>
        </w:tc>
      </w:tr>
      <w:tr w:rsidR="004E22C1" w:rsidRPr="001455DC" w14:paraId="23D3BD6E" w14:textId="77777777" w:rsidTr="0033314D">
        <w:trPr>
          <w:cnfStyle w:val="010000000000" w:firstRow="0" w:lastRow="1" w:firstColumn="0" w:lastColumn="0" w:oddVBand="0" w:evenVBand="0" w:oddHBand="0" w:evenHBand="0" w:firstRowFirstColumn="0" w:firstRowLastColumn="0" w:lastRowFirstColumn="0" w:lastRowLastColumn="0"/>
        </w:trPr>
        <w:tc>
          <w:tcPr>
            <w:tcW w:w="8500" w:type="dxa"/>
            <w:gridSpan w:val="7"/>
          </w:tcPr>
          <w:p w14:paraId="635ACC88" w14:textId="59D580EB" w:rsidR="004E22C1" w:rsidRPr="009D3012" w:rsidRDefault="004E22C1" w:rsidP="0033314D">
            <w:pPr>
              <w:pStyle w:val="Tablefooter"/>
              <w:rPr>
                <w:lang w:val="en-US"/>
              </w:rPr>
            </w:pPr>
            <w:r w:rsidRPr="009D3012">
              <w:rPr>
                <w:rStyle w:val="CCMCvariablesuperscript"/>
                <w:lang w:val="en-US"/>
              </w:rPr>
              <w:t>a</w:t>
            </w:r>
            <w:r w:rsidR="0033314D" w:rsidRPr="009D3012">
              <w:rPr>
                <w:lang w:val="en-US"/>
              </w:rPr>
              <w:tab/>
            </w:r>
            <w:r w:rsidRPr="009D3012">
              <w:rPr>
                <w:lang w:val="en-US"/>
              </w:rPr>
              <w:t>All strength classes apply unless a National Annex excludes specific classes.</w:t>
            </w:r>
          </w:p>
          <w:p w14:paraId="2D655752" w14:textId="35E1A66C" w:rsidR="004E22C1" w:rsidRPr="009D3012" w:rsidRDefault="004E22C1">
            <w:pPr>
              <w:pStyle w:val="Tablefooter"/>
              <w:rPr>
                <w:lang w:val="en-US"/>
              </w:rPr>
            </w:pPr>
            <w:r w:rsidRPr="009D3012">
              <w:rPr>
                <w:rStyle w:val="CCMCvariablesuperscript"/>
                <w:lang w:val="en-US"/>
              </w:rPr>
              <w:t>b</w:t>
            </w:r>
            <w:r w:rsidR="0033314D" w:rsidRPr="009D3012">
              <w:rPr>
                <w:lang w:val="en-US"/>
              </w:rPr>
              <w:tab/>
            </w:r>
            <w:r w:rsidR="00AD44B5" w:rsidRPr="001455DC">
              <w:rPr>
                <w:lang w:val="en-US"/>
              </w:rPr>
              <w:t>Different fatigue properties can be set in a National Annex, if increased margins are required to the S-N curve parameters given in Annex E, by specifying higher values of the fatigue stress range and/or the number of cycles are confirmed by testing in accordance with EN 10080. No specific fatigue properties are required if the reinforcement is used only for predominantly static loading.</w:t>
            </w:r>
          </w:p>
        </w:tc>
      </w:tr>
    </w:tbl>
    <w:p w14:paraId="0D16FA3C" w14:textId="77777777" w:rsidR="004E22C1" w:rsidRPr="001455DC" w:rsidRDefault="004E22C1" w:rsidP="00F72049">
      <w:pPr>
        <w:pStyle w:val="a7"/>
      </w:pPr>
    </w:p>
    <w:p w14:paraId="458A7809" w14:textId="2CBA4431" w:rsidR="004E22C1" w:rsidRPr="001455DC" w:rsidRDefault="004E22C1" w:rsidP="0033314D">
      <w:pPr>
        <w:pStyle w:val="Tabletitle"/>
      </w:pPr>
      <w:bookmarkStart w:id="1372" w:name="_Toc54337547"/>
      <w:r w:rsidRPr="001455DC">
        <w:rPr>
          <w:rFonts w:eastAsiaTheme="minorHAnsi"/>
        </w:rPr>
        <w:t>Table </w:t>
      </w:r>
      <w:r w:rsidRPr="001455DC">
        <w:t>C.</w:t>
      </w:r>
      <w:r w:rsidR="00AD44B5" w:rsidRPr="001455DC">
        <w:t>1b </w:t>
      </w:r>
      <w:r w:rsidRPr="001455DC">
        <w:t>— Ductility properties of reinforcing steel according to EN 10080</w:t>
      </w:r>
      <w:bookmarkEnd w:id="1372"/>
    </w:p>
    <w:tbl>
      <w:tblPr>
        <w:tblStyle w:val="53"/>
        <w:tblW w:w="9752" w:type="dxa"/>
        <w:tblLayout w:type="fixed"/>
        <w:tblLook w:val="0620" w:firstRow="1" w:lastRow="0" w:firstColumn="0" w:lastColumn="0" w:noHBand="1" w:noVBand="1"/>
      </w:tblPr>
      <w:tblGrid>
        <w:gridCol w:w="5158"/>
        <w:gridCol w:w="1531"/>
        <w:gridCol w:w="1532"/>
        <w:gridCol w:w="1531"/>
      </w:tblGrid>
      <w:tr w:rsidR="004E22C1" w:rsidRPr="001455DC" w14:paraId="746B7DA0" w14:textId="77777777" w:rsidTr="0033314D">
        <w:trPr>
          <w:cnfStyle w:val="100000000000" w:firstRow="1" w:lastRow="0" w:firstColumn="0" w:lastColumn="0" w:oddVBand="0" w:evenVBand="0" w:oddHBand="0" w:evenHBand="0" w:firstRowFirstColumn="0" w:firstRowLastColumn="0" w:lastRowFirstColumn="0" w:lastRowLastColumn="0"/>
          <w:trHeight w:val="126"/>
          <w:tblHeader/>
        </w:trPr>
        <w:tc>
          <w:tcPr>
            <w:tcW w:w="4499" w:type="dxa"/>
            <w:vMerge w:val="restart"/>
          </w:tcPr>
          <w:p w14:paraId="6C2BB97F" w14:textId="3B052841" w:rsidR="004E22C1" w:rsidRPr="001455DC" w:rsidRDefault="004E22C1" w:rsidP="0033314D">
            <w:pPr>
              <w:pStyle w:val="Tableheader"/>
            </w:pPr>
            <w:r w:rsidRPr="001455DC">
              <w:t>Properties for weldable reinforcement</w:t>
            </w:r>
          </w:p>
        </w:tc>
        <w:tc>
          <w:tcPr>
            <w:tcW w:w="4006" w:type="dxa"/>
            <w:gridSpan w:val="3"/>
          </w:tcPr>
          <w:p w14:paraId="6478413C" w14:textId="77777777" w:rsidR="004E22C1" w:rsidRPr="001455DC" w:rsidRDefault="004E22C1" w:rsidP="0033314D">
            <w:pPr>
              <w:pStyle w:val="Tableheader"/>
            </w:pPr>
            <w:r w:rsidRPr="001455DC">
              <w:t>Ductility Class</w:t>
            </w:r>
          </w:p>
        </w:tc>
      </w:tr>
      <w:tr w:rsidR="004E22C1" w:rsidRPr="001455DC" w14:paraId="2ED660D4" w14:textId="77777777" w:rsidTr="0033314D">
        <w:trPr>
          <w:cnfStyle w:val="100000000000" w:firstRow="1" w:lastRow="0" w:firstColumn="0" w:lastColumn="0" w:oddVBand="0" w:evenVBand="0" w:oddHBand="0" w:evenHBand="0" w:firstRowFirstColumn="0" w:firstRowLastColumn="0" w:lastRowFirstColumn="0" w:lastRowLastColumn="0"/>
          <w:trHeight w:val="252"/>
          <w:tblHeader/>
        </w:trPr>
        <w:tc>
          <w:tcPr>
            <w:tcW w:w="4499" w:type="dxa"/>
            <w:vMerge/>
          </w:tcPr>
          <w:p w14:paraId="5ABF535E" w14:textId="77777777" w:rsidR="004E22C1" w:rsidRPr="001455DC" w:rsidRDefault="004E22C1" w:rsidP="0033314D">
            <w:pPr>
              <w:pStyle w:val="Tableheader"/>
            </w:pPr>
          </w:p>
        </w:tc>
        <w:tc>
          <w:tcPr>
            <w:tcW w:w="1335" w:type="dxa"/>
          </w:tcPr>
          <w:p w14:paraId="78EE1AE1" w14:textId="77777777" w:rsidR="004E22C1" w:rsidRPr="001455DC" w:rsidRDefault="004E22C1" w:rsidP="0033314D">
            <w:pPr>
              <w:pStyle w:val="Tableheader"/>
            </w:pPr>
            <w:r w:rsidRPr="001455DC">
              <w:t>A</w:t>
            </w:r>
          </w:p>
        </w:tc>
        <w:tc>
          <w:tcPr>
            <w:tcW w:w="1336" w:type="dxa"/>
          </w:tcPr>
          <w:p w14:paraId="618A32DB" w14:textId="77777777" w:rsidR="004E22C1" w:rsidRPr="001455DC" w:rsidRDefault="004E22C1" w:rsidP="0033314D">
            <w:pPr>
              <w:pStyle w:val="Tableheader"/>
            </w:pPr>
            <w:r w:rsidRPr="001455DC">
              <w:t>B</w:t>
            </w:r>
          </w:p>
        </w:tc>
        <w:tc>
          <w:tcPr>
            <w:tcW w:w="1335" w:type="dxa"/>
          </w:tcPr>
          <w:p w14:paraId="0DCDE4FC" w14:textId="77777777" w:rsidR="004E22C1" w:rsidRPr="001455DC" w:rsidRDefault="004E22C1" w:rsidP="0033314D">
            <w:pPr>
              <w:pStyle w:val="Tableheader"/>
            </w:pPr>
            <w:r w:rsidRPr="001455DC">
              <w:t>C</w:t>
            </w:r>
          </w:p>
        </w:tc>
      </w:tr>
      <w:tr w:rsidR="004E22C1" w:rsidRPr="001455DC" w14:paraId="32CC3A5E" w14:textId="77777777" w:rsidTr="0033314D">
        <w:trPr>
          <w:trHeight w:val="590"/>
        </w:trPr>
        <w:tc>
          <w:tcPr>
            <w:tcW w:w="4499" w:type="dxa"/>
            <w:vAlign w:val="center"/>
          </w:tcPr>
          <w:p w14:paraId="714D7137" w14:textId="4823CFE7" w:rsidR="004E22C1" w:rsidRPr="009D3012" w:rsidRDefault="004E22C1" w:rsidP="0033314D">
            <w:pPr>
              <w:pStyle w:val="Tablebody"/>
              <w:jc w:val="left"/>
              <w:rPr>
                <w:rStyle w:val="CCMCvariablesubscript"/>
                <w:lang w:val="en-US"/>
              </w:rPr>
            </w:pPr>
            <w:r w:rsidRPr="009D3012">
              <w:rPr>
                <w:lang w:val="en-US"/>
              </w:rPr>
              <w:t xml:space="preserve">Value of </w:t>
            </w:r>
            <w:r w:rsidRPr="009D3012">
              <w:rPr>
                <w:rStyle w:val="CCMCvariableitalic"/>
                <w:lang w:val="en-US"/>
              </w:rPr>
              <w:t>R</w:t>
            </w:r>
            <w:r w:rsidRPr="009D3012">
              <w:rPr>
                <w:rStyle w:val="CCMCvariablesubscript"/>
                <w:lang w:val="en-US"/>
              </w:rPr>
              <w:t>m</w:t>
            </w:r>
            <w:r w:rsidRPr="009D3012">
              <w:rPr>
                <w:lang w:val="en-US"/>
              </w:rPr>
              <w:t xml:space="preserve"> /</w:t>
            </w:r>
            <w:r w:rsidRPr="009D3012">
              <w:rPr>
                <w:rStyle w:val="CCMCvariableitalic"/>
                <w:lang w:val="en-US"/>
              </w:rPr>
              <w:t>R</w:t>
            </w:r>
            <w:r w:rsidRPr="009D3012">
              <w:rPr>
                <w:rStyle w:val="CCMCvariablesubscript"/>
                <w:lang w:val="en-US"/>
              </w:rPr>
              <w:t>e</w:t>
            </w:r>
          </w:p>
          <w:p w14:paraId="08AA8DBA" w14:textId="668E1083" w:rsidR="004E22C1" w:rsidRPr="009D3012" w:rsidRDefault="004E22C1" w:rsidP="0033314D">
            <w:pPr>
              <w:pStyle w:val="Tablebody"/>
              <w:jc w:val="left"/>
              <w:rPr>
                <w:lang w:val="en-US"/>
              </w:rPr>
            </w:pPr>
            <w:r w:rsidRPr="009D3012">
              <w:rPr>
                <w:lang w:val="en-US"/>
              </w:rPr>
              <w:t>(10 % quantile)</w:t>
            </w:r>
          </w:p>
        </w:tc>
        <w:tc>
          <w:tcPr>
            <w:tcW w:w="1335" w:type="dxa"/>
            <w:vAlign w:val="center"/>
          </w:tcPr>
          <w:p w14:paraId="120BC8FA" w14:textId="70FD3A5A" w:rsidR="004E22C1" w:rsidRPr="001455DC" w:rsidRDefault="00650035" w:rsidP="0033314D">
            <w:pPr>
              <w:pStyle w:val="Tablebody"/>
              <w:jc w:val="center"/>
            </w:pPr>
            <w:r w:rsidRPr="001455DC">
              <w:rPr>
                <w:rFonts w:ascii="Cambria Math" w:hAnsi="Cambria Math"/>
              </w:rPr>
              <w:t>≥</w:t>
            </w:r>
            <w:r w:rsidR="00073FC6" w:rsidRPr="001455DC">
              <w:t> </w:t>
            </w:r>
            <w:r w:rsidR="004E22C1" w:rsidRPr="001455DC">
              <w:t>1,05</w:t>
            </w:r>
          </w:p>
        </w:tc>
        <w:tc>
          <w:tcPr>
            <w:tcW w:w="1336" w:type="dxa"/>
            <w:vAlign w:val="center"/>
          </w:tcPr>
          <w:p w14:paraId="6929DF55" w14:textId="4E4BD3CF" w:rsidR="004E22C1" w:rsidRPr="001455DC" w:rsidRDefault="00650035" w:rsidP="0033314D">
            <w:pPr>
              <w:pStyle w:val="Tablebody"/>
              <w:jc w:val="center"/>
            </w:pPr>
            <w:r w:rsidRPr="001455DC">
              <w:rPr>
                <w:rFonts w:ascii="Cambria Math" w:hAnsi="Cambria Math"/>
              </w:rPr>
              <w:t>≥</w:t>
            </w:r>
            <w:r w:rsidR="00073FC6" w:rsidRPr="001455DC">
              <w:t> </w:t>
            </w:r>
            <w:r w:rsidR="004E22C1" w:rsidRPr="001455DC">
              <w:t>1,08</w:t>
            </w:r>
          </w:p>
        </w:tc>
        <w:tc>
          <w:tcPr>
            <w:tcW w:w="1335" w:type="dxa"/>
            <w:vAlign w:val="center"/>
          </w:tcPr>
          <w:p w14:paraId="0669A8C8" w14:textId="5D28EDA9" w:rsidR="004E22C1" w:rsidRPr="001455DC" w:rsidRDefault="00650035" w:rsidP="0033314D">
            <w:pPr>
              <w:pStyle w:val="Tablebody"/>
              <w:jc w:val="center"/>
            </w:pPr>
            <w:r w:rsidRPr="001455DC">
              <w:rPr>
                <w:rFonts w:ascii="Cambria Math" w:hAnsi="Cambria Math"/>
              </w:rPr>
              <w:t>≥</w:t>
            </w:r>
            <w:r w:rsidR="00073FC6" w:rsidRPr="001455DC">
              <w:t> </w:t>
            </w:r>
            <w:r w:rsidR="004E22C1" w:rsidRPr="001455DC">
              <w:t>1,15</w:t>
            </w:r>
          </w:p>
          <w:p w14:paraId="1E7CBF86" w14:textId="6C2AC2A8" w:rsidR="004E22C1" w:rsidRPr="001455DC" w:rsidRDefault="00650035" w:rsidP="0033314D">
            <w:pPr>
              <w:pStyle w:val="Tablebody"/>
              <w:jc w:val="center"/>
            </w:pPr>
            <w:r w:rsidRPr="001455DC">
              <w:rPr>
                <w:rFonts w:ascii="Cambria Math" w:hAnsi="Cambria Math"/>
              </w:rPr>
              <w:t>&lt;</w:t>
            </w:r>
            <w:r w:rsidR="004E22C1" w:rsidRPr="001455DC">
              <w:t> 1,35</w:t>
            </w:r>
          </w:p>
        </w:tc>
      </w:tr>
      <w:tr w:rsidR="004E22C1" w:rsidRPr="001455DC" w14:paraId="6A101E81" w14:textId="77777777" w:rsidTr="0033314D">
        <w:trPr>
          <w:trHeight w:val="428"/>
        </w:trPr>
        <w:tc>
          <w:tcPr>
            <w:tcW w:w="4499" w:type="dxa"/>
            <w:vAlign w:val="center"/>
          </w:tcPr>
          <w:p w14:paraId="5FE7F4F3" w14:textId="0B05B188" w:rsidR="004E22C1" w:rsidRPr="009D3012" w:rsidRDefault="004E22C1" w:rsidP="0033314D">
            <w:pPr>
              <w:pStyle w:val="Tablebody"/>
              <w:jc w:val="left"/>
              <w:rPr>
                <w:lang w:val="en-US"/>
              </w:rPr>
            </w:pPr>
            <w:r w:rsidRPr="009D3012">
              <w:rPr>
                <w:lang w:val="en-US"/>
              </w:rPr>
              <w:t xml:space="preserve">Value of </w:t>
            </w:r>
            <w:r w:rsidRPr="009D3012">
              <w:rPr>
                <w:rStyle w:val="CCMCvariableitalic"/>
                <w:lang w:val="en-US"/>
              </w:rPr>
              <w:t>R</w:t>
            </w:r>
            <w:r w:rsidRPr="009D3012">
              <w:rPr>
                <w:rStyle w:val="CCMCvariablesubscript"/>
                <w:lang w:val="en-US"/>
              </w:rPr>
              <w:t>e,act</w:t>
            </w:r>
            <w:r w:rsidRPr="009D3012">
              <w:rPr>
                <w:lang w:val="en-US"/>
              </w:rPr>
              <w:t>/</w:t>
            </w:r>
            <w:r w:rsidRPr="009D3012">
              <w:rPr>
                <w:rStyle w:val="CCMCvariableitalic"/>
                <w:lang w:val="en-US"/>
              </w:rPr>
              <w:t>R</w:t>
            </w:r>
            <w:r w:rsidRPr="009D3012">
              <w:rPr>
                <w:rStyle w:val="CCMCvariablesubscript"/>
                <w:lang w:val="en-US"/>
              </w:rPr>
              <w:t>e,nom</w:t>
            </w:r>
          </w:p>
          <w:p w14:paraId="60ACEF15" w14:textId="77777777" w:rsidR="004E22C1" w:rsidRPr="001455DC" w:rsidRDefault="004E22C1" w:rsidP="0033314D">
            <w:pPr>
              <w:pStyle w:val="Tablebody"/>
              <w:jc w:val="left"/>
            </w:pPr>
            <w:r w:rsidRPr="001455DC">
              <w:t>(10 % quantile)</w:t>
            </w:r>
          </w:p>
        </w:tc>
        <w:tc>
          <w:tcPr>
            <w:tcW w:w="1335" w:type="dxa"/>
            <w:vAlign w:val="center"/>
          </w:tcPr>
          <w:p w14:paraId="655CEC8B" w14:textId="77777777" w:rsidR="004E22C1" w:rsidRPr="001455DC" w:rsidRDefault="004E22C1" w:rsidP="0033314D">
            <w:pPr>
              <w:pStyle w:val="Tablebody"/>
              <w:jc w:val="center"/>
            </w:pPr>
            <w:r w:rsidRPr="001455DC">
              <w:t>–</w:t>
            </w:r>
          </w:p>
        </w:tc>
        <w:tc>
          <w:tcPr>
            <w:tcW w:w="1336" w:type="dxa"/>
            <w:vAlign w:val="center"/>
          </w:tcPr>
          <w:p w14:paraId="38EB6A43" w14:textId="2856C6DB" w:rsidR="004E22C1" w:rsidRPr="001455DC" w:rsidRDefault="00650035" w:rsidP="0033314D">
            <w:pPr>
              <w:pStyle w:val="Tablebody"/>
              <w:jc w:val="center"/>
            </w:pPr>
            <w:r w:rsidRPr="001455DC">
              <w:rPr>
                <w:rFonts w:ascii="Cambria Math" w:hAnsi="Cambria Math"/>
              </w:rPr>
              <w:t>≤</w:t>
            </w:r>
            <w:r w:rsidR="004E22C1" w:rsidRPr="001455DC">
              <w:t> 1,3</w:t>
            </w:r>
          </w:p>
        </w:tc>
        <w:tc>
          <w:tcPr>
            <w:tcW w:w="1335" w:type="dxa"/>
            <w:vAlign w:val="center"/>
          </w:tcPr>
          <w:p w14:paraId="3A58570B" w14:textId="363CC88F" w:rsidR="004E22C1" w:rsidRPr="001455DC" w:rsidRDefault="00650035" w:rsidP="0033314D">
            <w:pPr>
              <w:pStyle w:val="Tablebody"/>
              <w:jc w:val="center"/>
            </w:pPr>
            <w:r w:rsidRPr="001455DC">
              <w:rPr>
                <w:rFonts w:ascii="Cambria Math" w:hAnsi="Cambria Math"/>
              </w:rPr>
              <w:t>≤</w:t>
            </w:r>
            <w:r w:rsidR="004E22C1" w:rsidRPr="001455DC">
              <w:t> 1,3</w:t>
            </w:r>
          </w:p>
        </w:tc>
      </w:tr>
      <w:tr w:rsidR="004E22C1" w:rsidRPr="001455DC" w14:paraId="255A4EB7" w14:textId="77777777" w:rsidTr="0033314D">
        <w:trPr>
          <w:trHeight w:val="428"/>
        </w:trPr>
        <w:tc>
          <w:tcPr>
            <w:tcW w:w="4499" w:type="dxa"/>
            <w:vAlign w:val="center"/>
          </w:tcPr>
          <w:p w14:paraId="076F2F15" w14:textId="77777777" w:rsidR="004E22C1" w:rsidRPr="009D3012" w:rsidRDefault="004E22C1" w:rsidP="0033314D">
            <w:pPr>
              <w:pStyle w:val="Tablebody"/>
              <w:jc w:val="left"/>
              <w:rPr>
                <w:lang w:val="en-US"/>
              </w:rPr>
            </w:pPr>
            <w:r w:rsidRPr="009D3012">
              <w:rPr>
                <w:lang w:val="en-US"/>
              </w:rPr>
              <w:t xml:space="preserve">Characteristic strain at maximum force </w:t>
            </w:r>
            <w:r w:rsidRPr="009D3012">
              <w:rPr>
                <w:rStyle w:val="CCMCvariableitalic"/>
                <w:lang w:val="en-US"/>
              </w:rPr>
              <w:t>A</w:t>
            </w:r>
            <w:r w:rsidRPr="009D3012">
              <w:rPr>
                <w:rStyle w:val="CCMCvariablesubscript"/>
                <w:lang w:val="en-US"/>
              </w:rPr>
              <w:t>gt</w:t>
            </w:r>
            <w:r w:rsidRPr="009D3012">
              <w:rPr>
                <w:lang w:val="en-US"/>
              </w:rPr>
              <w:t xml:space="preserve"> [ %]</w:t>
            </w:r>
          </w:p>
          <w:p w14:paraId="4F6DE18A" w14:textId="77777777" w:rsidR="004E22C1" w:rsidRPr="001455DC" w:rsidRDefault="004E22C1" w:rsidP="0033314D">
            <w:pPr>
              <w:pStyle w:val="Tablebody"/>
              <w:jc w:val="left"/>
            </w:pPr>
            <w:r w:rsidRPr="001455DC">
              <w:t>(10 % quantile)</w:t>
            </w:r>
          </w:p>
        </w:tc>
        <w:tc>
          <w:tcPr>
            <w:tcW w:w="1335" w:type="dxa"/>
            <w:vAlign w:val="center"/>
          </w:tcPr>
          <w:p w14:paraId="45724BB7" w14:textId="513BE34A" w:rsidR="004E22C1" w:rsidRPr="001455DC" w:rsidRDefault="00650035" w:rsidP="0033314D">
            <w:pPr>
              <w:pStyle w:val="Tablebody"/>
              <w:jc w:val="center"/>
            </w:pPr>
            <w:r w:rsidRPr="001455DC">
              <w:rPr>
                <w:rFonts w:ascii="Cambria Math" w:hAnsi="Cambria Math"/>
              </w:rPr>
              <w:t>≥</w:t>
            </w:r>
            <w:r w:rsidR="00073FC6" w:rsidRPr="001455DC">
              <w:t> </w:t>
            </w:r>
            <w:r w:rsidR="004E22C1" w:rsidRPr="001455DC">
              <w:t>2,5</w:t>
            </w:r>
          </w:p>
        </w:tc>
        <w:tc>
          <w:tcPr>
            <w:tcW w:w="1336" w:type="dxa"/>
            <w:vAlign w:val="center"/>
          </w:tcPr>
          <w:p w14:paraId="4CCF8A7D" w14:textId="5B1161A5" w:rsidR="004E22C1" w:rsidRPr="001455DC" w:rsidRDefault="00650035" w:rsidP="0033314D">
            <w:pPr>
              <w:pStyle w:val="Tablebody"/>
              <w:jc w:val="center"/>
            </w:pPr>
            <w:r w:rsidRPr="001455DC">
              <w:rPr>
                <w:rFonts w:ascii="Cambria Math" w:hAnsi="Cambria Math"/>
              </w:rPr>
              <w:t>≥</w:t>
            </w:r>
            <w:r w:rsidR="00073FC6" w:rsidRPr="001455DC">
              <w:t> </w:t>
            </w:r>
            <w:r w:rsidR="004E22C1" w:rsidRPr="001455DC">
              <w:t>5,0</w:t>
            </w:r>
          </w:p>
        </w:tc>
        <w:tc>
          <w:tcPr>
            <w:tcW w:w="1335" w:type="dxa"/>
            <w:vAlign w:val="center"/>
          </w:tcPr>
          <w:p w14:paraId="5100C389" w14:textId="4449533A" w:rsidR="004E22C1" w:rsidRPr="001455DC" w:rsidRDefault="00650035" w:rsidP="0033314D">
            <w:pPr>
              <w:pStyle w:val="Tablebody"/>
              <w:jc w:val="center"/>
            </w:pPr>
            <w:r w:rsidRPr="001455DC">
              <w:rPr>
                <w:rFonts w:ascii="Cambria Math" w:hAnsi="Cambria Math"/>
              </w:rPr>
              <w:t>≥</w:t>
            </w:r>
            <w:r w:rsidR="00073FC6" w:rsidRPr="001455DC">
              <w:t> </w:t>
            </w:r>
            <w:r w:rsidR="004E22C1" w:rsidRPr="001455DC">
              <w:t>7,5</w:t>
            </w:r>
          </w:p>
        </w:tc>
      </w:tr>
      <w:tr w:rsidR="004E22C1" w:rsidRPr="001455DC" w14:paraId="52AEA276" w14:textId="77777777" w:rsidTr="0033314D">
        <w:tc>
          <w:tcPr>
            <w:tcW w:w="4499" w:type="dxa"/>
            <w:vAlign w:val="center"/>
          </w:tcPr>
          <w:p w14:paraId="148A8432" w14:textId="77777777" w:rsidR="004E22C1" w:rsidRPr="001455DC" w:rsidRDefault="004E22C1" w:rsidP="0033314D">
            <w:pPr>
              <w:pStyle w:val="Tablebody"/>
              <w:jc w:val="left"/>
            </w:pPr>
            <w:r w:rsidRPr="001455DC">
              <w:t>Bendability</w:t>
            </w:r>
          </w:p>
        </w:tc>
        <w:tc>
          <w:tcPr>
            <w:tcW w:w="4006" w:type="dxa"/>
            <w:gridSpan w:val="3"/>
            <w:vAlign w:val="center"/>
          </w:tcPr>
          <w:p w14:paraId="20FE311B" w14:textId="4BD98F8C" w:rsidR="004E22C1" w:rsidRPr="009D3012" w:rsidRDefault="004E22C1" w:rsidP="0033314D">
            <w:pPr>
              <w:pStyle w:val="Tablebody"/>
              <w:jc w:val="left"/>
              <w:rPr>
                <w:sz w:val="19"/>
                <w:szCs w:val="19"/>
                <w:lang w:val="en-US"/>
              </w:rPr>
            </w:pPr>
            <w:r w:rsidRPr="009D3012">
              <w:rPr>
                <w:lang w:val="en-US"/>
              </w:rPr>
              <w:t>Pass bend and/or rebend test according to EN 10080. For rebending of reinforcing steel on site see requirements in EN 13670.</w:t>
            </w:r>
          </w:p>
        </w:tc>
      </w:tr>
    </w:tbl>
    <w:p w14:paraId="109B77EA" w14:textId="77777777" w:rsidR="004E22C1" w:rsidRPr="001455DC" w:rsidRDefault="004E22C1" w:rsidP="0033314D">
      <w:pPr>
        <w:pStyle w:val="a7"/>
      </w:pPr>
    </w:p>
    <w:p w14:paraId="375406D4" w14:textId="5044EA81" w:rsidR="004E22C1" w:rsidRPr="001455DC" w:rsidRDefault="004E22C1" w:rsidP="00F72049">
      <w:pPr>
        <w:pStyle w:val="Note"/>
      </w:pPr>
      <w:r w:rsidRPr="001455DC">
        <w:t>NOTE</w:t>
      </w:r>
      <w:r w:rsidRPr="001455DC">
        <w:tab/>
        <w:t xml:space="preserve">EN 10080 refers to a yield strength </w:t>
      </w:r>
      <w:r w:rsidRPr="001455DC">
        <w:rPr>
          <w:rStyle w:val="CCMCvariableitalic"/>
        </w:rPr>
        <w:t>R</w:t>
      </w:r>
      <w:r w:rsidRPr="001455DC">
        <w:rPr>
          <w:rStyle w:val="CCMCvariablesubscript"/>
        </w:rPr>
        <w:t>e</w:t>
      </w:r>
      <w:r w:rsidRPr="001455DC">
        <w:t xml:space="preserve">, which relates to the characteristic, minimum and maximum values based on the long-term quality level of production. In contrast </w:t>
      </w:r>
      <w:r w:rsidRPr="001455DC">
        <w:rPr>
          <w:rStyle w:val="CCMCvariableitalic"/>
        </w:rPr>
        <w:t>f</w:t>
      </w:r>
      <w:r w:rsidRPr="001455DC">
        <w:rPr>
          <w:rStyle w:val="CCMCvariablesubscript"/>
        </w:rPr>
        <w:t>yk</w:t>
      </w:r>
      <w:r w:rsidRPr="001455DC">
        <w:t xml:space="preserve"> is the characteristic yield stress based on only that reinforcement used in a particular structure. There is no direct relationship between </w:t>
      </w:r>
      <w:r w:rsidRPr="001455DC">
        <w:rPr>
          <w:rStyle w:val="CCMCvariableitalic"/>
        </w:rPr>
        <w:t>f</w:t>
      </w:r>
      <w:r w:rsidRPr="001455DC">
        <w:rPr>
          <w:rStyle w:val="CCMCvariablesubscript"/>
        </w:rPr>
        <w:t>yk</w:t>
      </w:r>
      <w:r w:rsidRPr="001455DC">
        <w:t xml:space="preserve"> and the characteristic </w:t>
      </w:r>
      <w:r w:rsidRPr="001455DC">
        <w:rPr>
          <w:rStyle w:val="CCMCvariableitalic"/>
        </w:rPr>
        <w:t>R</w:t>
      </w:r>
      <w:r w:rsidRPr="001455DC">
        <w:rPr>
          <w:rStyle w:val="CCMCvariablesubscript"/>
        </w:rPr>
        <w:t>e</w:t>
      </w:r>
      <w:r w:rsidR="00446ED4" w:rsidRPr="001455DC">
        <w:rPr>
          <w:rStyle w:val="CCMCvariablesubscript"/>
        </w:rPr>
        <w:t xml:space="preserve"> </w:t>
      </w:r>
      <w:r w:rsidR="00446ED4" w:rsidRPr="009D3012">
        <w:t>or</w:t>
      </w:r>
      <w:r w:rsidR="00446ED4" w:rsidRPr="001455DC">
        <w:rPr>
          <w:rStyle w:val="CCMCvariablesubscript"/>
        </w:rPr>
        <w:t xml:space="preserve"> </w:t>
      </w:r>
      <w:r w:rsidR="00446ED4" w:rsidRPr="001455DC">
        <w:rPr>
          <w:rStyle w:val="CCMCvariableitalic"/>
        </w:rPr>
        <w:t>R</w:t>
      </w:r>
      <w:r w:rsidR="00446ED4" w:rsidRPr="001455DC">
        <w:rPr>
          <w:rStyle w:val="CCMCvariablesubscript"/>
        </w:rPr>
        <w:t>p0,2</w:t>
      </w:r>
      <w:r w:rsidRPr="001455DC">
        <w:t xml:space="preserve">. However, based on the methods of evaluation and verification the yield strength </w:t>
      </w:r>
      <w:r w:rsidRPr="001455DC">
        <w:rPr>
          <w:rStyle w:val="CCMCvariableitalic"/>
        </w:rPr>
        <w:t>R</w:t>
      </w:r>
      <w:r w:rsidRPr="001455DC">
        <w:rPr>
          <w:rStyle w:val="CCMCvariablesubscript"/>
        </w:rPr>
        <w:t>e</w:t>
      </w:r>
      <w:r w:rsidRPr="001455DC">
        <w:t xml:space="preserve"> given in EN 10080 may be taken as </w:t>
      </w:r>
      <w:r w:rsidRPr="001455DC">
        <w:rPr>
          <w:rStyle w:val="CCMCvariableitalic"/>
        </w:rPr>
        <w:t>f</w:t>
      </w:r>
      <w:r w:rsidRPr="001455DC">
        <w:rPr>
          <w:rStyle w:val="CCMCvariablesubscript"/>
        </w:rPr>
        <w:t>yk</w:t>
      </w:r>
      <w:r w:rsidRPr="001455DC">
        <w:t>.</w:t>
      </w:r>
    </w:p>
    <w:p w14:paraId="2D96BD0C" w14:textId="731C5791" w:rsidR="004E22C1" w:rsidRPr="001455DC" w:rsidRDefault="004E22C1" w:rsidP="00116AE2">
      <w:pPr>
        <w:pStyle w:val="a7"/>
        <w:keepNext/>
      </w:pPr>
      <w:r w:rsidRPr="001455DC">
        <w:rPr>
          <w:szCs w:val="22"/>
        </w:rPr>
        <w:t>(2)</w:t>
      </w:r>
      <w:r w:rsidRPr="001455DC">
        <w:rPr>
          <w:szCs w:val="22"/>
        </w:rPr>
        <w:tab/>
      </w:r>
      <w:r w:rsidRPr="001455DC">
        <w:t xml:space="preserve">In welded fabric the declared shear force shall be not lower than the specified minimum value of the shear force </w:t>
      </w:r>
      <w:r w:rsidRPr="001455DC">
        <w:rPr>
          <w:rStyle w:val="CCMCvariableitalic"/>
        </w:rPr>
        <w:t>F</w:t>
      </w:r>
      <w:r w:rsidRPr="001455DC">
        <w:rPr>
          <w:rStyle w:val="CCMCvariablesubscript"/>
        </w:rPr>
        <w:t>s</w:t>
      </w:r>
      <w:r w:rsidRPr="001455DC">
        <w:t xml:space="preserve"> of welded joints. The specified minimum value is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822F09" w:rsidRPr="001455DC" w14:paraId="369AFBB3" w14:textId="77777777" w:rsidTr="00822F09">
        <w:trPr>
          <w:cantSplit/>
        </w:trPr>
        <w:tc>
          <w:tcPr>
            <w:tcW w:w="8505" w:type="dxa"/>
            <w:vAlign w:val="center"/>
          </w:tcPr>
          <w:p w14:paraId="16631C7B" w14:textId="5010580F" w:rsidR="00822F09" w:rsidRPr="001455DC" w:rsidRDefault="00822F09" w:rsidP="00822F09">
            <w:pPr>
              <w:pStyle w:val="Formula"/>
              <w:jc w:val="left"/>
            </w:pPr>
            <w:r w:rsidRPr="001455DC">
              <w:rPr>
                <w:rStyle w:val="CCMCvariableitalic"/>
              </w:rPr>
              <w:t>F</w:t>
            </w:r>
            <w:r w:rsidRPr="001455DC">
              <w:rPr>
                <w:rStyle w:val="CCMCvariablesubscript"/>
              </w:rPr>
              <w:t>s</w:t>
            </w:r>
            <w:r w:rsidRPr="001455DC">
              <w:t> </w:t>
            </w:r>
            <w:r w:rsidR="00650035" w:rsidRPr="001455DC">
              <w:rPr>
                <w:rFonts w:ascii="Cambria Math" w:hAnsi="Cambria Math"/>
              </w:rPr>
              <w:t>≥</w:t>
            </w:r>
            <w:r w:rsidRPr="001455DC">
              <w:t> 0,25 </w:t>
            </w:r>
            <w:r w:rsidRPr="001455DC">
              <w:rPr>
                <w:rFonts w:ascii="Cambria Math" w:hAnsi="Cambria Math" w:cs="Cambria Math"/>
              </w:rPr>
              <w:t>⋅</w:t>
            </w:r>
            <w:r w:rsidRPr="001455DC">
              <w:t> </w:t>
            </w:r>
            <w:r w:rsidRPr="001455DC">
              <w:rPr>
                <w:rStyle w:val="CCMCvariableitalic"/>
              </w:rPr>
              <w:t>R</w:t>
            </w:r>
            <w:r w:rsidRPr="001455DC">
              <w:rPr>
                <w:rStyle w:val="CCMCvariablesubscript"/>
              </w:rPr>
              <w:t>e,nom</w:t>
            </w:r>
            <w:r w:rsidRPr="001455DC">
              <w:t> </w:t>
            </w:r>
            <w:r w:rsidRPr="001455DC">
              <w:rPr>
                <w:rFonts w:ascii="Cambria Math" w:hAnsi="Cambria Math" w:cs="Cambria Math"/>
              </w:rPr>
              <w:t>⋅</w:t>
            </w:r>
            <w:r w:rsidRPr="001455DC">
              <w:t> </w:t>
            </w:r>
            <w:r w:rsidRPr="001455DC">
              <w:rPr>
                <w:rStyle w:val="CCMCvariableitalic"/>
              </w:rPr>
              <w:t>A</w:t>
            </w:r>
            <w:r w:rsidRPr="001455DC">
              <w:rPr>
                <w:rStyle w:val="CCMCvariablesubscript"/>
              </w:rPr>
              <w:t>n</w:t>
            </w:r>
          </w:p>
        </w:tc>
        <w:tc>
          <w:tcPr>
            <w:tcW w:w="1247" w:type="dxa"/>
            <w:vAlign w:val="center"/>
          </w:tcPr>
          <w:p w14:paraId="73484564" w14:textId="79D9D5D5" w:rsidR="00822F09" w:rsidRPr="001455DC" w:rsidRDefault="00822F09" w:rsidP="00822F09">
            <w:pPr>
              <w:pStyle w:val="a7"/>
              <w:jc w:val="right"/>
            </w:pPr>
            <w:r w:rsidRPr="001455DC">
              <w:t>(C.1)</w:t>
            </w:r>
          </w:p>
        </w:tc>
      </w:tr>
    </w:tbl>
    <w:p w14:paraId="30D4CCE5" w14:textId="00D6E62B" w:rsidR="004E22C1" w:rsidRPr="001455DC" w:rsidRDefault="004E22C1">
      <w:pPr>
        <w:pStyle w:val="a7"/>
        <w:keepNext/>
      </w:pPr>
      <w:r w:rsidRPr="001455DC">
        <w:t xml:space="preserve">where </w:t>
      </w:r>
      <w:r w:rsidRPr="001455DC">
        <w:rPr>
          <w:rStyle w:val="CCMCvariableitalic"/>
        </w:rPr>
        <w:t>R</w:t>
      </w:r>
      <w:r w:rsidRPr="001455DC">
        <w:rPr>
          <w:rStyle w:val="CCMCvariablesubscript"/>
        </w:rPr>
        <w:t>e,nom</w:t>
      </w:r>
      <w:r w:rsidRPr="001455DC">
        <w:t xml:space="preserve"> is the nominal characteristic yield strength and </w:t>
      </w:r>
      <w:r w:rsidRPr="001455DC">
        <w:rPr>
          <w:rStyle w:val="CCMCvariableitalic"/>
        </w:rPr>
        <w:t>A</w:t>
      </w:r>
      <w:r w:rsidRPr="001455DC">
        <w:rPr>
          <w:rStyle w:val="CCMCvariablesubscript"/>
        </w:rPr>
        <w:t>n</w:t>
      </w:r>
      <w:r w:rsidRPr="001455DC">
        <w:t xml:space="preserve"> is the nominal cross</w:t>
      </w:r>
      <w:r w:rsidR="00B10711" w:rsidRPr="001455DC">
        <w:t xml:space="preserve"> </w:t>
      </w:r>
      <w:r w:rsidRPr="001455DC">
        <w:t>sectional area of either:</w:t>
      </w:r>
    </w:p>
    <w:p w14:paraId="6EC53917" w14:textId="260422BD" w:rsidR="004E22C1" w:rsidRPr="001455DC" w:rsidRDefault="004E22C1" w:rsidP="00082680">
      <w:pPr>
        <w:pStyle w:val="a0"/>
        <w:numPr>
          <w:ilvl w:val="0"/>
          <w:numId w:val="35"/>
        </w:numPr>
      </w:pPr>
      <w:r w:rsidRPr="001455DC">
        <w:t>the larger wire at the joint in a single wire welded fabric or</w:t>
      </w:r>
    </w:p>
    <w:p w14:paraId="1F2C27A3" w14:textId="324DDE2F" w:rsidR="004E22C1" w:rsidRPr="001455DC" w:rsidRDefault="004E22C1" w:rsidP="00082680">
      <w:pPr>
        <w:pStyle w:val="a0"/>
        <w:numPr>
          <w:ilvl w:val="0"/>
          <w:numId w:val="35"/>
        </w:numPr>
      </w:pPr>
      <w:r w:rsidRPr="001455DC">
        <w:t>one of the twin wires in a twin wire welded fabric (twin wires in one direction).</w:t>
      </w:r>
    </w:p>
    <w:p w14:paraId="25AB990B" w14:textId="5520AF56" w:rsidR="004E22C1" w:rsidRPr="001455DC" w:rsidRDefault="004E22C1" w:rsidP="00243590">
      <w:pPr>
        <w:pStyle w:val="a3"/>
      </w:pPr>
      <w:bookmarkStart w:id="1373" w:name="_Toc52820141"/>
      <w:bookmarkStart w:id="1374" w:name="_Toc54337548"/>
      <w:bookmarkStart w:id="1375" w:name="_Toc54338196"/>
      <w:r w:rsidRPr="001455DC">
        <w:t>Stainless Reinforcing Steel</w:t>
      </w:r>
      <w:bookmarkEnd w:id="1373"/>
      <w:bookmarkEnd w:id="1374"/>
      <w:bookmarkEnd w:id="1375"/>
    </w:p>
    <w:p w14:paraId="431B09BF" w14:textId="3361D3E0" w:rsidR="004E22C1" w:rsidRPr="001455DC" w:rsidRDefault="004E22C1" w:rsidP="00F72049">
      <w:pPr>
        <w:pStyle w:val="a7"/>
      </w:pPr>
      <w:r w:rsidRPr="001455DC">
        <w:t>(1)</w:t>
      </w:r>
      <w:r w:rsidRPr="001455DC">
        <w:tab/>
        <w:t xml:space="preserve">In the design reinforcing steel classes are be used. Stainless reinforcing steel products according to </w:t>
      </w:r>
      <w:r w:rsidR="008D32E2" w:rsidRPr="001455DC">
        <w:t>pr</w:t>
      </w:r>
      <w:r w:rsidRPr="001455DC">
        <w:t>EN 10370 and designed with Annex Q fulfilling the following requirements may be classified in strength classes B as in Table C.</w:t>
      </w:r>
      <w:r w:rsidR="00446ED4" w:rsidRPr="001455DC">
        <w:t xml:space="preserve">2a </w:t>
      </w:r>
      <w:r w:rsidRPr="001455DC">
        <w:t>and in ductility classes as in Table C.2b.</w:t>
      </w:r>
    </w:p>
    <w:p w14:paraId="7F51BA8D" w14:textId="1C201C11" w:rsidR="004E22C1" w:rsidRPr="001455DC" w:rsidRDefault="004E22C1" w:rsidP="00F72049">
      <w:pPr>
        <w:pStyle w:val="Note"/>
      </w:pPr>
      <w:r w:rsidRPr="001455DC">
        <w:rPr>
          <w:rFonts w:eastAsiaTheme="minorHAnsi"/>
        </w:rPr>
        <w:t>NOTE</w:t>
      </w:r>
      <w:r w:rsidRPr="001455DC">
        <w:rPr>
          <w:rFonts w:eastAsiaTheme="minorHAnsi"/>
        </w:rPr>
        <w:tab/>
      </w:r>
      <w:r w:rsidR="008D32E2" w:rsidRPr="001455DC">
        <w:rPr>
          <w:rFonts w:eastAsiaTheme="minorHAnsi"/>
        </w:rPr>
        <w:t>pr</w:t>
      </w:r>
      <w:r w:rsidRPr="001455DC">
        <w:t xml:space="preserve">EN 10370 refers to a 0,2 % proof strength </w:t>
      </w:r>
      <w:r w:rsidRPr="001455DC">
        <w:rPr>
          <w:rStyle w:val="CCMCvariableitalic"/>
        </w:rPr>
        <w:t>R</w:t>
      </w:r>
      <w:r w:rsidRPr="001455DC">
        <w:rPr>
          <w:rStyle w:val="CCMCvariablesubscript"/>
        </w:rPr>
        <w:t>p0,2k</w:t>
      </w:r>
      <w:r w:rsidRPr="001455DC">
        <w:rPr>
          <w:rFonts w:ascii="Cambria Math" w:eastAsiaTheme="minorHAnsi" w:hAnsi="Cambria Math" w:cs="Cambria Math"/>
        </w:rPr>
        <w:t xml:space="preserve">, </w:t>
      </w:r>
      <w:r w:rsidRPr="001455DC">
        <w:t xml:space="preserve">which relates to the characteristic, lower or upper limit of the statistical tolerance interval values. In contrast </w:t>
      </w:r>
      <w:r w:rsidRPr="001455DC">
        <w:rPr>
          <w:rStyle w:val="CCMCvariableitalic"/>
        </w:rPr>
        <w:t>f</w:t>
      </w:r>
      <w:r w:rsidRPr="001455DC">
        <w:rPr>
          <w:rStyle w:val="CCMCvariablesubscript"/>
        </w:rPr>
        <w:t>0,2k</w:t>
      </w:r>
      <w:r w:rsidRPr="001455DC">
        <w:rPr>
          <w:rFonts w:ascii="Cambria Math" w:eastAsiaTheme="minorHAnsi" w:hAnsi="Cambria Math" w:cs="Cambria Math"/>
        </w:rPr>
        <w:t xml:space="preserve"> i</w:t>
      </w:r>
      <w:r w:rsidRPr="001455DC">
        <w:t xml:space="preserve">s the characteristic 0,2 % proof strength based on only that reinforcement used in a particular structure. There is no direct relationship between </w:t>
      </w:r>
      <w:r w:rsidRPr="001455DC">
        <w:rPr>
          <w:rStyle w:val="CCMCvariableitalic"/>
        </w:rPr>
        <w:t>f</w:t>
      </w:r>
      <w:r w:rsidRPr="001455DC">
        <w:rPr>
          <w:rStyle w:val="CCMCvariablesubscript"/>
        </w:rPr>
        <w:t>0,2k</w:t>
      </w:r>
      <w:r w:rsidRPr="001455DC">
        <w:rPr>
          <w:rFonts w:ascii="Cambria Math" w:eastAsiaTheme="minorHAnsi" w:hAnsi="Cambria Math" w:cs="Cambria Math"/>
        </w:rPr>
        <w:t xml:space="preserve"> </w:t>
      </w:r>
      <w:r w:rsidRPr="001455DC">
        <w:t xml:space="preserve">and the characteristic </w:t>
      </w:r>
      <w:r w:rsidRPr="001455DC">
        <w:rPr>
          <w:rStyle w:val="CCMCvariableitalic"/>
        </w:rPr>
        <w:t>R</w:t>
      </w:r>
      <w:r w:rsidRPr="001455DC">
        <w:rPr>
          <w:rStyle w:val="CCMCvariablesubscript"/>
        </w:rPr>
        <w:t>p0,2k</w:t>
      </w:r>
      <w:r w:rsidRPr="001455DC">
        <w:t xml:space="preserve">. However the methods of evaluation and verification of 0,2 % proof strength given in </w:t>
      </w:r>
      <w:r w:rsidR="008D32E2" w:rsidRPr="001455DC">
        <w:t>pr</w:t>
      </w:r>
      <w:r w:rsidRPr="001455DC">
        <w:t xml:space="preserve">EN 10370 provide a sufficient check for obtaining </w:t>
      </w:r>
      <w:r w:rsidRPr="001455DC">
        <w:rPr>
          <w:rStyle w:val="CCMCvariableitalic"/>
        </w:rPr>
        <w:t>f</w:t>
      </w:r>
      <w:r w:rsidRPr="001455DC">
        <w:rPr>
          <w:rStyle w:val="CCMCvariablesubscript"/>
        </w:rPr>
        <w:t>0,2k</w:t>
      </w:r>
      <w:r w:rsidRPr="001455DC">
        <w:t>.</w:t>
      </w:r>
    </w:p>
    <w:p w14:paraId="7D6EAF13" w14:textId="4B0A14B0" w:rsidR="004E22C1" w:rsidRPr="001455DC" w:rsidRDefault="004E22C1" w:rsidP="00F72049">
      <w:pPr>
        <w:pStyle w:val="Tabletitle"/>
      </w:pPr>
      <w:bookmarkStart w:id="1376" w:name="_Toc54337549"/>
      <w:r w:rsidRPr="001455DC">
        <w:t>Table C.</w:t>
      </w:r>
      <w:r w:rsidR="00446ED4" w:rsidRPr="001455DC">
        <w:t>2a </w:t>
      </w:r>
      <w:r w:rsidRPr="001455DC">
        <w:t xml:space="preserve">— Strength properties of reinforcing steel according to </w:t>
      </w:r>
      <w:r w:rsidR="008D32E2" w:rsidRPr="001455DC">
        <w:t>pr</w:t>
      </w:r>
      <w:r w:rsidRPr="001455DC">
        <w:t>EN 10370</w:t>
      </w:r>
      <w:bookmarkEnd w:id="1376"/>
    </w:p>
    <w:tbl>
      <w:tblPr>
        <w:tblStyle w:val="53"/>
        <w:tblW w:w="9752" w:type="dxa"/>
        <w:tblLayout w:type="fixed"/>
        <w:tblLook w:val="0660" w:firstRow="1" w:lastRow="1" w:firstColumn="0" w:lastColumn="0" w:noHBand="1" w:noVBand="1"/>
      </w:tblPr>
      <w:tblGrid>
        <w:gridCol w:w="4712"/>
        <w:gridCol w:w="813"/>
        <w:gridCol w:w="813"/>
        <w:gridCol w:w="812"/>
        <w:gridCol w:w="950"/>
        <w:gridCol w:w="855"/>
        <w:gridCol w:w="797"/>
      </w:tblGrid>
      <w:tr w:rsidR="004E22C1" w:rsidRPr="001455DC" w14:paraId="735A02BA" w14:textId="77777777" w:rsidTr="00822F09">
        <w:trPr>
          <w:cnfStyle w:val="100000000000" w:firstRow="1" w:lastRow="0" w:firstColumn="0" w:lastColumn="0" w:oddVBand="0" w:evenVBand="0" w:oddHBand="0" w:evenHBand="0" w:firstRowFirstColumn="0" w:firstRowLastColumn="0" w:lastRowFirstColumn="0" w:lastRowLastColumn="0"/>
          <w:cantSplit/>
          <w:tblHeader/>
        </w:trPr>
        <w:tc>
          <w:tcPr>
            <w:tcW w:w="4106" w:type="dxa"/>
            <w:vMerge w:val="restart"/>
          </w:tcPr>
          <w:p w14:paraId="1A3F75D9" w14:textId="77777777" w:rsidR="004E22C1" w:rsidRPr="001455DC" w:rsidRDefault="004E22C1" w:rsidP="00822F09">
            <w:pPr>
              <w:pStyle w:val="Tableheader"/>
            </w:pPr>
            <w:r w:rsidRPr="001455DC">
              <w:t>Property</w:t>
            </w:r>
          </w:p>
        </w:tc>
        <w:tc>
          <w:tcPr>
            <w:tcW w:w="4394" w:type="dxa"/>
            <w:gridSpan w:val="6"/>
          </w:tcPr>
          <w:p w14:paraId="0F98C8BF" w14:textId="5CC87562" w:rsidR="004E22C1" w:rsidRPr="009D3012" w:rsidRDefault="004E22C1" w:rsidP="00822F09">
            <w:pPr>
              <w:pStyle w:val="Tableheader"/>
              <w:rPr>
                <w:lang w:val="en-US"/>
              </w:rPr>
            </w:pPr>
            <w:r w:rsidRPr="009D3012">
              <w:rPr>
                <w:lang w:val="en-US"/>
              </w:rPr>
              <w:t xml:space="preserve">Reinforcing steel strength class </w:t>
            </w:r>
            <w:r w:rsidRPr="009D3012">
              <w:rPr>
                <w:rStyle w:val="CCMCvariablesuperscript"/>
                <w:szCs w:val="22"/>
                <w:lang w:val="en-US"/>
              </w:rPr>
              <w:t>a</w:t>
            </w:r>
          </w:p>
        </w:tc>
      </w:tr>
      <w:tr w:rsidR="004E22C1" w:rsidRPr="001455DC" w14:paraId="5850027D" w14:textId="77777777" w:rsidTr="00822F09">
        <w:trPr>
          <w:cnfStyle w:val="100000000000" w:firstRow="1" w:lastRow="0" w:firstColumn="0" w:lastColumn="0" w:oddVBand="0" w:evenVBand="0" w:oddHBand="0" w:evenHBand="0" w:firstRowFirstColumn="0" w:firstRowLastColumn="0" w:lastRowFirstColumn="0" w:lastRowLastColumn="0"/>
          <w:cantSplit/>
          <w:tblHeader/>
        </w:trPr>
        <w:tc>
          <w:tcPr>
            <w:tcW w:w="4106" w:type="dxa"/>
            <w:vMerge/>
          </w:tcPr>
          <w:p w14:paraId="5F279460" w14:textId="77777777" w:rsidR="004E22C1" w:rsidRPr="009D3012" w:rsidRDefault="004E22C1" w:rsidP="00822F09">
            <w:pPr>
              <w:pStyle w:val="Tableheader"/>
              <w:rPr>
                <w:lang w:val="en-US"/>
              </w:rPr>
            </w:pPr>
          </w:p>
        </w:tc>
        <w:tc>
          <w:tcPr>
            <w:tcW w:w="709" w:type="dxa"/>
          </w:tcPr>
          <w:p w14:paraId="0C741BFE" w14:textId="77777777" w:rsidR="004E22C1" w:rsidRPr="001455DC" w:rsidRDefault="004E22C1" w:rsidP="00822F09">
            <w:pPr>
              <w:pStyle w:val="Tableheader"/>
            </w:pPr>
            <w:r w:rsidRPr="001455DC">
              <w:t>B400</w:t>
            </w:r>
          </w:p>
        </w:tc>
        <w:tc>
          <w:tcPr>
            <w:tcW w:w="709" w:type="dxa"/>
          </w:tcPr>
          <w:p w14:paraId="5D628F14" w14:textId="77777777" w:rsidR="004E22C1" w:rsidRPr="001455DC" w:rsidRDefault="004E22C1" w:rsidP="00822F09">
            <w:pPr>
              <w:pStyle w:val="Tableheader"/>
            </w:pPr>
            <w:r w:rsidRPr="001455DC">
              <w:t>B450</w:t>
            </w:r>
          </w:p>
        </w:tc>
        <w:tc>
          <w:tcPr>
            <w:tcW w:w="708" w:type="dxa"/>
          </w:tcPr>
          <w:p w14:paraId="2917C7C3" w14:textId="77777777" w:rsidR="004E22C1" w:rsidRPr="001455DC" w:rsidRDefault="004E22C1" w:rsidP="00822F09">
            <w:pPr>
              <w:pStyle w:val="Tableheader"/>
            </w:pPr>
            <w:r w:rsidRPr="001455DC">
              <w:t>B500</w:t>
            </w:r>
          </w:p>
        </w:tc>
        <w:tc>
          <w:tcPr>
            <w:tcW w:w="828" w:type="dxa"/>
          </w:tcPr>
          <w:p w14:paraId="105740FC" w14:textId="77777777" w:rsidR="004E22C1" w:rsidRPr="001455DC" w:rsidRDefault="004E22C1" w:rsidP="00822F09">
            <w:pPr>
              <w:pStyle w:val="Tableheader"/>
            </w:pPr>
            <w:r w:rsidRPr="001455DC">
              <w:t>B550</w:t>
            </w:r>
          </w:p>
        </w:tc>
        <w:tc>
          <w:tcPr>
            <w:tcW w:w="745" w:type="dxa"/>
          </w:tcPr>
          <w:p w14:paraId="7E64BF69" w14:textId="77777777" w:rsidR="004E22C1" w:rsidRPr="001455DC" w:rsidRDefault="004E22C1" w:rsidP="00822F09">
            <w:pPr>
              <w:pStyle w:val="Tableheader"/>
            </w:pPr>
            <w:r w:rsidRPr="001455DC">
              <w:t>B600</w:t>
            </w:r>
          </w:p>
        </w:tc>
        <w:tc>
          <w:tcPr>
            <w:tcW w:w="695" w:type="dxa"/>
          </w:tcPr>
          <w:p w14:paraId="7A10245D" w14:textId="77777777" w:rsidR="004E22C1" w:rsidRPr="001455DC" w:rsidRDefault="004E22C1" w:rsidP="00822F09">
            <w:pPr>
              <w:pStyle w:val="Tableheader"/>
            </w:pPr>
            <w:r w:rsidRPr="001455DC">
              <w:t>B700</w:t>
            </w:r>
          </w:p>
        </w:tc>
      </w:tr>
      <w:tr w:rsidR="004E22C1" w:rsidRPr="001455DC" w14:paraId="195E6B81" w14:textId="77777777" w:rsidTr="00822F09">
        <w:trPr>
          <w:cantSplit/>
        </w:trPr>
        <w:tc>
          <w:tcPr>
            <w:tcW w:w="4106" w:type="dxa"/>
            <w:vAlign w:val="center"/>
          </w:tcPr>
          <w:p w14:paraId="107C553F" w14:textId="77777777" w:rsidR="004E22C1" w:rsidRPr="009D3012" w:rsidRDefault="004E22C1" w:rsidP="00822F09">
            <w:pPr>
              <w:pStyle w:val="Tablebody"/>
              <w:jc w:val="left"/>
              <w:rPr>
                <w:szCs w:val="22"/>
                <w:lang w:val="en-US"/>
              </w:rPr>
            </w:pPr>
            <w:r w:rsidRPr="009D3012">
              <w:rPr>
                <w:rFonts w:eastAsiaTheme="minorHAnsi"/>
                <w:szCs w:val="22"/>
                <w:lang w:val="en-US"/>
              </w:rPr>
              <w:t>Bars and de-coiled products</w:t>
            </w:r>
          </w:p>
          <w:p w14:paraId="0CDF1194" w14:textId="114C1B74" w:rsidR="004E22C1" w:rsidRPr="009D3012" w:rsidRDefault="004E22C1" w:rsidP="00822F09">
            <w:pPr>
              <w:pStyle w:val="Tablebody"/>
              <w:jc w:val="left"/>
              <w:rPr>
                <w:szCs w:val="22"/>
                <w:lang w:val="en-US"/>
              </w:rPr>
            </w:pPr>
            <w:r w:rsidRPr="009D3012">
              <w:rPr>
                <w:lang w:val="en-US"/>
              </w:rPr>
              <w:t xml:space="preserve">Yield strength </w:t>
            </w:r>
            <w:r w:rsidRPr="009D3012">
              <w:rPr>
                <w:rStyle w:val="CCMCvariableitalic"/>
                <w:szCs w:val="22"/>
                <w:lang w:val="en-US"/>
              </w:rPr>
              <w:t>R</w:t>
            </w:r>
            <w:r w:rsidRPr="009D3012">
              <w:rPr>
                <w:rStyle w:val="CCMCvariablesubscript"/>
                <w:szCs w:val="22"/>
                <w:lang w:val="en-US"/>
              </w:rPr>
              <w:t>p0,2k</w:t>
            </w:r>
            <w:r w:rsidRPr="009D3012">
              <w:rPr>
                <w:lang w:val="en-US"/>
              </w:rPr>
              <w:t xml:space="preserve"> [MPa] (5 % quantile)</w:t>
            </w:r>
            <w:r w:rsidRPr="009D3012">
              <w:rPr>
                <w:rStyle w:val="CCMCvariablesuperscript"/>
                <w:szCs w:val="22"/>
                <w:lang w:val="en-US"/>
              </w:rPr>
              <w:t>b</w:t>
            </w:r>
          </w:p>
        </w:tc>
        <w:tc>
          <w:tcPr>
            <w:tcW w:w="709" w:type="dxa"/>
            <w:vAlign w:val="center"/>
          </w:tcPr>
          <w:p w14:paraId="64B21D60" w14:textId="44700609" w:rsidR="004E22C1" w:rsidRPr="009D3012" w:rsidRDefault="00650035" w:rsidP="00822F09">
            <w:pPr>
              <w:pStyle w:val="Tablebody"/>
              <w:jc w:val="center"/>
              <w:rPr>
                <w:szCs w:val="22"/>
              </w:rPr>
            </w:pPr>
            <w:r w:rsidRPr="009D3012">
              <w:rPr>
                <w:rFonts w:ascii="Cambria Math" w:hAnsi="Cambria Math"/>
                <w:szCs w:val="22"/>
              </w:rPr>
              <w:t>≥</w:t>
            </w:r>
            <w:r w:rsidR="00073FC6" w:rsidRPr="009D3012">
              <w:rPr>
                <w:szCs w:val="22"/>
              </w:rPr>
              <w:t> </w:t>
            </w:r>
            <w:r w:rsidR="004E22C1" w:rsidRPr="009D3012">
              <w:rPr>
                <w:szCs w:val="22"/>
              </w:rPr>
              <w:t>400</w:t>
            </w:r>
          </w:p>
        </w:tc>
        <w:tc>
          <w:tcPr>
            <w:tcW w:w="709" w:type="dxa"/>
            <w:vAlign w:val="center"/>
          </w:tcPr>
          <w:p w14:paraId="201DD813" w14:textId="75BDFA60" w:rsidR="004E22C1" w:rsidRPr="009D3012" w:rsidRDefault="00650035" w:rsidP="00822F09">
            <w:pPr>
              <w:pStyle w:val="Tablebody"/>
              <w:jc w:val="center"/>
              <w:rPr>
                <w:szCs w:val="22"/>
              </w:rPr>
            </w:pPr>
            <w:r w:rsidRPr="009D3012">
              <w:rPr>
                <w:rFonts w:ascii="Cambria Math" w:hAnsi="Cambria Math"/>
                <w:szCs w:val="22"/>
              </w:rPr>
              <w:t>≥</w:t>
            </w:r>
            <w:r w:rsidR="00073FC6" w:rsidRPr="009D3012">
              <w:rPr>
                <w:szCs w:val="22"/>
              </w:rPr>
              <w:t> </w:t>
            </w:r>
            <w:r w:rsidR="004E22C1" w:rsidRPr="009D3012">
              <w:rPr>
                <w:szCs w:val="22"/>
              </w:rPr>
              <w:t>450</w:t>
            </w:r>
          </w:p>
        </w:tc>
        <w:tc>
          <w:tcPr>
            <w:tcW w:w="708" w:type="dxa"/>
            <w:vAlign w:val="center"/>
          </w:tcPr>
          <w:p w14:paraId="33F70F78" w14:textId="3C3CAB5C" w:rsidR="004E22C1" w:rsidRPr="009D3012" w:rsidRDefault="00650035" w:rsidP="00822F09">
            <w:pPr>
              <w:pStyle w:val="Tablebody"/>
              <w:jc w:val="center"/>
              <w:rPr>
                <w:szCs w:val="22"/>
              </w:rPr>
            </w:pPr>
            <w:r w:rsidRPr="009D3012">
              <w:rPr>
                <w:rFonts w:ascii="Cambria Math" w:hAnsi="Cambria Math"/>
                <w:szCs w:val="22"/>
              </w:rPr>
              <w:t>≥</w:t>
            </w:r>
            <w:r w:rsidR="00073FC6" w:rsidRPr="009D3012">
              <w:rPr>
                <w:szCs w:val="22"/>
              </w:rPr>
              <w:t> </w:t>
            </w:r>
            <w:r w:rsidR="004E22C1" w:rsidRPr="009D3012">
              <w:rPr>
                <w:szCs w:val="22"/>
              </w:rPr>
              <w:t>500</w:t>
            </w:r>
          </w:p>
        </w:tc>
        <w:tc>
          <w:tcPr>
            <w:tcW w:w="828" w:type="dxa"/>
            <w:vAlign w:val="center"/>
          </w:tcPr>
          <w:p w14:paraId="28193BC6" w14:textId="1421E724" w:rsidR="004E22C1" w:rsidRPr="009D3012" w:rsidRDefault="00650035" w:rsidP="00822F09">
            <w:pPr>
              <w:pStyle w:val="Tablebody"/>
              <w:jc w:val="center"/>
              <w:rPr>
                <w:szCs w:val="22"/>
              </w:rPr>
            </w:pPr>
            <w:r w:rsidRPr="009D3012">
              <w:rPr>
                <w:rFonts w:ascii="Cambria Math" w:hAnsi="Cambria Math"/>
                <w:szCs w:val="22"/>
              </w:rPr>
              <w:t>≥</w:t>
            </w:r>
            <w:r w:rsidR="00073FC6" w:rsidRPr="009D3012">
              <w:rPr>
                <w:szCs w:val="22"/>
              </w:rPr>
              <w:t> </w:t>
            </w:r>
            <w:r w:rsidR="004E22C1" w:rsidRPr="009D3012">
              <w:rPr>
                <w:szCs w:val="22"/>
              </w:rPr>
              <w:t>550</w:t>
            </w:r>
          </w:p>
        </w:tc>
        <w:tc>
          <w:tcPr>
            <w:tcW w:w="745" w:type="dxa"/>
            <w:vAlign w:val="center"/>
          </w:tcPr>
          <w:p w14:paraId="6B16D1DA" w14:textId="53174619" w:rsidR="004E22C1" w:rsidRPr="009D3012" w:rsidRDefault="00650035" w:rsidP="00822F09">
            <w:pPr>
              <w:pStyle w:val="Tablebody"/>
              <w:jc w:val="center"/>
              <w:rPr>
                <w:szCs w:val="22"/>
              </w:rPr>
            </w:pPr>
            <w:r w:rsidRPr="009D3012">
              <w:rPr>
                <w:rFonts w:ascii="Cambria Math" w:hAnsi="Cambria Math"/>
                <w:szCs w:val="22"/>
              </w:rPr>
              <w:t>≥</w:t>
            </w:r>
            <w:r w:rsidR="00073FC6" w:rsidRPr="009D3012">
              <w:rPr>
                <w:szCs w:val="22"/>
              </w:rPr>
              <w:t> </w:t>
            </w:r>
            <w:r w:rsidR="004E22C1" w:rsidRPr="009D3012">
              <w:rPr>
                <w:szCs w:val="22"/>
              </w:rPr>
              <w:t>600</w:t>
            </w:r>
          </w:p>
        </w:tc>
        <w:tc>
          <w:tcPr>
            <w:tcW w:w="695" w:type="dxa"/>
            <w:vAlign w:val="center"/>
          </w:tcPr>
          <w:p w14:paraId="657D7781" w14:textId="0C8D5F7B" w:rsidR="004E22C1" w:rsidRPr="009D3012" w:rsidRDefault="00650035" w:rsidP="00822F09">
            <w:pPr>
              <w:pStyle w:val="Tablebody"/>
              <w:jc w:val="center"/>
              <w:rPr>
                <w:szCs w:val="22"/>
              </w:rPr>
            </w:pPr>
            <w:r w:rsidRPr="009D3012">
              <w:rPr>
                <w:rFonts w:ascii="Cambria Math" w:hAnsi="Cambria Math"/>
                <w:szCs w:val="22"/>
              </w:rPr>
              <w:t>≥</w:t>
            </w:r>
            <w:r w:rsidR="00073FC6" w:rsidRPr="009D3012">
              <w:rPr>
                <w:szCs w:val="22"/>
              </w:rPr>
              <w:t> </w:t>
            </w:r>
            <w:r w:rsidR="004E22C1" w:rsidRPr="009D3012">
              <w:rPr>
                <w:szCs w:val="22"/>
              </w:rPr>
              <w:t>700</w:t>
            </w:r>
          </w:p>
        </w:tc>
      </w:tr>
      <w:tr w:rsidR="004E22C1" w:rsidRPr="001455DC" w14:paraId="6330F9FA" w14:textId="77777777" w:rsidTr="00822F09">
        <w:trPr>
          <w:cantSplit/>
        </w:trPr>
        <w:tc>
          <w:tcPr>
            <w:tcW w:w="4106" w:type="dxa"/>
            <w:vAlign w:val="center"/>
          </w:tcPr>
          <w:p w14:paraId="2CE55C94" w14:textId="5CFB99EA" w:rsidR="004E22C1" w:rsidRPr="009D3012" w:rsidRDefault="004E22C1" w:rsidP="00650035">
            <w:pPr>
              <w:pStyle w:val="Tablebody"/>
              <w:jc w:val="left"/>
              <w:rPr>
                <w:rStyle w:val="CCMCvariablesuperscript"/>
                <w:szCs w:val="22"/>
                <w:lang w:val="en-US"/>
              </w:rPr>
            </w:pPr>
            <w:r w:rsidRPr="009D3012">
              <w:rPr>
                <w:lang w:val="en-US"/>
              </w:rPr>
              <w:t>Fatigue stress range 2</w:t>
            </w:r>
            <w:r w:rsidRPr="001455DC">
              <w:rPr>
                <w:rStyle w:val="CCMCvariableitalic"/>
                <w:szCs w:val="22"/>
              </w:rPr>
              <w:t>σ</w:t>
            </w:r>
            <w:r w:rsidRPr="009D3012">
              <w:rPr>
                <w:rStyle w:val="CCMCvariablesubscript"/>
                <w:szCs w:val="22"/>
                <w:lang w:val="en-US"/>
              </w:rPr>
              <w:t>a</w:t>
            </w:r>
            <w:r w:rsidRPr="009D3012">
              <w:rPr>
                <w:lang w:val="en-US"/>
              </w:rPr>
              <w:t xml:space="preserve"> in testing [MPa] for </w:t>
            </w:r>
            <w:r w:rsidRPr="009D3012">
              <w:rPr>
                <w:rStyle w:val="CCMCvariableitalic"/>
                <w:szCs w:val="22"/>
                <w:lang w:val="en-US"/>
              </w:rPr>
              <w:t>N</w:t>
            </w:r>
            <w:r w:rsidRPr="009D3012">
              <w:rPr>
                <w:lang w:val="en-US"/>
              </w:rPr>
              <w:t> </w:t>
            </w:r>
            <w:r w:rsidR="00650035" w:rsidRPr="009D3012">
              <w:rPr>
                <w:rFonts w:ascii="Cambria Math" w:hAnsi="Cambria Math"/>
                <w:lang w:val="en-US"/>
              </w:rPr>
              <w:t>≥</w:t>
            </w:r>
            <w:r w:rsidR="00073FC6" w:rsidRPr="009D3012">
              <w:rPr>
                <w:lang w:val="en-US"/>
              </w:rPr>
              <w:t> </w:t>
            </w:r>
            <w:r w:rsidRPr="009D3012">
              <w:rPr>
                <w:lang w:val="en-US"/>
              </w:rPr>
              <w:t>5</w:t>
            </w:r>
            <w:r w:rsidR="00650035" w:rsidRPr="009D3012">
              <w:rPr>
                <w:lang w:val="en-US"/>
              </w:rPr>
              <w:t> </w:t>
            </w:r>
            <w:r w:rsidR="00650035" w:rsidRPr="009D3012">
              <w:rPr>
                <w:rFonts w:ascii="Cambria Math" w:hAnsi="Cambria Math"/>
                <w:lang w:val="en-US"/>
              </w:rPr>
              <w:t>×</w:t>
            </w:r>
            <w:r w:rsidR="00650035" w:rsidRPr="009D3012">
              <w:rPr>
                <w:lang w:val="en-US"/>
              </w:rPr>
              <w:t> </w:t>
            </w:r>
            <w:r w:rsidRPr="009D3012">
              <w:rPr>
                <w:lang w:val="en-US"/>
              </w:rPr>
              <w:t>10</w:t>
            </w:r>
            <w:r w:rsidRPr="009D3012">
              <w:rPr>
                <w:rStyle w:val="CCMCvariablesuperscript"/>
                <w:szCs w:val="22"/>
                <w:lang w:val="en-US"/>
              </w:rPr>
              <w:t>6</w:t>
            </w:r>
            <w:r w:rsidRPr="009D3012">
              <w:rPr>
                <w:lang w:val="en-US"/>
              </w:rPr>
              <w:t xml:space="preserve"> cycles based on </w:t>
            </w:r>
            <w:r w:rsidRPr="009D3012">
              <w:rPr>
                <w:szCs w:val="22"/>
                <w:lang w:val="en-US"/>
              </w:rPr>
              <w:t>a stress</w:t>
            </w:r>
            <w:r w:rsidR="00650035" w:rsidRPr="009D3012">
              <w:rPr>
                <w:szCs w:val="22"/>
                <w:lang w:val="en-US"/>
              </w:rPr>
              <w:t xml:space="preserve"> </w:t>
            </w:r>
            <w:r w:rsidRPr="009D3012">
              <w:rPr>
                <w:szCs w:val="22"/>
                <w:lang w:val="en-US"/>
              </w:rPr>
              <w:t xml:space="preserve">ratio </w:t>
            </w:r>
            <w:r w:rsidRPr="001455DC">
              <w:rPr>
                <w:rFonts w:ascii="Cambria Math" w:hAnsi="Cambria Math" w:cs="Cambria Math"/>
                <w:szCs w:val="22"/>
              </w:rPr>
              <w:t>𝜎</w:t>
            </w:r>
            <w:r w:rsidRPr="009D3012">
              <w:rPr>
                <w:rStyle w:val="CCMCvariablesubscript"/>
                <w:szCs w:val="22"/>
                <w:lang w:val="en-US"/>
              </w:rPr>
              <w:t>min</w:t>
            </w:r>
            <w:r w:rsidRPr="009D3012">
              <w:rPr>
                <w:szCs w:val="22"/>
                <w:lang w:val="en-US"/>
              </w:rPr>
              <w:t>/</w:t>
            </w:r>
            <w:r w:rsidRPr="001455DC">
              <w:rPr>
                <w:rFonts w:ascii="Cambria Math" w:hAnsi="Cambria Math" w:cs="Cambria Math"/>
                <w:szCs w:val="22"/>
              </w:rPr>
              <w:t>𝜎</w:t>
            </w:r>
            <w:r w:rsidRPr="009D3012">
              <w:rPr>
                <w:rStyle w:val="CCMCvariablesubscript"/>
                <w:szCs w:val="22"/>
                <w:lang w:val="en-US"/>
              </w:rPr>
              <w:t>max</w:t>
            </w:r>
            <w:r w:rsidRPr="009D3012">
              <w:rPr>
                <w:szCs w:val="22"/>
                <w:lang w:val="en-US"/>
              </w:rPr>
              <w:t> </w:t>
            </w:r>
            <w:r w:rsidR="00EC27D2" w:rsidRPr="009D3012">
              <w:rPr>
                <w:rFonts w:ascii="Cambria Math" w:hAnsi="Cambria Math"/>
                <w:szCs w:val="22"/>
                <w:lang w:val="en-US"/>
              </w:rPr>
              <w:t>=</w:t>
            </w:r>
            <w:r w:rsidRPr="009D3012">
              <w:rPr>
                <w:szCs w:val="22"/>
                <w:lang w:val="en-US"/>
              </w:rPr>
              <w:t> 0,2 for strength class B500 only for stainless steel</w:t>
            </w:r>
            <w:r w:rsidRPr="009D3012">
              <w:rPr>
                <w:lang w:val="en-US"/>
              </w:rPr>
              <w:t xml:space="preserve"> (10 % quantile)</w:t>
            </w:r>
            <w:r w:rsidRPr="009D3012">
              <w:rPr>
                <w:rStyle w:val="CCMCvariablesuperscript"/>
                <w:szCs w:val="22"/>
                <w:lang w:val="en-US"/>
              </w:rPr>
              <w:t>b)</w:t>
            </w:r>
          </w:p>
        </w:tc>
        <w:tc>
          <w:tcPr>
            <w:tcW w:w="4394" w:type="dxa"/>
            <w:gridSpan w:val="6"/>
            <w:vAlign w:val="center"/>
          </w:tcPr>
          <w:p w14:paraId="761D70FB" w14:textId="3850C3A9" w:rsidR="004E22C1" w:rsidRPr="009D3012" w:rsidRDefault="004E22C1" w:rsidP="00822F09">
            <w:pPr>
              <w:pStyle w:val="Tablebody"/>
              <w:jc w:val="left"/>
              <w:rPr>
                <w:szCs w:val="22"/>
                <w:lang w:val="en-US"/>
              </w:rPr>
            </w:pPr>
            <w:r w:rsidRPr="009D3012">
              <w:rPr>
                <w:szCs w:val="22"/>
                <w:lang w:val="en-US"/>
              </w:rPr>
              <w:t xml:space="preserve">200 for </w:t>
            </w:r>
            <w:r w:rsidRPr="001455DC">
              <w:rPr>
                <w:rStyle w:val="CCMCvariableitalic"/>
                <w:szCs w:val="22"/>
              </w:rPr>
              <w:t>ϕ</w:t>
            </w:r>
            <w:r w:rsidRPr="009D3012">
              <w:rPr>
                <w:szCs w:val="22"/>
                <w:lang w:val="en-US"/>
              </w:rPr>
              <w:t> </w:t>
            </w:r>
            <w:r w:rsidR="00650035" w:rsidRPr="009D3012">
              <w:rPr>
                <w:rFonts w:ascii="Cambria Math" w:hAnsi="Cambria Math"/>
                <w:szCs w:val="22"/>
                <w:lang w:val="en-US"/>
              </w:rPr>
              <w:t>≤</w:t>
            </w:r>
            <w:r w:rsidRPr="009D3012">
              <w:rPr>
                <w:szCs w:val="22"/>
                <w:lang w:val="en-US"/>
              </w:rPr>
              <w:t> 16 mm</w:t>
            </w:r>
          </w:p>
          <w:p w14:paraId="62843781" w14:textId="5A8C12B9" w:rsidR="004E22C1" w:rsidRPr="009D3012" w:rsidRDefault="004E22C1" w:rsidP="00822F09">
            <w:pPr>
              <w:pStyle w:val="Tablebody"/>
              <w:jc w:val="left"/>
              <w:rPr>
                <w:szCs w:val="22"/>
                <w:lang w:val="en-US"/>
              </w:rPr>
            </w:pPr>
            <w:r w:rsidRPr="009D3012">
              <w:rPr>
                <w:szCs w:val="22"/>
                <w:lang w:val="en-US"/>
              </w:rPr>
              <w:t>185 for 16 mm </w:t>
            </w:r>
            <w:r w:rsidR="00650035" w:rsidRPr="009D3012">
              <w:rPr>
                <w:rFonts w:ascii="Cambria Math" w:hAnsi="Cambria Math"/>
                <w:szCs w:val="22"/>
                <w:lang w:val="en-US"/>
              </w:rPr>
              <w:t>&lt;</w:t>
            </w:r>
            <w:r w:rsidRPr="009D3012">
              <w:rPr>
                <w:szCs w:val="22"/>
                <w:lang w:val="en-US"/>
              </w:rPr>
              <w:t> </w:t>
            </w:r>
            <w:r w:rsidRPr="001455DC">
              <w:rPr>
                <w:rStyle w:val="CCMCvariableitalic"/>
                <w:szCs w:val="22"/>
              </w:rPr>
              <w:t>ϕ</w:t>
            </w:r>
            <w:r w:rsidRPr="009D3012">
              <w:rPr>
                <w:szCs w:val="22"/>
                <w:lang w:val="en-US"/>
              </w:rPr>
              <w:t> </w:t>
            </w:r>
            <w:r w:rsidR="00650035" w:rsidRPr="009D3012">
              <w:rPr>
                <w:rFonts w:ascii="Cambria Math" w:hAnsi="Cambria Math"/>
                <w:szCs w:val="22"/>
                <w:lang w:val="en-US"/>
              </w:rPr>
              <w:t>≤</w:t>
            </w:r>
            <w:r w:rsidRPr="009D3012">
              <w:rPr>
                <w:szCs w:val="22"/>
                <w:lang w:val="en-US"/>
              </w:rPr>
              <w:t> 20 mm</w:t>
            </w:r>
          </w:p>
          <w:p w14:paraId="0552467B" w14:textId="72011791" w:rsidR="004E22C1" w:rsidRPr="009D3012" w:rsidRDefault="004E22C1" w:rsidP="00822F09">
            <w:pPr>
              <w:pStyle w:val="Tablebody"/>
              <w:jc w:val="left"/>
              <w:rPr>
                <w:szCs w:val="22"/>
                <w:lang w:val="en-US"/>
              </w:rPr>
            </w:pPr>
            <w:r w:rsidRPr="009D3012">
              <w:rPr>
                <w:szCs w:val="22"/>
                <w:lang w:val="en-US"/>
              </w:rPr>
              <w:t>170 for 20 mm </w:t>
            </w:r>
            <w:r w:rsidR="00650035" w:rsidRPr="009D3012">
              <w:rPr>
                <w:rFonts w:ascii="Cambria Math" w:hAnsi="Cambria Math"/>
                <w:szCs w:val="22"/>
                <w:lang w:val="en-US"/>
              </w:rPr>
              <w:t>&lt;</w:t>
            </w:r>
            <w:r w:rsidRPr="009D3012">
              <w:rPr>
                <w:szCs w:val="22"/>
                <w:lang w:val="en-US"/>
              </w:rPr>
              <w:t> </w:t>
            </w:r>
            <w:r w:rsidRPr="001455DC">
              <w:rPr>
                <w:rStyle w:val="CCMCvariableitalic"/>
                <w:szCs w:val="22"/>
              </w:rPr>
              <w:t>ϕ</w:t>
            </w:r>
            <w:r w:rsidRPr="009D3012">
              <w:rPr>
                <w:szCs w:val="22"/>
                <w:lang w:val="en-US"/>
              </w:rPr>
              <w:t> </w:t>
            </w:r>
            <w:r w:rsidR="00650035" w:rsidRPr="009D3012">
              <w:rPr>
                <w:rFonts w:ascii="Cambria Math" w:hAnsi="Cambria Math"/>
                <w:szCs w:val="22"/>
                <w:lang w:val="en-US"/>
              </w:rPr>
              <w:t>≤</w:t>
            </w:r>
            <w:r w:rsidRPr="009D3012">
              <w:rPr>
                <w:szCs w:val="22"/>
                <w:lang w:val="en-US"/>
              </w:rPr>
              <w:t> 25 mm</w:t>
            </w:r>
          </w:p>
          <w:p w14:paraId="40667E67" w14:textId="15BD2741" w:rsidR="004E22C1" w:rsidRPr="009D3012" w:rsidRDefault="004E22C1" w:rsidP="00822F09">
            <w:pPr>
              <w:pStyle w:val="Tablebody"/>
              <w:jc w:val="left"/>
              <w:rPr>
                <w:szCs w:val="22"/>
                <w:lang w:val="en-US"/>
              </w:rPr>
            </w:pPr>
            <w:r w:rsidRPr="009D3012">
              <w:rPr>
                <w:szCs w:val="22"/>
                <w:lang w:val="en-US"/>
              </w:rPr>
              <w:t>160 for 25 mm </w:t>
            </w:r>
            <w:r w:rsidR="00650035" w:rsidRPr="009D3012">
              <w:rPr>
                <w:rFonts w:ascii="Cambria Math" w:hAnsi="Cambria Math"/>
                <w:szCs w:val="22"/>
                <w:lang w:val="en-US"/>
              </w:rPr>
              <w:t>&lt;</w:t>
            </w:r>
            <w:r w:rsidRPr="009D3012">
              <w:rPr>
                <w:szCs w:val="22"/>
                <w:lang w:val="en-US"/>
              </w:rPr>
              <w:t> </w:t>
            </w:r>
            <w:r w:rsidRPr="001455DC">
              <w:rPr>
                <w:rStyle w:val="CCMCvariableitalic"/>
                <w:szCs w:val="22"/>
              </w:rPr>
              <w:t>ϕ</w:t>
            </w:r>
            <w:r w:rsidRPr="009D3012">
              <w:rPr>
                <w:szCs w:val="22"/>
                <w:lang w:val="en-US"/>
              </w:rPr>
              <w:t> </w:t>
            </w:r>
            <w:r w:rsidR="00650035" w:rsidRPr="009D3012">
              <w:rPr>
                <w:rFonts w:ascii="Cambria Math" w:hAnsi="Cambria Math"/>
                <w:szCs w:val="22"/>
                <w:lang w:val="en-US"/>
              </w:rPr>
              <w:t>≤</w:t>
            </w:r>
            <w:r w:rsidRPr="009D3012">
              <w:rPr>
                <w:szCs w:val="22"/>
                <w:lang w:val="en-US"/>
              </w:rPr>
              <w:t> 32 mm</w:t>
            </w:r>
          </w:p>
          <w:p w14:paraId="370C0538" w14:textId="16F893C8" w:rsidR="004E22C1" w:rsidRPr="001455DC" w:rsidRDefault="004E22C1" w:rsidP="00822F09">
            <w:pPr>
              <w:pStyle w:val="Tablebody"/>
              <w:jc w:val="left"/>
              <w:rPr>
                <w:szCs w:val="22"/>
              </w:rPr>
            </w:pPr>
            <w:r w:rsidRPr="001455DC">
              <w:rPr>
                <w:szCs w:val="22"/>
              </w:rPr>
              <w:t>150 for 32 mm </w:t>
            </w:r>
            <w:r w:rsidR="00650035" w:rsidRPr="001455DC">
              <w:rPr>
                <w:rFonts w:ascii="Cambria Math" w:hAnsi="Cambria Math"/>
                <w:szCs w:val="22"/>
              </w:rPr>
              <w:t>&lt;</w:t>
            </w:r>
            <w:r w:rsidRPr="001455DC">
              <w:rPr>
                <w:szCs w:val="22"/>
              </w:rPr>
              <w:t> </w:t>
            </w:r>
            <w:r w:rsidRPr="001455DC">
              <w:rPr>
                <w:rStyle w:val="CCMCvariableitalic"/>
                <w:szCs w:val="22"/>
              </w:rPr>
              <w:t>ϕ</w:t>
            </w:r>
            <w:r w:rsidRPr="001455DC">
              <w:rPr>
                <w:szCs w:val="22"/>
              </w:rPr>
              <w:t> </w:t>
            </w:r>
            <w:r w:rsidR="00650035" w:rsidRPr="001455DC">
              <w:rPr>
                <w:rFonts w:ascii="Cambria Math" w:hAnsi="Cambria Math"/>
                <w:szCs w:val="22"/>
              </w:rPr>
              <w:t>≤</w:t>
            </w:r>
            <w:r w:rsidRPr="001455DC">
              <w:rPr>
                <w:szCs w:val="22"/>
              </w:rPr>
              <w:t> 50 mm</w:t>
            </w:r>
          </w:p>
        </w:tc>
      </w:tr>
      <w:tr w:rsidR="004E22C1" w:rsidRPr="001455DC" w14:paraId="7F6E481F" w14:textId="77777777" w:rsidTr="00822F09">
        <w:trPr>
          <w:cantSplit/>
        </w:trPr>
        <w:tc>
          <w:tcPr>
            <w:tcW w:w="4106" w:type="dxa"/>
            <w:vAlign w:val="center"/>
          </w:tcPr>
          <w:p w14:paraId="68F2D458" w14:textId="77777777" w:rsidR="004E22C1" w:rsidRPr="009D3012" w:rsidRDefault="004E22C1" w:rsidP="00822F09">
            <w:pPr>
              <w:pStyle w:val="Tablebody"/>
              <w:jc w:val="left"/>
              <w:rPr>
                <w:szCs w:val="22"/>
                <w:lang w:val="en-US"/>
              </w:rPr>
            </w:pPr>
            <w:r w:rsidRPr="009D3012">
              <w:rPr>
                <w:lang w:val="en-US"/>
              </w:rPr>
              <w:t xml:space="preserve">Minimum relative rib area </w:t>
            </w:r>
            <w:r w:rsidRPr="009D3012">
              <w:rPr>
                <w:rStyle w:val="CCMCvariableitalic"/>
                <w:szCs w:val="22"/>
                <w:lang w:val="en-US"/>
              </w:rPr>
              <w:t>f</w:t>
            </w:r>
            <w:r w:rsidRPr="009D3012">
              <w:rPr>
                <w:rStyle w:val="CCMCvariablesubscript"/>
                <w:szCs w:val="22"/>
                <w:lang w:val="en-US"/>
              </w:rPr>
              <w:t>R,min</w:t>
            </w:r>
            <w:r w:rsidRPr="009D3012">
              <w:rPr>
                <w:lang w:val="en-US"/>
              </w:rPr>
              <w:t xml:space="preserve"> or relative indentation area </w:t>
            </w:r>
            <w:r w:rsidRPr="009D3012">
              <w:rPr>
                <w:rStyle w:val="CCMCvariableitalic"/>
                <w:szCs w:val="22"/>
                <w:lang w:val="en-US"/>
              </w:rPr>
              <w:t>f</w:t>
            </w:r>
            <w:r w:rsidRPr="009D3012">
              <w:rPr>
                <w:rStyle w:val="CCMCvariablesubscript"/>
                <w:szCs w:val="22"/>
                <w:lang w:val="en-US"/>
              </w:rPr>
              <w:t>P,min</w:t>
            </w:r>
            <w:r w:rsidRPr="009D3012">
              <w:rPr>
                <w:lang w:val="en-US"/>
              </w:rPr>
              <w:t xml:space="preserve"> (5 % quantile)</w:t>
            </w:r>
          </w:p>
        </w:tc>
        <w:tc>
          <w:tcPr>
            <w:tcW w:w="4394" w:type="dxa"/>
            <w:gridSpan w:val="6"/>
            <w:vAlign w:val="center"/>
          </w:tcPr>
          <w:p w14:paraId="46C91CB8" w14:textId="5B218515" w:rsidR="004E22C1" w:rsidRPr="009D3012" w:rsidRDefault="004E22C1" w:rsidP="00822F09">
            <w:pPr>
              <w:pStyle w:val="Tablebody"/>
              <w:jc w:val="left"/>
              <w:rPr>
                <w:szCs w:val="22"/>
                <w:lang w:val="en-US"/>
              </w:rPr>
            </w:pPr>
            <w:r w:rsidRPr="009D3012">
              <w:rPr>
                <w:szCs w:val="22"/>
                <w:lang w:val="en-US"/>
              </w:rPr>
              <w:t xml:space="preserve">0,039 for </w:t>
            </w:r>
            <w:r w:rsidRPr="001455DC">
              <w:rPr>
                <w:rStyle w:val="CCMCvariableitalic"/>
                <w:szCs w:val="22"/>
              </w:rPr>
              <w:t>ϕ</w:t>
            </w:r>
            <w:r w:rsidRPr="009D3012">
              <w:rPr>
                <w:szCs w:val="22"/>
                <w:lang w:val="en-US"/>
              </w:rPr>
              <w:t> </w:t>
            </w:r>
            <w:r w:rsidR="00650035" w:rsidRPr="009D3012">
              <w:rPr>
                <w:rFonts w:ascii="Cambria Math" w:hAnsi="Cambria Math"/>
                <w:szCs w:val="22"/>
                <w:lang w:val="en-US"/>
              </w:rPr>
              <w:t>≤</w:t>
            </w:r>
            <w:r w:rsidRPr="009D3012">
              <w:rPr>
                <w:szCs w:val="22"/>
                <w:lang w:val="en-US"/>
              </w:rPr>
              <w:t> 6 mm</w:t>
            </w:r>
          </w:p>
          <w:p w14:paraId="2C5F9623" w14:textId="03BF844A" w:rsidR="004E22C1" w:rsidRPr="009D3012" w:rsidRDefault="004E22C1" w:rsidP="00822F09">
            <w:pPr>
              <w:pStyle w:val="Tablebody"/>
              <w:jc w:val="left"/>
              <w:rPr>
                <w:szCs w:val="22"/>
                <w:lang w:val="en-US"/>
              </w:rPr>
            </w:pPr>
            <w:r w:rsidRPr="009D3012">
              <w:rPr>
                <w:szCs w:val="22"/>
                <w:lang w:val="en-US"/>
              </w:rPr>
              <w:t>0,045 for 6,5 mm </w:t>
            </w:r>
            <w:r w:rsidR="00650035" w:rsidRPr="009D3012">
              <w:rPr>
                <w:rFonts w:ascii="Cambria Math" w:hAnsi="Cambria Math"/>
                <w:szCs w:val="22"/>
                <w:lang w:val="en-US"/>
              </w:rPr>
              <w:t>≤</w:t>
            </w:r>
            <w:r w:rsidRPr="009D3012">
              <w:rPr>
                <w:szCs w:val="22"/>
                <w:lang w:val="en-US"/>
              </w:rPr>
              <w:t> </w:t>
            </w:r>
            <w:r w:rsidRPr="001455DC">
              <w:rPr>
                <w:rStyle w:val="CCMCvariableitalic"/>
                <w:szCs w:val="22"/>
              </w:rPr>
              <w:t>ϕ</w:t>
            </w:r>
            <w:r w:rsidRPr="009D3012">
              <w:rPr>
                <w:szCs w:val="22"/>
                <w:lang w:val="en-US"/>
              </w:rPr>
              <w:t> </w:t>
            </w:r>
            <w:r w:rsidR="00650035" w:rsidRPr="009D3012">
              <w:rPr>
                <w:rFonts w:ascii="Cambria Math" w:hAnsi="Cambria Math"/>
                <w:szCs w:val="22"/>
                <w:lang w:val="en-US"/>
              </w:rPr>
              <w:t>≤</w:t>
            </w:r>
            <w:r w:rsidRPr="009D3012">
              <w:rPr>
                <w:szCs w:val="22"/>
                <w:lang w:val="en-US"/>
              </w:rPr>
              <w:t> 8,5 mm</w:t>
            </w:r>
          </w:p>
          <w:p w14:paraId="6A0F87A4" w14:textId="5FCBD6A4" w:rsidR="004E22C1" w:rsidRPr="009D3012" w:rsidRDefault="004E22C1" w:rsidP="00822F09">
            <w:pPr>
              <w:pStyle w:val="Tablebody"/>
              <w:jc w:val="left"/>
              <w:rPr>
                <w:szCs w:val="22"/>
                <w:lang w:val="en-US"/>
              </w:rPr>
            </w:pPr>
            <w:r w:rsidRPr="009D3012">
              <w:rPr>
                <w:szCs w:val="22"/>
                <w:lang w:val="en-US"/>
              </w:rPr>
              <w:t>0,052 for 9 mm </w:t>
            </w:r>
            <w:r w:rsidR="00650035" w:rsidRPr="009D3012">
              <w:rPr>
                <w:rFonts w:ascii="Cambria Math" w:hAnsi="Cambria Math"/>
                <w:szCs w:val="22"/>
                <w:lang w:val="en-US"/>
              </w:rPr>
              <w:t>≤</w:t>
            </w:r>
            <w:r w:rsidRPr="009D3012">
              <w:rPr>
                <w:szCs w:val="22"/>
                <w:lang w:val="en-US"/>
              </w:rPr>
              <w:t> </w:t>
            </w:r>
            <w:r w:rsidRPr="001455DC">
              <w:rPr>
                <w:rStyle w:val="CCMCvariableitalic"/>
                <w:szCs w:val="22"/>
              </w:rPr>
              <w:t>ϕ</w:t>
            </w:r>
            <w:r w:rsidRPr="009D3012">
              <w:rPr>
                <w:szCs w:val="22"/>
                <w:lang w:val="en-US"/>
              </w:rPr>
              <w:t> </w:t>
            </w:r>
            <w:r w:rsidR="00650035" w:rsidRPr="009D3012">
              <w:rPr>
                <w:rFonts w:ascii="Cambria Math" w:hAnsi="Cambria Math"/>
                <w:szCs w:val="22"/>
                <w:lang w:val="en-US"/>
              </w:rPr>
              <w:t>≤</w:t>
            </w:r>
            <w:r w:rsidRPr="009D3012">
              <w:rPr>
                <w:szCs w:val="22"/>
                <w:lang w:val="en-US"/>
              </w:rPr>
              <w:t> 10,5 mm</w:t>
            </w:r>
          </w:p>
          <w:p w14:paraId="70D390FE" w14:textId="5C22FDB9" w:rsidR="004E22C1" w:rsidRPr="009D3012" w:rsidRDefault="004E22C1" w:rsidP="00822F09">
            <w:pPr>
              <w:pStyle w:val="Tablebody"/>
              <w:jc w:val="left"/>
              <w:rPr>
                <w:szCs w:val="22"/>
                <w:lang w:val="en-US"/>
              </w:rPr>
            </w:pPr>
            <w:r w:rsidRPr="009D3012">
              <w:rPr>
                <w:szCs w:val="22"/>
                <w:lang w:val="en-US"/>
              </w:rPr>
              <w:t>0,056 for 11 mm </w:t>
            </w:r>
            <w:r w:rsidR="00650035" w:rsidRPr="009D3012">
              <w:rPr>
                <w:rFonts w:ascii="Cambria Math" w:hAnsi="Cambria Math"/>
                <w:szCs w:val="22"/>
                <w:lang w:val="en-US"/>
              </w:rPr>
              <w:t>≤</w:t>
            </w:r>
            <w:r w:rsidRPr="009D3012">
              <w:rPr>
                <w:szCs w:val="22"/>
                <w:lang w:val="en-US"/>
              </w:rPr>
              <w:t> </w:t>
            </w:r>
            <w:r w:rsidRPr="001455DC">
              <w:rPr>
                <w:rStyle w:val="CCMCvariableitalic"/>
                <w:szCs w:val="22"/>
              </w:rPr>
              <w:t>ϕ</w:t>
            </w:r>
            <w:r w:rsidRPr="009D3012">
              <w:rPr>
                <w:szCs w:val="22"/>
                <w:lang w:val="en-US"/>
              </w:rPr>
              <w:t> </w:t>
            </w:r>
            <w:r w:rsidR="00650035" w:rsidRPr="009D3012">
              <w:rPr>
                <w:rFonts w:ascii="Cambria Math" w:hAnsi="Cambria Math"/>
                <w:szCs w:val="22"/>
                <w:lang w:val="en-US"/>
              </w:rPr>
              <w:t>≤</w:t>
            </w:r>
            <w:r w:rsidRPr="009D3012">
              <w:rPr>
                <w:szCs w:val="22"/>
                <w:lang w:val="en-US"/>
              </w:rPr>
              <w:t> 50 mm</w:t>
            </w:r>
          </w:p>
        </w:tc>
      </w:tr>
      <w:tr w:rsidR="004E22C1" w:rsidRPr="001455DC" w14:paraId="77F04FBC" w14:textId="77777777" w:rsidTr="00822F09">
        <w:trPr>
          <w:cnfStyle w:val="010000000000" w:firstRow="0" w:lastRow="1" w:firstColumn="0" w:lastColumn="0" w:oddVBand="0" w:evenVBand="0" w:oddHBand="0" w:evenHBand="0" w:firstRowFirstColumn="0" w:firstRowLastColumn="0" w:lastRowFirstColumn="0" w:lastRowLastColumn="0"/>
          <w:cantSplit/>
        </w:trPr>
        <w:tc>
          <w:tcPr>
            <w:tcW w:w="8500" w:type="dxa"/>
            <w:gridSpan w:val="7"/>
          </w:tcPr>
          <w:p w14:paraId="44D1C42C" w14:textId="2FC5E55E" w:rsidR="004E22C1" w:rsidRPr="009D3012" w:rsidRDefault="004E22C1" w:rsidP="00822F09">
            <w:pPr>
              <w:pStyle w:val="Tablefooter"/>
              <w:rPr>
                <w:lang w:val="en-US"/>
              </w:rPr>
            </w:pPr>
            <w:r w:rsidRPr="009D3012">
              <w:rPr>
                <w:rStyle w:val="CCMCvariablesuperscript"/>
                <w:sz w:val="22"/>
                <w:szCs w:val="22"/>
                <w:lang w:val="en-US"/>
              </w:rPr>
              <w:t>a</w:t>
            </w:r>
            <w:r w:rsidR="00822F09" w:rsidRPr="009D3012">
              <w:rPr>
                <w:lang w:val="en-US"/>
              </w:rPr>
              <w:tab/>
            </w:r>
            <w:r w:rsidRPr="009D3012">
              <w:rPr>
                <w:lang w:val="en-US"/>
              </w:rPr>
              <w:t xml:space="preserve">All strength classes apply unless a National Annex excludes specific classes. </w:t>
            </w:r>
          </w:p>
          <w:p w14:paraId="3E5FB004" w14:textId="689FD5D5" w:rsidR="004E22C1" w:rsidRPr="009D3012" w:rsidRDefault="004E22C1" w:rsidP="00822F09">
            <w:pPr>
              <w:pStyle w:val="Tablefooter"/>
              <w:rPr>
                <w:lang w:val="en-US"/>
              </w:rPr>
            </w:pPr>
            <w:r w:rsidRPr="009D3012">
              <w:rPr>
                <w:rStyle w:val="CCMCvariablesuperscript"/>
                <w:sz w:val="22"/>
                <w:szCs w:val="22"/>
                <w:lang w:val="en-US"/>
              </w:rPr>
              <w:t>b</w:t>
            </w:r>
            <w:r w:rsidR="00822F09" w:rsidRPr="009D3012">
              <w:rPr>
                <w:lang w:val="en-US"/>
              </w:rPr>
              <w:tab/>
            </w:r>
            <w:r w:rsidR="00446ED4" w:rsidRPr="001455DC">
              <w:rPr>
                <w:lang w:val="en-US"/>
              </w:rPr>
              <w:t xml:space="preserve">Different fatigue properties can be set in a National Annex, if increased margins are required to the S-N curve parameters given in Annex E, by specifying higher values of the fatigue stress range and/or the number of cycles are confirmed by testing in accordance with </w:t>
            </w:r>
            <w:r w:rsidR="008D32E2" w:rsidRPr="001455DC">
              <w:rPr>
                <w:lang w:val="en-US"/>
              </w:rPr>
              <w:t>pr</w:t>
            </w:r>
            <w:r w:rsidR="00446ED4" w:rsidRPr="001455DC">
              <w:rPr>
                <w:lang w:val="en-US"/>
              </w:rPr>
              <w:t>EN 10370.</w:t>
            </w:r>
          </w:p>
        </w:tc>
      </w:tr>
    </w:tbl>
    <w:p w14:paraId="592FC7AC" w14:textId="77777777" w:rsidR="004E22C1" w:rsidRPr="001455DC" w:rsidRDefault="004E22C1" w:rsidP="005965D6">
      <w:pPr>
        <w:pStyle w:val="a7"/>
      </w:pPr>
    </w:p>
    <w:p w14:paraId="190BEC60" w14:textId="56DB44B6" w:rsidR="004E22C1" w:rsidRPr="001455DC" w:rsidRDefault="004E22C1" w:rsidP="00F72049">
      <w:pPr>
        <w:pStyle w:val="Tabletitle"/>
      </w:pPr>
      <w:bookmarkStart w:id="1377" w:name="_Toc54337550"/>
      <w:r w:rsidRPr="001455DC">
        <w:rPr>
          <w:rFonts w:eastAsiaTheme="minorHAnsi"/>
        </w:rPr>
        <w:t>Table </w:t>
      </w:r>
      <w:r w:rsidRPr="001455DC">
        <w:t xml:space="preserve">C.2b — Ductility properties of reinforcing steel according to </w:t>
      </w:r>
      <w:bookmarkEnd w:id="1377"/>
      <w:r w:rsidR="008D32E2" w:rsidRPr="001455DC">
        <w:t>prEN 10370</w:t>
      </w:r>
    </w:p>
    <w:tbl>
      <w:tblPr>
        <w:tblStyle w:val="53"/>
        <w:tblW w:w="9752" w:type="dxa"/>
        <w:tblLayout w:type="fixed"/>
        <w:tblLook w:val="0620" w:firstRow="1" w:lastRow="0" w:firstColumn="0" w:lastColumn="0" w:noHBand="1" w:noVBand="1"/>
      </w:tblPr>
      <w:tblGrid>
        <w:gridCol w:w="5158"/>
        <w:gridCol w:w="1531"/>
        <w:gridCol w:w="1532"/>
        <w:gridCol w:w="1531"/>
      </w:tblGrid>
      <w:tr w:rsidR="004E22C1" w:rsidRPr="001455DC" w14:paraId="2AD70F23" w14:textId="77777777" w:rsidTr="00822F09">
        <w:trPr>
          <w:cnfStyle w:val="100000000000" w:firstRow="1" w:lastRow="0" w:firstColumn="0" w:lastColumn="0" w:oddVBand="0" w:evenVBand="0" w:oddHBand="0" w:evenHBand="0" w:firstRowFirstColumn="0" w:firstRowLastColumn="0" w:lastRowFirstColumn="0" w:lastRowLastColumn="0"/>
          <w:cantSplit/>
          <w:tblHeader/>
        </w:trPr>
        <w:tc>
          <w:tcPr>
            <w:tcW w:w="4499" w:type="dxa"/>
            <w:vMerge w:val="restart"/>
          </w:tcPr>
          <w:p w14:paraId="7977DF03" w14:textId="5264AE01" w:rsidR="004E22C1" w:rsidRPr="001455DC" w:rsidRDefault="004E22C1" w:rsidP="00822F09">
            <w:pPr>
              <w:pStyle w:val="Tableheader"/>
            </w:pPr>
            <w:r w:rsidRPr="001455DC">
              <w:t>Properties for weldable reinforcement</w:t>
            </w:r>
          </w:p>
        </w:tc>
        <w:tc>
          <w:tcPr>
            <w:tcW w:w="4006" w:type="dxa"/>
            <w:gridSpan w:val="3"/>
          </w:tcPr>
          <w:p w14:paraId="06B36284" w14:textId="77777777" w:rsidR="004E22C1" w:rsidRPr="001455DC" w:rsidRDefault="004E22C1" w:rsidP="00822F09">
            <w:pPr>
              <w:pStyle w:val="Tableheader"/>
            </w:pPr>
            <w:r w:rsidRPr="001455DC">
              <w:t>Ductility Class</w:t>
            </w:r>
          </w:p>
        </w:tc>
      </w:tr>
      <w:tr w:rsidR="004E22C1" w:rsidRPr="001455DC" w14:paraId="376D9FC6" w14:textId="77777777" w:rsidTr="00822F09">
        <w:trPr>
          <w:cnfStyle w:val="100000000000" w:firstRow="1" w:lastRow="0" w:firstColumn="0" w:lastColumn="0" w:oddVBand="0" w:evenVBand="0" w:oddHBand="0" w:evenHBand="0" w:firstRowFirstColumn="0" w:firstRowLastColumn="0" w:lastRowFirstColumn="0" w:lastRowLastColumn="0"/>
          <w:cantSplit/>
          <w:tblHeader/>
        </w:trPr>
        <w:tc>
          <w:tcPr>
            <w:tcW w:w="4499" w:type="dxa"/>
            <w:vMerge/>
          </w:tcPr>
          <w:p w14:paraId="176C7980" w14:textId="77777777" w:rsidR="004E22C1" w:rsidRPr="001455DC" w:rsidRDefault="004E22C1" w:rsidP="00822F09">
            <w:pPr>
              <w:pStyle w:val="Tableheader"/>
            </w:pPr>
          </w:p>
        </w:tc>
        <w:tc>
          <w:tcPr>
            <w:tcW w:w="1335" w:type="dxa"/>
          </w:tcPr>
          <w:p w14:paraId="377DD76D" w14:textId="77777777" w:rsidR="004E22C1" w:rsidRPr="001455DC" w:rsidRDefault="004E22C1" w:rsidP="00822F09">
            <w:pPr>
              <w:pStyle w:val="Tableheader"/>
            </w:pPr>
            <w:r w:rsidRPr="001455DC">
              <w:t>A</w:t>
            </w:r>
          </w:p>
        </w:tc>
        <w:tc>
          <w:tcPr>
            <w:tcW w:w="1336" w:type="dxa"/>
          </w:tcPr>
          <w:p w14:paraId="71BE45B7" w14:textId="77777777" w:rsidR="004E22C1" w:rsidRPr="001455DC" w:rsidRDefault="004E22C1" w:rsidP="00822F09">
            <w:pPr>
              <w:pStyle w:val="Tableheader"/>
            </w:pPr>
            <w:r w:rsidRPr="001455DC">
              <w:t>B</w:t>
            </w:r>
          </w:p>
        </w:tc>
        <w:tc>
          <w:tcPr>
            <w:tcW w:w="1335" w:type="dxa"/>
          </w:tcPr>
          <w:p w14:paraId="2B856482" w14:textId="77777777" w:rsidR="004E22C1" w:rsidRPr="001455DC" w:rsidRDefault="004E22C1" w:rsidP="00822F09">
            <w:pPr>
              <w:pStyle w:val="Tableheader"/>
            </w:pPr>
            <w:r w:rsidRPr="001455DC">
              <w:t>C</w:t>
            </w:r>
          </w:p>
        </w:tc>
      </w:tr>
      <w:tr w:rsidR="004E22C1" w:rsidRPr="001455DC" w14:paraId="72AE47C0" w14:textId="77777777" w:rsidTr="00822F09">
        <w:trPr>
          <w:cantSplit/>
        </w:trPr>
        <w:tc>
          <w:tcPr>
            <w:tcW w:w="4499" w:type="dxa"/>
            <w:vAlign w:val="center"/>
          </w:tcPr>
          <w:p w14:paraId="039752E3" w14:textId="77777777" w:rsidR="004E22C1" w:rsidRPr="009D3012" w:rsidRDefault="004E22C1" w:rsidP="00822F09">
            <w:pPr>
              <w:pStyle w:val="Tablebody"/>
              <w:jc w:val="left"/>
              <w:rPr>
                <w:rStyle w:val="CCMCvariablesuperscript"/>
                <w:szCs w:val="22"/>
                <w:lang w:val="en-US"/>
              </w:rPr>
            </w:pPr>
            <w:r w:rsidRPr="009D3012">
              <w:rPr>
                <w:iCs/>
                <w:szCs w:val="22"/>
                <w:lang w:val="en-US"/>
              </w:rPr>
              <w:t xml:space="preserve">Value of </w:t>
            </w:r>
            <w:r w:rsidRPr="009D3012">
              <w:rPr>
                <w:rStyle w:val="CCMCvariableitalic"/>
                <w:szCs w:val="22"/>
                <w:lang w:val="en-US"/>
              </w:rPr>
              <w:t>R</w:t>
            </w:r>
            <w:r w:rsidRPr="009D3012">
              <w:rPr>
                <w:rStyle w:val="CCMCvariablesubscript"/>
                <w:szCs w:val="22"/>
                <w:lang w:val="en-US"/>
              </w:rPr>
              <w:t>m</w:t>
            </w:r>
            <w:r w:rsidRPr="009D3012">
              <w:rPr>
                <w:szCs w:val="22"/>
                <w:lang w:val="en-US"/>
              </w:rPr>
              <w:t xml:space="preserve"> /</w:t>
            </w:r>
            <w:r w:rsidRPr="009D3012">
              <w:rPr>
                <w:rStyle w:val="CCMCvariableitalic"/>
                <w:szCs w:val="22"/>
                <w:lang w:val="en-US"/>
              </w:rPr>
              <w:t>R</w:t>
            </w:r>
            <w:r w:rsidRPr="009D3012">
              <w:rPr>
                <w:rStyle w:val="CCMCvariablesubscript"/>
                <w:szCs w:val="22"/>
                <w:lang w:val="en-US"/>
              </w:rPr>
              <w:t>p0,2k</w:t>
            </w:r>
            <w:r w:rsidRPr="009D3012">
              <w:rPr>
                <w:szCs w:val="22"/>
                <w:lang w:val="en-US"/>
              </w:rPr>
              <w:t xml:space="preserve">, where </w:t>
            </w:r>
            <w:r w:rsidRPr="009D3012">
              <w:rPr>
                <w:rStyle w:val="CCMCvariableitalic"/>
                <w:szCs w:val="22"/>
                <w:lang w:val="en-US"/>
              </w:rPr>
              <w:t>R</w:t>
            </w:r>
            <w:r w:rsidRPr="009D3012">
              <w:rPr>
                <w:rStyle w:val="CCMCvariablesubscript"/>
                <w:szCs w:val="22"/>
                <w:lang w:val="en-US"/>
              </w:rPr>
              <w:t>m</w:t>
            </w:r>
            <w:r w:rsidRPr="009D3012">
              <w:rPr>
                <w:szCs w:val="22"/>
                <w:lang w:val="en-US"/>
              </w:rPr>
              <w:t xml:space="preserve"> should be limited to stress at 7 % elongation (10 % quantile)</w:t>
            </w:r>
          </w:p>
        </w:tc>
        <w:tc>
          <w:tcPr>
            <w:tcW w:w="1335" w:type="dxa"/>
            <w:vAlign w:val="center"/>
          </w:tcPr>
          <w:p w14:paraId="5F538DC7" w14:textId="56307EFC" w:rsidR="004E22C1" w:rsidRPr="001455DC" w:rsidRDefault="00650035" w:rsidP="00822F09">
            <w:pPr>
              <w:pStyle w:val="Tablebody"/>
              <w:jc w:val="center"/>
              <w:rPr>
                <w:szCs w:val="22"/>
              </w:rPr>
            </w:pPr>
            <w:r w:rsidRPr="001455DC">
              <w:rPr>
                <w:rFonts w:ascii="Cambria Math" w:hAnsi="Cambria Math"/>
                <w:szCs w:val="22"/>
              </w:rPr>
              <w:t>≥</w:t>
            </w:r>
            <w:r w:rsidR="00073FC6" w:rsidRPr="001455DC">
              <w:rPr>
                <w:szCs w:val="22"/>
              </w:rPr>
              <w:t> </w:t>
            </w:r>
            <w:r w:rsidR="004E22C1" w:rsidRPr="001455DC">
              <w:rPr>
                <w:szCs w:val="22"/>
              </w:rPr>
              <w:t>1,05</w:t>
            </w:r>
          </w:p>
        </w:tc>
        <w:tc>
          <w:tcPr>
            <w:tcW w:w="1336" w:type="dxa"/>
            <w:vAlign w:val="center"/>
          </w:tcPr>
          <w:p w14:paraId="2372F7CB" w14:textId="7D35C3FE" w:rsidR="004E22C1" w:rsidRPr="001455DC" w:rsidRDefault="00650035" w:rsidP="00822F09">
            <w:pPr>
              <w:pStyle w:val="Tablebody"/>
              <w:jc w:val="center"/>
              <w:rPr>
                <w:szCs w:val="22"/>
              </w:rPr>
            </w:pPr>
            <w:r w:rsidRPr="001455DC">
              <w:rPr>
                <w:rFonts w:ascii="Cambria Math" w:hAnsi="Cambria Math"/>
                <w:szCs w:val="22"/>
              </w:rPr>
              <w:t>≥</w:t>
            </w:r>
            <w:r w:rsidR="00073FC6" w:rsidRPr="001455DC">
              <w:rPr>
                <w:szCs w:val="22"/>
              </w:rPr>
              <w:t> </w:t>
            </w:r>
            <w:r w:rsidR="004E22C1" w:rsidRPr="001455DC">
              <w:rPr>
                <w:szCs w:val="22"/>
              </w:rPr>
              <w:t>1,08</w:t>
            </w:r>
          </w:p>
        </w:tc>
        <w:tc>
          <w:tcPr>
            <w:tcW w:w="1335" w:type="dxa"/>
            <w:vAlign w:val="center"/>
          </w:tcPr>
          <w:p w14:paraId="0C98DAD3" w14:textId="0D6A0E62" w:rsidR="004E22C1" w:rsidRPr="001455DC" w:rsidRDefault="00650035" w:rsidP="00822F09">
            <w:pPr>
              <w:pStyle w:val="Tablebody"/>
              <w:jc w:val="center"/>
              <w:rPr>
                <w:szCs w:val="22"/>
              </w:rPr>
            </w:pPr>
            <w:r w:rsidRPr="001455DC">
              <w:rPr>
                <w:rFonts w:ascii="Cambria Math" w:hAnsi="Cambria Math"/>
                <w:szCs w:val="22"/>
              </w:rPr>
              <w:t>≥</w:t>
            </w:r>
            <w:r w:rsidR="00073FC6" w:rsidRPr="001455DC">
              <w:rPr>
                <w:szCs w:val="22"/>
              </w:rPr>
              <w:t> </w:t>
            </w:r>
            <w:r w:rsidR="004E22C1" w:rsidRPr="001455DC">
              <w:rPr>
                <w:szCs w:val="22"/>
              </w:rPr>
              <w:t>1,15</w:t>
            </w:r>
          </w:p>
          <w:p w14:paraId="5F0F8D58" w14:textId="0A652A2C" w:rsidR="004E22C1" w:rsidRPr="001455DC" w:rsidRDefault="00650035" w:rsidP="00822F09">
            <w:pPr>
              <w:pStyle w:val="Tablebody"/>
              <w:jc w:val="center"/>
              <w:rPr>
                <w:szCs w:val="22"/>
              </w:rPr>
            </w:pPr>
            <w:r w:rsidRPr="001455DC">
              <w:rPr>
                <w:rFonts w:ascii="Cambria Math" w:hAnsi="Cambria Math"/>
                <w:szCs w:val="22"/>
              </w:rPr>
              <w:t>&lt;</w:t>
            </w:r>
            <w:r w:rsidR="004E22C1" w:rsidRPr="001455DC">
              <w:rPr>
                <w:szCs w:val="22"/>
              </w:rPr>
              <w:t> 1,35</w:t>
            </w:r>
          </w:p>
        </w:tc>
      </w:tr>
      <w:tr w:rsidR="004E22C1" w:rsidRPr="001455DC" w14:paraId="23CF1278" w14:textId="77777777" w:rsidTr="00822F09">
        <w:trPr>
          <w:cantSplit/>
        </w:trPr>
        <w:tc>
          <w:tcPr>
            <w:tcW w:w="4499" w:type="dxa"/>
            <w:vAlign w:val="center"/>
          </w:tcPr>
          <w:p w14:paraId="23038856" w14:textId="77777777" w:rsidR="004E22C1" w:rsidRPr="009D3012" w:rsidRDefault="004E22C1" w:rsidP="00822F09">
            <w:pPr>
              <w:pStyle w:val="Tablebody"/>
              <w:jc w:val="left"/>
              <w:rPr>
                <w:szCs w:val="22"/>
                <w:lang w:val="en-US"/>
              </w:rPr>
            </w:pPr>
            <w:r w:rsidRPr="009D3012">
              <w:rPr>
                <w:iCs/>
                <w:szCs w:val="22"/>
                <w:lang w:val="en-US"/>
              </w:rPr>
              <w:t xml:space="preserve">Value of </w:t>
            </w:r>
            <w:r w:rsidRPr="009D3012">
              <w:rPr>
                <w:rStyle w:val="CCMCvariableitalic"/>
                <w:szCs w:val="22"/>
                <w:lang w:val="en-US"/>
              </w:rPr>
              <w:t>R</w:t>
            </w:r>
            <w:r w:rsidRPr="009D3012">
              <w:rPr>
                <w:rStyle w:val="CCMCvariablesubscript"/>
                <w:szCs w:val="22"/>
                <w:lang w:val="en-US"/>
              </w:rPr>
              <w:t>e,act</w:t>
            </w:r>
            <w:r w:rsidRPr="009D3012">
              <w:rPr>
                <w:szCs w:val="22"/>
                <w:lang w:val="en-US"/>
              </w:rPr>
              <w:t>/</w:t>
            </w:r>
            <w:r w:rsidRPr="009D3012">
              <w:rPr>
                <w:rStyle w:val="CCMCvariableitalic"/>
                <w:szCs w:val="22"/>
                <w:lang w:val="en-US"/>
              </w:rPr>
              <w:t>R</w:t>
            </w:r>
            <w:r w:rsidRPr="009D3012">
              <w:rPr>
                <w:rStyle w:val="CCMCvariablesubscript"/>
                <w:szCs w:val="22"/>
                <w:lang w:val="en-US"/>
              </w:rPr>
              <w:t>p0,2,nom</w:t>
            </w:r>
            <w:r w:rsidRPr="009D3012">
              <w:rPr>
                <w:szCs w:val="22"/>
                <w:lang w:val="en-US"/>
              </w:rPr>
              <w:t xml:space="preserve"> (10 % quantile)</w:t>
            </w:r>
          </w:p>
        </w:tc>
        <w:tc>
          <w:tcPr>
            <w:tcW w:w="1335" w:type="dxa"/>
            <w:vAlign w:val="center"/>
          </w:tcPr>
          <w:p w14:paraId="5992212F" w14:textId="77777777" w:rsidR="004E22C1" w:rsidRPr="001455DC" w:rsidRDefault="004E22C1" w:rsidP="00822F09">
            <w:pPr>
              <w:pStyle w:val="Tablebody"/>
              <w:jc w:val="center"/>
              <w:rPr>
                <w:szCs w:val="22"/>
              </w:rPr>
            </w:pPr>
            <w:r w:rsidRPr="001455DC">
              <w:rPr>
                <w:szCs w:val="22"/>
              </w:rPr>
              <w:t>–</w:t>
            </w:r>
          </w:p>
        </w:tc>
        <w:tc>
          <w:tcPr>
            <w:tcW w:w="1336" w:type="dxa"/>
            <w:vAlign w:val="center"/>
          </w:tcPr>
          <w:p w14:paraId="560FEF06" w14:textId="6D6CAF34" w:rsidR="004E22C1" w:rsidRPr="001455DC" w:rsidRDefault="00650035" w:rsidP="00822F09">
            <w:pPr>
              <w:pStyle w:val="Tablebody"/>
              <w:jc w:val="center"/>
              <w:rPr>
                <w:szCs w:val="22"/>
              </w:rPr>
            </w:pPr>
            <w:r w:rsidRPr="001455DC">
              <w:rPr>
                <w:rFonts w:ascii="Cambria Math" w:hAnsi="Cambria Math"/>
                <w:szCs w:val="22"/>
              </w:rPr>
              <w:t>≤</w:t>
            </w:r>
            <w:r w:rsidR="004E22C1" w:rsidRPr="001455DC">
              <w:rPr>
                <w:szCs w:val="22"/>
              </w:rPr>
              <w:t> 1,3</w:t>
            </w:r>
          </w:p>
        </w:tc>
        <w:tc>
          <w:tcPr>
            <w:tcW w:w="1335" w:type="dxa"/>
            <w:vAlign w:val="center"/>
          </w:tcPr>
          <w:p w14:paraId="3C51A90C" w14:textId="3C2C7FCD" w:rsidR="004E22C1" w:rsidRPr="001455DC" w:rsidRDefault="00650035" w:rsidP="00822F09">
            <w:pPr>
              <w:pStyle w:val="Tablebody"/>
              <w:jc w:val="center"/>
              <w:rPr>
                <w:szCs w:val="22"/>
              </w:rPr>
            </w:pPr>
            <w:r w:rsidRPr="001455DC">
              <w:rPr>
                <w:rFonts w:ascii="Cambria Math" w:hAnsi="Cambria Math"/>
                <w:szCs w:val="22"/>
              </w:rPr>
              <w:t>≤</w:t>
            </w:r>
            <w:r w:rsidR="004E22C1" w:rsidRPr="001455DC">
              <w:rPr>
                <w:szCs w:val="22"/>
              </w:rPr>
              <w:t> 1,3</w:t>
            </w:r>
          </w:p>
        </w:tc>
      </w:tr>
      <w:tr w:rsidR="004E22C1" w:rsidRPr="001455DC" w14:paraId="6AC6C919" w14:textId="77777777" w:rsidTr="00822F09">
        <w:trPr>
          <w:cantSplit/>
        </w:trPr>
        <w:tc>
          <w:tcPr>
            <w:tcW w:w="4499" w:type="dxa"/>
            <w:vAlign w:val="center"/>
          </w:tcPr>
          <w:p w14:paraId="5A0448A7" w14:textId="77777777" w:rsidR="004E22C1" w:rsidRPr="009D3012" w:rsidRDefault="004E22C1" w:rsidP="00822F09">
            <w:pPr>
              <w:pStyle w:val="Tablebody"/>
              <w:jc w:val="left"/>
              <w:rPr>
                <w:szCs w:val="22"/>
                <w:lang w:val="en-US"/>
              </w:rPr>
            </w:pPr>
            <w:r w:rsidRPr="009D3012">
              <w:rPr>
                <w:szCs w:val="22"/>
                <w:lang w:val="en-US"/>
              </w:rPr>
              <w:t xml:space="preserve">Characteristic strain at maximum force </w:t>
            </w:r>
            <w:r w:rsidRPr="009D3012">
              <w:rPr>
                <w:rStyle w:val="CCMCvariableitalic"/>
                <w:szCs w:val="22"/>
                <w:lang w:val="en-US"/>
              </w:rPr>
              <w:t>A</w:t>
            </w:r>
            <w:r w:rsidRPr="009D3012">
              <w:rPr>
                <w:rStyle w:val="CCMCvariablesubscript"/>
                <w:szCs w:val="22"/>
                <w:lang w:val="en-US"/>
              </w:rPr>
              <w:t>gt</w:t>
            </w:r>
            <w:r w:rsidRPr="009D3012">
              <w:rPr>
                <w:szCs w:val="22"/>
                <w:lang w:val="en-US"/>
              </w:rPr>
              <w:t xml:space="preserve"> [ %]</w:t>
            </w:r>
          </w:p>
          <w:p w14:paraId="71641E4F" w14:textId="77777777" w:rsidR="004E22C1" w:rsidRPr="001455DC" w:rsidRDefault="004E22C1" w:rsidP="00822F09">
            <w:pPr>
              <w:pStyle w:val="Tablebody"/>
              <w:jc w:val="left"/>
              <w:rPr>
                <w:szCs w:val="22"/>
              </w:rPr>
            </w:pPr>
            <w:r w:rsidRPr="001455DC">
              <w:rPr>
                <w:szCs w:val="22"/>
              </w:rPr>
              <w:t>(10 % quantile)</w:t>
            </w:r>
          </w:p>
        </w:tc>
        <w:tc>
          <w:tcPr>
            <w:tcW w:w="1335" w:type="dxa"/>
            <w:vAlign w:val="center"/>
          </w:tcPr>
          <w:p w14:paraId="28EBAF44" w14:textId="4AC2EC46" w:rsidR="004E22C1" w:rsidRPr="001455DC" w:rsidRDefault="00650035" w:rsidP="00822F09">
            <w:pPr>
              <w:pStyle w:val="Tablebody"/>
              <w:jc w:val="center"/>
              <w:rPr>
                <w:szCs w:val="22"/>
              </w:rPr>
            </w:pPr>
            <w:r w:rsidRPr="001455DC">
              <w:rPr>
                <w:rFonts w:ascii="Cambria Math" w:hAnsi="Cambria Math"/>
                <w:szCs w:val="22"/>
              </w:rPr>
              <w:t>≥</w:t>
            </w:r>
            <w:r w:rsidR="00073FC6" w:rsidRPr="001455DC">
              <w:rPr>
                <w:szCs w:val="22"/>
              </w:rPr>
              <w:t> </w:t>
            </w:r>
            <w:r w:rsidR="004E22C1" w:rsidRPr="001455DC">
              <w:rPr>
                <w:szCs w:val="22"/>
              </w:rPr>
              <w:t>2,5</w:t>
            </w:r>
          </w:p>
        </w:tc>
        <w:tc>
          <w:tcPr>
            <w:tcW w:w="1336" w:type="dxa"/>
            <w:vAlign w:val="center"/>
          </w:tcPr>
          <w:p w14:paraId="74AF9333" w14:textId="1A35DF0F" w:rsidR="004E22C1" w:rsidRPr="001455DC" w:rsidRDefault="00650035" w:rsidP="00822F09">
            <w:pPr>
              <w:pStyle w:val="Tablebody"/>
              <w:jc w:val="center"/>
              <w:rPr>
                <w:szCs w:val="22"/>
              </w:rPr>
            </w:pPr>
            <w:r w:rsidRPr="001455DC">
              <w:rPr>
                <w:rFonts w:ascii="Cambria Math" w:hAnsi="Cambria Math"/>
                <w:szCs w:val="22"/>
              </w:rPr>
              <w:t>≥</w:t>
            </w:r>
            <w:r w:rsidR="00073FC6" w:rsidRPr="001455DC">
              <w:rPr>
                <w:szCs w:val="22"/>
              </w:rPr>
              <w:t> </w:t>
            </w:r>
            <w:r w:rsidR="004E22C1" w:rsidRPr="001455DC">
              <w:rPr>
                <w:szCs w:val="22"/>
              </w:rPr>
              <w:t>5,0</w:t>
            </w:r>
          </w:p>
        </w:tc>
        <w:tc>
          <w:tcPr>
            <w:tcW w:w="1335" w:type="dxa"/>
            <w:vAlign w:val="center"/>
          </w:tcPr>
          <w:p w14:paraId="0EAF0105" w14:textId="6339EE1A" w:rsidR="004E22C1" w:rsidRPr="001455DC" w:rsidRDefault="00650035" w:rsidP="00822F09">
            <w:pPr>
              <w:pStyle w:val="Tablebody"/>
              <w:jc w:val="center"/>
              <w:rPr>
                <w:szCs w:val="22"/>
              </w:rPr>
            </w:pPr>
            <w:r w:rsidRPr="001455DC">
              <w:rPr>
                <w:rFonts w:ascii="Cambria Math" w:hAnsi="Cambria Math"/>
                <w:szCs w:val="22"/>
              </w:rPr>
              <w:t>≥</w:t>
            </w:r>
            <w:r w:rsidR="00073FC6" w:rsidRPr="001455DC">
              <w:rPr>
                <w:szCs w:val="22"/>
              </w:rPr>
              <w:t> </w:t>
            </w:r>
            <w:r w:rsidR="004E22C1" w:rsidRPr="001455DC">
              <w:rPr>
                <w:szCs w:val="22"/>
              </w:rPr>
              <w:t>7,5</w:t>
            </w:r>
          </w:p>
        </w:tc>
      </w:tr>
      <w:tr w:rsidR="004E22C1" w:rsidRPr="001455DC" w14:paraId="34029158" w14:textId="77777777" w:rsidTr="00822F09">
        <w:trPr>
          <w:cantSplit/>
        </w:trPr>
        <w:tc>
          <w:tcPr>
            <w:tcW w:w="4499" w:type="dxa"/>
            <w:vAlign w:val="center"/>
          </w:tcPr>
          <w:p w14:paraId="671DAB55" w14:textId="77777777" w:rsidR="004E22C1" w:rsidRPr="001455DC" w:rsidRDefault="004E22C1" w:rsidP="00822F09">
            <w:pPr>
              <w:pStyle w:val="Tablebody"/>
              <w:jc w:val="left"/>
              <w:rPr>
                <w:szCs w:val="22"/>
              </w:rPr>
            </w:pPr>
            <w:r w:rsidRPr="001455DC">
              <w:rPr>
                <w:szCs w:val="22"/>
              </w:rPr>
              <w:t>Bendability</w:t>
            </w:r>
          </w:p>
        </w:tc>
        <w:tc>
          <w:tcPr>
            <w:tcW w:w="4006" w:type="dxa"/>
            <w:gridSpan w:val="3"/>
            <w:vAlign w:val="center"/>
          </w:tcPr>
          <w:p w14:paraId="7842C167" w14:textId="34E7EF62" w:rsidR="004E22C1" w:rsidRPr="009D3012" w:rsidRDefault="004E22C1" w:rsidP="00822F09">
            <w:pPr>
              <w:pStyle w:val="Tablebody"/>
              <w:jc w:val="left"/>
              <w:rPr>
                <w:szCs w:val="22"/>
                <w:lang w:val="en-US"/>
              </w:rPr>
            </w:pPr>
            <w:r w:rsidRPr="009D3012">
              <w:rPr>
                <w:szCs w:val="22"/>
                <w:lang w:val="en-US"/>
              </w:rPr>
              <w:t xml:space="preserve">Pass bend and/or rebend test according to </w:t>
            </w:r>
            <w:r w:rsidR="008D32E2" w:rsidRPr="001455DC">
              <w:rPr>
                <w:szCs w:val="22"/>
                <w:lang w:val="en-US"/>
              </w:rPr>
              <w:t>prEN 10370</w:t>
            </w:r>
            <w:r w:rsidRPr="009D3012">
              <w:rPr>
                <w:szCs w:val="22"/>
                <w:lang w:val="en-US"/>
              </w:rPr>
              <w:t>. For rebending of reinforcing stainless steel on site see requirements in EN 13670.</w:t>
            </w:r>
          </w:p>
        </w:tc>
      </w:tr>
    </w:tbl>
    <w:p w14:paraId="618E996F" w14:textId="77777777" w:rsidR="004E22C1" w:rsidRPr="001455DC" w:rsidRDefault="004E22C1" w:rsidP="00822F09">
      <w:pPr>
        <w:pStyle w:val="a7"/>
      </w:pPr>
    </w:p>
    <w:p w14:paraId="36A12791" w14:textId="61F360F0" w:rsidR="004E22C1" w:rsidRPr="001455DC" w:rsidRDefault="004E22C1" w:rsidP="00082680">
      <w:pPr>
        <w:pStyle w:val="a2"/>
      </w:pPr>
      <w:bookmarkStart w:id="1378" w:name="_Toc52820142"/>
      <w:bookmarkStart w:id="1379" w:name="_Toc54337144"/>
      <w:bookmarkStart w:id="1380" w:name="_Toc54337551"/>
      <w:bookmarkStart w:id="1381" w:name="_Toc54338197"/>
      <w:bookmarkStart w:id="1382" w:name="_Toc67565533"/>
      <w:r w:rsidRPr="001455DC">
        <w:t>Prestressing steel</w:t>
      </w:r>
      <w:bookmarkEnd w:id="1378"/>
      <w:bookmarkEnd w:id="1379"/>
      <w:bookmarkEnd w:id="1380"/>
      <w:bookmarkEnd w:id="1381"/>
      <w:bookmarkEnd w:id="1382"/>
    </w:p>
    <w:p w14:paraId="5F77C342" w14:textId="62557199" w:rsidR="004E22C1" w:rsidRPr="001455DC" w:rsidRDefault="004E22C1" w:rsidP="00F72049">
      <w:pPr>
        <w:pStyle w:val="a7"/>
      </w:pPr>
      <w:r w:rsidRPr="001455DC">
        <w:rPr>
          <w:rFonts w:eastAsiaTheme="minorHAnsi"/>
        </w:rPr>
        <w:t>(1)</w:t>
      </w:r>
      <w:r w:rsidRPr="001455DC">
        <w:rPr>
          <w:rFonts w:eastAsiaTheme="minorHAnsi"/>
        </w:rPr>
        <w:tab/>
      </w:r>
      <w:r w:rsidRPr="001455DC">
        <w:t>In the design Prestressing steel classes are be used. Prestressing steel products fulfilling the following requirements may be classified in strength classes Y as in Tables C.</w:t>
      </w:r>
      <w:r w:rsidR="007A25B5" w:rsidRPr="001455DC">
        <w:t>3</w:t>
      </w:r>
      <w:r w:rsidRPr="001455DC">
        <w:t xml:space="preserve"> to C.</w:t>
      </w:r>
      <w:r w:rsidR="007A25B5" w:rsidRPr="001455DC">
        <w:t>5</w:t>
      </w:r>
      <w:r w:rsidRPr="001455DC">
        <w:t>.</w:t>
      </w:r>
    </w:p>
    <w:p w14:paraId="108AB629" w14:textId="58526CDC" w:rsidR="004E22C1" w:rsidRPr="001455DC" w:rsidRDefault="004E22C1" w:rsidP="00F72049">
      <w:pPr>
        <w:pStyle w:val="Note"/>
      </w:pPr>
      <w:r w:rsidRPr="001455DC">
        <w:rPr>
          <w:bCs/>
        </w:rPr>
        <w:t>NOTE</w:t>
      </w:r>
      <w:r w:rsidRPr="001455DC">
        <w:rPr>
          <w:bCs/>
        </w:rPr>
        <w:tab/>
      </w:r>
      <w:r w:rsidR="000D2A45" w:rsidRPr="001455DC">
        <w:t>prEN 10138 (all parts)</w:t>
      </w:r>
      <w:r w:rsidRPr="001455DC">
        <w:t xml:space="preserve"> refers to the characteristic, minimum and maximum values of proof force based on the long-term quality level of production. In contrast </w:t>
      </w:r>
      <w:r w:rsidRPr="001455DC">
        <w:rPr>
          <w:rStyle w:val="CCMCvariableitalic"/>
        </w:rPr>
        <w:t>f</w:t>
      </w:r>
      <w:r w:rsidRPr="001455DC">
        <w:rPr>
          <w:rStyle w:val="CCMCvariablesubscript"/>
        </w:rPr>
        <w:t>p0,1k</w:t>
      </w:r>
      <w:r w:rsidRPr="001455DC">
        <w:t xml:space="preserve"> and </w:t>
      </w:r>
      <w:r w:rsidRPr="001455DC">
        <w:rPr>
          <w:rStyle w:val="CCMCvariableitalic"/>
        </w:rPr>
        <w:t>f</w:t>
      </w:r>
      <w:r w:rsidRPr="001455DC">
        <w:rPr>
          <w:rStyle w:val="CCMCvariablesubscript"/>
        </w:rPr>
        <w:t>pk</w:t>
      </w:r>
      <w:r w:rsidRPr="001455DC">
        <w:t xml:space="preserve"> are the characteristic proof stress and tensile strength based on only that prestressing steel required for the structure. There is no direct relationship between the two sets of values. However, based on the methods for evaluation and verification </w:t>
      </w:r>
      <w:r w:rsidR="00302272">
        <w:t>the characteristic values for 0,</w:t>
      </w:r>
      <w:r w:rsidRPr="001455DC">
        <w:t>1 % proof force divided by the cross</w:t>
      </w:r>
      <w:r w:rsidR="00B10711" w:rsidRPr="001455DC">
        <w:t xml:space="preserve"> </w:t>
      </w:r>
      <w:r w:rsidRPr="001455DC">
        <w:t xml:space="preserve">section area </w:t>
      </w:r>
      <w:r w:rsidRPr="001455DC">
        <w:rPr>
          <w:rStyle w:val="CCMCvariableitalic"/>
        </w:rPr>
        <w:t>S</w:t>
      </w:r>
      <w:r w:rsidRPr="001455DC">
        <w:rPr>
          <w:rStyle w:val="CCMCvariablesubscript"/>
        </w:rPr>
        <w:t>n</w:t>
      </w:r>
      <w:r w:rsidRPr="001455DC">
        <w:t xml:space="preserve">, given in </w:t>
      </w:r>
      <w:r w:rsidR="000D2A45" w:rsidRPr="001455DC">
        <w:t>pr</w:t>
      </w:r>
      <w:r w:rsidRPr="001455DC">
        <w:t>EN 10138</w:t>
      </w:r>
      <w:r w:rsidR="000D2A45" w:rsidRPr="001455DC">
        <w:t xml:space="preserve"> (all parts)</w:t>
      </w:r>
      <w:r w:rsidRPr="001455DC">
        <w:t xml:space="preserve"> may be taken as </w:t>
      </w:r>
      <w:r w:rsidRPr="001455DC">
        <w:rPr>
          <w:rStyle w:val="CCMCvariableitalic"/>
        </w:rPr>
        <w:t>f</w:t>
      </w:r>
      <w:r w:rsidRPr="001455DC">
        <w:rPr>
          <w:rStyle w:val="CCMCvariablesubscript"/>
        </w:rPr>
        <w:t>p0,1k</w:t>
      </w:r>
      <w:r w:rsidRPr="001455DC">
        <w:t>.</w:t>
      </w:r>
    </w:p>
    <w:p w14:paraId="347B0E0C" w14:textId="77777777" w:rsidR="004E22C1" w:rsidRPr="001455DC" w:rsidRDefault="004E22C1" w:rsidP="00F72049">
      <w:pPr>
        <w:pStyle w:val="a7"/>
      </w:pPr>
      <w:r w:rsidRPr="001455DC">
        <w:rPr>
          <w:szCs w:val="22"/>
        </w:rPr>
        <w:t>(2)</w:t>
      </w:r>
      <w:r w:rsidRPr="001455DC">
        <w:rPr>
          <w:szCs w:val="22"/>
        </w:rPr>
        <w:tab/>
      </w:r>
      <w:r w:rsidRPr="001455DC">
        <w:t>Each consignment of prestressing steel shall be accompanied by a certificate containing all the information necessary for its identification in accordance with 5.3.2(1).</w:t>
      </w:r>
    </w:p>
    <w:p w14:paraId="6FD6C350" w14:textId="43467C5D" w:rsidR="004E22C1" w:rsidRPr="001455DC" w:rsidRDefault="004E22C1" w:rsidP="00F72049">
      <w:pPr>
        <w:pStyle w:val="Tabletitle"/>
        <w:rPr>
          <w:snapToGrid w:val="0"/>
        </w:rPr>
      </w:pPr>
      <w:bookmarkStart w:id="1383" w:name="_Toc54337552"/>
      <w:r w:rsidRPr="001455DC">
        <w:rPr>
          <w:snapToGrid w:val="0"/>
        </w:rPr>
        <w:t>Table C.</w:t>
      </w:r>
      <w:r w:rsidR="007A25B5" w:rsidRPr="001455DC">
        <w:rPr>
          <w:snapToGrid w:val="0"/>
        </w:rPr>
        <w:t>3 </w:t>
      </w:r>
      <w:r w:rsidRPr="001455DC">
        <w:rPr>
          <w:snapToGrid w:val="0"/>
        </w:rPr>
        <w:t>— Strength, fatigue, ductility and relaxation properties of prestressing wires</w:t>
      </w:r>
      <w:r w:rsidRPr="001455DC">
        <w:t xml:space="preserve"> according to </w:t>
      </w:r>
      <w:bookmarkEnd w:id="1383"/>
      <w:r w:rsidR="000D2A45" w:rsidRPr="001455DC">
        <w:t>prEN 10138 (all parts)</w:t>
      </w:r>
    </w:p>
    <w:tbl>
      <w:tblPr>
        <w:tblStyle w:val="53"/>
        <w:tblW w:w="9752" w:type="dxa"/>
        <w:tblLayout w:type="fixed"/>
        <w:tblLook w:val="0660" w:firstRow="1" w:lastRow="1" w:firstColumn="0" w:lastColumn="0" w:noHBand="1" w:noVBand="1"/>
      </w:tblPr>
      <w:tblGrid>
        <w:gridCol w:w="1458"/>
        <w:gridCol w:w="4051"/>
        <w:gridCol w:w="1150"/>
        <w:gridCol w:w="1137"/>
        <w:gridCol w:w="976"/>
        <w:gridCol w:w="980"/>
      </w:tblGrid>
      <w:tr w:rsidR="00822F09" w:rsidRPr="001455DC" w14:paraId="03C463BC" w14:textId="77777777" w:rsidTr="00822F09">
        <w:trPr>
          <w:cnfStyle w:val="100000000000" w:firstRow="1" w:lastRow="0" w:firstColumn="0" w:lastColumn="0" w:oddVBand="0" w:evenVBand="0" w:oddHBand="0" w:evenHBand="0" w:firstRowFirstColumn="0" w:firstRowLastColumn="0" w:lastRowFirstColumn="0" w:lastRowLastColumn="0"/>
          <w:cantSplit/>
          <w:tblHeader/>
        </w:trPr>
        <w:tc>
          <w:tcPr>
            <w:tcW w:w="5509" w:type="dxa"/>
            <w:gridSpan w:val="2"/>
            <w:vMerge w:val="restart"/>
          </w:tcPr>
          <w:p w14:paraId="1D0FD5EA" w14:textId="58D4E698" w:rsidR="00822F09" w:rsidRPr="001455DC" w:rsidRDefault="00822F09" w:rsidP="00822F09">
            <w:pPr>
              <w:pStyle w:val="Tableheader"/>
              <w:keepNext/>
            </w:pPr>
            <w:r w:rsidRPr="001455DC">
              <w:t>Property</w:t>
            </w:r>
          </w:p>
        </w:tc>
        <w:tc>
          <w:tcPr>
            <w:tcW w:w="4243" w:type="dxa"/>
            <w:gridSpan w:val="4"/>
          </w:tcPr>
          <w:p w14:paraId="038E439C" w14:textId="77777777" w:rsidR="00822F09" w:rsidRPr="001455DC" w:rsidRDefault="00822F09" w:rsidP="00822F09">
            <w:pPr>
              <w:pStyle w:val="Tableheader"/>
              <w:keepNext/>
            </w:pPr>
            <w:r w:rsidRPr="001455DC">
              <w:t>Wires — strength class</w:t>
            </w:r>
          </w:p>
        </w:tc>
      </w:tr>
      <w:tr w:rsidR="00822F09" w:rsidRPr="001455DC" w14:paraId="680DD222" w14:textId="77777777" w:rsidTr="00822F09">
        <w:trPr>
          <w:cnfStyle w:val="100000000000" w:firstRow="1" w:lastRow="0" w:firstColumn="0" w:lastColumn="0" w:oddVBand="0" w:evenVBand="0" w:oddHBand="0" w:evenHBand="0" w:firstRowFirstColumn="0" w:firstRowLastColumn="0" w:lastRowFirstColumn="0" w:lastRowLastColumn="0"/>
          <w:cantSplit/>
          <w:tblHeader/>
        </w:trPr>
        <w:tc>
          <w:tcPr>
            <w:tcW w:w="5509" w:type="dxa"/>
            <w:gridSpan w:val="2"/>
            <w:vMerge/>
          </w:tcPr>
          <w:p w14:paraId="5846C888" w14:textId="77777777" w:rsidR="00822F09" w:rsidRPr="001455DC" w:rsidRDefault="00822F09" w:rsidP="00822F09">
            <w:pPr>
              <w:pStyle w:val="Tableheader"/>
              <w:keepNext/>
            </w:pPr>
          </w:p>
        </w:tc>
        <w:tc>
          <w:tcPr>
            <w:tcW w:w="1150" w:type="dxa"/>
          </w:tcPr>
          <w:p w14:paraId="2E87FF45" w14:textId="77777777" w:rsidR="00822F09" w:rsidRPr="001455DC" w:rsidRDefault="00822F09" w:rsidP="00822F09">
            <w:pPr>
              <w:pStyle w:val="Tableheader"/>
              <w:keepNext/>
            </w:pPr>
            <w:r w:rsidRPr="001455DC">
              <w:t>Y1570</w:t>
            </w:r>
          </w:p>
        </w:tc>
        <w:tc>
          <w:tcPr>
            <w:tcW w:w="1137" w:type="dxa"/>
          </w:tcPr>
          <w:p w14:paraId="3258C931" w14:textId="77777777" w:rsidR="00822F09" w:rsidRPr="001455DC" w:rsidRDefault="00822F09" w:rsidP="00822F09">
            <w:pPr>
              <w:pStyle w:val="Tableheader"/>
              <w:keepNext/>
            </w:pPr>
            <w:r w:rsidRPr="001455DC">
              <w:t>Y1670</w:t>
            </w:r>
          </w:p>
        </w:tc>
        <w:tc>
          <w:tcPr>
            <w:tcW w:w="976" w:type="dxa"/>
          </w:tcPr>
          <w:p w14:paraId="132B2F73" w14:textId="77777777" w:rsidR="00822F09" w:rsidRPr="001455DC" w:rsidRDefault="00822F09" w:rsidP="00822F09">
            <w:pPr>
              <w:pStyle w:val="Tableheader"/>
              <w:keepNext/>
            </w:pPr>
            <w:r w:rsidRPr="001455DC">
              <w:t>Y1770</w:t>
            </w:r>
          </w:p>
        </w:tc>
        <w:tc>
          <w:tcPr>
            <w:tcW w:w="980" w:type="dxa"/>
          </w:tcPr>
          <w:p w14:paraId="7AC80FA9" w14:textId="77777777" w:rsidR="00822F09" w:rsidRPr="001455DC" w:rsidRDefault="00822F09" w:rsidP="00822F09">
            <w:pPr>
              <w:pStyle w:val="Tableheader"/>
              <w:keepNext/>
            </w:pPr>
            <w:r w:rsidRPr="001455DC">
              <w:t>Y1860</w:t>
            </w:r>
          </w:p>
        </w:tc>
      </w:tr>
      <w:tr w:rsidR="004E22C1" w:rsidRPr="001455DC" w14:paraId="135D7546" w14:textId="77777777" w:rsidTr="00822F09">
        <w:trPr>
          <w:cantSplit/>
        </w:trPr>
        <w:tc>
          <w:tcPr>
            <w:tcW w:w="1458" w:type="dxa"/>
            <w:vMerge w:val="restart"/>
            <w:vAlign w:val="center"/>
          </w:tcPr>
          <w:p w14:paraId="75435969" w14:textId="77777777" w:rsidR="004E22C1" w:rsidRPr="001455DC" w:rsidRDefault="004E22C1" w:rsidP="00822F09">
            <w:pPr>
              <w:pStyle w:val="Tablebody"/>
              <w:keepNext/>
              <w:jc w:val="left"/>
              <w:rPr>
                <w:b/>
                <w:bCs/>
                <w:szCs w:val="22"/>
              </w:rPr>
            </w:pPr>
            <w:r w:rsidRPr="001455DC">
              <w:rPr>
                <w:b/>
                <w:bCs/>
                <w:szCs w:val="22"/>
              </w:rPr>
              <w:t>Strength</w:t>
            </w:r>
          </w:p>
        </w:tc>
        <w:tc>
          <w:tcPr>
            <w:tcW w:w="4051" w:type="dxa"/>
            <w:vAlign w:val="center"/>
          </w:tcPr>
          <w:p w14:paraId="33CA0309" w14:textId="3530707A" w:rsidR="004E22C1" w:rsidRPr="009D3012" w:rsidRDefault="004E22C1" w:rsidP="00822F09">
            <w:pPr>
              <w:pStyle w:val="Tablebody"/>
              <w:keepNext/>
              <w:jc w:val="left"/>
              <w:rPr>
                <w:szCs w:val="22"/>
                <w:lang w:val="en-US"/>
              </w:rPr>
            </w:pPr>
            <w:r w:rsidRPr="009D3012">
              <w:rPr>
                <w:szCs w:val="22"/>
                <w:lang w:val="en-US"/>
              </w:rPr>
              <w:t xml:space="preserve">Characteristic yield strength </w:t>
            </w:r>
            <w:r w:rsidRPr="009D3012">
              <w:rPr>
                <w:rStyle w:val="CCMCvariableitalic"/>
                <w:szCs w:val="22"/>
                <w:lang w:val="en-US"/>
              </w:rPr>
              <w:t>R</w:t>
            </w:r>
            <w:r w:rsidRPr="009D3012">
              <w:rPr>
                <w:rStyle w:val="CCMCvariablesubscript"/>
                <w:szCs w:val="22"/>
                <w:lang w:val="en-US"/>
              </w:rPr>
              <w:t>p0,1k</w:t>
            </w:r>
            <w:r w:rsidRPr="009D3012">
              <w:rPr>
                <w:szCs w:val="22"/>
                <w:lang w:val="en-US"/>
              </w:rPr>
              <w:t xml:space="preserve"> [MPa], 5 % quantile</w:t>
            </w:r>
          </w:p>
        </w:tc>
        <w:tc>
          <w:tcPr>
            <w:tcW w:w="1150" w:type="dxa"/>
            <w:vAlign w:val="center"/>
          </w:tcPr>
          <w:p w14:paraId="67E34DB4" w14:textId="30452ED1" w:rsidR="004E22C1" w:rsidRPr="001455DC" w:rsidRDefault="00650035" w:rsidP="00822F09">
            <w:pPr>
              <w:pStyle w:val="Tablebody"/>
              <w:keepNext/>
              <w:jc w:val="center"/>
              <w:rPr>
                <w:szCs w:val="22"/>
              </w:rPr>
            </w:pPr>
            <w:r w:rsidRPr="001455DC">
              <w:rPr>
                <w:rFonts w:ascii="Cambria Math" w:hAnsi="Cambria Math"/>
                <w:szCs w:val="22"/>
              </w:rPr>
              <w:t>≥</w:t>
            </w:r>
            <w:r w:rsidR="00073FC6" w:rsidRPr="001455DC">
              <w:rPr>
                <w:szCs w:val="22"/>
              </w:rPr>
              <w:t> </w:t>
            </w:r>
            <w:r w:rsidR="004E22C1" w:rsidRPr="001455DC">
              <w:rPr>
                <w:szCs w:val="22"/>
              </w:rPr>
              <w:t>1380</w:t>
            </w:r>
          </w:p>
        </w:tc>
        <w:tc>
          <w:tcPr>
            <w:tcW w:w="1137" w:type="dxa"/>
            <w:vAlign w:val="center"/>
          </w:tcPr>
          <w:p w14:paraId="1628DFA4" w14:textId="50E53025" w:rsidR="004E22C1" w:rsidRPr="001455DC" w:rsidRDefault="00650035" w:rsidP="00822F09">
            <w:pPr>
              <w:pStyle w:val="Tablebody"/>
              <w:keepNext/>
              <w:jc w:val="center"/>
              <w:rPr>
                <w:szCs w:val="22"/>
              </w:rPr>
            </w:pPr>
            <w:r w:rsidRPr="001455DC">
              <w:rPr>
                <w:rFonts w:ascii="Cambria Math" w:hAnsi="Cambria Math"/>
                <w:szCs w:val="22"/>
              </w:rPr>
              <w:t>≥</w:t>
            </w:r>
            <w:r w:rsidR="00073FC6" w:rsidRPr="001455DC">
              <w:rPr>
                <w:szCs w:val="22"/>
              </w:rPr>
              <w:t> </w:t>
            </w:r>
            <w:r w:rsidR="004E22C1" w:rsidRPr="001455DC">
              <w:rPr>
                <w:szCs w:val="22"/>
              </w:rPr>
              <w:t>1470</w:t>
            </w:r>
          </w:p>
        </w:tc>
        <w:tc>
          <w:tcPr>
            <w:tcW w:w="976" w:type="dxa"/>
            <w:vAlign w:val="center"/>
          </w:tcPr>
          <w:p w14:paraId="3918439C" w14:textId="36C4BEB2" w:rsidR="004E22C1" w:rsidRPr="001455DC" w:rsidRDefault="00650035" w:rsidP="00822F09">
            <w:pPr>
              <w:pStyle w:val="Tablebody"/>
              <w:keepNext/>
              <w:jc w:val="center"/>
              <w:rPr>
                <w:szCs w:val="22"/>
              </w:rPr>
            </w:pPr>
            <w:r w:rsidRPr="001455DC">
              <w:rPr>
                <w:rFonts w:ascii="Cambria Math" w:hAnsi="Cambria Math"/>
                <w:szCs w:val="22"/>
              </w:rPr>
              <w:t>≥</w:t>
            </w:r>
            <w:r w:rsidR="00073FC6" w:rsidRPr="001455DC">
              <w:rPr>
                <w:szCs w:val="22"/>
              </w:rPr>
              <w:t> </w:t>
            </w:r>
            <w:r w:rsidR="004E22C1" w:rsidRPr="001455DC">
              <w:rPr>
                <w:szCs w:val="22"/>
              </w:rPr>
              <w:t>1550</w:t>
            </w:r>
          </w:p>
        </w:tc>
        <w:tc>
          <w:tcPr>
            <w:tcW w:w="980" w:type="dxa"/>
            <w:vAlign w:val="center"/>
          </w:tcPr>
          <w:p w14:paraId="72E697E1" w14:textId="58E2A540" w:rsidR="004E22C1" w:rsidRPr="001455DC" w:rsidRDefault="00650035" w:rsidP="00822F09">
            <w:pPr>
              <w:pStyle w:val="Tablebody"/>
              <w:keepNext/>
              <w:jc w:val="center"/>
              <w:rPr>
                <w:szCs w:val="22"/>
              </w:rPr>
            </w:pPr>
            <w:r w:rsidRPr="001455DC">
              <w:rPr>
                <w:rFonts w:ascii="Cambria Math" w:hAnsi="Cambria Math"/>
                <w:szCs w:val="22"/>
              </w:rPr>
              <w:t>≥</w:t>
            </w:r>
            <w:r w:rsidR="00073FC6" w:rsidRPr="001455DC">
              <w:rPr>
                <w:szCs w:val="22"/>
              </w:rPr>
              <w:t> </w:t>
            </w:r>
            <w:r w:rsidR="004E22C1" w:rsidRPr="001455DC">
              <w:rPr>
                <w:szCs w:val="22"/>
              </w:rPr>
              <w:t>1650</w:t>
            </w:r>
          </w:p>
        </w:tc>
      </w:tr>
      <w:tr w:rsidR="004E22C1" w:rsidRPr="001455DC" w14:paraId="414ADCC8" w14:textId="77777777" w:rsidTr="00822F09">
        <w:trPr>
          <w:cantSplit/>
        </w:trPr>
        <w:tc>
          <w:tcPr>
            <w:tcW w:w="1458" w:type="dxa"/>
            <w:vMerge/>
            <w:vAlign w:val="center"/>
          </w:tcPr>
          <w:p w14:paraId="0368AC84" w14:textId="77777777" w:rsidR="004E22C1" w:rsidRPr="001455DC" w:rsidRDefault="004E22C1" w:rsidP="00822F09">
            <w:pPr>
              <w:pStyle w:val="Tablebody"/>
              <w:keepNext/>
              <w:jc w:val="left"/>
              <w:rPr>
                <w:b/>
                <w:bCs/>
                <w:szCs w:val="22"/>
              </w:rPr>
            </w:pPr>
          </w:p>
        </w:tc>
        <w:tc>
          <w:tcPr>
            <w:tcW w:w="4051" w:type="dxa"/>
            <w:vAlign w:val="center"/>
          </w:tcPr>
          <w:p w14:paraId="61AEEC43" w14:textId="27E75A6F" w:rsidR="004E22C1" w:rsidRPr="009D3012" w:rsidRDefault="004E22C1" w:rsidP="00822F09">
            <w:pPr>
              <w:pStyle w:val="Tablebody"/>
              <w:keepNext/>
              <w:jc w:val="left"/>
              <w:rPr>
                <w:szCs w:val="22"/>
                <w:lang w:val="en-US"/>
              </w:rPr>
            </w:pPr>
            <w:r w:rsidRPr="009D3012">
              <w:rPr>
                <w:szCs w:val="22"/>
                <w:lang w:val="en-US"/>
              </w:rPr>
              <w:t xml:space="preserve">Characteristic tensile strength </w:t>
            </w:r>
            <w:r w:rsidRPr="009D3012">
              <w:rPr>
                <w:rStyle w:val="CCMCvariableitalic"/>
                <w:szCs w:val="22"/>
                <w:lang w:val="en-US"/>
              </w:rPr>
              <w:t>R</w:t>
            </w:r>
            <w:r w:rsidRPr="009D3012">
              <w:rPr>
                <w:rStyle w:val="CCMCvariablesubscript"/>
                <w:szCs w:val="22"/>
                <w:lang w:val="en-US"/>
              </w:rPr>
              <w:t>pk</w:t>
            </w:r>
            <w:r w:rsidRPr="009D3012">
              <w:rPr>
                <w:szCs w:val="22"/>
                <w:lang w:val="en-US"/>
              </w:rPr>
              <w:t xml:space="preserve"> [MPa], 5 % quantile</w:t>
            </w:r>
          </w:p>
        </w:tc>
        <w:tc>
          <w:tcPr>
            <w:tcW w:w="1150" w:type="dxa"/>
            <w:vAlign w:val="center"/>
          </w:tcPr>
          <w:p w14:paraId="0EAABBE8" w14:textId="01292DDE" w:rsidR="004E22C1" w:rsidRPr="001455DC" w:rsidRDefault="00650035" w:rsidP="00822F09">
            <w:pPr>
              <w:pStyle w:val="Tablebody"/>
              <w:keepNext/>
              <w:jc w:val="center"/>
              <w:rPr>
                <w:szCs w:val="22"/>
              </w:rPr>
            </w:pPr>
            <w:r w:rsidRPr="001455DC">
              <w:rPr>
                <w:rFonts w:ascii="Cambria Math" w:hAnsi="Cambria Math"/>
                <w:szCs w:val="22"/>
              </w:rPr>
              <w:t>≥</w:t>
            </w:r>
            <w:r w:rsidR="00073FC6" w:rsidRPr="001455DC">
              <w:rPr>
                <w:szCs w:val="22"/>
              </w:rPr>
              <w:t> </w:t>
            </w:r>
            <w:r w:rsidR="004E22C1" w:rsidRPr="001455DC">
              <w:rPr>
                <w:szCs w:val="22"/>
              </w:rPr>
              <w:t>1570</w:t>
            </w:r>
          </w:p>
        </w:tc>
        <w:tc>
          <w:tcPr>
            <w:tcW w:w="1137" w:type="dxa"/>
            <w:vAlign w:val="center"/>
          </w:tcPr>
          <w:p w14:paraId="46F76688" w14:textId="2D9B4766" w:rsidR="004E22C1" w:rsidRPr="001455DC" w:rsidRDefault="00650035" w:rsidP="00822F09">
            <w:pPr>
              <w:pStyle w:val="Tablebody"/>
              <w:keepNext/>
              <w:jc w:val="center"/>
              <w:rPr>
                <w:szCs w:val="22"/>
              </w:rPr>
            </w:pPr>
            <w:r w:rsidRPr="001455DC">
              <w:rPr>
                <w:rFonts w:ascii="Cambria Math" w:hAnsi="Cambria Math"/>
                <w:szCs w:val="22"/>
              </w:rPr>
              <w:t>≥</w:t>
            </w:r>
            <w:r w:rsidR="00073FC6" w:rsidRPr="001455DC">
              <w:rPr>
                <w:szCs w:val="22"/>
              </w:rPr>
              <w:t> </w:t>
            </w:r>
            <w:r w:rsidR="004E22C1" w:rsidRPr="001455DC">
              <w:rPr>
                <w:szCs w:val="22"/>
              </w:rPr>
              <w:t>1670</w:t>
            </w:r>
          </w:p>
        </w:tc>
        <w:tc>
          <w:tcPr>
            <w:tcW w:w="976" w:type="dxa"/>
            <w:vAlign w:val="center"/>
          </w:tcPr>
          <w:p w14:paraId="1C25528A" w14:textId="09AB8FC1" w:rsidR="004E22C1" w:rsidRPr="001455DC" w:rsidRDefault="00650035" w:rsidP="00822F09">
            <w:pPr>
              <w:pStyle w:val="Tablebody"/>
              <w:keepNext/>
              <w:jc w:val="center"/>
              <w:rPr>
                <w:szCs w:val="22"/>
              </w:rPr>
            </w:pPr>
            <w:r w:rsidRPr="001455DC">
              <w:rPr>
                <w:rFonts w:ascii="Cambria Math" w:hAnsi="Cambria Math"/>
                <w:szCs w:val="22"/>
              </w:rPr>
              <w:t>≥</w:t>
            </w:r>
            <w:r w:rsidR="00073FC6" w:rsidRPr="001455DC">
              <w:rPr>
                <w:szCs w:val="22"/>
              </w:rPr>
              <w:t> </w:t>
            </w:r>
            <w:r w:rsidR="004E22C1" w:rsidRPr="001455DC">
              <w:rPr>
                <w:szCs w:val="22"/>
              </w:rPr>
              <w:t>1770</w:t>
            </w:r>
          </w:p>
        </w:tc>
        <w:tc>
          <w:tcPr>
            <w:tcW w:w="980" w:type="dxa"/>
            <w:vAlign w:val="center"/>
          </w:tcPr>
          <w:p w14:paraId="5EDC3785" w14:textId="19DA48BE" w:rsidR="004E22C1" w:rsidRPr="001455DC" w:rsidRDefault="00650035" w:rsidP="00822F09">
            <w:pPr>
              <w:pStyle w:val="Tablebody"/>
              <w:keepNext/>
              <w:jc w:val="center"/>
              <w:rPr>
                <w:szCs w:val="22"/>
              </w:rPr>
            </w:pPr>
            <w:r w:rsidRPr="001455DC">
              <w:rPr>
                <w:rFonts w:ascii="Cambria Math" w:hAnsi="Cambria Math"/>
                <w:szCs w:val="22"/>
              </w:rPr>
              <w:t>≥</w:t>
            </w:r>
            <w:r w:rsidR="00073FC6" w:rsidRPr="001455DC">
              <w:rPr>
                <w:szCs w:val="22"/>
              </w:rPr>
              <w:t> </w:t>
            </w:r>
            <w:r w:rsidR="004E22C1" w:rsidRPr="001455DC">
              <w:rPr>
                <w:szCs w:val="22"/>
              </w:rPr>
              <w:t>1860</w:t>
            </w:r>
          </w:p>
        </w:tc>
      </w:tr>
      <w:tr w:rsidR="004E22C1" w:rsidRPr="001455DC" w14:paraId="3015E0FA" w14:textId="77777777" w:rsidTr="00822F09">
        <w:trPr>
          <w:cantSplit/>
        </w:trPr>
        <w:tc>
          <w:tcPr>
            <w:tcW w:w="1458" w:type="dxa"/>
            <w:vMerge/>
            <w:vAlign w:val="center"/>
          </w:tcPr>
          <w:p w14:paraId="7004BAF9" w14:textId="77777777" w:rsidR="004E22C1" w:rsidRPr="001455DC" w:rsidRDefault="004E22C1" w:rsidP="00822F09">
            <w:pPr>
              <w:pStyle w:val="Tablebody"/>
              <w:keepNext/>
              <w:jc w:val="left"/>
              <w:rPr>
                <w:b/>
                <w:bCs/>
                <w:szCs w:val="22"/>
              </w:rPr>
            </w:pPr>
          </w:p>
        </w:tc>
        <w:tc>
          <w:tcPr>
            <w:tcW w:w="4051" w:type="dxa"/>
            <w:vAlign w:val="center"/>
          </w:tcPr>
          <w:p w14:paraId="0085C5E4" w14:textId="331F127E" w:rsidR="004E22C1" w:rsidRPr="009D3012" w:rsidRDefault="004E22C1" w:rsidP="00822F09">
            <w:pPr>
              <w:pStyle w:val="Tablebody"/>
              <w:keepNext/>
              <w:jc w:val="left"/>
              <w:rPr>
                <w:szCs w:val="22"/>
                <w:lang w:val="en-US"/>
              </w:rPr>
            </w:pPr>
            <w:r w:rsidRPr="009D3012">
              <w:rPr>
                <w:szCs w:val="22"/>
                <w:lang w:val="en-US"/>
              </w:rPr>
              <w:t>Value of actual tensile strength [MPa] for each individual test-specimen</w:t>
            </w:r>
          </w:p>
        </w:tc>
        <w:tc>
          <w:tcPr>
            <w:tcW w:w="1150" w:type="dxa"/>
            <w:vAlign w:val="center"/>
          </w:tcPr>
          <w:p w14:paraId="270570CE" w14:textId="485A719E" w:rsidR="004E22C1" w:rsidRPr="001455DC" w:rsidRDefault="00650035" w:rsidP="00822F09">
            <w:pPr>
              <w:pStyle w:val="Tablebody"/>
              <w:keepNext/>
              <w:jc w:val="center"/>
              <w:rPr>
                <w:szCs w:val="22"/>
              </w:rPr>
            </w:pPr>
            <w:r w:rsidRPr="001455DC">
              <w:rPr>
                <w:rFonts w:ascii="Cambria Math" w:hAnsi="Cambria Math"/>
                <w:szCs w:val="22"/>
              </w:rPr>
              <w:t>≤</w:t>
            </w:r>
            <w:r w:rsidR="004E22C1" w:rsidRPr="001455DC">
              <w:rPr>
                <w:szCs w:val="22"/>
              </w:rPr>
              <w:t> 1800</w:t>
            </w:r>
          </w:p>
        </w:tc>
        <w:tc>
          <w:tcPr>
            <w:tcW w:w="1137" w:type="dxa"/>
            <w:vAlign w:val="center"/>
          </w:tcPr>
          <w:p w14:paraId="16C5526D" w14:textId="4798310A" w:rsidR="004E22C1" w:rsidRPr="001455DC" w:rsidRDefault="00650035" w:rsidP="00822F09">
            <w:pPr>
              <w:pStyle w:val="Tablebody"/>
              <w:keepNext/>
              <w:jc w:val="center"/>
              <w:rPr>
                <w:szCs w:val="22"/>
              </w:rPr>
            </w:pPr>
            <w:r w:rsidRPr="001455DC">
              <w:rPr>
                <w:rFonts w:ascii="Cambria Math" w:hAnsi="Cambria Math"/>
                <w:szCs w:val="22"/>
              </w:rPr>
              <w:t>≤</w:t>
            </w:r>
            <w:r w:rsidR="004E22C1" w:rsidRPr="001455DC">
              <w:rPr>
                <w:szCs w:val="22"/>
              </w:rPr>
              <w:t> 1920</w:t>
            </w:r>
          </w:p>
        </w:tc>
        <w:tc>
          <w:tcPr>
            <w:tcW w:w="976" w:type="dxa"/>
            <w:vAlign w:val="center"/>
          </w:tcPr>
          <w:p w14:paraId="2AF7D86F" w14:textId="30651695" w:rsidR="004E22C1" w:rsidRPr="001455DC" w:rsidRDefault="00650035" w:rsidP="00822F09">
            <w:pPr>
              <w:pStyle w:val="Tablebody"/>
              <w:keepNext/>
              <w:jc w:val="center"/>
              <w:rPr>
                <w:szCs w:val="22"/>
              </w:rPr>
            </w:pPr>
            <w:r w:rsidRPr="001455DC">
              <w:rPr>
                <w:rFonts w:ascii="Cambria Math" w:hAnsi="Cambria Math"/>
                <w:szCs w:val="22"/>
              </w:rPr>
              <w:t>≤</w:t>
            </w:r>
            <w:r w:rsidR="004E22C1" w:rsidRPr="001455DC">
              <w:rPr>
                <w:szCs w:val="22"/>
              </w:rPr>
              <w:t> 2030</w:t>
            </w:r>
          </w:p>
        </w:tc>
        <w:tc>
          <w:tcPr>
            <w:tcW w:w="980" w:type="dxa"/>
            <w:vAlign w:val="center"/>
          </w:tcPr>
          <w:p w14:paraId="0136D855" w14:textId="36C2C31E" w:rsidR="004E22C1" w:rsidRPr="001455DC" w:rsidRDefault="00650035" w:rsidP="00822F09">
            <w:pPr>
              <w:pStyle w:val="Tablebody"/>
              <w:keepNext/>
              <w:jc w:val="center"/>
              <w:rPr>
                <w:szCs w:val="22"/>
              </w:rPr>
            </w:pPr>
            <w:r w:rsidRPr="001455DC">
              <w:rPr>
                <w:rFonts w:ascii="Cambria Math" w:hAnsi="Cambria Math"/>
                <w:szCs w:val="22"/>
              </w:rPr>
              <w:t>≤</w:t>
            </w:r>
            <w:r w:rsidR="004E22C1" w:rsidRPr="001455DC">
              <w:rPr>
                <w:szCs w:val="22"/>
              </w:rPr>
              <w:t> 2140</w:t>
            </w:r>
          </w:p>
        </w:tc>
      </w:tr>
      <w:tr w:rsidR="004E22C1" w:rsidRPr="001455DC" w14:paraId="600D1DF6" w14:textId="77777777" w:rsidTr="00822F09">
        <w:trPr>
          <w:cantSplit/>
        </w:trPr>
        <w:tc>
          <w:tcPr>
            <w:tcW w:w="1458" w:type="dxa"/>
            <w:vAlign w:val="center"/>
          </w:tcPr>
          <w:p w14:paraId="52649978" w14:textId="7D4775E0" w:rsidR="004E22C1" w:rsidRPr="001455DC" w:rsidRDefault="004E22C1" w:rsidP="00822F09">
            <w:pPr>
              <w:pStyle w:val="Tablebody"/>
              <w:keepNext/>
              <w:jc w:val="left"/>
              <w:rPr>
                <w:b/>
                <w:bCs/>
                <w:szCs w:val="22"/>
              </w:rPr>
            </w:pPr>
            <w:r w:rsidRPr="001455DC">
              <w:rPr>
                <w:b/>
                <w:bCs/>
                <w:szCs w:val="22"/>
              </w:rPr>
              <w:t>Fatigue</w:t>
            </w:r>
            <w:r w:rsidR="007A25B5" w:rsidRPr="001455DC">
              <w:rPr>
                <w:rStyle w:val="CCMCvariablesuperscript"/>
                <w:szCs w:val="22"/>
              </w:rPr>
              <w:t>a</w:t>
            </w:r>
          </w:p>
        </w:tc>
        <w:tc>
          <w:tcPr>
            <w:tcW w:w="4051" w:type="dxa"/>
            <w:vAlign w:val="center"/>
          </w:tcPr>
          <w:p w14:paraId="78607897" w14:textId="4454FF93" w:rsidR="004E22C1" w:rsidRPr="009D3012" w:rsidRDefault="004E22C1" w:rsidP="00822F09">
            <w:pPr>
              <w:pStyle w:val="Tablebody"/>
              <w:keepNext/>
              <w:jc w:val="left"/>
              <w:rPr>
                <w:szCs w:val="22"/>
                <w:lang w:val="en-US"/>
              </w:rPr>
            </w:pPr>
            <w:r w:rsidRPr="009D3012">
              <w:rPr>
                <w:szCs w:val="22"/>
                <w:lang w:val="en-US"/>
              </w:rPr>
              <w:t xml:space="preserve">Fatigue stress range in testing [MPa] for </w:t>
            </w:r>
            <w:r w:rsidRPr="009D3012">
              <w:rPr>
                <w:rStyle w:val="CCMCvariableitalic"/>
                <w:szCs w:val="22"/>
                <w:lang w:val="en-US"/>
              </w:rPr>
              <w:t>N</w:t>
            </w:r>
            <w:r w:rsidRPr="009D3012">
              <w:rPr>
                <w:szCs w:val="22"/>
                <w:lang w:val="en-US"/>
              </w:rPr>
              <w:t> </w:t>
            </w:r>
            <w:r w:rsidR="00650035" w:rsidRPr="009D3012">
              <w:rPr>
                <w:rFonts w:ascii="Cambria Math" w:hAnsi="Cambria Math"/>
                <w:szCs w:val="22"/>
                <w:lang w:val="en-US"/>
              </w:rPr>
              <w:t>≥</w:t>
            </w:r>
            <w:r w:rsidR="00073FC6" w:rsidRPr="009D3012">
              <w:rPr>
                <w:szCs w:val="22"/>
                <w:lang w:val="en-US"/>
              </w:rPr>
              <w:t> </w:t>
            </w:r>
            <w:r w:rsidRPr="009D3012">
              <w:rPr>
                <w:szCs w:val="22"/>
                <w:lang w:val="en-US"/>
              </w:rPr>
              <w:t>2</w:t>
            </w:r>
            <w:r w:rsidR="00822F09" w:rsidRPr="009D3012">
              <w:rPr>
                <w:szCs w:val="22"/>
                <w:lang w:val="en-US"/>
              </w:rPr>
              <w:t> </w:t>
            </w:r>
            <w:r w:rsidR="00822F09" w:rsidRPr="009D3012">
              <w:rPr>
                <w:rFonts w:ascii="Cambria Math" w:hAnsi="Cambria Math"/>
                <w:szCs w:val="22"/>
                <w:lang w:val="en-US"/>
              </w:rPr>
              <w:t>×</w:t>
            </w:r>
            <w:r w:rsidR="00822F09" w:rsidRPr="009D3012">
              <w:rPr>
                <w:szCs w:val="22"/>
                <w:lang w:val="en-US"/>
              </w:rPr>
              <w:t> </w:t>
            </w:r>
            <w:r w:rsidRPr="009D3012">
              <w:rPr>
                <w:szCs w:val="22"/>
                <w:lang w:val="en-US"/>
              </w:rPr>
              <w:t>10</w:t>
            </w:r>
            <w:r w:rsidRPr="009D3012">
              <w:rPr>
                <w:rStyle w:val="CCMCvariablesuperscript"/>
                <w:szCs w:val="22"/>
                <w:lang w:val="en-US"/>
              </w:rPr>
              <w:t>6</w:t>
            </w:r>
            <w:r w:rsidRPr="009D3012">
              <w:rPr>
                <w:szCs w:val="22"/>
                <w:lang w:val="en-US"/>
              </w:rPr>
              <w:t xml:space="preserve"> cycles with an upper limit of </w:t>
            </w:r>
            <w:r w:rsidRPr="009D3012">
              <w:rPr>
                <w:iCs/>
                <w:szCs w:val="22"/>
                <w:lang w:val="en-US"/>
              </w:rPr>
              <w:t>0,7</w:t>
            </w:r>
            <w:r w:rsidRPr="009D3012">
              <w:rPr>
                <w:szCs w:val="22"/>
                <w:lang w:val="en-US"/>
              </w:rPr>
              <w:t xml:space="preserve"> </w:t>
            </w:r>
            <w:r w:rsidRPr="009D3012">
              <w:rPr>
                <w:rStyle w:val="CCMCvariableitalic"/>
                <w:szCs w:val="22"/>
                <w:lang w:val="en-US"/>
              </w:rPr>
              <w:t>f</w:t>
            </w:r>
            <w:r w:rsidRPr="009D3012">
              <w:rPr>
                <w:rStyle w:val="CCMCvariablesubscript"/>
                <w:szCs w:val="22"/>
                <w:lang w:val="en-US"/>
              </w:rPr>
              <w:t>pk</w:t>
            </w:r>
            <w:r w:rsidRPr="009D3012">
              <w:rPr>
                <w:szCs w:val="22"/>
                <w:lang w:val="en-US"/>
              </w:rPr>
              <w:t xml:space="preserve"> (10 % quantile)</w:t>
            </w:r>
          </w:p>
        </w:tc>
        <w:tc>
          <w:tcPr>
            <w:tcW w:w="4243" w:type="dxa"/>
            <w:gridSpan w:val="4"/>
            <w:vAlign w:val="center"/>
          </w:tcPr>
          <w:p w14:paraId="27FF3D8E" w14:textId="77777777" w:rsidR="004E22C1" w:rsidRPr="009D3012" w:rsidRDefault="004E22C1" w:rsidP="00822F09">
            <w:pPr>
              <w:pStyle w:val="Tablebody"/>
              <w:keepNext/>
              <w:jc w:val="center"/>
              <w:rPr>
                <w:szCs w:val="22"/>
                <w:lang w:val="en-US"/>
              </w:rPr>
            </w:pPr>
            <w:r w:rsidRPr="009D3012">
              <w:rPr>
                <w:szCs w:val="22"/>
                <w:lang w:val="en-US"/>
              </w:rPr>
              <w:t>200 for plain wire</w:t>
            </w:r>
          </w:p>
          <w:p w14:paraId="05E93E71" w14:textId="77777777" w:rsidR="004E22C1" w:rsidRPr="009D3012" w:rsidRDefault="004E22C1" w:rsidP="00822F09">
            <w:pPr>
              <w:pStyle w:val="Tablebody"/>
              <w:keepNext/>
              <w:jc w:val="center"/>
              <w:rPr>
                <w:szCs w:val="22"/>
                <w:lang w:val="en-US"/>
              </w:rPr>
            </w:pPr>
            <w:r w:rsidRPr="009D3012">
              <w:rPr>
                <w:szCs w:val="22"/>
                <w:lang w:val="en-US"/>
              </w:rPr>
              <w:t>180 for indented wire</w:t>
            </w:r>
          </w:p>
        </w:tc>
      </w:tr>
      <w:tr w:rsidR="004E22C1" w:rsidRPr="001455DC" w14:paraId="65BCC42D" w14:textId="77777777" w:rsidTr="00822F09">
        <w:trPr>
          <w:cantSplit/>
        </w:trPr>
        <w:tc>
          <w:tcPr>
            <w:tcW w:w="1458" w:type="dxa"/>
            <w:vMerge w:val="restart"/>
            <w:vAlign w:val="center"/>
          </w:tcPr>
          <w:p w14:paraId="724346F2" w14:textId="77777777" w:rsidR="004E22C1" w:rsidRPr="001455DC" w:rsidRDefault="004E22C1" w:rsidP="00822F09">
            <w:pPr>
              <w:pStyle w:val="Tablebody"/>
              <w:keepNext/>
              <w:jc w:val="left"/>
              <w:rPr>
                <w:b/>
                <w:bCs/>
                <w:szCs w:val="22"/>
              </w:rPr>
            </w:pPr>
            <w:r w:rsidRPr="001455DC">
              <w:rPr>
                <w:b/>
                <w:bCs/>
                <w:szCs w:val="22"/>
              </w:rPr>
              <w:t>Ductility</w:t>
            </w:r>
          </w:p>
        </w:tc>
        <w:tc>
          <w:tcPr>
            <w:tcW w:w="4051" w:type="dxa"/>
            <w:vAlign w:val="center"/>
          </w:tcPr>
          <w:p w14:paraId="1A05B74A" w14:textId="2C7FD6E2" w:rsidR="004E22C1" w:rsidRPr="009D3012" w:rsidRDefault="004E22C1" w:rsidP="00822F09">
            <w:pPr>
              <w:pStyle w:val="Tablebody"/>
              <w:keepNext/>
              <w:jc w:val="left"/>
              <w:rPr>
                <w:szCs w:val="22"/>
                <w:lang w:val="en-US"/>
              </w:rPr>
            </w:pPr>
            <w:r w:rsidRPr="009D3012">
              <w:rPr>
                <w:iCs/>
                <w:szCs w:val="22"/>
                <w:lang w:val="en-US"/>
              </w:rPr>
              <w:t xml:space="preserve">Value of </w:t>
            </w:r>
            <w:r w:rsidRPr="009D3012">
              <w:rPr>
                <w:rStyle w:val="CCMCvariableitalic"/>
                <w:szCs w:val="22"/>
                <w:lang w:val="en-US"/>
              </w:rPr>
              <w:t>k</w:t>
            </w:r>
            <w:r w:rsidRPr="009D3012">
              <w:rPr>
                <w:szCs w:val="22"/>
                <w:lang w:val="en-US"/>
              </w:rPr>
              <w:t> </w:t>
            </w:r>
            <w:r w:rsidR="00EC27D2" w:rsidRPr="009D3012">
              <w:rPr>
                <w:rFonts w:ascii="Cambria Math" w:hAnsi="Cambria Math"/>
                <w:szCs w:val="22"/>
                <w:lang w:val="en-US"/>
              </w:rPr>
              <w:t>=</w:t>
            </w:r>
            <w:r w:rsidRPr="009D3012">
              <w:rPr>
                <w:szCs w:val="22"/>
                <w:lang w:val="en-US"/>
              </w:rPr>
              <w:t> (</w:t>
            </w:r>
            <w:r w:rsidRPr="009D3012">
              <w:rPr>
                <w:rStyle w:val="CCMCvariableitalic"/>
                <w:szCs w:val="22"/>
                <w:lang w:val="en-US"/>
              </w:rPr>
              <w:t>f</w:t>
            </w:r>
            <w:r w:rsidRPr="009D3012">
              <w:rPr>
                <w:rStyle w:val="CCMCvariablesubscript"/>
                <w:szCs w:val="22"/>
                <w:lang w:val="en-US"/>
              </w:rPr>
              <w:t>pk</w:t>
            </w:r>
            <w:r w:rsidRPr="009D3012">
              <w:rPr>
                <w:szCs w:val="22"/>
                <w:lang w:val="en-US"/>
              </w:rPr>
              <w:t>/</w:t>
            </w:r>
            <w:r w:rsidRPr="009D3012">
              <w:rPr>
                <w:rStyle w:val="CCMCvariableitalic"/>
                <w:szCs w:val="22"/>
                <w:lang w:val="en-US"/>
              </w:rPr>
              <w:t>f</w:t>
            </w:r>
            <w:r w:rsidRPr="009D3012">
              <w:rPr>
                <w:rStyle w:val="CCMCvariablesubscript"/>
                <w:szCs w:val="22"/>
                <w:lang w:val="en-US"/>
              </w:rPr>
              <w:t>p0,1k</w:t>
            </w:r>
            <w:r w:rsidRPr="009D3012">
              <w:rPr>
                <w:szCs w:val="22"/>
                <w:lang w:val="en-US"/>
              </w:rPr>
              <w:t>)</w:t>
            </w:r>
          </w:p>
          <w:p w14:paraId="685551A5" w14:textId="77777777" w:rsidR="004E22C1" w:rsidRPr="001455DC" w:rsidRDefault="004E22C1" w:rsidP="00822F09">
            <w:pPr>
              <w:pStyle w:val="Tablebody"/>
              <w:keepNext/>
              <w:jc w:val="left"/>
              <w:rPr>
                <w:szCs w:val="22"/>
              </w:rPr>
            </w:pPr>
            <w:r w:rsidRPr="001455DC">
              <w:rPr>
                <w:szCs w:val="22"/>
              </w:rPr>
              <w:t>(10 % quantile)</w:t>
            </w:r>
          </w:p>
        </w:tc>
        <w:tc>
          <w:tcPr>
            <w:tcW w:w="4243" w:type="dxa"/>
            <w:gridSpan w:val="4"/>
            <w:vAlign w:val="center"/>
          </w:tcPr>
          <w:p w14:paraId="2C2A16E3" w14:textId="49C88B7C" w:rsidR="004E22C1" w:rsidRPr="001455DC" w:rsidRDefault="00650035" w:rsidP="00822F09">
            <w:pPr>
              <w:pStyle w:val="Tablebody"/>
              <w:keepNext/>
              <w:jc w:val="center"/>
              <w:rPr>
                <w:szCs w:val="22"/>
              </w:rPr>
            </w:pPr>
            <w:r w:rsidRPr="001455DC">
              <w:rPr>
                <w:rFonts w:ascii="Cambria Math" w:hAnsi="Cambria Math"/>
                <w:szCs w:val="22"/>
              </w:rPr>
              <w:t>≥</w:t>
            </w:r>
            <w:r w:rsidR="00073FC6" w:rsidRPr="001455DC">
              <w:rPr>
                <w:szCs w:val="22"/>
              </w:rPr>
              <w:t> </w:t>
            </w:r>
            <w:r w:rsidR="004E22C1" w:rsidRPr="001455DC">
              <w:rPr>
                <w:szCs w:val="22"/>
              </w:rPr>
              <w:t>1,10</w:t>
            </w:r>
          </w:p>
        </w:tc>
      </w:tr>
      <w:tr w:rsidR="004E22C1" w:rsidRPr="001455DC" w14:paraId="5698A78F" w14:textId="77777777" w:rsidTr="00822F09">
        <w:trPr>
          <w:cantSplit/>
        </w:trPr>
        <w:tc>
          <w:tcPr>
            <w:tcW w:w="1458" w:type="dxa"/>
            <w:vMerge/>
            <w:vAlign w:val="center"/>
          </w:tcPr>
          <w:p w14:paraId="15BED7A7" w14:textId="77777777" w:rsidR="004E22C1" w:rsidRPr="001455DC" w:rsidRDefault="004E22C1" w:rsidP="00822F09">
            <w:pPr>
              <w:pStyle w:val="Tablebody"/>
              <w:keepNext/>
              <w:jc w:val="left"/>
              <w:rPr>
                <w:szCs w:val="22"/>
              </w:rPr>
            </w:pPr>
          </w:p>
        </w:tc>
        <w:tc>
          <w:tcPr>
            <w:tcW w:w="4051" w:type="dxa"/>
            <w:vAlign w:val="center"/>
          </w:tcPr>
          <w:p w14:paraId="5563EB52" w14:textId="77777777" w:rsidR="004E22C1" w:rsidRPr="009D3012" w:rsidRDefault="004E22C1" w:rsidP="00822F09">
            <w:pPr>
              <w:pStyle w:val="Tablebody"/>
              <w:keepNext/>
              <w:jc w:val="left"/>
              <w:rPr>
                <w:szCs w:val="22"/>
                <w:lang w:val="en-US"/>
              </w:rPr>
            </w:pPr>
            <w:r w:rsidRPr="009D3012">
              <w:rPr>
                <w:szCs w:val="22"/>
                <w:lang w:val="en-US"/>
              </w:rPr>
              <w:t xml:space="preserve">Characteristic strain at maximum force, </w:t>
            </w:r>
            <w:r w:rsidRPr="001455DC">
              <w:rPr>
                <w:rStyle w:val="CCMCvariableitalic"/>
                <w:szCs w:val="22"/>
              </w:rPr>
              <w:t>ε</w:t>
            </w:r>
            <w:r w:rsidRPr="009D3012">
              <w:rPr>
                <w:rStyle w:val="CCMCvariablesubscript"/>
                <w:szCs w:val="22"/>
                <w:lang w:val="en-US"/>
              </w:rPr>
              <w:t>uk</w:t>
            </w:r>
            <w:r w:rsidRPr="009D3012">
              <w:rPr>
                <w:szCs w:val="22"/>
                <w:lang w:val="en-US"/>
              </w:rPr>
              <w:t xml:space="preserve"> [ %] (10 % quantile)</w:t>
            </w:r>
          </w:p>
        </w:tc>
        <w:tc>
          <w:tcPr>
            <w:tcW w:w="4243" w:type="dxa"/>
            <w:gridSpan w:val="4"/>
            <w:vAlign w:val="center"/>
          </w:tcPr>
          <w:p w14:paraId="754797D4" w14:textId="50052607" w:rsidR="004E22C1" w:rsidRPr="001455DC" w:rsidRDefault="00650035" w:rsidP="00822F09">
            <w:pPr>
              <w:pStyle w:val="Tablebody"/>
              <w:keepNext/>
              <w:jc w:val="center"/>
              <w:rPr>
                <w:szCs w:val="22"/>
              </w:rPr>
            </w:pPr>
            <w:r w:rsidRPr="001455DC">
              <w:rPr>
                <w:rFonts w:ascii="Cambria Math" w:hAnsi="Cambria Math"/>
                <w:szCs w:val="22"/>
              </w:rPr>
              <w:t>≥</w:t>
            </w:r>
            <w:r w:rsidR="00073FC6" w:rsidRPr="001455DC">
              <w:rPr>
                <w:szCs w:val="22"/>
              </w:rPr>
              <w:t> </w:t>
            </w:r>
            <w:r w:rsidR="004E22C1" w:rsidRPr="001455DC">
              <w:rPr>
                <w:szCs w:val="22"/>
              </w:rPr>
              <w:t>3,5</w:t>
            </w:r>
          </w:p>
        </w:tc>
      </w:tr>
      <w:tr w:rsidR="004E22C1" w:rsidRPr="001455DC" w14:paraId="2B4466C8" w14:textId="77777777" w:rsidTr="00822F09">
        <w:trPr>
          <w:cantSplit/>
        </w:trPr>
        <w:tc>
          <w:tcPr>
            <w:tcW w:w="1458" w:type="dxa"/>
            <w:vMerge/>
            <w:vAlign w:val="center"/>
          </w:tcPr>
          <w:p w14:paraId="3961096B" w14:textId="77777777" w:rsidR="004E22C1" w:rsidRPr="001455DC" w:rsidRDefault="004E22C1" w:rsidP="00822F09">
            <w:pPr>
              <w:pStyle w:val="Tablebody"/>
              <w:keepNext/>
              <w:jc w:val="left"/>
              <w:rPr>
                <w:szCs w:val="22"/>
              </w:rPr>
            </w:pPr>
          </w:p>
        </w:tc>
        <w:tc>
          <w:tcPr>
            <w:tcW w:w="4051" w:type="dxa"/>
            <w:vAlign w:val="center"/>
          </w:tcPr>
          <w:p w14:paraId="5AB319FF" w14:textId="77777777" w:rsidR="004E22C1" w:rsidRPr="001455DC" w:rsidRDefault="004E22C1" w:rsidP="00822F09">
            <w:pPr>
              <w:pStyle w:val="Tablebody"/>
              <w:keepNext/>
              <w:jc w:val="left"/>
              <w:rPr>
                <w:szCs w:val="22"/>
              </w:rPr>
            </w:pPr>
            <w:r w:rsidRPr="001455DC">
              <w:rPr>
                <w:szCs w:val="22"/>
              </w:rPr>
              <w:t>Bendability</w:t>
            </w:r>
          </w:p>
        </w:tc>
        <w:tc>
          <w:tcPr>
            <w:tcW w:w="4243" w:type="dxa"/>
            <w:gridSpan w:val="4"/>
            <w:vAlign w:val="center"/>
          </w:tcPr>
          <w:p w14:paraId="23F93A75" w14:textId="021DCBD0" w:rsidR="004E22C1" w:rsidRPr="009D3012" w:rsidRDefault="004E22C1">
            <w:pPr>
              <w:pStyle w:val="Tablebody"/>
              <w:keepNext/>
              <w:jc w:val="center"/>
              <w:rPr>
                <w:szCs w:val="22"/>
                <w:lang w:val="en-US"/>
              </w:rPr>
            </w:pPr>
            <w:r w:rsidRPr="009D3012">
              <w:rPr>
                <w:szCs w:val="22"/>
                <w:lang w:val="en-US"/>
              </w:rPr>
              <w:t xml:space="preserve">Pass minimum number of reverse bends according to </w:t>
            </w:r>
            <w:r w:rsidR="000D2A45" w:rsidRPr="001455DC">
              <w:rPr>
                <w:szCs w:val="22"/>
                <w:lang w:val="en-US"/>
              </w:rPr>
              <w:t>prEN 10138 (parts)</w:t>
            </w:r>
          </w:p>
        </w:tc>
      </w:tr>
      <w:tr w:rsidR="004E22C1" w:rsidRPr="001455DC" w14:paraId="454E6CC1" w14:textId="77777777" w:rsidTr="00822F09">
        <w:trPr>
          <w:cantSplit/>
        </w:trPr>
        <w:tc>
          <w:tcPr>
            <w:tcW w:w="1458" w:type="dxa"/>
            <w:vMerge w:val="restart"/>
            <w:vAlign w:val="center"/>
          </w:tcPr>
          <w:p w14:paraId="7A27DD0C" w14:textId="4C209DBD" w:rsidR="004E22C1" w:rsidRPr="001455DC" w:rsidRDefault="004E22C1" w:rsidP="00822F09">
            <w:pPr>
              <w:pStyle w:val="Tablebody"/>
              <w:keepNext/>
              <w:jc w:val="left"/>
              <w:rPr>
                <w:szCs w:val="22"/>
              </w:rPr>
            </w:pPr>
            <w:r w:rsidRPr="001455DC">
              <w:rPr>
                <w:b/>
                <w:bCs/>
                <w:szCs w:val="22"/>
              </w:rPr>
              <w:t>Relaxation</w:t>
            </w:r>
            <w:r w:rsidR="007A25B5" w:rsidRPr="001455DC">
              <w:rPr>
                <w:rStyle w:val="CCMCvariablesuperscript"/>
                <w:szCs w:val="22"/>
              </w:rPr>
              <w:t>b</w:t>
            </w:r>
          </w:p>
        </w:tc>
        <w:tc>
          <w:tcPr>
            <w:tcW w:w="4051" w:type="dxa"/>
            <w:vAlign w:val="center"/>
          </w:tcPr>
          <w:p w14:paraId="6657FFC1" w14:textId="6C1DBCBA" w:rsidR="004E22C1" w:rsidRPr="009D3012" w:rsidRDefault="004E22C1" w:rsidP="00822F09">
            <w:pPr>
              <w:pStyle w:val="Tablebody"/>
              <w:keepNext/>
              <w:jc w:val="left"/>
              <w:rPr>
                <w:szCs w:val="22"/>
                <w:lang w:val="en-US"/>
              </w:rPr>
            </w:pPr>
            <w:r w:rsidRPr="009D3012">
              <w:rPr>
                <w:iCs/>
                <w:szCs w:val="22"/>
                <w:lang w:val="en-US"/>
              </w:rPr>
              <w:t>Relaxation at 1</w:t>
            </w:r>
            <w:r w:rsidR="00822F09" w:rsidRPr="009D3012">
              <w:rPr>
                <w:iCs/>
                <w:szCs w:val="22"/>
                <w:lang w:val="en-US"/>
              </w:rPr>
              <w:t> </w:t>
            </w:r>
            <w:r w:rsidRPr="009D3012">
              <w:rPr>
                <w:iCs/>
                <w:szCs w:val="22"/>
                <w:lang w:val="en-US"/>
              </w:rPr>
              <w:t>000 hours for initial stress of 70 % of actual tensile strength</w:t>
            </w:r>
            <w:r w:rsidRPr="009D3012">
              <w:rPr>
                <w:szCs w:val="22"/>
                <w:lang w:val="en-US"/>
              </w:rPr>
              <w:t xml:space="preserve">, </w:t>
            </w:r>
            <w:r w:rsidRPr="001455DC">
              <w:rPr>
                <w:rStyle w:val="CCMCvariableitalic"/>
                <w:szCs w:val="22"/>
              </w:rPr>
              <w:t>ρ</w:t>
            </w:r>
            <w:r w:rsidRPr="009D3012">
              <w:rPr>
                <w:rStyle w:val="CCMCvariablesubscript"/>
                <w:szCs w:val="22"/>
                <w:lang w:val="en-US"/>
              </w:rPr>
              <w:t>1000</w:t>
            </w:r>
          </w:p>
        </w:tc>
        <w:tc>
          <w:tcPr>
            <w:tcW w:w="4243" w:type="dxa"/>
            <w:gridSpan w:val="4"/>
            <w:vAlign w:val="center"/>
          </w:tcPr>
          <w:p w14:paraId="58FB8C9E" w14:textId="468E182E" w:rsidR="004E22C1" w:rsidRPr="001455DC" w:rsidRDefault="00650035" w:rsidP="00822F09">
            <w:pPr>
              <w:pStyle w:val="Tablebody"/>
              <w:keepNext/>
              <w:jc w:val="center"/>
              <w:rPr>
                <w:szCs w:val="22"/>
              </w:rPr>
            </w:pPr>
            <w:r w:rsidRPr="001455DC">
              <w:rPr>
                <w:rFonts w:ascii="Cambria Math" w:hAnsi="Cambria Math"/>
                <w:szCs w:val="22"/>
              </w:rPr>
              <w:t>≤</w:t>
            </w:r>
            <w:r w:rsidR="004E22C1" w:rsidRPr="001455DC">
              <w:rPr>
                <w:szCs w:val="22"/>
              </w:rPr>
              <w:t> 2,5 %</w:t>
            </w:r>
          </w:p>
        </w:tc>
      </w:tr>
      <w:tr w:rsidR="004E22C1" w:rsidRPr="001455DC" w14:paraId="472BB65C" w14:textId="77777777" w:rsidTr="00822F09">
        <w:trPr>
          <w:cantSplit/>
        </w:trPr>
        <w:tc>
          <w:tcPr>
            <w:tcW w:w="1458" w:type="dxa"/>
            <w:vMerge/>
            <w:tcBorders>
              <w:bottom w:val="single" w:sz="12" w:space="0" w:color="000000"/>
            </w:tcBorders>
            <w:vAlign w:val="center"/>
          </w:tcPr>
          <w:p w14:paraId="6CAEFC68" w14:textId="77777777" w:rsidR="004E22C1" w:rsidRPr="001455DC" w:rsidRDefault="004E22C1" w:rsidP="00822F09">
            <w:pPr>
              <w:pStyle w:val="Tablebody"/>
              <w:keepNext/>
              <w:jc w:val="left"/>
              <w:rPr>
                <w:szCs w:val="22"/>
              </w:rPr>
            </w:pPr>
          </w:p>
        </w:tc>
        <w:tc>
          <w:tcPr>
            <w:tcW w:w="4051" w:type="dxa"/>
            <w:tcBorders>
              <w:bottom w:val="single" w:sz="12" w:space="0" w:color="000000"/>
            </w:tcBorders>
            <w:vAlign w:val="center"/>
          </w:tcPr>
          <w:p w14:paraId="101608E3" w14:textId="4A153248" w:rsidR="004E22C1" w:rsidRPr="009D3012" w:rsidRDefault="004E22C1" w:rsidP="00822F09">
            <w:pPr>
              <w:pStyle w:val="Tablebody"/>
              <w:keepNext/>
              <w:jc w:val="left"/>
              <w:rPr>
                <w:rStyle w:val="CCMCvariablesuperscript"/>
                <w:szCs w:val="22"/>
                <w:lang w:val="en-US"/>
              </w:rPr>
            </w:pPr>
            <w:r w:rsidRPr="009D3012">
              <w:rPr>
                <w:iCs/>
                <w:szCs w:val="22"/>
                <w:lang w:val="en-US"/>
              </w:rPr>
              <w:t>Relaxation at 1</w:t>
            </w:r>
            <w:r w:rsidR="00822F09" w:rsidRPr="009D3012">
              <w:rPr>
                <w:iCs/>
                <w:szCs w:val="22"/>
                <w:lang w:val="en-US"/>
              </w:rPr>
              <w:t> </w:t>
            </w:r>
            <w:r w:rsidRPr="009D3012">
              <w:rPr>
                <w:iCs/>
                <w:szCs w:val="22"/>
                <w:lang w:val="en-US"/>
              </w:rPr>
              <w:t xml:space="preserve">000 hours for initial stress of 80 % of actual tensile strength, </w:t>
            </w:r>
            <w:r w:rsidRPr="001455DC">
              <w:rPr>
                <w:rStyle w:val="CCMCvariableitalic"/>
                <w:szCs w:val="22"/>
              </w:rPr>
              <w:t>ρ</w:t>
            </w:r>
            <w:r w:rsidRPr="009D3012">
              <w:rPr>
                <w:rStyle w:val="CCMCvariablesubscript"/>
                <w:szCs w:val="22"/>
                <w:lang w:val="en-US"/>
              </w:rPr>
              <w:t>1000</w:t>
            </w:r>
          </w:p>
        </w:tc>
        <w:tc>
          <w:tcPr>
            <w:tcW w:w="4243" w:type="dxa"/>
            <w:gridSpan w:val="4"/>
            <w:tcBorders>
              <w:bottom w:val="single" w:sz="12" w:space="0" w:color="000000"/>
            </w:tcBorders>
            <w:vAlign w:val="center"/>
          </w:tcPr>
          <w:p w14:paraId="385F9D8B" w14:textId="165D3ECB" w:rsidR="004E22C1" w:rsidRPr="001455DC" w:rsidRDefault="00650035" w:rsidP="00822F09">
            <w:pPr>
              <w:pStyle w:val="Tablebody"/>
              <w:keepNext/>
              <w:jc w:val="center"/>
              <w:rPr>
                <w:szCs w:val="22"/>
              </w:rPr>
            </w:pPr>
            <w:r w:rsidRPr="001455DC">
              <w:rPr>
                <w:rFonts w:ascii="Cambria Math" w:hAnsi="Cambria Math"/>
                <w:szCs w:val="22"/>
              </w:rPr>
              <w:t>≤</w:t>
            </w:r>
            <w:r w:rsidR="004E22C1" w:rsidRPr="001455DC">
              <w:rPr>
                <w:szCs w:val="22"/>
              </w:rPr>
              <w:t> 4,5 %</w:t>
            </w:r>
          </w:p>
        </w:tc>
      </w:tr>
      <w:tr w:rsidR="004E22C1" w:rsidRPr="001455DC" w14:paraId="215DA61D" w14:textId="77777777" w:rsidTr="00822F09">
        <w:trPr>
          <w:cantSplit/>
        </w:trPr>
        <w:tc>
          <w:tcPr>
            <w:tcW w:w="9752" w:type="dxa"/>
            <w:gridSpan w:val="6"/>
            <w:tcBorders>
              <w:top w:val="single" w:sz="12" w:space="0" w:color="000000"/>
              <w:bottom w:val="single" w:sz="12" w:space="0" w:color="auto"/>
            </w:tcBorders>
          </w:tcPr>
          <w:p w14:paraId="5A44EDA5" w14:textId="1354BF0A" w:rsidR="004E22C1" w:rsidRPr="009D3012" w:rsidRDefault="004E22C1">
            <w:pPr>
              <w:pStyle w:val="Tablefooternote"/>
              <w:tabs>
                <w:tab w:val="clear" w:pos="680"/>
                <w:tab w:val="left" w:pos="851"/>
              </w:tabs>
              <w:rPr>
                <w:lang w:val="en-US"/>
              </w:rPr>
            </w:pPr>
            <w:r w:rsidRPr="009D3012">
              <w:rPr>
                <w:lang w:val="en-US"/>
              </w:rPr>
              <w:t>NOTE </w:t>
            </w:r>
            <w:r w:rsidRPr="009D3012">
              <w:rPr>
                <w:lang w:val="en-US"/>
              </w:rPr>
              <w:tab/>
              <w:t>All strength classes apply unless a National Annex excludes specific classes.</w:t>
            </w:r>
          </w:p>
        </w:tc>
      </w:tr>
      <w:tr w:rsidR="00822F09" w:rsidRPr="001455DC" w14:paraId="6DD663E8" w14:textId="77777777" w:rsidTr="00822F09">
        <w:trPr>
          <w:cnfStyle w:val="010000000000" w:firstRow="0" w:lastRow="1" w:firstColumn="0" w:lastColumn="0" w:oddVBand="0" w:evenVBand="0" w:oddHBand="0" w:evenHBand="0" w:firstRowFirstColumn="0" w:firstRowLastColumn="0" w:lastRowFirstColumn="0" w:lastRowLastColumn="0"/>
          <w:cantSplit/>
        </w:trPr>
        <w:tc>
          <w:tcPr>
            <w:tcW w:w="9752" w:type="dxa"/>
            <w:gridSpan w:val="6"/>
          </w:tcPr>
          <w:p w14:paraId="3728AB7C" w14:textId="349F72CB" w:rsidR="007A25B5" w:rsidRPr="009D3012" w:rsidRDefault="00822F09" w:rsidP="00822F09">
            <w:pPr>
              <w:pStyle w:val="Tablefooter"/>
              <w:rPr>
                <w:lang w:val="en-US"/>
              </w:rPr>
            </w:pPr>
            <w:r w:rsidRPr="009D3012">
              <w:rPr>
                <w:rStyle w:val="CCMCvariablesuperscript"/>
                <w:sz w:val="22"/>
                <w:szCs w:val="22"/>
                <w:lang w:val="en-US"/>
              </w:rPr>
              <w:t>a</w:t>
            </w:r>
            <w:r w:rsidRPr="009D3012">
              <w:rPr>
                <w:lang w:val="en-US"/>
              </w:rPr>
              <w:tab/>
            </w:r>
            <w:r w:rsidR="007A25B5" w:rsidRPr="009D3012">
              <w:rPr>
                <w:rFonts w:eastAsia="Calibri" w:cs="Arial"/>
                <w:lang w:val="en-US"/>
              </w:rPr>
              <w:t xml:space="preserve">Different fatigue properties can be set in a National Annex, </w:t>
            </w:r>
            <w:r w:rsidR="007A25B5" w:rsidRPr="009D3012">
              <w:rPr>
                <w:rFonts w:eastAsiaTheme="minorHAnsi" w:cs="Arial"/>
                <w:lang w:val="en-US" w:eastAsia="en-US"/>
              </w:rPr>
              <w:t>if increased margins are required to the S-N curve parameters given in Annex E, by specifying</w:t>
            </w:r>
            <w:r w:rsidR="007A25B5" w:rsidRPr="009D3012">
              <w:rPr>
                <w:rFonts w:eastAsia="Calibri" w:cs="Arial"/>
                <w:lang w:val="en-US"/>
              </w:rPr>
              <w:t xml:space="preserve"> higher values of the fatigue stress range and/or the number of cycles are confirmed by testing in accordance with </w:t>
            </w:r>
            <w:r w:rsidR="000D2A45" w:rsidRPr="009D3012">
              <w:rPr>
                <w:rFonts w:eastAsia="Calibri" w:cs="Arial"/>
                <w:lang w:val="en-US"/>
              </w:rPr>
              <w:t>prEN 10138 (all parts)</w:t>
            </w:r>
            <w:r w:rsidR="007A25B5" w:rsidRPr="009D3012">
              <w:rPr>
                <w:rFonts w:eastAsia="Calibri" w:cs="Arial"/>
                <w:lang w:val="en-US"/>
              </w:rPr>
              <w:t>. No specific fatigue properties are required if the reinforcement is used only for predominantly static loading.</w:t>
            </w:r>
          </w:p>
          <w:p w14:paraId="74FECB9E" w14:textId="29F8AA92" w:rsidR="00822F09" w:rsidRPr="009D3012" w:rsidRDefault="007A25B5" w:rsidP="00EE3F01">
            <w:pPr>
              <w:pStyle w:val="Tablefooter"/>
              <w:rPr>
                <w:lang w:val="en-US"/>
              </w:rPr>
            </w:pPr>
            <w:r w:rsidRPr="009D3012">
              <w:rPr>
                <w:rStyle w:val="CCMCvariablesuperscript"/>
                <w:lang w:val="en-US"/>
              </w:rPr>
              <w:t>b</w:t>
            </w:r>
            <w:r w:rsidRPr="009D3012">
              <w:rPr>
                <w:lang w:val="en-US"/>
              </w:rPr>
              <w:t xml:space="preserve"> </w:t>
            </w:r>
            <w:r w:rsidRPr="009D3012">
              <w:rPr>
                <w:lang w:val="en-US"/>
              </w:rPr>
              <w:tab/>
            </w:r>
            <w:r w:rsidR="00822F09" w:rsidRPr="009D3012">
              <w:rPr>
                <w:lang w:val="en-US"/>
              </w:rPr>
              <w:t>Relaxation losses apply at a mean temperature of 20 °C.</w:t>
            </w:r>
            <w:r w:rsidRPr="009D3012">
              <w:rPr>
                <w:lang w:val="en-US"/>
              </w:rPr>
              <w:t xml:space="preserve"> Relaxation losses are very sensitive to the temperature of the prestressing steel, see B.</w:t>
            </w:r>
            <w:r w:rsidR="00EE3F01" w:rsidRPr="001455DC">
              <w:rPr>
                <w:lang w:val="en-US"/>
              </w:rPr>
              <w:t>9</w:t>
            </w:r>
            <w:r w:rsidRPr="009D3012">
              <w:rPr>
                <w:lang w:val="en-US"/>
              </w:rPr>
              <w:t>.</w:t>
            </w:r>
          </w:p>
        </w:tc>
      </w:tr>
    </w:tbl>
    <w:p w14:paraId="20BA71D7" w14:textId="77777777" w:rsidR="004E22C1" w:rsidRPr="001455DC" w:rsidRDefault="004E22C1" w:rsidP="00F72049">
      <w:pPr>
        <w:pStyle w:val="a7"/>
      </w:pPr>
    </w:p>
    <w:p w14:paraId="2BAE0DA3" w14:textId="7837A31C" w:rsidR="004E22C1" w:rsidRPr="001455DC" w:rsidRDefault="004E22C1" w:rsidP="00F72049">
      <w:pPr>
        <w:pStyle w:val="Tabletitle"/>
        <w:rPr>
          <w:snapToGrid w:val="0"/>
        </w:rPr>
      </w:pPr>
      <w:bookmarkStart w:id="1384" w:name="_Toc54337553"/>
      <w:r w:rsidRPr="001455DC">
        <w:rPr>
          <w:snapToGrid w:val="0"/>
        </w:rPr>
        <w:t>Table C.</w:t>
      </w:r>
      <w:r w:rsidR="00722F85" w:rsidRPr="001455DC">
        <w:rPr>
          <w:snapToGrid w:val="0"/>
        </w:rPr>
        <w:t>4 </w:t>
      </w:r>
      <w:r w:rsidRPr="001455DC">
        <w:rPr>
          <w:snapToGrid w:val="0"/>
        </w:rPr>
        <w:t>— Strength, fatigue, ductility and relaxation properties of prestressing strands</w:t>
      </w:r>
      <w:r w:rsidRPr="001455DC">
        <w:t xml:space="preserve"> according to </w:t>
      </w:r>
      <w:r w:rsidR="000E016F">
        <w:t>pr</w:t>
      </w:r>
      <w:r w:rsidRPr="001455DC">
        <w:t>EN 10138</w:t>
      </w:r>
      <w:bookmarkEnd w:id="1384"/>
    </w:p>
    <w:tbl>
      <w:tblPr>
        <w:tblStyle w:val="53"/>
        <w:tblW w:w="9752" w:type="dxa"/>
        <w:tblLayout w:type="fixed"/>
        <w:tblLook w:val="0660" w:firstRow="1" w:lastRow="1" w:firstColumn="0" w:lastColumn="0" w:noHBand="1" w:noVBand="1"/>
      </w:tblPr>
      <w:tblGrid>
        <w:gridCol w:w="1458"/>
        <w:gridCol w:w="4051"/>
        <w:gridCol w:w="1150"/>
        <w:gridCol w:w="1137"/>
        <w:gridCol w:w="976"/>
        <w:gridCol w:w="980"/>
      </w:tblGrid>
      <w:tr w:rsidR="00822F09" w:rsidRPr="001455DC" w14:paraId="185A877E" w14:textId="77777777" w:rsidTr="00822F09">
        <w:trPr>
          <w:cnfStyle w:val="100000000000" w:firstRow="1" w:lastRow="0" w:firstColumn="0" w:lastColumn="0" w:oddVBand="0" w:evenVBand="0" w:oddHBand="0" w:evenHBand="0" w:firstRowFirstColumn="0" w:firstRowLastColumn="0" w:lastRowFirstColumn="0" w:lastRowLastColumn="0"/>
          <w:cantSplit/>
          <w:tblHeader/>
        </w:trPr>
        <w:tc>
          <w:tcPr>
            <w:tcW w:w="5509" w:type="dxa"/>
            <w:gridSpan w:val="2"/>
            <w:vMerge w:val="restart"/>
          </w:tcPr>
          <w:p w14:paraId="4F4DF976" w14:textId="796267E4" w:rsidR="00822F09" w:rsidRPr="001455DC" w:rsidRDefault="00822F09" w:rsidP="00822F09">
            <w:pPr>
              <w:pStyle w:val="Tableheader"/>
              <w:keepNext/>
            </w:pPr>
            <w:r w:rsidRPr="001455DC">
              <w:t>Property</w:t>
            </w:r>
          </w:p>
        </w:tc>
        <w:tc>
          <w:tcPr>
            <w:tcW w:w="4243" w:type="dxa"/>
            <w:gridSpan w:val="4"/>
          </w:tcPr>
          <w:p w14:paraId="7D67F623" w14:textId="77777777" w:rsidR="00822F09" w:rsidRPr="001455DC" w:rsidRDefault="00822F09" w:rsidP="00822F09">
            <w:pPr>
              <w:pStyle w:val="Tableheader"/>
              <w:keepNext/>
            </w:pPr>
            <w:r w:rsidRPr="001455DC">
              <w:t>Strands — strength class</w:t>
            </w:r>
          </w:p>
        </w:tc>
      </w:tr>
      <w:tr w:rsidR="00822F09" w:rsidRPr="001455DC" w14:paraId="07DD21D5" w14:textId="77777777" w:rsidTr="00822F09">
        <w:trPr>
          <w:cnfStyle w:val="100000000000" w:firstRow="1" w:lastRow="0" w:firstColumn="0" w:lastColumn="0" w:oddVBand="0" w:evenVBand="0" w:oddHBand="0" w:evenHBand="0" w:firstRowFirstColumn="0" w:firstRowLastColumn="0" w:lastRowFirstColumn="0" w:lastRowLastColumn="0"/>
          <w:cantSplit/>
          <w:tblHeader/>
        </w:trPr>
        <w:tc>
          <w:tcPr>
            <w:tcW w:w="5509" w:type="dxa"/>
            <w:gridSpan w:val="2"/>
            <w:vMerge/>
          </w:tcPr>
          <w:p w14:paraId="5280D387" w14:textId="77777777" w:rsidR="00822F09" w:rsidRPr="001455DC" w:rsidRDefault="00822F09" w:rsidP="00822F09">
            <w:pPr>
              <w:pStyle w:val="Tableheader"/>
              <w:keepNext/>
            </w:pPr>
          </w:p>
        </w:tc>
        <w:tc>
          <w:tcPr>
            <w:tcW w:w="1150" w:type="dxa"/>
          </w:tcPr>
          <w:p w14:paraId="333FB417" w14:textId="77777777" w:rsidR="00822F09" w:rsidRPr="001455DC" w:rsidRDefault="00822F09" w:rsidP="00822F09">
            <w:pPr>
              <w:pStyle w:val="Tableheader"/>
              <w:keepNext/>
            </w:pPr>
            <w:r w:rsidRPr="001455DC">
              <w:t>Y1770</w:t>
            </w:r>
          </w:p>
        </w:tc>
        <w:tc>
          <w:tcPr>
            <w:tcW w:w="1137" w:type="dxa"/>
          </w:tcPr>
          <w:p w14:paraId="2DECAC3A" w14:textId="77777777" w:rsidR="00822F09" w:rsidRPr="001455DC" w:rsidRDefault="00822F09" w:rsidP="00822F09">
            <w:pPr>
              <w:pStyle w:val="Tableheader"/>
              <w:keepNext/>
            </w:pPr>
            <w:r w:rsidRPr="001455DC">
              <w:t>Y1860</w:t>
            </w:r>
          </w:p>
        </w:tc>
        <w:tc>
          <w:tcPr>
            <w:tcW w:w="976" w:type="dxa"/>
          </w:tcPr>
          <w:p w14:paraId="6B97E6B0" w14:textId="77777777" w:rsidR="00822F09" w:rsidRPr="001455DC" w:rsidRDefault="00822F09" w:rsidP="00822F09">
            <w:pPr>
              <w:pStyle w:val="Tableheader"/>
              <w:keepNext/>
            </w:pPr>
            <w:r w:rsidRPr="001455DC">
              <w:t>Y1960</w:t>
            </w:r>
          </w:p>
        </w:tc>
        <w:tc>
          <w:tcPr>
            <w:tcW w:w="980" w:type="dxa"/>
          </w:tcPr>
          <w:p w14:paraId="3D79E1ED" w14:textId="77777777" w:rsidR="00822F09" w:rsidRPr="001455DC" w:rsidRDefault="00822F09" w:rsidP="00822F09">
            <w:pPr>
              <w:pStyle w:val="Tableheader"/>
              <w:keepNext/>
            </w:pPr>
            <w:r w:rsidRPr="001455DC">
              <w:t>Y2060</w:t>
            </w:r>
          </w:p>
        </w:tc>
      </w:tr>
      <w:tr w:rsidR="004E22C1" w:rsidRPr="001455DC" w14:paraId="1C059805" w14:textId="77777777" w:rsidTr="00822F09">
        <w:trPr>
          <w:cantSplit/>
        </w:trPr>
        <w:tc>
          <w:tcPr>
            <w:tcW w:w="1458" w:type="dxa"/>
            <w:vMerge w:val="restart"/>
            <w:vAlign w:val="center"/>
          </w:tcPr>
          <w:p w14:paraId="4967AEF6" w14:textId="77777777" w:rsidR="004E22C1" w:rsidRPr="001455DC" w:rsidRDefault="004E22C1" w:rsidP="00822F09">
            <w:pPr>
              <w:pStyle w:val="Tablebody"/>
              <w:keepNext/>
              <w:jc w:val="left"/>
              <w:rPr>
                <w:b/>
                <w:szCs w:val="22"/>
              </w:rPr>
            </w:pPr>
            <w:r w:rsidRPr="001455DC">
              <w:rPr>
                <w:b/>
                <w:szCs w:val="22"/>
              </w:rPr>
              <w:t>Strength</w:t>
            </w:r>
          </w:p>
        </w:tc>
        <w:tc>
          <w:tcPr>
            <w:tcW w:w="4051" w:type="dxa"/>
            <w:vAlign w:val="center"/>
          </w:tcPr>
          <w:p w14:paraId="29AFF141" w14:textId="7129889B" w:rsidR="004E22C1" w:rsidRPr="009D3012" w:rsidRDefault="004E22C1" w:rsidP="00822F09">
            <w:pPr>
              <w:pStyle w:val="Tablebody"/>
              <w:keepNext/>
              <w:jc w:val="left"/>
              <w:rPr>
                <w:szCs w:val="22"/>
                <w:lang w:val="en-US"/>
              </w:rPr>
            </w:pPr>
            <w:r w:rsidRPr="009D3012">
              <w:rPr>
                <w:szCs w:val="22"/>
                <w:lang w:val="en-US"/>
              </w:rPr>
              <w:t xml:space="preserve">Characteristic yield strength </w:t>
            </w:r>
            <w:r w:rsidRPr="009D3012">
              <w:rPr>
                <w:rStyle w:val="CCMCvariableitalic"/>
                <w:szCs w:val="22"/>
                <w:lang w:val="en-US"/>
              </w:rPr>
              <w:t>R</w:t>
            </w:r>
            <w:r w:rsidRPr="009D3012">
              <w:rPr>
                <w:rStyle w:val="CCMCvariablesubscript"/>
                <w:szCs w:val="22"/>
                <w:lang w:val="en-US"/>
              </w:rPr>
              <w:t>p0,1k</w:t>
            </w:r>
            <w:r w:rsidRPr="009D3012">
              <w:rPr>
                <w:szCs w:val="22"/>
                <w:lang w:val="en-US"/>
              </w:rPr>
              <w:t xml:space="preserve"> [MPa], 5 % quantile</w:t>
            </w:r>
          </w:p>
        </w:tc>
        <w:tc>
          <w:tcPr>
            <w:tcW w:w="1150" w:type="dxa"/>
            <w:vAlign w:val="center"/>
          </w:tcPr>
          <w:p w14:paraId="5DC714F1" w14:textId="7A67C524" w:rsidR="004E22C1" w:rsidRPr="001455DC" w:rsidRDefault="00650035" w:rsidP="00822F09">
            <w:pPr>
              <w:pStyle w:val="Tablebody"/>
              <w:keepNext/>
              <w:jc w:val="center"/>
              <w:rPr>
                <w:szCs w:val="22"/>
              </w:rPr>
            </w:pPr>
            <w:r w:rsidRPr="001455DC">
              <w:rPr>
                <w:rFonts w:ascii="Cambria Math" w:hAnsi="Cambria Math"/>
                <w:szCs w:val="22"/>
              </w:rPr>
              <w:t>≥</w:t>
            </w:r>
            <w:r w:rsidR="00073FC6" w:rsidRPr="001455DC">
              <w:rPr>
                <w:szCs w:val="22"/>
              </w:rPr>
              <w:t> </w:t>
            </w:r>
            <w:r w:rsidR="004E22C1" w:rsidRPr="001455DC">
              <w:rPr>
                <w:szCs w:val="22"/>
              </w:rPr>
              <w:t>1550</w:t>
            </w:r>
          </w:p>
        </w:tc>
        <w:tc>
          <w:tcPr>
            <w:tcW w:w="1137" w:type="dxa"/>
            <w:vAlign w:val="center"/>
          </w:tcPr>
          <w:p w14:paraId="397B4295" w14:textId="5E0281A9" w:rsidR="004E22C1" w:rsidRPr="001455DC" w:rsidRDefault="00650035" w:rsidP="00822F09">
            <w:pPr>
              <w:pStyle w:val="Tablebody"/>
              <w:keepNext/>
              <w:jc w:val="center"/>
              <w:rPr>
                <w:szCs w:val="22"/>
              </w:rPr>
            </w:pPr>
            <w:r w:rsidRPr="001455DC">
              <w:rPr>
                <w:rFonts w:ascii="Cambria Math" w:hAnsi="Cambria Math"/>
                <w:szCs w:val="22"/>
              </w:rPr>
              <w:t>≥</w:t>
            </w:r>
            <w:r w:rsidR="00073FC6" w:rsidRPr="001455DC">
              <w:rPr>
                <w:szCs w:val="22"/>
              </w:rPr>
              <w:t> </w:t>
            </w:r>
            <w:r w:rsidR="004E22C1" w:rsidRPr="001455DC">
              <w:rPr>
                <w:szCs w:val="22"/>
              </w:rPr>
              <w:t>1650</w:t>
            </w:r>
          </w:p>
        </w:tc>
        <w:tc>
          <w:tcPr>
            <w:tcW w:w="976" w:type="dxa"/>
            <w:vAlign w:val="center"/>
          </w:tcPr>
          <w:p w14:paraId="48B63096" w14:textId="0E62C89B" w:rsidR="004E22C1" w:rsidRPr="001455DC" w:rsidRDefault="00650035" w:rsidP="00822F09">
            <w:pPr>
              <w:pStyle w:val="Tablebody"/>
              <w:keepNext/>
              <w:jc w:val="center"/>
              <w:rPr>
                <w:szCs w:val="22"/>
              </w:rPr>
            </w:pPr>
            <w:r w:rsidRPr="001455DC">
              <w:rPr>
                <w:rFonts w:ascii="Cambria Math" w:hAnsi="Cambria Math"/>
                <w:szCs w:val="22"/>
              </w:rPr>
              <w:t>≥</w:t>
            </w:r>
            <w:r w:rsidR="00073FC6" w:rsidRPr="001455DC">
              <w:rPr>
                <w:szCs w:val="22"/>
              </w:rPr>
              <w:t> </w:t>
            </w:r>
            <w:r w:rsidR="004E22C1" w:rsidRPr="001455DC">
              <w:rPr>
                <w:szCs w:val="22"/>
              </w:rPr>
              <w:t>1740</w:t>
            </w:r>
          </w:p>
        </w:tc>
        <w:tc>
          <w:tcPr>
            <w:tcW w:w="980" w:type="dxa"/>
            <w:vAlign w:val="center"/>
          </w:tcPr>
          <w:p w14:paraId="1072B7E5" w14:textId="3DDC4ED9" w:rsidR="004E22C1" w:rsidRPr="001455DC" w:rsidRDefault="00650035" w:rsidP="00822F09">
            <w:pPr>
              <w:pStyle w:val="Tablebody"/>
              <w:keepNext/>
              <w:jc w:val="center"/>
              <w:rPr>
                <w:szCs w:val="22"/>
              </w:rPr>
            </w:pPr>
            <w:r w:rsidRPr="001455DC">
              <w:rPr>
                <w:rFonts w:ascii="Cambria Math" w:hAnsi="Cambria Math"/>
                <w:szCs w:val="22"/>
              </w:rPr>
              <w:t>≥</w:t>
            </w:r>
            <w:r w:rsidR="00073FC6" w:rsidRPr="001455DC">
              <w:rPr>
                <w:szCs w:val="22"/>
              </w:rPr>
              <w:t> </w:t>
            </w:r>
            <w:r w:rsidR="004E22C1" w:rsidRPr="001455DC">
              <w:rPr>
                <w:szCs w:val="22"/>
              </w:rPr>
              <w:t>1810</w:t>
            </w:r>
          </w:p>
        </w:tc>
      </w:tr>
      <w:tr w:rsidR="004E22C1" w:rsidRPr="001455DC" w14:paraId="5F7C43B8" w14:textId="77777777" w:rsidTr="00822F09">
        <w:trPr>
          <w:cantSplit/>
        </w:trPr>
        <w:tc>
          <w:tcPr>
            <w:tcW w:w="1458" w:type="dxa"/>
            <w:vMerge/>
            <w:vAlign w:val="center"/>
          </w:tcPr>
          <w:p w14:paraId="1DA5CAC4" w14:textId="77777777" w:rsidR="004E22C1" w:rsidRPr="001455DC" w:rsidRDefault="004E22C1" w:rsidP="00822F09">
            <w:pPr>
              <w:pStyle w:val="Tablebody"/>
              <w:keepNext/>
              <w:jc w:val="left"/>
              <w:rPr>
                <w:b/>
                <w:szCs w:val="22"/>
              </w:rPr>
            </w:pPr>
          </w:p>
        </w:tc>
        <w:tc>
          <w:tcPr>
            <w:tcW w:w="4051" w:type="dxa"/>
            <w:vAlign w:val="center"/>
          </w:tcPr>
          <w:p w14:paraId="7C607799" w14:textId="504E6B57" w:rsidR="004E22C1" w:rsidRPr="009D3012" w:rsidRDefault="004E22C1" w:rsidP="00822F09">
            <w:pPr>
              <w:pStyle w:val="Tablebody"/>
              <w:keepNext/>
              <w:jc w:val="left"/>
              <w:rPr>
                <w:szCs w:val="22"/>
                <w:lang w:val="en-US"/>
              </w:rPr>
            </w:pPr>
            <w:r w:rsidRPr="009D3012">
              <w:rPr>
                <w:szCs w:val="22"/>
                <w:lang w:val="en-US"/>
              </w:rPr>
              <w:t xml:space="preserve">Characteristic tensile strength </w:t>
            </w:r>
            <w:r w:rsidRPr="009D3012">
              <w:rPr>
                <w:rStyle w:val="CCMCvariableitalic"/>
                <w:szCs w:val="22"/>
                <w:lang w:val="en-US"/>
              </w:rPr>
              <w:t>R</w:t>
            </w:r>
            <w:r w:rsidRPr="009D3012">
              <w:rPr>
                <w:rStyle w:val="CCMCvariablesubscript"/>
                <w:szCs w:val="22"/>
                <w:lang w:val="en-US"/>
              </w:rPr>
              <w:t>pk</w:t>
            </w:r>
            <w:r w:rsidRPr="009D3012">
              <w:rPr>
                <w:szCs w:val="22"/>
                <w:lang w:val="en-US"/>
              </w:rPr>
              <w:t xml:space="preserve"> [MPa], 5 % quantile</w:t>
            </w:r>
          </w:p>
        </w:tc>
        <w:tc>
          <w:tcPr>
            <w:tcW w:w="1150" w:type="dxa"/>
            <w:vAlign w:val="center"/>
          </w:tcPr>
          <w:p w14:paraId="1BD923D7" w14:textId="1DFD14FD" w:rsidR="004E22C1" w:rsidRPr="001455DC" w:rsidRDefault="00650035" w:rsidP="00822F09">
            <w:pPr>
              <w:pStyle w:val="Tablebody"/>
              <w:keepNext/>
              <w:jc w:val="center"/>
              <w:rPr>
                <w:szCs w:val="22"/>
              </w:rPr>
            </w:pPr>
            <w:r w:rsidRPr="001455DC">
              <w:rPr>
                <w:rFonts w:ascii="Cambria Math" w:hAnsi="Cambria Math"/>
                <w:szCs w:val="22"/>
              </w:rPr>
              <w:t>≥</w:t>
            </w:r>
            <w:r w:rsidR="00073FC6" w:rsidRPr="001455DC">
              <w:rPr>
                <w:szCs w:val="22"/>
              </w:rPr>
              <w:t> </w:t>
            </w:r>
            <w:r w:rsidR="004E22C1" w:rsidRPr="001455DC">
              <w:rPr>
                <w:szCs w:val="22"/>
              </w:rPr>
              <w:t>1770</w:t>
            </w:r>
          </w:p>
        </w:tc>
        <w:tc>
          <w:tcPr>
            <w:tcW w:w="1137" w:type="dxa"/>
            <w:vAlign w:val="center"/>
          </w:tcPr>
          <w:p w14:paraId="7440C14D" w14:textId="52CBFC07" w:rsidR="004E22C1" w:rsidRPr="001455DC" w:rsidRDefault="00650035" w:rsidP="00822F09">
            <w:pPr>
              <w:pStyle w:val="Tablebody"/>
              <w:keepNext/>
              <w:jc w:val="center"/>
              <w:rPr>
                <w:szCs w:val="22"/>
              </w:rPr>
            </w:pPr>
            <w:r w:rsidRPr="001455DC">
              <w:rPr>
                <w:rFonts w:ascii="Cambria Math" w:hAnsi="Cambria Math"/>
                <w:szCs w:val="22"/>
              </w:rPr>
              <w:t>≥</w:t>
            </w:r>
            <w:r w:rsidR="00073FC6" w:rsidRPr="001455DC">
              <w:rPr>
                <w:szCs w:val="22"/>
              </w:rPr>
              <w:t> </w:t>
            </w:r>
            <w:r w:rsidR="004E22C1" w:rsidRPr="001455DC">
              <w:rPr>
                <w:szCs w:val="22"/>
              </w:rPr>
              <w:t>1860</w:t>
            </w:r>
          </w:p>
        </w:tc>
        <w:tc>
          <w:tcPr>
            <w:tcW w:w="976" w:type="dxa"/>
            <w:vAlign w:val="center"/>
          </w:tcPr>
          <w:p w14:paraId="73448AC6" w14:textId="1FFC5A34" w:rsidR="004E22C1" w:rsidRPr="001455DC" w:rsidRDefault="00650035" w:rsidP="00822F09">
            <w:pPr>
              <w:pStyle w:val="Tablebody"/>
              <w:keepNext/>
              <w:jc w:val="center"/>
              <w:rPr>
                <w:szCs w:val="22"/>
              </w:rPr>
            </w:pPr>
            <w:r w:rsidRPr="001455DC">
              <w:rPr>
                <w:rFonts w:ascii="Cambria Math" w:hAnsi="Cambria Math"/>
                <w:szCs w:val="22"/>
              </w:rPr>
              <w:t>≥</w:t>
            </w:r>
            <w:r w:rsidR="00073FC6" w:rsidRPr="001455DC">
              <w:rPr>
                <w:szCs w:val="22"/>
              </w:rPr>
              <w:t> </w:t>
            </w:r>
            <w:r w:rsidR="004E22C1" w:rsidRPr="001455DC">
              <w:rPr>
                <w:szCs w:val="22"/>
              </w:rPr>
              <w:t>1960</w:t>
            </w:r>
          </w:p>
        </w:tc>
        <w:tc>
          <w:tcPr>
            <w:tcW w:w="980" w:type="dxa"/>
            <w:vAlign w:val="center"/>
          </w:tcPr>
          <w:p w14:paraId="278CCC09" w14:textId="12812206" w:rsidR="004E22C1" w:rsidRPr="001455DC" w:rsidRDefault="00650035" w:rsidP="00822F09">
            <w:pPr>
              <w:pStyle w:val="Tablebody"/>
              <w:keepNext/>
              <w:jc w:val="center"/>
              <w:rPr>
                <w:szCs w:val="22"/>
              </w:rPr>
            </w:pPr>
            <w:r w:rsidRPr="001455DC">
              <w:rPr>
                <w:rFonts w:ascii="Cambria Math" w:hAnsi="Cambria Math"/>
                <w:szCs w:val="22"/>
              </w:rPr>
              <w:t>≥</w:t>
            </w:r>
            <w:r w:rsidR="00073FC6" w:rsidRPr="001455DC">
              <w:rPr>
                <w:szCs w:val="22"/>
              </w:rPr>
              <w:t> </w:t>
            </w:r>
            <w:r w:rsidR="004E22C1" w:rsidRPr="001455DC">
              <w:rPr>
                <w:szCs w:val="22"/>
              </w:rPr>
              <w:t>2060</w:t>
            </w:r>
          </w:p>
        </w:tc>
      </w:tr>
      <w:tr w:rsidR="004E22C1" w:rsidRPr="001455DC" w14:paraId="043DA278" w14:textId="77777777" w:rsidTr="00822F09">
        <w:trPr>
          <w:cantSplit/>
        </w:trPr>
        <w:tc>
          <w:tcPr>
            <w:tcW w:w="1458" w:type="dxa"/>
            <w:vMerge/>
            <w:vAlign w:val="center"/>
          </w:tcPr>
          <w:p w14:paraId="3D3ECA80" w14:textId="77777777" w:rsidR="004E22C1" w:rsidRPr="001455DC" w:rsidRDefault="004E22C1" w:rsidP="00822F09">
            <w:pPr>
              <w:pStyle w:val="Tablebody"/>
              <w:keepNext/>
              <w:jc w:val="left"/>
              <w:rPr>
                <w:b/>
                <w:szCs w:val="22"/>
              </w:rPr>
            </w:pPr>
          </w:p>
        </w:tc>
        <w:tc>
          <w:tcPr>
            <w:tcW w:w="4051" w:type="dxa"/>
            <w:vAlign w:val="center"/>
          </w:tcPr>
          <w:p w14:paraId="2CEB767B" w14:textId="134F7B03" w:rsidR="004E22C1" w:rsidRPr="009D3012" w:rsidRDefault="004E22C1" w:rsidP="00822F09">
            <w:pPr>
              <w:pStyle w:val="Tablebody"/>
              <w:keepNext/>
              <w:jc w:val="left"/>
              <w:rPr>
                <w:szCs w:val="22"/>
                <w:lang w:val="en-US"/>
              </w:rPr>
            </w:pPr>
            <w:r w:rsidRPr="009D3012">
              <w:rPr>
                <w:szCs w:val="22"/>
                <w:lang w:val="en-US"/>
              </w:rPr>
              <w:t xml:space="preserve">Value of actual tensile strength [MPa] for each individual test-specimen </w:t>
            </w:r>
          </w:p>
        </w:tc>
        <w:tc>
          <w:tcPr>
            <w:tcW w:w="1150" w:type="dxa"/>
            <w:vAlign w:val="center"/>
          </w:tcPr>
          <w:p w14:paraId="602D0853" w14:textId="080A90BF" w:rsidR="004E22C1" w:rsidRPr="001455DC" w:rsidRDefault="00650035" w:rsidP="00822F09">
            <w:pPr>
              <w:pStyle w:val="Tablebody"/>
              <w:keepNext/>
              <w:jc w:val="center"/>
              <w:rPr>
                <w:szCs w:val="22"/>
              </w:rPr>
            </w:pPr>
            <w:r w:rsidRPr="001455DC">
              <w:rPr>
                <w:rFonts w:ascii="Cambria Math" w:hAnsi="Cambria Math"/>
                <w:szCs w:val="22"/>
              </w:rPr>
              <w:t>≤</w:t>
            </w:r>
            <w:r w:rsidR="004E22C1" w:rsidRPr="001455DC">
              <w:rPr>
                <w:szCs w:val="22"/>
              </w:rPr>
              <w:t> 2030</w:t>
            </w:r>
          </w:p>
        </w:tc>
        <w:tc>
          <w:tcPr>
            <w:tcW w:w="1137" w:type="dxa"/>
            <w:vAlign w:val="center"/>
          </w:tcPr>
          <w:p w14:paraId="3AA54878" w14:textId="26B5D872" w:rsidR="004E22C1" w:rsidRPr="001455DC" w:rsidRDefault="00650035" w:rsidP="00822F09">
            <w:pPr>
              <w:pStyle w:val="Tablebody"/>
              <w:keepNext/>
              <w:jc w:val="center"/>
              <w:rPr>
                <w:szCs w:val="22"/>
              </w:rPr>
            </w:pPr>
            <w:r w:rsidRPr="001455DC">
              <w:rPr>
                <w:rFonts w:ascii="Cambria Math" w:hAnsi="Cambria Math"/>
                <w:szCs w:val="22"/>
              </w:rPr>
              <w:t>≤</w:t>
            </w:r>
            <w:r w:rsidR="004E22C1" w:rsidRPr="001455DC">
              <w:rPr>
                <w:szCs w:val="22"/>
              </w:rPr>
              <w:t> 2140</w:t>
            </w:r>
          </w:p>
        </w:tc>
        <w:tc>
          <w:tcPr>
            <w:tcW w:w="976" w:type="dxa"/>
            <w:vAlign w:val="center"/>
          </w:tcPr>
          <w:p w14:paraId="71DA0825" w14:textId="2E0BFB35" w:rsidR="004E22C1" w:rsidRPr="001455DC" w:rsidRDefault="00650035" w:rsidP="00822F09">
            <w:pPr>
              <w:pStyle w:val="Tablebody"/>
              <w:keepNext/>
              <w:jc w:val="center"/>
              <w:rPr>
                <w:szCs w:val="22"/>
              </w:rPr>
            </w:pPr>
            <w:r w:rsidRPr="001455DC">
              <w:rPr>
                <w:rFonts w:ascii="Cambria Math" w:hAnsi="Cambria Math"/>
                <w:szCs w:val="22"/>
              </w:rPr>
              <w:t>≤</w:t>
            </w:r>
            <w:r w:rsidR="004E22C1" w:rsidRPr="001455DC">
              <w:rPr>
                <w:szCs w:val="22"/>
              </w:rPr>
              <w:t> 2250</w:t>
            </w:r>
          </w:p>
        </w:tc>
        <w:tc>
          <w:tcPr>
            <w:tcW w:w="980" w:type="dxa"/>
            <w:vAlign w:val="center"/>
          </w:tcPr>
          <w:p w14:paraId="54776A80" w14:textId="4BF8C215" w:rsidR="004E22C1" w:rsidRPr="001455DC" w:rsidRDefault="00650035" w:rsidP="00822F09">
            <w:pPr>
              <w:pStyle w:val="Tablebody"/>
              <w:keepNext/>
              <w:jc w:val="center"/>
              <w:rPr>
                <w:szCs w:val="22"/>
              </w:rPr>
            </w:pPr>
            <w:r w:rsidRPr="001455DC">
              <w:rPr>
                <w:rFonts w:ascii="Cambria Math" w:hAnsi="Cambria Math"/>
                <w:szCs w:val="22"/>
              </w:rPr>
              <w:t>≤</w:t>
            </w:r>
            <w:r w:rsidR="004E22C1" w:rsidRPr="001455DC">
              <w:rPr>
                <w:szCs w:val="22"/>
              </w:rPr>
              <w:t> 2370</w:t>
            </w:r>
          </w:p>
        </w:tc>
      </w:tr>
      <w:tr w:rsidR="004E22C1" w:rsidRPr="001455DC" w14:paraId="2AAF136C" w14:textId="77777777" w:rsidTr="00822F09">
        <w:trPr>
          <w:cantSplit/>
        </w:trPr>
        <w:tc>
          <w:tcPr>
            <w:tcW w:w="1458" w:type="dxa"/>
            <w:vAlign w:val="center"/>
          </w:tcPr>
          <w:p w14:paraId="4B8E93A2" w14:textId="1BC4AD45" w:rsidR="004E22C1" w:rsidRPr="001455DC" w:rsidRDefault="004E22C1" w:rsidP="00822F09">
            <w:pPr>
              <w:pStyle w:val="Tablebody"/>
              <w:keepNext/>
              <w:jc w:val="left"/>
              <w:rPr>
                <w:b/>
                <w:szCs w:val="22"/>
              </w:rPr>
            </w:pPr>
            <w:r w:rsidRPr="001455DC">
              <w:rPr>
                <w:b/>
                <w:szCs w:val="22"/>
              </w:rPr>
              <w:t>Fatigue</w:t>
            </w:r>
            <w:r w:rsidR="00722F85" w:rsidRPr="001455DC">
              <w:rPr>
                <w:rStyle w:val="CCMCvariablesuperscript"/>
                <w:bCs/>
                <w:szCs w:val="22"/>
              </w:rPr>
              <w:t>a</w:t>
            </w:r>
          </w:p>
        </w:tc>
        <w:tc>
          <w:tcPr>
            <w:tcW w:w="4051" w:type="dxa"/>
            <w:vAlign w:val="center"/>
          </w:tcPr>
          <w:p w14:paraId="37C296FA" w14:textId="3104F1CA" w:rsidR="004E22C1" w:rsidRPr="009D3012" w:rsidRDefault="004E22C1" w:rsidP="00822F09">
            <w:pPr>
              <w:pStyle w:val="Tablebody"/>
              <w:keepNext/>
              <w:jc w:val="left"/>
              <w:rPr>
                <w:szCs w:val="22"/>
                <w:lang w:val="en-US"/>
              </w:rPr>
            </w:pPr>
            <w:r w:rsidRPr="009D3012">
              <w:rPr>
                <w:szCs w:val="22"/>
                <w:lang w:val="en-US"/>
              </w:rPr>
              <w:t xml:space="preserve">Fatigue stress range in testing [MPa] for </w:t>
            </w:r>
            <w:r w:rsidRPr="009D3012">
              <w:rPr>
                <w:rStyle w:val="CCMCvariableitalic"/>
                <w:szCs w:val="22"/>
                <w:lang w:val="en-US"/>
              </w:rPr>
              <w:t>N</w:t>
            </w:r>
            <w:r w:rsidRPr="009D3012">
              <w:rPr>
                <w:szCs w:val="22"/>
                <w:lang w:val="en-US"/>
              </w:rPr>
              <w:t> </w:t>
            </w:r>
            <w:r w:rsidR="00650035" w:rsidRPr="009D3012">
              <w:rPr>
                <w:rFonts w:ascii="Cambria Math" w:hAnsi="Cambria Math"/>
                <w:szCs w:val="22"/>
                <w:lang w:val="en-US"/>
              </w:rPr>
              <w:t>≥</w:t>
            </w:r>
            <w:r w:rsidR="00073FC6" w:rsidRPr="009D3012">
              <w:rPr>
                <w:szCs w:val="22"/>
                <w:lang w:val="en-US"/>
              </w:rPr>
              <w:t> </w:t>
            </w:r>
            <w:r w:rsidRPr="009D3012">
              <w:rPr>
                <w:szCs w:val="22"/>
                <w:lang w:val="en-US"/>
              </w:rPr>
              <w:t>2</w:t>
            </w:r>
            <w:r w:rsidR="00822F09" w:rsidRPr="009D3012">
              <w:rPr>
                <w:szCs w:val="22"/>
                <w:lang w:val="en-US"/>
              </w:rPr>
              <w:t> </w:t>
            </w:r>
            <w:r w:rsidR="00822F09" w:rsidRPr="009D3012">
              <w:rPr>
                <w:rFonts w:ascii="Cambria Math" w:hAnsi="Cambria Math"/>
                <w:szCs w:val="22"/>
                <w:lang w:val="en-US"/>
              </w:rPr>
              <w:t>×</w:t>
            </w:r>
            <w:r w:rsidR="00822F09" w:rsidRPr="009D3012">
              <w:rPr>
                <w:szCs w:val="22"/>
                <w:lang w:val="en-US"/>
              </w:rPr>
              <w:t> </w:t>
            </w:r>
            <w:r w:rsidRPr="009D3012">
              <w:rPr>
                <w:szCs w:val="22"/>
                <w:lang w:val="en-US"/>
              </w:rPr>
              <w:t>10</w:t>
            </w:r>
            <w:r w:rsidRPr="009D3012">
              <w:rPr>
                <w:rStyle w:val="CCMCvariablesuperscript"/>
                <w:szCs w:val="22"/>
                <w:lang w:val="en-US"/>
              </w:rPr>
              <w:t>6</w:t>
            </w:r>
            <w:r w:rsidRPr="009D3012">
              <w:rPr>
                <w:szCs w:val="22"/>
                <w:lang w:val="en-US"/>
              </w:rPr>
              <w:t xml:space="preserve"> cycles with an upper limit of </w:t>
            </w:r>
            <w:r w:rsidRPr="009D3012">
              <w:rPr>
                <w:iCs/>
                <w:szCs w:val="22"/>
                <w:lang w:val="en-US"/>
              </w:rPr>
              <w:t>0,7</w:t>
            </w:r>
            <w:r w:rsidRPr="009D3012">
              <w:rPr>
                <w:szCs w:val="22"/>
                <w:lang w:val="en-US"/>
              </w:rPr>
              <w:t xml:space="preserve"> </w:t>
            </w:r>
            <w:r w:rsidRPr="009D3012">
              <w:rPr>
                <w:rStyle w:val="CCMCvariableitalic"/>
                <w:szCs w:val="22"/>
                <w:lang w:val="en-US"/>
              </w:rPr>
              <w:t>f</w:t>
            </w:r>
            <w:r w:rsidRPr="009D3012">
              <w:rPr>
                <w:rStyle w:val="CCMCvariablesubscript"/>
                <w:szCs w:val="22"/>
                <w:lang w:val="en-US"/>
              </w:rPr>
              <w:t>pk</w:t>
            </w:r>
            <w:r w:rsidRPr="009D3012">
              <w:rPr>
                <w:szCs w:val="22"/>
                <w:lang w:val="en-US"/>
              </w:rPr>
              <w:t xml:space="preserve"> (10 % quantile)</w:t>
            </w:r>
          </w:p>
        </w:tc>
        <w:tc>
          <w:tcPr>
            <w:tcW w:w="4243" w:type="dxa"/>
            <w:gridSpan w:val="4"/>
            <w:vAlign w:val="center"/>
          </w:tcPr>
          <w:p w14:paraId="3F26C897" w14:textId="77777777" w:rsidR="004E22C1" w:rsidRPr="009D3012" w:rsidRDefault="004E22C1" w:rsidP="00822F09">
            <w:pPr>
              <w:pStyle w:val="Tablebody"/>
              <w:keepNext/>
              <w:jc w:val="center"/>
              <w:rPr>
                <w:szCs w:val="22"/>
                <w:lang w:val="en-US"/>
              </w:rPr>
            </w:pPr>
            <w:r w:rsidRPr="009D3012">
              <w:rPr>
                <w:szCs w:val="22"/>
                <w:lang w:val="en-US"/>
              </w:rPr>
              <w:t>190 for plain strand</w:t>
            </w:r>
          </w:p>
          <w:p w14:paraId="4DEA258B" w14:textId="77777777" w:rsidR="004E22C1" w:rsidRPr="009D3012" w:rsidRDefault="004E22C1" w:rsidP="00822F09">
            <w:pPr>
              <w:pStyle w:val="Tablebody"/>
              <w:keepNext/>
              <w:jc w:val="center"/>
              <w:rPr>
                <w:szCs w:val="22"/>
                <w:lang w:val="en-US"/>
              </w:rPr>
            </w:pPr>
            <w:r w:rsidRPr="009D3012">
              <w:rPr>
                <w:szCs w:val="22"/>
                <w:lang w:val="en-US"/>
              </w:rPr>
              <w:t>170 for indented strand</w:t>
            </w:r>
          </w:p>
        </w:tc>
      </w:tr>
      <w:tr w:rsidR="004E22C1" w:rsidRPr="001455DC" w14:paraId="276F9180" w14:textId="77777777" w:rsidTr="00822F09">
        <w:trPr>
          <w:cantSplit/>
        </w:trPr>
        <w:tc>
          <w:tcPr>
            <w:tcW w:w="1458" w:type="dxa"/>
            <w:vMerge w:val="restart"/>
            <w:vAlign w:val="center"/>
          </w:tcPr>
          <w:p w14:paraId="1988EC7B" w14:textId="77777777" w:rsidR="004E22C1" w:rsidRPr="001455DC" w:rsidRDefault="004E22C1" w:rsidP="00822F09">
            <w:pPr>
              <w:pStyle w:val="Tablebody"/>
              <w:keepNext/>
              <w:jc w:val="left"/>
              <w:rPr>
                <w:b/>
                <w:szCs w:val="22"/>
              </w:rPr>
            </w:pPr>
            <w:r w:rsidRPr="001455DC">
              <w:rPr>
                <w:b/>
                <w:szCs w:val="22"/>
              </w:rPr>
              <w:t>Ductility</w:t>
            </w:r>
          </w:p>
        </w:tc>
        <w:tc>
          <w:tcPr>
            <w:tcW w:w="4051" w:type="dxa"/>
            <w:vAlign w:val="center"/>
          </w:tcPr>
          <w:p w14:paraId="34E4E0C8" w14:textId="637FE970" w:rsidR="004E22C1" w:rsidRPr="009D3012" w:rsidRDefault="004E22C1" w:rsidP="00822F09">
            <w:pPr>
              <w:pStyle w:val="Tablebody"/>
              <w:keepNext/>
              <w:jc w:val="left"/>
              <w:rPr>
                <w:szCs w:val="22"/>
                <w:lang w:val="en-US"/>
              </w:rPr>
            </w:pPr>
            <w:r w:rsidRPr="009D3012">
              <w:rPr>
                <w:iCs/>
                <w:szCs w:val="22"/>
                <w:lang w:val="en-US"/>
              </w:rPr>
              <w:t xml:space="preserve">Value of </w:t>
            </w:r>
            <w:r w:rsidRPr="009D3012">
              <w:rPr>
                <w:rStyle w:val="CCMCvariableitalic"/>
                <w:szCs w:val="22"/>
                <w:lang w:val="en-US"/>
              </w:rPr>
              <w:t>k</w:t>
            </w:r>
            <w:r w:rsidRPr="009D3012">
              <w:rPr>
                <w:szCs w:val="22"/>
                <w:lang w:val="en-US"/>
              </w:rPr>
              <w:t> </w:t>
            </w:r>
            <w:r w:rsidR="00EC27D2" w:rsidRPr="009D3012">
              <w:rPr>
                <w:rFonts w:ascii="Cambria Math" w:hAnsi="Cambria Math"/>
                <w:szCs w:val="22"/>
                <w:lang w:val="en-US"/>
              </w:rPr>
              <w:t>=</w:t>
            </w:r>
            <w:r w:rsidRPr="009D3012">
              <w:rPr>
                <w:szCs w:val="22"/>
                <w:lang w:val="en-US"/>
              </w:rPr>
              <w:t> (</w:t>
            </w:r>
            <w:r w:rsidRPr="009D3012">
              <w:rPr>
                <w:rStyle w:val="CCMCvariableitalic"/>
                <w:szCs w:val="22"/>
                <w:lang w:val="en-US"/>
              </w:rPr>
              <w:t>f</w:t>
            </w:r>
            <w:r w:rsidRPr="009D3012">
              <w:rPr>
                <w:rStyle w:val="CCMCvariablesubscript"/>
                <w:szCs w:val="22"/>
                <w:lang w:val="en-US"/>
              </w:rPr>
              <w:t>pk</w:t>
            </w:r>
            <w:r w:rsidRPr="009D3012">
              <w:rPr>
                <w:szCs w:val="22"/>
                <w:lang w:val="en-US"/>
              </w:rPr>
              <w:t>/</w:t>
            </w:r>
            <w:r w:rsidRPr="009D3012">
              <w:rPr>
                <w:rStyle w:val="CCMCvariableitalic"/>
                <w:szCs w:val="22"/>
                <w:lang w:val="en-US"/>
              </w:rPr>
              <w:t>f</w:t>
            </w:r>
            <w:r w:rsidRPr="009D3012">
              <w:rPr>
                <w:rStyle w:val="CCMCvariablesubscript"/>
                <w:szCs w:val="22"/>
                <w:lang w:val="en-US"/>
              </w:rPr>
              <w:t>p0,1k</w:t>
            </w:r>
            <w:r w:rsidRPr="009D3012">
              <w:rPr>
                <w:szCs w:val="22"/>
                <w:lang w:val="en-US"/>
              </w:rPr>
              <w:t>)</w:t>
            </w:r>
          </w:p>
          <w:p w14:paraId="4B90380A" w14:textId="77777777" w:rsidR="004E22C1" w:rsidRPr="001455DC" w:rsidRDefault="004E22C1" w:rsidP="00822F09">
            <w:pPr>
              <w:pStyle w:val="Tablebody"/>
              <w:keepNext/>
              <w:jc w:val="left"/>
              <w:rPr>
                <w:szCs w:val="22"/>
              </w:rPr>
            </w:pPr>
            <w:r w:rsidRPr="001455DC">
              <w:rPr>
                <w:szCs w:val="22"/>
              </w:rPr>
              <w:t>(10 % quantile)</w:t>
            </w:r>
          </w:p>
        </w:tc>
        <w:tc>
          <w:tcPr>
            <w:tcW w:w="4243" w:type="dxa"/>
            <w:gridSpan w:val="4"/>
            <w:vAlign w:val="center"/>
          </w:tcPr>
          <w:p w14:paraId="76C2BA3C" w14:textId="4EF77D1B" w:rsidR="004E22C1" w:rsidRPr="001455DC" w:rsidRDefault="00650035" w:rsidP="00822F09">
            <w:pPr>
              <w:pStyle w:val="Tablebody"/>
              <w:keepNext/>
              <w:jc w:val="center"/>
              <w:rPr>
                <w:szCs w:val="22"/>
              </w:rPr>
            </w:pPr>
            <w:r w:rsidRPr="001455DC">
              <w:rPr>
                <w:rFonts w:ascii="Cambria Math" w:hAnsi="Cambria Math"/>
                <w:szCs w:val="22"/>
              </w:rPr>
              <w:t>≥</w:t>
            </w:r>
            <w:r w:rsidR="00073FC6" w:rsidRPr="001455DC">
              <w:rPr>
                <w:szCs w:val="22"/>
              </w:rPr>
              <w:t> </w:t>
            </w:r>
            <w:r w:rsidR="004E22C1" w:rsidRPr="001455DC">
              <w:rPr>
                <w:szCs w:val="22"/>
              </w:rPr>
              <w:t>1,10</w:t>
            </w:r>
          </w:p>
        </w:tc>
      </w:tr>
      <w:tr w:rsidR="004E22C1" w:rsidRPr="001455DC" w14:paraId="3D3BC206" w14:textId="77777777" w:rsidTr="00822F09">
        <w:trPr>
          <w:cantSplit/>
        </w:trPr>
        <w:tc>
          <w:tcPr>
            <w:tcW w:w="1458" w:type="dxa"/>
            <w:vMerge/>
            <w:vAlign w:val="center"/>
          </w:tcPr>
          <w:p w14:paraId="7E2D9F28" w14:textId="77777777" w:rsidR="004E22C1" w:rsidRPr="001455DC" w:rsidRDefault="004E22C1" w:rsidP="00822F09">
            <w:pPr>
              <w:pStyle w:val="Tablebody"/>
              <w:keepNext/>
              <w:jc w:val="left"/>
              <w:rPr>
                <w:b/>
                <w:szCs w:val="22"/>
              </w:rPr>
            </w:pPr>
          </w:p>
        </w:tc>
        <w:tc>
          <w:tcPr>
            <w:tcW w:w="4051" w:type="dxa"/>
            <w:vAlign w:val="center"/>
          </w:tcPr>
          <w:p w14:paraId="373FC28F" w14:textId="77777777" w:rsidR="004E22C1" w:rsidRPr="009D3012" w:rsidRDefault="004E22C1" w:rsidP="00822F09">
            <w:pPr>
              <w:pStyle w:val="Tablebody"/>
              <w:keepNext/>
              <w:jc w:val="left"/>
              <w:rPr>
                <w:szCs w:val="22"/>
                <w:lang w:val="en-US"/>
              </w:rPr>
            </w:pPr>
            <w:r w:rsidRPr="009D3012">
              <w:rPr>
                <w:szCs w:val="22"/>
                <w:lang w:val="en-US"/>
              </w:rPr>
              <w:t xml:space="preserve">Characteristic strain at maximum force, </w:t>
            </w:r>
            <w:r w:rsidRPr="001455DC">
              <w:rPr>
                <w:rStyle w:val="CCMCvariableitalic"/>
                <w:szCs w:val="22"/>
              </w:rPr>
              <w:t>ε</w:t>
            </w:r>
            <w:r w:rsidRPr="009D3012">
              <w:rPr>
                <w:rStyle w:val="CCMCvariablesubscript"/>
                <w:szCs w:val="22"/>
                <w:lang w:val="en-US"/>
              </w:rPr>
              <w:t>uk</w:t>
            </w:r>
            <w:r w:rsidRPr="009D3012">
              <w:rPr>
                <w:szCs w:val="22"/>
                <w:lang w:val="en-US"/>
              </w:rPr>
              <w:t xml:space="preserve"> [ %] (10 % quantile)</w:t>
            </w:r>
          </w:p>
        </w:tc>
        <w:tc>
          <w:tcPr>
            <w:tcW w:w="4243" w:type="dxa"/>
            <w:gridSpan w:val="4"/>
            <w:vAlign w:val="center"/>
          </w:tcPr>
          <w:p w14:paraId="2417B9B3" w14:textId="6FBB2720" w:rsidR="004E22C1" w:rsidRPr="001455DC" w:rsidRDefault="00650035" w:rsidP="00822F09">
            <w:pPr>
              <w:pStyle w:val="Tablebody"/>
              <w:keepNext/>
              <w:jc w:val="center"/>
              <w:rPr>
                <w:szCs w:val="22"/>
              </w:rPr>
            </w:pPr>
            <w:r w:rsidRPr="001455DC">
              <w:rPr>
                <w:rFonts w:ascii="Cambria Math" w:hAnsi="Cambria Math"/>
                <w:szCs w:val="22"/>
              </w:rPr>
              <w:t>≥</w:t>
            </w:r>
            <w:r w:rsidR="00073FC6" w:rsidRPr="001455DC">
              <w:rPr>
                <w:szCs w:val="22"/>
              </w:rPr>
              <w:t> </w:t>
            </w:r>
            <w:r w:rsidR="004E22C1" w:rsidRPr="001455DC">
              <w:rPr>
                <w:szCs w:val="22"/>
              </w:rPr>
              <w:t>3,5</w:t>
            </w:r>
          </w:p>
        </w:tc>
      </w:tr>
      <w:tr w:rsidR="004E22C1" w:rsidRPr="001455DC" w14:paraId="2FD27B1E" w14:textId="77777777" w:rsidTr="00822F09">
        <w:trPr>
          <w:cantSplit/>
        </w:trPr>
        <w:tc>
          <w:tcPr>
            <w:tcW w:w="1458" w:type="dxa"/>
            <w:vMerge/>
            <w:vAlign w:val="center"/>
          </w:tcPr>
          <w:p w14:paraId="388F2A49" w14:textId="77777777" w:rsidR="004E22C1" w:rsidRPr="001455DC" w:rsidRDefault="004E22C1" w:rsidP="00822F09">
            <w:pPr>
              <w:pStyle w:val="Tablebody"/>
              <w:keepNext/>
              <w:jc w:val="left"/>
              <w:rPr>
                <w:b/>
                <w:szCs w:val="22"/>
              </w:rPr>
            </w:pPr>
          </w:p>
        </w:tc>
        <w:tc>
          <w:tcPr>
            <w:tcW w:w="4051" w:type="dxa"/>
            <w:vAlign w:val="center"/>
          </w:tcPr>
          <w:p w14:paraId="6755FEA5" w14:textId="77777777" w:rsidR="004E22C1" w:rsidRPr="001455DC" w:rsidRDefault="004E22C1" w:rsidP="00822F09">
            <w:pPr>
              <w:pStyle w:val="Tablebody"/>
              <w:keepNext/>
              <w:jc w:val="left"/>
              <w:rPr>
                <w:szCs w:val="22"/>
              </w:rPr>
            </w:pPr>
            <w:r w:rsidRPr="001455DC">
              <w:rPr>
                <w:szCs w:val="22"/>
              </w:rPr>
              <w:t>Bendability</w:t>
            </w:r>
          </w:p>
        </w:tc>
        <w:tc>
          <w:tcPr>
            <w:tcW w:w="4243" w:type="dxa"/>
            <w:gridSpan w:val="4"/>
            <w:vAlign w:val="center"/>
          </w:tcPr>
          <w:p w14:paraId="6916EEC2" w14:textId="4B529698" w:rsidR="004E22C1" w:rsidRPr="009D3012" w:rsidRDefault="004E22C1" w:rsidP="00822F09">
            <w:pPr>
              <w:pStyle w:val="Tablebody"/>
              <w:keepNext/>
              <w:jc w:val="center"/>
              <w:rPr>
                <w:szCs w:val="22"/>
                <w:lang w:val="en-US"/>
              </w:rPr>
            </w:pPr>
            <w:r w:rsidRPr="009D3012">
              <w:rPr>
                <w:szCs w:val="22"/>
                <w:lang w:val="en-US"/>
              </w:rPr>
              <w:t xml:space="preserve">Pass minimum number of reverse bends according to </w:t>
            </w:r>
            <w:r w:rsidR="000D2A45" w:rsidRPr="001455DC">
              <w:rPr>
                <w:szCs w:val="22"/>
                <w:lang w:val="en-US"/>
              </w:rPr>
              <w:t>prEN 10138 (all parts)</w:t>
            </w:r>
          </w:p>
        </w:tc>
      </w:tr>
      <w:tr w:rsidR="004E22C1" w:rsidRPr="001455DC" w14:paraId="6D3BA0F6" w14:textId="77777777" w:rsidTr="00822F09">
        <w:trPr>
          <w:cantSplit/>
        </w:trPr>
        <w:tc>
          <w:tcPr>
            <w:tcW w:w="1458" w:type="dxa"/>
            <w:vMerge w:val="restart"/>
            <w:vAlign w:val="center"/>
          </w:tcPr>
          <w:p w14:paraId="38CA044B" w14:textId="456E4BCA" w:rsidR="004E22C1" w:rsidRPr="001455DC" w:rsidRDefault="00722F85">
            <w:pPr>
              <w:pStyle w:val="Tablebody"/>
              <w:keepNext/>
              <w:jc w:val="left"/>
              <w:rPr>
                <w:b/>
                <w:szCs w:val="22"/>
              </w:rPr>
            </w:pPr>
            <w:r w:rsidRPr="001455DC">
              <w:rPr>
                <w:b/>
                <w:szCs w:val="22"/>
              </w:rPr>
              <w:t>Relaxation</w:t>
            </w:r>
            <w:r w:rsidRPr="001455DC">
              <w:rPr>
                <w:rStyle w:val="CCMCvariablesuperscript"/>
                <w:bCs/>
                <w:szCs w:val="22"/>
              </w:rPr>
              <w:t>b</w:t>
            </w:r>
          </w:p>
        </w:tc>
        <w:tc>
          <w:tcPr>
            <w:tcW w:w="4051" w:type="dxa"/>
            <w:vAlign w:val="center"/>
          </w:tcPr>
          <w:p w14:paraId="39137548" w14:textId="0863A7F8" w:rsidR="004E22C1" w:rsidRPr="009D3012" w:rsidRDefault="004E22C1" w:rsidP="00822F09">
            <w:pPr>
              <w:pStyle w:val="Tablebody"/>
              <w:keepNext/>
              <w:jc w:val="left"/>
              <w:rPr>
                <w:szCs w:val="22"/>
                <w:lang w:val="en-US"/>
              </w:rPr>
            </w:pPr>
            <w:r w:rsidRPr="009D3012">
              <w:rPr>
                <w:iCs/>
                <w:szCs w:val="22"/>
                <w:lang w:val="en-US"/>
              </w:rPr>
              <w:t>Relaxation at 1</w:t>
            </w:r>
            <w:r w:rsidR="00822F09" w:rsidRPr="009D3012">
              <w:rPr>
                <w:iCs/>
                <w:szCs w:val="22"/>
                <w:lang w:val="en-US"/>
              </w:rPr>
              <w:t> </w:t>
            </w:r>
            <w:r w:rsidRPr="009D3012">
              <w:rPr>
                <w:iCs/>
                <w:szCs w:val="22"/>
                <w:lang w:val="en-US"/>
              </w:rPr>
              <w:t>000 hours for initial stress of 70 % of actual tensile strength</w:t>
            </w:r>
            <w:r w:rsidRPr="009D3012">
              <w:rPr>
                <w:szCs w:val="22"/>
                <w:lang w:val="en-US"/>
              </w:rPr>
              <w:t xml:space="preserve">, </w:t>
            </w:r>
            <w:r w:rsidRPr="001455DC">
              <w:rPr>
                <w:rStyle w:val="CCMCvariableitalic"/>
                <w:szCs w:val="22"/>
              </w:rPr>
              <w:t>ρ</w:t>
            </w:r>
            <w:r w:rsidRPr="009D3012">
              <w:rPr>
                <w:rStyle w:val="CCMCvariablesubscript"/>
                <w:szCs w:val="22"/>
                <w:lang w:val="en-US"/>
              </w:rPr>
              <w:t>1000</w:t>
            </w:r>
          </w:p>
        </w:tc>
        <w:tc>
          <w:tcPr>
            <w:tcW w:w="4243" w:type="dxa"/>
            <w:gridSpan w:val="4"/>
            <w:vAlign w:val="center"/>
          </w:tcPr>
          <w:p w14:paraId="3A87224C" w14:textId="59AF1525" w:rsidR="004E22C1" w:rsidRPr="001455DC" w:rsidRDefault="00650035" w:rsidP="00822F09">
            <w:pPr>
              <w:pStyle w:val="Tablebody"/>
              <w:keepNext/>
              <w:jc w:val="center"/>
              <w:rPr>
                <w:szCs w:val="22"/>
              </w:rPr>
            </w:pPr>
            <w:r w:rsidRPr="001455DC">
              <w:rPr>
                <w:rFonts w:ascii="Cambria Math" w:hAnsi="Cambria Math"/>
                <w:szCs w:val="22"/>
              </w:rPr>
              <w:t>≤</w:t>
            </w:r>
            <w:r w:rsidR="004E22C1" w:rsidRPr="001455DC">
              <w:rPr>
                <w:szCs w:val="22"/>
              </w:rPr>
              <w:t> 2,5 %</w:t>
            </w:r>
          </w:p>
        </w:tc>
      </w:tr>
      <w:tr w:rsidR="004E22C1" w:rsidRPr="001455DC" w14:paraId="6FDB7A56" w14:textId="77777777" w:rsidTr="00822F09">
        <w:trPr>
          <w:cantSplit/>
        </w:trPr>
        <w:tc>
          <w:tcPr>
            <w:tcW w:w="1458" w:type="dxa"/>
            <w:vMerge/>
            <w:tcBorders>
              <w:bottom w:val="single" w:sz="12" w:space="0" w:color="000000"/>
            </w:tcBorders>
            <w:vAlign w:val="center"/>
          </w:tcPr>
          <w:p w14:paraId="239AF807" w14:textId="77777777" w:rsidR="004E22C1" w:rsidRPr="001455DC" w:rsidRDefault="004E22C1" w:rsidP="00822F09">
            <w:pPr>
              <w:pStyle w:val="Tablebody"/>
              <w:keepNext/>
              <w:jc w:val="left"/>
              <w:rPr>
                <w:szCs w:val="22"/>
              </w:rPr>
            </w:pPr>
          </w:p>
        </w:tc>
        <w:tc>
          <w:tcPr>
            <w:tcW w:w="4051" w:type="dxa"/>
            <w:tcBorders>
              <w:bottom w:val="single" w:sz="12" w:space="0" w:color="000000"/>
            </w:tcBorders>
            <w:vAlign w:val="center"/>
          </w:tcPr>
          <w:p w14:paraId="0B29E55C" w14:textId="4C4E1F31" w:rsidR="004E22C1" w:rsidRPr="009D3012" w:rsidRDefault="004E22C1" w:rsidP="00822F09">
            <w:pPr>
              <w:pStyle w:val="Tablebody"/>
              <w:keepNext/>
              <w:jc w:val="left"/>
              <w:rPr>
                <w:rStyle w:val="CCMCvariablesuperscript"/>
                <w:szCs w:val="22"/>
                <w:lang w:val="en-US"/>
              </w:rPr>
            </w:pPr>
            <w:r w:rsidRPr="009D3012">
              <w:rPr>
                <w:iCs/>
                <w:szCs w:val="22"/>
                <w:lang w:val="en-US"/>
              </w:rPr>
              <w:t>Relaxation at 1</w:t>
            </w:r>
            <w:r w:rsidR="00822F09" w:rsidRPr="009D3012">
              <w:rPr>
                <w:iCs/>
                <w:szCs w:val="22"/>
                <w:lang w:val="en-US"/>
              </w:rPr>
              <w:t> </w:t>
            </w:r>
            <w:r w:rsidRPr="009D3012">
              <w:rPr>
                <w:iCs/>
                <w:szCs w:val="22"/>
                <w:lang w:val="en-US"/>
              </w:rPr>
              <w:t xml:space="preserve">000 hours for initial stress of 80 % of actual tensile strength, </w:t>
            </w:r>
            <w:r w:rsidRPr="001455DC">
              <w:rPr>
                <w:rStyle w:val="CCMCvariableitalic"/>
                <w:szCs w:val="22"/>
              </w:rPr>
              <w:t>ρ</w:t>
            </w:r>
            <w:r w:rsidRPr="009D3012">
              <w:rPr>
                <w:rStyle w:val="CCMCvariablesubscript"/>
                <w:szCs w:val="22"/>
                <w:lang w:val="en-US"/>
              </w:rPr>
              <w:t>1000</w:t>
            </w:r>
            <w:r w:rsidRPr="009D3012">
              <w:rPr>
                <w:iCs/>
                <w:szCs w:val="22"/>
                <w:lang w:val="en-US"/>
              </w:rPr>
              <w:t xml:space="preserve"> </w:t>
            </w:r>
          </w:p>
        </w:tc>
        <w:tc>
          <w:tcPr>
            <w:tcW w:w="4243" w:type="dxa"/>
            <w:gridSpan w:val="4"/>
            <w:tcBorders>
              <w:bottom w:val="single" w:sz="12" w:space="0" w:color="000000"/>
            </w:tcBorders>
            <w:vAlign w:val="center"/>
          </w:tcPr>
          <w:p w14:paraId="6150B277" w14:textId="07999D58" w:rsidR="004E22C1" w:rsidRPr="001455DC" w:rsidRDefault="00650035" w:rsidP="00822F09">
            <w:pPr>
              <w:pStyle w:val="Tablebody"/>
              <w:keepNext/>
              <w:jc w:val="center"/>
              <w:rPr>
                <w:szCs w:val="22"/>
              </w:rPr>
            </w:pPr>
            <w:r w:rsidRPr="001455DC">
              <w:rPr>
                <w:rFonts w:ascii="Cambria Math" w:hAnsi="Cambria Math"/>
                <w:szCs w:val="22"/>
              </w:rPr>
              <w:t>≤</w:t>
            </w:r>
            <w:r w:rsidR="004E22C1" w:rsidRPr="001455DC">
              <w:rPr>
                <w:szCs w:val="22"/>
              </w:rPr>
              <w:t> 4,5 %</w:t>
            </w:r>
          </w:p>
        </w:tc>
      </w:tr>
      <w:tr w:rsidR="004E22C1" w:rsidRPr="001455DC" w14:paraId="6A00A002" w14:textId="77777777" w:rsidTr="00822F09">
        <w:trPr>
          <w:cantSplit/>
        </w:trPr>
        <w:tc>
          <w:tcPr>
            <w:tcW w:w="9752" w:type="dxa"/>
            <w:gridSpan w:val="6"/>
            <w:tcBorders>
              <w:top w:val="single" w:sz="12" w:space="0" w:color="000000"/>
              <w:bottom w:val="single" w:sz="12" w:space="0" w:color="auto"/>
            </w:tcBorders>
          </w:tcPr>
          <w:p w14:paraId="5D42E2B8" w14:textId="483ABE6B" w:rsidR="004E22C1" w:rsidRPr="009D3012" w:rsidRDefault="004E22C1">
            <w:pPr>
              <w:pStyle w:val="Tablefooternote"/>
              <w:keepNext/>
              <w:tabs>
                <w:tab w:val="clear" w:pos="680"/>
                <w:tab w:val="left" w:pos="851"/>
              </w:tabs>
              <w:rPr>
                <w:lang w:val="en-US"/>
              </w:rPr>
            </w:pPr>
            <w:r w:rsidRPr="009D3012">
              <w:rPr>
                <w:lang w:val="en-US"/>
              </w:rPr>
              <w:t>NOTE</w:t>
            </w:r>
            <w:r w:rsidRPr="009D3012">
              <w:rPr>
                <w:lang w:val="en-US"/>
              </w:rPr>
              <w:tab/>
              <w:t>All strength classes apply unless a National Annex excludes specific classes.</w:t>
            </w:r>
          </w:p>
        </w:tc>
      </w:tr>
      <w:tr w:rsidR="00822F09" w:rsidRPr="001455DC" w14:paraId="3458FB80" w14:textId="77777777" w:rsidTr="00822F09">
        <w:trPr>
          <w:cnfStyle w:val="010000000000" w:firstRow="0" w:lastRow="1" w:firstColumn="0" w:lastColumn="0" w:oddVBand="0" w:evenVBand="0" w:oddHBand="0" w:evenHBand="0" w:firstRowFirstColumn="0" w:firstRowLastColumn="0" w:lastRowFirstColumn="0" w:lastRowLastColumn="0"/>
          <w:cantSplit/>
        </w:trPr>
        <w:tc>
          <w:tcPr>
            <w:tcW w:w="9752" w:type="dxa"/>
            <w:gridSpan w:val="6"/>
          </w:tcPr>
          <w:p w14:paraId="5C07374B" w14:textId="254948FB" w:rsidR="00722F85" w:rsidRPr="009D3012" w:rsidRDefault="00822F09" w:rsidP="00822F09">
            <w:pPr>
              <w:pStyle w:val="Tablefooter"/>
              <w:rPr>
                <w:lang w:val="en-US"/>
              </w:rPr>
            </w:pPr>
            <w:r w:rsidRPr="009D3012">
              <w:rPr>
                <w:rStyle w:val="CCMCvariablesuperscript"/>
                <w:sz w:val="22"/>
                <w:szCs w:val="22"/>
                <w:lang w:val="en-US"/>
              </w:rPr>
              <w:t>a</w:t>
            </w:r>
            <w:r w:rsidRPr="009D3012">
              <w:rPr>
                <w:lang w:val="en-US"/>
              </w:rPr>
              <w:tab/>
            </w:r>
            <w:r w:rsidR="00722F85" w:rsidRPr="009D3012">
              <w:rPr>
                <w:lang w:val="en-US"/>
              </w:rPr>
              <w:t xml:space="preserve">Different fatigue properties can be set in a National Annex, if increased margins are required to the S-N curve parameters given in Annex E, by specifying higher values of the fatigue stress range and/or the number of cycles are confirmed by testing in accordance with </w:t>
            </w:r>
            <w:r w:rsidR="000D2A45" w:rsidRPr="001455DC">
              <w:rPr>
                <w:lang w:val="en-US"/>
              </w:rPr>
              <w:t>prEN 10138 (all parts)</w:t>
            </w:r>
            <w:r w:rsidR="00722F85" w:rsidRPr="009D3012">
              <w:rPr>
                <w:lang w:val="en-US"/>
              </w:rPr>
              <w:t>. No specific fatigue properties are required if the reinforcement is used only for predominantly static loading.</w:t>
            </w:r>
          </w:p>
          <w:p w14:paraId="6D320E3C" w14:textId="3AFAF90E" w:rsidR="00822F09" w:rsidRPr="009D3012" w:rsidRDefault="00722F85">
            <w:pPr>
              <w:pStyle w:val="Tablefooter"/>
              <w:rPr>
                <w:lang w:val="en-US"/>
              </w:rPr>
            </w:pPr>
            <w:r w:rsidRPr="009D3012">
              <w:rPr>
                <w:rStyle w:val="CCMCvariablesuperscript"/>
                <w:sz w:val="22"/>
                <w:szCs w:val="22"/>
                <w:lang w:val="en-US"/>
              </w:rPr>
              <w:t>b</w:t>
            </w:r>
            <w:r w:rsidRPr="009D3012">
              <w:rPr>
                <w:lang w:val="en-US"/>
              </w:rPr>
              <w:t xml:space="preserve"> </w:t>
            </w:r>
            <w:r w:rsidRPr="009D3012">
              <w:rPr>
                <w:lang w:val="en-US"/>
              </w:rPr>
              <w:tab/>
              <w:t>Relaxation losses are very sensitive to the temperature of the prestressing steel, see B.</w:t>
            </w:r>
            <w:r w:rsidR="00EE3F01" w:rsidRPr="001455DC">
              <w:rPr>
                <w:lang w:val="en-US"/>
              </w:rPr>
              <w:t>9</w:t>
            </w:r>
            <w:r w:rsidRPr="009D3012">
              <w:rPr>
                <w:lang w:val="en-US"/>
              </w:rPr>
              <w:t xml:space="preserve">. </w:t>
            </w:r>
            <w:r w:rsidR="00822F09" w:rsidRPr="009D3012">
              <w:rPr>
                <w:lang w:val="en-US"/>
              </w:rPr>
              <w:t>Relaxation losses apply at a mean temperature of 20 °C.</w:t>
            </w:r>
          </w:p>
        </w:tc>
      </w:tr>
    </w:tbl>
    <w:p w14:paraId="35074D89" w14:textId="77777777" w:rsidR="004E22C1" w:rsidRPr="001455DC" w:rsidRDefault="004E22C1" w:rsidP="00F72049">
      <w:pPr>
        <w:pStyle w:val="a7"/>
      </w:pPr>
    </w:p>
    <w:p w14:paraId="74364E51" w14:textId="142FE473" w:rsidR="004E22C1" w:rsidRPr="001455DC" w:rsidRDefault="004E22C1" w:rsidP="00F72049">
      <w:pPr>
        <w:pStyle w:val="Tabletitle"/>
        <w:rPr>
          <w:snapToGrid w:val="0"/>
        </w:rPr>
      </w:pPr>
      <w:bookmarkStart w:id="1385" w:name="_Toc54337554"/>
      <w:r w:rsidRPr="001455DC">
        <w:rPr>
          <w:snapToGrid w:val="0"/>
        </w:rPr>
        <w:t>Table C.</w:t>
      </w:r>
      <w:r w:rsidR="00722F85" w:rsidRPr="001455DC">
        <w:rPr>
          <w:snapToGrid w:val="0"/>
        </w:rPr>
        <w:t>5 </w:t>
      </w:r>
      <w:r w:rsidRPr="001455DC">
        <w:rPr>
          <w:snapToGrid w:val="0"/>
        </w:rPr>
        <w:t>— Strength, fatigue, ductility and relaxation properties of prestressing bars</w:t>
      </w:r>
      <w:r w:rsidRPr="001455DC">
        <w:t xml:space="preserve"> according to </w:t>
      </w:r>
      <w:bookmarkEnd w:id="1385"/>
      <w:r w:rsidR="000D2A45" w:rsidRPr="001455DC">
        <w:t>prEN 10138 (all parts)</w:t>
      </w:r>
    </w:p>
    <w:tbl>
      <w:tblPr>
        <w:tblStyle w:val="53"/>
        <w:tblW w:w="9752" w:type="dxa"/>
        <w:tblLook w:val="0660" w:firstRow="1" w:lastRow="1" w:firstColumn="0" w:lastColumn="0" w:noHBand="1" w:noVBand="1"/>
      </w:tblPr>
      <w:tblGrid>
        <w:gridCol w:w="1458"/>
        <w:gridCol w:w="4051"/>
        <w:gridCol w:w="1150"/>
        <w:gridCol w:w="1137"/>
        <w:gridCol w:w="976"/>
        <w:gridCol w:w="980"/>
      </w:tblGrid>
      <w:tr w:rsidR="00822F09" w:rsidRPr="001455DC" w14:paraId="73BD3F22" w14:textId="77777777" w:rsidTr="00822F09">
        <w:trPr>
          <w:cnfStyle w:val="100000000000" w:firstRow="1" w:lastRow="0" w:firstColumn="0" w:lastColumn="0" w:oddVBand="0" w:evenVBand="0" w:oddHBand="0" w:evenHBand="0" w:firstRowFirstColumn="0" w:firstRowLastColumn="0" w:lastRowFirstColumn="0" w:lastRowLastColumn="0"/>
          <w:cantSplit/>
          <w:tblHeader/>
        </w:trPr>
        <w:tc>
          <w:tcPr>
            <w:tcW w:w="5509" w:type="dxa"/>
            <w:gridSpan w:val="2"/>
            <w:vMerge w:val="restart"/>
          </w:tcPr>
          <w:p w14:paraId="6267798D" w14:textId="1C39BE10" w:rsidR="00822F09" w:rsidRPr="001455DC" w:rsidRDefault="00822F09" w:rsidP="00822F09">
            <w:pPr>
              <w:pStyle w:val="Tableheader"/>
              <w:keepNext/>
            </w:pPr>
            <w:r w:rsidRPr="001455DC">
              <w:t>Property</w:t>
            </w:r>
          </w:p>
        </w:tc>
        <w:tc>
          <w:tcPr>
            <w:tcW w:w="4243" w:type="dxa"/>
            <w:gridSpan w:val="4"/>
          </w:tcPr>
          <w:p w14:paraId="36AF0771" w14:textId="77777777" w:rsidR="00822F09" w:rsidRPr="001455DC" w:rsidRDefault="00822F09" w:rsidP="00822F09">
            <w:pPr>
              <w:pStyle w:val="Tableheader"/>
              <w:keepNext/>
            </w:pPr>
            <w:r w:rsidRPr="001455DC">
              <w:t>Bars — Strength class</w:t>
            </w:r>
          </w:p>
        </w:tc>
      </w:tr>
      <w:tr w:rsidR="00822F09" w:rsidRPr="001455DC" w14:paraId="4BCB9251" w14:textId="77777777" w:rsidTr="00822F09">
        <w:trPr>
          <w:cnfStyle w:val="100000000000" w:firstRow="1" w:lastRow="0" w:firstColumn="0" w:lastColumn="0" w:oddVBand="0" w:evenVBand="0" w:oddHBand="0" w:evenHBand="0" w:firstRowFirstColumn="0" w:firstRowLastColumn="0" w:lastRowFirstColumn="0" w:lastRowLastColumn="0"/>
          <w:cantSplit/>
          <w:tblHeader/>
        </w:trPr>
        <w:tc>
          <w:tcPr>
            <w:tcW w:w="5509" w:type="dxa"/>
            <w:gridSpan w:val="2"/>
            <w:vMerge/>
          </w:tcPr>
          <w:p w14:paraId="35562B40" w14:textId="77777777" w:rsidR="00822F09" w:rsidRPr="001455DC" w:rsidRDefault="00822F09" w:rsidP="00822F09">
            <w:pPr>
              <w:pStyle w:val="Tableheader"/>
              <w:keepNext/>
            </w:pPr>
          </w:p>
        </w:tc>
        <w:tc>
          <w:tcPr>
            <w:tcW w:w="1150" w:type="dxa"/>
          </w:tcPr>
          <w:p w14:paraId="45C616C2" w14:textId="77777777" w:rsidR="00822F09" w:rsidRPr="001455DC" w:rsidRDefault="00822F09" w:rsidP="00822F09">
            <w:pPr>
              <w:pStyle w:val="Tableheader"/>
              <w:keepNext/>
            </w:pPr>
            <w:r w:rsidRPr="001455DC">
              <w:t>Y1030</w:t>
            </w:r>
          </w:p>
        </w:tc>
        <w:tc>
          <w:tcPr>
            <w:tcW w:w="1137" w:type="dxa"/>
          </w:tcPr>
          <w:p w14:paraId="5B63E884" w14:textId="77777777" w:rsidR="00822F09" w:rsidRPr="001455DC" w:rsidRDefault="00822F09" w:rsidP="00822F09">
            <w:pPr>
              <w:pStyle w:val="Tableheader"/>
              <w:keepNext/>
            </w:pPr>
            <w:r w:rsidRPr="001455DC">
              <w:t>Y1050</w:t>
            </w:r>
          </w:p>
        </w:tc>
        <w:tc>
          <w:tcPr>
            <w:tcW w:w="976" w:type="dxa"/>
          </w:tcPr>
          <w:p w14:paraId="22DBFA34" w14:textId="77777777" w:rsidR="00822F09" w:rsidRPr="001455DC" w:rsidRDefault="00822F09" w:rsidP="00822F09">
            <w:pPr>
              <w:pStyle w:val="Tableheader"/>
              <w:keepNext/>
            </w:pPr>
            <w:r w:rsidRPr="001455DC">
              <w:t>Y1100</w:t>
            </w:r>
          </w:p>
        </w:tc>
        <w:tc>
          <w:tcPr>
            <w:tcW w:w="980" w:type="dxa"/>
          </w:tcPr>
          <w:p w14:paraId="6C1A6618" w14:textId="77777777" w:rsidR="00822F09" w:rsidRPr="001455DC" w:rsidRDefault="00822F09" w:rsidP="00822F09">
            <w:pPr>
              <w:pStyle w:val="Tableheader"/>
              <w:keepNext/>
            </w:pPr>
            <w:r w:rsidRPr="001455DC">
              <w:t>Y1230</w:t>
            </w:r>
          </w:p>
        </w:tc>
      </w:tr>
      <w:tr w:rsidR="004E22C1" w:rsidRPr="001455DC" w14:paraId="0A50F0EA" w14:textId="77777777" w:rsidTr="00822F09">
        <w:trPr>
          <w:cantSplit/>
        </w:trPr>
        <w:tc>
          <w:tcPr>
            <w:tcW w:w="1458" w:type="dxa"/>
            <w:vMerge w:val="restart"/>
            <w:vAlign w:val="center"/>
          </w:tcPr>
          <w:p w14:paraId="5BB900F8" w14:textId="77777777" w:rsidR="004E22C1" w:rsidRPr="001455DC" w:rsidRDefault="004E22C1" w:rsidP="00822F09">
            <w:pPr>
              <w:pStyle w:val="Tablebody"/>
              <w:keepNext/>
              <w:jc w:val="left"/>
              <w:rPr>
                <w:b/>
                <w:szCs w:val="22"/>
              </w:rPr>
            </w:pPr>
            <w:r w:rsidRPr="001455DC">
              <w:rPr>
                <w:b/>
                <w:szCs w:val="22"/>
              </w:rPr>
              <w:t>Strength</w:t>
            </w:r>
          </w:p>
        </w:tc>
        <w:tc>
          <w:tcPr>
            <w:tcW w:w="4051" w:type="dxa"/>
            <w:vAlign w:val="center"/>
          </w:tcPr>
          <w:p w14:paraId="6367183D" w14:textId="1D3661FF" w:rsidR="004E22C1" w:rsidRPr="009D3012" w:rsidRDefault="004E22C1" w:rsidP="00822F09">
            <w:pPr>
              <w:pStyle w:val="Tablebody"/>
              <w:keepNext/>
              <w:jc w:val="left"/>
              <w:rPr>
                <w:szCs w:val="22"/>
                <w:lang w:val="en-US"/>
              </w:rPr>
            </w:pPr>
            <w:r w:rsidRPr="009D3012">
              <w:rPr>
                <w:szCs w:val="22"/>
                <w:lang w:val="en-US"/>
              </w:rPr>
              <w:t xml:space="preserve">Characteristic yield strength </w:t>
            </w:r>
            <w:r w:rsidRPr="009D3012">
              <w:rPr>
                <w:rStyle w:val="CCMCvariableitalic"/>
                <w:szCs w:val="22"/>
                <w:lang w:val="en-US"/>
              </w:rPr>
              <w:t>R</w:t>
            </w:r>
            <w:r w:rsidRPr="009D3012">
              <w:rPr>
                <w:rStyle w:val="CCMCvariablesubscript"/>
                <w:szCs w:val="22"/>
                <w:lang w:val="en-US"/>
              </w:rPr>
              <w:t>p0,1k</w:t>
            </w:r>
            <w:r w:rsidRPr="009D3012">
              <w:rPr>
                <w:szCs w:val="22"/>
                <w:lang w:val="en-US"/>
              </w:rPr>
              <w:t xml:space="preserve"> [MPa], 5 % quantile</w:t>
            </w:r>
          </w:p>
        </w:tc>
        <w:tc>
          <w:tcPr>
            <w:tcW w:w="1150" w:type="dxa"/>
            <w:vAlign w:val="center"/>
          </w:tcPr>
          <w:p w14:paraId="0519B674" w14:textId="11CD086C" w:rsidR="004E22C1" w:rsidRPr="001455DC" w:rsidRDefault="00650035" w:rsidP="00822F09">
            <w:pPr>
              <w:pStyle w:val="Tablebody"/>
              <w:keepNext/>
              <w:jc w:val="center"/>
              <w:rPr>
                <w:szCs w:val="22"/>
              </w:rPr>
            </w:pPr>
            <w:r w:rsidRPr="001455DC">
              <w:rPr>
                <w:rFonts w:ascii="Cambria Math" w:hAnsi="Cambria Math"/>
                <w:szCs w:val="22"/>
              </w:rPr>
              <w:t>≥</w:t>
            </w:r>
            <w:r w:rsidR="00073FC6" w:rsidRPr="001455DC">
              <w:rPr>
                <w:szCs w:val="22"/>
              </w:rPr>
              <w:t> </w:t>
            </w:r>
            <w:r w:rsidR="004E22C1" w:rsidRPr="001455DC">
              <w:rPr>
                <w:szCs w:val="22"/>
              </w:rPr>
              <w:t>835</w:t>
            </w:r>
          </w:p>
        </w:tc>
        <w:tc>
          <w:tcPr>
            <w:tcW w:w="1137" w:type="dxa"/>
            <w:vAlign w:val="center"/>
          </w:tcPr>
          <w:p w14:paraId="46792EE5" w14:textId="11F558AF" w:rsidR="004E22C1" w:rsidRPr="001455DC" w:rsidRDefault="00650035" w:rsidP="00822F09">
            <w:pPr>
              <w:pStyle w:val="Tablebody"/>
              <w:keepNext/>
              <w:jc w:val="center"/>
              <w:rPr>
                <w:szCs w:val="22"/>
              </w:rPr>
            </w:pPr>
            <w:r w:rsidRPr="001455DC">
              <w:rPr>
                <w:rFonts w:ascii="Cambria Math" w:hAnsi="Cambria Math"/>
                <w:szCs w:val="22"/>
              </w:rPr>
              <w:t>≥</w:t>
            </w:r>
            <w:r w:rsidR="00073FC6" w:rsidRPr="001455DC">
              <w:rPr>
                <w:szCs w:val="22"/>
              </w:rPr>
              <w:t> </w:t>
            </w:r>
            <w:r w:rsidR="004E22C1" w:rsidRPr="001455DC">
              <w:rPr>
                <w:szCs w:val="22"/>
              </w:rPr>
              <w:t>950</w:t>
            </w:r>
          </w:p>
        </w:tc>
        <w:tc>
          <w:tcPr>
            <w:tcW w:w="976" w:type="dxa"/>
            <w:vAlign w:val="center"/>
          </w:tcPr>
          <w:p w14:paraId="3208EE38" w14:textId="25C9AC11" w:rsidR="004E22C1" w:rsidRPr="001455DC" w:rsidRDefault="00650035" w:rsidP="00822F09">
            <w:pPr>
              <w:pStyle w:val="Tablebody"/>
              <w:keepNext/>
              <w:jc w:val="center"/>
              <w:rPr>
                <w:szCs w:val="22"/>
              </w:rPr>
            </w:pPr>
            <w:r w:rsidRPr="001455DC">
              <w:rPr>
                <w:rFonts w:ascii="Cambria Math" w:hAnsi="Cambria Math"/>
                <w:szCs w:val="22"/>
              </w:rPr>
              <w:t>≥</w:t>
            </w:r>
            <w:r w:rsidR="00073FC6" w:rsidRPr="001455DC">
              <w:rPr>
                <w:szCs w:val="22"/>
              </w:rPr>
              <w:t> </w:t>
            </w:r>
            <w:r w:rsidR="004E22C1" w:rsidRPr="001455DC">
              <w:rPr>
                <w:szCs w:val="22"/>
              </w:rPr>
              <w:t>900</w:t>
            </w:r>
          </w:p>
        </w:tc>
        <w:tc>
          <w:tcPr>
            <w:tcW w:w="980" w:type="dxa"/>
            <w:vAlign w:val="center"/>
          </w:tcPr>
          <w:p w14:paraId="1BA7AAD2" w14:textId="1B852BFB" w:rsidR="004E22C1" w:rsidRPr="001455DC" w:rsidRDefault="00650035" w:rsidP="00822F09">
            <w:pPr>
              <w:pStyle w:val="Tablebody"/>
              <w:keepNext/>
              <w:jc w:val="center"/>
              <w:rPr>
                <w:szCs w:val="22"/>
              </w:rPr>
            </w:pPr>
            <w:r w:rsidRPr="001455DC">
              <w:rPr>
                <w:rFonts w:ascii="Cambria Math" w:hAnsi="Cambria Math"/>
                <w:szCs w:val="22"/>
              </w:rPr>
              <w:t>≥</w:t>
            </w:r>
            <w:r w:rsidR="00073FC6" w:rsidRPr="001455DC">
              <w:rPr>
                <w:szCs w:val="22"/>
              </w:rPr>
              <w:t> </w:t>
            </w:r>
            <w:r w:rsidR="004E22C1" w:rsidRPr="001455DC">
              <w:rPr>
                <w:szCs w:val="22"/>
              </w:rPr>
              <w:t>1080</w:t>
            </w:r>
          </w:p>
        </w:tc>
      </w:tr>
      <w:tr w:rsidR="004E22C1" w:rsidRPr="001455DC" w14:paraId="3764938D" w14:textId="77777777" w:rsidTr="00822F09">
        <w:trPr>
          <w:cantSplit/>
        </w:trPr>
        <w:tc>
          <w:tcPr>
            <w:tcW w:w="1458" w:type="dxa"/>
            <w:vMerge/>
            <w:vAlign w:val="center"/>
          </w:tcPr>
          <w:p w14:paraId="5E370471" w14:textId="77777777" w:rsidR="004E22C1" w:rsidRPr="001455DC" w:rsidRDefault="004E22C1" w:rsidP="00822F09">
            <w:pPr>
              <w:pStyle w:val="Tablebody"/>
              <w:keepNext/>
              <w:jc w:val="left"/>
              <w:rPr>
                <w:b/>
                <w:szCs w:val="22"/>
              </w:rPr>
            </w:pPr>
          </w:p>
        </w:tc>
        <w:tc>
          <w:tcPr>
            <w:tcW w:w="4051" w:type="dxa"/>
            <w:vAlign w:val="center"/>
          </w:tcPr>
          <w:p w14:paraId="7FB24F2B" w14:textId="00814ADD" w:rsidR="004E22C1" w:rsidRPr="009D3012" w:rsidRDefault="004E22C1" w:rsidP="00822F09">
            <w:pPr>
              <w:pStyle w:val="Tablebody"/>
              <w:keepNext/>
              <w:jc w:val="left"/>
              <w:rPr>
                <w:szCs w:val="22"/>
                <w:lang w:val="en-US"/>
              </w:rPr>
            </w:pPr>
            <w:r w:rsidRPr="009D3012">
              <w:rPr>
                <w:szCs w:val="22"/>
                <w:lang w:val="en-US"/>
              </w:rPr>
              <w:t xml:space="preserve">Characteristic tensile strength </w:t>
            </w:r>
            <w:r w:rsidRPr="009D3012">
              <w:rPr>
                <w:rStyle w:val="CCMCvariableitalic"/>
                <w:szCs w:val="22"/>
                <w:lang w:val="en-US"/>
              </w:rPr>
              <w:t>R</w:t>
            </w:r>
            <w:r w:rsidRPr="009D3012">
              <w:rPr>
                <w:rStyle w:val="CCMCvariablesubscript"/>
                <w:szCs w:val="22"/>
                <w:lang w:val="en-US"/>
              </w:rPr>
              <w:t>pk</w:t>
            </w:r>
            <w:r w:rsidRPr="009D3012">
              <w:rPr>
                <w:szCs w:val="22"/>
                <w:lang w:val="en-US"/>
              </w:rPr>
              <w:t xml:space="preserve"> [MPa], 5 % quantile</w:t>
            </w:r>
          </w:p>
        </w:tc>
        <w:tc>
          <w:tcPr>
            <w:tcW w:w="1150" w:type="dxa"/>
            <w:vAlign w:val="center"/>
          </w:tcPr>
          <w:p w14:paraId="769428F1" w14:textId="79862AEE" w:rsidR="004E22C1" w:rsidRPr="001455DC" w:rsidRDefault="00650035" w:rsidP="00822F09">
            <w:pPr>
              <w:pStyle w:val="Tablebody"/>
              <w:keepNext/>
              <w:jc w:val="center"/>
              <w:rPr>
                <w:szCs w:val="22"/>
              </w:rPr>
            </w:pPr>
            <w:r w:rsidRPr="001455DC">
              <w:rPr>
                <w:rFonts w:ascii="Cambria Math" w:hAnsi="Cambria Math"/>
                <w:szCs w:val="22"/>
              </w:rPr>
              <w:t>≥</w:t>
            </w:r>
            <w:r w:rsidR="00073FC6" w:rsidRPr="001455DC">
              <w:rPr>
                <w:szCs w:val="22"/>
              </w:rPr>
              <w:t> </w:t>
            </w:r>
            <w:r w:rsidR="004E22C1" w:rsidRPr="001455DC">
              <w:rPr>
                <w:szCs w:val="22"/>
              </w:rPr>
              <w:t>1030</w:t>
            </w:r>
          </w:p>
        </w:tc>
        <w:tc>
          <w:tcPr>
            <w:tcW w:w="1137" w:type="dxa"/>
            <w:vAlign w:val="center"/>
          </w:tcPr>
          <w:p w14:paraId="2CF39D5D" w14:textId="7F8648D0" w:rsidR="004E22C1" w:rsidRPr="001455DC" w:rsidRDefault="00650035" w:rsidP="00822F09">
            <w:pPr>
              <w:pStyle w:val="Tablebody"/>
              <w:keepNext/>
              <w:jc w:val="center"/>
              <w:rPr>
                <w:szCs w:val="22"/>
              </w:rPr>
            </w:pPr>
            <w:r w:rsidRPr="001455DC">
              <w:rPr>
                <w:rFonts w:ascii="Cambria Math" w:hAnsi="Cambria Math"/>
                <w:szCs w:val="22"/>
              </w:rPr>
              <w:t>≥</w:t>
            </w:r>
            <w:r w:rsidR="00073FC6" w:rsidRPr="001455DC">
              <w:rPr>
                <w:szCs w:val="22"/>
              </w:rPr>
              <w:t> </w:t>
            </w:r>
            <w:r w:rsidR="004E22C1" w:rsidRPr="001455DC">
              <w:rPr>
                <w:szCs w:val="22"/>
              </w:rPr>
              <w:t>1050</w:t>
            </w:r>
          </w:p>
        </w:tc>
        <w:tc>
          <w:tcPr>
            <w:tcW w:w="976" w:type="dxa"/>
            <w:vAlign w:val="center"/>
          </w:tcPr>
          <w:p w14:paraId="18E8BD59" w14:textId="03F1FABF" w:rsidR="004E22C1" w:rsidRPr="001455DC" w:rsidRDefault="00650035" w:rsidP="00822F09">
            <w:pPr>
              <w:pStyle w:val="Tablebody"/>
              <w:keepNext/>
              <w:jc w:val="center"/>
              <w:rPr>
                <w:szCs w:val="22"/>
              </w:rPr>
            </w:pPr>
            <w:r w:rsidRPr="001455DC">
              <w:rPr>
                <w:rFonts w:ascii="Cambria Math" w:hAnsi="Cambria Math"/>
                <w:szCs w:val="22"/>
              </w:rPr>
              <w:t>≥</w:t>
            </w:r>
            <w:r w:rsidR="00073FC6" w:rsidRPr="001455DC">
              <w:rPr>
                <w:szCs w:val="22"/>
              </w:rPr>
              <w:t> </w:t>
            </w:r>
            <w:r w:rsidR="004E22C1" w:rsidRPr="001455DC">
              <w:rPr>
                <w:szCs w:val="22"/>
              </w:rPr>
              <w:t>1100</w:t>
            </w:r>
          </w:p>
        </w:tc>
        <w:tc>
          <w:tcPr>
            <w:tcW w:w="980" w:type="dxa"/>
            <w:vAlign w:val="center"/>
          </w:tcPr>
          <w:p w14:paraId="33B4BA87" w14:textId="5DAA3DF3" w:rsidR="004E22C1" w:rsidRPr="001455DC" w:rsidRDefault="00650035" w:rsidP="00822F09">
            <w:pPr>
              <w:pStyle w:val="Tablebody"/>
              <w:keepNext/>
              <w:jc w:val="center"/>
              <w:rPr>
                <w:szCs w:val="22"/>
              </w:rPr>
            </w:pPr>
            <w:r w:rsidRPr="001455DC">
              <w:rPr>
                <w:rFonts w:ascii="Cambria Math" w:hAnsi="Cambria Math"/>
                <w:szCs w:val="22"/>
              </w:rPr>
              <w:t>≥</w:t>
            </w:r>
            <w:r w:rsidR="00073FC6" w:rsidRPr="001455DC">
              <w:rPr>
                <w:szCs w:val="22"/>
              </w:rPr>
              <w:t> </w:t>
            </w:r>
            <w:r w:rsidR="004E22C1" w:rsidRPr="001455DC">
              <w:rPr>
                <w:szCs w:val="22"/>
              </w:rPr>
              <w:t>1230</w:t>
            </w:r>
          </w:p>
        </w:tc>
      </w:tr>
      <w:tr w:rsidR="004E22C1" w:rsidRPr="001455DC" w14:paraId="787DF630" w14:textId="77777777" w:rsidTr="00822F09">
        <w:trPr>
          <w:cantSplit/>
        </w:trPr>
        <w:tc>
          <w:tcPr>
            <w:tcW w:w="1458" w:type="dxa"/>
            <w:vMerge/>
            <w:vAlign w:val="center"/>
          </w:tcPr>
          <w:p w14:paraId="287D5F24" w14:textId="77777777" w:rsidR="004E22C1" w:rsidRPr="001455DC" w:rsidRDefault="004E22C1" w:rsidP="00822F09">
            <w:pPr>
              <w:pStyle w:val="Tablebody"/>
              <w:keepNext/>
              <w:jc w:val="left"/>
              <w:rPr>
                <w:b/>
                <w:szCs w:val="22"/>
              </w:rPr>
            </w:pPr>
          </w:p>
        </w:tc>
        <w:tc>
          <w:tcPr>
            <w:tcW w:w="4051" w:type="dxa"/>
            <w:vAlign w:val="center"/>
          </w:tcPr>
          <w:p w14:paraId="6CB7B687" w14:textId="593EB763" w:rsidR="004E22C1" w:rsidRPr="009D3012" w:rsidRDefault="004E22C1" w:rsidP="00822F09">
            <w:pPr>
              <w:pStyle w:val="Tablebody"/>
              <w:keepNext/>
              <w:jc w:val="left"/>
              <w:rPr>
                <w:szCs w:val="22"/>
                <w:lang w:val="en-US"/>
              </w:rPr>
            </w:pPr>
            <w:r w:rsidRPr="009D3012">
              <w:rPr>
                <w:szCs w:val="22"/>
                <w:lang w:val="en-US"/>
              </w:rPr>
              <w:t xml:space="preserve">Value of actual tensile strength [MPa] for each individual test-specimen </w:t>
            </w:r>
          </w:p>
        </w:tc>
        <w:tc>
          <w:tcPr>
            <w:tcW w:w="1150" w:type="dxa"/>
            <w:vAlign w:val="center"/>
          </w:tcPr>
          <w:p w14:paraId="5EE239B3" w14:textId="4EF060C2" w:rsidR="004E22C1" w:rsidRPr="001455DC" w:rsidRDefault="00650035" w:rsidP="00822F09">
            <w:pPr>
              <w:pStyle w:val="Tablebody"/>
              <w:keepNext/>
              <w:jc w:val="center"/>
              <w:rPr>
                <w:szCs w:val="22"/>
              </w:rPr>
            </w:pPr>
            <w:r w:rsidRPr="001455DC">
              <w:rPr>
                <w:rFonts w:ascii="Cambria Math" w:hAnsi="Cambria Math"/>
                <w:szCs w:val="22"/>
              </w:rPr>
              <w:t>≤</w:t>
            </w:r>
            <w:r w:rsidR="004E22C1" w:rsidRPr="001455DC">
              <w:rPr>
                <w:szCs w:val="22"/>
              </w:rPr>
              <w:t> 1180</w:t>
            </w:r>
          </w:p>
        </w:tc>
        <w:tc>
          <w:tcPr>
            <w:tcW w:w="1137" w:type="dxa"/>
            <w:vAlign w:val="center"/>
          </w:tcPr>
          <w:p w14:paraId="27CC6E28" w14:textId="44478D7A" w:rsidR="004E22C1" w:rsidRPr="001455DC" w:rsidRDefault="00650035" w:rsidP="00822F09">
            <w:pPr>
              <w:pStyle w:val="Tablebody"/>
              <w:keepNext/>
              <w:jc w:val="center"/>
              <w:rPr>
                <w:szCs w:val="22"/>
              </w:rPr>
            </w:pPr>
            <w:r w:rsidRPr="001455DC">
              <w:rPr>
                <w:rFonts w:ascii="Cambria Math" w:hAnsi="Cambria Math"/>
                <w:szCs w:val="22"/>
              </w:rPr>
              <w:t>≤</w:t>
            </w:r>
            <w:r w:rsidR="004E22C1" w:rsidRPr="001455DC">
              <w:rPr>
                <w:szCs w:val="22"/>
              </w:rPr>
              <w:t> 1210</w:t>
            </w:r>
          </w:p>
        </w:tc>
        <w:tc>
          <w:tcPr>
            <w:tcW w:w="976" w:type="dxa"/>
            <w:vAlign w:val="center"/>
          </w:tcPr>
          <w:p w14:paraId="68AABE1C" w14:textId="369E069A" w:rsidR="004E22C1" w:rsidRPr="001455DC" w:rsidRDefault="00650035" w:rsidP="00822F09">
            <w:pPr>
              <w:pStyle w:val="Tablebody"/>
              <w:keepNext/>
              <w:jc w:val="center"/>
              <w:rPr>
                <w:szCs w:val="22"/>
              </w:rPr>
            </w:pPr>
            <w:r w:rsidRPr="001455DC">
              <w:rPr>
                <w:rFonts w:ascii="Cambria Math" w:hAnsi="Cambria Math"/>
                <w:szCs w:val="22"/>
              </w:rPr>
              <w:t>≤</w:t>
            </w:r>
            <w:r w:rsidR="004E22C1" w:rsidRPr="001455DC">
              <w:rPr>
                <w:szCs w:val="22"/>
              </w:rPr>
              <w:t> 1260</w:t>
            </w:r>
          </w:p>
        </w:tc>
        <w:tc>
          <w:tcPr>
            <w:tcW w:w="980" w:type="dxa"/>
            <w:vAlign w:val="center"/>
          </w:tcPr>
          <w:p w14:paraId="794C203E" w14:textId="520689C7" w:rsidR="004E22C1" w:rsidRPr="001455DC" w:rsidRDefault="00650035" w:rsidP="00822F09">
            <w:pPr>
              <w:pStyle w:val="Tablebody"/>
              <w:keepNext/>
              <w:jc w:val="center"/>
              <w:rPr>
                <w:szCs w:val="22"/>
              </w:rPr>
            </w:pPr>
            <w:r w:rsidRPr="001455DC">
              <w:rPr>
                <w:rFonts w:ascii="Cambria Math" w:hAnsi="Cambria Math"/>
                <w:szCs w:val="22"/>
              </w:rPr>
              <w:t>≤</w:t>
            </w:r>
            <w:r w:rsidR="004E22C1" w:rsidRPr="001455DC">
              <w:rPr>
                <w:szCs w:val="22"/>
              </w:rPr>
              <w:t> 1370</w:t>
            </w:r>
          </w:p>
        </w:tc>
      </w:tr>
      <w:tr w:rsidR="004E22C1" w:rsidRPr="001455DC" w14:paraId="637870E1" w14:textId="77777777" w:rsidTr="00822F09">
        <w:trPr>
          <w:cantSplit/>
        </w:trPr>
        <w:tc>
          <w:tcPr>
            <w:tcW w:w="1458" w:type="dxa"/>
            <w:vAlign w:val="center"/>
          </w:tcPr>
          <w:p w14:paraId="135A7F75" w14:textId="50514E99" w:rsidR="004E22C1" w:rsidRPr="001455DC" w:rsidRDefault="004E22C1" w:rsidP="00822F09">
            <w:pPr>
              <w:pStyle w:val="Tablebody"/>
              <w:keepNext/>
              <w:jc w:val="left"/>
              <w:rPr>
                <w:b/>
                <w:szCs w:val="22"/>
              </w:rPr>
            </w:pPr>
            <w:r w:rsidRPr="001455DC">
              <w:rPr>
                <w:b/>
                <w:szCs w:val="22"/>
              </w:rPr>
              <w:t>Fatigue</w:t>
            </w:r>
            <w:r w:rsidR="00722F85" w:rsidRPr="001455DC">
              <w:rPr>
                <w:rStyle w:val="CCMCvariablesuperscript"/>
                <w:bCs/>
                <w:szCs w:val="22"/>
              </w:rPr>
              <w:t>a</w:t>
            </w:r>
          </w:p>
        </w:tc>
        <w:tc>
          <w:tcPr>
            <w:tcW w:w="4051" w:type="dxa"/>
            <w:vAlign w:val="center"/>
          </w:tcPr>
          <w:p w14:paraId="11D87443" w14:textId="0C1A8309" w:rsidR="004E22C1" w:rsidRPr="009D3012" w:rsidRDefault="004E22C1" w:rsidP="00822F09">
            <w:pPr>
              <w:pStyle w:val="Tablebody"/>
              <w:keepNext/>
              <w:jc w:val="left"/>
              <w:rPr>
                <w:szCs w:val="22"/>
                <w:lang w:val="en-US"/>
              </w:rPr>
            </w:pPr>
            <w:r w:rsidRPr="009D3012">
              <w:rPr>
                <w:szCs w:val="22"/>
                <w:lang w:val="en-US"/>
              </w:rPr>
              <w:t xml:space="preserve">Fatigue stress range in testing [MPa] for </w:t>
            </w:r>
            <w:r w:rsidRPr="009D3012">
              <w:rPr>
                <w:rStyle w:val="CCMCvariableitalic"/>
                <w:szCs w:val="22"/>
                <w:lang w:val="en-US"/>
              </w:rPr>
              <w:t>N</w:t>
            </w:r>
            <w:r w:rsidRPr="009D3012">
              <w:rPr>
                <w:szCs w:val="22"/>
                <w:lang w:val="en-US"/>
              </w:rPr>
              <w:t> </w:t>
            </w:r>
            <w:r w:rsidR="00650035" w:rsidRPr="009D3012">
              <w:rPr>
                <w:rFonts w:ascii="Cambria Math" w:hAnsi="Cambria Math"/>
                <w:szCs w:val="22"/>
                <w:lang w:val="en-US"/>
              </w:rPr>
              <w:t>≥</w:t>
            </w:r>
            <w:r w:rsidR="00073FC6" w:rsidRPr="009D3012">
              <w:rPr>
                <w:szCs w:val="22"/>
                <w:lang w:val="en-US"/>
              </w:rPr>
              <w:t> </w:t>
            </w:r>
            <w:r w:rsidRPr="009D3012">
              <w:rPr>
                <w:szCs w:val="22"/>
                <w:lang w:val="en-US"/>
              </w:rPr>
              <w:t>2</w:t>
            </w:r>
            <w:r w:rsidR="00822F09" w:rsidRPr="009D3012">
              <w:rPr>
                <w:szCs w:val="22"/>
                <w:lang w:val="en-US"/>
              </w:rPr>
              <w:t> </w:t>
            </w:r>
            <w:r w:rsidR="00822F09" w:rsidRPr="009D3012">
              <w:rPr>
                <w:rFonts w:ascii="Cambria Math" w:hAnsi="Cambria Math"/>
                <w:szCs w:val="22"/>
                <w:lang w:val="en-US"/>
              </w:rPr>
              <w:t>×</w:t>
            </w:r>
            <w:r w:rsidR="00822F09" w:rsidRPr="009D3012">
              <w:rPr>
                <w:szCs w:val="22"/>
                <w:lang w:val="en-US"/>
              </w:rPr>
              <w:t> </w:t>
            </w:r>
            <w:r w:rsidRPr="009D3012">
              <w:rPr>
                <w:szCs w:val="22"/>
                <w:lang w:val="en-US"/>
              </w:rPr>
              <w:t>10</w:t>
            </w:r>
            <w:r w:rsidRPr="009D3012">
              <w:rPr>
                <w:rStyle w:val="CCMCvariablesuperscript"/>
                <w:szCs w:val="22"/>
                <w:lang w:val="en-US"/>
              </w:rPr>
              <w:t>6</w:t>
            </w:r>
            <w:r w:rsidRPr="009D3012">
              <w:rPr>
                <w:szCs w:val="22"/>
                <w:lang w:val="en-US"/>
              </w:rPr>
              <w:t xml:space="preserve"> cycles with an upper limit of </w:t>
            </w:r>
            <w:r w:rsidRPr="009D3012">
              <w:rPr>
                <w:iCs/>
                <w:szCs w:val="22"/>
                <w:lang w:val="en-US"/>
              </w:rPr>
              <w:t>0,7</w:t>
            </w:r>
            <w:r w:rsidRPr="009D3012">
              <w:rPr>
                <w:szCs w:val="22"/>
                <w:lang w:val="en-US"/>
              </w:rPr>
              <w:t xml:space="preserve"> </w:t>
            </w:r>
            <w:r w:rsidRPr="009D3012">
              <w:rPr>
                <w:rStyle w:val="CCMCvariableitalic"/>
                <w:szCs w:val="22"/>
                <w:lang w:val="en-US"/>
              </w:rPr>
              <w:t>f</w:t>
            </w:r>
            <w:r w:rsidRPr="009D3012">
              <w:rPr>
                <w:rStyle w:val="CCMCvariablesubscript"/>
                <w:szCs w:val="22"/>
                <w:lang w:val="en-US"/>
              </w:rPr>
              <w:t>pk</w:t>
            </w:r>
            <w:r w:rsidRPr="009D3012">
              <w:rPr>
                <w:szCs w:val="22"/>
                <w:lang w:val="en-US"/>
              </w:rPr>
              <w:t xml:space="preserve"> (10 % quantile)</w:t>
            </w:r>
          </w:p>
        </w:tc>
        <w:tc>
          <w:tcPr>
            <w:tcW w:w="4243" w:type="dxa"/>
            <w:gridSpan w:val="4"/>
            <w:vAlign w:val="center"/>
          </w:tcPr>
          <w:p w14:paraId="37F0F021" w14:textId="427D5EB6" w:rsidR="004E22C1" w:rsidRPr="009D3012" w:rsidRDefault="004E22C1" w:rsidP="00822F09">
            <w:pPr>
              <w:pStyle w:val="Tablebody"/>
              <w:keepNext/>
              <w:jc w:val="left"/>
              <w:rPr>
                <w:szCs w:val="22"/>
                <w:lang w:val="en-US"/>
              </w:rPr>
            </w:pPr>
            <w:r w:rsidRPr="009D3012">
              <w:rPr>
                <w:szCs w:val="22"/>
                <w:lang w:val="en-US"/>
              </w:rPr>
              <w:t xml:space="preserve">200 for plain bars </w:t>
            </w:r>
            <w:r w:rsidRPr="001455DC">
              <w:rPr>
                <w:rStyle w:val="CCMCvariableitalic"/>
                <w:szCs w:val="22"/>
              </w:rPr>
              <w:t>ϕ</w:t>
            </w:r>
            <w:r w:rsidRPr="009D3012">
              <w:rPr>
                <w:rStyle w:val="CCMCvariablesubscript"/>
                <w:szCs w:val="22"/>
                <w:lang w:val="en-US"/>
              </w:rPr>
              <w:t>p</w:t>
            </w:r>
            <w:r w:rsidRPr="009D3012">
              <w:rPr>
                <w:szCs w:val="22"/>
                <w:lang w:val="en-US"/>
              </w:rPr>
              <w:t> </w:t>
            </w:r>
            <w:r w:rsidR="00650035" w:rsidRPr="009D3012">
              <w:rPr>
                <w:rFonts w:ascii="Cambria Math" w:hAnsi="Cambria Math"/>
                <w:szCs w:val="22"/>
                <w:lang w:val="en-US"/>
              </w:rPr>
              <w:t>≤</w:t>
            </w:r>
            <w:r w:rsidRPr="009D3012">
              <w:rPr>
                <w:szCs w:val="22"/>
                <w:lang w:val="en-US"/>
              </w:rPr>
              <w:t> 40 mm</w:t>
            </w:r>
          </w:p>
          <w:p w14:paraId="3138E7E6" w14:textId="2E9B67EC" w:rsidR="004E22C1" w:rsidRPr="009D3012" w:rsidRDefault="004E22C1" w:rsidP="00822F09">
            <w:pPr>
              <w:pStyle w:val="Tablebody"/>
              <w:keepNext/>
              <w:jc w:val="left"/>
              <w:rPr>
                <w:szCs w:val="22"/>
                <w:lang w:val="en-US"/>
              </w:rPr>
            </w:pPr>
            <w:r w:rsidRPr="009D3012">
              <w:rPr>
                <w:szCs w:val="22"/>
                <w:lang w:val="en-US"/>
              </w:rPr>
              <w:t xml:space="preserve">150 for plain bars </w:t>
            </w:r>
            <w:r w:rsidRPr="001455DC">
              <w:rPr>
                <w:rStyle w:val="CCMCvariableitalic"/>
                <w:szCs w:val="22"/>
              </w:rPr>
              <w:t>ϕ</w:t>
            </w:r>
            <w:r w:rsidRPr="009D3012">
              <w:rPr>
                <w:rStyle w:val="CCMCvariablesubscript"/>
                <w:szCs w:val="22"/>
                <w:lang w:val="en-US"/>
              </w:rPr>
              <w:t>p</w:t>
            </w:r>
            <w:r w:rsidRPr="009D3012">
              <w:rPr>
                <w:szCs w:val="22"/>
                <w:lang w:val="en-US"/>
              </w:rPr>
              <w:t xml:space="preserve"> </w:t>
            </w:r>
            <w:r w:rsidR="00073FC6" w:rsidRPr="009D3012">
              <w:rPr>
                <w:rFonts w:ascii="Cambria Math" w:hAnsi="Cambria Math" w:cs="Cambria Math"/>
                <w:szCs w:val="22"/>
                <w:lang w:val="en-US"/>
              </w:rPr>
              <w:t>&gt; </w:t>
            </w:r>
            <w:r w:rsidRPr="009D3012">
              <w:rPr>
                <w:szCs w:val="22"/>
                <w:lang w:val="en-US"/>
              </w:rPr>
              <w:t>40 mm</w:t>
            </w:r>
          </w:p>
          <w:p w14:paraId="6F252816" w14:textId="5102E762" w:rsidR="004E22C1" w:rsidRPr="009D3012" w:rsidRDefault="004E22C1" w:rsidP="00822F09">
            <w:pPr>
              <w:pStyle w:val="Tablebody"/>
              <w:keepNext/>
              <w:jc w:val="left"/>
              <w:rPr>
                <w:szCs w:val="22"/>
                <w:lang w:val="en-US"/>
              </w:rPr>
            </w:pPr>
            <w:r w:rsidRPr="009D3012">
              <w:rPr>
                <w:szCs w:val="22"/>
                <w:lang w:val="en-US"/>
              </w:rPr>
              <w:t xml:space="preserve">180 for ribbed bars </w:t>
            </w:r>
            <w:r w:rsidRPr="001455DC">
              <w:rPr>
                <w:rStyle w:val="CCMCvariableitalic"/>
                <w:szCs w:val="22"/>
              </w:rPr>
              <w:t>ϕ</w:t>
            </w:r>
            <w:r w:rsidRPr="009D3012">
              <w:rPr>
                <w:rStyle w:val="CCMCvariablesubscript"/>
                <w:szCs w:val="22"/>
                <w:lang w:val="en-US"/>
              </w:rPr>
              <w:t>p</w:t>
            </w:r>
            <w:r w:rsidRPr="009D3012">
              <w:rPr>
                <w:szCs w:val="22"/>
                <w:lang w:val="en-US"/>
              </w:rPr>
              <w:t> </w:t>
            </w:r>
            <w:r w:rsidR="00650035" w:rsidRPr="009D3012">
              <w:rPr>
                <w:rFonts w:ascii="Cambria Math" w:hAnsi="Cambria Math"/>
                <w:szCs w:val="22"/>
                <w:lang w:val="en-US"/>
              </w:rPr>
              <w:t>≤</w:t>
            </w:r>
            <w:r w:rsidRPr="009D3012">
              <w:rPr>
                <w:szCs w:val="22"/>
                <w:lang w:val="en-US"/>
              </w:rPr>
              <w:t> 40 mm</w:t>
            </w:r>
          </w:p>
          <w:p w14:paraId="7F7FC368" w14:textId="4F69D860" w:rsidR="004E22C1" w:rsidRPr="009D3012" w:rsidRDefault="004E22C1" w:rsidP="00822F09">
            <w:pPr>
              <w:pStyle w:val="Tablebody"/>
              <w:keepNext/>
              <w:jc w:val="left"/>
              <w:rPr>
                <w:szCs w:val="22"/>
                <w:lang w:val="en-US"/>
              </w:rPr>
            </w:pPr>
            <w:r w:rsidRPr="009D3012">
              <w:rPr>
                <w:szCs w:val="22"/>
                <w:lang w:val="en-US"/>
              </w:rPr>
              <w:t xml:space="preserve">120 for ribbed bars </w:t>
            </w:r>
            <w:r w:rsidRPr="001455DC">
              <w:rPr>
                <w:rStyle w:val="CCMCvariableitalic"/>
                <w:szCs w:val="22"/>
              </w:rPr>
              <w:t>ϕ</w:t>
            </w:r>
            <w:r w:rsidRPr="009D3012">
              <w:rPr>
                <w:rStyle w:val="CCMCvariablesubscript"/>
                <w:szCs w:val="22"/>
                <w:lang w:val="en-US"/>
              </w:rPr>
              <w:t>p</w:t>
            </w:r>
            <w:r w:rsidRPr="009D3012">
              <w:rPr>
                <w:szCs w:val="22"/>
                <w:lang w:val="en-US"/>
              </w:rPr>
              <w:t xml:space="preserve"> </w:t>
            </w:r>
            <w:r w:rsidR="00073FC6" w:rsidRPr="009D3012">
              <w:rPr>
                <w:rFonts w:ascii="Cambria Math" w:hAnsi="Cambria Math" w:cs="Cambria Math"/>
                <w:szCs w:val="22"/>
                <w:lang w:val="en-US"/>
              </w:rPr>
              <w:t>&gt; </w:t>
            </w:r>
            <w:r w:rsidRPr="009D3012">
              <w:rPr>
                <w:szCs w:val="22"/>
                <w:lang w:val="en-US"/>
              </w:rPr>
              <w:t>40 mm</w:t>
            </w:r>
          </w:p>
        </w:tc>
      </w:tr>
      <w:tr w:rsidR="004E22C1" w:rsidRPr="001455DC" w14:paraId="2E9338AD" w14:textId="77777777" w:rsidTr="00822F09">
        <w:trPr>
          <w:cantSplit/>
        </w:trPr>
        <w:tc>
          <w:tcPr>
            <w:tcW w:w="1458" w:type="dxa"/>
            <w:vMerge w:val="restart"/>
            <w:vAlign w:val="center"/>
          </w:tcPr>
          <w:p w14:paraId="1E8F4A92" w14:textId="77777777" w:rsidR="004E22C1" w:rsidRPr="001455DC" w:rsidRDefault="004E22C1" w:rsidP="00822F09">
            <w:pPr>
              <w:pStyle w:val="Tablebody"/>
              <w:keepNext/>
              <w:jc w:val="left"/>
              <w:rPr>
                <w:b/>
                <w:szCs w:val="22"/>
              </w:rPr>
            </w:pPr>
            <w:r w:rsidRPr="001455DC">
              <w:rPr>
                <w:b/>
                <w:szCs w:val="22"/>
              </w:rPr>
              <w:t>Ductility</w:t>
            </w:r>
          </w:p>
        </w:tc>
        <w:tc>
          <w:tcPr>
            <w:tcW w:w="4051" w:type="dxa"/>
            <w:vAlign w:val="center"/>
          </w:tcPr>
          <w:p w14:paraId="7A2C8CEA" w14:textId="45C4B9C5" w:rsidR="004E22C1" w:rsidRPr="009D3012" w:rsidRDefault="004E22C1" w:rsidP="00822F09">
            <w:pPr>
              <w:pStyle w:val="Tablebody"/>
              <w:keepNext/>
              <w:jc w:val="left"/>
              <w:rPr>
                <w:szCs w:val="22"/>
                <w:lang w:val="en-US"/>
              </w:rPr>
            </w:pPr>
            <w:r w:rsidRPr="009D3012">
              <w:rPr>
                <w:iCs/>
                <w:szCs w:val="22"/>
                <w:lang w:val="en-US"/>
              </w:rPr>
              <w:t xml:space="preserve">Value of </w:t>
            </w:r>
            <w:r w:rsidRPr="009D3012">
              <w:rPr>
                <w:rStyle w:val="CCMCvariableitalic"/>
                <w:szCs w:val="22"/>
                <w:lang w:val="en-US"/>
              </w:rPr>
              <w:t>k</w:t>
            </w:r>
            <w:r w:rsidRPr="009D3012">
              <w:rPr>
                <w:szCs w:val="22"/>
                <w:lang w:val="en-US"/>
              </w:rPr>
              <w:t> </w:t>
            </w:r>
            <w:r w:rsidR="00EC27D2" w:rsidRPr="009D3012">
              <w:rPr>
                <w:rFonts w:ascii="Cambria Math" w:hAnsi="Cambria Math"/>
                <w:szCs w:val="22"/>
                <w:lang w:val="en-US"/>
              </w:rPr>
              <w:t>=</w:t>
            </w:r>
            <w:r w:rsidRPr="009D3012">
              <w:rPr>
                <w:szCs w:val="22"/>
                <w:lang w:val="en-US"/>
              </w:rPr>
              <w:t> (</w:t>
            </w:r>
            <w:r w:rsidRPr="009D3012">
              <w:rPr>
                <w:rStyle w:val="CCMCvariableitalic"/>
                <w:szCs w:val="22"/>
                <w:lang w:val="en-US"/>
              </w:rPr>
              <w:t>f</w:t>
            </w:r>
            <w:r w:rsidRPr="009D3012">
              <w:rPr>
                <w:rStyle w:val="CCMCvariablesubscript"/>
                <w:szCs w:val="22"/>
                <w:lang w:val="en-US"/>
              </w:rPr>
              <w:t>pk</w:t>
            </w:r>
            <w:r w:rsidRPr="009D3012">
              <w:rPr>
                <w:szCs w:val="22"/>
                <w:lang w:val="en-US"/>
              </w:rPr>
              <w:t>/</w:t>
            </w:r>
            <w:r w:rsidRPr="009D3012">
              <w:rPr>
                <w:rStyle w:val="CCMCvariableitalic"/>
                <w:szCs w:val="22"/>
                <w:lang w:val="en-US"/>
              </w:rPr>
              <w:t>f</w:t>
            </w:r>
            <w:r w:rsidRPr="009D3012">
              <w:rPr>
                <w:rStyle w:val="CCMCvariablesubscript"/>
                <w:szCs w:val="22"/>
                <w:lang w:val="en-US"/>
              </w:rPr>
              <w:t>p0,1k</w:t>
            </w:r>
            <w:r w:rsidRPr="009D3012">
              <w:rPr>
                <w:szCs w:val="22"/>
                <w:lang w:val="en-US"/>
              </w:rPr>
              <w:t>)</w:t>
            </w:r>
          </w:p>
          <w:p w14:paraId="1A26F0F6" w14:textId="77777777" w:rsidR="004E22C1" w:rsidRPr="001455DC" w:rsidRDefault="004E22C1" w:rsidP="00822F09">
            <w:pPr>
              <w:pStyle w:val="Tablebody"/>
              <w:keepNext/>
              <w:jc w:val="left"/>
              <w:rPr>
                <w:szCs w:val="22"/>
              </w:rPr>
            </w:pPr>
            <w:r w:rsidRPr="001455DC">
              <w:rPr>
                <w:szCs w:val="22"/>
              </w:rPr>
              <w:t>(10 % quantile)</w:t>
            </w:r>
          </w:p>
        </w:tc>
        <w:tc>
          <w:tcPr>
            <w:tcW w:w="4243" w:type="dxa"/>
            <w:gridSpan w:val="4"/>
            <w:vAlign w:val="center"/>
          </w:tcPr>
          <w:p w14:paraId="62F6BBE5" w14:textId="5571299C" w:rsidR="004E22C1" w:rsidRPr="001455DC" w:rsidRDefault="00650035" w:rsidP="00822F09">
            <w:pPr>
              <w:pStyle w:val="Tablebody"/>
              <w:keepNext/>
              <w:jc w:val="left"/>
              <w:rPr>
                <w:szCs w:val="22"/>
              </w:rPr>
            </w:pPr>
            <w:r w:rsidRPr="001455DC">
              <w:rPr>
                <w:rFonts w:ascii="Cambria Math" w:hAnsi="Cambria Math"/>
                <w:szCs w:val="22"/>
              </w:rPr>
              <w:t>≥</w:t>
            </w:r>
            <w:r w:rsidR="00073FC6" w:rsidRPr="001455DC">
              <w:rPr>
                <w:szCs w:val="22"/>
              </w:rPr>
              <w:t> </w:t>
            </w:r>
            <w:r w:rsidR="004E22C1" w:rsidRPr="001455DC">
              <w:rPr>
                <w:szCs w:val="22"/>
              </w:rPr>
              <w:t>1,10</w:t>
            </w:r>
          </w:p>
        </w:tc>
      </w:tr>
      <w:tr w:rsidR="004E22C1" w:rsidRPr="001455DC" w14:paraId="71DDDD25" w14:textId="77777777" w:rsidTr="00822F09">
        <w:trPr>
          <w:cantSplit/>
        </w:trPr>
        <w:tc>
          <w:tcPr>
            <w:tcW w:w="1458" w:type="dxa"/>
            <w:vMerge/>
            <w:vAlign w:val="center"/>
          </w:tcPr>
          <w:p w14:paraId="60F221AF" w14:textId="77777777" w:rsidR="004E22C1" w:rsidRPr="001455DC" w:rsidRDefault="004E22C1" w:rsidP="00822F09">
            <w:pPr>
              <w:pStyle w:val="Tablebody"/>
              <w:keepNext/>
              <w:jc w:val="left"/>
              <w:rPr>
                <w:b/>
                <w:szCs w:val="22"/>
              </w:rPr>
            </w:pPr>
          </w:p>
        </w:tc>
        <w:tc>
          <w:tcPr>
            <w:tcW w:w="4051" w:type="dxa"/>
            <w:vAlign w:val="center"/>
          </w:tcPr>
          <w:p w14:paraId="44031270" w14:textId="77777777" w:rsidR="004E22C1" w:rsidRPr="009D3012" w:rsidRDefault="004E22C1" w:rsidP="00822F09">
            <w:pPr>
              <w:pStyle w:val="Tablebody"/>
              <w:keepNext/>
              <w:jc w:val="left"/>
              <w:rPr>
                <w:szCs w:val="22"/>
                <w:lang w:val="en-US"/>
              </w:rPr>
            </w:pPr>
            <w:r w:rsidRPr="009D3012">
              <w:rPr>
                <w:szCs w:val="22"/>
                <w:lang w:val="en-US"/>
              </w:rPr>
              <w:t xml:space="preserve">Characteristic strain at maximum force, </w:t>
            </w:r>
            <w:r w:rsidRPr="001455DC">
              <w:rPr>
                <w:rStyle w:val="CCMCvariableitalic"/>
                <w:szCs w:val="22"/>
              </w:rPr>
              <w:t>ε</w:t>
            </w:r>
            <w:r w:rsidRPr="009D3012">
              <w:rPr>
                <w:rStyle w:val="CCMCvariablesubscript"/>
                <w:szCs w:val="22"/>
                <w:lang w:val="en-US"/>
              </w:rPr>
              <w:t>uk</w:t>
            </w:r>
            <w:r w:rsidRPr="009D3012">
              <w:rPr>
                <w:szCs w:val="22"/>
                <w:lang w:val="en-US"/>
              </w:rPr>
              <w:t xml:space="preserve"> [ %] (10 % quantile)</w:t>
            </w:r>
          </w:p>
        </w:tc>
        <w:tc>
          <w:tcPr>
            <w:tcW w:w="4243" w:type="dxa"/>
            <w:gridSpan w:val="4"/>
            <w:vAlign w:val="center"/>
          </w:tcPr>
          <w:p w14:paraId="44E720B0" w14:textId="11A1A3A4" w:rsidR="004E22C1" w:rsidRPr="001455DC" w:rsidRDefault="00650035" w:rsidP="00822F09">
            <w:pPr>
              <w:pStyle w:val="Tablebody"/>
              <w:keepNext/>
              <w:jc w:val="left"/>
              <w:rPr>
                <w:szCs w:val="22"/>
              </w:rPr>
            </w:pPr>
            <w:r w:rsidRPr="001455DC">
              <w:rPr>
                <w:rFonts w:ascii="Cambria Math" w:hAnsi="Cambria Math"/>
                <w:szCs w:val="22"/>
              </w:rPr>
              <w:t>≥</w:t>
            </w:r>
            <w:r w:rsidR="00073FC6" w:rsidRPr="001455DC">
              <w:rPr>
                <w:szCs w:val="22"/>
              </w:rPr>
              <w:t> </w:t>
            </w:r>
            <w:r w:rsidR="004E22C1" w:rsidRPr="001455DC">
              <w:rPr>
                <w:szCs w:val="22"/>
              </w:rPr>
              <w:t>3,5</w:t>
            </w:r>
          </w:p>
        </w:tc>
      </w:tr>
      <w:tr w:rsidR="004E22C1" w:rsidRPr="001455DC" w14:paraId="35FE70A9" w14:textId="77777777" w:rsidTr="00822F09">
        <w:trPr>
          <w:cantSplit/>
        </w:trPr>
        <w:tc>
          <w:tcPr>
            <w:tcW w:w="1458" w:type="dxa"/>
            <w:vMerge/>
            <w:vAlign w:val="center"/>
          </w:tcPr>
          <w:p w14:paraId="6779D325" w14:textId="77777777" w:rsidR="004E22C1" w:rsidRPr="001455DC" w:rsidRDefault="004E22C1" w:rsidP="00822F09">
            <w:pPr>
              <w:pStyle w:val="Tablebody"/>
              <w:keepNext/>
              <w:jc w:val="left"/>
              <w:rPr>
                <w:b/>
                <w:szCs w:val="22"/>
              </w:rPr>
            </w:pPr>
          </w:p>
        </w:tc>
        <w:tc>
          <w:tcPr>
            <w:tcW w:w="4051" w:type="dxa"/>
            <w:vAlign w:val="center"/>
          </w:tcPr>
          <w:p w14:paraId="47A61246" w14:textId="77777777" w:rsidR="004E22C1" w:rsidRPr="001455DC" w:rsidRDefault="004E22C1" w:rsidP="00822F09">
            <w:pPr>
              <w:pStyle w:val="Tablebody"/>
              <w:keepNext/>
              <w:jc w:val="left"/>
              <w:rPr>
                <w:szCs w:val="22"/>
              </w:rPr>
            </w:pPr>
            <w:r w:rsidRPr="001455DC">
              <w:rPr>
                <w:szCs w:val="22"/>
              </w:rPr>
              <w:t>Bendability</w:t>
            </w:r>
          </w:p>
        </w:tc>
        <w:tc>
          <w:tcPr>
            <w:tcW w:w="4243" w:type="dxa"/>
            <w:gridSpan w:val="4"/>
            <w:vAlign w:val="center"/>
          </w:tcPr>
          <w:p w14:paraId="4917ED7B" w14:textId="77777777" w:rsidR="004E22C1" w:rsidRPr="001455DC" w:rsidRDefault="004E22C1" w:rsidP="00822F09">
            <w:pPr>
              <w:pStyle w:val="Tablebody"/>
              <w:keepNext/>
              <w:jc w:val="left"/>
              <w:rPr>
                <w:szCs w:val="22"/>
              </w:rPr>
            </w:pPr>
            <w:r w:rsidRPr="001455DC">
              <w:rPr>
                <w:szCs w:val="22"/>
              </w:rPr>
              <w:t>Not applicable</w:t>
            </w:r>
          </w:p>
        </w:tc>
      </w:tr>
      <w:tr w:rsidR="004E22C1" w:rsidRPr="001455DC" w14:paraId="0788BAED" w14:textId="77777777" w:rsidTr="00822F09">
        <w:trPr>
          <w:cantSplit/>
        </w:trPr>
        <w:tc>
          <w:tcPr>
            <w:tcW w:w="1458" w:type="dxa"/>
            <w:vMerge w:val="restart"/>
            <w:vAlign w:val="center"/>
          </w:tcPr>
          <w:p w14:paraId="7D34C939" w14:textId="0C5BBDB6" w:rsidR="004E22C1" w:rsidRPr="001455DC" w:rsidRDefault="004E22C1" w:rsidP="00822F09">
            <w:pPr>
              <w:pStyle w:val="Tablebody"/>
              <w:keepNext/>
              <w:jc w:val="left"/>
              <w:rPr>
                <w:b/>
                <w:szCs w:val="22"/>
              </w:rPr>
            </w:pPr>
            <w:r w:rsidRPr="001455DC">
              <w:rPr>
                <w:b/>
                <w:szCs w:val="22"/>
              </w:rPr>
              <w:t>Relaxation</w:t>
            </w:r>
            <w:r w:rsidR="00722F85" w:rsidRPr="001455DC">
              <w:rPr>
                <w:rStyle w:val="CCMCvariablesuperscript"/>
                <w:bCs/>
              </w:rPr>
              <w:t>b</w:t>
            </w:r>
          </w:p>
        </w:tc>
        <w:tc>
          <w:tcPr>
            <w:tcW w:w="4051" w:type="dxa"/>
            <w:vAlign w:val="center"/>
          </w:tcPr>
          <w:p w14:paraId="6D189AFF" w14:textId="68B1090E" w:rsidR="004E22C1" w:rsidRPr="009D3012" w:rsidRDefault="004E22C1" w:rsidP="00822F09">
            <w:pPr>
              <w:pStyle w:val="Tablebody"/>
              <w:keepNext/>
              <w:jc w:val="left"/>
              <w:rPr>
                <w:szCs w:val="22"/>
                <w:lang w:val="en-US"/>
              </w:rPr>
            </w:pPr>
            <w:r w:rsidRPr="009D3012">
              <w:rPr>
                <w:iCs/>
                <w:szCs w:val="22"/>
                <w:lang w:val="en-US"/>
              </w:rPr>
              <w:t>Relaxation at 1</w:t>
            </w:r>
            <w:r w:rsidR="00822F09" w:rsidRPr="009D3012">
              <w:rPr>
                <w:iCs/>
                <w:szCs w:val="22"/>
                <w:lang w:val="en-US"/>
              </w:rPr>
              <w:t> </w:t>
            </w:r>
            <w:r w:rsidRPr="009D3012">
              <w:rPr>
                <w:iCs/>
                <w:szCs w:val="22"/>
                <w:lang w:val="en-US"/>
              </w:rPr>
              <w:t>000 hours for initial stress of 70 % of actual tensile strength</w:t>
            </w:r>
            <w:r w:rsidRPr="009D3012">
              <w:rPr>
                <w:szCs w:val="22"/>
                <w:lang w:val="en-US"/>
              </w:rPr>
              <w:t xml:space="preserve">, </w:t>
            </w:r>
            <w:r w:rsidRPr="001455DC">
              <w:rPr>
                <w:rStyle w:val="CCMCvariableitalic"/>
                <w:szCs w:val="22"/>
              </w:rPr>
              <w:t>ρ</w:t>
            </w:r>
            <w:r w:rsidRPr="009D3012">
              <w:rPr>
                <w:rStyle w:val="CCMCvariablesubscript"/>
                <w:szCs w:val="22"/>
                <w:lang w:val="en-US"/>
              </w:rPr>
              <w:t>1000</w:t>
            </w:r>
          </w:p>
        </w:tc>
        <w:tc>
          <w:tcPr>
            <w:tcW w:w="4243" w:type="dxa"/>
            <w:gridSpan w:val="4"/>
            <w:vAlign w:val="center"/>
          </w:tcPr>
          <w:p w14:paraId="63FF1C40" w14:textId="1CCBB07B" w:rsidR="004E22C1" w:rsidRPr="009D3012" w:rsidRDefault="00650035" w:rsidP="00822F09">
            <w:pPr>
              <w:pStyle w:val="Tablebody"/>
              <w:keepNext/>
              <w:jc w:val="left"/>
              <w:rPr>
                <w:szCs w:val="22"/>
                <w:lang w:val="en-US"/>
              </w:rPr>
            </w:pPr>
            <w:r w:rsidRPr="009D3012">
              <w:rPr>
                <w:rFonts w:ascii="Cambria Math" w:hAnsi="Cambria Math"/>
                <w:szCs w:val="22"/>
                <w:lang w:val="en-US"/>
              </w:rPr>
              <w:t>≤</w:t>
            </w:r>
            <w:r w:rsidR="004E22C1" w:rsidRPr="009D3012">
              <w:rPr>
                <w:szCs w:val="22"/>
                <w:lang w:val="en-US"/>
              </w:rPr>
              <w:t xml:space="preserve"> 6 % for </w:t>
            </w:r>
            <w:r w:rsidR="004E22C1" w:rsidRPr="001455DC">
              <w:rPr>
                <w:rStyle w:val="CCMCvariableitalic"/>
                <w:szCs w:val="22"/>
              </w:rPr>
              <w:t>ϕ</w:t>
            </w:r>
            <w:r w:rsidR="004E22C1" w:rsidRPr="009D3012">
              <w:rPr>
                <w:rStyle w:val="CCMCvariablesubscript"/>
                <w:szCs w:val="22"/>
                <w:lang w:val="en-US"/>
              </w:rPr>
              <w:t>p</w:t>
            </w:r>
            <w:r w:rsidR="004E22C1" w:rsidRPr="009D3012">
              <w:rPr>
                <w:szCs w:val="22"/>
                <w:lang w:val="en-US"/>
              </w:rPr>
              <w:t> </w:t>
            </w:r>
            <w:r w:rsidRPr="009D3012">
              <w:rPr>
                <w:rFonts w:ascii="Cambria Math" w:hAnsi="Cambria Math"/>
                <w:szCs w:val="22"/>
                <w:lang w:val="en-US"/>
              </w:rPr>
              <w:t>≤</w:t>
            </w:r>
            <w:r w:rsidR="004E22C1" w:rsidRPr="009D3012">
              <w:rPr>
                <w:szCs w:val="22"/>
                <w:lang w:val="en-US"/>
              </w:rPr>
              <w:t> 15 mm</w:t>
            </w:r>
          </w:p>
          <w:p w14:paraId="4CEBA794" w14:textId="65DA8C0F" w:rsidR="004E22C1" w:rsidRPr="009D3012" w:rsidRDefault="00650035" w:rsidP="00822F09">
            <w:pPr>
              <w:pStyle w:val="Tablebody"/>
              <w:keepNext/>
              <w:jc w:val="left"/>
              <w:rPr>
                <w:szCs w:val="22"/>
                <w:lang w:val="en-US"/>
              </w:rPr>
            </w:pPr>
            <w:r w:rsidRPr="009D3012">
              <w:rPr>
                <w:rFonts w:ascii="Cambria Math" w:hAnsi="Cambria Math"/>
                <w:szCs w:val="22"/>
                <w:lang w:val="en-US"/>
              </w:rPr>
              <w:t>≤</w:t>
            </w:r>
            <w:r w:rsidR="004E22C1" w:rsidRPr="009D3012">
              <w:rPr>
                <w:szCs w:val="22"/>
                <w:lang w:val="en-US"/>
              </w:rPr>
              <w:t xml:space="preserve"> 4 % for </w:t>
            </w:r>
            <w:r w:rsidR="004E22C1" w:rsidRPr="001455DC">
              <w:rPr>
                <w:rStyle w:val="CCMCvariableitalic"/>
                <w:szCs w:val="22"/>
              </w:rPr>
              <w:t>ϕ</w:t>
            </w:r>
            <w:r w:rsidR="004E22C1" w:rsidRPr="009D3012">
              <w:rPr>
                <w:rStyle w:val="CCMCvariablesubscript"/>
                <w:szCs w:val="22"/>
                <w:lang w:val="en-US"/>
              </w:rPr>
              <w:t>p</w:t>
            </w:r>
            <w:r w:rsidR="004E22C1" w:rsidRPr="009D3012">
              <w:rPr>
                <w:szCs w:val="22"/>
                <w:lang w:val="en-US"/>
              </w:rPr>
              <w:t xml:space="preserve"> </w:t>
            </w:r>
            <w:r w:rsidR="00073FC6" w:rsidRPr="009D3012">
              <w:rPr>
                <w:rFonts w:ascii="Cambria Math" w:hAnsi="Cambria Math" w:cs="Cambria Math"/>
                <w:szCs w:val="22"/>
                <w:lang w:val="en-US"/>
              </w:rPr>
              <w:t>&gt; </w:t>
            </w:r>
            <w:r w:rsidR="004E22C1" w:rsidRPr="009D3012">
              <w:rPr>
                <w:szCs w:val="22"/>
                <w:lang w:val="en-US"/>
              </w:rPr>
              <w:t>15 mm</w:t>
            </w:r>
          </w:p>
        </w:tc>
      </w:tr>
      <w:tr w:rsidR="004E22C1" w:rsidRPr="001455DC" w14:paraId="4F67DE33" w14:textId="77777777" w:rsidTr="00822F09">
        <w:trPr>
          <w:cantSplit/>
        </w:trPr>
        <w:tc>
          <w:tcPr>
            <w:tcW w:w="1458" w:type="dxa"/>
            <w:vMerge/>
            <w:tcBorders>
              <w:bottom w:val="single" w:sz="12" w:space="0" w:color="000000"/>
            </w:tcBorders>
            <w:vAlign w:val="center"/>
          </w:tcPr>
          <w:p w14:paraId="2377C7A1" w14:textId="77777777" w:rsidR="004E22C1" w:rsidRPr="009D3012" w:rsidRDefault="004E22C1" w:rsidP="00822F09">
            <w:pPr>
              <w:pStyle w:val="Tablebody"/>
              <w:keepNext/>
              <w:jc w:val="left"/>
              <w:rPr>
                <w:szCs w:val="22"/>
                <w:lang w:val="en-US"/>
              </w:rPr>
            </w:pPr>
          </w:p>
        </w:tc>
        <w:tc>
          <w:tcPr>
            <w:tcW w:w="4051" w:type="dxa"/>
            <w:tcBorders>
              <w:bottom w:val="single" w:sz="12" w:space="0" w:color="000000"/>
            </w:tcBorders>
            <w:vAlign w:val="center"/>
          </w:tcPr>
          <w:p w14:paraId="45322170" w14:textId="2A8E7556" w:rsidR="004E22C1" w:rsidRPr="009D3012" w:rsidRDefault="004E22C1" w:rsidP="00822F09">
            <w:pPr>
              <w:pStyle w:val="Tablebody"/>
              <w:keepNext/>
              <w:jc w:val="left"/>
              <w:rPr>
                <w:rStyle w:val="CCMCvariablesuperscript"/>
                <w:szCs w:val="22"/>
                <w:lang w:val="en-US"/>
              </w:rPr>
            </w:pPr>
            <w:r w:rsidRPr="009D3012">
              <w:rPr>
                <w:iCs/>
                <w:szCs w:val="22"/>
                <w:lang w:val="en-US"/>
              </w:rPr>
              <w:t>Maximum Relaxation at 1</w:t>
            </w:r>
            <w:r w:rsidR="00822F09" w:rsidRPr="009D3012">
              <w:rPr>
                <w:iCs/>
                <w:szCs w:val="22"/>
                <w:lang w:val="en-US"/>
              </w:rPr>
              <w:t> </w:t>
            </w:r>
            <w:r w:rsidRPr="009D3012">
              <w:rPr>
                <w:iCs/>
                <w:szCs w:val="22"/>
                <w:lang w:val="en-US"/>
              </w:rPr>
              <w:t xml:space="preserve">000 hours for initial stress of 80 % of actual tensile strength, </w:t>
            </w:r>
            <w:r w:rsidRPr="001455DC">
              <w:rPr>
                <w:rStyle w:val="CCMCvariableitalic"/>
                <w:szCs w:val="22"/>
              </w:rPr>
              <w:t>ρ</w:t>
            </w:r>
            <w:r w:rsidRPr="009D3012">
              <w:rPr>
                <w:rStyle w:val="CCMCvariablesubscript"/>
                <w:szCs w:val="22"/>
                <w:lang w:val="en-US"/>
              </w:rPr>
              <w:t>1000</w:t>
            </w:r>
            <w:r w:rsidRPr="009D3012">
              <w:rPr>
                <w:iCs/>
                <w:szCs w:val="22"/>
                <w:lang w:val="en-US"/>
              </w:rPr>
              <w:t xml:space="preserve"> </w:t>
            </w:r>
          </w:p>
        </w:tc>
        <w:tc>
          <w:tcPr>
            <w:tcW w:w="4243" w:type="dxa"/>
            <w:gridSpan w:val="4"/>
            <w:tcBorders>
              <w:bottom w:val="single" w:sz="12" w:space="0" w:color="000000"/>
            </w:tcBorders>
            <w:vAlign w:val="center"/>
          </w:tcPr>
          <w:p w14:paraId="2F399723" w14:textId="4D660E19" w:rsidR="004E22C1" w:rsidRPr="009D3012" w:rsidRDefault="004E22C1" w:rsidP="00822F09">
            <w:pPr>
              <w:pStyle w:val="Tablebody"/>
              <w:keepNext/>
              <w:jc w:val="left"/>
              <w:rPr>
                <w:rStyle w:val="CCMCvariablesuperscript"/>
                <w:szCs w:val="22"/>
                <w:lang w:val="en-US"/>
              </w:rPr>
            </w:pPr>
            <w:r w:rsidRPr="009D3012">
              <w:rPr>
                <w:szCs w:val="22"/>
                <w:lang w:val="en-US"/>
              </w:rPr>
              <w:t>Value to be determined by testing if stressing intended to </w:t>
            </w:r>
            <w:r w:rsidR="00650035" w:rsidRPr="009D3012">
              <w:rPr>
                <w:rFonts w:ascii="Cambria Math" w:hAnsi="Cambria Math"/>
                <w:szCs w:val="22"/>
                <w:lang w:val="en-US"/>
              </w:rPr>
              <w:t>≥</w:t>
            </w:r>
            <w:r w:rsidR="00073FC6" w:rsidRPr="009D3012">
              <w:rPr>
                <w:szCs w:val="22"/>
                <w:lang w:val="en-US"/>
              </w:rPr>
              <w:t> </w:t>
            </w:r>
            <w:r w:rsidRPr="009D3012">
              <w:rPr>
                <w:szCs w:val="22"/>
                <w:lang w:val="en-US"/>
              </w:rPr>
              <w:t xml:space="preserve">0,7 </w:t>
            </w:r>
            <w:r w:rsidRPr="009D3012">
              <w:rPr>
                <w:rStyle w:val="CCMCvariableitalic"/>
                <w:szCs w:val="22"/>
                <w:lang w:val="en-US"/>
              </w:rPr>
              <w:t>f</w:t>
            </w:r>
            <w:r w:rsidRPr="009D3012">
              <w:rPr>
                <w:rStyle w:val="CCMCvariablesubscript"/>
                <w:szCs w:val="22"/>
                <w:lang w:val="en-US"/>
              </w:rPr>
              <w:t>pk</w:t>
            </w:r>
            <w:r w:rsidRPr="009D3012">
              <w:rPr>
                <w:szCs w:val="22"/>
                <w:lang w:val="en-US"/>
              </w:rPr>
              <w:t>.</w:t>
            </w:r>
          </w:p>
        </w:tc>
      </w:tr>
      <w:tr w:rsidR="004E22C1" w:rsidRPr="001455DC" w14:paraId="6EE08376" w14:textId="77777777" w:rsidTr="00822F09">
        <w:trPr>
          <w:cantSplit/>
        </w:trPr>
        <w:tc>
          <w:tcPr>
            <w:tcW w:w="9752" w:type="dxa"/>
            <w:gridSpan w:val="6"/>
            <w:tcBorders>
              <w:top w:val="single" w:sz="12" w:space="0" w:color="000000"/>
              <w:bottom w:val="single" w:sz="12" w:space="0" w:color="auto"/>
            </w:tcBorders>
          </w:tcPr>
          <w:p w14:paraId="5390A396" w14:textId="58EF9C75" w:rsidR="004E22C1" w:rsidRPr="009D3012" w:rsidRDefault="004E22C1">
            <w:pPr>
              <w:pStyle w:val="Tablefooternote"/>
              <w:keepNext/>
              <w:tabs>
                <w:tab w:val="clear" w:pos="680"/>
                <w:tab w:val="left" w:pos="851"/>
              </w:tabs>
              <w:rPr>
                <w:lang w:val="en-US"/>
              </w:rPr>
            </w:pPr>
            <w:r w:rsidRPr="009D3012">
              <w:rPr>
                <w:lang w:val="en-US"/>
              </w:rPr>
              <w:t>NOTE</w:t>
            </w:r>
            <w:r w:rsidRPr="009D3012">
              <w:rPr>
                <w:lang w:val="en-US"/>
              </w:rPr>
              <w:tab/>
              <w:t>All strength classes apply unless a National Annex excludes specific classes.</w:t>
            </w:r>
          </w:p>
        </w:tc>
      </w:tr>
      <w:tr w:rsidR="00822F09" w:rsidRPr="001455DC" w14:paraId="2B00E78E" w14:textId="77777777" w:rsidTr="00822F09">
        <w:trPr>
          <w:cnfStyle w:val="010000000000" w:firstRow="0" w:lastRow="1" w:firstColumn="0" w:lastColumn="0" w:oddVBand="0" w:evenVBand="0" w:oddHBand="0" w:evenHBand="0" w:firstRowFirstColumn="0" w:firstRowLastColumn="0" w:lastRowFirstColumn="0" w:lastRowLastColumn="0"/>
          <w:cantSplit/>
        </w:trPr>
        <w:tc>
          <w:tcPr>
            <w:tcW w:w="9752" w:type="dxa"/>
            <w:gridSpan w:val="6"/>
          </w:tcPr>
          <w:p w14:paraId="57E0A3D3" w14:textId="7493BFF9" w:rsidR="00722F85" w:rsidRPr="001455DC" w:rsidRDefault="00822F09" w:rsidP="00722F85">
            <w:pPr>
              <w:pStyle w:val="Tablefooter"/>
              <w:rPr>
                <w:lang w:val="en-US"/>
              </w:rPr>
            </w:pPr>
            <w:r w:rsidRPr="009D3012">
              <w:rPr>
                <w:rStyle w:val="CCMCvariablesuperscript"/>
                <w:sz w:val="22"/>
                <w:szCs w:val="22"/>
                <w:lang w:val="en-US"/>
              </w:rPr>
              <w:t>a</w:t>
            </w:r>
            <w:r w:rsidRPr="009D3012">
              <w:rPr>
                <w:lang w:val="en-US"/>
              </w:rPr>
              <w:tab/>
            </w:r>
            <w:r w:rsidR="00722F85" w:rsidRPr="001455DC">
              <w:rPr>
                <w:lang w:val="en-US"/>
              </w:rPr>
              <w:t xml:space="preserve">Different fatigue properties can be set in a National Annex, if increased margins are required to the S-N curve parameters given in Annex E, by specifying higher values of the fatigue stress range and/or the number of cycles are confirmed by testing in accordance with </w:t>
            </w:r>
            <w:r w:rsidR="000D2A45" w:rsidRPr="001455DC">
              <w:rPr>
                <w:lang w:val="en-US"/>
              </w:rPr>
              <w:t>prEN 10138 (all parts)</w:t>
            </w:r>
            <w:r w:rsidR="00722F85" w:rsidRPr="001455DC">
              <w:rPr>
                <w:lang w:val="en-US"/>
              </w:rPr>
              <w:t>. No specific fatigue properties are required if the reinforcement is used only for predominantly static loading.</w:t>
            </w:r>
          </w:p>
          <w:p w14:paraId="0D08F08C" w14:textId="71E06D62" w:rsidR="00822F09" w:rsidRPr="009D3012" w:rsidRDefault="00722F85">
            <w:pPr>
              <w:pStyle w:val="Tablefooter"/>
              <w:rPr>
                <w:lang w:val="en-US"/>
              </w:rPr>
            </w:pPr>
            <w:r w:rsidRPr="009D3012">
              <w:rPr>
                <w:rStyle w:val="CCMCvariablesuperscript"/>
                <w:sz w:val="22"/>
                <w:szCs w:val="22"/>
                <w:lang w:val="en-US"/>
              </w:rPr>
              <w:t>b</w:t>
            </w:r>
            <w:r w:rsidRPr="009D3012">
              <w:rPr>
                <w:lang w:val="en-US"/>
              </w:rPr>
              <w:t xml:space="preserve"> </w:t>
            </w:r>
            <w:r w:rsidRPr="009D3012">
              <w:rPr>
                <w:lang w:val="en-US"/>
              </w:rPr>
              <w:tab/>
              <w:t>Relaxation losses are very sensitive to the temperature of the prestressing steel, see B.</w:t>
            </w:r>
            <w:r w:rsidR="00EE3F01" w:rsidRPr="001455DC">
              <w:rPr>
                <w:lang w:val="en-US"/>
              </w:rPr>
              <w:t>9</w:t>
            </w:r>
            <w:r w:rsidRPr="009D3012">
              <w:rPr>
                <w:lang w:val="en-US"/>
              </w:rPr>
              <w:t xml:space="preserve">. </w:t>
            </w:r>
            <w:r w:rsidR="00822F09" w:rsidRPr="009D3012">
              <w:rPr>
                <w:lang w:val="en-US"/>
              </w:rPr>
              <w:t>Relaxation losses apply at a mean temperature of 20 °C.</w:t>
            </w:r>
          </w:p>
        </w:tc>
      </w:tr>
    </w:tbl>
    <w:p w14:paraId="36203B22" w14:textId="77777777" w:rsidR="004E22C1" w:rsidRPr="001455DC" w:rsidRDefault="004E22C1" w:rsidP="00F72049">
      <w:pPr>
        <w:pStyle w:val="a7"/>
      </w:pPr>
    </w:p>
    <w:p w14:paraId="0D89452C" w14:textId="50DACA34" w:rsidR="004E22C1" w:rsidRPr="001455DC" w:rsidRDefault="004E22C1" w:rsidP="00082680">
      <w:pPr>
        <w:pStyle w:val="a2"/>
      </w:pPr>
      <w:bookmarkStart w:id="1386" w:name="_Toc52820143"/>
      <w:bookmarkStart w:id="1387" w:name="_Toc54337145"/>
      <w:bookmarkStart w:id="1388" w:name="_Toc54337555"/>
      <w:bookmarkStart w:id="1389" w:name="_Toc54338198"/>
      <w:bookmarkStart w:id="1390" w:name="_Toc67565534"/>
      <w:r w:rsidRPr="001455DC">
        <w:t>Couplers</w:t>
      </w:r>
      <w:bookmarkEnd w:id="1386"/>
      <w:bookmarkEnd w:id="1387"/>
      <w:bookmarkEnd w:id="1388"/>
      <w:bookmarkEnd w:id="1389"/>
      <w:bookmarkEnd w:id="1390"/>
    </w:p>
    <w:p w14:paraId="662F56D7" w14:textId="77777777" w:rsidR="004E22C1" w:rsidRPr="001455DC" w:rsidRDefault="004E22C1" w:rsidP="00F72049">
      <w:pPr>
        <w:pStyle w:val="a7"/>
      </w:pPr>
      <w:r w:rsidRPr="001455DC">
        <w:t>(1)</w:t>
      </w:r>
      <w:r w:rsidRPr="001455DC">
        <w:tab/>
        <w:t xml:space="preserve">Couplers for splicing of reinforcing steel bars shall be capable of developing the maximum tensile strength </w:t>
      </w:r>
      <w:r w:rsidRPr="001455DC">
        <w:rPr>
          <w:rStyle w:val="CCMCvariableitalic"/>
        </w:rPr>
        <w:t>R</w:t>
      </w:r>
      <w:r w:rsidRPr="001455DC">
        <w:rPr>
          <w:rStyle w:val="CCMCvariablesubscript"/>
        </w:rPr>
        <w:t>m</w:t>
      </w:r>
      <w:r w:rsidRPr="001455DC">
        <w:t xml:space="preserve">, the maximum compressive force with yield strength </w:t>
      </w:r>
      <w:r w:rsidRPr="001455DC">
        <w:rPr>
          <w:rStyle w:val="CCMCvariableitalic"/>
        </w:rPr>
        <w:t>R</w:t>
      </w:r>
      <w:r w:rsidRPr="001455DC">
        <w:rPr>
          <w:rStyle w:val="CCMCvariablesubscript"/>
        </w:rPr>
        <w:t>e</w:t>
      </w:r>
      <w:r w:rsidRPr="001455DC">
        <w:t xml:space="preserve">, and the percentage total elongation at maximum load </w:t>
      </w:r>
      <w:r w:rsidRPr="001455DC">
        <w:rPr>
          <w:rStyle w:val="CCMCvariableitalic"/>
        </w:rPr>
        <w:t>A</w:t>
      </w:r>
      <w:r w:rsidRPr="001455DC">
        <w:rPr>
          <w:rStyle w:val="CCMCvariablesubscript"/>
        </w:rPr>
        <w:t>gt</w:t>
      </w:r>
      <w:r w:rsidRPr="001455DC">
        <w:t>.</w:t>
      </w:r>
    </w:p>
    <w:p w14:paraId="4123563D" w14:textId="77777777" w:rsidR="004E22C1" w:rsidRPr="001455DC" w:rsidRDefault="004E22C1" w:rsidP="00F72049">
      <w:pPr>
        <w:pStyle w:val="a7"/>
      </w:pPr>
      <w:r w:rsidRPr="001455DC">
        <w:t>(2)</w:t>
      </w:r>
      <w:r w:rsidRPr="001455DC">
        <w:tab/>
        <w:t>The permanent slip measured after unloading the specimen shall not exceed 0,10 mm.</w:t>
      </w:r>
    </w:p>
    <w:p w14:paraId="03B03DBA" w14:textId="55ECE5D8" w:rsidR="004E22C1" w:rsidRPr="001455DC" w:rsidRDefault="004E22C1" w:rsidP="00F72049">
      <w:pPr>
        <w:pStyle w:val="a7"/>
      </w:pPr>
      <w:r w:rsidRPr="001455DC">
        <w:t>(3)</w:t>
      </w:r>
      <w:r w:rsidRPr="001455DC">
        <w:tab/>
        <w:t>If couplers are used in fatigue design the requirements of Table</w:t>
      </w:r>
      <w:r w:rsidR="00F602E1" w:rsidRPr="001455DC">
        <w:t>s</w:t>
      </w:r>
      <w:r w:rsidRPr="001455DC">
        <w:t> C.1</w:t>
      </w:r>
      <w:r w:rsidR="00F602E1" w:rsidRPr="001455DC">
        <w:t>a and C.1b</w:t>
      </w:r>
      <w:r w:rsidRPr="001455DC">
        <w:t xml:space="preserve"> apply.</w:t>
      </w:r>
    </w:p>
    <w:p w14:paraId="1B3CBAB3" w14:textId="77777777" w:rsidR="004E22C1" w:rsidRPr="001455DC" w:rsidRDefault="004E22C1" w:rsidP="00822F09">
      <w:pPr>
        <w:pStyle w:val="Note"/>
      </w:pPr>
      <w:r w:rsidRPr="001455DC">
        <w:t>NOTE</w:t>
      </w:r>
      <w:r w:rsidRPr="001455DC">
        <w:tab/>
        <w:t>The required properties can be found in European Technical Product Specification (based on EAD 160129</w:t>
      </w:r>
      <w:r w:rsidRPr="001455DC">
        <w:noBreakHyphen/>
        <w:t>00</w:t>
      </w:r>
      <w:r w:rsidRPr="001455DC">
        <w:noBreakHyphen/>
        <w:t>0301). A National Annex can provide further requirements (e.g. regarding fatigue strength) and advice to couplers.</w:t>
      </w:r>
    </w:p>
    <w:p w14:paraId="03D32C5D" w14:textId="748BFFC2" w:rsidR="004E22C1" w:rsidRPr="001455DC" w:rsidRDefault="004E22C1" w:rsidP="00082680">
      <w:pPr>
        <w:pStyle w:val="a2"/>
      </w:pPr>
      <w:bookmarkStart w:id="1391" w:name="_Toc52820144"/>
      <w:bookmarkStart w:id="1392" w:name="_Toc54337146"/>
      <w:bookmarkStart w:id="1393" w:name="_Toc54337556"/>
      <w:bookmarkStart w:id="1394" w:name="_Toc54338199"/>
      <w:bookmarkStart w:id="1395" w:name="_Toc67565535"/>
      <w:r w:rsidRPr="001455DC">
        <w:t>Headed bars</w:t>
      </w:r>
      <w:bookmarkEnd w:id="1391"/>
      <w:bookmarkEnd w:id="1392"/>
      <w:bookmarkEnd w:id="1393"/>
      <w:bookmarkEnd w:id="1394"/>
      <w:bookmarkEnd w:id="1395"/>
    </w:p>
    <w:p w14:paraId="57599C43" w14:textId="7763A3AD" w:rsidR="004E22C1" w:rsidRPr="001455DC" w:rsidRDefault="004E22C1" w:rsidP="00F72049">
      <w:pPr>
        <w:pStyle w:val="a7"/>
        <w:rPr>
          <w:szCs w:val="19"/>
        </w:rPr>
      </w:pPr>
      <w:r w:rsidRPr="001455DC">
        <w:t>(1)</w:t>
      </w:r>
      <w:r w:rsidRPr="001455DC">
        <w:tab/>
      </w:r>
      <w:r w:rsidRPr="001455DC">
        <w:rPr>
          <w:szCs w:val="19"/>
        </w:rPr>
        <w:t xml:space="preserve">Heads at the end of reinforcing steel bars shall be connected with a strength for </w:t>
      </w:r>
      <w:r w:rsidRPr="001455DC">
        <w:rPr>
          <w:rStyle w:val="CCMCvariableitalic"/>
        </w:rPr>
        <w:t>F</w:t>
      </w:r>
      <w:r w:rsidRPr="001455DC">
        <w:rPr>
          <w:rStyle w:val="CCMCvariablesubscript"/>
        </w:rPr>
        <w:t>yd</w:t>
      </w:r>
      <w:r w:rsidRPr="001455DC">
        <w:rPr>
          <w:szCs w:val="19"/>
        </w:rPr>
        <w:t xml:space="preserve"> of the bar diameter </w:t>
      </w:r>
      <w:r w:rsidRPr="001455DC">
        <w:rPr>
          <w:rStyle w:val="CCMCvariableitalic"/>
        </w:rPr>
        <w:t>ϕ</w:t>
      </w:r>
      <w:r w:rsidRPr="001455DC">
        <w:rPr>
          <w:szCs w:val="19"/>
        </w:rPr>
        <w:t>. The head shall have the same steel strength as the bar. The head d</w:t>
      </w:r>
      <w:r w:rsidRPr="001455DC">
        <w:t xml:space="preserve">iameter </w:t>
      </w:r>
      <w:r w:rsidRPr="001455DC">
        <w:rPr>
          <w:rStyle w:val="CCMCvariableitalic"/>
        </w:rPr>
        <w:t>ϕ</w:t>
      </w:r>
      <w:r w:rsidRPr="001455DC">
        <w:rPr>
          <w:rStyle w:val="CCMCvariablesubscript"/>
        </w:rPr>
        <w:t>h</w:t>
      </w:r>
      <w:r w:rsidRPr="001455DC">
        <w:t xml:space="preserve"> should be </w:t>
      </w:r>
      <w:r w:rsidRPr="001455DC">
        <w:rPr>
          <w:rStyle w:val="CCMCvariableitalic"/>
        </w:rPr>
        <w:t>ϕ</w:t>
      </w:r>
      <w:r w:rsidRPr="001455DC">
        <w:rPr>
          <w:rStyle w:val="CCMCvariablesubscript"/>
        </w:rPr>
        <w:t>h</w:t>
      </w:r>
      <w:r w:rsidRPr="001455DC">
        <w:t> </w:t>
      </w:r>
      <w:r w:rsidR="00650035" w:rsidRPr="001455DC">
        <w:rPr>
          <w:rFonts w:ascii="Cambria Math" w:hAnsi="Cambria Math"/>
        </w:rPr>
        <w:t>≥</w:t>
      </w:r>
      <w:r w:rsidR="00073FC6" w:rsidRPr="001455DC">
        <w:t> </w:t>
      </w:r>
      <w:r w:rsidRPr="001455DC">
        <w:t>3</w:t>
      </w:r>
      <w:r w:rsidRPr="001455DC">
        <w:rPr>
          <w:rStyle w:val="CCMCvariableitalic"/>
        </w:rPr>
        <w:t>ϕ</w:t>
      </w:r>
      <w:r w:rsidRPr="001455DC">
        <w:t>.</w:t>
      </w:r>
    </w:p>
    <w:p w14:paraId="23CCA430" w14:textId="7B521D1A" w:rsidR="004E22C1" w:rsidRPr="001455DC" w:rsidRDefault="004E22C1" w:rsidP="00F72049">
      <w:pPr>
        <w:pStyle w:val="a7"/>
        <w:rPr>
          <w:szCs w:val="19"/>
        </w:rPr>
      </w:pPr>
      <w:r w:rsidRPr="001455DC">
        <w:rPr>
          <w:szCs w:val="19"/>
        </w:rPr>
        <w:t>(2)</w:t>
      </w:r>
      <w:r w:rsidRPr="001455DC">
        <w:rPr>
          <w:szCs w:val="19"/>
        </w:rPr>
        <w:tab/>
        <w:t>If double-headed studs are designed as punching shear reinforcement, the requirements of Table C.</w:t>
      </w:r>
      <w:r w:rsidR="00F602E1" w:rsidRPr="001455DC">
        <w:rPr>
          <w:szCs w:val="19"/>
        </w:rPr>
        <w:t xml:space="preserve">6 </w:t>
      </w:r>
      <w:r w:rsidRPr="001455DC">
        <w:rPr>
          <w:szCs w:val="19"/>
        </w:rPr>
        <w:t>should be fulfilled.</w:t>
      </w:r>
    </w:p>
    <w:p w14:paraId="7CC383D9" w14:textId="18335E2B" w:rsidR="004E22C1" w:rsidRPr="001455DC" w:rsidRDefault="004E22C1" w:rsidP="00F72049">
      <w:pPr>
        <w:pStyle w:val="Tabletitle"/>
      </w:pPr>
      <w:bookmarkStart w:id="1396" w:name="_Toc54337557"/>
      <w:r w:rsidRPr="001455DC">
        <w:t>Table C.</w:t>
      </w:r>
      <w:r w:rsidR="00F602E1" w:rsidRPr="001455DC">
        <w:t>6 </w:t>
      </w:r>
      <w:r w:rsidRPr="001455DC">
        <w:t>— Properties of double-headed studs</w:t>
      </w:r>
      <w:bookmarkEnd w:id="1396"/>
    </w:p>
    <w:tbl>
      <w:tblPr>
        <w:tblStyle w:val="53"/>
        <w:tblW w:w="9752" w:type="dxa"/>
        <w:tblLook w:val="0620" w:firstRow="1" w:lastRow="0" w:firstColumn="0" w:lastColumn="0" w:noHBand="1" w:noVBand="1"/>
      </w:tblPr>
      <w:tblGrid>
        <w:gridCol w:w="7115"/>
        <w:gridCol w:w="2637"/>
      </w:tblGrid>
      <w:tr w:rsidR="004E22C1" w:rsidRPr="001455DC" w14:paraId="7ED925D9" w14:textId="77777777" w:rsidTr="00822F09">
        <w:trPr>
          <w:cnfStyle w:val="100000000000" w:firstRow="1" w:lastRow="0" w:firstColumn="0" w:lastColumn="0" w:oddVBand="0" w:evenVBand="0" w:oddHBand="0" w:evenHBand="0" w:firstRowFirstColumn="0" w:firstRowLastColumn="0" w:lastRowFirstColumn="0" w:lastRowLastColumn="0"/>
          <w:cantSplit/>
          <w:tblHeader/>
        </w:trPr>
        <w:tc>
          <w:tcPr>
            <w:tcW w:w="6120" w:type="dxa"/>
          </w:tcPr>
          <w:p w14:paraId="73A627CC" w14:textId="77777777" w:rsidR="004E22C1" w:rsidRPr="001455DC" w:rsidRDefault="004E22C1" w:rsidP="00822F09">
            <w:pPr>
              <w:pStyle w:val="Tableheader"/>
            </w:pPr>
            <w:r w:rsidRPr="001455DC">
              <w:t>Property</w:t>
            </w:r>
          </w:p>
        </w:tc>
        <w:tc>
          <w:tcPr>
            <w:tcW w:w="2268" w:type="dxa"/>
          </w:tcPr>
          <w:p w14:paraId="4851A2A3" w14:textId="77777777" w:rsidR="004E22C1" w:rsidRPr="001455DC" w:rsidRDefault="004E22C1" w:rsidP="00822F09">
            <w:pPr>
              <w:pStyle w:val="Tableheader"/>
            </w:pPr>
            <w:r w:rsidRPr="001455DC">
              <w:t>Requirement</w:t>
            </w:r>
          </w:p>
        </w:tc>
      </w:tr>
      <w:tr w:rsidR="004E22C1" w:rsidRPr="001455DC" w14:paraId="2BE19DAB" w14:textId="77777777" w:rsidTr="00822F09">
        <w:trPr>
          <w:cantSplit/>
        </w:trPr>
        <w:tc>
          <w:tcPr>
            <w:tcW w:w="6120" w:type="dxa"/>
            <w:vAlign w:val="center"/>
          </w:tcPr>
          <w:p w14:paraId="6B8DDF7B" w14:textId="77777777" w:rsidR="004E22C1" w:rsidRPr="001455DC" w:rsidRDefault="004E22C1" w:rsidP="00822F09">
            <w:pPr>
              <w:pStyle w:val="Tablebody"/>
              <w:jc w:val="left"/>
            </w:pPr>
            <w:r w:rsidRPr="001455DC">
              <w:t>Steel strength of heads</w:t>
            </w:r>
          </w:p>
        </w:tc>
        <w:tc>
          <w:tcPr>
            <w:tcW w:w="2268" w:type="dxa"/>
            <w:vAlign w:val="center"/>
          </w:tcPr>
          <w:p w14:paraId="3CC35005" w14:textId="77777777" w:rsidR="004E22C1" w:rsidRPr="009D3012" w:rsidRDefault="004E22C1" w:rsidP="00822F09">
            <w:pPr>
              <w:pStyle w:val="Tablebody"/>
              <w:jc w:val="center"/>
              <w:rPr>
                <w:rStyle w:val="CCMCvariableitalic"/>
              </w:rPr>
            </w:pPr>
            <w:r w:rsidRPr="001455DC">
              <w:rPr>
                <w:rStyle w:val="CCMCvariableitalic"/>
              </w:rPr>
              <w:t>R</w:t>
            </w:r>
            <w:r w:rsidRPr="001455DC">
              <w:rPr>
                <w:rStyle w:val="CCMCvariablesubscript"/>
              </w:rPr>
              <w:t>e</w:t>
            </w:r>
            <w:r w:rsidRPr="001455DC">
              <w:rPr>
                <w:iCs/>
              </w:rPr>
              <w:t xml:space="preserve"> of reinforcing steel</w:t>
            </w:r>
          </w:p>
        </w:tc>
      </w:tr>
      <w:tr w:rsidR="004E22C1" w:rsidRPr="001455DC" w14:paraId="23E6AB71" w14:textId="77777777" w:rsidTr="00822F09">
        <w:trPr>
          <w:cantSplit/>
        </w:trPr>
        <w:tc>
          <w:tcPr>
            <w:tcW w:w="6120" w:type="dxa"/>
            <w:vAlign w:val="center"/>
          </w:tcPr>
          <w:p w14:paraId="096A7866" w14:textId="77777777" w:rsidR="004E22C1" w:rsidRPr="009D3012" w:rsidRDefault="004E22C1" w:rsidP="00822F09">
            <w:pPr>
              <w:pStyle w:val="Tablebody"/>
              <w:jc w:val="left"/>
              <w:rPr>
                <w:lang w:val="en-US"/>
              </w:rPr>
            </w:pPr>
            <w:r w:rsidRPr="009D3012">
              <w:rPr>
                <w:lang w:val="en-US"/>
              </w:rPr>
              <w:t xml:space="preserve">Diameter of heads </w:t>
            </w:r>
            <w:r w:rsidRPr="001455DC">
              <w:rPr>
                <w:rStyle w:val="CCMCvariableitalic"/>
              </w:rPr>
              <w:t>ϕ</w:t>
            </w:r>
            <w:r w:rsidRPr="009D3012">
              <w:rPr>
                <w:rStyle w:val="CCMCvariablesubscript"/>
                <w:lang w:val="en-US"/>
              </w:rPr>
              <w:t>h</w:t>
            </w:r>
            <w:r w:rsidRPr="009D3012">
              <w:rPr>
                <w:lang w:val="en-US"/>
              </w:rPr>
              <w:t xml:space="preserve"> (related to bar diameter </w:t>
            </w:r>
            <w:r w:rsidRPr="001455DC">
              <w:rPr>
                <w:rStyle w:val="CCMCvariableitalic"/>
              </w:rPr>
              <w:t>ϕ</w:t>
            </w:r>
            <w:r w:rsidRPr="009D3012">
              <w:rPr>
                <w:lang w:val="en-US"/>
              </w:rPr>
              <w:t>)</w:t>
            </w:r>
          </w:p>
        </w:tc>
        <w:tc>
          <w:tcPr>
            <w:tcW w:w="2268" w:type="dxa"/>
            <w:vAlign w:val="center"/>
          </w:tcPr>
          <w:p w14:paraId="54999B46" w14:textId="27ED442A" w:rsidR="004E22C1" w:rsidRPr="001455DC" w:rsidRDefault="004E22C1" w:rsidP="00822F09">
            <w:pPr>
              <w:pStyle w:val="Tablebody"/>
              <w:jc w:val="center"/>
            </w:pPr>
            <w:r w:rsidRPr="001455DC">
              <w:rPr>
                <w:rStyle w:val="CCMCvariableitalic"/>
              </w:rPr>
              <w:t>ϕ</w:t>
            </w:r>
            <w:r w:rsidRPr="001455DC">
              <w:rPr>
                <w:rStyle w:val="CCMCvariablesubscript"/>
              </w:rPr>
              <w:t>h</w:t>
            </w:r>
            <w:r w:rsidRPr="001455DC">
              <w:t> </w:t>
            </w:r>
            <w:r w:rsidR="00650035" w:rsidRPr="001455DC">
              <w:rPr>
                <w:rFonts w:ascii="Cambria Math" w:hAnsi="Cambria Math"/>
              </w:rPr>
              <w:t>≥</w:t>
            </w:r>
            <w:r w:rsidR="00073FC6" w:rsidRPr="001455DC">
              <w:t> </w:t>
            </w:r>
            <w:r w:rsidRPr="001455DC">
              <w:t>3</w:t>
            </w:r>
            <w:r w:rsidRPr="001455DC">
              <w:rPr>
                <w:rStyle w:val="CCMCvariableitalic"/>
              </w:rPr>
              <w:t>ϕ</w:t>
            </w:r>
          </w:p>
        </w:tc>
      </w:tr>
      <w:tr w:rsidR="004E22C1" w:rsidRPr="001455DC" w14:paraId="660500F0" w14:textId="77777777" w:rsidTr="00822F09">
        <w:trPr>
          <w:cantSplit/>
        </w:trPr>
        <w:tc>
          <w:tcPr>
            <w:tcW w:w="6120" w:type="dxa"/>
            <w:vAlign w:val="center"/>
          </w:tcPr>
          <w:p w14:paraId="634BCDD0" w14:textId="77777777" w:rsidR="004E22C1" w:rsidRPr="009D3012" w:rsidRDefault="004E22C1" w:rsidP="00822F09">
            <w:pPr>
              <w:pStyle w:val="Tablebody"/>
              <w:jc w:val="left"/>
              <w:rPr>
                <w:lang w:val="en-US"/>
              </w:rPr>
            </w:pPr>
            <w:r w:rsidRPr="009D3012">
              <w:rPr>
                <w:lang w:val="en-US"/>
              </w:rPr>
              <w:t xml:space="preserve">Increasing factor for punching shear resistance of monotonic slabs </w:t>
            </w:r>
          </w:p>
        </w:tc>
        <w:tc>
          <w:tcPr>
            <w:tcW w:w="2268" w:type="dxa"/>
            <w:vAlign w:val="center"/>
          </w:tcPr>
          <w:p w14:paraId="6E239481" w14:textId="07A59568" w:rsidR="004E22C1" w:rsidRPr="001455DC" w:rsidRDefault="004E22C1" w:rsidP="00822F09">
            <w:pPr>
              <w:pStyle w:val="Tablebody"/>
              <w:jc w:val="center"/>
            </w:pPr>
            <w:r w:rsidRPr="001455DC">
              <w:rPr>
                <w:rStyle w:val="CCMCvariableitalic"/>
              </w:rPr>
              <w:t>η</w:t>
            </w:r>
            <w:r w:rsidRPr="001455DC">
              <w:rPr>
                <w:rStyle w:val="CCMCvariablesubscript"/>
              </w:rPr>
              <w:t>sys</w:t>
            </w:r>
            <w:r w:rsidRPr="001455DC">
              <w:t> </w:t>
            </w:r>
            <w:r w:rsidR="00650035" w:rsidRPr="001455DC">
              <w:rPr>
                <w:rFonts w:ascii="Cambria Math" w:hAnsi="Cambria Math"/>
              </w:rPr>
              <w:t>≥</w:t>
            </w:r>
            <w:r w:rsidR="00073FC6" w:rsidRPr="001455DC">
              <w:t> </w:t>
            </w:r>
            <w:r w:rsidRPr="001455DC">
              <w:t>1,8</w:t>
            </w:r>
          </w:p>
        </w:tc>
      </w:tr>
      <w:tr w:rsidR="004E22C1" w:rsidRPr="001455DC" w14:paraId="0D288989" w14:textId="77777777" w:rsidTr="00822F09">
        <w:trPr>
          <w:cantSplit/>
        </w:trPr>
        <w:tc>
          <w:tcPr>
            <w:tcW w:w="6120" w:type="dxa"/>
            <w:vAlign w:val="center"/>
          </w:tcPr>
          <w:p w14:paraId="6901DC90" w14:textId="1A2800BE" w:rsidR="004E22C1" w:rsidRPr="009D3012" w:rsidRDefault="004E22C1" w:rsidP="00822F09">
            <w:pPr>
              <w:pStyle w:val="Tablebody"/>
              <w:jc w:val="left"/>
              <w:rPr>
                <w:lang w:val="en-US"/>
              </w:rPr>
            </w:pPr>
            <w:r w:rsidRPr="009D3012">
              <w:rPr>
                <w:lang w:val="en-US"/>
              </w:rPr>
              <w:t xml:space="preserve">Characteristic resistance to fatigue loading </w:t>
            </w:r>
            <w:r w:rsidRPr="001455DC">
              <w:t>Δ</w:t>
            </w:r>
            <w:r w:rsidRPr="001455DC">
              <w:rPr>
                <w:rStyle w:val="CCMCvariableitalic"/>
              </w:rPr>
              <w:t>σ</w:t>
            </w:r>
            <w:r w:rsidRPr="009D3012">
              <w:rPr>
                <w:rStyle w:val="CCMCvariablesubscript"/>
                <w:lang w:val="en-US"/>
              </w:rPr>
              <w:t>Rsk</w:t>
            </w:r>
            <w:r w:rsidRPr="009D3012">
              <w:rPr>
                <w:lang w:val="en-US"/>
              </w:rPr>
              <w:t xml:space="preserve"> in testing for </w:t>
            </w:r>
            <w:r w:rsidRPr="009D3012">
              <w:rPr>
                <w:rStyle w:val="CCMCvariableitalic"/>
                <w:lang w:val="en-US"/>
              </w:rPr>
              <w:t>N</w:t>
            </w:r>
            <w:r w:rsidRPr="009D3012">
              <w:rPr>
                <w:lang w:val="en-US"/>
              </w:rPr>
              <w:t> </w:t>
            </w:r>
            <w:r w:rsidR="00650035" w:rsidRPr="009D3012">
              <w:rPr>
                <w:rFonts w:ascii="Cambria Math" w:hAnsi="Cambria Math"/>
                <w:lang w:val="en-US"/>
              </w:rPr>
              <w:t>≥</w:t>
            </w:r>
            <w:r w:rsidR="00073FC6" w:rsidRPr="009D3012">
              <w:rPr>
                <w:lang w:val="en-US"/>
              </w:rPr>
              <w:t> </w:t>
            </w:r>
            <w:r w:rsidRPr="009D3012">
              <w:rPr>
                <w:lang w:val="en-US"/>
              </w:rPr>
              <w:t>2 </w:t>
            </w:r>
            <w:r w:rsidR="00650035" w:rsidRPr="009D3012">
              <w:rPr>
                <w:rFonts w:ascii="Cambria Math" w:hAnsi="Cambria Math"/>
                <w:lang w:val="en-US"/>
              </w:rPr>
              <w:t>×</w:t>
            </w:r>
            <w:r w:rsidRPr="009D3012">
              <w:rPr>
                <w:lang w:val="en-US"/>
              </w:rPr>
              <w:t> 10</w:t>
            </w:r>
            <w:r w:rsidRPr="009D3012">
              <w:rPr>
                <w:rStyle w:val="CCMCvariablesuperscript"/>
                <w:lang w:val="en-US"/>
              </w:rPr>
              <w:t>6</w:t>
            </w:r>
            <w:r w:rsidRPr="009D3012">
              <w:rPr>
                <w:lang w:val="en-US"/>
              </w:rPr>
              <w:t xml:space="preserve"> cycles based on an upper stress limit of 0,6</w:t>
            </w:r>
            <w:r w:rsidRPr="009D3012">
              <w:rPr>
                <w:rStyle w:val="CCMCvariableitalic"/>
                <w:lang w:val="en-US"/>
              </w:rPr>
              <w:t>f</w:t>
            </w:r>
            <w:r w:rsidRPr="009D3012">
              <w:rPr>
                <w:rStyle w:val="CCMCvariablesubscript"/>
                <w:lang w:val="en-US"/>
              </w:rPr>
              <w:t>yk</w:t>
            </w:r>
          </w:p>
        </w:tc>
        <w:tc>
          <w:tcPr>
            <w:tcW w:w="2268" w:type="dxa"/>
            <w:vAlign w:val="center"/>
          </w:tcPr>
          <w:p w14:paraId="0777774D" w14:textId="566A8D57" w:rsidR="004E22C1" w:rsidRPr="001455DC" w:rsidRDefault="004E22C1" w:rsidP="00822F09">
            <w:pPr>
              <w:pStyle w:val="Tablebody"/>
              <w:jc w:val="center"/>
            </w:pPr>
            <w:r w:rsidRPr="001455DC">
              <w:t>Δ</w:t>
            </w:r>
            <w:r w:rsidRPr="001455DC">
              <w:rPr>
                <w:rStyle w:val="CCMCvariableitalic"/>
              </w:rPr>
              <w:t>σ</w:t>
            </w:r>
            <w:r w:rsidRPr="001455DC">
              <w:rPr>
                <w:rStyle w:val="CCMCvariablesubscript"/>
              </w:rPr>
              <w:t>Rsk</w:t>
            </w:r>
            <w:r w:rsidRPr="001455DC">
              <w:t> </w:t>
            </w:r>
            <w:r w:rsidR="00650035" w:rsidRPr="001455DC">
              <w:rPr>
                <w:rFonts w:ascii="Cambria Math" w:hAnsi="Cambria Math"/>
              </w:rPr>
              <w:t>≥</w:t>
            </w:r>
            <w:r w:rsidR="00073FC6" w:rsidRPr="001455DC">
              <w:t> </w:t>
            </w:r>
            <w:r w:rsidRPr="001455DC">
              <w:t>70 MPa</w:t>
            </w:r>
          </w:p>
        </w:tc>
      </w:tr>
    </w:tbl>
    <w:p w14:paraId="673107F6" w14:textId="77777777" w:rsidR="004E22C1" w:rsidRPr="001455DC" w:rsidRDefault="004E22C1" w:rsidP="00F72049">
      <w:pPr>
        <w:pStyle w:val="a7"/>
      </w:pPr>
    </w:p>
    <w:p w14:paraId="5F0B553D" w14:textId="77777777" w:rsidR="004E22C1" w:rsidRPr="001455DC" w:rsidRDefault="004E22C1" w:rsidP="00F72049">
      <w:pPr>
        <w:pStyle w:val="Note"/>
      </w:pPr>
      <w:r w:rsidRPr="001455DC">
        <w:t>NOTE</w:t>
      </w:r>
      <w:r w:rsidRPr="001455DC">
        <w:tab/>
        <w:t>The required properties of double-headed studs can be found in European Technical Product Specification (based on EAD 160003</w:t>
      </w:r>
      <w:r w:rsidRPr="001455DC">
        <w:noBreakHyphen/>
        <w:t>00</w:t>
      </w:r>
      <w:r w:rsidRPr="001455DC">
        <w:noBreakHyphen/>
        <w:t>0301). A National Annex can give further requirements.</w:t>
      </w:r>
    </w:p>
    <w:p w14:paraId="50D1DC14" w14:textId="17EDA645" w:rsidR="004E22C1" w:rsidRPr="001455DC" w:rsidRDefault="004E22C1" w:rsidP="00F72049">
      <w:pPr>
        <w:pStyle w:val="a7"/>
      </w:pPr>
      <w:r w:rsidRPr="001455DC">
        <w:rPr>
          <w:szCs w:val="22"/>
        </w:rPr>
        <w:t>(3)</w:t>
      </w:r>
      <w:r w:rsidRPr="001455DC">
        <w:rPr>
          <w:szCs w:val="22"/>
        </w:rPr>
        <w:tab/>
      </w:r>
      <w:r w:rsidRPr="001455DC">
        <w:t>The bearing surface of he</w:t>
      </w:r>
      <w:r w:rsidR="00F602E1" w:rsidRPr="001455DC">
        <w:t>a</w:t>
      </w:r>
      <w:r w:rsidR="00AD033B">
        <w:t xml:space="preserve">ds should be flat and at 90° </w:t>
      </w:r>
      <w:r w:rsidRPr="001455DC">
        <w:t>to the bar unless justified by testing appropriate to the design situation under consideration.</w:t>
      </w:r>
    </w:p>
    <w:p w14:paraId="1DF4B9B8" w14:textId="39DFB1A2" w:rsidR="004E22C1" w:rsidRPr="001455DC" w:rsidRDefault="004E22C1" w:rsidP="00082680">
      <w:pPr>
        <w:pStyle w:val="a2"/>
      </w:pPr>
      <w:bookmarkStart w:id="1397" w:name="_Toc52820145"/>
      <w:bookmarkStart w:id="1398" w:name="_Toc54337147"/>
      <w:bookmarkStart w:id="1399" w:name="_Toc54337558"/>
      <w:bookmarkStart w:id="1400" w:name="_Toc54338200"/>
      <w:bookmarkStart w:id="1401" w:name="_Toc67565536"/>
      <w:r w:rsidRPr="001455DC">
        <w:t>Post-installed reinforcing steel systems</w:t>
      </w:r>
      <w:bookmarkEnd w:id="1397"/>
      <w:bookmarkEnd w:id="1398"/>
      <w:bookmarkEnd w:id="1399"/>
      <w:bookmarkEnd w:id="1400"/>
      <w:bookmarkEnd w:id="1401"/>
    </w:p>
    <w:p w14:paraId="50858223" w14:textId="5640DB22" w:rsidR="004E22C1" w:rsidRPr="001455DC" w:rsidRDefault="004E22C1" w:rsidP="00F72049">
      <w:pPr>
        <w:pStyle w:val="a7"/>
      </w:pPr>
      <w:r w:rsidRPr="001455DC">
        <w:t>(1)</w:t>
      </w:r>
      <w:r w:rsidRPr="001455DC">
        <w:tab/>
        <w:t>A post-installed reinforcing steel system comprises a deformed straight reinforcing steel bar with properties according to C.</w:t>
      </w:r>
      <w:r w:rsidR="00DC0EB4" w:rsidRPr="001455DC">
        <w:t xml:space="preserve">4 </w:t>
      </w:r>
      <w:r w:rsidRPr="001455DC">
        <w:t>and an anchoring mortar. The performance of the post-installed reinforcing steel system depends on the tools for drilling and preparing the hole (e.g. roughening and cleaning) as well as for injection of the mortar (e.g. dispenser, nozzles and piston plug, if applicable). Its suitability should be stated in a European Technical Product Specification.</w:t>
      </w:r>
    </w:p>
    <w:p w14:paraId="2CDE5EB2" w14:textId="33CEA4A3" w:rsidR="004E22C1" w:rsidRPr="001455DC" w:rsidRDefault="004E22C1" w:rsidP="00F72049">
      <w:pPr>
        <w:pStyle w:val="a7"/>
      </w:pPr>
      <w:r w:rsidRPr="001455DC">
        <w:t>(2)</w:t>
      </w:r>
      <w:r w:rsidRPr="001455DC">
        <w:tab/>
        <w:t xml:space="preserve">Anchoring mortars for post-installed reinforcing steel systems are for the purpose of this Eurocode grouped in bond efficiency classes which should develop a minimum mean bond strength </w:t>
      </w:r>
      <w:r w:rsidRPr="001455DC">
        <w:rPr>
          <w:rStyle w:val="CCMCvariableitalic"/>
        </w:rPr>
        <w:t>f</w:t>
      </w:r>
      <w:r w:rsidRPr="001455DC">
        <w:rPr>
          <w:rStyle w:val="CCMCvariablesubscript"/>
        </w:rPr>
        <w:t>bm,req</w:t>
      </w:r>
      <w:r w:rsidRPr="001455DC">
        <w:t xml:space="preserve"> according to Table C.</w:t>
      </w:r>
      <w:r w:rsidR="00F602E1" w:rsidRPr="001455DC">
        <w:t>7</w:t>
      </w:r>
      <w:r w:rsidRPr="001455DC">
        <w:t>, when tested and assessed in accordance with EAD 330087</w:t>
      </w:r>
      <w:r w:rsidR="00FE1655" w:rsidRPr="001455DC">
        <w:t>-00-0601</w:t>
      </w:r>
      <w:r w:rsidRPr="001455DC">
        <w:t xml:space="preserve"> and accounting for the conditions in C.</w:t>
      </w:r>
      <w:r w:rsidR="007A4A17" w:rsidRPr="001455DC">
        <w:t>8</w:t>
      </w:r>
      <w:r w:rsidRPr="001455DC">
        <w:t>(</w:t>
      </w:r>
      <w:r w:rsidR="00F602E1" w:rsidRPr="001455DC">
        <w:t>3</w:t>
      </w:r>
      <w:r w:rsidRPr="001455DC">
        <w:t>).</w:t>
      </w:r>
    </w:p>
    <w:p w14:paraId="69E38E4E" w14:textId="77777777" w:rsidR="004E22C1" w:rsidRPr="001455DC" w:rsidRDefault="004E22C1" w:rsidP="00F72049">
      <w:pPr>
        <w:pStyle w:val="Note"/>
      </w:pPr>
      <w:r w:rsidRPr="001455DC">
        <w:rPr>
          <w:bCs/>
        </w:rPr>
        <w:t>NOTE</w:t>
      </w:r>
      <w:r w:rsidRPr="001455DC">
        <w:rPr>
          <w:bCs/>
        </w:rPr>
        <w:tab/>
      </w:r>
      <w:r w:rsidRPr="001455DC">
        <w:t>A National annex can give further specifications.</w:t>
      </w:r>
    </w:p>
    <w:p w14:paraId="59D736A7" w14:textId="198ED763" w:rsidR="004E22C1" w:rsidRPr="001455DC" w:rsidRDefault="004E22C1" w:rsidP="00F72049">
      <w:pPr>
        <w:pStyle w:val="Tabletitle"/>
      </w:pPr>
      <w:bookmarkStart w:id="1402" w:name="_Toc54337559"/>
      <w:r w:rsidRPr="001455DC">
        <w:t>Table C.</w:t>
      </w:r>
      <w:r w:rsidR="00F602E1" w:rsidRPr="001455DC">
        <w:t>7 </w:t>
      </w:r>
      <w:r w:rsidRPr="001455DC">
        <w:t xml:space="preserve">— Required minimum mean bond strength </w:t>
      </w:r>
      <w:r w:rsidRPr="001455DC">
        <w:rPr>
          <w:rStyle w:val="CCMCvariableitalic"/>
        </w:rPr>
        <w:t>f</w:t>
      </w:r>
      <w:r w:rsidRPr="001455DC">
        <w:rPr>
          <w:rStyle w:val="CCMCvariablesubscript"/>
        </w:rPr>
        <w:t>bm,rqd</w:t>
      </w:r>
      <w:r w:rsidRPr="001455DC">
        <w:t xml:space="preserve"> [MPa]</w:t>
      </w:r>
      <w:bookmarkEnd w:id="1402"/>
    </w:p>
    <w:tbl>
      <w:tblPr>
        <w:tblStyle w:val="53"/>
        <w:tblW w:w="9752" w:type="dxa"/>
        <w:tblLook w:val="0660" w:firstRow="1" w:lastRow="1" w:firstColumn="0" w:lastColumn="0" w:noHBand="1" w:noVBand="1"/>
      </w:tblPr>
      <w:tblGrid>
        <w:gridCol w:w="2099"/>
        <w:gridCol w:w="1822"/>
        <w:gridCol w:w="972"/>
        <w:gridCol w:w="972"/>
        <w:gridCol w:w="971"/>
        <w:gridCol w:w="972"/>
        <w:gridCol w:w="972"/>
        <w:gridCol w:w="972"/>
      </w:tblGrid>
      <w:tr w:rsidR="004E22C1" w:rsidRPr="001455DC" w14:paraId="1F841123" w14:textId="77777777" w:rsidTr="00822F09">
        <w:trPr>
          <w:cnfStyle w:val="100000000000" w:firstRow="1" w:lastRow="0" w:firstColumn="0" w:lastColumn="0" w:oddVBand="0" w:evenVBand="0" w:oddHBand="0" w:evenHBand="0" w:firstRowFirstColumn="0" w:firstRowLastColumn="0" w:lastRowFirstColumn="0" w:lastRowLastColumn="0"/>
          <w:cantSplit/>
          <w:tblHeader/>
        </w:trPr>
        <w:tc>
          <w:tcPr>
            <w:tcW w:w="1531" w:type="dxa"/>
            <w:vMerge w:val="restart"/>
          </w:tcPr>
          <w:p w14:paraId="30588939" w14:textId="77777777" w:rsidR="004E22C1" w:rsidRPr="001455DC" w:rsidRDefault="004E22C1" w:rsidP="00822F09">
            <w:pPr>
              <w:pStyle w:val="Tableheader"/>
              <w:keepNext/>
            </w:pPr>
            <w:r w:rsidRPr="001455DC">
              <w:t>Bond efficiency class</w:t>
            </w:r>
          </w:p>
        </w:tc>
        <w:tc>
          <w:tcPr>
            <w:tcW w:w="1329" w:type="dxa"/>
            <w:vMerge w:val="restart"/>
          </w:tcPr>
          <w:p w14:paraId="4F952067" w14:textId="77777777" w:rsidR="004E22C1" w:rsidRPr="009D3012" w:rsidRDefault="004E22C1" w:rsidP="00822F09">
            <w:pPr>
              <w:pStyle w:val="Tableheader"/>
              <w:keepNext/>
              <w:rPr>
                <w:lang w:val="en-US"/>
              </w:rPr>
            </w:pPr>
            <w:r w:rsidRPr="009D3012">
              <w:rPr>
                <w:lang w:val="en-US"/>
              </w:rPr>
              <w:t xml:space="preserve">Bond efficiency factor </w:t>
            </w:r>
            <w:r w:rsidRPr="009D3012">
              <w:rPr>
                <w:rStyle w:val="CCMCvariableitalic"/>
                <w:b w:val="0"/>
                <w:bCs/>
                <w:lang w:val="en-US"/>
              </w:rPr>
              <w:t>k</w:t>
            </w:r>
            <w:r w:rsidRPr="009D3012">
              <w:rPr>
                <w:rStyle w:val="CCMCvariablesubscript"/>
                <w:b w:val="0"/>
                <w:bCs/>
                <w:lang w:val="en-US"/>
              </w:rPr>
              <w:t>b,pi</w:t>
            </w:r>
          </w:p>
        </w:tc>
        <w:tc>
          <w:tcPr>
            <w:tcW w:w="4253" w:type="dxa"/>
            <w:gridSpan w:val="6"/>
          </w:tcPr>
          <w:p w14:paraId="27090150" w14:textId="77777777" w:rsidR="004E22C1" w:rsidRPr="009D3012" w:rsidRDefault="004E22C1" w:rsidP="00822F09">
            <w:pPr>
              <w:pStyle w:val="Tableheader"/>
              <w:keepNext/>
              <w:rPr>
                <w:lang w:val="en-US"/>
              </w:rPr>
            </w:pPr>
            <w:r w:rsidRPr="009D3012">
              <w:rPr>
                <w:lang w:val="en-US"/>
              </w:rPr>
              <w:t xml:space="preserve">Required minimum </w:t>
            </w:r>
            <w:r w:rsidRPr="009D3012">
              <w:rPr>
                <w:bCs/>
                <w:lang w:val="en-US"/>
              </w:rPr>
              <w:t xml:space="preserve">mean </w:t>
            </w:r>
            <w:r w:rsidRPr="009D3012">
              <w:rPr>
                <w:lang w:val="en-US"/>
              </w:rPr>
              <w:t xml:space="preserve">bond strength as a function of concrete strength </w:t>
            </w:r>
            <w:r w:rsidRPr="009D3012">
              <w:rPr>
                <w:rStyle w:val="CCMCvariableitalic"/>
                <w:lang w:val="en-US"/>
              </w:rPr>
              <w:t>f</w:t>
            </w:r>
            <w:r w:rsidRPr="009D3012">
              <w:rPr>
                <w:rStyle w:val="CCMCvariablesubscript"/>
                <w:lang w:val="en-US"/>
              </w:rPr>
              <w:t>ck</w:t>
            </w:r>
            <w:r w:rsidRPr="009D3012">
              <w:rPr>
                <w:lang w:val="en-US"/>
              </w:rPr>
              <w:t xml:space="preserve"> (MPa)</w:t>
            </w:r>
          </w:p>
        </w:tc>
      </w:tr>
      <w:tr w:rsidR="004E22C1" w:rsidRPr="001455DC" w14:paraId="294737E1" w14:textId="77777777" w:rsidTr="00822F09">
        <w:trPr>
          <w:cnfStyle w:val="100000000000" w:firstRow="1" w:lastRow="0" w:firstColumn="0" w:lastColumn="0" w:oddVBand="0" w:evenVBand="0" w:oddHBand="0" w:evenHBand="0" w:firstRowFirstColumn="0" w:firstRowLastColumn="0" w:lastRowFirstColumn="0" w:lastRowLastColumn="0"/>
          <w:cantSplit/>
          <w:tblHeader/>
        </w:trPr>
        <w:tc>
          <w:tcPr>
            <w:tcW w:w="1531" w:type="dxa"/>
            <w:vMerge/>
          </w:tcPr>
          <w:p w14:paraId="28923299" w14:textId="77777777" w:rsidR="004E22C1" w:rsidRPr="009D3012" w:rsidRDefault="004E22C1" w:rsidP="00822F09">
            <w:pPr>
              <w:pStyle w:val="Tableheader"/>
              <w:keepNext/>
              <w:rPr>
                <w:lang w:val="en-US"/>
              </w:rPr>
            </w:pPr>
          </w:p>
        </w:tc>
        <w:tc>
          <w:tcPr>
            <w:tcW w:w="1329" w:type="dxa"/>
            <w:vMerge/>
          </w:tcPr>
          <w:p w14:paraId="0BABEAFB" w14:textId="77777777" w:rsidR="004E22C1" w:rsidRPr="009D3012" w:rsidRDefault="004E22C1" w:rsidP="00822F09">
            <w:pPr>
              <w:pStyle w:val="Tableheader"/>
              <w:keepNext/>
              <w:rPr>
                <w:lang w:val="en-US"/>
              </w:rPr>
            </w:pPr>
          </w:p>
        </w:tc>
        <w:tc>
          <w:tcPr>
            <w:tcW w:w="709" w:type="dxa"/>
            <w:hideMark/>
          </w:tcPr>
          <w:p w14:paraId="5D625907" w14:textId="77777777" w:rsidR="004E22C1" w:rsidRPr="001455DC" w:rsidRDefault="004E22C1" w:rsidP="00822F09">
            <w:pPr>
              <w:pStyle w:val="Tableheader"/>
              <w:keepNext/>
            </w:pPr>
            <w:r w:rsidRPr="001455DC">
              <w:t>12</w:t>
            </w:r>
          </w:p>
        </w:tc>
        <w:tc>
          <w:tcPr>
            <w:tcW w:w="709" w:type="dxa"/>
            <w:hideMark/>
          </w:tcPr>
          <w:p w14:paraId="20FE4413" w14:textId="77777777" w:rsidR="004E22C1" w:rsidRPr="001455DC" w:rsidRDefault="004E22C1" w:rsidP="00822F09">
            <w:pPr>
              <w:pStyle w:val="Tableheader"/>
              <w:keepNext/>
            </w:pPr>
            <w:r w:rsidRPr="001455DC">
              <w:t>16</w:t>
            </w:r>
          </w:p>
        </w:tc>
        <w:tc>
          <w:tcPr>
            <w:tcW w:w="708" w:type="dxa"/>
            <w:hideMark/>
          </w:tcPr>
          <w:p w14:paraId="55866145" w14:textId="77777777" w:rsidR="004E22C1" w:rsidRPr="001455DC" w:rsidRDefault="004E22C1" w:rsidP="00822F09">
            <w:pPr>
              <w:pStyle w:val="Tableheader"/>
              <w:keepNext/>
            </w:pPr>
            <w:r w:rsidRPr="001455DC">
              <w:t>20</w:t>
            </w:r>
          </w:p>
        </w:tc>
        <w:tc>
          <w:tcPr>
            <w:tcW w:w="709" w:type="dxa"/>
            <w:hideMark/>
          </w:tcPr>
          <w:p w14:paraId="1F4E8223" w14:textId="77777777" w:rsidR="004E22C1" w:rsidRPr="001455DC" w:rsidRDefault="004E22C1" w:rsidP="00822F09">
            <w:pPr>
              <w:pStyle w:val="Tableheader"/>
              <w:keepNext/>
            </w:pPr>
            <w:r w:rsidRPr="001455DC">
              <w:t>30</w:t>
            </w:r>
          </w:p>
        </w:tc>
        <w:tc>
          <w:tcPr>
            <w:tcW w:w="709" w:type="dxa"/>
            <w:hideMark/>
          </w:tcPr>
          <w:p w14:paraId="21E34C0A" w14:textId="77777777" w:rsidR="004E22C1" w:rsidRPr="001455DC" w:rsidRDefault="004E22C1" w:rsidP="00822F09">
            <w:pPr>
              <w:pStyle w:val="Tableheader"/>
              <w:keepNext/>
            </w:pPr>
            <w:r w:rsidRPr="001455DC">
              <w:t>40</w:t>
            </w:r>
          </w:p>
        </w:tc>
        <w:tc>
          <w:tcPr>
            <w:tcW w:w="709" w:type="dxa"/>
            <w:hideMark/>
          </w:tcPr>
          <w:p w14:paraId="27E8CE83" w14:textId="02F047F8" w:rsidR="004E22C1" w:rsidRPr="001455DC" w:rsidRDefault="00650035" w:rsidP="00822F09">
            <w:pPr>
              <w:pStyle w:val="Tableheader"/>
              <w:keepNext/>
            </w:pPr>
            <w:r w:rsidRPr="001455DC">
              <w:rPr>
                <w:rFonts w:ascii="Cambria Math" w:hAnsi="Cambria Math"/>
              </w:rPr>
              <w:t>≥</w:t>
            </w:r>
            <w:r w:rsidR="00073FC6" w:rsidRPr="001455DC">
              <w:t> </w:t>
            </w:r>
            <w:r w:rsidR="004E22C1" w:rsidRPr="001455DC">
              <w:t>50</w:t>
            </w:r>
          </w:p>
        </w:tc>
      </w:tr>
      <w:tr w:rsidR="004E22C1" w:rsidRPr="001455DC" w14:paraId="7ABD0945" w14:textId="77777777" w:rsidTr="00822F09">
        <w:trPr>
          <w:cantSplit/>
        </w:trPr>
        <w:tc>
          <w:tcPr>
            <w:tcW w:w="1531" w:type="dxa"/>
            <w:vAlign w:val="center"/>
          </w:tcPr>
          <w:p w14:paraId="2C3786BC" w14:textId="77777777" w:rsidR="004E22C1" w:rsidRPr="001455DC" w:rsidRDefault="004E22C1" w:rsidP="00822F09">
            <w:pPr>
              <w:pStyle w:val="Tablebody"/>
              <w:keepNext/>
              <w:jc w:val="left"/>
              <w:rPr>
                <w:b/>
              </w:rPr>
            </w:pPr>
            <w:r w:rsidRPr="001455DC">
              <w:rPr>
                <w:b/>
              </w:rPr>
              <w:t>CPI</w:t>
            </w:r>
            <w:r w:rsidRPr="001455DC">
              <w:rPr>
                <w:b/>
              </w:rPr>
              <w:noBreakHyphen/>
              <w:t>1,0</w:t>
            </w:r>
          </w:p>
        </w:tc>
        <w:tc>
          <w:tcPr>
            <w:tcW w:w="1329" w:type="dxa"/>
            <w:vAlign w:val="center"/>
          </w:tcPr>
          <w:p w14:paraId="6938A586" w14:textId="77777777" w:rsidR="004E22C1" w:rsidRPr="001455DC" w:rsidRDefault="004E22C1" w:rsidP="00822F09">
            <w:pPr>
              <w:pStyle w:val="Tablebody"/>
              <w:keepNext/>
              <w:jc w:val="center"/>
              <w:rPr>
                <w:lang w:eastAsia="it-IT"/>
              </w:rPr>
            </w:pPr>
            <w:r w:rsidRPr="001455DC">
              <w:t>1,0</w:t>
            </w:r>
          </w:p>
        </w:tc>
        <w:tc>
          <w:tcPr>
            <w:tcW w:w="709" w:type="dxa"/>
            <w:vAlign w:val="center"/>
          </w:tcPr>
          <w:p w14:paraId="3D32ED9B" w14:textId="77777777" w:rsidR="004E22C1" w:rsidRPr="001455DC" w:rsidRDefault="004E22C1" w:rsidP="00822F09">
            <w:pPr>
              <w:pStyle w:val="Tablebody"/>
              <w:keepNext/>
              <w:jc w:val="center"/>
              <w:rPr>
                <w:lang w:eastAsia="it-IT"/>
              </w:rPr>
            </w:pPr>
            <w:r w:rsidRPr="001455DC">
              <w:rPr>
                <w:lang w:eastAsia="it-IT"/>
              </w:rPr>
              <w:t>7,7</w:t>
            </w:r>
          </w:p>
        </w:tc>
        <w:tc>
          <w:tcPr>
            <w:tcW w:w="709" w:type="dxa"/>
            <w:vAlign w:val="center"/>
          </w:tcPr>
          <w:p w14:paraId="65D22AAC" w14:textId="77777777" w:rsidR="004E22C1" w:rsidRPr="001455DC" w:rsidRDefault="004E22C1" w:rsidP="00822F09">
            <w:pPr>
              <w:pStyle w:val="Tablebody"/>
              <w:keepNext/>
              <w:jc w:val="center"/>
              <w:rPr>
                <w:lang w:eastAsia="it-IT"/>
              </w:rPr>
            </w:pPr>
            <w:r w:rsidRPr="001455DC">
              <w:rPr>
                <w:lang w:eastAsia="it-IT"/>
              </w:rPr>
              <w:t>8,9</w:t>
            </w:r>
          </w:p>
        </w:tc>
        <w:tc>
          <w:tcPr>
            <w:tcW w:w="708" w:type="dxa"/>
            <w:vAlign w:val="center"/>
          </w:tcPr>
          <w:p w14:paraId="4ABC00BE" w14:textId="77777777" w:rsidR="004E22C1" w:rsidRPr="001455DC" w:rsidRDefault="004E22C1" w:rsidP="00822F09">
            <w:pPr>
              <w:pStyle w:val="Tablebody"/>
              <w:keepNext/>
              <w:jc w:val="center"/>
              <w:rPr>
                <w:lang w:eastAsia="it-IT"/>
              </w:rPr>
            </w:pPr>
            <w:r w:rsidRPr="001455DC">
              <w:rPr>
                <w:lang w:eastAsia="it-IT"/>
              </w:rPr>
              <w:t>10,0</w:t>
            </w:r>
          </w:p>
        </w:tc>
        <w:tc>
          <w:tcPr>
            <w:tcW w:w="709" w:type="dxa"/>
            <w:vAlign w:val="center"/>
          </w:tcPr>
          <w:p w14:paraId="29756752" w14:textId="77777777" w:rsidR="004E22C1" w:rsidRPr="001455DC" w:rsidRDefault="004E22C1" w:rsidP="00822F09">
            <w:pPr>
              <w:pStyle w:val="Tablebody"/>
              <w:keepNext/>
              <w:jc w:val="center"/>
              <w:rPr>
                <w:lang w:eastAsia="it-IT"/>
              </w:rPr>
            </w:pPr>
            <w:r w:rsidRPr="001455DC">
              <w:rPr>
                <w:lang w:eastAsia="it-IT"/>
              </w:rPr>
              <w:t>12,2</w:t>
            </w:r>
          </w:p>
        </w:tc>
        <w:tc>
          <w:tcPr>
            <w:tcW w:w="709" w:type="dxa"/>
            <w:vAlign w:val="center"/>
          </w:tcPr>
          <w:p w14:paraId="180976A7" w14:textId="77777777" w:rsidR="004E22C1" w:rsidRPr="001455DC" w:rsidRDefault="004E22C1" w:rsidP="00822F09">
            <w:pPr>
              <w:pStyle w:val="Tablebody"/>
              <w:keepNext/>
              <w:jc w:val="center"/>
              <w:rPr>
                <w:lang w:eastAsia="it-IT"/>
              </w:rPr>
            </w:pPr>
            <w:r w:rsidRPr="001455DC">
              <w:rPr>
                <w:lang w:eastAsia="it-IT"/>
              </w:rPr>
              <w:t>14,1</w:t>
            </w:r>
          </w:p>
        </w:tc>
        <w:tc>
          <w:tcPr>
            <w:tcW w:w="709" w:type="dxa"/>
            <w:vAlign w:val="center"/>
          </w:tcPr>
          <w:p w14:paraId="3E19B18B" w14:textId="77777777" w:rsidR="004E22C1" w:rsidRPr="001455DC" w:rsidRDefault="004E22C1" w:rsidP="00822F09">
            <w:pPr>
              <w:pStyle w:val="Tablebody"/>
              <w:keepNext/>
              <w:jc w:val="center"/>
              <w:rPr>
                <w:lang w:eastAsia="it-IT"/>
              </w:rPr>
            </w:pPr>
            <w:r w:rsidRPr="001455DC">
              <w:rPr>
                <w:lang w:eastAsia="it-IT"/>
              </w:rPr>
              <w:t>15,8</w:t>
            </w:r>
          </w:p>
        </w:tc>
      </w:tr>
      <w:tr w:rsidR="004E22C1" w:rsidRPr="001455DC" w14:paraId="59258576" w14:textId="77777777" w:rsidTr="00822F09">
        <w:trPr>
          <w:cantSplit/>
        </w:trPr>
        <w:tc>
          <w:tcPr>
            <w:tcW w:w="1531" w:type="dxa"/>
            <w:vAlign w:val="center"/>
          </w:tcPr>
          <w:p w14:paraId="41198BDC" w14:textId="77777777" w:rsidR="004E22C1" w:rsidRPr="001455DC" w:rsidRDefault="004E22C1" w:rsidP="00822F09">
            <w:pPr>
              <w:pStyle w:val="Tablebody"/>
              <w:keepNext/>
              <w:jc w:val="left"/>
              <w:rPr>
                <w:b/>
              </w:rPr>
            </w:pPr>
            <w:r w:rsidRPr="001455DC">
              <w:rPr>
                <w:b/>
              </w:rPr>
              <w:t>CPI</w:t>
            </w:r>
            <w:r w:rsidRPr="001455DC">
              <w:rPr>
                <w:b/>
              </w:rPr>
              <w:noBreakHyphen/>
              <w:t>0,9</w:t>
            </w:r>
          </w:p>
        </w:tc>
        <w:tc>
          <w:tcPr>
            <w:tcW w:w="1329" w:type="dxa"/>
            <w:vAlign w:val="center"/>
          </w:tcPr>
          <w:p w14:paraId="0C175110" w14:textId="77777777" w:rsidR="004E22C1" w:rsidRPr="001455DC" w:rsidRDefault="004E22C1" w:rsidP="00822F09">
            <w:pPr>
              <w:pStyle w:val="Tablebody"/>
              <w:keepNext/>
              <w:jc w:val="center"/>
            </w:pPr>
            <w:r w:rsidRPr="001455DC">
              <w:t>0,9</w:t>
            </w:r>
          </w:p>
        </w:tc>
        <w:tc>
          <w:tcPr>
            <w:tcW w:w="709" w:type="dxa"/>
            <w:vAlign w:val="center"/>
          </w:tcPr>
          <w:p w14:paraId="758D99FE" w14:textId="77777777" w:rsidR="004E22C1" w:rsidRPr="001455DC" w:rsidRDefault="004E22C1" w:rsidP="00822F09">
            <w:pPr>
              <w:pStyle w:val="Tablebody"/>
              <w:keepNext/>
              <w:jc w:val="center"/>
              <w:rPr>
                <w:lang w:eastAsia="it-IT"/>
              </w:rPr>
            </w:pPr>
            <w:r w:rsidRPr="001455DC">
              <w:rPr>
                <w:lang w:eastAsia="it-IT"/>
              </w:rPr>
              <w:t>7,0</w:t>
            </w:r>
          </w:p>
        </w:tc>
        <w:tc>
          <w:tcPr>
            <w:tcW w:w="709" w:type="dxa"/>
            <w:vAlign w:val="center"/>
          </w:tcPr>
          <w:p w14:paraId="5459948B" w14:textId="77777777" w:rsidR="004E22C1" w:rsidRPr="001455DC" w:rsidRDefault="004E22C1" w:rsidP="00822F09">
            <w:pPr>
              <w:pStyle w:val="Tablebody"/>
              <w:keepNext/>
              <w:jc w:val="center"/>
              <w:rPr>
                <w:lang w:eastAsia="it-IT"/>
              </w:rPr>
            </w:pPr>
            <w:r w:rsidRPr="001455DC">
              <w:rPr>
                <w:lang w:eastAsia="it-IT"/>
              </w:rPr>
              <w:t>8,0</w:t>
            </w:r>
          </w:p>
        </w:tc>
        <w:tc>
          <w:tcPr>
            <w:tcW w:w="708" w:type="dxa"/>
            <w:vAlign w:val="center"/>
          </w:tcPr>
          <w:p w14:paraId="0BA4684C" w14:textId="77777777" w:rsidR="004E22C1" w:rsidRPr="001455DC" w:rsidRDefault="004E22C1" w:rsidP="00822F09">
            <w:pPr>
              <w:pStyle w:val="Tablebody"/>
              <w:keepNext/>
              <w:jc w:val="center"/>
              <w:rPr>
                <w:lang w:eastAsia="it-IT"/>
              </w:rPr>
            </w:pPr>
            <w:r w:rsidRPr="001455DC">
              <w:rPr>
                <w:lang w:eastAsia="it-IT"/>
              </w:rPr>
              <w:t>9,0</w:t>
            </w:r>
          </w:p>
        </w:tc>
        <w:tc>
          <w:tcPr>
            <w:tcW w:w="709" w:type="dxa"/>
            <w:vAlign w:val="center"/>
          </w:tcPr>
          <w:p w14:paraId="3D41F03F" w14:textId="77777777" w:rsidR="004E22C1" w:rsidRPr="001455DC" w:rsidRDefault="004E22C1" w:rsidP="00822F09">
            <w:pPr>
              <w:pStyle w:val="Tablebody"/>
              <w:keepNext/>
              <w:jc w:val="center"/>
              <w:rPr>
                <w:lang w:eastAsia="it-IT"/>
              </w:rPr>
            </w:pPr>
            <w:r w:rsidRPr="001455DC">
              <w:rPr>
                <w:lang w:eastAsia="it-IT"/>
              </w:rPr>
              <w:t>11,0</w:t>
            </w:r>
          </w:p>
        </w:tc>
        <w:tc>
          <w:tcPr>
            <w:tcW w:w="709" w:type="dxa"/>
            <w:vAlign w:val="center"/>
          </w:tcPr>
          <w:p w14:paraId="25AA630D" w14:textId="77777777" w:rsidR="004E22C1" w:rsidRPr="001455DC" w:rsidRDefault="004E22C1" w:rsidP="00822F09">
            <w:pPr>
              <w:pStyle w:val="Tablebody"/>
              <w:keepNext/>
              <w:jc w:val="center"/>
              <w:rPr>
                <w:lang w:eastAsia="it-IT"/>
              </w:rPr>
            </w:pPr>
            <w:r w:rsidRPr="001455DC">
              <w:rPr>
                <w:lang w:eastAsia="it-IT"/>
              </w:rPr>
              <w:t>12,7</w:t>
            </w:r>
          </w:p>
        </w:tc>
        <w:tc>
          <w:tcPr>
            <w:tcW w:w="709" w:type="dxa"/>
            <w:vAlign w:val="center"/>
          </w:tcPr>
          <w:p w14:paraId="14A6AC1D" w14:textId="77777777" w:rsidR="004E22C1" w:rsidRPr="001455DC" w:rsidRDefault="004E22C1" w:rsidP="00822F09">
            <w:pPr>
              <w:pStyle w:val="Tablebody"/>
              <w:keepNext/>
              <w:jc w:val="center"/>
              <w:rPr>
                <w:lang w:eastAsia="it-IT"/>
              </w:rPr>
            </w:pPr>
            <w:r w:rsidRPr="001455DC">
              <w:rPr>
                <w:lang w:eastAsia="it-IT"/>
              </w:rPr>
              <w:t>14,2</w:t>
            </w:r>
          </w:p>
        </w:tc>
      </w:tr>
      <w:tr w:rsidR="004E22C1" w:rsidRPr="001455DC" w14:paraId="512FE3CA" w14:textId="77777777" w:rsidTr="00822F09">
        <w:trPr>
          <w:cantSplit/>
        </w:trPr>
        <w:tc>
          <w:tcPr>
            <w:tcW w:w="1531" w:type="dxa"/>
            <w:vAlign w:val="center"/>
          </w:tcPr>
          <w:p w14:paraId="0F7DF129" w14:textId="77777777" w:rsidR="004E22C1" w:rsidRPr="001455DC" w:rsidRDefault="004E22C1" w:rsidP="00822F09">
            <w:pPr>
              <w:pStyle w:val="Tablebody"/>
              <w:keepNext/>
              <w:jc w:val="left"/>
              <w:rPr>
                <w:b/>
              </w:rPr>
            </w:pPr>
            <w:r w:rsidRPr="001455DC">
              <w:rPr>
                <w:b/>
              </w:rPr>
              <w:t>CPI</w:t>
            </w:r>
            <w:r w:rsidRPr="001455DC">
              <w:rPr>
                <w:b/>
              </w:rPr>
              <w:noBreakHyphen/>
              <w:t>0,8</w:t>
            </w:r>
          </w:p>
        </w:tc>
        <w:tc>
          <w:tcPr>
            <w:tcW w:w="1329" w:type="dxa"/>
            <w:vAlign w:val="center"/>
          </w:tcPr>
          <w:p w14:paraId="6D997DF2" w14:textId="77777777" w:rsidR="004E22C1" w:rsidRPr="001455DC" w:rsidRDefault="004E22C1" w:rsidP="00822F09">
            <w:pPr>
              <w:pStyle w:val="Tablebody"/>
              <w:keepNext/>
              <w:jc w:val="center"/>
            </w:pPr>
            <w:r w:rsidRPr="001455DC">
              <w:t>0,8</w:t>
            </w:r>
          </w:p>
        </w:tc>
        <w:tc>
          <w:tcPr>
            <w:tcW w:w="709" w:type="dxa"/>
            <w:vAlign w:val="center"/>
          </w:tcPr>
          <w:p w14:paraId="348194C4" w14:textId="77777777" w:rsidR="004E22C1" w:rsidRPr="001455DC" w:rsidRDefault="004E22C1" w:rsidP="00822F09">
            <w:pPr>
              <w:pStyle w:val="Tablebody"/>
              <w:keepNext/>
              <w:jc w:val="center"/>
              <w:rPr>
                <w:lang w:eastAsia="it-IT"/>
              </w:rPr>
            </w:pPr>
            <w:r w:rsidRPr="001455DC">
              <w:rPr>
                <w:lang w:eastAsia="it-IT"/>
              </w:rPr>
              <w:t>6,2</w:t>
            </w:r>
          </w:p>
        </w:tc>
        <w:tc>
          <w:tcPr>
            <w:tcW w:w="709" w:type="dxa"/>
            <w:vAlign w:val="center"/>
          </w:tcPr>
          <w:p w14:paraId="6A34F3C0" w14:textId="77777777" w:rsidR="004E22C1" w:rsidRPr="001455DC" w:rsidRDefault="004E22C1" w:rsidP="00822F09">
            <w:pPr>
              <w:pStyle w:val="Tablebody"/>
              <w:keepNext/>
              <w:jc w:val="center"/>
              <w:rPr>
                <w:lang w:eastAsia="it-IT"/>
              </w:rPr>
            </w:pPr>
            <w:r w:rsidRPr="001455DC">
              <w:rPr>
                <w:lang w:eastAsia="it-IT"/>
              </w:rPr>
              <w:t>7,2</w:t>
            </w:r>
          </w:p>
        </w:tc>
        <w:tc>
          <w:tcPr>
            <w:tcW w:w="708" w:type="dxa"/>
            <w:vAlign w:val="center"/>
          </w:tcPr>
          <w:p w14:paraId="0C77F0B5" w14:textId="77777777" w:rsidR="004E22C1" w:rsidRPr="001455DC" w:rsidRDefault="004E22C1" w:rsidP="00822F09">
            <w:pPr>
              <w:pStyle w:val="Tablebody"/>
              <w:keepNext/>
              <w:jc w:val="center"/>
              <w:rPr>
                <w:lang w:eastAsia="it-IT"/>
              </w:rPr>
            </w:pPr>
            <w:r w:rsidRPr="001455DC">
              <w:rPr>
                <w:lang w:eastAsia="it-IT"/>
              </w:rPr>
              <w:t>8,0</w:t>
            </w:r>
          </w:p>
        </w:tc>
        <w:tc>
          <w:tcPr>
            <w:tcW w:w="709" w:type="dxa"/>
            <w:vAlign w:val="center"/>
          </w:tcPr>
          <w:p w14:paraId="705A0F11" w14:textId="77777777" w:rsidR="004E22C1" w:rsidRPr="001455DC" w:rsidRDefault="004E22C1" w:rsidP="00822F09">
            <w:pPr>
              <w:pStyle w:val="Tablebody"/>
              <w:keepNext/>
              <w:jc w:val="center"/>
              <w:rPr>
                <w:lang w:eastAsia="it-IT"/>
              </w:rPr>
            </w:pPr>
            <w:r w:rsidRPr="001455DC">
              <w:rPr>
                <w:lang w:eastAsia="it-IT"/>
              </w:rPr>
              <w:t>9,8</w:t>
            </w:r>
          </w:p>
        </w:tc>
        <w:tc>
          <w:tcPr>
            <w:tcW w:w="709" w:type="dxa"/>
            <w:vAlign w:val="center"/>
          </w:tcPr>
          <w:p w14:paraId="4A00EBAC" w14:textId="77777777" w:rsidR="004E22C1" w:rsidRPr="001455DC" w:rsidRDefault="004E22C1" w:rsidP="00822F09">
            <w:pPr>
              <w:pStyle w:val="Tablebody"/>
              <w:keepNext/>
              <w:jc w:val="center"/>
              <w:rPr>
                <w:lang w:eastAsia="it-IT"/>
              </w:rPr>
            </w:pPr>
            <w:r w:rsidRPr="001455DC">
              <w:rPr>
                <w:lang w:eastAsia="it-IT"/>
              </w:rPr>
              <w:t>11,3</w:t>
            </w:r>
          </w:p>
        </w:tc>
        <w:tc>
          <w:tcPr>
            <w:tcW w:w="709" w:type="dxa"/>
            <w:vAlign w:val="center"/>
          </w:tcPr>
          <w:p w14:paraId="205DFFED" w14:textId="77777777" w:rsidR="004E22C1" w:rsidRPr="001455DC" w:rsidRDefault="004E22C1" w:rsidP="00822F09">
            <w:pPr>
              <w:pStyle w:val="Tablebody"/>
              <w:keepNext/>
              <w:jc w:val="center"/>
              <w:rPr>
                <w:lang w:eastAsia="it-IT"/>
              </w:rPr>
            </w:pPr>
            <w:r w:rsidRPr="001455DC">
              <w:rPr>
                <w:lang w:eastAsia="it-IT"/>
              </w:rPr>
              <w:t>12,6</w:t>
            </w:r>
          </w:p>
        </w:tc>
      </w:tr>
      <w:tr w:rsidR="004E22C1" w:rsidRPr="001455DC" w14:paraId="11B143AB" w14:textId="77777777" w:rsidTr="00822F09">
        <w:trPr>
          <w:cantSplit/>
        </w:trPr>
        <w:tc>
          <w:tcPr>
            <w:tcW w:w="1531" w:type="dxa"/>
            <w:vAlign w:val="center"/>
          </w:tcPr>
          <w:p w14:paraId="35429B2B" w14:textId="77777777" w:rsidR="004E22C1" w:rsidRPr="001455DC" w:rsidRDefault="004E22C1" w:rsidP="00822F09">
            <w:pPr>
              <w:pStyle w:val="Tablebody"/>
              <w:keepNext/>
              <w:jc w:val="left"/>
              <w:rPr>
                <w:b/>
              </w:rPr>
            </w:pPr>
            <w:r w:rsidRPr="001455DC">
              <w:rPr>
                <w:b/>
              </w:rPr>
              <w:t>CPI</w:t>
            </w:r>
            <w:r w:rsidRPr="001455DC">
              <w:rPr>
                <w:b/>
              </w:rPr>
              <w:noBreakHyphen/>
              <w:t>0,7</w:t>
            </w:r>
          </w:p>
        </w:tc>
        <w:tc>
          <w:tcPr>
            <w:tcW w:w="1329" w:type="dxa"/>
            <w:vAlign w:val="center"/>
          </w:tcPr>
          <w:p w14:paraId="574791D8" w14:textId="77777777" w:rsidR="004E22C1" w:rsidRPr="001455DC" w:rsidRDefault="004E22C1" w:rsidP="00822F09">
            <w:pPr>
              <w:pStyle w:val="Tablebody"/>
              <w:keepNext/>
              <w:jc w:val="center"/>
            </w:pPr>
            <w:r w:rsidRPr="001455DC">
              <w:t>0,7</w:t>
            </w:r>
          </w:p>
        </w:tc>
        <w:tc>
          <w:tcPr>
            <w:tcW w:w="709" w:type="dxa"/>
            <w:vAlign w:val="center"/>
          </w:tcPr>
          <w:p w14:paraId="6FB2E169" w14:textId="77777777" w:rsidR="004E22C1" w:rsidRPr="001455DC" w:rsidRDefault="004E22C1" w:rsidP="00822F09">
            <w:pPr>
              <w:pStyle w:val="Tablebody"/>
              <w:keepNext/>
              <w:jc w:val="center"/>
              <w:rPr>
                <w:lang w:eastAsia="it-IT"/>
              </w:rPr>
            </w:pPr>
            <w:r w:rsidRPr="001455DC">
              <w:rPr>
                <w:lang w:eastAsia="it-IT"/>
              </w:rPr>
              <w:t>5,4</w:t>
            </w:r>
          </w:p>
        </w:tc>
        <w:tc>
          <w:tcPr>
            <w:tcW w:w="709" w:type="dxa"/>
            <w:vAlign w:val="center"/>
          </w:tcPr>
          <w:p w14:paraId="3C7E6019" w14:textId="77777777" w:rsidR="004E22C1" w:rsidRPr="001455DC" w:rsidRDefault="004E22C1" w:rsidP="00822F09">
            <w:pPr>
              <w:pStyle w:val="Tablebody"/>
              <w:keepNext/>
              <w:jc w:val="center"/>
              <w:rPr>
                <w:lang w:eastAsia="it-IT"/>
              </w:rPr>
            </w:pPr>
            <w:r w:rsidRPr="001455DC">
              <w:rPr>
                <w:lang w:eastAsia="it-IT"/>
              </w:rPr>
              <w:t>6,3</w:t>
            </w:r>
          </w:p>
        </w:tc>
        <w:tc>
          <w:tcPr>
            <w:tcW w:w="708" w:type="dxa"/>
            <w:vAlign w:val="center"/>
          </w:tcPr>
          <w:p w14:paraId="573968BC" w14:textId="77777777" w:rsidR="004E22C1" w:rsidRPr="001455DC" w:rsidRDefault="004E22C1" w:rsidP="00822F09">
            <w:pPr>
              <w:pStyle w:val="Tablebody"/>
              <w:keepNext/>
              <w:jc w:val="center"/>
              <w:rPr>
                <w:lang w:eastAsia="it-IT"/>
              </w:rPr>
            </w:pPr>
            <w:r w:rsidRPr="001455DC">
              <w:rPr>
                <w:lang w:eastAsia="it-IT"/>
              </w:rPr>
              <w:t>7,0</w:t>
            </w:r>
          </w:p>
        </w:tc>
        <w:tc>
          <w:tcPr>
            <w:tcW w:w="709" w:type="dxa"/>
            <w:vAlign w:val="center"/>
          </w:tcPr>
          <w:p w14:paraId="5073E357" w14:textId="77777777" w:rsidR="004E22C1" w:rsidRPr="001455DC" w:rsidRDefault="004E22C1" w:rsidP="00822F09">
            <w:pPr>
              <w:pStyle w:val="Tablebody"/>
              <w:keepNext/>
              <w:jc w:val="center"/>
              <w:rPr>
                <w:lang w:eastAsia="it-IT"/>
              </w:rPr>
            </w:pPr>
            <w:r w:rsidRPr="001455DC">
              <w:rPr>
                <w:lang w:eastAsia="it-IT"/>
              </w:rPr>
              <w:t>8,6</w:t>
            </w:r>
          </w:p>
        </w:tc>
        <w:tc>
          <w:tcPr>
            <w:tcW w:w="709" w:type="dxa"/>
            <w:vAlign w:val="center"/>
          </w:tcPr>
          <w:p w14:paraId="08E561CB" w14:textId="77777777" w:rsidR="004E22C1" w:rsidRPr="001455DC" w:rsidRDefault="004E22C1" w:rsidP="00822F09">
            <w:pPr>
              <w:pStyle w:val="Tablebody"/>
              <w:keepNext/>
              <w:jc w:val="center"/>
              <w:rPr>
                <w:lang w:eastAsia="it-IT"/>
              </w:rPr>
            </w:pPr>
            <w:r w:rsidRPr="001455DC">
              <w:rPr>
                <w:lang w:eastAsia="it-IT"/>
              </w:rPr>
              <w:t>9,9</w:t>
            </w:r>
          </w:p>
        </w:tc>
        <w:tc>
          <w:tcPr>
            <w:tcW w:w="709" w:type="dxa"/>
            <w:vAlign w:val="center"/>
          </w:tcPr>
          <w:p w14:paraId="62E54C69" w14:textId="77777777" w:rsidR="004E22C1" w:rsidRPr="001455DC" w:rsidRDefault="004E22C1" w:rsidP="00822F09">
            <w:pPr>
              <w:pStyle w:val="Tablebody"/>
              <w:keepNext/>
              <w:jc w:val="center"/>
              <w:rPr>
                <w:lang w:eastAsia="it-IT"/>
              </w:rPr>
            </w:pPr>
            <w:r w:rsidRPr="001455DC">
              <w:rPr>
                <w:lang w:eastAsia="it-IT"/>
              </w:rPr>
              <w:t>11,1</w:t>
            </w:r>
          </w:p>
        </w:tc>
      </w:tr>
      <w:tr w:rsidR="004E22C1" w:rsidRPr="001455DC" w14:paraId="2ABE0560" w14:textId="77777777" w:rsidTr="00822F09">
        <w:trPr>
          <w:cnfStyle w:val="010000000000" w:firstRow="0" w:lastRow="1" w:firstColumn="0" w:lastColumn="0" w:oddVBand="0" w:evenVBand="0" w:oddHBand="0" w:evenHBand="0" w:firstRowFirstColumn="0" w:firstRowLastColumn="0" w:lastRowFirstColumn="0" w:lastRowLastColumn="0"/>
          <w:cantSplit/>
        </w:trPr>
        <w:tc>
          <w:tcPr>
            <w:tcW w:w="7113" w:type="dxa"/>
            <w:gridSpan w:val="8"/>
          </w:tcPr>
          <w:p w14:paraId="587DC3B2" w14:textId="77777777" w:rsidR="004E22C1" w:rsidRPr="009D3012" w:rsidRDefault="004E22C1" w:rsidP="00822F09">
            <w:pPr>
              <w:pStyle w:val="Tablefooternote"/>
              <w:tabs>
                <w:tab w:val="clear" w:pos="680"/>
                <w:tab w:val="left" w:pos="851"/>
              </w:tabs>
              <w:rPr>
                <w:lang w:val="en-US"/>
              </w:rPr>
            </w:pPr>
            <w:r w:rsidRPr="009D3012">
              <w:rPr>
                <w:lang w:val="en-US"/>
              </w:rPr>
              <w:t>NOTE 1</w:t>
            </w:r>
            <w:r w:rsidRPr="009D3012">
              <w:rPr>
                <w:lang w:val="en-US"/>
              </w:rPr>
              <w:tab/>
              <w:t>Values for intermediate concrete strength may be interpolated linearly.</w:t>
            </w:r>
          </w:p>
          <w:p w14:paraId="6BC975ED" w14:textId="7F64C602" w:rsidR="004E22C1" w:rsidRPr="009D3012" w:rsidRDefault="004E22C1" w:rsidP="00822F09">
            <w:pPr>
              <w:pStyle w:val="Tablefooternote"/>
              <w:tabs>
                <w:tab w:val="clear" w:pos="680"/>
                <w:tab w:val="left" w:pos="851"/>
              </w:tabs>
              <w:rPr>
                <w:lang w:val="en-US"/>
              </w:rPr>
            </w:pPr>
            <w:r w:rsidRPr="009D3012">
              <w:rPr>
                <w:lang w:val="en-US"/>
              </w:rPr>
              <w:t>NOTE 2</w:t>
            </w:r>
            <w:r w:rsidRPr="009D3012">
              <w:rPr>
                <w:lang w:val="en-US"/>
              </w:rPr>
              <w:tab/>
              <w:t xml:space="preserve">Post-installed reinforcing bars with factor </w:t>
            </w:r>
            <w:r w:rsidRPr="009D3012">
              <w:rPr>
                <w:rStyle w:val="CCMCvariableitalic"/>
                <w:lang w:val="en-US"/>
              </w:rPr>
              <w:t>k</w:t>
            </w:r>
            <w:r w:rsidRPr="009D3012">
              <w:rPr>
                <w:rStyle w:val="CCMCvariablesubscript"/>
                <w:lang w:val="en-US"/>
              </w:rPr>
              <w:t>b,pi</w:t>
            </w:r>
            <w:r w:rsidRPr="009D3012">
              <w:rPr>
                <w:lang w:val="en-US"/>
              </w:rPr>
              <w:t> </w:t>
            </w:r>
            <w:r w:rsidR="00650035" w:rsidRPr="009D3012">
              <w:rPr>
                <w:rFonts w:ascii="Cambria Math" w:hAnsi="Cambria Math"/>
                <w:lang w:val="en-US"/>
              </w:rPr>
              <w:t>&lt;</w:t>
            </w:r>
            <w:r w:rsidRPr="009D3012">
              <w:rPr>
                <w:lang w:val="en-US"/>
              </w:rPr>
              <w:t> 0,7 are not covered by this Eurocode.</w:t>
            </w:r>
          </w:p>
        </w:tc>
      </w:tr>
    </w:tbl>
    <w:p w14:paraId="56E10C84" w14:textId="77777777" w:rsidR="004E22C1" w:rsidRPr="001455DC" w:rsidRDefault="004E22C1" w:rsidP="00F72049">
      <w:pPr>
        <w:pStyle w:val="a7"/>
      </w:pPr>
    </w:p>
    <w:p w14:paraId="12A9F93A" w14:textId="17E9A019" w:rsidR="004E22C1" w:rsidRPr="001455DC" w:rsidRDefault="004E22C1" w:rsidP="00116AE2">
      <w:pPr>
        <w:pStyle w:val="a7"/>
        <w:keepNext/>
      </w:pPr>
      <w:r w:rsidRPr="001455DC">
        <w:t>(3)</w:t>
      </w:r>
      <w:r w:rsidRPr="001455DC">
        <w:tab/>
      </w:r>
      <w:r w:rsidRPr="001455DC">
        <w:rPr>
          <w:rFonts w:cstheme="minorHAnsi"/>
          <w:lang w:eastAsia="it-IT"/>
        </w:rPr>
        <w:t xml:space="preserve">The </w:t>
      </w:r>
      <w:r w:rsidR="00F602E1" w:rsidRPr="001455DC">
        <w:rPr>
          <w:rFonts w:cstheme="minorHAnsi"/>
          <w:lang w:val="en-US" w:eastAsia="it-IT"/>
        </w:rPr>
        <w:t>specification of the mean bond strength</w:t>
      </w:r>
      <w:r w:rsidR="00F602E1" w:rsidRPr="001455DC" w:rsidDel="00F602E1">
        <w:rPr>
          <w:rFonts w:cstheme="minorHAnsi"/>
          <w:lang w:eastAsia="it-IT"/>
        </w:rPr>
        <w:t xml:space="preserve"> </w:t>
      </w:r>
      <w:r w:rsidRPr="001455DC">
        <w:rPr>
          <w:rStyle w:val="CCMCvariableitalic"/>
        </w:rPr>
        <w:t>f</w:t>
      </w:r>
      <w:r w:rsidRPr="001455DC">
        <w:rPr>
          <w:rStyle w:val="CCMCvariablesubscript"/>
        </w:rPr>
        <w:t>bm,pi</w:t>
      </w:r>
      <w:r w:rsidRPr="001455DC">
        <w:t xml:space="preserve"> should take into account the following influencing factors:</w:t>
      </w:r>
    </w:p>
    <w:p w14:paraId="1DCACE4F" w14:textId="1BCD46E7" w:rsidR="004E22C1" w:rsidRPr="001455DC" w:rsidRDefault="004E22C1" w:rsidP="00082680">
      <w:pPr>
        <w:pStyle w:val="a0"/>
        <w:numPr>
          <w:ilvl w:val="0"/>
          <w:numId w:val="36"/>
        </w:numPr>
      </w:pPr>
      <w:r w:rsidRPr="001455DC">
        <w:t>Environmental conditions: corrosion resistance (accounting for the maximum allowable chloride content of the concrete for the intended application according to EN 206), alkalinity and possible sulphurous atmosphere, in-service temperature conditions, freeze/thaw conditions, creep behaviour under sustained loads;</w:t>
      </w:r>
    </w:p>
    <w:p w14:paraId="085974EF" w14:textId="2D25C756" w:rsidR="004E22C1" w:rsidRPr="001455DC" w:rsidRDefault="004E22C1" w:rsidP="00082680">
      <w:pPr>
        <w:pStyle w:val="a0"/>
        <w:numPr>
          <w:ilvl w:val="0"/>
          <w:numId w:val="36"/>
        </w:numPr>
      </w:pPr>
      <w:r w:rsidRPr="001455DC">
        <w:t>Installation conditions: drilling method, drilling tools including drilling aids, hole preparation tool (e.g. roughening tool), cleaning devices, mortar injection devices (dispenser, nozzle, etc.), concrete condition at installation (dry, wet), installation direction (downward, horizontal, overhead), concrete temperature at installation, working and curing time of the anchoring mortar and robustness of installation;</w:t>
      </w:r>
    </w:p>
    <w:p w14:paraId="6AE7AC32" w14:textId="1D5D09A8" w:rsidR="004E22C1" w:rsidRPr="001455DC" w:rsidRDefault="004E22C1" w:rsidP="00082680">
      <w:pPr>
        <w:pStyle w:val="a0"/>
        <w:numPr>
          <w:ilvl w:val="0"/>
          <w:numId w:val="36"/>
        </w:numPr>
      </w:pPr>
      <w:r w:rsidRPr="001455DC">
        <w:t>Intended uses: range of reinforcing steel bar diameters (for each drilling method), concrete strength classes and types of loading (static, quasi-static, fatigue).</w:t>
      </w:r>
    </w:p>
    <w:p w14:paraId="54C5DCEB" w14:textId="77777777" w:rsidR="004E22C1" w:rsidRPr="001455DC" w:rsidRDefault="004E22C1" w:rsidP="00F72049">
      <w:pPr>
        <w:pStyle w:val="a7"/>
      </w:pPr>
      <w:r w:rsidRPr="001455DC">
        <w:t>The European Technical Product Specification should provide the allowed intended use conditions, installation conditions and in-service temperature conditions together with the corresponding bond efficiency factor as well as the maximum embedment depth for each drilling and installation method.</w:t>
      </w:r>
    </w:p>
    <w:p w14:paraId="45B90CCC" w14:textId="77777777" w:rsidR="004E22C1" w:rsidRPr="001455DC" w:rsidRDefault="004E22C1" w:rsidP="00F72049">
      <w:pPr>
        <w:pStyle w:val="a7"/>
      </w:pPr>
      <w:r w:rsidRPr="001455DC">
        <w:rPr>
          <w:lang w:eastAsia="it-IT"/>
        </w:rPr>
        <w:t xml:space="preserve">Suitable protection of the reinforcing steel bar against corrosion taking into account relevant environmental factors should be demonstrated with respect to the </w:t>
      </w:r>
      <w:r w:rsidRPr="001455DC">
        <w:t>maximum allowable chloride content of the concrete for the intended application according to EN 206.</w:t>
      </w:r>
    </w:p>
    <w:p w14:paraId="672CB763" w14:textId="77777777" w:rsidR="004E22C1" w:rsidRPr="001455DC" w:rsidRDefault="004E22C1" w:rsidP="00F72049">
      <w:pPr>
        <w:pStyle w:val="a7"/>
      </w:pPr>
      <w:r w:rsidRPr="001455DC">
        <w:t>Proof of corrosion resistance is not</w:t>
      </w:r>
      <w:r w:rsidRPr="001455DC">
        <w:rPr>
          <w:bCs/>
        </w:rPr>
        <w:t xml:space="preserve"> </w:t>
      </w:r>
      <w:r w:rsidRPr="001455DC">
        <w:t>required if post-installed reinforcing steel bars are used in concrete members in environmental conditions according to exposure classes X0 and XC1 (see Table 6.1) or if they are produced from corrosion resistant steel.</w:t>
      </w:r>
    </w:p>
    <w:p w14:paraId="221F87D5" w14:textId="056F1A6D" w:rsidR="004E22C1" w:rsidRPr="001455DC" w:rsidRDefault="008D1DC3" w:rsidP="00F72049">
      <w:pPr>
        <w:pStyle w:val="a7"/>
        <w:rPr>
          <w:rFonts w:cstheme="minorHAnsi"/>
          <w:lang w:eastAsia="it-IT"/>
        </w:rPr>
      </w:pPr>
      <w:r w:rsidRPr="001455DC">
        <w:t>(</w:t>
      </w:r>
      <w:r w:rsidRPr="001455DC">
        <w:rPr>
          <w:rFonts w:cstheme="minorHAnsi"/>
          <w:lang w:eastAsia="it-IT"/>
        </w:rPr>
        <w:t>4</w:t>
      </w:r>
      <w:r w:rsidR="004E22C1" w:rsidRPr="001455DC">
        <w:rPr>
          <w:rFonts w:cstheme="minorHAnsi"/>
          <w:lang w:eastAsia="it-IT"/>
        </w:rPr>
        <w:t>)</w:t>
      </w:r>
      <w:r w:rsidR="004E22C1" w:rsidRPr="001455DC">
        <w:rPr>
          <w:rFonts w:cstheme="minorHAnsi"/>
          <w:lang w:eastAsia="it-IT"/>
        </w:rPr>
        <w:tab/>
        <w:t>Detailed manufacturer’s installation instructions should be given in the European Technical Product Specification.</w:t>
      </w:r>
    </w:p>
    <w:p w14:paraId="675C6489" w14:textId="601336F0" w:rsidR="004E22C1" w:rsidRPr="001455DC" w:rsidRDefault="004E22C1" w:rsidP="00082680">
      <w:pPr>
        <w:pStyle w:val="a2"/>
        <w:rPr>
          <w:rFonts w:cstheme="minorHAnsi"/>
          <w:lang w:eastAsia="it-IT"/>
        </w:rPr>
      </w:pPr>
      <w:bookmarkStart w:id="1403" w:name="_Toc56582652"/>
      <w:bookmarkStart w:id="1404" w:name="_Toc56595703"/>
      <w:bookmarkStart w:id="1405" w:name="_Toc52820146"/>
      <w:bookmarkStart w:id="1406" w:name="_Toc54337148"/>
      <w:bookmarkStart w:id="1407" w:name="_Toc54337560"/>
      <w:bookmarkStart w:id="1408" w:name="_Toc54338201"/>
      <w:bookmarkStart w:id="1409" w:name="_Toc67565537"/>
      <w:bookmarkEnd w:id="1403"/>
      <w:bookmarkEnd w:id="1404"/>
      <w:r w:rsidRPr="001455DC">
        <w:t>Fibre Reinforced Polymer Reinforcement</w:t>
      </w:r>
      <w:bookmarkEnd w:id="1405"/>
      <w:bookmarkEnd w:id="1406"/>
      <w:bookmarkEnd w:id="1407"/>
      <w:bookmarkEnd w:id="1408"/>
      <w:bookmarkEnd w:id="1409"/>
    </w:p>
    <w:p w14:paraId="5E89C2A5" w14:textId="1F963245" w:rsidR="004E22C1" w:rsidRPr="001455DC" w:rsidRDefault="004E22C1" w:rsidP="00243590">
      <w:pPr>
        <w:pStyle w:val="a3"/>
      </w:pPr>
      <w:bookmarkStart w:id="1410" w:name="_Toc52820147"/>
      <w:bookmarkStart w:id="1411" w:name="_Toc54337561"/>
      <w:bookmarkStart w:id="1412" w:name="_Toc54338202"/>
      <w:r w:rsidRPr="001455DC">
        <w:t>CFRP reinforcement</w:t>
      </w:r>
      <w:bookmarkEnd w:id="1410"/>
      <w:bookmarkEnd w:id="1411"/>
      <w:bookmarkEnd w:id="1412"/>
    </w:p>
    <w:p w14:paraId="4FDE234F" w14:textId="68AB1F5D" w:rsidR="00F34177" w:rsidRPr="001455DC" w:rsidRDefault="004E22C1" w:rsidP="00F72049">
      <w:pPr>
        <w:pStyle w:val="a7"/>
      </w:pPr>
      <w:r w:rsidRPr="001455DC">
        <w:t>(1)</w:t>
      </w:r>
      <w:r w:rsidRPr="001455DC">
        <w:tab/>
      </w:r>
      <w:r w:rsidR="00F34177" w:rsidRPr="001455DC">
        <w:rPr>
          <w:lang w:val="en-US"/>
        </w:rPr>
        <w:t>For the design to this Eurocode, CFRP strengthening systems complying with the following minimum values or range of values of properties, determined in accordance with ISO 1040</w:t>
      </w:r>
      <w:r w:rsidR="00164986" w:rsidRPr="001455DC">
        <w:rPr>
          <w:lang w:val="en-US"/>
        </w:rPr>
        <w:t>6</w:t>
      </w:r>
      <w:r w:rsidR="00F34177" w:rsidRPr="001455DC">
        <w:rPr>
          <w:lang w:val="en-US"/>
        </w:rPr>
        <w:t xml:space="preserve"> or a European Technical Product Specification unless otherwise noted, shall be used.</w:t>
      </w:r>
    </w:p>
    <w:p w14:paraId="7518DF24" w14:textId="77777777" w:rsidR="00F34177" w:rsidRPr="001455DC" w:rsidRDefault="004E22C1" w:rsidP="00F34177">
      <w:pPr>
        <w:pStyle w:val="a7"/>
        <w:rPr>
          <w:lang w:val="en-US"/>
        </w:rPr>
      </w:pPr>
      <w:r w:rsidRPr="001455DC">
        <w:t>(2)</w:t>
      </w:r>
      <w:r w:rsidRPr="001455DC">
        <w:tab/>
      </w:r>
      <w:r w:rsidR="00F34177" w:rsidRPr="001455DC">
        <w:rPr>
          <w:lang w:val="en-US"/>
        </w:rPr>
        <w:t>Annex JA provides design rules for member strengthened with CFRP reinforcement within the following limits of declared properties:</w:t>
      </w:r>
    </w:p>
    <w:p w14:paraId="56356372" w14:textId="77777777" w:rsidR="00F34177" w:rsidRPr="001455DC" w:rsidRDefault="00F34177" w:rsidP="00082680">
      <w:pPr>
        <w:pStyle w:val="a7"/>
        <w:numPr>
          <w:ilvl w:val="0"/>
          <w:numId w:val="58"/>
        </w:numPr>
        <w:rPr>
          <w:lang w:val="en-US"/>
        </w:rPr>
      </w:pPr>
      <w:r w:rsidRPr="001455DC">
        <w:rPr>
          <w:lang w:val="en-US"/>
        </w:rPr>
        <w:t xml:space="preserve">interlaminar shear strength of CFRP reinforcement shall be equal or larger than the adhesive bond strength for any system or kit, </w:t>
      </w:r>
    </w:p>
    <w:p w14:paraId="5934FC48" w14:textId="1E20D737" w:rsidR="00F34177" w:rsidRPr="001455DC" w:rsidRDefault="00F34177" w:rsidP="00082680">
      <w:pPr>
        <w:pStyle w:val="a7"/>
        <w:numPr>
          <w:ilvl w:val="0"/>
          <w:numId w:val="58"/>
        </w:numPr>
        <w:rPr>
          <w:lang w:val="en-US"/>
        </w:rPr>
      </w:pPr>
      <w:r w:rsidRPr="001455DC">
        <w:rPr>
          <w:lang w:val="en-US"/>
        </w:rPr>
        <w:t xml:space="preserve">mean modulus of elasticity: 150 kN/mm² </w:t>
      </w:r>
      <w:r w:rsidRPr="001455DC">
        <w:rPr>
          <w:lang w:val="en-US"/>
        </w:rPr>
        <w:sym w:font="Symbol" w:char="F0A3"/>
      </w:r>
      <m:oMath>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E</m:t>
            </m:r>
          </m:e>
          <m:sub>
            <m:r>
              <m:rPr>
                <m:sty m:val="p"/>
              </m:rPr>
              <w:rPr>
                <w:rFonts w:ascii="Cambria Math" w:hAnsi="Cambria Math"/>
                <w:lang w:val="en-US"/>
              </w:rPr>
              <m:t>f</m:t>
            </m:r>
          </m:sub>
        </m:sSub>
      </m:oMath>
      <w:r w:rsidRPr="001455DC">
        <w:rPr>
          <w:lang w:val="en-US"/>
        </w:rPr>
        <w:t xml:space="preserve"> </w:t>
      </w:r>
      <w:r w:rsidRPr="001455DC">
        <w:rPr>
          <w:lang w:val="en-US"/>
        </w:rPr>
        <w:sym w:font="Symbol" w:char="F0A3"/>
      </w:r>
      <w:r w:rsidRPr="001455DC">
        <w:rPr>
          <w:lang w:val="en-US"/>
        </w:rPr>
        <w:t xml:space="preserve"> 230 kN/mm², </w:t>
      </w:r>
    </w:p>
    <w:p w14:paraId="60BF3743" w14:textId="32DC6B6C" w:rsidR="00F34177" w:rsidRPr="001455DC" w:rsidRDefault="00F34177" w:rsidP="00082680">
      <w:pPr>
        <w:pStyle w:val="a7"/>
        <w:numPr>
          <w:ilvl w:val="0"/>
          <w:numId w:val="58"/>
        </w:numPr>
        <w:rPr>
          <w:lang w:val="en-US"/>
        </w:rPr>
      </w:pPr>
      <w:r w:rsidRPr="001455DC">
        <w:rPr>
          <w:lang w:val="en-US"/>
        </w:rPr>
        <w:t xml:space="preserve">elastic stiffness: 20 N/mm </w:t>
      </w:r>
      <w:r w:rsidRPr="001455DC">
        <w:rPr>
          <w:lang w:val="en-US"/>
        </w:rPr>
        <w:sym w:font="Symbol" w:char="F0A3"/>
      </w:r>
      <w:r w:rsidRPr="001455DC">
        <w:rPr>
          <w:lang w:val="en-US"/>
        </w:rPr>
        <w:t xml:space="preserve"> </w:t>
      </w:r>
      <m:oMath>
        <m:sSub>
          <m:sSubPr>
            <m:ctrlPr>
              <w:rPr>
                <w:rFonts w:ascii="Cambria Math" w:hAnsi="Cambria Math"/>
                <w:i/>
                <w:lang w:val="en-US"/>
              </w:rPr>
            </m:ctrlPr>
          </m:sSubPr>
          <m:e>
            <m:r>
              <w:rPr>
                <w:rFonts w:ascii="Cambria Math" w:hAnsi="Cambria Math"/>
                <w:lang w:val="en-US"/>
              </w:rPr>
              <m:t>E</m:t>
            </m:r>
          </m:e>
          <m:sub>
            <m:r>
              <m:rPr>
                <m:sty m:val="p"/>
              </m:rPr>
              <w:rPr>
                <w:rFonts w:ascii="Cambria Math" w:hAnsi="Cambria Math"/>
                <w:lang w:val="en-US"/>
              </w:rPr>
              <m:t>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f</m:t>
            </m:r>
          </m:sub>
        </m:sSub>
      </m:oMath>
      <w:r w:rsidRPr="001455DC">
        <w:rPr>
          <w:vertAlign w:val="subscript"/>
          <w:lang w:val="en-US"/>
        </w:rPr>
        <w:t xml:space="preserve"> </w:t>
      </w:r>
      <w:r w:rsidRPr="001455DC">
        <w:rPr>
          <w:lang w:val="en-US"/>
        </w:rPr>
        <w:sym w:font="Symbol" w:char="F0A3"/>
      </w:r>
      <w:r w:rsidRPr="001455DC">
        <w:rPr>
          <w:lang w:val="en-US"/>
        </w:rPr>
        <w:t xml:space="preserve"> 400 N/mm, </w:t>
      </w:r>
    </w:p>
    <w:p w14:paraId="535FA68C" w14:textId="528C96D3" w:rsidR="00F34177" w:rsidRPr="001455DC" w:rsidRDefault="00F34177" w:rsidP="00082680">
      <w:pPr>
        <w:pStyle w:val="a7"/>
        <w:numPr>
          <w:ilvl w:val="0"/>
          <w:numId w:val="58"/>
        </w:numPr>
      </w:pPr>
      <w:r w:rsidRPr="001455DC">
        <w:rPr>
          <w:lang w:val="en-US"/>
        </w:rPr>
        <w:t xml:space="preserve">total CFRP cross section per unit width of CFRP sheets in the total of all layers:  </w:t>
      </w:r>
      <w:r w:rsidR="00F239E2" w:rsidRPr="001455DC">
        <w:rPr>
          <w:lang w:val="en-US"/>
        </w:rPr>
        <w:br/>
      </w:r>
      <w:r w:rsidRPr="001455DC">
        <w:rPr>
          <w:lang w:val="en-US"/>
        </w:rPr>
        <w:t xml:space="preserve">100 mm²/m </w:t>
      </w:r>
      <w:r w:rsidRPr="001455DC">
        <w:rPr>
          <w:lang w:val="en-US"/>
        </w:rPr>
        <w:sym w:font="Symbol" w:char="F0A3"/>
      </w:r>
      <w:r w:rsidRPr="001455DC">
        <w:rPr>
          <w:lang w:val="en-US"/>
        </w:rPr>
        <w:t xml:space="preserve"> </w:t>
      </w:r>
      <m:oMath>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f</m:t>
            </m:r>
          </m:sub>
        </m:sSub>
      </m:oMath>
      <w:r w:rsidRPr="001455DC">
        <w:rPr>
          <w:lang w:val="en-US"/>
        </w:rPr>
        <w:t>/</w:t>
      </w:r>
      <w:r w:rsidRPr="001455DC">
        <w:rPr>
          <w:i/>
          <w:iCs/>
          <w:lang w:val="en-US"/>
        </w:rPr>
        <w:t>b</w:t>
      </w:r>
      <w:r w:rsidRPr="001455DC">
        <w:rPr>
          <w:vertAlign w:val="subscript"/>
          <w:lang w:val="en-US"/>
        </w:rPr>
        <w:t xml:space="preserve">sheet </w:t>
      </w:r>
      <w:r w:rsidRPr="001455DC">
        <w:rPr>
          <w:lang w:val="en-US"/>
        </w:rPr>
        <w:sym w:font="Symbol" w:char="F0A3"/>
      </w:r>
      <w:r w:rsidRPr="001455DC">
        <w:rPr>
          <w:lang w:val="en-US"/>
        </w:rPr>
        <w:t xml:space="preserve"> 1 800 mm²/m.</w:t>
      </w:r>
    </w:p>
    <w:p w14:paraId="6BD5A493" w14:textId="305A8235" w:rsidR="00F34177" w:rsidRPr="001455DC" w:rsidRDefault="00F239E2" w:rsidP="00F239E2">
      <w:pPr>
        <w:pStyle w:val="a7"/>
      </w:pPr>
      <w:r w:rsidRPr="001455DC">
        <w:t xml:space="preserve">(3) The characteristic tensile strength of the adhesive </w:t>
      </w:r>
      <w:r w:rsidRPr="001455DC">
        <w:rPr>
          <w:rFonts w:ascii="Cambria Math" w:hAnsi="Cambria Math" w:cs="Cambria Math"/>
        </w:rPr>
        <w:t>𝑓</w:t>
      </w:r>
      <w:r w:rsidRPr="009D3012">
        <w:rPr>
          <w:vertAlign w:val="subscript"/>
          <w:lang w:val="en-US"/>
        </w:rPr>
        <w:t>Atk</w:t>
      </w:r>
      <w:r w:rsidRPr="009D3012">
        <w:rPr>
          <w:rFonts w:ascii="Cambria Math" w:hAnsi="Cambria Math"/>
          <w:lang w:val="en-US"/>
        </w:rPr>
        <w:t>,</w:t>
      </w:r>
      <w:r w:rsidRPr="001455DC">
        <w:t xml:space="preserve"> determined in accordance with EN 1504-4 shall be </w:t>
      </w:r>
      <w:r w:rsidRPr="001455DC">
        <w:rPr>
          <w:rFonts w:ascii="Cambria Math" w:hAnsi="Cambria Math" w:cs="Cambria Math"/>
        </w:rPr>
        <w:t>𝑓</w:t>
      </w:r>
      <w:r w:rsidRPr="009D3012">
        <w:rPr>
          <w:vertAlign w:val="subscript"/>
          <w:lang w:val="en-US"/>
        </w:rPr>
        <w:t>Atk</w:t>
      </w:r>
      <w:r w:rsidRPr="001455DC">
        <w:t xml:space="preserve"> ≥ 14 N/mm² for design with Annex J.</w:t>
      </w:r>
    </w:p>
    <w:p w14:paraId="66A30A21" w14:textId="50437941" w:rsidR="00F34177" w:rsidRPr="001455DC" w:rsidRDefault="00DF50C7" w:rsidP="00F72049">
      <w:pPr>
        <w:pStyle w:val="a7"/>
      </w:pPr>
      <w:r w:rsidRPr="001455DC">
        <w:t>(4) CRP reinforcement used in accordance with this Eurocode shall be subjected to a verification of constancy of performance system AVCP 1+.</w:t>
      </w:r>
    </w:p>
    <w:p w14:paraId="00BC9D96" w14:textId="75735DBC" w:rsidR="00F34177" w:rsidRPr="001455DC" w:rsidRDefault="00DF50C7" w:rsidP="00F72049">
      <w:pPr>
        <w:pStyle w:val="a7"/>
      </w:pPr>
      <w:r w:rsidRPr="001455DC">
        <w:t>(5) CFRP strips shall be bonded in no more than two layers. The maximum thickness of the CFRP strip cross section excluding the adhesive shall not exceed 3 mm.</w:t>
      </w:r>
    </w:p>
    <w:p w14:paraId="65DFF7D2" w14:textId="18F519B3" w:rsidR="00DF50C7" w:rsidRPr="009D3012" w:rsidRDefault="00DF50C7" w:rsidP="00F72049">
      <w:pPr>
        <w:pStyle w:val="a7"/>
        <w:rPr>
          <w:szCs w:val="22"/>
        </w:rPr>
      </w:pPr>
      <w:r w:rsidRPr="009D3012">
        <w:rPr>
          <w:rFonts w:cs="Arial"/>
          <w:szCs w:val="22"/>
        </w:rPr>
        <w:t>(6) No more than a single NSM strip or bar shall be bonded into one slot.</w:t>
      </w:r>
    </w:p>
    <w:p w14:paraId="1CFB365C" w14:textId="4CB8963D" w:rsidR="004E22C1" w:rsidRPr="001455DC" w:rsidRDefault="00DF50C7" w:rsidP="00243590">
      <w:pPr>
        <w:pStyle w:val="a3"/>
      </w:pPr>
      <w:bookmarkStart w:id="1413" w:name="_Toc56582655"/>
      <w:bookmarkStart w:id="1414" w:name="_Toc56595706"/>
      <w:bookmarkStart w:id="1415" w:name="_Toc56582656"/>
      <w:bookmarkStart w:id="1416" w:name="_Toc56595707"/>
      <w:bookmarkStart w:id="1417" w:name="_Toc56582657"/>
      <w:bookmarkStart w:id="1418" w:name="_Toc56595708"/>
      <w:bookmarkStart w:id="1419" w:name="_Toc56582658"/>
      <w:bookmarkStart w:id="1420" w:name="_Toc56595709"/>
      <w:bookmarkStart w:id="1421" w:name="_Toc52820148"/>
      <w:bookmarkStart w:id="1422" w:name="_Toc54337562"/>
      <w:bookmarkStart w:id="1423" w:name="_Toc54338203"/>
      <w:bookmarkEnd w:id="1413"/>
      <w:bookmarkEnd w:id="1414"/>
      <w:bookmarkEnd w:id="1415"/>
      <w:bookmarkEnd w:id="1416"/>
      <w:bookmarkEnd w:id="1417"/>
      <w:bookmarkEnd w:id="1418"/>
      <w:bookmarkEnd w:id="1419"/>
      <w:bookmarkEnd w:id="1420"/>
      <w:r w:rsidRPr="001455DC">
        <w:t xml:space="preserve">Embedded </w:t>
      </w:r>
      <w:r w:rsidR="004E22C1" w:rsidRPr="001455DC">
        <w:t>FRP reinforcement</w:t>
      </w:r>
      <w:bookmarkEnd w:id="1421"/>
      <w:bookmarkEnd w:id="1422"/>
      <w:bookmarkEnd w:id="1423"/>
    </w:p>
    <w:p w14:paraId="6C61381E" w14:textId="5CE6360C" w:rsidR="004E22C1" w:rsidRPr="001455DC" w:rsidRDefault="004E22C1" w:rsidP="00F72049">
      <w:pPr>
        <w:pStyle w:val="a7"/>
      </w:pPr>
      <w:r w:rsidRPr="001455DC">
        <w:t>(1)</w:t>
      </w:r>
      <w:r w:rsidRPr="001455DC">
        <w:tab/>
      </w:r>
      <w:r w:rsidR="00DF50C7" w:rsidRPr="001455DC">
        <w:t>For the design to this Eurocode, embedded FRP reinforcement complying with the following minimum values or range of values of properties, determined in accordance with ISO 10460 in or a European Technical Product Specification unless otherwise noted, shall be used.</w:t>
      </w:r>
    </w:p>
    <w:p w14:paraId="68B2C8CA" w14:textId="77777777" w:rsidR="004E22C1" w:rsidRPr="001455DC" w:rsidRDefault="004E22C1" w:rsidP="00116AE2">
      <w:pPr>
        <w:pStyle w:val="a7"/>
        <w:keepNext/>
      </w:pPr>
      <w:r w:rsidRPr="001455DC">
        <w:t>(2)</w:t>
      </w:r>
      <w:r w:rsidRPr="001455DC">
        <w:tab/>
        <w:t>Annex JA provides design rules for member reinforced with embedded FRP reinforcement within the following limits of declared properties:</w:t>
      </w:r>
    </w:p>
    <w:p w14:paraId="2DCDCAD2" w14:textId="06B43FB5" w:rsidR="004E22C1" w:rsidRPr="001455DC" w:rsidRDefault="00DF50C7" w:rsidP="00353CE4">
      <w:pPr>
        <w:pStyle w:val="a0"/>
      </w:pPr>
      <w:r w:rsidRPr="001455DC">
        <w:t>m</w:t>
      </w:r>
      <w:r w:rsidR="004E22C1" w:rsidRPr="001455DC">
        <w:t xml:space="preserve">inimum long term tensile strength of </w:t>
      </w:r>
      <m:oMath>
        <m:sSub>
          <m:sSubPr>
            <m:ctrlPr>
              <w:rPr>
                <w:rFonts w:ascii="Cambria Math" w:hAnsi="Cambria Math"/>
              </w:rPr>
            </m:ctrlPr>
          </m:sSubPr>
          <m:e>
            <m:r>
              <w:rPr>
                <w:rFonts w:ascii="Cambria Math" w:hAnsi="Cambria Math"/>
              </w:rPr>
              <m:t>f</m:t>
            </m:r>
          </m:e>
          <m:sub>
            <m:r>
              <m:rPr>
                <m:sty m:val="p"/>
              </m:rPr>
              <w:rPr>
                <w:rFonts w:ascii="Cambria Math" w:hAnsi="Cambria Math"/>
              </w:rPr>
              <m:t>ftk,100a</m:t>
            </m:r>
          </m:sub>
        </m:sSub>
        <m:r>
          <m:rPr>
            <m:sty m:val="p"/>
          </m:rPr>
          <w:rPr>
            <w:rFonts w:ascii="Cambria Math" w:hAnsi="Cambria Math"/>
          </w:rPr>
          <m:t>≥300 MPa</m:t>
        </m:r>
      </m:oMath>
      <w:r w:rsidR="004E22C1" w:rsidRPr="001455DC">
        <w:t>,</w:t>
      </w:r>
    </w:p>
    <w:p w14:paraId="4AEAA12C" w14:textId="4BFCB1F5" w:rsidR="004E22C1" w:rsidRPr="001455DC" w:rsidRDefault="00DF50C7" w:rsidP="00353CE4">
      <w:pPr>
        <w:pStyle w:val="a0"/>
      </w:pPr>
      <w:r w:rsidRPr="001455DC">
        <w:t>m</w:t>
      </w:r>
      <w:r w:rsidR="004E22C1" w:rsidRPr="001455DC">
        <w:t xml:space="preserve">inimum modulus of elasticity of </w:t>
      </w:r>
      <m:oMath>
        <m:sSub>
          <m:sSubPr>
            <m:ctrlPr>
              <w:rPr>
                <w:rFonts w:ascii="Cambria Math" w:hAnsi="Cambria Math"/>
              </w:rPr>
            </m:ctrlPr>
          </m:sSubPr>
          <m:e>
            <m:r>
              <w:rPr>
                <w:rFonts w:ascii="Cambria Math" w:hAnsi="Cambria Math"/>
              </w:rPr>
              <m:t>E</m:t>
            </m:r>
          </m:e>
          <m:sub>
            <m:r>
              <m:rPr>
                <m:sty m:val="p"/>
              </m:rPr>
              <w:rPr>
                <w:rFonts w:ascii="Cambria Math" w:hAnsi="Cambria Math"/>
              </w:rPr>
              <m:t>fR</m:t>
            </m:r>
          </m:sub>
        </m:sSub>
        <m:r>
          <m:rPr>
            <m:sty m:val="p"/>
          </m:rPr>
          <w:rPr>
            <w:rFonts w:ascii="Cambria Math" w:hAnsi="Cambria Math"/>
          </w:rPr>
          <m:t>≥40MPa</m:t>
        </m:r>
      </m:oMath>
      <w:r w:rsidR="004E22C1" w:rsidRPr="001455DC">
        <w:t>,</w:t>
      </w:r>
    </w:p>
    <w:p w14:paraId="2635E862" w14:textId="4A06DDD5" w:rsidR="004E22C1" w:rsidRPr="009D3012" w:rsidRDefault="00DF50C7" w:rsidP="00353CE4">
      <w:pPr>
        <w:pStyle w:val="a0"/>
        <w:rPr>
          <w:rFonts w:eastAsiaTheme="minorEastAsia"/>
        </w:rPr>
      </w:pPr>
      <w:r w:rsidRPr="001455DC">
        <w:t>r</w:t>
      </w:r>
      <w:r w:rsidR="004E22C1" w:rsidRPr="001455DC">
        <w:t xml:space="preserve">atio of </w:t>
      </w:r>
      <m:oMath>
        <m:f>
          <m:fPr>
            <m:type m:val="lin"/>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ftk,100a</m:t>
                </m:r>
              </m:sub>
            </m:sSub>
          </m:num>
          <m:den>
            <m:sSub>
              <m:sSubPr>
                <m:ctrlPr>
                  <w:rPr>
                    <w:rFonts w:ascii="Cambria Math" w:hAnsi="Cambria Math"/>
                  </w:rPr>
                </m:ctrlPr>
              </m:sSubPr>
              <m:e>
                <m:r>
                  <w:rPr>
                    <w:rFonts w:ascii="Cambria Math" w:hAnsi="Cambria Math"/>
                  </w:rPr>
                  <m:t>E</m:t>
                </m:r>
              </m:e>
              <m:sub>
                <m:r>
                  <m:rPr>
                    <m:sty m:val="p"/>
                  </m:rPr>
                  <w:rPr>
                    <w:rFonts w:ascii="Cambria Math" w:hAnsi="Cambria Math"/>
                  </w:rPr>
                  <m:t>fR</m:t>
                </m:r>
              </m:sub>
            </m:sSub>
          </m:den>
        </m:f>
        <m:r>
          <m:rPr>
            <m:sty m:val="p"/>
          </m:rPr>
          <w:rPr>
            <w:rFonts w:ascii="Cambria Math" w:hAnsi="Cambria Math"/>
          </w:rPr>
          <m:t>≤0,005</m:t>
        </m:r>
      </m:oMath>
      <w:r w:rsidRPr="001455DC">
        <w:t>,</w:t>
      </w:r>
    </w:p>
    <w:p w14:paraId="7500DD42" w14:textId="586A508A" w:rsidR="00DF50C7" w:rsidRPr="001455DC" w:rsidRDefault="00DF50C7">
      <w:pPr>
        <w:pStyle w:val="a0"/>
      </w:pPr>
      <w:r w:rsidRPr="001455DC">
        <w:t xml:space="preserve">minimum value of </w:t>
      </w:r>
      <w:r w:rsidRPr="009D3012">
        <w:rPr>
          <w:i/>
        </w:rPr>
        <w:t>f</w:t>
      </w:r>
      <w:r w:rsidRPr="001455DC">
        <w:rPr>
          <w:vertAlign w:val="subscript"/>
          <w:lang w:val="en-US"/>
        </w:rPr>
        <w:t>bd,100a</w:t>
      </w:r>
      <w:r w:rsidRPr="009D3012">
        <w:rPr>
          <w:vertAlign w:val="subscript"/>
          <w:lang w:val="en-US"/>
        </w:rPr>
        <w:t xml:space="preserve"> </w:t>
      </w:r>
      <w:r w:rsidRPr="001455DC">
        <w:rPr>
          <w:rFonts w:ascii="Cambria Math" w:hAnsi="Cambria Math"/>
        </w:rPr>
        <w:t>≥</w:t>
      </w:r>
      <w:r w:rsidRPr="001455DC">
        <w:t xml:space="preserve"> 1,5 MPa,</w:t>
      </w:r>
    </w:p>
    <w:p w14:paraId="297B79FF" w14:textId="3D352995" w:rsidR="00DF50C7" w:rsidRPr="001455DC" w:rsidRDefault="00DF50C7" w:rsidP="00DF50C7">
      <w:pPr>
        <w:pStyle w:val="a0"/>
        <w:rPr>
          <w:rFonts w:eastAsiaTheme="minorEastAsia"/>
        </w:rPr>
      </w:pPr>
      <w:r w:rsidRPr="001455DC">
        <w:rPr>
          <w:rFonts w:eastAsiaTheme="minorEastAsia"/>
        </w:rPr>
        <w:t>bended FRP-shear stirrups shall be capable of resisting a long term tensile capacity which will accommodate 0,4 % strain.</w:t>
      </w:r>
    </w:p>
    <w:p w14:paraId="5B02F248" w14:textId="7F7ED0CB" w:rsidR="004E22C1" w:rsidRPr="001455DC" w:rsidRDefault="00DF50C7" w:rsidP="00F72049">
      <w:pPr>
        <w:pStyle w:val="a7"/>
      </w:pPr>
      <w:r w:rsidRPr="001455DC" w:rsidDel="00DF50C7">
        <w:t xml:space="preserve"> </w:t>
      </w:r>
      <w:r w:rsidR="004E22C1" w:rsidRPr="001455DC">
        <w:t>(</w:t>
      </w:r>
      <w:r w:rsidRPr="001455DC">
        <w:t>3</w:t>
      </w:r>
      <w:r w:rsidR="004E22C1" w:rsidRPr="001455DC">
        <w:t>)</w:t>
      </w:r>
      <w:r w:rsidR="004E22C1" w:rsidRPr="001455DC">
        <w:tab/>
        <w:t>Embedded FRP reinforcement used in accordance with this Eurocode shall be subjected to a verification of constancy of performance system AVCP 1</w:t>
      </w:r>
      <w:r w:rsidR="00650035" w:rsidRPr="001455DC">
        <w:rPr>
          <w:rFonts w:ascii="Cambria Math" w:hAnsi="Cambria Math"/>
        </w:rPr>
        <w:t>+</w:t>
      </w:r>
      <w:r w:rsidR="004E22C1" w:rsidRPr="001455DC">
        <w:t>.</w:t>
      </w:r>
    </w:p>
    <w:p w14:paraId="1B158DC6" w14:textId="3F1D0A8F" w:rsidR="004E22C1" w:rsidRPr="001455DC" w:rsidRDefault="00F72049" w:rsidP="00F72049">
      <w:pPr>
        <w:pStyle w:val="ANNEX"/>
      </w:pPr>
      <w:bookmarkStart w:id="1424" w:name="_Toc52820149"/>
      <w:r w:rsidRPr="001455DC">
        <w:br/>
      </w:r>
      <w:bookmarkStart w:id="1425" w:name="_Toc54337149"/>
      <w:bookmarkStart w:id="1426" w:name="_Toc54337563"/>
      <w:bookmarkStart w:id="1427" w:name="_Toc54338204"/>
      <w:bookmarkStart w:id="1428" w:name="_Toc67565538"/>
      <w:r w:rsidR="004E22C1" w:rsidRPr="001455DC">
        <w:rPr>
          <w:b w:val="0"/>
        </w:rPr>
        <w:t>(</w:t>
      </w:r>
      <w:r w:rsidR="00653C71" w:rsidRPr="001455DC">
        <w:rPr>
          <w:b w:val="0"/>
        </w:rPr>
        <w:t>informative</w:t>
      </w:r>
      <w:r w:rsidR="004E22C1" w:rsidRPr="001455DC">
        <w:rPr>
          <w:b w:val="0"/>
        </w:rPr>
        <w:t>)</w:t>
      </w:r>
      <w:r w:rsidRPr="001455DC">
        <w:rPr>
          <w:b w:val="0"/>
        </w:rPr>
        <w:br/>
      </w:r>
      <w:r w:rsidRPr="001455DC">
        <w:br/>
      </w:r>
      <w:r w:rsidR="004E22C1" w:rsidRPr="001455DC">
        <w:t>E</w:t>
      </w:r>
      <w:r w:rsidRPr="001455DC">
        <w:t>valuation of early-age and long-term cracking due to restraint</w:t>
      </w:r>
      <w:bookmarkEnd w:id="1424"/>
      <w:bookmarkEnd w:id="1425"/>
      <w:bookmarkEnd w:id="1426"/>
      <w:bookmarkEnd w:id="1427"/>
      <w:bookmarkEnd w:id="1428"/>
    </w:p>
    <w:p w14:paraId="05E9A40A" w14:textId="463FA5DF" w:rsidR="00335551" w:rsidRPr="001455DC" w:rsidRDefault="00335551" w:rsidP="00082680">
      <w:pPr>
        <w:pStyle w:val="a2"/>
      </w:pPr>
      <w:bookmarkStart w:id="1429" w:name="_Toc67565539"/>
      <w:bookmarkStart w:id="1430" w:name="_Toc52820150"/>
      <w:bookmarkStart w:id="1431" w:name="_Toc54337150"/>
      <w:bookmarkStart w:id="1432" w:name="_Toc54337564"/>
      <w:bookmarkStart w:id="1433" w:name="_Toc54338205"/>
      <w:r w:rsidRPr="001455DC">
        <w:t>Use of this annex</w:t>
      </w:r>
      <w:bookmarkEnd w:id="1429"/>
    </w:p>
    <w:p w14:paraId="76D77973" w14:textId="2042026F" w:rsidR="00335551" w:rsidRPr="001455DC" w:rsidRDefault="00335551" w:rsidP="00335551">
      <w:pPr>
        <w:pStyle w:val="a7"/>
      </w:pPr>
      <w:r w:rsidRPr="001455DC">
        <w:t>(1) This Informative Annex provides complementary guidance on the evaluation of early-age and long-term cracking due to restraint in general with special emphasis on through-cracking.</w:t>
      </w:r>
    </w:p>
    <w:p w14:paraId="40DEDBE5" w14:textId="497625FB" w:rsidR="00335551" w:rsidRPr="009D3012" w:rsidRDefault="00335551" w:rsidP="009D3012">
      <w:pPr>
        <w:pStyle w:val="Note"/>
      </w:pPr>
      <w:r w:rsidRPr="009D3012">
        <w:t>NOTE National choice on the application of this Informative Annex is given in a National Annex. If a National Annex contains no information on the application of this Informative Annex, it can be used.</w:t>
      </w:r>
    </w:p>
    <w:p w14:paraId="5062A4EF" w14:textId="16C40947" w:rsidR="00335551" w:rsidRPr="001455DC" w:rsidRDefault="00335551" w:rsidP="00082680">
      <w:pPr>
        <w:pStyle w:val="a2"/>
      </w:pPr>
      <w:bookmarkStart w:id="1434" w:name="_Toc67565540"/>
      <w:r w:rsidRPr="001455DC">
        <w:t>Scope and field of application</w:t>
      </w:r>
      <w:bookmarkEnd w:id="1434"/>
    </w:p>
    <w:p w14:paraId="79A4AA0D" w14:textId="5D166545" w:rsidR="00335551" w:rsidRPr="009D3012" w:rsidRDefault="00335551" w:rsidP="009D3012">
      <w:pPr>
        <w:pStyle w:val="a7"/>
      </w:pPr>
      <w:r w:rsidRPr="009D3012">
        <w:t>(1) This Informative Annex applies to all types of members and structures.</w:t>
      </w:r>
    </w:p>
    <w:p w14:paraId="24ECA1B3" w14:textId="67695EB1" w:rsidR="004E22C1" w:rsidRPr="001455DC" w:rsidRDefault="004E22C1" w:rsidP="00082680">
      <w:pPr>
        <w:pStyle w:val="a2"/>
      </w:pPr>
      <w:bookmarkStart w:id="1435" w:name="_Toc67565541"/>
      <w:r w:rsidRPr="001455DC">
        <w:t>General</w:t>
      </w:r>
      <w:bookmarkEnd w:id="1430"/>
      <w:bookmarkEnd w:id="1431"/>
      <w:bookmarkEnd w:id="1432"/>
      <w:bookmarkEnd w:id="1433"/>
      <w:bookmarkEnd w:id="1435"/>
    </w:p>
    <w:p w14:paraId="25040F6B" w14:textId="582AF1E1" w:rsidR="004E22C1" w:rsidRPr="001455DC" w:rsidRDefault="004E22C1" w:rsidP="00F72049">
      <w:pPr>
        <w:pStyle w:val="a7"/>
      </w:pPr>
    </w:p>
    <w:p w14:paraId="27D048F9" w14:textId="6A8AD209" w:rsidR="004E22C1" w:rsidRPr="001455DC" w:rsidRDefault="004E22C1" w:rsidP="00116AE2">
      <w:pPr>
        <w:pStyle w:val="a7"/>
        <w:keepNext/>
      </w:pPr>
      <w:r w:rsidRPr="001455DC">
        <w:t>(2)</w:t>
      </w:r>
      <w:r w:rsidRPr="001455DC">
        <w:tab/>
        <w:t xml:space="preserve">The main objective of the analysis is to evaluate the cracking risk, </w:t>
      </w:r>
      <w:r w:rsidRPr="001455DC">
        <w:rPr>
          <w:rStyle w:val="CCMCvariableitalic"/>
        </w:rPr>
        <w:t>R</w:t>
      </w:r>
      <w:r w:rsidRPr="001455DC">
        <w:rPr>
          <w:rStyle w:val="CCMCvariablesubscript"/>
        </w:rPr>
        <w:t>cr</w:t>
      </w:r>
      <w:r w:rsidRPr="001455DC">
        <w:rPr>
          <w:rStyle w:val="CCMCvariableitalic"/>
        </w:rPr>
        <w:t>,</w:t>
      </w:r>
      <w:r w:rsidRPr="001455DC">
        <w:t xml:space="preserve"> or provide guidance on crack calculations if cracking is expected to occur. The cracking risk may be expressed in terms of the ratio between the maximum tensile stress, </w:t>
      </w:r>
      <w:r w:rsidRPr="001455DC">
        <w:rPr>
          <w:rStyle w:val="CCMCvariableitalic"/>
        </w:rPr>
        <w:t>σ</w:t>
      </w:r>
      <w:r w:rsidRPr="001455DC">
        <w:rPr>
          <w:rStyle w:val="CCMCvariablesubscript"/>
        </w:rPr>
        <w:t>ct,</w:t>
      </w:r>
      <w:r w:rsidRPr="001455DC">
        <w:t xml:space="preserve"> and the tensile resistance of concrete at the moment which is being considered </w:t>
      </w:r>
      <w:r w:rsidRPr="001455DC">
        <w:rPr>
          <w:rStyle w:val="CCMCvariableitalic"/>
        </w:rPr>
        <w:t>f</w:t>
      </w:r>
      <w:r w:rsidRPr="001455DC">
        <w:rPr>
          <w:rStyle w:val="CCMCvariablesubscript"/>
        </w:rPr>
        <w:t>ct,eff</w:t>
      </w:r>
      <w:r w:rsidRPr="001455DC">
        <w:t>(</w:t>
      </w:r>
      <w:r w:rsidRPr="001455DC">
        <w:rPr>
          <w:rStyle w:val="CCMCvariableitalic"/>
        </w:rPr>
        <w:t>t</w:t>
      </w:r>
      <w:r w:rsidRPr="001455DC">
        <w:t>), reduced by a factor of 0,8 in order to account for the effects of sustained loading (see Formula (D.1)):</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BA3C8A" w:rsidRPr="001455DC" w14:paraId="7ACE4A7E" w14:textId="77777777" w:rsidTr="00626FEA">
        <w:trPr>
          <w:cantSplit/>
        </w:trPr>
        <w:tc>
          <w:tcPr>
            <w:tcW w:w="8505" w:type="dxa"/>
            <w:vAlign w:val="center"/>
          </w:tcPr>
          <w:p w14:paraId="2E9B9901" w14:textId="14E634F5" w:rsidR="00BA3C8A" w:rsidRPr="001455DC" w:rsidRDefault="00231E33" w:rsidP="00626FEA">
            <w:pPr>
              <w:pStyle w:val="Formula"/>
              <w:jc w:val="left"/>
            </w:pPr>
            <m:oMathPara>
              <m:oMathParaPr>
                <m:jc m:val="left"/>
              </m:oMathParaPr>
              <m:oMath>
                <m:sSub>
                  <m:sSubPr>
                    <m:ctrlPr>
                      <w:rPr>
                        <w:rFonts w:ascii="Cambria Math" w:hAnsi="Cambria Math"/>
                      </w:rPr>
                    </m:ctrlPr>
                  </m:sSubPr>
                  <m:e>
                    <m:r>
                      <w:rPr>
                        <w:rFonts w:ascii="Cambria Math" w:hAnsi="Cambria Math"/>
                      </w:rPr>
                      <m:t>R</m:t>
                    </m:r>
                  </m:e>
                  <m:sub>
                    <m:r>
                      <m:rPr>
                        <m:sty m:val="p"/>
                      </m:rPr>
                      <w:rPr>
                        <w:rFonts w:ascii="Cambria Math" w:hAnsi="Cambria Math"/>
                      </w:rPr>
                      <m:t>cr</m:t>
                    </m:r>
                  </m:sub>
                </m:sSub>
                <m:d>
                  <m:dPr>
                    <m:ctrlPr>
                      <w:rPr>
                        <w:rFonts w:ascii="Cambria Math" w:hAnsi="Cambria Math"/>
                      </w:rPr>
                    </m:ctrlPr>
                  </m:dPr>
                  <m:e>
                    <m:r>
                      <w:rPr>
                        <w:rFonts w:ascii="Cambria Math" w:hAnsi="Cambria Math"/>
                      </w:rPr>
                      <m:t>t</m:t>
                    </m:r>
                  </m:e>
                </m:d>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σ</m:t>
                        </m:r>
                      </m:e>
                      <m:sub>
                        <m:r>
                          <m:rPr>
                            <m:sty m:val="p"/>
                          </m:rPr>
                          <w:rPr>
                            <w:rFonts w:ascii="Cambria Math" w:hAnsi="Cambria Math"/>
                          </w:rPr>
                          <m:t>ct</m:t>
                        </m:r>
                      </m:sub>
                    </m:sSub>
                    <m:d>
                      <m:dPr>
                        <m:ctrlPr>
                          <w:rPr>
                            <w:rFonts w:ascii="Cambria Math" w:hAnsi="Cambria Math"/>
                          </w:rPr>
                        </m:ctrlPr>
                      </m:dPr>
                      <m:e>
                        <m:r>
                          <w:rPr>
                            <w:rFonts w:ascii="Cambria Math" w:hAnsi="Cambria Math"/>
                          </w:rPr>
                          <m:t>t</m:t>
                        </m:r>
                      </m:e>
                    </m:d>
                  </m:num>
                  <m:den>
                    <m:r>
                      <w:rPr>
                        <w:rFonts w:ascii="Cambria Math" w:hAnsi="Cambria Math"/>
                      </w:rPr>
                      <m:t>0,8</m:t>
                    </m:r>
                    <m:sSub>
                      <m:sSubPr>
                        <m:ctrlPr>
                          <w:rPr>
                            <w:rFonts w:ascii="Cambria Math" w:hAnsi="Cambria Math"/>
                          </w:rPr>
                        </m:ctrlPr>
                      </m:sSubPr>
                      <m:e>
                        <m:r>
                          <w:rPr>
                            <w:rFonts w:ascii="Cambria Math" w:hAnsi="Cambria Math"/>
                          </w:rPr>
                          <m:t>f</m:t>
                        </m:r>
                      </m:e>
                      <m:sub>
                        <m:r>
                          <m:rPr>
                            <m:sty m:val="p"/>
                          </m:rPr>
                          <w:rPr>
                            <w:rFonts w:ascii="Cambria Math" w:hAnsi="Cambria Math"/>
                          </w:rPr>
                          <m:t>ct,eff</m:t>
                        </m:r>
                      </m:sub>
                    </m:sSub>
                    <m:d>
                      <m:dPr>
                        <m:ctrlPr>
                          <w:rPr>
                            <w:rFonts w:ascii="Cambria Math" w:hAnsi="Cambria Math"/>
                          </w:rPr>
                        </m:ctrlPr>
                      </m:dPr>
                      <m:e>
                        <m:r>
                          <w:rPr>
                            <w:rFonts w:ascii="Cambria Math" w:hAnsi="Cambria Math"/>
                          </w:rPr>
                          <m:t>t</m:t>
                        </m:r>
                      </m:e>
                    </m:d>
                  </m:den>
                </m:f>
              </m:oMath>
            </m:oMathPara>
          </w:p>
        </w:tc>
        <w:tc>
          <w:tcPr>
            <w:tcW w:w="1247" w:type="dxa"/>
            <w:vAlign w:val="center"/>
          </w:tcPr>
          <w:p w14:paraId="22498DB6" w14:textId="1642E4B9" w:rsidR="00BA3C8A" w:rsidRPr="001455DC" w:rsidRDefault="00BA3C8A" w:rsidP="00626FEA">
            <w:pPr>
              <w:pStyle w:val="a7"/>
              <w:jc w:val="right"/>
            </w:pPr>
            <w:r w:rsidRPr="001455DC">
              <w:t>(D.1)</w:t>
            </w:r>
          </w:p>
        </w:tc>
      </w:tr>
    </w:tbl>
    <w:p w14:paraId="0A3EF24C" w14:textId="028E2E17" w:rsidR="004E22C1" w:rsidRPr="001455DC" w:rsidRDefault="00F72049" w:rsidP="00F72049">
      <w:pPr>
        <w:pStyle w:val="a7"/>
      </w:pPr>
      <w:r w:rsidRPr="001455DC">
        <w:t xml:space="preserve">where </w:t>
      </w:r>
      <w:r w:rsidRPr="001455DC">
        <w:rPr>
          <w:rStyle w:val="CCMCvariableitalic"/>
        </w:rPr>
        <w:t>f</w:t>
      </w:r>
      <w:r w:rsidRPr="001455DC">
        <w:rPr>
          <w:rStyle w:val="CCMCvariablesubscript"/>
        </w:rPr>
        <w:t>ct,eff</w:t>
      </w:r>
      <w:r w:rsidRPr="001455DC">
        <w:t>(</w:t>
      </w:r>
      <w:r w:rsidRPr="001455DC">
        <w:rPr>
          <w:rStyle w:val="CCMCvariableitalic"/>
        </w:rPr>
        <w:t>t</w:t>
      </w:r>
      <w:r w:rsidRPr="001455DC">
        <w:t xml:space="preserve">) may be taken as </w:t>
      </w:r>
      <w:r w:rsidRPr="001455DC">
        <w:rPr>
          <w:rStyle w:val="CCMCvariableitalic"/>
        </w:rPr>
        <w:t>f</w:t>
      </w:r>
      <w:r w:rsidRPr="001455DC">
        <w:rPr>
          <w:rStyle w:val="CCMCvariablesubscript"/>
        </w:rPr>
        <w:t>ctm</w:t>
      </w:r>
      <w:r w:rsidRPr="001455DC">
        <w:t>(</w:t>
      </w:r>
      <w:r w:rsidRPr="001455DC">
        <w:rPr>
          <w:rStyle w:val="CCMCvariableitalic"/>
        </w:rPr>
        <w:t>t</w:t>
      </w:r>
      <w:r w:rsidRPr="001455DC">
        <w:t>) according to B.</w:t>
      </w:r>
      <w:r w:rsidR="005A7F00" w:rsidRPr="001455DC">
        <w:t>4</w:t>
      </w:r>
      <w:r w:rsidRPr="001455DC">
        <w:t>(2).</w:t>
      </w:r>
    </w:p>
    <w:p w14:paraId="2BE1FCF7" w14:textId="77777777" w:rsidR="004E22C1" w:rsidRPr="001455DC" w:rsidRDefault="004E22C1" w:rsidP="00F72049">
      <w:pPr>
        <w:pStyle w:val="a7"/>
      </w:pPr>
      <w:r w:rsidRPr="001455DC">
        <w:t>(3)</w:t>
      </w:r>
      <w:r w:rsidRPr="001455DC">
        <w:tab/>
        <w:t xml:space="preserve">The amount of through-cracking may be reduced by using concretes with low heat production during hydration, concretes with low coefficient of thermal expansion, cooling pipes in the hardening concrete, heating cables in the restraining structural elements, reduced fresh concrete temperature, or by reducing the degree of restraint for the hardening concrete structural element (i.e. </w:t>
      </w:r>
      <w:r w:rsidRPr="001455DC">
        <w:rPr>
          <w:szCs w:val="19"/>
        </w:rPr>
        <w:t>if possible, break the bond between the hardening concrete and restraining structure in order to reduce the degree of restraint)</w:t>
      </w:r>
    </w:p>
    <w:p w14:paraId="17B261C8" w14:textId="75247E09" w:rsidR="004E22C1" w:rsidRPr="001455DC" w:rsidRDefault="004E22C1" w:rsidP="00A35599">
      <w:pPr>
        <w:pStyle w:val="Note"/>
        <w:keepNext/>
        <w:spacing w:after="120"/>
      </w:pPr>
      <w:r w:rsidRPr="001455DC">
        <w:t>NOTE</w:t>
      </w:r>
      <w:r w:rsidR="00AD033B">
        <w:t xml:space="preserve"> </w:t>
      </w:r>
      <w:r w:rsidRPr="001455DC">
        <w:tab/>
        <w:t>Figure D.1 shows the assumed temperature history for a structural concrete member where</w:t>
      </w:r>
    </w:p>
    <w:p w14:paraId="315DE529" w14:textId="7AC9582A" w:rsidR="004E22C1" w:rsidRPr="001455DC" w:rsidRDefault="004E22C1" w:rsidP="00BA3C8A">
      <w:pPr>
        <w:pStyle w:val="a0"/>
        <w:rPr>
          <w:sz w:val="20"/>
        </w:rPr>
      </w:pPr>
      <w:r w:rsidRPr="001455DC">
        <w:rPr>
          <w:rStyle w:val="CCMCvariableitalic"/>
          <w:sz w:val="20"/>
        </w:rPr>
        <w:t>T</w:t>
      </w:r>
      <w:r w:rsidRPr="001455DC">
        <w:rPr>
          <w:rStyle w:val="CCMCvariablesubscript"/>
          <w:sz w:val="20"/>
        </w:rPr>
        <w:t>ci</w:t>
      </w:r>
      <w:r w:rsidRPr="001455DC">
        <w:rPr>
          <w:sz w:val="20"/>
        </w:rPr>
        <w:t xml:space="preserve"> is the fresh concrete temperature,</w:t>
      </w:r>
    </w:p>
    <w:p w14:paraId="7A2D35E0" w14:textId="0165793E" w:rsidR="004E22C1" w:rsidRPr="001455DC" w:rsidRDefault="004E22C1" w:rsidP="00BA3C8A">
      <w:pPr>
        <w:pStyle w:val="a0"/>
        <w:rPr>
          <w:sz w:val="20"/>
        </w:rPr>
      </w:pPr>
      <w:r w:rsidRPr="001455DC">
        <w:rPr>
          <w:rStyle w:val="CCMCvariableitalic"/>
          <w:sz w:val="20"/>
        </w:rPr>
        <w:t>T</w:t>
      </w:r>
      <w:r w:rsidRPr="001455DC">
        <w:rPr>
          <w:rStyle w:val="CCMCvariablesubscript"/>
          <w:sz w:val="20"/>
        </w:rPr>
        <w:t>c,max</w:t>
      </w:r>
      <w:r w:rsidRPr="001455DC">
        <w:rPr>
          <w:sz w:val="20"/>
        </w:rPr>
        <w:t xml:space="preserve"> is the maximum concrete temperature due to hydration heat,</w:t>
      </w:r>
    </w:p>
    <w:p w14:paraId="3378C65D" w14:textId="0051B215" w:rsidR="004E22C1" w:rsidRPr="001455DC" w:rsidRDefault="004E22C1" w:rsidP="00BA3C8A">
      <w:pPr>
        <w:pStyle w:val="a0"/>
        <w:rPr>
          <w:sz w:val="20"/>
        </w:rPr>
      </w:pPr>
      <w:r w:rsidRPr="001455DC">
        <w:rPr>
          <w:rStyle w:val="CCMCvariableitalic"/>
          <w:sz w:val="20"/>
        </w:rPr>
        <w:t>T</w:t>
      </w:r>
      <w:r w:rsidRPr="001455DC">
        <w:rPr>
          <w:rStyle w:val="CCMCvariablesubscript"/>
          <w:sz w:val="20"/>
        </w:rPr>
        <w:t>0</w:t>
      </w:r>
      <w:r w:rsidRPr="001455DC">
        <w:rPr>
          <w:sz w:val="20"/>
        </w:rPr>
        <w:t xml:space="preserve"> is the temperature of the restraining structure, and</w:t>
      </w:r>
    </w:p>
    <w:p w14:paraId="3B5EBE85" w14:textId="277F3118" w:rsidR="004E22C1" w:rsidRPr="001455DC" w:rsidRDefault="004E22C1" w:rsidP="00BA3C8A">
      <w:pPr>
        <w:pStyle w:val="a0"/>
        <w:rPr>
          <w:sz w:val="20"/>
        </w:rPr>
      </w:pPr>
      <w:r w:rsidRPr="001455DC">
        <w:rPr>
          <w:sz w:val="20"/>
        </w:rPr>
        <w:t>Δ</w:t>
      </w:r>
      <w:r w:rsidRPr="001455DC">
        <w:rPr>
          <w:rStyle w:val="CCMCvariableitalic"/>
          <w:sz w:val="20"/>
        </w:rPr>
        <w:t>T</w:t>
      </w:r>
      <w:r w:rsidRPr="001455DC">
        <w:rPr>
          <w:rStyle w:val="CCMCvariablesubscript"/>
          <w:sz w:val="20"/>
        </w:rPr>
        <w:t>min</w:t>
      </w:r>
      <w:r w:rsidRPr="001455DC">
        <w:rPr>
          <w:sz w:val="20"/>
        </w:rPr>
        <w:t xml:space="preserve"> is long term maximum temperature drop.</w:t>
      </w:r>
    </w:p>
    <w:p w14:paraId="3CBFBAE6" w14:textId="0500B838" w:rsidR="004E22C1" w:rsidRPr="001455DC" w:rsidRDefault="004E22C1" w:rsidP="00F72049">
      <w:pPr>
        <w:pStyle w:val="Note"/>
      </w:pPr>
      <w:r w:rsidRPr="001455DC">
        <w:t>Correspondingly, Figure D.2 shows the resulting diagram of stresses in concrete</w:t>
      </w:r>
      <w:r w:rsidR="00605B61" w:rsidRPr="001455DC">
        <w:t>.</w:t>
      </w:r>
    </w:p>
    <w:p w14:paraId="2271E771" w14:textId="77777777" w:rsidR="004E22C1" w:rsidRPr="001455DC" w:rsidRDefault="004E22C1" w:rsidP="00F72049">
      <w:pPr>
        <w:pStyle w:val="a7"/>
      </w:pPr>
      <w:r w:rsidRPr="001455DC">
        <w:t>(4)</w:t>
      </w:r>
      <w:r w:rsidRPr="001455DC">
        <w:tab/>
        <w:t>Compression in concrete due to favourable effects from the heating phase may be considered.</w:t>
      </w:r>
    </w:p>
    <w:p w14:paraId="06C8A462" w14:textId="7C88DEAA" w:rsidR="004E22C1" w:rsidRPr="001455DC" w:rsidRDefault="004E22C1" w:rsidP="00F72049">
      <w:pPr>
        <w:pStyle w:val="Note"/>
      </w:pPr>
      <w:r w:rsidRPr="001455DC">
        <w:t>NOTE</w:t>
      </w:r>
      <w:r w:rsidR="00AD033B">
        <w:t xml:space="preserve"> </w:t>
      </w:r>
      <w:r w:rsidRPr="001455DC">
        <w:tab/>
        <w:t xml:space="preserve">Assuming that there are no additional external actions, the most unfavourable moment in time for early-age cracking is </w:t>
      </w:r>
      <w:r w:rsidRPr="001455DC">
        <w:rPr>
          <w:rStyle w:val="CCMCvariableitalic"/>
        </w:rPr>
        <w:t>t</w:t>
      </w:r>
      <w:r w:rsidRPr="001455DC">
        <w:rPr>
          <w:rStyle w:val="CCMCvariablesubscript"/>
        </w:rPr>
        <w:t>crit</w:t>
      </w:r>
      <w:r w:rsidRPr="001455DC">
        <w:t>, corresponding to the moment when thermal equilibrium with the restraining structure is achieved (within 2 ºC) and the greater part of basic shrinkage has already developed.</w:t>
      </w:r>
    </w:p>
    <w:p w14:paraId="5A56FE45" w14:textId="238AEAAB" w:rsidR="004E22C1" w:rsidRPr="001455DC" w:rsidRDefault="004E22C1" w:rsidP="00F72049">
      <w:pPr>
        <w:pStyle w:val="a7"/>
      </w:pPr>
      <w:r w:rsidRPr="001455DC">
        <w:rPr>
          <w:szCs w:val="22"/>
        </w:rPr>
        <w:t>(5)</w:t>
      </w:r>
      <w:r w:rsidRPr="001455DC">
        <w:rPr>
          <w:szCs w:val="22"/>
        </w:rPr>
        <w:tab/>
      </w:r>
      <w:r w:rsidRPr="001455DC">
        <w:t>For long-term cracking, the effects of temperature variation (Δ</w:t>
      </w:r>
      <w:r w:rsidRPr="001455DC">
        <w:rPr>
          <w:rStyle w:val="CCMCvariableitalic"/>
        </w:rPr>
        <w:t>T</w:t>
      </w:r>
      <w:r w:rsidRPr="001455DC">
        <w:rPr>
          <w:rStyle w:val="CCMCvariablesubscript"/>
        </w:rPr>
        <w:t>min</w:t>
      </w:r>
      <w:r w:rsidRPr="001455DC">
        <w:t xml:space="preserve">) and drying shrinkage should be considered. In Figure D.2, </w:t>
      </w:r>
      <w:r w:rsidRPr="001455DC">
        <w:rPr>
          <w:rStyle w:val="CCMCvariableitalic"/>
        </w:rPr>
        <w:t>t</w:t>
      </w:r>
      <w:r w:rsidRPr="001455DC">
        <w:rPr>
          <w:rStyle w:val="CCMCvariablesubscript"/>
        </w:rPr>
        <w:t>2</w:t>
      </w:r>
      <w:r w:rsidRPr="001455DC">
        <w:t xml:space="preserve"> is the time when </w:t>
      </w:r>
      <w:r w:rsidR="002F59E0" w:rsidRPr="001455DC">
        <w:t xml:space="preserve">the stresses in the critical position change from compression to tension (determined from the temperature history). Alternatively </w:t>
      </w:r>
      <w:r w:rsidR="002F59E0" w:rsidRPr="009D3012">
        <w:rPr>
          <w:i/>
        </w:rPr>
        <w:t>t</w:t>
      </w:r>
      <w:r w:rsidR="002F59E0" w:rsidRPr="009D3012">
        <w:rPr>
          <w:rStyle w:val="CCMCvariablesubscript"/>
        </w:rPr>
        <w:t>2</w:t>
      </w:r>
      <w:r w:rsidR="002F59E0" w:rsidRPr="001455DC">
        <w:t xml:space="preserve"> may be assumed with 1 day</w:t>
      </w:r>
      <w:r w:rsidR="002F59E0" w:rsidRPr="001455DC" w:rsidDel="002F59E0">
        <w:t xml:space="preserve"> </w:t>
      </w:r>
      <w:r w:rsidRPr="001455DC">
        <w:t>.</w:t>
      </w:r>
    </w:p>
    <w:p w14:paraId="158C967C" w14:textId="228874D4" w:rsidR="002F59E0" w:rsidRPr="001455DC" w:rsidRDefault="00723CF7" w:rsidP="00F72049">
      <w:pPr>
        <w:pStyle w:val="FigureImage"/>
      </w:pPr>
      <w:r>
        <w:rPr>
          <w:noProof/>
          <w:lang w:eastAsia="en-GB"/>
        </w:rPr>
        <w:fldChar w:fldCharType="begin"/>
      </w:r>
      <w:r>
        <w:rPr>
          <w:noProof/>
          <w:lang w:eastAsia="en-GB"/>
        </w:rPr>
        <w:instrText xml:space="preserve"> INCLUDEPICTURE  "Y:\\STD_MGT\\STDDEL\\PRODUCTION\\etrans\\Download\\Z_FIRST_DEL\\SV\\00250\\00250269\\41_e_dr\\d001.tif"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"Y:\\STD_MGT\\STDDEL\\PRODUCTION\\Standards\\00250\\269\\41_e_dr\\d001.tif"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"Y:\\STD_MGT\\STDDEL\\PRODUCTION\\Standards\\00250\\269\\41_e_dr\\d001.tif"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"Y:\\STD_MGT\\STDDEL\\PRODUCTION\\Standards\\00250\\269\\41_e_dr\\d001.tif"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"Y:\\STD_MGT\\STDDEL\\PRODUCTION\\Standards\\00250\\269\\41_e_dr\\d001.tif"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"Y:\\STD_MGT\\STDDEL\\PRODUCTION\\Standards\\00250\\269\\41_e_dr\\d001.tif"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"C:\\Users\\a.dionysiou\\AppData\\Local\\Temp\\Temp1_00250269_e_20210902.zip.zip\\41_e_dr\\d001.tif"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420D0429">
          <v:shape id="_x0000_i1303" type="#_x0000_t75" style="width:174pt;height:130.5pt">
            <v:imagedata r:id="rId576" r:href="rId577"/>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7632EBFD" w14:textId="77777777" w:rsidR="00AD033B" w:rsidRDefault="002F59E0" w:rsidP="009D3012">
      <w:pPr>
        <w:pStyle w:val="a7"/>
        <w:rPr>
          <w:szCs w:val="22"/>
          <w:lang w:val="en-US"/>
        </w:rPr>
      </w:pPr>
      <w:r w:rsidRPr="003F0CF8">
        <w:rPr>
          <w:b/>
          <w:szCs w:val="22"/>
          <w:lang w:val="en-US"/>
        </w:rPr>
        <w:t>Key</w:t>
      </w:r>
    </w:p>
    <w:tbl>
      <w:tblPr>
        <w:tblW w:w="0" w:type="auto"/>
        <w:tblInd w:w="-100" w:type="dxa"/>
        <w:tblCellMar>
          <w:left w:w="100" w:type="dxa"/>
        </w:tblCellMar>
        <w:tblLook w:val="0000" w:firstRow="0" w:lastRow="0" w:firstColumn="0" w:lastColumn="0" w:noHBand="0" w:noVBand="0"/>
      </w:tblPr>
      <w:tblGrid>
        <w:gridCol w:w="323"/>
        <w:gridCol w:w="1288"/>
      </w:tblGrid>
      <w:tr w:rsidR="00AD033B" w:rsidRPr="00AD033B" w14:paraId="5A9620DA" w14:textId="77777777" w:rsidTr="00AD033B">
        <w:tc>
          <w:tcPr>
            <w:tcW w:w="0" w:type="auto"/>
            <w:shd w:val="clear" w:color="auto" w:fill="auto"/>
          </w:tcPr>
          <w:p w14:paraId="522F7E3F" w14:textId="77777777" w:rsidR="00AD033B" w:rsidRPr="00AD033B" w:rsidRDefault="00AD033B" w:rsidP="00AD033B">
            <w:pPr>
              <w:pStyle w:val="KeyText"/>
              <w:tabs>
                <w:tab w:val="clear" w:pos="346"/>
              </w:tabs>
              <w:ind w:left="0" w:firstLine="0"/>
              <w:rPr>
                <w:lang w:val="en-US"/>
              </w:rPr>
            </w:pPr>
            <w:r w:rsidRPr="00AD033B">
              <w:rPr>
                <w:i/>
                <w:lang w:val="en-US"/>
              </w:rPr>
              <w:t>T</w:t>
            </w:r>
          </w:p>
        </w:tc>
        <w:tc>
          <w:tcPr>
            <w:tcW w:w="0" w:type="auto"/>
            <w:shd w:val="clear" w:color="auto" w:fill="auto"/>
          </w:tcPr>
          <w:p w14:paraId="030B10F4" w14:textId="77777777" w:rsidR="00AD033B" w:rsidRPr="00AD033B" w:rsidRDefault="00AD033B" w:rsidP="00AD033B">
            <w:pPr>
              <w:pStyle w:val="KeyText"/>
              <w:tabs>
                <w:tab w:val="clear" w:pos="346"/>
              </w:tabs>
              <w:ind w:left="0" w:firstLine="0"/>
              <w:rPr>
                <w:lang w:val="en-US"/>
              </w:rPr>
            </w:pPr>
            <w:r w:rsidRPr="00AD033B">
              <w:rPr>
                <w:lang w:val="en-US"/>
              </w:rPr>
              <w:t>temperature</w:t>
            </w:r>
          </w:p>
        </w:tc>
      </w:tr>
      <w:tr w:rsidR="00AD033B" w:rsidRPr="00AD033B" w14:paraId="0BACCAF5" w14:textId="77777777" w:rsidTr="00AD033B">
        <w:tc>
          <w:tcPr>
            <w:tcW w:w="0" w:type="auto"/>
            <w:shd w:val="clear" w:color="auto" w:fill="auto"/>
          </w:tcPr>
          <w:p w14:paraId="4C773E96" w14:textId="77777777" w:rsidR="00AD033B" w:rsidRPr="00AD033B" w:rsidRDefault="00AD033B" w:rsidP="00AD033B">
            <w:pPr>
              <w:pStyle w:val="KeyText"/>
              <w:tabs>
                <w:tab w:val="clear" w:pos="346"/>
              </w:tabs>
              <w:ind w:left="0" w:firstLine="0"/>
              <w:rPr>
                <w:lang w:val="en-US"/>
              </w:rPr>
            </w:pPr>
            <w:r w:rsidRPr="00AD033B">
              <w:rPr>
                <w:i/>
                <w:lang w:val="en-US"/>
              </w:rPr>
              <w:t>t</w:t>
            </w:r>
          </w:p>
        </w:tc>
        <w:tc>
          <w:tcPr>
            <w:tcW w:w="0" w:type="auto"/>
            <w:shd w:val="clear" w:color="auto" w:fill="auto"/>
          </w:tcPr>
          <w:p w14:paraId="15A8E6D9" w14:textId="77777777" w:rsidR="00AD033B" w:rsidRPr="00AD033B" w:rsidRDefault="00AD033B" w:rsidP="00AD033B">
            <w:pPr>
              <w:pStyle w:val="KeyText"/>
              <w:tabs>
                <w:tab w:val="clear" w:pos="346"/>
              </w:tabs>
              <w:ind w:left="0" w:firstLine="0"/>
              <w:rPr>
                <w:lang w:val="en-US"/>
              </w:rPr>
            </w:pPr>
            <w:r w:rsidRPr="00AD033B">
              <w:rPr>
                <w:lang w:val="en-US"/>
              </w:rPr>
              <w:t>time</w:t>
            </w:r>
          </w:p>
        </w:tc>
      </w:tr>
    </w:tbl>
    <w:p w14:paraId="5D01C274" w14:textId="77777777" w:rsidR="004E22C1" w:rsidRPr="001455DC" w:rsidRDefault="004E22C1" w:rsidP="00F72049">
      <w:pPr>
        <w:pStyle w:val="Figuretitle"/>
      </w:pPr>
      <w:r w:rsidRPr="001455DC">
        <w:t>Figure D.1 — Assumed temperature history for a structural concrete member</w:t>
      </w:r>
    </w:p>
    <w:p w14:paraId="0742798B" w14:textId="7C7F2CB1" w:rsidR="004E22C1" w:rsidRPr="001455DC" w:rsidRDefault="00723CF7" w:rsidP="00F72049">
      <w:pPr>
        <w:pStyle w:val="FigureImage"/>
      </w:pPr>
      <w:r>
        <w:rPr>
          <w:noProof/>
          <w:lang w:eastAsia="en-GB"/>
        </w:rPr>
        <w:fldChar w:fldCharType="begin"/>
      </w:r>
      <w:r>
        <w:rPr>
          <w:noProof/>
          <w:lang w:eastAsia="en-GB"/>
        </w:rPr>
        <w:instrText xml:space="preserve"> INCLUDEPICTURE  "Y:\\STD_MGT\\STDDEL\\PRODUCTION\\etrans\\Download\\Z_FIRST_DEL\\SV\\00250\\00250269\\41_e_dr\\d002.tif"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"Y:\\STD_MGT\\STDDEL\\PRODUCTION\\Standards\\00250\\269\\41_e_dr\\d002.tif"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"Y:\\STD_MGT\\STDDEL\\PRODUCTION\\Standards\\00250\\269\\41_e_dr\\d002.tif"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"Y:\\STD_MGT\\STDDEL\\PRODUCTION\\Standards\\00250\\269\\41_e_dr\\d002.tif"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"Y:\\STD_MGT\\STDDEL\\PRODUCTION\\Standards\\00250\\269\\41_e_dr\\d002.tif"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"Y:\\STD_MGT\\STDDEL\\PRODUCTION\\Standards\\00250\\269\\41_e_dr\\d002.tif"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w:instrText>
      </w:r>
      <w:r w:rsidR="00231E33">
        <w:rPr>
          <w:noProof/>
          <w:lang w:eastAsia="en-GB"/>
        </w:rPr>
        <w:instrText>Local\\Temp\\Temp1_00250269_e_20210902.zip.zip\\41_e_dr\\d002.tif"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0865628E">
          <v:shape id="_x0000_i1304" type="#_x0000_t75" style="width:168.75pt;height:102.75pt">
            <v:imagedata r:id="rId578" r:href="rId579"/>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700AC583" w14:textId="77777777" w:rsidR="00AD033B" w:rsidRDefault="002F59E0" w:rsidP="00AD033B">
      <w:pPr>
        <w:pStyle w:val="KeyTitle"/>
      </w:pPr>
      <w:r w:rsidRPr="001455DC">
        <w:t>Key</w:t>
      </w:r>
    </w:p>
    <w:tbl>
      <w:tblPr>
        <w:tblW w:w="0" w:type="auto"/>
        <w:tblInd w:w="-100" w:type="dxa"/>
        <w:tblCellMar>
          <w:left w:w="100" w:type="dxa"/>
        </w:tblCellMar>
        <w:tblLook w:val="0000" w:firstRow="0" w:lastRow="0" w:firstColumn="0" w:lastColumn="0" w:noHBand="0" w:noVBand="0"/>
      </w:tblPr>
      <w:tblGrid>
        <w:gridCol w:w="325"/>
        <w:gridCol w:w="845"/>
      </w:tblGrid>
      <w:tr w:rsidR="00AD033B" w:rsidRPr="00AD033B" w14:paraId="15312508" w14:textId="77777777" w:rsidTr="00AD033B">
        <w:tc>
          <w:tcPr>
            <w:tcW w:w="0" w:type="auto"/>
            <w:shd w:val="clear" w:color="auto" w:fill="auto"/>
          </w:tcPr>
          <w:p w14:paraId="788AF4DC" w14:textId="77777777" w:rsidR="00AD033B" w:rsidRPr="00AD033B" w:rsidRDefault="00AD033B" w:rsidP="00AD033B">
            <w:pPr>
              <w:pStyle w:val="KeyText"/>
              <w:tabs>
                <w:tab w:val="clear" w:pos="346"/>
              </w:tabs>
              <w:ind w:left="0" w:firstLine="0"/>
            </w:pPr>
            <w:r w:rsidRPr="00AD033B">
              <w:rPr>
                <w:rFonts w:ascii="Cambria Math" w:hAnsi="Cambria Math"/>
                <w:i/>
              </w:rPr>
              <w:t>𝜎</w:t>
            </w:r>
          </w:p>
        </w:tc>
        <w:tc>
          <w:tcPr>
            <w:tcW w:w="0" w:type="auto"/>
            <w:shd w:val="clear" w:color="auto" w:fill="auto"/>
          </w:tcPr>
          <w:p w14:paraId="05E09E9A" w14:textId="77777777" w:rsidR="00AD033B" w:rsidRPr="00AD033B" w:rsidRDefault="00AD033B" w:rsidP="00AD033B">
            <w:pPr>
              <w:pStyle w:val="KeyText"/>
              <w:tabs>
                <w:tab w:val="clear" w:pos="346"/>
              </w:tabs>
              <w:ind w:left="0" w:firstLine="0"/>
            </w:pPr>
            <w:r w:rsidRPr="00AD033B">
              <w:t>stress</w:t>
            </w:r>
          </w:p>
        </w:tc>
      </w:tr>
      <w:tr w:rsidR="00AD033B" w:rsidRPr="00AD033B" w14:paraId="3A406800" w14:textId="77777777" w:rsidTr="00AD033B">
        <w:tc>
          <w:tcPr>
            <w:tcW w:w="0" w:type="auto"/>
            <w:shd w:val="clear" w:color="auto" w:fill="auto"/>
          </w:tcPr>
          <w:p w14:paraId="19666865" w14:textId="77777777" w:rsidR="00AD033B" w:rsidRPr="00AD033B" w:rsidRDefault="00AD033B" w:rsidP="00AD033B">
            <w:pPr>
              <w:pStyle w:val="KeyText"/>
              <w:tabs>
                <w:tab w:val="clear" w:pos="346"/>
              </w:tabs>
              <w:ind w:left="0" w:firstLine="0"/>
            </w:pPr>
            <w:r w:rsidRPr="00AD033B">
              <w:rPr>
                <w:i/>
              </w:rPr>
              <w:t>t</w:t>
            </w:r>
          </w:p>
        </w:tc>
        <w:tc>
          <w:tcPr>
            <w:tcW w:w="0" w:type="auto"/>
            <w:shd w:val="clear" w:color="auto" w:fill="auto"/>
          </w:tcPr>
          <w:p w14:paraId="08BF9EEC" w14:textId="77777777" w:rsidR="00AD033B" w:rsidRPr="00AD033B" w:rsidRDefault="00AD033B" w:rsidP="00AD033B">
            <w:pPr>
              <w:pStyle w:val="KeyText"/>
              <w:tabs>
                <w:tab w:val="clear" w:pos="346"/>
              </w:tabs>
              <w:ind w:left="0" w:firstLine="0"/>
            </w:pPr>
            <w:r w:rsidRPr="00AD033B">
              <w:t>time</w:t>
            </w:r>
          </w:p>
        </w:tc>
      </w:tr>
      <w:tr w:rsidR="00AD033B" w:rsidRPr="00AD033B" w14:paraId="0290267F" w14:textId="77777777" w:rsidTr="00AD033B">
        <w:tc>
          <w:tcPr>
            <w:tcW w:w="0" w:type="auto"/>
            <w:shd w:val="clear" w:color="auto" w:fill="auto"/>
          </w:tcPr>
          <w:p w14:paraId="53E29E8B" w14:textId="77777777" w:rsidR="00AD033B" w:rsidRPr="00AD033B" w:rsidRDefault="00AD033B" w:rsidP="00AD033B">
            <w:pPr>
              <w:pStyle w:val="KeyText"/>
              <w:tabs>
                <w:tab w:val="clear" w:pos="346"/>
              </w:tabs>
              <w:ind w:left="0" w:firstLine="0"/>
            </w:pPr>
            <w:r w:rsidRPr="00AD033B">
              <w:rPr>
                <w:i/>
              </w:rPr>
              <w:t>y</w:t>
            </w:r>
          </w:p>
        </w:tc>
        <w:tc>
          <w:tcPr>
            <w:tcW w:w="0" w:type="auto"/>
            <w:shd w:val="clear" w:color="auto" w:fill="auto"/>
          </w:tcPr>
          <w:p w14:paraId="37E90C78" w14:textId="77777777" w:rsidR="00AD033B" w:rsidRPr="00AD033B" w:rsidRDefault="00AD033B" w:rsidP="00AD033B">
            <w:pPr>
              <w:pStyle w:val="KeyText"/>
              <w:tabs>
                <w:tab w:val="clear" w:pos="346"/>
              </w:tabs>
              <w:ind w:left="0" w:firstLine="0"/>
            </w:pPr>
            <w:r w:rsidRPr="00AD033B">
              <w:t>tension</w:t>
            </w:r>
          </w:p>
        </w:tc>
      </w:tr>
    </w:tbl>
    <w:p w14:paraId="1C3D7807" w14:textId="77777777" w:rsidR="004E22C1" w:rsidRPr="001455DC" w:rsidRDefault="004E22C1" w:rsidP="00F72049">
      <w:pPr>
        <w:pStyle w:val="Figuretitle"/>
      </w:pPr>
      <w:r w:rsidRPr="001455DC">
        <w:t>Figure D.2 — Corresponding stress diagram due to hydration heat and shrinkage of concrete</w:t>
      </w:r>
    </w:p>
    <w:p w14:paraId="7D3276A9" w14:textId="1EFA1C6A" w:rsidR="004E22C1" w:rsidRPr="001455DC" w:rsidRDefault="004E22C1" w:rsidP="00082680">
      <w:pPr>
        <w:pStyle w:val="a2"/>
      </w:pPr>
      <w:bookmarkStart w:id="1436" w:name="_Toc52820151"/>
      <w:bookmarkStart w:id="1437" w:name="_Toc54337151"/>
      <w:bookmarkStart w:id="1438" w:name="_Toc54337565"/>
      <w:bookmarkStart w:id="1439" w:name="_Toc54338206"/>
      <w:bookmarkStart w:id="1440" w:name="_Toc67565542"/>
      <w:r w:rsidRPr="001455DC">
        <w:t>Assessment of temperature history</w:t>
      </w:r>
      <w:bookmarkEnd w:id="1436"/>
      <w:bookmarkEnd w:id="1437"/>
      <w:bookmarkEnd w:id="1438"/>
      <w:bookmarkEnd w:id="1439"/>
      <w:bookmarkEnd w:id="1440"/>
    </w:p>
    <w:p w14:paraId="13FF3499" w14:textId="32B9DA57" w:rsidR="004E22C1" w:rsidRPr="001455DC" w:rsidRDefault="004E22C1" w:rsidP="00243590">
      <w:pPr>
        <w:pStyle w:val="a3"/>
      </w:pPr>
      <w:bookmarkStart w:id="1441" w:name="_Toc52820152"/>
      <w:bookmarkStart w:id="1442" w:name="_Toc54337566"/>
      <w:bookmarkStart w:id="1443" w:name="_Toc54338207"/>
      <w:r w:rsidRPr="001455DC">
        <w:t>General</w:t>
      </w:r>
      <w:bookmarkEnd w:id="1441"/>
      <w:bookmarkEnd w:id="1442"/>
      <w:bookmarkEnd w:id="1443"/>
    </w:p>
    <w:p w14:paraId="40918728" w14:textId="77777777" w:rsidR="004E22C1" w:rsidRPr="001455DC" w:rsidRDefault="004E22C1" w:rsidP="00F72049">
      <w:pPr>
        <w:pStyle w:val="a7"/>
      </w:pPr>
      <w:r w:rsidRPr="001455DC">
        <w:t>(1)</w:t>
      </w:r>
      <w:r w:rsidRPr="001455DC">
        <w:tab/>
        <w:t>A reliable temperature calculation or estimate should be made to achieve accurate stress/strain or crack width calculation. For this purpose, computer programs, hand calculations and diagrams from handbooks and guidelines may be used.</w:t>
      </w:r>
    </w:p>
    <w:p w14:paraId="29FADE80" w14:textId="77777777" w:rsidR="004E22C1" w:rsidRPr="001455DC" w:rsidRDefault="004E22C1" w:rsidP="00BA3C8A">
      <w:pPr>
        <w:pStyle w:val="Note"/>
        <w:keepNext/>
        <w:spacing w:after="120"/>
      </w:pPr>
      <w:r w:rsidRPr="001455DC">
        <w:t>NOTE</w:t>
      </w:r>
      <w:r w:rsidRPr="001455DC">
        <w:tab/>
        <w:t>The most decisive parameters, referred to Figure D.1 are:</w:t>
      </w:r>
    </w:p>
    <w:p w14:paraId="1836AD98" w14:textId="2C53F434" w:rsidR="004E22C1" w:rsidRPr="001455DC" w:rsidRDefault="004E22C1" w:rsidP="00BA3C8A">
      <w:pPr>
        <w:pStyle w:val="a0"/>
        <w:rPr>
          <w:sz w:val="20"/>
        </w:rPr>
      </w:pPr>
      <w:r w:rsidRPr="001455DC">
        <w:rPr>
          <w:sz w:val="20"/>
        </w:rPr>
        <w:t>the fresh concrete temperature (</w:t>
      </w:r>
      <w:r w:rsidRPr="001455DC">
        <w:rPr>
          <w:rStyle w:val="CCMCvariableitalic"/>
          <w:sz w:val="20"/>
        </w:rPr>
        <w:t>T</w:t>
      </w:r>
      <w:r w:rsidRPr="001455DC">
        <w:rPr>
          <w:rStyle w:val="CCMCvariablesubscript"/>
          <w:sz w:val="20"/>
        </w:rPr>
        <w:t>ci</w:t>
      </w:r>
      <w:r w:rsidRPr="001455DC">
        <w:rPr>
          <w:sz w:val="20"/>
        </w:rPr>
        <w:t>),</w:t>
      </w:r>
    </w:p>
    <w:p w14:paraId="04AE5293" w14:textId="565FA77E" w:rsidR="004E22C1" w:rsidRPr="001455DC" w:rsidRDefault="004E22C1" w:rsidP="00BA3C8A">
      <w:pPr>
        <w:pStyle w:val="a0"/>
        <w:rPr>
          <w:sz w:val="20"/>
        </w:rPr>
      </w:pPr>
      <w:r w:rsidRPr="001455DC">
        <w:rPr>
          <w:sz w:val="20"/>
        </w:rPr>
        <w:t>the start time for stress development (</w:t>
      </w:r>
      <w:r w:rsidRPr="001455DC">
        <w:rPr>
          <w:rStyle w:val="CCMCvariableitalic"/>
          <w:sz w:val="20"/>
        </w:rPr>
        <w:t>t</w:t>
      </w:r>
      <w:r w:rsidRPr="001455DC">
        <w:rPr>
          <w:rStyle w:val="CCMCvariablesubscript"/>
          <w:sz w:val="20"/>
        </w:rPr>
        <w:t>dor</w:t>
      </w:r>
      <w:r w:rsidRPr="001455DC">
        <w:rPr>
          <w:sz w:val="20"/>
        </w:rPr>
        <w:t>),</w:t>
      </w:r>
    </w:p>
    <w:p w14:paraId="2EA28747" w14:textId="36EEA2E2" w:rsidR="004E22C1" w:rsidRPr="001455DC" w:rsidRDefault="004E22C1" w:rsidP="00BA3C8A">
      <w:pPr>
        <w:pStyle w:val="a0"/>
        <w:rPr>
          <w:sz w:val="20"/>
        </w:rPr>
      </w:pPr>
      <w:r w:rsidRPr="001455DC">
        <w:rPr>
          <w:sz w:val="20"/>
        </w:rPr>
        <w:t>ambient temperature history,</w:t>
      </w:r>
    </w:p>
    <w:p w14:paraId="2C2C7946" w14:textId="18A0ACD6" w:rsidR="004E22C1" w:rsidRPr="001455DC" w:rsidRDefault="004E22C1" w:rsidP="00BA3C8A">
      <w:pPr>
        <w:pStyle w:val="a0"/>
        <w:rPr>
          <w:sz w:val="20"/>
        </w:rPr>
      </w:pPr>
      <w:r w:rsidRPr="001455DC">
        <w:rPr>
          <w:sz w:val="20"/>
        </w:rPr>
        <w:t>insulation conditions,</w:t>
      </w:r>
    </w:p>
    <w:p w14:paraId="41353B09" w14:textId="69EA854E" w:rsidR="004E22C1" w:rsidRPr="001455DC" w:rsidRDefault="004E22C1" w:rsidP="00BA3C8A">
      <w:pPr>
        <w:pStyle w:val="a0"/>
        <w:rPr>
          <w:sz w:val="20"/>
        </w:rPr>
      </w:pPr>
      <w:r w:rsidRPr="001455DC">
        <w:rPr>
          <w:sz w:val="20"/>
        </w:rPr>
        <w:t>climatic conditions, such as wind velocity and solar radiation,</w:t>
      </w:r>
    </w:p>
    <w:p w14:paraId="3226A27C" w14:textId="7EF2CE59" w:rsidR="004E22C1" w:rsidRPr="001455DC" w:rsidRDefault="004E22C1" w:rsidP="00BA3C8A">
      <w:pPr>
        <w:pStyle w:val="a0"/>
        <w:rPr>
          <w:sz w:val="20"/>
        </w:rPr>
      </w:pPr>
      <w:r w:rsidRPr="001455DC">
        <w:rPr>
          <w:sz w:val="20"/>
        </w:rPr>
        <w:t>temperature of the restraining structure (</w:t>
      </w:r>
      <w:r w:rsidRPr="001455DC">
        <w:rPr>
          <w:rStyle w:val="CCMCvariableitalic"/>
          <w:sz w:val="20"/>
        </w:rPr>
        <w:t>T</w:t>
      </w:r>
      <w:r w:rsidRPr="001455DC">
        <w:rPr>
          <w:rStyle w:val="CCMCvariablesubscript"/>
          <w:sz w:val="20"/>
        </w:rPr>
        <w:t>0</w:t>
      </w:r>
      <w:r w:rsidRPr="001455DC">
        <w:rPr>
          <w:sz w:val="20"/>
        </w:rPr>
        <w:t>)</w:t>
      </w:r>
      <w:r w:rsidR="00AD033B">
        <w:rPr>
          <w:sz w:val="20"/>
        </w:rPr>
        <w:t>,</w:t>
      </w:r>
      <w:r w:rsidRPr="001455DC">
        <w:rPr>
          <w:sz w:val="20"/>
        </w:rPr>
        <w:t xml:space="preserve"> and</w:t>
      </w:r>
    </w:p>
    <w:p w14:paraId="0F343D33" w14:textId="43E3391F" w:rsidR="004E22C1" w:rsidRPr="001455DC" w:rsidRDefault="004E22C1" w:rsidP="00BA3C8A">
      <w:pPr>
        <w:pStyle w:val="a0"/>
        <w:rPr>
          <w:sz w:val="20"/>
        </w:rPr>
      </w:pPr>
      <w:r w:rsidRPr="001455DC">
        <w:rPr>
          <w:sz w:val="20"/>
        </w:rPr>
        <w:t>the additional, long-term maximum temperature drop (Δ</w:t>
      </w:r>
      <w:r w:rsidRPr="001455DC">
        <w:rPr>
          <w:rStyle w:val="CCMCvariableitalic"/>
          <w:sz w:val="20"/>
        </w:rPr>
        <w:t>T</w:t>
      </w:r>
      <w:r w:rsidRPr="001455DC">
        <w:rPr>
          <w:rStyle w:val="CCMCvariablesubscript"/>
          <w:sz w:val="20"/>
        </w:rPr>
        <w:t>min</w:t>
      </w:r>
      <w:r w:rsidRPr="001455DC">
        <w:rPr>
          <w:sz w:val="20"/>
        </w:rPr>
        <w:t>)</w:t>
      </w:r>
      <w:r w:rsidR="00AD033B">
        <w:rPr>
          <w:sz w:val="20"/>
        </w:rPr>
        <w:t>.</w:t>
      </w:r>
    </w:p>
    <w:p w14:paraId="621C924F" w14:textId="77777777" w:rsidR="004E22C1" w:rsidRPr="001455DC" w:rsidRDefault="004E22C1" w:rsidP="00F72049">
      <w:pPr>
        <w:pStyle w:val="Note"/>
      </w:pPr>
      <w:r w:rsidRPr="001455DC">
        <w:t xml:space="preserve">where </w:t>
      </w:r>
      <w:r w:rsidRPr="001455DC">
        <w:rPr>
          <w:rStyle w:val="CCMCvariableitalic"/>
        </w:rPr>
        <w:t>t</w:t>
      </w:r>
      <w:r w:rsidRPr="001455DC">
        <w:rPr>
          <w:rStyle w:val="CCMCvariablesubscript"/>
        </w:rPr>
        <w:t>dor</w:t>
      </w:r>
      <w:r w:rsidRPr="001455DC">
        <w:t xml:space="preserve"> marks the end of the dormant phase. Typically, it varies between 8 and 13 maturity hours, the default value being 10 hours. This parameter may be strongly influenced by admixtures, and it is important that its value be taken into consideration when evaluating the mechanical properties of concrete (tensile strength and modulus of elasticity) as well as the value of shrinkage and the temperature development curves.</w:t>
      </w:r>
    </w:p>
    <w:p w14:paraId="7D25D728" w14:textId="77777777" w:rsidR="004E22C1" w:rsidRPr="001455DC" w:rsidRDefault="004E22C1" w:rsidP="00F72049">
      <w:pPr>
        <w:pStyle w:val="a7"/>
      </w:pPr>
      <w:r w:rsidRPr="001455DC">
        <w:t>(2)</w:t>
      </w:r>
      <w:r w:rsidRPr="001455DC">
        <w:tab/>
      </w:r>
      <w:r w:rsidRPr="001455DC">
        <w:rPr>
          <w:rStyle w:val="CCMCvariableitalic"/>
        </w:rPr>
        <w:t>t</w:t>
      </w:r>
      <w:r w:rsidRPr="001455DC">
        <w:rPr>
          <w:rStyle w:val="CCMCvariablesubscript"/>
        </w:rPr>
        <w:t>dor</w:t>
      </w:r>
      <w:r w:rsidRPr="001455DC">
        <w:t xml:space="preserve"> may be determined from the compressive strength development, from ultrasonic stiffness or heat release measurements, or from restrained shrinkage-tests. In absence of more accurate values those provided in Table D.1 may be used.</w:t>
      </w:r>
    </w:p>
    <w:p w14:paraId="2FBC2067" w14:textId="77777777" w:rsidR="004E22C1" w:rsidRPr="009D3012" w:rsidRDefault="004E22C1" w:rsidP="00F72049">
      <w:pPr>
        <w:pStyle w:val="Tabletitle"/>
        <w:rPr>
          <w:rStyle w:val="CCMCvariablesubscript"/>
        </w:rPr>
      </w:pPr>
      <w:bookmarkStart w:id="1444" w:name="_Toc54337567"/>
      <w:r w:rsidRPr="009D3012">
        <w:t xml:space="preserve">Table D.1 — Values for the start time of stress development </w:t>
      </w:r>
      <w:r w:rsidRPr="001455DC">
        <w:rPr>
          <w:rStyle w:val="CCMCvariableitalic"/>
        </w:rPr>
        <w:t>t</w:t>
      </w:r>
      <w:r w:rsidRPr="001455DC">
        <w:rPr>
          <w:rStyle w:val="CCMCvariablesubscript"/>
        </w:rPr>
        <w:t>dor</w:t>
      </w:r>
      <w:bookmarkEnd w:id="1444"/>
    </w:p>
    <w:tbl>
      <w:tblPr>
        <w:tblStyle w:val="53"/>
        <w:tblW w:w="9752" w:type="dxa"/>
        <w:tblLook w:val="0660" w:firstRow="1" w:lastRow="1" w:firstColumn="0" w:lastColumn="0" w:noHBand="1" w:noVBand="1"/>
      </w:tblPr>
      <w:tblGrid>
        <w:gridCol w:w="1875"/>
        <w:gridCol w:w="2709"/>
        <w:gridCol w:w="2707"/>
        <w:gridCol w:w="2461"/>
      </w:tblGrid>
      <w:tr w:rsidR="004E22C1" w:rsidRPr="001455DC" w14:paraId="64707E51" w14:textId="77777777" w:rsidTr="00BA3C8A">
        <w:trPr>
          <w:cnfStyle w:val="100000000000" w:firstRow="1" w:lastRow="0" w:firstColumn="0" w:lastColumn="0" w:oddVBand="0" w:evenVBand="0" w:oddHBand="0" w:evenHBand="0" w:firstRowFirstColumn="0" w:firstRowLastColumn="0" w:lastRowFirstColumn="0" w:lastRowLastColumn="0"/>
          <w:cantSplit/>
          <w:tblHeader/>
        </w:trPr>
        <w:tc>
          <w:tcPr>
            <w:tcW w:w="961" w:type="pct"/>
            <w:vMerge w:val="restart"/>
          </w:tcPr>
          <w:p w14:paraId="5F33E775" w14:textId="77777777" w:rsidR="004E22C1" w:rsidRPr="001455DC" w:rsidRDefault="004E22C1" w:rsidP="00BA3C8A">
            <w:pPr>
              <w:pStyle w:val="Tableheader"/>
              <w:keepNext/>
            </w:pPr>
            <w:r w:rsidRPr="001455DC">
              <w:t xml:space="preserve">Concrete strength </w:t>
            </w:r>
            <w:r w:rsidRPr="001455DC">
              <w:rPr>
                <w:rStyle w:val="CCMCvariableitalic"/>
              </w:rPr>
              <w:t>f</w:t>
            </w:r>
            <w:r w:rsidRPr="001455DC">
              <w:rPr>
                <w:rStyle w:val="CCMCvariablesubscript"/>
              </w:rPr>
              <w:t>ck</w:t>
            </w:r>
          </w:p>
        </w:tc>
        <w:tc>
          <w:tcPr>
            <w:tcW w:w="4039" w:type="pct"/>
            <w:gridSpan w:val="3"/>
          </w:tcPr>
          <w:p w14:paraId="65435DC0" w14:textId="77777777" w:rsidR="004E22C1" w:rsidRPr="009D3012" w:rsidRDefault="004E22C1" w:rsidP="00BA3C8A">
            <w:pPr>
              <w:pStyle w:val="Tableheader"/>
              <w:keepNext/>
              <w:rPr>
                <w:lang w:val="en-US"/>
              </w:rPr>
            </w:pPr>
            <w:r w:rsidRPr="009D3012">
              <w:rPr>
                <w:lang w:val="en-US"/>
              </w:rPr>
              <w:t xml:space="preserve">Start time of stress development </w:t>
            </w:r>
            <w:r w:rsidRPr="009D3012">
              <w:rPr>
                <w:rStyle w:val="CCMCvariableitalic"/>
                <w:lang w:val="en-US"/>
              </w:rPr>
              <w:t>t</w:t>
            </w:r>
            <w:r w:rsidRPr="009D3012">
              <w:rPr>
                <w:rStyle w:val="CCMCvariablesubscript"/>
                <w:lang w:val="en-US"/>
              </w:rPr>
              <w:t>dor</w:t>
            </w:r>
            <w:r w:rsidRPr="009D3012">
              <w:rPr>
                <w:lang w:val="en-US"/>
              </w:rPr>
              <w:t xml:space="preserve"> [days]</w:t>
            </w:r>
          </w:p>
        </w:tc>
      </w:tr>
      <w:tr w:rsidR="004E22C1" w:rsidRPr="001455DC" w14:paraId="22FD195B" w14:textId="77777777" w:rsidTr="00BA3C8A">
        <w:trPr>
          <w:cnfStyle w:val="100000000000" w:firstRow="1" w:lastRow="0" w:firstColumn="0" w:lastColumn="0" w:oddVBand="0" w:evenVBand="0" w:oddHBand="0" w:evenHBand="0" w:firstRowFirstColumn="0" w:firstRowLastColumn="0" w:lastRowFirstColumn="0" w:lastRowLastColumn="0"/>
          <w:cantSplit/>
          <w:tblHeader/>
        </w:trPr>
        <w:tc>
          <w:tcPr>
            <w:tcW w:w="961" w:type="pct"/>
            <w:vMerge/>
          </w:tcPr>
          <w:p w14:paraId="4AAAD506" w14:textId="77777777" w:rsidR="004E22C1" w:rsidRPr="009D3012" w:rsidRDefault="004E22C1" w:rsidP="00BA3C8A">
            <w:pPr>
              <w:pStyle w:val="Tableheader"/>
              <w:keepNext/>
              <w:rPr>
                <w:lang w:val="en-US"/>
              </w:rPr>
            </w:pPr>
          </w:p>
        </w:tc>
        <w:tc>
          <w:tcPr>
            <w:tcW w:w="4039" w:type="pct"/>
            <w:gridSpan w:val="3"/>
          </w:tcPr>
          <w:p w14:paraId="16BB1ABA" w14:textId="77777777" w:rsidR="004E22C1" w:rsidRPr="001455DC" w:rsidRDefault="004E22C1" w:rsidP="00BA3C8A">
            <w:pPr>
              <w:pStyle w:val="Tableheader"/>
              <w:keepNext/>
            </w:pPr>
            <w:r w:rsidRPr="001455DC">
              <w:t>Development of concrete strength</w:t>
            </w:r>
          </w:p>
        </w:tc>
      </w:tr>
      <w:tr w:rsidR="004E22C1" w:rsidRPr="001455DC" w14:paraId="2FB744C3" w14:textId="77777777" w:rsidTr="00BA3C8A">
        <w:trPr>
          <w:cnfStyle w:val="100000000000" w:firstRow="1" w:lastRow="0" w:firstColumn="0" w:lastColumn="0" w:oddVBand="0" w:evenVBand="0" w:oddHBand="0" w:evenHBand="0" w:firstRowFirstColumn="0" w:firstRowLastColumn="0" w:lastRowFirstColumn="0" w:lastRowLastColumn="0"/>
          <w:cantSplit/>
          <w:tblHeader/>
        </w:trPr>
        <w:tc>
          <w:tcPr>
            <w:tcW w:w="961" w:type="pct"/>
            <w:vMerge/>
          </w:tcPr>
          <w:p w14:paraId="62C26BFB" w14:textId="77777777" w:rsidR="004E22C1" w:rsidRPr="001455DC" w:rsidRDefault="004E22C1" w:rsidP="00BA3C8A">
            <w:pPr>
              <w:pStyle w:val="Tableheader"/>
              <w:keepNext/>
            </w:pPr>
          </w:p>
        </w:tc>
        <w:tc>
          <w:tcPr>
            <w:tcW w:w="1389" w:type="pct"/>
          </w:tcPr>
          <w:p w14:paraId="57B577AA" w14:textId="4FAE4291" w:rsidR="004E22C1" w:rsidRPr="001455DC" w:rsidRDefault="004E22C1" w:rsidP="00BA3C8A">
            <w:pPr>
              <w:pStyle w:val="Tableheader"/>
              <w:keepNext/>
              <w:rPr>
                <w:szCs w:val="19"/>
              </w:rPr>
            </w:pPr>
            <w:r w:rsidRPr="001455DC">
              <w:rPr>
                <w:szCs w:val="19"/>
              </w:rPr>
              <w:t>Class CR</w:t>
            </w:r>
            <w:r w:rsidRPr="001455DC">
              <w:rPr>
                <w:rStyle w:val="CCMCvariablesuperscript"/>
                <w:b w:val="0"/>
                <w:bCs/>
              </w:rPr>
              <w:t>a</w:t>
            </w:r>
          </w:p>
        </w:tc>
        <w:tc>
          <w:tcPr>
            <w:tcW w:w="1388" w:type="pct"/>
          </w:tcPr>
          <w:p w14:paraId="67BC9BC8" w14:textId="03E051C9" w:rsidR="004E22C1" w:rsidRPr="001455DC" w:rsidRDefault="004E22C1" w:rsidP="00BA3C8A">
            <w:pPr>
              <w:pStyle w:val="Tableheader"/>
              <w:keepNext/>
              <w:rPr>
                <w:szCs w:val="19"/>
              </w:rPr>
            </w:pPr>
            <w:r w:rsidRPr="001455DC">
              <w:rPr>
                <w:szCs w:val="19"/>
              </w:rPr>
              <w:t>Class CN</w:t>
            </w:r>
            <w:r w:rsidRPr="001455DC">
              <w:rPr>
                <w:rStyle w:val="CCMCvariablesuperscript"/>
                <w:b w:val="0"/>
                <w:bCs/>
              </w:rPr>
              <w:t>a</w:t>
            </w:r>
          </w:p>
        </w:tc>
        <w:tc>
          <w:tcPr>
            <w:tcW w:w="1262" w:type="pct"/>
          </w:tcPr>
          <w:p w14:paraId="49B13E7E" w14:textId="095102AD" w:rsidR="004E22C1" w:rsidRPr="001455DC" w:rsidRDefault="004E22C1" w:rsidP="00BA3C8A">
            <w:pPr>
              <w:pStyle w:val="Tableheader"/>
              <w:keepNext/>
              <w:rPr>
                <w:szCs w:val="19"/>
              </w:rPr>
            </w:pPr>
            <w:r w:rsidRPr="001455DC">
              <w:rPr>
                <w:szCs w:val="19"/>
              </w:rPr>
              <w:t>Class CS</w:t>
            </w:r>
            <w:r w:rsidRPr="001455DC">
              <w:rPr>
                <w:rStyle w:val="CCMCvariablesuperscript"/>
                <w:b w:val="0"/>
                <w:bCs/>
              </w:rPr>
              <w:t>a</w:t>
            </w:r>
          </w:p>
        </w:tc>
      </w:tr>
      <w:tr w:rsidR="004E22C1" w:rsidRPr="001455DC" w14:paraId="74AFF97F" w14:textId="77777777" w:rsidTr="00BA3C8A">
        <w:trPr>
          <w:cantSplit/>
        </w:trPr>
        <w:tc>
          <w:tcPr>
            <w:tcW w:w="961" w:type="pct"/>
            <w:vAlign w:val="center"/>
          </w:tcPr>
          <w:p w14:paraId="24D5B047" w14:textId="7565D0B9" w:rsidR="004E22C1" w:rsidRPr="001455DC" w:rsidRDefault="00650035" w:rsidP="00BA3C8A">
            <w:pPr>
              <w:pStyle w:val="Tablebody"/>
              <w:keepNext/>
              <w:jc w:val="center"/>
            </w:pPr>
            <w:r w:rsidRPr="001455DC">
              <w:rPr>
                <w:rFonts w:ascii="Cambria Math" w:hAnsi="Cambria Math"/>
              </w:rPr>
              <w:t>≤</w:t>
            </w:r>
            <w:r w:rsidR="004E22C1" w:rsidRPr="001455DC">
              <w:t> 35 MPa</w:t>
            </w:r>
          </w:p>
        </w:tc>
        <w:tc>
          <w:tcPr>
            <w:tcW w:w="1389" w:type="pct"/>
            <w:vAlign w:val="center"/>
          </w:tcPr>
          <w:p w14:paraId="34D8598D" w14:textId="6A405DA8" w:rsidR="004E22C1" w:rsidRPr="001455DC" w:rsidRDefault="004E22C1" w:rsidP="00BA3C8A">
            <w:pPr>
              <w:pStyle w:val="Tablebody"/>
              <w:keepNext/>
              <w:jc w:val="center"/>
            </w:pPr>
            <w:r w:rsidRPr="001455DC">
              <w:t>0,35</w:t>
            </w:r>
          </w:p>
        </w:tc>
        <w:tc>
          <w:tcPr>
            <w:tcW w:w="1388" w:type="pct"/>
            <w:vAlign w:val="center"/>
          </w:tcPr>
          <w:p w14:paraId="6AF0542E" w14:textId="4255EB72" w:rsidR="004E22C1" w:rsidRPr="001455DC" w:rsidRDefault="004E22C1" w:rsidP="00BA3C8A">
            <w:pPr>
              <w:pStyle w:val="Tablebody"/>
              <w:keepNext/>
              <w:jc w:val="center"/>
            </w:pPr>
            <w:r w:rsidRPr="001455DC">
              <w:t>0,45</w:t>
            </w:r>
          </w:p>
        </w:tc>
        <w:tc>
          <w:tcPr>
            <w:tcW w:w="1262" w:type="pct"/>
            <w:vAlign w:val="center"/>
          </w:tcPr>
          <w:p w14:paraId="20DA6060" w14:textId="75364017" w:rsidR="004E22C1" w:rsidRPr="001455DC" w:rsidRDefault="004E22C1" w:rsidP="00BA3C8A">
            <w:pPr>
              <w:pStyle w:val="Tablebody"/>
              <w:keepNext/>
              <w:jc w:val="center"/>
            </w:pPr>
            <w:r w:rsidRPr="001455DC">
              <w:t>0,50</w:t>
            </w:r>
          </w:p>
        </w:tc>
      </w:tr>
      <w:tr w:rsidR="004E22C1" w:rsidRPr="001455DC" w14:paraId="6F54BD85" w14:textId="77777777" w:rsidTr="00BA3C8A">
        <w:trPr>
          <w:cantSplit/>
        </w:trPr>
        <w:tc>
          <w:tcPr>
            <w:tcW w:w="961" w:type="pct"/>
            <w:vAlign w:val="center"/>
          </w:tcPr>
          <w:p w14:paraId="1E0366F0" w14:textId="099DCD8E" w:rsidR="004E22C1" w:rsidRPr="001455DC" w:rsidRDefault="00650035" w:rsidP="00BA3C8A">
            <w:pPr>
              <w:pStyle w:val="Tablebody"/>
              <w:keepNext/>
              <w:jc w:val="center"/>
            </w:pPr>
            <w:r w:rsidRPr="001455DC">
              <w:rPr>
                <w:rFonts w:ascii="Cambria Math" w:hAnsi="Cambria Math"/>
              </w:rPr>
              <w:t>&gt;</w:t>
            </w:r>
            <w:r w:rsidR="00073FC6" w:rsidRPr="001455DC">
              <w:t> </w:t>
            </w:r>
            <w:r w:rsidR="004E22C1" w:rsidRPr="001455DC">
              <w:t>35 MPa</w:t>
            </w:r>
          </w:p>
          <w:p w14:paraId="0390CAF3" w14:textId="0D447D87" w:rsidR="004E22C1" w:rsidRPr="001455DC" w:rsidRDefault="00650035" w:rsidP="00BA3C8A">
            <w:pPr>
              <w:pStyle w:val="Tablebody"/>
              <w:keepNext/>
              <w:jc w:val="center"/>
            </w:pPr>
            <w:r w:rsidRPr="001455DC">
              <w:rPr>
                <w:rFonts w:ascii="Cambria Math" w:hAnsi="Cambria Math"/>
              </w:rPr>
              <w:t>&lt;</w:t>
            </w:r>
            <w:r w:rsidR="004E22C1" w:rsidRPr="001455DC">
              <w:t xml:space="preserve"> 60 MPa</w:t>
            </w:r>
          </w:p>
        </w:tc>
        <w:tc>
          <w:tcPr>
            <w:tcW w:w="1389" w:type="pct"/>
            <w:vAlign w:val="center"/>
          </w:tcPr>
          <w:p w14:paraId="64C683DF" w14:textId="3D459DBA" w:rsidR="004E22C1" w:rsidRPr="001455DC" w:rsidRDefault="004E22C1" w:rsidP="00BA3C8A">
            <w:pPr>
              <w:pStyle w:val="Tablebody"/>
              <w:keepNext/>
              <w:jc w:val="center"/>
            </w:pPr>
            <w:r w:rsidRPr="001455DC">
              <w:t>0,30</w:t>
            </w:r>
          </w:p>
        </w:tc>
        <w:tc>
          <w:tcPr>
            <w:tcW w:w="1388" w:type="pct"/>
            <w:vAlign w:val="center"/>
          </w:tcPr>
          <w:p w14:paraId="2EBDF9AC" w14:textId="77777777" w:rsidR="004E22C1" w:rsidRPr="001455DC" w:rsidRDefault="004E22C1" w:rsidP="00BA3C8A">
            <w:pPr>
              <w:pStyle w:val="Tablebody"/>
              <w:keepNext/>
              <w:jc w:val="center"/>
            </w:pPr>
            <w:r w:rsidRPr="001455DC">
              <w:t>0,40</w:t>
            </w:r>
          </w:p>
        </w:tc>
        <w:tc>
          <w:tcPr>
            <w:tcW w:w="1262" w:type="pct"/>
            <w:vAlign w:val="center"/>
          </w:tcPr>
          <w:p w14:paraId="49201865" w14:textId="32C0CDA6" w:rsidR="004E22C1" w:rsidRPr="001455DC" w:rsidRDefault="004E22C1" w:rsidP="00BA3C8A">
            <w:pPr>
              <w:pStyle w:val="Tablebody"/>
              <w:keepNext/>
              <w:jc w:val="center"/>
            </w:pPr>
            <w:r w:rsidRPr="001455DC">
              <w:t>0,45</w:t>
            </w:r>
          </w:p>
        </w:tc>
      </w:tr>
      <w:tr w:rsidR="004E22C1" w:rsidRPr="001455DC" w14:paraId="5652F417" w14:textId="77777777" w:rsidTr="00AD033B">
        <w:trPr>
          <w:cantSplit/>
        </w:trPr>
        <w:tc>
          <w:tcPr>
            <w:tcW w:w="961" w:type="pct"/>
            <w:tcBorders>
              <w:bottom w:val="single" w:sz="12" w:space="0" w:color="auto"/>
            </w:tcBorders>
            <w:vAlign w:val="center"/>
          </w:tcPr>
          <w:p w14:paraId="20F78790" w14:textId="0DB0CB45" w:rsidR="004E22C1" w:rsidRPr="001455DC" w:rsidRDefault="00650035" w:rsidP="00BA3C8A">
            <w:pPr>
              <w:pStyle w:val="Tablebody"/>
              <w:keepNext/>
              <w:jc w:val="center"/>
            </w:pPr>
            <w:r w:rsidRPr="001455DC">
              <w:rPr>
                <w:rFonts w:ascii="Cambria Math" w:hAnsi="Cambria Math"/>
              </w:rPr>
              <w:t>≥</w:t>
            </w:r>
            <w:r w:rsidR="00073FC6" w:rsidRPr="001455DC">
              <w:t> </w:t>
            </w:r>
            <w:r w:rsidR="004E22C1" w:rsidRPr="001455DC">
              <w:t>60 MPa</w:t>
            </w:r>
          </w:p>
        </w:tc>
        <w:tc>
          <w:tcPr>
            <w:tcW w:w="1389" w:type="pct"/>
            <w:tcBorders>
              <w:bottom w:val="single" w:sz="12" w:space="0" w:color="auto"/>
            </w:tcBorders>
            <w:vAlign w:val="center"/>
          </w:tcPr>
          <w:p w14:paraId="531856AF" w14:textId="299E346B" w:rsidR="004E22C1" w:rsidRPr="001455DC" w:rsidRDefault="004E22C1" w:rsidP="00BA3C8A">
            <w:pPr>
              <w:pStyle w:val="Tablebody"/>
              <w:keepNext/>
              <w:jc w:val="center"/>
            </w:pPr>
            <w:r w:rsidRPr="001455DC">
              <w:t>0,30</w:t>
            </w:r>
          </w:p>
        </w:tc>
        <w:tc>
          <w:tcPr>
            <w:tcW w:w="1388" w:type="pct"/>
            <w:tcBorders>
              <w:bottom w:val="single" w:sz="12" w:space="0" w:color="auto"/>
            </w:tcBorders>
            <w:vAlign w:val="center"/>
          </w:tcPr>
          <w:p w14:paraId="67C25A54" w14:textId="354DC1EA" w:rsidR="004E22C1" w:rsidRPr="001455DC" w:rsidRDefault="004E22C1" w:rsidP="00BA3C8A">
            <w:pPr>
              <w:pStyle w:val="Tablebody"/>
              <w:keepNext/>
              <w:jc w:val="center"/>
            </w:pPr>
            <w:r w:rsidRPr="001455DC">
              <w:t>0,35</w:t>
            </w:r>
          </w:p>
        </w:tc>
        <w:tc>
          <w:tcPr>
            <w:tcW w:w="1262" w:type="pct"/>
            <w:tcBorders>
              <w:bottom w:val="single" w:sz="12" w:space="0" w:color="auto"/>
            </w:tcBorders>
            <w:vAlign w:val="center"/>
          </w:tcPr>
          <w:p w14:paraId="261031CB" w14:textId="77777777" w:rsidR="004E22C1" w:rsidRPr="001455DC" w:rsidRDefault="004E22C1" w:rsidP="00BA3C8A">
            <w:pPr>
              <w:pStyle w:val="Tablebody"/>
              <w:keepNext/>
              <w:jc w:val="center"/>
            </w:pPr>
            <w:r w:rsidRPr="001455DC">
              <w:t>0,40</w:t>
            </w:r>
          </w:p>
        </w:tc>
      </w:tr>
      <w:tr w:rsidR="004E22C1" w:rsidRPr="001455DC" w14:paraId="6BBE8925" w14:textId="77777777" w:rsidTr="00AD033B">
        <w:trPr>
          <w:cnfStyle w:val="010000000000" w:firstRow="0" w:lastRow="1" w:firstColumn="0" w:lastColumn="0" w:oddVBand="0" w:evenVBand="0" w:oddHBand="0" w:evenHBand="0" w:firstRowFirstColumn="0" w:firstRowLastColumn="0" w:lastRowFirstColumn="0" w:lastRowLastColumn="0"/>
          <w:cantSplit/>
        </w:trPr>
        <w:tc>
          <w:tcPr>
            <w:tcW w:w="5000" w:type="pct"/>
            <w:gridSpan w:val="4"/>
            <w:tcBorders>
              <w:bottom w:val="single" w:sz="18" w:space="0" w:color="auto"/>
            </w:tcBorders>
          </w:tcPr>
          <w:p w14:paraId="476AEACD" w14:textId="23597273" w:rsidR="004E22C1" w:rsidRPr="009D3012" w:rsidRDefault="004E22C1">
            <w:pPr>
              <w:pStyle w:val="Tablefooter"/>
            </w:pPr>
            <w:r w:rsidRPr="001455DC">
              <w:rPr>
                <w:rStyle w:val="CCMCvariablesuperscript"/>
              </w:rPr>
              <w:t>a</w:t>
            </w:r>
            <w:r w:rsidR="00BA3C8A" w:rsidRPr="001455DC">
              <w:tab/>
            </w:r>
            <w:r w:rsidRPr="001455DC">
              <w:t>See B.</w:t>
            </w:r>
            <w:r w:rsidR="005A7F00" w:rsidRPr="001455DC">
              <w:t>3</w:t>
            </w:r>
            <w:r w:rsidRPr="001455DC">
              <w:t>(1).</w:t>
            </w:r>
          </w:p>
        </w:tc>
      </w:tr>
    </w:tbl>
    <w:p w14:paraId="07A04602" w14:textId="77777777" w:rsidR="004E22C1" w:rsidRPr="001455DC" w:rsidRDefault="004E22C1" w:rsidP="00F72049">
      <w:pPr>
        <w:pStyle w:val="a7"/>
      </w:pPr>
    </w:p>
    <w:p w14:paraId="2AAA6E0E" w14:textId="77777777" w:rsidR="004E22C1" w:rsidRPr="001455DC" w:rsidRDefault="004E22C1" w:rsidP="00F72049">
      <w:pPr>
        <w:pStyle w:val="a7"/>
      </w:pPr>
      <w:r w:rsidRPr="001455DC">
        <w:t>(3)</w:t>
      </w:r>
      <w:r w:rsidRPr="001455DC">
        <w:tab/>
        <w:t xml:space="preserve">In absence of better data, </w:t>
      </w:r>
      <w:r w:rsidRPr="001455DC">
        <w:rPr>
          <w:rStyle w:val="CCMCvariableitalic"/>
        </w:rPr>
        <w:t>T</w:t>
      </w:r>
      <w:r w:rsidRPr="001455DC">
        <w:rPr>
          <w:rStyle w:val="CCMCvariablesubscript"/>
        </w:rPr>
        <w:t>0</w:t>
      </w:r>
      <w:r w:rsidRPr="001455DC">
        <w:t xml:space="preserve"> may generally be taken as the ambient temperature.</w:t>
      </w:r>
    </w:p>
    <w:p w14:paraId="674CD2D2" w14:textId="097FD9D6" w:rsidR="004E22C1" w:rsidRPr="001455DC" w:rsidRDefault="004E22C1" w:rsidP="00243590">
      <w:pPr>
        <w:pStyle w:val="a3"/>
      </w:pPr>
      <w:bookmarkStart w:id="1445" w:name="_Toc52820153"/>
      <w:bookmarkStart w:id="1446" w:name="_Toc54337568"/>
      <w:bookmarkStart w:id="1447" w:name="_Toc54338208"/>
      <w:r w:rsidRPr="001455DC">
        <w:t>Material properties related to temperature development</w:t>
      </w:r>
      <w:bookmarkEnd w:id="1445"/>
      <w:bookmarkEnd w:id="1446"/>
      <w:bookmarkEnd w:id="1447"/>
    </w:p>
    <w:p w14:paraId="0940A3ED" w14:textId="77777777" w:rsidR="004E22C1" w:rsidRPr="001455DC" w:rsidRDefault="004E22C1" w:rsidP="00116AE2">
      <w:pPr>
        <w:pStyle w:val="a7"/>
        <w:keepNext/>
      </w:pPr>
      <w:r w:rsidRPr="001455DC">
        <w:t>(1)</w:t>
      </w:r>
      <w:r w:rsidRPr="001455DC">
        <w:tab/>
        <w:t>In order to determine the temperature history of concrete due to cement hydration, the following material properties should be known:</w:t>
      </w:r>
    </w:p>
    <w:p w14:paraId="0FDD6237" w14:textId="0E8D201C" w:rsidR="004E22C1" w:rsidRPr="001455DC" w:rsidRDefault="004E22C1" w:rsidP="00353CE4">
      <w:pPr>
        <w:pStyle w:val="a0"/>
      </w:pPr>
      <w:r w:rsidRPr="001455DC">
        <w:t>Total amount of hydration heat (</w:t>
      </w:r>
      <w:r w:rsidRPr="001455DC">
        <w:rPr>
          <w:rStyle w:val="CCMCvariableitalic"/>
        </w:rPr>
        <w:t>Q</w:t>
      </w:r>
      <w:r w:rsidRPr="001455DC">
        <w:t>(</w:t>
      </w:r>
      <w:r w:rsidRPr="001455DC">
        <w:rPr>
          <w:rStyle w:val="CCMCvariableitalic"/>
        </w:rPr>
        <w:t>t</w:t>
      </w:r>
      <w:r w:rsidRPr="001455DC">
        <w:t xml:space="preserve">) (kJ/kg binder)) released during hydration and its development with time. </w:t>
      </w:r>
      <w:r w:rsidRPr="001455DC">
        <w:rPr>
          <w:rStyle w:val="CCMCvariableitalic"/>
        </w:rPr>
        <w:t>Q</w:t>
      </w:r>
      <w:r w:rsidRPr="001455DC">
        <w:t>(</w:t>
      </w:r>
      <w:r w:rsidRPr="001455DC">
        <w:rPr>
          <w:rStyle w:val="CCMCvariableitalic"/>
        </w:rPr>
        <w:t>t</w:t>
      </w:r>
      <w:r w:rsidRPr="001455DC">
        <w:t>) may be determined in accordance with EN 12390</w:t>
      </w:r>
      <w:r w:rsidRPr="001455DC">
        <w:noBreakHyphen/>
        <w:t>14 or EN 12390</w:t>
      </w:r>
      <w:r w:rsidRPr="001455DC">
        <w:noBreakHyphen/>
        <w:t>15;</w:t>
      </w:r>
    </w:p>
    <w:p w14:paraId="3B0D846A" w14:textId="674D919E" w:rsidR="004E22C1" w:rsidRPr="001455DC" w:rsidRDefault="004E22C1" w:rsidP="00353CE4">
      <w:pPr>
        <w:pStyle w:val="a0"/>
      </w:pPr>
      <w:r w:rsidRPr="001455DC">
        <w:t>Heat conductivity: The values for the heat conductivity may vary within the range 1,2</w:t>
      </w:r>
      <w:r w:rsidR="00F77658" w:rsidRPr="001455DC">
        <w:t xml:space="preserve"> to </w:t>
      </w:r>
      <w:r w:rsidRPr="001455DC">
        <w:t>3,0 J/(s </w:t>
      </w:r>
      <w:r w:rsidRPr="001455DC">
        <w:rPr>
          <w:rFonts w:ascii="Cambria Math" w:hAnsi="Cambria Math" w:cs="Cambria Math"/>
        </w:rPr>
        <w:t>⋅</w:t>
      </w:r>
      <w:r w:rsidRPr="001455DC">
        <w:t> m </w:t>
      </w:r>
      <w:r w:rsidRPr="001455DC">
        <w:rPr>
          <w:rFonts w:ascii="Cambria Math" w:hAnsi="Cambria Math" w:cs="Cambria Math"/>
        </w:rPr>
        <w:t>⋅</w:t>
      </w:r>
      <w:r w:rsidRPr="001455DC">
        <w:t> K). In absence of better data, a default value of 2,5</w:t>
      </w:r>
      <w:r w:rsidR="00F77658" w:rsidRPr="001455DC">
        <w:t> </w:t>
      </w:r>
      <w:r w:rsidRPr="001455DC">
        <w:t>J/(s </w:t>
      </w:r>
      <w:r w:rsidRPr="001455DC">
        <w:rPr>
          <w:rFonts w:ascii="Cambria Math" w:hAnsi="Cambria Math" w:cs="Cambria Math"/>
        </w:rPr>
        <w:t>⋅</w:t>
      </w:r>
      <w:r w:rsidRPr="001455DC">
        <w:t> m </w:t>
      </w:r>
      <w:r w:rsidRPr="001455DC">
        <w:rPr>
          <w:rFonts w:ascii="Cambria Math" w:hAnsi="Cambria Math" w:cs="Cambria Math"/>
        </w:rPr>
        <w:t>⋅</w:t>
      </w:r>
      <w:r w:rsidRPr="001455DC">
        <w:t> K) may be adopted.</w:t>
      </w:r>
    </w:p>
    <w:p w14:paraId="109DA556" w14:textId="7554D275" w:rsidR="004E22C1" w:rsidRPr="001455DC" w:rsidRDefault="004E22C1" w:rsidP="00353CE4">
      <w:pPr>
        <w:pStyle w:val="a0"/>
      </w:pPr>
      <w:r w:rsidRPr="001455DC">
        <w:t>Surface convectivity: The surface convectivity may vary in the range from about 3,3J/(s </w:t>
      </w:r>
      <w:r w:rsidRPr="001455DC">
        <w:rPr>
          <w:rFonts w:ascii="Cambria Math" w:hAnsi="Cambria Math" w:cs="Cambria Math"/>
        </w:rPr>
        <w:t>⋅</w:t>
      </w:r>
      <w:r w:rsidRPr="001455DC">
        <w:t> m² </w:t>
      </w:r>
      <w:r w:rsidRPr="001455DC">
        <w:rPr>
          <w:rFonts w:ascii="Cambria Math" w:hAnsi="Cambria Math" w:cs="Cambria Math"/>
        </w:rPr>
        <w:t>⋅</w:t>
      </w:r>
      <w:r w:rsidRPr="001455DC">
        <w:t> K) for 18 mm plywood formwork and no wind to 15 J/(s m² </w:t>
      </w:r>
      <w:r w:rsidRPr="001455DC">
        <w:rPr>
          <w:rFonts w:ascii="Cambria Math" w:hAnsi="Cambria Math" w:cs="Cambria Math"/>
        </w:rPr>
        <w:t>⋅</w:t>
      </w:r>
      <w:r w:rsidRPr="001455DC">
        <w:t> K) for a free concrete surface with 5 m/s wind.</w:t>
      </w:r>
    </w:p>
    <w:p w14:paraId="0ADC8B05" w14:textId="342ADABF" w:rsidR="004E22C1" w:rsidRPr="001455DC" w:rsidRDefault="004E22C1" w:rsidP="00353CE4">
      <w:pPr>
        <w:pStyle w:val="a0"/>
      </w:pPr>
      <w:r w:rsidRPr="001455DC">
        <w:t>Heat capacity: The heat capacity corresponds to the specific heat multiplied by the concrete density. The specific heat varies typically in the range 0,85</w:t>
      </w:r>
      <w:r w:rsidR="00F77658" w:rsidRPr="001455DC">
        <w:t xml:space="preserve"> to </w:t>
      </w:r>
      <w:r w:rsidRPr="001455DC">
        <w:t>1,15 kJ/(kg </w:t>
      </w:r>
      <w:r w:rsidRPr="001455DC">
        <w:rPr>
          <w:rFonts w:ascii="Cambria Math" w:hAnsi="Cambria Math" w:cs="Cambria Math"/>
        </w:rPr>
        <w:t>⋅</w:t>
      </w:r>
      <w:r w:rsidRPr="001455DC">
        <w:t> K), and the default value may be assumed as 1,0 kJ/(kg </w:t>
      </w:r>
      <w:r w:rsidRPr="001455DC">
        <w:rPr>
          <w:rFonts w:ascii="Cambria Math" w:hAnsi="Cambria Math" w:cs="Cambria Math"/>
        </w:rPr>
        <w:t>⋅</w:t>
      </w:r>
      <w:r w:rsidRPr="001455DC">
        <w:t> K).</w:t>
      </w:r>
    </w:p>
    <w:p w14:paraId="49CDE9D3" w14:textId="77777777" w:rsidR="004E22C1" w:rsidRPr="001455DC" w:rsidRDefault="004E22C1" w:rsidP="00F72049">
      <w:pPr>
        <w:pStyle w:val="Note"/>
      </w:pPr>
      <w:r w:rsidRPr="001455DC">
        <w:t>NOTE</w:t>
      </w:r>
      <w:r w:rsidRPr="001455DC">
        <w:tab/>
        <w:t>The amount of heat hydration and development with time are strongly dependent on binder fineness and composition and on the water/binder (</w:t>
      </w:r>
      <w:r w:rsidRPr="001455DC">
        <w:rPr>
          <w:rStyle w:val="CCMCvariableitalic"/>
        </w:rPr>
        <w:t>w</w:t>
      </w:r>
      <w:r w:rsidRPr="001455DC">
        <w:t>/</w:t>
      </w:r>
      <w:r w:rsidRPr="001455DC">
        <w:rPr>
          <w:rStyle w:val="CCMCvariableitalic"/>
        </w:rPr>
        <w:t>b</w:t>
      </w:r>
      <w:r w:rsidRPr="001455DC">
        <w:t>)-ratio. Furthermore, the early strength class of cement strongly influences the binder content, and therefore also the amount of hydration heat.</w:t>
      </w:r>
    </w:p>
    <w:p w14:paraId="7B902787" w14:textId="08D4ABD4" w:rsidR="004E22C1" w:rsidRPr="001455DC" w:rsidRDefault="004E22C1" w:rsidP="00082680">
      <w:pPr>
        <w:pStyle w:val="a2"/>
      </w:pPr>
      <w:bookmarkStart w:id="1448" w:name="_Toc52820154"/>
      <w:bookmarkStart w:id="1449" w:name="_Toc54337152"/>
      <w:bookmarkStart w:id="1450" w:name="_Toc54337569"/>
      <w:bookmarkStart w:id="1451" w:name="_Toc54338209"/>
      <w:bookmarkStart w:id="1452" w:name="_Toc67565543"/>
      <w:r w:rsidRPr="001455DC">
        <w:t>Stress calculations</w:t>
      </w:r>
      <w:bookmarkEnd w:id="1448"/>
      <w:bookmarkEnd w:id="1449"/>
      <w:bookmarkEnd w:id="1450"/>
      <w:bookmarkEnd w:id="1451"/>
      <w:bookmarkEnd w:id="1452"/>
    </w:p>
    <w:p w14:paraId="64496B1D" w14:textId="77777777" w:rsidR="004E22C1" w:rsidRPr="001455DC" w:rsidRDefault="004E22C1" w:rsidP="00F72049">
      <w:pPr>
        <w:pStyle w:val="a7"/>
      </w:pPr>
      <w:r w:rsidRPr="001455DC">
        <w:t>(1)</w:t>
      </w:r>
      <w:r w:rsidRPr="001455DC">
        <w:tab/>
        <w:t>The following stress calculations are relevant when aiming to limit the risk of cracking.</w:t>
      </w:r>
    </w:p>
    <w:p w14:paraId="6F9F2826" w14:textId="528E9774" w:rsidR="004E22C1" w:rsidRPr="001455DC" w:rsidRDefault="004E22C1" w:rsidP="00116AE2">
      <w:pPr>
        <w:pStyle w:val="a7"/>
        <w:keepNext/>
      </w:pPr>
      <w:r w:rsidRPr="001455DC">
        <w:t>(2)</w:t>
      </w:r>
      <w:r w:rsidRPr="001455DC">
        <w:tab/>
        <w:t>It may be assumed that the risk that the element will crack is sufficiently low if Formula (D.2) is met:</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626FEA" w:rsidRPr="001455DC" w14:paraId="4624867C" w14:textId="77777777" w:rsidTr="00626FEA">
        <w:trPr>
          <w:cantSplit/>
        </w:trPr>
        <w:tc>
          <w:tcPr>
            <w:tcW w:w="8505" w:type="dxa"/>
            <w:vAlign w:val="center"/>
          </w:tcPr>
          <w:p w14:paraId="1495475E" w14:textId="74E23F4B" w:rsidR="00626FEA" w:rsidRPr="001455DC" w:rsidRDefault="00231E33" w:rsidP="00626FEA">
            <w:pPr>
              <w:pStyle w:val="Formula"/>
              <w:jc w:val="left"/>
            </w:pPr>
            <m:oMathPara>
              <m:oMathParaPr>
                <m:jc m:val="left"/>
              </m:oMathParaPr>
              <m:oMath>
                <m:sSub>
                  <m:sSubPr>
                    <m:ctrlPr>
                      <w:rPr>
                        <w:rFonts w:ascii="Cambria Math" w:hAnsi="Cambria Math"/>
                      </w:rPr>
                    </m:ctrlPr>
                  </m:sSubPr>
                  <m:e>
                    <m:r>
                      <w:rPr>
                        <w:rFonts w:ascii="Cambria Math" w:hAnsi="Cambria Math"/>
                      </w:rPr>
                      <m:t>R</m:t>
                    </m:r>
                  </m:e>
                  <m:sub>
                    <m:r>
                      <m:rPr>
                        <m:sty m:val="p"/>
                      </m:rPr>
                      <w:rPr>
                        <w:rFonts w:ascii="Cambria Math" w:hAnsi="Cambria Math"/>
                      </w:rPr>
                      <m:t>cr</m:t>
                    </m:r>
                  </m:sub>
                </m:sSub>
                <m:d>
                  <m:dPr>
                    <m:ctrlPr>
                      <w:rPr>
                        <w:rFonts w:ascii="Cambria Math" w:hAnsi="Cambria Math"/>
                      </w:rPr>
                    </m:ctrlPr>
                  </m:dPr>
                  <m:e>
                    <m:r>
                      <w:rPr>
                        <w:rFonts w:ascii="Cambria Math" w:hAnsi="Cambria Math"/>
                      </w:rPr>
                      <m:t>t</m:t>
                    </m:r>
                  </m:e>
                </m:d>
                <m:r>
                  <w:rPr>
                    <w:rFonts w:ascii="Cambria Math" w:hAnsi="Cambria Math"/>
                  </w:rPr>
                  <m:t>&lt;</m:t>
                </m:r>
                <m:sSub>
                  <m:sSubPr>
                    <m:ctrlPr>
                      <w:rPr>
                        <w:rFonts w:ascii="Cambria Math" w:hAnsi="Cambria Math"/>
                      </w:rPr>
                    </m:ctrlPr>
                  </m:sSubPr>
                  <m:e>
                    <m:r>
                      <w:rPr>
                        <w:rFonts w:ascii="Cambria Math" w:hAnsi="Cambria Math"/>
                      </w:rPr>
                      <m:t>R</m:t>
                    </m:r>
                  </m:e>
                  <m:sub>
                    <m:r>
                      <m:rPr>
                        <m:sty m:val="p"/>
                      </m:rPr>
                      <w:rPr>
                        <w:rFonts w:ascii="Cambria Math" w:hAnsi="Cambria Math"/>
                      </w:rPr>
                      <m:t>ea,cr</m:t>
                    </m:r>
                  </m:sub>
                </m:sSub>
              </m:oMath>
            </m:oMathPara>
          </w:p>
        </w:tc>
        <w:tc>
          <w:tcPr>
            <w:tcW w:w="1247" w:type="dxa"/>
            <w:vAlign w:val="center"/>
          </w:tcPr>
          <w:p w14:paraId="3DDF9A05" w14:textId="1EC09EC3" w:rsidR="00626FEA" w:rsidRPr="001455DC" w:rsidRDefault="00626FEA" w:rsidP="00626FEA">
            <w:pPr>
              <w:pStyle w:val="a7"/>
              <w:jc w:val="right"/>
            </w:pPr>
            <w:r w:rsidRPr="001455DC">
              <w:t>(D.2)</w:t>
            </w:r>
          </w:p>
        </w:tc>
      </w:tr>
    </w:tbl>
    <w:p w14:paraId="06A08FDC" w14:textId="77777777" w:rsidR="004E22C1" w:rsidRPr="001455DC" w:rsidRDefault="004E22C1" w:rsidP="00F72049">
      <w:pPr>
        <w:pStyle w:val="a7"/>
      </w:pPr>
      <w:r w:rsidRPr="001455DC">
        <w:t xml:space="preserve">where </w:t>
      </w:r>
      <w:r w:rsidRPr="001455DC">
        <w:rPr>
          <w:rStyle w:val="CCMCvariableitalic"/>
        </w:rPr>
        <w:t>R</w:t>
      </w:r>
      <w:r w:rsidRPr="001455DC">
        <w:rPr>
          <w:rStyle w:val="CCMCvariablesubscript"/>
        </w:rPr>
        <w:t>ea,cr</w:t>
      </w:r>
      <w:r w:rsidRPr="001455DC">
        <w:t xml:space="preserve"> is a project specific parameter related to the admissible risk of cracking, where </w:t>
      </w:r>
      <w:r w:rsidRPr="001455DC">
        <w:rPr>
          <w:rStyle w:val="CCMCvariableitalic"/>
        </w:rPr>
        <w:t>R</w:t>
      </w:r>
      <w:r w:rsidRPr="001455DC">
        <w:rPr>
          <w:rStyle w:val="CCMCvariablesubscript"/>
        </w:rPr>
        <w:t>ea,cr</w:t>
      </w:r>
      <w:r w:rsidRPr="001455DC">
        <w:t xml:space="preserve"> may be assumed as 1,0.</w:t>
      </w:r>
    </w:p>
    <w:p w14:paraId="70741528" w14:textId="77777777" w:rsidR="00626FEA" w:rsidRPr="001455DC" w:rsidRDefault="004E22C1" w:rsidP="00116AE2">
      <w:pPr>
        <w:pStyle w:val="a7"/>
        <w:keepNext/>
      </w:pPr>
      <w:r w:rsidRPr="001455DC">
        <w:t>(3)</w:t>
      </w:r>
      <w:r w:rsidRPr="001455DC">
        <w:tab/>
        <w:t xml:space="preserve">When assessing </w:t>
      </w:r>
      <w:r w:rsidRPr="001455DC">
        <w:rPr>
          <w:rStyle w:val="CCMCvariableitalic"/>
        </w:rPr>
        <w:t>R</w:t>
      </w:r>
      <w:r w:rsidRPr="001455DC">
        <w:rPr>
          <w:rStyle w:val="CCMCvariablesubscript"/>
        </w:rPr>
        <w:t>cr</w:t>
      </w:r>
      <w:r w:rsidRPr="001455DC">
        <w:t>(</w:t>
      </w:r>
      <w:r w:rsidRPr="001455DC">
        <w:rPr>
          <w:rStyle w:val="CCMCvariableitalic"/>
        </w:rPr>
        <w:t>t</w:t>
      </w:r>
      <w:r w:rsidRPr="001455DC">
        <w:t xml:space="preserve">), the dormant time, </w:t>
      </w:r>
      <w:r w:rsidRPr="001455DC">
        <w:rPr>
          <w:rStyle w:val="CCMCvariableitalic"/>
        </w:rPr>
        <w:t>t</w:t>
      </w:r>
      <w:r w:rsidRPr="001455DC">
        <w:rPr>
          <w:rStyle w:val="CCMCvariablesubscript"/>
        </w:rPr>
        <w:t>dor</w:t>
      </w:r>
      <w:r w:rsidRPr="001455DC">
        <w:t xml:space="preserve">, should be subtracted from the concrete age to determine the tensile resistance and the modulus of elasticity of concrete. Coefficient </w:t>
      </w:r>
      <w:r w:rsidRPr="001455DC">
        <w:rPr>
          <w:rStyle w:val="CCMCvariableitalic"/>
        </w:rPr>
        <w:t>β</w:t>
      </w:r>
      <w:r w:rsidRPr="001455DC">
        <w:rPr>
          <w:rStyle w:val="CCMCvariablesubscript"/>
        </w:rPr>
        <w:t>cc</w:t>
      </w:r>
      <w:r w:rsidRPr="001455DC">
        <w:t>, describing the evolution of concrete properties with time (see Formula (B.2)) should then be corrected as follows (Formula (D.3)):</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626FEA" w:rsidRPr="001455DC" w14:paraId="5F141E12" w14:textId="77777777" w:rsidTr="00626FEA">
        <w:trPr>
          <w:cantSplit/>
        </w:trPr>
        <w:tc>
          <w:tcPr>
            <w:tcW w:w="8505" w:type="dxa"/>
            <w:vAlign w:val="center"/>
          </w:tcPr>
          <w:p w14:paraId="305C867C" w14:textId="5C8D6C0F" w:rsidR="00626FEA" w:rsidRPr="001455DC" w:rsidRDefault="00231E33" w:rsidP="00626FEA">
            <w:pPr>
              <w:pStyle w:val="Formula"/>
              <w:jc w:val="left"/>
              <w:rPr>
                <w:szCs w:val="22"/>
              </w:rPr>
            </w:pPr>
            <m:oMathPara>
              <m:oMathParaPr>
                <m:jc m:val="left"/>
              </m:oMathParaPr>
              <m:oMath>
                <m:sSub>
                  <m:sSubPr>
                    <m:ctrlPr>
                      <w:rPr>
                        <w:rFonts w:ascii="Cambria Math" w:hAnsi="Cambria Math"/>
                        <w:szCs w:val="22"/>
                      </w:rPr>
                    </m:ctrlPr>
                  </m:sSubPr>
                  <m:e>
                    <m:r>
                      <w:rPr>
                        <w:rFonts w:ascii="Cambria Math" w:hAnsi="Cambria Math"/>
                        <w:szCs w:val="22"/>
                      </w:rPr>
                      <m:t>β</m:t>
                    </m:r>
                  </m:e>
                  <m:sub>
                    <m:r>
                      <m:rPr>
                        <m:sty m:val="p"/>
                      </m:rPr>
                      <w:rPr>
                        <w:rFonts w:ascii="Cambria Math" w:hAnsi="Cambria Math"/>
                        <w:szCs w:val="22"/>
                      </w:rPr>
                      <m:t>cc</m:t>
                    </m:r>
                  </m:sub>
                </m:sSub>
                <m:d>
                  <m:dPr>
                    <m:ctrlPr>
                      <w:rPr>
                        <w:rFonts w:ascii="Cambria Math" w:hAnsi="Cambria Math"/>
                        <w:szCs w:val="22"/>
                      </w:rPr>
                    </m:ctrlPr>
                  </m:dPr>
                  <m:e>
                    <m:r>
                      <w:rPr>
                        <w:rFonts w:ascii="Cambria Math" w:hAnsi="Cambria Math"/>
                        <w:szCs w:val="22"/>
                      </w:rPr>
                      <m:t>t</m:t>
                    </m:r>
                  </m:e>
                </m:d>
                <m:r>
                  <w:rPr>
                    <w:rFonts w:ascii="Cambria Math" w:hAnsi="Cambria Math"/>
                    <w:szCs w:val="22"/>
                  </w:rPr>
                  <m:t>=</m:t>
                </m:r>
                <m:sSup>
                  <m:sSupPr>
                    <m:ctrlPr>
                      <w:rPr>
                        <w:rFonts w:ascii="Cambria Math" w:hAnsi="Cambria Math"/>
                        <w:i/>
                        <w:szCs w:val="22"/>
                      </w:rPr>
                    </m:ctrlPr>
                  </m:sSupPr>
                  <m:e>
                    <m:r>
                      <w:rPr>
                        <w:rFonts w:ascii="Cambria Math" w:hAnsi="Cambria Math"/>
                        <w:szCs w:val="22"/>
                      </w:rPr>
                      <m:t>e</m:t>
                    </m:r>
                  </m:e>
                  <m:sup>
                    <m:r>
                      <w:rPr>
                        <w:rFonts w:ascii="Cambria Math" w:hAnsi="Cambria Math"/>
                        <w:szCs w:val="22"/>
                      </w:rPr>
                      <m:t>s</m:t>
                    </m:r>
                    <m:d>
                      <m:dPr>
                        <m:sepChr m:val=""/>
                        <m:ctrlPr>
                          <w:rPr>
                            <w:rFonts w:ascii="Cambria Math" w:hAnsi="Cambria Math"/>
                            <w:szCs w:val="22"/>
                          </w:rPr>
                        </m:ctrlPr>
                      </m:dPr>
                      <m:e>
                        <m:r>
                          <w:rPr>
                            <w:rFonts w:ascii="Cambria Math" w:hAnsi="Cambria Math"/>
                            <w:szCs w:val="22"/>
                          </w:rPr>
                          <m:t>1</m:t>
                        </m:r>
                      </m:e>
                      <m:e>
                        <m:r>
                          <w:rPr>
                            <w:rFonts w:ascii="Cambria Math" w:hAnsi="Cambria Math"/>
                            <w:szCs w:val="22"/>
                          </w:rPr>
                          <m:t>-</m:t>
                        </m:r>
                      </m:e>
                      <m:e>
                        <m:rad>
                          <m:radPr>
                            <m:degHide m:val="1"/>
                            <m:ctrlPr>
                              <w:rPr>
                                <w:rFonts w:ascii="Cambria Math" w:hAnsi="Cambria Math"/>
                                <w:szCs w:val="22"/>
                              </w:rPr>
                            </m:ctrlPr>
                          </m:radPr>
                          <m:deg/>
                          <m:e>
                            <m:f>
                              <m:fPr>
                                <m:ctrlPr>
                                  <w:rPr>
                                    <w:rFonts w:ascii="Cambria Math" w:hAnsi="Cambria Math"/>
                                    <w:szCs w:val="22"/>
                                  </w:rPr>
                                </m:ctrlPr>
                              </m:fPr>
                              <m:num>
                                <m:sSub>
                                  <m:sSubPr>
                                    <m:ctrlPr>
                                      <w:rPr>
                                        <w:rFonts w:ascii="Cambria Math" w:hAnsi="Cambria Math"/>
                                        <w:szCs w:val="22"/>
                                      </w:rPr>
                                    </m:ctrlPr>
                                  </m:sSubPr>
                                  <m:e>
                                    <m:r>
                                      <w:rPr>
                                        <w:rFonts w:ascii="Cambria Math" w:hAnsi="Cambria Math"/>
                                        <w:szCs w:val="22"/>
                                      </w:rPr>
                                      <m:t>t</m:t>
                                    </m:r>
                                  </m:e>
                                  <m:sub>
                                    <m:r>
                                      <m:rPr>
                                        <m:sty m:val="p"/>
                                      </m:rPr>
                                      <w:rPr>
                                        <w:rFonts w:ascii="Cambria Math" w:hAnsi="Cambria Math"/>
                                        <w:szCs w:val="22"/>
                                      </w:rPr>
                                      <m:t>ref</m:t>
                                    </m:r>
                                  </m:sub>
                                </m:sSub>
                                <m:r>
                                  <w:rPr>
                                    <w:rFonts w:ascii="Cambria Math" w:hAnsi="Cambria Math"/>
                                    <w:szCs w:val="22"/>
                                  </w:rPr>
                                  <m:t>-</m:t>
                                </m:r>
                                <m:sSub>
                                  <m:sSubPr>
                                    <m:ctrlPr>
                                      <w:rPr>
                                        <w:rFonts w:ascii="Cambria Math" w:hAnsi="Cambria Math"/>
                                        <w:szCs w:val="22"/>
                                      </w:rPr>
                                    </m:ctrlPr>
                                  </m:sSubPr>
                                  <m:e>
                                    <m:r>
                                      <w:rPr>
                                        <w:rFonts w:ascii="Cambria Math" w:hAnsi="Cambria Math"/>
                                        <w:szCs w:val="22"/>
                                      </w:rPr>
                                      <m:t>t</m:t>
                                    </m:r>
                                  </m:e>
                                  <m:sub>
                                    <m:r>
                                      <m:rPr>
                                        <m:sty m:val="p"/>
                                      </m:rPr>
                                      <w:rPr>
                                        <w:rFonts w:ascii="Cambria Math" w:hAnsi="Cambria Math"/>
                                        <w:szCs w:val="22"/>
                                      </w:rPr>
                                      <m:t>dor</m:t>
                                    </m:r>
                                  </m:sub>
                                </m:sSub>
                              </m:num>
                              <m:den>
                                <m:sSub>
                                  <m:sSubPr>
                                    <m:ctrlPr>
                                      <w:rPr>
                                        <w:rFonts w:ascii="Cambria Math" w:hAnsi="Cambria Math"/>
                                        <w:szCs w:val="22"/>
                                      </w:rPr>
                                    </m:ctrlPr>
                                  </m:sSubPr>
                                  <m:e>
                                    <m:r>
                                      <w:rPr>
                                        <w:rFonts w:ascii="Cambria Math" w:hAnsi="Cambria Math"/>
                                        <w:szCs w:val="22"/>
                                      </w:rPr>
                                      <m:t>t</m:t>
                                    </m:r>
                                  </m:e>
                                  <m:sub>
                                    <m:r>
                                      <m:rPr>
                                        <m:sty m:val="p"/>
                                      </m:rPr>
                                      <w:rPr>
                                        <w:rFonts w:ascii="Cambria Math" w:hAnsi="Cambria Math"/>
                                        <w:szCs w:val="22"/>
                                      </w:rPr>
                                      <m:t>T</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m:rPr>
                                        <m:sty m:val="p"/>
                                      </m:rPr>
                                      <w:rPr>
                                        <w:rFonts w:ascii="Cambria Math" w:hAnsi="Cambria Math"/>
                                        <w:szCs w:val="22"/>
                                      </w:rPr>
                                      <m:t>dor</m:t>
                                    </m:r>
                                  </m:sub>
                                </m:sSub>
                              </m:den>
                            </m:f>
                          </m:e>
                        </m:rad>
                      </m:e>
                    </m:d>
                    <m:r>
                      <w:rPr>
                        <w:rFonts w:ascii="Cambria Math" w:hAnsi="Cambria Math"/>
                        <w:szCs w:val="22"/>
                      </w:rPr>
                      <m:t>⋅</m:t>
                    </m:r>
                    <m:rad>
                      <m:radPr>
                        <m:degHide m:val="1"/>
                        <m:ctrlPr>
                          <w:rPr>
                            <w:rFonts w:ascii="Cambria Math" w:hAnsi="Cambria Math"/>
                            <w:szCs w:val="22"/>
                          </w:rPr>
                        </m:ctrlPr>
                      </m:radPr>
                      <m:deg/>
                      <m:e>
                        <m:f>
                          <m:fPr>
                            <m:ctrlPr>
                              <w:rPr>
                                <w:rFonts w:ascii="Cambria Math" w:hAnsi="Cambria Math"/>
                                <w:szCs w:val="22"/>
                              </w:rPr>
                            </m:ctrlPr>
                          </m:fPr>
                          <m:num>
                            <m:r>
                              <w:rPr>
                                <w:rFonts w:ascii="Cambria Math" w:hAnsi="Cambria Math"/>
                                <w:szCs w:val="22"/>
                              </w:rPr>
                              <m:t>28-</m:t>
                            </m:r>
                            <m:sSub>
                              <m:sSubPr>
                                <m:ctrlPr>
                                  <w:rPr>
                                    <w:rFonts w:ascii="Cambria Math" w:hAnsi="Cambria Math"/>
                                    <w:szCs w:val="22"/>
                                  </w:rPr>
                                </m:ctrlPr>
                              </m:sSubPr>
                              <m:e>
                                <m:r>
                                  <w:rPr>
                                    <w:rFonts w:ascii="Cambria Math" w:hAnsi="Cambria Math"/>
                                    <w:szCs w:val="22"/>
                                  </w:rPr>
                                  <m:t>t</m:t>
                                </m:r>
                              </m:e>
                              <m:sub>
                                <m:r>
                                  <m:rPr>
                                    <m:sty m:val="p"/>
                                  </m:rPr>
                                  <w:rPr>
                                    <w:rFonts w:ascii="Cambria Math" w:hAnsi="Cambria Math"/>
                                    <w:szCs w:val="22"/>
                                  </w:rPr>
                                  <m:t>dor</m:t>
                                </m:r>
                              </m:sub>
                            </m:sSub>
                          </m:num>
                          <m:den>
                            <m:sSub>
                              <m:sSubPr>
                                <m:ctrlPr>
                                  <w:rPr>
                                    <w:rFonts w:ascii="Cambria Math" w:hAnsi="Cambria Math"/>
                                    <w:szCs w:val="22"/>
                                  </w:rPr>
                                </m:ctrlPr>
                              </m:sSubPr>
                              <m:e>
                                <m:r>
                                  <w:rPr>
                                    <w:rFonts w:ascii="Cambria Math" w:hAnsi="Cambria Math"/>
                                    <w:szCs w:val="22"/>
                                  </w:rPr>
                                  <m:t>t</m:t>
                                </m:r>
                              </m:e>
                              <m:sub>
                                <m:r>
                                  <m:rPr>
                                    <m:sty m:val="p"/>
                                  </m:rPr>
                                  <w:rPr>
                                    <w:rFonts w:ascii="Cambria Math" w:hAnsi="Cambria Math"/>
                                    <w:szCs w:val="22"/>
                                  </w:rPr>
                                  <m:t>ref</m:t>
                                </m:r>
                              </m:sub>
                            </m:sSub>
                            <m:r>
                              <w:rPr>
                                <w:rFonts w:ascii="Cambria Math" w:hAnsi="Cambria Math"/>
                                <w:szCs w:val="22"/>
                              </w:rPr>
                              <m:t>-</m:t>
                            </m:r>
                            <m:sSub>
                              <m:sSubPr>
                                <m:ctrlPr>
                                  <w:rPr>
                                    <w:rFonts w:ascii="Cambria Math" w:hAnsi="Cambria Math"/>
                                    <w:szCs w:val="22"/>
                                  </w:rPr>
                                </m:ctrlPr>
                              </m:sSubPr>
                              <m:e>
                                <m:r>
                                  <w:rPr>
                                    <w:rFonts w:ascii="Cambria Math" w:hAnsi="Cambria Math"/>
                                    <w:szCs w:val="22"/>
                                  </w:rPr>
                                  <m:t>t</m:t>
                                </m:r>
                              </m:e>
                              <m:sub>
                                <m:r>
                                  <m:rPr>
                                    <m:sty m:val="p"/>
                                  </m:rPr>
                                  <w:rPr>
                                    <w:rFonts w:ascii="Cambria Math" w:hAnsi="Cambria Math"/>
                                    <w:szCs w:val="22"/>
                                  </w:rPr>
                                  <m:t>dor</m:t>
                                </m:r>
                              </m:sub>
                            </m:sSub>
                          </m:den>
                        </m:f>
                      </m:e>
                    </m:rad>
                  </m:sup>
                </m:sSup>
              </m:oMath>
            </m:oMathPara>
          </w:p>
        </w:tc>
        <w:tc>
          <w:tcPr>
            <w:tcW w:w="1247" w:type="dxa"/>
            <w:vAlign w:val="center"/>
          </w:tcPr>
          <w:p w14:paraId="68A00CB3" w14:textId="03A9AE5B" w:rsidR="00626FEA" w:rsidRPr="001455DC" w:rsidRDefault="00626FEA" w:rsidP="00626FEA">
            <w:pPr>
              <w:pStyle w:val="a7"/>
              <w:jc w:val="right"/>
            </w:pPr>
            <w:r w:rsidRPr="001455DC">
              <w:t>(D.3)</w:t>
            </w:r>
          </w:p>
        </w:tc>
      </w:tr>
    </w:tbl>
    <w:p w14:paraId="5BC318B7" w14:textId="4BF62A5D" w:rsidR="004E22C1" w:rsidRPr="001455DC" w:rsidRDefault="004E22C1" w:rsidP="00072A5B">
      <w:pPr>
        <w:pStyle w:val="Note"/>
      </w:pPr>
      <w:r w:rsidRPr="001455DC">
        <w:t>NOTE</w:t>
      </w:r>
      <w:r w:rsidRPr="001455DC">
        <w:tab/>
        <w:t xml:space="preserve">Formula (B.2) is a simplified version of Formula (D.3) which assumes that </w:t>
      </w:r>
      <w:r w:rsidRPr="001455DC">
        <w:rPr>
          <w:rStyle w:val="CCMCvariableitalic"/>
        </w:rPr>
        <w:t>t</w:t>
      </w:r>
      <w:r w:rsidRPr="001455DC">
        <w:rPr>
          <w:rStyle w:val="CCMCvariablesubscript"/>
        </w:rPr>
        <w:t>dor</w:t>
      </w:r>
      <w:r w:rsidRPr="001455DC">
        <w:t> </w:t>
      </w:r>
      <w:r w:rsidR="00EC27D2" w:rsidRPr="001455DC">
        <w:rPr>
          <w:rFonts w:ascii="Cambria Math" w:hAnsi="Cambria Math"/>
        </w:rPr>
        <w:t>=</w:t>
      </w:r>
      <w:r w:rsidRPr="001455DC">
        <w:t> 0.</w:t>
      </w:r>
    </w:p>
    <w:p w14:paraId="669814A5" w14:textId="77777777" w:rsidR="004E22C1" w:rsidRPr="001455DC" w:rsidRDefault="004E22C1" w:rsidP="00116AE2">
      <w:pPr>
        <w:pStyle w:val="a7"/>
        <w:keepNext/>
      </w:pPr>
      <w:r w:rsidRPr="001455DC">
        <w:t>(4)</w:t>
      </w:r>
      <w:r w:rsidRPr="001455DC">
        <w:tab/>
      </w:r>
      <w:r w:rsidRPr="001455DC">
        <w:rPr>
          <w:rStyle w:val="CCMCvariableitalic"/>
        </w:rPr>
        <w:t>R</w:t>
      </w:r>
      <w:r w:rsidRPr="001455DC">
        <w:rPr>
          <w:rStyle w:val="CCMCvariablesubscript"/>
        </w:rPr>
        <w:t>cr</w:t>
      </w:r>
      <w:r w:rsidRPr="001455DC">
        <w:t>(</w:t>
      </w:r>
      <w:r w:rsidRPr="001455DC">
        <w:rPr>
          <w:rStyle w:val="CCMCvariableitalic"/>
        </w:rPr>
        <w:t>t</w:t>
      </w:r>
      <w:r w:rsidRPr="001455DC">
        <w:t>) should be determined at least for the following situations:</w:t>
      </w:r>
    </w:p>
    <w:p w14:paraId="735CFAEB" w14:textId="4F078972" w:rsidR="004E22C1" w:rsidRPr="001455DC" w:rsidRDefault="004E22C1" w:rsidP="00353CE4">
      <w:pPr>
        <w:pStyle w:val="a0"/>
      </w:pPr>
      <w:r w:rsidRPr="001455DC">
        <w:t>At the time when temperature equilibrium between the recently cast element and the restraining structure is achieved. For this verification, it is not necessary to consider drying shrinkage or long-term temperature variations.</w:t>
      </w:r>
    </w:p>
    <w:p w14:paraId="07D52165" w14:textId="4C72AE97" w:rsidR="00626FEA" w:rsidRPr="001455DC" w:rsidRDefault="007641A1" w:rsidP="00116AE2">
      <w:pPr>
        <w:pStyle w:val="a7"/>
        <w:keepNext/>
      </w:pPr>
      <w:r w:rsidRPr="001455DC">
        <w:tab/>
      </w:r>
      <w:r w:rsidR="004E22C1" w:rsidRPr="001455DC">
        <w:t xml:space="preserve">The maximum tensile stress to be considered for this verification may be determined using </w:t>
      </w:r>
      <w:r w:rsidRPr="001455DC">
        <w:tab/>
      </w:r>
      <w:r w:rsidR="004E22C1" w:rsidRPr="001455DC">
        <w:t>Formula (D.4):</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626FEA" w:rsidRPr="001455DC" w14:paraId="32D30162" w14:textId="77777777" w:rsidTr="00626FEA">
        <w:trPr>
          <w:cantSplit/>
        </w:trPr>
        <w:tc>
          <w:tcPr>
            <w:tcW w:w="8505" w:type="dxa"/>
            <w:vAlign w:val="center"/>
          </w:tcPr>
          <w:p w14:paraId="166ECD2D" w14:textId="34FBA233" w:rsidR="00626FEA" w:rsidRPr="001455DC" w:rsidRDefault="00231E33" w:rsidP="00626FEA">
            <w:pPr>
              <w:pStyle w:val="Formula"/>
              <w:jc w:val="left"/>
            </w:pPr>
            <m:oMathPara>
              <m:oMathParaPr>
                <m:jc m:val="left"/>
              </m:oMathParaPr>
              <m:oMath>
                <m:sSub>
                  <m:sSubPr>
                    <m:ctrlPr>
                      <w:rPr>
                        <w:rFonts w:ascii="Cambria Math" w:hAnsi="Cambria Math"/>
                      </w:rPr>
                    </m:ctrlPr>
                  </m:sSubPr>
                  <m:e>
                    <m:r>
                      <w:rPr>
                        <w:rFonts w:ascii="Cambria Math" w:hAnsi="Cambria Math"/>
                      </w:rPr>
                      <m:t>σ</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ax</m:t>
                    </m:r>
                    <m:r>
                      <w:rPr>
                        <w:rFonts w:ascii="Cambria Math" w:hAnsi="Cambria Math"/>
                      </w:rPr>
                      <m:t>,1</m:t>
                    </m:r>
                  </m:sub>
                </m:sSub>
                <m:f>
                  <m:fPr>
                    <m:ctrlPr>
                      <w:rPr>
                        <w:rFonts w:ascii="Cambria Math" w:hAnsi="Cambria Math"/>
                      </w:rPr>
                    </m:ctrlPr>
                  </m:fPr>
                  <m:num>
                    <m:sSub>
                      <m:sSubPr>
                        <m:ctrlPr>
                          <w:rPr>
                            <w:rFonts w:ascii="Cambria Math" w:hAnsi="Cambria Math"/>
                          </w:rPr>
                        </m:ctrlPr>
                      </m:sSubPr>
                      <m:e>
                        <m:r>
                          <w:rPr>
                            <w:rFonts w:ascii="Cambria Math" w:hAnsi="Cambria Math"/>
                          </w:rPr>
                          <m:t>E</m:t>
                        </m:r>
                      </m:e>
                      <m:sub>
                        <m:r>
                          <m:rPr>
                            <m:sty m:val="p"/>
                          </m:rPr>
                          <w:rPr>
                            <w:rFonts w:ascii="Cambria Math" w:hAnsi="Cambria Math"/>
                          </w:rPr>
                          <m:t>c</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2</m:t>
                            </m:r>
                          </m:sub>
                        </m:sSub>
                      </m:e>
                    </m:d>
                  </m:num>
                  <m:den>
                    <m:r>
                      <w:rPr>
                        <w:rFonts w:ascii="Cambria Math" w:hAnsi="Cambria Math"/>
                      </w:rPr>
                      <m:t>1+χ</m:t>
                    </m:r>
                    <m:sSub>
                      <m:sSubPr>
                        <m:ctrlPr>
                          <w:rPr>
                            <w:rFonts w:ascii="Cambria Math" w:hAnsi="Cambria Math"/>
                          </w:rPr>
                        </m:ctrlPr>
                      </m:sSubPr>
                      <m:e>
                        <m:r>
                          <w:rPr>
                            <w:rFonts w:ascii="Cambria Math" w:hAnsi="Cambria Math"/>
                          </w:rPr>
                          <m:t>φ</m:t>
                        </m:r>
                      </m:e>
                      <m:sub>
                        <m:r>
                          <m:rPr>
                            <m:sty m:val="p"/>
                          </m:rPr>
                          <w:rPr>
                            <w:rFonts w:ascii="Cambria Math" w:hAnsi="Cambria Math"/>
                          </w:rPr>
                          <m:t>st</m:t>
                        </m:r>
                      </m:sub>
                    </m:sSub>
                  </m:den>
                </m:f>
                <m:d>
                  <m:dPr>
                    <m:ctrlPr>
                      <w:rPr>
                        <w:rFonts w:ascii="Cambria Math" w:hAnsi="Cambria Math"/>
                      </w:rPr>
                    </m:ctrlPr>
                  </m:dPr>
                  <m:e>
                    <m:sSub>
                      <m:sSubPr>
                        <m:ctrlPr>
                          <w:rPr>
                            <w:rFonts w:ascii="Cambria Math" w:hAnsi="Cambria Math"/>
                          </w:rPr>
                        </m:ctrlPr>
                      </m:sSubPr>
                      <m:e>
                        <m:r>
                          <w:rPr>
                            <w:rFonts w:ascii="Cambria Math" w:hAnsi="Cambria Math"/>
                          </w:rPr>
                          <m:t>k</m:t>
                        </m:r>
                      </m:e>
                      <m:sub>
                        <m:r>
                          <m:rPr>
                            <m:sty m:val="p"/>
                          </m:rPr>
                          <w:rPr>
                            <w:rFonts w:ascii="Cambria Math" w:hAnsi="Cambria Math"/>
                          </w:rPr>
                          <m:t>Temp</m:t>
                        </m:r>
                      </m:sub>
                    </m:sSub>
                    <m:sSub>
                      <m:sSubPr>
                        <m:ctrlPr>
                          <w:rPr>
                            <w:rFonts w:ascii="Cambria Math" w:hAnsi="Cambria Math"/>
                          </w:rPr>
                        </m:ctrlPr>
                      </m:sSubPr>
                      <m:e>
                        <m:r>
                          <w:rPr>
                            <w:rFonts w:ascii="Cambria Math" w:hAnsi="Cambria Math"/>
                          </w:rPr>
                          <m:t>α</m:t>
                        </m:r>
                      </m:e>
                      <m:sub>
                        <m:r>
                          <m:rPr>
                            <m:sty m:val="p"/>
                          </m:rPr>
                          <w:rPr>
                            <w:rFonts w:ascii="Cambria Math" w:hAnsi="Cambria Math"/>
                          </w:rPr>
                          <m:t>T</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m:t>
                    </m:r>
                    <m:d>
                      <m:dPr>
                        <m:begChr m:val="["/>
                        <m:sepChr m:val=""/>
                        <m:endChr m:val="]"/>
                        <m:ctrlPr>
                          <w:rPr>
                            <w:rFonts w:ascii="Cambria Math" w:hAnsi="Cambria Math"/>
                          </w:rPr>
                        </m:ctrlPr>
                      </m:dPr>
                      <m:e>
                        <m:sSub>
                          <m:sSubPr>
                            <m:ctrlPr>
                              <w:rPr>
                                <w:rFonts w:ascii="Cambria Math" w:hAnsi="Cambria Math"/>
                              </w:rPr>
                            </m:ctrlPr>
                          </m:sSubPr>
                          <m:e>
                            <m:r>
                              <w:rPr>
                                <w:rFonts w:ascii="Cambria Math" w:hAnsi="Cambria Math"/>
                              </w:rPr>
                              <m:t>ε</m:t>
                            </m:r>
                          </m:e>
                          <m:sub>
                            <m:r>
                              <m:rPr>
                                <m:sty m:val="p"/>
                              </m:rPr>
                              <w:rPr>
                                <w:rFonts w:ascii="Cambria Math" w:hAnsi="Cambria Math"/>
                              </w:rPr>
                              <m:t>cbs</m:t>
                            </m:r>
                          </m:sub>
                        </m:sSub>
                      </m:e>
                      <m:e>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crit</m:t>
                                </m:r>
                              </m:sub>
                            </m:sSub>
                          </m:e>
                        </m:d>
                        <m:r>
                          <w:rPr>
                            <w:rFonts w:ascii="Cambria Math" w:hAnsi="Cambria Math"/>
                          </w:rPr>
                          <m:t>-</m:t>
                        </m:r>
                        <m:sSub>
                          <m:sSubPr>
                            <m:ctrlPr>
                              <w:rPr>
                                <w:rFonts w:ascii="Cambria Math" w:hAnsi="Cambria Math"/>
                              </w:rPr>
                            </m:ctrlPr>
                          </m:sSubPr>
                          <m:e>
                            <m:r>
                              <w:rPr>
                                <w:rFonts w:ascii="Cambria Math" w:hAnsi="Cambria Math"/>
                              </w:rPr>
                              <m:t>ε</m:t>
                            </m:r>
                          </m:e>
                          <m:sub>
                            <m:r>
                              <m:rPr>
                                <m:sty m:val="p"/>
                              </m:rPr>
                              <w:rPr>
                                <w:rFonts w:ascii="Cambria Math" w:hAnsi="Cambria Math"/>
                              </w:rPr>
                              <m:t>cbs</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2</m:t>
                                </m:r>
                              </m:sub>
                            </m:sSub>
                          </m:e>
                        </m:d>
                      </m:e>
                    </m:d>
                  </m:e>
                </m:d>
              </m:oMath>
            </m:oMathPara>
          </w:p>
        </w:tc>
        <w:tc>
          <w:tcPr>
            <w:tcW w:w="1247" w:type="dxa"/>
            <w:vAlign w:val="center"/>
          </w:tcPr>
          <w:p w14:paraId="33C1F4A4" w14:textId="194441FF" w:rsidR="00626FEA" w:rsidRPr="001455DC" w:rsidRDefault="00626FEA" w:rsidP="00626FEA">
            <w:pPr>
              <w:pStyle w:val="a7"/>
              <w:jc w:val="right"/>
            </w:pPr>
            <w:r w:rsidRPr="001455DC">
              <w:t>(D.4)</w:t>
            </w:r>
          </w:p>
        </w:tc>
      </w:tr>
    </w:tbl>
    <w:p w14:paraId="5386B15C" w14:textId="77777777" w:rsidR="00626FEA" w:rsidRPr="001455DC" w:rsidRDefault="00626FEA" w:rsidP="00A35599">
      <w:pPr>
        <w:pStyle w:val="a7"/>
        <w:keepNext/>
      </w:pPr>
      <w:r w:rsidRPr="001455DC">
        <w:t>where</w:t>
      </w:r>
    </w:p>
    <w:tbl>
      <w:tblPr>
        <w:tblW w:w="9413" w:type="dxa"/>
        <w:tblInd w:w="397" w:type="dxa"/>
        <w:tblLayout w:type="fixed"/>
        <w:tblCellMar>
          <w:left w:w="28" w:type="dxa"/>
          <w:right w:w="28" w:type="dxa"/>
        </w:tblCellMar>
        <w:tblLook w:val="04A0" w:firstRow="1" w:lastRow="0" w:firstColumn="1" w:lastColumn="0" w:noHBand="0" w:noVBand="1"/>
      </w:tblPr>
      <w:tblGrid>
        <w:gridCol w:w="851"/>
        <w:gridCol w:w="8562"/>
      </w:tblGrid>
      <w:tr w:rsidR="00626FEA" w:rsidRPr="001455DC" w14:paraId="3E82CEEB" w14:textId="77777777" w:rsidTr="00626FEA">
        <w:trPr>
          <w:cantSplit/>
        </w:trPr>
        <w:tc>
          <w:tcPr>
            <w:tcW w:w="851" w:type="dxa"/>
          </w:tcPr>
          <w:p w14:paraId="714EFAF9" w14:textId="5D5AE74B" w:rsidR="00626FEA" w:rsidRPr="001455DC" w:rsidRDefault="00626FEA" w:rsidP="0000442A">
            <w:pPr>
              <w:pStyle w:val="Tablebody"/>
            </w:pPr>
            <w:r w:rsidRPr="001455DC">
              <w:rPr>
                <w:rStyle w:val="CCMCvariableitalic"/>
                <w:szCs w:val="22"/>
              </w:rPr>
              <w:t>R</w:t>
            </w:r>
            <w:r w:rsidRPr="001455DC">
              <w:rPr>
                <w:rStyle w:val="CCMCvariablesubscript"/>
                <w:szCs w:val="22"/>
              </w:rPr>
              <w:t>ax,1</w:t>
            </w:r>
          </w:p>
        </w:tc>
        <w:tc>
          <w:tcPr>
            <w:tcW w:w="8562" w:type="dxa"/>
          </w:tcPr>
          <w:p w14:paraId="7DFF1984" w14:textId="26FA6D53" w:rsidR="00626FEA" w:rsidRPr="001455DC" w:rsidRDefault="00626FEA" w:rsidP="00BB1209">
            <w:pPr>
              <w:pStyle w:val="Tablebody"/>
            </w:pPr>
            <w:r w:rsidRPr="001455DC">
              <w:rPr>
                <w:szCs w:val="22"/>
              </w:rPr>
              <w:t>is the restraint factor (see 9.2.4 (3)) corresponding to the boundary conditions present after concreting;</w:t>
            </w:r>
          </w:p>
        </w:tc>
      </w:tr>
      <w:tr w:rsidR="00626FEA" w:rsidRPr="001455DC" w14:paraId="6F1DB0BE" w14:textId="77777777" w:rsidTr="00626FEA">
        <w:trPr>
          <w:cantSplit/>
        </w:trPr>
        <w:tc>
          <w:tcPr>
            <w:tcW w:w="851" w:type="dxa"/>
          </w:tcPr>
          <w:p w14:paraId="3B48F1DA" w14:textId="44BD70D4" w:rsidR="00626FEA" w:rsidRPr="001455DC" w:rsidRDefault="00626FEA" w:rsidP="0000442A">
            <w:pPr>
              <w:pStyle w:val="Tablebody"/>
            </w:pPr>
            <w:r w:rsidRPr="001455DC">
              <w:rPr>
                <w:rStyle w:val="CCMCvariableitalic"/>
                <w:szCs w:val="22"/>
              </w:rPr>
              <w:t>E</w:t>
            </w:r>
            <w:r w:rsidRPr="001455DC">
              <w:rPr>
                <w:rStyle w:val="CCMCvariablesubscript"/>
                <w:szCs w:val="22"/>
              </w:rPr>
              <w:t>c</w:t>
            </w:r>
            <w:r w:rsidRPr="001455DC">
              <w:rPr>
                <w:szCs w:val="22"/>
              </w:rPr>
              <w:t>(</w:t>
            </w:r>
            <w:r w:rsidRPr="001455DC">
              <w:rPr>
                <w:rStyle w:val="CCMCvariableitalic"/>
                <w:szCs w:val="22"/>
              </w:rPr>
              <w:t>t</w:t>
            </w:r>
            <w:r w:rsidRPr="001455DC">
              <w:rPr>
                <w:rStyle w:val="CCMCvariablesubscript"/>
                <w:szCs w:val="22"/>
              </w:rPr>
              <w:t>2</w:t>
            </w:r>
            <w:r w:rsidRPr="001455DC">
              <w:rPr>
                <w:szCs w:val="22"/>
              </w:rPr>
              <w:t>)</w:t>
            </w:r>
          </w:p>
        </w:tc>
        <w:tc>
          <w:tcPr>
            <w:tcW w:w="8562" w:type="dxa"/>
          </w:tcPr>
          <w:p w14:paraId="787301EC" w14:textId="64ED5D8F" w:rsidR="00626FEA" w:rsidRPr="001455DC" w:rsidRDefault="00626FEA" w:rsidP="0000442A">
            <w:pPr>
              <w:pStyle w:val="Tablebody"/>
            </w:pPr>
            <w:r w:rsidRPr="001455DC">
              <w:rPr>
                <w:szCs w:val="22"/>
              </w:rPr>
              <w:t xml:space="preserve">is the modulus of elasticity of concrete at time </w:t>
            </w:r>
            <w:r w:rsidRPr="001455DC">
              <w:rPr>
                <w:rStyle w:val="CCMCvariableitalic"/>
                <w:szCs w:val="22"/>
              </w:rPr>
              <w:t>t</w:t>
            </w:r>
            <w:r w:rsidRPr="001455DC">
              <w:rPr>
                <w:rStyle w:val="CCMCvariablesubscript"/>
                <w:szCs w:val="22"/>
              </w:rPr>
              <w:t>2</w:t>
            </w:r>
            <w:r w:rsidRPr="001455DC">
              <w:rPr>
                <w:szCs w:val="22"/>
              </w:rPr>
              <w:t xml:space="preserve"> (see Figure D.2);</w:t>
            </w:r>
          </w:p>
        </w:tc>
      </w:tr>
      <w:tr w:rsidR="00626FEA" w:rsidRPr="001455DC" w14:paraId="3D5C1079" w14:textId="77777777" w:rsidTr="00626FEA">
        <w:trPr>
          <w:cantSplit/>
        </w:trPr>
        <w:tc>
          <w:tcPr>
            <w:tcW w:w="851" w:type="dxa"/>
          </w:tcPr>
          <w:p w14:paraId="61126C85" w14:textId="108ACE99" w:rsidR="00626FEA" w:rsidRPr="001455DC" w:rsidRDefault="00626FEA" w:rsidP="00D86695">
            <w:pPr>
              <w:pStyle w:val="Tablebody"/>
            </w:pPr>
            <w:r w:rsidRPr="001455DC">
              <w:rPr>
                <w:rStyle w:val="CCMCvariableitalic"/>
                <w:szCs w:val="22"/>
              </w:rPr>
              <w:t>T</w:t>
            </w:r>
            <w:r w:rsidRPr="001455DC">
              <w:rPr>
                <w:rStyle w:val="CCMCvariablesubscript"/>
                <w:szCs w:val="22"/>
              </w:rPr>
              <w:t>max</w:t>
            </w:r>
          </w:p>
        </w:tc>
        <w:tc>
          <w:tcPr>
            <w:tcW w:w="8562" w:type="dxa"/>
          </w:tcPr>
          <w:p w14:paraId="1ADA2221" w14:textId="2259A534" w:rsidR="00626FEA" w:rsidRPr="001455DC" w:rsidRDefault="00626FEA" w:rsidP="00D86695">
            <w:pPr>
              <w:pStyle w:val="Tablebody"/>
            </w:pPr>
            <w:r w:rsidRPr="001455DC">
              <w:rPr>
                <w:szCs w:val="22"/>
              </w:rPr>
              <w:t>is the maximum temperature in concrete after casting due to hydration heat;</w:t>
            </w:r>
          </w:p>
        </w:tc>
      </w:tr>
      <w:tr w:rsidR="00626FEA" w:rsidRPr="001455DC" w14:paraId="69087897" w14:textId="77777777" w:rsidTr="00626FEA">
        <w:trPr>
          <w:cantSplit/>
        </w:trPr>
        <w:tc>
          <w:tcPr>
            <w:tcW w:w="851" w:type="dxa"/>
          </w:tcPr>
          <w:p w14:paraId="2DCEB08F" w14:textId="538E1077" w:rsidR="00626FEA" w:rsidRPr="001455DC" w:rsidRDefault="00626FEA" w:rsidP="00D86695">
            <w:pPr>
              <w:pStyle w:val="Tablebody"/>
            </w:pPr>
            <w:r w:rsidRPr="001455DC">
              <w:rPr>
                <w:rStyle w:val="CCMCvariableitalic"/>
                <w:szCs w:val="22"/>
              </w:rPr>
              <w:t>T</w:t>
            </w:r>
            <w:r w:rsidRPr="001455DC">
              <w:rPr>
                <w:rStyle w:val="CCMCvariablesubscript"/>
                <w:szCs w:val="22"/>
              </w:rPr>
              <w:t>0</w:t>
            </w:r>
          </w:p>
        </w:tc>
        <w:tc>
          <w:tcPr>
            <w:tcW w:w="8562" w:type="dxa"/>
          </w:tcPr>
          <w:p w14:paraId="6D582175" w14:textId="61368977" w:rsidR="00626FEA" w:rsidRPr="001455DC" w:rsidRDefault="00626FEA" w:rsidP="00D86695">
            <w:pPr>
              <w:pStyle w:val="Tablebody"/>
            </w:pPr>
            <w:r w:rsidRPr="001455DC">
              <w:rPr>
                <w:szCs w:val="22"/>
              </w:rPr>
              <w:t>is the temperature of the restraining structure;</w:t>
            </w:r>
          </w:p>
        </w:tc>
      </w:tr>
      <w:tr w:rsidR="00626FEA" w:rsidRPr="001455DC" w14:paraId="6BB91AE8" w14:textId="77777777" w:rsidTr="00626FEA">
        <w:trPr>
          <w:cantSplit/>
        </w:trPr>
        <w:tc>
          <w:tcPr>
            <w:tcW w:w="851" w:type="dxa"/>
          </w:tcPr>
          <w:p w14:paraId="01D40C8D" w14:textId="7700EC73" w:rsidR="00626FEA" w:rsidRPr="001455DC" w:rsidRDefault="00626FEA" w:rsidP="00D86695">
            <w:pPr>
              <w:pStyle w:val="Tablebody"/>
            </w:pPr>
            <w:r w:rsidRPr="001455DC">
              <w:rPr>
                <w:rStyle w:val="CCMCvariableitalic"/>
                <w:szCs w:val="22"/>
              </w:rPr>
              <w:t>k</w:t>
            </w:r>
            <w:r w:rsidRPr="001455DC">
              <w:rPr>
                <w:rStyle w:val="CCMCvariablesubscript"/>
                <w:szCs w:val="22"/>
              </w:rPr>
              <w:t>Temp</w:t>
            </w:r>
          </w:p>
        </w:tc>
        <w:tc>
          <w:tcPr>
            <w:tcW w:w="8562" w:type="dxa"/>
          </w:tcPr>
          <w:p w14:paraId="3EF22D1A" w14:textId="78B91E37" w:rsidR="00626FEA" w:rsidRPr="001455DC" w:rsidRDefault="00626FEA" w:rsidP="00D86695">
            <w:pPr>
              <w:pStyle w:val="Tablebody"/>
            </w:pPr>
            <w:r w:rsidRPr="001455DC">
              <w:rPr>
                <w:szCs w:val="22"/>
              </w:rPr>
              <w:t xml:space="preserve">is a factor accounting for the reduction in temperature from </w:t>
            </w:r>
            <w:r w:rsidRPr="001455DC">
              <w:rPr>
                <w:rStyle w:val="CCMCvariableitalic"/>
                <w:szCs w:val="22"/>
              </w:rPr>
              <w:t>t</w:t>
            </w:r>
            <w:r w:rsidRPr="001455DC">
              <w:rPr>
                <w:rStyle w:val="CCMCvariablesubscript"/>
                <w:szCs w:val="22"/>
              </w:rPr>
              <w:t>1</w:t>
            </w:r>
            <w:r w:rsidRPr="001455DC">
              <w:rPr>
                <w:szCs w:val="22"/>
              </w:rPr>
              <w:t xml:space="preserve"> to </w:t>
            </w:r>
            <w:r w:rsidRPr="001455DC">
              <w:rPr>
                <w:rStyle w:val="CCMCvariableitalic"/>
                <w:szCs w:val="22"/>
              </w:rPr>
              <w:t>t</w:t>
            </w:r>
            <w:r w:rsidRPr="001455DC">
              <w:rPr>
                <w:rStyle w:val="CCMCvariablesubscript"/>
                <w:szCs w:val="22"/>
              </w:rPr>
              <w:t>2</w:t>
            </w:r>
            <w:r w:rsidRPr="001455DC">
              <w:rPr>
                <w:szCs w:val="22"/>
              </w:rPr>
              <w:t xml:space="preserve"> (see Figure D.1) and may be taken as 0,9;</w:t>
            </w:r>
          </w:p>
        </w:tc>
      </w:tr>
      <w:tr w:rsidR="00626FEA" w:rsidRPr="001455DC" w14:paraId="6D10A4AA" w14:textId="77777777" w:rsidTr="00626FEA">
        <w:trPr>
          <w:cantSplit/>
        </w:trPr>
        <w:tc>
          <w:tcPr>
            <w:tcW w:w="851" w:type="dxa"/>
          </w:tcPr>
          <w:p w14:paraId="199ECDBF" w14:textId="069AE2C7" w:rsidR="00626FEA" w:rsidRPr="001455DC" w:rsidRDefault="00626FEA" w:rsidP="00D86695">
            <w:pPr>
              <w:pStyle w:val="Tablebody"/>
            </w:pPr>
            <w:r w:rsidRPr="001455DC">
              <w:rPr>
                <w:rStyle w:val="CCMCvariableitalic"/>
                <w:szCs w:val="22"/>
              </w:rPr>
              <w:t>χφ</w:t>
            </w:r>
            <w:r w:rsidRPr="001455DC">
              <w:rPr>
                <w:rStyle w:val="CCMCvariablesubscript"/>
                <w:szCs w:val="22"/>
              </w:rPr>
              <w:t>st</w:t>
            </w:r>
          </w:p>
        </w:tc>
        <w:tc>
          <w:tcPr>
            <w:tcW w:w="8562" w:type="dxa"/>
          </w:tcPr>
          <w:p w14:paraId="7C47E45C" w14:textId="3001393F" w:rsidR="00626FEA" w:rsidRPr="001455DC" w:rsidRDefault="00626FEA" w:rsidP="00D86695">
            <w:pPr>
              <w:pStyle w:val="Tablebody"/>
            </w:pPr>
            <w:r w:rsidRPr="001455DC">
              <w:rPr>
                <w:szCs w:val="22"/>
              </w:rPr>
              <w:t>accounts for short term creep relaxation which is significant, in spite of the short time, due to the low maturity of concrete and the presence of hydration heat. Its value may be estimated as 0,55.</w:t>
            </w:r>
          </w:p>
        </w:tc>
      </w:tr>
    </w:tbl>
    <w:p w14:paraId="7E63EDE8" w14:textId="2AE6A933" w:rsidR="00626FEA" w:rsidRPr="001455DC" w:rsidRDefault="004E22C1" w:rsidP="00116AE2">
      <w:pPr>
        <w:pStyle w:val="a0"/>
        <w:keepNext/>
      </w:pPr>
      <w:r w:rsidRPr="001455DC">
        <w:t>Long term analysis. For this verification, the effects of long-term temperature variation and drying shrinkage should be considered. The maximum tensile stress may be determined using Formula (D.5):</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626FEA" w:rsidRPr="001455DC" w14:paraId="4B22124B" w14:textId="77777777" w:rsidTr="00626FEA">
        <w:trPr>
          <w:cantSplit/>
        </w:trPr>
        <w:tc>
          <w:tcPr>
            <w:tcW w:w="8505" w:type="dxa"/>
            <w:vAlign w:val="center"/>
          </w:tcPr>
          <w:p w14:paraId="5AAAE0C7" w14:textId="4330186B" w:rsidR="00626FEA" w:rsidRPr="001455DC" w:rsidRDefault="00231E33" w:rsidP="00626FEA">
            <w:pPr>
              <w:pStyle w:val="Formula"/>
              <w:jc w:val="left"/>
            </w:pPr>
            <m:oMathPara>
              <m:oMathParaPr>
                <m:jc m:val="left"/>
              </m:oMathParaPr>
              <m:oMath>
                <m:sSub>
                  <m:sSubPr>
                    <m:ctrlPr>
                      <w:rPr>
                        <w:rFonts w:ascii="Cambria Math" w:hAnsi="Cambria Math"/>
                      </w:rPr>
                    </m:ctrlPr>
                  </m:sSubPr>
                  <m:e>
                    <m:r>
                      <w:rPr>
                        <w:rFonts w:ascii="Cambria Math" w:hAnsi="Cambria Math"/>
                      </w:rPr>
                      <m:t>σ</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ax</m:t>
                    </m:r>
                    <m:r>
                      <w:rPr>
                        <w:rFonts w:ascii="Cambria Math" w:hAnsi="Cambria Math"/>
                      </w:rPr>
                      <m:t>,1</m:t>
                    </m:r>
                  </m:sub>
                </m:sSub>
                <m:f>
                  <m:fPr>
                    <m:ctrlPr>
                      <w:rPr>
                        <w:rFonts w:ascii="Cambria Math" w:hAnsi="Cambria Math"/>
                      </w:rPr>
                    </m:ctrlPr>
                  </m:fPr>
                  <m:num>
                    <m:sSub>
                      <m:sSubPr>
                        <m:ctrlPr>
                          <w:rPr>
                            <w:rFonts w:ascii="Cambria Math" w:hAnsi="Cambria Math"/>
                          </w:rPr>
                        </m:ctrlPr>
                      </m:sSubPr>
                      <m:e>
                        <m:r>
                          <w:rPr>
                            <w:rFonts w:ascii="Cambria Math" w:hAnsi="Cambria Math"/>
                          </w:rPr>
                          <m:t>E</m:t>
                        </m:r>
                      </m:e>
                      <m:sub>
                        <m:r>
                          <m:rPr>
                            <m:sty m:val="p"/>
                          </m:rPr>
                          <w:rPr>
                            <w:rFonts w:ascii="Cambria Math" w:hAnsi="Cambria Math"/>
                          </w:rPr>
                          <m:t>c,</m:t>
                        </m:r>
                        <m:r>
                          <w:rPr>
                            <w:rFonts w:ascii="Cambria Math" w:hAnsi="Cambria Math"/>
                          </w:rPr>
                          <m:t>28</m:t>
                        </m:r>
                      </m:sub>
                    </m:sSub>
                  </m:num>
                  <m:den>
                    <m:r>
                      <w:rPr>
                        <w:rFonts w:ascii="Cambria Math" w:hAnsi="Cambria Math"/>
                      </w:rPr>
                      <m:t>1+χφ</m:t>
                    </m:r>
                    <m:d>
                      <m:dPr>
                        <m:sepChr m:val=""/>
                        <m:ctrlPr>
                          <w:rPr>
                            <w:rFonts w:ascii="Cambria Math" w:hAnsi="Cambria Math"/>
                          </w:rPr>
                        </m:ctrlPr>
                      </m:dPr>
                      <m:e>
                        <m:r>
                          <w:rPr>
                            <w:rFonts w:ascii="Cambria Math" w:hAnsi="Cambria Math"/>
                          </w:rPr>
                          <m:t>t</m:t>
                        </m:r>
                      </m:e>
                      <m:e>
                        <m:r>
                          <w:rPr>
                            <w:rFonts w:ascii="Cambria Math" w:hAnsi="Cambria Math"/>
                          </w:rPr>
                          <m:t>,</m:t>
                        </m:r>
                      </m:e>
                      <m:e>
                        <m:sSub>
                          <m:sSubPr>
                            <m:ctrlPr>
                              <w:rPr>
                                <w:rFonts w:ascii="Cambria Math" w:hAnsi="Cambria Math"/>
                              </w:rPr>
                            </m:ctrlPr>
                          </m:sSubPr>
                          <m:e>
                            <m:r>
                              <w:rPr>
                                <w:rFonts w:ascii="Cambria Math" w:hAnsi="Cambria Math"/>
                              </w:rPr>
                              <m:t>t</m:t>
                            </m:r>
                          </m:e>
                          <m:sub>
                            <m:r>
                              <w:rPr>
                                <w:rFonts w:ascii="Cambria Math" w:hAnsi="Cambria Math"/>
                              </w:rPr>
                              <m:t>2</m:t>
                            </m:r>
                          </m:sub>
                        </m:sSub>
                      </m:e>
                    </m:d>
                  </m:den>
                </m:f>
                <m:d>
                  <m:dPr>
                    <m:ctrlPr>
                      <w:rPr>
                        <w:rFonts w:ascii="Cambria Math" w:hAnsi="Cambria Math"/>
                      </w:rPr>
                    </m:ctrlPr>
                  </m:dPr>
                  <m:e>
                    <m:sSub>
                      <m:sSubPr>
                        <m:ctrlPr>
                          <w:rPr>
                            <w:rFonts w:ascii="Cambria Math" w:hAnsi="Cambria Math"/>
                          </w:rPr>
                        </m:ctrlPr>
                      </m:sSubPr>
                      <m:e>
                        <m:r>
                          <w:rPr>
                            <w:rFonts w:ascii="Cambria Math" w:hAnsi="Cambria Math"/>
                          </w:rPr>
                          <m:t>k</m:t>
                        </m:r>
                      </m:e>
                      <m:sub>
                        <m:r>
                          <m:rPr>
                            <m:sty m:val="p"/>
                          </m:rPr>
                          <w:rPr>
                            <w:rFonts w:ascii="Cambria Math" w:hAnsi="Cambria Math"/>
                          </w:rPr>
                          <m:t>T</m:t>
                        </m:r>
                      </m:sub>
                    </m:sSub>
                    <m:sSub>
                      <m:sSubPr>
                        <m:ctrlPr>
                          <w:rPr>
                            <w:rFonts w:ascii="Cambria Math" w:hAnsi="Cambria Math"/>
                          </w:rPr>
                        </m:ctrlPr>
                      </m:sSubPr>
                      <m:e>
                        <m:r>
                          <w:rPr>
                            <w:rFonts w:ascii="Cambria Math" w:hAnsi="Cambria Math"/>
                          </w:rPr>
                          <m:t>α</m:t>
                        </m:r>
                      </m:e>
                      <m:sub>
                        <m:r>
                          <m:rPr>
                            <m:sty m:val="p"/>
                          </m:rPr>
                          <w:rPr>
                            <w:rFonts w:ascii="Cambria Math" w:hAnsi="Cambria Math"/>
                          </w:rPr>
                          <m:t>T</m:t>
                        </m:r>
                      </m:sub>
                    </m:sSub>
                    <m:d>
                      <m:dPr>
                        <m:sepChr m:val=""/>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max</m:t>
                            </m:r>
                          </m:sub>
                        </m:sSub>
                      </m:e>
                      <m:e>
                        <m:r>
                          <w:rPr>
                            <w:rFonts w:ascii="Cambria Math" w:hAnsi="Cambria Math"/>
                          </w:rPr>
                          <m:t>-</m:t>
                        </m:r>
                      </m:e>
                      <m:e>
                        <m:sSub>
                          <m:sSubPr>
                            <m:ctrlPr>
                              <w:rPr>
                                <w:rFonts w:ascii="Cambria Math" w:hAnsi="Cambria Math"/>
                              </w:rPr>
                            </m:ctrlPr>
                          </m:sSubPr>
                          <m:e>
                            <m:r>
                              <w:rPr>
                                <w:rFonts w:ascii="Cambria Math" w:hAnsi="Cambria Math"/>
                              </w:rPr>
                              <m:t>T</m:t>
                            </m:r>
                          </m:e>
                          <m:sub>
                            <m:r>
                              <w:rPr>
                                <w:rFonts w:ascii="Cambria Math" w:hAnsi="Cambria Math"/>
                              </w:rPr>
                              <m:t>0</m:t>
                            </m:r>
                          </m:sub>
                        </m:sSub>
                      </m:e>
                    </m:d>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ε</m:t>
                            </m:r>
                          </m:e>
                          <m:sub>
                            <m:r>
                              <m:rPr>
                                <m:sty m:val="p"/>
                              </m:rPr>
                              <w:rPr>
                                <w:rFonts w:ascii="Cambria Math" w:hAnsi="Cambria Math"/>
                              </w:rPr>
                              <m:t>cbs</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r>
                              <w:rPr>
                                <w:rFonts w:ascii="Cambria Math" w:hAnsi="Cambria Math"/>
                              </w:rPr>
                              <m:t>ε</m:t>
                            </m:r>
                          </m:e>
                          <m:sub>
                            <m:r>
                              <m:rPr>
                                <m:sty m:val="p"/>
                              </m:rPr>
                              <w:rPr>
                                <w:rFonts w:ascii="Cambria Math" w:hAnsi="Cambria Math"/>
                              </w:rPr>
                              <m:t>cbs</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2</m:t>
                                </m:r>
                              </m:sub>
                            </m:sSub>
                          </m:e>
                        </m:d>
                      </m:e>
                    </m:d>
                  </m:e>
                </m:d>
                <m:r>
                  <m:rPr>
                    <m:sty m:val="p"/>
                  </m:rPr>
                  <w:rPr>
                    <w:rFonts w:ascii="Cambria Math" w:hAnsi="Cambria Math"/>
                  </w:rPr>
                  <w:br/>
                </m:r>
              </m:oMath>
              <m:oMath>
                <m:r>
                  <w:rPr>
                    <w:rFonts w:ascii="Cambria Math" w:hAnsi="Cambria Math"/>
                  </w:rPr>
                  <m:t xml:space="preserve">          + </m:t>
                </m:r>
                <m:sSub>
                  <m:sSubPr>
                    <m:ctrlPr>
                      <w:rPr>
                        <w:rFonts w:ascii="Cambria Math" w:hAnsi="Cambria Math"/>
                      </w:rPr>
                    </m:ctrlPr>
                  </m:sSubPr>
                  <m:e>
                    <m:r>
                      <w:rPr>
                        <w:rFonts w:ascii="Cambria Math" w:hAnsi="Cambria Math"/>
                      </w:rPr>
                      <m:t>R</m:t>
                    </m:r>
                  </m:e>
                  <m:sub>
                    <m:r>
                      <m:rPr>
                        <m:sty m:val="p"/>
                      </m:rPr>
                      <w:rPr>
                        <w:rFonts w:ascii="Cambria Math" w:hAnsi="Cambria Math"/>
                      </w:rPr>
                      <m:t>ax</m:t>
                    </m:r>
                    <m:r>
                      <w:rPr>
                        <w:rFonts w:ascii="Cambria Math" w:hAnsi="Cambria Math"/>
                      </w:rPr>
                      <m:t>,2</m:t>
                    </m:r>
                  </m:sub>
                </m:sSub>
                <m:sSub>
                  <m:sSubPr>
                    <m:ctrlPr>
                      <w:rPr>
                        <w:rFonts w:ascii="Cambria Math" w:hAnsi="Cambria Math"/>
                      </w:rPr>
                    </m:ctrlPr>
                  </m:sSubPr>
                  <m:e>
                    <m:r>
                      <w:rPr>
                        <w:rFonts w:ascii="Cambria Math" w:hAnsi="Cambria Math"/>
                      </w:rPr>
                      <m:t>E</m:t>
                    </m:r>
                  </m:e>
                  <m:sub>
                    <m:r>
                      <m:rPr>
                        <m:sty m:val="p"/>
                      </m:rPr>
                      <w:rPr>
                        <w:rFonts w:ascii="Cambria Math" w:hAnsi="Cambria Math"/>
                      </w:rPr>
                      <m:t>c,</m:t>
                    </m:r>
                    <m:r>
                      <w:rPr>
                        <w:rFonts w:ascii="Cambria Math" w:hAnsi="Cambria Math"/>
                      </w:rPr>
                      <m:t>28</m:t>
                    </m:r>
                  </m:sub>
                </m:sSub>
                <m:sSub>
                  <m:sSubPr>
                    <m:ctrlPr>
                      <w:rPr>
                        <w:rFonts w:ascii="Cambria Math" w:hAnsi="Cambria Math"/>
                      </w:rPr>
                    </m:ctrlPr>
                  </m:sSubPr>
                  <m:e>
                    <m:r>
                      <w:rPr>
                        <w:rFonts w:ascii="Cambria Math" w:hAnsi="Cambria Math"/>
                      </w:rPr>
                      <m:t>α</m:t>
                    </m:r>
                  </m:e>
                  <m:sub>
                    <m:r>
                      <m:rPr>
                        <m:sty m:val="p"/>
                      </m:rPr>
                      <w:rPr>
                        <w:rFonts w:ascii="Cambria Math" w:hAnsi="Cambria Math"/>
                      </w:rPr>
                      <m:t>T</m:t>
                    </m:r>
                  </m:sub>
                </m:sSub>
                <m:r>
                  <m:rPr>
                    <m:sty m:val="p"/>
                  </m:rPr>
                  <w:rPr>
                    <w:rFonts w:ascii="Cambria Math" w:hAnsi="Cambria Math"/>
                  </w:rPr>
                  <m:t>Δ</m:t>
                </m:r>
                <m:sSub>
                  <m:sSubPr>
                    <m:ctrlPr>
                      <w:rPr>
                        <w:rFonts w:ascii="Cambria Math" w:hAnsi="Cambria Math"/>
                      </w:rPr>
                    </m:ctrlPr>
                  </m:sSubPr>
                  <m:e>
                    <m:r>
                      <w:rPr>
                        <w:rFonts w:ascii="Cambria Math" w:hAnsi="Cambria Math"/>
                      </w:rPr>
                      <m:t>T</m:t>
                    </m:r>
                  </m:e>
                  <m:sub>
                    <m:r>
                      <m:rPr>
                        <m:sty m:val="p"/>
                      </m:rPr>
                      <w:rPr>
                        <w:rFonts w:ascii="Cambria Math" w:hAnsi="Cambria Math"/>
                      </w:rPr>
                      <m:t>min</m:t>
                    </m:r>
                  </m:sub>
                </m:sSub>
                <m:r>
                  <m:rPr>
                    <m:sty m:val="p"/>
                  </m:rPr>
                  <w:rPr>
                    <w:rFonts w:ascii="Cambria Math" w:hAnsi="Cambria Math"/>
                  </w:rPr>
                  <w:br/>
                </m:r>
              </m:oMath>
              <m:oMath>
                <m:r>
                  <w:rPr>
                    <w:rFonts w:ascii="Cambria Math" w:hAnsi="Cambria Math"/>
                  </w:rPr>
                  <m:t xml:space="preserve">          + </m:t>
                </m:r>
                <m:sSub>
                  <m:sSubPr>
                    <m:ctrlPr>
                      <w:rPr>
                        <w:rFonts w:ascii="Cambria Math" w:hAnsi="Cambria Math"/>
                      </w:rPr>
                    </m:ctrlPr>
                  </m:sSubPr>
                  <m:e>
                    <m:r>
                      <w:rPr>
                        <w:rFonts w:ascii="Cambria Math" w:hAnsi="Cambria Math"/>
                      </w:rPr>
                      <m:t>R</m:t>
                    </m:r>
                  </m:e>
                  <m:sub>
                    <m:r>
                      <m:rPr>
                        <m:sty m:val="p"/>
                      </m:rPr>
                      <w:rPr>
                        <w:rFonts w:ascii="Cambria Math" w:hAnsi="Cambria Math"/>
                      </w:rPr>
                      <m:t>ax</m:t>
                    </m:r>
                    <m:r>
                      <w:rPr>
                        <w:rFonts w:ascii="Cambria Math" w:hAnsi="Cambria Math"/>
                      </w:rPr>
                      <m:t>,3</m:t>
                    </m:r>
                  </m:sub>
                </m:sSub>
                <m:f>
                  <m:fPr>
                    <m:ctrlPr>
                      <w:rPr>
                        <w:rFonts w:ascii="Cambria Math" w:hAnsi="Cambria Math"/>
                      </w:rPr>
                    </m:ctrlPr>
                  </m:fPr>
                  <m:num>
                    <m:sSub>
                      <m:sSubPr>
                        <m:ctrlPr>
                          <w:rPr>
                            <w:rFonts w:ascii="Cambria Math" w:hAnsi="Cambria Math"/>
                          </w:rPr>
                        </m:ctrlPr>
                      </m:sSubPr>
                      <m:e>
                        <m:r>
                          <w:rPr>
                            <w:rFonts w:ascii="Cambria Math" w:hAnsi="Cambria Math"/>
                          </w:rPr>
                          <m:t>E</m:t>
                        </m:r>
                      </m:e>
                      <m:sub>
                        <m:r>
                          <m:rPr>
                            <m:sty m:val="p"/>
                          </m:rPr>
                          <w:rPr>
                            <w:rFonts w:ascii="Cambria Math" w:hAnsi="Cambria Math"/>
                          </w:rPr>
                          <m:t>c</m:t>
                        </m:r>
                        <m:r>
                          <w:rPr>
                            <w:rFonts w:ascii="Cambria Math" w:hAnsi="Cambria Math"/>
                          </w:rPr>
                          <m:t>,28</m:t>
                        </m:r>
                      </m:sub>
                    </m:sSub>
                  </m:num>
                  <m:den>
                    <m:r>
                      <w:rPr>
                        <w:rFonts w:ascii="Cambria Math" w:hAnsi="Cambria Math"/>
                      </w:rPr>
                      <m:t>1+χφ</m:t>
                    </m:r>
                    <m:d>
                      <m:dPr>
                        <m:sepChr m:val=""/>
                        <m:ctrlPr>
                          <w:rPr>
                            <w:rFonts w:ascii="Cambria Math" w:hAnsi="Cambria Math"/>
                          </w:rPr>
                        </m:ctrlPr>
                      </m:dPr>
                      <m:e>
                        <m:r>
                          <w:rPr>
                            <w:rFonts w:ascii="Cambria Math" w:hAnsi="Cambria Math"/>
                          </w:rPr>
                          <m:t>t</m:t>
                        </m:r>
                      </m:e>
                      <m:e>
                        <m:r>
                          <w:rPr>
                            <w:rFonts w:ascii="Cambria Math" w:hAnsi="Cambria Math"/>
                          </w:rPr>
                          <m:t>,</m:t>
                        </m:r>
                      </m:e>
                      <m:e>
                        <m:sSub>
                          <m:sSubPr>
                            <m:ctrlPr>
                              <w:rPr>
                                <w:rFonts w:ascii="Cambria Math" w:hAnsi="Cambria Math"/>
                              </w:rPr>
                            </m:ctrlPr>
                          </m:sSubPr>
                          <m:e>
                            <m:r>
                              <w:rPr>
                                <w:rFonts w:ascii="Cambria Math" w:hAnsi="Cambria Math"/>
                              </w:rPr>
                              <m:t>t</m:t>
                            </m:r>
                          </m:e>
                          <m:sub>
                            <m:r>
                              <m:rPr>
                                <m:sty m:val="p"/>
                              </m:rPr>
                              <w:rPr>
                                <w:rFonts w:ascii="Cambria Math" w:hAnsi="Cambria Math"/>
                              </w:rPr>
                              <m:t>s</m:t>
                            </m:r>
                          </m:sub>
                        </m:sSub>
                      </m:e>
                    </m:d>
                  </m:den>
                </m:f>
                <m:r>
                  <w:rPr>
                    <w:rFonts w:ascii="Cambria Math" w:hAnsi="Cambria Math"/>
                  </w:rPr>
                  <m:t>⋅</m:t>
                </m:r>
                <m:d>
                  <m:dPr>
                    <m:begChr m:val="["/>
                    <m:sepChr m:val=""/>
                    <m:endChr m:val="]"/>
                    <m:ctrlPr>
                      <w:rPr>
                        <w:rFonts w:ascii="Cambria Math" w:hAnsi="Cambria Math"/>
                      </w:rPr>
                    </m:ctrlPr>
                  </m:dPr>
                  <m:e>
                    <m:sSub>
                      <m:sSubPr>
                        <m:ctrlPr>
                          <w:rPr>
                            <w:rFonts w:ascii="Cambria Math" w:hAnsi="Cambria Math"/>
                          </w:rPr>
                        </m:ctrlPr>
                      </m:sSubPr>
                      <m:e>
                        <m:r>
                          <w:rPr>
                            <w:rFonts w:ascii="Cambria Math" w:hAnsi="Cambria Math"/>
                          </w:rPr>
                          <m:t>ε</m:t>
                        </m:r>
                      </m:e>
                      <m:sub>
                        <m:r>
                          <m:rPr>
                            <m:sty m:val="p"/>
                          </m:rPr>
                          <w:rPr>
                            <w:rFonts w:ascii="Cambria Math" w:hAnsi="Cambria Math"/>
                          </w:rPr>
                          <m:t>cds</m:t>
                        </m:r>
                      </m:sub>
                    </m:sSub>
                  </m:e>
                  <m:e>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r>
                          <w:rPr>
                            <w:rFonts w:ascii="Cambria Math" w:hAnsi="Cambria Math"/>
                          </w:rPr>
                          <m:t>ε</m:t>
                        </m:r>
                      </m:e>
                      <m:sub>
                        <m:r>
                          <m:rPr>
                            <m:sty m:val="p"/>
                          </m:rPr>
                          <w:rPr>
                            <w:rFonts w:ascii="Cambria Math" w:hAnsi="Cambria Math"/>
                          </w:rPr>
                          <m:t>cds</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2</m:t>
                            </m:r>
                          </m:sub>
                        </m:sSub>
                      </m:e>
                    </m:d>
                  </m:e>
                </m:d>
              </m:oMath>
            </m:oMathPara>
          </w:p>
        </w:tc>
        <w:tc>
          <w:tcPr>
            <w:tcW w:w="1247" w:type="dxa"/>
            <w:vAlign w:val="center"/>
          </w:tcPr>
          <w:p w14:paraId="687E2A1A" w14:textId="1954FBF0" w:rsidR="00626FEA" w:rsidRPr="001455DC" w:rsidRDefault="00626FEA" w:rsidP="00626FEA">
            <w:pPr>
              <w:pStyle w:val="a7"/>
              <w:jc w:val="right"/>
            </w:pPr>
            <w:r w:rsidRPr="001455DC">
              <w:t>(D.5)</w:t>
            </w:r>
          </w:p>
        </w:tc>
      </w:tr>
    </w:tbl>
    <w:p w14:paraId="1DA96A19" w14:textId="77777777" w:rsidR="00A55D4B" w:rsidRPr="001455DC" w:rsidRDefault="00A55D4B" w:rsidP="00A35599">
      <w:pPr>
        <w:pStyle w:val="a7"/>
        <w:keepNext/>
      </w:pPr>
      <w:r w:rsidRPr="001455DC">
        <w:t>where</w:t>
      </w:r>
    </w:p>
    <w:tbl>
      <w:tblPr>
        <w:tblW w:w="9413" w:type="dxa"/>
        <w:tblInd w:w="397" w:type="dxa"/>
        <w:tblLayout w:type="fixed"/>
        <w:tblCellMar>
          <w:left w:w="28" w:type="dxa"/>
          <w:right w:w="28" w:type="dxa"/>
        </w:tblCellMar>
        <w:tblLook w:val="04A0" w:firstRow="1" w:lastRow="0" w:firstColumn="1" w:lastColumn="0" w:noHBand="0" w:noVBand="1"/>
      </w:tblPr>
      <w:tblGrid>
        <w:gridCol w:w="851"/>
        <w:gridCol w:w="8562"/>
      </w:tblGrid>
      <w:tr w:rsidR="00A55D4B" w:rsidRPr="001455DC" w14:paraId="1BE8483B" w14:textId="77777777" w:rsidTr="00A55D4B">
        <w:trPr>
          <w:cantSplit/>
        </w:trPr>
        <w:tc>
          <w:tcPr>
            <w:tcW w:w="851" w:type="dxa"/>
          </w:tcPr>
          <w:p w14:paraId="0757F323" w14:textId="6A82C219" w:rsidR="00A55D4B" w:rsidRPr="001455DC" w:rsidRDefault="00A55D4B" w:rsidP="0000442A">
            <w:pPr>
              <w:pStyle w:val="Tablebody"/>
            </w:pPr>
            <w:r w:rsidRPr="001455DC">
              <w:rPr>
                <w:rStyle w:val="CCMCvariableitalic"/>
                <w:szCs w:val="22"/>
              </w:rPr>
              <w:t>R</w:t>
            </w:r>
            <w:r w:rsidRPr="001455DC">
              <w:rPr>
                <w:rStyle w:val="CCMCvariablesubscript"/>
                <w:szCs w:val="22"/>
              </w:rPr>
              <w:t>ax,2</w:t>
            </w:r>
          </w:p>
        </w:tc>
        <w:tc>
          <w:tcPr>
            <w:tcW w:w="8562" w:type="dxa"/>
          </w:tcPr>
          <w:p w14:paraId="54174614" w14:textId="663207BD" w:rsidR="00A55D4B" w:rsidRPr="001455DC" w:rsidRDefault="00A55D4B" w:rsidP="00BB1209">
            <w:pPr>
              <w:pStyle w:val="Tablebody"/>
            </w:pPr>
            <w:r w:rsidRPr="001455DC">
              <w:rPr>
                <w:szCs w:val="22"/>
              </w:rPr>
              <w:t>is the restraint factor (see 9.2.4 (3)) corresponding to the boundary conditions present when the maximum temperature drop is expected to occur;</w:t>
            </w:r>
          </w:p>
        </w:tc>
      </w:tr>
      <w:tr w:rsidR="00A55D4B" w:rsidRPr="001455DC" w14:paraId="69FD6A2B" w14:textId="77777777" w:rsidTr="00A55D4B">
        <w:trPr>
          <w:cantSplit/>
        </w:trPr>
        <w:tc>
          <w:tcPr>
            <w:tcW w:w="851" w:type="dxa"/>
          </w:tcPr>
          <w:p w14:paraId="3927C68B" w14:textId="2E244B4F" w:rsidR="00A55D4B" w:rsidRPr="001455DC" w:rsidRDefault="00A55D4B" w:rsidP="0000442A">
            <w:pPr>
              <w:pStyle w:val="Tablebody"/>
            </w:pPr>
            <w:r w:rsidRPr="001455DC">
              <w:rPr>
                <w:rStyle w:val="CCMCvariableitalic"/>
                <w:szCs w:val="22"/>
              </w:rPr>
              <w:t>R</w:t>
            </w:r>
            <w:r w:rsidRPr="001455DC">
              <w:rPr>
                <w:rStyle w:val="CCMCvariablesubscript"/>
                <w:szCs w:val="22"/>
              </w:rPr>
              <w:t>ax,3</w:t>
            </w:r>
          </w:p>
        </w:tc>
        <w:tc>
          <w:tcPr>
            <w:tcW w:w="8562" w:type="dxa"/>
          </w:tcPr>
          <w:p w14:paraId="45F8846F" w14:textId="7988F1CB" w:rsidR="00A55D4B" w:rsidRPr="001455DC" w:rsidRDefault="00A55D4B" w:rsidP="0000442A">
            <w:pPr>
              <w:pStyle w:val="Tablebody"/>
            </w:pPr>
            <w:r w:rsidRPr="001455DC">
              <w:rPr>
                <w:szCs w:val="22"/>
              </w:rPr>
              <w:t>is the restraint factor (see 9.2.4 (3)) corresponding to the boundary conditions prevalent during the development of drying shrinkage;</w:t>
            </w:r>
          </w:p>
        </w:tc>
      </w:tr>
      <w:tr w:rsidR="00A55D4B" w:rsidRPr="001455DC" w14:paraId="4A862C33" w14:textId="77777777" w:rsidTr="00A55D4B">
        <w:trPr>
          <w:cantSplit/>
        </w:trPr>
        <w:tc>
          <w:tcPr>
            <w:tcW w:w="851" w:type="dxa"/>
          </w:tcPr>
          <w:p w14:paraId="39DED747" w14:textId="47F2D7FF" w:rsidR="00A55D4B" w:rsidRPr="001455DC" w:rsidRDefault="00A55D4B" w:rsidP="00D86695">
            <w:pPr>
              <w:pStyle w:val="Tablebody"/>
            </w:pPr>
            <w:r w:rsidRPr="001455DC">
              <w:rPr>
                <w:szCs w:val="22"/>
              </w:rPr>
              <w:t>Δ</w:t>
            </w:r>
            <w:r w:rsidRPr="001455DC">
              <w:rPr>
                <w:rStyle w:val="CCMCvariableitalic"/>
                <w:szCs w:val="22"/>
              </w:rPr>
              <w:t>T</w:t>
            </w:r>
            <w:r w:rsidRPr="001455DC">
              <w:rPr>
                <w:rStyle w:val="CCMCvariablesubscript"/>
                <w:szCs w:val="22"/>
              </w:rPr>
              <w:t>min</w:t>
            </w:r>
          </w:p>
        </w:tc>
        <w:tc>
          <w:tcPr>
            <w:tcW w:w="8562" w:type="dxa"/>
          </w:tcPr>
          <w:p w14:paraId="34F58899" w14:textId="4AA92DBC" w:rsidR="00A55D4B" w:rsidRPr="001455DC" w:rsidRDefault="00A55D4B" w:rsidP="00D86695">
            <w:pPr>
              <w:pStyle w:val="Tablebody"/>
            </w:pPr>
            <w:r w:rsidRPr="001455DC">
              <w:rPr>
                <w:szCs w:val="22"/>
              </w:rPr>
              <w:t xml:space="preserve">is the maximum characteristic temperature drop with respect to the temperature considered at casting </w:t>
            </w:r>
            <w:r w:rsidRPr="001455DC">
              <w:rPr>
                <w:rStyle w:val="CCMCvariableitalic"/>
                <w:szCs w:val="22"/>
              </w:rPr>
              <w:t>T</w:t>
            </w:r>
            <w:r w:rsidRPr="001455DC">
              <w:rPr>
                <w:rStyle w:val="CCMCvariablesubscript"/>
                <w:szCs w:val="22"/>
              </w:rPr>
              <w:t>0</w:t>
            </w:r>
            <w:r w:rsidRPr="001455DC">
              <w:rPr>
                <w:szCs w:val="22"/>
              </w:rPr>
              <w:t>;</w:t>
            </w:r>
          </w:p>
        </w:tc>
      </w:tr>
      <w:tr w:rsidR="00A55D4B" w:rsidRPr="001455DC" w14:paraId="62307358" w14:textId="77777777" w:rsidTr="00A55D4B">
        <w:trPr>
          <w:cantSplit/>
        </w:trPr>
        <w:tc>
          <w:tcPr>
            <w:tcW w:w="851" w:type="dxa"/>
          </w:tcPr>
          <w:p w14:paraId="4ACDB6FB" w14:textId="08F37CF6" w:rsidR="00A55D4B" w:rsidRPr="001455DC" w:rsidRDefault="00A55D4B" w:rsidP="00D86695">
            <w:pPr>
              <w:pStyle w:val="Tablebody"/>
            </w:pPr>
            <w:r w:rsidRPr="001455DC">
              <w:rPr>
                <w:rStyle w:val="CCMCvariableitalic"/>
                <w:szCs w:val="22"/>
              </w:rPr>
              <w:t>χ</w:t>
            </w:r>
          </w:p>
        </w:tc>
        <w:tc>
          <w:tcPr>
            <w:tcW w:w="8562" w:type="dxa"/>
          </w:tcPr>
          <w:p w14:paraId="50F1AAC0" w14:textId="44EFFDE1" w:rsidR="00A55D4B" w:rsidRPr="001455DC" w:rsidRDefault="00A55D4B" w:rsidP="00D86695">
            <w:pPr>
              <w:pStyle w:val="Tablebody"/>
            </w:pPr>
            <w:r w:rsidRPr="001455DC">
              <w:rPr>
                <w:szCs w:val="22"/>
              </w:rPr>
              <w:t>is the aging coefficient which may be taken as 0,8;</w:t>
            </w:r>
          </w:p>
        </w:tc>
      </w:tr>
      <w:tr w:rsidR="00A55D4B" w:rsidRPr="001455DC" w14:paraId="153B7769" w14:textId="77777777" w:rsidTr="00A55D4B">
        <w:trPr>
          <w:cantSplit/>
        </w:trPr>
        <w:tc>
          <w:tcPr>
            <w:tcW w:w="851" w:type="dxa"/>
          </w:tcPr>
          <w:p w14:paraId="7D631E0A" w14:textId="33D90151" w:rsidR="00A55D4B" w:rsidRPr="001455DC" w:rsidRDefault="00A55D4B" w:rsidP="00D86695">
            <w:pPr>
              <w:pStyle w:val="Tablebody"/>
            </w:pPr>
            <w:r w:rsidRPr="001455DC">
              <w:rPr>
                <w:rStyle w:val="CCMCvariableitalic"/>
                <w:szCs w:val="22"/>
              </w:rPr>
              <w:t>E</w:t>
            </w:r>
            <w:r w:rsidRPr="001455DC">
              <w:rPr>
                <w:rStyle w:val="CCMCvariablesubscript"/>
                <w:szCs w:val="22"/>
              </w:rPr>
              <w:t>c,28</w:t>
            </w:r>
          </w:p>
        </w:tc>
        <w:tc>
          <w:tcPr>
            <w:tcW w:w="8562" w:type="dxa"/>
          </w:tcPr>
          <w:p w14:paraId="5E84519A" w14:textId="55CD5BD5" w:rsidR="00A55D4B" w:rsidRPr="001455DC" w:rsidRDefault="00A55D4B" w:rsidP="00D86695">
            <w:pPr>
              <w:pStyle w:val="Tablebody"/>
            </w:pPr>
            <w:r w:rsidRPr="001455DC">
              <w:rPr>
                <w:szCs w:val="22"/>
              </w:rPr>
              <w:t>is the tangent modulus of elasticity of concrete at an age of 28 days;</w:t>
            </w:r>
          </w:p>
        </w:tc>
      </w:tr>
    </w:tbl>
    <w:p w14:paraId="193A977C" w14:textId="6F7BD39E" w:rsidR="004E22C1" w:rsidRPr="001455DC" w:rsidRDefault="004E22C1" w:rsidP="00082680">
      <w:pPr>
        <w:pStyle w:val="a2"/>
      </w:pPr>
      <w:bookmarkStart w:id="1453" w:name="_Toc52820155"/>
      <w:bookmarkStart w:id="1454" w:name="_Toc54337153"/>
      <w:bookmarkStart w:id="1455" w:name="_Toc54337570"/>
      <w:bookmarkStart w:id="1456" w:name="_Toc54338210"/>
      <w:bookmarkStart w:id="1457" w:name="_Toc67565544"/>
      <w:r w:rsidRPr="001455DC">
        <w:t>Crack width calculations</w:t>
      </w:r>
      <w:bookmarkEnd w:id="1453"/>
      <w:bookmarkEnd w:id="1454"/>
      <w:bookmarkEnd w:id="1455"/>
      <w:bookmarkEnd w:id="1456"/>
      <w:bookmarkEnd w:id="1457"/>
    </w:p>
    <w:p w14:paraId="77D2319B" w14:textId="01362382" w:rsidR="004E22C1" w:rsidRPr="001455DC" w:rsidRDefault="004E22C1" w:rsidP="00626FEA">
      <w:pPr>
        <w:pStyle w:val="a7"/>
      </w:pPr>
      <w:r w:rsidRPr="001455DC">
        <w:t>(1)</w:t>
      </w:r>
      <w:r w:rsidRPr="001455DC">
        <w:tab/>
        <w:t>If cracking due to the imposed deformations does occur (</w:t>
      </w:r>
      <w:r w:rsidRPr="001455DC">
        <w:rPr>
          <w:rStyle w:val="CCMCvariableitalic"/>
        </w:rPr>
        <w:t>R</w:t>
      </w:r>
      <w:r w:rsidRPr="001455DC">
        <w:rPr>
          <w:rStyle w:val="CCMCvariablesubscript"/>
        </w:rPr>
        <w:t>cr</w:t>
      </w:r>
      <w:r w:rsidRPr="001455DC">
        <w:t> </w:t>
      </w:r>
      <w:r w:rsidR="00650035" w:rsidRPr="001455DC">
        <w:rPr>
          <w:rFonts w:ascii="Cambria Math" w:hAnsi="Cambria Math"/>
        </w:rPr>
        <w:t>&gt;</w:t>
      </w:r>
      <w:r w:rsidR="00073FC6" w:rsidRPr="001455DC">
        <w:t> </w:t>
      </w:r>
      <w:r w:rsidRPr="001455DC">
        <w:rPr>
          <w:rStyle w:val="CCMCvariableitalic"/>
        </w:rPr>
        <w:t>R</w:t>
      </w:r>
      <w:r w:rsidRPr="001455DC">
        <w:rPr>
          <w:rStyle w:val="CCMCvariablesubscript"/>
        </w:rPr>
        <w:t>ea,cr</w:t>
      </w:r>
      <w:r w:rsidRPr="001455DC">
        <w:t>), the crack width may be determined according to 9.2.4.</w:t>
      </w:r>
    </w:p>
    <w:p w14:paraId="55C6050A" w14:textId="77777777" w:rsidR="004E22C1" w:rsidRPr="001455DC" w:rsidRDefault="004E22C1" w:rsidP="00626FEA">
      <w:pPr>
        <w:pStyle w:val="a7"/>
      </w:pPr>
      <w:r w:rsidRPr="001455DC">
        <w:t>(2)</w:t>
      </w:r>
      <w:r w:rsidRPr="001455DC">
        <w:tab/>
        <w:t>For elements restrained at the ends Formula (9.13) applies.</w:t>
      </w:r>
    </w:p>
    <w:p w14:paraId="28BC22AE" w14:textId="77777777" w:rsidR="004E22C1" w:rsidRPr="001455DC" w:rsidRDefault="004E22C1" w:rsidP="00116AE2">
      <w:pPr>
        <w:pStyle w:val="a7"/>
        <w:keepNext/>
      </w:pPr>
      <w:r w:rsidRPr="001455DC">
        <w:t>(3)</w:t>
      </w:r>
      <w:r w:rsidRPr="001455DC">
        <w:tab/>
        <w:t xml:space="preserve">For elements restrained at the edges, in Formula (9.17), </w:t>
      </w:r>
      <w:r w:rsidRPr="001455DC">
        <w:rPr>
          <w:rStyle w:val="CCMCvariableitalic"/>
        </w:rPr>
        <w:t>R</w:t>
      </w:r>
      <w:r w:rsidRPr="001455DC">
        <w:rPr>
          <w:rStyle w:val="CCMCvariablesubscript"/>
        </w:rPr>
        <w:t>ax</w:t>
      </w:r>
      <w:r w:rsidRPr="001455DC">
        <w:rPr>
          <w:rStyle w:val="CCMCvariableitalic"/>
        </w:rPr>
        <w:t>ε</w:t>
      </w:r>
      <w:r w:rsidRPr="001455DC">
        <w:rPr>
          <w:rStyle w:val="CCMCvariablesubscript"/>
        </w:rPr>
        <w:t>free</w:t>
      </w:r>
      <w:r w:rsidRPr="001455DC">
        <w:t xml:space="preserve"> may be taken as:</w:t>
      </w:r>
    </w:p>
    <w:p w14:paraId="110D520D" w14:textId="4927497D" w:rsidR="00626FEA" w:rsidRPr="001455DC" w:rsidRDefault="004E22C1" w:rsidP="00116AE2">
      <w:pPr>
        <w:pStyle w:val="a0"/>
        <w:keepNext/>
      </w:pPr>
      <w:r w:rsidRPr="001455DC">
        <w:t>for early-age cracking:</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626FEA" w:rsidRPr="001455DC" w14:paraId="236A7A6D" w14:textId="77777777" w:rsidTr="00626FEA">
        <w:trPr>
          <w:cantSplit/>
        </w:trPr>
        <w:tc>
          <w:tcPr>
            <w:tcW w:w="8505" w:type="dxa"/>
            <w:vAlign w:val="center"/>
          </w:tcPr>
          <w:p w14:paraId="47117C30" w14:textId="293EF87A" w:rsidR="00626FEA" w:rsidRPr="001455DC" w:rsidRDefault="00231E33" w:rsidP="00626FEA">
            <w:pPr>
              <w:pStyle w:val="Formula"/>
              <w:jc w:val="left"/>
            </w:pPr>
            <m:oMathPara>
              <m:oMathParaPr>
                <m:jc m:val="left"/>
              </m:oMathParaPr>
              <m:oMath>
                <m:sSub>
                  <m:sSubPr>
                    <m:ctrlPr>
                      <w:rPr>
                        <w:rFonts w:ascii="Cambria Math" w:hAnsi="Cambria Math"/>
                      </w:rPr>
                    </m:ctrlPr>
                  </m:sSubPr>
                  <m:e>
                    <m:r>
                      <w:rPr>
                        <w:rFonts w:ascii="Cambria Math" w:hAnsi="Cambria Math"/>
                      </w:rPr>
                      <m:t>R</m:t>
                    </m:r>
                  </m:e>
                  <m:sub>
                    <m:r>
                      <m:rPr>
                        <m:sty m:val="p"/>
                      </m:rPr>
                      <w:rPr>
                        <w:rFonts w:ascii="Cambria Math" w:hAnsi="Cambria Math"/>
                      </w:rPr>
                      <m:t>ax</m:t>
                    </m:r>
                  </m:sub>
                </m:sSub>
                <m:sSub>
                  <m:sSubPr>
                    <m:ctrlPr>
                      <w:rPr>
                        <w:rFonts w:ascii="Cambria Math" w:hAnsi="Cambria Math"/>
                      </w:rPr>
                    </m:ctrlPr>
                  </m:sSubPr>
                  <m:e>
                    <m:r>
                      <w:rPr>
                        <w:rFonts w:ascii="Cambria Math" w:hAnsi="Cambria Math"/>
                      </w:rPr>
                      <m:t>ε</m:t>
                    </m:r>
                  </m:e>
                  <m:sub>
                    <m:r>
                      <m:rPr>
                        <m:sty m:val="p"/>
                      </m:rPr>
                      <w:rPr>
                        <w:rFonts w:ascii="Cambria Math" w:hAnsi="Cambria Math"/>
                      </w:rPr>
                      <m:t>free</m:t>
                    </m:r>
                  </m:sub>
                </m:sSub>
                <m: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ax</m:t>
                    </m:r>
                    <m:r>
                      <w:rPr>
                        <w:rFonts w:ascii="Cambria Math" w:hAnsi="Cambria Math"/>
                      </w:rPr>
                      <m:t>,1</m:t>
                    </m:r>
                  </m:sub>
                </m:sSub>
                <m:d>
                  <m:dPr>
                    <m:sepChr m:val=""/>
                    <m:ctrlPr>
                      <w:rPr>
                        <w:rFonts w:ascii="Cambria Math" w:hAnsi="Cambria Math"/>
                      </w:rPr>
                    </m:ctrlPr>
                  </m:dPr>
                  <m:e>
                    <m:sSub>
                      <m:sSubPr>
                        <m:ctrlPr>
                          <w:rPr>
                            <w:rFonts w:ascii="Cambria Math" w:hAnsi="Cambria Math"/>
                          </w:rPr>
                        </m:ctrlPr>
                      </m:sSubPr>
                      <m:e>
                        <m:r>
                          <w:rPr>
                            <w:rFonts w:ascii="Cambria Math" w:hAnsi="Cambria Math"/>
                          </w:rPr>
                          <m:t>k</m:t>
                        </m:r>
                      </m:e>
                      <m:sub>
                        <m:r>
                          <m:rPr>
                            <m:sty m:val="p"/>
                          </m:rPr>
                          <w:rPr>
                            <w:rFonts w:ascii="Cambria Math" w:hAnsi="Cambria Math"/>
                          </w:rPr>
                          <m:t>T</m:t>
                        </m:r>
                      </m:sub>
                    </m:sSub>
                  </m:e>
                  <m:e>
                    <m:sSub>
                      <m:sSubPr>
                        <m:ctrlPr>
                          <w:rPr>
                            <w:rFonts w:ascii="Cambria Math" w:hAnsi="Cambria Math"/>
                          </w:rPr>
                        </m:ctrlPr>
                      </m:sSubPr>
                      <m:e>
                        <m:r>
                          <w:rPr>
                            <w:rFonts w:ascii="Cambria Math" w:hAnsi="Cambria Math"/>
                          </w:rPr>
                          <m:t>α</m:t>
                        </m:r>
                      </m:e>
                      <m:sub>
                        <m:r>
                          <m:rPr>
                            <m:sty m:val="p"/>
                          </m:rPr>
                          <w:rPr>
                            <w:rFonts w:ascii="Cambria Math" w:hAnsi="Cambria Math"/>
                          </w:rPr>
                          <m:t>T</m:t>
                        </m:r>
                      </m:sub>
                    </m:sSub>
                  </m:e>
                  <m:e>
                    <m:d>
                      <m:dPr>
                        <m:sepChr m:val=""/>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max</m:t>
                            </m:r>
                          </m:sub>
                        </m:sSub>
                      </m:e>
                      <m:e>
                        <m:r>
                          <w:rPr>
                            <w:rFonts w:ascii="Cambria Math" w:hAnsi="Cambria Math"/>
                          </w:rPr>
                          <m:t>-</m:t>
                        </m:r>
                      </m:e>
                      <m:e>
                        <m:sSub>
                          <m:sSubPr>
                            <m:ctrlPr>
                              <w:rPr>
                                <w:rFonts w:ascii="Cambria Math" w:hAnsi="Cambria Math"/>
                              </w:rPr>
                            </m:ctrlPr>
                          </m:sSubPr>
                          <m:e>
                            <m:r>
                              <w:rPr>
                                <w:rFonts w:ascii="Cambria Math" w:hAnsi="Cambria Math"/>
                              </w:rPr>
                              <m:t>T</m:t>
                            </m:r>
                          </m:e>
                          <m:sub>
                            <m:r>
                              <w:rPr>
                                <w:rFonts w:ascii="Cambria Math" w:hAnsi="Cambria Math"/>
                              </w:rPr>
                              <m:t>0</m:t>
                            </m:r>
                          </m:sub>
                        </m:sSub>
                      </m:e>
                    </m:d>
                  </m:e>
                  <m:e>
                    <m:r>
                      <w:rPr>
                        <w:rFonts w:ascii="Cambria Math" w:hAnsi="Cambria Math"/>
                      </w:rPr>
                      <m:t>+</m:t>
                    </m:r>
                  </m:e>
                  <m:e>
                    <m:d>
                      <m:dPr>
                        <m:begChr m:val="["/>
                        <m:sepChr m:val=""/>
                        <m:endChr m:val="]"/>
                        <m:ctrlPr>
                          <w:rPr>
                            <w:rFonts w:ascii="Cambria Math" w:hAnsi="Cambria Math"/>
                          </w:rPr>
                        </m:ctrlPr>
                      </m:dPr>
                      <m:e>
                        <m:sSub>
                          <m:sSubPr>
                            <m:ctrlPr>
                              <w:rPr>
                                <w:rFonts w:ascii="Cambria Math" w:hAnsi="Cambria Math"/>
                              </w:rPr>
                            </m:ctrlPr>
                          </m:sSubPr>
                          <m:e>
                            <m:r>
                              <w:rPr>
                                <w:rFonts w:ascii="Cambria Math" w:hAnsi="Cambria Math"/>
                              </w:rPr>
                              <m:t>ε</m:t>
                            </m:r>
                          </m:e>
                          <m:sub>
                            <m:r>
                              <m:rPr>
                                <m:sty m:val="p"/>
                              </m:rPr>
                              <w:rPr>
                                <w:rFonts w:ascii="Cambria Math" w:hAnsi="Cambria Math"/>
                              </w:rPr>
                              <m:t>cbs</m:t>
                            </m:r>
                          </m:sub>
                        </m:sSub>
                      </m:e>
                      <m:e>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crit</m:t>
                                </m:r>
                              </m:sub>
                            </m:sSub>
                          </m:e>
                        </m:d>
                      </m:e>
                      <m:e>
                        <m:r>
                          <w:rPr>
                            <w:rFonts w:ascii="Cambria Math" w:hAnsi="Cambria Math"/>
                          </w:rPr>
                          <m:t>-</m:t>
                        </m:r>
                      </m:e>
                      <m:e>
                        <m:sSub>
                          <m:sSubPr>
                            <m:ctrlPr>
                              <w:rPr>
                                <w:rFonts w:ascii="Cambria Math" w:hAnsi="Cambria Math"/>
                              </w:rPr>
                            </m:ctrlPr>
                          </m:sSubPr>
                          <m:e>
                            <m:r>
                              <w:rPr>
                                <w:rFonts w:ascii="Cambria Math" w:hAnsi="Cambria Math"/>
                              </w:rPr>
                              <m:t>ε</m:t>
                            </m:r>
                          </m:e>
                          <m:sub>
                            <m:r>
                              <m:rPr>
                                <m:sty m:val="p"/>
                              </m:rPr>
                              <w:rPr>
                                <w:rFonts w:ascii="Cambria Math" w:hAnsi="Cambria Math"/>
                              </w:rPr>
                              <m:t>cbs</m:t>
                            </m:r>
                          </m:sub>
                        </m:sSub>
                      </m:e>
                      <m:e>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2</m:t>
                                </m:r>
                              </m:sub>
                            </m:sSub>
                          </m:e>
                        </m:d>
                      </m:e>
                    </m:d>
                  </m:e>
                </m:d>
              </m:oMath>
            </m:oMathPara>
          </w:p>
        </w:tc>
        <w:tc>
          <w:tcPr>
            <w:tcW w:w="1247" w:type="dxa"/>
            <w:vAlign w:val="center"/>
          </w:tcPr>
          <w:p w14:paraId="04D61183" w14:textId="44911B05" w:rsidR="00626FEA" w:rsidRPr="001455DC" w:rsidRDefault="00626FEA" w:rsidP="00626FEA">
            <w:pPr>
              <w:pStyle w:val="a7"/>
              <w:jc w:val="right"/>
            </w:pPr>
            <w:r w:rsidRPr="001455DC">
              <w:t>(D.6)</w:t>
            </w:r>
          </w:p>
        </w:tc>
      </w:tr>
    </w:tbl>
    <w:p w14:paraId="413BDD46" w14:textId="0CBE62AF" w:rsidR="00626FEA" w:rsidRPr="001455DC" w:rsidRDefault="004E22C1" w:rsidP="00116AE2">
      <w:pPr>
        <w:pStyle w:val="a0"/>
        <w:keepNext/>
      </w:pPr>
      <w:r w:rsidRPr="001455DC">
        <w:t>for long-term cracking:</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626FEA" w:rsidRPr="001455DC" w14:paraId="3CB2A7CE" w14:textId="77777777" w:rsidTr="00626FEA">
        <w:trPr>
          <w:cantSplit/>
        </w:trPr>
        <w:tc>
          <w:tcPr>
            <w:tcW w:w="8505" w:type="dxa"/>
            <w:vAlign w:val="center"/>
          </w:tcPr>
          <w:p w14:paraId="30A4A8A9" w14:textId="719496FC" w:rsidR="00626FEA" w:rsidRPr="001455DC" w:rsidRDefault="00231E33" w:rsidP="00626FEA">
            <w:pPr>
              <w:pStyle w:val="Formula"/>
              <w:jc w:val="left"/>
            </w:pPr>
            <m:oMathPara>
              <m:oMathParaPr>
                <m:jc m:val="left"/>
              </m:oMathParaPr>
              <m:oMath>
                <m:sSub>
                  <m:sSubPr>
                    <m:ctrlPr>
                      <w:rPr>
                        <w:rFonts w:ascii="Cambria Math" w:hAnsi="Cambria Math"/>
                      </w:rPr>
                    </m:ctrlPr>
                  </m:sSubPr>
                  <m:e>
                    <m:r>
                      <w:rPr>
                        <w:rFonts w:ascii="Cambria Math" w:hAnsi="Cambria Math"/>
                      </w:rPr>
                      <m:t>R</m:t>
                    </m:r>
                  </m:e>
                  <m:sub>
                    <m:r>
                      <m:rPr>
                        <m:sty m:val="p"/>
                      </m:rPr>
                      <w:rPr>
                        <w:rFonts w:ascii="Cambria Math" w:hAnsi="Cambria Math"/>
                      </w:rPr>
                      <m:t>ax</m:t>
                    </m:r>
                  </m:sub>
                </m:sSub>
                <m:sSub>
                  <m:sSubPr>
                    <m:ctrlPr>
                      <w:rPr>
                        <w:rFonts w:ascii="Cambria Math" w:hAnsi="Cambria Math"/>
                      </w:rPr>
                    </m:ctrlPr>
                  </m:sSubPr>
                  <m:e>
                    <m:r>
                      <w:rPr>
                        <w:rFonts w:ascii="Cambria Math" w:hAnsi="Cambria Math"/>
                      </w:rPr>
                      <m:t>ε</m:t>
                    </m:r>
                  </m:e>
                  <m:sub>
                    <m:r>
                      <m:rPr>
                        <m:sty m:val="p"/>
                      </m:rPr>
                      <w:rPr>
                        <w:rFonts w:ascii="Cambria Math" w:hAnsi="Cambria Math"/>
                      </w:rPr>
                      <m:t>free</m:t>
                    </m:r>
                  </m:sub>
                </m:sSub>
                <m:r>
                  <m:rPr>
                    <m:aln/>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ax</m:t>
                    </m:r>
                    <m:r>
                      <w:rPr>
                        <w:rFonts w:ascii="Cambria Math" w:hAnsi="Cambria Math"/>
                      </w:rPr>
                      <m:t>,1</m:t>
                    </m:r>
                  </m:sub>
                </m:sSub>
                <m:d>
                  <m:dPr>
                    <m:ctrlPr>
                      <w:rPr>
                        <w:rFonts w:ascii="Cambria Math" w:hAnsi="Cambria Math"/>
                      </w:rPr>
                    </m:ctrlPr>
                  </m:dPr>
                  <m:e>
                    <m:sSub>
                      <m:sSubPr>
                        <m:ctrlPr>
                          <w:rPr>
                            <w:rFonts w:ascii="Cambria Math" w:hAnsi="Cambria Math"/>
                          </w:rPr>
                        </m:ctrlPr>
                      </m:sSubPr>
                      <m:e>
                        <m:r>
                          <w:rPr>
                            <w:rFonts w:ascii="Cambria Math" w:hAnsi="Cambria Math"/>
                          </w:rPr>
                          <m:t>k</m:t>
                        </m:r>
                      </m:e>
                      <m:sub>
                        <m:r>
                          <m:rPr>
                            <m:sty m:val="p"/>
                          </m:rPr>
                          <w:rPr>
                            <w:rFonts w:ascii="Cambria Math" w:hAnsi="Cambria Math"/>
                          </w:rPr>
                          <m:t>T</m:t>
                        </m:r>
                      </m:sub>
                    </m:sSub>
                    <m:sSub>
                      <m:sSubPr>
                        <m:ctrlPr>
                          <w:rPr>
                            <w:rFonts w:ascii="Cambria Math" w:hAnsi="Cambria Math"/>
                          </w:rPr>
                        </m:ctrlPr>
                      </m:sSubPr>
                      <m:e>
                        <m:r>
                          <w:rPr>
                            <w:rFonts w:ascii="Cambria Math" w:hAnsi="Cambria Math"/>
                          </w:rPr>
                          <m:t>α</m:t>
                        </m:r>
                      </m:e>
                      <m:sub>
                        <m:r>
                          <m:rPr>
                            <m:sty m:val="p"/>
                          </m:rPr>
                          <w:rPr>
                            <w:rFonts w:ascii="Cambria Math" w:hAnsi="Cambria Math"/>
                          </w:rPr>
                          <m:t>T</m:t>
                        </m:r>
                      </m:sub>
                    </m:sSub>
                    <m:d>
                      <m:dPr>
                        <m:sepChr m:val=""/>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max</m:t>
                            </m:r>
                          </m:sub>
                        </m:sSub>
                      </m:e>
                      <m:e>
                        <m:r>
                          <w:rPr>
                            <w:rFonts w:ascii="Cambria Math" w:hAnsi="Cambria Math"/>
                          </w:rPr>
                          <m:t>-</m:t>
                        </m:r>
                      </m:e>
                      <m:e>
                        <m:sSub>
                          <m:sSubPr>
                            <m:ctrlPr>
                              <w:rPr>
                                <w:rFonts w:ascii="Cambria Math" w:hAnsi="Cambria Math"/>
                              </w:rPr>
                            </m:ctrlPr>
                          </m:sSubPr>
                          <m:e>
                            <m:r>
                              <w:rPr>
                                <w:rFonts w:ascii="Cambria Math" w:hAnsi="Cambria Math"/>
                              </w:rPr>
                              <m:t>T</m:t>
                            </m:r>
                          </m:e>
                          <m:sub>
                            <m:r>
                              <w:rPr>
                                <w:rFonts w:ascii="Cambria Math" w:hAnsi="Cambria Math"/>
                              </w:rPr>
                              <m:t>0</m:t>
                            </m:r>
                          </m:sub>
                        </m:sSub>
                      </m:e>
                    </m:d>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ε</m:t>
                            </m:r>
                          </m:e>
                          <m:sub>
                            <m:r>
                              <m:rPr>
                                <m:sty m:val="p"/>
                              </m:rPr>
                              <w:rPr>
                                <w:rFonts w:ascii="Cambria Math" w:hAnsi="Cambria Math"/>
                              </w:rPr>
                              <m:t>cbs</m:t>
                            </m:r>
                          </m:sub>
                        </m:sSub>
                        <m:d>
                          <m:dPr>
                            <m:ctrlPr>
                              <w:rPr>
                                <w:rFonts w:ascii="Cambria Math" w:hAnsi="Cambria Math"/>
                              </w:rPr>
                            </m:ctrlPr>
                          </m:dPr>
                          <m:e>
                            <m:r>
                              <w:rPr>
                                <w:rFonts w:ascii="Cambria Math" w:hAnsi="Cambria Math"/>
                              </w:rPr>
                              <m:t>t</m:t>
                            </m:r>
                          </m:e>
                        </m:d>
                        <m:sSub>
                          <m:sSubPr>
                            <m:ctrlPr>
                              <w:rPr>
                                <w:rFonts w:ascii="Cambria Math" w:hAnsi="Cambria Math"/>
                              </w:rPr>
                            </m:ctrlPr>
                          </m:sSubPr>
                          <m:e>
                            <m:r>
                              <w:rPr>
                                <w:rFonts w:ascii="Cambria Math" w:hAnsi="Cambria Math"/>
                              </w:rPr>
                              <m:t>ε</m:t>
                            </m:r>
                          </m:e>
                          <m:sub>
                            <m:r>
                              <m:rPr>
                                <m:sty m:val="p"/>
                              </m:rPr>
                              <w:rPr>
                                <w:rFonts w:ascii="Cambria Math" w:hAnsi="Cambria Math"/>
                              </w:rPr>
                              <m:t>cbs</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2</m:t>
                                </m:r>
                              </m:sub>
                            </m:sSub>
                          </m:e>
                        </m:d>
                      </m:e>
                    </m:d>
                  </m:e>
                </m:d>
                <m:r>
                  <m:rPr>
                    <m:sty m:val="p"/>
                  </m:rPr>
                  <w:rPr>
                    <w:rFonts w:ascii="Cambria Math" w:hAnsi="Cambria Math"/>
                  </w:rPr>
                  <w:br/>
                </m:r>
              </m:oMath>
              <m:oMath>
                <m:r>
                  <w:rPr>
                    <w:rFonts w:ascii="Cambria Math" w:hAnsi="Cambria Math"/>
                  </w:rPr>
                  <m:t xml:space="preserve">                 + </m:t>
                </m:r>
                <m:sSub>
                  <m:sSubPr>
                    <m:ctrlPr>
                      <w:rPr>
                        <w:rFonts w:ascii="Cambria Math" w:hAnsi="Cambria Math"/>
                      </w:rPr>
                    </m:ctrlPr>
                  </m:sSubPr>
                  <m:e>
                    <m:r>
                      <w:rPr>
                        <w:rFonts w:ascii="Cambria Math" w:hAnsi="Cambria Math"/>
                      </w:rPr>
                      <m:t>R</m:t>
                    </m:r>
                  </m:e>
                  <m:sub>
                    <m:r>
                      <m:rPr>
                        <m:sty m:val="p"/>
                      </m:rPr>
                      <w:rPr>
                        <w:rFonts w:ascii="Cambria Math" w:hAnsi="Cambria Math"/>
                      </w:rPr>
                      <m:t>ax</m:t>
                    </m:r>
                    <m:r>
                      <w:rPr>
                        <w:rFonts w:ascii="Cambria Math" w:hAnsi="Cambria Math"/>
                      </w:rPr>
                      <m:t>,2</m:t>
                    </m:r>
                  </m:sub>
                </m:sSub>
                <m:sSub>
                  <m:sSubPr>
                    <m:ctrlPr>
                      <w:rPr>
                        <w:rFonts w:ascii="Cambria Math" w:hAnsi="Cambria Math"/>
                      </w:rPr>
                    </m:ctrlPr>
                  </m:sSubPr>
                  <m:e>
                    <m:r>
                      <w:rPr>
                        <w:rFonts w:ascii="Cambria Math" w:hAnsi="Cambria Math"/>
                      </w:rPr>
                      <m:t>α</m:t>
                    </m:r>
                  </m:e>
                  <m:sub>
                    <m:r>
                      <m:rPr>
                        <m:sty m:val="p"/>
                      </m:rPr>
                      <w:rPr>
                        <w:rFonts w:ascii="Cambria Math" w:hAnsi="Cambria Math"/>
                      </w:rPr>
                      <m:t>T</m:t>
                    </m:r>
                  </m:sub>
                </m:sSub>
                <m:r>
                  <m:rPr>
                    <m:sty m:val="p"/>
                  </m:rPr>
                  <w:rPr>
                    <w:rFonts w:ascii="Cambria Math" w:hAnsi="Cambria Math"/>
                  </w:rPr>
                  <m:t>Δ</m:t>
                </m:r>
                <m:sSub>
                  <m:sSubPr>
                    <m:ctrlPr>
                      <w:rPr>
                        <w:rFonts w:ascii="Cambria Math" w:hAnsi="Cambria Math"/>
                      </w:rPr>
                    </m:ctrlPr>
                  </m:sSubPr>
                  <m:e>
                    <m:r>
                      <w:rPr>
                        <w:rFonts w:ascii="Cambria Math" w:hAnsi="Cambria Math"/>
                      </w:rPr>
                      <m:t>T</m:t>
                    </m:r>
                  </m:e>
                  <m:sub>
                    <m:r>
                      <m:rPr>
                        <m:sty m:val="p"/>
                      </m:rPr>
                      <w:rPr>
                        <w:rFonts w:ascii="Cambria Math" w:hAnsi="Cambria Math"/>
                      </w:rPr>
                      <m:t>min</m:t>
                    </m:r>
                  </m:sub>
                </m:sSub>
                <m: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ax</m:t>
                    </m:r>
                    <m:r>
                      <w:rPr>
                        <w:rFonts w:ascii="Cambria Math" w:hAnsi="Cambria Math"/>
                      </w:rPr>
                      <m:t>,3</m:t>
                    </m:r>
                  </m:sub>
                </m:sSub>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ε</m:t>
                        </m:r>
                      </m:e>
                      <m:sub>
                        <m:r>
                          <m:rPr>
                            <m:sty m:val="p"/>
                          </m:rPr>
                          <w:rPr>
                            <w:rFonts w:ascii="Cambria Math" w:hAnsi="Cambria Math"/>
                          </w:rPr>
                          <m:t>cds</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r>
                          <w:rPr>
                            <w:rFonts w:ascii="Cambria Math" w:hAnsi="Cambria Math"/>
                          </w:rPr>
                          <m:t>ε</m:t>
                        </m:r>
                      </m:e>
                      <m:sub>
                        <m:r>
                          <m:rPr>
                            <m:sty m:val="p"/>
                          </m:rPr>
                          <w:rPr>
                            <w:rFonts w:ascii="Cambria Math" w:hAnsi="Cambria Math"/>
                          </w:rPr>
                          <m:t>cds</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2</m:t>
                            </m:r>
                          </m:sub>
                        </m:sSub>
                      </m:e>
                    </m:d>
                  </m:e>
                </m:d>
              </m:oMath>
            </m:oMathPara>
          </w:p>
        </w:tc>
        <w:tc>
          <w:tcPr>
            <w:tcW w:w="1247" w:type="dxa"/>
            <w:vAlign w:val="center"/>
          </w:tcPr>
          <w:p w14:paraId="37E73A41" w14:textId="06BD8330" w:rsidR="00626FEA" w:rsidRPr="001455DC" w:rsidRDefault="00626FEA" w:rsidP="00626FEA">
            <w:pPr>
              <w:pStyle w:val="a7"/>
              <w:jc w:val="right"/>
            </w:pPr>
            <w:r w:rsidRPr="001455DC">
              <w:t>(D.7)</w:t>
            </w:r>
          </w:p>
        </w:tc>
      </w:tr>
    </w:tbl>
    <w:p w14:paraId="3C0C8377" w14:textId="1735CE22" w:rsidR="004E22C1" w:rsidRPr="001455DC" w:rsidRDefault="00072A5B" w:rsidP="00072A5B">
      <w:pPr>
        <w:pStyle w:val="ANNEX"/>
      </w:pPr>
      <w:bookmarkStart w:id="1458" w:name="_Toc52820156"/>
      <w:bookmarkStart w:id="1459" w:name="_Toc111857652"/>
      <w:r w:rsidRPr="001455DC">
        <w:br/>
      </w:r>
      <w:bookmarkStart w:id="1460" w:name="_Toc54337154"/>
      <w:bookmarkStart w:id="1461" w:name="_Toc54337571"/>
      <w:bookmarkStart w:id="1462" w:name="_Toc54338211"/>
      <w:bookmarkStart w:id="1463" w:name="_Toc67565545"/>
      <w:r w:rsidR="004E22C1" w:rsidRPr="001455DC">
        <w:rPr>
          <w:b w:val="0"/>
        </w:rPr>
        <w:t>(normative)</w:t>
      </w:r>
      <w:r w:rsidRPr="001455DC">
        <w:rPr>
          <w:b w:val="0"/>
        </w:rPr>
        <w:br/>
      </w:r>
      <w:r w:rsidRPr="001455DC">
        <w:br/>
      </w:r>
      <w:r w:rsidR="004E22C1" w:rsidRPr="001455DC">
        <w:t>Additional rules for fatigue verification</w:t>
      </w:r>
      <w:bookmarkEnd w:id="1458"/>
      <w:bookmarkEnd w:id="1460"/>
      <w:bookmarkEnd w:id="1461"/>
      <w:bookmarkEnd w:id="1462"/>
      <w:bookmarkEnd w:id="1463"/>
    </w:p>
    <w:p w14:paraId="17BC744A" w14:textId="229F4B7C" w:rsidR="005841B6" w:rsidRPr="001455DC" w:rsidRDefault="005841B6" w:rsidP="00082680">
      <w:pPr>
        <w:pStyle w:val="a2"/>
      </w:pPr>
      <w:bookmarkStart w:id="1464" w:name="_Toc67565546"/>
      <w:bookmarkStart w:id="1465" w:name="_Toc52820157"/>
      <w:bookmarkStart w:id="1466" w:name="_Toc54337155"/>
      <w:bookmarkStart w:id="1467" w:name="_Toc54337572"/>
      <w:bookmarkStart w:id="1468" w:name="_Toc54338212"/>
      <w:r w:rsidRPr="001455DC">
        <w:t>Use of this annex</w:t>
      </w:r>
      <w:bookmarkEnd w:id="1464"/>
    </w:p>
    <w:p w14:paraId="296B7073" w14:textId="77777777" w:rsidR="005841B6" w:rsidRPr="001455DC" w:rsidRDefault="005841B6" w:rsidP="005841B6">
      <w:pPr>
        <w:pStyle w:val="a7"/>
      </w:pPr>
      <w:r w:rsidRPr="001455DC">
        <w:t xml:space="preserve">(1) This Normative Annex contains additional provisions for fatigue verification of structures. </w:t>
      </w:r>
    </w:p>
    <w:p w14:paraId="541FA245" w14:textId="7FE92C4E" w:rsidR="005841B6" w:rsidRPr="001455DC" w:rsidRDefault="005841B6" w:rsidP="00082680">
      <w:pPr>
        <w:pStyle w:val="a2"/>
      </w:pPr>
      <w:bookmarkStart w:id="1469" w:name="_Toc67565547"/>
      <w:r w:rsidRPr="001455DC">
        <w:t>Scope and field of application</w:t>
      </w:r>
      <w:bookmarkEnd w:id="1469"/>
    </w:p>
    <w:p w14:paraId="3AC785DE" w14:textId="5DB70EDD" w:rsidR="005841B6" w:rsidRPr="001455DC" w:rsidRDefault="005841B6" w:rsidP="005841B6">
      <w:pPr>
        <w:pStyle w:val="a7"/>
      </w:pPr>
      <w:r w:rsidRPr="001455DC">
        <w:t>(1) This annex gives covers fatigue verification of structures using</w:t>
      </w:r>
      <w:r w:rsidR="00873D74" w:rsidRPr="001455DC">
        <w:t>:</w:t>
      </w:r>
    </w:p>
    <w:p w14:paraId="13677256" w14:textId="6C7CB007" w:rsidR="005841B6" w:rsidRPr="001455DC" w:rsidRDefault="005841B6" w:rsidP="005841B6">
      <w:pPr>
        <w:pStyle w:val="a7"/>
      </w:pPr>
      <w:r w:rsidRPr="001455DC">
        <w:t>—</w:t>
      </w:r>
      <w:r w:rsidRPr="001455DC">
        <w:tab/>
        <w:t>damage equivalent stresses according to E.</w:t>
      </w:r>
      <w:r w:rsidR="00C54DE9" w:rsidRPr="001455DC">
        <w:t>4</w:t>
      </w:r>
      <w:r w:rsidRPr="001455DC">
        <w:t xml:space="preserve"> or</w:t>
      </w:r>
    </w:p>
    <w:p w14:paraId="56023F5B" w14:textId="17294264" w:rsidR="005841B6" w:rsidRPr="009D3012" w:rsidRDefault="005841B6" w:rsidP="009D3012">
      <w:pPr>
        <w:pStyle w:val="a7"/>
      </w:pPr>
      <w:r w:rsidRPr="009D3012">
        <w:t>—</w:t>
      </w:r>
      <w:r w:rsidRPr="009D3012">
        <w:tab/>
        <w:t>explicit verifications using Palmgren-Miner Rule according to E.</w:t>
      </w:r>
      <w:r w:rsidR="00C54DE9" w:rsidRPr="009D3012">
        <w:t>5</w:t>
      </w:r>
      <w:r w:rsidRPr="009D3012">
        <w:t>.</w:t>
      </w:r>
    </w:p>
    <w:p w14:paraId="471C4C23" w14:textId="28E5ECDC" w:rsidR="004E22C1" w:rsidRPr="001455DC" w:rsidRDefault="004E22C1" w:rsidP="00082680">
      <w:pPr>
        <w:pStyle w:val="a2"/>
      </w:pPr>
      <w:bookmarkStart w:id="1470" w:name="_Toc67565548"/>
      <w:r w:rsidRPr="001455DC">
        <w:t>General</w:t>
      </w:r>
      <w:bookmarkEnd w:id="1465"/>
      <w:bookmarkEnd w:id="1466"/>
      <w:bookmarkEnd w:id="1467"/>
      <w:bookmarkEnd w:id="1468"/>
      <w:bookmarkEnd w:id="1470"/>
    </w:p>
    <w:p w14:paraId="14E90103" w14:textId="3EB608C3" w:rsidR="00996E90" w:rsidRPr="001455DC" w:rsidRDefault="004E22C1" w:rsidP="009D3012">
      <w:pPr>
        <w:pStyle w:val="a7"/>
        <w:keepNext/>
      </w:pPr>
      <w:r w:rsidRPr="001455DC">
        <w:rPr>
          <w:szCs w:val="23"/>
          <w:lang w:eastAsia="ja-JP"/>
        </w:rPr>
        <w:t>(1)</w:t>
      </w:r>
      <w:r w:rsidRPr="001455DC">
        <w:rPr>
          <w:szCs w:val="23"/>
          <w:lang w:eastAsia="ja-JP"/>
        </w:rPr>
        <w:tab/>
      </w:r>
      <w:r w:rsidR="00996E90" w:rsidRPr="001455DC">
        <w:t xml:space="preserve">For explicit verifications of bridges according to Annex E, the fatigue load models defined in </w:t>
      </w:r>
      <w:r w:rsidR="0054629D">
        <w:t>pr</w:t>
      </w:r>
      <w:r w:rsidR="00996E90" w:rsidRPr="001455DC">
        <w:t xml:space="preserve">EN 1991-2 shall be used. For other structures, the fatigue load should be defined according to </w:t>
      </w:r>
      <w:r w:rsidR="00DF00C7">
        <w:t>pr</w:t>
      </w:r>
      <w:r w:rsidR="00996E90" w:rsidRPr="001455DC">
        <w:t>EN 1990 on a project-specific basis.</w:t>
      </w:r>
    </w:p>
    <w:p w14:paraId="22BEE649" w14:textId="38B29858" w:rsidR="004E22C1" w:rsidRPr="001455DC" w:rsidRDefault="004E22C1" w:rsidP="00082680">
      <w:pPr>
        <w:pStyle w:val="a2"/>
      </w:pPr>
      <w:bookmarkStart w:id="1471" w:name="_Toc52820158"/>
      <w:bookmarkStart w:id="1472" w:name="_Toc54337156"/>
      <w:bookmarkStart w:id="1473" w:name="_Toc54337573"/>
      <w:bookmarkStart w:id="1474" w:name="_Toc54338213"/>
      <w:bookmarkStart w:id="1475" w:name="_Toc67565549"/>
      <w:r w:rsidRPr="001455DC">
        <w:t>Verification using damage equivalent stress range</w:t>
      </w:r>
      <w:bookmarkEnd w:id="1471"/>
      <w:bookmarkEnd w:id="1472"/>
      <w:bookmarkEnd w:id="1473"/>
      <w:bookmarkEnd w:id="1474"/>
      <w:bookmarkEnd w:id="1475"/>
    </w:p>
    <w:p w14:paraId="10953718" w14:textId="06319F22" w:rsidR="004E22C1" w:rsidRPr="001455DC" w:rsidRDefault="004E22C1" w:rsidP="00243590">
      <w:pPr>
        <w:pStyle w:val="a3"/>
      </w:pPr>
      <w:bookmarkStart w:id="1476" w:name="_Toc52820159"/>
      <w:bookmarkStart w:id="1477" w:name="_Toc54337574"/>
      <w:bookmarkStart w:id="1478" w:name="_Toc54338214"/>
      <w:r w:rsidRPr="001455DC">
        <w:t>General</w:t>
      </w:r>
      <w:bookmarkEnd w:id="1476"/>
      <w:bookmarkEnd w:id="1477"/>
      <w:bookmarkEnd w:id="1478"/>
    </w:p>
    <w:p w14:paraId="476F4C84" w14:textId="77777777" w:rsidR="004E22C1" w:rsidRPr="001455DC" w:rsidRDefault="004E22C1" w:rsidP="00072A5B">
      <w:pPr>
        <w:pStyle w:val="a7"/>
      </w:pPr>
      <w:r w:rsidRPr="001455DC">
        <w:t>(1)</w:t>
      </w:r>
      <w:r w:rsidRPr="001455DC">
        <w:tab/>
        <w:t xml:space="preserve">In the method of damage equivalent stress range the actual operational loading is represented by </w:t>
      </w:r>
      <w:r w:rsidRPr="001455DC">
        <w:rPr>
          <w:rStyle w:val="CCMCvariableitalic"/>
        </w:rPr>
        <w:t>N</w:t>
      </w:r>
      <w:r w:rsidRPr="001455DC">
        <w:t>* cycles of a single equivalent stress range under the equivalent fatigue load models.</w:t>
      </w:r>
    </w:p>
    <w:p w14:paraId="13D731A8" w14:textId="4E611063" w:rsidR="004E22C1" w:rsidRPr="001455DC" w:rsidRDefault="004E22C1" w:rsidP="00243590">
      <w:pPr>
        <w:pStyle w:val="a3"/>
      </w:pPr>
      <w:bookmarkStart w:id="1479" w:name="_Toc26945184"/>
      <w:bookmarkStart w:id="1480" w:name="_Toc52820160"/>
      <w:bookmarkStart w:id="1481" w:name="_Toc54337575"/>
      <w:bookmarkStart w:id="1482" w:name="_Toc54338215"/>
      <w:r w:rsidRPr="001455DC">
        <w:t>Verification for reinforcement</w:t>
      </w:r>
      <w:bookmarkEnd w:id="1479"/>
      <w:bookmarkEnd w:id="1480"/>
      <w:bookmarkEnd w:id="1481"/>
      <w:bookmarkEnd w:id="1482"/>
    </w:p>
    <w:p w14:paraId="641ABC96" w14:textId="77777777" w:rsidR="00A55D4B" w:rsidRPr="001455DC" w:rsidRDefault="004E22C1" w:rsidP="00116AE2">
      <w:pPr>
        <w:pStyle w:val="a7"/>
        <w:keepNext/>
      </w:pPr>
      <w:r w:rsidRPr="001455DC">
        <w:t>(1)</w:t>
      </w:r>
      <w:r w:rsidRPr="001455DC">
        <w:tab/>
        <w:t>For reinforcing or prestressing steel and couplers adequate fatigue resistance may be assumed if Formula (E.1) is satisfied:</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A55D4B" w:rsidRPr="001455DC" w14:paraId="7FB478B6" w14:textId="77777777" w:rsidTr="00A55D4B">
        <w:trPr>
          <w:cantSplit/>
        </w:trPr>
        <w:tc>
          <w:tcPr>
            <w:tcW w:w="8505" w:type="dxa"/>
            <w:vAlign w:val="center"/>
          </w:tcPr>
          <w:p w14:paraId="70C1ADF7" w14:textId="5EEBD73A" w:rsidR="00A55D4B" w:rsidRPr="001455DC" w:rsidRDefault="00231E33" w:rsidP="00A55D4B">
            <w:pPr>
              <w:pStyle w:val="Formula"/>
              <w:jc w:val="left"/>
            </w:pPr>
            <m:oMathPara>
              <m:oMathParaPr>
                <m:jc m:val="left"/>
              </m:oMathParaPr>
              <m:oMath>
                <m:sSub>
                  <m:sSubPr>
                    <m:ctrlPr>
                      <w:rPr>
                        <w:rFonts w:ascii="Cambria Math" w:hAnsi="Cambria Math"/>
                      </w:rPr>
                    </m:ctrlPr>
                  </m:sSubPr>
                  <m:e>
                    <m:r>
                      <w:rPr>
                        <w:rFonts w:ascii="Cambria Math" w:hAnsi="Cambria Math"/>
                      </w:rPr>
                      <m:t>γ</m:t>
                    </m:r>
                  </m:e>
                  <m:sub>
                    <m:r>
                      <m:rPr>
                        <m:sty m:val="p"/>
                      </m:rPr>
                      <w:rPr>
                        <w:rFonts w:ascii="Cambria Math" w:hAnsi="Cambria Math"/>
                      </w:rPr>
                      <m:t>F,fat</m:t>
                    </m:r>
                  </m:sub>
                </m:sSub>
                <m:r>
                  <w:rPr>
                    <w:rFonts w:ascii="Cambria Math" w:hAnsi="Cambria Math"/>
                  </w:rPr>
                  <m:t>⋅Δ</m:t>
                </m:r>
                <m:sSub>
                  <m:sSubPr>
                    <m:ctrlPr>
                      <w:rPr>
                        <w:rFonts w:ascii="Cambria Math" w:hAnsi="Cambria Math"/>
                      </w:rPr>
                    </m:ctrlPr>
                  </m:sSubPr>
                  <m:e>
                    <m:r>
                      <w:rPr>
                        <w:rFonts w:ascii="Cambria Math" w:hAnsi="Cambria Math"/>
                      </w:rPr>
                      <m:t>σ</m:t>
                    </m:r>
                  </m:e>
                  <m:sub>
                    <m:r>
                      <m:rPr>
                        <m:sty m:val="p"/>
                      </m:rPr>
                      <w:rPr>
                        <w:rFonts w:ascii="Cambria Math" w:hAnsi="Cambria Math"/>
                      </w:rPr>
                      <m:t>S,equ</m:t>
                    </m:r>
                  </m:sub>
                </m:sSub>
                <m:r>
                  <w:rPr>
                    <w:rFonts w:ascii="Cambria Math" w:hAnsi="Cambria Math"/>
                  </w:rPr>
                  <m:t>(</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f>
                  <m:fPr>
                    <m:ctrlPr>
                      <w:rPr>
                        <w:rFonts w:ascii="Cambria Math" w:hAnsi="Cambria Math"/>
                      </w:rPr>
                    </m:ctrlPr>
                  </m:fPr>
                  <m:num>
                    <m:r>
                      <m:rPr>
                        <m:sty m:val="p"/>
                      </m:rPr>
                      <w:rPr>
                        <w:rFonts w:ascii="Cambria Math" w:hAnsi="Cambria Math"/>
                      </w:rPr>
                      <m:t>Δ</m:t>
                    </m:r>
                    <m:sSub>
                      <m:sSubPr>
                        <m:ctrlPr>
                          <w:rPr>
                            <w:rFonts w:ascii="Cambria Math" w:hAnsi="Cambria Math"/>
                          </w:rPr>
                        </m:ctrlPr>
                      </m:sSubPr>
                      <m:e>
                        <m:r>
                          <w:rPr>
                            <w:rFonts w:ascii="Cambria Math" w:hAnsi="Cambria Math"/>
                          </w:rPr>
                          <m:t>σ</m:t>
                        </m:r>
                      </m:e>
                      <m:sub>
                        <m:r>
                          <m:rPr>
                            <m:sty m:val="p"/>
                          </m:rPr>
                          <w:rPr>
                            <w:rFonts w:ascii="Cambria Math" w:hAnsi="Cambria Math"/>
                          </w:rPr>
                          <m:t>Rsk</m:t>
                        </m:r>
                      </m:sub>
                    </m:sSub>
                    <m:r>
                      <w:rPr>
                        <w:rFonts w:ascii="Cambria Math" w:hAnsi="Cambria Math"/>
                      </w:rPr>
                      <m:t>(</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num>
                  <m:den>
                    <m:sSub>
                      <m:sSubPr>
                        <m:ctrlPr>
                          <w:rPr>
                            <w:rFonts w:ascii="Cambria Math" w:hAnsi="Cambria Math"/>
                          </w:rPr>
                        </m:ctrlPr>
                      </m:sSubPr>
                      <m:e>
                        <m:r>
                          <w:rPr>
                            <w:rFonts w:ascii="Cambria Math" w:hAnsi="Cambria Math"/>
                          </w:rPr>
                          <m:t>γ</m:t>
                        </m:r>
                      </m:e>
                      <m:sub>
                        <m:r>
                          <m:rPr>
                            <m:sty m:val="p"/>
                          </m:rPr>
                          <w:rPr>
                            <w:rFonts w:ascii="Cambria Math" w:hAnsi="Cambria Math"/>
                          </w:rPr>
                          <m:t>S,fat</m:t>
                        </m:r>
                      </m:sub>
                    </m:sSub>
                  </m:den>
                </m:f>
              </m:oMath>
            </m:oMathPara>
          </w:p>
        </w:tc>
        <w:tc>
          <w:tcPr>
            <w:tcW w:w="1247" w:type="dxa"/>
            <w:vAlign w:val="center"/>
          </w:tcPr>
          <w:p w14:paraId="513BD703" w14:textId="30CB3175" w:rsidR="00A55D4B" w:rsidRPr="001455DC" w:rsidRDefault="00A55D4B" w:rsidP="00A55D4B">
            <w:pPr>
              <w:pStyle w:val="a7"/>
              <w:jc w:val="right"/>
            </w:pPr>
            <w:r w:rsidRPr="001455DC">
              <w:t>(E.1)</w:t>
            </w:r>
          </w:p>
        </w:tc>
      </w:tr>
    </w:tbl>
    <w:p w14:paraId="48F063A2" w14:textId="77777777" w:rsidR="00A55D4B" w:rsidRPr="001455DC" w:rsidRDefault="00A55D4B" w:rsidP="00A35599">
      <w:pPr>
        <w:pStyle w:val="a7"/>
        <w:keepNext/>
      </w:pPr>
      <w:r w:rsidRPr="001455DC">
        <w:t>where</w:t>
      </w:r>
    </w:p>
    <w:tbl>
      <w:tblPr>
        <w:tblW w:w="9696" w:type="dxa"/>
        <w:tblInd w:w="397" w:type="dxa"/>
        <w:tblLayout w:type="fixed"/>
        <w:tblCellMar>
          <w:left w:w="28" w:type="dxa"/>
          <w:right w:w="28" w:type="dxa"/>
        </w:tblCellMar>
        <w:tblLook w:val="04A0" w:firstRow="1" w:lastRow="0" w:firstColumn="1" w:lastColumn="0" w:noHBand="0" w:noVBand="1"/>
      </w:tblPr>
      <w:tblGrid>
        <w:gridCol w:w="1191"/>
        <w:gridCol w:w="8505"/>
      </w:tblGrid>
      <w:tr w:rsidR="00A55D4B" w:rsidRPr="001455DC" w14:paraId="1C0DE430" w14:textId="77777777" w:rsidTr="00A55D4B">
        <w:trPr>
          <w:cantSplit/>
        </w:trPr>
        <w:tc>
          <w:tcPr>
            <w:tcW w:w="1191" w:type="dxa"/>
          </w:tcPr>
          <w:p w14:paraId="492B09C1" w14:textId="39E9E49B" w:rsidR="00A55D4B" w:rsidRPr="001455DC" w:rsidRDefault="00A55D4B" w:rsidP="0000442A">
            <w:pPr>
              <w:pStyle w:val="Tablebody"/>
            </w:pPr>
            <w:r w:rsidRPr="001455DC">
              <w:t>Δ</w:t>
            </w:r>
            <w:r w:rsidRPr="001455DC">
              <w:rPr>
                <w:rStyle w:val="CCMCvariableitalic"/>
              </w:rPr>
              <w:t>σ</w:t>
            </w:r>
            <w:r w:rsidRPr="001455DC">
              <w:rPr>
                <w:rStyle w:val="CCMCvariablesubscript"/>
              </w:rPr>
              <w:t>Rsk</w:t>
            </w:r>
            <w:r w:rsidRPr="001455DC">
              <w:t>(</w:t>
            </w:r>
            <w:r w:rsidRPr="001455DC">
              <w:rPr>
                <w:rStyle w:val="CCMCvariableitalic"/>
              </w:rPr>
              <w:t>N</w:t>
            </w:r>
            <w:r w:rsidRPr="001455DC">
              <w:t>*)</w:t>
            </w:r>
          </w:p>
        </w:tc>
        <w:tc>
          <w:tcPr>
            <w:tcW w:w="8505" w:type="dxa"/>
          </w:tcPr>
          <w:p w14:paraId="13220B08" w14:textId="62112A22" w:rsidR="00A55D4B" w:rsidRPr="001455DC" w:rsidRDefault="00A55D4B" w:rsidP="00BB1209">
            <w:pPr>
              <w:pStyle w:val="Tablebody"/>
            </w:pPr>
            <w:r w:rsidRPr="001455DC">
              <w:t xml:space="preserve">is the stress range at </w:t>
            </w:r>
            <w:r w:rsidRPr="001455DC">
              <w:rPr>
                <w:rStyle w:val="CCMCvariableitalic"/>
              </w:rPr>
              <w:t>N</w:t>
            </w:r>
            <w:r w:rsidRPr="001455DC">
              <w:t xml:space="preserve">* cycles from the appropriate </w:t>
            </w:r>
            <w:r w:rsidRPr="001455DC">
              <w:rPr>
                <w:rStyle w:val="CCMCvariableitalic"/>
              </w:rPr>
              <w:t>S</w:t>
            </w:r>
            <w:r w:rsidRPr="001455DC">
              <w:t>-</w:t>
            </w:r>
            <w:r w:rsidRPr="001455DC">
              <w:rPr>
                <w:rStyle w:val="CCMCvariableitalic"/>
              </w:rPr>
              <w:t>N</w:t>
            </w:r>
            <w:r w:rsidRPr="001455DC">
              <w:t xml:space="preserve"> curves given in Figure E.1 and Tables E.1(NDP) and E.2(NDP);</w:t>
            </w:r>
          </w:p>
        </w:tc>
      </w:tr>
      <w:tr w:rsidR="00A55D4B" w:rsidRPr="001455DC" w14:paraId="30A84345" w14:textId="77777777" w:rsidTr="00A55D4B">
        <w:trPr>
          <w:cantSplit/>
        </w:trPr>
        <w:tc>
          <w:tcPr>
            <w:tcW w:w="1191" w:type="dxa"/>
          </w:tcPr>
          <w:p w14:paraId="5BF7B457" w14:textId="2D82FAB3" w:rsidR="00A55D4B" w:rsidRPr="001455DC" w:rsidRDefault="00A55D4B" w:rsidP="0000442A">
            <w:pPr>
              <w:pStyle w:val="Tablebody"/>
            </w:pPr>
            <w:r w:rsidRPr="001455DC">
              <w:t>Δ</w:t>
            </w:r>
            <w:r w:rsidRPr="001455DC">
              <w:rPr>
                <w:rStyle w:val="CCMCvariableitalic"/>
              </w:rPr>
              <w:t>σ</w:t>
            </w:r>
            <w:r w:rsidRPr="001455DC">
              <w:rPr>
                <w:rStyle w:val="CCMCvariablesubscript"/>
              </w:rPr>
              <w:t>S,equ</w:t>
            </w:r>
            <w:r w:rsidRPr="001455DC">
              <w:t>(</w:t>
            </w:r>
            <w:r w:rsidRPr="001455DC">
              <w:rPr>
                <w:rStyle w:val="CCMCvariableitalic"/>
              </w:rPr>
              <w:t>N</w:t>
            </w:r>
            <w:r w:rsidRPr="001455DC">
              <w:t>*)</w:t>
            </w:r>
          </w:p>
        </w:tc>
        <w:tc>
          <w:tcPr>
            <w:tcW w:w="8505" w:type="dxa"/>
          </w:tcPr>
          <w:p w14:paraId="48CE6291" w14:textId="14B542A9" w:rsidR="00A55D4B" w:rsidRPr="001455DC" w:rsidRDefault="00A55D4B" w:rsidP="0000442A">
            <w:pPr>
              <w:pStyle w:val="Tablebody"/>
            </w:pPr>
            <w:r w:rsidRPr="001455DC">
              <w:t xml:space="preserve">is the damage equivalent stress range for different types of reinforcement and considering the number of loading cycles </w:t>
            </w:r>
            <w:r w:rsidRPr="001455DC">
              <w:rPr>
                <w:rStyle w:val="CCMCvariableitalic"/>
              </w:rPr>
              <w:t>N</w:t>
            </w:r>
            <w:r w:rsidRPr="001455DC">
              <w:t xml:space="preserve">*. For buildings </w:t>
            </w:r>
            <w:r w:rsidRPr="001455DC">
              <w:rPr>
                <w:rFonts w:eastAsia="Symbol" w:cs="Symbol"/>
                <w:szCs w:val="22"/>
              </w:rPr>
              <w:t>Δ</w:t>
            </w:r>
            <w:r w:rsidRPr="001455DC">
              <w:rPr>
                <w:rStyle w:val="CCMCvariableitalic"/>
              </w:rPr>
              <w:t>σ</w:t>
            </w:r>
            <w:r w:rsidRPr="001455DC">
              <w:rPr>
                <w:rStyle w:val="CCMCvariablesubscript"/>
              </w:rPr>
              <w:t>S,equ</w:t>
            </w:r>
            <w:r w:rsidRPr="001455DC">
              <w:t>(</w:t>
            </w:r>
            <w:r w:rsidRPr="001455DC">
              <w:rPr>
                <w:rStyle w:val="CCMCvariableitalic"/>
              </w:rPr>
              <w:t>N</w:t>
            </w:r>
            <w:r w:rsidRPr="001455DC">
              <w:t xml:space="preserve">*) may be approximated by </w:t>
            </w:r>
            <w:r w:rsidRPr="001455DC">
              <w:rPr>
                <w:rFonts w:eastAsia="Symbol" w:cs="Symbol"/>
                <w:szCs w:val="22"/>
              </w:rPr>
              <w:t>Δ</w:t>
            </w:r>
            <w:r w:rsidRPr="001455DC">
              <w:rPr>
                <w:rStyle w:val="CCMCvariableitalic"/>
              </w:rPr>
              <w:t>σ</w:t>
            </w:r>
            <w:r w:rsidRPr="001455DC">
              <w:rPr>
                <w:rStyle w:val="CCMCvariablesubscript"/>
              </w:rPr>
              <w:t>S,max</w:t>
            </w:r>
            <w:r w:rsidRPr="001455DC">
              <w:t>;</w:t>
            </w:r>
          </w:p>
        </w:tc>
      </w:tr>
      <w:tr w:rsidR="00A55D4B" w:rsidRPr="001455DC" w14:paraId="462C0C58" w14:textId="77777777" w:rsidTr="00A55D4B">
        <w:trPr>
          <w:cantSplit/>
        </w:trPr>
        <w:tc>
          <w:tcPr>
            <w:tcW w:w="1191" w:type="dxa"/>
          </w:tcPr>
          <w:p w14:paraId="42298BCD" w14:textId="2AC816B9" w:rsidR="00A55D4B" w:rsidRPr="001455DC" w:rsidRDefault="00A55D4B" w:rsidP="00D86695">
            <w:pPr>
              <w:pStyle w:val="Tablebody"/>
            </w:pPr>
            <w:r w:rsidRPr="001455DC">
              <w:t>Δ</w:t>
            </w:r>
            <w:r w:rsidRPr="001455DC">
              <w:rPr>
                <w:rStyle w:val="CCMCvariableitalic"/>
              </w:rPr>
              <w:t>σ</w:t>
            </w:r>
            <w:r w:rsidRPr="001455DC">
              <w:rPr>
                <w:rStyle w:val="CCMCvariablesubscript"/>
              </w:rPr>
              <w:t>S,max</w:t>
            </w:r>
          </w:p>
        </w:tc>
        <w:tc>
          <w:tcPr>
            <w:tcW w:w="8505" w:type="dxa"/>
          </w:tcPr>
          <w:p w14:paraId="4EE51A3A" w14:textId="7E0A2CEB" w:rsidR="00A55D4B" w:rsidRPr="001455DC" w:rsidRDefault="00A55D4B" w:rsidP="00D86695">
            <w:pPr>
              <w:pStyle w:val="Tablebody"/>
            </w:pPr>
            <w:r w:rsidRPr="001455DC">
              <w:t>is the maximum reinforcing steel stress range under the relevant load combinations.</w:t>
            </w:r>
          </w:p>
        </w:tc>
      </w:tr>
    </w:tbl>
    <w:p w14:paraId="4F3E7684" w14:textId="11D90F5A" w:rsidR="004E22C1" w:rsidRPr="001455DC" w:rsidRDefault="004E22C1" w:rsidP="00072A5B">
      <w:pPr>
        <w:pStyle w:val="Note"/>
        <w:rPr>
          <w:bCs/>
        </w:rPr>
      </w:pPr>
      <w:r w:rsidRPr="001455DC">
        <w:t>NOTE 1</w:t>
      </w:r>
      <w:r w:rsidRPr="001455DC">
        <w:tab/>
        <w:t xml:space="preserve">Tables E.1(NDP) and E.2(NDP applies. If other values of the fatigue stress range and/or the number of cycles are confirmed by testing in accordance with EN 10080 (see Table C.1) or </w:t>
      </w:r>
      <w:r w:rsidR="000D2A45" w:rsidRPr="001455DC">
        <w:t>prEN 10138 (all parts)</w:t>
      </w:r>
      <w:r w:rsidRPr="001455DC">
        <w:t xml:space="preserve"> different fatigue properties can be given in a National Annex.</w:t>
      </w:r>
    </w:p>
    <w:p w14:paraId="2A557DFF" w14:textId="4F2EB30E" w:rsidR="004E22C1" w:rsidRPr="001455DC" w:rsidRDefault="004E22C1" w:rsidP="00072A5B">
      <w:pPr>
        <w:pStyle w:val="Note"/>
      </w:pPr>
      <w:r w:rsidRPr="001455DC">
        <w:t>NOTE 2</w:t>
      </w:r>
      <w:r w:rsidRPr="001455DC">
        <w:tab/>
        <w:t xml:space="preserve">For road and railway bridges </w:t>
      </w:r>
      <w:r w:rsidRPr="001455DC">
        <w:rPr>
          <w:rFonts w:eastAsia="Symbol"/>
        </w:rPr>
        <w:t>Δ</w:t>
      </w:r>
      <w:r w:rsidRPr="001455DC">
        <w:rPr>
          <w:rStyle w:val="CCMCvariableitalic"/>
        </w:rPr>
        <w:t>σ</w:t>
      </w:r>
      <w:r w:rsidRPr="001455DC">
        <w:rPr>
          <w:rStyle w:val="CCMCvariablesubscript"/>
        </w:rPr>
        <w:t>S,equ</w:t>
      </w:r>
      <w:r w:rsidRPr="001455DC">
        <w:t>(</w:t>
      </w:r>
      <w:r w:rsidRPr="001455DC">
        <w:rPr>
          <w:rStyle w:val="CCMCvariableitalic"/>
        </w:rPr>
        <w:t>N</w:t>
      </w:r>
      <w:r w:rsidRPr="001455DC">
        <w:t>*) is given in K.</w:t>
      </w:r>
      <w:r w:rsidR="00B71827" w:rsidRPr="001455DC">
        <w:t>11</w:t>
      </w:r>
      <w:r w:rsidRPr="001455DC">
        <w:t>.2.</w:t>
      </w:r>
    </w:p>
    <w:p w14:paraId="2CCF6386" w14:textId="4A54279D" w:rsidR="004E22C1" w:rsidRPr="001455DC" w:rsidRDefault="00723CF7" w:rsidP="00072A5B">
      <w:pPr>
        <w:pStyle w:val="FigureImage"/>
      </w:pPr>
      <w:r>
        <w:rPr>
          <w:noProof/>
          <w:lang w:eastAsia="en-GB"/>
        </w:rPr>
        <w:fldChar w:fldCharType="begin"/>
      </w:r>
      <w:r>
        <w:rPr>
          <w:noProof/>
          <w:lang w:eastAsia="en-GB"/>
        </w:rPr>
        <w:instrText xml:space="preserve"> INCLUDEPICTURE  "Y:\\STD_MGT\\STDDEL\\PRODUCTION\\etrans\\Download\\Z_FIRST_DEL\\SV\\00250\\00250269\\41_e_dr\\e001.tif"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"Y:\\STD_MGT\\STDDEL\\PRODUCTION\\Standards\\00250\\269\\41_e_dr\\e001.tif"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"Y:\\STD_MGT\\STDDEL\\PRODUCTION\\Standards\\00250\\269\\41_e_dr\\e001.tif"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"Y:\\STD_MGT\\STDDEL\\PRODUCTION\\Standards\\00250\\269\\41_e_dr\\e001.tif"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"Y:\\STD_MGT\\STDDEL\\PRODUCTION\\Standards\\00250\\269\\41_e_dr\\e001.tif"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"Y:\\STD_MGT\\STDDEL\\PRODUCTION\\Standards\\00250\\269\\41_e_dr\\e001.tif"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"C:\\Users\\a.dionysiou\\AppData\\Local\\Temp\\Temp1_00250269_e_20210902.zip.zip\\41_e_dr\\e001.tif"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348283E7">
          <v:shape id="_x0000_i1305" type="#_x0000_t75" style="width:230.25pt;height:130.5pt">
            <v:imagedata r:id="rId580" r:href="rId581"/>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7E362F7A" w14:textId="77777777" w:rsidR="00AD033B" w:rsidRDefault="00AD033B" w:rsidP="00AD033B">
      <w:pPr>
        <w:pStyle w:val="KeyTitle"/>
      </w:pPr>
      <w:r>
        <w:t>Key</w:t>
      </w:r>
    </w:p>
    <w:tbl>
      <w:tblPr>
        <w:tblW w:w="0" w:type="auto"/>
        <w:tblInd w:w="-100" w:type="dxa"/>
        <w:tblCellMar>
          <w:left w:w="100" w:type="dxa"/>
        </w:tblCellMar>
        <w:tblLook w:val="0000" w:firstRow="0" w:lastRow="0" w:firstColumn="0" w:lastColumn="0" w:noHBand="0" w:noVBand="0"/>
      </w:tblPr>
      <w:tblGrid>
        <w:gridCol w:w="319"/>
        <w:gridCol w:w="2107"/>
      </w:tblGrid>
      <w:tr w:rsidR="00AD033B" w:rsidRPr="00AD033B" w14:paraId="7A811B86" w14:textId="77777777" w:rsidTr="00AD033B">
        <w:tc>
          <w:tcPr>
            <w:tcW w:w="0" w:type="auto"/>
            <w:shd w:val="clear" w:color="auto" w:fill="auto"/>
          </w:tcPr>
          <w:p w14:paraId="6C24B2AA" w14:textId="77777777" w:rsidR="00AD033B" w:rsidRPr="00AD033B" w:rsidRDefault="00AD033B" w:rsidP="00AD033B">
            <w:pPr>
              <w:pStyle w:val="KeyText"/>
              <w:tabs>
                <w:tab w:val="clear" w:pos="346"/>
              </w:tabs>
              <w:ind w:left="0" w:firstLine="0"/>
            </w:pPr>
            <w:r w:rsidRPr="00AD033B">
              <w:t>1</w:t>
            </w:r>
          </w:p>
        </w:tc>
        <w:tc>
          <w:tcPr>
            <w:tcW w:w="0" w:type="auto"/>
            <w:shd w:val="clear" w:color="auto" w:fill="auto"/>
          </w:tcPr>
          <w:p w14:paraId="56E71799" w14:textId="77777777" w:rsidR="00AD033B" w:rsidRPr="00AD033B" w:rsidRDefault="00AD033B" w:rsidP="00AD033B">
            <w:pPr>
              <w:pStyle w:val="KeyText"/>
              <w:tabs>
                <w:tab w:val="clear" w:pos="346"/>
              </w:tabs>
              <w:ind w:left="0" w:firstLine="0"/>
            </w:pPr>
            <w:r w:rsidRPr="00AD033B">
              <w:t>reinforcement at yield</w:t>
            </w:r>
          </w:p>
        </w:tc>
      </w:tr>
    </w:tbl>
    <w:p w14:paraId="2B29D4E3" w14:textId="273AA91E" w:rsidR="004E22C1" w:rsidRPr="001455DC" w:rsidRDefault="004E22C1" w:rsidP="00AD033B">
      <w:pPr>
        <w:pStyle w:val="Figuretitle"/>
      </w:pPr>
      <w:r w:rsidRPr="001455DC">
        <w:t>Figure E.1 — Shape of the characteristic fatigue strength curve (</w:t>
      </w:r>
      <w:r w:rsidRPr="001455DC">
        <w:rPr>
          <w:rStyle w:val="CCMCvariableitalic"/>
        </w:rPr>
        <w:t>S</w:t>
      </w:r>
      <w:r w:rsidRPr="001455DC">
        <w:t>-</w:t>
      </w:r>
      <w:r w:rsidRPr="001455DC">
        <w:rPr>
          <w:rStyle w:val="CCMCvariableitalic"/>
        </w:rPr>
        <w:t>N</w:t>
      </w:r>
      <w:r w:rsidRPr="001455DC">
        <w:t xml:space="preserve"> curves for reinforcing and prestressing steel)</w:t>
      </w:r>
    </w:p>
    <w:p w14:paraId="7ED8CDB2" w14:textId="5C0DD73D" w:rsidR="004E22C1" w:rsidRPr="001455DC" w:rsidRDefault="004E22C1" w:rsidP="00A55D4B">
      <w:pPr>
        <w:pStyle w:val="Tabletitle"/>
      </w:pPr>
      <w:bookmarkStart w:id="1483" w:name="_Toc54337576"/>
      <w:r w:rsidRPr="001455DC">
        <w:t xml:space="preserve">Table E.1(NDP) — </w:t>
      </w:r>
      <w:r w:rsidR="00326559" w:rsidRPr="001455DC">
        <w:t>Design p</w:t>
      </w:r>
      <w:r w:rsidRPr="001455DC">
        <w:t xml:space="preserve">arameters for </w:t>
      </w:r>
      <w:r w:rsidRPr="001455DC">
        <w:rPr>
          <w:rStyle w:val="CCMCvariableitalic"/>
        </w:rPr>
        <w:t>S</w:t>
      </w:r>
      <w:r w:rsidRPr="001455DC">
        <w:t>-</w:t>
      </w:r>
      <w:r w:rsidRPr="001455DC">
        <w:rPr>
          <w:rStyle w:val="CCMCvariableitalic"/>
        </w:rPr>
        <w:t>N</w:t>
      </w:r>
      <w:r w:rsidRPr="001455DC">
        <w:t xml:space="preserve"> curves for </w:t>
      </w:r>
      <w:r w:rsidR="00326559" w:rsidRPr="001455DC">
        <w:t>carbon r</w:t>
      </w:r>
      <w:r w:rsidRPr="001455DC">
        <w:t>einforcing steel</w:t>
      </w:r>
      <w:bookmarkEnd w:id="1483"/>
    </w:p>
    <w:tbl>
      <w:tblPr>
        <w:tblStyle w:val="53"/>
        <w:tblW w:w="9752" w:type="dxa"/>
        <w:tblLayout w:type="fixed"/>
        <w:tblLook w:val="0660" w:firstRow="1" w:lastRow="1" w:firstColumn="0" w:lastColumn="0" w:noHBand="1" w:noVBand="1"/>
      </w:tblPr>
      <w:tblGrid>
        <w:gridCol w:w="2806"/>
        <w:gridCol w:w="2480"/>
        <w:gridCol w:w="1820"/>
        <w:gridCol w:w="992"/>
        <w:gridCol w:w="827"/>
        <w:gridCol w:w="827"/>
      </w:tblGrid>
      <w:tr w:rsidR="004E22C1" w:rsidRPr="001455DC" w14:paraId="02B181F3" w14:textId="77777777" w:rsidTr="00B212C6">
        <w:trPr>
          <w:cnfStyle w:val="100000000000" w:firstRow="1" w:lastRow="0" w:firstColumn="0" w:lastColumn="0" w:oddVBand="0" w:evenVBand="0" w:oddHBand="0" w:evenHBand="0" w:firstRowFirstColumn="0" w:firstRowLastColumn="0" w:lastRowFirstColumn="0" w:lastRowLastColumn="0"/>
          <w:cantSplit/>
          <w:tblHeader/>
        </w:trPr>
        <w:tc>
          <w:tcPr>
            <w:tcW w:w="2405" w:type="dxa"/>
            <w:vMerge w:val="restart"/>
          </w:tcPr>
          <w:p w14:paraId="5E581F92" w14:textId="77777777" w:rsidR="004E22C1" w:rsidRPr="001455DC" w:rsidRDefault="004E22C1" w:rsidP="00B212C6">
            <w:pPr>
              <w:pStyle w:val="Tableheader"/>
              <w:keepNext/>
            </w:pPr>
            <w:r w:rsidRPr="001455DC">
              <w:t>Type of reinforcing steel</w:t>
            </w:r>
          </w:p>
        </w:tc>
        <w:tc>
          <w:tcPr>
            <w:tcW w:w="2126" w:type="dxa"/>
            <w:vMerge w:val="restart"/>
          </w:tcPr>
          <w:p w14:paraId="75C01241" w14:textId="1A0B4547" w:rsidR="004E22C1" w:rsidRPr="001455DC" w:rsidRDefault="004E22C1" w:rsidP="00B212C6">
            <w:pPr>
              <w:pStyle w:val="Tableheader"/>
              <w:keepNext/>
            </w:pPr>
            <w:r w:rsidRPr="001455DC">
              <w:t>Diameter</w:t>
            </w:r>
          </w:p>
        </w:tc>
        <w:tc>
          <w:tcPr>
            <w:tcW w:w="3828" w:type="dxa"/>
            <w:gridSpan w:val="4"/>
          </w:tcPr>
          <w:p w14:paraId="64894F3B" w14:textId="62B6CA8D" w:rsidR="004E22C1" w:rsidRPr="009D3012" w:rsidRDefault="004E22C1" w:rsidP="00B212C6">
            <w:pPr>
              <w:pStyle w:val="Tableheader"/>
              <w:keepNext/>
              <w:rPr>
                <w:lang w:val="en-US"/>
              </w:rPr>
            </w:pPr>
            <w:r w:rsidRPr="001455DC">
              <w:t>Δ</w:t>
            </w:r>
            <w:r w:rsidRPr="001455DC">
              <w:rPr>
                <w:rStyle w:val="CCMCvariableitalic"/>
              </w:rPr>
              <w:t>σ</w:t>
            </w:r>
            <w:r w:rsidRPr="009D3012">
              <w:rPr>
                <w:rStyle w:val="CCMCvariablesubscript"/>
                <w:lang w:val="en-US"/>
              </w:rPr>
              <w:t>Rsk</w:t>
            </w:r>
            <w:r w:rsidRPr="009D3012">
              <w:rPr>
                <w:lang w:val="en-US"/>
              </w:rPr>
              <w:t xml:space="preserve"> 5 %-quantile (Test </w:t>
            </w:r>
            <w:r w:rsidRPr="001455DC">
              <w:rPr>
                <w:rStyle w:val="CCMCvariableitalic"/>
              </w:rPr>
              <w:t>σ</w:t>
            </w:r>
            <w:r w:rsidRPr="009D3012">
              <w:rPr>
                <w:rStyle w:val="CCMCvariablesubscript"/>
                <w:lang w:val="en-US"/>
              </w:rPr>
              <w:t>max</w:t>
            </w:r>
            <w:r w:rsidRPr="009D3012">
              <w:rPr>
                <w:lang w:val="en-US"/>
              </w:rPr>
              <w:t xml:space="preserve"> 0,6</w:t>
            </w:r>
            <w:r w:rsidRPr="009D3012">
              <w:rPr>
                <w:rStyle w:val="CCMCvariableitalic"/>
                <w:lang w:val="en-US"/>
              </w:rPr>
              <w:t>f</w:t>
            </w:r>
            <w:r w:rsidRPr="009D3012">
              <w:rPr>
                <w:rStyle w:val="CCMCvariablesubscript"/>
                <w:lang w:val="en-US"/>
              </w:rPr>
              <w:t>yk</w:t>
            </w:r>
            <w:r w:rsidRPr="009D3012">
              <w:rPr>
                <w:lang w:val="en-US"/>
              </w:rPr>
              <w:t>)</w:t>
            </w:r>
          </w:p>
        </w:tc>
      </w:tr>
      <w:tr w:rsidR="004E22C1" w:rsidRPr="001455DC" w14:paraId="499A3580" w14:textId="77777777" w:rsidTr="00B212C6">
        <w:trPr>
          <w:cnfStyle w:val="100000000000" w:firstRow="1" w:lastRow="0" w:firstColumn="0" w:lastColumn="0" w:oddVBand="0" w:evenVBand="0" w:oddHBand="0" w:evenHBand="0" w:firstRowFirstColumn="0" w:firstRowLastColumn="0" w:lastRowFirstColumn="0" w:lastRowLastColumn="0"/>
          <w:cantSplit/>
          <w:tblHeader/>
        </w:trPr>
        <w:tc>
          <w:tcPr>
            <w:tcW w:w="2405" w:type="dxa"/>
            <w:vMerge/>
          </w:tcPr>
          <w:p w14:paraId="6ED2EFE3" w14:textId="77777777" w:rsidR="004E22C1" w:rsidRPr="009D3012" w:rsidRDefault="004E22C1" w:rsidP="00B212C6">
            <w:pPr>
              <w:pStyle w:val="Tableheader"/>
              <w:keepNext/>
              <w:rPr>
                <w:lang w:val="en-US"/>
              </w:rPr>
            </w:pPr>
          </w:p>
        </w:tc>
        <w:tc>
          <w:tcPr>
            <w:tcW w:w="2126" w:type="dxa"/>
            <w:vMerge/>
          </w:tcPr>
          <w:p w14:paraId="2D49C28B" w14:textId="77777777" w:rsidR="004E22C1" w:rsidRPr="009D3012" w:rsidRDefault="004E22C1" w:rsidP="00B212C6">
            <w:pPr>
              <w:pStyle w:val="Tableheader"/>
              <w:keepNext/>
              <w:rPr>
                <w:lang w:val="en-US"/>
              </w:rPr>
            </w:pPr>
          </w:p>
        </w:tc>
        <w:tc>
          <w:tcPr>
            <w:tcW w:w="1560" w:type="dxa"/>
            <w:vMerge w:val="restart"/>
          </w:tcPr>
          <w:p w14:paraId="01B90845" w14:textId="77777777" w:rsidR="004E22C1" w:rsidRPr="009D3012" w:rsidRDefault="004E22C1" w:rsidP="00B212C6">
            <w:pPr>
              <w:pStyle w:val="Tableheader"/>
              <w:keepNext/>
              <w:rPr>
                <w:b w:val="0"/>
              </w:rPr>
            </w:pPr>
            <w:r w:rsidRPr="009D3012">
              <w:rPr>
                <w:b w:val="0"/>
              </w:rPr>
              <w:t>Δ</w:t>
            </w:r>
            <w:r w:rsidRPr="009D3012">
              <w:rPr>
                <w:rStyle w:val="CCMCvariableitalic"/>
                <w:b w:val="0"/>
              </w:rPr>
              <w:t>σ</w:t>
            </w:r>
            <w:r w:rsidRPr="009D3012">
              <w:rPr>
                <w:rStyle w:val="CCMCvariablesubscript"/>
                <w:b w:val="0"/>
              </w:rPr>
              <w:t>Rsk</w:t>
            </w:r>
            <w:r w:rsidRPr="009D3012">
              <w:rPr>
                <w:b w:val="0"/>
              </w:rPr>
              <w:t xml:space="preserve"> [MPa]</w:t>
            </w:r>
          </w:p>
        </w:tc>
        <w:tc>
          <w:tcPr>
            <w:tcW w:w="850" w:type="dxa"/>
            <w:vMerge w:val="restart"/>
          </w:tcPr>
          <w:p w14:paraId="327EF444" w14:textId="77777777" w:rsidR="004E22C1" w:rsidRPr="009D3012" w:rsidRDefault="004E22C1" w:rsidP="00B212C6">
            <w:pPr>
              <w:pStyle w:val="Tableheader"/>
              <w:keepNext/>
              <w:rPr>
                <w:b w:val="0"/>
              </w:rPr>
            </w:pPr>
            <w:r w:rsidRPr="009D3012">
              <w:rPr>
                <w:rStyle w:val="CCMCvariableitalic"/>
                <w:b w:val="0"/>
              </w:rPr>
              <w:t>N</w:t>
            </w:r>
            <w:r w:rsidRPr="009D3012">
              <w:rPr>
                <w:b w:val="0"/>
              </w:rPr>
              <w:t>*</w:t>
            </w:r>
          </w:p>
        </w:tc>
        <w:tc>
          <w:tcPr>
            <w:tcW w:w="1418" w:type="dxa"/>
            <w:gridSpan w:val="2"/>
          </w:tcPr>
          <w:p w14:paraId="4B6DAD32" w14:textId="77777777" w:rsidR="004E22C1" w:rsidRPr="009D3012" w:rsidRDefault="004E22C1" w:rsidP="00B212C6">
            <w:pPr>
              <w:pStyle w:val="Tableheader"/>
              <w:keepNext/>
              <w:rPr>
                <w:b w:val="0"/>
              </w:rPr>
            </w:pPr>
            <w:r w:rsidRPr="009D3012">
              <w:rPr>
                <w:b w:val="0"/>
              </w:rPr>
              <w:t>stress exponent</w:t>
            </w:r>
          </w:p>
        </w:tc>
      </w:tr>
      <w:tr w:rsidR="004E22C1" w:rsidRPr="001455DC" w14:paraId="282872C4" w14:textId="77777777" w:rsidTr="00B212C6">
        <w:trPr>
          <w:cnfStyle w:val="100000000000" w:firstRow="1" w:lastRow="0" w:firstColumn="0" w:lastColumn="0" w:oddVBand="0" w:evenVBand="0" w:oddHBand="0" w:evenHBand="0" w:firstRowFirstColumn="0" w:firstRowLastColumn="0" w:lastRowFirstColumn="0" w:lastRowLastColumn="0"/>
          <w:cantSplit/>
          <w:tblHeader/>
        </w:trPr>
        <w:tc>
          <w:tcPr>
            <w:tcW w:w="2405" w:type="dxa"/>
            <w:vMerge/>
          </w:tcPr>
          <w:p w14:paraId="3C033D47" w14:textId="77777777" w:rsidR="004E22C1" w:rsidRPr="001455DC" w:rsidRDefault="004E22C1" w:rsidP="00B212C6">
            <w:pPr>
              <w:pStyle w:val="Tableheader"/>
              <w:keepNext/>
            </w:pPr>
          </w:p>
        </w:tc>
        <w:tc>
          <w:tcPr>
            <w:tcW w:w="2126" w:type="dxa"/>
            <w:vMerge/>
          </w:tcPr>
          <w:p w14:paraId="63529519" w14:textId="77777777" w:rsidR="004E22C1" w:rsidRPr="001455DC" w:rsidRDefault="004E22C1" w:rsidP="00B212C6">
            <w:pPr>
              <w:pStyle w:val="Tableheader"/>
              <w:keepNext/>
            </w:pPr>
          </w:p>
        </w:tc>
        <w:tc>
          <w:tcPr>
            <w:tcW w:w="1560" w:type="dxa"/>
            <w:vMerge/>
          </w:tcPr>
          <w:p w14:paraId="722EC4C8" w14:textId="77777777" w:rsidR="004E22C1" w:rsidRPr="001455DC" w:rsidRDefault="004E22C1" w:rsidP="00B212C6">
            <w:pPr>
              <w:pStyle w:val="Tableheader"/>
              <w:keepNext/>
            </w:pPr>
          </w:p>
        </w:tc>
        <w:tc>
          <w:tcPr>
            <w:tcW w:w="850" w:type="dxa"/>
            <w:vMerge/>
          </w:tcPr>
          <w:p w14:paraId="074031A8" w14:textId="77777777" w:rsidR="004E22C1" w:rsidRPr="009D3012" w:rsidRDefault="004E22C1" w:rsidP="00B212C6">
            <w:pPr>
              <w:pStyle w:val="Tableheader"/>
              <w:keepNext/>
              <w:rPr>
                <w:b w:val="0"/>
              </w:rPr>
            </w:pPr>
          </w:p>
        </w:tc>
        <w:tc>
          <w:tcPr>
            <w:tcW w:w="709" w:type="dxa"/>
          </w:tcPr>
          <w:p w14:paraId="44BDBD64" w14:textId="77777777" w:rsidR="004E22C1" w:rsidRPr="009D3012" w:rsidRDefault="004E22C1" w:rsidP="00B212C6">
            <w:pPr>
              <w:pStyle w:val="Tableheader"/>
              <w:keepNext/>
              <w:rPr>
                <w:b w:val="0"/>
              </w:rPr>
            </w:pPr>
            <w:r w:rsidRPr="009D3012">
              <w:rPr>
                <w:rStyle w:val="CCMCvariableitalic"/>
                <w:b w:val="0"/>
              </w:rPr>
              <w:t>k</w:t>
            </w:r>
            <w:r w:rsidRPr="009D3012">
              <w:rPr>
                <w:rStyle w:val="CCMCvariablesubscript"/>
                <w:b w:val="0"/>
              </w:rPr>
              <w:t>f1</w:t>
            </w:r>
          </w:p>
        </w:tc>
        <w:tc>
          <w:tcPr>
            <w:tcW w:w="709" w:type="dxa"/>
          </w:tcPr>
          <w:p w14:paraId="3E178A7B" w14:textId="77777777" w:rsidR="004E22C1" w:rsidRPr="009D3012" w:rsidRDefault="004E22C1" w:rsidP="00B212C6">
            <w:pPr>
              <w:pStyle w:val="Tableheader"/>
              <w:keepNext/>
              <w:rPr>
                <w:b w:val="0"/>
              </w:rPr>
            </w:pPr>
            <w:r w:rsidRPr="009D3012">
              <w:rPr>
                <w:rStyle w:val="CCMCvariableitalic"/>
                <w:b w:val="0"/>
              </w:rPr>
              <w:t>k</w:t>
            </w:r>
            <w:r w:rsidRPr="009D3012">
              <w:rPr>
                <w:rStyle w:val="CCMCvariablesubscript"/>
                <w:b w:val="0"/>
              </w:rPr>
              <w:t>f2</w:t>
            </w:r>
          </w:p>
        </w:tc>
      </w:tr>
      <w:tr w:rsidR="004E22C1" w:rsidRPr="001455DC" w14:paraId="17DC91F1" w14:textId="77777777" w:rsidTr="00B212C6">
        <w:trPr>
          <w:cantSplit/>
        </w:trPr>
        <w:tc>
          <w:tcPr>
            <w:tcW w:w="2405" w:type="dxa"/>
            <w:vMerge w:val="restart"/>
            <w:vAlign w:val="center"/>
          </w:tcPr>
          <w:p w14:paraId="32C79A20" w14:textId="2F6C3CAA" w:rsidR="004E22C1" w:rsidRPr="009D3012" w:rsidRDefault="004E22C1" w:rsidP="00B212C6">
            <w:pPr>
              <w:pStyle w:val="Tablebody"/>
              <w:keepNext/>
              <w:jc w:val="left"/>
              <w:rPr>
                <w:lang w:val="en-US"/>
              </w:rPr>
            </w:pPr>
            <w:r w:rsidRPr="009D3012">
              <w:rPr>
                <w:lang w:val="en-US"/>
              </w:rPr>
              <w:t>Bars (including de-coiled bars)</w:t>
            </w:r>
            <w:r w:rsidRPr="009D3012">
              <w:rPr>
                <w:rStyle w:val="CCMCvariablesuperscript"/>
                <w:lang w:val="en-US"/>
              </w:rPr>
              <w:t>a</w:t>
            </w:r>
          </w:p>
        </w:tc>
        <w:tc>
          <w:tcPr>
            <w:tcW w:w="2126" w:type="dxa"/>
            <w:vAlign w:val="center"/>
          </w:tcPr>
          <w:p w14:paraId="2E709E0F" w14:textId="0834FD0E" w:rsidR="004E22C1" w:rsidRPr="001455DC" w:rsidRDefault="004E22C1" w:rsidP="00B212C6">
            <w:pPr>
              <w:pStyle w:val="Tablebody"/>
              <w:keepNext/>
              <w:jc w:val="center"/>
            </w:pPr>
            <w:r w:rsidRPr="001455DC">
              <w:rPr>
                <w:rStyle w:val="CCMCvariableitalic"/>
              </w:rPr>
              <w:t>ϕ</w:t>
            </w:r>
            <w:r w:rsidRPr="001455DC">
              <w:t> </w:t>
            </w:r>
            <w:r w:rsidR="00650035" w:rsidRPr="001455DC">
              <w:rPr>
                <w:rFonts w:ascii="Cambria Math" w:hAnsi="Cambria Math"/>
              </w:rPr>
              <w:t>≤</w:t>
            </w:r>
            <w:r w:rsidRPr="001455DC">
              <w:t> 12 mm</w:t>
            </w:r>
          </w:p>
        </w:tc>
        <w:tc>
          <w:tcPr>
            <w:tcW w:w="1560" w:type="dxa"/>
            <w:vAlign w:val="center"/>
          </w:tcPr>
          <w:p w14:paraId="316C7686" w14:textId="77777777" w:rsidR="004E22C1" w:rsidRPr="001455DC" w:rsidRDefault="004E22C1" w:rsidP="00B212C6">
            <w:pPr>
              <w:pStyle w:val="Tablebody"/>
              <w:keepNext/>
              <w:jc w:val="center"/>
            </w:pPr>
            <w:r w:rsidRPr="001455DC">
              <w:t>160</w:t>
            </w:r>
          </w:p>
        </w:tc>
        <w:tc>
          <w:tcPr>
            <w:tcW w:w="850" w:type="dxa"/>
            <w:vMerge w:val="restart"/>
            <w:vAlign w:val="center"/>
          </w:tcPr>
          <w:p w14:paraId="290BBAB0" w14:textId="5CB16EA7" w:rsidR="004E22C1" w:rsidRPr="001455DC" w:rsidRDefault="004E22C1" w:rsidP="00B212C6">
            <w:pPr>
              <w:pStyle w:val="Tablebody"/>
              <w:keepNext/>
              <w:jc w:val="center"/>
            </w:pPr>
            <w:r w:rsidRPr="001455DC">
              <w:t>2 </w:t>
            </w:r>
            <w:r w:rsidR="00C74721" w:rsidRPr="001455DC">
              <w:rPr>
                <w:rFonts w:ascii="Cambria Math" w:hAnsi="Cambria Math" w:cs="Cambria Math"/>
              </w:rPr>
              <w:t>⋅</w:t>
            </w:r>
            <w:r w:rsidRPr="001455DC">
              <w:t> 10</w:t>
            </w:r>
            <w:r w:rsidRPr="001455DC">
              <w:rPr>
                <w:rStyle w:val="CCMCvariablesuperscript"/>
              </w:rPr>
              <w:t>6</w:t>
            </w:r>
          </w:p>
        </w:tc>
        <w:tc>
          <w:tcPr>
            <w:tcW w:w="709" w:type="dxa"/>
            <w:vMerge w:val="restart"/>
            <w:vAlign w:val="center"/>
          </w:tcPr>
          <w:p w14:paraId="4205BAC5" w14:textId="77777777" w:rsidR="004E22C1" w:rsidRPr="001455DC" w:rsidRDefault="004E22C1" w:rsidP="00B212C6">
            <w:pPr>
              <w:pStyle w:val="Tablebody"/>
              <w:keepNext/>
              <w:jc w:val="center"/>
            </w:pPr>
            <w:r w:rsidRPr="001455DC">
              <w:t>5</w:t>
            </w:r>
          </w:p>
        </w:tc>
        <w:tc>
          <w:tcPr>
            <w:tcW w:w="709" w:type="dxa"/>
            <w:vMerge w:val="restart"/>
            <w:vAlign w:val="center"/>
          </w:tcPr>
          <w:p w14:paraId="70DAE052" w14:textId="77777777" w:rsidR="004E22C1" w:rsidRPr="001455DC" w:rsidRDefault="004E22C1" w:rsidP="00B212C6">
            <w:pPr>
              <w:pStyle w:val="Tablebody"/>
              <w:keepNext/>
              <w:jc w:val="center"/>
            </w:pPr>
            <w:r w:rsidRPr="001455DC">
              <w:t>9</w:t>
            </w:r>
          </w:p>
        </w:tc>
      </w:tr>
      <w:tr w:rsidR="004E22C1" w:rsidRPr="001455DC" w14:paraId="5D93E754" w14:textId="77777777" w:rsidTr="00B212C6">
        <w:trPr>
          <w:cantSplit/>
        </w:trPr>
        <w:tc>
          <w:tcPr>
            <w:tcW w:w="2405" w:type="dxa"/>
            <w:vMerge/>
            <w:vAlign w:val="center"/>
          </w:tcPr>
          <w:p w14:paraId="03D7909D" w14:textId="77777777" w:rsidR="004E22C1" w:rsidRPr="001455DC" w:rsidRDefault="004E22C1" w:rsidP="00B212C6">
            <w:pPr>
              <w:pStyle w:val="Tablebody"/>
              <w:keepNext/>
              <w:jc w:val="left"/>
            </w:pPr>
          </w:p>
        </w:tc>
        <w:tc>
          <w:tcPr>
            <w:tcW w:w="2126" w:type="dxa"/>
            <w:vAlign w:val="center"/>
          </w:tcPr>
          <w:p w14:paraId="7FD38423" w14:textId="162A0A1F" w:rsidR="004E22C1" w:rsidRPr="001455DC" w:rsidRDefault="004E22C1" w:rsidP="00B212C6">
            <w:pPr>
              <w:pStyle w:val="Tablebody"/>
              <w:keepNext/>
              <w:jc w:val="center"/>
            </w:pPr>
            <w:r w:rsidRPr="001455DC">
              <w:t>12 mm </w:t>
            </w:r>
            <w:r w:rsidR="00650035" w:rsidRPr="001455DC">
              <w:rPr>
                <w:rFonts w:ascii="Cambria Math" w:hAnsi="Cambria Math"/>
              </w:rPr>
              <w:t>&lt;</w:t>
            </w:r>
            <w:r w:rsidRPr="001455DC">
              <w:t> </w:t>
            </w:r>
            <w:r w:rsidRPr="001455DC">
              <w:rPr>
                <w:rStyle w:val="CCMCvariableitalic"/>
              </w:rPr>
              <w:t>ϕ</w:t>
            </w:r>
            <w:r w:rsidRPr="001455DC">
              <w:t> </w:t>
            </w:r>
            <w:r w:rsidR="00650035" w:rsidRPr="001455DC">
              <w:rPr>
                <w:rFonts w:ascii="Cambria Math" w:hAnsi="Cambria Math"/>
              </w:rPr>
              <w:t>≤</w:t>
            </w:r>
            <w:r w:rsidRPr="001455DC">
              <w:t> 16 mm</w:t>
            </w:r>
          </w:p>
        </w:tc>
        <w:tc>
          <w:tcPr>
            <w:tcW w:w="1560" w:type="dxa"/>
            <w:vAlign w:val="center"/>
          </w:tcPr>
          <w:p w14:paraId="70814040" w14:textId="77777777" w:rsidR="004E22C1" w:rsidRPr="001455DC" w:rsidRDefault="004E22C1" w:rsidP="00B212C6">
            <w:pPr>
              <w:pStyle w:val="Tablebody"/>
              <w:keepNext/>
              <w:jc w:val="center"/>
            </w:pPr>
            <w:r w:rsidRPr="001455DC">
              <w:t>140</w:t>
            </w:r>
          </w:p>
        </w:tc>
        <w:tc>
          <w:tcPr>
            <w:tcW w:w="850" w:type="dxa"/>
            <w:vMerge/>
            <w:vAlign w:val="center"/>
          </w:tcPr>
          <w:p w14:paraId="298ADC19" w14:textId="77777777" w:rsidR="004E22C1" w:rsidRPr="001455DC" w:rsidRDefault="004E22C1" w:rsidP="00B212C6">
            <w:pPr>
              <w:pStyle w:val="Tablebody"/>
              <w:keepNext/>
              <w:jc w:val="center"/>
            </w:pPr>
          </w:p>
        </w:tc>
        <w:tc>
          <w:tcPr>
            <w:tcW w:w="709" w:type="dxa"/>
            <w:vMerge/>
            <w:vAlign w:val="center"/>
          </w:tcPr>
          <w:p w14:paraId="4F2A86DE" w14:textId="77777777" w:rsidR="004E22C1" w:rsidRPr="001455DC" w:rsidRDefault="004E22C1" w:rsidP="00B212C6">
            <w:pPr>
              <w:pStyle w:val="Tablebody"/>
              <w:keepNext/>
              <w:jc w:val="center"/>
            </w:pPr>
          </w:p>
        </w:tc>
        <w:tc>
          <w:tcPr>
            <w:tcW w:w="709" w:type="dxa"/>
            <w:vMerge/>
            <w:vAlign w:val="center"/>
          </w:tcPr>
          <w:p w14:paraId="2D84E00C" w14:textId="77777777" w:rsidR="004E22C1" w:rsidRPr="001455DC" w:rsidRDefault="004E22C1" w:rsidP="00B212C6">
            <w:pPr>
              <w:pStyle w:val="Tablebody"/>
              <w:keepNext/>
              <w:jc w:val="center"/>
            </w:pPr>
          </w:p>
        </w:tc>
      </w:tr>
      <w:tr w:rsidR="004E22C1" w:rsidRPr="001455DC" w14:paraId="2E6B4F7E" w14:textId="77777777" w:rsidTr="00B212C6">
        <w:trPr>
          <w:cantSplit/>
        </w:trPr>
        <w:tc>
          <w:tcPr>
            <w:tcW w:w="2405" w:type="dxa"/>
            <w:vMerge/>
            <w:vAlign w:val="center"/>
          </w:tcPr>
          <w:p w14:paraId="0E1E597C" w14:textId="77777777" w:rsidR="004E22C1" w:rsidRPr="001455DC" w:rsidRDefault="004E22C1" w:rsidP="00B212C6">
            <w:pPr>
              <w:pStyle w:val="Tablebody"/>
              <w:keepNext/>
              <w:jc w:val="left"/>
            </w:pPr>
          </w:p>
        </w:tc>
        <w:tc>
          <w:tcPr>
            <w:tcW w:w="2126" w:type="dxa"/>
            <w:vAlign w:val="center"/>
          </w:tcPr>
          <w:p w14:paraId="3D5BA6F7" w14:textId="6D1D3179" w:rsidR="004E22C1" w:rsidRPr="001455DC" w:rsidRDefault="004E22C1" w:rsidP="00B212C6">
            <w:pPr>
              <w:pStyle w:val="Tablebody"/>
              <w:keepNext/>
              <w:jc w:val="center"/>
            </w:pPr>
            <w:r w:rsidRPr="001455DC">
              <w:t>16 mm </w:t>
            </w:r>
            <w:r w:rsidR="00650035" w:rsidRPr="001455DC">
              <w:rPr>
                <w:rFonts w:ascii="Cambria Math" w:hAnsi="Cambria Math"/>
              </w:rPr>
              <w:t>&lt;</w:t>
            </w:r>
            <w:r w:rsidRPr="001455DC">
              <w:t> </w:t>
            </w:r>
            <w:r w:rsidRPr="001455DC">
              <w:rPr>
                <w:rStyle w:val="CCMCvariableitalic"/>
              </w:rPr>
              <w:t>ϕ</w:t>
            </w:r>
            <w:r w:rsidRPr="001455DC">
              <w:t> </w:t>
            </w:r>
            <w:r w:rsidR="00650035" w:rsidRPr="001455DC">
              <w:rPr>
                <w:rFonts w:ascii="Cambria Math" w:hAnsi="Cambria Math"/>
              </w:rPr>
              <w:t>≤</w:t>
            </w:r>
            <w:r w:rsidRPr="001455DC">
              <w:t> 20 mm</w:t>
            </w:r>
          </w:p>
        </w:tc>
        <w:tc>
          <w:tcPr>
            <w:tcW w:w="1560" w:type="dxa"/>
            <w:vAlign w:val="center"/>
          </w:tcPr>
          <w:p w14:paraId="00211F10" w14:textId="77777777" w:rsidR="004E22C1" w:rsidRPr="001455DC" w:rsidRDefault="004E22C1" w:rsidP="00B212C6">
            <w:pPr>
              <w:pStyle w:val="Tablebody"/>
              <w:keepNext/>
              <w:jc w:val="center"/>
            </w:pPr>
            <w:r w:rsidRPr="001455DC">
              <w:t>130</w:t>
            </w:r>
          </w:p>
        </w:tc>
        <w:tc>
          <w:tcPr>
            <w:tcW w:w="850" w:type="dxa"/>
            <w:vMerge/>
            <w:vAlign w:val="center"/>
          </w:tcPr>
          <w:p w14:paraId="11B14750" w14:textId="77777777" w:rsidR="004E22C1" w:rsidRPr="001455DC" w:rsidRDefault="004E22C1" w:rsidP="00B212C6">
            <w:pPr>
              <w:pStyle w:val="Tablebody"/>
              <w:keepNext/>
              <w:jc w:val="center"/>
            </w:pPr>
          </w:p>
        </w:tc>
        <w:tc>
          <w:tcPr>
            <w:tcW w:w="709" w:type="dxa"/>
            <w:vMerge/>
            <w:vAlign w:val="center"/>
          </w:tcPr>
          <w:p w14:paraId="590978C4" w14:textId="77777777" w:rsidR="004E22C1" w:rsidRPr="001455DC" w:rsidRDefault="004E22C1" w:rsidP="00B212C6">
            <w:pPr>
              <w:pStyle w:val="Tablebody"/>
              <w:keepNext/>
              <w:jc w:val="center"/>
            </w:pPr>
          </w:p>
        </w:tc>
        <w:tc>
          <w:tcPr>
            <w:tcW w:w="709" w:type="dxa"/>
            <w:vMerge/>
            <w:vAlign w:val="center"/>
          </w:tcPr>
          <w:p w14:paraId="5B6AE1F5" w14:textId="77777777" w:rsidR="004E22C1" w:rsidRPr="001455DC" w:rsidRDefault="004E22C1" w:rsidP="00B212C6">
            <w:pPr>
              <w:pStyle w:val="Tablebody"/>
              <w:keepNext/>
              <w:jc w:val="center"/>
            </w:pPr>
          </w:p>
        </w:tc>
      </w:tr>
      <w:tr w:rsidR="004E22C1" w:rsidRPr="001455DC" w14:paraId="3D1C146F" w14:textId="77777777" w:rsidTr="00B212C6">
        <w:trPr>
          <w:cantSplit/>
        </w:trPr>
        <w:tc>
          <w:tcPr>
            <w:tcW w:w="2405" w:type="dxa"/>
            <w:vAlign w:val="center"/>
          </w:tcPr>
          <w:p w14:paraId="65D5664B" w14:textId="0E5CCC79" w:rsidR="004E22C1" w:rsidRPr="001455DC" w:rsidRDefault="004E22C1" w:rsidP="00B212C6">
            <w:pPr>
              <w:pStyle w:val="Tablebody"/>
              <w:keepNext/>
              <w:jc w:val="left"/>
            </w:pPr>
            <w:r w:rsidRPr="001455DC">
              <w:t xml:space="preserve">Straight bars </w:t>
            </w:r>
            <w:r w:rsidRPr="001455DC">
              <w:rPr>
                <w:rStyle w:val="CCMCvariablesuperscript"/>
              </w:rPr>
              <w:t>a</w:t>
            </w:r>
            <w:r w:rsidR="00B212C6" w:rsidRPr="001455DC">
              <w:rPr>
                <w:rStyle w:val="CCMCvariablesuperscript"/>
              </w:rPr>
              <w:t>,</w:t>
            </w:r>
            <w:r w:rsidRPr="001455DC">
              <w:rPr>
                <w:rStyle w:val="CCMCvariablesuperscript"/>
              </w:rPr>
              <w:t>b</w:t>
            </w:r>
          </w:p>
        </w:tc>
        <w:tc>
          <w:tcPr>
            <w:tcW w:w="2126" w:type="dxa"/>
            <w:vAlign w:val="center"/>
          </w:tcPr>
          <w:p w14:paraId="46C23D10" w14:textId="42FF9358" w:rsidR="004E22C1" w:rsidRPr="001455DC" w:rsidRDefault="004E22C1" w:rsidP="00B212C6">
            <w:pPr>
              <w:pStyle w:val="Tablebody"/>
              <w:keepNext/>
              <w:jc w:val="center"/>
            </w:pPr>
            <w:r w:rsidRPr="001455DC">
              <w:rPr>
                <w:rStyle w:val="CCMCvariableitalic"/>
              </w:rPr>
              <w:t>ϕ</w:t>
            </w:r>
            <w:r w:rsidRPr="001455DC">
              <w:t> </w:t>
            </w:r>
            <w:r w:rsidR="00650035" w:rsidRPr="001455DC">
              <w:rPr>
                <w:rFonts w:ascii="Cambria Math" w:hAnsi="Cambria Math"/>
              </w:rPr>
              <w:t>&gt;</w:t>
            </w:r>
            <w:r w:rsidR="00073FC6" w:rsidRPr="001455DC">
              <w:t> </w:t>
            </w:r>
            <w:r w:rsidRPr="001455DC">
              <w:t>20 mm</w:t>
            </w:r>
          </w:p>
        </w:tc>
        <w:tc>
          <w:tcPr>
            <w:tcW w:w="1560" w:type="dxa"/>
            <w:vAlign w:val="center"/>
          </w:tcPr>
          <w:p w14:paraId="24AD6548" w14:textId="77777777" w:rsidR="004E22C1" w:rsidRPr="001455DC" w:rsidRDefault="004E22C1" w:rsidP="00B212C6">
            <w:pPr>
              <w:pStyle w:val="Tablebody"/>
              <w:keepNext/>
              <w:jc w:val="center"/>
            </w:pPr>
            <w:r w:rsidRPr="001455DC">
              <w:t>130</w:t>
            </w:r>
          </w:p>
        </w:tc>
        <w:tc>
          <w:tcPr>
            <w:tcW w:w="850" w:type="dxa"/>
            <w:vMerge/>
            <w:vAlign w:val="center"/>
          </w:tcPr>
          <w:p w14:paraId="2B134629" w14:textId="77777777" w:rsidR="004E22C1" w:rsidRPr="001455DC" w:rsidRDefault="004E22C1" w:rsidP="00B212C6">
            <w:pPr>
              <w:pStyle w:val="Tablebody"/>
              <w:keepNext/>
              <w:jc w:val="center"/>
            </w:pPr>
          </w:p>
        </w:tc>
        <w:tc>
          <w:tcPr>
            <w:tcW w:w="709" w:type="dxa"/>
            <w:vMerge/>
            <w:vAlign w:val="center"/>
          </w:tcPr>
          <w:p w14:paraId="1D7765EB" w14:textId="77777777" w:rsidR="004E22C1" w:rsidRPr="001455DC" w:rsidRDefault="004E22C1" w:rsidP="00B212C6">
            <w:pPr>
              <w:pStyle w:val="Tablebody"/>
              <w:keepNext/>
              <w:jc w:val="center"/>
            </w:pPr>
          </w:p>
        </w:tc>
        <w:tc>
          <w:tcPr>
            <w:tcW w:w="709" w:type="dxa"/>
            <w:vMerge/>
            <w:vAlign w:val="center"/>
          </w:tcPr>
          <w:p w14:paraId="088DA5BE" w14:textId="77777777" w:rsidR="004E22C1" w:rsidRPr="001455DC" w:rsidRDefault="004E22C1" w:rsidP="00B212C6">
            <w:pPr>
              <w:pStyle w:val="Tablebody"/>
              <w:keepNext/>
              <w:jc w:val="center"/>
            </w:pPr>
          </w:p>
        </w:tc>
      </w:tr>
      <w:tr w:rsidR="004E22C1" w:rsidRPr="001455DC" w14:paraId="533CAD6A" w14:textId="77777777" w:rsidTr="00B212C6">
        <w:trPr>
          <w:cantSplit/>
        </w:trPr>
        <w:tc>
          <w:tcPr>
            <w:tcW w:w="2405" w:type="dxa"/>
            <w:vMerge w:val="restart"/>
            <w:vAlign w:val="center"/>
          </w:tcPr>
          <w:p w14:paraId="7948B8D1" w14:textId="4C3A09AB" w:rsidR="004E22C1" w:rsidRPr="009D3012" w:rsidRDefault="004E22C1" w:rsidP="00B212C6">
            <w:pPr>
              <w:pStyle w:val="Tablebody"/>
              <w:keepNext/>
              <w:jc w:val="left"/>
              <w:rPr>
                <w:rStyle w:val="CCMCvariablesuperscript"/>
                <w:lang w:val="en-US"/>
              </w:rPr>
            </w:pPr>
            <w:r w:rsidRPr="009D3012">
              <w:rPr>
                <w:lang w:val="en-US"/>
              </w:rPr>
              <w:t>Tack welded bars</w:t>
            </w:r>
            <w:r w:rsidRPr="009D3012">
              <w:rPr>
                <w:rStyle w:val="CCMCvariablesuperscript"/>
                <w:lang w:val="en-US"/>
              </w:rPr>
              <w:t>c</w:t>
            </w:r>
            <w:r w:rsidR="00B212C6" w:rsidRPr="009D3012">
              <w:rPr>
                <w:rStyle w:val="CCMCvariablesuperscript"/>
                <w:lang w:val="en-US"/>
              </w:rPr>
              <w:t>,</w:t>
            </w:r>
            <w:r w:rsidRPr="009D3012">
              <w:rPr>
                <w:rStyle w:val="CCMCvariablesuperscript"/>
                <w:lang w:val="en-US"/>
              </w:rPr>
              <w:t>d</w:t>
            </w:r>
            <w:r w:rsidRPr="009D3012">
              <w:rPr>
                <w:lang w:val="en-US"/>
              </w:rPr>
              <w:t xml:space="preserve"> and welded wire fabrics</w:t>
            </w:r>
          </w:p>
        </w:tc>
        <w:tc>
          <w:tcPr>
            <w:tcW w:w="2126" w:type="dxa"/>
            <w:vAlign w:val="center"/>
          </w:tcPr>
          <w:p w14:paraId="75E7299A" w14:textId="0E37DF57" w:rsidR="004E22C1" w:rsidRPr="001455DC" w:rsidRDefault="004E22C1" w:rsidP="00B212C6">
            <w:pPr>
              <w:pStyle w:val="Tablebody"/>
              <w:keepNext/>
              <w:jc w:val="center"/>
            </w:pPr>
            <w:r w:rsidRPr="001455DC">
              <w:rPr>
                <w:rStyle w:val="CCMCvariableitalic"/>
              </w:rPr>
              <w:t>ϕ</w:t>
            </w:r>
            <w:r w:rsidRPr="001455DC">
              <w:t> </w:t>
            </w:r>
            <w:r w:rsidR="00650035" w:rsidRPr="001455DC">
              <w:rPr>
                <w:rFonts w:ascii="Cambria Math" w:hAnsi="Cambria Math"/>
              </w:rPr>
              <w:t>≤</w:t>
            </w:r>
            <w:r w:rsidRPr="001455DC">
              <w:t> 12 mm</w:t>
            </w:r>
          </w:p>
        </w:tc>
        <w:tc>
          <w:tcPr>
            <w:tcW w:w="1560" w:type="dxa"/>
            <w:vAlign w:val="center"/>
          </w:tcPr>
          <w:p w14:paraId="4033E691" w14:textId="77777777" w:rsidR="004E22C1" w:rsidRPr="001455DC" w:rsidRDefault="004E22C1" w:rsidP="00B212C6">
            <w:pPr>
              <w:pStyle w:val="Tablebody"/>
              <w:keepNext/>
              <w:jc w:val="center"/>
            </w:pPr>
            <w:r w:rsidRPr="001455DC">
              <w:t>100</w:t>
            </w:r>
          </w:p>
        </w:tc>
        <w:tc>
          <w:tcPr>
            <w:tcW w:w="850" w:type="dxa"/>
            <w:vMerge/>
            <w:vAlign w:val="center"/>
          </w:tcPr>
          <w:p w14:paraId="222118A0" w14:textId="77777777" w:rsidR="004E22C1" w:rsidRPr="009D3012" w:rsidRDefault="004E22C1" w:rsidP="00B212C6">
            <w:pPr>
              <w:pStyle w:val="Tablebody"/>
              <w:keepNext/>
              <w:jc w:val="center"/>
              <w:rPr>
                <w:rStyle w:val="CCMCvariablesuperscript"/>
              </w:rPr>
            </w:pPr>
          </w:p>
        </w:tc>
        <w:tc>
          <w:tcPr>
            <w:tcW w:w="709" w:type="dxa"/>
            <w:vMerge w:val="restart"/>
            <w:vAlign w:val="center"/>
          </w:tcPr>
          <w:p w14:paraId="6ABA84B2" w14:textId="77777777" w:rsidR="004E22C1" w:rsidRPr="001455DC" w:rsidRDefault="004E22C1" w:rsidP="00B212C6">
            <w:pPr>
              <w:pStyle w:val="Tablebody"/>
              <w:keepNext/>
              <w:jc w:val="center"/>
            </w:pPr>
            <w:r w:rsidRPr="009D3012">
              <w:t>3</w:t>
            </w:r>
          </w:p>
        </w:tc>
        <w:tc>
          <w:tcPr>
            <w:tcW w:w="709" w:type="dxa"/>
            <w:vMerge w:val="restart"/>
            <w:vAlign w:val="center"/>
          </w:tcPr>
          <w:p w14:paraId="108180F3" w14:textId="77777777" w:rsidR="004E22C1" w:rsidRPr="001455DC" w:rsidRDefault="004E22C1" w:rsidP="00B212C6">
            <w:pPr>
              <w:pStyle w:val="Tablebody"/>
              <w:keepNext/>
              <w:jc w:val="center"/>
            </w:pPr>
            <w:r w:rsidRPr="001455DC">
              <w:t>5</w:t>
            </w:r>
          </w:p>
        </w:tc>
      </w:tr>
      <w:tr w:rsidR="004E22C1" w:rsidRPr="001455DC" w14:paraId="77302A5E" w14:textId="77777777" w:rsidTr="00B212C6">
        <w:trPr>
          <w:cantSplit/>
        </w:trPr>
        <w:tc>
          <w:tcPr>
            <w:tcW w:w="2405" w:type="dxa"/>
            <w:vMerge/>
            <w:vAlign w:val="center"/>
          </w:tcPr>
          <w:p w14:paraId="59D58BC1" w14:textId="77777777" w:rsidR="004E22C1" w:rsidRPr="001455DC" w:rsidRDefault="004E22C1" w:rsidP="00B212C6">
            <w:pPr>
              <w:pStyle w:val="Tablebody"/>
              <w:keepNext/>
              <w:jc w:val="left"/>
              <w:rPr>
                <w:position w:val="1"/>
              </w:rPr>
            </w:pPr>
          </w:p>
        </w:tc>
        <w:tc>
          <w:tcPr>
            <w:tcW w:w="2126" w:type="dxa"/>
            <w:vAlign w:val="center"/>
          </w:tcPr>
          <w:p w14:paraId="705F598E" w14:textId="45FF2FCE" w:rsidR="004E22C1" w:rsidRPr="001455DC" w:rsidRDefault="004E22C1" w:rsidP="00B212C6">
            <w:pPr>
              <w:pStyle w:val="Tablebody"/>
              <w:keepNext/>
              <w:jc w:val="center"/>
            </w:pPr>
            <w:r w:rsidRPr="001455DC">
              <w:rPr>
                <w:rStyle w:val="CCMCvariableitalic"/>
              </w:rPr>
              <w:t>ϕ</w:t>
            </w:r>
            <w:r w:rsidRPr="001455DC">
              <w:t> </w:t>
            </w:r>
            <w:r w:rsidR="00650035" w:rsidRPr="001455DC">
              <w:rPr>
                <w:rFonts w:ascii="Cambria Math" w:hAnsi="Cambria Math"/>
              </w:rPr>
              <w:t>&gt;</w:t>
            </w:r>
            <w:r w:rsidR="00073FC6" w:rsidRPr="001455DC">
              <w:t> </w:t>
            </w:r>
            <w:r w:rsidRPr="001455DC">
              <w:t>12 mm</w:t>
            </w:r>
          </w:p>
        </w:tc>
        <w:tc>
          <w:tcPr>
            <w:tcW w:w="1560" w:type="dxa"/>
            <w:vAlign w:val="center"/>
          </w:tcPr>
          <w:p w14:paraId="14FB92C0" w14:textId="77777777" w:rsidR="004E22C1" w:rsidRPr="001455DC" w:rsidRDefault="004E22C1" w:rsidP="00B212C6">
            <w:pPr>
              <w:pStyle w:val="Tablebody"/>
              <w:keepNext/>
              <w:jc w:val="center"/>
            </w:pPr>
            <w:r w:rsidRPr="001455DC">
              <w:t>80</w:t>
            </w:r>
          </w:p>
        </w:tc>
        <w:tc>
          <w:tcPr>
            <w:tcW w:w="850" w:type="dxa"/>
            <w:vMerge/>
            <w:vAlign w:val="center"/>
          </w:tcPr>
          <w:p w14:paraId="12399476" w14:textId="77777777" w:rsidR="004E22C1" w:rsidRPr="009D3012" w:rsidRDefault="004E22C1" w:rsidP="00B212C6">
            <w:pPr>
              <w:pStyle w:val="Tablebody"/>
              <w:keepNext/>
              <w:jc w:val="center"/>
              <w:rPr>
                <w:rStyle w:val="CCMCvariablesuperscript"/>
              </w:rPr>
            </w:pPr>
          </w:p>
        </w:tc>
        <w:tc>
          <w:tcPr>
            <w:tcW w:w="709" w:type="dxa"/>
            <w:vMerge/>
            <w:vAlign w:val="center"/>
          </w:tcPr>
          <w:p w14:paraId="46013BFF" w14:textId="77777777" w:rsidR="004E22C1" w:rsidRPr="001455DC" w:rsidRDefault="004E22C1" w:rsidP="00B212C6">
            <w:pPr>
              <w:pStyle w:val="Tablebody"/>
              <w:keepNext/>
              <w:jc w:val="center"/>
            </w:pPr>
          </w:p>
        </w:tc>
        <w:tc>
          <w:tcPr>
            <w:tcW w:w="709" w:type="dxa"/>
            <w:vMerge/>
            <w:vAlign w:val="center"/>
          </w:tcPr>
          <w:p w14:paraId="38678A44" w14:textId="77777777" w:rsidR="004E22C1" w:rsidRPr="001455DC" w:rsidRDefault="004E22C1" w:rsidP="00B212C6">
            <w:pPr>
              <w:pStyle w:val="Tablebody"/>
              <w:keepNext/>
              <w:jc w:val="center"/>
            </w:pPr>
          </w:p>
        </w:tc>
      </w:tr>
      <w:tr w:rsidR="004E22C1" w:rsidRPr="001455DC" w14:paraId="4EC26605" w14:textId="77777777" w:rsidTr="00B212C6">
        <w:trPr>
          <w:cantSplit/>
        </w:trPr>
        <w:tc>
          <w:tcPr>
            <w:tcW w:w="2405" w:type="dxa"/>
            <w:vAlign w:val="center"/>
          </w:tcPr>
          <w:p w14:paraId="0DD645EC" w14:textId="191CF688" w:rsidR="004E22C1" w:rsidRPr="001455DC" w:rsidRDefault="004E22C1" w:rsidP="00B212C6">
            <w:pPr>
              <w:pStyle w:val="Tablebody"/>
              <w:keepNext/>
              <w:jc w:val="left"/>
              <w:rPr>
                <w:position w:val="1"/>
              </w:rPr>
            </w:pPr>
            <w:r w:rsidRPr="009D3012">
              <w:t>Couplers</w:t>
            </w:r>
            <w:r w:rsidRPr="001455DC">
              <w:rPr>
                <w:rStyle w:val="CCMCvariablesuperscript"/>
              </w:rPr>
              <w:t>e</w:t>
            </w:r>
          </w:p>
        </w:tc>
        <w:tc>
          <w:tcPr>
            <w:tcW w:w="2126" w:type="dxa"/>
            <w:vAlign w:val="center"/>
          </w:tcPr>
          <w:p w14:paraId="70452641" w14:textId="77777777" w:rsidR="004E22C1" w:rsidRPr="001455DC" w:rsidRDefault="004E22C1" w:rsidP="00B212C6">
            <w:pPr>
              <w:pStyle w:val="Tablebody"/>
              <w:keepNext/>
              <w:jc w:val="center"/>
            </w:pPr>
            <w:r w:rsidRPr="001455DC">
              <w:t>–</w:t>
            </w:r>
          </w:p>
        </w:tc>
        <w:tc>
          <w:tcPr>
            <w:tcW w:w="1560" w:type="dxa"/>
            <w:vAlign w:val="center"/>
          </w:tcPr>
          <w:p w14:paraId="27D97C4F" w14:textId="77777777" w:rsidR="004E22C1" w:rsidRPr="001455DC" w:rsidRDefault="004E22C1" w:rsidP="00B212C6">
            <w:pPr>
              <w:pStyle w:val="Tablebody"/>
              <w:keepNext/>
              <w:jc w:val="center"/>
            </w:pPr>
            <w:r w:rsidRPr="001455DC">
              <w:t>35</w:t>
            </w:r>
          </w:p>
        </w:tc>
        <w:tc>
          <w:tcPr>
            <w:tcW w:w="850" w:type="dxa"/>
            <w:vAlign w:val="center"/>
          </w:tcPr>
          <w:p w14:paraId="5D829D5E" w14:textId="77777777" w:rsidR="004E22C1" w:rsidRPr="001455DC" w:rsidRDefault="004E22C1" w:rsidP="00B212C6">
            <w:pPr>
              <w:pStyle w:val="Tablebody"/>
              <w:keepNext/>
              <w:jc w:val="center"/>
            </w:pPr>
            <w:r w:rsidRPr="001455DC">
              <w:t>10</w:t>
            </w:r>
            <w:r w:rsidRPr="001455DC">
              <w:rPr>
                <w:rStyle w:val="CCMCvariablesuperscript"/>
              </w:rPr>
              <w:t>7</w:t>
            </w:r>
          </w:p>
        </w:tc>
        <w:tc>
          <w:tcPr>
            <w:tcW w:w="709" w:type="dxa"/>
            <w:vAlign w:val="center"/>
          </w:tcPr>
          <w:p w14:paraId="76DC019A" w14:textId="77777777" w:rsidR="004E22C1" w:rsidRPr="001455DC" w:rsidRDefault="004E22C1" w:rsidP="00B212C6">
            <w:pPr>
              <w:pStyle w:val="Tablebody"/>
              <w:keepNext/>
              <w:jc w:val="center"/>
            </w:pPr>
            <w:r w:rsidRPr="001455DC">
              <w:t>3</w:t>
            </w:r>
          </w:p>
        </w:tc>
        <w:tc>
          <w:tcPr>
            <w:tcW w:w="709" w:type="dxa"/>
            <w:vAlign w:val="center"/>
          </w:tcPr>
          <w:p w14:paraId="713664B5" w14:textId="77777777" w:rsidR="004E22C1" w:rsidRPr="001455DC" w:rsidRDefault="004E22C1" w:rsidP="00B212C6">
            <w:pPr>
              <w:pStyle w:val="Tablebody"/>
              <w:keepNext/>
              <w:jc w:val="center"/>
            </w:pPr>
            <w:r w:rsidRPr="001455DC">
              <w:t>5</w:t>
            </w:r>
          </w:p>
        </w:tc>
      </w:tr>
      <w:tr w:rsidR="004E22C1" w:rsidRPr="001455DC" w14:paraId="22DBC0D4" w14:textId="77777777" w:rsidTr="00B212C6">
        <w:trPr>
          <w:cnfStyle w:val="010000000000" w:firstRow="0" w:lastRow="1" w:firstColumn="0" w:lastColumn="0" w:oddVBand="0" w:evenVBand="0" w:oddHBand="0" w:evenHBand="0" w:firstRowFirstColumn="0" w:firstRowLastColumn="0" w:lastRowFirstColumn="0" w:lastRowLastColumn="0"/>
          <w:cantSplit/>
        </w:trPr>
        <w:tc>
          <w:tcPr>
            <w:tcW w:w="8359" w:type="dxa"/>
            <w:gridSpan w:val="6"/>
          </w:tcPr>
          <w:p w14:paraId="4CC86304" w14:textId="711D8E93" w:rsidR="00A55D4B" w:rsidRPr="009D3012" w:rsidRDefault="00A55D4B" w:rsidP="00B212C6">
            <w:pPr>
              <w:pStyle w:val="Tablefooter"/>
              <w:rPr>
                <w:lang w:val="en-US"/>
              </w:rPr>
            </w:pPr>
            <w:r w:rsidRPr="009D3012">
              <w:rPr>
                <w:rStyle w:val="CCMCvariablesuperscript"/>
                <w:lang w:val="en-US"/>
              </w:rPr>
              <w:t>a</w:t>
            </w:r>
            <w:r w:rsidR="00B212C6" w:rsidRPr="009D3012">
              <w:rPr>
                <w:lang w:val="en-US"/>
              </w:rPr>
              <w:tab/>
            </w:r>
            <w:r w:rsidRPr="009D3012">
              <w:rPr>
                <w:lang w:val="en-US"/>
              </w:rPr>
              <w:t xml:space="preserve">Values for bent parts of bars should be obtained using a reduction factor </w:t>
            </w:r>
            <w:r w:rsidRPr="001455DC">
              <w:rPr>
                <w:rStyle w:val="CCMCvariableitalic"/>
              </w:rPr>
              <w:t>ξ</w:t>
            </w:r>
            <w:r w:rsidRPr="009D3012">
              <w:rPr>
                <w:lang w:val="en-US"/>
              </w:rPr>
              <w:t> </w:t>
            </w:r>
            <w:r w:rsidR="00EC27D2" w:rsidRPr="009D3012">
              <w:rPr>
                <w:rFonts w:ascii="Cambria Math" w:hAnsi="Cambria Math"/>
                <w:lang w:val="en-US"/>
              </w:rPr>
              <w:t>=</w:t>
            </w:r>
            <w:r w:rsidRPr="009D3012">
              <w:rPr>
                <w:lang w:val="en-US"/>
              </w:rPr>
              <w:t> 0,35</w:t>
            </w:r>
            <w:r w:rsidR="00EC27D2" w:rsidRPr="009D3012">
              <w:rPr>
                <w:rFonts w:ascii="Cambria Math" w:hAnsi="Cambria Math"/>
                <w:lang w:val="en-US"/>
              </w:rPr>
              <w:t> + </w:t>
            </w:r>
            <w:r w:rsidRPr="009D3012">
              <w:rPr>
                <w:lang w:val="en-US"/>
              </w:rPr>
              <w:t xml:space="preserve">0,026 </w:t>
            </w:r>
            <w:r w:rsidR="00C74721" w:rsidRPr="009D3012">
              <w:rPr>
                <w:rFonts w:ascii="Cambria Math" w:hAnsi="Cambria Math"/>
                <w:lang w:val="en-US"/>
              </w:rPr>
              <w:t>⋅</w:t>
            </w:r>
            <w:r w:rsidRPr="009D3012">
              <w:rPr>
                <w:lang w:val="en-US"/>
              </w:rPr>
              <w:t xml:space="preserve"> </w:t>
            </w:r>
            <w:r w:rsidRPr="001455DC">
              <w:rPr>
                <w:rStyle w:val="CCMCvariableitalic"/>
              </w:rPr>
              <w:t>ϕ</w:t>
            </w:r>
            <w:r w:rsidRPr="009D3012">
              <w:rPr>
                <w:rStyle w:val="CCMCvariablesubscript"/>
                <w:lang w:val="en-US"/>
              </w:rPr>
              <w:t>mand</w:t>
            </w:r>
            <w:r w:rsidRPr="009D3012">
              <w:rPr>
                <w:lang w:val="en-US"/>
              </w:rPr>
              <w:t xml:space="preserve"> /</w:t>
            </w:r>
            <w:r w:rsidRPr="001455DC">
              <w:rPr>
                <w:rStyle w:val="CCMCvariableitalic"/>
              </w:rPr>
              <w:t>ϕ</w:t>
            </w:r>
            <w:r w:rsidRPr="009D3012">
              <w:rPr>
                <w:lang w:val="en-US"/>
              </w:rPr>
              <w:t xml:space="preserve">. The reduction factor </w:t>
            </w:r>
            <w:r w:rsidRPr="001455DC">
              <w:rPr>
                <w:rStyle w:val="CCMCvariableitalic"/>
              </w:rPr>
              <w:t>ξ</w:t>
            </w:r>
            <w:r w:rsidRPr="009D3012">
              <w:rPr>
                <w:lang w:val="en-US"/>
              </w:rPr>
              <w:t xml:space="preserve"> may be omitted for shear reinforcement with 90° stirrups </w:t>
            </w:r>
            <w:r w:rsidRPr="001455DC">
              <w:rPr>
                <w:rStyle w:val="CCMCvariableitalic"/>
              </w:rPr>
              <w:t>ϕ</w:t>
            </w:r>
            <w:r w:rsidRPr="009D3012">
              <w:rPr>
                <w:lang w:val="en-US"/>
              </w:rPr>
              <w:t> </w:t>
            </w:r>
            <w:r w:rsidR="00650035" w:rsidRPr="009D3012">
              <w:rPr>
                <w:rFonts w:ascii="Cambria Math" w:hAnsi="Cambria Math"/>
                <w:lang w:val="en-US"/>
              </w:rPr>
              <w:t>≤</w:t>
            </w:r>
            <w:r w:rsidRPr="009D3012">
              <w:rPr>
                <w:lang w:val="en-US"/>
              </w:rPr>
              <w:t xml:space="preserve"> 16 mm and depth </w:t>
            </w:r>
            <w:r w:rsidRPr="009D3012">
              <w:rPr>
                <w:rStyle w:val="CCMCvariableitalic"/>
                <w:lang w:val="en-US"/>
              </w:rPr>
              <w:t>h</w:t>
            </w:r>
            <w:r w:rsidRPr="009D3012">
              <w:rPr>
                <w:lang w:val="en-US"/>
              </w:rPr>
              <w:t> </w:t>
            </w:r>
            <w:r w:rsidR="00650035" w:rsidRPr="009D3012">
              <w:rPr>
                <w:rFonts w:ascii="Cambria Math" w:hAnsi="Cambria Math"/>
                <w:lang w:val="en-US"/>
              </w:rPr>
              <w:t>≥</w:t>
            </w:r>
            <w:r w:rsidRPr="009D3012">
              <w:rPr>
                <w:lang w:val="en-US"/>
              </w:rPr>
              <w:t> 600 mm.</w:t>
            </w:r>
          </w:p>
          <w:p w14:paraId="3E8B65CC" w14:textId="74DB4BFC" w:rsidR="00A55D4B" w:rsidRPr="009D3012" w:rsidRDefault="00A55D4B" w:rsidP="00B212C6">
            <w:pPr>
              <w:pStyle w:val="Tablefooter"/>
              <w:rPr>
                <w:lang w:val="en-US"/>
              </w:rPr>
            </w:pPr>
            <w:r w:rsidRPr="009D3012">
              <w:rPr>
                <w:rStyle w:val="CCMCvariablesuperscript"/>
                <w:lang w:val="en-US"/>
              </w:rPr>
              <w:t>b</w:t>
            </w:r>
            <w:r w:rsidR="00B212C6" w:rsidRPr="009D3012">
              <w:rPr>
                <w:lang w:val="en-US"/>
              </w:rPr>
              <w:tab/>
            </w:r>
            <w:r w:rsidRPr="009D3012">
              <w:rPr>
                <w:lang w:val="en-US"/>
              </w:rPr>
              <w:t xml:space="preserve">Values for </w:t>
            </w:r>
            <w:r w:rsidRPr="001455DC">
              <w:t>Δ</w:t>
            </w:r>
            <w:r w:rsidRPr="001455DC">
              <w:rPr>
                <w:rStyle w:val="CCMCvariableitalic"/>
              </w:rPr>
              <w:t>σ</w:t>
            </w:r>
            <w:r w:rsidRPr="009D3012">
              <w:rPr>
                <w:rStyle w:val="CCMCvariablesubscript"/>
                <w:lang w:val="en-US"/>
              </w:rPr>
              <w:t>Rsk</w:t>
            </w:r>
            <w:r w:rsidRPr="009D3012">
              <w:rPr>
                <w:lang w:val="en-US"/>
              </w:rPr>
              <w:t xml:space="preserve"> only to be applied for straight bars and not for de-coiled bars.</w:t>
            </w:r>
          </w:p>
          <w:p w14:paraId="04CD18AE" w14:textId="1BFEFB55" w:rsidR="00A55D4B" w:rsidRPr="009D3012" w:rsidRDefault="00A55D4B" w:rsidP="00B212C6">
            <w:pPr>
              <w:pStyle w:val="Tablefooter"/>
              <w:rPr>
                <w:lang w:val="en-US"/>
              </w:rPr>
            </w:pPr>
            <w:r w:rsidRPr="009D3012">
              <w:rPr>
                <w:rStyle w:val="CCMCvariablesuperscript"/>
                <w:lang w:val="en-US"/>
              </w:rPr>
              <w:t>c</w:t>
            </w:r>
            <w:r w:rsidR="00B212C6" w:rsidRPr="009D3012">
              <w:rPr>
                <w:lang w:val="en-US"/>
              </w:rPr>
              <w:tab/>
            </w:r>
            <w:r w:rsidRPr="009D3012">
              <w:rPr>
                <w:lang w:val="en-US"/>
              </w:rPr>
              <w:t xml:space="preserve">Values for </w:t>
            </w:r>
            <w:r w:rsidRPr="001455DC">
              <w:t>Δ</w:t>
            </w:r>
            <w:r w:rsidRPr="001455DC">
              <w:rPr>
                <w:rStyle w:val="CCMCvariableitalic"/>
              </w:rPr>
              <w:t>σ</w:t>
            </w:r>
            <w:r w:rsidRPr="009D3012">
              <w:rPr>
                <w:rStyle w:val="CCMCvariablesubscript"/>
                <w:lang w:val="en-US"/>
              </w:rPr>
              <w:t>Rsk</w:t>
            </w:r>
            <w:r w:rsidRPr="009D3012">
              <w:rPr>
                <w:lang w:val="en-US"/>
              </w:rPr>
              <w:t xml:space="preserve"> of tack welded apply for a distance of 5</w:t>
            </w:r>
            <w:r w:rsidRPr="001455DC">
              <w:rPr>
                <w:rStyle w:val="CCMCvariableitalic"/>
              </w:rPr>
              <w:t>ϕ</w:t>
            </w:r>
            <w:r w:rsidRPr="009D3012">
              <w:rPr>
                <w:lang w:val="en-US"/>
              </w:rPr>
              <w:t xml:space="preserve"> at each side of the weld.</w:t>
            </w:r>
          </w:p>
          <w:p w14:paraId="4B388F52" w14:textId="1FFCBE3A" w:rsidR="00A55D4B" w:rsidRPr="009D3012" w:rsidRDefault="00A55D4B" w:rsidP="00B212C6">
            <w:pPr>
              <w:pStyle w:val="Tablefooter"/>
              <w:rPr>
                <w:lang w:val="en-US"/>
              </w:rPr>
            </w:pPr>
            <w:r w:rsidRPr="009D3012">
              <w:rPr>
                <w:rStyle w:val="CCMCvariablesuperscript"/>
                <w:lang w:val="en-US"/>
              </w:rPr>
              <w:t>d</w:t>
            </w:r>
            <w:r w:rsidR="00B212C6" w:rsidRPr="009D3012">
              <w:rPr>
                <w:lang w:val="en-US"/>
              </w:rPr>
              <w:tab/>
            </w:r>
            <w:r w:rsidRPr="009D3012">
              <w:rPr>
                <w:lang w:val="en-US"/>
              </w:rPr>
              <w:t xml:space="preserve">Values for </w:t>
            </w:r>
            <w:r w:rsidRPr="001455DC">
              <w:t>Δ</w:t>
            </w:r>
            <w:r w:rsidRPr="001455DC">
              <w:rPr>
                <w:rStyle w:val="CCMCvariableitalic"/>
              </w:rPr>
              <w:t>σ</w:t>
            </w:r>
            <w:r w:rsidRPr="009D3012">
              <w:rPr>
                <w:rStyle w:val="CCMCvariablesubscript"/>
                <w:lang w:val="en-US"/>
              </w:rPr>
              <w:t>Rsk</w:t>
            </w:r>
            <w:r w:rsidRPr="009D3012">
              <w:rPr>
                <w:lang w:val="en-US"/>
              </w:rPr>
              <w:t xml:space="preserve"> of tack welded apply only for CO</w:t>
            </w:r>
            <w:r w:rsidRPr="009D3012">
              <w:rPr>
                <w:rStyle w:val="CCMCvariablesubscript"/>
                <w:lang w:val="en-US"/>
              </w:rPr>
              <w:t>2</w:t>
            </w:r>
            <w:r w:rsidRPr="009D3012">
              <w:rPr>
                <w:lang w:val="en-US"/>
              </w:rPr>
              <w:t>-welded bars.</w:t>
            </w:r>
          </w:p>
          <w:p w14:paraId="1AEA2009" w14:textId="3E1A8273" w:rsidR="004E22C1" w:rsidRPr="009D3012" w:rsidRDefault="00A55D4B" w:rsidP="00B212C6">
            <w:pPr>
              <w:pStyle w:val="Tablefooter"/>
              <w:rPr>
                <w:rFonts w:eastAsia="Calibri" w:cs="Times New Roman"/>
                <w:lang w:val="en-US"/>
              </w:rPr>
            </w:pPr>
            <w:r w:rsidRPr="009D3012">
              <w:rPr>
                <w:rStyle w:val="CCMCvariablesuperscript"/>
                <w:lang w:val="en-US"/>
              </w:rPr>
              <w:t>e</w:t>
            </w:r>
            <w:r w:rsidR="00B212C6" w:rsidRPr="009D3012">
              <w:rPr>
                <w:lang w:val="en-US"/>
              </w:rPr>
              <w:tab/>
            </w:r>
            <w:r w:rsidRPr="009D3012">
              <w:rPr>
                <w:lang w:val="en-US"/>
              </w:rPr>
              <w:t xml:space="preserve">Values for couplers apply unless more accurate </w:t>
            </w:r>
            <w:r w:rsidRPr="009D3012">
              <w:rPr>
                <w:rStyle w:val="CCMCvariableitalic"/>
                <w:lang w:val="en-US"/>
              </w:rPr>
              <w:t>S</w:t>
            </w:r>
            <w:r w:rsidRPr="009D3012">
              <w:rPr>
                <w:lang w:val="en-US"/>
              </w:rPr>
              <w:t>-</w:t>
            </w:r>
            <w:r w:rsidRPr="009D3012">
              <w:rPr>
                <w:rStyle w:val="CCMCvariableitalic"/>
                <w:lang w:val="en-US"/>
              </w:rPr>
              <w:t>N</w:t>
            </w:r>
            <w:r w:rsidRPr="009D3012">
              <w:rPr>
                <w:lang w:val="en-US"/>
              </w:rPr>
              <w:t xml:space="preserve"> curves are available based on an European Technical Product Specification.</w:t>
            </w:r>
          </w:p>
        </w:tc>
      </w:tr>
    </w:tbl>
    <w:p w14:paraId="63814A66" w14:textId="77777777" w:rsidR="004E22C1" w:rsidRPr="001455DC" w:rsidRDefault="004E22C1" w:rsidP="00072A5B">
      <w:pPr>
        <w:pStyle w:val="a7"/>
      </w:pPr>
    </w:p>
    <w:p w14:paraId="72100C89" w14:textId="77777777" w:rsidR="004E22C1" w:rsidRPr="001455DC" w:rsidRDefault="004E22C1" w:rsidP="00A55D4B">
      <w:pPr>
        <w:pStyle w:val="Tabletitle"/>
      </w:pPr>
      <w:bookmarkStart w:id="1484" w:name="_Toc54337577"/>
      <w:bookmarkEnd w:id="1459"/>
      <w:r w:rsidRPr="001455DC">
        <w:t xml:space="preserve">Table E.2(NDP) — Parameters for </w:t>
      </w:r>
      <w:r w:rsidRPr="001455DC">
        <w:rPr>
          <w:rStyle w:val="CCMCvariableitalic"/>
        </w:rPr>
        <w:t>S</w:t>
      </w:r>
      <w:r w:rsidRPr="001455DC">
        <w:t>-</w:t>
      </w:r>
      <w:r w:rsidRPr="001455DC">
        <w:rPr>
          <w:rStyle w:val="CCMCvariableitalic"/>
        </w:rPr>
        <w:t>N</w:t>
      </w:r>
      <w:r w:rsidRPr="001455DC">
        <w:t xml:space="preserve"> curves for prestressing steel</w:t>
      </w:r>
      <w:bookmarkEnd w:id="1484"/>
    </w:p>
    <w:tbl>
      <w:tblPr>
        <w:tblStyle w:val="53"/>
        <w:tblW w:w="9752" w:type="dxa"/>
        <w:tblLayout w:type="fixed"/>
        <w:tblLook w:val="0660" w:firstRow="1" w:lastRow="1" w:firstColumn="0" w:lastColumn="0" w:noHBand="1" w:noVBand="1"/>
      </w:tblPr>
      <w:tblGrid>
        <w:gridCol w:w="4370"/>
        <w:gridCol w:w="841"/>
        <w:gridCol w:w="1177"/>
        <w:gridCol w:w="1177"/>
        <w:gridCol w:w="2187"/>
      </w:tblGrid>
      <w:tr w:rsidR="004E22C1" w:rsidRPr="001455DC" w14:paraId="67E77290" w14:textId="77777777" w:rsidTr="00B212C6">
        <w:trPr>
          <w:cnfStyle w:val="100000000000" w:firstRow="1" w:lastRow="0" w:firstColumn="0" w:lastColumn="0" w:oddVBand="0" w:evenVBand="0" w:oddHBand="0" w:evenHBand="0" w:firstRowFirstColumn="0" w:firstRowLastColumn="0" w:lastRowFirstColumn="0" w:lastRowLastColumn="0"/>
          <w:cantSplit/>
          <w:tblHeader/>
        </w:trPr>
        <w:tc>
          <w:tcPr>
            <w:tcW w:w="3681" w:type="dxa"/>
            <w:vMerge w:val="restart"/>
          </w:tcPr>
          <w:p w14:paraId="6CBDC9AB" w14:textId="61A3C483" w:rsidR="004E22C1" w:rsidRPr="009D3012" w:rsidRDefault="004E22C1" w:rsidP="00116AE2">
            <w:pPr>
              <w:pStyle w:val="Tableheader"/>
              <w:keepNext/>
              <w:rPr>
                <w:rStyle w:val="CCMCvariablesuperscript"/>
                <w:lang w:val="en-US"/>
              </w:rPr>
            </w:pPr>
            <w:r w:rsidRPr="009D3012">
              <w:rPr>
                <w:rStyle w:val="CCMCvariableitalic"/>
                <w:lang w:val="en-US"/>
              </w:rPr>
              <w:t>S</w:t>
            </w:r>
            <w:r w:rsidRPr="009D3012">
              <w:rPr>
                <w:lang w:val="en-US"/>
              </w:rPr>
              <w:t>-</w:t>
            </w:r>
            <w:r w:rsidRPr="009D3012">
              <w:rPr>
                <w:rStyle w:val="CCMCvariableitalic"/>
                <w:lang w:val="en-US"/>
              </w:rPr>
              <w:t>N</w:t>
            </w:r>
            <w:r w:rsidRPr="009D3012">
              <w:rPr>
                <w:lang w:val="en-US"/>
              </w:rPr>
              <w:t xml:space="preserve"> curve of prestressing steel</w:t>
            </w:r>
          </w:p>
        </w:tc>
        <w:tc>
          <w:tcPr>
            <w:tcW w:w="709" w:type="dxa"/>
            <w:vMerge w:val="restart"/>
          </w:tcPr>
          <w:p w14:paraId="47EEA686" w14:textId="77777777" w:rsidR="004E22C1" w:rsidRPr="009D3012" w:rsidRDefault="004E22C1" w:rsidP="00116AE2">
            <w:pPr>
              <w:pStyle w:val="Tableheader"/>
              <w:keepNext/>
              <w:rPr>
                <w:rStyle w:val="CCMCvariablesuperscript"/>
                <w:bCs/>
              </w:rPr>
            </w:pPr>
            <w:r w:rsidRPr="001455DC">
              <w:rPr>
                <w:rStyle w:val="CCMCvariableitalic"/>
                <w:bCs/>
              </w:rPr>
              <w:t>N</w:t>
            </w:r>
            <w:r w:rsidRPr="001455DC">
              <w:rPr>
                <w:bCs/>
              </w:rPr>
              <w:t>*</w:t>
            </w:r>
          </w:p>
        </w:tc>
        <w:tc>
          <w:tcPr>
            <w:tcW w:w="1984" w:type="dxa"/>
            <w:gridSpan w:val="2"/>
          </w:tcPr>
          <w:p w14:paraId="297730D5" w14:textId="77777777" w:rsidR="004E22C1" w:rsidRPr="001455DC" w:rsidRDefault="004E22C1" w:rsidP="00116AE2">
            <w:pPr>
              <w:pStyle w:val="Tableheader"/>
              <w:keepNext/>
              <w:rPr>
                <w:bCs/>
              </w:rPr>
            </w:pPr>
            <w:r w:rsidRPr="001455DC">
              <w:rPr>
                <w:bCs/>
              </w:rPr>
              <w:t>stress exponent</w:t>
            </w:r>
          </w:p>
        </w:tc>
        <w:tc>
          <w:tcPr>
            <w:tcW w:w="1843" w:type="dxa"/>
            <w:vMerge w:val="restart"/>
          </w:tcPr>
          <w:p w14:paraId="5C992029" w14:textId="77777777" w:rsidR="004E22C1" w:rsidRPr="009D3012" w:rsidRDefault="004E22C1" w:rsidP="00116AE2">
            <w:pPr>
              <w:pStyle w:val="Tableheader"/>
              <w:keepNext/>
              <w:rPr>
                <w:bCs/>
                <w:lang w:val="en-US"/>
              </w:rPr>
            </w:pPr>
            <w:r w:rsidRPr="001455DC">
              <w:rPr>
                <w:bCs/>
              </w:rPr>
              <w:t>Δ</w:t>
            </w:r>
            <w:r w:rsidRPr="001455DC">
              <w:rPr>
                <w:rStyle w:val="CCMCvariableitalic"/>
                <w:bCs/>
              </w:rPr>
              <w:t>σ</w:t>
            </w:r>
            <w:r w:rsidRPr="009D3012">
              <w:rPr>
                <w:rStyle w:val="CCMCvariablesubscript"/>
                <w:bCs/>
                <w:lang w:val="en-US"/>
              </w:rPr>
              <w:t>Rsk</w:t>
            </w:r>
            <w:r w:rsidRPr="009D3012">
              <w:rPr>
                <w:bCs/>
                <w:lang w:val="en-US"/>
              </w:rPr>
              <w:t xml:space="preserve"> [MPa]</w:t>
            </w:r>
          </w:p>
          <w:p w14:paraId="7973BB5A" w14:textId="6B5DDB2D" w:rsidR="004E22C1" w:rsidRPr="009D3012" w:rsidRDefault="004E22C1" w:rsidP="00116AE2">
            <w:pPr>
              <w:pStyle w:val="Tableheader"/>
              <w:keepNext/>
              <w:rPr>
                <w:bCs/>
                <w:lang w:val="en-US"/>
              </w:rPr>
            </w:pPr>
            <w:r w:rsidRPr="009D3012">
              <w:rPr>
                <w:bCs/>
                <w:lang w:val="en-US"/>
              </w:rPr>
              <w:t xml:space="preserve">at </w:t>
            </w:r>
            <w:r w:rsidRPr="009D3012">
              <w:rPr>
                <w:rStyle w:val="CCMCvariableitalic"/>
                <w:bCs/>
                <w:lang w:val="en-US"/>
              </w:rPr>
              <w:t>N</w:t>
            </w:r>
            <w:r w:rsidRPr="009D3012">
              <w:rPr>
                <w:bCs/>
                <w:lang w:val="en-US"/>
              </w:rPr>
              <w:t xml:space="preserve">* cycles </w:t>
            </w:r>
            <w:r w:rsidRPr="009D3012">
              <w:rPr>
                <w:rStyle w:val="CCMCvariablesuperscript"/>
                <w:b w:val="0"/>
                <w:lang w:val="en-US"/>
              </w:rPr>
              <w:t>a</w:t>
            </w:r>
          </w:p>
        </w:tc>
      </w:tr>
      <w:tr w:rsidR="004E22C1" w:rsidRPr="001455DC" w14:paraId="79CC3F73" w14:textId="77777777" w:rsidTr="00B212C6">
        <w:trPr>
          <w:cnfStyle w:val="100000000000" w:firstRow="1" w:lastRow="0" w:firstColumn="0" w:lastColumn="0" w:oddVBand="0" w:evenVBand="0" w:oddHBand="0" w:evenHBand="0" w:firstRowFirstColumn="0" w:firstRowLastColumn="0" w:lastRowFirstColumn="0" w:lastRowLastColumn="0"/>
          <w:cantSplit/>
          <w:tblHeader/>
        </w:trPr>
        <w:tc>
          <w:tcPr>
            <w:tcW w:w="3681" w:type="dxa"/>
            <w:vMerge/>
          </w:tcPr>
          <w:p w14:paraId="3522FCB8" w14:textId="77777777" w:rsidR="004E22C1" w:rsidRPr="009D3012" w:rsidRDefault="004E22C1" w:rsidP="00116AE2">
            <w:pPr>
              <w:pStyle w:val="Tableheader"/>
              <w:keepNext/>
              <w:rPr>
                <w:lang w:val="en-US"/>
              </w:rPr>
            </w:pPr>
          </w:p>
        </w:tc>
        <w:tc>
          <w:tcPr>
            <w:tcW w:w="709" w:type="dxa"/>
            <w:vMerge/>
          </w:tcPr>
          <w:p w14:paraId="1A45E2BB" w14:textId="77777777" w:rsidR="004E22C1" w:rsidRPr="009D3012" w:rsidRDefault="004E22C1" w:rsidP="00116AE2">
            <w:pPr>
              <w:pStyle w:val="Tableheader"/>
              <w:keepNext/>
              <w:rPr>
                <w:bCs/>
                <w:lang w:val="en-US"/>
              </w:rPr>
            </w:pPr>
          </w:p>
        </w:tc>
        <w:tc>
          <w:tcPr>
            <w:tcW w:w="992" w:type="dxa"/>
          </w:tcPr>
          <w:p w14:paraId="0617E924" w14:textId="77777777" w:rsidR="004E22C1" w:rsidRPr="001455DC" w:rsidRDefault="004E22C1" w:rsidP="00116AE2">
            <w:pPr>
              <w:pStyle w:val="Tableheader"/>
              <w:keepNext/>
              <w:rPr>
                <w:bCs/>
              </w:rPr>
            </w:pPr>
            <w:r w:rsidRPr="001455DC">
              <w:rPr>
                <w:rStyle w:val="CCMCvariableitalic"/>
                <w:bCs/>
              </w:rPr>
              <w:t>k</w:t>
            </w:r>
            <w:r w:rsidRPr="001455DC">
              <w:rPr>
                <w:rStyle w:val="CCMCvariablesubscript"/>
                <w:bCs/>
              </w:rPr>
              <w:t>f1</w:t>
            </w:r>
          </w:p>
        </w:tc>
        <w:tc>
          <w:tcPr>
            <w:tcW w:w="992" w:type="dxa"/>
          </w:tcPr>
          <w:p w14:paraId="5E57CF4F" w14:textId="77777777" w:rsidR="004E22C1" w:rsidRPr="001455DC" w:rsidRDefault="004E22C1" w:rsidP="00116AE2">
            <w:pPr>
              <w:pStyle w:val="Tableheader"/>
              <w:keepNext/>
              <w:rPr>
                <w:bCs/>
              </w:rPr>
            </w:pPr>
            <w:r w:rsidRPr="001455DC">
              <w:rPr>
                <w:rStyle w:val="CCMCvariableitalic"/>
                <w:bCs/>
              </w:rPr>
              <w:t>k</w:t>
            </w:r>
            <w:r w:rsidRPr="001455DC">
              <w:rPr>
                <w:rStyle w:val="CCMCvariablesubscript"/>
                <w:bCs/>
              </w:rPr>
              <w:t>f2</w:t>
            </w:r>
          </w:p>
        </w:tc>
        <w:tc>
          <w:tcPr>
            <w:tcW w:w="1843" w:type="dxa"/>
            <w:vMerge/>
          </w:tcPr>
          <w:p w14:paraId="69B9039B" w14:textId="77777777" w:rsidR="004E22C1" w:rsidRPr="001455DC" w:rsidRDefault="004E22C1" w:rsidP="00116AE2">
            <w:pPr>
              <w:pStyle w:val="Tableheader"/>
              <w:keepNext/>
              <w:rPr>
                <w:bCs/>
              </w:rPr>
            </w:pPr>
          </w:p>
        </w:tc>
      </w:tr>
      <w:tr w:rsidR="004E22C1" w:rsidRPr="001455DC" w14:paraId="7828602E" w14:textId="77777777" w:rsidTr="00B212C6">
        <w:trPr>
          <w:cantSplit/>
        </w:trPr>
        <w:tc>
          <w:tcPr>
            <w:tcW w:w="3681" w:type="dxa"/>
            <w:vAlign w:val="center"/>
          </w:tcPr>
          <w:p w14:paraId="2BAB1F6E" w14:textId="77777777" w:rsidR="004E22C1" w:rsidRPr="001455DC" w:rsidRDefault="004E22C1" w:rsidP="00116AE2">
            <w:pPr>
              <w:pStyle w:val="Tablebody"/>
              <w:keepNext/>
              <w:jc w:val="left"/>
              <w:rPr>
                <w:b/>
                <w:bCs/>
              </w:rPr>
            </w:pPr>
            <w:r w:rsidRPr="001455DC">
              <w:rPr>
                <w:b/>
                <w:bCs/>
              </w:rPr>
              <w:t>pre-tensioning</w:t>
            </w:r>
          </w:p>
        </w:tc>
        <w:tc>
          <w:tcPr>
            <w:tcW w:w="709" w:type="dxa"/>
            <w:vAlign w:val="center"/>
          </w:tcPr>
          <w:p w14:paraId="5EE19427" w14:textId="77777777" w:rsidR="004E22C1" w:rsidRPr="001455DC" w:rsidRDefault="004E22C1" w:rsidP="00116AE2">
            <w:pPr>
              <w:pStyle w:val="Tablebody"/>
              <w:keepNext/>
              <w:jc w:val="center"/>
            </w:pPr>
            <w:r w:rsidRPr="001455DC">
              <w:t>10</w:t>
            </w:r>
            <w:r w:rsidRPr="001455DC">
              <w:rPr>
                <w:rStyle w:val="CCMCvariablesuperscript"/>
              </w:rPr>
              <w:t>6</w:t>
            </w:r>
          </w:p>
        </w:tc>
        <w:tc>
          <w:tcPr>
            <w:tcW w:w="992" w:type="dxa"/>
            <w:vAlign w:val="center"/>
          </w:tcPr>
          <w:p w14:paraId="0EFD8A2B" w14:textId="77777777" w:rsidR="004E22C1" w:rsidRPr="001455DC" w:rsidRDefault="004E22C1" w:rsidP="00116AE2">
            <w:pPr>
              <w:pStyle w:val="Tablebody"/>
              <w:keepNext/>
              <w:jc w:val="center"/>
            </w:pPr>
            <w:r w:rsidRPr="001455DC">
              <w:t>5</w:t>
            </w:r>
          </w:p>
        </w:tc>
        <w:tc>
          <w:tcPr>
            <w:tcW w:w="992" w:type="dxa"/>
            <w:vAlign w:val="center"/>
          </w:tcPr>
          <w:p w14:paraId="2FAA399C" w14:textId="77777777" w:rsidR="004E22C1" w:rsidRPr="001455DC" w:rsidRDefault="004E22C1" w:rsidP="00116AE2">
            <w:pPr>
              <w:pStyle w:val="Tablebody"/>
              <w:keepNext/>
              <w:jc w:val="center"/>
            </w:pPr>
            <w:r w:rsidRPr="001455DC">
              <w:t>9</w:t>
            </w:r>
          </w:p>
        </w:tc>
        <w:tc>
          <w:tcPr>
            <w:tcW w:w="1843" w:type="dxa"/>
            <w:vAlign w:val="center"/>
          </w:tcPr>
          <w:p w14:paraId="3070F309" w14:textId="77777777" w:rsidR="004E22C1" w:rsidRPr="001455DC" w:rsidRDefault="004E22C1" w:rsidP="00116AE2">
            <w:pPr>
              <w:pStyle w:val="Tablebody"/>
              <w:keepNext/>
              <w:jc w:val="center"/>
            </w:pPr>
            <w:r w:rsidRPr="001455DC">
              <w:t>185</w:t>
            </w:r>
          </w:p>
        </w:tc>
      </w:tr>
      <w:tr w:rsidR="004E22C1" w:rsidRPr="001455DC" w14:paraId="2B7BFAB1" w14:textId="77777777" w:rsidTr="00B212C6">
        <w:trPr>
          <w:cantSplit/>
        </w:trPr>
        <w:tc>
          <w:tcPr>
            <w:tcW w:w="8217" w:type="dxa"/>
            <w:gridSpan w:val="5"/>
            <w:vAlign w:val="center"/>
          </w:tcPr>
          <w:p w14:paraId="3FFEC297" w14:textId="77777777" w:rsidR="004E22C1" w:rsidRPr="001455DC" w:rsidRDefault="004E22C1" w:rsidP="00116AE2">
            <w:pPr>
              <w:pStyle w:val="Tablebody"/>
              <w:keepNext/>
              <w:jc w:val="left"/>
              <w:rPr>
                <w:b/>
                <w:bCs/>
              </w:rPr>
            </w:pPr>
            <w:r w:rsidRPr="001455DC">
              <w:rPr>
                <w:b/>
                <w:bCs/>
              </w:rPr>
              <w:t>post-tensioning</w:t>
            </w:r>
          </w:p>
        </w:tc>
      </w:tr>
      <w:tr w:rsidR="004E22C1" w:rsidRPr="001455DC" w14:paraId="10B499FD" w14:textId="77777777" w:rsidTr="00B212C6">
        <w:trPr>
          <w:cantSplit/>
        </w:trPr>
        <w:tc>
          <w:tcPr>
            <w:tcW w:w="3681" w:type="dxa"/>
            <w:vAlign w:val="center"/>
          </w:tcPr>
          <w:p w14:paraId="4E4D17FD" w14:textId="5632D19F" w:rsidR="004E22C1" w:rsidRPr="009D3012" w:rsidRDefault="00B212C6" w:rsidP="00116AE2">
            <w:pPr>
              <w:pStyle w:val="Tablebody"/>
              <w:keepNext/>
              <w:ind w:left="357" w:hanging="357"/>
              <w:jc w:val="left"/>
              <w:rPr>
                <w:lang w:val="en-US"/>
              </w:rPr>
            </w:pPr>
            <w:r w:rsidRPr="009D3012">
              <w:rPr>
                <w:rFonts w:ascii="Cambria Math" w:hAnsi="Cambria Math" w:cs="Cambria Math"/>
                <w:lang w:val="en-US"/>
              </w:rPr>
              <w:t>—</w:t>
            </w:r>
            <w:r w:rsidR="004E22C1" w:rsidRPr="009D3012">
              <w:rPr>
                <w:lang w:val="en-US"/>
              </w:rPr>
              <w:tab/>
              <w:t>single strands in plastic ducts</w:t>
            </w:r>
          </w:p>
        </w:tc>
        <w:tc>
          <w:tcPr>
            <w:tcW w:w="709" w:type="dxa"/>
            <w:vAlign w:val="center"/>
          </w:tcPr>
          <w:p w14:paraId="7E9E2DE2" w14:textId="77777777" w:rsidR="004E22C1" w:rsidRPr="009D3012" w:rsidRDefault="004E22C1" w:rsidP="00116AE2">
            <w:pPr>
              <w:pStyle w:val="Tablebody"/>
              <w:keepNext/>
              <w:jc w:val="center"/>
              <w:rPr>
                <w:rStyle w:val="CCMCvariablesuperscript"/>
              </w:rPr>
            </w:pPr>
            <w:r w:rsidRPr="009D3012">
              <w:t>10</w:t>
            </w:r>
            <w:r w:rsidRPr="001455DC">
              <w:rPr>
                <w:rStyle w:val="CCMCvariablesuperscript"/>
              </w:rPr>
              <w:t>6</w:t>
            </w:r>
          </w:p>
        </w:tc>
        <w:tc>
          <w:tcPr>
            <w:tcW w:w="992" w:type="dxa"/>
            <w:vAlign w:val="center"/>
          </w:tcPr>
          <w:p w14:paraId="1553234D" w14:textId="77777777" w:rsidR="004E22C1" w:rsidRPr="001455DC" w:rsidRDefault="004E22C1" w:rsidP="00116AE2">
            <w:pPr>
              <w:pStyle w:val="Tablebody"/>
              <w:keepNext/>
              <w:jc w:val="center"/>
            </w:pPr>
            <w:r w:rsidRPr="001455DC">
              <w:t>5</w:t>
            </w:r>
          </w:p>
        </w:tc>
        <w:tc>
          <w:tcPr>
            <w:tcW w:w="992" w:type="dxa"/>
            <w:vAlign w:val="center"/>
          </w:tcPr>
          <w:p w14:paraId="317DFF8A" w14:textId="77777777" w:rsidR="004E22C1" w:rsidRPr="001455DC" w:rsidRDefault="004E22C1" w:rsidP="00116AE2">
            <w:pPr>
              <w:pStyle w:val="Tablebody"/>
              <w:keepNext/>
              <w:jc w:val="center"/>
            </w:pPr>
            <w:r w:rsidRPr="001455DC">
              <w:t>9</w:t>
            </w:r>
          </w:p>
        </w:tc>
        <w:tc>
          <w:tcPr>
            <w:tcW w:w="1843" w:type="dxa"/>
            <w:vAlign w:val="center"/>
          </w:tcPr>
          <w:p w14:paraId="49C11E4F" w14:textId="77777777" w:rsidR="004E22C1" w:rsidRPr="001455DC" w:rsidRDefault="004E22C1" w:rsidP="00116AE2">
            <w:pPr>
              <w:pStyle w:val="Tablebody"/>
              <w:keepNext/>
              <w:jc w:val="center"/>
            </w:pPr>
            <w:r w:rsidRPr="001455DC">
              <w:t>185</w:t>
            </w:r>
          </w:p>
        </w:tc>
      </w:tr>
      <w:tr w:rsidR="004E22C1" w:rsidRPr="001455DC" w14:paraId="567EB307" w14:textId="77777777" w:rsidTr="00B212C6">
        <w:trPr>
          <w:cantSplit/>
        </w:trPr>
        <w:tc>
          <w:tcPr>
            <w:tcW w:w="3681" w:type="dxa"/>
            <w:vAlign w:val="center"/>
          </w:tcPr>
          <w:p w14:paraId="7B8437DA" w14:textId="096F0219" w:rsidR="004E22C1" w:rsidRPr="009D3012" w:rsidRDefault="00B212C6" w:rsidP="00116AE2">
            <w:pPr>
              <w:pStyle w:val="Tablebody"/>
              <w:keepNext/>
              <w:ind w:left="357" w:hanging="357"/>
              <w:jc w:val="left"/>
              <w:rPr>
                <w:lang w:val="en-US"/>
              </w:rPr>
            </w:pPr>
            <w:r w:rsidRPr="009D3012">
              <w:rPr>
                <w:rFonts w:ascii="Cambria Math" w:hAnsi="Cambria Math" w:cs="Cambria Math"/>
                <w:lang w:val="en-US"/>
              </w:rPr>
              <w:t>—</w:t>
            </w:r>
            <w:r w:rsidR="004E22C1" w:rsidRPr="009D3012">
              <w:rPr>
                <w:lang w:val="en-US"/>
              </w:rPr>
              <w:tab/>
              <w:t>straight tendons or curved tendons in plastic ducts</w:t>
            </w:r>
          </w:p>
        </w:tc>
        <w:tc>
          <w:tcPr>
            <w:tcW w:w="709" w:type="dxa"/>
            <w:vAlign w:val="center"/>
          </w:tcPr>
          <w:p w14:paraId="1A5FA833" w14:textId="77777777" w:rsidR="004E22C1" w:rsidRPr="009D3012" w:rsidRDefault="004E22C1" w:rsidP="00116AE2">
            <w:pPr>
              <w:pStyle w:val="Tablebody"/>
              <w:keepNext/>
              <w:jc w:val="center"/>
              <w:rPr>
                <w:rStyle w:val="CCMCvariablesuperscript"/>
              </w:rPr>
            </w:pPr>
            <w:r w:rsidRPr="009D3012">
              <w:t>10</w:t>
            </w:r>
            <w:r w:rsidRPr="001455DC">
              <w:rPr>
                <w:rStyle w:val="CCMCvariablesuperscript"/>
              </w:rPr>
              <w:t>6</w:t>
            </w:r>
          </w:p>
        </w:tc>
        <w:tc>
          <w:tcPr>
            <w:tcW w:w="992" w:type="dxa"/>
            <w:vAlign w:val="center"/>
          </w:tcPr>
          <w:p w14:paraId="62C465B2" w14:textId="77777777" w:rsidR="004E22C1" w:rsidRPr="001455DC" w:rsidRDefault="004E22C1" w:rsidP="00116AE2">
            <w:pPr>
              <w:pStyle w:val="Tablebody"/>
              <w:keepNext/>
              <w:jc w:val="center"/>
            </w:pPr>
            <w:r w:rsidRPr="001455DC">
              <w:t>5</w:t>
            </w:r>
          </w:p>
        </w:tc>
        <w:tc>
          <w:tcPr>
            <w:tcW w:w="992" w:type="dxa"/>
            <w:vAlign w:val="center"/>
          </w:tcPr>
          <w:p w14:paraId="237E4E35" w14:textId="77777777" w:rsidR="004E22C1" w:rsidRPr="001455DC" w:rsidRDefault="004E22C1" w:rsidP="00116AE2">
            <w:pPr>
              <w:pStyle w:val="Tablebody"/>
              <w:keepNext/>
              <w:jc w:val="center"/>
            </w:pPr>
            <w:r w:rsidRPr="001455DC">
              <w:t>9</w:t>
            </w:r>
          </w:p>
        </w:tc>
        <w:tc>
          <w:tcPr>
            <w:tcW w:w="1843" w:type="dxa"/>
            <w:vAlign w:val="center"/>
          </w:tcPr>
          <w:p w14:paraId="3F8B1A5A" w14:textId="77777777" w:rsidR="004E22C1" w:rsidRPr="001455DC" w:rsidRDefault="004E22C1" w:rsidP="00116AE2">
            <w:pPr>
              <w:pStyle w:val="Tablebody"/>
              <w:keepNext/>
              <w:jc w:val="center"/>
            </w:pPr>
            <w:r w:rsidRPr="001455DC">
              <w:t>150</w:t>
            </w:r>
          </w:p>
        </w:tc>
      </w:tr>
      <w:tr w:rsidR="004E22C1" w:rsidRPr="001455DC" w14:paraId="000D8160" w14:textId="77777777" w:rsidTr="00B212C6">
        <w:trPr>
          <w:cantSplit/>
        </w:trPr>
        <w:tc>
          <w:tcPr>
            <w:tcW w:w="3681" w:type="dxa"/>
            <w:vAlign w:val="center"/>
          </w:tcPr>
          <w:p w14:paraId="55A7068F" w14:textId="39E4100E" w:rsidR="004E22C1" w:rsidRPr="009D3012" w:rsidRDefault="00B212C6" w:rsidP="00116AE2">
            <w:pPr>
              <w:pStyle w:val="Tablebody"/>
              <w:keepNext/>
              <w:ind w:left="357" w:hanging="357"/>
              <w:jc w:val="left"/>
              <w:rPr>
                <w:lang w:val="en-US"/>
              </w:rPr>
            </w:pPr>
            <w:r w:rsidRPr="009D3012">
              <w:rPr>
                <w:rFonts w:ascii="Cambria Math" w:hAnsi="Cambria Math" w:cs="Cambria Math"/>
                <w:lang w:val="en-US"/>
              </w:rPr>
              <w:t>—</w:t>
            </w:r>
            <w:r w:rsidR="004E22C1" w:rsidRPr="009D3012">
              <w:rPr>
                <w:lang w:val="en-US"/>
              </w:rPr>
              <w:tab/>
              <w:t>curved tendons in steel ducts</w:t>
            </w:r>
          </w:p>
        </w:tc>
        <w:tc>
          <w:tcPr>
            <w:tcW w:w="709" w:type="dxa"/>
            <w:vAlign w:val="center"/>
          </w:tcPr>
          <w:p w14:paraId="03B36ED3" w14:textId="77777777" w:rsidR="004E22C1" w:rsidRPr="009D3012" w:rsidRDefault="004E22C1" w:rsidP="00116AE2">
            <w:pPr>
              <w:pStyle w:val="Tablebody"/>
              <w:keepNext/>
              <w:jc w:val="center"/>
              <w:rPr>
                <w:rStyle w:val="CCMCvariablesuperscript"/>
              </w:rPr>
            </w:pPr>
            <w:r w:rsidRPr="009D3012">
              <w:t>10</w:t>
            </w:r>
            <w:r w:rsidRPr="001455DC">
              <w:rPr>
                <w:rStyle w:val="CCMCvariablesuperscript"/>
              </w:rPr>
              <w:t>6</w:t>
            </w:r>
          </w:p>
        </w:tc>
        <w:tc>
          <w:tcPr>
            <w:tcW w:w="992" w:type="dxa"/>
            <w:vAlign w:val="center"/>
          </w:tcPr>
          <w:p w14:paraId="15AF4416" w14:textId="77777777" w:rsidR="004E22C1" w:rsidRPr="001455DC" w:rsidRDefault="004E22C1" w:rsidP="00116AE2">
            <w:pPr>
              <w:pStyle w:val="Tablebody"/>
              <w:keepNext/>
              <w:jc w:val="center"/>
            </w:pPr>
            <w:r w:rsidRPr="001455DC">
              <w:t>3</w:t>
            </w:r>
          </w:p>
        </w:tc>
        <w:tc>
          <w:tcPr>
            <w:tcW w:w="992" w:type="dxa"/>
            <w:vAlign w:val="center"/>
          </w:tcPr>
          <w:p w14:paraId="7FD3B2A4" w14:textId="77777777" w:rsidR="004E22C1" w:rsidRPr="001455DC" w:rsidRDefault="004E22C1" w:rsidP="00116AE2">
            <w:pPr>
              <w:pStyle w:val="Tablebody"/>
              <w:keepNext/>
              <w:jc w:val="center"/>
            </w:pPr>
            <w:r w:rsidRPr="001455DC">
              <w:t>7</w:t>
            </w:r>
          </w:p>
        </w:tc>
        <w:tc>
          <w:tcPr>
            <w:tcW w:w="1843" w:type="dxa"/>
            <w:vAlign w:val="center"/>
          </w:tcPr>
          <w:p w14:paraId="777935AF" w14:textId="77777777" w:rsidR="004E22C1" w:rsidRPr="001455DC" w:rsidRDefault="004E22C1" w:rsidP="00116AE2">
            <w:pPr>
              <w:pStyle w:val="Tablebody"/>
              <w:keepNext/>
              <w:jc w:val="center"/>
            </w:pPr>
            <w:r w:rsidRPr="001455DC">
              <w:t>120</w:t>
            </w:r>
          </w:p>
        </w:tc>
      </w:tr>
      <w:tr w:rsidR="004E22C1" w:rsidRPr="001455DC" w14:paraId="6E17CAD2" w14:textId="77777777" w:rsidTr="00B212C6">
        <w:trPr>
          <w:cantSplit/>
        </w:trPr>
        <w:tc>
          <w:tcPr>
            <w:tcW w:w="3681" w:type="dxa"/>
            <w:tcBorders>
              <w:bottom w:val="single" w:sz="12" w:space="0" w:color="000000"/>
            </w:tcBorders>
            <w:vAlign w:val="center"/>
          </w:tcPr>
          <w:p w14:paraId="2128EAA9" w14:textId="6B31695B" w:rsidR="004E22C1" w:rsidRPr="001455DC" w:rsidRDefault="00B212C6" w:rsidP="00116AE2">
            <w:pPr>
              <w:pStyle w:val="Tablebody"/>
              <w:keepNext/>
              <w:ind w:left="357" w:hanging="357"/>
              <w:jc w:val="left"/>
            </w:pPr>
            <w:r w:rsidRPr="001455DC">
              <w:rPr>
                <w:rFonts w:ascii="Cambria Math" w:hAnsi="Cambria Math" w:cs="Cambria Math"/>
              </w:rPr>
              <w:t>—</w:t>
            </w:r>
            <w:r w:rsidR="004E22C1" w:rsidRPr="001455DC">
              <w:tab/>
              <w:t xml:space="preserve">anchoring devices and couplers </w:t>
            </w:r>
          </w:p>
        </w:tc>
        <w:tc>
          <w:tcPr>
            <w:tcW w:w="709" w:type="dxa"/>
            <w:tcBorders>
              <w:bottom w:val="single" w:sz="12" w:space="0" w:color="000000"/>
            </w:tcBorders>
            <w:vAlign w:val="center"/>
          </w:tcPr>
          <w:p w14:paraId="39BF245F" w14:textId="77777777" w:rsidR="004E22C1" w:rsidRPr="001455DC" w:rsidRDefault="004E22C1" w:rsidP="00116AE2">
            <w:pPr>
              <w:pStyle w:val="Tablebody"/>
              <w:keepNext/>
              <w:jc w:val="center"/>
            </w:pPr>
            <w:r w:rsidRPr="001455DC">
              <w:t>10</w:t>
            </w:r>
            <w:r w:rsidRPr="001455DC">
              <w:rPr>
                <w:rStyle w:val="CCMCvariablesuperscript"/>
              </w:rPr>
              <w:t>6</w:t>
            </w:r>
          </w:p>
        </w:tc>
        <w:tc>
          <w:tcPr>
            <w:tcW w:w="992" w:type="dxa"/>
            <w:tcBorders>
              <w:bottom w:val="single" w:sz="12" w:space="0" w:color="000000"/>
            </w:tcBorders>
            <w:vAlign w:val="center"/>
          </w:tcPr>
          <w:p w14:paraId="74E322DB" w14:textId="77777777" w:rsidR="004E22C1" w:rsidRPr="001455DC" w:rsidRDefault="004E22C1" w:rsidP="00116AE2">
            <w:pPr>
              <w:pStyle w:val="Tablebody"/>
              <w:keepNext/>
              <w:jc w:val="center"/>
            </w:pPr>
            <w:r w:rsidRPr="001455DC">
              <w:t>5</w:t>
            </w:r>
          </w:p>
        </w:tc>
        <w:tc>
          <w:tcPr>
            <w:tcW w:w="992" w:type="dxa"/>
            <w:tcBorders>
              <w:bottom w:val="single" w:sz="12" w:space="0" w:color="000000"/>
            </w:tcBorders>
            <w:vAlign w:val="center"/>
          </w:tcPr>
          <w:p w14:paraId="48BD1D4D" w14:textId="77777777" w:rsidR="004E22C1" w:rsidRPr="001455DC" w:rsidRDefault="004E22C1" w:rsidP="00116AE2">
            <w:pPr>
              <w:pStyle w:val="Tablebody"/>
              <w:keepNext/>
              <w:jc w:val="center"/>
            </w:pPr>
            <w:r w:rsidRPr="001455DC">
              <w:t>5</w:t>
            </w:r>
          </w:p>
        </w:tc>
        <w:tc>
          <w:tcPr>
            <w:tcW w:w="1843" w:type="dxa"/>
            <w:tcBorders>
              <w:bottom w:val="single" w:sz="12" w:space="0" w:color="000000"/>
            </w:tcBorders>
            <w:vAlign w:val="center"/>
          </w:tcPr>
          <w:p w14:paraId="1A19E2A0" w14:textId="77777777" w:rsidR="004E22C1" w:rsidRPr="001455DC" w:rsidRDefault="004E22C1" w:rsidP="00116AE2">
            <w:pPr>
              <w:pStyle w:val="Tablebody"/>
              <w:keepNext/>
              <w:jc w:val="center"/>
            </w:pPr>
            <w:r w:rsidRPr="001455DC">
              <w:t>80</w:t>
            </w:r>
          </w:p>
        </w:tc>
      </w:tr>
      <w:tr w:rsidR="004E22C1" w:rsidRPr="001455DC" w14:paraId="5A56CA32" w14:textId="77777777" w:rsidTr="00B212C6">
        <w:trPr>
          <w:cantSplit/>
        </w:trPr>
        <w:tc>
          <w:tcPr>
            <w:tcW w:w="8217" w:type="dxa"/>
            <w:gridSpan w:val="5"/>
            <w:tcBorders>
              <w:top w:val="single" w:sz="12" w:space="0" w:color="000000"/>
              <w:bottom w:val="single" w:sz="12" w:space="0" w:color="auto"/>
            </w:tcBorders>
          </w:tcPr>
          <w:p w14:paraId="4896C029" w14:textId="21C093D9" w:rsidR="004E22C1" w:rsidRPr="003F0CF8" w:rsidRDefault="004E22C1">
            <w:pPr>
              <w:pStyle w:val="Tablefooternote"/>
              <w:keepNext/>
              <w:rPr>
                <w:lang w:val="en-GB"/>
              </w:rPr>
            </w:pPr>
            <w:r w:rsidRPr="009D3012">
              <w:rPr>
                <w:lang w:val="en-US"/>
              </w:rPr>
              <w:t>NOTE</w:t>
            </w:r>
            <w:r w:rsidRPr="009D3012">
              <w:rPr>
                <w:lang w:val="en-US"/>
              </w:rPr>
              <w:tab/>
              <w:t>Values in Table E.2(NDP) apply for prestressing steel complying with Table C.</w:t>
            </w:r>
            <w:r w:rsidR="002B64DF" w:rsidRPr="001455DC">
              <w:rPr>
                <w:lang w:val="en-US"/>
              </w:rPr>
              <w:t>4</w:t>
            </w:r>
            <w:r w:rsidR="009E4901" w:rsidRPr="003F0CF8">
              <w:rPr>
                <w:lang w:val="en-US"/>
              </w:rPr>
              <w:t xml:space="preserve"> </w:t>
            </w:r>
            <w:r w:rsidRPr="003F0CF8">
              <w:rPr>
                <w:lang w:val="en-US"/>
              </w:rPr>
              <w:t>to C.</w:t>
            </w:r>
            <w:r w:rsidR="002B64DF" w:rsidRPr="003F0CF8">
              <w:rPr>
                <w:lang w:val="en-US"/>
              </w:rPr>
              <w:t>6</w:t>
            </w:r>
            <w:r w:rsidRPr="003F0CF8">
              <w:rPr>
                <w:lang w:val="en-US"/>
              </w:rPr>
              <w:t xml:space="preserve"> and prestressing systems complying with 5.4.</w:t>
            </w:r>
          </w:p>
        </w:tc>
      </w:tr>
      <w:tr w:rsidR="00B212C6" w:rsidRPr="001455DC" w14:paraId="4E2E4BF7" w14:textId="77777777" w:rsidTr="00B212C6">
        <w:trPr>
          <w:cnfStyle w:val="010000000000" w:firstRow="0" w:lastRow="1" w:firstColumn="0" w:lastColumn="0" w:oddVBand="0" w:evenVBand="0" w:oddHBand="0" w:evenHBand="0" w:firstRowFirstColumn="0" w:firstRowLastColumn="0" w:lastRowFirstColumn="0" w:lastRowLastColumn="0"/>
          <w:cantSplit/>
        </w:trPr>
        <w:tc>
          <w:tcPr>
            <w:tcW w:w="8217" w:type="dxa"/>
            <w:gridSpan w:val="5"/>
          </w:tcPr>
          <w:p w14:paraId="2C62323E" w14:textId="1C173437" w:rsidR="00B212C6" w:rsidRPr="009D3012" w:rsidRDefault="00B212C6" w:rsidP="00B212C6">
            <w:pPr>
              <w:pStyle w:val="Tablefooter"/>
              <w:rPr>
                <w:rStyle w:val="CCMCvariablesuperscript"/>
                <w:lang w:val="en-US"/>
              </w:rPr>
            </w:pPr>
            <w:r w:rsidRPr="009D3012">
              <w:rPr>
                <w:rStyle w:val="CCMCvariablesuperscript"/>
                <w:lang w:val="en-US"/>
              </w:rPr>
              <w:t>a</w:t>
            </w:r>
            <w:r w:rsidR="00EC5F9F" w:rsidRPr="009D3012">
              <w:rPr>
                <w:lang w:val="en-US"/>
              </w:rPr>
              <w:tab/>
            </w:r>
            <w:r w:rsidRPr="009D3012">
              <w:rPr>
                <w:lang w:val="en-US"/>
              </w:rPr>
              <w:t>Values correspond to prestressing steel embedded in concrete.</w:t>
            </w:r>
          </w:p>
        </w:tc>
      </w:tr>
    </w:tbl>
    <w:p w14:paraId="4E97D02E" w14:textId="77777777" w:rsidR="004E22C1" w:rsidRPr="001455DC" w:rsidRDefault="004E22C1" w:rsidP="00072A5B">
      <w:pPr>
        <w:pStyle w:val="a7"/>
        <w:rPr>
          <w:noProof/>
        </w:rPr>
      </w:pPr>
    </w:p>
    <w:p w14:paraId="311A63C2" w14:textId="7CBE8E90" w:rsidR="004E22C1" w:rsidRPr="001455DC" w:rsidRDefault="004E22C1" w:rsidP="00243590">
      <w:pPr>
        <w:pStyle w:val="a3"/>
      </w:pPr>
      <w:bookmarkStart w:id="1485" w:name="_Toc26945185"/>
      <w:bookmarkStart w:id="1486" w:name="_Toc52820161"/>
      <w:bookmarkStart w:id="1487" w:name="_Toc54337578"/>
      <w:bookmarkStart w:id="1488" w:name="_Toc54338216"/>
      <w:r w:rsidRPr="001455DC">
        <w:t>Verification for concrete</w:t>
      </w:r>
      <w:bookmarkEnd w:id="1485"/>
      <w:bookmarkEnd w:id="1486"/>
      <w:bookmarkEnd w:id="1487"/>
      <w:bookmarkEnd w:id="1488"/>
    </w:p>
    <w:p w14:paraId="5C71C44B" w14:textId="352E1BE2" w:rsidR="004E22C1" w:rsidRPr="001455DC" w:rsidRDefault="004E22C1" w:rsidP="00116AE2">
      <w:pPr>
        <w:pStyle w:val="a7"/>
        <w:keepNext/>
      </w:pPr>
      <w:r w:rsidRPr="001455DC">
        <w:t>(1)</w:t>
      </w:r>
      <w:r w:rsidRPr="001455DC">
        <w:tab/>
        <w:t>A satisfactory fatigue resistance may be assumed for concrete under compression, if the following condition in Formula (E.2) is fulfilled:</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B212C6" w:rsidRPr="001455DC" w14:paraId="0460944F" w14:textId="77777777" w:rsidTr="00EC5F9F">
        <w:trPr>
          <w:cantSplit/>
        </w:trPr>
        <w:tc>
          <w:tcPr>
            <w:tcW w:w="8505" w:type="dxa"/>
            <w:vAlign w:val="center"/>
          </w:tcPr>
          <w:p w14:paraId="470A94BA" w14:textId="44FF0224" w:rsidR="00B212C6" w:rsidRPr="001455DC" w:rsidRDefault="00231E33" w:rsidP="00EC5F9F">
            <w:pPr>
              <w:pStyle w:val="Formula"/>
              <w:jc w:val="left"/>
            </w:pPr>
            <m:oMathPara>
              <m:oMathParaPr>
                <m:jc m:val="left"/>
              </m:oMathParaPr>
              <m:oMath>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σ</m:t>
                        </m:r>
                      </m:e>
                      <m:sub>
                        <m:r>
                          <m:rPr>
                            <m:sty m:val="p"/>
                          </m:rPr>
                          <w:rPr>
                            <w:rFonts w:ascii="Cambria Math" w:hAnsi="Cambria Math"/>
                          </w:rPr>
                          <m:t>cd,max,equ</m:t>
                        </m:r>
                      </m:sub>
                    </m:sSub>
                    <m:r>
                      <w:rPr>
                        <w:rFonts w:ascii="Cambria Math" w:hAnsi="Cambria Math"/>
                      </w:rPr>
                      <m:t>|</m:t>
                    </m:r>
                  </m:num>
                  <m:den>
                    <m:sSub>
                      <m:sSubPr>
                        <m:ctrlPr>
                          <w:rPr>
                            <w:rFonts w:ascii="Cambria Math" w:hAnsi="Cambria Math"/>
                          </w:rPr>
                        </m:ctrlPr>
                      </m:sSubPr>
                      <m:e>
                        <m:r>
                          <w:rPr>
                            <w:rFonts w:ascii="Cambria Math" w:hAnsi="Cambria Math"/>
                          </w:rPr>
                          <m:t>f</m:t>
                        </m:r>
                      </m:e>
                      <m:sub>
                        <m:r>
                          <m:rPr>
                            <m:sty m:val="p"/>
                          </m:rPr>
                          <w:rPr>
                            <w:rFonts w:ascii="Cambria Math" w:hAnsi="Cambria Math"/>
                          </w:rPr>
                          <m:t>cd,fat</m:t>
                        </m:r>
                      </m:sub>
                    </m:sSub>
                  </m:den>
                </m:f>
                <m:r>
                  <w:rPr>
                    <w:rFonts w:ascii="Cambria Math" w:hAnsi="Cambria Math"/>
                  </w:rPr>
                  <m:t>+0,43</m:t>
                </m:r>
                <m:rad>
                  <m:radPr>
                    <m:degHide m:val="1"/>
                    <m:ctrlPr>
                      <w:rPr>
                        <w:rFonts w:ascii="Cambria Math" w:hAnsi="Cambria Math"/>
                      </w:rPr>
                    </m:ctrlPr>
                  </m:radPr>
                  <m:deg/>
                  <m:e>
                    <m:r>
                      <w:rPr>
                        <w:rFonts w:ascii="Cambria Math" w:hAnsi="Cambria Math"/>
                      </w:rPr>
                      <m:t>1-</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σ</m:t>
                                </m:r>
                              </m:e>
                              <m:sub>
                                <m:r>
                                  <m:rPr>
                                    <m:sty m:val="p"/>
                                  </m:rPr>
                                  <w:rPr>
                                    <w:rFonts w:ascii="Cambria Math" w:hAnsi="Cambria Math"/>
                                  </w:rPr>
                                  <m:t>cd,min,equ</m:t>
                                </m:r>
                              </m:sub>
                            </m:sSub>
                          </m:num>
                          <m:den>
                            <m:sSub>
                              <m:sSubPr>
                                <m:ctrlPr>
                                  <w:rPr>
                                    <w:rFonts w:ascii="Cambria Math" w:hAnsi="Cambria Math"/>
                                  </w:rPr>
                                </m:ctrlPr>
                              </m:sSubPr>
                              <m:e>
                                <m:r>
                                  <w:rPr>
                                    <w:rFonts w:ascii="Cambria Math" w:hAnsi="Cambria Math"/>
                                  </w:rPr>
                                  <m:t>σ</m:t>
                                </m:r>
                              </m:e>
                              <m:sub>
                                <m:r>
                                  <m:rPr>
                                    <m:sty m:val="p"/>
                                  </m:rPr>
                                  <w:rPr>
                                    <w:rFonts w:ascii="Cambria Math" w:hAnsi="Cambria Math"/>
                                  </w:rPr>
                                  <m:t>cd,max,equ</m:t>
                                </m:r>
                              </m:sub>
                            </m:sSub>
                          </m:den>
                        </m:f>
                      </m:e>
                    </m:d>
                  </m:e>
                </m:rad>
                <m:r>
                  <w:rPr>
                    <w:rFonts w:ascii="Cambria Math" w:hAnsi="Cambria Math"/>
                  </w:rPr>
                  <m:t>≤1</m:t>
                </m:r>
              </m:oMath>
            </m:oMathPara>
          </w:p>
        </w:tc>
        <w:tc>
          <w:tcPr>
            <w:tcW w:w="1247" w:type="dxa"/>
            <w:vAlign w:val="center"/>
          </w:tcPr>
          <w:p w14:paraId="7BF86C53" w14:textId="408A1E5A" w:rsidR="00B212C6" w:rsidRPr="001455DC" w:rsidRDefault="00B212C6" w:rsidP="00EC5F9F">
            <w:pPr>
              <w:pStyle w:val="a7"/>
              <w:jc w:val="right"/>
            </w:pPr>
            <w:r w:rsidRPr="001455DC">
              <w:t>(E.2)</w:t>
            </w:r>
          </w:p>
        </w:tc>
      </w:tr>
    </w:tbl>
    <w:p w14:paraId="08263A66" w14:textId="77777777" w:rsidR="00B212C6" w:rsidRPr="001455DC" w:rsidRDefault="00B212C6" w:rsidP="00A35599">
      <w:pPr>
        <w:pStyle w:val="a7"/>
        <w:keepNext/>
      </w:pPr>
      <w:r w:rsidRPr="001455DC">
        <w:t>where</w:t>
      </w:r>
    </w:p>
    <w:tbl>
      <w:tblPr>
        <w:tblW w:w="9696" w:type="dxa"/>
        <w:tblInd w:w="397" w:type="dxa"/>
        <w:tblLayout w:type="fixed"/>
        <w:tblCellMar>
          <w:left w:w="28" w:type="dxa"/>
          <w:right w:w="28" w:type="dxa"/>
        </w:tblCellMar>
        <w:tblLook w:val="04A0" w:firstRow="1" w:lastRow="0" w:firstColumn="1" w:lastColumn="0" w:noHBand="0" w:noVBand="1"/>
      </w:tblPr>
      <w:tblGrid>
        <w:gridCol w:w="1191"/>
        <w:gridCol w:w="8505"/>
      </w:tblGrid>
      <w:tr w:rsidR="00B212C6" w:rsidRPr="001455DC" w14:paraId="106434F4" w14:textId="77777777" w:rsidTr="00EC5F9F">
        <w:trPr>
          <w:cantSplit/>
        </w:trPr>
        <w:tc>
          <w:tcPr>
            <w:tcW w:w="1191" w:type="dxa"/>
          </w:tcPr>
          <w:p w14:paraId="3D9B0829" w14:textId="017C9F28" w:rsidR="00B212C6" w:rsidRPr="001455DC" w:rsidRDefault="00B212C6" w:rsidP="00EC5F9F">
            <w:pPr>
              <w:pStyle w:val="Tablebody"/>
            </w:pPr>
            <w:r w:rsidRPr="001455DC">
              <w:rPr>
                <w:rStyle w:val="CCMCvariableitalic"/>
              </w:rPr>
              <w:t>f</w:t>
            </w:r>
            <w:r w:rsidRPr="001455DC">
              <w:rPr>
                <w:rStyle w:val="CCMCvariablesubscript"/>
              </w:rPr>
              <w:t>cd,fat</w:t>
            </w:r>
          </w:p>
        </w:tc>
        <w:tc>
          <w:tcPr>
            <w:tcW w:w="8505" w:type="dxa"/>
          </w:tcPr>
          <w:p w14:paraId="7F94F411" w14:textId="77546429" w:rsidR="00B212C6" w:rsidRPr="001455DC" w:rsidRDefault="00B212C6" w:rsidP="00EC5F9F">
            <w:pPr>
              <w:pStyle w:val="Tablebody"/>
            </w:pPr>
            <w:r w:rsidRPr="001455DC">
              <w:t>is the design fatigue strength of concrete according to Formula (10.5);</w:t>
            </w:r>
          </w:p>
        </w:tc>
      </w:tr>
      <w:tr w:rsidR="00B212C6" w:rsidRPr="001455DC" w14:paraId="23101204" w14:textId="77777777" w:rsidTr="00EC5F9F">
        <w:trPr>
          <w:cantSplit/>
        </w:trPr>
        <w:tc>
          <w:tcPr>
            <w:tcW w:w="1191" w:type="dxa"/>
          </w:tcPr>
          <w:p w14:paraId="6F502305" w14:textId="1F85E37E" w:rsidR="00B212C6" w:rsidRPr="001455DC" w:rsidRDefault="00B212C6" w:rsidP="00EC5F9F">
            <w:pPr>
              <w:pStyle w:val="Tablebody"/>
            </w:pPr>
            <w:r w:rsidRPr="001455DC">
              <w:rPr>
                <w:rFonts w:eastAsia="Symbol" w:cs="Symbol"/>
              </w:rPr>
              <w:t>|</w:t>
            </w:r>
            <w:r w:rsidRPr="001455DC">
              <w:rPr>
                <w:rStyle w:val="CCMCvariableitalic"/>
              </w:rPr>
              <w:t>σ</w:t>
            </w:r>
            <w:r w:rsidRPr="001455DC">
              <w:rPr>
                <w:rStyle w:val="CCMCvariablesubscript"/>
              </w:rPr>
              <w:t>cd,max,equ</w:t>
            </w:r>
            <w:r w:rsidRPr="001455DC">
              <w:rPr>
                <w:rFonts w:eastAsia="Symbol" w:cs="Symbol"/>
              </w:rPr>
              <w:t>|</w:t>
            </w:r>
          </w:p>
        </w:tc>
        <w:tc>
          <w:tcPr>
            <w:tcW w:w="8505" w:type="dxa"/>
          </w:tcPr>
          <w:p w14:paraId="705C615D" w14:textId="0E6442A6" w:rsidR="00B212C6" w:rsidRPr="001455DC" w:rsidRDefault="00B212C6" w:rsidP="00EC5F9F">
            <w:pPr>
              <w:pStyle w:val="Tablebody"/>
            </w:pPr>
            <w:r w:rsidRPr="001455DC">
              <w:t xml:space="preserve">is the upper stress of the damage equivalent stress amplitude for </w:t>
            </w:r>
            <w:r w:rsidRPr="001455DC">
              <w:rPr>
                <w:rStyle w:val="CCMCvariableitalic"/>
              </w:rPr>
              <w:t>N</w:t>
            </w:r>
            <w:r w:rsidRPr="001455DC">
              <w:t> </w:t>
            </w:r>
            <w:r w:rsidR="00EC27D2" w:rsidRPr="001455DC">
              <w:rPr>
                <w:rFonts w:ascii="Cambria Math" w:hAnsi="Cambria Math"/>
              </w:rPr>
              <w:t>=</w:t>
            </w:r>
            <w:r w:rsidRPr="001455DC">
              <w:t> </w:t>
            </w:r>
            <w:r w:rsidRPr="001455DC">
              <w:rPr>
                <w:lang w:eastAsia="ja-JP"/>
              </w:rPr>
              <w:t>10</w:t>
            </w:r>
            <w:r w:rsidRPr="001455DC">
              <w:rPr>
                <w:rStyle w:val="CCMCvariablesuperscript"/>
              </w:rPr>
              <w:t>6</w:t>
            </w:r>
            <w:r w:rsidRPr="001455DC">
              <w:t xml:space="preserve"> cycles;</w:t>
            </w:r>
          </w:p>
        </w:tc>
      </w:tr>
      <w:tr w:rsidR="00B212C6" w:rsidRPr="001455DC" w14:paraId="6420656F" w14:textId="77777777" w:rsidTr="00EC5F9F">
        <w:trPr>
          <w:cantSplit/>
        </w:trPr>
        <w:tc>
          <w:tcPr>
            <w:tcW w:w="1191" w:type="dxa"/>
          </w:tcPr>
          <w:p w14:paraId="3A8FE637" w14:textId="70D4E38B" w:rsidR="00B212C6" w:rsidRPr="001455DC" w:rsidRDefault="00B212C6" w:rsidP="00EC5F9F">
            <w:pPr>
              <w:pStyle w:val="Tablebody"/>
            </w:pPr>
            <w:r w:rsidRPr="001455DC">
              <w:rPr>
                <w:rFonts w:eastAsia="Symbol" w:cs="Symbol"/>
              </w:rPr>
              <w:t>|</w:t>
            </w:r>
            <w:r w:rsidRPr="001455DC">
              <w:rPr>
                <w:rStyle w:val="CCMCvariableitalic"/>
              </w:rPr>
              <w:t>σ</w:t>
            </w:r>
            <w:r w:rsidRPr="001455DC">
              <w:rPr>
                <w:rStyle w:val="CCMCvariablesubscript"/>
              </w:rPr>
              <w:t>cd,min,equ</w:t>
            </w:r>
            <w:r w:rsidRPr="001455DC">
              <w:rPr>
                <w:rFonts w:eastAsia="Symbol" w:cs="Symbol"/>
              </w:rPr>
              <w:t>|</w:t>
            </w:r>
          </w:p>
        </w:tc>
        <w:tc>
          <w:tcPr>
            <w:tcW w:w="8505" w:type="dxa"/>
          </w:tcPr>
          <w:p w14:paraId="3D7F9FC0" w14:textId="1E090151" w:rsidR="00B212C6" w:rsidRPr="001455DC" w:rsidRDefault="00B212C6" w:rsidP="00EC5F9F">
            <w:pPr>
              <w:pStyle w:val="Tablebody"/>
            </w:pPr>
            <w:r w:rsidRPr="001455DC">
              <w:t xml:space="preserve">is the lower stress of the damage equivalent stress amplitude for </w:t>
            </w:r>
            <w:r w:rsidRPr="001455DC">
              <w:rPr>
                <w:rStyle w:val="CCMCvariableitalic"/>
              </w:rPr>
              <w:t>N</w:t>
            </w:r>
            <w:r w:rsidRPr="001455DC">
              <w:t> </w:t>
            </w:r>
            <w:r w:rsidR="00EC27D2" w:rsidRPr="001455DC">
              <w:rPr>
                <w:rFonts w:ascii="Cambria Math" w:hAnsi="Cambria Math"/>
              </w:rPr>
              <w:t>=</w:t>
            </w:r>
            <w:r w:rsidRPr="001455DC">
              <w:t> </w:t>
            </w:r>
            <w:r w:rsidRPr="001455DC">
              <w:rPr>
                <w:lang w:eastAsia="ja-JP"/>
              </w:rPr>
              <w:t>10</w:t>
            </w:r>
            <w:r w:rsidRPr="001455DC">
              <w:rPr>
                <w:rStyle w:val="CCMCvariablesuperscript"/>
              </w:rPr>
              <w:t>6</w:t>
            </w:r>
            <w:r w:rsidRPr="001455DC">
              <w:t xml:space="preserve"> cycles.</w:t>
            </w:r>
          </w:p>
        </w:tc>
      </w:tr>
    </w:tbl>
    <w:p w14:paraId="552D2B15" w14:textId="4609E6CE" w:rsidR="004E22C1" w:rsidRPr="001455DC" w:rsidRDefault="004E22C1" w:rsidP="00072A5B">
      <w:pPr>
        <w:pStyle w:val="Note"/>
        <w:rPr>
          <w:iCs/>
        </w:rPr>
      </w:pPr>
      <w:r w:rsidRPr="001455DC">
        <w:t>NOTE</w:t>
      </w:r>
      <w:r w:rsidRPr="001455DC">
        <w:tab/>
        <w:t>For road and railway bridges</w:t>
      </w:r>
      <w:r w:rsidR="00AD033B">
        <w:t>,</w:t>
      </w:r>
      <w:r w:rsidRPr="001455DC">
        <w:t xml:space="preserve"> </w:t>
      </w:r>
      <w:r w:rsidRPr="001455DC">
        <w:rPr>
          <w:rStyle w:val="CCMCvariableitalic"/>
        </w:rPr>
        <w:t>σ</w:t>
      </w:r>
      <w:r w:rsidRPr="001455DC">
        <w:rPr>
          <w:rStyle w:val="CCMCvariablesubscript"/>
        </w:rPr>
        <w:t>cd,equ,max</w:t>
      </w:r>
      <w:r w:rsidRPr="001455DC">
        <w:t xml:space="preserve"> and </w:t>
      </w:r>
      <w:r w:rsidRPr="001455DC">
        <w:rPr>
          <w:rStyle w:val="CCMCvariableitalic"/>
        </w:rPr>
        <w:t>σ</w:t>
      </w:r>
      <w:r w:rsidRPr="001455DC">
        <w:rPr>
          <w:rStyle w:val="CCMCvariablesubscript"/>
        </w:rPr>
        <w:t>cd,equ,min</w:t>
      </w:r>
      <w:r w:rsidRPr="001455DC">
        <w:t xml:space="preserve"> are given in K.</w:t>
      </w:r>
      <w:r w:rsidR="00B71827" w:rsidRPr="001455DC">
        <w:t>11</w:t>
      </w:r>
      <w:r w:rsidRPr="001455DC">
        <w:t>.3.</w:t>
      </w:r>
    </w:p>
    <w:p w14:paraId="40DA95C7" w14:textId="28A37827" w:rsidR="004E22C1" w:rsidRPr="001455DC" w:rsidRDefault="004E22C1" w:rsidP="00082680">
      <w:pPr>
        <w:pStyle w:val="a2"/>
      </w:pPr>
      <w:bookmarkStart w:id="1489" w:name="_Toc52820162"/>
      <w:bookmarkStart w:id="1490" w:name="_Toc54337157"/>
      <w:bookmarkStart w:id="1491" w:name="_Toc54337579"/>
      <w:bookmarkStart w:id="1492" w:name="_Toc54338217"/>
      <w:bookmarkStart w:id="1493" w:name="_Toc67565550"/>
      <w:r w:rsidRPr="001455DC">
        <w:t xml:space="preserve">Explicit verifications using </w:t>
      </w:r>
      <w:r w:rsidRPr="001455DC">
        <w:rPr>
          <w:i/>
          <w:iCs/>
        </w:rPr>
        <w:t>Palmgren-Miner</w:t>
      </w:r>
      <w:r w:rsidRPr="001455DC">
        <w:t xml:space="preserve"> Rule</w:t>
      </w:r>
      <w:bookmarkEnd w:id="1489"/>
      <w:bookmarkEnd w:id="1490"/>
      <w:bookmarkEnd w:id="1491"/>
      <w:bookmarkEnd w:id="1492"/>
      <w:bookmarkEnd w:id="1493"/>
    </w:p>
    <w:p w14:paraId="1CB0C245" w14:textId="35701A08" w:rsidR="004E22C1" w:rsidRPr="001455DC" w:rsidRDefault="004E22C1" w:rsidP="00243590">
      <w:pPr>
        <w:pStyle w:val="a3"/>
      </w:pPr>
      <w:bookmarkStart w:id="1494" w:name="_Toc26945187"/>
      <w:bookmarkStart w:id="1495" w:name="_Toc52820163"/>
      <w:bookmarkStart w:id="1496" w:name="_Toc54337580"/>
      <w:bookmarkStart w:id="1497" w:name="_Toc54338218"/>
      <w:r w:rsidRPr="001455DC">
        <w:t>Verification conditions</w:t>
      </w:r>
      <w:bookmarkEnd w:id="1494"/>
      <w:bookmarkEnd w:id="1495"/>
      <w:bookmarkEnd w:id="1496"/>
      <w:bookmarkEnd w:id="1497"/>
    </w:p>
    <w:p w14:paraId="4B013A82" w14:textId="77777777" w:rsidR="00B212C6" w:rsidRPr="001455DC" w:rsidRDefault="004E22C1" w:rsidP="00B212C6">
      <w:pPr>
        <w:pStyle w:val="a7"/>
      </w:pPr>
      <w:r w:rsidRPr="001455DC">
        <w:t>(1)</w:t>
      </w:r>
      <w:r w:rsidRPr="001455DC">
        <w:tab/>
        <w:t>Calculation of design service life at varying stress amplitudes may be based on linear damage theory (</w:t>
      </w:r>
      <w:r w:rsidRPr="001455DC">
        <w:rPr>
          <w:rStyle w:val="CCMCvariableitalic"/>
        </w:rPr>
        <w:t>Palmgren-Miner</w:t>
      </w:r>
      <w:r w:rsidRPr="001455DC">
        <w:t xml:space="preserve"> Rule) according to Formula (E.3). Action effects due to cyclic loads may be arranged in design stress-levels (action effect-levels) each with constant amplitude and a corresponding number of load cycles, </w:t>
      </w:r>
      <w:r w:rsidRPr="001455DC">
        <w:rPr>
          <w:rStyle w:val="CCMCvariableitalic"/>
        </w:rPr>
        <w:t>n</w:t>
      </w:r>
      <w:r w:rsidRPr="001455DC">
        <w:rPr>
          <w:rStyle w:val="CCMCvariablesubscript"/>
        </w:rPr>
        <w:t>i</w:t>
      </w:r>
      <w:r w:rsidRPr="001455DC">
        <w:t>.</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B212C6" w:rsidRPr="001455DC" w14:paraId="0604050E" w14:textId="77777777" w:rsidTr="00EC5F9F">
        <w:trPr>
          <w:cantSplit/>
        </w:trPr>
        <w:tc>
          <w:tcPr>
            <w:tcW w:w="8505" w:type="dxa"/>
            <w:vAlign w:val="center"/>
          </w:tcPr>
          <w:p w14:paraId="092E693E" w14:textId="0EEC41F7" w:rsidR="00B212C6" w:rsidRPr="001455DC" w:rsidRDefault="00231E33" w:rsidP="00EC5F9F">
            <w:pPr>
              <w:pStyle w:val="Formula"/>
              <w:jc w:val="left"/>
            </w:pPr>
            <m:oMathPara>
              <m:oMathParaPr>
                <m:jc m:val="left"/>
              </m:oMathParaPr>
              <m:oMath>
                <m:nary>
                  <m:naryPr>
                    <m:chr m:val="∑"/>
                    <m:limLoc m:val="undOvr"/>
                    <m:grow m:val="1"/>
                    <m:ctrlPr>
                      <w:rPr>
                        <w:rFonts w:ascii="Cambria Math" w:hAnsi="Cambria Math"/>
                      </w:rPr>
                    </m:ctrlPr>
                  </m:naryPr>
                  <m:sub>
                    <m:r>
                      <w:rPr>
                        <w:rFonts w:ascii="Cambria Math" w:hAnsi="Cambria Math"/>
                      </w:rPr>
                      <m:t>i=1</m:t>
                    </m:r>
                  </m:sub>
                  <m:sup>
                    <m:r>
                      <w:rPr>
                        <w:rFonts w:ascii="Cambria Math" w:hAnsi="Cambria Math"/>
                      </w:rPr>
                      <m:t>m</m:t>
                    </m:r>
                  </m:sup>
                  <m:e>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i</m:t>
                            </m:r>
                          </m:sub>
                        </m:sSub>
                      </m:num>
                      <m:den>
                        <m:sSub>
                          <m:sSubPr>
                            <m:ctrlPr>
                              <w:rPr>
                                <w:rFonts w:ascii="Cambria Math" w:hAnsi="Cambria Math"/>
                              </w:rPr>
                            </m:ctrlPr>
                          </m:sSubPr>
                          <m:e>
                            <m:r>
                              <w:rPr>
                                <w:rFonts w:ascii="Cambria Math" w:hAnsi="Cambria Math"/>
                              </w:rPr>
                              <m:t>N</m:t>
                            </m:r>
                          </m:e>
                          <m:sub>
                            <m:r>
                              <m:rPr>
                                <m:sty m:val="p"/>
                              </m:rPr>
                              <w:rPr>
                                <w:rFonts w:ascii="Cambria Math" w:hAnsi="Cambria Math"/>
                              </w:rPr>
                              <m:t>i</m:t>
                            </m:r>
                          </m:sub>
                        </m:sSub>
                      </m:den>
                    </m:f>
                  </m:e>
                </m:nary>
                <m:r>
                  <w:rPr>
                    <w:rFonts w:ascii="Cambria Math" w:hAnsi="Cambria Math"/>
                  </w:rPr>
                  <m:t>≤1</m:t>
                </m:r>
              </m:oMath>
            </m:oMathPara>
          </w:p>
        </w:tc>
        <w:tc>
          <w:tcPr>
            <w:tcW w:w="1247" w:type="dxa"/>
            <w:vAlign w:val="center"/>
          </w:tcPr>
          <w:p w14:paraId="54882519" w14:textId="7242A3D6" w:rsidR="00B212C6" w:rsidRPr="001455DC" w:rsidRDefault="00B212C6" w:rsidP="00EC5F9F">
            <w:pPr>
              <w:pStyle w:val="a7"/>
              <w:jc w:val="right"/>
            </w:pPr>
            <w:r w:rsidRPr="001455DC">
              <w:t>(E.3)</w:t>
            </w:r>
          </w:p>
        </w:tc>
      </w:tr>
    </w:tbl>
    <w:p w14:paraId="44DB6C47" w14:textId="6D0741BB" w:rsidR="00B212C6" w:rsidRPr="001455DC" w:rsidRDefault="00B212C6" w:rsidP="00A35599">
      <w:pPr>
        <w:pStyle w:val="a7"/>
        <w:keepNext/>
      </w:pPr>
      <w:r w:rsidRPr="001455DC">
        <w:t>where</w:t>
      </w:r>
    </w:p>
    <w:tbl>
      <w:tblPr>
        <w:tblW w:w="9696" w:type="dxa"/>
        <w:tblInd w:w="397" w:type="dxa"/>
        <w:tblLayout w:type="fixed"/>
        <w:tblCellMar>
          <w:left w:w="28" w:type="dxa"/>
          <w:right w:w="28" w:type="dxa"/>
        </w:tblCellMar>
        <w:tblLook w:val="04A0" w:firstRow="1" w:lastRow="0" w:firstColumn="1" w:lastColumn="0" w:noHBand="0" w:noVBand="1"/>
      </w:tblPr>
      <w:tblGrid>
        <w:gridCol w:w="567"/>
        <w:gridCol w:w="9129"/>
      </w:tblGrid>
      <w:tr w:rsidR="00B212C6" w:rsidRPr="001455DC" w14:paraId="4A778544" w14:textId="77777777" w:rsidTr="00B212C6">
        <w:trPr>
          <w:cantSplit/>
        </w:trPr>
        <w:tc>
          <w:tcPr>
            <w:tcW w:w="567" w:type="dxa"/>
          </w:tcPr>
          <w:p w14:paraId="30D5CB51" w14:textId="5CEDE9F8" w:rsidR="00B212C6" w:rsidRPr="001455DC" w:rsidRDefault="00B212C6" w:rsidP="00EC5F9F">
            <w:pPr>
              <w:pStyle w:val="Tablebody"/>
            </w:pPr>
            <w:r w:rsidRPr="001455DC">
              <w:rPr>
                <w:rStyle w:val="CCMCvariableitalic"/>
              </w:rPr>
              <w:t>n</w:t>
            </w:r>
            <w:r w:rsidRPr="001455DC">
              <w:rPr>
                <w:rStyle w:val="CCMCvariablesubscript"/>
              </w:rPr>
              <w:t>i</w:t>
            </w:r>
          </w:p>
        </w:tc>
        <w:tc>
          <w:tcPr>
            <w:tcW w:w="9129" w:type="dxa"/>
          </w:tcPr>
          <w:p w14:paraId="14E5AF01" w14:textId="08D16186" w:rsidR="00B212C6" w:rsidRPr="001455DC" w:rsidRDefault="00B212C6" w:rsidP="00EC5F9F">
            <w:pPr>
              <w:pStyle w:val="Tablebody"/>
            </w:pPr>
            <w:r w:rsidRPr="001455DC">
              <w:t>is the number of acting stress cycles for each design stress-level “i”;</w:t>
            </w:r>
          </w:p>
        </w:tc>
      </w:tr>
      <w:tr w:rsidR="00B212C6" w:rsidRPr="001455DC" w14:paraId="13ED75E7" w14:textId="77777777" w:rsidTr="00B212C6">
        <w:trPr>
          <w:cantSplit/>
        </w:trPr>
        <w:tc>
          <w:tcPr>
            <w:tcW w:w="567" w:type="dxa"/>
          </w:tcPr>
          <w:p w14:paraId="66405B9D" w14:textId="305C04EA" w:rsidR="00B212C6" w:rsidRPr="001455DC" w:rsidRDefault="00B212C6" w:rsidP="00EC5F9F">
            <w:pPr>
              <w:pStyle w:val="Tablebody"/>
            </w:pPr>
            <w:r w:rsidRPr="001455DC">
              <w:rPr>
                <w:rStyle w:val="CCMCvariableitalic"/>
              </w:rPr>
              <w:t>N</w:t>
            </w:r>
            <w:r w:rsidRPr="001455DC">
              <w:rPr>
                <w:rStyle w:val="CCMCvariablesubscript"/>
              </w:rPr>
              <w:t>i</w:t>
            </w:r>
          </w:p>
        </w:tc>
        <w:tc>
          <w:tcPr>
            <w:tcW w:w="9129" w:type="dxa"/>
          </w:tcPr>
          <w:p w14:paraId="4E07950A" w14:textId="23102918" w:rsidR="00B212C6" w:rsidRPr="001455DC" w:rsidRDefault="00B212C6" w:rsidP="00EC5F9F">
            <w:pPr>
              <w:pStyle w:val="Tablebody"/>
            </w:pPr>
            <w:r w:rsidRPr="001455DC">
              <w:t>is the number of cycles to fatigue failure according to Figure E.1 and Table E.1 for each design stress-level “i” with constant amplitude;</w:t>
            </w:r>
          </w:p>
        </w:tc>
      </w:tr>
      <w:tr w:rsidR="00B212C6" w:rsidRPr="001455DC" w14:paraId="160B0B99" w14:textId="77777777" w:rsidTr="00B212C6">
        <w:trPr>
          <w:cantSplit/>
        </w:trPr>
        <w:tc>
          <w:tcPr>
            <w:tcW w:w="567" w:type="dxa"/>
          </w:tcPr>
          <w:p w14:paraId="17D0ED85" w14:textId="2D105DD9" w:rsidR="00B212C6" w:rsidRPr="001455DC" w:rsidRDefault="00B212C6" w:rsidP="00EC5F9F">
            <w:pPr>
              <w:pStyle w:val="Tablebody"/>
            </w:pPr>
            <w:r w:rsidRPr="001455DC">
              <w:rPr>
                <w:rStyle w:val="CCMCvariableitalic"/>
              </w:rPr>
              <w:t>m</w:t>
            </w:r>
          </w:p>
        </w:tc>
        <w:tc>
          <w:tcPr>
            <w:tcW w:w="9129" w:type="dxa"/>
          </w:tcPr>
          <w:p w14:paraId="4534CF8C" w14:textId="575E486F" w:rsidR="00B212C6" w:rsidRPr="001455DC" w:rsidRDefault="00B212C6" w:rsidP="00EC5F9F">
            <w:pPr>
              <w:pStyle w:val="Tablebody"/>
            </w:pPr>
            <w:r w:rsidRPr="001455DC">
              <w:rPr>
                <w:lang w:eastAsia="de-DE"/>
              </w:rPr>
              <w:t xml:space="preserve">is the number of </w:t>
            </w:r>
            <w:r w:rsidRPr="001455DC">
              <w:t xml:space="preserve">design </w:t>
            </w:r>
            <w:r w:rsidRPr="001455DC">
              <w:rPr>
                <w:lang w:eastAsia="de-DE"/>
              </w:rPr>
              <w:t>stress-levels with constant amplitude.</w:t>
            </w:r>
          </w:p>
        </w:tc>
      </w:tr>
    </w:tbl>
    <w:p w14:paraId="42DD8D58" w14:textId="5459D038" w:rsidR="004E22C1" w:rsidRPr="001455DC" w:rsidRDefault="004E22C1" w:rsidP="00243590">
      <w:pPr>
        <w:pStyle w:val="a3"/>
      </w:pPr>
      <w:bookmarkStart w:id="1498" w:name="_TOC_250238"/>
      <w:bookmarkStart w:id="1499" w:name="_Toc26945188"/>
      <w:bookmarkStart w:id="1500" w:name="_Toc52820164"/>
      <w:bookmarkStart w:id="1501" w:name="_Toc54337581"/>
      <w:bookmarkStart w:id="1502" w:name="_Toc54338219"/>
      <w:r w:rsidRPr="001455DC">
        <w:t>Verification procedure for reinforcing and prestressing steel</w:t>
      </w:r>
      <w:bookmarkEnd w:id="1498"/>
      <w:bookmarkEnd w:id="1499"/>
      <w:bookmarkEnd w:id="1500"/>
      <w:bookmarkEnd w:id="1501"/>
      <w:bookmarkEnd w:id="1502"/>
    </w:p>
    <w:p w14:paraId="141717CD" w14:textId="77777777" w:rsidR="00B212C6" w:rsidRPr="001455DC" w:rsidRDefault="004E22C1" w:rsidP="00B212C6">
      <w:pPr>
        <w:pStyle w:val="a7"/>
      </w:pPr>
      <w:r w:rsidRPr="001455DC">
        <w:t>(1)</w:t>
      </w:r>
      <w:r w:rsidRPr="001455DC">
        <w:tab/>
        <w:t xml:space="preserve">The damage of a single stress range </w:t>
      </w:r>
      <w:r w:rsidRPr="001455DC">
        <w:rPr>
          <w:rFonts w:eastAsia="Symbol" w:cs="Symbol"/>
        </w:rPr>
        <w:t>Δ</w:t>
      </w:r>
      <w:r w:rsidRPr="001455DC">
        <w:rPr>
          <w:rStyle w:val="CCMCvariableitalic"/>
        </w:rPr>
        <w:t>σ</w:t>
      </w:r>
      <w:r w:rsidRPr="001455DC">
        <w:rPr>
          <w:rFonts w:eastAsia="Symbol" w:cs="Symbol"/>
        </w:rPr>
        <w:t xml:space="preserve"> </w:t>
      </w:r>
      <w:r w:rsidRPr="001455DC">
        <w:t xml:space="preserve">may be determined by using the corresponding </w:t>
      </w:r>
      <w:r w:rsidRPr="001455DC">
        <w:rPr>
          <w:rStyle w:val="CCMCvariableitalic"/>
        </w:rPr>
        <w:t>S</w:t>
      </w:r>
      <w:r w:rsidRPr="001455DC">
        <w:t>-</w:t>
      </w:r>
      <w:r w:rsidRPr="001455DC">
        <w:rPr>
          <w:rStyle w:val="CCMCvariableitalic"/>
        </w:rPr>
        <w:t>N</w:t>
      </w:r>
      <w:r w:rsidRPr="001455DC">
        <w:t xml:space="preserve"> curves (Figure E.1) for reinforcement.</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B212C6" w:rsidRPr="001455DC" w14:paraId="7423D98A" w14:textId="77777777" w:rsidTr="00EC5F9F">
        <w:trPr>
          <w:cantSplit/>
        </w:trPr>
        <w:tc>
          <w:tcPr>
            <w:tcW w:w="8505" w:type="dxa"/>
            <w:vAlign w:val="center"/>
          </w:tcPr>
          <w:p w14:paraId="54F8C659" w14:textId="41DE1C5F" w:rsidR="00B212C6" w:rsidRPr="001455DC" w:rsidRDefault="00231E33" w:rsidP="00EC5F9F">
            <w:pPr>
              <w:pStyle w:val="Formula"/>
              <w:jc w:val="left"/>
            </w:pPr>
            <m:oMathPara>
              <m:oMathParaPr>
                <m:jc m:val="left"/>
              </m:oMathParaPr>
              <m:oMath>
                <m:sSub>
                  <m:sSubPr>
                    <m:ctrlPr>
                      <w:rPr>
                        <w:rFonts w:ascii="Cambria Math" w:hAnsi="Cambria Math"/>
                      </w:rPr>
                    </m:ctrlPr>
                  </m:sSubPr>
                  <m:e>
                    <m:r>
                      <w:rPr>
                        <w:rFonts w:ascii="Cambria Math" w:hAnsi="Cambria Math"/>
                      </w:rPr>
                      <m:t>N</m:t>
                    </m:r>
                  </m:e>
                  <m:sub>
                    <m:r>
                      <m:rPr>
                        <m:sty m:val="p"/>
                      </m:rPr>
                      <w:rPr>
                        <w:rFonts w:ascii="Cambria Math" w:hAnsi="Cambria Math"/>
                      </w:rPr>
                      <m:t>i</m:t>
                    </m:r>
                  </m:sub>
                </m:sSub>
                <m:d>
                  <m:dPr>
                    <m:sepChr m:val=""/>
                    <m:ctrlPr>
                      <w:rPr>
                        <w:rFonts w:ascii="Cambria Math" w:hAnsi="Cambria Math"/>
                      </w:rPr>
                    </m:ctrlPr>
                  </m:dPr>
                  <m:e>
                    <m:r>
                      <m:rPr>
                        <m:sty m:val="p"/>
                      </m:rPr>
                      <w:rPr>
                        <w:rFonts w:ascii="Cambria Math" w:hAnsi="Cambria Math"/>
                      </w:rPr>
                      <m:t>Δ</m:t>
                    </m:r>
                  </m:e>
                  <m:e>
                    <m:sSub>
                      <m:sSubPr>
                        <m:ctrlPr>
                          <w:rPr>
                            <w:rFonts w:ascii="Cambria Math" w:hAnsi="Cambria Math"/>
                          </w:rPr>
                        </m:ctrlPr>
                      </m:sSubPr>
                      <m:e>
                        <m:r>
                          <w:rPr>
                            <w:rFonts w:ascii="Cambria Math" w:hAnsi="Cambria Math"/>
                          </w:rPr>
                          <m:t>σ</m:t>
                        </m:r>
                      </m:e>
                      <m:sub>
                        <m:r>
                          <m:rPr>
                            <m:sty m:val="p"/>
                          </m:rPr>
                          <w:rPr>
                            <w:rFonts w:ascii="Cambria Math" w:hAnsi="Cambria Math"/>
                          </w:rPr>
                          <m:t>Ed,s</m:t>
                        </m:r>
                      </m:sub>
                    </m:sSub>
                  </m:e>
                </m:d>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Δ</m:t>
                            </m:r>
                            <m:sSub>
                              <m:sSubPr>
                                <m:ctrlPr>
                                  <w:rPr>
                                    <w:rFonts w:ascii="Cambria Math" w:hAnsi="Cambria Math"/>
                                  </w:rPr>
                                </m:ctrlPr>
                              </m:sSubPr>
                              <m:e>
                                <m:r>
                                  <w:rPr>
                                    <w:rFonts w:ascii="Cambria Math" w:hAnsi="Cambria Math"/>
                                  </w:rPr>
                                  <m:t>σ</m:t>
                                </m:r>
                              </m:e>
                              <m:sub>
                                <m:r>
                                  <m:rPr>
                                    <m:sty m:val="p"/>
                                  </m:rPr>
                                  <w:rPr>
                                    <w:rFonts w:ascii="Cambria Math" w:hAnsi="Cambria Math"/>
                                  </w:rPr>
                                  <m:t>Rsk</m:t>
                                </m:r>
                              </m:sub>
                            </m:sSub>
                            <m:d>
                              <m:dPr>
                                <m:ctrlPr>
                                  <w:rPr>
                                    <w:rFonts w:ascii="Cambria Math" w:hAnsi="Cambria Math"/>
                                  </w:rPr>
                                </m:ctrlPr>
                              </m:dPr>
                              <m:e>
                                <m:sSup>
                                  <m:sSupPr>
                                    <m:ctrlPr>
                                      <w:rPr>
                                        <w:rFonts w:ascii="Cambria Math" w:hAnsi="Cambria Math"/>
                                      </w:rPr>
                                    </m:ctrlPr>
                                  </m:sSupPr>
                                  <m:e>
                                    <m:r>
                                      <w:rPr>
                                        <w:rFonts w:ascii="Cambria Math" w:hAnsi="Cambria Math"/>
                                      </w:rPr>
                                      <m:t>N</m:t>
                                    </m:r>
                                  </m:e>
                                  <m:sup>
                                    <m:r>
                                      <w:rPr>
                                        <w:rFonts w:ascii="Cambria Math" w:hAnsi="Cambria Math"/>
                                      </w:rPr>
                                      <m:t>*</m:t>
                                    </m:r>
                                  </m:sup>
                                </m:sSup>
                              </m:e>
                            </m:d>
                          </m:num>
                          <m:den>
                            <m:sSub>
                              <m:sSubPr>
                                <m:ctrlPr>
                                  <w:rPr>
                                    <w:rFonts w:ascii="Cambria Math" w:hAnsi="Cambria Math"/>
                                  </w:rPr>
                                </m:ctrlPr>
                              </m:sSubPr>
                              <m:e>
                                <m:r>
                                  <w:rPr>
                                    <w:rFonts w:ascii="Cambria Math" w:hAnsi="Cambria Math"/>
                                  </w:rPr>
                                  <m:t>γ</m:t>
                                </m:r>
                              </m:e>
                              <m:sub>
                                <m:r>
                                  <m:rPr>
                                    <m:sty m:val="p"/>
                                  </m:rPr>
                                  <w:rPr>
                                    <w:rFonts w:ascii="Cambria Math" w:hAnsi="Cambria Math"/>
                                  </w:rPr>
                                  <m:t>S,fat</m:t>
                                </m:r>
                              </m:sub>
                            </m:sSub>
                            <m:r>
                              <w:rPr>
                                <w:rFonts w:ascii="Cambria Math" w:hAnsi="Cambria Math"/>
                              </w:rPr>
                              <m:t>⋅</m:t>
                            </m:r>
                            <m:sSub>
                              <m:sSubPr>
                                <m:ctrlPr>
                                  <w:rPr>
                                    <w:rFonts w:ascii="Cambria Math" w:hAnsi="Cambria Math"/>
                                  </w:rPr>
                                </m:ctrlPr>
                              </m:sSubPr>
                              <m:e>
                                <m:r>
                                  <w:rPr>
                                    <w:rFonts w:ascii="Cambria Math" w:hAnsi="Cambria Math"/>
                                  </w:rPr>
                                  <m:t>γ</m:t>
                                </m:r>
                              </m:e>
                              <m:sub>
                                <m:r>
                                  <m:rPr>
                                    <m:sty m:val="p"/>
                                  </m:rPr>
                                  <w:rPr>
                                    <w:rFonts w:ascii="Cambria Math" w:hAnsi="Cambria Math"/>
                                  </w:rPr>
                                  <m:t>F,fat</m:t>
                                </m:r>
                              </m:sub>
                            </m:sSub>
                            <m:r>
                              <w:rPr>
                                <w:rFonts w:ascii="Cambria Math" w:hAnsi="Cambria Math"/>
                              </w:rPr>
                              <m:t>⋅</m:t>
                            </m:r>
                            <m:r>
                              <m:rPr>
                                <m:sty m:val="p"/>
                              </m:rPr>
                              <w:rPr>
                                <w:rFonts w:ascii="Cambria Math" w:hAnsi="Cambria Math"/>
                              </w:rPr>
                              <m:t>Δ</m:t>
                            </m:r>
                            <m:sSub>
                              <m:sSubPr>
                                <m:ctrlPr>
                                  <w:rPr>
                                    <w:rFonts w:ascii="Cambria Math" w:hAnsi="Cambria Math"/>
                                  </w:rPr>
                                </m:ctrlPr>
                              </m:sSubPr>
                              <m:e>
                                <m:r>
                                  <w:rPr>
                                    <w:rFonts w:ascii="Cambria Math" w:hAnsi="Cambria Math"/>
                                  </w:rPr>
                                  <m:t>σ</m:t>
                                </m:r>
                              </m:e>
                              <m:sub>
                                <m:r>
                                  <w:rPr>
                                    <w:rFonts w:ascii="Cambria Math" w:hAnsi="Cambria Math"/>
                                  </w:rPr>
                                  <m:t>s</m:t>
                                </m:r>
                              </m:sub>
                            </m:sSub>
                          </m:den>
                        </m:f>
                      </m:e>
                    </m:d>
                  </m:e>
                  <m:sup>
                    <m:sSub>
                      <m:sSubPr>
                        <m:ctrlPr>
                          <w:rPr>
                            <w:rFonts w:ascii="Cambria Math" w:hAnsi="Cambria Math"/>
                          </w:rPr>
                        </m:ctrlPr>
                      </m:sSubPr>
                      <m:e>
                        <m:r>
                          <w:rPr>
                            <w:rFonts w:ascii="Cambria Math" w:hAnsi="Cambria Math"/>
                          </w:rPr>
                          <m:t>k</m:t>
                        </m:r>
                      </m:e>
                      <m:sub>
                        <m:r>
                          <m:rPr>
                            <m:sty m:val="p"/>
                          </m:rPr>
                          <w:rPr>
                            <w:rFonts w:ascii="Cambria Math" w:hAnsi="Cambria Math"/>
                          </w:rPr>
                          <m:t>f</m:t>
                        </m:r>
                      </m:sub>
                    </m:sSub>
                  </m:sup>
                </m:sSup>
                <m:r>
                  <w:rPr>
                    <w:rFonts w:ascii="Cambria Math" w:hAnsi="Cambria Math"/>
                  </w:rPr>
                  <m:t>⋅</m:t>
                </m:r>
                <m:sSup>
                  <m:sSupPr>
                    <m:ctrlPr>
                      <w:rPr>
                        <w:rFonts w:ascii="Cambria Math" w:hAnsi="Cambria Math"/>
                      </w:rPr>
                    </m:ctrlPr>
                  </m:sSupPr>
                  <m:e>
                    <m:r>
                      <w:rPr>
                        <w:rFonts w:ascii="Cambria Math" w:hAnsi="Cambria Math"/>
                      </w:rPr>
                      <m:t>N</m:t>
                    </m:r>
                  </m:e>
                  <m:sup>
                    <m:r>
                      <w:rPr>
                        <w:rFonts w:ascii="Cambria Math" w:hAnsi="Cambria Math"/>
                      </w:rPr>
                      <m:t>*</m:t>
                    </m:r>
                  </m:sup>
                </m:sSup>
              </m:oMath>
            </m:oMathPara>
          </w:p>
        </w:tc>
        <w:tc>
          <w:tcPr>
            <w:tcW w:w="1247" w:type="dxa"/>
            <w:vAlign w:val="center"/>
          </w:tcPr>
          <w:p w14:paraId="66DE2AFB" w14:textId="2E963A49" w:rsidR="00B212C6" w:rsidRPr="001455DC" w:rsidRDefault="00B212C6" w:rsidP="00EC5F9F">
            <w:pPr>
              <w:pStyle w:val="a7"/>
              <w:jc w:val="right"/>
            </w:pPr>
            <w:r w:rsidRPr="001455DC">
              <w:t>(E.4)</w:t>
            </w:r>
          </w:p>
        </w:tc>
      </w:tr>
    </w:tbl>
    <w:p w14:paraId="738BD05D" w14:textId="77777777" w:rsidR="00B212C6" w:rsidRPr="001455DC" w:rsidRDefault="004E22C1" w:rsidP="00A35599">
      <w:pPr>
        <w:pStyle w:val="a7"/>
        <w:keepNext/>
      </w:pPr>
      <w:r w:rsidRPr="001455DC">
        <w:t>where</w:t>
      </w:r>
    </w:p>
    <w:tbl>
      <w:tblPr>
        <w:tblStyle w:val="ad"/>
        <w:tblW w:w="9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2552"/>
        <w:gridCol w:w="5954"/>
        <w:gridCol w:w="1247"/>
      </w:tblGrid>
      <w:tr w:rsidR="00B212C6" w:rsidRPr="001455DC" w14:paraId="74BE2C7F" w14:textId="77777777" w:rsidTr="00B212C6">
        <w:trPr>
          <w:cantSplit/>
        </w:trPr>
        <w:tc>
          <w:tcPr>
            <w:tcW w:w="2552" w:type="dxa"/>
            <w:vAlign w:val="center"/>
          </w:tcPr>
          <w:p w14:paraId="7666C8CF" w14:textId="04D3451D" w:rsidR="00B212C6" w:rsidRPr="001455DC" w:rsidRDefault="00B212C6" w:rsidP="00EC5F9F">
            <w:pPr>
              <w:pStyle w:val="Formula"/>
              <w:jc w:val="left"/>
            </w:pPr>
            <m:oMathPara>
              <m:oMathParaPr>
                <m:jc m:val="left"/>
              </m:oMathParaPr>
              <m:oMath>
                <m:r>
                  <m:rPr>
                    <m:nor/>
                  </m:rPr>
                  <w:rPr>
                    <w:rFonts w:ascii="Cambria Math" w:hAnsi="Cambria Math"/>
                  </w:rPr>
                  <m:t xml:space="preserve">if </m:t>
                </m:r>
                <m:r>
                  <m:rPr>
                    <m:sty m:val="p"/>
                  </m:rPr>
                  <w:rPr>
                    <w:rFonts w:ascii="Cambria Math" w:hAnsi="Cambria Math"/>
                  </w:rPr>
                  <m:t>Δ</m:t>
                </m:r>
                <m:sSub>
                  <m:sSubPr>
                    <m:ctrlPr>
                      <w:rPr>
                        <w:rFonts w:ascii="Cambria Math" w:hAnsi="Cambria Math"/>
                      </w:rPr>
                    </m:ctrlPr>
                  </m:sSubPr>
                  <m:e>
                    <m:r>
                      <w:rPr>
                        <w:rFonts w:ascii="Cambria Math" w:hAnsi="Cambria Math"/>
                      </w:rPr>
                      <m:t>σ</m:t>
                    </m:r>
                  </m:e>
                  <m:sub>
                    <m:r>
                      <w:rPr>
                        <w:rFonts w:ascii="Cambria Math" w:hAnsi="Cambria Math"/>
                      </w:rPr>
                      <m:t>s</m:t>
                    </m:r>
                  </m:sub>
                </m:sSub>
                <m:r>
                  <w:rPr>
                    <w:rFonts w:ascii="Cambria Math" w:hAnsi="Cambria Math"/>
                  </w:rPr>
                  <m:t>≥</m:t>
                </m:r>
                <m:f>
                  <m:fPr>
                    <m:ctrlPr>
                      <w:rPr>
                        <w:rFonts w:ascii="Cambria Math" w:hAnsi="Cambria Math"/>
                      </w:rPr>
                    </m:ctrlPr>
                  </m:fPr>
                  <m:num>
                    <m:r>
                      <w:rPr>
                        <w:rFonts w:ascii="Cambria Math" w:hAnsi="Cambria Math"/>
                      </w:rPr>
                      <m:t>Δ</m:t>
                    </m:r>
                    <m:sSub>
                      <m:sSubPr>
                        <m:ctrlPr>
                          <w:rPr>
                            <w:rFonts w:ascii="Cambria Math" w:hAnsi="Cambria Math"/>
                          </w:rPr>
                        </m:ctrlPr>
                      </m:sSubPr>
                      <m:e>
                        <m:r>
                          <w:rPr>
                            <w:rFonts w:ascii="Cambria Math" w:hAnsi="Cambria Math"/>
                          </w:rPr>
                          <m:t>σ</m:t>
                        </m:r>
                      </m:e>
                      <m:sub>
                        <m:r>
                          <m:rPr>
                            <m:sty m:val="p"/>
                          </m:rPr>
                          <w:rPr>
                            <w:rFonts w:ascii="Cambria Math" w:hAnsi="Cambria Math"/>
                          </w:rPr>
                          <m:t>Rsk</m:t>
                        </m:r>
                      </m:sub>
                    </m:sSub>
                  </m:num>
                  <m:den>
                    <m:sSub>
                      <m:sSubPr>
                        <m:ctrlPr>
                          <w:rPr>
                            <w:rFonts w:ascii="Cambria Math" w:hAnsi="Cambria Math"/>
                          </w:rPr>
                        </m:ctrlPr>
                      </m:sSubPr>
                      <m:e>
                        <m:r>
                          <w:rPr>
                            <w:rFonts w:ascii="Cambria Math" w:hAnsi="Cambria Math"/>
                          </w:rPr>
                          <m:t>γ</m:t>
                        </m:r>
                      </m:e>
                      <m:sub>
                        <m:r>
                          <m:rPr>
                            <m:sty m:val="p"/>
                          </m:rPr>
                          <w:rPr>
                            <w:rFonts w:ascii="Cambria Math" w:hAnsi="Cambria Math"/>
                          </w:rPr>
                          <m:t>S,fat</m:t>
                        </m:r>
                      </m:sub>
                    </m:sSub>
                    <m:r>
                      <w:rPr>
                        <w:rFonts w:ascii="Cambria Math" w:hAnsi="Cambria Math"/>
                      </w:rPr>
                      <m:t>⋅</m:t>
                    </m:r>
                    <m:sSub>
                      <m:sSubPr>
                        <m:ctrlPr>
                          <w:rPr>
                            <w:rFonts w:ascii="Cambria Math" w:hAnsi="Cambria Math"/>
                          </w:rPr>
                        </m:ctrlPr>
                      </m:sSubPr>
                      <m:e>
                        <m:r>
                          <w:rPr>
                            <w:rFonts w:ascii="Cambria Math" w:hAnsi="Cambria Math"/>
                          </w:rPr>
                          <m:t>γ</m:t>
                        </m:r>
                      </m:e>
                      <m:sub>
                        <m:r>
                          <m:rPr>
                            <m:sty m:val="p"/>
                          </m:rPr>
                          <w:rPr>
                            <w:rFonts w:ascii="Cambria Math" w:hAnsi="Cambria Math"/>
                          </w:rPr>
                          <m:t>F,fat</m:t>
                        </m:r>
                      </m:sub>
                    </m:sSub>
                  </m:den>
                </m:f>
                <m:r>
                  <w:rPr>
                    <w:rFonts w:ascii="Cambria Math" w:hAnsi="Cambria Math"/>
                  </w:rPr>
                  <m:t>:</m:t>
                </m:r>
              </m:oMath>
            </m:oMathPara>
          </w:p>
        </w:tc>
        <w:tc>
          <w:tcPr>
            <w:tcW w:w="5954" w:type="dxa"/>
            <w:vAlign w:val="center"/>
          </w:tcPr>
          <w:p w14:paraId="55C563D0" w14:textId="2103A5D6" w:rsidR="00B212C6" w:rsidRPr="001455DC" w:rsidRDefault="00B212C6" w:rsidP="00EC5F9F">
            <w:pPr>
              <w:pStyle w:val="Formula"/>
              <w:jc w:val="left"/>
            </w:pPr>
            <w:r w:rsidRPr="001455DC">
              <w:rPr>
                <w:rStyle w:val="CCMCvariableitalic"/>
              </w:rPr>
              <w:t>k</w:t>
            </w:r>
            <w:r w:rsidRPr="001455DC">
              <w:rPr>
                <w:rStyle w:val="CCMCvariablesubscript"/>
              </w:rPr>
              <w:t>f</w:t>
            </w:r>
            <w:r w:rsidRPr="001455DC">
              <w:t> </w:t>
            </w:r>
            <w:r w:rsidR="00EC27D2" w:rsidRPr="001455DC">
              <w:rPr>
                <w:rFonts w:ascii="Cambria Math" w:hAnsi="Cambria Math"/>
              </w:rPr>
              <w:t>=</w:t>
            </w:r>
            <w:r w:rsidRPr="001455DC">
              <w:t> </w:t>
            </w:r>
            <w:r w:rsidRPr="001455DC">
              <w:rPr>
                <w:rStyle w:val="CCMCvariableitalic"/>
              </w:rPr>
              <w:t>k</w:t>
            </w:r>
            <w:r w:rsidRPr="001455DC">
              <w:rPr>
                <w:rStyle w:val="CCMCvariablesubscript"/>
              </w:rPr>
              <w:t>f1</w:t>
            </w:r>
          </w:p>
        </w:tc>
        <w:tc>
          <w:tcPr>
            <w:tcW w:w="1247" w:type="dxa"/>
            <w:vAlign w:val="center"/>
          </w:tcPr>
          <w:p w14:paraId="10930F49" w14:textId="3EE2F5E7" w:rsidR="00B212C6" w:rsidRPr="001455DC" w:rsidRDefault="00B212C6" w:rsidP="00EC5F9F">
            <w:pPr>
              <w:pStyle w:val="a7"/>
              <w:jc w:val="right"/>
            </w:pPr>
            <w:bookmarkStart w:id="1503" w:name="OLE_LINK1"/>
            <w:r w:rsidRPr="001455DC">
              <w:t>(E.5)</w:t>
            </w:r>
            <w:bookmarkEnd w:id="1503"/>
          </w:p>
        </w:tc>
      </w:tr>
      <w:tr w:rsidR="00B212C6" w:rsidRPr="001455DC" w14:paraId="2E71BAD9" w14:textId="77777777" w:rsidTr="00B212C6">
        <w:trPr>
          <w:cantSplit/>
        </w:trPr>
        <w:tc>
          <w:tcPr>
            <w:tcW w:w="2552" w:type="dxa"/>
            <w:vAlign w:val="center"/>
          </w:tcPr>
          <w:p w14:paraId="0E07F2CE" w14:textId="6AF84C46" w:rsidR="00B212C6" w:rsidRPr="001455DC" w:rsidRDefault="00B212C6" w:rsidP="00EC5F9F">
            <w:pPr>
              <w:pStyle w:val="Formula"/>
              <w:jc w:val="left"/>
            </w:pPr>
            <m:oMathPara>
              <m:oMathParaPr>
                <m:jc m:val="left"/>
              </m:oMathParaPr>
              <m:oMath>
                <m:r>
                  <m:rPr>
                    <m:nor/>
                  </m:rPr>
                  <w:rPr>
                    <w:rFonts w:ascii="Cambria Math" w:hAnsi="Cambria Math"/>
                  </w:rPr>
                  <m:t xml:space="preserve">if </m:t>
                </m:r>
                <m:r>
                  <m:rPr>
                    <m:sty m:val="p"/>
                  </m:rPr>
                  <w:rPr>
                    <w:rFonts w:ascii="Cambria Math" w:hAnsi="Cambria Math"/>
                  </w:rPr>
                  <m:t>Δ</m:t>
                </m:r>
                <m:sSub>
                  <m:sSubPr>
                    <m:ctrlPr>
                      <w:rPr>
                        <w:rFonts w:ascii="Cambria Math" w:hAnsi="Cambria Math"/>
                      </w:rPr>
                    </m:ctrlPr>
                  </m:sSubPr>
                  <m:e>
                    <m:r>
                      <w:rPr>
                        <w:rFonts w:ascii="Cambria Math" w:hAnsi="Cambria Math"/>
                      </w:rPr>
                      <m:t>σ</m:t>
                    </m:r>
                  </m:e>
                  <m:sub>
                    <m:r>
                      <w:rPr>
                        <w:rFonts w:ascii="Cambria Math" w:hAnsi="Cambria Math"/>
                      </w:rPr>
                      <m:t>s</m:t>
                    </m:r>
                  </m:sub>
                </m:sSub>
                <m:r>
                  <w:rPr>
                    <w:rFonts w:ascii="Cambria Math" w:hAnsi="Cambria Math"/>
                  </w:rPr>
                  <m:t>&lt;</m:t>
                </m:r>
                <m:f>
                  <m:fPr>
                    <m:ctrlPr>
                      <w:rPr>
                        <w:rFonts w:ascii="Cambria Math" w:hAnsi="Cambria Math"/>
                      </w:rPr>
                    </m:ctrlPr>
                  </m:fPr>
                  <m:num>
                    <m:r>
                      <w:rPr>
                        <w:rFonts w:ascii="Cambria Math" w:hAnsi="Cambria Math"/>
                      </w:rPr>
                      <m:t>Δ</m:t>
                    </m:r>
                    <m:sSub>
                      <m:sSubPr>
                        <m:ctrlPr>
                          <w:rPr>
                            <w:rFonts w:ascii="Cambria Math" w:hAnsi="Cambria Math"/>
                          </w:rPr>
                        </m:ctrlPr>
                      </m:sSubPr>
                      <m:e>
                        <m:r>
                          <w:rPr>
                            <w:rFonts w:ascii="Cambria Math" w:hAnsi="Cambria Math"/>
                          </w:rPr>
                          <m:t>σ</m:t>
                        </m:r>
                      </m:e>
                      <m:sub>
                        <m:r>
                          <m:rPr>
                            <m:sty m:val="p"/>
                          </m:rPr>
                          <w:rPr>
                            <w:rFonts w:ascii="Cambria Math" w:hAnsi="Cambria Math"/>
                          </w:rPr>
                          <m:t>Rsk</m:t>
                        </m:r>
                      </m:sub>
                    </m:sSub>
                  </m:num>
                  <m:den>
                    <m:sSub>
                      <m:sSubPr>
                        <m:ctrlPr>
                          <w:rPr>
                            <w:rFonts w:ascii="Cambria Math" w:hAnsi="Cambria Math"/>
                          </w:rPr>
                        </m:ctrlPr>
                      </m:sSubPr>
                      <m:e>
                        <m:r>
                          <w:rPr>
                            <w:rFonts w:ascii="Cambria Math" w:hAnsi="Cambria Math"/>
                          </w:rPr>
                          <m:t>γ</m:t>
                        </m:r>
                      </m:e>
                      <m:sub>
                        <m:r>
                          <m:rPr>
                            <m:sty m:val="p"/>
                          </m:rPr>
                          <w:rPr>
                            <w:rFonts w:ascii="Cambria Math" w:hAnsi="Cambria Math"/>
                          </w:rPr>
                          <m:t>S,fat</m:t>
                        </m:r>
                      </m:sub>
                    </m:sSub>
                    <m:r>
                      <w:rPr>
                        <w:rFonts w:ascii="Cambria Math" w:hAnsi="Cambria Math"/>
                      </w:rPr>
                      <m:t>⋅</m:t>
                    </m:r>
                    <m:sSub>
                      <m:sSubPr>
                        <m:ctrlPr>
                          <w:rPr>
                            <w:rFonts w:ascii="Cambria Math" w:hAnsi="Cambria Math"/>
                          </w:rPr>
                        </m:ctrlPr>
                      </m:sSubPr>
                      <m:e>
                        <m:r>
                          <w:rPr>
                            <w:rFonts w:ascii="Cambria Math" w:hAnsi="Cambria Math"/>
                          </w:rPr>
                          <m:t>γ</m:t>
                        </m:r>
                      </m:e>
                      <m:sub>
                        <m:r>
                          <m:rPr>
                            <m:sty m:val="p"/>
                          </m:rPr>
                          <w:rPr>
                            <w:rFonts w:ascii="Cambria Math" w:hAnsi="Cambria Math"/>
                          </w:rPr>
                          <m:t>F,fat</m:t>
                        </m:r>
                      </m:sub>
                    </m:sSub>
                  </m:den>
                </m:f>
                <m:r>
                  <w:rPr>
                    <w:rFonts w:ascii="Cambria Math" w:hAnsi="Cambria Math"/>
                  </w:rPr>
                  <m:t>:</m:t>
                </m:r>
              </m:oMath>
            </m:oMathPara>
          </w:p>
        </w:tc>
        <w:tc>
          <w:tcPr>
            <w:tcW w:w="5954" w:type="dxa"/>
            <w:vAlign w:val="center"/>
          </w:tcPr>
          <w:p w14:paraId="0EBD8AAD" w14:textId="5A15D38E" w:rsidR="00B212C6" w:rsidRPr="001455DC" w:rsidRDefault="00B212C6" w:rsidP="00EC5F9F">
            <w:pPr>
              <w:pStyle w:val="Formula"/>
              <w:jc w:val="left"/>
            </w:pPr>
            <w:r w:rsidRPr="001455DC">
              <w:rPr>
                <w:rStyle w:val="CCMCvariableitalic"/>
              </w:rPr>
              <w:t>k</w:t>
            </w:r>
            <w:r w:rsidRPr="001455DC">
              <w:rPr>
                <w:rStyle w:val="CCMCvariablesubscript"/>
              </w:rPr>
              <w:t>f</w:t>
            </w:r>
            <w:r w:rsidRPr="001455DC">
              <w:t> </w:t>
            </w:r>
            <w:r w:rsidR="00EC27D2" w:rsidRPr="001455DC">
              <w:rPr>
                <w:rFonts w:ascii="Cambria Math" w:hAnsi="Cambria Math"/>
              </w:rPr>
              <w:t>=</w:t>
            </w:r>
            <w:r w:rsidRPr="001455DC">
              <w:t> </w:t>
            </w:r>
            <w:r w:rsidRPr="001455DC">
              <w:rPr>
                <w:rStyle w:val="CCMCvariableitalic"/>
              </w:rPr>
              <w:t>k</w:t>
            </w:r>
            <w:r w:rsidRPr="001455DC">
              <w:rPr>
                <w:rStyle w:val="CCMCvariablesubscript"/>
              </w:rPr>
              <w:t>f2</w:t>
            </w:r>
          </w:p>
        </w:tc>
        <w:tc>
          <w:tcPr>
            <w:tcW w:w="1247" w:type="dxa"/>
            <w:vAlign w:val="center"/>
          </w:tcPr>
          <w:p w14:paraId="187DD56F" w14:textId="1BE331E7" w:rsidR="00B212C6" w:rsidRPr="001455DC" w:rsidRDefault="00B212C6" w:rsidP="00EC5F9F">
            <w:pPr>
              <w:pStyle w:val="a7"/>
              <w:jc w:val="right"/>
            </w:pPr>
            <w:r w:rsidRPr="001455DC">
              <w:t>(E.6)</w:t>
            </w:r>
          </w:p>
        </w:tc>
      </w:tr>
    </w:tbl>
    <w:p w14:paraId="4CE14983" w14:textId="55C5E08B" w:rsidR="004E22C1" w:rsidRPr="001455DC" w:rsidRDefault="004E22C1" w:rsidP="00B212C6">
      <w:pPr>
        <w:pStyle w:val="Note"/>
      </w:pPr>
      <w:r w:rsidRPr="001455DC">
        <w:t>NOTE</w:t>
      </w:r>
      <w:r w:rsidRPr="001455DC">
        <w:tab/>
        <w:t xml:space="preserve">The parameters for reinforcement are given in Table E.1 and </w:t>
      </w:r>
      <w:r w:rsidR="00E51CFA" w:rsidRPr="001455DC">
        <w:t xml:space="preserve">Table </w:t>
      </w:r>
      <w:r w:rsidRPr="001455DC">
        <w:t>E.2 respectively.</w:t>
      </w:r>
    </w:p>
    <w:p w14:paraId="79CE15C8" w14:textId="5624944A" w:rsidR="004E22C1" w:rsidRPr="001455DC" w:rsidRDefault="004E22C1" w:rsidP="00243590">
      <w:pPr>
        <w:pStyle w:val="a3"/>
      </w:pPr>
      <w:bookmarkStart w:id="1504" w:name="_Toc52820165"/>
      <w:bookmarkStart w:id="1505" w:name="_Toc54337582"/>
      <w:bookmarkStart w:id="1506" w:name="_Toc54338220"/>
      <w:r w:rsidRPr="001455DC">
        <w:t>Verification procedure for concrete under compression or compression-tension</w:t>
      </w:r>
      <w:bookmarkEnd w:id="1504"/>
      <w:bookmarkEnd w:id="1505"/>
      <w:bookmarkEnd w:id="1506"/>
    </w:p>
    <w:p w14:paraId="722688C6" w14:textId="77777777" w:rsidR="004E22C1" w:rsidRPr="001455DC" w:rsidRDefault="004E22C1" w:rsidP="00B212C6">
      <w:pPr>
        <w:pStyle w:val="a7"/>
      </w:pPr>
      <w:r w:rsidRPr="001455DC">
        <w:t>(1)</w:t>
      </w:r>
      <w:r w:rsidRPr="001455DC">
        <w:tab/>
        <w:t>For multiple cycles with variable amplitudes the damage may be calculated by using Formula (E.3).</w:t>
      </w:r>
    </w:p>
    <w:p w14:paraId="61C25968" w14:textId="77777777" w:rsidR="00B212C6" w:rsidRPr="001455DC" w:rsidRDefault="004E22C1" w:rsidP="00116AE2">
      <w:pPr>
        <w:pStyle w:val="a7"/>
        <w:keepNext/>
      </w:pPr>
      <w:r w:rsidRPr="001455DC">
        <w:t>(2)</w:t>
      </w:r>
      <w:r w:rsidRPr="001455DC">
        <w:tab/>
        <w:t xml:space="preserve">The number of cycles to fatigue failure </w:t>
      </w:r>
      <w:r w:rsidRPr="001455DC">
        <w:rPr>
          <w:rStyle w:val="CCMCvariableitalic"/>
        </w:rPr>
        <w:t>N</w:t>
      </w:r>
      <w:r w:rsidRPr="001455DC">
        <w:rPr>
          <w:rStyle w:val="CCMCvariablesubscript"/>
        </w:rPr>
        <w:t>i</w:t>
      </w:r>
      <w:r w:rsidRPr="001455DC">
        <w:t xml:space="preserve"> may be calculated for each stress-level using the </w:t>
      </w:r>
      <w:r w:rsidRPr="001455DC">
        <w:rPr>
          <w:rStyle w:val="CCMCvariableitalic"/>
        </w:rPr>
        <w:t>S</w:t>
      </w:r>
      <w:r w:rsidRPr="001455DC">
        <w:t>/</w:t>
      </w:r>
      <w:r w:rsidRPr="001455DC">
        <w:rPr>
          <w:rStyle w:val="CCMCvariableitalic"/>
        </w:rPr>
        <w:t>N</w:t>
      </w:r>
      <w:r w:rsidRPr="001455DC">
        <w:t>-curves for concrete under pure compressive fatigue loading in Figure E.2, Formula (E.7).</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B212C6" w:rsidRPr="001455DC" w14:paraId="46D848A6" w14:textId="77777777" w:rsidTr="00EC5F9F">
        <w:trPr>
          <w:cantSplit/>
        </w:trPr>
        <w:tc>
          <w:tcPr>
            <w:tcW w:w="8505" w:type="dxa"/>
            <w:vAlign w:val="center"/>
          </w:tcPr>
          <w:p w14:paraId="77ECC358" w14:textId="4C782D96" w:rsidR="00B212C6" w:rsidRPr="001455DC" w:rsidRDefault="00B212C6" w:rsidP="00EC5F9F">
            <w:pPr>
              <w:pStyle w:val="Formula"/>
              <w:jc w:val="left"/>
            </w:pPr>
            <w:r w:rsidRPr="001455DC">
              <w:rPr>
                <w:rStyle w:val="CCMCvariableitalic"/>
              </w:rPr>
              <w:t>N</w:t>
            </w:r>
            <w:r w:rsidRPr="001455DC">
              <w:t> </w:t>
            </w:r>
            <w:r w:rsidR="00EC27D2" w:rsidRPr="001455DC">
              <w:rPr>
                <w:rFonts w:ascii="Cambria Math" w:hAnsi="Cambria Math"/>
              </w:rPr>
              <w:t>=</w:t>
            </w:r>
            <w:r w:rsidRPr="001455DC">
              <w:t> </w:t>
            </w:r>
            <w:r w:rsidRPr="001455DC">
              <w:rPr>
                <w:szCs w:val="22"/>
              </w:rPr>
              <w:t>10</w:t>
            </w:r>
            <w:r w:rsidRPr="009D3012">
              <w:rPr>
                <w:rStyle w:val="CCMCvariableitalic"/>
                <w:vertAlign w:val="superscript"/>
              </w:rPr>
              <w:t>k</w:t>
            </w:r>
          </w:p>
        </w:tc>
        <w:tc>
          <w:tcPr>
            <w:tcW w:w="1247" w:type="dxa"/>
            <w:vAlign w:val="center"/>
          </w:tcPr>
          <w:p w14:paraId="510EFBA2" w14:textId="58746204" w:rsidR="00B212C6" w:rsidRPr="001455DC" w:rsidRDefault="00B212C6" w:rsidP="00EC5F9F">
            <w:pPr>
              <w:pStyle w:val="a7"/>
              <w:jc w:val="right"/>
            </w:pPr>
            <w:r w:rsidRPr="001455DC">
              <w:rPr>
                <w:szCs w:val="22"/>
              </w:rPr>
              <w:t>(E.7)</w:t>
            </w:r>
          </w:p>
        </w:tc>
      </w:tr>
    </w:tbl>
    <w:p w14:paraId="58A1FC06" w14:textId="77777777" w:rsidR="00B212C6" w:rsidRPr="001455DC" w:rsidRDefault="004E22C1" w:rsidP="00A35599">
      <w:pPr>
        <w:pStyle w:val="a7"/>
        <w:keepNext/>
      </w:pPr>
      <w:r w:rsidRPr="001455DC">
        <w:rPr>
          <w:szCs w:val="22"/>
        </w:rPr>
        <w:t>where</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B212C6" w:rsidRPr="001455DC" w14:paraId="7CE6E0EB" w14:textId="77777777" w:rsidTr="00EC5F9F">
        <w:trPr>
          <w:cantSplit/>
        </w:trPr>
        <w:tc>
          <w:tcPr>
            <w:tcW w:w="8505" w:type="dxa"/>
            <w:vAlign w:val="center"/>
          </w:tcPr>
          <w:p w14:paraId="594E63EB" w14:textId="5BE24B2C" w:rsidR="00B212C6" w:rsidRPr="001455DC" w:rsidRDefault="00B212C6" w:rsidP="00EC5F9F">
            <w:pPr>
              <w:pStyle w:val="Formula"/>
              <w:jc w:val="left"/>
            </w:pPr>
            <m:oMathPara>
              <m:oMathParaPr>
                <m:jc m:val="left"/>
              </m:oMathParaPr>
              <m:oMath>
                <m:r>
                  <w:rPr>
                    <w:rFonts w:ascii="Cambria Math" w:hAnsi="Cambria Math"/>
                  </w:rPr>
                  <m:t>k=14⋅</m:t>
                </m:r>
                <m:f>
                  <m:fPr>
                    <m:ctrlPr>
                      <w:rPr>
                        <w:rFonts w:ascii="Cambria Math" w:hAnsi="Cambria Math"/>
                      </w:rPr>
                    </m:ctrlPr>
                  </m:fPr>
                  <m:num>
                    <m:r>
                      <w:rPr>
                        <w:rFonts w:ascii="Cambria Math" w:hAnsi="Cambria Math"/>
                      </w:rPr>
                      <m:t>1-</m:t>
                    </m:r>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σ</m:t>
                            </m:r>
                          </m:e>
                          <m:sub>
                            <m:r>
                              <m:rPr>
                                <m:sty m:val="p"/>
                              </m:rPr>
                              <w:rPr>
                                <w:rFonts w:ascii="Cambria Math" w:hAnsi="Cambria Math"/>
                              </w:rPr>
                              <m:t>cd,max,i</m:t>
                            </m:r>
                          </m:sub>
                        </m:sSub>
                        <m:r>
                          <w:rPr>
                            <w:rFonts w:ascii="Cambria Math" w:hAnsi="Cambria Math"/>
                          </w:rPr>
                          <m:t>|</m:t>
                        </m:r>
                      </m:num>
                      <m:den>
                        <m:sSub>
                          <m:sSubPr>
                            <m:ctrlPr>
                              <w:rPr>
                                <w:rFonts w:ascii="Cambria Math" w:hAnsi="Cambria Math"/>
                              </w:rPr>
                            </m:ctrlPr>
                          </m:sSubPr>
                          <m:e>
                            <m:r>
                              <w:rPr>
                                <w:rFonts w:ascii="Cambria Math" w:hAnsi="Cambria Math"/>
                              </w:rPr>
                              <m:t>f</m:t>
                            </m:r>
                          </m:e>
                          <m:sub>
                            <m:r>
                              <m:rPr>
                                <m:sty m:val="p"/>
                              </m:rPr>
                              <w:rPr>
                                <w:rFonts w:ascii="Cambria Math" w:hAnsi="Cambria Math"/>
                              </w:rPr>
                              <m:t>cd, fat</m:t>
                            </m:r>
                          </m:sub>
                        </m:sSub>
                      </m:den>
                    </m:f>
                  </m:num>
                  <m:den>
                    <m:rad>
                      <m:radPr>
                        <m:degHide m:val="1"/>
                        <m:ctrlPr>
                          <w:rPr>
                            <w:rFonts w:ascii="Cambria Math" w:hAnsi="Cambria Math"/>
                          </w:rPr>
                        </m:ctrlPr>
                      </m:radPr>
                      <m:deg/>
                      <m:e>
                        <m:r>
                          <w:rPr>
                            <w:rFonts w:ascii="Cambria Math" w:hAnsi="Cambria Math"/>
                          </w:rPr>
                          <m:t>1-</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σ</m:t>
                                    </m:r>
                                  </m:e>
                                  <m:sub>
                                    <m:r>
                                      <m:rPr>
                                        <m:sty m:val="p"/>
                                      </m:rPr>
                                      <w:rPr>
                                        <w:rFonts w:ascii="Cambria Math" w:hAnsi="Cambria Math"/>
                                      </w:rPr>
                                      <m:t>cd,min,i</m:t>
                                    </m:r>
                                  </m:sub>
                                </m:sSub>
                              </m:num>
                              <m:den>
                                <m:sSub>
                                  <m:sSubPr>
                                    <m:ctrlPr>
                                      <w:rPr>
                                        <w:rFonts w:ascii="Cambria Math" w:hAnsi="Cambria Math"/>
                                      </w:rPr>
                                    </m:ctrlPr>
                                  </m:sSubPr>
                                  <m:e>
                                    <m:r>
                                      <w:rPr>
                                        <w:rFonts w:ascii="Cambria Math" w:hAnsi="Cambria Math"/>
                                      </w:rPr>
                                      <m:t>σ</m:t>
                                    </m:r>
                                  </m:e>
                                  <m:sub>
                                    <m:r>
                                      <m:rPr>
                                        <m:sty m:val="p"/>
                                      </m:rPr>
                                      <w:rPr>
                                        <w:rFonts w:ascii="Cambria Math" w:hAnsi="Cambria Math"/>
                                      </w:rPr>
                                      <m:t>cd,max,i</m:t>
                                    </m:r>
                                  </m:sub>
                                </m:sSub>
                              </m:den>
                            </m:f>
                          </m:e>
                        </m:d>
                      </m:e>
                    </m:rad>
                  </m:den>
                </m:f>
              </m:oMath>
            </m:oMathPara>
          </w:p>
        </w:tc>
        <w:tc>
          <w:tcPr>
            <w:tcW w:w="1247" w:type="dxa"/>
            <w:vAlign w:val="center"/>
          </w:tcPr>
          <w:p w14:paraId="2F5C243C" w14:textId="6DA74FB9" w:rsidR="00B212C6" w:rsidRPr="001455DC" w:rsidRDefault="00B212C6" w:rsidP="00EC5F9F">
            <w:pPr>
              <w:pStyle w:val="a7"/>
              <w:jc w:val="right"/>
            </w:pPr>
            <w:r w:rsidRPr="001455DC">
              <w:rPr>
                <w:szCs w:val="22"/>
              </w:rPr>
              <w:t>(E.8)</w:t>
            </w:r>
          </w:p>
        </w:tc>
      </w:tr>
    </w:tbl>
    <w:p w14:paraId="4132153C" w14:textId="5E576D52" w:rsidR="00B212C6" w:rsidRPr="001455DC" w:rsidRDefault="004E22C1" w:rsidP="00A35599">
      <w:pPr>
        <w:pStyle w:val="a7"/>
        <w:keepNext/>
      </w:pPr>
      <w:r w:rsidRPr="001455DC">
        <w:t>where</w:t>
      </w:r>
    </w:p>
    <w:tbl>
      <w:tblPr>
        <w:tblW w:w="9696" w:type="dxa"/>
        <w:tblInd w:w="397" w:type="dxa"/>
        <w:tblLayout w:type="fixed"/>
        <w:tblCellMar>
          <w:left w:w="28" w:type="dxa"/>
          <w:right w:w="28" w:type="dxa"/>
        </w:tblCellMar>
        <w:tblLook w:val="04A0" w:firstRow="1" w:lastRow="0" w:firstColumn="1" w:lastColumn="0" w:noHBand="0" w:noVBand="1"/>
      </w:tblPr>
      <w:tblGrid>
        <w:gridCol w:w="851"/>
        <w:gridCol w:w="8845"/>
      </w:tblGrid>
      <w:tr w:rsidR="00B212C6" w:rsidRPr="001455DC" w14:paraId="19376FB1" w14:textId="77777777" w:rsidTr="00B212C6">
        <w:trPr>
          <w:cantSplit/>
        </w:trPr>
        <w:tc>
          <w:tcPr>
            <w:tcW w:w="851" w:type="dxa"/>
          </w:tcPr>
          <w:p w14:paraId="3965684D" w14:textId="19F527FF" w:rsidR="00B212C6" w:rsidRPr="001455DC" w:rsidRDefault="00B212C6" w:rsidP="00EC5F9F">
            <w:pPr>
              <w:pStyle w:val="Tablebody"/>
            </w:pPr>
            <w:r w:rsidRPr="001455DC">
              <w:rPr>
                <w:rStyle w:val="CCMCvariableitalic"/>
              </w:rPr>
              <w:t>σ</w:t>
            </w:r>
            <w:r w:rsidRPr="001455DC">
              <w:rPr>
                <w:rStyle w:val="CCMCvariablesubscript"/>
              </w:rPr>
              <w:t>cd,max</w:t>
            </w:r>
          </w:p>
        </w:tc>
        <w:tc>
          <w:tcPr>
            <w:tcW w:w="8845" w:type="dxa"/>
          </w:tcPr>
          <w:p w14:paraId="025F3315" w14:textId="0F62605E" w:rsidR="00B212C6" w:rsidRPr="001455DC" w:rsidRDefault="00B212C6" w:rsidP="00EC5F9F">
            <w:pPr>
              <w:pStyle w:val="Tablebody"/>
            </w:pPr>
            <w:r w:rsidRPr="001455DC">
              <w:t>is the maximum compressive stress in stress-level “i”,</w:t>
            </w:r>
            <w:r w:rsidRPr="001455DC">
              <w:rPr>
                <w:rStyle w:val="CCMCvariableitalic"/>
              </w:rPr>
              <w:t>σ</w:t>
            </w:r>
            <w:r w:rsidRPr="001455DC">
              <w:rPr>
                <w:rStyle w:val="CCMCvariablesubscript"/>
              </w:rPr>
              <w:t>cd,max</w:t>
            </w:r>
            <w:r w:rsidRPr="001455DC">
              <w:t> </w:t>
            </w:r>
            <w:r w:rsidR="00EC27D2" w:rsidRPr="001455DC">
              <w:rPr>
                <w:rFonts w:ascii="Cambria Math" w:hAnsi="Cambria Math"/>
              </w:rPr>
              <w:t>=</w:t>
            </w:r>
            <w:r w:rsidRPr="001455DC">
              <w:t> </w:t>
            </w:r>
            <w:r w:rsidRPr="001455DC">
              <w:rPr>
                <w:rStyle w:val="CCMCvariableitalic"/>
              </w:rPr>
              <w:t>γ</w:t>
            </w:r>
            <w:r w:rsidRPr="001455DC">
              <w:rPr>
                <w:rStyle w:val="CCMCvariablesubscript"/>
              </w:rPr>
              <w:t>F,fat</w:t>
            </w:r>
            <w:r w:rsidRPr="001455DC">
              <w:t> </w:t>
            </w:r>
            <w:r w:rsidRPr="001455DC">
              <w:rPr>
                <w:rFonts w:ascii="Cambria Math" w:hAnsi="Cambria Math" w:cs="Cambria Math"/>
              </w:rPr>
              <w:t>⋅</w:t>
            </w:r>
            <w:r w:rsidRPr="001455DC">
              <w:t> </w:t>
            </w:r>
            <w:r w:rsidRPr="001455DC">
              <w:rPr>
                <w:rStyle w:val="CCMCvariableitalic"/>
              </w:rPr>
              <w:t>σ</w:t>
            </w:r>
            <w:r w:rsidRPr="001455DC">
              <w:rPr>
                <w:rStyle w:val="CCMCvariablesubscript"/>
              </w:rPr>
              <w:t>c,max</w:t>
            </w:r>
            <w:r w:rsidRPr="001455DC">
              <w:t>;</w:t>
            </w:r>
          </w:p>
        </w:tc>
      </w:tr>
      <w:tr w:rsidR="00B212C6" w:rsidRPr="001455DC" w14:paraId="430BD69A" w14:textId="77777777" w:rsidTr="00B212C6">
        <w:trPr>
          <w:cantSplit/>
        </w:trPr>
        <w:tc>
          <w:tcPr>
            <w:tcW w:w="851" w:type="dxa"/>
          </w:tcPr>
          <w:p w14:paraId="7EC4A294" w14:textId="17AA8DB1" w:rsidR="00B212C6" w:rsidRPr="001455DC" w:rsidRDefault="00B212C6" w:rsidP="00EC5F9F">
            <w:pPr>
              <w:pStyle w:val="Tablebody"/>
            </w:pPr>
            <w:r w:rsidRPr="001455DC">
              <w:rPr>
                <w:rStyle w:val="CCMCvariableitalic"/>
              </w:rPr>
              <w:t>σ</w:t>
            </w:r>
            <w:r w:rsidRPr="001455DC">
              <w:rPr>
                <w:rStyle w:val="CCMCvariablesubscript"/>
              </w:rPr>
              <w:t>cd,min</w:t>
            </w:r>
          </w:p>
        </w:tc>
        <w:tc>
          <w:tcPr>
            <w:tcW w:w="8845" w:type="dxa"/>
          </w:tcPr>
          <w:p w14:paraId="589E1155" w14:textId="4559F3B3" w:rsidR="00B212C6" w:rsidRPr="001455DC" w:rsidRDefault="00B212C6" w:rsidP="00EC5F9F">
            <w:pPr>
              <w:pStyle w:val="Tablebody"/>
            </w:pPr>
            <w:r w:rsidRPr="001455DC">
              <w:t xml:space="preserve">is the minimum compressive stress in stress-level “i”, </w:t>
            </w:r>
            <w:r w:rsidRPr="001455DC">
              <w:rPr>
                <w:rStyle w:val="CCMCvariableitalic"/>
              </w:rPr>
              <w:t>σ</w:t>
            </w:r>
            <w:r w:rsidRPr="001455DC">
              <w:rPr>
                <w:rStyle w:val="CCMCvariablesubscript"/>
              </w:rPr>
              <w:t>cd,min</w:t>
            </w:r>
            <w:r w:rsidRPr="001455DC">
              <w:t> </w:t>
            </w:r>
            <w:r w:rsidR="00EC27D2" w:rsidRPr="001455DC">
              <w:rPr>
                <w:rFonts w:ascii="Cambria Math" w:hAnsi="Cambria Math"/>
              </w:rPr>
              <w:t>=</w:t>
            </w:r>
            <w:r w:rsidRPr="001455DC">
              <w:t> </w:t>
            </w:r>
            <w:r w:rsidRPr="001455DC">
              <w:rPr>
                <w:rStyle w:val="CCMCvariableitalic"/>
              </w:rPr>
              <w:t>γ</w:t>
            </w:r>
            <w:r w:rsidRPr="001455DC">
              <w:rPr>
                <w:rStyle w:val="CCMCvariablesubscript"/>
              </w:rPr>
              <w:t>F,fat</w:t>
            </w:r>
            <w:r w:rsidRPr="001455DC">
              <w:t> </w:t>
            </w:r>
            <w:r w:rsidRPr="001455DC">
              <w:rPr>
                <w:rFonts w:ascii="Cambria Math" w:hAnsi="Cambria Math" w:cs="Cambria Math"/>
              </w:rPr>
              <w:t>⋅</w:t>
            </w:r>
            <w:r w:rsidRPr="001455DC">
              <w:t> </w:t>
            </w:r>
            <w:r w:rsidRPr="001455DC">
              <w:rPr>
                <w:rStyle w:val="CCMCvariableitalic"/>
              </w:rPr>
              <w:t>σ</w:t>
            </w:r>
            <w:r w:rsidRPr="001455DC">
              <w:rPr>
                <w:rStyle w:val="CCMCvariablesubscript"/>
              </w:rPr>
              <w:t>c,min</w:t>
            </w:r>
            <w:r w:rsidRPr="001455DC">
              <w:t>;</w:t>
            </w:r>
          </w:p>
        </w:tc>
      </w:tr>
      <w:tr w:rsidR="00B212C6" w:rsidRPr="001455DC" w14:paraId="0616C14B" w14:textId="77777777" w:rsidTr="00B212C6">
        <w:trPr>
          <w:cantSplit/>
        </w:trPr>
        <w:tc>
          <w:tcPr>
            <w:tcW w:w="851" w:type="dxa"/>
          </w:tcPr>
          <w:p w14:paraId="38349AED" w14:textId="4DFEB3F2" w:rsidR="00B212C6" w:rsidRPr="001455DC" w:rsidRDefault="00B212C6" w:rsidP="00EC5F9F">
            <w:pPr>
              <w:pStyle w:val="Tablebody"/>
            </w:pPr>
            <w:r w:rsidRPr="001455DC">
              <w:rPr>
                <w:rStyle w:val="CCMCvariableitalic"/>
              </w:rPr>
              <w:t>f</w:t>
            </w:r>
            <w:r w:rsidRPr="001455DC">
              <w:rPr>
                <w:rStyle w:val="CCMCvariablesubscript"/>
              </w:rPr>
              <w:t>cd,fat</w:t>
            </w:r>
          </w:p>
        </w:tc>
        <w:tc>
          <w:tcPr>
            <w:tcW w:w="8845" w:type="dxa"/>
          </w:tcPr>
          <w:p w14:paraId="55284CCA" w14:textId="552CDE43" w:rsidR="00B212C6" w:rsidRPr="001455DC" w:rsidRDefault="00B212C6" w:rsidP="00EC5F9F">
            <w:pPr>
              <w:pStyle w:val="Tablebody"/>
            </w:pPr>
            <w:r w:rsidRPr="001455DC">
              <w:t>is the design fatigue strength of concrete according to Formula (10.5).</w:t>
            </w:r>
          </w:p>
        </w:tc>
      </w:tr>
    </w:tbl>
    <w:p w14:paraId="47708B6D" w14:textId="71B416DE" w:rsidR="004E22C1" w:rsidRPr="001455DC" w:rsidRDefault="00723CF7" w:rsidP="00B212C6">
      <w:pPr>
        <w:pStyle w:val="FigureImage"/>
      </w:pPr>
      <w:r>
        <w:rPr>
          <w:noProof/>
          <w:lang w:eastAsia="en-GB"/>
        </w:rPr>
        <w:fldChar w:fldCharType="begin"/>
      </w:r>
      <w:r>
        <w:rPr>
          <w:noProof/>
          <w:lang w:eastAsia="en-GB"/>
        </w:rPr>
        <w:instrText xml:space="preserve"> INCLUDEPICTURE  "Y:\\STD_MGT\\STDDEL\\PRODUCTION\\etrans\\Download\\Z_FIRST_DEL\\SV\\00250\\00250269\\41_e_dr\\e002.tif"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"Y:\\STD_MGT\\STDDEL\\PRODUCTION\\Standards\\00250\\269\\41_e_dr\\e002.tif"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"Y:\\STD_MGT\\STDDEL\\PRODUCTION\\Standards\\00250\\269\\41_e_dr\\e002.tif"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"Y:\\STD_MGT\\STDDEL\\PRODUCTION\\Standards\\00250\\269\\41_e_dr\\e002.tif"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"Y:\\STD_MGT\\STDDEL\\PRODUCTION\\Standards\\00250\\269\\41_e_dr\\e002.tif"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"Y:\\STD_MGT\\STDDEL\\PRODUCTION\\Standards\\00250\\269\\41_e_dr\\e002.tif"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"C:\\Users\\a.dionysiou\\AppData\\Local\\Temp\\Temp1_00250269_e_20210902.zip.zip\\41_e_dr\\e002.tif"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4508C943">
          <v:shape id="_x0000_i1306" type="#_x0000_t75" style="width:180pt;height:168.75pt">
            <v:imagedata r:id="rId582" r:href="rId583"/>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6E780B16" w14:textId="2D1D5520" w:rsidR="00B212C6" w:rsidRPr="001455DC" w:rsidRDefault="00B212C6" w:rsidP="00DB201D">
      <w:pPr>
        <w:pStyle w:val="KeyTitle"/>
      </w:pPr>
      <w:r w:rsidRPr="001455DC">
        <w:t>Key</w:t>
      </w:r>
    </w:p>
    <w:tbl>
      <w:tblPr>
        <w:tblW w:w="0" w:type="auto"/>
        <w:tblInd w:w="-100" w:type="dxa"/>
        <w:tblCellMar>
          <w:left w:w="100" w:type="dxa"/>
        </w:tblCellMar>
        <w:tblLook w:val="0000" w:firstRow="0" w:lastRow="0" w:firstColumn="0" w:lastColumn="0" w:noHBand="0" w:noVBand="0"/>
      </w:tblPr>
      <w:tblGrid>
        <w:gridCol w:w="309"/>
        <w:gridCol w:w="4239"/>
      </w:tblGrid>
      <w:tr w:rsidR="00AD033B" w:rsidRPr="00AD033B" w14:paraId="1D5C4818" w14:textId="77777777" w:rsidTr="00AD033B">
        <w:tc>
          <w:tcPr>
            <w:tcW w:w="0" w:type="auto"/>
            <w:shd w:val="clear" w:color="auto" w:fill="auto"/>
          </w:tcPr>
          <w:p w14:paraId="24A88B69" w14:textId="77777777" w:rsidR="00AD033B" w:rsidRPr="00AD033B" w:rsidRDefault="00AD033B" w:rsidP="00AD033B">
            <w:pPr>
              <w:pStyle w:val="KeyText"/>
              <w:tabs>
                <w:tab w:val="clear" w:pos="346"/>
              </w:tabs>
              <w:ind w:left="0" w:firstLine="0"/>
            </w:pPr>
            <w:r w:rsidRPr="00AD033B">
              <w:t>x</w:t>
            </w:r>
          </w:p>
        </w:tc>
        <w:tc>
          <w:tcPr>
            <w:tcW w:w="0" w:type="auto"/>
            <w:shd w:val="clear" w:color="auto" w:fill="auto"/>
          </w:tcPr>
          <w:p w14:paraId="70F90C5D" w14:textId="77777777" w:rsidR="00AD033B" w:rsidRPr="00AD033B" w:rsidRDefault="00AD033B" w:rsidP="00AD033B">
            <w:pPr>
              <w:pStyle w:val="KeyText"/>
              <w:tabs>
                <w:tab w:val="clear" w:pos="346"/>
              </w:tabs>
              <w:ind w:left="0" w:firstLine="0"/>
            </w:pPr>
            <w:r w:rsidRPr="00AD033B">
              <w:t>logarithmic number of cycles to failure log N [-]</w:t>
            </w:r>
          </w:p>
        </w:tc>
      </w:tr>
      <w:tr w:rsidR="00AD033B" w:rsidRPr="00AD033B" w14:paraId="44A57F0A" w14:textId="77777777" w:rsidTr="00AD033B">
        <w:tc>
          <w:tcPr>
            <w:tcW w:w="0" w:type="auto"/>
            <w:shd w:val="clear" w:color="auto" w:fill="auto"/>
          </w:tcPr>
          <w:p w14:paraId="78468161" w14:textId="77777777" w:rsidR="00AD033B" w:rsidRPr="00AD033B" w:rsidRDefault="00AD033B" w:rsidP="00AD033B">
            <w:pPr>
              <w:pStyle w:val="KeyText"/>
              <w:tabs>
                <w:tab w:val="clear" w:pos="346"/>
              </w:tabs>
              <w:ind w:left="0" w:firstLine="0"/>
            </w:pPr>
            <w:r w:rsidRPr="00AD033B">
              <w:t>y</w:t>
            </w:r>
          </w:p>
        </w:tc>
        <w:tc>
          <w:tcPr>
            <w:tcW w:w="0" w:type="auto"/>
            <w:shd w:val="clear" w:color="auto" w:fill="auto"/>
          </w:tcPr>
          <w:p w14:paraId="43DE5D13" w14:textId="77777777" w:rsidR="00AD033B" w:rsidRPr="00AD033B" w:rsidRDefault="00AD033B" w:rsidP="00AD033B">
            <w:pPr>
              <w:pStyle w:val="KeyText"/>
              <w:tabs>
                <w:tab w:val="clear" w:pos="346"/>
              </w:tabs>
              <w:ind w:left="0" w:firstLine="0"/>
            </w:pPr>
            <w:r w:rsidRPr="00AD033B">
              <w:t>compressive stress level</w:t>
            </w:r>
          </w:p>
        </w:tc>
      </w:tr>
    </w:tbl>
    <w:p w14:paraId="04E841E2" w14:textId="1C077402" w:rsidR="00AD033B" w:rsidRPr="009D3012" w:rsidRDefault="00AD033B" w:rsidP="00AD033B">
      <w:pPr>
        <w:pStyle w:val="FigureText"/>
        <w:spacing w:after="0"/>
      </w:pPr>
      <w:r>
        <w:t> </w:t>
      </w:r>
    </w:p>
    <w:tbl>
      <w:tblPr>
        <w:tblW w:w="9809" w:type="dxa"/>
        <w:tblLayout w:type="fixed"/>
        <w:tblCellMar>
          <w:left w:w="28" w:type="dxa"/>
          <w:right w:w="28" w:type="dxa"/>
        </w:tblCellMar>
        <w:tblLook w:val="0000" w:firstRow="0" w:lastRow="0" w:firstColumn="0" w:lastColumn="0" w:noHBand="0" w:noVBand="0"/>
      </w:tblPr>
      <w:tblGrid>
        <w:gridCol w:w="2098"/>
        <w:gridCol w:w="7711"/>
      </w:tblGrid>
      <w:tr w:rsidR="00B212C6" w:rsidRPr="001455DC" w14:paraId="5A0E54B8" w14:textId="77777777" w:rsidTr="00B212C6">
        <w:tc>
          <w:tcPr>
            <w:tcW w:w="2098" w:type="dxa"/>
            <w:shd w:val="clear" w:color="auto" w:fill="auto"/>
          </w:tcPr>
          <w:p w14:paraId="0E4E36BE" w14:textId="37882780" w:rsidR="00B212C6" w:rsidRPr="001455DC" w:rsidRDefault="00231E33" w:rsidP="00D86695">
            <w:pPr>
              <w:pStyle w:val="KeyText"/>
              <w:tabs>
                <w:tab w:val="clear" w:pos="346"/>
              </w:tabs>
              <w:ind w:left="0" w:firstLine="0"/>
            </w:pPr>
            <m:oMathPara>
              <m:oMathParaPr>
                <m:jc m:val="left"/>
              </m:oMathParaPr>
              <m:oMath>
                <m:sSub>
                  <m:sSubPr>
                    <m:ctrlPr>
                      <w:rPr>
                        <w:rFonts w:ascii="Cambria Math" w:hAnsi="Cambria Math"/>
                      </w:rPr>
                    </m:ctrlPr>
                  </m:sSubPr>
                  <m:e>
                    <m:r>
                      <w:rPr>
                        <w:rFonts w:ascii="Cambria Math" w:hAnsi="Cambria Math"/>
                      </w:rPr>
                      <m:t>E</m:t>
                    </m:r>
                  </m:e>
                  <m:sub>
                    <m:r>
                      <m:rPr>
                        <m:sty m:val="p"/>
                      </m:rPr>
                      <w:rPr>
                        <w:rFonts w:ascii="Cambria Math" w:hAnsi="Cambria Math"/>
                      </w:rPr>
                      <m:t>cd,min,i</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σ</m:t>
                        </m:r>
                      </m:e>
                      <m:sub>
                        <m:r>
                          <m:rPr>
                            <m:sty m:val="p"/>
                          </m:rPr>
                          <w:rPr>
                            <w:rFonts w:ascii="Cambria Math" w:hAnsi="Cambria Math"/>
                          </w:rPr>
                          <m:t>cd,min,i</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cd, fat</m:t>
                        </m:r>
                      </m:sub>
                    </m:sSub>
                  </m:den>
                </m:f>
              </m:oMath>
            </m:oMathPara>
          </w:p>
        </w:tc>
        <w:tc>
          <w:tcPr>
            <w:tcW w:w="7711" w:type="dxa"/>
            <w:shd w:val="clear" w:color="auto" w:fill="auto"/>
          </w:tcPr>
          <w:p w14:paraId="6996D24A" w14:textId="4F49B01B" w:rsidR="00B212C6" w:rsidRPr="001455DC" w:rsidRDefault="00B212C6" w:rsidP="00D86695">
            <w:pPr>
              <w:pStyle w:val="KeyText"/>
              <w:tabs>
                <w:tab w:val="clear" w:pos="346"/>
              </w:tabs>
              <w:ind w:left="0" w:firstLine="0"/>
            </w:pPr>
          </w:p>
        </w:tc>
      </w:tr>
      <w:tr w:rsidR="007F1414" w:rsidRPr="001455DC" w14:paraId="366CBDD4" w14:textId="77777777" w:rsidTr="00B212C6">
        <w:tc>
          <w:tcPr>
            <w:tcW w:w="2098" w:type="dxa"/>
            <w:shd w:val="clear" w:color="auto" w:fill="auto"/>
          </w:tcPr>
          <w:p w14:paraId="463AFC8D" w14:textId="06FAE8BB" w:rsidR="007F1414" w:rsidRPr="001455DC" w:rsidRDefault="00231E33" w:rsidP="00D86695">
            <w:pPr>
              <w:pStyle w:val="KeyText"/>
              <w:tabs>
                <w:tab w:val="clear" w:pos="346"/>
              </w:tabs>
              <w:ind w:left="0" w:firstLine="0"/>
            </w:pPr>
            <m:oMathPara>
              <m:oMath>
                <m:sSub>
                  <m:sSubPr>
                    <m:ctrlPr>
                      <w:rPr>
                        <w:rFonts w:ascii="Cambria Math" w:hAnsi="Cambria Math"/>
                      </w:rPr>
                    </m:ctrlPr>
                  </m:sSubPr>
                  <m:e>
                    <m:r>
                      <w:rPr>
                        <w:rFonts w:ascii="Cambria Math" w:hAnsi="Cambria Math"/>
                      </w:rPr>
                      <m:t>E</m:t>
                    </m:r>
                  </m:e>
                  <m:sub>
                    <m:r>
                      <m:rPr>
                        <m:sty m:val="p"/>
                      </m:rPr>
                      <w:rPr>
                        <w:rFonts w:ascii="Cambria Math" w:hAnsi="Cambria Math"/>
                      </w:rPr>
                      <m:t>cd,max,i</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σ</m:t>
                        </m:r>
                      </m:e>
                      <m:sub>
                        <m:r>
                          <m:rPr>
                            <m:sty m:val="p"/>
                          </m:rPr>
                          <w:rPr>
                            <w:rFonts w:ascii="Cambria Math" w:hAnsi="Cambria Math"/>
                          </w:rPr>
                          <m:t>cd,max,i</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cd, fat</m:t>
                        </m:r>
                      </m:sub>
                    </m:sSub>
                  </m:den>
                </m:f>
              </m:oMath>
            </m:oMathPara>
          </w:p>
        </w:tc>
        <w:tc>
          <w:tcPr>
            <w:tcW w:w="7711" w:type="dxa"/>
            <w:shd w:val="clear" w:color="auto" w:fill="auto"/>
          </w:tcPr>
          <w:p w14:paraId="5FF789C2" w14:textId="77777777" w:rsidR="007F1414" w:rsidRPr="001455DC" w:rsidRDefault="007F1414" w:rsidP="00D86695">
            <w:pPr>
              <w:pStyle w:val="KeyText"/>
              <w:tabs>
                <w:tab w:val="clear" w:pos="346"/>
              </w:tabs>
              <w:ind w:left="0" w:firstLine="0"/>
            </w:pPr>
          </w:p>
        </w:tc>
      </w:tr>
    </w:tbl>
    <w:p w14:paraId="351DCF83" w14:textId="1495DF6B" w:rsidR="004E22C1" w:rsidRPr="001455DC" w:rsidRDefault="004E22C1" w:rsidP="00B212C6">
      <w:pPr>
        <w:pStyle w:val="Figuretitle"/>
      </w:pPr>
      <w:r w:rsidRPr="001455DC">
        <w:t>Figure E.2</w:t>
      </w:r>
      <w:r w:rsidRPr="001455DC">
        <w:rPr>
          <w:lang w:eastAsia="ja-JP"/>
        </w:rPr>
        <w:t xml:space="preserve"> — </w:t>
      </w:r>
      <w:r w:rsidRPr="001455DC">
        <w:t>Shape of the characteristic fatigue strength curves (</w:t>
      </w:r>
      <w:r w:rsidRPr="001455DC">
        <w:rPr>
          <w:rStyle w:val="CCMCvariableitalic"/>
        </w:rPr>
        <w:t>S</w:t>
      </w:r>
      <w:r w:rsidRPr="001455DC">
        <w:t>-</w:t>
      </w:r>
      <w:r w:rsidRPr="001455DC">
        <w:rPr>
          <w:rStyle w:val="CCMCvariableitalic"/>
        </w:rPr>
        <w:t>N</w:t>
      </w:r>
      <w:r w:rsidRPr="001455DC">
        <w:t>-curves for concrete under pure compression)</w:t>
      </w:r>
    </w:p>
    <w:p w14:paraId="53AEA73C" w14:textId="58F5DFD6" w:rsidR="004E22C1" w:rsidRPr="001455DC" w:rsidRDefault="00072A5B" w:rsidP="00072A5B">
      <w:pPr>
        <w:pStyle w:val="ANNEX"/>
      </w:pPr>
      <w:bookmarkStart w:id="1507" w:name="_Toc52820166"/>
      <w:r w:rsidRPr="001455DC">
        <w:br/>
      </w:r>
      <w:bookmarkStart w:id="1508" w:name="_Toc54337158"/>
      <w:bookmarkStart w:id="1509" w:name="_Toc54337583"/>
      <w:bookmarkStart w:id="1510" w:name="_Toc54338221"/>
      <w:bookmarkStart w:id="1511" w:name="_Toc67565551"/>
      <w:r w:rsidR="004E22C1" w:rsidRPr="001455DC">
        <w:rPr>
          <w:b w:val="0"/>
        </w:rPr>
        <w:t>(</w:t>
      </w:r>
      <w:r w:rsidR="00792E53" w:rsidRPr="001455DC">
        <w:rPr>
          <w:b w:val="0"/>
        </w:rPr>
        <w:t>informative</w:t>
      </w:r>
      <w:r w:rsidR="004E22C1" w:rsidRPr="001455DC">
        <w:rPr>
          <w:b w:val="0"/>
        </w:rPr>
        <w:t>)</w:t>
      </w:r>
      <w:r w:rsidRPr="001455DC">
        <w:rPr>
          <w:b w:val="0"/>
        </w:rPr>
        <w:br/>
      </w:r>
      <w:r w:rsidRPr="001455DC">
        <w:br/>
      </w:r>
      <w:r w:rsidR="004E22C1" w:rsidRPr="001455DC">
        <w:t>Non-linear analyses procedures</w:t>
      </w:r>
      <w:bookmarkEnd w:id="1507"/>
      <w:bookmarkEnd w:id="1508"/>
      <w:bookmarkEnd w:id="1509"/>
      <w:bookmarkEnd w:id="1510"/>
      <w:bookmarkEnd w:id="1511"/>
    </w:p>
    <w:p w14:paraId="3C54D47F" w14:textId="69BECE84" w:rsidR="000903D6" w:rsidRPr="001455DC" w:rsidRDefault="000903D6" w:rsidP="00082680">
      <w:pPr>
        <w:pStyle w:val="a2"/>
      </w:pPr>
      <w:bookmarkStart w:id="1512" w:name="_Toc67565552"/>
      <w:bookmarkStart w:id="1513" w:name="_Toc52820167"/>
      <w:bookmarkStart w:id="1514" w:name="_Toc54337159"/>
      <w:bookmarkStart w:id="1515" w:name="_Toc54337584"/>
      <w:bookmarkStart w:id="1516" w:name="_Toc54338222"/>
      <w:r w:rsidRPr="001455DC">
        <w:t>Use of this annex</w:t>
      </w:r>
      <w:bookmarkEnd w:id="1512"/>
    </w:p>
    <w:p w14:paraId="1DD202B8" w14:textId="77777777" w:rsidR="000903D6" w:rsidRPr="001455DC" w:rsidRDefault="000903D6" w:rsidP="000903D6">
      <w:pPr>
        <w:pStyle w:val="a7"/>
      </w:pPr>
      <w:r w:rsidRPr="001455DC">
        <w:t xml:space="preserve">(1) This Informative Annex provides supplementary guidance to non-linear analyses procedures for concrete structures. </w:t>
      </w:r>
    </w:p>
    <w:p w14:paraId="1CBF1B72" w14:textId="6CCCDF3B" w:rsidR="000903D6" w:rsidRPr="009D3012" w:rsidRDefault="00AD033B" w:rsidP="009D3012">
      <w:pPr>
        <w:pStyle w:val="Note"/>
      </w:pPr>
      <w:r>
        <w:t>NOTE</w:t>
      </w:r>
      <w:r>
        <w:tab/>
      </w:r>
      <w:r w:rsidR="000903D6" w:rsidRPr="009D3012">
        <w:t xml:space="preserve">National choice on the application of this Informative Annex is given in a National Annex. If a National Annex contains no information on the application of this Informative Annex, it can be used. </w:t>
      </w:r>
    </w:p>
    <w:p w14:paraId="6A8CACA5" w14:textId="6FFCFB6C" w:rsidR="000903D6" w:rsidRPr="009D3012" w:rsidRDefault="000903D6" w:rsidP="00082680">
      <w:pPr>
        <w:pStyle w:val="a2"/>
      </w:pPr>
      <w:bookmarkStart w:id="1517" w:name="_Toc67565553"/>
      <w:r w:rsidRPr="009D3012">
        <w:t>Scope and field of application</w:t>
      </w:r>
      <w:bookmarkEnd w:id="1517"/>
    </w:p>
    <w:p w14:paraId="58059DC8" w14:textId="31C813AE" w:rsidR="000903D6" w:rsidRPr="009D3012" w:rsidRDefault="000903D6" w:rsidP="009D3012">
      <w:pPr>
        <w:pStyle w:val="a7"/>
      </w:pPr>
      <w:r w:rsidRPr="009D3012">
        <w:t>(1) This Informative Annex covers the use of the partial factor method, the global factor method and full probabilistic method for non-linear analyses of concrete structures.</w:t>
      </w:r>
    </w:p>
    <w:p w14:paraId="6E52900C" w14:textId="4E2353DB" w:rsidR="004E22C1" w:rsidRPr="001455DC" w:rsidRDefault="004E22C1" w:rsidP="00082680">
      <w:pPr>
        <w:pStyle w:val="a2"/>
      </w:pPr>
      <w:bookmarkStart w:id="1518" w:name="_Toc67565554"/>
      <w:r w:rsidRPr="001455DC">
        <w:t>General</w:t>
      </w:r>
      <w:bookmarkEnd w:id="1513"/>
      <w:bookmarkEnd w:id="1514"/>
      <w:bookmarkEnd w:id="1515"/>
      <w:bookmarkEnd w:id="1516"/>
      <w:bookmarkEnd w:id="1518"/>
    </w:p>
    <w:p w14:paraId="706D01BC" w14:textId="7A6BE61F" w:rsidR="004E22C1" w:rsidRPr="001455DC" w:rsidRDefault="004E22C1" w:rsidP="00072A5B">
      <w:pPr>
        <w:pStyle w:val="a7"/>
      </w:pPr>
      <w:r w:rsidRPr="001455DC">
        <w:t>(1)</w:t>
      </w:r>
      <w:r w:rsidRPr="001455DC">
        <w:tab/>
        <w:t>Verification of ultimate limit states by non-linear analysis is performed by numerical simulations in compliance with the</w:t>
      </w:r>
      <w:bookmarkStart w:id="1519" w:name="_Hlk60999388"/>
      <w:r w:rsidRPr="001455DC">
        <w:t xml:space="preserve"> requirements of </w:t>
      </w:r>
      <w:r w:rsidR="00792E53" w:rsidRPr="003F0CF8">
        <w:t>7.3.4</w:t>
      </w:r>
      <w:r w:rsidR="00792E53" w:rsidRPr="001455DC">
        <w:t xml:space="preserve"> </w:t>
      </w:r>
      <w:r w:rsidRPr="001455DC">
        <w:t xml:space="preserve">and </w:t>
      </w:r>
      <w:bookmarkEnd w:id="1519"/>
      <w:r w:rsidRPr="001455DC">
        <w:t xml:space="preserve">of </w:t>
      </w:r>
      <w:r w:rsidR="0054629D">
        <w:t>pr</w:t>
      </w:r>
      <w:r w:rsidRPr="001455DC">
        <w:t>EN 1990</w:t>
      </w:r>
      <w:r w:rsidR="000E016F">
        <w:t>:20</w:t>
      </w:r>
      <w:r w:rsidR="00D35CC0">
        <w:t>20</w:t>
      </w:r>
      <w:r w:rsidR="00792E53" w:rsidRPr="001455DC">
        <w:t>, 7.2.2</w:t>
      </w:r>
      <w:r w:rsidRPr="001455DC">
        <w:t>.</w:t>
      </w:r>
    </w:p>
    <w:p w14:paraId="12911507" w14:textId="6D2CD4C6" w:rsidR="004E22C1" w:rsidRPr="001455DC" w:rsidRDefault="004E22C1" w:rsidP="00072A5B">
      <w:pPr>
        <w:pStyle w:val="a7"/>
      </w:pPr>
      <w:r w:rsidRPr="001455DC">
        <w:t>(2)</w:t>
      </w:r>
      <w:r w:rsidRPr="001455DC">
        <w:tab/>
        <w:t xml:space="preserve">Annex F shall be applied consistently to </w:t>
      </w:r>
      <w:r w:rsidR="00D35CC0">
        <w:t>pr</w:t>
      </w:r>
      <w:r w:rsidRPr="001455DC">
        <w:t>EN 1990</w:t>
      </w:r>
      <w:r w:rsidR="000E016F">
        <w:t>:20</w:t>
      </w:r>
      <w:r w:rsidR="00D35CC0">
        <w:t>20</w:t>
      </w:r>
      <w:r w:rsidR="00792E53" w:rsidRPr="001455DC">
        <w:t>, 8.2</w:t>
      </w:r>
      <w:r w:rsidRPr="001455DC">
        <w:t>.</w:t>
      </w:r>
    </w:p>
    <w:p w14:paraId="62E06B95" w14:textId="77777777" w:rsidR="004E22C1" w:rsidRPr="001455DC" w:rsidRDefault="004E22C1" w:rsidP="00072A5B">
      <w:pPr>
        <w:pStyle w:val="a7"/>
      </w:pPr>
      <w:r w:rsidRPr="001455DC">
        <w:t>(3)</w:t>
      </w:r>
      <w:r w:rsidRPr="001455DC">
        <w:tab/>
        <w:t>The software used in non-linear verification of the ultimate limit state should be validated by comparison between numerical and experimental or benchmark results. Similarly, the choices made with respect to the specific numerical model should be tested by sensitivity analysis.</w:t>
      </w:r>
    </w:p>
    <w:p w14:paraId="568C1C41" w14:textId="77777777" w:rsidR="004E22C1" w:rsidRPr="001455DC" w:rsidRDefault="004E22C1" w:rsidP="00116AE2">
      <w:pPr>
        <w:pStyle w:val="a7"/>
        <w:keepNext/>
      </w:pPr>
      <w:r w:rsidRPr="001455DC">
        <w:t>This covers general validation attempts:</w:t>
      </w:r>
    </w:p>
    <w:p w14:paraId="5824BD62" w14:textId="40D59B4D" w:rsidR="004E22C1" w:rsidRPr="001455DC" w:rsidRDefault="004E22C1" w:rsidP="000259B5">
      <w:pPr>
        <w:pStyle w:val="a0"/>
      </w:pPr>
      <w:r w:rsidRPr="001455DC">
        <w:t>basic material tests,</w:t>
      </w:r>
    </w:p>
    <w:p w14:paraId="1482354A" w14:textId="4FE5BDFF" w:rsidR="004E22C1" w:rsidRPr="001455DC" w:rsidRDefault="004E22C1" w:rsidP="000259B5">
      <w:pPr>
        <w:pStyle w:val="a0"/>
      </w:pPr>
      <w:r w:rsidRPr="001455DC">
        <w:t>structural tests with the characterization of relevant failure modes;</w:t>
      </w:r>
    </w:p>
    <w:p w14:paraId="624325CE" w14:textId="77777777" w:rsidR="004E22C1" w:rsidRPr="001455DC" w:rsidRDefault="004E22C1" w:rsidP="00116AE2">
      <w:pPr>
        <w:pStyle w:val="a7"/>
        <w:keepNext/>
      </w:pPr>
      <w:r w:rsidRPr="001455DC">
        <w:t>and project specific attempts:</w:t>
      </w:r>
    </w:p>
    <w:p w14:paraId="450E4C71" w14:textId="6B5B15F9" w:rsidR="004E22C1" w:rsidRPr="001455DC" w:rsidRDefault="004E22C1" w:rsidP="000259B5">
      <w:pPr>
        <w:pStyle w:val="a0"/>
      </w:pPr>
      <w:r w:rsidRPr="001455DC">
        <w:t>mesh sensitivity tests;</w:t>
      </w:r>
    </w:p>
    <w:p w14:paraId="50976783" w14:textId="271B401C" w:rsidR="004E22C1" w:rsidRPr="001455DC" w:rsidRDefault="004E22C1" w:rsidP="000259B5">
      <w:pPr>
        <w:pStyle w:val="a0"/>
      </w:pPr>
      <w:r w:rsidRPr="001455DC">
        <w:t>solution method tests.</w:t>
      </w:r>
    </w:p>
    <w:p w14:paraId="5B6AEBF9" w14:textId="77777777" w:rsidR="004E22C1" w:rsidRPr="001455DC" w:rsidRDefault="004E22C1" w:rsidP="00072A5B">
      <w:pPr>
        <w:pStyle w:val="a7"/>
      </w:pPr>
      <w:r w:rsidRPr="001455DC">
        <w:t>(4)</w:t>
      </w:r>
      <w:r w:rsidRPr="001455DC">
        <w:tab/>
        <w:t>The loading process adopted by a non-linear simulation in order to evaluate the structural resistance shall be defined according to engineering judgement consistently with the considered combination of the actions at ultimate limit state.</w:t>
      </w:r>
    </w:p>
    <w:p w14:paraId="2FEB9210" w14:textId="77777777" w:rsidR="004E22C1" w:rsidRPr="001455DC" w:rsidRDefault="004E22C1" w:rsidP="00072A5B">
      <w:pPr>
        <w:pStyle w:val="Note"/>
      </w:pPr>
      <w:r w:rsidRPr="001455DC">
        <w:t>NOTE</w:t>
      </w:r>
      <w:r w:rsidRPr="001455DC">
        <w:tab/>
        <w:t>The loading process may account for the loading sequence due to staged construction methods.</w:t>
      </w:r>
    </w:p>
    <w:p w14:paraId="7B4F4B26" w14:textId="7C9D188F" w:rsidR="004E22C1" w:rsidRPr="001455DC" w:rsidRDefault="004E22C1" w:rsidP="00116AE2">
      <w:pPr>
        <w:pStyle w:val="a7"/>
        <w:keepNext/>
      </w:pPr>
      <w:r w:rsidRPr="001455DC">
        <w:rPr>
          <w:bCs/>
          <w:szCs w:val="22"/>
        </w:rPr>
        <w:t>(5)</w:t>
      </w:r>
      <w:r w:rsidRPr="001455DC">
        <w:rPr>
          <w:bCs/>
          <w:szCs w:val="22"/>
        </w:rPr>
        <w:tab/>
      </w:r>
      <w:r w:rsidRPr="001455DC">
        <w:t xml:space="preserve">The verification requires that the design value of the actions in the considered combination, determined according to </w:t>
      </w:r>
      <w:r w:rsidR="00DF00C7">
        <w:t>pr</w:t>
      </w:r>
      <w:r w:rsidRPr="001455DC">
        <w:t>EN 1990, shall not be greater than the design value of the associated structural resistance (see Formula (F.1)):</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6B0B79" w:rsidRPr="001455DC" w14:paraId="7448E2A0" w14:textId="77777777" w:rsidTr="006B0B79">
        <w:trPr>
          <w:cantSplit/>
        </w:trPr>
        <w:tc>
          <w:tcPr>
            <w:tcW w:w="8505" w:type="dxa"/>
            <w:vAlign w:val="center"/>
          </w:tcPr>
          <w:p w14:paraId="0F96E976" w14:textId="3599B362" w:rsidR="006B0B79" w:rsidRPr="001455DC" w:rsidRDefault="006B0B79" w:rsidP="006B0B79">
            <w:pPr>
              <w:pStyle w:val="Formula"/>
              <w:jc w:val="left"/>
            </w:pPr>
            <w:r w:rsidRPr="001455DC">
              <w:rPr>
                <w:rStyle w:val="CCMCvariableitalic"/>
              </w:rPr>
              <w:t>F</w:t>
            </w:r>
            <w:r w:rsidRPr="001455DC">
              <w:rPr>
                <w:rStyle w:val="CCMCvariablesubscript"/>
              </w:rPr>
              <w:t>d</w:t>
            </w:r>
            <w:r w:rsidRPr="001455DC">
              <w:t> </w:t>
            </w:r>
            <w:r w:rsidR="00650035" w:rsidRPr="001455DC">
              <w:rPr>
                <w:rFonts w:ascii="Cambria Math" w:hAnsi="Cambria Math"/>
              </w:rPr>
              <w:t>≤</w:t>
            </w:r>
            <w:r w:rsidRPr="001455DC">
              <w:t> </w:t>
            </w:r>
            <w:r w:rsidRPr="001455DC">
              <w:rPr>
                <w:rStyle w:val="CCMCvariableitalic"/>
              </w:rPr>
              <w:t>R</w:t>
            </w:r>
            <w:r w:rsidRPr="001455DC">
              <w:rPr>
                <w:rStyle w:val="CCMCvariablesubscript"/>
              </w:rPr>
              <w:t>d</w:t>
            </w:r>
          </w:p>
        </w:tc>
        <w:tc>
          <w:tcPr>
            <w:tcW w:w="1247" w:type="dxa"/>
            <w:vAlign w:val="center"/>
          </w:tcPr>
          <w:p w14:paraId="2B86FA9B" w14:textId="12A844CD" w:rsidR="006B0B79" w:rsidRPr="001455DC" w:rsidRDefault="006B0B79" w:rsidP="006B0B79">
            <w:pPr>
              <w:pStyle w:val="a7"/>
              <w:jc w:val="right"/>
            </w:pPr>
            <w:r w:rsidRPr="001455DC">
              <w:t>(F.1)</w:t>
            </w:r>
          </w:p>
        </w:tc>
      </w:tr>
    </w:tbl>
    <w:p w14:paraId="0DA717D6" w14:textId="77777777" w:rsidR="006B0B79" w:rsidRPr="001455DC" w:rsidRDefault="006B0B79"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6B0B79" w:rsidRPr="001455DC" w14:paraId="119D8DDC" w14:textId="77777777" w:rsidTr="006B0B79">
        <w:trPr>
          <w:cantSplit/>
        </w:trPr>
        <w:tc>
          <w:tcPr>
            <w:tcW w:w="567" w:type="dxa"/>
          </w:tcPr>
          <w:p w14:paraId="5E4A3832" w14:textId="4DD06CBE" w:rsidR="006B0B79" w:rsidRPr="001455DC" w:rsidRDefault="006B0B79" w:rsidP="0000442A">
            <w:pPr>
              <w:pStyle w:val="Tablebody"/>
            </w:pPr>
            <w:r w:rsidRPr="001455DC">
              <w:rPr>
                <w:rStyle w:val="CCMCvariableitalic"/>
              </w:rPr>
              <w:t>F</w:t>
            </w:r>
            <w:r w:rsidRPr="001455DC">
              <w:rPr>
                <w:rStyle w:val="CCMCvariablesubscript"/>
              </w:rPr>
              <w:t>d</w:t>
            </w:r>
          </w:p>
        </w:tc>
        <w:tc>
          <w:tcPr>
            <w:tcW w:w="8845" w:type="dxa"/>
          </w:tcPr>
          <w:p w14:paraId="605AACA1" w14:textId="3036D2D5" w:rsidR="006B0B79" w:rsidRPr="001455DC" w:rsidRDefault="006B0B79" w:rsidP="00BB1209">
            <w:pPr>
              <w:pStyle w:val="Tablebody"/>
            </w:pPr>
            <w:r w:rsidRPr="001455DC">
              <w:rPr>
                <w:szCs w:val="22"/>
              </w:rPr>
              <w:t>is the design value of the actions;</w:t>
            </w:r>
          </w:p>
        </w:tc>
      </w:tr>
      <w:tr w:rsidR="006B0B79" w:rsidRPr="001455DC" w14:paraId="35888AE9" w14:textId="77777777" w:rsidTr="006B0B79">
        <w:trPr>
          <w:cantSplit/>
        </w:trPr>
        <w:tc>
          <w:tcPr>
            <w:tcW w:w="567" w:type="dxa"/>
          </w:tcPr>
          <w:p w14:paraId="6457DD94" w14:textId="4F9B0D35" w:rsidR="006B0B79" w:rsidRPr="001455DC" w:rsidRDefault="006B0B79" w:rsidP="0000442A">
            <w:pPr>
              <w:pStyle w:val="Tablebody"/>
            </w:pPr>
            <w:r w:rsidRPr="001455DC">
              <w:rPr>
                <w:rStyle w:val="CCMCvariableitalic"/>
              </w:rPr>
              <w:t>R</w:t>
            </w:r>
            <w:r w:rsidRPr="001455DC">
              <w:rPr>
                <w:rStyle w:val="CCMCvariablesubscript"/>
              </w:rPr>
              <w:t>d</w:t>
            </w:r>
          </w:p>
        </w:tc>
        <w:tc>
          <w:tcPr>
            <w:tcW w:w="8845" w:type="dxa"/>
          </w:tcPr>
          <w:p w14:paraId="19DC5A7F" w14:textId="64A2F5AD" w:rsidR="006B0B79" w:rsidRPr="001455DC" w:rsidRDefault="006B0B79" w:rsidP="0000442A">
            <w:pPr>
              <w:pStyle w:val="Tablebody"/>
            </w:pPr>
            <w:r w:rsidRPr="001455DC">
              <w:t>is the design value of the structural resistance.</w:t>
            </w:r>
          </w:p>
        </w:tc>
      </w:tr>
    </w:tbl>
    <w:p w14:paraId="64F1A338" w14:textId="46FC2AAA" w:rsidR="004E22C1" w:rsidRPr="001455DC" w:rsidRDefault="004E22C1" w:rsidP="00116AE2">
      <w:pPr>
        <w:pStyle w:val="a7"/>
        <w:keepNext/>
        <w:spacing w:before="120" w:after="0" w:line="240" w:lineRule="auto"/>
        <w:rPr>
          <w:szCs w:val="22"/>
        </w:rPr>
      </w:pPr>
      <w:r w:rsidRPr="001455DC">
        <w:t>(6)</w:t>
      </w:r>
      <w:r w:rsidRPr="001455DC">
        <w:tab/>
      </w:r>
      <w:r w:rsidRPr="001455DC">
        <w:rPr>
          <w:szCs w:val="22"/>
        </w:rPr>
        <w:t>The design value of the structural resistance may be determined by using one of the following safety formats, which are described in F.</w:t>
      </w:r>
      <w:r w:rsidR="00B603A5" w:rsidRPr="001455DC">
        <w:rPr>
          <w:szCs w:val="22"/>
        </w:rPr>
        <w:t xml:space="preserve">4 </w:t>
      </w:r>
      <w:r w:rsidRPr="001455DC">
        <w:rPr>
          <w:szCs w:val="22"/>
        </w:rPr>
        <w:t>and F.</w:t>
      </w:r>
      <w:r w:rsidR="00B603A5" w:rsidRPr="001455DC">
        <w:rPr>
          <w:szCs w:val="22"/>
        </w:rPr>
        <w:t>5</w:t>
      </w:r>
      <w:r w:rsidRPr="001455DC">
        <w:rPr>
          <w:szCs w:val="22"/>
        </w:rPr>
        <w:t>:</w:t>
      </w:r>
    </w:p>
    <w:p w14:paraId="250F7B41" w14:textId="52FDA2F0" w:rsidR="004E22C1" w:rsidRPr="001455DC" w:rsidRDefault="004E22C1" w:rsidP="000259B5">
      <w:pPr>
        <w:pStyle w:val="a0"/>
      </w:pPr>
      <w:r w:rsidRPr="001455DC">
        <w:t>Partial factor method (PFM) – F.</w:t>
      </w:r>
      <w:r w:rsidR="00B603A5" w:rsidRPr="001455DC">
        <w:t>4</w:t>
      </w:r>
      <w:r w:rsidRPr="001455DC">
        <w:t>;</w:t>
      </w:r>
    </w:p>
    <w:p w14:paraId="5DF83345" w14:textId="6760A03C" w:rsidR="004E22C1" w:rsidRPr="001455DC" w:rsidRDefault="004E22C1" w:rsidP="000259B5">
      <w:pPr>
        <w:pStyle w:val="a0"/>
      </w:pPr>
      <w:r w:rsidRPr="001455DC">
        <w:t>Global factor method (GFM) – F.</w:t>
      </w:r>
      <w:r w:rsidR="00B603A5" w:rsidRPr="001455DC">
        <w:t>5</w:t>
      </w:r>
      <w:r w:rsidRPr="001455DC">
        <w:t>;</w:t>
      </w:r>
    </w:p>
    <w:p w14:paraId="15D3C2EC" w14:textId="00F00FD8" w:rsidR="004E22C1" w:rsidRPr="001455DC" w:rsidRDefault="004E22C1" w:rsidP="00DD2588">
      <w:pPr>
        <w:pStyle w:val="a7"/>
        <w:spacing w:after="0" w:line="240" w:lineRule="auto"/>
        <w:rPr>
          <w:szCs w:val="22"/>
        </w:rPr>
      </w:pPr>
      <w:r w:rsidRPr="001455DC">
        <w:rPr>
          <w:szCs w:val="22"/>
        </w:rPr>
        <w:t>Alternatively, structural reliability analysis may be performed according to full probabilistic method (FPM) as described in F.</w:t>
      </w:r>
      <w:r w:rsidR="00522059" w:rsidRPr="001455DC">
        <w:rPr>
          <w:szCs w:val="22"/>
        </w:rPr>
        <w:t>6</w:t>
      </w:r>
      <w:r w:rsidRPr="001455DC">
        <w:rPr>
          <w:szCs w:val="22"/>
        </w:rPr>
        <w:t>.</w:t>
      </w:r>
    </w:p>
    <w:p w14:paraId="77E99DF0" w14:textId="18AC0D06" w:rsidR="004E22C1" w:rsidRPr="001455DC" w:rsidRDefault="004E22C1" w:rsidP="00082680">
      <w:pPr>
        <w:pStyle w:val="a2"/>
      </w:pPr>
      <w:bookmarkStart w:id="1520" w:name="_Toc52820168"/>
      <w:bookmarkStart w:id="1521" w:name="_Toc54337160"/>
      <w:bookmarkStart w:id="1522" w:name="_Toc54337585"/>
      <w:bookmarkStart w:id="1523" w:name="_Toc54338223"/>
      <w:bookmarkStart w:id="1524" w:name="_Toc67565555"/>
      <w:r w:rsidRPr="001455DC">
        <w:t>Partial factor method (PFM)</w:t>
      </w:r>
      <w:bookmarkEnd w:id="1520"/>
      <w:bookmarkEnd w:id="1521"/>
      <w:bookmarkEnd w:id="1522"/>
      <w:bookmarkEnd w:id="1523"/>
      <w:bookmarkEnd w:id="1524"/>
    </w:p>
    <w:p w14:paraId="3B446FF8" w14:textId="77777777" w:rsidR="006B0B79" w:rsidRPr="001455DC" w:rsidRDefault="004E22C1" w:rsidP="006B0B79">
      <w:pPr>
        <w:pStyle w:val="a7"/>
        <w:keepNext/>
      </w:pPr>
      <w:r w:rsidRPr="001455DC">
        <w:t>(1)</w:t>
      </w:r>
      <w:r w:rsidRPr="001455DC">
        <w:tab/>
        <w:t>The design value of the structural resistance is obtained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6B0B79" w:rsidRPr="001455DC" w14:paraId="41A6AB6B" w14:textId="77777777" w:rsidTr="006B0B79">
        <w:trPr>
          <w:cantSplit/>
        </w:trPr>
        <w:tc>
          <w:tcPr>
            <w:tcW w:w="8505" w:type="dxa"/>
            <w:vAlign w:val="center"/>
          </w:tcPr>
          <w:p w14:paraId="4B885702" w14:textId="271EA595" w:rsidR="006B0B79" w:rsidRPr="001455DC" w:rsidRDefault="00231E33" w:rsidP="006B0B79">
            <w:pPr>
              <w:pStyle w:val="Formula"/>
              <w:jc w:val="left"/>
            </w:pPr>
            <m:oMathPara>
              <m:oMathParaPr>
                <m:jc m:val="left"/>
              </m:oMathParaPr>
              <m:oMath>
                <m:sSub>
                  <m:sSubPr>
                    <m:ctrlPr>
                      <w:rPr>
                        <w:rFonts w:ascii="Cambria Math" w:hAnsi="Cambria Math"/>
                      </w:rPr>
                    </m:ctrlPr>
                  </m:sSubPr>
                  <m:e>
                    <m:r>
                      <w:rPr>
                        <w:rFonts w:ascii="Cambria Math" w:hAnsi="Cambria Math"/>
                      </w:rPr>
                      <m:t>R</m:t>
                    </m:r>
                  </m:e>
                  <m:sub>
                    <m:r>
                      <m:rPr>
                        <m:sty m:val="p"/>
                      </m:rPr>
                      <w:rPr>
                        <w:rFonts w:ascii="Cambria Math" w:hAnsi="Cambria Math"/>
                      </w:rPr>
                      <m:t>d</m:t>
                    </m:r>
                  </m:sub>
                </m:sSub>
                <m:r>
                  <w:rPr>
                    <w:rFonts w:ascii="Cambria Math" w:hAnsi="Cambria Math"/>
                  </w:rPr>
                  <m:t>=</m:t>
                </m:r>
                <m:f>
                  <m:fPr>
                    <m:ctrlPr>
                      <w:rPr>
                        <w:rFonts w:ascii="Cambria Math" w:hAnsi="Cambria Math"/>
                      </w:rPr>
                    </m:ctrlPr>
                  </m:fPr>
                  <m:num>
                    <m:r>
                      <w:rPr>
                        <w:rFonts w:ascii="Cambria Math" w:hAnsi="Cambria Math"/>
                      </w:rPr>
                      <m:t>R</m:t>
                    </m:r>
                    <m:d>
                      <m:dPr>
                        <m:begChr m:val="{"/>
                        <m:sepChr m:val=""/>
                        <m:endChr m:val="}"/>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d</m:t>
                            </m:r>
                          </m:sub>
                        </m:sSub>
                      </m:e>
                      <m:e>
                        <m:r>
                          <w:rPr>
                            <w:rFonts w:ascii="Cambria Math" w:hAnsi="Cambria Math"/>
                          </w:rPr>
                          <m:t>;</m:t>
                        </m:r>
                      </m:e>
                      <m:e>
                        <m:sSub>
                          <m:sSubPr>
                            <m:ctrlPr>
                              <w:rPr>
                                <w:rFonts w:ascii="Cambria Math" w:hAnsi="Cambria Math"/>
                              </w:rPr>
                            </m:ctrlPr>
                          </m:sSubPr>
                          <m:e>
                            <m:r>
                              <w:rPr>
                                <w:rFonts w:ascii="Cambria Math" w:hAnsi="Cambria Math"/>
                              </w:rPr>
                              <m:t>a</m:t>
                            </m:r>
                          </m:e>
                          <m:sub>
                            <m:r>
                              <m:rPr>
                                <m:sty m:val="p"/>
                              </m:rPr>
                              <w:rPr>
                                <w:rFonts w:ascii="Cambria Math" w:hAnsi="Cambria Math"/>
                              </w:rPr>
                              <m:t>d</m:t>
                            </m:r>
                          </m:sub>
                        </m:sSub>
                      </m:e>
                    </m:d>
                  </m:num>
                  <m:den>
                    <m:sSub>
                      <m:sSubPr>
                        <m:ctrlPr>
                          <w:rPr>
                            <w:rFonts w:ascii="Cambria Math" w:hAnsi="Cambria Math"/>
                          </w:rPr>
                        </m:ctrlPr>
                      </m:sSubPr>
                      <m:e>
                        <m:r>
                          <w:rPr>
                            <w:rFonts w:ascii="Cambria Math" w:hAnsi="Cambria Math"/>
                          </w:rPr>
                          <m:t>γ</m:t>
                        </m:r>
                      </m:e>
                      <m:sub>
                        <m:r>
                          <m:rPr>
                            <m:sty m:val="p"/>
                          </m:rPr>
                          <w:rPr>
                            <w:rFonts w:ascii="Cambria Math" w:hAnsi="Cambria Math"/>
                          </w:rPr>
                          <m:t>Rd</m:t>
                        </m:r>
                      </m:sub>
                    </m:sSub>
                  </m:den>
                </m:f>
              </m:oMath>
            </m:oMathPara>
          </w:p>
        </w:tc>
        <w:tc>
          <w:tcPr>
            <w:tcW w:w="1247" w:type="dxa"/>
            <w:vAlign w:val="center"/>
          </w:tcPr>
          <w:p w14:paraId="487EC05E" w14:textId="205150C9" w:rsidR="006B0B79" w:rsidRPr="001455DC" w:rsidRDefault="006B0B79" w:rsidP="006B0B79">
            <w:pPr>
              <w:pStyle w:val="a7"/>
              <w:jc w:val="right"/>
            </w:pPr>
            <w:r w:rsidRPr="001455DC">
              <w:t>(F.2)</w:t>
            </w:r>
          </w:p>
        </w:tc>
      </w:tr>
    </w:tbl>
    <w:p w14:paraId="4EB92B25" w14:textId="7C4B01C5" w:rsidR="006B0B79" w:rsidRPr="001455DC" w:rsidRDefault="006B0B79"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737"/>
        <w:gridCol w:w="8675"/>
      </w:tblGrid>
      <w:tr w:rsidR="006B0B79" w:rsidRPr="001455DC" w14:paraId="19DF5298" w14:textId="77777777" w:rsidTr="006B0B79">
        <w:trPr>
          <w:cantSplit/>
        </w:trPr>
        <w:tc>
          <w:tcPr>
            <w:tcW w:w="737" w:type="dxa"/>
          </w:tcPr>
          <w:p w14:paraId="30B8FDFD" w14:textId="53648851" w:rsidR="006B0B79" w:rsidRPr="001455DC" w:rsidRDefault="006B0B79" w:rsidP="006B0B79">
            <w:pPr>
              <w:pStyle w:val="Tablebody"/>
            </w:pPr>
            <w:r w:rsidRPr="001455DC">
              <w:rPr>
                <w:rStyle w:val="CCMCvariableitalic"/>
              </w:rPr>
              <w:t>R</w:t>
            </w:r>
            <w:r w:rsidRPr="001455DC">
              <w:rPr>
                <w:iCs/>
              </w:rPr>
              <w:t>{…}</w:t>
            </w:r>
          </w:p>
        </w:tc>
        <w:tc>
          <w:tcPr>
            <w:tcW w:w="8675" w:type="dxa"/>
          </w:tcPr>
          <w:p w14:paraId="43F49AB1" w14:textId="2C627403" w:rsidR="006B0B79" w:rsidRPr="001455DC" w:rsidRDefault="006B0B79" w:rsidP="006B0B79">
            <w:pPr>
              <w:pStyle w:val="Tablebody"/>
            </w:pPr>
            <w:r w:rsidRPr="001455DC">
              <w:t>is the structural resistance based on the numerical simulation;</w:t>
            </w:r>
          </w:p>
        </w:tc>
      </w:tr>
      <w:tr w:rsidR="006B0B79" w:rsidRPr="001455DC" w14:paraId="472BD785" w14:textId="77777777" w:rsidTr="006B0B79">
        <w:trPr>
          <w:cantSplit/>
        </w:trPr>
        <w:tc>
          <w:tcPr>
            <w:tcW w:w="737" w:type="dxa"/>
          </w:tcPr>
          <w:p w14:paraId="27703FFA" w14:textId="341B18C4" w:rsidR="006B0B79" w:rsidRPr="001455DC" w:rsidRDefault="006B0B79" w:rsidP="006B0B79">
            <w:pPr>
              <w:pStyle w:val="Tablebody"/>
            </w:pPr>
            <w:r w:rsidRPr="001455DC">
              <w:rPr>
                <w:rStyle w:val="CCMCvariableitalic"/>
              </w:rPr>
              <w:t>X</w:t>
            </w:r>
            <w:r w:rsidRPr="001455DC">
              <w:rPr>
                <w:rStyle w:val="CCMCvariablesubscript"/>
              </w:rPr>
              <w:t>d</w:t>
            </w:r>
          </w:p>
        </w:tc>
        <w:tc>
          <w:tcPr>
            <w:tcW w:w="8675" w:type="dxa"/>
          </w:tcPr>
          <w:p w14:paraId="18531A7C" w14:textId="5A4A14E7" w:rsidR="006B0B79" w:rsidRPr="001455DC" w:rsidRDefault="006B0B79" w:rsidP="006B0B79">
            <w:pPr>
              <w:pStyle w:val="Tablebody"/>
            </w:pPr>
            <w:r w:rsidRPr="001455DC">
              <w:t>is the design value of the material property calculated adopting partial safety factors according to Table A.1 line (e) accounting for materials and geometric uncertainties;</w:t>
            </w:r>
          </w:p>
        </w:tc>
      </w:tr>
      <w:tr w:rsidR="006B0B79" w:rsidRPr="001455DC" w14:paraId="5562CB74" w14:textId="77777777" w:rsidTr="006B0B79">
        <w:trPr>
          <w:cantSplit/>
        </w:trPr>
        <w:tc>
          <w:tcPr>
            <w:tcW w:w="737" w:type="dxa"/>
          </w:tcPr>
          <w:p w14:paraId="3656DF7E" w14:textId="3C94B4F4" w:rsidR="006B0B79" w:rsidRPr="001455DC" w:rsidRDefault="006B0B79" w:rsidP="006B0B79">
            <w:pPr>
              <w:pStyle w:val="Tablebody"/>
            </w:pPr>
            <w:r w:rsidRPr="001455DC">
              <w:rPr>
                <w:rStyle w:val="CCMCvariableitalic"/>
              </w:rPr>
              <w:t>a</w:t>
            </w:r>
            <w:r w:rsidRPr="001455DC">
              <w:rPr>
                <w:rStyle w:val="CCMCvariablesubscript"/>
              </w:rPr>
              <w:t>d</w:t>
            </w:r>
          </w:p>
        </w:tc>
        <w:tc>
          <w:tcPr>
            <w:tcW w:w="8675" w:type="dxa"/>
          </w:tcPr>
          <w:p w14:paraId="3DC8A4B0" w14:textId="4C62FEA4" w:rsidR="006B0B79" w:rsidRPr="001455DC" w:rsidRDefault="006B0B79" w:rsidP="006B0B79">
            <w:pPr>
              <w:pStyle w:val="Tablebody"/>
            </w:pPr>
            <w:r w:rsidRPr="001455DC">
              <w:t xml:space="preserve">is the design value of the geometric property according to Annex A or </w:t>
            </w:r>
            <w:r w:rsidR="00DF00C7">
              <w:t>pr</w:t>
            </w:r>
            <w:r w:rsidRPr="001455DC">
              <w:t xml:space="preserve">EN 1990, if not accounted for in </w:t>
            </w:r>
            <w:r w:rsidRPr="001455DC">
              <w:rPr>
                <w:rStyle w:val="CCMCvariableitalic"/>
              </w:rPr>
              <w:t>X</w:t>
            </w:r>
            <w:r w:rsidRPr="001455DC">
              <w:rPr>
                <w:rStyle w:val="CCMCvariablesubscript"/>
              </w:rPr>
              <w:t>d</w:t>
            </w:r>
            <w:r w:rsidRPr="001455DC">
              <w:t>;</w:t>
            </w:r>
          </w:p>
        </w:tc>
      </w:tr>
      <w:tr w:rsidR="006B0B79" w:rsidRPr="001455DC" w14:paraId="706A9FFA" w14:textId="77777777" w:rsidTr="006B0B79">
        <w:trPr>
          <w:cantSplit/>
        </w:trPr>
        <w:tc>
          <w:tcPr>
            <w:tcW w:w="737" w:type="dxa"/>
          </w:tcPr>
          <w:p w14:paraId="0E9F7348" w14:textId="5A88E64C" w:rsidR="006B0B79" w:rsidRPr="001455DC" w:rsidRDefault="006B0B79" w:rsidP="006B0B79">
            <w:pPr>
              <w:pStyle w:val="Tablebody"/>
            </w:pPr>
            <w:r w:rsidRPr="001455DC">
              <w:rPr>
                <w:rStyle w:val="CCMCvariableitalic"/>
              </w:rPr>
              <w:t>γ</w:t>
            </w:r>
            <w:r w:rsidRPr="001455DC">
              <w:rPr>
                <w:rStyle w:val="CCMCvariablesubscript"/>
              </w:rPr>
              <w:t>Rd</w:t>
            </w:r>
          </w:p>
        </w:tc>
        <w:tc>
          <w:tcPr>
            <w:tcW w:w="8675" w:type="dxa"/>
          </w:tcPr>
          <w:p w14:paraId="16164BE7" w14:textId="149C701E" w:rsidR="006B0B79" w:rsidRPr="001455DC" w:rsidRDefault="006B0B79">
            <w:pPr>
              <w:pStyle w:val="Tablebody"/>
            </w:pPr>
            <w:r w:rsidRPr="001455DC">
              <w:t>is the partial safety factor which accounts for model uncertainty according to F.</w:t>
            </w:r>
            <w:r w:rsidR="00522059" w:rsidRPr="001455DC">
              <w:t>7</w:t>
            </w:r>
            <w:r w:rsidRPr="001455DC">
              <w:t>.</w:t>
            </w:r>
          </w:p>
        </w:tc>
      </w:tr>
    </w:tbl>
    <w:p w14:paraId="1FE22AB7" w14:textId="77777777" w:rsidR="004E22C1" w:rsidRPr="001455DC" w:rsidRDefault="004E22C1" w:rsidP="000259B5">
      <w:pPr>
        <w:pStyle w:val="Note"/>
      </w:pPr>
      <w:r w:rsidRPr="001455DC">
        <w:rPr>
          <w:bCs/>
        </w:rPr>
        <w:t>NOTE</w:t>
      </w:r>
      <w:r w:rsidRPr="001455DC">
        <w:rPr>
          <w:bCs/>
        </w:rPr>
        <w:tab/>
      </w:r>
      <w:r w:rsidRPr="001455DC">
        <w:t xml:space="preserve">The structural resistance </w:t>
      </w:r>
      <w:r w:rsidRPr="001455DC">
        <w:rPr>
          <w:rStyle w:val="CCMCvariableitalic"/>
        </w:rPr>
        <w:t>R</w:t>
      </w:r>
      <w:r w:rsidRPr="001455DC">
        <w:t xml:space="preserve">{…} can be evaluated for different levels of appropriate actions which can be increased from their initial values by incremental steps, such that the design values of the actions in the considered combination are reached in the same step. The incremental process of the actions should be continued until structural failure is reached. The structural resistance </w:t>
      </w:r>
      <w:r w:rsidRPr="001455DC">
        <w:rPr>
          <w:rStyle w:val="CCMCvariableitalic"/>
        </w:rPr>
        <w:t>R</w:t>
      </w:r>
      <w:r w:rsidRPr="001455DC">
        <w:t>{…} corresponds to the values of the actions which lead to structural failure.</w:t>
      </w:r>
    </w:p>
    <w:p w14:paraId="428D76C9" w14:textId="3CF6A6C7" w:rsidR="004E22C1" w:rsidRPr="001455DC" w:rsidRDefault="004E22C1" w:rsidP="000259B5">
      <w:pPr>
        <w:pStyle w:val="a7"/>
      </w:pPr>
      <w:r w:rsidRPr="001455DC">
        <w:t>(2)</w:t>
      </w:r>
      <w:r w:rsidRPr="001455DC">
        <w:tab/>
        <w:t xml:space="preserve">In case the concrete tensile strength is neglected, the design value of the resistance may also be calculated on the basis of the design values </w:t>
      </w:r>
      <w:r w:rsidRPr="001455DC">
        <w:rPr>
          <w:rStyle w:val="CCMCvariableitalic"/>
        </w:rPr>
        <w:t>f</w:t>
      </w:r>
      <w:r w:rsidRPr="001455DC">
        <w:rPr>
          <w:rStyle w:val="CCMCvariablesubscript"/>
        </w:rPr>
        <w:t>cd</w:t>
      </w:r>
      <w:r w:rsidRPr="001455DC">
        <w:t xml:space="preserve"> and </w:t>
      </w:r>
      <w:r w:rsidRPr="001455DC">
        <w:rPr>
          <w:rStyle w:val="CCMCvariableitalic"/>
        </w:rPr>
        <w:t>f</w:t>
      </w:r>
      <w:r w:rsidRPr="001455DC">
        <w:rPr>
          <w:rStyle w:val="CCMCvariablesubscript"/>
        </w:rPr>
        <w:t>yd</w:t>
      </w:r>
      <w:r w:rsidRPr="001455DC">
        <w:t xml:space="preserve"> according to 5.1.6 and 5.2.4. If the statistic values of the model uncertainties according to F.</w:t>
      </w:r>
      <w:r w:rsidR="00522059" w:rsidRPr="001455DC">
        <w:t xml:space="preserve">7 </w:t>
      </w:r>
      <w:r w:rsidRPr="001455DC">
        <w:t xml:space="preserve">are more favourable </w:t>
      </w:r>
      <w:r w:rsidR="00792E53" w:rsidRPr="001455DC">
        <w:t xml:space="preserve">than </w:t>
      </w:r>
      <w:r w:rsidRPr="001455DC">
        <w:t xml:space="preserve">the values given in Table A.2, then the partial safety factors </w:t>
      </w:r>
      <w:r w:rsidRPr="001455DC">
        <w:rPr>
          <w:rStyle w:val="CCMCvariableitalic"/>
        </w:rPr>
        <w:t>γ</w:t>
      </w:r>
      <w:r w:rsidRPr="001455DC">
        <w:rPr>
          <w:rStyle w:val="CCMCvariablesubscript"/>
        </w:rPr>
        <w:t>C</w:t>
      </w:r>
      <w:r w:rsidRPr="001455DC">
        <w:t xml:space="preserve"> and </w:t>
      </w:r>
      <w:r w:rsidRPr="001455DC">
        <w:rPr>
          <w:rStyle w:val="CCMCvariableitalic"/>
        </w:rPr>
        <w:t>γ</w:t>
      </w:r>
      <w:r w:rsidRPr="001455DC">
        <w:rPr>
          <w:rStyle w:val="CCMCvariablesubscript"/>
        </w:rPr>
        <w:t>S</w:t>
      </w:r>
      <w:r w:rsidRPr="001455DC">
        <w:t xml:space="preserve"> defined in Table 4.3(NDP) may be used. Otherwise, they shall be adapted according to Annex A.</w:t>
      </w:r>
    </w:p>
    <w:p w14:paraId="4812E1B9" w14:textId="0EAC23FA" w:rsidR="004E22C1" w:rsidRPr="001455DC" w:rsidRDefault="004E22C1" w:rsidP="00082680">
      <w:pPr>
        <w:pStyle w:val="a2"/>
      </w:pPr>
      <w:bookmarkStart w:id="1525" w:name="_Toc52820169"/>
      <w:bookmarkStart w:id="1526" w:name="_Toc54337161"/>
      <w:bookmarkStart w:id="1527" w:name="_Toc54337586"/>
      <w:bookmarkStart w:id="1528" w:name="_Toc54338224"/>
      <w:bookmarkStart w:id="1529" w:name="_Toc67565556"/>
      <w:r w:rsidRPr="001455DC">
        <w:t>Global factor method (GFM)</w:t>
      </w:r>
      <w:bookmarkEnd w:id="1525"/>
      <w:bookmarkEnd w:id="1526"/>
      <w:bookmarkEnd w:id="1527"/>
      <w:bookmarkEnd w:id="1528"/>
      <w:bookmarkEnd w:id="1529"/>
    </w:p>
    <w:p w14:paraId="176A54D8" w14:textId="1B7C67F0" w:rsidR="004E22C1" w:rsidRPr="001455DC" w:rsidRDefault="004E22C1" w:rsidP="00243590">
      <w:pPr>
        <w:pStyle w:val="a3"/>
      </w:pPr>
      <w:bookmarkStart w:id="1530" w:name="_Toc52820170"/>
      <w:bookmarkStart w:id="1531" w:name="_Toc54337587"/>
      <w:bookmarkStart w:id="1532" w:name="_Toc54338225"/>
      <w:r w:rsidRPr="001455DC">
        <w:t>General</w:t>
      </w:r>
      <w:bookmarkEnd w:id="1530"/>
      <w:bookmarkEnd w:id="1531"/>
      <w:bookmarkEnd w:id="1532"/>
    </w:p>
    <w:p w14:paraId="4978F921" w14:textId="77777777" w:rsidR="006B0B79" w:rsidRPr="001455DC" w:rsidRDefault="004E22C1" w:rsidP="00116AE2">
      <w:pPr>
        <w:pStyle w:val="a7"/>
        <w:keepNext/>
      </w:pPr>
      <w:r w:rsidRPr="001455DC">
        <w:t>(1)</w:t>
      </w:r>
      <w:r w:rsidRPr="001455DC">
        <w:tab/>
        <w:t>The design value of structural resistance is obtained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6B0B79" w:rsidRPr="001455DC" w14:paraId="4D74B624" w14:textId="77777777" w:rsidTr="006B0B79">
        <w:trPr>
          <w:cantSplit/>
        </w:trPr>
        <w:tc>
          <w:tcPr>
            <w:tcW w:w="8505" w:type="dxa"/>
            <w:vAlign w:val="center"/>
          </w:tcPr>
          <w:p w14:paraId="40FA471F" w14:textId="073D9843" w:rsidR="006B0B79" w:rsidRPr="001455DC" w:rsidRDefault="00231E33" w:rsidP="006B0B79">
            <w:pPr>
              <w:pStyle w:val="Formula"/>
              <w:jc w:val="left"/>
            </w:pPr>
            <m:oMathPara>
              <m:oMathParaPr>
                <m:jc m:val="left"/>
              </m:oMathParaPr>
              <m:oMath>
                <m:sSub>
                  <m:sSubPr>
                    <m:ctrlPr>
                      <w:rPr>
                        <w:rFonts w:ascii="Cambria Math" w:hAnsi="Cambria Math"/>
                      </w:rPr>
                    </m:ctrlPr>
                  </m:sSubPr>
                  <m:e>
                    <m:r>
                      <w:rPr>
                        <w:rFonts w:ascii="Cambria Math" w:hAnsi="Cambria Math"/>
                      </w:rPr>
                      <m:t>R</m:t>
                    </m:r>
                  </m:e>
                  <m:sub>
                    <m:r>
                      <m:rPr>
                        <m:sty m:val="p"/>
                      </m:rPr>
                      <w:rPr>
                        <w:rFonts w:ascii="Cambria Math" w:hAnsi="Cambria Math"/>
                      </w:rPr>
                      <m:t>d</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m:t>
                        </m:r>
                      </m:e>
                      <m:sub>
                        <m:r>
                          <m:rPr>
                            <m:sty m:val="p"/>
                          </m:rPr>
                          <w:rPr>
                            <w:rFonts w:ascii="Cambria Math" w:hAnsi="Cambria Math"/>
                          </w:rPr>
                          <m:t>m</m:t>
                        </m:r>
                      </m:sub>
                    </m:sSub>
                    <m:d>
                      <m:dPr>
                        <m:begChr m:val="{"/>
                        <m:sepChr m:val=""/>
                        <m:endChr m:val="}"/>
                        <m:ctrlPr>
                          <w:rPr>
                            <w:rFonts w:ascii="Cambria Math" w:hAnsi="Cambria Math"/>
                          </w:rPr>
                        </m:ctrlPr>
                      </m:dPr>
                      <m:e>
                        <m:r>
                          <w:rPr>
                            <w:rFonts w:ascii="Cambria Math" w:hAnsi="Cambria Math"/>
                          </w:rPr>
                          <m:t>X</m:t>
                        </m:r>
                      </m:e>
                      <m:e>
                        <m:r>
                          <w:rPr>
                            <w:rFonts w:ascii="Cambria Math" w:hAnsi="Cambria Math"/>
                          </w:rPr>
                          <m:t>;</m:t>
                        </m:r>
                      </m:e>
                      <m:e>
                        <m:r>
                          <w:rPr>
                            <w:rFonts w:ascii="Cambria Math" w:hAnsi="Cambria Math"/>
                          </w:rPr>
                          <m:t>a</m:t>
                        </m:r>
                      </m:e>
                    </m:d>
                  </m:num>
                  <m:den>
                    <m:sSubSup>
                      <m:sSubSupPr>
                        <m:ctrlPr>
                          <w:rPr>
                            <w:rFonts w:ascii="Cambria Math" w:hAnsi="Cambria Math"/>
                          </w:rPr>
                        </m:ctrlPr>
                      </m:sSubSupPr>
                      <m:e>
                        <m:r>
                          <w:rPr>
                            <w:rFonts w:ascii="Cambria Math" w:hAnsi="Cambria Math"/>
                          </w:rPr>
                          <m:t>γ</m:t>
                        </m:r>
                      </m:e>
                      <m:sub>
                        <m:r>
                          <m:rPr>
                            <m:sty m:val="p"/>
                          </m:rPr>
                          <w:rPr>
                            <w:rFonts w:ascii="Cambria Math" w:hAnsi="Cambria Math"/>
                          </w:rPr>
                          <m:t>R</m:t>
                        </m:r>
                      </m:sub>
                      <m:sup>
                        <m:r>
                          <w:rPr>
                            <w:rFonts w:ascii="Cambria Math" w:hAnsi="Cambria Math"/>
                          </w:rPr>
                          <m:t>*</m:t>
                        </m:r>
                      </m:sup>
                    </m:sSubSup>
                    <m:r>
                      <w:rPr>
                        <w:rFonts w:ascii="Cambria Math" w:hAnsi="Cambria Math"/>
                      </w:rPr>
                      <m:t>⋅</m:t>
                    </m:r>
                    <m:sSub>
                      <m:sSubPr>
                        <m:ctrlPr>
                          <w:rPr>
                            <w:rFonts w:ascii="Cambria Math" w:hAnsi="Cambria Math"/>
                          </w:rPr>
                        </m:ctrlPr>
                      </m:sSubPr>
                      <m:e>
                        <m:r>
                          <w:rPr>
                            <w:rFonts w:ascii="Cambria Math" w:hAnsi="Cambria Math"/>
                          </w:rPr>
                          <m:t>γ</m:t>
                        </m:r>
                      </m:e>
                      <m:sub>
                        <m:r>
                          <m:rPr>
                            <m:sty m:val="p"/>
                          </m:rPr>
                          <w:rPr>
                            <w:rFonts w:ascii="Cambria Math" w:hAnsi="Cambria Math"/>
                          </w:rPr>
                          <m:t>Rd</m:t>
                        </m:r>
                      </m:sub>
                    </m:sSub>
                  </m:den>
                </m:f>
              </m:oMath>
            </m:oMathPara>
          </w:p>
        </w:tc>
        <w:tc>
          <w:tcPr>
            <w:tcW w:w="1247" w:type="dxa"/>
            <w:vAlign w:val="center"/>
          </w:tcPr>
          <w:p w14:paraId="5C874BD3" w14:textId="328B9E75" w:rsidR="006B0B79" w:rsidRPr="001455DC" w:rsidRDefault="006B0B79" w:rsidP="006B0B79">
            <w:pPr>
              <w:pStyle w:val="a7"/>
              <w:jc w:val="right"/>
            </w:pPr>
            <w:r w:rsidRPr="001455DC">
              <w:t>(F.3)</w:t>
            </w:r>
          </w:p>
        </w:tc>
      </w:tr>
    </w:tbl>
    <w:p w14:paraId="1B8F53AC" w14:textId="4AD7485B" w:rsidR="006B0B79" w:rsidRPr="001455DC" w:rsidRDefault="004E22C1"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737"/>
        <w:gridCol w:w="7428"/>
        <w:gridCol w:w="1247"/>
      </w:tblGrid>
      <w:tr w:rsidR="006B0B79" w:rsidRPr="001455DC" w14:paraId="5C2F58B9" w14:textId="77777777" w:rsidTr="006B0B79">
        <w:trPr>
          <w:cantSplit/>
        </w:trPr>
        <w:tc>
          <w:tcPr>
            <w:tcW w:w="737" w:type="dxa"/>
          </w:tcPr>
          <w:p w14:paraId="6489BEA1" w14:textId="62059332" w:rsidR="006B0B79" w:rsidRPr="001455DC" w:rsidRDefault="006B0B79" w:rsidP="006B0B79">
            <w:pPr>
              <w:pStyle w:val="Tablebody"/>
            </w:pPr>
            <w:r w:rsidRPr="001455DC">
              <w:rPr>
                <w:rStyle w:val="CCMCvariableitalic"/>
              </w:rPr>
              <w:t>R</w:t>
            </w:r>
            <w:r w:rsidRPr="001455DC">
              <w:rPr>
                <w:rStyle w:val="CCMCvariablesubscript"/>
              </w:rPr>
              <w:t>m</w:t>
            </w:r>
            <w:r w:rsidRPr="001455DC">
              <w:rPr>
                <w:iCs/>
              </w:rPr>
              <w:t>{...}</w:t>
            </w:r>
          </w:p>
        </w:tc>
        <w:tc>
          <w:tcPr>
            <w:tcW w:w="8675" w:type="dxa"/>
            <w:gridSpan w:val="2"/>
          </w:tcPr>
          <w:p w14:paraId="13631BD4" w14:textId="191D0918" w:rsidR="006B0B79" w:rsidRPr="001455DC" w:rsidRDefault="006B0B79" w:rsidP="006B0B79">
            <w:pPr>
              <w:pStyle w:val="Tablebody"/>
            </w:pPr>
            <w:r w:rsidRPr="001455DC">
              <w:t xml:space="preserve">is the mean value of structural resistance based on the numerical simulation and shall be estimated by means of a probabilistic analysis including uncertainties related to material </w:t>
            </w:r>
            <w:r w:rsidRPr="001455DC">
              <w:rPr>
                <w:rStyle w:val="CCMCvariableitalic"/>
              </w:rPr>
              <w:t>X</w:t>
            </w:r>
            <w:r w:rsidRPr="001455DC">
              <w:t xml:space="preserve"> and geometric </w:t>
            </w:r>
            <w:r w:rsidRPr="001455DC">
              <w:rPr>
                <w:rStyle w:val="CCMCvariableitalic"/>
              </w:rPr>
              <w:t>a</w:t>
            </w:r>
            <w:r w:rsidRPr="001455DC">
              <w:rPr>
                <w:iCs/>
              </w:rPr>
              <w:t xml:space="preserve"> </w:t>
            </w:r>
            <w:r w:rsidRPr="001455DC">
              <w:t>properties.</w:t>
            </w:r>
          </w:p>
        </w:tc>
      </w:tr>
      <w:tr w:rsidR="006B0B79" w:rsidRPr="001455DC" w14:paraId="6F363BC1" w14:textId="77777777" w:rsidTr="006B0B79">
        <w:trPr>
          <w:cantSplit/>
        </w:trPr>
        <w:tc>
          <w:tcPr>
            <w:tcW w:w="737" w:type="dxa"/>
          </w:tcPr>
          <w:p w14:paraId="2810DF0E" w14:textId="2D4AE8CD" w:rsidR="006B0B79" w:rsidRPr="001455DC" w:rsidRDefault="006B0B79" w:rsidP="00EC27D2">
            <w:pPr>
              <w:pStyle w:val="Tablebody"/>
            </w:pPr>
            <w:r w:rsidRPr="001455DC">
              <w:t> </w:t>
            </w:r>
          </w:p>
        </w:tc>
        <w:tc>
          <w:tcPr>
            <w:tcW w:w="8675" w:type="dxa"/>
            <w:gridSpan w:val="2"/>
          </w:tcPr>
          <w:p w14:paraId="2A49E07F" w14:textId="6F5865EB" w:rsidR="006B0B79" w:rsidRPr="001455DC" w:rsidRDefault="006B0B79" w:rsidP="006B0B79">
            <w:pPr>
              <w:pStyle w:val="Tablebody"/>
            </w:pPr>
            <w:r w:rsidRPr="001455DC">
              <w:t>Alternatively, the approximated value derived by formula (F.4) can be adopted:</w:t>
            </w:r>
          </w:p>
        </w:tc>
      </w:tr>
      <w:tr w:rsidR="006B0B79" w:rsidRPr="001455DC" w14:paraId="1BDFB08E" w14:textId="77777777" w:rsidTr="006B0B79">
        <w:trPr>
          <w:cantSplit/>
        </w:trPr>
        <w:tc>
          <w:tcPr>
            <w:tcW w:w="737" w:type="dxa"/>
          </w:tcPr>
          <w:p w14:paraId="39F162DD" w14:textId="222524CD" w:rsidR="006B0B79" w:rsidRPr="001455DC" w:rsidRDefault="006B0B79" w:rsidP="00EC27D2">
            <w:pPr>
              <w:pStyle w:val="Tablebody"/>
            </w:pPr>
            <w:r w:rsidRPr="001455DC">
              <w:t> </w:t>
            </w:r>
          </w:p>
        </w:tc>
        <w:tc>
          <w:tcPr>
            <w:tcW w:w="7428" w:type="dxa"/>
            <w:vAlign w:val="center"/>
          </w:tcPr>
          <w:p w14:paraId="176CAC26" w14:textId="689E7616" w:rsidR="006B0B79" w:rsidRPr="001455DC" w:rsidRDefault="00231E33" w:rsidP="006B0B79">
            <w:pPr>
              <w:pStyle w:val="Tablebody"/>
              <w:jc w:val="left"/>
            </w:pPr>
            <m:oMathPara>
              <m:oMathParaPr>
                <m:jc m:val="left"/>
              </m:oMathParaPr>
              <m:oMath>
                <m:sSub>
                  <m:sSubPr>
                    <m:ctrlPr>
                      <w:rPr>
                        <w:rFonts w:ascii="Cambria Math" w:hAnsi="Cambria Math"/>
                      </w:rPr>
                    </m:ctrlPr>
                  </m:sSubPr>
                  <m:e>
                    <m:r>
                      <w:rPr>
                        <w:rFonts w:ascii="Cambria Math" w:hAnsi="Cambria Math"/>
                      </w:rPr>
                      <m:t>R</m:t>
                    </m:r>
                  </m:e>
                  <m:sub>
                    <m:r>
                      <m:rPr>
                        <m:sty m:val="p"/>
                      </m:rPr>
                      <w:rPr>
                        <w:rFonts w:ascii="Cambria Math" w:hAnsi="Cambria Math"/>
                      </w:rPr>
                      <m:t>m</m:t>
                    </m:r>
                  </m:sub>
                </m:sSub>
                <m:d>
                  <m:dPr>
                    <m:begChr m:val="{"/>
                    <m:sepChr m:val=""/>
                    <m:endChr m:val="}"/>
                    <m:ctrlPr>
                      <w:rPr>
                        <w:rFonts w:ascii="Cambria Math" w:hAnsi="Cambria Math"/>
                      </w:rPr>
                    </m:ctrlPr>
                  </m:dPr>
                  <m:e>
                    <m:r>
                      <w:rPr>
                        <w:rFonts w:ascii="Cambria Math" w:hAnsi="Cambria Math"/>
                      </w:rPr>
                      <m:t>X</m:t>
                    </m:r>
                  </m:e>
                  <m:e>
                    <m:r>
                      <w:rPr>
                        <w:rFonts w:ascii="Cambria Math" w:hAnsi="Cambria Math"/>
                      </w:rPr>
                      <m:t>;</m:t>
                    </m:r>
                  </m:e>
                  <m:e>
                    <m:r>
                      <w:rPr>
                        <w:rFonts w:ascii="Cambria Math" w:hAnsi="Cambria Math"/>
                      </w:rPr>
                      <m:t>a</m:t>
                    </m:r>
                  </m:e>
                </m:d>
                <m:r>
                  <w:rPr>
                    <w:rFonts w:ascii="Cambria Math" w:hAnsi="Cambria Math"/>
                  </w:rPr>
                  <m:t>≅R</m:t>
                </m:r>
                <m:d>
                  <m:dPr>
                    <m:begChr m:val="{"/>
                    <m:endChr m:val="}"/>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m</m:t>
                        </m:r>
                      </m:sub>
                    </m:sSub>
                    <m:r>
                      <w:rPr>
                        <w:rFonts w:ascii="Cambria Math" w:hAnsi="Cambria Math"/>
                      </w:rPr>
                      <m:t xml:space="preserve">; </m:t>
                    </m:r>
                    <m:sSub>
                      <m:sSubPr>
                        <m:ctrlPr>
                          <w:rPr>
                            <w:rFonts w:ascii="Cambria Math" w:hAnsi="Cambria Math"/>
                          </w:rPr>
                        </m:ctrlPr>
                      </m:sSubPr>
                      <m:e>
                        <m:r>
                          <w:rPr>
                            <w:rFonts w:ascii="Cambria Math" w:hAnsi="Cambria Math"/>
                          </w:rPr>
                          <m:t>a</m:t>
                        </m:r>
                      </m:e>
                      <m:sub>
                        <m:r>
                          <m:rPr>
                            <m:sty m:val="p"/>
                          </m:rPr>
                          <w:rPr>
                            <w:rFonts w:ascii="Cambria Math" w:hAnsi="Cambria Math"/>
                          </w:rPr>
                          <m:t>nom</m:t>
                        </m:r>
                      </m:sub>
                    </m:sSub>
                  </m:e>
                </m:d>
              </m:oMath>
            </m:oMathPara>
          </w:p>
        </w:tc>
        <w:tc>
          <w:tcPr>
            <w:tcW w:w="1247" w:type="dxa"/>
            <w:vAlign w:val="center"/>
          </w:tcPr>
          <w:p w14:paraId="7C6A7A38" w14:textId="4E2085FB" w:rsidR="006B0B79" w:rsidRPr="001455DC" w:rsidRDefault="006B0B79" w:rsidP="006B0B79">
            <w:pPr>
              <w:pStyle w:val="Tablebody"/>
              <w:jc w:val="right"/>
            </w:pPr>
            <w:r w:rsidRPr="001455DC">
              <w:t>(F.4)</w:t>
            </w:r>
          </w:p>
        </w:tc>
      </w:tr>
      <w:tr w:rsidR="006B0B79" w:rsidRPr="001455DC" w14:paraId="1D996F0C" w14:textId="77777777" w:rsidTr="006B0B79">
        <w:trPr>
          <w:cantSplit/>
        </w:trPr>
        <w:tc>
          <w:tcPr>
            <w:tcW w:w="737" w:type="dxa"/>
          </w:tcPr>
          <w:p w14:paraId="26A94CF4" w14:textId="6BEA25B3" w:rsidR="006B0B79" w:rsidRPr="001455DC" w:rsidRDefault="006B0B79" w:rsidP="00EC27D2">
            <w:pPr>
              <w:pStyle w:val="Tablebody"/>
            </w:pPr>
            <w:r w:rsidRPr="001455DC">
              <w:t> </w:t>
            </w:r>
          </w:p>
        </w:tc>
        <w:tc>
          <w:tcPr>
            <w:tcW w:w="8675" w:type="dxa"/>
            <w:gridSpan w:val="2"/>
            <w:vAlign w:val="center"/>
          </w:tcPr>
          <w:p w14:paraId="59E0BC02" w14:textId="7EE72243" w:rsidR="006B0B79" w:rsidRPr="001455DC" w:rsidRDefault="006B0B79" w:rsidP="006B0B79">
            <w:pPr>
              <w:pStyle w:val="Tablebody"/>
            </w:pPr>
            <w:r w:rsidRPr="001455DC">
              <w:t>where</w:t>
            </w:r>
          </w:p>
        </w:tc>
      </w:tr>
      <w:tr w:rsidR="006B0B79" w:rsidRPr="001455DC" w14:paraId="52A80542" w14:textId="77777777" w:rsidTr="006B0B79">
        <w:trPr>
          <w:cantSplit/>
        </w:trPr>
        <w:tc>
          <w:tcPr>
            <w:tcW w:w="737" w:type="dxa"/>
          </w:tcPr>
          <w:p w14:paraId="5DB68434" w14:textId="43A64089" w:rsidR="006B0B79" w:rsidRPr="001455DC" w:rsidRDefault="006B0B79" w:rsidP="00EC27D2">
            <w:pPr>
              <w:pStyle w:val="Tablebody"/>
            </w:pPr>
            <w:r w:rsidRPr="001455DC">
              <w:t> </w:t>
            </w:r>
          </w:p>
        </w:tc>
        <w:tc>
          <w:tcPr>
            <w:tcW w:w="8675" w:type="dxa"/>
            <w:gridSpan w:val="2"/>
            <w:vAlign w:val="center"/>
          </w:tcPr>
          <w:p w14:paraId="3DFA9EB9" w14:textId="2941A32D" w:rsidR="006B0B79" w:rsidRPr="001455DC" w:rsidRDefault="006B0B79" w:rsidP="006B0B79">
            <w:pPr>
              <w:pStyle w:val="Tablebody"/>
              <w:ind w:left="357" w:hanging="357"/>
            </w:pPr>
            <w:r w:rsidRPr="001455DC">
              <w:t>—</w:t>
            </w:r>
            <w:r w:rsidRPr="001455DC">
              <w:tab/>
            </w:r>
            <w:r w:rsidRPr="001455DC">
              <w:rPr>
                <w:rStyle w:val="CCMCvariableitalic"/>
              </w:rPr>
              <w:t>R</w:t>
            </w:r>
            <w:r w:rsidRPr="001455DC">
              <w:t xml:space="preserve">{∙} </w:t>
            </w:r>
            <w:r w:rsidRPr="001455DC">
              <w:rPr>
                <w:szCs w:val="22"/>
              </w:rPr>
              <w:t>is the structural resistance based on the numerical simulation;</w:t>
            </w:r>
          </w:p>
        </w:tc>
      </w:tr>
      <w:tr w:rsidR="006B0B79" w:rsidRPr="001455DC" w14:paraId="768497A3" w14:textId="77777777" w:rsidTr="006B0B79">
        <w:trPr>
          <w:cantSplit/>
        </w:trPr>
        <w:tc>
          <w:tcPr>
            <w:tcW w:w="737" w:type="dxa"/>
          </w:tcPr>
          <w:p w14:paraId="4234DC85" w14:textId="136BB105" w:rsidR="006B0B79" w:rsidRPr="001455DC" w:rsidRDefault="006B0B79" w:rsidP="00EC27D2">
            <w:pPr>
              <w:pStyle w:val="Tablebody"/>
            </w:pPr>
            <w:r w:rsidRPr="001455DC">
              <w:t> </w:t>
            </w:r>
          </w:p>
        </w:tc>
        <w:tc>
          <w:tcPr>
            <w:tcW w:w="8675" w:type="dxa"/>
            <w:gridSpan w:val="2"/>
            <w:vAlign w:val="center"/>
          </w:tcPr>
          <w:p w14:paraId="00FC9FA1" w14:textId="309429DD" w:rsidR="006B0B79" w:rsidRPr="001455DC" w:rsidRDefault="006B0B79" w:rsidP="006B0B79">
            <w:pPr>
              <w:pStyle w:val="Tablebody"/>
              <w:ind w:left="357" w:hanging="357"/>
            </w:pPr>
            <w:r w:rsidRPr="001455DC">
              <w:t>—</w:t>
            </w:r>
            <w:r w:rsidRPr="001455DC">
              <w:tab/>
            </w:r>
            <w:r w:rsidRPr="001455DC">
              <w:rPr>
                <w:rStyle w:val="CCMCvariableitalic"/>
              </w:rPr>
              <w:t>X</w:t>
            </w:r>
            <w:r w:rsidRPr="001455DC">
              <w:rPr>
                <w:rStyle w:val="CCMCvariablesubscript"/>
              </w:rPr>
              <w:t>m</w:t>
            </w:r>
            <w:r w:rsidRPr="001455DC">
              <w:t xml:space="preserve"> </w:t>
            </w:r>
            <w:r w:rsidRPr="001455DC">
              <w:rPr>
                <w:szCs w:val="22"/>
              </w:rPr>
              <w:t>is the mean value of the material property;</w:t>
            </w:r>
          </w:p>
        </w:tc>
      </w:tr>
      <w:tr w:rsidR="006B0B79" w:rsidRPr="001455DC" w14:paraId="5AFBBC20" w14:textId="77777777" w:rsidTr="006B0B79">
        <w:trPr>
          <w:cantSplit/>
        </w:trPr>
        <w:tc>
          <w:tcPr>
            <w:tcW w:w="737" w:type="dxa"/>
          </w:tcPr>
          <w:p w14:paraId="72F211D8" w14:textId="3C165C81" w:rsidR="006B0B79" w:rsidRPr="001455DC" w:rsidRDefault="006B0B79" w:rsidP="00EC27D2">
            <w:pPr>
              <w:pStyle w:val="Tablebody"/>
            </w:pPr>
            <w:r w:rsidRPr="001455DC">
              <w:t> </w:t>
            </w:r>
          </w:p>
        </w:tc>
        <w:tc>
          <w:tcPr>
            <w:tcW w:w="8675" w:type="dxa"/>
            <w:gridSpan w:val="2"/>
            <w:vAlign w:val="center"/>
          </w:tcPr>
          <w:p w14:paraId="4BA38395" w14:textId="15BB91B6" w:rsidR="006B0B79" w:rsidRPr="001455DC" w:rsidRDefault="006B0B79" w:rsidP="006B0B79">
            <w:pPr>
              <w:pStyle w:val="Tablebody"/>
              <w:ind w:left="357" w:hanging="357"/>
            </w:pPr>
            <w:r w:rsidRPr="001455DC">
              <w:t>—</w:t>
            </w:r>
            <w:r w:rsidRPr="001455DC">
              <w:tab/>
            </w:r>
            <w:r w:rsidRPr="001455DC">
              <w:rPr>
                <w:rStyle w:val="CCMCvariableitalic"/>
              </w:rPr>
              <w:t>a</w:t>
            </w:r>
            <w:r w:rsidRPr="001455DC">
              <w:rPr>
                <w:rStyle w:val="CCMCvariablesubscript"/>
              </w:rPr>
              <w:t>nom</w:t>
            </w:r>
            <w:r w:rsidRPr="001455DC">
              <w:t xml:space="preserve"> </w:t>
            </w:r>
            <w:r w:rsidRPr="001455DC">
              <w:rPr>
                <w:szCs w:val="22"/>
              </w:rPr>
              <w:t xml:space="preserve">is the nominal value of the geometric property according to </w:t>
            </w:r>
            <w:r w:rsidR="00DF00C7">
              <w:rPr>
                <w:szCs w:val="22"/>
              </w:rPr>
              <w:t>pr</w:t>
            </w:r>
            <w:r w:rsidRPr="001455DC">
              <w:rPr>
                <w:szCs w:val="22"/>
              </w:rPr>
              <w:t>EN 1990;</w:t>
            </w:r>
          </w:p>
        </w:tc>
      </w:tr>
      <w:tr w:rsidR="006B0B79" w:rsidRPr="001455DC" w14:paraId="6A911F9B" w14:textId="77777777" w:rsidTr="006B0B79">
        <w:trPr>
          <w:cantSplit/>
        </w:trPr>
        <w:tc>
          <w:tcPr>
            <w:tcW w:w="737" w:type="dxa"/>
          </w:tcPr>
          <w:p w14:paraId="662967C6" w14:textId="012327F7" w:rsidR="006B0B79" w:rsidRPr="001455DC" w:rsidRDefault="006B0B79" w:rsidP="006B0B79">
            <w:pPr>
              <w:pStyle w:val="Tablebody"/>
            </w:pPr>
            <w:r w:rsidRPr="001455DC">
              <w:rPr>
                <w:rStyle w:val="CCMCvariableitalic"/>
              </w:rPr>
              <w:t>f</w:t>
            </w:r>
            <w:r w:rsidRPr="001455DC">
              <w:rPr>
                <w:rStyle w:val="CCMCvariablesubscript"/>
              </w:rPr>
              <w:t>m</w:t>
            </w:r>
          </w:p>
        </w:tc>
        <w:tc>
          <w:tcPr>
            <w:tcW w:w="8675" w:type="dxa"/>
            <w:gridSpan w:val="2"/>
          </w:tcPr>
          <w:p w14:paraId="5D7EF530" w14:textId="1BD0395F" w:rsidR="006B0B79" w:rsidRPr="001455DC" w:rsidRDefault="006B0B79" w:rsidP="006B0B79">
            <w:pPr>
              <w:pStyle w:val="Tablebody"/>
            </w:pPr>
            <w:r w:rsidRPr="001455DC">
              <w:t>is the mean value of the material property;</w:t>
            </w:r>
          </w:p>
        </w:tc>
      </w:tr>
      <w:tr w:rsidR="006B0B79" w:rsidRPr="001455DC" w14:paraId="66AEC9AC" w14:textId="77777777" w:rsidTr="006B0B79">
        <w:trPr>
          <w:cantSplit/>
        </w:trPr>
        <w:tc>
          <w:tcPr>
            <w:tcW w:w="737" w:type="dxa"/>
          </w:tcPr>
          <w:p w14:paraId="044CDAAA" w14:textId="6661B6FE" w:rsidR="006B0B79" w:rsidRPr="001455DC" w:rsidRDefault="006B0B79" w:rsidP="006B0B79">
            <w:pPr>
              <w:pStyle w:val="Tablebody"/>
            </w:pPr>
            <w:r w:rsidRPr="001455DC">
              <w:rPr>
                <w:rStyle w:val="CCMCvariableitalic"/>
              </w:rPr>
              <w:t>γ</w:t>
            </w:r>
            <w:r w:rsidRPr="001455DC">
              <w:rPr>
                <w:rStyle w:val="CCMCvariablesubscript"/>
              </w:rPr>
              <w:t>R</w:t>
            </w:r>
            <w:r w:rsidRPr="001455DC">
              <w:rPr>
                <w:rStyle w:val="CCMCvariablesuperscript"/>
              </w:rPr>
              <w:t>*</w:t>
            </w:r>
          </w:p>
        </w:tc>
        <w:tc>
          <w:tcPr>
            <w:tcW w:w="8675" w:type="dxa"/>
            <w:gridSpan w:val="2"/>
          </w:tcPr>
          <w:p w14:paraId="136D6455" w14:textId="5D690824" w:rsidR="006B0B79" w:rsidRPr="001455DC" w:rsidRDefault="006B0B79">
            <w:pPr>
              <w:pStyle w:val="Tablebody"/>
            </w:pPr>
            <w:r w:rsidRPr="001455DC">
              <w:t>is the global resistance factor for the uncertainties of materials properties and geometry according to F.</w:t>
            </w:r>
            <w:r w:rsidR="00B603A5" w:rsidRPr="001455DC">
              <w:t>5</w:t>
            </w:r>
            <w:r w:rsidRPr="001455DC">
              <w:t>.2;</w:t>
            </w:r>
          </w:p>
        </w:tc>
      </w:tr>
      <w:tr w:rsidR="006B0B79" w:rsidRPr="001455DC" w14:paraId="5A09BD69" w14:textId="77777777" w:rsidTr="006B0B79">
        <w:trPr>
          <w:cantSplit/>
        </w:trPr>
        <w:tc>
          <w:tcPr>
            <w:tcW w:w="737" w:type="dxa"/>
          </w:tcPr>
          <w:p w14:paraId="71E93C5E" w14:textId="3EA21AC7" w:rsidR="006B0B79" w:rsidRPr="001455DC" w:rsidRDefault="006B0B79" w:rsidP="006B0B79">
            <w:pPr>
              <w:pStyle w:val="Tablebody"/>
            </w:pPr>
            <w:r w:rsidRPr="001455DC">
              <w:rPr>
                <w:rStyle w:val="CCMCvariableitalic"/>
              </w:rPr>
              <w:t>γ</w:t>
            </w:r>
            <w:r w:rsidRPr="001455DC">
              <w:rPr>
                <w:rStyle w:val="CCMCvariablesubscript"/>
              </w:rPr>
              <w:t>Rd</w:t>
            </w:r>
          </w:p>
        </w:tc>
        <w:tc>
          <w:tcPr>
            <w:tcW w:w="8675" w:type="dxa"/>
            <w:gridSpan w:val="2"/>
          </w:tcPr>
          <w:p w14:paraId="1BBDC3B5" w14:textId="216A43D7" w:rsidR="006B0B79" w:rsidRPr="001455DC" w:rsidRDefault="006B0B79">
            <w:pPr>
              <w:pStyle w:val="Tablebody"/>
            </w:pPr>
            <w:r w:rsidRPr="001455DC">
              <w:t>is the partial safety factor accounting for the model uncertainty according to F.</w:t>
            </w:r>
            <w:r w:rsidR="00522059" w:rsidRPr="001455DC">
              <w:t>7</w:t>
            </w:r>
            <w:r w:rsidRPr="001455DC">
              <w:t>.</w:t>
            </w:r>
          </w:p>
        </w:tc>
      </w:tr>
    </w:tbl>
    <w:p w14:paraId="445E24F9" w14:textId="77777777" w:rsidR="004E22C1" w:rsidRPr="001455DC" w:rsidRDefault="004E22C1" w:rsidP="000259B5">
      <w:pPr>
        <w:pStyle w:val="Note"/>
      </w:pPr>
      <w:r w:rsidRPr="001455DC">
        <w:rPr>
          <w:bCs/>
        </w:rPr>
        <w:t>NOTE</w:t>
      </w:r>
      <w:r w:rsidRPr="001455DC">
        <w:rPr>
          <w:bCs/>
        </w:rPr>
        <w:tab/>
      </w:r>
      <w:r w:rsidRPr="001455DC">
        <w:t xml:space="preserve">The structural resistance </w:t>
      </w:r>
      <w:r w:rsidRPr="001455DC">
        <w:rPr>
          <w:rStyle w:val="CCMCvariableitalic"/>
        </w:rPr>
        <w:t>R</w:t>
      </w:r>
      <w:r w:rsidRPr="001455DC">
        <w:t xml:space="preserve">{…} can be evaluated for different levels of appropriate actions which can be increased from their initial values by incremental steps, such that the design values of the actions in the considered combination are reached in the same step. The incremental process of the actions should be continued until structural failure is reached. The structural resistance </w:t>
      </w:r>
      <w:r w:rsidRPr="001455DC">
        <w:rPr>
          <w:rStyle w:val="CCMCvariableitalic"/>
        </w:rPr>
        <w:t>R</w:t>
      </w:r>
      <w:r w:rsidRPr="001455DC">
        <w:t>{…} corresponds to the values of the actions which lead to structural failure.</w:t>
      </w:r>
    </w:p>
    <w:p w14:paraId="6ABD2E7C" w14:textId="7CECF3BA" w:rsidR="004E22C1" w:rsidRPr="001455DC" w:rsidRDefault="004E22C1" w:rsidP="00243590">
      <w:pPr>
        <w:pStyle w:val="a3"/>
      </w:pPr>
      <w:bookmarkStart w:id="1533" w:name="_Toc52820171"/>
      <w:bookmarkStart w:id="1534" w:name="_Toc54337588"/>
      <w:bookmarkStart w:id="1535" w:name="_Toc54338226"/>
      <w:r w:rsidRPr="001455DC">
        <w:t>Determination of the global resistance factor</w:t>
      </w:r>
      <w:bookmarkEnd w:id="1533"/>
      <w:bookmarkEnd w:id="1534"/>
      <w:bookmarkEnd w:id="1535"/>
    </w:p>
    <w:p w14:paraId="26E437F6" w14:textId="77777777" w:rsidR="006B0B79" w:rsidRPr="001455DC" w:rsidRDefault="004E22C1" w:rsidP="00116AE2">
      <w:pPr>
        <w:pStyle w:val="a7"/>
        <w:keepNext/>
      </w:pPr>
      <w:r w:rsidRPr="001455DC">
        <w:t>(1)</w:t>
      </w:r>
      <w:r w:rsidRPr="001455DC">
        <w:tab/>
        <w:t>The global resistance factor may be evaluated with Formula (F.5):</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6B0B79" w:rsidRPr="001455DC" w14:paraId="4F15F69B" w14:textId="77777777" w:rsidTr="006B0B79">
        <w:trPr>
          <w:cantSplit/>
        </w:trPr>
        <w:tc>
          <w:tcPr>
            <w:tcW w:w="8505" w:type="dxa"/>
            <w:vAlign w:val="center"/>
          </w:tcPr>
          <w:p w14:paraId="1C43A938" w14:textId="38CF6563" w:rsidR="006B0B79" w:rsidRPr="001455DC" w:rsidRDefault="00231E33" w:rsidP="006B0B79">
            <w:pPr>
              <w:pStyle w:val="Formula"/>
              <w:jc w:val="left"/>
            </w:pPr>
            <m:oMathPara>
              <m:oMathParaPr>
                <m:jc m:val="left"/>
              </m:oMathParaPr>
              <m:oMath>
                <m:sSubSup>
                  <m:sSubSupPr>
                    <m:ctrlPr>
                      <w:rPr>
                        <w:rFonts w:ascii="Cambria Math" w:hAnsi="Cambria Math"/>
                      </w:rPr>
                    </m:ctrlPr>
                  </m:sSubSupPr>
                  <m:e>
                    <m:r>
                      <w:rPr>
                        <w:rFonts w:ascii="Cambria Math" w:hAnsi="Cambria Math"/>
                      </w:rPr>
                      <m:t>γ</m:t>
                    </m:r>
                  </m:e>
                  <m:sub>
                    <m:r>
                      <m:rPr>
                        <m:sty m:val="p"/>
                      </m:rPr>
                      <w:rPr>
                        <w:rFonts w:ascii="Cambria Math" w:hAnsi="Cambria Math"/>
                      </w:rPr>
                      <m:t>R</m:t>
                    </m:r>
                  </m:sub>
                  <m:sup>
                    <m:r>
                      <w:rPr>
                        <w:rFonts w:ascii="Cambria Math" w:hAnsi="Cambria Math"/>
                      </w:rPr>
                      <m:t>*</m:t>
                    </m:r>
                  </m:sup>
                </m:sSubSup>
                <m:r>
                  <w:rPr>
                    <w:rFonts w:ascii="Cambria Math" w:hAnsi="Cambria Math"/>
                  </w:rPr>
                  <m:t>=</m:t>
                </m:r>
                <m:r>
                  <m:rPr>
                    <m:sty m:val="p"/>
                  </m:rPr>
                  <w:rPr>
                    <w:rFonts w:ascii="Cambria Math" w:hAnsi="Cambria Math"/>
                  </w:rPr>
                  <m:t>exp</m:t>
                </m:r>
                <m:d>
                  <m:dPr>
                    <m:ctrlPr>
                      <w:rPr>
                        <w:rFonts w:ascii="Cambria Math" w:hAnsi="Cambria Math"/>
                      </w:rPr>
                    </m:ctrlPr>
                  </m:dPr>
                  <m:e>
                    <m:sSub>
                      <m:sSubPr>
                        <m:ctrlPr>
                          <w:rPr>
                            <w:rFonts w:ascii="Cambria Math" w:hAnsi="Cambria Math"/>
                          </w:rPr>
                        </m:ctrlPr>
                      </m:sSubPr>
                      <m:e>
                        <m:r>
                          <w:rPr>
                            <w:rFonts w:ascii="Cambria Math" w:hAnsi="Cambria Math"/>
                          </w:rPr>
                          <m:t>α</m:t>
                        </m:r>
                      </m:e>
                      <m:sub>
                        <m:r>
                          <m:rPr>
                            <m:sty m:val="p"/>
                          </m:rP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tgt</m:t>
                        </m:r>
                      </m:sub>
                    </m:sSub>
                    <m:r>
                      <w:rPr>
                        <w:rFonts w:ascii="Cambria Math" w:hAnsi="Cambria Math"/>
                      </w:rPr>
                      <m:t>⋅</m:t>
                    </m:r>
                    <m:sSubSup>
                      <m:sSubSupPr>
                        <m:ctrlPr>
                          <w:rPr>
                            <w:rFonts w:ascii="Cambria Math" w:hAnsi="Cambria Math"/>
                          </w:rPr>
                        </m:ctrlPr>
                      </m:sSubSupPr>
                      <m:e>
                        <m:r>
                          <w:rPr>
                            <w:rFonts w:ascii="Cambria Math" w:hAnsi="Cambria Math"/>
                          </w:rPr>
                          <m:t>V</m:t>
                        </m:r>
                      </m:e>
                      <m:sub>
                        <m:r>
                          <m:rPr>
                            <m:sty m:val="p"/>
                          </m:rPr>
                          <w:rPr>
                            <w:rFonts w:ascii="Cambria Math" w:hAnsi="Cambria Math"/>
                          </w:rPr>
                          <m:t>R</m:t>
                        </m:r>
                      </m:sub>
                      <m:sup>
                        <m:r>
                          <w:rPr>
                            <w:rFonts w:ascii="Cambria Math" w:hAnsi="Cambria Math"/>
                          </w:rPr>
                          <m:t>*</m:t>
                        </m:r>
                      </m:sup>
                    </m:sSubSup>
                  </m:e>
                </m:d>
              </m:oMath>
            </m:oMathPara>
          </w:p>
        </w:tc>
        <w:tc>
          <w:tcPr>
            <w:tcW w:w="1247" w:type="dxa"/>
            <w:vAlign w:val="center"/>
          </w:tcPr>
          <w:p w14:paraId="6ABF7C71" w14:textId="701FBDE4" w:rsidR="006B0B79" w:rsidRPr="001455DC" w:rsidRDefault="006B0B79" w:rsidP="006B0B79">
            <w:pPr>
              <w:pStyle w:val="a7"/>
              <w:jc w:val="right"/>
            </w:pPr>
            <w:r w:rsidRPr="001455DC">
              <w:t>(F.5)</w:t>
            </w:r>
          </w:p>
        </w:tc>
      </w:tr>
    </w:tbl>
    <w:p w14:paraId="02F13C46" w14:textId="77777777" w:rsidR="006B0B79" w:rsidRPr="001455DC" w:rsidRDefault="006B0B79"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567"/>
        <w:gridCol w:w="7031"/>
        <w:gridCol w:w="1247"/>
      </w:tblGrid>
      <w:tr w:rsidR="006B0B79" w:rsidRPr="001455DC" w14:paraId="7BCCF13C" w14:textId="77777777" w:rsidTr="006B0B79">
        <w:trPr>
          <w:cantSplit/>
        </w:trPr>
        <w:tc>
          <w:tcPr>
            <w:tcW w:w="567" w:type="dxa"/>
          </w:tcPr>
          <w:p w14:paraId="7BA1FC14" w14:textId="6FCBADA7" w:rsidR="006B0B79" w:rsidRPr="001455DC" w:rsidRDefault="006B0B79" w:rsidP="006B0B79">
            <w:pPr>
              <w:pStyle w:val="Tablebody"/>
            </w:pPr>
            <w:r w:rsidRPr="001455DC">
              <w:rPr>
                <w:rStyle w:val="CCMCvariableitalic"/>
              </w:rPr>
              <w:t>α</w:t>
            </w:r>
            <w:r w:rsidRPr="001455DC">
              <w:rPr>
                <w:rStyle w:val="CCMCvariablesubscript"/>
              </w:rPr>
              <w:t>R</w:t>
            </w:r>
          </w:p>
        </w:tc>
        <w:tc>
          <w:tcPr>
            <w:tcW w:w="8845" w:type="dxa"/>
            <w:gridSpan w:val="3"/>
          </w:tcPr>
          <w:p w14:paraId="10508362" w14:textId="041B095A" w:rsidR="006B0B79" w:rsidRPr="001455DC" w:rsidRDefault="006B0B79" w:rsidP="006B0B79">
            <w:pPr>
              <w:pStyle w:val="Tablebody"/>
            </w:pPr>
            <w:r w:rsidRPr="001455DC">
              <w:t>is the sensitivity factor for dominant resistance variable:</w:t>
            </w:r>
            <w:r w:rsidRPr="001455DC">
              <w:rPr>
                <w:iCs/>
              </w:rPr>
              <w:t xml:space="preserve"> </w:t>
            </w:r>
            <w:r w:rsidRPr="001455DC">
              <w:rPr>
                <w:rStyle w:val="CCMCvariableitalic"/>
              </w:rPr>
              <w:t>α</w:t>
            </w:r>
            <w:r w:rsidRPr="001455DC">
              <w:rPr>
                <w:rStyle w:val="CCMCvariablesubscript"/>
              </w:rPr>
              <w:t>R</w:t>
            </w:r>
            <w:r w:rsidRPr="001455DC">
              <w:t> </w:t>
            </w:r>
            <w:r w:rsidR="00EC27D2" w:rsidRPr="001455DC">
              <w:rPr>
                <w:rFonts w:ascii="Cambria Math" w:hAnsi="Cambria Math"/>
              </w:rPr>
              <w:t>=</w:t>
            </w:r>
            <w:r w:rsidRPr="001455DC">
              <w:t> 0,8;</w:t>
            </w:r>
          </w:p>
        </w:tc>
      </w:tr>
      <w:tr w:rsidR="006B0B79" w:rsidRPr="001455DC" w14:paraId="082E3EF2" w14:textId="77777777" w:rsidTr="006B0B79">
        <w:trPr>
          <w:cantSplit/>
        </w:trPr>
        <w:tc>
          <w:tcPr>
            <w:tcW w:w="567" w:type="dxa"/>
          </w:tcPr>
          <w:p w14:paraId="37F12575" w14:textId="4E07212B" w:rsidR="006B0B79" w:rsidRPr="001455DC" w:rsidRDefault="006B0B79" w:rsidP="006B0B79">
            <w:pPr>
              <w:pStyle w:val="Tablebody"/>
            </w:pPr>
            <w:r w:rsidRPr="001455DC">
              <w:rPr>
                <w:rStyle w:val="CCMCvariableitalic"/>
              </w:rPr>
              <w:t>β</w:t>
            </w:r>
            <w:r w:rsidRPr="001455DC">
              <w:rPr>
                <w:rStyle w:val="CCMCvariablesubscript"/>
              </w:rPr>
              <w:t>tgt</w:t>
            </w:r>
          </w:p>
        </w:tc>
        <w:tc>
          <w:tcPr>
            <w:tcW w:w="8845" w:type="dxa"/>
            <w:gridSpan w:val="3"/>
          </w:tcPr>
          <w:p w14:paraId="3936D8F7" w14:textId="70F20E04" w:rsidR="006B0B79" w:rsidRPr="001455DC" w:rsidRDefault="006B0B79" w:rsidP="006B0B79">
            <w:pPr>
              <w:pStyle w:val="Tablebody"/>
            </w:pPr>
            <w:r w:rsidRPr="001455DC">
              <w:t>is the target value of the reliability index according to Table A.3;</w:t>
            </w:r>
          </w:p>
        </w:tc>
      </w:tr>
      <w:tr w:rsidR="006B0B79" w:rsidRPr="001455DC" w14:paraId="3D2CB8F6" w14:textId="77777777" w:rsidTr="006B0B79">
        <w:trPr>
          <w:cantSplit/>
        </w:trPr>
        <w:tc>
          <w:tcPr>
            <w:tcW w:w="567" w:type="dxa"/>
          </w:tcPr>
          <w:p w14:paraId="4353A2C5" w14:textId="78575541" w:rsidR="006B0B79" w:rsidRPr="001455DC" w:rsidRDefault="00231E33" w:rsidP="006B0B79">
            <w:pPr>
              <w:pStyle w:val="Tablebody"/>
            </w:pPr>
            <m:oMathPara>
              <m:oMathParaPr>
                <m:jc m:val="left"/>
              </m:oMathParaPr>
              <m:oMath>
                <m:sSubSup>
                  <m:sSubSupPr>
                    <m:ctrlPr>
                      <w:rPr>
                        <w:rFonts w:ascii="Cambria Math" w:hAnsi="Cambria Math"/>
                      </w:rPr>
                    </m:ctrlPr>
                  </m:sSubSupPr>
                  <m:e>
                    <m:r>
                      <w:rPr>
                        <w:rFonts w:ascii="Cambria Math" w:hAnsi="Cambria Math"/>
                      </w:rPr>
                      <m:t>V</m:t>
                    </m:r>
                  </m:e>
                  <m:sub>
                    <m:r>
                      <m:rPr>
                        <m:sty m:val="p"/>
                      </m:rPr>
                      <w:rPr>
                        <w:rFonts w:ascii="Cambria Math" w:hAnsi="Cambria Math"/>
                      </w:rPr>
                      <m:t>R</m:t>
                    </m:r>
                  </m:sub>
                  <m:sup>
                    <m:r>
                      <w:rPr>
                        <w:rFonts w:ascii="Cambria Math" w:hAnsi="Cambria Math"/>
                      </w:rPr>
                      <m:t>*</m:t>
                    </m:r>
                  </m:sup>
                </m:sSubSup>
              </m:oMath>
            </m:oMathPara>
          </w:p>
        </w:tc>
        <w:tc>
          <w:tcPr>
            <w:tcW w:w="8845" w:type="dxa"/>
            <w:gridSpan w:val="3"/>
          </w:tcPr>
          <w:p w14:paraId="7A983B6D" w14:textId="2B5EEC14" w:rsidR="006B0B79" w:rsidRPr="001455DC" w:rsidRDefault="006B0B79" w:rsidP="006B0B79">
            <w:pPr>
              <w:pStyle w:val="Tablebody"/>
            </w:pPr>
            <w:r w:rsidRPr="001455DC">
              <w:t>is the</w:t>
            </w:r>
            <w:r w:rsidRPr="001455DC">
              <w:rPr>
                <w:b/>
              </w:rPr>
              <w:t xml:space="preserve"> </w:t>
            </w:r>
            <w:r w:rsidRPr="001455DC">
              <w:t>coefficient of variation of structural resistance. It accounts for material and geometrical uncertainties and shall be estimated by means of a probabilistic analysis of the structural resistance.</w:t>
            </w:r>
          </w:p>
        </w:tc>
      </w:tr>
      <w:tr w:rsidR="006B0B79" w:rsidRPr="001455DC" w14:paraId="37A62793" w14:textId="77777777" w:rsidTr="006B0B79">
        <w:trPr>
          <w:cantSplit/>
        </w:trPr>
        <w:tc>
          <w:tcPr>
            <w:tcW w:w="567" w:type="dxa"/>
          </w:tcPr>
          <w:p w14:paraId="4C7950B6" w14:textId="132E2F81" w:rsidR="006B0B79" w:rsidRPr="001455DC" w:rsidRDefault="006B0B79" w:rsidP="006B0B79">
            <w:pPr>
              <w:pStyle w:val="Tablebody"/>
            </w:pPr>
            <w:r w:rsidRPr="001455DC">
              <w:t> </w:t>
            </w:r>
          </w:p>
        </w:tc>
        <w:tc>
          <w:tcPr>
            <w:tcW w:w="8845" w:type="dxa"/>
            <w:gridSpan w:val="3"/>
          </w:tcPr>
          <w:p w14:paraId="651A2910" w14:textId="74EBBFE8" w:rsidR="006B0B79" w:rsidRPr="001455DC" w:rsidRDefault="006B0B79" w:rsidP="006B0B79">
            <w:pPr>
              <w:pStyle w:val="Tablebody"/>
            </w:pPr>
            <w:r w:rsidRPr="001455DC">
              <w:t>Alternatively, the approximated value derived by Formula (F.6) can be adopted:</w:t>
            </w:r>
          </w:p>
        </w:tc>
      </w:tr>
      <w:tr w:rsidR="0092743C" w:rsidRPr="001455DC" w14:paraId="54A05A9B" w14:textId="77777777" w:rsidTr="0092743C">
        <w:trPr>
          <w:cantSplit/>
        </w:trPr>
        <w:tc>
          <w:tcPr>
            <w:tcW w:w="567" w:type="dxa"/>
          </w:tcPr>
          <w:p w14:paraId="2B333458" w14:textId="52A4E63F" w:rsidR="0092743C" w:rsidRPr="001455DC" w:rsidRDefault="0092743C" w:rsidP="006B0B79">
            <w:pPr>
              <w:pStyle w:val="Tablebody"/>
            </w:pPr>
            <w:r w:rsidRPr="001455DC">
              <w:t> </w:t>
            </w:r>
          </w:p>
        </w:tc>
        <w:tc>
          <w:tcPr>
            <w:tcW w:w="7598" w:type="dxa"/>
            <w:gridSpan w:val="2"/>
            <w:vAlign w:val="center"/>
          </w:tcPr>
          <w:p w14:paraId="36F8B8C1" w14:textId="2B5A5C73" w:rsidR="0092743C" w:rsidRPr="001455DC" w:rsidRDefault="00231E33" w:rsidP="0092743C">
            <w:pPr>
              <w:pStyle w:val="Tablebody"/>
              <w:jc w:val="left"/>
            </w:pPr>
            <m:oMathPara>
              <m:oMathParaPr>
                <m:jc m:val="left"/>
              </m:oMathParaPr>
              <m:oMath>
                <m:sSubSup>
                  <m:sSubSupPr>
                    <m:ctrlPr>
                      <w:rPr>
                        <w:rFonts w:ascii="Cambria Math" w:hAnsi="Cambria Math"/>
                      </w:rPr>
                    </m:ctrlPr>
                  </m:sSubSupPr>
                  <m:e>
                    <m:r>
                      <w:rPr>
                        <w:rFonts w:ascii="Cambria Math" w:hAnsi="Cambria Math"/>
                      </w:rPr>
                      <m:t>V</m:t>
                    </m:r>
                  </m:e>
                  <m:sub>
                    <m:r>
                      <m:rPr>
                        <m:sty m:val="p"/>
                      </m:rPr>
                      <w:rPr>
                        <w:rFonts w:ascii="Cambria Math" w:hAnsi="Cambria Math"/>
                      </w:rPr>
                      <m:t>R</m:t>
                    </m:r>
                  </m:sub>
                  <m:sup>
                    <m:r>
                      <w:rPr>
                        <w:rFonts w:ascii="Cambria Math" w:hAnsi="Cambria Math"/>
                      </w:rPr>
                      <m:t>*</m:t>
                    </m:r>
                  </m:sup>
                </m:sSubSup>
                <m: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V</m:t>
                        </m:r>
                      </m:e>
                      <m:sub>
                        <m:r>
                          <m:rPr>
                            <m:sty m:val="p"/>
                          </m:rPr>
                          <w:rPr>
                            <w:rFonts w:ascii="Cambria Math" w:hAnsi="Cambria Math"/>
                          </w:rPr>
                          <m:t>R,M</m:t>
                        </m:r>
                      </m:sub>
                      <m:sup>
                        <m:r>
                          <w:rPr>
                            <w:rFonts w:ascii="Cambria Math" w:hAnsi="Cambria Math"/>
                          </w:rPr>
                          <m:t>2</m:t>
                        </m:r>
                      </m:sup>
                    </m:sSubSup>
                    <m:r>
                      <w:rPr>
                        <w:rFonts w:ascii="Cambria Math" w:hAnsi="Cambria Math"/>
                      </w:rPr>
                      <m:t>+</m:t>
                    </m:r>
                    <m:sSubSup>
                      <m:sSubSupPr>
                        <m:ctrlPr>
                          <w:rPr>
                            <w:rFonts w:ascii="Cambria Math" w:hAnsi="Cambria Math"/>
                          </w:rPr>
                        </m:ctrlPr>
                      </m:sSubSupPr>
                      <m:e>
                        <m:r>
                          <w:rPr>
                            <w:rFonts w:ascii="Cambria Math" w:hAnsi="Cambria Math"/>
                          </w:rPr>
                          <m:t>V</m:t>
                        </m:r>
                      </m:e>
                      <m:sub>
                        <m:r>
                          <m:rPr>
                            <m:sty m:val="p"/>
                          </m:rPr>
                          <w:rPr>
                            <w:rFonts w:ascii="Cambria Math" w:hAnsi="Cambria Math"/>
                          </w:rPr>
                          <m:t>R,G</m:t>
                        </m:r>
                      </m:sub>
                      <m:sup>
                        <m:r>
                          <w:rPr>
                            <w:rFonts w:ascii="Cambria Math" w:hAnsi="Cambria Math"/>
                          </w:rPr>
                          <m:t>2</m:t>
                        </m:r>
                      </m:sup>
                    </m:sSubSup>
                  </m:e>
                </m:rad>
              </m:oMath>
            </m:oMathPara>
          </w:p>
        </w:tc>
        <w:tc>
          <w:tcPr>
            <w:tcW w:w="1247" w:type="dxa"/>
            <w:vAlign w:val="center"/>
          </w:tcPr>
          <w:p w14:paraId="666BE796" w14:textId="476ABF5F" w:rsidR="0092743C" w:rsidRPr="001455DC" w:rsidRDefault="0092743C" w:rsidP="0092743C">
            <w:pPr>
              <w:pStyle w:val="Tablebody"/>
              <w:jc w:val="right"/>
            </w:pPr>
            <w:r w:rsidRPr="001455DC">
              <w:t>(F.6)</w:t>
            </w:r>
          </w:p>
        </w:tc>
      </w:tr>
      <w:tr w:rsidR="0092743C" w:rsidRPr="001455DC" w14:paraId="6614543A" w14:textId="77777777" w:rsidTr="0092743C">
        <w:trPr>
          <w:cantSplit/>
        </w:trPr>
        <w:tc>
          <w:tcPr>
            <w:tcW w:w="567" w:type="dxa"/>
          </w:tcPr>
          <w:p w14:paraId="2385685A" w14:textId="038704D9" w:rsidR="0092743C" w:rsidRPr="001455DC" w:rsidRDefault="0092743C" w:rsidP="006B0B79">
            <w:pPr>
              <w:pStyle w:val="Tablebody"/>
            </w:pPr>
            <w:r w:rsidRPr="001455DC">
              <w:t> </w:t>
            </w:r>
          </w:p>
        </w:tc>
        <w:tc>
          <w:tcPr>
            <w:tcW w:w="8845" w:type="dxa"/>
            <w:gridSpan w:val="3"/>
          </w:tcPr>
          <w:p w14:paraId="533CFF20" w14:textId="5DC8C8B6" w:rsidR="0092743C" w:rsidRPr="001455DC" w:rsidRDefault="0092743C" w:rsidP="0092743C">
            <w:pPr>
              <w:pStyle w:val="Tablebody"/>
              <w:jc w:val="left"/>
            </w:pPr>
            <w:r w:rsidRPr="001455DC">
              <w:rPr>
                <w:szCs w:val="22"/>
              </w:rPr>
              <w:t>where</w:t>
            </w:r>
          </w:p>
        </w:tc>
      </w:tr>
      <w:tr w:rsidR="0092743C" w:rsidRPr="001455DC" w14:paraId="02126EA4" w14:textId="77777777" w:rsidTr="0092743C">
        <w:trPr>
          <w:cantSplit/>
        </w:trPr>
        <w:tc>
          <w:tcPr>
            <w:tcW w:w="567" w:type="dxa"/>
          </w:tcPr>
          <w:p w14:paraId="4A653ED4" w14:textId="7016796A" w:rsidR="0092743C" w:rsidRPr="001455DC" w:rsidRDefault="0092743C" w:rsidP="006B0B79">
            <w:pPr>
              <w:pStyle w:val="Tablebody"/>
            </w:pPr>
            <w:r w:rsidRPr="001455DC">
              <w:t> </w:t>
            </w:r>
          </w:p>
        </w:tc>
        <w:tc>
          <w:tcPr>
            <w:tcW w:w="567" w:type="dxa"/>
          </w:tcPr>
          <w:p w14:paraId="6D738069" w14:textId="46E55368" w:rsidR="0092743C" w:rsidRPr="001455DC" w:rsidRDefault="0092743C" w:rsidP="0092743C">
            <w:pPr>
              <w:pStyle w:val="Tablebody"/>
              <w:jc w:val="left"/>
              <w:rPr>
                <w:szCs w:val="22"/>
              </w:rPr>
            </w:pPr>
            <w:r w:rsidRPr="001455DC">
              <w:rPr>
                <w:rStyle w:val="CCMCvariableitalic"/>
                <w:szCs w:val="22"/>
              </w:rPr>
              <w:t>V</w:t>
            </w:r>
            <w:r w:rsidRPr="001455DC">
              <w:rPr>
                <w:rStyle w:val="CCMCvariablesubscript"/>
                <w:szCs w:val="22"/>
              </w:rPr>
              <w:t>R,M</w:t>
            </w:r>
          </w:p>
        </w:tc>
        <w:tc>
          <w:tcPr>
            <w:tcW w:w="8278" w:type="dxa"/>
            <w:gridSpan w:val="2"/>
            <w:vAlign w:val="center"/>
          </w:tcPr>
          <w:p w14:paraId="2928174B" w14:textId="48E34A44" w:rsidR="0092743C" w:rsidRPr="001455DC" w:rsidRDefault="0092743C" w:rsidP="0092743C">
            <w:pPr>
              <w:pStyle w:val="Tablebody"/>
              <w:rPr>
                <w:szCs w:val="22"/>
              </w:rPr>
            </w:pPr>
            <w:r w:rsidRPr="001455DC">
              <w:rPr>
                <w:szCs w:val="22"/>
              </w:rPr>
              <w:t>is the coefficient of variation of structural resistance accounting for uncertainties of material properties evaluated according to Formula (F.7):</w:t>
            </w:r>
          </w:p>
        </w:tc>
      </w:tr>
      <w:tr w:rsidR="0092743C" w:rsidRPr="001455DC" w14:paraId="76458A50" w14:textId="77777777" w:rsidTr="0092743C">
        <w:trPr>
          <w:cantSplit/>
        </w:trPr>
        <w:tc>
          <w:tcPr>
            <w:tcW w:w="567" w:type="dxa"/>
          </w:tcPr>
          <w:p w14:paraId="2D2C582A" w14:textId="0B923432" w:rsidR="0092743C" w:rsidRPr="001455DC" w:rsidRDefault="0092743C" w:rsidP="006B0B79">
            <w:pPr>
              <w:pStyle w:val="Tablebody"/>
            </w:pPr>
            <w:r w:rsidRPr="001455DC">
              <w:t> </w:t>
            </w:r>
          </w:p>
        </w:tc>
        <w:tc>
          <w:tcPr>
            <w:tcW w:w="567" w:type="dxa"/>
            <w:vAlign w:val="center"/>
          </w:tcPr>
          <w:p w14:paraId="193EFDB4" w14:textId="095C2484" w:rsidR="0092743C" w:rsidRPr="001455DC" w:rsidRDefault="0092743C" w:rsidP="0092743C">
            <w:pPr>
              <w:pStyle w:val="Tablebody"/>
              <w:rPr>
                <w:szCs w:val="22"/>
              </w:rPr>
            </w:pPr>
            <w:r w:rsidRPr="001455DC">
              <w:t> </w:t>
            </w:r>
          </w:p>
        </w:tc>
        <w:tc>
          <w:tcPr>
            <w:tcW w:w="7031" w:type="dxa"/>
            <w:vAlign w:val="center"/>
          </w:tcPr>
          <w:p w14:paraId="67BD8831" w14:textId="46F7FF1B" w:rsidR="0092743C" w:rsidRPr="001455DC" w:rsidRDefault="00231E33" w:rsidP="0092743C">
            <w:pPr>
              <w:pStyle w:val="Tablebody"/>
              <w:jc w:val="left"/>
              <w:rPr>
                <w:szCs w:val="22"/>
              </w:rPr>
            </w:pPr>
            <m:oMathPara>
              <m:oMathParaPr>
                <m:jc m:val="left"/>
              </m:oMathParaPr>
              <m:oMath>
                <m:sSub>
                  <m:sSubPr>
                    <m:ctrlPr>
                      <w:rPr>
                        <w:rFonts w:ascii="Cambria Math" w:hAnsi="Cambria Math"/>
                      </w:rPr>
                    </m:ctrlPr>
                  </m:sSubPr>
                  <m:e>
                    <m:r>
                      <w:rPr>
                        <w:rFonts w:ascii="Cambria Math" w:hAnsi="Cambria Math"/>
                      </w:rPr>
                      <m:t>V</m:t>
                    </m:r>
                  </m:e>
                  <m:sub>
                    <m:r>
                      <m:rPr>
                        <m:sty m:val="p"/>
                      </m:rPr>
                      <w:rPr>
                        <w:rFonts w:ascii="Cambria Math" w:hAnsi="Cambria Math"/>
                      </w:rPr>
                      <m:t>R,M</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1,65</m:t>
                    </m:r>
                  </m:den>
                </m:f>
                <m:r>
                  <m:rPr>
                    <m:sty m:val="p"/>
                  </m:rPr>
                  <w:rPr>
                    <w:rFonts w:ascii="Cambria Math" w:hAnsi="Cambria Math"/>
                  </w:rPr>
                  <m:t>ln</m:t>
                </m:r>
                <m:d>
                  <m:dPr>
                    <m:ctrlPr>
                      <w:rPr>
                        <w:rFonts w:ascii="Cambria Math" w:hAnsi="Cambria Math"/>
                      </w:rPr>
                    </m:ctrlPr>
                  </m:dPr>
                  <m:e>
                    <m:f>
                      <m:fPr>
                        <m:ctrlPr>
                          <w:rPr>
                            <w:rFonts w:ascii="Cambria Math" w:hAnsi="Cambria Math"/>
                          </w:rPr>
                        </m:ctrlPr>
                      </m:fPr>
                      <m:num>
                        <m:r>
                          <w:rPr>
                            <w:rFonts w:ascii="Cambria Math" w:hAnsi="Cambria Math"/>
                          </w:rPr>
                          <m:t>R</m:t>
                        </m:r>
                        <m:d>
                          <m:dPr>
                            <m:begChr m:val="{"/>
                            <m:endChr m:val="}"/>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m</m:t>
                                </m:r>
                              </m:sub>
                            </m:sSub>
                            <m:r>
                              <w:rPr>
                                <w:rFonts w:ascii="Cambria Math" w:hAnsi="Cambria Math"/>
                              </w:rPr>
                              <m:t xml:space="preserve">; </m:t>
                            </m:r>
                            <m:sSub>
                              <m:sSubPr>
                                <m:ctrlPr>
                                  <w:rPr>
                                    <w:rFonts w:ascii="Cambria Math" w:hAnsi="Cambria Math"/>
                                  </w:rPr>
                                </m:ctrlPr>
                              </m:sSubPr>
                              <m:e>
                                <m:r>
                                  <w:rPr>
                                    <w:rFonts w:ascii="Cambria Math" w:hAnsi="Cambria Math"/>
                                  </w:rPr>
                                  <m:t>a</m:t>
                                </m:r>
                              </m:e>
                              <m:sub>
                                <m:r>
                                  <m:rPr>
                                    <m:sty m:val="p"/>
                                  </m:rPr>
                                  <w:rPr>
                                    <w:rFonts w:ascii="Cambria Math" w:hAnsi="Cambria Math"/>
                                  </w:rPr>
                                  <m:t>nom</m:t>
                                </m:r>
                              </m:sub>
                            </m:sSub>
                          </m:e>
                        </m:d>
                      </m:num>
                      <m:den>
                        <m:r>
                          <w:rPr>
                            <w:rFonts w:ascii="Cambria Math" w:hAnsi="Cambria Math"/>
                          </w:rPr>
                          <m:t>R</m:t>
                        </m:r>
                        <m:d>
                          <m:dPr>
                            <m:begChr m:val="{"/>
                            <m:endChr m:val="}"/>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k</m:t>
                                </m:r>
                              </m:sub>
                            </m:sSub>
                            <m:r>
                              <w:rPr>
                                <w:rFonts w:ascii="Cambria Math" w:hAnsi="Cambria Math"/>
                              </w:rPr>
                              <m:t xml:space="preserve">; </m:t>
                            </m:r>
                            <m:sSub>
                              <m:sSubPr>
                                <m:ctrlPr>
                                  <w:rPr>
                                    <w:rFonts w:ascii="Cambria Math" w:hAnsi="Cambria Math"/>
                                  </w:rPr>
                                </m:ctrlPr>
                              </m:sSubPr>
                              <m:e>
                                <m:r>
                                  <w:rPr>
                                    <w:rFonts w:ascii="Cambria Math" w:hAnsi="Cambria Math"/>
                                  </w:rPr>
                                  <m:t>a</m:t>
                                </m:r>
                              </m:e>
                              <m:sub>
                                <m:r>
                                  <m:rPr>
                                    <m:sty m:val="p"/>
                                  </m:rPr>
                                  <w:rPr>
                                    <w:rFonts w:ascii="Cambria Math" w:hAnsi="Cambria Math"/>
                                  </w:rPr>
                                  <m:t>nom</m:t>
                                </m:r>
                              </m:sub>
                            </m:sSub>
                          </m:e>
                        </m:d>
                      </m:den>
                    </m:f>
                  </m:e>
                </m:d>
              </m:oMath>
            </m:oMathPara>
          </w:p>
        </w:tc>
        <w:tc>
          <w:tcPr>
            <w:tcW w:w="1247" w:type="dxa"/>
            <w:vAlign w:val="center"/>
          </w:tcPr>
          <w:p w14:paraId="2097AFF2" w14:textId="16E8B0A1" w:rsidR="0092743C" w:rsidRPr="001455DC" w:rsidRDefault="0092743C" w:rsidP="0092743C">
            <w:pPr>
              <w:pStyle w:val="Tablebody"/>
              <w:jc w:val="right"/>
              <w:rPr>
                <w:szCs w:val="22"/>
              </w:rPr>
            </w:pPr>
            <w:r w:rsidRPr="001455DC">
              <w:t>(F.7)</w:t>
            </w:r>
          </w:p>
        </w:tc>
      </w:tr>
      <w:tr w:rsidR="0092743C" w:rsidRPr="001455DC" w14:paraId="31B328AB" w14:textId="77777777" w:rsidTr="004D5FD9">
        <w:trPr>
          <w:cantSplit/>
        </w:trPr>
        <w:tc>
          <w:tcPr>
            <w:tcW w:w="567" w:type="dxa"/>
          </w:tcPr>
          <w:p w14:paraId="75490814" w14:textId="1BBE695E" w:rsidR="0092743C" w:rsidRPr="001455DC" w:rsidRDefault="0092743C" w:rsidP="006B0B79">
            <w:pPr>
              <w:pStyle w:val="Tablebody"/>
            </w:pPr>
            <w:r w:rsidRPr="001455DC">
              <w:t> </w:t>
            </w:r>
          </w:p>
        </w:tc>
        <w:tc>
          <w:tcPr>
            <w:tcW w:w="567" w:type="dxa"/>
            <w:vAlign w:val="center"/>
          </w:tcPr>
          <w:p w14:paraId="0DC7F03D" w14:textId="72DCEEEC" w:rsidR="0092743C" w:rsidRPr="001455DC" w:rsidRDefault="0092743C" w:rsidP="0092743C">
            <w:pPr>
              <w:pStyle w:val="Tablebody"/>
            </w:pPr>
            <w:r w:rsidRPr="001455DC">
              <w:t> </w:t>
            </w:r>
          </w:p>
        </w:tc>
        <w:tc>
          <w:tcPr>
            <w:tcW w:w="8278" w:type="dxa"/>
            <w:gridSpan w:val="2"/>
            <w:vAlign w:val="center"/>
          </w:tcPr>
          <w:p w14:paraId="2E63474D" w14:textId="1141769C" w:rsidR="0092743C" w:rsidRPr="001455DC" w:rsidRDefault="0092743C" w:rsidP="0092743C">
            <w:pPr>
              <w:pStyle w:val="Tablebody"/>
            </w:pPr>
            <w:r w:rsidRPr="001455DC">
              <w:rPr>
                <w:szCs w:val="22"/>
              </w:rPr>
              <w:t xml:space="preserve">where </w:t>
            </w:r>
            <w:r w:rsidRPr="001455DC">
              <w:rPr>
                <w:rStyle w:val="CCMCvariableitalic"/>
                <w:szCs w:val="22"/>
              </w:rPr>
              <w:t>X</w:t>
            </w:r>
            <w:r w:rsidRPr="001455DC">
              <w:rPr>
                <w:rStyle w:val="CCMCvariablesubscript"/>
                <w:szCs w:val="22"/>
              </w:rPr>
              <w:t>k</w:t>
            </w:r>
            <w:r w:rsidRPr="001455DC">
              <w:rPr>
                <w:szCs w:val="22"/>
              </w:rPr>
              <w:t xml:space="preserve"> is the characteristic value of the material property;</w:t>
            </w:r>
          </w:p>
        </w:tc>
      </w:tr>
      <w:tr w:rsidR="0092743C" w:rsidRPr="001455DC" w14:paraId="3A54F5BE" w14:textId="77777777" w:rsidTr="004D5FD9">
        <w:trPr>
          <w:cantSplit/>
        </w:trPr>
        <w:tc>
          <w:tcPr>
            <w:tcW w:w="567" w:type="dxa"/>
          </w:tcPr>
          <w:p w14:paraId="7DD5657B" w14:textId="77777777" w:rsidR="0092743C" w:rsidRPr="001455DC" w:rsidRDefault="0092743C" w:rsidP="004D5FD9">
            <w:pPr>
              <w:pStyle w:val="Tablebody"/>
            </w:pPr>
            <w:r w:rsidRPr="001455DC">
              <w:t> </w:t>
            </w:r>
          </w:p>
        </w:tc>
        <w:tc>
          <w:tcPr>
            <w:tcW w:w="567" w:type="dxa"/>
          </w:tcPr>
          <w:p w14:paraId="7EA32A5F" w14:textId="5BB55884" w:rsidR="0092743C" w:rsidRPr="001455DC" w:rsidRDefault="0092743C" w:rsidP="004D5FD9">
            <w:pPr>
              <w:pStyle w:val="Tablebody"/>
              <w:jc w:val="left"/>
              <w:rPr>
                <w:szCs w:val="22"/>
              </w:rPr>
            </w:pPr>
            <w:r w:rsidRPr="001455DC">
              <w:rPr>
                <w:rStyle w:val="CCMCvariableitalic"/>
                <w:szCs w:val="22"/>
              </w:rPr>
              <w:t>V</w:t>
            </w:r>
            <w:r w:rsidRPr="001455DC">
              <w:rPr>
                <w:rStyle w:val="CCMCvariablesubscript"/>
                <w:szCs w:val="22"/>
              </w:rPr>
              <w:t>R,G</w:t>
            </w:r>
          </w:p>
        </w:tc>
        <w:tc>
          <w:tcPr>
            <w:tcW w:w="8278" w:type="dxa"/>
            <w:gridSpan w:val="2"/>
            <w:vAlign w:val="center"/>
          </w:tcPr>
          <w:p w14:paraId="549D871B" w14:textId="6BF471CB" w:rsidR="0092743C" w:rsidRPr="001455DC" w:rsidRDefault="0092743C" w:rsidP="004D5FD9">
            <w:pPr>
              <w:pStyle w:val="Tablebody"/>
              <w:rPr>
                <w:szCs w:val="22"/>
              </w:rPr>
            </w:pPr>
            <w:r w:rsidRPr="001455DC">
              <w:rPr>
                <w:szCs w:val="22"/>
              </w:rPr>
              <w:t>is the coefficient of variation of structural resistance related to geometrical uncertainties evaluated in line with Annex A.</w:t>
            </w:r>
          </w:p>
        </w:tc>
      </w:tr>
    </w:tbl>
    <w:p w14:paraId="4C66F096" w14:textId="3C764C14" w:rsidR="004E22C1" w:rsidRPr="001455DC" w:rsidRDefault="004E22C1" w:rsidP="000259B5">
      <w:pPr>
        <w:pStyle w:val="Note"/>
      </w:pPr>
      <w:r w:rsidRPr="001455DC">
        <w:t>NOTE 1</w:t>
      </w:r>
      <w:r w:rsidRPr="001455DC">
        <w:tab/>
      </w:r>
      <w:r w:rsidRPr="001455DC">
        <w:rPr>
          <w:bCs/>
        </w:rPr>
        <w:t xml:space="preserve">As a further simplification, in absence of </w:t>
      </w:r>
      <w:r w:rsidRPr="001455DC">
        <w:t xml:space="preserve">a numerical estimation of the value of </w:t>
      </w:r>
      <w:r w:rsidRPr="001455DC">
        <w:rPr>
          <w:rStyle w:val="CCMCvariableitalic"/>
        </w:rPr>
        <w:t>V</w:t>
      </w:r>
      <w:r w:rsidRPr="001455DC">
        <w:rPr>
          <w:rStyle w:val="CCMCvariablesubscript"/>
        </w:rPr>
        <w:t>R,M</w:t>
      </w:r>
      <w:r w:rsidRPr="001455DC">
        <w:t xml:space="preserve"> on the safety side, it can be </w:t>
      </w:r>
      <w:r w:rsidRPr="001455DC">
        <w:rPr>
          <w:rStyle w:val="CCMCvariableitalic"/>
        </w:rPr>
        <w:t>V</w:t>
      </w:r>
      <w:r w:rsidRPr="001455DC">
        <w:rPr>
          <w:rStyle w:val="CCMCvariablesubscript"/>
        </w:rPr>
        <w:t>R,M</w:t>
      </w:r>
      <w:r w:rsidRPr="001455DC">
        <w:t> </w:t>
      </w:r>
      <w:r w:rsidR="00EC27D2" w:rsidRPr="001455DC">
        <w:rPr>
          <w:rFonts w:ascii="Cambria Math" w:hAnsi="Cambria Math"/>
        </w:rPr>
        <w:t>=</w:t>
      </w:r>
      <w:r w:rsidRPr="001455DC">
        <w:t> 0,15 unless a National Annex gives other specifications.</w:t>
      </w:r>
    </w:p>
    <w:p w14:paraId="24288FB9" w14:textId="77777777" w:rsidR="004E22C1" w:rsidRPr="001455DC" w:rsidRDefault="004E22C1" w:rsidP="000259B5">
      <w:pPr>
        <w:pStyle w:val="Note"/>
      </w:pPr>
      <w:r w:rsidRPr="001455DC">
        <w:t>NOTE 2</w:t>
      </w:r>
      <w:r w:rsidRPr="001455DC">
        <w:tab/>
        <w:t>The bias factor in Formula (F.4) is equal to 1,00 assuming that the bias factors related to geometric and material uncertainties are considered in the mean and characteristic values of material parameters.</w:t>
      </w:r>
    </w:p>
    <w:p w14:paraId="431E6EE5" w14:textId="77777777" w:rsidR="004E22C1" w:rsidRPr="001455DC" w:rsidRDefault="004E22C1" w:rsidP="000259B5">
      <w:pPr>
        <w:pStyle w:val="Note"/>
      </w:pPr>
      <w:r w:rsidRPr="001455DC">
        <w:t>NOTE 3</w:t>
      </w:r>
      <w:r w:rsidRPr="001455DC">
        <w:tab/>
        <w:t>Formulae (F.4) and (F.6) are based on the assumption of lognormal probabilistic distribution for structural resistance.</w:t>
      </w:r>
    </w:p>
    <w:p w14:paraId="019113FF" w14:textId="0B50E12D" w:rsidR="004E22C1" w:rsidRPr="001455DC" w:rsidRDefault="004E22C1" w:rsidP="000259B5">
      <w:pPr>
        <w:pStyle w:val="Note"/>
      </w:pPr>
      <w:r w:rsidRPr="001455DC">
        <w:t>NOTE 4</w:t>
      </w:r>
      <w:r w:rsidRPr="001455DC">
        <w:tab/>
      </w:r>
      <w:r w:rsidRPr="001455DC">
        <w:rPr>
          <w:bCs/>
        </w:rPr>
        <w:t xml:space="preserve">According to </w:t>
      </w:r>
      <w:r w:rsidR="00D35CC0">
        <w:rPr>
          <w:bCs/>
        </w:rPr>
        <w:t>pr</w:t>
      </w:r>
      <w:r w:rsidRPr="001455DC">
        <w:rPr>
          <w:bCs/>
        </w:rPr>
        <w:t>EN 1990</w:t>
      </w:r>
      <w:r w:rsidR="00DF00C7">
        <w:rPr>
          <w:bCs/>
        </w:rPr>
        <w:t>:20</w:t>
      </w:r>
      <w:r w:rsidR="00D35CC0">
        <w:rPr>
          <w:bCs/>
        </w:rPr>
        <w:t>20</w:t>
      </w:r>
      <w:r w:rsidRPr="001455DC">
        <w:rPr>
          <w:bCs/>
        </w:rPr>
        <w:t>, Table C.4.1, the approximated Formula (F.</w:t>
      </w:r>
      <w:r w:rsidR="00446B9B">
        <w:rPr>
          <w:bCs/>
        </w:rPr>
        <w:t>5</w:t>
      </w:r>
      <w:r w:rsidRPr="001455DC">
        <w:rPr>
          <w:bCs/>
        </w:rPr>
        <w:t xml:space="preserve">) may be used for </w:t>
      </w:r>
      <w:r w:rsidRPr="001455DC">
        <w:rPr>
          <w:rStyle w:val="CCMCvariableitalic"/>
        </w:rPr>
        <w:t>V</w:t>
      </w:r>
      <w:r w:rsidRPr="001455DC">
        <w:rPr>
          <w:rStyle w:val="CCMCvariablesubscript"/>
        </w:rPr>
        <w:t>R</w:t>
      </w:r>
      <w:r w:rsidRPr="001455DC">
        <w:t>* </w:t>
      </w:r>
      <w:r w:rsidR="00650035" w:rsidRPr="001455DC">
        <w:rPr>
          <w:rFonts w:ascii="Cambria Math" w:hAnsi="Cambria Math"/>
        </w:rPr>
        <w:t>&lt;</w:t>
      </w:r>
      <w:r w:rsidRPr="001455DC">
        <w:t xml:space="preserve"> 0,20. The exact formula to be used for higher coefficients of variation </w:t>
      </w:r>
      <w:r w:rsidRPr="001455DC">
        <w:rPr>
          <w:rStyle w:val="CCMCvariableitalic"/>
        </w:rPr>
        <w:t>V</w:t>
      </w:r>
      <w:r w:rsidRPr="001455DC">
        <w:rPr>
          <w:rStyle w:val="CCMCvariablesubscript"/>
        </w:rPr>
        <w:t>R</w:t>
      </w:r>
      <w:r w:rsidRPr="001455DC">
        <w:t xml:space="preserve">* </w:t>
      </w:r>
      <w:r w:rsidRPr="001455DC">
        <w:rPr>
          <w:bCs/>
        </w:rPr>
        <w:t xml:space="preserve">can be found in </w:t>
      </w:r>
      <w:r w:rsidR="00D35CC0">
        <w:rPr>
          <w:bCs/>
        </w:rPr>
        <w:t>pr</w:t>
      </w:r>
      <w:r w:rsidRPr="001455DC">
        <w:t>EN 1990</w:t>
      </w:r>
      <w:r w:rsidR="00DF00C7">
        <w:t>:20</w:t>
      </w:r>
      <w:r w:rsidR="00D35CC0">
        <w:t>20</w:t>
      </w:r>
      <w:r w:rsidRPr="001455DC">
        <w:t>, C.4.</w:t>
      </w:r>
      <w:r w:rsidR="00446B9B">
        <w:t>4</w:t>
      </w:r>
      <w:r w:rsidR="00446B9B" w:rsidRPr="001455DC">
        <w:t xml:space="preserve"> </w:t>
      </w:r>
      <w:r w:rsidRPr="001455DC">
        <w:t xml:space="preserve">(which provides 3 % higher values of </w:t>
      </w:r>
      <w:r w:rsidRPr="001455DC">
        <w:rPr>
          <w:rStyle w:val="CCMCvariableitalic"/>
        </w:rPr>
        <w:t>γ</w:t>
      </w:r>
      <w:r w:rsidRPr="001455DC">
        <w:rPr>
          <w:rStyle w:val="CCMCvariablesubscript"/>
        </w:rPr>
        <w:t>R</w:t>
      </w:r>
      <w:r w:rsidRPr="001455DC">
        <w:rPr>
          <w:rStyle w:val="CCMCvariableitalic"/>
        </w:rPr>
        <w:t>*</w:t>
      </w:r>
      <w:r w:rsidRPr="001455DC">
        <w:t xml:space="preserve"> for </w:t>
      </w:r>
      <w:r w:rsidRPr="001455DC">
        <w:rPr>
          <w:rStyle w:val="CCMCvariableitalic"/>
        </w:rPr>
        <w:t>V</w:t>
      </w:r>
      <w:r w:rsidRPr="001455DC">
        <w:rPr>
          <w:rStyle w:val="CCMCvariablesubscript"/>
        </w:rPr>
        <w:t>R</w:t>
      </w:r>
      <w:r w:rsidRPr="001455DC">
        <w:t>* </w:t>
      </w:r>
      <w:r w:rsidR="00EC27D2" w:rsidRPr="001455DC">
        <w:rPr>
          <w:rFonts w:ascii="Cambria Math" w:hAnsi="Cambria Math"/>
        </w:rPr>
        <w:t>=</w:t>
      </w:r>
      <w:r w:rsidRPr="001455DC">
        <w:t> 0,30).</w:t>
      </w:r>
    </w:p>
    <w:p w14:paraId="35B8D815" w14:textId="294F1278" w:rsidR="004E22C1" w:rsidRPr="001455DC" w:rsidRDefault="004E22C1" w:rsidP="00243590">
      <w:pPr>
        <w:pStyle w:val="a3"/>
      </w:pPr>
      <w:bookmarkStart w:id="1536" w:name="_Toc52820172"/>
      <w:bookmarkStart w:id="1537" w:name="_Toc54337589"/>
      <w:bookmarkStart w:id="1538" w:name="_Toc54338227"/>
      <w:r w:rsidRPr="001455DC">
        <w:t>Additional material parameters</w:t>
      </w:r>
      <w:bookmarkEnd w:id="1536"/>
      <w:bookmarkEnd w:id="1537"/>
      <w:bookmarkEnd w:id="1538"/>
    </w:p>
    <w:p w14:paraId="0F466B2F" w14:textId="77777777" w:rsidR="004E22C1" w:rsidRPr="001455DC" w:rsidRDefault="004E22C1" w:rsidP="000259B5">
      <w:pPr>
        <w:pStyle w:val="a7"/>
      </w:pPr>
      <w:r w:rsidRPr="001455DC">
        <w:t>(1)</w:t>
      </w:r>
      <w:r w:rsidRPr="001455DC">
        <w:tab/>
        <w:t>Information to be used for the description of the mean values of the material properties can be found in Annex A.</w:t>
      </w:r>
    </w:p>
    <w:p w14:paraId="1B8AA8F1" w14:textId="77777777" w:rsidR="004E22C1" w:rsidRPr="001455DC" w:rsidRDefault="004E22C1" w:rsidP="000259B5">
      <w:pPr>
        <w:pStyle w:val="a7"/>
      </w:pPr>
      <w:r w:rsidRPr="001455DC">
        <w:t>(2)</w:t>
      </w:r>
      <w:r w:rsidRPr="001455DC">
        <w:tab/>
        <w:t>For prestressing steel, a ratio of 1,02 to 1,03 can be found between the mean value and the characteristic value of the 0,1 % proof stress.</w:t>
      </w:r>
    </w:p>
    <w:p w14:paraId="317FE83D" w14:textId="04B96521" w:rsidR="004E22C1" w:rsidRPr="001455DC" w:rsidRDefault="004E22C1" w:rsidP="000259B5">
      <w:pPr>
        <w:pStyle w:val="a7"/>
      </w:pPr>
      <w:r w:rsidRPr="001455DC">
        <w:t>(3)</w:t>
      </w:r>
      <w:r w:rsidRPr="001455DC">
        <w:tab/>
        <w:t>Other material properties used in the analysis should be included in the evaluation of the model uncertainty determined according to F.</w:t>
      </w:r>
      <w:r w:rsidR="00522059" w:rsidRPr="001455DC">
        <w:t>7</w:t>
      </w:r>
      <w:r w:rsidRPr="001455DC">
        <w:t>.</w:t>
      </w:r>
    </w:p>
    <w:p w14:paraId="12FD38F7" w14:textId="59844EA6" w:rsidR="004E22C1" w:rsidRPr="001455DC" w:rsidRDefault="004E22C1" w:rsidP="00082680">
      <w:pPr>
        <w:pStyle w:val="a2"/>
      </w:pPr>
      <w:bookmarkStart w:id="1539" w:name="_Toc52820173"/>
      <w:bookmarkStart w:id="1540" w:name="_Toc54337162"/>
      <w:bookmarkStart w:id="1541" w:name="_Toc54337590"/>
      <w:bookmarkStart w:id="1542" w:name="_Toc54338228"/>
      <w:bookmarkStart w:id="1543" w:name="_Toc67565557"/>
      <w:r w:rsidRPr="001455DC">
        <w:t>Full probabilistic method</w:t>
      </w:r>
      <w:bookmarkEnd w:id="1539"/>
      <w:bookmarkEnd w:id="1540"/>
      <w:bookmarkEnd w:id="1541"/>
      <w:bookmarkEnd w:id="1542"/>
      <w:bookmarkEnd w:id="1543"/>
    </w:p>
    <w:p w14:paraId="177F162D" w14:textId="38DB2143" w:rsidR="004E22C1" w:rsidRPr="001455DC" w:rsidRDefault="004E22C1" w:rsidP="000259B5">
      <w:pPr>
        <w:pStyle w:val="a7"/>
      </w:pPr>
      <w:r w:rsidRPr="001455DC">
        <w:t>(1)</w:t>
      </w:r>
      <w:r w:rsidRPr="001455DC">
        <w:tab/>
        <w:t xml:space="preserve">The full probabilistic method shall be according to </w:t>
      </w:r>
      <w:r w:rsidR="00D35CC0">
        <w:t>pr</w:t>
      </w:r>
      <w:r w:rsidR="00DF00C7">
        <w:t>EN 1990:20</w:t>
      </w:r>
      <w:r w:rsidR="00D35CC0">
        <w:t xml:space="preserve">20 </w:t>
      </w:r>
      <w:r w:rsidRPr="001455DC">
        <w:t>Annex C.</w:t>
      </w:r>
    </w:p>
    <w:p w14:paraId="018289E7" w14:textId="09AD1B56" w:rsidR="004E22C1" w:rsidRPr="001455DC" w:rsidRDefault="004E22C1" w:rsidP="000259B5">
      <w:pPr>
        <w:pStyle w:val="a7"/>
      </w:pPr>
      <w:r w:rsidRPr="001455DC">
        <w:t>(2)</w:t>
      </w:r>
      <w:r w:rsidRPr="001455DC">
        <w:tab/>
        <w:t xml:space="preserve">The uncertainties of the random variables which are taken into account shall be consistent with </w:t>
      </w:r>
      <w:r w:rsidR="00DF00C7">
        <w:t>pr</w:t>
      </w:r>
      <w:r w:rsidRPr="001455DC">
        <w:t>EN 1990 and Annex A.</w:t>
      </w:r>
    </w:p>
    <w:p w14:paraId="07F11653" w14:textId="5769442E" w:rsidR="004E22C1" w:rsidRPr="001455DC" w:rsidRDefault="004E22C1" w:rsidP="000259B5">
      <w:pPr>
        <w:pStyle w:val="a7"/>
        <w:rPr>
          <w:szCs w:val="22"/>
        </w:rPr>
      </w:pPr>
      <w:r w:rsidRPr="001455DC">
        <w:t>(3)</w:t>
      </w:r>
      <w:r w:rsidRPr="001455DC">
        <w:tab/>
        <w:t>The model uncertainty random variable shall be characterised according to F.</w:t>
      </w:r>
      <w:r w:rsidR="00522059" w:rsidRPr="001455DC">
        <w:t>7</w:t>
      </w:r>
      <w:r w:rsidRPr="001455DC">
        <w:t>.</w:t>
      </w:r>
    </w:p>
    <w:p w14:paraId="46F2127E" w14:textId="43CA13F7" w:rsidR="004E22C1" w:rsidRPr="001455DC" w:rsidRDefault="004E22C1" w:rsidP="00082680">
      <w:pPr>
        <w:pStyle w:val="a2"/>
      </w:pPr>
      <w:bookmarkStart w:id="1544" w:name="_Toc52820174"/>
      <w:bookmarkStart w:id="1545" w:name="_Toc54337163"/>
      <w:bookmarkStart w:id="1546" w:name="_Toc54337591"/>
      <w:bookmarkStart w:id="1547" w:name="_Toc54338229"/>
      <w:bookmarkStart w:id="1548" w:name="_Toc67565558"/>
      <w:r w:rsidRPr="001455DC">
        <w:t>Model uncertainty</w:t>
      </w:r>
      <w:bookmarkEnd w:id="1544"/>
      <w:bookmarkEnd w:id="1545"/>
      <w:bookmarkEnd w:id="1546"/>
      <w:bookmarkEnd w:id="1547"/>
      <w:bookmarkEnd w:id="1548"/>
    </w:p>
    <w:p w14:paraId="4FBC54C9" w14:textId="77777777" w:rsidR="004E22C1" w:rsidRPr="001455DC" w:rsidRDefault="004E22C1" w:rsidP="000259B5">
      <w:pPr>
        <w:pStyle w:val="a7"/>
        <w:rPr>
          <w:szCs w:val="22"/>
        </w:rPr>
      </w:pPr>
      <w:r w:rsidRPr="001455DC">
        <w:t>(1)</w:t>
      </w:r>
      <w:r w:rsidRPr="001455DC">
        <w:tab/>
        <w:t xml:space="preserve">The partial safety factor </w:t>
      </w:r>
      <w:r w:rsidRPr="001455DC">
        <w:rPr>
          <w:rStyle w:val="CCMCvariableitalic"/>
        </w:rPr>
        <w:t>γ</w:t>
      </w:r>
      <w:r w:rsidRPr="001455DC">
        <w:rPr>
          <w:rStyle w:val="CCMCvariablesubscript"/>
        </w:rPr>
        <w:t>Rd</w:t>
      </w:r>
      <w:r w:rsidRPr="001455DC">
        <w:t xml:space="preserve"> should be derived by probabilistic calibrations.</w:t>
      </w:r>
    </w:p>
    <w:p w14:paraId="070D7F7C" w14:textId="027F7EA2" w:rsidR="004E22C1" w:rsidRPr="001455DC" w:rsidRDefault="004E22C1" w:rsidP="000259B5">
      <w:pPr>
        <w:pStyle w:val="Note"/>
      </w:pPr>
      <w:r w:rsidRPr="001455DC">
        <w:rPr>
          <w:bCs/>
        </w:rPr>
        <w:t>NOTE</w:t>
      </w:r>
      <w:r w:rsidR="00DD0C3D" w:rsidRPr="001455DC">
        <w:rPr>
          <w:bCs/>
        </w:rPr>
        <w:t xml:space="preserve"> 1</w:t>
      </w:r>
      <w:r w:rsidRPr="001455DC">
        <w:rPr>
          <w:bCs/>
        </w:rPr>
        <w:tab/>
      </w:r>
      <w:r w:rsidRPr="001455DC">
        <w:t xml:space="preserve">The value of </w:t>
      </w:r>
      <w:r w:rsidRPr="001455DC">
        <w:rPr>
          <w:rStyle w:val="CCMCvariableitalic"/>
        </w:rPr>
        <w:t>γ</w:t>
      </w:r>
      <w:r w:rsidRPr="001455DC">
        <w:rPr>
          <w:rStyle w:val="CCMCvariablesubscript"/>
        </w:rPr>
        <w:t>Rd</w:t>
      </w:r>
      <w:r w:rsidRPr="001455DC">
        <w:t xml:space="preserve"> can be different depending on the adopted software, choices made with respect to the analysis and also depends on the relevant failure modes.</w:t>
      </w:r>
    </w:p>
    <w:p w14:paraId="2BE07112" w14:textId="77777777" w:rsidR="004E22C1" w:rsidRPr="001455DC" w:rsidRDefault="004E22C1" w:rsidP="000259B5">
      <w:pPr>
        <w:pStyle w:val="a7"/>
      </w:pPr>
      <w:r w:rsidRPr="001455DC">
        <w:rPr>
          <w:szCs w:val="22"/>
        </w:rPr>
        <w:t>(2)</w:t>
      </w:r>
      <w:r w:rsidRPr="001455DC">
        <w:rPr>
          <w:szCs w:val="22"/>
        </w:rPr>
        <w:tab/>
      </w:r>
      <w:r w:rsidRPr="001455DC">
        <w:t xml:space="preserve">If probabilistic calculation according to (1) is not performed, </w:t>
      </w:r>
      <w:r w:rsidRPr="001455DC">
        <w:rPr>
          <w:rStyle w:val="CCMCvariableitalic"/>
        </w:rPr>
        <w:t>γ</w:t>
      </w:r>
      <w:r w:rsidRPr="001455DC">
        <w:rPr>
          <w:rStyle w:val="CCMCvariablesubscript"/>
        </w:rPr>
        <w:t>Rd</w:t>
      </w:r>
      <w:r w:rsidRPr="001455DC">
        <w:t xml:space="preserve"> should be set to fixed value.</w:t>
      </w:r>
    </w:p>
    <w:p w14:paraId="5C5E7BC8" w14:textId="7A4D8855" w:rsidR="004E22C1" w:rsidRPr="001455DC" w:rsidRDefault="004E22C1" w:rsidP="00116AE2">
      <w:pPr>
        <w:pStyle w:val="Note"/>
        <w:keepNext/>
        <w:spacing w:after="120"/>
      </w:pPr>
      <w:r w:rsidRPr="001455DC">
        <w:rPr>
          <w:bCs/>
        </w:rPr>
        <w:t>NOTE</w:t>
      </w:r>
      <w:r w:rsidR="00DD0C3D" w:rsidRPr="001455DC">
        <w:rPr>
          <w:bCs/>
        </w:rPr>
        <w:t xml:space="preserve"> 2</w:t>
      </w:r>
      <w:r w:rsidRPr="001455DC">
        <w:rPr>
          <w:bCs/>
        </w:rPr>
        <w:tab/>
      </w:r>
      <w:r w:rsidRPr="001455DC">
        <w:t xml:space="preserve">Unless a National Annex gives different values, the value of </w:t>
      </w:r>
      <w:r w:rsidRPr="001455DC">
        <w:rPr>
          <w:rStyle w:val="CCMCvariableitalic"/>
        </w:rPr>
        <w:t>γ</w:t>
      </w:r>
      <w:r w:rsidRPr="001455DC">
        <w:rPr>
          <w:rStyle w:val="CCMCvariablesubscript"/>
        </w:rPr>
        <w:t>Rd</w:t>
      </w:r>
      <w:r w:rsidRPr="001455DC">
        <w:t xml:space="preserve"> can be taken as:</w:t>
      </w:r>
    </w:p>
    <w:p w14:paraId="2FBF82FF" w14:textId="0871DEC6" w:rsidR="004E22C1" w:rsidRPr="001455DC" w:rsidRDefault="004E22C1" w:rsidP="000259B5">
      <w:pPr>
        <w:pStyle w:val="a0"/>
        <w:rPr>
          <w:sz w:val="20"/>
        </w:rPr>
      </w:pPr>
      <w:r w:rsidRPr="001455DC">
        <w:rPr>
          <w:rStyle w:val="CCMCvariableitalic"/>
          <w:sz w:val="20"/>
        </w:rPr>
        <w:t>γ</w:t>
      </w:r>
      <w:r w:rsidRPr="001455DC">
        <w:rPr>
          <w:rStyle w:val="CCMCvariablesubscript"/>
          <w:sz w:val="20"/>
        </w:rPr>
        <w:t>Rd</w:t>
      </w:r>
      <w:r w:rsidRPr="001455DC">
        <w:rPr>
          <w:sz w:val="20"/>
        </w:rPr>
        <w:t> </w:t>
      </w:r>
      <w:r w:rsidR="00EC27D2" w:rsidRPr="001455DC">
        <w:rPr>
          <w:rFonts w:ascii="Cambria Math" w:hAnsi="Cambria Math"/>
          <w:sz w:val="20"/>
        </w:rPr>
        <w:t>=</w:t>
      </w:r>
      <w:r w:rsidRPr="001455DC">
        <w:rPr>
          <w:sz w:val="20"/>
        </w:rPr>
        <w:t> 1,30 for numerical models in general accounting for also statistical uncertainty;</w:t>
      </w:r>
    </w:p>
    <w:p w14:paraId="61113438" w14:textId="15E006DC" w:rsidR="004E22C1" w:rsidRPr="001455DC" w:rsidRDefault="004E22C1" w:rsidP="000259B5">
      <w:pPr>
        <w:pStyle w:val="a0"/>
        <w:rPr>
          <w:sz w:val="20"/>
        </w:rPr>
      </w:pPr>
      <w:r w:rsidRPr="001455DC">
        <w:rPr>
          <w:rStyle w:val="CCMCvariableitalic"/>
          <w:sz w:val="20"/>
        </w:rPr>
        <w:t>γ</w:t>
      </w:r>
      <w:r w:rsidRPr="001455DC">
        <w:rPr>
          <w:rStyle w:val="CCMCvariablesubscript"/>
          <w:sz w:val="20"/>
        </w:rPr>
        <w:t>Rd</w:t>
      </w:r>
      <w:r w:rsidRPr="001455DC">
        <w:rPr>
          <w:sz w:val="20"/>
        </w:rPr>
        <w:t> </w:t>
      </w:r>
      <w:r w:rsidR="00EC27D2" w:rsidRPr="001455DC">
        <w:rPr>
          <w:rFonts w:ascii="Cambria Math" w:hAnsi="Cambria Math"/>
          <w:sz w:val="20"/>
        </w:rPr>
        <w:t>=</w:t>
      </w:r>
      <w:r w:rsidRPr="001455DC">
        <w:rPr>
          <w:sz w:val="20"/>
        </w:rPr>
        <w:t> 1,06 when 1D-elements are used and bending failure is the determining failure mode.</w:t>
      </w:r>
    </w:p>
    <w:p w14:paraId="6C0D4266" w14:textId="4C3E6D1D" w:rsidR="004E22C1" w:rsidRPr="001455DC" w:rsidRDefault="004E22C1" w:rsidP="000259B5">
      <w:pPr>
        <w:pStyle w:val="Note"/>
      </w:pPr>
      <w:r w:rsidRPr="001455DC">
        <w:t xml:space="preserve">The proposed values for </w:t>
      </w:r>
      <w:r w:rsidRPr="001455DC">
        <w:rPr>
          <w:rStyle w:val="CCMCvariableitalic"/>
        </w:rPr>
        <w:t>γ</w:t>
      </w:r>
      <w:r w:rsidRPr="001455DC">
        <w:rPr>
          <w:rStyle w:val="CCMCvariablesubscript"/>
        </w:rPr>
        <w:t>Rd</w:t>
      </w:r>
      <w:r w:rsidRPr="001455DC">
        <w:t xml:space="preserve"> refer to a reliability index </w:t>
      </w:r>
      <w:r w:rsidRPr="001455DC">
        <w:rPr>
          <w:rStyle w:val="CCMCvariableitalic"/>
        </w:rPr>
        <w:t>β</w:t>
      </w:r>
      <w:r w:rsidRPr="001455DC">
        <w:rPr>
          <w:rStyle w:val="CCMCvariablesubscript"/>
        </w:rPr>
        <w:t>tgt</w:t>
      </w:r>
      <w:r w:rsidRPr="001455DC">
        <w:t> </w:t>
      </w:r>
      <w:r w:rsidR="00EC27D2" w:rsidRPr="001455DC">
        <w:rPr>
          <w:rFonts w:ascii="Cambria Math" w:hAnsi="Cambria Math"/>
        </w:rPr>
        <w:t>=</w:t>
      </w:r>
      <w:r w:rsidRPr="001455DC">
        <w:t> 3,8 for a 50-years reference period.</w:t>
      </w:r>
    </w:p>
    <w:p w14:paraId="53B93F23" w14:textId="20C6C148" w:rsidR="004E22C1" w:rsidRPr="001455DC" w:rsidRDefault="004E22C1" w:rsidP="000259B5">
      <w:pPr>
        <w:pStyle w:val="a7"/>
      </w:pPr>
      <w:r w:rsidRPr="001455DC">
        <w:t>(3)</w:t>
      </w:r>
      <w:r w:rsidRPr="001455DC">
        <w:tab/>
        <w:t xml:space="preserve">In case of probabilistic calibration, the model uncertainty is described by the ratio </w:t>
      </w:r>
      <w:r w:rsidRPr="001455DC">
        <w:rPr>
          <w:rStyle w:val="CCMCvariableitalic"/>
        </w:rPr>
        <w:t>θ</w:t>
      </w:r>
      <w:r w:rsidRPr="001455DC">
        <w:rPr>
          <w:rStyle w:val="CCMCvariablesubscript"/>
        </w:rPr>
        <w:t>i</w:t>
      </w:r>
      <w:r w:rsidRPr="001455DC">
        <w:t>:</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92743C" w:rsidRPr="001455DC" w14:paraId="0F968A4A" w14:textId="77777777" w:rsidTr="004D5FD9">
        <w:trPr>
          <w:cantSplit/>
        </w:trPr>
        <w:tc>
          <w:tcPr>
            <w:tcW w:w="8505" w:type="dxa"/>
            <w:vAlign w:val="center"/>
          </w:tcPr>
          <w:p w14:paraId="4193CE6C" w14:textId="4A1E9EED" w:rsidR="0092743C" w:rsidRPr="001455DC" w:rsidRDefault="00231E33" w:rsidP="004D5FD9">
            <w:pPr>
              <w:pStyle w:val="Formula"/>
              <w:jc w:val="left"/>
            </w:pPr>
            <m:oMathPara>
              <m:oMathParaPr>
                <m:jc m:val="left"/>
              </m:oMathParaPr>
              <m:oMath>
                <m:sSub>
                  <m:sSubPr>
                    <m:ctrlPr>
                      <w:rPr>
                        <w:rFonts w:ascii="Cambria Math" w:hAnsi="Cambria Math"/>
                      </w:rPr>
                    </m:ctrlPr>
                  </m:sSubPr>
                  <m:e>
                    <m:r>
                      <w:rPr>
                        <w:rFonts w:ascii="Cambria Math" w:hAnsi="Cambria Math"/>
                      </w:rPr>
                      <m:t>θ</m:t>
                    </m:r>
                  </m:e>
                  <m:sub>
                    <m:r>
                      <m:rPr>
                        <m:sty m:val="p"/>
                      </m:rPr>
                      <w:rPr>
                        <w:rFonts w:ascii="Cambria Math" w:hAnsi="Cambria Math"/>
                      </w:rPr>
                      <m:t>i</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m:t>
                        </m:r>
                      </m:e>
                      <m:sub>
                        <m:r>
                          <m:rPr>
                            <m:sty m:val="p"/>
                          </m:rPr>
                          <w:rPr>
                            <w:rFonts w:ascii="Cambria Math" w:hAnsi="Cambria Math"/>
                          </w:rPr>
                          <m:t>exp,i</m:t>
                        </m:r>
                      </m:sub>
                    </m:sSub>
                  </m:num>
                  <m:den>
                    <m:sSub>
                      <m:sSubPr>
                        <m:ctrlPr>
                          <w:rPr>
                            <w:rFonts w:ascii="Cambria Math" w:hAnsi="Cambria Math"/>
                          </w:rPr>
                        </m:ctrlPr>
                      </m:sSubPr>
                      <m:e>
                        <m:r>
                          <w:rPr>
                            <w:rFonts w:ascii="Cambria Math" w:hAnsi="Cambria Math"/>
                          </w:rPr>
                          <m:t>R</m:t>
                        </m:r>
                      </m:e>
                      <m:sub>
                        <m:r>
                          <m:rPr>
                            <m:sty m:val="p"/>
                          </m:rPr>
                          <w:rPr>
                            <w:rFonts w:ascii="Cambria Math" w:hAnsi="Cambria Math"/>
                          </w:rPr>
                          <m:t>num,i</m:t>
                        </m:r>
                      </m:sub>
                    </m:sSub>
                  </m:den>
                </m:f>
              </m:oMath>
            </m:oMathPara>
          </w:p>
        </w:tc>
        <w:tc>
          <w:tcPr>
            <w:tcW w:w="1247" w:type="dxa"/>
            <w:vAlign w:val="center"/>
          </w:tcPr>
          <w:p w14:paraId="5E62CE70" w14:textId="3F678BBC" w:rsidR="0092743C" w:rsidRPr="001455DC" w:rsidRDefault="0092743C" w:rsidP="004D5FD9">
            <w:pPr>
              <w:pStyle w:val="a7"/>
              <w:jc w:val="right"/>
            </w:pPr>
            <w:r w:rsidRPr="001455DC">
              <w:t>(F.8)</w:t>
            </w:r>
          </w:p>
        </w:tc>
      </w:tr>
    </w:tbl>
    <w:p w14:paraId="71DEC80C" w14:textId="77777777" w:rsidR="0092743C" w:rsidRPr="001455DC" w:rsidRDefault="0092743C"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737"/>
        <w:gridCol w:w="8675"/>
      </w:tblGrid>
      <w:tr w:rsidR="0092743C" w:rsidRPr="001455DC" w14:paraId="51DD0C54" w14:textId="77777777" w:rsidTr="0092743C">
        <w:trPr>
          <w:cantSplit/>
        </w:trPr>
        <w:tc>
          <w:tcPr>
            <w:tcW w:w="737" w:type="dxa"/>
          </w:tcPr>
          <w:p w14:paraId="0AAD6521" w14:textId="0F41576A" w:rsidR="0092743C" w:rsidRPr="001455DC" w:rsidRDefault="0092743C" w:rsidP="004D5FD9">
            <w:pPr>
              <w:pStyle w:val="Tablebody"/>
            </w:pPr>
            <w:r w:rsidRPr="001455DC">
              <w:rPr>
                <w:rStyle w:val="CCMCvariableitalic"/>
              </w:rPr>
              <w:t>R</w:t>
            </w:r>
            <w:r w:rsidRPr="001455DC">
              <w:rPr>
                <w:rStyle w:val="CCMCvariablesubscript"/>
              </w:rPr>
              <w:t>exp,i</w:t>
            </w:r>
          </w:p>
        </w:tc>
        <w:tc>
          <w:tcPr>
            <w:tcW w:w="8675" w:type="dxa"/>
          </w:tcPr>
          <w:p w14:paraId="390D64B3" w14:textId="1C5ADE51" w:rsidR="0092743C" w:rsidRPr="001455DC" w:rsidRDefault="0092743C" w:rsidP="004D5FD9">
            <w:pPr>
              <w:pStyle w:val="Tablebody"/>
            </w:pPr>
            <w:r w:rsidRPr="001455DC">
              <w:rPr>
                <w:szCs w:val="22"/>
              </w:rPr>
              <w:t xml:space="preserve">is the structural resistance obtained from experiment </w:t>
            </w:r>
            <w:r w:rsidRPr="001455DC">
              <w:rPr>
                <w:rStyle w:val="CCMCvariableitalic"/>
              </w:rPr>
              <w:t>i</w:t>
            </w:r>
            <w:r w:rsidRPr="001455DC">
              <w:rPr>
                <w:szCs w:val="22"/>
              </w:rPr>
              <w:t>;</w:t>
            </w:r>
          </w:p>
        </w:tc>
      </w:tr>
      <w:tr w:rsidR="0092743C" w:rsidRPr="001455DC" w14:paraId="2FC19EF6" w14:textId="77777777" w:rsidTr="0092743C">
        <w:trPr>
          <w:cantSplit/>
        </w:trPr>
        <w:tc>
          <w:tcPr>
            <w:tcW w:w="737" w:type="dxa"/>
          </w:tcPr>
          <w:p w14:paraId="282EE289" w14:textId="3051F91B" w:rsidR="0092743C" w:rsidRPr="001455DC" w:rsidRDefault="0092743C" w:rsidP="004D5FD9">
            <w:pPr>
              <w:pStyle w:val="Tablebody"/>
            </w:pPr>
            <w:r w:rsidRPr="001455DC">
              <w:rPr>
                <w:rStyle w:val="CCMCvariableitalic"/>
              </w:rPr>
              <w:t>R</w:t>
            </w:r>
            <w:r w:rsidRPr="001455DC">
              <w:rPr>
                <w:rStyle w:val="CCMCvariablesubscript"/>
              </w:rPr>
              <w:t>num,i</w:t>
            </w:r>
          </w:p>
        </w:tc>
        <w:tc>
          <w:tcPr>
            <w:tcW w:w="8675" w:type="dxa"/>
          </w:tcPr>
          <w:p w14:paraId="29B56A74" w14:textId="37AAD67D" w:rsidR="0092743C" w:rsidRPr="001455DC" w:rsidRDefault="0092743C" w:rsidP="004D5FD9">
            <w:pPr>
              <w:pStyle w:val="Tablebody"/>
            </w:pPr>
            <w:r w:rsidRPr="001455DC">
              <w:rPr>
                <w:szCs w:val="22"/>
              </w:rPr>
              <w:t xml:space="preserve">is the structural resistance obtained from non-linear numerical simulation of experiment </w:t>
            </w:r>
            <w:r w:rsidRPr="001455DC">
              <w:rPr>
                <w:rStyle w:val="CCMCvariableitalic"/>
              </w:rPr>
              <w:t>i</w:t>
            </w:r>
            <w:r w:rsidRPr="001455DC">
              <w:rPr>
                <w:szCs w:val="22"/>
              </w:rPr>
              <w:t>.</w:t>
            </w:r>
          </w:p>
        </w:tc>
      </w:tr>
    </w:tbl>
    <w:p w14:paraId="58275140" w14:textId="77777777" w:rsidR="004E22C1" w:rsidRPr="001455DC" w:rsidRDefault="004E22C1" w:rsidP="008C277A">
      <w:pPr>
        <w:pStyle w:val="a7"/>
      </w:pPr>
      <w:r w:rsidRPr="001455DC">
        <w:t>(4)</w:t>
      </w:r>
      <w:r w:rsidRPr="001455DC">
        <w:tab/>
        <w:t>The material parameters for the material models used in the non-linear analyses shall be derived from the mean parameters available from benchmark experiments. If their derivation from known measured parameters is not available, default values should be used throughout the validation study.</w:t>
      </w:r>
    </w:p>
    <w:p w14:paraId="7764F131" w14:textId="77777777" w:rsidR="004E22C1" w:rsidRPr="001455DC" w:rsidRDefault="004E22C1" w:rsidP="008C277A">
      <w:pPr>
        <w:pStyle w:val="a7"/>
      </w:pPr>
      <w:r w:rsidRPr="001455DC">
        <w:t>(5)</w:t>
      </w:r>
      <w:r w:rsidRPr="001455DC">
        <w:tab/>
        <w:t xml:space="preserve">The statistical parameters of model uncertainty may be represented by its mean value (or bias factor) </w:t>
      </w:r>
      <w:r w:rsidRPr="001455DC">
        <w:rPr>
          <w:rStyle w:val="CCMCvariableitalic"/>
        </w:rPr>
        <w:t>μ</w:t>
      </w:r>
      <w:r w:rsidRPr="001455DC">
        <w:rPr>
          <w:rStyle w:val="CCMCvariablesubscript"/>
        </w:rPr>
        <w:t>θ</w:t>
      </w:r>
      <w:r w:rsidRPr="001455DC">
        <w:rPr>
          <w:iCs/>
        </w:rPr>
        <w:t xml:space="preserve"> </w:t>
      </w:r>
      <w:r w:rsidRPr="001455DC">
        <w:t xml:space="preserve">and coefficient of variation </w:t>
      </w:r>
      <w:r w:rsidRPr="001455DC">
        <w:rPr>
          <w:rStyle w:val="CCMCvariableitalic"/>
        </w:rPr>
        <w:t>V</w:t>
      </w:r>
      <w:r w:rsidRPr="001455DC">
        <w:rPr>
          <w:rStyle w:val="CCMCvariablesubscript"/>
        </w:rPr>
        <w:t>θ</w:t>
      </w:r>
      <w:r w:rsidRPr="001455DC">
        <w:t xml:space="preserve"> based on a lognormal distribution. The statistical uncertainty should be reflected in the methods used for estimation of the statistical parameters </w:t>
      </w:r>
      <w:r w:rsidRPr="001455DC">
        <w:rPr>
          <w:rStyle w:val="CCMCvariableitalic"/>
        </w:rPr>
        <w:t>μ</w:t>
      </w:r>
      <w:r w:rsidRPr="001455DC">
        <w:rPr>
          <w:rStyle w:val="CCMCvariablesubscript"/>
        </w:rPr>
        <w:t>θ</w:t>
      </w:r>
      <w:r w:rsidRPr="001455DC">
        <w:rPr>
          <w:iCs/>
        </w:rPr>
        <w:t xml:space="preserve"> </w:t>
      </w:r>
      <w:r w:rsidRPr="001455DC">
        <w:t xml:space="preserve">and </w:t>
      </w:r>
      <w:r w:rsidRPr="001455DC">
        <w:rPr>
          <w:rStyle w:val="CCMCvariableitalic"/>
        </w:rPr>
        <w:t>V</w:t>
      </w:r>
      <w:r w:rsidRPr="001455DC">
        <w:rPr>
          <w:rStyle w:val="CCMCvariablesubscript"/>
        </w:rPr>
        <w:t>θ</w:t>
      </w:r>
      <w:r w:rsidRPr="001455DC">
        <w:t>.</w:t>
      </w:r>
    </w:p>
    <w:p w14:paraId="4F8648CF" w14:textId="77777777" w:rsidR="0092743C" w:rsidRPr="001455DC" w:rsidRDefault="004E22C1" w:rsidP="00F77658">
      <w:pPr>
        <w:pStyle w:val="a7"/>
        <w:keepNext/>
      </w:pPr>
      <w:r w:rsidRPr="001455DC">
        <w:t>(6)</w:t>
      </w:r>
      <w:r w:rsidRPr="001455DC">
        <w:tab/>
        <w:t xml:space="preserve">The partial factor </w:t>
      </w:r>
      <w:r w:rsidRPr="001455DC">
        <w:rPr>
          <w:rStyle w:val="CCMCvariableitalic"/>
        </w:rPr>
        <w:t>γ</w:t>
      </w:r>
      <w:r w:rsidRPr="001455DC">
        <w:rPr>
          <w:rStyle w:val="CCMCvariablesubscript"/>
        </w:rPr>
        <w:t>Rd</w:t>
      </w:r>
      <w:r w:rsidRPr="001455DC">
        <w:t xml:space="preserve"> for model uncertainty can be obtained assuming a lognormal probabilistic distribution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92743C" w:rsidRPr="001455DC" w14:paraId="39A45765" w14:textId="77777777" w:rsidTr="004D5FD9">
        <w:trPr>
          <w:cantSplit/>
        </w:trPr>
        <w:tc>
          <w:tcPr>
            <w:tcW w:w="8505" w:type="dxa"/>
            <w:vAlign w:val="center"/>
          </w:tcPr>
          <w:p w14:paraId="6DA41E90" w14:textId="52544753" w:rsidR="0092743C" w:rsidRPr="001455DC" w:rsidRDefault="00231E33" w:rsidP="004D5FD9">
            <w:pPr>
              <w:pStyle w:val="Formula"/>
              <w:jc w:val="left"/>
            </w:pPr>
            <m:oMathPara>
              <m:oMathParaPr>
                <m:jc m:val="left"/>
              </m:oMathParaPr>
              <m:oMath>
                <m:sSub>
                  <m:sSubPr>
                    <m:ctrlPr>
                      <w:rPr>
                        <w:rFonts w:ascii="Cambria Math" w:hAnsi="Cambria Math"/>
                      </w:rPr>
                    </m:ctrlPr>
                  </m:sSubPr>
                  <m:e>
                    <m:r>
                      <w:rPr>
                        <w:rFonts w:ascii="Cambria Math" w:hAnsi="Cambria Math"/>
                      </w:rPr>
                      <m:t>γ</m:t>
                    </m:r>
                  </m:e>
                  <m:sub>
                    <m:r>
                      <m:rPr>
                        <m:sty m:val="p"/>
                      </m:rPr>
                      <w:rPr>
                        <w:rFonts w:ascii="Cambria Math" w:hAnsi="Cambria Math"/>
                      </w:rPr>
                      <m:t>Rd</m:t>
                    </m:r>
                  </m:sub>
                </m:sSub>
                <m:r>
                  <w:rPr>
                    <w:rFonts w:ascii="Cambria Math" w:hAnsi="Cambria Math"/>
                  </w:rPr>
                  <m:t>=</m:t>
                </m:r>
                <m:f>
                  <m:fPr>
                    <m:ctrlPr>
                      <w:rPr>
                        <w:rFonts w:ascii="Cambria Math" w:hAnsi="Cambria Math"/>
                      </w:rPr>
                    </m:ctrlPr>
                  </m:fPr>
                  <m:num>
                    <m:r>
                      <m:rPr>
                        <m:sty m:val="p"/>
                      </m:rPr>
                      <w:rPr>
                        <w:rFonts w:ascii="Cambria Math" w:hAnsi="Cambria Math"/>
                      </w:rPr>
                      <m:t>exp</m:t>
                    </m:r>
                    <m:d>
                      <m:dPr>
                        <m:ctrlPr>
                          <w:rPr>
                            <w:rFonts w:ascii="Cambria Math" w:hAnsi="Cambria Math"/>
                          </w:rPr>
                        </m:ctrlPr>
                      </m:dPr>
                      <m:e>
                        <m:sSub>
                          <m:sSubPr>
                            <m:ctrlPr>
                              <w:rPr>
                                <w:rFonts w:ascii="Cambria Math" w:hAnsi="Cambria Math"/>
                              </w:rPr>
                            </m:ctrlPr>
                          </m:sSubPr>
                          <m:e>
                            <m:r>
                              <w:rPr>
                                <w:rFonts w:ascii="Cambria Math" w:hAnsi="Cambria Math"/>
                              </w:rPr>
                              <m:t>α</m:t>
                            </m:r>
                          </m:e>
                          <m:sub>
                            <m:r>
                              <m:rPr>
                                <m:sty m:val="p"/>
                              </m:rP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tgt</m:t>
                            </m:r>
                          </m:sub>
                        </m:sSub>
                        <m: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θ</m:t>
                            </m:r>
                          </m:sub>
                        </m:sSub>
                      </m:e>
                    </m:d>
                  </m:num>
                  <m:den>
                    <m:sSub>
                      <m:sSubPr>
                        <m:ctrlPr>
                          <w:rPr>
                            <w:rFonts w:ascii="Cambria Math" w:hAnsi="Cambria Math"/>
                          </w:rPr>
                        </m:ctrlPr>
                      </m:sSubPr>
                      <m:e>
                        <m:r>
                          <w:rPr>
                            <w:rFonts w:ascii="Cambria Math" w:hAnsi="Cambria Math"/>
                          </w:rPr>
                          <m:t>μ</m:t>
                        </m:r>
                      </m:e>
                      <m:sub>
                        <m:r>
                          <m:rPr>
                            <m:sty m:val="p"/>
                          </m:rPr>
                          <w:rPr>
                            <w:rFonts w:ascii="Cambria Math" w:hAnsi="Cambria Math"/>
                          </w:rPr>
                          <m:t>θ</m:t>
                        </m:r>
                      </m:sub>
                    </m:sSub>
                  </m:den>
                </m:f>
              </m:oMath>
            </m:oMathPara>
          </w:p>
        </w:tc>
        <w:tc>
          <w:tcPr>
            <w:tcW w:w="1247" w:type="dxa"/>
            <w:vAlign w:val="center"/>
          </w:tcPr>
          <w:p w14:paraId="4C3573B2" w14:textId="64A703A9" w:rsidR="0092743C" w:rsidRPr="001455DC" w:rsidRDefault="0092743C" w:rsidP="004D5FD9">
            <w:pPr>
              <w:pStyle w:val="a7"/>
              <w:jc w:val="right"/>
            </w:pPr>
            <w:r w:rsidRPr="001455DC">
              <w:t>(F.8)</w:t>
            </w:r>
          </w:p>
        </w:tc>
      </w:tr>
    </w:tbl>
    <w:p w14:paraId="38EA1AC6" w14:textId="77777777" w:rsidR="0092743C" w:rsidRPr="001455DC" w:rsidRDefault="0092743C"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92743C" w:rsidRPr="001455DC" w14:paraId="05705DAD" w14:textId="77777777" w:rsidTr="004D5FD9">
        <w:trPr>
          <w:cantSplit/>
        </w:trPr>
        <w:tc>
          <w:tcPr>
            <w:tcW w:w="567" w:type="dxa"/>
          </w:tcPr>
          <w:p w14:paraId="0811F394" w14:textId="33536302" w:rsidR="0092743C" w:rsidRPr="001455DC" w:rsidRDefault="0092743C" w:rsidP="0000442A">
            <w:pPr>
              <w:pStyle w:val="Tablebody"/>
            </w:pPr>
            <w:r w:rsidRPr="001455DC">
              <w:rPr>
                <w:rStyle w:val="CCMCvariableitalic"/>
              </w:rPr>
              <w:t>α</w:t>
            </w:r>
            <w:r w:rsidRPr="001455DC">
              <w:rPr>
                <w:rStyle w:val="CCMCvariablesubscript"/>
              </w:rPr>
              <w:t>R</w:t>
            </w:r>
          </w:p>
        </w:tc>
        <w:tc>
          <w:tcPr>
            <w:tcW w:w="8845" w:type="dxa"/>
          </w:tcPr>
          <w:p w14:paraId="33BA197B" w14:textId="42012D8B" w:rsidR="0092743C" w:rsidRPr="001455DC" w:rsidRDefault="0092743C" w:rsidP="00BB1209">
            <w:pPr>
              <w:pStyle w:val="Tablebody"/>
            </w:pPr>
            <w:r w:rsidRPr="001455DC">
              <w:t xml:space="preserve">is the sensitivity factor for non-dominant variables: </w:t>
            </w:r>
            <w:r w:rsidRPr="001455DC">
              <w:rPr>
                <w:rStyle w:val="CCMCvariableitalic"/>
              </w:rPr>
              <w:t>α</w:t>
            </w:r>
            <w:r w:rsidRPr="001455DC">
              <w:rPr>
                <w:rStyle w:val="CCMCvariablesubscript"/>
              </w:rPr>
              <w:t>R</w:t>
            </w:r>
            <w:r w:rsidRPr="001455DC">
              <w:t> </w:t>
            </w:r>
            <w:r w:rsidR="00EC27D2" w:rsidRPr="001455DC">
              <w:rPr>
                <w:rFonts w:ascii="Cambria Math" w:hAnsi="Cambria Math"/>
              </w:rPr>
              <w:t>=</w:t>
            </w:r>
            <w:r w:rsidRPr="001455DC">
              <w:t> 0,32;</w:t>
            </w:r>
          </w:p>
        </w:tc>
      </w:tr>
      <w:tr w:rsidR="0092743C" w:rsidRPr="001455DC" w14:paraId="54908AA4" w14:textId="77777777" w:rsidTr="004D5FD9">
        <w:trPr>
          <w:cantSplit/>
        </w:trPr>
        <w:tc>
          <w:tcPr>
            <w:tcW w:w="567" w:type="dxa"/>
          </w:tcPr>
          <w:p w14:paraId="57B341D5" w14:textId="0B12B153" w:rsidR="0092743C" w:rsidRPr="001455DC" w:rsidRDefault="0092743C" w:rsidP="00D86695">
            <w:pPr>
              <w:pStyle w:val="Tablebody"/>
            </w:pPr>
            <w:r w:rsidRPr="001455DC">
              <w:rPr>
                <w:rStyle w:val="CCMCvariableitalic"/>
              </w:rPr>
              <w:t>β</w:t>
            </w:r>
            <w:r w:rsidRPr="001455DC">
              <w:rPr>
                <w:rStyle w:val="CCMCvariablesubscript"/>
              </w:rPr>
              <w:t>tgt</w:t>
            </w:r>
          </w:p>
        </w:tc>
        <w:tc>
          <w:tcPr>
            <w:tcW w:w="8845" w:type="dxa"/>
          </w:tcPr>
          <w:p w14:paraId="12F177E0" w14:textId="4BB92832" w:rsidR="0092743C" w:rsidRPr="001455DC" w:rsidRDefault="0092743C" w:rsidP="00D86695">
            <w:pPr>
              <w:pStyle w:val="Tablebody"/>
            </w:pPr>
            <w:r w:rsidRPr="001455DC">
              <w:t xml:space="preserve">is the reliability index according to </w:t>
            </w:r>
            <w:r w:rsidR="00DF00C7">
              <w:t>pr</w:t>
            </w:r>
            <w:r w:rsidRPr="001455DC">
              <w:t>EN 1990 or Annex A.</w:t>
            </w:r>
          </w:p>
        </w:tc>
      </w:tr>
    </w:tbl>
    <w:p w14:paraId="22AAF774" w14:textId="770B5DFC" w:rsidR="004E22C1" w:rsidRPr="001455DC" w:rsidRDefault="004E22C1" w:rsidP="008C277A">
      <w:pPr>
        <w:pStyle w:val="a7"/>
      </w:pPr>
      <w:r w:rsidRPr="001455DC">
        <w:t>(7)</w:t>
      </w:r>
      <w:r w:rsidRPr="001455DC">
        <w:tab/>
        <w:t>When the design structural resistance is evaluated according to F.</w:t>
      </w:r>
      <w:r w:rsidR="00B603A5" w:rsidRPr="001455DC">
        <w:t xml:space="preserve">4 </w:t>
      </w:r>
      <w:r w:rsidRPr="001455DC">
        <w:t>and F.</w:t>
      </w:r>
      <w:r w:rsidR="00B603A5" w:rsidRPr="001455DC">
        <w:t>5</w:t>
      </w:r>
      <w:r w:rsidRPr="001455DC">
        <w:t xml:space="preserve">, in case the response of the non-linear numerical model of the structure turns out to be sensitive to influence of the probabilistic distributions of materials properties, the partial safety factor </w:t>
      </w:r>
      <w:r w:rsidRPr="001455DC">
        <w:rPr>
          <w:rStyle w:val="CCMCvariableitalic"/>
        </w:rPr>
        <w:t>γ</w:t>
      </w:r>
      <w:r w:rsidRPr="001455DC">
        <w:rPr>
          <w:rStyle w:val="CCMCvariablesubscript"/>
        </w:rPr>
        <w:t>Rd</w:t>
      </w:r>
      <w:r w:rsidRPr="001455DC">
        <w:t xml:space="preserve"> derived according to (1) or (2) shall be increased.</w:t>
      </w:r>
    </w:p>
    <w:p w14:paraId="13E3D7F6" w14:textId="77777777" w:rsidR="004E22C1" w:rsidRPr="001455DC" w:rsidRDefault="004E22C1" w:rsidP="00116AE2">
      <w:pPr>
        <w:pStyle w:val="a7"/>
        <w:keepNext/>
      </w:pPr>
      <w:r w:rsidRPr="001455DC">
        <w:t>(8)</w:t>
      </w:r>
      <w:r w:rsidRPr="001455DC">
        <w:tab/>
        <w:t>The sensitivity of the response of non-linear numerical model to influence of the probabilistic distributions of materials properties may be assessed by means of three preliminary non-linear numerical simulations using:</w:t>
      </w:r>
    </w:p>
    <w:p w14:paraId="26E0C266" w14:textId="5B25683F" w:rsidR="004E22C1" w:rsidRPr="001455DC" w:rsidRDefault="004E22C1" w:rsidP="00082680">
      <w:pPr>
        <w:pStyle w:val="a0"/>
        <w:numPr>
          <w:ilvl w:val="0"/>
          <w:numId w:val="34"/>
        </w:numPr>
      </w:pPr>
      <w:r w:rsidRPr="001455DC">
        <w:t>mean concrete properties combined to design reinforcement properties;</w:t>
      </w:r>
    </w:p>
    <w:p w14:paraId="178E8837" w14:textId="451D24EF" w:rsidR="004E22C1" w:rsidRPr="001455DC" w:rsidRDefault="004E22C1" w:rsidP="00082680">
      <w:pPr>
        <w:pStyle w:val="a0"/>
        <w:numPr>
          <w:ilvl w:val="0"/>
          <w:numId w:val="34"/>
        </w:numPr>
      </w:pPr>
      <w:r w:rsidRPr="001455DC">
        <w:t>design concrete properties combined to mean reinforcement properties;</w:t>
      </w:r>
    </w:p>
    <w:p w14:paraId="520C728E" w14:textId="0A1EBBD2" w:rsidR="004E22C1" w:rsidRPr="001455DC" w:rsidRDefault="004E22C1" w:rsidP="00082680">
      <w:pPr>
        <w:pStyle w:val="a0"/>
        <w:numPr>
          <w:ilvl w:val="0"/>
          <w:numId w:val="34"/>
        </w:numPr>
      </w:pPr>
      <w:r w:rsidRPr="001455DC">
        <w:t>design concrete properties combined to design reinforcement properties.</w:t>
      </w:r>
    </w:p>
    <w:p w14:paraId="4293A3DA" w14:textId="403360C3" w:rsidR="004E22C1" w:rsidRPr="001455DC" w:rsidRDefault="004E22C1" w:rsidP="008C277A">
      <w:pPr>
        <w:pStyle w:val="a7"/>
      </w:pPr>
      <w:r w:rsidRPr="001455DC">
        <w:t xml:space="preserve">If the results in terms of structural resistance of (a) and/or (b) are </w:t>
      </w:r>
      <w:r w:rsidR="00F57D6E" w:rsidRPr="001455DC">
        <w:t>unfavourable</w:t>
      </w:r>
      <w:r w:rsidRPr="001455DC">
        <w:t xml:space="preserve"> with respect to the one of (c), the response of the non-linear numerical model is sensitive.</w:t>
      </w:r>
    </w:p>
    <w:p w14:paraId="3501BC1C" w14:textId="77777777" w:rsidR="004E22C1" w:rsidRPr="001455DC" w:rsidRDefault="004E22C1" w:rsidP="008C277A">
      <w:pPr>
        <w:pStyle w:val="Note"/>
      </w:pPr>
      <w:r w:rsidRPr="001455DC">
        <w:t>NOTE</w:t>
      </w:r>
      <w:r w:rsidRPr="001455DC">
        <w:tab/>
        <w:t xml:space="preserve">Unless more detailed probabilistic investigation of structural resistance is performed or a National Annex gives other specifications, the partial safety factor </w:t>
      </w:r>
      <w:r w:rsidRPr="001455DC">
        <w:rPr>
          <w:rStyle w:val="CCMCvariableitalic"/>
        </w:rPr>
        <w:t>γ</w:t>
      </w:r>
      <w:r w:rsidRPr="001455DC">
        <w:rPr>
          <w:rStyle w:val="CCMCvariablesubscript"/>
        </w:rPr>
        <w:t>Rd</w:t>
      </w:r>
      <w:r w:rsidRPr="001455DC">
        <w:t xml:space="preserve"> may be increased by 15 %.</w:t>
      </w:r>
    </w:p>
    <w:p w14:paraId="22013ED5" w14:textId="1C10E52C" w:rsidR="004E22C1" w:rsidRPr="001455DC" w:rsidRDefault="008C277A" w:rsidP="008C277A">
      <w:pPr>
        <w:pStyle w:val="ANNEX"/>
      </w:pPr>
      <w:bookmarkStart w:id="1549" w:name="_Toc52820175"/>
      <w:r w:rsidRPr="001455DC">
        <w:br/>
      </w:r>
      <w:bookmarkStart w:id="1550" w:name="_Toc54337164"/>
      <w:bookmarkStart w:id="1551" w:name="_Toc54337592"/>
      <w:bookmarkStart w:id="1552" w:name="_Toc54338230"/>
      <w:bookmarkStart w:id="1553" w:name="_Toc67565559"/>
      <w:r w:rsidR="004E22C1" w:rsidRPr="001455DC">
        <w:rPr>
          <w:b w:val="0"/>
        </w:rPr>
        <w:t>(normative)</w:t>
      </w:r>
      <w:r w:rsidRPr="001455DC">
        <w:rPr>
          <w:b w:val="0"/>
        </w:rPr>
        <w:br/>
      </w:r>
      <w:r w:rsidRPr="001455DC">
        <w:br/>
      </w:r>
      <w:r w:rsidR="004E22C1" w:rsidRPr="001455DC">
        <w:t>Design of membrane-, shell- and slab elements</w:t>
      </w:r>
      <w:bookmarkEnd w:id="1549"/>
      <w:bookmarkEnd w:id="1550"/>
      <w:bookmarkEnd w:id="1551"/>
      <w:bookmarkEnd w:id="1552"/>
      <w:bookmarkEnd w:id="1553"/>
    </w:p>
    <w:p w14:paraId="4231A9D9" w14:textId="2453124E" w:rsidR="00B269EF" w:rsidRPr="001455DC" w:rsidRDefault="00B269EF" w:rsidP="00082680">
      <w:pPr>
        <w:pStyle w:val="a2"/>
      </w:pPr>
      <w:bookmarkStart w:id="1554" w:name="_Toc67565560"/>
      <w:bookmarkStart w:id="1555" w:name="_Toc52820176"/>
      <w:bookmarkStart w:id="1556" w:name="_Toc54337165"/>
      <w:bookmarkStart w:id="1557" w:name="_Toc54337593"/>
      <w:bookmarkStart w:id="1558" w:name="_Toc54338231"/>
      <w:r w:rsidRPr="001455DC">
        <w:t>Use of this annex</w:t>
      </w:r>
      <w:bookmarkEnd w:id="1554"/>
    </w:p>
    <w:p w14:paraId="3FF0307E" w14:textId="5A71E0C8" w:rsidR="00B269EF" w:rsidRPr="009D3012" w:rsidRDefault="00B269EF" w:rsidP="009D3012">
      <w:pPr>
        <w:pStyle w:val="a7"/>
      </w:pPr>
      <w:r w:rsidRPr="009D3012">
        <w:t>(1) This Normative Annex contains additional provisions for the design of planar members. The formulations presented in G.3 and G.</w:t>
      </w:r>
      <w:r w:rsidR="008D35BC" w:rsidRPr="009D3012">
        <w:t>4</w:t>
      </w:r>
      <w:r w:rsidRPr="009D3012">
        <w:t xml:space="preserve"> are consistent with the clauses and design provisions in Clause 8 and G.</w:t>
      </w:r>
      <w:r w:rsidR="008D35BC" w:rsidRPr="009D3012">
        <w:t>5</w:t>
      </w:r>
      <w:r w:rsidRPr="009D3012">
        <w:t xml:space="preserve"> gives additional provisions to 9.2.</w:t>
      </w:r>
    </w:p>
    <w:p w14:paraId="24D43FFB" w14:textId="48FC7E8B" w:rsidR="004E22C1" w:rsidRPr="001455DC" w:rsidRDefault="004E22C1" w:rsidP="00082680">
      <w:pPr>
        <w:pStyle w:val="a2"/>
      </w:pPr>
      <w:bookmarkStart w:id="1559" w:name="_Toc67565561"/>
      <w:r w:rsidRPr="001455DC">
        <w:t>Scope</w:t>
      </w:r>
      <w:bookmarkEnd w:id="1555"/>
      <w:bookmarkEnd w:id="1556"/>
      <w:bookmarkEnd w:id="1557"/>
      <w:bookmarkEnd w:id="1558"/>
      <w:r w:rsidR="00B269EF" w:rsidRPr="001455DC">
        <w:t xml:space="preserve"> and field of application</w:t>
      </w:r>
      <w:bookmarkEnd w:id="1559"/>
    </w:p>
    <w:p w14:paraId="7DA74869" w14:textId="4997DDBB" w:rsidR="004E22C1" w:rsidRPr="001455DC" w:rsidRDefault="004E22C1" w:rsidP="008C277A">
      <w:pPr>
        <w:pStyle w:val="a7"/>
        <w:rPr>
          <w:bCs/>
        </w:rPr>
      </w:pPr>
      <w:r w:rsidRPr="001455DC">
        <w:t>(1)</w:t>
      </w:r>
      <w:r w:rsidRPr="001455DC">
        <w:tab/>
      </w:r>
      <w:r w:rsidR="00B269EF" w:rsidRPr="001455DC">
        <w:t>This Normative Annex covers the design of planar members without discontinuities</w:t>
      </w:r>
      <w:r w:rsidRPr="001455DC">
        <w:t>.</w:t>
      </w:r>
    </w:p>
    <w:p w14:paraId="1591E83F" w14:textId="2C77C274" w:rsidR="004E22C1" w:rsidRPr="001455DC" w:rsidRDefault="004E22C1" w:rsidP="00082680">
      <w:pPr>
        <w:pStyle w:val="a2"/>
      </w:pPr>
      <w:bookmarkStart w:id="1560" w:name="_Toc52820177"/>
      <w:bookmarkStart w:id="1561" w:name="_Toc54337166"/>
      <w:bookmarkStart w:id="1562" w:name="_Toc54337594"/>
      <w:bookmarkStart w:id="1563" w:name="_Toc54338232"/>
      <w:bookmarkStart w:id="1564" w:name="_Toc67565562"/>
      <w:r w:rsidRPr="001455DC">
        <w:t>Design of membrane elements in ULS</w:t>
      </w:r>
      <w:bookmarkEnd w:id="1560"/>
      <w:bookmarkEnd w:id="1561"/>
      <w:bookmarkEnd w:id="1562"/>
      <w:bookmarkEnd w:id="1563"/>
      <w:bookmarkEnd w:id="1564"/>
    </w:p>
    <w:p w14:paraId="1987755B" w14:textId="3ADB988C" w:rsidR="004E22C1" w:rsidRPr="001455DC" w:rsidRDefault="004E22C1" w:rsidP="008C277A">
      <w:pPr>
        <w:pStyle w:val="a7"/>
      </w:pPr>
      <w:r w:rsidRPr="001455DC">
        <w:rPr>
          <w:szCs w:val="22"/>
        </w:rPr>
        <w:t>(1)</w:t>
      </w:r>
      <w:r w:rsidRPr="001455DC">
        <w:rPr>
          <w:szCs w:val="22"/>
        </w:rPr>
        <w:tab/>
      </w:r>
      <w:r w:rsidRPr="001455DC">
        <w:t xml:space="preserve">In locations where </w:t>
      </w:r>
      <w:r w:rsidRPr="001455DC">
        <w:rPr>
          <w:rStyle w:val="CCMCvariableitalic"/>
        </w:rPr>
        <w:t>σ</w:t>
      </w:r>
      <w:r w:rsidRPr="001455DC">
        <w:rPr>
          <w:rStyle w:val="CCMCvariablesubscript"/>
        </w:rPr>
        <w:t>Edx</w:t>
      </w:r>
      <w:r w:rsidRPr="001455DC">
        <w:t xml:space="preserve"> and </w:t>
      </w:r>
      <w:r w:rsidRPr="001455DC">
        <w:rPr>
          <w:rStyle w:val="CCMCvariableitalic"/>
        </w:rPr>
        <w:t>σ</w:t>
      </w:r>
      <w:r w:rsidRPr="001455DC">
        <w:rPr>
          <w:rStyle w:val="CCMCvariablesubscript"/>
        </w:rPr>
        <w:t>Edy</w:t>
      </w:r>
      <w:r w:rsidRPr="001455DC">
        <w:t xml:space="preserve"> are both compressive and </w:t>
      </w:r>
      <w:r w:rsidRPr="001455DC">
        <w:rPr>
          <w:rStyle w:val="CCMCvariableitalic"/>
        </w:rPr>
        <w:t>σ</w:t>
      </w:r>
      <w:r w:rsidRPr="001455DC">
        <w:rPr>
          <w:rStyle w:val="CCMCvariablesubscript"/>
        </w:rPr>
        <w:t>Edx</w:t>
      </w:r>
      <w:r w:rsidRPr="001455DC">
        <w:t> </w:t>
      </w:r>
      <w:r w:rsidRPr="001455DC">
        <w:rPr>
          <w:rFonts w:ascii="Cambria Math" w:hAnsi="Cambria Math" w:cs="Cambria Math"/>
          <w:szCs w:val="18"/>
        </w:rPr>
        <w:t>⋅</w:t>
      </w:r>
      <w:r w:rsidRPr="001455DC">
        <w:t> </w:t>
      </w:r>
      <w:r w:rsidRPr="001455DC">
        <w:rPr>
          <w:rStyle w:val="CCMCvariableitalic"/>
        </w:rPr>
        <w:t>σ</w:t>
      </w:r>
      <w:r w:rsidRPr="001455DC">
        <w:rPr>
          <w:rStyle w:val="CCMCvariablesubscript"/>
        </w:rPr>
        <w:t>Edy</w:t>
      </w:r>
      <w:r w:rsidR="00650035" w:rsidRPr="001455DC">
        <w:t> </w:t>
      </w:r>
      <w:r w:rsidR="00650035" w:rsidRPr="001455DC">
        <w:rPr>
          <w:rFonts w:ascii="Cambria Math" w:hAnsi="Cambria Math"/>
        </w:rPr>
        <w:t>&gt;</w:t>
      </w:r>
      <w:r w:rsidR="00650035" w:rsidRPr="001455DC">
        <w:t> </w:t>
      </w:r>
      <w:r w:rsidRPr="001455DC">
        <w:rPr>
          <w:rStyle w:val="CCMCvariableitalic"/>
        </w:rPr>
        <w:t>τ</w:t>
      </w:r>
      <w:r w:rsidRPr="001455DC">
        <w:rPr>
          <w:rStyle w:val="CCMCvariablesubscript"/>
        </w:rPr>
        <w:t>Edx</w:t>
      </w:r>
      <w:r w:rsidRPr="001455DC">
        <w:t xml:space="preserve">², design of reinforcement is not required. However, the maximum principal compressive stress should not exceed </w:t>
      </w:r>
      <w:r w:rsidRPr="001455DC">
        <w:rPr>
          <w:rStyle w:val="CCMCvariableitalic"/>
        </w:rPr>
        <w:t>f</w:t>
      </w:r>
      <w:r w:rsidRPr="001455DC">
        <w:rPr>
          <w:rStyle w:val="CCMCvariablesubscript"/>
        </w:rPr>
        <w:t>cd</w:t>
      </w:r>
      <w:r w:rsidRPr="001455DC">
        <w:t xml:space="preserve">. Otherwise, the membrane forces are carried by tensile reinforcements in </w:t>
      </w:r>
      <w:r w:rsidRPr="001455DC">
        <w:rPr>
          <w:rStyle w:val="CCMCvariableitalic"/>
        </w:rPr>
        <w:t>x</w:t>
      </w:r>
      <w:r w:rsidRPr="001455DC">
        <w:t xml:space="preserve">- and </w:t>
      </w:r>
      <w:r w:rsidRPr="001455DC">
        <w:rPr>
          <w:rStyle w:val="CCMCvariableitalic"/>
        </w:rPr>
        <w:t>y</w:t>
      </w:r>
      <w:r w:rsidRPr="001455DC">
        <w:t xml:space="preserve"> directions and a compression field inclined at an angle </w:t>
      </w:r>
      <w:r w:rsidRPr="001455DC">
        <w:rPr>
          <w:rStyle w:val="CCMCvariableitalic"/>
        </w:rPr>
        <w:t>θ</w:t>
      </w:r>
      <w:r w:rsidRPr="001455DC">
        <w:t xml:space="preserve"> to </w:t>
      </w:r>
      <w:r w:rsidRPr="001455DC">
        <w:rPr>
          <w:rStyle w:val="CCMCvariableitalic"/>
        </w:rPr>
        <w:t>x</w:t>
      </w:r>
      <w:r w:rsidRPr="001455DC">
        <w:t xml:space="preserve">-axis as shown in Figure G.1 with a strength of </w:t>
      </w:r>
      <w:r w:rsidRPr="001455DC">
        <w:rPr>
          <w:rStyle w:val="CCMCvariableitalic"/>
        </w:rPr>
        <w:t>ν</w:t>
      </w:r>
      <w:r w:rsidRPr="001455DC">
        <w:t> </w:t>
      </w:r>
      <w:r w:rsidR="00C74721" w:rsidRPr="001455DC">
        <w:rPr>
          <w:rFonts w:ascii="Cambria Math" w:hAnsi="Cambria Math"/>
        </w:rPr>
        <w:t>⋅</w:t>
      </w:r>
      <w:r w:rsidRPr="001455DC">
        <w:t> </w:t>
      </w:r>
      <w:r w:rsidRPr="001455DC">
        <w:rPr>
          <w:rStyle w:val="CCMCvariableitalic"/>
        </w:rPr>
        <w:t>f</w:t>
      </w:r>
      <w:r w:rsidRPr="001455DC">
        <w:rPr>
          <w:rStyle w:val="CCMCvariablesubscript"/>
        </w:rPr>
        <w:t>cd</w:t>
      </w:r>
      <w:r w:rsidRPr="001455DC">
        <w:t>.</w:t>
      </w:r>
    </w:p>
    <w:p w14:paraId="7CADEDEF" w14:textId="79988654" w:rsidR="004E22C1" w:rsidRPr="001455DC" w:rsidRDefault="00723CF7" w:rsidP="008C277A">
      <w:pPr>
        <w:pStyle w:val="FigureImage"/>
      </w:pPr>
      <w:r>
        <w:rPr>
          <w:noProof/>
          <w:lang w:eastAsia="en-GB"/>
        </w:rPr>
        <w:fldChar w:fldCharType="begin"/>
      </w:r>
      <w:r>
        <w:rPr>
          <w:noProof/>
          <w:lang w:eastAsia="en-GB"/>
        </w:rPr>
        <w:instrText xml:space="preserve"> INCLUDEPICTURE  "Y:\\STD_MGT\\STDDEL\\PRODUCTION\\etrans\\Download\\Z_FIRST_DEL\\SV\\00250\\00250269\\41_e_dr\\g001.tif"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"Y:\\STD_MGT\\STDDEL\\PRODUCTION\\Standards\\00250\\269\\41_e_dr\\g001.tif"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"Y:\\STD_MGT\\STDDEL\\PRODUCTION\\Standards\\00250\\269\\41_e_dr\\g001.tif"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"Y:\\STD_MGT\\STDDEL\\PRODUCTION\\Standards\\00250\\269\\41_e_dr\\g001.tif"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"Y:\\STD_MGT\\STDDEL\\PRODUCTION\\Standards\\00250\\269\\41_e_dr\\g001.tif"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"Y:\\STD_MGT\\STDDEL\\PRODUCTION\\Standards\\00250\\269\\41_e_dr\\g001.tif"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w:instrText>
      </w:r>
      <w:r w:rsidR="00231E33">
        <w:rPr>
          <w:noProof/>
          <w:lang w:eastAsia="en-GB"/>
        </w:rPr>
        <w:instrText>p1_00250269_e_20210902.zip.zip\\41_e_dr\\g001.tif"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7D1DDB3D">
          <v:shape id="_x0000_i1307" type="#_x0000_t75" style="width:339pt;height:144.75pt">
            <v:imagedata r:id="rId584" r:href="rId585"/>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378DEDC6" w14:textId="77777777" w:rsidR="004E22C1" w:rsidRPr="001455DC" w:rsidRDefault="004E22C1" w:rsidP="008C277A">
      <w:pPr>
        <w:pStyle w:val="Figuretitle"/>
      </w:pPr>
      <w:r w:rsidRPr="001455DC">
        <w:t>Figure G.1</w:t>
      </w:r>
      <w:r w:rsidRPr="001455DC">
        <w:rPr>
          <w:lang w:eastAsia="ja-JP"/>
        </w:rPr>
        <w:t xml:space="preserve"> — </w:t>
      </w:r>
      <w:r w:rsidRPr="001455DC">
        <w:t xml:space="preserve">In-plane stresses in membrane element and definition of compression stress field inclination </w:t>
      </w:r>
      <w:r w:rsidRPr="001455DC">
        <w:rPr>
          <w:rStyle w:val="CCMCvariableitalic"/>
        </w:rPr>
        <w:t>θ</w:t>
      </w:r>
    </w:p>
    <w:p w14:paraId="512798F5" w14:textId="77777777" w:rsidR="00611D67" w:rsidRPr="001455DC" w:rsidRDefault="004E22C1" w:rsidP="00611D67">
      <w:pPr>
        <w:pStyle w:val="a7"/>
      </w:pPr>
      <w:r w:rsidRPr="001455DC">
        <w:t>(2)</w:t>
      </w:r>
      <w:r w:rsidRPr="001455DC">
        <w:tab/>
        <w:t>The tensile strengths provided by reinforcement are:</w:t>
      </w:r>
    </w:p>
    <w:tbl>
      <w:tblPr>
        <w:tblStyle w:val="ad"/>
        <w:tblW w:w="9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1418"/>
        <w:gridCol w:w="7088"/>
        <w:gridCol w:w="1247"/>
      </w:tblGrid>
      <w:tr w:rsidR="00611D67" w:rsidRPr="001455DC" w14:paraId="69044910" w14:textId="77777777" w:rsidTr="00611D67">
        <w:trPr>
          <w:cantSplit/>
        </w:trPr>
        <w:tc>
          <w:tcPr>
            <w:tcW w:w="1418" w:type="dxa"/>
            <w:vAlign w:val="center"/>
          </w:tcPr>
          <w:p w14:paraId="30708656" w14:textId="37E53BB8" w:rsidR="00611D67" w:rsidRPr="001455DC" w:rsidRDefault="00611D67" w:rsidP="00611D67">
            <w:pPr>
              <w:pStyle w:val="Formula"/>
              <w:jc w:val="left"/>
              <w:rPr>
                <w:rStyle w:val="CCMCvariablesubscript"/>
              </w:rPr>
            </w:pPr>
            <w:r w:rsidRPr="001455DC">
              <w:rPr>
                <w:rStyle w:val="CCMCvariableitalic"/>
              </w:rPr>
              <w:t>f</w:t>
            </w:r>
            <w:r w:rsidRPr="001455DC">
              <w:rPr>
                <w:rStyle w:val="CCMCvariablesubscript"/>
              </w:rPr>
              <w:t>tdx</w:t>
            </w:r>
            <w:r w:rsidRPr="001455DC">
              <w:t> </w:t>
            </w:r>
            <w:r w:rsidR="00EC27D2" w:rsidRPr="001455DC">
              <w:rPr>
                <w:rFonts w:ascii="Cambria Math" w:hAnsi="Cambria Math"/>
              </w:rPr>
              <w:t>=</w:t>
            </w:r>
            <w:r w:rsidRPr="001455DC">
              <w:t> </w:t>
            </w:r>
            <w:r w:rsidRPr="001455DC">
              <w:rPr>
                <w:rStyle w:val="CCMCvariableitalic"/>
              </w:rPr>
              <w:t>ρ</w:t>
            </w:r>
            <w:r w:rsidRPr="001455DC">
              <w:rPr>
                <w:rStyle w:val="CCMCvariablesubscript"/>
              </w:rPr>
              <w:t>x</w:t>
            </w:r>
          </w:p>
        </w:tc>
        <w:tc>
          <w:tcPr>
            <w:tcW w:w="7088" w:type="dxa"/>
            <w:vAlign w:val="center"/>
          </w:tcPr>
          <w:p w14:paraId="7723CF49" w14:textId="0B1E9CC2" w:rsidR="00611D67" w:rsidRPr="001455DC" w:rsidRDefault="00611D67" w:rsidP="00611D67">
            <w:pPr>
              <w:pStyle w:val="Formula"/>
              <w:jc w:val="left"/>
            </w:pPr>
            <w:r w:rsidRPr="001455DC">
              <w:rPr>
                <w:rStyle w:val="CCMCvariableitalic"/>
              </w:rPr>
              <w:t>f</w:t>
            </w:r>
            <w:r w:rsidRPr="001455DC">
              <w:rPr>
                <w:rStyle w:val="CCMCvariablesubscript"/>
              </w:rPr>
              <w:t>yd,x</w:t>
            </w:r>
          </w:p>
        </w:tc>
        <w:tc>
          <w:tcPr>
            <w:tcW w:w="1247" w:type="dxa"/>
            <w:vAlign w:val="center"/>
          </w:tcPr>
          <w:p w14:paraId="33D40D05" w14:textId="057599F6" w:rsidR="00611D67" w:rsidRPr="001455DC" w:rsidRDefault="00611D67" w:rsidP="00611D67">
            <w:pPr>
              <w:pStyle w:val="a7"/>
              <w:jc w:val="right"/>
            </w:pPr>
            <w:r w:rsidRPr="001455DC">
              <w:t>(G.1)</w:t>
            </w:r>
          </w:p>
        </w:tc>
      </w:tr>
      <w:tr w:rsidR="00611D67" w:rsidRPr="001455DC" w14:paraId="374F86E2" w14:textId="77777777" w:rsidTr="00611D67">
        <w:trPr>
          <w:cantSplit/>
        </w:trPr>
        <w:tc>
          <w:tcPr>
            <w:tcW w:w="1418" w:type="dxa"/>
            <w:vAlign w:val="center"/>
          </w:tcPr>
          <w:p w14:paraId="7AC1787D" w14:textId="1DE434B0" w:rsidR="00611D67" w:rsidRPr="009D3012" w:rsidRDefault="00611D67" w:rsidP="00611D67">
            <w:pPr>
              <w:pStyle w:val="Formula"/>
              <w:jc w:val="left"/>
              <w:rPr>
                <w:rStyle w:val="CCMCvariablesubscript"/>
              </w:rPr>
            </w:pPr>
            <w:r w:rsidRPr="001455DC">
              <w:rPr>
                <w:rStyle w:val="CCMCvariableitalic"/>
              </w:rPr>
              <w:t>f</w:t>
            </w:r>
            <w:r w:rsidRPr="001455DC">
              <w:rPr>
                <w:rStyle w:val="CCMCvariablesubscript"/>
              </w:rPr>
              <w:t>tdy</w:t>
            </w:r>
            <w:r w:rsidRPr="001455DC">
              <w:t> </w:t>
            </w:r>
            <w:r w:rsidR="00EC27D2" w:rsidRPr="001455DC">
              <w:rPr>
                <w:rFonts w:ascii="Cambria Math" w:hAnsi="Cambria Math"/>
              </w:rPr>
              <w:t>=</w:t>
            </w:r>
            <w:r w:rsidRPr="001455DC">
              <w:t> </w:t>
            </w:r>
            <w:r w:rsidRPr="001455DC">
              <w:rPr>
                <w:rStyle w:val="CCMCvariableitalic"/>
              </w:rPr>
              <w:t>ρ</w:t>
            </w:r>
            <w:r w:rsidRPr="001455DC">
              <w:rPr>
                <w:rStyle w:val="CCMCvariablesubscript"/>
              </w:rPr>
              <w:t>y</w:t>
            </w:r>
          </w:p>
        </w:tc>
        <w:tc>
          <w:tcPr>
            <w:tcW w:w="7088" w:type="dxa"/>
            <w:vAlign w:val="center"/>
          </w:tcPr>
          <w:p w14:paraId="32B1B2A0" w14:textId="6954F17F" w:rsidR="00611D67" w:rsidRPr="001455DC" w:rsidRDefault="00611D67" w:rsidP="00611D67">
            <w:pPr>
              <w:pStyle w:val="Formula"/>
              <w:jc w:val="left"/>
            </w:pPr>
            <w:r w:rsidRPr="001455DC">
              <w:rPr>
                <w:rStyle w:val="CCMCvariableitalic"/>
              </w:rPr>
              <w:t>f</w:t>
            </w:r>
            <w:r w:rsidRPr="001455DC">
              <w:rPr>
                <w:rStyle w:val="CCMCvariablesubscript"/>
              </w:rPr>
              <w:t>yd,x</w:t>
            </w:r>
          </w:p>
        </w:tc>
        <w:tc>
          <w:tcPr>
            <w:tcW w:w="1247" w:type="dxa"/>
            <w:vAlign w:val="center"/>
          </w:tcPr>
          <w:p w14:paraId="661E6682" w14:textId="2FBED0BB" w:rsidR="00611D67" w:rsidRPr="001455DC" w:rsidRDefault="00611D67" w:rsidP="00611D67">
            <w:pPr>
              <w:pStyle w:val="a7"/>
              <w:jc w:val="right"/>
            </w:pPr>
            <w:r w:rsidRPr="001455DC">
              <w:t>(G.2)</w:t>
            </w:r>
          </w:p>
        </w:tc>
      </w:tr>
    </w:tbl>
    <w:p w14:paraId="665DD5DA" w14:textId="77777777" w:rsidR="004E22C1" w:rsidRPr="001455DC" w:rsidRDefault="004E22C1" w:rsidP="00EE26B9">
      <w:pPr>
        <w:pStyle w:val="a7"/>
      </w:pPr>
      <w:r w:rsidRPr="001455DC">
        <w:t xml:space="preserve">where </w:t>
      </w:r>
      <w:r w:rsidRPr="001455DC">
        <w:rPr>
          <w:rStyle w:val="CCMCvariableitalic"/>
        </w:rPr>
        <w:t>ρ</w:t>
      </w:r>
      <w:r w:rsidRPr="001455DC">
        <w:rPr>
          <w:rStyle w:val="CCMCvariablesubscript"/>
        </w:rPr>
        <w:t>x</w:t>
      </w:r>
      <w:r w:rsidRPr="001455DC">
        <w:t xml:space="preserve"> and </w:t>
      </w:r>
      <w:r w:rsidRPr="001455DC">
        <w:rPr>
          <w:rStyle w:val="CCMCvariableitalic"/>
        </w:rPr>
        <w:t>ρ</w:t>
      </w:r>
      <w:r w:rsidRPr="001455DC">
        <w:rPr>
          <w:rStyle w:val="CCMCvariablesubscript"/>
        </w:rPr>
        <w:t>y</w:t>
      </w:r>
      <w:r w:rsidRPr="001455DC">
        <w:t xml:space="preserve"> are the geometric reinforcement ratios along the </w:t>
      </w:r>
      <w:r w:rsidRPr="001455DC">
        <w:rPr>
          <w:rStyle w:val="CCMCvariableitalic"/>
        </w:rPr>
        <w:t>x</w:t>
      </w:r>
      <w:r w:rsidRPr="001455DC">
        <w:t xml:space="preserve">- and </w:t>
      </w:r>
      <w:r w:rsidRPr="001455DC">
        <w:rPr>
          <w:rStyle w:val="CCMCvariableitalic"/>
        </w:rPr>
        <w:t>y</w:t>
      </w:r>
      <w:r w:rsidRPr="001455DC">
        <w:t>-axes, respectively.</w:t>
      </w:r>
    </w:p>
    <w:p w14:paraId="38E20BB9" w14:textId="2DD06478" w:rsidR="004E22C1" w:rsidRPr="001455DC" w:rsidRDefault="00AD033B" w:rsidP="00EE26B9">
      <w:pPr>
        <w:pStyle w:val="Note"/>
      </w:pPr>
      <w:r>
        <w:t>NOTE</w:t>
      </w:r>
      <w:r>
        <w:tab/>
        <w:t>T</w:t>
      </w:r>
      <w:r w:rsidR="004E22C1" w:rsidRPr="001455DC">
        <w:t>he yield strength can be different in the x- and y-directions.</w:t>
      </w:r>
    </w:p>
    <w:p w14:paraId="52E897E4" w14:textId="1BDB0E38" w:rsidR="004E22C1" w:rsidRPr="001455DC" w:rsidRDefault="004E22C1" w:rsidP="00116AE2">
      <w:pPr>
        <w:pStyle w:val="a7"/>
        <w:keepNext/>
      </w:pPr>
      <w:r w:rsidRPr="001455DC">
        <w:rPr>
          <w:szCs w:val="22"/>
        </w:rPr>
        <w:t>(3)</w:t>
      </w:r>
      <w:r w:rsidRPr="001455DC">
        <w:rPr>
          <w:szCs w:val="22"/>
        </w:rPr>
        <w:tab/>
      </w:r>
      <w:r w:rsidRPr="001455DC">
        <w:t>The necessary reinforcement and the compressive concrete stress may be determined by:</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EE26B9" w:rsidRPr="001455DC" w14:paraId="2DFC001B" w14:textId="77777777" w:rsidTr="00EE26B9">
        <w:trPr>
          <w:cantSplit/>
        </w:trPr>
        <w:tc>
          <w:tcPr>
            <w:tcW w:w="8505" w:type="dxa"/>
            <w:vAlign w:val="center"/>
          </w:tcPr>
          <w:p w14:paraId="3E5DE1BB" w14:textId="7836B76F" w:rsidR="00EE26B9" w:rsidRPr="001455DC" w:rsidRDefault="00231E33" w:rsidP="00EE26B9">
            <w:pPr>
              <w:pStyle w:val="Formula"/>
              <w:jc w:val="left"/>
            </w:pPr>
            <m:oMathPara>
              <m:oMathParaPr>
                <m:jc m:val="left"/>
              </m:oMathParaPr>
              <m:oMath>
                <m:sSub>
                  <m:sSubPr>
                    <m:ctrlPr>
                      <w:rPr>
                        <w:rFonts w:ascii="Cambria Math" w:hAnsi="Cambria Math"/>
                      </w:rPr>
                    </m:ctrlPr>
                  </m:sSubPr>
                  <m:e>
                    <m:r>
                      <w:rPr>
                        <w:rFonts w:ascii="Cambria Math" w:hAnsi="Cambria Math"/>
                      </w:rPr>
                      <m:t>σ</m:t>
                    </m:r>
                  </m:e>
                  <m:sub>
                    <m:r>
                      <m:rPr>
                        <m:sty m:val="p"/>
                      </m:rPr>
                      <w:rPr>
                        <w:rFonts w:ascii="Cambria Math" w:hAnsi="Cambria Math"/>
                      </w:rPr>
                      <m:t>Edx</m:t>
                    </m:r>
                  </m:sub>
                </m:sSub>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τ</m:t>
                        </m:r>
                      </m:e>
                      <m:sub>
                        <m:r>
                          <m:rPr>
                            <m:sty m:val="p"/>
                          </m:rPr>
                          <w:rPr>
                            <w:rFonts w:ascii="Cambria Math" w:hAnsi="Cambria Math"/>
                          </w:rPr>
                          <m:t>Edxy</m:t>
                        </m:r>
                      </m:sub>
                    </m:sSub>
                  </m:e>
                </m:d>
                <m:r>
                  <m:rPr>
                    <m:sty m:val="p"/>
                  </m:rPr>
                  <w:rPr>
                    <w:rFonts w:ascii="Cambria Math" w:hAnsi="Cambria Math"/>
                  </w:rPr>
                  <m:t>cot</m:t>
                </m:r>
                <m:r>
                  <w:rPr>
                    <w:rFonts w:ascii="Cambria Math" w:hAnsi="Cambria Math"/>
                  </w:rPr>
                  <m:t>θ≤</m:t>
                </m:r>
                <m:sSub>
                  <m:sSubPr>
                    <m:ctrlPr>
                      <w:rPr>
                        <w:rFonts w:ascii="Cambria Math" w:hAnsi="Cambria Math"/>
                      </w:rPr>
                    </m:ctrlPr>
                  </m:sSubPr>
                  <m:e>
                    <m:r>
                      <w:rPr>
                        <w:rFonts w:ascii="Cambria Math" w:hAnsi="Cambria Math"/>
                      </w:rPr>
                      <m:t>f</m:t>
                    </m:r>
                  </m:e>
                  <m:sub>
                    <m:r>
                      <m:rPr>
                        <m:sty m:val="p"/>
                      </m:rPr>
                      <w:rPr>
                        <w:rFonts w:ascii="Cambria Math" w:hAnsi="Cambria Math"/>
                      </w:rPr>
                      <m:t>tdx</m:t>
                    </m:r>
                  </m:sub>
                </m:sSub>
              </m:oMath>
            </m:oMathPara>
          </w:p>
        </w:tc>
        <w:tc>
          <w:tcPr>
            <w:tcW w:w="1247" w:type="dxa"/>
            <w:vAlign w:val="center"/>
          </w:tcPr>
          <w:p w14:paraId="32A98FBC" w14:textId="01DA4398" w:rsidR="00EE26B9" w:rsidRPr="001455DC" w:rsidRDefault="00EE26B9" w:rsidP="00EE26B9">
            <w:pPr>
              <w:pStyle w:val="a7"/>
              <w:jc w:val="right"/>
            </w:pPr>
            <w:r w:rsidRPr="001455DC">
              <w:t>(G.3)</w:t>
            </w:r>
          </w:p>
        </w:tc>
      </w:tr>
      <w:tr w:rsidR="00EE26B9" w:rsidRPr="001455DC" w14:paraId="0732405A" w14:textId="77777777" w:rsidTr="00EE26B9">
        <w:trPr>
          <w:cantSplit/>
        </w:trPr>
        <w:tc>
          <w:tcPr>
            <w:tcW w:w="8505" w:type="dxa"/>
            <w:vAlign w:val="center"/>
          </w:tcPr>
          <w:p w14:paraId="073FD7C7" w14:textId="656E68C9" w:rsidR="00EE26B9" w:rsidRPr="001455DC" w:rsidRDefault="00231E33" w:rsidP="00EE26B9">
            <w:pPr>
              <w:pStyle w:val="Formula"/>
              <w:jc w:val="left"/>
            </w:pPr>
            <m:oMathPara>
              <m:oMathParaPr>
                <m:jc m:val="left"/>
              </m:oMathParaPr>
              <m:oMath>
                <m:sSub>
                  <m:sSubPr>
                    <m:ctrlPr>
                      <w:rPr>
                        <w:rFonts w:ascii="Cambria Math" w:hAnsi="Cambria Math"/>
                      </w:rPr>
                    </m:ctrlPr>
                  </m:sSubPr>
                  <m:e>
                    <m:r>
                      <w:rPr>
                        <w:rFonts w:ascii="Cambria Math" w:hAnsi="Cambria Math"/>
                      </w:rPr>
                      <m:t>σ</m:t>
                    </m:r>
                  </m:e>
                  <m:sub>
                    <m:r>
                      <m:rPr>
                        <m:sty m:val="p"/>
                      </m:rPr>
                      <w:rPr>
                        <w:rFonts w:ascii="Cambria Math" w:hAnsi="Cambria Math"/>
                      </w:rPr>
                      <m:t>Edy</m:t>
                    </m:r>
                  </m:sub>
                </m:sSub>
                <m:r>
                  <w:rPr>
                    <w:rFonts w:ascii="Cambria Math" w:hAnsi="Cambria Math"/>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τ</m:t>
                            </m:r>
                          </m:e>
                          <m:sub>
                            <m:r>
                              <m:rPr>
                                <m:sty m:val="p"/>
                              </m:rPr>
                              <w:rPr>
                                <w:rFonts w:ascii="Cambria Math" w:hAnsi="Cambria Math"/>
                              </w:rPr>
                              <m:t>Edxy</m:t>
                            </m:r>
                          </m:sub>
                        </m:sSub>
                      </m:e>
                    </m:d>
                  </m:num>
                  <m:den>
                    <m:r>
                      <m:rPr>
                        <m:sty m:val="p"/>
                      </m:rPr>
                      <w:rPr>
                        <w:rFonts w:ascii="Cambria Math" w:hAnsi="Cambria Math"/>
                      </w:rPr>
                      <m:t>cot</m:t>
                    </m:r>
                    <m:r>
                      <w:rPr>
                        <w:rFonts w:ascii="Cambria Math" w:hAnsi="Cambria Math"/>
                      </w:rPr>
                      <m:t>θ</m:t>
                    </m:r>
                  </m:den>
                </m:f>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tdy</m:t>
                    </m:r>
                  </m:sub>
                </m:sSub>
              </m:oMath>
            </m:oMathPara>
          </w:p>
        </w:tc>
        <w:tc>
          <w:tcPr>
            <w:tcW w:w="1247" w:type="dxa"/>
            <w:vAlign w:val="center"/>
          </w:tcPr>
          <w:p w14:paraId="3745AE08" w14:textId="2E93A830" w:rsidR="00EE26B9" w:rsidRPr="001455DC" w:rsidRDefault="00EE26B9" w:rsidP="00EE26B9">
            <w:pPr>
              <w:pStyle w:val="a7"/>
              <w:jc w:val="right"/>
            </w:pPr>
            <w:r w:rsidRPr="001455DC">
              <w:t>(G.4)</w:t>
            </w:r>
          </w:p>
        </w:tc>
      </w:tr>
      <w:tr w:rsidR="00EE26B9" w:rsidRPr="001455DC" w14:paraId="0F29A209" w14:textId="77777777" w:rsidTr="00EE26B9">
        <w:trPr>
          <w:cantSplit/>
        </w:trPr>
        <w:tc>
          <w:tcPr>
            <w:tcW w:w="8505" w:type="dxa"/>
            <w:vAlign w:val="center"/>
          </w:tcPr>
          <w:p w14:paraId="1D0EA1DF" w14:textId="3EC1C1D1" w:rsidR="00EE26B9" w:rsidRPr="001455DC" w:rsidRDefault="00231E33" w:rsidP="00EE26B9">
            <w:pPr>
              <w:pStyle w:val="Formula"/>
              <w:jc w:val="left"/>
            </w:pPr>
            <m:oMathPara>
              <m:oMathParaPr>
                <m:jc m:val="left"/>
              </m:oMathParaPr>
              <m:oMath>
                <m:sSub>
                  <m:sSubPr>
                    <m:ctrlPr>
                      <w:rPr>
                        <w:rFonts w:ascii="Cambria Math" w:hAnsi="Cambria Math"/>
                      </w:rPr>
                    </m:ctrlPr>
                  </m:sSubPr>
                  <m:e>
                    <m:r>
                      <w:rPr>
                        <w:rFonts w:ascii="Cambria Math" w:hAnsi="Cambria Math"/>
                      </w:rPr>
                      <m:t>σ</m:t>
                    </m:r>
                  </m:e>
                  <m:sub>
                    <m:r>
                      <m:rPr>
                        <m:sty m:val="p"/>
                      </m:rPr>
                      <w:rPr>
                        <w:rFonts w:ascii="Cambria Math" w:hAnsi="Cambria Math"/>
                      </w:rPr>
                      <m:t>cd</m:t>
                    </m:r>
                  </m:sub>
                </m:sSub>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τ</m:t>
                        </m:r>
                      </m:e>
                      <m:sub>
                        <m:r>
                          <m:rPr>
                            <m:sty m:val="p"/>
                          </m:rPr>
                          <w:rPr>
                            <w:rFonts w:ascii="Cambria Math" w:hAnsi="Cambria Math"/>
                          </w:rPr>
                          <m:t>Edxy</m:t>
                        </m:r>
                      </m:sub>
                    </m:sSub>
                  </m:e>
                </m:d>
                <m:d>
                  <m:dPr>
                    <m:ctrlPr>
                      <w:rPr>
                        <w:rFonts w:ascii="Cambria Math" w:hAnsi="Cambria Math"/>
                      </w:rPr>
                    </m:ctrlPr>
                  </m:dPr>
                  <m:e>
                    <m:r>
                      <m:rPr>
                        <m:sty m:val="p"/>
                      </m:rPr>
                      <w:rPr>
                        <w:rFonts w:ascii="Cambria Math" w:hAnsi="Cambria Math"/>
                      </w:rPr>
                      <m:t>cot</m:t>
                    </m:r>
                    <m:r>
                      <w:rPr>
                        <w:rFonts w:ascii="Cambria Math" w:hAnsi="Cambria Math"/>
                      </w:rPr>
                      <m:t>θ+</m:t>
                    </m:r>
                    <m:r>
                      <m:rPr>
                        <m:sty m:val="p"/>
                      </m:rPr>
                      <w:rPr>
                        <w:rFonts w:ascii="Cambria Math" w:hAnsi="Cambria Math"/>
                      </w:rPr>
                      <m:t>tan</m:t>
                    </m:r>
                    <m:r>
                      <w:rPr>
                        <w:rFonts w:ascii="Cambria Math" w:hAnsi="Cambria Math"/>
                      </w:rPr>
                      <m:t>θ</m:t>
                    </m:r>
                  </m:e>
                </m:d>
                <m:r>
                  <w:rPr>
                    <w:rFonts w:ascii="Cambria Math" w:hAnsi="Cambria Math"/>
                  </w:rPr>
                  <m:t>≤ν⋅</m:t>
                </m:r>
                <m:sSub>
                  <m:sSubPr>
                    <m:ctrlPr>
                      <w:rPr>
                        <w:rFonts w:ascii="Cambria Math" w:hAnsi="Cambria Math"/>
                      </w:rPr>
                    </m:ctrlPr>
                  </m:sSubPr>
                  <m:e>
                    <m:r>
                      <w:rPr>
                        <w:rFonts w:ascii="Cambria Math" w:hAnsi="Cambria Math"/>
                      </w:rPr>
                      <m:t>f</m:t>
                    </m:r>
                  </m:e>
                  <m:sub>
                    <m:r>
                      <m:rPr>
                        <m:sty m:val="p"/>
                      </m:rPr>
                      <w:rPr>
                        <w:rFonts w:ascii="Cambria Math" w:hAnsi="Cambria Math"/>
                      </w:rPr>
                      <m:t>cd</m:t>
                    </m:r>
                  </m:sub>
                </m:sSub>
              </m:oMath>
            </m:oMathPara>
          </w:p>
        </w:tc>
        <w:tc>
          <w:tcPr>
            <w:tcW w:w="1247" w:type="dxa"/>
            <w:vAlign w:val="center"/>
          </w:tcPr>
          <w:p w14:paraId="5564980A" w14:textId="18EB5F04" w:rsidR="00EE26B9" w:rsidRPr="001455DC" w:rsidRDefault="00EE26B9" w:rsidP="00EE26B9">
            <w:pPr>
              <w:pStyle w:val="a7"/>
              <w:jc w:val="right"/>
            </w:pPr>
            <w:r w:rsidRPr="001455DC">
              <w:t>(G.5)</w:t>
            </w:r>
          </w:p>
        </w:tc>
      </w:tr>
    </w:tbl>
    <w:p w14:paraId="4F77FD6D" w14:textId="77777777" w:rsidR="004E22C1" w:rsidRPr="001455DC" w:rsidRDefault="004E22C1" w:rsidP="00EE26B9">
      <w:pPr>
        <w:pStyle w:val="a7"/>
      </w:pPr>
      <w:r w:rsidRPr="001455DC">
        <w:t>where cot</w:t>
      </w:r>
      <w:r w:rsidRPr="001455DC">
        <w:rPr>
          <w:rStyle w:val="CCMCvariableitalic"/>
        </w:rPr>
        <w:t>θ</w:t>
      </w:r>
      <w:r w:rsidRPr="001455DC">
        <w:t xml:space="preserve"> should be chosen to avoid negative values of </w:t>
      </w:r>
      <w:r w:rsidRPr="001455DC">
        <w:rPr>
          <w:rStyle w:val="CCMCvariableitalic"/>
        </w:rPr>
        <w:t>f</w:t>
      </w:r>
      <w:r w:rsidRPr="001455DC">
        <w:rPr>
          <w:rStyle w:val="CCMCvariablesubscript"/>
        </w:rPr>
        <w:t>tdx</w:t>
      </w:r>
      <w:r w:rsidRPr="001455DC">
        <w:t xml:space="preserve"> and </w:t>
      </w:r>
      <w:r w:rsidRPr="001455DC">
        <w:rPr>
          <w:rStyle w:val="CCMCvariableitalic"/>
        </w:rPr>
        <w:t>f</w:t>
      </w:r>
      <w:r w:rsidRPr="001455DC">
        <w:rPr>
          <w:rStyle w:val="CCMCvariablesubscript"/>
        </w:rPr>
        <w:t>tdy</w:t>
      </w:r>
      <w:r w:rsidRPr="001455DC">
        <w:t>.</w:t>
      </w:r>
    </w:p>
    <w:p w14:paraId="49421C8F" w14:textId="77777777" w:rsidR="004E22C1" w:rsidRPr="001455DC" w:rsidRDefault="004E22C1" w:rsidP="00EE26B9">
      <w:pPr>
        <w:pStyle w:val="a7"/>
      </w:pPr>
      <w:r w:rsidRPr="001455DC">
        <w:t>The choice of cot</w:t>
      </w:r>
      <w:r w:rsidRPr="001455DC">
        <w:rPr>
          <w:rStyle w:val="CCMCvariableitalic"/>
        </w:rPr>
        <w:t>θ</w:t>
      </w:r>
      <w:r w:rsidRPr="001455DC">
        <w:t xml:space="preserve"> to obtain the least amount of required reinforcement resistances </w:t>
      </w:r>
      <w:r w:rsidRPr="001455DC">
        <w:rPr>
          <w:rStyle w:val="CCMCvariableitalic"/>
        </w:rPr>
        <w:t>f</w:t>
      </w:r>
      <w:r w:rsidRPr="001455DC">
        <w:rPr>
          <w:rStyle w:val="CCMCvariablesubscript"/>
        </w:rPr>
        <w:t>tdx</w:t>
      </w:r>
      <w:r w:rsidRPr="001455DC">
        <w:t xml:space="preserve">* and </w:t>
      </w:r>
      <w:r w:rsidRPr="001455DC">
        <w:rPr>
          <w:rStyle w:val="CCMCvariableitalic"/>
        </w:rPr>
        <w:t>f</w:t>
      </w:r>
      <w:r w:rsidRPr="001455DC">
        <w:rPr>
          <w:rStyle w:val="CCMCvariablesubscript"/>
        </w:rPr>
        <w:t>tdy</w:t>
      </w:r>
      <w:r w:rsidRPr="001455DC">
        <w:t>* (optimum reinforcement) is given in Table G.1,</w:t>
      </w:r>
    </w:p>
    <w:p w14:paraId="2FDB516D" w14:textId="389CBE5B" w:rsidR="00611D67" w:rsidRPr="001455DC" w:rsidRDefault="00611D67"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1134"/>
        <w:gridCol w:w="8278"/>
      </w:tblGrid>
      <w:tr w:rsidR="00611D67" w:rsidRPr="001455DC" w14:paraId="42A6D7E0" w14:textId="77777777" w:rsidTr="00611D67">
        <w:trPr>
          <w:cantSplit/>
        </w:trPr>
        <w:tc>
          <w:tcPr>
            <w:tcW w:w="1134" w:type="dxa"/>
          </w:tcPr>
          <w:p w14:paraId="0BCF830A" w14:textId="17278761" w:rsidR="00611D67" w:rsidRPr="001455DC" w:rsidRDefault="00611D67" w:rsidP="0000442A">
            <w:pPr>
              <w:pStyle w:val="Tablebody"/>
            </w:pPr>
            <w:r w:rsidRPr="001455DC">
              <w:rPr>
                <w:rStyle w:val="CCMCvariableitalic"/>
              </w:rPr>
              <w:t>θ</w:t>
            </w:r>
            <w:r w:rsidRPr="001455DC">
              <w:t>*</w:t>
            </w:r>
          </w:p>
        </w:tc>
        <w:tc>
          <w:tcPr>
            <w:tcW w:w="8278" w:type="dxa"/>
          </w:tcPr>
          <w:p w14:paraId="32E2D234" w14:textId="25BA0A21" w:rsidR="00611D67" w:rsidRPr="001455DC" w:rsidRDefault="00611D67" w:rsidP="00BB1209">
            <w:pPr>
              <w:pStyle w:val="Tablebody"/>
            </w:pPr>
            <w:r w:rsidRPr="001455DC">
              <w:t>is the strut inclination corresponding to the optimal reinforcement for membrane elements;</w:t>
            </w:r>
          </w:p>
        </w:tc>
      </w:tr>
      <w:tr w:rsidR="00611D67" w:rsidRPr="001455DC" w14:paraId="28276F69" w14:textId="77777777" w:rsidTr="00611D67">
        <w:trPr>
          <w:cantSplit/>
        </w:trPr>
        <w:tc>
          <w:tcPr>
            <w:tcW w:w="1134" w:type="dxa"/>
          </w:tcPr>
          <w:p w14:paraId="15B4950D" w14:textId="68796DBA" w:rsidR="00611D67" w:rsidRPr="001455DC" w:rsidRDefault="00611D67" w:rsidP="0000442A">
            <w:pPr>
              <w:pStyle w:val="Tablebody"/>
            </w:pPr>
            <w:r w:rsidRPr="001455DC">
              <w:rPr>
                <w:rStyle w:val="CCMCvariableitalic"/>
              </w:rPr>
              <w:t>f</w:t>
            </w:r>
            <w:r w:rsidRPr="001455DC">
              <w:rPr>
                <w:rStyle w:val="CCMCvariablesubscript"/>
              </w:rPr>
              <w:t>tdx</w:t>
            </w:r>
            <w:r w:rsidRPr="001455DC">
              <w:t xml:space="preserve">*, </w:t>
            </w:r>
            <w:r w:rsidRPr="001455DC">
              <w:rPr>
                <w:rStyle w:val="CCMCvariableitalic"/>
              </w:rPr>
              <w:t>f</w:t>
            </w:r>
            <w:r w:rsidRPr="001455DC">
              <w:rPr>
                <w:rStyle w:val="CCMCvariablesubscript"/>
              </w:rPr>
              <w:t>tdy</w:t>
            </w:r>
            <w:r w:rsidRPr="001455DC">
              <w:t>*</w:t>
            </w:r>
          </w:p>
        </w:tc>
        <w:tc>
          <w:tcPr>
            <w:tcW w:w="8278" w:type="dxa"/>
          </w:tcPr>
          <w:p w14:paraId="4BC6E40C" w14:textId="10E7D4BE" w:rsidR="00611D67" w:rsidRPr="001455DC" w:rsidRDefault="00611D67" w:rsidP="0000442A">
            <w:pPr>
              <w:pStyle w:val="Tablebody"/>
            </w:pPr>
            <w:r w:rsidRPr="001455DC">
              <w:t xml:space="preserve">are the tensile strength along the </w:t>
            </w:r>
            <w:r w:rsidRPr="001455DC">
              <w:rPr>
                <w:rStyle w:val="CCMCvariableitalic"/>
              </w:rPr>
              <w:t>x</w:t>
            </w:r>
            <w:r w:rsidRPr="001455DC">
              <w:t xml:space="preserve">- and </w:t>
            </w:r>
            <w:r w:rsidRPr="001455DC">
              <w:rPr>
                <w:rStyle w:val="CCMCvariableitalic"/>
              </w:rPr>
              <w:t>y</w:t>
            </w:r>
            <w:r w:rsidRPr="001455DC">
              <w:t>-axes, respectively, corresponding to the optimal reinforcement for membrane elements;</w:t>
            </w:r>
          </w:p>
        </w:tc>
      </w:tr>
      <w:tr w:rsidR="00611D67" w:rsidRPr="001455DC" w14:paraId="37865966" w14:textId="77777777" w:rsidTr="00611D67">
        <w:trPr>
          <w:cantSplit/>
        </w:trPr>
        <w:tc>
          <w:tcPr>
            <w:tcW w:w="1134" w:type="dxa"/>
          </w:tcPr>
          <w:p w14:paraId="0BE9DAD3" w14:textId="6BBB5D49" w:rsidR="00611D67" w:rsidRPr="001455DC" w:rsidRDefault="00611D67" w:rsidP="00D86695">
            <w:pPr>
              <w:pStyle w:val="Tablebody"/>
            </w:pPr>
            <w:r w:rsidRPr="001455DC">
              <w:rPr>
                <w:rStyle w:val="CCMCvariableitalic"/>
              </w:rPr>
              <w:t>σ</w:t>
            </w:r>
            <w:r w:rsidRPr="001455DC">
              <w:rPr>
                <w:rStyle w:val="CCMCvariablesubscript"/>
              </w:rPr>
              <w:t>cd</w:t>
            </w:r>
            <w:r w:rsidRPr="001455DC">
              <w:t>*</w:t>
            </w:r>
          </w:p>
        </w:tc>
        <w:tc>
          <w:tcPr>
            <w:tcW w:w="8278" w:type="dxa"/>
          </w:tcPr>
          <w:p w14:paraId="257C95AA" w14:textId="233A689B" w:rsidR="00611D67" w:rsidRPr="001455DC" w:rsidRDefault="00611D67" w:rsidP="00D86695">
            <w:pPr>
              <w:pStyle w:val="Tablebody"/>
            </w:pPr>
            <w:r w:rsidRPr="001455DC">
              <w:t xml:space="preserve">is the compression stress in the concrete inclined at the angle </w:t>
            </w:r>
            <w:r w:rsidRPr="001455DC">
              <w:rPr>
                <w:rStyle w:val="CCMCvariableitalic"/>
              </w:rPr>
              <w:t>θ</w:t>
            </w:r>
            <w:r w:rsidRPr="001455DC">
              <w:t>* corresponding to the optimal reinforcement for membrane elements.</w:t>
            </w:r>
          </w:p>
        </w:tc>
      </w:tr>
    </w:tbl>
    <w:p w14:paraId="4FCEC3F9" w14:textId="77777777" w:rsidR="00EE26B9" w:rsidRPr="001455DC" w:rsidRDefault="004E22C1" w:rsidP="00116AE2">
      <w:pPr>
        <w:pStyle w:val="a7"/>
        <w:keepNext/>
      </w:pPr>
      <w:r w:rsidRPr="001455DC">
        <w:t xml:space="preserve">In order to ensure the required deformation capacity, and unless more refined calculations are performed, the reinforcement derived from Formulae (G.3) and (G.4) for each direction should not deviate significantly from the reinforcement resistances </w:t>
      </w:r>
      <w:r w:rsidRPr="001455DC">
        <w:rPr>
          <w:rStyle w:val="CCMCvariableitalic"/>
        </w:rPr>
        <w:t>f</w:t>
      </w:r>
      <w:r w:rsidRPr="001455DC">
        <w:rPr>
          <w:rStyle w:val="CCMCvariablesubscript"/>
        </w:rPr>
        <w:t>tdx</w:t>
      </w:r>
      <w:r w:rsidRPr="001455DC">
        <w:t xml:space="preserve">* and </w:t>
      </w:r>
      <w:r w:rsidRPr="001455DC">
        <w:rPr>
          <w:rStyle w:val="CCMCvariableitalic"/>
        </w:rPr>
        <w:t>f</w:t>
      </w:r>
      <w:r w:rsidRPr="001455DC">
        <w:rPr>
          <w:rStyle w:val="CCMCvariablesubscript"/>
        </w:rPr>
        <w:t>tdy</w:t>
      </w:r>
      <w:r w:rsidRPr="001455DC">
        <w:t>* determined according to Table G.1. These limitations may be expressed by:</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EE26B9" w:rsidRPr="001455DC" w14:paraId="0EF21E77" w14:textId="77777777" w:rsidTr="00EE26B9">
        <w:trPr>
          <w:cantSplit/>
        </w:trPr>
        <w:tc>
          <w:tcPr>
            <w:tcW w:w="8505" w:type="dxa"/>
            <w:vAlign w:val="center"/>
          </w:tcPr>
          <w:p w14:paraId="4A40F455" w14:textId="65414FB4" w:rsidR="00EE26B9" w:rsidRPr="001455DC" w:rsidRDefault="00EE26B9" w:rsidP="00EE26B9">
            <w:pPr>
              <w:pStyle w:val="Formula"/>
              <w:jc w:val="left"/>
            </w:pPr>
            <w:r w:rsidRPr="001455DC">
              <w:t>0,4</w:t>
            </w:r>
            <w:r w:rsidRPr="001455DC">
              <w:rPr>
                <w:rStyle w:val="CCMCvariableitalic"/>
              </w:rPr>
              <w:t>f</w:t>
            </w:r>
            <w:r w:rsidRPr="001455DC">
              <w:rPr>
                <w:rStyle w:val="CCMCvariablesubscript"/>
              </w:rPr>
              <w:t>tdx</w:t>
            </w:r>
            <w:r w:rsidRPr="001455DC">
              <w:t>* </w:t>
            </w:r>
            <w:r w:rsidR="00650035" w:rsidRPr="001455DC">
              <w:rPr>
                <w:rFonts w:ascii="Cambria Math" w:hAnsi="Cambria Math"/>
              </w:rPr>
              <w:t>≤</w:t>
            </w:r>
            <w:r w:rsidRPr="001455DC">
              <w:t> </w:t>
            </w:r>
            <w:r w:rsidRPr="001455DC">
              <w:rPr>
                <w:rStyle w:val="CCMCvariableitalic"/>
              </w:rPr>
              <w:t>f</w:t>
            </w:r>
            <w:r w:rsidRPr="001455DC">
              <w:rPr>
                <w:rStyle w:val="CCMCvariablesubscript"/>
              </w:rPr>
              <w:t>tdx</w:t>
            </w:r>
            <w:r w:rsidRPr="001455DC">
              <w:t> </w:t>
            </w:r>
            <w:r w:rsidR="00650035" w:rsidRPr="001455DC">
              <w:rPr>
                <w:rFonts w:ascii="Cambria Math" w:hAnsi="Cambria Math"/>
              </w:rPr>
              <w:t>≤</w:t>
            </w:r>
            <w:r w:rsidRPr="001455DC">
              <w:t xml:space="preserve"> 2,5 </w:t>
            </w:r>
            <w:r w:rsidRPr="001455DC">
              <w:rPr>
                <w:rStyle w:val="CCMCvariableitalic"/>
              </w:rPr>
              <w:t>f</w:t>
            </w:r>
            <w:r w:rsidRPr="001455DC">
              <w:rPr>
                <w:rStyle w:val="CCMCvariablesubscript"/>
              </w:rPr>
              <w:t>tdx</w:t>
            </w:r>
            <w:r w:rsidRPr="001455DC">
              <w:t>*and</w:t>
            </w:r>
          </w:p>
        </w:tc>
        <w:tc>
          <w:tcPr>
            <w:tcW w:w="1247" w:type="dxa"/>
            <w:vAlign w:val="center"/>
          </w:tcPr>
          <w:p w14:paraId="38EA48A8" w14:textId="664D716D" w:rsidR="00EE26B9" w:rsidRPr="001455DC" w:rsidRDefault="00EE26B9" w:rsidP="00EE26B9">
            <w:pPr>
              <w:pStyle w:val="a7"/>
              <w:jc w:val="right"/>
            </w:pPr>
            <w:r w:rsidRPr="001455DC">
              <w:t>(G.6)</w:t>
            </w:r>
          </w:p>
        </w:tc>
      </w:tr>
      <w:tr w:rsidR="00EE26B9" w:rsidRPr="001455DC" w14:paraId="41802451" w14:textId="77777777" w:rsidTr="00EE26B9">
        <w:trPr>
          <w:cantSplit/>
        </w:trPr>
        <w:tc>
          <w:tcPr>
            <w:tcW w:w="8505" w:type="dxa"/>
            <w:vAlign w:val="center"/>
          </w:tcPr>
          <w:p w14:paraId="6CCDA5F7" w14:textId="1E3A2101" w:rsidR="00EE26B9" w:rsidRPr="001455DC" w:rsidRDefault="00EE26B9" w:rsidP="00EE26B9">
            <w:pPr>
              <w:pStyle w:val="Formula"/>
              <w:jc w:val="left"/>
            </w:pPr>
            <w:r w:rsidRPr="001455DC">
              <w:t>0,4</w:t>
            </w:r>
            <w:r w:rsidRPr="001455DC">
              <w:rPr>
                <w:rStyle w:val="CCMCvariableitalic"/>
              </w:rPr>
              <w:t>f</w:t>
            </w:r>
            <w:r w:rsidRPr="001455DC">
              <w:rPr>
                <w:rStyle w:val="CCMCvariablesubscript"/>
              </w:rPr>
              <w:t>tdy</w:t>
            </w:r>
            <w:r w:rsidRPr="001455DC">
              <w:t>* </w:t>
            </w:r>
            <w:r w:rsidR="00650035" w:rsidRPr="001455DC">
              <w:rPr>
                <w:rFonts w:ascii="Cambria Math" w:hAnsi="Cambria Math"/>
              </w:rPr>
              <w:t>≤</w:t>
            </w:r>
            <w:r w:rsidRPr="001455DC">
              <w:t> </w:t>
            </w:r>
            <w:r w:rsidRPr="001455DC">
              <w:rPr>
                <w:rStyle w:val="CCMCvariableitalic"/>
              </w:rPr>
              <w:t>f</w:t>
            </w:r>
            <w:r w:rsidRPr="001455DC">
              <w:rPr>
                <w:rStyle w:val="CCMCvariablesubscript"/>
              </w:rPr>
              <w:t>tdy</w:t>
            </w:r>
            <w:r w:rsidRPr="001455DC">
              <w:t> </w:t>
            </w:r>
            <w:r w:rsidR="00650035" w:rsidRPr="001455DC">
              <w:rPr>
                <w:rFonts w:ascii="Cambria Math" w:hAnsi="Cambria Math"/>
              </w:rPr>
              <w:t>≤</w:t>
            </w:r>
            <w:r w:rsidRPr="001455DC">
              <w:t xml:space="preserve"> 2,5 </w:t>
            </w:r>
            <w:r w:rsidRPr="001455DC">
              <w:rPr>
                <w:rStyle w:val="CCMCvariableitalic"/>
              </w:rPr>
              <w:t>f</w:t>
            </w:r>
            <w:r w:rsidRPr="001455DC">
              <w:rPr>
                <w:rStyle w:val="CCMCvariablesubscript"/>
              </w:rPr>
              <w:t>tdy</w:t>
            </w:r>
            <w:r w:rsidRPr="001455DC">
              <w:t>*.</w:t>
            </w:r>
          </w:p>
        </w:tc>
        <w:tc>
          <w:tcPr>
            <w:tcW w:w="1247" w:type="dxa"/>
            <w:vAlign w:val="center"/>
          </w:tcPr>
          <w:p w14:paraId="2864E3B3" w14:textId="081800FB" w:rsidR="00EE26B9" w:rsidRPr="001455DC" w:rsidRDefault="00EE26B9" w:rsidP="00EE26B9">
            <w:pPr>
              <w:pStyle w:val="a7"/>
              <w:jc w:val="right"/>
            </w:pPr>
            <w:r w:rsidRPr="001455DC">
              <w:t>(G.7)</w:t>
            </w:r>
          </w:p>
        </w:tc>
      </w:tr>
    </w:tbl>
    <w:p w14:paraId="78354B03" w14:textId="77777777" w:rsidR="004E22C1" w:rsidRPr="001455DC" w:rsidRDefault="004E22C1" w:rsidP="00EE26B9">
      <w:pPr>
        <w:pStyle w:val="Tabletitle"/>
      </w:pPr>
      <w:bookmarkStart w:id="1565" w:name="_Toc54337595"/>
      <w:r w:rsidRPr="001455DC">
        <w:t>Table G.1</w:t>
      </w:r>
      <w:r w:rsidRPr="001455DC">
        <w:rPr>
          <w:lang w:eastAsia="ja-JP"/>
        </w:rPr>
        <w:t xml:space="preserve"> — </w:t>
      </w:r>
      <w:r w:rsidRPr="001455DC">
        <w:t>Optimum reinforcement, concrete stress and strut inclination for membrane elements</w:t>
      </w:r>
      <w:bookmarkEnd w:id="1565"/>
    </w:p>
    <w:tbl>
      <w:tblPr>
        <w:tblStyle w:val="53"/>
        <w:tblW w:w="9752" w:type="dxa"/>
        <w:tblLayout w:type="fixed"/>
        <w:tblLook w:val="0620" w:firstRow="1" w:lastRow="0" w:firstColumn="0" w:lastColumn="0" w:noHBand="1" w:noVBand="1"/>
      </w:tblPr>
      <w:tblGrid>
        <w:gridCol w:w="2290"/>
        <w:gridCol w:w="1340"/>
        <w:gridCol w:w="1722"/>
        <w:gridCol w:w="1722"/>
        <w:gridCol w:w="2678"/>
      </w:tblGrid>
      <w:tr w:rsidR="004E22C1" w:rsidRPr="001455DC" w14:paraId="392ED65A" w14:textId="77777777" w:rsidTr="00EE26B9">
        <w:trPr>
          <w:cnfStyle w:val="100000000000" w:firstRow="1" w:lastRow="0" w:firstColumn="0" w:lastColumn="0" w:oddVBand="0" w:evenVBand="0" w:oddHBand="0" w:evenHBand="0" w:firstRowFirstColumn="0" w:firstRowLastColumn="0" w:lastRowFirstColumn="0" w:lastRowLastColumn="0"/>
          <w:tblHeader/>
        </w:trPr>
        <w:tc>
          <w:tcPr>
            <w:tcW w:w="1696" w:type="dxa"/>
          </w:tcPr>
          <w:p w14:paraId="2F8BA089" w14:textId="77777777" w:rsidR="004E22C1" w:rsidRPr="001455DC" w:rsidRDefault="004E22C1" w:rsidP="00EE26B9">
            <w:pPr>
              <w:pStyle w:val="Tableheader"/>
            </w:pPr>
            <w:r w:rsidRPr="001455DC">
              <w:t>Conditions</w:t>
            </w:r>
          </w:p>
        </w:tc>
        <w:tc>
          <w:tcPr>
            <w:tcW w:w="993" w:type="dxa"/>
          </w:tcPr>
          <w:p w14:paraId="1A9A77B8" w14:textId="77777777" w:rsidR="004E22C1" w:rsidRPr="001455DC" w:rsidRDefault="004E22C1" w:rsidP="00EE26B9">
            <w:pPr>
              <w:pStyle w:val="Tableheader"/>
            </w:pPr>
            <w:r w:rsidRPr="001455DC">
              <w:t xml:space="preserve">cot </w:t>
            </w:r>
            <w:r w:rsidRPr="001455DC">
              <w:rPr>
                <w:rStyle w:val="CCMCvariableitalic"/>
              </w:rPr>
              <w:t>θ</w:t>
            </w:r>
            <w:r w:rsidRPr="001455DC">
              <w:t>*</w:t>
            </w:r>
          </w:p>
        </w:tc>
        <w:tc>
          <w:tcPr>
            <w:tcW w:w="1276" w:type="dxa"/>
          </w:tcPr>
          <w:p w14:paraId="32EFA06A" w14:textId="77777777" w:rsidR="004E22C1" w:rsidRPr="001455DC" w:rsidRDefault="004E22C1" w:rsidP="00EE26B9">
            <w:pPr>
              <w:pStyle w:val="Tableheader"/>
            </w:pPr>
            <w:r w:rsidRPr="001455DC">
              <w:rPr>
                <w:rStyle w:val="CCMCvariableitalic"/>
              </w:rPr>
              <w:t>f</w:t>
            </w:r>
            <w:r w:rsidRPr="001455DC">
              <w:rPr>
                <w:rStyle w:val="CCMCvariablesubscript"/>
              </w:rPr>
              <w:t>tdx</w:t>
            </w:r>
            <w:r w:rsidRPr="001455DC">
              <w:t>*</w:t>
            </w:r>
          </w:p>
        </w:tc>
        <w:tc>
          <w:tcPr>
            <w:tcW w:w="1276" w:type="dxa"/>
          </w:tcPr>
          <w:p w14:paraId="2DE9E2CB" w14:textId="77777777" w:rsidR="004E22C1" w:rsidRPr="001455DC" w:rsidRDefault="004E22C1" w:rsidP="00EE26B9">
            <w:pPr>
              <w:pStyle w:val="Tableheader"/>
            </w:pPr>
            <w:r w:rsidRPr="001455DC">
              <w:rPr>
                <w:rStyle w:val="CCMCvariableitalic"/>
              </w:rPr>
              <w:t>f</w:t>
            </w:r>
            <w:r w:rsidRPr="001455DC">
              <w:rPr>
                <w:rStyle w:val="CCMCvariablesubscript"/>
              </w:rPr>
              <w:t>tdy</w:t>
            </w:r>
            <w:r w:rsidRPr="001455DC">
              <w:t>*</w:t>
            </w:r>
          </w:p>
        </w:tc>
        <w:tc>
          <w:tcPr>
            <w:tcW w:w="1984" w:type="dxa"/>
          </w:tcPr>
          <w:p w14:paraId="00AE48E3" w14:textId="77777777" w:rsidR="004E22C1" w:rsidRPr="001455DC" w:rsidRDefault="004E22C1" w:rsidP="00EE26B9">
            <w:pPr>
              <w:pStyle w:val="Tableheader"/>
            </w:pPr>
            <w:r w:rsidRPr="001455DC">
              <w:rPr>
                <w:rStyle w:val="CCMCvariableitalic"/>
              </w:rPr>
              <w:t>σ</w:t>
            </w:r>
            <w:r w:rsidRPr="001455DC">
              <w:rPr>
                <w:rStyle w:val="CCMCvariablesubscript"/>
              </w:rPr>
              <w:t>cd</w:t>
            </w:r>
            <w:r w:rsidRPr="001455DC">
              <w:t>*</w:t>
            </w:r>
          </w:p>
        </w:tc>
      </w:tr>
      <w:tr w:rsidR="004E22C1" w:rsidRPr="001455DC" w14:paraId="1596C45C" w14:textId="77777777" w:rsidTr="00EE26B9">
        <w:tc>
          <w:tcPr>
            <w:tcW w:w="1696" w:type="dxa"/>
            <w:vAlign w:val="center"/>
          </w:tcPr>
          <w:p w14:paraId="54E202C7" w14:textId="6B839780" w:rsidR="004E22C1" w:rsidRPr="001455DC" w:rsidRDefault="00231E33" w:rsidP="00EE26B9">
            <w:pPr>
              <w:pStyle w:val="Tablebody"/>
              <w:jc w:val="center"/>
            </w:pPr>
            <m:oMathPara>
              <m:oMath>
                <m:eqArr>
                  <m:eqArrPr>
                    <m:ctrlPr>
                      <w:rPr>
                        <w:rFonts w:ascii="Cambria Math" w:hAnsi="Cambria Math"/>
                      </w:rPr>
                    </m:ctrlPr>
                  </m:eqArrPr>
                  <m:e>
                    <m:sSub>
                      <m:sSubPr>
                        <m:ctrlPr>
                          <w:rPr>
                            <w:rFonts w:ascii="Cambria Math" w:hAnsi="Cambria Math"/>
                          </w:rPr>
                        </m:ctrlPr>
                      </m:sSubPr>
                      <m:e>
                        <m:r>
                          <w:rPr>
                            <w:rFonts w:ascii="Cambria Math" w:hAnsi="Cambria Math"/>
                          </w:rPr>
                          <m:t>σ</m:t>
                        </m:r>
                      </m:e>
                      <m:sub>
                        <m:r>
                          <m:rPr>
                            <m:sty m:val="p"/>
                          </m:rPr>
                          <w:rPr>
                            <w:rFonts w:ascii="Cambria Math" w:hAnsi="Cambria Math"/>
                          </w:rPr>
                          <m:t>Edx</m:t>
                        </m:r>
                      </m:sub>
                    </m:sSub>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τ</m:t>
                            </m:r>
                          </m:e>
                          <m:sub>
                            <m:r>
                              <m:rPr>
                                <m:sty m:val="p"/>
                              </m:rPr>
                              <w:rPr>
                                <w:rFonts w:ascii="Cambria Math" w:hAnsi="Cambria Math"/>
                              </w:rPr>
                              <m:t>Edxy</m:t>
                            </m:r>
                          </m:sub>
                        </m:sSub>
                      </m:e>
                    </m:d>
                  </m:e>
                  <m:e>
                    <m:sSub>
                      <m:sSubPr>
                        <m:ctrlPr>
                          <w:rPr>
                            <w:rFonts w:ascii="Cambria Math" w:hAnsi="Cambria Math"/>
                          </w:rPr>
                        </m:ctrlPr>
                      </m:sSubPr>
                      <m:e>
                        <m:r>
                          <w:rPr>
                            <w:rFonts w:ascii="Cambria Math" w:hAnsi="Cambria Math"/>
                          </w:rPr>
                          <m:t>σ</m:t>
                        </m:r>
                      </m:e>
                      <m:sub>
                        <m:r>
                          <m:rPr>
                            <m:sty m:val="p"/>
                          </m:rPr>
                          <w:rPr>
                            <w:rFonts w:ascii="Cambria Math" w:hAnsi="Cambria Math"/>
                          </w:rPr>
                          <m:t>Edy</m:t>
                        </m:r>
                      </m:sub>
                    </m:sSub>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τ</m:t>
                            </m:r>
                          </m:e>
                          <m:sub>
                            <m:r>
                              <m:rPr>
                                <m:sty m:val="p"/>
                              </m:rPr>
                              <w:rPr>
                                <w:rFonts w:ascii="Cambria Math" w:hAnsi="Cambria Math"/>
                              </w:rPr>
                              <m:t>Edxy</m:t>
                            </m:r>
                          </m:sub>
                        </m:sSub>
                      </m:e>
                    </m:d>
                  </m:e>
                </m:eqArr>
              </m:oMath>
            </m:oMathPara>
          </w:p>
        </w:tc>
        <w:tc>
          <w:tcPr>
            <w:tcW w:w="993" w:type="dxa"/>
            <w:vAlign w:val="center"/>
          </w:tcPr>
          <w:p w14:paraId="7D91678D" w14:textId="77777777" w:rsidR="004E22C1" w:rsidRPr="001455DC" w:rsidRDefault="004E22C1" w:rsidP="00EE26B9">
            <w:pPr>
              <w:pStyle w:val="Tablebody"/>
              <w:jc w:val="center"/>
            </w:pPr>
            <w:r w:rsidRPr="001455DC">
              <w:t>1</w:t>
            </w:r>
          </w:p>
        </w:tc>
        <w:tc>
          <w:tcPr>
            <w:tcW w:w="1276" w:type="dxa"/>
            <w:vAlign w:val="center"/>
          </w:tcPr>
          <w:p w14:paraId="4E3E9591" w14:textId="757BD8E5" w:rsidR="004E22C1" w:rsidRPr="001455DC" w:rsidRDefault="00231E33" w:rsidP="00EE26B9">
            <w:pPr>
              <w:pStyle w:val="Tablebody"/>
              <w:jc w:val="center"/>
            </w:pPr>
            <m:oMathPara>
              <m:oMath>
                <m:sSub>
                  <m:sSubPr>
                    <m:ctrlPr>
                      <w:rPr>
                        <w:rFonts w:ascii="Cambria Math" w:hAnsi="Cambria Math"/>
                      </w:rPr>
                    </m:ctrlPr>
                  </m:sSubPr>
                  <m:e>
                    <m:r>
                      <w:rPr>
                        <w:rFonts w:ascii="Cambria Math" w:hAnsi="Cambria Math"/>
                      </w:rPr>
                      <m:t>σ</m:t>
                    </m:r>
                  </m:e>
                  <m:sub>
                    <m:r>
                      <m:rPr>
                        <m:sty m:val="p"/>
                      </m:rPr>
                      <w:rPr>
                        <w:rFonts w:ascii="Cambria Math" w:hAnsi="Cambria Math"/>
                      </w:rPr>
                      <m:t>Edx</m:t>
                    </m:r>
                  </m:sub>
                </m:sSub>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τ</m:t>
                        </m:r>
                      </m:e>
                      <m:sub>
                        <m:r>
                          <m:rPr>
                            <m:sty m:val="p"/>
                          </m:rPr>
                          <w:rPr>
                            <w:rFonts w:ascii="Cambria Math" w:hAnsi="Cambria Math"/>
                          </w:rPr>
                          <m:t>Edxy</m:t>
                        </m:r>
                      </m:sub>
                    </m:sSub>
                  </m:e>
                </m:d>
              </m:oMath>
            </m:oMathPara>
          </w:p>
        </w:tc>
        <w:tc>
          <w:tcPr>
            <w:tcW w:w="1276" w:type="dxa"/>
            <w:vAlign w:val="center"/>
          </w:tcPr>
          <w:p w14:paraId="51FCB391" w14:textId="6F21C16C" w:rsidR="004E22C1" w:rsidRPr="001455DC" w:rsidRDefault="00231E33" w:rsidP="00EE26B9">
            <w:pPr>
              <w:pStyle w:val="Tablebody"/>
              <w:jc w:val="center"/>
            </w:pPr>
            <m:oMathPara>
              <m:oMath>
                <m:sSub>
                  <m:sSubPr>
                    <m:ctrlPr>
                      <w:rPr>
                        <w:rFonts w:ascii="Cambria Math" w:hAnsi="Cambria Math"/>
                      </w:rPr>
                    </m:ctrlPr>
                  </m:sSubPr>
                  <m:e>
                    <m:r>
                      <w:rPr>
                        <w:rFonts w:ascii="Cambria Math" w:hAnsi="Cambria Math"/>
                      </w:rPr>
                      <m:t>σ</m:t>
                    </m:r>
                  </m:e>
                  <m:sub>
                    <m:r>
                      <m:rPr>
                        <m:sty m:val="p"/>
                      </m:rPr>
                      <w:rPr>
                        <w:rFonts w:ascii="Cambria Math" w:hAnsi="Cambria Math"/>
                      </w:rPr>
                      <m:t>Edy</m:t>
                    </m:r>
                  </m:sub>
                </m:sSub>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τ</m:t>
                        </m:r>
                      </m:e>
                      <m:sub>
                        <m:r>
                          <m:rPr>
                            <m:sty m:val="p"/>
                          </m:rPr>
                          <w:rPr>
                            <w:rFonts w:ascii="Cambria Math" w:hAnsi="Cambria Math"/>
                          </w:rPr>
                          <m:t>Edxy</m:t>
                        </m:r>
                      </m:sub>
                    </m:sSub>
                  </m:e>
                </m:d>
              </m:oMath>
            </m:oMathPara>
          </w:p>
        </w:tc>
        <w:tc>
          <w:tcPr>
            <w:tcW w:w="1984" w:type="dxa"/>
            <w:vAlign w:val="center"/>
          </w:tcPr>
          <w:p w14:paraId="66819DFC" w14:textId="7E530980" w:rsidR="004E22C1" w:rsidRPr="001455DC" w:rsidRDefault="00611D67" w:rsidP="00EE26B9">
            <w:pPr>
              <w:pStyle w:val="Tablebody"/>
              <w:jc w:val="center"/>
            </w:pPr>
            <m:oMathPara>
              <m:oMath>
                <m:r>
                  <w:rPr>
                    <w:rFonts w:ascii="Cambria Math" w:hAnsi="Cambria Math"/>
                  </w:rPr>
                  <m:t>2</m:t>
                </m:r>
                <m:d>
                  <m:dPr>
                    <m:begChr m:val="|"/>
                    <m:endChr m:val="|"/>
                    <m:ctrlPr>
                      <w:rPr>
                        <w:rFonts w:ascii="Cambria Math" w:hAnsi="Cambria Math"/>
                      </w:rPr>
                    </m:ctrlPr>
                  </m:dPr>
                  <m:e>
                    <m:sSub>
                      <m:sSubPr>
                        <m:ctrlPr>
                          <w:rPr>
                            <w:rFonts w:ascii="Cambria Math" w:hAnsi="Cambria Math"/>
                          </w:rPr>
                        </m:ctrlPr>
                      </m:sSubPr>
                      <m:e>
                        <m:r>
                          <w:rPr>
                            <w:rFonts w:ascii="Cambria Math" w:hAnsi="Cambria Math"/>
                          </w:rPr>
                          <m:t>τ</m:t>
                        </m:r>
                      </m:e>
                      <m:sub>
                        <m:r>
                          <m:rPr>
                            <m:sty m:val="p"/>
                          </m:rPr>
                          <w:rPr>
                            <w:rFonts w:ascii="Cambria Math" w:hAnsi="Cambria Math"/>
                          </w:rPr>
                          <m:t>Edxy</m:t>
                        </m:r>
                      </m:sub>
                    </m:sSub>
                  </m:e>
                </m:d>
              </m:oMath>
            </m:oMathPara>
          </w:p>
        </w:tc>
      </w:tr>
      <w:tr w:rsidR="004E22C1" w:rsidRPr="001455DC" w14:paraId="5494F5D8" w14:textId="77777777" w:rsidTr="00EE26B9">
        <w:tc>
          <w:tcPr>
            <w:tcW w:w="1696" w:type="dxa"/>
            <w:vAlign w:val="center"/>
          </w:tcPr>
          <w:p w14:paraId="53F7C1E8" w14:textId="06332789" w:rsidR="004E22C1" w:rsidRPr="001455DC" w:rsidRDefault="00231E33" w:rsidP="00EE26B9">
            <w:pPr>
              <w:pStyle w:val="Tablebody"/>
              <w:jc w:val="center"/>
            </w:pPr>
            <m:oMathPara>
              <m:oMath>
                <m:eqArr>
                  <m:eqArrPr>
                    <m:ctrlPr>
                      <w:rPr>
                        <w:rFonts w:ascii="Cambria Math" w:hAnsi="Cambria Math"/>
                      </w:rPr>
                    </m:ctrlPr>
                  </m:eqArrPr>
                  <m:e>
                    <m:sSub>
                      <m:sSubPr>
                        <m:ctrlPr>
                          <w:rPr>
                            <w:rFonts w:ascii="Cambria Math" w:hAnsi="Cambria Math"/>
                          </w:rPr>
                        </m:ctrlPr>
                      </m:sSubPr>
                      <m:e>
                        <m:r>
                          <w:rPr>
                            <w:rFonts w:ascii="Cambria Math" w:hAnsi="Cambria Math"/>
                          </w:rPr>
                          <m:t>σ</m:t>
                        </m:r>
                      </m:e>
                      <m:sub>
                        <m:r>
                          <m:rPr>
                            <m:sty m:val="p"/>
                          </m:rPr>
                          <w:rPr>
                            <w:rFonts w:ascii="Cambria Math" w:hAnsi="Cambria Math"/>
                          </w:rPr>
                          <m:t>Edx</m:t>
                        </m:r>
                      </m:sub>
                    </m:sSub>
                    <m:r>
                      <w:rPr>
                        <w:rFonts w:ascii="Cambria Math" w:hAnsi="Cambria Math"/>
                      </w:rPr>
                      <m:t>≤</m:t>
                    </m:r>
                    <m:sSub>
                      <m:sSubPr>
                        <m:ctrlPr>
                          <w:rPr>
                            <w:rFonts w:ascii="Cambria Math" w:hAnsi="Cambria Math"/>
                          </w:rPr>
                        </m:ctrlPr>
                      </m:sSubPr>
                      <m:e>
                        <m:r>
                          <w:rPr>
                            <w:rFonts w:ascii="Cambria Math" w:hAnsi="Cambria Math"/>
                          </w:rPr>
                          <m:t>σ</m:t>
                        </m:r>
                      </m:e>
                      <m:sub>
                        <m:r>
                          <m:rPr>
                            <m:sty m:val="p"/>
                          </m:rPr>
                          <w:rPr>
                            <w:rFonts w:ascii="Cambria Math" w:hAnsi="Cambria Math"/>
                          </w:rPr>
                          <m:t>Edy</m:t>
                        </m:r>
                      </m:sub>
                    </m:sSub>
                  </m:e>
                  <m:e>
                    <m:sSub>
                      <m:sSubPr>
                        <m:ctrlPr>
                          <w:rPr>
                            <w:rFonts w:ascii="Cambria Math" w:hAnsi="Cambria Math"/>
                          </w:rPr>
                        </m:ctrlPr>
                      </m:sSubPr>
                      <m:e>
                        <m:r>
                          <w:rPr>
                            <w:rFonts w:ascii="Cambria Math" w:hAnsi="Cambria Math"/>
                          </w:rPr>
                          <m:t>σ</m:t>
                        </m:r>
                      </m:e>
                      <m:sub>
                        <m:r>
                          <m:rPr>
                            <m:sty m:val="p"/>
                          </m:rPr>
                          <w:rPr>
                            <w:rFonts w:ascii="Cambria Math" w:hAnsi="Cambria Math"/>
                          </w:rPr>
                          <m:t>Edx</m:t>
                        </m:r>
                      </m:sub>
                    </m:sSub>
                    <m:r>
                      <w:rPr>
                        <w:rFonts w:ascii="Cambria Math" w:hAnsi="Cambria Math"/>
                      </w:rPr>
                      <m:t>&lt;-</m:t>
                    </m:r>
                    <m:d>
                      <m:dPr>
                        <m:begChr m:val="|"/>
                        <m:endChr m:val="|"/>
                        <m:ctrlPr>
                          <w:rPr>
                            <w:rFonts w:ascii="Cambria Math" w:hAnsi="Cambria Math"/>
                          </w:rPr>
                        </m:ctrlPr>
                      </m:dPr>
                      <m:e>
                        <m:sSub>
                          <m:sSubPr>
                            <m:ctrlPr>
                              <w:rPr>
                                <w:rFonts w:ascii="Cambria Math" w:hAnsi="Cambria Math"/>
                              </w:rPr>
                            </m:ctrlPr>
                          </m:sSubPr>
                          <m:e>
                            <m:r>
                              <w:rPr>
                                <w:rFonts w:ascii="Cambria Math" w:hAnsi="Cambria Math"/>
                              </w:rPr>
                              <m:t>τ</m:t>
                            </m:r>
                          </m:e>
                          <m:sub>
                            <m:r>
                              <m:rPr>
                                <m:sty m:val="p"/>
                              </m:rPr>
                              <w:rPr>
                                <w:rFonts w:ascii="Cambria Math" w:hAnsi="Cambria Math"/>
                              </w:rPr>
                              <m:t>Edxy</m:t>
                            </m:r>
                          </m:sub>
                        </m:sSub>
                      </m:e>
                    </m:d>
                  </m:e>
                  <m:e>
                    <m:sSub>
                      <m:sSubPr>
                        <m:ctrlPr>
                          <w:rPr>
                            <w:rFonts w:ascii="Cambria Math" w:hAnsi="Cambria Math"/>
                          </w:rPr>
                        </m:ctrlPr>
                      </m:sSubPr>
                      <m:e>
                        <m:r>
                          <w:rPr>
                            <w:rFonts w:ascii="Cambria Math" w:hAnsi="Cambria Math"/>
                          </w:rPr>
                          <m:t>σ</m:t>
                        </m:r>
                      </m:e>
                      <m:sub>
                        <m:r>
                          <m:rPr>
                            <m:sty m:val="p"/>
                          </m:rPr>
                          <w:rPr>
                            <w:rFonts w:ascii="Cambria Math" w:hAnsi="Cambria Math"/>
                          </w:rPr>
                          <m:t>Edx</m:t>
                        </m:r>
                      </m:sub>
                    </m:sSub>
                    <m:sSub>
                      <m:sSubPr>
                        <m:ctrlPr>
                          <w:rPr>
                            <w:rFonts w:ascii="Cambria Math" w:hAnsi="Cambria Math"/>
                          </w:rPr>
                        </m:ctrlPr>
                      </m:sSubPr>
                      <m:e>
                        <m:r>
                          <w:rPr>
                            <w:rFonts w:ascii="Cambria Math" w:hAnsi="Cambria Math"/>
                          </w:rPr>
                          <m:t>σ</m:t>
                        </m:r>
                      </m:e>
                      <m:sub>
                        <m:r>
                          <m:rPr>
                            <m:sty m:val="p"/>
                          </m:rPr>
                          <w:rPr>
                            <w:rFonts w:ascii="Cambria Math" w:hAnsi="Cambria Math"/>
                          </w:rPr>
                          <m:t>Edy</m:t>
                        </m:r>
                      </m:sub>
                    </m:sSub>
                    <m:r>
                      <w:rPr>
                        <w:rFonts w:ascii="Cambria Math" w:hAnsi="Cambria Math"/>
                      </w:rPr>
                      <m:t>≤</m:t>
                    </m:r>
                    <m:sSubSup>
                      <m:sSubSupPr>
                        <m:ctrlPr>
                          <w:rPr>
                            <w:rFonts w:ascii="Cambria Math" w:hAnsi="Cambria Math"/>
                          </w:rPr>
                        </m:ctrlPr>
                      </m:sSubSupPr>
                      <m:e>
                        <m:r>
                          <w:rPr>
                            <w:rFonts w:ascii="Cambria Math" w:hAnsi="Cambria Math"/>
                          </w:rPr>
                          <m:t>τ</m:t>
                        </m:r>
                      </m:e>
                      <m:sub>
                        <m:r>
                          <m:rPr>
                            <m:sty m:val="p"/>
                          </m:rPr>
                          <w:rPr>
                            <w:rFonts w:ascii="Cambria Math" w:hAnsi="Cambria Math"/>
                          </w:rPr>
                          <m:t>Edxy</m:t>
                        </m:r>
                      </m:sub>
                      <m:sup>
                        <m:r>
                          <w:rPr>
                            <w:rFonts w:ascii="Cambria Math" w:hAnsi="Cambria Math"/>
                          </w:rPr>
                          <m:t>2</m:t>
                        </m:r>
                      </m:sup>
                    </m:sSubSup>
                  </m:e>
                </m:eqArr>
              </m:oMath>
            </m:oMathPara>
          </w:p>
        </w:tc>
        <w:tc>
          <w:tcPr>
            <w:tcW w:w="993" w:type="dxa"/>
            <w:vAlign w:val="center"/>
          </w:tcPr>
          <w:p w14:paraId="62D6BBDE" w14:textId="78F663A4" w:rsidR="004E22C1" w:rsidRPr="001455DC" w:rsidRDefault="00231E33" w:rsidP="00EE26B9">
            <w:pPr>
              <w:pStyle w:val="Tablebody"/>
              <w:jc w:val="center"/>
            </w:pPr>
            <m:oMathPara>
              <m:oMath>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σ</m:t>
                        </m:r>
                      </m:e>
                      <m:sub>
                        <m:r>
                          <m:rPr>
                            <m:sty m:val="p"/>
                          </m:rPr>
                          <w:rPr>
                            <w:rFonts w:ascii="Cambria Math" w:hAnsi="Cambria Math"/>
                          </w:rPr>
                          <m:t>Edx</m:t>
                        </m:r>
                      </m:sub>
                    </m:sSub>
                  </m:num>
                  <m:den>
                    <m:d>
                      <m:dPr>
                        <m:begChr m:val="|"/>
                        <m:endChr m:val="|"/>
                        <m:ctrlPr>
                          <w:rPr>
                            <w:rFonts w:ascii="Cambria Math" w:hAnsi="Cambria Math"/>
                          </w:rPr>
                        </m:ctrlPr>
                      </m:dPr>
                      <m:e>
                        <m:sSub>
                          <m:sSubPr>
                            <m:ctrlPr>
                              <w:rPr>
                                <w:rFonts w:ascii="Cambria Math" w:hAnsi="Cambria Math"/>
                              </w:rPr>
                            </m:ctrlPr>
                          </m:sSubPr>
                          <m:e>
                            <m:r>
                              <w:rPr>
                                <w:rFonts w:ascii="Cambria Math" w:hAnsi="Cambria Math"/>
                              </w:rPr>
                              <m:t>τ</m:t>
                            </m:r>
                          </m:e>
                          <m:sub>
                            <m:r>
                              <m:rPr>
                                <m:sty m:val="p"/>
                              </m:rPr>
                              <w:rPr>
                                <w:rFonts w:ascii="Cambria Math" w:hAnsi="Cambria Math"/>
                              </w:rPr>
                              <m:t>Edxy</m:t>
                            </m:r>
                          </m:sub>
                        </m:sSub>
                      </m:e>
                    </m:d>
                  </m:den>
                </m:f>
              </m:oMath>
            </m:oMathPara>
          </w:p>
        </w:tc>
        <w:tc>
          <w:tcPr>
            <w:tcW w:w="1276" w:type="dxa"/>
            <w:vAlign w:val="center"/>
          </w:tcPr>
          <w:p w14:paraId="62F224A3" w14:textId="77777777" w:rsidR="004E22C1" w:rsidRPr="001455DC" w:rsidRDefault="004E22C1" w:rsidP="00EE26B9">
            <w:pPr>
              <w:pStyle w:val="Tablebody"/>
              <w:jc w:val="center"/>
            </w:pPr>
            <w:r w:rsidRPr="001455DC">
              <w:t>0</w:t>
            </w:r>
          </w:p>
        </w:tc>
        <w:tc>
          <w:tcPr>
            <w:tcW w:w="1276" w:type="dxa"/>
            <w:vAlign w:val="center"/>
          </w:tcPr>
          <w:p w14:paraId="7E747E1E" w14:textId="1C428B46" w:rsidR="004E22C1" w:rsidRPr="001455DC" w:rsidRDefault="00231E33" w:rsidP="00EE26B9">
            <w:pPr>
              <w:pStyle w:val="Tablebody"/>
              <w:jc w:val="center"/>
            </w:pPr>
            <m:oMathPara>
              <m:oMath>
                <m:sSub>
                  <m:sSubPr>
                    <m:ctrlPr>
                      <w:rPr>
                        <w:rFonts w:ascii="Cambria Math" w:hAnsi="Cambria Math"/>
                      </w:rPr>
                    </m:ctrlPr>
                  </m:sSubPr>
                  <m:e>
                    <m:r>
                      <w:rPr>
                        <w:rFonts w:ascii="Cambria Math" w:hAnsi="Cambria Math"/>
                      </w:rPr>
                      <m:t>σ</m:t>
                    </m:r>
                  </m:e>
                  <m:sub>
                    <m:r>
                      <m:rPr>
                        <m:sty m:val="p"/>
                      </m:rPr>
                      <w:rPr>
                        <w:rFonts w:ascii="Cambria Math" w:hAnsi="Cambria Math"/>
                      </w:rPr>
                      <m:t>Edy</m:t>
                    </m:r>
                  </m:sub>
                </m:sSub>
                <m:r>
                  <w:rPr>
                    <w:rFonts w:ascii="Cambria Math" w:hAnsi="Cambria Math"/>
                  </w:rPr>
                  <m:t>+</m:t>
                </m:r>
                <m:f>
                  <m:fPr>
                    <m:ctrlPr>
                      <w:rPr>
                        <w:rFonts w:ascii="Cambria Math" w:hAnsi="Cambria Math"/>
                      </w:rPr>
                    </m:ctrlPr>
                  </m:fPr>
                  <m:num>
                    <m:sSub>
                      <m:sSubPr>
                        <m:ctrlPr>
                          <w:rPr>
                            <w:rFonts w:ascii="Cambria Math" w:hAnsi="Cambria Math"/>
                            <w:i/>
                          </w:rPr>
                        </m:ctrlPr>
                      </m:sSubPr>
                      <m:e>
                        <m:sSub>
                          <m:sSubPr>
                            <m:ctrlPr>
                              <w:rPr>
                                <w:rFonts w:ascii="Cambria Math" w:hAnsi="Cambria Math"/>
                              </w:rPr>
                            </m:ctrlPr>
                          </m:sSubPr>
                          <m:e>
                            <m:r>
                              <w:rPr>
                                <w:rFonts w:ascii="Cambria Math" w:hAnsi="Cambria Math"/>
                              </w:rPr>
                              <m:t>τ</m:t>
                            </m:r>
                          </m:e>
                          <m:sub>
                            <m:r>
                              <m:rPr>
                                <m:sty m:val="p"/>
                              </m:rPr>
                              <w:rPr>
                                <w:rFonts w:ascii="Cambria Math" w:hAnsi="Cambria Math"/>
                              </w:rPr>
                              <m:t>Edxy</m:t>
                            </m:r>
                          </m:sub>
                        </m:sSub>
                        <m:ctrlPr>
                          <w:rPr>
                            <w:rFonts w:ascii="Cambria Math" w:hAnsi="Cambria Math"/>
                          </w:rPr>
                        </m:ctrlPr>
                      </m:e>
                      <m:sub>
                        <m:r>
                          <w:rPr>
                            <w:rFonts w:ascii="Cambria Math" w:hAnsi="Cambria Math"/>
                          </w:rPr>
                          <m:t>2</m:t>
                        </m:r>
                        <m:ctrlPr>
                          <w:rPr>
                            <w:rFonts w:ascii="Cambria Math" w:hAnsi="Cambria Math"/>
                          </w:rPr>
                        </m:ctrlPr>
                      </m:sub>
                    </m:sSub>
                  </m:num>
                  <m:den>
                    <m:d>
                      <m:dPr>
                        <m:begChr m:val="|"/>
                        <m:endChr m:val="|"/>
                        <m:ctrlPr>
                          <w:rPr>
                            <w:rFonts w:ascii="Cambria Math" w:hAnsi="Cambria Math"/>
                          </w:rPr>
                        </m:ctrlPr>
                      </m:dPr>
                      <m:e>
                        <m:sSub>
                          <m:sSubPr>
                            <m:ctrlPr>
                              <w:rPr>
                                <w:rFonts w:ascii="Cambria Math" w:hAnsi="Cambria Math"/>
                              </w:rPr>
                            </m:ctrlPr>
                          </m:sSubPr>
                          <m:e>
                            <m:r>
                              <w:rPr>
                                <w:rFonts w:ascii="Cambria Math" w:hAnsi="Cambria Math"/>
                              </w:rPr>
                              <m:t>σ</m:t>
                            </m:r>
                          </m:e>
                          <m:sub>
                            <m:r>
                              <m:rPr>
                                <m:sty m:val="p"/>
                              </m:rPr>
                              <w:rPr>
                                <w:rFonts w:ascii="Cambria Math" w:hAnsi="Cambria Math"/>
                              </w:rPr>
                              <m:t>Edx</m:t>
                            </m:r>
                          </m:sub>
                        </m:sSub>
                      </m:e>
                    </m:d>
                  </m:den>
                </m:f>
              </m:oMath>
            </m:oMathPara>
          </w:p>
        </w:tc>
        <w:tc>
          <w:tcPr>
            <w:tcW w:w="1984" w:type="dxa"/>
            <w:vAlign w:val="center"/>
          </w:tcPr>
          <w:p w14:paraId="56173D3B" w14:textId="76E7FBE4" w:rsidR="004E22C1" w:rsidRPr="001455DC" w:rsidRDefault="00231E33" w:rsidP="00EE26B9">
            <w:pPr>
              <w:pStyle w:val="Tablebody"/>
              <w:jc w:val="center"/>
            </w:pPr>
            <m:oMathPara>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σ</m:t>
                        </m:r>
                      </m:e>
                      <m:sub>
                        <m:r>
                          <m:rPr>
                            <m:sty m:val="p"/>
                          </m:rPr>
                          <w:rPr>
                            <w:rFonts w:ascii="Cambria Math" w:hAnsi="Cambria Math"/>
                          </w:rPr>
                          <m:t>Edx</m:t>
                        </m:r>
                      </m:sub>
                    </m:sSub>
                  </m:e>
                </m:d>
                <m:d>
                  <m:dPr>
                    <m:sepChr m:val=""/>
                    <m:ctrlPr>
                      <w:rPr>
                        <w:rFonts w:ascii="Cambria Math" w:hAnsi="Cambria Math"/>
                      </w:rPr>
                    </m:ctrlPr>
                  </m:dPr>
                  <m:e>
                    <m:r>
                      <w:rPr>
                        <w:rFonts w:ascii="Cambria Math" w:hAnsi="Cambria Math"/>
                      </w:rPr>
                      <m:t>1</m:t>
                    </m:r>
                  </m:e>
                  <m:e>
                    <m:r>
                      <w:rPr>
                        <w:rFonts w:ascii="Cambria Math" w:hAnsi="Cambria Math"/>
                      </w:rPr>
                      <m:t>+</m:t>
                    </m:r>
                  </m:e>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τ</m:t>
                                    </m:r>
                                  </m:e>
                                  <m:sub>
                                    <m:r>
                                      <m:rPr>
                                        <m:sty m:val="p"/>
                                      </m:rPr>
                                      <w:rPr>
                                        <w:rFonts w:ascii="Cambria Math" w:hAnsi="Cambria Math"/>
                                      </w:rPr>
                                      <m:t>Edxy</m:t>
                                    </m:r>
                                  </m:sub>
                                </m:sSub>
                              </m:num>
                              <m:den>
                                <m:sSub>
                                  <m:sSubPr>
                                    <m:ctrlPr>
                                      <w:rPr>
                                        <w:rFonts w:ascii="Cambria Math" w:hAnsi="Cambria Math"/>
                                      </w:rPr>
                                    </m:ctrlPr>
                                  </m:sSubPr>
                                  <m:e>
                                    <m:r>
                                      <w:rPr>
                                        <w:rFonts w:ascii="Cambria Math" w:hAnsi="Cambria Math"/>
                                      </w:rPr>
                                      <m:t>σ</m:t>
                                    </m:r>
                                  </m:e>
                                  <m:sub>
                                    <m:r>
                                      <m:rPr>
                                        <m:sty m:val="p"/>
                                      </m:rPr>
                                      <w:rPr>
                                        <w:rFonts w:ascii="Cambria Math" w:hAnsi="Cambria Math"/>
                                      </w:rPr>
                                      <m:t>Edx</m:t>
                                    </m:r>
                                  </m:sub>
                                </m:sSub>
                              </m:den>
                            </m:f>
                          </m:e>
                        </m:d>
                      </m:e>
                      <m:sup>
                        <m:r>
                          <w:rPr>
                            <w:rFonts w:ascii="Cambria Math" w:hAnsi="Cambria Math"/>
                          </w:rPr>
                          <m:t>2</m:t>
                        </m:r>
                      </m:sup>
                    </m:sSup>
                  </m:e>
                </m:d>
              </m:oMath>
            </m:oMathPara>
          </w:p>
        </w:tc>
      </w:tr>
      <w:tr w:rsidR="004E22C1" w:rsidRPr="001455DC" w14:paraId="7F33C21F" w14:textId="77777777" w:rsidTr="00EE26B9">
        <w:tc>
          <w:tcPr>
            <w:tcW w:w="1696" w:type="dxa"/>
            <w:vAlign w:val="center"/>
          </w:tcPr>
          <w:p w14:paraId="71A85182" w14:textId="7A73076D" w:rsidR="004E22C1" w:rsidRPr="001455DC" w:rsidRDefault="00231E33" w:rsidP="00EE26B9">
            <w:pPr>
              <w:pStyle w:val="Tablebody"/>
              <w:jc w:val="center"/>
            </w:pPr>
            <m:oMathPara>
              <m:oMath>
                <m:eqArr>
                  <m:eqArrPr>
                    <m:ctrlPr>
                      <w:rPr>
                        <w:rFonts w:ascii="Cambria Math" w:hAnsi="Cambria Math"/>
                      </w:rPr>
                    </m:ctrlPr>
                  </m:eqArrPr>
                  <m:e>
                    <m:sSub>
                      <m:sSubPr>
                        <m:ctrlPr>
                          <w:rPr>
                            <w:rFonts w:ascii="Cambria Math" w:hAnsi="Cambria Math"/>
                          </w:rPr>
                        </m:ctrlPr>
                      </m:sSubPr>
                      <m:e>
                        <m:r>
                          <w:rPr>
                            <w:rFonts w:ascii="Cambria Math" w:hAnsi="Cambria Math"/>
                          </w:rPr>
                          <m:t>σ</m:t>
                        </m:r>
                      </m:e>
                      <m:sub>
                        <m:r>
                          <m:rPr>
                            <m:sty m:val="p"/>
                          </m:rPr>
                          <w:rPr>
                            <w:rFonts w:ascii="Cambria Math" w:hAnsi="Cambria Math"/>
                          </w:rPr>
                          <m:t>Edx</m:t>
                        </m:r>
                      </m:sub>
                    </m:sSub>
                    <m:r>
                      <w:rPr>
                        <w:rFonts w:ascii="Cambria Math" w:hAnsi="Cambria Math"/>
                      </w:rPr>
                      <m:t>≥</m:t>
                    </m:r>
                    <m:sSub>
                      <m:sSubPr>
                        <m:ctrlPr>
                          <w:rPr>
                            <w:rFonts w:ascii="Cambria Math" w:hAnsi="Cambria Math"/>
                          </w:rPr>
                        </m:ctrlPr>
                      </m:sSubPr>
                      <m:e>
                        <m:r>
                          <w:rPr>
                            <w:rFonts w:ascii="Cambria Math" w:hAnsi="Cambria Math"/>
                          </w:rPr>
                          <m:t>σ</m:t>
                        </m:r>
                      </m:e>
                      <m:sub>
                        <m:r>
                          <m:rPr>
                            <m:sty m:val="p"/>
                          </m:rPr>
                          <w:rPr>
                            <w:rFonts w:ascii="Cambria Math" w:hAnsi="Cambria Math"/>
                          </w:rPr>
                          <m:t>Edy</m:t>
                        </m:r>
                      </m:sub>
                    </m:sSub>
                  </m:e>
                  <m:e>
                    <m:sSub>
                      <m:sSubPr>
                        <m:ctrlPr>
                          <w:rPr>
                            <w:rFonts w:ascii="Cambria Math" w:hAnsi="Cambria Math"/>
                          </w:rPr>
                        </m:ctrlPr>
                      </m:sSubPr>
                      <m:e>
                        <m:r>
                          <w:rPr>
                            <w:rFonts w:ascii="Cambria Math" w:hAnsi="Cambria Math"/>
                          </w:rPr>
                          <m:t>σ</m:t>
                        </m:r>
                      </m:e>
                      <m:sub>
                        <m:r>
                          <m:rPr>
                            <m:sty m:val="p"/>
                          </m:rPr>
                          <w:rPr>
                            <w:rFonts w:ascii="Cambria Math" w:hAnsi="Cambria Math"/>
                          </w:rPr>
                          <m:t>Edy</m:t>
                        </m:r>
                      </m:sub>
                    </m:sSub>
                    <m:r>
                      <w:rPr>
                        <w:rFonts w:ascii="Cambria Math" w:hAnsi="Cambria Math"/>
                      </w:rPr>
                      <m:t>&lt;-</m:t>
                    </m:r>
                    <m:d>
                      <m:dPr>
                        <m:begChr m:val="|"/>
                        <m:endChr m:val="|"/>
                        <m:ctrlPr>
                          <w:rPr>
                            <w:rFonts w:ascii="Cambria Math" w:hAnsi="Cambria Math"/>
                          </w:rPr>
                        </m:ctrlPr>
                      </m:dPr>
                      <m:e>
                        <m:sSub>
                          <m:sSubPr>
                            <m:ctrlPr>
                              <w:rPr>
                                <w:rFonts w:ascii="Cambria Math" w:hAnsi="Cambria Math"/>
                              </w:rPr>
                            </m:ctrlPr>
                          </m:sSubPr>
                          <m:e>
                            <m:r>
                              <w:rPr>
                                <w:rFonts w:ascii="Cambria Math" w:hAnsi="Cambria Math"/>
                              </w:rPr>
                              <m:t>τ</m:t>
                            </m:r>
                          </m:e>
                          <m:sub>
                            <m:r>
                              <m:rPr>
                                <m:sty m:val="p"/>
                              </m:rPr>
                              <w:rPr>
                                <w:rFonts w:ascii="Cambria Math" w:hAnsi="Cambria Math"/>
                              </w:rPr>
                              <m:t>Edxy</m:t>
                            </m:r>
                          </m:sub>
                        </m:sSub>
                      </m:e>
                    </m:d>
                  </m:e>
                  <m:e>
                    <m:sSub>
                      <m:sSubPr>
                        <m:ctrlPr>
                          <w:rPr>
                            <w:rFonts w:ascii="Cambria Math" w:hAnsi="Cambria Math"/>
                          </w:rPr>
                        </m:ctrlPr>
                      </m:sSubPr>
                      <m:e>
                        <m:r>
                          <w:rPr>
                            <w:rFonts w:ascii="Cambria Math" w:hAnsi="Cambria Math"/>
                          </w:rPr>
                          <m:t>σ</m:t>
                        </m:r>
                      </m:e>
                      <m:sub>
                        <m:r>
                          <m:rPr>
                            <m:sty m:val="p"/>
                          </m:rPr>
                          <w:rPr>
                            <w:rFonts w:ascii="Cambria Math" w:hAnsi="Cambria Math"/>
                          </w:rPr>
                          <m:t>Edx</m:t>
                        </m:r>
                      </m:sub>
                    </m:sSub>
                    <m:sSub>
                      <m:sSubPr>
                        <m:ctrlPr>
                          <w:rPr>
                            <w:rFonts w:ascii="Cambria Math" w:hAnsi="Cambria Math"/>
                          </w:rPr>
                        </m:ctrlPr>
                      </m:sSubPr>
                      <m:e>
                        <m:r>
                          <w:rPr>
                            <w:rFonts w:ascii="Cambria Math" w:hAnsi="Cambria Math"/>
                          </w:rPr>
                          <m:t>σ</m:t>
                        </m:r>
                      </m:e>
                      <m:sub>
                        <m:r>
                          <m:rPr>
                            <m:sty m:val="p"/>
                          </m:rPr>
                          <w:rPr>
                            <w:rFonts w:ascii="Cambria Math" w:hAnsi="Cambria Math"/>
                          </w:rPr>
                          <m:t>Edy</m:t>
                        </m:r>
                      </m:sub>
                    </m:sSub>
                    <m:r>
                      <w:rPr>
                        <w:rFonts w:ascii="Cambria Math" w:hAnsi="Cambria Math"/>
                      </w:rPr>
                      <m:t>≤</m:t>
                    </m:r>
                    <m:sSubSup>
                      <m:sSubSupPr>
                        <m:ctrlPr>
                          <w:rPr>
                            <w:rFonts w:ascii="Cambria Math" w:hAnsi="Cambria Math"/>
                          </w:rPr>
                        </m:ctrlPr>
                      </m:sSubSupPr>
                      <m:e>
                        <m:r>
                          <w:rPr>
                            <w:rFonts w:ascii="Cambria Math" w:hAnsi="Cambria Math"/>
                          </w:rPr>
                          <m:t>τ</m:t>
                        </m:r>
                      </m:e>
                      <m:sub>
                        <m:r>
                          <m:rPr>
                            <m:sty m:val="p"/>
                          </m:rPr>
                          <w:rPr>
                            <w:rFonts w:ascii="Cambria Math" w:hAnsi="Cambria Math"/>
                          </w:rPr>
                          <m:t>Edxy</m:t>
                        </m:r>
                      </m:sub>
                      <m:sup>
                        <m:r>
                          <w:rPr>
                            <w:rFonts w:ascii="Cambria Math" w:hAnsi="Cambria Math"/>
                          </w:rPr>
                          <m:t>2</m:t>
                        </m:r>
                      </m:sup>
                    </m:sSubSup>
                  </m:e>
                </m:eqArr>
              </m:oMath>
            </m:oMathPara>
          </w:p>
        </w:tc>
        <w:tc>
          <w:tcPr>
            <w:tcW w:w="993" w:type="dxa"/>
            <w:vAlign w:val="center"/>
          </w:tcPr>
          <w:p w14:paraId="614BD399" w14:textId="362879E6" w:rsidR="004E22C1" w:rsidRPr="001455DC" w:rsidRDefault="00231E33" w:rsidP="00EE26B9">
            <w:pPr>
              <w:pStyle w:val="Tablebody"/>
              <w:jc w:val="center"/>
            </w:pPr>
            <m:oMathPara>
              <m:oMath>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τ</m:t>
                            </m:r>
                          </m:e>
                          <m:sub>
                            <m:r>
                              <m:rPr>
                                <m:sty m:val="p"/>
                              </m:rPr>
                              <w:rPr>
                                <w:rFonts w:ascii="Cambria Math" w:hAnsi="Cambria Math"/>
                              </w:rPr>
                              <m:t>Edxy</m:t>
                            </m:r>
                          </m:sub>
                        </m:sSub>
                      </m:e>
                    </m:d>
                  </m:num>
                  <m:den>
                    <m:r>
                      <w:rPr>
                        <w:rFonts w:ascii="Cambria Math" w:hAnsi="Cambria Math"/>
                      </w:rPr>
                      <m:t>-</m:t>
                    </m:r>
                    <m:sSub>
                      <m:sSubPr>
                        <m:ctrlPr>
                          <w:rPr>
                            <w:rFonts w:ascii="Cambria Math" w:hAnsi="Cambria Math"/>
                          </w:rPr>
                        </m:ctrlPr>
                      </m:sSubPr>
                      <m:e>
                        <m:r>
                          <w:rPr>
                            <w:rFonts w:ascii="Cambria Math" w:hAnsi="Cambria Math"/>
                          </w:rPr>
                          <m:t>σ</m:t>
                        </m:r>
                      </m:e>
                      <m:sub>
                        <m:r>
                          <m:rPr>
                            <m:sty m:val="p"/>
                          </m:rPr>
                          <w:rPr>
                            <w:rFonts w:ascii="Cambria Math" w:hAnsi="Cambria Math"/>
                          </w:rPr>
                          <m:t>Edy</m:t>
                        </m:r>
                      </m:sub>
                    </m:sSub>
                  </m:den>
                </m:f>
              </m:oMath>
            </m:oMathPara>
          </w:p>
        </w:tc>
        <w:tc>
          <w:tcPr>
            <w:tcW w:w="1276" w:type="dxa"/>
            <w:vAlign w:val="center"/>
          </w:tcPr>
          <w:p w14:paraId="350179A9" w14:textId="40B147FE" w:rsidR="004E22C1" w:rsidRPr="001455DC" w:rsidRDefault="00231E33" w:rsidP="00EE26B9">
            <w:pPr>
              <w:pStyle w:val="Tablebody"/>
              <w:jc w:val="center"/>
            </w:pPr>
            <m:oMathPara>
              <m:oMath>
                <m:sSub>
                  <m:sSubPr>
                    <m:ctrlPr>
                      <w:rPr>
                        <w:rFonts w:ascii="Cambria Math" w:hAnsi="Cambria Math"/>
                      </w:rPr>
                    </m:ctrlPr>
                  </m:sSubPr>
                  <m:e>
                    <m:r>
                      <w:rPr>
                        <w:rFonts w:ascii="Cambria Math" w:hAnsi="Cambria Math"/>
                      </w:rPr>
                      <m:t>σ</m:t>
                    </m:r>
                  </m:e>
                  <m:sub>
                    <m:r>
                      <m:rPr>
                        <m:sty m:val="p"/>
                      </m:rPr>
                      <w:rPr>
                        <w:rFonts w:ascii="Cambria Math" w:hAnsi="Cambria Math"/>
                      </w:rPr>
                      <m:t>Edx</m:t>
                    </m:r>
                  </m:sub>
                </m:sSub>
                <m: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τ</m:t>
                        </m:r>
                      </m:e>
                      <m:sub>
                        <m:r>
                          <m:rPr>
                            <m:sty m:val="p"/>
                          </m:rPr>
                          <w:rPr>
                            <w:rFonts w:ascii="Cambria Math" w:hAnsi="Cambria Math"/>
                          </w:rPr>
                          <m:t>Edxy</m:t>
                        </m:r>
                      </m:sub>
                      <m:sup>
                        <m:r>
                          <w:rPr>
                            <w:rFonts w:ascii="Cambria Math" w:hAnsi="Cambria Math"/>
                          </w:rPr>
                          <m:t>2</m:t>
                        </m:r>
                      </m:sup>
                    </m:sSubSup>
                  </m:num>
                  <m:den>
                    <m:d>
                      <m:dPr>
                        <m:begChr m:val="|"/>
                        <m:endChr m:val="|"/>
                        <m:ctrlPr>
                          <w:rPr>
                            <w:rFonts w:ascii="Cambria Math" w:hAnsi="Cambria Math"/>
                          </w:rPr>
                        </m:ctrlPr>
                      </m:dPr>
                      <m:e>
                        <m:sSub>
                          <m:sSubPr>
                            <m:ctrlPr>
                              <w:rPr>
                                <w:rFonts w:ascii="Cambria Math" w:hAnsi="Cambria Math"/>
                              </w:rPr>
                            </m:ctrlPr>
                          </m:sSubPr>
                          <m:e>
                            <m:r>
                              <w:rPr>
                                <w:rFonts w:ascii="Cambria Math" w:hAnsi="Cambria Math"/>
                              </w:rPr>
                              <m:t>σ</m:t>
                            </m:r>
                          </m:e>
                          <m:sub>
                            <m:r>
                              <m:rPr>
                                <m:sty m:val="p"/>
                              </m:rPr>
                              <w:rPr>
                                <w:rFonts w:ascii="Cambria Math" w:hAnsi="Cambria Math"/>
                              </w:rPr>
                              <m:t>Edy</m:t>
                            </m:r>
                          </m:sub>
                        </m:sSub>
                      </m:e>
                    </m:d>
                  </m:den>
                </m:f>
              </m:oMath>
            </m:oMathPara>
          </w:p>
        </w:tc>
        <w:tc>
          <w:tcPr>
            <w:tcW w:w="1276" w:type="dxa"/>
            <w:vAlign w:val="center"/>
          </w:tcPr>
          <w:p w14:paraId="14A52383" w14:textId="77777777" w:rsidR="004E22C1" w:rsidRPr="001455DC" w:rsidRDefault="004E22C1" w:rsidP="00EE26B9">
            <w:pPr>
              <w:pStyle w:val="Tablebody"/>
              <w:jc w:val="center"/>
            </w:pPr>
            <w:r w:rsidRPr="001455DC">
              <w:t>0</w:t>
            </w:r>
          </w:p>
        </w:tc>
        <w:tc>
          <w:tcPr>
            <w:tcW w:w="1984" w:type="dxa"/>
            <w:vAlign w:val="center"/>
          </w:tcPr>
          <w:p w14:paraId="1E500746" w14:textId="0706BC6B" w:rsidR="004E22C1" w:rsidRPr="001455DC" w:rsidRDefault="00231E33" w:rsidP="00EE26B9">
            <w:pPr>
              <w:pStyle w:val="Tablebody"/>
              <w:jc w:val="center"/>
            </w:pPr>
            <m:oMathPara>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σ</m:t>
                        </m:r>
                      </m:e>
                      <m:sub>
                        <m:r>
                          <m:rPr>
                            <m:sty m:val="p"/>
                          </m:rPr>
                          <w:rPr>
                            <w:rFonts w:ascii="Cambria Math" w:hAnsi="Cambria Math"/>
                          </w:rPr>
                          <m:t>Edy</m:t>
                        </m:r>
                      </m:sub>
                    </m:sSub>
                  </m:e>
                </m:d>
                <m:d>
                  <m:dPr>
                    <m:sepChr m:val=""/>
                    <m:ctrlPr>
                      <w:rPr>
                        <w:rFonts w:ascii="Cambria Math" w:hAnsi="Cambria Math"/>
                      </w:rPr>
                    </m:ctrlPr>
                  </m:dPr>
                  <m:e>
                    <m:r>
                      <w:rPr>
                        <w:rFonts w:ascii="Cambria Math" w:hAnsi="Cambria Math"/>
                      </w:rPr>
                      <m:t>1</m:t>
                    </m:r>
                  </m:e>
                  <m:e>
                    <m:r>
                      <w:rPr>
                        <w:rFonts w:ascii="Cambria Math" w:hAnsi="Cambria Math"/>
                      </w:rPr>
                      <m:t>+</m:t>
                    </m:r>
                  </m:e>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τ</m:t>
                                    </m:r>
                                  </m:e>
                                  <m:sub>
                                    <m:r>
                                      <m:rPr>
                                        <m:sty m:val="p"/>
                                      </m:rPr>
                                      <w:rPr>
                                        <w:rFonts w:ascii="Cambria Math" w:hAnsi="Cambria Math"/>
                                      </w:rPr>
                                      <m:t>Edxy</m:t>
                                    </m:r>
                                  </m:sub>
                                </m:sSub>
                              </m:num>
                              <m:den>
                                <m:sSub>
                                  <m:sSubPr>
                                    <m:ctrlPr>
                                      <w:rPr>
                                        <w:rFonts w:ascii="Cambria Math" w:hAnsi="Cambria Math"/>
                                      </w:rPr>
                                    </m:ctrlPr>
                                  </m:sSubPr>
                                  <m:e>
                                    <m:r>
                                      <w:rPr>
                                        <w:rFonts w:ascii="Cambria Math" w:hAnsi="Cambria Math"/>
                                      </w:rPr>
                                      <m:t>σ</m:t>
                                    </m:r>
                                  </m:e>
                                  <m:sub>
                                    <m:r>
                                      <m:rPr>
                                        <m:sty m:val="p"/>
                                      </m:rPr>
                                      <w:rPr>
                                        <w:rFonts w:ascii="Cambria Math" w:hAnsi="Cambria Math"/>
                                      </w:rPr>
                                      <m:t>Edy</m:t>
                                    </m:r>
                                  </m:sub>
                                </m:sSub>
                              </m:den>
                            </m:f>
                          </m:e>
                        </m:d>
                      </m:e>
                      <m:sup>
                        <m:r>
                          <w:rPr>
                            <w:rFonts w:ascii="Cambria Math" w:hAnsi="Cambria Math"/>
                          </w:rPr>
                          <m:t>2</m:t>
                        </m:r>
                      </m:sup>
                    </m:sSup>
                  </m:e>
                </m:d>
              </m:oMath>
            </m:oMathPara>
          </w:p>
        </w:tc>
      </w:tr>
    </w:tbl>
    <w:p w14:paraId="7FAB1A37" w14:textId="77777777" w:rsidR="004E22C1" w:rsidRPr="001455DC" w:rsidRDefault="004E22C1" w:rsidP="00EE26B9">
      <w:pPr>
        <w:pStyle w:val="a7"/>
      </w:pPr>
    </w:p>
    <w:p w14:paraId="6219B307" w14:textId="77777777" w:rsidR="004E22C1" w:rsidRPr="001455DC" w:rsidRDefault="004E22C1" w:rsidP="00EE26B9">
      <w:pPr>
        <w:pStyle w:val="a7"/>
      </w:pPr>
      <w:r w:rsidRPr="001455DC">
        <w:t>(4)</w:t>
      </w:r>
      <w:r w:rsidRPr="001455DC">
        <w:tab/>
        <w:t>The reinforcement should be fully anchored at free edges, e.g. by headed bars, U-bars or similar.</w:t>
      </w:r>
    </w:p>
    <w:p w14:paraId="393AE171" w14:textId="77777777" w:rsidR="00EE26B9" w:rsidRPr="001455DC" w:rsidRDefault="004E22C1" w:rsidP="00116AE2">
      <w:pPr>
        <w:pStyle w:val="a7"/>
        <w:keepNext/>
      </w:pPr>
      <w:r w:rsidRPr="001455DC">
        <w:t>(5)</w:t>
      </w:r>
      <w:r w:rsidRPr="001455DC">
        <w:tab/>
        <w:t>In absence of a refined calculation, the reduction factor of concrete may be assumed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EE26B9" w:rsidRPr="001455DC" w14:paraId="6955F675" w14:textId="77777777" w:rsidTr="00EE26B9">
        <w:trPr>
          <w:cantSplit/>
        </w:trPr>
        <w:tc>
          <w:tcPr>
            <w:tcW w:w="8505" w:type="dxa"/>
            <w:vAlign w:val="center"/>
          </w:tcPr>
          <w:p w14:paraId="22E7787B" w14:textId="05D3969D" w:rsidR="00EE26B9" w:rsidRPr="001455DC" w:rsidRDefault="00EE26B9" w:rsidP="00EE26B9">
            <w:pPr>
              <w:pStyle w:val="Formula"/>
              <w:jc w:val="left"/>
            </w:pPr>
            <w:r w:rsidRPr="001455DC">
              <w:rPr>
                <w:rStyle w:val="CCMCvariableitalic"/>
              </w:rPr>
              <w:t>ν</w:t>
            </w:r>
            <w:r w:rsidRPr="001455DC">
              <w:t> </w:t>
            </w:r>
            <w:r w:rsidR="00EC27D2" w:rsidRPr="001455DC">
              <w:rPr>
                <w:rFonts w:ascii="Cambria Math" w:hAnsi="Cambria Math"/>
              </w:rPr>
              <w:t>=</w:t>
            </w:r>
            <w:r w:rsidRPr="001455DC">
              <w:t> 0,4</w:t>
            </w:r>
          </w:p>
        </w:tc>
        <w:tc>
          <w:tcPr>
            <w:tcW w:w="1247" w:type="dxa"/>
            <w:vAlign w:val="center"/>
          </w:tcPr>
          <w:p w14:paraId="2505C4A7" w14:textId="057B770A" w:rsidR="00EE26B9" w:rsidRPr="001455DC" w:rsidRDefault="00EE26B9" w:rsidP="00EE26B9">
            <w:pPr>
              <w:pStyle w:val="a7"/>
              <w:jc w:val="right"/>
            </w:pPr>
            <w:r w:rsidRPr="001455DC">
              <w:t>(G.8)</w:t>
            </w:r>
          </w:p>
        </w:tc>
      </w:tr>
    </w:tbl>
    <w:p w14:paraId="6CDF917F" w14:textId="77777777" w:rsidR="00EE26B9" w:rsidRPr="001455DC" w:rsidRDefault="004E22C1" w:rsidP="00116AE2">
      <w:pPr>
        <w:pStyle w:val="a7"/>
        <w:keepNext/>
      </w:pPr>
      <w:r w:rsidRPr="001455DC">
        <w:t>(6)</w:t>
      </w:r>
      <w:r w:rsidRPr="001455DC">
        <w:tab/>
        <w:t>A more refined calculation of the reduction factor of concrete may be performed using:</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EE26B9" w:rsidRPr="001455DC" w14:paraId="150D5200" w14:textId="77777777" w:rsidTr="00EE26B9">
        <w:trPr>
          <w:cantSplit/>
        </w:trPr>
        <w:tc>
          <w:tcPr>
            <w:tcW w:w="8505" w:type="dxa"/>
            <w:vAlign w:val="center"/>
          </w:tcPr>
          <w:p w14:paraId="57DD9ABD" w14:textId="2316F2FC" w:rsidR="00EE26B9" w:rsidRPr="001455DC" w:rsidRDefault="00EE26B9" w:rsidP="00EE26B9">
            <w:pPr>
              <w:pStyle w:val="Formula"/>
              <w:jc w:val="left"/>
            </w:pPr>
            <m:oMathPara>
              <m:oMathParaPr>
                <m:jc m:val="left"/>
              </m:oMathParaPr>
              <m:oMath>
                <m:r>
                  <w:rPr>
                    <w:rFonts w:ascii="Cambria Math" w:hAnsi="Cambria Math"/>
                  </w:rPr>
                  <m:t>ν=</m:t>
                </m:r>
                <m:f>
                  <m:fPr>
                    <m:ctrlPr>
                      <w:rPr>
                        <w:rFonts w:ascii="Cambria Math" w:hAnsi="Cambria Math"/>
                      </w:rPr>
                    </m:ctrlPr>
                  </m:fPr>
                  <m:num>
                    <m:r>
                      <w:rPr>
                        <w:rFonts w:ascii="Cambria Math" w:hAnsi="Cambria Math"/>
                      </w:rPr>
                      <m:t>1</m:t>
                    </m:r>
                  </m:num>
                  <m:den>
                    <m:r>
                      <w:rPr>
                        <w:rFonts w:ascii="Cambria Math" w:hAnsi="Cambria Math"/>
                      </w:rPr>
                      <m:t>1,0+110⋅</m:t>
                    </m:r>
                    <m:sSub>
                      <m:sSubPr>
                        <m:ctrlPr>
                          <w:rPr>
                            <w:rFonts w:ascii="Cambria Math" w:hAnsi="Cambria Math"/>
                          </w:rPr>
                        </m:ctrlPr>
                      </m:sSubPr>
                      <m:e>
                        <m:r>
                          <w:rPr>
                            <w:rFonts w:ascii="Cambria Math" w:hAnsi="Cambria Math"/>
                          </w:rPr>
                          <m:t>ε</m:t>
                        </m:r>
                      </m:e>
                      <m:sub>
                        <m:r>
                          <w:rPr>
                            <w:rFonts w:ascii="Cambria Math" w:hAnsi="Cambria Math"/>
                          </w:rPr>
                          <m:t>1</m:t>
                        </m:r>
                      </m:sub>
                    </m:sSub>
                  </m:den>
                </m:f>
                <m:r>
                  <w:rPr>
                    <w:rFonts w:ascii="Cambria Math" w:hAnsi="Cambria Math"/>
                  </w:rPr>
                  <m:t>≤1,0</m:t>
                </m:r>
              </m:oMath>
            </m:oMathPara>
          </w:p>
        </w:tc>
        <w:tc>
          <w:tcPr>
            <w:tcW w:w="1247" w:type="dxa"/>
            <w:vAlign w:val="center"/>
          </w:tcPr>
          <w:p w14:paraId="6B862A30" w14:textId="332D42EE" w:rsidR="00EE26B9" w:rsidRPr="001455DC" w:rsidRDefault="00EE26B9" w:rsidP="00EE26B9">
            <w:pPr>
              <w:pStyle w:val="a7"/>
              <w:jc w:val="right"/>
            </w:pPr>
            <w:r w:rsidRPr="001455DC">
              <w:t>(G.9)</w:t>
            </w:r>
          </w:p>
        </w:tc>
      </w:tr>
    </w:tbl>
    <w:p w14:paraId="01475A56" w14:textId="77777777" w:rsidR="004E22C1" w:rsidRPr="001455DC" w:rsidRDefault="004E22C1" w:rsidP="00EE26B9">
      <w:pPr>
        <w:pStyle w:val="a7"/>
      </w:pPr>
      <w:r w:rsidRPr="001455DC">
        <w:t xml:space="preserve">where </w:t>
      </w:r>
      <w:r w:rsidRPr="001455DC">
        <w:rPr>
          <w:rStyle w:val="CCMCvariableitalic"/>
        </w:rPr>
        <w:t>ε</w:t>
      </w:r>
      <w:r w:rsidRPr="001455DC">
        <w:rPr>
          <w:rStyle w:val="CCMCvariablesubscript"/>
        </w:rPr>
        <w:t>1</w:t>
      </w:r>
      <w:r w:rsidRPr="001455DC">
        <w:t xml:space="preserve"> is the principal strain transverse to the direction of the concrete stress field accounting for strain compatibility and considering concrete as cracked without tensile strength.</w:t>
      </w:r>
    </w:p>
    <w:p w14:paraId="6162AAC9" w14:textId="77777777" w:rsidR="00EE26B9" w:rsidRPr="001455DC" w:rsidRDefault="004E22C1" w:rsidP="00116AE2">
      <w:pPr>
        <w:pStyle w:val="a7"/>
        <w:keepNext/>
      </w:pPr>
      <w:r w:rsidRPr="001455DC">
        <w:t>(7)</w:t>
      </w:r>
      <w:r w:rsidRPr="001455DC">
        <w:tab/>
        <w:t xml:space="preserve">The value of the principal strain </w:t>
      </w:r>
      <w:r w:rsidRPr="001455DC">
        <w:rPr>
          <w:rStyle w:val="CCMCvariableitalic"/>
        </w:rPr>
        <w:t>ε</w:t>
      </w:r>
      <w:r w:rsidRPr="001455DC">
        <w:rPr>
          <w:rStyle w:val="CCMCvariablesubscript"/>
        </w:rPr>
        <w:t>1</w:t>
      </w:r>
      <w:r w:rsidRPr="001455DC">
        <w:t xml:space="preserve"> in Formulae (G.9) may be estimated from one of the two following formulae:</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EE26B9" w:rsidRPr="001455DC" w14:paraId="5095651C" w14:textId="77777777" w:rsidTr="00EE26B9">
        <w:trPr>
          <w:cantSplit/>
        </w:trPr>
        <w:tc>
          <w:tcPr>
            <w:tcW w:w="8505" w:type="dxa"/>
            <w:vAlign w:val="center"/>
          </w:tcPr>
          <w:p w14:paraId="213EC20E" w14:textId="37DDF568" w:rsidR="00EE26B9" w:rsidRPr="001455DC" w:rsidRDefault="00231E33" w:rsidP="00EE26B9">
            <w:pPr>
              <w:pStyle w:val="Formula"/>
              <w:jc w:val="left"/>
            </w:pPr>
            <m:oMathPara>
              <m:oMathParaPr>
                <m:jc m:val="left"/>
              </m:oMathParaPr>
              <m:oMath>
                <m:sSub>
                  <m:sSubPr>
                    <m:ctrlPr>
                      <w:rPr>
                        <w:rFonts w:ascii="Cambria Math" w:hAnsi="Cambria Math"/>
                      </w:rPr>
                    </m:ctrlPr>
                  </m:sSubPr>
                  <m:e>
                    <m:r>
                      <w:rPr>
                        <w:rFonts w:ascii="Cambria Math" w:hAnsi="Cambria Math"/>
                      </w:rPr>
                      <m:t>ε</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ε</m:t>
                    </m:r>
                  </m:e>
                  <m:sub>
                    <m:r>
                      <m:rPr>
                        <m:sty m:val="p"/>
                      </m:rPr>
                      <w:rPr>
                        <w:rFonts w:ascii="Cambria Math" w:hAnsi="Cambria Math"/>
                      </w:rPr>
                      <m:t>x</m:t>
                    </m:r>
                  </m:sub>
                </m:sSub>
                <m:r>
                  <w:rPr>
                    <w:rFonts w:ascii="Cambria Math" w:hAnsi="Cambria Math"/>
                  </w:rPr>
                  <m:t>+(</m:t>
                </m:r>
                <m:sSub>
                  <m:sSubPr>
                    <m:ctrlPr>
                      <w:rPr>
                        <w:rFonts w:ascii="Cambria Math" w:hAnsi="Cambria Math"/>
                      </w:rPr>
                    </m:ctrlPr>
                  </m:sSubPr>
                  <m:e>
                    <m:r>
                      <w:rPr>
                        <w:rFonts w:ascii="Cambria Math" w:hAnsi="Cambria Math"/>
                      </w:rPr>
                      <m:t>ε</m:t>
                    </m:r>
                  </m:e>
                  <m:sub>
                    <m:r>
                      <m:rPr>
                        <m:sty m:val="p"/>
                      </m:rPr>
                      <w:rPr>
                        <w:rFonts w:ascii="Cambria Math" w:hAnsi="Cambria Math"/>
                      </w:rPr>
                      <m:t>x</m:t>
                    </m:r>
                  </m:sub>
                </m:sSub>
                <m:r>
                  <w:rPr>
                    <w:rFonts w:ascii="Cambria Math" w:hAnsi="Cambria Math"/>
                  </w:rPr>
                  <m:t>+0,001)</m:t>
                </m:r>
                <m:sSup>
                  <m:sSupPr>
                    <m:ctrlPr>
                      <w:rPr>
                        <w:rFonts w:ascii="Cambria Math" w:hAnsi="Cambria Math"/>
                      </w:rPr>
                    </m:ctrlPr>
                  </m:sSupPr>
                  <m:e>
                    <m:r>
                      <m:rPr>
                        <m:sty m:val="p"/>
                      </m:rPr>
                      <w:rPr>
                        <w:rFonts w:ascii="Cambria Math" w:hAnsi="Cambria Math"/>
                      </w:rPr>
                      <m:t>cot</m:t>
                    </m:r>
                  </m:e>
                  <m:sup>
                    <m:r>
                      <w:rPr>
                        <w:rFonts w:ascii="Cambria Math" w:hAnsi="Cambria Math"/>
                      </w:rPr>
                      <m:t>2</m:t>
                    </m:r>
                  </m:sup>
                </m:sSup>
                <m:r>
                  <w:rPr>
                    <w:rFonts w:ascii="Cambria Math" w:hAnsi="Cambria Math"/>
                  </w:rPr>
                  <m:t>θ</m:t>
                </m:r>
              </m:oMath>
            </m:oMathPara>
          </w:p>
        </w:tc>
        <w:tc>
          <w:tcPr>
            <w:tcW w:w="1247" w:type="dxa"/>
            <w:vAlign w:val="center"/>
          </w:tcPr>
          <w:p w14:paraId="7FA74F2D" w14:textId="43A32BE7" w:rsidR="00EE26B9" w:rsidRPr="001455DC" w:rsidRDefault="00EE26B9" w:rsidP="00EE26B9">
            <w:pPr>
              <w:pStyle w:val="a7"/>
              <w:jc w:val="right"/>
            </w:pPr>
            <w:r w:rsidRPr="001455DC">
              <w:t>(G.10)</w:t>
            </w:r>
          </w:p>
        </w:tc>
      </w:tr>
      <w:tr w:rsidR="00EE26B9" w:rsidRPr="001455DC" w14:paraId="49E0585B" w14:textId="77777777" w:rsidTr="00EE26B9">
        <w:trPr>
          <w:cantSplit/>
        </w:trPr>
        <w:tc>
          <w:tcPr>
            <w:tcW w:w="8505" w:type="dxa"/>
            <w:vAlign w:val="center"/>
          </w:tcPr>
          <w:p w14:paraId="722666C2" w14:textId="3EFFE880" w:rsidR="00EE26B9" w:rsidRPr="001455DC" w:rsidRDefault="00231E33" w:rsidP="00EE26B9">
            <w:pPr>
              <w:pStyle w:val="Formula"/>
              <w:jc w:val="left"/>
            </w:pPr>
            <m:oMathPara>
              <m:oMathParaPr>
                <m:jc m:val="left"/>
              </m:oMathParaPr>
              <m:oMath>
                <m:sSub>
                  <m:sSubPr>
                    <m:ctrlPr>
                      <w:rPr>
                        <w:rFonts w:ascii="Cambria Math" w:hAnsi="Cambria Math"/>
                      </w:rPr>
                    </m:ctrlPr>
                  </m:sSubPr>
                  <m:e>
                    <m:r>
                      <w:rPr>
                        <w:rFonts w:ascii="Cambria Math" w:hAnsi="Cambria Math"/>
                      </w:rPr>
                      <m:t>ε</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ε</m:t>
                    </m:r>
                  </m:e>
                  <m:sub>
                    <m:r>
                      <m:rPr>
                        <m:sty m:val="p"/>
                      </m:rPr>
                      <w:rPr>
                        <w:rFonts w:ascii="Cambria Math" w:hAnsi="Cambria Math"/>
                      </w:rPr>
                      <m:t>y</m:t>
                    </m:r>
                  </m:sub>
                </m:sSub>
                <m: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ε</m:t>
                            </m:r>
                          </m:e>
                          <m:sub>
                            <m:r>
                              <m:rPr>
                                <m:sty m:val="p"/>
                              </m:rPr>
                              <w:rPr>
                                <w:rFonts w:ascii="Cambria Math" w:hAnsi="Cambria Math"/>
                              </w:rPr>
                              <m:t>y</m:t>
                            </m:r>
                          </m:sub>
                        </m:sSub>
                        <m:r>
                          <w:rPr>
                            <w:rFonts w:ascii="Cambria Math" w:hAnsi="Cambria Math"/>
                          </w:rPr>
                          <m:t>+0,001</m:t>
                        </m:r>
                      </m:e>
                    </m:d>
                  </m:num>
                  <m:den>
                    <m:sSup>
                      <m:sSupPr>
                        <m:ctrlPr>
                          <w:rPr>
                            <w:rFonts w:ascii="Cambria Math" w:hAnsi="Cambria Math"/>
                          </w:rPr>
                        </m:ctrlPr>
                      </m:sSupPr>
                      <m:e>
                        <m:r>
                          <m:rPr>
                            <m:sty m:val="p"/>
                          </m:rPr>
                          <w:rPr>
                            <w:rFonts w:ascii="Cambria Math" w:hAnsi="Cambria Math"/>
                          </w:rPr>
                          <m:t>cot</m:t>
                        </m:r>
                      </m:e>
                      <m:sup>
                        <m:r>
                          <w:rPr>
                            <w:rFonts w:ascii="Cambria Math" w:hAnsi="Cambria Math"/>
                          </w:rPr>
                          <m:t>2</m:t>
                        </m:r>
                      </m:sup>
                    </m:sSup>
                    <m:r>
                      <w:rPr>
                        <w:rFonts w:ascii="Cambria Math" w:hAnsi="Cambria Math"/>
                      </w:rPr>
                      <m:t>θ</m:t>
                    </m:r>
                  </m:den>
                </m:f>
              </m:oMath>
            </m:oMathPara>
          </w:p>
        </w:tc>
        <w:tc>
          <w:tcPr>
            <w:tcW w:w="1247" w:type="dxa"/>
            <w:vAlign w:val="center"/>
          </w:tcPr>
          <w:p w14:paraId="46411571" w14:textId="202C4835" w:rsidR="00EE26B9" w:rsidRPr="001455DC" w:rsidRDefault="00EE26B9" w:rsidP="00EE26B9">
            <w:pPr>
              <w:pStyle w:val="a7"/>
              <w:jc w:val="right"/>
            </w:pPr>
            <w:r w:rsidRPr="001455DC">
              <w:t>(G.11)</w:t>
            </w:r>
          </w:p>
        </w:tc>
      </w:tr>
    </w:tbl>
    <w:p w14:paraId="6E40BFA2" w14:textId="77777777" w:rsidR="004E22C1" w:rsidRPr="001455DC" w:rsidRDefault="004E22C1" w:rsidP="00116AE2">
      <w:pPr>
        <w:pStyle w:val="a7"/>
        <w:keepNext/>
      </w:pPr>
      <w:r w:rsidRPr="001455DC">
        <w:t xml:space="preserve">where </w:t>
      </w:r>
      <w:r w:rsidRPr="001455DC">
        <w:rPr>
          <w:rStyle w:val="CCMCvariableitalic"/>
        </w:rPr>
        <w:t>ε</w:t>
      </w:r>
      <w:r w:rsidRPr="001455DC">
        <w:rPr>
          <w:rStyle w:val="CCMCvariablesubscript"/>
        </w:rPr>
        <w:t>x</w:t>
      </w:r>
      <w:r w:rsidRPr="001455DC">
        <w:t xml:space="preserve"> and </w:t>
      </w:r>
      <w:r w:rsidRPr="001455DC">
        <w:rPr>
          <w:rStyle w:val="CCMCvariableitalic"/>
        </w:rPr>
        <w:t>ε</w:t>
      </w:r>
      <w:r w:rsidRPr="001455DC">
        <w:rPr>
          <w:rStyle w:val="CCMCvariablesubscript"/>
        </w:rPr>
        <w:t>y</w:t>
      </w:r>
      <w:r w:rsidRPr="001455DC">
        <w:t xml:space="preserve"> are the normal strains (positive as tension) in the </w:t>
      </w:r>
      <w:r w:rsidRPr="001455DC">
        <w:rPr>
          <w:rStyle w:val="CCMCvariableitalic"/>
        </w:rPr>
        <w:t>x</w:t>
      </w:r>
      <w:r w:rsidRPr="001455DC">
        <w:t xml:space="preserve">- and </w:t>
      </w:r>
      <w:r w:rsidRPr="001455DC">
        <w:rPr>
          <w:rStyle w:val="CCMCvariableitalic"/>
        </w:rPr>
        <w:t>y</w:t>
      </w:r>
      <w:r w:rsidRPr="001455DC">
        <w:t xml:space="preserve">-axes. A simple estimate of </w:t>
      </w:r>
      <w:r w:rsidRPr="001455DC">
        <w:rPr>
          <w:rStyle w:val="CCMCvariableitalic"/>
        </w:rPr>
        <w:t>ε</w:t>
      </w:r>
      <w:r w:rsidRPr="001455DC">
        <w:rPr>
          <w:rStyle w:val="CCMCvariablesubscript"/>
        </w:rPr>
        <w:t>1</w:t>
      </w:r>
      <w:r w:rsidRPr="001455DC">
        <w:t xml:space="preserve"> may be obtained by using the following guidelines in cases where cot</w:t>
      </w:r>
      <w:r w:rsidRPr="001455DC">
        <w:rPr>
          <w:rStyle w:val="CCMCvariableitalic"/>
        </w:rPr>
        <w:t>θ</w:t>
      </w:r>
      <w:r w:rsidRPr="001455DC">
        <w:t xml:space="preserve"> is known:</w:t>
      </w:r>
    </w:p>
    <w:p w14:paraId="4504AC0A" w14:textId="03BE28C8" w:rsidR="004E22C1" w:rsidRPr="001455DC" w:rsidRDefault="004E22C1" w:rsidP="00082680">
      <w:pPr>
        <w:pStyle w:val="a0"/>
        <w:numPr>
          <w:ilvl w:val="0"/>
          <w:numId w:val="37"/>
        </w:numPr>
        <w:jc w:val="left"/>
      </w:pPr>
      <w:r w:rsidRPr="001455DC">
        <w:t xml:space="preserve">Formulae (G.10), with </w:t>
      </w:r>
      <w:r w:rsidRPr="001455DC">
        <w:rPr>
          <w:rStyle w:val="CCMCvariableitalic"/>
        </w:rPr>
        <w:t>ε</w:t>
      </w:r>
      <w:r w:rsidRPr="001455DC">
        <w:rPr>
          <w:rStyle w:val="CCMCvariablesubscript"/>
        </w:rPr>
        <w:t>x</w:t>
      </w:r>
      <w:r w:rsidRPr="001455DC">
        <w:t xml:space="preserve"> taken as </w:t>
      </w:r>
      <w:r w:rsidRPr="001455DC">
        <w:rPr>
          <w:rStyle w:val="CCMCvariableitalic"/>
        </w:rPr>
        <w:t>f</w:t>
      </w:r>
      <w:r w:rsidRPr="001455DC">
        <w:rPr>
          <w:rStyle w:val="CCMCvariablesubscript"/>
        </w:rPr>
        <w:t>yd</w:t>
      </w:r>
      <w:r w:rsidRPr="001455DC">
        <w:t>/</w:t>
      </w:r>
      <w:r w:rsidRPr="001455DC">
        <w:rPr>
          <w:rStyle w:val="CCMCvariableitalic"/>
        </w:rPr>
        <w:t>E</w:t>
      </w:r>
      <w:r w:rsidRPr="001455DC">
        <w:rPr>
          <w:rStyle w:val="CCMCvariablesubscript"/>
        </w:rPr>
        <w:t>Sd</w:t>
      </w:r>
      <w:r w:rsidRPr="001455DC">
        <w:t xml:space="preserve">, may be used in cases where </w:t>
      </w:r>
      <w:r w:rsidRPr="001455DC">
        <w:rPr>
          <w:rStyle w:val="CCMCvariableitalic"/>
        </w:rPr>
        <w:t>f</w:t>
      </w:r>
      <w:r w:rsidRPr="001455DC">
        <w:rPr>
          <w:rStyle w:val="CCMCvariablesubscript"/>
        </w:rPr>
        <w:t>tdy</w:t>
      </w:r>
      <w:r w:rsidRPr="001455DC">
        <w:t> </w:t>
      </w:r>
      <w:r w:rsidR="00EC27D2" w:rsidRPr="001455DC">
        <w:rPr>
          <w:rFonts w:ascii="Cambria Math" w:hAnsi="Cambria Math"/>
        </w:rPr>
        <w:t>=</w:t>
      </w:r>
      <w:r w:rsidRPr="001455DC">
        <w:t xml:space="preserve"> 0. </w:t>
      </w:r>
      <w:r w:rsidR="00F57D6E" w:rsidRPr="001455DC">
        <w:br/>
      </w:r>
      <w:r w:rsidRPr="001455DC">
        <w:t xml:space="preserve">Formulae (G.11), with </w:t>
      </w:r>
      <w:r w:rsidRPr="001455DC">
        <w:rPr>
          <w:rStyle w:val="CCMCvariableitalic"/>
        </w:rPr>
        <w:t>ε</w:t>
      </w:r>
      <w:r w:rsidRPr="001455DC">
        <w:rPr>
          <w:rStyle w:val="CCMCvariablesubscript"/>
        </w:rPr>
        <w:t>y</w:t>
      </w:r>
      <w:r w:rsidRPr="001455DC">
        <w:t xml:space="preserve"> taken as </w:t>
      </w:r>
      <w:r w:rsidRPr="001455DC">
        <w:rPr>
          <w:rStyle w:val="CCMCvariableitalic"/>
        </w:rPr>
        <w:t>f</w:t>
      </w:r>
      <w:r w:rsidRPr="001455DC">
        <w:rPr>
          <w:rStyle w:val="CCMCvariablesubscript"/>
        </w:rPr>
        <w:t>yd</w:t>
      </w:r>
      <w:r w:rsidRPr="001455DC">
        <w:t>/</w:t>
      </w:r>
      <w:r w:rsidRPr="001455DC">
        <w:rPr>
          <w:rStyle w:val="CCMCvariableitalic"/>
        </w:rPr>
        <w:t>E</w:t>
      </w:r>
      <w:r w:rsidRPr="001455DC">
        <w:rPr>
          <w:rStyle w:val="CCMCvariablesubscript"/>
        </w:rPr>
        <w:t>Sd</w:t>
      </w:r>
      <w:r w:rsidRPr="001455DC">
        <w:t xml:space="preserve">, may be used in cases where </w:t>
      </w:r>
      <w:r w:rsidRPr="001455DC">
        <w:rPr>
          <w:rStyle w:val="CCMCvariableitalic"/>
        </w:rPr>
        <w:t>f</w:t>
      </w:r>
      <w:r w:rsidRPr="001455DC">
        <w:rPr>
          <w:rStyle w:val="CCMCvariablesubscript"/>
        </w:rPr>
        <w:t>tdx</w:t>
      </w:r>
      <w:r w:rsidRPr="001455DC">
        <w:t> </w:t>
      </w:r>
      <w:r w:rsidR="00EC27D2" w:rsidRPr="001455DC">
        <w:rPr>
          <w:rFonts w:ascii="Cambria Math" w:hAnsi="Cambria Math"/>
        </w:rPr>
        <w:t>=</w:t>
      </w:r>
      <w:r w:rsidRPr="001455DC">
        <w:t> 0.</w:t>
      </w:r>
    </w:p>
    <w:p w14:paraId="5F48D95E" w14:textId="38604235" w:rsidR="004E22C1" w:rsidRPr="001455DC" w:rsidRDefault="004E22C1" w:rsidP="00082680">
      <w:pPr>
        <w:pStyle w:val="a0"/>
        <w:numPr>
          <w:ilvl w:val="0"/>
          <w:numId w:val="37"/>
        </w:numPr>
      </w:pPr>
      <w:r w:rsidRPr="001455DC">
        <w:rPr>
          <w:rStyle w:val="CCMCvariableitalic"/>
        </w:rPr>
        <w:t>ε</w:t>
      </w:r>
      <w:r w:rsidRPr="001455DC">
        <w:rPr>
          <w:rStyle w:val="CCMCvariablesubscript"/>
        </w:rPr>
        <w:t>1</w:t>
      </w:r>
      <w:r w:rsidRPr="001455DC">
        <w:t xml:space="preserve"> is the larger of Formulae (G.10) and (G.11), with </w:t>
      </w:r>
      <w:r w:rsidRPr="001455DC">
        <w:rPr>
          <w:rStyle w:val="CCMCvariableitalic"/>
        </w:rPr>
        <w:t>ε</w:t>
      </w:r>
      <w:r w:rsidRPr="001455DC">
        <w:rPr>
          <w:rStyle w:val="CCMCvariablesubscript"/>
        </w:rPr>
        <w:t>x</w:t>
      </w:r>
      <w:r w:rsidRPr="001455DC">
        <w:t xml:space="preserve"> and </w:t>
      </w:r>
      <w:r w:rsidRPr="001455DC">
        <w:rPr>
          <w:rStyle w:val="CCMCvariableitalic"/>
        </w:rPr>
        <w:t>ε</w:t>
      </w:r>
      <w:r w:rsidRPr="001455DC">
        <w:rPr>
          <w:rStyle w:val="CCMCvariablesubscript"/>
        </w:rPr>
        <w:t>y</w:t>
      </w:r>
      <w:r w:rsidRPr="001455DC">
        <w:t xml:space="preserve"> taken as </w:t>
      </w:r>
      <w:r w:rsidRPr="001455DC">
        <w:rPr>
          <w:rStyle w:val="CCMCvariableitalic"/>
        </w:rPr>
        <w:t>f</w:t>
      </w:r>
      <w:r w:rsidRPr="001455DC">
        <w:rPr>
          <w:rStyle w:val="CCMCvariablesubscript"/>
        </w:rPr>
        <w:t>yd</w:t>
      </w:r>
      <w:r w:rsidRPr="001455DC">
        <w:t>/</w:t>
      </w:r>
      <w:r w:rsidRPr="001455DC">
        <w:rPr>
          <w:rStyle w:val="CCMCvariableitalic"/>
        </w:rPr>
        <w:t>E</w:t>
      </w:r>
      <w:r w:rsidRPr="001455DC">
        <w:rPr>
          <w:rStyle w:val="CCMCvariablesubscript"/>
        </w:rPr>
        <w:t>Sd</w:t>
      </w:r>
      <w:r w:rsidRPr="001455DC">
        <w:t>, in cases where reinforcement is required in both directions.</w:t>
      </w:r>
    </w:p>
    <w:p w14:paraId="08C7CDE8" w14:textId="5FD8AB51" w:rsidR="004E22C1" w:rsidRPr="001455DC" w:rsidRDefault="004E22C1" w:rsidP="00082680">
      <w:pPr>
        <w:pStyle w:val="a0"/>
        <w:numPr>
          <w:ilvl w:val="0"/>
          <w:numId w:val="37"/>
        </w:numPr>
      </w:pPr>
      <w:r w:rsidRPr="001455DC">
        <w:rPr>
          <w:rStyle w:val="CCMCvariableitalic"/>
        </w:rPr>
        <w:t>ε</w:t>
      </w:r>
      <w:r w:rsidRPr="001455DC">
        <w:rPr>
          <w:rStyle w:val="CCMCvariablesubscript"/>
        </w:rPr>
        <w:t>1</w:t>
      </w:r>
      <w:r w:rsidRPr="001455DC">
        <w:t xml:space="preserve"> may be taken as </w:t>
      </w:r>
      <w:r w:rsidRPr="001455DC">
        <w:rPr>
          <w:rStyle w:val="CCMCvariableitalic"/>
        </w:rPr>
        <w:t>f</w:t>
      </w:r>
      <w:r w:rsidRPr="001455DC">
        <w:rPr>
          <w:rStyle w:val="CCMCvariablesubscript"/>
        </w:rPr>
        <w:t>ctd</w:t>
      </w:r>
      <w:r w:rsidRPr="001455DC">
        <w:t>/</w:t>
      </w:r>
      <w:r w:rsidRPr="001455DC">
        <w:rPr>
          <w:rStyle w:val="CCMCvariableitalic"/>
        </w:rPr>
        <w:t>E</w:t>
      </w:r>
      <w:r w:rsidRPr="001455DC">
        <w:rPr>
          <w:rStyle w:val="CCMCvariablesubscript"/>
        </w:rPr>
        <w:t>cd</w:t>
      </w:r>
      <w:r w:rsidRPr="001455DC">
        <w:t xml:space="preserve"> if </w:t>
      </w:r>
      <w:r w:rsidRPr="001455DC">
        <w:rPr>
          <w:rStyle w:val="CCMCvariableitalic"/>
        </w:rPr>
        <w:t>f</w:t>
      </w:r>
      <w:r w:rsidRPr="001455DC">
        <w:rPr>
          <w:rStyle w:val="CCMCvariablesubscript"/>
        </w:rPr>
        <w:t>tdx</w:t>
      </w:r>
      <w:r w:rsidRPr="001455DC">
        <w:t xml:space="preserve"> and </w:t>
      </w:r>
      <w:r w:rsidRPr="001455DC">
        <w:rPr>
          <w:rStyle w:val="CCMCvariableitalic"/>
        </w:rPr>
        <w:t>f</w:t>
      </w:r>
      <w:r w:rsidRPr="001455DC">
        <w:rPr>
          <w:rStyle w:val="CCMCvariablesubscript"/>
        </w:rPr>
        <w:t>tdy</w:t>
      </w:r>
      <w:r w:rsidRPr="001455DC">
        <w:t xml:space="preserve"> according to calculations are smaller than </w:t>
      </w:r>
      <w:r w:rsidRPr="001455DC">
        <w:rPr>
          <w:rStyle w:val="CCMCvariableitalic"/>
        </w:rPr>
        <w:t>f</w:t>
      </w:r>
      <w:r w:rsidRPr="001455DC">
        <w:rPr>
          <w:rStyle w:val="CCMCvariablesubscript"/>
        </w:rPr>
        <w:t>ctd</w:t>
      </w:r>
      <w:r w:rsidRPr="001455DC">
        <w:t>, and provided the member is not cracked due to other types of action.</w:t>
      </w:r>
    </w:p>
    <w:p w14:paraId="74330030" w14:textId="1D5CAEB3" w:rsidR="004E22C1" w:rsidRPr="001455DC" w:rsidRDefault="004E22C1" w:rsidP="00082680">
      <w:pPr>
        <w:pStyle w:val="a0"/>
        <w:numPr>
          <w:ilvl w:val="0"/>
          <w:numId w:val="37"/>
        </w:numPr>
      </w:pPr>
      <w:r w:rsidRPr="001455DC">
        <w:t xml:space="preserve">In (a) and (b) above, </w:t>
      </w:r>
      <w:r w:rsidRPr="001455DC">
        <w:rPr>
          <w:rStyle w:val="CCMCvariableitalic"/>
        </w:rPr>
        <w:t>f</w:t>
      </w:r>
      <w:r w:rsidRPr="001455DC">
        <w:rPr>
          <w:rStyle w:val="CCMCvariablesubscript"/>
        </w:rPr>
        <w:t>yd</w:t>
      </w:r>
      <w:r w:rsidRPr="001455DC">
        <w:t>/</w:t>
      </w:r>
      <w:r w:rsidRPr="001455DC">
        <w:rPr>
          <w:rStyle w:val="CCMCvariableitalic"/>
        </w:rPr>
        <w:t>E</w:t>
      </w:r>
      <w:r w:rsidRPr="001455DC">
        <w:rPr>
          <w:rStyle w:val="CCMCvariablesubscript"/>
        </w:rPr>
        <w:t>Sd</w:t>
      </w:r>
      <w:r w:rsidRPr="001455DC">
        <w:t xml:space="preserve"> may be replaced by </w:t>
      </w:r>
      <w:r w:rsidRPr="001455DC">
        <w:rPr>
          <w:rStyle w:val="CCMCvariableitalic"/>
        </w:rPr>
        <w:t>f</w:t>
      </w:r>
      <w:r w:rsidRPr="001455DC">
        <w:rPr>
          <w:rStyle w:val="CCMCvariablesubscript"/>
        </w:rPr>
        <w:t>yd</w:t>
      </w:r>
      <w:r w:rsidRPr="001455DC">
        <w:t>/(</w:t>
      </w:r>
      <w:r w:rsidRPr="001455DC">
        <w:rPr>
          <w:rStyle w:val="CCMCvariableitalic"/>
        </w:rPr>
        <w:t>λE</w:t>
      </w:r>
      <w:r w:rsidRPr="001455DC">
        <w:rPr>
          <w:rStyle w:val="CCMCvariablesubscript"/>
        </w:rPr>
        <w:t>Sd</w:t>
      </w:r>
      <w:r w:rsidRPr="001455DC">
        <w:t xml:space="preserve">); if the reinforcement in both directions is increased by a factor of </w:t>
      </w:r>
      <w:r w:rsidRPr="001455DC">
        <w:rPr>
          <w:rStyle w:val="CCMCvariableitalic"/>
        </w:rPr>
        <w:t>λ</w:t>
      </w:r>
      <w:r w:rsidRPr="001455DC">
        <w:t> </w:t>
      </w:r>
      <w:r w:rsidR="00650035" w:rsidRPr="001455DC">
        <w:rPr>
          <w:rFonts w:ascii="Cambria Math" w:hAnsi="Cambria Math"/>
        </w:rPr>
        <w:t>&gt;</w:t>
      </w:r>
      <w:r w:rsidR="00073FC6" w:rsidRPr="001455DC">
        <w:t> </w:t>
      </w:r>
      <w:r w:rsidRPr="001455DC">
        <w:t>1 beyond the required amount.</w:t>
      </w:r>
    </w:p>
    <w:p w14:paraId="639B3981" w14:textId="77777777" w:rsidR="004E22C1" w:rsidRPr="001455DC" w:rsidRDefault="004E22C1" w:rsidP="00EE26B9">
      <w:pPr>
        <w:pStyle w:val="a7"/>
      </w:pPr>
      <w:r w:rsidRPr="001455DC">
        <w:rPr>
          <w:noProof/>
        </w:rPr>
        <w:t xml:space="preserve">where </w:t>
      </w:r>
      <w:r w:rsidRPr="001455DC">
        <w:rPr>
          <w:rStyle w:val="CCMCvariableitalic"/>
        </w:rPr>
        <w:t>λ</w:t>
      </w:r>
      <w:r w:rsidRPr="001455DC">
        <w:t xml:space="preserve"> is the ratio between the provided amount and the required amount</w:t>
      </w:r>
      <w:r w:rsidRPr="001455DC">
        <w:rPr>
          <w:szCs w:val="19"/>
        </w:rPr>
        <w:t>.</w:t>
      </w:r>
    </w:p>
    <w:p w14:paraId="54FA04AB" w14:textId="60FACF7A" w:rsidR="004E22C1" w:rsidRPr="001455DC" w:rsidRDefault="004E22C1" w:rsidP="00082680">
      <w:pPr>
        <w:pStyle w:val="a2"/>
      </w:pPr>
      <w:bookmarkStart w:id="1566" w:name="_Toc52820178"/>
      <w:bookmarkStart w:id="1567" w:name="_Toc54337167"/>
      <w:bookmarkStart w:id="1568" w:name="_Toc54337596"/>
      <w:bookmarkStart w:id="1569" w:name="_Toc54338233"/>
      <w:bookmarkStart w:id="1570" w:name="_Toc67565563"/>
      <w:r w:rsidRPr="001455DC">
        <w:t>Design of shell- and slab</w:t>
      </w:r>
      <w:r w:rsidR="00F57D6E" w:rsidRPr="001455DC">
        <w:t xml:space="preserve"> </w:t>
      </w:r>
      <w:r w:rsidRPr="001455DC">
        <w:t>elements in ULS</w:t>
      </w:r>
      <w:bookmarkEnd w:id="1566"/>
      <w:bookmarkEnd w:id="1567"/>
      <w:bookmarkEnd w:id="1568"/>
      <w:bookmarkEnd w:id="1569"/>
      <w:bookmarkEnd w:id="1570"/>
    </w:p>
    <w:p w14:paraId="16920929" w14:textId="5719A0DE" w:rsidR="004E22C1" w:rsidRPr="001455DC" w:rsidRDefault="004E22C1" w:rsidP="00EE26B9">
      <w:pPr>
        <w:pStyle w:val="a7"/>
      </w:pPr>
      <w:r w:rsidRPr="001455DC">
        <w:t>(1)</w:t>
      </w:r>
      <w:r w:rsidRPr="001455DC">
        <w:tab/>
        <w:t>Tension reinforcement to resist combinations of in-plane forces, bending moments and torsional moments in shell elements (Figure G.2a)) may be determined by adopting a sandwich model (Figure G.2b)), where the sectional forces are transformed into a set of statically equivalent in-plane stresses acting in the top and bottom layer of the sandwich model. The design tension reinforcement in each of the two layers may then be calculated by the method outlined above for in-plane stress conditions (membrane elements, see G.</w:t>
      </w:r>
      <w:r w:rsidR="00B269EF" w:rsidRPr="001455DC">
        <w:t>3</w:t>
      </w:r>
      <w:r w:rsidRPr="001455DC">
        <w:t>).</w:t>
      </w:r>
    </w:p>
    <w:p w14:paraId="7B763917" w14:textId="4A05DF98" w:rsidR="004E22C1" w:rsidRPr="001455DC" w:rsidRDefault="00723CF7" w:rsidP="00EE26B9">
      <w:pPr>
        <w:pStyle w:val="FigureImage"/>
      </w:pPr>
      <w:r>
        <w:rPr>
          <w:noProof/>
          <w:lang w:eastAsia="en-GB"/>
        </w:rPr>
        <w:fldChar w:fldCharType="begin"/>
      </w:r>
      <w:r>
        <w:rPr>
          <w:noProof/>
          <w:lang w:eastAsia="en-GB"/>
        </w:rPr>
        <w:instrText xml:space="preserve"> INCLUDEPICTURE  "Y:\\STD_MGT\\STDDEL\\PRODUCTION\\etrans\\Download\\Z_FIRST_DEL\\SV\\00250\\00250269\\41_e_dr\\g002.tif"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"Y:\\STD_MGT\\STDDEL\\PRODUCTION\\Standards\\00250\\269\\41_e_dr\\g002.tif"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"Y:\\STD_MGT\\STDDEL\\PRODUCTION\\Standards\\00250\\269\\41_e_dr\\g002.tif"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"Y:\\STD_MGT\\STDDEL\\PRODUCTION\\Standards\\00250\\269\\41_e_dr\\g002.tif"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"Y:\\STD_MGT\\STDDEL\\PRODUCTION\\Standards\\00250\\269\\41_e_dr\\g002.tif"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"Y:\\STD_MGT\\STDDEL\\PRODUCTION\\Standards\\00250\\269\\41_e_dr\\g002.tif"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"C:\\Users\\a.dionysiou\\AppData\\Local\\Temp\\Temp1_00250269_e_20210902.zip.zip\\41_e_dr\\g002.tif"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7D70B36F">
          <v:shape id="_x0000_i1308" type="#_x0000_t75" style="width:409.5pt;height:147pt">
            <v:imagedata r:id="rId586" r:href="rId587"/>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75FAD6A1" w14:textId="6D6EEF74" w:rsidR="00055233" w:rsidRPr="001455DC" w:rsidRDefault="00055233" w:rsidP="00DB201D">
      <w:pPr>
        <w:pStyle w:val="KeyTitle"/>
      </w:pPr>
      <w:r w:rsidRPr="001455DC">
        <w:t>Key</w:t>
      </w:r>
    </w:p>
    <w:tbl>
      <w:tblPr>
        <w:tblW w:w="0" w:type="auto"/>
        <w:tblInd w:w="-100" w:type="dxa"/>
        <w:tblCellMar>
          <w:left w:w="100" w:type="dxa"/>
        </w:tblCellMar>
        <w:tblLook w:val="0000" w:firstRow="0" w:lastRow="0" w:firstColumn="0" w:lastColumn="0" w:noHBand="0" w:noVBand="0"/>
      </w:tblPr>
      <w:tblGrid>
        <w:gridCol w:w="319"/>
        <w:gridCol w:w="1794"/>
      </w:tblGrid>
      <w:tr w:rsidR="000D519F" w:rsidRPr="000D519F" w14:paraId="56675209" w14:textId="77777777" w:rsidTr="000D519F">
        <w:tc>
          <w:tcPr>
            <w:tcW w:w="0" w:type="auto"/>
            <w:shd w:val="clear" w:color="auto" w:fill="auto"/>
          </w:tcPr>
          <w:p w14:paraId="4AD7F76F" w14:textId="77777777" w:rsidR="000D519F" w:rsidRPr="000D519F" w:rsidRDefault="000D519F" w:rsidP="00375D10">
            <w:pPr>
              <w:pStyle w:val="KeyText"/>
              <w:tabs>
                <w:tab w:val="clear" w:pos="346"/>
              </w:tabs>
              <w:ind w:left="0" w:firstLine="0"/>
            </w:pPr>
            <w:r w:rsidRPr="000D519F">
              <w:t>1</w:t>
            </w:r>
          </w:p>
        </w:tc>
        <w:tc>
          <w:tcPr>
            <w:tcW w:w="0" w:type="auto"/>
            <w:shd w:val="clear" w:color="auto" w:fill="auto"/>
          </w:tcPr>
          <w:p w14:paraId="5A3C4D1E" w14:textId="77777777" w:rsidR="000D519F" w:rsidRPr="000D519F" w:rsidRDefault="000D519F" w:rsidP="00375D10">
            <w:pPr>
              <w:pStyle w:val="KeyText"/>
              <w:tabs>
                <w:tab w:val="clear" w:pos="346"/>
              </w:tabs>
              <w:ind w:left="0" w:firstLine="0"/>
            </w:pPr>
            <w:r w:rsidRPr="000D519F">
              <w:t>top layer</w:t>
            </w:r>
          </w:p>
        </w:tc>
      </w:tr>
      <w:tr w:rsidR="000D519F" w:rsidRPr="000D519F" w14:paraId="0605BD1B" w14:textId="77777777" w:rsidTr="000D519F">
        <w:tc>
          <w:tcPr>
            <w:tcW w:w="0" w:type="auto"/>
            <w:shd w:val="clear" w:color="auto" w:fill="auto"/>
          </w:tcPr>
          <w:p w14:paraId="54C310D0" w14:textId="77777777" w:rsidR="000D519F" w:rsidRPr="000D519F" w:rsidRDefault="000D519F" w:rsidP="00375D10">
            <w:pPr>
              <w:pStyle w:val="KeyText"/>
              <w:tabs>
                <w:tab w:val="clear" w:pos="346"/>
              </w:tabs>
              <w:ind w:left="0" w:firstLine="0"/>
            </w:pPr>
            <w:r w:rsidRPr="000D519F">
              <w:t>2</w:t>
            </w:r>
          </w:p>
        </w:tc>
        <w:tc>
          <w:tcPr>
            <w:tcW w:w="0" w:type="auto"/>
            <w:shd w:val="clear" w:color="auto" w:fill="auto"/>
          </w:tcPr>
          <w:p w14:paraId="5A68EAD4" w14:textId="77777777" w:rsidR="000D519F" w:rsidRPr="000D519F" w:rsidRDefault="000D519F" w:rsidP="00375D10">
            <w:pPr>
              <w:pStyle w:val="KeyText"/>
              <w:tabs>
                <w:tab w:val="clear" w:pos="346"/>
              </w:tabs>
              <w:ind w:left="0" w:firstLine="0"/>
            </w:pPr>
            <w:r w:rsidRPr="000D519F">
              <w:t>bottom layer</w:t>
            </w:r>
          </w:p>
        </w:tc>
      </w:tr>
      <w:tr w:rsidR="000D519F" w:rsidRPr="000D519F" w14:paraId="0DD79453" w14:textId="77777777" w:rsidTr="000D519F">
        <w:tc>
          <w:tcPr>
            <w:tcW w:w="0" w:type="auto"/>
            <w:shd w:val="clear" w:color="auto" w:fill="auto"/>
          </w:tcPr>
          <w:p w14:paraId="2534727A" w14:textId="77777777" w:rsidR="000D519F" w:rsidRPr="000D519F" w:rsidRDefault="000D519F" w:rsidP="00375D10">
            <w:pPr>
              <w:pStyle w:val="KeyText"/>
              <w:tabs>
                <w:tab w:val="clear" w:pos="346"/>
              </w:tabs>
              <w:ind w:left="0" w:firstLine="0"/>
            </w:pPr>
            <w:r w:rsidRPr="000D519F">
              <w:t>3</w:t>
            </w:r>
          </w:p>
        </w:tc>
        <w:tc>
          <w:tcPr>
            <w:tcW w:w="0" w:type="auto"/>
            <w:shd w:val="clear" w:color="auto" w:fill="auto"/>
          </w:tcPr>
          <w:p w14:paraId="6818789A" w14:textId="77777777" w:rsidR="000D519F" w:rsidRPr="000D519F" w:rsidRDefault="000D519F" w:rsidP="00375D10">
            <w:pPr>
              <w:pStyle w:val="KeyText"/>
              <w:tabs>
                <w:tab w:val="clear" w:pos="346"/>
              </w:tabs>
              <w:ind w:left="0" w:firstLine="0"/>
            </w:pPr>
            <w:r w:rsidRPr="000D519F">
              <w:t>intermediate layer</w:t>
            </w:r>
          </w:p>
        </w:tc>
      </w:tr>
    </w:tbl>
    <w:p w14:paraId="7D5A2857" w14:textId="21D9F162" w:rsidR="00F57D6E" w:rsidRPr="009D3012" w:rsidRDefault="00AD033B" w:rsidP="009D3012">
      <w:pPr>
        <w:pStyle w:val="KeyText"/>
      </w:pPr>
      <w:r>
        <w:t> </w:t>
      </w:r>
    </w:p>
    <w:tbl>
      <w:tblPr>
        <w:tblW w:w="9809" w:type="dxa"/>
        <w:tblLayout w:type="fixed"/>
        <w:tblCellMar>
          <w:left w:w="28" w:type="dxa"/>
          <w:right w:w="28" w:type="dxa"/>
        </w:tblCellMar>
        <w:tblLook w:val="0000" w:firstRow="0" w:lastRow="0" w:firstColumn="0" w:lastColumn="0" w:noHBand="0" w:noVBand="0"/>
      </w:tblPr>
      <w:tblGrid>
        <w:gridCol w:w="1134"/>
        <w:gridCol w:w="8675"/>
      </w:tblGrid>
      <w:tr w:rsidR="00055233" w:rsidRPr="001455DC" w14:paraId="1CD46961" w14:textId="77777777" w:rsidTr="001710FF">
        <w:tc>
          <w:tcPr>
            <w:tcW w:w="1134" w:type="dxa"/>
            <w:shd w:val="clear" w:color="auto" w:fill="auto"/>
          </w:tcPr>
          <w:p w14:paraId="3308E7D5" w14:textId="06465C2D" w:rsidR="00055233" w:rsidRPr="001455DC" w:rsidRDefault="00055233" w:rsidP="00D86695">
            <w:pPr>
              <w:pStyle w:val="KeyText"/>
              <w:tabs>
                <w:tab w:val="clear" w:pos="346"/>
              </w:tabs>
              <w:ind w:left="0" w:firstLine="0"/>
              <w:rPr>
                <w:rStyle w:val="CCMCvariableitalic"/>
              </w:rPr>
            </w:pPr>
            <w:r w:rsidRPr="001455DC">
              <w:rPr>
                <w:rStyle w:val="CCMCvariableitalic"/>
              </w:rPr>
              <w:t>m</w:t>
            </w:r>
            <w:r w:rsidR="001710FF" w:rsidRPr="001455DC">
              <w:rPr>
                <w:rStyle w:val="CCMCvariablesubscript"/>
              </w:rPr>
              <w:t>E</w:t>
            </w:r>
            <w:r w:rsidRPr="001455DC">
              <w:rPr>
                <w:rStyle w:val="CCMCvariablesubscript"/>
              </w:rPr>
              <w:t>dx</w:t>
            </w:r>
            <w:r w:rsidRPr="001455DC">
              <w:t xml:space="preserve">; </w:t>
            </w:r>
            <w:r w:rsidRPr="001455DC">
              <w:rPr>
                <w:rStyle w:val="CCMCvariableitalic"/>
              </w:rPr>
              <w:t>m</w:t>
            </w:r>
            <w:r w:rsidRPr="001455DC">
              <w:rPr>
                <w:rStyle w:val="CCMCvariablesubscript"/>
              </w:rPr>
              <w:t>Edy</w:t>
            </w:r>
          </w:p>
        </w:tc>
        <w:tc>
          <w:tcPr>
            <w:tcW w:w="8675" w:type="dxa"/>
            <w:shd w:val="clear" w:color="auto" w:fill="auto"/>
          </w:tcPr>
          <w:p w14:paraId="77B2AE44" w14:textId="19B775CB" w:rsidR="00055233" w:rsidRPr="001455DC" w:rsidRDefault="00055233" w:rsidP="00D86695">
            <w:pPr>
              <w:pStyle w:val="KeyText"/>
              <w:tabs>
                <w:tab w:val="clear" w:pos="346"/>
              </w:tabs>
              <w:ind w:left="0" w:firstLine="0"/>
            </w:pPr>
            <w:r w:rsidRPr="001455DC">
              <w:t>Design bending moments per unit length</w:t>
            </w:r>
          </w:p>
        </w:tc>
      </w:tr>
      <w:tr w:rsidR="00055233" w:rsidRPr="001455DC" w14:paraId="74C6D4D2" w14:textId="77777777" w:rsidTr="001710FF">
        <w:tc>
          <w:tcPr>
            <w:tcW w:w="1134" w:type="dxa"/>
            <w:shd w:val="clear" w:color="auto" w:fill="auto"/>
          </w:tcPr>
          <w:p w14:paraId="1BDB7FB0" w14:textId="50BC33D7" w:rsidR="00055233" w:rsidRPr="009D3012" w:rsidRDefault="00055233" w:rsidP="00D86695">
            <w:pPr>
              <w:pStyle w:val="KeyText"/>
              <w:tabs>
                <w:tab w:val="clear" w:pos="346"/>
              </w:tabs>
              <w:ind w:left="0" w:firstLine="0"/>
              <w:rPr>
                <w:rStyle w:val="CCMCvariableitalic"/>
              </w:rPr>
            </w:pPr>
            <w:r w:rsidRPr="001455DC">
              <w:rPr>
                <w:rStyle w:val="CCMCvariableitalic"/>
              </w:rPr>
              <w:t>m</w:t>
            </w:r>
            <w:r w:rsidRPr="001455DC">
              <w:rPr>
                <w:rStyle w:val="CCMCvariablesubscript"/>
              </w:rPr>
              <w:t>Edxy</w:t>
            </w:r>
          </w:p>
        </w:tc>
        <w:tc>
          <w:tcPr>
            <w:tcW w:w="8675" w:type="dxa"/>
            <w:shd w:val="clear" w:color="auto" w:fill="auto"/>
          </w:tcPr>
          <w:p w14:paraId="4EBE476C" w14:textId="2E2EBCFF" w:rsidR="00055233" w:rsidRPr="001455DC" w:rsidRDefault="00055233" w:rsidP="00D86695">
            <w:pPr>
              <w:pStyle w:val="KeyText"/>
              <w:tabs>
                <w:tab w:val="clear" w:pos="346"/>
              </w:tabs>
              <w:ind w:left="0" w:firstLine="0"/>
            </w:pPr>
            <w:r w:rsidRPr="001455DC">
              <w:t>Design torsional moment per unit length</w:t>
            </w:r>
          </w:p>
        </w:tc>
      </w:tr>
      <w:tr w:rsidR="00055233" w:rsidRPr="001455DC" w14:paraId="2EC3907B" w14:textId="77777777" w:rsidTr="001710FF">
        <w:tc>
          <w:tcPr>
            <w:tcW w:w="1134" w:type="dxa"/>
            <w:shd w:val="clear" w:color="auto" w:fill="auto"/>
          </w:tcPr>
          <w:p w14:paraId="45D13C0D" w14:textId="41E127FE" w:rsidR="00055233" w:rsidRPr="009D3012" w:rsidRDefault="00055233" w:rsidP="00D86695">
            <w:pPr>
              <w:pStyle w:val="KeyText"/>
              <w:tabs>
                <w:tab w:val="clear" w:pos="346"/>
              </w:tabs>
              <w:ind w:left="0" w:firstLine="0"/>
              <w:rPr>
                <w:rStyle w:val="CCMCvariableitalic"/>
              </w:rPr>
            </w:pPr>
            <w:r w:rsidRPr="001455DC">
              <w:rPr>
                <w:rStyle w:val="CCMCvariableitalic"/>
              </w:rPr>
              <w:t>n</w:t>
            </w:r>
            <w:r w:rsidRPr="001455DC">
              <w:rPr>
                <w:rStyle w:val="CCMCvariablesubscript"/>
              </w:rPr>
              <w:t>Edx</w:t>
            </w:r>
            <w:r w:rsidRPr="001455DC">
              <w:t xml:space="preserve">; </w:t>
            </w:r>
            <w:r w:rsidRPr="001455DC">
              <w:rPr>
                <w:rStyle w:val="CCMCvariableitalic"/>
              </w:rPr>
              <w:t>n</w:t>
            </w:r>
            <w:r w:rsidRPr="001455DC">
              <w:rPr>
                <w:rStyle w:val="CCMCvariablesubscript"/>
              </w:rPr>
              <w:t>Edy</w:t>
            </w:r>
          </w:p>
        </w:tc>
        <w:tc>
          <w:tcPr>
            <w:tcW w:w="8675" w:type="dxa"/>
            <w:shd w:val="clear" w:color="auto" w:fill="auto"/>
          </w:tcPr>
          <w:p w14:paraId="06F98DDA" w14:textId="52154AB8" w:rsidR="00055233" w:rsidRPr="001455DC" w:rsidRDefault="00055233" w:rsidP="00D86695">
            <w:pPr>
              <w:pStyle w:val="KeyText"/>
              <w:tabs>
                <w:tab w:val="clear" w:pos="346"/>
              </w:tabs>
              <w:ind w:left="0" w:firstLine="0"/>
            </w:pPr>
            <w:r w:rsidRPr="001455DC">
              <w:t>Design in-plan normal force per unit length</w:t>
            </w:r>
          </w:p>
        </w:tc>
      </w:tr>
      <w:tr w:rsidR="00055233" w:rsidRPr="001455DC" w14:paraId="0ABB2FE4" w14:textId="77777777" w:rsidTr="001710FF">
        <w:tc>
          <w:tcPr>
            <w:tcW w:w="1134" w:type="dxa"/>
            <w:shd w:val="clear" w:color="auto" w:fill="auto"/>
          </w:tcPr>
          <w:p w14:paraId="2797A75C" w14:textId="111F270A" w:rsidR="00055233" w:rsidRPr="009D3012" w:rsidRDefault="00055233" w:rsidP="00D86695">
            <w:pPr>
              <w:pStyle w:val="KeyText"/>
              <w:tabs>
                <w:tab w:val="clear" w:pos="346"/>
              </w:tabs>
              <w:ind w:left="0" w:firstLine="0"/>
              <w:rPr>
                <w:rStyle w:val="CCMCvariableitalic"/>
              </w:rPr>
            </w:pPr>
            <w:r w:rsidRPr="001455DC">
              <w:rPr>
                <w:rStyle w:val="CCMCvariableitalic"/>
              </w:rPr>
              <w:t>n</w:t>
            </w:r>
            <w:r w:rsidRPr="001455DC">
              <w:rPr>
                <w:rStyle w:val="CCMCvariablesubscript"/>
              </w:rPr>
              <w:t>Edxy</w:t>
            </w:r>
          </w:p>
        </w:tc>
        <w:tc>
          <w:tcPr>
            <w:tcW w:w="8675" w:type="dxa"/>
            <w:shd w:val="clear" w:color="auto" w:fill="auto"/>
          </w:tcPr>
          <w:p w14:paraId="7FFC3CF3" w14:textId="15E044A5" w:rsidR="00055233" w:rsidRPr="001455DC" w:rsidRDefault="00055233" w:rsidP="00D86695">
            <w:pPr>
              <w:pStyle w:val="KeyText"/>
              <w:tabs>
                <w:tab w:val="clear" w:pos="346"/>
              </w:tabs>
              <w:ind w:left="0" w:firstLine="0"/>
            </w:pPr>
            <w:r w:rsidRPr="001455DC">
              <w:t>Design in-plan shear force per unit length</w:t>
            </w:r>
          </w:p>
        </w:tc>
      </w:tr>
      <w:tr w:rsidR="00055233" w:rsidRPr="001455DC" w14:paraId="19FB4C53" w14:textId="77777777" w:rsidTr="001710FF">
        <w:tc>
          <w:tcPr>
            <w:tcW w:w="1134" w:type="dxa"/>
            <w:shd w:val="clear" w:color="auto" w:fill="auto"/>
          </w:tcPr>
          <w:p w14:paraId="00B60AAC" w14:textId="383BD704" w:rsidR="00055233" w:rsidRPr="009D3012" w:rsidRDefault="001710FF" w:rsidP="00D86695">
            <w:pPr>
              <w:pStyle w:val="KeyText"/>
              <w:tabs>
                <w:tab w:val="clear" w:pos="346"/>
              </w:tabs>
              <w:ind w:left="0" w:firstLine="0"/>
              <w:rPr>
                <w:rStyle w:val="CCMCvariableitalic"/>
              </w:rPr>
            </w:pPr>
            <w:r w:rsidRPr="001455DC">
              <w:rPr>
                <w:rStyle w:val="CCMCvariableitalic"/>
              </w:rPr>
              <w:t>v</w:t>
            </w:r>
            <w:r w:rsidRPr="001455DC">
              <w:rPr>
                <w:rStyle w:val="CCMCvariablesubscript"/>
              </w:rPr>
              <w:t>Edx</w:t>
            </w:r>
            <w:r w:rsidRPr="001455DC">
              <w:t xml:space="preserve">; </w:t>
            </w:r>
            <w:r w:rsidRPr="001455DC">
              <w:rPr>
                <w:rStyle w:val="CCMCvariableitalic"/>
              </w:rPr>
              <w:t>v</w:t>
            </w:r>
            <w:r w:rsidRPr="001455DC">
              <w:rPr>
                <w:rStyle w:val="CCMCvariablesubscript"/>
              </w:rPr>
              <w:t>Edy</w:t>
            </w:r>
          </w:p>
        </w:tc>
        <w:tc>
          <w:tcPr>
            <w:tcW w:w="8675" w:type="dxa"/>
            <w:shd w:val="clear" w:color="auto" w:fill="auto"/>
          </w:tcPr>
          <w:p w14:paraId="62C42639" w14:textId="57B63293" w:rsidR="00055233" w:rsidRPr="001455DC" w:rsidRDefault="00055233" w:rsidP="00D86695">
            <w:pPr>
              <w:pStyle w:val="KeyText"/>
              <w:tabs>
                <w:tab w:val="clear" w:pos="346"/>
              </w:tabs>
              <w:ind w:left="0" w:firstLine="0"/>
            </w:pPr>
            <w:r w:rsidRPr="001455DC">
              <w:t>Design out of plan shear force per unit length</w:t>
            </w:r>
          </w:p>
        </w:tc>
      </w:tr>
    </w:tbl>
    <w:p w14:paraId="24D616D1" w14:textId="59077A25" w:rsidR="00055233" w:rsidRPr="001455DC" w:rsidRDefault="00055233" w:rsidP="00055233">
      <w:pPr>
        <w:pStyle w:val="FigureText"/>
      </w:pPr>
      <w:r w:rsidRPr="001455DC">
        <w:t>All design actions are positive as shown</w:t>
      </w:r>
      <w:r w:rsidR="00F737DB" w:rsidRPr="001455DC">
        <w:t>.</w:t>
      </w:r>
    </w:p>
    <w:p w14:paraId="01792756" w14:textId="77777777" w:rsidR="004E22C1" w:rsidRPr="001455DC" w:rsidRDefault="004E22C1" w:rsidP="00EE26B9">
      <w:pPr>
        <w:pStyle w:val="Figuretitle"/>
      </w:pPr>
      <w:r w:rsidRPr="001455DC">
        <w:t>Figure G.2</w:t>
      </w:r>
      <w:r w:rsidRPr="001455DC">
        <w:rPr>
          <w:lang w:eastAsia="ja-JP"/>
        </w:rPr>
        <w:t xml:space="preserve"> — </w:t>
      </w:r>
      <w:r w:rsidRPr="001455DC">
        <w:t>(a) Shell element and (b) sandwich model with statically equivalent set of in-plane stresses</w:t>
      </w:r>
    </w:p>
    <w:p w14:paraId="1FE6CB03" w14:textId="77777777" w:rsidR="004E22C1" w:rsidRPr="001455DC" w:rsidRDefault="004E22C1" w:rsidP="00116AE2">
      <w:pPr>
        <w:pStyle w:val="a7"/>
        <w:keepNext/>
      </w:pPr>
      <w:r w:rsidRPr="001455DC">
        <w:t>(2)</w:t>
      </w:r>
      <w:r w:rsidRPr="001455DC">
        <w:tab/>
        <w:t>The set of statically equivalent in-plane stresses may be calculated as follows:</w:t>
      </w:r>
    </w:p>
    <w:p w14:paraId="3DB66CED" w14:textId="55116794" w:rsidR="00611D67" w:rsidRPr="001455DC" w:rsidRDefault="004E22C1" w:rsidP="00082680">
      <w:pPr>
        <w:pStyle w:val="a0"/>
        <w:keepNext/>
        <w:numPr>
          <w:ilvl w:val="0"/>
          <w:numId w:val="38"/>
        </w:numPr>
      </w:pPr>
      <w:r w:rsidRPr="001455DC">
        <w:t>Stresses in bottom layer:</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611D67" w:rsidRPr="001455DC" w14:paraId="070FAF4A" w14:textId="77777777" w:rsidTr="00611D67">
        <w:trPr>
          <w:cantSplit/>
        </w:trPr>
        <w:tc>
          <w:tcPr>
            <w:tcW w:w="8505" w:type="dxa"/>
            <w:vAlign w:val="center"/>
          </w:tcPr>
          <w:p w14:paraId="7E566CCC" w14:textId="77777777" w:rsidR="00611D67" w:rsidRPr="001455DC" w:rsidRDefault="00231E33" w:rsidP="00611D67">
            <w:pPr>
              <w:pStyle w:val="Formula"/>
              <w:jc w:val="left"/>
            </w:pPr>
            <m:oMathPara>
              <m:oMathParaPr>
                <m:jc m:val="left"/>
              </m:oMathParaPr>
              <m:oMath>
                <m:sSub>
                  <m:sSubPr>
                    <m:ctrlPr>
                      <w:rPr>
                        <w:rFonts w:ascii="Cambria Math" w:hAnsi="Cambria Math"/>
                      </w:rPr>
                    </m:ctrlPr>
                  </m:sSubPr>
                  <m:e>
                    <m:r>
                      <w:rPr>
                        <w:rFonts w:ascii="Cambria Math" w:hAnsi="Cambria Math"/>
                      </w:rPr>
                      <m:t>σ</m:t>
                    </m:r>
                  </m:e>
                  <m:sub>
                    <m:r>
                      <m:rPr>
                        <m:sty m:val="p"/>
                      </m:rPr>
                      <w:rPr>
                        <w:rFonts w:ascii="Cambria Math" w:hAnsi="Cambria Math"/>
                      </w:rPr>
                      <m:t>Edx</m:t>
                    </m:r>
                  </m:sub>
                </m:sSub>
                <m: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w:rPr>
                            <w:rFonts w:ascii="Cambria Math" w:hAnsi="Cambria Math"/>
                          </w:rPr>
                          <m:t>n</m:t>
                        </m:r>
                      </m:e>
                      <m:sub>
                        <m:r>
                          <m:rPr>
                            <m:sty m:val="p"/>
                          </m:rPr>
                          <w:rPr>
                            <w:rFonts w:ascii="Cambria Math" w:hAnsi="Cambria Math"/>
                          </w:rPr>
                          <m:t>Edx</m:t>
                        </m:r>
                      </m:sub>
                    </m:sSub>
                  </m:num>
                  <m:den>
                    <m:r>
                      <w:rPr>
                        <w:rFonts w:ascii="Cambria Math" w:hAnsi="Cambria Math"/>
                      </w:rPr>
                      <m:t>t</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Edx</m:t>
                        </m:r>
                      </m:sub>
                    </m:sSub>
                  </m:num>
                  <m:den>
                    <m:r>
                      <w:rPr>
                        <w:rFonts w:ascii="Cambria Math" w:hAnsi="Cambria Math"/>
                      </w:rPr>
                      <m:t>t⋅z</m:t>
                    </m:r>
                  </m:den>
                </m:f>
              </m:oMath>
            </m:oMathPara>
          </w:p>
        </w:tc>
        <w:tc>
          <w:tcPr>
            <w:tcW w:w="1247" w:type="dxa"/>
            <w:vAlign w:val="center"/>
          </w:tcPr>
          <w:p w14:paraId="5498DAD3" w14:textId="77777777" w:rsidR="00611D67" w:rsidRPr="001455DC" w:rsidRDefault="00611D67" w:rsidP="00611D67">
            <w:pPr>
              <w:pStyle w:val="a7"/>
              <w:jc w:val="right"/>
            </w:pPr>
            <w:r w:rsidRPr="001455DC">
              <w:t>(G.12)</w:t>
            </w:r>
          </w:p>
        </w:tc>
      </w:tr>
      <w:tr w:rsidR="00611D67" w:rsidRPr="001455DC" w14:paraId="779C0D1C" w14:textId="77777777" w:rsidTr="00611D67">
        <w:trPr>
          <w:cantSplit/>
        </w:trPr>
        <w:tc>
          <w:tcPr>
            <w:tcW w:w="8505" w:type="dxa"/>
            <w:vAlign w:val="center"/>
          </w:tcPr>
          <w:p w14:paraId="7FC46D2A" w14:textId="77777777" w:rsidR="00611D67" w:rsidRPr="001455DC" w:rsidRDefault="00231E33" w:rsidP="00611D67">
            <w:pPr>
              <w:pStyle w:val="Formula"/>
              <w:jc w:val="left"/>
            </w:pPr>
            <m:oMathPara>
              <m:oMathParaPr>
                <m:jc m:val="left"/>
              </m:oMathParaPr>
              <m:oMath>
                <m:sSub>
                  <m:sSubPr>
                    <m:ctrlPr>
                      <w:rPr>
                        <w:rFonts w:ascii="Cambria Math" w:hAnsi="Cambria Math"/>
                      </w:rPr>
                    </m:ctrlPr>
                  </m:sSubPr>
                  <m:e>
                    <m:r>
                      <w:rPr>
                        <w:rFonts w:ascii="Cambria Math" w:hAnsi="Cambria Math"/>
                      </w:rPr>
                      <m:t>σ</m:t>
                    </m:r>
                  </m:e>
                  <m:sub>
                    <m:r>
                      <m:rPr>
                        <m:sty m:val="p"/>
                      </m:rPr>
                      <w:rPr>
                        <w:rFonts w:ascii="Cambria Math" w:hAnsi="Cambria Math"/>
                      </w:rPr>
                      <m:t>Edy</m:t>
                    </m:r>
                  </m:sub>
                </m:sSub>
                <m: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w:rPr>
                            <w:rFonts w:ascii="Cambria Math" w:hAnsi="Cambria Math"/>
                          </w:rPr>
                          <m:t>n</m:t>
                        </m:r>
                      </m:e>
                      <m:sub>
                        <m:r>
                          <m:rPr>
                            <m:sty m:val="p"/>
                          </m:rPr>
                          <w:rPr>
                            <w:rFonts w:ascii="Cambria Math" w:hAnsi="Cambria Math"/>
                          </w:rPr>
                          <m:t>Edy</m:t>
                        </m:r>
                      </m:sub>
                    </m:sSub>
                  </m:num>
                  <m:den>
                    <m:r>
                      <w:rPr>
                        <w:rFonts w:ascii="Cambria Math" w:hAnsi="Cambria Math"/>
                      </w:rPr>
                      <m:t>t</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Edy</m:t>
                        </m:r>
                      </m:sub>
                    </m:sSub>
                  </m:num>
                  <m:den>
                    <m:r>
                      <w:rPr>
                        <w:rFonts w:ascii="Cambria Math" w:hAnsi="Cambria Math"/>
                      </w:rPr>
                      <m:t>t⋅z</m:t>
                    </m:r>
                  </m:den>
                </m:f>
              </m:oMath>
            </m:oMathPara>
          </w:p>
        </w:tc>
        <w:tc>
          <w:tcPr>
            <w:tcW w:w="1247" w:type="dxa"/>
            <w:vAlign w:val="center"/>
          </w:tcPr>
          <w:p w14:paraId="2D9CE8CF" w14:textId="77777777" w:rsidR="00611D67" w:rsidRPr="001455DC" w:rsidRDefault="00611D67" w:rsidP="00611D67">
            <w:pPr>
              <w:pStyle w:val="a7"/>
              <w:jc w:val="right"/>
            </w:pPr>
            <w:r w:rsidRPr="001455DC">
              <w:t>(G.13)</w:t>
            </w:r>
          </w:p>
        </w:tc>
      </w:tr>
      <w:tr w:rsidR="00611D67" w:rsidRPr="001455DC" w14:paraId="5AD368A3" w14:textId="77777777" w:rsidTr="00611D67">
        <w:trPr>
          <w:cantSplit/>
        </w:trPr>
        <w:tc>
          <w:tcPr>
            <w:tcW w:w="8505" w:type="dxa"/>
            <w:vAlign w:val="center"/>
          </w:tcPr>
          <w:p w14:paraId="38AFE90D" w14:textId="77777777" w:rsidR="00611D67" w:rsidRPr="001455DC" w:rsidRDefault="00231E33" w:rsidP="00611D67">
            <w:pPr>
              <w:pStyle w:val="Formula"/>
              <w:jc w:val="left"/>
            </w:pPr>
            <m:oMathPara>
              <m:oMathParaPr>
                <m:jc m:val="left"/>
              </m:oMathParaPr>
              <m:oMath>
                <m:sSub>
                  <m:sSubPr>
                    <m:ctrlPr>
                      <w:rPr>
                        <w:rFonts w:ascii="Cambria Math" w:hAnsi="Cambria Math"/>
                      </w:rPr>
                    </m:ctrlPr>
                  </m:sSubPr>
                  <m:e>
                    <m:r>
                      <w:rPr>
                        <w:rFonts w:ascii="Cambria Math" w:hAnsi="Cambria Math"/>
                      </w:rPr>
                      <m:t>τ</m:t>
                    </m:r>
                  </m:e>
                  <m:sub>
                    <m:r>
                      <m:rPr>
                        <m:sty m:val="p"/>
                      </m:rPr>
                      <w:rPr>
                        <w:rFonts w:ascii="Cambria Math" w:hAnsi="Cambria Math"/>
                      </w:rPr>
                      <m:t>Edxy</m:t>
                    </m:r>
                  </m:sub>
                </m:sSub>
                <m: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w:rPr>
                            <w:rFonts w:ascii="Cambria Math" w:hAnsi="Cambria Math"/>
                          </w:rPr>
                          <m:t>n</m:t>
                        </m:r>
                      </m:e>
                      <m:sub>
                        <m:r>
                          <m:rPr>
                            <m:sty m:val="p"/>
                          </m:rPr>
                          <w:rPr>
                            <w:rFonts w:ascii="Cambria Math" w:hAnsi="Cambria Math"/>
                          </w:rPr>
                          <m:t>Edxy</m:t>
                        </m:r>
                      </m:sub>
                    </m:sSub>
                  </m:num>
                  <m:den>
                    <m:r>
                      <w:rPr>
                        <w:rFonts w:ascii="Cambria Math" w:hAnsi="Cambria Math"/>
                      </w:rPr>
                      <m:t>t</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Edxy</m:t>
                        </m:r>
                      </m:sub>
                    </m:sSub>
                  </m:num>
                  <m:den>
                    <m:r>
                      <w:rPr>
                        <w:rFonts w:ascii="Cambria Math" w:hAnsi="Cambria Math"/>
                      </w:rPr>
                      <m:t>t⋅z</m:t>
                    </m:r>
                  </m:den>
                </m:f>
              </m:oMath>
            </m:oMathPara>
          </w:p>
        </w:tc>
        <w:tc>
          <w:tcPr>
            <w:tcW w:w="1247" w:type="dxa"/>
            <w:vAlign w:val="center"/>
          </w:tcPr>
          <w:p w14:paraId="4F8C778E" w14:textId="77777777" w:rsidR="00611D67" w:rsidRPr="001455DC" w:rsidRDefault="00611D67" w:rsidP="00611D67">
            <w:pPr>
              <w:pStyle w:val="a7"/>
              <w:jc w:val="right"/>
            </w:pPr>
            <w:r w:rsidRPr="001455DC">
              <w:t>(G.14)</w:t>
            </w:r>
          </w:p>
        </w:tc>
      </w:tr>
    </w:tbl>
    <w:p w14:paraId="17BF7B60" w14:textId="14B6C897" w:rsidR="00611D67" w:rsidRPr="001455DC" w:rsidRDefault="00611D67" w:rsidP="00082680">
      <w:pPr>
        <w:pStyle w:val="a0"/>
        <w:keepNext/>
        <w:numPr>
          <w:ilvl w:val="0"/>
          <w:numId w:val="38"/>
        </w:numPr>
      </w:pPr>
      <w:r w:rsidRPr="001455DC">
        <w:t>Stresses in top layer:</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611D67" w:rsidRPr="001455DC" w14:paraId="222AA2BB" w14:textId="77777777" w:rsidTr="00611D67">
        <w:trPr>
          <w:cantSplit/>
        </w:trPr>
        <w:tc>
          <w:tcPr>
            <w:tcW w:w="8505" w:type="dxa"/>
            <w:vAlign w:val="center"/>
          </w:tcPr>
          <w:p w14:paraId="4B5C3543" w14:textId="52517870" w:rsidR="00611D67" w:rsidRPr="001455DC" w:rsidRDefault="00611D67" w:rsidP="00611D67">
            <w:pPr>
              <w:pStyle w:val="Formula"/>
              <w:jc w:val="left"/>
            </w:pPr>
            <m:oMathPara>
              <m:oMathParaPr>
                <m:jc m:val="left"/>
              </m:oMathParaPr>
              <m:oMath>
                <m:r>
                  <w:rPr>
                    <w:rFonts w:ascii="Cambria Math" w:hAnsi="Cambria Math"/>
                  </w:rPr>
                  <m:t>σ</m:t>
                </m:r>
                <m:sSub>
                  <m:sSubPr>
                    <m:ctrlPr>
                      <w:rPr>
                        <w:rFonts w:ascii="Cambria Math" w:hAnsi="Cambria Math"/>
                      </w:rPr>
                    </m:ctrlPr>
                  </m:sSubPr>
                  <m:e>
                    <m:r>
                      <w:rPr>
                        <w:rFonts w:ascii="Cambria Math" w:hAnsi="Cambria Math" w:hint="eastAsia"/>
                      </w:rPr>
                      <m:t>'</m:t>
                    </m:r>
                  </m:e>
                  <m:sub>
                    <m:r>
                      <m:rPr>
                        <m:sty m:val="p"/>
                      </m:rPr>
                      <w:rPr>
                        <w:rFonts w:ascii="Cambria Math" w:hAnsi="Cambria Math"/>
                      </w:rPr>
                      <m:t>Edx</m:t>
                    </m:r>
                  </m:sub>
                </m:sSub>
                <m: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w:rPr>
                            <w:rFonts w:ascii="Cambria Math" w:hAnsi="Cambria Math"/>
                          </w:rPr>
                          <m:t>n</m:t>
                        </m:r>
                      </m:e>
                      <m:sub>
                        <m:r>
                          <m:rPr>
                            <m:sty m:val="p"/>
                          </m:rPr>
                          <w:rPr>
                            <w:rFonts w:ascii="Cambria Math" w:hAnsi="Cambria Math"/>
                          </w:rPr>
                          <m:t>Edx</m:t>
                        </m:r>
                      </m:sub>
                    </m:sSub>
                  </m:num>
                  <m:den>
                    <m:r>
                      <w:rPr>
                        <w:rFonts w:ascii="Cambria Math" w:hAnsi="Cambria Math"/>
                      </w:rPr>
                      <m:t>t</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Edx</m:t>
                        </m:r>
                      </m:sub>
                    </m:sSub>
                  </m:num>
                  <m:den>
                    <m:r>
                      <w:rPr>
                        <w:rFonts w:ascii="Cambria Math" w:hAnsi="Cambria Math"/>
                      </w:rPr>
                      <m:t>t⋅z</m:t>
                    </m:r>
                  </m:den>
                </m:f>
              </m:oMath>
            </m:oMathPara>
          </w:p>
        </w:tc>
        <w:tc>
          <w:tcPr>
            <w:tcW w:w="1247" w:type="dxa"/>
            <w:vAlign w:val="center"/>
          </w:tcPr>
          <w:p w14:paraId="2B7427E1" w14:textId="6B218EE4" w:rsidR="00611D67" w:rsidRPr="001455DC" w:rsidRDefault="00611D67" w:rsidP="00611D67">
            <w:pPr>
              <w:pStyle w:val="a7"/>
              <w:jc w:val="right"/>
            </w:pPr>
            <w:r w:rsidRPr="001455DC">
              <w:t>(G.15)</w:t>
            </w:r>
          </w:p>
        </w:tc>
      </w:tr>
      <w:tr w:rsidR="00611D67" w:rsidRPr="001455DC" w14:paraId="7DDEF60F" w14:textId="77777777" w:rsidTr="00611D67">
        <w:trPr>
          <w:cantSplit/>
        </w:trPr>
        <w:tc>
          <w:tcPr>
            <w:tcW w:w="8505" w:type="dxa"/>
            <w:vAlign w:val="center"/>
          </w:tcPr>
          <w:p w14:paraId="2AC36ED3" w14:textId="5DFE51F4" w:rsidR="00611D67" w:rsidRPr="001455DC" w:rsidRDefault="00611D67" w:rsidP="00611D67">
            <w:pPr>
              <w:pStyle w:val="Formula"/>
              <w:jc w:val="left"/>
            </w:pPr>
            <m:oMathPara>
              <m:oMathParaPr>
                <m:jc m:val="left"/>
              </m:oMathParaPr>
              <m:oMath>
                <m:r>
                  <w:rPr>
                    <w:rFonts w:ascii="Cambria Math" w:hAnsi="Cambria Math"/>
                  </w:rPr>
                  <m:t>σ</m:t>
                </m:r>
                <m:sSub>
                  <m:sSubPr>
                    <m:ctrlPr>
                      <w:rPr>
                        <w:rFonts w:ascii="Cambria Math" w:hAnsi="Cambria Math"/>
                      </w:rPr>
                    </m:ctrlPr>
                  </m:sSubPr>
                  <m:e>
                    <m:r>
                      <w:rPr>
                        <w:rFonts w:ascii="Cambria Math" w:hAnsi="Cambria Math" w:hint="eastAsia"/>
                      </w:rPr>
                      <m:t>'</m:t>
                    </m:r>
                  </m:e>
                  <m:sub>
                    <m:r>
                      <m:rPr>
                        <m:sty m:val="p"/>
                      </m:rPr>
                      <w:rPr>
                        <w:rFonts w:ascii="Cambria Math" w:hAnsi="Cambria Math"/>
                      </w:rPr>
                      <m:t>Edy</m:t>
                    </m:r>
                  </m:sub>
                </m:sSub>
                <m: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w:rPr>
                            <w:rFonts w:ascii="Cambria Math" w:hAnsi="Cambria Math"/>
                          </w:rPr>
                          <m:t>n</m:t>
                        </m:r>
                      </m:e>
                      <m:sub>
                        <m:r>
                          <m:rPr>
                            <m:sty m:val="p"/>
                          </m:rPr>
                          <w:rPr>
                            <w:rFonts w:ascii="Cambria Math" w:hAnsi="Cambria Math"/>
                          </w:rPr>
                          <m:t>Edy</m:t>
                        </m:r>
                      </m:sub>
                    </m:sSub>
                  </m:num>
                  <m:den>
                    <m:r>
                      <w:rPr>
                        <w:rFonts w:ascii="Cambria Math" w:hAnsi="Cambria Math"/>
                      </w:rPr>
                      <m:t>t</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Edy</m:t>
                        </m:r>
                      </m:sub>
                    </m:sSub>
                  </m:num>
                  <m:den>
                    <m:r>
                      <w:rPr>
                        <w:rFonts w:ascii="Cambria Math" w:hAnsi="Cambria Math"/>
                      </w:rPr>
                      <m:t>t⋅z</m:t>
                    </m:r>
                  </m:den>
                </m:f>
              </m:oMath>
            </m:oMathPara>
          </w:p>
        </w:tc>
        <w:tc>
          <w:tcPr>
            <w:tcW w:w="1247" w:type="dxa"/>
            <w:vAlign w:val="center"/>
          </w:tcPr>
          <w:p w14:paraId="267F54A5" w14:textId="750C1EAF" w:rsidR="00611D67" w:rsidRPr="001455DC" w:rsidRDefault="00611D67" w:rsidP="00611D67">
            <w:pPr>
              <w:pStyle w:val="a7"/>
              <w:jc w:val="right"/>
            </w:pPr>
            <w:r w:rsidRPr="001455DC">
              <w:t>(G.16)</w:t>
            </w:r>
          </w:p>
        </w:tc>
      </w:tr>
      <w:tr w:rsidR="00611D67" w:rsidRPr="001455DC" w14:paraId="6589F055" w14:textId="77777777" w:rsidTr="00611D67">
        <w:trPr>
          <w:cantSplit/>
        </w:trPr>
        <w:tc>
          <w:tcPr>
            <w:tcW w:w="8505" w:type="dxa"/>
            <w:vAlign w:val="center"/>
          </w:tcPr>
          <w:p w14:paraId="73B0A3FD" w14:textId="404BE831" w:rsidR="00611D67" w:rsidRPr="001455DC" w:rsidRDefault="00611D67" w:rsidP="00611D67">
            <w:pPr>
              <w:pStyle w:val="Formula"/>
              <w:jc w:val="left"/>
            </w:pPr>
            <m:oMathPara>
              <m:oMathParaPr>
                <m:jc m:val="left"/>
              </m:oMathParaPr>
              <m:oMath>
                <m:r>
                  <w:rPr>
                    <w:rFonts w:ascii="Cambria Math" w:hAnsi="Cambria Math"/>
                  </w:rPr>
                  <m:t>τ</m:t>
                </m:r>
                <m:sSub>
                  <m:sSubPr>
                    <m:ctrlPr>
                      <w:rPr>
                        <w:rFonts w:ascii="Cambria Math" w:hAnsi="Cambria Math"/>
                      </w:rPr>
                    </m:ctrlPr>
                  </m:sSubPr>
                  <m:e>
                    <m:r>
                      <w:rPr>
                        <w:rFonts w:ascii="Cambria Math" w:hAnsi="Cambria Math" w:hint="eastAsia"/>
                      </w:rPr>
                      <m:t>'</m:t>
                    </m:r>
                  </m:e>
                  <m:sub>
                    <m:r>
                      <m:rPr>
                        <m:sty m:val="p"/>
                      </m:rPr>
                      <w:rPr>
                        <w:rFonts w:ascii="Cambria Math" w:hAnsi="Cambria Math"/>
                      </w:rPr>
                      <m:t>Edxy</m:t>
                    </m:r>
                  </m:sub>
                </m:sSub>
                <m: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w:rPr>
                            <w:rFonts w:ascii="Cambria Math" w:hAnsi="Cambria Math"/>
                          </w:rPr>
                          <m:t>n</m:t>
                        </m:r>
                      </m:e>
                      <m:sub>
                        <m:r>
                          <m:rPr>
                            <m:sty m:val="p"/>
                          </m:rPr>
                          <w:rPr>
                            <w:rFonts w:ascii="Cambria Math" w:hAnsi="Cambria Math"/>
                          </w:rPr>
                          <m:t>Edxy</m:t>
                        </m:r>
                      </m:sub>
                    </m:sSub>
                  </m:num>
                  <m:den>
                    <m:r>
                      <w:rPr>
                        <w:rFonts w:ascii="Cambria Math" w:hAnsi="Cambria Math"/>
                      </w:rPr>
                      <m:t>t</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Edxy</m:t>
                        </m:r>
                      </m:sub>
                    </m:sSub>
                  </m:num>
                  <m:den>
                    <m:r>
                      <w:rPr>
                        <w:rFonts w:ascii="Cambria Math" w:hAnsi="Cambria Math"/>
                      </w:rPr>
                      <m:t>t⋅z</m:t>
                    </m:r>
                  </m:den>
                </m:f>
              </m:oMath>
            </m:oMathPara>
          </w:p>
        </w:tc>
        <w:tc>
          <w:tcPr>
            <w:tcW w:w="1247" w:type="dxa"/>
            <w:vAlign w:val="center"/>
          </w:tcPr>
          <w:p w14:paraId="5A901BDE" w14:textId="65C11A07" w:rsidR="00611D67" w:rsidRPr="001455DC" w:rsidRDefault="00611D67" w:rsidP="00611D67">
            <w:pPr>
              <w:pStyle w:val="a7"/>
              <w:jc w:val="right"/>
            </w:pPr>
            <w:r w:rsidRPr="001455DC">
              <w:t>(G.17)</w:t>
            </w:r>
          </w:p>
        </w:tc>
      </w:tr>
    </w:tbl>
    <w:p w14:paraId="2A605A14" w14:textId="77777777" w:rsidR="00611D67" w:rsidRPr="001455DC" w:rsidRDefault="00611D67"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611D67" w:rsidRPr="001455DC" w14:paraId="6A1B32FB" w14:textId="77777777" w:rsidTr="00611D67">
        <w:trPr>
          <w:cantSplit/>
        </w:trPr>
        <w:tc>
          <w:tcPr>
            <w:tcW w:w="567" w:type="dxa"/>
          </w:tcPr>
          <w:p w14:paraId="4D6C748D" w14:textId="51E00490" w:rsidR="00611D67" w:rsidRPr="001455DC" w:rsidRDefault="00611D67" w:rsidP="0000442A">
            <w:pPr>
              <w:pStyle w:val="Tablebody"/>
            </w:pPr>
            <w:r w:rsidRPr="001455DC">
              <w:rPr>
                <w:rStyle w:val="CCMCvariableitalic"/>
              </w:rPr>
              <w:t>t</w:t>
            </w:r>
          </w:p>
        </w:tc>
        <w:tc>
          <w:tcPr>
            <w:tcW w:w="8845" w:type="dxa"/>
          </w:tcPr>
          <w:p w14:paraId="54C02368" w14:textId="5755CCB2" w:rsidR="00611D67" w:rsidRPr="001455DC" w:rsidRDefault="00611D67" w:rsidP="00BB1209">
            <w:pPr>
              <w:pStyle w:val="Tablebody"/>
            </w:pPr>
            <w:r w:rsidRPr="001455DC">
              <w:t>is the thickness of the top and bottom layer;</w:t>
            </w:r>
          </w:p>
        </w:tc>
      </w:tr>
      <w:tr w:rsidR="00611D67" w:rsidRPr="001455DC" w14:paraId="30D5D756" w14:textId="77777777" w:rsidTr="00611D67">
        <w:trPr>
          <w:cantSplit/>
        </w:trPr>
        <w:tc>
          <w:tcPr>
            <w:tcW w:w="567" w:type="dxa"/>
          </w:tcPr>
          <w:p w14:paraId="7E139F63" w14:textId="19AB4C5F" w:rsidR="00611D67" w:rsidRPr="001455DC" w:rsidRDefault="00611D67" w:rsidP="00D86695">
            <w:pPr>
              <w:pStyle w:val="Tablebody"/>
            </w:pPr>
            <w:r w:rsidRPr="001455DC">
              <w:rPr>
                <w:rStyle w:val="CCMCvariableitalic"/>
              </w:rPr>
              <w:t>z</w:t>
            </w:r>
          </w:p>
        </w:tc>
        <w:tc>
          <w:tcPr>
            <w:tcW w:w="8845" w:type="dxa"/>
          </w:tcPr>
          <w:p w14:paraId="51D699C4" w14:textId="5AFC4A15" w:rsidR="00611D67" w:rsidRPr="001455DC" w:rsidRDefault="00611D67" w:rsidP="00D86695">
            <w:pPr>
              <w:pStyle w:val="Tablebody"/>
            </w:pPr>
            <w:r w:rsidRPr="001455DC">
              <w:t>is the internal lever arm between the top and bottom layer.</w:t>
            </w:r>
          </w:p>
        </w:tc>
      </w:tr>
    </w:tbl>
    <w:p w14:paraId="62AD86E8" w14:textId="0D3D53D8" w:rsidR="004E22C1" w:rsidRPr="001455DC" w:rsidRDefault="004E22C1" w:rsidP="00EE26B9">
      <w:pPr>
        <w:pStyle w:val="a7"/>
      </w:pPr>
      <w:r w:rsidRPr="001455DC">
        <w:t>(3)</w:t>
      </w:r>
      <w:r w:rsidRPr="001455DC">
        <w:tab/>
        <w:t>If beneficial, the intermediate layer may also be utilized to carry portions of the in-plane forces (</w:t>
      </w:r>
      <w:r w:rsidRPr="001455DC">
        <w:rPr>
          <w:rStyle w:val="CCMCvariableitalic"/>
        </w:rPr>
        <w:t>n</w:t>
      </w:r>
      <w:r w:rsidRPr="001455DC">
        <w:rPr>
          <w:rStyle w:val="CCMCvariablesubscript"/>
        </w:rPr>
        <w:t>Edx</w:t>
      </w:r>
      <w:r w:rsidRPr="001455DC">
        <w:t xml:space="preserve">, </w:t>
      </w:r>
      <w:r w:rsidRPr="001455DC">
        <w:rPr>
          <w:rStyle w:val="CCMCvariableitalic"/>
        </w:rPr>
        <w:t>n</w:t>
      </w:r>
      <w:r w:rsidRPr="001455DC">
        <w:rPr>
          <w:rStyle w:val="CCMCvariablesubscript"/>
        </w:rPr>
        <w:t>Edy</w:t>
      </w:r>
      <w:r w:rsidRPr="001455DC">
        <w:t xml:space="preserve"> and </w:t>
      </w:r>
      <w:r w:rsidRPr="001455DC">
        <w:rPr>
          <w:rStyle w:val="CCMCvariableitalic"/>
        </w:rPr>
        <w:t>n</w:t>
      </w:r>
      <w:r w:rsidRPr="001455DC">
        <w:rPr>
          <w:rStyle w:val="CCMCvariablesubscript"/>
        </w:rPr>
        <w:t>Edxy</w:t>
      </w:r>
      <w:r w:rsidRPr="001455DC">
        <w:t>). In that case, the set of equivalent stresses in the layers should be modified accordingly.</w:t>
      </w:r>
    </w:p>
    <w:p w14:paraId="361D697E" w14:textId="04C64E3A" w:rsidR="004E22C1" w:rsidRPr="001455DC" w:rsidRDefault="004E22C1" w:rsidP="00EE26B9">
      <w:pPr>
        <w:pStyle w:val="a7"/>
      </w:pPr>
      <w:r w:rsidRPr="001455DC">
        <w:t>(4)</w:t>
      </w:r>
      <w:r w:rsidRPr="001455DC">
        <w:tab/>
        <w:t xml:space="preserve">Out of plane shear forces, </w:t>
      </w:r>
      <w:r w:rsidRPr="001455DC">
        <w:rPr>
          <w:rStyle w:val="CCMCvariableitalic"/>
        </w:rPr>
        <w:t>v</w:t>
      </w:r>
      <w:r w:rsidRPr="001455DC">
        <w:rPr>
          <w:rStyle w:val="CCMCvariablesubscript"/>
        </w:rPr>
        <w:t>Edx</w:t>
      </w:r>
      <w:r w:rsidRPr="001455DC">
        <w:t xml:space="preserve"> and </w:t>
      </w:r>
      <w:r w:rsidRPr="001455DC">
        <w:rPr>
          <w:rStyle w:val="CCMCvariableitalic"/>
        </w:rPr>
        <w:t>v</w:t>
      </w:r>
      <w:r w:rsidRPr="001455DC">
        <w:rPr>
          <w:rStyle w:val="CCMCvariablesubscript"/>
        </w:rPr>
        <w:t>Edy</w:t>
      </w:r>
      <w:r w:rsidRPr="001455DC">
        <w:t>, shall be verified according to 8.2 using the design shear force according to Formula (8.</w:t>
      </w:r>
      <w:r w:rsidR="00F737DB" w:rsidRPr="001455DC">
        <w:t>12</w:t>
      </w:r>
      <w:r w:rsidRPr="001455DC">
        <w:t>).</w:t>
      </w:r>
    </w:p>
    <w:p w14:paraId="7DE6EFC7" w14:textId="1EA6C9E8" w:rsidR="00611D67" w:rsidRPr="001455DC" w:rsidRDefault="004E22C1" w:rsidP="00116AE2">
      <w:pPr>
        <w:pStyle w:val="a7"/>
        <w:keepNext/>
      </w:pPr>
      <w:r w:rsidRPr="001455DC">
        <w:t>(5)</w:t>
      </w:r>
      <w:r w:rsidRPr="001455DC">
        <w:tab/>
        <w:t xml:space="preserve">The particular case where </w:t>
      </w:r>
      <w:r w:rsidRPr="001455DC">
        <w:rPr>
          <w:rStyle w:val="CCMCvariableitalic"/>
        </w:rPr>
        <w:t>n</w:t>
      </w:r>
      <w:r w:rsidRPr="001455DC">
        <w:rPr>
          <w:rStyle w:val="CCMCvariablesubscript"/>
        </w:rPr>
        <w:t>Edx</w:t>
      </w:r>
      <w:r w:rsidRPr="001455DC">
        <w:t> </w:t>
      </w:r>
      <w:r w:rsidR="00EC27D2" w:rsidRPr="001455DC">
        <w:rPr>
          <w:rFonts w:ascii="Cambria Math" w:hAnsi="Cambria Math"/>
        </w:rPr>
        <w:t>=</w:t>
      </w:r>
      <w:r w:rsidRPr="001455DC">
        <w:t> </w:t>
      </w:r>
      <w:r w:rsidRPr="001455DC">
        <w:rPr>
          <w:rStyle w:val="CCMCvariableitalic"/>
        </w:rPr>
        <w:t>n</w:t>
      </w:r>
      <w:r w:rsidRPr="001455DC">
        <w:rPr>
          <w:rStyle w:val="CCMCvariablesubscript"/>
        </w:rPr>
        <w:t>Edy</w:t>
      </w:r>
      <w:r w:rsidRPr="001455DC">
        <w:t> </w:t>
      </w:r>
      <w:r w:rsidR="00EC27D2" w:rsidRPr="001455DC">
        <w:rPr>
          <w:rFonts w:ascii="Cambria Math" w:hAnsi="Cambria Math"/>
        </w:rPr>
        <w:t>=</w:t>
      </w:r>
      <w:r w:rsidRPr="001455DC">
        <w:t> </w:t>
      </w:r>
      <w:r w:rsidRPr="001455DC">
        <w:rPr>
          <w:rStyle w:val="CCMCvariableitalic"/>
        </w:rPr>
        <w:t>n</w:t>
      </w:r>
      <w:r w:rsidRPr="001455DC">
        <w:rPr>
          <w:rStyle w:val="CCMCvariablesubscript"/>
        </w:rPr>
        <w:t>Edxy</w:t>
      </w:r>
      <w:r w:rsidRPr="001455DC">
        <w:t> </w:t>
      </w:r>
      <w:r w:rsidR="00EC27D2" w:rsidRPr="001455DC">
        <w:rPr>
          <w:rFonts w:ascii="Cambria Math" w:hAnsi="Cambria Math"/>
        </w:rPr>
        <w:t>=</w:t>
      </w:r>
      <w:r w:rsidRPr="001455DC">
        <w:t xml:space="preserve"> 0 (slabs without membrane forces) may be treated according to 8.1.3; Tables G.2 and G.3 giving the least amount of required reinforcement (optimum reinforcement). Alternatively, and provided that the thickness of the compression zone </w:t>
      </w:r>
      <w:r w:rsidRPr="001455DC">
        <w:rPr>
          <w:rStyle w:val="CCMCvariableitalic"/>
        </w:rPr>
        <w:t>x</w:t>
      </w:r>
      <w:r w:rsidRPr="001455DC">
        <w:t> </w:t>
      </w:r>
      <w:r w:rsidR="00650035" w:rsidRPr="001455DC">
        <w:rPr>
          <w:rFonts w:ascii="Cambria Math" w:hAnsi="Cambria Math"/>
        </w:rPr>
        <w:t>≤</w:t>
      </w:r>
      <w:r w:rsidRPr="001455DC">
        <w:t> 0,25</w:t>
      </w:r>
      <w:r w:rsidRPr="001455DC">
        <w:rPr>
          <w:rStyle w:val="CCMCvariableitalic"/>
        </w:rPr>
        <w:t>d</w:t>
      </w:r>
      <w:r w:rsidRPr="001455DC">
        <w:t xml:space="preserve"> and the torsional moment is not larger than 0,5 times the largest bending moment, the following formulae may be used:</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611D67" w:rsidRPr="001455DC" w14:paraId="620402EA" w14:textId="77777777" w:rsidTr="00611D67">
        <w:trPr>
          <w:cantSplit/>
        </w:trPr>
        <w:tc>
          <w:tcPr>
            <w:tcW w:w="8505" w:type="dxa"/>
            <w:vAlign w:val="center"/>
          </w:tcPr>
          <w:p w14:paraId="1F89A546" w14:textId="11E0EEDC" w:rsidR="00611D67" w:rsidRPr="001455DC" w:rsidRDefault="00231E33" w:rsidP="00611D67">
            <w:pPr>
              <w:pStyle w:val="Formula"/>
              <w:jc w:val="left"/>
            </w:pPr>
            <m:oMathPara>
              <m:oMathParaPr>
                <m:jc m:val="left"/>
              </m:oMathParaPr>
              <m:oMath>
                <m:sSub>
                  <m:sSubPr>
                    <m:ctrlPr>
                      <w:rPr>
                        <w:rFonts w:ascii="Cambria Math" w:hAnsi="Cambria Math"/>
                      </w:rPr>
                    </m:ctrlPr>
                  </m:sSubPr>
                  <m:e>
                    <m:r>
                      <w:rPr>
                        <w:rFonts w:ascii="Cambria Math" w:hAnsi="Cambria Math"/>
                      </w:rPr>
                      <m:t>m</m:t>
                    </m:r>
                  </m:e>
                  <m:sub>
                    <m:r>
                      <m:rPr>
                        <m:sty m:val="p"/>
                      </m:rPr>
                      <w:rPr>
                        <w:rFonts w:ascii="Cambria Math" w:hAnsi="Cambria Math"/>
                      </w:rPr>
                      <m:t>Rdx</m:t>
                    </m:r>
                  </m:sub>
                </m:sSub>
                <m: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Edx</m:t>
                    </m:r>
                  </m:sub>
                </m:sSub>
                <m:r>
                  <w:rPr>
                    <w:rFonts w:ascii="Cambria Math" w:hAnsi="Cambria Math"/>
                  </w:rPr>
                  <m:t>+</m:t>
                </m:r>
                <m:r>
                  <m:rPr>
                    <m:sty m:val="p"/>
                  </m:rPr>
                  <w:rPr>
                    <w:rFonts w:ascii="Cambria Math" w:hAnsi="Cambria Math"/>
                  </w:rPr>
                  <m:t>cot</m:t>
                </m:r>
                <m:sSub>
                  <m:sSubPr>
                    <m:ctrlPr>
                      <w:rPr>
                        <w:rFonts w:ascii="Cambria Math" w:hAnsi="Cambria Math"/>
                      </w:rPr>
                    </m:ctrlPr>
                  </m:sSubPr>
                  <m:e>
                    <m:r>
                      <w:rPr>
                        <w:rFonts w:ascii="Cambria Math" w:hAnsi="Cambria Math"/>
                      </w:rPr>
                      <m:t>θ</m:t>
                    </m:r>
                  </m:e>
                  <m:sub>
                    <m:r>
                      <m:rPr>
                        <m:sty m:val="p"/>
                      </m:rPr>
                      <w:rPr>
                        <w:rFonts w:ascii="Cambria Math" w:hAnsi="Cambria Math"/>
                      </w:rPr>
                      <m:t>bot</m:t>
                    </m:r>
                  </m:sub>
                </m:sSub>
                <m:d>
                  <m:dPr>
                    <m:begChr m:val="|"/>
                    <m:endChr m:val="|"/>
                    <m:ctrlPr>
                      <w:rPr>
                        <w:rFonts w:ascii="Cambria Math" w:hAnsi="Cambria Math"/>
                      </w:rPr>
                    </m:ctrlPr>
                  </m:dPr>
                  <m:e>
                    <m:sSub>
                      <m:sSubPr>
                        <m:ctrlPr>
                          <w:rPr>
                            <w:rFonts w:ascii="Cambria Math" w:hAnsi="Cambria Math"/>
                          </w:rPr>
                        </m:ctrlPr>
                      </m:sSubPr>
                      <m:e>
                        <m:r>
                          <w:rPr>
                            <w:rFonts w:ascii="Cambria Math" w:hAnsi="Cambria Math"/>
                          </w:rPr>
                          <m:t>m</m:t>
                        </m:r>
                      </m:e>
                      <m:sub>
                        <m:r>
                          <m:rPr>
                            <m:sty m:val="p"/>
                          </m:rPr>
                          <w:rPr>
                            <w:rFonts w:ascii="Cambria Math" w:hAnsi="Cambria Math"/>
                          </w:rPr>
                          <m:t>Edxy</m:t>
                        </m:r>
                      </m:sub>
                    </m:sSub>
                  </m:e>
                </m:d>
              </m:oMath>
            </m:oMathPara>
          </w:p>
        </w:tc>
        <w:tc>
          <w:tcPr>
            <w:tcW w:w="1247" w:type="dxa"/>
            <w:vAlign w:val="center"/>
          </w:tcPr>
          <w:p w14:paraId="7E962B31" w14:textId="6A16845E" w:rsidR="00611D67" w:rsidRPr="001455DC" w:rsidRDefault="00611D67" w:rsidP="00611D67">
            <w:pPr>
              <w:pStyle w:val="a7"/>
              <w:jc w:val="right"/>
            </w:pPr>
            <w:r w:rsidRPr="001455DC">
              <w:t>(G.18a)</w:t>
            </w:r>
          </w:p>
        </w:tc>
      </w:tr>
      <w:tr w:rsidR="00611D67" w:rsidRPr="001455DC" w14:paraId="395F40C6" w14:textId="77777777" w:rsidTr="00611D67">
        <w:trPr>
          <w:cantSplit/>
        </w:trPr>
        <w:tc>
          <w:tcPr>
            <w:tcW w:w="8505" w:type="dxa"/>
            <w:vAlign w:val="center"/>
          </w:tcPr>
          <w:p w14:paraId="3826144F" w14:textId="3B4E506F" w:rsidR="00611D67" w:rsidRPr="001455DC" w:rsidRDefault="00231E33" w:rsidP="00611D67">
            <w:pPr>
              <w:pStyle w:val="Formula"/>
              <w:jc w:val="left"/>
            </w:pPr>
            <m:oMathPara>
              <m:oMathParaPr>
                <m:jc m:val="left"/>
              </m:oMathParaPr>
              <m:oMath>
                <m:sSub>
                  <m:sSubPr>
                    <m:ctrlPr>
                      <w:rPr>
                        <w:rFonts w:ascii="Cambria Math" w:hAnsi="Cambria Math"/>
                      </w:rPr>
                    </m:ctrlPr>
                  </m:sSubPr>
                  <m:e>
                    <m:r>
                      <w:rPr>
                        <w:rFonts w:ascii="Cambria Math" w:hAnsi="Cambria Math"/>
                      </w:rPr>
                      <m:t>m</m:t>
                    </m:r>
                  </m:e>
                  <m:sub>
                    <m:r>
                      <m:rPr>
                        <m:sty m:val="p"/>
                      </m:rPr>
                      <w:rPr>
                        <w:rFonts w:ascii="Cambria Math" w:hAnsi="Cambria Math"/>
                      </w:rPr>
                      <m:t>Rdy</m:t>
                    </m:r>
                  </m:sub>
                </m:sSub>
                <m: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Edy</m:t>
                    </m:r>
                  </m:sub>
                </m:sSub>
                <m:r>
                  <w:rPr>
                    <w:rFonts w:ascii="Cambria Math" w:hAnsi="Cambria Math"/>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m</m:t>
                            </m:r>
                          </m:e>
                          <m:sub>
                            <m:r>
                              <m:rPr>
                                <m:sty m:val="p"/>
                              </m:rPr>
                              <w:rPr>
                                <w:rFonts w:ascii="Cambria Math" w:hAnsi="Cambria Math"/>
                              </w:rPr>
                              <m:t>Edxy</m:t>
                            </m:r>
                          </m:sub>
                        </m:sSub>
                      </m:e>
                    </m:d>
                  </m:num>
                  <m:den>
                    <m:r>
                      <m:rPr>
                        <m:sty m:val="p"/>
                      </m:rPr>
                      <w:rPr>
                        <w:rFonts w:ascii="Cambria Math" w:hAnsi="Cambria Math"/>
                      </w:rPr>
                      <m:t>cot</m:t>
                    </m:r>
                    <m:sSub>
                      <m:sSubPr>
                        <m:ctrlPr>
                          <w:rPr>
                            <w:rFonts w:ascii="Cambria Math" w:hAnsi="Cambria Math"/>
                          </w:rPr>
                        </m:ctrlPr>
                      </m:sSubPr>
                      <m:e>
                        <m:r>
                          <w:rPr>
                            <w:rFonts w:ascii="Cambria Math" w:hAnsi="Cambria Math"/>
                          </w:rPr>
                          <m:t>θ</m:t>
                        </m:r>
                      </m:e>
                      <m:sub>
                        <m:r>
                          <m:rPr>
                            <m:sty m:val="p"/>
                          </m:rPr>
                          <w:rPr>
                            <w:rFonts w:ascii="Cambria Math" w:hAnsi="Cambria Math"/>
                          </w:rPr>
                          <m:t>bot</m:t>
                        </m:r>
                      </m:sub>
                    </m:sSub>
                  </m:den>
                </m:f>
              </m:oMath>
            </m:oMathPara>
          </w:p>
        </w:tc>
        <w:tc>
          <w:tcPr>
            <w:tcW w:w="1247" w:type="dxa"/>
            <w:vAlign w:val="center"/>
          </w:tcPr>
          <w:p w14:paraId="27E5E3C2" w14:textId="795CD86D" w:rsidR="00611D67" w:rsidRPr="001455DC" w:rsidRDefault="00611D67" w:rsidP="00611D67">
            <w:pPr>
              <w:pStyle w:val="a7"/>
              <w:jc w:val="right"/>
            </w:pPr>
            <w:r w:rsidRPr="001455DC">
              <w:t>(G.18b)</w:t>
            </w:r>
          </w:p>
        </w:tc>
      </w:tr>
      <w:tr w:rsidR="00611D67" w:rsidRPr="001455DC" w14:paraId="56A87D1A" w14:textId="77777777" w:rsidTr="00611D67">
        <w:trPr>
          <w:cantSplit/>
        </w:trPr>
        <w:tc>
          <w:tcPr>
            <w:tcW w:w="8505" w:type="dxa"/>
            <w:vAlign w:val="center"/>
          </w:tcPr>
          <w:p w14:paraId="71BF5359" w14:textId="4F87FEB0" w:rsidR="00611D67" w:rsidRPr="001455DC" w:rsidRDefault="00231E33" w:rsidP="00611D67">
            <w:pPr>
              <w:pStyle w:val="Formula"/>
              <w:jc w:val="left"/>
            </w:pPr>
            <m:oMathPara>
              <m:oMathParaPr>
                <m:jc m:val="left"/>
              </m:oMathParaPr>
              <m:oMath>
                <m:sSubSup>
                  <m:sSubSupPr>
                    <m:ctrlPr>
                      <w:rPr>
                        <w:rFonts w:ascii="Cambria Math" w:hAnsi="Cambria Math"/>
                      </w:rPr>
                    </m:ctrlPr>
                  </m:sSubSupPr>
                  <m:e>
                    <m:r>
                      <w:rPr>
                        <w:rFonts w:ascii="Cambria Math" w:hAnsi="Cambria Math"/>
                      </w:rPr>
                      <m:t>m</m:t>
                    </m:r>
                  </m:e>
                  <m:sub>
                    <m:r>
                      <w:rPr>
                        <w:rFonts w:ascii="Cambria Math" w:hAnsi="Cambria Math"/>
                      </w:rPr>
                      <m:t>Rdx</m:t>
                    </m:r>
                  </m:sub>
                  <m:sup>
                    <m:r>
                      <w:rPr>
                        <w:rFonts w:ascii="Cambria Math" w:hAnsi="Cambria Math" w:hint="eastAsia"/>
                      </w:rPr>
                      <m:t>'</m:t>
                    </m:r>
                  </m:sup>
                </m:sSubSup>
                <m: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Edx</m:t>
                    </m:r>
                  </m:sub>
                </m:sSub>
                <m:r>
                  <w:rPr>
                    <w:rFonts w:ascii="Cambria Math" w:hAnsi="Cambria Math"/>
                  </w:rPr>
                  <m:t>+</m:t>
                </m:r>
                <m:r>
                  <m:rPr>
                    <m:sty m:val="p"/>
                  </m:rPr>
                  <w:rPr>
                    <w:rFonts w:ascii="Cambria Math" w:hAnsi="Cambria Math"/>
                  </w:rPr>
                  <m:t>cot</m:t>
                </m:r>
                <m:sSub>
                  <m:sSubPr>
                    <m:ctrlPr>
                      <w:rPr>
                        <w:rFonts w:ascii="Cambria Math" w:hAnsi="Cambria Math"/>
                      </w:rPr>
                    </m:ctrlPr>
                  </m:sSubPr>
                  <m:e>
                    <m:r>
                      <w:rPr>
                        <w:rFonts w:ascii="Cambria Math" w:hAnsi="Cambria Math"/>
                      </w:rPr>
                      <m:t>θ</m:t>
                    </m:r>
                  </m:e>
                  <m:sub>
                    <m:r>
                      <m:rPr>
                        <m:sty m:val="p"/>
                      </m:rPr>
                      <w:rPr>
                        <w:rFonts w:ascii="Cambria Math" w:hAnsi="Cambria Math"/>
                      </w:rPr>
                      <m:t>top</m:t>
                    </m:r>
                  </m:sub>
                </m:sSub>
                <m:d>
                  <m:dPr>
                    <m:begChr m:val="|"/>
                    <m:endChr m:val="|"/>
                    <m:ctrlPr>
                      <w:rPr>
                        <w:rFonts w:ascii="Cambria Math" w:hAnsi="Cambria Math"/>
                      </w:rPr>
                    </m:ctrlPr>
                  </m:dPr>
                  <m:e>
                    <m:sSub>
                      <m:sSubPr>
                        <m:ctrlPr>
                          <w:rPr>
                            <w:rFonts w:ascii="Cambria Math" w:hAnsi="Cambria Math"/>
                          </w:rPr>
                        </m:ctrlPr>
                      </m:sSubPr>
                      <m:e>
                        <m:r>
                          <w:rPr>
                            <w:rFonts w:ascii="Cambria Math" w:hAnsi="Cambria Math"/>
                          </w:rPr>
                          <m:t>m</m:t>
                        </m:r>
                      </m:e>
                      <m:sub>
                        <m:r>
                          <m:rPr>
                            <m:sty m:val="p"/>
                          </m:rPr>
                          <w:rPr>
                            <w:rFonts w:ascii="Cambria Math" w:hAnsi="Cambria Math"/>
                          </w:rPr>
                          <m:t>Edxy</m:t>
                        </m:r>
                      </m:sub>
                    </m:sSub>
                  </m:e>
                </m:d>
              </m:oMath>
            </m:oMathPara>
          </w:p>
        </w:tc>
        <w:tc>
          <w:tcPr>
            <w:tcW w:w="1247" w:type="dxa"/>
            <w:vAlign w:val="center"/>
          </w:tcPr>
          <w:p w14:paraId="53ED6E2C" w14:textId="7E81813E" w:rsidR="00611D67" w:rsidRPr="001455DC" w:rsidRDefault="00611D67" w:rsidP="00611D67">
            <w:pPr>
              <w:pStyle w:val="a7"/>
              <w:jc w:val="right"/>
            </w:pPr>
            <w:r w:rsidRPr="001455DC">
              <w:t>(G.18c)</w:t>
            </w:r>
          </w:p>
        </w:tc>
      </w:tr>
      <w:tr w:rsidR="00611D67" w:rsidRPr="001455DC" w14:paraId="191BD5B8" w14:textId="77777777" w:rsidTr="00611D67">
        <w:trPr>
          <w:cantSplit/>
        </w:trPr>
        <w:tc>
          <w:tcPr>
            <w:tcW w:w="8505" w:type="dxa"/>
            <w:vAlign w:val="center"/>
          </w:tcPr>
          <w:p w14:paraId="5B10C197" w14:textId="08E3E057" w:rsidR="00611D67" w:rsidRPr="001455DC" w:rsidRDefault="00231E33" w:rsidP="00611D67">
            <w:pPr>
              <w:pStyle w:val="Formula"/>
              <w:jc w:val="left"/>
            </w:pPr>
            <m:oMathPara>
              <m:oMathParaPr>
                <m:jc m:val="left"/>
              </m:oMathParaPr>
              <m:oMath>
                <m:sSubSup>
                  <m:sSubSupPr>
                    <m:ctrlPr>
                      <w:rPr>
                        <w:rFonts w:ascii="Cambria Math" w:hAnsi="Cambria Math"/>
                      </w:rPr>
                    </m:ctrlPr>
                  </m:sSubSupPr>
                  <m:e>
                    <m:r>
                      <w:rPr>
                        <w:rFonts w:ascii="Cambria Math" w:hAnsi="Cambria Math"/>
                      </w:rPr>
                      <m:t>m</m:t>
                    </m:r>
                  </m:e>
                  <m:sub>
                    <m:r>
                      <m:rPr>
                        <m:sty m:val="p"/>
                      </m:rPr>
                      <w:rPr>
                        <w:rFonts w:ascii="Cambria Math" w:hAnsi="Cambria Math"/>
                      </w:rPr>
                      <m:t>Rdy</m:t>
                    </m:r>
                  </m:sub>
                  <m:sup>
                    <m:r>
                      <w:rPr>
                        <w:rFonts w:ascii="Cambria Math" w:hAnsi="Cambria Math" w:hint="eastAsia"/>
                      </w:rPr>
                      <m:t>'</m:t>
                    </m:r>
                  </m:sup>
                </m:sSubSup>
                <m: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Edy</m:t>
                    </m:r>
                  </m:sub>
                </m:sSub>
                <m:r>
                  <w:rPr>
                    <w:rFonts w:ascii="Cambria Math" w:hAnsi="Cambria Math"/>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m</m:t>
                            </m:r>
                          </m:e>
                          <m:sub>
                            <m:r>
                              <m:rPr>
                                <m:sty m:val="p"/>
                              </m:rPr>
                              <w:rPr>
                                <w:rFonts w:ascii="Cambria Math" w:hAnsi="Cambria Math"/>
                              </w:rPr>
                              <m:t>Edxy</m:t>
                            </m:r>
                          </m:sub>
                        </m:sSub>
                      </m:e>
                    </m:d>
                  </m:num>
                  <m:den>
                    <m:r>
                      <m:rPr>
                        <m:sty m:val="p"/>
                      </m:rPr>
                      <w:rPr>
                        <w:rFonts w:ascii="Cambria Math" w:hAnsi="Cambria Math"/>
                      </w:rPr>
                      <m:t>cot</m:t>
                    </m:r>
                    <m:sSub>
                      <m:sSubPr>
                        <m:ctrlPr>
                          <w:rPr>
                            <w:rFonts w:ascii="Cambria Math" w:hAnsi="Cambria Math"/>
                          </w:rPr>
                        </m:ctrlPr>
                      </m:sSubPr>
                      <m:e>
                        <m:r>
                          <w:rPr>
                            <w:rFonts w:ascii="Cambria Math" w:hAnsi="Cambria Math"/>
                          </w:rPr>
                          <m:t>θ</m:t>
                        </m:r>
                      </m:e>
                      <m:sub>
                        <m:r>
                          <m:rPr>
                            <m:sty m:val="p"/>
                          </m:rPr>
                          <w:rPr>
                            <w:rFonts w:ascii="Cambria Math" w:hAnsi="Cambria Math"/>
                          </w:rPr>
                          <m:t>top</m:t>
                        </m:r>
                      </m:sub>
                    </m:sSub>
                  </m:den>
                </m:f>
              </m:oMath>
            </m:oMathPara>
          </w:p>
        </w:tc>
        <w:tc>
          <w:tcPr>
            <w:tcW w:w="1247" w:type="dxa"/>
            <w:vAlign w:val="center"/>
          </w:tcPr>
          <w:p w14:paraId="2CDF99CB" w14:textId="33ECDB71" w:rsidR="00611D67" w:rsidRPr="001455DC" w:rsidRDefault="00611D67" w:rsidP="00611D67">
            <w:pPr>
              <w:pStyle w:val="a7"/>
              <w:jc w:val="right"/>
            </w:pPr>
            <w:r w:rsidRPr="001455DC">
              <w:t>(G.18d)</w:t>
            </w:r>
          </w:p>
        </w:tc>
      </w:tr>
    </w:tbl>
    <w:p w14:paraId="7A69E3D1" w14:textId="77777777" w:rsidR="004E22C1" w:rsidRPr="001455DC" w:rsidRDefault="004E22C1" w:rsidP="00EE26B9">
      <w:pPr>
        <w:pStyle w:val="a7"/>
      </w:pPr>
      <w:r w:rsidRPr="001455DC">
        <w:t xml:space="preserve">Where </w:t>
      </w:r>
      <w:r w:rsidRPr="001455DC">
        <w:rPr>
          <w:rStyle w:val="CCMCvariableitalic"/>
        </w:rPr>
        <w:t>θ</w:t>
      </w:r>
      <w:r w:rsidRPr="001455DC">
        <w:rPr>
          <w:rStyle w:val="CCMCvariablesubscript"/>
        </w:rPr>
        <w:t>top</w:t>
      </w:r>
      <w:r w:rsidRPr="001455DC">
        <w:t xml:space="preserve"> and </w:t>
      </w:r>
      <w:r w:rsidRPr="001455DC">
        <w:rPr>
          <w:rStyle w:val="CCMCvariableitalic"/>
        </w:rPr>
        <w:t>θ</w:t>
      </w:r>
      <w:r w:rsidRPr="001455DC">
        <w:rPr>
          <w:rStyle w:val="CCMCvariablesubscript"/>
        </w:rPr>
        <w:t>bot</w:t>
      </w:r>
      <w:r w:rsidRPr="001455DC">
        <w:t xml:space="preserve"> denote the inclination of the compression stress fields in the top and the bottom layers carrying torsion, respectively. The values for cot</w:t>
      </w:r>
      <w:r w:rsidRPr="001455DC">
        <w:rPr>
          <w:rStyle w:val="CCMCvariableitalic"/>
        </w:rPr>
        <w:t>θ</w:t>
      </w:r>
      <w:r w:rsidRPr="001455DC">
        <w:rPr>
          <w:rStyle w:val="CCMCvariablesubscript"/>
        </w:rPr>
        <w:t>top</w:t>
      </w:r>
      <w:r w:rsidRPr="001455DC">
        <w:t xml:space="preserve"> and cot</w:t>
      </w:r>
      <w:r w:rsidRPr="001455DC">
        <w:rPr>
          <w:rStyle w:val="CCMCvariableitalic"/>
        </w:rPr>
        <w:t>θ</w:t>
      </w:r>
      <w:r w:rsidRPr="001455DC">
        <w:rPr>
          <w:rStyle w:val="CCMCvariablesubscript"/>
        </w:rPr>
        <w:t>bot</w:t>
      </w:r>
      <w:r w:rsidRPr="001455DC">
        <w:t xml:space="preserve"> are positive and may be chosen freely, but should for each of the four formulae lead to a required moment capacity that is between 0,4 to 2,5 times the corresponding optimum moment capacity (see Tables G.2 and G.3).</w:t>
      </w:r>
    </w:p>
    <w:p w14:paraId="4B55C6E1" w14:textId="77777777" w:rsidR="004E22C1" w:rsidRPr="001455DC" w:rsidRDefault="004E22C1" w:rsidP="00EE26B9">
      <w:pPr>
        <w:pStyle w:val="Tabletitle"/>
      </w:pPr>
      <w:bookmarkStart w:id="1571" w:name="_Toc54337597"/>
      <w:r w:rsidRPr="001455DC">
        <w:t>Table G.2</w:t>
      </w:r>
      <w:r w:rsidRPr="001455DC">
        <w:rPr>
          <w:lang w:eastAsia="ja-JP"/>
        </w:rPr>
        <w:t xml:space="preserve"> — </w:t>
      </w:r>
      <w:r w:rsidRPr="001455DC">
        <w:t>Optimum tension reinforcement in bottom layer expressed as required design moment capacities for slab elements</w:t>
      </w:r>
      <w:bookmarkEnd w:id="1571"/>
    </w:p>
    <w:tbl>
      <w:tblPr>
        <w:tblStyle w:val="53"/>
        <w:tblW w:w="9752" w:type="dxa"/>
        <w:tblLayout w:type="fixed"/>
        <w:tblLook w:val="0660" w:firstRow="1" w:lastRow="1" w:firstColumn="0" w:lastColumn="0" w:noHBand="1" w:noVBand="1"/>
      </w:tblPr>
      <w:tblGrid>
        <w:gridCol w:w="3251"/>
        <w:gridCol w:w="3250"/>
        <w:gridCol w:w="3251"/>
      </w:tblGrid>
      <w:tr w:rsidR="004E22C1" w:rsidRPr="001455DC" w14:paraId="2E5CDCC6" w14:textId="77777777" w:rsidTr="00611D67">
        <w:trPr>
          <w:cnfStyle w:val="100000000000" w:firstRow="1" w:lastRow="0" w:firstColumn="0" w:lastColumn="0" w:oddVBand="0" w:evenVBand="0" w:oddHBand="0" w:evenHBand="0" w:firstRowFirstColumn="0" w:firstRowLastColumn="0" w:lastRowFirstColumn="0" w:lastRowLastColumn="0"/>
          <w:cantSplit/>
          <w:tblHeader/>
        </w:trPr>
        <w:tc>
          <w:tcPr>
            <w:tcW w:w="2805" w:type="dxa"/>
          </w:tcPr>
          <w:p w14:paraId="34BB8C9E" w14:textId="77777777" w:rsidR="004E22C1" w:rsidRPr="001455DC" w:rsidRDefault="004E22C1" w:rsidP="00F77658">
            <w:pPr>
              <w:pStyle w:val="Tableheader"/>
              <w:keepNext/>
            </w:pPr>
            <w:r w:rsidRPr="001455DC">
              <w:t>Conditions</w:t>
            </w:r>
          </w:p>
        </w:tc>
        <w:tc>
          <w:tcPr>
            <w:tcW w:w="2805" w:type="dxa"/>
          </w:tcPr>
          <w:p w14:paraId="1A0E4BF0" w14:textId="77777777" w:rsidR="004E22C1" w:rsidRPr="001455DC" w:rsidRDefault="004E22C1" w:rsidP="00F77658">
            <w:pPr>
              <w:pStyle w:val="Tableheader"/>
              <w:keepNext/>
            </w:pPr>
            <w:r w:rsidRPr="001455DC">
              <w:t xml:space="preserve">Required capacity </w:t>
            </w:r>
            <w:r w:rsidRPr="001455DC">
              <w:rPr>
                <w:rStyle w:val="CCMCvariableitalic"/>
              </w:rPr>
              <w:t>m</w:t>
            </w:r>
            <w:r w:rsidRPr="001455DC">
              <w:rPr>
                <w:rStyle w:val="CCMCvariablesubscript"/>
              </w:rPr>
              <w:t>Rdx</w:t>
            </w:r>
          </w:p>
        </w:tc>
        <w:tc>
          <w:tcPr>
            <w:tcW w:w="2806" w:type="dxa"/>
          </w:tcPr>
          <w:p w14:paraId="3183F50E" w14:textId="77777777" w:rsidR="004E22C1" w:rsidRPr="001455DC" w:rsidRDefault="004E22C1" w:rsidP="00F77658">
            <w:pPr>
              <w:pStyle w:val="Tableheader"/>
              <w:keepNext/>
            </w:pPr>
            <w:r w:rsidRPr="001455DC">
              <w:t xml:space="preserve">Required capacity </w:t>
            </w:r>
            <w:r w:rsidRPr="001455DC">
              <w:rPr>
                <w:rStyle w:val="CCMCvariableitalic"/>
              </w:rPr>
              <w:t>m</w:t>
            </w:r>
            <w:r w:rsidRPr="001455DC">
              <w:rPr>
                <w:rStyle w:val="CCMCvariablesubscript"/>
              </w:rPr>
              <w:t>Rdy</w:t>
            </w:r>
          </w:p>
        </w:tc>
      </w:tr>
      <w:tr w:rsidR="004E22C1" w:rsidRPr="001455DC" w14:paraId="0C57D92B" w14:textId="77777777" w:rsidTr="00611D67">
        <w:trPr>
          <w:cantSplit/>
        </w:trPr>
        <w:tc>
          <w:tcPr>
            <w:tcW w:w="2805" w:type="dxa"/>
            <w:vAlign w:val="center"/>
          </w:tcPr>
          <w:p w14:paraId="3B8E64BB" w14:textId="5B42A080" w:rsidR="004E22C1" w:rsidRPr="001455DC" w:rsidRDefault="00231E33" w:rsidP="00F77658">
            <w:pPr>
              <w:pStyle w:val="Tablebody"/>
              <w:keepNext/>
              <w:jc w:val="center"/>
            </w:pPr>
            <m:oMathPara>
              <m:oMath>
                <m:eqArr>
                  <m:eqArrPr>
                    <m:ctrlPr>
                      <w:rPr>
                        <w:rFonts w:ascii="Cambria Math" w:hAnsi="Cambria Math"/>
                      </w:rPr>
                    </m:ctrlPr>
                  </m:eqArrPr>
                  <m:e>
                    <m:sSub>
                      <m:sSubPr>
                        <m:ctrlPr>
                          <w:rPr>
                            <w:rFonts w:ascii="Cambria Math" w:hAnsi="Cambria Math"/>
                          </w:rPr>
                        </m:ctrlPr>
                      </m:sSubPr>
                      <m:e>
                        <m:r>
                          <w:rPr>
                            <w:rFonts w:ascii="Cambria Math" w:hAnsi="Cambria Math"/>
                          </w:rPr>
                          <m:t>m</m:t>
                        </m:r>
                      </m:e>
                      <m:sub>
                        <m:r>
                          <m:rPr>
                            <m:sty m:val="p"/>
                          </m:rPr>
                          <w:rPr>
                            <w:rFonts w:ascii="Cambria Math" w:hAnsi="Cambria Math"/>
                          </w:rPr>
                          <m:t>Edx</m:t>
                        </m:r>
                      </m:sub>
                    </m:sSub>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m</m:t>
                            </m:r>
                          </m:e>
                          <m:sub>
                            <m:r>
                              <m:rPr>
                                <m:sty m:val="p"/>
                              </m:rPr>
                              <w:rPr>
                                <w:rFonts w:ascii="Cambria Math" w:hAnsi="Cambria Math"/>
                              </w:rPr>
                              <m:t>Edxy</m:t>
                            </m:r>
                          </m:sub>
                        </m:sSub>
                      </m:e>
                    </m:d>
                  </m:e>
                  <m:e>
                    <m:sSub>
                      <m:sSubPr>
                        <m:ctrlPr>
                          <w:rPr>
                            <w:rFonts w:ascii="Cambria Math" w:hAnsi="Cambria Math"/>
                          </w:rPr>
                        </m:ctrlPr>
                      </m:sSubPr>
                      <m:e>
                        <m:r>
                          <w:rPr>
                            <w:rFonts w:ascii="Cambria Math" w:hAnsi="Cambria Math"/>
                          </w:rPr>
                          <m:t>m</m:t>
                        </m:r>
                      </m:e>
                      <m:sub>
                        <m:r>
                          <m:rPr>
                            <m:sty m:val="p"/>
                          </m:rPr>
                          <w:rPr>
                            <w:rFonts w:ascii="Cambria Math" w:hAnsi="Cambria Math"/>
                          </w:rPr>
                          <m:t>Edy</m:t>
                        </m:r>
                      </m:sub>
                    </m:sSub>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m</m:t>
                            </m:r>
                          </m:e>
                          <m:sub>
                            <m:r>
                              <m:rPr>
                                <m:sty m:val="p"/>
                              </m:rPr>
                              <w:rPr>
                                <w:rFonts w:ascii="Cambria Math" w:hAnsi="Cambria Math"/>
                              </w:rPr>
                              <m:t>Edxy</m:t>
                            </m:r>
                          </m:sub>
                        </m:sSub>
                      </m:e>
                    </m:d>
                  </m:e>
                </m:eqArr>
              </m:oMath>
            </m:oMathPara>
          </w:p>
        </w:tc>
        <w:tc>
          <w:tcPr>
            <w:tcW w:w="2805" w:type="dxa"/>
            <w:vAlign w:val="center"/>
          </w:tcPr>
          <w:p w14:paraId="60BB3ABD" w14:textId="345477FD" w:rsidR="004E22C1" w:rsidRPr="001455DC" w:rsidRDefault="00231E33" w:rsidP="00F77658">
            <w:pPr>
              <w:pStyle w:val="Tablebody"/>
              <w:keepNext/>
              <w:jc w:val="center"/>
            </w:pPr>
            <m:oMathPara>
              <m:oMath>
                <m:sSub>
                  <m:sSubPr>
                    <m:ctrlPr>
                      <w:rPr>
                        <w:rFonts w:ascii="Cambria Math" w:hAnsi="Cambria Math"/>
                      </w:rPr>
                    </m:ctrlPr>
                  </m:sSubPr>
                  <m:e>
                    <m:r>
                      <w:rPr>
                        <w:rFonts w:ascii="Cambria Math" w:hAnsi="Cambria Math"/>
                      </w:rPr>
                      <m:t>m</m:t>
                    </m:r>
                  </m:e>
                  <m:sub>
                    <m:r>
                      <m:rPr>
                        <m:sty m:val="p"/>
                      </m:rPr>
                      <w:rPr>
                        <w:rFonts w:ascii="Cambria Math" w:hAnsi="Cambria Math"/>
                      </w:rPr>
                      <m:t>Rdx</m:t>
                    </m:r>
                  </m:sub>
                </m:sSub>
                <m: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Edx</m:t>
                    </m:r>
                  </m:sub>
                </m:sSub>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m</m:t>
                        </m:r>
                      </m:e>
                      <m:sub>
                        <m:r>
                          <m:rPr>
                            <m:sty m:val="p"/>
                          </m:rPr>
                          <w:rPr>
                            <w:rFonts w:ascii="Cambria Math" w:hAnsi="Cambria Math"/>
                          </w:rPr>
                          <m:t>Edxy</m:t>
                        </m:r>
                      </m:sub>
                    </m:sSub>
                  </m:e>
                </m:d>
              </m:oMath>
            </m:oMathPara>
          </w:p>
        </w:tc>
        <w:tc>
          <w:tcPr>
            <w:tcW w:w="2806" w:type="dxa"/>
            <w:vAlign w:val="center"/>
          </w:tcPr>
          <w:p w14:paraId="09C95894" w14:textId="56B14F02" w:rsidR="004E22C1" w:rsidRPr="001455DC" w:rsidRDefault="00231E33" w:rsidP="00F77658">
            <w:pPr>
              <w:pStyle w:val="Tablebody"/>
              <w:keepNext/>
              <w:jc w:val="center"/>
            </w:pPr>
            <m:oMathPara>
              <m:oMath>
                <m:sSub>
                  <m:sSubPr>
                    <m:ctrlPr>
                      <w:rPr>
                        <w:rFonts w:ascii="Cambria Math" w:hAnsi="Cambria Math"/>
                      </w:rPr>
                    </m:ctrlPr>
                  </m:sSubPr>
                  <m:e>
                    <m:r>
                      <w:rPr>
                        <w:rFonts w:ascii="Cambria Math" w:hAnsi="Cambria Math"/>
                      </w:rPr>
                      <m:t>m</m:t>
                    </m:r>
                  </m:e>
                  <m:sub>
                    <m:r>
                      <m:rPr>
                        <m:sty m:val="p"/>
                      </m:rPr>
                      <w:rPr>
                        <w:rFonts w:ascii="Cambria Math" w:hAnsi="Cambria Math"/>
                      </w:rPr>
                      <m:t>Rdy</m:t>
                    </m:r>
                  </m:sub>
                </m:sSub>
                <m: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Edy</m:t>
                    </m:r>
                  </m:sub>
                </m:sSub>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m</m:t>
                        </m:r>
                      </m:e>
                      <m:sub>
                        <m:r>
                          <m:rPr>
                            <m:sty m:val="p"/>
                          </m:rPr>
                          <w:rPr>
                            <w:rFonts w:ascii="Cambria Math" w:hAnsi="Cambria Math"/>
                          </w:rPr>
                          <m:t>Edxy</m:t>
                        </m:r>
                      </m:sub>
                    </m:sSub>
                  </m:e>
                </m:d>
              </m:oMath>
            </m:oMathPara>
          </w:p>
        </w:tc>
      </w:tr>
      <w:tr w:rsidR="004E22C1" w:rsidRPr="001455DC" w14:paraId="1C93C4F3" w14:textId="77777777" w:rsidTr="00611D67">
        <w:trPr>
          <w:cantSplit/>
        </w:trPr>
        <w:tc>
          <w:tcPr>
            <w:tcW w:w="2805" w:type="dxa"/>
            <w:vAlign w:val="center"/>
          </w:tcPr>
          <w:p w14:paraId="21331154" w14:textId="34AB0A12" w:rsidR="004E22C1" w:rsidRPr="001455DC" w:rsidRDefault="00231E33" w:rsidP="00F77658">
            <w:pPr>
              <w:pStyle w:val="Tablebody"/>
              <w:keepNext/>
              <w:jc w:val="center"/>
            </w:pPr>
            <m:oMathPara>
              <m:oMath>
                <m:eqArr>
                  <m:eqArrPr>
                    <m:ctrlPr>
                      <w:rPr>
                        <w:rFonts w:ascii="Cambria Math" w:hAnsi="Cambria Math"/>
                      </w:rPr>
                    </m:ctrlPr>
                  </m:eqArrPr>
                  <m:e>
                    <m:sSub>
                      <m:sSubPr>
                        <m:ctrlPr>
                          <w:rPr>
                            <w:rFonts w:ascii="Cambria Math" w:hAnsi="Cambria Math"/>
                          </w:rPr>
                        </m:ctrlPr>
                      </m:sSubPr>
                      <m:e>
                        <m:r>
                          <w:rPr>
                            <w:rFonts w:ascii="Cambria Math" w:hAnsi="Cambria Math"/>
                          </w:rPr>
                          <m:t>m</m:t>
                        </m:r>
                      </m:e>
                      <m:sub>
                        <m:r>
                          <m:rPr>
                            <m:sty m:val="p"/>
                          </m:rPr>
                          <w:rPr>
                            <w:rFonts w:ascii="Cambria Math" w:hAnsi="Cambria Math"/>
                          </w:rPr>
                          <m:t>Edx</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Edy</m:t>
                        </m:r>
                      </m:sub>
                    </m:sSub>
                  </m:e>
                  <m:e>
                    <m:sSub>
                      <m:sSubPr>
                        <m:ctrlPr>
                          <w:rPr>
                            <w:rFonts w:ascii="Cambria Math" w:hAnsi="Cambria Math"/>
                          </w:rPr>
                        </m:ctrlPr>
                      </m:sSubPr>
                      <m:e>
                        <m:r>
                          <w:rPr>
                            <w:rFonts w:ascii="Cambria Math" w:hAnsi="Cambria Math"/>
                          </w:rPr>
                          <m:t>m</m:t>
                        </m:r>
                      </m:e>
                      <m:sub>
                        <m:r>
                          <m:rPr>
                            <m:sty m:val="p"/>
                          </m:rPr>
                          <w:rPr>
                            <w:rFonts w:ascii="Cambria Math" w:hAnsi="Cambria Math"/>
                          </w:rPr>
                          <m:t>Edx</m:t>
                        </m:r>
                      </m:sub>
                    </m:sSub>
                    <m:r>
                      <m:rPr>
                        <m:sty m:val="p"/>
                      </m:rPr>
                      <w:rPr>
                        <w:rFonts w:ascii="Cambria Math" w:hAnsi="Cambria Math"/>
                      </w:rPr>
                      <m:t>&lt;-</m:t>
                    </m:r>
                    <m:d>
                      <m:dPr>
                        <m:begChr m:val="|"/>
                        <m:endChr m:val="|"/>
                        <m:ctrlPr>
                          <w:rPr>
                            <w:rFonts w:ascii="Cambria Math" w:hAnsi="Cambria Math"/>
                          </w:rPr>
                        </m:ctrlPr>
                      </m:dPr>
                      <m:e>
                        <m:sSub>
                          <m:sSubPr>
                            <m:ctrlPr>
                              <w:rPr>
                                <w:rFonts w:ascii="Cambria Math" w:hAnsi="Cambria Math"/>
                              </w:rPr>
                            </m:ctrlPr>
                          </m:sSubPr>
                          <m:e>
                            <m:r>
                              <w:rPr>
                                <w:rFonts w:ascii="Cambria Math" w:hAnsi="Cambria Math"/>
                              </w:rPr>
                              <m:t>m</m:t>
                            </m:r>
                          </m:e>
                          <m:sub>
                            <m:r>
                              <m:rPr>
                                <m:sty m:val="p"/>
                              </m:rPr>
                              <w:rPr>
                                <w:rFonts w:ascii="Cambria Math" w:hAnsi="Cambria Math"/>
                              </w:rPr>
                              <m:t>Edxy</m:t>
                            </m:r>
                          </m:sub>
                        </m:sSub>
                      </m:e>
                    </m:d>
                  </m:e>
                  <m:e>
                    <m:sSub>
                      <m:sSubPr>
                        <m:ctrlPr>
                          <w:rPr>
                            <w:rFonts w:ascii="Cambria Math" w:hAnsi="Cambria Math"/>
                          </w:rPr>
                        </m:ctrlPr>
                      </m:sSubPr>
                      <m:e>
                        <m:r>
                          <w:rPr>
                            <w:rFonts w:ascii="Cambria Math" w:hAnsi="Cambria Math"/>
                          </w:rPr>
                          <m:t>m</m:t>
                        </m:r>
                      </m:e>
                      <m:sub>
                        <m:r>
                          <m:rPr>
                            <m:sty m:val="p"/>
                          </m:rPr>
                          <w:rPr>
                            <w:rFonts w:ascii="Cambria Math" w:hAnsi="Cambria Math"/>
                          </w:rPr>
                          <m:t>Edx</m:t>
                        </m:r>
                      </m:sub>
                    </m:sSub>
                    <m:sSub>
                      <m:sSubPr>
                        <m:ctrlPr>
                          <w:rPr>
                            <w:rFonts w:ascii="Cambria Math" w:hAnsi="Cambria Math"/>
                          </w:rPr>
                        </m:ctrlPr>
                      </m:sSubPr>
                      <m:e>
                        <m:r>
                          <w:rPr>
                            <w:rFonts w:ascii="Cambria Math" w:hAnsi="Cambria Math"/>
                          </w:rPr>
                          <m:t>m</m:t>
                        </m:r>
                      </m:e>
                      <m:sub>
                        <m:r>
                          <m:rPr>
                            <m:sty m:val="p"/>
                          </m:rPr>
                          <w:rPr>
                            <w:rFonts w:ascii="Cambria Math" w:hAnsi="Cambria Math"/>
                          </w:rPr>
                          <m:t>Edy</m:t>
                        </m:r>
                      </m:sub>
                    </m:sSub>
                    <m:r>
                      <m:rPr>
                        <m:sty m:val="p"/>
                      </m:rPr>
                      <w:rPr>
                        <w:rFonts w:ascii="Cambria Math" w:hAnsi="Cambria Math"/>
                      </w:rPr>
                      <m:t>≤</m:t>
                    </m:r>
                    <m:sSubSup>
                      <m:sSubSupPr>
                        <m:ctrlPr>
                          <w:rPr>
                            <w:rFonts w:ascii="Cambria Math" w:hAnsi="Cambria Math"/>
                          </w:rPr>
                        </m:ctrlPr>
                      </m:sSubSupPr>
                      <m:e>
                        <m:r>
                          <w:rPr>
                            <w:rFonts w:ascii="Cambria Math" w:hAnsi="Cambria Math"/>
                          </w:rPr>
                          <m:t>m</m:t>
                        </m:r>
                      </m:e>
                      <m:sub>
                        <m:r>
                          <m:rPr>
                            <m:sty m:val="p"/>
                          </m:rPr>
                          <w:rPr>
                            <w:rFonts w:ascii="Cambria Math" w:hAnsi="Cambria Math"/>
                          </w:rPr>
                          <m:t>Edxy</m:t>
                        </m:r>
                      </m:sub>
                      <m:sup>
                        <m:r>
                          <m:rPr>
                            <m:sty m:val="p"/>
                          </m:rPr>
                          <w:rPr>
                            <w:rFonts w:ascii="Cambria Math" w:hAnsi="Cambria Math"/>
                          </w:rPr>
                          <m:t>2</m:t>
                        </m:r>
                      </m:sup>
                    </m:sSubSup>
                  </m:e>
                </m:eqArr>
              </m:oMath>
            </m:oMathPara>
          </w:p>
        </w:tc>
        <w:tc>
          <w:tcPr>
            <w:tcW w:w="2805" w:type="dxa"/>
            <w:vAlign w:val="center"/>
          </w:tcPr>
          <w:p w14:paraId="3F2C7AAA" w14:textId="77777777" w:rsidR="004E22C1" w:rsidRPr="001455DC" w:rsidRDefault="004E22C1" w:rsidP="00F77658">
            <w:pPr>
              <w:pStyle w:val="Tablebody"/>
              <w:keepNext/>
              <w:jc w:val="center"/>
            </w:pPr>
            <w:r w:rsidRPr="001455DC">
              <w:t>0</w:t>
            </w:r>
          </w:p>
        </w:tc>
        <w:tc>
          <w:tcPr>
            <w:tcW w:w="2806" w:type="dxa"/>
            <w:vAlign w:val="center"/>
          </w:tcPr>
          <w:p w14:paraId="286A999C" w14:textId="538A4A26" w:rsidR="004E22C1" w:rsidRPr="001455DC" w:rsidRDefault="00231E33" w:rsidP="00F77658">
            <w:pPr>
              <w:pStyle w:val="Tablebody"/>
              <w:keepNext/>
              <w:jc w:val="center"/>
            </w:pPr>
            <m:oMathPara>
              <m:oMath>
                <m:sSub>
                  <m:sSubPr>
                    <m:ctrlPr>
                      <w:rPr>
                        <w:rFonts w:ascii="Cambria Math" w:hAnsi="Cambria Math"/>
                      </w:rPr>
                    </m:ctrlPr>
                  </m:sSubPr>
                  <m:e>
                    <m:r>
                      <w:rPr>
                        <w:rFonts w:ascii="Cambria Math" w:hAnsi="Cambria Math"/>
                      </w:rPr>
                      <m:t>m</m:t>
                    </m:r>
                  </m:e>
                  <m:sub>
                    <m:r>
                      <m:rPr>
                        <m:sty m:val="p"/>
                      </m:rPr>
                      <w:rPr>
                        <w:rFonts w:ascii="Cambria Math" w:hAnsi="Cambria Math"/>
                      </w:rPr>
                      <m:t>Rdy</m:t>
                    </m:r>
                  </m:sub>
                </m:sSub>
                <m: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Edy</m:t>
                    </m:r>
                  </m:sub>
                </m:sSub>
                <m:r>
                  <w:rPr>
                    <w:rFonts w:ascii="Cambria Math" w:hAnsi="Cambria Math"/>
                  </w:rPr>
                  <m:t>+</m:t>
                </m:r>
                <m:f>
                  <m:fPr>
                    <m:ctrlPr>
                      <w:rPr>
                        <w:rFonts w:ascii="Cambria Math" w:hAnsi="Cambria Math"/>
                      </w:rPr>
                    </m:ctrlPr>
                  </m:fPr>
                  <m:num>
                    <m:sSubSup>
                      <m:sSubSupPr>
                        <m:ctrlPr>
                          <w:rPr>
                            <w:rFonts w:ascii="Cambria Math" w:hAnsi="Cambria Math"/>
                            <w:i/>
                          </w:rPr>
                        </m:ctrlPr>
                      </m:sSubSupPr>
                      <m:e>
                        <m:r>
                          <w:rPr>
                            <w:rFonts w:ascii="Cambria Math" w:hAnsi="Cambria Math"/>
                          </w:rPr>
                          <m:t>m</m:t>
                        </m:r>
                      </m:e>
                      <m:sub>
                        <m:r>
                          <m:rPr>
                            <m:sty m:val="p"/>
                          </m:rPr>
                          <w:rPr>
                            <w:rFonts w:ascii="Cambria Math" w:hAnsi="Cambria Math"/>
                          </w:rPr>
                          <m:t>Edxy</m:t>
                        </m:r>
                      </m:sub>
                      <m:sup>
                        <m:r>
                          <w:rPr>
                            <w:rFonts w:ascii="Cambria Math" w:hAnsi="Cambria Math"/>
                          </w:rPr>
                          <m:t>2</m:t>
                        </m:r>
                      </m:sup>
                    </m:sSubSup>
                  </m:num>
                  <m:den>
                    <m:d>
                      <m:dPr>
                        <m:begChr m:val="|"/>
                        <m:endChr m:val="|"/>
                        <m:ctrlPr>
                          <w:rPr>
                            <w:rFonts w:ascii="Cambria Math" w:hAnsi="Cambria Math"/>
                          </w:rPr>
                        </m:ctrlPr>
                      </m:dPr>
                      <m:e>
                        <m:sSub>
                          <m:sSubPr>
                            <m:ctrlPr>
                              <w:rPr>
                                <w:rFonts w:ascii="Cambria Math" w:hAnsi="Cambria Math"/>
                              </w:rPr>
                            </m:ctrlPr>
                          </m:sSubPr>
                          <m:e>
                            <m:r>
                              <w:rPr>
                                <w:rFonts w:ascii="Cambria Math" w:hAnsi="Cambria Math"/>
                              </w:rPr>
                              <m:t>m</m:t>
                            </m:r>
                          </m:e>
                          <m:sub>
                            <m:r>
                              <m:rPr>
                                <m:sty m:val="p"/>
                              </m:rPr>
                              <w:rPr>
                                <w:rFonts w:ascii="Cambria Math" w:hAnsi="Cambria Math"/>
                              </w:rPr>
                              <m:t>Edx</m:t>
                            </m:r>
                          </m:sub>
                        </m:sSub>
                      </m:e>
                    </m:d>
                  </m:den>
                </m:f>
              </m:oMath>
            </m:oMathPara>
          </w:p>
        </w:tc>
      </w:tr>
      <w:tr w:rsidR="004E22C1" w:rsidRPr="001455DC" w14:paraId="40C7CE9E" w14:textId="77777777" w:rsidTr="00611D67">
        <w:trPr>
          <w:cantSplit/>
        </w:trPr>
        <w:tc>
          <w:tcPr>
            <w:tcW w:w="2805" w:type="dxa"/>
            <w:vAlign w:val="center"/>
          </w:tcPr>
          <w:p w14:paraId="6BF7587F" w14:textId="59784131" w:rsidR="004E22C1" w:rsidRPr="001455DC" w:rsidRDefault="00231E33" w:rsidP="00F77658">
            <w:pPr>
              <w:pStyle w:val="Tablebody"/>
              <w:keepNext/>
              <w:jc w:val="center"/>
            </w:pPr>
            <m:oMathPara>
              <m:oMath>
                <m:eqArr>
                  <m:eqArrPr>
                    <m:ctrlPr>
                      <w:rPr>
                        <w:rFonts w:ascii="Cambria Math" w:hAnsi="Cambria Math"/>
                      </w:rPr>
                    </m:ctrlPr>
                  </m:eqArrPr>
                  <m:e>
                    <m:sSub>
                      <m:sSubPr>
                        <m:ctrlPr>
                          <w:rPr>
                            <w:rFonts w:ascii="Cambria Math" w:hAnsi="Cambria Math"/>
                            <w:i/>
                            <w:iCs/>
                          </w:rPr>
                        </m:ctrlPr>
                      </m:sSubPr>
                      <m:e>
                        <m:r>
                          <w:rPr>
                            <w:rFonts w:ascii="Cambria Math" w:hAnsi="Cambria Math"/>
                          </w:rPr>
                          <m:t>m</m:t>
                        </m:r>
                      </m:e>
                      <m:sub>
                        <m:r>
                          <m:rPr>
                            <m:sty m:val="p"/>
                          </m:rPr>
                          <w:rPr>
                            <w:rFonts w:ascii="Cambria Math" w:hAnsi="Cambria Math"/>
                          </w:rPr>
                          <m:t>Edx</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Edy</m:t>
                        </m:r>
                      </m:sub>
                    </m:sSub>
                  </m:e>
                  <m:e>
                    <m:sSub>
                      <m:sSubPr>
                        <m:ctrlPr>
                          <w:rPr>
                            <w:rFonts w:ascii="Cambria Math" w:hAnsi="Cambria Math"/>
                          </w:rPr>
                        </m:ctrlPr>
                      </m:sSubPr>
                      <m:e>
                        <m:r>
                          <w:rPr>
                            <w:rFonts w:ascii="Cambria Math" w:hAnsi="Cambria Math"/>
                          </w:rPr>
                          <m:t>m</m:t>
                        </m:r>
                      </m:e>
                      <m:sub>
                        <m:r>
                          <m:rPr>
                            <m:sty m:val="p"/>
                          </m:rPr>
                          <w:rPr>
                            <w:rFonts w:ascii="Cambria Math" w:hAnsi="Cambria Math"/>
                          </w:rPr>
                          <m:t>Edy</m:t>
                        </m:r>
                      </m:sub>
                    </m:sSub>
                    <m:r>
                      <m:rPr>
                        <m:sty m:val="p"/>
                      </m:rPr>
                      <w:rPr>
                        <w:rFonts w:ascii="Cambria Math" w:hAnsi="Cambria Math"/>
                      </w:rPr>
                      <m:t>&lt;-</m:t>
                    </m:r>
                    <m:d>
                      <m:dPr>
                        <m:begChr m:val="|"/>
                        <m:endChr m:val="|"/>
                        <m:ctrlPr>
                          <w:rPr>
                            <w:rFonts w:ascii="Cambria Math" w:hAnsi="Cambria Math"/>
                          </w:rPr>
                        </m:ctrlPr>
                      </m:dPr>
                      <m:e>
                        <m:sSub>
                          <m:sSubPr>
                            <m:ctrlPr>
                              <w:rPr>
                                <w:rFonts w:ascii="Cambria Math" w:hAnsi="Cambria Math"/>
                              </w:rPr>
                            </m:ctrlPr>
                          </m:sSubPr>
                          <m:e>
                            <m:r>
                              <w:rPr>
                                <w:rFonts w:ascii="Cambria Math" w:hAnsi="Cambria Math"/>
                              </w:rPr>
                              <m:t>m</m:t>
                            </m:r>
                          </m:e>
                          <m:sub>
                            <m:r>
                              <m:rPr>
                                <m:sty m:val="p"/>
                              </m:rPr>
                              <w:rPr>
                                <w:rFonts w:ascii="Cambria Math" w:hAnsi="Cambria Math"/>
                              </w:rPr>
                              <m:t>Edxy</m:t>
                            </m:r>
                          </m:sub>
                        </m:sSub>
                      </m:e>
                    </m:d>
                  </m:e>
                  <m:e>
                    <m:sSub>
                      <m:sSubPr>
                        <m:ctrlPr>
                          <w:rPr>
                            <w:rFonts w:ascii="Cambria Math" w:hAnsi="Cambria Math"/>
                          </w:rPr>
                        </m:ctrlPr>
                      </m:sSubPr>
                      <m:e>
                        <m:r>
                          <w:rPr>
                            <w:rFonts w:ascii="Cambria Math" w:hAnsi="Cambria Math"/>
                          </w:rPr>
                          <m:t>m</m:t>
                        </m:r>
                      </m:e>
                      <m:sub>
                        <m:r>
                          <m:rPr>
                            <m:sty m:val="p"/>
                          </m:rPr>
                          <w:rPr>
                            <w:rFonts w:ascii="Cambria Math" w:hAnsi="Cambria Math"/>
                          </w:rPr>
                          <m:t>Edx</m:t>
                        </m:r>
                      </m:sub>
                    </m:sSub>
                    <m:sSub>
                      <m:sSubPr>
                        <m:ctrlPr>
                          <w:rPr>
                            <w:rFonts w:ascii="Cambria Math" w:hAnsi="Cambria Math"/>
                          </w:rPr>
                        </m:ctrlPr>
                      </m:sSubPr>
                      <m:e>
                        <m:r>
                          <w:rPr>
                            <w:rFonts w:ascii="Cambria Math" w:hAnsi="Cambria Math"/>
                          </w:rPr>
                          <m:t>m</m:t>
                        </m:r>
                      </m:e>
                      <m:sub>
                        <m:r>
                          <m:rPr>
                            <m:sty m:val="p"/>
                          </m:rPr>
                          <w:rPr>
                            <w:rFonts w:ascii="Cambria Math" w:hAnsi="Cambria Math"/>
                          </w:rPr>
                          <m:t>Edy</m:t>
                        </m:r>
                      </m:sub>
                    </m:sSub>
                    <m:r>
                      <m:rPr>
                        <m:sty m:val="p"/>
                      </m:rPr>
                      <w:rPr>
                        <w:rFonts w:ascii="Cambria Math" w:hAnsi="Cambria Math"/>
                      </w:rPr>
                      <m:t>≤</m:t>
                    </m:r>
                    <m:sSubSup>
                      <m:sSubSupPr>
                        <m:ctrlPr>
                          <w:rPr>
                            <w:rFonts w:ascii="Cambria Math" w:hAnsi="Cambria Math"/>
                          </w:rPr>
                        </m:ctrlPr>
                      </m:sSubSupPr>
                      <m:e>
                        <m:r>
                          <w:rPr>
                            <w:rFonts w:ascii="Cambria Math" w:hAnsi="Cambria Math"/>
                          </w:rPr>
                          <m:t>m</m:t>
                        </m:r>
                      </m:e>
                      <m:sub>
                        <m:r>
                          <m:rPr>
                            <m:sty m:val="p"/>
                          </m:rPr>
                          <w:rPr>
                            <w:rFonts w:ascii="Cambria Math" w:hAnsi="Cambria Math"/>
                          </w:rPr>
                          <m:t>Edxy</m:t>
                        </m:r>
                      </m:sub>
                      <m:sup>
                        <m:r>
                          <m:rPr>
                            <m:sty m:val="p"/>
                          </m:rPr>
                          <w:rPr>
                            <w:rFonts w:ascii="Cambria Math" w:hAnsi="Cambria Math"/>
                          </w:rPr>
                          <m:t>2</m:t>
                        </m:r>
                      </m:sup>
                    </m:sSubSup>
                  </m:e>
                </m:eqArr>
              </m:oMath>
            </m:oMathPara>
          </w:p>
        </w:tc>
        <w:tc>
          <w:tcPr>
            <w:tcW w:w="2805" w:type="dxa"/>
            <w:vAlign w:val="center"/>
          </w:tcPr>
          <w:p w14:paraId="0B0ADF26" w14:textId="4FF7A4A7" w:rsidR="004E22C1" w:rsidRPr="001455DC" w:rsidRDefault="00231E33" w:rsidP="00F77658">
            <w:pPr>
              <w:pStyle w:val="Tablebody"/>
              <w:keepNext/>
              <w:jc w:val="center"/>
            </w:pPr>
            <m:oMathPara>
              <m:oMath>
                <m:sSub>
                  <m:sSubPr>
                    <m:ctrlPr>
                      <w:rPr>
                        <w:rFonts w:ascii="Cambria Math" w:hAnsi="Cambria Math"/>
                      </w:rPr>
                    </m:ctrlPr>
                  </m:sSubPr>
                  <m:e>
                    <m:r>
                      <w:rPr>
                        <w:rFonts w:ascii="Cambria Math" w:hAnsi="Cambria Math"/>
                      </w:rPr>
                      <m:t>m</m:t>
                    </m:r>
                  </m:e>
                  <m:sub>
                    <m:r>
                      <m:rPr>
                        <m:sty m:val="p"/>
                      </m:rPr>
                      <w:rPr>
                        <w:rFonts w:ascii="Cambria Math" w:hAnsi="Cambria Math"/>
                      </w:rPr>
                      <m:t>Rdx</m:t>
                    </m:r>
                  </m:sub>
                </m:sSub>
                <m: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Edx</m:t>
                    </m:r>
                  </m:sub>
                </m:sSub>
                <m:r>
                  <w:rPr>
                    <w:rFonts w:ascii="Cambria Math" w:hAnsi="Cambria Math"/>
                  </w:rPr>
                  <m:t>+</m:t>
                </m:r>
                <m:f>
                  <m:fPr>
                    <m:ctrlPr>
                      <w:rPr>
                        <w:rFonts w:ascii="Cambria Math" w:hAnsi="Cambria Math"/>
                      </w:rPr>
                    </m:ctrlPr>
                  </m:fPr>
                  <m:num>
                    <m:sSubSup>
                      <m:sSubSupPr>
                        <m:ctrlPr>
                          <w:rPr>
                            <w:rFonts w:ascii="Cambria Math" w:hAnsi="Cambria Math"/>
                            <w:i/>
                          </w:rPr>
                        </m:ctrlPr>
                      </m:sSubSupPr>
                      <m:e>
                        <m:r>
                          <w:rPr>
                            <w:rFonts w:ascii="Cambria Math" w:hAnsi="Cambria Math"/>
                          </w:rPr>
                          <m:t>m</m:t>
                        </m:r>
                      </m:e>
                      <m:sub>
                        <m:r>
                          <m:rPr>
                            <m:sty m:val="p"/>
                          </m:rPr>
                          <w:rPr>
                            <w:rFonts w:ascii="Cambria Math" w:hAnsi="Cambria Math"/>
                          </w:rPr>
                          <m:t>Edxy</m:t>
                        </m:r>
                      </m:sub>
                      <m:sup>
                        <m:r>
                          <w:rPr>
                            <w:rFonts w:ascii="Cambria Math" w:hAnsi="Cambria Math"/>
                          </w:rPr>
                          <m:t>2</m:t>
                        </m:r>
                      </m:sup>
                    </m:sSubSup>
                  </m:num>
                  <m:den>
                    <m:d>
                      <m:dPr>
                        <m:begChr m:val="|"/>
                        <m:endChr m:val="|"/>
                        <m:ctrlPr>
                          <w:rPr>
                            <w:rFonts w:ascii="Cambria Math" w:hAnsi="Cambria Math"/>
                          </w:rPr>
                        </m:ctrlPr>
                      </m:dPr>
                      <m:e>
                        <m:sSub>
                          <m:sSubPr>
                            <m:ctrlPr>
                              <w:rPr>
                                <w:rFonts w:ascii="Cambria Math" w:hAnsi="Cambria Math"/>
                              </w:rPr>
                            </m:ctrlPr>
                          </m:sSubPr>
                          <m:e>
                            <m:r>
                              <w:rPr>
                                <w:rFonts w:ascii="Cambria Math" w:hAnsi="Cambria Math"/>
                              </w:rPr>
                              <m:t>m</m:t>
                            </m:r>
                          </m:e>
                          <m:sub>
                            <m:r>
                              <m:rPr>
                                <m:sty m:val="p"/>
                              </m:rPr>
                              <w:rPr>
                                <w:rFonts w:ascii="Cambria Math" w:hAnsi="Cambria Math"/>
                              </w:rPr>
                              <m:t>Edy</m:t>
                            </m:r>
                          </m:sub>
                        </m:sSub>
                      </m:e>
                    </m:d>
                  </m:den>
                </m:f>
              </m:oMath>
            </m:oMathPara>
          </w:p>
        </w:tc>
        <w:tc>
          <w:tcPr>
            <w:tcW w:w="2806" w:type="dxa"/>
            <w:vAlign w:val="center"/>
          </w:tcPr>
          <w:p w14:paraId="3B1F7492" w14:textId="77777777" w:rsidR="004E22C1" w:rsidRPr="001455DC" w:rsidRDefault="004E22C1" w:rsidP="00F77658">
            <w:pPr>
              <w:pStyle w:val="Tablebody"/>
              <w:keepNext/>
              <w:jc w:val="center"/>
            </w:pPr>
            <w:r w:rsidRPr="001455DC">
              <w:t>0</w:t>
            </w:r>
          </w:p>
        </w:tc>
      </w:tr>
      <w:tr w:rsidR="004E22C1" w:rsidRPr="001455DC" w14:paraId="34773C65" w14:textId="77777777" w:rsidTr="00611D67">
        <w:trPr>
          <w:cantSplit/>
        </w:trPr>
        <w:tc>
          <w:tcPr>
            <w:tcW w:w="2805" w:type="dxa"/>
            <w:vAlign w:val="center"/>
          </w:tcPr>
          <w:p w14:paraId="4C4E6B79" w14:textId="1C52A417" w:rsidR="004E22C1" w:rsidRPr="001455DC" w:rsidRDefault="00231E33" w:rsidP="00F77658">
            <w:pPr>
              <w:pStyle w:val="Tablebody"/>
              <w:keepNext/>
              <w:jc w:val="center"/>
            </w:pPr>
            <m:oMathPara>
              <m:oMath>
                <m:eqArr>
                  <m:eqArrPr>
                    <m:ctrlPr>
                      <w:rPr>
                        <w:rFonts w:ascii="Cambria Math" w:hAnsi="Cambria Math"/>
                      </w:rPr>
                    </m:ctrlPr>
                  </m:eqArrPr>
                  <m:e>
                    <m:sSub>
                      <m:sSubPr>
                        <m:ctrlPr>
                          <w:rPr>
                            <w:rFonts w:ascii="Cambria Math" w:hAnsi="Cambria Math"/>
                          </w:rPr>
                        </m:ctrlPr>
                      </m:sSubPr>
                      <m:e>
                        <m:r>
                          <w:rPr>
                            <w:rFonts w:ascii="Cambria Math" w:hAnsi="Cambria Math"/>
                          </w:rPr>
                          <m:t>m</m:t>
                        </m:r>
                      </m:e>
                      <m:sub>
                        <m:r>
                          <m:rPr>
                            <m:sty m:val="p"/>
                          </m:rPr>
                          <w:rPr>
                            <w:rFonts w:ascii="Cambria Math" w:hAnsi="Cambria Math"/>
                          </w:rPr>
                          <m:t>Edx</m:t>
                        </m:r>
                      </m:sub>
                    </m:sSub>
                    <m:r>
                      <m:rPr>
                        <m:sty m:val="p"/>
                      </m:rPr>
                      <w:rPr>
                        <w:rFonts w:ascii="Cambria Math" w:hAnsi="Cambria Math"/>
                      </w:rPr>
                      <m:t>&lt;0</m:t>
                    </m:r>
                  </m:e>
                  <m:e>
                    <m:sSub>
                      <m:sSubPr>
                        <m:ctrlPr>
                          <w:rPr>
                            <w:rFonts w:ascii="Cambria Math" w:hAnsi="Cambria Math"/>
                          </w:rPr>
                        </m:ctrlPr>
                      </m:sSubPr>
                      <m:e>
                        <m:r>
                          <w:rPr>
                            <w:rFonts w:ascii="Cambria Math" w:hAnsi="Cambria Math"/>
                          </w:rPr>
                          <m:t>m</m:t>
                        </m:r>
                      </m:e>
                      <m:sub>
                        <m:r>
                          <m:rPr>
                            <m:sty m:val="p"/>
                          </m:rPr>
                          <w:rPr>
                            <w:rFonts w:ascii="Cambria Math" w:hAnsi="Cambria Math"/>
                          </w:rPr>
                          <m:t>Edy</m:t>
                        </m:r>
                      </m:sub>
                    </m:sSub>
                    <m:r>
                      <m:rPr>
                        <m:sty m:val="p"/>
                      </m:rPr>
                      <w:rPr>
                        <w:rFonts w:ascii="Cambria Math" w:hAnsi="Cambria Math"/>
                      </w:rPr>
                      <m:t>&lt;0</m:t>
                    </m:r>
                  </m:e>
                  <m:e>
                    <m:sSub>
                      <m:sSubPr>
                        <m:ctrlPr>
                          <w:rPr>
                            <w:rFonts w:ascii="Cambria Math" w:hAnsi="Cambria Math"/>
                          </w:rPr>
                        </m:ctrlPr>
                      </m:sSubPr>
                      <m:e>
                        <m:r>
                          <w:rPr>
                            <w:rFonts w:ascii="Cambria Math" w:hAnsi="Cambria Math"/>
                          </w:rPr>
                          <m:t>m</m:t>
                        </m:r>
                      </m:e>
                      <m:sub>
                        <m:r>
                          <m:rPr>
                            <m:sty m:val="p"/>
                          </m:rPr>
                          <w:rPr>
                            <w:rFonts w:ascii="Cambria Math" w:hAnsi="Cambria Math"/>
                          </w:rPr>
                          <m:t>Edx</m:t>
                        </m:r>
                      </m:sub>
                    </m:sSub>
                    <m:sSub>
                      <m:sSubPr>
                        <m:ctrlPr>
                          <w:rPr>
                            <w:rFonts w:ascii="Cambria Math" w:hAnsi="Cambria Math"/>
                          </w:rPr>
                        </m:ctrlPr>
                      </m:sSubPr>
                      <m:e>
                        <m:r>
                          <w:rPr>
                            <w:rFonts w:ascii="Cambria Math" w:hAnsi="Cambria Math"/>
                          </w:rPr>
                          <m:t>m</m:t>
                        </m:r>
                      </m:e>
                      <m:sub>
                        <m:r>
                          <m:rPr>
                            <m:sty m:val="p"/>
                          </m:rPr>
                          <w:rPr>
                            <w:rFonts w:ascii="Cambria Math" w:hAnsi="Cambria Math"/>
                          </w:rPr>
                          <m:t>Edy</m:t>
                        </m:r>
                      </m:sub>
                    </m:sSub>
                    <m:r>
                      <m:rPr>
                        <m:sty m:val="p"/>
                      </m:rPr>
                      <w:rPr>
                        <w:rFonts w:ascii="Cambria Math" w:hAnsi="Cambria Math"/>
                      </w:rPr>
                      <m:t>&gt;</m:t>
                    </m:r>
                    <m:sSubSup>
                      <m:sSubSupPr>
                        <m:ctrlPr>
                          <w:rPr>
                            <w:rFonts w:ascii="Cambria Math" w:hAnsi="Cambria Math"/>
                          </w:rPr>
                        </m:ctrlPr>
                      </m:sSubSupPr>
                      <m:e>
                        <m:r>
                          <w:rPr>
                            <w:rFonts w:ascii="Cambria Math" w:hAnsi="Cambria Math"/>
                          </w:rPr>
                          <m:t>m</m:t>
                        </m:r>
                      </m:e>
                      <m:sub>
                        <m:r>
                          <m:rPr>
                            <m:sty m:val="p"/>
                          </m:rPr>
                          <w:rPr>
                            <w:rFonts w:ascii="Cambria Math" w:hAnsi="Cambria Math"/>
                          </w:rPr>
                          <m:t>Edxy</m:t>
                        </m:r>
                      </m:sub>
                      <m:sup>
                        <m:r>
                          <m:rPr>
                            <m:sty m:val="p"/>
                          </m:rPr>
                          <w:rPr>
                            <w:rFonts w:ascii="Cambria Math" w:hAnsi="Cambria Math"/>
                          </w:rPr>
                          <m:t>2</m:t>
                        </m:r>
                      </m:sup>
                    </m:sSubSup>
                  </m:e>
                </m:eqArr>
              </m:oMath>
            </m:oMathPara>
          </w:p>
        </w:tc>
        <w:tc>
          <w:tcPr>
            <w:tcW w:w="2805" w:type="dxa"/>
            <w:vAlign w:val="center"/>
          </w:tcPr>
          <w:p w14:paraId="777DE642" w14:textId="77777777" w:rsidR="004E22C1" w:rsidRPr="001455DC" w:rsidRDefault="004E22C1" w:rsidP="00F77658">
            <w:pPr>
              <w:pStyle w:val="Tablebody"/>
              <w:keepNext/>
              <w:jc w:val="center"/>
            </w:pPr>
            <w:r w:rsidRPr="001455DC">
              <w:t>0</w:t>
            </w:r>
          </w:p>
        </w:tc>
        <w:tc>
          <w:tcPr>
            <w:tcW w:w="2806" w:type="dxa"/>
            <w:vAlign w:val="center"/>
          </w:tcPr>
          <w:p w14:paraId="33F761FF" w14:textId="77777777" w:rsidR="004E22C1" w:rsidRPr="001455DC" w:rsidRDefault="004E22C1" w:rsidP="00F77658">
            <w:pPr>
              <w:pStyle w:val="Tablebody"/>
              <w:keepNext/>
              <w:jc w:val="center"/>
            </w:pPr>
            <w:r w:rsidRPr="001455DC">
              <w:t>0</w:t>
            </w:r>
          </w:p>
        </w:tc>
      </w:tr>
      <w:tr w:rsidR="004E22C1" w:rsidRPr="001455DC" w14:paraId="15032498" w14:textId="77777777" w:rsidTr="00611D67">
        <w:trPr>
          <w:cnfStyle w:val="010000000000" w:firstRow="0" w:lastRow="1" w:firstColumn="0" w:lastColumn="0" w:oddVBand="0" w:evenVBand="0" w:oddHBand="0" w:evenHBand="0" w:firstRowFirstColumn="0" w:firstRowLastColumn="0" w:lastRowFirstColumn="0" w:lastRowLastColumn="0"/>
          <w:cantSplit/>
        </w:trPr>
        <w:tc>
          <w:tcPr>
            <w:tcW w:w="8416" w:type="dxa"/>
            <w:gridSpan w:val="3"/>
          </w:tcPr>
          <w:p w14:paraId="5D54B07A" w14:textId="77777777" w:rsidR="004E22C1" w:rsidRPr="009D3012" w:rsidRDefault="004E22C1" w:rsidP="00611D67">
            <w:pPr>
              <w:pStyle w:val="Tablefooternote"/>
              <w:rPr>
                <w:lang w:val="en-US"/>
              </w:rPr>
            </w:pPr>
            <w:r w:rsidRPr="009D3012">
              <w:rPr>
                <w:lang w:val="en-US"/>
              </w:rPr>
              <w:t>NOTE</w:t>
            </w:r>
            <w:r w:rsidRPr="009D3012">
              <w:rPr>
                <w:lang w:val="en-US"/>
              </w:rPr>
              <w:tab/>
              <w:t>Hogging moments with negative sign.</w:t>
            </w:r>
          </w:p>
        </w:tc>
      </w:tr>
    </w:tbl>
    <w:p w14:paraId="349FA0C1" w14:textId="77777777" w:rsidR="004E22C1" w:rsidRPr="001455DC" w:rsidRDefault="004E22C1" w:rsidP="00EE26B9">
      <w:pPr>
        <w:pStyle w:val="a7"/>
      </w:pPr>
    </w:p>
    <w:p w14:paraId="6AE6D52B" w14:textId="77777777" w:rsidR="004E22C1" w:rsidRPr="001455DC" w:rsidRDefault="004E22C1" w:rsidP="00EE26B9">
      <w:pPr>
        <w:pStyle w:val="Tabletitle"/>
      </w:pPr>
      <w:bookmarkStart w:id="1572" w:name="_Toc54337598"/>
      <w:r w:rsidRPr="001455DC">
        <w:t>Table G.3</w:t>
      </w:r>
      <w:r w:rsidRPr="001455DC">
        <w:rPr>
          <w:lang w:eastAsia="ja-JP"/>
        </w:rPr>
        <w:t xml:space="preserve"> — </w:t>
      </w:r>
      <w:r w:rsidRPr="001455DC">
        <w:t>Optimum tension reinforcement in top layer expressed as required design moment capacities for slab elements</w:t>
      </w:r>
      <w:bookmarkEnd w:id="1572"/>
    </w:p>
    <w:tbl>
      <w:tblPr>
        <w:tblStyle w:val="53"/>
        <w:tblW w:w="9752" w:type="dxa"/>
        <w:tblLayout w:type="fixed"/>
        <w:tblLook w:val="0660" w:firstRow="1" w:lastRow="1" w:firstColumn="0" w:lastColumn="0" w:noHBand="1" w:noVBand="1"/>
      </w:tblPr>
      <w:tblGrid>
        <w:gridCol w:w="3251"/>
        <w:gridCol w:w="3250"/>
        <w:gridCol w:w="3251"/>
      </w:tblGrid>
      <w:tr w:rsidR="004E22C1" w:rsidRPr="001455DC" w14:paraId="75AB9806" w14:textId="77777777" w:rsidTr="00611D67">
        <w:trPr>
          <w:cnfStyle w:val="100000000000" w:firstRow="1" w:lastRow="0" w:firstColumn="0" w:lastColumn="0" w:oddVBand="0" w:evenVBand="0" w:oddHBand="0" w:evenHBand="0" w:firstRowFirstColumn="0" w:firstRowLastColumn="0" w:lastRowFirstColumn="0" w:lastRowLastColumn="0"/>
          <w:cantSplit/>
          <w:tblHeader/>
        </w:trPr>
        <w:tc>
          <w:tcPr>
            <w:tcW w:w="2805" w:type="dxa"/>
            <w:hideMark/>
          </w:tcPr>
          <w:p w14:paraId="348CB048" w14:textId="77777777" w:rsidR="004E22C1" w:rsidRPr="001455DC" w:rsidRDefault="004E22C1" w:rsidP="00611D67">
            <w:pPr>
              <w:pStyle w:val="Tableheader"/>
            </w:pPr>
            <w:r w:rsidRPr="001455DC">
              <w:t>Conditions</w:t>
            </w:r>
          </w:p>
        </w:tc>
        <w:tc>
          <w:tcPr>
            <w:tcW w:w="2805" w:type="dxa"/>
            <w:hideMark/>
          </w:tcPr>
          <w:p w14:paraId="14539619" w14:textId="15B317A9" w:rsidR="004E22C1" w:rsidRPr="001455DC" w:rsidRDefault="004E22C1" w:rsidP="00611D67">
            <w:pPr>
              <w:pStyle w:val="Tableheader"/>
            </w:pPr>
            <w:r w:rsidRPr="001455DC">
              <w:t xml:space="preserve">Required capacity </w:t>
            </w:r>
            <w:r w:rsidRPr="001455DC">
              <w:rPr>
                <w:rStyle w:val="CCMCvariableitalic"/>
              </w:rPr>
              <w:t>m</w:t>
            </w:r>
            <w:r w:rsidR="00D0076C" w:rsidRPr="001455DC">
              <w:rPr>
                <w:rFonts w:ascii="Cambria Math" w:hAnsi="Cambria Math"/>
              </w:rPr>
              <w:t>′</w:t>
            </w:r>
            <w:r w:rsidRPr="001455DC">
              <w:rPr>
                <w:rStyle w:val="CCMCvariablesubscript"/>
              </w:rPr>
              <w:t>Rdx</w:t>
            </w:r>
          </w:p>
        </w:tc>
        <w:tc>
          <w:tcPr>
            <w:tcW w:w="2806" w:type="dxa"/>
            <w:hideMark/>
          </w:tcPr>
          <w:p w14:paraId="65B1EBAF" w14:textId="07945886" w:rsidR="004E22C1" w:rsidRPr="001455DC" w:rsidRDefault="004E22C1" w:rsidP="00611D67">
            <w:pPr>
              <w:pStyle w:val="Tableheader"/>
            </w:pPr>
            <w:r w:rsidRPr="001455DC">
              <w:t xml:space="preserve">Required capacity </w:t>
            </w:r>
            <w:r w:rsidRPr="001455DC">
              <w:rPr>
                <w:rStyle w:val="CCMCvariableitalic"/>
              </w:rPr>
              <w:t>m</w:t>
            </w:r>
            <w:r w:rsidR="00D0076C" w:rsidRPr="001455DC">
              <w:rPr>
                <w:rFonts w:ascii="Cambria Math" w:hAnsi="Cambria Math"/>
              </w:rPr>
              <w:t>′</w:t>
            </w:r>
            <w:r w:rsidRPr="001455DC">
              <w:rPr>
                <w:rStyle w:val="CCMCvariablesubscript"/>
              </w:rPr>
              <w:t>Rdy</w:t>
            </w:r>
          </w:p>
        </w:tc>
      </w:tr>
      <w:tr w:rsidR="004E22C1" w:rsidRPr="001455DC" w14:paraId="1DFBB0A0" w14:textId="77777777" w:rsidTr="00611D67">
        <w:trPr>
          <w:cantSplit/>
        </w:trPr>
        <w:tc>
          <w:tcPr>
            <w:tcW w:w="2805" w:type="dxa"/>
            <w:vAlign w:val="center"/>
          </w:tcPr>
          <w:p w14:paraId="52F41D42" w14:textId="217F3E3C" w:rsidR="004E22C1" w:rsidRPr="001455DC" w:rsidRDefault="00231E33" w:rsidP="00611D67">
            <w:pPr>
              <w:pStyle w:val="Tablebody"/>
              <w:jc w:val="center"/>
            </w:pPr>
            <m:oMathPara>
              <m:oMath>
                <m:eqArr>
                  <m:eqArrPr>
                    <m:ctrlPr>
                      <w:rPr>
                        <w:rFonts w:ascii="Cambria Math" w:hAnsi="Cambria Math"/>
                      </w:rPr>
                    </m:ctrlPr>
                  </m:eqArrPr>
                  <m:e>
                    <m:sSub>
                      <m:sSubPr>
                        <m:ctrlPr>
                          <w:rPr>
                            <w:rFonts w:ascii="Cambria Math" w:hAnsi="Cambria Math"/>
                          </w:rPr>
                        </m:ctrlPr>
                      </m:sSubPr>
                      <m:e>
                        <m:r>
                          <w:rPr>
                            <w:rFonts w:ascii="Cambria Math" w:hAnsi="Cambria Math"/>
                          </w:rPr>
                          <m:t>m</m:t>
                        </m:r>
                      </m:e>
                      <m:sub>
                        <m:r>
                          <m:rPr>
                            <m:sty m:val="p"/>
                          </m:rPr>
                          <w:rPr>
                            <w:rFonts w:ascii="Cambria Math" w:hAnsi="Cambria Math"/>
                          </w:rPr>
                          <m:t>Edx</m:t>
                        </m:r>
                      </m:sub>
                    </m:sSub>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m</m:t>
                            </m:r>
                          </m:e>
                          <m:sub>
                            <m:r>
                              <m:rPr>
                                <m:sty m:val="p"/>
                              </m:rPr>
                              <w:rPr>
                                <w:rFonts w:ascii="Cambria Math" w:hAnsi="Cambria Math"/>
                              </w:rPr>
                              <m:t>Edxy</m:t>
                            </m:r>
                          </m:sub>
                        </m:sSub>
                      </m:e>
                    </m:d>
                  </m:e>
                  <m:e>
                    <m:sSub>
                      <m:sSubPr>
                        <m:ctrlPr>
                          <w:rPr>
                            <w:rFonts w:ascii="Cambria Math" w:hAnsi="Cambria Math"/>
                          </w:rPr>
                        </m:ctrlPr>
                      </m:sSubPr>
                      <m:e>
                        <m:r>
                          <w:rPr>
                            <w:rFonts w:ascii="Cambria Math" w:hAnsi="Cambria Math"/>
                          </w:rPr>
                          <m:t>m</m:t>
                        </m:r>
                      </m:e>
                      <m:sub>
                        <m:r>
                          <m:rPr>
                            <m:sty m:val="p"/>
                          </m:rPr>
                          <w:rPr>
                            <w:rFonts w:ascii="Cambria Math" w:hAnsi="Cambria Math"/>
                          </w:rPr>
                          <m:t>Edy</m:t>
                        </m:r>
                      </m:sub>
                    </m:sSub>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m</m:t>
                            </m:r>
                          </m:e>
                          <m:sub>
                            <m:r>
                              <m:rPr>
                                <m:sty m:val="p"/>
                              </m:rPr>
                              <w:rPr>
                                <w:rFonts w:ascii="Cambria Math" w:hAnsi="Cambria Math"/>
                              </w:rPr>
                              <m:t>Edxy</m:t>
                            </m:r>
                          </m:sub>
                        </m:sSub>
                      </m:e>
                    </m:d>
                  </m:e>
                </m:eqArr>
              </m:oMath>
            </m:oMathPara>
          </w:p>
        </w:tc>
        <w:tc>
          <w:tcPr>
            <w:tcW w:w="2805" w:type="dxa"/>
            <w:vAlign w:val="center"/>
            <w:hideMark/>
          </w:tcPr>
          <w:p w14:paraId="7A134936" w14:textId="211C4703" w:rsidR="004E22C1" w:rsidRPr="001455DC" w:rsidRDefault="00D0076C" w:rsidP="00611D67">
            <w:pPr>
              <w:pStyle w:val="Tablebody"/>
              <w:jc w:val="center"/>
            </w:pPr>
            <m:oMathPara>
              <m:oMath>
                <m:r>
                  <w:rPr>
                    <w:rFonts w:ascii="Cambria Math" w:hAnsi="Cambria Math"/>
                  </w:rPr>
                  <m:t>m</m:t>
                </m:r>
                <m:sSub>
                  <m:sSubPr>
                    <m:ctrlPr>
                      <w:rPr>
                        <w:rFonts w:ascii="Cambria Math" w:hAnsi="Cambria Math"/>
                      </w:rPr>
                    </m:ctrlPr>
                  </m:sSubPr>
                  <m:e>
                    <m:r>
                      <w:rPr>
                        <w:rFonts w:ascii="Cambria Math" w:hAnsi="Cambria Math"/>
                      </w:rPr>
                      <m:t>'</m:t>
                    </m:r>
                  </m:e>
                  <m:sub>
                    <m:r>
                      <m:rPr>
                        <m:sty m:val="p"/>
                      </m:rPr>
                      <w:rPr>
                        <w:rFonts w:ascii="Cambria Math" w:hAnsi="Cambria Math"/>
                      </w:rPr>
                      <m:t>Rdx</m:t>
                    </m:r>
                  </m:sub>
                </m:sSub>
                <m: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Edx</m:t>
                    </m:r>
                  </m:sub>
                </m:sSub>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m</m:t>
                        </m:r>
                      </m:e>
                      <m:sub>
                        <m:r>
                          <m:rPr>
                            <m:sty m:val="p"/>
                          </m:rPr>
                          <w:rPr>
                            <w:rFonts w:ascii="Cambria Math" w:hAnsi="Cambria Math"/>
                          </w:rPr>
                          <m:t>Edxy</m:t>
                        </m:r>
                      </m:sub>
                    </m:sSub>
                  </m:e>
                </m:d>
              </m:oMath>
            </m:oMathPara>
          </w:p>
        </w:tc>
        <w:tc>
          <w:tcPr>
            <w:tcW w:w="2806" w:type="dxa"/>
            <w:vAlign w:val="center"/>
            <w:hideMark/>
          </w:tcPr>
          <w:p w14:paraId="50EC8D75" w14:textId="5A441A01" w:rsidR="004E22C1" w:rsidRPr="001455DC" w:rsidRDefault="00D0076C" w:rsidP="00611D67">
            <w:pPr>
              <w:pStyle w:val="Tablebody"/>
              <w:jc w:val="center"/>
            </w:pPr>
            <m:oMathPara>
              <m:oMath>
                <m:r>
                  <w:rPr>
                    <w:rFonts w:ascii="Cambria Math" w:hAnsi="Cambria Math"/>
                  </w:rPr>
                  <m:t>m</m:t>
                </m:r>
                <m:sSub>
                  <m:sSubPr>
                    <m:ctrlPr>
                      <w:rPr>
                        <w:rFonts w:ascii="Cambria Math" w:hAnsi="Cambria Math"/>
                      </w:rPr>
                    </m:ctrlPr>
                  </m:sSubPr>
                  <m:e>
                    <m:r>
                      <w:rPr>
                        <w:rFonts w:ascii="Cambria Math" w:hAnsi="Cambria Math"/>
                      </w:rPr>
                      <m:t>'</m:t>
                    </m:r>
                  </m:e>
                  <m:sub>
                    <m:r>
                      <m:rPr>
                        <m:sty m:val="p"/>
                      </m:rPr>
                      <w:rPr>
                        <w:rFonts w:ascii="Cambria Math" w:hAnsi="Cambria Math"/>
                      </w:rPr>
                      <m:t>Rdy</m:t>
                    </m:r>
                  </m:sub>
                </m:sSub>
                <m: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Edy</m:t>
                    </m:r>
                  </m:sub>
                </m:sSub>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m</m:t>
                        </m:r>
                      </m:e>
                      <m:sub>
                        <m:r>
                          <m:rPr>
                            <m:sty m:val="p"/>
                          </m:rPr>
                          <w:rPr>
                            <w:rFonts w:ascii="Cambria Math" w:hAnsi="Cambria Math"/>
                          </w:rPr>
                          <m:t>Edxy</m:t>
                        </m:r>
                      </m:sub>
                    </m:sSub>
                  </m:e>
                </m:d>
              </m:oMath>
            </m:oMathPara>
          </w:p>
        </w:tc>
      </w:tr>
      <w:tr w:rsidR="004E22C1" w:rsidRPr="001455DC" w14:paraId="07AD7657" w14:textId="77777777" w:rsidTr="00611D67">
        <w:trPr>
          <w:cantSplit/>
        </w:trPr>
        <w:tc>
          <w:tcPr>
            <w:tcW w:w="2805" w:type="dxa"/>
            <w:vAlign w:val="center"/>
            <w:hideMark/>
          </w:tcPr>
          <w:p w14:paraId="5BB3ABE9" w14:textId="05721415" w:rsidR="004E22C1" w:rsidRPr="001455DC" w:rsidRDefault="00231E33" w:rsidP="00611D67">
            <w:pPr>
              <w:pStyle w:val="Tablebody"/>
              <w:jc w:val="center"/>
            </w:pPr>
            <m:oMathPara>
              <m:oMath>
                <m:eqArr>
                  <m:eqArrPr>
                    <m:ctrlPr>
                      <w:rPr>
                        <w:rFonts w:ascii="Cambria Math" w:hAnsi="Cambria Math"/>
                      </w:rPr>
                    </m:ctrlPr>
                  </m:eqArrPr>
                  <m:e>
                    <m:sSub>
                      <m:sSubPr>
                        <m:ctrlPr>
                          <w:rPr>
                            <w:rFonts w:ascii="Cambria Math" w:hAnsi="Cambria Math"/>
                          </w:rPr>
                        </m:ctrlPr>
                      </m:sSubPr>
                      <m:e>
                        <m:r>
                          <w:rPr>
                            <w:rFonts w:ascii="Cambria Math" w:hAnsi="Cambria Math"/>
                          </w:rPr>
                          <m:t>m</m:t>
                        </m:r>
                      </m:e>
                      <m:sub>
                        <m:r>
                          <m:rPr>
                            <m:sty m:val="p"/>
                          </m:rPr>
                          <w:rPr>
                            <w:rFonts w:ascii="Cambria Math" w:hAnsi="Cambria Math"/>
                          </w:rPr>
                          <m:t>Edx</m:t>
                        </m:r>
                      </m:sub>
                    </m:sSub>
                    <m: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Edy</m:t>
                        </m:r>
                      </m:sub>
                    </m:sSub>
                  </m:e>
                  <m:e>
                    <m:sSub>
                      <m:sSubPr>
                        <m:ctrlPr>
                          <w:rPr>
                            <w:rFonts w:ascii="Cambria Math" w:hAnsi="Cambria Math"/>
                          </w:rPr>
                        </m:ctrlPr>
                      </m:sSubPr>
                      <m:e>
                        <m:r>
                          <w:rPr>
                            <w:rFonts w:ascii="Cambria Math" w:hAnsi="Cambria Math"/>
                          </w:rPr>
                          <m:t>m</m:t>
                        </m:r>
                      </m:e>
                      <m:sub>
                        <m:r>
                          <m:rPr>
                            <m:sty m:val="p"/>
                          </m:rPr>
                          <w:rPr>
                            <w:rFonts w:ascii="Cambria Math" w:hAnsi="Cambria Math"/>
                          </w:rPr>
                          <m:t>Edx</m:t>
                        </m:r>
                      </m:sub>
                    </m:sSub>
                    <m:r>
                      <w:rPr>
                        <w:rFonts w:ascii="Cambria Math" w:hAnsi="Cambria Math"/>
                      </w:rPr>
                      <m:t>&gt;</m:t>
                    </m:r>
                    <m:d>
                      <m:dPr>
                        <m:begChr m:val="|"/>
                        <m:endChr m:val="|"/>
                        <m:ctrlPr>
                          <w:rPr>
                            <w:rFonts w:ascii="Cambria Math" w:hAnsi="Cambria Math"/>
                          </w:rPr>
                        </m:ctrlPr>
                      </m:dPr>
                      <m:e>
                        <m:sSub>
                          <m:sSubPr>
                            <m:ctrlPr>
                              <w:rPr>
                                <w:rFonts w:ascii="Cambria Math" w:hAnsi="Cambria Math"/>
                              </w:rPr>
                            </m:ctrlPr>
                          </m:sSubPr>
                          <m:e>
                            <m:r>
                              <w:rPr>
                                <w:rFonts w:ascii="Cambria Math" w:hAnsi="Cambria Math"/>
                              </w:rPr>
                              <m:t>m</m:t>
                            </m:r>
                          </m:e>
                          <m:sub>
                            <m:r>
                              <m:rPr>
                                <m:sty m:val="p"/>
                              </m:rPr>
                              <w:rPr>
                                <w:rFonts w:ascii="Cambria Math" w:hAnsi="Cambria Math"/>
                              </w:rPr>
                              <m:t>Edxy</m:t>
                            </m:r>
                          </m:sub>
                        </m:sSub>
                      </m:e>
                    </m:d>
                  </m:e>
                  <m:e>
                    <m:sSub>
                      <m:sSubPr>
                        <m:ctrlPr>
                          <w:rPr>
                            <w:rFonts w:ascii="Cambria Math" w:hAnsi="Cambria Math"/>
                          </w:rPr>
                        </m:ctrlPr>
                      </m:sSubPr>
                      <m:e>
                        <m:r>
                          <w:rPr>
                            <w:rFonts w:ascii="Cambria Math" w:hAnsi="Cambria Math"/>
                          </w:rPr>
                          <m:t>m</m:t>
                        </m:r>
                      </m:e>
                      <m:sub>
                        <m:r>
                          <m:rPr>
                            <m:sty m:val="p"/>
                          </m:rPr>
                          <w:rPr>
                            <w:rFonts w:ascii="Cambria Math" w:hAnsi="Cambria Math"/>
                          </w:rPr>
                          <m:t>Edx</m:t>
                        </m:r>
                      </m:sub>
                    </m:sSub>
                    <m:sSub>
                      <m:sSubPr>
                        <m:ctrlPr>
                          <w:rPr>
                            <w:rFonts w:ascii="Cambria Math" w:hAnsi="Cambria Math"/>
                          </w:rPr>
                        </m:ctrlPr>
                      </m:sSubPr>
                      <m:e>
                        <m:r>
                          <w:rPr>
                            <w:rFonts w:ascii="Cambria Math" w:hAnsi="Cambria Math"/>
                          </w:rPr>
                          <m:t>m</m:t>
                        </m:r>
                      </m:e>
                      <m:sub>
                        <m:r>
                          <m:rPr>
                            <m:sty m:val="p"/>
                          </m:rPr>
                          <w:rPr>
                            <w:rFonts w:ascii="Cambria Math" w:hAnsi="Cambria Math"/>
                          </w:rPr>
                          <m:t>Edy</m:t>
                        </m:r>
                      </m:sub>
                    </m:sSub>
                    <m:r>
                      <w:rPr>
                        <w:rFonts w:ascii="Cambria Math" w:hAnsi="Cambria Math"/>
                      </w:rPr>
                      <m:t>≤</m:t>
                    </m:r>
                    <m:sSubSup>
                      <m:sSubSupPr>
                        <m:ctrlPr>
                          <w:rPr>
                            <w:rFonts w:ascii="Cambria Math" w:hAnsi="Cambria Math"/>
                          </w:rPr>
                        </m:ctrlPr>
                      </m:sSubSupPr>
                      <m:e>
                        <m:r>
                          <w:rPr>
                            <w:rFonts w:ascii="Cambria Math" w:hAnsi="Cambria Math"/>
                          </w:rPr>
                          <m:t>m</m:t>
                        </m:r>
                      </m:e>
                      <m:sub>
                        <m:r>
                          <m:rPr>
                            <m:sty m:val="p"/>
                          </m:rPr>
                          <w:rPr>
                            <w:rFonts w:ascii="Cambria Math" w:hAnsi="Cambria Math"/>
                          </w:rPr>
                          <m:t>Edxy</m:t>
                        </m:r>
                      </m:sub>
                      <m:sup>
                        <m:r>
                          <w:rPr>
                            <w:rFonts w:ascii="Cambria Math" w:hAnsi="Cambria Math"/>
                          </w:rPr>
                          <m:t>2</m:t>
                        </m:r>
                      </m:sup>
                    </m:sSubSup>
                  </m:e>
                </m:eqArr>
              </m:oMath>
            </m:oMathPara>
          </w:p>
        </w:tc>
        <w:tc>
          <w:tcPr>
            <w:tcW w:w="2805" w:type="dxa"/>
            <w:vAlign w:val="center"/>
            <w:hideMark/>
          </w:tcPr>
          <w:p w14:paraId="16D6F5EB" w14:textId="77777777" w:rsidR="004E22C1" w:rsidRPr="001455DC" w:rsidRDefault="004E22C1" w:rsidP="00611D67">
            <w:pPr>
              <w:pStyle w:val="Tablebody"/>
              <w:jc w:val="center"/>
            </w:pPr>
            <w:r w:rsidRPr="001455DC">
              <w:t>0</w:t>
            </w:r>
          </w:p>
        </w:tc>
        <w:tc>
          <w:tcPr>
            <w:tcW w:w="2806" w:type="dxa"/>
            <w:vAlign w:val="center"/>
            <w:hideMark/>
          </w:tcPr>
          <w:p w14:paraId="4FA4FDE7" w14:textId="27072E9F" w:rsidR="004E22C1" w:rsidRPr="001455DC" w:rsidRDefault="00D0076C" w:rsidP="00611D67">
            <w:pPr>
              <w:pStyle w:val="Tablebody"/>
              <w:jc w:val="center"/>
            </w:pPr>
            <m:oMathPara>
              <m:oMath>
                <m:r>
                  <w:rPr>
                    <w:rFonts w:ascii="Cambria Math" w:hAnsi="Cambria Math"/>
                  </w:rPr>
                  <m:t>m</m:t>
                </m:r>
                <m:sSub>
                  <m:sSubPr>
                    <m:ctrlPr>
                      <w:rPr>
                        <w:rFonts w:ascii="Cambria Math" w:hAnsi="Cambria Math"/>
                      </w:rPr>
                    </m:ctrlPr>
                  </m:sSubPr>
                  <m:e>
                    <m:r>
                      <w:rPr>
                        <w:rFonts w:ascii="Cambria Math" w:hAnsi="Cambria Math"/>
                      </w:rPr>
                      <m:t>'</m:t>
                    </m:r>
                  </m:e>
                  <m:sub>
                    <m:r>
                      <m:rPr>
                        <m:sty m:val="p"/>
                      </m:rPr>
                      <w:rPr>
                        <w:rFonts w:ascii="Cambria Math" w:hAnsi="Cambria Math"/>
                      </w:rPr>
                      <m:t>Rdy</m:t>
                    </m:r>
                  </m:sub>
                </m:sSub>
                <m: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Edy</m:t>
                    </m:r>
                  </m:sub>
                </m:sSub>
                <m:r>
                  <w:rPr>
                    <w:rFonts w:ascii="Cambria Math" w:hAnsi="Cambria Math"/>
                  </w:rPr>
                  <m:t>+</m:t>
                </m:r>
                <m:f>
                  <m:fPr>
                    <m:ctrlPr>
                      <w:rPr>
                        <w:rFonts w:ascii="Cambria Math" w:hAnsi="Cambria Math"/>
                      </w:rPr>
                    </m:ctrlPr>
                  </m:fPr>
                  <m:num>
                    <m:sSubSup>
                      <m:sSubSupPr>
                        <m:ctrlPr>
                          <w:rPr>
                            <w:rFonts w:ascii="Cambria Math" w:hAnsi="Cambria Math"/>
                            <w:i/>
                          </w:rPr>
                        </m:ctrlPr>
                      </m:sSubSupPr>
                      <m:e>
                        <m:r>
                          <w:rPr>
                            <w:rFonts w:ascii="Cambria Math" w:hAnsi="Cambria Math"/>
                          </w:rPr>
                          <m:t>m</m:t>
                        </m:r>
                      </m:e>
                      <m:sub>
                        <m:r>
                          <m:rPr>
                            <m:sty m:val="p"/>
                          </m:rPr>
                          <w:rPr>
                            <w:rFonts w:ascii="Cambria Math" w:hAnsi="Cambria Math"/>
                          </w:rPr>
                          <m:t>Edxy</m:t>
                        </m:r>
                      </m:sub>
                      <m:sup>
                        <m:r>
                          <w:rPr>
                            <w:rFonts w:ascii="Cambria Math" w:hAnsi="Cambria Math"/>
                          </w:rPr>
                          <m:t>2</m:t>
                        </m:r>
                      </m:sup>
                    </m:sSubSup>
                  </m:num>
                  <m:den>
                    <m:d>
                      <m:dPr>
                        <m:begChr m:val="|"/>
                        <m:endChr m:val="|"/>
                        <m:ctrlPr>
                          <w:rPr>
                            <w:rFonts w:ascii="Cambria Math" w:hAnsi="Cambria Math"/>
                          </w:rPr>
                        </m:ctrlPr>
                      </m:dPr>
                      <m:e>
                        <m:sSub>
                          <m:sSubPr>
                            <m:ctrlPr>
                              <w:rPr>
                                <w:rFonts w:ascii="Cambria Math" w:hAnsi="Cambria Math"/>
                              </w:rPr>
                            </m:ctrlPr>
                          </m:sSubPr>
                          <m:e>
                            <m:r>
                              <w:rPr>
                                <w:rFonts w:ascii="Cambria Math" w:hAnsi="Cambria Math"/>
                              </w:rPr>
                              <m:t>m</m:t>
                            </m:r>
                          </m:e>
                          <m:sub>
                            <m:r>
                              <m:rPr>
                                <m:sty m:val="p"/>
                              </m:rPr>
                              <w:rPr>
                                <w:rFonts w:ascii="Cambria Math" w:hAnsi="Cambria Math"/>
                              </w:rPr>
                              <m:t>Edx</m:t>
                            </m:r>
                          </m:sub>
                        </m:sSub>
                      </m:e>
                    </m:d>
                  </m:den>
                </m:f>
              </m:oMath>
            </m:oMathPara>
          </w:p>
        </w:tc>
      </w:tr>
      <w:tr w:rsidR="004E22C1" w:rsidRPr="001455DC" w14:paraId="4500A55A" w14:textId="77777777" w:rsidTr="00611D67">
        <w:trPr>
          <w:cantSplit/>
        </w:trPr>
        <w:tc>
          <w:tcPr>
            <w:tcW w:w="2805" w:type="dxa"/>
            <w:vAlign w:val="center"/>
            <w:hideMark/>
          </w:tcPr>
          <w:p w14:paraId="24A19EE8" w14:textId="2F9DA316" w:rsidR="004E22C1" w:rsidRPr="001455DC" w:rsidRDefault="00231E33" w:rsidP="00611D67">
            <w:pPr>
              <w:pStyle w:val="Tablebody"/>
              <w:jc w:val="center"/>
            </w:pPr>
            <m:oMathPara>
              <m:oMath>
                <m:eqArr>
                  <m:eqArrPr>
                    <m:ctrlPr>
                      <w:rPr>
                        <w:rFonts w:ascii="Cambria Math" w:hAnsi="Cambria Math"/>
                      </w:rPr>
                    </m:ctrlPr>
                  </m:eqArrPr>
                  <m:e>
                    <m:sSub>
                      <m:sSubPr>
                        <m:ctrlPr>
                          <w:rPr>
                            <w:rFonts w:ascii="Cambria Math" w:hAnsi="Cambria Math"/>
                          </w:rPr>
                        </m:ctrlPr>
                      </m:sSubPr>
                      <m:e>
                        <m:r>
                          <w:rPr>
                            <w:rFonts w:ascii="Cambria Math" w:hAnsi="Cambria Math"/>
                          </w:rPr>
                          <m:t>m</m:t>
                        </m:r>
                      </m:e>
                      <m:sub>
                        <m:r>
                          <m:rPr>
                            <m:sty m:val="p"/>
                          </m:rPr>
                          <w:rPr>
                            <w:rFonts w:ascii="Cambria Math" w:hAnsi="Cambria Math"/>
                          </w:rPr>
                          <m:t>Edx</m:t>
                        </m:r>
                      </m:sub>
                    </m:sSub>
                    <m: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Edy</m:t>
                        </m:r>
                      </m:sub>
                    </m:sSub>
                  </m:e>
                  <m:e>
                    <m:sSub>
                      <m:sSubPr>
                        <m:ctrlPr>
                          <w:rPr>
                            <w:rFonts w:ascii="Cambria Math" w:hAnsi="Cambria Math"/>
                          </w:rPr>
                        </m:ctrlPr>
                      </m:sSubPr>
                      <m:e>
                        <m:r>
                          <w:rPr>
                            <w:rFonts w:ascii="Cambria Math" w:hAnsi="Cambria Math"/>
                          </w:rPr>
                          <m:t>m</m:t>
                        </m:r>
                      </m:e>
                      <m:sub>
                        <m:r>
                          <m:rPr>
                            <m:sty m:val="p"/>
                          </m:rPr>
                          <w:rPr>
                            <w:rFonts w:ascii="Cambria Math" w:hAnsi="Cambria Math"/>
                          </w:rPr>
                          <m:t>Edy</m:t>
                        </m:r>
                      </m:sub>
                    </m:sSub>
                    <m:r>
                      <w:rPr>
                        <w:rFonts w:ascii="Cambria Math" w:hAnsi="Cambria Math"/>
                      </w:rPr>
                      <m:t>&gt;</m:t>
                    </m:r>
                    <m:d>
                      <m:dPr>
                        <m:begChr m:val="|"/>
                        <m:endChr m:val="|"/>
                        <m:ctrlPr>
                          <w:rPr>
                            <w:rFonts w:ascii="Cambria Math" w:hAnsi="Cambria Math"/>
                          </w:rPr>
                        </m:ctrlPr>
                      </m:dPr>
                      <m:e>
                        <m:sSub>
                          <m:sSubPr>
                            <m:ctrlPr>
                              <w:rPr>
                                <w:rFonts w:ascii="Cambria Math" w:hAnsi="Cambria Math"/>
                              </w:rPr>
                            </m:ctrlPr>
                          </m:sSubPr>
                          <m:e>
                            <m:r>
                              <w:rPr>
                                <w:rFonts w:ascii="Cambria Math" w:hAnsi="Cambria Math"/>
                              </w:rPr>
                              <m:t>m</m:t>
                            </m:r>
                          </m:e>
                          <m:sub>
                            <m:r>
                              <m:rPr>
                                <m:sty m:val="p"/>
                              </m:rPr>
                              <w:rPr>
                                <w:rFonts w:ascii="Cambria Math" w:hAnsi="Cambria Math"/>
                              </w:rPr>
                              <m:t>Edxy</m:t>
                            </m:r>
                          </m:sub>
                        </m:sSub>
                      </m:e>
                    </m:d>
                  </m:e>
                  <m:e>
                    <m:sSub>
                      <m:sSubPr>
                        <m:ctrlPr>
                          <w:rPr>
                            <w:rFonts w:ascii="Cambria Math" w:hAnsi="Cambria Math"/>
                          </w:rPr>
                        </m:ctrlPr>
                      </m:sSubPr>
                      <m:e>
                        <m:r>
                          <w:rPr>
                            <w:rFonts w:ascii="Cambria Math" w:hAnsi="Cambria Math"/>
                          </w:rPr>
                          <m:t>m</m:t>
                        </m:r>
                      </m:e>
                      <m:sub>
                        <m:r>
                          <m:rPr>
                            <m:sty m:val="p"/>
                          </m:rPr>
                          <w:rPr>
                            <w:rFonts w:ascii="Cambria Math" w:hAnsi="Cambria Math"/>
                          </w:rPr>
                          <m:t>Edx</m:t>
                        </m:r>
                      </m:sub>
                    </m:sSub>
                    <m:sSub>
                      <m:sSubPr>
                        <m:ctrlPr>
                          <w:rPr>
                            <w:rFonts w:ascii="Cambria Math" w:hAnsi="Cambria Math"/>
                          </w:rPr>
                        </m:ctrlPr>
                      </m:sSubPr>
                      <m:e>
                        <m:r>
                          <w:rPr>
                            <w:rFonts w:ascii="Cambria Math" w:hAnsi="Cambria Math"/>
                          </w:rPr>
                          <m:t>m</m:t>
                        </m:r>
                      </m:e>
                      <m:sub>
                        <m:r>
                          <m:rPr>
                            <m:sty m:val="p"/>
                          </m:rPr>
                          <w:rPr>
                            <w:rFonts w:ascii="Cambria Math" w:hAnsi="Cambria Math"/>
                          </w:rPr>
                          <m:t>Edy</m:t>
                        </m:r>
                      </m:sub>
                    </m:sSub>
                    <m:r>
                      <w:rPr>
                        <w:rFonts w:ascii="Cambria Math" w:hAnsi="Cambria Math"/>
                      </w:rPr>
                      <m:t>≤</m:t>
                    </m:r>
                    <m:sSubSup>
                      <m:sSubSupPr>
                        <m:ctrlPr>
                          <w:rPr>
                            <w:rFonts w:ascii="Cambria Math" w:hAnsi="Cambria Math"/>
                          </w:rPr>
                        </m:ctrlPr>
                      </m:sSubSupPr>
                      <m:e>
                        <m:r>
                          <w:rPr>
                            <w:rFonts w:ascii="Cambria Math" w:hAnsi="Cambria Math"/>
                          </w:rPr>
                          <m:t>m</m:t>
                        </m:r>
                      </m:e>
                      <m:sub>
                        <m:r>
                          <m:rPr>
                            <m:sty m:val="p"/>
                          </m:rPr>
                          <w:rPr>
                            <w:rFonts w:ascii="Cambria Math" w:hAnsi="Cambria Math"/>
                          </w:rPr>
                          <m:t>Edxy</m:t>
                        </m:r>
                      </m:sub>
                      <m:sup>
                        <m:r>
                          <w:rPr>
                            <w:rFonts w:ascii="Cambria Math" w:hAnsi="Cambria Math"/>
                          </w:rPr>
                          <m:t>2</m:t>
                        </m:r>
                      </m:sup>
                    </m:sSubSup>
                  </m:e>
                </m:eqArr>
              </m:oMath>
            </m:oMathPara>
          </w:p>
        </w:tc>
        <w:tc>
          <w:tcPr>
            <w:tcW w:w="2805" w:type="dxa"/>
            <w:vAlign w:val="center"/>
            <w:hideMark/>
          </w:tcPr>
          <w:p w14:paraId="6759DFB4" w14:textId="57F479F2" w:rsidR="004E22C1" w:rsidRPr="001455DC" w:rsidRDefault="00D0076C" w:rsidP="00611D67">
            <w:pPr>
              <w:pStyle w:val="Tablebody"/>
              <w:jc w:val="center"/>
            </w:pPr>
            <m:oMathPara>
              <m:oMath>
                <m:r>
                  <w:rPr>
                    <w:rFonts w:ascii="Cambria Math" w:hAnsi="Cambria Math"/>
                  </w:rPr>
                  <m:t>m</m:t>
                </m:r>
                <m:sSub>
                  <m:sSubPr>
                    <m:ctrlPr>
                      <w:rPr>
                        <w:rFonts w:ascii="Cambria Math" w:hAnsi="Cambria Math"/>
                      </w:rPr>
                    </m:ctrlPr>
                  </m:sSubPr>
                  <m:e>
                    <m:r>
                      <w:rPr>
                        <w:rFonts w:ascii="Cambria Math" w:hAnsi="Cambria Math"/>
                      </w:rPr>
                      <m:t>'</m:t>
                    </m:r>
                  </m:e>
                  <m:sub>
                    <m:r>
                      <m:rPr>
                        <m:sty m:val="p"/>
                      </m:rPr>
                      <w:rPr>
                        <w:rFonts w:ascii="Cambria Math" w:hAnsi="Cambria Math"/>
                      </w:rPr>
                      <m:t>Rdx</m:t>
                    </m:r>
                  </m:sub>
                </m:sSub>
                <m: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Edx</m:t>
                    </m:r>
                  </m:sub>
                </m:sSub>
                <m: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m</m:t>
                        </m:r>
                      </m:e>
                      <m:sub>
                        <m:r>
                          <m:rPr>
                            <m:sty m:val="p"/>
                          </m:rPr>
                          <w:rPr>
                            <w:rFonts w:ascii="Cambria Math" w:hAnsi="Cambria Math"/>
                          </w:rPr>
                          <m:t>Edxy</m:t>
                        </m:r>
                      </m:sub>
                      <m:sup>
                        <m:r>
                          <w:rPr>
                            <w:rFonts w:ascii="Cambria Math" w:hAnsi="Cambria Math"/>
                          </w:rPr>
                          <m:t>2</m:t>
                        </m:r>
                      </m:sup>
                    </m:sSubSup>
                  </m:num>
                  <m:den>
                    <m:d>
                      <m:dPr>
                        <m:begChr m:val="|"/>
                        <m:endChr m:val="|"/>
                        <m:ctrlPr>
                          <w:rPr>
                            <w:rFonts w:ascii="Cambria Math" w:hAnsi="Cambria Math"/>
                          </w:rPr>
                        </m:ctrlPr>
                      </m:dPr>
                      <m:e>
                        <m:sSub>
                          <m:sSubPr>
                            <m:ctrlPr>
                              <w:rPr>
                                <w:rFonts w:ascii="Cambria Math" w:hAnsi="Cambria Math"/>
                              </w:rPr>
                            </m:ctrlPr>
                          </m:sSubPr>
                          <m:e>
                            <m:r>
                              <w:rPr>
                                <w:rFonts w:ascii="Cambria Math" w:hAnsi="Cambria Math"/>
                              </w:rPr>
                              <m:t>m</m:t>
                            </m:r>
                          </m:e>
                          <m:sub>
                            <m:r>
                              <m:rPr>
                                <m:sty m:val="p"/>
                              </m:rPr>
                              <w:rPr>
                                <w:rFonts w:ascii="Cambria Math" w:hAnsi="Cambria Math"/>
                              </w:rPr>
                              <m:t>Edy</m:t>
                            </m:r>
                          </m:sub>
                        </m:sSub>
                      </m:e>
                    </m:d>
                  </m:den>
                </m:f>
              </m:oMath>
            </m:oMathPara>
          </w:p>
        </w:tc>
        <w:tc>
          <w:tcPr>
            <w:tcW w:w="2806" w:type="dxa"/>
            <w:vAlign w:val="center"/>
            <w:hideMark/>
          </w:tcPr>
          <w:p w14:paraId="7DE7E9C8" w14:textId="77777777" w:rsidR="004E22C1" w:rsidRPr="001455DC" w:rsidRDefault="004E22C1" w:rsidP="00611D67">
            <w:pPr>
              <w:pStyle w:val="Tablebody"/>
              <w:jc w:val="center"/>
            </w:pPr>
            <w:r w:rsidRPr="001455DC">
              <w:t>0</w:t>
            </w:r>
          </w:p>
        </w:tc>
      </w:tr>
      <w:tr w:rsidR="004E22C1" w:rsidRPr="001455DC" w14:paraId="18F9246A" w14:textId="77777777" w:rsidTr="00611D67">
        <w:trPr>
          <w:cantSplit/>
        </w:trPr>
        <w:tc>
          <w:tcPr>
            <w:tcW w:w="2805" w:type="dxa"/>
            <w:vAlign w:val="center"/>
            <w:hideMark/>
          </w:tcPr>
          <w:p w14:paraId="44D445BC" w14:textId="46FF8370" w:rsidR="004E22C1" w:rsidRPr="001455DC" w:rsidRDefault="00231E33" w:rsidP="00611D67">
            <w:pPr>
              <w:pStyle w:val="Tablebody"/>
              <w:jc w:val="center"/>
            </w:pPr>
            <m:oMathPara>
              <m:oMath>
                <m:eqArr>
                  <m:eqArrPr>
                    <m:ctrlPr>
                      <w:rPr>
                        <w:rFonts w:ascii="Cambria Math" w:hAnsi="Cambria Math"/>
                      </w:rPr>
                    </m:ctrlPr>
                  </m:eqArrPr>
                  <m:e>
                    <m:sSub>
                      <m:sSubPr>
                        <m:ctrlPr>
                          <w:rPr>
                            <w:rFonts w:ascii="Cambria Math" w:hAnsi="Cambria Math"/>
                          </w:rPr>
                        </m:ctrlPr>
                      </m:sSubPr>
                      <m:e>
                        <m:r>
                          <w:rPr>
                            <w:rFonts w:ascii="Cambria Math" w:hAnsi="Cambria Math"/>
                          </w:rPr>
                          <m:t>m</m:t>
                        </m:r>
                      </m:e>
                      <m:sub>
                        <m:r>
                          <m:rPr>
                            <m:sty m:val="p"/>
                          </m:rPr>
                          <w:rPr>
                            <w:rFonts w:ascii="Cambria Math" w:hAnsi="Cambria Math"/>
                          </w:rPr>
                          <m:t>Edx</m:t>
                        </m:r>
                      </m:sub>
                    </m:sSub>
                    <m:r>
                      <w:rPr>
                        <w:rFonts w:ascii="Cambria Math" w:hAnsi="Cambria Math"/>
                      </w:rPr>
                      <m:t>&gt;0</m:t>
                    </m:r>
                  </m:e>
                  <m:e>
                    <m:sSub>
                      <m:sSubPr>
                        <m:ctrlPr>
                          <w:rPr>
                            <w:rFonts w:ascii="Cambria Math" w:hAnsi="Cambria Math"/>
                          </w:rPr>
                        </m:ctrlPr>
                      </m:sSubPr>
                      <m:e>
                        <m:r>
                          <w:rPr>
                            <w:rFonts w:ascii="Cambria Math" w:hAnsi="Cambria Math"/>
                          </w:rPr>
                          <m:t>m</m:t>
                        </m:r>
                      </m:e>
                      <m:sub>
                        <m:r>
                          <m:rPr>
                            <m:sty m:val="p"/>
                          </m:rPr>
                          <w:rPr>
                            <w:rFonts w:ascii="Cambria Math" w:hAnsi="Cambria Math"/>
                          </w:rPr>
                          <m:t>Edy</m:t>
                        </m:r>
                      </m:sub>
                    </m:sSub>
                    <m:r>
                      <w:rPr>
                        <w:rFonts w:ascii="Cambria Math" w:hAnsi="Cambria Math"/>
                      </w:rPr>
                      <m:t>&gt;0</m:t>
                    </m:r>
                  </m:e>
                  <m:e>
                    <m:sSub>
                      <m:sSubPr>
                        <m:ctrlPr>
                          <w:rPr>
                            <w:rFonts w:ascii="Cambria Math" w:hAnsi="Cambria Math"/>
                          </w:rPr>
                        </m:ctrlPr>
                      </m:sSubPr>
                      <m:e>
                        <m:r>
                          <w:rPr>
                            <w:rFonts w:ascii="Cambria Math" w:hAnsi="Cambria Math"/>
                          </w:rPr>
                          <m:t>m</m:t>
                        </m:r>
                      </m:e>
                      <m:sub>
                        <m:r>
                          <m:rPr>
                            <m:sty m:val="p"/>
                          </m:rPr>
                          <w:rPr>
                            <w:rFonts w:ascii="Cambria Math" w:hAnsi="Cambria Math"/>
                          </w:rPr>
                          <m:t>Edx</m:t>
                        </m:r>
                      </m:sub>
                    </m:sSub>
                    <m:sSub>
                      <m:sSubPr>
                        <m:ctrlPr>
                          <w:rPr>
                            <w:rFonts w:ascii="Cambria Math" w:hAnsi="Cambria Math"/>
                          </w:rPr>
                        </m:ctrlPr>
                      </m:sSubPr>
                      <m:e>
                        <m:r>
                          <w:rPr>
                            <w:rFonts w:ascii="Cambria Math" w:hAnsi="Cambria Math"/>
                          </w:rPr>
                          <m:t>m</m:t>
                        </m:r>
                      </m:e>
                      <m:sub>
                        <m:r>
                          <m:rPr>
                            <m:sty m:val="p"/>
                          </m:rPr>
                          <w:rPr>
                            <w:rFonts w:ascii="Cambria Math" w:hAnsi="Cambria Math"/>
                          </w:rPr>
                          <m:t>Edy</m:t>
                        </m:r>
                      </m:sub>
                    </m:sSub>
                    <m:r>
                      <w:rPr>
                        <w:rFonts w:ascii="Cambria Math" w:hAnsi="Cambria Math"/>
                      </w:rPr>
                      <m:t>&gt;</m:t>
                    </m:r>
                    <m:sSubSup>
                      <m:sSubSupPr>
                        <m:ctrlPr>
                          <w:rPr>
                            <w:rFonts w:ascii="Cambria Math" w:hAnsi="Cambria Math"/>
                          </w:rPr>
                        </m:ctrlPr>
                      </m:sSubSupPr>
                      <m:e>
                        <m:r>
                          <w:rPr>
                            <w:rFonts w:ascii="Cambria Math" w:hAnsi="Cambria Math"/>
                          </w:rPr>
                          <m:t>m</m:t>
                        </m:r>
                      </m:e>
                      <m:sub>
                        <m:r>
                          <m:rPr>
                            <m:sty m:val="p"/>
                          </m:rPr>
                          <w:rPr>
                            <w:rFonts w:ascii="Cambria Math" w:hAnsi="Cambria Math"/>
                          </w:rPr>
                          <m:t>Edxy</m:t>
                        </m:r>
                      </m:sub>
                      <m:sup>
                        <m:r>
                          <w:rPr>
                            <w:rFonts w:ascii="Cambria Math" w:hAnsi="Cambria Math"/>
                          </w:rPr>
                          <m:t>2</m:t>
                        </m:r>
                      </m:sup>
                    </m:sSubSup>
                  </m:e>
                </m:eqArr>
              </m:oMath>
            </m:oMathPara>
          </w:p>
        </w:tc>
        <w:tc>
          <w:tcPr>
            <w:tcW w:w="2805" w:type="dxa"/>
            <w:vAlign w:val="center"/>
            <w:hideMark/>
          </w:tcPr>
          <w:p w14:paraId="1E84278C" w14:textId="77777777" w:rsidR="004E22C1" w:rsidRPr="001455DC" w:rsidRDefault="004E22C1" w:rsidP="00611D67">
            <w:pPr>
              <w:pStyle w:val="Tablebody"/>
              <w:jc w:val="center"/>
            </w:pPr>
            <w:r w:rsidRPr="001455DC">
              <w:t>0</w:t>
            </w:r>
          </w:p>
        </w:tc>
        <w:tc>
          <w:tcPr>
            <w:tcW w:w="2806" w:type="dxa"/>
            <w:vAlign w:val="center"/>
            <w:hideMark/>
          </w:tcPr>
          <w:p w14:paraId="4EEDEF10" w14:textId="77777777" w:rsidR="004E22C1" w:rsidRPr="001455DC" w:rsidRDefault="004E22C1" w:rsidP="00611D67">
            <w:pPr>
              <w:pStyle w:val="Tablebody"/>
              <w:jc w:val="center"/>
            </w:pPr>
            <w:r w:rsidRPr="001455DC">
              <w:t>0</w:t>
            </w:r>
          </w:p>
        </w:tc>
      </w:tr>
      <w:tr w:rsidR="004E22C1" w:rsidRPr="001455DC" w14:paraId="18F28516" w14:textId="77777777" w:rsidTr="00611D67">
        <w:trPr>
          <w:cnfStyle w:val="010000000000" w:firstRow="0" w:lastRow="1" w:firstColumn="0" w:lastColumn="0" w:oddVBand="0" w:evenVBand="0" w:oddHBand="0" w:evenHBand="0" w:firstRowFirstColumn="0" w:firstRowLastColumn="0" w:lastRowFirstColumn="0" w:lastRowLastColumn="0"/>
          <w:cantSplit/>
        </w:trPr>
        <w:tc>
          <w:tcPr>
            <w:tcW w:w="8416" w:type="dxa"/>
            <w:gridSpan w:val="3"/>
          </w:tcPr>
          <w:p w14:paraId="28F6A3B1" w14:textId="77777777" w:rsidR="004E22C1" w:rsidRPr="009D3012" w:rsidRDefault="004E22C1" w:rsidP="00611D67">
            <w:pPr>
              <w:pStyle w:val="Tablefooternote"/>
              <w:rPr>
                <w:lang w:val="en-US" w:eastAsia="de-DE"/>
              </w:rPr>
            </w:pPr>
            <w:r w:rsidRPr="009D3012">
              <w:rPr>
                <w:lang w:val="en-US"/>
              </w:rPr>
              <w:t>NOTE</w:t>
            </w:r>
            <w:r w:rsidRPr="009D3012">
              <w:rPr>
                <w:lang w:val="en-US"/>
              </w:rPr>
              <w:tab/>
              <w:t>Hogging moments with negative sign.</w:t>
            </w:r>
          </w:p>
        </w:tc>
      </w:tr>
    </w:tbl>
    <w:p w14:paraId="2AE850EB" w14:textId="77777777" w:rsidR="004E22C1" w:rsidRPr="001455DC" w:rsidRDefault="004E22C1" w:rsidP="00EE26B9">
      <w:pPr>
        <w:pStyle w:val="a7"/>
      </w:pPr>
    </w:p>
    <w:p w14:paraId="2D751C7E" w14:textId="204BED4B" w:rsidR="004E22C1" w:rsidRPr="001455DC" w:rsidRDefault="004E22C1" w:rsidP="00082680">
      <w:pPr>
        <w:pStyle w:val="a2"/>
        <w:rPr>
          <w:rFonts w:eastAsiaTheme="minorHAnsi"/>
        </w:rPr>
      </w:pPr>
      <w:bookmarkStart w:id="1573" w:name="_Toc52820179"/>
      <w:bookmarkStart w:id="1574" w:name="_Toc54337168"/>
      <w:bookmarkStart w:id="1575" w:name="_Toc54337599"/>
      <w:bookmarkStart w:id="1576" w:name="_Toc54338234"/>
      <w:bookmarkStart w:id="1577" w:name="_Toc67565564"/>
      <w:r w:rsidRPr="001455DC">
        <w:t>Refined control of cracking in membrane elements in SLS</w:t>
      </w:r>
      <w:bookmarkEnd w:id="1573"/>
      <w:bookmarkEnd w:id="1574"/>
      <w:bookmarkEnd w:id="1575"/>
      <w:bookmarkEnd w:id="1576"/>
      <w:bookmarkEnd w:id="1577"/>
    </w:p>
    <w:p w14:paraId="00D2CE71" w14:textId="25AAF7EF" w:rsidR="004E22C1" w:rsidRPr="001455DC" w:rsidRDefault="004E22C1" w:rsidP="00116AE2">
      <w:pPr>
        <w:pStyle w:val="a7"/>
      </w:pPr>
      <w:r w:rsidRPr="001455DC">
        <w:t>(1)</w:t>
      </w:r>
      <w:r w:rsidRPr="001455DC">
        <w:tab/>
        <w:t xml:space="preserve">If in members reinforced in two orthogonal directions the angle </w:t>
      </w:r>
      <w:r w:rsidRPr="001455DC">
        <w:rPr>
          <w:rStyle w:val="CCMCvariableitalic"/>
        </w:rPr>
        <w:t>θ</w:t>
      </w:r>
      <w:r w:rsidRPr="001455DC">
        <w:t xml:space="preserve"> between the axes of principal compressive strain and the direction of the reinforcement in the </w:t>
      </w:r>
      <w:r w:rsidRPr="001455DC">
        <w:rPr>
          <w:rStyle w:val="CCMCvariableitalic"/>
        </w:rPr>
        <w:t>x</w:t>
      </w:r>
      <w:r w:rsidRPr="001455DC">
        <w:t xml:space="preserve">-direction is larger than 15°, the crack width may be calculated with Formula (9.12), where the maximum crack spacing </w:t>
      </w:r>
      <w:r w:rsidRPr="001455DC">
        <w:rPr>
          <w:rStyle w:val="CCMCvariableitalic"/>
        </w:rPr>
        <w:t>s</w:t>
      </w:r>
      <w:r w:rsidRPr="001455DC">
        <w:rPr>
          <w:rStyle w:val="CCMCvariablesubscript"/>
        </w:rPr>
        <w:t>r,max</w:t>
      </w:r>
      <w:r w:rsidRPr="001455DC">
        <w:t xml:space="preserve"> may be used according to Formula (G.19) and the strain difference (</w:t>
      </w:r>
      <w:r w:rsidRPr="001455DC">
        <w:rPr>
          <w:rStyle w:val="CCMCvariableitalic"/>
        </w:rPr>
        <w:t>ε</w:t>
      </w:r>
      <w:r w:rsidRPr="001455DC">
        <w:rPr>
          <w:rStyle w:val="CCMCvariablesubscript"/>
        </w:rPr>
        <w:t>sm</w:t>
      </w:r>
      <w:r w:rsidRPr="001455DC">
        <w:t> </w:t>
      </w:r>
      <w:r w:rsidR="00EC27D2" w:rsidRPr="001455DC">
        <w:rPr>
          <w:rFonts w:ascii="Cambria Math" w:hAnsi="Cambria Math"/>
        </w:rPr>
        <w:t>−</w:t>
      </w:r>
      <w:r w:rsidRPr="001455DC">
        <w:t> </w:t>
      </w:r>
      <w:r w:rsidRPr="001455DC">
        <w:rPr>
          <w:rStyle w:val="CCMCvariableitalic"/>
        </w:rPr>
        <w:t>ε</w:t>
      </w:r>
      <w:r w:rsidRPr="001455DC">
        <w:rPr>
          <w:rStyle w:val="CCMCvariablesubscript"/>
        </w:rPr>
        <w:t>cm</w:t>
      </w:r>
      <w:r w:rsidRPr="001455DC">
        <w:t>) according to Formula (9.13):</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5232C" w:rsidRPr="001455DC" w14:paraId="551FC4E1" w14:textId="77777777" w:rsidTr="00A663EB">
        <w:trPr>
          <w:cantSplit/>
        </w:trPr>
        <w:tc>
          <w:tcPr>
            <w:tcW w:w="8505" w:type="dxa"/>
            <w:vAlign w:val="center"/>
          </w:tcPr>
          <w:p w14:paraId="1AE3A9E9" w14:textId="3AA861EA" w:rsidR="0025232C" w:rsidRPr="001455DC" w:rsidRDefault="00231E33">
            <w:pPr>
              <w:pStyle w:val="Formula"/>
              <w:jc w:val="left"/>
            </w:pPr>
            <m:oMathPara>
              <m:oMathParaPr>
                <m:jc m:val="left"/>
              </m:oMathParaPr>
              <m:oMath>
                <m:sSub>
                  <m:sSubPr>
                    <m:ctrlPr>
                      <w:rPr>
                        <w:rFonts w:ascii="Cambria Math" w:hAnsi="Cambria Math"/>
                      </w:rPr>
                    </m:ctrlPr>
                  </m:sSubPr>
                  <m:e>
                    <m:r>
                      <w:rPr>
                        <w:rFonts w:ascii="Cambria Math" w:hAnsi="Cambria Math"/>
                      </w:rPr>
                      <m:t>s</m:t>
                    </m:r>
                  </m:e>
                  <m:sub>
                    <m:r>
                      <m:rPr>
                        <m:sty m:val="p"/>
                      </m:rPr>
                      <w:rPr>
                        <w:rFonts w:ascii="Cambria Math" w:hAnsi="Cambria Math"/>
                      </w:rPr>
                      <m:t>r,m,cal</m:t>
                    </m:r>
                  </m:sub>
                </m:sSub>
                <m:r>
                  <w:rPr>
                    <w:rFonts w:ascii="Cambria Math" w:hAnsi="Cambria Math"/>
                  </w:rPr>
                  <m:t>=</m:t>
                </m:r>
                <m:f>
                  <m:fPr>
                    <m:ctrlPr>
                      <w:rPr>
                        <w:rFonts w:ascii="Cambria Math" w:hAnsi="Cambria Math"/>
                      </w:rPr>
                    </m:ctrlPr>
                  </m:fPr>
                  <m:num>
                    <m:r>
                      <w:rPr>
                        <w:rFonts w:ascii="Cambria Math" w:hAnsi="Cambria Math"/>
                      </w:rPr>
                      <m:t>1</m:t>
                    </m:r>
                  </m:num>
                  <m:den>
                    <m:f>
                      <m:fPr>
                        <m:ctrlPr>
                          <w:rPr>
                            <w:rFonts w:ascii="Cambria Math" w:hAnsi="Cambria Math"/>
                          </w:rPr>
                        </m:ctrlPr>
                      </m:fPr>
                      <m:num>
                        <m:r>
                          <m:rPr>
                            <m:sty m:val="p"/>
                          </m:rPr>
                          <w:rPr>
                            <w:rFonts w:ascii="Cambria Math" w:hAnsi="Cambria Math"/>
                          </w:rPr>
                          <m:t>sin</m:t>
                        </m:r>
                        <m:r>
                          <w:rPr>
                            <w:rFonts w:ascii="Cambria Math" w:hAnsi="Cambria Math"/>
                          </w:rPr>
                          <m:t>θ</m:t>
                        </m:r>
                      </m:num>
                      <m:den>
                        <m:sSub>
                          <m:sSubPr>
                            <m:ctrlPr>
                              <w:rPr>
                                <w:rFonts w:ascii="Cambria Math" w:hAnsi="Cambria Math"/>
                              </w:rPr>
                            </m:ctrlPr>
                          </m:sSubPr>
                          <m:e>
                            <m:r>
                              <w:rPr>
                                <w:rFonts w:ascii="Cambria Math" w:hAnsi="Cambria Math"/>
                              </w:rPr>
                              <m:t>s</m:t>
                            </m:r>
                          </m:e>
                          <m:sub>
                            <m:r>
                              <m:rPr>
                                <m:sty m:val="p"/>
                              </m:rPr>
                              <w:rPr>
                                <w:rFonts w:ascii="Cambria Math" w:hAnsi="Cambria Math"/>
                              </w:rPr>
                              <m:t>r,m,cal,x</m:t>
                            </m:r>
                          </m:sub>
                        </m:sSub>
                      </m:den>
                    </m:f>
                    <m:r>
                      <w:rPr>
                        <w:rFonts w:ascii="Cambria Math" w:hAnsi="Cambria Math"/>
                      </w:rPr>
                      <m:t>+</m:t>
                    </m:r>
                    <m:f>
                      <m:fPr>
                        <m:ctrlPr>
                          <w:rPr>
                            <w:rFonts w:ascii="Cambria Math" w:hAnsi="Cambria Math"/>
                          </w:rPr>
                        </m:ctrlPr>
                      </m:fPr>
                      <m:num>
                        <m:r>
                          <m:rPr>
                            <m:sty m:val="p"/>
                          </m:rPr>
                          <w:rPr>
                            <w:rFonts w:ascii="Cambria Math" w:hAnsi="Cambria Math"/>
                          </w:rPr>
                          <m:t>cos</m:t>
                        </m:r>
                        <m:r>
                          <w:rPr>
                            <w:rFonts w:ascii="Cambria Math" w:hAnsi="Cambria Math"/>
                          </w:rPr>
                          <m:t>θ</m:t>
                        </m:r>
                      </m:num>
                      <m:den>
                        <m:sSub>
                          <m:sSubPr>
                            <m:ctrlPr>
                              <w:rPr>
                                <w:rFonts w:ascii="Cambria Math" w:hAnsi="Cambria Math"/>
                              </w:rPr>
                            </m:ctrlPr>
                          </m:sSubPr>
                          <m:e>
                            <m:r>
                              <w:rPr>
                                <w:rFonts w:ascii="Cambria Math" w:hAnsi="Cambria Math"/>
                              </w:rPr>
                              <m:t>s</m:t>
                            </m:r>
                          </m:e>
                          <m:sub>
                            <m:r>
                              <m:rPr>
                                <m:sty m:val="p"/>
                              </m:rPr>
                              <w:rPr>
                                <w:rFonts w:ascii="Cambria Math" w:hAnsi="Cambria Math"/>
                              </w:rPr>
                              <m:t>r,m,cal,y</m:t>
                            </m:r>
                          </m:sub>
                        </m:sSub>
                      </m:den>
                    </m:f>
                  </m:den>
                </m:f>
              </m:oMath>
            </m:oMathPara>
          </w:p>
        </w:tc>
        <w:tc>
          <w:tcPr>
            <w:tcW w:w="1247" w:type="dxa"/>
            <w:vAlign w:val="center"/>
          </w:tcPr>
          <w:p w14:paraId="2AFA085E" w14:textId="51EC547F" w:rsidR="0025232C" w:rsidRPr="001455DC" w:rsidRDefault="0025232C" w:rsidP="00A663EB">
            <w:pPr>
              <w:pStyle w:val="a7"/>
              <w:jc w:val="right"/>
            </w:pPr>
            <w:r w:rsidRPr="001455DC">
              <w:t>(G.19)</w:t>
            </w:r>
          </w:p>
        </w:tc>
      </w:tr>
    </w:tbl>
    <w:p w14:paraId="426FB2CC" w14:textId="77777777" w:rsidR="0025232C" w:rsidRPr="001455DC" w:rsidRDefault="0025232C"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1701"/>
        <w:gridCol w:w="7711"/>
      </w:tblGrid>
      <w:tr w:rsidR="0025232C" w:rsidRPr="001455DC" w14:paraId="6B7E3EC7" w14:textId="77777777" w:rsidTr="0025232C">
        <w:trPr>
          <w:cantSplit/>
        </w:trPr>
        <w:tc>
          <w:tcPr>
            <w:tcW w:w="1701" w:type="dxa"/>
          </w:tcPr>
          <w:p w14:paraId="522B1AAB" w14:textId="529E9E79" w:rsidR="0025232C" w:rsidRPr="00FA575F" w:rsidRDefault="0025232C">
            <w:pPr>
              <w:pStyle w:val="Tablebody"/>
              <w:rPr>
                <w:lang w:val="es-ES"/>
              </w:rPr>
            </w:pPr>
            <w:r w:rsidRPr="00FA575F">
              <w:rPr>
                <w:rStyle w:val="CCMCvariableitalic"/>
                <w:lang w:val="es-ES"/>
              </w:rPr>
              <w:t>s</w:t>
            </w:r>
            <w:r w:rsidRPr="00FA575F">
              <w:rPr>
                <w:rStyle w:val="CCMCvariablesubscript"/>
                <w:lang w:val="es-ES"/>
              </w:rPr>
              <w:t>r,m,cal,x</w:t>
            </w:r>
            <w:r w:rsidRPr="00FA575F">
              <w:rPr>
                <w:rFonts w:eastAsiaTheme="minorHAnsi"/>
                <w:lang w:val="es-ES"/>
              </w:rPr>
              <w:t xml:space="preserve">, </w:t>
            </w:r>
            <w:r w:rsidRPr="00FA575F">
              <w:rPr>
                <w:rStyle w:val="CCMCvariableitalic"/>
                <w:lang w:val="es-ES"/>
              </w:rPr>
              <w:t>s</w:t>
            </w:r>
            <w:r w:rsidRPr="00FA575F">
              <w:rPr>
                <w:rStyle w:val="CCMCvariablesubscript"/>
                <w:lang w:val="es-ES"/>
              </w:rPr>
              <w:t>r,m,cal,y</w:t>
            </w:r>
          </w:p>
        </w:tc>
        <w:tc>
          <w:tcPr>
            <w:tcW w:w="7711" w:type="dxa"/>
          </w:tcPr>
          <w:p w14:paraId="5AAAF4CD" w14:textId="2A3263BF" w:rsidR="0025232C" w:rsidRPr="001455DC" w:rsidRDefault="0025232C" w:rsidP="00A663EB">
            <w:pPr>
              <w:pStyle w:val="Tablebody"/>
            </w:pPr>
            <w:r w:rsidRPr="001455DC">
              <w:rPr>
                <w:rFonts w:eastAsiaTheme="minorHAnsi"/>
              </w:rPr>
              <w:t xml:space="preserve">are the crack spacings calculated in the </w:t>
            </w:r>
            <w:r w:rsidRPr="001455DC">
              <w:rPr>
                <w:rStyle w:val="CCMCvariableitalic"/>
              </w:rPr>
              <w:t>x</w:t>
            </w:r>
            <w:r w:rsidRPr="001455DC">
              <w:rPr>
                <w:rFonts w:eastAsiaTheme="minorHAnsi"/>
              </w:rPr>
              <w:t xml:space="preserve"> and </w:t>
            </w:r>
            <w:r w:rsidRPr="001455DC">
              <w:rPr>
                <w:rStyle w:val="CCMCvariableitalic"/>
              </w:rPr>
              <w:t>y</w:t>
            </w:r>
            <w:r w:rsidRPr="001455DC">
              <w:rPr>
                <w:rFonts w:eastAsiaTheme="minorHAnsi"/>
              </w:rPr>
              <w:t xml:space="preserve"> directions respectively, according to 9.2.4 (5)</w:t>
            </w:r>
            <w:r w:rsidR="00F737DB" w:rsidRPr="001455DC">
              <w:rPr>
                <w:rFonts w:eastAsiaTheme="minorHAnsi"/>
              </w:rPr>
              <w:t>,</w:t>
            </w:r>
          </w:p>
        </w:tc>
      </w:tr>
    </w:tbl>
    <w:p w14:paraId="332DEE68" w14:textId="6A295D6B" w:rsidR="0025232C" w:rsidRPr="001455DC" w:rsidRDefault="00F737DB" w:rsidP="00116AE2">
      <w:pPr>
        <w:pStyle w:val="a7"/>
        <w:keepNext/>
      </w:pPr>
      <w:r w:rsidRPr="001455DC">
        <w:t>w</w:t>
      </w:r>
      <w:r w:rsidR="0025232C" w:rsidRPr="001455DC">
        <w:t xml:space="preserve">here </w:t>
      </w:r>
      <w:r w:rsidR="0025232C" w:rsidRPr="001455DC">
        <w:rPr>
          <w:rStyle w:val="CCMCvariableitalic"/>
        </w:rPr>
        <w:t>ε</w:t>
      </w:r>
      <w:r w:rsidR="0025232C" w:rsidRPr="001455DC">
        <w:rPr>
          <w:rStyle w:val="CCMCvariablesubscript"/>
        </w:rPr>
        <w:t>1</w:t>
      </w:r>
      <w:r w:rsidR="0025232C" w:rsidRPr="001455DC">
        <w:t xml:space="preserve"> is taken from Formulae (G.10) or (G.11) with the following additional conditions:</w:t>
      </w:r>
    </w:p>
    <w:p w14:paraId="050EE4F0" w14:textId="7F7D848C" w:rsidR="004E22C1" w:rsidRPr="001455DC" w:rsidRDefault="004E22C1" w:rsidP="0025232C">
      <w:pPr>
        <w:pStyle w:val="a0"/>
      </w:pPr>
      <w:r w:rsidRPr="001455DC">
        <w:rPr>
          <w:rStyle w:val="CCMCvariableitalic"/>
        </w:rPr>
        <w:t>ε</w:t>
      </w:r>
      <w:r w:rsidRPr="001455DC">
        <w:rPr>
          <w:rStyle w:val="CCMCvariablesubscript"/>
        </w:rPr>
        <w:t>x</w:t>
      </w:r>
      <w:r w:rsidRPr="001455DC">
        <w:t xml:space="preserve"> is taken as </w:t>
      </w:r>
      <w:r w:rsidRPr="001455DC">
        <w:rPr>
          <w:rStyle w:val="CCMCvariableitalic"/>
        </w:rPr>
        <w:t>σ</w:t>
      </w:r>
      <w:r w:rsidRPr="001455DC">
        <w:rPr>
          <w:rStyle w:val="CCMCvariablesubscript"/>
        </w:rPr>
        <w:t>s,x</w:t>
      </w:r>
      <w:r w:rsidRPr="001455DC">
        <w:t>/</w:t>
      </w:r>
      <w:r w:rsidRPr="001455DC">
        <w:rPr>
          <w:rStyle w:val="CCMCvariableitalic"/>
        </w:rPr>
        <w:t>E</w:t>
      </w:r>
      <w:r w:rsidRPr="001455DC">
        <w:rPr>
          <w:rStyle w:val="CCMCvariablesubscript"/>
        </w:rPr>
        <w:t>s</w:t>
      </w:r>
      <w:r w:rsidRPr="001455DC">
        <w:t xml:space="preserve"> where </w:t>
      </w:r>
      <w:r w:rsidRPr="001455DC">
        <w:rPr>
          <w:rStyle w:val="CCMCvariableitalic"/>
        </w:rPr>
        <w:t>σ</w:t>
      </w:r>
      <w:r w:rsidRPr="001455DC">
        <w:rPr>
          <w:rStyle w:val="CCMCvariablesubscript"/>
        </w:rPr>
        <w:t>s,x</w:t>
      </w:r>
      <w:r w:rsidRPr="001455DC">
        <w:t xml:space="preserve"> is the stress in the reinforcement in the direction of the member axis (</w:t>
      </w:r>
      <w:r w:rsidRPr="001455DC">
        <w:rPr>
          <w:rStyle w:val="CCMCvariableitalic"/>
        </w:rPr>
        <w:t>x</w:t>
      </w:r>
      <w:r w:rsidRPr="001455DC">
        <w:t>) for the relevant combination of actions;</w:t>
      </w:r>
    </w:p>
    <w:p w14:paraId="27718509" w14:textId="0D52EDDE" w:rsidR="004E22C1" w:rsidRPr="001455DC" w:rsidRDefault="004E22C1" w:rsidP="0025232C">
      <w:pPr>
        <w:pStyle w:val="a0"/>
      </w:pPr>
      <w:r w:rsidRPr="001455DC">
        <w:rPr>
          <w:rStyle w:val="CCMCvariableitalic"/>
        </w:rPr>
        <w:t>ε</w:t>
      </w:r>
      <w:r w:rsidRPr="001455DC">
        <w:rPr>
          <w:rStyle w:val="CCMCvariablesubscript"/>
        </w:rPr>
        <w:t>y</w:t>
      </w:r>
      <w:r w:rsidRPr="001455DC">
        <w:t xml:space="preserve"> is taken as </w:t>
      </w:r>
      <w:r w:rsidRPr="001455DC">
        <w:rPr>
          <w:rStyle w:val="CCMCvariableitalic"/>
        </w:rPr>
        <w:t>σ</w:t>
      </w:r>
      <w:r w:rsidRPr="001455DC">
        <w:rPr>
          <w:rStyle w:val="CCMCvariablesubscript"/>
        </w:rPr>
        <w:t>s,y</w:t>
      </w:r>
      <w:r w:rsidRPr="001455DC">
        <w:t xml:space="preserve">/ </w:t>
      </w:r>
      <w:r w:rsidRPr="001455DC">
        <w:rPr>
          <w:rStyle w:val="CCMCvariableitalic"/>
        </w:rPr>
        <w:t>E</w:t>
      </w:r>
      <w:r w:rsidRPr="001455DC">
        <w:rPr>
          <w:rStyle w:val="CCMCvariablesubscript"/>
        </w:rPr>
        <w:t>s</w:t>
      </w:r>
      <w:r w:rsidRPr="001455DC">
        <w:t xml:space="preserve"> where </w:t>
      </w:r>
      <w:r w:rsidRPr="001455DC">
        <w:rPr>
          <w:rStyle w:val="CCMCvariableitalic"/>
        </w:rPr>
        <w:t>σ</w:t>
      </w:r>
      <w:r w:rsidRPr="001455DC">
        <w:rPr>
          <w:rStyle w:val="CCMCvariablesubscript"/>
        </w:rPr>
        <w:t>s,y</w:t>
      </w:r>
      <w:r w:rsidRPr="001455DC">
        <w:t xml:space="preserve"> is the stress in the reinforcement in the </w:t>
      </w:r>
      <w:r w:rsidRPr="001455DC">
        <w:rPr>
          <w:rStyle w:val="CCMCvariableitalic"/>
        </w:rPr>
        <w:t>y</w:t>
      </w:r>
      <w:r w:rsidRPr="001455DC">
        <w:t xml:space="preserve"> direction for the relevant combination of actions;</w:t>
      </w:r>
    </w:p>
    <w:p w14:paraId="49096670" w14:textId="417C0CA1" w:rsidR="004E22C1" w:rsidRPr="001455DC" w:rsidRDefault="004E22C1" w:rsidP="0025232C">
      <w:pPr>
        <w:pStyle w:val="a0"/>
      </w:pPr>
      <w:r w:rsidRPr="001455DC">
        <w:t xml:space="preserve">Conservatively, </w:t>
      </w:r>
      <w:r w:rsidRPr="001455DC">
        <w:rPr>
          <w:rStyle w:val="CCMCvariableitalic"/>
        </w:rPr>
        <w:t>θ</w:t>
      </w:r>
      <w:r w:rsidRPr="001455DC">
        <w:t xml:space="preserve"> may be determined from linear elastic analysis.</w:t>
      </w:r>
    </w:p>
    <w:p w14:paraId="5F9859A3" w14:textId="4EFD520E" w:rsidR="0025232C" w:rsidRPr="001455DC" w:rsidRDefault="004E22C1" w:rsidP="0025232C">
      <w:pPr>
        <w:pStyle w:val="a0"/>
      </w:pPr>
      <w:r w:rsidRPr="001455DC">
        <w:t xml:space="preserve">A better approximation may be obtained by solving Formula (G.20) for </w:t>
      </w:r>
      <w:r w:rsidRPr="001455DC">
        <w:rPr>
          <w:rStyle w:val="CCMCvariableitalic"/>
        </w:rPr>
        <w:t>θ</w:t>
      </w:r>
      <w:r w:rsidRPr="001455DC">
        <w:t>.</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5232C" w:rsidRPr="001455DC" w14:paraId="6AB52D83" w14:textId="77777777" w:rsidTr="00A663EB">
        <w:trPr>
          <w:cantSplit/>
        </w:trPr>
        <w:tc>
          <w:tcPr>
            <w:tcW w:w="8505" w:type="dxa"/>
            <w:vAlign w:val="center"/>
          </w:tcPr>
          <w:p w14:paraId="72B399A7" w14:textId="058BA588" w:rsidR="0025232C" w:rsidRPr="001455DC" w:rsidRDefault="00231E33" w:rsidP="00A663EB">
            <w:pPr>
              <w:pStyle w:val="Formula"/>
              <w:jc w:val="left"/>
            </w:pPr>
            <m:oMathPara>
              <m:oMathParaPr>
                <m:jc m:val="left"/>
              </m:oMathParaPr>
              <m:oMath>
                <m:f>
                  <m:fPr>
                    <m:ctrlPr>
                      <w:rPr>
                        <w:rFonts w:ascii="Cambria Math" w:hAnsi="Cambria Math"/>
                      </w:rPr>
                    </m:ctrlPr>
                  </m:fPr>
                  <m:num>
                    <m:r>
                      <w:rPr>
                        <w:rFonts w:ascii="Cambria Math" w:hAnsi="Cambria Math"/>
                      </w:rPr>
                      <m:t>τ</m:t>
                    </m:r>
                  </m:num>
                  <m:den>
                    <m:sSub>
                      <m:sSubPr>
                        <m:ctrlPr>
                          <w:rPr>
                            <w:rFonts w:ascii="Cambria Math" w:hAnsi="Cambria Math"/>
                          </w:rPr>
                        </m:ctrlPr>
                      </m:sSubPr>
                      <m:e>
                        <m:r>
                          <w:rPr>
                            <w:rFonts w:ascii="Cambria Math" w:hAnsi="Cambria Math"/>
                          </w:rPr>
                          <m:t>ρ</m:t>
                        </m:r>
                      </m:e>
                      <m:sub>
                        <m:r>
                          <m:rPr>
                            <m:sty m:val="p"/>
                          </m:rPr>
                          <w:rPr>
                            <w:rFonts w:ascii="Cambria Math" w:hAnsi="Cambria Math"/>
                          </w:rPr>
                          <m:t>x</m:t>
                        </m:r>
                      </m:sub>
                    </m:sSub>
                  </m:den>
                </m:f>
                <m:sSup>
                  <m:sSupPr>
                    <m:ctrlPr>
                      <w:rPr>
                        <w:rFonts w:ascii="Cambria Math" w:hAnsi="Cambria Math"/>
                      </w:rPr>
                    </m:ctrlPr>
                  </m:sSupPr>
                  <m:e>
                    <m:r>
                      <m:rPr>
                        <m:sty m:val="p"/>
                      </m:rPr>
                      <w:rPr>
                        <w:rFonts w:ascii="Cambria Math" w:hAnsi="Cambria Math"/>
                      </w:rPr>
                      <m:t>cot</m:t>
                    </m:r>
                  </m:e>
                  <m:sup>
                    <m:r>
                      <w:rPr>
                        <w:rFonts w:ascii="Cambria Math" w:hAnsi="Cambria Math"/>
                      </w:rPr>
                      <m:t>4</m:t>
                    </m:r>
                  </m:sup>
                </m:sSup>
                <m:r>
                  <w:rPr>
                    <w:rFonts w:ascii="Cambria Math" w:hAnsi="Cambria Math"/>
                  </w:rPr>
                  <m:t>θ+</m:t>
                </m:r>
                <m:f>
                  <m:fPr>
                    <m:ctrlPr>
                      <w:rPr>
                        <w:rFonts w:ascii="Cambria Math" w:hAnsi="Cambria Math"/>
                      </w:rPr>
                    </m:ctrlPr>
                  </m:fPr>
                  <m:num>
                    <m:sSub>
                      <m:sSubPr>
                        <m:ctrlPr>
                          <w:rPr>
                            <w:rFonts w:ascii="Cambria Math" w:hAnsi="Cambria Math"/>
                          </w:rPr>
                        </m:ctrlPr>
                      </m:sSubPr>
                      <m:e>
                        <m:r>
                          <w:rPr>
                            <w:rFonts w:ascii="Cambria Math" w:hAnsi="Cambria Math"/>
                          </w:rPr>
                          <m:t>σ</m:t>
                        </m:r>
                      </m:e>
                      <m:sub>
                        <m:r>
                          <m:rPr>
                            <m:sty m:val="p"/>
                          </m:rPr>
                          <w:rPr>
                            <w:rFonts w:ascii="Cambria Math" w:hAnsi="Cambria Math"/>
                          </w:rPr>
                          <m:t>x</m:t>
                        </m:r>
                      </m:sub>
                    </m:sSub>
                  </m:num>
                  <m:den>
                    <m:sSub>
                      <m:sSubPr>
                        <m:ctrlPr>
                          <w:rPr>
                            <w:rFonts w:ascii="Cambria Math" w:hAnsi="Cambria Math"/>
                          </w:rPr>
                        </m:ctrlPr>
                      </m:sSubPr>
                      <m:e>
                        <m:r>
                          <w:rPr>
                            <w:rFonts w:ascii="Cambria Math" w:hAnsi="Cambria Math"/>
                          </w:rPr>
                          <m:t>ρ</m:t>
                        </m:r>
                      </m:e>
                      <m:sub>
                        <m:r>
                          <m:rPr>
                            <m:sty m:val="p"/>
                          </m:rPr>
                          <w:rPr>
                            <w:rFonts w:ascii="Cambria Math" w:hAnsi="Cambria Math"/>
                          </w:rPr>
                          <m:t>x</m:t>
                        </m:r>
                      </m:sub>
                    </m:sSub>
                  </m:den>
                </m:f>
                <m:sSup>
                  <m:sSupPr>
                    <m:ctrlPr>
                      <w:rPr>
                        <w:rFonts w:ascii="Cambria Math" w:hAnsi="Cambria Math"/>
                      </w:rPr>
                    </m:ctrlPr>
                  </m:sSupPr>
                  <m:e>
                    <m:r>
                      <m:rPr>
                        <m:sty m:val="p"/>
                      </m:rPr>
                      <w:rPr>
                        <w:rFonts w:ascii="Cambria Math" w:hAnsi="Cambria Math"/>
                      </w:rPr>
                      <m:t>cot</m:t>
                    </m:r>
                  </m:e>
                  <m:sup>
                    <m:r>
                      <w:rPr>
                        <w:rFonts w:ascii="Cambria Math" w:hAnsi="Cambria Math"/>
                      </w:rPr>
                      <m:t>3</m:t>
                    </m:r>
                  </m:sup>
                </m:sSup>
                <m:r>
                  <w:rPr>
                    <w:rFonts w:ascii="Cambria Math" w:hAnsi="Cambria Math"/>
                  </w:rPr>
                  <m:t>θ-</m:t>
                </m:r>
                <m:f>
                  <m:fPr>
                    <m:ctrlPr>
                      <w:rPr>
                        <w:rFonts w:ascii="Cambria Math" w:hAnsi="Cambria Math"/>
                      </w:rPr>
                    </m:ctrlPr>
                  </m:fPr>
                  <m:num>
                    <m:sSub>
                      <m:sSubPr>
                        <m:ctrlPr>
                          <w:rPr>
                            <w:rFonts w:ascii="Cambria Math" w:hAnsi="Cambria Math"/>
                          </w:rPr>
                        </m:ctrlPr>
                      </m:sSubPr>
                      <m:e>
                        <m:r>
                          <w:rPr>
                            <w:rFonts w:ascii="Cambria Math" w:hAnsi="Cambria Math"/>
                          </w:rPr>
                          <m:t>σ</m:t>
                        </m:r>
                      </m:e>
                      <m:sub>
                        <m:r>
                          <m:rPr>
                            <m:sty m:val="p"/>
                          </m:rPr>
                          <w:rPr>
                            <w:rFonts w:ascii="Cambria Math" w:hAnsi="Cambria Math"/>
                          </w:rPr>
                          <m:t>y</m:t>
                        </m:r>
                      </m:sub>
                    </m:sSub>
                  </m:num>
                  <m:den>
                    <m:sSub>
                      <m:sSubPr>
                        <m:ctrlPr>
                          <w:rPr>
                            <w:rFonts w:ascii="Cambria Math" w:hAnsi="Cambria Math"/>
                          </w:rPr>
                        </m:ctrlPr>
                      </m:sSubPr>
                      <m:e>
                        <m:r>
                          <w:rPr>
                            <w:rFonts w:ascii="Cambria Math" w:hAnsi="Cambria Math"/>
                          </w:rPr>
                          <m:t>ρ</m:t>
                        </m:r>
                      </m:e>
                      <m:sub>
                        <m:r>
                          <m:rPr>
                            <m:sty m:val="p"/>
                          </m:rPr>
                          <w:rPr>
                            <w:rFonts w:ascii="Cambria Math" w:hAnsi="Cambria Math"/>
                          </w:rPr>
                          <m:t>y</m:t>
                        </m:r>
                      </m:sub>
                    </m:sSub>
                  </m:den>
                </m:f>
                <m:r>
                  <m:rPr>
                    <m:sty m:val="p"/>
                  </m:rPr>
                  <w:rPr>
                    <w:rFonts w:ascii="Cambria Math" w:hAnsi="Cambria Math"/>
                  </w:rPr>
                  <m:t>cot</m:t>
                </m:r>
                <m:r>
                  <w:rPr>
                    <w:rFonts w:ascii="Cambria Math" w:hAnsi="Cambria Math"/>
                  </w:rPr>
                  <m:t>θ-</m:t>
                </m:r>
                <m:f>
                  <m:fPr>
                    <m:ctrlPr>
                      <w:rPr>
                        <w:rFonts w:ascii="Cambria Math" w:hAnsi="Cambria Math"/>
                      </w:rPr>
                    </m:ctrlPr>
                  </m:fPr>
                  <m:num>
                    <m:r>
                      <w:rPr>
                        <w:rFonts w:ascii="Cambria Math" w:hAnsi="Cambria Math"/>
                      </w:rPr>
                      <m:t>τ</m:t>
                    </m:r>
                  </m:num>
                  <m:den>
                    <m:sSub>
                      <m:sSubPr>
                        <m:ctrlPr>
                          <w:rPr>
                            <w:rFonts w:ascii="Cambria Math" w:hAnsi="Cambria Math"/>
                          </w:rPr>
                        </m:ctrlPr>
                      </m:sSubPr>
                      <m:e>
                        <m:r>
                          <w:rPr>
                            <w:rFonts w:ascii="Cambria Math" w:hAnsi="Cambria Math"/>
                          </w:rPr>
                          <m:t>ρ</m:t>
                        </m:r>
                      </m:e>
                      <m:sub>
                        <m:r>
                          <m:rPr>
                            <m:sty m:val="p"/>
                          </m:rPr>
                          <w:rPr>
                            <w:rFonts w:ascii="Cambria Math" w:hAnsi="Cambria Math"/>
                          </w:rPr>
                          <m:t>y</m:t>
                        </m:r>
                      </m:sub>
                    </m:sSub>
                  </m:den>
                </m:f>
                <m:r>
                  <w:rPr>
                    <w:rFonts w:ascii="Cambria Math" w:hAnsi="Cambria Math"/>
                  </w:rPr>
                  <m:t>=0</m:t>
                </m:r>
              </m:oMath>
            </m:oMathPara>
          </w:p>
        </w:tc>
        <w:tc>
          <w:tcPr>
            <w:tcW w:w="1247" w:type="dxa"/>
            <w:vAlign w:val="center"/>
          </w:tcPr>
          <w:p w14:paraId="6F1A9AE5" w14:textId="4FF1B334" w:rsidR="0025232C" w:rsidRPr="001455DC" w:rsidRDefault="0025232C">
            <w:pPr>
              <w:pStyle w:val="a7"/>
              <w:jc w:val="right"/>
            </w:pPr>
            <w:r w:rsidRPr="001455DC">
              <w:t>(G.</w:t>
            </w:r>
            <w:r w:rsidR="00416A13" w:rsidRPr="001455DC">
              <w:t>20</w:t>
            </w:r>
            <w:r w:rsidRPr="001455DC">
              <w:t>)</w:t>
            </w:r>
          </w:p>
        </w:tc>
      </w:tr>
    </w:tbl>
    <w:p w14:paraId="5574919C" w14:textId="6E3863AC" w:rsidR="0025232C" w:rsidRPr="001455DC" w:rsidRDefault="0025232C"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25232C" w:rsidRPr="001455DC" w14:paraId="765E6BA0" w14:textId="77777777" w:rsidTr="00A663EB">
        <w:trPr>
          <w:cantSplit/>
        </w:trPr>
        <w:tc>
          <w:tcPr>
            <w:tcW w:w="567" w:type="dxa"/>
          </w:tcPr>
          <w:p w14:paraId="7402E64F" w14:textId="00EF9F51" w:rsidR="0025232C" w:rsidRPr="001455DC" w:rsidRDefault="0025232C" w:rsidP="00A663EB">
            <w:pPr>
              <w:pStyle w:val="Tablebody"/>
            </w:pPr>
            <w:r w:rsidRPr="001455DC">
              <w:rPr>
                <w:rStyle w:val="CCMCvariableitalic"/>
              </w:rPr>
              <w:t>τ</w:t>
            </w:r>
          </w:p>
        </w:tc>
        <w:tc>
          <w:tcPr>
            <w:tcW w:w="8845" w:type="dxa"/>
          </w:tcPr>
          <w:p w14:paraId="2E4A6055" w14:textId="7A392C4C" w:rsidR="0025232C" w:rsidRPr="001455DC" w:rsidRDefault="0025232C" w:rsidP="00A663EB">
            <w:pPr>
              <w:pStyle w:val="Tablebody"/>
            </w:pPr>
            <w:r w:rsidRPr="001455DC">
              <w:rPr>
                <w:rFonts w:eastAsiaTheme="minorHAnsi"/>
              </w:rPr>
              <w:t>is the shear stress at the point where the crack is being determined.</w:t>
            </w:r>
          </w:p>
        </w:tc>
      </w:tr>
    </w:tbl>
    <w:p w14:paraId="06870219" w14:textId="0674A9DC" w:rsidR="004E22C1" w:rsidRPr="001455DC" w:rsidRDefault="0092743C" w:rsidP="0092743C">
      <w:pPr>
        <w:pStyle w:val="ANNEX"/>
      </w:pPr>
      <w:bookmarkStart w:id="1578" w:name="_Toc52820180"/>
      <w:r w:rsidRPr="001455DC">
        <w:br/>
      </w:r>
      <w:bookmarkStart w:id="1579" w:name="_Toc54337169"/>
      <w:bookmarkStart w:id="1580" w:name="_Toc54337600"/>
      <w:bookmarkStart w:id="1581" w:name="_Toc54338235"/>
      <w:bookmarkStart w:id="1582" w:name="_Toc67565565"/>
      <w:r w:rsidR="004E22C1" w:rsidRPr="001455DC">
        <w:rPr>
          <w:b w:val="0"/>
        </w:rPr>
        <w:t>(</w:t>
      </w:r>
      <w:r w:rsidR="00436D10" w:rsidRPr="001455DC">
        <w:rPr>
          <w:b w:val="0"/>
        </w:rPr>
        <w:t>informative</w:t>
      </w:r>
      <w:r w:rsidR="004E22C1" w:rsidRPr="001455DC">
        <w:rPr>
          <w:b w:val="0"/>
        </w:rPr>
        <w:t>)</w:t>
      </w:r>
      <w:r w:rsidRPr="001455DC">
        <w:rPr>
          <w:b w:val="0"/>
        </w:rPr>
        <w:br/>
      </w:r>
      <w:r w:rsidRPr="001455DC">
        <w:br/>
      </w:r>
      <w:r w:rsidR="004E22C1" w:rsidRPr="001455DC">
        <w:t>Guidance on design of concrete structures for water-tightness</w:t>
      </w:r>
      <w:bookmarkEnd w:id="1578"/>
      <w:bookmarkEnd w:id="1579"/>
      <w:bookmarkEnd w:id="1580"/>
      <w:bookmarkEnd w:id="1581"/>
      <w:bookmarkEnd w:id="1582"/>
    </w:p>
    <w:p w14:paraId="1213A18B" w14:textId="4739EE03" w:rsidR="008D35BC" w:rsidRPr="001455DC" w:rsidRDefault="006E0B24" w:rsidP="00082680">
      <w:pPr>
        <w:pStyle w:val="a2"/>
      </w:pPr>
      <w:bookmarkStart w:id="1583" w:name="_Toc67565566"/>
      <w:bookmarkStart w:id="1584" w:name="_Toc52820181"/>
      <w:bookmarkStart w:id="1585" w:name="_Toc54337170"/>
      <w:bookmarkStart w:id="1586" w:name="_Toc54337601"/>
      <w:bookmarkStart w:id="1587" w:name="_Toc54338236"/>
      <w:r w:rsidRPr="001455DC">
        <w:t>Use of this annex</w:t>
      </w:r>
      <w:bookmarkEnd w:id="1583"/>
    </w:p>
    <w:p w14:paraId="034DA86A" w14:textId="0CDD1A6F" w:rsidR="008D35BC" w:rsidRPr="009D3012" w:rsidRDefault="008D35BC" w:rsidP="009D3012">
      <w:pPr>
        <w:pStyle w:val="a7"/>
      </w:pPr>
      <w:r w:rsidRPr="009D3012">
        <w:t>(1)</w:t>
      </w:r>
      <w:r w:rsidRPr="009D3012">
        <w:tab/>
        <w:t xml:space="preserve">This </w:t>
      </w:r>
      <w:r w:rsidR="006E0B24" w:rsidRPr="009D3012">
        <w:t xml:space="preserve">informative </w:t>
      </w:r>
      <w:r w:rsidRPr="009D3012">
        <w:t>annex</w:t>
      </w:r>
      <w:r w:rsidR="006E0B24" w:rsidRPr="009D3012">
        <w:t xml:space="preserve"> provides supplementary guidance</w:t>
      </w:r>
      <w:r w:rsidRPr="009D3012">
        <w:t xml:space="preserve"> on the design of concrete structures that shall be tight against leakage either from water inside storage volumes, or external water like ground water.</w:t>
      </w:r>
    </w:p>
    <w:p w14:paraId="3A2B73BE" w14:textId="0B19E967" w:rsidR="006E0B24" w:rsidRPr="009D3012" w:rsidRDefault="006E0B24" w:rsidP="009D3012">
      <w:pPr>
        <w:pStyle w:val="Note"/>
      </w:pPr>
      <w:r w:rsidRPr="009D3012">
        <w:t>NOTE National choice on the application of this Informative Annex is given in a National Annex. If a National Annex contains no information on the application of this Informative Annex, it can be used.</w:t>
      </w:r>
    </w:p>
    <w:p w14:paraId="79B64807" w14:textId="46F30E63" w:rsidR="006E0B24" w:rsidRPr="001455DC" w:rsidRDefault="006E0B24" w:rsidP="00082680">
      <w:pPr>
        <w:pStyle w:val="a2"/>
      </w:pPr>
      <w:bookmarkStart w:id="1588" w:name="_Toc67565567"/>
      <w:r w:rsidRPr="001455DC">
        <w:t>Scope and field of application</w:t>
      </w:r>
      <w:bookmarkEnd w:id="1588"/>
    </w:p>
    <w:p w14:paraId="3152FD03" w14:textId="0662563B" w:rsidR="006E0B24" w:rsidRPr="009D3012" w:rsidRDefault="006E0B24" w:rsidP="009D3012">
      <w:pPr>
        <w:pStyle w:val="a7"/>
      </w:pPr>
      <w:r w:rsidRPr="009D3012">
        <w:t>(1) This Informative Annex applies mainly to water tightness of concrete structures. It may be used also for other liquids if it can be shown that the liquid behaviour is similar to water.</w:t>
      </w:r>
    </w:p>
    <w:p w14:paraId="04682A17" w14:textId="4DC42B19" w:rsidR="004E22C1" w:rsidRPr="001455DC" w:rsidRDefault="004E22C1" w:rsidP="00082680">
      <w:pPr>
        <w:pStyle w:val="a2"/>
      </w:pPr>
      <w:bookmarkStart w:id="1589" w:name="_Toc67565568"/>
      <w:r w:rsidRPr="001455DC">
        <w:t>General</w:t>
      </w:r>
      <w:bookmarkEnd w:id="1584"/>
      <w:bookmarkEnd w:id="1585"/>
      <w:bookmarkEnd w:id="1586"/>
      <w:bookmarkEnd w:id="1587"/>
      <w:bookmarkEnd w:id="1589"/>
    </w:p>
    <w:p w14:paraId="072275C3" w14:textId="194BD930" w:rsidR="004E22C1" w:rsidRPr="001455DC" w:rsidRDefault="008D35BC" w:rsidP="0092743C">
      <w:pPr>
        <w:pStyle w:val="a7"/>
      </w:pPr>
      <w:r w:rsidRPr="001455DC" w:rsidDel="008D35BC">
        <w:t xml:space="preserve"> </w:t>
      </w:r>
      <w:r w:rsidR="004E22C1" w:rsidRPr="001455DC">
        <w:t>(</w:t>
      </w:r>
      <w:r w:rsidR="006E0B24" w:rsidRPr="001455DC">
        <w:t>1</w:t>
      </w:r>
      <w:r w:rsidR="004E22C1" w:rsidRPr="001455DC">
        <w:t>)</w:t>
      </w:r>
      <w:r w:rsidR="004E22C1" w:rsidRPr="001455DC">
        <w:tab/>
        <w:t>Concrete in watertight structures should have an adequate composition to obtain low permeability i.e. should have a low water-cement ratio, be rich in fines and meet limitation of maximum aggregate size when the dimensions are close to the minimum values given in (3).</w:t>
      </w:r>
    </w:p>
    <w:p w14:paraId="500C7BB3" w14:textId="0DD7B725" w:rsidR="004E22C1" w:rsidRPr="001455DC" w:rsidRDefault="004E22C1" w:rsidP="0092743C">
      <w:pPr>
        <w:pStyle w:val="a7"/>
      </w:pPr>
      <w:r w:rsidRPr="001455DC">
        <w:t>(</w:t>
      </w:r>
      <w:r w:rsidR="006E0B24" w:rsidRPr="001455DC">
        <w:t>2</w:t>
      </w:r>
      <w:r w:rsidRPr="001455DC">
        <w:t>)</w:t>
      </w:r>
      <w:r w:rsidRPr="001455DC">
        <w:tab/>
        <w:t>Minimum thickness of members where tightness class TC 0</w:t>
      </w:r>
      <w:r w:rsidRPr="001455DC">
        <w:rPr>
          <w:bCs/>
        </w:rPr>
        <w:t xml:space="preserve"> </w:t>
      </w:r>
      <w:r w:rsidRPr="001455DC">
        <w:t>(see Table H.1) is satisfactory should be 120 mm. A minimum thickness of 150 mm should be provided for other tightness classes.</w:t>
      </w:r>
    </w:p>
    <w:p w14:paraId="09F27545" w14:textId="2799BC77" w:rsidR="004E22C1" w:rsidRPr="001455DC" w:rsidRDefault="004E22C1" w:rsidP="0092743C">
      <w:pPr>
        <w:pStyle w:val="a7"/>
      </w:pPr>
      <w:r w:rsidRPr="001455DC">
        <w:t>(</w:t>
      </w:r>
      <w:r w:rsidR="006E0B24" w:rsidRPr="001455DC">
        <w:t>3</w:t>
      </w:r>
      <w:r w:rsidRPr="001455DC">
        <w:t>)</w:t>
      </w:r>
      <w:r w:rsidRPr="001455DC">
        <w:tab/>
        <w:t>The concrete sections shall be designed with adequate reinforcement to ensure good crack distribution and limitation of crack-widths in accordance with 9.2.</w:t>
      </w:r>
    </w:p>
    <w:p w14:paraId="3589997B" w14:textId="77777777" w:rsidR="004E22C1" w:rsidRPr="001455DC" w:rsidRDefault="004E22C1" w:rsidP="0092743C">
      <w:pPr>
        <w:pStyle w:val="Note"/>
      </w:pPr>
      <w:r w:rsidRPr="001455DC">
        <w:t>NOTE</w:t>
      </w:r>
      <w:r w:rsidRPr="001455DC">
        <w:tab/>
        <w:t>Fibre reinforced concrete (FRC) or post-tensioning can be more sustainable alternatives to large reinforcement ratios to limit crack width.</w:t>
      </w:r>
    </w:p>
    <w:p w14:paraId="5DB6ABAC" w14:textId="20E30CC8" w:rsidR="004E22C1" w:rsidRPr="001455DC" w:rsidRDefault="004E22C1" w:rsidP="00082680">
      <w:pPr>
        <w:pStyle w:val="a2"/>
      </w:pPr>
      <w:bookmarkStart w:id="1590" w:name="_Toc56582702"/>
      <w:bookmarkStart w:id="1591" w:name="_Toc56595753"/>
      <w:bookmarkStart w:id="1592" w:name="_Toc52820182"/>
      <w:bookmarkStart w:id="1593" w:name="_Toc54337171"/>
      <w:bookmarkStart w:id="1594" w:name="_Toc54337602"/>
      <w:bookmarkStart w:id="1595" w:name="_Toc54338237"/>
      <w:bookmarkStart w:id="1596" w:name="_Toc67565569"/>
      <w:bookmarkEnd w:id="1590"/>
      <w:bookmarkEnd w:id="1591"/>
      <w:r w:rsidRPr="001455DC">
        <w:t>Tightness classes</w:t>
      </w:r>
      <w:bookmarkEnd w:id="1592"/>
      <w:bookmarkEnd w:id="1593"/>
      <w:bookmarkEnd w:id="1594"/>
      <w:bookmarkEnd w:id="1595"/>
      <w:bookmarkEnd w:id="1596"/>
    </w:p>
    <w:p w14:paraId="43E4D31B" w14:textId="599AC0CB" w:rsidR="004E22C1" w:rsidRPr="001455DC" w:rsidRDefault="004E22C1" w:rsidP="00243590">
      <w:pPr>
        <w:pStyle w:val="a3"/>
      </w:pPr>
      <w:bookmarkStart w:id="1597" w:name="_Toc52820183"/>
      <w:bookmarkStart w:id="1598" w:name="_Toc54337603"/>
      <w:bookmarkStart w:id="1599" w:name="_Toc54338238"/>
      <w:r w:rsidRPr="001455DC">
        <w:t>Classification</w:t>
      </w:r>
      <w:bookmarkEnd w:id="1597"/>
      <w:bookmarkEnd w:id="1598"/>
      <w:bookmarkEnd w:id="1599"/>
    </w:p>
    <w:p w14:paraId="3C8382AF" w14:textId="77777777" w:rsidR="004E22C1" w:rsidRPr="001455DC" w:rsidRDefault="004E22C1" w:rsidP="0092743C">
      <w:pPr>
        <w:pStyle w:val="a7"/>
      </w:pPr>
      <w:r w:rsidRPr="001455DC">
        <w:t>(1)</w:t>
      </w:r>
      <w:r w:rsidRPr="001455DC">
        <w:tab/>
        <w:t>Water retaining structures may be classified in relation to the degree of required protection against leakage according to Table H.1.</w:t>
      </w:r>
    </w:p>
    <w:p w14:paraId="1C393F2E" w14:textId="21B20A9F" w:rsidR="004E22C1" w:rsidRPr="001455DC" w:rsidRDefault="004E22C1" w:rsidP="0092743C">
      <w:pPr>
        <w:pStyle w:val="Note"/>
      </w:pPr>
      <w:r w:rsidRPr="001455DC">
        <w:t>NOTE</w:t>
      </w:r>
      <w:r w:rsidR="00B47E3D" w:rsidRPr="001455DC">
        <w:t xml:space="preserve"> 1</w:t>
      </w:r>
      <w:r w:rsidRPr="001455DC">
        <w:tab/>
        <w:t>All concretes permit the passage of small quantities of liquids and gases by diffusion.</w:t>
      </w:r>
    </w:p>
    <w:p w14:paraId="5B3985C0" w14:textId="77777777" w:rsidR="004E22C1" w:rsidRPr="001455DC" w:rsidRDefault="004E22C1" w:rsidP="0092743C">
      <w:pPr>
        <w:pStyle w:val="Tabletitle"/>
      </w:pPr>
      <w:bookmarkStart w:id="1600" w:name="_Toc54337604"/>
      <w:r w:rsidRPr="001455DC">
        <w:t>Table H.1 — Classification of tightness</w:t>
      </w:r>
      <w:bookmarkEnd w:id="1600"/>
    </w:p>
    <w:tbl>
      <w:tblPr>
        <w:tblStyle w:val="53"/>
        <w:tblW w:w="9752" w:type="dxa"/>
        <w:tblLayout w:type="fixed"/>
        <w:tblLook w:val="0620" w:firstRow="1" w:lastRow="0" w:firstColumn="0" w:lastColumn="0" w:noHBand="1" w:noVBand="1"/>
      </w:tblPr>
      <w:tblGrid>
        <w:gridCol w:w="1361"/>
        <w:gridCol w:w="8391"/>
      </w:tblGrid>
      <w:tr w:rsidR="004E22C1" w:rsidRPr="001455DC" w14:paraId="5F68CFFD" w14:textId="77777777" w:rsidTr="0092743C">
        <w:trPr>
          <w:cnfStyle w:val="100000000000" w:firstRow="1" w:lastRow="0" w:firstColumn="0" w:lastColumn="0" w:oddVBand="0" w:evenVBand="0" w:oddHBand="0" w:evenHBand="0" w:firstRowFirstColumn="0" w:firstRowLastColumn="0" w:lastRowFirstColumn="0" w:lastRowLastColumn="0"/>
          <w:tblHeader/>
        </w:trPr>
        <w:tc>
          <w:tcPr>
            <w:tcW w:w="698" w:type="pct"/>
          </w:tcPr>
          <w:p w14:paraId="7B810824" w14:textId="36399AFF" w:rsidR="004E22C1" w:rsidRPr="001455DC" w:rsidRDefault="004E22C1" w:rsidP="0092743C">
            <w:pPr>
              <w:pStyle w:val="Tableheader"/>
              <w:keepNext/>
            </w:pPr>
            <w:r w:rsidRPr="001455DC">
              <w:t>Tightness</w:t>
            </w:r>
            <w:r w:rsidR="0092743C" w:rsidRPr="001455DC">
              <w:t xml:space="preserve"> </w:t>
            </w:r>
            <w:r w:rsidRPr="001455DC">
              <w:t>Class</w:t>
            </w:r>
          </w:p>
        </w:tc>
        <w:tc>
          <w:tcPr>
            <w:tcW w:w="4302" w:type="pct"/>
          </w:tcPr>
          <w:p w14:paraId="20225021" w14:textId="77777777" w:rsidR="004E22C1" w:rsidRPr="001455DC" w:rsidRDefault="004E22C1" w:rsidP="0092743C">
            <w:pPr>
              <w:pStyle w:val="Tableheader"/>
              <w:keepNext/>
            </w:pPr>
            <w:r w:rsidRPr="001455DC">
              <w:t>Requirements for leakage</w:t>
            </w:r>
          </w:p>
        </w:tc>
      </w:tr>
      <w:tr w:rsidR="004E22C1" w:rsidRPr="001455DC" w14:paraId="3599A6B4" w14:textId="77777777" w:rsidTr="0092743C">
        <w:tc>
          <w:tcPr>
            <w:tcW w:w="698" w:type="pct"/>
            <w:vAlign w:val="center"/>
          </w:tcPr>
          <w:p w14:paraId="52FFFA1F" w14:textId="77777777" w:rsidR="004E22C1" w:rsidRPr="001455DC" w:rsidRDefault="004E22C1" w:rsidP="0092743C">
            <w:pPr>
              <w:pStyle w:val="Tablebody"/>
              <w:keepNext/>
              <w:jc w:val="center"/>
            </w:pPr>
            <w:r w:rsidRPr="001455DC">
              <w:t>TC 0</w:t>
            </w:r>
          </w:p>
        </w:tc>
        <w:tc>
          <w:tcPr>
            <w:tcW w:w="4302" w:type="pct"/>
            <w:vAlign w:val="center"/>
          </w:tcPr>
          <w:p w14:paraId="412B4F9A" w14:textId="77777777" w:rsidR="004E22C1" w:rsidRPr="009D3012" w:rsidRDefault="004E22C1" w:rsidP="0092743C">
            <w:pPr>
              <w:pStyle w:val="Tablebody"/>
              <w:keepNext/>
              <w:jc w:val="left"/>
              <w:rPr>
                <w:lang w:val="en-US"/>
              </w:rPr>
            </w:pPr>
            <w:r w:rsidRPr="009D3012">
              <w:rPr>
                <w:lang w:val="en-US"/>
              </w:rPr>
              <w:t>Some degree of leakage acceptable, or leakage of water irrelevant</w:t>
            </w:r>
          </w:p>
        </w:tc>
      </w:tr>
      <w:tr w:rsidR="004E22C1" w:rsidRPr="001455DC" w14:paraId="5E02278B" w14:textId="77777777" w:rsidTr="0092743C">
        <w:tc>
          <w:tcPr>
            <w:tcW w:w="698" w:type="pct"/>
            <w:vAlign w:val="center"/>
          </w:tcPr>
          <w:p w14:paraId="629D2679" w14:textId="77777777" w:rsidR="004E22C1" w:rsidRPr="001455DC" w:rsidRDefault="004E22C1" w:rsidP="0092743C">
            <w:pPr>
              <w:pStyle w:val="Tablebody"/>
              <w:keepNext/>
              <w:jc w:val="center"/>
            </w:pPr>
            <w:r w:rsidRPr="001455DC">
              <w:t>TC 1</w:t>
            </w:r>
          </w:p>
        </w:tc>
        <w:tc>
          <w:tcPr>
            <w:tcW w:w="4302" w:type="pct"/>
            <w:vAlign w:val="center"/>
          </w:tcPr>
          <w:p w14:paraId="41D9DD0E" w14:textId="77777777" w:rsidR="004E22C1" w:rsidRPr="009D3012" w:rsidRDefault="004E22C1" w:rsidP="0092743C">
            <w:pPr>
              <w:pStyle w:val="Tablebody"/>
              <w:keepNext/>
              <w:jc w:val="left"/>
              <w:rPr>
                <w:lang w:val="en-US"/>
              </w:rPr>
            </w:pPr>
            <w:r w:rsidRPr="009D3012">
              <w:rPr>
                <w:lang w:val="en-US"/>
              </w:rPr>
              <w:t>Leakage to be limited to a small amount. Some surface staining or damp patches acceptable.</w:t>
            </w:r>
          </w:p>
        </w:tc>
      </w:tr>
      <w:tr w:rsidR="004E22C1" w:rsidRPr="001455DC" w14:paraId="6A4B5813" w14:textId="77777777" w:rsidTr="0092743C">
        <w:tc>
          <w:tcPr>
            <w:tcW w:w="698" w:type="pct"/>
            <w:vAlign w:val="center"/>
          </w:tcPr>
          <w:p w14:paraId="13B3E7F3" w14:textId="77777777" w:rsidR="004E22C1" w:rsidRPr="001455DC" w:rsidRDefault="004E22C1" w:rsidP="0092743C">
            <w:pPr>
              <w:pStyle w:val="Tablebody"/>
              <w:keepNext/>
              <w:jc w:val="center"/>
            </w:pPr>
            <w:r w:rsidRPr="001455DC">
              <w:t>TC 2</w:t>
            </w:r>
          </w:p>
        </w:tc>
        <w:tc>
          <w:tcPr>
            <w:tcW w:w="4302" w:type="pct"/>
            <w:vAlign w:val="center"/>
          </w:tcPr>
          <w:p w14:paraId="77D610B1" w14:textId="77777777" w:rsidR="004E22C1" w:rsidRPr="009D3012" w:rsidRDefault="004E22C1" w:rsidP="0092743C">
            <w:pPr>
              <w:pStyle w:val="Tablebody"/>
              <w:keepNext/>
              <w:jc w:val="left"/>
              <w:rPr>
                <w:lang w:val="en-US"/>
              </w:rPr>
            </w:pPr>
            <w:r w:rsidRPr="009D3012">
              <w:rPr>
                <w:lang w:val="en-US"/>
              </w:rPr>
              <w:t>Leakage to be minimal. Appearance not to be impaired by staining.</w:t>
            </w:r>
          </w:p>
        </w:tc>
      </w:tr>
      <w:tr w:rsidR="004E22C1" w:rsidRPr="001455DC" w14:paraId="62D04860" w14:textId="77777777" w:rsidTr="0092743C">
        <w:tc>
          <w:tcPr>
            <w:tcW w:w="698" w:type="pct"/>
            <w:vAlign w:val="center"/>
          </w:tcPr>
          <w:p w14:paraId="677EC1D1" w14:textId="77777777" w:rsidR="004E22C1" w:rsidRPr="001455DC" w:rsidRDefault="004E22C1" w:rsidP="0092743C">
            <w:pPr>
              <w:pStyle w:val="Tablebody"/>
              <w:jc w:val="center"/>
            </w:pPr>
            <w:r w:rsidRPr="001455DC">
              <w:t>TC 3</w:t>
            </w:r>
          </w:p>
        </w:tc>
        <w:tc>
          <w:tcPr>
            <w:tcW w:w="4302" w:type="pct"/>
            <w:vAlign w:val="center"/>
          </w:tcPr>
          <w:p w14:paraId="04DE64DE" w14:textId="77777777" w:rsidR="004E22C1" w:rsidRPr="001455DC" w:rsidRDefault="004E22C1" w:rsidP="0092743C">
            <w:pPr>
              <w:pStyle w:val="Tablebody"/>
              <w:jc w:val="left"/>
            </w:pPr>
            <w:r w:rsidRPr="001455DC">
              <w:t>No leakage is permitted.</w:t>
            </w:r>
          </w:p>
        </w:tc>
      </w:tr>
    </w:tbl>
    <w:p w14:paraId="0FEF5FE5" w14:textId="77777777" w:rsidR="0092743C" w:rsidRPr="001455DC" w:rsidRDefault="0092743C" w:rsidP="0092743C">
      <w:pPr>
        <w:pStyle w:val="a7"/>
      </w:pPr>
    </w:p>
    <w:p w14:paraId="6B757FC3" w14:textId="4E1BCC96" w:rsidR="004E22C1" w:rsidRPr="001455DC" w:rsidRDefault="004E22C1" w:rsidP="0092743C">
      <w:pPr>
        <w:pStyle w:val="Note"/>
      </w:pPr>
      <w:r w:rsidRPr="001455DC">
        <w:t>NOTE</w:t>
      </w:r>
      <w:r w:rsidR="00B47E3D" w:rsidRPr="001455DC">
        <w:t xml:space="preserve"> 2</w:t>
      </w:r>
      <w:r w:rsidRPr="001455DC">
        <w:tab/>
        <w:t>The tightness classes can be defined quantitatively on a project-specific basis by specifying the leakage rate and relating it to the crack opening by using H.</w:t>
      </w:r>
      <w:r w:rsidR="006E0B24" w:rsidRPr="001455DC">
        <w:t>4</w:t>
      </w:r>
      <w:r w:rsidRPr="001455DC">
        <w:t>.2 (7).</w:t>
      </w:r>
    </w:p>
    <w:p w14:paraId="15B34378" w14:textId="6D3E82B8" w:rsidR="004E22C1" w:rsidRPr="001455DC" w:rsidRDefault="004E22C1" w:rsidP="00243590">
      <w:pPr>
        <w:pStyle w:val="a3"/>
      </w:pPr>
      <w:bookmarkStart w:id="1601" w:name="_Ref515374273"/>
      <w:bookmarkStart w:id="1602" w:name="_Toc52820184"/>
      <w:bookmarkStart w:id="1603" w:name="_Toc54337605"/>
      <w:bookmarkStart w:id="1604" w:name="_Toc54338239"/>
      <w:r w:rsidRPr="001455DC">
        <w:t>Tightness requirements</w:t>
      </w:r>
      <w:bookmarkEnd w:id="1601"/>
      <w:bookmarkEnd w:id="1602"/>
      <w:bookmarkEnd w:id="1603"/>
      <w:bookmarkEnd w:id="1604"/>
    </w:p>
    <w:p w14:paraId="19300E2A" w14:textId="77777777" w:rsidR="004E22C1" w:rsidRPr="001455DC" w:rsidRDefault="004E22C1" w:rsidP="00116AE2">
      <w:pPr>
        <w:pStyle w:val="a7"/>
        <w:keepNext/>
      </w:pPr>
      <w:r w:rsidRPr="001455DC">
        <w:t>(1)</w:t>
      </w:r>
      <w:r w:rsidRPr="001455DC">
        <w:tab/>
        <w:t>Appropriate limits to cracking depending on the tightness class of the element considered should be selected, paying due regard to the required function of the structure. In the absence of more specific requirements, the following may be adopted:</w:t>
      </w:r>
    </w:p>
    <w:tbl>
      <w:tblPr>
        <w:tblStyle w:val="ad"/>
        <w:tblW w:w="9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737"/>
        <w:gridCol w:w="9072"/>
      </w:tblGrid>
      <w:tr w:rsidR="0092743C" w:rsidRPr="001455DC" w14:paraId="18E55A5F" w14:textId="77777777" w:rsidTr="0092743C">
        <w:trPr>
          <w:cantSplit/>
        </w:trPr>
        <w:tc>
          <w:tcPr>
            <w:tcW w:w="737" w:type="dxa"/>
          </w:tcPr>
          <w:p w14:paraId="4164F2D7" w14:textId="77777777" w:rsidR="0092743C" w:rsidRPr="001455DC" w:rsidRDefault="0092743C" w:rsidP="0092743C">
            <w:pPr>
              <w:pStyle w:val="Tablebody"/>
              <w:jc w:val="left"/>
            </w:pPr>
            <w:r w:rsidRPr="001455DC">
              <w:t>TC 0 –</w:t>
            </w:r>
          </w:p>
        </w:tc>
        <w:tc>
          <w:tcPr>
            <w:tcW w:w="9072" w:type="dxa"/>
          </w:tcPr>
          <w:p w14:paraId="58C501DD" w14:textId="77777777" w:rsidR="0092743C" w:rsidRPr="001455DC" w:rsidRDefault="0092743C" w:rsidP="0092743C">
            <w:pPr>
              <w:pStyle w:val="Tablebody"/>
            </w:pPr>
            <w:r w:rsidRPr="001455DC">
              <w:t>the provisions of 9.2.1 may be adopted.</w:t>
            </w:r>
          </w:p>
        </w:tc>
      </w:tr>
      <w:tr w:rsidR="0092743C" w:rsidRPr="001455DC" w14:paraId="0D66D36C" w14:textId="77777777" w:rsidTr="0092743C">
        <w:trPr>
          <w:cantSplit/>
        </w:trPr>
        <w:tc>
          <w:tcPr>
            <w:tcW w:w="737" w:type="dxa"/>
          </w:tcPr>
          <w:p w14:paraId="31C8B53F" w14:textId="77777777" w:rsidR="0092743C" w:rsidRPr="001455DC" w:rsidRDefault="0092743C" w:rsidP="0092743C">
            <w:pPr>
              <w:pStyle w:val="Tablebody"/>
              <w:jc w:val="left"/>
            </w:pPr>
            <w:r w:rsidRPr="001455DC">
              <w:t>TC 1 –</w:t>
            </w:r>
          </w:p>
        </w:tc>
        <w:tc>
          <w:tcPr>
            <w:tcW w:w="9072" w:type="dxa"/>
          </w:tcPr>
          <w:p w14:paraId="7BDDF758" w14:textId="77777777" w:rsidR="0092743C" w:rsidRPr="001455DC" w:rsidRDefault="0092743C" w:rsidP="0092743C">
            <w:pPr>
              <w:pStyle w:val="Tablebody"/>
            </w:pPr>
            <w:r w:rsidRPr="001455DC">
              <w:t xml:space="preserve">the width of any cracks expected to pass through the full thickness of the section should be limited to </w:t>
            </w:r>
            <w:r w:rsidRPr="001455DC">
              <w:rPr>
                <w:rStyle w:val="CCMCvariableitalic"/>
              </w:rPr>
              <w:t>w</w:t>
            </w:r>
            <w:r w:rsidRPr="001455DC">
              <w:rPr>
                <w:rStyle w:val="CCMCvariablesubscript"/>
              </w:rPr>
              <w:t>k,lim1</w:t>
            </w:r>
            <w:r w:rsidRPr="001455DC">
              <w:rPr>
                <w:rFonts w:eastAsiaTheme="minorHAnsi"/>
              </w:rPr>
              <w:t xml:space="preserve"> given in (2)</w:t>
            </w:r>
            <w:r w:rsidRPr="001455DC">
              <w:t>. 9.2.1 applies where the full thickness of the section is not cracked.</w:t>
            </w:r>
          </w:p>
        </w:tc>
      </w:tr>
      <w:tr w:rsidR="0092743C" w:rsidRPr="001455DC" w14:paraId="2D3BB6F7" w14:textId="77777777" w:rsidTr="0092743C">
        <w:trPr>
          <w:cantSplit/>
        </w:trPr>
        <w:tc>
          <w:tcPr>
            <w:tcW w:w="737" w:type="dxa"/>
          </w:tcPr>
          <w:p w14:paraId="3CC991CE" w14:textId="77777777" w:rsidR="0092743C" w:rsidRPr="001455DC" w:rsidRDefault="0092743C" w:rsidP="0092743C">
            <w:pPr>
              <w:pStyle w:val="Tablebody"/>
              <w:jc w:val="left"/>
            </w:pPr>
            <w:r w:rsidRPr="001455DC">
              <w:t>TC 2 –</w:t>
            </w:r>
          </w:p>
        </w:tc>
        <w:tc>
          <w:tcPr>
            <w:tcW w:w="9072" w:type="dxa"/>
          </w:tcPr>
          <w:p w14:paraId="1BEB4ED3" w14:textId="77777777" w:rsidR="0092743C" w:rsidRPr="001455DC" w:rsidRDefault="0092743C" w:rsidP="0092743C">
            <w:pPr>
              <w:pStyle w:val="Tablebody"/>
            </w:pPr>
            <w:r w:rsidRPr="001455DC">
              <w:t>cracks which may be expected to pass through the full thickness of the section should generally be avoided unless appropriate measures (e.g. liners or water barriers) have been incorporated.</w:t>
            </w:r>
          </w:p>
        </w:tc>
      </w:tr>
      <w:tr w:rsidR="0092743C" w:rsidRPr="001455DC" w14:paraId="7FEA5464" w14:textId="77777777" w:rsidTr="0092743C">
        <w:trPr>
          <w:cantSplit/>
        </w:trPr>
        <w:tc>
          <w:tcPr>
            <w:tcW w:w="737" w:type="dxa"/>
          </w:tcPr>
          <w:p w14:paraId="66E6F20D" w14:textId="77777777" w:rsidR="0092743C" w:rsidRPr="001455DC" w:rsidRDefault="0092743C" w:rsidP="0092743C">
            <w:pPr>
              <w:pStyle w:val="Tablebody"/>
              <w:jc w:val="left"/>
            </w:pPr>
            <w:r w:rsidRPr="001455DC">
              <w:t>TC 3 –</w:t>
            </w:r>
          </w:p>
        </w:tc>
        <w:tc>
          <w:tcPr>
            <w:tcW w:w="9072" w:type="dxa"/>
          </w:tcPr>
          <w:p w14:paraId="44E0D223" w14:textId="77777777" w:rsidR="0092743C" w:rsidRPr="001455DC" w:rsidRDefault="0092743C" w:rsidP="0092743C">
            <w:pPr>
              <w:pStyle w:val="Tablebody"/>
            </w:pPr>
            <w:r w:rsidRPr="001455DC">
              <w:t>generally, special measures (e.g. liners or prestress) will be required to ensure water-tightness.</w:t>
            </w:r>
          </w:p>
        </w:tc>
      </w:tr>
    </w:tbl>
    <w:p w14:paraId="30A70591" w14:textId="77777777" w:rsidR="004E22C1" w:rsidRPr="001455DC" w:rsidRDefault="004E22C1" w:rsidP="00116AE2">
      <w:pPr>
        <w:pStyle w:val="a7"/>
        <w:keepNext/>
      </w:pPr>
      <w:r w:rsidRPr="001455DC">
        <w:t>(2)</w:t>
      </w:r>
      <w:r w:rsidRPr="001455DC">
        <w:tab/>
        <w:t xml:space="preserve">The values of </w:t>
      </w:r>
      <w:r w:rsidRPr="001455DC">
        <w:rPr>
          <w:rStyle w:val="CCMCvariableitalic"/>
        </w:rPr>
        <w:t>w</w:t>
      </w:r>
      <w:r w:rsidRPr="001455DC">
        <w:rPr>
          <w:rStyle w:val="CCMCvariablesubscript"/>
        </w:rPr>
        <w:t>k,lim1</w:t>
      </w:r>
      <w:r w:rsidRPr="001455DC">
        <w:t xml:space="preserve"> may be defined on a project-specific basis. They may be defined as a function of the ratio of the hydrostatic head </w:t>
      </w:r>
      <w:r w:rsidRPr="001455DC">
        <w:rPr>
          <w:rStyle w:val="CCMCvariableitalic"/>
        </w:rPr>
        <w:t>h</w:t>
      </w:r>
      <w:r w:rsidRPr="001455DC">
        <w:rPr>
          <w:rStyle w:val="CCMCvariablesubscript"/>
        </w:rPr>
        <w:t>D</w:t>
      </w:r>
      <w:r w:rsidRPr="001455DC">
        <w:t xml:space="preserve"> to the thickness of the member </w:t>
      </w:r>
      <w:r w:rsidRPr="001455DC">
        <w:rPr>
          <w:rStyle w:val="CCMCvariableitalic"/>
        </w:rPr>
        <w:t>h</w:t>
      </w:r>
      <w:r w:rsidRPr="001455DC">
        <w:rPr>
          <w:rStyle w:val="CCMCvariablesubscript"/>
        </w:rPr>
        <w:t>D</w:t>
      </w:r>
      <w:r w:rsidRPr="001455DC">
        <w:t>/</w:t>
      </w:r>
      <w:r w:rsidRPr="001455DC">
        <w:rPr>
          <w:rStyle w:val="CCMCvariableitalic"/>
        </w:rPr>
        <w:t>h</w:t>
      </w:r>
      <w:r w:rsidRPr="001455DC">
        <w:t>, as follows:</w:t>
      </w:r>
    </w:p>
    <w:p w14:paraId="128D50B0" w14:textId="326AC4A4" w:rsidR="004E22C1" w:rsidRPr="001455DC" w:rsidRDefault="004E22C1" w:rsidP="0092743C">
      <w:pPr>
        <w:pStyle w:val="a0"/>
        <w:tabs>
          <w:tab w:val="left" w:pos="357"/>
        </w:tabs>
        <w:ind w:left="1985" w:hanging="1985"/>
      </w:pPr>
      <w:r w:rsidRPr="001455DC">
        <w:t xml:space="preserve">for </w:t>
      </w:r>
      <w:r w:rsidRPr="001455DC">
        <w:rPr>
          <w:rStyle w:val="CCMCvariableitalic"/>
        </w:rPr>
        <w:t>h</w:t>
      </w:r>
      <w:r w:rsidRPr="001455DC">
        <w:rPr>
          <w:rStyle w:val="CCMCvariablesubscript"/>
        </w:rPr>
        <w:t>D</w:t>
      </w:r>
      <w:r w:rsidRPr="001455DC">
        <w:t>/</w:t>
      </w:r>
      <w:r w:rsidRPr="001455DC">
        <w:rPr>
          <w:rStyle w:val="CCMCvariableitalic"/>
        </w:rPr>
        <w:t>h</w:t>
      </w:r>
      <w:r w:rsidRPr="001455DC">
        <w:t> </w:t>
      </w:r>
      <w:r w:rsidR="00650035" w:rsidRPr="001455DC">
        <w:rPr>
          <w:rFonts w:ascii="Cambria Math" w:hAnsi="Cambria Math"/>
        </w:rPr>
        <w:t>≤</w:t>
      </w:r>
      <w:r w:rsidRPr="001455DC">
        <w:t> 5:</w:t>
      </w:r>
      <w:r w:rsidRPr="001455DC">
        <w:tab/>
      </w:r>
      <w:r w:rsidRPr="001455DC">
        <w:rPr>
          <w:rStyle w:val="CCMCvariableitalic"/>
        </w:rPr>
        <w:t>w</w:t>
      </w:r>
      <w:r w:rsidRPr="001455DC">
        <w:rPr>
          <w:rStyle w:val="CCMCvariablesubscript"/>
        </w:rPr>
        <w:t>k,lim,1</w:t>
      </w:r>
      <w:r w:rsidRPr="001455DC">
        <w:t> </w:t>
      </w:r>
      <w:r w:rsidR="00EC27D2" w:rsidRPr="001455DC">
        <w:rPr>
          <w:rFonts w:ascii="Cambria Math" w:hAnsi="Cambria Math"/>
        </w:rPr>
        <w:t>=</w:t>
      </w:r>
      <w:r w:rsidRPr="001455DC">
        <w:t> 0,20 mm;</w:t>
      </w:r>
    </w:p>
    <w:p w14:paraId="525D2E94" w14:textId="7C02F664" w:rsidR="004E22C1" w:rsidRPr="001455DC" w:rsidRDefault="004E22C1" w:rsidP="0092743C">
      <w:pPr>
        <w:pStyle w:val="a0"/>
        <w:tabs>
          <w:tab w:val="left" w:pos="357"/>
        </w:tabs>
        <w:ind w:left="1985" w:hanging="1985"/>
      </w:pPr>
      <w:r w:rsidRPr="001455DC">
        <w:t xml:space="preserve">for </w:t>
      </w:r>
      <w:r w:rsidRPr="001455DC">
        <w:rPr>
          <w:rStyle w:val="CCMCvariableitalic"/>
        </w:rPr>
        <w:t>h</w:t>
      </w:r>
      <w:r w:rsidRPr="001455DC">
        <w:rPr>
          <w:rStyle w:val="CCMCvariablesubscript"/>
        </w:rPr>
        <w:t>D</w:t>
      </w:r>
      <w:r w:rsidRPr="001455DC">
        <w:t>/</w:t>
      </w:r>
      <w:r w:rsidRPr="001455DC">
        <w:rPr>
          <w:rStyle w:val="CCMCvariableitalic"/>
        </w:rPr>
        <w:t>h</w:t>
      </w:r>
      <w:r w:rsidRPr="001455DC">
        <w:t> </w:t>
      </w:r>
      <w:r w:rsidR="00650035" w:rsidRPr="001455DC">
        <w:rPr>
          <w:rFonts w:ascii="Cambria Math" w:hAnsi="Cambria Math"/>
        </w:rPr>
        <w:t>≥</w:t>
      </w:r>
      <w:r w:rsidR="00073FC6" w:rsidRPr="001455DC">
        <w:t> </w:t>
      </w:r>
      <w:r w:rsidRPr="001455DC">
        <w:t>35:</w:t>
      </w:r>
      <w:r w:rsidRPr="001455DC">
        <w:tab/>
      </w:r>
      <w:r w:rsidRPr="001455DC">
        <w:rPr>
          <w:rStyle w:val="CCMCvariableitalic"/>
        </w:rPr>
        <w:t>w</w:t>
      </w:r>
      <w:r w:rsidRPr="001455DC">
        <w:rPr>
          <w:rStyle w:val="CCMCvariablesubscript"/>
        </w:rPr>
        <w:t>k,lim,1</w:t>
      </w:r>
      <w:r w:rsidRPr="001455DC">
        <w:t> </w:t>
      </w:r>
      <w:r w:rsidR="00EC27D2" w:rsidRPr="001455DC">
        <w:rPr>
          <w:rFonts w:ascii="Cambria Math" w:hAnsi="Cambria Math"/>
        </w:rPr>
        <w:t>=</w:t>
      </w:r>
      <w:r w:rsidRPr="001455DC">
        <w:t> 0,05 mm.</w:t>
      </w:r>
    </w:p>
    <w:p w14:paraId="5BD0B7E9" w14:textId="77777777" w:rsidR="004E22C1" w:rsidRPr="001455DC" w:rsidRDefault="004E22C1" w:rsidP="0092743C">
      <w:pPr>
        <w:pStyle w:val="a7"/>
      </w:pPr>
      <w:r w:rsidRPr="001455DC">
        <w:t xml:space="preserve">For intermediate values of </w:t>
      </w:r>
      <w:r w:rsidRPr="001455DC">
        <w:rPr>
          <w:rStyle w:val="CCMCvariableitalic"/>
        </w:rPr>
        <w:t>h</w:t>
      </w:r>
      <w:r w:rsidRPr="001455DC">
        <w:rPr>
          <w:rStyle w:val="CCMCvariablesubscript"/>
        </w:rPr>
        <w:t>D</w:t>
      </w:r>
      <w:r w:rsidRPr="001455DC">
        <w:t>/</w:t>
      </w:r>
      <w:r w:rsidRPr="001455DC">
        <w:rPr>
          <w:rStyle w:val="CCMCvariableitalic"/>
        </w:rPr>
        <w:t>h</w:t>
      </w:r>
      <w:r w:rsidRPr="001455DC">
        <w:t>, linear interpolation may be used.</w:t>
      </w:r>
    </w:p>
    <w:p w14:paraId="712C3ECE" w14:textId="77777777" w:rsidR="004E22C1" w:rsidRPr="001455DC" w:rsidRDefault="004E22C1" w:rsidP="0092743C">
      <w:pPr>
        <w:pStyle w:val="a7"/>
      </w:pPr>
      <w:r w:rsidRPr="001455DC">
        <w:t>(3)</w:t>
      </w:r>
      <w:r w:rsidRPr="001455DC">
        <w:tab/>
        <w:t xml:space="preserve">Limitation of the crack widths to these values typically results in the effective sealing of the cracks within a relatively short time. To account for pressurized structures, in the previous expressions </w:t>
      </w:r>
      <w:r w:rsidRPr="001455DC">
        <w:rPr>
          <w:rStyle w:val="CCMCvariableitalic"/>
        </w:rPr>
        <w:t>h</w:t>
      </w:r>
      <w:r w:rsidRPr="001455DC">
        <w:rPr>
          <w:rStyle w:val="CCMCvariablesubscript"/>
        </w:rPr>
        <w:t>D</w:t>
      </w:r>
      <w:r w:rsidRPr="001455DC">
        <w:t xml:space="preserve"> can to be substituted by the ratio of the pressure to the specific weight of water (</w:t>
      </w:r>
      <w:r w:rsidRPr="001455DC">
        <w:rPr>
          <w:rStyle w:val="CCMCvariableitalic"/>
        </w:rPr>
        <w:t>p</w:t>
      </w:r>
      <w:r w:rsidRPr="001455DC">
        <w:t>/</w:t>
      </w:r>
      <w:r w:rsidRPr="001455DC">
        <w:rPr>
          <w:rStyle w:val="CCMCvariableitalic"/>
        </w:rPr>
        <w:t>γ</w:t>
      </w:r>
      <w:r w:rsidRPr="001455DC">
        <w:rPr>
          <w:rStyle w:val="CCMCvariablesubscript"/>
        </w:rPr>
        <w:t>water</w:t>
      </w:r>
      <w:r w:rsidRPr="001455DC">
        <w:t>).</w:t>
      </w:r>
    </w:p>
    <w:p w14:paraId="49726AE2" w14:textId="77777777" w:rsidR="004E22C1" w:rsidRPr="001455DC" w:rsidRDefault="004E22C1" w:rsidP="0092743C">
      <w:pPr>
        <w:pStyle w:val="a7"/>
      </w:pPr>
      <w:r w:rsidRPr="001455DC">
        <w:t>(4)</w:t>
      </w:r>
      <w:r w:rsidRPr="001455DC">
        <w:tab/>
        <w:t xml:space="preserve">To provide adequate assurance for structures of classes TC 2 or TC 3 that cracks do not pass through the full width of a section, the design value of the depth of the compression zone should be at least </w:t>
      </w:r>
      <w:r w:rsidRPr="001455DC">
        <w:rPr>
          <w:rStyle w:val="CCMCvariableitalic"/>
        </w:rPr>
        <w:t>x</w:t>
      </w:r>
      <w:r w:rsidRPr="001455DC">
        <w:rPr>
          <w:rStyle w:val="CCMCvariablesubscript"/>
        </w:rPr>
        <w:t>min</w:t>
      </w:r>
      <w:r w:rsidRPr="001455DC">
        <w:t xml:space="preserve"> under the quasi-permanent combination of actions. Where a section is subjected to alternate actions, cracks should be considered to pass through the full thickness of the section unless it can be shown that some part of the section thickness will always remain in compression. This thickness of concrete in compression should normally be at least </w:t>
      </w:r>
      <w:r w:rsidRPr="001455DC">
        <w:rPr>
          <w:rStyle w:val="CCMCvariableitalic"/>
        </w:rPr>
        <w:t>x</w:t>
      </w:r>
      <w:r w:rsidRPr="001455DC">
        <w:rPr>
          <w:rStyle w:val="CCMCvariablesubscript"/>
        </w:rPr>
        <w:t>min</w:t>
      </w:r>
      <w:r w:rsidRPr="001455DC">
        <w:t xml:space="preserve"> under all appropriate combinations of actions. The action effects may be calculated on the assumption of linear elastic material behaviour assuming that concrete in tension is neglected.</w:t>
      </w:r>
    </w:p>
    <w:p w14:paraId="457B384B" w14:textId="7ED526B0" w:rsidR="004E22C1" w:rsidRPr="001455DC" w:rsidRDefault="004E22C1" w:rsidP="0092743C">
      <w:pPr>
        <w:pStyle w:val="Note"/>
      </w:pPr>
      <w:r w:rsidRPr="001455DC">
        <w:t>NOTE</w:t>
      </w:r>
      <w:r w:rsidR="00B307E4" w:rsidRPr="001455DC">
        <w:t xml:space="preserve"> 1</w:t>
      </w:r>
      <w:r w:rsidRPr="001455DC">
        <w:tab/>
      </w:r>
      <w:r w:rsidRPr="001455DC">
        <w:rPr>
          <w:rStyle w:val="CCMCvariableitalic"/>
        </w:rPr>
        <w:t>x</w:t>
      </w:r>
      <w:r w:rsidRPr="001455DC">
        <w:rPr>
          <w:rStyle w:val="CCMCvariablesubscript"/>
        </w:rPr>
        <w:t>min</w:t>
      </w:r>
      <w:r w:rsidRPr="001455DC">
        <w:t xml:space="preserve"> is the lesser of 50 mm or 0,2</w:t>
      </w:r>
      <w:r w:rsidRPr="001455DC">
        <w:rPr>
          <w:rStyle w:val="CCMCvariableitalic"/>
        </w:rPr>
        <w:t>h</w:t>
      </w:r>
      <w:r w:rsidRPr="001455DC">
        <w:t xml:space="preserve"> where </w:t>
      </w:r>
      <w:r w:rsidRPr="001455DC">
        <w:rPr>
          <w:rStyle w:val="CCMCvariableitalic"/>
        </w:rPr>
        <w:t>h</w:t>
      </w:r>
      <w:r w:rsidRPr="001455DC">
        <w:t xml:space="preserve"> is the element thickness unless a National Annex gives different values.</w:t>
      </w:r>
    </w:p>
    <w:p w14:paraId="232B6712" w14:textId="44A4F61C" w:rsidR="004E22C1" w:rsidRPr="001455DC" w:rsidRDefault="004E22C1" w:rsidP="0092743C">
      <w:pPr>
        <w:pStyle w:val="a7"/>
      </w:pPr>
      <w:r w:rsidRPr="001455DC">
        <w:t>(5)</w:t>
      </w:r>
      <w:r w:rsidRPr="001455DC">
        <w:tab/>
        <w:t>Cracks through which water flows may be expected to heal in members which are not subjectted to significant changes of loading or temperature during service. In the absence of more reliable information, healing may be assumed where the expected range of strain in the reinforcement, assuming cracked properties, at a section under service conditions is less than 150 </w:t>
      </w:r>
      <w:r w:rsidRPr="001455DC">
        <w:rPr>
          <w:rFonts w:ascii="Cambria Math" w:hAnsi="Cambria Math" w:cs="Cambria Math"/>
        </w:rPr>
        <w:t>⋅</w:t>
      </w:r>
      <w:r w:rsidRPr="001455DC">
        <w:t> 10</w:t>
      </w:r>
      <w:r w:rsidR="00EC27D2" w:rsidRPr="001455DC">
        <w:rPr>
          <w:rStyle w:val="CCMCvariablesuperscript"/>
          <w:rFonts w:ascii="Cambria Math" w:hAnsi="Cambria Math"/>
        </w:rPr>
        <w:t>−</w:t>
      </w:r>
      <w:r w:rsidRPr="001455DC">
        <w:rPr>
          <w:rStyle w:val="CCMCvariablesuperscript"/>
        </w:rPr>
        <w:t>6</w:t>
      </w:r>
      <w:r w:rsidRPr="001455DC">
        <w:t>.</w:t>
      </w:r>
    </w:p>
    <w:p w14:paraId="531DDE80" w14:textId="2261E89B" w:rsidR="004E22C1" w:rsidRPr="001455DC" w:rsidRDefault="004E22C1" w:rsidP="0092743C">
      <w:pPr>
        <w:pStyle w:val="Note"/>
      </w:pPr>
      <w:r w:rsidRPr="001455DC">
        <w:t>NOTE</w:t>
      </w:r>
      <w:r w:rsidRPr="001455DC">
        <w:tab/>
        <w:t>If self-healing is unlikely to occur, any crack which passes through the full thickness of the section can lead to leakage, regardless of the crack width.</w:t>
      </w:r>
    </w:p>
    <w:p w14:paraId="3BEDC0D9" w14:textId="7EE97CB1" w:rsidR="004E22C1" w:rsidRPr="001455DC" w:rsidRDefault="004E22C1" w:rsidP="0092743C">
      <w:pPr>
        <w:pStyle w:val="a7"/>
      </w:pPr>
      <w:r w:rsidRPr="001455DC">
        <w:t>(6)</w:t>
      </w:r>
      <w:r w:rsidRPr="001455DC">
        <w:tab/>
        <w:t>Design of members that are subjected to tensile stresses due to the restraint of shrinkage or thermal movements should account for these effects according to Annex D.</w:t>
      </w:r>
    </w:p>
    <w:p w14:paraId="5E618397" w14:textId="1F9F9C62" w:rsidR="00B307E4" w:rsidRPr="009D3012" w:rsidRDefault="000D519F" w:rsidP="009D3012">
      <w:pPr>
        <w:pStyle w:val="Note"/>
      </w:pPr>
      <w:r>
        <w:t>NOTE</w:t>
      </w:r>
      <w:r w:rsidR="00B307E4" w:rsidRPr="009D3012">
        <w:tab/>
        <w:t>Annex D gives information on the evaluation of early-age and long-term cracking due to restraint.</w:t>
      </w:r>
    </w:p>
    <w:p w14:paraId="2B0C1156" w14:textId="6DD119BE" w:rsidR="004E22C1" w:rsidRPr="001455DC" w:rsidRDefault="004E22C1" w:rsidP="0092743C">
      <w:pPr>
        <w:pStyle w:val="a7"/>
        <w:rPr>
          <w:rFonts w:eastAsiaTheme="minorHAnsi"/>
        </w:rPr>
      </w:pPr>
      <w:r w:rsidRPr="001455DC">
        <w:t>(7)</w:t>
      </w:r>
      <w:r w:rsidRPr="001455DC">
        <w:tab/>
        <w:t xml:space="preserve">Acceptance criteria for water retaining structures may include maximum level of leakage. </w:t>
      </w:r>
      <w:r w:rsidRPr="001455DC">
        <w:rPr>
          <w:rFonts w:eastAsiaTheme="minorHAnsi"/>
        </w:rPr>
        <w:t xml:space="preserve">The leakage rate </w:t>
      </w:r>
      <w:r w:rsidRPr="001455DC">
        <w:rPr>
          <w:rStyle w:val="CCMCvariableitalic"/>
        </w:rPr>
        <w:t>q</w:t>
      </w:r>
      <w:r w:rsidRPr="001455DC">
        <w:rPr>
          <w:rFonts w:eastAsiaTheme="minorHAnsi"/>
          <w:iCs/>
        </w:rPr>
        <w:t xml:space="preserve"> </w:t>
      </w:r>
      <w:r w:rsidRPr="001455DC">
        <w:rPr>
          <w:rFonts w:eastAsiaTheme="minorHAnsi"/>
        </w:rPr>
        <w:t>may be approximately estimated on the basis of an equivalent crack width under the assumption of a laminar flow given by:</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D5FD9" w:rsidRPr="001455DC" w14:paraId="79C4003A" w14:textId="77777777" w:rsidTr="004D5FD9">
        <w:trPr>
          <w:cantSplit/>
        </w:trPr>
        <w:tc>
          <w:tcPr>
            <w:tcW w:w="8505" w:type="dxa"/>
            <w:vAlign w:val="center"/>
          </w:tcPr>
          <w:p w14:paraId="398B0DCD" w14:textId="6E8CC0A7" w:rsidR="004D5FD9" w:rsidRPr="001455DC" w:rsidRDefault="004D5FD9" w:rsidP="004D5FD9">
            <w:pPr>
              <w:pStyle w:val="Formula"/>
              <w:jc w:val="left"/>
            </w:pPr>
            <w:r w:rsidRPr="001455DC">
              <w:rPr>
                <w:rStyle w:val="CCMCvariableitalic"/>
              </w:rPr>
              <w:t>q</w:t>
            </w:r>
            <w:r w:rsidRPr="001455DC">
              <w:t> </w:t>
            </w:r>
            <w:r w:rsidR="00EC27D2" w:rsidRPr="001455DC">
              <w:rPr>
                <w:rFonts w:ascii="Cambria Math" w:hAnsi="Cambria Math"/>
              </w:rPr>
              <w:t>=</w:t>
            </w:r>
            <w:r w:rsidRPr="001455DC">
              <w:t> </w:t>
            </w:r>
            <w:r w:rsidRPr="001455DC">
              <w:rPr>
                <w:rStyle w:val="CCMCvariableitalic"/>
              </w:rPr>
              <w:t>w</w:t>
            </w:r>
            <w:r w:rsidRPr="001455DC">
              <w:rPr>
                <w:rStyle w:val="CCMCvariablesubscript"/>
              </w:rPr>
              <w:t>k,cal,e</w:t>
            </w:r>
            <w:r w:rsidRPr="001455DC">
              <w:rPr>
                <w:rStyle w:val="CCMCvariablesuperscript"/>
              </w:rPr>
              <w:t>3</w:t>
            </w:r>
            <w:r w:rsidRPr="001455DC">
              <w:t xml:space="preserve"> </w:t>
            </w:r>
            <w:r w:rsidRPr="001455DC">
              <w:rPr>
                <w:rFonts w:ascii="Cambria Math" w:hAnsi="Cambria Math"/>
              </w:rPr>
              <w:t>⋅</w:t>
            </w:r>
            <w:r w:rsidRPr="001455DC">
              <w:t xml:space="preserve"> Δ</w:t>
            </w:r>
            <w:r w:rsidRPr="001455DC">
              <w:rPr>
                <w:rStyle w:val="CCMCvariableitalic"/>
              </w:rPr>
              <w:t>p</w:t>
            </w:r>
            <w:r w:rsidRPr="001455DC">
              <w:t xml:space="preserve"> </w:t>
            </w:r>
            <w:r w:rsidRPr="001455DC">
              <w:rPr>
                <w:rFonts w:ascii="Cambria Math" w:hAnsi="Cambria Math"/>
              </w:rPr>
              <w:t>⋅</w:t>
            </w:r>
            <w:r w:rsidRPr="001455DC">
              <w:t xml:space="preserve"> </w:t>
            </w:r>
            <w:r w:rsidRPr="001455DC">
              <w:rPr>
                <w:rStyle w:val="CCMCvariableitalic"/>
              </w:rPr>
              <w:t>l</w:t>
            </w:r>
            <w:r w:rsidRPr="001455DC">
              <w:rPr>
                <w:rStyle w:val="CCMCvariablesubscript"/>
              </w:rPr>
              <w:t>w,p</w:t>
            </w:r>
            <w:r w:rsidRPr="001455DC">
              <w:t xml:space="preserve">/(96 </w:t>
            </w:r>
            <w:r w:rsidRPr="001455DC">
              <w:rPr>
                <w:rStyle w:val="CCMCvariableitalic"/>
              </w:rPr>
              <w:t>h</w:t>
            </w:r>
            <w:r w:rsidRPr="001455DC">
              <w:t> </w:t>
            </w:r>
            <w:r w:rsidRPr="001455DC">
              <w:rPr>
                <w:rFonts w:ascii="Cambria Math" w:hAnsi="Cambria Math" w:cs="Cambria Math"/>
              </w:rPr>
              <w:t>⋅</w:t>
            </w:r>
            <w:r w:rsidRPr="001455DC">
              <w:t> </w:t>
            </w:r>
            <w:r w:rsidRPr="001455DC">
              <w:rPr>
                <w:rStyle w:val="CCMCvariableitalic"/>
              </w:rPr>
              <w:t>η</w:t>
            </w:r>
            <w:r w:rsidRPr="001455DC">
              <w:t>)</w:t>
            </w:r>
          </w:p>
        </w:tc>
        <w:tc>
          <w:tcPr>
            <w:tcW w:w="1247" w:type="dxa"/>
            <w:vAlign w:val="center"/>
          </w:tcPr>
          <w:p w14:paraId="269D4099" w14:textId="54362DE6" w:rsidR="004D5FD9" w:rsidRPr="001455DC" w:rsidRDefault="004D5FD9" w:rsidP="004D5FD9">
            <w:pPr>
              <w:pStyle w:val="a7"/>
              <w:jc w:val="right"/>
            </w:pPr>
            <w:r w:rsidRPr="001455DC">
              <w:t>(H.1)</w:t>
            </w:r>
          </w:p>
        </w:tc>
      </w:tr>
    </w:tbl>
    <w:p w14:paraId="265BFD62" w14:textId="17B8D320" w:rsidR="004E22C1" w:rsidRPr="001455DC" w:rsidRDefault="004E22C1" w:rsidP="003B4B6E">
      <w:pPr>
        <w:pStyle w:val="a7"/>
        <w:keepNext/>
      </w:pPr>
      <w:r w:rsidRPr="001455DC">
        <w:t>where the equivalent crack width is</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7598"/>
        <w:gridCol w:w="1247"/>
      </w:tblGrid>
      <w:tr w:rsidR="004D5FD9" w:rsidRPr="001455DC" w14:paraId="0BE07789" w14:textId="77777777" w:rsidTr="003B4B6E">
        <w:trPr>
          <w:cantSplit/>
        </w:trPr>
        <w:tc>
          <w:tcPr>
            <w:tcW w:w="8165" w:type="dxa"/>
            <w:gridSpan w:val="2"/>
            <w:vAlign w:val="center"/>
          </w:tcPr>
          <w:p w14:paraId="53D8D88B" w14:textId="4AF3DFC2" w:rsidR="004D5FD9" w:rsidRPr="001455DC" w:rsidRDefault="00231E33" w:rsidP="003B4B6E">
            <w:pPr>
              <w:pStyle w:val="Tablebody"/>
              <w:jc w:val="left"/>
            </w:pPr>
            <m:oMathPara>
              <m:oMathParaPr>
                <m:jc m:val="left"/>
              </m:oMathParaPr>
              <m:oMath>
                <m:sSub>
                  <m:sSubPr>
                    <m:ctrlPr>
                      <w:rPr>
                        <w:rFonts w:ascii="Cambria Math" w:hAnsi="Cambria Math"/>
                      </w:rPr>
                    </m:ctrlPr>
                  </m:sSubPr>
                  <m:e>
                    <m:r>
                      <w:rPr>
                        <w:rFonts w:ascii="Cambria Math" w:hAnsi="Cambria Math"/>
                      </w:rPr>
                      <m:t>w</m:t>
                    </m:r>
                  </m:e>
                  <m:sub>
                    <m:r>
                      <m:rPr>
                        <m:sty m:val="p"/>
                      </m:rPr>
                      <w:rPr>
                        <w:rFonts w:ascii="Cambria Math" w:hAnsi="Cambria Math"/>
                      </w:rPr>
                      <m:t>k,cal,e</m:t>
                    </m:r>
                  </m:sub>
                </m:sSub>
                <m:r>
                  <w:rPr>
                    <w:rFonts w:ascii="Cambria Math" w:hAnsi="Cambria Math"/>
                  </w:rPr>
                  <m:t>=</m:t>
                </m:r>
                <m:rad>
                  <m:radPr>
                    <m:ctrlPr>
                      <w:rPr>
                        <w:rFonts w:ascii="Cambria Math" w:hAnsi="Cambria Math"/>
                      </w:rPr>
                    </m:ctrlPr>
                  </m:radPr>
                  <m:deg>
                    <m:r>
                      <w:rPr>
                        <w:rFonts w:ascii="Cambria Math" w:hAnsi="Cambria Math"/>
                      </w:rPr>
                      <m:t>3</m:t>
                    </m:r>
                  </m:deg>
                  <m:e>
                    <m:f>
                      <m:fPr>
                        <m:ctrlPr>
                          <w:rPr>
                            <w:rFonts w:ascii="Cambria Math" w:hAnsi="Cambria Math"/>
                          </w:rPr>
                        </m:ctrlPr>
                      </m:fPr>
                      <m:num>
                        <m:r>
                          <w:rPr>
                            <w:rFonts w:ascii="Cambria Math" w:hAnsi="Cambria Math"/>
                          </w:rPr>
                          <m:t>2</m:t>
                        </m:r>
                        <m:sSubSup>
                          <m:sSubSupPr>
                            <m:ctrlPr>
                              <w:rPr>
                                <w:rFonts w:ascii="Cambria Math" w:hAnsi="Cambria Math"/>
                              </w:rPr>
                            </m:ctrlPr>
                          </m:sSubSupPr>
                          <m:e>
                            <m:r>
                              <w:rPr>
                                <w:rFonts w:ascii="Cambria Math" w:hAnsi="Cambria Math"/>
                              </w:rPr>
                              <m:t>w</m:t>
                            </m:r>
                          </m:e>
                          <m:sub>
                            <m:r>
                              <m:rPr>
                                <m:sty m:val="p"/>
                              </m:rPr>
                              <w:rPr>
                                <w:rFonts w:ascii="Cambria Math" w:hAnsi="Cambria Math"/>
                              </w:rPr>
                              <m:t>k,cal,1</m:t>
                            </m:r>
                          </m:sub>
                          <m:sup>
                            <m:r>
                              <w:rPr>
                                <w:rFonts w:ascii="Cambria Math" w:hAnsi="Cambria Math"/>
                              </w:rPr>
                              <m:t>2</m:t>
                            </m:r>
                          </m:sup>
                        </m:sSubSup>
                        <m:r>
                          <w:rPr>
                            <w:rFonts w:ascii="Cambria Math" w:hAnsi="Cambria Math"/>
                          </w:rPr>
                          <m:t>⋅</m:t>
                        </m:r>
                        <m:sSubSup>
                          <m:sSubSupPr>
                            <m:ctrlPr>
                              <w:rPr>
                                <w:rFonts w:ascii="Cambria Math" w:hAnsi="Cambria Math"/>
                              </w:rPr>
                            </m:ctrlPr>
                          </m:sSubSupPr>
                          <m:e>
                            <m:r>
                              <w:rPr>
                                <w:rFonts w:ascii="Cambria Math" w:hAnsi="Cambria Math"/>
                              </w:rPr>
                              <m:t>w</m:t>
                            </m:r>
                          </m:e>
                          <m:sub>
                            <m:r>
                              <m:rPr>
                                <m:sty m:val="p"/>
                              </m:rPr>
                              <w:rPr>
                                <w:rFonts w:ascii="Cambria Math" w:hAnsi="Cambria Math"/>
                              </w:rPr>
                              <m:t>k,cal,2</m:t>
                            </m:r>
                          </m:sub>
                          <m:sup>
                            <m:r>
                              <w:rPr>
                                <w:rFonts w:ascii="Cambria Math" w:hAnsi="Cambria Math"/>
                              </w:rPr>
                              <m:t>2</m:t>
                            </m:r>
                          </m:sup>
                        </m:sSubSup>
                      </m:num>
                      <m:den>
                        <m:sSub>
                          <m:sSubPr>
                            <m:ctrlPr>
                              <w:rPr>
                                <w:rFonts w:ascii="Cambria Math" w:hAnsi="Cambria Math"/>
                              </w:rPr>
                            </m:ctrlPr>
                          </m:sSubPr>
                          <m:e>
                            <m:r>
                              <w:rPr>
                                <w:rFonts w:ascii="Cambria Math" w:hAnsi="Cambria Math"/>
                              </w:rPr>
                              <m:t>w</m:t>
                            </m:r>
                          </m:e>
                          <m:sub>
                            <m:r>
                              <m:rPr>
                                <m:sty m:val="p"/>
                              </m:rPr>
                              <w:rPr>
                                <w:rFonts w:ascii="Cambria Math" w:hAnsi="Cambria Math"/>
                              </w:rPr>
                              <m:t>k,cal,1</m:t>
                            </m:r>
                          </m:sub>
                        </m:sSub>
                        <m: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k,cal,2</m:t>
                            </m:r>
                          </m:sub>
                        </m:sSub>
                      </m:den>
                    </m:f>
                  </m:e>
                </m:rad>
              </m:oMath>
            </m:oMathPara>
          </w:p>
        </w:tc>
        <w:tc>
          <w:tcPr>
            <w:tcW w:w="1247" w:type="dxa"/>
            <w:vAlign w:val="center"/>
          </w:tcPr>
          <w:p w14:paraId="40F82CEE" w14:textId="27ACF65A" w:rsidR="004D5FD9" w:rsidRPr="001455DC" w:rsidRDefault="003B4B6E" w:rsidP="003B4B6E">
            <w:pPr>
              <w:pStyle w:val="Tablebody"/>
              <w:jc w:val="right"/>
            </w:pPr>
            <w:r w:rsidRPr="001455DC">
              <w:t>(H.2)</w:t>
            </w:r>
          </w:p>
        </w:tc>
      </w:tr>
      <w:tr w:rsidR="004D5FD9" w:rsidRPr="001455DC" w14:paraId="4F623D61" w14:textId="77777777" w:rsidTr="004D5FD9">
        <w:trPr>
          <w:cantSplit/>
        </w:trPr>
        <w:tc>
          <w:tcPr>
            <w:tcW w:w="567" w:type="dxa"/>
          </w:tcPr>
          <w:p w14:paraId="3D568AC7" w14:textId="6A6BF8E7" w:rsidR="004D5FD9" w:rsidRPr="001455DC" w:rsidRDefault="003B4B6E" w:rsidP="0000442A">
            <w:pPr>
              <w:pStyle w:val="Tablebody"/>
            </w:pPr>
            <w:r w:rsidRPr="001455DC">
              <w:t>Δ</w:t>
            </w:r>
            <w:r w:rsidRPr="001455DC">
              <w:rPr>
                <w:rStyle w:val="CCMCvariableitalic"/>
              </w:rPr>
              <w:t>p</w:t>
            </w:r>
          </w:p>
        </w:tc>
        <w:tc>
          <w:tcPr>
            <w:tcW w:w="8845" w:type="dxa"/>
            <w:gridSpan w:val="2"/>
          </w:tcPr>
          <w:p w14:paraId="3C16BD20" w14:textId="2122DC69" w:rsidR="004D5FD9" w:rsidRPr="001455DC" w:rsidRDefault="003B4B6E" w:rsidP="0000442A">
            <w:pPr>
              <w:pStyle w:val="Tablebody"/>
            </w:pPr>
            <w:r w:rsidRPr="001455DC">
              <w:rPr>
                <w:rFonts w:eastAsiaTheme="minorHAnsi"/>
              </w:rPr>
              <w:t>is the pressure difference [N/m²];</w:t>
            </w:r>
          </w:p>
        </w:tc>
      </w:tr>
      <w:tr w:rsidR="004D5FD9" w:rsidRPr="001455DC" w14:paraId="00834DB3" w14:textId="77777777" w:rsidTr="004D5FD9">
        <w:trPr>
          <w:cantSplit/>
        </w:trPr>
        <w:tc>
          <w:tcPr>
            <w:tcW w:w="567" w:type="dxa"/>
          </w:tcPr>
          <w:p w14:paraId="06D99A64" w14:textId="0787F26E" w:rsidR="004D5FD9" w:rsidRPr="001455DC" w:rsidRDefault="003B4B6E" w:rsidP="00D86695">
            <w:pPr>
              <w:pStyle w:val="Tablebody"/>
            </w:pPr>
            <w:r w:rsidRPr="001455DC">
              <w:rPr>
                <w:rStyle w:val="CCMCvariableitalic"/>
              </w:rPr>
              <w:t>l</w:t>
            </w:r>
            <w:r w:rsidRPr="001455DC">
              <w:rPr>
                <w:rStyle w:val="CCMCvariablesubscript"/>
              </w:rPr>
              <w:t>w,p</w:t>
            </w:r>
          </w:p>
        </w:tc>
        <w:tc>
          <w:tcPr>
            <w:tcW w:w="8845" w:type="dxa"/>
            <w:gridSpan w:val="2"/>
          </w:tcPr>
          <w:p w14:paraId="6504B43C" w14:textId="60E52F01" w:rsidR="004D5FD9" w:rsidRPr="001455DC" w:rsidRDefault="003B4B6E" w:rsidP="00D86695">
            <w:pPr>
              <w:pStyle w:val="Tablebody"/>
            </w:pPr>
            <w:r w:rsidRPr="001455DC">
              <w:rPr>
                <w:rFonts w:eastAsiaTheme="minorHAnsi"/>
              </w:rPr>
              <w:t>is the length of the passing crack [m];</w:t>
            </w:r>
          </w:p>
        </w:tc>
      </w:tr>
      <w:tr w:rsidR="004D5FD9" w:rsidRPr="001455DC" w14:paraId="2461758D" w14:textId="77777777" w:rsidTr="004D5FD9">
        <w:trPr>
          <w:cantSplit/>
        </w:trPr>
        <w:tc>
          <w:tcPr>
            <w:tcW w:w="567" w:type="dxa"/>
          </w:tcPr>
          <w:p w14:paraId="36AB3156" w14:textId="7FB4FD41" w:rsidR="004D5FD9" w:rsidRPr="001455DC" w:rsidRDefault="003B4B6E" w:rsidP="00D86695">
            <w:pPr>
              <w:pStyle w:val="Tablebody"/>
            </w:pPr>
            <w:r w:rsidRPr="001455DC">
              <w:rPr>
                <w:rStyle w:val="CCMCvariableitalic"/>
              </w:rPr>
              <w:t>η</w:t>
            </w:r>
          </w:p>
        </w:tc>
        <w:tc>
          <w:tcPr>
            <w:tcW w:w="8845" w:type="dxa"/>
            <w:gridSpan w:val="2"/>
          </w:tcPr>
          <w:p w14:paraId="60908C41" w14:textId="30944D7D" w:rsidR="004D5FD9" w:rsidRPr="001455DC" w:rsidRDefault="003B4B6E" w:rsidP="00D86695">
            <w:pPr>
              <w:pStyle w:val="Tablebody"/>
            </w:pPr>
            <w:r w:rsidRPr="001455DC">
              <w:rPr>
                <w:rFonts w:eastAsiaTheme="minorHAnsi"/>
              </w:rPr>
              <w:t>is dynamic viscosity (</w:t>
            </w:r>
            <w:r w:rsidRPr="001455DC">
              <w:rPr>
                <w:rStyle w:val="CCMCvariableitalic"/>
              </w:rPr>
              <w:t>η</w:t>
            </w:r>
            <w:r w:rsidRPr="001455DC">
              <w:t xml:space="preserve"> </w:t>
            </w:r>
            <w:r w:rsidR="00EC27D2" w:rsidRPr="001455DC">
              <w:rPr>
                <w:rFonts w:ascii="Cambria Math" w:hAnsi="Cambria Math"/>
              </w:rPr>
              <w:t>=</w:t>
            </w:r>
            <w:r w:rsidRPr="001455DC">
              <w:t xml:space="preserve"> </w:t>
            </w:r>
            <w:r w:rsidRPr="001455DC">
              <w:rPr>
                <w:rFonts w:eastAsiaTheme="minorHAnsi"/>
              </w:rPr>
              <w:t>1,3 </w:t>
            </w:r>
            <w:r w:rsidRPr="001455DC">
              <w:rPr>
                <w:rFonts w:ascii="Cambria Math" w:eastAsiaTheme="minorHAnsi" w:hAnsi="Cambria Math" w:cs="Cambria Math"/>
              </w:rPr>
              <w:t>⋅</w:t>
            </w:r>
            <w:r w:rsidRPr="001455DC">
              <w:rPr>
                <w:rFonts w:eastAsiaTheme="minorHAnsi"/>
              </w:rPr>
              <w:t> 10</w:t>
            </w:r>
            <w:r w:rsidR="00EC27D2" w:rsidRPr="001455DC">
              <w:rPr>
                <w:rStyle w:val="CCMCvariablesuperscript"/>
                <w:rFonts w:ascii="Cambria Math" w:hAnsi="Cambria Math"/>
              </w:rPr>
              <w:t>−</w:t>
            </w:r>
            <w:r w:rsidRPr="001455DC">
              <w:rPr>
                <w:rStyle w:val="CCMCvariablesuperscript"/>
              </w:rPr>
              <w:t>3</w:t>
            </w:r>
            <w:r w:rsidRPr="001455DC">
              <w:rPr>
                <w:rFonts w:eastAsiaTheme="minorHAnsi"/>
              </w:rPr>
              <w:t xml:space="preserve"> Ns/m</w:t>
            </w:r>
            <w:r w:rsidRPr="001455DC">
              <w:rPr>
                <w:rStyle w:val="CCMCvariablesuperscript"/>
              </w:rPr>
              <w:t>2</w:t>
            </w:r>
            <w:r w:rsidRPr="001455DC">
              <w:rPr>
                <w:rFonts w:eastAsiaTheme="minorHAnsi"/>
              </w:rPr>
              <w:t xml:space="preserve"> for water);</w:t>
            </w:r>
          </w:p>
        </w:tc>
      </w:tr>
      <w:tr w:rsidR="004D5FD9" w:rsidRPr="001455DC" w14:paraId="68979774" w14:textId="77777777" w:rsidTr="004D5FD9">
        <w:trPr>
          <w:cantSplit/>
        </w:trPr>
        <w:tc>
          <w:tcPr>
            <w:tcW w:w="567" w:type="dxa"/>
          </w:tcPr>
          <w:p w14:paraId="243E1280" w14:textId="5E66B146" w:rsidR="004D5FD9" w:rsidRPr="001455DC" w:rsidRDefault="003B4B6E" w:rsidP="00D86695">
            <w:pPr>
              <w:pStyle w:val="Tablebody"/>
            </w:pPr>
            <w:r w:rsidRPr="001455DC">
              <w:rPr>
                <w:rStyle w:val="CCMCvariableitalic"/>
              </w:rPr>
              <w:t>h</w:t>
            </w:r>
          </w:p>
        </w:tc>
        <w:tc>
          <w:tcPr>
            <w:tcW w:w="8845" w:type="dxa"/>
            <w:gridSpan w:val="2"/>
          </w:tcPr>
          <w:p w14:paraId="7C587543" w14:textId="1FFAB7D9" w:rsidR="004D5FD9" w:rsidRPr="001455DC" w:rsidRDefault="003B4B6E" w:rsidP="00D86695">
            <w:pPr>
              <w:pStyle w:val="Tablebody"/>
            </w:pPr>
            <w:r w:rsidRPr="001455DC">
              <w:rPr>
                <w:rFonts w:eastAsiaTheme="minorHAnsi"/>
              </w:rPr>
              <w:t>is depth of the cross section [m].</w:t>
            </w:r>
          </w:p>
        </w:tc>
      </w:tr>
    </w:tbl>
    <w:p w14:paraId="47BF6695" w14:textId="77777777" w:rsidR="004E22C1" w:rsidRPr="001455DC" w:rsidRDefault="004E22C1" w:rsidP="004D5FD9">
      <w:pPr>
        <w:pStyle w:val="a7"/>
      </w:pPr>
      <w:r w:rsidRPr="001455DC">
        <w:rPr>
          <w:rStyle w:val="CCMCvariableitalic"/>
        </w:rPr>
        <w:t>w</w:t>
      </w:r>
      <w:r w:rsidRPr="001455DC">
        <w:rPr>
          <w:rStyle w:val="CCMCvariablesubscript"/>
        </w:rPr>
        <w:t>k,cal,1</w:t>
      </w:r>
      <w:r w:rsidRPr="001455DC">
        <w:t xml:space="preserve"> and </w:t>
      </w:r>
      <w:r w:rsidRPr="001455DC">
        <w:rPr>
          <w:rStyle w:val="CCMCvariableitalic"/>
        </w:rPr>
        <w:t>w</w:t>
      </w:r>
      <w:r w:rsidRPr="001455DC">
        <w:rPr>
          <w:rStyle w:val="CCMCvariablesubscript"/>
        </w:rPr>
        <w:t>k,cal,2</w:t>
      </w:r>
      <w:r w:rsidRPr="001455DC">
        <w:t xml:space="preserve"> are the crack widths on the two surfaces calculated for the nominal concrete cover.</w:t>
      </w:r>
    </w:p>
    <w:p w14:paraId="14CF420A" w14:textId="21253B7B" w:rsidR="004E22C1" w:rsidRPr="001455DC" w:rsidRDefault="004E22C1" w:rsidP="0092743C">
      <w:pPr>
        <w:pStyle w:val="Note"/>
      </w:pPr>
      <w:r w:rsidRPr="001455DC">
        <w:t>NOTE</w:t>
      </w:r>
      <w:r w:rsidRPr="001455DC">
        <w:tab/>
        <w:t>As the leakage rate depends on the crack width, which exhibits a large scatter both in itself as well as in the actual cracking pattern which will form in a real structure, real values of leakage will deviate from the calculated values.</w:t>
      </w:r>
    </w:p>
    <w:p w14:paraId="26203BBD" w14:textId="1B846F6F" w:rsidR="004E22C1" w:rsidRPr="001455DC" w:rsidRDefault="0092743C" w:rsidP="0092743C">
      <w:pPr>
        <w:pStyle w:val="ANNEX"/>
      </w:pPr>
      <w:bookmarkStart w:id="1605" w:name="_Toc52820185"/>
      <w:bookmarkStart w:id="1606" w:name="_Hlk51941384"/>
      <w:r w:rsidRPr="001455DC">
        <w:br/>
      </w:r>
      <w:bookmarkStart w:id="1607" w:name="_Toc54337172"/>
      <w:bookmarkStart w:id="1608" w:name="_Toc54337606"/>
      <w:bookmarkStart w:id="1609" w:name="_Toc54338240"/>
      <w:bookmarkStart w:id="1610" w:name="_Toc67565570"/>
      <w:r w:rsidR="004E22C1" w:rsidRPr="001455DC">
        <w:rPr>
          <w:b w:val="0"/>
        </w:rPr>
        <w:t>(</w:t>
      </w:r>
      <w:r w:rsidR="005D2A12" w:rsidRPr="001455DC">
        <w:rPr>
          <w:b w:val="0"/>
        </w:rPr>
        <w:t>informative</w:t>
      </w:r>
      <w:r w:rsidR="004E22C1" w:rsidRPr="001455DC">
        <w:rPr>
          <w:b w:val="0"/>
        </w:rPr>
        <w:t>)</w:t>
      </w:r>
      <w:r w:rsidRPr="001455DC">
        <w:rPr>
          <w:b w:val="0"/>
        </w:rPr>
        <w:br/>
      </w:r>
      <w:r w:rsidRPr="001455DC">
        <w:br/>
      </w:r>
      <w:r w:rsidR="004E22C1" w:rsidRPr="001455DC">
        <w:t>Assessment of Existing Structures</w:t>
      </w:r>
      <w:bookmarkEnd w:id="1605"/>
      <w:bookmarkEnd w:id="1607"/>
      <w:bookmarkEnd w:id="1608"/>
      <w:bookmarkEnd w:id="1609"/>
      <w:bookmarkEnd w:id="1610"/>
    </w:p>
    <w:p w14:paraId="3DE2E9F2" w14:textId="15903ECB" w:rsidR="009C73BD" w:rsidRPr="001455DC" w:rsidRDefault="009C73BD" w:rsidP="00082680">
      <w:pPr>
        <w:pStyle w:val="a2"/>
      </w:pPr>
      <w:bookmarkStart w:id="1611" w:name="_Toc67565571"/>
      <w:bookmarkStart w:id="1612" w:name="_Toc52820186"/>
      <w:bookmarkStart w:id="1613" w:name="_Toc54337173"/>
      <w:bookmarkStart w:id="1614" w:name="_Toc54337607"/>
      <w:bookmarkStart w:id="1615" w:name="_Toc54338241"/>
      <w:r w:rsidRPr="001455DC">
        <w:t>Use of this annex</w:t>
      </w:r>
      <w:bookmarkEnd w:id="1611"/>
    </w:p>
    <w:p w14:paraId="517169DC" w14:textId="04DD89EE" w:rsidR="009C73BD" w:rsidRPr="009D3012" w:rsidRDefault="009C73BD" w:rsidP="009D3012">
      <w:pPr>
        <w:pStyle w:val="a7"/>
      </w:pPr>
      <w:r w:rsidRPr="009D3012">
        <w:t>(1)</w:t>
      </w:r>
      <w:r w:rsidRPr="009D3012">
        <w:tab/>
        <w:t>This informative annex supplements provisions in this Eurocode for the assessment of existing structures in plain, reinforced and prestressed concrete. Annex I covers also the assessment of the retained parts of existing concrete structures, that are being modified, extended, strengthened or retrofitted, in case of projects where new structural members are to be combined with retained parts of existing concrete structures.</w:t>
      </w:r>
    </w:p>
    <w:p w14:paraId="46931000" w14:textId="3AB8213A" w:rsidR="009C73BD" w:rsidRPr="001455DC" w:rsidRDefault="009C73BD" w:rsidP="00082680">
      <w:pPr>
        <w:pStyle w:val="a2"/>
      </w:pPr>
      <w:bookmarkStart w:id="1616" w:name="_Toc67565572"/>
      <w:r w:rsidRPr="001455DC">
        <w:t>Scope and field of application</w:t>
      </w:r>
      <w:bookmarkEnd w:id="1616"/>
    </w:p>
    <w:p w14:paraId="3513E845" w14:textId="4E357D6D" w:rsidR="009C73BD" w:rsidRPr="001455DC" w:rsidRDefault="009C73BD" w:rsidP="009C73BD">
      <w:pPr>
        <w:pStyle w:val="a7"/>
      </w:pPr>
      <w:r w:rsidRPr="001455DC">
        <w:t>(2)</w:t>
      </w:r>
      <w:r w:rsidRPr="001455DC">
        <w:tab/>
        <w:t>This informative annex covers:</w:t>
      </w:r>
    </w:p>
    <w:p w14:paraId="57C2619A" w14:textId="77777777" w:rsidR="009C73BD" w:rsidRPr="001455DC" w:rsidRDefault="009C73BD" w:rsidP="009C73BD">
      <w:pPr>
        <w:pStyle w:val="a7"/>
      </w:pPr>
      <w:r w:rsidRPr="001455DC">
        <w:t>—</w:t>
      </w:r>
      <w:r w:rsidRPr="001455DC">
        <w:tab/>
        <w:t>additional rules for materials and system not defined in Clause 5 (e.g. plain bars);</w:t>
      </w:r>
    </w:p>
    <w:p w14:paraId="5727362C" w14:textId="77777777" w:rsidR="009C73BD" w:rsidRPr="001455DC" w:rsidRDefault="009C73BD" w:rsidP="009C73BD">
      <w:pPr>
        <w:pStyle w:val="a7"/>
      </w:pPr>
      <w:r w:rsidRPr="001455DC">
        <w:t>—</w:t>
      </w:r>
      <w:r w:rsidRPr="001455DC">
        <w:tab/>
        <w:t>additional rules for assessing existing structures where detailing does not comply</w:t>
      </w:r>
    </w:p>
    <w:p w14:paraId="16561F09" w14:textId="77777777" w:rsidR="009C73BD" w:rsidRPr="001455DC" w:rsidRDefault="009C73BD" w:rsidP="009C73BD">
      <w:pPr>
        <w:pStyle w:val="a7"/>
      </w:pPr>
      <w:r w:rsidRPr="001455DC">
        <w:t>—</w:t>
      </w:r>
      <w:r w:rsidRPr="001455DC">
        <w:tab/>
        <w:t>with the provisions in Clauses 11 and 12;</w:t>
      </w:r>
    </w:p>
    <w:p w14:paraId="00F16913" w14:textId="77777777" w:rsidR="009C73BD" w:rsidRPr="001455DC" w:rsidRDefault="009C73BD" w:rsidP="009C73BD">
      <w:pPr>
        <w:pStyle w:val="a7"/>
      </w:pPr>
      <w:r w:rsidRPr="001455DC">
        <w:t>—</w:t>
      </w:r>
      <w:r w:rsidRPr="001455DC">
        <w:tab/>
        <w:t>additional rules for anchorage of plain bars;</w:t>
      </w:r>
    </w:p>
    <w:p w14:paraId="44DF9206" w14:textId="4858B859" w:rsidR="009C73BD" w:rsidRPr="009D3012" w:rsidRDefault="009C73BD" w:rsidP="009D3012">
      <w:pPr>
        <w:pStyle w:val="a7"/>
      </w:pPr>
      <w:r w:rsidRPr="009D3012">
        <w:t>—</w:t>
      </w:r>
      <w:r w:rsidRPr="009D3012">
        <w:tab/>
        <w:t>considerations for deterioration of existing structures.</w:t>
      </w:r>
    </w:p>
    <w:p w14:paraId="3DA08805" w14:textId="4784A3F7" w:rsidR="004E22C1" w:rsidRPr="001455DC" w:rsidRDefault="0092743C" w:rsidP="00082680">
      <w:pPr>
        <w:pStyle w:val="a2"/>
      </w:pPr>
      <w:bookmarkStart w:id="1617" w:name="_Toc67565573"/>
      <w:r w:rsidRPr="001455DC">
        <w:t>General</w:t>
      </w:r>
      <w:bookmarkEnd w:id="1612"/>
      <w:bookmarkEnd w:id="1613"/>
      <w:bookmarkEnd w:id="1614"/>
      <w:bookmarkEnd w:id="1615"/>
      <w:bookmarkEnd w:id="1617"/>
    </w:p>
    <w:p w14:paraId="528EF0CC" w14:textId="420112D4" w:rsidR="004E22C1" w:rsidRPr="001455DC" w:rsidRDefault="004E22C1" w:rsidP="0092743C">
      <w:pPr>
        <w:pStyle w:val="Note"/>
      </w:pPr>
      <w:r w:rsidRPr="001455DC">
        <w:rPr>
          <w:bCs/>
        </w:rPr>
        <w:t>NOTE</w:t>
      </w:r>
      <w:r w:rsidRPr="001455DC">
        <w:rPr>
          <w:bCs/>
        </w:rPr>
        <w:tab/>
      </w:r>
      <w:r w:rsidRPr="001455DC">
        <w:t xml:space="preserve">Unless noted otherwise, in Annex I all section/sub-section numbers and titles are similar as the relevant of the main part of this Eurocode. The prefix ‘I’ is added to </w:t>
      </w:r>
      <w:r w:rsidR="005D2A12" w:rsidRPr="001455DC">
        <w:t>clauses</w:t>
      </w:r>
      <w:r w:rsidRPr="001455DC">
        <w:t xml:space="preserve"> numbers to distinguish content that pertain to assessment of existing concrete structures. Annex I contains only sections/subsections of the main part of this Eurocode</w:t>
      </w:r>
      <w:r w:rsidR="007A25BF" w:rsidRPr="001455DC">
        <w:t xml:space="preserve"> </w:t>
      </w:r>
      <w:r w:rsidRPr="001455DC">
        <w:t>that include specific clauses for the assessment of existing concrete structures.</w:t>
      </w:r>
    </w:p>
    <w:p w14:paraId="052296A6" w14:textId="79D8A4D3" w:rsidR="004E22C1" w:rsidRPr="001455DC" w:rsidRDefault="004E22C1" w:rsidP="0092743C">
      <w:pPr>
        <w:pStyle w:val="a7"/>
      </w:pPr>
      <w:r w:rsidRPr="001455DC">
        <w:t>(</w:t>
      </w:r>
      <w:r w:rsidR="009C73BD" w:rsidRPr="001455DC">
        <w:t>1</w:t>
      </w:r>
      <w:r w:rsidRPr="001455DC">
        <w:t>)</w:t>
      </w:r>
      <w:r w:rsidRPr="001455DC">
        <w:tab/>
        <w:t>All clauses of this Eurocode are generally applicable to the assessment of existing concrete structures, unless substituted by the provisions given in Annex I.</w:t>
      </w:r>
    </w:p>
    <w:p w14:paraId="1AFA0C9D" w14:textId="073818DC" w:rsidR="004E22C1" w:rsidRPr="001455DC" w:rsidRDefault="004E22C1" w:rsidP="0092743C">
      <w:pPr>
        <w:pStyle w:val="a7"/>
      </w:pPr>
      <w:r w:rsidRPr="001455DC">
        <w:t>(</w:t>
      </w:r>
      <w:r w:rsidR="009C73BD" w:rsidRPr="001455DC">
        <w:t>2</w:t>
      </w:r>
      <w:r w:rsidRPr="001455DC">
        <w:t>)</w:t>
      </w:r>
      <w:r w:rsidRPr="001455DC">
        <w:tab/>
        <w:t>Annex I does not provide predictive methods for estimating deterioration rates associated with the various deterioration mechanisms for concrete structures. These should be undertaken using methods specified by the relevant authority or, where not specified, as agreed for a specific assessment by the relevant parties.</w:t>
      </w:r>
    </w:p>
    <w:p w14:paraId="05C2A041" w14:textId="0E1E5A1C" w:rsidR="004E22C1" w:rsidRPr="001455DC" w:rsidRDefault="004E22C1" w:rsidP="0092743C">
      <w:pPr>
        <w:pStyle w:val="a7"/>
      </w:pPr>
      <w:r w:rsidRPr="001455DC">
        <w:t>(</w:t>
      </w:r>
      <w:r w:rsidR="009C73BD" w:rsidRPr="001455DC">
        <w:t>3</w:t>
      </w:r>
      <w:r w:rsidRPr="001455DC">
        <w:t>)</w:t>
      </w:r>
      <w:r w:rsidRPr="001455DC">
        <w:tab/>
        <w:t>Design values determined in accordance with this Eurocode</w:t>
      </w:r>
      <w:r w:rsidR="00116AE2" w:rsidRPr="001455DC">
        <w:t xml:space="preserve"> </w:t>
      </w:r>
      <w:r w:rsidRPr="001455DC">
        <w:t>may be interpreted as assessment values for the purpose of Annex I.</w:t>
      </w:r>
    </w:p>
    <w:p w14:paraId="168AA074" w14:textId="3D73A1C3" w:rsidR="004E22C1" w:rsidRPr="001455DC" w:rsidRDefault="004E22C1" w:rsidP="00116AE2">
      <w:pPr>
        <w:pStyle w:val="a7"/>
        <w:keepNext/>
      </w:pPr>
      <w:r w:rsidRPr="001455DC">
        <w:t>(</w:t>
      </w:r>
      <w:r w:rsidR="009C73BD" w:rsidRPr="001455DC">
        <w:t>4</w:t>
      </w:r>
      <w:r w:rsidRPr="001455DC">
        <w:t>)</w:t>
      </w:r>
      <w:r w:rsidRPr="001455DC">
        <w:tab/>
        <w:t>The following assumptions apply for the asses</w:t>
      </w:r>
      <w:r w:rsidR="00116AE2" w:rsidRPr="001455DC">
        <w:t>s</w:t>
      </w:r>
      <w:r w:rsidRPr="001455DC">
        <w:t>ment of existing concrete structures:</w:t>
      </w:r>
    </w:p>
    <w:p w14:paraId="5F3A3684" w14:textId="0FD3D4CB" w:rsidR="004E22C1" w:rsidRPr="001455DC" w:rsidRDefault="004E22C1" w:rsidP="0092743C">
      <w:pPr>
        <w:pStyle w:val="a0"/>
        <w:rPr>
          <w:lang w:eastAsia="de-DE"/>
        </w:rPr>
      </w:pPr>
      <w:r w:rsidRPr="001455DC">
        <w:t>Reasonable</w:t>
      </w:r>
      <w:r w:rsidR="00A663EB" w:rsidRPr="001455DC">
        <w:t xml:space="preserve"> </w:t>
      </w:r>
      <w:r w:rsidRPr="001455DC">
        <w:t>skill</w:t>
      </w:r>
      <w:r w:rsidR="00A663EB" w:rsidRPr="001455DC">
        <w:t xml:space="preserve"> </w:t>
      </w:r>
      <w:r w:rsidRPr="001455DC">
        <w:t>and</w:t>
      </w:r>
      <w:r w:rsidR="00A663EB" w:rsidRPr="001455DC">
        <w:t xml:space="preserve"> </w:t>
      </w:r>
      <w:r w:rsidRPr="001455DC">
        <w:t>care</w:t>
      </w:r>
      <w:r w:rsidR="00A663EB" w:rsidRPr="001455DC">
        <w:t xml:space="preserve"> </w:t>
      </w:r>
      <w:r w:rsidRPr="001455DC">
        <w:t>appropriate</w:t>
      </w:r>
      <w:r w:rsidR="00A663EB" w:rsidRPr="001455DC">
        <w:t xml:space="preserve"> </w:t>
      </w:r>
      <w:r w:rsidRPr="001455DC">
        <w:t>to</w:t>
      </w:r>
      <w:r w:rsidR="00A663EB" w:rsidRPr="001455DC">
        <w:t xml:space="preserve"> </w:t>
      </w:r>
      <w:r w:rsidRPr="001455DC">
        <w:t>the</w:t>
      </w:r>
      <w:r w:rsidR="00A663EB" w:rsidRPr="001455DC">
        <w:t xml:space="preserve"> </w:t>
      </w:r>
      <w:r w:rsidRPr="001455DC">
        <w:t>circumstances</w:t>
      </w:r>
      <w:r w:rsidR="00A663EB" w:rsidRPr="001455DC">
        <w:t xml:space="preserve"> </w:t>
      </w:r>
      <w:r w:rsidRPr="001455DC">
        <w:t>is</w:t>
      </w:r>
      <w:r w:rsidR="00A663EB" w:rsidRPr="001455DC">
        <w:t xml:space="preserve"> </w:t>
      </w:r>
      <w:r w:rsidRPr="001455DC">
        <w:t>exercised</w:t>
      </w:r>
      <w:r w:rsidR="00A663EB" w:rsidRPr="001455DC">
        <w:t xml:space="preserve"> </w:t>
      </w:r>
      <w:r w:rsidRPr="001455DC">
        <w:t>in</w:t>
      </w:r>
      <w:r w:rsidR="00A663EB" w:rsidRPr="001455DC">
        <w:t xml:space="preserve"> </w:t>
      </w:r>
      <w:r w:rsidRPr="001455DC">
        <w:t>the</w:t>
      </w:r>
      <w:r w:rsidR="00A663EB" w:rsidRPr="001455DC">
        <w:t xml:space="preserve"> </w:t>
      </w:r>
      <w:r w:rsidRPr="001455DC">
        <w:t>assessment,</w:t>
      </w:r>
      <w:r w:rsidR="00A663EB" w:rsidRPr="001455DC">
        <w:t xml:space="preserve"> </w:t>
      </w:r>
      <w:r w:rsidRPr="001455DC">
        <w:t>based</w:t>
      </w:r>
      <w:r w:rsidR="00A663EB" w:rsidRPr="001455DC">
        <w:t xml:space="preserve"> </w:t>
      </w:r>
      <w:r w:rsidRPr="001455DC">
        <w:t>on</w:t>
      </w:r>
      <w:r w:rsidR="00A663EB" w:rsidRPr="001455DC">
        <w:t xml:space="preserve"> </w:t>
      </w:r>
      <w:r w:rsidRPr="001455DC">
        <w:t>the</w:t>
      </w:r>
      <w:r w:rsidR="00A663EB" w:rsidRPr="001455DC">
        <w:t xml:space="preserve"> </w:t>
      </w:r>
      <w:r w:rsidRPr="001455DC">
        <w:t>knowledge</w:t>
      </w:r>
      <w:r w:rsidR="00A663EB" w:rsidRPr="001455DC">
        <w:t xml:space="preserve"> </w:t>
      </w:r>
      <w:r w:rsidRPr="001455DC">
        <w:t>and</w:t>
      </w:r>
      <w:r w:rsidR="00A663EB" w:rsidRPr="001455DC">
        <w:t xml:space="preserve"> </w:t>
      </w:r>
      <w:r w:rsidRPr="001455DC">
        <w:t>good</w:t>
      </w:r>
      <w:r w:rsidR="00A663EB" w:rsidRPr="001455DC">
        <w:t xml:space="preserve"> </w:t>
      </w:r>
      <w:r w:rsidRPr="001455DC">
        <w:t>practice</w:t>
      </w:r>
      <w:r w:rsidR="00A663EB" w:rsidRPr="001455DC">
        <w:t xml:space="preserve"> </w:t>
      </w:r>
      <w:r w:rsidRPr="001455DC">
        <w:t>generally</w:t>
      </w:r>
      <w:r w:rsidR="00A663EB" w:rsidRPr="001455DC">
        <w:t xml:space="preserve"> </w:t>
      </w:r>
      <w:r w:rsidRPr="001455DC">
        <w:t>available</w:t>
      </w:r>
      <w:r w:rsidR="00A663EB" w:rsidRPr="001455DC">
        <w:t xml:space="preserve"> </w:t>
      </w:r>
      <w:r w:rsidRPr="001455DC">
        <w:t>at</w:t>
      </w:r>
      <w:r w:rsidR="00A663EB" w:rsidRPr="001455DC">
        <w:t xml:space="preserve"> </w:t>
      </w:r>
      <w:r w:rsidRPr="001455DC">
        <w:t>the</w:t>
      </w:r>
      <w:r w:rsidR="00A663EB" w:rsidRPr="001455DC">
        <w:t xml:space="preserve"> </w:t>
      </w:r>
      <w:r w:rsidRPr="001455DC">
        <w:t>time</w:t>
      </w:r>
      <w:r w:rsidR="00A663EB" w:rsidRPr="001455DC">
        <w:t xml:space="preserve"> </w:t>
      </w:r>
      <w:r w:rsidRPr="001455DC">
        <w:t>the</w:t>
      </w:r>
      <w:r w:rsidR="00A663EB" w:rsidRPr="001455DC">
        <w:t xml:space="preserve"> </w:t>
      </w:r>
      <w:r w:rsidRPr="001455DC">
        <w:t>structure</w:t>
      </w:r>
      <w:r w:rsidR="00A663EB" w:rsidRPr="001455DC">
        <w:t xml:space="preserve"> </w:t>
      </w:r>
      <w:r w:rsidRPr="001455DC">
        <w:t>is</w:t>
      </w:r>
      <w:r w:rsidR="00A663EB" w:rsidRPr="001455DC">
        <w:t xml:space="preserve"> </w:t>
      </w:r>
      <w:r w:rsidRPr="001455DC">
        <w:t>assessed.</w:t>
      </w:r>
    </w:p>
    <w:p w14:paraId="574A3E84" w14:textId="353A9B3C" w:rsidR="004E22C1" w:rsidRPr="001455DC" w:rsidRDefault="004E22C1" w:rsidP="0092743C">
      <w:pPr>
        <w:pStyle w:val="a0"/>
        <w:rPr>
          <w:lang w:eastAsia="de-DE"/>
        </w:rPr>
      </w:pPr>
      <w:r w:rsidRPr="001455DC">
        <w:t>The</w:t>
      </w:r>
      <w:r w:rsidR="00A663EB" w:rsidRPr="001455DC">
        <w:t xml:space="preserve"> </w:t>
      </w:r>
      <w:r w:rsidRPr="001455DC">
        <w:t>assessment</w:t>
      </w:r>
      <w:r w:rsidR="00A663EB" w:rsidRPr="001455DC">
        <w:t xml:space="preserve"> </w:t>
      </w:r>
      <w:r w:rsidRPr="001455DC">
        <w:t>of</w:t>
      </w:r>
      <w:r w:rsidR="00A663EB" w:rsidRPr="001455DC">
        <w:t xml:space="preserve"> </w:t>
      </w:r>
      <w:r w:rsidRPr="001455DC">
        <w:t>the</w:t>
      </w:r>
      <w:r w:rsidR="00A663EB" w:rsidRPr="001455DC">
        <w:t xml:space="preserve"> </w:t>
      </w:r>
      <w:r w:rsidRPr="001455DC">
        <w:t>structure</w:t>
      </w:r>
      <w:r w:rsidR="00A663EB" w:rsidRPr="001455DC">
        <w:t xml:space="preserve"> </w:t>
      </w:r>
      <w:r w:rsidRPr="001455DC">
        <w:t>is</w:t>
      </w:r>
      <w:r w:rsidR="00A663EB" w:rsidRPr="001455DC">
        <w:t xml:space="preserve"> </w:t>
      </w:r>
      <w:r w:rsidRPr="001455DC">
        <w:t>made</w:t>
      </w:r>
      <w:r w:rsidR="00A663EB" w:rsidRPr="001455DC">
        <w:t xml:space="preserve"> </w:t>
      </w:r>
      <w:r w:rsidRPr="001455DC">
        <w:t>by</w:t>
      </w:r>
      <w:r w:rsidR="00A663EB" w:rsidRPr="001455DC">
        <w:t xml:space="preserve"> </w:t>
      </w:r>
      <w:r w:rsidRPr="001455DC">
        <w:t>appropriately</w:t>
      </w:r>
      <w:r w:rsidR="00A663EB" w:rsidRPr="001455DC">
        <w:t xml:space="preserve"> </w:t>
      </w:r>
      <w:r w:rsidRPr="001455DC">
        <w:t>qualified</w:t>
      </w:r>
      <w:r w:rsidR="00A663EB" w:rsidRPr="001455DC">
        <w:t xml:space="preserve"> </w:t>
      </w:r>
      <w:r w:rsidRPr="001455DC">
        <w:t>and</w:t>
      </w:r>
      <w:r w:rsidR="00A663EB" w:rsidRPr="001455DC">
        <w:t xml:space="preserve"> </w:t>
      </w:r>
      <w:r w:rsidRPr="001455DC">
        <w:t>experienced</w:t>
      </w:r>
      <w:r w:rsidR="00A663EB" w:rsidRPr="001455DC">
        <w:t xml:space="preserve"> </w:t>
      </w:r>
      <w:r w:rsidRPr="001455DC">
        <w:t>personnel.</w:t>
      </w:r>
    </w:p>
    <w:p w14:paraId="564D429E" w14:textId="42A4B0A4" w:rsidR="004E22C1" w:rsidRPr="001455DC" w:rsidRDefault="004E22C1" w:rsidP="0092743C">
      <w:pPr>
        <w:pStyle w:val="a0"/>
        <w:rPr>
          <w:lang w:eastAsia="de-DE"/>
        </w:rPr>
      </w:pPr>
      <w:r w:rsidRPr="001455DC">
        <w:t>Adequate</w:t>
      </w:r>
      <w:r w:rsidR="00A663EB" w:rsidRPr="001455DC">
        <w:t xml:space="preserve"> </w:t>
      </w:r>
      <w:r w:rsidRPr="001455DC">
        <w:t>supervision</w:t>
      </w:r>
      <w:r w:rsidR="00A663EB" w:rsidRPr="001455DC">
        <w:t xml:space="preserve"> </w:t>
      </w:r>
      <w:r w:rsidRPr="001455DC">
        <w:t>and</w:t>
      </w:r>
      <w:r w:rsidR="00A663EB" w:rsidRPr="001455DC">
        <w:t xml:space="preserve"> </w:t>
      </w:r>
      <w:r w:rsidRPr="001455DC">
        <w:t>quality</w:t>
      </w:r>
      <w:r w:rsidR="00A663EB" w:rsidRPr="001455DC">
        <w:t xml:space="preserve"> </w:t>
      </w:r>
      <w:r w:rsidRPr="001455DC">
        <w:t>control</w:t>
      </w:r>
      <w:r w:rsidR="00A663EB" w:rsidRPr="001455DC">
        <w:t xml:space="preserve"> </w:t>
      </w:r>
      <w:r w:rsidRPr="001455DC">
        <w:t>is</w:t>
      </w:r>
      <w:r w:rsidR="00A663EB" w:rsidRPr="001455DC">
        <w:t xml:space="preserve"> </w:t>
      </w:r>
      <w:r w:rsidRPr="001455DC">
        <w:t>provided</w:t>
      </w:r>
      <w:r w:rsidR="00A663EB" w:rsidRPr="001455DC">
        <w:t xml:space="preserve"> </w:t>
      </w:r>
      <w:r w:rsidRPr="001455DC">
        <w:t>during</w:t>
      </w:r>
      <w:r w:rsidR="00A663EB" w:rsidRPr="001455DC">
        <w:t xml:space="preserve"> </w:t>
      </w:r>
      <w:r w:rsidRPr="001455DC">
        <w:t>the</w:t>
      </w:r>
      <w:r w:rsidR="00A663EB" w:rsidRPr="001455DC">
        <w:t xml:space="preserve"> </w:t>
      </w:r>
      <w:r w:rsidRPr="001455DC">
        <w:t>assessment</w:t>
      </w:r>
      <w:r w:rsidR="00A663EB" w:rsidRPr="001455DC">
        <w:t xml:space="preserve"> </w:t>
      </w:r>
      <w:r w:rsidRPr="001455DC">
        <w:t>process.</w:t>
      </w:r>
    </w:p>
    <w:p w14:paraId="6D017A1E" w14:textId="20386DF1" w:rsidR="004E22C1" w:rsidRPr="001455DC" w:rsidRDefault="004E22C1" w:rsidP="0092743C">
      <w:pPr>
        <w:pStyle w:val="a0"/>
        <w:rPr>
          <w:lang w:eastAsia="de-DE"/>
        </w:rPr>
      </w:pPr>
      <w:r w:rsidRPr="001455DC">
        <w:t>The</w:t>
      </w:r>
      <w:r w:rsidR="00A663EB" w:rsidRPr="001455DC">
        <w:t xml:space="preserve"> </w:t>
      </w:r>
      <w:r w:rsidRPr="001455DC">
        <w:t>structure</w:t>
      </w:r>
      <w:r w:rsidR="00A663EB" w:rsidRPr="001455DC">
        <w:t xml:space="preserve"> </w:t>
      </w:r>
      <w:r w:rsidRPr="001455DC">
        <w:t>will</w:t>
      </w:r>
      <w:r w:rsidR="00A663EB" w:rsidRPr="001455DC">
        <w:t xml:space="preserve"> </w:t>
      </w:r>
      <w:r w:rsidRPr="001455DC">
        <w:t>be</w:t>
      </w:r>
      <w:r w:rsidR="00A663EB" w:rsidRPr="001455DC">
        <w:t xml:space="preserve"> </w:t>
      </w:r>
      <w:r w:rsidRPr="001455DC">
        <w:t>used</w:t>
      </w:r>
      <w:r w:rsidR="00A663EB" w:rsidRPr="001455DC">
        <w:t xml:space="preserve"> </w:t>
      </w:r>
      <w:r w:rsidRPr="001455DC">
        <w:t>and</w:t>
      </w:r>
      <w:r w:rsidR="00A663EB" w:rsidRPr="001455DC">
        <w:t xml:space="preserve"> </w:t>
      </w:r>
      <w:r w:rsidRPr="001455DC">
        <w:t>maintained</w:t>
      </w:r>
      <w:r w:rsidR="00A663EB" w:rsidRPr="001455DC">
        <w:t xml:space="preserve"> </w:t>
      </w:r>
      <w:r w:rsidRPr="001455DC">
        <w:t>in</w:t>
      </w:r>
      <w:r w:rsidR="00A663EB" w:rsidRPr="001455DC">
        <w:t xml:space="preserve"> </w:t>
      </w:r>
      <w:r w:rsidRPr="001455DC">
        <w:t>accordance</w:t>
      </w:r>
      <w:r w:rsidR="00A663EB" w:rsidRPr="001455DC">
        <w:t xml:space="preserve"> </w:t>
      </w:r>
      <w:r w:rsidRPr="001455DC">
        <w:t>with</w:t>
      </w:r>
      <w:r w:rsidR="00A663EB" w:rsidRPr="001455DC">
        <w:t xml:space="preserve"> </w:t>
      </w:r>
      <w:r w:rsidRPr="001455DC">
        <w:t>the</w:t>
      </w:r>
      <w:r w:rsidR="00A663EB" w:rsidRPr="001455DC">
        <w:t xml:space="preserve"> </w:t>
      </w:r>
      <w:r w:rsidRPr="001455DC">
        <w:t>assessment</w:t>
      </w:r>
      <w:r w:rsidR="00A663EB" w:rsidRPr="001455DC">
        <w:t xml:space="preserve"> </w:t>
      </w:r>
      <w:r w:rsidRPr="001455DC">
        <w:t>assumptions.</w:t>
      </w:r>
    </w:p>
    <w:p w14:paraId="0EBCAD60" w14:textId="141B4B54" w:rsidR="004E22C1" w:rsidRPr="001455DC" w:rsidRDefault="003B4B6E" w:rsidP="00082680">
      <w:pPr>
        <w:pStyle w:val="a2"/>
      </w:pPr>
      <w:bookmarkStart w:id="1618" w:name="_Toc56582710"/>
      <w:bookmarkStart w:id="1619" w:name="_Toc56595761"/>
      <w:bookmarkStart w:id="1620" w:name="_Toc56582711"/>
      <w:bookmarkStart w:id="1621" w:name="_Toc56595762"/>
      <w:bookmarkStart w:id="1622" w:name="_Toc56582712"/>
      <w:bookmarkStart w:id="1623" w:name="_Toc56595763"/>
      <w:bookmarkStart w:id="1624" w:name="_Toc56582713"/>
      <w:bookmarkStart w:id="1625" w:name="_Toc56595764"/>
      <w:bookmarkStart w:id="1626" w:name="_Toc56582714"/>
      <w:bookmarkStart w:id="1627" w:name="_Toc56595765"/>
      <w:bookmarkStart w:id="1628" w:name="_Toc56582715"/>
      <w:bookmarkStart w:id="1629" w:name="_Toc56595766"/>
      <w:bookmarkStart w:id="1630" w:name="_Toc56582716"/>
      <w:bookmarkStart w:id="1631" w:name="_Toc56595767"/>
      <w:bookmarkStart w:id="1632" w:name="_Toc56582717"/>
      <w:bookmarkStart w:id="1633" w:name="_Toc56595768"/>
      <w:bookmarkStart w:id="1634" w:name="_Toc56582718"/>
      <w:bookmarkStart w:id="1635" w:name="_Toc56595769"/>
      <w:bookmarkStart w:id="1636" w:name="_Toc56582719"/>
      <w:bookmarkStart w:id="1637" w:name="_Toc56595770"/>
      <w:bookmarkStart w:id="1638" w:name="_Toc56582744"/>
      <w:bookmarkStart w:id="1639" w:name="_Toc56595795"/>
      <w:bookmarkStart w:id="1640" w:name="_Toc56582745"/>
      <w:bookmarkStart w:id="1641" w:name="_Toc56595796"/>
      <w:bookmarkStart w:id="1642" w:name="_Toc56582791"/>
      <w:bookmarkStart w:id="1643" w:name="_Toc56595842"/>
      <w:bookmarkStart w:id="1644" w:name="_Toc56582792"/>
      <w:bookmarkStart w:id="1645" w:name="_Toc56595843"/>
      <w:bookmarkStart w:id="1646" w:name="_Toc52820193"/>
      <w:bookmarkStart w:id="1647" w:name="_Toc54337175"/>
      <w:bookmarkStart w:id="1648" w:name="_Toc54337614"/>
      <w:bookmarkStart w:id="1649" w:name="_Toc54338248"/>
      <w:bookmarkStart w:id="1650" w:name="_Toc67565574"/>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r w:rsidRPr="001455DC">
        <w:t>Basis of assessment</w:t>
      </w:r>
      <w:bookmarkEnd w:id="1646"/>
      <w:bookmarkEnd w:id="1647"/>
      <w:bookmarkEnd w:id="1648"/>
      <w:bookmarkEnd w:id="1649"/>
      <w:bookmarkEnd w:id="1650"/>
    </w:p>
    <w:p w14:paraId="7753F797" w14:textId="7625A22A" w:rsidR="004E22C1" w:rsidRPr="001455DC" w:rsidRDefault="004E22C1" w:rsidP="00243590">
      <w:pPr>
        <w:pStyle w:val="a3"/>
      </w:pPr>
      <w:bookmarkStart w:id="1651" w:name="_Toc52820194"/>
      <w:bookmarkStart w:id="1652" w:name="_Toc54337615"/>
      <w:bookmarkStart w:id="1653" w:name="_Toc54338249"/>
      <w:r w:rsidRPr="001455DC">
        <w:t>General rules</w:t>
      </w:r>
      <w:bookmarkEnd w:id="1651"/>
      <w:bookmarkEnd w:id="1652"/>
      <w:bookmarkEnd w:id="1653"/>
    </w:p>
    <w:p w14:paraId="6B4E5324" w14:textId="1CCB1E7F" w:rsidR="004E22C1" w:rsidRPr="001455DC" w:rsidRDefault="004E22C1" w:rsidP="00243590">
      <w:pPr>
        <w:pStyle w:val="a4"/>
      </w:pPr>
      <w:bookmarkStart w:id="1654" w:name="_Toc52820195"/>
      <w:bookmarkStart w:id="1655" w:name="_Toc54337616"/>
      <w:bookmarkStart w:id="1656" w:name="_Toc54338250"/>
      <w:r w:rsidRPr="001455DC">
        <w:t>Basic requirements</w:t>
      </w:r>
      <w:bookmarkEnd w:id="1654"/>
      <w:bookmarkEnd w:id="1655"/>
      <w:bookmarkEnd w:id="1656"/>
    </w:p>
    <w:p w14:paraId="36D86C83" w14:textId="74F93D13" w:rsidR="004E22C1" w:rsidRPr="001455DC" w:rsidRDefault="004E22C1" w:rsidP="007A25BF">
      <w:pPr>
        <w:pStyle w:val="a7"/>
      </w:pPr>
      <w:r w:rsidRPr="001455DC">
        <w:t>(1)</w:t>
      </w:r>
      <w:r w:rsidRPr="001455DC">
        <w:tab/>
        <w:t xml:space="preserve">For details not fulfilling the requirements of this Eurocode, the consequence for the structural safety should be identified. In these cases, assessment based on adequate models and testing (in accordance with </w:t>
      </w:r>
      <w:r w:rsidR="00DF00C7">
        <w:t>pr</w:t>
      </w:r>
      <w:r w:rsidRPr="001455DC">
        <w:t>EN 1990) may be used.</w:t>
      </w:r>
    </w:p>
    <w:p w14:paraId="27C7AEBD" w14:textId="375D9DB8" w:rsidR="004E22C1" w:rsidRPr="001455DC" w:rsidRDefault="004E22C1" w:rsidP="00243590">
      <w:pPr>
        <w:pStyle w:val="a4"/>
      </w:pPr>
      <w:bookmarkStart w:id="1657" w:name="_Toc52820196"/>
      <w:bookmarkStart w:id="1658" w:name="_Toc54337617"/>
      <w:bookmarkStart w:id="1659" w:name="_Toc54338251"/>
      <w:r w:rsidRPr="001455DC">
        <w:t>Effects to be considered in the assessment of deteriorated structures</w:t>
      </w:r>
      <w:bookmarkEnd w:id="1657"/>
      <w:bookmarkEnd w:id="1658"/>
      <w:bookmarkEnd w:id="1659"/>
    </w:p>
    <w:p w14:paraId="328757A3" w14:textId="77777777" w:rsidR="004E22C1" w:rsidRPr="001455DC" w:rsidRDefault="004E22C1" w:rsidP="00116AE2">
      <w:pPr>
        <w:pStyle w:val="a7"/>
        <w:keepNext/>
      </w:pPr>
      <w:r w:rsidRPr="001455DC">
        <w:t>(1)</w:t>
      </w:r>
      <w:r w:rsidRPr="001455DC">
        <w:tab/>
        <w:t>In case of concrete structures affected by deterioration, where applicable the assessment should take into account the following effects:</w:t>
      </w:r>
    </w:p>
    <w:p w14:paraId="0D39CCED" w14:textId="71F99F3F" w:rsidR="004E22C1" w:rsidRPr="001455DC" w:rsidRDefault="00A663EB" w:rsidP="00A663EB">
      <w:pPr>
        <w:pStyle w:val="a0"/>
        <w:numPr>
          <w:ilvl w:val="0"/>
          <w:numId w:val="0"/>
        </w:numPr>
        <w:ind w:left="360" w:hanging="360"/>
      </w:pPr>
      <w:r w:rsidRPr="001455DC">
        <w:rPr>
          <w:szCs w:val="22"/>
        </w:rPr>
        <w:t>—</w:t>
      </w:r>
      <w:r w:rsidRPr="001455DC">
        <w:rPr>
          <w:szCs w:val="22"/>
        </w:rPr>
        <w:tab/>
      </w:r>
      <w:r w:rsidR="004E22C1" w:rsidRPr="001455DC">
        <w:t>reduced concrete section due to delamination and spalling;</w:t>
      </w:r>
    </w:p>
    <w:p w14:paraId="7D776939" w14:textId="1D785C6F" w:rsidR="004E22C1" w:rsidRPr="001455DC" w:rsidRDefault="00A663EB" w:rsidP="00A663EB">
      <w:pPr>
        <w:pStyle w:val="a0"/>
        <w:numPr>
          <w:ilvl w:val="0"/>
          <w:numId w:val="0"/>
        </w:numPr>
        <w:ind w:left="360" w:hanging="360"/>
      </w:pPr>
      <w:r w:rsidRPr="001455DC">
        <w:rPr>
          <w:szCs w:val="22"/>
        </w:rPr>
        <w:t>—</w:t>
      </w:r>
      <w:r w:rsidRPr="001455DC">
        <w:rPr>
          <w:szCs w:val="22"/>
        </w:rPr>
        <w:tab/>
      </w:r>
      <w:r w:rsidR="004E22C1" w:rsidRPr="001455DC">
        <w:t>reduction of cross</w:t>
      </w:r>
      <w:r w:rsidR="00B10711" w:rsidRPr="001455DC">
        <w:t xml:space="preserve"> </w:t>
      </w:r>
      <w:r w:rsidR="004E22C1" w:rsidRPr="001455DC">
        <w:t>sectional area and ductility of the reinforcement;</w:t>
      </w:r>
    </w:p>
    <w:p w14:paraId="690CBAB2" w14:textId="474479C0" w:rsidR="004E22C1" w:rsidRPr="001455DC" w:rsidRDefault="00A663EB" w:rsidP="00A663EB">
      <w:pPr>
        <w:pStyle w:val="a0"/>
        <w:numPr>
          <w:ilvl w:val="0"/>
          <w:numId w:val="0"/>
        </w:numPr>
        <w:ind w:left="360" w:hanging="360"/>
      </w:pPr>
      <w:r w:rsidRPr="001455DC">
        <w:t>—</w:t>
      </w:r>
      <w:r w:rsidRPr="001455DC">
        <w:tab/>
      </w:r>
      <w:r w:rsidR="004E22C1" w:rsidRPr="001455DC">
        <w:t>stress concentration due to localized corrosion (e.g. prestressing steel);</w:t>
      </w:r>
    </w:p>
    <w:p w14:paraId="28633CC5" w14:textId="7C403BD6" w:rsidR="004E22C1" w:rsidRPr="001455DC" w:rsidRDefault="00A663EB" w:rsidP="00A663EB">
      <w:pPr>
        <w:pStyle w:val="a0"/>
        <w:numPr>
          <w:ilvl w:val="0"/>
          <w:numId w:val="0"/>
        </w:numPr>
        <w:ind w:left="360" w:hanging="360"/>
      </w:pPr>
      <w:r w:rsidRPr="001455DC">
        <w:t>—</w:t>
      </w:r>
      <w:r w:rsidRPr="001455DC">
        <w:tab/>
      </w:r>
      <w:r w:rsidR="004E22C1" w:rsidRPr="001455DC">
        <w:t>stress corrosion (e.g. prestressing steel);</w:t>
      </w:r>
    </w:p>
    <w:p w14:paraId="021F1FF2" w14:textId="4CE80623" w:rsidR="004E22C1" w:rsidRPr="001455DC" w:rsidRDefault="00A663EB" w:rsidP="00A663EB">
      <w:pPr>
        <w:pStyle w:val="a0"/>
        <w:numPr>
          <w:ilvl w:val="0"/>
          <w:numId w:val="0"/>
        </w:numPr>
        <w:ind w:left="360" w:hanging="360"/>
      </w:pPr>
      <w:r w:rsidRPr="001455DC">
        <w:rPr>
          <w:szCs w:val="22"/>
        </w:rPr>
        <w:t>—</w:t>
      </w:r>
      <w:r w:rsidRPr="001455DC">
        <w:rPr>
          <w:szCs w:val="22"/>
        </w:rPr>
        <w:tab/>
      </w:r>
      <w:r w:rsidR="004E22C1" w:rsidRPr="001455DC">
        <w:t>reduced concrete-steel bond;</w:t>
      </w:r>
    </w:p>
    <w:p w14:paraId="7F193A3D" w14:textId="533900FF" w:rsidR="004E22C1" w:rsidRPr="001455DC" w:rsidRDefault="00A663EB" w:rsidP="00A663EB">
      <w:pPr>
        <w:pStyle w:val="a0"/>
        <w:numPr>
          <w:ilvl w:val="0"/>
          <w:numId w:val="0"/>
        </w:numPr>
        <w:ind w:left="360" w:hanging="360"/>
      </w:pPr>
      <w:r w:rsidRPr="001455DC">
        <w:rPr>
          <w:szCs w:val="22"/>
        </w:rPr>
        <w:t>—</w:t>
      </w:r>
      <w:r w:rsidRPr="001455DC">
        <w:rPr>
          <w:szCs w:val="22"/>
        </w:rPr>
        <w:tab/>
      </w:r>
      <w:r w:rsidR="004E22C1" w:rsidRPr="001455DC">
        <w:t xml:space="preserve">loss of mechanical properties of concrete (e.g. sulphate attack, </w:t>
      </w:r>
      <w:r w:rsidR="004E22C1" w:rsidRPr="001455DC">
        <w:rPr>
          <w:rStyle w:val="CCMCvariableitalic"/>
        </w:rPr>
        <w:t>AAR</w:t>
      </w:r>
      <w:r w:rsidR="004E22C1" w:rsidRPr="001455DC">
        <w:t xml:space="preserve"> and </w:t>
      </w:r>
      <w:r w:rsidR="004E22C1" w:rsidRPr="001455DC">
        <w:rPr>
          <w:rStyle w:val="CCMCvariableitalic"/>
        </w:rPr>
        <w:t>DEF</w:t>
      </w:r>
      <w:r w:rsidR="004E22C1" w:rsidRPr="001455DC">
        <w:t>, frost attack, leaching and acid attack);</w:t>
      </w:r>
    </w:p>
    <w:p w14:paraId="05DC2044" w14:textId="4676B636" w:rsidR="004E22C1" w:rsidRPr="001455DC" w:rsidRDefault="00A663EB" w:rsidP="00A663EB">
      <w:pPr>
        <w:pStyle w:val="a0"/>
        <w:numPr>
          <w:ilvl w:val="0"/>
          <w:numId w:val="0"/>
        </w:numPr>
        <w:ind w:left="360" w:hanging="360"/>
      </w:pPr>
      <w:r w:rsidRPr="001455DC">
        <w:rPr>
          <w:szCs w:val="22"/>
        </w:rPr>
        <w:t>—</w:t>
      </w:r>
      <w:r w:rsidRPr="001455DC">
        <w:rPr>
          <w:szCs w:val="22"/>
        </w:rPr>
        <w:tab/>
      </w:r>
      <w:r w:rsidR="004E22C1" w:rsidRPr="001455DC">
        <w:t xml:space="preserve">cracking or expansion of concrete (swelling due to </w:t>
      </w:r>
      <w:r w:rsidR="004E22C1" w:rsidRPr="001455DC">
        <w:rPr>
          <w:rStyle w:val="CCMCvariableitalic"/>
        </w:rPr>
        <w:t>AAR</w:t>
      </w:r>
      <w:r w:rsidR="004E22C1" w:rsidRPr="001455DC">
        <w:t xml:space="preserve"> and </w:t>
      </w:r>
      <w:r w:rsidR="004E22C1" w:rsidRPr="001455DC">
        <w:rPr>
          <w:rStyle w:val="CCMCvariableitalic"/>
        </w:rPr>
        <w:t>DEF</w:t>
      </w:r>
      <w:r w:rsidR="004E22C1" w:rsidRPr="001455DC">
        <w:t>).</w:t>
      </w:r>
    </w:p>
    <w:p w14:paraId="68CE7CAF" w14:textId="77777777" w:rsidR="004E22C1" w:rsidRPr="001455DC" w:rsidRDefault="004E22C1" w:rsidP="00116AE2">
      <w:pPr>
        <w:pStyle w:val="Note"/>
        <w:keepNext/>
        <w:spacing w:after="120"/>
      </w:pPr>
      <w:r w:rsidRPr="001455DC">
        <w:rPr>
          <w:bCs/>
        </w:rPr>
        <w:t>NOTE 1</w:t>
      </w:r>
      <w:r w:rsidRPr="001455DC">
        <w:rPr>
          <w:bCs/>
        </w:rPr>
        <w:tab/>
      </w:r>
      <w:r w:rsidRPr="001455DC">
        <w:t>The most common deterioration mechanisms which can affect concrete structures are:</w:t>
      </w:r>
    </w:p>
    <w:p w14:paraId="54923750" w14:textId="6249DB80" w:rsidR="004E22C1" w:rsidRPr="001455DC" w:rsidRDefault="00A663EB" w:rsidP="00A663EB">
      <w:pPr>
        <w:pStyle w:val="a0"/>
        <w:numPr>
          <w:ilvl w:val="0"/>
          <w:numId w:val="0"/>
        </w:numPr>
        <w:ind w:left="360" w:hanging="360"/>
        <w:rPr>
          <w:sz w:val="20"/>
        </w:rPr>
      </w:pPr>
      <w:r w:rsidRPr="001455DC">
        <w:rPr>
          <w:szCs w:val="22"/>
        </w:rPr>
        <w:t>—</w:t>
      </w:r>
      <w:r w:rsidRPr="001455DC">
        <w:rPr>
          <w:szCs w:val="22"/>
        </w:rPr>
        <w:tab/>
      </w:r>
      <w:r w:rsidR="004E22C1" w:rsidRPr="001455DC">
        <w:rPr>
          <w:sz w:val="20"/>
        </w:rPr>
        <w:t>reinforcement corrosion;</w:t>
      </w:r>
    </w:p>
    <w:p w14:paraId="0860EDEE" w14:textId="28B5D219" w:rsidR="004E22C1" w:rsidRPr="001455DC" w:rsidRDefault="00A663EB" w:rsidP="00A663EB">
      <w:pPr>
        <w:pStyle w:val="a0"/>
        <w:numPr>
          <w:ilvl w:val="0"/>
          <w:numId w:val="0"/>
        </w:numPr>
        <w:ind w:left="360" w:hanging="360"/>
        <w:rPr>
          <w:sz w:val="20"/>
        </w:rPr>
      </w:pPr>
      <w:r w:rsidRPr="001455DC">
        <w:rPr>
          <w:szCs w:val="22"/>
        </w:rPr>
        <w:t>—</w:t>
      </w:r>
      <w:r w:rsidRPr="001455DC">
        <w:rPr>
          <w:szCs w:val="22"/>
        </w:rPr>
        <w:tab/>
      </w:r>
      <w:r w:rsidR="004E22C1" w:rsidRPr="001455DC">
        <w:rPr>
          <w:sz w:val="20"/>
        </w:rPr>
        <w:t>external sulphate attack;</w:t>
      </w:r>
    </w:p>
    <w:p w14:paraId="09946C3A" w14:textId="68ABFA7F" w:rsidR="004E22C1" w:rsidRPr="001455DC" w:rsidRDefault="00A663EB" w:rsidP="00A663EB">
      <w:pPr>
        <w:pStyle w:val="a0"/>
        <w:numPr>
          <w:ilvl w:val="0"/>
          <w:numId w:val="0"/>
        </w:numPr>
        <w:ind w:left="360" w:hanging="360"/>
        <w:rPr>
          <w:sz w:val="20"/>
        </w:rPr>
      </w:pPr>
      <w:r w:rsidRPr="001455DC">
        <w:rPr>
          <w:szCs w:val="22"/>
        </w:rPr>
        <w:t>—</w:t>
      </w:r>
      <w:r w:rsidRPr="001455DC">
        <w:rPr>
          <w:szCs w:val="22"/>
        </w:rPr>
        <w:tab/>
      </w:r>
      <w:r w:rsidR="004E22C1" w:rsidRPr="001455DC">
        <w:rPr>
          <w:sz w:val="20"/>
        </w:rPr>
        <w:t>Alkali-Aggregate Reaction (</w:t>
      </w:r>
      <w:r w:rsidR="004E22C1" w:rsidRPr="001455DC">
        <w:rPr>
          <w:rStyle w:val="CCMCvariableitalic"/>
          <w:sz w:val="20"/>
        </w:rPr>
        <w:t>AAR</w:t>
      </w:r>
      <w:r w:rsidR="004E22C1" w:rsidRPr="001455DC">
        <w:rPr>
          <w:sz w:val="20"/>
        </w:rPr>
        <w:t xml:space="preserve">) and other expansive reactions (e.g. Delayed Ettringite Formation, </w:t>
      </w:r>
      <w:r w:rsidR="004E22C1" w:rsidRPr="001455DC">
        <w:rPr>
          <w:rStyle w:val="CCMCvariableitalic"/>
          <w:sz w:val="20"/>
        </w:rPr>
        <w:t>DEF</w:t>
      </w:r>
      <w:r w:rsidR="004E22C1" w:rsidRPr="001455DC">
        <w:rPr>
          <w:sz w:val="20"/>
        </w:rPr>
        <w:t>);</w:t>
      </w:r>
    </w:p>
    <w:p w14:paraId="1E08995B" w14:textId="04DB35CF" w:rsidR="004E22C1" w:rsidRPr="001455DC" w:rsidRDefault="00A663EB" w:rsidP="00A663EB">
      <w:pPr>
        <w:pStyle w:val="a0"/>
        <w:numPr>
          <w:ilvl w:val="0"/>
          <w:numId w:val="0"/>
        </w:numPr>
        <w:ind w:left="360" w:hanging="360"/>
        <w:rPr>
          <w:sz w:val="20"/>
        </w:rPr>
      </w:pPr>
      <w:r w:rsidRPr="001455DC">
        <w:rPr>
          <w:szCs w:val="22"/>
        </w:rPr>
        <w:t>—</w:t>
      </w:r>
      <w:r w:rsidRPr="001455DC">
        <w:rPr>
          <w:szCs w:val="22"/>
        </w:rPr>
        <w:tab/>
      </w:r>
      <w:r w:rsidR="004E22C1" w:rsidRPr="001455DC">
        <w:rPr>
          <w:sz w:val="20"/>
        </w:rPr>
        <w:t>frost attack;</w:t>
      </w:r>
    </w:p>
    <w:p w14:paraId="4AEFF8F2" w14:textId="4CA22E68" w:rsidR="004E22C1" w:rsidRPr="001455DC" w:rsidRDefault="00A663EB" w:rsidP="00A663EB">
      <w:pPr>
        <w:pStyle w:val="a0"/>
        <w:numPr>
          <w:ilvl w:val="0"/>
          <w:numId w:val="0"/>
        </w:numPr>
        <w:ind w:left="360" w:hanging="360"/>
        <w:rPr>
          <w:sz w:val="20"/>
        </w:rPr>
      </w:pPr>
      <w:r w:rsidRPr="001455DC">
        <w:rPr>
          <w:szCs w:val="22"/>
        </w:rPr>
        <w:t>—</w:t>
      </w:r>
      <w:r w:rsidRPr="001455DC">
        <w:rPr>
          <w:szCs w:val="22"/>
        </w:rPr>
        <w:tab/>
      </w:r>
      <w:r w:rsidR="004E22C1" w:rsidRPr="001455DC">
        <w:rPr>
          <w:sz w:val="20"/>
        </w:rPr>
        <w:t>leaching and acid attack.</w:t>
      </w:r>
    </w:p>
    <w:p w14:paraId="732E414A" w14:textId="77777777" w:rsidR="004E22C1" w:rsidRPr="001455DC" w:rsidRDefault="004E22C1" w:rsidP="007A25BF">
      <w:pPr>
        <w:pStyle w:val="Note"/>
      </w:pPr>
      <w:r w:rsidRPr="001455DC">
        <w:rPr>
          <w:bCs/>
        </w:rPr>
        <w:t>NOTE 2</w:t>
      </w:r>
      <w:r w:rsidRPr="001455DC">
        <w:rPr>
          <w:bCs/>
        </w:rPr>
        <w:tab/>
      </w:r>
      <w:r w:rsidRPr="001455DC">
        <w:t>Formulae given in this Eurocode can be invalid in case of deterioration (e.g. Young modulus of concrete in case of AAR, steel ductility in case of pitting corrosion).</w:t>
      </w:r>
    </w:p>
    <w:p w14:paraId="508BAADE" w14:textId="77777777" w:rsidR="004E22C1" w:rsidRPr="001455DC" w:rsidRDefault="004E22C1" w:rsidP="007A25BF">
      <w:pPr>
        <w:pStyle w:val="Note"/>
      </w:pPr>
      <w:r w:rsidRPr="001455DC">
        <w:rPr>
          <w:bCs/>
        </w:rPr>
        <w:t>NOTE 3</w:t>
      </w:r>
      <w:r w:rsidRPr="001455DC">
        <w:rPr>
          <w:bCs/>
        </w:rPr>
        <w:tab/>
      </w:r>
      <w:r w:rsidRPr="001455DC">
        <w:t>Pitting corrosion due to chlorides is often not accompanied by other types of corrosion and hence it can be hardly detected by visual inspection of the structural member surface.</w:t>
      </w:r>
    </w:p>
    <w:p w14:paraId="1926F193" w14:textId="77777777" w:rsidR="004E22C1" w:rsidRPr="001455DC" w:rsidRDefault="004E22C1" w:rsidP="007A25BF">
      <w:pPr>
        <w:pStyle w:val="Note"/>
      </w:pPr>
      <w:r w:rsidRPr="001455DC">
        <w:rPr>
          <w:bCs/>
        </w:rPr>
        <w:t>NOTE 4</w:t>
      </w:r>
      <w:r w:rsidRPr="001455DC">
        <w:rPr>
          <w:bCs/>
        </w:rPr>
        <w:tab/>
      </w:r>
      <w:r w:rsidRPr="001455DC">
        <w:t>Some older quenched and tempered steel and bars can have a lower toughness and a higher risk for stress corrosion.</w:t>
      </w:r>
    </w:p>
    <w:p w14:paraId="060E4F99" w14:textId="7AA0ECF2" w:rsidR="004E22C1" w:rsidRPr="001455DC" w:rsidRDefault="004E22C1" w:rsidP="007A25BF">
      <w:pPr>
        <w:pStyle w:val="Note"/>
      </w:pPr>
      <w:r w:rsidRPr="001455DC">
        <w:t>NOTE 5</w:t>
      </w:r>
      <w:r w:rsidRPr="001455DC">
        <w:tab/>
        <w:t>The effect of corrosion influences also model uncertainties and, hence, the resistance models.</w:t>
      </w:r>
    </w:p>
    <w:p w14:paraId="6E106716" w14:textId="762AC11F" w:rsidR="004E22C1" w:rsidRPr="001455DC" w:rsidRDefault="004E22C1" w:rsidP="00243590">
      <w:pPr>
        <w:pStyle w:val="a3"/>
      </w:pPr>
      <w:bookmarkStart w:id="1660" w:name="_Toc52820197"/>
      <w:bookmarkStart w:id="1661" w:name="_Toc54337618"/>
      <w:bookmarkStart w:id="1662" w:name="_Toc54338252"/>
      <w:r w:rsidRPr="001455DC">
        <w:t>Verification by the partial factor method</w:t>
      </w:r>
      <w:bookmarkEnd w:id="1660"/>
      <w:bookmarkEnd w:id="1661"/>
      <w:bookmarkEnd w:id="1662"/>
    </w:p>
    <w:p w14:paraId="064FB447" w14:textId="613FABAF" w:rsidR="004E22C1" w:rsidRPr="001455DC" w:rsidRDefault="004E22C1" w:rsidP="00243590">
      <w:pPr>
        <w:pStyle w:val="a4"/>
      </w:pPr>
      <w:bookmarkStart w:id="1663" w:name="_Toc52820198"/>
      <w:bookmarkStart w:id="1664" w:name="_Toc54337619"/>
      <w:bookmarkStart w:id="1665" w:name="_Toc54338253"/>
      <w:r w:rsidRPr="001455DC">
        <w:t>Partial factors for assessment</w:t>
      </w:r>
      <w:bookmarkEnd w:id="1663"/>
      <w:bookmarkEnd w:id="1664"/>
      <w:bookmarkEnd w:id="1665"/>
    </w:p>
    <w:p w14:paraId="3AC3AFE1" w14:textId="5B51B315" w:rsidR="004E22C1" w:rsidRPr="001455DC" w:rsidRDefault="004E22C1" w:rsidP="007A25BF">
      <w:pPr>
        <w:pStyle w:val="a7"/>
      </w:pPr>
      <w:r w:rsidRPr="001455DC">
        <w:t>(1)</w:t>
      </w:r>
      <w:r w:rsidRPr="001455DC">
        <w:tab/>
        <w:t>In the absence of tests made on the existing structures to assess the mechanical characteristics of materials, the partial factors for materials given in Table 4.3(NDP)</w:t>
      </w:r>
      <w:r w:rsidR="00A663EB" w:rsidRPr="001455DC">
        <w:t xml:space="preserve"> </w:t>
      </w:r>
      <w:r w:rsidRPr="001455DC">
        <w:t>should be used for assessment.</w:t>
      </w:r>
    </w:p>
    <w:p w14:paraId="003F2B66" w14:textId="326BCCFB" w:rsidR="004E22C1" w:rsidRPr="001455DC" w:rsidRDefault="004E22C1" w:rsidP="007A25BF">
      <w:pPr>
        <w:pStyle w:val="a7"/>
      </w:pPr>
      <w:r w:rsidRPr="001455DC">
        <w:t>(2)</w:t>
      </w:r>
      <w:r w:rsidRPr="001455DC">
        <w:tab/>
        <w:t>If tests are made on the existing structure to assess the mechanical characteristics of materials, the partial factors for materials</w:t>
      </w:r>
      <w:r w:rsidR="00A663EB" w:rsidRPr="001455DC">
        <w:t xml:space="preserve"> </w:t>
      </w:r>
      <w:r w:rsidRPr="001455DC">
        <w:t>given in Table 4.3(NDP)</w:t>
      </w:r>
      <w:r w:rsidR="00A663EB" w:rsidRPr="001455DC">
        <w:t xml:space="preserve"> </w:t>
      </w:r>
      <w:r w:rsidRPr="001455DC">
        <w:t xml:space="preserve">may be adjusted according to Annex A by using the actual mean values and coefficients of variation derived by tests, unless the coefficient of variation of concrete core strength </w:t>
      </w:r>
      <m:oMath>
        <m:sSub>
          <m:sSubPr>
            <m:ctrlPr>
              <w:rPr>
                <w:rFonts w:ascii="Cambria Math" w:hAnsi="Cambria Math"/>
                <w:i/>
                <w:iCs/>
              </w:rPr>
            </m:ctrlPr>
          </m:sSubPr>
          <m:e>
            <m:r>
              <w:rPr>
                <w:rFonts w:ascii="Cambria Math" w:hAnsi="Cambria Math"/>
              </w:rPr>
              <m:t>V</m:t>
            </m:r>
          </m:e>
          <m:sub>
            <m:r>
              <m:rPr>
                <m:sty m:val="p"/>
              </m:rPr>
              <w:rPr>
                <w:rFonts w:ascii="Cambria Math" w:hAnsi="Cambria Math"/>
              </w:rPr>
              <m:t>fc,is</m:t>
            </m:r>
          </m:sub>
        </m:sSub>
      </m:oMath>
      <w:r w:rsidRPr="001455DC">
        <w:t xml:space="preserve"> is greater than </w:t>
      </w:r>
      <m:oMath>
        <m:sSub>
          <m:sSubPr>
            <m:ctrlPr>
              <w:rPr>
                <w:rFonts w:ascii="Cambria Math" w:hAnsi="Cambria Math"/>
                <w:i/>
                <w:iCs/>
              </w:rPr>
            </m:ctrlPr>
          </m:sSubPr>
          <m:e>
            <m:r>
              <w:rPr>
                <w:rFonts w:ascii="Cambria Math" w:hAnsi="Cambria Math"/>
              </w:rPr>
              <m:t>V</m:t>
            </m:r>
          </m:e>
          <m:sub>
            <m:r>
              <m:rPr>
                <m:sty m:val="p"/>
              </m:rPr>
              <w:rPr>
                <w:rFonts w:ascii="Cambria Math" w:hAnsi="Cambria Math"/>
              </w:rPr>
              <m:t>fc,is,lim</m:t>
            </m:r>
          </m:sub>
        </m:sSub>
      </m:oMath>
      <w:r w:rsidRPr="001455DC">
        <w:t xml:space="preserve">, in which case the partial factors for concrete should be adjusted according to Annex A by using the actual mean values and coefficients of variation derived by tests. The results of tests undertaken during the construction may also be used for this purpose. </w:t>
      </w:r>
      <m:oMath>
        <m:sSub>
          <m:sSubPr>
            <m:ctrlPr>
              <w:rPr>
                <w:rFonts w:ascii="Cambria Math" w:hAnsi="Cambria Math"/>
                <w:i/>
                <w:iCs/>
              </w:rPr>
            </m:ctrlPr>
          </m:sSubPr>
          <m:e>
            <m:r>
              <w:rPr>
                <w:rFonts w:ascii="Cambria Math" w:hAnsi="Cambria Math"/>
              </w:rPr>
              <m:t>V</m:t>
            </m:r>
          </m:e>
          <m:sub>
            <m:r>
              <m:rPr>
                <m:sty m:val="p"/>
              </m:rPr>
              <w:rPr>
                <w:rFonts w:ascii="Cambria Math" w:hAnsi="Cambria Math"/>
              </w:rPr>
              <m:t>fc,is,lim</m:t>
            </m:r>
          </m:sub>
        </m:sSub>
      </m:oMath>
      <w:r w:rsidRPr="001455DC">
        <w:t xml:space="preserve"> is a parameter which depends on the number of test results according to Table I.1(NDP).</w:t>
      </w:r>
    </w:p>
    <w:p w14:paraId="1270A7AC" w14:textId="1E593324" w:rsidR="004E22C1" w:rsidRPr="001455DC" w:rsidRDefault="004E22C1" w:rsidP="00A663EB">
      <w:pPr>
        <w:pStyle w:val="Note"/>
      </w:pPr>
      <w:r w:rsidRPr="001455DC">
        <w:t>NOTE 1</w:t>
      </w:r>
      <w:r w:rsidRPr="001455DC">
        <w:tab/>
        <w:t xml:space="preserve">The values of </w:t>
      </w:r>
      <m:oMath>
        <m:sSub>
          <m:sSubPr>
            <m:ctrlPr>
              <w:rPr>
                <w:rFonts w:ascii="Cambria Math" w:hAnsi="Cambria Math"/>
              </w:rPr>
            </m:ctrlPr>
          </m:sSubPr>
          <m:e>
            <m:r>
              <w:rPr>
                <w:rFonts w:ascii="Cambria Math" w:hAnsi="Cambria Math"/>
              </w:rPr>
              <m:t>V</m:t>
            </m:r>
          </m:e>
          <m:sub>
            <m:r>
              <m:rPr>
                <m:sty m:val="p"/>
              </m:rPr>
              <w:rPr>
                <w:rFonts w:ascii="Cambria Math" w:hAnsi="Cambria Math"/>
              </w:rPr>
              <m:t>fc,is,lim</m:t>
            </m:r>
          </m:sub>
        </m:sSub>
      </m:oMath>
      <w:r w:rsidRPr="001455DC">
        <w:t xml:space="preserve"> given in Table I.1(NDP) apply unless a National Annex gives different values.</w:t>
      </w:r>
    </w:p>
    <w:p w14:paraId="06DD2D22" w14:textId="77777777" w:rsidR="004E22C1" w:rsidRPr="001455DC" w:rsidRDefault="004E22C1" w:rsidP="005965D6">
      <w:pPr>
        <w:pStyle w:val="Note"/>
      </w:pPr>
      <w:r w:rsidRPr="001455DC">
        <w:rPr>
          <w:bCs/>
        </w:rPr>
        <w:t>NOTE 2</w:t>
      </w:r>
      <w:r w:rsidRPr="001455DC">
        <w:rPr>
          <w:bCs/>
        </w:rPr>
        <w:tab/>
      </w:r>
      <w:r w:rsidRPr="001455DC">
        <w:t>Information from test results can be combined with prior information if available.</w:t>
      </w:r>
    </w:p>
    <w:p w14:paraId="6E19234F" w14:textId="7FBAAD39" w:rsidR="004E22C1" w:rsidRPr="001455DC" w:rsidRDefault="004E22C1" w:rsidP="00A663EB">
      <w:pPr>
        <w:pStyle w:val="Tabletitle"/>
      </w:pPr>
      <w:bookmarkStart w:id="1666" w:name="_Toc54337620"/>
      <w:r w:rsidRPr="001455DC">
        <w:t xml:space="preserve">Table I.1 (NDP) — Values of </w:t>
      </w:r>
      <m:oMath>
        <m:sSub>
          <m:sSubPr>
            <m:ctrlPr>
              <w:rPr>
                <w:rFonts w:ascii="Cambria Math" w:hAnsi="Cambria Math"/>
              </w:rPr>
            </m:ctrlPr>
          </m:sSubPr>
          <m:e>
            <m:r>
              <m:rPr>
                <m:sty m:val="bi"/>
              </m:rPr>
              <w:rPr>
                <w:rFonts w:ascii="Cambria Math" w:hAnsi="Cambria Math"/>
              </w:rPr>
              <m:t>V</m:t>
            </m:r>
          </m:e>
          <m:sub>
            <m:r>
              <m:rPr>
                <m:sty m:val="b"/>
              </m:rPr>
              <w:rPr>
                <w:rFonts w:ascii="Cambria Math" w:hAnsi="Cambria Math"/>
              </w:rPr>
              <m:t>fc,is,lim</m:t>
            </m:r>
          </m:sub>
        </m:sSub>
      </m:oMath>
      <w:r w:rsidRPr="001455DC">
        <w:t xml:space="preserve"> as function of the number of sample </w:t>
      </w:r>
      <w:r w:rsidRPr="001455DC">
        <w:rPr>
          <w:rStyle w:val="CCMCvariableitalic"/>
        </w:rPr>
        <w:t>n</w:t>
      </w:r>
      <w:bookmarkEnd w:id="1666"/>
    </w:p>
    <w:tbl>
      <w:tblPr>
        <w:tblStyle w:val="53"/>
        <w:tblW w:w="9752" w:type="dxa"/>
        <w:tblLayout w:type="fixed"/>
        <w:tblLook w:val="0600" w:firstRow="0" w:lastRow="0" w:firstColumn="0" w:lastColumn="0" w:noHBand="1" w:noVBand="1"/>
      </w:tblPr>
      <w:tblGrid>
        <w:gridCol w:w="1561"/>
        <w:gridCol w:w="1171"/>
        <w:gridCol w:w="1170"/>
        <w:gridCol w:w="1170"/>
        <w:gridCol w:w="1170"/>
        <w:gridCol w:w="1170"/>
        <w:gridCol w:w="1170"/>
        <w:gridCol w:w="1170"/>
      </w:tblGrid>
      <w:tr w:rsidR="004E22C1" w:rsidRPr="001455DC" w14:paraId="0305EE8A" w14:textId="77777777" w:rsidTr="00A663EB">
        <w:trPr>
          <w:cantSplit/>
        </w:trPr>
        <w:tc>
          <w:tcPr>
            <w:tcW w:w="1134" w:type="dxa"/>
            <w:tcBorders>
              <w:right w:val="single" w:sz="12" w:space="0" w:color="000000"/>
            </w:tcBorders>
          </w:tcPr>
          <w:p w14:paraId="556C754E" w14:textId="77777777" w:rsidR="004E22C1" w:rsidRPr="009D3012" w:rsidRDefault="004E22C1" w:rsidP="00A663EB">
            <w:pPr>
              <w:pStyle w:val="Tablebody"/>
              <w:jc w:val="left"/>
              <w:rPr>
                <w:rStyle w:val="CCMCvariableitalic"/>
              </w:rPr>
            </w:pPr>
            <w:r w:rsidRPr="001455DC">
              <w:rPr>
                <w:rStyle w:val="CCMCvariableitalic"/>
              </w:rPr>
              <w:t>n</w:t>
            </w:r>
          </w:p>
        </w:tc>
        <w:tc>
          <w:tcPr>
            <w:tcW w:w="851" w:type="dxa"/>
            <w:tcBorders>
              <w:top w:val="single" w:sz="12" w:space="0" w:color="000000"/>
              <w:left w:val="single" w:sz="12" w:space="0" w:color="000000"/>
              <w:bottom w:val="single" w:sz="6" w:space="0" w:color="000000"/>
            </w:tcBorders>
          </w:tcPr>
          <w:p w14:paraId="3CDD1B0F" w14:textId="77777777" w:rsidR="004E22C1" w:rsidRPr="001455DC" w:rsidRDefault="004E22C1" w:rsidP="00A663EB">
            <w:pPr>
              <w:pStyle w:val="Tablebody"/>
              <w:jc w:val="center"/>
            </w:pPr>
            <w:r w:rsidRPr="001455DC">
              <w:t>8</w:t>
            </w:r>
          </w:p>
        </w:tc>
        <w:tc>
          <w:tcPr>
            <w:tcW w:w="851" w:type="dxa"/>
          </w:tcPr>
          <w:p w14:paraId="0963F39B" w14:textId="77777777" w:rsidR="004E22C1" w:rsidRPr="001455DC" w:rsidRDefault="004E22C1" w:rsidP="00A663EB">
            <w:pPr>
              <w:pStyle w:val="Tablebody"/>
              <w:jc w:val="center"/>
            </w:pPr>
            <w:r w:rsidRPr="001455DC">
              <w:t>10</w:t>
            </w:r>
          </w:p>
        </w:tc>
        <w:tc>
          <w:tcPr>
            <w:tcW w:w="851" w:type="dxa"/>
          </w:tcPr>
          <w:p w14:paraId="5A853D06" w14:textId="77777777" w:rsidR="004E22C1" w:rsidRPr="001455DC" w:rsidRDefault="004E22C1" w:rsidP="00A663EB">
            <w:pPr>
              <w:pStyle w:val="Tablebody"/>
              <w:jc w:val="center"/>
            </w:pPr>
            <w:r w:rsidRPr="001455DC">
              <w:t>12</w:t>
            </w:r>
          </w:p>
        </w:tc>
        <w:tc>
          <w:tcPr>
            <w:tcW w:w="851" w:type="dxa"/>
          </w:tcPr>
          <w:p w14:paraId="44830677" w14:textId="77777777" w:rsidR="004E22C1" w:rsidRPr="001455DC" w:rsidRDefault="004E22C1" w:rsidP="00A663EB">
            <w:pPr>
              <w:pStyle w:val="Tablebody"/>
              <w:jc w:val="center"/>
            </w:pPr>
            <w:r w:rsidRPr="001455DC">
              <w:t>16</w:t>
            </w:r>
          </w:p>
        </w:tc>
        <w:tc>
          <w:tcPr>
            <w:tcW w:w="851" w:type="dxa"/>
          </w:tcPr>
          <w:p w14:paraId="719BE3A9" w14:textId="77777777" w:rsidR="004E22C1" w:rsidRPr="001455DC" w:rsidRDefault="004E22C1" w:rsidP="00A663EB">
            <w:pPr>
              <w:pStyle w:val="Tablebody"/>
              <w:jc w:val="center"/>
            </w:pPr>
            <w:r w:rsidRPr="001455DC">
              <w:t>20</w:t>
            </w:r>
          </w:p>
        </w:tc>
        <w:tc>
          <w:tcPr>
            <w:tcW w:w="851" w:type="dxa"/>
          </w:tcPr>
          <w:p w14:paraId="0479C1D6" w14:textId="77777777" w:rsidR="004E22C1" w:rsidRPr="001455DC" w:rsidRDefault="004E22C1" w:rsidP="00A663EB">
            <w:pPr>
              <w:pStyle w:val="Tablebody"/>
              <w:jc w:val="center"/>
            </w:pPr>
            <w:r w:rsidRPr="001455DC">
              <w:t>30</w:t>
            </w:r>
          </w:p>
        </w:tc>
        <w:tc>
          <w:tcPr>
            <w:tcW w:w="851" w:type="dxa"/>
          </w:tcPr>
          <w:p w14:paraId="4E0DD089" w14:textId="77777777" w:rsidR="004E22C1" w:rsidRPr="001455DC" w:rsidRDefault="004E22C1" w:rsidP="00A663EB">
            <w:pPr>
              <w:pStyle w:val="Tablebody"/>
              <w:jc w:val="center"/>
            </w:pPr>
            <w:r w:rsidRPr="001455DC">
              <w:t>∞</w:t>
            </w:r>
          </w:p>
        </w:tc>
      </w:tr>
      <w:tr w:rsidR="004E22C1" w:rsidRPr="001455DC" w14:paraId="6635415B" w14:textId="77777777" w:rsidTr="00A663EB">
        <w:trPr>
          <w:cantSplit/>
        </w:trPr>
        <w:tc>
          <w:tcPr>
            <w:tcW w:w="1134" w:type="dxa"/>
            <w:tcBorders>
              <w:right w:val="single" w:sz="12" w:space="0" w:color="000000"/>
            </w:tcBorders>
          </w:tcPr>
          <w:p w14:paraId="159CE4A6" w14:textId="447D9240" w:rsidR="004E22C1" w:rsidRPr="001455DC" w:rsidRDefault="00231E33" w:rsidP="00A663EB">
            <w:pPr>
              <w:pStyle w:val="Tablebody"/>
              <w:jc w:val="center"/>
            </w:pPr>
            <m:oMathPara>
              <m:oMathParaPr>
                <m:jc m:val="left"/>
              </m:oMathParaPr>
              <m:oMath>
                <m:sSub>
                  <m:sSubPr>
                    <m:ctrlPr>
                      <w:rPr>
                        <w:rFonts w:ascii="Cambria Math" w:hAnsi="Cambria Math"/>
                      </w:rPr>
                    </m:ctrlPr>
                  </m:sSubPr>
                  <m:e>
                    <m:r>
                      <w:rPr>
                        <w:rFonts w:ascii="Cambria Math" w:hAnsi="Cambria Math"/>
                      </w:rPr>
                      <m:t>V</m:t>
                    </m:r>
                  </m:e>
                  <m:sub>
                    <m:r>
                      <m:rPr>
                        <m:sty m:val="p"/>
                      </m:rPr>
                      <w:rPr>
                        <w:rFonts w:ascii="Cambria Math" w:hAnsi="Cambria Math"/>
                      </w:rPr>
                      <m:t>fc,is,lim</m:t>
                    </m:r>
                  </m:sub>
                </m:sSub>
              </m:oMath>
            </m:oMathPara>
          </w:p>
        </w:tc>
        <w:tc>
          <w:tcPr>
            <w:tcW w:w="851" w:type="dxa"/>
            <w:tcBorders>
              <w:top w:val="single" w:sz="6" w:space="0" w:color="000000"/>
              <w:left w:val="single" w:sz="12" w:space="0" w:color="000000"/>
              <w:bottom w:val="single" w:sz="12" w:space="0" w:color="000000"/>
            </w:tcBorders>
          </w:tcPr>
          <w:p w14:paraId="3EFC76D8" w14:textId="77777777" w:rsidR="004E22C1" w:rsidRPr="001455DC" w:rsidRDefault="004E22C1" w:rsidP="00A663EB">
            <w:pPr>
              <w:pStyle w:val="Tablebody"/>
              <w:jc w:val="center"/>
            </w:pPr>
            <w:r w:rsidRPr="001455DC">
              <w:t>0,13</w:t>
            </w:r>
          </w:p>
        </w:tc>
        <w:tc>
          <w:tcPr>
            <w:tcW w:w="851" w:type="dxa"/>
          </w:tcPr>
          <w:p w14:paraId="76681255" w14:textId="77777777" w:rsidR="004E22C1" w:rsidRPr="001455DC" w:rsidRDefault="004E22C1" w:rsidP="00A663EB">
            <w:pPr>
              <w:pStyle w:val="Tablebody"/>
              <w:jc w:val="center"/>
            </w:pPr>
            <w:r w:rsidRPr="001455DC">
              <w:t>0,15</w:t>
            </w:r>
          </w:p>
        </w:tc>
        <w:tc>
          <w:tcPr>
            <w:tcW w:w="851" w:type="dxa"/>
          </w:tcPr>
          <w:p w14:paraId="11944D3A" w14:textId="77777777" w:rsidR="004E22C1" w:rsidRPr="001455DC" w:rsidRDefault="004E22C1" w:rsidP="00A663EB">
            <w:pPr>
              <w:pStyle w:val="Tablebody"/>
              <w:jc w:val="center"/>
            </w:pPr>
            <w:r w:rsidRPr="001455DC">
              <w:t>0,17</w:t>
            </w:r>
          </w:p>
        </w:tc>
        <w:tc>
          <w:tcPr>
            <w:tcW w:w="851" w:type="dxa"/>
          </w:tcPr>
          <w:p w14:paraId="016377C6" w14:textId="77777777" w:rsidR="004E22C1" w:rsidRPr="001455DC" w:rsidRDefault="004E22C1" w:rsidP="00A663EB">
            <w:pPr>
              <w:pStyle w:val="Tablebody"/>
              <w:jc w:val="center"/>
            </w:pPr>
            <w:r w:rsidRPr="001455DC">
              <w:t>0,20</w:t>
            </w:r>
          </w:p>
        </w:tc>
        <w:tc>
          <w:tcPr>
            <w:tcW w:w="851" w:type="dxa"/>
          </w:tcPr>
          <w:p w14:paraId="5FF6A844" w14:textId="77777777" w:rsidR="004E22C1" w:rsidRPr="001455DC" w:rsidRDefault="004E22C1" w:rsidP="00A663EB">
            <w:pPr>
              <w:pStyle w:val="Tablebody"/>
              <w:jc w:val="center"/>
            </w:pPr>
            <w:r w:rsidRPr="001455DC">
              <w:t>0,21</w:t>
            </w:r>
          </w:p>
        </w:tc>
        <w:tc>
          <w:tcPr>
            <w:tcW w:w="851" w:type="dxa"/>
          </w:tcPr>
          <w:p w14:paraId="14A22188" w14:textId="77777777" w:rsidR="004E22C1" w:rsidRPr="001455DC" w:rsidRDefault="004E22C1" w:rsidP="00A663EB">
            <w:pPr>
              <w:pStyle w:val="Tablebody"/>
              <w:jc w:val="center"/>
            </w:pPr>
            <w:r w:rsidRPr="001455DC">
              <w:t>0,23</w:t>
            </w:r>
          </w:p>
        </w:tc>
        <w:tc>
          <w:tcPr>
            <w:tcW w:w="851" w:type="dxa"/>
          </w:tcPr>
          <w:p w14:paraId="2AED21C5" w14:textId="77777777" w:rsidR="004E22C1" w:rsidRPr="001455DC" w:rsidRDefault="004E22C1" w:rsidP="00A663EB">
            <w:pPr>
              <w:pStyle w:val="Tablebody"/>
              <w:jc w:val="center"/>
            </w:pPr>
            <w:r w:rsidRPr="001455DC">
              <w:t>0,29</w:t>
            </w:r>
          </w:p>
        </w:tc>
      </w:tr>
    </w:tbl>
    <w:p w14:paraId="24192224" w14:textId="77777777" w:rsidR="004E22C1" w:rsidRPr="001455DC" w:rsidRDefault="004E22C1" w:rsidP="005965D6">
      <w:pPr>
        <w:pStyle w:val="a7"/>
      </w:pPr>
    </w:p>
    <w:p w14:paraId="733F8FFF" w14:textId="62AA484A" w:rsidR="004E22C1" w:rsidRPr="001455DC" w:rsidRDefault="007A25BF" w:rsidP="00082680">
      <w:pPr>
        <w:pStyle w:val="a2"/>
      </w:pPr>
      <w:bookmarkStart w:id="1667" w:name="_Toc52820199"/>
      <w:bookmarkStart w:id="1668" w:name="_Toc54337176"/>
      <w:bookmarkStart w:id="1669" w:name="_Toc54337621"/>
      <w:bookmarkStart w:id="1670" w:name="_Toc54338254"/>
      <w:bookmarkStart w:id="1671" w:name="_Toc67565575"/>
      <w:r w:rsidRPr="001455DC">
        <w:t>Materials</w:t>
      </w:r>
      <w:bookmarkEnd w:id="1667"/>
      <w:bookmarkEnd w:id="1668"/>
      <w:bookmarkEnd w:id="1669"/>
      <w:bookmarkEnd w:id="1670"/>
      <w:bookmarkEnd w:id="1671"/>
    </w:p>
    <w:p w14:paraId="6884306E" w14:textId="39A4386B" w:rsidR="004E22C1" w:rsidRPr="001455DC" w:rsidRDefault="004E22C1" w:rsidP="00243590">
      <w:pPr>
        <w:pStyle w:val="a3"/>
      </w:pPr>
      <w:bookmarkStart w:id="1672" w:name="_Toc52820200"/>
      <w:bookmarkStart w:id="1673" w:name="_Toc54337622"/>
      <w:bookmarkStart w:id="1674" w:name="_Toc54338255"/>
      <w:r w:rsidRPr="001455DC">
        <w:t>General</w:t>
      </w:r>
      <w:bookmarkEnd w:id="1672"/>
      <w:bookmarkEnd w:id="1673"/>
      <w:bookmarkEnd w:id="1674"/>
    </w:p>
    <w:p w14:paraId="3242E379" w14:textId="6C152C2C" w:rsidR="004E22C1" w:rsidRPr="001455DC" w:rsidRDefault="004E22C1" w:rsidP="007A25BF">
      <w:pPr>
        <w:pStyle w:val="a7"/>
      </w:pPr>
      <w:r w:rsidRPr="001455DC">
        <w:t>(1)</w:t>
      </w:r>
      <w:r w:rsidRPr="001455DC">
        <w:tab/>
        <w:t xml:space="preserve">For materials not meeting the requirements of normative documents included in </w:t>
      </w:r>
      <w:r w:rsidR="00116AE2" w:rsidRPr="001455DC">
        <w:t>Clause </w:t>
      </w:r>
      <w:r w:rsidRPr="001455DC">
        <w:t>2, the mechanical characteristics to be used according to this Eurocode, should be derived from tests and/or design and construction records and the use of the provisions in this Eurocode</w:t>
      </w:r>
      <w:r w:rsidR="00116AE2" w:rsidRPr="001455DC">
        <w:t xml:space="preserve"> </w:t>
      </w:r>
      <w:r w:rsidRPr="001455DC">
        <w:t>or of alternative approaches present in technical and scientific literature should be justified.</w:t>
      </w:r>
    </w:p>
    <w:p w14:paraId="4B1D67EE" w14:textId="034C82E2" w:rsidR="004E22C1" w:rsidRPr="001455DC" w:rsidRDefault="004E22C1" w:rsidP="007A25BF">
      <w:pPr>
        <w:pStyle w:val="a7"/>
      </w:pPr>
      <w:r w:rsidRPr="001455DC">
        <w:t>(2)</w:t>
      </w:r>
      <w:r w:rsidRPr="001455DC">
        <w:tab/>
        <w:t xml:space="preserve">Testing of materials should be undertaken in accordance with normative documents included in </w:t>
      </w:r>
      <w:r w:rsidR="00116AE2" w:rsidRPr="001455DC">
        <w:t>Clause </w:t>
      </w:r>
      <w:r w:rsidRPr="001455DC">
        <w:t>2. If such tests cannot be performed, alternative test methods may be used when specified by the relevant authority or, where not specified, agreed for a specific assessment by the relevant parties. The effect of the alternative test method should be taken into account when deriving the mechanical characteristics to be used according to this Eurocode.</w:t>
      </w:r>
    </w:p>
    <w:p w14:paraId="42290089" w14:textId="2945C4FC" w:rsidR="004E22C1" w:rsidRPr="001455DC" w:rsidRDefault="004E22C1" w:rsidP="00243590">
      <w:pPr>
        <w:pStyle w:val="a3"/>
      </w:pPr>
      <w:bookmarkStart w:id="1675" w:name="_Toc52820201"/>
      <w:bookmarkStart w:id="1676" w:name="_Toc54337623"/>
      <w:bookmarkStart w:id="1677" w:name="_Toc54338256"/>
      <w:r w:rsidRPr="001455DC">
        <w:t>Concrete</w:t>
      </w:r>
      <w:bookmarkEnd w:id="1675"/>
      <w:bookmarkEnd w:id="1676"/>
      <w:bookmarkEnd w:id="1677"/>
    </w:p>
    <w:p w14:paraId="3A0650E6" w14:textId="74A2C9D1" w:rsidR="004E22C1" w:rsidRPr="001455DC" w:rsidRDefault="004E22C1" w:rsidP="00243590">
      <w:pPr>
        <w:pStyle w:val="a4"/>
      </w:pPr>
      <w:bookmarkStart w:id="1678" w:name="_Toc52820202"/>
      <w:bookmarkStart w:id="1679" w:name="_Toc54337624"/>
      <w:bookmarkStart w:id="1680" w:name="_Toc54338257"/>
      <w:r w:rsidRPr="001455DC">
        <w:t>General</w:t>
      </w:r>
      <w:bookmarkEnd w:id="1678"/>
      <w:bookmarkEnd w:id="1679"/>
      <w:bookmarkEnd w:id="1680"/>
    </w:p>
    <w:p w14:paraId="1F5A6C30" w14:textId="586F4B80" w:rsidR="004E22C1" w:rsidRPr="001455DC" w:rsidRDefault="004E22C1" w:rsidP="007A25BF">
      <w:pPr>
        <w:pStyle w:val="a7"/>
      </w:pPr>
      <w:r w:rsidRPr="001455DC">
        <w:t>(1)</w:t>
      </w:r>
      <w:r w:rsidRPr="001455DC">
        <w:tab/>
        <w:t>EN 13791</w:t>
      </w:r>
      <w:r w:rsidR="00C82552" w:rsidRPr="001455DC">
        <w:t xml:space="preserve">:2019, Clause 8 </w:t>
      </w:r>
      <w:r w:rsidRPr="001455DC">
        <w:t xml:space="preserve">should be used for the determination of the characteristic value </w:t>
      </w:r>
      <m:oMath>
        <m:sSub>
          <m:sSubPr>
            <m:ctrlPr>
              <w:rPr>
                <w:rFonts w:ascii="Cambria Math" w:hAnsi="Cambria Math"/>
              </w:rPr>
            </m:ctrlPr>
          </m:sSubPr>
          <m:e>
            <m:r>
              <w:rPr>
                <w:rFonts w:ascii="Cambria Math" w:hAnsi="Cambria Math"/>
              </w:rPr>
              <m:t>f</m:t>
            </m:r>
          </m:e>
          <m:sub>
            <m:r>
              <m:rPr>
                <m:sty m:val="p"/>
              </m:rPr>
              <w:rPr>
                <w:rFonts w:ascii="Cambria Math" w:hAnsi="Cambria Math"/>
              </w:rPr>
              <m:t>ck,is</m:t>
            </m:r>
          </m:sub>
        </m:sSub>
      </m:oMath>
      <w:r w:rsidRPr="001455DC">
        <w:t xml:space="preserve">  in-situ compressive strength of concrete cores.</w:t>
      </w:r>
    </w:p>
    <w:p w14:paraId="6AF51EBD" w14:textId="77777777" w:rsidR="004E22C1" w:rsidRPr="001455DC" w:rsidRDefault="004E22C1" w:rsidP="007A25BF">
      <w:pPr>
        <w:pStyle w:val="a7"/>
      </w:pPr>
      <w:r w:rsidRPr="001455DC">
        <w:t>(2)</w:t>
      </w:r>
      <w:r w:rsidRPr="001455DC">
        <w:tab/>
        <w:t>The investigation of concrete should aim mainly to determine the compressive strength in specific areas of the structure. If deterioration does not significantly influence the other mechanical properties (e.g. modulus of elasticity, tensile strength), these may be determined indirectly based on the compressive strength, by using the formulae included in 5.1, if no specific investigation is conducted.</w:t>
      </w:r>
    </w:p>
    <w:p w14:paraId="58A9266E" w14:textId="6BE3DBED" w:rsidR="004E22C1" w:rsidRPr="001455DC" w:rsidRDefault="004E22C1" w:rsidP="00116AE2">
      <w:pPr>
        <w:pStyle w:val="a7"/>
        <w:keepNext/>
      </w:pPr>
      <w:r w:rsidRPr="001455DC">
        <w:t>(3)</w:t>
      </w:r>
      <w:r w:rsidRPr="001455DC">
        <w:tab/>
        <w:t xml:space="preserve">If </w:t>
      </w:r>
      <m:oMath>
        <m:sSub>
          <m:sSubPr>
            <m:ctrlPr>
              <w:rPr>
                <w:rFonts w:ascii="Cambria Math" w:hAnsi="Cambria Math"/>
                <w:i/>
                <w:iCs/>
              </w:rPr>
            </m:ctrlPr>
          </m:sSubPr>
          <m:e>
            <m:r>
              <w:rPr>
                <w:rFonts w:ascii="Cambria Math" w:hAnsi="Cambria Math"/>
              </w:rPr>
              <m:t>f</m:t>
            </m:r>
          </m:e>
          <m:sub>
            <m:r>
              <m:rPr>
                <m:sty m:val="p"/>
              </m:rPr>
              <w:rPr>
                <w:rFonts w:ascii="Cambria Math" w:hAnsi="Cambria Math"/>
              </w:rPr>
              <m:t>ck</m:t>
            </m:r>
          </m:sub>
        </m:sSub>
        <m:r>
          <m:rPr>
            <m:sty m:val="p"/>
          </m:rPr>
          <w:rPr>
            <w:rFonts w:ascii="Cambria Math" w:hAnsi="Cambria Math"/>
          </w:rPr>
          <m:t xml:space="preserve"> </m:t>
        </m:r>
      </m:oMath>
      <w:r w:rsidRPr="001455DC">
        <w:t xml:space="preserve">is assessed by using in-situ testing, this may be estimated from </w:t>
      </w:r>
      <m:oMath>
        <m:sSub>
          <m:sSubPr>
            <m:ctrlPr>
              <w:rPr>
                <w:rFonts w:ascii="Cambria Math" w:hAnsi="Cambria Math"/>
              </w:rPr>
            </m:ctrlPr>
          </m:sSubPr>
          <m:e>
            <m:r>
              <w:rPr>
                <w:rFonts w:ascii="Cambria Math" w:hAnsi="Cambria Math"/>
              </w:rPr>
              <m:t>f</m:t>
            </m:r>
          </m:e>
          <m:sub>
            <m:r>
              <m:rPr>
                <m:sty m:val="p"/>
              </m:rPr>
              <w:rPr>
                <w:rFonts w:ascii="Cambria Math" w:hAnsi="Cambria Math"/>
              </w:rPr>
              <m:t>ck,is</m:t>
            </m:r>
          </m:sub>
        </m:sSub>
      </m:oMath>
      <w:r w:rsidRPr="001455DC">
        <w:t xml:space="preserve"> according to Formula (I.1):</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74F3B" w:rsidRPr="001455DC" w14:paraId="1ABF6ADD" w14:textId="77777777" w:rsidTr="00274F3B">
        <w:trPr>
          <w:cantSplit/>
        </w:trPr>
        <w:tc>
          <w:tcPr>
            <w:tcW w:w="8505" w:type="dxa"/>
            <w:vAlign w:val="center"/>
          </w:tcPr>
          <w:p w14:paraId="44CD3B36" w14:textId="3A04062E" w:rsidR="00274F3B" w:rsidRPr="001455DC" w:rsidRDefault="00231E33" w:rsidP="00274F3B">
            <w:pPr>
              <w:pStyle w:val="Formula"/>
              <w:jc w:val="left"/>
            </w:pPr>
            <m:oMathPara>
              <m:oMathParaPr>
                <m:jc m:val="left"/>
              </m:oMathParaPr>
              <m:oMath>
                <m:sSub>
                  <m:sSubPr>
                    <m:ctrlPr>
                      <w:rPr>
                        <w:rFonts w:ascii="Cambria Math" w:hAnsi="Cambria Math"/>
                        <w:iCs/>
                      </w:rPr>
                    </m:ctrlPr>
                  </m:sSubPr>
                  <m:e>
                    <m:r>
                      <w:rPr>
                        <w:rFonts w:ascii="Cambria Math" w:hAnsi="Cambria Math"/>
                      </w:rPr>
                      <m:t>f</m:t>
                    </m:r>
                  </m:e>
                  <m:sub>
                    <m:r>
                      <m:rPr>
                        <m:sty m:val="p"/>
                      </m:rPr>
                      <w:rPr>
                        <w:rFonts w:ascii="Cambria Math" w:hAnsi="Cambria Math"/>
                      </w:rPr>
                      <m:t>ck</m:t>
                    </m:r>
                  </m:sub>
                </m:sSub>
                <m:r>
                  <w:rPr>
                    <w:rFonts w:ascii="Cambria Math" w:hAnsi="Cambria Math"/>
                  </w:rPr>
                  <m:t>=</m:t>
                </m:r>
                <m:f>
                  <m:fPr>
                    <m:ctrlPr>
                      <w:rPr>
                        <w:rFonts w:ascii="Cambria Math" w:hAnsi="Cambria Math"/>
                      </w:rPr>
                    </m:ctrlPr>
                  </m:fPr>
                  <m:num>
                    <m:sSub>
                      <m:sSubPr>
                        <m:ctrlPr>
                          <w:rPr>
                            <w:rFonts w:ascii="Cambria Math" w:hAnsi="Cambria Math"/>
                            <w:iCs/>
                          </w:rPr>
                        </m:ctrlPr>
                      </m:sSubPr>
                      <m:e>
                        <m:r>
                          <w:rPr>
                            <w:rFonts w:ascii="Cambria Math" w:hAnsi="Cambria Math"/>
                          </w:rPr>
                          <m:t>f</m:t>
                        </m:r>
                      </m:e>
                      <m:sub>
                        <m:r>
                          <m:rPr>
                            <m:sty m:val="p"/>
                          </m:rPr>
                          <w:rPr>
                            <w:rFonts w:ascii="Cambria Math" w:hAnsi="Cambria Math"/>
                          </w:rPr>
                          <m:t>ck,is</m:t>
                        </m:r>
                      </m:sub>
                    </m:sSub>
                  </m:num>
                  <m:den>
                    <m:sSub>
                      <m:sSubPr>
                        <m:ctrlPr>
                          <w:rPr>
                            <w:rFonts w:ascii="Cambria Math" w:hAnsi="Cambria Math"/>
                            <w:bCs/>
                          </w:rPr>
                        </m:ctrlPr>
                      </m:sSubPr>
                      <m:e>
                        <m:r>
                          <w:rPr>
                            <w:rFonts w:ascii="Cambria Math" w:hAnsi="Cambria Math"/>
                          </w:rPr>
                          <m:t>k</m:t>
                        </m:r>
                      </m:e>
                      <m:sub>
                        <m:r>
                          <m:rPr>
                            <m:sty m:val="p"/>
                          </m:rPr>
                          <w:rPr>
                            <w:rFonts w:ascii="Cambria Math" w:hAnsi="Cambria Math"/>
                          </w:rPr>
                          <m:t>μfc</m:t>
                        </m:r>
                      </m:sub>
                    </m:sSub>
                  </m:den>
                </m:f>
              </m:oMath>
            </m:oMathPara>
          </w:p>
        </w:tc>
        <w:tc>
          <w:tcPr>
            <w:tcW w:w="1247" w:type="dxa"/>
            <w:vAlign w:val="center"/>
          </w:tcPr>
          <w:p w14:paraId="106556CB" w14:textId="01A24CBA" w:rsidR="00274F3B" w:rsidRPr="001455DC" w:rsidRDefault="00274F3B" w:rsidP="00274F3B">
            <w:pPr>
              <w:pStyle w:val="a7"/>
              <w:jc w:val="right"/>
            </w:pPr>
            <w:r w:rsidRPr="001455DC">
              <w:t>(I.1)</w:t>
            </w:r>
          </w:p>
        </w:tc>
      </w:tr>
    </w:tbl>
    <w:p w14:paraId="27E97A2A" w14:textId="2F7C0B16" w:rsidR="004E22C1" w:rsidRPr="001455DC" w:rsidRDefault="004E22C1" w:rsidP="007A25BF">
      <w:pPr>
        <w:pStyle w:val="a7"/>
      </w:pPr>
      <w:r w:rsidRPr="001455DC">
        <w:t xml:space="preserve">where the values of </w:t>
      </w:r>
      <m:oMath>
        <m:sSub>
          <m:sSubPr>
            <m:ctrlPr>
              <w:rPr>
                <w:rFonts w:ascii="Cambria Math" w:hAnsi="Cambria Math"/>
                <w:bCs/>
              </w:rPr>
            </m:ctrlPr>
          </m:sSubPr>
          <m:e>
            <m:r>
              <w:rPr>
                <w:rFonts w:ascii="Cambria Math" w:hAnsi="Cambria Math"/>
              </w:rPr>
              <m:t>k</m:t>
            </m:r>
          </m:e>
          <m:sub>
            <m:r>
              <m:rPr>
                <m:sty m:val="p"/>
              </m:rPr>
              <w:rPr>
                <w:rFonts w:ascii="Cambria Math" w:hAnsi="Cambria Math"/>
              </w:rPr>
              <m:t>μfc</m:t>
            </m:r>
          </m:sub>
        </m:sSub>
      </m:oMath>
      <w:r w:rsidRPr="001455DC">
        <w:t xml:space="preserve"> are given in Table I.2(NDP).</w:t>
      </w:r>
    </w:p>
    <w:p w14:paraId="430057ED" w14:textId="40B06277" w:rsidR="004E22C1" w:rsidRPr="001455DC" w:rsidRDefault="004E22C1" w:rsidP="007A25BF">
      <w:pPr>
        <w:pStyle w:val="Tabletitle"/>
      </w:pPr>
      <w:bookmarkStart w:id="1681" w:name="_Toc54337625"/>
      <w:r w:rsidRPr="001455DC">
        <w:t xml:space="preserve">Table I.2(NDP) — Parameter </w:t>
      </w:r>
      <m:oMath>
        <m:sSub>
          <m:sSubPr>
            <m:ctrlPr>
              <w:rPr>
                <w:rFonts w:ascii="Cambria Math" w:hAnsi="Cambria Math"/>
              </w:rPr>
            </m:ctrlPr>
          </m:sSubPr>
          <m:e>
            <m:r>
              <m:rPr>
                <m:sty m:val="bi"/>
              </m:rPr>
              <w:rPr>
                <w:rFonts w:ascii="Cambria Math" w:hAnsi="Cambria Math"/>
              </w:rPr>
              <m:t>k</m:t>
            </m:r>
          </m:e>
          <m:sub>
            <m:r>
              <m:rPr>
                <m:sty m:val="b"/>
              </m:rPr>
              <w:rPr>
                <w:rFonts w:ascii="Cambria Math" w:hAnsi="Cambria Math"/>
              </w:rPr>
              <m:t>μfc</m:t>
            </m:r>
          </m:sub>
        </m:sSub>
      </m:oMath>
      <w:r w:rsidRPr="001455DC">
        <w:t xml:space="preserve"> considering the representativeness of the in-situ compressive concrete strength assessed according to EN 13791</w:t>
      </w:r>
      <w:r w:rsidR="007A1A12" w:rsidRPr="001455DC">
        <w:t>:2019</w:t>
      </w:r>
      <w:r w:rsidRPr="001455DC">
        <w:t xml:space="preserve">, </w:t>
      </w:r>
      <w:r w:rsidR="001710FF" w:rsidRPr="001455DC">
        <w:t>Clause </w:t>
      </w:r>
      <w:r w:rsidRPr="001455DC">
        <w:t>8 in Formula (I.1)</w:t>
      </w:r>
      <w:bookmarkEnd w:id="1681"/>
    </w:p>
    <w:tbl>
      <w:tblPr>
        <w:tblStyle w:val="53"/>
        <w:tblW w:w="9752" w:type="dxa"/>
        <w:tblLayout w:type="fixed"/>
        <w:tblLook w:val="0660" w:firstRow="1" w:lastRow="1" w:firstColumn="0" w:lastColumn="0" w:noHBand="1" w:noVBand="1"/>
      </w:tblPr>
      <w:tblGrid>
        <w:gridCol w:w="7908"/>
        <w:gridCol w:w="1844"/>
      </w:tblGrid>
      <w:tr w:rsidR="004E22C1" w:rsidRPr="001455DC" w14:paraId="7BD3C2CF" w14:textId="77777777" w:rsidTr="007A25BF">
        <w:trPr>
          <w:cnfStyle w:val="100000000000" w:firstRow="1" w:lastRow="0" w:firstColumn="0" w:lastColumn="0" w:oddVBand="0" w:evenVBand="0" w:oddHBand="0" w:evenHBand="0" w:firstRowFirstColumn="0" w:firstRowLastColumn="0" w:lastRowFirstColumn="0" w:lastRowLastColumn="0"/>
        </w:trPr>
        <w:tc>
          <w:tcPr>
            <w:tcW w:w="6691" w:type="dxa"/>
          </w:tcPr>
          <w:p w14:paraId="7F3A018D" w14:textId="26655CD3" w:rsidR="004E22C1" w:rsidRPr="009D3012" w:rsidRDefault="004E22C1" w:rsidP="007A25BF">
            <w:pPr>
              <w:pStyle w:val="Tableheader"/>
              <w:keepNext/>
              <w:rPr>
                <w:lang w:val="en-US"/>
              </w:rPr>
            </w:pPr>
            <w:r w:rsidRPr="009D3012">
              <w:rPr>
                <w:lang w:val="en-US"/>
              </w:rPr>
              <w:t>Regions and conditions of the structural member where the cores are extracted</w:t>
            </w:r>
            <w:r w:rsidRPr="009D3012">
              <w:rPr>
                <w:rStyle w:val="CCMCvariablesuperscript"/>
                <w:b w:val="0"/>
                <w:bCs/>
                <w:lang w:val="en-US"/>
              </w:rPr>
              <w:t>a</w:t>
            </w:r>
          </w:p>
        </w:tc>
        <w:tc>
          <w:tcPr>
            <w:tcW w:w="1560" w:type="dxa"/>
          </w:tcPr>
          <w:p w14:paraId="6F5A71FC" w14:textId="19055163" w:rsidR="004E22C1" w:rsidRPr="001455DC" w:rsidRDefault="00231E33" w:rsidP="007A25BF">
            <w:pPr>
              <w:pStyle w:val="Tableheader"/>
              <w:keepNext/>
              <w:rPr>
                <w:bCs/>
              </w:rPr>
            </w:pPr>
            <m:oMathPara>
              <m:oMath>
                <m:sSub>
                  <m:sSubPr>
                    <m:ctrlPr>
                      <w:rPr>
                        <w:rFonts w:ascii="Cambria Math" w:hAnsi="Cambria Math"/>
                        <w:bCs/>
                      </w:rPr>
                    </m:ctrlPr>
                  </m:sSubPr>
                  <m:e>
                    <m:r>
                      <m:rPr>
                        <m:sty m:val="bi"/>
                      </m:rPr>
                      <w:rPr>
                        <w:rFonts w:ascii="Cambria Math" w:hAnsi="Cambria Math"/>
                      </w:rPr>
                      <m:t>k</m:t>
                    </m:r>
                  </m:e>
                  <m:sub>
                    <m:r>
                      <m:rPr>
                        <m:sty m:val="b"/>
                      </m:rPr>
                      <w:rPr>
                        <w:rFonts w:ascii="Cambria Math" w:hAnsi="Cambria Math"/>
                      </w:rPr>
                      <m:t>μfc</m:t>
                    </m:r>
                  </m:sub>
                </m:sSub>
              </m:oMath>
            </m:oMathPara>
          </w:p>
        </w:tc>
      </w:tr>
      <w:tr w:rsidR="004E22C1" w:rsidRPr="001455DC" w14:paraId="537D5365" w14:textId="77777777" w:rsidTr="007A25BF">
        <w:tc>
          <w:tcPr>
            <w:tcW w:w="6691" w:type="dxa"/>
            <w:vAlign w:val="center"/>
          </w:tcPr>
          <w:p w14:paraId="05E57F8E" w14:textId="77777777" w:rsidR="004E22C1" w:rsidRPr="009D3012" w:rsidRDefault="004E22C1" w:rsidP="007A25BF">
            <w:pPr>
              <w:pStyle w:val="Tablebody"/>
              <w:keepNext/>
              <w:ind w:left="357" w:hanging="357"/>
              <w:jc w:val="left"/>
              <w:rPr>
                <w:lang w:val="en-US"/>
              </w:rPr>
            </w:pPr>
            <w:r w:rsidRPr="009D3012">
              <w:rPr>
                <w:lang w:val="en-US"/>
              </w:rPr>
              <w:t>a)</w:t>
            </w:r>
            <w:r w:rsidRPr="009D3012">
              <w:rPr>
                <w:lang w:val="en-US"/>
              </w:rPr>
              <w:tab/>
              <w:t>Cores extracted only from the bottom parts of the concrete masses during casting (lower 70 % of the depth of concrete during casting) not necessarily representing the governing region for the verification</w:t>
            </w:r>
          </w:p>
        </w:tc>
        <w:tc>
          <w:tcPr>
            <w:tcW w:w="1560" w:type="dxa"/>
            <w:vAlign w:val="center"/>
          </w:tcPr>
          <w:p w14:paraId="505B23E8" w14:textId="77777777" w:rsidR="004E22C1" w:rsidRPr="009D3012" w:rsidRDefault="004E22C1" w:rsidP="007A25BF">
            <w:pPr>
              <w:pStyle w:val="Tablebody"/>
              <w:keepNext/>
              <w:jc w:val="center"/>
              <w:rPr>
                <w:rStyle w:val="CCMCvariablesuperscript"/>
              </w:rPr>
            </w:pPr>
            <w:r w:rsidRPr="009D3012">
              <w:t>0,95</w:t>
            </w:r>
          </w:p>
        </w:tc>
      </w:tr>
      <w:tr w:rsidR="004E22C1" w:rsidRPr="001455DC" w14:paraId="32D1E88B" w14:textId="77777777" w:rsidTr="007A25BF">
        <w:tc>
          <w:tcPr>
            <w:tcW w:w="6691" w:type="dxa"/>
            <w:vAlign w:val="center"/>
          </w:tcPr>
          <w:p w14:paraId="09F53AE9" w14:textId="77777777" w:rsidR="004E22C1" w:rsidRPr="009D3012" w:rsidRDefault="004E22C1" w:rsidP="007A25BF">
            <w:pPr>
              <w:pStyle w:val="Tablebody"/>
              <w:keepNext/>
              <w:ind w:left="357" w:hanging="357"/>
              <w:jc w:val="left"/>
              <w:rPr>
                <w:lang w:val="en-US"/>
              </w:rPr>
            </w:pPr>
            <w:r w:rsidRPr="009D3012">
              <w:rPr>
                <w:lang w:val="en-US"/>
              </w:rPr>
              <w:t>b)</w:t>
            </w:r>
            <w:r w:rsidRPr="009D3012">
              <w:rPr>
                <w:lang w:val="en-US"/>
              </w:rPr>
              <w:tab/>
              <w:t>Cores extracted from different regions representing all conditions in the structural member, but not necessarily representing the governing region for the verification</w:t>
            </w:r>
          </w:p>
        </w:tc>
        <w:tc>
          <w:tcPr>
            <w:tcW w:w="1560" w:type="dxa"/>
            <w:vAlign w:val="center"/>
          </w:tcPr>
          <w:p w14:paraId="1FE1C1BB" w14:textId="77777777" w:rsidR="004E22C1" w:rsidRPr="001455DC" w:rsidRDefault="004E22C1" w:rsidP="007A25BF">
            <w:pPr>
              <w:pStyle w:val="Tablebody"/>
              <w:keepNext/>
              <w:jc w:val="center"/>
              <w:rPr>
                <w:sz w:val="19"/>
                <w:szCs w:val="19"/>
              </w:rPr>
            </w:pPr>
            <w:r w:rsidRPr="001455DC">
              <w:t>0,90</w:t>
            </w:r>
          </w:p>
        </w:tc>
      </w:tr>
      <w:tr w:rsidR="004E22C1" w:rsidRPr="001455DC" w14:paraId="067744B9" w14:textId="77777777" w:rsidTr="007A25BF">
        <w:trPr>
          <w:trHeight w:val="190"/>
        </w:trPr>
        <w:tc>
          <w:tcPr>
            <w:tcW w:w="6691" w:type="dxa"/>
            <w:tcBorders>
              <w:bottom w:val="single" w:sz="12" w:space="0" w:color="000000"/>
            </w:tcBorders>
            <w:vAlign w:val="center"/>
          </w:tcPr>
          <w:p w14:paraId="39D2EC85" w14:textId="77777777" w:rsidR="004E22C1" w:rsidRPr="009D3012" w:rsidRDefault="004E22C1" w:rsidP="007A25BF">
            <w:pPr>
              <w:pStyle w:val="Tablebody"/>
              <w:keepNext/>
              <w:ind w:left="357" w:hanging="357"/>
              <w:jc w:val="left"/>
              <w:rPr>
                <w:lang w:val="en-US"/>
              </w:rPr>
            </w:pPr>
            <w:r w:rsidRPr="009D3012">
              <w:rPr>
                <w:lang w:val="en-US"/>
              </w:rPr>
              <w:t>c)</w:t>
            </w:r>
            <w:r w:rsidRPr="009D3012">
              <w:rPr>
                <w:lang w:val="en-US"/>
              </w:rPr>
              <w:tab/>
              <w:t xml:space="preserve">Cores extracted from the region governing for the verification </w:t>
            </w:r>
          </w:p>
        </w:tc>
        <w:tc>
          <w:tcPr>
            <w:tcW w:w="1560" w:type="dxa"/>
            <w:tcBorders>
              <w:bottom w:val="single" w:sz="12" w:space="0" w:color="000000"/>
            </w:tcBorders>
            <w:vAlign w:val="center"/>
          </w:tcPr>
          <w:p w14:paraId="6BC883DA" w14:textId="77777777" w:rsidR="004E22C1" w:rsidRPr="001455DC" w:rsidRDefault="004E22C1" w:rsidP="007A25BF">
            <w:pPr>
              <w:pStyle w:val="Tablebody"/>
              <w:keepNext/>
              <w:jc w:val="center"/>
              <w:rPr>
                <w:sz w:val="19"/>
                <w:szCs w:val="19"/>
              </w:rPr>
            </w:pPr>
            <w:r w:rsidRPr="001455DC">
              <w:t>0,85</w:t>
            </w:r>
          </w:p>
        </w:tc>
      </w:tr>
      <w:tr w:rsidR="004E22C1" w:rsidRPr="001455DC" w14:paraId="673DC1A8" w14:textId="77777777" w:rsidTr="007A25BF">
        <w:tc>
          <w:tcPr>
            <w:tcW w:w="8251" w:type="dxa"/>
            <w:gridSpan w:val="2"/>
            <w:tcBorders>
              <w:top w:val="single" w:sz="12" w:space="0" w:color="000000"/>
              <w:bottom w:val="single" w:sz="12" w:space="0" w:color="auto"/>
            </w:tcBorders>
            <w:vAlign w:val="center"/>
          </w:tcPr>
          <w:p w14:paraId="58238F4F" w14:textId="77777777" w:rsidR="004E22C1" w:rsidRPr="009D3012" w:rsidRDefault="004E22C1" w:rsidP="007A25BF">
            <w:pPr>
              <w:pStyle w:val="Tablefooternote"/>
              <w:keepNext/>
              <w:rPr>
                <w:lang w:val="en-US"/>
              </w:rPr>
            </w:pPr>
            <w:r w:rsidRPr="009D3012">
              <w:rPr>
                <w:lang w:val="en-US"/>
              </w:rPr>
              <w:t>NOTE</w:t>
            </w:r>
            <w:r w:rsidRPr="009D3012">
              <w:rPr>
                <w:lang w:val="en-US"/>
              </w:rPr>
              <w:tab/>
              <w:t>The parameters given in Table I.2(NDP) apply unless a National Annex gives different values.</w:t>
            </w:r>
          </w:p>
        </w:tc>
      </w:tr>
      <w:tr w:rsidR="007A25BF" w:rsidRPr="001455DC" w14:paraId="3CF31070" w14:textId="77777777" w:rsidTr="007A25BF">
        <w:trPr>
          <w:cnfStyle w:val="010000000000" w:firstRow="0" w:lastRow="1" w:firstColumn="0" w:lastColumn="0" w:oddVBand="0" w:evenVBand="0" w:oddHBand="0" w:evenHBand="0" w:firstRowFirstColumn="0" w:firstRowLastColumn="0" w:lastRowFirstColumn="0" w:lastRowLastColumn="0"/>
        </w:trPr>
        <w:tc>
          <w:tcPr>
            <w:tcW w:w="8251" w:type="dxa"/>
            <w:gridSpan w:val="2"/>
            <w:vAlign w:val="center"/>
          </w:tcPr>
          <w:p w14:paraId="75A7AF0A" w14:textId="0B099B92" w:rsidR="007A25BF" w:rsidRPr="009D3012" w:rsidRDefault="007A25BF" w:rsidP="007A25BF">
            <w:pPr>
              <w:pStyle w:val="Tablefooter"/>
              <w:rPr>
                <w:rStyle w:val="CCMCvariablesuperscript"/>
                <w:sz w:val="22"/>
                <w:szCs w:val="22"/>
                <w:lang w:val="en-US"/>
              </w:rPr>
            </w:pPr>
            <w:r w:rsidRPr="009D3012">
              <w:rPr>
                <w:rStyle w:val="CCMCvariablesuperscript"/>
                <w:sz w:val="22"/>
                <w:szCs w:val="22"/>
                <w:lang w:val="en-US"/>
              </w:rPr>
              <w:t>a</w:t>
            </w:r>
            <w:r w:rsidRPr="009D3012">
              <w:rPr>
                <w:lang w:val="en-US"/>
              </w:rPr>
              <w:tab/>
              <w:t>The in-situ concrete compressive strength can exhibit significant variations depending on the location (strength typically smaller in the upper part of the element during casting)</w:t>
            </w:r>
          </w:p>
        </w:tc>
      </w:tr>
    </w:tbl>
    <w:p w14:paraId="473B42D1" w14:textId="77777777" w:rsidR="004E22C1" w:rsidRPr="001455DC" w:rsidRDefault="004E22C1" w:rsidP="007A25BF">
      <w:pPr>
        <w:pStyle w:val="a7"/>
      </w:pPr>
    </w:p>
    <w:p w14:paraId="477F1E46" w14:textId="1A8E69DB" w:rsidR="004E22C1" w:rsidRPr="001455DC" w:rsidRDefault="004E22C1" w:rsidP="00274F3B">
      <w:pPr>
        <w:pStyle w:val="a7"/>
      </w:pPr>
      <w:r w:rsidRPr="001455DC">
        <w:t>(4)</w:t>
      </w:r>
      <w:r w:rsidRPr="001455DC">
        <w:tab/>
        <w:t xml:space="preserve">If </w:t>
      </w:r>
      <m:oMath>
        <m:sSub>
          <m:sSubPr>
            <m:ctrlPr>
              <w:rPr>
                <w:rFonts w:ascii="Cambria Math" w:hAnsi="Cambria Math"/>
              </w:rPr>
            </m:ctrlPr>
          </m:sSubPr>
          <m:e>
            <m:r>
              <w:rPr>
                <w:rFonts w:ascii="Cambria Math" w:hAnsi="Cambria Math"/>
              </w:rPr>
              <m:t>D</m:t>
            </m:r>
          </m:e>
          <m:sub>
            <m:r>
              <m:rPr>
                <m:sty m:val="p"/>
              </m:rPr>
              <w:rPr>
                <w:rFonts w:ascii="Cambria Math" w:hAnsi="Cambria Math"/>
              </w:rPr>
              <m:t>lower</m:t>
            </m:r>
          </m:sub>
        </m:sSub>
      </m:oMath>
      <w:r w:rsidRPr="001455DC">
        <w:t xml:space="preserve"> and/or </w:t>
      </w:r>
      <m:oMath>
        <m:sSub>
          <m:sSubPr>
            <m:ctrlPr>
              <w:rPr>
                <w:rFonts w:ascii="Cambria Math" w:hAnsi="Cambria Math"/>
              </w:rPr>
            </m:ctrlPr>
          </m:sSubPr>
          <m:e>
            <m:r>
              <w:rPr>
                <w:rFonts w:ascii="Cambria Math" w:hAnsi="Cambria Math"/>
              </w:rPr>
              <m:t>D</m:t>
            </m:r>
          </m:e>
          <m:sub>
            <m:r>
              <m:rPr>
                <m:sty m:val="p"/>
              </m:rPr>
              <w:rPr>
                <w:rFonts w:ascii="Cambria Math" w:hAnsi="Cambria Math"/>
              </w:rPr>
              <m:t>upper</m:t>
            </m:r>
          </m:sub>
        </m:sSub>
      </m:oMath>
      <w:r w:rsidRPr="001455DC">
        <w:t xml:space="preserve"> are not known, they may be replaced by </w:t>
      </w:r>
      <m:oMath>
        <m:sSub>
          <m:sSubPr>
            <m:ctrlPr>
              <w:rPr>
                <w:rFonts w:ascii="Cambria Math" w:hAnsi="Cambria Math"/>
              </w:rPr>
            </m:ctrlPr>
          </m:sSubPr>
          <m:e>
            <m:r>
              <w:rPr>
                <w:rFonts w:ascii="Cambria Math" w:hAnsi="Cambria Math"/>
              </w:rPr>
              <m:t>D</m:t>
            </m:r>
          </m:e>
          <m:sub>
            <m:r>
              <m:rPr>
                <m:sty m:val="p"/>
              </m:rPr>
              <w:rPr>
                <w:rFonts w:ascii="Cambria Math" w:hAnsi="Cambria Math"/>
              </w:rPr>
              <m:t>max</m:t>
            </m:r>
          </m:sub>
        </m:sSub>
      </m:oMath>
      <w:r w:rsidRPr="001455DC">
        <w:t xml:space="preserve">. </w:t>
      </w:r>
      <m:oMath>
        <m:sSub>
          <m:sSubPr>
            <m:ctrlPr>
              <w:rPr>
                <w:rFonts w:ascii="Cambria Math" w:hAnsi="Cambria Math"/>
              </w:rPr>
            </m:ctrlPr>
          </m:sSubPr>
          <m:e>
            <m:r>
              <w:rPr>
                <w:rFonts w:ascii="Cambria Math" w:hAnsi="Cambria Math"/>
              </w:rPr>
              <m:t>D</m:t>
            </m:r>
          </m:e>
          <m:sub>
            <m:r>
              <m:rPr>
                <m:sty m:val="p"/>
              </m:rPr>
              <w:rPr>
                <w:rFonts w:ascii="Cambria Math" w:hAnsi="Cambria Math"/>
              </w:rPr>
              <m:t>max</m:t>
            </m:r>
          </m:sub>
        </m:sSub>
      </m:oMath>
      <w:r w:rsidRPr="001455DC">
        <w:t xml:space="preserve"> may be assessed by testing on the existing structure and or by using original design and construction records.</w:t>
      </w:r>
    </w:p>
    <w:p w14:paraId="72B92ECE" w14:textId="49BE3776" w:rsidR="004E22C1" w:rsidRPr="001455DC" w:rsidRDefault="004E22C1" w:rsidP="00243590">
      <w:pPr>
        <w:pStyle w:val="a4"/>
      </w:pPr>
      <w:bookmarkStart w:id="1682" w:name="_Toc52820203"/>
      <w:bookmarkStart w:id="1683" w:name="_Toc54337626"/>
      <w:bookmarkStart w:id="1684" w:name="_Toc54338258"/>
      <w:r w:rsidRPr="001455DC">
        <w:t>Assessment assumptions</w:t>
      </w:r>
      <w:bookmarkEnd w:id="1682"/>
      <w:bookmarkEnd w:id="1683"/>
      <w:bookmarkEnd w:id="1684"/>
    </w:p>
    <w:p w14:paraId="45458AB3" w14:textId="0038D5B1" w:rsidR="004E22C1" w:rsidRPr="001455DC" w:rsidRDefault="004E22C1" w:rsidP="007A25BF">
      <w:pPr>
        <w:pStyle w:val="a7"/>
      </w:pPr>
      <w:r w:rsidRPr="001455DC">
        <w:t>(1)</w:t>
      </w:r>
      <w:r w:rsidRPr="001455DC">
        <w:tab/>
        <w:t xml:space="preserve">When the concrete strength is assessed in an existing structure, the factor </w:t>
      </w:r>
      <m:oMath>
        <m:sSub>
          <m:sSubPr>
            <m:ctrlPr>
              <w:rPr>
                <w:rFonts w:ascii="Cambria Math" w:hAnsi="Cambria Math"/>
              </w:rPr>
            </m:ctrlPr>
          </m:sSubPr>
          <m:e>
            <m:r>
              <w:rPr>
                <w:rFonts w:ascii="Cambria Math" w:hAnsi="Cambria Math"/>
              </w:rPr>
              <m:t>k</m:t>
            </m:r>
          </m:e>
          <m:sub>
            <m:r>
              <m:rPr>
                <m:sty m:val="p"/>
              </m:rPr>
              <w:rPr>
                <w:rFonts w:ascii="Cambria Math" w:hAnsi="Cambria Math"/>
              </w:rPr>
              <m:t>tc</m:t>
            </m:r>
          </m:sub>
        </m:sSub>
      </m:oMath>
      <w:r w:rsidRPr="001455DC">
        <w:t xml:space="preserve"> in 5.1.6(1) shall take into account the effects of stress level and duration of loading.</w:t>
      </w:r>
    </w:p>
    <w:p w14:paraId="17E6C43B" w14:textId="5A76EEF9" w:rsidR="004E22C1" w:rsidRPr="001455DC" w:rsidRDefault="004E22C1" w:rsidP="00274F3B">
      <w:pPr>
        <w:pStyle w:val="Note"/>
        <w:keepNext/>
        <w:spacing w:after="120"/>
      </w:pPr>
      <w:r w:rsidRPr="001455DC">
        <w:t>NOTE</w:t>
      </w:r>
      <w:r w:rsidRPr="001455DC">
        <w:tab/>
        <w:t xml:space="preserve">The following value of </w:t>
      </w:r>
      <m:oMath>
        <m:sSub>
          <m:sSubPr>
            <m:ctrlPr>
              <w:rPr>
                <w:rFonts w:ascii="Cambria Math" w:hAnsi="Cambria Math"/>
              </w:rPr>
            </m:ctrlPr>
          </m:sSubPr>
          <m:e>
            <m:r>
              <w:rPr>
                <w:rFonts w:ascii="Cambria Math" w:hAnsi="Cambria Math"/>
              </w:rPr>
              <m:t>k</m:t>
            </m:r>
          </m:e>
          <m:sub>
            <m:r>
              <m:rPr>
                <m:sty m:val="p"/>
              </m:rPr>
              <w:rPr>
                <w:rFonts w:ascii="Cambria Math" w:hAnsi="Cambria Math"/>
              </w:rPr>
              <m:t>tc</m:t>
            </m:r>
          </m:sub>
        </m:sSub>
      </m:oMath>
      <w:r w:rsidRPr="001455DC">
        <w:t xml:space="preserve"> applies unless a National Annex gives different values:</w:t>
      </w:r>
    </w:p>
    <w:p w14:paraId="0B02BEB0" w14:textId="22893350" w:rsidR="004E22C1" w:rsidRPr="001455DC" w:rsidRDefault="00231E33" w:rsidP="00274F3B">
      <w:pPr>
        <w:pStyle w:val="a0"/>
        <w:rPr>
          <w:sz w:val="20"/>
        </w:rPr>
      </w:pPr>
      <m:oMath>
        <m:sSub>
          <m:sSubPr>
            <m:ctrlPr>
              <w:rPr>
                <w:rFonts w:ascii="Cambria Math" w:hAnsi="Cambria Math"/>
                <w:sz w:val="20"/>
              </w:rPr>
            </m:ctrlPr>
          </m:sSubPr>
          <m:e>
            <m:r>
              <w:rPr>
                <w:rFonts w:ascii="Cambria Math" w:hAnsi="Cambria Math"/>
                <w:sz w:val="20"/>
              </w:rPr>
              <m:t>k</m:t>
            </m:r>
          </m:e>
          <m:sub>
            <m:r>
              <m:rPr>
                <m:sty m:val="p"/>
              </m:rPr>
              <w:rPr>
                <w:rFonts w:ascii="Cambria Math" w:hAnsi="Cambria Math"/>
                <w:sz w:val="20"/>
              </w:rPr>
              <m:t>tc</m:t>
            </m:r>
          </m:sub>
        </m:sSub>
        <m:r>
          <m:rPr>
            <m:sty m:val="p"/>
          </m:rPr>
          <w:rPr>
            <w:rFonts w:ascii="Cambria Math" w:hAnsi="Cambria Math"/>
            <w:sz w:val="20"/>
          </w:rPr>
          <m:t>=0,85</m:t>
        </m:r>
      </m:oMath>
      <w:r w:rsidR="004E22C1" w:rsidRPr="001455DC">
        <w:rPr>
          <w:sz w:val="20"/>
        </w:rPr>
        <w:t xml:space="preserve"> in case the effect of the permanent action (and/or variable actions of duration </w:t>
      </w:r>
      <w:r w:rsidR="00650035" w:rsidRPr="001455DC">
        <w:rPr>
          <w:rFonts w:ascii="Cambria Math" w:hAnsi="Cambria Math"/>
          <w:sz w:val="20"/>
        </w:rPr>
        <w:t>&gt;</w:t>
      </w:r>
      <w:r w:rsidR="00073FC6" w:rsidRPr="001455DC">
        <w:rPr>
          <w:sz w:val="20"/>
        </w:rPr>
        <w:t> </w:t>
      </w:r>
      <w:r w:rsidR="004E22C1" w:rsidRPr="001455DC">
        <w:rPr>
          <w:sz w:val="20"/>
        </w:rPr>
        <w:t>1 hour) represents 100 % of the total effect at assessment level;</w:t>
      </w:r>
    </w:p>
    <w:p w14:paraId="035A22B5" w14:textId="71AC3217" w:rsidR="004E22C1" w:rsidRPr="001455DC" w:rsidRDefault="00231E33" w:rsidP="00274F3B">
      <w:pPr>
        <w:pStyle w:val="a0"/>
        <w:rPr>
          <w:sz w:val="20"/>
        </w:rPr>
      </w:pPr>
      <m:oMath>
        <m:sSub>
          <m:sSubPr>
            <m:ctrlPr>
              <w:rPr>
                <w:rFonts w:ascii="Cambria Math" w:hAnsi="Cambria Math"/>
                <w:sz w:val="20"/>
              </w:rPr>
            </m:ctrlPr>
          </m:sSubPr>
          <m:e>
            <m:r>
              <w:rPr>
                <w:rFonts w:ascii="Cambria Math" w:hAnsi="Cambria Math"/>
                <w:sz w:val="20"/>
              </w:rPr>
              <m:t>k</m:t>
            </m:r>
          </m:e>
          <m:sub>
            <m:r>
              <m:rPr>
                <m:sty m:val="p"/>
              </m:rPr>
              <w:rPr>
                <w:rFonts w:ascii="Cambria Math" w:hAnsi="Cambria Math"/>
                <w:sz w:val="20"/>
              </w:rPr>
              <m:t>tc</m:t>
            </m:r>
          </m:sub>
        </m:sSub>
        <m:r>
          <m:rPr>
            <m:sty m:val="p"/>
          </m:rPr>
          <w:rPr>
            <w:rFonts w:ascii="Cambria Math" w:hAnsi="Cambria Math"/>
            <w:sz w:val="20"/>
          </w:rPr>
          <m:t>=1,00</m:t>
        </m:r>
      </m:oMath>
      <w:r w:rsidR="004E22C1" w:rsidRPr="001455DC">
        <w:rPr>
          <w:sz w:val="20"/>
        </w:rPr>
        <w:t xml:space="preserve"> when the effect of rapid variable actions (actions of duration </w:t>
      </w:r>
      <w:r w:rsidR="00650035" w:rsidRPr="001455DC">
        <w:rPr>
          <w:rFonts w:ascii="Cambria Math" w:hAnsi="Cambria Math"/>
          <w:sz w:val="20"/>
        </w:rPr>
        <w:t>&lt;</w:t>
      </w:r>
      <w:r w:rsidR="004E22C1" w:rsidRPr="001455DC">
        <w:rPr>
          <w:sz w:val="20"/>
        </w:rPr>
        <w:t> 1 hour) represents at least 20 % of the total effect at assessment level;</w:t>
      </w:r>
    </w:p>
    <w:p w14:paraId="33F23925" w14:textId="5A2DA108" w:rsidR="004E22C1" w:rsidRPr="001455DC" w:rsidRDefault="004E22C1" w:rsidP="00274F3B">
      <w:pPr>
        <w:pStyle w:val="Note"/>
      </w:pPr>
      <w:r w:rsidRPr="001455DC">
        <w:t xml:space="preserve">for intermediate cases (effect of rapid actions between 0 % and 20 % of the total load effect at design level), </w:t>
      </w:r>
      <m:oMath>
        <m:sSub>
          <m:sSubPr>
            <m:ctrlPr>
              <w:rPr>
                <w:rFonts w:ascii="Cambria Math" w:hAnsi="Cambria Math"/>
              </w:rPr>
            </m:ctrlPr>
          </m:sSubPr>
          <m:e>
            <m:r>
              <w:rPr>
                <w:rFonts w:ascii="Cambria Math" w:hAnsi="Cambria Math"/>
              </w:rPr>
              <m:t>k</m:t>
            </m:r>
          </m:e>
          <m:sub>
            <m:r>
              <m:rPr>
                <m:sty m:val="p"/>
              </m:rPr>
              <w:rPr>
                <w:rFonts w:ascii="Cambria Math" w:hAnsi="Cambria Math"/>
              </w:rPr>
              <m:t>tc</m:t>
            </m:r>
          </m:sub>
        </m:sSub>
      </m:oMath>
      <w:r w:rsidRPr="001455DC">
        <w:t xml:space="preserve"> is determined by linear interpolation between 0,85 and 1,00.</w:t>
      </w:r>
    </w:p>
    <w:p w14:paraId="6E870D8A" w14:textId="2162879B" w:rsidR="004E22C1" w:rsidRPr="001455DC" w:rsidRDefault="004E22C1" w:rsidP="00243590">
      <w:pPr>
        <w:pStyle w:val="a3"/>
      </w:pPr>
      <w:bookmarkStart w:id="1685" w:name="_Toc52820204"/>
      <w:bookmarkStart w:id="1686" w:name="_Toc54337627"/>
      <w:bookmarkStart w:id="1687" w:name="_Toc54338259"/>
      <w:r w:rsidRPr="001455DC">
        <w:t>Reinforcing steel</w:t>
      </w:r>
      <w:bookmarkEnd w:id="1685"/>
      <w:bookmarkEnd w:id="1686"/>
      <w:bookmarkEnd w:id="1687"/>
    </w:p>
    <w:p w14:paraId="4E1F63D0" w14:textId="40F7CB9B" w:rsidR="004E22C1" w:rsidRPr="001455DC" w:rsidRDefault="004E22C1" w:rsidP="00116AE2">
      <w:pPr>
        <w:pStyle w:val="a7"/>
        <w:keepNext/>
      </w:pPr>
      <w:r w:rsidRPr="001455DC">
        <w:t>(1)</w:t>
      </w:r>
      <w:r w:rsidRPr="001455DC">
        <w:tab/>
        <w:t>Where the characteristic values of the properties of reinforcing steel are assessed from testing, the number, location and size of the test specimens should be selected to be representative of the elements being assessed. In this case, the properties of reinforcing steel should be tested in accordance with EN ISO 15630</w:t>
      </w:r>
      <w:r w:rsidR="007A1A12" w:rsidRPr="001455DC">
        <w:t xml:space="preserve"> (all parts)</w:t>
      </w:r>
      <w:r w:rsidRPr="001455DC">
        <w:t>. Shorter samples may be tested if:</w:t>
      </w:r>
    </w:p>
    <w:p w14:paraId="254505FF" w14:textId="194F456A" w:rsidR="004E22C1" w:rsidRPr="001455DC" w:rsidRDefault="00A663EB" w:rsidP="00A663EB">
      <w:pPr>
        <w:pStyle w:val="a0"/>
        <w:numPr>
          <w:ilvl w:val="0"/>
          <w:numId w:val="0"/>
        </w:numPr>
        <w:ind w:left="360" w:hanging="360"/>
      </w:pPr>
      <w:r w:rsidRPr="001455DC">
        <w:rPr>
          <w:szCs w:val="22"/>
        </w:rPr>
        <w:t>—</w:t>
      </w:r>
      <w:r w:rsidRPr="001455DC">
        <w:rPr>
          <w:szCs w:val="22"/>
        </w:rPr>
        <w:tab/>
      </w:r>
      <w:r w:rsidR="004E22C1" w:rsidRPr="001455DC">
        <w:t>the test results give no grounds for justified doubts;</w:t>
      </w:r>
    </w:p>
    <w:p w14:paraId="6403BC89" w14:textId="13435637" w:rsidR="004E22C1" w:rsidRPr="001455DC" w:rsidRDefault="00A663EB" w:rsidP="00A663EB">
      <w:pPr>
        <w:pStyle w:val="a0"/>
        <w:numPr>
          <w:ilvl w:val="0"/>
          <w:numId w:val="0"/>
        </w:numPr>
        <w:ind w:left="360" w:hanging="360"/>
      </w:pPr>
      <w:r w:rsidRPr="001455DC">
        <w:rPr>
          <w:szCs w:val="22"/>
        </w:rPr>
        <w:t>—</w:t>
      </w:r>
      <w:r w:rsidRPr="001455DC">
        <w:rPr>
          <w:szCs w:val="22"/>
        </w:rPr>
        <w:tab/>
      </w:r>
      <w:r w:rsidR="004E22C1" w:rsidRPr="001455DC">
        <w:t>no signs of deterioration are discerned;</w:t>
      </w:r>
    </w:p>
    <w:p w14:paraId="7E64B6BF" w14:textId="69DE6130" w:rsidR="004E22C1" w:rsidRPr="001455DC" w:rsidRDefault="00A663EB" w:rsidP="00A663EB">
      <w:pPr>
        <w:pStyle w:val="a0"/>
        <w:numPr>
          <w:ilvl w:val="0"/>
          <w:numId w:val="0"/>
        </w:numPr>
        <w:ind w:left="360" w:hanging="360"/>
      </w:pPr>
      <w:r w:rsidRPr="001455DC">
        <w:rPr>
          <w:szCs w:val="22"/>
        </w:rPr>
        <w:t>—</w:t>
      </w:r>
      <w:r w:rsidRPr="001455DC">
        <w:rPr>
          <w:szCs w:val="22"/>
        </w:rPr>
        <w:tab/>
      </w:r>
      <w:r w:rsidR="004E22C1" w:rsidRPr="001455DC">
        <w:t>the ultimate resistance is not sensitive to length of specimens.</w:t>
      </w:r>
    </w:p>
    <w:p w14:paraId="78C3BB90" w14:textId="77777777" w:rsidR="004E22C1" w:rsidRPr="001455DC" w:rsidRDefault="004E22C1" w:rsidP="007A25BF">
      <w:pPr>
        <w:pStyle w:val="Note"/>
      </w:pPr>
      <w:r w:rsidRPr="001455DC">
        <w:t>NOTE 1</w:t>
      </w:r>
      <w:r w:rsidRPr="001455DC">
        <w:tab/>
        <w:t>The strengths of different size and types of steel component can have significantly different probability distributions.</w:t>
      </w:r>
    </w:p>
    <w:p w14:paraId="07FF7F06" w14:textId="77777777" w:rsidR="004E22C1" w:rsidRPr="001455DC" w:rsidRDefault="004E22C1" w:rsidP="007A25BF">
      <w:pPr>
        <w:pStyle w:val="Note"/>
      </w:pPr>
      <w:r w:rsidRPr="001455DC">
        <w:t>NOTE 2</w:t>
      </w:r>
      <w:r w:rsidRPr="001455DC">
        <w:tab/>
        <w:t>As it is not usually known which reinforcing steel originates from a single batch, there can be a need to investigate the possibility of multiple batches being used within the location being assessed. This would involve a larger number of specimens being tested and some engineering judgement to be used regarding the data analysis and the scope of application of the resulting strengths.</w:t>
      </w:r>
    </w:p>
    <w:p w14:paraId="6FB8B875" w14:textId="77777777" w:rsidR="004E22C1" w:rsidRPr="001455DC" w:rsidRDefault="004E22C1" w:rsidP="007A25BF">
      <w:pPr>
        <w:pStyle w:val="Note"/>
      </w:pPr>
      <w:r w:rsidRPr="001455DC">
        <w:t>NOTE 3</w:t>
      </w:r>
      <w:r w:rsidRPr="001455DC">
        <w:tab/>
        <w:t>Information from test results can be combined with prior information if available.</w:t>
      </w:r>
    </w:p>
    <w:p w14:paraId="09E7E582" w14:textId="77777777" w:rsidR="00274F3B" w:rsidRPr="001455DC" w:rsidRDefault="004E22C1" w:rsidP="00116AE2">
      <w:pPr>
        <w:pStyle w:val="a7"/>
        <w:keepNext/>
      </w:pPr>
      <w:r w:rsidRPr="001455DC">
        <w:t>(2)</w:t>
      </w:r>
      <w:r w:rsidRPr="001455DC">
        <w:tab/>
        <w:t xml:space="preserve">Where the characteristic value of the properties of reinforcing steel is calculated based on sample testing, the characteristic value </w:t>
      </w:r>
      <m:oMath>
        <m:sSub>
          <m:sSubPr>
            <m:ctrlPr>
              <w:rPr>
                <w:rFonts w:ascii="Cambria Math" w:hAnsi="Cambria Math"/>
              </w:rPr>
            </m:ctrlPr>
          </m:sSubPr>
          <m:e>
            <m:r>
              <w:rPr>
                <w:rFonts w:ascii="Cambria Math" w:hAnsi="Cambria Math"/>
              </w:rPr>
              <m:t>X</m:t>
            </m:r>
          </m:e>
          <m:sub>
            <m:r>
              <m:rPr>
                <m:sty m:val="p"/>
              </m:rPr>
              <w:rPr>
                <w:rFonts w:ascii="Cambria Math" w:hAnsi="Cambria Math"/>
              </w:rPr>
              <m:t>k</m:t>
            </m:r>
          </m:sub>
        </m:sSub>
      </m:oMath>
      <w:r w:rsidRPr="001455DC">
        <w:t xml:space="preserve"> should be determined as given in Formula (I.2):</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74F3B" w:rsidRPr="001455DC" w14:paraId="01E7DFB4" w14:textId="77777777" w:rsidTr="00274F3B">
        <w:trPr>
          <w:cantSplit/>
        </w:trPr>
        <w:tc>
          <w:tcPr>
            <w:tcW w:w="8505" w:type="dxa"/>
            <w:vAlign w:val="center"/>
          </w:tcPr>
          <w:p w14:paraId="205C5883" w14:textId="44BD9A19" w:rsidR="00274F3B" w:rsidRPr="001455DC" w:rsidRDefault="00231E33" w:rsidP="00274F3B">
            <w:pPr>
              <w:pStyle w:val="Formula"/>
              <w:jc w:val="left"/>
            </w:pPr>
            <m:oMathPara>
              <m:oMathParaPr>
                <m:jc m:val="left"/>
              </m:oMathParaPr>
              <m:oMath>
                <m:sSub>
                  <m:sSubPr>
                    <m:ctrlPr>
                      <w:rPr>
                        <w:rFonts w:ascii="Cambria Math" w:hAnsi="Cambria Math"/>
                      </w:rPr>
                    </m:ctrlPr>
                  </m:sSubPr>
                  <m:e>
                    <m:r>
                      <w:rPr>
                        <w:rFonts w:ascii="Cambria Math" w:hAnsi="Cambria Math"/>
                      </w:rPr>
                      <m:t>X</m:t>
                    </m:r>
                  </m:e>
                  <m:sub>
                    <m:r>
                      <m:rPr>
                        <m:sty m:val="p"/>
                      </m:rPr>
                      <w:rPr>
                        <w:rFonts w:ascii="Cambria Math" w:hAnsi="Cambria Math"/>
                      </w:rPr>
                      <m:t>k</m:t>
                    </m:r>
                  </m:sub>
                </m:sSub>
                <m:r>
                  <w:rPr>
                    <w:rFonts w:ascii="Cambria Math" w:hAnsi="Cambria Math"/>
                  </w:rPr>
                  <m:t>=</m:t>
                </m:r>
                <m:sSup>
                  <m:sSupPr>
                    <m:ctrlPr>
                      <w:rPr>
                        <w:rFonts w:ascii="Cambria Math" w:hAnsi="Cambria Math"/>
                      </w:rPr>
                    </m:ctrlPr>
                  </m:sSupPr>
                  <m:e>
                    <m:r>
                      <w:rPr>
                        <w:rFonts w:ascii="Cambria Math" w:hAnsi="Cambria Math"/>
                      </w:rPr>
                      <m:t>e</m:t>
                    </m:r>
                  </m:e>
                  <m:sup>
                    <m:d>
                      <m:dPr>
                        <m:ctrlPr>
                          <w:rPr>
                            <w:rFonts w:ascii="Cambria Math" w:hAnsi="Cambria Math"/>
                          </w:rPr>
                        </m:ctrlPr>
                      </m:dPr>
                      <m:e>
                        <m:sSub>
                          <m:sSubPr>
                            <m:ctrlPr>
                              <w:rPr>
                                <w:rFonts w:ascii="Cambria Math" w:hAnsi="Cambria Math"/>
                              </w:rPr>
                            </m:ctrlPr>
                          </m:sSubPr>
                          <m:e>
                            <m:r>
                              <w:rPr>
                                <w:rFonts w:ascii="Cambria Math" w:hAnsi="Cambria Math"/>
                              </w:rPr>
                              <m:t>m</m:t>
                            </m:r>
                          </m:e>
                          <m:sub>
                            <m:r>
                              <m:rPr>
                                <m:sty m:val="p"/>
                              </m:rPr>
                              <w:rPr>
                                <w:rFonts w:ascii="Cambria Math" w:hAnsi="Cambria Math"/>
                              </w:rPr>
                              <m:t>X</m:t>
                            </m:r>
                          </m:sub>
                        </m:sSub>
                        <m: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n</m:t>
                            </m:r>
                          </m:sub>
                        </m:sSub>
                        <m:sSub>
                          <m:sSubPr>
                            <m:ctrlPr>
                              <w:rPr>
                                <w:rFonts w:ascii="Cambria Math" w:hAnsi="Cambria Math"/>
                              </w:rPr>
                            </m:ctrlPr>
                          </m:sSubPr>
                          <m:e>
                            <m:r>
                              <w:rPr>
                                <w:rFonts w:ascii="Cambria Math" w:hAnsi="Cambria Math"/>
                              </w:rPr>
                              <m:t>∙s</m:t>
                            </m:r>
                          </m:e>
                          <m:sub>
                            <m:r>
                              <m:rPr>
                                <m:sty m:val="p"/>
                              </m:rPr>
                              <w:rPr>
                                <w:rFonts w:ascii="Cambria Math" w:hAnsi="Cambria Math"/>
                              </w:rPr>
                              <m:t>X</m:t>
                            </m:r>
                          </m:sub>
                        </m:sSub>
                      </m:e>
                    </m:d>
                  </m:sup>
                </m:sSup>
              </m:oMath>
            </m:oMathPara>
          </w:p>
        </w:tc>
        <w:tc>
          <w:tcPr>
            <w:tcW w:w="1247" w:type="dxa"/>
            <w:vAlign w:val="center"/>
          </w:tcPr>
          <w:p w14:paraId="11BC5A7B" w14:textId="2B7954F3" w:rsidR="00274F3B" w:rsidRPr="001455DC" w:rsidRDefault="00274F3B" w:rsidP="00274F3B">
            <w:pPr>
              <w:pStyle w:val="a7"/>
              <w:jc w:val="right"/>
            </w:pPr>
            <w:r w:rsidRPr="001455DC">
              <w:t>(I.2)</w:t>
            </w:r>
          </w:p>
        </w:tc>
      </w:tr>
    </w:tbl>
    <w:p w14:paraId="58FE01DE" w14:textId="77777777" w:rsidR="00274F3B" w:rsidRPr="001455DC" w:rsidRDefault="004E22C1" w:rsidP="00A35599">
      <w:pPr>
        <w:pStyle w:val="a7"/>
        <w:keepNext/>
      </w:pPr>
      <w:r w:rsidRPr="001455DC">
        <w:t>where</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74F3B" w:rsidRPr="001455DC" w14:paraId="3C9F41A0" w14:textId="77777777" w:rsidTr="00274F3B">
        <w:trPr>
          <w:cantSplit/>
        </w:trPr>
        <w:tc>
          <w:tcPr>
            <w:tcW w:w="8505" w:type="dxa"/>
            <w:vAlign w:val="center"/>
          </w:tcPr>
          <w:p w14:paraId="239A951D" w14:textId="0DFC32F5" w:rsidR="00274F3B" w:rsidRPr="001455DC" w:rsidRDefault="00231E33" w:rsidP="00274F3B">
            <w:pPr>
              <w:pStyle w:val="Formula"/>
              <w:jc w:val="left"/>
            </w:pPr>
            <m:oMathPara>
              <m:oMathParaPr>
                <m:jc m:val="left"/>
              </m:oMathParaPr>
              <m:oMath>
                <m:sSub>
                  <m:sSubPr>
                    <m:ctrlPr>
                      <w:rPr>
                        <w:rFonts w:ascii="Cambria Math" w:hAnsi="Cambria Math"/>
                      </w:rPr>
                    </m:ctrlPr>
                  </m:sSubPr>
                  <m:e>
                    <m:r>
                      <w:rPr>
                        <w:rFonts w:ascii="Cambria Math" w:hAnsi="Cambria Math"/>
                      </w:rPr>
                      <m:t>m</m:t>
                    </m:r>
                  </m:e>
                  <m:sub>
                    <m:r>
                      <m:rPr>
                        <m:sty m:val="p"/>
                      </m:rPr>
                      <w:rPr>
                        <w:rFonts w:ascii="Cambria Math" w:hAnsi="Cambria Math"/>
                      </w:rPr>
                      <m:t>X</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n</m:t>
                    </m:r>
                  </m:den>
                </m:f>
                <m:nary>
                  <m:naryPr>
                    <m:chr m:val="∑"/>
                    <m:limLoc m:val="undOvr"/>
                    <m:subHide m:val="1"/>
                    <m:supHide m:val="1"/>
                    <m:ctrlPr>
                      <w:rPr>
                        <w:rFonts w:ascii="Cambria Math" w:hAnsi="Cambria Math"/>
                      </w:rPr>
                    </m:ctrlPr>
                  </m:naryPr>
                  <m:sub/>
                  <m:sup/>
                  <m:e>
                    <m:func>
                      <m:funcPr>
                        <m:ctrlPr>
                          <w:rPr>
                            <w:rFonts w:ascii="Cambria Math" w:hAnsi="Cambria Math"/>
                          </w:rPr>
                        </m:ctrlPr>
                      </m:funcPr>
                      <m:fName>
                        <m:r>
                          <m:rPr>
                            <m:sty m:val="p"/>
                          </m:rPr>
                          <w:rPr>
                            <w:rFonts w:ascii="Cambria Math" w:hAnsi="Cambria Math"/>
                          </w:rPr>
                          <m:t>ln</m:t>
                        </m:r>
                      </m:fName>
                      <m:e>
                        <m:sSub>
                          <m:sSubPr>
                            <m:ctrlPr>
                              <w:rPr>
                                <w:rFonts w:ascii="Cambria Math" w:hAnsi="Cambria Math"/>
                              </w:rPr>
                            </m:ctrlPr>
                          </m:sSubPr>
                          <m:e>
                            <m:r>
                              <w:rPr>
                                <w:rFonts w:ascii="Cambria Math" w:hAnsi="Cambria Math"/>
                              </w:rPr>
                              <m:t>x</m:t>
                            </m:r>
                          </m:e>
                          <m:sub>
                            <m:r>
                              <m:rPr>
                                <m:sty m:val="p"/>
                              </m:rPr>
                              <w:rPr>
                                <w:rFonts w:ascii="Cambria Math" w:hAnsi="Cambria Math"/>
                              </w:rPr>
                              <m:t>i</m:t>
                            </m:r>
                          </m:sub>
                        </m:sSub>
                      </m:e>
                    </m:func>
                  </m:e>
                </m:nary>
              </m:oMath>
            </m:oMathPara>
          </w:p>
        </w:tc>
        <w:tc>
          <w:tcPr>
            <w:tcW w:w="1247" w:type="dxa"/>
            <w:vAlign w:val="center"/>
          </w:tcPr>
          <w:p w14:paraId="7C574FD9" w14:textId="78FF051E" w:rsidR="00274F3B" w:rsidRPr="001455DC" w:rsidRDefault="00274F3B" w:rsidP="00274F3B">
            <w:pPr>
              <w:pStyle w:val="a7"/>
              <w:jc w:val="right"/>
            </w:pPr>
            <w:r w:rsidRPr="001455DC">
              <w:t>(I.3)</w:t>
            </w:r>
          </w:p>
        </w:tc>
      </w:tr>
    </w:tbl>
    <w:p w14:paraId="0857FA42" w14:textId="4D06957C" w:rsidR="004E22C1" w:rsidRPr="001455DC" w:rsidRDefault="004E22C1" w:rsidP="007A25BF">
      <w:pPr>
        <w:pStyle w:val="a7"/>
      </w:pPr>
      <w:r w:rsidRPr="001455DC">
        <w:t xml:space="preserve">the value of </w:t>
      </w:r>
      <m:oMath>
        <m:sSub>
          <m:sSubPr>
            <m:ctrlPr>
              <w:rPr>
                <w:rFonts w:ascii="Cambria Math" w:hAnsi="Cambria Math"/>
              </w:rPr>
            </m:ctrlPr>
          </m:sSubPr>
          <m:e>
            <m:r>
              <w:rPr>
                <w:rFonts w:ascii="Cambria Math" w:hAnsi="Cambria Math"/>
              </w:rPr>
              <m:t>k</m:t>
            </m:r>
          </m:e>
          <m:sub>
            <m:r>
              <m:rPr>
                <m:sty m:val="p"/>
              </m:rPr>
              <w:rPr>
                <w:rFonts w:ascii="Cambria Math" w:hAnsi="Cambria Math"/>
              </w:rPr>
              <m:t>n</m:t>
            </m:r>
          </m:sub>
        </m:sSub>
      </m:oMath>
      <w:r w:rsidRPr="001455DC">
        <w:t>may be taken from Tables I.3 and I.4 for 5 % and 10 % characteristic value respectively.</w:t>
      </w:r>
    </w:p>
    <w:p w14:paraId="32287A9D" w14:textId="1F004153" w:rsidR="004E22C1" w:rsidRPr="001455DC" w:rsidRDefault="004E22C1" w:rsidP="00116AE2">
      <w:pPr>
        <w:pStyle w:val="a7"/>
        <w:keepNext/>
      </w:pPr>
      <w:r w:rsidRPr="001455DC">
        <w:t xml:space="preserve">For the evaluation of </w:t>
      </w:r>
      <m:oMath>
        <m:sSub>
          <m:sSubPr>
            <m:ctrlPr>
              <w:rPr>
                <w:rFonts w:ascii="Cambria Math" w:hAnsi="Cambria Math"/>
              </w:rPr>
            </m:ctrlPr>
          </m:sSubPr>
          <m:e>
            <m:r>
              <w:rPr>
                <w:rFonts w:ascii="Cambria Math" w:hAnsi="Cambria Math"/>
              </w:rPr>
              <m:t>s</m:t>
            </m:r>
          </m:e>
          <m:sub>
            <m:r>
              <m:rPr>
                <m:sty m:val="p"/>
              </m:rPr>
              <w:rPr>
                <w:rFonts w:ascii="Cambria Math" w:hAnsi="Cambria Math"/>
              </w:rPr>
              <m:t>X</m:t>
            </m:r>
          </m:sub>
        </m:sSub>
      </m:oMath>
      <w:r w:rsidRPr="001455DC">
        <w:t xml:space="preserve"> and when using Tables I.3 and I.4, one of two cases should be considered:</w:t>
      </w:r>
    </w:p>
    <w:p w14:paraId="7EA86B4A" w14:textId="3DF1FA26" w:rsidR="00274F3B" w:rsidRPr="001455DC" w:rsidRDefault="004E22C1" w:rsidP="00116AE2">
      <w:pPr>
        <w:pStyle w:val="a0"/>
        <w:keepNext/>
      </w:pPr>
      <w:r w:rsidRPr="001455DC">
        <w:rPr>
          <w:b/>
          <w:bCs/>
        </w:rPr>
        <w:t>Case</w:t>
      </w:r>
      <w:r w:rsidR="00274F3B" w:rsidRPr="001455DC">
        <w:rPr>
          <w:b/>
          <w:bCs/>
        </w:rPr>
        <w:t> </w:t>
      </w:r>
      <w:r w:rsidRPr="001455DC">
        <w:rPr>
          <w:b/>
          <w:bCs/>
        </w:rPr>
        <w:t>1:</w:t>
      </w:r>
      <w:r w:rsidRPr="001455DC">
        <w:t xml:space="preserve"> The row ‘</w:t>
      </w:r>
      <m:oMath>
        <m:sSub>
          <m:sSubPr>
            <m:ctrlPr>
              <w:rPr>
                <w:rFonts w:ascii="Cambria Math" w:hAnsi="Cambria Math"/>
              </w:rPr>
            </m:ctrlPr>
          </m:sSubPr>
          <m:e>
            <m:r>
              <w:rPr>
                <w:rFonts w:ascii="Cambria Math" w:hAnsi="Cambria Math"/>
              </w:rPr>
              <m:t>V</m:t>
            </m:r>
          </m:e>
          <m:sub>
            <m:r>
              <m:rPr>
                <m:sty m:val="p"/>
              </m:rPr>
              <w:rPr>
                <w:rFonts w:ascii="Cambria Math" w:hAnsi="Cambria Math"/>
              </w:rPr>
              <m:t>X</m:t>
            </m:r>
          </m:sub>
        </m:sSub>
      </m:oMath>
      <w:r w:rsidRPr="001455DC">
        <w:t xml:space="preserve"> known’ should be used if the coefficient of variation </w:t>
      </w:r>
      <m:oMath>
        <m:sSub>
          <m:sSubPr>
            <m:ctrlPr>
              <w:rPr>
                <w:rFonts w:ascii="Cambria Math" w:hAnsi="Cambria Math"/>
              </w:rPr>
            </m:ctrlPr>
          </m:sSubPr>
          <m:e>
            <m:r>
              <w:rPr>
                <w:rFonts w:ascii="Cambria Math" w:hAnsi="Cambria Math"/>
              </w:rPr>
              <m:t>V</m:t>
            </m:r>
          </m:e>
          <m:sub>
            <m:r>
              <w:rPr>
                <w:rFonts w:ascii="Cambria Math" w:hAnsi="Cambria Math"/>
              </w:rPr>
              <m:t>X</m:t>
            </m:r>
          </m:sub>
        </m:sSub>
      </m:oMath>
      <w:r w:rsidRPr="001455DC">
        <w:t xml:space="preserve">, or a realistic upper bound of it, is known from prior knowledge; in this case </w:t>
      </w:r>
      <m:oMath>
        <m:sSub>
          <m:sSubPr>
            <m:ctrlPr>
              <w:rPr>
                <w:rFonts w:ascii="Cambria Math" w:hAnsi="Cambria Math"/>
              </w:rPr>
            </m:ctrlPr>
          </m:sSubPr>
          <m:e>
            <m:r>
              <w:rPr>
                <w:rFonts w:ascii="Cambria Math" w:hAnsi="Cambria Math"/>
              </w:rPr>
              <m:t>s</m:t>
            </m:r>
          </m:e>
          <m:sub>
            <m:r>
              <m:rPr>
                <m:sty m:val="p"/>
              </m:rPr>
              <w:rPr>
                <w:rFonts w:ascii="Cambria Math" w:hAnsi="Cambria Math"/>
              </w:rPr>
              <m:t>X</m:t>
            </m:r>
          </m:sub>
        </m:sSub>
      </m:oMath>
      <w:r w:rsidRPr="001455DC">
        <w:t xml:space="preserve"> should be taken from Formula (I.4):</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74F3B" w:rsidRPr="001455DC" w14:paraId="0F94CAD3" w14:textId="77777777" w:rsidTr="00274F3B">
        <w:trPr>
          <w:cantSplit/>
        </w:trPr>
        <w:tc>
          <w:tcPr>
            <w:tcW w:w="8505" w:type="dxa"/>
            <w:vAlign w:val="center"/>
          </w:tcPr>
          <w:p w14:paraId="1E28DF9C" w14:textId="1944C98D" w:rsidR="00274F3B" w:rsidRPr="001455DC" w:rsidRDefault="00231E33" w:rsidP="00274F3B">
            <w:pPr>
              <w:pStyle w:val="Formula"/>
              <w:jc w:val="left"/>
            </w:pPr>
            <m:oMathPara>
              <m:oMathParaPr>
                <m:jc m:val="left"/>
              </m:oMathParaPr>
              <m:oMath>
                <m:sSub>
                  <m:sSubPr>
                    <m:ctrlPr>
                      <w:rPr>
                        <w:rFonts w:ascii="Cambria Math" w:hAnsi="Cambria Math"/>
                      </w:rPr>
                    </m:ctrlPr>
                  </m:sSubPr>
                  <m:e>
                    <m:r>
                      <w:rPr>
                        <w:rFonts w:ascii="Cambria Math" w:hAnsi="Cambria Math"/>
                      </w:rPr>
                      <m:t>s</m:t>
                    </m:r>
                  </m:e>
                  <m:sub>
                    <m:r>
                      <m:rPr>
                        <m:sty m:val="p"/>
                      </m:rPr>
                      <w:rPr>
                        <w:rFonts w:ascii="Cambria Math" w:hAnsi="Cambria Math"/>
                      </w:rPr>
                      <m:t>X</m:t>
                    </m:r>
                  </m:sub>
                </m:sSub>
                <m:r>
                  <w:rPr>
                    <w:rFonts w:ascii="Cambria Math" w:hAnsi="Cambria Math"/>
                  </w:rPr>
                  <m:t>=</m:t>
                </m:r>
                <m:rad>
                  <m:radPr>
                    <m:degHide m:val="1"/>
                    <m:ctrlPr>
                      <w:rPr>
                        <w:rFonts w:ascii="Cambria Math" w:hAnsi="Cambria Math"/>
                      </w:rPr>
                    </m:ctrlPr>
                  </m:radPr>
                  <m:deg/>
                  <m:e>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sSubSup>
                              <m:sSubSupPr>
                                <m:ctrlPr>
                                  <w:rPr>
                                    <w:rFonts w:ascii="Cambria Math" w:hAnsi="Cambria Math"/>
                                  </w:rPr>
                                </m:ctrlPr>
                              </m:sSubSupPr>
                              <m:e>
                                <m:r>
                                  <w:rPr>
                                    <w:rFonts w:ascii="Cambria Math" w:hAnsi="Cambria Math"/>
                                  </w:rPr>
                                  <m:t>V</m:t>
                                </m:r>
                              </m:e>
                              <m:sub>
                                <m:r>
                                  <m:rPr>
                                    <m:sty m:val="p"/>
                                  </m:rPr>
                                  <w:rPr>
                                    <w:rFonts w:ascii="Cambria Math" w:hAnsi="Cambria Math"/>
                                  </w:rPr>
                                  <m:t>X</m:t>
                                </m:r>
                              </m:sub>
                              <m:sup>
                                <m:r>
                                  <w:rPr>
                                    <w:rFonts w:ascii="Cambria Math" w:hAnsi="Cambria Math"/>
                                  </w:rPr>
                                  <m:t>2</m:t>
                                </m:r>
                              </m:sup>
                            </m:sSubSup>
                            <m:r>
                              <w:rPr>
                                <w:rFonts w:ascii="Cambria Math" w:hAnsi="Cambria Math"/>
                              </w:rPr>
                              <m:t>+1</m:t>
                            </m:r>
                          </m:e>
                        </m:d>
                      </m:e>
                    </m:func>
                  </m:e>
                </m:rad>
              </m:oMath>
            </m:oMathPara>
          </w:p>
        </w:tc>
        <w:tc>
          <w:tcPr>
            <w:tcW w:w="1247" w:type="dxa"/>
            <w:vAlign w:val="center"/>
          </w:tcPr>
          <w:p w14:paraId="2117228A" w14:textId="36486527" w:rsidR="00274F3B" w:rsidRPr="001455DC" w:rsidRDefault="00274F3B" w:rsidP="00274F3B">
            <w:pPr>
              <w:pStyle w:val="a7"/>
              <w:jc w:val="right"/>
            </w:pPr>
            <w:r w:rsidRPr="001455DC">
              <w:t>(I.4)</w:t>
            </w:r>
          </w:p>
        </w:tc>
      </w:tr>
    </w:tbl>
    <w:p w14:paraId="3139A94D" w14:textId="7B5BC4E4" w:rsidR="004E22C1" w:rsidRPr="001455DC" w:rsidRDefault="004E22C1" w:rsidP="00274F3B">
      <w:pPr>
        <w:pStyle w:val="Note"/>
      </w:pPr>
      <w:r w:rsidRPr="001455DC">
        <w:rPr>
          <w:bCs/>
        </w:rPr>
        <w:t>NOTE</w:t>
      </w:r>
      <w:r w:rsidR="00D218F1" w:rsidRPr="001455DC">
        <w:rPr>
          <w:bCs/>
        </w:rPr>
        <w:t xml:space="preserve"> 4</w:t>
      </w:r>
      <w:r w:rsidRPr="001455DC">
        <w:rPr>
          <w:bCs/>
        </w:rPr>
        <w:tab/>
      </w:r>
      <w:r w:rsidRPr="001455DC">
        <w:t>Prior knowledge might come from the evaluation of previous tests in comparable situations. Engineering judgment may be used to determine what can be considered as ‘comparable’.</w:t>
      </w:r>
    </w:p>
    <w:p w14:paraId="162B8D13" w14:textId="45D13709" w:rsidR="00274F3B" w:rsidRPr="001455DC" w:rsidRDefault="004E22C1" w:rsidP="00F77658">
      <w:pPr>
        <w:pStyle w:val="a0"/>
        <w:keepNext/>
      </w:pPr>
      <w:r w:rsidRPr="001455DC">
        <w:rPr>
          <w:b/>
          <w:bCs/>
        </w:rPr>
        <w:t>Case 2:</w:t>
      </w:r>
      <w:r w:rsidRPr="001455DC">
        <w:t xml:space="preserve"> The row ‘</w:t>
      </w:r>
      <m:oMath>
        <m:sSub>
          <m:sSubPr>
            <m:ctrlPr>
              <w:rPr>
                <w:rFonts w:ascii="Cambria Math" w:hAnsi="Cambria Math"/>
                <w:i/>
                <w:iCs/>
              </w:rPr>
            </m:ctrlPr>
          </m:sSubPr>
          <m:e>
            <m:r>
              <w:rPr>
                <w:rFonts w:ascii="Cambria Math" w:hAnsi="Cambria Math"/>
              </w:rPr>
              <m:t>V</m:t>
            </m:r>
          </m:e>
          <m:sub>
            <m:r>
              <m:rPr>
                <m:sty m:val="p"/>
              </m:rPr>
              <w:rPr>
                <w:rFonts w:ascii="Cambria Math" w:hAnsi="Cambria Math"/>
              </w:rPr>
              <m:t>X</m:t>
            </m:r>
          </m:sub>
        </m:sSub>
      </m:oMath>
      <w:r w:rsidRPr="001455DC">
        <w:t xml:space="preserve"> unknown’ should be used if the coefficient of variation </w:t>
      </w:r>
      <m:oMath>
        <m:sSub>
          <m:sSubPr>
            <m:ctrlPr>
              <w:rPr>
                <w:rFonts w:ascii="Cambria Math" w:hAnsi="Cambria Math"/>
              </w:rPr>
            </m:ctrlPr>
          </m:sSubPr>
          <m:e>
            <m:r>
              <w:rPr>
                <w:rFonts w:ascii="Cambria Math" w:hAnsi="Cambria Math"/>
              </w:rPr>
              <m:t>V</m:t>
            </m:r>
          </m:e>
          <m:sub>
            <m:r>
              <m:rPr>
                <m:sty m:val="p"/>
              </m:rPr>
              <w:rPr>
                <w:rFonts w:ascii="Cambria Math" w:hAnsi="Cambria Math"/>
              </w:rPr>
              <m:t>X</m:t>
            </m:r>
          </m:sub>
        </m:sSub>
      </m:oMath>
      <w:r w:rsidRPr="001455DC">
        <w:t xml:space="preserve"> is not known from prior knowledge and so needs to be estimated from the sample; in this case </w:t>
      </w:r>
      <m:oMath>
        <m:sSub>
          <m:sSubPr>
            <m:ctrlPr>
              <w:rPr>
                <w:rFonts w:ascii="Cambria Math" w:hAnsi="Cambria Math"/>
              </w:rPr>
            </m:ctrlPr>
          </m:sSubPr>
          <m:e>
            <m:r>
              <w:rPr>
                <w:rFonts w:ascii="Cambria Math" w:hAnsi="Cambria Math"/>
              </w:rPr>
              <m:t>s</m:t>
            </m:r>
          </m:e>
          <m:sub>
            <m:r>
              <m:rPr>
                <m:sty m:val="p"/>
              </m:rPr>
              <w:rPr>
                <w:rFonts w:ascii="Cambria Math" w:hAnsi="Cambria Math"/>
              </w:rPr>
              <m:t>X</m:t>
            </m:r>
          </m:sub>
        </m:sSub>
      </m:oMath>
      <w:r w:rsidRPr="001455DC">
        <w:t xml:space="preserve"> and </w:t>
      </w:r>
      <m:oMath>
        <m:sSub>
          <m:sSubPr>
            <m:ctrlPr>
              <w:rPr>
                <w:rFonts w:ascii="Cambria Math" w:hAnsi="Cambria Math"/>
              </w:rPr>
            </m:ctrlPr>
          </m:sSubPr>
          <m:e>
            <m:r>
              <w:rPr>
                <w:rFonts w:ascii="Cambria Math" w:hAnsi="Cambria Math"/>
              </w:rPr>
              <m:t>V</m:t>
            </m:r>
          </m:e>
          <m:sub>
            <m:r>
              <m:rPr>
                <m:sty m:val="p"/>
              </m:rPr>
              <w:rPr>
                <w:rFonts w:ascii="Cambria Math" w:hAnsi="Cambria Math"/>
              </w:rPr>
              <m:t>X</m:t>
            </m:r>
          </m:sub>
        </m:sSub>
      </m:oMath>
      <w:r w:rsidRPr="001455DC">
        <w:t xml:space="preserve"> should be taken from Formulae (I.5) and (I.6), respectively:</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74F3B" w:rsidRPr="001455DC" w14:paraId="125A0279" w14:textId="77777777" w:rsidTr="00274F3B">
        <w:trPr>
          <w:cantSplit/>
        </w:trPr>
        <w:tc>
          <w:tcPr>
            <w:tcW w:w="8505" w:type="dxa"/>
            <w:vAlign w:val="center"/>
          </w:tcPr>
          <w:p w14:paraId="1FCFC049" w14:textId="5DF84EEF" w:rsidR="00274F3B" w:rsidRPr="001455DC" w:rsidRDefault="00231E33" w:rsidP="00274F3B">
            <w:pPr>
              <w:pStyle w:val="Formula"/>
              <w:jc w:val="left"/>
            </w:pPr>
            <m:oMathPara>
              <m:oMathParaPr>
                <m:jc m:val="left"/>
              </m:oMathParaPr>
              <m:oMath>
                <m:sSub>
                  <m:sSubPr>
                    <m:ctrlPr>
                      <w:rPr>
                        <w:rFonts w:ascii="Cambria Math" w:hAnsi="Cambria Math"/>
                      </w:rPr>
                    </m:ctrlPr>
                  </m:sSubPr>
                  <m:e>
                    <m:r>
                      <w:rPr>
                        <w:rFonts w:ascii="Cambria Math" w:hAnsi="Cambria Math"/>
                      </w:rPr>
                      <m:t>s</m:t>
                    </m:r>
                  </m:e>
                  <m:sub>
                    <m:r>
                      <m:rPr>
                        <m:sty m:val="p"/>
                      </m:rPr>
                      <w:rPr>
                        <w:rFonts w:ascii="Cambria Math" w:hAnsi="Cambria Math"/>
                      </w:rPr>
                      <m:t>X</m:t>
                    </m:r>
                  </m:sub>
                </m:sSub>
                <m:r>
                  <w:rPr>
                    <w:rFonts w:ascii="Cambria Math" w:hAnsi="Cambria Math"/>
                  </w:rPr>
                  <m:t>=</m:t>
                </m:r>
                <m:rad>
                  <m:radPr>
                    <m:degHide m:val="1"/>
                    <m:ctrlPr>
                      <w:rPr>
                        <w:rFonts w:ascii="Cambria Math" w:hAnsi="Cambria Math"/>
                      </w:rPr>
                    </m:ctrlPr>
                  </m:radPr>
                  <m:deg/>
                  <m:e>
                    <m:f>
                      <m:fPr>
                        <m:ctrlPr>
                          <w:rPr>
                            <w:rFonts w:ascii="Cambria Math" w:hAnsi="Cambria Math"/>
                          </w:rPr>
                        </m:ctrlPr>
                      </m:fPr>
                      <m:num>
                        <m:r>
                          <w:rPr>
                            <w:rFonts w:ascii="Cambria Math" w:hAnsi="Cambria Math"/>
                          </w:rPr>
                          <m:t>1</m:t>
                        </m:r>
                      </m:num>
                      <m:den>
                        <m:r>
                          <w:rPr>
                            <w:rFonts w:ascii="Cambria Math" w:hAnsi="Cambria Math"/>
                          </w:rPr>
                          <m:t>n-1</m:t>
                        </m:r>
                      </m:den>
                    </m:f>
                    <m:nary>
                      <m:naryPr>
                        <m:chr m:val="∑"/>
                        <m:limLoc m:val="undOvr"/>
                        <m:subHide m:val="1"/>
                        <m:supHide m:val="1"/>
                        <m:ctrlPr>
                          <w:rPr>
                            <w:rFonts w:ascii="Cambria Math" w:hAnsi="Cambria Math"/>
                          </w:rPr>
                        </m:ctrlPr>
                      </m:naryPr>
                      <m:sub/>
                      <m:sup/>
                      <m:e>
                        <m:sSup>
                          <m:sSupPr>
                            <m:ctrlPr>
                              <w:rPr>
                                <w:rFonts w:ascii="Cambria Math" w:hAnsi="Cambria Math"/>
                              </w:rPr>
                            </m:ctrlPr>
                          </m:sSupPr>
                          <m:e>
                            <m:d>
                              <m:dPr>
                                <m:ctrlPr>
                                  <w:rPr>
                                    <w:rFonts w:ascii="Cambria Math" w:hAnsi="Cambria Math"/>
                                  </w:rPr>
                                </m:ctrlPr>
                              </m:dPr>
                              <m:e>
                                <m:func>
                                  <m:funcPr>
                                    <m:ctrlPr>
                                      <w:rPr>
                                        <w:rFonts w:ascii="Cambria Math" w:hAnsi="Cambria Math"/>
                                      </w:rPr>
                                    </m:ctrlPr>
                                  </m:funcPr>
                                  <m:fName>
                                    <m:r>
                                      <m:rPr>
                                        <m:sty m:val="p"/>
                                      </m:rPr>
                                      <w:rPr>
                                        <w:rFonts w:ascii="Cambria Math" w:hAnsi="Cambria Math"/>
                                      </w:rPr>
                                      <m:t>ln</m:t>
                                    </m:r>
                                  </m:fName>
                                  <m:e>
                                    <m:sSub>
                                      <m:sSubPr>
                                        <m:ctrlPr>
                                          <w:rPr>
                                            <w:rFonts w:ascii="Cambria Math" w:hAnsi="Cambria Math"/>
                                          </w:rPr>
                                        </m:ctrlPr>
                                      </m:sSubPr>
                                      <m:e>
                                        <m:r>
                                          <w:rPr>
                                            <w:rFonts w:ascii="Cambria Math" w:hAnsi="Cambria Math"/>
                                          </w:rPr>
                                          <m:t>x</m:t>
                                        </m:r>
                                      </m:e>
                                      <m:sub>
                                        <m:r>
                                          <m:rPr>
                                            <m:sty m:val="p"/>
                                          </m:rP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x</m:t>
                                        </m:r>
                                      </m:sub>
                                    </m:sSub>
                                  </m:e>
                                </m:func>
                              </m:e>
                            </m:d>
                          </m:e>
                          <m:sup>
                            <m:r>
                              <w:rPr>
                                <w:rFonts w:ascii="Cambria Math" w:hAnsi="Cambria Math"/>
                              </w:rPr>
                              <m:t>2</m:t>
                            </m:r>
                          </m:sup>
                        </m:sSup>
                      </m:e>
                    </m:nary>
                  </m:e>
                </m:rad>
              </m:oMath>
            </m:oMathPara>
          </w:p>
        </w:tc>
        <w:tc>
          <w:tcPr>
            <w:tcW w:w="1247" w:type="dxa"/>
            <w:vAlign w:val="center"/>
          </w:tcPr>
          <w:p w14:paraId="001074B5" w14:textId="785B0D0C" w:rsidR="00274F3B" w:rsidRPr="001455DC" w:rsidRDefault="00274F3B" w:rsidP="00274F3B">
            <w:pPr>
              <w:pStyle w:val="a7"/>
              <w:jc w:val="right"/>
            </w:pPr>
            <w:r w:rsidRPr="001455DC">
              <w:t>(I.5)</w:t>
            </w:r>
          </w:p>
        </w:tc>
      </w:tr>
      <w:tr w:rsidR="00274F3B" w:rsidRPr="001455DC" w14:paraId="7A7FB2DD" w14:textId="77777777" w:rsidTr="00274F3B">
        <w:trPr>
          <w:cantSplit/>
        </w:trPr>
        <w:tc>
          <w:tcPr>
            <w:tcW w:w="8505" w:type="dxa"/>
            <w:vAlign w:val="center"/>
          </w:tcPr>
          <w:p w14:paraId="3EFE3ED2" w14:textId="4CF8F6F2" w:rsidR="00274F3B" w:rsidRPr="001455DC" w:rsidRDefault="00231E33" w:rsidP="00274F3B">
            <w:pPr>
              <w:pStyle w:val="Formula"/>
              <w:jc w:val="left"/>
            </w:pPr>
            <m:oMathPara>
              <m:oMathParaPr>
                <m:jc m:val="left"/>
              </m:oMathParaPr>
              <m:oMath>
                <m:sSub>
                  <m:sSubPr>
                    <m:ctrlPr>
                      <w:rPr>
                        <w:rFonts w:ascii="Cambria Math" w:hAnsi="Cambria Math"/>
                      </w:rPr>
                    </m:ctrlPr>
                  </m:sSubPr>
                  <m:e>
                    <m:r>
                      <w:rPr>
                        <w:rFonts w:ascii="Cambria Math" w:hAnsi="Cambria Math"/>
                      </w:rPr>
                      <m:t>V</m:t>
                    </m:r>
                  </m:e>
                  <m:sub>
                    <m:r>
                      <m:rPr>
                        <m:sty m:val="p"/>
                      </m:rPr>
                      <w:rPr>
                        <w:rFonts w:ascii="Cambria Math" w:hAnsi="Cambria Math"/>
                      </w:rPr>
                      <m:t>X</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s</m:t>
                        </m:r>
                      </m:e>
                      <m:sub>
                        <m:r>
                          <m:rPr>
                            <m:sty m:val="p"/>
                          </m:rPr>
                          <w:rPr>
                            <w:rFonts w:ascii="Cambria Math" w:hAnsi="Cambria Math"/>
                          </w:rPr>
                          <m:t>X</m:t>
                        </m:r>
                      </m:sub>
                    </m:sSub>
                  </m:num>
                  <m:den>
                    <m:sSub>
                      <m:sSubPr>
                        <m:ctrlPr>
                          <w:rPr>
                            <w:rFonts w:ascii="Cambria Math" w:hAnsi="Cambria Math"/>
                          </w:rPr>
                        </m:ctrlPr>
                      </m:sSubPr>
                      <m:e>
                        <m:r>
                          <w:rPr>
                            <w:rFonts w:ascii="Cambria Math" w:hAnsi="Cambria Math"/>
                          </w:rPr>
                          <m:t>m</m:t>
                        </m:r>
                      </m:e>
                      <m:sub>
                        <m:r>
                          <m:rPr>
                            <m:sty m:val="p"/>
                          </m:rPr>
                          <w:rPr>
                            <w:rFonts w:ascii="Cambria Math" w:hAnsi="Cambria Math"/>
                          </w:rPr>
                          <m:t>X</m:t>
                        </m:r>
                      </m:sub>
                    </m:sSub>
                  </m:den>
                </m:f>
              </m:oMath>
            </m:oMathPara>
          </w:p>
        </w:tc>
        <w:tc>
          <w:tcPr>
            <w:tcW w:w="1247" w:type="dxa"/>
            <w:vAlign w:val="center"/>
          </w:tcPr>
          <w:p w14:paraId="3ABCDD39" w14:textId="6336E9CB" w:rsidR="00274F3B" w:rsidRPr="001455DC" w:rsidRDefault="00274F3B" w:rsidP="00274F3B">
            <w:pPr>
              <w:pStyle w:val="a7"/>
              <w:jc w:val="right"/>
            </w:pPr>
            <w:r w:rsidRPr="001455DC">
              <w:t>(I.6)</w:t>
            </w:r>
          </w:p>
        </w:tc>
      </w:tr>
    </w:tbl>
    <w:p w14:paraId="62D14F4F" w14:textId="18F9C42F" w:rsidR="004E22C1" w:rsidRPr="001455DC" w:rsidRDefault="004E22C1" w:rsidP="00274F3B">
      <w:pPr>
        <w:pStyle w:val="Tabletitle"/>
        <w:rPr>
          <w:rFonts w:cstheme="minorHAnsi"/>
        </w:rPr>
      </w:pPr>
      <w:bookmarkStart w:id="1688" w:name="_Toc54337628"/>
      <w:r w:rsidRPr="001455DC">
        <w:t xml:space="preserve">Table I.3 — Values of </w:t>
      </w:r>
      <m:oMath>
        <m:sSub>
          <m:sSubPr>
            <m:ctrlPr>
              <w:rPr>
                <w:rFonts w:ascii="Cambria Math" w:hAnsi="Cambria Math"/>
              </w:rPr>
            </m:ctrlPr>
          </m:sSubPr>
          <m:e>
            <m:r>
              <m:rPr>
                <m:sty m:val="bi"/>
              </m:rPr>
              <w:rPr>
                <w:rFonts w:ascii="Cambria Math" w:hAnsi="Cambria Math"/>
              </w:rPr>
              <m:t>k</m:t>
            </m:r>
          </m:e>
          <m:sub>
            <m:r>
              <m:rPr>
                <m:sty m:val="b"/>
              </m:rPr>
              <w:rPr>
                <w:rFonts w:ascii="Cambria Math" w:hAnsi="Cambria Math"/>
              </w:rPr>
              <m:t>n</m:t>
            </m:r>
          </m:sub>
        </m:sSub>
      </m:oMath>
      <w:r w:rsidRPr="001455DC">
        <w:t xml:space="preserve"> for the 5 % characteristic value</w:t>
      </w:r>
      <w:bookmarkEnd w:id="1688"/>
    </w:p>
    <w:tbl>
      <w:tblPr>
        <w:tblStyle w:val="53"/>
        <w:tblW w:w="9752" w:type="dxa"/>
        <w:tblLayout w:type="fixed"/>
        <w:tblLook w:val="0600" w:firstRow="0" w:lastRow="0" w:firstColumn="0" w:lastColumn="0" w:noHBand="1" w:noVBand="1"/>
      </w:tblPr>
      <w:tblGrid>
        <w:gridCol w:w="1233"/>
        <w:gridCol w:w="709"/>
        <w:gridCol w:w="709"/>
        <w:gridCol w:w="710"/>
        <w:gridCol w:w="710"/>
        <w:gridCol w:w="710"/>
        <w:gridCol w:w="710"/>
        <w:gridCol w:w="710"/>
        <w:gridCol w:w="710"/>
        <w:gridCol w:w="710"/>
        <w:gridCol w:w="710"/>
        <w:gridCol w:w="710"/>
        <w:gridCol w:w="711"/>
      </w:tblGrid>
      <w:tr w:rsidR="004E22C1" w:rsidRPr="001455DC" w14:paraId="70957717" w14:textId="77777777" w:rsidTr="009D3012">
        <w:trPr>
          <w:cantSplit/>
        </w:trPr>
        <w:tc>
          <w:tcPr>
            <w:tcW w:w="970" w:type="dxa"/>
            <w:tcBorders>
              <w:top w:val="single" w:sz="12" w:space="0" w:color="000000"/>
              <w:bottom w:val="single" w:sz="6" w:space="0" w:color="000000"/>
              <w:right w:val="single" w:sz="12" w:space="0" w:color="000000"/>
            </w:tcBorders>
            <w:vAlign w:val="center"/>
          </w:tcPr>
          <w:p w14:paraId="12DC8615" w14:textId="77777777" w:rsidR="004E22C1" w:rsidRPr="009D3012" w:rsidRDefault="004E22C1">
            <w:pPr>
              <w:pStyle w:val="Tablebody"/>
              <w:jc w:val="center"/>
              <w:rPr>
                <w:rStyle w:val="CCMCvariableitalic"/>
                <w:rFonts w:eastAsia="MS Mincho"/>
                <w:b/>
                <w:szCs w:val="24"/>
              </w:rPr>
            </w:pPr>
            <w:r w:rsidRPr="001455DC">
              <w:rPr>
                <w:rStyle w:val="CCMCvariableitalic"/>
              </w:rPr>
              <w:t>N</w:t>
            </w:r>
          </w:p>
        </w:tc>
        <w:tc>
          <w:tcPr>
            <w:tcW w:w="558" w:type="dxa"/>
            <w:tcBorders>
              <w:left w:val="single" w:sz="12" w:space="0" w:color="000000"/>
            </w:tcBorders>
            <w:vAlign w:val="center"/>
          </w:tcPr>
          <w:p w14:paraId="31109B30" w14:textId="77777777" w:rsidR="004E22C1" w:rsidRPr="009D3012" w:rsidRDefault="004E22C1" w:rsidP="00274F3B">
            <w:pPr>
              <w:pStyle w:val="Tablebody"/>
              <w:jc w:val="center"/>
              <w:rPr>
                <w:sz w:val="19"/>
                <w:szCs w:val="19"/>
              </w:rPr>
            </w:pPr>
            <w:r w:rsidRPr="009D3012">
              <w:rPr>
                <w:sz w:val="19"/>
                <w:szCs w:val="19"/>
              </w:rPr>
              <w:t>1</w:t>
            </w:r>
          </w:p>
        </w:tc>
        <w:tc>
          <w:tcPr>
            <w:tcW w:w="558" w:type="dxa"/>
            <w:vAlign w:val="center"/>
          </w:tcPr>
          <w:p w14:paraId="651E45D2" w14:textId="77777777" w:rsidR="004E22C1" w:rsidRPr="009D3012" w:rsidRDefault="004E22C1" w:rsidP="00274F3B">
            <w:pPr>
              <w:pStyle w:val="Tablebody"/>
              <w:jc w:val="center"/>
              <w:rPr>
                <w:sz w:val="19"/>
                <w:szCs w:val="19"/>
              </w:rPr>
            </w:pPr>
            <w:r w:rsidRPr="009D3012">
              <w:rPr>
                <w:sz w:val="19"/>
                <w:szCs w:val="19"/>
              </w:rPr>
              <w:t>2</w:t>
            </w:r>
          </w:p>
        </w:tc>
        <w:tc>
          <w:tcPr>
            <w:tcW w:w="558" w:type="dxa"/>
            <w:vAlign w:val="center"/>
          </w:tcPr>
          <w:p w14:paraId="55696AC5" w14:textId="77777777" w:rsidR="004E22C1" w:rsidRPr="009D3012" w:rsidRDefault="004E22C1" w:rsidP="00274F3B">
            <w:pPr>
              <w:pStyle w:val="Tablebody"/>
              <w:jc w:val="center"/>
              <w:rPr>
                <w:sz w:val="19"/>
                <w:szCs w:val="19"/>
              </w:rPr>
            </w:pPr>
            <w:r w:rsidRPr="009D3012">
              <w:rPr>
                <w:sz w:val="19"/>
                <w:szCs w:val="19"/>
              </w:rPr>
              <w:t>3</w:t>
            </w:r>
          </w:p>
        </w:tc>
        <w:tc>
          <w:tcPr>
            <w:tcW w:w="558" w:type="dxa"/>
            <w:vAlign w:val="center"/>
          </w:tcPr>
          <w:p w14:paraId="4831ED78" w14:textId="77777777" w:rsidR="004E22C1" w:rsidRPr="009D3012" w:rsidRDefault="004E22C1" w:rsidP="00274F3B">
            <w:pPr>
              <w:pStyle w:val="Tablebody"/>
              <w:jc w:val="center"/>
              <w:rPr>
                <w:sz w:val="19"/>
                <w:szCs w:val="19"/>
              </w:rPr>
            </w:pPr>
            <w:r w:rsidRPr="009D3012">
              <w:rPr>
                <w:sz w:val="19"/>
                <w:szCs w:val="19"/>
              </w:rPr>
              <w:t>4</w:t>
            </w:r>
          </w:p>
        </w:tc>
        <w:tc>
          <w:tcPr>
            <w:tcW w:w="558" w:type="dxa"/>
            <w:vAlign w:val="center"/>
          </w:tcPr>
          <w:p w14:paraId="3E6FEFA2" w14:textId="77777777" w:rsidR="004E22C1" w:rsidRPr="009D3012" w:rsidRDefault="004E22C1" w:rsidP="00274F3B">
            <w:pPr>
              <w:pStyle w:val="Tablebody"/>
              <w:jc w:val="center"/>
              <w:rPr>
                <w:sz w:val="19"/>
                <w:szCs w:val="19"/>
              </w:rPr>
            </w:pPr>
            <w:r w:rsidRPr="009D3012">
              <w:rPr>
                <w:sz w:val="19"/>
                <w:szCs w:val="19"/>
              </w:rPr>
              <w:t>5</w:t>
            </w:r>
          </w:p>
        </w:tc>
        <w:tc>
          <w:tcPr>
            <w:tcW w:w="558" w:type="dxa"/>
            <w:vAlign w:val="center"/>
          </w:tcPr>
          <w:p w14:paraId="6748E7ED" w14:textId="77777777" w:rsidR="004E22C1" w:rsidRPr="009D3012" w:rsidRDefault="004E22C1" w:rsidP="00274F3B">
            <w:pPr>
              <w:pStyle w:val="Tablebody"/>
              <w:jc w:val="center"/>
              <w:rPr>
                <w:sz w:val="19"/>
                <w:szCs w:val="19"/>
              </w:rPr>
            </w:pPr>
            <w:r w:rsidRPr="009D3012">
              <w:rPr>
                <w:sz w:val="19"/>
                <w:szCs w:val="19"/>
              </w:rPr>
              <w:t>6</w:t>
            </w:r>
          </w:p>
        </w:tc>
        <w:tc>
          <w:tcPr>
            <w:tcW w:w="558" w:type="dxa"/>
            <w:vAlign w:val="center"/>
          </w:tcPr>
          <w:p w14:paraId="72F65346" w14:textId="77777777" w:rsidR="004E22C1" w:rsidRPr="009D3012" w:rsidRDefault="004E22C1" w:rsidP="00274F3B">
            <w:pPr>
              <w:pStyle w:val="Tablebody"/>
              <w:jc w:val="center"/>
              <w:rPr>
                <w:sz w:val="19"/>
                <w:szCs w:val="19"/>
              </w:rPr>
            </w:pPr>
            <w:r w:rsidRPr="009D3012">
              <w:rPr>
                <w:sz w:val="19"/>
                <w:szCs w:val="19"/>
              </w:rPr>
              <w:t>8</w:t>
            </w:r>
          </w:p>
        </w:tc>
        <w:tc>
          <w:tcPr>
            <w:tcW w:w="558" w:type="dxa"/>
            <w:vAlign w:val="center"/>
          </w:tcPr>
          <w:p w14:paraId="6EE59F03" w14:textId="77777777" w:rsidR="004E22C1" w:rsidRPr="009D3012" w:rsidRDefault="004E22C1" w:rsidP="00274F3B">
            <w:pPr>
              <w:pStyle w:val="Tablebody"/>
              <w:jc w:val="center"/>
              <w:rPr>
                <w:sz w:val="19"/>
                <w:szCs w:val="19"/>
              </w:rPr>
            </w:pPr>
            <w:r w:rsidRPr="009D3012">
              <w:rPr>
                <w:sz w:val="19"/>
                <w:szCs w:val="19"/>
              </w:rPr>
              <w:t>10</w:t>
            </w:r>
          </w:p>
        </w:tc>
        <w:tc>
          <w:tcPr>
            <w:tcW w:w="558" w:type="dxa"/>
            <w:vAlign w:val="center"/>
          </w:tcPr>
          <w:p w14:paraId="7A121638" w14:textId="77777777" w:rsidR="004E22C1" w:rsidRPr="009D3012" w:rsidRDefault="004E22C1" w:rsidP="00274F3B">
            <w:pPr>
              <w:pStyle w:val="Tablebody"/>
              <w:jc w:val="center"/>
              <w:rPr>
                <w:sz w:val="19"/>
                <w:szCs w:val="19"/>
              </w:rPr>
            </w:pPr>
            <w:r w:rsidRPr="009D3012">
              <w:rPr>
                <w:sz w:val="19"/>
                <w:szCs w:val="19"/>
              </w:rPr>
              <w:t>15</w:t>
            </w:r>
          </w:p>
        </w:tc>
        <w:tc>
          <w:tcPr>
            <w:tcW w:w="558" w:type="dxa"/>
            <w:vAlign w:val="center"/>
          </w:tcPr>
          <w:p w14:paraId="22EB6459" w14:textId="77777777" w:rsidR="004E22C1" w:rsidRPr="009D3012" w:rsidRDefault="004E22C1" w:rsidP="00274F3B">
            <w:pPr>
              <w:pStyle w:val="Tablebody"/>
              <w:jc w:val="center"/>
              <w:rPr>
                <w:sz w:val="19"/>
                <w:szCs w:val="19"/>
              </w:rPr>
            </w:pPr>
            <w:r w:rsidRPr="009D3012">
              <w:rPr>
                <w:sz w:val="19"/>
                <w:szCs w:val="19"/>
              </w:rPr>
              <w:t>20</w:t>
            </w:r>
          </w:p>
        </w:tc>
        <w:tc>
          <w:tcPr>
            <w:tcW w:w="558" w:type="dxa"/>
            <w:vAlign w:val="center"/>
          </w:tcPr>
          <w:p w14:paraId="3B756381" w14:textId="77777777" w:rsidR="004E22C1" w:rsidRPr="009D3012" w:rsidRDefault="004E22C1" w:rsidP="00274F3B">
            <w:pPr>
              <w:pStyle w:val="Tablebody"/>
              <w:jc w:val="center"/>
              <w:rPr>
                <w:sz w:val="19"/>
                <w:szCs w:val="19"/>
              </w:rPr>
            </w:pPr>
            <w:r w:rsidRPr="009D3012">
              <w:rPr>
                <w:sz w:val="19"/>
                <w:szCs w:val="19"/>
              </w:rPr>
              <w:t>30</w:t>
            </w:r>
          </w:p>
        </w:tc>
        <w:tc>
          <w:tcPr>
            <w:tcW w:w="559" w:type="dxa"/>
            <w:vAlign w:val="center"/>
          </w:tcPr>
          <w:p w14:paraId="2177160B" w14:textId="77777777" w:rsidR="004E22C1" w:rsidRPr="009D3012" w:rsidRDefault="004E22C1" w:rsidP="00274F3B">
            <w:pPr>
              <w:pStyle w:val="Tablebody"/>
              <w:jc w:val="center"/>
              <w:rPr>
                <w:szCs w:val="22"/>
              </w:rPr>
            </w:pPr>
            <w:r w:rsidRPr="001455DC">
              <w:rPr>
                <w:rFonts w:ascii="Cambria Math" w:hAnsi="Cambria Math" w:cs="Cambria Math"/>
                <w:szCs w:val="22"/>
              </w:rPr>
              <w:t>∞</w:t>
            </w:r>
          </w:p>
        </w:tc>
      </w:tr>
      <w:tr w:rsidR="004E22C1" w:rsidRPr="001455DC" w14:paraId="5D994752" w14:textId="77777777" w:rsidTr="009D3012">
        <w:trPr>
          <w:cantSplit/>
        </w:trPr>
        <w:tc>
          <w:tcPr>
            <w:tcW w:w="970" w:type="dxa"/>
            <w:tcBorders>
              <w:top w:val="single" w:sz="6" w:space="0" w:color="000000"/>
              <w:bottom w:val="single" w:sz="6" w:space="0" w:color="000000"/>
              <w:right w:val="single" w:sz="12" w:space="0" w:color="000000"/>
            </w:tcBorders>
            <w:vAlign w:val="center"/>
          </w:tcPr>
          <w:p w14:paraId="3106980E" w14:textId="0BC04502" w:rsidR="004E22C1" w:rsidRPr="001455DC" w:rsidRDefault="00231E33" w:rsidP="009D3012">
            <w:pPr>
              <w:pStyle w:val="Tablebody"/>
              <w:jc w:val="center"/>
            </w:pPr>
            <m:oMathPara>
              <m:oMathParaPr>
                <m:jc m:val="center"/>
              </m:oMathParaPr>
              <m:oMath>
                <m:sSub>
                  <m:sSubPr>
                    <m:ctrlPr>
                      <w:rPr>
                        <w:rFonts w:ascii="Cambria Math" w:hAnsi="Cambria Math"/>
                      </w:rPr>
                    </m:ctrlPr>
                  </m:sSubPr>
                  <m:e>
                    <m:r>
                      <w:rPr>
                        <w:rFonts w:ascii="Cambria Math" w:hAnsi="Cambria Math"/>
                      </w:rPr>
                      <m:t>V</m:t>
                    </m:r>
                  </m:e>
                  <m:sub>
                    <m:r>
                      <m:rPr>
                        <m:sty m:val="p"/>
                      </m:rPr>
                      <w:rPr>
                        <w:rFonts w:ascii="Cambria Math" w:hAnsi="Cambria Math"/>
                      </w:rPr>
                      <m:t>X</m:t>
                    </m:r>
                  </m:sub>
                </m:sSub>
              </m:oMath>
            </m:oMathPara>
          </w:p>
          <w:p w14:paraId="65041DBC" w14:textId="77777777" w:rsidR="004E22C1" w:rsidRPr="009D3012" w:rsidRDefault="004E22C1">
            <w:pPr>
              <w:pStyle w:val="Tablebody"/>
              <w:jc w:val="center"/>
              <w:rPr>
                <w:sz w:val="19"/>
                <w:szCs w:val="19"/>
              </w:rPr>
            </w:pPr>
            <w:r w:rsidRPr="009D3012">
              <w:rPr>
                <w:sz w:val="19"/>
                <w:szCs w:val="19"/>
              </w:rPr>
              <w:t>Known</w:t>
            </w:r>
          </w:p>
        </w:tc>
        <w:tc>
          <w:tcPr>
            <w:tcW w:w="558" w:type="dxa"/>
            <w:tcBorders>
              <w:left w:val="single" w:sz="12" w:space="0" w:color="000000"/>
            </w:tcBorders>
            <w:vAlign w:val="center"/>
          </w:tcPr>
          <w:p w14:paraId="69F5AE87" w14:textId="77777777" w:rsidR="004E22C1" w:rsidRPr="009D3012" w:rsidRDefault="004E22C1" w:rsidP="00274F3B">
            <w:pPr>
              <w:pStyle w:val="Tablebody"/>
              <w:jc w:val="center"/>
              <w:rPr>
                <w:sz w:val="19"/>
                <w:szCs w:val="19"/>
              </w:rPr>
            </w:pPr>
            <w:r w:rsidRPr="009D3012">
              <w:rPr>
                <w:sz w:val="19"/>
                <w:szCs w:val="19"/>
              </w:rPr>
              <w:t>2,31</w:t>
            </w:r>
          </w:p>
        </w:tc>
        <w:tc>
          <w:tcPr>
            <w:tcW w:w="558" w:type="dxa"/>
            <w:vAlign w:val="center"/>
          </w:tcPr>
          <w:p w14:paraId="11356D34" w14:textId="77777777" w:rsidR="004E22C1" w:rsidRPr="009D3012" w:rsidRDefault="004E22C1" w:rsidP="00274F3B">
            <w:pPr>
              <w:pStyle w:val="Tablebody"/>
              <w:jc w:val="center"/>
              <w:rPr>
                <w:sz w:val="19"/>
                <w:szCs w:val="19"/>
              </w:rPr>
            </w:pPr>
            <w:r w:rsidRPr="009D3012">
              <w:rPr>
                <w:sz w:val="19"/>
                <w:szCs w:val="19"/>
              </w:rPr>
              <w:t>2,01</w:t>
            </w:r>
          </w:p>
        </w:tc>
        <w:tc>
          <w:tcPr>
            <w:tcW w:w="558" w:type="dxa"/>
            <w:vAlign w:val="center"/>
          </w:tcPr>
          <w:p w14:paraId="49AB168B" w14:textId="77777777" w:rsidR="004E22C1" w:rsidRPr="009D3012" w:rsidRDefault="004E22C1" w:rsidP="00274F3B">
            <w:pPr>
              <w:pStyle w:val="Tablebody"/>
              <w:jc w:val="center"/>
              <w:rPr>
                <w:sz w:val="19"/>
                <w:szCs w:val="19"/>
              </w:rPr>
            </w:pPr>
            <w:r w:rsidRPr="009D3012">
              <w:rPr>
                <w:sz w:val="19"/>
                <w:szCs w:val="19"/>
              </w:rPr>
              <w:t>1,89</w:t>
            </w:r>
          </w:p>
        </w:tc>
        <w:tc>
          <w:tcPr>
            <w:tcW w:w="558" w:type="dxa"/>
            <w:vAlign w:val="center"/>
          </w:tcPr>
          <w:p w14:paraId="438CA43E" w14:textId="77777777" w:rsidR="004E22C1" w:rsidRPr="009D3012" w:rsidRDefault="004E22C1" w:rsidP="00274F3B">
            <w:pPr>
              <w:pStyle w:val="Tablebody"/>
              <w:jc w:val="center"/>
              <w:rPr>
                <w:sz w:val="19"/>
                <w:szCs w:val="19"/>
              </w:rPr>
            </w:pPr>
            <w:r w:rsidRPr="009D3012">
              <w:rPr>
                <w:sz w:val="19"/>
                <w:szCs w:val="19"/>
              </w:rPr>
              <w:t>1,83</w:t>
            </w:r>
          </w:p>
        </w:tc>
        <w:tc>
          <w:tcPr>
            <w:tcW w:w="558" w:type="dxa"/>
            <w:vAlign w:val="center"/>
          </w:tcPr>
          <w:p w14:paraId="0585BEE3" w14:textId="77777777" w:rsidR="004E22C1" w:rsidRPr="009D3012" w:rsidRDefault="004E22C1" w:rsidP="00274F3B">
            <w:pPr>
              <w:pStyle w:val="Tablebody"/>
              <w:jc w:val="center"/>
              <w:rPr>
                <w:sz w:val="19"/>
                <w:szCs w:val="19"/>
              </w:rPr>
            </w:pPr>
            <w:r w:rsidRPr="009D3012">
              <w:rPr>
                <w:sz w:val="19"/>
                <w:szCs w:val="19"/>
              </w:rPr>
              <w:t>1,80</w:t>
            </w:r>
          </w:p>
        </w:tc>
        <w:tc>
          <w:tcPr>
            <w:tcW w:w="558" w:type="dxa"/>
            <w:vAlign w:val="center"/>
          </w:tcPr>
          <w:p w14:paraId="76F8AE34" w14:textId="77777777" w:rsidR="004E22C1" w:rsidRPr="009D3012" w:rsidRDefault="004E22C1" w:rsidP="00274F3B">
            <w:pPr>
              <w:pStyle w:val="Tablebody"/>
              <w:jc w:val="center"/>
              <w:rPr>
                <w:sz w:val="19"/>
                <w:szCs w:val="19"/>
              </w:rPr>
            </w:pPr>
            <w:r w:rsidRPr="009D3012">
              <w:rPr>
                <w:sz w:val="19"/>
                <w:szCs w:val="19"/>
              </w:rPr>
              <w:t>1,77</w:t>
            </w:r>
          </w:p>
        </w:tc>
        <w:tc>
          <w:tcPr>
            <w:tcW w:w="558" w:type="dxa"/>
            <w:vAlign w:val="center"/>
          </w:tcPr>
          <w:p w14:paraId="3D3FF362" w14:textId="77777777" w:rsidR="004E22C1" w:rsidRPr="009D3012" w:rsidRDefault="004E22C1" w:rsidP="00274F3B">
            <w:pPr>
              <w:pStyle w:val="Tablebody"/>
              <w:jc w:val="center"/>
              <w:rPr>
                <w:sz w:val="19"/>
                <w:szCs w:val="19"/>
              </w:rPr>
            </w:pPr>
            <w:r w:rsidRPr="009D3012">
              <w:rPr>
                <w:sz w:val="19"/>
                <w:szCs w:val="19"/>
              </w:rPr>
              <w:t>1,74</w:t>
            </w:r>
          </w:p>
        </w:tc>
        <w:tc>
          <w:tcPr>
            <w:tcW w:w="558" w:type="dxa"/>
            <w:vAlign w:val="center"/>
          </w:tcPr>
          <w:p w14:paraId="5968BF0E" w14:textId="77777777" w:rsidR="004E22C1" w:rsidRPr="009D3012" w:rsidRDefault="004E22C1" w:rsidP="00274F3B">
            <w:pPr>
              <w:pStyle w:val="Tablebody"/>
              <w:jc w:val="center"/>
              <w:rPr>
                <w:sz w:val="19"/>
                <w:szCs w:val="19"/>
              </w:rPr>
            </w:pPr>
            <w:r w:rsidRPr="009D3012">
              <w:rPr>
                <w:sz w:val="19"/>
                <w:szCs w:val="19"/>
              </w:rPr>
              <w:t>1,72</w:t>
            </w:r>
          </w:p>
        </w:tc>
        <w:tc>
          <w:tcPr>
            <w:tcW w:w="558" w:type="dxa"/>
            <w:vAlign w:val="center"/>
          </w:tcPr>
          <w:p w14:paraId="22766EBA" w14:textId="77777777" w:rsidR="004E22C1" w:rsidRPr="009D3012" w:rsidRDefault="004E22C1" w:rsidP="00274F3B">
            <w:pPr>
              <w:pStyle w:val="Tablebody"/>
              <w:jc w:val="center"/>
              <w:rPr>
                <w:sz w:val="19"/>
                <w:szCs w:val="19"/>
              </w:rPr>
            </w:pPr>
            <w:r w:rsidRPr="009D3012">
              <w:rPr>
                <w:sz w:val="19"/>
                <w:szCs w:val="19"/>
              </w:rPr>
              <w:t>1,70</w:t>
            </w:r>
          </w:p>
        </w:tc>
        <w:tc>
          <w:tcPr>
            <w:tcW w:w="558" w:type="dxa"/>
            <w:vAlign w:val="center"/>
          </w:tcPr>
          <w:p w14:paraId="3482ABF7" w14:textId="77777777" w:rsidR="004E22C1" w:rsidRPr="009D3012" w:rsidRDefault="004E22C1" w:rsidP="00274F3B">
            <w:pPr>
              <w:pStyle w:val="Tablebody"/>
              <w:jc w:val="center"/>
              <w:rPr>
                <w:sz w:val="19"/>
                <w:szCs w:val="19"/>
              </w:rPr>
            </w:pPr>
            <w:r w:rsidRPr="009D3012">
              <w:rPr>
                <w:sz w:val="19"/>
                <w:szCs w:val="19"/>
              </w:rPr>
              <w:t>1,68</w:t>
            </w:r>
          </w:p>
        </w:tc>
        <w:tc>
          <w:tcPr>
            <w:tcW w:w="558" w:type="dxa"/>
            <w:vAlign w:val="center"/>
          </w:tcPr>
          <w:p w14:paraId="140BE6C5" w14:textId="77777777" w:rsidR="004E22C1" w:rsidRPr="009D3012" w:rsidRDefault="004E22C1" w:rsidP="00274F3B">
            <w:pPr>
              <w:pStyle w:val="Tablebody"/>
              <w:jc w:val="center"/>
              <w:rPr>
                <w:sz w:val="19"/>
                <w:szCs w:val="19"/>
              </w:rPr>
            </w:pPr>
            <w:r w:rsidRPr="009D3012">
              <w:rPr>
                <w:sz w:val="19"/>
                <w:szCs w:val="19"/>
              </w:rPr>
              <w:t>1,67</w:t>
            </w:r>
          </w:p>
        </w:tc>
        <w:tc>
          <w:tcPr>
            <w:tcW w:w="559" w:type="dxa"/>
            <w:vAlign w:val="center"/>
          </w:tcPr>
          <w:p w14:paraId="27A0C459" w14:textId="77777777" w:rsidR="004E22C1" w:rsidRPr="009D3012" w:rsidRDefault="004E22C1" w:rsidP="00274F3B">
            <w:pPr>
              <w:pStyle w:val="Tablebody"/>
              <w:jc w:val="center"/>
              <w:rPr>
                <w:sz w:val="19"/>
                <w:szCs w:val="19"/>
              </w:rPr>
            </w:pPr>
            <w:r w:rsidRPr="009D3012">
              <w:rPr>
                <w:sz w:val="19"/>
                <w:szCs w:val="19"/>
              </w:rPr>
              <w:t>1,64</w:t>
            </w:r>
          </w:p>
        </w:tc>
      </w:tr>
      <w:tr w:rsidR="004E22C1" w:rsidRPr="001455DC" w14:paraId="430708CE" w14:textId="77777777" w:rsidTr="009D3012">
        <w:trPr>
          <w:cantSplit/>
        </w:trPr>
        <w:tc>
          <w:tcPr>
            <w:tcW w:w="970" w:type="dxa"/>
            <w:tcBorders>
              <w:top w:val="single" w:sz="6" w:space="0" w:color="000000"/>
              <w:bottom w:val="single" w:sz="12" w:space="0" w:color="000000"/>
              <w:right w:val="single" w:sz="12" w:space="0" w:color="000000"/>
            </w:tcBorders>
            <w:vAlign w:val="center"/>
          </w:tcPr>
          <w:p w14:paraId="53276F84" w14:textId="5BF901B3" w:rsidR="004E22C1" w:rsidRPr="009D3012" w:rsidRDefault="00231E33">
            <w:pPr>
              <w:pStyle w:val="Tablebody"/>
              <w:jc w:val="center"/>
              <w:rPr>
                <w:sz w:val="19"/>
                <w:szCs w:val="19"/>
              </w:rPr>
            </w:pPr>
            <m:oMath>
              <m:sSub>
                <m:sSubPr>
                  <m:ctrlPr>
                    <w:rPr>
                      <w:rFonts w:ascii="Cambria Math" w:hAnsi="Cambria Math"/>
                    </w:rPr>
                  </m:ctrlPr>
                </m:sSubPr>
                <m:e>
                  <m:r>
                    <w:rPr>
                      <w:rFonts w:ascii="Cambria Math" w:hAnsi="Cambria Math"/>
                    </w:rPr>
                    <m:t>V</m:t>
                  </m:r>
                </m:e>
                <m:sub>
                  <m:r>
                    <m:rPr>
                      <m:sty m:val="p"/>
                    </m:rPr>
                    <w:rPr>
                      <w:rFonts w:ascii="Cambria Math" w:hAnsi="Cambria Math"/>
                    </w:rPr>
                    <m:t>X</m:t>
                  </m:r>
                </m:sub>
              </m:sSub>
            </m:oMath>
            <w:r w:rsidR="004E22C1" w:rsidRPr="009D3012">
              <w:rPr>
                <w:sz w:val="19"/>
                <w:szCs w:val="19"/>
              </w:rPr>
              <w:t>unknown</w:t>
            </w:r>
          </w:p>
        </w:tc>
        <w:tc>
          <w:tcPr>
            <w:tcW w:w="558" w:type="dxa"/>
            <w:tcBorders>
              <w:left w:val="single" w:sz="12" w:space="0" w:color="000000"/>
            </w:tcBorders>
            <w:vAlign w:val="center"/>
          </w:tcPr>
          <w:p w14:paraId="2AEDF265" w14:textId="77777777" w:rsidR="004E22C1" w:rsidRPr="009D3012" w:rsidRDefault="004E22C1" w:rsidP="00274F3B">
            <w:pPr>
              <w:pStyle w:val="Tablebody"/>
              <w:jc w:val="center"/>
              <w:rPr>
                <w:sz w:val="19"/>
                <w:szCs w:val="19"/>
              </w:rPr>
            </w:pPr>
            <w:r w:rsidRPr="009D3012">
              <w:rPr>
                <w:sz w:val="19"/>
                <w:szCs w:val="19"/>
              </w:rPr>
              <w:t>–</w:t>
            </w:r>
          </w:p>
        </w:tc>
        <w:tc>
          <w:tcPr>
            <w:tcW w:w="558" w:type="dxa"/>
            <w:vAlign w:val="center"/>
          </w:tcPr>
          <w:p w14:paraId="0578E58F" w14:textId="77777777" w:rsidR="004E22C1" w:rsidRPr="009D3012" w:rsidRDefault="004E22C1" w:rsidP="00274F3B">
            <w:pPr>
              <w:pStyle w:val="Tablebody"/>
              <w:jc w:val="center"/>
              <w:rPr>
                <w:sz w:val="19"/>
                <w:szCs w:val="19"/>
              </w:rPr>
            </w:pPr>
            <w:r w:rsidRPr="009D3012">
              <w:rPr>
                <w:sz w:val="19"/>
                <w:szCs w:val="19"/>
              </w:rPr>
              <w:t>–</w:t>
            </w:r>
          </w:p>
        </w:tc>
        <w:tc>
          <w:tcPr>
            <w:tcW w:w="558" w:type="dxa"/>
            <w:vAlign w:val="center"/>
          </w:tcPr>
          <w:p w14:paraId="0A0B62C3" w14:textId="77777777" w:rsidR="004E22C1" w:rsidRPr="009D3012" w:rsidRDefault="004E22C1" w:rsidP="00274F3B">
            <w:pPr>
              <w:pStyle w:val="Tablebody"/>
              <w:jc w:val="center"/>
              <w:rPr>
                <w:sz w:val="19"/>
                <w:szCs w:val="19"/>
              </w:rPr>
            </w:pPr>
            <w:r w:rsidRPr="009D3012">
              <w:rPr>
                <w:sz w:val="19"/>
                <w:szCs w:val="19"/>
              </w:rPr>
              <w:t>3,37</w:t>
            </w:r>
          </w:p>
        </w:tc>
        <w:tc>
          <w:tcPr>
            <w:tcW w:w="558" w:type="dxa"/>
            <w:vAlign w:val="center"/>
          </w:tcPr>
          <w:p w14:paraId="71D89513" w14:textId="77777777" w:rsidR="004E22C1" w:rsidRPr="009D3012" w:rsidRDefault="004E22C1" w:rsidP="00274F3B">
            <w:pPr>
              <w:pStyle w:val="Tablebody"/>
              <w:jc w:val="center"/>
              <w:rPr>
                <w:sz w:val="19"/>
                <w:szCs w:val="19"/>
              </w:rPr>
            </w:pPr>
            <w:r w:rsidRPr="009D3012">
              <w:rPr>
                <w:sz w:val="19"/>
                <w:szCs w:val="19"/>
              </w:rPr>
              <w:t>2,63</w:t>
            </w:r>
          </w:p>
        </w:tc>
        <w:tc>
          <w:tcPr>
            <w:tcW w:w="558" w:type="dxa"/>
            <w:vAlign w:val="center"/>
          </w:tcPr>
          <w:p w14:paraId="1CDBE99F" w14:textId="77777777" w:rsidR="004E22C1" w:rsidRPr="009D3012" w:rsidRDefault="004E22C1" w:rsidP="00274F3B">
            <w:pPr>
              <w:pStyle w:val="Tablebody"/>
              <w:jc w:val="center"/>
              <w:rPr>
                <w:sz w:val="19"/>
                <w:szCs w:val="19"/>
              </w:rPr>
            </w:pPr>
            <w:r w:rsidRPr="009D3012">
              <w:rPr>
                <w:sz w:val="19"/>
                <w:szCs w:val="19"/>
              </w:rPr>
              <w:t>2,33</w:t>
            </w:r>
          </w:p>
        </w:tc>
        <w:tc>
          <w:tcPr>
            <w:tcW w:w="558" w:type="dxa"/>
            <w:vAlign w:val="center"/>
          </w:tcPr>
          <w:p w14:paraId="3B9E4C02" w14:textId="77777777" w:rsidR="004E22C1" w:rsidRPr="009D3012" w:rsidRDefault="004E22C1" w:rsidP="00274F3B">
            <w:pPr>
              <w:pStyle w:val="Tablebody"/>
              <w:jc w:val="center"/>
              <w:rPr>
                <w:sz w:val="19"/>
                <w:szCs w:val="19"/>
              </w:rPr>
            </w:pPr>
            <w:r w:rsidRPr="009D3012">
              <w:rPr>
                <w:sz w:val="19"/>
                <w:szCs w:val="19"/>
              </w:rPr>
              <w:t>2,18</w:t>
            </w:r>
          </w:p>
        </w:tc>
        <w:tc>
          <w:tcPr>
            <w:tcW w:w="558" w:type="dxa"/>
            <w:vAlign w:val="center"/>
          </w:tcPr>
          <w:p w14:paraId="42D6BAFF" w14:textId="77777777" w:rsidR="004E22C1" w:rsidRPr="009D3012" w:rsidRDefault="004E22C1" w:rsidP="00274F3B">
            <w:pPr>
              <w:pStyle w:val="Tablebody"/>
              <w:jc w:val="center"/>
              <w:rPr>
                <w:sz w:val="19"/>
                <w:szCs w:val="19"/>
              </w:rPr>
            </w:pPr>
            <w:r w:rsidRPr="009D3012">
              <w:rPr>
                <w:sz w:val="19"/>
                <w:szCs w:val="19"/>
              </w:rPr>
              <w:t>2,00</w:t>
            </w:r>
          </w:p>
        </w:tc>
        <w:tc>
          <w:tcPr>
            <w:tcW w:w="558" w:type="dxa"/>
            <w:vAlign w:val="center"/>
          </w:tcPr>
          <w:p w14:paraId="42D0B369" w14:textId="77777777" w:rsidR="004E22C1" w:rsidRPr="009D3012" w:rsidRDefault="004E22C1" w:rsidP="00274F3B">
            <w:pPr>
              <w:pStyle w:val="Tablebody"/>
              <w:jc w:val="center"/>
              <w:rPr>
                <w:sz w:val="19"/>
                <w:szCs w:val="19"/>
              </w:rPr>
            </w:pPr>
            <w:r w:rsidRPr="009D3012">
              <w:rPr>
                <w:sz w:val="19"/>
                <w:szCs w:val="19"/>
              </w:rPr>
              <w:t>1,92</w:t>
            </w:r>
          </w:p>
        </w:tc>
        <w:tc>
          <w:tcPr>
            <w:tcW w:w="558" w:type="dxa"/>
            <w:vAlign w:val="center"/>
          </w:tcPr>
          <w:p w14:paraId="5B7F96C3" w14:textId="77777777" w:rsidR="004E22C1" w:rsidRPr="009D3012" w:rsidRDefault="004E22C1" w:rsidP="00274F3B">
            <w:pPr>
              <w:pStyle w:val="Tablebody"/>
              <w:jc w:val="center"/>
              <w:rPr>
                <w:sz w:val="19"/>
                <w:szCs w:val="19"/>
              </w:rPr>
            </w:pPr>
            <w:r w:rsidRPr="009D3012">
              <w:rPr>
                <w:sz w:val="19"/>
                <w:szCs w:val="19"/>
              </w:rPr>
              <w:t>1,82</w:t>
            </w:r>
          </w:p>
        </w:tc>
        <w:tc>
          <w:tcPr>
            <w:tcW w:w="558" w:type="dxa"/>
            <w:vAlign w:val="center"/>
          </w:tcPr>
          <w:p w14:paraId="48C7ABF4" w14:textId="77777777" w:rsidR="004E22C1" w:rsidRPr="009D3012" w:rsidRDefault="004E22C1" w:rsidP="00274F3B">
            <w:pPr>
              <w:pStyle w:val="Tablebody"/>
              <w:jc w:val="center"/>
              <w:rPr>
                <w:sz w:val="19"/>
                <w:szCs w:val="19"/>
              </w:rPr>
            </w:pPr>
            <w:r w:rsidRPr="009D3012">
              <w:rPr>
                <w:sz w:val="19"/>
                <w:szCs w:val="19"/>
              </w:rPr>
              <w:t>1,76</w:t>
            </w:r>
          </w:p>
        </w:tc>
        <w:tc>
          <w:tcPr>
            <w:tcW w:w="558" w:type="dxa"/>
            <w:vAlign w:val="center"/>
          </w:tcPr>
          <w:p w14:paraId="2F1C85CF" w14:textId="77777777" w:rsidR="004E22C1" w:rsidRPr="009D3012" w:rsidRDefault="004E22C1" w:rsidP="00274F3B">
            <w:pPr>
              <w:pStyle w:val="Tablebody"/>
              <w:jc w:val="center"/>
              <w:rPr>
                <w:sz w:val="19"/>
                <w:szCs w:val="19"/>
              </w:rPr>
            </w:pPr>
            <w:r w:rsidRPr="009D3012">
              <w:rPr>
                <w:sz w:val="19"/>
                <w:szCs w:val="19"/>
              </w:rPr>
              <w:t>1,73</w:t>
            </w:r>
          </w:p>
        </w:tc>
        <w:tc>
          <w:tcPr>
            <w:tcW w:w="559" w:type="dxa"/>
            <w:vAlign w:val="center"/>
          </w:tcPr>
          <w:p w14:paraId="74462BB1" w14:textId="77777777" w:rsidR="004E22C1" w:rsidRPr="009D3012" w:rsidRDefault="004E22C1" w:rsidP="00274F3B">
            <w:pPr>
              <w:pStyle w:val="Tablebody"/>
              <w:jc w:val="center"/>
              <w:rPr>
                <w:sz w:val="19"/>
                <w:szCs w:val="19"/>
              </w:rPr>
            </w:pPr>
            <w:r w:rsidRPr="009D3012">
              <w:rPr>
                <w:sz w:val="19"/>
                <w:szCs w:val="19"/>
              </w:rPr>
              <w:t>1,64</w:t>
            </w:r>
          </w:p>
        </w:tc>
      </w:tr>
    </w:tbl>
    <w:p w14:paraId="78EBEF61" w14:textId="77777777" w:rsidR="00274F3B" w:rsidRPr="001455DC" w:rsidRDefault="00274F3B" w:rsidP="00274F3B">
      <w:pPr>
        <w:pStyle w:val="a7"/>
      </w:pPr>
    </w:p>
    <w:p w14:paraId="7FE9A910" w14:textId="09E8C547" w:rsidR="004E22C1" w:rsidRPr="001455DC" w:rsidRDefault="004E22C1" w:rsidP="00274F3B">
      <w:pPr>
        <w:pStyle w:val="Tabletitle"/>
        <w:rPr>
          <w:rFonts w:cstheme="minorHAnsi"/>
        </w:rPr>
      </w:pPr>
      <w:bookmarkStart w:id="1689" w:name="_Toc54337629"/>
      <w:r w:rsidRPr="001455DC">
        <w:t xml:space="preserve">Table I.4 — Values of </w:t>
      </w:r>
      <m:oMath>
        <m:sSub>
          <m:sSubPr>
            <m:ctrlPr>
              <w:rPr>
                <w:rFonts w:ascii="Cambria Math" w:hAnsi="Cambria Math"/>
              </w:rPr>
            </m:ctrlPr>
          </m:sSubPr>
          <m:e>
            <m:r>
              <m:rPr>
                <m:sty m:val="bi"/>
              </m:rPr>
              <w:rPr>
                <w:rFonts w:ascii="Cambria Math" w:hAnsi="Cambria Math"/>
              </w:rPr>
              <m:t>k</m:t>
            </m:r>
          </m:e>
          <m:sub>
            <m:r>
              <m:rPr>
                <m:sty m:val="b"/>
              </m:rPr>
              <w:rPr>
                <w:rFonts w:ascii="Cambria Math" w:hAnsi="Cambria Math"/>
              </w:rPr>
              <m:t>n</m:t>
            </m:r>
          </m:sub>
        </m:sSub>
      </m:oMath>
      <w:r w:rsidRPr="001455DC">
        <w:t xml:space="preserve"> for the 10 % characteristic value</w:t>
      </w:r>
      <w:bookmarkEnd w:id="1689"/>
    </w:p>
    <w:tbl>
      <w:tblPr>
        <w:tblStyle w:val="53"/>
        <w:tblW w:w="9752" w:type="dxa"/>
        <w:tblLayout w:type="fixed"/>
        <w:tblLook w:val="0600" w:firstRow="0" w:lastRow="0" w:firstColumn="0" w:lastColumn="0" w:noHBand="1" w:noVBand="1"/>
      </w:tblPr>
      <w:tblGrid>
        <w:gridCol w:w="1233"/>
        <w:gridCol w:w="709"/>
        <w:gridCol w:w="709"/>
        <w:gridCol w:w="710"/>
        <w:gridCol w:w="710"/>
        <w:gridCol w:w="710"/>
        <w:gridCol w:w="710"/>
        <w:gridCol w:w="710"/>
        <w:gridCol w:w="710"/>
        <w:gridCol w:w="710"/>
        <w:gridCol w:w="710"/>
        <w:gridCol w:w="710"/>
        <w:gridCol w:w="711"/>
      </w:tblGrid>
      <w:tr w:rsidR="004E22C1" w:rsidRPr="001455DC" w14:paraId="7964AE47" w14:textId="77777777" w:rsidTr="00F77658">
        <w:trPr>
          <w:cantSplit/>
        </w:trPr>
        <w:tc>
          <w:tcPr>
            <w:tcW w:w="970" w:type="dxa"/>
            <w:tcBorders>
              <w:top w:val="single" w:sz="12" w:space="0" w:color="000000"/>
              <w:bottom w:val="single" w:sz="6" w:space="0" w:color="000000"/>
              <w:right w:val="single" w:sz="12" w:space="0" w:color="000000"/>
            </w:tcBorders>
            <w:vAlign w:val="center"/>
          </w:tcPr>
          <w:p w14:paraId="4207D009" w14:textId="77777777" w:rsidR="004E22C1" w:rsidRPr="009D3012" w:rsidRDefault="004E22C1" w:rsidP="00274F3B">
            <w:pPr>
              <w:pStyle w:val="Tablebody"/>
              <w:jc w:val="center"/>
              <w:rPr>
                <w:rStyle w:val="CCMCvariableitalic"/>
              </w:rPr>
            </w:pPr>
            <w:r w:rsidRPr="001455DC">
              <w:rPr>
                <w:rStyle w:val="CCMCvariableitalic"/>
              </w:rPr>
              <w:t>n</w:t>
            </w:r>
          </w:p>
        </w:tc>
        <w:tc>
          <w:tcPr>
            <w:tcW w:w="558" w:type="dxa"/>
            <w:tcBorders>
              <w:left w:val="single" w:sz="12" w:space="0" w:color="000000"/>
            </w:tcBorders>
            <w:vAlign w:val="center"/>
          </w:tcPr>
          <w:p w14:paraId="40C4C19C" w14:textId="77777777" w:rsidR="004E22C1" w:rsidRPr="009D3012" w:rsidRDefault="004E22C1" w:rsidP="00274F3B">
            <w:pPr>
              <w:pStyle w:val="Tablebody"/>
              <w:jc w:val="center"/>
              <w:rPr>
                <w:sz w:val="19"/>
                <w:szCs w:val="19"/>
              </w:rPr>
            </w:pPr>
            <w:r w:rsidRPr="009D3012">
              <w:rPr>
                <w:sz w:val="19"/>
                <w:szCs w:val="19"/>
              </w:rPr>
              <w:t>1</w:t>
            </w:r>
          </w:p>
        </w:tc>
        <w:tc>
          <w:tcPr>
            <w:tcW w:w="558" w:type="dxa"/>
            <w:vAlign w:val="center"/>
          </w:tcPr>
          <w:p w14:paraId="57445D6E" w14:textId="77777777" w:rsidR="004E22C1" w:rsidRPr="009D3012" w:rsidRDefault="004E22C1" w:rsidP="00274F3B">
            <w:pPr>
              <w:pStyle w:val="Tablebody"/>
              <w:jc w:val="center"/>
              <w:rPr>
                <w:sz w:val="19"/>
                <w:szCs w:val="19"/>
              </w:rPr>
            </w:pPr>
            <w:r w:rsidRPr="009D3012">
              <w:rPr>
                <w:sz w:val="19"/>
                <w:szCs w:val="19"/>
              </w:rPr>
              <w:t>2</w:t>
            </w:r>
          </w:p>
        </w:tc>
        <w:tc>
          <w:tcPr>
            <w:tcW w:w="558" w:type="dxa"/>
            <w:vAlign w:val="center"/>
          </w:tcPr>
          <w:p w14:paraId="74C1240B" w14:textId="77777777" w:rsidR="004E22C1" w:rsidRPr="009D3012" w:rsidRDefault="004E22C1" w:rsidP="00274F3B">
            <w:pPr>
              <w:pStyle w:val="Tablebody"/>
              <w:jc w:val="center"/>
              <w:rPr>
                <w:sz w:val="19"/>
                <w:szCs w:val="19"/>
              </w:rPr>
            </w:pPr>
            <w:r w:rsidRPr="009D3012">
              <w:rPr>
                <w:sz w:val="19"/>
                <w:szCs w:val="19"/>
              </w:rPr>
              <w:t>3</w:t>
            </w:r>
          </w:p>
        </w:tc>
        <w:tc>
          <w:tcPr>
            <w:tcW w:w="558" w:type="dxa"/>
            <w:vAlign w:val="center"/>
          </w:tcPr>
          <w:p w14:paraId="3090A718" w14:textId="77777777" w:rsidR="004E22C1" w:rsidRPr="009D3012" w:rsidRDefault="004E22C1" w:rsidP="00274F3B">
            <w:pPr>
              <w:pStyle w:val="Tablebody"/>
              <w:jc w:val="center"/>
              <w:rPr>
                <w:sz w:val="19"/>
                <w:szCs w:val="19"/>
              </w:rPr>
            </w:pPr>
            <w:r w:rsidRPr="009D3012">
              <w:rPr>
                <w:sz w:val="19"/>
                <w:szCs w:val="19"/>
              </w:rPr>
              <w:t>4</w:t>
            </w:r>
          </w:p>
        </w:tc>
        <w:tc>
          <w:tcPr>
            <w:tcW w:w="558" w:type="dxa"/>
            <w:vAlign w:val="center"/>
          </w:tcPr>
          <w:p w14:paraId="3867092E" w14:textId="77777777" w:rsidR="004E22C1" w:rsidRPr="009D3012" w:rsidRDefault="004E22C1" w:rsidP="00274F3B">
            <w:pPr>
              <w:pStyle w:val="Tablebody"/>
              <w:jc w:val="center"/>
              <w:rPr>
                <w:sz w:val="19"/>
                <w:szCs w:val="19"/>
              </w:rPr>
            </w:pPr>
            <w:r w:rsidRPr="009D3012">
              <w:rPr>
                <w:sz w:val="19"/>
                <w:szCs w:val="19"/>
              </w:rPr>
              <w:t>5</w:t>
            </w:r>
          </w:p>
        </w:tc>
        <w:tc>
          <w:tcPr>
            <w:tcW w:w="558" w:type="dxa"/>
            <w:vAlign w:val="center"/>
          </w:tcPr>
          <w:p w14:paraId="63D7EBCC" w14:textId="77777777" w:rsidR="004E22C1" w:rsidRPr="009D3012" w:rsidRDefault="004E22C1" w:rsidP="00274F3B">
            <w:pPr>
              <w:pStyle w:val="Tablebody"/>
              <w:jc w:val="center"/>
              <w:rPr>
                <w:sz w:val="19"/>
                <w:szCs w:val="19"/>
              </w:rPr>
            </w:pPr>
            <w:r w:rsidRPr="009D3012">
              <w:rPr>
                <w:sz w:val="19"/>
                <w:szCs w:val="19"/>
              </w:rPr>
              <w:t>6</w:t>
            </w:r>
          </w:p>
        </w:tc>
        <w:tc>
          <w:tcPr>
            <w:tcW w:w="558" w:type="dxa"/>
            <w:vAlign w:val="center"/>
          </w:tcPr>
          <w:p w14:paraId="6D7DD2E3" w14:textId="77777777" w:rsidR="004E22C1" w:rsidRPr="009D3012" w:rsidRDefault="004E22C1" w:rsidP="00274F3B">
            <w:pPr>
              <w:pStyle w:val="Tablebody"/>
              <w:jc w:val="center"/>
              <w:rPr>
                <w:sz w:val="19"/>
                <w:szCs w:val="19"/>
              </w:rPr>
            </w:pPr>
            <w:r w:rsidRPr="009D3012">
              <w:rPr>
                <w:sz w:val="19"/>
                <w:szCs w:val="19"/>
              </w:rPr>
              <w:t>8</w:t>
            </w:r>
          </w:p>
        </w:tc>
        <w:tc>
          <w:tcPr>
            <w:tcW w:w="558" w:type="dxa"/>
            <w:vAlign w:val="center"/>
          </w:tcPr>
          <w:p w14:paraId="0F10503E" w14:textId="77777777" w:rsidR="004E22C1" w:rsidRPr="009D3012" w:rsidRDefault="004E22C1" w:rsidP="00274F3B">
            <w:pPr>
              <w:pStyle w:val="Tablebody"/>
              <w:jc w:val="center"/>
              <w:rPr>
                <w:sz w:val="19"/>
                <w:szCs w:val="19"/>
              </w:rPr>
            </w:pPr>
            <w:r w:rsidRPr="009D3012">
              <w:rPr>
                <w:sz w:val="19"/>
                <w:szCs w:val="19"/>
              </w:rPr>
              <w:t>10</w:t>
            </w:r>
          </w:p>
        </w:tc>
        <w:tc>
          <w:tcPr>
            <w:tcW w:w="558" w:type="dxa"/>
            <w:vAlign w:val="center"/>
          </w:tcPr>
          <w:p w14:paraId="7FE32513" w14:textId="77777777" w:rsidR="004E22C1" w:rsidRPr="009D3012" w:rsidRDefault="004E22C1" w:rsidP="00274F3B">
            <w:pPr>
              <w:pStyle w:val="Tablebody"/>
              <w:jc w:val="center"/>
              <w:rPr>
                <w:sz w:val="19"/>
                <w:szCs w:val="19"/>
              </w:rPr>
            </w:pPr>
            <w:r w:rsidRPr="009D3012">
              <w:rPr>
                <w:sz w:val="19"/>
                <w:szCs w:val="19"/>
              </w:rPr>
              <w:t>15</w:t>
            </w:r>
          </w:p>
        </w:tc>
        <w:tc>
          <w:tcPr>
            <w:tcW w:w="558" w:type="dxa"/>
            <w:vAlign w:val="center"/>
          </w:tcPr>
          <w:p w14:paraId="48123FD7" w14:textId="77777777" w:rsidR="004E22C1" w:rsidRPr="009D3012" w:rsidRDefault="004E22C1" w:rsidP="00274F3B">
            <w:pPr>
              <w:pStyle w:val="Tablebody"/>
              <w:jc w:val="center"/>
              <w:rPr>
                <w:sz w:val="19"/>
                <w:szCs w:val="19"/>
              </w:rPr>
            </w:pPr>
            <w:r w:rsidRPr="009D3012">
              <w:rPr>
                <w:sz w:val="19"/>
                <w:szCs w:val="19"/>
              </w:rPr>
              <w:t>20</w:t>
            </w:r>
          </w:p>
        </w:tc>
        <w:tc>
          <w:tcPr>
            <w:tcW w:w="558" w:type="dxa"/>
            <w:vAlign w:val="center"/>
          </w:tcPr>
          <w:p w14:paraId="7F27F158" w14:textId="77777777" w:rsidR="004E22C1" w:rsidRPr="009D3012" w:rsidRDefault="004E22C1" w:rsidP="00274F3B">
            <w:pPr>
              <w:pStyle w:val="Tablebody"/>
              <w:jc w:val="center"/>
              <w:rPr>
                <w:sz w:val="19"/>
                <w:szCs w:val="19"/>
              </w:rPr>
            </w:pPr>
            <w:r w:rsidRPr="009D3012">
              <w:rPr>
                <w:sz w:val="19"/>
                <w:szCs w:val="19"/>
              </w:rPr>
              <w:t>30</w:t>
            </w:r>
          </w:p>
        </w:tc>
        <w:tc>
          <w:tcPr>
            <w:tcW w:w="559" w:type="dxa"/>
            <w:vAlign w:val="center"/>
          </w:tcPr>
          <w:p w14:paraId="3A62BFCB" w14:textId="77777777" w:rsidR="004E22C1" w:rsidRPr="009D3012" w:rsidRDefault="004E22C1" w:rsidP="00274F3B">
            <w:pPr>
              <w:pStyle w:val="Tablebody"/>
              <w:jc w:val="center"/>
              <w:rPr>
                <w:szCs w:val="22"/>
              </w:rPr>
            </w:pPr>
            <w:r w:rsidRPr="001455DC">
              <w:rPr>
                <w:rFonts w:ascii="Cambria Math" w:hAnsi="Cambria Math" w:cs="Cambria Math"/>
                <w:szCs w:val="22"/>
              </w:rPr>
              <w:t>∞</w:t>
            </w:r>
          </w:p>
        </w:tc>
      </w:tr>
      <w:tr w:rsidR="004E22C1" w:rsidRPr="001455DC" w14:paraId="1667FBEF" w14:textId="77777777" w:rsidTr="00F77658">
        <w:trPr>
          <w:cantSplit/>
        </w:trPr>
        <w:tc>
          <w:tcPr>
            <w:tcW w:w="970" w:type="dxa"/>
            <w:tcBorders>
              <w:top w:val="single" w:sz="6" w:space="0" w:color="000000"/>
              <w:bottom w:val="single" w:sz="6" w:space="0" w:color="000000"/>
              <w:right w:val="single" w:sz="12" w:space="0" w:color="000000"/>
            </w:tcBorders>
            <w:vAlign w:val="center"/>
          </w:tcPr>
          <w:p w14:paraId="267ECA56" w14:textId="77E73D3C" w:rsidR="004E22C1" w:rsidRPr="001455DC" w:rsidRDefault="00231E33" w:rsidP="00D06D33">
            <w:pPr>
              <w:pStyle w:val="Tablebody"/>
              <w:jc w:val="center"/>
            </w:pPr>
            <m:oMathPara>
              <m:oMath>
                <m:sSub>
                  <m:sSubPr>
                    <m:ctrlPr>
                      <w:rPr>
                        <w:rFonts w:ascii="Cambria Math" w:hAnsi="Cambria Math"/>
                      </w:rPr>
                    </m:ctrlPr>
                  </m:sSubPr>
                  <m:e>
                    <m:r>
                      <w:rPr>
                        <w:rFonts w:ascii="Cambria Math" w:hAnsi="Cambria Math"/>
                      </w:rPr>
                      <m:t>V</m:t>
                    </m:r>
                  </m:e>
                  <m:sub>
                    <m:r>
                      <m:rPr>
                        <m:sty m:val="p"/>
                      </m:rPr>
                      <w:rPr>
                        <w:rFonts w:ascii="Cambria Math" w:hAnsi="Cambria Math"/>
                      </w:rPr>
                      <m:t>X</m:t>
                    </m:r>
                  </m:sub>
                </m:sSub>
              </m:oMath>
            </m:oMathPara>
          </w:p>
          <w:p w14:paraId="6925187C" w14:textId="77777777" w:rsidR="004E22C1" w:rsidRPr="001455DC" w:rsidRDefault="004E22C1" w:rsidP="00D06D33">
            <w:pPr>
              <w:pStyle w:val="Tablebody"/>
              <w:jc w:val="center"/>
            </w:pPr>
            <w:r w:rsidRPr="001455DC">
              <w:t>known</w:t>
            </w:r>
          </w:p>
        </w:tc>
        <w:tc>
          <w:tcPr>
            <w:tcW w:w="558" w:type="dxa"/>
            <w:tcBorders>
              <w:left w:val="single" w:sz="12" w:space="0" w:color="000000"/>
            </w:tcBorders>
            <w:vAlign w:val="center"/>
          </w:tcPr>
          <w:p w14:paraId="4F2945AE" w14:textId="77777777" w:rsidR="004E22C1" w:rsidRPr="009D3012" w:rsidRDefault="004E22C1" w:rsidP="00274F3B">
            <w:pPr>
              <w:pStyle w:val="Tablebody"/>
              <w:jc w:val="center"/>
              <w:rPr>
                <w:sz w:val="19"/>
                <w:szCs w:val="19"/>
              </w:rPr>
            </w:pPr>
            <w:r w:rsidRPr="009D3012">
              <w:rPr>
                <w:sz w:val="19"/>
                <w:szCs w:val="19"/>
              </w:rPr>
              <w:t>1,81</w:t>
            </w:r>
          </w:p>
        </w:tc>
        <w:tc>
          <w:tcPr>
            <w:tcW w:w="558" w:type="dxa"/>
            <w:vAlign w:val="center"/>
          </w:tcPr>
          <w:p w14:paraId="7D630EFB" w14:textId="77777777" w:rsidR="004E22C1" w:rsidRPr="009D3012" w:rsidRDefault="004E22C1" w:rsidP="00274F3B">
            <w:pPr>
              <w:pStyle w:val="Tablebody"/>
              <w:jc w:val="center"/>
              <w:rPr>
                <w:sz w:val="19"/>
                <w:szCs w:val="19"/>
              </w:rPr>
            </w:pPr>
            <w:r w:rsidRPr="009D3012">
              <w:rPr>
                <w:sz w:val="19"/>
                <w:szCs w:val="19"/>
              </w:rPr>
              <w:t>1,57</w:t>
            </w:r>
          </w:p>
        </w:tc>
        <w:tc>
          <w:tcPr>
            <w:tcW w:w="558" w:type="dxa"/>
            <w:vAlign w:val="center"/>
          </w:tcPr>
          <w:p w14:paraId="5C42AD2A" w14:textId="77777777" w:rsidR="004E22C1" w:rsidRPr="009D3012" w:rsidRDefault="004E22C1" w:rsidP="00274F3B">
            <w:pPr>
              <w:pStyle w:val="Tablebody"/>
              <w:jc w:val="center"/>
              <w:rPr>
                <w:sz w:val="19"/>
                <w:szCs w:val="19"/>
              </w:rPr>
            </w:pPr>
            <w:r w:rsidRPr="009D3012">
              <w:rPr>
                <w:sz w:val="19"/>
                <w:szCs w:val="19"/>
              </w:rPr>
              <w:t>1,48</w:t>
            </w:r>
          </w:p>
        </w:tc>
        <w:tc>
          <w:tcPr>
            <w:tcW w:w="558" w:type="dxa"/>
            <w:vAlign w:val="center"/>
          </w:tcPr>
          <w:p w14:paraId="04FA1960" w14:textId="77777777" w:rsidR="004E22C1" w:rsidRPr="009D3012" w:rsidRDefault="004E22C1" w:rsidP="00274F3B">
            <w:pPr>
              <w:pStyle w:val="Tablebody"/>
              <w:jc w:val="center"/>
              <w:rPr>
                <w:sz w:val="19"/>
                <w:szCs w:val="19"/>
              </w:rPr>
            </w:pPr>
            <w:r w:rsidRPr="009D3012">
              <w:rPr>
                <w:sz w:val="19"/>
                <w:szCs w:val="19"/>
              </w:rPr>
              <w:t>1,43</w:t>
            </w:r>
          </w:p>
        </w:tc>
        <w:tc>
          <w:tcPr>
            <w:tcW w:w="558" w:type="dxa"/>
            <w:vAlign w:val="center"/>
          </w:tcPr>
          <w:p w14:paraId="09AC27AF" w14:textId="77777777" w:rsidR="004E22C1" w:rsidRPr="009D3012" w:rsidRDefault="004E22C1" w:rsidP="00274F3B">
            <w:pPr>
              <w:pStyle w:val="Tablebody"/>
              <w:jc w:val="center"/>
              <w:rPr>
                <w:sz w:val="19"/>
                <w:szCs w:val="19"/>
              </w:rPr>
            </w:pPr>
            <w:r w:rsidRPr="009D3012">
              <w:rPr>
                <w:sz w:val="19"/>
                <w:szCs w:val="19"/>
              </w:rPr>
              <w:t>1,40</w:t>
            </w:r>
          </w:p>
        </w:tc>
        <w:tc>
          <w:tcPr>
            <w:tcW w:w="558" w:type="dxa"/>
            <w:vAlign w:val="center"/>
          </w:tcPr>
          <w:p w14:paraId="2C7B13B5" w14:textId="77777777" w:rsidR="004E22C1" w:rsidRPr="009D3012" w:rsidRDefault="004E22C1" w:rsidP="00274F3B">
            <w:pPr>
              <w:pStyle w:val="Tablebody"/>
              <w:jc w:val="center"/>
              <w:rPr>
                <w:sz w:val="19"/>
                <w:szCs w:val="19"/>
              </w:rPr>
            </w:pPr>
            <w:r w:rsidRPr="009D3012">
              <w:rPr>
                <w:sz w:val="19"/>
                <w:szCs w:val="19"/>
              </w:rPr>
              <w:t>1,38</w:t>
            </w:r>
          </w:p>
        </w:tc>
        <w:tc>
          <w:tcPr>
            <w:tcW w:w="558" w:type="dxa"/>
            <w:vAlign w:val="center"/>
          </w:tcPr>
          <w:p w14:paraId="08AFC3E6" w14:textId="77777777" w:rsidR="004E22C1" w:rsidRPr="009D3012" w:rsidRDefault="004E22C1" w:rsidP="00274F3B">
            <w:pPr>
              <w:pStyle w:val="Tablebody"/>
              <w:jc w:val="center"/>
              <w:rPr>
                <w:sz w:val="19"/>
                <w:szCs w:val="19"/>
              </w:rPr>
            </w:pPr>
            <w:r w:rsidRPr="009D3012">
              <w:rPr>
                <w:sz w:val="19"/>
                <w:szCs w:val="19"/>
              </w:rPr>
              <w:t>1,36</w:t>
            </w:r>
          </w:p>
        </w:tc>
        <w:tc>
          <w:tcPr>
            <w:tcW w:w="558" w:type="dxa"/>
            <w:vAlign w:val="center"/>
          </w:tcPr>
          <w:p w14:paraId="59FB0A6C" w14:textId="77777777" w:rsidR="004E22C1" w:rsidRPr="009D3012" w:rsidRDefault="004E22C1" w:rsidP="00274F3B">
            <w:pPr>
              <w:pStyle w:val="Tablebody"/>
              <w:jc w:val="center"/>
              <w:rPr>
                <w:sz w:val="19"/>
                <w:szCs w:val="19"/>
              </w:rPr>
            </w:pPr>
            <w:r w:rsidRPr="009D3012">
              <w:rPr>
                <w:sz w:val="19"/>
                <w:szCs w:val="19"/>
              </w:rPr>
              <w:t>1,34</w:t>
            </w:r>
          </w:p>
        </w:tc>
        <w:tc>
          <w:tcPr>
            <w:tcW w:w="558" w:type="dxa"/>
            <w:vAlign w:val="center"/>
          </w:tcPr>
          <w:p w14:paraId="0ECBB019" w14:textId="77777777" w:rsidR="004E22C1" w:rsidRPr="009D3012" w:rsidRDefault="004E22C1" w:rsidP="00274F3B">
            <w:pPr>
              <w:pStyle w:val="Tablebody"/>
              <w:jc w:val="center"/>
              <w:rPr>
                <w:sz w:val="19"/>
                <w:szCs w:val="19"/>
              </w:rPr>
            </w:pPr>
            <w:r w:rsidRPr="009D3012">
              <w:rPr>
                <w:sz w:val="19"/>
                <w:szCs w:val="19"/>
              </w:rPr>
              <w:t>1,32</w:t>
            </w:r>
          </w:p>
        </w:tc>
        <w:tc>
          <w:tcPr>
            <w:tcW w:w="558" w:type="dxa"/>
            <w:vAlign w:val="center"/>
          </w:tcPr>
          <w:p w14:paraId="372F60E9" w14:textId="77777777" w:rsidR="004E22C1" w:rsidRPr="009D3012" w:rsidRDefault="004E22C1" w:rsidP="00274F3B">
            <w:pPr>
              <w:pStyle w:val="Tablebody"/>
              <w:jc w:val="center"/>
              <w:rPr>
                <w:sz w:val="19"/>
                <w:szCs w:val="19"/>
              </w:rPr>
            </w:pPr>
            <w:r w:rsidRPr="009D3012">
              <w:rPr>
                <w:sz w:val="19"/>
                <w:szCs w:val="19"/>
              </w:rPr>
              <w:t>1,31</w:t>
            </w:r>
          </w:p>
        </w:tc>
        <w:tc>
          <w:tcPr>
            <w:tcW w:w="558" w:type="dxa"/>
            <w:vAlign w:val="center"/>
          </w:tcPr>
          <w:p w14:paraId="2FA59C78" w14:textId="77777777" w:rsidR="004E22C1" w:rsidRPr="009D3012" w:rsidRDefault="004E22C1" w:rsidP="00274F3B">
            <w:pPr>
              <w:pStyle w:val="Tablebody"/>
              <w:jc w:val="center"/>
              <w:rPr>
                <w:sz w:val="19"/>
                <w:szCs w:val="19"/>
              </w:rPr>
            </w:pPr>
            <w:r w:rsidRPr="009D3012">
              <w:rPr>
                <w:sz w:val="19"/>
                <w:szCs w:val="19"/>
              </w:rPr>
              <w:t>1,30</w:t>
            </w:r>
          </w:p>
        </w:tc>
        <w:tc>
          <w:tcPr>
            <w:tcW w:w="559" w:type="dxa"/>
            <w:vAlign w:val="center"/>
          </w:tcPr>
          <w:p w14:paraId="7F70688E" w14:textId="77777777" w:rsidR="004E22C1" w:rsidRPr="009D3012" w:rsidRDefault="004E22C1" w:rsidP="00274F3B">
            <w:pPr>
              <w:pStyle w:val="Tablebody"/>
              <w:jc w:val="center"/>
              <w:rPr>
                <w:sz w:val="19"/>
                <w:szCs w:val="19"/>
              </w:rPr>
            </w:pPr>
            <w:r w:rsidRPr="009D3012">
              <w:rPr>
                <w:sz w:val="19"/>
                <w:szCs w:val="19"/>
              </w:rPr>
              <w:t>1,28</w:t>
            </w:r>
          </w:p>
        </w:tc>
      </w:tr>
      <w:tr w:rsidR="004E22C1" w:rsidRPr="001455DC" w14:paraId="7E73BD22" w14:textId="77777777" w:rsidTr="00F77658">
        <w:trPr>
          <w:cantSplit/>
        </w:trPr>
        <w:tc>
          <w:tcPr>
            <w:tcW w:w="970" w:type="dxa"/>
            <w:tcBorders>
              <w:top w:val="single" w:sz="6" w:space="0" w:color="000000"/>
              <w:bottom w:val="single" w:sz="12" w:space="0" w:color="000000"/>
              <w:right w:val="single" w:sz="12" w:space="0" w:color="000000"/>
            </w:tcBorders>
            <w:vAlign w:val="center"/>
          </w:tcPr>
          <w:p w14:paraId="2E38CC7A" w14:textId="1478A6C8" w:rsidR="004E22C1" w:rsidRPr="001455DC" w:rsidRDefault="00231E33" w:rsidP="00D06D33">
            <w:pPr>
              <w:pStyle w:val="Tablebody"/>
              <w:jc w:val="center"/>
            </w:pPr>
            <m:oMathPara>
              <m:oMath>
                <m:sSub>
                  <m:sSubPr>
                    <m:ctrlPr>
                      <w:rPr>
                        <w:rFonts w:ascii="Cambria Math" w:hAnsi="Cambria Math"/>
                      </w:rPr>
                    </m:ctrlPr>
                  </m:sSubPr>
                  <m:e>
                    <m:r>
                      <w:rPr>
                        <w:rFonts w:ascii="Cambria Math" w:hAnsi="Cambria Math"/>
                      </w:rPr>
                      <m:t>V</m:t>
                    </m:r>
                  </m:e>
                  <m:sub>
                    <m:r>
                      <m:rPr>
                        <m:sty m:val="p"/>
                      </m:rPr>
                      <w:rPr>
                        <w:rFonts w:ascii="Cambria Math" w:hAnsi="Cambria Math"/>
                      </w:rPr>
                      <m:t>X</m:t>
                    </m:r>
                  </m:sub>
                </m:sSub>
              </m:oMath>
            </m:oMathPara>
          </w:p>
          <w:p w14:paraId="54093731" w14:textId="77777777" w:rsidR="004E22C1" w:rsidRPr="001455DC" w:rsidRDefault="004E22C1" w:rsidP="00D06D33">
            <w:pPr>
              <w:pStyle w:val="Tablebody"/>
              <w:jc w:val="center"/>
            </w:pPr>
            <w:r w:rsidRPr="001455DC">
              <w:t>unknown</w:t>
            </w:r>
          </w:p>
        </w:tc>
        <w:tc>
          <w:tcPr>
            <w:tcW w:w="558" w:type="dxa"/>
            <w:tcBorders>
              <w:left w:val="single" w:sz="12" w:space="0" w:color="000000"/>
            </w:tcBorders>
            <w:vAlign w:val="center"/>
          </w:tcPr>
          <w:p w14:paraId="00972899" w14:textId="77777777" w:rsidR="004E22C1" w:rsidRPr="009D3012" w:rsidRDefault="004E22C1" w:rsidP="00274F3B">
            <w:pPr>
              <w:pStyle w:val="Tablebody"/>
              <w:jc w:val="center"/>
              <w:rPr>
                <w:sz w:val="19"/>
                <w:szCs w:val="19"/>
              </w:rPr>
            </w:pPr>
            <w:r w:rsidRPr="009D3012">
              <w:rPr>
                <w:sz w:val="19"/>
                <w:szCs w:val="19"/>
              </w:rPr>
              <w:t>–</w:t>
            </w:r>
          </w:p>
        </w:tc>
        <w:tc>
          <w:tcPr>
            <w:tcW w:w="558" w:type="dxa"/>
            <w:vAlign w:val="center"/>
          </w:tcPr>
          <w:p w14:paraId="41FD283C" w14:textId="77777777" w:rsidR="004E22C1" w:rsidRPr="009D3012" w:rsidRDefault="004E22C1" w:rsidP="00274F3B">
            <w:pPr>
              <w:pStyle w:val="Tablebody"/>
              <w:jc w:val="center"/>
              <w:rPr>
                <w:sz w:val="19"/>
                <w:szCs w:val="19"/>
              </w:rPr>
            </w:pPr>
            <w:r w:rsidRPr="009D3012">
              <w:rPr>
                <w:sz w:val="19"/>
                <w:szCs w:val="19"/>
              </w:rPr>
              <w:t>–</w:t>
            </w:r>
          </w:p>
        </w:tc>
        <w:tc>
          <w:tcPr>
            <w:tcW w:w="558" w:type="dxa"/>
            <w:vAlign w:val="center"/>
          </w:tcPr>
          <w:p w14:paraId="27FD578C" w14:textId="77777777" w:rsidR="004E22C1" w:rsidRPr="009D3012" w:rsidRDefault="004E22C1" w:rsidP="00274F3B">
            <w:pPr>
              <w:pStyle w:val="Tablebody"/>
              <w:jc w:val="center"/>
              <w:rPr>
                <w:sz w:val="19"/>
                <w:szCs w:val="19"/>
              </w:rPr>
            </w:pPr>
            <w:r w:rsidRPr="009D3012">
              <w:rPr>
                <w:sz w:val="19"/>
                <w:szCs w:val="19"/>
              </w:rPr>
              <w:t>2,18</w:t>
            </w:r>
          </w:p>
        </w:tc>
        <w:tc>
          <w:tcPr>
            <w:tcW w:w="558" w:type="dxa"/>
            <w:vAlign w:val="center"/>
          </w:tcPr>
          <w:p w14:paraId="3D145B52" w14:textId="77777777" w:rsidR="004E22C1" w:rsidRPr="009D3012" w:rsidRDefault="004E22C1" w:rsidP="00274F3B">
            <w:pPr>
              <w:pStyle w:val="Tablebody"/>
              <w:jc w:val="center"/>
              <w:rPr>
                <w:sz w:val="19"/>
                <w:szCs w:val="19"/>
              </w:rPr>
            </w:pPr>
            <w:r w:rsidRPr="009D3012">
              <w:rPr>
                <w:sz w:val="19"/>
                <w:szCs w:val="19"/>
              </w:rPr>
              <w:t>1,83</w:t>
            </w:r>
          </w:p>
        </w:tc>
        <w:tc>
          <w:tcPr>
            <w:tcW w:w="558" w:type="dxa"/>
            <w:vAlign w:val="center"/>
          </w:tcPr>
          <w:p w14:paraId="51001AE0" w14:textId="77777777" w:rsidR="004E22C1" w:rsidRPr="009D3012" w:rsidRDefault="004E22C1" w:rsidP="00274F3B">
            <w:pPr>
              <w:pStyle w:val="Tablebody"/>
              <w:jc w:val="center"/>
              <w:rPr>
                <w:sz w:val="19"/>
                <w:szCs w:val="19"/>
              </w:rPr>
            </w:pPr>
            <w:r w:rsidRPr="009D3012">
              <w:rPr>
                <w:sz w:val="19"/>
                <w:szCs w:val="19"/>
              </w:rPr>
              <w:t>1,68</w:t>
            </w:r>
          </w:p>
        </w:tc>
        <w:tc>
          <w:tcPr>
            <w:tcW w:w="558" w:type="dxa"/>
            <w:vAlign w:val="center"/>
          </w:tcPr>
          <w:p w14:paraId="0C13E529" w14:textId="77777777" w:rsidR="004E22C1" w:rsidRPr="009D3012" w:rsidRDefault="004E22C1" w:rsidP="00274F3B">
            <w:pPr>
              <w:pStyle w:val="Tablebody"/>
              <w:jc w:val="center"/>
              <w:rPr>
                <w:sz w:val="19"/>
                <w:szCs w:val="19"/>
              </w:rPr>
            </w:pPr>
            <w:r w:rsidRPr="009D3012">
              <w:rPr>
                <w:sz w:val="19"/>
                <w:szCs w:val="19"/>
              </w:rPr>
              <w:t>1,59</w:t>
            </w:r>
          </w:p>
        </w:tc>
        <w:tc>
          <w:tcPr>
            <w:tcW w:w="558" w:type="dxa"/>
            <w:vAlign w:val="center"/>
          </w:tcPr>
          <w:p w14:paraId="724B0AF1" w14:textId="77777777" w:rsidR="004E22C1" w:rsidRPr="009D3012" w:rsidRDefault="004E22C1" w:rsidP="00274F3B">
            <w:pPr>
              <w:pStyle w:val="Tablebody"/>
              <w:jc w:val="center"/>
              <w:rPr>
                <w:sz w:val="19"/>
                <w:szCs w:val="19"/>
              </w:rPr>
            </w:pPr>
            <w:r w:rsidRPr="009D3012">
              <w:rPr>
                <w:sz w:val="19"/>
                <w:szCs w:val="19"/>
              </w:rPr>
              <w:t>1,50</w:t>
            </w:r>
          </w:p>
        </w:tc>
        <w:tc>
          <w:tcPr>
            <w:tcW w:w="558" w:type="dxa"/>
            <w:vAlign w:val="center"/>
          </w:tcPr>
          <w:p w14:paraId="43EFB078" w14:textId="77777777" w:rsidR="004E22C1" w:rsidRPr="009D3012" w:rsidRDefault="004E22C1" w:rsidP="00274F3B">
            <w:pPr>
              <w:pStyle w:val="Tablebody"/>
              <w:jc w:val="center"/>
              <w:rPr>
                <w:sz w:val="19"/>
                <w:szCs w:val="19"/>
              </w:rPr>
            </w:pPr>
            <w:r w:rsidRPr="009D3012">
              <w:rPr>
                <w:sz w:val="19"/>
                <w:szCs w:val="19"/>
              </w:rPr>
              <w:t>1,45</w:t>
            </w:r>
          </w:p>
        </w:tc>
        <w:tc>
          <w:tcPr>
            <w:tcW w:w="558" w:type="dxa"/>
            <w:vAlign w:val="center"/>
          </w:tcPr>
          <w:p w14:paraId="5D51BB3E" w14:textId="77777777" w:rsidR="004E22C1" w:rsidRPr="009D3012" w:rsidRDefault="004E22C1" w:rsidP="00274F3B">
            <w:pPr>
              <w:pStyle w:val="Tablebody"/>
              <w:jc w:val="center"/>
              <w:rPr>
                <w:sz w:val="19"/>
                <w:szCs w:val="19"/>
              </w:rPr>
            </w:pPr>
            <w:r w:rsidRPr="009D3012">
              <w:rPr>
                <w:sz w:val="19"/>
                <w:szCs w:val="19"/>
              </w:rPr>
              <w:t>1,39</w:t>
            </w:r>
          </w:p>
        </w:tc>
        <w:tc>
          <w:tcPr>
            <w:tcW w:w="558" w:type="dxa"/>
            <w:vAlign w:val="center"/>
          </w:tcPr>
          <w:p w14:paraId="23891696" w14:textId="77777777" w:rsidR="004E22C1" w:rsidRPr="009D3012" w:rsidRDefault="004E22C1" w:rsidP="00274F3B">
            <w:pPr>
              <w:pStyle w:val="Tablebody"/>
              <w:jc w:val="center"/>
              <w:rPr>
                <w:sz w:val="19"/>
                <w:szCs w:val="19"/>
              </w:rPr>
            </w:pPr>
            <w:r w:rsidRPr="009D3012">
              <w:rPr>
                <w:sz w:val="19"/>
                <w:szCs w:val="19"/>
              </w:rPr>
              <w:t>1,36</w:t>
            </w:r>
          </w:p>
        </w:tc>
        <w:tc>
          <w:tcPr>
            <w:tcW w:w="558" w:type="dxa"/>
            <w:vAlign w:val="center"/>
          </w:tcPr>
          <w:p w14:paraId="5D3442E5" w14:textId="77777777" w:rsidR="004E22C1" w:rsidRPr="009D3012" w:rsidRDefault="004E22C1" w:rsidP="00274F3B">
            <w:pPr>
              <w:pStyle w:val="Tablebody"/>
              <w:jc w:val="center"/>
              <w:rPr>
                <w:sz w:val="19"/>
                <w:szCs w:val="19"/>
              </w:rPr>
            </w:pPr>
            <w:r w:rsidRPr="009D3012">
              <w:rPr>
                <w:sz w:val="19"/>
                <w:szCs w:val="19"/>
              </w:rPr>
              <w:t>1,33</w:t>
            </w:r>
          </w:p>
        </w:tc>
        <w:tc>
          <w:tcPr>
            <w:tcW w:w="559" w:type="dxa"/>
            <w:vAlign w:val="center"/>
          </w:tcPr>
          <w:p w14:paraId="38F73331" w14:textId="77777777" w:rsidR="004E22C1" w:rsidRPr="009D3012" w:rsidRDefault="004E22C1" w:rsidP="00274F3B">
            <w:pPr>
              <w:pStyle w:val="Tablebody"/>
              <w:jc w:val="center"/>
              <w:rPr>
                <w:sz w:val="19"/>
                <w:szCs w:val="19"/>
              </w:rPr>
            </w:pPr>
            <w:r w:rsidRPr="009D3012">
              <w:rPr>
                <w:sz w:val="19"/>
                <w:szCs w:val="19"/>
              </w:rPr>
              <w:t>1,64</w:t>
            </w:r>
          </w:p>
        </w:tc>
      </w:tr>
    </w:tbl>
    <w:p w14:paraId="392BB57E" w14:textId="77777777" w:rsidR="004E22C1" w:rsidRPr="001455DC" w:rsidRDefault="004E22C1" w:rsidP="005965D6">
      <w:pPr>
        <w:pStyle w:val="a7"/>
      </w:pPr>
    </w:p>
    <w:p w14:paraId="5CDE6B3A" w14:textId="77777777" w:rsidR="004E22C1" w:rsidRPr="001455DC" w:rsidRDefault="004E22C1" w:rsidP="005965D6">
      <w:pPr>
        <w:pStyle w:val="a7"/>
        <w:rPr>
          <w:bCs/>
        </w:rPr>
      </w:pPr>
      <w:r w:rsidRPr="001455DC">
        <w:t>(3)</w:t>
      </w:r>
      <w:r w:rsidRPr="001455DC">
        <w:tab/>
        <w:t>If sufficient information is available, the mechanical characteristics of ribbed bars may be determined based on marking on the bar surface.</w:t>
      </w:r>
    </w:p>
    <w:p w14:paraId="5BC482B6" w14:textId="7AC3194C" w:rsidR="004E22C1" w:rsidRPr="001455DC" w:rsidRDefault="004E22C1" w:rsidP="00243590">
      <w:pPr>
        <w:pStyle w:val="a3"/>
      </w:pPr>
      <w:bookmarkStart w:id="1690" w:name="_Toc52820205"/>
      <w:bookmarkStart w:id="1691" w:name="_Toc54337630"/>
      <w:bookmarkStart w:id="1692" w:name="_Toc54338260"/>
      <w:r w:rsidRPr="001455DC">
        <w:t>Prestressing steel</w:t>
      </w:r>
      <w:bookmarkEnd w:id="1690"/>
      <w:bookmarkEnd w:id="1691"/>
      <w:bookmarkEnd w:id="1692"/>
    </w:p>
    <w:p w14:paraId="1CD75683" w14:textId="29AE80AE" w:rsidR="004E22C1" w:rsidRPr="001455DC" w:rsidRDefault="004E22C1" w:rsidP="007A25BF">
      <w:pPr>
        <w:pStyle w:val="a7"/>
        <w:rPr>
          <w:szCs w:val="22"/>
        </w:rPr>
      </w:pPr>
      <w:r w:rsidRPr="001455DC">
        <w:t>(1)</w:t>
      </w:r>
      <w:r w:rsidRPr="001455DC">
        <w:tab/>
        <w:t>I.5.</w:t>
      </w:r>
      <w:r w:rsidR="00744C0A" w:rsidRPr="001455DC">
        <w:t xml:space="preserve">3 </w:t>
      </w:r>
      <w:r w:rsidRPr="001455DC">
        <w:t>applies also for prestressing steel.</w:t>
      </w:r>
    </w:p>
    <w:p w14:paraId="0C1EA3A1" w14:textId="268B67A8" w:rsidR="004E22C1" w:rsidRPr="001455DC" w:rsidRDefault="00274F3B" w:rsidP="00082680">
      <w:pPr>
        <w:pStyle w:val="a2"/>
      </w:pPr>
      <w:bookmarkStart w:id="1693" w:name="_Toc52820206"/>
      <w:bookmarkStart w:id="1694" w:name="_Toc54337177"/>
      <w:bookmarkStart w:id="1695" w:name="_Toc54337631"/>
      <w:bookmarkStart w:id="1696" w:name="_Toc54338261"/>
      <w:bookmarkStart w:id="1697" w:name="_Toc67565576"/>
      <w:r w:rsidRPr="001455DC">
        <w:t>Durability</w:t>
      </w:r>
      <w:bookmarkEnd w:id="1693"/>
      <w:bookmarkEnd w:id="1694"/>
      <w:bookmarkEnd w:id="1695"/>
      <w:bookmarkEnd w:id="1696"/>
      <w:r w:rsidR="00695815" w:rsidRPr="001455DC">
        <w:t xml:space="preserve"> - Minimum cover for bond</w:t>
      </w:r>
      <w:bookmarkEnd w:id="1697"/>
    </w:p>
    <w:p w14:paraId="0DF02321" w14:textId="091E8016" w:rsidR="004E22C1" w:rsidRPr="001455DC" w:rsidRDefault="00695815" w:rsidP="00274F3B">
      <w:pPr>
        <w:pStyle w:val="a7"/>
      </w:pPr>
      <w:bookmarkStart w:id="1698" w:name="_Toc52820207"/>
      <w:bookmarkStart w:id="1699" w:name="_Toc54337632"/>
      <w:bookmarkStart w:id="1700" w:name="_Toc54338262"/>
      <w:r w:rsidRPr="001455DC" w:rsidDel="00695815">
        <w:t xml:space="preserve"> </w:t>
      </w:r>
      <w:bookmarkEnd w:id="1698"/>
      <w:bookmarkEnd w:id="1699"/>
      <w:bookmarkEnd w:id="1700"/>
      <w:r w:rsidR="004E22C1" w:rsidRPr="001455DC">
        <w:t>(1)</w:t>
      </w:r>
      <w:r w:rsidR="004E22C1" w:rsidRPr="001455DC">
        <w:tab/>
        <w:t xml:space="preserve">If the actual cover is less than </w:t>
      </w:r>
      <m:oMath>
        <m:sSub>
          <m:sSubPr>
            <m:ctrlPr>
              <w:rPr>
                <w:rFonts w:ascii="Cambria Math" w:hAnsi="Cambria Math"/>
              </w:rPr>
            </m:ctrlPr>
          </m:sSubPr>
          <m:e>
            <m:r>
              <w:rPr>
                <w:rFonts w:ascii="Cambria Math" w:hAnsi="Cambria Math"/>
              </w:rPr>
              <m:t>c</m:t>
            </m:r>
          </m:e>
          <m:sub>
            <m:r>
              <m:rPr>
                <m:sty m:val="p"/>
              </m:rPr>
              <w:rPr>
                <w:rFonts w:ascii="Cambria Math" w:hAnsi="Cambria Math"/>
              </w:rPr>
              <m:t>min,b</m:t>
            </m:r>
          </m:sub>
        </m:sSub>
      </m:oMath>
      <w:r w:rsidR="004E22C1" w:rsidRPr="001455DC">
        <w:t xml:space="preserve"> the effect on the anchorage and lap length may be determined according to I.11.4.</w:t>
      </w:r>
      <w:r w:rsidR="008D6184" w:rsidRPr="001455DC">
        <w:t>1</w:t>
      </w:r>
      <w:r w:rsidR="004E22C1" w:rsidRPr="001455DC">
        <w:t>.</w:t>
      </w:r>
    </w:p>
    <w:p w14:paraId="50805A11" w14:textId="77777777" w:rsidR="004E22C1" w:rsidRPr="001455DC" w:rsidRDefault="004E22C1" w:rsidP="00274F3B">
      <w:pPr>
        <w:pStyle w:val="Note"/>
      </w:pPr>
      <w:r w:rsidRPr="001455DC">
        <w:rPr>
          <w:bCs/>
        </w:rPr>
        <w:t>NOTE</w:t>
      </w:r>
      <w:r w:rsidRPr="001455DC">
        <w:rPr>
          <w:bCs/>
        </w:rPr>
        <w:tab/>
      </w:r>
      <w:r w:rsidRPr="001455DC">
        <w:t>The actual cover to evaluate the anchorage and lap length can be assessed by using original design and construction records and/or testing on the existing structure.</w:t>
      </w:r>
    </w:p>
    <w:p w14:paraId="670C170A" w14:textId="72249006" w:rsidR="004E22C1" w:rsidRPr="001455DC" w:rsidRDefault="004E22C1" w:rsidP="00274F3B">
      <w:pPr>
        <w:pStyle w:val="a7"/>
      </w:pPr>
      <w:r w:rsidRPr="001455DC">
        <w:t>(2)</w:t>
      </w:r>
      <w:r w:rsidRPr="001455DC">
        <w:tab/>
      </w:r>
      <m:oMath>
        <m:sSub>
          <m:sSubPr>
            <m:ctrlPr>
              <w:rPr>
                <w:rFonts w:ascii="Cambria Math" w:hAnsi="Cambria Math"/>
              </w:rPr>
            </m:ctrlPr>
          </m:sSubPr>
          <m:e>
            <m:r>
              <w:rPr>
                <w:rFonts w:ascii="Cambria Math" w:hAnsi="Cambria Math"/>
              </w:rPr>
              <m:t>c</m:t>
            </m:r>
          </m:e>
          <m:sub>
            <m:r>
              <m:rPr>
                <m:sty m:val="p"/>
              </m:rPr>
              <w:rPr>
                <w:rFonts w:ascii="Cambria Math" w:hAnsi="Cambria Math"/>
              </w:rPr>
              <m:t>min,b</m:t>
            </m:r>
          </m:sub>
        </m:sSub>
      </m:oMath>
      <w:r w:rsidRPr="001455DC">
        <w:t xml:space="preserve"> for square section plain bars should be taken equal to </w:t>
      </w:r>
      <m:oMath>
        <m:sSub>
          <m:sSubPr>
            <m:ctrlPr>
              <w:rPr>
                <w:rFonts w:ascii="Cambria Math" w:hAnsi="Cambria Math"/>
              </w:rPr>
            </m:ctrlPr>
          </m:sSubPr>
          <m:e>
            <m:r>
              <w:rPr>
                <w:rFonts w:ascii="Cambria Math" w:hAnsi="Cambria Math"/>
              </w:rPr>
              <m:t>ϕ</m:t>
            </m:r>
          </m:e>
          <m:sub>
            <m:r>
              <m:rPr>
                <m:sty m:val="p"/>
              </m:rPr>
              <w:rPr>
                <w:rFonts w:ascii="Cambria Math" w:hAnsi="Cambria Math"/>
              </w:rPr>
              <m:t>sq,eq</m:t>
            </m:r>
          </m:sub>
        </m:sSub>
      </m:oMath>
      <w:r w:rsidRPr="001455DC">
        <w:t xml:space="preserve"> defined in I.11.4.</w:t>
      </w:r>
      <w:r w:rsidR="008D6184" w:rsidRPr="001455DC">
        <w:t>1</w:t>
      </w:r>
      <w:r w:rsidRPr="001455DC">
        <w:t>.</w:t>
      </w:r>
    </w:p>
    <w:p w14:paraId="55DCC4CE" w14:textId="7FB633AE" w:rsidR="004E22C1" w:rsidRPr="001455DC" w:rsidRDefault="005965D6" w:rsidP="00082680">
      <w:pPr>
        <w:pStyle w:val="a2"/>
      </w:pPr>
      <w:bookmarkStart w:id="1701" w:name="_Toc52820210"/>
      <w:bookmarkStart w:id="1702" w:name="_Toc54337178"/>
      <w:bookmarkStart w:id="1703" w:name="_Toc54337635"/>
      <w:bookmarkStart w:id="1704" w:name="_Toc54338264"/>
      <w:bookmarkStart w:id="1705" w:name="_Toc67565577"/>
      <w:r w:rsidRPr="001455DC">
        <w:t>Structural analysis</w:t>
      </w:r>
      <w:bookmarkEnd w:id="1701"/>
      <w:bookmarkEnd w:id="1702"/>
      <w:bookmarkEnd w:id="1703"/>
      <w:bookmarkEnd w:id="1704"/>
      <w:bookmarkEnd w:id="1705"/>
    </w:p>
    <w:p w14:paraId="1176FB70" w14:textId="0BE9A402" w:rsidR="004E22C1" w:rsidRPr="001455DC" w:rsidRDefault="004E22C1" w:rsidP="00243590">
      <w:pPr>
        <w:pStyle w:val="a3"/>
      </w:pPr>
      <w:bookmarkStart w:id="1706" w:name="_Toc52820211"/>
      <w:bookmarkStart w:id="1707" w:name="_Toc54337636"/>
      <w:bookmarkStart w:id="1708" w:name="_Toc54338265"/>
      <w:r w:rsidRPr="001455DC">
        <w:t>Methods of analysis</w:t>
      </w:r>
      <w:bookmarkEnd w:id="1706"/>
      <w:bookmarkEnd w:id="1707"/>
      <w:bookmarkEnd w:id="1708"/>
    </w:p>
    <w:p w14:paraId="1C98C10B" w14:textId="1D4595B4" w:rsidR="004E22C1" w:rsidRPr="001455DC" w:rsidRDefault="004E22C1" w:rsidP="00243590">
      <w:pPr>
        <w:pStyle w:val="a4"/>
      </w:pPr>
      <w:bookmarkStart w:id="1709" w:name="_Toc52820212"/>
      <w:bookmarkStart w:id="1710" w:name="_Toc54337637"/>
      <w:bookmarkStart w:id="1711" w:name="_Toc54338266"/>
      <w:r w:rsidRPr="001455DC">
        <w:t>General</w:t>
      </w:r>
      <w:bookmarkEnd w:id="1709"/>
      <w:bookmarkEnd w:id="1710"/>
      <w:bookmarkEnd w:id="1711"/>
    </w:p>
    <w:p w14:paraId="2B32962B" w14:textId="77777777" w:rsidR="004E22C1" w:rsidRPr="001455DC" w:rsidRDefault="004E22C1" w:rsidP="00274F3B">
      <w:pPr>
        <w:pStyle w:val="a7"/>
        <w:rPr>
          <w:szCs w:val="22"/>
        </w:rPr>
      </w:pPr>
      <w:r w:rsidRPr="001455DC">
        <w:t>(1)</w:t>
      </w:r>
      <w:r w:rsidRPr="001455DC">
        <w:tab/>
        <w:t>When linear analysis with limited redistribution, plastic analysis or non-linear analysis is performed, the effect of reduced ductility of deteriorated concrete and reinforcement should be taken into account.</w:t>
      </w:r>
    </w:p>
    <w:p w14:paraId="4EB7BAEC" w14:textId="118CDDFB" w:rsidR="004E22C1" w:rsidRPr="001455DC" w:rsidRDefault="004E22C1" w:rsidP="00243590">
      <w:pPr>
        <w:pStyle w:val="a4"/>
      </w:pPr>
      <w:bookmarkStart w:id="1712" w:name="_Toc52820213"/>
      <w:bookmarkStart w:id="1713" w:name="_Toc54337638"/>
      <w:bookmarkStart w:id="1714" w:name="_Toc54338267"/>
      <w:r w:rsidRPr="001455DC">
        <w:t>Linear elastic analysis with limited redistribution</w:t>
      </w:r>
      <w:bookmarkEnd w:id="1712"/>
      <w:bookmarkEnd w:id="1713"/>
      <w:bookmarkEnd w:id="1714"/>
    </w:p>
    <w:p w14:paraId="798ADEA0" w14:textId="77777777" w:rsidR="004E22C1" w:rsidRPr="001455DC" w:rsidRDefault="004E22C1" w:rsidP="00274F3B">
      <w:pPr>
        <w:pStyle w:val="a7"/>
      </w:pPr>
      <w:r w:rsidRPr="001455DC">
        <w:t>(1)</w:t>
      </w:r>
      <w:r w:rsidRPr="001455DC">
        <w:tab/>
        <w:t>In addition to 7.3.2, linear elastic analysis with limited redistribution under the ultimate limit state may be carried out if shear forces and support reactions used in assessment are taken as the greater of those calculated either prior to, or after redistribution.</w:t>
      </w:r>
    </w:p>
    <w:p w14:paraId="5F8B99BB" w14:textId="642C9383" w:rsidR="004E22C1" w:rsidRPr="001455DC" w:rsidRDefault="004E22C1" w:rsidP="00243590">
      <w:pPr>
        <w:pStyle w:val="a3"/>
      </w:pPr>
      <w:bookmarkStart w:id="1715" w:name="_Toc52820214"/>
      <w:bookmarkStart w:id="1716" w:name="_Toc54337639"/>
      <w:bookmarkStart w:id="1717" w:name="_Toc54338268"/>
      <w:r w:rsidRPr="001455DC">
        <w:tab/>
        <w:t>Prestressed members and structures</w:t>
      </w:r>
      <w:bookmarkEnd w:id="1715"/>
      <w:bookmarkEnd w:id="1716"/>
      <w:bookmarkEnd w:id="1717"/>
    </w:p>
    <w:p w14:paraId="099593A6" w14:textId="1D2404AC" w:rsidR="004E22C1" w:rsidRPr="001455DC" w:rsidRDefault="004E22C1" w:rsidP="00243590">
      <w:pPr>
        <w:pStyle w:val="a4"/>
      </w:pPr>
      <w:bookmarkStart w:id="1718" w:name="_Toc52820215"/>
      <w:bookmarkStart w:id="1719" w:name="_Toc54337640"/>
      <w:bookmarkStart w:id="1720" w:name="_Toc54338269"/>
      <w:r w:rsidRPr="001455DC">
        <w:t>General</w:t>
      </w:r>
      <w:bookmarkEnd w:id="1718"/>
      <w:bookmarkEnd w:id="1719"/>
      <w:bookmarkEnd w:id="1720"/>
    </w:p>
    <w:p w14:paraId="4A4DEC52" w14:textId="77777777" w:rsidR="004E22C1" w:rsidRPr="001455DC" w:rsidRDefault="004E22C1" w:rsidP="00116AE2">
      <w:pPr>
        <w:pStyle w:val="a7"/>
        <w:keepNext/>
      </w:pPr>
      <w:r w:rsidRPr="001455DC">
        <w:t>(1)</w:t>
      </w:r>
      <w:r w:rsidRPr="001455DC">
        <w:tab/>
        <w:t>When tendon corrosion is encountered in the assessment, the normal rules for prestressed concrete should be modified by taking into account the following:</w:t>
      </w:r>
    </w:p>
    <w:p w14:paraId="2A6FD54A" w14:textId="09D40C89" w:rsidR="004E22C1" w:rsidRPr="001455DC" w:rsidRDefault="004E22C1" w:rsidP="00274F3B">
      <w:pPr>
        <w:pStyle w:val="a7"/>
        <w:ind w:left="357" w:hanging="357"/>
      </w:pPr>
      <w:r w:rsidRPr="001455DC">
        <w:t>a)</w:t>
      </w:r>
      <w:r w:rsidRPr="001455DC">
        <w:tab/>
        <w:t>Strands, wires or bars which have suffered sectional loss that has resulted in them being unable to sustain their prestress force should be considered ineffective at that section. The strength of a section at the ultimate limit state should be based on the remaining cross</w:t>
      </w:r>
      <w:r w:rsidR="00B10711" w:rsidRPr="001455DC">
        <w:t xml:space="preserve"> </w:t>
      </w:r>
      <w:r w:rsidRPr="001455DC">
        <w:t>sectional area of the effective strands, wires or bars only.</w:t>
      </w:r>
    </w:p>
    <w:p w14:paraId="1F564702" w14:textId="77777777" w:rsidR="004E22C1" w:rsidRPr="001455DC" w:rsidRDefault="004E22C1" w:rsidP="00274F3B">
      <w:pPr>
        <w:pStyle w:val="a7"/>
        <w:ind w:left="357" w:hanging="357"/>
      </w:pPr>
      <w:r w:rsidRPr="001455DC">
        <w:t>b)</w:t>
      </w:r>
      <w:r w:rsidRPr="001455DC">
        <w:tab/>
        <w:t>Bonded post-tensioning tendons which are ineffective locally can re-anchor and become fully effective elsewhere. Such tendons should be considered in the assessment only if the quality of grouting in the ducts allows anchorage of the design strength of the prestressing steel.</w:t>
      </w:r>
    </w:p>
    <w:p w14:paraId="4BEEEA5F" w14:textId="77777777" w:rsidR="004E22C1" w:rsidRPr="001455DC" w:rsidRDefault="004E22C1" w:rsidP="00274F3B">
      <w:pPr>
        <w:pStyle w:val="a7"/>
        <w:ind w:left="357" w:hanging="357"/>
      </w:pPr>
      <w:r w:rsidRPr="001455DC">
        <w:t>c)</w:t>
      </w:r>
      <w:r w:rsidRPr="001455DC">
        <w:tab/>
        <w:t>Where there is evidence of extensive inadequate grouting, the possible re-anchorage of tendons should not be considered in the assessment without further investigation. If the grouting is too poor to allow re-anchorage of tendons, the member should be treated as unbonded and assessed accordingly.</w:t>
      </w:r>
    </w:p>
    <w:p w14:paraId="27A225C4" w14:textId="26F19347" w:rsidR="004E22C1" w:rsidRPr="001455DC" w:rsidRDefault="009D3D7D" w:rsidP="00274F3B">
      <w:pPr>
        <w:pStyle w:val="a7"/>
        <w:ind w:left="357" w:hanging="357"/>
      </w:pPr>
      <w:r w:rsidRPr="001455DC">
        <w:t>d</w:t>
      </w:r>
      <w:r w:rsidR="004E22C1" w:rsidRPr="001455DC">
        <w:t>)</w:t>
      </w:r>
      <w:r w:rsidR="004E22C1" w:rsidRPr="001455DC">
        <w:tab/>
        <w:t>The reduction of ductility due to corrosion should be taken into account.</w:t>
      </w:r>
    </w:p>
    <w:p w14:paraId="128F8F39" w14:textId="1CABC46A" w:rsidR="004E22C1" w:rsidRPr="001455DC" w:rsidRDefault="004E22C1" w:rsidP="00243590">
      <w:pPr>
        <w:pStyle w:val="a4"/>
      </w:pPr>
      <w:bookmarkStart w:id="1721" w:name="_Toc52820216"/>
      <w:bookmarkStart w:id="1722" w:name="_Toc54337641"/>
      <w:bookmarkStart w:id="1723" w:name="_Toc54338270"/>
      <w:r w:rsidRPr="001455DC">
        <w:t>Prestressing force</w:t>
      </w:r>
      <w:bookmarkEnd w:id="1721"/>
      <w:bookmarkEnd w:id="1722"/>
      <w:bookmarkEnd w:id="1723"/>
    </w:p>
    <w:p w14:paraId="287627F8" w14:textId="77777777" w:rsidR="004E22C1" w:rsidRPr="001455DC" w:rsidRDefault="004E22C1" w:rsidP="00274F3B">
      <w:pPr>
        <w:pStyle w:val="a7"/>
      </w:pPr>
      <w:r w:rsidRPr="001455DC">
        <w:t>(1)</w:t>
      </w:r>
      <w:r w:rsidRPr="001455DC">
        <w:tab/>
        <w:t>The maximum prestressing force assumed to be applied should be derived from the original design and construction records or, if not available from documented information for the applied prestressing system valid at the time of construction. If the prestressing level is not known, the effect of variation in the prestressing force should be subject to sensitivity analysis. The actual prestressing force may be measured by in-situ testing.</w:t>
      </w:r>
    </w:p>
    <w:p w14:paraId="57E819A7" w14:textId="049AE423" w:rsidR="004E22C1" w:rsidRPr="001455DC" w:rsidRDefault="00274F3B" w:rsidP="00082680">
      <w:pPr>
        <w:pStyle w:val="a2"/>
      </w:pPr>
      <w:bookmarkStart w:id="1724" w:name="_Toc52820217"/>
      <w:bookmarkStart w:id="1725" w:name="_Toc54337179"/>
      <w:bookmarkStart w:id="1726" w:name="_Toc54337642"/>
      <w:bookmarkStart w:id="1727" w:name="_Toc54338271"/>
      <w:bookmarkStart w:id="1728" w:name="_Toc67565578"/>
      <w:r w:rsidRPr="001455DC">
        <w:t>Ultimate Limit States</w:t>
      </w:r>
      <w:r w:rsidR="004E22C1" w:rsidRPr="001455DC">
        <w:t xml:space="preserve"> (ULS)</w:t>
      </w:r>
      <w:bookmarkEnd w:id="1724"/>
      <w:bookmarkEnd w:id="1725"/>
      <w:bookmarkEnd w:id="1726"/>
      <w:bookmarkEnd w:id="1727"/>
      <w:bookmarkEnd w:id="1728"/>
    </w:p>
    <w:p w14:paraId="7E2CFD39" w14:textId="452ECD16" w:rsidR="004E22C1" w:rsidRPr="001455DC" w:rsidRDefault="004E22C1" w:rsidP="00243590">
      <w:pPr>
        <w:pStyle w:val="a3"/>
      </w:pPr>
      <w:bookmarkStart w:id="1729" w:name="_Toc52820218"/>
      <w:bookmarkStart w:id="1730" w:name="_Toc54337643"/>
      <w:bookmarkStart w:id="1731" w:name="_Toc54338272"/>
      <w:r w:rsidRPr="001455DC">
        <w:tab/>
        <w:t>General</w:t>
      </w:r>
      <w:bookmarkEnd w:id="1729"/>
      <w:bookmarkEnd w:id="1730"/>
      <w:bookmarkEnd w:id="1731"/>
    </w:p>
    <w:p w14:paraId="1EFB6095" w14:textId="77777777" w:rsidR="004E22C1" w:rsidRPr="001455DC" w:rsidRDefault="004E22C1" w:rsidP="00274F3B">
      <w:pPr>
        <w:pStyle w:val="a7"/>
      </w:pPr>
      <w:r w:rsidRPr="001455DC">
        <w:t>(1)</w:t>
      </w:r>
      <w:r w:rsidRPr="001455DC">
        <w:tab/>
        <w:t>The section properties used to assess section resistance of deteriorated structures should be consistent with those used in the analysis where relevant.</w:t>
      </w:r>
    </w:p>
    <w:p w14:paraId="2CB4E4C2" w14:textId="2F7E8B93" w:rsidR="004E22C1" w:rsidRPr="001455DC" w:rsidRDefault="004E22C1" w:rsidP="00F77658">
      <w:pPr>
        <w:pStyle w:val="a7"/>
        <w:keepNext/>
      </w:pPr>
      <w:r w:rsidRPr="001455DC">
        <w:t>(2)</w:t>
      </w:r>
      <w:r w:rsidRPr="001455DC">
        <w:tab/>
        <w:t>The following should be considered as possible consequences of reinforcement corrosion, causing cracking and spalling of concrete cover, on cross</w:t>
      </w:r>
      <w:r w:rsidR="00B10711" w:rsidRPr="001455DC">
        <w:t xml:space="preserve"> </w:t>
      </w:r>
      <w:r w:rsidRPr="001455DC">
        <w:t>sectional dimensions:</w:t>
      </w:r>
    </w:p>
    <w:p w14:paraId="32B8BBE5" w14:textId="24BD644A" w:rsidR="004E22C1" w:rsidRPr="001455DC" w:rsidRDefault="004E22C1" w:rsidP="00274F3B">
      <w:pPr>
        <w:pStyle w:val="a0"/>
      </w:pPr>
      <w:r w:rsidRPr="001455DC">
        <w:t xml:space="preserve">for corrosion penetration depth </w:t>
      </w:r>
      <m:oMath>
        <m:sSub>
          <m:sSubPr>
            <m:ctrlPr>
              <w:rPr>
                <w:rFonts w:ascii="Cambria Math" w:hAnsi="Cambria Math"/>
              </w:rPr>
            </m:ctrlPr>
          </m:sSubPr>
          <m:e>
            <m:r>
              <w:rPr>
                <w:rFonts w:ascii="Cambria Math" w:hAnsi="Cambria Math"/>
              </w:rPr>
              <m:t>P</m:t>
            </m:r>
          </m:e>
          <m:sub>
            <m:r>
              <m:rPr>
                <m:sty m:val="p"/>
              </m:rPr>
              <w:rPr>
                <w:rFonts w:ascii="Cambria Math" w:hAnsi="Cambria Math"/>
              </w:rPr>
              <m:t>x</m:t>
            </m:r>
          </m:sub>
        </m:sSub>
        <m:r>
          <m:rPr>
            <m:sty m:val="p"/>
          </m:rPr>
          <w:rPr>
            <w:rFonts w:ascii="Cambria Math" w:hAnsi="Cambria Math"/>
          </w:rPr>
          <m:t>≥0,2/0,4 mm</m:t>
        </m:r>
      </m:oMath>
      <w:r w:rsidRPr="001455DC">
        <w:t>, a reduced concrete section may be considered due to spalling ignoring the cover depth around the corroded bars;</w:t>
      </w:r>
    </w:p>
    <w:p w14:paraId="740D1CBA" w14:textId="10BD3537" w:rsidR="004E22C1" w:rsidRPr="001455DC" w:rsidRDefault="004E22C1" w:rsidP="00274F3B">
      <w:pPr>
        <w:pStyle w:val="a0"/>
      </w:pPr>
      <w:r w:rsidRPr="001455DC">
        <w:t xml:space="preserve">for low/medium </w:t>
      </w:r>
      <m:oMath>
        <m:sSub>
          <m:sSubPr>
            <m:ctrlPr>
              <w:rPr>
                <w:rFonts w:ascii="Cambria Math" w:hAnsi="Cambria Math"/>
              </w:rPr>
            </m:ctrlPr>
          </m:sSubPr>
          <m:e>
            <m:r>
              <w:rPr>
                <w:rFonts w:ascii="Cambria Math" w:hAnsi="Cambria Math"/>
              </w:rPr>
              <m:t>P</m:t>
            </m:r>
          </m:e>
          <m:sub>
            <m:r>
              <m:rPr>
                <m:sty m:val="p"/>
              </m:rPr>
              <w:rPr>
                <w:rFonts w:ascii="Cambria Math" w:hAnsi="Cambria Math"/>
              </w:rPr>
              <m:t>x</m:t>
            </m:r>
          </m:sub>
        </m:sSub>
      </m:oMath>
      <w:r w:rsidRPr="001455DC">
        <w:t xml:space="preserve"> (i.e. </w:t>
      </w:r>
      <m:oMath>
        <m:sSub>
          <m:sSubPr>
            <m:ctrlPr>
              <w:rPr>
                <w:rFonts w:ascii="Cambria Math" w:hAnsi="Cambria Math"/>
              </w:rPr>
            </m:ctrlPr>
          </m:sSubPr>
          <m:e>
            <m:r>
              <w:rPr>
                <w:rFonts w:ascii="Cambria Math" w:hAnsi="Cambria Math"/>
              </w:rPr>
              <m:t>P</m:t>
            </m:r>
          </m:e>
          <m:sub>
            <m:r>
              <m:rPr>
                <m:sty m:val="p"/>
              </m:rPr>
              <w:rPr>
                <w:rFonts w:ascii="Cambria Math" w:hAnsi="Cambria Math"/>
              </w:rPr>
              <m:t>x</m:t>
            </m:r>
          </m:sub>
        </m:sSub>
        <m:r>
          <m:rPr>
            <m:sty m:val="p"/>
          </m:rPr>
          <w:rPr>
            <w:rFonts w:ascii="Cambria Math" w:hAnsi="Cambria Math"/>
          </w:rPr>
          <m:t>&lt;0,2/0,4 mm</m:t>
        </m:r>
      </m:oMath>
      <w:r w:rsidRPr="001455DC">
        <w:t>), it may be assumed that the complete concrete section contributes to the resistance with a reduced compressive strength of concrete due to cracking.</w:t>
      </w:r>
    </w:p>
    <w:p w14:paraId="3613F1EC" w14:textId="03382762" w:rsidR="004E22C1" w:rsidRPr="001455DC" w:rsidRDefault="004E22C1" w:rsidP="00274F3B">
      <w:pPr>
        <w:pStyle w:val="Note"/>
      </w:pPr>
      <w:r w:rsidRPr="001455DC">
        <w:t>NOTE 1</w:t>
      </w:r>
      <w:r w:rsidRPr="001455DC">
        <w:tab/>
        <w:t xml:space="preserve">For the definition of corrosion penetration depth </w:t>
      </w:r>
      <m:oMath>
        <m:sSub>
          <m:sSubPr>
            <m:ctrlPr>
              <w:rPr>
                <w:rFonts w:ascii="Cambria Math" w:hAnsi="Cambria Math"/>
              </w:rPr>
            </m:ctrlPr>
          </m:sSubPr>
          <m:e>
            <m:r>
              <w:rPr>
                <w:rFonts w:ascii="Cambria Math" w:hAnsi="Cambria Math"/>
              </w:rPr>
              <m:t>P</m:t>
            </m:r>
          </m:e>
          <m:sub>
            <m:r>
              <m:rPr>
                <m:sty m:val="p"/>
              </m:rPr>
              <w:rPr>
                <w:rFonts w:ascii="Cambria Math" w:hAnsi="Cambria Math"/>
              </w:rPr>
              <m:t>x</m:t>
            </m:r>
          </m:sub>
        </m:sSub>
      </m:oMath>
      <w:r w:rsidRPr="001455DC">
        <w:t xml:space="preserve"> see I.3.1.</w:t>
      </w:r>
    </w:p>
    <w:p w14:paraId="3634C95F" w14:textId="77777777" w:rsidR="004E22C1" w:rsidRPr="001455DC" w:rsidRDefault="004E22C1" w:rsidP="00274F3B">
      <w:pPr>
        <w:pStyle w:val="Note"/>
      </w:pPr>
      <w:r w:rsidRPr="001455DC">
        <w:t>NOTE 2</w:t>
      </w:r>
      <w:r w:rsidRPr="001455DC">
        <w:tab/>
        <w:t>Concrete spalling does not only depend on the level of corrosion but also on the ratio of longitudinal and transverse reinforcement, diameter of the bars, etc.</w:t>
      </w:r>
    </w:p>
    <w:p w14:paraId="221E04CD" w14:textId="77777777" w:rsidR="004E22C1" w:rsidRPr="001455DC" w:rsidRDefault="004E22C1" w:rsidP="00116AE2">
      <w:pPr>
        <w:pStyle w:val="a7"/>
        <w:keepNext/>
      </w:pPr>
      <w:r w:rsidRPr="001455DC">
        <w:t>(3)</w:t>
      </w:r>
      <w:r w:rsidRPr="001455DC">
        <w:tab/>
        <w:t>The following should be considered as possible consequences of corrosion on ordinary reinforcement:</w:t>
      </w:r>
    </w:p>
    <w:p w14:paraId="74AAE44B" w14:textId="4AE200D3" w:rsidR="004E22C1" w:rsidRPr="001455DC" w:rsidRDefault="004E22C1" w:rsidP="00274F3B">
      <w:pPr>
        <w:pStyle w:val="a0"/>
      </w:pPr>
      <w:r w:rsidRPr="001455DC">
        <w:t xml:space="preserve">for compressed ordinary reinforcement, a reduced reinforcement strength should be considered due to possible bar buckling before the maximum load is reached, if stirrups are heavily corroded (relevant </w:t>
      </w:r>
      <m:oMath>
        <m:sSub>
          <m:sSubPr>
            <m:ctrlPr>
              <w:rPr>
                <w:rFonts w:ascii="Cambria Math" w:hAnsi="Cambria Math"/>
              </w:rPr>
            </m:ctrlPr>
          </m:sSubPr>
          <m:e>
            <m:r>
              <w:rPr>
                <w:rFonts w:ascii="Cambria Math" w:hAnsi="Cambria Math"/>
              </w:rPr>
              <m:t>P</m:t>
            </m:r>
          </m:e>
          <m:sub>
            <m:r>
              <m:rPr>
                <m:sty m:val="p"/>
              </m:rPr>
              <w:rPr>
                <w:rFonts w:ascii="Cambria Math" w:hAnsi="Cambria Math"/>
              </w:rPr>
              <m:t>x</m:t>
            </m:r>
          </m:sub>
        </m:sSub>
      </m:oMath>
      <w:r w:rsidRPr="001455DC">
        <w:t xml:space="preserve"> or pits);</w:t>
      </w:r>
    </w:p>
    <w:p w14:paraId="5B04F772" w14:textId="08B3A45F" w:rsidR="004E22C1" w:rsidRPr="001455DC" w:rsidRDefault="004E22C1" w:rsidP="00274F3B">
      <w:pPr>
        <w:pStyle w:val="a0"/>
      </w:pPr>
      <w:r w:rsidRPr="001455DC">
        <w:t>in shear the possibility of premature failure of stirrups due to pitting corrosion should be considered;</w:t>
      </w:r>
    </w:p>
    <w:p w14:paraId="6895C753" w14:textId="3A9D3F08" w:rsidR="004E22C1" w:rsidRPr="001455DC" w:rsidRDefault="004E22C1" w:rsidP="00116AE2">
      <w:pPr>
        <w:pStyle w:val="a0"/>
        <w:keepNext/>
      </w:pPr>
      <w:r w:rsidRPr="001455DC">
        <w:t xml:space="preserve">for </w:t>
      </w:r>
      <m:oMath>
        <m:sSub>
          <m:sSubPr>
            <m:ctrlPr>
              <w:rPr>
                <w:rFonts w:ascii="Cambria Math" w:hAnsi="Cambria Math"/>
              </w:rPr>
            </m:ctrlPr>
          </m:sSubPr>
          <m:e>
            <m:r>
              <w:rPr>
                <w:rFonts w:ascii="Cambria Math" w:hAnsi="Cambria Math"/>
              </w:rPr>
              <m:t>P</m:t>
            </m:r>
          </m:e>
          <m:sub>
            <m:r>
              <m:rPr>
                <m:sty m:val="p"/>
              </m:rPr>
              <w:rPr>
                <w:rFonts w:ascii="Cambria Math" w:hAnsi="Cambria Math"/>
              </w:rPr>
              <m:t>x</m:t>
            </m:r>
          </m:sub>
        </m:sSub>
        <m:r>
          <m:rPr>
            <m:sty m:val="p"/>
          </m:rPr>
          <w:rPr>
            <w:rFonts w:ascii="Cambria Math" w:hAnsi="Cambria Math"/>
          </w:rPr>
          <m:t>≥0,2÷0,4 mm</m:t>
        </m:r>
      </m:oMath>
      <w:r w:rsidRPr="001455DC">
        <w:t xml:space="preserve"> and/or pitting corrosion:</w:t>
      </w:r>
    </w:p>
    <w:p w14:paraId="550C9F1B" w14:textId="3014832D" w:rsidR="004E22C1" w:rsidRPr="001455DC" w:rsidRDefault="004E22C1" w:rsidP="00082680">
      <w:pPr>
        <w:pStyle w:val="2"/>
        <w:numPr>
          <w:ilvl w:val="0"/>
          <w:numId w:val="39"/>
        </w:numPr>
        <w:ind w:left="714" w:hanging="357"/>
      </w:pPr>
      <w:r w:rsidRPr="001455DC">
        <w:t>a reduction of elongation at maximum stress can be expected and should be considered for the verifications at ULS;</w:t>
      </w:r>
    </w:p>
    <w:p w14:paraId="6040B47C" w14:textId="1DF92DFD" w:rsidR="004E22C1" w:rsidRPr="001455DC" w:rsidRDefault="004E22C1" w:rsidP="00082680">
      <w:pPr>
        <w:pStyle w:val="2"/>
        <w:numPr>
          <w:ilvl w:val="0"/>
          <w:numId w:val="39"/>
        </w:numPr>
        <w:ind w:left="714" w:hanging="357"/>
      </w:pPr>
      <w:r w:rsidRPr="001455DC">
        <w:t>a concentration of the active stress at pits should be considered;</w:t>
      </w:r>
    </w:p>
    <w:p w14:paraId="2D58E58B" w14:textId="281320AC" w:rsidR="004E22C1" w:rsidRPr="001455DC" w:rsidRDefault="004E22C1" w:rsidP="00274F3B">
      <w:pPr>
        <w:pStyle w:val="a0"/>
      </w:pPr>
      <w:r w:rsidRPr="001455DC">
        <w:t xml:space="preserve">low/medium </w:t>
      </w:r>
      <m:oMath>
        <m:sSub>
          <m:sSubPr>
            <m:ctrlPr>
              <w:rPr>
                <w:rFonts w:ascii="Cambria Math" w:hAnsi="Cambria Math"/>
              </w:rPr>
            </m:ctrlPr>
          </m:sSubPr>
          <m:e>
            <m:r>
              <w:rPr>
                <w:rFonts w:ascii="Cambria Math" w:hAnsi="Cambria Math"/>
              </w:rPr>
              <m:t>P</m:t>
            </m:r>
          </m:e>
          <m:sub>
            <m:r>
              <m:rPr>
                <m:sty m:val="p"/>
              </m:rPr>
              <w:rPr>
                <w:rFonts w:ascii="Cambria Math" w:hAnsi="Cambria Math"/>
              </w:rPr>
              <m:t>x</m:t>
            </m:r>
          </m:sub>
        </m:sSub>
      </m:oMath>
      <w:r w:rsidRPr="001455DC">
        <w:t xml:space="preserve"> (i.e. </w:t>
      </w:r>
      <m:oMath>
        <m:sSub>
          <m:sSubPr>
            <m:ctrlPr>
              <w:rPr>
                <w:rFonts w:ascii="Cambria Math" w:hAnsi="Cambria Math"/>
              </w:rPr>
            </m:ctrlPr>
          </m:sSubPr>
          <m:e>
            <m:r>
              <w:rPr>
                <w:rFonts w:ascii="Cambria Math" w:hAnsi="Cambria Math"/>
              </w:rPr>
              <m:t>P</m:t>
            </m:r>
          </m:e>
          <m:sub>
            <m:r>
              <m:rPr>
                <m:sty m:val="p"/>
              </m:rPr>
              <w:rPr>
                <w:rFonts w:ascii="Cambria Math" w:hAnsi="Cambria Math"/>
              </w:rPr>
              <m:t>x</m:t>
            </m:r>
          </m:sub>
        </m:sSub>
        <m:r>
          <m:rPr>
            <m:sty m:val="p"/>
          </m:rPr>
          <w:rPr>
            <w:rFonts w:ascii="Cambria Math" w:hAnsi="Cambria Math"/>
          </w:rPr>
          <m:t>&lt;0,2÷0,4 mm</m:t>
        </m:r>
      </m:oMath>
      <w:r w:rsidRPr="001455DC">
        <w:t>) may be assumed not to affect the stress-strain deformation relationships of ordinary reinforcement.</w:t>
      </w:r>
    </w:p>
    <w:p w14:paraId="466ADFEF" w14:textId="45AF39A6" w:rsidR="004E22C1" w:rsidRPr="001455DC" w:rsidRDefault="004E22C1" w:rsidP="00243590">
      <w:pPr>
        <w:pStyle w:val="a3"/>
      </w:pPr>
      <w:bookmarkStart w:id="1732" w:name="_Toc52820219"/>
      <w:bookmarkStart w:id="1733" w:name="_Toc54337644"/>
      <w:bookmarkStart w:id="1734" w:name="_Toc54338273"/>
      <w:r w:rsidRPr="001455DC">
        <w:tab/>
        <w:t>Bending with or without axial force</w:t>
      </w:r>
      <w:bookmarkEnd w:id="1732"/>
      <w:bookmarkEnd w:id="1733"/>
      <w:bookmarkEnd w:id="1734"/>
    </w:p>
    <w:p w14:paraId="47FDB486" w14:textId="2D56413E" w:rsidR="004E22C1" w:rsidRPr="001455DC" w:rsidRDefault="001E7B4C" w:rsidP="00274F3B">
      <w:pPr>
        <w:pStyle w:val="a7"/>
      </w:pPr>
      <w:bookmarkStart w:id="1735" w:name="_Toc52820220"/>
      <w:bookmarkStart w:id="1736" w:name="_Toc54337645"/>
      <w:bookmarkStart w:id="1737" w:name="_Toc54338274"/>
      <w:r w:rsidRPr="001455DC" w:rsidDel="001E7B4C">
        <w:t xml:space="preserve"> </w:t>
      </w:r>
      <w:bookmarkEnd w:id="1735"/>
      <w:bookmarkEnd w:id="1736"/>
      <w:bookmarkEnd w:id="1737"/>
      <w:r w:rsidR="004E22C1" w:rsidRPr="001455DC">
        <w:t>(1)</w:t>
      </w:r>
      <w:r w:rsidR="004E22C1" w:rsidRPr="001455DC">
        <w:tab/>
        <w:t>Where aspects of detailing are present that do not comply with the provisions of this Eurocode the effects on the resistance should be assessed.</w:t>
      </w:r>
    </w:p>
    <w:p w14:paraId="6B0349E6" w14:textId="3BF70F12" w:rsidR="004E22C1" w:rsidRPr="001455DC" w:rsidRDefault="004E22C1" w:rsidP="00274F3B">
      <w:pPr>
        <w:pStyle w:val="Note"/>
      </w:pPr>
      <w:r w:rsidRPr="001455DC">
        <w:t>NOTE</w:t>
      </w:r>
      <w:r w:rsidRPr="001455DC">
        <w:tab/>
        <w:t>In addition to the effects on bond</w:t>
      </w:r>
      <w:r w:rsidR="00446B9B">
        <w:t>,</w:t>
      </w:r>
      <w:r w:rsidRPr="001455DC">
        <w:t xml:space="preserve"> low concrete cover can be relevant for other effects such as buckling of bars in compression.</w:t>
      </w:r>
    </w:p>
    <w:p w14:paraId="7836F8DC" w14:textId="7F1D3682" w:rsidR="004E22C1" w:rsidRPr="001455DC" w:rsidRDefault="004E22C1" w:rsidP="00243590">
      <w:pPr>
        <w:pStyle w:val="a3"/>
      </w:pPr>
      <w:bookmarkStart w:id="1738" w:name="_Toc52820221"/>
      <w:bookmarkStart w:id="1739" w:name="_Toc54337646"/>
      <w:bookmarkStart w:id="1740" w:name="_Toc54338275"/>
      <w:r w:rsidRPr="001455DC">
        <w:t>Shear</w:t>
      </w:r>
      <w:bookmarkEnd w:id="1738"/>
      <w:bookmarkEnd w:id="1739"/>
      <w:bookmarkEnd w:id="1740"/>
    </w:p>
    <w:p w14:paraId="6FF5F6F2" w14:textId="70CB64C6" w:rsidR="004E22C1" w:rsidRPr="001455DC" w:rsidRDefault="004E22C1" w:rsidP="00243590">
      <w:pPr>
        <w:pStyle w:val="a4"/>
      </w:pPr>
      <w:bookmarkStart w:id="1741" w:name="_Toc52820222"/>
      <w:bookmarkStart w:id="1742" w:name="_Toc54337647"/>
      <w:bookmarkStart w:id="1743" w:name="_Toc54338276"/>
      <w:r w:rsidRPr="001455DC">
        <w:t>Detailed verification of members not requiring design shear reinforcement</w:t>
      </w:r>
      <w:bookmarkEnd w:id="1741"/>
      <w:bookmarkEnd w:id="1742"/>
      <w:bookmarkEnd w:id="1743"/>
    </w:p>
    <w:p w14:paraId="4A0F98D3" w14:textId="45E5FBDC" w:rsidR="004E22C1" w:rsidRPr="001455DC" w:rsidRDefault="004E22C1" w:rsidP="00274F3B">
      <w:pPr>
        <w:pStyle w:val="a7"/>
      </w:pPr>
      <w:r w:rsidRPr="001455DC">
        <w:t>(1)</w:t>
      </w:r>
      <w:r w:rsidRPr="001455DC">
        <w:tab/>
        <w:t xml:space="preserve">As an alternative to </w:t>
      </w:r>
      <w:bookmarkStart w:id="1744" w:name="_Hlk41371480"/>
      <w:r w:rsidRPr="001455DC">
        <w:t>8.2.2(2</w:t>
      </w:r>
      <w:r w:rsidR="00763209" w:rsidRPr="001455DC">
        <w:t>) to (</w:t>
      </w:r>
      <w:r w:rsidRPr="001455DC">
        <w:t xml:space="preserve">5), </w:t>
      </w:r>
      <w:bookmarkEnd w:id="1744"/>
      <w:r w:rsidRPr="001455DC">
        <w:t>the design value of the shear stress resistance of members without shear reinforcement may be calculated as follows: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74F3B" w:rsidRPr="001455DC" w14:paraId="62E6C841" w14:textId="77777777" w:rsidTr="00274F3B">
        <w:trPr>
          <w:cantSplit/>
        </w:trPr>
        <w:tc>
          <w:tcPr>
            <w:tcW w:w="8505" w:type="dxa"/>
            <w:vAlign w:val="center"/>
          </w:tcPr>
          <w:p w14:paraId="6925C0EF" w14:textId="15A40B7F" w:rsidR="00274F3B" w:rsidRPr="001455DC" w:rsidRDefault="00231E33" w:rsidP="00D06D33">
            <w:pPr>
              <w:pStyle w:val="Formula"/>
            </w:pPr>
            <m:oMathPara>
              <m:oMathParaPr>
                <m:jc m:val="left"/>
              </m:oMathParaPr>
              <m:oMath>
                <m:sSub>
                  <m:sSubPr>
                    <m:ctrlPr>
                      <w:rPr>
                        <w:rFonts w:ascii="Cambria Math" w:hAnsi="Cambria Math"/>
                      </w:rPr>
                    </m:ctrlPr>
                  </m:sSubPr>
                  <m:e>
                    <m:r>
                      <w:rPr>
                        <w:rFonts w:ascii="Cambria Math" w:hAnsi="Cambria Math"/>
                      </w:rPr>
                      <m:t>τ</m:t>
                    </m:r>
                  </m:e>
                  <m:sub>
                    <m:r>
                      <m:rPr>
                        <m:sty m:val="p"/>
                      </m:rPr>
                      <w:rPr>
                        <w:rFonts w:ascii="Cambria Math" w:hAnsi="Cambria Math"/>
                      </w:rPr>
                      <m:t>Rd,c</m:t>
                    </m:r>
                  </m:sub>
                </m:sSub>
                <m:r>
                  <w:rPr>
                    <w:rFonts w:ascii="Cambria Math" w:hAnsi="Cambria Math"/>
                  </w:rPr>
                  <m:t>=</m:t>
                </m:r>
                <m:f>
                  <m:fPr>
                    <m:ctrlPr>
                      <w:rPr>
                        <w:rFonts w:ascii="Cambria Math" w:hAnsi="Cambria Math"/>
                      </w:rPr>
                    </m:ctrlPr>
                  </m:fPr>
                  <m:num>
                    <m:r>
                      <w:rPr>
                        <w:rFonts w:ascii="Cambria Math" w:hAnsi="Cambria Math"/>
                      </w:rPr>
                      <m:t>0,33</m:t>
                    </m:r>
                  </m:num>
                  <m:den>
                    <m:sSub>
                      <m:sSubPr>
                        <m:ctrlPr>
                          <w:rPr>
                            <w:rFonts w:ascii="Cambria Math" w:hAnsi="Cambria Math"/>
                          </w:rPr>
                        </m:ctrlPr>
                      </m:sSubPr>
                      <m:e>
                        <m:r>
                          <w:rPr>
                            <w:rFonts w:ascii="Cambria Math" w:hAnsi="Cambria Math"/>
                          </w:rPr>
                          <m:t>γ</m:t>
                        </m:r>
                      </m:e>
                      <m:sub>
                        <m:r>
                          <m:rPr>
                            <m:sty m:val="p"/>
                          </m:rPr>
                          <w:rPr>
                            <w:rFonts w:ascii="Cambria Math" w:hAnsi="Cambria Math"/>
                          </w:rPr>
                          <m:t>V</m:t>
                        </m:r>
                      </m:sub>
                    </m:sSub>
                  </m:den>
                </m:f>
                <m:r>
                  <w:rPr>
                    <w:rFonts w:ascii="Cambria Math" w:hAnsi="Cambria Math"/>
                  </w:rPr>
                  <m:t>∙</m:t>
                </m:r>
                <m:f>
                  <m:fPr>
                    <m:ctrlPr>
                      <w:rPr>
                        <w:rFonts w:ascii="Cambria Math" w:hAnsi="Cambria Math"/>
                        <w:i/>
                      </w:rPr>
                    </m:ctrlPr>
                  </m:fPr>
                  <m:num>
                    <m:sSubSup>
                      <m:sSubSupPr>
                        <m:ctrlPr>
                          <w:rPr>
                            <w:rFonts w:ascii="Cambria Math" w:hAnsi="Cambria Math"/>
                          </w:rPr>
                        </m:ctrlPr>
                      </m:sSubSupPr>
                      <m:e>
                        <m:r>
                          <w:rPr>
                            <w:rFonts w:ascii="Cambria Math" w:hAnsi="Cambria Math"/>
                          </w:rPr>
                          <m:t>γ</m:t>
                        </m:r>
                      </m:e>
                      <m:sub>
                        <m:r>
                          <m:rPr>
                            <m:sty m:val="p"/>
                          </m:rPr>
                          <w:rPr>
                            <w:rFonts w:ascii="Cambria Math" w:hAnsi="Cambria Math"/>
                          </w:rPr>
                          <m:t>def</m:t>
                        </m:r>
                      </m:sub>
                      <m:sup>
                        <m:r>
                          <m:rPr>
                            <m:sty m:val="p"/>
                          </m:rPr>
                          <w:rPr>
                            <w:rFonts w:ascii="Cambria Math" w:hAnsi="Cambria Math"/>
                          </w:rPr>
                          <m:t>2/3</m:t>
                        </m:r>
                      </m:sup>
                    </m:sSubSup>
                  </m:num>
                  <m:den>
                    <m:sSubSup>
                      <m:sSubSupPr>
                        <m:ctrlPr>
                          <w:rPr>
                            <w:rFonts w:ascii="Cambria Math" w:hAnsi="Cambria Math"/>
                            <w:i/>
                          </w:rPr>
                        </m:ctrlPr>
                      </m:sSubSupPr>
                      <m:e>
                        <m:r>
                          <w:rPr>
                            <w:rFonts w:ascii="Cambria Math" w:hAnsi="Cambria Math"/>
                          </w:rPr>
                          <m:t>γ</m:t>
                        </m:r>
                      </m:e>
                      <m:sub>
                        <m:r>
                          <m:rPr>
                            <m:sty m:val="p"/>
                          </m:rPr>
                          <w:rPr>
                            <w:rFonts w:ascii="Cambria Math" w:hAnsi="Cambria Math"/>
                          </w:rPr>
                          <m:t>v</m:t>
                        </m:r>
                      </m:sub>
                      <m:sup>
                        <m:r>
                          <w:rPr>
                            <w:rFonts w:ascii="Cambria Math" w:hAnsi="Cambria Math"/>
                          </w:rPr>
                          <m:t>2</m:t>
                        </m:r>
                      </m:sup>
                    </m:sSubSup>
                  </m:den>
                </m:f>
                <m:r>
                  <w:rPr>
                    <w:rFonts w:ascii="Cambria Math" w:hAnsi="Cambria Math"/>
                  </w:rPr>
                  <m:t>⋅</m:t>
                </m:r>
                <m:f>
                  <m:fPr>
                    <m:ctrlPr>
                      <w:rPr>
                        <w:rFonts w:ascii="Cambria Math" w:hAnsi="Cambria Math"/>
                      </w:rPr>
                    </m:ctrlPr>
                  </m:fPr>
                  <m:num>
                    <m:rad>
                      <m:radPr>
                        <m:degHide m:val="1"/>
                        <m:ctrlPr>
                          <w:rPr>
                            <w:rFonts w:ascii="Cambria Math" w:hAnsi="Cambria Math"/>
                          </w:rPr>
                        </m:ctrlPr>
                      </m:radPr>
                      <m:deg/>
                      <m:e>
                        <m:sSub>
                          <m:sSubPr>
                            <m:ctrlPr>
                              <w:rPr>
                                <w:rFonts w:ascii="Cambria Math" w:hAnsi="Cambria Math"/>
                              </w:rPr>
                            </m:ctrlPr>
                          </m:sSubPr>
                          <m:e>
                            <m:r>
                              <w:rPr>
                                <w:rFonts w:ascii="Cambria Math" w:hAnsi="Cambria Math"/>
                              </w:rPr>
                              <m:t>f</m:t>
                            </m:r>
                          </m:e>
                          <m:sub>
                            <m:r>
                              <m:rPr>
                                <m:sty m:val="p"/>
                              </m:rPr>
                              <w:rPr>
                                <w:rFonts w:ascii="Cambria Math" w:hAnsi="Cambria Math"/>
                              </w:rPr>
                              <m:t>ck</m:t>
                            </m:r>
                          </m:sub>
                        </m:sSub>
                      </m:e>
                    </m:rad>
                  </m:num>
                  <m:den>
                    <m:r>
                      <w:rPr>
                        <w:rFonts w:ascii="Cambria Math" w:hAnsi="Cambria Math"/>
                      </w:rPr>
                      <m:t>1+24</m:t>
                    </m:r>
                    <m:sSub>
                      <m:sSubPr>
                        <m:ctrlPr>
                          <w:rPr>
                            <w:rFonts w:ascii="Cambria Math" w:hAnsi="Cambria Math"/>
                          </w:rPr>
                        </m:ctrlPr>
                      </m:sSubPr>
                      <m:e>
                        <m:r>
                          <w:rPr>
                            <w:rFonts w:ascii="Cambria Math" w:hAnsi="Cambria Math"/>
                          </w:rPr>
                          <m:t>γ</m:t>
                        </m:r>
                      </m:e>
                      <m:sub>
                        <m:r>
                          <m:rPr>
                            <m:sty m:val="p"/>
                          </m:rPr>
                          <w:rPr>
                            <w:rFonts w:ascii="Cambria Math" w:hAnsi="Cambria Math"/>
                          </w:rPr>
                          <m:t>def</m:t>
                        </m:r>
                      </m:sub>
                    </m:sSub>
                    <m:r>
                      <w:rPr>
                        <w:rFonts w:ascii="Cambria Math" w:hAnsi="Cambria Math"/>
                      </w:rPr>
                      <m:t>⋅</m:t>
                    </m:r>
                    <m:sSub>
                      <m:sSubPr>
                        <m:ctrlPr>
                          <w:rPr>
                            <w:rFonts w:ascii="Cambria Math" w:hAnsi="Cambria Math"/>
                          </w:rPr>
                        </m:ctrlPr>
                      </m:sSubPr>
                      <m:e>
                        <m:r>
                          <w:rPr>
                            <w:rFonts w:ascii="Cambria Math" w:hAnsi="Cambria Math"/>
                          </w:rPr>
                          <m:t>ε</m:t>
                        </m:r>
                      </m:e>
                      <m:sub>
                        <m:r>
                          <m:rPr>
                            <m:sty m:val="p"/>
                          </m:rPr>
                          <w:rPr>
                            <w:rFonts w:ascii="Cambria Math" w:hAnsi="Cambria Math"/>
                          </w:rPr>
                          <m:t>v</m:t>
                        </m:r>
                      </m:sub>
                    </m:sSub>
                    <m:r>
                      <w:rPr>
                        <w:rFonts w:ascii="Cambria Math" w:hAnsi="Cambria Math"/>
                      </w:rPr>
                      <m:t>⋅</m:t>
                    </m:r>
                    <m:f>
                      <m:fPr>
                        <m:ctrlPr>
                          <w:rPr>
                            <w:rFonts w:ascii="Cambria Math" w:hAnsi="Cambria Math"/>
                          </w:rPr>
                        </m:ctrlPr>
                      </m:fPr>
                      <m:num>
                        <m:r>
                          <w:rPr>
                            <w:rFonts w:ascii="Cambria Math" w:hAnsi="Cambria Math"/>
                          </w:rPr>
                          <m:t>d</m:t>
                        </m:r>
                      </m:num>
                      <m:den>
                        <m:sSub>
                          <m:sSubPr>
                            <m:ctrlPr>
                              <w:rPr>
                                <w:rFonts w:ascii="Cambria Math" w:hAnsi="Cambria Math"/>
                              </w:rPr>
                            </m:ctrlPr>
                          </m:sSubPr>
                          <m:e>
                            <m:r>
                              <w:rPr>
                                <w:rFonts w:ascii="Cambria Math" w:hAnsi="Cambria Math"/>
                              </w:rPr>
                              <m:t>d</m:t>
                            </m:r>
                          </m:e>
                          <m:sub>
                            <m:r>
                              <m:rPr>
                                <m:sty m:val="p"/>
                              </m:rPr>
                              <w:rPr>
                                <w:rFonts w:ascii="Cambria Math" w:hAnsi="Cambria Math"/>
                              </w:rPr>
                              <m:t>dg</m:t>
                            </m:r>
                          </m:sub>
                        </m:sSub>
                      </m:den>
                    </m:f>
                  </m:den>
                </m:f>
              </m:oMath>
            </m:oMathPara>
          </w:p>
        </w:tc>
        <w:tc>
          <w:tcPr>
            <w:tcW w:w="1247" w:type="dxa"/>
            <w:vAlign w:val="center"/>
          </w:tcPr>
          <w:p w14:paraId="68676DA9" w14:textId="28284FE2" w:rsidR="00274F3B" w:rsidRPr="001455DC" w:rsidRDefault="00274F3B" w:rsidP="00274F3B">
            <w:pPr>
              <w:pStyle w:val="a7"/>
              <w:jc w:val="right"/>
            </w:pPr>
            <w:r w:rsidRPr="001455DC">
              <w:rPr>
                <w:lang w:eastAsia="de-CH"/>
              </w:rPr>
              <w:t>(I.7)</w:t>
            </w:r>
          </w:p>
        </w:tc>
      </w:tr>
    </w:tbl>
    <w:p w14:paraId="73AB736B" w14:textId="77777777" w:rsidR="00274F3B" w:rsidRPr="001455DC" w:rsidRDefault="00274F3B"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274F3B" w:rsidRPr="001455DC" w14:paraId="79A40C23" w14:textId="77777777" w:rsidTr="00274F3B">
        <w:trPr>
          <w:cantSplit/>
        </w:trPr>
        <w:tc>
          <w:tcPr>
            <w:tcW w:w="567" w:type="dxa"/>
          </w:tcPr>
          <w:p w14:paraId="1377CD9B" w14:textId="4F52446B" w:rsidR="00274F3B" w:rsidRPr="001455DC" w:rsidRDefault="00176770" w:rsidP="0000442A">
            <w:pPr>
              <w:pStyle w:val="Tablebody"/>
            </w:pPr>
            <w:r w:rsidRPr="001455DC">
              <w:rPr>
                <w:rStyle w:val="CCMCvariableitalic"/>
              </w:rPr>
              <w:t>ε</w:t>
            </w:r>
            <w:r w:rsidRPr="001455DC">
              <w:rPr>
                <w:rStyle w:val="CCMCvariablesubscript"/>
              </w:rPr>
              <w:t>v</w:t>
            </w:r>
          </w:p>
        </w:tc>
        <w:tc>
          <w:tcPr>
            <w:tcW w:w="8845" w:type="dxa"/>
          </w:tcPr>
          <w:p w14:paraId="76175EFD" w14:textId="22FC118C" w:rsidR="00274F3B" w:rsidRPr="001455DC" w:rsidRDefault="00176770">
            <w:pPr>
              <w:pStyle w:val="Tablebody"/>
            </w:pPr>
            <w:r w:rsidRPr="001455DC">
              <w:rPr>
                <w:lang w:eastAsia="de-CH"/>
              </w:rPr>
              <w:t>is the strain in the longitudinal reinforcement according to (2) which considers implicitly all effects covered by 8.2.2(3</w:t>
            </w:r>
            <w:r w:rsidR="006B663B" w:rsidRPr="001455DC">
              <w:rPr>
                <w:lang w:eastAsia="de-CH"/>
              </w:rPr>
              <w:t>) to (</w:t>
            </w:r>
            <w:r w:rsidRPr="001455DC">
              <w:rPr>
                <w:lang w:eastAsia="de-CH"/>
              </w:rPr>
              <w:t>4)</w:t>
            </w:r>
            <w:r w:rsidRPr="001455DC">
              <w:t>;</w:t>
            </w:r>
          </w:p>
        </w:tc>
      </w:tr>
      <w:tr w:rsidR="00274F3B" w:rsidRPr="001455DC" w14:paraId="34A24D13" w14:textId="77777777" w:rsidTr="00274F3B">
        <w:trPr>
          <w:cantSplit/>
        </w:trPr>
        <w:tc>
          <w:tcPr>
            <w:tcW w:w="567" w:type="dxa"/>
          </w:tcPr>
          <w:p w14:paraId="2572A137" w14:textId="6C6BE23E" w:rsidR="00274F3B" w:rsidRPr="001455DC" w:rsidRDefault="00176770" w:rsidP="0000442A">
            <w:pPr>
              <w:pStyle w:val="Tablebody"/>
            </w:pPr>
            <w:r w:rsidRPr="001455DC">
              <w:rPr>
                <w:rStyle w:val="CCMCvariableitalic"/>
              </w:rPr>
              <w:t>γ</w:t>
            </w:r>
            <w:r w:rsidRPr="001455DC">
              <w:rPr>
                <w:rStyle w:val="CCMCvariablesubscript"/>
              </w:rPr>
              <w:t>def</w:t>
            </w:r>
          </w:p>
        </w:tc>
        <w:tc>
          <w:tcPr>
            <w:tcW w:w="8845" w:type="dxa"/>
          </w:tcPr>
          <w:p w14:paraId="399F7041" w14:textId="3C89E8A6" w:rsidR="00274F3B" w:rsidRPr="001455DC" w:rsidRDefault="00176770" w:rsidP="0000442A">
            <w:pPr>
              <w:pStyle w:val="Tablebody"/>
            </w:pPr>
            <w:r w:rsidRPr="001455DC">
              <w:rPr>
                <w:lang w:eastAsia="de-CH"/>
              </w:rPr>
              <w:t>is a partial safety factor which covers the uncertainties related to the calculation of the deformation.</w:t>
            </w:r>
          </w:p>
        </w:tc>
      </w:tr>
    </w:tbl>
    <w:p w14:paraId="2C5F81C0" w14:textId="06DDF071" w:rsidR="004E22C1" w:rsidRPr="001455DC" w:rsidRDefault="004E22C1" w:rsidP="00274F3B">
      <w:pPr>
        <w:pStyle w:val="Note"/>
        <w:rPr>
          <w:lang w:eastAsia="de-CH"/>
        </w:rPr>
      </w:pPr>
      <w:r w:rsidRPr="001455DC">
        <w:t>NOTE</w:t>
      </w:r>
      <w:r w:rsidRPr="001455DC">
        <w:tab/>
      </w:r>
      <w:r w:rsidRPr="001455DC">
        <w:rPr>
          <w:rStyle w:val="CCMCvariableitalic"/>
        </w:rPr>
        <w:t>γ</w:t>
      </w:r>
      <w:r w:rsidRPr="001455DC">
        <w:rPr>
          <w:rStyle w:val="CCMCvariablesubscript"/>
        </w:rPr>
        <w:t>def</w:t>
      </w:r>
      <w:r w:rsidRPr="001455DC">
        <w:t> </w:t>
      </w:r>
      <w:r w:rsidR="00EC27D2" w:rsidRPr="001455DC">
        <w:rPr>
          <w:rFonts w:ascii="Cambria Math" w:hAnsi="Cambria Math"/>
        </w:rPr>
        <w:t>=</w:t>
      </w:r>
      <w:r w:rsidRPr="001455DC">
        <w:t> 1,33 unless a National Annex gives a different value.</w:t>
      </w:r>
    </w:p>
    <w:p w14:paraId="67016CED" w14:textId="77777777" w:rsidR="004E22C1" w:rsidRPr="001455DC" w:rsidRDefault="004E22C1" w:rsidP="00274F3B">
      <w:pPr>
        <w:pStyle w:val="a7"/>
      </w:pPr>
      <w:r w:rsidRPr="001455DC">
        <w:t xml:space="preserve">The shear stress resistance </w:t>
      </w:r>
      <w:r w:rsidRPr="001455DC">
        <w:rPr>
          <w:rStyle w:val="CCMCvariableitalic"/>
        </w:rPr>
        <w:t>τ</w:t>
      </w:r>
      <w:r w:rsidRPr="001455DC">
        <w:rPr>
          <w:rStyle w:val="CCMCvariablesubscript"/>
        </w:rPr>
        <w:t>Rd</w:t>
      </w:r>
      <w:r w:rsidRPr="001455DC">
        <w:t xml:space="preserve"> shall be not smaller than the design value of the shear stress </w:t>
      </w:r>
      <w:r w:rsidRPr="001455DC">
        <w:rPr>
          <w:rStyle w:val="CCMCvariableitalic"/>
        </w:rPr>
        <w:t>τ</w:t>
      </w:r>
      <w:r w:rsidRPr="001455DC">
        <w:rPr>
          <w:rStyle w:val="CCMCvariablesubscript"/>
        </w:rPr>
        <w:t>Ed</w:t>
      </w:r>
      <w:r w:rsidRPr="001455DC">
        <w:t xml:space="preserve"> calculated according to 8.2.1(3) for a cross section defined with the principles of 8.2.2(1), but located </w:t>
      </w:r>
      <w:r w:rsidRPr="001455DC">
        <w:rPr>
          <w:lang w:eastAsia="de-CH"/>
        </w:rPr>
        <w:t xml:space="preserve">not closer than </w:t>
      </w:r>
      <w:r w:rsidRPr="001455DC">
        <w:rPr>
          <w:rStyle w:val="CCMCvariableitalic"/>
        </w:rPr>
        <w:t>d</w:t>
      </w:r>
      <w:r w:rsidRPr="001455DC">
        <w:rPr>
          <w:lang w:eastAsia="de-CH"/>
        </w:rPr>
        <w:t>/2 from a support, a concentrated load or a discontinuity.</w:t>
      </w:r>
    </w:p>
    <w:p w14:paraId="3CBCB98F" w14:textId="77777777" w:rsidR="004E22C1" w:rsidRPr="001455DC" w:rsidRDefault="004E22C1" w:rsidP="00274F3B">
      <w:pPr>
        <w:pStyle w:val="a7"/>
      </w:pPr>
      <w:r w:rsidRPr="001455DC">
        <w:t>(2)</w:t>
      </w:r>
      <w:r w:rsidRPr="001455DC">
        <w:tab/>
        <w:t xml:space="preserve">The strain in the longitudinal tensile reinforcement </w:t>
      </w:r>
      <w:r w:rsidRPr="001455DC">
        <w:rPr>
          <w:rStyle w:val="CCMCvariableitalic"/>
        </w:rPr>
        <w:t>ε</w:t>
      </w:r>
      <w:r w:rsidRPr="001455DC">
        <w:rPr>
          <w:rStyle w:val="CCMCvariablesubscript"/>
        </w:rPr>
        <w:t>v</w:t>
      </w:r>
      <w:r w:rsidRPr="001455DC">
        <w:t xml:space="preserve"> at control section should be calculated according to the assumptions of 8.1.1 where a non-linear analysis of the structure may be performed. For planar members, it refers to the principal direction of the shear force according to 8.2.1(5) and may be averaged over the same width defined in 8.2.1(6).</w:t>
      </w:r>
    </w:p>
    <w:p w14:paraId="43157541" w14:textId="3B39ED8B" w:rsidR="00274F3B" w:rsidRPr="001455DC" w:rsidRDefault="004E22C1" w:rsidP="00116AE2">
      <w:pPr>
        <w:pStyle w:val="a7"/>
        <w:keepNext/>
      </w:pPr>
      <w:r w:rsidRPr="001455DC">
        <w:t>(3)</w:t>
      </w:r>
      <w:r w:rsidRPr="001455DC">
        <w:tab/>
        <w:t xml:space="preserve">For linear members with an effective depth </w:t>
      </w:r>
      <w:r w:rsidRPr="001455DC">
        <w:rPr>
          <w:rStyle w:val="CCMCvariableitalic"/>
        </w:rPr>
        <w:t>d</w:t>
      </w:r>
      <w:r w:rsidRPr="001455DC">
        <w:t> </w:t>
      </w:r>
      <w:r w:rsidR="00650035" w:rsidRPr="001455DC">
        <w:rPr>
          <w:rFonts w:ascii="Cambria Math" w:hAnsi="Cambria Math"/>
        </w:rPr>
        <w:t>&gt;</w:t>
      </w:r>
      <w:r w:rsidR="00073FC6" w:rsidRPr="001455DC">
        <w:t> </w:t>
      </w:r>
      <w:r w:rsidRPr="001455DC">
        <w:t>500 mm, the approach described in (1) and (2) should be used instead of the method of 8.2.2 or, alternatively, the resistances according to Formula (8.</w:t>
      </w:r>
      <w:r w:rsidR="006B663B" w:rsidRPr="001455DC">
        <w:t>16</w:t>
      </w:r>
      <w:r w:rsidRPr="001455DC">
        <w:t>) should be multiplied with following coefficient:</w:t>
      </w:r>
      <w:bookmarkStart w:id="1745" w:name="_Hlk48817469"/>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74F3B" w:rsidRPr="001455DC" w14:paraId="15BA4B88" w14:textId="77777777" w:rsidTr="00274F3B">
        <w:trPr>
          <w:cantSplit/>
        </w:trPr>
        <w:tc>
          <w:tcPr>
            <w:tcW w:w="8505" w:type="dxa"/>
            <w:vAlign w:val="center"/>
          </w:tcPr>
          <w:p w14:paraId="294014A2" w14:textId="1D75B407" w:rsidR="00274F3B" w:rsidRPr="001455DC" w:rsidRDefault="00231E33" w:rsidP="00D06D33">
            <w:pPr>
              <w:pStyle w:val="Formula"/>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rPr>
                      <m:t>vd</m:t>
                    </m:r>
                  </m:sub>
                </m:sSub>
                <m:r>
                  <w:rPr>
                    <w:rFonts w:ascii="Cambria Math" w:hAnsi="Cambria Math"/>
                  </w:rPr>
                  <m:t>=1,35</m:t>
                </m:r>
                <m:sSup>
                  <m:sSupPr>
                    <m:ctrlPr>
                      <w:rPr>
                        <w:rFonts w:ascii="Cambria Math" w:hAnsi="Cambria Math"/>
                      </w:rPr>
                    </m:ctrlPr>
                  </m:sSupPr>
                  <m:e>
                    <m:d>
                      <m:dPr>
                        <m:sepChr m:val=""/>
                        <m:ctrlPr>
                          <w:rPr>
                            <w:rFonts w:ascii="Cambria Math" w:hAnsi="Cambria Math"/>
                          </w:rPr>
                        </m:ctrlPr>
                      </m:dPr>
                      <m:e>
                        <m:r>
                          <w:rPr>
                            <w:rFonts w:ascii="Cambria Math" w:hAnsi="Cambria Math"/>
                          </w:rPr>
                          <m:t>100</m:t>
                        </m:r>
                      </m:e>
                      <m:e>
                        <m:sSub>
                          <m:sSubPr>
                            <m:ctrlPr>
                              <w:rPr>
                                <w:rFonts w:ascii="Cambria Math" w:hAnsi="Cambria Math"/>
                              </w:rPr>
                            </m:ctrlPr>
                          </m:sSubPr>
                          <m:e>
                            <m:r>
                              <w:rPr>
                                <w:rFonts w:ascii="Cambria Math" w:hAnsi="Cambria Math"/>
                              </w:rPr>
                              <m:t>ρ</m:t>
                            </m:r>
                          </m:e>
                          <m:sub>
                            <m:r>
                              <m:rPr>
                                <m:sty m:val="p"/>
                              </m:rPr>
                              <w:rPr>
                                <w:rFonts w:ascii="Cambria Math" w:hAnsi="Cambria Math"/>
                              </w:rPr>
                              <m:t>l</m:t>
                            </m:r>
                          </m:sub>
                        </m:sSub>
                      </m:e>
                      <m:e>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dg</m:t>
                                </m:r>
                              </m:sub>
                            </m:sSub>
                          </m:num>
                          <m:den>
                            <m:r>
                              <w:rPr>
                                <w:rFonts w:ascii="Cambria Math" w:hAnsi="Cambria Math"/>
                              </w:rPr>
                              <m:t>d</m:t>
                            </m:r>
                          </m:den>
                        </m:f>
                      </m:e>
                    </m:d>
                  </m:e>
                  <m:sup>
                    <m:f>
                      <m:fPr>
                        <m:type m:val="lin"/>
                        <m:ctrlPr>
                          <w:rPr>
                            <w:rFonts w:ascii="Cambria Math" w:hAnsi="Cambria Math"/>
                          </w:rPr>
                        </m:ctrlPr>
                      </m:fPr>
                      <m:num>
                        <m:r>
                          <w:rPr>
                            <w:rFonts w:ascii="Cambria Math" w:hAnsi="Cambria Math"/>
                          </w:rPr>
                          <m:t>1</m:t>
                        </m:r>
                      </m:num>
                      <m:den>
                        <m:r>
                          <w:rPr>
                            <w:rFonts w:ascii="Cambria Math" w:hAnsi="Cambria Math"/>
                          </w:rPr>
                          <m:t>10</m:t>
                        </m:r>
                      </m:den>
                    </m:f>
                  </m:sup>
                </m:sSup>
                <m:r>
                  <w:rPr>
                    <w:rFonts w:ascii="Cambria Math" w:hAnsi="Cambria Math"/>
                  </w:rPr>
                  <m:t>≤1,0</m:t>
                </m:r>
              </m:oMath>
            </m:oMathPara>
          </w:p>
        </w:tc>
        <w:tc>
          <w:tcPr>
            <w:tcW w:w="1247" w:type="dxa"/>
            <w:vAlign w:val="center"/>
          </w:tcPr>
          <w:p w14:paraId="1A645269" w14:textId="3D7D0124" w:rsidR="00274F3B" w:rsidRPr="001455DC" w:rsidRDefault="00176770" w:rsidP="00274F3B">
            <w:pPr>
              <w:pStyle w:val="a7"/>
              <w:jc w:val="right"/>
            </w:pPr>
            <w:r w:rsidRPr="001455DC">
              <w:rPr>
                <w:lang w:eastAsia="de-CH"/>
              </w:rPr>
              <w:t>(I.8)</w:t>
            </w:r>
          </w:p>
        </w:tc>
      </w:tr>
    </w:tbl>
    <w:p w14:paraId="6EBBF2DA" w14:textId="0D30C4D5" w:rsidR="004E22C1" w:rsidRPr="001455DC" w:rsidRDefault="004E22C1" w:rsidP="00243590">
      <w:pPr>
        <w:pStyle w:val="a4"/>
      </w:pPr>
      <w:bookmarkStart w:id="1746" w:name="_Toc52820223"/>
      <w:bookmarkStart w:id="1747" w:name="_Toc54337648"/>
      <w:bookmarkStart w:id="1748" w:name="_Toc54338277"/>
      <w:bookmarkEnd w:id="1745"/>
      <w:r w:rsidRPr="001455DC">
        <w:t>Detailed verification of members requiring design shear reinforcement</w:t>
      </w:r>
      <w:bookmarkEnd w:id="1746"/>
      <w:bookmarkEnd w:id="1747"/>
      <w:bookmarkEnd w:id="1748"/>
    </w:p>
    <w:p w14:paraId="3B60915A" w14:textId="77777777" w:rsidR="004E22C1" w:rsidRPr="001455DC" w:rsidRDefault="004E22C1" w:rsidP="00116AE2">
      <w:pPr>
        <w:pStyle w:val="a7"/>
        <w:keepNext/>
      </w:pPr>
      <w:r w:rsidRPr="001455DC">
        <w:t>(1)</w:t>
      </w:r>
      <w:r w:rsidRPr="001455DC">
        <w:tab/>
        <w:t>The assessment of members requiring design shear reinforcement may be conducted stepwise as follows:</w:t>
      </w:r>
    </w:p>
    <w:p w14:paraId="02B502CA" w14:textId="22FBD58E" w:rsidR="004E22C1" w:rsidRPr="001455DC" w:rsidRDefault="004E22C1" w:rsidP="00176770">
      <w:pPr>
        <w:pStyle w:val="a7"/>
        <w:ind w:left="397" w:hanging="397"/>
      </w:pPr>
      <w:r w:rsidRPr="001455DC">
        <w:t>i.</w:t>
      </w:r>
      <w:r w:rsidRPr="001455DC">
        <w:tab/>
        <w:t>with the simplified method according to 8.2.3(1</w:t>
      </w:r>
      <w:r w:rsidR="0058143E" w:rsidRPr="001455DC">
        <w:t>) to (</w:t>
      </w:r>
      <w:r w:rsidRPr="001455DC">
        <w:t>5) without explicit calculation of strains;</w:t>
      </w:r>
    </w:p>
    <w:p w14:paraId="7538B1BB" w14:textId="77777777" w:rsidR="004E22C1" w:rsidRPr="001455DC" w:rsidRDefault="004E22C1" w:rsidP="00176770">
      <w:pPr>
        <w:pStyle w:val="a7"/>
        <w:ind w:left="397" w:hanging="397"/>
      </w:pPr>
      <w:r w:rsidRPr="001455DC">
        <w:t>ii.</w:t>
      </w:r>
      <w:r w:rsidRPr="001455DC">
        <w:tab/>
        <w:t>with the refined method according to 8.2.3(6) with explicit calculation of strains;</w:t>
      </w:r>
    </w:p>
    <w:p w14:paraId="1B07558A" w14:textId="77777777" w:rsidR="004E22C1" w:rsidRPr="001455DC" w:rsidRDefault="004E22C1" w:rsidP="00176770">
      <w:pPr>
        <w:pStyle w:val="a7"/>
        <w:ind w:left="397" w:hanging="397"/>
      </w:pPr>
      <w:r w:rsidRPr="001455DC">
        <w:t>iii.</w:t>
      </w:r>
      <w:r w:rsidRPr="001455DC">
        <w:tab/>
        <w:t>according to Annex G where the strain compatibility is accounted for;</w:t>
      </w:r>
    </w:p>
    <w:p w14:paraId="03694A41" w14:textId="323C6893" w:rsidR="004E22C1" w:rsidRPr="001455DC" w:rsidRDefault="004E22C1" w:rsidP="00176770">
      <w:pPr>
        <w:pStyle w:val="a7"/>
        <w:ind w:left="397" w:hanging="397"/>
      </w:pPr>
      <w:r w:rsidRPr="001455DC">
        <w:t>iv.</w:t>
      </w:r>
      <w:r w:rsidRPr="001455DC">
        <w:tab/>
        <w:t>with a refined nonlinear analysis according to 7.3.4.</w:t>
      </w:r>
    </w:p>
    <w:p w14:paraId="669B87FF" w14:textId="77777777" w:rsidR="00274F3B" w:rsidRPr="001455DC" w:rsidRDefault="004E22C1" w:rsidP="00274F3B">
      <w:pPr>
        <w:pStyle w:val="a7"/>
      </w:pPr>
      <w:r w:rsidRPr="001455DC">
        <w:t>(2)</w:t>
      </w:r>
      <w:r w:rsidRPr="001455DC">
        <w:tab/>
        <w:t xml:space="preserve">For members with shear reinforcement of ductility class B or C not complying with the requirement of minimum reinforcement ratio </w:t>
      </w:r>
      <w:r w:rsidRPr="001455DC">
        <w:rPr>
          <w:rStyle w:val="CCMCvariableitalic"/>
        </w:rPr>
        <w:t>ρ</w:t>
      </w:r>
      <w:r w:rsidRPr="001455DC">
        <w:rPr>
          <w:rStyle w:val="CCMCvariablesubscript"/>
        </w:rPr>
        <w:t>w,min</w:t>
      </w:r>
      <w:r w:rsidRPr="001455DC">
        <w:t xml:space="preserve"> according to 12.2(4) (e.g. designed according to previous standards or for cases where the actual </w:t>
      </w:r>
      <w:r w:rsidRPr="001455DC">
        <w:rPr>
          <w:rStyle w:val="CCMCvariableitalic"/>
        </w:rPr>
        <w:t>f</w:t>
      </w:r>
      <w:r w:rsidRPr="001455DC">
        <w:rPr>
          <w:rStyle w:val="CCMCvariablesubscript"/>
        </w:rPr>
        <w:t>ck</w:t>
      </w:r>
      <w:r w:rsidRPr="001455DC">
        <w:t xml:space="preserve"> is higher than assumed during the design), the shear resistance may be calculated according to:</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74F3B" w:rsidRPr="001455DC" w14:paraId="1F2732DB" w14:textId="77777777" w:rsidTr="00274F3B">
        <w:trPr>
          <w:cantSplit/>
        </w:trPr>
        <w:tc>
          <w:tcPr>
            <w:tcW w:w="8505" w:type="dxa"/>
            <w:vAlign w:val="center"/>
          </w:tcPr>
          <w:p w14:paraId="77BD29C9" w14:textId="2A081CF3" w:rsidR="00274F3B" w:rsidRPr="001455DC" w:rsidRDefault="00231E33" w:rsidP="00D06D33">
            <w:pPr>
              <w:pStyle w:val="Formula"/>
            </w:pPr>
            <m:oMathPara>
              <m:oMathParaPr>
                <m:jc m:val="left"/>
              </m:oMathParaPr>
              <m:oMath>
                <m:sSub>
                  <m:sSubPr>
                    <m:ctrlPr>
                      <w:rPr>
                        <w:rFonts w:ascii="Cambria Math" w:hAnsi="Cambria Math"/>
                      </w:rPr>
                    </m:ctrlPr>
                  </m:sSubPr>
                  <m:e>
                    <m:r>
                      <w:rPr>
                        <w:rFonts w:ascii="Cambria Math" w:hAnsi="Cambria Math"/>
                      </w:rPr>
                      <m:t>τ</m:t>
                    </m:r>
                  </m:e>
                  <m:sub>
                    <m:r>
                      <m:rPr>
                        <m:sty m:val="p"/>
                      </m:rPr>
                      <w:rPr>
                        <w:rFonts w:ascii="Cambria Math" w:hAnsi="Cambria Math"/>
                      </w:rPr>
                      <m:t>Rd</m:t>
                    </m:r>
                  </m:sub>
                </m:sSub>
                <m:r>
                  <m:rPr>
                    <m:sty m:val="p"/>
                  </m:rPr>
                  <w:rPr>
                    <w:rFonts w:ascii="Cambria Math" w:hAnsi="Cambria Math"/>
                  </w:rPr>
                  <m:t>=</m:t>
                </m:r>
                <m:sSub>
                  <m:sSubPr>
                    <m:ctrlPr>
                      <w:rPr>
                        <w:rFonts w:ascii="Cambria Math" w:hAnsi="Cambria Math"/>
                      </w:rPr>
                    </m:ctrlPr>
                  </m:sSubPr>
                  <m:e>
                    <m:r>
                      <w:rPr>
                        <w:rFonts w:ascii="Cambria Math" w:hAnsi="Cambria Math"/>
                      </w:rPr>
                      <m:t>τ</m:t>
                    </m:r>
                  </m:e>
                  <m:sub>
                    <m:r>
                      <m:rPr>
                        <m:sty m:val="p"/>
                      </m:rPr>
                      <w:rPr>
                        <w:rFonts w:ascii="Cambria Math" w:hAnsi="Cambria Math"/>
                      </w:rPr>
                      <m:t>Rd,c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ρ</m:t>
                        </m:r>
                      </m:e>
                      <m:sub>
                        <m:r>
                          <w:rPr>
                            <w:rFonts w:ascii="Cambria Math" w:hAnsi="Cambria Math"/>
                          </w:rPr>
                          <m:t>w</m:t>
                        </m:r>
                      </m:sub>
                    </m:sSub>
                  </m:num>
                  <m:den>
                    <m:sSub>
                      <m:sSubPr>
                        <m:ctrlPr>
                          <w:rPr>
                            <w:rFonts w:ascii="Cambria Math" w:hAnsi="Cambria Math"/>
                          </w:rPr>
                        </m:ctrlPr>
                      </m:sSubPr>
                      <m:e>
                        <m:r>
                          <w:rPr>
                            <w:rFonts w:ascii="Cambria Math" w:hAnsi="Cambria Math"/>
                          </w:rPr>
                          <m:t>ρ</m:t>
                        </m:r>
                      </m:e>
                      <m:sub>
                        <m:r>
                          <m:rPr>
                            <m:sty m:val="p"/>
                          </m:rPr>
                          <w:rPr>
                            <w:rFonts w:ascii="Cambria Math" w:hAnsi="Cambria Math"/>
                          </w:rPr>
                          <m:t>w,min</m:t>
                        </m:r>
                      </m:sub>
                    </m:sSub>
                  </m:den>
                </m:f>
                <m:d>
                  <m:dPr>
                    <m:ctrlPr>
                      <w:rPr>
                        <w:rFonts w:ascii="Cambria Math" w:hAnsi="Cambria Math"/>
                      </w:rPr>
                    </m:ctrlPr>
                  </m:dPr>
                  <m:e>
                    <m:sSub>
                      <m:sSubPr>
                        <m:ctrlPr>
                          <w:rPr>
                            <w:rFonts w:ascii="Cambria Math" w:hAnsi="Cambria Math"/>
                          </w:rPr>
                        </m:ctrlPr>
                      </m:sSubPr>
                      <m:e>
                        <m:r>
                          <w:rPr>
                            <w:rFonts w:ascii="Cambria Math" w:hAnsi="Cambria Math"/>
                          </w:rPr>
                          <m:t>τ</m:t>
                        </m:r>
                      </m:e>
                      <m:sub>
                        <m:r>
                          <m:rPr>
                            <m:sty m:val="p"/>
                          </m:rPr>
                          <w:rPr>
                            <w:rFonts w:ascii="Cambria Math" w:hAnsi="Cambria Math"/>
                          </w:rPr>
                          <m:t>Rd,w</m:t>
                        </m:r>
                      </m:sub>
                    </m:sSub>
                    <m:r>
                      <w:rPr>
                        <w:rFonts w:ascii="Cambria Math" w:hAnsi="Cambria Math"/>
                      </w:rPr>
                      <m:t>-</m:t>
                    </m:r>
                    <m:sSub>
                      <m:sSubPr>
                        <m:ctrlPr>
                          <w:rPr>
                            <w:rFonts w:ascii="Cambria Math" w:hAnsi="Cambria Math"/>
                          </w:rPr>
                        </m:ctrlPr>
                      </m:sSubPr>
                      <m:e>
                        <m:r>
                          <w:rPr>
                            <w:rFonts w:ascii="Cambria Math" w:hAnsi="Cambria Math"/>
                          </w:rPr>
                          <m:t>τ</m:t>
                        </m:r>
                      </m:e>
                      <m:sub>
                        <m:r>
                          <m:rPr>
                            <m:sty m:val="p"/>
                          </m:rPr>
                          <w:rPr>
                            <w:rFonts w:ascii="Cambria Math" w:hAnsi="Cambria Math"/>
                          </w:rPr>
                          <m:t>Rd,c</m:t>
                        </m:r>
                      </m:sub>
                    </m:sSub>
                  </m:e>
                </m:d>
                <m:r>
                  <m:rPr>
                    <m:sty m:val="p"/>
                  </m:rPr>
                  <w:rPr>
                    <w:rFonts w:ascii="Cambria Math" w:hAnsi="Cambria Math"/>
                  </w:rPr>
                  <m:t>≥</m:t>
                </m:r>
                <m:sSub>
                  <m:sSubPr>
                    <m:ctrlPr>
                      <w:rPr>
                        <w:rFonts w:ascii="Cambria Math" w:hAnsi="Cambria Math"/>
                      </w:rPr>
                    </m:ctrlPr>
                  </m:sSubPr>
                  <m:e>
                    <m:r>
                      <w:rPr>
                        <w:rFonts w:ascii="Cambria Math" w:hAnsi="Cambria Math"/>
                      </w:rPr>
                      <m:t>τ</m:t>
                    </m:r>
                  </m:e>
                  <m:sub>
                    <m:r>
                      <m:rPr>
                        <m:sty m:val="p"/>
                      </m:rPr>
                      <w:rPr>
                        <w:rFonts w:ascii="Cambria Math" w:hAnsi="Cambria Math"/>
                      </w:rPr>
                      <m:t>Rd,c</m:t>
                    </m:r>
                  </m:sub>
                </m:sSub>
              </m:oMath>
            </m:oMathPara>
          </w:p>
        </w:tc>
        <w:tc>
          <w:tcPr>
            <w:tcW w:w="1247" w:type="dxa"/>
            <w:vAlign w:val="center"/>
          </w:tcPr>
          <w:p w14:paraId="2EF8F04B" w14:textId="0584E5B8" w:rsidR="00274F3B" w:rsidRPr="001455DC" w:rsidRDefault="00176770" w:rsidP="00274F3B">
            <w:pPr>
              <w:pStyle w:val="a7"/>
              <w:jc w:val="right"/>
            </w:pPr>
            <w:r w:rsidRPr="001455DC">
              <w:rPr>
                <w:lang w:eastAsia="de-CH"/>
              </w:rPr>
              <w:t>(I.9)</w:t>
            </w:r>
          </w:p>
        </w:tc>
      </w:tr>
    </w:tbl>
    <w:p w14:paraId="2A415D68" w14:textId="2731CFEF" w:rsidR="004E22C1" w:rsidRPr="001455DC" w:rsidRDefault="004E22C1" w:rsidP="00274F3B">
      <w:pPr>
        <w:pStyle w:val="a7"/>
      </w:pPr>
      <w:r w:rsidRPr="001455DC">
        <w:t xml:space="preserve">where </w:t>
      </w:r>
      <w:r w:rsidRPr="001455DC">
        <w:rPr>
          <w:rStyle w:val="CCMCvariableitalic"/>
        </w:rPr>
        <w:t>τ</w:t>
      </w:r>
      <w:r w:rsidRPr="001455DC">
        <w:rPr>
          <w:rStyle w:val="CCMCvariablesubscript"/>
        </w:rPr>
        <w:t>Rd,w</w:t>
      </w:r>
      <w:r w:rsidRPr="001455DC">
        <w:t xml:space="preserve"> is the shear resistance calculated according to 8.2.3 of the member with </w:t>
      </w:r>
      <w:r w:rsidRPr="001455DC">
        <w:rPr>
          <w:rStyle w:val="CCMCvariableitalic"/>
        </w:rPr>
        <w:t>ρ</w:t>
      </w:r>
      <w:r w:rsidRPr="001455DC">
        <w:rPr>
          <w:rStyle w:val="CCMCvariablesubscript"/>
        </w:rPr>
        <w:t>w</w:t>
      </w:r>
      <w:r w:rsidRPr="001455DC">
        <w:t> </w:t>
      </w:r>
      <w:r w:rsidR="00EC27D2" w:rsidRPr="001455DC">
        <w:rPr>
          <w:rFonts w:ascii="Cambria Math" w:hAnsi="Cambria Math"/>
        </w:rPr>
        <w:t>=</w:t>
      </w:r>
      <w:r w:rsidRPr="001455DC">
        <w:t> </w:t>
      </w:r>
      <w:r w:rsidRPr="001455DC">
        <w:rPr>
          <w:rStyle w:val="CCMCvariableitalic"/>
        </w:rPr>
        <w:t>ρ</w:t>
      </w:r>
      <w:r w:rsidRPr="001455DC">
        <w:rPr>
          <w:rStyle w:val="CCMCvariablesubscript"/>
        </w:rPr>
        <w:t>w,min</w:t>
      </w:r>
      <w:r w:rsidRPr="001455DC">
        <w:t>.</w:t>
      </w:r>
    </w:p>
    <w:p w14:paraId="3F752923" w14:textId="470FB92D" w:rsidR="00274F3B" w:rsidRPr="001455DC" w:rsidRDefault="004E22C1" w:rsidP="00274F3B">
      <w:pPr>
        <w:pStyle w:val="a7"/>
      </w:pPr>
      <w:r w:rsidRPr="001455DC">
        <w:t>(3)</w:t>
      </w:r>
      <w:r w:rsidRPr="001455DC">
        <w:tab/>
        <w:t xml:space="preserve">For members not complying with the requirement of maximum longitudinal spacing </w:t>
      </w:r>
      <w:r w:rsidRPr="001455DC">
        <w:rPr>
          <w:rStyle w:val="CCMCvariableitalic"/>
        </w:rPr>
        <w:t>s</w:t>
      </w:r>
      <w:r w:rsidRPr="001455DC">
        <w:t xml:space="preserve"> of shear reinforcement according to Table 12.1, unless more refined models are used, the shear resistance </w:t>
      </w:r>
      <w:r w:rsidRPr="001455DC">
        <w:rPr>
          <w:rStyle w:val="CCMCvariableitalic"/>
        </w:rPr>
        <w:t>τ</w:t>
      </w:r>
      <w:r w:rsidRPr="001455DC">
        <w:rPr>
          <w:rStyle w:val="CCMCvariablesubscript"/>
        </w:rPr>
        <w:t>Rd,sy</w:t>
      </w:r>
      <w:r w:rsidRPr="001455DC">
        <w:t xml:space="preserve"> according to Formula (8.</w:t>
      </w:r>
      <w:r w:rsidR="0058143E" w:rsidRPr="001455DC">
        <w:t>27</w:t>
      </w:r>
      <w:r w:rsidRPr="001455DC">
        <w:t xml:space="preserve">) should be multiplied with coefficient </w:t>
      </w:r>
      <w:r w:rsidRPr="001455DC">
        <w:rPr>
          <w:rStyle w:val="CCMCvariableitalic"/>
        </w:rPr>
        <w:t>k</w:t>
      </w:r>
      <w:r w:rsidRPr="001455DC">
        <w:rPr>
          <w:rStyle w:val="CCMCvariablesubscript"/>
        </w:rPr>
        <w:t>ns</w:t>
      </w:r>
      <w:r w:rsidRPr="001455DC">
        <w:t xml:space="preserve"> and the stress in the compression field </w:t>
      </w:r>
      <w:r w:rsidRPr="001455DC">
        <w:rPr>
          <w:rStyle w:val="CCMCvariableitalic"/>
        </w:rPr>
        <w:t>σ</w:t>
      </w:r>
      <w:r w:rsidRPr="001455DC">
        <w:rPr>
          <w:rStyle w:val="CCMCvariablesubscript"/>
        </w:rPr>
        <w:t>cd</w:t>
      </w:r>
      <w:r w:rsidRPr="001455DC">
        <w:t xml:space="preserve"> according to Formula (8.</w:t>
      </w:r>
      <w:r w:rsidR="0058143E" w:rsidRPr="001455DC">
        <w:t>29</w:t>
      </w:r>
      <w:r w:rsidRPr="001455DC">
        <w:t xml:space="preserve">) should be divided by coefficient </w:t>
      </w:r>
      <w:r w:rsidRPr="001455DC">
        <w:rPr>
          <w:rStyle w:val="CCMCvariableitalic"/>
        </w:rPr>
        <w:t>k</w:t>
      </w:r>
      <w:r w:rsidRPr="001455DC">
        <w:rPr>
          <w:rStyle w:val="CCMCvariablesubscript"/>
        </w:rPr>
        <w:t>ns</w:t>
      </w:r>
      <w:r w:rsidRPr="001455DC">
        <w:t xml:space="preserve"> which can be calculated as follows: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74F3B" w:rsidRPr="001455DC" w14:paraId="392CF765" w14:textId="77777777" w:rsidTr="00274F3B">
        <w:trPr>
          <w:cantSplit/>
        </w:trPr>
        <w:tc>
          <w:tcPr>
            <w:tcW w:w="8505" w:type="dxa"/>
            <w:vAlign w:val="center"/>
          </w:tcPr>
          <w:p w14:paraId="0CB7F551" w14:textId="03B3FDFB" w:rsidR="00274F3B" w:rsidRPr="001455DC" w:rsidRDefault="00231E33" w:rsidP="00D06D33">
            <w:pPr>
              <w:pStyle w:val="Formula"/>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rPr>
                      <m:t>ns</m:t>
                    </m:r>
                  </m:sub>
                </m:sSub>
                <m:r>
                  <m:rPr>
                    <m:sty m:val="p"/>
                  </m:rPr>
                  <w:rPr>
                    <w:rFonts w:ascii="Cambria Math" w:hAnsi="Cambria Math"/>
                  </w:rPr>
                  <m:t>=1-</m:t>
                </m:r>
                <m:f>
                  <m:fPr>
                    <m:ctrlPr>
                      <w:rPr>
                        <w:rFonts w:ascii="Cambria Math" w:hAnsi="Cambria Math"/>
                      </w:rPr>
                    </m:ctrlPr>
                  </m:fPr>
                  <m:num>
                    <m:r>
                      <w:rPr>
                        <w:rFonts w:ascii="Cambria Math" w:hAnsi="Cambria Math"/>
                      </w:rPr>
                      <m:t>s</m:t>
                    </m:r>
                  </m:num>
                  <m:den>
                    <m:r>
                      <w:rPr>
                        <w:rFonts w:ascii="Cambria Math" w:hAnsi="Cambria Math"/>
                      </w:rPr>
                      <m:t>z</m:t>
                    </m:r>
                    <m:r>
                      <m:rPr>
                        <m:sty m:val="p"/>
                      </m:rPr>
                      <w:rPr>
                        <w:rFonts w:ascii="Cambria Math" w:hAnsi="Cambria Math"/>
                      </w:rPr>
                      <m:t>cot</m:t>
                    </m:r>
                    <m:r>
                      <w:rPr>
                        <w:rFonts w:ascii="Cambria Math" w:hAnsi="Cambria Math"/>
                      </w:rPr>
                      <m:t>θ</m:t>
                    </m:r>
                  </m:den>
                </m:f>
              </m:oMath>
            </m:oMathPara>
          </w:p>
        </w:tc>
        <w:tc>
          <w:tcPr>
            <w:tcW w:w="1247" w:type="dxa"/>
            <w:vAlign w:val="center"/>
          </w:tcPr>
          <w:p w14:paraId="084AD07D" w14:textId="3D114876" w:rsidR="00274F3B" w:rsidRPr="001455DC" w:rsidRDefault="00176770" w:rsidP="00274F3B">
            <w:pPr>
              <w:pStyle w:val="a7"/>
              <w:jc w:val="right"/>
            </w:pPr>
            <w:r w:rsidRPr="001455DC">
              <w:rPr>
                <w:lang w:eastAsia="de-CH"/>
              </w:rPr>
              <w:t>(I.10)</w:t>
            </w:r>
          </w:p>
        </w:tc>
      </w:tr>
    </w:tbl>
    <w:p w14:paraId="5F627A3B" w14:textId="413FD9C6" w:rsidR="00274F3B" w:rsidRPr="001455DC" w:rsidRDefault="004E22C1" w:rsidP="00274F3B">
      <w:pPr>
        <w:pStyle w:val="a7"/>
      </w:pPr>
      <w:r w:rsidRPr="001455DC">
        <w:rPr>
          <w:lang w:eastAsia="de-CH"/>
        </w:rPr>
        <w:t>(4)</w:t>
      </w:r>
      <w:r w:rsidRPr="001455DC">
        <w:rPr>
          <w:lang w:eastAsia="de-CH"/>
        </w:rPr>
        <w:tab/>
      </w:r>
      <w:r w:rsidRPr="001455DC">
        <w:t xml:space="preserve">If the transverse spacing of shear legs in an existing member is larger than the maximum value given in 12.3.1 and 12.4.1 for beams and slabs respectively, and if both 8.2.1(1)(i) and 8.2.1(1)(ii) are not fulfilled, the shear resistance should be evaluated by considering the value for the width of the cross section </w:t>
      </w:r>
      <m:oMath>
        <m:sSub>
          <m:sSubPr>
            <m:ctrlPr>
              <w:rPr>
                <w:rFonts w:ascii="Cambria Math" w:hAnsi="Cambria Math"/>
              </w:rPr>
            </m:ctrlPr>
          </m:sSubPr>
          <m:e>
            <m:r>
              <w:rPr>
                <w:rFonts w:ascii="Cambria Math" w:hAnsi="Cambria Math"/>
              </w:rPr>
              <m:t>b</m:t>
            </m:r>
          </m:e>
          <m:sub>
            <m:r>
              <m:rPr>
                <m:sty m:val="p"/>
              </m:rPr>
              <w:rPr>
                <w:rFonts w:ascii="Cambria Math" w:hAnsi="Cambria Math"/>
              </w:rPr>
              <m:t>w</m:t>
            </m:r>
          </m:sub>
        </m:sSub>
      </m:oMath>
      <w:r w:rsidRPr="001455DC">
        <w:t xml:space="preserve"> given in formula (I.11) unless more refined models that consider the existing shear legs are used to evaluate shear resistance.</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74F3B" w:rsidRPr="001455DC" w14:paraId="5B53744A" w14:textId="77777777" w:rsidTr="00274F3B">
        <w:trPr>
          <w:cantSplit/>
        </w:trPr>
        <w:tc>
          <w:tcPr>
            <w:tcW w:w="8505" w:type="dxa"/>
            <w:vAlign w:val="center"/>
          </w:tcPr>
          <w:p w14:paraId="5FF8248A" w14:textId="344FF44A" w:rsidR="00274F3B" w:rsidRPr="001455DC" w:rsidRDefault="00231E33" w:rsidP="00D06D33">
            <w:pPr>
              <w:pStyle w:val="Formula"/>
            </w:pPr>
            <m:oMathPara>
              <m:oMathParaPr>
                <m:jc m:val="left"/>
              </m:oMathParaPr>
              <m:oMath>
                <m:sSub>
                  <m:sSubPr>
                    <m:ctrlPr>
                      <w:rPr>
                        <w:rFonts w:ascii="Cambria Math" w:hAnsi="Cambria Math"/>
                      </w:rPr>
                    </m:ctrlPr>
                  </m:sSubPr>
                  <m:e>
                    <m:r>
                      <w:rPr>
                        <w:rFonts w:ascii="Cambria Math" w:hAnsi="Cambria Math"/>
                      </w:rPr>
                      <m:t>b</m:t>
                    </m:r>
                  </m:e>
                  <m:sub>
                    <m:r>
                      <m:rPr>
                        <m:sty m:val="p"/>
                      </m:rPr>
                      <w:rPr>
                        <w:rFonts w:ascii="Cambria Math" w:hAnsi="Cambria Math"/>
                      </w:rPr>
                      <m:t>w</m:t>
                    </m:r>
                  </m:sub>
                </m:sSub>
                <m:r>
                  <w:rPr>
                    <w:rFonts w:ascii="Cambria Math" w:hAnsi="Cambria Math"/>
                  </w:rPr>
                  <m:t>=</m:t>
                </m:r>
                <m:nary>
                  <m:naryPr>
                    <m:chr m:val="∑"/>
                    <m:limLoc m:val="undOvr"/>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b</m:t>
                        </m:r>
                      </m:e>
                      <m:sub>
                        <m:r>
                          <m:rPr>
                            <m:sty m:val="p"/>
                          </m:rPr>
                          <w:rPr>
                            <w:rFonts w:ascii="Cambria Math" w:hAnsi="Cambria Math"/>
                          </w:rPr>
                          <m:t>w,i</m:t>
                        </m:r>
                      </m:sub>
                    </m:sSub>
                  </m:e>
                </m:nary>
              </m:oMath>
            </m:oMathPara>
          </w:p>
        </w:tc>
        <w:tc>
          <w:tcPr>
            <w:tcW w:w="1247" w:type="dxa"/>
            <w:vAlign w:val="center"/>
          </w:tcPr>
          <w:p w14:paraId="4D9EACAE" w14:textId="455BDCB9" w:rsidR="00274F3B" w:rsidRPr="001455DC" w:rsidRDefault="00176770" w:rsidP="00274F3B">
            <w:pPr>
              <w:pStyle w:val="a7"/>
              <w:jc w:val="right"/>
            </w:pPr>
            <w:r w:rsidRPr="001455DC">
              <w:t>(I.11)</w:t>
            </w:r>
          </w:p>
        </w:tc>
      </w:tr>
    </w:tbl>
    <w:p w14:paraId="203019D8" w14:textId="77777777" w:rsidR="00176770" w:rsidRPr="001455DC" w:rsidRDefault="00176770" w:rsidP="00A35599">
      <w:pPr>
        <w:pStyle w:val="a7"/>
        <w:keepNext/>
      </w:pPr>
      <w:r w:rsidRPr="001455DC">
        <w:t>where</w:t>
      </w:r>
    </w:p>
    <w:tbl>
      <w:tblPr>
        <w:tblW w:w="9413" w:type="dxa"/>
        <w:tblInd w:w="397" w:type="dxa"/>
        <w:tblLayout w:type="fixed"/>
        <w:tblCellMar>
          <w:left w:w="28" w:type="dxa"/>
          <w:right w:w="28" w:type="dxa"/>
        </w:tblCellMar>
        <w:tblLook w:val="04A0" w:firstRow="1" w:lastRow="0" w:firstColumn="1" w:lastColumn="0" w:noHBand="0" w:noVBand="1"/>
      </w:tblPr>
      <w:tblGrid>
        <w:gridCol w:w="851"/>
        <w:gridCol w:w="7314"/>
        <w:gridCol w:w="1248"/>
      </w:tblGrid>
      <w:tr w:rsidR="00176770" w:rsidRPr="001455DC" w14:paraId="67195B49" w14:textId="77777777" w:rsidTr="00176770">
        <w:trPr>
          <w:cantSplit/>
        </w:trPr>
        <w:tc>
          <w:tcPr>
            <w:tcW w:w="851" w:type="dxa"/>
          </w:tcPr>
          <w:p w14:paraId="705C31BB" w14:textId="63CC2141" w:rsidR="00176770" w:rsidRPr="001455DC" w:rsidRDefault="00176770" w:rsidP="0000442A">
            <w:pPr>
              <w:pStyle w:val="Tablebody"/>
            </w:pPr>
            <w:r w:rsidRPr="001455DC">
              <w:rPr>
                <w:rStyle w:val="CCMCvariableitalic"/>
              </w:rPr>
              <w:t>n</w:t>
            </w:r>
          </w:p>
        </w:tc>
        <w:tc>
          <w:tcPr>
            <w:tcW w:w="8562" w:type="dxa"/>
            <w:gridSpan w:val="2"/>
          </w:tcPr>
          <w:p w14:paraId="1BECD0F7" w14:textId="15AB9C80" w:rsidR="00176770" w:rsidRPr="001455DC" w:rsidRDefault="00176770" w:rsidP="00BB1209">
            <w:pPr>
              <w:pStyle w:val="Tablebody"/>
            </w:pPr>
            <w:r w:rsidRPr="001455DC">
              <w:t>is the number of legs in the cross section;</w:t>
            </w:r>
          </w:p>
        </w:tc>
      </w:tr>
      <w:tr w:rsidR="00176770" w:rsidRPr="001455DC" w14:paraId="39DFFDFA" w14:textId="77777777" w:rsidTr="00176770">
        <w:trPr>
          <w:cantSplit/>
        </w:trPr>
        <w:tc>
          <w:tcPr>
            <w:tcW w:w="8165" w:type="dxa"/>
            <w:gridSpan w:val="2"/>
            <w:vAlign w:val="center"/>
          </w:tcPr>
          <w:p w14:paraId="52CFEB44" w14:textId="00A4CE61" w:rsidR="00176770" w:rsidRPr="001455DC" w:rsidRDefault="00231E33" w:rsidP="00176770">
            <w:pPr>
              <w:pStyle w:val="Tablebody"/>
              <w:jc w:val="left"/>
            </w:pPr>
            <m:oMathPara>
              <m:oMathParaPr>
                <m:jc m:val="left"/>
              </m:oMathParaPr>
              <m:oMath>
                <m:sSub>
                  <m:sSubPr>
                    <m:ctrlPr>
                      <w:rPr>
                        <w:rFonts w:ascii="Cambria Math" w:hAnsi="Cambria Math"/>
                      </w:rPr>
                    </m:ctrlPr>
                  </m:sSubPr>
                  <m:e>
                    <m:sSub>
                      <m:sSubPr>
                        <m:ctrlPr>
                          <w:rPr>
                            <w:rFonts w:ascii="Cambria Math" w:hAnsi="Cambria Math"/>
                          </w:rPr>
                        </m:ctrlPr>
                      </m:sSubPr>
                      <m:e>
                        <m:r>
                          <w:rPr>
                            <w:rFonts w:ascii="Cambria Math" w:hAnsi="Cambria Math"/>
                          </w:rPr>
                          <m:t>b</m:t>
                        </m:r>
                      </m:e>
                      <m:sub>
                        <m:r>
                          <w:rPr>
                            <w:rFonts w:ascii="Cambria Math" w:hAnsi="Cambria Math"/>
                          </w:rPr>
                          <m:t>w,i</m:t>
                        </m:r>
                      </m:sub>
                    </m:sSub>
                    <m:r>
                      <w:rPr>
                        <w:rFonts w:ascii="Cambria Math" w:hAnsi="Cambria Math"/>
                      </w:rPr>
                      <m:t>=b</m:t>
                    </m:r>
                  </m:e>
                  <m:sub>
                    <m:r>
                      <w:rPr>
                        <w:rFonts w:ascii="Cambria Math" w:hAnsi="Cambria Math"/>
                      </w:rPr>
                      <m:t>w,i-1</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w,i+1</m:t>
                    </m:r>
                  </m:sub>
                </m:sSub>
              </m:oMath>
            </m:oMathPara>
          </w:p>
        </w:tc>
        <w:tc>
          <w:tcPr>
            <w:tcW w:w="1248" w:type="dxa"/>
            <w:vAlign w:val="center"/>
          </w:tcPr>
          <w:p w14:paraId="0D817130" w14:textId="38EAFBD6" w:rsidR="00176770" w:rsidRPr="001455DC" w:rsidRDefault="00176770" w:rsidP="00176770">
            <w:pPr>
              <w:pStyle w:val="Tablebody"/>
              <w:jc w:val="right"/>
            </w:pPr>
            <w:r w:rsidRPr="001455DC">
              <w:t>(I.12)</w:t>
            </w:r>
          </w:p>
        </w:tc>
      </w:tr>
      <w:tr w:rsidR="00176770" w:rsidRPr="001455DC" w14:paraId="5B6835D1" w14:textId="77777777" w:rsidTr="00176770">
        <w:trPr>
          <w:cantSplit/>
        </w:trPr>
        <w:tc>
          <w:tcPr>
            <w:tcW w:w="8165" w:type="dxa"/>
            <w:gridSpan w:val="2"/>
            <w:vAlign w:val="center"/>
          </w:tcPr>
          <w:p w14:paraId="611F3ADB" w14:textId="71AE48FD" w:rsidR="00176770" w:rsidRPr="001455DC" w:rsidRDefault="00231E33" w:rsidP="00176770">
            <w:pPr>
              <w:pStyle w:val="Tablebody"/>
              <w:jc w:val="left"/>
            </w:pPr>
            <m:oMathPara>
              <m:oMathParaPr>
                <m:jc m:val="left"/>
              </m:oMathParaPr>
              <m:oMath>
                <m:sSub>
                  <m:sSubPr>
                    <m:ctrlPr>
                      <w:rPr>
                        <w:rFonts w:ascii="Cambria Math" w:hAnsi="Cambria Math"/>
                      </w:rPr>
                    </m:ctrlPr>
                  </m:sSubPr>
                  <m:e>
                    <m:r>
                      <w:rPr>
                        <w:rFonts w:ascii="Cambria Math" w:hAnsi="Cambria Math"/>
                      </w:rPr>
                      <m:t>b</m:t>
                    </m:r>
                  </m:e>
                  <m:sub>
                    <m:r>
                      <w:rPr>
                        <w:rFonts w:ascii="Cambria Math" w:hAnsi="Cambria Math"/>
                      </w:rPr>
                      <m:t>w,i-1</m:t>
                    </m:r>
                  </m:sub>
                </m:sSub>
                <m: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i-1</m:t>
                                </m:r>
                              </m:sub>
                            </m:sSub>
                          </m:num>
                          <m:den>
                            <m:r>
                              <w:rPr>
                                <w:rFonts w:ascii="Cambria Math" w:hAnsi="Cambria Math"/>
                              </w:rPr>
                              <m:t>2</m:t>
                            </m:r>
                          </m:den>
                        </m:f>
                      </m:e>
                      <m:e>
                        <m:f>
                          <m:fPr>
                            <m:ctrlPr>
                              <w:rPr>
                                <w:rFonts w:ascii="Cambria Math" w:hAnsi="Cambria Math"/>
                              </w:rPr>
                            </m:ctrlPr>
                          </m:fPr>
                          <m:num>
                            <m:r>
                              <w:rPr>
                                <w:rFonts w:ascii="Cambria Math" w:hAnsi="Cambria Math"/>
                              </w:rPr>
                              <m:t>mtssl</m:t>
                            </m:r>
                          </m:num>
                          <m:den>
                            <m:r>
                              <w:rPr>
                                <w:rFonts w:ascii="Cambria Math" w:hAnsi="Cambria Math"/>
                              </w:rPr>
                              <m:t>2</m:t>
                            </m:r>
                          </m:den>
                        </m:f>
                      </m:e>
                    </m:eqArr>
                  </m:e>
                </m:d>
              </m:oMath>
            </m:oMathPara>
          </w:p>
        </w:tc>
        <w:tc>
          <w:tcPr>
            <w:tcW w:w="1248" w:type="dxa"/>
            <w:vAlign w:val="center"/>
          </w:tcPr>
          <w:p w14:paraId="0621D800" w14:textId="7C21614B" w:rsidR="00176770" w:rsidRPr="001455DC" w:rsidRDefault="00176770" w:rsidP="00176770">
            <w:pPr>
              <w:pStyle w:val="Tablebody"/>
              <w:jc w:val="right"/>
            </w:pPr>
            <w:r w:rsidRPr="001455DC">
              <w:t>(I.13)</w:t>
            </w:r>
          </w:p>
        </w:tc>
      </w:tr>
      <w:tr w:rsidR="00176770" w:rsidRPr="001455DC" w14:paraId="1E4C6292" w14:textId="77777777" w:rsidTr="00176770">
        <w:trPr>
          <w:cantSplit/>
        </w:trPr>
        <w:tc>
          <w:tcPr>
            <w:tcW w:w="8165" w:type="dxa"/>
            <w:gridSpan w:val="2"/>
            <w:vAlign w:val="center"/>
          </w:tcPr>
          <w:p w14:paraId="4E9CDA8A" w14:textId="7C1731FB" w:rsidR="00176770" w:rsidRPr="001455DC" w:rsidRDefault="00231E33" w:rsidP="00176770">
            <w:pPr>
              <w:pStyle w:val="Tablebody"/>
              <w:jc w:val="left"/>
            </w:pPr>
            <m:oMathPara>
              <m:oMathParaPr>
                <m:jc m:val="left"/>
              </m:oMathParaPr>
              <m:oMath>
                <m:sSub>
                  <m:sSubPr>
                    <m:ctrlPr>
                      <w:rPr>
                        <w:rFonts w:ascii="Cambria Math" w:hAnsi="Cambria Math"/>
                      </w:rPr>
                    </m:ctrlPr>
                  </m:sSubPr>
                  <m:e>
                    <m:r>
                      <w:rPr>
                        <w:rFonts w:ascii="Cambria Math" w:hAnsi="Cambria Math"/>
                      </w:rPr>
                      <m:t>b</m:t>
                    </m:r>
                  </m:e>
                  <m:sub>
                    <m:r>
                      <w:rPr>
                        <w:rFonts w:ascii="Cambria Math" w:hAnsi="Cambria Math"/>
                      </w:rPr>
                      <m:t>w,i+1</m:t>
                    </m:r>
                  </m:sub>
                </m:sSub>
                <m: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i+1</m:t>
                                </m:r>
                              </m:sub>
                            </m:sSub>
                          </m:num>
                          <m:den>
                            <m:r>
                              <w:rPr>
                                <w:rFonts w:ascii="Cambria Math" w:hAnsi="Cambria Math"/>
                              </w:rPr>
                              <m:t>2</m:t>
                            </m:r>
                          </m:den>
                        </m:f>
                      </m:e>
                      <m:e>
                        <m:f>
                          <m:fPr>
                            <m:ctrlPr>
                              <w:rPr>
                                <w:rFonts w:ascii="Cambria Math" w:hAnsi="Cambria Math"/>
                              </w:rPr>
                            </m:ctrlPr>
                          </m:fPr>
                          <m:num>
                            <m:r>
                              <w:rPr>
                                <w:rFonts w:ascii="Cambria Math" w:hAnsi="Cambria Math"/>
                              </w:rPr>
                              <m:t>mtssl</m:t>
                            </m:r>
                          </m:num>
                          <m:den>
                            <m:r>
                              <w:rPr>
                                <w:rFonts w:ascii="Cambria Math" w:hAnsi="Cambria Math"/>
                              </w:rPr>
                              <m:t>2</m:t>
                            </m:r>
                          </m:den>
                        </m:f>
                      </m:e>
                    </m:eqArr>
                  </m:e>
                </m:d>
              </m:oMath>
            </m:oMathPara>
          </w:p>
        </w:tc>
        <w:tc>
          <w:tcPr>
            <w:tcW w:w="1248" w:type="dxa"/>
            <w:vAlign w:val="center"/>
          </w:tcPr>
          <w:p w14:paraId="7278C5E2" w14:textId="4BF34649" w:rsidR="00176770" w:rsidRPr="001455DC" w:rsidRDefault="00176770" w:rsidP="00176770">
            <w:pPr>
              <w:pStyle w:val="Tablebody"/>
              <w:jc w:val="right"/>
            </w:pPr>
            <w:r w:rsidRPr="001455DC">
              <w:t>(I.14)</w:t>
            </w:r>
          </w:p>
        </w:tc>
      </w:tr>
      <w:tr w:rsidR="00176770" w:rsidRPr="001455DC" w14:paraId="241FF093" w14:textId="77777777" w:rsidTr="00176770">
        <w:trPr>
          <w:cantSplit/>
        </w:trPr>
        <w:tc>
          <w:tcPr>
            <w:tcW w:w="851" w:type="dxa"/>
          </w:tcPr>
          <w:p w14:paraId="16A820B3" w14:textId="2EE60CB4" w:rsidR="00176770" w:rsidRPr="001455DC" w:rsidRDefault="00176770" w:rsidP="00176770">
            <w:pPr>
              <w:pStyle w:val="Tablebody"/>
            </w:pPr>
            <w:r w:rsidRPr="001455DC">
              <w:rPr>
                <w:rStyle w:val="CCMCvariableitalic"/>
              </w:rPr>
              <w:t>mtssl</w:t>
            </w:r>
          </w:p>
        </w:tc>
        <w:tc>
          <w:tcPr>
            <w:tcW w:w="8562" w:type="dxa"/>
            <w:gridSpan w:val="2"/>
          </w:tcPr>
          <w:p w14:paraId="4AFB4201" w14:textId="2B4F9C69" w:rsidR="00176770" w:rsidRPr="001455DC" w:rsidRDefault="00176770" w:rsidP="00176770">
            <w:pPr>
              <w:pStyle w:val="Tablebody"/>
            </w:pPr>
            <w:r w:rsidRPr="001455DC">
              <w:t>is the maximum value of the transverse spacing of shear legs given in in 12.3.1 and 12.4.1 for beams and slabs respectively;</w:t>
            </w:r>
          </w:p>
        </w:tc>
      </w:tr>
      <w:tr w:rsidR="00176770" w:rsidRPr="001455DC" w14:paraId="69EA519D" w14:textId="77777777" w:rsidTr="00176770">
        <w:trPr>
          <w:cantSplit/>
        </w:trPr>
        <w:tc>
          <w:tcPr>
            <w:tcW w:w="9413" w:type="dxa"/>
            <w:gridSpan w:val="3"/>
          </w:tcPr>
          <w:p w14:paraId="0783E4B9" w14:textId="3A33859A" w:rsidR="00176770" w:rsidRPr="009D3012" w:rsidRDefault="00231E33" w:rsidP="00176770">
            <w:pPr>
              <w:pStyle w:val="Tablebody"/>
            </w:pPr>
            <m:oMath>
              <m:sSub>
                <m:sSubPr>
                  <m:ctrlPr>
                    <w:rPr>
                      <w:rFonts w:ascii="Cambria Math" w:hAnsi="Cambria Math"/>
                    </w:rPr>
                  </m:ctrlPr>
                </m:sSubPr>
                <m:e>
                  <m:r>
                    <w:rPr>
                      <w:rFonts w:ascii="Cambria Math" w:hAnsi="Cambria Math"/>
                    </w:rPr>
                    <m:t>b</m:t>
                  </m:r>
                </m:e>
                <m:sub>
                  <m:r>
                    <m:rPr>
                      <m:sty m:val="p"/>
                    </m:rPr>
                    <w:rPr>
                      <w:rFonts w:ascii="Cambria Math" w:hAnsi="Cambria Math"/>
                    </w:rPr>
                    <m:t>w,i-1</m:t>
                  </m:r>
                </m:sub>
              </m:sSub>
            </m:oMath>
            <w:r w:rsidR="00176770" w:rsidRPr="001455DC">
              <w:t xml:space="preserve"> and </w:t>
            </w:r>
            <m:oMath>
              <m:sSub>
                <m:sSubPr>
                  <m:ctrlPr>
                    <w:rPr>
                      <w:rFonts w:ascii="Cambria Math" w:hAnsi="Cambria Math"/>
                    </w:rPr>
                  </m:ctrlPr>
                </m:sSubPr>
                <m:e>
                  <m:r>
                    <w:rPr>
                      <w:rFonts w:ascii="Cambria Math" w:hAnsi="Cambria Math"/>
                    </w:rPr>
                    <m:t>b</m:t>
                  </m:r>
                </m:e>
                <m:sub>
                  <m:r>
                    <m:rPr>
                      <m:sty m:val="p"/>
                    </m:rPr>
                    <w:rPr>
                      <w:rFonts w:ascii="Cambria Math" w:hAnsi="Cambria Math"/>
                    </w:rPr>
                    <m:t>w,i+1</m:t>
                  </m:r>
                </m:sub>
              </m:sSub>
            </m:oMath>
            <w:r w:rsidR="00176770" w:rsidRPr="001455DC">
              <w:t xml:space="preserve"> are defined in Figure I.1.</w:t>
            </w:r>
          </w:p>
        </w:tc>
      </w:tr>
    </w:tbl>
    <w:p w14:paraId="732C2D37" w14:textId="4FE09860" w:rsidR="004E22C1" w:rsidRPr="001455DC" w:rsidRDefault="004E22C1" w:rsidP="005965D6">
      <w:pPr>
        <w:pStyle w:val="a7"/>
      </w:pPr>
    </w:p>
    <w:tbl>
      <w:tblPr>
        <w:tblStyle w:val="a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876"/>
        <w:gridCol w:w="4876"/>
      </w:tblGrid>
      <w:tr w:rsidR="00176770" w:rsidRPr="001455DC" w14:paraId="6ECFD5CD" w14:textId="77777777" w:rsidTr="00176770">
        <w:trPr>
          <w:cantSplit/>
          <w:jc w:val="center"/>
        </w:trPr>
        <w:tc>
          <w:tcPr>
            <w:tcW w:w="4946" w:type="dxa"/>
          </w:tcPr>
          <w:p w14:paraId="109EC605" w14:textId="1459B9D1" w:rsidR="00176770" w:rsidRPr="001455DC" w:rsidRDefault="00723CF7" w:rsidP="00176770">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"Y:\\STD_MGT\\STDDEL\\PRODUCTION\\etrans\\Download\\Z_FIRST_DEL\\SV\\00250\\00250269\\41_e_dr\\i001a.tif"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"Y:\\STD_MGT\\STDDEL\\PRODUCTION\\Standards\\00250\\269\\41_e_dr\\i001a.tif"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"Y:\\STD_MGT\\STDDEL\\PRODUCTION\\Standards\\00250\\269\\41_e_dr\\i001a.tif"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"Y:\\STD_MGT\\STDDEL\\PRODUCTION\\Standards\\00250\\269\\41_e_dr\\i001a.tif"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"Y:\\STD_MGT\\STDDEL\\PRODUCTION\\Standards\\00250\\269\\41_e_dr\\i001a.tif"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"Y:\\STD_MGT\\STDDEL\\PRODUCTION\\Standards\\00250\\269\\41_e_dr\\i001a.tif"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w:instrText>
            </w:r>
            <w:r w:rsidR="00231E33">
              <w:rPr>
                <w:noProof/>
                <w:lang w:eastAsia="en-GB"/>
              </w:rPr>
              <w:instrText>p\\Temp1_00250269_e_20210902.zip.zip\\41_e_dr\\i001a.tif"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67A0A853">
                <v:shape id="_x0000_i1309" type="#_x0000_t75" style="width:135.75pt;height:129.75pt">
                  <v:imagedata r:id="rId588" r:href="rId589"/>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4946" w:type="dxa"/>
          </w:tcPr>
          <w:p w14:paraId="361F6E1B" w14:textId="42E20773" w:rsidR="00176770" w:rsidRPr="001455DC" w:rsidRDefault="00723CF7" w:rsidP="00176770">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"Y:\\STD_MGT\\STDDEL\\PRODUCTION\\etrans\\Download\\Z_FIRST_DEL\\SV\\00250\\00250269\\41_e_dr\\i001b.tif"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"Y:\\STD_MGT\\STDDEL\\PRODUCTION\\Standards\\00250\\269\\41_e_dr\\i001b.tif"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"Y:\\STD_MGT\\STDDEL\\PRODUCTION\\Standards\\00250\\269\\41_e_dr\\i001b.tif"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"Y:\\STD_MGT\\STDDEL\\PRODUCTION\\Standards\\00250\\269\\41_e_dr\\i001b.tif"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"Y:\\STD_MGT\\STDDEL\\PRODUCTION\\Standards\\00250\\269\\41_e_dr\\i001b.tif"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"Y:\\STD_MGT\\STDDEL\\PRODUCTION\\Standards\\00250\\269\\41_e_dr\\i001b.tif"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w:instrText>
            </w:r>
            <w:r w:rsidR="00231E33">
              <w:rPr>
                <w:noProof/>
                <w:lang w:eastAsia="en-GB"/>
              </w:rPr>
              <w:instrText>p\\Temp1_00250269_e_20210902.zip.zip\\41_e_dr\\i001b.tif"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196673DD">
                <v:shape id="_x0000_i1310" type="#_x0000_t75" style="width:160.5pt;height:128.25pt">
                  <v:imagedata r:id="rId590" r:href="rId591"/>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176770" w:rsidRPr="001455DC" w14:paraId="3467C607" w14:textId="77777777" w:rsidTr="00176770">
        <w:trPr>
          <w:cantSplit/>
          <w:jc w:val="center"/>
        </w:trPr>
        <w:tc>
          <w:tcPr>
            <w:tcW w:w="4946" w:type="dxa"/>
          </w:tcPr>
          <w:p w14:paraId="364A0B11" w14:textId="42260634" w:rsidR="00176770" w:rsidRPr="001455DC" w:rsidRDefault="00176770" w:rsidP="00176770">
            <w:pPr>
              <w:pStyle w:val="FigureText"/>
              <w:jc w:val="center"/>
            </w:pPr>
            <w:r w:rsidRPr="009D3012">
              <w:rPr>
                <w:bCs/>
              </w:rPr>
              <w:t>a) edge leg</w:t>
            </w:r>
          </w:p>
        </w:tc>
        <w:tc>
          <w:tcPr>
            <w:tcW w:w="4946" w:type="dxa"/>
          </w:tcPr>
          <w:p w14:paraId="51974CBD" w14:textId="74371F50" w:rsidR="00176770" w:rsidRPr="001455DC" w:rsidRDefault="00176770" w:rsidP="00176770">
            <w:pPr>
              <w:pStyle w:val="FigureText"/>
              <w:jc w:val="center"/>
            </w:pPr>
            <w:r w:rsidRPr="009D3012">
              <w:rPr>
                <w:bCs/>
              </w:rPr>
              <w:t>b) interior leg</w:t>
            </w:r>
          </w:p>
        </w:tc>
      </w:tr>
    </w:tbl>
    <w:p w14:paraId="29D89420" w14:textId="40E56F65" w:rsidR="004E22C1" w:rsidRPr="001455DC" w:rsidRDefault="004E22C1" w:rsidP="00176770">
      <w:pPr>
        <w:pStyle w:val="Figuretitle"/>
      </w:pPr>
      <w:r w:rsidRPr="001455DC">
        <w:t xml:space="preserve">Figure I.1 — Definition of </w:t>
      </w:r>
      <m:oMath>
        <m:sSub>
          <m:sSubPr>
            <m:ctrlPr>
              <w:rPr>
                <w:rFonts w:ascii="Cambria Math" w:hAnsi="Cambria Math"/>
                <w:bCs/>
              </w:rPr>
            </m:ctrlPr>
          </m:sSubPr>
          <m:e>
            <m:r>
              <m:rPr>
                <m:sty m:val="bi"/>
              </m:rPr>
              <w:rPr>
                <w:rFonts w:ascii="Cambria Math" w:hAnsi="Cambria Math"/>
              </w:rPr>
              <m:t>b</m:t>
            </m:r>
          </m:e>
          <m:sub>
            <m:r>
              <m:rPr>
                <m:sty m:val="b"/>
              </m:rPr>
              <w:rPr>
                <w:rFonts w:ascii="Cambria Math" w:hAnsi="Cambria Math"/>
              </w:rPr>
              <m:t>w,i</m:t>
            </m:r>
          </m:sub>
        </m:sSub>
      </m:oMath>
      <w:r w:rsidRPr="001455DC">
        <w:t xml:space="preserve"> (beam/slab cross section)</w:t>
      </w:r>
    </w:p>
    <w:p w14:paraId="34418832" w14:textId="77777777" w:rsidR="00274F3B" w:rsidRPr="001455DC" w:rsidRDefault="004E22C1" w:rsidP="00274F3B">
      <w:pPr>
        <w:pStyle w:val="a7"/>
      </w:pPr>
      <w:r w:rsidRPr="001455DC">
        <w:rPr>
          <w:lang w:eastAsia="de-CH"/>
        </w:rPr>
        <w:t>(5)</w:t>
      </w:r>
      <w:r w:rsidRPr="001455DC">
        <w:rPr>
          <w:lang w:eastAsia="de-CH"/>
        </w:rPr>
        <w:tab/>
      </w:r>
      <w:r w:rsidRPr="001455DC">
        <w:t xml:space="preserve">The favourable effect of the presence of compression flanges may be accounted for by determining the location of the governing control section considering an additional distance </w:t>
      </w:r>
      <w:r w:rsidRPr="001455DC">
        <w:rPr>
          <w:rStyle w:val="CCMCvariableitalic"/>
        </w:rPr>
        <w:t>c</w:t>
      </w:r>
      <w:r w:rsidRPr="001455DC">
        <w:rPr>
          <w:rStyle w:val="CCMCvariablesubscript"/>
        </w:rPr>
        <w:t>f</w:t>
      </w:r>
      <w:r w:rsidRPr="001455DC">
        <w:t xml:space="preserve"> with respect to concentrated loads of reaction forces acting on compression flanges as shown in Figure I.2:</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74F3B" w:rsidRPr="001455DC" w14:paraId="4102AC7A" w14:textId="77777777" w:rsidTr="00274F3B">
        <w:trPr>
          <w:cantSplit/>
        </w:trPr>
        <w:tc>
          <w:tcPr>
            <w:tcW w:w="8505" w:type="dxa"/>
            <w:vAlign w:val="center"/>
          </w:tcPr>
          <w:p w14:paraId="5112AA33" w14:textId="08E87923" w:rsidR="00274F3B" w:rsidRPr="001455DC" w:rsidRDefault="00231E33" w:rsidP="00274F3B">
            <w:pPr>
              <w:pStyle w:val="Formula"/>
              <w:jc w:val="left"/>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f</m:t>
                    </m:r>
                  </m:sub>
                </m:sSub>
                <m:r>
                  <w:rPr>
                    <w:rFonts w:ascii="Cambria Math" w:hAnsi="Cambria Math"/>
                  </w:rPr>
                  <m:t>=3</m:t>
                </m:r>
                <m:sSub>
                  <m:sSubPr>
                    <m:ctrlPr>
                      <w:rPr>
                        <w:rFonts w:ascii="Cambria Math" w:hAnsi="Cambria Math"/>
                      </w:rPr>
                    </m:ctrlPr>
                  </m:sSubPr>
                  <m:e>
                    <m:r>
                      <w:rPr>
                        <w:rFonts w:ascii="Cambria Math" w:hAnsi="Cambria Math"/>
                      </w:rPr>
                      <m:t>t</m:t>
                    </m:r>
                  </m:e>
                  <m:sub>
                    <m:r>
                      <m:rPr>
                        <m:sty m:val="p"/>
                      </m:rPr>
                      <w:rPr>
                        <w:rFonts w:ascii="Cambria Math" w:hAnsi="Cambria Math"/>
                      </w:rPr>
                      <m:t>f</m:t>
                    </m:r>
                  </m:sub>
                </m:sSub>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f</m:t>
                            </m:r>
                          </m:sub>
                        </m:sSub>
                      </m:num>
                      <m:den>
                        <m:sSub>
                          <m:sSubPr>
                            <m:ctrlPr>
                              <w:rPr>
                                <w:rFonts w:ascii="Cambria Math" w:hAnsi="Cambria Math"/>
                              </w:rPr>
                            </m:ctrlPr>
                          </m:sSubPr>
                          <m:e>
                            <m:r>
                              <w:rPr>
                                <w:rFonts w:ascii="Cambria Math" w:hAnsi="Cambria Math"/>
                              </w:rPr>
                              <m:t>A</m:t>
                            </m:r>
                          </m:e>
                          <m:sub>
                            <m:r>
                              <m:rPr>
                                <m:sty m:val="p"/>
                              </m:rPr>
                              <w:rPr>
                                <w:rFonts w:ascii="Cambria Math" w:hAnsi="Cambria Math"/>
                              </w:rPr>
                              <m:t>w</m:t>
                            </m:r>
                          </m:sub>
                        </m:sSub>
                      </m:den>
                    </m:f>
                  </m:e>
                </m:rad>
              </m:oMath>
            </m:oMathPara>
          </w:p>
        </w:tc>
        <w:tc>
          <w:tcPr>
            <w:tcW w:w="1247" w:type="dxa"/>
            <w:vAlign w:val="center"/>
          </w:tcPr>
          <w:p w14:paraId="54183DAB" w14:textId="22F80ADF" w:rsidR="00274F3B" w:rsidRPr="001455DC" w:rsidRDefault="00176770" w:rsidP="00274F3B">
            <w:pPr>
              <w:pStyle w:val="a7"/>
              <w:jc w:val="right"/>
            </w:pPr>
            <w:r w:rsidRPr="001455DC">
              <w:t>(I.15)</w:t>
            </w:r>
          </w:p>
        </w:tc>
      </w:tr>
    </w:tbl>
    <w:p w14:paraId="481B0DAD" w14:textId="02B0093C" w:rsidR="004E22C1" w:rsidRPr="001455DC" w:rsidRDefault="004E22C1" w:rsidP="00274F3B">
      <w:pPr>
        <w:pStyle w:val="a7"/>
      </w:pPr>
      <w:r w:rsidRPr="001455DC">
        <w:t xml:space="preserve">where </w:t>
      </w:r>
      <w:r w:rsidRPr="001455DC">
        <w:rPr>
          <w:rStyle w:val="CCMCvariableitalic"/>
        </w:rPr>
        <w:t>A</w:t>
      </w:r>
      <w:r w:rsidRPr="001455DC">
        <w:rPr>
          <w:rStyle w:val="CCMCvariablesubscript"/>
        </w:rPr>
        <w:t>f</w:t>
      </w:r>
      <w:r w:rsidRPr="001455DC">
        <w:t> </w:t>
      </w:r>
      <w:r w:rsidR="00EC27D2" w:rsidRPr="001455DC">
        <w:rPr>
          <w:rFonts w:ascii="Cambria Math" w:hAnsi="Cambria Math"/>
        </w:rPr>
        <w:t>=</w:t>
      </w:r>
      <w:r w:rsidRPr="001455DC">
        <w:t> min{</w:t>
      </w:r>
      <w:r w:rsidRPr="001455DC">
        <w:rPr>
          <w:rStyle w:val="CCMCvariableitalic"/>
        </w:rPr>
        <w:t>b</w:t>
      </w:r>
      <w:r w:rsidRPr="001455DC">
        <w:rPr>
          <w:rStyle w:val="CCMCvariablesubscript"/>
        </w:rPr>
        <w:t>f</w:t>
      </w:r>
      <w:r w:rsidRPr="001455DC">
        <w:t> ∙ </w:t>
      </w:r>
      <w:r w:rsidRPr="001455DC">
        <w:rPr>
          <w:rStyle w:val="CCMCvariableitalic"/>
        </w:rPr>
        <w:t>t</w:t>
      </w:r>
      <w:r w:rsidRPr="001455DC">
        <w:rPr>
          <w:rStyle w:val="CCMCvariablesubscript"/>
        </w:rPr>
        <w:t>f</w:t>
      </w:r>
      <w:r w:rsidRPr="001455DC">
        <w:t>; 6</w:t>
      </w:r>
      <w:r w:rsidRPr="001455DC">
        <w:rPr>
          <w:rStyle w:val="CCMCvariableitalic"/>
        </w:rPr>
        <w:t>t</w:t>
      </w:r>
      <w:r w:rsidRPr="001455DC">
        <w:rPr>
          <w:rStyle w:val="CCMCvariablesubscript"/>
        </w:rPr>
        <w:t>f</w:t>
      </w:r>
      <w:r w:rsidRPr="001455DC">
        <w:t xml:space="preserve"> </w:t>
      </w:r>
      <w:r w:rsidRPr="001455DC">
        <w:rPr>
          <w:rStyle w:val="CCMCvariablesuperscript"/>
        </w:rPr>
        <w:t>2</w:t>
      </w:r>
      <w:r w:rsidRPr="001455DC">
        <w:t xml:space="preserve">} and </w:t>
      </w:r>
      <w:r w:rsidRPr="001455DC">
        <w:rPr>
          <w:rStyle w:val="CCMCvariableitalic"/>
        </w:rPr>
        <w:t>A</w:t>
      </w:r>
      <w:r w:rsidRPr="001455DC">
        <w:rPr>
          <w:rStyle w:val="CCMCvariablesubscript"/>
        </w:rPr>
        <w:t>w</w:t>
      </w:r>
      <w:r w:rsidRPr="001455DC">
        <w:t> </w:t>
      </w:r>
      <w:r w:rsidR="00EC27D2" w:rsidRPr="001455DC">
        <w:rPr>
          <w:rFonts w:ascii="Cambria Math" w:hAnsi="Cambria Math"/>
        </w:rPr>
        <w:t>=</w:t>
      </w:r>
      <w:r w:rsidRPr="001455DC">
        <w:t> min{</w:t>
      </w:r>
      <w:r w:rsidRPr="001455DC">
        <w:rPr>
          <w:rStyle w:val="CCMCvariableitalic"/>
        </w:rPr>
        <w:t>b</w:t>
      </w:r>
      <w:r w:rsidRPr="001455DC">
        <w:rPr>
          <w:rStyle w:val="CCMCvariablesubscript"/>
        </w:rPr>
        <w:t>w</w:t>
      </w:r>
      <w:r w:rsidRPr="001455DC">
        <w:t xml:space="preserve"> ∙ </w:t>
      </w:r>
      <w:r w:rsidRPr="001455DC">
        <w:rPr>
          <w:rStyle w:val="CCMCvariableitalic"/>
        </w:rPr>
        <w:t>z</w:t>
      </w:r>
      <w:r w:rsidRPr="001455DC">
        <w:t>; 8</w:t>
      </w:r>
      <w:r w:rsidRPr="001455DC">
        <w:rPr>
          <w:rStyle w:val="CCMCvariableitalic"/>
        </w:rPr>
        <w:t>b</w:t>
      </w:r>
      <w:r w:rsidRPr="001455DC">
        <w:rPr>
          <w:rStyle w:val="CCMCvariablesubscript"/>
        </w:rPr>
        <w:t>w</w:t>
      </w:r>
      <w:r w:rsidRPr="001455DC">
        <w:rPr>
          <w:rStyle w:val="CCMCvariablesuperscript"/>
        </w:rPr>
        <w:t>2</w:t>
      </w:r>
      <w:r w:rsidRPr="001455DC">
        <w:t>}.</w:t>
      </w:r>
    </w:p>
    <w:p w14:paraId="50E8818F" w14:textId="09AA09DD" w:rsidR="004E22C1" w:rsidRPr="001455DC" w:rsidRDefault="00723CF7" w:rsidP="00274F3B">
      <w:pPr>
        <w:pStyle w:val="FigureImage"/>
      </w:pPr>
      <w:r>
        <w:rPr>
          <w:noProof/>
          <w:lang w:eastAsia="en-GB"/>
        </w:rPr>
        <w:fldChar w:fldCharType="begin"/>
      </w:r>
      <w:r>
        <w:rPr>
          <w:noProof/>
          <w:lang w:eastAsia="en-GB"/>
        </w:rPr>
        <w:instrText xml:space="preserve"> INCLUDEPICTURE  "Y:\\STD_MGT\\STDDEL\\PRODUCTION\\etrans\\Download\\Z_FIRST_DEL\\SV\\00250\\00250269\\41_e_dr\\i002.tif"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"Y:\\STD_MGT\\STDDEL\\PRODUCTION\\Standards\\00250\\269\\41_e_dr\\i002.tif"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"Y:\\STD_MGT\\STDDEL\\PRODUCTION\\Standards\\00250\\269\\41_e_dr\\i002.tif"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"Y:\\STD_MGT\\STDDEL\\PRODUCTION\\Standards\\00250\\269\\41_e_dr\\i002.tif"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"Y:\\STD_MGT\\STDDEL\\PRODUCTION\\Standards\\00250\\269\\41_e_dr\\i002.tif"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"Y:\\STD_MGT\\STDDEL\\PRODUCTION\\Standards\\00250\\269\\41_e_dr\\i002.tif"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w:instrText>
      </w:r>
      <w:r w:rsidR="00231E33">
        <w:rPr>
          <w:noProof/>
          <w:lang w:eastAsia="en-GB"/>
        </w:rPr>
        <w:instrText>p1_00250269_e_20210902.zip.zip\\41_e_dr\\i002.tif"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0A77947E">
          <v:shape id="_x0000_i1311" type="#_x0000_t75" style="width:400.5pt;height:140.25pt">
            <v:imagedata r:id="rId592" r:href="rId593"/>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273D7D42" w14:textId="7CFB094A" w:rsidR="000D519F" w:rsidRPr="000D519F" w:rsidRDefault="00EF575C" w:rsidP="000D519F">
      <w:pPr>
        <w:pStyle w:val="KeyText"/>
        <w:rPr>
          <w:b/>
        </w:rPr>
      </w:pPr>
      <w:r w:rsidRPr="009D3012">
        <w:rPr>
          <w:b/>
        </w:rPr>
        <w:t>Key</w:t>
      </w:r>
    </w:p>
    <w:tbl>
      <w:tblPr>
        <w:tblW w:w="0" w:type="auto"/>
        <w:tblInd w:w="-100" w:type="dxa"/>
        <w:tblCellMar>
          <w:left w:w="100" w:type="dxa"/>
        </w:tblCellMar>
        <w:tblLook w:val="0000" w:firstRow="0" w:lastRow="0" w:firstColumn="0" w:lastColumn="0" w:noHBand="0" w:noVBand="0"/>
      </w:tblPr>
      <w:tblGrid>
        <w:gridCol w:w="319"/>
        <w:gridCol w:w="1482"/>
      </w:tblGrid>
      <w:tr w:rsidR="000D519F" w:rsidRPr="000D519F" w14:paraId="4DA9CFD4" w14:textId="77777777" w:rsidTr="000D519F">
        <w:tc>
          <w:tcPr>
            <w:tcW w:w="0" w:type="auto"/>
            <w:shd w:val="clear" w:color="auto" w:fill="auto"/>
          </w:tcPr>
          <w:p w14:paraId="70230DD7" w14:textId="77777777" w:rsidR="000D519F" w:rsidRPr="000D519F" w:rsidRDefault="000D519F" w:rsidP="00375D10">
            <w:pPr>
              <w:pStyle w:val="KeyText"/>
              <w:tabs>
                <w:tab w:val="clear" w:pos="346"/>
              </w:tabs>
              <w:ind w:left="0" w:firstLine="0"/>
            </w:pPr>
            <w:r w:rsidRPr="000D519F">
              <w:t>1</w:t>
            </w:r>
          </w:p>
        </w:tc>
        <w:tc>
          <w:tcPr>
            <w:tcW w:w="0" w:type="auto"/>
            <w:shd w:val="clear" w:color="auto" w:fill="auto"/>
          </w:tcPr>
          <w:p w14:paraId="0BD6E207" w14:textId="77777777" w:rsidR="000D519F" w:rsidRPr="000D519F" w:rsidRDefault="000D519F" w:rsidP="00375D10">
            <w:pPr>
              <w:pStyle w:val="KeyText"/>
              <w:tabs>
                <w:tab w:val="clear" w:pos="346"/>
              </w:tabs>
              <w:ind w:left="0" w:firstLine="0"/>
            </w:pPr>
            <w:r w:rsidRPr="000D519F">
              <w:t>control section</w:t>
            </w:r>
          </w:p>
        </w:tc>
      </w:tr>
    </w:tbl>
    <w:p w14:paraId="02BF3161" w14:textId="77777777" w:rsidR="004E22C1" w:rsidRPr="001455DC" w:rsidRDefault="004E22C1" w:rsidP="00274F3B">
      <w:pPr>
        <w:pStyle w:val="Figuretitle"/>
      </w:pPr>
      <w:r w:rsidRPr="001455DC">
        <w:t>Figure I.2 — Location of control section in presence of compression flanges</w:t>
      </w:r>
    </w:p>
    <w:p w14:paraId="7BD61553" w14:textId="49926662" w:rsidR="004E22C1" w:rsidRPr="001455DC" w:rsidRDefault="004E22C1" w:rsidP="00243590">
      <w:pPr>
        <w:pStyle w:val="a4"/>
        <w:rPr>
          <w:lang w:eastAsia="de-CH"/>
        </w:rPr>
      </w:pPr>
      <w:bookmarkStart w:id="1749" w:name="_Toc52820224"/>
      <w:bookmarkStart w:id="1750" w:name="_Toc54337649"/>
      <w:bookmarkStart w:id="1751" w:name="_Toc54338278"/>
      <w:r w:rsidRPr="001455DC">
        <w:t>Shear at interfaces</w:t>
      </w:r>
      <w:bookmarkEnd w:id="1749"/>
      <w:bookmarkEnd w:id="1750"/>
      <w:bookmarkEnd w:id="1751"/>
    </w:p>
    <w:p w14:paraId="5EFD0F1C" w14:textId="423CF6D4" w:rsidR="004E22C1" w:rsidRPr="001455DC" w:rsidRDefault="004E22C1" w:rsidP="00274F3B">
      <w:pPr>
        <w:pStyle w:val="a7"/>
      </w:pPr>
      <w:r w:rsidRPr="001455DC">
        <w:t>(1)</w:t>
      </w:r>
      <w:r w:rsidRPr="001455DC">
        <w:tab/>
        <w:t xml:space="preserve">In the parts of a composite slab where the spacing between interface reinforcement in the shear transfer direction does not fulfil 8.2.6(9), the interface reinforcement should be considered in interface shear verifications only for the parts of the slab (in the shear transfer direction) that have length, for each reinforcing bar crossing the interface, equal to </w:t>
      </w:r>
      <m:oMath>
        <m:r>
          <m:rPr>
            <m:sty m:val="p"/>
          </m:rPr>
          <w:rPr>
            <w:rFonts w:ascii="Cambria Math" w:hAnsi="Cambria Math"/>
          </w:rPr>
          <m:t>1,25</m:t>
        </m:r>
        <m:r>
          <w:rPr>
            <w:rFonts w:ascii="Cambria Math" w:hAnsi="Cambria Math"/>
          </w:rPr>
          <m:t>h</m:t>
        </m:r>
        <m:r>
          <m:rPr>
            <m:sty m:val="p"/>
          </m:rPr>
          <w:rPr>
            <w:rFonts w:ascii="Cambria Math" w:hAnsi="Cambria Math"/>
          </w:rPr>
          <m:t xml:space="preserve">≤150 mm </m:t>
        </m:r>
      </m:oMath>
      <w:r w:rsidRPr="001455DC">
        <w:t>per each side (in the shear transfer direction) of the bar, unless more refined models that consider the existing interface reinforcement are used to evaluate shear resistance at the interface.</w:t>
      </w:r>
    </w:p>
    <w:p w14:paraId="2D397C9D" w14:textId="2723FD4F" w:rsidR="004E22C1" w:rsidRPr="001455DC" w:rsidRDefault="004E22C1" w:rsidP="00274F3B">
      <w:pPr>
        <w:pStyle w:val="a7"/>
      </w:pPr>
      <w:r w:rsidRPr="001455DC">
        <w:t>(2)</w:t>
      </w:r>
      <w:r w:rsidRPr="001455DC">
        <w:tab/>
        <w:t xml:space="preserve">In the parts of a composite slab where the spacing between interface reinforcement perpendicular to the shear transfer direction does not fulfil 8.2.6(9), the interface reinforcement should be considered in shear at interface verifications only for that part of the slab that has a width, for each reinforcing bar crossing the interface, equal to </w:t>
      </w:r>
      <m:oMath>
        <m:r>
          <m:rPr>
            <m:sty m:val="p"/>
          </m:rPr>
          <w:rPr>
            <w:rFonts w:ascii="Cambria Math" w:hAnsi="Cambria Math"/>
          </w:rPr>
          <m:t>2,5</m:t>
        </m:r>
        <m:r>
          <w:rPr>
            <w:rFonts w:ascii="Cambria Math" w:hAnsi="Cambria Math"/>
          </w:rPr>
          <m:t>h</m:t>
        </m:r>
        <m:r>
          <m:rPr>
            <m:sty m:val="p"/>
          </m:rPr>
          <w:rPr>
            <w:rFonts w:ascii="Cambria Math" w:hAnsi="Cambria Math"/>
          </w:rPr>
          <m:t>≤375 mm</m:t>
        </m:r>
      </m:oMath>
      <w:r w:rsidRPr="001455DC">
        <w:t xml:space="preserve"> (</w:t>
      </w:r>
      <w:r w:rsidR="00650035" w:rsidRPr="001455DC">
        <w:rPr>
          <w:rFonts w:ascii="Cambria Math" w:hAnsi="Cambria Math"/>
        </w:rPr>
        <w:t>≤</w:t>
      </w:r>
      <w:r w:rsidRPr="001455DC">
        <w:t> the distance from the edge for an edge bar) per each side of the bar, unless more refined models that consider the existing interface reinforcement are used to evaluate shear resistance at interface.</w:t>
      </w:r>
    </w:p>
    <w:p w14:paraId="116E6BE7" w14:textId="106E9532" w:rsidR="004E22C1" w:rsidRPr="001455DC" w:rsidRDefault="004E22C1" w:rsidP="00243590">
      <w:pPr>
        <w:pStyle w:val="a3"/>
        <w:rPr>
          <w:lang w:eastAsia="de-CH"/>
        </w:rPr>
      </w:pPr>
      <w:bookmarkStart w:id="1752" w:name="_Toc52820225"/>
      <w:bookmarkStart w:id="1753" w:name="_Toc54337650"/>
      <w:bookmarkStart w:id="1754" w:name="_Toc54338279"/>
      <w:r w:rsidRPr="001455DC">
        <w:t>Torsion and combined actions</w:t>
      </w:r>
      <w:bookmarkEnd w:id="1752"/>
      <w:bookmarkEnd w:id="1753"/>
      <w:bookmarkEnd w:id="1754"/>
    </w:p>
    <w:p w14:paraId="0D76082C" w14:textId="36D73FDE" w:rsidR="004E22C1" w:rsidRPr="001455DC" w:rsidRDefault="004E22C1" w:rsidP="00274F3B">
      <w:pPr>
        <w:pStyle w:val="a7"/>
        <w:rPr>
          <w:lang w:eastAsia="de-CH"/>
        </w:rPr>
      </w:pPr>
      <w:r w:rsidRPr="001455DC">
        <w:rPr>
          <w:lang w:eastAsia="de-CH"/>
        </w:rPr>
        <w:t>(1)</w:t>
      </w:r>
      <w:r w:rsidRPr="001455DC">
        <w:rPr>
          <w:lang w:eastAsia="de-CH"/>
        </w:rPr>
        <w:tab/>
      </w:r>
      <w:r w:rsidRPr="001455DC">
        <w:t xml:space="preserve">Unless more refined methods of analysis are used, stirrups having spacing larger than the minimum of </w:t>
      </w:r>
      <w:r w:rsidRPr="001455DC">
        <w:rPr>
          <w:rStyle w:val="CCMCvariableitalic"/>
        </w:rPr>
        <w:t>u</w:t>
      </w:r>
      <w:r w:rsidRPr="001455DC">
        <w:t xml:space="preserve">/8, </w:t>
      </w:r>
      <w:r w:rsidRPr="001455DC">
        <w:rPr>
          <w:rStyle w:val="CCMCvariableitalic"/>
        </w:rPr>
        <w:t>b</w:t>
      </w:r>
      <w:r w:rsidR="00176770" w:rsidRPr="001455DC">
        <w:t> </w:t>
      </w:r>
      <w:r w:rsidR="00C74721" w:rsidRPr="001455DC">
        <w:rPr>
          <w:rFonts w:ascii="Cambria Math" w:hAnsi="Cambria Math"/>
        </w:rPr>
        <w:t>⋅</w:t>
      </w:r>
      <w:r w:rsidR="00176770" w:rsidRPr="001455DC">
        <w:t> </w:t>
      </w:r>
      <w:r w:rsidRPr="001455DC">
        <w:rPr>
          <w:rStyle w:val="CCMCvariableitalic"/>
        </w:rPr>
        <w:t>h</w:t>
      </w:r>
      <w:r w:rsidRPr="001455DC">
        <w:t>, shall not be considered in the evaluation of torsional resistance.</w:t>
      </w:r>
    </w:p>
    <w:p w14:paraId="04244958" w14:textId="288678E1" w:rsidR="004E22C1" w:rsidRPr="001455DC" w:rsidRDefault="004E22C1" w:rsidP="00243590">
      <w:pPr>
        <w:pStyle w:val="a3"/>
        <w:rPr>
          <w:lang w:eastAsia="de-CH"/>
        </w:rPr>
      </w:pPr>
      <w:bookmarkStart w:id="1755" w:name="_Toc52820227"/>
      <w:bookmarkStart w:id="1756" w:name="_Toc54337652"/>
      <w:bookmarkStart w:id="1757" w:name="_Toc54338281"/>
      <w:r w:rsidRPr="001455DC">
        <w:t>Detailed verification of punching</w:t>
      </w:r>
      <w:bookmarkEnd w:id="1755"/>
      <w:bookmarkEnd w:id="1756"/>
      <w:bookmarkEnd w:id="1757"/>
    </w:p>
    <w:p w14:paraId="7F1E61C6" w14:textId="49D812CD" w:rsidR="004E22C1" w:rsidRPr="001455DC" w:rsidRDefault="004E22C1" w:rsidP="00243590">
      <w:pPr>
        <w:pStyle w:val="a4"/>
        <w:rPr>
          <w:lang w:eastAsia="de-CH"/>
        </w:rPr>
      </w:pPr>
      <w:bookmarkStart w:id="1758" w:name="_Toc52820228"/>
      <w:bookmarkStart w:id="1759" w:name="_Toc54337653"/>
      <w:bookmarkStart w:id="1760" w:name="_Toc54338282"/>
      <w:r w:rsidRPr="001455DC">
        <w:t>Punching shear resistance of slabs without shear reinforcement</w:t>
      </w:r>
      <w:bookmarkEnd w:id="1758"/>
      <w:bookmarkEnd w:id="1759"/>
      <w:bookmarkEnd w:id="1760"/>
    </w:p>
    <w:p w14:paraId="68509CE6" w14:textId="57E37BAD" w:rsidR="00176770" w:rsidRPr="001455DC" w:rsidRDefault="004E22C1" w:rsidP="00116AE2">
      <w:pPr>
        <w:pStyle w:val="a7"/>
        <w:keepNext/>
      </w:pPr>
      <w:r w:rsidRPr="001455DC">
        <w:t>(1)</w:t>
      </w:r>
      <w:r w:rsidRPr="001455DC">
        <w:tab/>
      </w:r>
      <w:r w:rsidR="007B491B" w:rsidRPr="001455DC">
        <w:t>The favourable effect</w:t>
      </w:r>
      <w:r w:rsidRPr="001455DC">
        <w:t xml:space="preserve"> of compressive membrane action around internal columns without </w:t>
      </w:r>
      <w:r w:rsidR="007B491B" w:rsidRPr="001455DC">
        <w:t xml:space="preserve">significant </w:t>
      </w:r>
      <w:r w:rsidRPr="001455DC">
        <w:t>openings,</w:t>
      </w:r>
      <w:r w:rsidR="007B491B" w:rsidRPr="001455DC">
        <w:t xml:space="preserve"> inserts or slab edges at a distance less than 5</w:t>
      </w:r>
      <w:r w:rsidR="007B491B" w:rsidRPr="001455DC">
        <w:rPr>
          <w:i/>
          <w:iCs/>
        </w:rPr>
        <w:t>d</w:t>
      </w:r>
      <w:r w:rsidR="007B491B" w:rsidRPr="009D3012">
        <w:rPr>
          <w:rStyle w:val="CCMCvariablesubscript"/>
        </w:rPr>
        <w:t>v</w:t>
      </w:r>
      <w:r w:rsidR="007B491B" w:rsidRPr="001455DC">
        <w:t xml:space="preserve"> from the control perimeter </w:t>
      </w:r>
      <w:r w:rsidR="007B491B" w:rsidRPr="001455DC">
        <w:rPr>
          <w:i/>
          <w:iCs/>
        </w:rPr>
        <w:t>b</w:t>
      </w:r>
      <w:r w:rsidR="007B491B" w:rsidRPr="001455DC">
        <w:rPr>
          <w:vertAlign w:val="subscript"/>
        </w:rPr>
        <w:t>0,5</w:t>
      </w:r>
      <w:r w:rsidR="007B491B" w:rsidRPr="001455DC">
        <w:t xml:space="preserve">, may be considered by multiplying </w:t>
      </w:r>
      <w:r w:rsidRPr="001455DC">
        <w:t xml:space="preserve">parameter </w:t>
      </w:r>
      <w:r w:rsidRPr="001455DC">
        <w:rPr>
          <w:rStyle w:val="CCMCvariableitalic"/>
        </w:rPr>
        <w:t>a</w:t>
      </w:r>
      <w:r w:rsidRPr="001455DC">
        <w:rPr>
          <w:rStyle w:val="CCMCvariablesubscript"/>
        </w:rPr>
        <w:t>p</w:t>
      </w:r>
      <w:r w:rsidRPr="001455DC">
        <w:t xml:space="preserve"> in Formula (8.73) by the following </w:t>
      </w:r>
      <w:r w:rsidR="007B491B" w:rsidRPr="001455DC">
        <w:rPr>
          <w:rFonts w:cs="Arial"/>
        </w:rPr>
        <w:t>enhancement</w:t>
      </w:r>
      <w:r w:rsidR="007B491B" w:rsidRPr="001455DC">
        <w:t xml:space="preserve"> </w:t>
      </w:r>
      <w:r w:rsidRPr="001455DC">
        <w:t>factor:</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176770" w:rsidRPr="001455DC" w14:paraId="20DB9CB5" w14:textId="77777777" w:rsidTr="00176770">
        <w:trPr>
          <w:cantSplit/>
        </w:trPr>
        <w:tc>
          <w:tcPr>
            <w:tcW w:w="8505" w:type="dxa"/>
            <w:vAlign w:val="center"/>
          </w:tcPr>
          <w:p w14:paraId="77A00290" w14:textId="2A5F5A87" w:rsidR="00176770" w:rsidRPr="001455DC" w:rsidRDefault="008969A4" w:rsidP="009D3012">
            <w:pPr>
              <w:pStyle w:val="Formula"/>
              <w:ind w:left="0"/>
              <w:jc w:val="left"/>
            </w:pPr>
            <w:r w:rsidRPr="009D3012">
              <w:rPr>
                <w:position w:val="-32"/>
              </w:rPr>
              <w:object w:dxaOrig="2560" w:dyaOrig="780" w14:anchorId="2463FB7F">
                <v:shape id="_x0000_i1312" type="#_x0000_t75" style="width:129.75pt;height:35.25pt" o:ole="">
                  <v:imagedata r:id="rId594" o:title=""/>
                </v:shape>
                <o:OLEObject Type="Embed" ProgID="Equation.DSMT4" ShapeID="_x0000_i1312" DrawAspect="Content" ObjectID="_1692169485" r:id="rId595"/>
              </w:object>
            </w:r>
          </w:p>
        </w:tc>
        <w:tc>
          <w:tcPr>
            <w:tcW w:w="1247" w:type="dxa"/>
            <w:vAlign w:val="center"/>
          </w:tcPr>
          <w:p w14:paraId="508F3470" w14:textId="2E63EDE2" w:rsidR="00176770" w:rsidRPr="001455DC" w:rsidRDefault="00176770" w:rsidP="00176770">
            <w:pPr>
              <w:pStyle w:val="a7"/>
              <w:jc w:val="right"/>
            </w:pPr>
            <w:r w:rsidRPr="001455DC">
              <w:t>(I.16)</w:t>
            </w:r>
          </w:p>
        </w:tc>
      </w:tr>
    </w:tbl>
    <w:p w14:paraId="33D90424" w14:textId="77777777" w:rsidR="00176770" w:rsidRPr="001455DC" w:rsidRDefault="004E22C1" w:rsidP="00116AE2">
      <w:pPr>
        <w:pStyle w:val="a7"/>
        <w:keepNext/>
      </w:pPr>
      <w:r w:rsidRPr="001455DC">
        <w:rPr>
          <w:lang w:eastAsia="de-CH"/>
        </w:rPr>
        <w:t>(2)</w:t>
      </w:r>
      <w:r w:rsidRPr="001455DC">
        <w:rPr>
          <w:lang w:eastAsia="de-CH"/>
        </w:rPr>
        <w:tab/>
      </w:r>
      <w:bookmarkStart w:id="1761" w:name="_Hlk41370928"/>
      <w:r w:rsidRPr="001455DC">
        <w:rPr>
          <w:lang w:eastAsia="de-CH"/>
        </w:rPr>
        <w:t xml:space="preserve">As an alternative to 8.4.3, the </w:t>
      </w:r>
      <w:bookmarkStart w:id="1762" w:name="_Hlk41340399"/>
      <w:r w:rsidRPr="001455DC">
        <w:rPr>
          <w:lang w:eastAsia="de-CH"/>
        </w:rPr>
        <w:t xml:space="preserve">design punching shear stress resistance </w:t>
      </w:r>
      <w:r w:rsidRPr="001455DC">
        <w:rPr>
          <w:rStyle w:val="CCMCvariableitalic"/>
        </w:rPr>
        <w:t>τ</w:t>
      </w:r>
      <w:r w:rsidRPr="001455DC">
        <w:rPr>
          <w:rStyle w:val="CCMCvariablesubscript"/>
        </w:rPr>
        <w:t>Rd</w:t>
      </w:r>
      <w:r w:rsidRPr="001455DC">
        <w:rPr>
          <w:lang w:eastAsia="de-CH"/>
        </w:rPr>
        <w:t xml:space="preserve"> of slabs without shear reinforcement </w:t>
      </w:r>
      <w:bookmarkEnd w:id="1762"/>
      <w:r w:rsidRPr="001455DC">
        <w:rPr>
          <w:lang w:eastAsia="de-CH"/>
        </w:rPr>
        <w:t xml:space="preserve">to be compared with </w:t>
      </w:r>
      <w:r w:rsidRPr="001455DC">
        <w:rPr>
          <w:rStyle w:val="CCMCvariableitalic"/>
        </w:rPr>
        <w:t>τ</w:t>
      </w:r>
      <w:r w:rsidRPr="001455DC">
        <w:rPr>
          <w:rStyle w:val="CCMCvariablesubscript"/>
        </w:rPr>
        <w:t>Ed</w:t>
      </w:r>
      <w:r w:rsidRPr="001455DC">
        <w:rPr>
          <w:lang w:eastAsia="de-CH"/>
        </w:rPr>
        <w:t xml:space="preserve"> according to 8.4.2(6) or (7) may be calculated as follows: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176770" w:rsidRPr="001455DC" w14:paraId="3933DED3" w14:textId="77777777" w:rsidTr="00176770">
        <w:trPr>
          <w:cantSplit/>
        </w:trPr>
        <w:tc>
          <w:tcPr>
            <w:tcW w:w="8505" w:type="dxa"/>
            <w:vAlign w:val="center"/>
          </w:tcPr>
          <w:bookmarkStart w:id="1763" w:name="_Hlk41340823"/>
          <w:p w14:paraId="2780B29F" w14:textId="4441825A" w:rsidR="00176770" w:rsidRPr="001455DC" w:rsidRDefault="00231E33" w:rsidP="00176770">
            <w:pPr>
              <w:pStyle w:val="Formula"/>
              <w:jc w:val="left"/>
            </w:pPr>
            <m:oMathPara>
              <m:oMathParaPr>
                <m:jc m:val="left"/>
              </m:oMathParaPr>
              <m:oMath>
                <m:sSub>
                  <m:sSubPr>
                    <m:ctrlPr>
                      <w:rPr>
                        <w:rFonts w:ascii="Cambria Math" w:hAnsi="Cambria Math"/>
                      </w:rPr>
                    </m:ctrlPr>
                  </m:sSubPr>
                  <m:e>
                    <m:r>
                      <w:rPr>
                        <w:rFonts w:ascii="Cambria Math" w:hAnsi="Cambria Math"/>
                      </w:rPr>
                      <m:t>τ</m:t>
                    </m:r>
                  </m:e>
                  <m:sub>
                    <m:r>
                      <m:rPr>
                        <m:sty m:val="p"/>
                      </m:rPr>
                      <w:rPr>
                        <w:rFonts w:ascii="Cambria Math" w:hAnsi="Cambria Math"/>
                      </w:rPr>
                      <m:t>Rd,c</m:t>
                    </m:r>
                  </m:sub>
                </m:sSub>
                <m:r>
                  <w:rPr>
                    <w:rFonts w:ascii="Cambria Math" w:hAnsi="Cambria Math"/>
                  </w:rPr>
                  <m:t>=</m:t>
                </m:r>
                <m:f>
                  <m:fPr>
                    <m:ctrlPr>
                      <w:rPr>
                        <w:rFonts w:ascii="Cambria Math" w:hAnsi="Cambria Math"/>
                      </w:rPr>
                    </m:ctrlPr>
                  </m:fPr>
                  <m:num>
                    <m:r>
                      <w:rPr>
                        <w:rFonts w:ascii="Cambria Math" w:hAnsi="Cambria Math"/>
                      </w:rPr>
                      <m:t>0,75</m:t>
                    </m:r>
                  </m:num>
                  <m:den>
                    <m:sSub>
                      <m:sSubPr>
                        <m:ctrlPr>
                          <w:rPr>
                            <w:rFonts w:ascii="Cambria Math" w:hAnsi="Cambria Math"/>
                          </w:rPr>
                        </m:ctrlPr>
                      </m:sSubPr>
                      <m:e>
                        <m:r>
                          <w:rPr>
                            <w:rFonts w:ascii="Cambria Math" w:hAnsi="Cambria Math"/>
                          </w:rPr>
                          <m:t>γ</m:t>
                        </m:r>
                      </m:e>
                      <m:sub>
                        <m:r>
                          <m:rPr>
                            <m:sty m:val="p"/>
                          </m:rPr>
                          <w:rPr>
                            <w:rFonts w:ascii="Cambria Math" w:hAnsi="Cambria Math"/>
                          </w:rPr>
                          <m:t>v</m:t>
                        </m:r>
                      </m:sub>
                    </m:sSub>
                  </m:den>
                </m:f>
                <m:r>
                  <w:rPr>
                    <w:rFonts w:ascii="Cambria Math" w:hAnsi="Cambria Math"/>
                  </w:rPr>
                  <m:t>∙</m:t>
                </m:r>
                <m:f>
                  <m:fPr>
                    <m:ctrlPr>
                      <w:rPr>
                        <w:rFonts w:ascii="Cambria Math" w:hAnsi="Cambria Math"/>
                        <w:i/>
                      </w:rPr>
                    </m:ctrlPr>
                  </m:fPr>
                  <m:num>
                    <m:sSubSup>
                      <m:sSubSupPr>
                        <m:ctrlPr>
                          <w:rPr>
                            <w:rFonts w:ascii="Cambria Math" w:hAnsi="Cambria Math"/>
                          </w:rPr>
                        </m:ctrlPr>
                      </m:sSubSupPr>
                      <m:e>
                        <m:r>
                          <w:rPr>
                            <w:rFonts w:ascii="Cambria Math" w:hAnsi="Cambria Math"/>
                          </w:rPr>
                          <m:t>γ</m:t>
                        </m:r>
                      </m:e>
                      <m:sub>
                        <m:r>
                          <m:rPr>
                            <m:sty m:val="p"/>
                          </m:rPr>
                          <w:rPr>
                            <w:rFonts w:ascii="Cambria Math" w:hAnsi="Cambria Math"/>
                          </w:rPr>
                          <m:t>def</m:t>
                        </m:r>
                      </m:sub>
                      <m:sup>
                        <m:r>
                          <m:rPr>
                            <m:sty m:val="p"/>
                          </m:rPr>
                          <w:rPr>
                            <w:rFonts w:ascii="Cambria Math" w:hAnsi="Cambria Math"/>
                          </w:rPr>
                          <m:t>2/3</m:t>
                        </m:r>
                      </m:sup>
                    </m:sSubSup>
                  </m:num>
                  <m:den>
                    <m:sSubSup>
                      <m:sSubSupPr>
                        <m:ctrlPr>
                          <w:rPr>
                            <w:rFonts w:ascii="Cambria Math" w:hAnsi="Cambria Math"/>
                            <w:i/>
                          </w:rPr>
                        </m:ctrlPr>
                      </m:sSubSupPr>
                      <m:e>
                        <m:r>
                          <w:rPr>
                            <w:rFonts w:ascii="Cambria Math" w:hAnsi="Cambria Math"/>
                          </w:rPr>
                          <m:t>γ</m:t>
                        </m:r>
                      </m:e>
                      <m:sub>
                        <m:r>
                          <m:rPr>
                            <m:sty m:val="p"/>
                          </m:rPr>
                          <w:rPr>
                            <w:rFonts w:ascii="Cambria Math" w:hAnsi="Cambria Math"/>
                          </w:rPr>
                          <m:t>v</m:t>
                        </m:r>
                      </m:sub>
                      <m:sup>
                        <m:r>
                          <w:rPr>
                            <w:rFonts w:ascii="Cambria Math" w:hAnsi="Cambria Math"/>
                          </w:rPr>
                          <m:t>2</m:t>
                        </m:r>
                      </m:sup>
                    </m:sSubSup>
                  </m:den>
                </m:f>
                <m:r>
                  <w:rPr>
                    <w:rFonts w:ascii="Cambria Math" w:hAnsi="Cambria Math"/>
                  </w:rPr>
                  <m:t>⋅</m:t>
                </m:r>
                <m:f>
                  <m:fPr>
                    <m:ctrlPr>
                      <w:rPr>
                        <w:rFonts w:ascii="Cambria Math" w:hAnsi="Cambria Math"/>
                      </w:rPr>
                    </m:ctrlPr>
                  </m:fPr>
                  <m:num>
                    <m:rad>
                      <m:radPr>
                        <m:degHide m:val="1"/>
                        <m:ctrlPr>
                          <w:rPr>
                            <w:rFonts w:ascii="Cambria Math" w:hAnsi="Cambria Math"/>
                          </w:rPr>
                        </m:ctrlPr>
                      </m:radPr>
                      <m:deg/>
                      <m:e>
                        <m:sSub>
                          <m:sSubPr>
                            <m:ctrlPr>
                              <w:rPr>
                                <w:rFonts w:ascii="Cambria Math" w:hAnsi="Cambria Math"/>
                              </w:rPr>
                            </m:ctrlPr>
                          </m:sSubPr>
                          <m:e>
                            <m:r>
                              <w:rPr>
                                <w:rFonts w:ascii="Cambria Math" w:hAnsi="Cambria Math"/>
                              </w:rPr>
                              <m:t>f</m:t>
                            </m:r>
                          </m:e>
                          <m:sub>
                            <m:r>
                              <m:rPr>
                                <m:sty m:val="p"/>
                              </m:rPr>
                              <w:rPr>
                                <w:rFonts w:ascii="Cambria Math" w:hAnsi="Cambria Math"/>
                              </w:rPr>
                              <m:t>ck</m:t>
                            </m:r>
                          </m:sub>
                        </m:sSub>
                      </m:e>
                    </m:rad>
                  </m:num>
                  <m:den>
                    <m:r>
                      <w:rPr>
                        <w:rFonts w:ascii="Cambria Math" w:hAnsi="Cambria Math"/>
                      </w:rPr>
                      <m:t>1+15</m:t>
                    </m:r>
                    <m:sSub>
                      <m:sSubPr>
                        <m:ctrlPr>
                          <w:rPr>
                            <w:rFonts w:ascii="Cambria Math" w:hAnsi="Cambria Math"/>
                          </w:rPr>
                        </m:ctrlPr>
                      </m:sSubPr>
                      <m:e>
                        <m:r>
                          <w:rPr>
                            <w:rFonts w:ascii="Cambria Math" w:hAnsi="Cambria Math"/>
                          </w:rPr>
                          <m:t>γ</m:t>
                        </m:r>
                      </m:e>
                      <m:sub>
                        <m:r>
                          <m:rPr>
                            <m:sty m:val="p"/>
                          </m:rPr>
                          <w:rPr>
                            <w:rFonts w:ascii="Cambria Math" w:hAnsi="Cambria Math"/>
                          </w:rPr>
                          <m:t>def</m:t>
                        </m:r>
                      </m:sub>
                    </m:sSub>
                    <m:r>
                      <w:rPr>
                        <w:rFonts w:ascii="Cambria Math" w:hAnsi="Cambria Math"/>
                      </w:rPr>
                      <m:t>⋅ψ⋅</m:t>
                    </m:r>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v</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dg</m:t>
                            </m:r>
                          </m:sub>
                        </m:sSub>
                      </m:den>
                    </m:f>
                  </m:den>
                </m:f>
              </m:oMath>
            </m:oMathPara>
            <w:bookmarkEnd w:id="1763"/>
          </w:p>
        </w:tc>
        <w:tc>
          <w:tcPr>
            <w:tcW w:w="1247" w:type="dxa"/>
            <w:vAlign w:val="center"/>
          </w:tcPr>
          <w:p w14:paraId="0F513390" w14:textId="6BB5E711" w:rsidR="00176770" w:rsidRPr="001455DC" w:rsidRDefault="00176770" w:rsidP="00176770">
            <w:pPr>
              <w:pStyle w:val="a7"/>
              <w:jc w:val="right"/>
            </w:pPr>
            <w:r w:rsidRPr="001455DC">
              <w:t>(I.17)</w:t>
            </w:r>
          </w:p>
        </w:tc>
      </w:tr>
    </w:tbl>
    <w:p w14:paraId="793AF7EE" w14:textId="77777777" w:rsidR="00176770" w:rsidRPr="001455DC" w:rsidRDefault="00176770"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176770" w:rsidRPr="001455DC" w14:paraId="38702943" w14:textId="77777777" w:rsidTr="00176770">
        <w:trPr>
          <w:cantSplit/>
        </w:trPr>
        <w:tc>
          <w:tcPr>
            <w:tcW w:w="567" w:type="dxa"/>
          </w:tcPr>
          <w:p w14:paraId="66465EB1" w14:textId="44AB6AAF" w:rsidR="00176770" w:rsidRPr="001455DC" w:rsidRDefault="004120A1" w:rsidP="0000442A">
            <w:pPr>
              <w:pStyle w:val="Tablebody"/>
            </w:pPr>
            <w:r w:rsidRPr="001455DC">
              <w:rPr>
                <w:rStyle w:val="CCMCvariableitalic"/>
              </w:rPr>
              <w:t>ψ</w:t>
            </w:r>
          </w:p>
        </w:tc>
        <w:tc>
          <w:tcPr>
            <w:tcW w:w="8845" w:type="dxa"/>
          </w:tcPr>
          <w:p w14:paraId="34ABA89C" w14:textId="2720BEDE" w:rsidR="00176770" w:rsidRPr="001455DC" w:rsidRDefault="004120A1">
            <w:pPr>
              <w:pStyle w:val="Tablebody"/>
            </w:pPr>
            <w:r w:rsidRPr="001455DC">
              <w:rPr>
                <w:lang w:eastAsia="de-CH"/>
              </w:rPr>
              <w:t xml:space="preserve">in radians is the maximum rotation of the slab around the supported area according to (3) which considers </w:t>
            </w:r>
            <w:r w:rsidR="008969A4" w:rsidRPr="001455DC">
              <w:rPr>
                <w:lang w:eastAsia="de-CH"/>
              </w:rPr>
              <w:t xml:space="preserve">explicitly </w:t>
            </w:r>
            <w:r w:rsidRPr="001455DC">
              <w:rPr>
                <w:lang w:eastAsia="de-CH"/>
              </w:rPr>
              <w:t xml:space="preserve">all effects covered by 8.4.3(2) </w:t>
            </w:r>
            <w:r w:rsidRPr="001455DC">
              <w:t xml:space="preserve">to </w:t>
            </w:r>
            <w:r w:rsidRPr="001455DC">
              <w:rPr>
                <w:lang w:eastAsia="de-CH"/>
              </w:rPr>
              <w:t>(5)</w:t>
            </w:r>
            <w:r w:rsidRPr="001455DC">
              <w:t>.</w:t>
            </w:r>
          </w:p>
        </w:tc>
      </w:tr>
    </w:tbl>
    <w:p w14:paraId="549D1182" w14:textId="76954C04" w:rsidR="004E22C1" w:rsidRPr="001455DC" w:rsidRDefault="004E22C1" w:rsidP="00176770">
      <w:pPr>
        <w:pStyle w:val="Note"/>
        <w:rPr>
          <w:lang w:eastAsia="de-CH"/>
        </w:rPr>
      </w:pPr>
      <w:r w:rsidRPr="001455DC">
        <w:t>NOTE</w:t>
      </w:r>
      <w:r w:rsidRPr="001455DC">
        <w:tab/>
        <w:t xml:space="preserve">For </w:t>
      </w:r>
      <w:r w:rsidRPr="001455DC">
        <w:rPr>
          <w:rStyle w:val="CCMCvariableitalic"/>
        </w:rPr>
        <w:t>γ</w:t>
      </w:r>
      <w:r w:rsidRPr="001455DC">
        <w:rPr>
          <w:rStyle w:val="CCMCvariablesubscript"/>
        </w:rPr>
        <w:t>def</w:t>
      </w:r>
      <w:r w:rsidRPr="001455DC">
        <w:t xml:space="preserve"> see I.8.</w:t>
      </w:r>
      <w:r w:rsidR="00763209" w:rsidRPr="001455DC">
        <w:t>3</w:t>
      </w:r>
      <w:r w:rsidRPr="001455DC">
        <w:t>.</w:t>
      </w:r>
      <w:r w:rsidR="00763209" w:rsidRPr="001455DC">
        <w:t>1</w:t>
      </w:r>
      <w:r w:rsidRPr="001455DC">
        <w:t>(1).</w:t>
      </w:r>
      <w:bookmarkEnd w:id="1761"/>
    </w:p>
    <w:p w14:paraId="28B58045" w14:textId="77777777" w:rsidR="004E22C1" w:rsidRPr="001455DC" w:rsidRDefault="004E22C1" w:rsidP="00176770">
      <w:pPr>
        <w:pStyle w:val="a7"/>
      </w:pPr>
      <w:r w:rsidRPr="001455DC">
        <w:t>(3)</w:t>
      </w:r>
      <w:r w:rsidRPr="001455DC">
        <w:tab/>
        <w:t xml:space="preserve">The rotation </w:t>
      </w:r>
      <w:r w:rsidRPr="001455DC">
        <w:rPr>
          <w:rStyle w:val="CCMCvariableitalic"/>
        </w:rPr>
        <w:t>ψ</w:t>
      </w:r>
      <w:r w:rsidRPr="001455DC">
        <w:t xml:space="preserve"> may be calculated on the basis of a non-linear analysis of the structure and accounting for cracking, tension-stiffening effects, yielding of the reinforcement, membrane action and any other non-linear effects relevant for providing an accurate assessment of the structure. The governing value of </w:t>
      </w:r>
      <w:r w:rsidRPr="001455DC">
        <w:rPr>
          <w:rStyle w:val="CCMCvariableitalic"/>
        </w:rPr>
        <w:t>ψ</w:t>
      </w:r>
      <w:r w:rsidRPr="001455DC">
        <w:t xml:space="preserve"> is the maximum relative rotation between centre of the supported area and a distance 2</w:t>
      </w:r>
      <w:r w:rsidRPr="001455DC">
        <w:rPr>
          <w:rStyle w:val="CCMCvariableitalic"/>
        </w:rPr>
        <w:t>d</w:t>
      </w:r>
      <w:r w:rsidRPr="001455DC">
        <w:rPr>
          <w:rStyle w:val="CCMCvariablesubscript"/>
        </w:rPr>
        <w:t>v</w:t>
      </w:r>
      <w:r w:rsidRPr="001455DC">
        <w:rPr>
          <w:iCs/>
        </w:rPr>
        <w:t xml:space="preserve"> </w:t>
      </w:r>
      <w:r w:rsidRPr="001455DC">
        <w:t>from the control perimeter.</w:t>
      </w:r>
    </w:p>
    <w:p w14:paraId="56069AF3" w14:textId="58922851" w:rsidR="004E22C1" w:rsidRPr="001455DC" w:rsidRDefault="004E22C1" w:rsidP="00243590">
      <w:pPr>
        <w:pStyle w:val="a4"/>
        <w:rPr>
          <w:lang w:eastAsia="de-CH"/>
        </w:rPr>
      </w:pPr>
      <w:bookmarkStart w:id="1764" w:name="_Toc52820229"/>
      <w:bookmarkStart w:id="1765" w:name="_Toc54337654"/>
      <w:bookmarkStart w:id="1766" w:name="_Toc54338283"/>
      <w:r w:rsidRPr="001455DC">
        <w:t>Punching shear resistance of slabs with shear reinforcement</w:t>
      </w:r>
      <w:bookmarkEnd w:id="1764"/>
      <w:bookmarkEnd w:id="1765"/>
      <w:bookmarkEnd w:id="1766"/>
    </w:p>
    <w:p w14:paraId="4B183208" w14:textId="7A2196CB" w:rsidR="00176770" w:rsidRPr="001455DC" w:rsidRDefault="004E22C1" w:rsidP="00116AE2">
      <w:pPr>
        <w:pStyle w:val="a7"/>
        <w:keepNext/>
      </w:pPr>
      <w:r w:rsidRPr="001455DC">
        <w:t>(1)</w:t>
      </w:r>
      <w:r w:rsidRPr="001455DC">
        <w:tab/>
        <w:t xml:space="preserve">For the calculation of design punching shear stress resistance of slabs with shear reinforcement according to 8.4.4(1), in case the strain-based approach described in (3) is used, coefficients </w:t>
      </w:r>
      <w:r w:rsidRPr="001455DC">
        <w:rPr>
          <w:rStyle w:val="CCMCvariableitalic"/>
        </w:rPr>
        <w:t>η</w:t>
      </w:r>
      <w:r w:rsidRPr="001455DC">
        <w:rPr>
          <w:rStyle w:val="CCMCvariablesubscript"/>
        </w:rPr>
        <w:t>c</w:t>
      </w:r>
      <w:r w:rsidRPr="001455DC">
        <w:t xml:space="preserve"> and </w:t>
      </w:r>
      <w:r w:rsidRPr="001455DC">
        <w:rPr>
          <w:rStyle w:val="CCMCvariableitalic"/>
        </w:rPr>
        <w:t>η</w:t>
      </w:r>
      <w:r w:rsidRPr="001455DC">
        <w:rPr>
          <w:rStyle w:val="CCMCvariablesubscript"/>
        </w:rPr>
        <w:t>s</w:t>
      </w:r>
      <w:r w:rsidRPr="001455DC">
        <w:t xml:space="preserve"> in Formula (8.</w:t>
      </w:r>
      <w:r w:rsidR="00B2287C" w:rsidRPr="001455DC">
        <w:t>89</w:t>
      </w:r>
      <w:r w:rsidRPr="001455DC">
        <w:t>) may be calculated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176770" w:rsidRPr="001455DC" w14:paraId="52DE0280" w14:textId="77777777" w:rsidTr="00176770">
        <w:trPr>
          <w:cantSplit/>
        </w:trPr>
        <w:tc>
          <w:tcPr>
            <w:tcW w:w="8505" w:type="dxa"/>
            <w:vAlign w:val="center"/>
          </w:tcPr>
          <w:p w14:paraId="7A443FE2" w14:textId="1760BC6C" w:rsidR="00176770" w:rsidRPr="001455DC" w:rsidRDefault="00231E33" w:rsidP="00176770">
            <w:pPr>
              <w:pStyle w:val="Formula"/>
              <w:jc w:val="left"/>
            </w:pPr>
            <m:oMathPara>
              <m:oMathParaPr>
                <m:jc m:val="left"/>
              </m:oMathParaPr>
              <m:oMath>
                <m:sSub>
                  <m:sSubPr>
                    <m:ctrlPr>
                      <w:rPr>
                        <w:rFonts w:ascii="Cambria Math" w:hAnsi="Cambria Math"/>
                      </w:rPr>
                    </m:ctrlPr>
                  </m:sSubPr>
                  <m:e>
                    <m:r>
                      <w:rPr>
                        <w:rFonts w:ascii="Cambria Math" w:hAnsi="Cambria Math"/>
                      </w:rPr>
                      <m:t>η</m:t>
                    </m:r>
                  </m:e>
                  <m:sub>
                    <m:r>
                      <m:rPr>
                        <m:sty m:val="p"/>
                      </m:rPr>
                      <w:rPr>
                        <w:rFonts w:ascii="Cambria Math" w:hAnsi="Cambria Math"/>
                      </w:rPr>
                      <m:t>c</m:t>
                    </m:r>
                  </m:sub>
                </m:sSub>
                <m:r>
                  <w:rPr>
                    <w:rFonts w:ascii="Cambria Math" w:hAnsi="Cambria Math"/>
                  </w:rPr>
                  <m:t>=1,0</m:t>
                </m:r>
              </m:oMath>
            </m:oMathPara>
          </w:p>
        </w:tc>
        <w:tc>
          <w:tcPr>
            <w:tcW w:w="1247" w:type="dxa"/>
            <w:vAlign w:val="center"/>
          </w:tcPr>
          <w:p w14:paraId="2753BF48" w14:textId="432F972D" w:rsidR="00176770" w:rsidRPr="001455DC" w:rsidRDefault="00176770" w:rsidP="00176770">
            <w:pPr>
              <w:pStyle w:val="a7"/>
              <w:jc w:val="right"/>
            </w:pPr>
            <w:r w:rsidRPr="001455DC">
              <w:t>(I.18)</w:t>
            </w:r>
          </w:p>
        </w:tc>
      </w:tr>
    </w:tbl>
    <w:p w14:paraId="1B263040" w14:textId="77777777" w:rsidR="00176770" w:rsidRPr="001455DC" w:rsidRDefault="004E22C1" w:rsidP="00176770">
      <w:pPr>
        <w:pStyle w:val="a7"/>
      </w:pPr>
      <w:r w:rsidRPr="001455DC">
        <w:rPr>
          <w:lang w:eastAsia="de-CH"/>
        </w:rPr>
        <w:t>and</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176770" w:rsidRPr="001455DC" w14:paraId="3FA1DC9C" w14:textId="77777777" w:rsidTr="00176770">
        <w:trPr>
          <w:cantSplit/>
        </w:trPr>
        <w:tc>
          <w:tcPr>
            <w:tcW w:w="8505" w:type="dxa"/>
            <w:vAlign w:val="center"/>
          </w:tcPr>
          <w:p w14:paraId="2315CA03" w14:textId="3E2FA899" w:rsidR="00176770" w:rsidRPr="001455DC" w:rsidRDefault="00231E33" w:rsidP="00176770">
            <w:pPr>
              <w:pStyle w:val="Formula"/>
              <w:jc w:val="left"/>
            </w:pPr>
            <m:oMathPara>
              <m:oMathParaPr>
                <m:jc m:val="left"/>
              </m:oMathParaPr>
              <m:oMath>
                <m:sSub>
                  <m:sSubPr>
                    <m:ctrlPr>
                      <w:rPr>
                        <w:rFonts w:ascii="Cambria Math" w:hAnsi="Cambria Math"/>
                      </w:rPr>
                    </m:ctrlPr>
                  </m:sSubPr>
                  <m:e>
                    <m:r>
                      <w:rPr>
                        <w:rFonts w:ascii="Cambria Math" w:hAnsi="Cambria Math"/>
                      </w:rPr>
                      <m:t>η</m:t>
                    </m:r>
                  </m:e>
                  <m:sub>
                    <m:r>
                      <m:rPr>
                        <m:sty m:val="p"/>
                      </m:rPr>
                      <w:rPr>
                        <w:rFonts w:ascii="Cambria Math" w:hAnsi="Cambria Math"/>
                      </w:rPr>
                      <m:t>s</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E</m:t>
                        </m:r>
                      </m:e>
                      <m:sub>
                        <m:r>
                          <m:rPr>
                            <m:sty m:val="p"/>
                          </m:rPr>
                          <w:rPr>
                            <w:rFonts w:ascii="Cambria Math" w:hAnsi="Cambria Math"/>
                          </w:rPr>
                          <m:t>s</m:t>
                        </m:r>
                      </m:sub>
                    </m:sSub>
                    <m:r>
                      <w:rPr>
                        <w:rFonts w:ascii="Cambria Math" w:hAnsi="Cambria Math"/>
                      </w:rPr>
                      <m:t>⋅ψ</m:t>
                    </m:r>
                  </m:num>
                  <m:den>
                    <m:r>
                      <w:rPr>
                        <w:rFonts w:ascii="Cambria Math" w:hAnsi="Cambria Math"/>
                      </w:rPr>
                      <m:t>7,5⋅</m:t>
                    </m:r>
                    <m:sSub>
                      <m:sSubPr>
                        <m:ctrlPr>
                          <w:rPr>
                            <w:rFonts w:ascii="Cambria Math" w:hAnsi="Cambria Math"/>
                          </w:rPr>
                        </m:ctrlPr>
                      </m:sSubPr>
                      <m:e>
                        <m:r>
                          <w:rPr>
                            <w:rFonts w:ascii="Cambria Math" w:hAnsi="Cambria Math"/>
                          </w:rPr>
                          <m:t>f</m:t>
                        </m:r>
                      </m:e>
                      <m:sub>
                        <m:r>
                          <m:rPr>
                            <m:sty m:val="p"/>
                          </m:rPr>
                          <w:rPr>
                            <w:rFonts w:ascii="Cambria Math" w:hAnsi="Cambria Math"/>
                          </w:rPr>
                          <m:t>ywd</m:t>
                        </m:r>
                      </m:sub>
                    </m:sSub>
                  </m:den>
                </m:f>
                <m:r>
                  <w:rPr>
                    <w:rFonts w:ascii="Cambria Math" w:hAnsi="Cambria Math"/>
                  </w:rPr>
                  <m:t>⋅</m:t>
                </m:r>
                <m:d>
                  <m:dPr>
                    <m:ctrlPr>
                      <w:rPr>
                        <w:rFonts w:ascii="Cambria Math" w:hAnsi="Cambria Math"/>
                      </w:rPr>
                    </m:ctrlPr>
                  </m:dPr>
                  <m:e>
                    <m: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bd</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ywd</m:t>
                            </m:r>
                          </m:sub>
                        </m:sSub>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v</m:t>
                            </m:r>
                          </m:sub>
                        </m:sSub>
                      </m:num>
                      <m:den>
                        <m:sSub>
                          <m:sSubPr>
                            <m:ctrlPr>
                              <w:rPr>
                                <w:rFonts w:ascii="Cambria Math" w:hAnsi="Cambria Math"/>
                              </w:rPr>
                            </m:ctrlPr>
                          </m:sSubPr>
                          <m:e>
                            <m:r>
                              <w:rPr>
                                <w:rFonts w:ascii="Cambria Math" w:hAnsi="Cambria Math"/>
                              </w:rPr>
                              <m:t>ϕ</m:t>
                            </m:r>
                          </m:e>
                          <m:sub>
                            <m:r>
                              <m:rPr>
                                <m:sty m:val="p"/>
                              </m:rPr>
                              <w:rPr>
                                <w:rFonts w:ascii="Cambria Math" w:hAnsi="Cambria Math"/>
                              </w:rPr>
                              <m:t>w</m:t>
                            </m:r>
                          </m:sub>
                        </m:sSub>
                      </m:den>
                    </m:f>
                  </m:e>
                </m:d>
                <m:r>
                  <w:rPr>
                    <w:rFonts w:ascii="Cambria Math" w:hAnsi="Cambria Math"/>
                  </w:rPr>
                  <m:t>≤0,8</m:t>
                </m:r>
              </m:oMath>
            </m:oMathPara>
          </w:p>
        </w:tc>
        <w:tc>
          <w:tcPr>
            <w:tcW w:w="1247" w:type="dxa"/>
            <w:vAlign w:val="center"/>
          </w:tcPr>
          <w:p w14:paraId="15F3A8DD" w14:textId="3A2BAB51" w:rsidR="00176770" w:rsidRPr="001455DC" w:rsidRDefault="00176770" w:rsidP="00176770">
            <w:pPr>
              <w:pStyle w:val="a7"/>
              <w:jc w:val="right"/>
            </w:pPr>
            <w:r w:rsidRPr="001455DC">
              <w:t>(I.19)</w:t>
            </w:r>
          </w:p>
        </w:tc>
      </w:tr>
    </w:tbl>
    <w:p w14:paraId="73D4F1E2" w14:textId="390062D2" w:rsidR="004120A1" w:rsidRPr="001455DC" w:rsidRDefault="004120A1"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4120A1" w:rsidRPr="001455DC" w14:paraId="74400D74" w14:textId="77777777" w:rsidTr="00CF7E2A">
        <w:trPr>
          <w:cantSplit/>
        </w:trPr>
        <w:tc>
          <w:tcPr>
            <w:tcW w:w="567" w:type="dxa"/>
          </w:tcPr>
          <w:p w14:paraId="4B506C5A" w14:textId="32F81A44" w:rsidR="004120A1" w:rsidRPr="001455DC" w:rsidRDefault="004120A1" w:rsidP="00CF7E2A">
            <w:pPr>
              <w:pStyle w:val="Tablebody"/>
            </w:pPr>
            <w:r w:rsidRPr="001455DC">
              <w:rPr>
                <w:rStyle w:val="CCMCvariableitalic"/>
              </w:rPr>
              <w:t>ϕ</w:t>
            </w:r>
            <w:r w:rsidRPr="001455DC">
              <w:rPr>
                <w:rStyle w:val="CCMCvariablesubscript"/>
              </w:rPr>
              <w:t>w</w:t>
            </w:r>
          </w:p>
        </w:tc>
        <w:tc>
          <w:tcPr>
            <w:tcW w:w="8845" w:type="dxa"/>
          </w:tcPr>
          <w:p w14:paraId="67599F45" w14:textId="354CDAB5" w:rsidR="004120A1" w:rsidRPr="001455DC" w:rsidRDefault="004120A1" w:rsidP="00CF7E2A">
            <w:pPr>
              <w:pStyle w:val="Tablebody"/>
            </w:pPr>
            <w:r w:rsidRPr="001455DC">
              <w:rPr>
                <w:lang w:eastAsia="de-CH"/>
              </w:rPr>
              <w:t>is the diameter of the shear reinforcement;</w:t>
            </w:r>
          </w:p>
        </w:tc>
      </w:tr>
      <w:tr w:rsidR="004120A1" w:rsidRPr="001455DC" w14:paraId="7FBB611E" w14:textId="77777777" w:rsidTr="00CF7E2A">
        <w:trPr>
          <w:cantSplit/>
        </w:trPr>
        <w:tc>
          <w:tcPr>
            <w:tcW w:w="567" w:type="dxa"/>
          </w:tcPr>
          <w:p w14:paraId="16E29216" w14:textId="276857A6" w:rsidR="004120A1" w:rsidRPr="009D3012" w:rsidRDefault="004120A1" w:rsidP="00CF7E2A">
            <w:pPr>
              <w:pStyle w:val="Tablebody"/>
              <w:rPr>
                <w:rStyle w:val="CCMCvariableitalic"/>
              </w:rPr>
            </w:pPr>
            <w:r w:rsidRPr="001455DC">
              <w:rPr>
                <w:rStyle w:val="CCMCvariableitalic"/>
              </w:rPr>
              <w:t>f</w:t>
            </w:r>
            <w:r w:rsidRPr="001455DC">
              <w:rPr>
                <w:rStyle w:val="CCMCvariablesubscript"/>
              </w:rPr>
              <w:t>bd</w:t>
            </w:r>
          </w:p>
        </w:tc>
        <w:tc>
          <w:tcPr>
            <w:tcW w:w="8845" w:type="dxa"/>
          </w:tcPr>
          <w:p w14:paraId="0D0B25F2" w14:textId="72296379" w:rsidR="004120A1" w:rsidRPr="001455DC" w:rsidRDefault="004120A1" w:rsidP="00CF7E2A">
            <w:pPr>
              <w:pStyle w:val="Tablebody"/>
              <w:rPr>
                <w:lang w:eastAsia="de-CH"/>
              </w:rPr>
            </w:pPr>
            <w:r w:rsidRPr="001455DC">
              <w:rPr>
                <w:lang w:eastAsia="de-CH"/>
              </w:rPr>
              <w:t xml:space="preserve">is the design value of the average bond strength of the shear reinforcement and can be assumed as </w:t>
            </w:r>
            <w:r w:rsidRPr="001455DC">
              <w:rPr>
                <w:rStyle w:val="CCMCvariableitalic"/>
              </w:rPr>
              <w:t>f</w:t>
            </w:r>
            <w:r w:rsidRPr="001455DC">
              <w:rPr>
                <w:rStyle w:val="CCMCvariablesubscript"/>
              </w:rPr>
              <w:t>bd</w:t>
            </w:r>
            <w:r w:rsidRPr="001455DC">
              <w:t> </w:t>
            </w:r>
            <w:r w:rsidR="00EC27D2" w:rsidRPr="001455DC">
              <w:rPr>
                <w:rFonts w:ascii="Cambria Math" w:hAnsi="Cambria Math"/>
              </w:rPr>
              <w:t>=</w:t>
            </w:r>
            <w:r w:rsidRPr="001455DC">
              <w:t> </w:t>
            </w:r>
            <w:r w:rsidRPr="001455DC">
              <w:rPr>
                <w:lang w:eastAsia="de-CH"/>
              </w:rPr>
              <w:t>3,0 MPa for ribbed bars and 0 for plain bars.</w:t>
            </w:r>
          </w:p>
        </w:tc>
      </w:tr>
    </w:tbl>
    <w:p w14:paraId="63D8C3A4" w14:textId="75A2F51C" w:rsidR="004E22C1" w:rsidRPr="001455DC" w:rsidRDefault="004E22C1" w:rsidP="00176770">
      <w:pPr>
        <w:pStyle w:val="a7"/>
      </w:pPr>
      <w:r w:rsidRPr="001455DC">
        <w:t>(2)</w:t>
      </w:r>
      <w:r w:rsidRPr="001455DC">
        <w:tab/>
        <w:t>For slabs with shear reinforcement consisting of plain bars, the first term in Formula (8.</w:t>
      </w:r>
      <w:r w:rsidR="00B2287C" w:rsidRPr="001455DC">
        <w:t>91</w:t>
      </w:r>
      <w:r w:rsidRPr="001455DC">
        <w:t>) (</w:t>
      </w:r>
      <w:r w:rsidRPr="001455DC">
        <w:rPr>
          <w:rStyle w:val="CCMCvariableitalic"/>
        </w:rPr>
        <w:t>d</w:t>
      </w:r>
      <w:r w:rsidRPr="001455DC">
        <w:rPr>
          <w:rStyle w:val="CCMCvariablesubscript"/>
        </w:rPr>
        <w:t>v</w:t>
      </w:r>
      <w:r w:rsidRPr="001455DC">
        <w:t>/150</w:t>
      </w:r>
      <w:r w:rsidRPr="001455DC">
        <w:rPr>
          <w:rStyle w:val="CCMCvariableitalic"/>
        </w:rPr>
        <w:t>ϕ</w:t>
      </w:r>
      <w:r w:rsidRPr="001455DC">
        <w:rPr>
          <w:rStyle w:val="CCMCvariablesubscript"/>
        </w:rPr>
        <w:t>v</w:t>
      </w:r>
      <w:r w:rsidRPr="001455DC">
        <w:t>) should be disregarded.</w:t>
      </w:r>
    </w:p>
    <w:p w14:paraId="5B23E758" w14:textId="77777777" w:rsidR="00176770" w:rsidRPr="001455DC" w:rsidRDefault="004E22C1" w:rsidP="00116AE2">
      <w:pPr>
        <w:pStyle w:val="a7"/>
        <w:keepNext/>
      </w:pPr>
      <w:r w:rsidRPr="001455DC">
        <w:rPr>
          <w:lang w:eastAsia="de-CH"/>
        </w:rPr>
        <w:t>(3)</w:t>
      </w:r>
      <w:r w:rsidRPr="001455DC">
        <w:rPr>
          <w:lang w:eastAsia="de-CH"/>
        </w:rPr>
        <w:tab/>
        <w:t>The punching shear resistance of slabs with shear reinforcement shall be limited to a maximum of:</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176770" w:rsidRPr="001455DC" w14:paraId="42D9A0E2" w14:textId="77777777" w:rsidTr="00176770">
        <w:trPr>
          <w:cantSplit/>
        </w:trPr>
        <w:tc>
          <w:tcPr>
            <w:tcW w:w="8505" w:type="dxa"/>
            <w:vAlign w:val="center"/>
          </w:tcPr>
          <w:p w14:paraId="0B6EF1BD" w14:textId="728F5029" w:rsidR="00176770" w:rsidRPr="001455DC" w:rsidRDefault="00231E33" w:rsidP="00176770">
            <w:pPr>
              <w:pStyle w:val="Formula"/>
              <w:jc w:val="left"/>
            </w:pPr>
            <m:oMathPara>
              <m:oMathParaPr>
                <m:jc m:val="left"/>
              </m:oMathParaPr>
              <m:oMath>
                <m:sSub>
                  <m:sSubPr>
                    <m:ctrlPr>
                      <w:rPr>
                        <w:rFonts w:ascii="Cambria Math" w:hAnsi="Cambria Math"/>
                      </w:rPr>
                    </m:ctrlPr>
                  </m:sSubPr>
                  <m:e>
                    <m:r>
                      <w:rPr>
                        <w:rFonts w:ascii="Cambria Math" w:hAnsi="Cambria Math"/>
                      </w:rPr>
                      <m:t>τ</m:t>
                    </m:r>
                  </m:e>
                  <m:sub>
                    <m:r>
                      <m:rPr>
                        <m:sty m:val="p"/>
                      </m:rPr>
                      <w:rPr>
                        <w:rFonts w:ascii="Cambria Math" w:hAnsi="Cambria Math"/>
                      </w:rPr>
                      <m:t>Rd,max</m:t>
                    </m:r>
                  </m:sub>
                </m:sSub>
                <m: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sys</m:t>
                    </m:r>
                  </m:sub>
                </m:sSub>
                <m:r>
                  <w:rPr>
                    <w:rFonts w:ascii="Cambria Math" w:hAnsi="Cambria Math"/>
                  </w:rPr>
                  <m:t>⋅</m:t>
                </m:r>
                <m:sSub>
                  <m:sSubPr>
                    <m:ctrlPr>
                      <w:rPr>
                        <w:rFonts w:ascii="Cambria Math" w:hAnsi="Cambria Math"/>
                      </w:rPr>
                    </m:ctrlPr>
                  </m:sSubPr>
                  <m:e>
                    <m:r>
                      <w:rPr>
                        <w:rFonts w:ascii="Cambria Math" w:hAnsi="Cambria Math"/>
                      </w:rPr>
                      <m:t>τ</m:t>
                    </m:r>
                  </m:e>
                  <m:sub>
                    <m:r>
                      <m:rPr>
                        <m:sty m:val="p"/>
                      </m:rPr>
                      <w:rPr>
                        <w:rFonts w:ascii="Cambria Math" w:hAnsi="Cambria Math"/>
                      </w:rPr>
                      <m:t>Rd,c</m:t>
                    </m:r>
                  </m:sub>
                </m:sSub>
              </m:oMath>
            </m:oMathPara>
          </w:p>
        </w:tc>
        <w:tc>
          <w:tcPr>
            <w:tcW w:w="1247" w:type="dxa"/>
            <w:vAlign w:val="center"/>
          </w:tcPr>
          <w:p w14:paraId="3A3CA02D" w14:textId="6D43D987" w:rsidR="00176770" w:rsidRPr="001455DC" w:rsidRDefault="00176770" w:rsidP="00176770">
            <w:pPr>
              <w:pStyle w:val="a7"/>
              <w:jc w:val="right"/>
            </w:pPr>
            <w:r w:rsidRPr="001455DC">
              <w:t>(I.20)</w:t>
            </w:r>
          </w:p>
        </w:tc>
      </w:tr>
    </w:tbl>
    <w:p w14:paraId="0DEEC9B3" w14:textId="2A1DF295" w:rsidR="00176770" w:rsidRPr="001455DC" w:rsidRDefault="004E22C1" w:rsidP="00116AE2">
      <w:pPr>
        <w:pStyle w:val="a7"/>
        <w:keepNext/>
        <w:rPr>
          <w:lang w:eastAsia="de-CH"/>
        </w:rPr>
      </w:pPr>
      <w:r w:rsidRPr="001455DC">
        <w:rPr>
          <w:lang w:eastAsia="de-CH"/>
        </w:rPr>
        <w:t xml:space="preserve">where </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B2287C" w:rsidRPr="001455DC" w14:paraId="1CC504C7" w14:textId="77777777" w:rsidTr="009B39AC">
        <w:trPr>
          <w:cantSplit/>
        </w:trPr>
        <w:tc>
          <w:tcPr>
            <w:tcW w:w="567" w:type="dxa"/>
          </w:tcPr>
          <w:p w14:paraId="376CD3F5" w14:textId="0DBC831E" w:rsidR="00B2287C" w:rsidRPr="001455DC" w:rsidRDefault="00231E33" w:rsidP="009B39AC">
            <w:pPr>
              <w:pStyle w:val="Tablebody"/>
            </w:pPr>
            <m:oMathPara>
              <m:oMath>
                <m:sSub>
                  <m:sSubPr>
                    <m:ctrlPr>
                      <w:rPr>
                        <w:rFonts w:ascii="Cambria Math" w:hAnsi="Cambria Math"/>
                      </w:rPr>
                    </m:ctrlPr>
                  </m:sSubPr>
                  <m:e>
                    <m:r>
                      <w:rPr>
                        <w:rFonts w:ascii="Cambria Math" w:hAnsi="Cambria Math"/>
                      </w:rPr>
                      <m:t>τ</m:t>
                    </m:r>
                  </m:e>
                  <m:sub>
                    <m:r>
                      <m:rPr>
                        <m:sty m:val="p"/>
                      </m:rPr>
                      <w:rPr>
                        <w:rFonts w:ascii="Cambria Math" w:hAnsi="Cambria Math"/>
                      </w:rPr>
                      <m:t>Rd,c</m:t>
                    </m:r>
                  </m:sub>
                </m:sSub>
              </m:oMath>
            </m:oMathPara>
          </w:p>
        </w:tc>
        <w:tc>
          <w:tcPr>
            <w:tcW w:w="8845" w:type="dxa"/>
          </w:tcPr>
          <w:p w14:paraId="650C1D18" w14:textId="1806DD66" w:rsidR="00B2287C" w:rsidRPr="001455DC" w:rsidRDefault="00B2287C" w:rsidP="009B39AC">
            <w:pPr>
              <w:pStyle w:val="Tablebody"/>
            </w:pPr>
            <w:r w:rsidRPr="001455DC">
              <w:rPr>
                <w:rFonts w:cs="Arial"/>
                <w:lang w:eastAsia="de-CH"/>
              </w:rPr>
              <w:t>i</w:t>
            </w:r>
            <w:r w:rsidRPr="009D3012">
              <w:rPr>
                <w:rFonts w:cs="Arial"/>
                <w:lang w:eastAsia="de-CH"/>
              </w:rPr>
              <w:t xml:space="preserve">s calculated according to Formula (I.17) using rotation </w:t>
            </w:r>
            <w:r w:rsidRPr="009D3012">
              <w:rPr>
                <w:rFonts w:ascii="Symbol" w:hAnsi="Symbol" w:cs="Arial"/>
                <w:i/>
                <w:lang w:eastAsia="de-CH"/>
              </w:rPr>
              <w:t></w:t>
            </w:r>
            <w:r w:rsidRPr="009D3012">
              <w:rPr>
                <w:rFonts w:cs="Arial"/>
                <w:lang w:eastAsia="de-CH"/>
              </w:rPr>
              <w:t xml:space="preserve"> due to the external actions or with the actions which correspond to </w:t>
            </w:r>
            <w:r w:rsidRPr="009D3012">
              <w:rPr>
                <w:rFonts w:ascii="Symbol" w:hAnsi="Symbol" w:cs="Arial"/>
                <w:i/>
                <w:lang w:eastAsia="de-CH"/>
              </w:rPr>
              <w:t></w:t>
            </w:r>
            <w:r w:rsidRPr="009D3012">
              <w:rPr>
                <w:rFonts w:cs="Arial"/>
                <w:iCs/>
                <w:vertAlign w:val="subscript"/>
                <w:lang w:eastAsia="de-CH"/>
              </w:rPr>
              <w:t>Rd,max</w:t>
            </w:r>
            <w:r w:rsidRPr="009D3012">
              <w:rPr>
                <w:rFonts w:cs="Arial"/>
                <w:lang w:eastAsia="de-CH"/>
              </w:rPr>
              <w:t xml:space="preserve"> (in this case, an iteration is needed)</w:t>
            </w:r>
            <w:r w:rsidRPr="001455DC">
              <w:rPr>
                <w:rFonts w:cs="Arial"/>
                <w:lang w:eastAsia="de-CH"/>
              </w:rPr>
              <w:t>,</w:t>
            </w:r>
          </w:p>
        </w:tc>
      </w:tr>
      <w:tr w:rsidR="00B2287C" w:rsidRPr="001455DC" w14:paraId="3516DFB6" w14:textId="77777777" w:rsidTr="009B39AC">
        <w:trPr>
          <w:cantSplit/>
        </w:trPr>
        <w:tc>
          <w:tcPr>
            <w:tcW w:w="567" w:type="dxa"/>
          </w:tcPr>
          <w:p w14:paraId="6B902E5F" w14:textId="77777777" w:rsidR="00B2287C" w:rsidRPr="001455DC" w:rsidRDefault="00B2287C" w:rsidP="009B39AC">
            <w:pPr>
              <w:pStyle w:val="Tablebody"/>
              <w:rPr>
                <w:rFonts w:eastAsia="MS Mincho"/>
              </w:rPr>
            </w:pPr>
          </w:p>
        </w:tc>
        <w:tc>
          <w:tcPr>
            <w:tcW w:w="8845" w:type="dxa"/>
          </w:tcPr>
          <w:p w14:paraId="154FE528" w14:textId="70A4D522" w:rsidR="00B2287C" w:rsidRPr="009D3012" w:rsidRDefault="00B2287C" w:rsidP="009B39AC">
            <w:pPr>
              <w:pStyle w:val="Tablebody"/>
              <w:rPr>
                <w:rFonts w:cs="Arial"/>
                <w:lang w:eastAsia="de-CH"/>
              </w:rPr>
            </w:pPr>
            <w:r w:rsidRPr="009D3012">
              <w:rPr>
                <w:rFonts w:cs="Arial"/>
                <w:lang w:eastAsia="de-CH"/>
              </w:rPr>
              <w:t>and</w:t>
            </w:r>
          </w:p>
        </w:tc>
      </w:tr>
      <w:tr w:rsidR="00B2287C" w:rsidRPr="001455DC" w14:paraId="6B156655" w14:textId="77777777" w:rsidTr="009B39AC">
        <w:trPr>
          <w:cantSplit/>
        </w:trPr>
        <w:tc>
          <w:tcPr>
            <w:tcW w:w="567" w:type="dxa"/>
          </w:tcPr>
          <w:p w14:paraId="4D54FEB7" w14:textId="06C17CA8" w:rsidR="00B2287C" w:rsidRPr="009D3012" w:rsidRDefault="00B2287C" w:rsidP="009B39AC">
            <w:pPr>
              <w:pStyle w:val="Tablebody"/>
              <w:rPr>
                <w:rStyle w:val="CCMCvariableitalic"/>
              </w:rPr>
            </w:pPr>
            <w:r w:rsidRPr="001455DC">
              <w:rPr>
                <w:rStyle w:val="CCMCvariableitalic"/>
              </w:rPr>
              <w:t>k</w:t>
            </w:r>
            <w:r w:rsidRPr="001455DC">
              <w:rPr>
                <w:rStyle w:val="CCMCvariablesubscript"/>
              </w:rPr>
              <w:t>sys</w:t>
            </w:r>
          </w:p>
        </w:tc>
        <w:tc>
          <w:tcPr>
            <w:tcW w:w="8845" w:type="dxa"/>
          </w:tcPr>
          <w:p w14:paraId="50BC83B4" w14:textId="7B2B9E08" w:rsidR="00B2287C" w:rsidRPr="001455DC" w:rsidRDefault="00B2287C" w:rsidP="009B39AC">
            <w:pPr>
              <w:pStyle w:val="Tablebody"/>
              <w:rPr>
                <w:lang w:eastAsia="de-CH"/>
              </w:rPr>
            </w:pPr>
            <w:r w:rsidRPr="001455DC">
              <w:rPr>
                <w:lang w:eastAsia="de-CH"/>
              </w:rPr>
              <w:t xml:space="preserve">may be assumed as a function of </w:t>
            </w:r>
            <w:r w:rsidRPr="001455DC">
              <w:rPr>
                <w:rStyle w:val="CCMCvariableitalic"/>
              </w:rPr>
              <w:t>η</w:t>
            </w:r>
            <w:r w:rsidRPr="001455DC">
              <w:rPr>
                <w:rStyle w:val="CCMCvariablesubscript"/>
              </w:rPr>
              <w:t>sys</w:t>
            </w:r>
            <w:r w:rsidRPr="001455DC">
              <w:rPr>
                <w:lang w:eastAsia="de-CH"/>
              </w:rPr>
              <w:t xml:space="preserve"> according to 8.4.4(3):</w:t>
            </w:r>
          </w:p>
        </w:tc>
      </w:tr>
    </w:tbl>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176770" w:rsidRPr="001455DC" w14:paraId="42EE0434" w14:textId="77777777" w:rsidTr="00176770">
        <w:trPr>
          <w:cantSplit/>
        </w:trPr>
        <w:tc>
          <w:tcPr>
            <w:tcW w:w="8505" w:type="dxa"/>
            <w:vAlign w:val="center"/>
          </w:tcPr>
          <w:p w14:paraId="1CBC88BC" w14:textId="59F00430" w:rsidR="00176770" w:rsidRPr="001455DC" w:rsidRDefault="00231E33">
            <w:pPr>
              <w:pStyle w:val="Formula"/>
              <w:jc w:val="left"/>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rPr>
                      <m:t>sys</m:t>
                    </m:r>
                  </m:sub>
                </m:sSub>
                <m:r>
                  <w:rPr>
                    <w:rFonts w:ascii="Cambria Math" w:hAnsi="Cambria Math"/>
                  </w:rPr>
                  <m:t>=</m:t>
                </m:r>
                <m:sSubSup>
                  <m:sSubSupPr>
                    <m:ctrlPr>
                      <w:rPr>
                        <w:rFonts w:ascii="Cambria Math" w:hAnsi="Cambria Math"/>
                      </w:rPr>
                    </m:ctrlPr>
                  </m:sSubSupPr>
                  <m:e>
                    <m:r>
                      <w:rPr>
                        <w:rFonts w:ascii="Cambria Math" w:hAnsi="Cambria Math"/>
                      </w:rPr>
                      <m:t>η</m:t>
                    </m:r>
                  </m:e>
                  <m:sub>
                    <m:r>
                      <m:rPr>
                        <m:sty m:val="p"/>
                      </m:rPr>
                      <w:rPr>
                        <w:rFonts w:ascii="Cambria Math" w:hAnsi="Cambria Math"/>
                      </w:rPr>
                      <m:t>sys</m:t>
                    </m:r>
                  </m:sub>
                  <m:sup>
                    <m:r>
                      <w:rPr>
                        <w:rFonts w:ascii="Cambria Math" w:hAnsi="Cambria Math"/>
                      </w:rPr>
                      <m:t>5/3</m:t>
                    </m:r>
                  </m:sup>
                </m:sSubSup>
              </m:oMath>
            </m:oMathPara>
          </w:p>
        </w:tc>
        <w:tc>
          <w:tcPr>
            <w:tcW w:w="1247" w:type="dxa"/>
            <w:vAlign w:val="center"/>
          </w:tcPr>
          <w:p w14:paraId="07D64A53" w14:textId="3391BF70" w:rsidR="00176770" w:rsidRPr="001455DC" w:rsidRDefault="00176770" w:rsidP="00176770">
            <w:pPr>
              <w:pStyle w:val="a7"/>
              <w:jc w:val="right"/>
            </w:pPr>
            <w:r w:rsidRPr="001455DC">
              <w:t>(I.21)</w:t>
            </w:r>
          </w:p>
        </w:tc>
      </w:tr>
    </w:tbl>
    <w:p w14:paraId="6B7AC9DE" w14:textId="77777777" w:rsidR="004E22C1" w:rsidRPr="001455DC" w:rsidRDefault="004E22C1" w:rsidP="00176770">
      <w:pPr>
        <w:pStyle w:val="a7"/>
      </w:pPr>
      <w:r w:rsidRPr="001455DC">
        <w:t>(4)</w:t>
      </w:r>
      <w:r w:rsidRPr="001455DC">
        <w:tab/>
        <w:t xml:space="preserve">The verification for punching outside the shear reinforced zone, in case the strain-based approach described in (3) is used, may be conducted alternatively to 8.4.4(4) in a similar manner as slabs without shear reinforcement by considering the shear resistant effective depth </w:t>
      </w:r>
      <w:r w:rsidRPr="001455DC">
        <w:rPr>
          <w:rStyle w:val="CCMCvariableitalic"/>
        </w:rPr>
        <w:t>d</w:t>
      </w:r>
      <w:r w:rsidRPr="001455DC">
        <w:rPr>
          <w:rStyle w:val="CCMCvariablesubscript"/>
        </w:rPr>
        <w:t>v,out</w:t>
      </w:r>
      <w:r w:rsidRPr="001455DC">
        <w:t xml:space="preserve"> and the outer control perimeter defined in 8.4.4(4).</w:t>
      </w:r>
    </w:p>
    <w:p w14:paraId="609F286E" w14:textId="67DD78E8" w:rsidR="004E22C1" w:rsidRPr="001455DC" w:rsidRDefault="004E22C1" w:rsidP="00243590">
      <w:pPr>
        <w:pStyle w:val="a4"/>
        <w:rPr>
          <w:lang w:eastAsia="de-CH"/>
        </w:rPr>
      </w:pPr>
      <w:bookmarkStart w:id="1767" w:name="_Toc52820230"/>
      <w:bookmarkStart w:id="1768" w:name="_Toc54337655"/>
      <w:bookmarkStart w:id="1769" w:name="_Toc54338284"/>
      <w:r w:rsidRPr="001455DC">
        <w:t xml:space="preserve">Verification of punching in slabs with shear reinforcement not complying with the detailing rules of </w:t>
      </w:r>
      <w:r w:rsidR="001710FF" w:rsidRPr="001455DC">
        <w:t>Clause </w:t>
      </w:r>
      <w:r w:rsidRPr="001455DC">
        <w:t>12</w:t>
      </w:r>
      <w:bookmarkEnd w:id="1767"/>
      <w:bookmarkEnd w:id="1768"/>
      <w:bookmarkEnd w:id="1769"/>
    </w:p>
    <w:p w14:paraId="54DEFB9F" w14:textId="77777777" w:rsidR="004E22C1" w:rsidRPr="001455DC" w:rsidRDefault="004E22C1" w:rsidP="00116AE2">
      <w:pPr>
        <w:pStyle w:val="a7"/>
        <w:keepNext/>
      </w:pPr>
      <w:r w:rsidRPr="001455DC">
        <w:t>(1)</w:t>
      </w:r>
      <w:r w:rsidRPr="001455DC">
        <w:tab/>
        <w:t>The maximum punching shear resistance of slabs with shear reinforcement not complying with the requirements of 12.5.1 may be calculated according to 8.4.4(3) with following modifications:</w:t>
      </w:r>
    </w:p>
    <w:p w14:paraId="0967DFAD" w14:textId="36744375" w:rsidR="004E22C1" w:rsidRPr="001455DC" w:rsidRDefault="004E22C1" w:rsidP="00176770">
      <w:pPr>
        <w:pStyle w:val="a0"/>
      </w:pPr>
      <w:r w:rsidRPr="001455DC">
        <w:t xml:space="preserve">if the distance </w:t>
      </w:r>
      <w:r w:rsidRPr="001455DC">
        <w:rPr>
          <w:rStyle w:val="CCMCvariableitalic"/>
        </w:rPr>
        <w:t>s</w:t>
      </w:r>
      <w:r w:rsidRPr="001455DC">
        <w:rPr>
          <w:rStyle w:val="CCMCvariablesubscript"/>
        </w:rPr>
        <w:t>0</w:t>
      </w:r>
      <w:r w:rsidRPr="001455DC">
        <w:t xml:space="preserve"> between the column edge and the first reinforcement unit is smaller than the lower limit according to Figure 12.8: the distance </w:t>
      </w:r>
      <w:r w:rsidRPr="001455DC">
        <w:rPr>
          <w:rStyle w:val="CCMCvariableitalic"/>
        </w:rPr>
        <w:t>s</w:t>
      </w:r>
      <w:r w:rsidRPr="001455DC">
        <w:rPr>
          <w:rStyle w:val="CCMCvariablesubscript"/>
        </w:rPr>
        <w:t>1</w:t>
      </w:r>
      <w:r w:rsidRPr="001455DC">
        <w:t xml:space="preserve"> instead of </w:t>
      </w:r>
      <w:r w:rsidRPr="001455DC">
        <w:rPr>
          <w:rStyle w:val="CCMCvariableitalic"/>
        </w:rPr>
        <w:t>s</w:t>
      </w:r>
      <w:r w:rsidRPr="001455DC">
        <w:rPr>
          <w:rStyle w:val="CCMCvariablesubscript"/>
        </w:rPr>
        <w:t>0</w:t>
      </w:r>
      <w:r w:rsidRPr="001455DC">
        <w:t xml:space="preserve"> should be used in Formula (8.</w:t>
      </w:r>
      <w:r w:rsidR="00425ED4" w:rsidRPr="001455DC">
        <w:t>93</w:t>
      </w:r>
      <w:r w:rsidRPr="001455DC">
        <w:t>)</w:t>
      </w:r>
      <w:r w:rsidRPr="001455DC">
        <w:rPr>
          <w:lang w:eastAsia="de-CH"/>
        </w:rPr>
        <w:t>,</w:t>
      </w:r>
    </w:p>
    <w:p w14:paraId="70FCAC50" w14:textId="254CBDEA" w:rsidR="004E22C1" w:rsidRPr="001455DC" w:rsidRDefault="004E22C1" w:rsidP="00176770">
      <w:pPr>
        <w:pStyle w:val="a0"/>
      </w:pPr>
      <w:r w:rsidRPr="001455DC">
        <w:t xml:space="preserve">if the distance </w:t>
      </w:r>
      <w:r w:rsidRPr="001455DC">
        <w:rPr>
          <w:rStyle w:val="CCMCvariableitalic"/>
        </w:rPr>
        <w:t>s</w:t>
      </w:r>
      <w:r w:rsidRPr="001455DC">
        <w:rPr>
          <w:rStyle w:val="CCMCvariablesubscript"/>
        </w:rPr>
        <w:t>0</w:t>
      </w:r>
      <w:r w:rsidRPr="001455DC">
        <w:t xml:space="preserve"> between the column edge and the first reinforcement unit is larger than the upper limit according to Figure 12.8: Formula (8.</w:t>
      </w:r>
      <w:r w:rsidR="00425ED4" w:rsidRPr="001455DC">
        <w:t>93</w:t>
      </w:r>
      <w:r w:rsidRPr="001455DC">
        <w:t>) is applicable</w:t>
      </w:r>
    </w:p>
    <w:p w14:paraId="286B694F" w14:textId="0C1E8EC1" w:rsidR="004E22C1" w:rsidRPr="001455DC" w:rsidRDefault="004E22C1" w:rsidP="00176770">
      <w:pPr>
        <w:pStyle w:val="a0"/>
      </w:pPr>
      <w:r w:rsidRPr="001455DC">
        <w:t>if the shear reinforcement doesn’t enclose at least the 3</w:t>
      </w:r>
      <w:r w:rsidRPr="001455DC">
        <w:rPr>
          <w:rStyle w:val="CCMCvariablesuperscript"/>
        </w:rPr>
        <w:t>rd</w:t>
      </w:r>
      <w:r w:rsidRPr="001455DC">
        <w:t xml:space="preserve"> layer of longitudinal reinforcement according to Figure 12.7, coefficient 1,15 in Formula (8.</w:t>
      </w:r>
      <w:r w:rsidR="00425ED4" w:rsidRPr="001455DC">
        <w:t>93</w:t>
      </w:r>
      <w:r w:rsidRPr="001455DC">
        <w:t>) should be replaced by 0,85.</w:t>
      </w:r>
    </w:p>
    <w:p w14:paraId="3BB3B312" w14:textId="0B57464D" w:rsidR="004E22C1" w:rsidRPr="001455DC" w:rsidRDefault="00176770" w:rsidP="00082680">
      <w:pPr>
        <w:pStyle w:val="a2"/>
      </w:pPr>
      <w:bookmarkStart w:id="1770" w:name="_Toc52820231"/>
      <w:bookmarkStart w:id="1771" w:name="_Toc54337180"/>
      <w:bookmarkStart w:id="1772" w:name="_Toc54337656"/>
      <w:bookmarkStart w:id="1773" w:name="_Toc54338285"/>
      <w:bookmarkStart w:id="1774" w:name="_Toc67565579"/>
      <w:r w:rsidRPr="001455DC">
        <w:t>Serviceability Limit States</w:t>
      </w:r>
      <w:r w:rsidR="004E22C1" w:rsidRPr="001455DC">
        <w:t xml:space="preserve"> (SLS)</w:t>
      </w:r>
      <w:bookmarkEnd w:id="1770"/>
      <w:bookmarkEnd w:id="1771"/>
      <w:bookmarkEnd w:id="1772"/>
      <w:bookmarkEnd w:id="1773"/>
      <w:bookmarkEnd w:id="1774"/>
    </w:p>
    <w:p w14:paraId="77E99C4B" w14:textId="2E30B6B0" w:rsidR="004E22C1" w:rsidRPr="001455DC" w:rsidRDefault="004E22C1" w:rsidP="00243590">
      <w:pPr>
        <w:pStyle w:val="a3"/>
      </w:pPr>
      <w:bookmarkStart w:id="1775" w:name="_Toc52820232"/>
      <w:bookmarkStart w:id="1776" w:name="_Toc54337657"/>
      <w:bookmarkStart w:id="1777" w:name="_Toc54338286"/>
      <w:r w:rsidRPr="001455DC">
        <w:t>General</w:t>
      </w:r>
      <w:bookmarkEnd w:id="1775"/>
      <w:bookmarkEnd w:id="1776"/>
      <w:bookmarkEnd w:id="1777"/>
    </w:p>
    <w:p w14:paraId="581DD285" w14:textId="18C777DF" w:rsidR="004E22C1" w:rsidRPr="001455DC" w:rsidRDefault="004E22C1" w:rsidP="00116AE2">
      <w:pPr>
        <w:pStyle w:val="a7"/>
        <w:keepNext/>
      </w:pPr>
      <w:r w:rsidRPr="001455DC">
        <w:t>(1)</w:t>
      </w:r>
      <w:r w:rsidRPr="001455DC">
        <w:tab/>
        <w:t xml:space="preserve">Assessment of serviceability limit states by calculation according to </w:t>
      </w:r>
      <w:r w:rsidR="001710FF" w:rsidRPr="001455DC">
        <w:t>Clause </w:t>
      </w:r>
      <w:r w:rsidRPr="001455DC">
        <w:t>9 should be performed when:</w:t>
      </w:r>
    </w:p>
    <w:p w14:paraId="0B221A1A" w14:textId="3081FF63" w:rsidR="004E22C1" w:rsidRPr="001455DC" w:rsidRDefault="004E22C1" w:rsidP="00176770">
      <w:pPr>
        <w:pStyle w:val="a7"/>
        <w:ind w:left="567" w:hanging="567"/>
      </w:pPr>
      <w:r w:rsidRPr="001455DC">
        <w:t>(i)</w:t>
      </w:r>
      <w:r w:rsidR="00176770" w:rsidRPr="001455DC">
        <w:tab/>
      </w:r>
      <w:r w:rsidRPr="001455DC">
        <w:t>investigating existing serviceability problems;</w:t>
      </w:r>
    </w:p>
    <w:p w14:paraId="36500C7F" w14:textId="614EE896" w:rsidR="004E22C1" w:rsidRPr="001455DC" w:rsidRDefault="004E22C1" w:rsidP="00176770">
      <w:pPr>
        <w:pStyle w:val="a7"/>
        <w:ind w:left="567" w:hanging="567"/>
      </w:pPr>
      <w:r w:rsidRPr="001455DC">
        <w:t>(ii)</w:t>
      </w:r>
      <w:r w:rsidR="00176770" w:rsidRPr="001455DC">
        <w:tab/>
      </w:r>
      <w:r w:rsidRPr="001455DC">
        <w:t>the assessment of structural safety relies on particular serviceability criteria being satisfied;</w:t>
      </w:r>
    </w:p>
    <w:p w14:paraId="37FC2EB1" w14:textId="7797640C" w:rsidR="004E22C1" w:rsidRPr="001455DC" w:rsidRDefault="004E22C1" w:rsidP="00176770">
      <w:pPr>
        <w:pStyle w:val="a7"/>
        <w:ind w:left="567" w:hanging="567"/>
      </w:pPr>
      <w:r w:rsidRPr="001455DC">
        <w:t>(iii)</w:t>
      </w:r>
      <w:r w:rsidR="00176770" w:rsidRPr="001455DC">
        <w:tab/>
      </w:r>
      <w:r w:rsidRPr="001455DC">
        <w:t>required by I.9(2).</w:t>
      </w:r>
    </w:p>
    <w:p w14:paraId="60980BDF" w14:textId="77777777" w:rsidR="004E22C1" w:rsidRPr="001455DC" w:rsidRDefault="004E22C1" w:rsidP="00176770">
      <w:pPr>
        <w:pStyle w:val="a7"/>
      </w:pPr>
      <w:r w:rsidRPr="001455DC">
        <w:t>In the other cases the serviceability limit state verifications may be performed using site-based observations and/or measurements.</w:t>
      </w:r>
    </w:p>
    <w:p w14:paraId="440C6678" w14:textId="27C82BDD" w:rsidR="004E22C1" w:rsidRPr="001455DC" w:rsidRDefault="004E22C1" w:rsidP="00176770">
      <w:pPr>
        <w:pStyle w:val="a7"/>
      </w:pPr>
      <w:r w:rsidRPr="001455DC">
        <w:t>(2)</w:t>
      </w:r>
      <w:r w:rsidRPr="001455DC">
        <w:tab/>
        <w:t xml:space="preserve">If the target value for reliability index </w:t>
      </w:r>
      <m:oMath>
        <m:r>
          <m:rPr>
            <m:sty m:val="p"/>
          </m:rPr>
          <w:rPr>
            <w:rFonts w:ascii="Cambria Math" w:hAnsi="Cambria Math"/>
          </w:rPr>
          <m:t>β</m:t>
        </m:r>
      </m:oMath>
      <w:r w:rsidRPr="001455DC">
        <w:t xml:space="preserve"> for ultimate limit states is reduced to a value lower than that given in </w:t>
      </w:r>
      <w:r w:rsidR="00DF00C7">
        <w:t>pr</w:t>
      </w:r>
      <w:r w:rsidRPr="001455DC">
        <w:t>EN 1990, the reinforcement and the concrete stresses at the characteristic combination of actions should be limited.</w:t>
      </w:r>
    </w:p>
    <w:p w14:paraId="2AC3D81F" w14:textId="77777777" w:rsidR="004E22C1" w:rsidRPr="001455DC" w:rsidRDefault="004E22C1" w:rsidP="00176770">
      <w:pPr>
        <w:pStyle w:val="Note"/>
      </w:pPr>
      <w:r w:rsidRPr="001455DC">
        <w:t>NOTE</w:t>
      </w:r>
      <w:r w:rsidRPr="001455DC">
        <w:tab/>
        <w:t>The limits on reinforcement and the concrete stresses at the characteristic combination of actions are given in Table I.7(NDP) unless a National Annex gives different values.</w:t>
      </w:r>
    </w:p>
    <w:p w14:paraId="3646DE86" w14:textId="77777777" w:rsidR="004E22C1" w:rsidRPr="001455DC" w:rsidRDefault="004E22C1" w:rsidP="004120A1">
      <w:pPr>
        <w:pStyle w:val="Tabletitle"/>
      </w:pPr>
      <w:bookmarkStart w:id="1778" w:name="_Toc54337658"/>
      <w:r w:rsidRPr="001455DC">
        <w:t>Table I.7 (NDP) — Limits on reinforcement and the concrete stresses at the characteristic combination of actions</w:t>
      </w:r>
      <w:bookmarkEnd w:id="1778"/>
    </w:p>
    <w:tbl>
      <w:tblPr>
        <w:tblStyle w:val="53"/>
        <w:tblW w:w="0" w:type="auto"/>
        <w:tblLayout w:type="fixed"/>
        <w:tblLook w:val="0600" w:firstRow="0" w:lastRow="0" w:firstColumn="0" w:lastColumn="0" w:noHBand="1" w:noVBand="1"/>
      </w:tblPr>
      <w:tblGrid>
        <w:gridCol w:w="1701"/>
        <w:gridCol w:w="1701"/>
        <w:gridCol w:w="1701"/>
      </w:tblGrid>
      <w:tr w:rsidR="004E22C1" w:rsidRPr="001455DC" w14:paraId="5FDB8FE4" w14:textId="77777777" w:rsidTr="004120A1">
        <w:tc>
          <w:tcPr>
            <w:tcW w:w="1701" w:type="dxa"/>
            <w:vAlign w:val="center"/>
          </w:tcPr>
          <w:p w14:paraId="57D39C89" w14:textId="113510AC" w:rsidR="004E22C1" w:rsidRPr="001455DC" w:rsidRDefault="00231E33" w:rsidP="004120A1">
            <w:pPr>
              <w:pStyle w:val="Tablebody"/>
            </w:pPr>
            <m:oMathPara>
              <m:oMath>
                <m:sSub>
                  <m:sSubPr>
                    <m:ctrlPr>
                      <w:rPr>
                        <w:rFonts w:ascii="Cambria Math" w:hAnsi="Cambria Math"/>
                      </w:rPr>
                    </m:ctrlPr>
                  </m:sSubPr>
                  <m:e>
                    <m:r>
                      <w:rPr>
                        <w:rFonts w:ascii="Cambria Math" w:hAnsi="Cambria Math"/>
                      </w:rPr>
                      <m:t>σ</m:t>
                    </m:r>
                  </m:e>
                  <m:sub>
                    <m:r>
                      <m:rPr>
                        <m:sty m:val="p"/>
                      </m:rPr>
                      <w:rPr>
                        <w:rFonts w:ascii="Cambria Math" w:hAnsi="Cambria Math"/>
                      </w:rPr>
                      <m:t>c</m:t>
                    </m:r>
                  </m:sub>
                </m:sSub>
                <m:r>
                  <w:rPr>
                    <w:rFonts w:ascii="Cambria Math" w:hAnsi="Cambria Math"/>
                  </w:rPr>
                  <m:t>≤0,6</m:t>
                </m:r>
                <m:sSub>
                  <m:sSubPr>
                    <m:ctrlPr>
                      <w:rPr>
                        <w:rFonts w:ascii="Cambria Math" w:hAnsi="Cambria Math"/>
                      </w:rPr>
                    </m:ctrlPr>
                  </m:sSubPr>
                  <m:e>
                    <m:r>
                      <w:rPr>
                        <w:rFonts w:ascii="Cambria Math" w:hAnsi="Cambria Math"/>
                      </w:rPr>
                      <m:t>f</m:t>
                    </m:r>
                  </m:e>
                  <m:sub>
                    <m:r>
                      <m:rPr>
                        <m:sty m:val="p"/>
                      </m:rPr>
                      <w:rPr>
                        <w:rFonts w:ascii="Cambria Math" w:hAnsi="Cambria Math"/>
                      </w:rPr>
                      <m:t>ck</m:t>
                    </m:r>
                  </m:sub>
                </m:sSub>
              </m:oMath>
            </m:oMathPara>
          </w:p>
        </w:tc>
        <w:tc>
          <w:tcPr>
            <w:tcW w:w="1701" w:type="dxa"/>
            <w:vAlign w:val="center"/>
          </w:tcPr>
          <w:p w14:paraId="6C291626" w14:textId="15E86FF9" w:rsidR="004E22C1" w:rsidRPr="001455DC" w:rsidRDefault="00231E33" w:rsidP="004120A1">
            <w:pPr>
              <w:pStyle w:val="Tablebody"/>
            </w:pPr>
            <m:oMathPara>
              <m:oMath>
                <m:sSub>
                  <m:sSubPr>
                    <m:ctrlPr>
                      <w:rPr>
                        <w:rFonts w:ascii="Cambria Math" w:hAnsi="Cambria Math"/>
                      </w:rPr>
                    </m:ctrlPr>
                  </m:sSubPr>
                  <m:e>
                    <m:r>
                      <w:rPr>
                        <w:rFonts w:ascii="Cambria Math" w:hAnsi="Cambria Math"/>
                      </w:rPr>
                      <m:t>σ</m:t>
                    </m:r>
                  </m:e>
                  <m:sub>
                    <m:r>
                      <m:rPr>
                        <m:sty m:val="p"/>
                      </m:rPr>
                      <w:rPr>
                        <w:rFonts w:ascii="Cambria Math" w:hAnsi="Cambria Math"/>
                      </w:rPr>
                      <m:t>s</m:t>
                    </m:r>
                  </m:sub>
                </m:sSub>
                <m:r>
                  <w:rPr>
                    <w:rFonts w:ascii="Cambria Math" w:hAnsi="Cambria Math"/>
                  </w:rPr>
                  <m:t>≤0,8</m:t>
                </m:r>
                <m:sSub>
                  <m:sSubPr>
                    <m:ctrlPr>
                      <w:rPr>
                        <w:rFonts w:ascii="Cambria Math" w:hAnsi="Cambria Math"/>
                      </w:rPr>
                    </m:ctrlPr>
                  </m:sSubPr>
                  <m:e>
                    <m:r>
                      <w:rPr>
                        <w:rFonts w:ascii="Cambria Math" w:hAnsi="Cambria Math"/>
                      </w:rPr>
                      <m:t>f</m:t>
                    </m:r>
                  </m:e>
                  <m:sub>
                    <m:r>
                      <m:rPr>
                        <m:sty m:val="p"/>
                      </m:rPr>
                      <w:rPr>
                        <w:rFonts w:ascii="Cambria Math" w:hAnsi="Cambria Math"/>
                      </w:rPr>
                      <m:t>yk</m:t>
                    </m:r>
                  </m:sub>
                </m:sSub>
              </m:oMath>
            </m:oMathPara>
          </w:p>
        </w:tc>
        <w:tc>
          <w:tcPr>
            <w:tcW w:w="1701" w:type="dxa"/>
            <w:vAlign w:val="center"/>
          </w:tcPr>
          <w:p w14:paraId="7F439C99" w14:textId="465A95DD" w:rsidR="004E22C1" w:rsidRPr="001455DC" w:rsidRDefault="00231E33" w:rsidP="004120A1">
            <w:pPr>
              <w:pStyle w:val="Tablebody"/>
            </w:pPr>
            <m:oMathPara>
              <m:oMath>
                <m:sSub>
                  <m:sSubPr>
                    <m:ctrlPr>
                      <w:rPr>
                        <w:rFonts w:ascii="Cambria Math" w:hAnsi="Cambria Math"/>
                      </w:rPr>
                    </m:ctrlPr>
                  </m:sSubPr>
                  <m:e>
                    <m:r>
                      <w:rPr>
                        <w:rFonts w:ascii="Cambria Math" w:hAnsi="Cambria Math"/>
                      </w:rPr>
                      <m:t>σ</m:t>
                    </m:r>
                  </m:e>
                  <m:sub>
                    <m:r>
                      <m:rPr>
                        <m:sty m:val="p"/>
                      </m:rPr>
                      <w:rPr>
                        <w:rFonts w:ascii="Cambria Math" w:hAnsi="Cambria Math"/>
                      </w:rPr>
                      <m:t>p</m:t>
                    </m:r>
                  </m:sub>
                </m:sSub>
                <m:r>
                  <w:rPr>
                    <w:rFonts w:ascii="Cambria Math" w:hAnsi="Cambria Math"/>
                  </w:rPr>
                  <m:t>≤0,8</m:t>
                </m:r>
                <m:sSub>
                  <m:sSubPr>
                    <m:ctrlPr>
                      <w:rPr>
                        <w:rFonts w:ascii="Cambria Math" w:hAnsi="Cambria Math"/>
                      </w:rPr>
                    </m:ctrlPr>
                  </m:sSubPr>
                  <m:e>
                    <m:r>
                      <w:rPr>
                        <w:rFonts w:ascii="Cambria Math" w:hAnsi="Cambria Math"/>
                      </w:rPr>
                      <m:t>f</m:t>
                    </m:r>
                  </m:e>
                  <m:sub>
                    <m:r>
                      <m:rPr>
                        <m:sty m:val="p"/>
                      </m:rPr>
                      <w:rPr>
                        <w:rFonts w:ascii="Cambria Math" w:hAnsi="Cambria Math"/>
                      </w:rPr>
                      <m:t>pk</m:t>
                    </m:r>
                  </m:sub>
                </m:sSub>
              </m:oMath>
            </m:oMathPara>
          </w:p>
        </w:tc>
      </w:tr>
    </w:tbl>
    <w:p w14:paraId="052C16D7" w14:textId="77777777" w:rsidR="004E22C1" w:rsidRPr="001455DC" w:rsidRDefault="004E22C1" w:rsidP="005965D6">
      <w:pPr>
        <w:pStyle w:val="a7"/>
      </w:pPr>
    </w:p>
    <w:p w14:paraId="0774F6FF" w14:textId="1DDD590D" w:rsidR="004E22C1" w:rsidRPr="001455DC" w:rsidRDefault="004E22C1" w:rsidP="00243590">
      <w:pPr>
        <w:pStyle w:val="a3"/>
      </w:pPr>
      <w:bookmarkStart w:id="1779" w:name="_Toc52820233"/>
      <w:bookmarkStart w:id="1780" w:name="_Toc54337659"/>
      <w:bookmarkStart w:id="1781" w:name="_Toc54338287"/>
      <w:r w:rsidRPr="001455DC">
        <w:t>Crack control</w:t>
      </w:r>
      <w:bookmarkEnd w:id="1779"/>
      <w:bookmarkEnd w:id="1780"/>
      <w:bookmarkEnd w:id="1781"/>
    </w:p>
    <w:p w14:paraId="4B79FE4A" w14:textId="65926B42" w:rsidR="004E22C1" w:rsidRPr="001455DC" w:rsidRDefault="00785C17" w:rsidP="00CF7E2A">
      <w:pPr>
        <w:pStyle w:val="a7"/>
      </w:pPr>
      <w:bookmarkStart w:id="1782" w:name="_Toc52820234"/>
      <w:bookmarkStart w:id="1783" w:name="_Toc54337660"/>
      <w:bookmarkStart w:id="1784" w:name="_Toc54338288"/>
      <w:r w:rsidRPr="001455DC" w:rsidDel="00785C17">
        <w:t xml:space="preserve"> </w:t>
      </w:r>
      <w:bookmarkEnd w:id="1782"/>
      <w:bookmarkEnd w:id="1783"/>
      <w:bookmarkEnd w:id="1784"/>
      <w:r w:rsidR="004E22C1" w:rsidRPr="001455DC">
        <w:t>(1)</w:t>
      </w:r>
      <w:r w:rsidR="004E22C1" w:rsidRPr="001455DC">
        <w:tab/>
        <w:t>For plain bars, Formula (9.19) shall not be applied and formula (I.22) may be used.</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CF7E2A" w:rsidRPr="001455DC" w14:paraId="5D5AF163" w14:textId="77777777" w:rsidTr="00CF7E2A">
        <w:trPr>
          <w:cantSplit/>
        </w:trPr>
        <w:tc>
          <w:tcPr>
            <w:tcW w:w="8505" w:type="dxa"/>
            <w:vAlign w:val="center"/>
          </w:tcPr>
          <w:p w14:paraId="5B261A29" w14:textId="748353B2" w:rsidR="00CF7E2A" w:rsidRPr="001455DC" w:rsidRDefault="00231E33" w:rsidP="00CF7E2A">
            <w:pPr>
              <w:pStyle w:val="Formula"/>
              <w:jc w:val="left"/>
            </w:pPr>
            <m:oMathPara>
              <m:oMathParaPr>
                <m:jc m:val="left"/>
              </m:oMathParaPr>
              <m:oMath>
                <m:sSub>
                  <m:sSubPr>
                    <m:ctrlPr>
                      <w:rPr>
                        <w:rFonts w:ascii="Cambria Math" w:hAnsi="Cambria Math"/>
                      </w:rPr>
                    </m:ctrlPr>
                  </m:sSubPr>
                  <m:e>
                    <m:r>
                      <w:rPr>
                        <w:rFonts w:ascii="Cambria Math" w:hAnsi="Cambria Math"/>
                      </w:rPr>
                      <m:t>s</m:t>
                    </m:r>
                  </m:e>
                  <m:sub>
                    <m:r>
                      <m:rPr>
                        <m:sty m:val="p"/>
                      </m:rPr>
                      <w:rPr>
                        <w:rFonts w:ascii="Cambria Math" w:hAnsi="Cambria Math"/>
                      </w:rPr>
                      <m:t>r,m,cal</m:t>
                    </m:r>
                  </m:sub>
                </m:sSub>
                <m:r>
                  <w:rPr>
                    <w:rFonts w:ascii="Cambria Math" w:hAnsi="Cambria Math"/>
                  </w:rPr>
                  <m:t>=2c+0,56</m:t>
                </m:r>
                <m:f>
                  <m:fPr>
                    <m:ctrlPr>
                      <w:rPr>
                        <w:rFonts w:ascii="Cambria Math" w:hAnsi="Cambria Math"/>
                      </w:rPr>
                    </m:ctrlPr>
                  </m:fPr>
                  <m:num>
                    <m:r>
                      <w:rPr>
                        <w:rFonts w:ascii="Cambria Math" w:hAnsi="Cambria Math"/>
                      </w:rPr>
                      <m:t>ϕ</m:t>
                    </m:r>
                  </m:num>
                  <m:den>
                    <m:sSub>
                      <m:sSubPr>
                        <m:ctrlPr>
                          <w:rPr>
                            <w:rFonts w:ascii="Cambria Math" w:hAnsi="Cambria Math"/>
                          </w:rPr>
                        </m:ctrlPr>
                      </m:sSubPr>
                      <m:e>
                        <m:r>
                          <w:rPr>
                            <w:rFonts w:ascii="Cambria Math" w:hAnsi="Cambria Math"/>
                          </w:rPr>
                          <m:t>ρ</m:t>
                        </m:r>
                      </m:e>
                      <m:sub>
                        <m:r>
                          <m:rPr>
                            <m:sty m:val="p"/>
                          </m:rPr>
                          <w:rPr>
                            <w:rFonts w:ascii="Cambria Math" w:hAnsi="Cambria Math"/>
                          </w:rPr>
                          <m:t>p,eff</m:t>
                        </m:r>
                      </m:sub>
                    </m:sSub>
                  </m:den>
                </m:f>
                <m:r>
                  <w:rPr>
                    <w:rFonts w:ascii="Cambria Math" w:hAnsi="Cambria Math"/>
                  </w:rPr>
                  <m:t>≤1,3</m:t>
                </m:r>
                <m:d>
                  <m:dPr>
                    <m:ctrlPr>
                      <w:rPr>
                        <w:rFonts w:ascii="Cambria Math" w:hAnsi="Cambria Math"/>
                      </w:rPr>
                    </m:ctrlPr>
                  </m:dPr>
                  <m:e>
                    <m:r>
                      <w:rPr>
                        <w:rFonts w:ascii="Cambria Math" w:hAnsi="Cambria Math"/>
                      </w:rPr>
                      <m:t>h-x</m:t>
                    </m:r>
                  </m:e>
                </m:d>
              </m:oMath>
            </m:oMathPara>
          </w:p>
        </w:tc>
        <w:tc>
          <w:tcPr>
            <w:tcW w:w="1247" w:type="dxa"/>
            <w:vAlign w:val="center"/>
          </w:tcPr>
          <w:p w14:paraId="5FC6814B" w14:textId="6FE31E3E" w:rsidR="00CF7E2A" w:rsidRPr="001455DC" w:rsidRDefault="00AC44F2" w:rsidP="00CF7E2A">
            <w:pPr>
              <w:pStyle w:val="a7"/>
              <w:jc w:val="right"/>
            </w:pPr>
            <w:r w:rsidRPr="001455DC">
              <w:t>(I.22)</w:t>
            </w:r>
          </w:p>
        </w:tc>
      </w:tr>
    </w:tbl>
    <w:p w14:paraId="58588B64" w14:textId="3D29BDEF" w:rsidR="004E22C1" w:rsidRPr="001455DC" w:rsidRDefault="004120A1" w:rsidP="00082680">
      <w:pPr>
        <w:pStyle w:val="a2"/>
      </w:pPr>
      <w:bookmarkStart w:id="1785" w:name="_Toc52820235"/>
      <w:bookmarkStart w:id="1786" w:name="_Toc54337181"/>
      <w:bookmarkStart w:id="1787" w:name="_Toc54337661"/>
      <w:bookmarkStart w:id="1788" w:name="_Toc54338289"/>
      <w:bookmarkStart w:id="1789" w:name="_Toc67565580"/>
      <w:r w:rsidRPr="001455DC">
        <w:t>Fatigue</w:t>
      </w:r>
      <w:bookmarkEnd w:id="1785"/>
      <w:bookmarkEnd w:id="1786"/>
      <w:bookmarkEnd w:id="1787"/>
      <w:bookmarkEnd w:id="1788"/>
      <w:bookmarkEnd w:id="1789"/>
    </w:p>
    <w:p w14:paraId="09F24373" w14:textId="77777777" w:rsidR="004E22C1" w:rsidRPr="001455DC" w:rsidRDefault="004E22C1" w:rsidP="004120A1">
      <w:pPr>
        <w:pStyle w:val="a7"/>
      </w:pPr>
      <w:r w:rsidRPr="001455DC">
        <w:t>(1)</w:t>
      </w:r>
      <w:r w:rsidRPr="001455DC">
        <w:tab/>
        <w:t>Where there is a particular concern regarding the fatigue performance of the structure, the need for a fatigue verification should be specified by the relevant authority or, where not specified, agreed for a specific assessment by the relevant parties.</w:t>
      </w:r>
    </w:p>
    <w:p w14:paraId="2E123ADE" w14:textId="77777777" w:rsidR="004E22C1" w:rsidRPr="001455DC" w:rsidRDefault="004E22C1" w:rsidP="00116AE2">
      <w:pPr>
        <w:pStyle w:val="Note"/>
        <w:keepNext/>
        <w:spacing w:after="120"/>
      </w:pPr>
      <w:r w:rsidRPr="001455DC">
        <w:t>NOTE 1</w:t>
      </w:r>
      <w:r w:rsidRPr="001455DC">
        <w:tab/>
        <w:t>Examples of particular concerns regarding the fatigue performance can include:</w:t>
      </w:r>
    </w:p>
    <w:p w14:paraId="0C6910F2" w14:textId="06D28483" w:rsidR="004E22C1" w:rsidRPr="001455DC" w:rsidRDefault="004E22C1" w:rsidP="00116AE2">
      <w:pPr>
        <w:pStyle w:val="Note"/>
        <w:keepNext/>
        <w:spacing w:after="120"/>
        <w:ind w:left="397" w:hanging="397"/>
      </w:pPr>
      <w:r w:rsidRPr="001455DC">
        <w:t>(i)</w:t>
      </w:r>
      <w:r w:rsidR="004120A1" w:rsidRPr="001455DC">
        <w:tab/>
      </w:r>
      <w:r w:rsidRPr="001455DC">
        <w:t>fatigue-sensitive members where it is known that there is:</w:t>
      </w:r>
    </w:p>
    <w:p w14:paraId="35BBD387" w14:textId="3EBFEC2D" w:rsidR="004E22C1" w:rsidRPr="001455DC" w:rsidRDefault="004E22C1" w:rsidP="00082680">
      <w:pPr>
        <w:pStyle w:val="2"/>
        <w:numPr>
          <w:ilvl w:val="0"/>
          <w:numId w:val="40"/>
        </w:numPr>
        <w:ind w:left="754" w:hanging="357"/>
        <w:rPr>
          <w:sz w:val="20"/>
        </w:rPr>
      </w:pPr>
      <w:r w:rsidRPr="001455DC">
        <w:rPr>
          <w:sz w:val="20"/>
        </w:rPr>
        <w:t>welded reinforcement;</w:t>
      </w:r>
    </w:p>
    <w:p w14:paraId="01AEC40E" w14:textId="63F943BF" w:rsidR="004E22C1" w:rsidRPr="001455DC" w:rsidRDefault="004E22C1" w:rsidP="00082680">
      <w:pPr>
        <w:pStyle w:val="2"/>
        <w:numPr>
          <w:ilvl w:val="0"/>
          <w:numId w:val="40"/>
        </w:numPr>
        <w:ind w:left="754" w:hanging="357"/>
        <w:rPr>
          <w:sz w:val="20"/>
        </w:rPr>
      </w:pPr>
      <w:r w:rsidRPr="001455DC">
        <w:rPr>
          <w:sz w:val="20"/>
        </w:rPr>
        <w:t>corroded reinforcement;</w:t>
      </w:r>
    </w:p>
    <w:p w14:paraId="28A3F0AE" w14:textId="246885D0" w:rsidR="004E22C1" w:rsidRPr="001455DC" w:rsidRDefault="004E22C1" w:rsidP="00082680">
      <w:pPr>
        <w:pStyle w:val="2"/>
        <w:numPr>
          <w:ilvl w:val="0"/>
          <w:numId w:val="40"/>
        </w:numPr>
        <w:ind w:left="754" w:hanging="357"/>
        <w:rPr>
          <w:sz w:val="20"/>
        </w:rPr>
      </w:pPr>
      <w:r w:rsidRPr="001455DC">
        <w:rPr>
          <w:sz w:val="20"/>
        </w:rPr>
        <w:t>mechanically connected reinforcing bars;</w:t>
      </w:r>
    </w:p>
    <w:p w14:paraId="34550168" w14:textId="79C9B0BF" w:rsidR="004E22C1" w:rsidRPr="001455DC" w:rsidRDefault="004E22C1" w:rsidP="00082680">
      <w:pPr>
        <w:pStyle w:val="2"/>
        <w:numPr>
          <w:ilvl w:val="0"/>
          <w:numId w:val="40"/>
        </w:numPr>
        <w:ind w:left="754" w:hanging="357"/>
        <w:rPr>
          <w:sz w:val="20"/>
        </w:rPr>
      </w:pPr>
      <w:r w:rsidRPr="001455DC">
        <w:rPr>
          <w:sz w:val="20"/>
        </w:rPr>
        <w:t>radius of curvature of bars smaller than the minimum values according to specifications;</w:t>
      </w:r>
    </w:p>
    <w:p w14:paraId="3C23B41F" w14:textId="7E8615D2" w:rsidR="004E22C1" w:rsidRPr="001455DC" w:rsidRDefault="004E22C1" w:rsidP="00082680">
      <w:pPr>
        <w:pStyle w:val="2"/>
        <w:numPr>
          <w:ilvl w:val="0"/>
          <w:numId w:val="40"/>
        </w:numPr>
        <w:ind w:left="754" w:hanging="357"/>
        <w:rPr>
          <w:sz w:val="20"/>
        </w:rPr>
      </w:pPr>
      <w:r w:rsidRPr="001455DC">
        <w:rPr>
          <w:sz w:val="20"/>
        </w:rPr>
        <w:t>reduced cross sectional area and/or reduced bond area of bars which can cause stress concentrations.</w:t>
      </w:r>
    </w:p>
    <w:p w14:paraId="40C1CBB9" w14:textId="019C9FD1" w:rsidR="004E22C1" w:rsidRPr="001455DC" w:rsidRDefault="004E22C1" w:rsidP="004120A1">
      <w:pPr>
        <w:pStyle w:val="Note"/>
        <w:ind w:left="397" w:hanging="397"/>
      </w:pPr>
      <w:r w:rsidRPr="001455DC">
        <w:t>(ii)</w:t>
      </w:r>
      <w:r w:rsidR="004120A1" w:rsidRPr="001455DC">
        <w:tab/>
      </w:r>
      <w:r w:rsidRPr="001455DC">
        <w:t>inadequately restrained external tendons can vibrate excessively and be susceptible to fatigue failure.</w:t>
      </w:r>
    </w:p>
    <w:p w14:paraId="65B15677" w14:textId="77777777" w:rsidR="004E22C1" w:rsidRPr="001455DC" w:rsidRDefault="004E22C1" w:rsidP="004120A1">
      <w:pPr>
        <w:pStyle w:val="Note"/>
      </w:pPr>
      <w:r w:rsidRPr="001455DC">
        <w:t>NOTE 2</w:t>
      </w:r>
      <w:r w:rsidRPr="001455DC">
        <w:tab/>
        <w:t>The influence of the surface quality of reinforcement (e.g. corrosion, notches) on the fatigue strength can be considered by taking into consideration the loading history and stress concentration arising from deterioration.</w:t>
      </w:r>
    </w:p>
    <w:p w14:paraId="5F4F0066" w14:textId="2257E967" w:rsidR="004E22C1" w:rsidRPr="001455DC" w:rsidRDefault="004E22C1" w:rsidP="004120A1">
      <w:pPr>
        <w:pStyle w:val="a7"/>
      </w:pPr>
      <w:r w:rsidRPr="001455DC">
        <w:t>(2)</w:t>
      </w:r>
      <w:r w:rsidRPr="001455DC">
        <w:tab/>
        <w:t>When the rules of Annex E are used for the assessment of an existing structure, once corrosion has started the fatigue resistance may be determined by reducing the stress exponent in Tables</w:t>
      </w:r>
      <w:r w:rsidR="00867F11" w:rsidRPr="001455DC">
        <w:t> </w:t>
      </w:r>
      <w:r w:rsidRPr="001455DC">
        <w:t xml:space="preserve">E.1(NDP) and E.2(NDP) to </w:t>
      </w:r>
      <m:oMath>
        <m:sSub>
          <m:sSubPr>
            <m:ctrlPr>
              <w:rPr>
                <w:rFonts w:ascii="Cambria Math" w:hAnsi="Cambria Math"/>
              </w:rPr>
            </m:ctrlPr>
          </m:sSubPr>
          <m:e>
            <m:r>
              <w:rPr>
                <w:rFonts w:ascii="Cambria Math" w:hAnsi="Cambria Math"/>
              </w:rPr>
              <m:t>k</m:t>
            </m:r>
          </m:e>
          <m:sub>
            <m:r>
              <m:rPr>
                <m:sty m:val="p"/>
              </m:rPr>
              <w:rPr>
                <w:rFonts w:ascii="Cambria Math" w:hAnsi="Cambria Math"/>
              </w:rPr>
              <m:t>f2</m:t>
            </m:r>
          </m:sub>
        </m:sSub>
        <m:r>
          <m:rPr>
            <m:sty m:val="p"/>
          </m:rPr>
          <w:rPr>
            <w:rFonts w:ascii="Cambria Math" w:hAnsi="Cambria Math"/>
          </w:rPr>
          <m:t>=5</m:t>
        </m:r>
      </m:oMath>
      <w:r w:rsidRPr="001455DC">
        <w:t xml:space="preserve"> for straight and bent bars.</w:t>
      </w:r>
    </w:p>
    <w:p w14:paraId="74CF3BD8" w14:textId="0EC8CDA6" w:rsidR="004E22C1" w:rsidRPr="001455DC" w:rsidRDefault="00867F11" w:rsidP="00082680">
      <w:pPr>
        <w:pStyle w:val="a2"/>
      </w:pPr>
      <w:bookmarkStart w:id="1790" w:name="_Toc52820237"/>
      <w:bookmarkStart w:id="1791" w:name="_Toc54337182"/>
      <w:bookmarkStart w:id="1792" w:name="_Toc54337663"/>
      <w:bookmarkStart w:id="1793" w:name="_Toc54338291"/>
      <w:bookmarkStart w:id="1794" w:name="_Toc67565581"/>
      <w:r w:rsidRPr="001455DC">
        <w:t>Detailing of reinforcement and post-tensioning tendons</w:t>
      </w:r>
      <w:bookmarkEnd w:id="1790"/>
      <w:bookmarkEnd w:id="1791"/>
      <w:bookmarkEnd w:id="1792"/>
      <w:bookmarkEnd w:id="1793"/>
      <w:bookmarkEnd w:id="1794"/>
    </w:p>
    <w:p w14:paraId="4D37B1CC" w14:textId="48860D4E" w:rsidR="004E22C1" w:rsidRPr="001455DC" w:rsidRDefault="004E22C1" w:rsidP="00243590">
      <w:pPr>
        <w:pStyle w:val="a3"/>
      </w:pPr>
      <w:bookmarkStart w:id="1795" w:name="_Toc52820238"/>
      <w:bookmarkStart w:id="1796" w:name="_Toc54337664"/>
      <w:bookmarkStart w:id="1797" w:name="_Toc54338292"/>
      <w:r w:rsidRPr="001455DC">
        <w:t>General</w:t>
      </w:r>
      <w:bookmarkEnd w:id="1795"/>
      <w:bookmarkEnd w:id="1796"/>
      <w:bookmarkEnd w:id="1797"/>
    </w:p>
    <w:p w14:paraId="6CACC157" w14:textId="197A8563" w:rsidR="004E22C1" w:rsidRPr="001455DC" w:rsidRDefault="004E22C1" w:rsidP="00867F11">
      <w:pPr>
        <w:pStyle w:val="a7"/>
      </w:pPr>
      <w:r w:rsidRPr="001455DC">
        <w:t>(1)</w:t>
      </w:r>
      <w:r w:rsidRPr="001455DC">
        <w:tab/>
        <w:t xml:space="preserve">Provisions of </w:t>
      </w:r>
      <w:r w:rsidR="001710FF" w:rsidRPr="001455DC">
        <w:t>Clause </w:t>
      </w:r>
      <w:r w:rsidRPr="001455DC">
        <w:t>11 apply also to plain bars, unless Annex I gives different provisions.</w:t>
      </w:r>
    </w:p>
    <w:p w14:paraId="0C5BF139" w14:textId="76FD62A6" w:rsidR="0075768C" w:rsidRPr="009D3012" w:rsidRDefault="0075768C" w:rsidP="009D3012">
      <w:pPr>
        <w:pStyle w:val="Note"/>
      </w:pPr>
      <w:r w:rsidRPr="009D3012">
        <w:t xml:space="preserve">NOTE </w:t>
      </w:r>
      <w:r w:rsidRPr="009D3012">
        <w:tab/>
        <w:t>Annex I gives further information to plain bars.</w:t>
      </w:r>
    </w:p>
    <w:p w14:paraId="3A820577" w14:textId="59B9456C" w:rsidR="004E22C1" w:rsidRPr="001455DC" w:rsidRDefault="004E22C1" w:rsidP="00243590">
      <w:pPr>
        <w:pStyle w:val="a3"/>
      </w:pPr>
      <w:bookmarkStart w:id="1798" w:name="_Toc52820239"/>
      <w:bookmarkStart w:id="1799" w:name="_Toc54337665"/>
      <w:bookmarkStart w:id="1800" w:name="_Toc54338293"/>
      <w:r w:rsidRPr="001455DC">
        <w:t>Spacing of bars</w:t>
      </w:r>
      <w:bookmarkEnd w:id="1798"/>
      <w:bookmarkEnd w:id="1799"/>
      <w:bookmarkEnd w:id="1800"/>
    </w:p>
    <w:p w14:paraId="29187E93" w14:textId="7165B614" w:rsidR="004E22C1" w:rsidRPr="001455DC" w:rsidRDefault="004E22C1" w:rsidP="00867F11">
      <w:pPr>
        <w:pStyle w:val="a7"/>
      </w:pPr>
      <w:r w:rsidRPr="001455DC">
        <w:t>(1)</w:t>
      </w:r>
      <w:r w:rsidRPr="001455DC">
        <w:tab/>
        <w:t xml:space="preserve">For the calculation of anchorage and lap length, if the clear distance </w:t>
      </w:r>
      <m:oMath>
        <m:sSub>
          <m:sSubPr>
            <m:ctrlPr>
              <w:rPr>
                <w:rFonts w:ascii="Cambria Math" w:hAnsi="Cambria Math"/>
              </w:rPr>
            </m:ctrlPr>
          </m:sSubPr>
          <m:e>
            <m:r>
              <w:rPr>
                <w:rFonts w:ascii="Cambria Math" w:hAnsi="Cambria Math"/>
              </w:rPr>
              <m:t>c</m:t>
            </m:r>
          </m:e>
          <m:sub>
            <m:r>
              <m:rPr>
                <m:sty m:val="p"/>
              </m:rPr>
              <w:rPr>
                <w:rFonts w:ascii="Cambria Math" w:hAnsi="Cambria Math"/>
              </w:rPr>
              <m:t>s</m:t>
            </m:r>
          </m:sub>
        </m:sSub>
      </m:oMath>
      <w:r w:rsidRPr="001455DC">
        <w:t xml:space="preserve"> (horizontal and vertical) between individual parallel bars is lower than </w:t>
      </w:r>
      <m:oMath>
        <m:sSub>
          <m:sSubPr>
            <m:ctrlPr>
              <w:rPr>
                <w:rFonts w:ascii="Cambria Math" w:hAnsi="Cambria Math"/>
              </w:rPr>
            </m:ctrlPr>
          </m:sSubPr>
          <m:e>
            <m:r>
              <w:rPr>
                <w:rFonts w:ascii="Cambria Math" w:hAnsi="Cambria Math"/>
              </w:rPr>
              <m:t>D</m:t>
            </m:r>
          </m:e>
          <m:sub>
            <m:r>
              <m:rPr>
                <m:sty m:val="p"/>
              </m:rPr>
              <w:rPr>
                <w:rFonts w:ascii="Cambria Math" w:hAnsi="Cambria Math"/>
              </w:rPr>
              <m:t>upper</m:t>
            </m:r>
          </m:sub>
        </m:sSub>
        <m:r>
          <m:rPr>
            <m:sty m:val="p"/>
          </m:rPr>
          <w:rPr>
            <w:rFonts w:ascii="Cambria Math" w:hAnsi="Cambria Math"/>
          </w:rPr>
          <m:t>+5mm</m:t>
        </m:r>
      </m:oMath>
      <w:r w:rsidRPr="001455DC">
        <w:t>, the bars should be considered as arranged in bundles.</w:t>
      </w:r>
    </w:p>
    <w:p w14:paraId="2BBC86CD" w14:textId="5A4D28A3" w:rsidR="004E22C1" w:rsidRPr="001455DC" w:rsidRDefault="004E22C1" w:rsidP="00867F11">
      <w:pPr>
        <w:pStyle w:val="Note"/>
      </w:pPr>
      <w:r w:rsidRPr="001455DC">
        <w:t>NOTE</w:t>
      </w:r>
      <w:r w:rsidRPr="001455DC">
        <w:tab/>
        <w:t xml:space="preserve">The actual </w:t>
      </w:r>
      <m:oMath>
        <m:sSub>
          <m:sSubPr>
            <m:ctrlPr>
              <w:rPr>
                <w:rFonts w:ascii="Cambria Math" w:hAnsi="Cambria Math"/>
              </w:rPr>
            </m:ctrlPr>
          </m:sSubPr>
          <m:e>
            <m:r>
              <w:rPr>
                <w:rFonts w:ascii="Cambria Math" w:hAnsi="Cambria Math"/>
              </w:rPr>
              <m:t>c</m:t>
            </m:r>
          </m:e>
          <m:sub>
            <m:r>
              <m:rPr>
                <m:sty m:val="p"/>
              </m:rPr>
              <w:rPr>
                <w:rFonts w:ascii="Cambria Math" w:hAnsi="Cambria Math"/>
              </w:rPr>
              <m:t>s</m:t>
            </m:r>
          </m:sub>
        </m:sSub>
      </m:oMath>
      <w:r w:rsidRPr="001455DC">
        <w:t>to evaluate the anchorage and lap length can be assessed by using original design and construction records and/or testing on the existing structure.</w:t>
      </w:r>
    </w:p>
    <w:p w14:paraId="7A8C1F31" w14:textId="33A92324" w:rsidR="004E22C1" w:rsidRPr="001455DC" w:rsidRDefault="004E22C1" w:rsidP="00867F11">
      <w:pPr>
        <w:pStyle w:val="a7"/>
      </w:pPr>
      <w:r w:rsidRPr="001455DC">
        <w:t>(2)</w:t>
      </w:r>
      <w:r w:rsidRPr="001455DC">
        <w:tab/>
        <w:t xml:space="preserve">For the calculation of anchorage and lap length, if the clear distance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oMath>
      <w:r w:rsidRPr="001455DC">
        <w:t xml:space="preserve"> is less than </w:t>
      </w:r>
      <m:oMath>
        <m:r>
          <m:rPr>
            <m:sty m:val="p"/>
          </m:rPr>
          <w:rPr>
            <w:rFonts w:ascii="Cambria Math" w:hAnsi="Cambria Math"/>
          </w:rPr>
          <m:t>2</m:t>
        </m:r>
        <m:r>
          <w:rPr>
            <w:rFonts w:ascii="Cambria Math" w:hAnsi="Cambria Math"/>
          </w:rPr>
          <m:t>ϕ</m:t>
        </m:r>
        <m:r>
          <m:rPr>
            <m:sty m:val="p"/>
          </m:rPr>
          <w:rPr>
            <w:rFonts w:ascii="Cambria Math" w:hAnsi="Cambria Math"/>
          </w:rPr>
          <m:t xml:space="preserve"> </m:t>
        </m:r>
      </m:oMath>
      <w:r w:rsidRPr="001455DC">
        <w:t>the effect on the anchorage and lap length may be determined according to I.11.4.</w:t>
      </w:r>
      <w:r w:rsidR="008D6184" w:rsidRPr="001455DC">
        <w:t>1</w:t>
      </w:r>
      <w:r w:rsidRPr="001455DC">
        <w:t>.</w:t>
      </w:r>
    </w:p>
    <w:p w14:paraId="6C9587E5" w14:textId="77777777" w:rsidR="004E22C1" w:rsidRPr="001455DC" w:rsidRDefault="004E22C1" w:rsidP="00867F11">
      <w:pPr>
        <w:pStyle w:val="a7"/>
      </w:pPr>
      <w:r w:rsidRPr="001455DC">
        <w:t>(3)</w:t>
      </w:r>
      <w:r w:rsidRPr="001455DC">
        <w:tab/>
        <w:t>11.2(4) may be neglected in existing structures.</w:t>
      </w:r>
    </w:p>
    <w:p w14:paraId="3F8B4803" w14:textId="7AB5ECEC" w:rsidR="004E22C1" w:rsidRPr="001455DC" w:rsidRDefault="004E22C1" w:rsidP="00243590">
      <w:pPr>
        <w:pStyle w:val="a3"/>
      </w:pPr>
      <w:bookmarkStart w:id="1801" w:name="_Toc52820240"/>
      <w:bookmarkStart w:id="1802" w:name="_Toc54337666"/>
      <w:bookmarkStart w:id="1803" w:name="_Toc54338294"/>
      <w:r w:rsidRPr="001455DC">
        <w:t>Permissible bar diameter for bent bars</w:t>
      </w:r>
      <w:bookmarkEnd w:id="1801"/>
      <w:bookmarkEnd w:id="1802"/>
      <w:bookmarkEnd w:id="1803"/>
    </w:p>
    <w:p w14:paraId="5D56839D" w14:textId="77777777" w:rsidR="004E22C1" w:rsidRPr="001455DC" w:rsidRDefault="004E22C1" w:rsidP="005965D6">
      <w:pPr>
        <w:pStyle w:val="Note"/>
      </w:pPr>
      <w:r w:rsidRPr="001455DC">
        <w:rPr>
          <w:bCs/>
        </w:rPr>
        <w:t>NOTE</w:t>
      </w:r>
      <w:r w:rsidRPr="001455DC">
        <w:rPr>
          <w:bCs/>
        </w:rPr>
        <w:tab/>
      </w:r>
      <w:r w:rsidRPr="001455DC">
        <w:t>For bars that don’t comply with EN 10080, the minimum mandrel diameter to satisfy 11.3(1) can be found in the national technical standards in force at the time of the original design.</w:t>
      </w:r>
    </w:p>
    <w:p w14:paraId="5B0406C9" w14:textId="304F1990" w:rsidR="004E22C1" w:rsidRPr="001455DC" w:rsidRDefault="004E22C1" w:rsidP="00243590">
      <w:pPr>
        <w:pStyle w:val="a3"/>
      </w:pPr>
      <w:bookmarkStart w:id="1804" w:name="_Toc52820241"/>
      <w:bookmarkStart w:id="1805" w:name="_Toc54337667"/>
      <w:bookmarkStart w:id="1806" w:name="_Toc54338295"/>
      <w:r w:rsidRPr="001455DC">
        <w:t>Anchorage of reinforcing steel in tension and compression</w:t>
      </w:r>
      <w:bookmarkEnd w:id="1804"/>
      <w:bookmarkEnd w:id="1805"/>
      <w:bookmarkEnd w:id="1806"/>
    </w:p>
    <w:p w14:paraId="44852450" w14:textId="65947EA7" w:rsidR="004E22C1" w:rsidRPr="001455DC" w:rsidRDefault="004E22C1" w:rsidP="00243590">
      <w:pPr>
        <w:pStyle w:val="a4"/>
      </w:pPr>
      <w:bookmarkStart w:id="1807" w:name="_Toc52820242"/>
      <w:bookmarkStart w:id="1808" w:name="_Toc54337668"/>
      <w:bookmarkStart w:id="1809" w:name="_Toc54338296"/>
      <w:r w:rsidRPr="001455DC">
        <w:t>Anchorage of straight bars</w:t>
      </w:r>
      <w:bookmarkEnd w:id="1807"/>
      <w:bookmarkEnd w:id="1808"/>
      <w:bookmarkEnd w:id="1809"/>
    </w:p>
    <w:p w14:paraId="42CEDBFE" w14:textId="77777777" w:rsidR="004E22C1" w:rsidRPr="001455DC" w:rsidRDefault="004E22C1" w:rsidP="00867F11">
      <w:pPr>
        <w:pStyle w:val="a7"/>
      </w:pPr>
      <w:r w:rsidRPr="001455DC">
        <w:t>(1)</w:t>
      </w:r>
      <w:r w:rsidRPr="001455DC">
        <w:tab/>
        <w:t>The nominal cover, as defined by Figure 11.3c), may be assessed by using original design and construction records and/or updated based on testing on the existing structure.</w:t>
      </w:r>
    </w:p>
    <w:p w14:paraId="14DA6B54" w14:textId="3E0C5568" w:rsidR="004E22C1" w:rsidRPr="001455DC" w:rsidRDefault="004E22C1" w:rsidP="00867F11">
      <w:pPr>
        <w:pStyle w:val="a7"/>
      </w:pPr>
      <w:r w:rsidRPr="001455DC">
        <w:t>(2)</w:t>
      </w:r>
      <w:r w:rsidRPr="001455DC">
        <w:tab/>
        <w:t xml:space="preserve">The minimum value of </w:t>
      </w:r>
      <m:oMath>
        <m:sSub>
          <m:sSubPr>
            <m:ctrlPr>
              <w:rPr>
                <w:rFonts w:ascii="Cambria Math" w:hAnsi="Cambria Math"/>
              </w:rPr>
            </m:ctrlPr>
          </m:sSubPr>
          <m:e>
            <m:r>
              <w:rPr>
                <w:rFonts w:ascii="Cambria Math" w:hAnsi="Cambria Math"/>
              </w:rPr>
              <m:t>l</m:t>
            </m:r>
          </m:e>
          <m:sub>
            <m:r>
              <m:rPr>
                <m:sty m:val="p"/>
              </m:rPr>
              <w:rPr>
                <w:rFonts w:ascii="Cambria Math" w:hAnsi="Cambria Math"/>
              </w:rPr>
              <m:t>bd</m:t>
            </m:r>
          </m:sub>
        </m:sSub>
      </m:oMath>
      <w:r w:rsidRPr="001455DC">
        <w:t xml:space="preserve"> in Formula (11.2) and in 11.4.2(6) (i.e. </w:t>
      </w:r>
      <m:oMath>
        <m:r>
          <w:rPr>
            <w:rFonts w:ascii="Cambria Math" w:hAnsi="Cambria Math"/>
          </w:rPr>
          <m:t>10ϕ</m:t>
        </m:r>
      </m:oMath>
      <w:r w:rsidRPr="001455DC">
        <w:t xml:space="preserve">) may be reduced to </w:t>
      </w:r>
      <m:oMath>
        <m:r>
          <w:rPr>
            <w:rFonts w:ascii="Cambria Math" w:hAnsi="Cambria Math"/>
          </w:rPr>
          <m:t>5ϕ</m:t>
        </m:r>
      </m:oMath>
      <w:r w:rsidRPr="001455DC">
        <w:t xml:space="preserve"> if visual inspections demonstrate that the area where anchorage develops is uncracked in the present condition.</w:t>
      </w:r>
    </w:p>
    <w:p w14:paraId="68009240" w14:textId="0CCBC89A" w:rsidR="00AC44F2" w:rsidRPr="001455DC" w:rsidRDefault="004E22C1" w:rsidP="00116AE2">
      <w:pPr>
        <w:pStyle w:val="a7"/>
        <w:keepNext/>
      </w:pPr>
      <w:r w:rsidRPr="001455DC">
        <w:t>(3)</w:t>
      </w:r>
      <w:r w:rsidRPr="001455DC">
        <w:tab/>
        <w:t xml:space="preserve">For plain straight bars with </w:t>
      </w:r>
      <m:oMath>
        <m:sSub>
          <m:sSubPr>
            <m:ctrlPr>
              <w:rPr>
                <w:rFonts w:ascii="Cambria Math" w:hAnsi="Cambria Math"/>
              </w:rPr>
            </m:ctrlPr>
          </m:sSubPr>
          <m:e>
            <m:r>
              <w:rPr>
                <w:rFonts w:ascii="Cambria Math" w:hAnsi="Cambria Math"/>
              </w:rPr>
              <m:t>σ</m:t>
            </m:r>
          </m:e>
          <m:sub>
            <m:r>
              <m:rPr>
                <m:sty m:val="p"/>
              </m:rPr>
              <w:rPr>
                <w:rFonts w:ascii="Cambria Math" w:hAnsi="Cambria Math"/>
              </w:rPr>
              <m:t>sd</m:t>
            </m:r>
          </m:sub>
        </m:sSub>
        <m:r>
          <m:rPr>
            <m:sty m:val="p"/>
          </m:rPr>
          <w:rPr>
            <w:rFonts w:ascii="Cambria Math" w:hAnsi="Cambria Math"/>
          </w:rPr>
          <m:t>≤300MPa</m:t>
        </m:r>
      </m:oMath>
      <w:r w:rsidRPr="001455DC">
        <w:t xml:space="preserve">, the design anchorage length </w:t>
      </w:r>
      <m:oMath>
        <m:sSub>
          <m:sSubPr>
            <m:ctrlPr>
              <w:rPr>
                <w:rFonts w:ascii="Cambria Math" w:hAnsi="Cambria Math"/>
              </w:rPr>
            </m:ctrlPr>
          </m:sSubPr>
          <m:e>
            <m:r>
              <w:rPr>
                <w:rFonts w:ascii="Cambria Math" w:hAnsi="Cambria Math"/>
              </w:rPr>
              <m:t>l</m:t>
            </m:r>
          </m:e>
          <m:sub>
            <m:r>
              <m:rPr>
                <m:sty m:val="p"/>
              </m:rPr>
              <w:rPr>
                <w:rFonts w:ascii="Cambria Math" w:hAnsi="Cambria Math"/>
              </w:rPr>
              <m:t>bd</m:t>
            </m:r>
          </m:sub>
        </m:sSub>
      </m:oMath>
      <w:r w:rsidRPr="001455DC">
        <w:t xml:space="preserve"> </w:t>
      </w:r>
      <w:r w:rsidR="0075768C" w:rsidRPr="001455DC">
        <w:t xml:space="preserve">may </w:t>
      </w:r>
      <w:r w:rsidRPr="001455DC">
        <w:t>be taken from Formula (I.23):</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AC44F2" w:rsidRPr="001455DC" w14:paraId="100181F0" w14:textId="77777777" w:rsidTr="00AC44F2">
        <w:trPr>
          <w:cantSplit/>
        </w:trPr>
        <w:tc>
          <w:tcPr>
            <w:tcW w:w="8505" w:type="dxa"/>
            <w:vAlign w:val="center"/>
          </w:tcPr>
          <w:p w14:paraId="78F7814E" w14:textId="7FCC7731" w:rsidR="00AC44F2" w:rsidRPr="001455DC" w:rsidRDefault="00231E33">
            <w:pPr>
              <w:pStyle w:val="Formula"/>
              <w:jc w:val="left"/>
              <w:rPr>
                <w:lang w:val="fr-FR"/>
              </w:rPr>
            </w:pPr>
            <m:oMathPara>
              <m:oMathParaPr>
                <m:jc m:val="left"/>
              </m:oMathParaPr>
              <m:oMath>
                <m:f>
                  <m:fPr>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lang w:val="fr-FR"/>
                          </w:rPr>
                          <m:t>bd</m:t>
                        </m:r>
                      </m:sub>
                    </m:sSub>
                  </m:num>
                  <m:den>
                    <m:r>
                      <w:rPr>
                        <w:rFonts w:ascii="Cambria Math" w:hAnsi="Cambria Math"/>
                      </w:rPr>
                      <m:t>ϕ</m:t>
                    </m:r>
                  </m:den>
                </m:f>
                <m:r>
                  <w:rPr>
                    <w:rFonts w:ascii="Cambria Math" w:hAnsi="Cambria Math"/>
                    <w:lang w:val="fr-FR"/>
                  </w:rPr>
                  <m:t>=</m:t>
                </m:r>
                <m:d>
                  <m:dPr>
                    <m:ctrlPr>
                      <w:rPr>
                        <w:rFonts w:ascii="Cambria Math" w:hAnsi="Cambria Math"/>
                      </w:rPr>
                    </m:ctrlPr>
                  </m:dPr>
                  <m:e>
                    <m:r>
                      <w:rPr>
                        <w:rFonts w:ascii="Cambria Math" w:hAnsi="Cambria Math"/>
                        <w:lang w:val="fr-FR"/>
                      </w:rPr>
                      <m:t>130</m:t>
                    </m:r>
                    <m:sSub>
                      <m:sSubPr>
                        <m:ctrlPr>
                          <w:rPr>
                            <w:rFonts w:ascii="Cambria Math" w:hAnsi="Cambria Math"/>
                          </w:rPr>
                        </m:ctrlPr>
                      </m:sSubPr>
                      <m:e>
                        <m:r>
                          <w:rPr>
                            <w:rFonts w:ascii="Cambria Math" w:hAnsi="Cambria Math"/>
                          </w:rPr>
                          <m:t>η</m:t>
                        </m:r>
                      </m:e>
                      <m:sub>
                        <m:r>
                          <w:rPr>
                            <w:rFonts w:ascii="Cambria Math" w:hAnsi="Cambria Math"/>
                            <w:lang w:val="fr-FR"/>
                          </w:rPr>
                          <m:t>1</m:t>
                        </m:r>
                      </m:sub>
                    </m:sSub>
                  </m:e>
                </m:d>
                <m:r>
                  <w:rPr>
                    <w:rFonts w:ascii="Cambria Math" w:hAnsi="Cambria Math"/>
                    <w:lang w:val="fr-FR"/>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γ</m:t>
                                </m:r>
                              </m:e>
                              <m:sub>
                                <m:r>
                                  <m:rPr>
                                    <m:sty m:val="p"/>
                                  </m:rPr>
                                  <w:rPr>
                                    <w:rFonts w:ascii="Cambria Math" w:hAnsi="Cambria Math"/>
                                    <w:lang w:val="fr-FR"/>
                                  </w:rPr>
                                  <m:t>c</m:t>
                                </m:r>
                              </m:sub>
                            </m:sSub>
                          </m:num>
                          <m:den>
                            <m:r>
                              <w:rPr>
                                <w:rFonts w:ascii="Cambria Math" w:hAnsi="Cambria Math"/>
                                <w:lang w:val="fr-FR"/>
                              </w:rPr>
                              <m:t>1,5</m:t>
                            </m:r>
                          </m:den>
                        </m:f>
                      </m:e>
                    </m:d>
                  </m:e>
                  <m:sup>
                    <m:f>
                      <m:fPr>
                        <m:ctrlPr>
                          <w:rPr>
                            <w:rFonts w:ascii="Cambria Math" w:hAnsi="Cambria Math"/>
                          </w:rPr>
                        </m:ctrlPr>
                      </m:fPr>
                      <m:num>
                        <m:r>
                          <w:rPr>
                            <w:rFonts w:ascii="Cambria Math" w:hAnsi="Cambria Math"/>
                            <w:lang w:val="fr-FR"/>
                          </w:rPr>
                          <m:t>3</m:t>
                        </m:r>
                      </m:num>
                      <m:den>
                        <m:r>
                          <w:rPr>
                            <w:rFonts w:ascii="Cambria Math" w:hAnsi="Cambria Math"/>
                            <w:lang w:val="fr-FR"/>
                          </w:rPr>
                          <m:t>2</m:t>
                        </m:r>
                      </m:den>
                    </m:f>
                    <m:sSub>
                      <m:sSubPr>
                        <m:ctrlPr>
                          <w:rPr>
                            <w:rFonts w:ascii="Cambria Math" w:hAnsi="Cambria Math"/>
                          </w:rPr>
                        </m:ctrlPr>
                      </m:sSubPr>
                      <m:e>
                        <m:r>
                          <w:rPr>
                            <w:rFonts w:ascii="Cambria Math" w:hAnsi="Cambria Math"/>
                          </w:rPr>
                          <m:t>η</m:t>
                        </m:r>
                      </m:e>
                      <m:sub>
                        <m:r>
                          <w:rPr>
                            <w:rFonts w:ascii="Cambria Math" w:hAnsi="Cambria Math"/>
                            <w:lang w:val="fr-FR"/>
                          </w:rPr>
                          <m:t>2</m:t>
                        </m:r>
                      </m:sub>
                    </m:sSub>
                  </m:sup>
                </m:sSup>
                <m:sSup>
                  <m:sSupPr>
                    <m:ctrlPr>
                      <w:rPr>
                        <w:rFonts w:ascii="Cambria Math" w:hAnsi="Cambria Math"/>
                      </w:rPr>
                    </m:ctrlPr>
                  </m:sSupPr>
                  <m:e>
                    <m:r>
                      <w:rPr>
                        <w:rFonts w:ascii="Cambria Math" w:hAnsi="Cambria Math"/>
                        <w:lang w:val="fr-FR"/>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σ</m:t>
                                </m:r>
                              </m:e>
                              <m:sub>
                                <m:r>
                                  <m:rPr>
                                    <m:sty m:val="p"/>
                                  </m:rPr>
                                  <w:rPr>
                                    <w:rFonts w:ascii="Cambria Math" w:hAnsi="Cambria Math"/>
                                    <w:lang w:val="fr-FR"/>
                                  </w:rPr>
                                  <m:t>sd</m:t>
                                </m:r>
                              </m:sub>
                            </m:sSub>
                          </m:num>
                          <m:den>
                            <m:r>
                              <w:rPr>
                                <w:rFonts w:ascii="Cambria Math" w:hAnsi="Cambria Math"/>
                                <w:lang w:val="fr-FR"/>
                              </w:rPr>
                              <m:t xml:space="preserve">435 </m:t>
                            </m:r>
                          </m:den>
                        </m:f>
                      </m:e>
                    </m:d>
                  </m:e>
                  <m:sup>
                    <m:f>
                      <m:fPr>
                        <m:ctrlPr>
                          <w:rPr>
                            <w:rFonts w:ascii="Cambria Math" w:hAnsi="Cambria Math"/>
                          </w:rPr>
                        </m:ctrlPr>
                      </m:fPr>
                      <m:num>
                        <m:r>
                          <w:rPr>
                            <w:rFonts w:ascii="Cambria Math" w:hAnsi="Cambria Math"/>
                            <w:lang w:val="fr-FR"/>
                          </w:rPr>
                          <m:t>5</m:t>
                        </m:r>
                      </m:num>
                      <m:den>
                        <m:r>
                          <w:rPr>
                            <w:rFonts w:ascii="Cambria Math" w:hAnsi="Cambria Math"/>
                            <w:lang w:val="fr-FR"/>
                          </w:rPr>
                          <m:t>4</m:t>
                        </m:r>
                      </m:den>
                    </m:f>
                    <m:sSub>
                      <m:sSubPr>
                        <m:ctrlPr>
                          <w:rPr>
                            <w:rFonts w:ascii="Cambria Math" w:hAnsi="Cambria Math"/>
                          </w:rPr>
                        </m:ctrlPr>
                      </m:sSubPr>
                      <m:e>
                        <m:r>
                          <w:rPr>
                            <w:rFonts w:ascii="Cambria Math" w:hAnsi="Cambria Math"/>
                          </w:rPr>
                          <m:t>η</m:t>
                        </m:r>
                      </m:e>
                      <m:sub>
                        <m:r>
                          <w:rPr>
                            <w:rFonts w:ascii="Cambria Math" w:hAnsi="Cambria Math"/>
                            <w:lang w:val="fr-FR"/>
                          </w:rPr>
                          <m:t>3</m:t>
                        </m:r>
                      </m:sub>
                    </m:sSub>
                  </m:sup>
                </m:sSup>
                <m:sSup>
                  <m:sSupPr>
                    <m:ctrlPr>
                      <w:rPr>
                        <w:rFonts w:ascii="Cambria Math" w:hAnsi="Cambria Math"/>
                      </w:rPr>
                    </m:ctrlPr>
                  </m:sSupPr>
                  <m:e>
                    <m:r>
                      <w:rPr>
                        <w:rFonts w:ascii="Cambria Math" w:hAnsi="Cambria Math"/>
                        <w:lang w:val="fr-FR"/>
                      </w:rPr>
                      <m:t>∙</m:t>
                    </m:r>
                    <m:d>
                      <m:dPr>
                        <m:ctrlPr>
                          <w:rPr>
                            <w:rFonts w:ascii="Cambria Math" w:hAnsi="Cambria Math"/>
                          </w:rPr>
                        </m:ctrlPr>
                      </m:dPr>
                      <m:e>
                        <m:f>
                          <m:fPr>
                            <m:ctrlPr>
                              <w:rPr>
                                <w:rFonts w:ascii="Cambria Math" w:hAnsi="Cambria Math"/>
                              </w:rPr>
                            </m:ctrlPr>
                          </m:fPr>
                          <m:num>
                            <m:r>
                              <w:rPr>
                                <w:rFonts w:ascii="Cambria Math" w:hAnsi="Cambria Math"/>
                                <w:lang w:val="fr-FR"/>
                              </w:rPr>
                              <m:t xml:space="preserve">25 </m:t>
                            </m:r>
                          </m:num>
                          <m:den>
                            <m:sSub>
                              <m:sSubPr>
                                <m:ctrlPr>
                                  <w:rPr>
                                    <w:rFonts w:ascii="Cambria Math" w:hAnsi="Cambria Math"/>
                                  </w:rPr>
                                </m:ctrlPr>
                              </m:sSubPr>
                              <m:e>
                                <m:r>
                                  <w:rPr>
                                    <w:rFonts w:ascii="Cambria Math" w:hAnsi="Cambria Math"/>
                                  </w:rPr>
                                  <m:t>f</m:t>
                                </m:r>
                              </m:e>
                              <m:sub>
                                <m:r>
                                  <m:rPr>
                                    <m:sty m:val="p"/>
                                  </m:rPr>
                                  <w:rPr>
                                    <w:rFonts w:ascii="Cambria Math" w:hAnsi="Cambria Math"/>
                                    <w:lang w:val="fr-FR"/>
                                  </w:rPr>
                                  <m:t>ck</m:t>
                                </m:r>
                              </m:sub>
                            </m:sSub>
                          </m:den>
                        </m:f>
                      </m:e>
                    </m:d>
                  </m:e>
                  <m:sup>
                    <m:f>
                      <m:fPr>
                        <m:ctrlPr>
                          <w:rPr>
                            <w:rFonts w:ascii="Cambria Math" w:hAnsi="Cambria Math"/>
                          </w:rPr>
                        </m:ctrlPr>
                      </m:fPr>
                      <m:num>
                        <m:r>
                          <w:rPr>
                            <w:rFonts w:ascii="Cambria Math" w:hAnsi="Cambria Math"/>
                            <w:lang w:val="fr-FR"/>
                          </w:rPr>
                          <m:t>2</m:t>
                        </m:r>
                      </m:num>
                      <m:den>
                        <m:r>
                          <w:rPr>
                            <w:rFonts w:ascii="Cambria Math" w:hAnsi="Cambria Math"/>
                            <w:lang w:val="fr-FR"/>
                          </w:rPr>
                          <m:t>3</m:t>
                        </m:r>
                      </m:den>
                    </m:f>
                    <m:sSub>
                      <m:sSubPr>
                        <m:ctrlPr>
                          <w:rPr>
                            <w:rFonts w:ascii="Cambria Math" w:hAnsi="Cambria Math"/>
                          </w:rPr>
                        </m:ctrlPr>
                      </m:sSubPr>
                      <m:e>
                        <m:r>
                          <w:rPr>
                            <w:rFonts w:ascii="Cambria Math" w:hAnsi="Cambria Math"/>
                          </w:rPr>
                          <m:t>η</m:t>
                        </m:r>
                      </m:e>
                      <m:sub>
                        <m:r>
                          <w:rPr>
                            <w:rFonts w:ascii="Cambria Math" w:hAnsi="Cambria Math"/>
                            <w:lang w:val="fr-FR"/>
                          </w:rPr>
                          <m:t>4</m:t>
                        </m:r>
                      </m:sub>
                    </m:sSub>
                  </m:sup>
                </m:sSup>
                <m:r>
                  <w:rPr>
                    <w:rFonts w:ascii="Cambria Math" w:hAnsi="Cambria Math"/>
                    <w:lang w:val="fr-FR"/>
                  </w:rPr>
                  <m:t>∙</m:t>
                </m:r>
                <m:d>
                  <m:dPr>
                    <m:ctrlPr>
                      <w:rPr>
                        <w:rFonts w:ascii="Cambria Math" w:hAnsi="Cambria Math"/>
                      </w:rPr>
                    </m:ctrlPr>
                  </m:dPr>
                  <m:e>
                    <m:f>
                      <m:fPr>
                        <m:ctrlPr>
                          <w:rPr>
                            <w:rFonts w:ascii="Cambria Math" w:hAnsi="Cambria Math"/>
                          </w:rPr>
                        </m:ctrlPr>
                      </m:fPr>
                      <m:num>
                        <m:r>
                          <w:rPr>
                            <w:rFonts w:ascii="Cambria Math" w:hAnsi="Cambria Math"/>
                            <w:lang w:val="fr-FR"/>
                          </w:rPr>
                          <m:t>1,5</m:t>
                        </m:r>
                        <m:r>
                          <w:rPr>
                            <w:rFonts w:ascii="Cambria Math" w:hAnsi="Cambria Math"/>
                          </w:rPr>
                          <m:t>ϕ</m:t>
                        </m:r>
                      </m:num>
                      <m:den>
                        <m:sSub>
                          <m:sSubPr>
                            <m:ctrlPr>
                              <w:rPr>
                                <w:rFonts w:ascii="Cambria Math" w:hAnsi="Cambria Math"/>
                              </w:rPr>
                            </m:ctrlPr>
                          </m:sSubPr>
                          <m:e>
                            <m:r>
                              <w:rPr>
                                <w:rFonts w:ascii="Cambria Math" w:hAnsi="Cambria Math"/>
                              </w:rPr>
                              <m:t>c</m:t>
                            </m:r>
                          </m:e>
                          <m:sub>
                            <m:r>
                              <m:rPr>
                                <m:sty m:val="p"/>
                              </m:rPr>
                              <w:rPr>
                                <w:rFonts w:ascii="Cambria Math" w:hAnsi="Cambria Math"/>
                                <w:lang w:val="fr-FR"/>
                              </w:rPr>
                              <m:t>d</m:t>
                            </m:r>
                          </m:sub>
                        </m:sSub>
                      </m:den>
                    </m:f>
                  </m:e>
                </m:d>
                <m:r>
                  <w:rPr>
                    <w:rFonts w:ascii="Cambria Math" w:hAnsi="Cambria Math"/>
                    <w:lang w:val="fr-FR"/>
                  </w:rPr>
                  <m:t>≥10</m:t>
                </m:r>
                <m:r>
                  <w:rPr>
                    <w:rFonts w:ascii="Cambria Math" w:hAnsi="Cambria Math"/>
                  </w:rPr>
                  <m:t>ϕ</m:t>
                </m:r>
              </m:oMath>
            </m:oMathPara>
          </w:p>
        </w:tc>
        <w:tc>
          <w:tcPr>
            <w:tcW w:w="1247" w:type="dxa"/>
            <w:vAlign w:val="center"/>
          </w:tcPr>
          <w:p w14:paraId="4A28884B" w14:textId="35ECC83F" w:rsidR="00AC44F2" w:rsidRPr="001455DC" w:rsidRDefault="005965D6" w:rsidP="00AC44F2">
            <w:pPr>
              <w:pStyle w:val="a7"/>
              <w:jc w:val="right"/>
            </w:pPr>
            <w:r w:rsidRPr="001455DC">
              <w:t>(I.23)</w:t>
            </w:r>
          </w:p>
        </w:tc>
      </w:tr>
    </w:tbl>
    <w:p w14:paraId="3D1D9BDC" w14:textId="77777777" w:rsidR="004E22C1" w:rsidRPr="001455DC" w:rsidRDefault="004E22C1" w:rsidP="00A35599">
      <w:pPr>
        <w:pStyle w:val="a7"/>
        <w:keepNext/>
      </w:pPr>
      <w:r w:rsidRPr="001455DC">
        <w:t>where</w:t>
      </w:r>
    </w:p>
    <w:p w14:paraId="33F10E7B" w14:textId="08487091" w:rsidR="004E22C1" w:rsidRPr="001455DC" w:rsidRDefault="004E22C1" w:rsidP="005965D6">
      <w:pPr>
        <w:pStyle w:val="a0"/>
      </w:pPr>
      <w:r w:rsidRPr="001455DC">
        <w:t xml:space="preserve">the ratio </w:t>
      </w:r>
      <m:oMath>
        <m:f>
          <m:fPr>
            <m:ctrlPr>
              <w:rPr>
                <w:rFonts w:ascii="Cambria Math" w:hAnsi="Cambria Math"/>
              </w:rPr>
            </m:ctrlPr>
          </m:fPr>
          <m:num>
            <m:r>
              <w:rPr>
                <w:rFonts w:ascii="Cambria Math" w:hAnsi="Cambria Math"/>
              </w:rPr>
              <m:t>1,5ϕ</m:t>
            </m:r>
          </m:num>
          <m:den>
            <m:sSub>
              <m:sSubPr>
                <m:ctrlPr>
                  <w:rPr>
                    <w:rFonts w:ascii="Cambria Math" w:hAnsi="Cambria Math"/>
                  </w:rPr>
                </m:ctrlPr>
              </m:sSubPr>
              <m:e>
                <m:r>
                  <w:rPr>
                    <w:rFonts w:ascii="Cambria Math" w:hAnsi="Cambria Math"/>
                  </w:rPr>
                  <m:t>c</m:t>
                </m:r>
              </m:e>
              <m:sub>
                <m:r>
                  <m:rPr>
                    <m:sty m:val="p"/>
                  </m:rPr>
                  <w:rPr>
                    <w:rFonts w:ascii="Cambria Math" w:hAnsi="Cambria Math"/>
                  </w:rPr>
                  <m:t>d</m:t>
                </m:r>
              </m:sub>
            </m:sSub>
          </m:den>
        </m:f>
      </m:oMath>
      <w:r w:rsidRPr="001455DC">
        <w:t xml:space="preserve"> should not be taken smaller than 0,5;</w:t>
      </w:r>
    </w:p>
    <w:p w14:paraId="41C54A11" w14:textId="4030F328" w:rsidR="004E22C1" w:rsidRPr="001455DC" w:rsidRDefault="00231E33" w:rsidP="005965D6">
      <w:pPr>
        <w:pStyle w:val="a0"/>
      </w:pPr>
      <m:oMath>
        <m:sSub>
          <m:sSubPr>
            <m:ctrlPr>
              <w:rPr>
                <w:rFonts w:ascii="Cambria Math" w:hAnsi="Cambria Math"/>
              </w:rPr>
            </m:ctrlPr>
          </m:sSubPr>
          <m:e>
            <m:r>
              <w:rPr>
                <w:rFonts w:ascii="Cambria Math" w:hAnsi="Cambria Math"/>
              </w:rPr>
              <m:t>η</m:t>
            </m:r>
          </m:e>
          <m:sub>
            <m:r>
              <m:rPr>
                <m:sty m:val="p"/>
              </m:rPr>
              <w:rPr>
                <w:rFonts w:ascii="Cambria Math" w:hAnsi="Cambria Math"/>
              </w:rPr>
              <m:t>1</m:t>
            </m:r>
            <m:ctrlPr>
              <w:rPr>
                <w:rFonts w:ascii="Cambria Math" w:hAnsi="Cambria Math"/>
                <w:iCs/>
              </w:rPr>
            </m:ctrlPr>
          </m:sub>
        </m:sSub>
        <m:r>
          <w:rPr>
            <w:rFonts w:ascii="Cambria Math" w:hAnsi="Cambria Math"/>
          </w:rPr>
          <m:t xml:space="preserve">, </m:t>
        </m:r>
        <m:sSub>
          <m:sSubPr>
            <m:ctrlPr>
              <w:rPr>
                <w:rFonts w:ascii="Cambria Math" w:hAnsi="Cambria Math"/>
              </w:rPr>
            </m:ctrlPr>
          </m:sSubPr>
          <m:e>
            <m:r>
              <w:rPr>
                <w:rFonts w:ascii="Cambria Math" w:hAnsi="Cambria Math"/>
              </w:rPr>
              <m:t>η</m:t>
            </m:r>
          </m:e>
          <m:sub>
            <m:r>
              <m:rPr>
                <m:sty m:val="p"/>
              </m:rPr>
              <w:rPr>
                <w:rFonts w:ascii="Cambria Math" w:hAnsi="Cambria Math"/>
              </w:rPr>
              <m:t>2</m:t>
            </m:r>
            <m:ctrlPr>
              <w:rPr>
                <w:rFonts w:ascii="Cambria Math" w:hAnsi="Cambria Math"/>
                <w:iCs/>
              </w:rPr>
            </m:ctrlPr>
          </m:sub>
        </m:sSub>
        <m:r>
          <m:rPr>
            <m:sty m:val="p"/>
          </m:rPr>
          <w:rPr>
            <w:rFonts w:ascii="Cambria Math" w:hAnsi="Cambria Math"/>
          </w:rPr>
          <m:t xml:space="preserve">, </m:t>
        </m:r>
        <m:sSub>
          <m:sSubPr>
            <m:ctrlPr>
              <w:rPr>
                <w:rFonts w:ascii="Cambria Math" w:hAnsi="Cambria Math"/>
              </w:rPr>
            </m:ctrlPr>
          </m:sSubPr>
          <m:e>
            <m:r>
              <w:rPr>
                <w:rFonts w:ascii="Cambria Math" w:hAnsi="Cambria Math"/>
              </w:rPr>
              <m:t>η</m:t>
            </m:r>
          </m:e>
          <m:sub>
            <m:r>
              <m:rPr>
                <m:sty m:val="p"/>
              </m:rPr>
              <w:rPr>
                <w:rFonts w:ascii="Cambria Math" w:hAnsi="Cambria Math"/>
              </w:rPr>
              <m:t>3</m:t>
            </m:r>
            <m:ctrlPr>
              <w:rPr>
                <w:rFonts w:ascii="Cambria Math" w:hAnsi="Cambria Math"/>
                <w:iCs/>
              </w:rPr>
            </m:ctrlPr>
          </m:sub>
        </m:sSub>
      </m:oMath>
      <w:r w:rsidR="004E22C1" w:rsidRPr="001455DC">
        <w:t xml:space="preserve"> and</w:t>
      </w:r>
      <m:oMath>
        <m:r>
          <m:rPr>
            <m:sty m:val="p"/>
          </m:rPr>
          <w:rPr>
            <w:rFonts w:ascii="Cambria Math" w:hAnsi="Cambria Math"/>
          </w:rPr>
          <m:t xml:space="preserve"> </m:t>
        </m:r>
        <m:sSub>
          <m:sSubPr>
            <m:ctrlPr>
              <w:rPr>
                <w:rFonts w:ascii="Cambria Math" w:hAnsi="Cambria Math"/>
              </w:rPr>
            </m:ctrlPr>
          </m:sSubPr>
          <m:e>
            <m:r>
              <w:rPr>
                <w:rFonts w:ascii="Cambria Math" w:hAnsi="Cambria Math"/>
              </w:rPr>
              <m:t>η</m:t>
            </m:r>
          </m:e>
          <m:sub>
            <m:r>
              <m:rPr>
                <m:sty m:val="p"/>
              </m:rPr>
              <w:rPr>
                <w:rFonts w:ascii="Cambria Math" w:hAnsi="Cambria Math"/>
              </w:rPr>
              <m:t>4</m:t>
            </m:r>
            <m:ctrlPr>
              <w:rPr>
                <w:rFonts w:ascii="Cambria Math" w:hAnsi="Cambria Math"/>
                <w:iCs/>
              </w:rPr>
            </m:ctrlPr>
          </m:sub>
        </m:sSub>
      </m:oMath>
      <w:r w:rsidR="004E22C1" w:rsidRPr="001455DC">
        <w:t xml:space="preserve"> are coefficients that take account of the position of the bars during concreting and in particular:</w:t>
      </w:r>
    </w:p>
    <w:p w14:paraId="48B74FA8" w14:textId="438CEBDE" w:rsidR="004E22C1" w:rsidRPr="001455DC" w:rsidRDefault="00231E33" w:rsidP="00082680">
      <w:pPr>
        <w:pStyle w:val="2"/>
        <w:numPr>
          <w:ilvl w:val="0"/>
          <w:numId w:val="48"/>
        </w:numPr>
        <w:ind w:left="714" w:hanging="357"/>
      </w:pPr>
      <m:oMath>
        <m:sSub>
          <m:sSubPr>
            <m:ctrlPr>
              <w:rPr>
                <w:rFonts w:ascii="Cambria Math" w:hAnsi="Cambria Math"/>
              </w:rPr>
            </m:ctrlPr>
          </m:sSubPr>
          <m:e>
            <m:r>
              <w:rPr>
                <w:rFonts w:ascii="Cambria Math" w:hAnsi="Cambria Math"/>
              </w:rPr>
              <m:t>η</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4</m:t>
            </m:r>
          </m:sub>
        </m:sSub>
        <m:r>
          <w:rPr>
            <w:rFonts w:ascii="Cambria Math" w:hAnsi="Cambria Math"/>
          </w:rPr>
          <m:t>=1,0</m:t>
        </m:r>
      </m:oMath>
      <w:r w:rsidR="004E22C1" w:rsidRPr="001455DC">
        <w:t xml:space="preserve"> for bars in good bond conditions;</w:t>
      </w:r>
    </w:p>
    <w:p w14:paraId="3B77C5EF" w14:textId="10418030" w:rsidR="004E22C1" w:rsidRPr="001455DC" w:rsidRDefault="00231E33" w:rsidP="00082680">
      <w:pPr>
        <w:pStyle w:val="2"/>
        <w:numPr>
          <w:ilvl w:val="0"/>
          <w:numId w:val="48"/>
        </w:numPr>
        <w:ind w:left="714" w:hanging="357"/>
      </w:pPr>
      <m:oMath>
        <m:sSub>
          <m:sSubPr>
            <m:ctrlPr>
              <w:rPr>
                <w:rFonts w:ascii="Cambria Math" w:hAnsi="Cambria Math"/>
              </w:rPr>
            </m:ctrlPr>
          </m:sSubPr>
          <m:e>
            <m:r>
              <w:rPr>
                <w:rFonts w:ascii="Cambria Math" w:hAnsi="Cambria Math"/>
              </w:rPr>
              <m:t>η</m:t>
            </m:r>
          </m:e>
          <m:sub>
            <m:r>
              <m:rPr>
                <m:sty m:val="p"/>
              </m:rPr>
              <w:rPr>
                <w:rFonts w:ascii="Cambria Math" w:hAnsi="Cambria Math"/>
              </w:rPr>
              <m:t>1</m:t>
            </m:r>
          </m:sub>
        </m:sSub>
        <m:r>
          <m:rPr>
            <m:sty m:val="p"/>
          </m:rPr>
          <w:rPr>
            <w:rFonts w:ascii="Cambria Math" w:hAnsi="Cambria Math"/>
          </w:rPr>
          <m:t>=3,1</m:t>
        </m:r>
      </m:oMath>
      <w:r w:rsidR="004E22C1" w:rsidRPr="001455DC">
        <w:t xml:space="preserve">, </w:t>
      </w:r>
      <m:oMath>
        <m:sSub>
          <m:sSubPr>
            <m:ctrlPr>
              <w:rPr>
                <w:rFonts w:ascii="Cambria Math" w:hAnsi="Cambria Math"/>
              </w:rPr>
            </m:ctrlPr>
          </m:sSubPr>
          <m:e>
            <m:r>
              <w:rPr>
                <w:rFonts w:ascii="Cambria Math" w:hAnsi="Cambria Math"/>
              </w:rPr>
              <m:t>η</m:t>
            </m:r>
          </m:e>
          <m:sub>
            <m:r>
              <m:rPr>
                <m:sty m:val="p"/>
              </m:rPr>
              <w:rPr>
                <w:rFonts w:ascii="Cambria Math" w:hAnsi="Cambria Math"/>
              </w:rPr>
              <m:t>2</m:t>
            </m:r>
          </m:sub>
        </m:sSub>
        <m:r>
          <m:rPr>
            <m:sty m:val="p"/>
          </m:rPr>
          <w:rPr>
            <w:rFonts w:ascii="Cambria Math" w:hAnsi="Cambria Math"/>
          </w:rPr>
          <m:t>=1,6</m:t>
        </m:r>
      </m:oMath>
      <w:r w:rsidR="004E22C1" w:rsidRPr="001455DC">
        <w:t xml:space="preserve">, </w:t>
      </w:r>
      <m:oMath>
        <m:sSub>
          <m:sSubPr>
            <m:ctrlPr>
              <w:rPr>
                <w:rFonts w:ascii="Cambria Math" w:hAnsi="Cambria Math"/>
              </w:rPr>
            </m:ctrlPr>
          </m:sSubPr>
          <m:e>
            <m:r>
              <w:rPr>
                <w:rFonts w:ascii="Cambria Math" w:hAnsi="Cambria Math"/>
              </w:rPr>
              <m:t>η</m:t>
            </m:r>
          </m:e>
          <m:sub>
            <m:r>
              <m:rPr>
                <m:sty m:val="p"/>
              </m:rPr>
              <w:rPr>
                <w:rFonts w:ascii="Cambria Math" w:hAnsi="Cambria Math"/>
              </w:rPr>
              <m:t>3</m:t>
            </m:r>
          </m:sub>
        </m:sSub>
        <m:r>
          <m:rPr>
            <m:sty m:val="p"/>
          </m:rPr>
          <w:rPr>
            <w:rFonts w:ascii="Cambria Math" w:hAnsi="Cambria Math"/>
          </w:rPr>
          <m:t>=0,9</m:t>
        </m:r>
      </m:oMath>
      <w:r w:rsidR="004E22C1" w:rsidRPr="001455DC">
        <w:t xml:space="preserve"> and </w:t>
      </w:r>
      <m:oMath>
        <m:sSub>
          <m:sSubPr>
            <m:ctrlPr>
              <w:rPr>
                <w:rFonts w:ascii="Cambria Math" w:hAnsi="Cambria Math"/>
              </w:rPr>
            </m:ctrlPr>
          </m:sSubPr>
          <m:e>
            <m:r>
              <w:rPr>
                <w:rFonts w:ascii="Cambria Math" w:hAnsi="Cambria Math"/>
              </w:rPr>
              <m:t>η</m:t>
            </m:r>
          </m:e>
          <m:sub>
            <m:r>
              <m:rPr>
                <m:sty m:val="p"/>
              </m:rPr>
              <w:rPr>
                <w:rFonts w:ascii="Cambria Math" w:hAnsi="Cambria Math"/>
              </w:rPr>
              <m:t>4</m:t>
            </m:r>
          </m:sub>
        </m:sSub>
        <m:r>
          <m:rPr>
            <m:sty m:val="p"/>
          </m:rPr>
          <w:rPr>
            <w:rFonts w:ascii="Cambria Math" w:hAnsi="Cambria Math"/>
          </w:rPr>
          <m:t>=3/5</m:t>
        </m:r>
      </m:oMath>
      <w:r w:rsidR="004E22C1" w:rsidRPr="001455DC">
        <w:t xml:space="preserve"> in all other cases.</w:t>
      </w:r>
    </w:p>
    <w:p w14:paraId="7CF13CDC" w14:textId="080B675C" w:rsidR="004E22C1" w:rsidRPr="001455DC" w:rsidRDefault="004E22C1" w:rsidP="00867F11">
      <w:pPr>
        <w:pStyle w:val="Note"/>
      </w:pPr>
      <w:r w:rsidRPr="001455DC">
        <w:t>NOTE 1</w:t>
      </w:r>
      <w:r w:rsidRPr="001455DC">
        <w:tab/>
        <w:t>For details on good bond conditions</w:t>
      </w:r>
      <w:r w:rsidR="00375D10">
        <w:t>,</w:t>
      </w:r>
      <w:r w:rsidRPr="001455DC">
        <w:t xml:space="preserve"> see Figure 11.4.</w:t>
      </w:r>
    </w:p>
    <w:p w14:paraId="4DB8B85C" w14:textId="7EFCBEEE" w:rsidR="004E22C1" w:rsidRPr="001455DC" w:rsidRDefault="004E22C1" w:rsidP="00867F11">
      <w:pPr>
        <w:pStyle w:val="Note"/>
      </w:pPr>
      <w:r w:rsidRPr="001455DC">
        <w:t>NOTE 2</w:t>
      </w:r>
      <w:r w:rsidRPr="001455DC">
        <w:tab/>
        <w:t xml:space="preserve">Some studies on small diameter (i.e. </w:t>
      </w:r>
      <m:oMath>
        <m:r>
          <w:rPr>
            <w:rFonts w:ascii="Cambria Math" w:hAnsi="Cambria Math"/>
          </w:rPr>
          <m:t>ϕ</m:t>
        </m:r>
        <m:r>
          <m:rPr>
            <m:sty m:val="p"/>
          </m:rPr>
          <w:rPr>
            <w:rFonts w:ascii="Cambria Math" w:hAnsi="Cambria Math"/>
          </w:rPr>
          <m:t>≤16 mm</m:t>
        </m:r>
      </m:oMath>
      <w:r w:rsidRPr="001455DC">
        <w:t>) cold drawn plain reinforcement demonstrate that such bars have a much smoother surface and exhibit lower bond strengths attained at higher slips compared with hot rolled bars. Thus, the design anchorage length of small diameter cold drawn plain bars is longer than that evaluated by using Formula (I.23).</w:t>
      </w:r>
    </w:p>
    <w:p w14:paraId="4C7D30E3" w14:textId="77777777" w:rsidR="00AC44F2" w:rsidRPr="001455DC" w:rsidRDefault="004E22C1" w:rsidP="00F77658">
      <w:pPr>
        <w:pStyle w:val="a7"/>
        <w:keepNext/>
      </w:pPr>
      <w:r w:rsidRPr="001455DC">
        <w:t>(4)</w:t>
      </w:r>
      <w:r w:rsidRPr="001455DC">
        <w:tab/>
        <w:t xml:space="preserve">All provisions for anchorage of plain bars may be used also for square section plain bars with parameter </w:t>
      </w:r>
      <m:oMath>
        <m:r>
          <w:rPr>
            <w:rFonts w:ascii="Cambria Math" w:hAnsi="Cambria Math"/>
          </w:rPr>
          <m:t>ϕ</m:t>
        </m:r>
      </m:oMath>
      <w:r w:rsidRPr="001455DC">
        <w:t xml:space="preserve"> replaced by an equivalent diameter of the square bar </w:t>
      </w:r>
      <m:oMath>
        <m:sSub>
          <m:sSubPr>
            <m:ctrlPr>
              <w:rPr>
                <w:rFonts w:ascii="Cambria Math" w:hAnsi="Cambria Math"/>
              </w:rPr>
            </m:ctrlPr>
          </m:sSubPr>
          <m:e>
            <m:r>
              <w:rPr>
                <w:rFonts w:ascii="Cambria Math" w:hAnsi="Cambria Math"/>
              </w:rPr>
              <m:t>ϕ</m:t>
            </m:r>
          </m:e>
          <m:sub>
            <m:r>
              <m:rPr>
                <m:sty m:val="p"/>
              </m:rPr>
              <w:rPr>
                <w:rFonts w:ascii="Cambria Math" w:hAnsi="Cambria Math"/>
              </w:rPr>
              <m:t>sq,eq</m:t>
            </m:r>
          </m:sub>
        </m:sSub>
      </m:oMath>
      <w:r w:rsidRPr="001455DC">
        <w:t xml:space="preserve"> given by Formula (I.24):</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AC44F2" w:rsidRPr="001455DC" w14:paraId="4AC4F575" w14:textId="77777777" w:rsidTr="00AC44F2">
        <w:trPr>
          <w:cantSplit/>
        </w:trPr>
        <w:tc>
          <w:tcPr>
            <w:tcW w:w="8505" w:type="dxa"/>
            <w:vAlign w:val="center"/>
          </w:tcPr>
          <w:p w14:paraId="79C9502D" w14:textId="1B93985A" w:rsidR="00AC44F2" w:rsidRPr="001455DC" w:rsidRDefault="00231E33" w:rsidP="00AC44F2">
            <w:pPr>
              <w:pStyle w:val="Formula"/>
              <w:jc w:val="left"/>
            </w:pPr>
            <m:oMathPara>
              <m:oMathParaPr>
                <m:jc m:val="left"/>
              </m:oMathParaPr>
              <m:oMath>
                <m:sSub>
                  <m:sSubPr>
                    <m:ctrlPr>
                      <w:rPr>
                        <w:rFonts w:ascii="Cambria Math" w:hAnsi="Cambria Math"/>
                      </w:rPr>
                    </m:ctrlPr>
                  </m:sSubPr>
                  <m:e>
                    <m:r>
                      <w:rPr>
                        <w:rFonts w:ascii="Cambria Math" w:hAnsi="Cambria Math"/>
                      </w:rPr>
                      <m:t>ϕ</m:t>
                    </m:r>
                  </m:e>
                  <m:sub>
                    <m:r>
                      <m:rPr>
                        <m:sty m:val="p"/>
                      </m:rPr>
                      <w:rPr>
                        <w:rFonts w:ascii="Cambria Math" w:hAnsi="Cambria Math"/>
                      </w:rPr>
                      <m:t>sq,eq</m:t>
                    </m:r>
                  </m:sub>
                </m:sSub>
                <m:r>
                  <w:rPr>
                    <w:rFonts w:ascii="Cambria Math" w:hAnsi="Cambria Math"/>
                  </w:rPr>
                  <m:t>=</m:t>
                </m:r>
                <m:rad>
                  <m:radPr>
                    <m:degHide m:val="1"/>
                    <m:ctrlPr>
                      <w:rPr>
                        <w:rFonts w:ascii="Cambria Math" w:hAnsi="Cambria Math"/>
                      </w:rPr>
                    </m:ctrlPr>
                  </m:radPr>
                  <m:deg/>
                  <m:e>
                    <m:f>
                      <m:fPr>
                        <m:ctrlPr>
                          <w:rPr>
                            <w:rFonts w:ascii="Cambria Math" w:hAnsi="Cambria Math"/>
                          </w:rPr>
                        </m:ctrlPr>
                      </m:fPr>
                      <m:num>
                        <m:r>
                          <w:rPr>
                            <w:rFonts w:ascii="Cambria Math" w:hAnsi="Cambria Math"/>
                          </w:rPr>
                          <m:t>4</m:t>
                        </m:r>
                      </m:num>
                      <m:den>
                        <m:r>
                          <m:rPr>
                            <m:sty m:val="p"/>
                          </m:rPr>
                          <w:rPr>
                            <w:rFonts w:ascii="Cambria Math" w:hAnsi="Cambria Math"/>
                          </w:rPr>
                          <m:t>π</m:t>
                        </m:r>
                      </m:den>
                    </m:f>
                    <m:sSub>
                      <m:sSubPr>
                        <m:ctrlPr>
                          <w:rPr>
                            <w:rFonts w:ascii="Cambria Math" w:hAnsi="Cambria Math"/>
                          </w:rPr>
                        </m:ctrlPr>
                      </m:sSubPr>
                      <m:e>
                        <m:r>
                          <w:rPr>
                            <w:rFonts w:ascii="Cambria Math" w:hAnsi="Cambria Math"/>
                          </w:rPr>
                          <m:t>A</m:t>
                        </m:r>
                      </m:e>
                      <m:sub>
                        <m:r>
                          <m:rPr>
                            <m:sty m:val="p"/>
                          </m:rPr>
                          <w:rPr>
                            <w:rFonts w:ascii="Cambria Math" w:hAnsi="Cambria Math"/>
                          </w:rPr>
                          <m:t>sq</m:t>
                        </m:r>
                      </m:sub>
                    </m:sSub>
                  </m:e>
                </m:rad>
              </m:oMath>
            </m:oMathPara>
          </w:p>
        </w:tc>
        <w:tc>
          <w:tcPr>
            <w:tcW w:w="1247" w:type="dxa"/>
            <w:vAlign w:val="center"/>
          </w:tcPr>
          <w:p w14:paraId="3B15B4C6" w14:textId="3ADA3FC0" w:rsidR="00AC44F2" w:rsidRPr="001455DC" w:rsidRDefault="005965D6" w:rsidP="00AC44F2">
            <w:pPr>
              <w:pStyle w:val="a7"/>
              <w:jc w:val="right"/>
            </w:pPr>
            <w:r w:rsidRPr="001455DC">
              <w:t>(I.24)</w:t>
            </w:r>
          </w:p>
        </w:tc>
      </w:tr>
    </w:tbl>
    <w:p w14:paraId="3121B42C" w14:textId="694A69AD" w:rsidR="004E22C1" w:rsidRPr="001455DC" w:rsidRDefault="004E22C1" w:rsidP="00867F11">
      <w:pPr>
        <w:pStyle w:val="a7"/>
      </w:pPr>
      <w:r w:rsidRPr="001455DC">
        <w:t xml:space="preserve">where </w:t>
      </w:r>
      <m:oMath>
        <m:sSub>
          <m:sSubPr>
            <m:ctrlPr>
              <w:rPr>
                <w:rFonts w:ascii="Cambria Math" w:hAnsi="Cambria Math"/>
              </w:rPr>
            </m:ctrlPr>
          </m:sSubPr>
          <m:e>
            <m:r>
              <w:rPr>
                <w:rFonts w:ascii="Cambria Math" w:hAnsi="Cambria Math"/>
              </w:rPr>
              <m:t>A</m:t>
            </m:r>
          </m:e>
          <m:sub>
            <m:r>
              <m:rPr>
                <m:sty m:val="p"/>
              </m:rPr>
              <w:rPr>
                <w:rFonts w:ascii="Cambria Math" w:hAnsi="Cambria Math"/>
              </w:rPr>
              <m:t>sq</m:t>
            </m:r>
          </m:sub>
        </m:sSub>
      </m:oMath>
      <w:r w:rsidRPr="001455DC">
        <w:t xml:space="preserve"> is the area of the square cross section of the plain bar.</w:t>
      </w:r>
    </w:p>
    <w:p w14:paraId="7509D84B" w14:textId="62059866" w:rsidR="004E22C1" w:rsidRPr="001455DC" w:rsidRDefault="004E22C1" w:rsidP="00867F11">
      <w:pPr>
        <w:pStyle w:val="a7"/>
      </w:pPr>
      <w:r w:rsidRPr="001455DC">
        <w:t>(5)</w:t>
      </w:r>
      <w:r w:rsidRPr="001455DC">
        <w:tab/>
        <w:t>11.4.2(5) and 11.4.2(6) shall not be applied to plain bars.</w:t>
      </w:r>
    </w:p>
    <w:p w14:paraId="15BBAD0F" w14:textId="0BB46157" w:rsidR="004E22C1" w:rsidRPr="001455DC" w:rsidRDefault="004E22C1" w:rsidP="00867F11">
      <w:pPr>
        <w:pStyle w:val="a7"/>
      </w:pPr>
      <w:r w:rsidRPr="001455DC">
        <w:t>(6)</w:t>
      </w:r>
      <w:r w:rsidRPr="001455DC">
        <w:tab/>
        <w:t xml:space="preserve">11.4.2(5) should not be applied to ribbed and indented bars if </w:t>
      </w:r>
      <m:oMath>
        <m:sSub>
          <m:sSubPr>
            <m:ctrlPr>
              <w:rPr>
                <w:rFonts w:ascii="Cambria Math" w:hAnsi="Cambria Math"/>
              </w:rPr>
            </m:ctrlPr>
          </m:sSubPr>
          <m:e>
            <m:r>
              <w:rPr>
                <w:rFonts w:ascii="Cambria Math" w:hAnsi="Cambria Math"/>
              </w:rPr>
              <m:t>c</m:t>
            </m:r>
          </m:e>
          <m:sub>
            <m:r>
              <m:rPr>
                <m:sty m:val="p"/>
              </m:rPr>
              <w:rPr>
                <w:rFonts w:ascii="Cambria Math" w:hAnsi="Cambria Math"/>
              </w:rPr>
              <m:t>d</m:t>
            </m:r>
          </m:sub>
        </m:sSub>
        <m:r>
          <m:rPr>
            <m:sty m:val="p"/>
          </m:rPr>
          <w:rPr>
            <w:rFonts w:ascii="Cambria Math" w:hAnsi="Cambria Math"/>
          </w:rPr>
          <m:t>&lt;</m:t>
        </m:r>
        <m:r>
          <w:rPr>
            <w:rFonts w:ascii="Cambria Math" w:hAnsi="Cambria Math"/>
          </w:rPr>
          <m:t>ϕ</m:t>
        </m:r>
      </m:oMath>
      <w:r w:rsidRPr="001455DC">
        <w:t>.</w:t>
      </w:r>
    </w:p>
    <w:p w14:paraId="5BEADD02" w14:textId="074401B9" w:rsidR="004E22C1" w:rsidRPr="001455DC" w:rsidRDefault="004E22C1" w:rsidP="00867F11">
      <w:pPr>
        <w:pStyle w:val="a7"/>
      </w:pPr>
      <w:r w:rsidRPr="001455DC">
        <w:t>(7)</w:t>
      </w:r>
      <w:r w:rsidRPr="001455DC">
        <w:tab/>
        <w:t xml:space="preserve">If </w:t>
      </w:r>
      <m:oMath>
        <m:sSub>
          <m:sSubPr>
            <m:ctrlPr>
              <w:rPr>
                <w:rFonts w:ascii="Cambria Math" w:hAnsi="Cambria Math"/>
              </w:rPr>
            </m:ctrlPr>
          </m:sSubPr>
          <m:e>
            <m:r>
              <w:rPr>
                <w:rFonts w:ascii="Cambria Math" w:hAnsi="Cambria Math"/>
              </w:rPr>
              <m:t>c</m:t>
            </m:r>
          </m:e>
          <m:sub>
            <m:r>
              <m:rPr>
                <m:sty m:val="p"/>
              </m:rPr>
              <w:rPr>
                <w:rFonts w:ascii="Cambria Math" w:hAnsi="Cambria Math"/>
              </w:rPr>
              <m:t>d</m:t>
            </m:r>
          </m:sub>
        </m:sSub>
        <m:r>
          <m:rPr>
            <m:sty m:val="p"/>
          </m:rPr>
          <w:rPr>
            <w:rFonts w:ascii="Cambria Math" w:hAnsi="Cambria Math"/>
          </w:rPr>
          <m:t>&lt;</m:t>
        </m:r>
        <m:r>
          <w:rPr>
            <w:rFonts w:ascii="Cambria Math" w:hAnsi="Cambria Math"/>
          </w:rPr>
          <m:t>ϕ</m:t>
        </m:r>
      </m:oMath>
      <w:r w:rsidRPr="001455DC">
        <w:t xml:space="preserve"> all provisions for anchorage of ribbed, indented and plain bars may be used with parameter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oMath>
      <w:r w:rsidRPr="001455DC">
        <w:t xml:space="preserve"> replaced by </w:t>
      </w:r>
      <m:oMath>
        <m:r>
          <m:rPr>
            <m:sty m:val="p"/>
          </m:rPr>
          <w:rPr>
            <w:rFonts w:ascii="Cambria Math" w:hAnsi="Cambria Math"/>
          </w:rPr>
          <m:t>ϕ</m:t>
        </m:r>
      </m:oMath>
      <w:r w:rsidRPr="001455DC">
        <w:t xml:space="preserve"> and by increasing </w:t>
      </w:r>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bd</m:t>
            </m:r>
          </m:sub>
        </m:sSub>
      </m:oMath>
      <w:r w:rsidRPr="001455DC">
        <w:t xml:space="preserve"> in Formulae (11.2) and (I.23) by a factor </w:t>
      </w:r>
      <m:oMath>
        <m:sSub>
          <m:sSubPr>
            <m:ctrlPr>
              <w:rPr>
                <w:rFonts w:ascii="Cambria Math" w:hAnsi="Cambria Math"/>
              </w:rPr>
            </m:ctrlPr>
          </m:sSubPr>
          <m:e>
            <m:r>
              <w:rPr>
                <w:rFonts w:ascii="Cambria Math" w:hAnsi="Cambria Math"/>
              </w:rPr>
              <m:t>k</m:t>
            </m:r>
          </m:e>
          <m:sub>
            <m:r>
              <m:rPr>
                <m:sty m:val="p"/>
              </m:rPr>
              <w:rPr>
                <w:rFonts w:ascii="Cambria Math" w:hAnsi="Cambria Math"/>
              </w:rPr>
              <m:t>lbs,c</m:t>
            </m:r>
          </m:sub>
        </m:sSub>
      </m:oMath>
      <w:r w:rsidRPr="001455DC">
        <w:t xml:space="preserve">. </w:t>
      </w:r>
      <m:oMath>
        <m:sSub>
          <m:sSubPr>
            <m:ctrlPr>
              <w:rPr>
                <w:rFonts w:ascii="Cambria Math" w:hAnsi="Cambria Math"/>
              </w:rPr>
            </m:ctrlPr>
          </m:sSubPr>
          <m:e>
            <m:r>
              <w:rPr>
                <w:rFonts w:ascii="Cambria Math" w:hAnsi="Cambria Math"/>
              </w:rPr>
              <m:t>k</m:t>
            </m:r>
          </m:e>
          <m:sub>
            <m:r>
              <m:rPr>
                <m:sty m:val="p"/>
              </m:rPr>
              <w:rPr>
                <w:rFonts w:ascii="Cambria Math" w:hAnsi="Cambria Math"/>
              </w:rPr>
              <m:t>lbs,c</m:t>
            </m:r>
          </m:sub>
        </m:sSub>
      </m:oMath>
      <w:r w:rsidRPr="001455DC">
        <w:t xml:space="preserve"> should be taken from Table I.8.</w:t>
      </w:r>
    </w:p>
    <w:p w14:paraId="5C2D7748" w14:textId="77777777" w:rsidR="004E22C1" w:rsidRPr="001455DC" w:rsidRDefault="004E22C1" w:rsidP="00867F11">
      <w:pPr>
        <w:pStyle w:val="Note"/>
      </w:pPr>
      <w:r w:rsidRPr="001455DC">
        <w:t>NOTE</w:t>
      </w:r>
      <w:r w:rsidRPr="001455DC">
        <w:tab/>
        <w:t>Edge and interior bars are defined in Figure 11.3c).</w:t>
      </w:r>
    </w:p>
    <w:p w14:paraId="5745F207" w14:textId="7ECC71C8" w:rsidR="004E22C1" w:rsidRPr="001455DC" w:rsidRDefault="004E22C1" w:rsidP="00CF7E2A">
      <w:pPr>
        <w:pStyle w:val="Tabletitle"/>
      </w:pPr>
      <w:bookmarkStart w:id="1810" w:name="_Toc54337669"/>
      <w:r w:rsidRPr="001455DC">
        <w:t xml:space="preserve">Table I.8 — Parameter </w:t>
      </w:r>
      <m:oMath>
        <m:sSub>
          <m:sSubPr>
            <m:ctrlPr>
              <w:rPr>
                <w:rFonts w:ascii="Cambria Math" w:hAnsi="Cambria Math"/>
                <w:bCs/>
              </w:rPr>
            </m:ctrlPr>
          </m:sSubPr>
          <m:e>
            <m:r>
              <m:rPr>
                <m:sty m:val="bi"/>
              </m:rPr>
              <w:rPr>
                <w:rFonts w:ascii="Cambria Math" w:hAnsi="Cambria Math"/>
              </w:rPr>
              <m:t>k</m:t>
            </m:r>
          </m:e>
          <m:sub>
            <m:r>
              <m:rPr>
                <m:sty m:val="b"/>
              </m:rPr>
              <w:rPr>
                <w:rFonts w:ascii="Cambria Math" w:hAnsi="Cambria Math"/>
              </w:rPr>
              <m:t>lbs,c</m:t>
            </m:r>
          </m:sub>
        </m:sSub>
      </m:oMath>
      <w:r w:rsidRPr="001455DC">
        <w:t xml:space="preserve"> for </w:t>
      </w:r>
      <m:oMath>
        <m:sSub>
          <m:sSubPr>
            <m:ctrlPr>
              <w:rPr>
                <w:rFonts w:ascii="Cambria Math" w:hAnsi="Cambria Math"/>
                <w:i/>
              </w:rPr>
            </m:ctrlPr>
          </m:sSubPr>
          <m:e>
            <m:r>
              <m:rPr>
                <m:scr m:val="script"/>
                <m:sty m:val="bi"/>
              </m:rPr>
              <w:rPr>
                <w:rFonts w:ascii="Cambria Math" w:hAnsi="Cambria Math"/>
              </w:rPr>
              <m:t>l</m:t>
            </m:r>
          </m:e>
          <m:sub>
            <m:r>
              <m:rPr>
                <m:sty m:val="b"/>
              </m:rPr>
              <w:rPr>
                <w:rFonts w:ascii="Cambria Math" w:hAnsi="Cambria Math"/>
              </w:rPr>
              <m:t>bd</m:t>
            </m:r>
          </m:sub>
        </m:sSub>
      </m:oMath>
      <w:r w:rsidRPr="001455DC">
        <w:t xml:space="preserve"> when </w:t>
      </w:r>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d</m:t>
            </m:r>
          </m:sub>
        </m:sSub>
        <m:r>
          <m:rPr>
            <m:sty m:val="bi"/>
          </m:rPr>
          <w:rPr>
            <w:rFonts w:ascii="Cambria Math" w:hAnsi="Cambria Math"/>
          </w:rPr>
          <m:t>&lt;ϕ</m:t>
        </m:r>
      </m:oMath>
      <w:bookmarkEnd w:id="1810"/>
    </w:p>
    <w:tbl>
      <w:tblPr>
        <w:tblStyle w:val="53"/>
        <w:tblW w:w="9752" w:type="dxa"/>
        <w:tblLayout w:type="fixed"/>
        <w:tblLook w:val="0660" w:firstRow="1" w:lastRow="1" w:firstColumn="0" w:lastColumn="0" w:noHBand="1" w:noVBand="1"/>
      </w:tblPr>
      <w:tblGrid>
        <w:gridCol w:w="853"/>
        <w:gridCol w:w="1977"/>
        <w:gridCol w:w="1009"/>
        <w:gridCol w:w="1009"/>
        <w:gridCol w:w="1009"/>
        <w:gridCol w:w="3895"/>
      </w:tblGrid>
      <w:tr w:rsidR="004E22C1" w:rsidRPr="001455DC" w14:paraId="6289BBCA" w14:textId="77777777" w:rsidTr="009D3012">
        <w:trPr>
          <w:cnfStyle w:val="100000000000" w:firstRow="1" w:lastRow="0" w:firstColumn="0" w:lastColumn="0" w:oddVBand="0" w:evenVBand="0" w:oddHBand="0" w:evenHBand="0" w:firstRowFirstColumn="0" w:firstRowLastColumn="0" w:lastRowFirstColumn="0" w:lastRowLastColumn="0"/>
          <w:cantSplit/>
          <w:tblHeader/>
        </w:trPr>
        <w:tc>
          <w:tcPr>
            <w:tcW w:w="744" w:type="dxa"/>
          </w:tcPr>
          <w:p w14:paraId="3162CD76" w14:textId="77777777" w:rsidR="004E22C1" w:rsidRPr="001455DC" w:rsidRDefault="004E22C1" w:rsidP="00CF7E2A">
            <w:pPr>
              <w:pStyle w:val="Tableheader"/>
              <w:keepNext/>
            </w:pPr>
            <w:r w:rsidRPr="001455DC">
              <w:t>Case</w:t>
            </w:r>
          </w:p>
        </w:tc>
        <w:tc>
          <w:tcPr>
            <w:tcW w:w="1724" w:type="dxa"/>
          </w:tcPr>
          <w:p w14:paraId="3670F651" w14:textId="77777777" w:rsidR="004E22C1" w:rsidRPr="001455DC" w:rsidRDefault="004E22C1" w:rsidP="00CF7E2A">
            <w:pPr>
              <w:pStyle w:val="Tableheader"/>
              <w:keepNext/>
            </w:pPr>
            <w:r w:rsidRPr="001455DC">
              <w:t>Position of bar</w:t>
            </w:r>
          </w:p>
        </w:tc>
        <w:tc>
          <w:tcPr>
            <w:tcW w:w="880" w:type="dxa"/>
          </w:tcPr>
          <w:p w14:paraId="26A66216" w14:textId="6F6CF6CE" w:rsidR="004E22C1" w:rsidRPr="001455DC" w:rsidRDefault="00231E33" w:rsidP="00CF7E2A">
            <w:pPr>
              <w:pStyle w:val="Tableheader"/>
              <w:keepNext/>
            </w:pPr>
            <m:oMathPara>
              <m:oMath>
                <m:sSub>
                  <m:sSubPr>
                    <m:ctrlPr>
                      <w:rPr>
                        <w:rFonts w:ascii="Cambria Math" w:hAnsi="Cambria Math"/>
                        <w:bCs/>
                      </w:rPr>
                    </m:ctrlPr>
                  </m:sSubPr>
                  <m:e>
                    <m:r>
                      <m:rPr>
                        <m:sty m:val="bi"/>
                      </m:rPr>
                      <w:rPr>
                        <w:rFonts w:ascii="Cambria Math" w:hAnsi="Cambria Math"/>
                      </w:rPr>
                      <m:t>c</m:t>
                    </m:r>
                  </m:e>
                  <m:sub>
                    <m:r>
                      <m:rPr>
                        <m:sty m:val="b"/>
                      </m:rPr>
                      <w:rPr>
                        <w:rFonts w:ascii="Cambria Math" w:hAnsi="Cambria Math"/>
                      </w:rPr>
                      <m:t>s</m:t>
                    </m:r>
                  </m:sub>
                </m:sSub>
                <m:r>
                  <m:rPr>
                    <m:sty m:val="b"/>
                  </m:rPr>
                  <w:rPr>
                    <w:rFonts w:ascii="Cambria Math" w:hAnsi="Cambria Math"/>
                  </w:rPr>
                  <m:t>/2</m:t>
                </m:r>
              </m:oMath>
            </m:oMathPara>
          </w:p>
        </w:tc>
        <w:tc>
          <w:tcPr>
            <w:tcW w:w="880" w:type="dxa"/>
          </w:tcPr>
          <w:p w14:paraId="580DA59B" w14:textId="63866510" w:rsidR="004E22C1" w:rsidRPr="001455DC" w:rsidRDefault="00231E33" w:rsidP="00CF7E2A">
            <w:pPr>
              <w:pStyle w:val="Tableheader"/>
              <w:keepNext/>
            </w:pPr>
            <m:oMathPara>
              <m:oMath>
                <m:sSub>
                  <m:sSubPr>
                    <m:ctrlPr>
                      <w:rPr>
                        <w:rFonts w:ascii="Cambria Math" w:hAnsi="Cambria Math"/>
                        <w:bCs/>
                      </w:rPr>
                    </m:ctrlPr>
                  </m:sSubPr>
                  <m:e>
                    <m:r>
                      <m:rPr>
                        <m:sty m:val="bi"/>
                      </m:rPr>
                      <w:rPr>
                        <w:rFonts w:ascii="Cambria Math" w:hAnsi="Cambria Math"/>
                      </w:rPr>
                      <m:t>c</m:t>
                    </m:r>
                  </m:e>
                  <m:sub>
                    <m:r>
                      <m:rPr>
                        <m:sty m:val="b"/>
                      </m:rPr>
                      <w:rPr>
                        <w:rFonts w:ascii="Cambria Math" w:hAnsi="Cambria Math"/>
                      </w:rPr>
                      <m:t>x</m:t>
                    </m:r>
                  </m:sub>
                </m:sSub>
              </m:oMath>
            </m:oMathPara>
          </w:p>
        </w:tc>
        <w:tc>
          <w:tcPr>
            <w:tcW w:w="880" w:type="dxa"/>
          </w:tcPr>
          <w:p w14:paraId="1E970D51" w14:textId="4FE6AF97" w:rsidR="004E22C1" w:rsidRPr="001455DC" w:rsidRDefault="00231E33" w:rsidP="00CF7E2A">
            <w:pPr>
              <w:pStyle w:val="Tableheader"/>
              <w:keepNext/>
            </w:pPr>
            <m:oMathPara>
              <m:oMath>
                <m:sSub>
                  <m:sSubPr>
                    <m:ctrlPr>
                      <w:rPr>
                        <w:rFonts w:ascii="Cambria Math" w:hAnsi="Cambria Math"/>
                        <w:bCs/>
                      </w:rPr>
                    </m:ctrlPr>
                  </m:sSubPr>
                  <m:e>
                    <m:r>
                      <m:rPr>
                        <m:sty m:val="bi"/>
                      </m:rPr>
                      <w:rPr>
                        <w:rFonts w:ascii="Cambria Math" w:hAnsi="Cambria Math"/>
                      </w:rPr>
                      <m:t>c</m:t>
                    </m:r>
                  </m:e>
                  <m:sub>
                    <m:r>
                      <m:rPr>
                        <m:sty m:val="b"/>
                      </m:rPr>
                      <w:rPr>
                        <w:rFonts w:ascii="Cambria Math" w:hAnsi="Cambria Math"/>
                      </w:rPr>
                      <m:t>y</m:t>
                    </m:r>
                  </m:sub>
                </m:sSub>
              </m:oMath>
            </m:oMathPara>
          </w:p>
        </w:tc>
        <w:tc>
          <w:tcPr>
            <w:tcW w:w="3397" w:type="dxa"/>
          </w:tcPr>
          <w:p w14:paraId="23E6A662" w14:textId="4DB6253D" w:rsidR="004E22C1" w:rsidRPr="001455DC" w:rsidRDefault="00231E33">
            <w:pPr>
              <w:pStyle w:val="Tableheader"/>
              <w:keepNext/>
            </w:pPr>
            <m:oMathPara>
              <m:oMath>
                <m:sSub>
                  <m:sSubPr>
                    <m:ctrlPr>
                      <w:rPr>
                        <w:rFonts w:ascii="Cambria Math" w:hAnsi="Cambria Math"/>
                        <w:bCs/>
                      </w:rPr>
                    </m:ctrlPr>
                  </m:sSubPr>
                  <m:e>
                    <m:r>
                      <m:rPr>
                        <m:sty m:val="bi"/>
                      </m:rPr>
                      <w:rPr>
                        <w:rFonts w:ascii="Cambria Math" w:hAnsi="Cambria Math"/>
                      </w:rPr>
                      <m:t>k</m:t>
                    </m:r>
                  </m:e>
                  <m:sub>
                    <m:r>
                      <m:rPr>
                        <m:sty m:val="b"/>
                      </m:rPr>
                      <w:rPr>
                        <w:rFonts w:ascii="Cambria Math" w:hAnsi="Cambria Math"/>
                      </w:rPr>
                      <m:t>lbs,c</m:t>
                    </m:r>
                  </m:sub>
                </m:sSub>
              </m:oMath>
            </m:oMathPara>
          </w:p>
        </w:tc>
      </w:tr>
      <w:tr w:rsidR="004E22C1" w:rsidRPr="001455DC" w14:paraId="1BEEC841" w14:textId="77777777" w:rsidTr="009D3012">
        <w:trPr>
          <w:cantSplit/>
        </w:trPr>
        <w:tc>
          <w:tcPr>
            <w:tcW w:w="744" w:type="dxa"/>
            <w:vAlign w:val="center"/>
          </w:tcPr>
          <w:p w14:paraId="58F62B71" w14:textId="77777777" w:rsidR="004E22C1" w:rsidRPr="001455DC" w:rsidRDefault="004E22C1" w:rsidP="00CF7E2A">
            <w:pPr>
              <w:pStyle w:val="Tablebody"/>
              <w:keepNext/>
              <w:jc w:val="center"/>
            </w:pPr>
            <w:r w:rsidRPr="001455DC">
              <w:t>1</w:t>
            </w:r>
          </w:p>
        </w:tc>
        <w:tc>
          <w:tcPr>
            <w:tcW w:w="1724" w:type="dxa"/>
            <w:vAlign w:val="center"/>
          </w:tcPr>
          <w:p w14:paraId="76ED7FF0" w14:textId="77777777" w:rsidR="004E22C1" w:rsidRPr="001455DC" w:rsidRDefault="004E22C1" w:rsidP="00CF7E2A">
            <w:pPr>
              <w:pStyle w:val="Tablebody"/>
              <w:keepNext/>
              <w:jc w:val="center"/>
            </w:pPr>
            <w:r w:rsidRPr="001455DC">
              <w:t>edge</w:t>
            </w:r>
          </w:p>
        </w:tc>
        <w:tc>
          <w:tcPr>
            <w:tcW w:w="880" w:type="dxa"/>
            <w:vAlign w:val="center"/>
          </w:tcPr>
          <w:p w14:paraId="10521DFD" w14:textId="669E8E11" w:rsidR="004E22C1" w:rsidRPr="001455DC" w:rsidRDefault="00650035" w:rsidP="00CF7E2A">
            <w:pPr>
              <w:pStyle w:val="Tablebody"/>
              <w:keepNext/>
              <w:jc w:val="center"/>
            </w:pPr>
            <w:r w:rsidRPr="001455DC">
              <w:rPr>
                <w:rFonts w:ascii="Cambria Math" w:hAnsi="Cambria Math"/>
              </w:rPr>
              <w:t>≥</w:t>
            </w:r>
            <w:r w:rsidR="00073FC6" w:rsidRPr="001455DC">
              <w:t> </w:t>
            </w:r>
            <w:r w:rsidR="00CF7E2A" w:rsidRPr="001455DC">
              <w:rPr>
                <w:rStyle w:val="CCMCvariableitalic"/>
              </w:rPr>
              <w:t>ϕ</w:t>
            </w:r>
          </w:p>
        </w:tc>
        <w:tc>
          <w:tcPr>
            <w:tcW w:w="880" w:type="dxa"/>
            <w:vAlign w:val="center"/>
          </w:tcPr>
          <w:p w14:paraId="395539DE" w14:textId="4EF43668" w:rsidR="004E22C1" w:rsidRPr="001455DC" w:rsidRDefault="00650035" w:rsidP="00CF7E2A">
            <w:pPr>
              <w:pStyle w:val="Tablebody"/>
              <w:keepNext/>
              <w:jc w:val="center"/>
            </w:pPr>
            <w:r w:rsidRPr="001455DC">
              <w:rPr>
                <w:rFonts w:ascii="Cambria Math" w:hAnsi="Cambria Math"/>
              </w:rPr>
              <w:t>≥</w:t>
            </w:r>
            <w:r w:rsidR="00CF7E2A" w:rsidRPr="001455DC">
              <w:t> </w:t>
            </w:r>
            <w:r w:rsidR="00CF7E2A" w:rsidRPr="001455DC">
              <w:rPr>
                <w:rStyle w:val="CCMCvariableitalic"/>
              </w:rPr>
              <w:t>ϕ</w:t>
            </w:r>
          </w:p>
        </w:tc>
        <w:tc>
          <w:tcPr>
            <w:tcW w:w="880" w:type="dxa"/>
            <w:vAlign w:val="center"/>
          </w:tcPr>
          <w:p w14:paraId="1599D404" w14:textId="10D723AE" w:rsidR="004E22C1" w:rsidRPr="001455DC" w:rsidRDefault="00650035" w:rsidP="00CF7E2A">
            <w:pPr>
              <w:pStyle w:val="Tablebody"/>
              <w:keepNext/>
              <w:jc w:val="center"/>
            </w:pPr>
            <w:r w:rsidRPr="001455DC">
              <w:rPr>
                <w:rFonts w:ascii="Cambria Math" w:hAnsi="Cambria Math"/>
              </w:rPr>
              <w:t>&lt;</w:t>
            </w:r>
            <w:r w:rsidR="00CF7E2A" w:rsidRPr="001455DC">
              <w:t> </w:t>
            </w:r>
            <w:r w:rsidR="00CF7E2A" w:rsidRPr="001455DC">
              <w:rPr>
                <w:rStyle w:val="CCMCvariableitalic"/>
              </w:rPr>
              <w:t>ϕ</w:t>
            </w:r>
          </w:p>
        </w:tc>
        <w:tc>
          <w:tcPr>
            <w:tcW w:w="3397" w:type="dxa"/>
            <w:vMerge w:val="restart"/>
            <w:vAlign w:val="center"/>
          </w:tcPr>
          <w:p w14:paraId="4967532D" w14:textId="09E16E87" w:rsidR="004E22C1" w:rsidRPr="001455DC" w:rsidRDefault="00231E33">
            <w:pPr>
              <w:pStyle w:val="Tablebody"/>
              <w:keepNext/>
              <w:jc w:val="center"/>
            </w:pPr>
            <m:oMathPara>
              <m:oMathParaPr>
                <m:jc m:val="center"/>
              </m:oMathParaPr>
              <m:oMath>
                <m:f>
                  <m:fPr>
                    <m:ctrlPr>
                      <w:rPr>
                        <w:rFonts w:ascii="Cambria Math" w:hAnsi="Cambria Math"/>
                      </w:rPr>
                    </m:ctrlPr>
                  </m:fPr>
                  <m:num>
                    <m:r>
                      <w:rPr>
                        <w:rFonts w:ascii="Cambria Math" w:hAnsi="Cambria Math"/>
                      </w:rPr>
                      <m:t>1</m:t>
                    </m:r>
                  </m:num>
                  <m:den>
                    <m:d>
                      <m:dPr>
                        <m:ctrlPr>
                          <w:rPr>
                            <w:rFonts w:ascii="Cambria Math" w:hAnsi="Cambria Math"/>
                          </w:rPr>
                        </m:ctrlPr>
                      </m:dPr>
                      <m:e>
                        <m:r>
                          <w:rPr>
                            <w:rFonts w:ascii="Cambria Math" w:hAnsi="Cambria Math"/>
                          </w:rPr>
                          <m:t>0,5+0,5</m:t>
                        </m:r>
                        <m:f>
                          <m:fPr>
                            <m:ctrlPr>
                              <w:rPr>
                                <w:rFonts w:ascii="Cambria Math" w:hAnsi="Cambria Math"/>
                              </w:rPr>
                            </m:ctrlPr>
                          </m:fPr>
                          <m:num>
                            <m:sSub>
                              <m:sSubPr>
                                <m:ctrlPr>
                                  <w:rPr>
                                    <w:rFonts w:ascii="Cambria Math" w:hAnsi="Cambria Math"/>
                                  </w:rPr>
                                </m:ctrlPr>
                              </m:sSubPr>
                              <m:e>
                                <m:r>
                                  <w:rPr>
                                    <w:rFonts w:ascii="Cambria Math" w:hAnsi="Cambria Math"/>
                                  </w:rPr>
                                  <m:t>c</m:t>
                                </m:r>
                              </m:e>
                              <m:sub>
                                <m:r>
                                  <m:rPr>
                                    <m:sty m:val="p"/>
                                  </m:rPr>
                                  <w:rPr>
                                    <w:rFonts w:ascii="Cambria Math" w:hAnsi="Cambria Math"/>
                                  </w:rPr>
                                  <m:t>y</m:t>
                                </m:r>
                              </m:sub>
                            </m:sSub>
                          </m:num>
                          <m:den>
                            <m:r>
                              <w:rPr>
                                <w:rFonts w:ascii="Cambria Math" w:hAnsi="Cambria Math"/>
                              </w:rPr>
                              <m:t>ϕ</m:t>
                            </m:r>
                          </m:den>
                        </m:f>
                      </m:e>
                    </m:d>
                  </m:den>
                </m:f>
              </m:oMath>
            </m:oMathPara>
          </w:p>
        </w:tc>
      </w:tr>
      <w:tr w:rsidR="004E22C1" w:rsidRPr="001455DC" w14:paraId="13EE680B" w14:textId="77777777" w:rsidTr="009D3012">
        <w:trPr>
          <w:cantSplit/>
        </w:trPr>
        <w:tc>
          <w:tcPr>
            <w:tcW w:w="744" w:type="dxa"/>
            <w:vAlign w:val="center"/>
          </w:tcPr>
          <w:p w14:paraId="32853676" w14:textId="2E88FB32" w:rsidR="004E22C1" w:rsidRPr="001455DC" w:rsidRDefault="004E22C1" w:rsidP="00CF7E2A">
            <w:pPr>
              <w:pStyle w:val="Tablebody"/>
              <w:keepNext/>
              <w:jc w:val="center"/>
            </w:pPr>
            <w:r w:rsidRPr="001455DC">
              <w:t>2</w:t>
            </w:r>
            <w:r w:rsidR="00CF7E2A" w:rsidRPr="001455DC">
              <w:rPr>
                <w:rStyle w:val="CCMCvariablesuperscript"/>
              </w:rPr>
              <w:t>b</w:t>
            </w:r>
          </w:p>
        </w:tc>
        <w:tc>
          <w:tcPr>
            <w:tcW w:w="1724" w:type="dxa"/>
            <w:vAlign w:val="center"/>
          </w:tcPr>
          <w:p w14:paraId="3B872655" w14:textId="77777777" w:rsidR="004E22C1" w:rsidRPr="001455DC" w:rsidRDefault="004E22C1" w:rsidP="00CF7E2A">
            <w:pPr>
              <w:pStyle w:val="Tablebody"/>
              <w:keepNext/>
              <w:jc w:val="center"/>
            </w:pPr>
            <w:r w:rsidRPr="001455DC">
              <w:t>edge</w:t>
            </w:r>
          </w:p>
        </w:tc>
        <w:tc>
          <w:tcPr>
            <w:tcW w:w="880" w:type="dxa"/>
            <w:vAlign w:val="center"/>
          </w:tcPr>
          <w:p w14:paraId="4AD66012" w14:textId="6753B8B9" w:rsidR="004E22C1" w:rsidRPr="001455DC" w:rsidRDefault="00650035" w:rsidP="00CF7E2A">
            <w:pPr>
              <w:pStyle w:val="Tablebody"/>
              <w:keepNext/>
              <w:jc w:val="center"/>
            </w:pPr>
            <w:r w:rsidRPr="001455DC">
              <w:rPr>
                <w:rFonts w:ascii="Cambria Math" w:hAnsi="Cambria Math"/>
              </w:rPr>
              <w:t>&lt;</w:t>
            </w:r>
            <w:r w:rsidR="00CF7E2A" w:rsidRPr="001455DC">
              <w:t> </w:t>
            </w:r>
            <w:r w:rsidR="00CF7E2A" w:rsidRPr="001455DC">
              <w:rPr>
                <w:rStyle w:val="CCMCvariableitalic"/>
              </w:rPr>
              <w:t>ϕ</w:t>
            </w:r>
          </w:p>
        </w:tc>
        <w:tc>
          <w:tcPr>
            <w:tcW w:w="880" w:type="dxa"/>
            <w:vAlign w:val="center"/>
          </w:tcPr>
          <w:p w14:paraId="1D308089" w14:textId="3F7B6AD9" w:rsidR="004E22C1" w:rsidRPr="001455DC" w:rsidRDefault="00650035" w:rsidP="00CF7E2A">
            <w:pPr>
              <w:pStyle w:val="Tablebody"/>
              <w:keepNext/>
              <w:jc w:val="center"/>
            </w:pPr>
            <w:r w:rsidRPr="001455DC">
              <w:rPr>
                <w:rFonts w:ascii="Cambria Math" w:hAnsi="Cambria Math"/>
              </w:rPr>
              <w:t>≥</w:t>
            </w:r>
            <w:r w:rsidR="00CF7E2A" w:rsidRPr="001455DC">
              <w:t> </w:t>
            </w:r>
            <w:r w:rsidR="00CF7E2A" w:rsidRPr="001455DC">
              <w:rPr>
                <w:rStyle w:val="CCMCvariableitalic"/>
              </w:rPr>
              <w:t>ϕ</w:t>
            </w:r>
          </w:p>
        </w:tc>
        <w:tc>
          <w:tcPr>
            <w:tcW w:w="880" w:type="dxa"/>
            <w:vAlign w:val="center"/>
          </w:tcPr>
          <w:p w14:paraId="68BFD41F" w14:textId="3B0B452A" w:rsidR="004E22C1" w:rsidRPr="001455DC" w:rsidRDefault="00650035" w:rsidP="00CF7E2A">
            <w:pPr>
              <w:pStyle w:val="Tablebody"/>
              <w:keepNext/>
              <w:jc w:val="center"/>
            </w:pPr>
            <w:r w:rsidRPr="001455DC">
              <w:rPr>
                <w:rFonts w:ascii="Cambria Math" w:hAnsi="Cambria Math"/>
              </w:rPr>
              <w:t>&lt;</w:t>
            </w:r>
            <w:r w:rsidR="00CF7E2A" w:rsidRPr="001455DC">
              <w:t> </w:t>
            </w:r>
            <w:r w:rsidR="00CF7E2A" w:rsidRPr="001455DC">
              <w:rPr>
                <w:rStyle w:val="CCMCvariableitalic"/>
              </w:rPr>
              <w:t>ϕ</w:t>
            </w:r>
          </w:p>
        </w:tc>
        <w:tc>
          <w:tcPr>
            <w:tcW w:w="3397" w:type="dxa"/>
            <w:vMerge/>
            <w:vAlign w:val="center"/>
          </w:tcPr>
          <w:p w14:paraId="223986A0" w14:textId="77777777" w:rsidR="004E22C1" w:rsidRPr="001455DC" w:rsidRDefault="004E22C1">
            <w:pPr>
              <w:pStyle w:val="Tablebody"/>
              <w:keepNext/>
              <w:jc w:val="center"/>
            </w:pPr>
          </w:p>
        </w:tc>
      </w:tr>
      <w:tr w:rsidR="004E22C1" w:rsidRPr="001455DC" w14:paraId="2DEC5846" w14:textId="77777777" w:rsidTr="009D3012">
        <w:trPr>
          <w:cantSplit/>
        </w:trPr>
        <w:tc>
          <w:tcPr>
            <w:tcW w:w="744" w:type="dxa"/>
            <w:vAlign w:val="center"/>
          </w:tcPr>
          <w:p w14:paraId="3C1A1F26" w14:textId="77777777" w:rsidR="004E22C1" w:rsidRPr="001455DC" w:rsidRDefault="004E22C1" w:rsidP="00CF7E2A">
            <w:pPr>
              <w:pStyle w:val="Tablebody"/>
              <w:keepNext/>
              <w:jc w:val="center"/>
            </w:pPr>
            <w:r w:rsidRPr="001455DC">
              <w:t>3</w:t>
            </w:r>
          </w:p>
        </w:tc>
        <w:tc>
          <w:tcPr>
            <w:tcW w:w="1724" w:type="dxa"/>
            <w:vAlign w:val="center"/>
          </w:tcPr>
          <w:p w14:paraId="5129D4A3" w14:textId="77777777" w:rsidR="004E22C1" w:rsidRPr="001455DC" w:rsidRDefault="004E22C1" w:rsidP="00CF7E2A">
            <w:pPr>
              <w:pStyle w:val="Tablebody"/>
              <w:keepNext/>
              <w:jc w:val="center"/>
            </w:pPr>
            <w:r w:rsidRPr="001455DC">
              <w:t>interior</w:t>
            </w:r>
          </w:p>
        </w:tc>
        <w:tc>
          <w:tcPr>
            <w:tcW w:w="880" w:type="dxa"/>
            <w:vAlign w:val="center"/>
          </w:tcPr>
          <w:p w14:paraId="4CCF5744" w14:textId="4378A43D" w:rsidR="004E22C1" w:rsidRPr="001455DC" w:rsidRDefault="00650035" w:rsidP="00CF7E2A">
            <w:pPr>
              <w:pStyle w:val="Tablebody"/>
              <w:keepNext/>
              <w:jc w:val="center"/>
            </w:pPr>
            <w:r w:rsidRPr="001455DC">
              <w:rPr>
                <w:rFonts w:ascii="Cambria Math" w:hAnsi="Cambria Math"/>
              </w:rPr>
              <w:t>≥</w:t>
            </w:r>
            <w:r w:rsidR="00CF7E2A" w:rsidRPr="001455DC">
              <w:t> </w:t>
            </w:r>
            <w:r w:rsidR="00CF7E2A" w:rsidRPr="001455DC">
              <w:rPr>
                <w:rStyle w:val="CCMCvariableitalic"/>
              </w:rPr>
              <w:t>ϕ</w:t>
            </w:r>
          </w:p>
        </w:tc>
        <w:tc>
          <w:tcPr>
            <w:tcW w:w="880" w:type="dxa"/>
            <w:vAlign w:val="center"/>
          </w:tcPr>
          <w:p w14:paraId="4953B4AD" w14:textId="66968072" w:rsidR="004E22C1" w:rsidRPr="001455DC" w:rsidRDefault="00CF7E2A" w:rsidP="00CF7E2A">
            <w:pPr>
              <w:pStyle w:val="Tablebody"/>
              <w:keepNext/>
              <w:jc w:val="center"/>
            </w:pPr>
            <w:r w:rsidRPr="001455DC">
              <w:t>–</w:t>
            </w:r>
          </w:p>
        </w:tc>
        <w:tc>
          <w:tcPr>
            <w:tcW w:w="880" w:type="dxa"/>
            <w:vAlign w:val="center"/>
          </w:tcPr>
          <w:p w14:paraId="2B473D0C" w14:textId="6EE60A6D" w:rsidR="004E22C1" w:rsidRPr="001455DC" w:rsidRDefault="00650035" w:rsidP="00CF7E2A">
            <w:pPr>
              <w:pStyle w:val="Tablebody"/>
              <w:keepNext/>
              <w:jc w:val="center"/>
            </w:pPr>
            <w:r w:rsidRPr="001455DC">
              <w:rPr>
                <w:rFonts w:ascii="Cambria Math" w:hAnsi="Cambria Math"/>
              </w:rPr>
              <w:t>&lt;</w:t>
            </w:r>
            <w:r w:rsidR="00CF7E2A" w:rsidRPr="001455DC">
              <w:t> </w:t>
            </w:r>
            <w:r w:rsidR="00CF7E2A" w:rsidRPr="001455DC">
              <w:rPr>
                <w:rStyle w:val="CCMCvariableitalic"/>
              </w:rPr>
              <w:t>ϕ</w:t>
            </w:r>
          </w:p>
        </w:tc>
        <w:tc>
          <w:tcPr>
            <w:tcW w:w="3397" w:type="dxa"/>
            <w:vMerge/>
            <w:vAlign w:val="center"/>
          </w:tcPr>
          <w:p w14:paraId="66FDB3EC" w14:textId="77777777" w:rsidR="004E22C1" w:rsidRPr="001455DC" w:rsidRDefault="004E22C1">
            <w:pPr>
              <w:pStyle w:val="Tablebody"/>
              <w:keepNext/>
              <w:jc w:val="center"/>
            </w:pPr>
          </w:p>
        </w:tc>
      </w:tr>
      <w:tr w:rsidR="004E22C1" w:rsidRPr="001455DC" w14:paraId="6C243CF5" w14:textId="77777777" w:rsidTr="009D3012">
        <w:trPr>
          <w:cantSplit/>
        </w:trPr>
        <w:tc>
          <w:tcPr>
            <w:tcW w:w="744" w:type="dxa"/>
            <w:vAlign w:val="center"/>
          </w:tcPr>
          <w:p w14:paraId="5F0352B7" w14:textId="030D8E47" w:rsidR="004E22C1" w:rsidRPr="001455DC" w:rsidRDefault="0065676D">
            <w:pPr>
              <w:pStyle w:val="Tablebody"/>
              <w:keepNext/>
              <w:jc w:val="center"/>
            </w:pPr>
            <w:r w:rsidRPr="001455DC">
              <w:t>4</w:t>
            </w:r>
            <w:r w:rsidRPr="001455DC">
              <w:rPr>
                <w:rStyle w:val="CCMCvariablesuperscript"/>
              </w:rPr>
              <w:t>b</w:t>
            </w:r>
          </w:p>
        </w:tc>
        <w:tc>
          <w:tcPr>
            <w:tcW w:w="1724" w:type="dxa"/>
            <w:vAlign w:val="center"/>
          </w:tcPr>
          <w:p w14:paraId="1D8915CB" w14:textId="77777777" w:rsidR="004E22C1" w:rsidRPr="001455DC" w:rsidRDefault="004E22C1" w:rsidP="00CF7E2A">
            <w:pPr>
              <w:pStyle w:val="Tablebody"/>
              <w:keepNext/>
              <w:jc w:val="center"/>
            </w:pPr>
            <w:r w:rsidRPr="001455DC">
              <w:t>interior</w:t>
            </w:r>
          </w:p>
        </w:tc>
        <w:tc>
          <w:tcPr>
            <w:tcW w:w="880" w:type="dxa"/>
            <w:vAlign w:val="center"/>
          </w:tcPr>
          <w:p w14:paraId="2F15C205" w14:textId="2D4EC6C6" w:rsidR="004E22C1" w:rsidRPr="001455DC" w:rsidRDefault="00650035" w:rsidP="00CF7E2A">
            <w:pPr>
              <w:pStyle w:val="Tablebody"/>
              <w:keepNext/>
              <w:jc w:val="center"/>
            </w:pPr>
            <w:r w:rsidRPr="001455DC">
              <w:rPr>
                <w:rFonts w:ascii="Cambria Math" w:hAnsi="Cambria Math"/>
              </w:rPr>
              <w:t>&lt;</w:t>
            </w:r>
            <w:r w:rsidR="00CF7E2A" w:rsidRPr="001455DC">
              <w:t> </w:t>
            </w:r>
            <w:r w:rsidR="00CF7E2A" w:rsidRPr="001455DC">
              <w:rPr>
                <w:rStyle w:val="CCMCvariableitalic"/>
              </w:rPr>
              <w:t>ϕ</w:t>
            </w:r>
          </w:p>
        </w:tc>
        <w:tc>
          <w:tcPr>
            <w:tcW w:w="880" w:type="dxa"/>
            <w:vAlign w:val="center"/>
          </w:tcPr>
          <w:p w14:paraId="70C11946" w14:textId="13EEEAAE" w:rsidR="004E22C1" w:rsidRPr="001455DC" w:rsidRDefault="00CF7E2A" w:rsidP="00CF7E2A">
            <w:pPr>
              <w:pStyle w:val="Tablebody"/>
              <w:keepNext/>
              <w:jc w:val="center"/>
            </w:pPr>
            <w:r w:rsidRPr="001455DC">
              <w:t>–</w:t>
            </w:r>
          </w:p>
        </w:tc>
        <w:tc>
          <w:tcPr>
            <w:tcW w:w="880" w:type="dxa"/>
            <w:vAlign w:val="center"/>
          </w:tcPr>
          <w:p w14:paraId="3AF37C01" w14:textId="3B45E210" w:rsidR="004E22C1" w:rsidRPr="001455DC" w:rsidRDefault="00650035" w:rsidP="00CF7E2A">
            <w:pPr>
              <w:pStyle w:val="Tablebody"/>
              <w:keepNext/>
              <w:jc w:val="center"/>
            </w:pPr>
            <w:r w:rsidRPr="001455DC">
              <w:rPr>
                <w:rFonts w:ascii="Cambria Math" w:hAnsi="Cambria Math"/>
              </w:rPr>
              <w:t>&lt;</w:t>
            </w:r>
            <w:r w:rsidR="00CF7E2A" w:rsidRPr="001455DC">
              <w:t> </w:t>
            </w:r>
            <w:r w:rsidR="00CF7E2A" w:rsidRPr="001455DC">
              <w:rPr>
                <w:rStyle w:val="CCMCvariableitalic"/>
              </w:rPr>
              <w:t>ϕ</w:t>
            </w:r>
          </w:p>
        </w:tc>
        <w:tc>
          <w:tcPr>
            <w:tcW w:w="3397" w:type="dxa"/>
            <w:vMerge/>
            <w:vAlign w:val="center"/>
          </w:tcPr>
          <w:p w14:paraId="29E909A8" w14:textId="77777777" w:rsidR="004E22C1" w:rsidRPr="001455DC" w:rsidRDefault="004E22C1">
            <w:pPr>
              <w:pStyle w:val="Tablebody"/>
              <w:keepNext/>
              <w:jc w:val="center"/>
            </w:pPr>
          </w:p>
        </w:tc>
      </w:tr>
      <w:tr w:rsidR="004E22C1" w:rsidRPr="001455DC" w14:paraId="020B0EE9" w14:textId="77777777" w:rsidTr="009D3012">
        <w:trPr>
          <w:cantSplit/>
        </w:trPr>
        <w:tc>
          <w:tcPr>
            <w:tcW w:w="744" w:type="dxa"/>
            <w:vAlign w:val="center"/>
          </w:tcPr>
          <w:p w14:paraId="4543756B" w14:textId="77777777" w:rsidR="004E22C1" w:rsidRPr="001455DC" w:rsidRDefault="004E22C1" w:rsidP="00CF7E2A">
            <w:pPr>
              <w:pStyle w:val="Tablebody"/>
              <w:keepNext/>
              <w:jc w:val="center"/>
            </w:pPr>
            <w:r w:rsidRPr="001455DC">
              <w:t>5</w:t>
            </w:r>
          </w:p>
        </w:tc>
        <w:tc>
          <w:tcPr>
            <w:tcW w:w="1724" w:type="dxa"/>
            <w:vAlign w:val="center"/>
          </w:tcPr>
          <w:p w14:paraId="47FC71CC" w14:textId="77777777" w:rsidR="004E22C1" w:rsidRPr="001455DC" w:rsidRDefault="004E22C1" w:rsidP="00CF7E2A">
            <w:pPr>
              <w:pStyle w:val="Tablebody"/>
              <w:keepNext/>
              <w:jc w:val="center"/>
            </w:pPr>
            <w:r w:rsidRPr="001455DC">
              <w:t>edge</w:t>
            </w:r>
          </w:p>
        </w:tc>
        <w:tc>
          <w:tcPr>
            <w:tcW w:w="880" w:type="dxa"/>
            <w:vAlign w:val="center"/>
          </w:tcPr>
          <w:p w14:paraId="3AA6767A" w14:textId="1F1A3E30" w:rsidR="004E22C1" w:rsidRPr="001455DC" w:rsidRDefault="00650035" w:rsidP="00CF7E2A">
            <w:pPr>
              <w:pStyle w:val="Tablebody"/>
              <w:keepNext/>
              <w:jc w:val="center"/>
            </w:pPr>
            <w:r w:rsidRPr="001455DC">
              <w:rPr>
                <w:rFonts w:ascii="Cambria Math" w:hAnsi="Cambria Math"/>
              </w:rPr>
              <w:t>≥</w:t>
            </w:r>
            <w:r w:rsidR="00CF7E2A" w:rsidRPr="001455DC">
              <w:t> </w:t>
            </w:r>
            <w:r w:rsidR="00CF7E2A" w:rsidRPr="001455DC">
              <w:rPr>
                <w:rStyle w:val="CCMCvariableitalic"/>
              </w:rPr>
              <w:t>ϕ</w:t>
            </w:r>
          </w:p>
        </w:tc>
        <w:tc>
          <w:tcPr>
            <w:tcW w:w="880" w:type="dxa"/>
            <w:vAlign w:val="center"/>
          </w:tcPr>
          <w:p w14:paraId="1F1BF838" w14:textId="71499E47" w:rsidR="004E22C1" w:rsidRPr="001455DC" w:rsidRDefault="00650035" w:rsidP="00CF7E2A">
            <w:pPr>
              <w:pStyle w:val="Tablebody"/>
              <w:keepNext/>
              <w:jc w:val="center"/>
            </w:pPr>
            <w:r w:rsidRPr="001455DC">
              <w:rPr>
                <w:rFonts w:ascii="Cambria Math" w:hAnsi="Cambria Math"/>
              </w:rPr>
              <w:t>&lt;</w:t>
            </w:r>
            <w:r w:rsidR="00CF7E2A" w:rsidRPr="001455DC">
              <w:t> </w:t>
            </w:r>
            <w:r w:rsidR="00CF7E2A" w:rsidRPr="001455DC">
              <w:rPr>
                <w:rStyle w:val="CCMCvariableitalic"/>
              </w:rPr>
              <w:t>ϕ</w:t>
            </w:r>
          </w:p>
        </w:tc>
        <w:tc>
          <w:tcPr>
            <w:tcW w:w="880" w:type="dxa"/>
            <w:vAlign w:val="center"/>
          </w:tcPr>
          <w:p w14:paraId="0F0E4447" w14:textId="757C83D4" w:rsidR="004E22C1" w:rsidRPr="001455DC" w:rsidRDefault="00650035" w:rsidP="00CF7E2A">
            <w:pPr>
              <w:pStyle w:val="Tablebody"/>
              <w:keepNext/>
              <w:jc w:val="center"/>
            </w:pPr>
            <w:r w:rsidRPr="001455DC">
              <w:rPr>
                <w:rFonts w:ascii="Cambria Math" w:hAnsi="Cambria Math"/>
              </w:rPr>
              <w:t>≥</w:t>
            </w:r>
            <w:r w:rsidR="00CF7E2A" w:rsidRPr="001455DC">
              <w:t> </w:t>
            </w:r>
            <w:r w:rsidR="00CF7E2A" w:rsidRPr="001455DC">
              <w:rPr>
                <w:rStyle w:val="CCMCvariableitalic"/>
              </w:rPr>
              <w:t>ϕ</w:t>
            </w:r>
          </w:p>
        </w:tc>
        <w:tc>
          <w:tcPr>
            <w:tcW w:w="3397" w:type="dxa"/>
            <w:vMerge w:val="restart"/>
            <w:vAlign w:val="center"/>
          </w:tcPr>
          <w:p w14:paraId="315E19A8" w14:textId="3E028D3A" w:rsidR="004E22C1" w:rsidRPr="001455DC" w:rsidRDefault="00231E33">
            <w:pPr>
              <w:pStyle w:val="Tablebody"/>
              <w:keepNext/>
              <w:jc w:val="center"/>
            </w:pPr>
            <m:oMathPara>
              <m:oMathParaPr>
                <m:jc m:val="center"/>
              </m:oMathParaPr>
              <m:oMath>
                <m:f>
                  <m:fPr>
                    <m:ctrlPr>
                      <w:rPr>
                        <w:rFonts w:ascii="Cambria Math" w:hAnsi="Cambria Math"/>
                      </w:rPr>
                    </m:ctrlPr>
                  </m:fPr>
                  <m:num>
                    <m:r>
                      <w:rPr>
                        <w:rFonts w:ascii="Cambria Math" w:hAnsi="Cambria Math"/>
                      </w:rPr>
                      <m:t>1</m:t>
                    </m:r>
                  </m:num>
                  <m:den>
                    <m:d>
                      <m:dPr>
                        <m:ctrlPr>
                          <w:rPr>
                            <w:rFonts w:ascii="Cambria Math" w:hAnsi="Cambria Math"/>
                          </w:rPr>
                        </m:ctrlPr>
                      </m:dPr>
                      <m:e>
                        <m:r>
                          <w:rPr>
                            <w:rFonts w:ascii="Cambria Math" w:hAnsi="Cambria Math"/>
                          </w:rPr>
                          <m:t>0,5+0,5</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x</m:t>
                                </m:r>
                              </m:sub>
                            </m:sSub>
                          </m:num>
                          <m:den>
                            <m:r>
                              <w:rPr>
                                <w:rFonts w:ascii="Cambria Math" w:hAnsi="Cambria Math"/>
                              </w:rPr>
                              <m:t>ϕ</m:t>
                            </m:r>
                          </m:den>
                        </m:f>
                      </m:e>
                    </m:d>
                  </m:den>
                </m:f>
              </m:oMath>
            </m:oMathPara>
          </w:p>
        </w:tc>
      </w:tr>
      <w:tr w:rsidR="004E22C1" w:rsidRPr="001455DC" w14:paraId="58DE89A7" w14:textId="77777777" w:rsidTr="009D3012">
        <w:trPr>
          <w:cantSplit/>
        </w:trPr>
        <w:tc>
          <w:tcPr>
            <w:tcW w:w="744" w:type="dxa"/>
            <w:vAlign w:val="center"/>
          </w:tcPr>
          <w:p w14:paraId="7D47C20E" w14:textId="615D7095" w:rsidR="004E22C1" w:rsidRPr="001455DC" w:rsidRDefault="004E22C1" w:rsidP="00CF7E2A">
            <w:pPr>
              <w:pStyle w:val="Tablebody"/>
              <w:keepNext/>
              <w:jc w:val="center"/>
            </w:pPr>
            <w:r w:rsidRPr="001455DC">
              <w:t>6</w:t>
            </w:r>
            <w:r w:rsidR="00CF7E2A" w:rsidRPr="001455DC">
              <w:rPr>
                <w:rStyle w:val="CCMCvariablesuperscript"/>
              </w:rPr>
              <w:t>b</w:t>
            </w:r>
          </w:p>
        </w:tc>
        <w:tc>
          <w:tcPr>
            <w:tcW w:w="1724" w:type="dxa"/>
            <w:vAlign w:val="center"/>
          </w:tcPr>
          <w:p w14:paraId="44EC82E2" w14:textId="77777777" w:rsidR="004E22C1" w:rsidRPr="001455DC" w:rsidRDefault="004E22C1" w:rsidP="00CF7E2A">
            <w:pPr>
              <w:pStyle w:val="Tablebody"/>
              <w:keepNext/>
              <w:jc w:val="center"/>
            </w:pPr>
            <w:r w:rsidRPr="001455DC">
              <w:t>edge</w:t>
            </w:r>
          </w:p>
        </w:tc>
        <w:tc>
          <w:tcPr>
            <w:tcW w:w="880" w:type="dxa"/>
            <w:vAlign w:val="center"/>
          </w:tcPr>
          <w:p w14:paraId="4065E2F5" w14:textId="23C78061" w:rsidR="004E22C1" w:rsidRPr="001455DC" w:rsidRDefault="00650035" w:rsidP="00CF7E2A">
            <w:pPr>
              <w:pStyle w:val="Tablebody"/>
              <w:keepNext/>
              <w:jc w:val="center"/>
            </w:pPr>
            <w:r w:rsidRPr="001455DC">
              <w:rPr>
                <w:rFonts w:ascii="Cambria Math" w:hAnsi="Cambria Math"/>
              </w:rPr>
              <w:t>&lt;</w:t>
            </w:r>
            <w:r w:rsidR="00CF7E2A" w:rsidRPr="001455DC">
              <w:t> </w:t>
            </w:r>
            <w:r w:rsidR="00CF7E2A" w:rsidRPr="001455DC">
              <w:rPr>
                <w:rStyle w:val="CCMCvariableitalic"/>
              </w:rPr>
              <w:t>ϕ</w:t>
            </w:r>
          </w:p>
        </w:tc>
        <w:tc>
          <w:tcPr>
            <w:tcW w:w="880" w:type="dxa"/>
            <w:vAlign w:val="center"/>
          </w:tcPr>
          <w:p w14:paraId="1FC09617" w14:textId="6390C230" w:rsidR="004E22C1" w:rsidRPr="001455DC" w:rsidRDefault="00650035" w:rsidP="00CF7E2A">
            <w:pPr>
              <w:pStyle w:val="Tablebody"/>
              <w:keepNext/>
              <w:jc w:val="center"/>
            </w:pPr>
            <w:r w:rsidRPr="001455DC">
              <w:rPr>
                <w:rFonts w:ascii="Cambria Math" w:hAnsi="Cambria Math"/>
              </w:rPr>
              <w:t>&lt;</w:t>
            </w:r>
            <w:r w:rsidR="00CF7E2A" w:rsidRPr="001455DC">
              <w:t> </w:t>
            </w:r>
            <w:r w:rsidR="00CF7E2A" w:rsidRPr="001455DC">
              <w:rPr>
                <w:rStyle w:val="CCMCvariableitalic"/>
              </w:rPr>
              <w:t>ϕ</w:t>
            </w:r>
          </w:p>
        </w:tc>
        <w:tc>
          <w:tcPr>
            <w:tcW w:w="880" w:type="dxa"/>
            <w:vAlign w:val="center"/>
          </w:tcPr>
          <w:p w14:paraId="3A4AB5F7" w14:textId="065BB5C0" w:rsidR="004E22C1" w:rsidRPr="001455DC" w:rsidRDefault="00650035" w:rsidP="00CF7E2A">
            <w:pPr>
              <w:pStyle w:val="Tablebody"/>
              <w:keepNext/>
              <w:jc w:val="center"/>
            </w:pPr>
            <w:r w:rsidRPr="001455DC">
              <w:rPr>
                <w:rFonts w:ascii="Cambria Math" w:hAnsi="Cambria Math"/>
              </w:rPr>
              <w:t>≥</w:t>
            </w:r>
            <w:r w:rsidR="00CF7E2A" w:rsidRPr="001455DC">
              <w:t> </w:t>
            </w:r>
            <w:r w:rsidR="00CF7E2A" w:rsidRPr="001455DC">
              <w:rPr>
                <w:rStyle w:val="CCMCvariableitalic"/>
              </w:rPr>
              <w:t>ϕ</w:t>
            </w:r>
          </w:p>
        </w:tc>
        <w:tc>
          <w:tcPr>
            <w:tcW w:w="3397" w:type="dxa"/>
            <w:vMerge/>
            <w:vAlign w:val="center"/>
          </w:tcPr>
          <w:p w14:paraId="5F3394C1" w14:textId="77777777" w:rsidR="004E22C1" w:rsidRPr="001455DC" w:rsidRDefault="004E22C1">
            <w:pPr>
              <w:pStyle w:val="Tablebody"/>
              <w:keepNext/>
              <w:jc w:val="center"/>
            </w:pPr>
          </w:p>
        </w:tc>
      </w:tr>
      <w:tr w:rsidR="004E22C1" w:rsidRPr="001455DC" w14:paraId="7F2C1297" w14:textId="77777777" w:rsidTr="009D3012">
        <w:trPr>
          <w:cantSplit/>
        </w:trPr>
        <w:tc>
          <w:tcPr>
            <w:tcW w:w="744" w:type="dxa"/>
            <w:vAlign w:val="center"/>
          </w:tcPr>
          <w:p w14:paraId="6C53A7D4" w14:textId="173B84AC" w:rsidR="004E22C1" w:rsidRPr="001455DC" w:rsidRDefault="004E22C1" w:rsidP="00CF7E2A">
            <w:pPr>
              <w:pStyle w:val="Tablebody"/>
              <w:keepNext/>
              <w:jc w:val="center"/>
            </w:pPr>
            <w:r w:rsidRPr="001455DC">
              <w:t>7</w:t>
            </w:r>
            <w:r w:rsidR="00CF7E2A" w:rsidRPr="001455DC">
              <w:rPr>
                <w:rStyle w:val="CCMCvariablesuperscript"/>
              </w:rPr>
              <w:t>a</w:t>
            </w:r>
          </w:p>
        </w:tc>
        <w:tc>
          <w:tcPr>
            <w:tcW w:w="1724" w:type="dxa"/>
            <w:vAlign w:val="center"/>
          </w:tcPr>
          <w:p w14:paraId="605A59E3" w14:textId="77777777" w:rsidR="004E22C1" w:rsidRPr="001455DC" w:rsidRDefault="004E22C1" w:rsidP="00CF7E2A">
            <w:pPr>
              <w:pStyle w:val="Tablebody"/>
              <w:keepNext/>
              <w:jc w:val="center"/>
            </w:pPr>
            <w:r w:rsidRPr="001455DC">
              <w:t>edge</w:t>
            </w:r>
          </w:p>
        </w:tc>
        <w:tc>
          <w:tcPr>
            <w:tcW w:w="880" w:type="dxa"/>
            <w:vAlign w:val="center"/>
          </w:tcPr>
          <w:p w14:paraId="05374CA2" w14:textId="619B93C3" w:rsidR="004E22C1" w:rsidRPr="001455DC" w:rsidRDefault="00650035" w:rsidP="00CF7E2A">
            <w:pPr>
              <w:pStyle w:val="Tablebody"/>
              <w:keepNext/>
              <w:jc w:val="center"/>
            </w:pPr>
            <w:r w:rsidRPr="001455DC">
              <w:rPr>
                <w:rFonts w:ascii="Cambria Math" w:hAnsi="Cambria Math"/>
              </w:rPr>
              <w:t>≥</w:t>
            </w:r>
            <w:r w:rsidR="00CF7E2A" w:rsidRPr="001455DC">
              <w:t> </w:t>
            </w:r>
            <w:r w:rsidR="00CF7E2A" w:rsidRPr="001455DC">
              <w:rPr>
                <w:rStyle w:val="CCMCvariableitalic"/>
              </w:rPr>
              <w:t>ϕ</w:t>
            </w:r>
          </w:p>
        </w:tc>
        <w:tc>
          <w:tcPr>
            <w:tcW w:w="880" w:type="dxa"/>
            <w:vAlign w:val="center"/>
          </w:tcPr>
          <w:p w14:paraId="35839D4C" w14:textId="3975B1D4" w:rsidR="004E22C1" w:rsidRPr="001455DC" w:rsidRDefault="00650035" w:rsidP="00CF7E2A">
            <w:pPr>
              <w:pStyle w:val="Tablebody"/>
              <w:keepNext/>
              <w:jc w:val="center"/>
            </w:pPr>
            <w:r w:rsidRPr="001455DC">
              <w:rPr>
                <w:rFonts w:ascii="Cambria Math" w:hAnsi="Cambria Math"/>
              </w:rPr>
              <w:t>&lt;</w:t>
            </w:r>
            <w:r w:rsidR="00CF7E2A" w:rsidRPr="001455DC">
              <w:t> </w:t>
            </w:r>
            <w:r w:rsidR="00CF7E2A" w:rsidRPr="001455DC">
              <w:rPr>
                <w:rStyle w:val="CCMCvariableitalic"/>
              </w:rPr>
              <w:t>ϕ</w:t>
            </w:r>
          </w:p>
        </w:tc>
        <w:tc>
          <w:tcPr>
            <w:tcW w:w="880" w:type="dxa"/>
            <w:vAlign w:val="center"/>
          </w:tcPr>
          <w:p w14:paraId="15363A2A" w14:textId="2B75D084" w:rsidR="004E22C1" w:rsidRPr="001455DC" w:rsidRDefault="00650035" w:rsidP="00CF7E2A">
            <w:pPr>
              <w:pStyle w:val="Tablebody"/>
              <w:keepNext/>
              <w:jc w:val="center"/>
            </w:pPr>
            <w:r w:rsidRPr="001455DC">
              <w:rPr>
                <w:rFonts w:ascii="Cambria Math" w:hAnsi="Cambria Math"/>
              </w:rPr>
              <w:t>&lt;</w:t>
            </w:r>
            <w:r w:rsidR="00CF7E2A" w:rsidRPr="001455DC">
              <w:t> </w:t>
            </w:r>
            <w:r w:rsidR="00CF7E2A" w:rsidRPr="001455DC">
              <w:rPr>
                <w:rStyle w:val="CCMCvariableitalic"/>
              </w:rPr>
              <w:t>ϕ</w:t>
            </w:r>
          </w:p>
        </w:tc>
        <w:tc>
          <w:tcPr>
            <w:tcW w:w="3397" w:type="dxa"/>
            <w:vAlign w:val="center"/>
          </w:tcPr>
          <w:p w14:paraId="5C6210A8" w14:textId="42220EFB" w:rsidR="004E22C1" w:rsidRPr="009D3012" w:rsidRDefault="00231E33">
            <w:pPr>
              <w:pStyle w:val="Tablebody"/>
              <w:keepNext/>
              <w:jc w:val="center"/>
              <w:rPr>
                <w:lang w:val="en-US"/>
              </w:rPr>
            </w:pPr>
            <m:oMathPara>
              <m:oMath>
                <m:f>
                  <m:fPr>
                    <m:ctrlPr>
                      <w:rPr>
                        <w:rFonts w:ascii="Cambria Math" w:hAnsi="Cambria Math"/>
                      </w:rPr>
                    </m:ctrlPr>
                  </m:fPr>
                  <m:num>
                    <m:r>
                      <w:rPr>
                        <w:rFonts w:ascii="Cambria Math" w:hAnsi="Cambria Math"/>
                        <w:lang w:val="en-US"/>
                      </w:rPr>
                      <m:t>1</m:t>
                    </m:r>
                  </m:num>
                  <m:den>
                    <m:f>
                      <m:fPr>
                        <m:ctrlPr>
                          <w:rPr>
                            <w:rFonts w:ascii="Cambria Math" w:hAnsi="Cambria Math"/>
                          </w:rPr>
                        </m:ctrlPr>
                      </m:fPr>
                      <m:num>
                        <m:sSub>
                          <m:sSubPr>
                            <m:ctrlPr>
                              <w:rPr>
                                <w:rFonts w:ascii="Cambria Math" w:hAnsi="Cambria Math"/>
                              </w:rPr>
                            </m:ctrlPr>
                          </m:sSubPr>
                          <m:e>
                            <m:r>
                              <w:rPr>
                                <w:rFonts w:ascii="Cambria Math" w:hAnsi="Cambria Math"/>
                              </w:rPr>
                              <m:t>c</m:t>
                            </m:r>
                          </m:e>
                          <m:sub>
                            <m:r>
                              <m:rPr>
                                <m:sty m:val="p"/>
                              </m:rPr>
                              <w:rPr>
                                <w:rFonts w:ascii="Cambria Math" w:hAnsi="Cambria Math"/>
                                <w:lang w:val="en-US"/>
                              </w:rPr>
                              <m:t>min,xy</m:t>
                            </m:r>
                          </m:sub>
                        </m:sSub>
                      </m:num>
                      <m:den>
                        <m:r>
                          <w:rPr>
                            <w:rFonts w:ascii="Cambria Math" w:hAnsi="Cambria Math"/>
                          </w:rPr>
                          <m:t>ϕ</m:t>
                        </m:r>
                      </m:den>
                    </m:f>
                  </m:den>
                </m:f>
                <m:r>
                  <m:rPr>
                    <m:nor/>
                  </m:rPr>
                  <w:rPr>
                    <w:rFonts w:ascii="Cambria Math" w:hAnsi="Cambria Math"/>
                    <w:lang w:val="en-US"/>
                  </w:rPr>
                  <m:t xml:space="preserve"> if </m:t>
                </m:r>
                <m:f>
                  <m:fPr>
                    <m:ctrlPr>
                      <w:rPr>
                        <w:rFonts w:ascii="Cambria Math" w:hAnsi="Cambria Math"/>
                      </w:rPr>
                    </m:ctrlPr>
                  </m:fPr>
                  <m:num>
                    <m:r>
                      <w:rPr>
                        <w:rFonts w:ascii="Cambria Math" w:hAnsi="Cambria Math"/>
                        <w:lang w:val="en-US"/>
                      </w:rPr>
                      <m:t>1</m:t>
                    </m:r>
                  </m:num>
                  <m:den>
                    <m:r>
                      <w:rPr>
                        <w:rFonts w:ascii="Cambria Math" w:hAnsi="Cambria Math"/>
                        <w:lang w:val="en-US"/>
                      </w:rPr>
                      <m:t>3</m:t>
                    </m:r>
                  </m:den>
                </m:f>
                <m:r>
                  <w:rPr>
                    <w:rFonts w:ascii="Cambria Math" w:hAnsi="Cambria Math"/>
                    <w:lang w:val="en-US"/>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m:rPr>
                            <m:sty m:val="p"/>
                          </m:rPr>
                          <w:rPr>
                            <w:rFonts w:ascii="Cambria Math" w:hAnsi="Cambria Math"/>
                            <w:lang w:val="en-US"/>
                          </w:rPr>
                          <m:t>min,xy</m:t>
                        </m:r>
                      </m:sub>
                    </m:sSub>
                  </m:num>
                  <m:den>
                    <m:r>
                      <w:rPr>
                        <w:rFonts w:ascii="Cambria Math" w:hAnsi="Cambria Math"/>
                      </w:rPr>
                      <m:t>ϕ</m:t>
                    </m:r>
                  </m:den>
                </m:f>
                <m:r>
                  <w:rPr>
                    <w:rFonts w:ascii="Cambria Math" w:hAnsi="Cambria Math"/>
                    <w:lang w:val="en-US"/>
                  </w:rPr>
                  <m:t>&lt;1</m:t>
                </m:r>
              </m:oMath>
            </m:oMathPara>
          </w:p>
          <w:p w14:paraId="3925EE19" w14:textId="7D706D3A" w:rsidR="004E22C1" w:rsidRPr="009D3012" w:rsidRDefault="00231E33">
            <w:pPr>
              <w:pStyle w:val="Tablebody"/>
              <w:keepNext/>
              <w:jc w:val="center"/>
              <w:rPr>
                <w:lang w:val="en-US"/>
              </w:rPr>
            </w:pPr>
            <m:oMathPara>
              <m:oMath>
                <m:f>
                  <m:fPr>
                    <m:ctrlPr>
                      <w:rPr>
                        <w:rFonts w:ascii="Cambria Math" w:hAnsi="Cambria Math"/>
                      </w:rPr>
                    </m:ctrlPr>
                  </m:fPr>
                  <m:num>
                    <m:r>
                      <w:rPr>
                        <w:rFonts w:ascii="Cambria Math" w:hAnsi="Cambria Math"/>
                        <w:lang w:val="en-US"/>
                      </w:rPr>
                      <m:t>1</m:t>
                    </m:r>
                  </m:num>
                  <m:den>
                    <m:d>
                      <m:dPr>
                        <m:ctrlPr>
                          <w:rPr>
                            <w:rFonts w:ascii="Cambria Math" w:hAnsi="Cambria Math"/>
                          </w:rPr>
                        </m:ctrlPr>
                      </m:dPr>
                      <m:e>
                        <m:r>
                          <w:rPr>
                            <w:rFonts w:ascii="Cambria Math" w:hAnsi="Cambria Math"/>
                            <w:lang w:val="en-US"/>
                          </w:rPr>
                          <m:t>0,1+0,7</m:t>
                        </m:r>
                        <m:f>
                          <m:fPr>
                            <m:ctrlPr>
                              <w:rPr>
                                <w:rFonts w:ascii="Cambria Math" w:hAnsi="Cambria Math"/>
                              </w:rPr>
                            </m:ctrlPr>
                          </m:fPr>
                          <m:num>
                            <m:sSub>
                              <m:sSubPr>
                                <m:ctrlPr>
                                  <w:rPr>
                                    <w:rFonts w:ascii="Cambria Math" w:hAnsi="Cambria Math"/>
                                  </w:rPr>
                                </m:ctrlPr>
                              </m:sSubPr>
                              <m:e>
                                <m:r>
                                  <w:rPr>
                                    <w:rFonts w:ascii="Cambria Math" w:hAnsi="Cambria Math"/>
                                  </w:rPr>
                                  <m:t>c</m:t>
                                </m:r>
                              </m:e>
                              <m:sub>
                                <m:r>
                                  <m:rPr>
                                    <m:sty m:val="p"/>
                                  </m:rPr>
                                  <w:rPr>
                                    <w:rFonts w:ascii="Cambria Math" w:hAnsi="Cambria Math"/>
                                    <w:lang w:val="en-US"/>
                                  </w:rPr>
                                  <m:t>min,xy</m:t>
                                </m:r>
                              </m:sub>
                            </m:sSub>
                          </m:num>
                          <m:den>
                            <m:r>
                              <w:rPr>
                                <w:rFonts w:ascii="Cambria Math" w:hAnsi="Cambria Math"/>
                              </w:rPr>
                              <m:t>ϕ</m:t>
                            </m:r>
                          </m:den>
                        </m:f>
                      </m:e>
                    </m:d>
                  </m:den>
                </m:f>
                <m:r>
                  <m:rPr>
                    <m:nor/>
                  </m:rPr>
                  <w:rPr>
                    <w:rFonts w:ascii="Cambria Math" w:hAnsi="Cambria Math"/>
                    <w:lang w:val="en-US"/>
                  </w:rPr>
                  <m:t xml:space="preserve"> if </m:t>
                </m:r>
                <m:f>
                  <m:fPr>
                    <m:ctrlPr>
                      <w:rPr>
                        <w:rFonts w:ascii="Cambria Math" w:hAnsi="Cambria Math"/>
                      </w:rPr>
                    </m:ctrlPr>
                  </m:fPr>
                  <m:num>
                    <m:sSub>
                      <m:sSubPr>
                        <m:ctrlPr>
                          <w:rPr>
                            <w:rFonts w:ascii="Cambria Math" w:hAnsi="Cambria Math"/>
                          </w:rPr>
                        </m:ctrlPr>
                      </m:sSubPr>
                      <m:e>
                        <m:r>
                          <w:rPr>
                            <w:rFonts w:ascii="Cambria Math" w:hAnsi="Cambria Math"/>
                          </w:rPr>
                          <m:t>c</m:t>
                        </m:r>
                      </m:e>
                      <m:sub>
                        <m:r>
                          <m:rPr>
                            <m:sty m:val="p"/>
                          </m:rPr>
                          <w:rPr>
                            <w:rFonts w:ascii="Cambria Math" w:hAnsi="Cambria Math"/>
                            <w:lang w:val="en-US"/>
                          </w:rPr>
                          <m:t>min,xy</m:t>
                        </m:r>
                      </m:sub>
                    </m:sSub>
                  </m:num>
                  <m:den>
                    <m:r>
                      <w:rPr>
                        <w:rFonts w:ascii="Cambria Math" w:hAnsi="Cambria Math"/>
                      </w:rPr>
                      <m:t>ϕ</m:t>
                    </m:r>
                  </m:den>
                </m:f>
                <m:r>
                  <w:rPr>
                    <w:rFonts w:ascii="Cambria Math" w:hAnsi="Cambria Math"/>
                    <w:lang w:val="en-US"/>
                  </w:rPr>
                  <m:t>&lt;</m:t>
                </m:r>
                <m:f>
                  <m:fPr>
                    <m:ctrlPr>
                      <w:rPr>
                        <w:rFonts w:ascii="Cambria Math" w:hAnsi="Cambria Math"/>
                      </w:rPr>
                    </m:ctrlPr>
                  </m:fPr>
                  <m:num>
                    <m:r>
                      <w:rPr>
                        <w:rFonts w:ascii="Cambria Math" w:hAnsi="Cambria Math"/>
                        <w:lang w:val="en-US"/>
                      </w:rPr>
                      <m:t>1</m:t>
                    </m:r>
                  </m:num>
                  <m:den>
                    <m:r>
                      <w:rPr>
                        <w:rFonts w:ascii="Cambria Math" w:hAnsi="Cambria Math"/>
                        <w:lang w:val="en-US"/>
                      </w:rPr>
                      <m:t>3</m:t>
                    </m:r>
                  </m:den>
                </m:f>
              </m:oMath>
            </m:oMathPara>
          </w:p>
        </w:tc>
      </w:tr>
      <w:tr w:rsidR="004E22C1" w:rsidRPr="001455DC" w14:paraId="498E96E7" w14:textId="77777777" w:rsidTr="009D3012">
        <w:trPr>
          <w:cantSplit/>
        </w:trPr>
        <w:tc>
          <w:tcPr>
            <w:tcW w:w="744" w:type="dxa"/>
            <w:vAlign w:val="center"/>
          </w:tcPr>
          <w:p w14:paraId="58D21F11" w14:textId="77777777" w:rsidR="004E22C1" w:rsidRPr="001455DC" w:rsidRDefault="004E22C1" w:rsidP="00CF7E2A">
            <w:pPr>
              <w:pStyle w:val="Tablebody"/>
              <w:keepNext/>
              <w:jc w:val="center"/>
            </w:pPr>
            <w:r w:rsidRPr="001455DC">
              <w:t>8</w:t>
            </w:r>
          </w:p>
        </w:tc>
        <w:tc>
          <w:tcPr>
            <w:tcW w:w="1724" w:type="dxa"/>
            <w:vAlign w:val="center"/>
          </w:tcPr>
          <w:p w14:paraId="0FFEC4E4" w14:textId="77777777" w:rsidR="004E22C1" w:rsidRPr="001455DC" w:rsidRDefault="004E22C1" w:rsidP="00CF7E2A">
            <w:pPr>
              <w:pStyle w:val="Tablebody"/>
              <w:keepNext/>
              <w:jc w:val="center"/>
            </w:pPr>
            <w:r w:rsidRPr="001455DC">
              <w:t>interior</w:t>
            </w:r>
          </w:p>
        </w:tc>
        <w:tc>
          <w:tcPr>
            <w:tcW w:w="880" w:type="dxa"/>
            <w:vAlign w:val="center"/>
          </w:tcPr>
          <w:p w14:paraId="3BD42004" w14:textId="13CEBA88" w:rsidR="004E22C1" w:rsidRPr="001455DC" w:rsidRDefault="00650035" w:rsidP="00CF7E2A">
            <w:pPr>
              <w:pStyle w:val="Tablebody"/>
              <w:keepNext/>
              <w:jc w:val="center"/>
            </w:pPr>
            <w:r w:rsidRPr="001455DC">
              <w:rPr>
                <w:rFonts w:ascii="Cambria Math" w:hAnsi="Cambria Math"/>
              </w:rPr>
              <w:t>&lt;</w:t>
            </w:r>
            <w:r w:rsidR="00CF7E2A" w:rsidRPr="001455DC">
              <w:t> </w:t>
            </w:r>
            <w:r w:rsidR="00CF7E2A" w:rsidRPr="001455DC">
              <w:rPr>
                <w:rStyle w:val="CCMCvariableitalic"/>
              </w:rPr>
              <w:t>ϕ</w:t>
            </w:r>
          </w:p>
        </w:tc>
        <w:tc>
          <w:tcPr>
            <w:tcW w:w="880" w:type="dxa"/>
            <w:vAlign w:val="center"/>
          </w:tcPr>
          <w:p w14:paraId="53DD1457" w14:textId="2E1A2690" w:rsidR="004E22C1" w:rsidRPr="001455DC" w:rsidRDefault="00CF7E2A" w:rsidP="00CF7E2A">
            <w:pPr>
              <w:pStyle w:val="Tablebody"/>
              <w:keepNext/>
              <w:jc w:val="center"/>
            </w:pPr>
            <w:r w:rsidRPr="001455DC">
              <w:t>–</w:t>
            </w:r>
          </w:p>
        </w:tc>
        <w:tc>
          <w:tcPr>
            <w:tcW w:w="880" w:type="dxa"/>
            <w:vAlign w:val="center"/>
          </w:tcPr>
          <w:p w14:paraId="6362341B" w14:textId="67359270" w:rsidR="004E22C1" w:rsidRPr="001455DC" w:rsidRDefault="00650035" w:rsidP="00CF7E2A">
            <w:pPr>
              <w:pStyle w:val="Tablebody"/>
              <w:keepNext/>
              <w:jc w:val="center"/>
            </w:pPr>
            <w:r w:rsidRPr="001455DC">
              <w:rPr>
                <w:rFonts w:ascii="Cambria Math" w:hAnsi="Cambria Math"/>
              </w:rPr>
              <w:t>≥</w:t>
            </w:r>
            <w:r w:rsidR="00CF7E2A" w:rsidRPr="001455DC">
              <w:t> </w:t>
            </w:r>
            <w:r w:rsidR="00CF7E2A" w:rsidRPr="001455DC">
              <w:rPr>
                <w:rStyle w:val="CCMCvariableitalic"/>
              </w:rPr>
              <w:t>ϕ</w:t>
            </w:r>
          </w:p>
        </w:tc>
        <w:tc>
          <w:tcPr>
            <w:tcW w:w="3397" w:type="dxa"/>
            <w:vAlign w:val="center"/>
          </w:tcPr>
          <w:p w14:paraId="4975DC3B" w14:textId="5AF1F887" w:rsidR="004E22C1" w:rsidRPr="001455DC" w:rsidRDefault="00231E33">
            <w:pPr>
              <w:pStyle w:val="Tablebody"/>
              <w:keepNext/>
              <w:jc w:val="center"/>
            </w:pPr>
            <m:oMathPara>
              <m:oMathParaPr>
                <m:jc m:val="center"/>
              </m:oMathParaPr>
              <m:oMath>
                <m:f>
                  <m:fPr>
                    <m:ctrlPr>
                      <w:rPr>
                        <w:rFonts w:ascii="Cambria Math" w:hAnsi="Cambria Math"/>
                      </w:rPr>
                    </m:ctrlPr>
                  </m:fPr>
                  <m:num>
                    <m:r>
                      <w:rPr>
                        <w:rFonts w:ascii="Cambria Math" w:hAnsi="Cambria Math"/>
                      </w:rPr>
                      <m:t>1</m:t>
                    </m:r>
                  </m:num>
                  <m:den>
                    <m:d>
                      <m:dPr>
                        <m:ctrlPr>
                          <w:rPr>
                            <w:rFonts w:ascii="Cambria Math" w:hAnsi="Cambria Math"/>
                          </w:rPr>
                        </m:ctrlPr>
                      </m:dPr>
                      <m:e>
                        <m:r>
                          <w:rPr>
                            <w:rFonts w:ascii="Cambria Math" w:hAnsi="Cambria Math"/>
                          </w:rPr>
                          <m:t>0,5+0,5</m:t>
                        </m:r>
                        <m:f>
                          <m:fPr>
                            <m:ctrlPr>
                              <w:rPr>
                                <w:rFonts w:ascii="Cambria Math" w:hAnsi="Cambria Math"/>
                              </w:rPr>
                            </m:ctrlPr>
                          </m:fPr>
                          <m:num>
                            <m:sSub>
                              <m:sSubPr>
                                <m:ctrlPr>
                                  <w:rPr>
                                    <w:rFonts w:ascii="Cambria Math" w:hAnsi="Cambria Math"/>
                                  </w:rPr>
                                </m:ctrlPr>
                              </m:sSubPr>
                              <m:e>
                                <m:r>
                                  <w:rPr>
                                    <w:rFonts w:ascii="Cambria Math" w:hAnsi="Cambria Math"/>
                                  </w:rPr>
                                  <m:t>c</m:t>
                                </m:r>
                              </m:e>
                              <m:sub>
                                <m:r>
                                  <m:rPr>
                                    <m:sty m:val="p"/>
                                  </m:rPr>
                                  <w:rPr>
                                    <w:rFonts w:ascii="Cambria Math" w:hAnsi="Cambria Math"/>
                                  </w:rPr>
                                  <m:t>s</m:t>
                                </m:r>
                              </m:sub>
                            </m:sSub>
                          </m:num>
                          <m:den>
                            <m:r>
                              <w:rPr>
                                <w:rFonts w:ascii="Cambria Math" w:hAnsi="Cambria Math"/>
                              </w:rPr>
                              <m:t>2ϕ</m:t>
                            </m:r>
                          </m:den>
                        </m:f>
                      </m:e>
                    </m:d>
                  </m:den>
                </m:f>
              </m:oMath>
            </m:oMathPara>
          </w:p>
        </w:tc>
      </w:tr>
      <w:tr w:rsidR="004E22C1" w:rsidRPr="001455DC" w14:paraId="01305CBD" w14:textId="77777777" w:rsidTr="00CF7E2A">
        <w:trPr>
          <w:cnfStyle w:val="010000000000" w:firstRow="0" w:lastRow="1" w:firstColumn="0" w:lastColumn="0" w:oddVBand="0" w:evenVBand="0" w:oddHBand="0" w:evenHBand="0" w:firstRowFirstColumn="0" w:firstRowLastColumn="0" w:lastRowFirstColumn="0" w:lastRowLastColumn="0"/>
          <w:cantSplit/>
        </w:trPr>
        <w:tc>
          <w:tcPr>
            <w:tcW w:w="8505" w:type="dxa"/>
            <w:gridSpan w:val="6"/>
          </w:tcPr>
          <w:p w14:paraId="7E400317" w14:textId="7ED14992" w:rsidR="004E22C1" w:rsidRPr="009D3012" w:rsidRDefault="00CF7E2A" w:rsidP="00CF7E2A">
            <w:pPr>
              <w:pStyle w:val="Tablefooter"/>
              <w:rPr>
                <w:lang w:val="en-US"/>
              </w:rPr>
            </w:pPr>
            <w:r w:rsidRPr="009D3012">
              <w:rPr>
                <w:rStyle w:val="CCMCvariablesuperscript"/>
                <w:lang w:val="en-US"/>
              </w:rPr>
              <w:t>a</w:t>
            </w:r>
            <w:r w:rsidRPr="009D3012">
              <w:rPr>
                <w:lang w:val="en-US"/>
              </w:rPr>
              <w:tab/>
            </w:r>
            <w:r w:rsidR="004E22C1" w:rsidRPr="009D3012">
              <w:rPr>
                <w:lang w:val="en-US"/>
              </w:rPr>
              <w:t xml:space="preserve">In case 7 </w:t>
            </w:r>
            <m:oMath>
              <m:sSub>
                <m:sSubPr>
                  <m:ctrlPr>
                    <w:rPr>
                      <w:rFonts w:ascii="Cambria Math" w:hAnsi="Cambria Math"/>
                    </w:rPr>
                  </m:ctrlPr>
                </m:sSubPr>
                <m:e>
                  <m:r>
                    <w:rPr>
                      <w:rFonts w:ascii="Cambria Math" w:hAnsi="Cambria Math"/>
                    </w:rPr>
                    <m:t>c</m:t>
                  </m:r>
                </m:e>
                <m:sub>
                  <m:r>
                    <m:rPr>
                      <m:sty m:val="p"/>
                    </m:rPr>
                    <w:rPr>
                      <w:rFonts w:ascii="Cambria Math" w:hAnsi="Cambria Math"/>
                      <w:lang w:val="en-US"/>
                    </w:rPr>
                    <m:t>min,xy</m:t>
                  </m:r>
                </m:sub>
              </m:sSub>
              <m:r>
                <w:rPr>
                  <w:rFonts w:ascii="Cambria Math" w:hAnsi="Cambria Math"/>
                  <w:lang w:val="en-US"/>
                </w:rPr>
                <m:t>=</m:t>
              </m:r>
              <m:r>
                <m:rPr>
                  <m:sty m:val="p"/>
                </m:rPr>
                <w:rPr>
                  <w:rFonts w:ascii="Cambria Math" w:hAnsi="Cambria Math"/>
                  <w:lang w:val="en-US"/>
                </w:rPr>
                <m:t>min</m:t>
              </m:r>
              <m:d>
                <m:dPr>
                  <m:ctrlPr>
                    <w:rPr>
                      <w:rFonts w:ascii="Cambria Math" w:hAnsi="Cambria Math"/>
                    </w:rPr>
                  </m:ctrlPr>
                </m:dPr>
                <m:e>
                  <m:sSub>
                    <m:sSubPr>
                      <m:ctrlPr>
                        <w:rPr>
                          <w:rFonts w:ascii="Cambria Math" w:hAnsi="Cambria Math"/>
                        </w:rPr>
                      </m:ctrlPr>
                    </m:sSubPr>
                    <m:e>
                      <m:r>
                        <w:rPr>
                          <w:rFonts w:ascii="Cambria Math" w:hAnsi="Cambria Math"/>
                        </w:rPr>
                        <m:t>c</m:t>
                      </m:r>
                    </m:e>
                    <m:sub>
                      <m:r>
                        <m:rPr>
                          <m:sty m:val="p"/>
                        </m:rPr>
                        <w:rPr>
                          <w:rFonts w:ascii="Cambria Math" w:hAnsi="Cambria Math"/>
                          <w:lang w:val="en-US"/>
                        </w:rPr>
                        <m:t>x</m:t>
                      </m:r>
                    </m:sub>
                  </m:sSub>
                  <m:r>
                    <w:rPr>
                      <w:rFonts w:ascii="Cambria Math" w:hAnsi="Cambria Math"/>
                      <w:lang w:val="en-US"/>
                    </w:rPr>
                    <m:t>;</m:t>
                  </m:r>
                  <m:sSub>
                    <m:sSubPr>
                      <m:ctrlPr>
                        <w:rPr>
                          <w:rFonts w:ascii="Cambria Math" w:hAnsi="Cambria Math"/>
                        </w:rPr>
                      </m:ctrlPr>
                    </m:sSubPr>
                    <m:e>
                      <m:r>
                        <w:rPr>
                          <w:rFonts w:ascii="Cambria Math" w:hAnsi="Cambria Math"/>
                        </w:rPr>
                        <m:t>c</m:t>
                      </m:r>
                    </m:e>
                    <m:sub>
                      <m:r>
                        <m:rPr>
                          <m:sty m:val="p"/>
                        </m:rPr>
                        <w:rPr>
                          <w:rFonts w:ascii="Cambria Math" w:hAnsi="Cambria Math"/>
                          <w:lang w:val="en-US"/>
                        </w:rPr>
                        <m:t>y</m:t>
                      </m:r>
                    </m:sub>
                  </m:sSub>
                </m:e>
              </m:d>
            </m:oMath>
          </w:p>
          <w:p w14:paraId="78C38E20" w14:textId="381C91BB" w:rsidR="004E22C1" w:rsidRPr="009D3012" w:rsidRDefault="00CF7E2A" w:rsidP="00CF7E2A">
            <w:pPr>
              <w:pStyle w:val="Tablefooter"/>
              <w:rPr>
                <w:lang w:val="en-US"/>
              </w:rPr>
            </w:pPr>
            <w:r w:rsidRPr="009D3012">
              <w:rPr>
                <w:rStyle w:val="CCMCvariablesuperscript"/>
                <w:lang w:val="en-US"/>
              </w:rPr>
              <w:t>b</w:t>
            </w:r>
            <w:r w:rsidRPr="009D3012">
              <w:rPr>
                <w:lang w:val="en-US"/>
              </w:rPr>
              <w:tab/>
            </w:r>
            <w:r w:rsidR="004E22C1" w:rsidRPr="009D3012">
              <w:rPr>
                <w:lang w:val="en-US"/>
              </w:rPr>
              <w:t xml:space="preserve">In cases 2, 4 and 6, bars having </w:t>
            </w:r>
            <m:oMath>
              <m:sSub>
                <m:sSubPr>
                  <m:ctrlPr>
                    <w:rPr>
                      <w:rFonts w:ascii="Cambria Math" w:hAnsi="Cambria Math"/>
                    </w:rPr>
                  </m:ctrlPr>
                </m:sSubPr>
                <m:e>
                  <m:r>
                    <w:rPr>
                      <w:rFonts w:ascii="Cambria Math" w:hAnsi="Cambria Math"/>
                    </w:rPr>
                    <m:t>c</m:t>
                  </m:r>
                </m:e>
                <m:sub>
                  <m:r>
                    <m:rPr>
                      <m:sty m:val="p"/>
                    </m:rPr>
                    <w:rPr>
                      <w:rFonts w:ascii="Cambria Math" w:hAnsi="Cambria Math"/>
                      <w:lang w:val="en-US"/>
                    </w:rPr>
                    <m:t>s</m:t>
                  </m:r>
                </m:sub>
              </m:sSub>
              <m:r>
                <w:rPr>
                  <w:rFonts w:ascii="Cambria Math" w:hAnsi="Cambria Math"/>
                  <w:lang w:val="en-US"/>
                </w:rPr>
                <m:t>/2&lt;</m:t>
              </m:r>
              <m:r>
                <w:rPr>
                  <w:rFonts w:ascii="Cambria Math" w:hAnsi="Cambria Math"/>
                </w:rPr>
                <m:t>ϕ</m:t>
              </m:r>
            </m:oMath>
            <w:r w:rsidR="004E22C1" w:rsidRPr="009D3012">
              <w:rPr>
                <w:lang w:val="en-US"/>
              </w:rPr>
              <w:t xml:space="preserve"> shall be considered as bundled.</w:t>
            </w:r>
          </w:p>
        </w:tc>
      </w:tr>
    </w:tbl>
    <w:p w14:paraId="37625C8F" w14:textId="77777777" w:rsidR="004E22C1" w:rsidRPr="001455DC" w:rsidRDefault="004E22C1" w:rsidP="00CF7E2A">
      <w:pPr>
        <w:pStyle w:val="a7"/>
      </w:pPr>
    </w:p>
    <w:p w14:paraId="53859FA2" w14:textId="3A17DB83" w:rsidR="004E22C1" w:rsidRPr="001455DC" w:rsidRDefault="004E22C1" w:rsidP="00867F11">
      <w:pPr>
        <w:pStyle w:val="a7"/>
      </w:pPr>
      <w:r w:rsidRPr="001455DC">
        <w:t>(8)</w:t>
      </w:r>
      <w:r w:rsidRPr="001455DC">
        <w:tab/>
        <w:t xml:space="preserve">For ribbed bars having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R</m:t>
            </m:r>
          </m:sub>
        </m:sSub>
      </m:oMath>
      <w:r w:rsidRPr="001455DC">
        <w:t xml:space="preserve"> lower than values </w:t>
      </w:r>
      <m:oMath>
        <m:sSub>
          <m:sSubPr>
            <m:ctrlPr>
              <w:rPr>
                <w:rFonts w:ascii="Cambria Math" w:hAnsi="Cambria Math"/>
              </w:rPr>
            </m:ctrlPr>
          </m:sSubPr>
          <m:e>
            <m:r>
              <w:rPr>
                <w:rFonts w:ascii="Cambria Math" w:hAnsi="Cambria Math"/>
              </w:rPr>
              <m:t>f</m:t>
            </m:r>
          </m:e>
          <m:sub>
            <m:r>
              <m:rPr>
                <m:sty m:val="p"/>
              </m:rPr>
              <w:rPr>
                <w:rFonts w:ascii="Cambria Math" w:hAnsi="Cambria Math"/>
              </w:rPr>
              <m:t>R,min</m:t>
            </m:r>
          </m:sub>
        </m:sSub>
      </m:oMath>
      <w:r w:rsidRPr="001455DC">
        <w:t xml:space="preserve"> of </w:t>
      </w:r>
      <w:r w:rsidR="009B23FF" w:rsidRPr="001455DC">
        <w:t>T</w:t>
      </w:r>
      <w:r w:rsidRPr="001455DC">
        <w:t xml:space="preserve">able C.1, </w:t>
      </w:r>
      <m:oMath>
        <m:sSub>
          <m:sSubPr>
            <m:ctrlPr>
              <w:rPr>
                <w:rFonts w:ascii="Cambria Math" w:hAnsi="Cambria Math"/>
              </w:rPr>
            </m:ctrlPr>
          </m:sSubPr>
          <m:e>
            <m:r>
              <w:rPr>
                <w:rFonts w:ascii="Cambria Math" w:hAnsi="Cambria Math"/>
              </w:rPr>
              <m:t>l</m:t>
            </m:r>
          </m:e>
          <m:sub>
            <m:r>
              <m:rPr>
                <m:sty m:val="p"/>
              </m:rPr>
              <w:rPr>
                <w:rFonts w:ascii="Cambria Math" w:hAnsi="Cambria Math"/>
              </w:rPr>
              <m:t>bd</m:t>
            </m:r>
          </m:sub>
        </m:sSub>
      </m:oMath>
      <w:r w:rsidRPr="001455DC">
        <w:t xml:space="preserve">, evaluated according to 11.4.2, should be increased depending on the actual </w:t>
      </w:r>
      <m:oMath>
        <m:sSub>
          <m:sSubPr>
            <m:ctrlPr>
              <w:rPr>
                <w:rFonts w:ascii="Cambria Math" w:hAnsi="Cambria Math"/>
              </w:rPr>
            </m:ctrlPr>
          </m:sSubPr>
          <m:e>
            <m:r>
              <w:rPr>
                <w:rFonts w:ascii="Cambria Math" w:hAnsi="Cambria Math"/>
              </w:rPr>
              <m:t>f</m:t>
            </m:r>
          </m:e>
          <m:sub>
            <m:r>
              <m:rPr>
                <m:sty m:val="p"/>
              </m:rPr>
              <w:rPr>
                <w:rFonts w:ascii="Cambria Math" w:hAnsi="Cambria Math"/>
              </w:rPr>
              <m:t>R</m:t>
            </m:r>
          </m:sub>
        </m:sSub>
      </m:oMath>
      <w:r w:rsidRPr="001455DC">
        <w:t>.</w:t>
      </w:r>
    </w:p>
    <w:p w14:paraId="4849EC4F" w14:textId="3634D0AA" w:rsidR="004E22C1" w:rsidRPr="001455DC" w:rsidRDefault="004E22C1" w:rsidP="00867F11">
      <w:pPr>
        <w:pStyle w:val="a7"/>
      </w:pPr>
      <w:r w:rsidRPr="001455DC">
        <w:t>(9)</w:t>
      </w:r>
      <w:r w:rsidRPr="001455DC">
        <w:tab/>
        <w:t xml:space="preserve">The reduction in bond strength due to corrosion, where relevant, which highly depends on the confinement to the bar, concrete quality and environment, should be assessed and </w:t>
      </w:r>
      <m:oMath>
        <m:sSub>
          <m:sSubPr>
            <m:ctrlPr>
              <w:rPr>
                <w:rFonts w:ascii="Cambria Math" w:hAnsi="Cambria Math"/>
              </w:rPr>
            </m:ctrlPr>
          </m:sSubPr>
          <m:e>
            <m:r>
              <w:rPr>
                <w:rFonts w:ascii="Cambria Math" w:hAnsi="Cambria Math"/>
              </w:rPr>
              <m:t>l</m:t>
            </m:r>
          </m:e>
          <m:sub>
            <m:r>
              <m:rPr>
                <m:sty m:val="p"/>
              </m:rPr>
              <w:rPr>
                <w:rFonts w:ascii="Cambria Math" w:hAnsi="Cambria Math"/>
              </w:rPr>
              <m:t>bd</m:t>
            </m:r>
          </m:sub>
        </m:sSub>
      </m:oMath>
      <w:r w:rsidRPr="001455DC">
        <w:t xml:space="preserve"> in Formulae (11.2) and (I.23) increased accordingly.</w:t>
      </w:r>
    </w:p>
    <w:p w14:paraId="56FB6019" w14:textId="77777777" w:rsidR="004E22C1" w:rsidRPr="001455DC" w:rsidRDefault="004E22C1" w:rsidP="00867F11">
      <w:pPr>
        <w:pStyle w:val="a7"/>
      </w:pPr>
      <w:r w:rsidRPr="001455DC">
        <w:t>(10)</w:t>
      </w:r>
      <w:r w:rsidRPr="001455DC">
        <w:tab/>
        <w:t>For corroded reinforcement, in addition to (9), the effect on bond of concrete cover spalling should be considered and it may be taken into account by using the reduced cover thickness in Formulae (11.2) and (I.23).</w:t>
      </w:r>
    </w:p>
    <w:p w14:paraId="04A29147" w14:textId="77777777" w:rsidR="004E22C1" w:rsidRPr="001455DC" w:rsidRDefault="004E22C1" w:rsidP="00867F11">
      <w:pPr>
        <w:pStyle w:val="a7"/>
      </w:pPr>
      <w:r w:rsidRPr="001455DC">
        <w:t>(11)</w:t>
      </w:r>
      <w:r w:rsidRPr="001455DC">
        <w:tab/>
        <w:t>The effect of surface scaling on bond due to frost attack may be accounted for by use of the reduced cover in Formulae (11.2) and (I.23).</w:t>
      </w:r>
    </w:p>
    <w:p w14:paraId="4B313448" w14:textId="77777777" w:rsidR="00AC44F2" w:rsidRPr="001455DC" w:rsidRDefault="004E22C1" w:rsidP="00AC44F2">
      <w:pPr>
        <w:pStyle w:val="a7"/>
      </w:pPr>
      <w:r w:rsidRPr="001455DC">
        <w:t xml:space="preserve">Residual bond capacity of ribbed bars not confined by links and of plain bars in freeze-thaw damaged concrete may be assessed using tensile strength measurements on cores taken from the affected structure. Concrete compressive strength </w:t>
      </w:r>
      <m:oMath>
        <m:sSub>
          <m:sSubPr>
            <m:ctrlPr>
              <w:rPr>
                <w:rFonts w:ascii="Cambria Math" w:hAnsi="Cambria Math"/>
                <w:i/>
              </w:rPr>
            </m:ctrlPr>
          </m:sSubPr>
          <m:e>
            <m:r>
              <w:rPr>
                <w:rFonts w:ascii="Cambria Math" w:hAnsi="Cambria Math"/>
              </w:rPr>
              <m:t>f</m:t>
            </m:r>
          </m:e>
          <m:sub>
            <m:r>
              <m:rPr>
                <m:sty m:val="p"/>
              </m:rPr>
              <w:rPr>
                <w:rFonts w:ascii="Cambria Math" w:hAnsi="Cambria Math"/>
              </w:rPr>
              <m:t>ck</m:t>
            </m:r>
          </m:sub>
        </m:sSub>
      </m:oMath>
      <w:r w:rsidRPr="001455DC">
        <w:t xml:space="preserve"> in Formulae (11.2) and (I.23) may be substituted by residual characteristic compressive cylinder strength of concrete after freeze-thaw attack </w:t>
      </w:r>
      <m:oMath>
        <m:sSub>
          <m:sSubPr>
            <m:ctrlPr>
              <w:rPr>
                <w:rFonts w:ascii="Cambria Math" w:hAnsi="Cambria Math"/>
              </w:rPr>
            </m:ctrlPr>
          </m:sSubPr>
          <m:e>
            <m:r>
              <w:rPr>
                <w:rFonts w:ascii="Cambria Math" w:hAnsi="Cambria Math"/>
              </w:rPr>
              <m:t>f</m:t>
            </m:r>
          </m:e>
          <m:sub>
            <m:r>
              <m:rPr>
                <m:sty m:val="p"/>
              </m:rPr>
              <w:rPr>
                <w:rFonts w:ascii="Cambria Math" w:hAnsi="Cambria Math"/>
              </w:rPr>
              <m:t>ck,ft</m:t>
            </m:r>
          </m:sub>
        </m:sSub>
      </m:oMath>
      <w:r w:rsidRPr="001455DC">
        <w:t xml:space="preserve"> given by Formula (I.25):</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AC44F2" w:rsidRPr="001455DC" w14:paraId="2E98D3A5" w14:textId="77777777" w:rsidTr="00AC44F2">
        <w:trPr>
          <w:cantSplit/>
        </w:trPr>
        <w:tc>
          <w:tcPr>
            <w:tcW w:w="8505" w:type="dxa"/>
            <w:vAlign w:val="center"/>
          </w:tcPr>
          <w:p w14:paraId="39AF79E9" w14:textId="145A85F0" w:rsidR="00AC44F2" w:rsidRPr="001455DC" w:rsidRDefault="00231E33" w:rsidP="00AC44F2">
            <w:pPr>
              <w:pStyle w:val="Formula"/>
              <w:jc w:val="left"/>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ck,ft</m:t>
                    </m:r>
                  </m:sub>
                </m:sSub>
                <m:r>
                  <w:rPr>
                    <w:rFonts w:ascii="Cambria Math" w:hAnsi="Cambria Math"/>
                  </w:rPr>
                  <m:t>=3,3∙</m:t>
                </m:r>
                <m:sSubSup>
                  <m:sSubSupPr>
                    <m:ctrlPr>
                      <w:rPr>
                        <w:rFonts w:ascii="Cambria Math" w:hAnsi="Cambria Math"/>
                      </w:rPr>
                    </m:ctrlPr>
                  </m:sSubSupPr>
                  <m:e>
                    <m:r>
                      <w:rPr>
                        <w:rFonts w:ascii="Cambria Math" w:hAnsi="Cambria Math"/>
                      </w:rPr>
                      <m:t>f</m:t>
                    </m:r>
                  </m:e>
                  <m:sub>
                    <m:r>
                      <m:rPr>
                        <m:sty m:val="p"/>
                      </m:rPr>
                      <w:rPr>
                        <w:rFonts w:ascii="Cambria Math" w:hAnsi="Cambria Math"/>
                      </w:rPr>
                      <m:t>ctk,is;0,05</m:t>
                    </m:r>
                  </m:sub>
                  <m:sup>
                    <m:r>
                      <w:rPr>
                        <w:rFonts w:ascii="Cambria Math" w:hAnsi="Cambria Math"/>
                      </w:rPr>
                      <m:t>1,5</m:t>
                    </m:r>
                  </m:sup>
                </m:sSubSup>
              </m:oMath>
            </m:oMathPara>
          </w:p>
        </w:tc>
        <w:tc>
          <w:tcPr>
            <w:tcW w:w="1247" w:type="dxa"/>
            <w:vAlign w:val="center"/>
          </w:tcPr>
          <w:p w14:paraId="1BE4ABA0" w14:textId="32036AA8" w:rsidR="00AC44F2" w:rsidRPr="001455DC" w:rsidRDefault="00AC44F2" w:rsidP="00AC44F2">
            <w:pPr>
              <w:pStyle w:val="a7"/>
              <w:jc w:val="right"/>
            </w:pPr>
            <w:r w:rsidRPr="001455DC">
              <w:t>(I.25)</w:t>
            </w:r>
          </w:p>
        </w:tc>
      </w:tr>
    </w:tbl>
    <w:p w14:paraId="513359E4" w14:textId="77777777" w:rsidR="00AC44F2" w:rsidRPr="001455DC" w:rsidRDefault="00AC44F2"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1134"/>
        <w:gridCol w:w="8278"/>
      </w:tblGrid>
      <w:tr w:rsidR="00AC44F2" w:rsidRPr="001455DC" w14:paraId="3AD3D5F6" w14:textId="77777777" w:rsidTr="00AC44F2">
        <w:trPr>
          <w:cantSplit/>
        </w:trPr>
        <w:tc>
          <w:tcPr>
            <w:tcW w:w="1134" w:type="dxa"/>
          </w:tcPr>
          <w:p w14:paraId="3A0C7325" w14:textId="4F17BAD3" w:rsidR="00AC44F2" w:rsidRPr="001455DC" w:rsidRDefault="00231E33" w:rsidP="0000442A">
            <w:pPr>
              <w:pStyle w:val="Tablebody"/>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ctk,is;0,05</m:t>
                    </m:r>
                  </m:sub>
                </m:sSub>
              </m:oMath>
            </m:oMathPara>
          </w:p>
        </w:tc>
        <w:tc>
          <w:tcPr>
            <w:tcW w:w="8278" w:type="dxa"/>
          </w:tcPr>
          <w:p w14:paraId="0AAA1AD3" w14:textId="4E4E69C0" w:rsidR="00AC44F2" w:rsidRPr="001455DC" w:rsidRDefault="00AC44F2" w:rsidP="00BB1209">
            <w:pPr>
              <w:pStyle w:val="Tablebody"/>
            </w:pPr>
            <w:r w:rsidRPr="001455DC">
              <w:t>is the characteristic measured in-situ tensile strength of concrete (5 % fractile).</w:t>
            </w:r>
          </w:p>
        </w:tc>
      </w:tr>
    </w:tbl>
    <w:p w14:paraId="5B5AFBDD" w14:textId="77777777" w:rsidR="004E22C1" w:rsidRPr="001455DC" w:rsidRDefault="004E22C1" w:rsidP="00867F11">
      <w:pPr>
        <w:pStyle w:val="Note"/>
      </w:pPr>
      <w:r w:rsidRPr="001455DC">
        <w:rPr>
          <w:bCs/>
        </w:rPr>
        <w:t>NOTE</w:t>
      </w:r>
      <w:r w:rsidRPr="001455DC">
        <w:rPr>
          <w:bCs/>
        </w:rPr>
        <w:tab/>
      </w:r>
      <w:r w:rsidRPr="001455DC">
        <w:t>Bond strength of ribbed bars is not degraded as severely where bars are properly confined by secondary reinforcement.</w:t>
      </w:r>
    </w:p>
    <w:p w14:paraId="4C7D29E5" w14:textId="404D0064" w:rsidR="004E22C1" w:rsidRPr="001455DC" w:rsidRDefault="004E22C1" w:rsidP="00243590">
      <w:pPr>
        <w:pStyle w:val="a4"/>
      </w:pPr>
      <w:bookmarkStart w:id="1811" w:name="_Toc52820243"/>
      <w:bookmarkStart w:id="1812" w:name="_Toc54337670"/>
      <w:bookmarkStart w:id="1813" w:name="_Toc54338297"/>
      <w:r w:rsidRPr="001455DC">
        <w:t>Anchorage of bars with bends and hooks</w:t>
      </w:r>
      <w:bookmarkEnd w:id="1811"/>
      <w:bookmarkEnd w:id="1812"/>
      <w:bookmarkEnd w:id="1813"/>
    </w:p>
    <w:p w14:paraId="78BD2382" w14:textId="77777777" w:rsidR="004E22C1" w:rsidRPr="001455DC" w:rsidRDefault="004E22C1" w:rsidP="00CF7E2A">
      <w:pPr>
        <w:pStyle w:val="a7"/>
      </w:pPr>
      <w:r w:rsidRPr="001455DC">
        <w:t>(1)</w:t>
      </w:r>
      <w:r w:rsidRPr="001455DC">
        <w:tab/>
        <w:t>For existing structures, the provisions of 11.4.4 for standard hook and bend anchorage in tension complying with Figure 11.6 should be substituted by the following.</w:t>
      </w:r>
    </w:p>
    <w:p w14:paraId="4B2BFF07" w14:textId="24FD18B6" w:rsidR="00AC44F2" w:rsidRPr="001455DC" w:rsidRDefault="004E22C1" w:rsidP="00116AE2">
      <w:pPr>
        <w:pStyle w:val="a7"/>
        <w:keepNext/>
      </w:pPr>
      <w:r w:rsidRPr="001455DC">
        <w:t xml:space="preserve">The design value of the reinforcement stress at the cross section </w:t>
      </w:r>
      <m:oMath>
        <m:sSubSup>
          <m:sSubSupPr>
            <m:ctrlPr>
              <w:rPr>
                <w:rFonts w:ascii="Cambria Math" w:hAnsi="Cambria Math"/>
              </w:rPr>
            </m:ctrlPr>
          </m:sSubSupPr>
          <m:e>
            <m:r>
              <w:rPr>
                <w:rFonts w:ascii="Cambria Math" w:hAnsi="Cambria Math"/>
              </w:rPr>
              <m:t>σ</m:t>
            </m:r>
          </m:e>
          <m:sub>
            <m:r>
              <m:rPr>
                <m:sty m:val="p"/>
              </m:rPr>
              <w:rPr>
                <w:rFonts w:ascii="Cambria Math" w:hAnsi="Cambria Math"/>
              </w:rPr>
              <m:t>sd</m:t>
            </m:r>
          </m:sub>
          <m:sup>
            <m:r>
              <m:rPr>
                <m:sty m:val="p"/>
              </m:rPr>
              <w:rPr>
                <w:rFonts w:ascii="Cambria Math" w:hAnsi="Cambria Math" w:hint="eastAsia"/>
              </w:rPr>
              <m:t>'</m:t>
            </m:r>
          </m:sup>
        </m:sSubSup>
      </m:oMath>
      <w:r w:rsidRPr="001455DC">
        <w:t xml:space="preserve"> to be anchored by bond over </w:t>
      </w:r>
      <m:oMath>
        <m:sSub>
          <m:sSubPr>
            <m:ctrlPr>
              <w:rPr>
                <w:rFonts w:ascii="Cambria Math" w:hAnsi="Cambria Math"/>
              </w:rPr>
            </m:ctrlPr>
          </m:sSubPr>
          <m:e>
            <m:r>
              <w:rPr>
                <w:rFonts w:ascii="Cambria Math" w:hAnsi="Cambria Math"/>
              </w:rPr>
              <m:t>l</m:t>
            </m:r>
          </m:e>
          <m:sub>
            <m:r>
              <m:rPr>
                <m:sty m:val="p"/>
              </m:rPr>
              <w:rPr>
                <w:rFonts w:ascii="Cambria Math" w:hAnsi="Cambria Math"/>
              </w:rPr>
              <m:t>bd</m:t>
            </m:r>
          </m:sub>
        </m:sSub>
      </m:oMath>
      <w:r w:rsidRPr="001455DC">
        <w:t xml:space="preserve"> may be taken from Formula (I.26):</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AC44F2" w:rsidRPr="001455DC" w14:paraId="5D71C16F" w14:textId="77777777" w:rsidTr="00AC44F2">
        <w:trPr>
          <w:cantSplit/>
        </w:trPr>
        <w:tc>
          <w:tcPr>
            <w:tcW w:w="8505" w:type="dxa"/>
            <w:vAlign w:val="center"/>
          </w:tcPr>
          <w:p w14:paraId="71E37F6A" w14:textId="2D0F1805" w:rsidR="00AC44F2" w:rsidRPr="001455DC" w:rsidRDefault="00231E33" w:rsidP="00AC44F2">
            <w:pPr>
              <w:pStyle w:val="Formula"/>
              <w:jc w:val="left"/>
            </w:pPr>
            <m:oMathPara>
              <m:oMathParaPr>
                <m:jc m:val="left"/>
              </m:oMathParaPr>
              <m:oMath>
                <m:sSub>
                  <m:sSubPr>
                    <m:ctrlPr>
                      <w:rPr>
                        <w:rFonts w:ascii="Cambria Math" w:hAnsi="Cambria Math"/>
                      </w:rPr>
                    </m:ctrlPr>
                  </m:sSubPr>
                  <m:e>
                    <m:r>
                      <w:rPr>
                        <w:rFonts w:ascii="Cambria Math" w:hAnsi="Cambria Math"/>
                      </w:rPr>
                      <m:t>σ</m:t>
                    </m:r>
                    <m:r>
                      <w:rPr>
                        <w:rFonts w:ascii="Cambria Math" w:hAnsi="Cambria Math" w:hint="eastAsia"/>
                      </w:rPr>
                      <m:t>'</m:t>
                    </m:r>
                  </m:e>
                  <m:sub>
                    <m:r>
                      <w:rPr>
                        <w:rFonts w:ascii="Cambria Math" w:hAnsi="Cambria Math"/>
                      </w:rPr>
                      <m:t>sd</m:t>
                    </m:r>
                  </m:sub>
                </m:sSub>
                <m:r>
                  <w:rPr>
                    <w:rFonts w:ascii="Cambria Math" w:hAnsi="Cambria Math"/>
                  </w:rPr>
                  <m:t>=</m:t>
                </m:r>
                <m:sSub>
                  <m:sSubPr>
                    <m:ctrlPr>
                      <w:rPr>
                        <w:rFonts w:ascii="Cambria Math" w:hAnsi="Cambria Math"/>
                      </w:rPr>
                    </m:ctrlPr>
                  </m:sSubPr>
                  <m:e>
                    <m:r>
                      <w:rPr>
                        <w:rFonts w:ascii="Cambria Math" w:hAnsi="Cambria Math"/>
                      </w:rPr>
                      <m:t>σ</m:t>
                    </m:r>
                  </m:e>
                  <m:sub>
                    <m:r>
                      <m:rPr>
                        <m:sty m:val="p"/>
                      </m:rPr>
                      <w:rPr>
                        <w:rFonts w:ascii="Cambria Math" w:hAnsi="Cambria Math"/>
                      </w:rPr>
                      <m:t>sd</m:t>
                    </m:r>
                  </m:sub>
                </m:sSub>
                <m:r>
                  <w:rPr>
                    <w:rFonts w:ascii="Cambria Math" w:hAnsi="Cambria Math"/>
                  </w:rPr>
                  <m:t>-∆</m:t>
                </m:r>
                <m:sSub>
                  <m:sSubPr>
                    <m:ctrlPr>
                      <w:rPr>
                        <w:rFonts w:ascii="Cambria Math" w:hAnsi="Cambria Math"/>
                      </w:rPr>
                    </m:ctrlPr>
                  </m:sSubPr>
                  <m:e>
                    <m:r>
                      <w:rPr>
                        <w:rFonts w:ascii="Cambria Math" w:hAnsi="Cambria Math"/>
                      </w:rPr>
                      <m:t>σ</m:t>
                    </m:r>
                  </m:e>
                  <m:sub>
                    <m:r>
                      <m:rPr>
                        <m:sty m:val="p"/>
                      </m:rPr>
                      <w:rPr>
                        <w:rFonts w:ascii="Cambria Math" w:hAnsi="Cambria Math"/>
                      </w:rPr>
                      <m:t>sd</m:t>
                    </m:r>
                  </m:sub>
                </m:sSub>
                <m:r>
                  <w:rPr>
                    <w:rFonts w:ascii="Cambria Math" w:hAnsi="Cambria Math"/>
                  </w:rPr>
                  <m:t>≥0</m:t>
                </m:r>
              </m:oMath>
            </m:oMathPara>
          </w:p>
        </w:tc>
        <w:tc>
          <w:tcPr>
            <w:tcW w:w="1247" w:type="dxa"/>
            <w:vAlign w:val="center"/>
          </w:tcPr>
          <w:p w14:paraId="3F9BF779" w14:textId="61EC76F2" w:rsidR="00AC44F2" w:rsidRPr="001455DC" w:rsidRDefault="00AC44F2" w:rsidP="00AC44F2">
            <w:pPr>
              <w:pStyle w:val="a7"/>
              <w:jc w:val="right"/>
            </w:pPr>
            <w:r w:rsidRPr="001455DC">
              <w:t>(I.26)</w:t>
            </w:r>
          </w:p>
        </w:tc>
      </w:tr>
    </w:tbl>
    <w:p w14:paraId="5DF0949A" w14:textId="77777777" w:rsidR="00AC44F2" w:rsidRPr="001455DC" w:rsidRDefault="004E22C1" w:rsidP="00A35599">
      <w:pPr>
        <w:pStyle w:val="a7"/>
        <w:keepNext/>
      </w:pPr>
      <w:r w:rsidRPr="001455DC">
        <w:t>where</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AC44F2" w:rsidRPr="001455DC" w14:paraId="4665146A" w14:textId="77777777" w:rsidTr="00AC44F2">
        <w:trPr>
          <w:cantSplit/>
        </w:trPr>
        <w:tc>
          <w:tcPr>
            <w:tcW w:w="8505" w:type="dxa"/>
            <w:vAlign w:val="center"/>
          </w:tcPr>
          <w:p w14:paraId="7181C543" w14:textId="6BADFE30" w:rsidR="00AC44F2" w:rsidRPr="003F0CF8" w:rsidRDefault="00AC44F2">
            <w:pPr>
              <w:pStyle w:val="Formula"/>
              <w:jc w:val="left"/>
            </w:pPr>
            <m:oMathPara>
              <m:oMathParaPr>
                <m:jc m:val="left"/>
              </m:oMathParaPr>
              <m:oMath>
                <m:r>
                  <w:rPr>
                    <w:rFonts w:ascii="Cambria Math" w:hAnsi="Cambria Math"/>
                  </w:rPr>
                  <m:t>∆</m:t>
                </m:r>
                <m:sSub>
                  <m:sSubPr>
                    <m:ctrlPr>
                      <w:rPr>
                        <w:rFonts w:ascii="Cambria Math" w:hAnsi="Cambria Math"/>
                      </w:rPr>
                    </m:ctrlPr>
                  </m:sSubPr>
                  <m:e>
                    <m:r>
                      <w:rPr>
                        <w:rFonts w:ascii="Cambria Math" w:hAnsi="Cambria Math"/>
                      </w:rPr>
                      <m:t>σ</m:t>
                    </m:r>
                  </m:e>
                  <m:sub>
                    <m:r>
                      <m:rPr>
                        <m:sty m:val="p"/>
                      </m:rPr>
                      <w:rPr>
                        <w:rFonts w:ascii="Cambria Math" w:hAnsi="Cambria Math"/>
                      </w:rPr>
                      <m:t>sd</m:t>
                    </m:r>
                  </m:sub>
                </m:sSub>
                <m:r>
                  <w:rPr>
                    <w:rFonts w:ascii="Cambria Math" w:hAnsi="Cambria Math"/>
                  </w:rPr>
                  <m:t>=38∙</m:t>
                </m:r>
                <m:sSub>
                  <m:sSubPr>
                    <m:ctrlPr>
                      <w:rPr>
                        <w:rFonts w:ascii="Cambria Math" w:hAnsi="Cambria Math"/>
                      </w:rPr>
                    </m:ctrlPr>
                  </m:sSubPr>
                  <m:e>
                    <m:r>
                      <w:rPr>
                        <w:rFonts w:ascii="Cambria Math" w:hAnsi="Cambria Math"/>
                      </w:rPr>
                      <m:t>δ</m:t>
                    </m:r>
                  </m:e>
                  <m:sub>
                    <m:r>
                      <w:rPr>
                        <w:rFonts w:ascii="Cambria Math" w:hAnsi="Cambria Math"/>
                      </w:rPr>
                      <m:t>1</m:t>
                    </m:r>
                  </m:sub>
                </m:sSub>
                <m:r>
                  <w:rPr>
                    <w:rFonts w:ascii="Cambria Math" w:hAnsi="Cambria Math"/>
                  </w:rPr>
                  <m:t xml:space="preserve"> </m:t>
                </m:r>
                <m:sSup>
                  <m:sSupPr>
                    <m:ctrlPr>
                      <w:rPr>
                        <w:rFonts w:ascii="Cambria Math" w:hAnsi="Cambria Math"/>
                      </w:rPr>
                    </m:ctrlPr>
                  </m:sSupPr>
                  <m:e>
                    <m: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γ</m:t>
                                </m:r>
                              </m:e>
                              <m:sub>
                                <m:r>
                                  <m:rPr>
                                    <m:sty m:val="p"/>
                                  </m:rPr>
                                  <w:rPr>
                                    <w:rFonts w:ascii="Cambria Math" w:hAnsi="Cambria Math"/>
                                  </w:rPr>
                                  <m:t>c</m:t>
                                </m:r>
                              </m:sub>
                            </m:sSub>
                          </m:num>
                          <m:den>
                            <m:r>
                              <w:rPr>
                                <w:rFonts w:ascii="Cambria Math" w:hAnsi="Cambria Math"/>
                              </w:rPr>
                              <m:t>1,5</m:t>
                            </m:r>
                          </m:den>
                        </m:f>
                      </m:e>
                    </m:d>
                  </m:e>
                  <m:sup>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2</m:t>
                        </m:r>
                      </m:sub>
                    </m:sSub>
                  </m:sup>
                </m:sSup>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ck</m:t>
                                </m:r>
                              </m:sub>
                            </m:sSub>
                          </m:num>
                          <m:den>
                            <m:r>
                              <m:rPr>
                                <m:nor/>
                              </m:rPr>
                              <w:rPr>
                                <w:rFonts w:ascii="Cambria Math" w:hAnsi="Cambria Math"/>
                              </w:rPr>
                              <m:t xml:space="preserve">25 </m:t>
                            </m:r>
                          </m:den>
                        </m:f>
                      </m:e>
                    </m:d>
                  </m:e>
                  <m:sup>
                    <m:f>
                      <m:fPr>
                        <m:ctrlPr>
                          <w:rPr>
                            <w:rFonts w:ascii="Cambria Math" w:hAnsi="Cambria Math"/>
                          </w:rPr>
                        </m:ctrlPr>
                      </m:fPr>
                      <m:num>
                        <m:r>
                          <w:rPr>
                            <w:rFonts w:ascii="Cambria Math" w:hAnsi="Cambria Math"/>
                          </w:rPr>
                          <m:t>1</m:t>
                        </m:r>
                      </m:num>
                      <m:den>
                        <m:r>
                          <w:rPr>
                            <w:rFonts w:ascii="Cambria Math" w:hAnsi="Cambria Math"/>
                          </w:rPr>
                          <m:t>2</m:t>
                        </m:r>
                      </m:den>
                    </m:f>
                  </m:sup>
                </m:sSup>
                <m:sSup>
                  <m:sSupPr>
                    <m:ctrlPr>
                      <w:rPr>
                        <w:rFonts w:ascii="Cambria Math" w:hAnsi="Cambria Math"/>
                      </w:rPr>
                    </m:ctrlPr>
                  </m:sSupPr>
                  <m:e>
                    <m: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m:t>
                                </m:r>
                              </m:e>
                              <m:sub>
                                <m:r>
                                  <m:rPr>
                                    <m:sty m:val="p"/>
                                  </m:rPr>
                                  <w:rPr>
                                    <w:rFonts w:ascii="Cambria Math" w:hAnsi="Cambria Math"/>
                                  </w:rPr>
                                  <m:t>d</m:t>
                                </m:r>
                              </m:sub>
                            </m:sSub>
                          </m:num>
                          <m:den>
                            <m:r>
                              <w:rPr>
                                <w:rFonts w:ascii="Cambria Math" w:hAnsi="Cambria Math"/>
                              </w:rPr>
                              <m:t>ϕ</m:t>
                            </m:r>
                          </m:den>
                        </m:f>
                      </m:e>
                    </m:d>
                  </m:e>
                  <m:sup>
                    <m:f>
                      <m:fPr>
                        <m:ctrlPr>
                          <w:rPr>
                            <w:rFonts w:ascii="Cambria Math" w:hAnsi="Cambria Math"/>
                          </w:rPr>
                        </m:ctrlPr>
                      </m:fPr>
                      <m:num>
                        <m:r>
                          <w:rPr>
                            <w:rFonts w:ascii="Cambria Math" w:hAnsi="Cambria Math"/>
                          </w:rPr>
                          <m:t>1</m:t>
                        </m:r>
                      </m:num>
                      <m:den>
                        <m:r>
                          <w:rPr>
                            <w:rFonts w:ascii="Cambria Math" w:hAnsi="Cambria Math"/>
                          </w:rPr>
                          <m:t>4</m:t>
                        </m:r>
                      </m:den>
                    </m:f>
                  </m:sup>
                </m:sSup>
              </m:oMath>
            </m:oMathPara>
          </w:p>
        </w:tc>
        <w:tc>
          <w:tcPr>
            <w:tcW w:w="1247" w:type="dxa"/>
            <w:vAlign w:val="center"/>
          </w:tcPr>
          <w:p w14:paraId="1A799C12" w14:textId="6AE1BF20" w:rsidR="00AC44F2" w:rsidRPr="001455DC" w:rsidRDefault="00AC44F2" w:rsidP="00AC44F2">
            <w:pPr>
              <w:pStyle w:val="a7"/>
              <w:jc w:val="right"/>
            </w:pPr>
            <w:r w:rsidRPr="001455DC">
              <w:t>(I.27)</w:t>
            </w:r>
          </w:p>
        </w:tc>
      </w:tr>
    </w:tbl>
    <w:p w14:paraId="5D8FF78C" w14:textId="77777777" w:rsidR="00AC44F2" w:rsidRPr="001455DC" w:rsidRDefault="00AC44F2" w:rsidP="00825E18">
      <w:pPr>
        <w:pStyle w:val="Tablebody"/>
        <w:ind w:left="397"/>
      </w:pPr>
      <m:oMathPara>
        <m:oMathParaPr>
          <m:jc m:val="left"/>
        </m:oMathParaPr>
        <m:oMath>
          <m:r>
            <m:rPr>
              <m:sty m:val="p"/>
            </m:rPr>
            <w:rPr>
              <w:rFonts w:ascii="Cambria Math" w:hAnsi="Cambria Math"/>
            </w:rPr>
            <m:t xml:space="preserve">the ratio </m:t>
          </m:r>
          <m:f>
            <m:fPr>
              <m:ctrlPr>
                <w:rPr>
                  <w:rFonts w:ascii="Cambria Math" w:hAnsi="Cambria Math"/>
                </w:rPr>
              </m:ctrlPr>
            </m:fPr>
            <m:num>
              <m:sSub>
                <m:sSubPr>
                  <m:ctrlPr>
                    <w:rPr>
                      <w:rFonts w:ascii="Cambria Math" w:hAnsi="Cambria Math"/>
                    </w:rPr>
                  </m:ctrlPr>
                </m:sSubPr>
                <m:e>
                  <m:r>
                    <w:rPr>
                      <w:rFonts w:ascii="Cambria Math" w:hAnsi="Cambria Math"/>
                    </w:rPr>
                    <m:t>c</m:t>
                  </m:r>
                </m:e>
                <m:sub>
                  <m:r>
                    <m:rPr>
                      <m:sty m:val="p"/>
                    </m:rPr>
                    <w:rPr>
                      <w:rFonts w:ascii="Cambria Math" w:hAnsi="Cambria Math"/>
                    </w:rPr>
                    <m:t>d</m:t>
                  </m:r>
                </m:sub>
              </m:sSub>
            </m:num>
            <m:den>
              <m:r>
                <w:rPr>
                  <w:rFonts w:ascii="Cambria Math" w:hAnsi="Cambria Math"/>
                </w:rPr>
                <m:t>ϕ</m:t>
              </m:r>
            </m:den>
          </m:f>
          <m:r>
            <m:rPr>
              <m:sty m:val="p"/>
            </m:rPr>
            <w:rPr>
              <w:rFonts w:ascii="Cambria Math" w:hAnsi="Cambria Math"/>
            </w:rPr>
            <m:t xml:space="preserve"> should be limited to 3,0;</m:t>
          </m:r>
        </m:oMath>
      </m:oMathPara>
    </w:p>
    <w:p w14:paraId="55CCEFEC" w14:textId="56E3CC30" w:rsidR="004E22C1" w:rsidRPr="001455DC" w:rsidRDefault="00231E33" w:rsidP="00116AE2">
      <w:pPr>
        <w:pStyle w:val="a7"/>
        <w:keepNext/>
        <w:ind w:left="397"/>
      </w:pPr>
      <m:oMath>
        <m:sSub>
          <m:sSubPr>
            <m:ctrlPr>
              <w:rPr>
                <w:rFonts w:ascii="Cambria Math" w:hAnsi="Cambria Math"/>
              </w:rPr>
            </m:ctrlPr>
          </m:sSubPr>
          <m:e>
            <m:r>
              <w:rPr>
                <w:rFonts w:ascii="Cambria Math" w:hAnsi="Cambria Math"/>
              </w:rPr>
              <m:t>δ</m:t>
            </m:r>
          </m:e>
          <m:sub>
            <m:r>
              <m:rPr>
                <m:sty m:val="p"/>
              </m:rPr>
              <w:rPr>
                <w:rFonts w:ascii="Cambria Math" w:hAnsi="Cambria Math"/>
              </w:rPr>
              <m:t>1</m:t>
            </m:r>
          </m:sub>
        </m:sSub>
      </m:oMath>
      <w:r w:rsidR="004E22C1" w:rsidRPr="001455DC">
        <w:t xml:space="preserve"> and </w:t>
      </w:r>
      <m:oMath>
        <m:sSub>
          <m:sSubPr>
            <m:ctrlPr>
              <w:rPr>
                <w:rFonts w:ascii="Cambria Math" w:hAnsi="Cambria Math"/>
              </w:rPr>
            </m:ctrlPr>
          </m:sSubPr>
          <m:e>
            <m:r>
              <w:rPr>
                <w:rFonts w:ascii="Cambria Math" w:hAnsi="Cambria Math"/>
              </w:rPr>
              <m:t>δ</m:t>
            </m:r>
          </m:e>
          <m:sub>
            <m:r>
              <m:rPr>
                <m:sty m:val="p"/>
              </m:rPr>
              <w:rPr>
                <w:rFonts w:ascii="Cambria Math" w:hAnsi="Cambria Math"/>
              </w:rPr>
              <m:t>2</m:t>
            </m:r>
          </m:sub>
        </m:sSub>
      </m:oMath>
      <w:r w:rsidR="004E22C1" w:rsidRPr="001455DC">
        <w:t xml:space="preserve"> are coefficients that take account of the position of the bars during concreting and in particular:</w:t>
      </w:r>
    </w:p>
    <w:p w14:paraId="321D1BF5" w14:textId="08F68208" w:rsidR="004E22C1" w:rsidRPr="001455DC" w:rsidRDefault="00231E33" w:rsidP="00825E18">
      <w:pPr>
        <w:pStyle w:val="a0"/>
        <w:ind w:left="754" w:hanging="357"/>
      </w:pPr>
      <m:oMath>
        <m:sSub>
          <m:sSubPr>
            <m:ctrlPr>
              <w:rPr>
                <w:rFonts w:ascii="Cambria Math" w:hAnsi="Cambria Math"/>
              </w:rPr>
            </m:ctrlPr>
          </m:sSubPr>
          <m:e>
            <m:r>
              <w:rPr>
                <w:rFonts w:ascii="Cambria Math" w:hAnsi="Cambria Math"/>
              </w:rPr>
              <m:t>δ</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2</m:t>
            </m:r>
          </m:sub>
        </m:sSub>
        <m:r>
          <w:rPr>
            <w:rFonts w:ascii="Cambria Math" w:hAnsi="Cambria Math"/>
          </w:rPr>
          <m:t>=1,0</m:t>
        </m:r>
      </m:oMath>
      <w:r w:rsidR="004E22C1" w:rsidRPr="001455DC">
        <w:t xml:space="preserve"> for bars in good bond conditions;</w:t>
      </w:r>
    </w:p>
    <w:p w14:paraId="21C65D13" w14:textId="072DC61E" w:rsidR="004E22C1" w:rsidRPr="001455DC" w:rsidRDefault="004E22C1" w:rsidP="00116AE2">
      <w:pPr>
        <w:pStyle w:val="a0"/>
        <w:keepNext/>
        <w:ind w:left="754" w:hanging="357"/>
      </w:pPr>
      <w:r w:rsidRPr="001455DC">
        <w:t>in all other cases:</w:t>
      </w:r>
    </w:p>
    <w:p w14:paraId="51ED57ED" w14:textId="1A09C730" w:rsidR="004E22C1" w:rsidRPr="001455DC" w:rsidRDefault="00231E33" w:rsidP="00825E18">
      <w:pPr>
        <w:pStyle w:val="a7"/>
        <w:ind w:left="754"/>
      </w:pPr>
      <m:oMath>
        <m:sSub>
          <m:sSubPr>
            <m:ctrlPr>
              <w:rPr>
                <w:rFonts w:ascii="Cambria Math" w:hAnsi="Cambria Math"/>
              </w:rPr>
            </m:ctrlPr>
          </m:sSubPr>
          <m:e>
            <m:r>
              <w:rPr>
                <w:rFonts w:ascii="Cambria Math" w:hAnsi="Cambria Math"/>
              </w:rPr>
              <m:t>δ</m:t>
            </m:r>
          </m:e>
          <m:sub>
            <m:r>
              <w:rPr>
                <w:rFonts w:ascii="Cambria Math" w:hAnsi="Cambria Math"/>
              </w:rPr>
              <m:t>1</m:t>
            </m:r>
          </m:sub>
        </m:sSub>
        <m:r>
          <w:rPr>
            <w:rFonts w:ascii="Cambria Math" w:hAnsi="Cambria Math"/>
          </w:rPr>
          <m:t>=0,8</m:t>
        </m:r>
      </m:oMath>
      <w:r w:rsidR="004E22C1" w:rsidRPr="001455DC">
        <w:t xml:space="preserve"> and </w:t>
      </w:r>
      <m:oMath>
        <m:sSub>
          <m:sSubPr>
            <m:ctrlPr>
              <w:rPr>
                <w:rFonts w:ascii="Cambria Math" w:hAnsi="Cambria Math"/>
              </w:rPr>
            </m:ctrlPr>
          </m:sSubPr>
          <m:e>
            <m:r>
              <w:rPr>
                <w:rFonts w:ascii="Cambria Math" w:hAnsi="Cambria Math"/>
              </w:rPr>
              <m:t>δ</m:t>
            </m:r>
          </m:e>
          <m:sub>
            <m:r>
              <w:rPr>
                <w:rFonts w:ascii="Cambria Math" w:hAnsi="Cambria Math"/>
              </w:rPr>
              <m:t>2</m:t>
            </m:r>
          </m:sub>
        </m:sSub>
        <m:r>
          <w:rPr>
            <w:rFonts w:ascii="Cambria Math" w:hAnsi="Cambria Math"/>
          </w:rPr>
          <m:t>=1,0</m:t>
        </m:r>
      </m:oMath>
      <w:r w:rsidR="004E22C1" w:rsidRPr="001455DC">
        <w:t xml:space="preserve"> for ribbed and indented bars;</w:t>
      </w:r>
    </w:p>
    <w:p w14:paraId="1952F784" w14:textId="6341F76D" w:rsidR="004E22C1" w:rsidRPr="001455DC" w:rsidRDefault="00231E33" w:rsidP="00825E18">
      <w:pPr>
        <w:pStyle w:val="a7"/>
        <w:ind w:left="754"/>
      </w:pPr>
      <m:oMath>
        <m:sSub>
          <m:sSubPr>
            <m:ctrlPr>
              <w:rPr>
                <w:rFonts w:ascii="Cambria Math" w:hAnsi="Cambria Math"/>
              </w:rPr>
            </m:ctrlPr>
          </m:sSubPr>
          <m:e>
            <m:r>
              <w:rPr>
                <w:rFonts w:ascii="Cambria Math" w:hAnsi="Cambria Math"/>
              </w:rPr>
              <m:t>δ</m:t>
            </m:r>
          </m:e>
          <m:sub>
            <m:r>
              <w:rPr>
                <w:rFonts w:ascii="Cambria Math" w:hAnsi="Cambria Math"/>
              </w:rPr>
              <m:t>1</m:t>
            </m:r>
          </m:sub>
        </m:sSub>
        <m:r>
          <w:rPr>
            <w:rFonts w:ascii="Cambria Math" w:hAnsi="Cambria Math"/>
          </w:rPr>
          <m:t>=0,3</m:t>
        </m:r>
      </m:oMath>
      <w:r w:rsidR="004E22C1" w:rsidRPr="001455DC">
        <w:t xml:space="preserve"> and </w:t>
      </w:r>
      <m:oMath>
        <m:sSub>
          <m:sSubPr>
            <m:ctrlPr>
              <w:rPr>
                <w:rFonts w:ascii="Cambria Math" w:hAnsi="Cambria Math"/>
              </w:rPr>
            </m:ctrlPr>
          </m:sSubPr>
          <m:e>
            <m:r>
              <w:rPr>
                <w:rFonts w:ascii="Cambria Math" w:hAnsi="Cambria Math"/>
              </w:rPr>
              <m:t>δ</m:t>
            </m:r>
          </m:e>
          <m:sub>
            <m:r>
              <w:rPr>
                <w:rFonts w:ascii="Cambria Math" w:hAnsi="Cambria Math"/>
              </w:rPr>
              <m:t>2</m:t>
            </m:r>
          </m:sub>
        </m:sSub>
        <m:r>
          <w:rPr>
            <w:rFonts w:ascii="Cambria Math" w:hAnsi="Cambria Math"/>
          </w:rPr>
          <m:t>=2,0</m:t>
        </m:r>
      </m:oMath>
      <w:r w:rsidR="004E22C1" w:rsidRPr="001455DC">
        <w:t xml:space="preserve"> for plain bars.</w:t>
      </w:r>
    </w:p>
    <w:p w14:paraId="1EEE4352" w14:textId="7C1D3223" w:rsidR="004E22C1" w:rsidRPr="001455DC" w:rsidRDefault="004E22C1" w:rsidP="00CF7E2A">
      <w:pPr>
        <w:pStyle w:val="a7"/>
      </w:pPr>
      <w:r w:rsidRPr="001455DC">
        <w:t>Formulae (I.26) and (I.27) apply if:</w:t>
      </w:r>
    </w:p>
    <w:tbl>
      <w:tblPr>
        <w:tblW w:w="9809" w:type="dxa"/>
        <w:tblLayout w:type="fixed"/>
        <w:tblCellMar>
          <w:left w:w="28" w:type="dxa"/>
          <w:right w:w="28" w:type="dxa"/>
        </w:tblCellMar>
        <w:tblLook w:val="0000" w:firstRow="0" w:lastRow="0" w:firstColumn="0" w:lastColumn="0" w:noHBand="0" w:noVBand="0"/>
      </w:tblPr>
      <w:tblGrid>
        <w:gridCol w:w="397"/>
        <w:gridCol w:w="964"/>
        <w:gridCol w:w="8448"/>
      </w:tblGrid>
      <w:tr w:rsidR="00AC44F2" w:rsidRPr="001455DC" w14:paraId="2EAAAE3E" w14:textId="77777777" w:rsidTr="00AC44F2">
        <w:tc>
          <w:tcPr>
            <w:tcW w:w="397" w:type="dxa"/>
            <w:shd w:val="clear" w:color="auto" w:fill="auto"/>
            <w:vAlign w:val="center"/>
          </w:tcPr>
          <w:p w14:paraId="4601279D" w14:textId="64EB5291" w:rsidR="00AC44F2" w:rsidRPr="001455DC" w:rsidRDefault="00AC44F2" w:rsidP="00116AE2">
            <w:pPr>
              <w:pStyle w:val="Tablebody"/>
              <w:keepNext/>
              <w:jc w:val="left"/>
            </w:pPr>
            <w:r w:rsidRPr="001455DC">
              <w:t>—</w:t>
            </w:r>
          </w:p>
        </w:tc>
        <w:tc>
          <w:tcPr>
            <w:tcW w:w="9412" w:type="dxa"/>
            <w:gridSpan w:val="2"/>
            <w:shd w:val="clear" w:color="auto" w:fill="auto"/>
            <w:vAlign w:val="center"/>
          </w:tcPr>
          <w:p w14:paraId="49C1E63E" w14:textId="45F83BCC" w:rsidR="00AC44F2" w:rsidRPr="001455DC" w:rsidRDefault="00AC44F2" w:rsidP="00116AE2">
            <w:pPr>
              <w:pStyle w:val="Tablebody"/>
              <w:keepNext/>
              <w:jc w:val="left"/>
            </w:pPr>
            <w:r w:rsidRPr="001455DC">
              <w:t>for ribbed bars:</w:t>
            </w:r>
          </w:p>
        </w:tc>
      </w:tr>
      <w:tr w:rsidR="00AC44F2" w:rsidRPr="001455DC" w14:paraId="64D28308" w14:textId="77777777" w:rsidTr="00AC44F2">
        <w:tc>
          <w:tcPr>
            <w:tcW w:w="397" w:type="dxa"/>
            <w:shd w:val="clear" w:color="auto" w:fill="auto"/>
            <w:vAlign w:val="center"/>
          </w:tcPr>
          <w:p w14:paraId="46589BB5" w14:textId="379C4454" w:rsidR="00AC44F2" w:rsidRPr="001455DC" w:rsidRDefault="00825E18" w:rsidP="00AC44F2">
            <w:pPr>
              <w:pStyle w:val="Tablebody"/>
              <w:jc w:val="left"/>
            </w:pPr>
            <w:r w:rsidRPr="001455DC">
              <w:t> </w:t>
            </w:r>
          </w:p>
        </w:tc>
        <w:tc>
          <w:tcPr>
            <w:tcW w:w="964" w:type="dxa"/>
            <w:shd w:val="clear" w:color="auto" w:fill="auto"/>
            <w:vAlign w:val="center"/>
          </w:tcPr>
          <w:p w14:paraId="505A4EE3" w14:textId="64402638" w:rsidR="00AC44F2" w:rsidRPr="001455DC" w:rsidRDefault="00231E33" w:rsidP="00AC44F2">
            <w:pPr>
              <w:pStyle w:val="Tablebody"/>
              <w:jc w:val="left"/>
            </w:pPr>
            <m:oMathPara>
              <m:oMathParaPr>
                <m:jc m:val="left"/>
              </m:oMathParaPr>
              <m:oMath>
                <m:f>
                  <m:fPr>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rPr>
                          <m:t>bd</m:t>
                        </m:r>
                      </m:sub>
                    </m:sSub>
                  </m:num>
                  <m:den>
                    <m:r>
                      <w:rPr>
                        <w:rFonts w:ascii="Cambria Math" w:hAnsi="Cambria Math"/>
                      </w:rPr>
                      <m:t>ϕ</m:t>
                    </m:r>
                  </m:den>
                </m:f>
                <m:r>
                  <w:rPr>
                    <w:rFonts w:ascii="Cambria Math" w:hAnsi="Cambria Math"/>
                  </w:rPr>
                  <m:t>≥5</m:t>
                </m:r>
              </m:oMath>
            </m:oMathPara>
          </w:p>
        </w:tc>
        <w:tc>
          <w:tcPr>
            <w:tcW w:w="8448" w:type="dxa"/>
            <w:shd w:val="clear" w:color="auto" w:fill="auto"/>
            <w:vAlign w:val="center"/>
          </w:tcPr>
          <w:p w14:paraId="33913607" w14:textId="0CFD6104" w:rsidR="00AC44F2" w:rsidRPr="001455DC" w:rsidRDefault="00AC44F2">
            <w:pPr>
              <w:pStyle w:val="Tablebody"/>
              <w:jc w:val="left"/>
            </w:pPr>
            <w:r w:rsidRPr="001455DC">
              <w:t>if the provision of I.11.4.</w:t>
            </w:r>
            <w:r w:rsidR="008D6184" w:rsidRPr="001455DC">
              <w:t>1</w:t>
            </w:r>
            <w:r w:rsidRPr="001455DC">
              <w:t>(2) is fulfilled;</w:t>
            </w:r>
          </w:p>
        </w:tc>
      </w:tr>
      <w:tr w:rsidR="00AC44F2" w:rsidRPr="001455DC" w14:paraId="363D9A39" w14:textId="77777777" w:rsidTr="00AC44F2">
        <w:tc>
          <w:tcPr>
            <w:tcW w:w="397" w:type="dxa"/>
            <w:shd w:val="clear" w:color="auto" w:fill="auto"/>
            <w:vAlign w:val="center"/>
          </w:tcPr>
          <w:p w14:paraId="7E323D32" w14:textId="4D26A805" w:rsidR="00AC44F2" w:rsidRPr="001455DC" w:rsidRDefault="00825E18" w:rsidP="00AC44F2">
            <w:pPr>
              <w:pStyle w:val="Tablebody"/>
              <w:jc w:val="left"/>
            </w:pPr>
            <w:r w:rsidRPr="001455DC">
              <w:t> </w:t>
            </w:r>
          </w:p>
        </w:tc>
        <w:tc>
          <w:tcPr>
            <w:tcW w:w="964" w:type="dxa"/>
            <w:shd w:val="clear" w:color="auto" w:fill="auto"/>
            <w:vAlign w:val="center"/>
          </w:tcPr>
          <w:p w14:paraId="6862B1C7" w14:textId="74DE3A27" w:rsidR="00AC44F2" w:rsidRPr="001455DC" w:rsidRDefault="00231E33" w:rsidP="00AC44F2">
            <w:pPr>
              <w:pStyle w:val="Tablebody"/>
              <w:jc w:val="left"/>
            </w:pPr>
            <m:oMathPara>
              <m:oMathParaPr>
                <m:jc m:val="left"/>
              </m:oMathParaPr>
              <m:oMath>
                <m:f>
                  <m:fPr>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rPr>
                          <m:t>bd</m:t>
                        </m:r>
                      </m:sub>
                    </m:sSub>
                  </m:num>
                  <m:den>
                    <m:r>
                      <w:rPr>
                        <w:rFonts w:ascii="Cambria Math" w:hAnsi="Cambria Math"/>
                      </w:rPr>
                      <m:t>ϕ</m:t>
                    </m:r>
                  </m:den>
                </m:f>
                <m:r>
                  <w:rPr>
                    <w:rFonts w:ascii="Cambria Math" w:hAnsi="Cambria Math"/>
                  </w:rPr>
                  <m:t>≥10</m:t>
                </m:r>
              </m:oMath>
            </m:oMathPara>
          </w:p>
        </w:tc>
        <w:tc>
          <w:tcPr>
            <w:tcW w:w="8448" w:type="dxa"/>
            <w:shd w:val="clear" w:color="auto" w:fill="auto"/>
            <w:vAlign w:val="center"/>
          </w:tcPr>
          <w:p w14:paraId="2D4B20FF" w14:textId="3F2D7FBF" w:rsidR="00AC44F2" w:rsidRPr="001455DC" w:rsidRDefault="00AC44F2" w:rsidP="00AC44F2">
            <w:pPr>
              <w:pStyle w:val="Tablebody"/>
              <w:jc w:val="left"/>
            </w:pPr>
            <w:r w:rsidRPr="001455DC">
              <w:t>in all other cases;</w:t>
            </w:r>
          </w:p>
        </w:tc>
      </w:tr>
      <w:tr w:rsidR="00AC44F2" w:rsidRPr="001455DC" w14:paraId="5A663D11" w14:textId="77777777" w:rsidTr="00AC44F2">
        <w:tc>
          <w:tcPr>
            <w:tcW w:w="397" w:type="dxa"/>
            <w:shd w:val="clear" w:color="auto" w:fill="auto"/>
            <w:vAlign w:val="center"/>
          </w:tcPr>
          <w:p w14:paraId="5D5EF62F" w14:textId="63106BE0" w:rsidR="00AC44F2" w:rsidRPr="001455DC" w:rsidRDefault="00AC44F2" w:rsidP="00AC44F2">
            <w:pPr>
              <w:pStyle w:val="Tablebody"/>
              <w:jc w:val="left"/>
            </w:pPr>
            <w:r w:rsidRPr="001455DC">
              <w:t>—</w:t>
            </w:r>
          </w:p>
        </w:tc>
        <w:tc>
          <w:tcPr>
            <w:tcW w:w="964" w:type="dxa"/>
            <w:shd w:val="clear" w:color="auto" w:fill="auto"/>
            <w:vAlign w:val="center"/>
          </w:tcPr>
          <w:p w14:paraId="723B2BE9" w14:textId="4E153FE1" w:rsidR="00AC44F2" w:rsidRPr="001455DC" w:rsidRDefault="00231E33" w:rsidP="00AC44F2">
            <w:pPr>
              <w:pStyle w:val="Tablebody"/>
              <w:jc w:val="left"/>
            </w:pPr>
            <m:oMathPara>
              <m:oMathParaPr>
                <m:jc m:val="left"/>
              </m:oMathParaPr>
              <m:oMath>
                <m:f>
                  <m:fPr>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rPr>
                          <m:t>bd</m:t>
                        </m:r>
                      </m:sub>
                    </m:sSub>
                  </m:num>
                  <m:den>
                    <m:r>
                      <w:rPr>
                        <w:rFonts w:ascii="Cambria Math" w:hAnsi="Cambria Math"/>
                      </w:rPr>
                      <m:t>ϕ</m:t>
                    </m:r>
                  </m:den>
                </m:f>
                <m:r>
                  <w:rPr>
                    <w:rFonts w:ascii="Cambria Math" w:hAnsi="Cambria Math"/>
                  </w:rPr>
                  <m:t>≥10</m:t>
                </m:r>
              </m:oMath>
            </m:oMathPara>
          </w:p>
        </w:tc>
        <w:tc>
          <w:tcPr>
            <w:tcW w:w="8448" w:type="dxa"/>
            <w:shd w:val="clear" w:color="auto" w:fill="auto"/>
            <w:vAlign w:val="center"/>
          </w:tcPr>
          <w:p w14:paraId="1F1742B1" w14:textId="6D7FCBDF" w:rsidR="00AC44F2" w:rsidRPr="001455DC" w:rsidRDefault="00AC44F2" w:rsidP="00AC44F2">
            <w:pPr>
              <w:pStyle w:val="Tablebody"/>
              <w:jc w:val="left"/>
            </w:pPr>
            <w:r w:rsidRPr="001455DC">
              <w:t>for plain bars;</w:t>
            </w:r>
          </w:p>
        </w:tc>
      </w:tr>
    </w:tbl>
    <w:p w14:paraId="015614C1" w14:textId="3888E5CD" w:rsidR="004E22C1" w:rsidRPr="001455DC" w:rsidRDefault="004E22C1" w:rsidP="00CF7E2A">
      <w:pPr>
        <w:pStyle w:val="Note"/>
      </w:pPr>
      <w:r w:rsidRPr="001455DC">
        <w:rPr>
          <w:bCs/>
        </w:rPr>
        <w:t>NOTE</w:t>
      </w:r>
      <w:r w:rsidRPr="001455DC">
        <w:rPr>
          <w:bCs/>
        </w:rPr>
        <w:tab/>
      </w:r>
      <w:r w:rsidRPr="001455DC">
        <w:t>For the definition of good bond conditions</w:t>
      </w:r>
      <w:r w:rsidR="00375D10">
        <w:t>,</w:t>
      </w:r>
      <w:r w:rsidRPr="001455DC">
        <w:t xml:space="preserve"> see 11.4.2(7).</w:t>
      </w:r>
    </w:p>
    <w:p w14:paraId="5E66D38E" w14:textId="6F7F8761" w:rsidR="004E22C1" w:rsidRPr="001455DC" w:rsidRDefault="004E22C1" w:rsidP="00243590">
      <w:pPr>
        <w:pStyle w:val="a3"/>
      </w:pPr>
      <w:bookmarkStart w:id="1814" w:name="_Toc52820244"/>
      <w:bookmarkStart w:id="1815" w:name="_Toc54337671"/>
      <w:bookmarkStart w:id="1816" w:name="_Toc54338298"/>
      <w:r w:rsidRPr="001455DC">
        <w:t>Laps of reinforcing steel in tension and compression and mechanical couplers</w:t>
      </w:r>
      <w:bookmarkEnd w:id="1814"/>
      <w:bookmarkEnd w:id="1815"/>
      <w:bookmarkEnd w:id="1816"/>
    </w:p>
    <w:p w14:paraId="7E295A03" w14:textId="77777777" w:rsidR="004E22C1" w:rsidRPr="001455DC" w:rsidRDefault="004E22C1" w:rsidP="009D3012">
      <w:pPr>
        <w:pStyle w:val="a7"/>
        <w:keepNext/>
        <w:ind w:left="567" w:hanging="567"/>
      </w:pPr>
      <w:r w:rsidRPr="001455DC">
        <w:t>(1)</w:t>
      </w:r>
      <w:r w:rsidRPr="001455DC">
        <w:tab/>
        <w:t>The minimum values of the design lap length given in Table 11.3 may be reduced to:</w:t>
      </w:r>
    </w:p>
    <w:p w14:paraId="136F1004" w14:textId="1B56119C" w:rsidR="004E22C1" w:rsidRPr="001455DC" w:rsidRDefault="004E22C1" w:rsidP="00CF7E2A">
      <w:pPr>
        <w:pStyle w:val="a0"/>
      </w:pPr>
      <m:oMath>
        <m:r>
          <m:rPr>
            <m:sty m:val="p"/>
          </m:rPr>
          <w:rPr>
            <w:rFonts w:ascii="Cambria Math" w:hAnsi="Cambria Math"/>
          </w:rPr>
          <m:t>5</m:t>
        </m:r>
        <m:r>
          <w:rPr>
            <w:rFonts w:ascii="Cambria Math" w:hAnsi="Cambria Math"/>
          </w:rPr>
          <m:t>ϕ</m:t>
        </m:r>
      </m:oMath>
      <w:r w:rsidRPr="001455DC">
        <w:t xml:space="preserve"> for ribbed and indented bars if the laps are made with straight bars or with bends and hooks (tension only) and if the provision of I.11.4.</w:t>
      </w:r>
      <w:r w:rsidR="008D6184" w:rsidRPr="001455DC">
        <w:t>1</w:t>
      </w:r>
      <w:r w:rsidRPr="001455DC">
        <w:t>(2) is fulfilled;</w:t>
      </w:r>
    </w:p>
    <w:p w14:paraId="26C624B9" w14:textId="3542A35C" w:rsidR="004E22C1" w:rsidRPr="001455DC" w:rsidRDefault="004E22C1" w:rsidP="00CF7E2A">
      <w:pPr>
        <w:pStyle w:val="a0"/>
      </w:pPr>
      <w:r w:rsidRPr="001455DC">
        <w:t>10</w:t>
      </w:r>
      <m:oMath>
        <m:r>
          <w:rPr>
            <w:rFonts w:ascii="Cambria Math" w:hAnsi="Cambria Math"/>
          </w:rPr>
          <m:t>ϕ</m:t>
        </m:r>
      </m:oMath>
      <w:r w:rsidRPr="001455DC">
        <w:t xml:space="preserve"> for plain bars if the laps are made with straight bars or with bends and hooks (tension only).</w:t>
      </w:r>
    </w:p>
    <w:p w14:paraId="1A7B9AAF" w14:textId="76E4B7D8" w:rsidR="004E22C1" w:rsidRPr="001455DC" w:rsidRDefault="00CF7E2A" w:rsidP="00082680">
      <w:pPr>
        <w:pStyle w:val="a2"/>
      </w:pPr>
      <w:bookmarkStart w:id="1817" w:name="_Toc52820246"/>
      <w:bookmarkStart w:id="1818" w:name="_Toc54337183"/>
      <w:bookmarkStart w:id="1819" w:name="_Toc54337673"/>
      <w:bookmarkStart w:id="1820" w:name="_Toc54338300"/>
      <w:bookmarkStart w:id="1821" w:name="_Toc67565582"/>
      <w:r w:rsidRPr="001455DC">
        <w:t>Detailing of members and particular rules</w:t>
      </w:r>
      <w:bookmarkEnd w:id="1817"/>
      <w:bookmarkEnd w:id="1818"/>
      <w:bookmarkEnd w:id="1819"/>
      <w:bookmarkEnd w:id="1820"/>
      <w:r w:rsidR="00217B86" w:rsidRPr="001455DC">
        <w:t xml:space="preserve"> - Minimum reinforcement rules</w:t>
      </w:r>
      <w:bookmarkEnd w:id="1821"/>
    </w:p>
    <w:p w14:paraId="35D05156" w14:textId="4A4F2C0E" w:rsidR="004E22C1" w:rsidRPr="001455DC" w:rsidRDefault="004E22C1" w:rsidP="00CF7E2A">
      <w:pPr>
        <w:pStyle w:val="a7"/>
      </w:pPr>
      <w:r w:rsidRPr="001455DC">
        <w:t>(1)</w:t>
      </w:r>
      <w:r w:rsidRPr="001455DC">
        <w:tab/>
        <w:t xml:space="preserve">For existing structures, the provisions of 12.2(5) may be ignored. However, for members having less longitudinal reinforcement than </w:t>
      </w:r>
      <m:oMath>
        <m:sSub>
          <m:sSubPr>
            <m:ctrlPr>
              <w:rPr>
                <w:rFonts w:ascii="Cambria Math" w:hAnsi="Cambria Math"/>
              </w:rPr>
            </m:ctrlPr>
          </m:sSubPr>
          <m:e>
            <m:r>
              <w:rPr>
                <w:rFonts w:ascii="Cambria Math" w:hAnsi="Cambria Math"/>
              </w:rPr>
              <m:t>A</m:t>
            </m:r>
          </m:e>
          <m:sub>
            <m:r>
              <m:rPr>
                <m:sty m:val="p"/>
              </m:rPr>
              <w:rPr>
                <w:rFonts w:ascii="Cambria Math" w:hAnsi="Cambria Math"/>
              </w:rPr>
              <m:t>s,min</m:t>
            </m:r>
          </m:sub>
        </m:sSub>
      </m:oMath>
      <w:r w:rsidRPr="001455DC">
        <w:t xml:space="preserve"> given in 12.2 the consequence for the structural safety should be identified.</w:t>
      </w:r>
    </w:p>
    <w:p w14:paraId="4152B39C" w14:textId="3B47EF65" w:rsidR="004E22C1" w:rsidRPr="001455DC" w:rsidRDefault="004E22C1" w:rsidP="00CF7E2A">
      <w:pPr>
        <w:pStyle w:val="a7"/>
      </w:pPr>
      <w:r w:rsidRPr="001455DC">
        <w:t>(2)</w:t>
      </w:r>
      <w:r w:rsidRPr="001455DC">
        <w:tab/>
        <w:t>If the provisions of 12.2(7) are not fulfilled, the reinforcement resistance should be evaluated by using the actual anchorage length.</w:t>
      </w:r>
      <w:bookmarkEnd w:id="1606"/>
    </w:p>
    <w:p w14:paraId="1CC14B8E" w14:textId="03CA2F06" w:rsidR="004E22C1" w:rsidRPr="001455DC" w:rsidRDefault="007A25BF" w:rsidP="007A25BF">
      <w:pPr>
        <w:pStyle w:val="ANNEX"/>
      </w:pPr>
      <w:bookmarkStart w:id="1822" w:name="_Toc52820248"/>
      <w:r w:rsidRPr="001455DC">
        <w:br/>
      </w:r>
      <w:bookmarkStart w:id="1823" w:name="_Toc54337184"/>
      <w:bookmarkStart w:id="1824" w:name="_Toc54337675"/>
      <w:bookmarkStart w:id="1825" w:name="_Toc54338302"/>
      <w:bookmarkStart w:id="1826" w:name="_Toc67565583"/>
      <w:r w:rsidR="004E22C1" w:rsidRPr="001455DC">
        <w:rPr>
          <w:b w:val="0"/>
        </w:rPr>
        <w:t>(</w:t>
      </w:r>
      <w:r w:rsidR="00AA0FE5" w:rsidRPr="001455DC">
        <w:rPr>
          <w:b w:val="0"/>
        </w:rPr>
        <w:t>informative</w:t>
      </w:r>
      <w:r w:rsidR="004E22C1" w:rsidRPr="001455DC">
        <w:rPr>
          <w:b w:val="0"/>
        </w:rPr>
        <w:t>)</w:t>
      </w:r>
      <w:r w:rsidRPr="001455DC">
        <w:rPr>
          <w:b w:val="0"/>
        </w:rPr>
        <w:br/>
      </w:r>
      <w:r w:rsidRPr="001455DC">
        <w:br/>
      </w:r>
      <w:r w:rsidR="004E22C1" w:rsidRPr="001455DC">
        <w:t>Strengthening of Existing Concrete Structures with CFRP</w:t>
      </w:r>
      <w:bookmarkEnd w:id="1822"/>
      <w:bookmarkEnd w:id="1823"/>
      <w:bookmarkEnd w:id="1824"/>
      <w:bookmarkEnd w:id="1825"/>
      <w:bookmarkEnd w:id="1826"/>
    </w:p>
    <w:p w14:paraId="5B840EAA" w14:textId="6C8860EA" w:rsidR="00F14AD0" w:rsidRPr="001455DC" w:rsidRDefault="00F14AD0" w:rsidP="00082680">
      <w:pPr>
        <w:pStyle w:val="a2"/>
      </w:pPr>
      <w:bookmarkStart w:id="1827" w:name="_Toc67565584"/>
      <w:bookmarkStart w:id="1828" w:name="_Toc52820249"/>
      <w:bookmarkStart w:id="1829" w:name="_Toc54337185"/>
      <w:bookmarkStart w:id="1830" w:name="_Toc54337676"/>
      <w:bookmarkStart w:id="1831" w:name="_Toc54338303"/>
      <w:r w:rsidRPr="001455DC">
        <w:t>Use of this annex</w:t>
      </w:r>
      <w:bookmarkEnd w:id="1827"/>
    </w:p>
    <w:p w14:paraId="7FBF7E71" w14:textId="77777777" w:rsidR="00F14AD0" w:rsidRPr="001455DC" w:rsidRDefault="00F14AD0" w:rsidP="00F14AD0">
      <w:pPr>
        <w:pStyle w:val="a7"/>
      </w:pPr>
      <w:r w:rsidRPr="001455DC">
        <w:t>(1)</w:t>
      </w:r>
      <w:r w:rsidRPr="001455DC">
        <w:tab/>
        <w:t>Annex J contains rules for strengthening of existing structures assessed in accordance with this Eurocode comprising plain, reinforced, and/or prestressed normal weight concrete with Carbon Fibre Reinforced Polymer (CFRP) reinforcement adhesively bonded to the concrete surface.</w:t>
      </w:r>
    </w:p>
    <w:p w14:paraId="7062C356" w14:textId="77777777" w:rsidR="00F14AD0" w:rsidRPr="009D3012" w:rsidRDefault="00F14AD0" w:rsidP="009D3012">
      <w:pPr>
        <w:pStyle w:val="Note"/>
      </w:pPr>
      <w:r w:rsidRPr="009D3012">
        <w:t>NOTE 1</w:t>
      </w:r>
      <w:r w:rsidRPr="009D3012">
        <w:tab/>
        <w:t>The reinforcement can be externally bonded to the surface (EBR) or near surface mounted in the concrete (NSM).</w:t>
      </w:r>
    </w:p>
    <w:p w14:paraId="17ECB80D" w14:textId="77777777" w:rsidR="00F14AD0" w:rsidRPr="009D3012" w:rsidRDefault="00F14AD0" w:rsidP="009D3012">
      <w:pPr>
        <w:pStyle w:val="Note"/>
      </w:pPr>
      <w:r w:rsidRPr="009D3012">
        <w:t>NOTE 2</w:t>
      </w:r>
      <w:r w:rsidRPr="009D3012">
        <w:tab/>
        <w:t>The reinforcement material can be in the form of</w:t>
      </w:r>
    </w:p>
    <w:p w14:paraId="6F5D7D4C" w14:textId="77777777" w:rsidR="00F14AD0" w:rsidRPr="009D3012" w:rsidRDefault="00F14AD0" w:rsidP="009D3012">
      <w:pPr>
        <w:pStyle w:val="Note"/>
      </w:pPr>
      <w:r w:rsidRPr="009D3012">
        <w:t>—</w:t>
      </w:r>
      <w:r w:rsidRPr="009D3012">
        <w:tab/>
        <w:t>Prefabricated carbon FRP (CFRP) strips (EBR or NSM) or bars (NSM),</w:t>
      </w:r>
    </w:p>
    <w:p w14:paraId="3B657C83" w14:textId="351B37A9" w:rsidR="00F14AD0" w:rsidRPr="009D3012" w:rsidRDefault="00F14AD0" w:rsidP="009D3012">
      <w:pPr>
        <w:pStyle w:val="Note"/>
      </w:pPr>
      <w:r w:rsidRPr="009D3012">
        <w:t>—</w:t>
      </w:r>
      <w:r w:rsidRPr="009D3012">
        <w:tab/>
        <w:t>In-situ lay-up carbon fibre (CF) sheets (EBR).</w:t>
      </w:r>
    </w:p>
    <w:p w14:paraId="70332B61" w14:textId="43926B54" w:rsidR="00F14AD0" w:rsidRPr="009D3012" w:rsidRDefault="00F14AD0" w:rsidP="009D3012">
      <w:pPr>
        <w:pStyle w:val="Note"/>
      </w:pPr>
      <w:r w:rsidRPr="009D3012">
        <w:t>NOTE 3 National choice on the application of this Informative Annex is given in a National Annex. If a National Annex contains no information on the application of this Informative Annex, it can be used.</w:t>
      </w:r>
    </w:p>
    <w:p w14:paraId="777CB1B6" w14:textId="1A78980E" w:rsidR="00F14AD0" w:rsidRPr="001455DC" w:rsidRDefault="00F14AD0" w:rsidP="00082680">
      <w:pPr>
        <w:pStyle w:val="a2"/>
      </w:pPr>
      <w:bookmarkStart w:id="1832" w:name="_Toc67565585"/>
      <w:r w:rsidRPr="001455DC">
        <w:t>Scope and field of application</w:t>
      </w:r>
      <w:bookmarkEnd w:id="1832"/>
    </w:p>
    <w:p w14:paraId="3AEEC6CF" w14:textId="6379D70E" w:rsidR="00F14AD0" w:rsidRPr="001455DC" w:rsidRDefault="00F14AD0" w:rsidP="00F14AD0">
      <w:pPr>
        <w:pStyle w:val="a7"/>
      </w:pPr>
      <w:r w:rsidRPr="001455DC">
        <w:t>(1)</w:t>
      </w:r>
      <w:r w:rsidRPr="001455DC">
        <w:tab/>
        <w:t xml:space="preserve">All clauses of this Eurocode apply unless specifically omitted or supplemented in Annex J. </w:t>
      </w:r>
    </w:p>
    <w:p w14:paraId="0F8087B3" w14:textId="5E90BCBA" w:rsidR="00F14AD0" w:rsidRPr="009D3012" w:rsidRDefault="00F14AD0" w:rsidP="009D3012">
      <w:pPr>
        <w:pStyle w:val="Note"/>
      </w:pPr>
      <w:r w:rsidRPr="009D3012">
        <w:t>NOTE</w:t>
      </w:r>
      <w:r w:rsidRPr="009D3012">
        <w:tab/>
        <w:t>For general aspects of existing structures, Annex I can be considered.</w:t>
      </w:r>
    </w:p>
    <w:p w14:paraId="3E7C3EEF" w14:textId="0510FB13" w:rsidR="004E22C1" w:rsidRPr="001455DC" w:rsidRDefault="007A25BF" w:rsidP="00082680">
      <w:pPr>
        <w:pStyle w:val="a2"/>
      </w:pPr>
      <w:bookmarkStart w:id="1833" w:name="_Toc67565586"/>
      <w:r w:rsidRPr="001455DC">
        <w:t>General</w:t>
      </w:r>
      <w:bookmarkEnd w:id="1828"/>
      <w:bookmarkEnd w:id="1829"/>
      <w:bookmarkEnd w:id="1830"/>
      <w:bookmarkEnd w:id="1831"/>
      <w:bookmarkEnd w:id="1833"/>
    </w:p>
    <w:p w14:paraId="78AB4B7B" w14:textId="7C72AEBD" w:rsidR="00850ACE" w:rsidRPr="009D3012" w:rsidRDefault="004E22C1" w:rsidP="009D3012">
      <w:pPr>
        <w:pStyle w:val="Note"/>
      </w:pPr>
      <w:r w:rsidRPr="001455DC">
        <w:t>NOTE</w:t>
      </w:r>
      <w:r w:rsidRPr="001455DC">
        <w:tab/>
        <w:t xml:space="preserve">Unless noted otherwise, in Annex J all section/sub-section numbers and titles are similar as the relevant of the main part of this Eurocode. The prefix ‘J’ is added to </w:t>
      </w:r>
      <w:r w:rsidR="00AA0FE5" w:rsidRPr="001455DC">
        <w:t>subclauses/clauses</w:t>
      </w:r>
      <w:r w:rsidRPr="001455DC">
        <w:t xml:space="preserve"> numbers to distinguish content that pertain to strengthening of existing concrete structures with CFRP. Annex J contains only sections/subsections of the main part of this Eurocode that include specific clauses for the strengthening of </w:t>
      </w:r>
      <w:r w:rsidR="00850ACE" w:rsidRPr="001455DC">
        <w:t>e</w:t>
      </w:r>
      <w:r w:rsidRPr="001455DC">
        <w:t>xisting concrete structures with CFRP.</w:t>
      </w:r>
      <w:bookmarkStart w:id="1834" w:name="_Hlk41035762"/>
    </w:p>
    <w:p w14:paraId="4C2575EB" w14:textId="0EDE8521" w:rsidR="004E22C1" w:rsidRPr="009D3012" w:rsidRDefault="00DA7105" w:rsidP="00082680">
      <w:pPr>
        <w:pStyle w:val="a2"/>
      </w:pPr>
      <w:bookmarkStart w:id="1835" w:name="_Toc56582841"/>
      <w:bookmarkStart w:id="1836" w:name="_Toc56595892"/>
      <w:bookmarkStart w:id="1837" w:name="_Toc56582904"/>
      <w:bookmarkStart w:id="1838" w:name="_Toc56595955"/>
      <w:bookmarkStart w:id="1839" w:name="_Toc56582905"/>
      <w:bookmarkStart w:id="1840" w:name="_Toc56595956"/>
      <w:bookmarkStart w:id="1841" w:name="_Toc56583029"/>
      <w:bookmarkStart w:id="1842" w:name="_Toc56596080"/>
      <w:bookmarkStart w:id="1843" w:name="_Toc56583030"/>
      <w:bookmarkStart w:id="1844" w:name="_Toc56596081"/>
      <w:bookmarkStart w:id="1845" w:name="_Toc56583094"/>
      <w:bookmarkStart w:id="1846" w:name="_Toc67565587"/>
      <w:bookmarkEnd w:id="1834"/>
      <w:bookmarkEnd w:id="1835"/>
      <w:bookmarkEnd w:id="1836"/>
      <w:bookmarkEnd w:id="1837"/>
      <w:bookmarkEnd w:id="1838"/>
      <w:bookmarkEnd w:id="1839"/>
      <w:bookmarkEnd w:id="1840"/>
      <w:bookmarkEnd w:id="1841"/>
      <w:bookmarkEnd w:id="1842"/>
      <w:bookmarkEnd w:id="1843"/>
      <w:bookmarkEnd w:id="1844"/>
      <w:bookmarkEnd w:id="1845"/>
      <w:r w:rsidRPr="009D3012">
        <w:t>Basis of design - Partial factors for materials</w:t>
      </w:r>
      <w:bookmarkStart w:id="1847" w:name="_Hlk41042295"/>
      <w:bookmarkEnd w:id="1846"/>
    </w:p>
    <w:p w14:paraId="542995BB" w14:textId="2BB1EA10" w:rsidR="004E22C1" w:rsidRPr="001455DC" w:rsidRDefault="004E22C1" w:rsidP="00825E18">
      <w:pPr>
        <w:pStyle w:val="a7"/>
      </w:pPr>
      <w:r w:rsidRPr="001455DC">
        <w:t>(1)</w:t>
      </w:r>
      <w:r w:rsidRPr="001455DC">
        <w:tab/>
        <w:t xml:space="preserve">Partial factors for ABR CFRP reinforcement </w:t>
      </w:r>
      <m:oMath>
        <m:sSub>
          <m:sSubPr>
            <m:ctrlPr>
              <w:rPr>
                <w:rFonts w:ascii="Cambria Math" w:hAnsi="Cambria Math"/>
              </w:rPr>
            </m:ctrlPr>
          </m:sSubPr>
          <m:e>
            <m:r>
              <w:rPr>
                <w:rFonts w:ascii="Cambria Math" w:hAnsi="Cambria Math"/>
              </w:rPr>
              <m:t>γ</m:t>
            </m:r>
          </m:e>
          <m:sub>
            <m:r>
              <m:rPr>
                <m:sty m:val="p"/>
              </m:rPr>
              <w:rPr>
                <w:rFonts w:ascii="Cambria Math" w:hAnsi="Cambria Math"/>
              </w:rPr>
              <m:t>f</m:t>
            </m:r>
          </m:sub>
        </m:sSub>
      </m:oMath>
      <w:r w:rsidRPr="001455DC">
        <w:t xml:space="preserve"> and </w:t>
      </w:r>
      <m:oMath>
        <m:sSub>
          <m:sSubPr>
            <m:ctrlPr>
              <w:rPr>
                <w:rFonts w:ascii="Cambria Math" w:hAnsi="Cambria Math"/>
              </w:rPr>
            </m:ctrlPr>
          </m:sSubPr>
          <m:e>
            <m:r>
              <w:rPr>
                <w:rFonts w:ascii="Cambria Math" w:hAnsi="Cambria Math"/>
              </w:rPr>
              <m:t>γ</m:t>
            </m:r>
          </m:e>
          <m:sub>
            <m:r>
              <m:rPr>
                <m:sty m:val="p"/>
              </m:rPr>
              <w:rPr>
                <w:rFonts w:ascii="Cambria Math" w:hAnsi="Cambria Math"/>
              </w:rPr>
              <m:t>BA</m:t>
            </m:r>
          </m:sub>
        </m:sSub>
      </m:oMath>
      <w:r w:rsidRPr="001455DC">
        <w:t xml:space="preserve"> shall be applied.</w:t>
      </w:r>
    </w:p>
    <w:p w14:paraId="5A620D36" w14:textId="5EA5315B" w:rsidR="004E22C1" w:rsidRPr="001455DC" w:rsidRDefault="004E22C1" w:rsidP="00825E18">
      <w:pPr>
        <w:pStyle w:val="Note"/>
      </w:pPr>
      <w:r w:rsidRPr="001455DC">
        <w:t>NOTE</w:t>
      </w:r>
      <w:r w:rsidRPr="001455DC">
        <w:tab/>
        <w:t xml:space="preserve">The values </w:t>
      </w:r>
      <m:oMath>
        <m:sSub>
          <m:sSubPr>
            <m:ctrlPr>
              <w:rPr>
                <w:rFonts w:ascii="Cambria Math" w:hAnsi="Cambria Math"/>
              </w:rPr>
            </m:ctrlPr>
          </m:sSubPr>
          <m:e>
            <m:r>
              <w:rPr>
                <w:rFonts w:ascii="Cambria Math" w:hAnsi="Cambria Math"/>
              </w:rPr>
              <m:t>γ</m:t>
            </m:r>
          </m:e>
          <m:sub>
            <m:r>
              <m:rPr>
                <m:sty m:val="p"/>
              </m:rPr>
              <w:rPr>
                <w:rFonts w:ascii="Cambria Math" w:hAnsi="Cambria Math"/>
              </w:rPr>
              <m:t>f</m:t>
            </m:r>
          </m:sub>
        </m:sSub>
      </m:oMath>
      <w:r w:rsidRPr="001455DC">
        <w:t xml:space="preserve"> and </w:t>
      </w:r>
      <m:oMath>
        <m:sSub>
          <m:sSubPr>
            <m:ctrlPr>
              <w:rPr>
                <w:rFonts w:ascii="Cambria Math" w:hAnsi="Cambria Math"/>
              </w:rPr>
            </m:ctrlPr>
          </m:sSubPr>
          <m:e>
            <m:r>
              <w:rPr>
                <w:rFonts w:ascii="Cambria Math" w:hAnsi="Cambria Math"/>
              </w:rPr>
              <m:t>γ</m:t>
            </m:r>
          </m:e>
          <m:sub>
            <m:r>
              <m:rPr>
                <m:sty m:val="p"/>
              </m:rPr>
              <w:rPr>
                <w:rFonts w:ascii="Cambria Math" w:hAnsi="Cambria Math"/>
              </w:rPr>
              <m:t>BA</m:t>
            </m:r>
          </m:sub>
        </m:sSub>
      </m:oMath>
      <w:r w:rsidRPr="001455DC">
        <w:t xml:space="preserve"> are those given in Table J.1(NDP) unless a National Annex gives different values.</w:t>
      </w:r>
    </w:p>
    <w:p w14:paraId="7EA1A821" w14:textId="77777777" w:rsidR="004E22C1" w:rsidRPr="001455DC" w:rsidRDefault="004E22C1" w:rsidP="00825E18">
      <w:pPr>
        <w:pStyle w:val="Tabletitle"/>
      </w:pPr>
      <w:bookmarkStart w:id="1848" w:name="_Toc54337685"/>
      <w:r w:rsidRPr="001455DC">
        <w:t>Table J.1(NDP) — Partial factors for ABR CFRP strengthening</w:t>
      </w:r>
      <w:bookmarkEnd w:id="1848"/>
    </w:p>
    <w:tbl>
      <w:tblPr>
        <w:tblStyle w:val="53"/>
        <w:tblW w:w="9752" w:type="dxa"/>
        <w:tblLayout w:type="fixed"/>
        <w:tblLook w:val="04A0" w:firstRow="1" w:lastRow="0" w:firstColumn="1" w:lastColumn="0" w:noHBand="0" w:noVBand="1"/>
      </w:tblPr>
      <w:tblGrid>
        <w:gridCol w:w="2647"/>
        <w:gridCol w:w="1560"/>
        <w:gridCol w:w="1689"/>
        <w:gridCol w:w="3856"/>
      </w:tblGrid>
      <w:tr w:rsidR="004E22C1" w:rsidRPr="001455DC" w14:paraId="2FD1E0AC" w14:textId="77777777" w:rsidTr="0036564C">
        <w:trPr>
          <w:cnfStyle w:val="100000000000" w:firstRow="1" w:lastRow="0" w:firstColumn="0" w:lastColumn="0" w:oddVBand="0" w:evenVBand="0" w:oddHBand="0" w:evenHBand="0" w:firstRowFirstColumn="0" w:firstRowLastColumn="0" w:lastRowFirstColumn="0" w:lastRowLastColumn="0"/>
          <w:trHeight w:val="283"/>
          <w:tblHeader/>
        </w:trPr>
        <w:tc>
          <w:tcPr>
            <w:cnfStyle w:val="000000000100" w:firstRow="0" w:lastRow="0" w:firstColumn="0" w:lastColumn="0" w:oddVBand="0" w:evenVBand="0" w:oddHBand="0" w:evenHBand="0" w:firstRowFirstColumn="1" w:firstRowLastColumn="0" w:lastRowFirstColumn="0" w:lastRowLastColumn="0"/>
            <w:tcW w:w="1357" w:type="pct"/>
            <w:vMerge w:val="restart"/>
          </w:tcPr>
          <w:p w14:paraId="1ABC0030" w14:textId="77777777" w:rsidR="004E22C1" w:rsidRPr="001455DC" w:rsidRDefault="004E22C1" w:rsidP="0036564C">
            <w:pPr>
              <w:pStyle w:val="Tableheader"/>
              <w:keepNext/>
            </w:pPr>
            <w:r w:rsidRPr="001455DC">
              <w:t>Design situation</w:t>
            </w:r>
          </w:p>
        </w:tc>
        <w:tc>
          <w:tcPr>
            <w:tcW w:w="1666" w:type="pct"/>
            <w:gridSpan w:val="2"/>
          </w:tcPr>
          <w:p w14:paraId="395FF134" w14:textId="77777777" w:rsidR="004E22C1" w:rsidRPr="001455DC" w:rsidRDefault="004E22C1" w:rsidP="0036564C">
            <w:pPr>
              <w:pStyle w:val="Tableheader"/>
              <w:keepNext/>
              <w:cnfStyle w:val="100000000000" w:firstRow="1" w:lastRow="0" w:firstColumn="0" w:lastColumn="0" w:oddVBand="0" w:evenVBand="0" w:oddHBand="0" w:evenHBand="0" w:firstRowFirstColumn="0" w:firstRowLastColumn="0" w:lastRowFirstColumn="0" w:lastRowLastColumn="0"/>
            </w:pPr>
            <w:r w:rsidRPr="001455DC">
              <w:t>Tensile strength</w:t>
            </w:r>
          </w:p>
        </w:tc>
        <w:tc>
          <w:tcPr>
            <w:tcW w:w="1977" w:type="pct"/>
          </w:tcPr>
          <w:p w14:paraId="30B52179" w14:textId="77777777" w:rsidR="004E22C1" w:rsidRPr="001455DC" w:rsidRDefault="004E22C1" w:rsidP="0036564C">
            <w:pPr>
              <w:pStyle w:val="Tableheader"/>
              <w:keepNext/>
              <w:cnfStyle w:val="100000000000" w:firstRow="1" w:lastRow="0" w:firstColumn="0" w:lastColumn="0" w:oddVBand="0" w:evenVBand="0" w:oddHBand="0" w:evenHBand="0" w:firstRowFirstColumn="0" w:firstRowLastColumn="0" w:lastRowFirstColumn="0" w:lastRowLastColumn="0"/>
            </w:pPr>
            <w:r w:rsidRPr="001455DC">
              <w:t>Bond strength</w:t>
            </w:r>
          </w:p>
        </w:tc>
      </w:tr>
      <w:tr w:rsidR="004E22C1" w:rsidRPr="001455DC" w14:paraId="2B7CF1FE" w14:textId="77777777" w:rsidTr="0036564C">
        <w:trPr>
          <w:cnfStyle w:val="100000000000" w:firstRow="1" w:lastRow="0" w:firstColumn="0" w:lastColumn="0" w:oddVBand="0" w:evenVBand="0" w:oddHBand="0" w:evenHBand="0" w:firstRowFirstColumn="0" w:firstRowLastColumn="0" w:lastRowFirstColumn="0" w:lastRowLastColumn="0"/>
          <w:trHeight w:val="283"/>
          <w:tblHeader/>
        </w:trPr>
        <w:tc>
          <w:tcPr>
            <w:cnfStyle w:val="000000000100" w:firstRow="0" w:lastRow="0" w:firstColumn="0" w:lastColumn="0" w:oddVBand="0" w:evenVBand="0" w:oddHBand="0" w:evenHBand="0" w:firstRowFirstColumn="1" w:firstRowLastColumn="0" w:lastRowFirstColumn="0" w:lastRowLastColumn="0"/>
            <w:tcW w:w="1357" w:type="pct"/>
            <w:vMerge/>
          </w:tcPr>
          <w:p w14:paraId="21A4E56D" w14:textId="77777777" w:rsidR="004E22C1" w:rsidRPr="001455DC" w:rsidRDefault="004E22C1" w:rsidP="0036564C">
            <w:pPr>
              <w:pStyle w:val="Tableheader"/>
              <w:keepNext/>
            </w:pPr>
          </w:p>
        </w:tc>
        <w:tc>
          <w:tcPr>
            <w:tcW w:w="800" w:type="pct"/>
          </w:tcPr>
          <w:p w14:paraId="4E025040" w14:textId="77777777" w:rsidR="004E22C1" w:rsidRPr="001455DC" w:rsidRDefault="004E22C1" w:rsidP="0036564C">
            <w:pPr>
              <w:pStyle w:val="Tableheader"/>
              <w:keepNext/>
              <w:cnfStyle w:val="100000000000" w:firstRow="1" w:lastRow="0" w:firstColumn="0" w:lastColumn="0" w:oddVBand="0" w:evenVBand="0" w:oddHBand="0" w:evenHBand="0" w:firstRowFirstColumn="0" w:firstRowLastColumn="0" w:lastRowFirstColumn="0" w:lastRowLastColumn="0"/>
            </w:pPr>
            <w:r w:rsidRPr="001455DC">
              <w:t>CFRP strips and bars</w:t>
            </w:r>
          </w:p>
        </w:tc>
        <w:tc>
          <w:tcPr>
            <w:tcW w:w="866" w:type="pct"/>
          </w:tcPr>
          <w:p w14:paraId="49CD964B" w14:textId="77777777" w:rsidR="004E22C1" w:rsidRPr="009D3012" w:rsidRDefault="004E22C1" w:rsidP="0036564C">
            <w:pPr>
              <w:pStyle w:val="Tableheader"/>
              <w:keepNext/>
              <w:cnfStyle w:val="100000000000" w:firstRow="1" w:lastRow="0" w:firstColumn="0" w:lastColumn="0" w:oddVBand="0" w:evenVBand="0" w:oddHBand="0" w:evenHBand="0" w:firstRowFirstColumn="0" w:firstRowLastColumn="0" w:lastRowFirstColumn="0" w:lastRowLastColumn="0"/>
              <w:rPr>
                <w:lang w:val="en-US"/>
              </w:rPr>
            </w:pPr>
            <w:r w:rsidRPr="009D3012">
              <w:rPr>
                <w:lang w:val="en-US"/>
              </w:rPr>
              <w:t>In-situ lay-up CF sheets</w:t>
            </w:r>
          </w:p>
        </w:tc>
        <w:tc>
          <w:tcPr>
            <w:tcW w:w="1977" w:type="pct"/>
          </w:tcPr>
          <w:p w14:paraId="6F0B9C6D" w14:textId="77777777" w:rsidR="004E22C1" w:rsidRPr="009D3012" w:rsidRDefault="004E22C1" w:rsidP="0036564C">
            <w:pPr>
              <w:pStyle w:val="Tableheader"/>
              <w:keepNext/>
              <w:cnfStyle w:val="100000000000" w:firstRow="1" w:lastRow="0" w:firstColumn="0" w:lastColumn="0" w:oddVBand="0" w:evenVBand="0" w:oddHBand="0" w:evenHBand="0" w:firstRowFirstColumn="0" w:firstRowLastColumn="0" w:lastRowFirstColumn="0" w:lastRowLastColumn="0"/>
              <w:rPr>
                <w:lang w:val="en-US"/>
              </w:rPr>
            </w:pPr>
            <w:r w:rsidRPr="009D3012">
              <w:rPr>
                <w:lang w:val="en-US"/>
              </w:rPr>
              <w:t>Failure in concrete or adhesive</w:t>
            </w:r>
          </w:p>
        </w:tc>
      </w:tr>
      <w:tr w:rsidR="004E22C1" w:rsidRPr="001455DC" w14:paraId="4EB07EF2" w14:textId="77777777" w:rsidTr="009D3012">
        <w:trPr>
          <w:trHeight w:val="283"/>
        </w:trPr>
        <w:tc>
          <w:tcPr>
            <w:tcW w:w="1357" w:type="pct"/>
            <w:vAlign w:val="center"/>
          </w:tcPr>
          <w:p w14:paraId="735C626E" w14:textId="77777777" w:rsidR="004E22C1" w:rsidRPr="001455DC" w:rsidRDefault="004E22C1" w:rsidP="0036564C">
            <w:pPr>
              <w:pStyle w:val="Tablebody"/>
              <w:keepNext/>
              <w:jc w:val="left"/>
            </w:pPr>
            <w:r w:rsidRPr="001455DC">
              <w:t>Designation</w:t>
            </w:r>
          </w:p>
        </w:tc>
        <w:tc>
          <w:tcPr>
            <w:tcW w:w="1666" w:type="pct"/>
            <w:gridSpan w:val="2"/>
            <w:vAlign w:val="center"/>
          </w:tcPr>
          <w:p w14:paraId="3A3908E7" w14:textId="3639D7DA" w:rsidR="004E22C1" w:rsidRPr="001455DC" w:rsidRDefault="00231E33">
            <w:pPr>
              <w:pStyle w:val="Tablebody"/>
              <w:keepNext/>
              <w:jc w:val="center"/>
            </w:pPr>
            <m:oMathPara>
              <m:oMath>
                <m:sSub>
                  <m:sSubPr>
                    <m:ctrlPr>
                      <w:rPr>
                        <w:rFonts w:ascii="Cambria Math" w:hAnsi="Cambria Math"/>
                      </w:rPr>
                    </m:ctrlPr>
                  </m:sSubPr>
                  <m:e>
                    <m:r>
                      <w:rPr>
                        <w:rFonts w:ascii="Cambria Math" w:hAnsi="Cambria Math"/>
                      </w:rPr>
                      <m:t>γ</m:t>
                    </m:r>
                  </m:e>
                  <m:sub>
                    <m:r>
                      <m:rPr>
                        <m:sty m:val="p"/>
                      </m:rPr>
                      <w:rPr>
                        <w:rFonts w:ascii="Cambria Math" w:hAnsi="Cambria Math"/>
                      </w:rPr>
                      <m:t>f</m:t>
                    </m:r>
                  </m:sub>
                </m:sSub>
              </m:oMath>
            </m:oMathPara>
          </w:p>
        </w:tc>
        <w:tc>
          <w:tcPr>
            <w:tcW w:w="1977" w:type="pct"/>
            <w:vAlign w:val="center"/>
          </w:tcPr>
          <w:p w14:paraId="391751F9" w14:textId="78E35456" w:rsidR="004E22C1" w:rsidRPr="001455DC" w:rsidRDefault="00231E33">
            <w:pPr>
              <w:pStyle w:val="Tablebody"/>
              <w:keepNext/>
              <w:jc w:val="center"/>
            </w:pPr>
            <m:oMathPara>
              <m:oMath>
                <m:sSub>
                  <m:sSubPr>
                    <m:ctrlPr>
                      <w:rPr>
                        <w:rFonts w:ascii="Cambria Math" w:hAnsi="Cambria Math"/>
                      </w:rPr>
                    </m:ctrlPr>
                  </m:sSubPr>
                  <m:e>
                    <m:r>
                      <w:rPr>
                        <w:rFonts w:ascii="Cambria Math" w:hAnsi="Cambria Math"/>
                      </w:rPr>
                      <m:t>γ</m:t>
                    </m:r>
                  </m:e>
                  <m:sub>
                    <m:r>
                      <m:rPr>
                        <m:sty m:val="p"/>
                      </m:rPr>
                      <w:rPr>
                        <w:rFonts w:ascii="Cambria Math" w:hAnsi="Cambria Math"/>
                      </w:rPr>
                      <m:t>BA</m:t>
                    </m:r>
                  </m:sub>
                </m:sSub>
              </m:oMath>
            </m:oMathPara>
          </w:p>
        </w:tc>
      </w:tr>
      <w:tr w:rsidR="004E22C1" w:rsidRPr="001455DC" w14:paraId="1DC8E5C6" w14:textId="77777777" w:rsidTr="0036564C">
        <w:trPr>
          <w:trHeight w:val="276"/>
        </w:trPr>
        <w:tc>
          <w:tcPr>
            <w:tcW w:w="1357" w:type="pct"/>
            <w:vAlign w:val="center"/>
          </w:tcPr>
          <w:p w14:paraId="6402DA4F" w14:textId="77777777" w:rsidR="004E22C1" w:rsidRPr="001455DC" w:rsidRDefault="004E22C1" w:rsidP="0036564C">
            <w:pPr>
              <w:pStyle w:val="Tablebody"/>
              <w:keepNext/>
              <w:jc w:val="left"/>
            </w:pPr>
            <w:r w:rsidRPr="001455DC">
              <w:t>Persistent and transient</w:t>
            </w:r>
          </w:p>
        </w:tc>
        <w:tc>
          <w:tcPr>
            <w:tcW w:w="800" w:type="pct"/>
            <w:vAlign w:val="center"/>
          </w:tcPr>
          <w:p w14:paraId="5C7E0514" w14:textId="77777777" w:rsidR="004E22C1" w:rsidRPr="001455DC" w:rsidRDefault="004E22C1" w:rsidP="0036564C">
            <w:pPr>
              <w:pStyle w:val="Tablebody"/>
              <w:keepNext/>
              <w:jc w:val="center"/>
            </w:pPr>
            <w:r w:rsidRPr="001455DC">
              <w:t>1,30</w:t>
            </w:r>
          </w:p>
        </w:tc>
        <w:tc>
          <w:tcPr>
            <w:tcW w:w="866" w:type="pct"/>
            <w:vAlign w:val="center"/>
          </w:tcPr>
          <w:p w14:paraId="6995BE2F" w14:textId="77777777" w:rsidR="004E22C1" w:rsidRPr="001455DC" w:rsidRDefault="004E22C1" w:rsidP="0036564C">
            <w:pPr>
              <w:pStyle w:val="Tablebody"/>
              <w:keepNext/>
              <w:jc w:val="center"/>
            </w:pPr>
            <w:r w:rsidRPr="001455DC">
              <w:t>1,40</w:t>
            </w:r>
          </w:p>
        </w:tc>
        <w:tc>
          <w:tcPr>
            <w:tcW w:w="1977" w:type="pct"/>
            <w:vAlign w:val="center"/>
          </w:tcPr>
          <w:p w14:paraId="30ADFCD3" w14:textId="77777777" w:rsidR="004E22C1" w:rsidRPr="001455DC" w:rsidRDefault="004E22C1" w:rsidP="0036564C">
            <w:pPr>
              <w:pStyle w:val="Tablebody"/>
              <w:keepNext/>
              <w:jc w:val="center"/>
            </w:pPr>
            <w:r w:rsidRPr="001455DC">
              <w:t>1,50</w:t>
            </w:r>
          </w:p>
        </w:tc>
      </w:tr>
      <w:tr w:rsidR="004E22C1" w:rsidRPr="001455DC" w14:paraId="279E7E04" w14:textId="77777777" w:rsidTr="0036564C">
        <w:trPr>
          <w:trHeight w:val="283"/>
        </w:trPr>
        <w:tc>
          <w:tcPr>
            <w:tcW w:w="1357" w:type="pct"/>
            <w:vAlign w:val="center"/>
          </w:tcPr>
          <w:p w14:paraId="3F239C78" w14:textId="77777777" w:rsidR="004E22C1" w:rsidRPr="001455DC" w:rsidRDefault="004E22C1" w:rsidP="0036564C">
            <w:pPr>
              <w:pStyle w:val="Tablebody"/>
              <w:keepNext/>
              <w:jc w:val="left"/>
            </w:pPr>
            <w:r w:rsidRPr="001455DC">
              <w:t>Accidental</w:t>
            </w:r>
          </w:p>
        </w:tc>
        <w:tc>
          <w:tcPr>
            <w:tcW w:w="800" w:type="pct"/>
            <w:vAlign w:val="center"/>
          </w:tcPr>
          <w:p w14:paraId="543682A1" w14:textId="77777777" w:rsidR="004E22C1" w:rsidRPr="001455DC" w:rsidRDefault="004E22C1" w:rsidP="0036564C">
            <w:pPr>
              <w:pStyle w:val="Tablebody"/>
              <w:keepNext/>
              <w:jc w:val="center"/>
            </w:pPr>
            <w:r w:rsidRPr="001455DC">
              <w:t>1,05</w:t>
            </w:r>
          </w:p>
        </w:tc>
        <w:tc>
          <w:tcPr>
            <w:tcW w:w="866" w:type="pct"/>
            <w:vAlign w:val="center"/>
          </w:tcPr>
          <w:p w14:paraId="4A3E4EED" w14:textId="77777777" w:rsidR="004E22C1" w:rsidRPr="001455DC" w:rsidRDefault="004E22C1" w:rsidP="0036564C">
            <w:pPr>
              <w:pStyle w:val="Tablebody"/>
              <w:keepNext/>
              <w:jc w:val="center"/>
            </w:pPr>
            <w:r w:rsidRPr="001455DC">
              <w:t>1,10</w:t>
            </w:r>
          </w:p>
        </w:tc>
        <w:tc>
          <w:tcPr>
            <w:tcW w:w="1977" w:type="pct"/>
            <w:vAlign w:val="center"/>
          </w:tcPr>
          <w:p w14:paraId="5366BE47" w14:textId="77777777" w:rsidR="004E22C1" w:rsidRPr="001455DC" w:rsidRDefault="004E22C1" w:rsidP="0036564C">
            <w:pPr>
              <w:pStyle w:val="Tablebody"/>
              <w:keepNext/>
              <w:jc w:val="center"/>
            </w:pPr>
            <w:r w:rsidRPr="001455DC">
              <w:t>1,20</w:t>
            </w:r>
          </w:p>
        </w:tc>
      </w:tr>
      <w:tr w:rsidR="004E22C1" w:rsidRPr="001455DC" w14:paraId="57ED2FFF" w14:textId="77777777" w:rsidTr="0036564C">
        <w:trPr>
          <w:trHeight w:val="283"/>
        </w:trPr>
        <w:tc>
          <w:tcPr>
            <w:tcW w:w="1357" w:type="pct"/>
            <w:vAlign w:val="center"/>
          </w:tcPr>
          <w:p w14:paraId="0655193A" w14:textId="77777777" w:rsidR="004E22C1" w:rsidRPr="001455DC" w:rsidRDefault="004E22C1" w:rsidP="0036564C">
            <w:pPr>
              <w:pStyle w:val="Tablebody"/>
              <w:keepNext/>
              <w:jc w:val="left"/>
            </w:pPr>
            <w:r w:rsidRPr="001455DC">
              <w:t>Serviceability</w:t>
            </w:r>
          </w:p>
        </w:tc>
        <w:tc>
          <w:tcPr>
            <w:tcW w:w="800" w:type="pct"/>
            <w:vAlign w:val="center"/>
          </w:tcPr>
          <w:p w14:paraId="09B57B46" w14:textId="77777777" w:rsidR="004E22C1" w:rsidRPr="001455DC" w:rsidRDefault="004E22C1" w:rsidP="0036564C">
            <w:pPr>
              <w:pStyle w:val="Tablebody"/>
              <w:keepNext/>
              <w:jc w:val="center"/>
            </w:pPr>
            <w:r w:rsidRPr="001455DC">
              <w:t>1,00</w:t>
            </w:r>
          </w:p>
        </w:tc>
        <w:tc>
          <w:tcPr>
            <w:tcW w:w="866" w:type="pct"/>
            <w:vAlign w:val="center"/>
          </w:tcPr>
          <w:p w14:paraId="1246DE8F" w14:textId="77777777" w:rsidR="004E22C1" w:rsidRPr="001455DC" w:rsidRDefault="004E22C1" w:rsidP="0036564C">
            <w:pPr>
              <w:pStyle w:val="Tablebody"/>
              <w:keepNext/>
              <w:jc w:val="center"/>
            </w:pPr>
            <w:r w:rsidRPr="001455DC">
              <w:t>1,00</w:t>
            </w:r>
          </w:p>
        </w:tc>
        <w:tc>
          <w:tcPr>
            <w:tcW w:w="1977" w:type="pct"/>
            <w:vAlign w:val="center"/>
          </w:tcPr>
          <w:p w14:paraId="43D4DB48" w14:textId="77777777" w:rsidR="004E22C1" w:rsidRPr="001455DC" w:rsidRDefault="004E22C1" w:rsidP="0036564C">
            <w:pPr>
              <w:pStyle w:val="Tablebody"/>
              <w:keepNext/>
              <w:jc w:val="center"/>
            </w:pPr>
            <w:r w:rsidRPr="001455DC">
              <w:t>1,00</w:t>
            </w:r>
          </w:p>
        </w:tc>
      </w:tr>
      <w:tr w:rsidR="004E22C1" w:rsidRPr="001455DC" w14:paraId="0DBEFAD3" w14:textId="77777777" w:rsidTr="0036564C">
        <w:trPr>
          <w:trHeight w:val="283"/>
        </w:trPr>
        <w:tc>
          <w:tcPr>
            <w:tcW w:w="1357" w:type="pct"/>
            <w:vAlign w:val="center"/>
          </w:tcPr>
          <w:p w14:paraId="4157377B" w14:textId="77777777" w:rsidR="004E22C1" w:rsidRPr="001455DC" w:rsidRDefault="004E22C1" w:rsidP="0036564C">
            <w:pPr>
              <w:pStyle w:val="Tablebody"/>
              <w:jc w:val="left"/>
            </w:pPr>
            <w:r w:rsidRPr="001455DC">
              <w:t>Fatigue</w:t>
            </w:r>
          </w:p>
        </w:tc>
        <w:tc>
          <w:tcPr>
            <w:tcW w:w="800" w:type="pct"/>
            <w:vAlign w:val="center"/>
          </w:tcPr>
          <w:p w14:paraId="49F84E76" w14:textId="77777777" w:rsidR="004E22C1" w:rsidRPr="001455DC" w:rsidRDefault="004E22C1" w:rsidP="0036564C">
            <w:pPr>
              <w:pStyle w:val="Tablebody"/>
              <w:jc w:val="center"/>
            </w:pPr>
            <w:r w:rsidRPr="001455DC">
              <w:t>1,30</w:t>
            </w:r>
          </w:p>
        </w:tc>
        <w:tc>
          <w:tcPr>
            <w:tcW w:w="866" w:type="pct"/>
            <w:vAlign w:val="center"/>
          </w:tcPr>
          <w:p w14:paraId="55E6EA78" w14:textId="77777777" w:rsidR="004E22C1" w:rsidRPr="001455DC" w:rsidRDefault="004E22C1" w:rsidP="0036564C">
            <w:pPr>
              <w:pStyle w:val="Tablebody"/>
              <w:jc w:val="center"/>
            </w:pPr>
            <w:r w:rsidRPr="001455DC">
              <w:t>1,40</w:t>
            </w:r>
          </w:p>
        </w:tc>
        <w:tc>
          <w:tcPr>
            <w:tcW w:w="1977" w:type="pct"/>
            <w:vAlign w:val="center"/>
          </w:tcPr>
          <w:p w14:paraId="16BDE320" w14:textId="77777777" w:rsidR="004E22C1" w:rsidRPr="001455DC" w:rsidRDefault="004E22C1" w:rsidP="0036564C">
            <w:pPr>
              <w:pStyle w:val="Tablebody"/>
              <w:jc w:val="center"/>
            </w:pPr>
            <w:r w:rsidRPr="001455DC">
              <w:t>1,30</w:t>
            </w:r>
          </w:p>
        </w:tc>
      </w:tr>
    </w:tbl>
    <w:p w14:paraId="72A92CF8" w14:textId="77777777" w:rsidR="004E22C1" w:rsidRPr="001455DC" w:rsidRDefault="004E22C1" w:rsidP="00D06D33">
      <w:pPr>
        <w:pStyle w:val="a7"/>
      </w:pPr>
      <w:bookmarkStart w:id="1849" w:name="_Toc327109769"/>
      <w:bookmarkStart w:id="1850" w:name="_Toc327110103"/>
      <w:bookmarkStart w:id="1851" w:name="_Toc327111777"/>
      <w:bookmarkStart w:id="1852" w:name="_Toc327112509"/>
      <w:bookmarkStart w:id="1853" w:name="_Toc506490053"/>
    </w:p>
    <w:p w14:paraId="2A6216E2" w14:textId="513DF351" w:rsidR="004E22C1" w:rsidRPr="009D3012" w:rsidRDefault="0036564C" w:rsidP="00082680">
      <w:pPr>
        <w:pStyle w:val="a2"/>
      </w:pPr>
      <w:bookmarkStart w:id="1854" w:name="_Toc52820258"/>
      <w:bookmarkStart w:id="1855" w:name="_Toc54337188"/>
      <w:bookmarkStart w:id="1856" w:name="_Toc54337686"/>
      <w:bookmarkStart w:id="1857" w:name="_Toc54338312"/>
      <w:bookmarkStart w:id="1858" w:name="_Toc67565588"/>
      <w:r w:rsidRPr="009D3012">
        <w:t>Materials</w:t>
      </w:r>
      <w:bookmarkEnd w:id="1854"/>
      <w:bookmarkEnd w:id="1855"/>
      <w:bookmarkEnd w:id="1856"/>
      <w:bookmarkEnd w:id="1857"/>
      <w:r w:rsidR="00850ACE" w:rsidRPr="009D3012">
        <w:t xml:space="preserve"> - Properties and related conditions</w:t>
      </w:r>
      <w:bookmarkEnd w:id="1858"/>
    </w:p>
    <w:p w14:paraId="1014B02D" w14:textId="77777777" w:rsidR="004E22C1" w:rsidRPr="001455DC" w:rsidRDefault="004E22C1" w:rsidP="0036564C">
      <w:pPr>
        <w:pStyle w:val="a7"/>
      </w:pPr>
      <w:r w:rsidRPr="001455DC">
        <w:t>(1)</w:t>
      </w:r>
      <w:r w:rsidRPr="001455DC">
        <w:tab/>
        <w:t>Specified properties and related conditions of adhesively bonded CFRP reinforcement systems that are required for design to this Eurocode shall include at least:</w:t>
      </w:r>
    </w:p>
    <w:p w14:paraId="04B75A2F" w14:textId="77777777" w:rsidR="004E22C1" w:rsidRPr="001455DC" w:rsidRDefault="004E22C1" w:rsidP="00116AE2">
      <w:pPr>
        <w:pStyle w:val="a7"/>
        <w:keepNext/>
      </w:pPr>
      <w:r w:rsidRPr="001455DC">
        <w:t>For CFRP polymer:</w:t>
      </w:r>
    </w:p>
    <w:p w14:paraId="090B7A85" w14:textId="7B051C1A" w:rsidR="004E22C1" w:rsidRPr="001455DC" w:rsidRDefault="004E22C1" w:rsidP="001977FF">
      <w:pPr>
        <w:pStyle w:val="a0"/>
      </w:pPr>
      <w:r w:rsidRPr="001455DC">
        <w:t xml:space="preserve">characteristic short-term tensile strength of the ABR CFRP </w:t>
      </w:r>
      <m:oMath>
        <m:sSub>
          <m:sSubPr>
            <m:ctrlPr>
              <w:rPr>
                <w:rFonts w:ascii="Cambria Math" w:hAnsi="Cambria Math"/>
              </w:rPr>
            </m:ctrlPr>
          </m:sSubPr>
          <m:e>
            <m:r>
              <w:rPr>
                <w:rFonts w:ascii="Cambria Math" w:hAnsi="Cambria Math"/>
              </w:rPr>
              <m:t>f</m:t>
            </m:r>
          </m:e>
          <m:sub>
            <m:r>
              <m:rPr>
                <m:sty m:val="p"/>
              </m:rPr>
              <w:rPr>
                <w:rFonts w:ascii="Cambria Math" w:hAnsi="Cambria Math"/>
              </w:rPr>
              <m:t>fuk</m:t>
            </m:r>
          </m:sub>
        </m:sSub>
      </m:oMath>
      <w:r w:rsidRPr="001455DC">
        <w:t>, determined in accordance with ISO 10406</w:t>
      </w:r>
      <w:r w:rsidR="001977FF" w:rsidRPr="001455DC">
        <w:t xml:space="preserve"> (all parts)</w:t>
      </w:r>
      <w:r w:rsidRPr="001455DC">
        <w:t>;</w:t>
      </w:r>
    </w:p>
    <w:p w14:paraId="1867F1B2" w14:textId="3E126FE6" w:rsidR="004E22C1" w:rsidRPr="001455DC" w:rsidRDefault="004E22C1" w:rsidP="0036564C">
      <w:pPr>
        <w:pStyle w:val="a0"/>
      </w:pPr>
      <w:r w:rsidRPr="001455DC">
        <w:t xml:space="preserve">mean modulus of elasticity in longitudinal direction of adhesively bonded CFRP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f</m:t>
            </m:r>
          </m:sub>
        </m:sSub>
      </m:oMath>
      <w:r w:rsidRPr="001455DC">
        <w:t>, determined in accordance with ISO 10406</w:t>
      </w:r>
      <w:r w:rsidR="001977FF" w:rsidRPr="001455DC">
        <w:t xml:space="preserve"> (all parts)</w:t>
      </w:r>
      <w:r w:rsidRPr="001455DC">
        <w:t>;</w:t>
      </w:r>
    </w:p>
    <w:p w14:paraId="66B00809" w14:textId="77777777" w:rsidR="004E22C1" w:rsidRPr="001455DC" w:rsidRDefault="004E22C1" w:rsidP="00116AE2">
      <w:pPr>
        <w:pStyle w:val="a7"/>
        <w:keepNext/>
      </w:pPr>
      <w:r w:rsidRPr="001455DC">
        <w:t>For adhesive:</w:t>
      </w:r>
    </w:p>
    <w:p w14:paraId="0A314153" w14:textId="47432002" w:rsidR="004E22C1" w:rsidRPr="001455DC" w:rsidRDefault="004E22C1" w:rsidP="0036564C">
      <w:pPr>
        <w:pStyle w:val="a0"/>
      </w:pPr>
      <w:r w:rsidRPr="001455DC">
        <w:t xml:space="preserve">characteristic compressive strength of the adhesive </w:t>
      </w:r>
      <m:oMath>
        <m:sSub>
          <m:sSubPr>
            <m:ctrlPr>
              <w:rPr>
                <w:rFonts w:ascii="Cambria Math" w:hAnsi="Cambria Math"/>
              </w:rPr>
            </m:ctrlPr>
          </m:sSubPr>
          <m:e>
            <m:r>
              <w:rPr>
                <w:rFonts w:ascii="Cambria Math" w:hAnsi="Cambria Math"/>
              </w:rPr>
              <m:t>f</m:t>
            </m:r>
          </m:e>
          <m:sub>
            <m:r>
              <m:rPr>
                <m:sty m:val="p"/>
              </m:rPr>
              <w:rPr>
                <w:rFonts w:ascii="Cambria Math" w:hAnsi="Cambria Math"/>
              </w:rPr>
              <m:t>Ack</m:t>
            </m:r>
          </m:sub>
        </m:sSub>
      </m:oMath>
      <w:r w:rsidRPr="001455DC">
        <w:t xml:space="preserve"> determined in accordance with EN 1504</w:t>
      </w:r>
      <w:r w:rsidRPr="001455DC">
        <w:noBreakHyphen/>
        <w:t>4;</w:t>
      </w:r>
    </w:p>
    <w:p w14:paraId="1EA3D0E4" w14:textId="601519D7" w:rsidR="004E22C1" w:rsidRPr="001455DC" w:rsidRDefault="004E22C1" w:rsidP="0036564C">
      <w:pPr>
        <w:pStyle w:val="a0"/>
      </w:pPr>
      <w:r w:rsidRPr="001455DC">
        <w:t xml:space="preserve">characteristic tensile strength of the adhesive </w:t>
      </w:r>
      <m:oMath>
        <m:sSub>
          <m:sSubPr>
            <m:ctrlPr>
              <w:rPr>
                <w:rFonts w:ascii="Cambria Math" w:hAnsi="Cambria Math"/>
              </w:rPr>
            </m:ctrlPr>
          </m:sSubPr>
          <m:e>
            <m:r>
              <w:rPr>
                <w:rFonts w:ascii="Cambria Math" w:hAnsi="Cambria Math"/>
              </w:rPr>
              <m:t>f</m:t>
            </m:r>
          </m:e>
          <m:sub>
            <m:r>
              <m:rPr>
                <m:sty m:val="p"/>
              </m:rPr>
              <w:rPr>
                <w:rFonts w:ascii="Cambria Math" w:hAnsi="Cambria Math"/>
              </w:rPr>
              <m:t>Atk</m:t>
            </m:r>
          </m:sub>
        </m:sSub>
      </m:oMath>
      <w:r w:rsidRPr="001455DC">
        <w:t>, determined in accordance with EN 1504</w:t>
      </w:r>
      <w:r w:rsidRPr="001455DC">
        <w:noBreakHyphen/>
        <w:t xml:space="preserve">4; which shall be </w:t>
      </w:r>
      <m:oMath>
        <m:sSub>
          <m:sSubPr>
            <m:ctrlPr>
              <w:rPr>
                <w:rFonts w:ascii="Cambria Math" w:hAnsi="Cambria Math"/>
              </w:rPr>
            </m:ctrlPr>
          </m:sSubPr>
          <m:e>
            <m:r>
              <w:rPr>
                <w:rFonts w:ascii="Cambria Math" w:hAnsi="Cambria Math"/>
              </w:rPr>
              <m:t>f</m:t>
            </m:r>
          </m:e>
          <m:sub>
            <m:r>
              <m:rPr>
                <m:sty m:val="p"/>
              </m:rPr>
              <w:rPr>
                <w:rFonts w:ascii="Cambria Math" w:hAnsi="Cambria Math"/>
              </w:rPr>
              <m:t>Atk</m:t>
            </m:r>
          </m:sub>
        </m:sSub>
      </m:oMath>
      <w:r w:rsidRPr="001455DC">
        <w:t> </w:t>
      </w:r>
      <w:r w:rsidR="00650035" w:rsidRPr="001455DC">
        <w:rPr>
          <w:rFonts w:ascii="Cambria Math" w:hAnsi="Cambria Math"/>
        </w:rPr>
        <w:t>≥</w:t>
      </w:r>
      <w:r w:rsidR="00073FC6" w:rsidRPr="001455DC">
        <w:t> </w:t>
      </w:r>
      <w:r w:rsidRPr="001455DC">
        <w:t>14 N/mm</w:t>
      </w:r>
      <w:r w:rsidRPr="001455DC">
        <w:rPr>
          <w:rStyle w:val="CCMCvariablesuperscript"/>
        </w:rPr>
        <w:t>2</w:t>
      </w:r>
      <w:r w:rsidRPr="001455DC">
        <w:t xml:space="preserve"> for design to Annex J.</w:t>
      </w:r>
    </w:p>
    <w:p w14:paraId="0D91761A" w14:textId="2216E19E" w:rsidR="004E22C1" w:rsidRPr="001455DC" w:rsidRDefault="004E22C1" w:rsidP="0036564C">
      <w:pPr>
        <w:pStyle w:val="Note"/>
      </w:pPr>
      <w:r w:rsidRPr="001455DC">
        <w:t>NOTE 1</w:t>
      </w:r>
      <w:r w:rsidRPr="001455DC">
        <w:tab/>
        <w:t xml:space="preserve">Variations in material properties with temperature may occur. The producer should be informed of the maximum and minimum temperatures for the design life of the CFRP system, calculated in accordance with </w:t>
      </w:r>
      <w:r w:rsidR="00B0410C">
        <w:t>pr</w:t>
      </w:r>
      <w:r w:rsidRPr="001455DC">
        <w:t>EN 1991</w:t>
      </w:r>
      <w:r w:rsidRPr="001455DC">
        <w:noBreakHyphen/>
        <w:t>4 for the application of the system to be used for execution.</w:t>
      </w:r>
    </w:p>
    <w:p w14:paraId="206C6A8F" w14:textId="77777777" w:rsidR="004E22C1" w:rsidRPr="001455DC" w:rsidRDefault="004E22C1" w:rsidP="0036564C">
      <w:pPr>
        <w:pStyle w:val="Note"/>
      </w:pPr>
      <w:r w:rsidRPr="001455DC">
        <w:t>NOTE 2</w:t>
      </w:r>
      <w:r w:rsidRPr="001455DC">
        <w:tab/>
        <w:t>Variations in material properties with environmental conditions may occur. The producer should be informed of the environmental conditions that will be encountered through the design life of the CFRP for the application of the system to be used for execution.</w:t>
      </w:r>
    </w:p>
    <w:p w14:paraId="7A40C2BE" w14:textId="77777777" w:rsidR="004E22C1" w:rsidRPr="001455DC" w:rsidRDefault="004E22C1" w:rsidP="0036564C">
      <w:pPr>
        <w:pStyle w:val="Note"/>
      </w:pPr>
      <w:r w:rsidRPr="001455DC">
        <w:t>NOTE 3</w:t>
      </w:r>
      <w:r w:rsidRPr="001455DC">
        <w:tab/>
        <w:t>Variations in alkali resistance between CFRP systems may occur. The producer should be informed where exposure to an alkali -environment is probable through the design life of the CFRP.</w:t>
      </w:r>
    </w:p>
    <w:p w14:paraId="217BE837" w14:textId="0BF90F22" w:rsidR="004E22C1" w:rsidRPr="001455DC" w:rsidRDefault="004E22C1" w:rsidP="00116AE2">
      <w:pPr>
        <w:pStyle w:val="a7"/>
        <w:keepNext/>
      </w:pPr>
      <w:r w:rsidRPr="001455DC">
        <w:t>(2)</w:t>
      </w:r>
      <w:r w:rsidRPr="001455DC">
        <w:tab/>
      </w:r>
      <w:bookmarkStart w:id="1859" w:name="_Hlk35364202"/>
      <w:bookmarkStart w:id="1860" w:name="_Hlk35360399"/>
      <w:r w:rsidRPr="001455DC">
        <w:t>The value of design tensile strength of adhesively bonded CFRP reinforcement shall be taken as</w:t>
      </w:r>
      <w:bookmarkEnd w:id="1859"/>
      <w:bookmarkEnd w:id="1860"/>
      <w:r w:rsidR="00C54E80">
        <w:t>:</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A772B3" w:rsidRPr="001455DC" w14:paraId="402F0F71" w14:textId="77777777" w:rsidTr="00FB75F8">
        <w:trPr>
          <w:cantSplit/>
        </w:trPr>
        <w:tc>
          <w:tcPr>
            <w:tcW w:w="8505" w:type="dxa"/>
            <w:vAlign w:val="center"/>
          </w:tcPr>
          <w:p w14:paraId="3CFB1C4E" w14:textId="6BBEF0C6" w:rsidR="00A772B3" w:rsidRPr="001455DC" w:rsidRDefault="00231E33" w:rsidP="00FB75F8">
            <w:pPr>
              <w:pStyle w:val="Formula"/>
              <w:jc w:val="left"/>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fud</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η</m:t>
                        </m:r>
                      </m:e>
                      <m:sub>
                        <m: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fuk</m:t>
                        </m:r>
                      </m:sub>
                    </m:sSub>
                  </m:num>
                  <m:den>
                    <m:sSub>
                      <m:sSubPr>
                        <m:ctrlPr>
                          <w:rPr>
                            <w:rFonts w:ascii="Cambria Math" w:hAnsi="Cambria Math"/>
                          </w:rPr>
                        </m:ctrlPr>
                      </m:sSubPr>
                      <m:e>
                        <m:r>
                          <w:rPr>
                            <w:rFonts w:ascii="Cambria Math" w:hAnsi="Cambria Math"/>
                          </w:rPr>
                          <m:t>γ</m:t>
                        </m:r>
                      </m:e>
                      <m:sub>
                        <m:r>
                          <m:rPr>
                            <m:sty m:val="p"/>
                          </m:rPr>
                          <w:rPr>
                            <w:rFonts w:ascii="Cambria Math" w:hAnsi="Cambria Math"/>
                          </w:rPr>
                          <m:t>f</m:t>
                        </m:r>
                      </m:sub>
                    </m:sSub>
                  </m:den>
                </m:f>
              </m:oMath>
            </m:oMathPara>
          </w:p>
        </w:tc>
        <w:tc>
          <w:tcPr>
            <w:tcW w:w="1247" w:type="dxa"/>
            <w:vAlign w:val="center"/>
          </w:tcPr>
          <w:p w14:paraId="0879B55B" w14:textId="167CE2B9" w:rsidR="00A772B3" w:rsidRPr="001455DC" w:rsidRDefault="00A772B3" w:rsidP="00FB75F8">
            <w:pPr>
              <w:pStyle w:val="a7"/>
              <w:jc w:val="right"/>
            </w:pPr>
            <w:r w:rsidRPr="001455DC">
              <w:t>(J.1)</w:t>
            </w:r>
          </w:p>
        </w:tc>
      </w:tr>
    </w:tbl>
    <w:p w14:paraId="5EB57F07" w14:textId="7F0B3311" w:rsidR="00DE6BBC" w:rsidRPr="001455DC" w:rsidRDefault="004E22C1" w:rsidP="00DE6BBC">
      <w:pPr>
        <w:pStyle w:val="a7"/>
        <w:keepNext/>
      </w:pPr>
      <w:r w:rsidRPr="001455DC">
        <w:t>where</w:t>
      </w:r>
      <w:bookmarkStart w:id="1861" w:name="_Hlk53498787"/>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DE6BBC" w:rsidRPr="001455DC" w14:paraId="1C7AC4BE" w14:textId="77777777" w:rsidTr="008C5B10">
        <w:trPr>
          <w:cantSplit/>
        </w:trPr>
        <w:tc>
          <w:tcPr>
            <w:tcW w:w="567" w:type="dxa"/>
          </w:tcPr>
          <w:p w14:paraId="73D7221B" w14:textId="0B9328F6" w:rsidR="00DE6BBC" w:rsidRPr="001455DC" w:rsidRDefault="00231E33" w:rsidP="0000442A">
            <w:pPr>
              <w:pStyle w:val="Tablebody"/>
            </w:pPr>
            <m:oMathPara>
              <m:oMathParaPr>
                <m:jc m:val="left"/>
              </m:oMathParaPr>
              <m:oMath>
                <m:sSub>
                  <m:sSubPr>
                    <m:ctrlPr>
                      <w:rPr>
                        <w:rFonts w:ascii="Cambria Math" w:hAnsi="Cambria Math"/>
                      </w:rPr>
                    </m:ctrlPr>
                  </m:sSubPr>
                  <m:e>
                    <m:r>
                      <w:rPr>
                        <w:rFonts w:ascii="Cambria Math" w:hAnsi="Cambria Math"/>
                      </w:rPr>
                      <m:t>η</m:t>
                    </m:r>
                  </m:e>
                  <m:sub>
                    <m:r>
                      <m:rPr>
                        <m:sty m:val="p"/>
                      </m:rPr>
                      <w:rPr>
                        <w:rFonts w:ascii="Cambria Math" w:hAnsi="Cambria Math"/>
                      </w:rPr>
                      <m:t>f</m:t>
                    </m:r>
                  </m:sub>
                </m:sSub>
              </m:oMath>
            </m:oMathPara>
          </w:p>
        </w:tc>
        <w:tc>
          <w:tcPr>
            <w:tcW w:w="8845" w:type="dxa"/>
          </w:tcPr>
          <w:p w14:paraId="1F445B99" w14:textId="48E7AD9B" w:rsidR="00DE6BBC" w:rsidRPr="001455DC" w:rsidRDefault="00DE6BBC" w:rsidP="00BB1209">
            <w:pPr>
              <w:pStyle w:val="Tablebody"/>
            </w:pPr>
            <w:r w:rsidRPr="001455DC">
              <w:t xml:space="preserve">is a reduction factor applied to the tensile strength of the ABR CFRP reinforcement calculated in accordance with ISO 10406 </w:t>
            </w:r>
            <w:r w:rsidR="001977FF" w:rsidRPr="001455DC">
              <w:t xml:space="preserve">(all parts) </w:t>
            </w:r>
            <w:r w:rsidRPr="001455DC">
              <w:t>as appropriate.</w:t>
            </w:r>
          </w:p>
        </w:tc>
      </w:tr>
    </w:tbl>
    <w:bookmarkEnd w:id="1861"/>
    <w:p w14:paraId="7B468BCE" w14:textId="77777777" w:rsidR="004E22C1" w:rsidRPr="001455DC" w:rsidRDefault="004E22C1" w:rsidP="0036564C">
      <w:pPr>
        <w:pStyle w:val="a7"/>
      </w:pPr>
      <w:r w:rsidRPr="001455DC">
        <w:t>(3)</w:t>
      </w:r>
      <w:r w:rsidRPr="001455DC">
        <w:tab/>
      </w:r>
      <m:oMath>
        <m:sSub>
          <m:sSubPr>
            <m:ctrlPr>
              <w:rPr>
                <w:rFonts w:ascii="Cambria Math" w:hAnsi="Cambria Math"/>
              </w:rPr>
            </m:ctrlPr>
          </m:sSubPr>
          <m:e>
            <m:r>
              <m:rPr>
                <m:sty m:val="p"/>
              </m:rPr>
              <w:rPr>
                <w:rFonts w:ascii="Cambria Math" w:hAnsi="Cambria Math"/>
              </w:rPr>
              <m:t>η</m:t>
            </m:r>
          </m:e>
          <m:sub>
            <m:r>
              <m:rPr>
                <m:sty m:val="p"/>
              </m:rPr>
              <w:rPr>
                <w:rFonts w:ascii="Cambria Math" w:hAnsi="Cambria Math"/>
              </w:rPr>
              <m:t>f</m:t>
            </m:r>
          </m:sub>
        </m:sSub>
      </m:oMath>
      <w:r w:rsidRPr="001455DC">
        <w:t xml:space="preserve"> may be taken as 0,7 unless more accurate information is available based on test data for the CFRP reinforcement.</w:t>
      </w:r>
    </w:p>
    <w:p w14:paraId="2926FF97" w14:textId="77777777" w:rsidR="00A772B3" w:rsidRPr="001455DC" w:rsidRDefault="004E22C1" w:rsidP="00A772B3">
      <w:pPr>
        <w:pStyle w:val="a7"/>
      </w:pPr>
      <w:r w:rsidRPr="001455DC">
        <w:t>(4)</w:t>
      </w:r>
      <w:r w:rsidRPr="001455DC">
        <w:tab/>
        <w:t xml:space="preserve">The strain corresponding to the short-term design strength, </w:t>
      </w: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fud</m:t>
            </m:r>
          </m:sub>
        </m:sSub>
      </m:oMath>
      <w:r w:rsidRPr="001455DC">
        <w:t>, shall be calculated according to the following Formula (J.2):</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A772B3" w:rsidRPr="001455DC" w14:paraId="39AC07AC" w14:textId="77777777" w:rsidTr="00FB75F8">
        <w:trPr>
          <w:cantSplit/>
        </w:trPr>
        <w:tc>
          <w:tcPr>
            <w:tcW w:w="8505" w:type="dxa"/>
            <w:vAlign w:val="center"/>
          </w:tcPr>
          <w:p w14:paraId="58281155" w14:textId="701F0206" w:rsidR="00A772B3" w:rsidRPr="001455DC" w:rsidRDefault="00231E33" w:rsidP="00FB75F8">
            <w:pPr>
              <w:pStyle w:val="Formula"/>
              <w:jc w:val="left"/>
            </w:pPr>
            <m:oMathPara>
              <m:oMathParaPr>
                <m:jc m:val="left"/>
              </m:oMathParaPr>
              <m:oMath>
                <m:sSub>
                  <m:sSubPr>
                    <m:ctrlPr>
                      <w:rPr>
                        <w:rFonts w:ascii="Cambria Math" w:hAnsi="Cambria Math"/>
                      </w:rPr>
                    </m:ctrlPr>
                  </m:sSubPr>
                  <m:e>
                    <m:r>
                      <w:rPr>
                        <w:rFonts w:ascii="Cambria Math" w:hAnsi="Cambria Math"/>
                      </w:rPr>
                      <m:t>ε</m:t>
                    </m:r>
                  </m:e>
                  <m:sub>
                    <m:r>
                      <m:rPr>
                        <m:sty m:val="p"/>
                      </m:rPr>
                      <w:rPr>
                        <w:rFonts w:ascii="Cambria Math" w:hAnsi="Cambria Math"/>
                      </w:rPr>
                      <m:t>fud</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fud</m:t>
                        </m:r>
                      </m:sub>
                    </m:sSub>
                  </m:num>
                  <m:den>
                    <m:sSub>
                      <m:sSubPr>
                        <m:ctrlPr>
                          <w:rPr>
                            <w:rFonts w:ascii="Cambria Math" w:hAnsi="Cambria Math"/>
                          </w:rPr>
                        </m:ctrlPr>
                      </m:sSubPr>
                      <m:e>
                        <m:r>
                          <w:rPr>
                            <w:rFonts w:ascii="Cambria Math" w:hAnsi="Cambria Math"/>
                          </w:rPr>
                          <m:t>E</m:t>
                        </m:r>
                      </m:e>
                      <m:sub>
                        <m:r>
                          <m:rPr>
                            <m:sty m:val="p"/>
                          </m:rPr>
                          <w:rPr>
                            <w:rFonts w:ascii="Cambria Math" w:hAnsi="Cambria Math"/>
                          </w:rPr>
                          <m:t>f</m:t>
                        </m:r>
                      </m:sub>
                    </m:sSub>
                  </m:den>
                </m:f>
              </m:oMath>
            </m:oMathPara>
          </w:p>
        </w:tc>
        <w:tc>
          <w:tcPr>
            <w:tcW w:w="1247" w:type="dxa"/>
            <w:vAlign w:val="center"/>
          </w:tcPr>
          <w:p w14:paraId="142DBCAD" w14:textId="7ECCA222" w:rsidR="00A772B3" w:rsidRPr="001455DC" w:rsidRDefault="00A772B3" w:rsidP="00FB75F8">
            <w:pPr>
              <w:pStyle w:val="a7"/>
              <w:jc w:val="right"/>
            </w:pPr>
            <w:r w:rsidRPr="001455DC">
              <w:t>(J.2)</w:t>
            </w:r>
          </w:p>
        </w:tc>
      </w:tr>
    </w:tbl>
    <w:p w14:paraId="262C9B57" w14:textId="49C10D6D" w:rsidR="004E22C1" w:rsidRPr="001455DC" w:rsidRDefault="004E22C1" w:rsidP="0036564C">
      <w:pPr>
        <w:pStyle w:val="a7"/>
      </w:pPr>
      <w:r w:rsidRPr="001455DC">
        <w:t>(5)</w:t>
      </w:r>
      <w:r w:rsidRPr="001455DC">
        <w:tab/>
        <w:t>The mean modulus of elasticity,</w:t>
      </w:r>
      <m:oMath>
        <m:r>
          <m:rPr>
            <m:sty m:val="p"/>
          </m:rPr>
          <w:rPr>
            <w:rFonts w:ascii="Cambria Math" w:hAnsi="Cambria Math"/>
          </w:rPr>
          <m:t xml:space="preserve"> </m:t>
        </m:r>
        <m:sSub>
          <m:sSubPr>
            <m:ctrlPr>
              <w:rPr>
                <w:rFonts w:ascii="Cambria Math" w:hAnsi="Cambria Math"/>
              </w:rPr>
            </m:ctrlPr>
          </m:sSubPr>
          <m:e>
            <m:r>
              <w:rPr>
                <w:rFonts w:ascii="Cambria Math" w:hAnsi="Cambria Math"/>
              </w:rPr>
              <m:t>E</m:t>
            </m:r>
          </m:e>
          <m:sub>
            <m:r>
              <m:rPr>
                <m:sty m:val="p"/>
              </m:rPr>
              <w:rPr>
                <w:rFonts w:ascii="Cambria Math" w:hAnsi="Cambria Math"/>
              </w:rPr>
              <m:t>f</m:t>
            </m:r>
          </m:sub>
        </m:sSub>
      </m:oMath>
      <w:r w:rsidRPr="001455DC">
        <w:t>, of the CFRP reinforcement strips shall be in a range of 150</w:t>
      </w:r>
      <w:r w:rsidR="00243062" w:rsidRPr="001455DC">
        <w:t> 000 MPa</w:t>
      </w:r>
      <w:r w:rsidRPr="001455DC">
        <w:t xml:space="preserve"> to 230</w:t>
      </w:r>
      <w:r w:rsidR="00243062" w:rsidRPr="001455DC">
        <w:t> 000 MPa</w:t>
      </w:r>
      <w:r w:rsidRPr="001455DC">
        <w:t xml:space="preserve"> for design to Annex J.</w:t>
      </w:r>
    </w:p>
    <w:p w14:paraId="18502183" w14:textId="453E405E" w:rsidR="004E22C1" w:rsidRPr="001455DC" w:rsidRDefault="004E22C1" w:rsidP="0036564C">
      <w:pPr>
        <w:pStyle w:val="a7"/>
      </w:pPr>
      <w:r w:rsidRPr="001455DC">
        <w:t>(6)</w:t>
      </w:r>
      <w:r w:rsidRPr="001455DC">
        <w:tab/>
        <w:t xml:space="preserve">The elastic stiffness </w:t>
      </w:r>
      <m:oMath>
        <m:sSub>
          <m:sSubPr>
            <m:ctrlPr>
              <w:rPr>
                <w:rFonts w:ascii="Cambria Math" w:hAnsi="Cambria Math"/>
              </w:rPr>
            </m:ctrlPr>
          </m:sSubPr>
          <m:e>
            <m:r>
              <w:rPr>
                <w:rFonts w:ascii="Cambria Math" w:hAnsi="Cambria Math"/>
              </w:rPr>
              <m:t>E</m:t>
            </m:r>
          </m:e>
          <m:sub>
            <m:r>
              <m:rPr>
                <m:sty m:val="p"/>
              </m:rPr>
              <w:rPr>
                <w:rFonts w:ascii="Cambria Math" w:hAnsi="Cambria Math"/>
              </w:rPr>
              <m:t>f</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f</m:t>
            </m:r>
          </m:sub>
        </m:sSub>
      </m:oMath>
      <w:r w:rsidRPr="001455DC">
        <w:t xml:space="preserve"> per unit width for CFRP reinforcement sheets for design to this Annex J shall be limited to values from 20</w:t>
      </w:r>
      <w:r w:rsidR="0036564C" w:rsidRPr="001455DC">
        <w:t> </w:t>
      </w:r>
      <w:r w:rsidRPr="001455DC">
        <w:t>N/m</w:t>
      </w:r>
      <w:r w:rsidR="00243062" w:rsidRPr="001455DC">
        <w:t>m</w:t>
      </w:r>
      <w:r w:rsidRPr="001455DC">
        <w:t xml:space="preserve"> to 400 N/mm, and the total CFRP cross section per unit width of CFRP reinforcement sheets in the total of all layers shall be between 100 mm</w:t>
      </w:r>
      <w:r w:rsidR="0036564C" w:rsidRPr="001455DC">
        <w:rPr>
          <w:rStyle w:val="CCMCvariablesuperscript"/>
        </w:rPr>
        <w:t>2</w:t>
      </w:r>
      <w:r w:rsidRPr="001455DC">
        <w:t>/m and 1 800 mm</w:t>
      </w:r>
      <w:r w:rsidR="0036564C" w:rsidRPr="001455DC">
        <w:rPr>
          <w:rStyle w:val="CCMCvariablesuperscript"/>
        </w:rPr>
        <w:t>2</w:t>
      </w:r>
      <w:r w:rsidRPr="001455DC">
        <w:t>/m.</w:t>
      </w:r>
    </w:p>
    <w:p w14:paraId="24EED718" w14:textId="632B5B02" w:rsidR="004E22C1" w:rsidRPr="001455DC" w:rsidRDefault="004E22C1" w:rsidP="0036564C">
      <w:pPr>
        <w:pStyle w:val="a7"/>
      </w:pPr>
      <w:r w:rsidRPr="001455DC">
        <w:t>(7)</w:t>
      </w:r>
      <w:r w:rsidRPr="001455DC">
        <w:tab/>
        <w:t>The design stress-strain diagram for CFRP reinforcement should be taken as in Figure J.1.</w:t>
      </w:r>
    </w:p>
    <w:p w14:paraId="79BE7A00" w14:textId="114F35B8" w:rsidR="004E22C1" w:rsidRPr="001455DC" w:rsidRDefault="004E22C1" w:rsidP="0036564C">
      <w:pPr>
        <w:pStyle w:val="a7"/>
      </w:pPr>
      <w:r w:rsidRPr="001455DC">
        <w:t>(</w:t>
      </w:r>
      <w:r w:rsidR="00243062" w:rsidRPr="001455DC">
        <w:t>8</w:t>
      </w:r>
      <w:r w:rsidRPr="001455DC">
        <w:t>)</w:t>
      </w:r>
      <w:r w:rsidRPr="001455DC">
        <w:tab/>
        <w:t>ABR CFRP shall not be used for concrete where deterioration is present.</w:t>
      </w:r>
    </w:p>
    <w:p w14:paraId="1B5B3A61" w14:textId="2022EFAF" w:rsidR="004E22C1" w:rsidRPr="001455DC" w:rsidRDefault="00723CF7" w:rsidP="0036564C">
      <w:pPr>
        <w:pStyle w:val="FigureImage"/>
      </w:pPr>
      <w:r>
        <w:rPr>
          <w:noProof/>
          <w:lang w:eastAsia="en-GB"/>
        </w:rPr>
        <w:fldChar w:fldCharType="begin"/>
      </w:r>
      <w:r>
        <w:rPr>
          <w:noProof/>
          <w:lang w:eastAsia="en-GB"/>
        </w:rPr>
        <w:instrText xml:space="preserve"> INCLUDEPICTURE  "Y:\\STD_MGT\\STDDEL\\PRODUCTION\\etrans\\Download\\Z_FIRST_DEL\\SV\\00250\\00250269\\41_e_dr\\j001.tif"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"Y:\\STD_MGT\\STDDEL\\PRODUCTION\\Standards\\00250\\269\\41_e_dr\\j001.tif"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"Y:\\STD_MGT\\STDDEL\\PRODUCTION\\Standards\\00250\\269\\41_e_dr\\j001.tif"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"Y:\\STD_MGT\\STDDEL\\PRODUCTION\\Standards\\00250\\269\\41_e_dr\\j001.tif"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"Y:\\STD_MGT\\STDDEL\\PRODUCTION\\Standards\\00250\\269\\41_e_dr\\j001.tif"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"Y:\\STD_MGT\\STDDEL\\PRODUCTION\\Standards\\00250\\269\\41_e_dr\\j001.tif"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"C:\\Users\\a.dionysiou\\AppData\\Local\\Temp\\Temp1_00250269_e_20210902.zip.zip\\41_e_dr\\j001.tif" \* MERGEFORMATINE</w:instrText>
      </w:r>
      <w:r w:rsidR="00231E33">
        <w:rPr>
          <w:noProof/>
          <w:lang w:eastAsia="en-GB"/>
        </w:rPr>
        <w:instrText>T</w:instrText>
      </w:r>
      <w:r w:rsidR="00231E33">
        <w:rPr>
          <w:noProof/>
          <w:lang w:eastAsia="en-GB"/>
        </w:rPr>
        <w:instrText xml:space="preserve"> </w:instrText>
      </w:r>
      <w:r w:rsidR="00231E33">
        <w:rPr>
          <w:noProof/>
          <w:lang w:eastAsia="en-GB"/>
        </w:rPr>
        <w:fldChar w:fldCharType="separate"/>
      </w:r>
      <w:r w:rsidR="00231E33">
        <w:rPr>
          <w:noProof/>
          <w:lang w:eastAsia="en-GB"/>
        </w:rPr>
        <w:pict w14:anchorId="127E86DE">
          <v:shape id="_x0000_i1313" type="#_x0000_t75" style="width:198.75pt;height:128.25pt">
            <v:imagedata r:id="rId596" r:href="rId597"/>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3161A02F" w14:textId="77777777" w:rsidR="00375D10" w:rsidRDefault="00243062" w:rsidP="00375D10">
      <w:pPr>
        <w:pStyle w:val="KeyTitle"/>
      </w:pPr>
      <w:r w:rsidRPr="009D3012">
        <w:t>Key</w:t>
      </w:r>
    </w:p>
    <w:tbl>
      <w:tblPr>
        <w:tblW w:w="0" w:type="auto"/>
        <w:tblInd w:w="-100" w:type="dxa"/>
        <w:tblCellMar>
          <w:left w:w="100" w:type="dxa"/>
        </w:tblCellMar>
        <w:tblLook w:val="0000" w:firstRow="0" w:lastRow="0" w:firstColumn="0" w:lastColumn="0" w:noHBand="0" w:noVBand="0"/>
      </w:tblPr>
      <w:tblGrid>
        <w:gridCol w:w="309"/>
        <w:gridCol w:w="714"/>
      </w:tblGrid>
      <w:tr w:rsidR="00375D10" w:rsidRPr="00375D10" w14:paraId="308C393B" w14:textId="77777777" w:rsidTr="00375D10">
        <w:tc>
          <w:tcPr>
            <w:tcW w:w="0" w:type="auto"/>
            <w:shd w:val="clear" w:color="auto" w:fill="auto"/>
          </w:tcPr>
          <w:p w14:paraId="6EE43F38" w14:textId="77777777" w:rsidR="00375D10" w:rsidRPr="00375D10" w:rsidRDefault="00375D10" w:rsidP="00375D10">
            <w:pPr>
              <w:pStyle w:val="KeyText"/>
              <w:tabs>
                <w:tab w:val="clear" w:pos="346"/>
              </w:tabs>
              <w:ind w:left="0" w:firstLine="0"/>
            </w:pPr>
            <w:r w:rsidRPr="00375D10">
              <w:t>x</w:t>
            </w:r>
          </w:p>
        </w:tc>
        <w:tc>
          <w:tcPr>
            <w:tcW w:w="0" w:type="auto"/>
            <w:shd w:val="clear" w:color="auto" w:fill="auto"/>
          </w:tcPr>
          <w:p w14:paraId="455A3411" w14:textId="77777777" w:rsidR="00375D10" w:rsidRPr="00375D10" w:rsidRDefault="00375D10" w:rsidP="00375D10">
            <w:pPr>
              <w:pStyle w:val="KeyText"/>
              <w:tabs>
                <w:tab w:val="clear" w:pos="346"/>
              </w:tabs>
              <w:ind w:left="0" w:firstLine="0"/>
            </w:pPr>
            <w:r w:rsidRPr="00375D10">
              <w:t>strain</w:t>
            </w:r>
          </w:p>
        </w:tc>
      </w:tr>
      <w:tr w:rsidR="00375D10" w:rsidRPr="00375D10" w14:paraId="3143A043" w14:textId="77777777" w:rsidTr="00375D10">
        <w:tc>
          <w:tcPr>
            <w:tcW w:w="0" w:type="auto"/>
            <w:shd w:val="clear" w:color="auto" w:fill="auto"/>
          </w:tcPr>
          <w:p w14:paraId="0E7C6A19" w14:textId="77777777" w:rsidR="00375D10" w:rsidRPr="00375D10" w:rsidRDefault="00375D10" w:rsidP="00375D10">
            <w:pPr>
              <w:pStyle w:val="KeyText"/>
              <w:tabs>
                <w:tab w:val="clear" w:pos="346"/>
              </w:tabs>
              <w:ind w:left="0" w:firstLine="0"/>
            </w:pPr>
            <w:r w:rsidRPr="00375D10">
              <w:t>y</w:t>
            </w:r>
          </w:p>
        </w:tc>
        <w:tc>
          <w:tcPr>
            <w:tcW w:w="0" w:type="auto"/>
            <w:shd w:val="clear" w:color="auto" w:fill="auto"/>
          </w:tcPr>
          <w:p w14:paraId="55FEF681" w14:textId="77777777" w:rsidR="00375D10" w:rsidRPr="00375D10" w:rsidRDefault="00375D10" w:rsidP="00375D10">
            <w:pPr>
              <w:pStyle w:val="KeyText"/>
              <w:tabs>
                <w:tab w:val="clear" w:pos="346"/>
              </w:tabs>
              <w:ind w:left="0" w:firstLine="0"/>
            </w:pPr>
            <w:r w:rsidRPr="00375D10">
              <w:t>stress</w:t>
            </w:r>
          </w:p>
        </w:tc>
      </w:tr>
    </w:tbl>
    <w:p w14:paraId="15DB4FC4" w14:textId="77777777" w:rsidR="004E22C1" w:rsidRPr="001455DC" w:rsidRDefault="004E22C1" w:rsidP="0036564C">
      <w:pPr>
        <w:pStyle w:val="Figuretitle"/>
      </w:pPr>
      <w:r w:rsidRPr="001455DC">
        <w:t>Figure J.1 — Design stress- strain diagram for CFRP reinforcement</w:t>
      </w:r>
    </w:p>
    <w:p w14:paraId="3D854007" w14:textId="26CC8D17" w:rsidR="004E22C1" w:rsidRPr="009D3012" w:rsidRDefault="004E22C1" w:rsidP="00082680">
      <w:pPr>
        <w:pStyle w:val="a2"/>
        <w:rPr>
          <w:lang w:val="fr-FR"/>
        </w:rPr>
      </w:pPr>
      <w:bookmarkStart w:id="1862" w:name="_Toc52820260"/>
      <w:bookmarkStart w:id="1863" w:name="_Toc54337189"/>
      <w:bookmarkStart w:id="1864" w:name="_Toc54337688"/>
      <w:bookmarkStart w:id="1865" w:name="_Toc54338314"/>
      <w:bookmarkStart w:id="1866" w:name="_Toc67565589"/>
      <w:bookmarkEnd w:id="1849"/>
      <w:bookmarkEnd w:id="1850"/>
      <w:bookmarkEnd w:id="1851"/>
      <w:bookmarkEnd w:id="1852"/>
      <w:bookmarkEnd w:id="1853"/>
      <w:r w:rsidRPr="009D3012">
        <w:rPr>
          <w:lang w:val="fr-FR"/>
        </w:rPr>
        <w:t>Durability</w:t>
      </w:r>
      <w:bookmarkEnd w:id="1862"/>
      <w:bookmarkEnd w:id="1863"/>
      <w:bookmarkEnd w:id="1864"/>
      <w:bookmarkEnd w:id="1865"/>
      <w:r w:rsidR="00786760" w:rsidRPr="009D3012">
        <w:rPr>
          <w:lang w:val="fr-FR"/>
        </w:rPr>
        <w:t xml:space="preserve"> - Environmental exposure conditions</w:t>
      </w:r>
      <w:bookmarkEnd w:id="1866"/>
    </w:p>
    <w:p w14:paraId="3BF62003" w14:textId="77777777" w:rsidR="004E22C1" w:rsidRPr="001455DC" w:rsidRDefault="004E22C1" w:rsidP="00A772B3">
      <w:pPr>
        <w:pStyle w:val="a7"/>
      </w:pPr>
      <w:r w:rsidRPr="001455DC">
        <w:t>(1)</w:t>
      </w:r>
      <w:r w:rsidRPr="001455DC">
        <w:tab/>
        <w:t>Without additional measures to protect the CFRP system and its adhesive, for the design life of the structure, strengthening with adhesively bonded CFRP reinforcement should only be applied in exposure classes X0, XC1 (dry), XC3, XC4, or XF1 in accordance with Table 6.1. In addition, ABR CFRP reinforcement should not be exposed to direct UV radiation (direct sun radiation or indirect sun from snow or water reflection) or alternating or permanent penetration of moisture. Thermal effects shall be considered from e.g. asphalt on a strengthened bridge deck.</w:t>
      </w:r>
    </w:p>
    <w:p w14:paraId="6C36FA44" w14:textId="104D7C82" w:rsidR="004E22C1" w:rsidRPr="001455DC" w:rsidRDefault="005965D6" w:rsidP="00082680">
      <w:pPr>
        <w:pStyle w:val="a2"/>
      </w:pPr>
      <w:bookmarkStart w:id="1867" w:name="_Hlk39830677"/>
      <w:bookmarkStart w:id="1868" w:name="_Toc52820262"/>
      <w:bookmarkStart w:id="1869" w:name="_Toc54337190"/>
      <w:bookmarkStart w:id="1870" w:name="_Toc54337690"/>
      <w:bookmarkStart w:id="1871" w:name="_Toc54338316"/>
      <w:bookmarkStart w:id="1872" w:name="_Toc67565590"/>
      <w:bookmarkStart w:id="1873" w:name="_Toc506490057"/>
      <w:bookmarkStart w:id="1874" w:name="_Toc327112514"/>
      <w:bookmarkStart w:id="1875" w:name="_Toc327111782"/>
      <w:bookmarkStart w:id="1876" w:name="_Toc327110108"/>
      <w:bookmarkStart w:id="1877" w:name="_Toc327109774"/>
      <w:bookmarkStart w:id="1878" w:name="RV_6_1_4"/>
      <w:r w:rsidRPr="001455DC">
        <w:t>Structural analysis</w:t>
      </w:r>
      <w:bookmarkEnd w:id="1867"/>
      <w:bookmarkEnd w:id="1868"/>
      <w:bookmarkEnd w:id="1869"/>
      <w:bookmarkEnd w:id="1870"/>
      <w:bookmarkEnd w:id="1871"/>
      <w:bookmarkEnd w:id="1872"/>
    </w:p>
    <w:p w14:paraId="142BE11E" w14:textId="77777777" w:rsidR="004E22C1" w:rsidRPr="001455DC" w:rsidRDefault="004E22C1" w:rsidP="00A772B3">
      <w:pPr>
        <w:pStyle w:val="a7"/>
      </w:pPr>
      <w:r w:rsidRPr="001455DC">
        <w:t>(1)</w:t>
      </w:r>
      <w:r w:rsidRPr="001455DC">
        <w:tab/>
      </w:r>
      <w:bookmarkStart w:id="1879" w:name="_Hlk39830688"/>
      <w:r w:rsidRPr="001455DC">
        <w:t>Unless more rigorous analysis is undertaken, members strengthened with CFRP should not be analysed using linear elastic analysis with limited redistribution or plastic analysis.</w:t>
      </w:r>
      <w:bookmarkEnd w:id="1879"/>
    </w:p>
    <w:p w14:paraId="17939058" w14:textId="406E0FD1" w:rsidR="004E22C1" w:rsidRPr="001455DC" w:rsidRDefault="004E22C1" w:rsidP="009D3012">
      <w:pPr>
        <w:pStyle w:val="a7"/>
      </w:pPr>
      <w:r w:rsidRPr="001455DC">
        <w:t>(2)</w:t>
      </w:r>
      <w:r w:rsidRPr="001455DC">
        <w:tab/>
        <w:t>A member should be assessed against accidental loss of adhesively bonded CFRP reinforcement, including the following situations:</w:t>
      </w:r>
    </w:p>
    <w:p w14:paraId="13153ED6" w14:textId="31E58F1F" w:rsidR="004E22C1" w:rsidRPr="001455DC" w:rsidRDefault="004E22C1" w:rsidP="00DE6BBC">
      <w:pPr>
        <w:pStyle w:val="a0"/>
        <w:keepNext/>
      </w:pPr>
      <w:r w:rsidRPr="001455DC">
        <w:t>The FRP should not be designed to withstand permanent action effects in a manner that the structure would not be able to withstand collapse without FRP, unless the following is addressed in design:</w:t>
      </w:r>
    </w:p>
    <w:p w14:paraId="31185A6E" w14:textId="1215E2F6" w:rsidR="004E22C1" w:rsidRPr="001455DC" w:rsidRDefault="004E22C1" w:rsidP="00082680">
      <w:pPr>
        <w:pStyle w:val="2"/>
        <w:numPr>
          <w:ilvl w:val="0"/>
          <w:numId w:val="41"/>
        </w:numPr>
        <w:ind w:left="714" w:hanging="357"/>
      </w:pPr>
      <w:r w:rsidRPr="001455DC">
        <w:t>The ABR CFRP strengthening is detailed in a manner that protects it against damage from vandalism or accidental mechanical damage;</w:t>
      </w:r>
    </w:p>
    <w:p w14:paraId="0E51FAC4" w14:textId="6CB0C118" w:rsidR="004E22C1" w:rsidRPr="001455DC" w:rsidRDefault="004E22C1" w:rsidP="00082680">
      <w:pPr>
        <w:pStyle w:val="2"/>
        <w:numPr>
          <w:ilvl w:val="0"/>
          <w:numId w:val="41"/>
        </w:numPr>
        <w:ind w:left="714" w:hanging="357"/>
      </w:pPr>
      <w:r w:rsidRPr="001455DC">
        <w:t>Member collapse will not result in progressive collapse of the structure;</w:t>
      </w:r>
    </w:p>
    <w:p w14:paraId="7A0DEBA5" w14:textId="53ECABBB" w:rsidR="004E22C1" w:rsidRPr="001455DC" w:rsidRDefault="004E22C1" w:rsidP="00082680">
      <w:pPr>
        <w:pStyle w:val="2"/>
        <w:numPr>
          <w:ilvl w:val="0"/>
          <w:numId w:val="41"/>
        </w:numPr>
        <w:ind w:left="714" w:hanging="357"/>
      </w:pPr>
      <w:r w:rsidRPr="001455DC">
        <w:t>Protection from fire damage is provided.</w:t>
      </w:r>
    </w:p>
    <w:p w14:paraId="03160CDC" w14:textId="59618E0E" w:rsidR="004E22C1" w:rsidRPr="001455DC" w:rsidRDefault="004E22C1" w:rsidP="00082680">
      <w:pPr>
        <w:pStyle w:val="a2"/>
      </w:pPr>
      <w:bookmarkStart w:id="1880" w:name="_Toc52820263"/>
      <w:bookmarkStart w:id="1881" w:name="_Toc54337191"/>
      <w:bookmarkStart w:id="1882" w:name="_Toc54337691"/>
      <w:bookmarkStart w:id="1883" w:name="_Toc54338317"/>
      <w:bookmarkStart w:id="1884" w:name="_Toc67565591"/>
      <w:r w:rsidRPr="001455DC">
        <w:t>Ultimate limit states (ULS)</w:t>
      </w:r>
      <w:bookmarkEnd w:id="1880"/>
      <w:bookmarkEnd w:id="1881"/>
      <w:bookmarkEnd w:id="1882"/>
      <w:bookmarkEnd w:id="1883"/>
      <w:bookmarkEnd w:id="1884"/>
    </w:p>
    <w:p w14:paraId="7FF80765" w14:textId="0E9393B8" w:rsidR="004E22C1" w:rsidRPr="001455DC" w:rsidRDefault="004E22C1" w:rsidP="00243590">
      <w:pPr>
        <w:pStyle w:val="a3"/>
      </w:pPr>
      <w:bookmarkStart w:id="1885" w:name="_Toc52820264"/>
      <w:bookmarkStart w:id="1886" w:name="_Toc54337692"/>
      <w:bookmarkStart w:id="1887" w:name="_Toc54338318"/>
      <w:r w:rsidRPr="001455DC">
        <w:t>Bending with or without axial force</w:t>
      </w:r>
      <w:bookmarkEnd w:id="1885"/>
      <w:bookmarkEnd w:id="1886"/>
      <w:bookmarkEnd w:id="1887"/>
    </w:p>
    <w:p w14:paraId="6940A5BA" w14:textId="4E96AB25" w:rsidR="004E22C1" w:rsidRPr="001455DC" w:rsidRDefault="004E22C1" w:rsidP="00243590">
      <w:pPr>
        <w:pStyle w:val="a4"/>
      </w:pPr>
      <w:bookmarkStart w:id="1888" w:name="_Toc52820265"/>
      <w:bookmarkStart w:id="1889" w:name="_Toc54337693"/>
      <w:bookmarkStart w:id="1890" w:name="_Toc54338319"/>
      <w:r w:rsidRPr="001455DC">
        <w:t>General</w:t>
      </w:r>
      <w:bookmarkEnd w:id="1888"/>
      <w:bookmarkEnd w:id="1889"/>
      <w:bookmarkEnd w:id="1890"/>
    </w:p>
    <w:p w14:paraId="7022C109" w14:textId="05309837" w:rsidR="004E22C1" w:rsidRPr="001455DC" w:rsidRDefault="004E22C1" w:rsidP="00DE6BBC">
      <w:pPr>
        <w:pStyle w:val="a7"/>
        <w:keepNext/>
      </w:pPr>
      <w:r w:rsidRPr="001455DC">
        <w:t>(1)</w:t>
      </w:r>
      <w:r w:rsidRPr="001455DC">
        <w:tab/>
        <w:t>When determining the ultimate moment resistance of reinforced or prestressed concrete cross</w:t>
      </w:r>
      <w:r w:rsidR="00B10711" w:rsidRPr="001455DC">
        <w:t xml:space="preserve"> </w:t>
      </w:r>
      <w:r w:rsidRPr="001455DC">
        <w:t>sections strengthened in flexure with adhesively bonded CFRP reinforcement, the following assumptions in addition to 8.1.1(2) should be made:</w:t>
      </w:r>
    </w:p>
    <w:p w14:paraId="005468C4" w14:textId="704A16B1" w:rsidR="004E22C1" w:rsidRPr="001455DC" w:rsidRDefault="004E22C1" w:rsidP="00A772B3">
      <w:pPr>
        <w:pStyle w:val="a0"/>
      </w:pPr>
      <w:r w:rsidRPr="001455DC">
        <w:t>the compressive strength of ABR CFRP is ignored;</w:t>
      </w:r>
    </w:p>
    <w:p w14:paraId="4143C94C" w14:textId="1CD1BA4D" w:rsidR="004E22C1" w:rsidRPr="001455DC" w:rsidRDefault="004E22C1" w:rsidP="00A772B3">
      <w:pPr>
        <w:pStyle w:val="a0"/>
      </w:pPr>
      <w:r w:rsidRPr="001455DC">
        <w:t>the slip between CFRP reinforcement and the concrete substrate is neglected.</w:t>
      </w:r>
    </w:p>
    <w:p w14:paraId="608E34E3" w14:textId="77777777" w:rsidR="004E22C1" w:rsidRPr="001455DC" w:rsidRDefault="004E22C1" w:rsidP="00A772B3">
      <w:pPr>
        <w:pStyle w:val="a7"/>
      </w:pPr>
      <w:r w:rsidRPr="001455DC">
        <w:t>(2)</w:t>
      </w:r>
      <w:r w:rsidRPr="001455DC">
        <w:tab/>
        <w:t>The strain state of the existing reinforcement and concrete members being strengthened shall be determined prior to strengthening under the relevant effects of actions. Strains arising from additional action effects after strengthening should be superimposed to these when verifying the capacity of the strengthened member.</w:t>
      </w:r>
    </w:p>
    <w:p w14:paraId="4A8FCD3E" w14:textId="0AB01A15" w:rsidR="004E22C1" w:rsidRPr="001455DC" w:rsidRDefault="004E22C1" w:rsidP="00A772B3">
      <w:pPr>
        <w:pStyle w:val="a7"/>
      </w:pPr>
      <w:r w:rsidRPr="001455DC">
        <w:t>(3)</w:t>
      </w:r>
      <w:r w:rsidRPr="001455DC">
        <w:tab/>
      </w:r>
      <w:bookmarkStart w:id="1891" w:name="_Hlk39831020"/>
      <w:r w:rsidRPr="001455DC">
        <w:t xml:space="preserve">Unless more rigorous analysis is undertaken, the provisions in this Eurocode should not be applied to concrete with </w:t>
      </w:r>
      <m:oMath>
        <m:sSub>
          <m:sSubPr>
            <m:ctrlPr>
              <w:rPr>
                <w:rFonts w:ascii="Cambria Math" w:hAnsi="Cambria Math"/>
                <w:iCs/>
              </w:rPr>
            </m:ctrlPr>
          </m:sSubPr>
          <m:e>
            <m:r>
              <w:rPr>
                <w:rFonts w:ascii="Cambria Math" w:hAnsi="Cambria Math"/>
              </w:rPr>
              <m:t>f</m:t>
            </m:r>
          </m:e>
          <m:sub>
            <m:r>
              <m:rPr>
                <m:sty m:val="p"/>
              </m:rPr>
              <w:rPr>
                <w:rFonts w:ascii="Cambria Math" w:hAnsi="Cambria Math"/>
              </w:rPr>
              <m:t>ck</m:t>
            </m:r>
          </m:sub>
        </m:sSub>
        <m:r>
          <m:rPr>
            <m:sty m:val="p"/>
          </m:rPr>
          <w:rPr>
            <w:rFonts w:ascii="Cambria Math" w:hAnsi="Cambria Math"/>
          </w:rPr>
          <m:t>≤12</m:t>
        </m:r>
      </m:oMath>
      <w:r w:rsidRPr="001455DC">
        <w:t xml:space="preserve"> MPa or </w:t>
      </w:r>
      <m:oMath>
        <m:sSub>
          <m:sSubPr>
            <m:ctrlPr>
              <w:rPr>
                <w:rFonts w:ascii="Cambria Math" w:hAnsi="Cambria Math"/>
                <w:iCs/>
              </w:rPr>
            </m:ctrlPr>
          </m:sSubPr>
          <m:e>
            <m:r>
              <w:rPr>
                <w:rFonts w:ascii="Cambria Math" w:hAnsi="Cambria Math"/>
              </w:rPr>
              <m:t>f</m:t>
            </m:r>
          </m:e>
          <m:sub>
            <m:r>
              <m:rPr>
                <m:sty m:val="p"/>
              </m:rPr>
              <w:rPr>
                <w:rFonts w:ascii="Cambria Math" w:hAnsi="Cambria Math"/>
              </w:rPr>
              <m:t>ck</m:t>
            </m:r>
          </m:sub>
        </m:sSub>
        <m:r>
          <m:rPr>
            <m:sty m:val="p"/>
          </m:rPr>
          <w:rPr>
            <w:rFonts w:ascii="Cambria Math" w:hAnsi="Cambria Math"/>
          </w:rPr>
          <m:t>&gt;50</m:t>
        </m:r>
      </m:oMath>
      <w:r w:rsidRPr="001455DC">
        <w:t> MPa.</w:t>
      </w:r>
      <w:bookmarkEnd w:id="1891"/>
    </w:p>
    <w:p w14:paraId="09C1A921" w14:textId="77777777" w:rsidR="004E22C1" w:rsidRPr="001455DC" w:rsidRDefault="004E22C1" w:rsidP="00A772B3">
      <w:pPr>
        <w:pStyle w:val="a7"/>
      </w:pPr>
      <w:r w:rsidRPr="001455DC">
        <w:t>(4)</w:t>
      </w:r>
      <w:r w:rsidRPr="001455DC">
        <w:tab/>
        <w:t xml:space="preserve">Subject to the provisions of 8.1 and J.11 being satisfied, the tension contribution of the adhesively bonded CFRP should be included in calculation of ultimate moment resistance using the limiting strain distribution shown in </w:t>
      </w:r>
      <w:bookmarkStart w:id="1892" w:name="_Hlk39833089"/>
      <w:r w:rsidRPr="001455DC">
        <w:t>8.1.1(6) where the strain limit in the ABR CFRP is limited by the bond capacity determined in J.11.</w:t>
      </w:r>
      <w:bookmarkEnd w:id="1892"/>
    </w:p>
    <w:p w14:paraId="65821627" w14:textId="344C2D6E" w:rsidR="004E22C1" w:rsidRPr="001455DC" w:rsidRDefault="004E22C1" w:rsidP="00243590">
      <w:pPr>
        <w:pStyle w:val="a4"/>
        <w:rPr>
          <w:rFonts w:eastAsiaTheme="minorEastAsia"/>
        </w:rPr>
      </w:pPr>
      <w:bookmarkStart w:id="1893" w:name="_Toc52820266"/>
      <w:bookmarkStart w:id="1894" w:name="_Toc54337694"/>
      <w:bookmarkStart w:id="1895" w:name="_Toc54338320"/>
      <w:r w:rsidRPr="001455DC">
        <w:t>Concrete columns confined with fully wrapped CFRP</w:t>
      </w:r>
      <w:bookmarkEnd w:id="1873"/>
      <w:bookmarkEnd w:id="1874"/>
      <w:bookmarkEnd w:id="1875"/>
      <w:bookmarkEnd w:id="1876"/>
      <w:bookmarkEnd w:id="1877"/>
      <w:bookmarkEnd w:id="1878"/>
      <w:bookmarkEnd w:id="1893"/>
      <w:bookmarkEnd w:id="1894"/>
      <w:bookmarkEnd w:id="1895"/>
    </w:p>
    <w:p w14:paraId="4A98B4BA" w14:textId="77777777" w:rsidR="004E22C1" w:rsidRPr="001455DC" w:rsidRDefault="004E22C1" w:rsidP="00DE6BBC">
      <w:pPr>
        <w:pStyle w:val="a7"/>
        <w:keepNext/>
      </w:pPr>
      <w:r w:rsidRPr="001455DC">
        <w:rPr>
          <w:rFonts w:eastAsiaTheme="minorEastAsia"/>
        </w:rPr>
        <w:t>(1)</w:t>
      </w:r>
      <w:r w:rsidRPr="001455DC">
        <w:rPr>
          <w:rFonts w:eastAsiaTheme="minorEastAsia"/>
        </w:rPr>
        <w:tab/>
      </w:r>
      <w:r w:rsidRPr="001455DC">
        <w:t>The confining effect provided by adhesively bonded CFRP may be considered in design of axially-loaded members under the following conditions, where:</w:t>
      </w:r>
    </w:p>
    <w:p w14:paraId="5F5A2640" w14:textId="6BE1F1CB" w:rsidR="004E22C1" w:rsidRPr="001455DC" w:rsidRDefault="004E22C1" w:rsidP="00A772B3">
      <w:pPr>
        <w:pStyle w:val="a0"/>
      </w:pPr>
      <w:r w:rsidRPr="001455DC">
        <w:t xml:space="preserve">the characteristic concrete strength </w:t>
      </w:r>
      <m:oMath>
        <m:sSub>
          <m:sSubPr>
            <m:ctrlPr>
              <w:rPr>
                <w:rFonts w:ascii="Cambria Math" w:hAnsi="Cambria Math"/>
              </w:rPr>
            </m:ctrlPr>
          </m:sSubPr>
          <m:e>
            <m:r>
              <w:rPr>
                <w:rFonts w:ascii="Cambria Math" w:hAnsi="Cambria Math"/>
              </w:rPr>
              <m:t>f</m:t>
            </m:r>
          </m:e>
          <m:sub>
            <m:r>
              <m:rPr>
                <m:sty m:val="p"/>
              </m:rPr>
              <w:rPr>
                <w:rFonts w:ascii="Cambria Math" w:hAnsi="Cambria Math"/>
              </w:rPr>
              <m:t>ck</m:t>
            </m:r>
          </m:sub>
        </m:sSub>
      </m:oMath>
      <w:r w:rsidRPr="001455DC">
        <w:rPr>
          <w:rFonts w:eastAsiaTheme="minorEastAsia"/>
        </w:rPr>
        <w:t xml:space="preserve"> </w:t>
      </w:r>
      <w:r w:rsidRPr="001455DC">
        <w:t>is less than 50 MPa;</w:t>
      </w:r>
    </w:p>
    <w:p w14:paraId="207A478F" w14:textId="4F261265" w:rsidR="004E22C1" w:rsidRPr="001455DC" w:rsidRDefault="004E22C1" w:rsidP="00A772B3">
      <w:pPr>
        <w:pStyle w:val="a0"/>
      </w:pPr>
      <w:r w:rsidRPr="001455DC">
        <w:t xml:space="preserve">the diameter of a circular column, </w:t>
      </w:r>
      <w:r w:rsidRPr="001455DC">
        <w:rPr>
          <w:rStyle w:val="CCMCvariableitalic"/>
        </w:rPr>
        <w:t>D</w:t>
      </w:r>
      <w:r w:rsidRPr="001455DC">
        <w:t xml:space="preserve">, or effective diameter of a rectangular or square column, </w:t>
      </w:r>
      <w:r w:rsidRPr="001455DC">
        <w:rPr>
          <w:rStyle w:val="CCMCvariableitalic"/>
        </w:rPr>
        <w:t>D</w:t>
      </w:r>
      <w:r w:rsidRPr="001455DC">
        <w:rPr>
          <w:rStyle w:val="CCMCvariablesubscript"/>
        </w:rPr>
        <w:t>eq</w:t>
      </w:r>
      <w:r w:rsidRPr="001455DC">
        <w:t xml:space="preserve"> is greater than 150 mm;</w:t>
      </w:r>
    </w:p>
    <w:p w14:paraId="0E17F86B" w14:textId="297ADF4C" w:rsidR="004E22C1" w:rsidRPr="001455DC" w:rsidRDefault="004E22C1" w:rsidP="00A772B3">
      <w:pPr>
        <w:pStyle w:val="a0"/>
      </w:pPr>
      <w:r w:rsidRPr="001455DC">
        <w:t xml:space="preserve">the first order eccentricity satisfies the condition </w:t>
      </w:r>
      <m:oMath>
        <m:f>
          <m:fPr>
            <m:ctrlPr>
              <w:rPr>
                <w:rFonts w:ascii="Cambria Math" w:hAnsi="Cambria Math"/>
              </w:rPr>
            </m:ctrlPr>
          </m:fPr>
          <m:num>
            <m:sSub>
              <m:sSubPr>
                <m:ctrlPr>
                  <w:rPr>
                    <w:rFonts w:ascii="Cambria Math" w:hAnsi="Cambria Math"/>
                  </w:rPr>
                </m:ctrlPr>
              </m:sSubPr>
              <m:e>
                <m:r>
                  <w:rPr>
                    <w:rFonts w:ascii="Cambria Math" w:hAnsi="Cambria Math"/>
                  </w:rPr>
                  <m:t>e</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eq</m:t>
                </m:r>
              </m:sub>
            </m:sSub>
          </m:den>
        </m:f>
        <m:r>
          <m:rPr>
            <m:sty m:val="p"/>
          </m:rPr>
          <w:rPr>
            <w:rFonts w:ascii="Cambria Math" w:hAnsi="Cambria Math"/>
          </w:rPr>
          <m:t>≤0,25</m:t>
        </m:r>
      </m:oMath>
      <w:r w:rsidRPr="001455DC">
        <w:t>;</w:t>
      </w:r>
    </w:p>
    <w:p w14:paraId="59D81AE0" w14:textId="77777777" w:rsidR="007627EB" w:rsidRPr="009D3012" w:rsidRDefault="00A772B3" w:rsidP="00A772B3">
      <w:pPr>
        <w:pStyle w:val="a0"/>
      </w:pPr>
      <w:r w:rsidRPr="001455DC">
        <w:t>t</w:t>
      </w:r>
      <w:r w:rsidR="004E22C1" w:rsidRPr="001455DC">
        <w:t xml:space="preserve">he slenderness of satisfies the condition </w:t>
      </w:r>
      <m:oMath>
        <m:f>
          <m:fPr>
            <m:type m:val="lin"/>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eq</m:t>
                </m:r>
              </m:sub>
            </m:sSub>
            <m:r>
              <m:rPr>
                <m:sty m:val="p"/>
              </m:rPr>
              <w:rPr>
                <w:rFonts w:ascii="Cambria Math" w:hAnsi="Cambria Math"/>
              </w:rPr>
              <m:t>≤40</m:t>
            </m:r>
          </m:den>
        </m:f>
        <m:r>
          <w:rPr>
            <w:rFonts w:ascii="Cambria Math" w:hAnsi="Cambria Math"/>
          </w:rPr>
          <m:t>;</m:t>
        </m:r>
      </m:oMath>
    </w:p>
    <w:p w14:paraId="48A1CE94" w14:textId="69779852" w:rsidR="004E22C1" w:rsidRPr="001455DC" w:rsidRDefault="007627EB" w:rsidP="00A772B3">
      <w:pPr>
        <w:pStyle w:val="a0"/>
      </w:pPr>
      <w:r w:rsidRPr="009D3012">
        <w:rPr>
          <w:szCs w:val="18"/>
        </w:rPr>
        <w:t>the corner radius for rectangular cross sections is</w:t>
      </w:r>
      <w:r w:rsidRPr="009D3012">
        <w:rPr>
          <w:i/>
          <w:iCs/>
          <w:szCs w:val="18"/>
        </w:rPr>
        <w:t xml:space="preserve"> r</w:t>
      </w:r>
      <w:r w:rsidRPr="009D3012">
        <w:rPr>
          <w:szCs w:val="18"/>
          <w:vertAlign w:val="subscript"/>
        </w:rPr>
        <w:t xml:space="preserve">c </w:t>
      </w:r>
      <w:r w:rsidRPr="009D3012">
        <w:rPr>
          <w:rFonts w:cs="Arial"/>
          <w:szCs w:val="18"/>
        </w:rPr>
        <w:t xml:space="preserve">≥ </w:t>
      </w:r>
      <w:r w:rsidRPr="009D3012">
        <w:rPr>
          <w:szCs w:val="18"/>
        </w:rPr>
        <w:t>20 mm</w:t>
      </w:r>
      <w:r w:rsidRPr="001455DC">
        <w:t>;</w:t>
      </w:r>
    </w:p>
    <w:p w14:paraId="39A8F050" w14:textId="28D79F19" w:rsidR="007627EB" w:rsidRPr="001455DC" w:rsidRDefault="007627EB" w:rsidP="00A772B3">
      <w:pPr>
        <w:pStyle w:val="a0"/>
      </w:pPr>
      <w:r w:rsidRPr="009D3012">
        <w:rPr>
          <w:i/>
          <w:iCs/>
        </w:rPr>
        <w:t>t</w:t>
      </w:r>
      <w:r w:rsidRPr="009D3012">
        <w:rPr>
          <w:vertAlign w:val="subscript"/>
        </w:rPr>
        <w:t>f.eff</w:t>
      </w:r>
      <w:r w:rsidRPr="009D3012">
        <w:t xml:space="preserve"> = </w:t>
      </w:r>
      <w:r w:rsidRPr="009D3012">
        <w:rPr>
          <w:i/>
          <w:iCs/>
        </w:rPr>
        <w:t>n</w:t>
      </w:r>
      <w:r w:rsidRPr="009D3012">
        <w:rPr>
          <w:vertAlign w:val="subscript"/>
        </w:rPr>
        <w:t>f</w:t>
      </w:r>
      <w:r w:rsidRPr="009D3012">
        <w:rPr>
          <w:vertAlign w:val="superscript"/>
        </w:rPr>
        <w:t xml:space="preserve">af </w:t>
      </w:r>
      <w:r w:rsidRPr="009D3012">
        <w:sym w:font="Symbol" w:char="F0D7"/>
      </w:r>
      <w:r w:rsidRPr="009D3012">
        <w:t xml:space="preserve"> </w:t>
      </w:r>
      <w:r w:rsidRPr="009D3012">
        <w:rPr>
          <w:i/>
          <w:iCs/>
        </w:rPr>
        <w:t>t</w:t>
      </w:r>
      <w:r w:rsidRPr="009D3012">
        <w:rPr>
          <w:vertAlign w:val="subscript"/>
        </w:rPr>
        <w:t>f</w:t>
      </w:r>
      <w:r w:rsidRPr="009D3012">
        <w:t xml:space="preserve">, with </w:t>
      </w:r>
      <w:r w:rsidRPr="009D3012">
        <w:rPr>
          <w:i/>
          <w:iCs/>
        </w:rPr>
        <w:t>a</w:t>
      </w:r>
      <w:r w:rsidRPr="009D3012">
        <w:rPr>
          <w:vertAlign w:val="subscript"/>
        </w:rPr>
        <w:t>f</w:t>
      </w:r>
      <w:r w:rsidRPr="009D3012">
        <w:t xml:space="preserve"> = 0,85 for </w:t>
      </w:r>
      <w:r w:rsidRPr="009D3012">
        <w:rPr>
          <w:i/>
          <w:iCs/>
        </w:rPr>
        <w:t>n</w:t>
      </w:r>
      <w:r w:rsidRPr="009D3012">
        <w:rPr>
          <w:vertAlign w:val="subscript"/>
        </w:rPr>
        <w:t>f</w:t>
      </w:r>
      <w:r w:rsidRPr="009D3012">
        <w:t xml:space="preserve"> &gt; 3, or 1 otherwise.</w:t>
      </w:r>
    </w:p>
    <w:p w14:paraId="72FF5121" w14:textId="1A521C54" w:rsidR="007F079E" w:rsidRPr="001455DC" w:rsidRDefault="007F079E" w:rsidP="009D3012">
      <w:pPr>
        <w:pStyle w:val="a7"/>
        <w:keepNext/>
      </w:pPr>
      <w:r w:rsidRPr="009D3012">
        <w:rPr>
          <w:szCs w:val="18"/>
        </w:rPr>
        <w:t>The increase in compressive strength from FRP confinement shall be considered in determining slenderness effects.</w:t>
      </w:r>
    </w:p>
    <w:p w14:paraId="027ED5F7" w14:textId="6996F9D6" w:rsidR="004E22C1" w:rsidRPr="001455DC" w:rsidRDefault="004E22C1" w:rsidP="00DE6BBC">
      <w:pPr>
        <w:pStyle w:val="a7"/>
        <w:keepNext/>
      </w:pPr>
      <w:r w:rsidRPr="001455DC">
        <w:t>(2)</w:t>
      </w:r>
      <w:r w:rsidRPr="001455DC">
        <w:tab/>
        <w:t xml:space="preserve">The increase in compressive strength of concrete </w:t>
      </w:r>
      <m:oMath>
        <m:sSub>
          <m:sSubPr>
            <m:ctrlPr>
              <w:rPr>
                <w:rFonts w:ascii="Cambria Math" w:hAnsi="Cambria Math"/>
              </w:rPr>
            </m:ctrlPr>
          </m:sSubPr>
          <m:e>
            <m:r>
              <m:rPr>
                <m:sty m:val="p"/>
              </m:rPr>
              <w:rPr>
                <w:rFonts w:ascii="Cambria Math" w:hAnsi="Cambria Math"/>
              </w:rPr>
              <m:t>∆</m:t>
            </m:r>
            <m:r>
              <w:rPr>
                <w:rFonts w:ascii="Cambria Math" w:hAnsi="Cambria Math"/>
              </w:rPr>
              <m:t>f</m:t>
            </m:r>
          </m:e>
          <m:sub>
            <m:r>
              <m:rPr>
                <m:sty m:val="p"/>
              </m:rPr>
              <w:rPr>
                <w:rFonts w:ascii="Cambria Math" w:hAnsi="Cambria Math"/>
              </w:rPr>
              <m:t>cd</m:t>
            </m:r>
          </m:sub>
        </m:sSub>
      </m:oMath>
      <w:r w:rsidRPr="001455DC">
        <w:t xml:space="preserve"> in columns resulting from confinement using FRP may be calculated as follows:</w:t>
      </w:r>
    </w:p>
    <w:p w14:paraId="56E3222C" w14:textId="2B1AF95E" w:rsidR="004E22C1" w:rsidRPr="001455DC" w:rsidRDefault="004E22C1" w:rsidP="00F925E6">
      <w:pPr>
        <w:pStyle w:val="a7"/>
        <w:keepNext/>
        <w:rPr>
          <w:b/>
          <w:bCs/>
        </w:rPr>
      </w:pPr>
      <w:r w:rsidRPr="001455DC">
        <w:rPr>
          <w:b/>
          <w:bCs/>
        </w:rPr>
        <w:t>For circular columns:</w:t>
      </w:r>
    </w:p>
    <w:tbl>
      <w:tblPr>
        <w:tblStyle w:val="ad"/>
        <w:tblW w:w="9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119"/>
        <w:gridCol w:w="5387"/>
        <w:gridCol w:w="1247"/>
      </w:tblGrid>
      <w:tr w:rsidR="000B0512" w:rsidRPr="001455DC" w14:paraId="6BEFB96F" w14:textId="77777777" w:rsidTr="000B0512">
        <w:trPr>
          <w:cantSplit/>
        </w:trPr>
        <w:tc>
          <w:tcPr>
            <w:tcW w:w="3119" w:type="dxa"/>
            <w:vAlign w:val="center"/>
          </w:tcPr>
          <w:p w14:paraId="0FE33562" w14:textId="1141878D" w:rsidR="000B0512" w:rsidRPr="001455DC" w:rsidRDefault="00231E33" w:rsidP="000955DB">
            <w:pPr>
              <w:pStyle w:val="Formula"/>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cd</m:t>
                    </m:r>
                  </m:sub>
                </m:sSub>
                <m:r>
                  <w:rPr>
                    <w:rFonts w:ascii="Cambria Math" w:hAnsi="Cambria Math"/>
                  </w:rPr>
                  <m:t>=0</m:t>
                </m:r>
              </m:oMath>
            </m:oMathPara>
          </w:p>
        </w:tc>
        <w:tc>
          <w:tcPr>
            <w:tcW w:w="5387" w:type="dxa"/>
            <w:vAlign w:val="center"/>
          </w:tcPr>
          <w:p w14:paraId="776315DF" w14:textId="16021C5E" w:rsidR="000B0512" w:rsidRPr="001455DC" w:rsidRDefault="000955DB">
            <w:pPr>
              <w:pStyle w:val="Formula"/>
            </w:pPr>
            <m:oMathPara>
              <m:oMathParaPr>
                <m:jc m:val="left"/>
              </m:oMathParaPr>
              <m:oMath>
                <m:r>
                  <m:rPr>
                    <m:nor/>
                  </m:rPr>
                  <w:rPr>
                    <w:rFonts w:ascii="Cambria Math" w:hAnsi="Cambria Math"/>
                  </w:rPr>
                  <m:t>for</m:t>
                </m:r>
                <m: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2t</m:t>
                        </m:r>
                      </m:e>
                      <m:sub>
                        <m:r>
                          <m:rPr>
                            <m:sty m:val="p"/>
                          </m:rPr>
                          <w:rPr>
                            <w:rFonts w:ascii="Cambria Math" w:hAnsi="Cambria Math"/>
                          </w:rPr>
                          <m:t>f,eff</m:t>
                        </m:r>
                      </m:sub>
                    </m:sSub>
                    <m:sSub>
                      <m:sSubPr>
                        <m:ctrlPr>
                          <w:rPr>
                            <w:rFonts w:ascii="Cambria Math" w:hAnsi="Cambria Math"/>
                          </w:rPr>
                        </m:ctrlPr>
                      </m:sSubPr>
                      <m:e>
                        <m:r>
                          <w:rPr>
                            <w:rFonts w:ascii="Cambria Math" w:hAnsi="Cambria Math"/>
                          </w:rPr>
                          <m:t>∙f</m:t>
                        </m:r>
                      </m:e>
                      <m:sub>
                        <m:r>
                          <m:rPr>
                            <m:sty m:val="p"/>
                          </m:rPr>
                          <w:rPr>
                            <w:rFonts w:ascii="Cambria Math" w:hAnsi="Cambria Math"/>
                          </w:rPr>
                          <m:t>fud</m:t>
                        </m:r>
                      </m:sub>
                    </m:sSub>
                  </m:num>
                  <m:den>
                    <m:r>
                      <w:rPr>
                        <w:rFonts w:ascii="Cambria Math" w:hAnsi="Cambria Math"/>
                      </w:rPr>
                      <m:t>D∙</m:t>
                    </m:r>
                    <m:sSub>
                      <m:sSubPr>
                        <m:ctrlPr>
                          <w:rPr>
                            <w:rFonts w:ascii="Cambria Math" w:hAnsi="Cambria Math"/>
                          </w:rPr>
                        </m:ctrlPr>
                      </m:sSubPr>
                      <m:e>
                        <m:r>
                          <w:rPr>
                            <w:rFonts w:ascii="Cambria Math" w:hAnsi="Cambria Math"/>
                          </w:rPr>
                          <m:t>f</m:t>
                        </m:r>
                      </m:e>
                      <m:sub>
                        <m:r>
                          <m:rPr>
                            <m:sty m:val="p"/>
                          </m:rPr>
                          <w:rPr>
                            <w:rFonts w:ascii="Cambria Math" w:hAnsi="Cambria Math"/>
                          </w:rPr>
                          <m:t>cd</m:t>
                        </m:r>
                      </m:sub>
                    </m:sSub>
                  </m:den>
                </m:f>
                <m:r>
                  <w:rPr>
                    <w:rFonts w:ascii="Cambria Math" w:hAnsi="Cambria Math"/>
                  </w:rPr>
                  <m:t>&lt;0,07</m:t>
                </m:r>
              </m:oMath>
            </m:oMathPara>
          </w:p>
        </w:tc>
        <w:tc>
          <w:tcPr>
            <w:tcW w:w="1247" w:type="dxa"/>
            <w:vAlign w:val="center"/>
          </w:tcPr>
          <w:p w14:paraId="2F4B0446" w14:textId="07136010" w:rsidR="000B0512" w:rsidRPr="001455DC" w:rsidRDefault="000B0512" w:rsidP="00FB75F8">
            <w:pPr>
              <w:pStyle w:val="a7"/>
              <w:jc w:val="right"/>
            </w:pPr>
            <w:r w:rsidRPr="001455DC">
              <w:rPr>
                <w:szCs w:val="22"/>
              </w:rPr>
              <w:t>(J.3)</w:t>
            </w:r>
          </w:p>
        </w:tc>
      </w:tr>
      <w:tr w:rsidR="000B0512" w:rsidRPr="001455DC" w14:paraId="76C88C7F" w14:textId="77777777" w:rsidTr="000B0512">
        <w:trPr>
          <w:cantSplit/>
        </w:trPr>
        <w:tc>
          <w:tcPr>
            <w:tcW w:w="3119" w:type="dxa"/>
            <w:vAlign w:val="center"/>
          </w:tcPr>
          <w:p w14:paraId="3B707EE0" w14:textId="6EF279A0" w:rsidR="000B0512" w:rsidRPr="001455DC" w:rsidRDefault="00231E33" w:rsidP="000955DB">
            <w:pPr>
              <w:pStyle w:val="Formula"/>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cd</m:t>
                    </m:r>
                  </m:sub>
                </m:sSub>
                <m:r>
                  <w:rPr>
                    <w:rFonts w:ascii="Cambria Math" w:hAnsi="Cambria Math"/>
                  </w:rPr>
                  <m:t>=3,3∙</m:t>
                </m:r>
                <m:f>
                  <m:fPr>
                    <m:ctrlPr>
                      <w:rPr>
                        <w:rFonts w:ascii="Cambria Math" w:hAnsi="Cambria Math"/>
                      </w:rPr>
                    </m:ctrlPr>
                  </m:fPr>
                  <m:num>
                    <m:r>
                      <w:rPr>
                        <w:rFonts w:ascii="Cambria Math" w:hAnsi="Cambria Math"/>
                      </w:rPr>
                      <m:t>2</m:t>
                    </m:r>
                    <m:sSub>
                      <m:sSubPr>
                        <m:ctrlPr>
                          <w:rPr>
                            <w:rFonts w:ascii="Cambria Math" w:hAnsi="Cambria Math"/>
                          </w:rPr>
                        </m:ctrlPr>
                      </m:sSubPr>
                      <m:e>
                        <m:r>
                          <w:rPr>
                            <w:rFonts w:ascii="Cambria Math" w:hAnsi="Cambria Math"/>
                          </w:rPr>
                          <m:t>∙t</m:t>
                        </m:r>
                      </m:e>
                      <m:sub>
                        <m:r>
                          <m:rPr>
                            <m:sty m:val="p"/>
                          </m:rPr>
                          <w:rPr>
                            <w:rFonts w:ascii="Cambria Math" w:hAnsi="Cambria Math"/>
                          </w:rPr>
                          <m:t>f</m:t>
                        </m:r>
                      </m:sub>
                    </m:sSub>
                  </m:num>
                  <m:den>
                    <m:r>
                      <w:rPr>
                        <w:rFonts w:ascii="Cambria Math" w:hAnsi="Cambria Math"/>
                      </w:rPr>
                      <m:t>D</m:t>
                    </m:r>
                  </m:den>
                </m:f>
                <m:sSub>
                  <m:sSubPr>
                    <m:ctrlPr>
                      <w:rPr>
                        <w:rFonts w:ascii="Cambria Math" w:hAnsi="Cambria Math"/>
                      </w:rPr>
                    </m:ctrlPr>
                  </m:sSubPr>
                  <m:e>
                    <m:r>
                      <w:rPr>
                        <w:rFonts w:ascii="Cambria Math" w:hAnsi="Cambria Math"/>
                      </w:rPr>
                      <m:t>∙k</m:t>
                    </m:r>
                  </m:e>
                  <m:sub>
                    <m:r>
                      <m:rPr>
                        <m:sty m:val="p"/>
                      </m:rP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fud</m:t>
                    </m:r>
                  </m:sub>
                </m:sSub>
              </m:oMath>
            </m:oMathPara>
          </w:p>
        </w:tc>
        <w:tc>
          <w:tcPr>
            <w:tcW w:w="5387" w:type="dxa"/>
            <w:vAlign w:val="center"/>
          </w:tcPr>
          <w:p w14:paraId="3B0A10AE" w14:textId="26B97BEE" w:rsidR="000B0512" w:rsidRPr="001455DC" w:rsidRDefault="000955DB">
            <w:pPr>
              <w:pStyle w:val="Formula"/>
            </w:pPr>
            <m:oMathPara>
              <m:oMathParaPr>
                <m:jc m:val="left"/>
              </m:oMathParaPr>
              <m:oMath>
                <m:r>
                  <m:rPr>
                    <m:nor/>
                  </m:rPr>
                  <w:rPr>
                    <w:rFonts w:ascii="Cambria Math" w:hAnsi="Cambria Math"/>
                  </w:rPr>
                  <m:t>for</m:t>
                </m:r>
                <m: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2t</m:t>
                        </m:r>
                      </m:e>
                      <m:sub>
                        <m:r>
                          <m:rPr>
                            <m:sty m:val="p"/>
                          </m:rPr>
                          <w:rPr>
                            <w:rFonts w:ascii="Cambria Math" w:hAnsi="Cambria Math"/>
                          </w:rPr>
                          <m:t>f,eff</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r</m:t>
                            </m:r>
                          </m:sub>
                        </m:sSub>
                        <m:r>
                          <w:rPr>
                            <w:rFonts w:ascii="Cambria Math" w:hAnsi="Cambria Math"/>
                          </w:rPr>
                          <m:t>∙f</m:t>
                        </m:r>
                      </m:e>
                      <m:sub>
                        <m:r>
                          <m:rPr>
                            <m:sty m:val="p"/>
                          </m:rPr>
                          <w:rPr>
                            <w:rFonts w:ascii="Cambria Math" w:hAnsi="Cambria Math"/>
                          </w:rPr>
                          <m:t>fud</m:t>
                        </m:r>
                      </m:sub>
                    </m:sSub>
                  </m:num>
                  <m:den>
                    <m:r>
                      <w:rPr>
                        <w:rFonts w:ascii="Cambria Math" w:hAnsi="Cambria Math"/>
                      </w:rPr>
                      <m:t>D∙</m:t>
                    </m:r>
                    <m:sSub>
                      <m:sSubPr>
                        <m:ctrlPr>
                          <w:rPr>
                            <w:rFonts w:ascii="Cambria Math" w:hAnsi="Cambria Math"/>
                          </w:rPr>
                        </m:ctrlPr>
                      </m:sSubPr>
                      <m:e>
                        <m:r>
                          <w:rPr>
                            <w:rFonts w:ascii="Cambria Math" w:hAnsi="Cambria Math"/>
                          </w:rPr>
                          <m:t>f</m:t>
                        </m:r>
                      </m:e>
                      <m:sub>
                        <m:r>
                          <m:rPr>
                            <m:sty m:val="p"/>
                          </m:rPr>
                          <w:rPr>
                            <w:rFonts w:ascii="Cambria Math" w:hAnsi="Cambria Math"/>
                          </w:rPr>
                          <m:t>cd</m:t>
                        </m:r>
                      </m:sub>
                    </m:sSub>
                  </m:den>
                </m:f>
                <m:r>
                  <w:rPr>
                    <w:rFonts w:ascii="Cambria Math" w:hAnsi="Cambria Math"/>
                  </w:rPr>
                  <m:t>≥0,07</m:t>
                </m:r>
              </m:oMath>
            </m:oMathPara>
          </w:p>
        </w:tc>
        <w:tc>
          <w:tcPr>
            <w:tcW w:w="1247" w:type="dxa"/>
            <w:vAlign w:val="center"/>
          </w:tcPr>
          <w:p w14:paraId="0C2EB453" w14:textId="3F203907" w:rsidR="000B0512" w:rsidRPr="001455DC" w:rsidRDefault="000B0512" w:rsidP="00FB75F8">
            <w:pPr>
              <w:pStyle w:val="a7"/>
              <w:jc w:val="right"/>
            </w:pPr>
            <w:r w:rsidRPr="001455DC">
              <w:rPr>
                <w:szCs w:val="22"/>
              </w:rPr>
              <w:t>(J.4)</w:t>
            </w:r>
          </w:p>
        </w:tc>
      </w:tr>
    </w:tbl>
    <w:p w14:paraId="0F466895" w14:textId="508224AF" w:rsidR="00FB75F8" w:rsidRPr="001455DC" w:rsidRDefault="004E22C1" w:rsidP="00FB75F8">
      <w:pPr>
        <w:pStyle w:val="a7"/>
      </w:pPr>
      <w:r w:rsidRPr="001455DC">
        <w:rPr>
          <w:szCs w:val="22"/>
        </w:rPr>
        <w:t xml:space="preserve">where </w:t>
      </w:r>
      <m:oMath>
        <m:r>
          <w:rPr>
            <w:rFonts w:ascii="Cambria Math" w:hAnsi="Cambria Math"/>
          </w:rPr>
          <m:t>D</m:t>
        </m:r>
      </m:oMath>
      <w:r w:rsidRPr="001455DC">
        <w:rPr>
          <w:szCs w:val="22"/>
        </w:rPr>
        <w:t xml:space="preserve"> is the diameter of the circular column.</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FB75F8" w:rsidRPr="001455DC" w14:paraId="5F920CDB" w14:textId="77777777" w:rsidTr="00FB75F8">
        <w:trPr>
          <w:cantSplit/>
        </w:trPr>
        <w:tc>
          <w:tcPr>
            <w:tcW w:w="8505" w:type="dxa"/>
            <w:vAlign w:val="center"/>
          </w:tcPr>
          <w:p w14:paraId="1B26D228" w14:textId="44D6148E" w:rsidR="00FB75F8" w:rsidRPr="001455DC" w:rsidRDefault="00231E33" w:rsidP="000955DB">
            <w:pPr>
              <w:pStyle w:val="Formula"/>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rPr>
                      <m:t>r</m:t>
                    </m:r>
                  </m:sub>
                </m:sSub>
                <m:r>
                  <w:rPr>
                    <w:rFonts w:ascii="Cambria Math" w:hAnsi="Cambria Math"/>
                  </w:rPr>
                  <m:t>=</m:t>
                </m:r>
                <m:d>
                  <m:dPr>
                    <m:begChr m:val="{"/>
                    <m:endChr m:val=""/>
                    <m:ctrlPr>
                      <w:rPr>
                        <w:rFonts w:ascii="Cambria Math" w:hAnsi="Cambria Math"/>
                      </w:rPr>
                    </m:ctrlPr>
                  </m:dPr>
                  <m:e>
                    <m:m>
                      <m:mPr>
                        <m:cGp m:val="8"/>
                        <m:mcs>
                          <m:mc>
                            <m:mcPr>
                              <m:count m:val="2"/>
                              <m:mcJc m:val="left"/>
                            </m:mcPr>
                          </m:mc>
                        </m:mcs>
                        <m:ctrlPr>
                          <w:rPr>
                            <w:rFonts w:ascii="Cambria Math" w:hAnsi="Cambria Math"/>
                          </w:rPr>
                        </m:ctrlPr>
                      </m:mPr>
                      <m:mr>
                        <m:e>
                          <m:r>
                            <w:rPr>
                              <w:rFonts w:ascii="Cambria Math" w:hAnsi="Cambria Math"/>
                            </w:rPr>
                            <m:t>0,5∙</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c</m:t>
                                      </m:r>
                                    </m:sub>
                                  </m:sSub>
                                </m:num>
                                <m:den>
                                  <m:r>
                                    <w:rPr>
                                      <w:rFonts w:ascii="Cambria Math" w:hAnsi="Cambria Math"/>
                                    </w:rPr>
                                    <m:t>50</m:t>
                                  </m:r>
                                </m:den>
                              </m:f>
                            </m:e>
                          </m:d>
                          <m:r>
                            <w:rPr>
                              <w:rFonts w:ascii="Cambria Math" w:hAnsi="Cambria Math"/>
                            </w:rPr>
                            <m:t>∙</m:t>
                          </m:r>
                          <m:d>
                            <m:dPr>
                              <m:ctrlPr>
                                <w:rPr>
                                  <w:rFonts w:ascii="Cambria Math" w:hAnsi="Cambria Math"/>
                                </w:rPr>
                              </m:ctrlPr>
                            </m:dPr>
                            <m:e>
                              <m:r>
                                <w:rPr>
                                  <w:rFonts w:ascii="Cambria Math" w:hAnsi="Cambria Math"/>
                                </w:rPr>
                                <m:t>2-</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c</m:t>
                                      </m:r>
                                    </m:sub>
                                  </m:sSub>
                                </m:num>
                                <m:den>
                                  <m:r>
                                    <w:rPr>
                                      <w:rFonts w:ascii="Cambria Math" w:hAnsi="Cambria Math"/>
                                    </w:rPr>
                                    <m:t>50</m:t>
                                  </m:r>
                                </m:den>
                              </m:f>
                            </m:e>
                          </m:d>
                        </m:e>
                        <m:e>
                          <m:r>
                            <m:rPr>
                              <m:nor/>
                            </m:rPr>
                            <w:rPr>
                              <w:rFonts w:ascii="Cambria Math" w:hAnsi="Cambria Math"/>
                              <w:iCs/>
                            </w:rPr>
                            <m:t>for</m:t>
                          </m:r>
                          <m:r>
                            <w:rPr>
                              <w:rFonts w:ascii="Cambria Math" w:hAnsi="Cambria Math"/>
                            </w:rPr>
                            <m:t xml:space="preserve"> </m:t>
                          </m:r>
                          <m:sSub>
                            <m:sSubPr>
                              <m:ctrlPr>
                                <w:rPr>
                                  <w:rFonts w:ascii="Cambria Math" w:hAnsi="Cambria Math"/>
                                </w:rPr>
                              </m:ctrlPr>
                            </m:sSubPr>
                            <m:e>
                              <m:r>
                                <w:rPr>
                                  <w:rFonts w:ascii="Cambria Math" w:hAnsi="Cambria Math"/>
                                </w:rPr>
                                <m:t>r</m:t>
                              </m:r>
                            </m:e>
                            <m:sub>
                              <m:r>
                                <m:rPr>
                                  <m:sty m:val="p"/>
                                </m:rPr>
                                <w:rPr>
                                  <w:rFonts w:ascii="Cambria Math" w:hAnsi="Cambria Math"/>
                                </w:rPr>
                                <m:t>c</m:t>
                              </m:r>
                            </m:sub>
                          </m:sSub>
                          <m:r>
                            <w:rPr>
                              <w:rFonts w:ascii="Cambria Math" w:hAnsi="Cambria Math"/>
                            </w:rPr>
                            <m:t xml:space="preserve">&lt;50 </m:t>
                          </m:r>
                          <m:r>
                            <m:rPr>
                              <m:nor/>
                            </m:rPr>
                            <w:rPr>
                              <w:rFonts w:ascii="Cambria Math" w:hAnsi="Cambria Math"/>
                              <w:iCs/>
                            </w:rPr>
                            <m:t>mm</m:t>
                          </m:r>
                        </m:e>
                      </m:mr>
                      <m:mr>
                        <m:e>
                          <m:r>
                            <w:rPr>
                              <w:rFonts w:ascii="Cambria Math" w:hAnsi="Cambria Math"/>
                            </w:rPr>
                            <m:t>0,5</m:t>
                          </m:r>
                        </m:e>
                        <m:e>
                          <m:r>
                            <m:rPr>
                              <m:nor/>
                            </m:rPr>
                            <w:rPr>
                              <w:rFonts w:ascii="Cambria Math" w:hAnsi="Cambria Math"/>
                              <w:iCs/>
                            </w:rPr>
                            <m:t>for</m:t>
                          </m:r>
                          <m:r>
                            <w:rPr>
                              <w:rFonts w:ascii="Cambria Math" w:hAnsi="Cambria Math"/>
                            </w:rPr>
                            <m:t xml:space="preserve"> </m:t>
                          </m:r>
                          <m:sSub>
                            <m:sSubPr>
                              <m:ctrlPr>
                                <w:rPr>
                                  <w:rFonts w:ascii="Cambria Math" w:hAnsi="Cambria Math"/>
                                </w:rPr>
                              </m:ctrlPr>
                            </m:sSubPr>
                            <m:e>
                              <m:r>
                                <w:rPr>
                                  <w:rFonts w:ascii="Cambria Math" w:hAnsi="Cambria Math"/>
                                </w:rPr>
                                <m:t>r</m:t>
                              </m:r>
                            </m:e>
                            <m:sub>
                              <m:r>
                                <m:rPr>
                                  <m:sty m:val="p"/>
                                </m:rPr>
                                <w:rPr>
                                  <w:rFonts w:ascii="Cambria Math" w:hAnsi="Cambria Math"/>
                                </w:rPr>
                                <m:t>c</m:t>
                              </m:r>
                            </m:sub>
                          </m:sSub>
                          <m:r>
                            <w:rPr>
                              <w:rFonts w:ascii="Cambria Math" w:hAnsi="Cambria Math"/>
                            </w:rPr>
                            <m:t xml:space="preserve">≥50 </m:t>
                          </m:r>
                          <m:r>
                            <m:rPr>
                              <m:nor/>
                            </m:rPr>
                            <w:rPr>
                              <w:rFonts w:ascii="Cambria Math" w:hAnsi="Cambria Math"/>
                              <w:iCs/>
                            </w:rPr>
                            <m:t>mm</m:t>
                          </m:r>
                        </m:e>
                      </m:mr>
                    </m:m>
                  </m:e>
                </m:d>
              </m:oMath>
            </m:oMathPara>
          </w:p>
        </w:tc>
        <w:tc>
          <w:tcPr>
            <w:tcW w:w="1247" w:type="dxa"/>
            <w:vAlign w:val="center"/>
          </w:tcPr>
          <w:p w14:paraId="3B58FA95" w14:textId="4053F22C" w:rsidR="00FB75F8" w:rsidRPr="001455DC" w:rsidRDefault="00F925E6" w:rsidP="00FB75F8">
            <w:pPr>
              <w:pStyle w:val="a7"/>
              <w:jc w:val="right"/>
            </w:pPr>
            <w:r w:rsidRPr="001455DC">
              <w:t>(J.5)</w:t>
            </w:r>
          </w:p>
        </w:tc>
      </w:tr>
      <w:tr w:rsidR="00FB75F8" w:rsidRPr="001455DC" w14:paraId="0E102040" w14:textId="77777777" w:rsidTr="00FB75F8">
        <w:trPr>
          <w:cantSplit/>
        </w:trPr>
        <w:tc>
          <w:tcPr>
            <w:tcW w:w="8505" w:type="dxa"/>
            <w:vAlign w:val="center"/>
          </w:tcPr>
          <w:p w14:paraId="1393CF23" w14:textId="7B98E1A5" w:rsidR="00FB75F8" w:rsidRPr="001455DC" w:rsidRDefault="00231E33" w:rsidP="000955DB">
            <w:pPr>
              <w:pStyle w:val="Formula"/>
            </w:pPr>
            <m:oMathPara>
              <m:oMathParaPr>
                <m:jc m:val="left"/>
              </m:oMathParaPr>
              <m:oMath>
                <m:sSub>
                  <m:sSubPr>
                    <m:ctrlPr>
                      <w:rPr>
                        <w:rFonts w:ascii="Cambria Math" w:hAnsi="Cambria Math"/>
                      </w:rPr>
                    </m:ctrlPr>
                  </m:sSubPr>
                  <m:e>
                    <m:r>
                      <w:rPr>
                        <w:rFonts w:ascii="Cambria Math" w:hAnsi="Cambria Math"/>
                      </w:rPr>
                      <m:t>r</m:t>
                    </m:r>
                  </m:e>
                  <m:sub>
                    <m:r>
                      <m:rPr>
                        <m:sty m:val="p"/>
                      </m:rPr>
                      <w:rPr>
                        <w:rFonts w:ascii="Cambria Math" w:hAnsi="Cambria Math"/>
                      </w:rPr>
                      <m:t>c</m:t>
                    </m:r>
                  </m:sub>
                </m:sSub>
                <m:r>
                  <m:rPr>
                    <m:sty m:val="p"/>
                  </m:rPr>
                  <w:rPr>
                    <w:rFonts w:ascii="Cambria Math" w:hAnsi="Cambria Math"/>
                  </w:rPr>
                  <m:t>=0,5∙</m:t>
                </m:r>
                <m:r>
                  <w:rPr>
                    <w:rFonts w:ascii="Cambria Math" w:hAnsi="Cambria Math"/>
                  </w:rPr>
                  <m:t>D</m:t>
                </m:r>
              </m:oMath>
            </m:oMathPara>
          </w:p>
        </w:tc>
        <w:tc>
          <w:tcPr>
            <w:tcW w:w="1247" w:type="dxa"/>
            <w:vAlign w:val="center"/>
          </w:tcPr>
          <w:p w14:paraId="287E3DA8" w14:textId="67CAEE6B" w:rsidR="00FB75F8" w:rsidRPr="001455DC" w:rsidRDefault="00F925E6" w:rsidP="00FB75F8">
            <w:pPr>
              <w:pStyle w:val="a7"/>
              <w:jc w:val="right"/>
            </w:pPr>
            <w:r w:rsidRPr="001455DC">
              <w:t>(J.6)</w:t>
            </w:r>
          </w:p>
        </w:tc>
      </w:tr>
    </w:tbl>
    <w:p w14:paraId="7A06EA2A" w14:textId="77777777" w:rsidR="00FB75F8" w:rsidRPr="001455DC" w:rsidRDefault="004E22C1" w:rsidP="00F925E6">
      <w:pPr>
        <w:pStyle w:val="a7"/>
        <w:keepNext/>
        <w:rPr>
          <w:b/>
          <w:bCs/>
        </w:rPr>
      </w:pPr>
      <w:r w:rsidRPr="001455DC">
        <w:rPr>
          <w:b/>
          <w:bCs/>
        </w:rPr>
        <w:t>For rectangular columns:</w:t>
      </w:r>
    </w:p>
    <w:tbl>
      <w:tblPr>
        <w:tblStyle w:val="ad"/>
        <w:tblW w:w="9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253"/>
        <w:gridCol w:w="4253"/>
        <w:gridCol w:w="1247"/>
      </w:tblGrid>
      <w:tr w:rsidR="00F925E6" w:rsidRPr="001455DC" w14:paraId="16C97868" w14:textId="77777777" w:rsidTr="00F925E6">
        <w:trPr>
          <w:cantSplit/>
        </w:trPr>
        <w:tc>
          <w:tcPr>
            <w:tcW w:w="4253" w:type="dxa"/>
            <w:vAlign w:val="center"/>
          </w:tcPr>
          <w:p w14:paraId="1C8F7248" w14:textId="74B254CE" w:rsidR="00F925E6" w:rsidRPr="001455DC" w:rsidRDefault="00231E33" w:rsidP="000955DB">
            <w:pPr>
              <w:pStyle w:val="Formula"/>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f</m:t>
                    </m:r>
                  </m:e>
                  <m:sub>
                    <m:r>
                      <m:rPr>
                        <m:sty m:val="p"/>
                      </m:rPr>
                      <w:rPr>
                        <w:rFonts w:ascii="Cambria Math" w:hAnsi="Cambria Math"/>
                      </w:rPr>
                      <m:t>cd</m:t>
                    </m:r>
                  </m:sub>
                </m:sSub>
                <m:r>
                  <m:rPr>
                    <m:sty m:val="p"/>
                  </m:rPr>
                  <w:rPr>
                    <w:rFonts w:ascii="Cambria Math" w:hAnsi="Cambria Math"/>
                  </w:rPr>
                  <m:t>=0</m:t>
                </m:r>
              </m:oMath>
            </m:oMathPara>
          </w:p>
        </w:tc>
        <w:tc>
          <w:tcPr>
            <w:tcW w:w="4253" w:type="dxa"/>
            <w:vAlign w:val="center"/>
          </w:tcPr>
          <w:p w14:paraId="76524AC2" w14:textId="34D4224B" w:rsidR="00F925E6" w:rsidRPr="001455DC" w:rsidRDefault="00F925E6">
            <w:pPr>
              <w:pStyle w:val="Formula"/>
            </w:pPr>
            <m:oMathPara>
              <m:oMathParaPr>
                <m:jc m:val="left"/>
              </m:oMathParaPr>
              <m:oMath>
                <m:r>
                  <m:rPr>
                    <m:nor/>
                  </m:rPr>
                  <m:t>for</m:t>
                </m:r>
                <m:r>
                  <w:rPr>
                    <w:rFonts w:ascii="Cambria Math" w:hAnsi="Cambria Math"/>
                  </w:rPr>
                  <m:t xml:space="preserve"> </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b</m:t>
                            </m:r>
                          </m:num>
                          <m:den>
                            <m:r>
                              <m:rPr>
                                <m:sty m:val="p"/>
                              </m:rPr>
                              <w:rPr>
                                <w:rFonts w:ascii="Cambria Math" w:hAnsi="Cambria Math"/>
                              </w:rPr>
                              <m:t>h</m:t>
                            </m:r>
                          </m:den>
                        </m:f>
                      </m:e>
                    </m:d>
                  </m:e>
                  <m:sup>
                    <m:r>
                      <m:rPr>
                        <m:sty m:val="p"/>
                      </m:rPr>
                      <w:rPr>
                        <w:rFonts w:ascii="Cambria Math" w:hAnsi="Cambria Math"/>
                      </w:rPr>
                      <m:t>2</m:t>
                    </m:r>
                  </m:sup>
                </m:sSup>
                <m:sSub>
                  <m:sSubPr>
                    <m:ctrlPr>
                      <w:rPr>
                        <w:rFonts w:ascii="Cambria Math" w:hAnsi="Cambria Math"/>
                      </w:rPr>
                    </m:ctrlPr>
                  </m:sSubPr>
                  <m:e>
                    <m:r>
                      <w:rPr>
                        <w:rFonts w:ascii="Cambria Math" w:hAnsi="Cambria Math"/>
                      </w:rPr>
                      <m:t>k</m:t>
                    </m:r>
                  </m:e>
                  <m:sub>
                    <m:r>
                      <m:rPr>
                        <m:sty m:val="p"/>
                      </m:rPr>
                      <w:rPr>
                        <w:rFonts w:ascii="Cambria Math" w:hAnsi="Cambria Math"/>
                      </w:rPr>
                      <m:t>e</m:t>
                    </m:r>
                  </m:sub>
                </m:sSub>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t</m:t>
                        </m:r>
                      </m:e>
                      <m:sub>
                        <m:r>
                          <m:rPr>
                            <m:sty m:val="p"/>
                          </m:rPr>
                          <w:rPr>
                            <w:rFonts w:ascii="Cambria Math" w:hAnsi="Cambria Math"/>
                          </w:rPr>
                          <m:t>f,eff</m:t>
                        </m:r>
                      </m:sub>
                    </m:sSub>
                    <m:sSub>
                      <m:sSubPr>
                        <m:ctrlPr>
                          <w:rPr>
                            <w:rFonts w:ascii="Cambria Math" w:hAnsi="Cambria Math"/>
                          </w:rPr>
                        </m:ctrlPr>
                      </m:sSubPr>
                      <m:e>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r</m:t>
                            </m:r>
                          </m:sub>
                        </m:sSub>
                        <m:r>
                          <m:rPr>
                            <m:sty m:val="p"/>
                          </m:rPr>
                          <w:rPr>
                            <w:rFonts w:ascii="Cambria Math" w:hAnsi="Cambria Math"/>
                          </w:rPr>
                          <m:t>∙</m:t>
                        </m:r>
                        <m:r>
                          <w:rPr>
                            <w:rFonts w:ascii="Cambria Math" w:hAnsi="Cambria Math"/>
                          </w:rPr>
                          <m:t>f</m:t>
                        </m:r>
                      </m:e>
                      <m:sub>
                        <m:r>
                          <m:rPr>
                            <m:sty m:val="p"/>
                          </m:rPr>
                          <w:rPr>
                            <w:rFonts w:ascii="Cambria Math" w:hAnsi="Cambria Math"/>
                          </w:rPr>
                          <m:t>fud</m:t>
                        </m:r>
                      </m:sub>
                    </m:sSub>
                  </m:num>
                  <m:den>
                    <m:sSub>
                      <m:sSubPr>
                        <m:ctrlPr>
                          <w:rPr>
                            <w:rFonts w:ascii="Cambria Math" w:hAnsi="Cambria Math"/>
                            <w:i/>
                          </w:rPr>
                        </m:ctrlPr>
                      </m:sSubPr>
                      <m:e>
                        <m:r>
                          <w:rPr>
                            <w:rFonts w:ascii="Cambria Math" w:hAnsi="Cambria Math"/>
                          </w:rPr>
                          <m:t>D</m:t>
                        </m:r>
                      </m:e>
                      <m:sub>
                        <m:r>
                          <m:rPr>
                            <m:sty m:val="p"/>
                          </m:rPr>
                          <w:rPr>
                            <w:rFonts w:ascii="Cambria Math" w:hAnsi="Cambria Math"/>
                          </w:rPr>
                          <m:t>eq</m:t>
                        </m:r>
                      </m:sub>
                    </m:sSub>
                    <m:sSub>
                      <m:sSubPr>
                        <m:ctrlPr>
                          <w:rPr>
                            <w:rFonts w:ascii="Cambria Math" w:hAnsi="Cambria Math"/>
                          </w:rPr>
                        </m:ctrlPr>
                      </m:sSubPr>
                      <m:e>
                        <m:r>
                          <m:rPr>
                            <m:sty m:val="p"/>
                          </m:rPr>
                          <w:rPr>
                            <w:rFonts w:ascii="Cambria Math" w:hAnsi="Cambria Math"/>
                          </w:rPr>
                          <m:t>∙</m:t>
                        </m:r>
                        <m:r>
                          <w:rPr>
                            <w:rFonts w:ascii="Cambria Math" w:hAnsi="Cambria Math"/>
                          </w:rPr>
                          <m:t>f</m:t>
                        </m:r>
                      </m:e>
                      <m:sub>
                        <m:r>
                          <m:rPr>
                            <m:sty m:val="p"/>
                          </m:rPr>
                          <w:rPr>
                            <w:rFonts w:ascii="Cambria Math" w:hAnsi="Cambria Math"/>
                          </w:rPr>
                          <m:t>cd</m:t>
                        </m:r>
                      </m:sub>
                    </m:sSub>
                  </m:den>
                </m:f>
                <m:r>
                  <m:rPr>
                    <m:sty m:val="p"/>
                  </m:rPr>
                  <w:rPr>
                    <w:rFonts w:ascii="Cambria Math" w:hAnsi="Cambria Math"/>
                  </w:rPr>
                  <m:t>&lt;0,07</m:t>
                </m:r>
              </m:oMath>
            </m:oMathPara>
          </w:p>
        </w:tc>
        <w:tc>
          <w:tcPr>
            <w:tcW w:w="1247" w:type="dxa"/>
            <w:vAlign w:val="center"/>
          </w:tcPr>
          <w:p w14:paraId="4E0AFE45" w14:textId="6D8B1709" w:rsidR="00F925E6" w:rsidRPr="001455DC" w:rsidRDefault="00F925E6" w:rsidP="00FB75F8">
            <w:pPr>
              <w:pStyle w:val="a7"/>
              <w:jc w:val="right"/>
            </w:pPr>
            <w:r w:rsidRPr="001455DC">
              <w:t>(J.7)</w:t>
            </w:r>
          </w:p>
        </w:tc>
      </w:tr>
      <w:tr w:rsidR="00F925E6" w:rsidRPr="001455DC" w14:paraId="705A36CA" w14:textId="77777777" w:rsidTr="00F925E6">
        <w:trPr>
          <w:cantSplit/>
        </w:trPr>
        <w:tc>
          <w:tcPr>
            <w:tcW w:w="4253" w:type="dxa"/>
            <w:vAlign w:val="center"/>
          </w:tcPr>
          <w:p w14:paraId="1F66206C" w14:textId="49346000" w:rsidR="00F925E6" w:rsidRPr="001455DC" w:rsidRDefault="00231E33" w:rsidP="00FB75F8">
            <w:pPr>
              <w:pStyle w:val="Formula"/>
              <w:jc w:val="left"/>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cd</m:t>
                    </m:r>
                  </m:sub>
                </m:sSub>
                <m:r>
                  <w:rPr>
                    <w:rFonts w:ascii="Cambria Math" w:hAnsi="Cambria Math"/>
                  </w:rPr>
                  <m:t>=3,3∙</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b</m:t>
                            </m:r>
                          </m:num>
                          <m:den>
                            <m:r>
                              <w:rPr>
                                <w:rFonts w:ascii="Cambria Math" w:hAnsi="Cambria Math"/>
                              </w:rPr>
                              <m:t>h</m:t>
                            </m:r>
                          </m:den>
                        </m:f>
                      </m:e>
                    </m:d>
                  </m:e>
                  <m:sup>
                    <m:r>
                      <w:rPr>
                        <w:rFonts w:ascii="Cambria Math" w:hAnsi="Cambria Math"/>
                      </w:rPr>
                      <m:t>2</m:t>
                    </m:r>
                  </m:sup>
                </m:sSup>
                <m:sSub>
                  <m:sSubPr>
                    <m:ctrlPr>
                      <w:rPr>
                        <w:rFonts w:ascii="Cambria Math" w:hAnsi="Cambria Math"/>
                      </w:rPr>
                    </m:ctrlPr>
                  </m:sSubPr>
                  <m:e>
                    <m:r>
                      <w:rPr>
                        <w:rFonts w:ascii="Cambria Math" w:hAnsi="Cambria Math"/>
                      </w:rPr>
                      <m:t>∙k</m:t>
                    </m:r>
                  </m:e>
                  <m:sub>
                    <m:r>
                      <m:rPr>
                        <m:sty m:val="p"/>
                      </m:rPr>
                      <w:rPr>
                        <w:rFonts w:ascii="Cambria Math" w:hAnsi="Cambria Math"/>
                      </w:rPr>
                      <m:t>e</m:t>
                    </m:r>
                  </m:sub>
                </m:sSub>
                <m:r>
                  <w:rPr>
                    <w:rFonts w:ascii="Cambria Math" w:hAnsi="Cambria Math"/>
                  </w:rPr>
                  <m:t>∙</m:t>
                </m:r>
                <m:f>
                  <m:fPr>
                    <m:ctrlPr>
                      <w:rPr>
                        <w:rFonts w:ascii="Cambria Math" w:hAnsi="Cambria Math"/>
                      </w:rPr>
                    </m:ctrlPr>
                  </m:fPr>
                  <m:num>
                    <m:r>
                      <w:rPr>
                        <w:rFonts w:ascii="Cambria Math" w:hAnsi="Cambria Math"/>
                      </w:rPr>
                      <m:t>2</m:t>
                    </m:r>
                    <m:sSub>
                      <m:sSubPr>
                        <m:ctrlPr>
                          <w:rPr>
                            <w:rFonts w:ascii="Cambria Math" w:hAnsi="Cambria Math"/>
                          </w:rPr>
                        </m:ctrlPr>
                      </m:sSubPr>
                      <m:e>
                        <m:r>
                          <w:rPr>
                            <w:rFonts w:ascii="Cambria Math" w:hAnsi="Cambria Math"/>
                          </w:rPr>
                          <m:t>t</m:t>
                        </m:r>
                      </m:e>
                      <m:sub>
                        <m:r>
                          <m:rPr>
                            <m:sty m:val="p"/>
                          </m:rPr>
                          <w:rPr>
                            <w:rFonts w:ascii="Cambria Math" w:hAnsi="Cambria Math"/>
                          </w:rPr>
                          <m:t>f</m:t>
                        </m:r>
                      </m:sub>
                    </m:sSub>
                  </m:num>
                  <m:den>
                    <m:sSub>
                      <m:sSubPr>
                        <m:ctrlPr>
                          <w:rPr>
                            <w:rFonts w:ascii="Cambria Math" w:hAnsi="Cambria Math"/>
                            <w:i/>
                          </w:rPr>
                        </m:ctrlPr>
                      </m:sSubPr>
                      <m:e>
                        <m:r>
                          <w:rPr>
                            <w:rFonts w:ascii="Cambria Math" w:hAnsi="Cambria Math"/>
                          </w:rPr>
                          <m:t>D</m:t>
                        </m:r>
                      </m:e>
                      <m:sub>
                        <m:r>
                          <m:rPr>
                            <m:sty m:val="p"/>
                          </m:rPr>
                          <w:rPr>
                            <w:rFonts w:ascii="Cambria Math" w:hAnsi="Cambria Math"/>
                          </w:rPr>
                          <m:t>eq</m:t>
                        </m:r>
                      </m:sub>
                    </m:sSub>
                  </m:den>
                </m:f>
                <m:sSub>
                  <m:sSubPr>
                    <m:ctrlPr>
                      <w:rPr>
                        <w:rFonts w:ascii="Cambria Math" w:hAnsi="Cambria Math"/>
                      </w:rPr>
                    </m:ctrlPr>
                  </m:sSubPr>
                  <m:e>
                    <m:sSub>
                      <m:sSubPr>
                        <m:ctrlPr>
                          <w:rPr>
                            <w:rFonts w:ascii="Cambria Math" w:hAnsi="Cambria Math"/>
                          </w:rPr>
                        </m:ctrlPr>
                      </m:sSubPr>
                      <m:e>
                        <m:r>
                          <w:rPr>
                            <w:rFonts w:ascii="Cambria Math" w:hAnsi="Cambria Math"/>
                          </w:rPr>
                          <m:t>∙k</m:t>
                        </m:r>
                      </m:e>
                      <m:sub>
                        <m:r>
                          <m:rPr>
                            <m:sty m:val="p"/>
                          </m:rPr>
                          <w:rPr>
                            <w:rFonts w:ascii="Cambria Math" w:hAnsi="Cambria Math"/>
                          </w:rPr>
                          <m:t>r</m:t>
                        </m:r>
                      </m:sub>
                    </m:sSub>
                    <m:r>
                      <w:rPr>
                        <w:rFonts w:ascii="Cambria Math" w:hAnsi="Cambria Math"/>
                      </w:rPr>
                      <m:t>∙f</m:t>
                    </m:r>
                  </m:e>
                  <m:sub>
                    <m:r>
                      <m:rPr>
                        <m:sty m:val="p"/>
                      </m:rPr>
                      <w:rPr>
                        <w:rFonts w:ascii="Cambria Math" w:hAnsi="Cambria Math"/>
                      </w:rPr>
                      <m:t>fud</m:t>
                    </m:r>
                  </m:sub>
                </m:sSub>
              </m:oMath>
            </m:oMathPara>
          </w:p>
        </w:tc>
        <w:tc>
          <w:tcPr>
            <w:tcW w:w="4253" w:type="dxa"/>
            <w:vAlign w:val="center"/>
          </w:tcPr>
          <w:p w14:paraId="2BF68CFA" w14:textId="7953C826" w:rsidR="00F925E6" w:rsidRPr="001455DC" w:rsidRDefault="00231E33" w:rsidP="00FB75F8">
            <w:pPr>
              <w:pStyle w:val="Formula"/>
              <w:jc w:val="left"/>
            </w:pPr>
            <m:oMathPara>
              <m:oMathParaPr>
                <m:jc m:val="left"/>
              </m:oMathParaPr>
              <m:oMath>
                <m:sSup>
                  <m:sSupPr>
                    <m:ctrlPr>
                      <w:rPr>
                        <w:rFonts w:ascii="Cambria Math" w:hAnsi="Cambria Math"/>
                      </w:rPr>
                    </m:ctrlPr>
                  </m:sSupPr>
                  <m:e>
                    <m:r>
                      <m:rPr>
                        <m:nor/>
                      </m:rPr>
                      <w:rPr>
                        <w:rFonts w:ascii="Cambria Math" w:hAnsi="Cambria Math"/>
                      </w:rPr>
                      <m:t>for</m:t>
                    </m:r>
                    <m:r>
                      <w:rPr>
                        <w:rFonts w:ascii="Cambria Math" w:hAnsi="Cambria Math"/>
                      </w:rPr>
                      <m:t xml:space="preserve"> </m:t>
                    </m:r>
                    <m:d>
                      <m:dPr>
                        <m:ctrlPr>
                          <w:rPr>
                            <w:rFonts w:ascii="Cambria Math" w:hAnsi="Cambria Math"/>
                          </w:rPr>
                        </m:ctrlPr>
                      </m:dPr>
                      <m:e>
                        <m:f>
                          <m:fPr>
                            <m:ctrlPr>
                              <w:rPr>
                                <w:rFonts w:ascii="Cambria Math" w:hAnsi="Cambria Math"/>
                              </w:rPr>
                            </m:ctrlPr>
                          </m:fPr>
                          <m:num>
                            <m:r>
                              <w:rPr>
                                <w:rFonts w:ascii="Cambria Math" w:hAnsi="Cambria Math"/>
                              </w:rPr>
                              <m:t>b</m:t>
                            </m:r>
                          </m:num>
                          <m:den>
                            <m:r>
                              <w:rPr>
                                <w:rFonts w:ascii="Cambria Math" w:hAnsi="Cambria Math"/>
                              </w:rPr>
                              <m:t>h</m:t>
                            </m:r>
                          </m:den>
                        </m:f>
                      </m:e>
                    </m:d>
                  </m:e>
                  <m:sup>
                    <m:r>
                      <w:rPr>
                        <w:rFonts w:ascii="Cambria Math" w:hAnsi="Cambria Math"/>
                      </w:rPr>
                      <m:t>2</m:t>
                    </m:r>
                  </m:sup>
                </m:sSup>
                <m:sSub>
                  <m:sSubPr>
                    <m:ctrlPr>
                      <w:rPr>
                        <w:rFonts w:ascii="Cambria Math" w:hAnsi="Cambria Math"/>
                      </w:rPr>
                    </m:ctrlPr>
                  </m:sSubPr>
                  <m:e>
                    <m:r>
                      <w:rPr>
                        <w:rFonts w:ascii="Cambria Math" w:hAnsi="Cambria Math"/>
                      </w:rPr>
                      <m:t>k</m:t>
                    </m:r>
                  </m:e>
                  <m:sub>
                    <m:r>
                      <m:rPr>
                        <m:sty m:val="p"/>
                      </m:rPr>
                      <w:rPr>
                        <w:rFonts w:ascii="Cambria Math" w:hAnsi="Cambria Math"/>
                      </w:rPr>
                      <m:t>e</m:t>
                    </m:r>
                  </m:sub>
                </m:sSub>
                <m:f>
                  <m:fPr>
                    <m:ctrlPr>
                      <w:rPr>
                        <w:rFonts w:ascii="Cambria Math" w:hAnsi="Cambria Math"/>
                      </w:rPr>
                    </m:ctrlPr>
                  </m:fPr>
                  <m:num>
                    <m:r>
                      <w:rPr>
                        <w:rFonts w:ascii="Cambria Math" w:hAnsi="Cambria Math"/>
                      </w:rPr>
                      <m:t>2</m:t>
                    </m:r>
                    <m:sSub>
                      <m:sSubPr>
                        <m:ctrlPr>
                          <w:rPr>
                            <w:rFonts w:ascii="Cambria Math" w:hAnsi="Cambria Math"/>
                          </w:rPr>
                        </m:ctrlPr>
                      </m:sSubPr>
                      <m:e>
                        <m:r>
                          <w:rPr>
                            <w:rFonts w:ascii="Cambria Math" w:hAnsi="Cambria Math"/>
                          </w:rPr>
                          <m:t>t</m:t>
                        </m:r>
                      </m:e>
                      <m:sub>
                        <m:r>
                          <m:rPr>
                            <m:sty m:val="p"/>
                          </m:rPr>
                          <w:rPr>
                            <w:rFonts w:ascii="Cambria Math" w:hAnsi="Cambria Math"/>
                          </w:rPr>
                          <m:t>f</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r</m:t>
                            </m:r>
                          </m:sub>
                        </m:sSub>
                        <m:r>
                          <w:rPr>
                            <w:rFonts w:ascii="Cambria Math" w:hAnsi="Cambria Math"/>
                          </w:rPr>
                          <m:t>∙f</m:t>
                        </m:r>
                      </m:e>
                      <m:sub>
                        <m:r>
                          <m:rPr>
                            <m:sty m:val="p"/>
                          </m:rPr>
                          <w:rPr>
                            <w:rFonts w:ascii="Cambria Math" w:hAnsi="Cambria Math"/>
                          </w:rPr>
                          <m:t>fud</m:t>
                        </m:r>
                      </m:sub>
                    </m:sSub>
                  </m:num>
                  <m:den>
                    <m:sSub>
                      <m:sSubPr>
                        <m:ctrlPr>
                          <w:rPr>
                            <w:rFonts w:ascii="Cambria Math" w:hAnsi="Cambria Math"/>
                            <w:i/>
                          </w:rPr>
                        </m:ctrlPr>
                      </m:sSubPr>
                      <m:e>
                        <m:r>
                          <w:rPr>
                            <w:rFonts w:ascii="Cambria Math" w:hAnsi="Cambria Math"/>
                          </w:rPr>
                          <m:t>D</m:t>
                        </m:r>
                      </m:e>
                      <m:sub>
                        <m:r>
                          <m:rPr>
                            <m:sty m:val="p"/>
                          </m:rPr>
                          <w:rPr>
                            <w:rFonts w:ascii="Cambria Math" w:hAnsi="Cambria Math"/>
                          </w:rPr>
                          <m:t>eq</m:t>
                        </m:r>
                      </m:sub>
                    </m:sSub>
                    <m:sSub>
                      <m:sSubPr>
                        <m:ctrlPr>
                          <w:rPr>
                            <w:rFonts w:ascii="Cambria Math" w:hAnsi="Cambria Math"/>
                          </w:rPr>
                        </m:ctrlPr>
                      </m:sSubPr>
                      <m:e>
                        <m:r>
                          <w:rPr>
                            <w:rFonts w:ascii="Cambria Math" w:hAnsi="Cambria Math"/>
                          </w:rPr>
                          <m:t>∙f</m:t>
                        </m:r>
                      </m:e>
                      <m:sub>
                        <m:r>
                          <m:rPr>
                            <m:sty m:val="p"/>
                          </m:rPr>
                          <w:rPr>
                            <w:rFonts w:ascii="Cambria Math" w:hAnsi="Cambria Math"/>
                          </w:rPr>
                          <m:t>cd</m:t>
                        </m:r>
                      </m:sub>
                    </m:sSub>
                  </m:den>
                </m:f>
                <m:r>
                  <w:rPr>
                    <w:rFonts w:ascii="Cambria Math" w:hAnsi="Cambria Math"/>
                  </w:rPr>
                  <m:t>≥0,07</m:t>
                </m:r>
              </m:oMath>
            </m:oMathPara>
          </w:p>
        </w:tc>
        <w:tc>
          <w:tcPr>
            <w:tcW w:w="1247" w:type="dxa"/>
            <w:vAlign w:val="center"/>
          </w:tcPr>
          <w:p w14:paraId="2C8B2013" w14:textId="75112422" w:rsidR="00F925E6" w:rsidRPr="001455DC" w:rsidRDefault="00F925E6" w:rsidP="00FB75F8">
            <w:pPr>
              <w:pStyle w:val="a7"/>
              <w:jc w:val="right"/>
            </w:pPr>
            <w:r w:rsidRPr="001455DC">
              <w:t>(J.8)</w:t>
            </w:r>
          </w:p>
        </w:tc>
      </w:tr>
    </w:tbl>
    <w:p w14:paraId="4D3F5F91" w14:textId="77777777" w:rsidR="00FB75F8" w:rsidRPr="001455DC" w:rsidRDefault="004E22C1" w:rsidP="00A35599">
      <w:pPr>
        <w:pStyle w:val="a7"/>
        <w:keepNext/>
      </w:pPr>
      <w:r w:rsidRPr="001455DC">
        <w:t>where</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FB75F8" w:rsidRPr="001455DC" w14:paraId="22C924EF" w14:textId="77777777" w:rsidTr="00FB75F8">
        <w:trPr>
          <w:cantSplit/>
        </w:trPr>
        <w:tc>
          <w:tcPr>
            <w:tcW w:w="8505" w:type="dxa"/>
            <w:vAlign w:val="center"/>
          </w:tcPr>
          <w:p w14:paraId="13420CF4" w14:textId="1E324614" w:rsidR="00FB75F8" w:rsidRPr="001455DC" w:rsidRDefault="00231E33" w:rsidP="00FB75F8">
            <w:pPr>
              <w:pStyle w:val="Formula"/>
              <w:jc w:val="left"/>
            </w:pPr>
            <m:oMathPara>
              <m:oMathParaPr>
                <m:jc m:val="left"/>
              </m:oMathParaPr>
              <m:oMath>
                <m:sSub>
                  <m:sSubPr>
                    <m:ctrlPr>
                      <w:rPr>
                        <w:rFonts w:ascii="Cambria Math" w:hAnsi="Cambria Math"/>
                        <w:i/>
                      </w:rPr>
                    </m:ctrlPr>
                  </m:sSubPr>
                  <m:e>
                    <m:r>
                      <w:rPr>
                        <w:rFonts w:ascii="Cambria Math" w:hAnsi="Cambria Math"/>
                      </w:rPr>
                      <m:t>D</m:t>
                    </m:r>
                  </m:e>
                  <m:sub>
                    <m:r>
                      <m:rPr>
                        <m:sty m:val="p"/>
                      </m:rPr>
                      <w:rPr>
                        <w:rFonts w:ascii="Cambria Math" w:hAnsi="Cambria Math"/>
                      </w:rPr>
                      <m:t>eq</m:t>
                    </m:r>
                  </m:sub>
                </m:sSub>
                <m:r>
                  <w:rPr>
                    <w:rFonts w:ascii="Cambria Math" w:hAnsi="Cambria Math"/>
                  </w:rPr>
                  <m:t>=</m:t>
                </m:r>
                <m:f>
                  <m:fPr>
                    <m:ctrlPr>
                      <w:rPr>
                        <w:rFonts w:ascii="Cambria Math" w:hAnsi="Cambria Math"/>
                      </w:rPr>
                    </m:ctrlPr>
                  </m:fPr>
                  <m:num>
                    <m:r>
                      <w:rPr>
                        <w:rFonts w:ascii="Cambria Math" w:hAnsi="Cambria Math"/>
                      </w:rPr>
                      <m:t>2∙b∙h</m:t>
                    </m:r>
                  </m:num>
                  <m:den>
                    <m:r>
                      <w:rPr>
                        <w:rFonts w:ascii="Cambria Math" w:hAnsi="Cambria Math"/>
                      </w:rPr>
                      <m:t>b+h</m:t>
                    </m:r>
                  </m:den>
                </m:f>
              </m:oMath>
            </m:oMathPara>
          </w:p>
        </w:tc>
        <w:tc>
          <w:tcPr>
            <w:tcW w:w="1247" w:type="dxa"/>
            <w:vAlign w:val="center"/>
          </w:tcPr>
          <w:p w14:paraId="67F7A6DC" w14:textId="6B05A59F" w:rsidR="00FB75F8" w:rsidRPr="001455DC" w:rsidRDefault="00F925E6" w:rsidP="00FB75F8">
            <w:pPr>
              <w:pStyle w:val="a7"/>
              <w:jc w:val="right"/>
            </w:pPr>
            <w:r w:rsidRPr="001455DC">
              <w:t>(J.9)</w:t>
            </w:r>
          </w:p>
        </w:tc>
      </w:tr>
      <w:tr w:rsidR="00F925E6" w:rsidRPr="001455DC" w14:paraId="5382A88B" w14:textId="77777777" w:rsidTr="00FB75F8">
        <w:trPr>
          <w:cantSplit/>
        </w:trPr>
        <w:tc>
          <w:tcPr>
            <w:tcW w:w="8505" w:type="dxa"/>
            <w:vAlign w:val="center"/>
          </w:tcPr>
          <w:p w14:paraId="702A05E5" w14:textId="5833EEAA" w:rsidR="00F925E6" w:rsidRPr="001455DC" w:rsidRDefault="00231E33" w:rsidP="00FB75F8">
            <w:pPr>
              <w:pStyle w:val="Formula"/>
              <w:jc w:val="left"/>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rPr>
                      <m:t>e</m:t>
                    </m:r>
                  </m:sub>
                </m:sSub>
                <m:r>
                  <w:rPr>
                    <w:rFonts w:ascii="Cambria Math" w:hAnsi="Cambria Math"/>
                  </w:rPr>
                  <m:t>=1-</m:t>
                </m:r>
                <m:f>
                  <m:fPr>
                    <m:ctrlPr>
                      <w:rPr>
                        <w:rFonts w:ascii="Cambria Math" w:hAnsi="Cambria Math"/>
                      </w:rPr>
                    </m:ctrlPr>
                  </m:fPr>
                  <m:num>
                    <m:sSup>
                      <m:sSupPr>
                        <m:ctrlPr>
                          <w:rPr>
                            <w:rFonts w:ascii="Cambria Math" w:hAnsi="Cambria Math"/>
                          </w:rPr>
                        </m:ctrlPr>
                      </m:sSupPr>
                      <m:e>
                        <m:r>
                          <w:rPr>
                            <w:rFonts w:ascii="Cambria Math" w:hAnsi="Cambria Math"/>
                          </w:rPr>
                          <m:t>(b-2∙</m:t>
                        </m:r>
                        <m:sSub>
                          <m:sSubPr>
                            <m:ctrlPr>
                              <w:rPr>
                                <w:rFonts w:ascii="Cambria Math" w:hAnsi="Cambria Math"/>
                              </w:rPr>
                            </m:ctrlPr>
                          </m:sSubPr>
                          <m:e>
                            <m:r>
                              <w:rPr>
                                <w:rFonts w:ascii="Cambria Math" w:hAnsi="Cambria Math"/>
                              </w:rPr>
                              <m:t>r</m:t>
                            </m:r>
                          </m:e>
                          <m:sub>
                            <m:r>
                              <m:rPr>
                                <m:sty m:val="p"/>
                              </m:rPr>
                              <w:rPr>
                                <w:rFonts w:ascii="Cambria Math" w:hAnsi="Cambria Math"/>
                              </w:rPr>
                              <m:t>c</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(h-</m:t>
                        </m:r>
                        <m:r>
                          <w:rPr>
                            <w:rFonts w:ascii="Cambria Math" w:hAnsi="Cambria Math"/>
                          </w:rPr>
                          <m:t>2∙</m:t>
                        </m:r>
                        <m:sSub>
                          <m:sSubPr>
                            <m:ctrlPr>
                              <w:rPr>
                                <w:rFonts w:ascii="Cambria Math" w:hAnsi="Cambria Math"/>
                              </w:rPr>
                            </m:ctrlPr>
                          </m:sSubPr>
                          <m:e>
                            <m:r>
                              <w:rPr>
                                <w:rFonts w:ascii="Cambria Math" w:hAnsi="Cambria Math"/>
                              </w:rPr>
                              <m:t>r</m:t>
                            </m:r>
                          </m:e>
                          <m:sub>
                            <m:r>
                              <m:rPr>
                                <m:sty m:val="p"/>
                              </m:rPr>
                              <w:rPr>
                                <w:rFonts w:ascii="Cambria Math" w:hAnsi="Cambria Math"/>
                              </w:rPr>
                              <m:t>c</m:t>
                            </m:r>
                          </m:sub>
                        </m:sSub>
                        <m:r>
                          <w:rPr>
                            <w:rFonts w:ascii="Cambria Math" w:hAnsi="Cambria Math"/>
                          </w:rPr>
                          <m:t>)</m:t>
                        </m:r>
                      </m:e>
                      <m:sup>
                        <m:r>
                          <w:rPr>
                            <w:rFonts w:ascii="Cambria Math" w:hAnsi="Cambria Math"/>
                          </w:rPr>
                          <m:t>2</m:t>
                        </m:r>
                      </m:sup>
                    </m:sSup>
                  </m:num>
                  <m:den>
                    <m:r>
                      <w:rPr>
                        <w:rFonts w:ascii="Cambria Math" w:hAnsi="Cambria Math"/>
                      </w:rPr>
                      <m:t>3∙b∙h</m:t>
                    </m:r>
                  </m:den>
                </m:f>
              </m:oMath>
            </m:oMathPara>
          </w:p>
        </w:tc>
        <w:tc>
          <w:tcPr>
            <w:tcW w:w="1247" w:type="dxa"/>
            <w:vAlign w:val="center"/>
          </w:tcPr>
          <w:p w14:paraId="173125C5" w14:textId="50B91128" w:rsidR="00F925E6" w:rsidRPr="001455DC" w:rsidRDefault="00F925E6" w:rsidP="00FB75F8">
            <w:pPr>
              <w:pStyle w:val="a7"/>
              <w:jc w:val="right"/>
            </w:pPr>
            <w:r w:rsidRPr="001455DC">
              <w:t>(J.10)</w:t>
            </w:r>
          </w:p>
        </w:tc>
      </w:tr>
    </w:tbl>
    <w:p w14:paraId="4DBDA056" w14:textId="233CEAD2" w:rsidR="00FB75F8" w:rsidRPr="001455DC" w:rsidRDefault="00F925E6" w:rsidP="00FB75F8">
      <w:pPr>
        <w:pStyle w:val="a7"/>
      </w:pPr>
      <w:bookmarkStart w:id="1896" w:name="_Hlk38362804"/>
      <w:r w:rsidRPr="001455DC">
        <w:t>W</w:t>
      </w:r>
      <w:r w:rsidR="004E22C1" w:rsidRPr="001455DC">
        <w:t>here helical wrapping is used on rectangular or square columns</w:t>
      </w:r>
      <w:r w:rsidR="00083838" w:rsidRPr="001455DC">
        <w:t xml:space="preserve"> (see Figure J.2)</w:t>
      </w:r>
      <w:r w:rsidR="004E22C1" w:rsidRPr="001455DC">
        <w:t xml:space="preserve">, the value of </w:t>
      </w:r>
      <m:oMath>
        <m:sSub>
          <m:sSubPr>
            <m:ctrlPr>
              <w:rPr>
                <w:rFonts w:ascii="Cambria Math" w:hAnsi="Cambria Math"/>
              </w:rPr>
            </m:ctrlPr>
          </m:sSubPr>
          <m:e>
            <m:r>
              <w:rPr>
                <w:rFonts w:ascii="Cambria Math" w:hAnsi="Cambria Math"/>
              </w:rPr>
              <m:t>k</m:t>
            </m:r>
          </m:e>
          <m:sub>
            <m:r>
              <m:rPr>
                <m:sty m:val="p"/>
              </m:rPr>
              <w:rPr>
                <w:rFonts w:ascii="Cambria Math" w:hAnsi="Cambria Math"/>
              </w:rPr>
              <m:t>e</m:t>
            </m:r>
          </m:sub>
        </m:sSub>
      </m:oMath>
      <w:r w:rsidR="004E22C1" w:rsidRPr="001455DC">
        <w:t xml:space="preserve"> calculated in Formula (J.10) should be factored by </w:t>
      </w:r>
      <m:oMath>
        <m:sSub>
          <m:sSubPr>
            <m:ctrlPr>
              <w:rPr>
                <w:rFonts w:ascii="Cambria Math" w:hAnsi="Cambria Math"/>
              </w:rPr>
            </m:ctrlPr>
          </m:sSubPr>
          <m:e>
            <m:r>
              <w:rPr>
                <w:rFonts w:ascii="Cambria Math" w:hAnsi="Cambria Math"/>
              </w:rPr>
              <m:t>k</m:t>
            </m:r>
          </m:e>
          <m:sub>
            <m:r>
              <m:rPr>
                <m:sty m:val="p"/>
              </m:rPr>
              <w:rPr>
                <w:rFonts w:ascii="Cambria Math" w:hAnsi="Cambria Math"/>
              </w:rPr>
              <m:t>h</m:t>
            </m:r>
          </m:sub>
        </m:sSub>
      </m:oMath>
      <w:r w:rsidR="004E22C1" w:rsidRPr="001455DC">
        <w:t xml:space="preserve"> in Formula (J.11), where geometrical parameters are defined in Figure J.2a) and b).</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FB75F8" w:rsidRPr="001455DC" w14:paraId="5FAAD8D6" w14:textId="77777777" w:rsidTr="00FB75F8">
        <w:trPr>
          <w:cantSplit/>
        </w:trPr>
        <w:tc>
          <w:tcPr>
            <w:tcW w:w="8505" w:type="dxa"/>
            <w:vAlign w:val="center"/>
          </w:tcPr>
          <w:p w14:paraId="7EBCEC83" w14:textId="06FBAC9C" w:rsidR="00FB75F8" w:rsidRPr="001455DC" w:rsidRDefault="00231E33" w:rsidP="00FB75F8">
            <w:pPr>
              <w:pStyle w:val="Formula"/>
              <w:jc w:val="left"/>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rPr>
                      <m:t>h</m:t>
                    </m:r>
                  </m:sub>
                </m:sSub>
                <m:r>
                  <w:rPr>
                    <w:rFonts w:ascii="Cambria Math" w:hAnsi="Cambria Math"/>
                  </w:rPr>
                  <m:t>=</m:t>
                </m:r>
                <m:d>
                  <m:dPr>
                    <m:ctrlPr>
                      <w:rPr>
                        <w:rFonts w:ascii="Cambria Math" w:hAnsi="Cambria Math"/>
                      </w:rPr>
                    </m:ctrlPr>
                  </m:dPr>
                  <m:e>
                    <m:r>
                      <w:rPr>
                        <w:rFonts w:ascii="Cambria Math" w:hAnsi="Cambria Math"/>
                      </w:rPr>
                      <m:t>1-</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f</m:t>
                                </m:r>
                              </m:sub>
                            </m:sSub>
                          </m:e>
                        </m:d>
                      </m:num>
                      <m:den>
                        <m:r>
                          <w:rPr>
                            <w:rFonts w:ascii="Cambria Math" w:hAnsi="Cambria Math"/>
                          </w:rPr>
                          <m:t>2∙b</m:t>
                        </m:r>
                      </m:den>
                    </m:f>
                  </m:e>
                </m:d>
                <m:r>
                  <w:rPr>
                    <w:rFonts w:ascii="Cambria Math" w:hAnsi="Cambria Math"/>
                  </w:rPr>
                  <m:t>∙</m:t>
                </m:r>
                <m:d>
                  <m:dPr>
                    <m:ctrlPr>
                      <w:rPr>
                        <w:rFonts w:ascii="Cambria Math" w:hAnsi="Cambria Math"/>
                      </w:rPr>
                    </m:ctrlPr>
                  </m:dPr>
                  <m:e>
                    <m:r>
                      <w:rPr>
                        <w:rFonts w:ascii="Cambria Math" w:hAnsi="Cambria Math"/>
                      </w:rPr>
                      <m:t>1-</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f</m:t>
                                </m:r>
                              </m:sub>
                            </m:sSub>
                          </m:e>
                        </m:d>
                      </m:num>
                      <m:den>
                        <m:r>
                          <w:rPr>
                            <w:rFonts w:ascii="Cambria Math" w:hAnsi="Cambria Math"/>
                          </w:rPr>
                          <m:t>2∙</m:t>
                        </m:r>
                        <m:r>
                          <w:rPr>
                            <w:rFonts w:ascii="Cambria Math" w:hAnsi="Cambria Math"/>
                          </w:rPr>
                          <m:t>h</m:t>
                        </m:r>
                      </m:den>
                    </m:f>
                  </m:e>
                </m:d>
                <m: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1+</m:t>
                        </m:r>
                        <m:sSup>
                          <m:sSupPr>
                            <m:ctrlPr>
                              <w:rPr>
                                <w:rFonts w:ascii="Cambria Math" w:hAnsi="Cambria Math"/>
                              </w:rPr>
                            </m:ctrlPr>
                          </m:sSupPr>
                          <m:e>
                            <m:d>
                              <m:dPr>
                                <m:ctrlPr>
                                  <w:rPr>
                                    <w:rFonts w:ascii="Cambria Math" w:hAnsi="Cambria Math"/>
                                  </w:rPr>
                                </m:ctrlPr>
                              </m:dPr>
                              <m:e>
                                <m:r>
                                  <m:rPr>
                                    <m:sty m:val="p"/>
                                  </m:rPr>
                                  <w:rPr>
                                    <w:rFonts w:ascii="Cambria Math" w:hAnsi="Cambria Math"/>
                                  </w:rPr>
                                  <m:t>tan</m:t>
                                </m:r>
                                <m:sSub>
                                  <m:sSubPr>
                                    <m:ctrlPr>
                                      <w:rPr>
                                        <w:rFonts w:ascii="Cambria Math" w:hAnsi="Cambria Math"/>
                                      </w:rPr>
                                    </m:ctrlPr>
                                  </m:sSubPr>
                                  <m:e>
                                    <m:r>
                                      <w:rPr>
                                        <w:rFonts w:ascii="Cambria Math" w:hAnsi="Cambria Math"/>
                                      </w:rPr>
                                      <m:t>β</m:t>
                                    </m:r>
                                  </m:e>
                                  <m:sub>
                                    <m:r>
                                      <m:rPr>
                                        <m:sty m:val="p"/>
                                      </m:rPr>
                                      <w:rPr>
                                        <w:rFonts w:ascii="Cambria Math" w:hAnsi="Cambria Math"/>
                                      </w:rPr>
                                      <m:t>f</m:t>
                                    </m:r>
                                  </m:sub>
                                </m:sSub>
                              </m:e>
                            </m:d>
                          </m:e>
                          <m:sup>
                            <m:r>
                              <w:rPr>
                                <w:rFonts w:ascii="Cambria Math" w:hAnsi="Cambria Math"/>
                              </w:rPr>
                              <m:t>2</m:t>
                            </m:r>
                          </m:sup>
                        </m:sSup>
                      </m:den>
                    </m:f>
                  </m:e>
                </m:d>
              </m:oMath>
            </m:oMathPara>
          </w:p>
        </w:tc>
        <w:tc>
          <w:tcPr>
            <w:tcW w:w="1247" w:type="dxa"/>
            <w:vAlign w:val="center"/>
          </w:tcPr>
          <w:p w14:paraId="30CA65A9" w14:textId="6A4D5F1A" w:rsidR="00FB75F8" w:rsidRPr="001455DC" w:rsidRDefault="00F925E6" w:rsidP="00FB75F8">
            <w:pPr>
              <w:pStyle w:val="a7"/>
              <w:jc w:val="right"/>
            </w:pPr>
            <w:r w:rsidRPr="001455DC">
              <w:t>(J.11)</w:t>
            </w:r>
          </w:p>
        </w:tc>
      </w:tr>
    </w:tbl>
    <w:bookmarkEnd w:id="1896"/>
    <w:p w14:paraId="184F2F92" w14:textId="77777777" w:rsidR="004E22C1" w:rsidRPr="001455DC" w:rsidRDefault="004E22C1" w:rsidP="00F925E6">
      <w:pPr>
        <w:pStyle w:val="a7"/>
      </w:pPr>
      <w:r w:rsidRPr="001455DC">
        <w:t>(3)</w:t>
      </w:r>
      <w:r w:rsidRPr="001455DC">
        <w:tab/>
        <w:t>The confining effect of CFRP may be ignored in creep calculations for concrete columns.</w:t>
      </w:r>
    </w:p>
    <w:tbl>
      <w:tblPr>
        <w:tblStyle w:val="a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876"/>
        <w:gridCol w:w="4876"/>
      </w:tblGrid>
      <w:tr w:rsidR="008A794D" w:rsidRPr="001455DC" w14:paraId="28CF93B9" w14:textId="77777777" w:rsidTr="003F0CF8">
        <w:trPr>
          <w:cantSplit/>
          <w:jc w:val="center"/>
        </w:trPr>
        <w:tc>
          <w:tcPr>
            <w:tcW w:w="4946" w:type="dxa"/>
            <w:vAlign w:val="center"/>
          </w:tcPr>
          <w:p w14:paraId="3272EDB4" w14:textId="18582C58" w:rsidR="008A794D" w:rsidRPr="001455DC" w:rsidRDefault="00723CF7">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"Y:\\STD_MGT\\STDDEL\\PRODUCTION\\etrans\\Download\\Z_FIRST_DEL\\SV\\00250\\00250269\\41_e_dr\\j002a.tif"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"Y:\\STD_MGT\\STDDEL\\PRODUCTION\\Standards\\00250\\269\\41_e_dr\\j002a.tif"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"Y:\\STD_MGT\\STDDEL\\PRODUCTION\\Standards\\00250\\269\\41_e_dr\\j002a.tif"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"Y:\\STD_MGT\\STDDEL\\PRODUCTION\\Standards\\00250\\269\\41_e_dr\\j002a.tif"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"Y:\\STD_MGT\\STDDEL\\PRODUCTION\\Standards\\00250\\269\\41_e_dr\\j002a.tif"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"Y:\\STD_MGT\\STDDEL\\PRODUCTION\\Standards\\00250\\269\\41_e_dr\\j002a.tif"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w:instrText>
            </w:r>
            <w:r w:rsidR="00231E33">
              <w:rPr>
                <w:noProof/>
                <w:lang w:eastAsia="en-GB"/>
              </w:rPr>
              <w:instrText>s\\a.dionysiou\\AppData\\Local\\Temp\\Temp1_00250269_e_20210902.zip.zip\\41_e_dr\\j002a.tif"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1B08AFDE">
                <v:shape id="_x0000_i1314" type="#_x0000_t75" style="width:117pt;height:78pt">
                  <v:imagedata r:id="rId598" r:href="rId599"/>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c>
          <w:tcPr>
            <w:tcW w:w="4946" w:type="dxa"/>
            <w:vAlign w:val="center"/>
          </w:tcPr>
          <w:p w14:paraId="7E15E3C2" w14:textId="54F96991" w:rsidR="008A794D" w:rsidRPr="001455DC" w:rsidRDefault="00723CF7">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"Y:\\STD_MGT\\STDDEL\\PRODUCTION\\etrans\\Download\\Z_FIRST_DEL\\SV\\00250\\00250269\\41_e_dr\\j002b.tif"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"Y:\\STD_MGT\\STDDEL\\PRODUCTION\\Standards\\00250\\269\\41_e_dr\\j002b.tif"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"Y:\\STD_MGT\\STDDEL\\PRODUCTION\\Standards\\00250\\269\\41_e_dr\\j002b.tif"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"Y:\\STD_MGT\\STDDEL\\PRODUCTION\\Standards\\00250\\269\\41_e_dr\\j002b.tif"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"Y:\\STD_MGT\\STDDEL\\PRODUCTION\\Standards\\00250\\269\\41_e_dr\\j002b.tif"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"Y:\\STD_MGT\\STDDEL\\PRODUCTION\\Standards\\00250\\269\\41_e_dr\\j002b.tif"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w:instrText>
            </w:r>
            <w:r w:rsidR="00231E33">
              <w:rPr>
                <w:noProof/>
                <w:lang w:eastAsia="en-GB"/>
              </w:rPr>
              <w:instrText>p\\Temp1_00250269_e_20210902.zip.zip\\41_e_dr\\j002b.tif"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374F9A7C">
                <v:shape id="_x0000_i1315" type="#_x0000_t75" style="width:85.5pt;height:159.75pt">
                  <v:imagedata r:id="rId600" r:href="rId601"/>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8A794D" w:rsidRPr="001455DC" w14:paraId="106D4110" w14:textId="77777777" w:rsidTr="00C412E5">
        <w:trPr>
          <w:cantSplit/>
          <w:jc w:val="center"/>
        </w:trPr>
        <w:tc>
          <w:tcPr>
            <w:tcW w:w="4946" w:type="dxa"/>
          </w:tcPr>
          <w:p w14:paraId="3E62D8A1" w14:textId="09B732E1" w:rsidR="008A794D" w:rsidRPr="001455DC" w:rsidRDefault="00083838" w:rsidP="00C412E5">
            <w:pPr>
              <w:pStyle w:val="FigureText"/>
              <w:jc w:val="center"/>
            </w:pPr>
            <w:r w:rsidRPr="001455DC">
              <w:t>a) cross sectional dimensions of rectangular column</w:t>
            </w:r>
          </w:p>
        </w:tc>
        <w:tc>
          <w:tcPr>
            <w:tcW w:w="4946" w:type="dxa"/>
          </w:tcPr>
          <w:p w14:paraId="711D69B5" w14:textId="54278B66" w:rsidR="008A794D" w:rsidRPr="001455DC" w:rsidRDefault="00083838" w:rsidP="00C412E5">
            <w:pPr>
              <w:pStyle w:val="FigureText"/>
              <w:jc w:val="center"/>
            </w:pPr>
            <w:r w:rsidRPr="001455DC">
              <w:t xml:space="preserve">b) </w:t>
            </w:r>
            <w:r w:rsidRPr="001455DC">
              <w:rPr>
                <w:rFonts w:cstheme="minorHAnsi"/>
              </w:rPr>
              <w:t>helical wrapping configuration</w:t>
            </w:r>
          </w:p>
        </w:tc>
      </w:tr>
    </w:tbl>
    <w:p w14:paraId="2C8BA5AF" w14:textId="47C00C43" w:rsidR="004E22C1" w:rsidRPr="001455DC" w:rsidRDefault="004E22C1" w:rsidP="00A772B3">
      <w:pPr>
        <w:pStyle w:val="Figuretitle"/>
      </w:pPr>
      <w:bookmarkStart w:id="1897" w:name="_Hlk38363215"/>
      <w:r w:rsidRPr="001455DC">
        <w:t>Figure J.2</w:t>
      </w:r>
      <w:bookmarkEnd w:id="1897"/>
      <w:r w:rsidRPr="001455DC">
        <w:t xml:space="preserve"> — </w:t>
      </w:r>
      <w:r w:rsidR="00083838" w:rsidRPr="001455DC">
        <w:t>C</w:t>
      </w:r>
      <w:r w:rsidRPr="001455DC">
        <w:rPr>
          <w:rFonts w:cstheme="minorHAnsi"/>
        </w:rPr>
        <w:t>onfiguration</w:t>
      </w:r>
      <w:r w:rsidR="00083838" w:rsidRPr="001455DC">
        <w:rPr>
          <w:rFonts w:cstheme="minorHAnsi"/>
        </w:rPr>
        <w:t xml:space="preserve"> of CFRP wrapping</w:t>
      </w:r>
    </w:p>
    <w:p w14:paraId="04600757" w14:textId="2DA3402E" w:rsidR="004E22C1" w:rsidRPr="001455DC" w:rsidRDefault="004E22C1" w:rsidP="00243590">
      <w:pPr>
        <w:pStyle w:val="a3"/>
      </w:pPr>
      <w:bookmarkStart w:id="1898" w:name="_Toc52820267"/>
      <w:bookmarkStart w:id="1899" w:name="_Toc54337695"/>
      <w:bookmarkStart w:id="1900" w:name="_Toc54338321"/>
      <w:r w:rsidRPr="001455DC">
        <w:t>Shear</w:t>
      </w:r>
      <w:bookmarkEnd w:id="1898"/>
      <w:bookmarkEnd w:id="1899"/>
      <w:bookmarkEnd w:id="1900"/>
    </w:p>
    <w:p w14:paraId="73064322" w14:textId="6AE1F661" w:rsidR="004E22C1" w:rsidRPr="001455DC" w:rsidRDefault="004E22C1" w:rsidP="00243590">
      <w:pPr>
        <w:pStyle w:val="a4"/>
      </w:pPr>
      <w:bookmarkStart w:id="1901" w:name="_Toc52820268"/>
      <w:bookmarkStart w:id="1902" w:name="_Toc54337696"/>
      <w:bookmarkStart w:id="1903" w:name="_Toc54338322"/>
      <w:r w:rsidRPr="001455DC">
        <w:t>General verification procedure</w:t>
      </w:r>
      <w:bookmarkEnd w:id="1901"/>
      <w:bookmarkEnd w:id="1902"/>
      <w:bookmarkEnd w:id="1903"/>
    </w:p>
    <w:p w14:paraId="6AC05245" w14:textId="77777777" w:rsidR="008A794D" w:rsidRPr="001455DC" w:rsidRDefault="004E22C1" w:rsidP="00DE6BBC">
      <w:pPr>
        <w:pStyle w:val="a7"/>
        <w:keepNext/>
      </w:pPr>
      <w:r w:rsidRPr="001455DC">
        <w:t>(1)</w:t>
      </w:r>
      <w:r w:rsidRPr="001455DC">
        <w:tab/>
        <w:t>The shear resistance of a section strengthened with CFRP may be taken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8A794D" w:rsidRPr="001455DC" w14:paraId="383FF472" w14:textId="77777777" w:rsidTr="00C412E5">
        <w:trPr>
          <w:cantSplit/>
        </w:trPr>
        <w:tc>
          <w:tcPr>
            <w:tcW w:w="8505" w:type="dxa"/>
            <w:vAlign w:val="center"/>
          </w:tcPr>
          <w:p w14:paraId="6F2112A8" w14:textId="526B6C93" w:rsidR="008A794D" w:rsidRPr="001455DC" w:rsidRDefault="00231E33">
            <w:pPr>
              <w:pStyle w:val="Formula"/>
              <w:jc w:val="left"/>
            </w:pPr>
            <m:oMathPara>
              <m:oMathParaPr>
                <m:jc m:val="left"/>
              </m:oMathParaPr>
              <m:oMath>
                <m:sSub>
                  <m:sSubPr>
                    <m:ctrlPr>
                      <w:rPr>
                        <w:rFonts w:ascii="Cambria Math" w:hAnsi="Cambria Math"/>
                      </w:rPr>
                    </m:ctrlPr>
                  </m:sSubPr>
                  <m:e>
                    <m:r>
                      <w:rPr>
                        <w:rFonts w:ascii="Cambria Math" w:hAnsi="Cambria Math"/>
                      </w:rPr>
                      <m:t>V</m:t>
                    </m:r>
                  </m:e>
                  <m:sub>
                    <m:r>
                      <m:rPr>
                        <m:sty m:val="p"/>
                      </m:rPr>
                      <w:rPr>
                        <w:rFonts w:ascii="Cambria Math" w:hAnsi="Cambria Math"/>
                      </w:rPr>
                      <m:t>Rd, CFRP</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Rd</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Rd,f</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ν</m:t>
                        </m:r>
                      </m:e>
                      <m:sub>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cd</m:t>
                            </m:r>
                          </m:sub>
                        </m:sSub>
                      </m:sub>
                    </m:sSub>
                  </m:num>
                  <m:den>
                    <m:r>
                      <m:rPr>
                        <m:sty m:val="p"/>
                      </m:rPr>
                      <w:rPr>
                        <w:rFonts w:ascii="Cambria Math" w:hAnsi="Cambria Math"/>
                      </w:rPr>
                      <m:t>2</m:t>
                    </m:r>
                  </m:den>
                </m:f>
                <m:sSub>
                  <m:sSubPr>
                    <m:ctrlPr>
                      <w:rPr>
                        <w:rFonts w:ascii="Cambria Math" w:hAnsi="Cambria Math"/>
                        <w:i/>
                      </w:rPr>
                    </m:ctrlPr>
                  </m:sSubPr>
                  <m:e>
                    <m:r>
                      <w:rPr>
                        <w:rFonts w:ascii="Cambria Math" w:hAnsi="Cambria Math"/>
                      </w:rPr>
                      <m:t>b</m:t>
                    </m:r>
                  </m:e>
                  <m:sub>
                    <m:r>
                      <m:rPr>
                        <m:sty m:val="p"/>
                      </m:rPr>
                      <w:rPr>
                        <w:rFonts w:ascii="Cambria Math" w:hAnsi="Cambria Math"/>
                      </w:rPr>
                      <m:t>w</m:t>
                    </m:r>
                  </m:sub>
                </m:sSub>
                <m:r>
                  <w:rPr>
                    <w:rFonts w:ascii="Cambria Math" w:hAnsi="Cambria Math"/>
                  </w:rPr>
                  <m:t>⋅z≤</m:t>
                </m:r>
                <m:d>
                  <m:dPr>
                    <m:ctrlPr>
                      <w:rPr>
                        <w:rFonts w:ascii="Cambria Math" w:hAnsi="Cambria Math"/>
                        <w:i/>
                      </w:rPr>
                    </m:ctrlPr>
                  </m:dPr>
                  <m:e>
                    <m:r>
                      <w:rPr>
                        <w:rFonts w:ascii="Cambria Math" w:hAnsi="Cambria Math"/>
                      </w:rPr>
                      <m:t>0,5⋅ν⋅</m:t>
                    </m:r>
                    <m:sSub>
                      <m:sSubPr>
                        <m:ctrlPr>
                          <w:rPr>
                            <w:rFonts w:ascii="Cambria Math" w:hAnsi="Cambria Math"/>
                            <w:i/>
                          </w:rPr>
                        </m:ctrlPr>
                      </m:sSubPr>
                      <m:e>
                        <m:r>
                          <w:rPr>
                            <w:rFonts w:ascii="Cambria Math" w:hAnsi="Cambria Math"/>
                          </w:rPr>
                          <m:t>f</m:t>
                        </m:r>
                      </m:e>
                      <m:sub>
                        <m:r>
                          <m:rPr>
                            <m:sty m:val="p"/>
                          </m:rPr>
                          <w:rPr>
                            <w:rFonts w:ascii="Cambria Math" w:hAnsi="Cambria Math"/>
                          </w:rPr>
                          <m:t>cd</m:t>
                        </m:r>
                      </m:sub>
                    </m:sSub>
                  </m:e>
                </m:d>
                <m:r>
                  <w:rPr>
                    <w:rFonts w:ascii="Cambria Math" w:hAnsi="Cambria Math"/>
                  </w:rPr>
                  <m:t>⋅</m:t>
                </m:r>
                <m:sSub>
                  <m:sSubPr>
                    <m:ctrlPr>
                      <w:rPr>
                        <w:rFonts w:ascii="Cambria Math" w:hAnsi="Cambria Math"/>
                        <w:i/>
                      </w:rPr>
                    </m:ctrlPr>
                  </m:sSubPr>
                  <m:e>
                    <m:r>
                      <w:rPr>
                        <w:rFonts w:ascii="Cambria Math" w:hAnsi="Cambria Math"/>
                      </w:rPr>
                      <m:t>b</m:t>
                    </m:r>
                  </m:e>
                  <m:sub>
                    <m:r>
                      <m:rPr>
                        <m:sty m:val="p"/>
                      </m:rPr>
                      <w:rPr>
                        <w:rFonts w:ascii="Cambria Math" w:hAnsi="Cambria Math"/>
                      </w:rPr>
                      <m:t>w</m:t>
                    </m:r>
                  </m:sub>
                </m:sSub>
                <m:r>
                  <w:rPr>
                    <w:rFonts w:ascii="Cambria Math" w:hAnsi="Cambria Math"/>
                  </w:rPr>
                  <m:t>⋅z</m:t>
                </m:r>
              </m:oMath>
            </m:oMathPara>
          </w:p>
        </w:tc>
        <w:tc>
          <w:tcPr>
            <w:tcW w:w="1247" w:type="dxa"/>
            <w:vAlign w:val="center"/>
          </w:tcPr>
          <w:p w14:paraId="62D59EF4" w14:textId="53F1CD53" w:rsidR="008A794D" w:rsidRPr="001455DC" w:rsidRDefault="008A794D" w:rsidP="00C412E5">
            <w:pPr>
              <w:pStyle w:val="a7"/>
              <w:jc w:val="right"/>
            </w:pPr>
            <w:r w:rsidRPr="001455DC">
              <w:rPr>
                <w:rFonts w:eastAsiaTheme="minorEastAsia"/>
                <w:bCs/>
              </w:rPr>
              <w:t>(J.12)</w:t>
            </w:r>
          </w:p>
        </w:tc>
      </w:tr>
    </w:tbl>
    <w:p w14:paraId="39C20BD1" w14:textId="77777777" w:rsidR="008A794D" w:rsidRPr="001455DC" w:rsidRDefault="004E22C1" w:rsidP="00A35599">
      <w:pPr>
        <w:pStyle w:val="a7"/>
        <w:keepNext/>
      </w:pPr>
      <w:r w:rsidRPr="001455DC">
        <w:t>where</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1134"/>
        <w:gridCol w:w="7371"/>
        <w:gridCol w:w="1247"/>
      </w:tblGrid>
      <w:tr w:rsidR="008A794D" w:rsidRPr="001455DC" w14:paraId="52704923" w14:textId="77777777" w:rsidTr="00C412E5">
        <w:trPr>
          <w:cantSplit/>
        </w:trPr>
        <w:tc>
          <w:tcPr>
            <w:tcW w:w="8505" w:type="dxa"/>
            <w:gridSpan w:val="2"/>
            <w:vAlign w:val="center"/>
          </w:tcPr>
          <w:p w14:paraId="644C27C4" w14:textId="7CF0E1FF" w:rsidR="008A794D" w:rsidRPr="001455DC" w:rsidRDefault="00231E33" w:rsidP="000955DB">
            <w:pPr>
              <w:pStyle w:val="Formula"/>
            </w:pPr>
            <m:oMathPara>
              <m:oMathParaPr>
                <m:jc m:val="left"/>
              </m:oMathParaPr>
              <m:oMath>
                <m:sSub>
                  <m:sSubPr>
                    <m:ctrlPr>
                      <w:rPr>
                        <w:rFonts w:ascii="Cambria Math" w:hAnsi="Cambria Math"/>
                      </w:rPr>
                    </m:ctrlPr>
                  </m:sSubPr>
                  <m:e>
                    <m:r>
                      <w:rPr>
                        <w:rFonts w:ascii="Cambria Math" w:hAnsi="Cambria Math"/>
                      </w:rPr>
                      <m:t>V</m:t>
                    </m:r>
                  </m:e>
                  <m:sub>
                    <m:r>
                      <m:rPr>
                        <m:sty m:val="p"/>
                      </m:rPr>
                      <w:rPr>
                        <w:rFonts w:ascii="Cambria Math" w:hAnsi="Cambria Math"/>
                      </w:rPr>
                      <m:t>Rd</m:t>
                    </m:r>
                  </m:sub>
                </m:sSub>
                <m:r>
                  <m:rPr>
                    <m:sty m:val="p"/>
                  </m:rPr>
                  <w:rPr>
                    <w:rFonts w:ascii="Cambria Math" w:hAnsi="Cambria Math"/>
                  </w:rPr>
                  <m:t>=</m:t>
                </m:r>
                <m:sSub>
                  <m:sSubPr>
                    <m:ctrlPr>
                      <w:rPr>
                        <w:rFonts w:ascii="Cambria Math" w:hAnsi="Cambria Math"/>
                      </w:rPr>
                    </m:ctrlPr>
                  </m:sSubPr>
                  <m:e>
                    <m:r>
                      <w:rPr>
                        <w:rFonts w:ascii="Cambria Math" w:hAnsi="Cambria Math"/>
                      </w:rPr>
                      <m:t>τ</m:t>
                    </m:r>
                  </m:e>
                  <m:sub>
                    <m:r>
                      <m:rPr>
                        <m:sty m:val="p"/>
                      </m:rPr>
                      <w:rPr>
                        <w:rFonts w:ascii="Cambria Math" w:hAnsi="Cambria Math"/>
                      </w:rPr>
                      <m:t>Rd</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w</m:t>
                    </m:r>
                  </m:sub>
                </m:sSub>
                <m:r>
                  <m:rPr>
                    <m:sty m:val="p"/>
                  </m:rPr>
                  <w:rPr>
                    <w:rFonts w:ascii="Cambria Math" w:hAnsi="Cambria Math"/>
                  </w:rPr>
                  <m:t>⋅</m:t>
                </m:r>
                <m:r>
                  <w:rPr>
                    <w:rFonts w:ascii="Cambria Math" w:hAnsi="Cambria Math"/>
                  </w:rPr>
                  <m:t>z</m:t>
                </m:r>
              </m:oMath>
            </m:oMathPara>
          </w:p>
        </w:tc>
        <w:tc>
          <w:tcPr>
            <w:tcW w:w="1247" w:type="dxa"/>
            <w:vAlign w:val="center"/>
          </w:tcPr>
          <w:p w14:paraId="589E780C" w14:textId="7E9446F3" w:rsidR="008A794D" w:rsidRPr="001455DC" w:rsidRDefault="008A794D" w:rsidP="00C412E5">
            <w:pPr>
              <w:pStyle w:val="a7"/>
              <w:jc w:val="right"/>
            </w:pPr>
            <w:r w:rsidRPr="001455DC">
              <w:rPr>
                <w:rFonts w:eastAsiaTheme="minorEastAsia"/>
              </w:rPr>
              <w:t>(J.13)</w:t>
            </w:r>
          </w:p>
        </w:tc>
      </w:tr>
      <w:tr w:rsidR="008A794D" w:rsidRPr="001455DC" w14:paraId="1AD12A2C" w14:textId="77777777" w:rsidTr="00C412E5">
        <w:trPr>
          <w:cantSplit/>
        </w:trPr>
        <w:tc>
          <w:tcPr>
            <w:tcW w:w="8505" w:type="dxa"/>
            <w:gridSpan w:val="2"/>
            <w:vAlign w:val="center"/>
          </w:tcPr>
          <w:p w14:paraId="38133DF6" w14:textId="48645CA5" w:rsidR="008A794D" w:rsidRPr="001455DC" w:rsidRDefault="00231E33" w:rsidP="000955DB">
            <w:pPr>
              <w:pStyle w:val="Formula"/>
            </w:pPr>
            <m:oMathPara>
              <m:oMathParaPr>
                <m:jc m:val="left"/>
              </m:oMathParaPr>
              <m:oMath>
                <m:sSub>
                  <m:sSubPr>
                    <m:ctrlPr>
                      <w:rPr>
                        <w:rFonts w:ascii="Cambria Math" w:hAnsi="Cambria Math"/>
                      </w:rPr>
                    </m:ctrlPr>
                  </m:sSubPr>
                  <m:e>
                    <m:r>
                      <w:rPr>
                        <w:rFonts w:ascii="Cambria Math" w:hAnsi="Cambria Math"/>
                      </w:rPr>
                      <m:t>V</m:t>
                    </m:r>
                  </m:e>
                  <m:sub>
                    <m:r>
                      <m:rPr>
                        <m:sty m:val="p"/>
                      </m:rPr>
                      <w:rPr>
                        <w:rFonts w:ascii="Cambria Math" w:hAnsi="Cambria Math"/>
                      </w:rPr>
                      <m:t>Rd,f</m:t>
                    </m:r>
                  </m:sub>
                </m:sSub>
                <m:r>
                  <m:rPr>
                    <m:sty m:val="p"/>
                  </m:rPr>
                  <w:rPr>
                    <w:rFonts w:ascii="Cambria Math" w:hAnsi="Cambria Math"/>
                  </w:rPr>
                  <m:t>=</m:t>
                </m:r>
                <m:f>
                  <m:fPr>
                    <m:ctrlPr>
                      <w:rPr>
                        <w:rFonts w:ascii="Cambria Math" w:hAnsi="Cambria Math"/>
                      </w:rPr>
                    </m:ctrlPr>
                  </m:fPr>
                  <m:num>
                    <m:sSub>
                      <m:sSubPr>
                        <m:ctrlPr>
                          <w:rPr>
                            <w:rFonts w:ascii="Cambria Math" w:hAnsi="Cambria Math"/>
                            <w:i/>
                            <w:iCs/>
                          </w:rPr>
                        </m:ctrlPr>
                      </m:sSubPr>
                      <m:e>
                        <m:r>
                          <w:rPr>
                            <w:rFonts w:ascii="Cambria Math" w:hAnsi="Cambria Math"/>
                          </w:rPr>
                          <m:t>A</m:t>
                        </m:r>
                      </m:e>
                      <m:sub>
                        <m:r>
                          <m:rPr>
                            <m:sty m:val="p"/>
                          </m:rPr>
                          <w:rPr>
                            <w:rFonts w:ascii="Cambria Math" w:hAnsi="Cambria Math"/>
                          </w:rPr>
                          <m:t>f</m:t>
                        </m:r>
                      </m:sub>
                    </m:sSub>
                  </m:num>
                  <m:den>
                    <m:sSub>
                      <m:sSubPr>
                        <m:ctrlPr>
                          <w:rPr>
                            <w:rFonts w:ascii="Cambria Math" w:hAnsi="Cambria Math"/>
                          </w:rPr>
                        </m:ctrlPr>
                      </m:sSubPr>
                      <m:e>
                        <m:r>
                          <w:rPr>
                            <w:rFonts w:ascii="Cambria Math" w:hAnsi="Cambria Math"/>
                          </w:rPr>
                          <m:t>s</m:t>
                        </m:r>
                      </m:e>
                      <m:sub>
                        <m:r>
                          <m:rPr>
                            <m:sty m:val="p"/>
                          </m:rPr>
                          <w:rPr>
                            <w:rFonts w:ascii="Cambria Math" w:hAnsi="Cambria Math"/>
                          </w:rPr>
                          <m:t>f</m:t>
                        </m:r>
                      </m:sub>
                    </m:sSub>
                  </m:den>
                </m:f>
                <m:r>
                  <m:rPr>
                    <m:sty m:val="p"/>
                  </m:rPr>
                  <w:rPr>
                    <w:rFonts w:ascii="Cambria Math" w:hAnsi="Cambria Math"/>
                  </w:rPr>
                  <m:t>⋅</m:t>
                </m:r>
                <m:sSub>
                  <m:sSubPr>
                    <m:ctrlPr>
                      <w:rPr>
                        <w:rFonts w:ascii="Cambria Math" w:hAnsi="Cambria Math"/>
                      </w:rPr>
                    </m:ctrlPr>
                  </m:sSubPr>
                  <m:e>
                    <m:r>
                      <w:rPr>
                        <w:rFonts w:ascii="Cambria Math" w:hAnsi="Cambria Math"/>
                      </w:rPr>
                      <m:t>z</m:t>
                    </m:r>
                  </m:e>
                  <m:sub>
                    <m:r>
                      <m:rPr>
                        <m:sty m:val="p"/>
                      </m:rPr>
                      <w:rPr>
                        <w:rFonts w:ascii="Cambria Math" w:hAnsi="Cambria Math"/>
                      </w:rPr>
                      <m:t>f</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fwd</m:t>
                    </m:r>
                  </m:sub>
                </m:sSub>
                <m:r>
                  <m:rPr>
                    <m:sty m:val="p"/>
                  </m:rPr>
                  <w:rPr>
                    <w:rFonts w:ascii="Cambria Math" w:hAnsi="Cambria Math"/>
                  </w:rPr>
                  <m:t>⋅</m:t>
                </m:r>
                <m:d>
                  <m:dPr>
                    <m:ctrlPr>
                      <w:rPr>
                        <w:rFonts w:ascii="Cambria Math" w:hAnsi="Cambria Math"/>
                      </w:rPr>
                    </m:ctrlPr>
                  </m:dPr>
                  <m:e>
                    <m:r>
                      <m:rPr>
                        <m:sty m:val="p"/>
                      </m:rPr>
                      <w:rPr>
                        <w:rFonts w:ascii="Cambria Math" w:hAnsi="Cambria Math"/>
                      </w:rPr>
                      <m:t>cot</m:t>
                    </m:r>
                    <m:r>
                      <w:rPr>
                        <w:rFonts w:ascii="Cambria Math" w:hAnsi="Cambria Math"/>
                      </w:rPr>
                      <m:t>θ</m:t>
                    </m:r>
                    <m:r>
                      <m:rPr>
                        <m:sty m:val="p"/>
                      </m:rPr>
                      <w:rPr>
                        <w:rFonts w:ascii="Cambria Math" w:hAnsi="Cambria Math"/>
                      </w:rPr>
                      <m:t>+cot</m:t>
                    </m:r>
                    <m:sSub>
                      <m:sSubPr>
                        <m:ctrlPr>
                          <w:rPr>
                            <w:rFonts w:ascii="Cambria Math" w:hAnsi="Cambria Math"/>
                          </w:rPr>
                        </m:ctrlPr>
                      </m:sSubPr>
                      <m:e>
                        <m:r>
                          <w:rPr>
                            <w:rFonts w:ascii="Cambria Math" w:hAnsi="Cambria Math"/>
                          </w:rPr>
                          <m:t>α</m:t>
                        </m:r>
                      </m:e>
                      <m:sub>
                        <m:r>
                          <m:rPr>
                            <m:sty m:val="p"/>
                          </m:rPr>
                          <w:rPr>
                            <w:rFonts w:ascii="Cambria Math" w:hAnsi="Cambria Math"/>
                          </w:rPr>
                          <m:t>f</m:t>
                        </m:r>
                      </m:sub>
                    </m:sSub>
                  </m:e>
                </m:d>
                <m:r>
                  <m:rPr>
                    <m:sty m:val="p"/>
                  </m:rPr>
                  <w:rPr>
                    <w:rFonts w:ascii="Cambria Math" w:hAnsi="Cambria Math"/>
                  </w:rPr>
                  <m:t>sin</m:t>
                </m:r>
                <m:sSub>
                  <m:sSubPr>
                    <m:ctrlPr>
                      <w:rPr>
                        <w:rFonts w:ascii="Cambria Math" w:hAnsi="Cambria Math"/>
                      </w:rPr>
                    </m:ctrlPr>
                  </m:sSubPr>
                  <m:e>
                    <m:r>
                      <w:rPr>
                        <w:rFonts w:ascii="Cambria Math" w:hAnsi="Cambria Math"/>
                      </w:rPr>
                      <m:t>α</m:t>
                    </m:r>
                  </m:e>
                  <m:sub>
                    <m:r>
                      <m:rPr>
                        <m:sty m:val="p"/>
                      </m:rPr>
                      <w:rPr>
                        <w:rFonts w:ascii="Cambria Math" w:hAnsi="Cambria Math"/>
                      </w:rPr>
                      <m:t>f</m:t>
                    </m:r>
                  </m:sub>
                </m:sSub>
              </m:oMath>
            </m:oMathPara>
          </w:p>
        </w:tc>
        <w:tc>
          <w:tcPr>
            <w:tcW w:w="1247" w:type="dxa"/>
            <w:vAlign w:val="center"/>
          </w:tcPr>
          <w:p w14:paraId="553CDC02" w14:textId="60054450" w:rsidR="008A794D" w:rsidRPr="001455DC" w:rsidRDefault="008A794D" w:rsidP="00C412E5">
            <w:pPr>
              <w:pStyle w:val="a7"/>
              <w:jc w:val="right"/>
            </w:pPr>
            <w:r w:rsidRPr="001455DC">
              <w:rPr>
                <w:bCs/>
              </w:rPr>
              <w:t>(J.14)</w:t>
            </w:r>
          </w:p>
        </w:tc>
      </w:tr>
      <w:tr w:rsidR="008A794D" w:rsidRPr="001455DC" w14:paraId="0F57C7FE" w14:textId="77777777" w:rsidTr="00C412E5">
        <w:trPr>
          <w:cantSplit/>
        </w:trPr>
        <w:tc>
          <w:tcPr>
            <w:tcW w:w="8505" w:type="dxa"/>
            <w:gridSpan w:val="2"/>
            <w:vAlign w:val="center"/>
          </w:tcPr>
          <w:p w14:paraId="0CBE0EDE" w14:textId="5BB56943" w:rsidR="008A794D" w:rsidRPr="001455DC" w:rsidRDefault="00231E33" w:rsidP="000955DB">
            <w:pPr>
              <w:pStyle w:val="Formula"/>
            </w:pPr>
            <m:oMathPara>
              <m:oMathParaPr>
                <m:jc m:val="left"/>
              </m:oMathParaPr>
              <m:oMath>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f</m:t>
                        </m:r>
                      </m:sub>
                    </m:sSub>
                  </m:num>
                  <m:den>
                    <m:sSub>
                      <m:sSubPr>
                        <m:ctrlPr>
                          <w:rPr>
                            <w:rFonts w:ascii="Cambria Math" w:hAnsi="Cambria Math"/>
                          </w:rPr>
                        </m:ctrlPr>
                      </m:sSubPr>
                      <m:e>
                        <m:r>
                          <w:rPr>
                            <w:rFonts w:ascii="Cambria Math" w:hAnsi="Cambria Math"/>
                          </w:rPr>
                          <m:t>s</m:t>
                        </m:r>
                      </m:e>
                      <m:sub>
                        <m:r>
                          <m:rPr>
                            <m:sty m:val="p"/>
                          </m:rPr>
                          <w:rPr>
                            <w:rFonts w:ascii="Cambria Math" w:hAnsi="Cambria Math"/>
                          </w:rPr>
                          <m:t>f</m:t>
                        </m:r>
                      </m:sub>
                    </m:sSub>
                  </m:den>
                </m:f>
                <m:r>
                  <m:rPr>
                    <m:sty m:val="p"/>
                  </m:rPr>
                  <w:rPr>
                    <w:rFonts w:ascii="Cambria Math" w:hAnsi="Cambria Math"/>
                  </w:rPr>
                  <m:t>=</m:t>
                </m:r>
                <m:d>
                  <m:dPr>
                    <m:begChr m:val="{"/>
                    <m:endChr m:val=""/>
                    <m:ctrlPr>
                      <w:rPr>
                        <w:rFonts w:ascii="Cambria Math" w:hAnsi="Cambria Math"/>
                      </w:rPr>
                    </m:ctrlPr>
                  </m:dPr>
                  <m:e>
                    <m:m>
                      <m:mPr>
                        <m:mcs>
                          <m:mc>
                            <m:mcPr>
                              <m:count m:val="2"/>
                              <m:mcJc m:val="left"/>
                            </m:mcPr>
                          </m:mc>
                        </m:mcs>
                        <m:ctrlPr>
                          <w:rPr>
                            <w:rFonts w:ascii="Cambria Math" w:hAnsi="Cambria Math"/>
                          </w:rPr>
                        </m:ctrlPr>
                      </m:mPr>
                      <m:mr>
                        <m:e>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t</m:t>
                                  </m:r>
                                </m:e>
                                <m:sub>
                                  <m:r>
                                    <m:rPr>
                                      <m:sty m:val="p"/>
                                    </m:rPr>
                                    <w:rPr>
                                      <w:rFonts w:ascii="Cambria Math" w:hAnsi="Cambria Math"/>
                                    </w:rPr>
                                    <m:t>f</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f</m:t>
                                  </m:r>
                                </m:sub>
                              </m:sSub>
                            </m:num>
                            <m:den>
                              <m:sSub>
                                <m:sSubPr>
                                  <m:ctrlPr>
                                    <w:rPr>
                                      <w:rFonts w:ascii="Cambria Math" w:hAnsi="Cambria Math"/>
                                    </w:rPr>
                                  </m:ctrlPr>
                                </m:sSubPr>
                                <m:e>
                                  <m:r>
                                    <w:rPr>
                                      <w:rFonts w:ascii="Cambria Math" w:hAnsi="Cambria Math"/>
                                    </w:rPr>
                                    <m:t>s</m:t>
                                  </m:r>
                                </m:e>
                                <m:sub>
                                  <m:r>
                                    <m:rPr>
                                      <m:sty m:val="p"/>
                                    </m:rPr>
                                    <w:rPr>
                                      <w:rFonts w:ascii="Cambria Math" w:hAnsi="Cambria Math"/>
                                    </w:rPr>
                                    <m:t>f</m:t>
                                  </m:r>
                                </m:sub>
                              </m:sSub>
                            </m:den>
                          </m:f>
                        </m:e>
                        <m:e>
                          <m:r>
                            <m:rPr>
                              <m:nor/>
                            </m:rPr>
                            <w:rPr>
                              <w:iCs/>
                            </w:rPr>
                            <m:t>for</m:t>
                          </m:r>
                          <m:r>
                            <m:rPr>
                              <m:nor/>
                            </m:rPr>
                            <m:t xml:space="preserve"> </m:t>
                          </m:r>
                          <m:r>
                            <m:rPr>
                              <m:nor/>
                            </m:rPr>
                            <w:rPr>
                              <w:iCs/>
                            </w:rPr>
                            <m:t>discreet</m:t>
                          </m:r>
                          <m:r>
                            <m:rPr>
                              <m:nor/>
                            </m:rPr>
                            <m:t xml:space="preserve"> </m:t>
                          </m:r>
                          <m:r>
                            <m:rPr>
                              <m:nor/>
                            </m:rPr>
                            <w:rPr>
                              <w:iCs/>
                            </w:rPr>
                            <m:t>CFRP</m:t>
                          </m:r>
                          <m:r>
                            <m:rPr>
                              <m:nor/>
                            </m:rPr>
                            <m:t xml:space="preserve"> </m:t>
                          </m:r>
                          <m:r>
                            <m:rPr>
                              <m:nor/>
                            </m:rPr>
                            <w:rPr>
                              <w:iCs/>
                            </w:rPr>
                            <m:t>strips</m:t>
                          </m:r>
                        </m:e>
                      </m:mr>
                      <m:mr>
                        <m:e>
                          <m:r>
                            <m:rPr>
                              <m:sty m:val="p"/>
                            </m:rPr>
                            <w:rPr>
                              <w:rFonts w:ascii="Cambria Math" w:hAnsi="Cambria Math"/>
                            </w:rPr>
                            <m:t>2⋅</m:t>
                          </m:r>
                          <m:sSub>
                            <m:sSubPr>
                              <m:ctrlPr>
                                <w:rPr>
                                  <w:rFonts w:ascii="Cambria Math" w:hAnsi="Cambria Math"/>
                                </w:rPr>
                              </m:ctrlPr>
                            </m:sSubPr>
                            <m:e>
                              <m:r>
                                <w:rPr>
                                  <w:rFonts w:ascii="Cambria Math" w:hAnsi="Cambria Math"/>
                                </w:rPr>
                                <m:t>t</m:t>
                              </m:r>
                            </m:e>
                            <m:sub>
                              <m:r>
                                <m:rPr>
                                  <m:sty m:val="p"/>
                                </m:rPr>
                                <w:rPr>
                                  <w:rFonts w:ascii="Cambria Math" w:hAnsi="Cambria Math"/>
                                </w:rPr>
                                <m:t>f</m:t>
                              </m:r>
                            </m:sub>
                          </m:sSub>
                        </m:e>
                        <m:e>
                          <m:r>
                            <m:rPr>
                              <m:nor/>
                            </m:rPr>
                            <w:rPr>
                              <w:iCs/>
                            </w:rPr>
                            <m:t>for</m:t>
                          </m:r>
                          <m:r>
                            <m:rPr>
                              <m:nor/>
                            </m:rPr>
                            <m:t xml:space="preserve"> </m:t>
                          </m:r>
                          <m:r>
                            <m:rPr>
                              <m:nor/>
                            </m:rPr>
                            <w:rPr>
                              <w:iCs/>
                            </w:rPr>
                            <m:t>CFRP</m:t>
                          </m:r>
                          <m:r>
                            <m:rPr>
                              <m:nor/>
                            </m:rPr>
                            <m:t xml:space="preserve"> </m:t>
                          </m:r>
                          <m:r>
                            <m:rPr>
                              <m:nor/>
                            </m:rPr>
                            <w:rPr>
                              <w:iCs/>
                            </w:rPr>
                            <m:t>sheets</m:t>
                          </m:r>
                        </m:e>
                      </m:mr>
                    </m:m>
                  </m:e>
                </m:d>
              </m:oMath>
            </m:oMathPara>
          </w:p>
        </w:tc>
        <w:tc>
          <w:tcPr>
            <w:tcW w:w="1247" w:type="dxa"/>
            <w:vAlign w:val="center"/>
          </w:tcPr>
          <w:p w14:paraId="724D0222" w14:textId="0DB31264" w:rsidR="008A794D" w:rsidRPr="001455DC" w:rsidRDefault="008A794D" w:rsidP="00C412E5">
            <w:pPr>
              <w:pStyle w:val="a7"/>
              <w:jc w:val="right"/>
            </w:pPr>
            <w:r w:rsidRPr="001455DC">
              <w:rPr>
                <w:rFonts w:eastAsiaTheme="minorEastAsia"/>
              </w:rPr>
              <w:t>(J.15)</w:t>
            </w:r>
          </w:p>
        </w:tc>
      </w:tr>
      <w:tr w:rsidR="00C412E5" w:rsidRPr="001455DC" w14:paraId="3EADF480" w14:textId="77777777" w:rsidTr="00C412E5">
        <w:trPr>
          <w:cantSplit/>
        </w:trPr>
        <w:tc>
          <w:tcPr>
            <w:tcW w:w="1134" w:type="dxa"/>
            <w:vAlign w:val="center"/>
          </w:tcPr>
          <w:p w14:paraId="1EE16956" w14:textId="23EB24F0" w:rsidR="00C412E5" w:rsidRPr="001455DC" w:rsidRDefault="00231E33" w:rsidP="000955DB">
            <w:pPr>
              <w:pStyle w:val="Formula"/>
            </w:pPr>
            <m:oMathPara>
              <m:oMathParaPr>
                <m:jc m:val="left"/>
              </m:oMathParaPr>
              <m:oMath>
                <m:sSub>
                  <m:sSubPr>
                    <m:ctrlPr>
                      <w:rPr>
                        <w:rFonts w:ascii="Cambria Math" w:hAnsi="Cambria Math"/>
                      </w:rPr>
                    </m:ctrlPr>
                  </m:sSubPr>
                  <m:e>
                    <m:r>
                      <w:rPr>
                        <w:rFonts w:ascii="Cambria Math" w:hAnsi="Cambria Math"/>
                      </w:rPr>
                      <m:t>α</m:t>
                    </m:r>
                  </m:e>
                  <m:sub>
                    <m:r>
                      <m:rPr>
                        <m:sty m:val="p"/>
                      </m:rPr>
                      <w:rPr>
                        <w:rFonts w:ascii="Cambria Math" w:hAnsi="Cambria Math"/>
                      </w:rPr>
                      <m:t>f</m:t>
                    </m:r>
                  </m:sub>
                </m:sSub>
              </m:oMath>
            </m:oMathPara>
          </w:p>
        </w:tc>
        <w:tc>
          <w:tcPr>
            <w:tcW w:w="8618" w:type="dxa"/>
            <w:gridSpan w:val="2"/>
            <w:vAlign w:val="center"/>
          </w:tcPr>
          <w:p w14:paraId="5FDD0FA4" w14:textId="62A35BFD" w:rsidR="00C412E5" w:rsidRPr="001455DC" w:rsidRDefault="00C412E5" w:rsidP="00C412E5">
            <w:pPr>
              <w:pStyle w:val="Tablebody"/>
              <w:jc w:val="left"/>
            </w:pPr>
            <w:r w:rsidRPr="001455DC">
              <w:rPr>
                <w:bCs/>
                <w:iCs/>
              </w:rPr>
              <w:t>is the angle formed between the CFRP system;</w:t>
            </w:r>
          </w:p>
        </w:tc>
      </w:tr>
      <w:tr w:rsidR="00C412E5" w:rsidRPr="001455DC" w14:paraId="6470BD2B" w14:textId="77777777" w:rsidTr="00C412E5">
        <w:trPr>
          <w:cantSplit/>
        </w:trPr>
        <w:tc>
          <w:tcPr>
            <w:tcW w:w="1134" w:type="dxa"/>
            <w:vAlign w:val="center"/>
          </w:tcPr>
          <w:p w14:paraId="2E74C381" w14:textId="62A73EDD" w:rsidR="00C412E5" w:rsidRPr="001455DC" w:rsidRDefault="00231E33" w:rsidP="00F77658">
            <w:pPr>
              <w:pStyle w:val="Formula"/>
              <w:keepNext/>
            </w:pPr>
            <m:oMathPara>
              <m:oMathParaPr>
                <m:jc m:val="left"/>
              </m:oMathParaPr>
              <m:oMath>
                <m:sSub>
                  <m:sSubPr>
                    <m:ctrlPr>
                      <w:rPr>
                        <w:rFonts w:ascii="Cambria Math" w:hAnsi="Cambria Math"/>
                      </w:rPr>
                    </m:ctrlPr>
                  </m:sSubPr>
                  <m:e>
                    <m:r>
                      <w:rPr>
                        <w:rFonts w:ascii="Cambria Math" w:hAnsi="Cambria Math"/>
                      </w:rPr>
                      <m:t>z</m:t>
                    </m:r>
                  </m:e>
                  <m:sub>
                    <m:r>
                      <m:rPr>
                        <m:nor/>
                      </m:rPr>
                      <m:t>f</m:t>
                    </m:r>
                  </m:sub>
                </m:sSub>
              </m:oMath>
            </m:oMathPara>
          </w:p>
        </w:tc>
        <w:tc>
          <w:tcPr>
            <w:tcW w:w="8618" w:type="dxa"/>
            <w:gridSpan w:val="2"/>
            <w:vAlign w:val="center"/>
          </w:tcPr>
          <w:p w14:paraId="507CF285" w14:textId="35A7D2CA" w:rsidR="00C412E5" w:rsidRPr="001455DC" w:rsidRDefault="00C412E5" w:rsidP="00C412E5">
            <w:pPr>
              <w:pStyle w:val="Tablebody"/>
              <w:jc w:val="left"/>
            </w:pPr>
            <w:r w:rsidRPr="001455DC">
              <w:rPr>
                <w:bCs/>
              </w:rPr>
              <w:t>is the height of CFRP crossed by the shear crack.</w:t>
            </w:r>
          </w:p>
        </w:tc>
      </w:tr>
      <w:tr w:rsidR="00C412E5" w:rsidRPr="001455DC" w14:paraId="7169457E" w14:textId="77777777" w:rsidTr="00C412E5">
        <w:trPr>
          <w:cantSplit/>
        </w:trPr>
        <w:tc>
          <w:tcPr>
            <w:tcW w:w="1134" w:type="dxa"/>
            <w:vAlign w:val="center"/>
          </w:tcPr>
          <w:p w14:paraId="09BFF0BB" w14:textId="7D964433" w:rsidR="00C412E5" w:rsidRPr="001455DC" w:rsidRDefault="00231E33" w:rsidP="000955DB">
            <w:pPr>
              <w:pStyle w:val="Formula"/>
            </w:pPr>
            <m:oMathPara>
              <m:oMathParaPr>
                <m:jc m:val="left"/>
              </m:oMathParaPr>
              <m:oMath>
                <m:sSub>
                  <m:sSubPr>
                    <m:ctrlPr>
                      <w:rPr>
                        <w:rFonts w:ascii="Cambria Math" w:hAnsi="Cambria Math"/>
                      </w:rPr>
                    </m:ctrlPr>
                  </m:sSubPr>
                  <m:e>
                    <m:r>
                      <w:rPr>
                        <w:rFonts w:ascii="Cambria Math" w:hAnsi="Cambria Math"/>
                      </w:rPr>
                      <m:t>f</m:t>
                    </m:r>
                  </m:e>
                  <m:sub>
                    <m:r>
                      <m:rPr>
                        <m:nor/>
                      </m:rPr>
                      <m:t>fwd</m:t>
                    </m:r>
                  </m:sub>
                </m:sSub>
              </m:oMath>
            </m:oMathPara>
          </w:p>
        </w:tc>
        <w:tc>
          <w:tcPr>
            <w:tcW w:w="8618" w:type="dxa"/>
            <w:gridSpan w:val="2"/>
            <w:vAlign w:val="center"/>
          </w:tcPr>
          <w:p w14:paraId="2382F121" w14:textId="796FF625" w:rsidR="00C412E5" w:rsidRPr="001455DC" w:rsidRDefault="00C412E5" w:rsidP="00C412E5">
            <w:pPr>
              <w:pStyle w:val="Tablebody"/>
              <w:jc w:val="left"/>
            </w:pPr>
            <w:r w:rsidRPr="001455DC">
              <w:rPr>
                <w:bCs/>
              </w:rPr>
              <w:t xml:space="preserve">is design shear strength of the CFRP system calculated in accordance with </w:t>
            </w:r>
            <w:r w:rsidRPr="009D3012">
              <w:rPr>
                <w:bCs/>
                <w:i/>
              </w:rPr>
              <w:t>J.8.2.2 and J.8.2.3</w:t>
            </w:r>
            <w:r w:rsidRPr="001455DC">
              <w:rPr>
                <w:bCs/>
              </w:rPr>
              <w:t>.</w:t>
            </w:r>
          </w:p>
        </w:tc>
      </w:tr>
    </w:tbl>
    <w:p w14:paraId="116AABD4" w14:textId="06923F5F" w:rsidR="004E22C1" w:rsidRPr="001455DC" w:rsidRDefault="004E22C1" w:rsidP="00445264">
      <w:pPr>
        <w:pStyle w:val="a7"/>
      </w:pPr>
      <w:bookmarkStart w:id="1904" w:name="_Hlk39836569"/>
      <w:r w:rsidRPr="001455DC">
        <w:t xml:space="preserve">Unless more rigorous analysis is undertaken, </w:t>
      </w:r>
      <m:oMath>
        <m:r>
          <w:rPr>
            <w:rFonts w:ascii="Cambria Math" w:hAnsi="Cambria Math"/>
          </w:rPr>
          <m:t>θ</m:t>
        </m:r>
      </m:oMath>
      <w:r w:rsidRPr="001455DC">
        <w:t xml:space="preserve"> should be taken as 45 degrees for the calculation of </w:t>
      </w:r>
      <m:oMath>
        <m:sSub>
          <m:sSubPr>
            <m:ctrlPr>
              <w:rPr>
                <w:rFonts w:ascii="Cambria Math" w:hAnsi="Cambria Math"/>
              </w:rPr>
            </m:ctrlPr>
          </m:sSubPr>
          <m:e>
            <m:r>
              <w:rPr>
                <w:rFonts w:ascii="Cambria Math" w:hAnsi="Cambria Math"/>
              </w:rPr>
              <m:t>V</m:t>
            </m:r>
          </m:e>
          <m:sub>
            <m:r>
              <m:rPr>
                <m:nor/>
              </m:rPr>
              <m:t>Rd</m:t>
            </m:r>
          </m:sub>
        </m:sSub>
      </m:oMath>
      <w:r w:rsidRPr="001455DC">
        <w:t xml:space="preserve"> and </w:t>
      </w:r>
      <m:oMath>
        <m:sSub>
          <m:sSubPr>
            <m:ctrlPr>
              <w:rPr>
                <w:rFonts w:ascii="Cambria Math" w:hAnsi="Cambria Math"/>
              </w:rPr>
            </m:ctrlPr>
          </m:sSubPr>
          <m:e>
            <m:r>
              <w:rPr>
                <w:rFonts w:ascii="Cambria Math" w:hAnsi="Cambria Math"/>
              </w:rPr>
              <m:t>V</m:t>
            </m:r>
          </m:e>
          <m:sub>
            <m:r>
              <m:rPr>
                <m:nor/>
              </m:rPr>
              <m:t>Rd,f</m:t>
            </m:r>
          </m:sub>
        </m:sSub>
      </m:oMath>
      <w:r w:rsidRPr="001455DC">
        <w:t>.</w:t>
      </w:r>
      <w:bookmarkEnd w:id="1904"/>
    </w:p>
    <w:p w14:paraId="444EA6DA" w14:textId="7E311632" w:rsidR="004E22C1" w:rsidRPr="001455DC" w:rsidRDefault="004E22C1" w:rsidP="00243590">
      <w:pPr>
        <w:pStyle w:val="a4"/>
      </w:pPr>
      <w:bookmarkStart w:id="1905" w:name="_Toc52820269"/>
      <w:bookmarkStart w:id="1906" w:name="_Toc54337697"/>
      <w:bookmarkStart w:id="1907" w:name="_Toc54338323"/>
      <w:r w:rsidRPr="001455DC">
        <w:t>Fully Wrapped CFRP Systems</w:t>
      </w:r>
      <w:bookmarkEnd w:id="1905"/>
      <w:bookmarkEnd w:id="1906"/>
      <w:bookmarkEnd w:id="1907"/>
    </w:p>
    <w:p w14:paraId="15CE6875" w14:textId="77777777" w:rsidR="00C412E5" w:rsidRPr="001455DC" w:rsidRDefault="004E22C1" w:rsidP="00C412E5">
      <w:pPr>
        <w:pStyle w:val="a7"/>
      </w:pPr>
      <w:r w:rsidRPr="001455DC">
        <w:t>(1)</w:t>
      </w:r>
      <w:r w:rsidRPr="001455DC">
        <w:tab/>
        <w:t>The following may be used to determine the design shear strength of fully wrapped CFRP systems as defined in Figure J.3.</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C412E5" w:rsidRPr="001455DC" w14:paraId="310B4782" w14:textId="77777777" w:rsidTr="00C412E5">
        <w:trPr>
          <w:cantSplit/>
        </w:trPr>
        <w:tc>
          <w:tcPr>
            <w:tcW w:w="8505" w:type="dxa"/>
            <w:vAlign w:val="center"/>
          </w:tcPr>
          <w:p w14:paraId="2A8A1B95" w14:textId="247F5DC0" w:rsidR="00C412E5" w:rsidRPr="001455DC" w:rsidRDefault="00231E33" w:rsidP="00C412E5">
            <w:pPr>
              <w:pStyle w:val="Formula"/>
              <w:jc w:val="left"/>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fwd</m:t>
                    </m:r>
                  </m:sub>
                </m:sSub>
                <m:r>
                  <w:rPr>
                    <w:rFonts w:ascii="Cambria Math" w:hAnsi="Cambria Math"/>
                  </w:rPr>
                  <m:t>=0,8∙</m:t>
                </m:r>
                <m:sSub>
                  <m:sSubPr>
                    <m:ctrlPr>
                      <w:rPr>
                        <w:rFonts w:ascii="Cambria Math" w:hAnsi="Cambria Math"/>
                      </w:rPr>
                    </m:ctrlPr>
                  </m:sSubPr>
                  <m:e>
                    <m:r>
                      <w:rPr>
                        <w:rFonts w:ascii="Cambria Math" w:hAnsi="Cambria Math"/>
                      </w:rPr>
                      <m:t>k</m:t>
                    </m:r>
                  </m:e>
                  <m:sub>
                    <m: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fud</m:t>
                    </m:r>
                  </m:sub>
                </m:sSub>
              </m:oMath>
            </m:oMathPara>
          </w:p>
        </w:tc>
        <w:tc>
          <w:tcPr>
            <w:tcW w:w="1247" w:type="dxa"/>
            <w:vAlign w:val="center"/>
          </w:tcPr>
          <w:p w14:paraId="0F50FD1F" w14:textId="3D459681" w:rsidR="00C412E5" w:rsidRPr="001455DC" w:rsidRDefault="00C412E5" w:rsidP="00C412E5">
            <w:pPr>
              <w:pStyle w:val="a7"/>
              <w:jc w:val="right"/>
            </w:pPr>
            <w:r w:rsidRPr="001455DC">
              <w:t>(J.16)</w:t>
            </w:r>
          </w:p>
        </w:tc>
      </w:tr>
    </w:tbl>
    <w:p w14:paraId="67D4C473" w14:textId="77777777" w:rsidR="00C412E5" w:rsidRPr="001455DC" w:rsidRDefault="00C412E5"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C412E5" w:rsidRPr="001455DC" w14:paraId="24280364" w14:textId="77777777" w:rsidTr="00C412E5">
        <w:trPr>
          <w:cantSplit/>
        </w:trPr>
        <w:tc>
          <w:tcPr>
            <w:tcW w:w="567" w:type="dxa"/>
          </w:tcPr>
          <w:p w14:paraId="68815394" w14:textId="34F11CCE" w:rsidR="00C412E5" w:rsidRPr="001455DC" w:rsidRDefault="00231E33" w:rsidP="0000442A">
            <w:pPr>
              <w:pStyle w:val="Tablebody"/>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fud</m:t>
                    </m:r>
                  </m:sub>
                </m:sSub>
              </m:oMath>
            </m:oMathPara>
          </w:p>
        </w:tc>
        <w:tc>
          <w:tcPr>
            <w:tcW w:w="8845" w:type="dxa"/>
          </w:tcPr>
          <w:p w14:paraId="447052DF" w14:textId="0A7EBA02" w:rsidR="00C412E5" w:rsidRPr="001455DC" w:rsidRDefault="00C412E5" w:rsidP="00BB1209">
            <w:pPr>
              <w:pStyle w:val="Tablebody"/>
            </w:pPr>
            <w:r w:rsidRPr="001455DC">
              <w:t xml:space="preserve">should be determined using Formula (J.1) and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r</m:t>
                  </m:r>
                </m:sub>
              </m:sSub>
            </m:oMath>
            <w:r w:rsidRPr="001455DC">
              <w:t xml:space="preserve"> should be determined using Formula (J.5).</w:t>
            </w:r>
          </w:p>
        </w:tc>
      </w:tr>
    </w:tbl>
    <w:p w14:paraId="5EAA1336" w14:textId="4D36E9A3" w:rsidR="004E22C1" w:rsidRPr="001455DC" w:rsidRDefault="00723CF7" w:rsidP="008A794D">
      <w:pPr>
        <w:pStyle w:val="FigureImage"/>
      </w:pPr>
      <w:r>
        <w:rPr>
          <w:noProof/>
          <w:lang w:eastAsia="en-GB"/>
        </w:rPr>
        <w:fldChar w:fldCharType="begin"/>
      </w:r>
      <w:r>
        <w:rPr>
          <w:noProof/>
          <w:lang w:eastAsia="en-GB"/>
        </w:rPr>
        <w:instrText xml:space="preserve"> INCLUDEPICTURE  "Y:\\STD_MGT\\STDDEL\\PRODUCTION\\etrans\\Download\\Z_FIRST_DEL\\SV\\00250\\00250269\\41_e_dr\\j003.tif"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"Y:\\STD_MGT\\STDDEL\\PRODUCTION\\Standards\\00250\\269\\41_e_dr\\j003.tif"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"Y:\\STD_MGT\\STDDEL\\PRODUCTION\\Standards\\00250\\269\\41_e_dr\\j003.tif"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"Y:\\STD_MGT\\STDDEL\\PRODUCTION\\Standards\\00250\\269\\41_e_dr\\j003.tif"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"Y:\\STD_MGT\\STDDEL\\PRODUCTION\\Standards\\00250\\269\\41_e_dr\\j003.tif"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"Y:\\STD_MGT\\STDDEL\\PRODUCTION\\Standards\\00250\\269\\41_e_dr\\j003.tif"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w:instrText>
      </w:r>
      <w:r w:rsidR="00231E33">
        <w:rPr>
          <w:noProof/>
          <w:lang w:eastAsia="en-GB"/>
        </w:rPr>
        <w:instrText>sers\\a.dionysiou\\AppData\\Local\\Temp\\Temp1_00250269_e_20210902.zip.zip\\41_e_dr\\j003.tif"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03E661CA">
          <v:shape id="_x0000_i1316" type="#_x0000_t75" style="width:49.5pt;height:63.75pt">
            <v:imagedata r:id="rId602" r:href="rId603"/>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3DAFF5FA" w14:textId="77777777" w:rsidR="004E22C1" w:rsidRPr="001455DC" w:rsidRDefault="004E22C1" w:rsidP="008A794D">
      <w:pPr>
        <w:pStyle w:val="Figuretitle"/>
        <w:rPr>
          <w:rFonts w:cstheme="minorHAnsi"/>
        </w:rPr>
      </w:pPr>
      <w:r w:rsidRPr="001455DC">
        <w:t>Figure J.3 — Illustration of fully wrapped CFRP system covered by this code</w:t>
      </w:r>
    </w:p>
    <w:p w14:paraId="227C5F39" w14:textId="3C2D715A" w:rsidR="004E22C1" w:rsidRPr="001455DC" w:rsidRDefault="004E22C1" w:rsidP="00243590">
      <w:pPr>
        <w:pStyle w:val="a4"/>
      </w:pPr>
      <w:bookmarkStart w:id="1908" w:name="_Toc52820270"/>
      <w:bookmarkStart w:id="1909" w:name="_Toc54337698"/>
      <w:bookmarkStart w:id="1910" w:name="_Toc54338324"/>
      <w:r w:rsidRPr="001455DC">
        <w:t>Open CFRP Systems</w:t>
      </w:r>
      <w:bookmarkEnd w:id="1908"/>
      <w:bookmarkEnd w:id="1909"/>
      <w:bookmarkEnd w:id="1910"/>
    </w:p>
    <w:p w14:paraId="185DDAA9" w14:textId="54961856" w:rsidR="004E22C1" w:rsidRPr="001455DC" w:rsidRDefault="004E22C1" w:rsidP="00C412E5">
      <w:pPr>
        <w:pStyle w:val="a7"/>
      </w:pPr>
      <w:r w:rsidRPr="001455DC">
        <w:t>(1)</w:t>
      </w:r>
      <w:r w:rsidRPr="001455DC">
        <w:tab/>
        <w:t>The following may be used to determine the design shear strength of open CFRP systems as defined in Figure J.4.</w:t>
      </w:r>
    </w:p>
    <w:p w14:paraId="1D308651" w14:textId="2208982B" w:rsidR="00C412E5" w:rsidRPr="001455DC" w:rsidRDefault="004E22C1" w:rsidP="00C412E5">
      <w:pPr>
        <w:pStyle w:val="a7"/>
      </w:pPr>
      <w:r w:rsidRPr="001455DC">
        <w:t xml:space="preserve">Where the anchorage length into the compression zone of the member of all CFRP strips, </w:t>
      </w:r>
      <m:oMath>
        <m:sSub>
          <m:sSubPr>
            <m:ctrlPr>
              <w:rPr>
                <w:rFonts w:ascii="Cambria Math" w:hAnsi="Cambria Math"/>
                <w:bCs/>
              </w:rPr>
            </m:ctrlPr>
          </m:sSubPr>
          <m:e>
            <m:r>
              <w:rPr>
                <w:rFonts w:ascii="Cambria Math" w:hAnsi="Cambria Math"/>
              </w:rPr>
              <m:t>l</m:t>
            </m:r>
          </m:e>
          <m:sub>
            <m:r>
              <m:rPr>
                <m:sty m:val="p"/>
              </m:rPr>
              <w:rPr>
                <w:rFonts w:ascii="Cambria Math" w:hAnsi="Cambria Math"/>
              </w:rPr>
              <m:t>bf</m:t>
            </m:r>
          </m:sub>
        </m:sSub>
      </m:oMath>
      <w:r w:rsidRPr="001455DC">
        <w:t xml:space="preserve">, is less than </w:t>
      </w:r>
      <m:oMath>
        <m:sSub>
          <m:sSubPr>
            <m:ctrlPr>
              <w:rPr>
                <w:rFonts w:ascii="Cambria Math" w:hAnsi="Cambria Math"/>
                <w:bCs/>
              </w:rPr>
            </m:ctrlPr>
          </m:sSubPr>
          <m:e>
            <m:r>
              <w:rPr>
                <w:rFonts w:ascii="Cambria Math" w:hAnsi="Cambria Math"/>
              </w:rPr>
              <m:t>l</m:t>
            </m:r>
          </m:e>
          <m:sub>
            <m:r>
              <m:rPr>
                <m:sty m:val="p"/>
              </m:rPr>
              <w:rPr>
                <w:rFonts w:ascii="Cambria Math" w:hAnsi="Cambria Math"/>
              </w:rPr>
              <m:t>bf,max,k</m:t>
            </m:r>
          </m:sub>
        </m:sSub>
      </m:oMath>
      <w:r w:rsidRPr="001455DC">
        <w:t xml:space="preserve">, </w:t>
      </w:r>
      <m:oMath>
        <m:sSub>
          <m:sSubPr>
            <m:ctrlPr>
              <w:rPr>
                <w:rFonts w:ascii="Cambria Math" w:hAnsi="Cambria Math"/>
                <w:bCs/>
              </w:rPr>
            </m:ctrlPr>
          </m:sSubPr>
          <m:e>
            <m:r>
              <w:rPr>
                <w:rFonts w:ascii="Cambria Math" w:hAnsi="Cambria Math"/>
              </w:rPr>
              <m:t>f</m:t>
            </m:r>
          </m:e>
          <m:sub>
            <m:r>
              <m:rPr>
                <m:sty m:val="p"/>
              </m:rPr>
              <w:rPr>
                <w:rFonts w:ascii="Cambria Math" w:hAnsi="Cambria Math"/>
              </w:rPr>
              <m:t>fwd</m:t>
            </m:r>
          </m:sub>
        </m:sSub>
      </m:oMath>
      <w:r w:rsidRPr="001455DC">
        <w:t xml:space="preserve"> should be determined using the Formula (J.17), where </w:t>
      </w:r>
      <m:oMath>
        <m:r>
          <w:rPr>
            <w:rFonts w:ascii="Cambria Math" w:hAnsi="Cambria Math"/>
          </w:rPr>
          <m:t>θ</m:t>
        </m:r>
      </m:oMath>
      <w:r w:rsidRPr="001455DC">
        <w:t xml:space="preserve"> and </w:t>
      </w:r>
      <m:oMath>
        <m:sSub>
          <m:sSubPr>
            <m:ctrlPr>
              <w:rPr>
                <w:rFonts w:ascii="Cambria Math" w:hAnsi="Cambria Math"/>
              </w:rPr>
            </m:ctrlPr>
          </m:sSubPr>
          <m:e>
            <m:r>
              <w:rPr>
                <w:rFonts w:ascii="Cambria Math" w:hAnsi="Cambria Math"/>
              </w:rPr>
              <m:t>α</m:t>
            </m:r>
          </m:e>
          <m:sub>
            <m:r>
              <m:rPr>
                <m:sty m:val="p"/>
              </m:rPr>
              <w:rPr>
                <w:rFonts w:ascii="Cambria Math" w:hAnsi="Cambria Math"/>
              </w:rPr>
              <m:t>f</m:t>
            </m:r>
          </m:sub>
        </m:sSub>
      </m:oMath>
      <w:r w:rsidRPr="001455DC">
        <w:t xml:space="preserve"> are defined in Figure J.5.</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C412E5" w:rsidRPr="001455DC" w14:paraId="3676FBA6" w14:textId="77777777" w:rsidTr="00C412E5">
        <w:trPr>
          <w:cantSplit/>
        </w:trPr>
        <w:tc>
          <w:tcPr>
            <w:tcW w:w="8505" w:type="dxa"/>
            <w:vAlign w:val="center"/>
          </w:tcPr>
          <w:p w14:paraId="699D9A8E" w14:textId="5E0FF6D6" w:rsidR="00C412E5" w:rsidRPr="001455DC" w:rsidRDefault="00231E33" w:rsidP="00C412E5">
            <w:pPr>
              <w:pStyle w:val="Formula"/>
              <w:jc w:val="left"/>
            </w:pPr>
            <m:oMathPara>
              <m:oMathParaPr>
                <m:jc m:val="left"/>
              </m:oMathParaPr>
              <m:oMath>
                <m:sSub>
                  <m:sSubPr>
                    <m:ctrlPr>
                      <w:rPr>
                        <w:rFonts w:ascii="Cambria Math" w:hAnsi="Cambria Math"/>
                        <w:bCs/>
                      </w:rPr>
                    </m:ctrlPr>
                  </m:sSubPr>
                  <m:e>
                    <m:r>
                      <w:rPr>
                        <w:rFonts w:ascii="Cambria Math" w:hAnsi="Cambria Math"/>
                      </w:rPr>
                      <m:t>f</m:t>
                    </m:r>
                  </m:e>
                  <m:sub>
                    <m:r>
                      <m:rPr>
                        <m:sty m:val="p"/>
                      </m:rPr>
                      <w:rPr>
                        <w:rFonts w:ascii="Cambria Math" w:hAnsi="Cambria Math"/>
                      </w:rPr>
                      <m:t>fwd</m:t>
                    </m:r>
                  </m:sub>
                </m:sSub>
                <m:r>
                  <w:rPr>
                    <w:rFonts w:ascii="Cambria Math" w:hAnsi="Cambria Math"/>
                  </w:rPr>
                  <m:t>=</m:t>
                </m:r>
                <m:f>
                  <m:fPr>
                    <m:ctrlPr>
                      <w:rPr>
                        <w:rFonts w:ascii="Cambria Math" w:hAnsi="Cambria Math"/>
                        <w:bCs/>
                      </w:rPr>
                    </m:ctrlPr>
                  </m:fPr>
                  <m:num>
                    <m:r>
                      <w:rPr>
                        <w:rFonts w:ascii="Cambria Math" w:hAnsi="Cambria Math"/>
                      </w:rPr>
                      <m:t>2</m:t>
                    </m:r>
                  </m:num>
                  <m:den>
                    <m:r>
                      <w:rPr>
                        <w:rFonts w:ascii="Cambria Math" w:hAnsi="Cambria Math"/>
                      </w:rPr>
                      <m:t>3</m:t>
                    </m:r>
                  </m:den>
                </m:f>
                <m:f>
                  <m:fPr>
                    <m:ctrlPr>
                      <w:rPr>
                        <w:rFonts w:ascii="Cambria Math" w:hAnsi="Cambria Math"/>
                        <w:bCs/>
                      </w:rPr>
                    </m:ctrlPr>
                  </m:fPr>
                  <m:num>
                    <m:r>
                      <w:rPr>
                        <w:rFonts w:ascii="Cambria Math" w:hAnsi="Cambria Math"/>
                      </w:rPr>
                      <m:t>(n</m:t>
                    </m:r>
                    <m:sSub>
                      <m:sSubPr>
                        <m:ctrlPr>
                          <w:rPr>
                            <w:rFonts w:ascii="Cambria Math" w:hAnsi="Cambria Math"/>
                            <w:bCs/>
                          </w:rPr>
                        </m:ctrlPr>
                      </m:sSubPr>
                      <m:e>
                        <m:r>
                          <w:rPr>
                            <w:rFonts w:ascii="Cambria Math" w:hAnsi="Cambria Math"/>
                          </w:rPr>
                          <m:t>∙s</m:t>
                        </m:r>
                      </m:e>
                      <m:sub>
                        <m:r>
                          <m:rPr>
                            <m:sty m:val="p"/>
                          </m:rPr>
                          <w:rPr>
                            <w:rFonts w:ascii="Cambria Math" w:hAnsi="Cambria Math"/>
                          </w:rPr>
                          <m:t>f</m:t>
                        </m:r>
                      </m:sub>
                    </m:sSub>
                    <m:r>
                      <w:rPr>
                        <w:rFonts w:ascii="Cambria Math" w:hAnsi="Cambria Math"/>
                      </w:rPr>
                      <m:t>/[</m:t>
                    </m:r>
                    <m:d>
                      <m:dPr>
                        <m:ctrlPr>
                          <w:rPr>
                            <w:rFonts w:ascii="Cambria Math" w:hAnsi="Cambria Math"/>
                            <w:bCs/>
                          </w:rPr>
                        </m:ctrlPr>
                      </m:dPr>
                      <m:e>
                        <m:r>
                          <m:rPr>
                            <m:sty m:val="p"/>
                          </m:rPr>
                          <w:rPr>
                            <w:rFonts w:ascii="Cambria Math" w:hAnsi="Cambria Math"/>
                          </w:rPr>
                          <m:t>cotθ</m:t>
                        </m:r>
                        <m:r>
                          <w:rPr>
                            <w:rFonts w:ascii="Cambria Math" w:hAnsi="Cambria Math"/>
                          </w:rPr>
                          <m:t>+</m:t>
                        </m:r>
                        <m:r>
                          <m:rPr>
                            <m:sty m:val="p"/>
                          </m:rPr>
                          <w:rPr>
                            <w:rFonts w:ascii="Cambria Math" w:hAnsi="Cambria Math"/>
                          </w:rPr>
                          <m:t>cot</m:t>
                        </m:r>
                        <m:sSub>
                          <m:sSubPr>
                            <m:ctrlPr>
                              <w:rPr>
                                <w:rFonts w:ascii="Cambria Math" w:hAnsi="Cambria Math"/>
                              </w:rPr>
                            </m:ctrlPr>
                          </m:sSubPr>
                          <m:e>
                            <m:r>
                              <w:rPr>
                                <w:rFonts w:ascii="Cambria Math" w:hAnsi="Cambria Math"/>
                              </w:rPr>
                              <m:t>α</m:t>
                            </m:r>
                          </m:e>
                          <m:sub>
                            <m:r>
                              <m:rPr>
                                <m:sty m:val="p"/>
                              </m:rPr>
                              <w:rPr>
                                <w:rFonts w:ascii="Cambria Math" w:hAnsi="Cambria Math"/>
                              </w:rPr>
                              <m:t>f</m:t>
                            </m:r>
                          </m:sub>
                        </m:sSub>
                      </m:e>
                    </m:d>
                    <m:r>
                      <m:rPr>
                        <m:sty m:val="p"/>
                      </m:rPr>
                      <w:rPr>
                        <w:rFonts w:ascii="Cambria Math" w:hAnsi="Cambria Math"/>
                      </w:rPr>
                      <m:t>sin</m:t>
                    </m:r>
                    <m:sSub>
                      <m:sSubPr>
                        <m:ctrlPr>
                          <w:rPr>
                            <w:rFonts w:ascii="Cambria Math" w:hAnsi="Cambria Math"/>
                          </w:rPr>
                        </m:ctrlPr>
                      </m:sSubPr>
                      <m:e>
                        <m:r>
                          <w:rPr>
                            <w:rFonts w:ascii="Cambria Math" w:hAnsi="Cambria Math"/>
                          </w:rPr>
                          <m:t>α</m:t>
                        </m:r>
                      </m:e>
                      <m:sub>
                        <m:r>
                          <m:rPr>
                            <m:sty m:val="p"/>
                          </m:rPr>
                          <w:rPr>
                            <w:rFonts w:ascii="Cambria Math" w:hAnsi="Cambria Math"/>
                          </w:rPr>
                          <m:t>f</m:t>
                        </m:r>
                      </m:sub>
                    </m:sSub>
                    <m:r>
                      <w:rPr>
                        <w:rFonts w:ascii="Cambria Math" w:hAnsi="Cambria Math"/>
                      </w:rPr>
                      <m:t>]</m:t>
                    </m:r>
                  </m:num>
                  <m:den>
                    <m:sSub>
                      <m:sSubPr>
                        <m:ctrlPr>
                          <w:rPr>
                            <w:rFonts w:ascii="Cambria Math" w:hAnsi="Cambria Math"/>
                            <w:bCs/>
                          </w:rPr>
                        </m:ctrlPr>
                      </m:sSubPr>
                      <m:e>
                        <m:r>
                          <w:rPr>
                            <w:rFonts w:ascii="Cambria Math" w:hAnsi="Cambria Math"/>
                          </w:rPr>
                          <m:t>l</m:t>
                        </m:r>
                      </m:e>
                      <m:sub>
                        <m:r>
                          <m:rPr>
                            <m:sty m:val="p"/>
                          </m:rPr>
                          <w:rPr>
                            <w:rFonts w:ascii="Cambria Math" w:hAnsi="Cambria Math"/>
                          </w:rPr>
                          <m:t>bf,max,k</m:t>
                        </m:r>
                      </m:sub>
                    </m:sSub>
                  </m:den>
                </m:f>
                <m:sSub>
                  <m:sSubPr>
                    <m:ctrlPr>
                      <w:rPr>
                        <w:rFonts w:ascii="Cambria Math" w:hAnsi="Cambria Math"/>
                        <w:bCs/>
                      </w:rPr>
                    </m:ctrlPr>
                  </m:sSubPr>
                  <m:e>
                    <m:r>
                      <w:rPr>
                        <w:rFonts w:ascii="Cambria Math" w:hAnsi="Cambria Math"/>
                      </w:rPr>
                      <m:t>f</m:t>
                    </m:r>
                  </m:e>
                  <m:sub>
                    <m:r>
                      <m:rPr>
                        <m:sty m:val="p"/>
                      </m:rPr>
                      <w:rPr>
                        <w:rFonts w:ascii="Cambria Math" w:hAnsi="Cambria Math"/>
                      </w:rPr>
                      <m:t>bfRd</m:t>
                    </m:r>
                  </m:sub>
                </m:sSub>
              </m:oMath>
            </m:oMathPara>
          </w:p>
        </w:tc>
        <w:tc>
          <w:tcPr>
            <w:tcW w:w="1247" w:type="dxa"/>
            <w:vAlign w:val="center"/>
          </w:tcPr>
          <w:p w14:paraId="5E3F1E37" w14:textId="26957047" w:rsidR="00C412E5" w:rsidRPr="001455DC" w:rsidRDefault="00C412E5" w:rsidP="00C412E5">
            <w:pPr>
              <w:pStyle w:val="a7"/>
              <w:jc w:val="right"/>
            </w:pPr>
            <w:r w:rsidRPr="001455DC">
              <w:t>(J.17)</w:t>
            </w:r>
          </w:p>
        </w:tc>
      </w:tr>
    </w:tbl>
    <w:p w14:paraId="1114F283" w14:textId="655408B9" w:rsidR="00C412E5" w:rsidRPr="001455DC" w:rsidRDefault="004E22C1" w:rsidP="00DE6BBC">
      <w:pPr>
        <w:pStyle w:val="a7"/>
        <w:keepNext/>
      </w:pPr>
      <w:r w:rsidRPr="001455DC">
        <w:t xml:space="preserve">Where the anchorage length into the compression zone of the member of some CFRP strips, </w:t>
      </w:r>
      <m:oMath>
        <m:sSub>
          <m:sSubPr>
            <m:ctrlPr>
              <w:rPr>
                <w:rFonts w:ascii="Cambria Math" w:hAnsi="Cambria Math"/>
                <w:bCs/>
              </w:rPr>
            </m:ctrlPr>
          </m:sSubPr>
          <m:e>
            <m:r>
              <w:rPr>
                <w:rFonts w:ascii="Cambria Math" w:hAnsi="Cambria Math"/>
              </w:rPr>
              <m:t>l</m:t>
            </m:r>
          </m:e>
          <m:sub>
            <m:r>
              <m:rPr>
                <m:sty m:val="p"/>
              </m:rPr>
              <w:rPr>
                <w:rFonts w:ascii="Cambria Math" w:hAnsi="Cambria Math"/>
              </w:rPr>
              <m:t>bf</m:t>
            </m:r>
          </m:sub>
        </m:sSub>
      </m:oMath>
      <w:r w:rsidRPr="001455DC">
        <w:t xml:space="preserve">, is less than </w:t>
      </w:r>
      <m:oMath>
        <m:sSub>
          <m:sSubPr>
            <m:ctrlPr>
              <w:rPr>
                <w:rFonts w:ascii="Cambria Math" w:hAnsi="Cambria Math"/>
                <w:bCs/>
              </w:rPr>
            </m:ctrlPr>
          </m:sSubPr>
          <m:e>
            <m:r>
              <w:rPr>
                <w:rFonts w:ascii="Cambria Math" w:hAnsi="Cambria Math"/>
              </w:rPr>
              <m:t>l</m:t>
            </m:r>
          </m:e>
          <m:sub>
            <m:r>
              <m:rPr>
                <m:sty m:val="p"/>
              </m:rPr>
              <w:rPr>
                <w:rFonts w:ascii="Cambria Math" w:hAnsi="Cambria Math"/>
              </w:rPr>
              <m:t>bf,max,k</m:t>
            </m:r>
          </m:sub>
        </m:sSub>
      </m:oMath>
      <w:r w:rsidRPr="001455DC">
        <w:t xml:space="preserve">, </w:t>
      </w:r>
      <m:oMath>
        <m:sSub>
          <m:sSubPr>
            <m:ctrlPr>
              <w:rPr>
                <w:rFonts w:ascii="Cambria Math" w:hAnsi="Cambria Math"/>
                <w:bCs/>
              </w:rPr>
            </m:ctrlPr>
          </m:sSubPr>
          <m:e>
            <m:r>
              <w:rPr>
                <w:rFonts w:ascii="Cambria Math" w:hAnsi="Cambria Math"/>
              </w:rPr>
              <m:t>f</m:t>
            </m:r>
          </m:e>
          <m:sub>
            <m:r>
              <m:rPr>
                <m:sty m:val="p"/>
              </m:rPr>
              <w:rPr>
                <w:rFonts w:ascii="Cambria Math" w:hAnsi="Cambria Math"/>
              </w:rPr>
              <m:t>fwd</m:t>
            </m:r>
          </m:sub>
        </m:sSub>
      </m:oMath>
      <w:r w:rsidRPr="001455DC">
        <w:t xml:space="preserve"> should be determined using Formula (J.18):</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C412E5" w:rsidRPr="001455DC" w14:paraId="2EDA63B2" w14:textId="77777777" w:rsidTr="00C412E5">
        <w:trPr>
          <w:cantSplit/>
        </w:trPr>
        <w:tc>
          <w:tcPr>
            <w:tcW w:w="8505" w:type="dxa"/>
            <w:vAlign w:val="center"/>
          </w:tcPr>
          <w:p w14:paraId="6BA84668" w14:textId="31AF981C" w:rsidR="00C412E5" w:rsidRPr="001455DC" w:rsidRDefault="00231E33" w:rsidP="00C412E5">
            <w:pPr>
              <w:pStyle w:val="Formula"/>
              <w:jc w:val="left"/>
            </w:pPr>
            <m:oMathPara>
              <m:oMathParaPr>
                <m:jc m:val="left"/>
              </m:oMathParaPr>
              <m:oMath>
                <m:sSub>
                  <m:sSubPr>
                    <m:ctrlPr>
                      <w:rPr>
                        <w:rFonts w:ascii="Cambria Math" w:hAnsi="Cambria Math"/>
                        <w:bCs/>
                      </w:rPr>
                    </m:ctrlPr>
                  </m:sSubPr>
                  <m:e>
                    <m:r>
                      <w:rPr>
                        <w:rFonts w:ascii="Cambria Math" w:hAnsi="Cambria Math"/>
                      </w:rPr>
                      <m:t>f</m:t>
                    </m:r>
                  </m:e>
                  <m:sub>
                    <m:r>
                      <m:rPr>
                        <m:sty m:val="p"/>
                      </m:rPr>
                      <w:rPr>
                        <w:rFonts w:ascii="Cambria Math" w:hAnsi="Cambria Math"/>
                      </w:rPr>
                      <m:t>fwd</m:t>
                    </m:r>
                  </m:sub>
                </m:sSub>
                <m:r>
                  <w:rPr>
                    <w:rFonts w:ascii="Cambria Math" w:hAnsi="Cambria Math"/>
                  </w:rPr>
                  <m:t>=</m:t>
                </m:r>
                <m:d>
                  <m:dPr>
                    <m:begChr m:val="["/>
                    <m:endChr m:val="]"/>
                    <m:ctrlPr>
                      <w:rPr>
                        <w:rFonts w:ascii="Cambria Math" w:hAnsi="Cambria Math"/>
                        <w:bCs/>
                      </w:rPr>
                    </m:ctrlPr>
                  </m:dPr>
                  <m:e>
                    <m:r>
                      <w:rPr>
                        <w:rFonts w:ascii="Cambria Math" w:hAnsi="Cambria Math"/>
                      </w:rPr>
                      <m:t>1-</m:t>
                    </m:r>
                    <m:d>
                      <m:dPr>
                        <m:ctrlPr>
                          <w:rPr>
                            <w:rFonts w:ascii="Cambria Math" w:hAnsi="Cambria Math"/>
                            <w:bCs/>
                          </w:rPr>
                        </m:ctrlPr>
                      </m:dPr>
                      <m:e>
                        <m:r>
                          <w:rPr>
                            <w:rFonts w:ascii="Cambria Math" w:hAnsi="Cambria Math"/>
                          </w:rPr>
                          <m:t>1-</m:t>
                        </m:r>
                        <m:f>
                          <m:fPr>
                            <m:ctrlPr>
                              <w:rPr>
                                <w:rFonts w:ascii="Cambria Math" w:hAnsi="Cambria Math"/>
                                <w:bCs/>
                              </w:rPr>
                            </m:ctrlPr>
                          </m:fPr>
                          <m:num>
                            <m:r>
                              <w:rPr>
                                <w:rFonts w:ascii="Cambria Math" w:hAnsi="Cambria Math"/>
                              </w:rPr>
                              <m:t>2m</m:t>
                            </m:r>
                            <m:sSub>
                              <m:sSubPr>
                                <m:ctrlPr>
                                  <w:rPr>
                                    <w:rFonts w:ascii="Cambria Math" w:hAnsi="Cambria Math"/>
                                    <w:bCs/>
                                  </w:rPr>
                                </m:ctrlPr>
                              </m:sSubPr>
                              <m:e>
                                <m:r>
                                  <w:rPr>
                                    <w:rFonts w:ascii="Cambria Math" w:hAnsi="Cambria Math"/>
                                  </w:rPr>
                                  <m:t>∙s</m:t>
                                </m:r>
                              </m:e>
                              <m:sub>
                                <m:r>
                                  <m:rPr>
                                    <m:sty m:val="p"/>
                                  </m:rPr>
                                  <w:rPr>
                                    <w:rFonts w:ascii="Cambria Math" w:hAnsi="Cambria Math"/>
                                  </w:rPr>
                                  <m:t>f</m:t>
                                </m:r>
                              </m:sub>
                            </m:sSub>
                          </m:num>
                          <m:den>
                            <m:r>
                              <w:rPr>
                                <w:rFonts w:ascii="Cambria Math" w:hAnsi="Cambria Math"/>
                              </w:rPr>
                              <m:t>3∙</m:t>
                            </m:r>
                            <m:sSub>
                              <m:sSubPr>
                                <m:ctrlPr>
                                  <w:rPr>
                                    <w:rFonts w:ascii="Cambria Math" w:hAnsi="Cambria Math"/>
                                    <w:bCs/>
                                  </w:rPr>
                                </m:ctrlPr>
                              </m:sSubPr>
                              <m:e>
                                <m:r>
                                  <w:rPr>
                                    <w:rFonts w:ascii="Cambria Math" w:hAnsi="Cambria Math"/>
                                  </w:rPr>
                                  <m:t>l</m:t>
                                </m:r>
                              </m:e>
                              <m:sub>
                                <m:r>
                                  <m:rPr>
                                    <m:sty m:val="p"/>
                                  </m:rPr>
                                  <w:rPr>
                                    <w:rFonts w:ascii="Cambria Math" w:hAnsi="Cambria Math"/>
                                  </w:rPr>
                                  <m:t>bf,max,k</m:t>
                                </m:r>
                              </m:sub>
                            </m:sSub>
                          </m:den>
                        </m:f>
                      </m:e>
                    </m:d>
                    <m:f>
                      <m:fPr>
                        <m:ctrlPr>
                          <w:rPr>
                            <w:rFonts w:ascii="Cambria Math" w:hAnsi="Cambria Math"/>
                            <w:bCs/>
                          </w:rPr>
                        </m:ctrlPr>
                      </m:fPr>
                      <m:num>
                        <m:r>
                          <w:rPr>
                            <w:rFonts w:ascii="Cambria Math" w:hAnsi="Cambria Math"/>
                          </w:rPr>
                          <m:t>m</m:t>
                        </m:r>
                      </m:num>
                      <m:den>
                        <m:r>
                          <w:rPr>
                            <w:rFonts w:ascii="Cambria Math" w:hAnsi="Cambria Math"/>
                          </w:rPr>
                          <m:t>n</m:t>
                        </m:r>
                      </m:den>
                    </m:f>
                  </m:e>
                </m:d>
                <m:sSub>
                  <m:sSubPr>
                    <m:ctrlPr>
                      <w:rPr>
                        <w:rFonts w:ascii="Cambria Math" w:hAnsi="Cambria Math"/>
                        <w:bCs/>
                      </w:rPr>
                    </m:ctrlPr>
                  </m:sSubPr>
                  <m:e>
                    <m:r>
                      <w:rPr>
                        <w:rFonts w:ascii="Cambria Math" w:hAnsi="Cambria Math"/>
                      </w:rPr>
                      <m:t>f</m:t>
                    </m:r>
                  </m:e>
                  <m:sub>
                    <m:r>
                      <m:rPr>
                        <m:sty m:val="p"/>
                      </m:rPr>
                      <w:rPr>
                        <w:rFonts w:ascii="Cambria Math" w:hAnsi="Cambria Math"/>
                      </w:rPr>
                      <m:t>bfRd</m:t>
                    </m:r>
                  </m:sub>
                </m:sSub>
              </m:oMath>
            </m:oMathPara>
          </w:p>
        </w:tc>
        <w:tc>
          <w:tcPr>
            <w:tcW w:w="1247" w:type="dxa"/>
            <w:vAlign w:val="center"/>
          </w:tcPr>
          <w:p w14:paraId="31A1FFAD" w14:textId="51197AAF" w:rsidR="00C412E5" w:rsidRPr="001455DC" w:rsidRDefault="00C412E5" w:rsidP="00C412E5">
            <w:pPr>
              <w:pStyle w:val="a7"/>
              <w:jc w:val="right"/>
            </w:pPr>
            <w:r w:rsidRPr="001455DC">
              <w:t>(J.18)</w:t>
            </w:r>
          </w:p>
        </w:tc>
      </w:tr>
    </w:tbl>
    <w:p w14:paraId="2AC92DB5" w14:textId="02CCFEEB" w:rsidR="004E22C1" w:rsidRPr="001455DC" w:rsidRDefault="004E22C1" w:rsidP="00C412E5">
      <w:pPr>
        <w:pStyle w:val="a7"/>
      </w:pPr>
      <w:r w:rsidRPr="001455DC">
        <w:t xml:space="preserve">Where the parameters </w:t>
      </w:r>
      <m:oMath>
        <m:sSub>
          <m:sSubPr>
            <m:ctrlPr>
              <w:rPr>
                <w:rFonts w:ascii="Cambria Math" w:hAnsi="Cambria Math"/>
                <w:bCs/>
              </w:rPr>
            </m:ctrlPr>
          </m:sSubPr>
          <m:e>
            <m:r>
              <m:rPr>
                <m:sty m:val="p"/>
              </m:rPr>
              <w:rPr>
                <w:rFonts w:ascii="Cambria Math" w:hAnsi="Cambria Math"/>
              </w:rPr>
              <m:t>α</m:t>
            </m:r>
          </m:e>
          <m:sub>
            <m:r>
              <m:rPr>
                <m:sty m:val="p"/>
              </m:rPr>
              <w:rPr>
                <w:rFonts w:ascii="Cambria Math" w:hAnsi="Cambria Math"/>
              </w:rPr>
              <m:t>f</m:t>
            </m:r>
          </m:sub>
        </m:sSub>
      </m:oMath>
      <w:r w:rsidRPr="001455DC">
        <w:t xml:space="preserve">, </w:t>
      </w:r>
      <m:oMath>
        <m:r>
          <m:rPr>
            <m:sty m:val="p"/>
          </m:rPr>
          <w:rPr>
            <w:rFonts w:ascii="Cambria Math" w:hAnsi="Cambria Math"/>
          </w:rPr>
          <m:t>m</m:t>
        </m:r>
      </m:oMath>
      <w:r w:rsidRPr="001455DC">
        <w:t xml:space="preserve"> and </w:t>
      </w:r>
      <m:oMath>
        <m:r>
          <m:rPr>
            <m:sty m:val="p"/>
          </m:rPr>
          <w:rPr>
            <w:rFonts w:ascii="Cambria Math" w:hAnsi="Cambria Math"/>
          </w:rPr>
          <m:t>n</m:t>
        </m:r>
      </m:oMath>
      <w:r w:rsidRPr="001455DC">
        <w:t xml:space="preserve"> are defined in Figure J.5 and </w:t>
      </w:r>
      <m:oMath>
        <m:sSub>
          <m:sSubPr>
            <m:ctrlPr>
              <w:rPr>
                <w:rFonts w:ascii="Cambria Math" w:hAnsi="Cambria Math"/>
                <w:bCs/>
              </w:rPr>
            </m:ctrlPr>
          </m:sSubPr>
          <m:e>
            <m:r>
              <w:rPr>
                <w:rFonts w:ascii="Cambria Math" w:hAnsi="Cambria Math"/>
              </w:rPr>
              <m:t>f</m:t>
            </m:r>
          </m:e>
          <m:sub>
            <m:r>
              <m:rPr>
                <m:sty m:val="p"/>
              </m:rPr>
              <w:rPr>
                <w:rFonts w:ascii="Cambria Math" w:hAnsi="Cambria Math"/>
              </w:rPr>
              <m:t>bfRd</m:t>
            </m:r>
          </m:sub>
        </m:sSub>
      </m:oMath>
      <w:r w:rsidRPr="001455DC">
        <w:t xml:space="preserve"> shall be determined using 11.1.1.</w:t>
      </w:r>
    </w:p>
    <w:p w14:paraId="02EB4A5B" w14:textId="06B35868" w:rsidR="004E22C1" w:rsidRPr="001455DC" w:rsidRDefault="004E22C1" w:rsidP="00C412E5">
      <w:pPr>
        <w:pStyle w:val="a7"/>
      </w:pPr>
      <w:r w:rsidRPr="001455DC">
        <w:t>(2)</w:t>
      </w:r>
      <w:r w:rsidRPr="001455DC">
        <w:tab/>
        <w:t xml:space="preserve">Formulae (J.17) and (J.18) may be applied with CFRP sheets by substituting </w:t>
      </w:r>
      <m:oMath>
        <m:sSub>
          <m:sSubPr>
            <m:ctrlPr>
              <w:rPr>
                <w:rFonts w:ascii="Cambria Math" w:hAnsi="Cambria Math"/>
                <w:bCs/>
              </w:rPr>
            </m:ctrlPr>
          </m:sSubPr>
          <m:e>
            <m:r>
              <w:rPr>
                <w:rFonts w:ascii="Cambria Math" w:hAnsi="Cambria Math"/>
              </w:rPr>
              <m:t>s</m:t>
            </m:r>
          </m:e>
          <m:sub>
            <m:r>
              <m:rPr>
                <m:sty m:val="p"/>
              </m:rPr>
              <w:rPr>
                <w:rFonts w:ascii="Cambria Math" w:hAnsi="Cambria Math"/>
              </w:rPr>
              <m:t>f</m:t>
            </m:r>
          </m:sub>
        </m:sSub>
      </m:oMath>
      <w:r w:rsidRPr="001455DC">
        <w:t xml:space="preserve"> with </w:t>
      </w:r>
      <m:oMath>
        <m:sSub>
          <m:sSubPr>
            <m:ctrlPr>
              <w:rPr>
                <w:rFonts w:ascii="Cambria Math" w:hAnsi="Cambria Math"/>
                <w:bCs/>
              </w:rPr>
            </m:ctrlPr>
          </m:sSubPr>
          <m:e>
            <m:r>
              <w:rPr>
                <w:rFonts w:ascii="Cambria Math" w:hAnsi="Cambria Math"/>
              </w:rPr>
              <m:t>b</m:t>
            </m:r>
          </m:e>
          <m:sub>
            <m:r>
              <m:rPr>
                <m:sty m:val="p"/>
              </m:rPr>
              <w:rPr>
                <w:rFonts w:ascii="Cambria Math" w:hAnsi="Cambria Math"/>
              </w:rPr>
              <m:t>f</m:t>
            </m:r>
          </m:sub>
        </m:sSub>
        <m:r>
          <m:rPr>
            <m:sty m:val="p"/>
          </m:rPr>
          <w:rPr>
            <w:rFonts w:ascii="Cambria Math" w:hAnsi="Cambria Math"/>
          </w:rPr>
          <m:t>/sin</m:t>
        </m:r>
        <m:r>
          <w:rPr>
            <w:rFonts w:ascii="Cambria Math" w:hAnsi="Cambria Math"/>
          </w:rPr>
          <m:t>α</m:t>
        </m:r>
      </m:oMath>
      <w:r w:rsidRPr="001455DC">
        <w:t>.</w:t>
      </w:r>
    </w:p>
    <w:p w14:paraId="1790311F" w14:textId="02CC952C" w:rsidR="004E22C1" w:rsidRPr="001455DC" w:rsidRDefault="00723CF7" w:rsidP="00C412E5">
      <w:pPr>
        <w:pStyle w:val="FigureImage"/>
        <w:rPr>
          <w:rFonts w:eastAsiaTheme="minorEastAsia"/>
        </w:rPr>
      </w:pPr>
      <w:r>
        <w:rPr>
          <w:rFonts w:eastAsiaTheme="minorEastAsia"/>
          <w:noProof/>
          <w:lang w:eastAsia="en-GB"/>
        </w:rPr>
        <w:fldChar w:fldCharType="begin"/>
      </w:r>
      <w:r>
        <w:rPr>
          <w:rFonts w:eastAsiaTheme="minorEastAsia"/>
          <w:noProof/>
          <w:lang w:eastAsia="en-GB"/>
        </w:rPr>
        <w:instrText xml:space="preserve"> INCLUDEPICTURE  "Y:\\STD_MGT\\STDDEL\\PRODUCTION\\etrans\\Download\\Z_FIRST_DEL\\SV\\00250\\00250269\\41_e_dr\\j004.tif" \* MERGEFORMATINET </w:instrText>
      </w:r>
      <w:r>
        <w:rPr>
          <w:rFonts w:eastAsiaTheme="minorEastAsia"/>
          <w:noProof/>
          <w:lang w:eastAsia="en-GB"/>
        </w:rPr>
        <w:fldChar w:fldCharType="separate"/>
      </w:r>
      <w:r w:rsidR="00FA575F">
        <w:rPr>
          <w:rFonts w:eastAsiaTheme="minorEastAsia"/>
          <w:noProof/>
          <w:lang w:eastAsia="en-GB"/>
        </w:rPr>
        <w:fldChar w:fldCharType="begin"/>
      </w:r>
      <w:r w:rsidR="00FA575F">
        <w:rPr>
          <w:rFonts w:eastAsiaTheme="minorEastAsia"/>
          <w:noProof/>
          <w:lang w:eastAsia="en-GB"/>
        </w:rPr>
        <w:instrText xml:space="preserve"> INCLUDEPICTURE  "Y:\\STD_MGT\\STDDEL\\PRODUCTION\\Standards\\00250\\269\\41_e_dr\\j004.tif" \* MERGEFORMATINET </w:instrText>
      </w:r>
      <w:r w:rsidR="00FA575F">
        <w:rPr>
          <w:rFonts w:eastAsiaTheme="minorEastAsia"/>
          <w:noProof/>
          <w:lang w:eastAsia="en-GB"/>
        </w:rPr>
        <w:fldChar w:fldCharType="separate"/>
      </w:r>
      <w:r w:rsidR="00C54E80">
        <w:rPr>
          <w:rFonts w:eastAsiaTheme="minorEastAsia"/>
          <w:noProof/>
          <w:lang w:eastAsia="en-GB"/>
        </w:rPr>
        <w:fldChar w:fldCharType="begin"/>
      </w:r>
      <w:r w:rsidR="00C54E80">
        <w:rPr>
          <w:rFonts w:eastAsiaTheme="minorEastAsia"/>
          <w:noProof/>
          <w:lang w:eastAsia="en-GB"/>
        </w:rPr>
        <w:instrText xml:space="preserve"> INCLUDEPICTURE  "Y:\\STD_MGT\\STDDEL\\PRODUCTION\\Standards\\00250\\269\\41_e_dr\\j004.tif" \* MERGEFORMATINET </w:instrText>
      </w:r>
      <w:r w:rsidR="00C54E80">
        <w:rPr>
          <w:rFonts w:eastAsiaTheme="minorEastAsia"/>
          <w:noProof/>
          <w:lang w:eastAsia="en-GB"/>
        </w:rPr>
        <w:fldChar w:fldCharType="separate"/>
      </w:r>
      <w:r w:rsidR="004B62E7">
        <w:rPr>
          <w:rFonts w:eastAsiaTheme="minorEastAsia"/>
          <w:noProof/>
          <w:lang w:eastAsia="en-GB"/>
        </w:rPr>
        <w:fldChar w:fldCharType="begin"/>
      </w:r>
      <w:r w:rsidR="004B62E7">
        <w:rPr>
          <w:rFonts w:eastAsiaTheme="minorEastAsia"/>
          <w:noProof/>
          <w:lang w:eastAsia="en-GB"/>
        </w:rPr>
        <w:instrText xml:space="preserve"> INCLUDEPICTURE  "Y:\\STD_MGT\\STDDEL\\PRODUCTION\\Standards\\00250\\269\\41_e_dr\\j004.tif" \* MERGEFORMATINET </w:instrText>
      </w:r>
      <w:r w:rsidR="004B62E7">
        <w:rPr>
          <w:rFonts w:eastAsiaTheme="minorEastAsia"/>
          <w:noProof/>
          <w:lang w:eastAsia="en-GB"/>
        </w:rPr>
        <w:fldChar w:fldCharType="separate"/>
      </w:r>
      <w:r w:rsidR="00B078F1">
        <w:rPr>
          <w:rFonts w:eastAsiaTheme="minorEastAsia"/>
          <w:noProof/>
          <w:lang w:eastAsia="en-GB"/>
        </w:rPr>
        <w:fldChar w:fldCharType="begin"/>
      </w:r>
      <w:r w:rsidR="00B078F1">
        <w:rPr>
          <w:rFonts w:eastAsiaTheme="minorEastAsia"/>
          <w:noProof/>
          <w:lang w:eastAsia="en-GB"/>
        </w:rPr>
        <w:instrText xml:space="preserve"> INCLUDEPICTURE  "Y:\\STD_MGT\\STDDEL\\PRODUCTION\\Standards\\00250\\269\\41_e_dr\\j004.tif" \* MERGEFORMATINET </w:instrText>
      </w:r>
      <w:r w:rsidR="00B078F1">
        <w:rPr>
          <w:rFonts w:eastAsiaTheme="minorEastAsia"/>
          <w:noProof/>
          <w:lang w:eastAsia="en-GB"/>
        </w:rPr>
        <w:fldChar w:fldCharType="separate"/>
      </w:r>
      <w:r w:rsidR="000250B6">
        <w:rPr>
          <w:rFonts w:eastAsiaTheme="minorEastAsia"/>
          <w:noProof/>
          <w:lang w:eastAsia="en-GB"/>
        </w:rPr>
        <w:fldChar w:fldCharType="begin"/>
      </w:r>
      <w:r w:rsidR="000250B6">
        <w:rPr>
          <w:rFonts w:eastAsiaTheme="minorEastAsia"/>
          <w:noProof/>
          <w:lang w:eastAsia="en-GB"/>
        </w:rPr>
        <w:instrText xml:space="preserve"> INCLUDEPICTURE  "Y:\\STD_MGT\\STDDEL\\PRODUCTION\\Standards\\00250\\269\\41_e_dr\\j004.tif" \* MERGEFORMATINET </w:instrText>
      </w:r>
      <w:r w:rsidR="000250B6">
        <w:rPr>
          <w:rFonts w:eastAsiaTheme="minorEastAsia"/>
          <w:noProof/>
          <w:lang w:eastAsia="en-GB"/>
        </w:rPr>
        <w:fldChar w:fldCharType="separate"/>
      </w:r>
      <w:r w:rsidR="00231E33">
        <w:rPr>
          <w:rFonts w:eastAsiaTheme="minorEastAsia"/>
          <w:noProof/>
          <w:lang w:eastAsia="en-GB"/>
        </w:rPr>
        <w:fldChar w:fldCharType="begin"/>
      </w:r>
      <w:r w:rsidR="00231E33">
        <w:rPr>
          <w:rFonts w:eastAsiaTheme="minorEastAsia"/>
          <w:noProof/>
          <w:lang w:eastAsia="en-GB"/>
        </w:rPr>
        <w:instrText xml:space="preserve"> </w:instrText>
      </w:r>
      <w:r w:rsidR="00231E33">
        <w:rPr>
          <w:rFonts w:eastAsiaTheme="minorEastAsia"/>
          <w:noProof/>
          <w:lang w:eastAsia="en-GB"/>
        </w:rPr>
        <w:instrText>INCLUDEPICTURE  "C:\\Users\\a.dionysiou\\AppData\\Local\\Temp\\Temp1_00250269_e_20210902.zip.zip\\41_e_dr\\j004.tif" \* MERGEFORMATINET</w:instrText>
      </w:r>
      <w:r w:rsidR="00231E33">
        <w:rPr>
          <w:rFonts w:eastAsiaTheme="minorEastAsia"/>
          <w:noProof/>
          <w:lang w:eastAsia="en-GB"/>
        </w:rPr>
        <w:instrText xml:space="preserve"> </w:instrText>
      </w:r>
      <w:r w:rsidR="00231E33">
        <w:rPr>
          <w:rFonts w:eastAsiaTheme="minorEastAsia"/>
          <w:noProof/>
          <w:lang w:eastAsia="en-GB"/>
        </w:rPr>
        <w:fldChar w:fldCharType="separate"/>
      </w:r>
      <w:r w:rsidR="00231E33">
        <w:rPr>
          <w:rFonts w:eastAsiaTheme="minorEastAsia"/>
          <w:noProof/>
          <w:lang w:eastAsia="en-GB"/>
        </w:rPr>
        <w:pict w14:anchorId="38423496">
          <v:shape id="_x0000_i1317" type="#_x0000_t75" style="width:237.75pt;height:64.5pt">
            <v:imagedata r:id="rId604" r:href="rId605"/>
          </v:shape>
        </w:pict>
      </w:r>
      <w:r w:rsidR="00231E33">
        <w:rPr>
          <w:rFonts w:eastAsiaTheme="minorEastAsia"/>
          <w:noProof/>
          <w:lang w:eastAsia="en-GB"/>
        </w:rPr>
        <w:fldChar w:fldCharType="end"/>
      </w:r>
      <w:r w:rsidR="000250B6">
        <w:rPr>
          <w:rFonts w:eastAsiaTheme="minorEastAsia"/>
          <w:noProof/>
          <w:lang w:eastAsia="en-GB"/>
        </w:rPr>
        <w:fldChar w:fldCharType="end"/>
      </w:r>
      <w:r w:rsidR="00B078F1">
        <w:rPr>
          <w:rFonts w:eastAsiaTheme="minorEastAsia"/>
          <w:noProof/>
          <w:lang w:eastAsia="en-GB"/>
        </w:rPr>
        <w:fldChar w:fldCharType="end"/>
      </w:r>
      <w:r w:rsidR="004B62E7">
        <w:rPr>
          <w:rFonts w:eastAsiaTheme="minorEastAsia"/>
          <w:noProof/>
          <w:lang w:eastAsia="en-GB"/>
        </w:rPr>
        <w:fldChar w:fldCharType="end"/>
      </w:r>
      <w:r w:rsidR="00C54E80">
        <w:rPr>
          <w:rFonts w:eastAsiaTheme="minorEastAsia"/>
          <w:noProof/>
          <w:lang w:eastAsia="en-GB"/>
        </w:rPr>
        <w:fldChar w:fldCharType="end"/>
      </w:r>
      <w:r w:rsidR="00FA575F">
        <w:rPr>
          <w:rFonts w:eastAsiaTheme="minorEastAsia"/>
          <w:noProof/>
          <w:lang w:eastAsia="en-GB"/>
        </w:rPr>
        <w:fldChar w:fldCharType="end"/>
      </w:r>
      <w:r>
        <w:rPr>
          <w:rFonts w:eastAsiaTheme="minorEastAsia"/>
          <w:noProof/>
          <w:lang w:eastAsia="en-GB"/>
        </w:rPr>
        <w:fldChar w:fldCharType="end"/>
      </w:r>
    </w:p>
    <w:p w14:paraId="11B91E40" w14:textId="77777777" w:rsidR="004E22C1" w:rsidRPr="001455DC" w:rsidRDefault="004E22C1" w:rsidP="00C412E5">
      <w:pPr>
        <w:pStyle w:val="Figuretitle"/>
      </w:pPr>
      <w:r w:rsidRPr="001455DC">
        <w:t>Figure J.4 — Illustration of open CFRP shear strengthening systems covered by this code</w:t>
      </w:r>
    </w:p>
    <w:p w14:paraId="05CA3945" w14:textId="38126374" w:rsidR="004E22C1" w:rsidRPr="001455DC" w:rsidRDefault="00723CF7" w:rsidP="00C412E5">
      <w:pPr>
        <w:pStyle w:val="FigureImage"/>
      </w:pPr>
      <w:r>
        <w:rPr>
          <w:noProof/>
          <w:lang w:eastAsia="en-GB"/>
        </w:rPr>
        <w:fldChar w:fldCharType="begin"/>
      </w:r>
      <w:r>
        <w:rPr>
          <w:noProof/>
          <w:lang w:eastAsia="en-GB"/>
        </w:rPr>
        <w:instrText xml:space="preserve"> INCLUDEPICTURE  "Y:\\STD_MGT\\STDDEL\\PRODUCTION\\etrans\\Download\\Z_FIRST_DEL\\SV\\00250\\00250269\\41_e_dr\\j005.tif"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"Y:\\STD_MGT\\STDDEL\\PRODUCTION\\Standards\\00250\\269\\41_e_dr\\j005.tif"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"Y:\\STD_MGT\\STDDEL\\PRODUCTION\\Standards\\00250\\269\\41_e_dr\\j005.tif"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"Y:\\STD_MGT\\STDDEL\\PRODUCTION\\Standards\\00250\\269\\41_e_dr\\j005.tif"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"Y:\\STD_MGT\\STDDEL\\PRODUCTION\\Standards\\00250\\269\\41_e_dr\\j005.tif"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"Y:\\STD_MGT\\STDDEL\\PRODUCTION\\Standards\\00250\\269\\41_e_dr\\j005.tif"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w:instrText>
      </w:r>
      <w:r w:rsidR="00231E33">
        <w:rPr>
          <w:noProof/>
          <w:lang w:eastAsia="en-GB"/>
        </w:rPr>
        <w:instrText>p1_00250269_e_20210902.zip.zip\\41_e_dr\\j005.tif"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5EE82CCA">
          <v:shape id="_x0000_i1318" type="#_x0000_t75" style="width:339pt;height:156pt">
            <v:imagedata r:id="rId606" r:href="rId607"/>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18922CF6" w14:textId="77777777" w:rsidR="00375D10" w:rsidRDefault="00B7663F" w:rsidP="00A7553E">
      <w:pPr>
        <w:pStyle w:val="a7"/>
        <w:jc w:val="left"/>
        <w:rPr>
          <w:b/>
        </w:rPr>
      </w:pPr>
      <w:r w:rsidRPr="009D3012">
        <w:rPr>
          <w:b/>
        </w:rPr>
        <w:t>Key</w:t>
      </w:r>
    </w:p>
    <w:tbl>
      <w:tblPr>
        <w:tblW w:w="0" w:type="auto"/>
        <w:tblInd w:w="-100" w:type="dxa"/>
        <w:tblCellMar>
          <w:left w:w="100" w:type="dxa"/>
        </w:tblCellMar>
        <w:tblLook w:val="0000" w:firstRow="0" w:lastRow="0" w:firstColumn="0" w:lastColumn="0" w:noHBand="0" w:noVBand="0"/>
      </w:tblPr>
      <w:tblGrid>
        <w:gridCol w:w="319"/>
        <w:gridCol w:w="3135"/>
      </w:tblGrid>
      <w:tr w:rsidR="00375D10" w:rsidRPr="00375D10" w14:paraId="7BDF220F" w14:textId="77777777" w:rsidTr="00375D10">
        <w:tc>
          <w:tcPr>
            <w:tcW w:w="0" w:type="auto"/>
            <w:shd w:val="clear" w:color="auto" w:fill="auto"/>
          </w:tcPr>
          <w:p w14:paraId="35929EC7" w14:textId="77777777" w:rsidR="00375D10" w:rsidRPr="00375D10" w:rsidRDefault="00375D10" w:rsidP="00375D10">
            <w:pPr>
              <w:pStyle w:val="KeyText"/>
              <w:tabs>
                <w:tab w:val="clear" w:pos="346"/>
              </w:tabs>
              <w:ind w:left="0" w:firstLine="0"/>
            </w:pPr>
            <w:r w:rsidRPr="00375D10">
              <w:t>1</w:t>
            </w:r>
          </w:p>
        </w:tc>
        <w:tc>
          <w:tcPr>
            <w:tcW w:w="0" w:type="auto"/>
            <w:shd w:val="clear" w:color="auto" w:fill="auto"/>
          </w:tcPr>
          <w:p w14:paraId="54E1F775" w14:textId="77777777" w:rsidR="00375D10" w:rsidRPr="00375D10" w:rsidRDefault="00375D10" w:rsidP="00375D10">
            <w:pPr>
              <w:pStyle w:val="KeyText"/>
              <w:tabs>
                <w:tab w:val="clear" w:pos="346"/>
              </w:tabs>
              <w:ind w:left="0" w:firstLine="0"/>
            </w:pPr>
            <w:r w:rsidRPr="00375D10">
              <w:t>shear crack</w:t>
            </w:r>
          </w:p>
        </w:tc>
      </w:tr>
      <w:tr w:rsidR="00375D10" w:rsidRPr="00375D10" w14:paraId="2FC82AF7" w14:textId="77777777" w:rsidTr="00375D10">
        <w:tc>
          <w:tcPr>
            <w:tcW w:w="0" w:type="auto"/>
            <w:shd w:val="clear" w:color="auto" w:fill="auto"/>
          </w:tcPr>
          <w:p w14:paraId="3A2AA27E" w14:textId="77777777" w:rsidR="00375D10" w:rsidRPr="00375D10" w:rsidRDefault="00375D10" w:rsidP="00375D10">
            <w:pPr>
              <w:pStyle w:val="KeyText"/>
              <w:tabs>
                <w:tab w:val="clear" w:pos="346"/>
              </w:tabs>
              <w:ind w:left="0" w:firstLine="0"/>
            </w:pPr>
            <w:r w:rsidRPr="00375D10">
              <w:t>a</w:t>
            </w:r>
          </w:p>
        </w:tc>
        <w:tc>
          <w:tcPr>
            <w:tcW w:w="0" w:type="auto"/>
            <w:shd w:val="clear" w:color="auto" w:fill="auto"/>
          </w:tcPr>
          <w:p w14:paraId="10A89E28" w14:textId="77777777" w:rsidR="00375D10" w:rsidRPr="00375D10" w:rsidRDefault="00375D10" w:rsidP="00375D10">
            <w:pPr>
              <w:pStyle w:val="KeyText"/>
              <w:tabs>
                <w:tab w:val="clear" w:pos="346"/>
              </w:tabs>
              <w:ind w:left="0" w:firstLine="0"/>
              <w:rPr>
                <w:rFonts w:eastAsia="Calibri" w:cs="Times New Roman"/>
                <w:bCs/>
              </w:rPr>
            </w:pPr>
            <w:r w:rsidRPr="00375D10">
              <w:t>m stirrups with</w:t>
            </w:r>
            <m:oMath>
              <m:sSub>
                <m:sSubPr>
                  <m:ctrlPr>
                    <w:rPr>
                      <w:rFonts w:ascii="Cambria Math" w:hAnsi="Cambria Math"/>
                      <w:bCs/>
                    </w:rPr>
                  </m:ctrlPr>
                </m:sSubPr>
                <m:e>
                  <m:r>
                    <w:rPr>
                      <w:rFonts w:ascii="Cambria Math" w:hAnsi="Cambria Math"/>
                    </w:rPr>
                    <m:t xml:space="preserve"> l</m:t>
                  </m:r>
                </m:e>
                <m:sub>
                  <m:r>
                    <m:rPr>
                      <m:sty m:val="p"/>
                    </m:rPr>
                    <w:rPr>
                      <w:rFonts w:ascii="Cambria Math" w:hAnsi="Cambria Math"/>
                    </w:rPr>
                    <m:t>bl</m:t>
                  </m:r>
                </m:sub>
              </m:sSub>
            </m:oMath>
            <w:r w:rsidRPr="00375D10">
              <w:rPr>
                <w:bCs/>
              </w:rPr>
              <w:t xml:space="preserve">&lt; </w:t>
            </w:r>
            <m:oMath>
              <m:sSub>
                <m:sSubPr>
                  <m:ctrlPr>
                    <w:rPr>
                      <w:rFonts w:ascii="Cambria Math" w:hAnsi="Cambria Math"/>
                      <w:bCs/>
                    </w:rPr>
                  </m:ctrlPr>
                </m:sSubPr>
                <m:e>
                  <m:r>
                    <w:rPr>
                      <w:rFonts w:ascii="Cambria Math" w:hAnsi="Cambria Math"/>
                    </w:rPr>
                    <m:t>l</m:t>
                  </m:r>
                </m:e>
                <m:sub>
                  <m:r>
                    <m:rPr>
                      <m:sty m:val="p"/>
                    </m:rPr>
                    <w:rPr>
                      <w:rFonts w:ascii="Cambria Math" w:hAnsi="Cambria Math"/>
                    </w:rPr>
                    <m:t>bl,k.max</m:t>
                  </m:r>
                </m:sub>
              </m:sSub>
            </m:oMath>
          </w:p>
        </w:tc>
      </w:tr>
      <w:tr w:rsidR="00375D10" w:rsidRPr="00375D10" w14:paraId="3BE886F1" w14:textId="77777777" w:rsidTr="00375D10">
        <w:tc>
          <w:tcPr>
            <w:tcW w:w="0" w:type="auto"/>
            <w:shd w:val="clear" w:color="auto" w:fill="auto"/>
          </w:tcPr>
          <w:p w14:paraId="2D2515AE" w14:textId="77777777" w:rsidR="00375D10" w:rsidRPr="00375D10" w:rsidRDefault="00375D10" w:rsidP="00375D10">
            <w:pPr>
              <w:pStyle w:val="KeyText"/>
              <w:tabs>
                <w:tab w:val="clear" w:pos="346"/>
              </w:tabs>
              <w:ind w:left="0" w:firstLine="0"/>
            </w:pPr>
            <w:r w:rsidRPr="00375D10">
              <w:t>b</w:t>
            </w:r>
          </w:p>
        </w:tc>
        <w:tc>
          <w:tcPr>
            <w:tcW w:w="0" w:type="auto"/>
            <w:shd w:val="clear" w:color="auto" w:fill="auto"/>
          </w:tcPr>
          <w:p w14:paraId="02BD86C9" w14:textId="77777777" w:rsidR="00375D10" w:rsidRPr="00375D10" w:rsidRDefault="00375D10" w:rsidP="00375D10">
            <w:pPr>
              <w:pStyle w:val="KeyText"/>
              <w:tabs>
                <w:tab w:val="clear" w:pos="346"/>
              </w:tabs>
              <w:ind w:left="0" w:firstLine="0"/>
              <w:rPr>
                <w:rFonts w:eastAsia="Calibri" w:cs="Times New Roman"/>
              </w:rPr>
            </w:pPr>
            <w:r w:rsidRPr="00375D10">
              <w:t>n stirrups intersecting shear crack</w:t>
            </w:r>
          </w:p>
        </w:tc>
      </w:tr>
    </w:tbl>
    <w:p w14:paraId="3A03D280" w14:textId="77777777" w:rsidR="004E22C1" w:rsidRPr="001455DC" w:rsidRDefault="004E22C1" w:rsidP="00C412E5">
      <w:pPr>
        <w:pStyle w:val="Figuretitle"/>
      </w:pPr>
      <w:r w:rsidRPr="001455DC">
        <w:t>Figure J.5 — Illustration of ABR CFRP stirrups intersecting shear crack</w:t>
      </w:r>
    </w:p>
    <w:p w14:paraId="3FAF4873" w14:textId="126AB27A" w:rsidR="004E22C1" w:rsidRPr="001455DC" w:rsidRDefault="004E22C1" w:rsidP="00243590">
      <w:pPr>
        <w:pStyle w:val="a3"/>
      </w:pPr>
      <w:bookmarkStart w:id="1911" w:name="_Toc52820271"/>
      <w:bookmarkStart w:id="1912" w:name="_Toc54337699"/>
      <w:bookmarkStart w:id="1913" w:name="_Toc54338325"/>
      <w:r w:rsidRPr="001455DC">
        <w:t>Punching</w:t>
      </w:r>
      <w:bookmarkEnd w:id="1911"/>
      <w:bookmarkEnd w:id="1912"/>
      <w:bookmarkEnd w:id="1913"/>
    </w:p>
    <w:p w14:paraId="0BE0D49E" w14:textId="7A39B1E6" w:rsidR="004E22C1" w:rsidRPr="001455DC" w:rsidRDefault="006E47F5" w:rsidP="00C412E5">
      <w:pPr>
        <w:pStyle w:val="a7"/>
        <w:rPr>
          <w:bCs/>
        </w:rPr>
      </w:pPr>
      <w:bookmarkStart w:id="1914" w:name="_Toc52820272"/>
      <w:bookmarkStart w:id="1915" w:name="_Toc54337700"/>
      <w:bookmarkStart w:id="1916" w:name="_Toc54338326"/>
      <w:r w:rsidRPr="001455DC" w:rsidDel="006E47F5">
        <w:t xml:space="preserve"> </w:t>
      </w:r>
      <w:bookmarkEnd w:id="1914"/>
      <w:bookmarkEnd w:id="1915"/>
      <w:bookmarkEnd w:id="1916"/>
      <w:r w:rsidR="004E22C1" w:rsidRPr="001455DC">
        <w:t>(1)</w:t>
      </w:r>
      <w:r w:rsidR="004E22C1" w:rsidRPr="001455DC">
        <w:tab/>
        <w:t>This Eurocode</w:t>
      </w:r>
      <w:r w:rsidR="00C412E5" w:rsidRPr="001455DC">
        <w:t xml:space="preserve"> </w:t>
      </w:r>
      <w:r w:rsidR="004E22C1" w:rsidRPr="001455DC">
        <w:t>does not apply for strengthening for punching shear with CFRP.</w:t>
      </w:r>
    </w:p>
    <w:p w14:paraId="5C087C04" w14:textId="366266D5" w:rsidR="004E22C1" w:rsidRPr="009D3012" w:rsidRDefault="004E22C1" w:rsidP="00243590">
      <w:pPr>
        <w:pStyle w:val="a3"/>
      </w:pPr>
      <w:bookmarkStart w:id="1917" w:name="_Toc52820273"/>
      <w:bookmarkStart w:id="1918" w:name="_Toc54337701"/>
      <w:bookmarkStart w:id="1919" w:name="_Toc54338327"/>
      <w:r w:rsidRPr="009D3012">
        <w:t>Design with strut-and-tie models and stress fields</w:t>
      </w:r>
      <w:bookmarkEnd w:id="1917"/>
      <w:bookmarkEnd w:id="1918"/>
      <w:bookmarkEnd w:id="1919"/>
    </w:p>
    <w:p w14:paraId="4C8A93E6" w14:textId="77777777" w:rsidR="004E22C1" w:rsidRPr="001455DC" w:rsidRDefault="004E22C1" w:rsidP="00C412E5">
      <w:pPr>
        <w:pStyle w:val="a7"/>
      </w:pPr>
      <w:r w:rsidRPr="001455DC">
        <w:t>(1)</w:t>
      </w:r>
      <w:r w:rsidRPr="001455DC">
        <w:tab/>
        <w:t xml:space="preserve">ABR CFRP systems may be used as tension reinforcing in ties according to the provisions of 8.5 </w:t>
      </w:r>
      <w:bookmarkStart w:id="1920" w:name="_Hlk39838341"/>
      <w:r w:rsidRPr="001455DC">
        <w:t>and J.11 subject to strain compatibility being demonstrated.</w:t>
      </w:r>
      <w:bookmarkEnd w:id="1920"/>
    </w:p>
    <w:p w14:paraId="7B58AE5A" w14:textId="780FCABF" w:rsidR="004E22C1" w:rsidRPr="001455DC" w:rsidRDefault="004E22C1" w:rsidP="00082680">
      <w:pPr>
        <w:pStyle w:val="a2"/>
      </w:pPr>
      <w:bookmarkStart w:id="1921" w:name="_Toc52820275"/>
      <w:bookmarkStart w:id="1922" w:name="_Toc54337192"/>
      <w:bookmarkStart w:id="1923" w:name="_Toc54337703"/>
      <w:bookmarkStart w:id="1924" w:name="_Toc54338329"/>
      <w:bookmarkStart w:id="1925" w:name="_Toc67565592"/>
      <w:r w:rsidRPr="001455DC">
        <w:t>Serviceability limit stateS (SLS)</w:t>
      </w:r>
      <w:bookmarkEnd w:id="1921"/>
      <w:bookmarkEnd w:id="1922"/>
      <w:bookmarkEnd w:id="1923"/>
      <w:bookmarkEnd w:id="1924"/>
      <w:bookmarkEnd w:id="1925"/>
    </w:p>
    <w:p w14:paraId="021F77D4" w14:textId="640DB45C" w:rsidR="004E22C1" w:rsidRPr="001455DC" w:rsidRDefault="009F527F" w:rsidP="00C412E5">
      <w:pPr>
        <w:pStyle w:val="a7"/>
      </w:pPr>
      <w:bookmarkStart w:id="1926" w:name="_Toc52820276"/>
      <w:bookmarkStart w:id="1927" w:name="_Toc54337704"/>
      <w:bookmarkStart w:id="1928" w:name="_Toc54338330"/>
      <w:r w:rsidRPr="001455DC" w:rsidDel="009F527F">
        <w:t xml:space="preserve"> </w:t>
      </w:r>
      <w:bookmarkEnd w:id="1926"/>
      <w:bookmarkEnd w:id="1927"/>
      <w:bookmarkEnd w:id="1928"/>
      <w:r w:rsidR="004E22C1" w:rsidRPr="001455DC">
        <w:t>(1)</w:t>
      </w:r>
      <w:r w:rsidR="004E22C1" w:rsidRPr="001455DC">
        <w:tab/>
      </w:r>
      <w:bookmarkStart w:id="1929" w:name="_Hlk39838396"/>
      <w:r w:rsidR="004E22C1" w:rsidRPr="001455DC">
        <w:t xml:space="preserve">Deflections of beams or slabs strengthened with CFRP may be estimated by ignoring the slip between the CFRP and concrete and transforming the area of CFRP to steel by taking account of the modular ratio. Pre-existing deflections shall be considered by using the appropriate provisions of </w:t>
      </w:r>
      <w:r w:rsidR="00DF00C7">
        <w:t>pr</w:t>
      </w:r>
      <w:r w:rsidR="004E22C1" w:rsidRPr="001455DC">
        <w:t>EN 1990.</w:t>
      </w:r>
      <w:bookmarkEnd w:id="1929"/>
    </w:p>
    <w:p w14:paraId="0C44C268" w14:textId="4782A09C" w:rsidR="004E22C1" w:rsidRPr="001455DC" w:rsidRDefault="004E22C1" w:rsidP="00082680">
      <w:pPr>
        <w:pStyle w:val="a2"/>
      </w:pPr>
      <w:bookmarkStart w:id="1930" w:name="_Toc52820277"/>
      <w:bookmarkStart w:id="1931" w:name="_Toc54337193"/>
      <w:bookmarkStart w:id="1932" w:name="_Toc54337705"/>
      <w:bookmarkStart w:id="1933" w:name="_Toc54338331"/>
      <w:bookmarkStart w:id="1934" w:name="_Toc67565593"/>
      <w:r w:rsidRPr="001455DC">
        <w:t>Fatigue</w:t>
      </w:r>
      <w:bookmarkEnd w:id="1930"/>
      <w:bookmarkEnd w:id="1931"/>
      <w:bookmarkEnd w:id="1932"/>
      <w:bookmarkEnd w:id="1933"/>
      <w:bookmarkEnd w:id="1934"/>
    </w:p>
    <w:p w14:paraId="44E2C0B6" w14:textId="7958679F" w:rsidR="004E22C1" w:rsidRPr="001455DC" w:rsidRDefault="004E22C1" w:rsidP="00243590">
      <w:pPr>
        <w:pStyle w:val="a3"/>
      </w:pPr>
      <w:bookmarkStart w:id="1935" w:name="_Toc52820278"/>
      <w:bookmarkStart w:id="1936" w:name="_Toc54337706"/>
      <w:bookmarkStart w:id="1937" w:name="_Toc54338332"/>
      <w:r w:rsidRPr="001455DC">
        <w:t>Basic fatigue analysis for externally bonded CFRP systems</w:t>
      </w:r>
      <w:bookmarkEnd w:id="1935"/>
      <w:bookmarkEnd w:id="1936"/>
      <w:bookmarkEnd w:id="1937"/>
    </w:p>
    <w:p w14:paraId="672E54A4" w14:textId="77777777" w:rsidR="00C412E5" w:rsidRPr="001455DC" w:rsidRDefault="004E22C1" w:rsidP="00DE6BBC">
      <w:pPr>
        <w:pStyle w:val="a7"/>
        <w:keepNext/>
      </w:pPr>
      <w:r w:rsidRPr="001455DC">
        <w:t>(1)</w:t>
      </w:r>
      <w:r w:rsidRPr="001455DC">
        <w:tab/>
        <w:t>A fatigue check for externally bonded CFRP systems may be omitted where the following condition is satisfied:</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C412E5" w:rsidRPr="001455DC" w14:paraId="458CACAD" w14:textId="77777777" w:rsidTr="00C412E5">
        <w:trPr>
          <w:cantSplit/>
        </w:trPr>
        <w:tc>
          <w:tcPr>
            <w:tcW w:w="8505" w:type="dxa"/>
            <w:vAlign w:val="center"/>
          </w:tcPr>
          <w:p w14:paraId="7772062B" w14:textId="4F8C2EA1" w:rsidR="00C412E5" w:rsidRPr="001455DC" w:rsidRDefault="00231E33">
            <w:pPr>
              <w:pStyle w:val="Formula"/>
              <w:jc w:val="left"/>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fE,equ</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fRd,fat1</m:t>
                    </m:r>
                  </m:sub>
                </m:sSub>
                <m:r>
                  <w:rPr>
                    <w:rFonts w:ascii="Cambria Math" w:hAnsi="Cambria Math"/>
                  </w:rPr>
                  <m:t>=0,25∙</m:t>
                </m:r>
                <m:sSup>
                  <m:sSupPr>
                    <m:ctrlPr>
                      <w:rPr>
                        <w:rFonts w:ascii="Cambria Math" w:hAnsi="Cambria Math"/>
                      </w:rPr>
                    </m:ctrlPr>
                  </m:sSupPr>
                  <m:e>
                    <m:sSub>
                      <m:sSubPr>
                        <m:ctrlPr>
                          <w:rPr>
                            <w:rFonts w:ascii="Cambria Math" w:hAnsi="Cambria Math"/>
                          </w:rPr>
                        </m:ctrlPr>
                      </m:sSubPr>
                      <m:e>
                        <m:r>
                          <w:rPr>
                            <w:rFonts w:ascii="Cambria Math" w:hAnsi="Cambria Math"/>
                          </w:rPr>
                          <m:t>f</m:t>
                        </m:r>
                      </m:e>
                      <m:sub>
                        <m:r>
                          <m:rPr>
                            <m:sty m:val="p"/>
                          </m:rPr>
                          <w:rPr>
                            <w:rFonts w:ascii="Cambria Math" w:hAnsi="Cambria Math"/>
                          </w:rPr>
                          <m:t>ctm,surf</m:t>
                        </m:r>
                      </m:sub>
                    </m:sSub>
                  </m:e>
                  <m:sup>
                    <m:r>
                      <w:rPr>
                        <w:rFonts w:ascii="Cambria Math" w:hAnsi="Cambria Math"/>
                      </w:rPr>
                      <m:t>1/4</m:t>
                    </m:r>
                  </m:sup>
                </m:sSup>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bfRd</m:t>
                    </m:r>
                  </m:sub>
                </m:sSub>
                <m: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f</m:t>
                    </m:r>
                  </m:sub>
                </m:sSub>
              </m:oMath>
            </m:oMathPara>
          </w:p>
        </w:tc>
        <w:tc>
          <w:tcPr>
            <w:tcW w:w="1247" w:type="dxa"/>
            <w:vAlign w:val="center"/>
          </w:tcPr>
          <w:p w14:paraId="6C63A3B8" w14:textId="21BC54EB" w:rsidR="00C412E5" w:rsidRPr="001455DC" w:rsidRDefault="00C412E5" w:rsidP="00C412E5">
            <w:pPr>
              <w:pStyle w:val="a7"/>
              <w:jc w:val="right"/>
            </w:pPr>
            <w:r w:rsidRPr="001455DC">
              <w:t>(J.19)</w:t>
            </w:r>
          </w:p>
        </w:tc>
      </w:tr>
    </w:tbl>
    <w:p w14:paraId="49001466" w14:textId="77777777" w:rsidR="00C412E5" w:rsidRPr="001455DC" w:rsidRDefault="00C412E5"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1134"/>
        <w:gridCol w:w="7031"/>
        <w:gridCol w:w="1247"/>
      </w:tblGrid>
      <w:tr w:rsidR="00C412E5" w:rsidRPr="001455DC" w14:paraId="203CF6D1" w14:textId="77777777" w:rsidTr="00C412E5">
        <w:trPr>
          <w:cantSplit/>
        </w:trPr>
        <w:tc>
          <w:tcPr>
            <w:tcW w:w="1134" w:type="dxa"/>
          </w:tcPr>
          <w:p w14:paraId="231B6360" w14:textId="30EC074A" w:rsidR="00C412E5" w:rsidRPr="001455DC" w:rsidRDefault="00231E33" w:rsidP="0000442A">
            <w:pPr>
              <w:pStyle w:val="Tablebody"/>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F</m:t>
                    </m:r>
                  </m:e>
                  <m:sub>
                    <m:r>
                      <m:rPr>
                        <m:sty m:val="p"/>
                      </m:rPr>
                      <w:rPr>
                        <w:rFonts w:ascii="Cambria Math" w:hAnsi="Cambria Math"/>
                      </w:rPr>
                      <m:t>fRd,fat1</m:t>
                    </m:r>
                  </m:sub>
                </m:sSub>
              </m:oMath>
            </m:oMathPara>
          </w:p>
        </w:tc>
        <w:tc>
          <w:tcPr>
            <w:tcW w:w="8278" w:type="dxa"/>
            <w:gridSpan w:val="2"/>
          </w:tcPr>
          <w:p w14:paraId="6CC016F0" w14:textId="6A8DB9B0" w:rsidR="00C412E5" w:rsidRPr="001455DC" w:rsidRDefault="00C412E5" w:rsidP="00BB1209">
            <w:pPr>
              <w:pStyle w:val="Tablebody"/>
            </w:pPr>
            <w:r w:rsidRPr="001455DC">
              <w:t>is the basic fatigue resistance;</w:t>
            </w:r>
          </w:p>
        </w:tc>
      </w:tr>
      <w:tr w:rsidR="00C412E5" w:rsidRPr="001455DC" w14:paraId="23B6EE30" w14:textId="77777777" w:rsidTr="00C412E5">
        <w:trPr>
          <w:cantSplit/>
        </w:trPr>
        <w:tc>
          <w:tcPr>
            <w:tcW w:w="1134" w:type="dxa"/>
          </w:tcPr>
          <w:p w14:paraId="5DD56CB1" w14:textId="19617A14" w:rsidR="00C412E5" w:rsidRPr="001455DC" w:rsidRDefault="00231E33" w:rsidP="0000442A">
            <w:pPr>
              <w:pStyle w:val="Tablebody"/>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fRd</m:t>
                    </m:r>
                  </m:sub>
                </m:sSub>
              </m:oMath>
            </m:oMathPara>
          </w:p>
        </w:tc>
        <w:tc>
          <w:tcPr>
            <w:tcW w:w="8278" w:type="dxa"/>
            <w:gridSpan w:val="2"/>
          </w:tcPr>
          <w:p w14:paraId="5FB7A80D" w14:textId="61597803" w:rsidR="00C412E5" w:rsidRPr="001455DC" w:rsidRDefault="00C412E5" w:rsidP="0000442A">
            <w:pPr>
              <w:pStyle w:val="Tablebody"/>
            </w:pPr>
            <w:r w:rsidRPr="001455DC">
              <w:t>is the limiting design strength of the bond in the area being considered calculated in accordance with J.11;</w:t>
            </w:r>
          </w:p>
        </w:tc>
      </w:tr>
      <w:tr w:rsidR="00C412E5" w:rsidRPr="001455DC" w14:paraId="397307C2" w14:textId="77777777" w:rsidTr="00C412E5">
        <w:trPr>
          <w:cantSplit/>
        </w:trPr>
        <w:tc>
          <w:tcPr>
            <w:tcW w:w="1134" w:type="dxa"/>
          </w:tcPr>
          <w:p w14:paraId="3BDC7DC1" w14:textId="73F4DB5A" w:rsidR="00C412E5" w:rsidRPr="001455DC" w:rsidRDefault="00231E33" w:rsidP="00D86695">
            <w:pPr>
              <w:pStyle w:val="Tablebody"/>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ctm,surf</m:t>
                    </m:r>
                  </m:sub>
                </m:sSub>
              </m:oMath>
            </m:oMathPara>
          </w:p>
        </w:tc>
        <w:tc>
          <w:tcPr>
            <w:tcW w:w="8278" w:type="dxa"/>
            <w:gridSpan w:val="2"/>
          </w:tcPr>
          <w:p w14:paraId="14D1388C" w14:textId="2CFC12ED" w:rsidR="00C412E5" w:rsidRPr="001455DC" w:rsidRDefault="00C412E5" w:rsidP="00D86695">
            <w:pPr>
              <w:pStyle w:val="Tablebody"/>
            </w:pPr>
            <w:r w:rsidRPr="001455DC">
              <w:rPr>
                <w:rFonts w:eastAsiaTheme="minorEastAsia"/>
              </w:rPr>
              <w:t>is defined by Formula (J.36)</w:t>
            </w:r>
            <w:r w:rsidRPr="001455DC">
              <w:t>;</w:t>
            </w:r>
          </w:p>
        </w:tc>
      </w:tr>
      <w:tr w:rsidR="00C412E5" w:rsidRPr="001455DC" w14:paraId="36990AFB" w14:textId="77777777" w:rsidTr="00C412E5">
        <w:trPr>
          <w:cantSplit/>
        </w:trPr>
        <w:tc>
          <w:tcPr>
            <w:tcW w:w="8165" w:type="dxa"/>
            <w:gridSpan w:val="2"/>
            <w:vAlign w:val="center"/>
          </w:tcPr>
          <w:p w14:paraId="017B35BC" w14:textId="41C65E11" w:rsidR="00C412E5" w:rsidRPr="001455DC" w:rsidRDefault="00231E33" w:rsidP="00C412E5">
            <w:pPr>
              <w:pStyle w:val="Tablebody"/>
              <w:jc w:val="left"/>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fE,equ</m:t>
                    </m:r>
                  </m:sub>
                </m:sSub>
                <m:r>
                  <w:rPr>
                    <w:rFonts w:ascii="Cambria Math" w:hAnsi="Cambria Math"/>
                  </w:rPr>
                  <m:t>=</m:t>
                </m:r>
                <m:r>
                  <m:rPr>
                    <m:sty m:val="p"/>
                  </m:rPr>
                  <w:rPr>
                    <w:rFonts w:ascii="Cambria Math" w:hAnsi="Cambria Math"/>
                  </w:rPr>
                  <m:t>max</m:t>
                </m:r>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b</m:t>
                        </m:r>
                      </m:e>
                      <m:sub>
                        <m:r>
                          <m:rPr>
                            <m:sty m:val="p"/>
                          </m:rP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f</m:t>
                        </m:r>
                      </m:sub>
                    </m:sSub>
                    <m:r>
                      <w:rPr>
                        <w:rFonts w:ascii="Cambria Math" w:hAnsi="Cambria Math"/>
                      </w:rPr>
                      <m:t>∙∆</m:t>
                    </m:r>
                    <m:sSub>
                      <m:sSubPr>
                        <m:ctrlPr>
                          <w:rPr>
                            <w:rFonts w:ascii="Cambria Math" w:hAnsi="Cambria Math"/>
                            <w:iCs/>
                          </w:rPr>
                        </m:ctrlPr>
                      </m:sSubPr>
                      <m:e>
                        <m:r>
                          <w:rPr>
                            <w:rFonts w:ascii="Cambria Math" w:hAnsi="Cambria Math"/>
                          </w:rPr>
                          <m:t>f</m:t>
                        </m:r>
                      </m:e>
                      <m:sub>
                        <m:r>
                          <m:rPr>
                            <m:sty m:val="p"/>
                          </m:rPr>
                          <w:rPr>
                            <w:rFonts w:ascii="Cambria Math" w:hAnsi="Cambria Math"/>
                          </w:rPr>
                          <m:t>fEd,max</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fEd,cr</m:t>
                        </m:r>
                      </m:sub>
                    </m:sSub>
                  </m:e>
                </m:d>
              </m:oMath>
            </m:oMathPara>
          </w:p>
        </w:tc>
        <w:tc>
          <w:tcPr>
            <w:tcW w:w="1247" w:type="dxa"/>
            <w:vAlign w:val="center"/>
          </w:tcPr>
          <w:p w14:paraId="6EC92B8F" w14:textId="7FB6AA63" w:rsidR="00C412E5" w:rsidRPr="001455DC" w:rsidRDefault="00C412E5" w:rsidP="00C412E5">
            <w:pPr>
              <w:pStyle w:val="Tablebody"/>
              <w:jc w:val="right"/>
            </w:pPr>
            <w:r w:rsidRPr="001455DC">
              <w:rPr>
                <w:rFonts w:eastAsiaTheme="minorEastAsia"/>
              </w:rPr>
              <w:t>(J.20)</w:t>
            </w:r>
          </w:p>
        </w:tc>
      </w:tr>
      <w:tr w:rsidR="00C412E5" w:rsidRPr="001455DC" w14:paraId="1026360B" w14:textId="77777777" w:rsidTr="00C412E5">
        <w:trPr>
          <w:cantSplit/>
        </w:trPr>
        <w:tc>
          <w:tcPr>
            <w:tcW w:w="1134" w:type="dxa"/>
          </w:tcPr>
          <w:p w14:paraId="20B33379" w14:textId="222DEB1D" w:rsidR="00C412E5" w:rsidRPr="001455DC" w:rsidRDefault="00C412E5" w:rsidP="00D86695">
            <w:pPr>
              <w:pStyle w:val="Tablebody"/>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fEd,max</m:t>
                    </m:r>
                  </m:sub>
                </m:sSub>
              </m:oMath>
            </m:oMathPara>
          </w:p>
        </w:tc>
        <w:tc>
          <w:tcPr>
            <w:tcW w:w="8278" w:type="dxa"/>
            <w:gridSpan w:val="2"/>
          </w:tcPr>
          <w:p w14:paraId="15CA6235" w14:textId="2BA5319A" w:rsidR="00C412E5" w:rsidRPr="001455DC" w:rsidRDefault="00C412E5" w:rsidP="00D86695">
            <w:pPr>
              <w:pStyle w:val="Tablebody"/>
            </w:pPr>
            <w:r w:rsidRPr="001455DC">
              <w:rPr>
                <w:rFonts w:eastAsiaTheme="minorEastAsia"/>
              </w:rPr>
              <w:t>is the maximum difference in CFRP stress under the relevant load</w:t>
            </w:r>
            <w:r w:rsidRPr="001455DC">
              <w:rPr>
                <w:rFonts w:eastAsiaTheme="minorEastAsia"/>
              </w:rPr>
              <w:tab/>
              <w:t>combination between cracks (refer to Figure J.5) within the</w:t>
            </w:r>
            <w:r w:rsidRPr="001455DC">
              <w:t xml:space="preserve"> </w:t>
            </w:r>
            <w:r w:rsidRPr="001455DC">
              <w:rPr>
                <w:rFonts w:eastAsiaTheme="minorEastAsia"/>
              </w:rPr>
              <w:t xml:space="preserve">strengthened area. </w:t>
            </w:r>
            <m:oMath>
              <m:sSub>
                <m:sSubPr>
                  <m:ctrlPr>
                    <w:rPr>
                      <w:rFonts w:ascii="Cambria Math" w:hAnsi="Cambria Math"/>
                    </w:rPr>
                  </m:ctrlPr>
                </m:sSubPr>
                <m:e>
                  <m:r>
                    <w:rPr>
                      <w:rFonts w:ascii="Cambria Math" w:hAnsi="Cambria Math"/>
                    </w:rPr>
                    <m:t>F</m:t>
                  </m:r>
                </m:e>
                <m:sub>
                  <m:r>
                    <m:rPr>
                      <m:sty m:val="p"/>
                    </m:rPr>
                    <w:rPr>
                      <w:rFonts w:ascii="Cambria Math" w:hAnsi="Cambria Math"/>
                    </w:rPr>
                    <m:t>fEd,cr</m:t>
                  </m:r>
                </m:sub>
              </m:sSub>
            </m:oMath>
            <w:r w:rsidRPr="001455DC">
              <w:rPr>
                <w:rFonts w:eastAsiaTheme="minorEastAsia"/>
              </w:rPr>
              <w:t xml:space="preserve"> is the </w:t>
            </w:r>
            <w:r w:rsidRPr="001455DC">
              <w:t>force in CFRP at first crack in the strengthened area.</w:t>
            </w:r>
          </w:p>
        </w:tc>
      </w:tr>
    </w:tbl>
    <w:p w14:paraId="646E1A4D" w14:textId="4FE5B7AB" w:rsidR="004E22C1" w:rsidRPr="001455DC" w:rsidRDefault="004E22C1" w:rsidP="00243590">
      <w:pPr>
        <w:pStyle w:val="a3"/>
      </w:pPr>
      <w:bookmarkStart w:id="1938" w:name="_Toc52820279"/>
      <w:bookmarkStart w:id="1939" w:name="_Toc54337707"/>
      <w:bookmarkStart w:id="1940" w:name="_Toc54338333"/>
      <w:r w:rsidRPr="001455DC">
        <w:t>Refined fatigue analysis for externally bonded CFRP systems</w:t>
      </w:r>
      <w:bookmarkEnd w:id="1938"/>
      <w:bookmarkEnd w:id="1939"/>
      <w:bookmarkEnd w:id="1940"/>
    </w:p>
    <w:p w14:paraId="6D43553D" w14:textId="4B69FD19" w:rsidR="00C412E5" w:rsidRPr="001455DC" w:rsidRDefault="004E22C1" w:rsidP="00DE6BBC">
      <w:pPr>
        <w:pStyle w:val="a7"/>
        <w:keepNext/>
      </w:pPr>
      <w:r w:rsidRPr="001455DC">
        <w:t>(1)</w:t>
      </w:r>
      <w:r w:rsidRPr="001455DC">
        <w:tab/>
        <w:t xml:space="preserve">If the condition in Formula (J.19) cannot be satisfied, the following condition shall be assessed under the frequent combination stated in </w:t>
      </w:r>
      <w:r w:rsidR="001710FF" w:rsidRPr="001455DC">
        <w:t>Clause </w:t>
      </w:r>
      <w:r w:rsidRPr="001455DC">
        <w:t>10 according to:</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C412E5" w:rsidRPr="001455DC" w14:paraId="703AD9BB" w14:textId="77777777" w:rsidTr="00C412E5">
        <w:trPr>
          <w:cantSplit/>
        </w:trPr>
        <w:tc>
          <w:tcPr>
            <w:tcW w:w="8505" w:type="dxa"/>
            <w:vAlign w:val="center"/>
          </w:tcPr>
          <w:p w14:paraId="4B2A0403" w14:textId="3D9B569C" w:rsidR="00C412E5" w:rsidRPr="001455DC" w:rsidRDefault="00231E33" w:rsidP="00C412E5">
            <w:pPr>
              <w:pStyle w:val="Formula"/>
              <w:jc w:val="left"/>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fEd,fat</m:t>
                    </m:r>
                  </m:sub>
                </m:sSub>
                <m:r>
                  <w:rPr>
                    <w:rFonts w:ascii="Cambria Math" w:hAnsi="Cambria Math"/>
                  </w:rPr>
                  <m:t> ≤ </m:t>
                </m:r>
                <m:sSub>
                  <m:sSubPr>
                    <m:ctrlPr>
                      <w:rPr>
                        <w:rFonts w:ascii="Cambria Math" w:hAnsi="Cambria Math"/>
                      </w:rPr>
                    </m:ctrlPr>
                  </m:sSubPr>
                  <m:e>
                    <m:r>
                      <w:rPr>
                        <w:rFonts w:ascii="Cambria Math" w:hAnsi="Cambria Math"/>
                      </w:rPr>
                      <m:t>∆F</m:t>
                    </m:r>
                  </m:e>
                  <m:sub>
                    <m:r>
                      <m:rPr>
                        <m:sty m:val="p"/>
                      </m:rPr>
                      <w:rPr>
                        <w:rFonts w:ascii="Cambria Math" w:hAnsi="Cambria Math"/>
                      </w:rPr>
                      <m:t>fRd,fat2</m:t>
                    </m:r>
                  </m:sub>
                </m:sSub>
                <m:r>
                  <w:rPr>
                    <w:rFonts w:ascii="Cambria Math" w:hAnsi="Cambria Math"/>
                  </w:rPr>
                  <m:t xml:space="preserve">= </m:t>
                </m:r>
                <m:sSub>
                  <m:sSubPr>
                    <m:ctrlPr>
                      <w:rPr>
                        <w:rFonts w:ascii="Cambria Math" w:hAnsi="Cambria Math"/>
                      </w:rPr>
                    </m:ctrlPr>
                  </m:sSubPr>
                  <m:e>
                    <m:r>
                      <w:rPr>
                        <w:rFonts w:ascii="Cambria Math" w:hAnsi="Cambria Math"/>
                      </w:rPr>
                      <m:t>α</m:t>
                    </m:r>
                  </m:e>
                  <m:sub>
                    <m:r>
                      <m:rPr>
                        <m:sty m:val="p"/>
                      </m:rPr>
                      <w:rPr>
                        <w:rFonts w:ascii="Cambria Math" w:hAnsi="Cambria Math"/>
                      </w:rPr>
                      <m:t>fat2</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fk,B</m:t>
                        </m:r>
                      </m:sub>
                    </m:sSub>
                  </m:num>
                  <m:den>
                    <m:sSub>
                      <m:sSubPr>
                        <m:ctrlPr>
                          <w:rPr>
                            <w:rFonts w:ascii="Cambria Math" w:hAnsi="Cambria Math"/>
                          </w:rPr>
                        </m:ctrlPr>
                      </m:sSubPr>
                      <m:e>
                        <m:r>
                          <w:rPr>
                            <w:rFonts w:ascii="Cambria Math" w:hAnsi="Cambria Math"/>
                          </w:rPr>
                          <m:t>γ</m:t>
                        </m:r>
                      </m:e>
                      <m:sub>
                        <m:r>
                          <m:rPr>
                            <m:sty m:val="p"/>
                          </m:rPr>
                          <w:rPr>
                            <w:rFonts w:ascii="Cambria Math" w:hAnsi="Cambria Math"/>
                          </w:rPr>
                          <m:t>BA</m:t>
                        </m:r>
                      </m:sub>
                    </m:sSub>
                  </m:den>
                </m:f>
              </m:oMath>
            </m:oMathPara>
          </w:p>
        </w:tc>
        <w:tc>
          <w:tcPr>
            <w:tcW w:w="1247" w:type="dxa"/>
            <w:vAlign w:val="center"/>
          </w:tcPr>
          <w:p w14:paraId="25E8D4DD" w14:textId="5CBE7B12" w:rsidR="00C412E5" w:rsidRPr="001455DC" w:rsidRDefault="00C412E5" w:rsidP="00C412E5">
            <w:pPr>
              <w:pStyle w:val="a7"/>
              <w:jc w:val="right"/>
            </w:pPr>
            <w:r w:rsidRPr="001455DC">
              <w:t>(J.21)</w:t>
            </w:r>
          </w:p>
        </w:tc>
      </w:tr>
    </w:tbl>
    <w:p w14:paraId="2949148A" w14:textId="77777777" w:rsidR="00C412E5" w:rsidRPr="001455DC" w:rsidRDefault="00C412E5"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1134"/>
        <w:gridCol w:w="8278"/>
      </w:tblGrid>
      <w:tr w:rsidR="00C412E5" w:rsidRPr="001455DC" w14:paraId="5B9D36F7" w14:textId="77777777" w:rsidTr="00C412E5">
        <w:trPr>
          <w:cantSplit/>
        </w:trPr>
        <w:tc>
          <w:tcPr>
            <w:tcW w:w="1134" w:type="dxa"/>
          </w:tcPr>
          <w:bookmarkStart w:id="1941" w:name="_Hlk40888376"/>
          <w:p w14:paraId="73A5BF3B" w14:textId="7DEED566" w:rsidR="00C412E5" w:rsidRPr="001455DC" w:rsidRDefault="00231E33" w:rsidP="00C412E5">
            <w:pPr>
              <w:pStyle w:val="Tablebody"/>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fEd,fat</m:t>
                    </m:r>
                  </m:sub>
                </m:sSub>
              </m:oMath>
            </m:oMathPara>
            <w:bookmarkEnd w:id="1941"/>
          </w:p>
        </w:tc>
        <w:tc>
          <w:tcPr>
            <w:tcW w:w="8278" w:type="dxa"/>
          </w:tcPr>
          <w:p w14:paraId="38A6371D" w14:textId="1300E3B7" w:rsidR="00C412E5" w:rsidRPr="001455DC" w:rsidRDefault="00C412E5" w:rsidP="00C412E5">
            <w:pPr>
              <w:pStyle w:val="Tablebody"/>
            </w:pPr>
            <w:r w:rsidRPr="001455DC">
              <w:t xml:space="preserve">is the </w:t>
            </w:r>
            <w:bookmarkStart w:id="1942" w:name="_Hlk40888395"/>
            <w:r w:rsidRPr="001455DC">
              <w:t>design force range due to forces at the crack edge</w:t>
            </w:r>
            <w:bookmarkEnd w:id="1942"/>
            <w:r w:rsidRPr="001455DC">
              <w:t xml:space="preserve">, </w:t>
            </w:r>
            <m:oMath>
              <m:sSub>
                <m:sSubPr>
                  <m:ctrlPr>
                    <w:rPr>
                      <w:rFonts w:ascii="Cambria Math" w:hAnsi="Cambria Math"/>
                    </w:rPr>
                  </m:ctrlPr>
                </m:sSubPr>
                <m:e>
                  <m:r>
                    <w:rPr>
                      <w:rFonts w:ascii="Cambria Math" w:hAnsi="Cambria Math"/>
                    </w:rPr>
                    <m:t>∆F</m:t>
                  </m:r>
                </m:e>
                <m:sub>
                  <m:r>
                    <m:rPr>
                      <m:sty m:val="p"/>
                    </m:rPr>
                    <w:rPr>
                      <w:rFonts w:ascii="Cambria Math" w:hAnsi="Cambria Math"/>
                    </w:rPr>
                    <m:t>f,max</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f,min</m:t>
                  </m:r>
                </m:sub>
              </m:sSub>
            </m:oMath>
            <w:r w:rsidRPr="001455DC">
              <w:t>, and;</w:t>
            </w:r>
          </w:p>
        </w:tc>
      </w:tr>
      <w:tr w:rsidR="00C412E5" w:rsidRPr="001455DC" w14:paraId="047B4FF4" w14:textId="77777777" w:rsidTr="00C412E5">
        <w:trPr>
          <w:cantSplit/>
        </w:trPr>
        <w:tc>
          <w:tcPr>
            <w:tcW w:w="1134" w:type="dxa"/>
          </w:tcPr>
          <w:p w14:paraId="76FA25F3" w14:textId="09A2B226" w:rsidR="00C412E5" w:rsidRPr="001455DC" w:rsidRDefault="00231E33" w:rsidP="00C412E5">
            <w:pPr>
              <w:pStyle w:val="Tablebody"/>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f,min</m:t>
                    </m:r>
                  </m:sub>
                </m:sSub>
              </m:oMath>
            </m:oMathPara>
          </w:p>
        </w:tc>
        <w:tc>
          <w:tcPr>
            <w:tcW w:w="8278" w:type="dxa"/>
          </w:tcPr>
          <w:p w14:paraId="758EDB2D" w14:textId="4F00C78C" w:rsidR="00C412E5" w:rsidRPr="001455DC" w:rsidRDefault="00C412E5" w:rsidP="00C412E5">
            <w:pPr>
              <w:pStyle w:val="Tablebody"/>
            </w:pPr>
            <w:r w:rsidRPr="001455DC">
              <w:rPr>
                <w:rFonts w:eastAsiaTheme="minorEastAsia"/>
              </w:rPr>
              <w:t xml:space="preserve">is the minimum value of </w:t>
            </w:r>
            <w:bookmarkStart w:id="1943" w:name="_Hlk39839547"/>
            <m:oMath>
              <m:sSub>
                <m:sSubPr>
                  <m:ctrlPr>
                    <w:rPr>
                      <w:rFonts w:ascii="Cambria Math" w:hAnsi="Cambria Math"/>
                    </w:rPr>
                  </m:ctrlPr>
                </m:sSubPr>
                <m:e>
                  <m:r>
                    <w:rPr>
                      <w:rFonts w:ascii="Cambria Math" w:hAnsi="Cambria Math"/>
                    </w:rPr>
                    <m:t>b</m:t>
                  </m:r>
                </m:e>
                <m:sub>
                  <m:r>
                    <m:rPr>
                      <m:sty m:val="p"/>
                    </m:rPr>
                    <w:rPr>
                      <w:rFonts w:ascii="Cambria Math" w:hAnsi="Cambria Math"/>
                    </w:rPr>
                    <m:t>f</m:t>
                  </m:r>
                </m:sub>
              </m:sSub>
              <m:sSub>
                <m:sSubPr>
                  <m:ctrlPr>
                    <w:rPr>
                      <w:rFonts w:ascii="Cambria Math" w:hAnsi="Cambria Math"/>
                    </w:rPr>
                  </m:ctrlPr>
                </m:sSubPr>
                <m:e>
                  <m:r>
                    <w:rPr>
                      <w:rFonts w:ascii="Cambria Math" w:hAnsi="Cambria Math"/>
                    </w:rPr>
                    <m:t>∙t</m:t>
                  </m:r>
                </m:e>
                <m:sub>
                  <m:r>
                    <m:rPr>
                      <m:sty m:val="p"/>
                    </m:rPr>
                    <w:rPr>
                      <w:rFonts w:ascii="Cambria Math" w:hAnsi="Cambria Math"/>
                    </w:rPr>
                    <m:t>f</m:t>
                  </m:r>
                </m:sub>
              </m:sSub>
              <m:sSub>
                <m:sSubPr>
                  <m:ctrlPr>
                    <w:rPr>
                      <w:rFonts w:ascii="Cambria Math" w:hAnsi="Cambria Math"/>
                    </w:rPr>
                  </m:ctrlPr>
                </m:sSubPr>
                <m:e>
                  <m:r>
                    <w:rPr>
                      <w:rFonts w:ascii="Cambria Math" w:hAnsi="Cambria Math"/>
                    </w:rPr>
                    <m:t>∙∆f</m:t>
                  </m:r>
                </m:e>
                <m:sub>
                  <m:r>
                    <m:rPr>
                      <m:sty m:val="p"/>
                    </m:rPr>
                    <w:rPr>
                      <w:rFonts w:ascii="Cambria Math" w:hAnsi="Cambria Math"/>
                    </w:rPr>
                    <m:t>fEd</m:t>
                  </m:r>
                </m:sub>
              </m:sSub>
            </m:oMath>
            <w:bookmarkEnd w:id="1943"/>
            <w:r w:rsidRPr="001455DC">
              <w:rPr>
                <w:rFonts w:eastAsiaTheme="minorEastAsia"/>
              </w:rPr>
              <w:t xml:space="preserve"> under the relevant fatigue load combination specified in 10.2;</w:t>
            </w:r>
          </w:p>
        </w:tc>
      </w:tr>
      <w:tr w:rsidR="00C412E5" w:rsidRPr="001455DC" w14:paraId="038634CC" w14:textId="77777777" w:rsidTr="00C412E5">
        <w:trPr>
          <w:cantSplit/>
        </w:trPr>
        <w:tc>
          <w:tcPr>
            <w:tcW w:w="1134" w:type="dxa"/>
          </w:tcPr>
          <w:p w14:paraId="424C8433" w14:textId="187AC98E" w:rsidR="00C412E5" w:rsidRPr="001455DC" w:rsidRDefault="00231E33" w:rsidP="00C412E5">
            <w:pPr>
              <w:pStyle w:val="Tablebody"/>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f,max</m:t>
                    </m:r>
                  </m:sub>
                </m:sSub>
              </m:oMath>
            </m:oMathPara>
          </w:p>
        </w:tc>
        <w:tc>
          <w:tcPr>
            <w:tcW w:w="8278" w:type="dxa"/>
          </w:tcPr>
          <w:p w14:paraId="0C7870A6" w14:textId="6EB412C8" w:rsidR="00C412E5" w:rsidRPr="001455DC" w:rsidRDefault="00C412E5" w:rsidP="00C412E5">
            <w:pPr>
              <w:pStyle w:val="Tablebody"/>
            </w:pPr>
            <w:r w:rsidRPr="001455DC">
              <w:rPr>
                <w:rFonts w:eastAsiaTheme="minorEastAsia"/>
              </w:rPr>
              <w:t xml:space="preserve">is the maximum value of </w:t>
            </w:r>
            <m:oMath>
              <m:sSub>
                <m:sSubPr>
                  <m:ctrlPr>
                    <w:rPr>
                      <w:rFonts w:ascii="Cambria Math" w:hAnsi="Cambria Math"/>
                    </w:rPr>
                  </m:ctrlPr>
                </m:sSubPr>
                <m:e>
                  <m:r>
                    <w:rPr>
                      <w:rFonts w:ascii="Cambria Math" w:hAnsi="Cambria Math"/>
                    </w:rPr>
                    <m:t>b</m:t>
                  </m:r>
                </m:e>
                <m:sub>
                  <m:r>
                    <m:rPr>
                      <m:sty m:val="p"/>
                    </m:rPr>
                    <w:rPr>
                      <w:rFonts w:ascii="Cambria Math" w:hAnsi="Cambria Math"/>
                    </w:rPr>
                    <m:t>f</m:t>
                  </m:r>
                </m:sub>
              </m:sSub>
              <m:sSub>
                <m:sSubPr>
                  <m:ctrlPr>
                    <w:rPr>
                      <w:rFonts w:ascii="Cambria Math" w:hAnsi="Cambria Math"/>
                    </w:rPr>
                  </m:ctrlPr>
                </m:sSubPr>
                <m:e>
                  <m:r>
                    <w:rPr>
                      <w:rFonts w:ascii="Cambria Math" w:hAnsi="Cambria Math"/>
                    </w:rPr>
                    <m:t>∙t</m:t>
                  </m:r>
                </m:e>
                <m:sub>
                  <m:r>
                    <m:rPr>
                      <m:sty m:val="p"/>
                    </m:rPr>
                    <w:rPr>
                      <w:rFonts w:ascii="Cambria Math" w:hAnsi="Cambria Math"/>
                    </w:rPr>
                    <m:t>f</m:t>
                  </m:r>
                </m:sub>
              </m:sSub>
              <m:sSub>
                <m:sSubPr>
                  <m:ctrlPr>
                    <w:rPr>
                      <w:rFonts w:ascii="Cambria Math" w:hAnsi="Cambria Math"/>
                    </w:rPr>
                  </m:ctrlPr>
                </m:sSubPr>
                <m:e>
                  <m:r>
                    <w:rPr>
                      <w:rFonts w:ascii="Cambria Math" w:hAnsi="Cambria Math"/>
                    </w:rPr>
                    <m:t>∙∆f</m:t>
                  </m:r>
                </m:e>
                <m:sub>
                  <m:r>
                    <m:rPr>
                      <m:sty m:val="p"/>
                    </m:rPr>
                    <w:rPr>
                      <w:rFonts w:ascii="Cambria Math" w:hAnsi="Cambria Math"/>
                    </w:rPr>
                    <m:t>fEd</m:t>
                  </m:r>
                </m:sub>
              </m:sSub>
            </m:oMath>
            <w:r w:rsidRPr="001455DC">
              <w:rPr>
                <w:rFonts w:eastAsiaTheme="minorEastAsia"/>
              </w:rPr>
              <w:t xml:space="preserve"> under the relevant fatigue load combination specified in 10.2.</w:t>
            </w:r>
          </w:p>
        </w:tc>
      </w:tr>
    </w:tbl>
    <w:p w14:paraId="5E18CAF3" w14:textId="3AC40B84" w:rsidR="00C412E5" w:rsidRPr="001455DC" w:rsidRDefault="004E22C1" w:rsidP="00C412E5">
      <w:pPr>
        <w:pStyle w:val="a7"/>
      </w:pPr>
      <w:r w:rsidRPr="001455DC">
        <w:t xml:space="preserve">The difference in CFRP tension stress between cracks </w:t>
      </w:r>
      <m:oMath>
        <m:r>
          <m:rPr>
            <m:sty m:val="p"/>
          </m:rPr>
          <w:rPr>
            <w:rFonts w:ascii="Cambria Math" w:hAnsi="Cambria Math"/>
          </w:rPr>
          <m:t>∆</m:t>
        </m:r>
        <m:sSub>
          <m:sSubPr>
            <m:ctrlPr>
              <w:rPr>
                <w:rFonts w:ascii="Cambria Math" w:hAnsi="Cambria Math"/>
                <w:i/>
                <w:iCs/>
              </w:rPr>
            </m:ctrlPr>
          </m:sSubPr>
          <m:e>
            <m:r>
              <w:rPr>
                <w:rFonts w:ascii="Cambria Math" w:hAnsi="Cambria Math"/>
              </w:rPr>
              <m:t>f</m:t>
            </m:r>
          </m:e>
          <m:sub>
            <m:r>
              <w:rPr>
                <w:rFonts w:ascii="Cambria Math" w:hAnsi="Cambria Math"/>
              </w:rPr>
              <m:t>fEd</m:t>
            </m:r>
          </m:sub>
        </m:sSub>
      </m:oMath>
      <w:r w:rsidRPr="001455DC">
        <w:t xml:space="preserve"> calculated according to Formula (J.22) is defined in Figure J.</w:t>
      </w:r>
      <w:r w:rsidR="00776B0F" w:rsidRPr="001455DC">
        <w:t>6</w:t>
      </w:r>
      <w:r w:rsidRPr="001455DC">
        <w:t>.</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C412E5" w:rsidRPr="001455DC" w14:paraId="2ED27560" w14:textId="77777777" w:rsidTr="00C412E5">
        <w:trPr>
          <w:cantSplit/>
        </w:trPr>
        <w:tc>
          <w:tcPr>
            <w:tcW w:w="8505" w:type="dxa"/>
            <w:vAlign w:val="center"/>
          </w:tcPr>
          <w:p w14:paraId="782EBCD1" w14:textId="76F67844" w:rsidR="00C412E5" w:rsidRPr="001455DC" w:rsidRDefault="00A87840" w:rsidP="00C412E5">
            <w:pPr>
              <w:pStyle w:val="Formula"/>
              <w:jc w:val="left"/>
            </w:pPr>
            <w:bookmarkStart w:id="1944" w:name="_Hlk40888344"/>
            <m:oMathPara>
              <m:oMathParaPr>
                <m:jc m:val="left"/>
              </m:oMathParaPr>
              <m:oMath>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fEd</m:t>
                    </m:r>
                  </m:sub>
                </m:sSub>
                <w:bookmarkEnd w:id="1944"/>
                <m: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fEd,b</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fEd,a</m:t>
                        </m:r>
                      </m:sub>
                    </m:sSub>
                  </m:num>
                  <m:den>
                    <m:sSub>
                      <m:sSubPr>
                        <m:ctrlPr>
                          <w:rPr>
                            <w:rFonts w:ascii="Cambria Math" w:hAnsi="Cambria Math"/>
                          </w:rPr>
                        </m:ctrlPr>
                      </m:sSubPr>
                      <m:e>
                        <m:r>
                          <w:rPr>
                            <w:rFonts w:ascii="Cambria Math" w:hAnsi="Cambria Math"/>
                          </w:rPr>
                          <m:t>b</m:t>
                        </m:r>
                      </m:e>
                      <m:sub>
                        <m:r>
                          <m:rPr>
                            <m:sty m:val="p"/>
                          </m:rP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f</m:t>
                        </m:r>
                      </m:sub>
                    </m:sSub>
                  </m:den>
                </m:f>
              </m:oMath>
            </m:oMathPara>
          </w:p>
        </w:tc>
        <w:tc>
          <w:tcPr>
            <w:tcW w:w="1247" w:type="dxa"/>
            <w:vAlign w:val="center"/>
          </w:tcPr>
          <w:p w14:paraId="340E9763" w14:textId="705E86DA" w:rsidR="00C412E5" w:rsidRPr="001455DC" w:rsidRDefault="00A87840" w:rsidP="00C412E5">
            <w:pPr>
              <w:pStyle w:val="a7"/>
              <w:jc w:val="right"/>
            </w:pPr>
            <w:r w:rsidRPr="001455DC">
              <w:t>(J.22)</w:t>
            </w:r>
          </w:p>
        </w:tc>
      </w:tr>
    </w:tbl>
    <w:p w14:paraId="4E7419BD" w14:textId="4D78E108" w:rsidR="004E22C1" w:rsidRPr="001455DC" w:rsidRDefault="004E22C1"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1134"/>
        <w:gridCol w:w="7031"/>
        <w:gridCol w:w="1247"/>
      </w:tblGrid>
      <w:tr w:rsidR="00755269" w:rsidRPr="001455DC" w14:paraId="5329F360" w14:textId="77777777" w:rsidTr="00A57FDC">
        <w:trPr>
          <w:cantSplit/>
        </w:trPr>
        <w:tc>
          <w:tcPr>
            <w:tcW w:w="9412" w:type="dxa"/>
            <w:gridSpan w:val="3"/>
          </w:tcPr>
          <w:p w14:paraId="796C84A7" w14:textId="6D652FB7" w:rsidR="00755269" w:rsidRPr="001455DC" w:rsidRDefault="00231E33" w:rsidP="00A57FDC">
            <w:pPr>
              <w:pStyle w:val="Tablebody"/>
            </w:pP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F</m:t>
                      </m:r>
                    </m:e>
                    <m:sub>
                      <m:r>
                        <m:rPr>
                          <m:sty m:val="p"/>
                        </m:rPr>
                        <w:rPr>
                          <w:rFonts w:ascii="Cambria Math" w:hAnsi="Cambria Math"/>
                        </w:rPr>
                        <m:t>fk,B</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f</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f</m:t>
                      </m:r>
                    </m:sub>
                  </m:sSub>
                  <m:r>
                    <m:rPr>
                      <m:sty m:val="p"/>
                    </m:rPr>
                    <w:rPr>
                      <w:rFonts w:ascii="Cambria Math" w:hAnsi="Cambria Math"/>
                    </w:rPr>
                    <m:t>∙∆</m:t>
                  </m:r>
                  <m:r>
                    <w:rPr>
                      <w:rFonts w:ascii="Cambria Math" w:hAnsi="Cambria Math"/>
                    </w:rPr>
                    <m:t>f</m:t>
                  </m:r>
                </m:e>
                <m:sub>
                  <m:r>
                    <m:rPr>
                      <m:sty m:val="p"/>
                    </m:rPr>
                    <w:rPr>
                      <w:rFonts w:ascii="Cambria Math" w:hAnsi="Cambria Math"/>
                    </w:rPr>
                    <m:t>fk,B</m:t>
                  </m:r>
                </m:sub>
              </m:sSub>
            </m:oMath>
            <w:r w:rsidR="00755269" w:rsidRPr="001455DC">
              <w:t xml:space="preserve"> and </w:t>
            </w:r>
            <m:oMath>
              <m:sSub>
                <m:sSubPr>
                  <m:ctrlPr>
                    <w:rPr>
                      <w:rFonts w:ascii="Cambria Math" w:hAnsi="Cambria Math"/>
                    </w:rPr>
                  </m:ctrlPr>
                </m:sSubPr>
                <m:e>
                  <m:r>
                    <m:rPr>
                      <m:sty m:val="p"/>
                    </m:rPr>
                    <w:rPr>
                      <w:rFonts w:ascii="Cambria Math" w:hAnsi="Cambria Math"/>
                    </w:rPr>
                    <m:t>∆</m:t>
                  </m:r>
                  <m:r>
                    <w:rPr>
                      <w:rFonts w:ascii="Cambria Math" w:hAnsi="Cambria Math"/>
                    </w:rPr>
                    <m:t>f</m:t>
                  </m:r>
                </m:e>
                <m:sub>
                  <m:r>
                    <m:rPr>
                      <m:sty m:val="p"/>
                    </m:rPr>
                    <w:rPr>
                      <w:rFonts w:ascii="Cambria Math" w:hAnsi="Cambria Math"/>
                    </w:rPr>
                    <m:t>fk,B</m:t>
                  </m:r>
                </m:sub>
              </m:sSub>
            </m:oMath>
            <w:r w:rsidR="00755269" w:rsidRPr="001455DC">
              <w:t xml:space="preserve"> is calculated according to Formula (J.39);</w:t>
            </w:r>
          </w:p>
        </w:tc>
      </w:tr>
      <w:tr w:rsidR="00755269" w:rsidRPr="001455DC" w14:paraId="20416F92" w14:textId="77777777" w:rsidTr="00A57FDC">
        <w:trPr>
          <w:cantSplit/>
        </w:trPr>
        <w:tc>
          <w:tcPr>
            <w:tcW w:w="8165" w:type="dxa"/>
            <w:gridSpan w:val="2"/>
            <w:vAlign w:val="center"/>
          </w:tcPr>
          <w:p w14:paraId="0B6A9BB2" w14:textId="615A455F" w:rsidR="00755269" w:rsidRPr="001455DC" w:rsidRDefault="00231E33" w:rsidP="00A57FDC">
            <w:pPr>
              <w:pStyle w:val="Tablebody"/>
              <w:jc w:val="left"/>
            </w:pPr>
            <m:oMathPara>
              <m:oMathParaPr>
                <m:jc m:val="left"/>
              </m:oMathParaPr>
              <m:oMath>
                <m:sSub>
                  <m:sSubPr>
                    <m:ctrlPr>
                      <w:rPr>
                        <w:rFonts w:ascii="Cambria Math" w:hAnsi="Cambria Math"/>
                      </w:rPr>
                    </m:ctrlPr>
                  </m:sSubPr>
                  <m:e>
                    <m:r>
                      <w:rPr>
                        <w:rFonts w:ascii="Cambria Math" w:hAnsi="Cambria Math"/>
                      </w:rPr>
                      <m:t>α</m:t>
                    </m:r>
                  </m:e>
                  <m:sub>
                    <m:r>
                      <m:rPr>
                        <m:sty m:val="p"/>
                      </m:rPr>
                      <w:rPr>
                        <w:rFonts w:ascii="Cambria Math" w:hAnsi="Cambria Math"/>
                      </w:rPr>
                      <m:t>fat2</m:t>
                    </m:r>
                  </m:sub>
                </m:sSub>
                <m: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fat</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f,max</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fRd</m:t>
                        </m:r>
                      </m:sub>
                    </m:sSub>
                  </m:den>
                </m:f>
                <m: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fat</m:t>
                    </m:r>
                  </m:sub>
                </m:sSub>
              </m:oMath>
            </m:oMathPara>
          </w:p>
        </w:tc>
        <w:tc>
          <w:tcPr>
            <w:tcW w:w="1247" w:type="dxa"/>
            <w:vAlign w:val="center"/>
          </w:tcPr>
          <w:p w14:paraId="13E3ABC5" w14:textId="237ACCCF" w:rsidR="00755269" w:rsidRPr="001455DC" w:rsidRDefault="00755269" w:rsidP="00A57FDC">
            <w:pPr>
              <w:pStyle w:val="Tablebody"/>
              <w:jc w:val="right"/>
            </w:pPr>
            <w:r w:rsidRPr="001455DC">
              <w:t>(J.23)</w:t>
            </w:r>
          </w:p>
        </w:tc>
      </w:tr>
      <w:tr w:rsidR="00755269" w:rsidRPr="001455DC" w14:paraId="24E7EB7C" w14:textId="77777777" w:rsidTr="00A57FDC">
        <w:trPr>
          <w:cantSplit/>
        </w:trPr>
        <w:tc>
          <w:tcPr>
            <w:tcW w:w="1134" w:type="dxa"/>
          </w:tcPr>
          <w:p w14:paraId="09620710" w14:textId="462E5DB7" w:rsidR="00755269" w:rsidRPr="001455DC" w:rsidRDefault="00231E33" w:rsidP="00A57FDC">
            <w:pPr>
              <w:pStyle w:val="Tablebody"/>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F</m:t>
                    </m:r>
                  </m:e>
                  <m:sub>
                    <m:r>
                      <m:rPr>
                        <m:sty m:val="p"/>
                      </m:rPr>
                      <w:rPr>
                        <w:rFonts w:ascii="Cambria Math" w:hAnsi="Cambria Math"/>
                      </w:rPr>
                      <m:t>f,max</m:t>
                    </m:r>
                  </m:sub>
                </m:sSub>
              </m:oMath>
            </m:oMathPara>
          </w:p>
        </w:tc>
        <w:tc>
          <w:tcPr>
            <w:tcW w:w="8278" w:type="dxa"/>
            <w:gridSpan w:val="2"/>
          </w:tcPr>
          <w:p w14:paraId="10B5AE2F" w14:textId="4B29F2FA" w:rsidR="00755269" w:rsidRPr="001455DC" w:rsidRDefault="00755269" w:rsidP="00A57FDC">
            <w:pPr>
              <w:pStyle w:val="Tablebody"/>
            </w:pPr>
            <w:r w:rsidRPr="001455DC">
              <w:t xml:space="preserve">is the maximum value of </w:t>
            </w:r>
            <m:oMath>
              <m:sSub>
                <m:sSubPr>
                  <m:ctrlPr>
                    <w:rPr>
                      <w:rFonts w:ascii="Cambria Math" w:hAnsi="Cambria Math"/>
                    </w:rPr>
                  </m:ctrlPr>
                </m:sSubPr>
                <m:e>
                  <m:r>
                    <m:rPr>
                      <m:sty m:val="p"/>
                    </m:rPr>
                    <w:rPr>
                      <w:rFonts w:ascii="Cambria Math" w:hAnsi="Cambria Math"/>
                    </w:rPr>
                    <m:t>∆</m:t>
                  </m:r>
                  <m:r>
                    <w:rPr>
                      <w:rFonts w:ascii="Cambria Math" w:hAnsi="Cambria Math"/>
                    </w:rPr>
                    <m:t>F</m:t>
                  </m:r>
                </m:e>
                <m:sub>
                  <m:r>
                    <m:rPr>
                      <m:sty m:val="p"/>
                    </m:rPr>
                    <w:rPr>
                      <w:rFonts w:ascii="Cambria Math" w:hAnsi="Cambria Math"/>
                    </w:rPr>
                    <m:t>f</m:t>
                  </m:r>
                </m:sub>
              </m:sSub>
            </m:oMath>
            <w:r w:rsidRPr="001455DC">
              <w:t xml:space="preserve"> under the fatigue load combination according to 10.2;</w:t>
            </w:r>
          </w:p>
        </w:tc>
      </w:tr>
      <w:tr w:rsidR="00755269" w:rsidRPr="001455DC" w14:paraId="09C63BF3" w14:textId="77777777" w:rsidTr="00A57FDC">
        <w:trPr>
          <w:cantSplit/>
        </w:trPr>
        <w:tc>
          <w:tcPr>
            <w:tcW w:w="8165" w:type="dxa"/>
            <w:gridSpan w:val="2"/>
            <w:vAlign w:val="center"/>
          </w:tcPr>
          <w:p w14:paraId="73015290" w14:textId="17371989" w:rsidR="00755269" w:rsidRPr="001455DC" w:rsidRDefault="00231E33" w:rsidP="00A57FDC">
            <w:pPr>
              <w:pStyle w:val="Tablebody"/>
              <w:jc w:val="left"/>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fat</m:t>
                    </m:r>
                  </m:sub>
                </m:sSub>
                <m:r>
                  <w:rPr>
                    <w:rFonts w:ascii="Cambria Math" w:hAnsi="Cambria Math"/>
                  </w:rPr>
                  <m:t>=0,35∙</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N</m:t>
                                </m:r>
                              </m:e>
                              <m:sup>
                                <m:r>
                                  <w:rPr>
                                    <w:rFonts w:ascii="Cambria Math" w:hAnsi="Cambria Math"/>
                                  </w:rPr>
                                  <m:t>*</m:t>
                                </m:r>
                              </m:sup>
                            </m:sSup>
                          </m:num>
                          <m:den>
                            <m:r>
                              <w:rPr>
                                <w:rFonts w:ascii="Cambria Math" w:hAnsi="Cambria Math"/>
                              </w:rPr>
                              <m:t>2∙</m:t>
                            </m:r>
                            <m:sSup>
                              <m:sSupPr>
                                <m:ctrlPr>
                                  <w:rPr>
                                    <w:rFonts w:ascii="Cambria Math" w:hAnsi="Cambria Math"/>
                                  </w:rPr>
                                </m:ctrlPr>
                              </m:sSupPr>
                              <m:e>
                                <m:r>
                                  <w:rPr>
                                    <w:rFonts w:ascii="Cambria Math" w:hAnsi="Cambria Math"/>
                                  </w:rPr>
                                  <m:t>10</m:t>
                                </m:r>
                              </m:e>
                              <m:sup>
                                <m:r>
                                  <w:rPr>
                                    <w:rFonts w:ascii="Cambria Math" w:hAnsi="Cambria Math"/>
                                  </w:rPr>
                                  <m:t>6</m:t>
                                </m:r>
                              </m:sup>
                            </m:sSup>
                          </m:den>
                        </m:f>
                      </m:e>
                    </m:d>
                  </m:e>
                  <m:sup>
                    <m:r>
                      <w:rPr>
                        <w:rFonts w:ascii="Cambria Math" w:hAnsi="Cambria Math"/>
                      </w:rPr>
                      <m:t xml:space="preserve">- </m:t>
                    </m:r>
                    <m:f>
                      <m:fPr>
                        <m:ctrlPr>
                          <w:rPr>
                            <w:rFonts w:ascii="Cambria Math" w:hAnsi="Cambria Math"/>
                            <w:iCs/>
                          </w:rPr>
                        </m:ctrlPr>
                      </m:fPr>
                      <m:num>
                        <m:r>
                          <w:rPr>
                            <w:rFonts w:ascii="Cambria Math" w:hAnsi="Cambria Math"/>
                          </w:rPr>
                          <m:t>1</m:t>
                        </m:r>
                      </m:num>
                      <m:den>
                        <m:sSub>
                          <m:sSubPr>
                            <m:ctrlPr>
                              <w:rPr>
                                <w:rFonts w:ascii="Cambria Math" w:hAnsi="Cambria Math"/>
                              </w:rPr>
                            </m:ctrlPr>
                          </m:sSubPr>
                          <m:e>
                            <m:r>
                              <w:rPr>
                                <w:rFonts w:ascii="Cambria Math" w:hAnsi="Cambria Math"/>
                              </w:rPr>
                              <m:t>k</m:t>
                            </m:r>
                          </m:e>
                          <m:sub>
                            <m:r>
                              <m:rPr>
                                <m:sty m:val="p"/>
                              </m:rPr>
                              <w:rPr>
                                <w:rFonts w:ascii="Cambria Math" w:hAnsi="Cambria Math"/>
                              </w:rPr>
                              <m:t>f3</m:t>
                            </m:r>
                          </m:sub>
                        </m:sSub>
                      </m:den>
                    </m:f>
                  </m:sup>
                </m:sSup>
              </m:oMath>
            </m:oMathPara>
          </w:p>
        </w:tc>
        <w:tc>
          <w:tcPr>
            <w:tcW w:w="1247" w:type="dxa"/>
            <w:vAlign w:val="center"/>
          </w:tcPr>
          <w:p w14:paraId="14C94E1C" w14:textId="7E505E02" w:rsidR="00755269" w:rsidRPr="001455DC" w:rsidRDefault="00755269" w:rsidP="00A57FDC">
            <w:pPr>
              <w:pStyle w:val="Tablebody"/>
              <w:jc w:val="right"/>
            </w:pPr>
            <w:r w:rsidRPr="001455DC">
              <w:t>(J.24)</w:t>
            </w:r>
          </w:p>
        </w:tc>
      </w:tr>
      <w:tr w:rsidR="00755269" w:rsidRPr="001455DC" w14:paraId="64A956A7" w14:textId="77777777" w:rsidTr="00A57FDC">
        <w:trPr>
          <w:cantSplit/>
        </w:trPr>
        <w:tc>
          <w:tcPr>
            <w:tcW w:w="1134" w:type="dxa"/>
          </w:tcPr>
          <w:p w14:paraId="14F6A076" w14:textId="1048B546" w:rsidR="00755269" w:rsidRPr="001455DC" w:rsidRDefault="00231E33" w:rsidP="00A57FDC">
            <w:pPr>
              <w:pStyle w:val="Tablebody"/>
            </w:pPr>
            <m:oMathPara>
              <m:oMathParaPr>
                <m:jc m:val="left"/>
              </m:oMathParaPr>
              <m:oMath>
                <m:sSup>
                  <m:sSupPr>
                    <m:ctrlPr>
                      <w:rPr>
                        <w:rFonts w:ascii="Cambria Math" w:hAnsi="Cambria Math"/>
                      </w:rPr>
                    </m:ctrlPr>
                  </m:sSupPr>
                  <m:e>
                    <m:r>
                      <w:rPr>
                        <w:rFonts w:ascii="Cambria Math" w:hAnsi="Cambria Math"/>
                      </w:rPr>
                      <m:t>N</m:t>
                    </m:r>
                  </m:e>
                  <m:sup>
                    <m:r>
                      <m:rPr>
                        <m:sty m:val="p"/>
                      </m:rPr>
                      <w:rPr>
                        <w:rFonts w:ascii="Cambria Math" w:hAnsi="Cambria Math"/>
                      </w:rPr>
                      <m:t>*</m:t>
                    </m:r>
                  </m:sup>
                </m:sSup>
              </m:oMath>
            </m:oMathPara>
          </w:p>
        </w:tc>
        <w:tc>
          <w:tcPr>
            <w:tcW w:w="8278" w:type="dxa"/>
            <w:gridSpan w:val="2"/>
          </w:tcPr>
          <w:p w14:paraId="547697C6" w14:textId="054AAFF2" w:rsidR="00755269" w:rsidRPr="001455DC" w:rsidRDefault="00755269" w:rsidP="00A57FDC">
            <w:pPr>
              <w:pStyle w:val="Tablebody"/>
            </w:pPr>
            <w:r w:rsidRPr="001455DC">
              <w:t>the number of stress cycles;</w:t>
            </w:r>
          </w:p>
        </w:tc>
      </w:tr>
      <w:tr w:rsidR="00755269" w:rsidRPr="001455DC" w14:paraId="4E8FCCBF" w14:textId="77777777" w:rsidTr="00A57FDC">
        <w:trPr>
          <w:cantSplit/>
        </w:trPr>
        <w:tc>
          <w:tcPr>
            <w:tcW w:w="1134" w:type="dxa"/>
          </w:tcPr>
          <w:p w14:paraId="3F3231FF" w14:textId="5A6032A6" w:rsidR="00755269" w:rsidRPr="001455DC" w:rsidRDefault="00231E33" w:rsidP="00A57FDC">
            <w:pPr>
              <w:pStyle w:val="Tablebody"/>
            </w:pPr>
            <m:oMathPara>
              <m:oMathParaPr>
                <m:jc m:val="left"/>
              </m:oMathParaPr>
              <m:oMath>
                <m:sSub>
                  <m:sSubPr>
                    <m:ctrlPr>
                      <w:rPr>
                        <w:rFonts w:ascii="Cambria Math" w:hAnsi="Cambria Math"/>
                        <w:i/>
                        <w:iCs/>
                      </w:rPr>
                    </m:ctrlPr>
                  </m:sSubPr>
                  <m:e>
                    <m:r>
                      <w:rPr>
                        <w:rFonts w:ascii="Cambria Math" w:hAnsi="Cambria Math"/>
                      </w:rPr>
                      <m:t>k</m:t>
                    </m:r>
                  </m:e>
                  <m:sub>
                    <m:r>
                      <m:rPr>
                        <m:sty m:val="p"/>
                      </m:rPr>
                      <w:rPr>
                        <w:rFonts w:ascii="Cambria Math" w:hAnsi="Cambria Math"/>
                      </w:rPr>
                      <m:t>f3</m:t>
                    </m:r>
                  </m:sub>
                </m:sSub>
                <m:r>
                  <m:rPr>
                    <m:sty m:val="p"/>
                  </m:rPr>
                  <w:rPr>
                    <w:rFonts w:ascii="Cambria Math" w:hAnsi="Cambria Math"/>
                  </w:rPr>
                  <m:t>=23,2</m:t>
                </m:r>
              </m:oMath>
            </m:oMathPara>
          </w:p>
        </w:tc>
        <w:tc>
          <w:tcPr>
            <w:tcW w:w="8278" w:type="dxa"/>
            <w:gridSpan w:val="2"/>
          </w:tcPr>
          <w:p w14:paraId="03B4EA5E" w14:textId="2D882530" w:rsidR="00755269" w:rsidRPr="001455DC" w:rsidRDefault="00755269" w:rsidP="00A57FDC">
            <w:pPr>
              <w:pStyle w:val="Tablebody"/>
            </w:pPr>
            <w:r w:rsidRPr="001455DC">
              <w:t xml:space="preserve">for </w:t>
            </w:r>
            <m:oMath>
              <m:sSup>
                <m:sSupPr>
                  <m:ctrlPr>
                    <w:rPr>
                      <w:rFonts w:ascii="Cambria Math" w:hAnsi="Cambria Math"/>
                    </w:rPr>
                  </m:ctrlPr>
                </m:sSupPr>
                <m:e>
                  <m:r>
                    <w:rPr>
                      <w:rFonts w:ascii="Cambria Math" w:hAnsi="Cambria Math"/>
                    </w:rPr>
                    <m:t>N</m:t>
                  </m:r>
                </m:e>
                <m:sup>
                  <m:r>
                    <m:rPr>
                      <m:sty m:val="p"/>
                    </m:rPr>
                    <w:rPr>
                      <w:rFonts w:ascii="Cambria Math" w:hAnsi="Cambria Math"/>
                    </w:rPr>
                    <m:t>*</m:t>
                  </m:r>
                </m:sup>
              </m:sSup>
              <m:r>
                <m:rPr>
                  <m:sty m:val="p"/>
                </m:rPr>
                <w:rPr>
                  <w:rFonts w:ascii="Cambria Math" w:hAnsi="Cambria Math"/>
                </w:rPr>
                <m:t>&lt;2∙</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oMath>
            <w:r w:rsidRPr="001455DC">
              <w:t>;</w:t>
            </w:r>
          </w:p>
        </w:tc>
      </w:tr>
      <w:tr w:rsidR="00755269" w:rsidRPr="001455DC" w14:paraId="5821E141" w14:textId="77777777" w:rsidTr="00A57FDC">
        <w:trPr>
          <w:cantSplit/>
        </w:trPr>
        <w:tc>
          <w:tcPr>
            <w:tcW w:w="1134" w:type="dxa"/>
          </w:tcPr>
          <w:p w14:paraId="73E99169" w14:textId="478C0A47" w:rsidR="00755269" w:rsidRPr="001455DC" w:rsidRDefault="00231E33" w:rsidP="00A57FDC">
            <w:pPr>
              <w:pStyle w:val="Tablebody"/>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rPr>
                      <m:t>f3</m:t>
                    </m:r>
                  </m:sub>
                </m:sSub>
                <m:r>
                  <m:rPr>
                    <m:sty m:val="p"/>
                  </m:rPr>
                  <w:rPr>
                    <w:rFonts w:ascii="Cambria Math" w:hAnsi="Cambria Math"/>
                  </w:rPr>
                  <m:t>=45,4</m:t>
                </m:r>
              </m:oMath>
            </m:oMathPara>
          </w:p>
        </w:tc>
        <w:tc>
          <w:tcPr>
            <w:tcW w:w="8278" w:type="dxa"/>
            <w:gridSpan w:val="2"/>
          </w:tcPr>
          <w:p w14:paraId="627C5DA8" w14:textId="47F58FF3" w:rsidR="00755269" w:rsidRPr="001455DC" w:rsidRDefault="00755269" w:rsidP="00A57FDC">
            <w:pPr>
              <w:pStyle w:val="Tablebody"/>
            </w:pPr>
            <w:r w:rsidRPr="001455DC">
              <w:t xml:space="preserve">for </w:t>
            </w:r>
            <m:oMath>
              <m:sSup>
                <m:sSupPr>
                  <m:ctrlPr>
                    <w:rPr>
                      <w:rFonts w:ascii="Cambria Math" w:hAnsi="Cambria Math"/>
                    </w:rPr>
                  </m:ctrlPr>
                </m:sSupPr>
                <m:e>
                  <m:r>
                    <w:rPr>
                      <w:rFonts w:ascii="Cambria Math" w:hAnsi="Cambria Math"/>
                    </w:rPr>
                    <m:t>N</m:t>
                  </m:r>
                </m:e>
                <m:sup>
                  <m:r>
                    <m:rPr>
                      <m:sty m:val="p"/>
                    </m:rPr>
                    <w:rPr>
                      <w:rFonts w:ascii="Cambria Math" w:hAnsi="Cambria Math"/>
                    </w:rPr>
                    <m:t>*</m:t>
                  </m:r>
                </m:sup>
              </m:sSup>
              <m:r>
                <m:rPr>
                  <m:sty m:val="p"/>
                </m:rPr>
                <w:rPr>
                  <w:rFonts w:ascii="Cambria Math" w:hAnsi="Cambria Math"/>
                </w:rPr>
                <m:t>≥2∙</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oMath>
            <w:r w:rsidRPr="001455DC">
              <w:t>.</w:t>
            </w:r>
          </w:p>
        </w:tc>
      </w:tr>
    </w:tbl>
    <w:p w14:paraId="5534F1EF" w14:textId="0DFA8C1E" w:rsidR="00C412E5" w:rsidRPr="001455DC" w:rsidRDefault="00C412E5" w:rsidP="00243590">
      <w:pPr>
        <w:pStyle w:val="a3"/>
      </w:pPr>
      <w:bookmarkStart w:id="1945" w:name="_Toc54337708"/>
      <w:bookmarkStart w:id="1946" w:name="_Toc54338334"/>
      <w:bookmarkStart w:id="1947" w:name="_Toc52820280"/>
      <w:r w:rsidRPr="001455DC">
        <w:t>Near surface mounted CFRP strips</w:t>
      </w:r>
      <w:bookmarkEnd w:id="1945"/>
      <w:bookmarkEnd w:id="1946"/>
    </w:p>
    <w:bookmarkEnd w:id="1947"/>
    <w:p w14:paraId="32095B92" w14:textId="4D1125D4" w:rsidR="004E22C1" w:rsidRPr="001455DC" w:rsidRDefault="004E22C1" w:rsidP="00DE6BBC">
      <w:pPr>
        <w:pStyle w:val="a7"/>
        <w:keepNext/>
      </w:pPr>
      <w:r w:rsidRPr="001455DC">
        <w:t>(1)</w:t>
      </w:r>
      <w:r w:rsidRPr="001455DC">
        <w:tab/>
        <w:t xml:space="preserve">Near surface mounted strips that satisfy the following conditions under the frequent combination stated in </w:t>
      </w:r>
      <w:r w:rsidR="001710FF" w:rsidRPr="001455DC">
        <w:t>Clause </w:t>
      </w:r>
      <w:r w:rsidRPr="001455DC">
        <w:t>10 may be deemed adequate in fatigue.</w:t>
      </w:r>
    </w:p>
    <w:p w14:paraId="2C0AC2FC" w14:textId="5FDE011C" w:rsidR="004E22C1" w:rsidRPr="001455DC" w:rsidRDefault="004E22C1" w:rsidP="00A87840">
      <w:pPr>
        <w:pStyle w:val="a7"/>
        <w:ind w:left="357" w:hanging="357"/>
      </w:pPr>
      <w:r w:rsidRPr="001455DC">
        <w:t>1.</w:t>
      </w:r>
      <w:r w:rsidRPr="001455DC">
        <w:tab/>
        <w:t>The number of stress cycles is less than 2 </w:t>
      </w:r>
      <w:r w:rsidR="005024D8" w:rsidRPr="001455DC">
        <w:rPr>
          <w:rFonts w:ascii="Cambria Math" w:hAnsi="Cambria Math"/>
        </w:rPr>
        <w:t>∙</w:t>
      </w:r>
      <w:r w:rsidRPr="001455DC">
        <w:t> 10</w:t>
      </w:r>
      <w:r w:rsidRPr="001455DC">
        <w:rPr>
          <w:rStyle w:val="CCMCvariablesuperscript"/>
        </w:rPr>
        <w:t>6</w:t>
      </w:r>
      <w:r w:rsidRPr="001455DC">
        <w:t>;</w:t>
      </w:r>
    </w:p>
    <w:p w14:paraId="33E71A4F" w14:textId="4F453F62" w:rsidR="004E22C1" w:rsidRPr="001455DC" w:rsidRDefault="004E22C1" w:rsidP="00A87840">
      <w:pPr>
        <w:pStyle w:val="a7"/>
        <w:ind w:left="357" w:hanging="357"/>
      </w:pPr>
      <w:r w:rsidRPr="001455DC">
        <w:t>2.</w:t>
      </w:r>
      <w:r w:rsidRPr="001455DC">
        <w:tab/>
        <w:t>The maximum force in the NSM CFRP system, taking the shift of the tension envelope into</w:t>
      </w:r>
      <w:r w:rsidR="00A87840" w:rsidRPr="001455DC">
        <w:t xml:space="preserve"> </w:t>
      </w:r>
      <w:r w:rsidRPr="001455DC">
        <w:t xml:space="preserve">account, does not exceed </w:t>
      </w:r>
      <m:oMath>
        <m:sSub>
          <m:sSubPr>
            <m:ctrlPr>
              <w:rPr>
                <w:rFonts w:ascii="Cambria Math" w:hAnsi="Cambria Math"/>
              </w:rPr>
            </m:ctrlPr>
          </m:sSubPr>
          <m:e>
            <m:r>
              <w:rPr>
                <w:rFonts w:ascii="Cambria Math" w:hAnsi="Cambria Math"/>
              </w:rPr>
              <m:t>F</m:t>
            </m:r>
          </m:e>
          <m:sub>
            <m:r>
              <m:rPr>
                <m:sty m:val="p"/>
              </m:rPr>
              <w:rPr>
                <w:rFonts w:ascii="Cambria Math" w:hAnsi="Cambria Math"/>
              </w:rPr>
              <m:t>f,NSM,max</m:t>
            </m:r>
          </m:sub>
        </m:sSub>
      </m:oMath>
      <w:r w:rsidRPr="001455DC">
        <w:t xml:space="preserve">, where </w:t>
      </w:r>
      <m:oMath>
        <m:sSub>
          <m:sSubPr>
            <m:ctrlPr>
              <w:rPr>
                <w:rFonts w:ascii="Cambria Math" w:hAnsi="Cambria Math"/>
              </w:rPr>
            </m:ctrlPr>
          </m:sSubPr>
          <m:e>
            <m:r>
              <w:rPr>
                <w:rFonts w:ascii="Cambria Math" w:hAnsi="Cambria Math"/>
              </w:rPr>
              <m:t>F</m:t>
            </m:r>
          </m:e>
          <m:sub>
            <m:r>
              <m:rPr>
                <m:sty m:val="p"/>
              </m:rPr>
              <w:rPr>
                <w:rFonts w:ascii="Cambria Math" w:hAnsi="Cambria Math"/>
              </w:rPr>
              <m:t>f,NSM,max</m:t>
            </m:r>
          </m:sub>
        </m:sSub>
      </m:oMath>
      <w:r w:rsidRPr="001455DC">
        <w:t xml:space="preserve"> is calculated using Formula (J.25);</w:t>
      </w:r>
    </w:p>
    <w:p w14:paraId="3B61B20F" w14:textId="68BA9832" w:rsidR="00A87840" w:rsidRPr="001455DC" w:rsidRDefault="004E22C1" w:rsidP="00A87840">
      <w:pPr>
        <w:pStyle w:val="a7"/>
        <w:ind w:left="357" w:hanging="357"/>
      </w:pPr>
      <w:r w:rsidRPr="001455DC">
        <w:t>3.</w:t>
      </w:r>
      <w:r w:rsidRPr="001455DC">
        <w:tab/>
        <w:t xml:space="preserve">The strip stress range </w:t>
      </w:r>
      <m:oMath>
        <m:sSub>
          <m:sSubPr>
            <m:ctrlPr>
              <w:rPr>
                <w:rFonts w:ascii="Cambria Math" w:hAnsi="Cambria Math"/>
              </w:rPr>
            </m:ctrlPr>
          </m:sSubPr>
          <m:e>
            <m:r>
              <m:rPr>
                <m:sty m:val="p"/>
              </m:rPr>
              <w:rPr>
                <w:rFonts w:ascii="Cambria Math" w:hAnsi="Cambria Math"/>
              </w:rPr>
              <m:t>∆</m:t>
            </m:r>
            <m:r>
              <w:rPr>
                <w:rFonts w:ascii="Cambria Math" w:hAnsi="Cambria Math"/>
              </w:rPr>
              <m:t>σ</m:t>
            </m:r>
          </m:e>
          <m:sub>
            <m:r>
              <m:rPr>
                <m:sty m:val="p"/>
              </m:rPr>
              <w:rPr>
                <w:rFonts w:ascii="Cambria Math" w:hAnsi="Cambria Math"/>
              </w:rPr>
              <m:t>f</m:t>
            </m:r>
          </m:sub>
        </m:sSub>
      </m:oMath>
      <w:r w:rsidRPr="001455DC">
        <w:t xml:space="preserve"> complies with the provisions stated in Formula (J.26).</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A87840" w:rsidRPr="001455DC" w14:paraId="500AE10B" w14:textId="77777777" w:rsidTr="00A57FDC">
        <w:trPr>
          <w:cantSplit/>
        </w:trPr>
        <w:tc>
          <w:tcPr>
            <w:tcW w:w="8505" w:type="dxa"/>
            <w:vAlign w:val="center"/>
          </w:tcPr>
          <w:bookmarkStart w:id="1948" w:name="_Hlk40888595"/>
          <w:bookmarkStart w:id="1949" w:name="_Hlk39839610"/>
          <w:p w14:paraId="2DF8CAC8" w14:textId="2406399C" w:rsidR="00A87840" w:rsidRPr="001455DC" w:rsidRDefault="00231E33" w:rsidP="00A57FDC">
            <w:pPr>
              <w:pStyle w:val="Formula"/>
              <w:jc w:val="left"/>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f,NSM,max</m:t>
                    </m:r>
                  </m:sub>
                </m:sSub>
                <w:bookmarkEnd w:id="1948"/>
                <m:r>
                  <w:rPr>
                    <w:rFonts w:ascii="Cambria Math" w:hAnsi="Cambria Math"/>
                  </w:rPr>
                  <m:t>=0,6∙</m:t>
                </m:r>
                <m:sSub>
                  <m:sSubPr>
                    <m:ctrlPr>
                      <w:rPr>
                        <w:rFonts w:ascii="Cambria Math" w:hAnsi="Cambria Math"/>
                      </w:rPr>
                    </m:ctrlPr>
                  </m:sSubPr>
                  <m:e>
                    <m:r>
                      <w:rPr>
                        <w:rFonts w:ascii="Cambria Math" w:hAnsi="Cambria Math"/>
                      </w:rPr>
                      <m:t>f</m:t>
                    </m:r>
                  </m:e>
                  <m:sub>
                    <m:r>
                      <m:rPr>
                        <m:sty m:val="p"/>
                      </m:rPr>
                      <w:rPr>
                        <w:rFonts w:ascii="Cambria Math" w:hAnsi="Cambria Math"/>
                      </w:rPr>
                      <m:t>bfRd</m:t>
                    </m:r>
                  </m:sub>
                </m:sSub>
                <m: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f</m:t>
                    </m:r>
                  </m:sub>
                </m:sSub>
              </m:oMath>
            </m:oMathPara>
            <w:bookmarkEnd w:id="1949"/>
          </w:p>
        </w:tc>
        <w:tc>
          <w:tcPr>
            <w:tcW w:w="1247" w:type="dxa"/>
            <w:vAlign w:val="center"/>
          </w:tcPr>
          <w:p w14:paraId="3C88329F" w14:textId="033DDE43" w:rsidR="00A87840" w:rsidRPr="001455DC" w:rsidRDefault="00A87840" w:rsidP="00A57FDC">
            <w:pPr>
              <w:pStyle w:val="a7"/>
              <w:jc w:val="right"/>
            </w:pPr>
            <w:r w:rsidRPr="001455DC">
              <w:t>(J.25)</w:t>
            </w:r>
          </w:p>
        </w:tc>
      </w:tr>
      <w:tr w:rsidR="00A87840" w:rsidRPr="001455DC" w14:paraId="6D96CBEC" w14:textId="77777777" w:rsidTr="00A57FDC">
        <w:trPr>
          <w:cantSplit/>
        </w:trPr>
        <w:tc>
          <w:tcPr>
            <w:tcW w:w="8505" w:type="dxa"/>
            <w:vAlign w:val="center"/>
          </w:tcPr>
          <w:p w14:paraId="564FA607" w14:textId="3C8A6C8B" w:rsidR="00A87840" w:rsidRPr="001455DC" w:rsidRDefault="00231E33" w:rsidP="00A57FDC">
            <w:pPr>
              <w:pStyle w:val="Formula"/>
              <w:jc w:val="left"/>
            </w:pPr>
            <m:oMathPara>
              <m:oMathParaPr>
                <m:jc m:val="left"/>
              </m:oMathParaPr>
              <m:oMath>
                <m:sSub>
                  <m:sSubPr>
                    <m:ctrlPr>
                      <w:rPr>
                        <w:rFonts w:ascii="Cambria Math" w:hAnsi="Cambria Math"/>
                      </w:rPr>
                    </m:ctrlPr>
                  </m:sSubPr>
                  <m:e>
                    <m:r>
                      <w:rPr>
                        <w:rFonts w:ascii="Cambria Math" w:hAnsi="Cambria Math"/>
                      </w:rPr>
                      <m:t>∆σ</m:t>
                    </m:r>
                  </m:e>
                  <m:sub>
                    <m:r>
                      <m:rPr>
                        <m:sty m:val="p"/>
                      </m:rPr>
                      <w:rPr>
                        <w:rFonts w:ascii="Cambria Math" w:hAnsi="Cambria Math"/>
                      </w:rPr>
                      <m:t>f</m:t>
                    </m:r>
                  </m:sub>
                </m:sSub>
                <m:r>
                  <w:rPr>
                    <w:rFonts w:ascii="Cambria Math" w:hAnsi="Cambria Math"/>
                  </w:rPr>
                  <m:t>≤</m:t>
                </m:r>
                <m:f>
                  <m:fPr>
                    <m:ctrlPr>
                      <w:rPr>
                        <w:rFonts w:ascii="Cambria Math" w:hAnsi="Cambria Math"/>
                      </w:rPr>
                    </m:ctrlPr>
                  </m:fPr>
                  <m:num>
                    <m:r>
                      <w:rPr>
                        <w:rFonts w:ascii="Cambria Math" w:hAnsi="Cambria Math"/>
                      </w:rPr>
                      <m:t>500</m:t>
                    </m:r>
                  </m:num>
                  <m:den>
                    <m:sSub>
                      <m:sSubPr>
                        <m:ctrlPr>
                          <w:rPr>
                            <w:rFonts w:ascii="Cambria Math" w:hAnsi="Cambria Math"/>
                          </w:rPr>
                        </m:ctrlPr>
                      </m:sSubPr>
                      <m:e>
                        <m:r>
                          <w:rPr>
                            <w:rFonts w:ascii="Cambria Math" w:hAnsi="Cambria Math"/>
                          </w:rPr>
                          <m:t>t</m:t>
                        </m:r>
                      </m:e>
                      <m:sub>
                        <m:r>
                          <m:rPr>
                            <m:sty m:val="p"/>
                          </m:rPr>
                          <w:rPr>
                            <w:rFonts w:ascii="Cambria Math" w:hAnsi="Cambria Math"/>
                          </w:rPr>
                          <m:t>f</m:t>
                        </m:r>
                      </m:sub>
                    </m:sSub>
                  </m:den>
                </m:f>
              </m:oMath>
            </m:oMathPara>
          </w:p>
        </w:tc>
        <w:tc>
          <w:tcPr>
            <w:tcW w:w="1247" w:type="dxa"/>
            <w:vAlign w:val="center"/>
          </w:tcPr>
          <w:p w14:paraId="48A14311" w14:textId="3931BC06" w:rsidR="00A87840" w:rsidRPr="001455DC" w:rsidRDefault="00A87840" w:rsidP="00A57FDC">
            <w:pPr>
              <w:pStyle w:val="a7"/>
              <w:jc w:val="right"/>
            </w:pPr>
            <w:r w:rsidRPr="001455DC">
              <w:t>(J.26)</w:t>
            </w:r>
          </w:p>
        </w:tc>
      </w:tr>
    </w:tbl>
    <w:p w14:paraId="6470B32C" w14:textId="77777777" w:rsidR="00A87840" w:rsidRPr="001455DC" w:rsidRDefault="004E22C1" w:rsidP="00A35599">
      <w:pPr>
        <w:pStyle w:val="a7"/>
        <w:keepNext/>
      </w:pPr>
      <w:r w:rsidRPr="001455DC">
        <w:t>where</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A87840" w:rsidRPr="001455DC" w14:paraId="30FA42FF" w14:textId="77777777" w:rsidTr="00A57FDC">
        <w:trPr>
          <w:cantSplit/>
        </w:trPr>
        <w:tc>
          <w:tcPr>
            <w:tcW w:w="8505" w:type="dxa"/>
            <w:vAlign w:val="center"/>
          </w:tcPr>
          <w:p w14:paraId="52967932" w14:textId="3EA196CD" w:rsidR="00A87840" w:rsidRPr="001455DC" w:rsidRDefault="00231E33" w:rsidP="00A57FDC">
            <w:pPr>
              <w:pStyle w:val="Formula"/>
              <w:jc w:val="left"/>
            </w:pPr>
            <m:oMathPara>
              <m:oMathParaPr>
                <m:jc m:val="left"/>
              </m:oMathParaPr>
              <m:oMath>
                <m:sSub>
                  <m:sSubPr>
                    <m:ctrlPr>
                      <w:rPr>
                        <w:rFonts w:ascii="Cambria Math" w:hAnsi="Cambria Math"/>
                      </w:rPr>
                    </m:ctrlPr>
                  </m:sSubPr>
                  <m:e>
                    <m:r>
                      <w:rPr>
                        <w:rFonts w:ascii="Cambria Math" w:hAnsi="Cambria Math"/>
                      </w:rPr>
                      <m:t>∆σ</m:t>
                    </m:r>
                  </m:e>
                  <m:sub>
                    <m:r>
                      <m:rPr>
                        <m:sty m:val="p"/>
                      </m:rPr>
                      <w:rPr>
                        <w:rFonts w:ascii="Cambria Math" w:hAnsi="Cambria Math"/>
                      </w:rPr>
                      <m:t>f</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f,max</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f,min</m:t>
                        </m:r>
                      </m:sub>
                    </m:sSub>
                  </m:num>
                  <m:den>
                    <m:sSub>
                      <m:sSubPr>
                        <m:ctrlPr>
                          <w:rPr>
                            <w:rFonts w:ascii="Cambria Math" w:hAnsi="Cambria Math"/>
                          </w:rPr>
                        </m:ctrlPr>
                      </m:sSubPr>
                      <m:e>
                        <m:r>
                          <w:rPr>
                            <w:rFonts w:ascii="Cambria Math" w:hAnsi="Cambria Math"/>
                          </w:rPr>
                          <m:t>b</m:t>
                        </m:r>
                      </m:e>
                      <m:sub>
                        <m:r>
                          <m:rPr>
                            <m:sty m:val="p"/>
                          </m:rP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f</m:t>
                        </m:r>
                      </m:sub>
                    </m:sSub>
                  </m:den>
                </m:f>
              </m:oMath>
            </m:oMathPara>
          </w:p>
        </w:tc>
        <w:tc>
          <w:tcPr>
            <w:tcW w:w="1247" w:type="dxa"/>
            <w:vAlign w:val="center"/>
          </w:tcPr>
          <w:p w14:paraId="71B467AD" w14:textId="150E1A41" w:rsidR="00A87840" w:rsidRPr="001455DC" w:rsidRDefault="00A87840" w:rsidP="00A57FDC">
            <w:pPr>
              <w:pStyle w:val="a7"/>
              <w:jc w:val="right"/>
            </w:pPr>
            <w:r w:rsidRPr="001455DC">
              <w:t>(J.27)</w:t>
            </w:r>
          </w:p>
        </w:tc>
      </w:tr>
    </w:tbl>
    <w:p w14:paraId="4AFD06F0" w14:textId="62DD8170" w:rsidR="004E22C1" w:rsidRPr="001455DC" w:rsidRDefault="00A87840" w:rsidP="00082680">
      <w:pPr>
        <w:pStyle w:val="a2"/>
        <w:rPr>
          <w:iCs/>
        </w:rPr>
      </w:pPr>
      <w:bookmarkStart w:id="1950" w:name="_Toc52820281"/>
      <w:bookmarkStart w:id="1951" w:name="_Toc54337194"/>
      <w:bookmarkStart w:id="1952" w:name="_Toc54337709"/>
      <w:bookmarkStart w:id="1953" w:name="_Toc54338335"/>
      <w:bookmarkStart w:id="1954" w:name="_Toc67565594"/>
      <w:r w:rsidRPr="001455DC">
        <w:t xml:space="preserve">Bond and anchorage of </w:t>
      </w:r>
      <w:r w:rsidR="004E22C1" w:rsidRPr="001455DC">
        <w:t xml:space="preserve">CFRP </w:t>
      </w:r>
      <w:bookmarkEnd w:id="1950"/>
      <w:r w:rsidRPr="001455DC">
        <w:t>systems</w:t>
      </w:r>
      <w:bookmarkEnd w:id="1951"/>
      <w:bookmarkEnd w:id="1952"/>
      <w:bookmarkEnd w:id="1953"/>
      <w:bookmarkEnd w:id="1954"/>
    </w:p>
    <w:p w14:paraId="67FFFD87" w14:textId="66BB7F99" w:rsidR="004E22C1" w:rsidRPr="001455DC" w:rsidRDefault="004E22C1" w:rsidP="00243590">
      <w:pPr>
        <w:pStyle w:val="a3"/>
      </w:pPr>
      <w:bookmarkStart w:id="1955" w:name="_Toc52820282"/>
      <w:bookmarkStart w:id="1956" w:name="_Toc54337710"/>
      <w:bookmarkStart w:id="1957" w:name="_Toc54338336"/>
      <w:r w:rsidRPr="001455DC">
        <w:t>Anchorage of ABR CFRP strengthening systems</w:t>
      </w:r>
      <w:bookmarkEnd w:id="1955"/>
      <w:bookmarkEnd w:id="1956"/>
      <w:bookmarkEnd w:id="1957"/>
    </w:p>
    <w:p w14:paraId="62AE03CD" w14:textId="421B0F96" w:rsidR="004E22C1" w:rsidRPr="001455DC" w:rsidRDefault="004E22C1" w:rsidP="00243590">
      <w:pPr>
        <w:pStyle w:val="a4"/>
      </w:pPr>
      <w:bookmarkStart w:id="1958" w:name="_Toc52820283"/>
      <w:bookmarkStart w:id="1959" w:name="_Toc54337711"/>
      <w:bookmarkStart w:id="1960" w:name="_Toc54338337"/>
      <w:r w:rsidRPr="001455DC">
        <w:t>Basic anchorage resistance — CFRP to concrete for EBR CFRP strengthening</w:t>
      </w:r>
      <w:bookmarkEnd w:id="1958"/>
      <w:bookmarkEnd w:id="1959"/>
      <w:bookmarkEnd w:id="1960"/>
    </w:p>
    <w:p w14:paraId="1AD6D89D" w14:textId="74F75CB5" w:rsidR="001143D4" w:rsidRPr="001455DC" w:rsidRDefault="001143D4" w:rsidP="00243590">
      <w:pPr>
        <w:pStyle w:val="a5"/>
      </w:pPr>
      <w:r w:rsidRPr="001455DC">
        <w:t>General</w:t>
      </w:r>
    </w:p>
    <w:p w14:paraId="48D4AE8E" w14:textId="77777777" w:rsidR="004E22C1" w:rsidRPr="001455DC" w:rsidRDefault="004E22C1" w:rsidP="00A87840">
      <w:pPr>
        <w:pStyle w:val="a7"/>
      </w:pPr>
      <w:r w:rsidRPr="001455DC">
        <w:t>(1)</w:t>
      </w:r>
      <w:r w:rsidRPr="001455DC">
        <w:tab/>
        <w:t>The required anchorage length of externally bonded CFRP reinforcement, calculated in accordance with J.11.1.1, should be curtailed as described in J.11.1.2.</w:t>
      </w:r>
    </w:p>
    <w:p w14:paraId="22396AAF" w14:textId="2331C2C3" w:rsidR="004E22C1" w:rsidRPr="001455DC" w:rsidRDefault="004E22C1" w:rsidP="00243590">
      <w:pPr>
        <w:pStyle w:val="a5"/>
      </w:pPr>
      <w:bookmarkStart w:id="1961" w:name="_Toc52820284"/>
      <w:bookmarkStart w:id="1962" w:name="_Toc54337712"/>
      <w:r w:rsidRPr="001455DC">
        <w:t>Simplified method</w:t>
      </w:r>
      <w:bookmarkEnd w:id="1961"/>
      <w:bookmarkEnd w:id="1962"/>
    </w:p>
    <w:p w14:paraId="239A21CE" w14:textId="77777777" w:rsidR="00A87840" w:rsidRPr="001455DC" w:rsidRDefault="004E22C1" w:rsidP="00A87840">
      <w:pPr>
        <w:pStyle w:val="a7"/>
      </w:pPr>
      <w:r w:rsidRPr="001455DC">
        <w:t>(1)</w:t>
      </w:r>
      <w:r w:rsidRPr="001455DC">
        <w:tab/>
        <w:t>The following simplified method may be used to determine the anchorage resistance for externally bonded CFRP.</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A87840" w:rsidRPr="001455DC" w14:paraId="0180DA7B" w14:textId="77777777" w:rsidTr="00A57FDC">
        <w:trPr>
          <w:cantSplit/>
        </w:trPr>
        <w:tc>
          <w:tcPr>
            <w:tcW w:w="8505" w:type="dxa"/>
            <w:vAlign w:val="center"/>
          </w:tcPr>
          <w:p w14:paraId="6B0FA2A4" w14:textId="796790CE" w:rsidR="00A87840" w:rsidRPr="001455DC" w:rsidRDefault="00231E33" w:rsidP="00A57FDC">
            <w:pPr>
              <w:pStyle w:val="Formula"/>
              <w:jc w:val="left"/>
            </w:pPr>
            <m:oMathPara>
              <m:oMathParaPr>
                <m:jc m:val="left"/>
              </m:oMathParaPr>
              <m:oMath>
                <m:sSub>
                  <m:sSubPr>
                    <m:ctrlPr>
                      <w:rPr>
                        <w:rFonts w:ascii="Cambria Math" w:hAnsi="Cambria Math"/>
                        <w:bCs/>
                      </w:rPr>
                    </m:ctrlPr>
                  </m:sSubPr>
                  <m:e>
                    <m:r>
                      <w:rPr>
                        <w:rFonts w:ascii="Cambria Math" w:hAnsi="Cambria Math"/>
                      </w:rPr>
                      <m:t>f</m:t>
                    </m:r>
                  </m:e>
                  <m:sub>
                    <m:r>
                      <m:rPr>
                        <m:sty m:val="p"/>
                      </m:rPr>
                      <w:rPr>
                        <w:rFonts w:ascii="Cambria Math" w:hAnsi="Cambria Math"/>
                      </w:rPr>
                      <m:t>bfRd</m:t>
                    </m:r>
                  </m:sub>
                </m:sSub>
                <m:r>
                  <w:rPr>
                    <w:rFonts w:ascii="Cambria Math" w:hAnsi="Cambria Math"/>
                  </w:rPr>
                  <m:t>=</m:t>
                </m:r>
                <m:f>
                  <m:fPr>
                    <m:ctrlPr>
                      <w:rPr>
                        <w:rFonts w:ascii="Cambria Math" w:hAnsi="Cambria Math"/>
                        <w:bCs/>
                      </w:rPr>
                    </m:ctrlPr>
                  </m:fPr>
                  <m:num>
                    <m:r>
                      <w:rPr>
                        <w:rFonts w:ascii="Cambria Math" w:hAnsi="Cambria Math"/>
                      </w:rPr>
                      <m:t>0,17</m:t>
                    </m:r>
                  </m:num>
                  <m:den>
                    <m:sSub>
                      <m:sSubPr>
                        <m:ctrlPr>
                          <w:rPr>
                            <w:rFonts w:ascii="Cambria Math" w:hAnsi="Cambria Math"/>
                            <w:bCs/>
                          </w:rPr>
                        </m:ctrlPr>
                      </m:sSubPr>
                      <m:e>
                        <m:r>
                          <w:rPr>
                            <w:rFonts w:ascii="Cambria Math" w:hAnsi="Cambria Math"/>
                          </w:rPr>
                          <m:t>γ</m:t>
                        </m:r>
                      </m:e>
                      <m:sub>
                        <m:r>
                          <m:rPr>
                            <m:sty m:val="p"/>
                          </m:rPr>
                          <w:rPr>
                            <w:rFonts w:ascii="Cambria Math" w:hAnsi="Cambria Math"/>
                          </w:rPr>
                          <m:t>BA</m:t>
                        </m:r>
                      </m:sub>
                    </m:sSub>
                  </m:den>
                </m:f>
                <m:sSub>
                  <m:sSubPr>
                    <m:ctrlPr>
                      <w:rPr>
                        <w:rFonts w:ascii="Cambria Math" w:hAnsi="Cambria Math"/>
                        <w:bCs/>
                      </w:rPr>
                    </m:ctrlPr>
                  </m:sSubPr>
                  <m:e>
                    <m:r>
                      <w:rPr>
                        <w:rFonts w:ascii="Cambria Math" w:hAnsi="Cambria Math"/>
                      </w:rPr>
                      <m:t>k</m:t>
                    </m:r>
                  </m:e>
                  <m:sub>
                    <m:r>
                      <m:rPr>
                        <m:sty m:val="p"/>
                      </m:rPr>
                      <w:rPr>
                        <w:rFonts w:ascii="Cambria Math" w:hAnsi="Cambria Math"/>
                      </w:rPr>
                      <m:t>b</m:t>
                    </m:r>
                  </m:sub>
                </m:sSub>
                <m:sSub>
                  <m:sSubPr>
                    <m:ctrlPr>
                      <w:rPr>
                        <w:rFonts w:ascii="Cambria Math" w:hAnsi="Cambria Math"/>
                        <w:bCs/>
                      </w:rPr>
                    </m:ctrlPr>
                  </m:sSubPr>
                  <m:e>
                    <m:r>
                      <w:rPr>
                        <w:rFonts w:ascii="Cambria Math" w:hAnsi="Cambria Math"/>
                      </w:rPr>
                      <m:t>β</m:t>
                    </m:r>
                  </m:e>
                  <m:sub>
                    <m:r>
                      <w:rPr>
                        <w:rFonts w:ascii="Cambria Math" w:hAnsi="Cambria Math"/>
                      </w:rPr>
                      <m:t>1</m:t>
                    </m:r>
                  </m:sub>
                </m:sSub>
                <m:rad>
                  <m:radPr>
                    <m:degHide m:val="1"/>
                    <m:ctrlPr>
                      <w:rPr>
                        <w:rFonts w:ascii="Cambria Math" w:hAnsi="Cambria Math"/>
                        <w:bCs/>
                      </w:rPr>
                    </m:ctrlPr>
                  </m:radPr>
                  <m:deg/>
                  <m:e>
                    <m:f>
                      <m:fPr>
                        <m:ctrlPr>
                          <w:rPr>
                            <w:rFonts w:ascii="Cambria Math" w:hAnsi="Cambria Math"/>
                            <w:bCs/>
                          </w:rPr>
                        </m:ctrlPr>
                      </m:fPr>
                      <m:num>
                        <m:sSub>
                          <m:sSubPr>
                            <m:ctrlPr>
                              <w:rPr>
                                <w:rFonts w:ascii="Cambria Math" w:hAnsi="Cambria Math"/>
                                <w:bCs/>
                              </w:rPr>
                            </m:ctrlPr>
                          </m:sSubPr>
                          <m:e>
                            <m:r>
                              <w:rPr>
                                <w:rFonts w:ascii="Cambria Math" w:hAnsi="Cambria Math"/>
                              </w:rPr>
                              <m:t>2E</m:t>
                            </m:r>
                          </m:e>
                          <m:sub>
                            <m:r>
                              <m:rPr>
                                <m:sty m:val="p"/>
                              </m:rPr>
                              <w:rPr>
                                <w:rFonts w:ascii="Cambria Math" w:hAnsi="Cambria Math"/>
                              </w:rPr>
                              <m:t>f</m:t>
                            </m:r>
                          </m:sub>
                        </m:sSub>
                      </m:num>
                      <m:den>
                        <m:sSub>
                          <m:sSubPr>
                            <m:ctrlPr>
                              <w:rPr>
                                <w:rFonts w:ascii="Cambria Math" w:hAnsi="Cambria Math"/>
                                <w:bCs/>
                              </w:rPr>
                            </m:ctrlPr>
                          </m:sSubPr>
                          <m:e>
                            <m:r>
                              <w:rPr>
                                <w:rFonts w:ascii="Cambria Math" w:hAnsi="Cambria Math"/>
                              </w:rPr>
                              <m:t>t</m:t>
                            </m:r>
                          </m:e>
                          <m:sub>
                            <m:r>
                              <m:rPr>
                                <m:sty m:val="p"/>
                              </m:rPr>
                              <w:rPr>
                                <w:rFonts w:ascii="Cambria Math" w:hAnsi="Cambria Math"/>
                              </w:rPr>
                              <m:t>f</m:t>
                            </m:r>
                          </m:sub>
                        </m:sSub>
                      </m:den>
                    </m:f>
                    <m:sSubSup>
                      <m:sSubSupPr>
                        <m:ctrlPr>
                          <w:rPr>
                            <w:rFonts w:ascii="Cambria Math" w:hAnsi="Cambria Math"/>
                            <w:bCs/>
                          </w:rPr>
                        </m:ctrlPr>
                      </m:sSubSupPr>
                      <m:e>
                        <m:r>
                          <w:rPr>
                            <w:rFonts w:ascii="Cambria Math" w:hAnsi="Cambria Math"/>
                          </w:rPr>
                          <m:t>f</m:t>
                        </m:r>
                      </m:e>
                      <m:sub>
                        <m:r>
                          <m:rPr>
                            <m:sty m:val="p"/>
                          </m:rPr>
                          <w:rPr>
                            <w:rFonts w:ascii="Cambria Math" w:hAnsi="Cambria Math"/>
                          </w:rPr>
                          <m:t>cm</m:t>
                        </m:r>
                      </m:sub>
                      <m:sup>
                        <m:f>
                          <m:fPr>
                            <m:type m:val="skw"/>
                            <m:ctrlPr>
                              <w:rPr>
                                <w:rFonts w:ascii="Cambria Math" w:hAnsi="Cambria Math"/>
                                <w:bCs/>
                              </w:rPr>
                            </m:ctrlPr>
                          </m:fPr>
                          <m:num>
                            <m:r>
                              <w:rPr>
                                <w:rFonts w:ascii="Cambria Math" w:hAnsi="Cambria Math"/>
                              </w:rPr>
                              <m:t>2</m:t>
                            </m:r>
                          </m:num>
                          <m:den>
                            <m:r>
                              <w:rPr>
                                <w:rFonts w:ascii="Cambria Math" w:hAnsi="Cambria Math"/>
                              </w:rPr>
                              <m:t>3</m:t>
                            </m:r>
                          </m:den>
                        </m:f>
                      </m:sup>
                    </m:sSubSup>
                  </m:e>
                </m:rad>
              </m:oMath>
            </m:oMathPara>
          </w:p>
        </w:tc>
        <w:tc>
          <w:tcPr>
            <w:tcW w:w="1247" w:type="dxa"/>
            <w:vAlign w:val="center"/>
          </w:tcPr>
          <w:p w14:paraId="51DF605E" w14:textId="1E71D47C" w:rsidR="00A87840" w:rsidRPr="001455DC" w:rsidRDefault="00A87840" w:rsidP="00A57FDC">
            <w:pPr>
              <w:pStyle w:val="a7"/>
              <w:jc w:val="right"/>
            </w:pPr>
            <w:r w:rsidRPr="001455DC">
              <w:rPr>
                <w:rFonts w:eastAsiaTheme="minorEastAsia"/>
              </w:rPr>
              <w:t>(</w:t>
            </w:r>
            <w:r w:rsidRPr="001455DC">
              <w:t>J.28)</w:t>
            </w:r>
          </w:p>
        </w:tc>
      </w:tr>
    </w:tbl>
    <w:p w14:paraId="720709B3" w14:textId="77777777" w:rsidR="00A87840" w:rsidRPr="001455DC" w:rsidRDefault="004E22C1" w:rsidP="00A35599">
      <w:pPr>
        <w:pStyle w:val="a7"/>
        <w:keepNext/>
      </w:pPr>
      <w:r w:rsidRPr="001455DC">
        <w:rPr>
          <w:rFonts w:eastAsiaTheme="minorEastAsia"/>
        </w:rPr>
        <w:t>where</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A87840" w:rsidRPr="001455DC" w14:paraId="1A9C33A7" w14:textId="77777777" w:rsidTr="00A57FDC">
        <w:trPr>
          <w:cantSplit/>
        </w:trPr>
        <w:tc>
          <w:tcPr>
            <w:tcW w:w="8505" w:type="dxa"/>
            <w:vAlign w:val="center"/>
          </w:tcPr>
          <w:p w14:paraId="130C189B" w14:textId="44651C1A" w:rsidR="00A87840" w:rsidRPr="001455DC" w:rsidRDefault="00231E33" w:rsidP="00A57FDC">
            <w:pPr>
              <w:pStyle w:val="Formula"/>
              <w:jc w:val="left"/>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rPr>
                      <m:t>b</m:t>
                    </m:r>
                  </m:sub>
                </m:sSub>
                <m:r>
                  <w:rPr>
                    <w:rFonts w:ascii="Cambria Math" w:hAnsi="Cambria Math"/>
                  </w:rPr>
                  <m:t>=</m:t>
                </m:r>
                <m:rad>
                  <m:radPr>
                    <m:degHide m:val="1"/>
                    <m:ctrlPr>
                      <w:rPr>
                        <w:rFonts w:ascii="Cambria Math" w:hAnsi="Cambria Math"/>
                      </w:rPr>
                    </m:ctrlPr>
                  </m:radPr>
                  <m:deg/>
                  <m:e>
                    <m:f>
                      <m:fPr>
                        <m:ctrlPr>
                          <w:rPr>
                            <w:rFonts w:ascii="Cambria Math" w:hAnsi="Cambria Math"/>
                          </w:rPr>
                        </m:ctrlPr>
                      </m:fPr>
                      <m:num>
                        <m:r>
                          <w:rPr>
                            <w:rFonts w:ascii="Cambria Math" w:hAnsi="Cambria Math"/>
                          </w:rPr>
                          <m:t>2-</m:t>
                        </m:r>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f</m:t>
                                </m:r>
                              </m:sub>
                            </m:sSub>
                          </m:num>
                          <m:den>
                            <m:r>
                              <w:rPr>
                                <w:rFonts w:ascii="Cambria Math" w:hAnsi="Cambria Math"/>
                              </w:rPr>
                              <m:t>b</m:t>
                            </m:r>
                          </m:den>
                        </m:f>
                      </m:num>
                      <m:den>
                        <m:r>
                          <w:rPr>
                            <w:rFonts w:ascii="Cambria Math" w:hAnsi="Cambria Math"/>
                          </w:rPr>
                          <m:t>1+</m:t>
                        </m:r>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f</m:t>
                                </m:r>
                              </m:sub>
                            </m:sSub>
                          </m:num>
                          <m:den>
                            <m:r>
                              <w:rPr>
                                <w:rFonts w:ascii="Cambria Math" w:hAnsi="Cambria Math"/>
                              </w:rPr>
                              <m:t>b</m:t>
                            </m:r>
                          </m:den>
                        </m:f>
                      </m:den>
                    </m:f>
                  </m:e>
                </m:rad>
              </m:oMath>
            </m:oMathPara>
          </w:p>
        </w:tc>
        <w:tc>
          <w:tcPr>
            <w:tcW w:w="1247" w:type="dxa"/>
            <w:vAlign w:val="center"/>
          </w:tcPr>
          <w:p w14:paraId="5218C075" w14:textId="7C432307" w:rsidR="00A87840" w:rsidRPr="001455DC" w:rsidRDefault="00A87840" w:rsidP="00A57FDC">
            <w:pPr>
              <w:pStyle w:val="a7"/>
              <w:jc w:val="right"/>
            </w:pPr>
            <w:r w:rsidRPr="001455DC">
              <w:t>(J.29)</w:t>
            </w:r>
          </w:p>
        </w:tc>
      </w:tr>
      <w:tr w:rsidR="00A87840" w:rsidRPr="001455DC" w14:paraId="08E4D05C" w14:textId="77777777" w:rsidTr="00A57FDC">
        <w:trPr>
          <w:cantSplit/>
        </w:trPr>
        <w:tc>
          <w:tcPr>
            <w:tcW w:w="8505" w:type="dxa"/>
            <w:vAlign w:val="center"/>
          </w:tcPr>
          <w:p w14:paraId="778DCDFD" w14:textId="363AC630" w:rsidR="00A87840" w:rsidRPr="001455DC" w:rsidRDefault="00231E33" w:rsidP="00A57FDC">
            <w:pPr>
              <w:pStyle w:val="Formula"/>
              <w:jc w:val="left"/>
            </w:pPr>
            <m:oMathPara>
              <m:oMathParaPr>
                <m:jc m:val="left"/>
              </m:oMathParaPr>
              <m:oMath>
                <m:sSub>
                  <m:sSubPr>
                    <m:ctrlPr>
                      <w:rPr>
                        <w:rFonts w:ascii="Cambria Math" w:hAnsi="Cambria Math"/>
                      </w:rPr>
                    </m:ctrlPr>
                  </m:sSubPr>
                  <m:e>
                    <m:r>
                      <w:rPr>
                        <w:rFonts w:ascii="Cambria Math" w:hAnsi="Cambria Math"/>
                      </w:rPr>
                      <m:t>β</m:t>
                    </m:r>
                  </m:e>
                  <m:sub>
                    <m:r>
                      <w:rPr>
                        <w:rFonts w:ascii="Cambria Math" w:hAnsi="Cambria Math"/>
                      </w:rPr>
                      <m:t>1</m:t>
                    </m:r>
                  </m:sub>
                </m:sSub>
                <m:r>
                  <w:rPr>
                    <w:rFonts w:ascii="Cambria Math" w:hAnsi="Cambria Math"/>
                  </w:rPr>
                  <m:t>=</m:t>
                </m:r>
                <m:d>
                  <m:dPr>
                    <m:begChr m:val="{"/>
                    <m:endChr m:val=""/>
                    <m:ctrlPr>
                      <w:rPr>
                        <w:rFonts w:ascii="Cambria Math" w:hAnsi="Cambria Math"/>
                      </w:rPr>
                    </m:ctrlPr>
                  </m:dPr>
                  <m:e>
                    <m:m>
                      <m:mPr>
                        <m:cGp m:val="8"/>
                        <m:mcs>
                          <m:mc>
                            <m:mcPr>
                              <m:count m:val="2"/>
                              <m:mcJc m:val="left"/>
                            </m:mcPr>
                          </m:mc>
                        </m:mcs>
                        <m:ctrlPr>
                          <w:rPr>
                            <w:rFonts w:ascii="Cambria Math" w:hAnsi="Cambria Math"/>
                            <w:i/>
                          </w:rPr>
                        </m:ctrlPr>
                      </m:mPr>
                      <m:mr>
                        <m:e>
                          <m:f>
                            <m:fPr>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rPr>
                                    <m:t>bf</m:t>
                                  </m:r>
                                </m:sub>
                              </m:sSub>
                            </m:num>
                            <m:den>
                              <m:sSub>
                                <m:sSubPr>
                                  <m:ctrlPr>
                                    <w:rPr>
                                      <w:rFonts w:ascii="Cambria Math" w:hAnsi="Cambria Math"/>
                                    </w:rPr>
                                  </m:ctrlPr>
                                </m:sSubPr>
                                <m:e>
                                  <m:r>
                                    <w:rPr>
                                      <w:rFonts w:ascii="Cambria Math" w:hAnsi="Cambria Math"/>
                                    </w:rPr>
                                    <m:t>l</m:t>
                                  </m:r>
                                </m:e>
                                <m:sub>
                                  <m:r>
                                    <m:rPr>
                                      <m:sty m:val="p"/>
                                    </m:rPr>
                                    <w:rPr>
                                      <w:rFonts w:ascii="Cambria Math" w:hAnsi="Cambria Math"/>
                                    </w:rPr>
                                    <m:t>bf,max,k</m:t>
                                  </m:r>
                                </m:sub>
                              </m:sSub>
                            </m:den>
                          </m:f>
                          <m:d>
                            <m:dPr>
                              <m:ctrlPr>
                                <w:rPr>
                                  <w:rFonts w:ascii="Cambria Math" w:hAnsi="Cambria Math"/>
                                </w:rPr>
                              </m:ctrlPr>
                            </m:dPr>
                            <m:e>
                              <m:r>
                                <w:rPr>
                                  <w:rFonts w:ascii="Cambria Math" w:hAnsi="Cambria Math"/>
                                </w:rPr>
                                <m:t>2-</m:t>
                              </m:r>
                              <m:f>
                                <m:fPr>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rPr>
                                        <m:t>bf</m:t>
                                      </m:r>
                                    </m:sub>
                                  </m:sSub>
                                </m:num>
                                <m:den>
                                  <m:sSub>
                                    <m:sSubPr>
                                      <m:ctrlPr>
                                        <w:rPr>
                                          <w:rFonts w:ascii="Cambria Math" w:hAnsi="Cambria Math"/>
                                        </w:rPr>
                                      </m:ctrlPr>
                                    </m:sSubPr>
                                    <m:e>
                                      <m:r>
                                        <w:rPr>
                                          <w:rFonts w:ascii="Cambria Math" w:hAnsi="Cambria Math"/>
                                        </w:rPr>
                                        <m:t>l</m:t>
                                      </m:r>
                                    </m:e>
                                    <m:sub>
                                      <m:r>
                                        <m:rPr>
                                          <m:sty m:val="p"/>
                                        </m:rPr>
                                        <w:rPr>
                                          <w:rFonts w:ascii="Cambria Math" w:hAnsi="Cambria Math"/>
                                        </w:rPr>
                                        <m:t>bf,max,k</m:t>
                                      </m:r>
                                    </m:sub>
                                  </m:sSub>
                                </m:den>
                              </m:f>
                            </m:e>
                          </m:d>
                          <m:r>
                            <w:rPr>
                              <w:rFonts w:ascii="Cambria Math" w:hAnsi="Cambria Math"/>
                            </w:rPr>
                            <m:t>&lt;1</m:t>
                          </m:r>
                        </m:e>
                        <m:e>
                          <m:r>
                            <m:rPr>
                              <m:nor/>
                            </m:rPr>
                            <w:rPr>
                              <w:rFonts w:ascii="Cambria Math" w:hAnsi="Cambria Math"/>
                            </w:rPr>
                            <m:t>if</m:t>
                          </m:r>
                          <m:sSub>
                            <m:sSubPr>
                              <m:ctrlPr>
                                <w:rPr>
                                  <w:rFonts w:ascii="Cambria Math" w:hAnsi="Cambria Math"/>
                                </w:rPr>
                              </m:ctrlPr>
                            </m:sSubPr>
                            <m:e>
                              <m:r>
                                <w:rPr>
                                  <w:rFonts w:ascii="Cambria Math" w:hAnsi="Cambria Math"/>
                                </w:rPr>
                                <m:t xml:space="preserve"> l</m:t>
                              </m:r>
                            </m:e>
                            <m:sub>
                              <m:r>
                                <m:rPr>
                                  <m:sty m:val="p"/>
                                </m:rPr>
                                <w:rPr>
                                  <w:rFonts w:ascii="Cambria Math" w:hAnsi="Cambria Math"/>
                                </w:rPr>
                                <m:t>bf</m:t>
                              </m:r>
                            </m:sub>
                          </m:sSub>
                          <m:r>
                            <w:rPr>
                              <w:rFonts w:ascii="Cambria Math" w:hAnsi="Cambria Math"/>
                            </w:rPr>
                            <m:t>&lt;</m:t>
                          </m:r>
                          <m:sSub>
                            <m:sSubPr>
                              <m:ctrlPr>
                                <w:rPr>
                                  <w:rFonts w:ascii="Cambria Math" w:hAnsi="Cambria Math"/>
                                </w:rPr>
                              </m:ctrlPr>
                            </m:sSubPr>
                            <m:e>
                              <m:r>
                                <w:rPr>
                                  <w:rFonts w:ascii="Cambria Math" w:hAnsi="Cambria Math"/>
                                </w:rPr>
                                <m:t>l</m:t>
                              </m:r>
                            </m:e>
                            <m:sub>
                              <m:r>
                                <m:rPr>
                                  <m:sty m:val="p"/>
                                </m:rPr>
                                <w:rPr>
                                  <w:rFonts w:ascii="Cambria Math" w:hAnsi="Cambria Math"/>
                                </w:rPr>
                                <m:t>bf,max,k</m:t>
                              </m:r>
                            </m:sub>
                          </m:sSub>
                        </m:e>
                      </m:mr>
                      <m:mr>
                        <m:e>
                          <m:r>
                            <w:rPr>
                              <w:rFonts w:ascii="Cambria Math" w:hAnsi="Cambria Math"/>
                            </w:rPr>
                            <m:t>1</m:t>
                          </m:r>
                        </m:e>
                        <m:e>
                          <m:r>
                            <m:rPr>
                              <m:nor/>
                            </m:rPr>
                            <w:rPr>
                              <w:rFonts w:ascii="Cambria Math" w:hAnsi="Cambria Math"/>
                            </w:rPr>
                            <m:t>if</m:t>
                          </m:r>
                          <m:sSub>
                            <m:sSubPr>
                              <m:ctrlPr>
                                <w:rPr>
                                  <w:rFonts w:ascii="Cambria Math" w:hAnsi="Cambria Math"/>
                                </w:rPr>
                              </m:ctrlPr>
                            </m:sSubPr>
                            <m:e>
                              <m:r>
                                <w:rPr>
                                  <w:rFonts w:ascii="Cambria Math" w:hAnsi="Cambria Math"/>
                                </w:rPr>
                                <m:t xml:space="preserve"> l</m:t>
                              </m:r>
                            </m:e>
                            <m:sub>
                              <m:r>
                                <m:rPr>
                                  <m:sty m:val="p"/>
                                </m:rPr>
                                <w:rPr>
                                  <w:rFonts w:ascii="Cambria Math" w:hAnsi="Cambria Math"/>
                                </w:rPr>
                                <m:t>bf</m:t>
                              </m:r>
                            </m:sub>
                          </m:sSub>
                          <m: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bf,max,k</m:t>
                              </m:r>
                            </m:sub>
                          </m:sSub>
                        </m:e>
                      </m:mr>
                    </m:m>
                    <m:m>
                      <m:mPr>
                        <m:cGp m:val="8"/>
                        <m:mcs>
                          <m:mc>
                            <m:mcPr>
                              <m:count m:val="1"/>
                              <m:mcJc m:val="left"/>
                            </m:mcPr>
                          </m:mc>
                        </m:mcs>
                        <m:ctrlPr>
                          <w:rPr>
                            <w:rFonts w:ascii="Cambria Math" w:hAnsi="Cambria Math"/>
                            <w:i/>
                          </w:rPr>
                        </m:ctrlPr>
                      </m:mPr>
                      <m:mr>
                        <m:e>
                          <m:r>
                            <w:rPr>
                              <w:rFonts w:ascii="Cambria Math" w:hAnsi="Cambria Math"/>
                            </w:rPr>
                            <m:t xml:space="preserve"> </m:t>
                          </m:r>
                        </m:e>
                      </m:mr>
                      <m:mr>
                        <m:e>
                          <m:r>
                            <w:rPr>
                              <w:rFonts w:ascii="Cambria Math" w:hAnsi="Cambria Math"/>
                            </w:rPr>
                            <m:t xml:space="preserve"> </m:t>
                          </m:r>
                        </m:e>
                      </m:mr>
                    </m:m>
                  </m:e>
                </m:d>
              </m:oMath>
            </m:oMathPara>
          </w:p>
        </w:tc>
        <w:tc>
          <w:tcPr>
            <w:tcW w:w="1247" w:type="dxa"/>
            <w:vAlign w:val="center"/>
          </w:tcPr>
          <w:p w14:paraId="162447D7" w14:textId="1DFCC85B" w:rsidR="00A87840" w:rsidRPr="001455DC" w:rsidRDefault="00A87840" w:rsidP="00A57FDC">
            <w:pPr>
              <w:pStyle w:val="a7"/>
              <w:jc w:val="right"/>
            </w:pPr>
            <w:r w:rsidRPr="001455DC">
              <w:t>(J.30)</w:t>
            </w:r>
          </w:p>
        </w:tc>
      </w:tr>
      <w:tr w:rsidR="00A87840" w:rsidRPr="001455DC" w14:paraId="4FB0AB3A" w14:textId="77777777" w:rsidTr="00A57FDC">
        <w:trPr>
          <w:cantSplit/>
        </w:trPr>
        <w:tc>
          <w:tcPr>
            <w:tcW w:w="8505" w:type="dxa"/>
            <w:vAlign w:val="center"/>
          </w:tcPr>
          <w:p w14:paraId="5FB76B03" w14:textId="38862ECA" w:rsidR="00A87840" w:rsidRPr="001455DC" w:rsidRDefault="00231E33" w:rsidP="00A57FDC">
            <w:pPr>
              <w:pStyle w:val="Formula"/>
              <w:jc w:val="left"/>
            </w:pPr>
            <m:oMathPara>
              <m:oMathParaPr>
                <m:jc m:val="left"/>
              </m:oMathParaPr>
              <m:oMath>
                <m:sSub>
                  <m:sSubPr>
                    <m:ctrlPr>
                      <w:rPr>
                        <w:rFonts w:ascii="Cambria Math" w:hAnsi="Cambria Math"/>
                        <w:bCs/>
                      </w:rPr>
                    </m:ctrlPr>
                  </m:sSubPr>
                  <m:e>
                    <m:r>
                      <w:rPr>
                        <w:rFonts w:ascii="Cambria Math" w:hAnsi="Cambria Math"/>
                      </w:rPr>
                      <m:t>l</m:t>
                    </m:r>
                  </m:e>
                  <m:sub>
                    <m:r>
                      <w:rPr>
                        <w:rFonts w:ascii="Cambria Math" w:hAnsi="Cambria Math"/>
                      </w:rPr>
                      <m:t>b</m:t>
                    </m:r>
                    <m:r>
                      <m:rPr>
                        <m:sty m:val="p"/>
                      </m:rPr>
                      <w:rPr>
                        <w:rFonts w:ascii="Cambria Math" w:hAnsi="Cambria Math"/>
                      </w:rPr>
                      <m:t>f,max,k</m:t>
                    </m:r>
                  </m:sub>
                </m:sSub>
                <m:r>
                  <w:rPr>
                    <w:rFonts w:ascii="Cambria Math" w:hAnsi="Cambria Math"/>
                  </w:rPr>
                  <m:t>=</m:t>
                </m:r>
                <m:f>
                  <m:fPr>
                    <m:ctrlPr>
                      <w:rPr>
                        <w:rFonts w:ascii="Cambria Math" w:hAnsi="Cambria Math"/>
                        <w:bCs/>
                      </w:rPr>
                    </m:ctrlPr>
                  </m:fPr>
                  <m:num>
                    <m:r>
                      <w:rPr>
                        <w:rFonts w:ascii="Cambria Math" w:hAnsi="Cambria Math"/>
                      </w:rPr>
                      <m:t>1.5π</m:t>
                    </m:r>
                  </m:num>
                  <m:den>
                    <m:sSub>
                      <m:sSubPr>
                        <m:ctrlPr>
                          <w:rPr>
                            <w:rFonts w:ascii="Cambria Math" w:hAnsi="Cambria Math"/>
                            <w:bCs/>
                          </w:rPr>
                        </m:ctrlPr>
                      </m:sSubPr>
                      <m:e>
                        <m:r>
                          <w:rPr>
                            <w:rFonts w:ascii="Cambria Math" w:hAnsi="Cambria Math"/>
                          </w:rPr>
                          <m:t>k</m:t>
                        </m:r>
                      </m:e>
                      <m:sub>
                        <m:r>
                          <m:rPr>
                            <m:sty m:val="p"/>
                          </m:rPr>
                          <w:rPr>
                            <w:rFonts w:ascii="Cambria Math" w:hAnsi="Cambria Math"/>
                          </w:rPr>
                          <m:t>b</m:t>
                        </m:r>
                      </m:sub>
                    </m:sSub>
                  </m:den>
                </m:f>
                <m:rad>
                  <m:radPr>
                    <m:degHide m:val="1"/>
                    <m:ctrlPr>
                      <w:rPr>
                        <w:rFonts w:ascii="Cambria Math" w:hAnsi="Cambria Math"/>
                        <w:bCs/>
                      </w:rPr>
                    </m:ctrlPr>
                  </m:radPr>
                  <m:deg/>
                  <m:e>
                    <m:f>
                      <m:fPr>
                        <m:ctrlPr>
                          <w:rPr>
                            <w:rFonts w:ascii="Cambria Math" w:hAnsi="Cambria Math"/>
                            <w:bCs/>
                          </w:rPr>
                        </m:ctrlPr>
                      </m:fPr>
                      <m:num>
                        <m:sSub>
                          <m:sSubPr>
                            <m:ctrlPr>
                              <w:rPr>
                                <w:rFonts w:ascii="Cambria Math" w:hAnsi="Cambria Math"/>
                                <w:bCs/>
                              </w:rPr>
                            </m:ctrlPr>
                          </m:sSubPr>
                          <m:e>
                            <m:r>
                              <w:rPr>
                                <w:rFonts w:ascii="Cambria Math" w:hAnsi="Cambria Math"/>
                              </w:rPr>
                              <m:t>E</m:t>
                            </m:r>
                          </m:e>
                          <m:sub>
                            <m:r>
                              <w:rPr>
                                <w:rFonts w:ascii="Cambria Math" w:hAnsi="Cambria Math"/>
                              </w:rPr>
                              <m:t>f</m:t>
                            </m:r>
                          </m:sub>
                        </m:sSub>
                        <m:r>
                          <w:rPr>
                            <w:rFonts w:ascii="Cambria Math" w:hAnsi="Cambria Math"/>
                          </w:rPr>
                          <m:t>∙</m:t>
                        </m:r>
                        <m:sSub>
                          <m:sSubPr>
                            <m:ctrlPr>
                              <w:rPr>
                                <w:rFonts w:ascii="Cambria Math" w:hAnsi="Cambria Math"/>
                                <w:bCs/>
                              </w:rPr>
                            </m:ctrlPr>
                          </m:sSubPr>
                          <m:e>
                            <m:r>
                              <w:rPr>
                                <w:rFonts w:ascii="Cambria Math" w:hAnsi="Cambria Math"/>
                              </w:rPr>
                              <m:t>t</m:t>
                            </m:r>
                          </m:e>
                          <m:sub>
                            <m:r>
                              <w:rPr>
                                <w:rFonts w:ascii="Cambria Math" w:hAnsi="Cambria Math"/>
                              </w:rPr>
                              <m:t>f</m:t>
                            </m:r>
                          </m:sub>
                        </m:sSub>
                      </m:num>
                      <m:den>
                        <m:r>
                          <w:rPr>
                            <w:rFonts w:ascii="Cambria Math" w:hAnsi="Cambria Math"/>
                          </w:rPr>
                          <m:t>8</m:t>
                        </m:r>
                        <m:sSubSup>
                          <m:sSubSupPr>
                            <m:ctrlPr>
                              <w:rPr>
                                <w:rFonts w:ascii="Cambria Math" w:hAnsi="Cambria Math"/>
                                <w:bCs/>
                              </w:rPr>
                            </m:ctrlPr>
                          </m:sSubSupPr>
                          <m:e>
                            <m:r>
                              <w:rPr>
                                <w:rFonts w:ascii="Cambria Math" w:hAnsi="Cambria Math"/>
                              </w:rPr>
                              <m:t>f</m:t>
                            </m:r>
                          </m:e>
                          <m:sub>
                            <m:r>
                              <m:rPr>
                                <m:sty m:val="p"/>
                              </m:rPr>
                              <w:rPr>
                                <w:rFonts w:ascii="Cambria Math" w:hAnsi="Cambria Math"/>
                              </w:rPr>
                              <m:t>cm</m:t>
                            </m:r>
                          </m:sub>
                          <m:sup>
                            <m:f>
                              <m:fPr>
                                <m:type m:val="skw"/>
                                <m:ctrlPr>
                                  <w:rPr>
                                    <w:rFonts w:ascii="Cambria Math" w:hAnsi="Cambria Math"/>
                                    <w:bCs/>
                                  </w:rPr>
                                </m:ctrlPr>
                              </m:fPr>
                              <m:num>
                                <m:r>
                                  <w:rPr>
                                    <w:rFonts w:ascii="Cambria Math" w:hAnsi="Cambria Math"/>
                                  </w:rPr>
                                  <m:t>2</m:t>
                                </m:r>
                              </m:num>
                              <m:den>
                                <m:r>
                                  <w:rPr>
                                    <w:rFonts w:ascii="Cambria Math" w:hAnsi="Cambria Math"/>
                                  </w:rPr>
                                  <m:t>3</m:t>
                                </m:r>
                              </m:den>
                            </m:f>
                          </m:sup>
                        </m:sSubSup>
                      </m:den>
                    </m:f>
                  </m:e>
                </m:rad>
              </m:oMath>
            </m:oMathPara>
          </w:p>
        </w:tc>
        <w:tc>
          <w:tcPr>
            <w:tcW w:w="1247" w:type="dxa"/>
            <w:vAlign w:val="center"/>
          </w:tcPr>
          <w:p w14:paraId="1A913526" w14:textId="0F4BD08A" w:rsidR="00A87840" w:rsidRPr="001455DC" w:rsidRDefault="00A87840" w:rsidP="00A57FDC">
            <w:pPr>
              <w:pStyle w:val="a7"/>
              <w:jc w:val="right"/>
            </w:pPr>
            <w:r w:rsidRPr="001455DC">
              <w:t>(J.31)</w:t>
            </w:r>
          </w:p>
        </w:tc>
      </w:tr>
    </w:tbl>
    <w:p w14:paraId="60DB95BC" w14:textId="47098171" w:rsidR="004E22C1" w:rsidRPr="001455DC" w:rsidRDefault="004E22C1" w:rsidP="00243590">
      <w:pPr>
        <w:pStyle w:val="a5"/>
      </w:pPr>
      <w:bookmarkStart w:id="1963" w:name="_Toc52820285"/>
      <w:bookmarkStart w:id="1964" w:name="_Toc54337713"/>
      <w:r w:rsidRPr="001455DC">
        <w:t>Refined method</w:t>
      </w:r>
      <w:bookmarkEnd w:id="1963"/>
      <w:bookmarkEnd w:id="1964"/>
    </w:p>
    <w:p w14:paraId="73D6C644" w14:textId="77777777" w:rsidR="00F60602" w:rsidRPr="001455DC" w:rsidRDefault="004E22C1" w:rsidP="00DE6BBC">
      <w:pPr>
        <w:pStyle w:val="a7"/>
        <w:keepNext/>
      </w:pPr>
      <w:r w:rsidRPr="001455DC">
        <w:t>(1)</w:t>
      </w:r>
      <w:r w:rsidRPr="001455DC">
        <w:tab/>
        <w:t>If more accurate data for the EBR CFRP reinforcement system is known based on production data, the following more refined analysis may be used to determine anchorage resistance. The design bond strength of the anchorage, of the EBR CFRP reinforcement system may be taken as the following:</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F60602" w:rsidRPr="001455DC" w14:paraId="1116E95B" w14:textId="77777777" w:rsidTr="00A57FDC">
        <w:trPr>
          <w:cantSplit/>
        </w:trPr>
        <w:tc>
          <w:tcPr>
            <w:tcW w:w="8505" w:type="dxa"/>
            <w:vAlign w:val="center"/>
          </w:tcPr>
          <w:p w14:paraId="11811518" w14:textId="4B6E656A" w:rsidR="00F60602" w:rsidRPr="001455DC" w:rsidRDefault="00231E33" w:rsidP="00A57FDC">
            <w:pPr>
              <w:pStyle w:val="Formula"/>
              <w:jc w:val="left"/>
            </w:pPr>
            <m:oMathPara>
              <m:oMathParaPr>
                <m:jc m:val="left"/>
              </m:oMathParaPr>
              <m:oMath>
                <m:sSub>
                  <m:sSubPr>
                    <m:ctrlPr>
                      <w:rPr>
                        <w:rFonts w:ascii="Cambria Math" w:hAnsi="Cambria Math"/>
                        <w:bCs/>
                      </w:rPr>
                    </m:ctrlPr>
                  </m:sSubPr>
                  <m:e>
                    <m:r>
                      <w:rPr>
                        <w:rFonts w:ascii="Cambria Math" w:hAnsi="Cambria Math"/>
                      </w:rPr>
                      <m:t>f</m:t>
                    </m:r>
                  </m:e>
                  <m:sub>
                    <m:r>
                      <m:rPr>
                        <m:sty m:val="p"/>
                      </m:rPr>
                      <w:rPr>
                        <w:rFonts w:ascii="Cambria Math" w:hAnsi="Cambria Math"/>
                      </w:rPr>
                      <m:t>bfRd</m:t>
                    </m:r>
                  </m:sub>
                </m:sSub>
                <m:r>
                  <w:rPr>
                    <w:rFonts w:ascii="Cambria Math" w:hAnsi="Cambria Math"/>
                  </w:rPr>
                  <m:t>=</m:t>
                </m:r>
                <m:f>
                  <m:fPr>
                    <m:ctrlPr>
                      <w:rPr>
                        <w:rFonts w:ascii="Cambria Math" w:hAnsi="Cambria Math"/>
                      </w:rPr>
                    </m:ctrlPr>
                  </m:fPr>
                  <m:num>
                    <m:rad>
                      <m:radPr>
                        <m:degHide m:val="1"/>
                        <m:ctrlPr>
                          <w:rPr>
                            <w:rFonts w:ascii="Cambria Math" w:hAnsi="Cambria Math"/>
                          </w:rPr>
                        </m:ctrlPr>
                      </m:radPr>
                      <m:deg/>
                      <m:e>
                        <m:sSub>
                          <m:sSubPr>
                            <m:ctrlPr>
                              <w:rPr>
                                <w:rFonts w:ascii="Cambria Math" w:hAnsi="Cambria Math"/>
                              </w:rPr>
                            </m:ctrlPr>
                          </m:sSubPr>
                          <m:e>
                            <m:r>
                              <w:rPr>
                                <w:rFonts w:ascii="Cambria Math" w:hAnsi="Cambria Math"/>
                              </w:rPr>
                              <m:t>η</m:t>
                            </m:r>
                          </m:e>
                          <m:sub>
                            <m:r>
                              <m:rPr>
                                <m:sty m:val="p"/>
                              </m:rPr>
                              <w:rPr>
                                <w:rFonts w:ascii="Cambria Math" w:hAnsi="Cambria Math"/>
                              </w:rPr>
                              <m:t>cc</m:t>
                            </m:r>
                          </m:sub>
                        </m:sSub>
                        <m: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tc</m:t>
                            </m:r>
                          </m:sub>
                        </m:sSub>
                        <m: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tt</m:t>
                            </m:r>
                          </m:sub>
                        </m:sSub>
                        <m:r>
                          <w:rPr>
                            <w:rFonts w:ascii="Cambria Math" w:hAnsi="Cambria Math"/>
                          </w:rPr>
                          <m:t xml:space="preserve"> </m:t>
                        </m:r>
                      </m:e>
                    </m:rad>
                  </m:num>
                  <m:den>
                    <m:sSub>
                      <m:sSubPr>
                        <m:ctrlPr>
                          <w:rPr>
                            <w:rFonts w:ascii="Cambria Math" w:hAnsi="Cambria Math"/>
                          </w:rPr>
                        </m:ctrlPr>
                      </m:sSubPr>
                      <m:e>
                        <m:r>
                          <w:rPr>
                            <w:rFonts w:ascii="Cambria Math" w:hAnsi="Cambria Math"/>
                          </w:rPr>
                          <m:t>γ</m:t>
                        </m:r>
                      </m:e>
                      <m:sub>
                        <m:r>
                          <m:rPr>
                            <m:sty m:val="p"/>
                          </m:rPr>
                          <w:rPr>
                            <w:rFonts w:ascii="Cambria Math" w:hAnsi="Cambria Math"/>
                          </w:rPr>
                          <m:t>BA</m:t>
                        </m:r>
                      </m:sub>
                    </m:sSub>
                  </m:den>
                </m:f>
                <m:r>
                  <w:rPr>
                    <w:rFonts w:ascii="Cambria Math" w:hAnsi="Cambria Math"/>
                  </w:rPr>
                  <m:t>∙</m:t>
                </m:r>
                <m:d>
                  <m:dPr>
                    <m:begChr m:val="{"/>
                    <m:endChr m:val=""/>
                    <m:ctrlPr>
                      <w:rPr>
                        <w:rFonts w:ascii="Cambria Math" w:hAnsi="Cambria Math"/>
                        <w:bCs/>
                      </w:rPr>
                    </m:ctrlPr>
                  </m:dPr>
                  <m:e>
                    <m:m>
                      <m:mPr>
                        <m:cGp m:val="8"/>
                        <m:mcs>
                          <m:mc>
                            <m:mcPr>
                              <m:count m:val="2"/>
                              <m:mcJc m:val="left"/>
                            </m:mcPr>
                          </m:mc>
                        </m:mcs>
                        <m:ctrlPr>
                          <w:rPr>
                            <w:rFonts w:ascii="Cambria Math" w:hAnsi="Cambria Math"/>
                            <w:bCs/>
                            <w:i/>
                          </w:rPr>
                        </m:ctrlPr>
                      </m:mPr>
                      <m:mr>
                        <m:e>
                          <m:sSub>
                            <m:sSubPr>
                              <m:ctrlPr>
                                <w:rPr>
                                  <w:rFonts w:ascii="Cambria Math" w:hAnsi="Cambria Math"/>
                                  <w:bCs/>
                                </w:rPr>
                              </m:ctrlPr>
                            </m:sSubPr>
                            <m:e>
                              <m:r>
                                <w:rPr>
                                  <w:rFonts w:ascii="Cambria Math" w:hAnsi="Cambria Math"/>
                                </w:rPr>
                                <m:t>f</m:t>
                              </m:r>
                            </m:e>
                            <m:sub>
                              <m:r>
                                <m:rPr>
                                  <m:sty m:val="p"/>
                                </m:rPr>
                                <w:rPr>
                                  <w:rFonts w:ascii="Cambria Math" w:hAnsi="Cambria Math"/>
                                </w:rPr>
                                <m:t>bfk,max</m:t>
                              </m:r>
                            </m:sub>
                          </m:sSub>
                          <m:r>
                            <w:rPr>
                              <w:rFonts w:ascii="Cambria Math" w:hAnsi="Cambria Math"/>
                            </w:rPr>
                            <m:t>∙</m:t>
                          </m:r>
                          <m:f>
                            <m:fPr>
                              <m:ctrlPr>
                                <w:rPr>
                                  <w:rFonts w:ascii="Cambria Math" w:hAnsi="Cambria Math"/>
                                  <w:bCs/>
                                </w:rPr>
                              </m:ctrlPr>
                            </m:fPr>
                            <m:num>
                              <m:sSub>
                                <m:sSubPr>
                                  <m:ctrlPr>
                                    <w:rPr>
                                      <w:rFonts w:ascii="Cambria Math" w:hAnsi="Cambria Math"/>
                                      <w:bCs/>
                                    </w:rPr>
                                  </m:ctrlPr>
                                </m:sSubPr>
                                <m:e>
                                  <m:r>
                                    <w:rPr>
                                      <w:rFonts w:ascii="Cambria Math" w:hAnsi="Cambria Math"/>
                                    </w:rPr>
                                    <m:t>l</m:t>
                                  </m:r>
                                </m:e>
                                <m:sub>
                                  <m:r>
                                    <m:rPr>
                                      <m:sty m:val="p"/>
                                    </m:rPr>
                                    <w:rPr>
                                      <w:rFonts w:ascii="Cambria Math" w:hAnsi="Cambria Math"/>
                                    </w:rPr>
                                    <m:t>bf</m:t>
                                  </m:r>
                                </m:sub>
                              </m:sSub>
                            </m:num>
                            <m:den>
                              <m:sSub>
                                <m:sSubPr>
                                  <m:ctrlPr>
                                    <w:rPr>
                                      <w:rFonts w:ascii="Cambria Math" w:hAnsi="Cambria Math"/>
                                      <w:bCs/>
                                    </w:rPr>
                                  </m:ctrlPr>
                                </m:sSubPr>
                                <m:e>
                                  <m:r>
                                    <w:rPr>
                                      <w:rFonts w:ascii="Cambria Math" w:hAnsi="Cambria Math"/>
                                    </w:rPr>
                                    <m:t>l</m:t>
                                  </m:r>
                                </m:e>
                                <m:sub>
                                  <m:r>
                                    <m:rPr>
                                      <m:sty m:val="p"/>
                                    </m:rPr>
                                    <w:rPr>
                                      <w:rFonts w:ascii="Cambria Math" w:hAnsi="Cambria Math"/>
                                    </w:rPr>
                                    <m:t>bf,max</m:t>
                                  </m:r>
                                </m:sub>
                              </m:sSub>
                            </m:den>
                          </m:f>
                          <m:d>
                            <m:dPr>
                              <m:ctrlPr>
                                <w:rPr>
                                  <w:rFonts w:ascii="Cambria Math" w:hAnsi="Cambria Math"/>
                                  <w:bCs/>
                                </w:rPr>
                              </m:ctrlPr>
                            </m:dPr>
                            <m:e>
                              <m:r>
                                <w:rPr>
                                  <w:rFonts w:ascii="Cambria Math" w:hAnsi="Cambria Math"/>
                                </w:rPr>
                                <m:t>2-</m:t>
                              </m:r>
                              <m:f>
                                <m:fPr>
                                  <m:ctrlPr>
                                    <w:rPr>
                                      <w:rFonts w:ascii="Cambria Math" w:hAnsi="Cambria Math"/>
                                      <w:bCs/>
                                    </w:rPr>
                                  </m:ctrlPr>
                                </m:fPr>
                                <m:num>
                                  <m:sSub>
                                    <m:sSubPr>
                                      <m:ctrlPr>
                                        <w:rPr>
                                          <w:rFonts w:ascii="Cambria Math" w:hAnsi="Cambria Math"/>
                                          <w:bCs/>
                                        </w:rPr>
                                      </m:ctrlPr>
                                    </m:sSubPr>
                                    <m:e>
                                      <m:r>
                                        <w:rPr>
                                          <w:rFonts w:ascii="Cambria Math" w:hAnsi="Cambria Math"/>
                                        </w:rPr>
                                        <m:t>l</m:t>
                                      </m:r>
                                    </m:e>
                                    <m:sub>
                                      <m:r>
                                        <m:rPr>
                                          <m:sty m:val="p"/>
                                        </m:rPr>
                                        <w:rPr>
                                          <w:rFonts w:ascii="Cambria Math" w:hAnsi="Cambria Math"/>
                                        </w:rPr>
                                        <m:t>bf</m:t>
                                      </m:r>
                                    </m:sub>
                                  </m:sSub>
                                </m:num>
                                <m:den>
                                  <m:sSub>
                                    <m:sSubPr>
                                      <m:ctrlPr>
                                        <w:rPr>
                                          <w:rFonts w:ascii="Cambria Math" w:hAnsi="Cambria Math"/>
                                          <w:bCs/>
                                        </w:rPr>
                                      </m:ctrlPr>
                                    </m:sSubPr>
                                    <m:e>
                                      <m:r>
                                        <w:rPr>
                                          <w:rFonts w:ascii="Cambria Math" w:hAnsi="Cambria Math"/>
                                        </w:rPr>
                                        <m:t>l</m:t>
                                      </m:r>
                                    </m:e>
                                    <m:sub>
                                      <m:r>
                                        <m:rPr>
                                          <m:sty m:val="p"/>
                                        </m:rPr>
                                        <w:rPr>
                                          <w:rFonts w:ascii="Cambria Math" w:hAnsi="Cambria Math"/>
                                        </w:rPr>
                                        <m:t>bf,max</m:t>
                                      </m:r>
                                    </m:sub>
                                  </m:sSub>
                                </m:den>
                              </m:f>
                            </m:e>
                          </m:d>
                        </m:e>
                        <m:e>
                          <m:r>
                            <m:rPr>
                              <m:nor/>
                            </m:rPr>
                            <w:rPr>
                              <w:rFonts w:ascii="Cambria Math" w:hAnsi="Cambria Math"/>
                            </w:rPr>
                            <m:t>where</m:t>
                          </m:r>
                          <m:sSub>
                            <m:sSubPr>
                              <m:ctrlPr>
                                <w:rPr>
                                  <w:rFonts w:ascii="Cambria Math" w:hAnsi="Cambria Math"/>
                                  <w:bCs/>
                                </w:rPr>
                              </m:ctrlPr>
                            </m:sSubPr>
                            <m:e>
                              <m:r>
                                <w:rPr>
                                  <w:rFonts w:ascii="Cambria Math" w:hAnsi="Cambria Math"/>
                                </w:rPr>
                                <m:t xml:space="preserve"> l</m:t>
                              </m:r>
                            </m:e>
                            <m:sub>
                              <m:r>
                                <m:rPr>
                                  <m:sty m:val="p"/>
                                </m:rPr>
                                <w:rPr>
                                  <w:rFonts w:ascii="Cambria Math" w:hAnsi="Cambria Math"/>
                                </w:rPr>
                                <m:t>bf</m:t>
                              </m:r>
                            </m:sub>
                          </m:sSub>
                          <m:r>
                            <w:rPr>
                              <w:rFonts w:ascii="Cambria Math" w:hAnsi="Cambria Math"/>
                            </w:rPr>
                            <m:t>&lt;</m:t>
                          </m:r>
                          <m:sSub>
                            <m:sSubPr>
                              <m:ctrlPr>
                                <w:rPr>
                                  <w:rFonts w:ascii="Cambria Math" w:hAnsi="Cambria Math"/>
                                  <w:bCs/>
                                </w:rPr>
                              </m:ctrlPr>
                            </m:sSubPr>
                            <m:e>
                              <m:r>
                                <w:rPr>
                                  <w:rFonts w:ascii="Cambria Math" w:hAnsi="Cambria Math"/>
                                </w:rPr>
                                <m:t>l</m:t>
                              </m:r>
                            </m:e>
                            <m:sub>
                              <m:r>
                                <m:rPr>
                                  <m:sty m:val="p"/>
                                </m:rPr>
                                <w:rPr>
                                  <w:rFonts w:ascii="Cambria Math" w:hAnsi="Cambria Math"/>
                                </w:rPr>
                                <m:t>bf,max</m:t>
                              </m:r>
                            </m:sub>
                          </m:sSub>
                        </m:e>
                      </m:mr>
                      <m:mr>
                        <m:e>
                          <m:r>
                            <w:rPr>
                              <w:rFonts w:ascii="Cambria Math" w:hAnsi="Cambria Math"/>
                            </w:rPr>
                            <m:t xml:space="preserve"> </m:t>
                          </m:r>
                          <m:sSub>
                            <m:sSubPr>
                              <m:ctrlPr>
                                <w:rPr>
                                  <w:rFonts w:ascii="Cambria Math" w:hAnsi="Cambria Math"/>
                                  <w:bCs/>
                                </w:rPr>
                              </m:ctrlPr>
                            </m:sSubPr>
                            <m:e>
                              <m:r>
                                <w:rPr>
                                  <w:rFonts w:ascii="Cambria Math" w:hAnsi="Cambria Math"/>
                                </w:rPr>
                                <m:t>f</m:t>
                              </m:r>
                            </m:e>
                            <m:sub>
                              <m:r>
                                <m:rPr>
                                  <m:sty m:val="p"/>
                                </m:rPr>
                                <w:rPr>
                                  <w:rFonts w:ascii="Cambria Math" w:hAnsi="Cambria Math"/>
                                </w:rPr>
                                <m:t>bfk,max</m:t>
                              </m:r>
                            </m:sub>
                          </m:sSub>
                          <m:r>
                            <w:rPr>
                              <w:rFonts w:ascii="Cambria Math" w:hAnsi="Cambria Math"/>
                            </w:rPr>
                            <m:t xml:space="preserve"> </m:t>
                          </m:r>
                        </m:e>
                        <m:e>
                          <m:r>
                            <m:rPr>
                              <m:nor/>
                            </m:rPr>
                            <w:rPr>
                              <w:rFonts w:ascii="Cambria Math" w:hAnsi="Cambria Math"/>
                            </w:rPr>
                            <m:t>where</m:t>
                          </m:r>
                          <m:r>
                            <w:rPr>
                              <w:rFonts w:ascii="Cambria Math" w:hAnsi="Cambria Math"/>
                            </w:rPr>
                            <m:t xml:space="preserve"> </m:t>
                          </m:r>
                          <m:sSub>
                            <m:sSubPr>
                              <m:ctrlPr>
                                <w:rPr>
                                  <w:rFonts w:ascii="Cambria Math" w:hAnsi="Cambria Math"/>
                                  <w:bCs/>
                                </w:rPr>
                              </m:ctrlPr>
                            </m:sSubPr>
                            <m:e>
                              <m:r>
                                <w:rPr>
                                  <w:rFonts w:ascii="Cambria Math" w:hAnsi="Cambria Math"/>
                                </w:rPr>
                                <m:t xml:space="preserve"> l</m:t>
                              </m:r>
                            </m:e>
                            <m:sub>
                              <m:r>
                                <m:rPr>
                                  <m:sty m:val="p"/>
                                </m:rPr>
                                <w:rPr>
                                  <w:rFonts w:ascii="Cambria Math" w:hAnsi="Cambria Math"/>
                                </w:rPr>
                                <m:t>bf</m:t>
                              </m:r>
                            </m:sub>
                          </m:sSub>
                          <m:r>
                            <w:rPr>
                              <w:rFonts w:ascii="Cambria Math" w:hAnsi="Cambria Math"/>
                            </w:rPr>
                            <m:t>≥</m:t>
                          </m:r>
                          <m:sSub>
                            <m:sSubPr>
                              <m:ctrlPr>
                                <w:rPr>
                                  <w:rFonts w:ascii="Cambria Math" w:hAnsi="Cambria Math"/>
                                  <w:bCs/>
                                </w:rPr>
                              </m:ctrlPr>
                            </m:sSubPr>
                            <m:e>
                              <m:r>
                                <w:rPr>
                                  <w:rFonts w:ascii="Cambria Math" w:hAnsi="Cambria Math"/>
                                </w:rPr>
                                <m:t>l</m:t>
                              </m:r>
                            </m:e>
                            <m:sub>
                              <m:r>
                                <m:rPr>
                                  <m:sty m:val="p"/>
                                </m:rPr>
                                <w:rPr>
                                  <w:rFonts w:ascii="Cambria Math" w:hAnsi="Cambria Math"/>
                                </w:rPr>
                                <m:t>bf,max</m:t>
                              </m:r>
                            </m:sub>
                          </m:sSub>
                        </m:e>
                      </m:mr>
                    </m:m>
                  </m:e>
                </m:d>
              </m:oMath>
            </m:oMathPara>
          </w:p>
        </w:tc>
        <w:tc>
          <w:tcPr>
            <w:tcW w:w="1247" w:type="dxa"/>
            <w:vAlign w:val="center"/>
          </w:tcPr>
          <w:p w14:paraId="2012ECE6" w14:textId="14203014" w:rsidR="00F60602" w:rsidRPr="001455DC" w:rsidRDefault="00F60602" w:rsidP="00A57FDC">
            <w:pPr>
              <w:pStyle w:val="a7"/>
              <w:jc w:val="right"/>
            </w:pPr>
            <w:r w:rsidRPr="001455DC">
              <w:t>(J.32)</w:t>
            </w:r>
          </w:p>
        </w:tc>
      </w:tr>
    </w:tbl>
    <w:p w14:paraId="7CDBCFDA" w14:textId="77777777" w:rsidR="00F60602" w:rsidRPr="001455DC" w:rsidRDefault="00F60602" w:rsidP="00A35599">
      <w:pPr>
        <w:pStyle w:val="a7"/>
        <w:keepNext/>
      </w:pPr>
      <w:r w:rsidRPr="001455DC">
        <w:t>where</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F60602" w:rsidRPr="001455DC" w14:paraId="509BF1B7" w14:textId="77777777" w:rsidTr="00A57FDC">
        <w:trPr>
          <w:cantSplit/>
        </w:trPr>
        <w:tc>
          <w:tcPr>
            <w:tcW w:w="8505" w:type="dxa"/>
            <w:vAlign w:val="center"/>
          </w:tcPr>
          <w:p w14:paraId="0F7BDA7A" w14:textId="09824F69" w:rsidR="00F60602" w:rsidRPr="001455DC" w:rsidRDefault="00231E33" w:rsidP="00A57FDC">
            <w:pPr>
              <w:pStyle w:val="Formula"/>
              <w:jc w:val="left"/>
            </w:pPr>
            <m:oMathPara>
              <m:oMathParaPr>
                <m:jc m:val="left"/>
              </m:oMathParaPr>
              <m:oMath>
                <m:sSub>
                  <m:sSubPr>
                    <m:ctrlPr>
                      <w:rPr>
                        <w:rFonts w:ascii="Cambria Math" w:hAnsi="Cambria Math"/>
                        <w:bCs/>
                      </w:rPr>
                    </m:ctrlPr>
                  </m:sSubPr>
                  <m:e>
                    <m:r>
                      <w:rPr>
                        <w:rFonts w:ascii="Cambria Math" w:hAnsi="Cambria Math"/>
                      </w:rPr>
                      <m:t>l</m:t>
                    </m:r>
                  </m:e>
                  <m:sub>
                    <m:r>
                      <m:rPr>
                        <m:sty m:val="p"/>
                      </m:rPr>
                      <w:rPr>
                        <w:rFonts w:ascii="Cambria Math" w:hAnsi="Cambria Math"/>
                      </w:rPr>
                      <m:t>bf,max</m:t>
                    </m:r>
                  </m:sub>
                </m:sSub>
                <m:r>
                  <w:rPr>
                    <w:rFonts w:ascii="Cambria Math" w:hAnsi="Cambria Math"/>
                  </w:rPr>
                  <m:t>=</m:t>
                </m:r>
                <m:f>
                  <m:fPr>
                    <m:ctrlPr>
                      <w:rPr>
                        <w:rFonts w:ascii="Cambria Math" w:hAnsi="Cambria Math"/>
                      </w:rPr>
                    </m:ctrlPr>
                  </m:fPr>
                  <m:num>
                    <m:r>
                      <m:rPr>
                        <m:sty m:val="p"/>
                      </m:rPr>
                      <w:rPr>
                        <w:rFonts w:ascii="Cambria Math" w:hAnsi="Cambria Math"/>
                      </w:rPr>
                      <m:t>π</m:t>
                    </m:r>
                  </m:num>
                  <m:den>
                    <m:r>
                      <w:rPr>
                        <w:rFonts w:ascii="Cambria Math" w:hAnsi="Cambria Math"/>
                      </w:rPr>
                      <m:t>2</m:t>
                    </m:r>
                  </m:den>
                </m:f>
                <m:r>
                  <w:rPr>
                    <w:rFonts w:ascii="Cambria Math" w:hAnsi="Cambria Math"/>
                  </w:rPr>
                  <m:t>∙</m:t>
                </m:r>
                <m:f>
                  <m:fPr>
                    <m:ctrlPr>
                      <w:rPr>
                        <w:rFonts w:ascii="Cambria Math" w:hAnsi="Cambria Math"/>
                      </w:rPr>
                    </m:ctrlPr>
                  </m:fPr>
                  <m:num>
                    <m:rad>
                      <m:radPr>
                        <m:degHide m:val="1"/>
                        <m:ctrlPr>
                          <w:rPr>
                            <w:rFonts w:ascii="Cambria Math" w:hAnsi="Cambria Math"/>
                          </w:rPr>
                        </m:ctrlPr>
                      </m:radPr>
                      <m:deg/>
                      <m:e>
                        <m:sSub>
                          <m:sSubPr>
                            <m:ctrlPr>
                              <w:rPr>
                                <w:rFonts w:ascii="Cambria Math" w:hAnsi="Cambria Math"/>
                              </w:rPr>
                            </m:ctrlPr>
                          </m:sSubPr>
                          <m:e>
                            <m:r>
                              <w:rPr>
                                <w:rFonts w:ascii="Cambria Math" w:hAnsi="Cambria Math"/>
                              </w:rPr>
                              <m:t>E</m:t>
                            </m:r>
                          </m:e>
                          <m:sub>
                            <m:r>
                              <m:rPr>
                                <m:sty m:val="p"/>
                              </m:rP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f0k</m:t>
                            </m:r>
                          </m:sub>
                        </m:sSub>
                        <m:r>
                          <w:rPr>
                            <w:rFonts w:ascii="Cambria Math" w:hAnsi="Cambria Math"/>
                          </w:rPr>
                          <m:t xml:space="preserve"> </m:t>
                        </m:r>
                      </m:e>
                    </m:rad>
                  </m:num>
                  <m:den>
                    <m:sSub>
                      <m:sSubPr>
                        <m:ctrlPr>
                          <w:rPr>
                            <w:rFonts w:ascii="Cambria Math" w:hAnsi="Cambria Math"/>
                          </w:rPr>
                        </m:ctrlPr>
                      </m:sSubPr>
                      <m:e>
                        <m:r>
                          <w:rPr>
                            <w:rFonts w:ascii="Cambria Math" w:hAnsi="Cambria Math"/>
                          </w:rPr>
                          <m:t>τ</m:t>
                        </m:r>
                      </m:e>
                      <m:sub>
                        <m:r>
                          <m:rPr>
                            <m:sty m:val="p"/>
                          </m:rPr>
                          <w:rPr>
                            <w:rFonts w:ascii="Cambria Math" w:hAnsi="Cambria Math"/>
                          </w:rPr>
                          <m:t>f1k</m:t>
                        </m:r>
                      </m:sub>
                    </m:sSub>
                  </m:den>
                </m:f>
              </m:oMath>
            </m:oMathPara>
          </w:p>
        </w:tc>
        <w:tc>
          <w:tcPr>
            <w:tcW w:w="1247" w:type="dxa"/>
            <w:vAlign w:val="center"/>
          </w:tcPr>
          <w:p w14:paraId="1D7946C0" w14:textId="3936AF79" w:rsidR="00F60602" w:rsidRPr="001455DC" w:rsidRDefault="00F60602" w:rsidP="00A57FDC">
            <w:pPr>
              <w:pStyle w:val="a7"/>
              <w:jc w:val="right"/>
            </w:pPr>
            <w:r w:rsidRPr="001455DC">
              <w:t>(J.33)</w:t>
            </w:r>
          </w:p>
        </w:tc>
      </w:tr>
      <w:tr w:rsidR="00F60602" w:rsidRPr="001455DC" w14:paraId="2F93070A" w14:textId="77777777" w:rsidTr="00A57FDC">
        <w:trPr>
          <w:cantSplit/>
        </w:trPr>
        <w:tc>
          <w:tcPr>
            <w:tcW w:w="8505" w:type="dxa"/>
            <w:vAlign w:val="center"/>
          </w:tcPr>
          <w:p w14:paraId="7779AD1B" w14:textId="340975C4" w:rsidR="00F60602" w:rsidRPr="001455DC" w:rsidRDefault="00231E33" w:rsidP="00A57FDC">
            <w:pPr>
              <w:pStyle w:val="Formula"/>
              <w:jc w:val="left"/>
            </w:pPr>
            <m:oMathPara>
              <m:oMathParaPr>
                <m:jc m:val="left"/>
              </m:oMathParaPr>
              <m:oMath>
                <m:sSub>
                  <m:sSubPr>
                    <m:ctrlPr>
                      <w:rPr>
                        <w:rFonts w:ascii="Cambria Math" w:hAnsi="Cambria Math"/>
                        <w:bCs/>
                      </w:rPr>
                    </m:ctrlPr>
                  </m:sSubPr>
                  <m:e>
                    <m:r>
                      <w:rPr>
                        <w:rFonts w:ascii="Cambria Math" w:hAnsi="Cambria Math"/>
                      </w:rPr>
                      <m:t>f</m:t>
                    </m:r>
                  </m:e>
                  <m:sub>
                    <m:r>
                      <m:rPr>
                        <m:sty m:val="p"/>
                      </m:rPr>
                      <w:rPr>
                        <w:rFonts w:ascii="Cambria Math" w:hAnsi="Cambria Math"/>
                      </w:rPr>
                      <m:t>bfk,max</m:t>
                    </m:r>
                  </m:sub>
                </m:sSub>
                <m:r>
                  <w:rPr>
                    <w:rFonts w:ascii="Cambria Math" w:hAnsi="Cambria Math"/>
                  </w:rPr>
                  <m:t>=</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τ</m:t>
                            </m:r>
                          </m:e>
                          <m:sub>
                            <m:r>
                              <m:rPr>
                                <m:sty m:val="p"/>
                              </m:rPr>
                              <w:rPr>
                                <w:rFonts w:ascii="Cambria Math" w:hAnsi="Cambria Math"/>
                              </w:rPr>
                              <m:t>f1k</m:t>
                            </m:r>
                          </m:sub>
                        </m:sSub>
                        <m: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f0k</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f</m:t>
                            </m:r>
                          </m:sub>
                        </m:sSub>
                      </m:den>
                    </m:f>
                  </m:e>
                </m:rad>
              </m:oMath>
            </m:oMathPara>
          </w:p>
        </w:tc>
        <w:tc>
          <w:tcPr>
            <w:tcW w:w="1247" w:type="dxa"/>
            <w:vAlign w:val="center"/>
          </w:tcPr>
          <w:p w14:paraId="11F2EDA1" w14:textId="780F7AF1" w:rsidR="00F60602" w:rsidRPr="001455DC" w:rsidRDefault="00F60602" w:rsidP="00A57FDC">
            <w:pPr>
              <w:pStyle w:val="a7"/>
              <w:jc w:val="right"/>
            </w:pPr>
            <w:r w:rsidRPr="001455DC">
              <w:t>(J.34)</w:t>
            </w:r>
          </w:p>
        </w:tc>
      </w:tr>
      <w:tr w:rsidR="00F60602" w:rsidRPr="001455DC" w14:paraId="377A86CC" w14:textId="77777777" w:rsidTr="00A57FDC">
        <w:trPr>
          <w:cantSplit/>
        </w:trPr>
        <w:tc>
          <w:tcPr>
            <w:tcW w:w="8505" w:type="dxa"/>
            <w:vAlign w:val="center"/>
          </w:tcPr>
          <w:p w14:paraId="615EE664" w14:textId="4E81F6F8" w:rsidR="00F60602" w:rsidRPr="001455DC" w:rsidRDefault="00231E33" w:rsidP="00A57FDC">
            <w:pPr>
              <w:pStyle w:val="Formula"/>
              <w:jc w:val="left"/>
            </w:pPr>
            <m:oMathPara>
              <m:oMathParaPr>
                <m:jc m:val="left"/>
              </m:oMathParaPr>
              <m:oMath>
                <m:sSub>
                  <m:sSubPr>
                    <m:ctrlPr>
                      <w:rPr>
                        <w:rFonts w:ascii="Cambria Math" w:hAnsi="Cambria Math"/>
                      </w:rPr>
                    </m:ctrlPr>
                  </m:sSubPr>
                  <m:e>
                    <m:r>
                      <w:rPr>
                        <w:rFonts w:ascii="Cambria Math" w:hAnsi="Cambria Math"/>
                      </w:rPr>
                      <m:t>s</m:t>
                    </m:r>
                  </m:e>
                  <m:sub>
                    <m:r>
                      <m:rPr>
                        <m:sty m:val="p"/>
                      </m:rPr>
                      <w:rPr>
                        <w:rFonts w:ascii="Cambria Math" w:hAnsi="Cambria Math"/>
                      </w:rPr>
                      <m:t>f0k</m:t>
                    </m:r>
                  </m:sub>
                </m:sSub>
                <m:r>
                  <w:rPr>
                    <w:rFonts w:ascii="Cambria Math" w:hAnsi="Cambria Math"/>
                  </w:rPr>
                  <m:t>=0,2∙</m:t>
                </m:r>
                <m:sSub>
                  <m:sSubPr>
                    <m:ctrlPr>
                      <w:rPr>
                        <w:rFonts w:ascii="Cambria Math" w:hAnsi="Cambria Math"/>
                      </w:rPr>
                    </m:ctrlPr>
                  </m:sSubPr>
                  <m:e>
                    <m:r>
                      <w:rPr>
                        <w:rFonts w:ascii="Cambria Math" w:hAnsi="Cambria Math"/>
                      </w:rPr>
                      <m:t>k</m:t>
                    </m:r>
                  </m:e>
                  <m:sub>
                    <m:r>
                      <m:rPr>
                        <m:sty m:val="p"/>
                      </m:rPr>
                      <w:rPr>
                        <w:rFonts w:ascii="Cambria Math" w:hAnsi="Cambria Math"/>
                      </w:rPr>
                      <m:t>sys,b2</m:t>
                    </m:r>
                  </m:sub>
                </m:sSub>
              </m:oMath>
            </m:oMathPara>
          </w:p>
        </w:tc>
        <w:tc>
          <w:tcPr>
            <w:tcW w:w="1247" w:type="dxa"/>
            <w:vAlign w:val="center"/>
          </w:tcPr>
          <w:p w14:paraId="10B98045" w14:textId="1653BB38" w:rsidR="00F60602" w:rsidRPr="001455DC" w:rsidRDefault="00F60602" w:rsidP="00A57FDC">
            <w:pPr>
              <w:pStyle w:val="a7"/>
              <w:jc w:val="right"/>
            </w:pPr>
            <w:r w:rsidRPr="001455DC">
              <w:t>(J.35)</w:t>
            </w:r>
          </w:p>
        </w:tc>
      </w:tr>
      <w:tr w:rsidR="00F60602" w:rsidRPr="001455DC" w14:paraId="42645278" w14:textId="77777777" w:rsidTr="00A57FDC">
        <w:trPr>
          <w:cantSplit/>
        </w:trPr>
        <w:tc>
          <w:tcPr>
            <w:tcW w:w="8505" w:type="dxa"/>
            <w:vAlign w:val="center"/>
          </w:tcPr>
          <w:p w14:paraId="629ACF38" w14:textId="59E6B83C" w:rsidR="00F60602" w:rsidRPr="001455DC" w:rsidRDefault="00231E33" w:rsidP="00A57FDC">
            <w:pPr>
              <w:pStyle w:val="Formula"/>
              <w:jc w:val="left"/>
            </w:pPr>
            <m:oMathPara>
              <m:oMathParaPr>
                <m:jc m:val="left"/>
              </m:oMathParaPr>
              <m:oMath>
                <m:sSub>
                  <m:sSubPr>
                    <m:ctrlPr>
                      <w:rPr>
                        <w:rFonts w:ascii="Cambria Math" w:hAnsi="Cambria Math"/>
                      </w:rPr>
                    </m:ctrlPr>
                  </m:sSubPr>
                  <m:e>
                    <m:r>
                      <w:rPr>
                        <w:rFonts w:ascii="Cambria Math" w:hAnsi="Cambria Math"/>
                      </w:rPr>
                      <m:t>τ</m:t>
                    </m:r>
                  </m:e>
                  <m:sub>
                    <m:r>
                      <m:rPr>
                        <m:sty m:val="p"/>
                      </m:rPr>
                      <w:rPr>
                        <w:rFonts w:ascii="Cambria Math" w:hAnsi="Cambria Math"/>
                      </w:rPr>
                      <m:t>f1k</m:t>
                    </m:r>
                  </m:sub>
                </m:sSub>
                <m:r>
                  <w:rPr>
                    <w:rFonts w:ascii="Cambria Math" w:hAnsi="Cambria Math"/>
                  </w:rPr>
                  <m:t>=0,37∙</m:t>
                </m:r>
                <m:sSub>
                  <m:sSubPr>
                    <m:ctrlPr>
                      <w:rPr>
                        <w:rFonts w:ascii="Cambria Math" w:hAnsi="Cambria Math"/>
                      </w:rPr>
                    </m:ctrlPr>
                  </m:sSubPr>
                  <m:e>
                    <m:r>
                      <w:rPr>
                        <w:rFonts w:ascii="Cambria Math" w:hAnsi="Cambria Math"/>
                      </w:rPr>
                      <m:t>k</m:t>
                    </m:r>
                  </m:e>
                  <m:sub>
                    <m:r>
                      <m:rPr>
                        <m:sty m:val="p"/>
                      </m:rPr>
                      <w:rPr>
                        <w:rFonts w:ascii="Cambria Math" w:hAnsi="Cambria Math"/>
                      </w:rPr>
                      <m:t>sys,b1</m:t>
                    </m:r>
                  </m:sub>
                </m:sSub>
                <m: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cm</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ctm,surf</m:t>
                            </m:r>
                          </m:sub>
                        </m:sSub>
                      </m:e>
                    </m:d>
                  </m:e>
                  <m:sup>
                    <m:r>
                      <w:rPr>
                        <w:rFonts w:ascii="Cambria Math" w:hAnsi="Cambria Math"/>
                      </w:rPr>
                      <m:t>0,5</m:t>
                    </m:r>
                  </m:sup>
                </m:sSup>
              </m:oMath>
            </m:oMathPara>
          </w:p>
        </w:tc>
        <w:tc>
          <w:tcPr>
            <w:tcW w:w="1247" w:type="dxa"/>
            <w:vAlign w:val="center"/>
          </w:tcPr>
          <w:p w14:paraId="680C7EAB" w14:textId="44F788A6" w:rsidR="00F60602" w:rsidRPr="001455DC" w:rsidRDefault="00F60602" w:rsidP="00A57FDC">
            <w:pPr>
              <w:pStyle w:val="a7"/>
              <w:jc w:val="right"/>
            </w:pPr>
            <w:r w:rsidRPr="001455DC">
              <w:t>(J.36)</w:t>
            </w:r>
          </w:p>
        </w:tc>
      </w:tr>
      <w:tr w:rsidR="00F60602" w:rsidRPr="001455DC" w14:paraId="010E0809" w14:textId="77777777" w:rsidTr="00A57FDC">
        <w:trPr>
          <w:cantSplit/>
        </w:trPr>
        <w:tc>
          <w:tcPr>
            <w:tcW w:w="8505" w:type="dxa"/>
            <w:vAlign w:val="center"/>
          </w:tcPr>
          <w:p w14:paraId="69FBF6F0" w14:textId="6F9B481C" w:rsidR="00F60602" w:rsidRPr="001455DC" w:rsidRDefault="00231E33" w:rsidP="00A57FDC">
            <w:pPr>
              <w:pStyle w:val="Formula"/>
              <w:jc w:val="left"/>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ctm,surf</m:t>
                    </m:r>
                  </m:sub>
                </m:sSub>
                <m:r>
                  <w:rPr>
                    <w:rFonts w:ascii="Cambria Math" w:hAnsi="Cambria Math"/>
                  </w:rPr>
                  <m:t>=0,7∙</m:t>
                </m:r>
                <m:sSub>
                  <m:sSubPr>
                    <m:ctrlPr>
                      <w:rPr>
                        <w:rFonts w:ascii="Cambria Math" w:hAnsi="Cambria Math"/>
                      </w:rPr>
                    </m:ctrlPr>
                  </m:sSubPr>
                  <m:e>
                    <m:r>
                      <w:rPr>
                        <w:rFonts w:ascii="Cambria Math" w:hAnsi="Cambria Math"/>
                      </w:rPr>
                      <m:t>f</m:t>
                    </m:r>
                  </m:e>
                  <m:sub>
                    <m:r>
                      <m:rPr>
                        <m:sty m:val="p"/>
                      </m:rPr>
                      <w:rPr>
                        <w:rFonts w:ascii="Cambria Math" w:hAnsi="Cambria Math"/>
                      </w:rPr>
                      <m:t>ctm</m:t>
                    </m:r>
                  </m:sub>
                </m:sSub>
              </m:oMath>
            </m:oMathPara>
          </w:p>
        </w:tc>
        <w:tc>
          <w:tcPr>
            <w:tcW w:w="1247" w:type="dxa"/>
            <w:vAlign w:val="center"/>
          </w:tcPr>
          <w:p w14:paraId="023D345A" w14:textId="2A9EBD93" w:rsidR="00F60602" w:rsidRPr="001455DC" w:rsidRDefault="00F60602" w:rsidP="00A57FDC">
            <w:pPr>
              <w:pStyle w:val="a7"/>
              <w:jc w:val="right"/>
            </w:pPr>
            <w:r w:rsidRPr="001455DC">
              <w:t>(J.37)</w:t>
            </w:r>
          </w:p>
        </w:tc>
      </w:tr>
    </w:tbl>
    <w:p w14:paraId="3EF03A29" w14:textId="1EBF48E7" w:rsidR="004E22C1" w:rsidRPr="001455DC" w:rsidRDefault="004E22C1" w:rsidP="00A87840">
      <w:pPr>
        <w:pStyle w:val="Note"/>
      </w:pPr>
      <w:r w:rsidRPr="001455DC">
        <w:t>NOTE 1</w:t>
      </w:r>
      <w:r w:rsidRPr="001455DC">
        <w:tab/>
        <w:t xml:space="preserve">The value of </w:t>
      </w:r>
      <m:oMath>
        <m:sSub>
          <m:sSubPr>
            <m:ctrlPr>
              <w:rPr>
                <w:rFonts w:ascii="Cambria Math" w:hAnsi="Cambria Math"/>
              </w:rPr>
            </m:ctrlPr>
          </m:sSubPr>
          <m:e>
            <m:r>
              <w:rPr>
                <w:rFonts w:ascii="Cambria Math" w:hAnsi="Cambria Math"/>
              </w:rPr>
              <m:t>k</m:t>
            </m:r>
          </m:e>
          <m:sub>
            <m:r>
              <m:rPr>
                <m:sty m:val="p"/>
              </m:rPr>
              <w:rPr>
                <w:rFonts w:ascii="Cambria Math" w:hAnsi="Cambria Math"/>
              </w:rPr>
              <m:t>sys,b1</m:t>
            </m:r>
          </m:sub>
        </m:sSub>
      </m:oMath>
      <w:r w:rsidRPr="001455DC">
        <w:t xml:space="preserve"> can be taken as 1,0 unless the more accurate information is available based on production data of EBR CFRP sheets or strips.</w:t>
      </w:r>
    </w:p>
    <w:p w14:paraId="20F3F9F5" w14:textId="17958A41" w:rsidR="004E22C1" w:rsidRPr="001455DC" w:rsidRDefault="004E22C1" w:rsidP="00A87840">
      <w:pPr>
        <w:pStyle w:val="Note"/>
      </w:pPr>
      <w:r w:rsidRPr="001455DC">
        <w:t>NOTE 2</w:t>
      </w:r>
      <w:r w:rsidRPr="001455DC">
        <w:tab/>
        <w:t xml:space="preserve">The value of </w:t>
      </w:r>
      <m:oMath>
        <m:sSub>
          <m:sSubPr>
            <m:ctrlPr>
              <w:rPr>
                <w:rFonts w:ascii="Cambria Math" w:hAnsi="Cambria Math"/>
              </w:rPr>
            </m:ctrlPr>
          </m:sSubPr>
          <m:e>
            <m:r>
              <w:rPr>
                <w:rFonts w:ascii="Cambria Math" w:hAnsi="Cambria Math"/>
              </w:rPr>
              <m:t>k</m:t>
            </m:r>
          </m:e>
          <m:sub>
            <m:r>
              <m:rPr>
                <m:sty m:val="p"/>
              </m:rPr>
              <w:rPr>
                <w:rFonts w:ascii="Cambria Math" w:hAnsi="Cambria Math"/>
              </w:rPr>
              <m:t>sys,b2</m:t>
            </m:r>
          </m:sub>
        </m:sSub>
      </m:oMath>
      <w:r w:rsidRPr="001455DC">
        <w:t xml:space="preserve"> can be taken as 1,0 unless the more accurate information is available based on production data of EBR CFRP sheets or strips.</w:t>
      </w:r>
    </w:p>
    <w:p w14:paraId="4AC8F549" w14:textId="2DAA8B67" w:rsidR="004E22C1" w:rsidRPr="001455DC" w:rsidRDefault="004E22C1" w:rsidP="00A87840">
      <w:pPr>
        <w:pStyle w:val="Note"/>
      </w:pPr>
      <w:r w:rsidRPr="001455DC">
        <w:t>NOTE 3</w:t>
      </w:r>
      <w:r w:rsidRPr="001455DC">
        <w:tab/>
        <w:t xml:space="preserve">The value of </w:t>
      </w:r>
      <m:oMath>
        <m:sSub>
          <m:sSubPr>
            <m:ctrlPr>
              <w:rPr>
                <w:rFonts w:ascii="Cambria Math" w:hAnsi="Cambria Math"/>
              </w:rPr>
            </m:ctrlPr>
          </m:sSubPr>
          <m:e>
            <m:r>
              <w:rPr>
                <w:rFonts w:ascii="Cambria Math" w:hAnsi="Cambria Math"/>
              </w:rPr>
              <m:t>f</m:t>
            </m:r>
          </m:e>
          <m:sub>
            <m:r>
              <m:rPr>
                <m:sty m:val="p"/>
              </m:rPr>
              <w:rPr>
                <w:rFonts w:ascii="Cambria Math" w:hAnsi="Cambria Math"/>
              </w:rPr>
              <m:t>ctm,surf</m:t>
            </m:r>
          </m:sub>
        </m:sSub>
      </m:oMath>
      <w:r w:rsidRPr="001455DC">
        <w:t xml:space="preserve"> from Formula (J.37) can only be used where it cannot be obtained using EN 1542.</w:t>
      </w:r>
    </w:p>
    <w:p w14:paraId="1A76BDB9" w14:textId="67C06BE4" w:rsidR="004E22C1" w:rsidRPr="001455DC" w:rsidRDefault="004E22C1" w:rsidP="00243590">
      <w:pPr>
        <w:pStyle w:val="a4"/>
      </w:pPr>
      <w:bookmarkStart w:id="1965" w:name="_Toc52820286"/>
      <w:bookmarkStart w:id="1966" w:name="_Toc54337714"/>
      <w:bookmarkStart w:id="1967" w:name="_Toc54338338"/>
      <w:r w:rsidRPr="001455DC">
        <w:t>EBR CFRP anchorage requirements — flexure</w:t>
      </w:r>
      <w:bookmarkEnd w:id="1965"/>
      <w:bookmarkEnd w:id="1966"/>
      <w:bookmarkEnd w:id="1967"/>
    </w:p>
    <w:p w14:paraId="6B2327B8" w14:textId="408C2D83" w:rsidR="003A63A9" w:rsidRPr="001455DC" w:rsidRDefault="003A63A9" w:rsidP="00243590">
      <w:pPr>
        <w:pStyle w:val="a5"/>
      </w:pPr>
      <w:r w:rsidRPr="001455DC">
        <w:t>General</w:t>
      </w:r>
    </w:p>
    <w:p w14:paraId="585931A1" w14:textId="77777777" w:rsidR="004E22C1" w:rsidRPr="001455DC" w:rsidRDefault="004E22C1" w:rsidP="00DE6BBC">
      <w:pPr>
        <w:pStyle w:val="a7"/>
        <w:keepNext/>
      </w:pPr>
      <w:r w:rsidRPr="001455DC">
        <w:t>(1)</w:t>
      </w:r>
      <w:r w:rsidRPr="001455DC">
        <w:tab/>
        <w:t>Anchorage of the strengthening system to the concrete surface of a member in flexure shall be provided to avoid the following failure mechanisms:</w:t>
      </w:r>
    </w:p>
    <w:p w14:paraId="70D1DC01" w14:textId="5BF7EC95" w:rsidR="004E22C1" w:rsidRPr="001455DC" w:rsidRDefault="004E22C1" w:rsidP="00A87840">
      <w:pPr>
        <w:pStyle w:val="a0"/>
      </w:pPr>
      <w:r w:rsidRPr="001455DC">
        <w:t>End Anchorage as described in J.11.1.2.</w:t>
      </w:r>
      <w:r w:rsidR="00E71254" w:rsidRPr="001455DC">
        <w:t>2</w:t>
      </w:r>
      <w:r w:rsidRPr="001455DC">
        <w:t>;</w:t>
      </w:r>
    </w:p>
    <w:p w14:paraId="3DF20F7E" w14:textId="513BF967" w:rsidR="004E22C1" w:rsidRPr="001455DC" w:rsidRDefault="004E22C1" w:rsidP="00A87840">
      <w:pPr>
        <w:pStyle w:val="a0"/>
      </w:pPr>
      <w:r w:rsidRPr="001455DC">
        <w:t>Intermediate Crack Debonding as described in J.11.1.2.</w:t>
      </w:r>
      <w:r w:rsidR="00E71254" w:rsidRPr="001455DC">
        <w:t>3</w:t>
      </w:r>
      <w:r w:rsidRPr="001455DC">
        <w:t>;</w:t>
      </w:r>
    </w:p>
    <w:p w14:paraId="0A493BCE" w14:textId="04DBC621" w:rsidR="004E22C1" w:rsidRPr="001455DC" w:rsidRDefault="004E22C1" w:rsidP="00A87840">
      <w:pPr>
        <w:pStyle w:val="a0"/>
      </w:pPr>
      <w:r w:rsidRPr="001455DC">
        <w:t>End Cover Separation as described in J.11.1.2.</w:t>
      </w:r>
      <w:r w:rsidR="00E71254" w:rsidRPr="001455DC">
        <w:t>4</w:t>
      </w:r>
      <w:r w:rsidRPr="001455DC">
        <w:t>;</w:t>
      </w:r>
    </w:p>
    <w:p w14:paraId="3687F7F2" w14:textId="7E4C8E11" w:rsidR="004E22C1" w:rsidRPr="001455DC" w:rsidRDefault="004E22C1" w:rsidP="00A87840">
      <w:pPr>
        <w:pStyle w:val="a0"/>
      </w:pPr>
      <w:r w:rsidRPr="001455DC">
        <w:t>Shear Induced Crack Separation as described in J.11.1.2.</w:t>
      </w:r>
      <w:r w:rsidR="00E71254" w:rsidRPr="001455DC">
        <w:t>5</w:t>
      </w:r>
      <w:r w:rsidRPr="001455DC">
        <w:t>.</w:t>
      </w:r>
    </w:p>
    <w:p w14:paraId="193FDBE7" w14:textId="59F31736" w:rsidR="004E22C1" w:rsidRPr="001455DC" w:rsidRDefault="004E22C1" w:rsidP="00243590">
      <w:pPr>
        <w:pStyle w:val="a5"/>
      </w:pPr>
      <w:bookmarkStart w:id="1968" w:name="_Toc52820287"/>
      <w:bookmarkStart w:id="1969" w:name="_Toc54337715"/>
      <w:r w:rsidRPr="001455DC">
        <w:t>End anchorage</w:t>
      </w:r>
      <w:bookmarkEnd w:id="1968"/>
      <w:bookmarkEnd w:id="1969"/>
    </w:p>
    <w:p w14:paraId="41E3F05B" w14:textId="77777777" w:rsidR="004E22C1" w:rsidRPr="001455DC" w:rsidRDefault="004E22C1" w:rsidP="00A57FDC">
      <w:pPr>
        <w:pStyle w:val="a7"/>
      </w:pPr>
      <w:r w:rsidRPr="001455DC">
        <w:t>(1)</w:t>
      </w:r>
      <w:r w:rsidRPr="001455DC">
        <w:tab/>
        <w:t>The CFRP strengthening shall be anchored by an anchorage length beyond the section where the design resistance of the unstrengthened existing section is at least as great as the design effects resulting from the relevant limit state.</w:t>
      </w:r>
    </w:p>
    <w:p w14:paraId="68EAB436" w14:textId="77777777" w:rsidR="0008281E" w:rsidRPr="001455DC" w:rsidRDefault="004E22C1" w:rsidP="0008281E">
      <w:pPr>
        <w:pStyle w:val="a7"/>
        <w:keepNext/>
      </w:pPr>
      <w:r w:rsidRPr="001455DC">
        <w:t>(2)</w:t>
      </w:r>
      <w:r w:rsidRPr="001455DC">
        <w:tab/>
      </w:r>
      <w:r w:rsidR="0008281E" w:rsidRPr="001455DC">
        <w:t>Externally bonded CFRP reinforcement shall be curtailed according to one of the following conditions:</w:t>
      </w:r>
    </w:p>
    <w:p w14:paraId="0F1070BC" w14:textId="77777777" w:rsidR="0008281E" w:rsidRPr="001455DC" w:rsidRDefault="0008281E" w:rsidP="00082680">
      <w:pPr>
        <w:pStyle w:val="a7"/>
        <w:keepNext/>
        <w:numPr>
          <w:ilvl w:val="0"/>
          <w:numId w:val="59"/>
        </w:numPr>
      </w:pPr>
      <w:r w:rsidRPr="001455DC">
        <w:t xml:space="preserve">where member strengthening is undertaken, the curtailment shall take account of </w:t>
      </w:r>
      <w:r w:rsidRPr="001455DC">
        <w:rPr>
          <w:i/>
          <w:iCs/>
        </w:rPr>
        <w:t>a</w:t>
      </w:r>
      <w:r w:rsidRPr="001455DC">
        <w:rPr>
          <w:vertAlign w:val="subscript"/>
        </w:rPr>
        <w:t>l</w:t>
      </w:r>
      <w:r w:rsidRPr="001455DC">
        <w:t>, calculated in accordance with 12.3.3;</w:t>
      </w:r>
    </w:p>
    <w:p w14:paraId="14AD40C4" w14:textId="0F32BB6C" w:rsidR="004E22C1" w:rsidRPr="001455DC" w:rsidRDefault="0008281E" w:rsidP="00082680">
      <w:pPr>
        <w:pStyle w:val="a7"/>
        <w:keepNext/>
        <w:numPr>
          <w:ilvl w:val="0"/>
          <w:numId w:val="59"/>
        </w:numPr>
      </w:pPr>
      <w:r w:rsidRPr="001455DC">
        <w:rPr>
          <w:lang w:val="en-US"/>
        </w:rPr>
        <w:t xml:space="preserve">where local strengthening is undertaken, the CFRP strengthening should extend a distance </w:t>
      </w:r>
      <w:r w:rsidRPr="001455DC">
        <w:rPr>
          <w:i/>
          <w:iCs/>
          <w:lang w:val="en-US"/>
        </w:rPr>
        <w:t>l</w:t>
      </w:r>
      <w:r w:rsidRPr="001455DC">
        <w:rPr>
          <w:vertAlign w:val="subscript"/>
          <w:lang w:val="en-US"/>
        </w:rPr>
        <w:t xml:space="preserve">bf </w:t>
      </w:r>
      <w:r w:rsidRPr="001455DC">
        <w:rPr>
          <w:lang w:val="en-US"/>
        </w:rPr>
        <w:t xml:space="preserve">+ </w:t>
      </w:r>
      <w:r w:rsidRPr="001455DC">
        <w:rPr>
          <w:i/>
          <w:iCs/>
          <w:lang w:val="en-US"/>
        </w:rPr>
        <w:t>h</w:t>
      </w:r>
      <w:r w:rsidRPr="001455DC">
        <w:rPr>
          <w:lang w:val="en-US"/>
        </w:rPr>
        <w:t xml:space="preserve"> beyond the section where it is needed</w:t>
      </w:r>
      <w:r w:rsidR="004E22C1" w:rsidRPr="001455DC">
        <w:t>.</w:t>
      </w:r>
    </w:p>
    <w:p w14:paraId="559A55D3" w14:textId="37C56C6E" w:rsidR="004E22C1" w:rsidRPr="001455DC" w:rsidRDefault="004E22C1" w:rsidP="00A57FDC">
      <w:pPr>
        <w:pStyle w:val="a7"/>
      </w:pPr>
      <w:r w:rsidRPr="001455DC">
        <w:t>(3)</w:t>
      </w:r>
      <w:r w:rsidRPr="001455DC">
        <w:tab/>
        <w:t xml:space="preserve">The anchorage resistance </w:t>
      </w:r>
      <m:oMath>
        <m:sSub>
          <m:sSubPr>
            <m:ctrlPr>
              <w:rPr>
                <w:rFonts w:ascii="Cambria Math" w:hAnsi="Cambria Math"/>
                <w:bCs/>
              </w:rPr>
            </m:ctrlPr>
          </m:sSubPr>
          <m:e>
            <m:r>
              <w:rPr>
                <w:rFonts w:ascii="Cambria Math" w:hAnsi="Cambria Math"/>
              </w:rPr>
              <m:t>f</m:t>
            </m:r>
          </m:e>
          <m:sub>
            <m:r>
              <m:rPr>
                <m:sty m:val="p"/>
              </m:rPr>
              <w:rPr>
                <w:rFonts w:ascii="Cambria Math" w:hAnsi="Cambria Math"/>
              </w:rPr>
              <m:t>bfRd</m:t>
            </m:r>
          </m:sub>
        </m:sSub>
      </m:oMath>
      <w:r w:rsidRPr="001455DC">
        <w:t xml:space="preserve"> shall be calculated using Formulae (J.28) or (J.32).</w:t>
      </w:r>
    </w:p>
    <w:p w14:paraId="1CDB6974" w14:textId="284CE531" w:rsidR="004E22C1" w:rsidRPr="001455DC" w:rsidRDefault="004E22C1" w:rsidP="00243590">
      <w:pPr>
        <w:pStyle w:val="a5"/>
      </w:pPr>
      <w:bookmarkStart w:id="1970" w:name="_Toc52820288"/>
      <w:bookmarkStart w:id="1971" w:name="_Toc54337716"/>
      <w:r w:rsidRPr="001455DC">
        <w:t>Intermediate crack debonding</w:t>
      </w:r>
      <w:bookmarkEnd w:id="1970"/>
      <w:bookmarkEnd w:id="1971"/>
    </w:p>
    <w:p w14:paraId="28694CE7" w14:textId="35461E58" w:rsidR="004E22C1" w:rsidRPr="001455DC" w:rsidRDefault="004E22C1" w:rsidP="00A57FDC">
      <w:pPr>
        <w:pStyle w:val="a7"/>
      </w:pPr>
      <w:r w:rsidRPr="001455DC">
        <w:t>(1)</w:t>
      </w:r>
      <w:r w:rsidRPr="001455DC">
        <w:tab/>
        <w:t>Where J.11.1.1.</w:t>
      </w:r>
      <w:r w:rsidR="008A6AD5" w:rsidRPr="001455DC">
        <w:t xml:space="preserve">3 </w:t>
      </w:r>
      <w:r w:rsidRPr="001455DC">
        <w:t>is used to determine the anchorage length of adhesively bonded CFRP, the capacity of the anchorage capacity between flexural cracks shall be sufficient to resist the difference in tensile forces in the system between cracks.</w:t>
      </w:r>
    </w:p>
    <w:p w14:paraId="6AB7F183" w14:textId="77777777" w:rsidR="004E22C1" w:rsidRPr="001455DC" w:rsidRDefault="004E22C1" w:rsidP="00A57FDC">
      <w:pPr>
        <w:pStyle w:val="a7"/>
      </w:pPr>
      <w:r w:rsidRPr="001455DC">
        <w:t>(2)</w:t>
      </w:r>
      <w:r w:rsidRPr="001455DC">
        <w:tab/>
        <w:t>Formula (J.38) may be used to determine the capacity of the CFRP strengthening system between adjacent flexural cracks.</w:t>
      </w:r>
    </w:p>
    <w:p w14:paraId="2DB92640" w14:textId="59FEF2CF" w:rsidR="004E22C1" w:rsidRPr="001455DC" w:rsidRDefault="004E22C1" w:rsidP="00A57FDC">
      <w:pPr>
        <w:pStyle w:val="a7"/>
      </w:pPr>
      <w:r w:rsidRPr="001455DC">
        <w:t>(3)</w:t>
      </w:r>
      <w:r w:rsidRPr="001455DC">
        <w:tab/>
        <w:t>Formula (J.38) should not be applied where the strain in the CFRP exceeds 10 mm/m.</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A57FDC" w:rsidRPr="001455DC" w14:paraId="0A37DF4B" w14:textId="77777777" w:rsidTr="00A57FDC">
        <w:trPr>
          <w:cantSplit/>
        </w:trPr>
        <w:tc>
          <w:tcPr>
            <w:tcW w:w="8505" w:type="dxa"/>
            <w:vAlign w:val="center"/>
          </w:tcPr>
          <w:p w14:paraId="4A20D204" w14:textId="56C7FE66" w:rsidR="00A57FDC" w:rsidRPr="001455DC" w:rsidRDefault="00A57FDC" w:rsidP="00A57FDC">
            <w:pPr>
              <w:pStyle w:val="Formula"/>
              <w:jc w:val="left"/>
            </w:pPr>
            <m:oMathPara>
              <m:oMathParaPr>
                <m:jc m:val="left"/>
              </m:oMathParaPr>
              <m:oMath>
                <m:r>
                  <m:rPr>
                    <m:sty m:val="p"/>
                  </m:rPr>
                  <w:rPr>
                    <w:rFonts w:ascii="Cambria Math" w:hAnsi="Cambria Math"/>
                  </w:rPr>
                  <m:t>Δ</m:t>
                </m:r>
                <m:sSub>
                  <m:sSubPr>
                    <m:ctrlPr>
                      <w:rPr>
                        <w:rFonts w:ascii="Cambria Math" w:hAnsi="Cambria Math"/>
                      </w:rPr>
                    </m:ctrlPr>
                  </m:sSubPr>
                  <m:e>
                    <m:r>
                      <w:rPr>
                        <w:rFonts w:ascii="Cambria Math" w:hAnsi="Cambria Math"/>
                      </w:rPr>
                      <m:t>f</m:t>
                    </m:r>
                  </m:e>
                  <m:sub>
                    <m:r>
                      <m:rPr>
                        <m:sty m:val="p"/>
                      </m:rPr>
                      <w:rPr>
                        <w:rFonts w:ascii="Cambria Math" w:hAnsi="Cambria Math"/>
                      </w:rPr>
                      <m:t>fEd</m:t>
                    </m:r>
                  </m:sub>
                </m:sSub>
                <m:r>
                  <w:rPr>
                    <w:rFonts w:ascii="Cambria Math" w:hAnsi="Cambria Math"/>
                  </w:rPr>
                  <m:t>≤</m:t>
                </m:r>
                <m:r>
                  <m:rPr>
                    <m:sty m:val="p"/>
                  </m:rPr>
                  <w:rPr>
                    <w:rFonts w:ascii="Cambria Math" w:hAnsi="Cambria Math"/>
                  </w:rPr>
                  <m:t>Δ</m:t>
                </m:r>
                <m:sSub>
                  <m:sSubPr>
                    <m:ctrlPr>
                      <w:rPr>
                        <w:rFonts w:ascii="Cambria Math" w:hAnsi="Cambria Math"/>
                      </w:rPr>
                    </m:ctrlPr>
                  </m:sSubPr>
                  <m:e>
                    <m:r>
                      <w:rPr>
                        <w:rFonts w:ascii="Cambria Math" w:hAnsi="Cambria Math"/>
                      </w:rPr>
                      <m:t>f</m:t>
                    </m:r>
                  </m:e>
                  <m:sub>
                    <m:r>
                      <m:rPr>
                        <m:sty m:val="p"/>
                      </m:rPr>
                      <w:rPr>
                        <w:rFonts w:ascii="Cambria Math" w:hAnsi="Cambria Math"/>
                      </w:rPr>
                      <m:t>fRd</m:t>
                    </m:r>
                  </m:sub>
                </m:sSub>
              </m:oMath>
            </m:oMathPara>
          </w:p>
        </w:tc>
        <w:tc>
          <w:tcPr>
            <w:tcW w:w="1247" w:type="dxa"/>
            <w:vAlign w:val="center"/>
          </w:tcPr>
          <w:p w14:paraId="6825B905" w14:textId="290AC51D" w:rsidR="00A57FDC" w:rsidRPr="001455DC" w:rsidRDefault="00A57FDC" w:rsidP="00A57FDC">
            <w:pPr>
              <w:pStyle w:val="a7"/>
              <w:jc w:val="right"/>
            </w:pPr>
            <w:r w:rsidRPr="001455DC">
              <w:t>(J.38)</w:t>
            </w:r>
          </w:p>
        </w:tc>
      </w:tr>
    </w:tbl>
    <w:p w14:paraId="342B103B" w14:textId="77777777" w:rsidR="00A57FDC" w:rsidRPr="001455DC" w:rsidRDefault="00A57FDC" w:rsidP="00A35599">
      <w:pPr>
        <w:pStyle w:val="a7"/>
        <w:keepNext/>
      </w:pPr>
      <w:r w:rsidRPr="001455DC">
        <w:t>where</w:t>
      </w:r>
    </w:p>
    <w:tbl>
      <w:tblPr>
        <w:tblW w:w="9413" w:type="dxa"/>
        <w:tblInd w:w="397" w:type="dxa"/>
        <w:tblLayout w:type="fixed"/>
        <w:tblCellMar>
          <w:left w:w="28" w:type="dxa"/>
          <w:right w:w="28" w:type="dxa"/>
        </w:tblCellMar>
        <w:tblLook w:val="04A0" w:firstRow="1" w:lastRow="0" w:firstColumn="1" w:lastColumn="0" w:noHBand="0" w:noVBand="1"/>
      </w:tblPr>
      <w:tblGrid>
        <w:gridCol w:w="851"/>
        <w:gridCol w:w="8562"/>
      </w:tblGrid>
      <w:tr w:rsidR="00A57FDC" w:rsidRPr="001455DC" w14:paraId="18EA4C72" w14:textId="77777777" w:rsidTr="00A57FDC">
        <w:trPr>
          <w:cantSplit/>
        </w:trPr>
        <w:tc>
          <w:tcPr>
            <w:tcW w:w="851" w:type="dxa"/>
          </w:tcPr>
          <w:p w14:paraId="731A68EB" w14:textId="5050BF3E" w:rsidR="00A57FDC" w:rsidRPr="001455DC" w:rsidRDefault="00A57FDC" w:rsidP="0000442A">
            <w:pPr>
              <w:pStyle w:val="Tablebody"/>
            </w:pPr>
            <m:oMathPara>
              <m:oMathParaPr>
                <m:jc m:val="left"/>
              </m:oMathParaPr>
              <m:oMath>
                <m:r>
                  <m:rPr>
                    <m:sty m:val="p"/>
                  </m:rPr>
                  <w:rPr>
                    <w:rFonts w:ascii="Cambria Math" w:hAnsi="Cambria Math"/>
                  </w:rPr>
                  <m:t>Δ</m:t>
                </m:r>
                <m:sSub>
                  <m:sSubPr>
                    <m:ctrlPr>
                      <w:rPr>
                        <w:rFonts w:ascii="Cambria Math" w:hAnsi="Cambria Math"/>
                        <w:i/>
                        <w:iCs/>
                      </w:rPr>
                    </m:ctrlPr>
                  </m:sSubPr>
                  <m:e>
                    <m:r>
                      <w:rPr>
                        <w:rFonts w:ascii="Cambria Math" w:hAnsi="Cambria Math"/>
                      </w:rPr>
                      <m:t>f</m:t>
                    </m:r>
                  </m:e>
                  <m:sub>
                    <m:r>
                      <m:rPr>
                        <m:sty m:val="p"/>
                      </m:rPr>
                      <w:rPr>
                        <w:rFonts w:ascii="Cambria Math" w:hAnsi="Cambria Math"/>
                      </w:rPr>
                      <m:t>fEd</m:t>
                    </m:r>
                  </m:sub>
                </m:sSub>
              </m:oMath>
            </m:oMathPara>
          </w:p>
        </w:tc>
        <w:tc>
          <w:tcPr>
            <w:tcW w:w="8562" w:type="dxa"/>
          </w:tcPr>
          <w:p w14:paraId="5737F622" w14:textId="4C867A39" w:rsidR="00A57FDC" w:rsidRPr="001455DC" w:rsidRDefault="00A57FDC">
            <w:pPr>
              <w:pStyle w:val="Tablebody"/>
            </w:pPr>
            <w:r w:rsidRPr="001455DC">
              <w:rPr>
                <w:rFonts w:eastAsiaTheme="minorEastAsia"/>
              </w:rPr>
              <w:t>is calculated according to Formula (J.</w:t>
            </w:r>
            <w:r w:rsidR="00E60A78" w:rsidRPr="001455DC">
              <w:rPr>
                <w:rFonts w:eastAsiaTheme="minorEastAsia"/>
              </w:rPr>
              <w:t>22</w:t>
            </w:r>
            <w:r w:rsidRPr="001455DC">
              <w:rPr>
                <w:rFonts w:eastAsiaTheme="minorEastAsia"/>
              </w:rPr>
              <w:t>);</w:t>
            </w:r>
          </w:p>
        </w:tc>
      </w:tr>
      <w:tr w:rsidR="00A57FDC" w:rsidRPr="001455DC" w14:paraId="2A907583" w14:textId="77777777" w:rsidTr="00A57FDC">
        <w:trPr>
          <w:cantSplit/>
        </w:trPr>
        <w:tc>
          <w:tcPr>
            <w:tcW w:w="851" w:type="dxa"/>
          </w:tcPr>
          <w:p w14:paraId="291C4D20" w14:textId="15D69E76" w:rsidR="00A57FDC" w:rsidRPr="001455DC" w:rsidRDefault="00A57FDC" w:rsidP="00D86695">
            <w:pPr>
              <w:pStyle w:val="Tablebody"/>
            </w:pPr>
            <w:bookmarkStart w:id="1972" w:name="_Hlk40889084"/>
            <m:oMathPara>
              <m:oMathParaPr>
                <m:jc m:val="left"/>
              </m:oMathParaPr>
              <m:oMath>
                <m:r>
                  <m:rPr>
                    <m:sty m:val="p"/>
                  </m:rPr>
                  <w:rPr>
                    <w:rFonts w:ascii="Cambria Math" w:hAnsi="Cambria Math"/>
                  </w:rPr>
                  <m:t>Δ</m:t>
                </m:r>
                <m:sSub>
                  <m:sSubPr>
                    <m:ctrlPr>
                      <w:rPr>
                        <w:rFonts w:ascii="Cambria Math" w:hAnsi="Cambria Math"/>
                      </w:rPr>
                    </m:ctrlPr>
                  </m:sSubPr>
                  <m:e>
                    <m:r>
                      <w:rPr>
                        <w:rFonts w:ascii="Cambria Math" w:hAnsi="Cambria Math"/>
                      </w:rPr>
                      <m:t>f</m:t>
                    </m:r>
                  </m:e>
                  <m:sub>
                    <m:r>
                      <m:rPr>
                        <m:sty m:val="p"/>
                      </m:rPr>
                      <w:rPr>
                        <w:rFonts w:ascii="Cambria Math" w:hAnsi="Cambria Math"/>
                      </w:rPr>
                      <m:t>fRd</m:t>
                    </m:r>
                  </m:sub>
                </m:sSub>
              </m:oMath>
            </m:oMathPara>
            <w:bookmarkEnd w:id="1972"/>
          </w:p>
        </w:tc>
        <w:tc>
          <w:tcPr>
            <w:tcW w:w="8562" w:type="dxa"/>
          </w:tcPr>
          <w:p w14:paraId="3DC786F0" w14:textId="40E85025" w:rsidR="00A57FDC" w:rsidRPr="001455DC" w:rsidRDefault="00A57FDC" w:rsidP="00D86695">
            <w:pPr>
              <w:pStyle w:val="Tablebody"/>
            </w:pPr>
            <w:r w:rsidRPr="001455DC">
              <w:rPr>
                <w:rFonts w:eastAsiaTheme="minorEastAsia"/>
              </w:rPr>
              <w:t>is the bond resistance between adjacent cracks.</w:t>
            </w:r>
          </w:p>
        </w:tc>
      </w:tr>
    </w:tbl>
    <w:p w14:paraId="4B998F9B" w14:textId="1011D314" w:rsidR="004E22C1" w:rsidRDefault="004E22C1" w:rsidP="00A57FDC">
      <w:pPr>
        <w:pStyle w:val="a7"/>
      </w:pPr>
      <w:r w:rsidRPr="001455DC">
        <w:t>(4)</w:t>
      </w:r>
      <w:r w:rsidRPr="001455DC">
        <w:tab/>
        <w:t xml:space="preserve">Unless a more accurate analysis is undertaken, </w:t>
      </w:r>
      <m:oMath>
        <m:r>
          <m:rPr>
            <m:sty m:val="p"/>
          </m:rPr>
          <w:rPr>
            <w:rFonts w:ascii="Cambria Math" w:hAnsi="Cambria Math"/>
          </w:rPr>
          <m:t>Δ</m:t>
        </m:r>
        <m:sSub>
          <m:sSubPr>
            <m:ctrlPr>
              <w:rPr>
                <w:rFonts w:ascii="Cambria Math" w:hAnsi="Cambria Math"/>
              </w:rPr>
            </m:ctrlPr>
          </m:sSubPr>
          <m:e>
            <m:r>
              <w:rPr>
                <w:rFonts w:ascii="Cambria Math" w:hAnsi="Cambria Math"/>
              </w:rPr>
              <m:t>f</m:t>
            </m:r>
          </m:e>
          <m:sub>
            <m:r>
              <m:rPr>
                <m:sty m:val="p"/>
              </m:rPr>
              <w:rPr>
                <w:rFonts w:ascii="Cambria Math" w:hAnsi="Cambria Math"/>
              </w:rPr>
              <m:t>fRd</m:t>
            </m:r>
          </m:sub>
        </m:sSub>
      </m:oMath>
      <w:r w:rsidRPr="001455DC">
        <w:t xml:space="preserve"> and </w:t>
      </w:r>
      <m:oMath>
        <m:r>
          <m:rPr>
            <m:sty m:val="p"/>
          </m:rPr>
          <w:rPr>
            <w:rFonts w:ascii="Cambria Math" w:hAnsi="Cambria Math"/>
          </w:rPr>
          <m:t>Δ</m:t>
        </m:r>
        <m:sSub>
          <m:sSubPr>
            <m:ctrlPr>
              <w:rPr>
                <w:rFonts w:ascii="Cambria Math" w:hAnsi="Cambria Math"/>
              </w:rPr>
            </m:ctrlPr>
          </m:sSubPr>
          <m:e>
            <m:r>
              <w:rPr>
                <w:rFonts w:ascii="Cambria Math" w:hAnsi="Cambria Math"/>
              </w:rPr>
              <m:t>f</m:t>
            </m:r>
          </m:e>
          <m:sub>
            <m:r>
              <m:rPr>
                <m:sty m:val="p"/>
              </m:rPr>
              <w:rPr>
                <w:rFonts w:ascii="Cambria Math" w:hAnsi="Cambria Math"/>
              </w:rPr>
              <m:t>fEd</m:t>
            </m:r>
          </m:sub>
        </m:sSub>
      </m:oMath>
      <w:r w:rsidRPr="001455DC">
        <w:t xml:space="preserve"> should be calculated using the minimum crack spacing, </w:t>
      </w:r>
      <m:oMath>
        <m:sSub>
          <m:sSubPr>
            <m:ctrlPr>
              <w:rPr>
                <w:rFonts w:ascii="Cambria Math" w:hAnsi="Cambria Math"/>
              </w:rPr>
            </m:ctrlPr>
          </m:sSubPr>
          <m:e>
            <m:r>
              <w:rPr>
                <w:rFonts w:ascii="Cambria Math" w:hAnsi="Cambria Math"/>
              </w:rPr>
              <m:t>s</m:t>
            </m:r>
          </m:e>
          <m:sub>
            <m:r>
              <m:rPr>
                <m:sty m:val="p"/>
              </m:rPr>
              <w:rPr>
                <w:rFonts w:ascii="Cambria Math" w:hAnsi="Cambria Math"/>
              </w:rPr>
              <m:t>cr,min</m:t>
            </m:r>
          </m:sub>
        </m:sSub>
      </m:oMath>
      <w:r w:rsidRPr="001455DC">
        <w:t xml:space="preserve">, where </w:t>
      </w:r>
      <m:oMath>
        <m:sSub>
          <m:sSubPr>
            <m:ctrlPr>
              <w:rPr>
                <w:rFonts w:ascii="Cambria Math" w:hAnsi="Cambria Math"/>
              </w:rPr>
            </m:ctrlPr>
          </m:sSubPr>
          <m:e>
            <m:r>
              <w:rPr>
                <w:rFonts w:ascii="Cambria Math" w:hAnsi="Cambria Math"/>
              </w:rPr>
              <m:t>s</m:t>
            </m:r>
          </m:e>
          <m:sub>
            <m:r>
              <m:rPr>
                <m:sty m:val="p"/>
              </m:rPr>
              <w:rPr>
                <w:rFonts w:ascii="Cambria Math" w:hAnsi="Cambria Math"/>
              </w:rPr>
              <m:t>cr,min</m:t>
            </m:r>
          </m:sub>
        </m:sSub>
        <m:r>
          <m:rPr>
            <m:sty m:val="p"/>
          </m:rPr>
          <w:rPr>
            <w:rFonts w:ascii="Cambria Math" w:hAnsi="Cambria Math"/>
          </w:rPr>
          <m:t>=0,75</m:t>
        </m:r>
        <m:sSub>
          <m:sSubPr>
            <m:ctrlPr>
              <w:rPr>
                <w:rFonts w:ascii="Cambria Math" w:hAnsi="Cambria Math"/>
              </w:rPr>
            </m:ctrlPr>
          </m:sSubPr>
          <m:e>
            <m:r>
              <m:rPr>
                <m:sty m:val="p"/>
              </m:rPr>
              <w:rPr>
                <w:rFonts w:ascii="Cambria Math" w:hAnsi="Cambria Math"/>
              </w:rPr>
              <m:t>∙</m:t>
            </m:r>
            <m:r>
              <w:rPr>
                <w:rFonts w:ascii="Cambria Math" w:hAnsi="Cambria Math"/>
              </w:rPr>
              <m:t>s</m:t>
            </m:r>
          </m:e>
          <m:sub>
            <m:r>
              <m:rPr>
                <m:sty m:val="p"/>
              </m:rPr>
              <w:rPr>
                <w:rFonts w:ascii="Cambria Math" w:hAnsi="Cambria Math"/>
              </w:rPr>
              <m:t>cr,max</m:t>
            </m:r>
          </m:sub>
        </m:sSub>
      </m:oMath>
      <w:r w:rsidR="00E60A78" w:rsidRPr="001455DC">
        <w:t xml:space="preserve"> (see Figure J.6)</w:t>
      </w:r>
      <w:r w:rsidRPr="001455DC">
        <w:t>.</w:t>
      </w:r>
    </w:p>
    <w:p w14:paraId="16DB5C84" w14:textId="77777777" w:rsidR="003778BD" w:rsidRPr="001455DC" w:rsidRDefault="003778BD" w:rsidP="00A57FDC">
      <w:pPr>
        <w:pStyle w:val="a7"/>
      </w:pPr>
    </w:p>
    <w:p w14:paraId="40F1728A" w14:textId="6706A968" w:rsidR="003778BD" w:rsidRDefault="00723CF7" w:rsidP="00375D10">
      <w:pPr>
        <w:pStyle w:val="a7"/>
        <w:keepNext/>
        <w:keepLines/>
        <w:jc w:val="center"/>
      </w:pPr>
      <w:r>
        <w:rPr>
          <w:noProof/>
          <w:lang w:eastAsia="en-GB"/>
        </w:rPr>
        <w:fldChar w:fldCharType="begin"/>
      </w:r>
      <w:r>
        <w:rPr>
          <w:noProof/>
          <w:lang w:eastAsia="en-GB"/>
        </w:rPr>
        <w:instrText xml:space="preserve"> INCLUDEPICTURE  "Y:\\STD_MGT\\STDDEL\\PRODUCTION\\etrans\\Download\\Z_FIRST_DEL\\SV\\00250\\00250269\\41_e_dr\\j006.tif"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"Y:\\STD_MGT\\STDDEL\\PRODUCTION\\Standards\\00250\\269\\41_e_dr\\j006.tif"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"Y:\\STD_MGT\\STDDEL\\PRODUCTION\\Standards\\00250\\269\\41_e_dr\\j006.tif"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"Y:\\STD_MGT\\STDDEL\\PRODUCTION\\Standards\\00250\\269\\41_e_dr\\j006.tif"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"Y:\\STD_MGT\\STDDEL\\PRODUCTION\\Standards\\00250\\269\\41_e_dr\\j006.tif"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"Y:\\STD_MGT\\STDDEL\\PRODUCTION\\Standards\\00250\\269\\41_e_dr\\j006.tif"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w:instrText>
      </w:r>
      <w:r w:rsidR="00231E33">
        <w:rPr>
          <w:noProof/>
          <w:lang w:eastAsia="en-GB"/>
        </w:rPr>
        <w:instrText>ionysiou\\AppData\\Local\\Temp\\Temp1_00250269_e_20210902.zip.zip\\41_e_dr\\j006.tif"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0C0B3A78">
          <v:shape id="_x0000_i1319" type="#_x0000_t75" style="width:316.5pt;height:124.5pt">
            <v:imagedata r:id="rId608" r:href="rId609"/>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1E0B021B" w14:textId="77777777" w:rsidR="00375D10" w:rsidRDefault="00E60A78" w:rsidP="00375D10">
      <w:pPr>
        <w:pStyle w:val="KeyTitle"/>
      </w:pPr>
      <w:r w:rsidRPr="009D3012">
        <w:t>Key</w:t>
      </w:r>
    </w:p>
    <w:tbl>
      <w:tblPr>
        <w:tblW w:w="0" w:type="auto"/>
        <w:tblInd w:w="-100" w:type="dxa"/>
        <w:tblCellMar>
          <w:left w:w="100" w:type="dxa"/>
        </w:tblCellMar>
        <w:tblLook w:val="0000" w:firstRow="0" w:lastRow="0" w:firstColumn="0" w:lastColumn="0" w:noHBand="0" w:noVBand="0"/>
      </w:tblPr>
      <w:tblGrid>
        <w:gridCol w:w="319"/>
        <w:gridCol w:w="2130"/>
      </w:tblGrid>
      <w:tr w:rsidR="00375D10" w:rsidRPr="00375D10" w14:paraId="4F1B9900" w14:textId="77777777" w:rsidTr="00375D10">
        <w:tc>
          <w:tcPr>
            <w:tcW w:w="0" w:type="auto"/>
            <w:shd w:val="clear" w:color="auto" w:fill="auto"/>
          </w:tcPr>
          <w:p w14:paraId="743AB2B5" w14:textId="77777777" w:rsidR="00375D10" w:rsidRPr="00375D10" w:rsidRDefault="00375D10" w:rsidP="00375D10">
            <w:pPr>
              <w:pStyle w:val="KeyText"/>
              <w:tabs>
                <w:tab w:val="clear" w:pos="346"/>
              </w:tabs>
              <w:ind w:left="0" w:firstLine="0"/>
            </w:pPr>
            <w:r w:rsidRPr="00375D10">
              <w:t>1</w:t>
            </w:r>
          </w:p>
        </w:tc>
        <w:tc>
          <w:tcPr>
            <w:tcW w:w="0" w:type="auto"/>
            <w:shd w:val="clear" w:color="auto" w:fill="auto"/>
          </w:tcPr>
          <w:p w14:paraId="0AE6B0DC" w14:textId="77777777" w:rsidR="00375D10" w:rsidRPr="00375D10" w:rsidRDefault="00231E33" w:rsidP="00375D10">
            <w:pPr>
              <w:pStyle w:val="KeyText"/>
              <w:tabs>
                <w:tab w:val="clear" w:pos="346"/>
              </w:tabs>
              <w:ind w:left="0" w:firstLine="0"/>
              <w:rPr>
                <w:iCs/>
              </w:rPr>
            </w:pPr>
            <m:oMathPara>
              <m:oMath>
                <m:sSub>
                  <m:sSubPr>
                    <m:ctrlPr>
                      <w:rPr>
                        <w:rFonts w:ascii="Cambria Math" w:hAnsi="Cambria Math"/>
                        <w:i/>
                        <w:iCs/>
                      </w:rPr>
                    </m:ctrlPr>
                  </m:sSubPr>
                  <m:e>
                    <m:r>
                      <w:rPr>
                        <w:rFonts w:ascii="Cambria Math" w:hAnsi="Cambria Math"/>
                      </w:rPr>
                      <m:t>f</m:t>
                    </m:r>
                  </m:e>
                  <m:sub>
                    <m:r>
                      <m:rPr>
                        <m:sty m:val="p"/>
                      </m:rPr>
                      <w:rPr>
                        <w:rFonts w:ascii="Cambria Math" w:hAnsi="Cambria Math"/>
                      </w:rPr>
                      <m:t xml:space="preserve">fEd,a </m:t>
                    </m:r>
                  </m:sub>
                </m:sSub>
                <m:r>
                  <m:rPr>
                    <m:sty m:val="p"/>
                  </m:rPr>
                  <w:rPr>
                    <w:rFonts w:ascii="Cambria Math" w:hAnsi="Cambria Math"/>
                  </w:rPr>
                  <m:t>in FRP at Crack A</m:t>
                </m:r>
              </m:oMath>
            </m:oMathPara>
          </w:p>
        </w:tc>
      </w:tr>
      <w:tr w:rsidR="00375D10" w:rsidRPr="00375D10" w14:paraId="66A6EE2D" w14:textId="77777777" w:rsidTr="00375D10">
        <w:tc>
          <w:tcPr>
            <w:tcW w:w="0" w:type="auto"/>
            <w:shd w:val="clear" w:color="auto" w:fill="auto"/>
          </w:tcPr>
          <w:p w14:paraId="70C96DDD" w14:textId="77777777" w:rsidR="00375D10" w:rsidRPr="00375D10" w:rsidRDefault="00375D10" w:rsidP="00375D10">
            <w:pPr>
              <w:pStyle w:val="KeyText"/>
              <w:tabs>
                <w:tab w:val="clear" w:pos="346"/>
              </w:tabs>
              <w:ind w:left="0" w:firstLine="0"/>
              <w:rPr>
                <w:iCs/>
              </w:rPr>
            </w:pPr>
            <w:r w:rsidRPr="00375D10">
              <w:rPr>
                <w:iCs/>
              </w:rPr>
              <w:t>2</w:t>
            </w:r>
          </w:p>
        </w:tc>
        <w:tc>
          <w:tcPr>
            <w:tcW w:w="0" w:type="auto"/>
            <w:shd w:val="clear" w:color="auto" w:fill="auto"/>
          </w:tcPr>
          <w:p w14:paraId="7A88A175" w14:textId="77777777" w:rsidR="00375D10" w:rsidRPr="00375D10" w:rsidRDefault="00231E33" w:rsidP="00375D10">
            <w:pPr>
              <w:pStyle w:val="KeyText"/>
              <w:tabs>
                <w:tab w:val="clear" w:pos="346"/>
              </w:tabs>
              <w:ind w:left="0" w:firstLine="0"/>
            </w:pPr>
            <m:oMathPara>
              <m:oMath>
                <m:sSub>
                  <m:sSubPr>
                    <m:ctrlPr>
                      <w:rPr>
                        <w:rFonts w:ascii="Cambria Math" w:hAnsi="Cambria Math"/>
                        <w:i/>
                        <w:iCs/>
                      </w:rPr>
                    </m:ctrlPr>
                  </m:sSubPr>
                  <m:e>
                    <m:r>
                      <w:rPr>
                        <w:rFonts w:ascii="Cambria Math" w:hAnsi="Cambria Math"/>
                      </w:rPr>
                      <m:t>f</m:t>
                    </m:r>
                  </m:e>
                  <m:sub>
                    <m:r>
                      <m:rPr>
                        <m:sty m:val="p"/>
                      </m:rPr>
                      <w:rPr>
                        <w:rFonts w:ascii="Cambria Math" w:hAnsi="Cambria Math"/>
                      </w:rPr>
                      <m:t xml:space="preserve">fEd,b </m:t>
                    </m:r>
                  </m:sub>
                </m:sSub>
                <m:r>
                  <m:rPr>
                    <m:sty m:val="p"/>
                  </m:rPr>
                  <w:rPr>
                    <w:rFonts w:ascii="Cambria Math" w:hAnsi="Cambria Math"/>
                  </w:rPr>
                  <m:t>in FRP at Crack B</m:t>
                </m:r>
              </m:oMath>
            </m:oMathPara>
          </w:p>
        </w:tc>
      </w:tr>
      <w:tr w:rsidR="00375D10" w:rsidRPr="00375D10" w14:paraId="66C0CA5B" w14:textId="77777777" w:rsidTr="00375D10">
        <w:tc>
          <w:tcPr>
            <w:tcW w:w="0" w:type="auto"/>
            <w:shd w:val="clear" w:color="auto" w:fill="auto"/>
          </w:tcPr>
          <w:p w14:paraId="2D0C2B1C" w14:textId="77777777" w:rsidR="00375D10" w:rsidRPr="00375D10" w:rsidRDefault="00375D10" w:rsidP="00375D10">
            <w:pPr>
              <w:pStyle w:val="KeyText"/>
              <w:tabs>
                <w:tab w:val="clear" w:pos="346"/>
              </w:tabs>
              <w:ind w:left="0" w:firstLine="0"/>
            </w:pPr>
            <w:r w:rsidRPr="00375D10">
              <w:t>3</w:t>
            </w:r>
          </w:p>
        </w:tc>
        <w:tc>
          <w:tcPr>
            <w:tcW w:w="0" w:type="auto"/>
            <w:shd w:val="clear" w:color="auto" w:fill="auto"/>
          </w:tcPr>
          <w:p w14:paraId="46DEA731" w14:textId="77777777" w:rsidR="00375D10" w:rsidRPr="00375D10" w:rsidRDefault="00375D10" w:rsidP="00375D10">
            <w:pPr>
              <w:pStyle w:val="KeyText"/>
              <w:tabs>
                <w:tab w:val="clear" w:pos="346"/>
              </w:tabs>
              <w:ind w:left="0" w:firstLine="0"/>
            </w:pPr>
            <w:r w:rsidRPr="00375D10">
              <w:t>FRP</w:t>
            </w:r>
          </w:p>
        </w:tc>
      </w:tr>
      <w:tr w:rsidR="00375D10" w:rsidRPr="00375D10" w14:paraId="6AC13953" w14:textId="77777777" w:rsidTr="00375D10">
        <w:tc>
          <w:tcPr>
            <w:tcW w:w="0" w:type="auto"/>
            <w:shd w:val="clear" w:color="auto" w:fill="auto"/>
          </w:tcPr>
          <w:p w14:paraId="0D1FF0CF" w14:textId="77777777" w:rsidR="00375D10" w:rsidRPr="00375D10" w:rsidRDefault="00375D10" w:rsidP="00375D10">
            <w:pPr>
              <w:pStyle w:val="KeyText"/>
              <w:tabs>
                <w:tab w:val="clear" w:pos="346"/>
              </w:tabs>
              <w:ind w:left="0" w:firstLine="0"/>
            </w:pPr>
            <w:r w:rsidRPr="00375D10">
              <w:t>4</w:t>
            </w:r>
          </w:p>
        </w:tc>
        <w:tc>
          <w:tcPr>
            <w:tcW w:w="0" w:type="auto"/>
            <w:shd w:val="clear" w:color="auto" w:fill="auto"/>
          </w:tcPr>
          <w:p w14:paraId="1D65F052" w14:textId="77777777" w:rsidR="00375D10" w:rsidRPr="00375D10" w:rsidRDefault="00375D10" w:rsidP="00375D10">
            <w:pPr>
              <w:pStyle w:val="KeyText"/>
              <w:tabs>
                <w:tab w:val="clear" w:pos="346"/>
              </w:tabs>
              <w:ind w:left="0" w:firstLine="0"/>
            </w:pPr>
            <w:r w:rsidRPr="00375D10">
              <w:t>Crack A</w:t>
            </w:r>
          </w:p>
        </w:tc>
      </w:tr>
      <w:tr w:rsidR="00375D10" w:rsidRPr="00375D10" w14:paraId="695AAE92" w14:textId="77777777" w:rsidTr="00375D10">
        <w:tc>
          <w:tcPr>
            <w:tcW w:w="0" w:type="auto"/>
            <w:shd w:val="clear" w:color="auto" w:fill="auto"/>
          </w:tcPr>
          <w:p w14:paraId="11C1268F" w14:textId="77777777" w:rsidR="00375D10" w:rsidRPr="00375D10" w:rsidRDefault="00375D10" w:rsidP="00375D10">
            <w:pPr>
              <w:pStyle w:val="KeyText"/>
              <w:tabs>
                <w:tab w:val="clear" w:pos="346"/>
              </w:tabs>
              <w:ind w:left="0" w:firstLine="0"/>
            </w:pPr>
            <w:r w:rsidRPr="00375D10">
              <w:t>5</w:t>
            </w:r>
          </w:p>
        </w:tc>
        <w:tc>
          <w:tcPr>
            <w:tcW w:w="0" w:type="auto"/>
            <w:shd w:val="clear" w:color="auto" w:fill="auto"/>
          </w:tcPr>
          <w:p w14:paraId="39F0E3A9" w14:textId="77777777" w:rsidR="00375D10" w:rsidRPr="00375D10" w:rsidRDefault="00375D10" w:rsidP="00375D10">
            <w:pPr>
              <w:pStyle w:val="KeyText"/>
              <w:tabs>
                <w:tab w:val="clear" w:pos="346"/>
              </w:tabs>
              <w:ind w:left="0" w:firstLine="0"/>
            </w:pPr>
            <w:r w:rsidRPr="00375D10">
              <w:t>Crack B</w:t>
            </w:r>
          </w:p>
        </w:tc>
      </w:tr>
    </w:tbl>
    <w:p w14:paraId="3B16A7D3" w14:textId="77777777" w:rsidR="004E22C1" w:rsidRPr="001455DC" w:rsidRDefault="004E22C1" w:rsidP="00A57FDC">
      <w:pPr>
        <w:pStyle w:val="Figuretitle"/>
      </w:pPr>
      <w:r w:rsidRPr="001455DC">
        <w:t>Figure J.6 — CFRP Between Flexural Cracks</w:t>
      </w:r>
    </w:p>
    <w:p w14:paraId="00052942" w14:textId="4AF09D92" w:rsidR="00A57FDC" w:rsidRPr="001455DC" w:rsidRDefault="004E22C1" w:rsidP="00DE6BBC">
      <w:pPr>
        <w:pStyle w:val="a7"/>
        <w:keepNext/>
      </w:pPr>
      <w:r w:rsidRPr="001455DC">
        <w:t>(5)</w:t>
      </w:r>
      <w:r w:rsidRPr="001455DC">
        <w:tab/>
        <w:t xml:space="preserve">The bond resistance between adjacent cracks, </w:t>
      </w:r>
      <m:oMath>
        <m:sSub>
          <m:sSubPr>
            <m:ctrlPr>
              <w:rPr>
                <w:rFonts w:ascii="Cambria Math" w:hAnsi="Cambria Math"/>
              </w:rPr>
            </m:ctrlPr>
          </m:sSubPr>
          <m:e>
            <m:r>
              <m:rPr>
                <m:sty m:val="p"/>
              </m:rPr>
              <w:rPr>
                <w:rFonts w:ascii="Cambria Math" w:hAnsi="Cambria Math"/>
              </w:rPr>
              <m:t>∆</m:t>
            </m:r>
            <m:r>
              <w:rPr>
                <w:rFonts w:ascii="Cambria Math" w:hAnsi="Cambria Math"/>
              </w:rPr>
              <m:t>f</m:t>
            </m:r>
          </m:e>
          <m:sub>
            <m:r>
              <m:rPr>
                <m:sty m:val="p"/>
              </m:rPr>
              <w:rPr>
                <w:rFonts w:ascii="Cambria Math" w:hAnsi="Cambria Math"/>
              </w:rPr>
              <m:t>fRd</m:t>
            </m:r>
          </m:sub>
        </m:sSub>
      </m:oMath>
      <w:r w:rsidRPr="001455DC">
        <w:t xml:space="preserve"> may be determined using Formula (J.39) by taking account of the </w:t>
      </w:r>
      <w:bookmarkStart w:id="1973" w:name="_Hlk40889100"/>
      <w:r w:rsidRPr="001455DC">
        <w:t xml:space="preserve">beneficial effects of bond friction, </w:t>
      </w:r>
      <m:oMath>
        <m:sSub>
          <m:sSubPr>
            <m:ctrlPr>
              <w:rPr>
                <w:rFonts w:ascii="Cambria Math" w:hAnsi="Cambria Math"/>
              </w:rPr>
            </m:ctrlPr>
          </m:sSubPr>
          <m:e>
            <m:r>
              <m:rPr>
                <m:sty m:val="p"/>
              </m:rPr>
              <w:rPr>
                <w:rFonts w:ascii="Cambria Math" w:hAnsi="Cambria Math"/>
              </w:rPr>
              <m:t>∆</m:t>
            </m:r>
            <m:r>
              <w:rPr>
                <w:rFonts w:ascii="Cambria Math" w:hAnsi="Cambria Math"/>
              </w:rPr>
              <m:t>f</m:t>
            </m:r>
          </m:e>
          <m:sub>
            <m:r>
              <m:rPr>
                <m:sty m:val="p"/>
              </m:rPr>
              <w:rPr>
                <w:rFonts w:ascii="Cambria Math" w:hAnsi="Cambria Math"/>
              </w:rPr>
              <m:t>fk,F</m:t>
            </m:r>
          </m:sub>
        </m:sSub>
      </m:oMath>
      <w:bookmarkEnd w:id="1973"/>
      <w:r w:rsidRPr="001455DC">
        <w:t xml:space="preserve">, and </w:t>
      </w:r>
      <w:bookmarkStart w:id="1974" w:name="_Hlk40889116"/>
      <w:r w:rsidRPr="001455DC">
        <w:t xml:space="preserve">clamping from curvature of the beam, </w:t>
      </w:r>
      <m:oMath>
        <m:sSub>
          <m:sSubPr>
            <m:ctrlPr>
              <w:rPr>
                <w:rFonts w:ascii="Cambria Math" w:hAnsi="Cambria Math"/>
              </w:rPr>
            </m:ctrlPr>
          </m:sSubPr>
          <m:e>
            <m:r>
              <m:rPr>
                <m:sty m:val="p"/>
              </m:rPr>
              <w:rPr>
                <w:rFonts w:ascii="Cambria Math" w:hAnsi="Cambria Math"/>
              </w:rPr>
              <m:t>∆</m:t>
            </m:r>
            <m:r>
              <w:rPr>
                <w:rFonts w:ascii="Cambria Math" w:hAnsi="Cambria Math"/>
              </w:rPr>
              <m:t>f</m:t>
            </m:r>
          </m:e>
          <m:sub>
            <m:r>
              <m:rPr>
                <m:sty m:val="p"/>
              </m:rPr>
              <w:rPr>
                <w:rFonts w:ascii="Cambria Math" w:hAnsi="Cambria Math"/>
              </w:rPr>
              <m:t>fk,C</m:t>
            </m:r>
          </m:sub>
        </m:sSub>
      </m:oMath>
      <w:bookmarkEnd w:id="1974"/>
      <w:r w:rsidRPr="001455DC">
        <w:t xml:space="preserve">, in addition to the </w:t>
      </w:r>
      <w:bookmarkStart w:id="1975" w:name="_Hlk40889123"/>
      <w:r w:rsidRPr="001455DC">
        <w:t xml:space="preserve">adhesive bond resistance between the cracks, </w:t>
      </w:r>
      <m:oMath>
        <m:sSub>
          <m:sSubPr>
            <m:ctrlPr>
              <w:rPr>
                <w:rFonts w:ascii="Cambria Math" w:hAnsi="Cambria Math"/>
              </w:rPr>
            </m:ctrlPr>
          </m:sSubPr>
          <m:e>
            <m:r>
              <m:rPr>
                <m:sty m:val="p"/>
              </m:rPr>
              <w:rPr>
                <w:rFonts w:ascii="Cambria Math" w:hAnsi="Cambria Math"/>
              </w:rPr>
              <m:t>∆</m:t>
            </m:r>
            <m:r>
              <w:rPr>
                <w:rFonts w:ascii="Cambria Math" w:hAnsi="Cambria Math"/>
              </w:rPr>
              <m:t>f</m:t>
            </m:r>
          </m:e>
          <m:sub>
            <m:r>
              <m:rPr>
                <m:sty m:val="p"/>
              </m:rPr>
              <w:rPr>
                <w:rFonts w:ascii="Cambria Math" w:hAnsi="Cambria Math"/>
              </w:rPr>
              <m:t>fk,B</m:t>
            </m:r>
          </m:sub>
        </m:sSub>
      </m:oMath>
      <w:bookmarkEnd w:id="1975"/>
      <w:r w:rsidRPr="001455DC">
        <w:t xml:space="preserve"> as follows: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A57FDC" w:rsidRPr="001455DC" w14:paraId="3D457372" w14:textId="77777777" w:rsidTr="00A57FDC">
        <w:trPr>
          <w:cantSplit/>
        </w:trPr>
        <w:tc>
          <w:tcPr>
            <w:tcW w:w="8505" w:type="dxa"/>
            <w:vAlign w:val="center"/>
          </w:tcPr>
          <w:p w14:paraId="610C890A" w14:textId="31A47817" w:rsidR="00A57FDC" w:rsidRPr="001455DC" w:rsidRDefault="00231E33" w:rsidP="002F26B9">
            <w:pPr>
              <w:pStyle w:val="Formula"/>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f</m:t>
                    </m:r>
                  </m:e>
                  <m:sub>
                    <m:r>
                      <m:rPr>
                        <m:sty m:val="p"/>
                      </m:rPr>
                      <w:rPr>
                        <w:rFonts w:ascii="Cambria Math" w:hAnsi="Cambria Math"/>
                      </w:rPr>
                      <m:t>fRd</m:t>
                    </m:r>
                  </m:sub>
                </m:sSub>
                <m:r>
                  <m:rPr>
                    <m:sty m:val="p"/>
                  </m:rPr>
                  <w:rPr>
                    <w:rFonts w:ascii="Cambria Math" w:hAnsi="Cambria Math"/>
                  </w:rPr>
                  <m:t>=</m:t>
                </m:r>
                <m:f>
                  <m:fPr>
                    <m:type m:val="skw"/>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γ</m:t>
                        </m:r>
                      </m:e>
                      <m:sub>
                        <m:r>
                          <m:rPr>
                            <m:sty m:val="p"/>
                          </m:rPr>
                          <w:rPr>
                            <w:rFonts w:ascii="Cambria Math" w:hAnsi="Cambria Math"/>
                          </w:rPr>
                          <m:t>BA</m:t>
                        </m:r>
                      </m:sub>
                    </m:sSub>
                  </m:den>
                </m:f>
                <m:r>
                  <m:rPr>
                    <m:sty m:val="p"/>
                  </m:rPr>
                  <w:rPr>
                    <w:rFonts w:ascii="Cambria Math" w:hAnsi="Cambria Math"/>
                  </w:rPr>
                  <m:t>∙</m:t>
                </m:r>
                <m:d>
                  <m:dPr>
                    <m:ctrlPr>
                      <w:rPr>
                        <w:rFonts w:ascii="Cambria Math" w:hAnsi="Cambria Math"/>
                      </w:rPr>
                    </m:ctrlPr>
                  </m:dPr>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η</m:t>
                                </m:r>
                              </m:e>
                              <m:sub>
                                <m:r>
                                  <m:rPr>
                                    <m:sty m:val="p"/>
                                  </m:rPr>
                                  <w:rPr>
                                    <w:rFonts w:ascii="Cambria Math" w:hAnsi="Cambria Math"/>
                                  </w:rPr>
                                  <m:t>cc</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tc</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tt</m:t>
                                </m:r>
                              </m:sub>
                            </m:sSub>
                          </m:e>
                        </m:d>
                      </m:e>
                      <m:sup>
                        <m:r>
                          <m:rPr>
                            <m:sty m:val="p"/>
                          </m:rPr>
                          <w:rPr>
                            <w:rFonts w:ascii="Cambria Math" w:hAnsi="Cambria Math"/>
                          </w:rPr>
                          <m:t>0,5</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f</m:t>
                        </m:r>
                      </m:e>
                      <m:sub>
                        <m:r>
                          <m:rPr>
                            <m:sty m:val="p"/>
                          </m:rPr>
                          <w:rPr>
                            <w:rFonts w:ascii="Cambria Math" w:hAnsi="Cambria Math"/>
                          </w:rPr>
                          <m:t>fk,B</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f</m:t>
                        </m:r>
                      </m:e>
                      <m:sub>
                        <m:r>
                          <m:rPr>
                            <m:sty m:val="p"/>
                          </m:rPr>
                          <w:rPr>
                            <w:rFonts w:ascii="Cambria Math" w:hAnsi="Cambria Math"/>
                          </w:rPr>
                          <m:t>fk,F</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f</m:t>
                        </m:r>
                      </m:e>
                      <m:sub>
                        <m:r>
                          <m:rPr>
                            <m:sty m:val="p"/>
                          </m:rPr>
                          <w:rPr>
                            <w:rFonts w:ascii="Cambria Math" w:hAnsi="Cambria Math"/>
                          </w:rPr>
                          <m:t>fk,C</m:t>
                        </m:r>
                      </m:sub>
                    </m:sSub>
                  </m:e>
                </m:d>
              </m:oMath>
            </m:oMathPara>
          </w:p>
        </w:tc>
        <w:tc>
          <w:tcPr>
            <w:tcW w:w="1247" w:type="dxa"/>
            <w:vAlign w:val="center"/>
          </w:tcPr>
          <w:p w14:paraId="38F22A16" w14:textId="0329E06E" w:rsidR="00A57FDC" w:rsidRPr="001455DC" w:rsidRDefault="00A57FDC" w:rsidP="00A57FDC">
            <w:pPr>
              <w:pStyle w:val="a7"/>
              <w:jc w:val="right"/>
            </w:pPr>
            <w:r w:rsidRPr="001455DC">
              <w:rPr>
                <w:rFonts w:eastAsiaTheme="minorEastAsia"/>
              </w:rPr>
              <w:t>(J.39)</w:t>
            </w:r>
          </w:p>
        </w:tc>
      </w:tr>
      <w:tr w:rsidR="00A57FDC" w:rsidRPr="001455DC" w14:paraId="09BF3A50" w14:textId="77777777" w:rsidTr="00A57FDC">
        <w:trPr>
          <w:cantSplit/>
        </w:trPr>
        <w:tc>
          <w:tcPr>
            <w:tcW w:w="8505" w:type="dxa"/>
            <w:vAlign w:val="center"/>
          </w:tcPr>
          <w:p w14:paraId="77775796" w14:textId="2702AA62" w:rsidR="00A57FDC" w:rsidRPr="001455DC" w:rsidRDefault="00231E33" w:rsidP="002F26B9">
            <w:pPr>
              <w:pStyle w:val="Formula"/>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f</m:t>
                    </m:r>
                  </m:e>
                  <m:sub>
                    <m:r>
                      <m:rPr>
                        <m:sty m:val="p"/>
                      </m:rPr>
                      <w:rPr>
                        <w:rFonts w:ascii="Cambria Math" w:hAnsi="Cambria Math"/>
                      </w:rPr>
                      <m:t>fk,B</m:t>
                    </m:r>
                  </m:sub>
                </m:sSub>
                <m:r>
                  <m:rPr>
                    <m:sty m:val="p"/>
                  </m:rPr>
                  <w:rPr>
                    <w:rFonts w:ascii="Cambria Math" w:hAnsi="Cambria Math"/>
                  </w:rPr>
                  <m:t>=0,84∙</m:t>
                </m:r>
                <m:sSub>
                  <m:sSubPr>
                    <m:ctrlPr>
                      <w:rPr>
                        <w:rFonts w:ascii="Cambria Math" w:hAnsi="Cambria Math"/>
                      </w:rPr>
                    </m:ctrlPr>
                  </m:sSubPr>
                  <m:e>
                    <m:r>
                      <w:rPr>
                        <w:rFonts w:ascii="Cambria Math" w:hAnsi="Cambria Math"/>
                      </w:rPr>
                      <m:t>k</m:t>
                    </m:r>
                  </m:e>
                  <m:sub>
                    <m:r>
                      <m:rPr>
                        <m:sty m:val="p"/>
                      </m:rPr>
                      <w:rPr>
                        <w:rFonts w:ascii="Cambria Math" w:hAnsi="Cambria Math"/>
                      </w:rPr>
                      <m:t>sys,b1</m:t>
                    </m:r>
                  </m:sub>
                </m:sSub>
                <m:r>
                  <m:rPr>
                    <m:sty m:val="p"/>
                  </m:rP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w:rPr>
                            <w:rFonts w:ascii="Cambria Math" w:hAnsi="Cambria Math"/>
                          </w:rPr>
                          <m:t>f</m:t>
                        </m:r>
                      </m:e>
                      <m:sub>
                        <m:r>
                          <m:rPr>
                            <m:sty m:val="p"/>
                          </m:rPr>
                          <w:rPr>
                            <w:rFonts w:ascii="Cambria Math" w:hAnsi="Cambria Math"/>
                          </w:rPr>
                          <m:t>cm</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ctm,surf</m:t>
                        </m:r>
                      </m:sub>
                    </m:sSub>
                  </m:e>
                </m:rad>
                <m:r>
                  <m:rPr>
                    <m:sty m:val="p"/>
                  </m:rPr>
                  <w:rPr>
                    <w:rFonts w:ascii="Cambria Math" w:hAnsi="Cambria Math"/>
                  </w:rPr>
                  <m:t>∙</m:t>
                </m:r>
                <m:f>
                  <m:fPr>
                    <m:ctrlPr>
                      <w:rPr>
                        <w:rFonts w:ascii="Cambria Math" w:hAnsi="Cambria Math"/>
                      </w:rPr>
                    </m:ctrlPr>
                  </m:fPr>
                  <m:num>
                    <m:rad>
                      <m:radPr>
                        <m:degHide m:val="1"/>
                        <m:ctrlPr>
                          <w:rPr>
                            <w:rFonts w:ascii="Cambria Math" w:hAnsi="Cambria Math"/>
                          </w:rPr>
                        </m:ctrlPr>
                      </m:radPr>
                      <m:deg/>
                      <m:e>
                        <m:sSub>
                          <m:sSubPr>
                            <m:ctrlPr>
                              <w:rPr>
                                <w:rFonts w:ascii="Cambria Math" w:hAnsi="Cambria Math"/>
                              </w:rPr>
                            </m:ctrlPr>
                          </m:sSubPr>
                          <m:e>
                            <m:r>
                              <w:rPr>
                                <w:rFonts w:ascii="Cambria Math" w:hAnsi="Cambria Math"/>
                              </w:rPr>
                              <m:t>s</m:t>
                            </m:r>
                          </m:e>
                          <m:sub>
                            <m:r>
                              <m:rPr>
                                <m:sty m:val="p"/>
                              </m:rPr>
                              <w:rPr>
                                <w:rFonts w:ascii="Cambria Math" w:hAnsi="Cambria Math"/>
                              </w:rPr>
                              <m:t>cr,min</m:t>
                            </m:r>
                          </m:sub>
                        </m:sSub>
                      </m:e>
                    </m:rad>
                  </m:num>
                  <m:den>
                    <m:sSub>
                      <m:sSubPr>
                        <m:ctrlPr>
                          <w:rPr>
                            <w:rFonts w:ascii="Cambria Math" w:hAnsi="Cambria Math"/>
                          </w:rPr>
                        </m:ctrlPr>
                      </m:sSubPr>
                      <m:e>
                        <m:r>
                          <w:rPr>
                            <w:rFonts w:ascii="Cambria Math" w:hAnsi="Cambria Math"/>
                          </w:rPr>
                          <m:t>t</m:t>
                        </m:r>
                      </m:e>
                      <m:sub>
                        <m:r>
                          <m:rPr>
                            <m:sty m:val="p"/>
                          </m:rPr>
                          <w:rPr>
                            <w:rFonts w:ascii="Cambria Math" w:hAnsi="Cambria Math"/>
                          </w:rPr>
                          <m:t>f</m:t>
                        </m:r>
                      </m:sub>
                    </m:sSub>
                  </m:den>
                </m:f>
              </m:oMath>
            </m:oMathPara>
          </w:p>
        </w:tc>
        <w:tc>
          <w:tcPr>
            <w:tcW w:w="1247" w:type="dxa"/>
            <w:vAlign w:val="center"/>
          </w:tcPr>
          <w:p w14:paraId="3868061C" w14:textId="3AEB8F41" w:rsidR="00A57FDC" w:rsidRPr="001455DC" w:rsidRDefault="00A57FDC" w:rsidP="00A57FDC">
            <w:pPr>
              <w:pStyle w:val="a7"/>
              <w:jc w:val="right"/>
            </w:pPr>
            <w:r w:rsidRPr="001455DC">
              <w:rPr>
                <w:rFonts w:eastAsiaTheme="minorEastAsia"/>
              </w:rPr>
              <w:t>(J.40)</w:t>
            </w:r>
          </w:p>
        </w:tc>
      </w:tr>
      <w:tr w:rsidR="00A57FDC" w:rsidRPr="001455DC" w14:paraId="6D31703F" w14:textId="77777777" w:rsidTr="00A57FDC">
        <w:trPr>
          <w:cantSplit/>
        </w:trPr>
        <w:tc>
          <w:tcPr>
            <w:tcW w:w="8505" w:type="dxa"/>
            <w:vAlign w:val="center"/>
          </w:tcPr>
          <w:p w14:paraId="64C3C878" w14:textId="2BC24E10" w:rsidR="00A57FDC" w:rsidRPr="001455DC" w:rsidRDefault="00231E33" w:rsidP="002F26B9">
            <w:pPr>
              <w:pStyle w:val="Formula"/>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f</m:t>
                    </m:r>
                  </m:e>
                  <m:sub>
                    <m:r>
                      <m:rPr>
                        <m:sty m:val="p"/>
                      </m:rPr>
                      <w:rPr>
                        <w:rFonts w:ascii="Cambria Math" w:hAnsi="Cambria Math"/>
                      </w:rPr>
                      <m:t>fk,F</m:t>
                    </m:r>
                  </m:sub>
                </m:sSub>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0,1∙</m:t>
                        </m:r>
                        <m:r>
                          <w:rPr>
                            <w:rFonts w:ascii="Cambria Math" w:hAnsi="Cambria Math"/>
                          </w:rPr>
                          <m:t>f</m:t>
                        </m:r>
                      </m:e>
                      <m:sub>
                        <m:r>
                          <m:rPr>
                            <m:sty m:val="p"/>
                          </m:rPr>
                          <w:rPr>
                            <w:rFonts w:ascii="Cambria Math" w:hAnsi="Cambria Math"/>
                          </w:rPr>
                          <m:t>cm</m:t>
                        </m:r>
                      </m:sub>
                    </m:sSub>
                  </m:e>
                  <m:sup>
                    <m:r>
                      <m:rPr>
                        <m:sty m:val="p"/>
                      </m:rPr>
                      <w:rPr>
                        <w:rFonts w:ascii="Cambria Math" w:hAnsi="Cambria Math"/>
                      </w:rPr>
                      <m:t>0,9</m:t>
                    </m:r>
                  </m:sup>
                </m:sSup>
                <m:r>
                  <m:rPr>
                    <m:sty m:val="p"/>
                  </m:rPr>
                  <w:rPr>
                    <w:rFonts w:ascii="Cambria Math" w:hAnsi="Cambria Math"/>
                  </w:rPr>
                  <m:t>∙</m:t>
                </m:r>
                <m:f>
                  <m:fPr>
                    <m:ctrlPr>
                      <w:rPr>
                        <w:rFonts w:ascii="Cambria Math" w:hAnsi="Cambria Math"/>
                      </w:rPr>
                    </m:ctrlPr>
                  </m:fPr>
                  <m:num>
                    <m:sSup>
                      <m:sSupPr>
                        <m:ctrlPr>
                          <w:rPr>
                            <w:rFonts w:ascii="Cambria Math" w:hAnsi="Cambria Math"/>
                          </w:rPr>
                        </m:ctrlPr>
                      </m:sSupPr>
                      <m:e>
                        <m:sSub>
                          <m:sSubPr>
                            <m:ctrlPr>
                              <w:rPr>
                                <w:rFonts w:ascii="Cambria Math" w:hAnsi="Cambria Math"/>
                              </w:rPr>
                            </m:ctrlPr>
                          </m:sSubPr>
                          <m:e>
                            <m:r>
                              <w:rPr>
                                <w:rFonts w:ascii="Cambria Math" w:hAnsi="Cambria Math"/>
                              </w:rPr>
                              <m:t>s</m:t>
                            </m:r>
                          </m:e>
                          <m:sub>
                            <m:r>
                              <m:rPr>
                                <m:sty m:val="p"/>
                              </m:rPr>
                              <w:rPr>
                                <w:rFonts w:ascii="Cambria Math" w:hAnsi="Cambria Math"/>
                              </w:rPr>
                              <m:t>cr,min</m:t>
                            </m:r>
                          </m:sub>
                        </m:sSub>
                      </m:e>
                      <m:sup>
                        <m:f>
                          <m:fPr>
                            <m:type m:val="lin"/>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sup>
                    </m:sSup>
                  </m:num>
                  <m:den>
                    <m:sSub>
                      <m:sSubPr>
                        <m:ctrlPr>
                          <w:rPr>
                            <w:rFonts w:ascii="Cambria Math" w:hAnsi="Cambria Math"/>
                          </w:rPr>
                        </m:ctrlPr>
                      </m:sSubPr>
                      <m:e>
                        <m:r>
                          <w:rPr>
                            <w:rFonts w:ascii="Cambria Math" w:hAnsi="Cambria Math"/>
                          </w:rPr>
                          <m:t>t</m:t>
                        </m:r>
                      </m:e>
                      <m:sub>
                        <m:r>
                          <m:rPr>
                            <m:sty m:val="p"/>
                          </m:rPr>
                          <w:rPr>
                            <w:rFonts w:ascii="Cambria Math" w:hAnsi="Cambria Math"/>
                          </w:rPr>
                          <m:t>f</m:t>
                        </m:r>
                      </m:sub>
                    </m:sSub>
                  </m:den>
                </m:f>
              </m:oMath>
            </m:oMathPara>
          </w:p>
        </w:tc>
        <w:tc>
          <w:tcPr>
            <w:tcW w:w="1247" w:type="dxa"/>
            <w:vAlign w:val="center"/>
          </w:tcPr>
          <w:p w14:paraId="45EE975C" w14:textId="1D84D4DD" w:rsidR="00A57FDC" w:rsidRPr="001455DC" w:rsidRDefault="00A57FDC" w:rsidP="00A57FDC">
            <w:pPr>
              <w:pStyle w:val="a7"/>
              <w:jc w:val="right"/>
            </w:pPr>
            <w:r w:rsidRPr="001455DC">
              <w:rPr>
                <w:rFonts w:eastAsiaTheme="minorEastAsia"/>
              </w:rPr>
              <w:t>(J.41)</w:t>
            </w:r>
          </w:p>
        </w:tc>
      </w:tr>
      <w:tr w:rsidR="00A57FDC" w:rsidRPr="001455DC" w14:paraId="182713AE" w14:textId="77777777" w:rsidTr="00A57FDC">
        <w:trPr>
          <w:cantSplit/>
        </w:trPr>
        <w:tc>
          <w:tcPr>
            <w:tcW w:w="8505" w:type="dxa"/>
            <w:vAlign w:val="center"/>
          </w:tcPr>
          <w:p w14:paraId="0F971F25" w14:textId="0E0DADF4" w:rsidR="00A57FDC" w:rsidRPr="001455DC" w:rsidRDefault="00231E33" w:rsidP="002F26B9">
            <w:pPr>
              <w:pStyle w:val="Formula"/>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f</m:t>
                    </m:r>
                  </m:e>
                  <m:sub>
                    <m:r>
                      <m:rPr>
                        <m:sty m:val="p"/>
                      </m:rPr>
                      <w:rPr>
                        <w:rFonts w:ascii="Cambria Math" w:hAnsi="Cambria Math"/>
                      </w:rPr>
                      <m:t>fk,C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κ</m:t>
                        </m:r>
                      </m:e>
                      <m:sub>
                        <m:r>
                          <m:rPr>
                            <m:sty m:val="p"/>
                          </m:rPr>
                          <w:rPr>
                            <w:rFonts w:ascii="Cambria Math" w:hAnsi="Cambria Math"/>
                          </w:rPr>
                          <m:t>h</m:t>
                        </m:r>
                      </m:sub>
                    </m:sSub>
                  </m:num>
                  <m:den>
                    <m:sSub>
                      <m:sSubPr>
                        <m:ctrlPr>
                          <w:rPr>
                            <w:rFonts w:ascii="Cambria Math" w:hAnsi="Cambria Math"/>
                          </w:rPr>
                        </m:ctrlPr>
                      </m:sSubPr>
                      <m:e>
                        <m:r>
                          <w:rPr>
                            <w:rFonts w:ascii="Cambria Math" w:hAnsi="Cambria Math"/>
                          </w:rPr>
                          <m:t>h</m:t>
                        </m:r>
                      </m:e>
                      <m:sub>
                        <m:r>
                          <m:rPr>
                            <m:sty m:val="p"/>
                          </m:rPr>
                          <w:rPr>
                            <w:rFonts w:ascii="Cambria Math" w:hAnsi="Cambria Math"/>
                          </w:rPr>
                          <m:t>f</m:t>
                        </m:r>
                      </m:sub>
                    </m:sSub>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sSub>
                          <m:sSubPr>
                            <m:ctrlPr>
                              <w:rPr>
                                <w:rFonts w:ascii="Cambria Math" w:hAnsi="Cambria Math"/>
                              </w:rPr>
                            </m:ctrlPr>
                          </m:sSubPr>
                          <m:e>
                            <m:r>
                              <w:rPr>
                                <w:rFonts w:ascii="Cambria Math" w:hAnsi="Cambria Math"/>
                              </w:rPr>
                              <m:t>s</m:t>
                            </m:r>
                          </m:e>
                          <m:sub>
                            <m:r>
                              <m:rPr>
                                <m:sty m:val="p"/>
                              </m:rPr>
                              <w:rPr>
                                <w:rFonts w:ascii="Cambria Math" w:hAnsi="Cambria Math"/>
                              </w:rPr>
                              <m:t>cr,min</m:t>
                            </m:r>
                          </m:sub>
                        </m:sSub>
                      </m:e>
                      <m:sup>
                        <m:f>
                          <m:fPr>
                            <m:type m:val="lin"/>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up>
                    </m:sSup>
                  </m:num>
                  <m:den>
                    <m:sSub>
                      <m:sSubPr>
                        <m:ctrlPr>
                          <w:rPr>
                            <w:rFonts w:ascii="Cambria Math" w:hAnsi="Cambria Math"/>
                          </w:rPr>
                        </m:ctrlPr>
                      </m:sSubPr>
                      <m:e>
                        <m:r>
                          <w:rPr>
                            <w:rFonts w:ascii="Cambria Math" w:hAnsi="Cambria Math"/>
                          </w:rPr>
                          <m:t>t</m:t>
                        </m:r>
                      </m:e>
                      <m:sub>
                        <m:r>
                          <m:rPr>
                            <m:sty m:val="p"/>
                          </m:rPr>
                          <w:rPr>
                            <w:rFonts w:ascii="Cambria Math" w:hAnsi="Cambria Math"/>
                          </w:rPr>
                          <m:t>f</m:t>
                        </m:r>
                      </m:sub>
                    </m:sSub>
                  </m:den>
                </m:f>
              </m:oMath>
            </m:oMathPara>
          </w:p>
        </w:tc>
        <w:tc>
          <w:tcPr>
            <w:tcW w:w="1247" w:type="dxa"/>
            <w:vAlign w:val="center"/>
          </w:tcPr>
          <w:p w14:paraId="33928C8F" w14:textId="2F23A6C9" w:rsidR="00A57FDC" w:rsidRPr="001455DC" w:rsidRDefault="00A57FDC" w:rsidP="00A57FDC">
            <w:pPr>
              <w:pStyle w:val="a7"/>
              <w:jc w:val="right"/>
            </w:pPr>
            <w:r w:rsidRPr="001455DC">
              <w:rPr>
                <w:rFonts w:eastAsiaTheme="minorEastAsia"/>
              </w:rPr>
              <w:t>(J.42)</w:t>
            </w:r>
          </w:p>
        </w:tc>
      </w:tr>
    </w:tbl>
    <w:p w14:paraId="19EE1F17" w14:textId="77777777" w:rsidR="00A57FDC" w:rsidRPr="001455DC" w:rsidRDefault="00A57FDC" w:rsidP="00A35599">
      <w:pPr>
        <w:pStyle w:val="a7"/>
        <w:keepNext/>
      </w:pPr>
      <w:r w:rsidRPr="001455DC">
        <w:t>where</w:t>
      </w:r>
    </w:p>
    <w:tbl>
      <w:tblPr>
        <w:tblW w:w="9413" w:type="dxa"/>
        <w:tblInd w:w="397" w:type="dxa"/>
        <w:tblLayout w:type="fixed"/>
        <w:tblCellMar>
          <w:left w:w="28" w:type="dxa"/>
          <w:right w:w="28" w:type="dxa"/>
        </w:tblCellMar>
        <w:tblLook w:val="04A0" w:firstRow="1" w:lastRow="0" w:firstColumn="1" w:lastColumn="0" w:noHBand="0" w:noVBand="1"/>
      </w:tblPr>
      <w:tblGrid>
        <w:gridCol w:w="1418"/>
        <w:gridCol w:w="7995"/>
      </w:tblGrid>
      <w:tr w:rsidR="00A57FDC" w:rsidRPr="001455DC" w14:paraId="007254E1" w14:textId="77777777" w:rsidTr="002F26B9">
        <w:trPr>
          <w:cantSplit/>
        </w:trPr>
        <w:tc>
          <w:tcPr>
            <w:tcW w:w="1418" w:type="dxa"/>
          </w:tcPr>
          <w:p w14:paraId="5F2B8467" w14:textId="665007C7" w:rsidR="00A57FDC" w:rsidRPr="001455DC" w:rsidRDefault="00231E33" w:rsidP="002F26B9">
            <w:pPr>
              <w:pStyle w:val="Tablebody"/>
            </w:pPr>
            <m:oMathPara>
              <m:oMathParaPr>
                <m:jc m:val="left"/>
              </m:oMathParaPr>
              <m:oMath>
                <m:sSub>
                  <m:sSubPr>
                    <m:ctrlPr>
                      <w:rPr>
                        <w:rFonts w:ascii="Cambria Math" w:hAnsi="Cambria Math"/>
                      </w:rPr>
                    </m:ctrlPr>
                  </m:sSubPr>
                  <m:e>
                    <m:r>
                      <w:rPr>
                        <w:rFonts w:ascii="Cambria Math" w:hAnsi="Cambria Math"/>
                      </w:rPr>
                      <m:t>κ</m:t>
                    </m:r>
                  </m:e>
                  <m:sub>
                    <m:r>
                      <m:rPr>
                        <m:sty m:val="p"/>
                      </m:rPr>
                      <w:rPr>
                        <w:rFonts w:ascii="Cambria Math" w:hAnsi="Cambria Math"/>
                      </w:rPr>
                      <m:t>h</m:t>
                    </m:r>
                  </m:sub>
                </m:sSub>
                <m:r>
                  <m:rPr>
                    <m:sty m:val="p"/>
                  </m:rPr>
                  <w:rPr>
                    <w:rFonts w:ascii="Cambria Math" w:hAnsi="Cambria Math"/>
                  </w:rPr>
                  <m:t>=2 000</m:t>
                </m:r>
              </m:oMath>
            </m:oMathPara>
          </w:p>
        </w:tc>
        <w:tc>
          <w:tcPr>
            <w:tcW w:w="7995" w:type="dxa"/>
          </w:tcPr>
          <w:p w14:paraId="23835576" w14:textId="2546BBEA" w:rsidR="00A57FDC" w:rsidRPr="001455DC" w:rsidRDefault="002F26B9" w:rsidP="002F26B9">
            <w:pPr>
              <w:pStyle w:val="Tablebody"/>
            </w:pPr>
            <w:r w:rsidRPr="001455DC">
              <w:rPr>
                <w:rFonts w:eastAsiaTheme="minorEastAsia"/>
              </w:rPr>
              <w:t>for reinforced concrete members;</w:t>
            </w:r>
          </w:p>
        </w:tc>
      </w:tr>
      <w:tr w:rsidR="00A57FDC" w:rsidRPr="001455DC" w14:paraId="424EA73B" w14:textId="77777777" w:rsidTr="002F26B9">
        <w:trPr>
          <w:cantSplit/>
        </w:trPr>
        <w:tc>
          <w:tcPr>
            <w:tcW w:w="1418" w:type="dxa"/>
          </w:tcPr>
          <w:p w14:paraId="3D2EFA61" w14:textId="79821A09" w:rsidR="00A57FDC" w:rsidRPr="001455DC" w:rsidRDefault="00231E33" w:rsidP="002F26B9">
            <w:pPr>
              <w:pStyle w:val="Tablebody"/>
            </w:pPr>
            <m:oMathPara>
              <m:oMathParaPr>
                <m:jc m:val="left"/>
              </m:oMathParaPr>
              <m:oMath>
                <m:sSub>
                  <m:sSubPr>
                    <m:ctrlPr>
                      <w:rPr>
                        <w:rFonts w:ascii="Cambria Math" w:hAnsi="Cambria Math"/>
                      </w:rPr>
                    </m:ctrlPr>
                  </m:sSubPr>
                  <m:e>
                    <m:r>
                      <w:rPr>
                        <w:rFonts w:ascii="Cambria Math" w:hAnsi="Cambria Math"/>
                      </w:rPr>
                      <m:t>κ</m:t>
                    </m:r>
                  </m:e>
                  <m:sub>
                    <m:r>
                      <m:rPr>
                        <m:sty m:val="p"/>
                      </m:rPr>
                      <w:rPr>
                        <w:rFonts w:ascii="Cambria Math" w:hAnsi="Cambria Math"/>
                      </w:rPr>
                      <m:t>h</m:t>
                    </m:r>
                  </m:sub>
                </m:sSub>
                <m:r>
                  <m:rPr>
                    <m:sty m:val="p"/>
                  </m:rPr>
                  <w:rPr>
                    <w:rFonts w:ascii="Cambria Math" w:hAnsi="Cambria Math"/>
                  </w:rPr>
                  <m:t>=0</m:t>
                </m:r>
              </m:oMath>
            </m:oMathPara>
          </w:p>
        </w:tc>
        <w:tc>
          <w:tcPr>
            <w:tcW w:w="7995" w:type="dxa"/>
          </w:tcPr>
          <w:p w14:paraId="4E482F62" w14:textId="5DDF1A13" w:rsidR="00A57FDC" w:rsidRPr="001455DC" w:rsidRDefault="002F26B9" w:rsidP="002F26B9">
            <w:pPr>
              <w:pStyle w:val="Tablebody"/>
            </w:pPr>
            <w:r w:rsidRPr="001455DC">
              <w:rPr>
                <w:rFonts w:eastAsiaTheme="minorEastAsia"/>
              </w:rPr>
              <w:t>for prestressed concrete members;</w:t>
            </w:r>
          </w:p>
        </w:tc>
      </w:tr>
      <w:tr w:rsidR="002F26B9" w:rsidRPr="001455DC" w14:paraId="23FEAF02" w14:textId="77777777" w:rsidTr="00DD375F">
        <w:trPr>
          <w:cantSplit/>
        </w:trPr>
        <w:tc>
          <w:tcPr>
            <w:tcW w:w="9413" w:type="dxa"/>
            <w:gridSpan w:val="2"/>
          </w:tcPr>
          <w:p w14:paraId="63F75EDA" w14:textId="7288201B" w:rsidR="002F26B9" w:rsidRPr="001455DC" w:rsidRDefault="00231E33" w:rsidP="002F26B9">
            <w:pPr>
              <w:pStyle w:val="Tablebody"/>
            </w:pPr>
            <m:oMath>
              <m:sSub>
                <m:sSubPr>
                  <m:ctrlPr>
                    <w:rPr>
                      <w:rFonts w:ascii="Cambria Math" w:hAnsi="Cambria Math"/>
                    </w:rPr>
                  </m:ctrlPr>
                </m:sSubPr>
                <m:e>
                  <m:r>
                    <w:rPr>
                      <w:rFonts w:ascii="Cambria Math" w:hAnsi="Cambria Math"/>
                    </w:rPr>
                    <m:t>h</m:t>
                  </m:r>
                </m:e>
                <m:sub>
                  <m:r>
                    <m:rPr>
                      <m:sty m:val="p"/>
                    </m:rPr>
                    <w:rPr>
                      <w:rFonts w:ascii="Cambria Math" w:hAnsi="Cambria Math"/>
                    </w:rPr>
                    <m:t xml:space="preserve">f </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min</m:t>
                  </m:r>
                </m:fName>
                <m:e>
                  <m:d>
                    <m:dPr>
                      <m:begChr m:val="{"/>
                      <m:endChr m:val="}"/>
                      <m:ctrlPr>
                        <w:rPr>
                          <w:rFonts w:ascii="Cambria Math" w:hAnsi="Cambria Math"/>
                        </w:rPr>
                      </m:ctrlPr>
                    </m:dPr>
                    <m:e>
                      <m:r>
                        <m:rPr>
                          <m:sty m:val="p"/>
                        </m:rPr>
                        <w:rPr>
                          <w:rFonts w:ascii="Cambria Math" w:hAnsi="Cambria Math"/>
                        </w:rPr>
                        <m:t xml:space="preserve">100 </m:t>
                      </m:r>
                      <m:r>
                        <m:rPr>
                          <m:nor/>
                        </m:rPr>
                        <w:rPr>
                          <w:iCs/>
                        </w:rPr>
                        <m:t>mm</m:t>
                      </m:r>
                      <m:r>
                        <m:rPr>
                          <m:sty m:val="p"/>
                        </m:rPr>
                        <w:rPr>
                          <w:rFonts w:ascii="Cambria Math" w:hAnsi="Cambria Math"/>
                        </w:rPr>
                        <m:t xml:space="preserve">, </m:t>
                      </m:r>
                      <m:r>
                        <w:rPr>
                          <w:rFonts w:ascii="Cambria Math" w:hAnsi="Cambria Math"/>
                        </w:rPr>
                        <m:t>h</m:t>
                      </m:r>
                    </m:e>
                  </m:d>
                </m:e>
              </m:func>
            </m:oMath>
            <w:r w:rsidR="002F26B9" w:rsidRPr="001455DC">
              <w:rPr>
                <w:rFonts w:eastAsiaTheme="minorEastAsia"/>
              </w:rPr>
              <w:t>.</w:t>
            </w:r>
          </w:p>
        </w:tc>
      </w:tr>
    </w:tbl>
    <w:p w14:paraId="6DFD0BA8" w14:textId="0287EE9F" w:rsidR="004E22C1" w:rsidRPr="001455DC" w:rsidRDefault="004E22C1" w:rsidP="002F26B9">
      <w:pPr>
        <w:pStyle w:val="a7"/>
      </w:pPr>
      <w:r w:rsidRPr="001455DC">
        <w:t>(6)</w:t>
      </w:r>
      <w:r w:rsidRPr="001455DC">
        <w:tab/>
        <w:t xml:space="preserve">Unless a more accurate analysis is undertaken, </w:t>
      </w:r>
      <m:oMath>
        <m:r>
          <m:rPr>
            <m:sty m:val="p"/>
          </m:rPr>
          <w:rPr>
            <w:rFonts w:ascii="Cambria Math" w:hAnsi="Cambria Math"/>
          </w:rPr>
          <m:t>Δ</m:t>
        </m:r>
        <m:sSub>
          <m:sSubPr>
            <m:ctrlPr>
              <w:rPr>
                <w:rFonts w:ascii="Cambria Math" w:hAnsi="Cambria Math"/>
              </w:rPr>
            </m:ctrlPr>
          </m:sSubPr>
          <m:e>
            <m:r>
              <w:rPr>
                <w:rFonts w:ascii="Cambria Math" w:hAnsi="Cambria Math"/>
              </w:rPr>
              <m:t>f</m:t>
            </m:r>
          </m:e>
          <m:sub>
            <m:r>
              <m:rPr>
                <m:sty m:val="p"/>
              </m:rPr>
              <w:rPr>
                <w:rFonts w:ascii="Cambria Math" w:hAnsi="Cambria Math"/>
              </w:rPr>
              <m:t>fEd</m:t>
            </m:r>
          </m:sub>
        </m:sSub>
      </m:oMath>
      <w:r w:rsidRPr="001455DC">
        <w:t xml:space="preserve"> may be calculated by ignoring slip of the CFRP.</w:t>
      </w:r>
    </w:p>
    <w:p w14:paraId="1FB530A7" w14:textId="5E0BB62B" w:rsidR="004E22C1" w:rsidRPr="001455DC" w:rsidRDefault="004E22C1" w:rsidP="00243590">
      <w:pPr>
        <w:pStyle w:val="a5"/>
      </w:pPr>
      <w:bookmarkStart w:id="1976" w:name="_Toc52820289"/>
      <w:bookmarkStart w:id="1977" w:name="_Toc54337717"/>
      <w:r w:rsidRPr="001455DC">
        <w:t>End cover separation</w:t>
      </w:r>
      <w:bookmarkEnd w:id="1976"/>
      <w:bookmarkEnd w:id="1977"/>
    </w:p>
    <w:p w14:paraId="658B21AC" w14:textId="02588B2F" w:rsidR="00A57FDC" w:rsidRPr="001455DC" w:rsidRDefault="004E22C1" w:rsidP="00DE6BBC">
      <w:pPr>
        <w:pStyle w:val="a7"/>
        <w:keepNext/>
      </w:pPr>
      <w:r w:rsidRPr="001455DC">
        <w:t>(1)</w:t>
      </w:r>
      <w:r w:rsidRPr="001455DC">
        <w:tab/>
        <w:t>The maximum design shear force (</w:t>
      </w:r>
      <m:oMath>
        <m:sSub>
          <m:sSubPr>
            <m:ctrlPr>
              <w:rPr>
                <w:rFonts w:ascii="Cambria Math" w:hAnsi="Cambria Math"/>
              </w:rPr>
            </m:ctrlPr>
          </m:sSubPr>
          <m:e>
            <m:r>
              <w:rPr>
                <w:rFonts w:ascii="Cambria Math" w:hAnsi="Cambria Math"/>
              </w:rPr>
              <m:t>V</m:t>
            </m:r>
          </m:e>
          <m:sub>
            <m:r>
              <m:rPr>
                <m:sty m:val="p"/>
              </m:rPr>
              <w:rPr>
                <w:rFonts w:ascii="Cambria Math" w:hAnsi="Cambria Math"/>
              </w:rPr>
              <m:t>ED</m:t>
            </m:r>
          </m:sub>
        </m:sSub>
      </m:oMath>
      <w:r w:rsidRPr="001455DC">
        <w:t xml:space="preserve">) at the support of the member subjected to strengthening shall be less than the design resistance value against concrete cover separation </w:t>
      </w:r>
      <m:oMath>
        <m:sSub>
          <m:sSubPr>
            <m:ctrlPr>
              <w:rPr>
                <w:rFonts w:ascii="Cambria Math" w:hAnsi="Cambria Math"/>
              </w:rPr>
            </m:ctrlPr>
          </m:sSubPr>
          <m:e>
            <m:r>
              <w:rPr>
                <w:rFonts w:ascii="Cambria Math" w:hAnsi="Cambria Math"/>
              </w:rPr>
              <m:t>V</m:t>
            </m:r>
          </m:e>
          <m:sub>
            <m:r>
              <m:rPr>
                <m:sty m:val="p"/>
              </m:rPr>
              <w:rPr>
                <w:rFonts w:ascii="Cambria Math" w:hAnsi="Cambria Math"/>
              </w:rPr>
              <m:t>Rd,cfE</m:t>
            </m:r>
          </m:sub>
        </m:sSub>
      </m:oMath>
      <w:r w:rsidRPr="001455DC">
        <w:t xml:space="preserve"> calculated in accordance to Formula (J.</w:t>
      </w:r>
      <w:r w:rsidR="002B3818" w:rsidRPr="001455DC">
        <w:t>43</w:t>
      </w:r>
      <w:r w:rsidRPr="001455DC">
        <w:t>):</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A57FDC" w:rsidRPr="001455DC" w14:paraId="6598D41B" w14:textId="77777777" w:rsidTr="00A57FDC">
        <w:trPr>
          <w:cantSplit/>
        </w:trPr>
        <w:tc>
          <w:tcPr>
            <w:tcW w:w="8505" w:type="dxa"/>
            <w:vAlign w:val="center"/>
          </w:tcPr>
          <w:bookmarkStart w:id="1978" w:name="_Hlk39841528"/>
          <w:p w14:paraId="2597C0EB" w14:textId="440F1E59" w:rsidR="00A57FDC" w:rsidRPr="001455DC" w:rsidRDefault="00231E33" w:rsidP="00A57FDC">
            <w:pPr>
              <w:pStyle w:val="Formula"/>
              <w:jc w:val="left"/>
            </w:pPr>
            <m:oMathPara>
              <m:oMathParaPr>
                <m:jc m:val="left"/>
              </m:oMathParaPr>
              <m:oMath>
                <m:sSub>
                  <m:sSubPr>
                    <m:ctrlPr>
                      <w:rPr>
                        <w:rFonts w:ascii="Cambria Math" w:hAnsi="Cambria Math"/>
                      </w:rPr>
                    </m:ctrlPr>
                  </m:sSubPr>
                  <m:e>
                    <m:r>
                      <w:rPr>
                        <w:rFonts w:ascii="Cambria Math" w:hAnsi="Cambria Math"/>
                      </w:rPr>
                      <m:t>V</m:t>
                    </m:r>
                  </m:e>
                  <m:sub>
                    <m:r>
                      <m:rPr>
                        <m:sty m:val="p"/>
                      </m:rPr>
                      <w:rPr>
                        <w:rFonts w:ascii="Cambria Math" w:hAnsi="Cambria Math"/>
                      </w:rPr>
                      <m:t>ED</m:t>
                    </m:r>
                  </m:sub>
                </m:sSub>
                <m:r>
                  <w:rPr>
                    <w:rFonts w:ascii="Cambria Math" w:hAnsi="Cambria Math"/>
                  </w:rPr>
                  <m:t xml:space="preserve">≤ </m:t>
                </m:r>
                <m:sSub>
                  <m:sSubPr>
                    <m:ctrlPr>
                      <w:rPr>
                        <w:rFonts w:ascii="Cambria Math" w:hAnsi="Cambria Math"/>
                      </w:rPr>
                    </m:ctrlPr>
                  </m:sSubPr>
                  <m:e>
                    <m:r>
                      <w:rPr>
                        <w:rFonts w:ascii="Cambria Math" w:hAnsi="Cambria Math"/>
                      </w:rPr>
                      <m:t>V</m:t>
                    </m:r>
                  </m:e>
                  <m:sub>
                    <m:r>
                      <m:rPr>
                        <m:sty m:val="p"/>
                      </m:rPr>
                      <w:rPr>
                        <w:rFonts w:ascii="Cambria Math" w:hAnsi="Cambria Math"/>
                      </w:rPr>
                      <m:t>Rd,cfE</m:t>
                    </m:r>
                  </m:sub>
                </m:sSub>
                <w:bookmarkEnd w:id="1978"/>
                <m:r>
                  <w:rPr>
                    <w:rFonts w:ascii="Cambria Math" w:hAnsi="Cambria Math"/>
                  </w:rPr>
                  <m:t xml:space="preserve"> =0,75∙</m:t>
                </m:r>
                <m:d>
                  <m:dPr>
                    <m:ctrlPr>
                      <w:rPr>
                        <w:rFonts w:ascii="Cambria Math" w:hAnsi="Cambria Math"/>
                      </w:rPr>
                    </m:ctrlPr>
                  </m:dPr>
                  <m:e>
                    <m:r>
                      <w:rPr>
                        <w:rFonts w:ascii="Cambria Math" w:hAnsi="Cambria Math"/>
                      </w:rPr>
                      <m:t>1+19,6∙</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r>
                                  <w:rPr>
                                    <w:rFonts w:ascii="Cambria Math" w:hAnsi="Cambria Math"/>
                                  </w:rPr>
                                  <m:t>100</m:t>
                                </m:r>
                                <m:sSub>
                                  <m:sSubPr>
                                    <m:ctrlPr>
                                      <w:rPr>
                                        <w:rFonts w:ascii="Cambria Math" w:hAnsi="Cambria Math"/>
                                      </w:rPr>
                                    </m:ctrlPr>
                                  </m:sSubPr>
                                  <m:e>
                                    <m:r>
                                      <w:rPr>
                                        <w:rFonts w:ascii="Cambria Math" w:hAnsi="Cambria Math"/>
                                      </w:rPr>
                                      <m:t>ρ</m:t>
                                    </m:r>
                                  </m:e>
                                  <m:sub>
                                    <m:r>
                                      <m:rPr>
                                        <m:sty m:val="p"/>
                                      </m:rPr>
                                      <w:rPr>
                                        <w:rFonts w:ascii="Cambria Math" w:hAnsi="Cambria Math"/>
                                      </w:rPr>
                                      <m:t>l</m:t>
                                    </m:r>
                                  </m:sub>
                                </m:sSub>
                              </m:e>
                            </m:d>
                          </m:e>
                          <m:sup>
                            <m:r>
                              <w:rPr>
                                <w:rFonts w:ascii="Cambria Math" w:hAnsi="Cambria Math"/>
                              </w:rPr>
                              <m:t>0,15</m:t>
                            </m:r>
                          </m:sup>
                        </m:sSup>
                      </m:num>
                      <m:den>
                        <m:sSub>
                          <m:sSubPr>
                            <m:ctrlPr>
                              <w:rPr>
                                <w:rFonts w:ascii="Cambria Math" w:hAnsi="Cambria Math"/>
                              </w:rPr>
                            </m:ctrlPr>
                          </m:sSubPr>
                          <m:e>
                            <m:r>
                              <w:rPr>
                                <w:rFonts w:ascii="Cambria Math" w:hAnsi="Cambria Math"/>
                              </w:rPr>
                              <m:t>a</m:t>
                            </m:r>
                          </m:e>
                          <m:sub>
                            <m:r>
                              <m:rPr>
                                <m:sty m:val="p"/>
                              </m:rPr>
                              <w:rPr>
                                <w:rFonts w:ascii="Cambria Math" w:hAnsi="Cambria Math"/>
                              </w:rPr>
                              <m:t>fE</m:t>
                            </m:r>
                          </m:sub>
                        </m:sSub>
                      </m:den>
                    </m:f>
                  </m:e>
                </m:d>
                <m:r>
                  <w:rPr>
                    <w:rFonts w:ascii="Cambria Math" w:hAnsi="Cambria Math"/>
                  </w:rPr>
                  <m:t>∙</m:t>
                </m:r>
                <m:sSub>
                  <m:sSubPr>
                    <m:ctrlPr>
                      <w:rPr>
                        <w:rFonts w:ascii="Cambria Math" w:hAnsi="Cambria Math"/>
                      </w:rPr>
                    </m:ctrlPr>
                  </m:sSubPr>
                  <m:e>
                    <m:r>
                      <w:rPr>
                        <w:rFonts w:ascii="Cambria Math" w:hAnsi="Cambria Math"/>
                      </w:rPr>
                      <m:t>τ</m:t>
                    </m:r>
                  </m:e>
                  <m:sub>
                    <m:r>
                      <m:rPr>
                        <m:sty m:val="p"/>
                      </m:rPr>
                      <w:rPr>
                        <w:rFonts w:ascii="Cambria Math" w:hAnsi="Cambria Math"/>
                      </w:rPr>
                      <m:t>Rd,c</m:t>
                    </m:r>
                  </m:sub>
                </m:sSub>
                <m:sSub>
                  <m:sSubPr>
                    <m:ctrlPr>
                      <w:rPr>
                        <w:rFonts w:ascii="Cambria Math" w:hAnsi="Cambria Math"/>
                      </w:rPr>
                    </m:ctrlPr>
                  </m:sSubPr>
                  <m:e>
                    <m:r>
                      <w:rPr>
                        <w:rFonts w:ascii="Cambria Math" w:hAnsi="Cambria Math"/>
                      </w:rPr>
                      <m:t>∙b</m:t>
                    </m:r>
                  </m:e>
                  <m:sub>
                    <m:r>
                      <m:rPr>
                        <m:sty m:val="p"/>
                      </m:rPr>
                      <w:rPr>
                        <w:rFonts w:ascii="Cambria Math" w:hAnsi="Cambria Math"/>
                      </w:rPr>
                      <m:t>w</m:t>
                    </m:r>
                  </m:sub>
                </m:sSub>
                <m:r>
                  <w:rPr>
                    <w:rFonts w:ascii="Cambria Math" w:hAnsi="Cambria Math"/>
                  </w:rPr>
                  <m:t>∙z</m:t>
                </m:r>
              </m:oMath>
            </m:oMathPara>
          </w:p>
        </w:tc>
        <w:tc>
          <w:tcPr>
            <w:tcW w:w="1247" w:type="dxa"/>
            <w:vAlign w:val="center"/>
          </w:tcPr>
          <w:p w14:paraId="49D0AD65" w14:textId="1CD540E3" w:rsidR="00A57FDC" w:rsidRPr="001455DC" w:rsidRDefault="002F26B9" w:rsidP="00A57FDC">
            <w:pPr>
              <w:pStyle w:val="a7"/>
              <w:jc w:val="right"/>
            </w:pPr>
            <w:r w:rsidRPr="001455DC">
              <w:t>(J.43)</w:t>
            </w:r>
          </w:p>
        </w:tc>
      </w:tr>
    </w:tbl>
    <w:p w14:paraId="70F0F843" w14:textId="26D6280C" w:rsidR="00A57FDC" w:rsidRPr="001455DC" w:rsidRDefault="004E22C1" w:rsidP="00A57FDC">
      <w:pPr>
        <w:pStyle w:val="a7"/>
      </w:pPr>
      <w:r w:rsidRPr="001455DC">
        <w:t>Where the condition in Formula (J.43) is not met, shear strengthening at the end of the longitudinal strengthening shall be provided in accordance with Formula (J.44) with anchorage satisfying the provisions of this Eurocode.</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A57FDC" w:rsidRPr="001455DC" w14:paraId="4A2911EA" w14:textId="77777777" w:rsidTr="00A57FDC">
        <w:trPr>
          <w:cantSplit/>
        </w:trPr>
        <w:tc>
          <w:tcPr>
            <w:tcW w:w="8505" w:type="dxa"/>
            <w:vAlign w:val="center"/>
          </w:tcPr>
          <w:p w14:paraId="67711188" w14:textId="2ACC9A3E" w:rsidR="00A57FDC" w:rsidRPr="001455DC" w:rsidRDefault="00231E33" w:rsidP="00A57FDC">
            <w:pPr>
              <w:pStyle w:val="Formula"/>
              <w:jc w:val="left"/>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fwd</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bfRd</m:t>
                    </m:r>
                  </m:sub>
                </m:sSub>
                <m:r>
                  <w:rPr>
                    <w:rFonts w:ascii="Cambria Math" w:hAnsi="Cambria Math"/>
                  </w:rPr>
                  <m:t>∙</m:t>
                </m:r>
                <m:r>
                  <m:rPr>
                    <m:sty m:val="p"/>
                  </m:rPr>
                  <w:rPr>
                    <w:rFonts w:ascii="Cambria Math" w:hAnsi="Cambria Math"/>
                  </w:rPr>
                  <m:t>tan</m:t>
                </m:r>
                <m:r>
                  <w:rPr>
                    <w:rFonts w:ascii="Cambria Math" w:hAnsi="Cambria Math"/>
                  </w:rPr>
                  <m:t>θ</m:t>
                </m:r>
              </m:oMath>
            </m:oMathPara>
          </w:p>
        </w:tc>
        <w:tc>
          <w:tcPr>
            <w:tcW w:w="1247" w:type="dxa"/>
            <w:vAlign w:val="center"/>
          </w:tcPr>
          <w:p w14:paraId="77BA8910" w14:textId="20D35EAF" w:rsidR="00A57FDC" w:rsidRPr="001455DC" w:rsidRDefault="002F26B9" w:rsidP="00A57FDC">
            <w:pPr>
              <w:pStyle w:val="a7"/>
              <w:jc w:val="right"/>
            </w:pPr>
            <w:r w:rsidRPr="001455DC">
              <w:t>(J.44)</w:t>
            </w:r>
          </w:p>
        </w:tc>
      </w:tr>
    </w:tbl>
    <w:p w14:paraId="68688634" w14:textId="453474BD" w:rsidR="004E22C1" w:rsidRPr="001455DC" w:rsidRDefault="004E22C1" w:rsidP="00A57FDC">
      <w:pPr>
        <w:pStyle w:val="a7"/>
      </w:pPr>
      <w:r w:rsidRPr="001455DC">
        <w:t xml:space="preserve">where </w:t>
      </w:r>
      <m:oMath>
        <m:sSub>
          <m:sSubPr>
            <m:ctrlPr>
              <w:rPr>
                <w:rFonts w:ascii="Cambria Math" w:hAnsi="Cambria Math"/>
              </w:rPr>
            </m:ctrlPr>
          </m:sSubPr>
          <m:e>
            <m:r>
              <w:rPr>
                <w:rFonts w:ascii="Cambria Math" w:hAnsi="Cambria Math"/>
              </w:rPr>
              <m:t>f</m:t>
            </m:r>
          </m:e>
          <m:sub>
            <m:r>
              <m:rPr>
                <m:sty m:val="p"/>
              </m:rPr>
              <w:rPr>
                <w:rFonts w:ascii="Cambria Math" w:hAnsi="Cambria Math"/>
              </w:rPr>
              <m:t>bfRd</m:t>
            </m:r>
          </m:sub>
        </m:sSub>
      </m:oMath>
      <w:r w:rsidRPr="001455DC">
        <w:t xml:space="preserve"> is the CFRP anchorage capacity for the flexural strengthening system being designed.</w:t>
      </w:r>
    </w:p>
    <w:p w14:paraId="0CF1707B" w14:textId="158DFB7F" w:rsidR="004E22C1" w:rsidRPr="001455DC" w:rsidRDefault="004E22C1" w:rsidP="00A57FDC">
      <w:pPr>
        <w:pStyle w:val="a7"/>
      </w:pPr>
      <w:r w:rsidRPr="001455DC">
        <w:t>Stirrups for end cover separation shall be detailed as shown in Figure J.7.</w:t>
      </w:r>
    </w:p>
    <w:p w14:paraId="077E2337" w14:textId="1FF8E0E6" w:rsidR="009A1F53" w:rsidRDefault="00375D10" w:rsidP="00375D10">
      <w:pPr>
        <w:pStyle w:val="Dimension100"/>
      </w:pPr>
      <w:r>
        <w:t>Dimensions i</w:t>
      </w:r>
      <w:r w:rsidR="009A1F53">
        <w:t>n millimetres</w:t>
      </w:r>
    </w:p>
    <w:p w14:paraId="2574CE44" w14:textId="1731388D" w:rsidR="002B3818" w:rsidRPr="001455DC" w:rsidRDefault="00723CF7" w:rsidP="00A57FDC">
      <w:pPr>
        <w:pStyle w:val="FigureImage"/>
      </w:pPr>
      <w:r>
        <w:rPr>
          <w:noProof/>
          <w:lang w:eastAsia="en-GB"/>
        </w:rPr>
        <w:fldChar w:fldCharType="begin"/>
      </w:r>
      <w:r>
        <w:rPr>
          <w:noProof/>
          <w:lang w:eastAsia="en-GB"/>
        </w:rPr>
        <w:instrText xml:space="preserve"> INCLUDEPICTURE  "Y:\\STD_MGT\\STDDEL\\PRODUCTION\\etrans\\Download\\Z_FIRST_DEL\\SV\\00250\\00250269\\41_e_dr\\j007.tif"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"Y:\\STD_MGT\\STDDEL\\PRODUCTION\\Standards\\00250\\269\\41_e_dr\\j007.tif"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"Y:\\STD_MGT\\STDDEL\\PRODUCTION\\Standards\\00250\\269\\41_e_dr\\j007.tif"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"Y:\\STD_MGT\\STDDEL\\PRODUCTION\\Standards\\00250\\269\\41_e_dr\\j007.tif"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"Y:\\STD_MGT\\STDDEL\\PRODUCTION\\Standards\\00250\\269\\41_e_dr\\j007.tif"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"Y:\\STD_MGT\\STDDEL\\PRODUCTION\\Standards\\00250\\269\\41_e_dr\\j007.tif"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w:instrText>
      </w:r>
      <w:r w:rsidR="00231E33">
        <w:rPr>
          <w:noProof/>
          <w:lang w:eastAsia="en-GB"/>
        </w:rPr>
        <w:instrText>DEPICTURE  "C:\\Users\\a.dionysiou\\AppData\\Local\\Temp\\Temp1_00250269_e_20210902.zip.zip\\41_e_dr\\j007.tif"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25CED574">
          <v:shape id="_x0000_i1320" type="#_x0000_t75" style="width:221.25pt;height:171pt">
            <v:imagedata r:id="rId610" r:href="rId611"/>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5ACA21A4" w14:textId="77777777" w:rsidR="00375D10" w:rsidRDefault="002B3818" w:rsidP="00375D10">
      <w:pPr>
        <w:pStyle w:val="KeyTitle"/>
      </w:pPr>
      <w:r w:rsidRPr="009D3012">
        <w:t>Key</w:t>
      </w:r>
    </w:p>
    <w:tbl>
      <w:tblPr>
        <w:tblW w:w="0" w:type="auto"/>
        <w:tblInd w:w="-100" w:type="dxa"/>
        <w:tblCellMar>
          <w:left w:w="100" w:type="dxa"/>
        </w:tblCellMar>
        <w:tblLook w:val="0000" w:firstRow="0" w:lastRow="0" w:firstColumn="0" w:lastColumn="0" w:noHBand="0" w:noVBand="0"/>
      </w:tblPr>
      <w:tblGrid>
        <w:gridCol w:w="319"/>
        <w:gridCol w:w="2104"/>
      </w:tblGrid>
      <w:tr w:rsidR="00375D10" w:rsidRPr="00375D10" w14:paraId="131E16BB" w14:textId="77777777" w:rsidTr="00375D10">
        <w:tc>
          <w:tcPr>
            <w:tcW w:w="0" w:type="auto"/>
            <w:shd w:val="clear" w:color="auto" w:fill="auto"/>
          </w:tcPr>
          <w:p w14:paraId="6179A7A8" w14:textId="77777777" w:rsidR="00375D10" w:rsidRPr="00375D10" w:rsidRDefault="00375D10" w:rsidP="00375D10">
            <w:pPr>
              <w:pStyle w:val="KeyText"/>
              <w:tabs>
                <w:tab w:val="clear" w:pos="346"/>
              </w:tabs>
              <w:ind w:left="0" w:firstLine="0"/>
            </w:pPr>
            <w:r w:rsidRPr="00375D10">
              <w:t>1</w:t>
            </w:r>
          </w:p>
        </w:tc>
        <w:tc>
          <w:tcPr>
            <w:tcW w:w="0" w:type="auto"/>
            <w:shd w:val="clear" w:color="auto" w:fill="auto"/>
          </w:tcPr>
          <w:p w14:paraId="1321CF65" w14:textId="77777777" w:rsidR="00375D10" w:rsidRPr="00375D10" w:rsidRDefault="00375D10" w:rsidP="00375D10">
            <w:pPr>
              <w:pStyle w:val="KeyText"/>
              <w:tabs>
                <w:tab w:val="clear" w:pos="346"/>
              </w:tabs>
              <w:ind w:left="0" w:firstLine="0"/>
            </w:pPr>
            <w:r w:rsidRPr="00375D10">
              <w:t>end stirrup</w:t>
            </w:r>
          </w:p>
        </w:tc>
      </w:tr>
      <w:tr w:rsidR="00375D10" w:rsidRPr="00375D10" w14:paraId="1452B625" w14:textId="77777777" w:rsidTr="00375D10">
        <w:tc>
          <w:tcPr>
            <w:tcW w:w="0" w:type="auto"/>
            <w:shd w:val="clear" w:color="auto" w:fill="auto"/>
          </w:tcPr>
          <w:p w14:paraId="045AD0E4" w14:textId="77777777" w:rsidR="00375D10" w:rsidRPr="00375D10" w:rsidRDefault="00375D10" w:rsidP="00375D10">
            <w:pPr>
              <w:pStyle w:val="KeyText"/>
              <w:tabs>
                <w:tab w:val="clear" w:pos="346"/>
              </w:tabs>
              <w:ind w:left="0" w:firstLine="0"/>
            </w:pPr>
            <w:r w:rsidRPr="00375D10">
              <w:t>2</w:t>
            </w:r>
          </w:p>
        </w:tc>
        <w:tc>
          <w:tcPr>
            <w:tcW w:w="0" w:type="auto"/>
            <w:shd w:val="clear" w:color="auto" w:fill="auto"/>
          </w:tcPr>
          <w:p w14:paraId="2B0C5CD9" w14:textId="77777777" w:rsidR="00375D10" w:rsidRPr="00375D10" w:rsidRDefault="00375D10" w:rsidP="00375D10">
            <w:pPr>
              <w:pStyle w:val="KeyText"/>
              <w:tabs>
                <w:tab w:val="clear" w:pos="346"/>
              </w:tabs>
              <w:ind w:left="0" w:firstLine="0"/>
            </w:pPr>
            <w:r w:rsidRPr="00375D10">
              <w:t>flexural strengthening</w:t>
            </w:r>
          </w:p>
        </w:tc>
      </w:tr>
    </w:tbl>
    <w:p w14:paraId="0D19C74B" w14:textId="77777777" w:rsidR="004E22C1" w:rsidRPr="001455DC" w:rsidRDefault="004E22C1" w:rsidP="00A57FDC">
      <w:pPr>
        <w:pStyle w:val="Figuretitle"/>
      </w:pPr>
      <w:r w:rsidRPr="001455DC">
        <w:t>Figure J.</w:t>
      </w:r>
      <w:bookmarkStart w:id="1979" w:name="_Hlk35377751"/>
      <w:r w:rsidRPr="001455DC">
        <w:t xml:space="preserve">7 — </w:t>
      </w:r>
      <w:bookmarkEnd w:id="1979"/>
      <w:r w:rsidRPr="001455DC">
        <w:t>CFRP shear stirrup arrangement to avoid end cover separation</w:t>
      </w:r>
    </w:p>
    <w:p w14:paraId="30FF51C1" w14:textId="19E02B58" w:rsidR="004E22C1" w:rsidRPr="001455DC" w:rsidRDefault="004E22C1" w:rsidP="00243590">
      <w:pPr>
        <w:pStyle w:val="a5"/>
      </w:pPr>
      <w:bookmarkStart w:id="1980" w:name="_Toc52820290"/>
      <w:bookmarkStart w:id="1981" w:name="_Toc54337718"/>
      <w:r w:rsidRPr="001455DC">
        <w:t>Shear Induced Crack Separation</w:t>
      </w:r>
      <w:bookmarkEnd w:id="1980"/>
      <w:bookmarkEnd w:id="1981"/>
    </w:p>
    <w:p w14:paraId="08C277F3" w14:textId="34B28D27" w:rsidR="002F26B9" w:rsidRPr="001455DC" w:rsidRDefault="004E22C1" w:rsidP="002F26B9">
      <w:pPr>
        <w:pStyle w:val="a7"/>
      </w:pPr>
      <w:r w:rsidRPr="001455DC">
        <w:t>(1) Where the limits in Formula (J.45) or (J.46) are exceeded for members strengthened with EBR in flexure, additional CFRP stirrups shall be provided.</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F26B9" w:rsidRPr="001455DC" w14:paraId="17C26217" w14:textId="77777777" w:rsidTr="00DD375F">
        <w:trPr>
          <w:cantSplit/>
        </w:trPr>
        <w:tc>
          <w:tcPr>
            <w:tcW w:w="8505" w:type="dxa"/>
            <w:vAlign w:val="center"/>
          </w:tcPr>
          <w:bookmarkStart w:id="1982" w:name="_Hlk39842133"/>
          <w:p w14:paraId="2780675E" w14:textId="1EC40328" w:rsidR="002F26B9" w:rsidRPr="001455DC" w:rsidRDefault="00231E33" w:rsidP="00DD375F">
            <w:pPr>
              <w:pStyle w:val="Formula"/>
              <w:jc w:val="left"/>
            </w:pPr>
            <m:oMathPara>
              <m:oMathParaPr>
                <m:jc m:val="left"/>
              </m:oMathParaPr>
              <m:oMath>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Ed</m:t>
                        </m:r>
                      </m:sub>
                    </m:sSub>
                    <m:r>
                      <w:rPr>
                        <w:rFonts w:ascii="Cambria Math" w:hAnsi="Cambria Math"/>
                      </w:rPr>
                      <m:t>⋅</m:t>
                    </m:r>
                    <m:sSub>
                      <m:sSubPr>
                        <m:ctrlPr>
                          <w:rPr>
                            <w:rFonts w:ascii="Cambria Math" w:hAnsi="Cambria Math"/>
                          </w:rPr>
                        </m:ctrlPr>
                      </m:sSubPr>
                      <m:e>
                        <m:r>
                          <w:rPr>
                            <w:rFonts w:ascii="Cambria Math" w:hAnsi="Cambria Math"/>
                          </w:rPr>
                          <m:t>σ</m:t>
                        </m:r>
                      </m:e>
                      <m:sub>
                        <m:r>
                          <m:rPr>
                            <m:sty m:val="p"/>
                          </m:rPr>
                          <w:rPr>
                            <w:rFonts w:ascii="Cambria Math" w:hAnsi="Cambria Math"/>
                          </w:rPr>
                          <m:t>sw</m:t>
                        </m:r>
                      </m:sub>
                    </m:sSub>
                  </m:num>
                  <m:den>
                    <m:sSub>
                      <m:sSubPr>
                        <m:ctrlPr>
                          <w:rPr>
                            <w:rFonts w:ascii="Cambria Math" w:hAnsi="Cambria Math"/>
                          </w:rPr>
                        </m:ctrlPr>
                      </m:sSubPr>
                      <m:e>
                        <m:r>
                          <w:rPr>
                            <w:rFonts w:ascii="Cambria Math" w:hAnsi="Cambria Math"/>
                          </w:rPr>
                          <m:t>τ</m:t>
                        </m:r>
                      </m:e>
                      <m:sub>
                        <m:r>
                          <m:rPr>
                            <m:sty m:val="p"/>
                          </m:rPr>
                          <w:rPr>
                            <w:rFonts w:ascii="Cambria Math" w:hAnsi="Cambria Math"/>
                          </w:rPr>
                          <m:t>Rd</m:t>
                        </m:r>
                      </m:sub>
                    </m:sSub>
                    <m:r>
                      <w:rPr>
                        <w:rFonts w:ascii="Cambria Math" w:hAnsi="Cambria Math"/>
                      </w:rPr>
                      <m:t>∙b∙</m:t>
                    </m:r>
                    <m:sSub>
                      <m:sSubPr>
                        <m:ctrlPr>
                          <w:rPr>
                            <w:rFonts w:ascii="Cambria Math" w:hAnsi="Cambria Math"/>
                          </w:rPr>
                        </m:ctrlPr>
                      </m:sSubPr>
                      <m:e>
                        <m:r>
                          <w:rPr>
                            <w:rFonts w:ascii="Cambria Math" w:hAnsi="Cambria Math"/>
                          </w:rPr>
                          <m:t>d</m:t>
                        </m:r>
                      </m:e>
                      <m:sub>
                        <m:r>
                          <m:rPr>
                            <m:sty m:val="p"/>
                          </m:rPr>
                          <w:rPr>
                            <w:rFonts w:ascii="Cambria Math" w:hAnsi="Cambria Math"/>
                          </w:rPr>
                          <m:t>w</m:t>
                        </m:r>
                      </m:sub>
                    </m:sSub>
                  </m:den>
                </m:f>
                <m:r>
                  <w:rPr>
                    <w:rFonts w:ascii="Cambria Math" w:hAnsi="Cambria Math"/>
                  </w:rPr>
                  <m:t>≤</m:t>
                </m:r>
                <m:d>
                  <m:dPr>
                    <m:begChr m:val="{"/>
                    <m:endChr m:val=""/>
                    <m:ctrlPr>
                      <w:rPr>
                        <w:rFonts w:ascii="Cambria Math" w:hAnsi="Cambria Math"/>
                      </w:rPr>
                    </m:ctrlPr>
                  </m:dPr>
                  <m:e>
                    <m:m>
                      <m:mPr>
                        <m:mcs>
                          <m:mc>
                            <m:mcPr>
                              <m:count m:val="2"/>
                              <m:mcJc m:val="left"/>
                            </m:mcPr>
                          </m:mc>
                        </m:mcs>
                        <m:ctrlPr>
                          <w:rPr>
                            <w:rFonts w:ascii="Cambria Math" w:hAnsi="Cambria Math"/>
                          </w:rPr>
                        </m:ctrlPr>
                      </m:mPr>
                      <m:mr>
                        <m:e>
                          <m:r>
                            <m:rPr>
                              <m:nor/>
                            </m:rPr>
                            <w:rPr>
                              <w:rFonts w:ascii="Cambria Math" w:hAnsi="Cambria Math"/>
                            </w:rPr>
                            <m:t>75 MPa</m:t>
                          </m:r>
                        </m:e>
                        <m:e>
                          <m:r>
                            <m:rPr>
                              <m:nor/>
                            </m:rPr>
                            <w:rPr>
                              <w:rFonts w:ascii="Cambria Math" w:hAnsi="Cambria Math"/>
                            </w:rPr>
                            <m:t xml:space="preserve"> for ribbed steel bars</m:t>
                          </m:r>
                        </m:e>
                      </m:mr>
                      <m:mr>
                        <m:e>
                          <m:r>
                            <m:rPr>
                              <m:nor/>
                            </m:rPr>
                            <w:rPr>
                              <w:rFonts w:ascii="Cambria Math" w:hAnsi="Cambria Math"/>
                            </w:rPr>
                            <m:t>25 MPa</m:t>
                          </m:r>
                        </m:e>
                        <m:e>
                          <m:r>
                            <m:rPr>
                              <m:nor/>
                            </m:rPr>
                            <w:rPr>
                              <w:rFonts w:ascii="Cambria Math" w:hAnsi="Cambria Math"/>
                            </w:rPr>
                            <m:t>for plain round steel bars</m:t>
                          </m:r>
                        </m:e>
                      </m:mr>
                    </m:m>
                  </m:e>
                </m:d>
              </m:oMath>
            </m:oMathPara>
            <w:bookmarkEnd w:id="1982"/>
          </w:p>
        </w:tc>
        <w:tc>
          <w:tcPr>
            <w:tcW w:w="1247" w:type="dxa"/>
            <w:vAlign w:val="center"/>
          </w:tcPr>
          <w:p w14:paraId="040A3C92" w14:textId="44BA7615" w:rsidR="002F26B9" w:rsidRPr="001455DC" w:rsidRDefault="002F26B9" w:rsidP="00DD375F">
            <w:pPr>
              <w:pStyle w:val="a7"/>
              <w:jc w:val="right"/>
            </w:pPr>
            <w:r w:rsidRPr="001455DC">
              <w:t>(J.45)</w:t>
            </w:r>
          </w:p>
        </w:tc>
      </w:tr>
    </w:tbl>
    <w:p w14:paraId="7351E84D" w14:textId="40DDEE61" w:rsidR="002F26B9" w:rsidRPr="001455DC" w:rsidRDefault="00231E33" w:rsidP="002F26B9">
      <w:pPr>
        <w:pStyle w:val="a7"/>
      </w:pPr>
      <m:oMath>
        <m:sSub>
          <m:sSubPr>
            <m:ctrlPr>
              <w:rPr>
                <w:rFonts w:ascii="Cambria Math" w:hAnsi="Cambria Math"/>
              </w:rPr>
            </m:ctrlPr>
          </m:sSubPr>
          <m:e>
            <m:r>
              <m:rPr>
                <m:sty m:val="p"/>
              </m:rPr>
              <w:rPr>
                <w:rFonts w:ascii="Cambria Math" w:hAnsi="Cambria Math"/>
              </w:rPr>
              <m:t>where</m:t>
            </m:r>
            <m:r>
              <w:rPr>
                <w:rFonts w:ascii="Cambria Math" w:hAnsi="Cambria Math"/>
              </w:rPr>
              <m:t xml:space="preserve"> τ</m:t>
            </m:r>
          </m:e>
          <m:sub>
            <m:r>
              <m:rPr>
                <m:nor/>
              </m:rPr>
              <m:t>Rd</m:t>
            </m:r>
          </m:sub>
        </m:sSub>
      </m:oMath>
      <w:r w:rsidR="002F26B9" w:rsidRPr="001455DC">
        <w:t xml:space="preserve"> </w:t>
      </w:r>
      <w:r w:rsidR="004E22C1" w:rsidRPr="001455DC">
        <w:t>is calculated according to Formula (8.</w:t>
      </w:r>
      <w:r w:rsidR="009F27BF" w:rsidRPr="001455DC">
        <w:t>47</w:t>
      </w:r>
      <w:r w:rsidR="004E22C1" w:rsidRPr="001455DC">
        <w:t>).</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F26B9" w:rsidRPr="001455DC" w14:paraId="565DF73C" w14:textId="77777777" w:rsidTr="00DD375F">
        <w:trPr>
          <w:cantSplit/>
        </w:trPr>
        <w:tc>
          <w:tcPr>
            <w:tcW w:w="8505" w:type="dxa"/>
            <w:vAlign w:val="center"/>
          </w:tcPr>
          <w:p w14:paraId="2849BD6C" w14:textId="3CF6F161" w:rsidR="002F26B9" w:rsidRPr="001455DC" w:rsidRDefault="00231E33" w:rsidP="00DD375F">
            <w:pPr>
              <w:pStyle w:val="Formula"/>
              <w:jc w:val="left"/>
            </w:pPr>
            <m:oMathPara>
              <m:oMathParaPr>
                <m:jc m:val="left"/>
              </m:oMathParaPr>
              <m:oMath>
                <m:sSub>
                  <m:sSubPr>
                    <m:ctrlPr>
                      <w:rPr>
                        <w:rFonts w:ascii="Cambria Math" w:hAnsi="Cambria Math"/>
                      </w:rPr>
                    </m:ctrlPr>
                  </m:sSubPr>
                  <m:e>
                    <m:r>
                      <w:rPr>
                        <w:rFonts w:ascii="Cambria Math" w:hAnsi="Cambria Math"/>
                      </w:rPr>
                      <m:t>V</m:t>
                    </m:r>
                  </m:e>
                  <m:sub>
                    <m:r>
                      <m:rPr>
                        <m:sty m:val="p"/>
                      </m:rPr>
                      <w:rPr>
                        <w:rFonts w:ascii="Cambria Math" w:hAnsi="Cambria Math"/>
                      </w:rPr>
                      <m:t>Ed</m:t>
                    </m:r>
                  </m:sub>
                </m:sSub>
                <m:r>
                  <w:rPr>
                    <w:rFonts w:ascii="Cambria Math" w:hAnsi="Cambria Math"/>
                  </w:rPr>
                  <m:t>≤0,33</m:t>
                </m:r>
                <m:sSubSup>
                  <m:sSubSupPr>
                    <m:ctrlPr>
                      <w:rPr>
                        <w:rFonts w:ascii="Cambria Math" w:hAnsi="Cambria Math"/>
                      </w:rPr>
                    </m:ctrlPr>
                  </m:sSubSupPr>
                  <m:e>
                    <m:r>
                      <w:rPr>
                        <w:rFonts w:ascii="Cambria Math" w:hAnsi="Cambria Math"/>
                      </w:rPr>
                      <m:t>⋅f</m:t>
                    </m:r>
                  </m:e>
                  <m:sub>
                    <m:r>
                      <m:rPr>
                        <m:sty m:val="p"/>
                      </m:rPr>
                      <w:rPr>
                        <w:rFonts w:ascii="Cambria Math" w:hAnsi="Cambria Math"/>
                      </w:rPr>
                      <m:t>ck</m:t>
                    </m:r>
                  </m:sub>
                  <m:sup>
                    <m:f>
                      <m:fPr>
                        <m:ctrlPr>
                          <w:rPr>
                            <w:rFonts w:ascii="Cambria Math" w:hAnsi="Cambria Math"/>
                          </w:rPr>
                        </m:ctrlPr>
                      </m:fPr>
                      <m:num>
                        <m:r>
                          <w:rPr>
                            <w:rFonts w:ascii="Cambria Math" w:hAnsi="Cambria Math"/>
                          </w:rPr>
                          <m:t>2</m:t>
                        </m:r>
                      </m:num>
                      <m:den>
                        <m:r>
                          <w:rPr>
                            <w:rFonts w:ascii="Cambria Math" w:hAnsi="Cambria Math"/>
                          </w:rPr>
                          <m:t>3</m:t>
                        </m:r>
                      </m:den>
                    </m:f>
                  </m:sup>
                </m:sSubSup>
                <m:sSub>
                  <m:sSubPr>
                    <m:ctrlPr>
                      <w:rPr>
                        <w:rFonts w:ascii="Cambria Math" w:hAnsi="Cambria Math"/>
                      </w:rPr>
                    </m:ctrlPr>
                  </m:sSubPr>
                  <m:e>
                    <m:r>
                      <w:rPr>
                        <w:rFonts w:ascii="Cambria Math" w:hAnsi="Cambria Math"/>
                      </w:rPr>
                      <m:t>⋅b</m:t>
                    </m:r>
                  </m:e>
                  <m:sub>
                    <m:r>
                      <m:rPr>
                        <m:sty m:val="p"/>
                      </m:rPr>
                      <w:rPr>
                        <w:rFonts w:ascii="Cambria Math" w:hAnsi="Cambria Math"/>
                      </w:rPr>
                      <m:t>w</m:t>
                    </m:r>
                  </m:sub>
                </m:sSub>
                <m:r>
                  <w:rPr>
                    <w:rFonts w:ascii="Cambria Math" w:hAnsi="Cambria Math"/>
                  </w:rPr>
                  <m:t>⋅z</m:t>
                </m:r>
              </m:oMath>
            </m:oMathPara>
          </w:p>
        </w:tc>
        <w:tc>
          <w:tcPr>
            <w:tcW w:w="1247" w:type="dxa"/>
            <w:vAlign w:val="center"/>
          </w:tcPr>
          <w:p w14:paraId="2FF49DFE" w14:textId="655B47CB" w:rsidR="002F26B9" w:rsidRPr="001455DC" w:rsidRDefault="002F26B9" w:rsidP="00DD375F">
            <w:pPr>
              <w:pStyle w:val="a7"/>
              <w:jc w:val="right"/>
            </w:pPr>
            <w:r w:rsidRPr="001455DC">
              <w:t>(J.46)</w:t>
            </w:r>
          </w:p>
        </w:tc>
      </w:tr>
    </w:tbl>
    <w:p w14:paraId="32B55748" w14:textId="77777777" w:rsidR="002F26B9" w:rsidRPr="001455DC" w:rsidRDefault="004E22C1" w:rsidP="002F26B9">
      <w:pPr>
        <w:pStyle w:val="a7"/>
      </w:pPr>
      <w:r w:rsidRPr="001455DC">
        <w:t xml:space="preserve">Where stirrups are required in accordance with Formulae (J.45) or (J.46), </w:t>
      </w:r>
      <w:bookmarkStart w:id="1983" w:name="_Hlk39842746"/>
      <w:r w:rsidRPr="001455DC">
        <w:t xml:space="preserve">additional </w:t>
      </w:r>
      <w:bookmarkEnd w:id="1983"/>
      <w:r w:rsidRPr="001455DC">
        <w:t>transverse EBR CFRP stirrups should be provided to resist the shear force in Formula (J.47) with adequate anchorage.</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F26B9" w:rsidRPr="001455DC" w14:paraId="307BAECF" w14:textId="77777777" w:rsidTr="00DD375F">
        <w:trPr>
          <w:cantSplit/>
        </w:trPr>
        <w:tc>
          <w:tcPr>
            <w:tcW w:w="8505" w:type="dxa"/>
            <w:vAlign w:val="center"/>
          </w:tcPr>
          <w:p w14:paraId="71E2413E" w14:textId="7FDEBBA9" w:rsidR="002F26B9" w:rsidRPr="001455DC" w:rsidRDefault="00231E33" w:rsidP="00DD375F">
            <w:pPr>
              <w:pStyle w:val="Formula"/>
              <w:jc w:val="left"/>
            </w:pPr>
            <m:oMathPara>
              <m:oMathParaPr>
                <m:jc m:val="left"/>
              </m:oMathParaPr>
              <m:oMath>
                <m:sSub>
                  <m:sSubPr>
                    <m:ctrlPr>
                      <w:rPr>
                        <w:rFonts w:ascii="Cambria Math" w:hAnsi="Cambria Math"/>
                      </w:rPr>
                    </m:ctrlPr>
                  </m:sSubPr>
                  <m:e>
                    <m:r>
                      <w:rPr>
                        <w:rFonts w:ascii="Cambria Math" w:hAnsi="Cambria Math"/>
                      </w:rPr>
                      <m:t>V</m:t>
                    </m:r>
                  </m:e>
                  <m:sub>
                    <m:r>
                      <m:rPr>
                        <m:sty m:val="p"/>
                      </m:rPr>
                      <w:rPr>
                        <w:rFonts w:ascii="Cambria Math" w:hAnsi="Cambria Math"/>
                      </w:rPr>
                      <m:t>Ed,f</m:t>
                    </m:r>
                  </m:sub>
                </m:sSub>
                <m:r>
                  <w:rPr>
                    <w:rFonts w:ascii="Cambria Math" w:hAnsi="Cambria Math"/>
                  </w:rPr>
                  <m:t>=</m:t>
                </m:r>
                <m:func>
                  <m:funcPr>
                    <m:ctrlPr>
                      <w:rPr>
                        <w:rFonts w:ascii="Cambria Math" w:hAnsi="Cambria Math"/>
                      </w:rPr>
                    </m:ctrlPr>
                  </m:funcPr>
                  <m:fName>
                    <m:r>
                      <m:rPr>
                        <m:sty m:val="p"/>
                      </m:rPr>
                      <w:rPr>
                        <w:rFonts w:ascii="Cambria Math" w:hAnsi="Cambria Math"/>
                      </w:rPr>
                      <m:t>max</m:t>
                    </m:r>
                  </m:fName>
                  <m:e>
                    <m:d>
                      <m:dPr>
                        <m:begChr m:val="{"/>
                        <m:endChr m:val=""/>
                        <m:ctrlPr>
                          <w:rPr>
                            <w:rFonts w:ascii="Cambria Math" w:hAnsi="Cambria Math"/>
                          </w:rPr>
                        </m:ctrlPr>
                      </m:dPr>
                      <m:e>
                        <m:m>
                          <m:mPr>
                            <m:mcs>
                              <m:mc>
                                <m:mcPr>
                                  <m:count m:val="1"/>
                                  <m:mcJc m:val="left"/>
                                </m:mcPr>
                              </m:mc>
                            </m:mcs>
                            <m:ctrlPr>
                              <w:rPr>
                                <w:rFonts w:ascii="Cambria Math" w:hAnsi="Cambria Math"/>
                              </w:rPr>
                            </m:ctrlPr>
                          </m:mPr>
                          <m:mr>
                            <m:e>
                              <m:eqArr>
                                <m:eqArrPr>
                                  <m:ctrlPr>
                                    <w:rPr>
                                      <w:rFonts w:ascii="Cambria Math" w:hAnsi="Cambria Math"/>
                                    </w:rPr>
                                  </m:ctrlPr>
                                </m:eqArrPr>
                                <m:e>
                                  <m:r>
                                    <w:rPr>
                                      <w:rFonts w:ascii="Cambria Math" w:hAnsi="Cambria Math"/>
                                    </w:rPr>
                                    <m:t>&amp;</m:t>
                                  </m:r>
                                  <m:f>
                                    <m:fPr>
                                      <m:ctrlPr>
                                        <w:rPr>
                                          <w:rFonts w:ascii="Cambria Math" w:hAnsi="Cambria Math"/>
                                        </w:rPr>
                                      </m:ctrlPr>
                                    </m:fPr>
                                    <m:num>
                                      <m:sSub>
                                        <m:sSubPr>
                                          <m:ctrlPr>
                                            <w:rPr>
                                              <w:rFonts w:ascii="Cambria Math" w:hAnsi="Cambria Math"/>
                                            </w:rPr>
                                          </m:ctrlPr>
                                        </m:sSubPr>
                                        <m:e>
                                          <m:r>
                                            <w:rPr>
                                              <w:rFonts w:ascii="Cambria Math" w:hAnsi="Cambria Math"/>
                                            </w:rPr>
                                            <m:t>E</m:t>
                                          </m:r>
                                        </m:e>
                                        <m:sub>
                                          <m:r>
                                            <m:rPr>
                                              <m:sty m:val="p"/>
                                            </m:rPr>
                                            <w:rPr>
                                              <w:rFonts w:ascii="Cambria Math" w:hAnsi="Cambria Math"/>
                                            </w:rPr>
                                            <m:t>f</m:t>
                                          </m:r>
                                        </m:sub>
                                      </m:sSub>
                                      <m:sSub>
                                        <m:sSubPr>
                                          <m:ctrlPr>
                                            <w:rPr>
                                              <w:rFonts w:ascii="Cambria Math" w:hAnsi="Cambria Math"/>
                                            </w:rPr>
                                          </m:ctrlPr>
                                        </m:sSubPr>
                                        <m:e>
                                          <m:r>
                                            <w:rPr>
                                              <w:rFonts w:ascii="Cambria Math" w:hAnsi="Cambria Math"/>
                                            </w:rPr>
                                            <m:t>A</m:t>
                                          </m:r>
                                        </m:e>
                                        <m:sub>
                                          <m:r>
                                            <m:rPr>
                                              <m:sty m:val="p"/>
                                            </m:rPr>
                                            <w:rPr>
                                              <w:rFonts w:ascii="Cambria Math" w:hAnsi="Cambria Math"/>
                                            </w:rPr>
                                            <m:t>f</m:t>
                                          </m:r>
                                        </m:sub>
                                      </m:sSub>
                                    </m:num>
                                    <m:den>
                                      <m:sSub>
                                        <m:sSubPr>
                                          <m:ctrlPr>
                                            <w:rPr>
                                              <w:rFonts w:ascii="Cambria Math" w:hAnsi="Cambria Math"/>
                                              <w:iCs/>
                                            </w:rPr>
                                          </m:ctrlPr>
                                        </m:sSubPr>
                                        <m:e>
                                          <m:r>
                                            <w:rPr>
                                              <w:rFonts w:ascii="Cambria Math" w:hAnsi="Cambria Math"/>
                                            </w:rPr>
                                            <m:t>E</m:t>
                                          </m:r>
                                        </m:e>
                                        <m:sub>
                                          <m:r>
                                            <m:rPr>
                                              <m:sty m:val="p"/>
                                            </m:rPr>
                                            <w:rPr>
                                              <w:rFonts w:ascii="Cambria Math" w:hAnsi="Cambria Math"/>
                                            </w:rPr>
                                            <m:t>f</m:t>
                                          </m:r>
                                        </m:sub>
                                      </m:sSub>
                                      <m:sSub>
                                        <m:sSubPr>
                                          <m:ctrlPr>
                                            <w:rPr>
                                              <w:rFonts w:ascii="Cambria Math" w:hAnsi="Cambria Math"/>
                                            </w:rPr>
                                          </m:ctrlPr>
                                        </m:sSubPr>
                                        <m:e>
                                          <m:r>
                                            <w:rPr>
                                              <w:rFonts w:ascii="Cambria Math" w:hAnsi="Cambria Math"/>
                                            </w:rPr>
                                            <m:t>A</m:t>
                                          </m:r>
                                        </m:e>
                                        <m:sub>
                                          <m:r>
                                            <m:rPr>
                                              <m:sty m:val="p"/>
                                            </m:rP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E</m:t>
                                          </m:r>
                                        </m:e>
                                        <m:sub>
                                          <m:r>
                                            <m:rPr>
                                              <m:sty m:val="p"/>
                                            </m:rPr>
                                            <w:rPr>
                                              <w:rFonts w:ascii="Cambria Math" w:hAnsi="Cambria Math"/>
                                            </w:rPr>
                                            <m:t>s</m:t>
                                          </m:r>
                                        </m:sub>
                                      </m:sSub>
                                      <m:sSub>
                                        <m:sSubPr>
                                          <m:ctrlPr>
                                            <w:rPr>
                                              <w:rFonts w:ascii="Cambria Math" w:hAnsi="Cambria Math"/>
                                            </w:rPr>
                                          </m:ctrlPr>
                                        </m:sSubPr>
                                        <m:e>
                                          <m:r>
                                            <w:rPr>
                                              <w:rFonts w:ascii="Cambria Math" w:hAnsi="Cambria Math"/>
                                            </w:rPr>
                                            <m:t>A</m:t>
                                          </m:r>
                                        </m:e>
                                        <m:sub>
                                          <m:r>
                                            <m:rPr>
                                              <m:sty m:val="p"/>
                                            </m:rPr>
                                            <w:rPr>
                                              <w:rFonts w:ascii="Cambria Math" w:hAnsi="Cambria Math"/>
                                            </w:rPr>
                                            <m:t>s</m:t>
                                          </m:r>
                                        </m:sub>
                                      </m:sSub>
                                    </m:den>
                                  </m:f>
                                  <m: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Ed</m:t>
                                      </m:r>
                                    </m:sub>
                                  </m:sSub>
                                </m:e>
                                <m:e>
                                  <m:r>
                                    <w:rPr>
                                      <w:rFonts w:ascii="Cambria Math" w:hAnsi="Cambria Math"/>
                                    </w:rPr>
                                    <m:t>&amp;</m:t>
                                  </m:r>
                                </m:e>
                              </m:eqArr>
                            </m:e>
                          </m:mr>
                          <m:mr>
                            <m:e>
                              <m:sSub>
                                <m:sSubPr>
                                  <m:ctrlPr>
                                    <w:rPr>
                                      <w:rFonts w:ascii="Cambria Math" w:hAnsi="Cambria Math"/>
                                    </w:rPr>
                                  </m:ctrlPr>
                                </m:sSubPr>
                                <m:e>
                                  <m:r>
                                    <w:rPr>
                                      <w:rFonts w:ascii="Cambria Math" w:hAnsi="Cambria Math"/>
                                    </w:rPr>
                                    <m:t>V</m:t>
                                  </m:r>
                                </m:e>
                                <m:sub>
                                  <m:r>
                                    <m:rPr>
                                      <m:sty m:val="p"/>
                                    </m:rPr>
                                    <w:rPr>
                                      <w:rFonts w:ascii="Cambria Math" w:hAnsi="Cambria Math"/>
                                    </w:rPr>
                                    <m:t>Ed</m:t>
                                  </m:r>
                                </m:sub>
                              </m:sSub>
                              <m: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w</m:t>
                                  </m:r>
                                </m:sub>
                              </m:sSub>
                              <m:r>
                                <w:rPr>
                                  <w:rFonts w:ascii="Cambria Math" w:hAnsi="Cambria Math"/>
                                </w:rPr>
                                <m:t>⋅z⋅</m:t>
                              </m:r>
                              <m:sSub>
                                <m:sSubPr>
                                  <m:ctrlPr>
                                    <w:rPr>
                                      <w:rFonts w:ascii="Cambria Math" w:hAnsi="Cambria Math"/>
                                    </w:rPr>
                                  </m:ctrlPr>
                                </m:sSubPr>
                                <m:e>
                                  <m:r>
                                    <w:rPr>
                                      <w:rFonts w:ascii="Cambria Math" w:hAnsi="Cambria Math"/>
                                    </w:rPr>
                                    <m:t>τ</m:t>
                                  </m:r>
                                </m:e>
                                <m:sub>
                                  <m:r>
                                    <m:rPr>
                                      <m:sty m:val="p"/>
                                    </m:rPr>
                                    <w:rPr>
                                      <w:rFonts w:ascii="Cambria Math" w:hAnsi="Cambria Math"/>
                                    </w:rPr>
                                    <m:t>Rd,sy</m:t>
                                  </m:r>
                                </m:sub>
                              </m:sSub>
                            </m:e>
                          </m:mr>
                        </m:m>
                      </m:e>
                    </m:d>
                  </m:e>
                </m:func>
              </m:oMath>
            </m:oMathPara>
          </w:p>
        </w:tc>
        <w:tc>
          <w:tcPr>
            <w:tcW w:w="1247" w:type="dxa"/>
            <w:vAlign w:val="center"/>
          </w:tcPr>
          <w:p w14:paraId="0FEDCA6F" w14:textId="2E4F1477" w:rsidR="002F26B9" w:rsidRPr="001455DC" w:rsidRDefault="002F26B9" w:rsidP="00DD375F">
            <w:pPr>
              <w:pStyle w:val="a7"/>
              <w:jc w:val="right"/>
            </w:pPr>
            <w:r w:rsidRPr="001455DC">
              <w:t>(J.47)</w:t>
            </w:r>
          </w:p>
        </w:tc>
      </w:tr>
    </w:tbl>
    <w:p w14:paraId="53CEC1F9" w14:textId="5D712886" w:rsidR="004E22C1" w:rsidRPr="001455DC" w:rsidRDefault="004E22C1" w:rsidP="00243590">
      <w:pPr>
        <w:pStyle w:val="a4"/>
      </w:pPr>
      <w:bookmarkStart w:id="1984" w:name="_Toc52820291"/>
      <w:bookmarkStart w:id="1985" w:name="_Toc54337719"/>
      <w:bookmarkStart w:id="1986" w:name="_Toc54338339"/>
      <w:r w:rsidRPr="001455DC">
        <w:t>Basic anchorage resistance — CFRP to concrete for NSM CFRP strengthening</w:t>
      </w:r>
      <w:bookmarkEnd w:id="1984"/>
      <w:bookmarkEnd w:id="1985"/>
      <w:bookmarkEnd w:id="1986"/>
    </w:p>
    <w:p w14:paraId="3DF45456" w14:textId="7BA078D3" w:rsidR="004E22C1" w:rsidRPr="001455DC" w:rsidRDefault="004E22C1" w:rsidP="002F26B9">
      <w:pPr>
        <w:pStyle w:val="a7"/>
      </w:pPr>
      <w:r w:rsidRPr="001455DC">
        <w:t>(1)</w:t>
      </w:r>
      <w:r w:rsidRPr="001455DC">
        <w:tab/>
        <w:t>The design bond load capacity per strip shall be according to Formula (J.48) or (J.49) for anchorage lengths according to Formula (J.48) or (J.50).</w:t>
      </w:r>
    </w:p>
    <w:p w14:paraId="56482818" w14:textId="0390F67D" w:rsidR="002F26B9" w:rsidRPr="001455DC" w:rsidRDefault="004E22C1" w:rsidP="00DE6BBC">
      <w:pPr>
        <w:pStyle w:val="a7"/>
        <w:keepNext/>
      </w:pPr>
      <w:r w:rsidRPr="001455DC">
        <w:t xml:space="preserve">For </w:t>
      </w:r>
      <m:oMath>
        <m:sSub>
          <m:sSubPr>
            <m:ctrlPr>
              <w:rPr>
                <w:rFonts w:ascii="Cambria Math" w:hAnsi="Cambria Math"/>
              </w:rPr>
            </m:ctrlPr>
          </m:sSubPr>
          <m:e>
            <m:r>
              <w:rPr>
                <w:rFonts w:ascii="Cambria Math" w:hAnsi="Cambria Math"/>
              </w:rPr>
              <m:t>l</m:t>
            </m:r>
          </m:e>
          <m:sub>
            <m:r>
              <m:rPr>
                <m:nor/>
              </m:rPr>
              <m:t>bf</m:t>
            </m:r>
          </m:sub>
        </m:sSub>
        <m:r>
          <m:rPr>
            <m:sty m:val="p"/>
          </m:rPr>
          <w:rPr>
            <w:rFonts w:ascii="Cambria Math" w:hAnsi="Cambria Math"/>
          </w:rPr>
          <m:t>≤115</m:t>
        </m:r>
        <m:r>
          <m:rPr>
            <m:nor/>
          </m:rPr>
          <m:t>mm</m:t>
        </m:r>
        <m:r>
          <m:rPr>
            <m:sty m:val="p"/>
          </m:rPr>
          <w:rPr>
            <w:rFonts w:ascii="Cambria Math" w:hAnsi="Cambria Math"/>
          </w:rPr>
          <m:t>:</m:t>
        </m:r>
      </m:oMath>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F26B9" w:rsidRPr="001455DC" w14:paraId="3DC581B7" w14:textId="77777777" w:rsidTr="00DD375F">
        <w:trPr>
          <w:cantSplit/>
        </w:trPr>
        <w:tc>
          <w:tcPr>
            <w:tcW w:w="8505" w:type="dxa"/>
            <w:vAlign w:val="center"/>
          </w:tcPr>
          <w:p w14:paraId="2936FADC" w14:textId="6B127274" w:rsidR="002F26B9" w:rsidRPr="001455DC" w:rsidRDefault="00231E33" w:rsidP="00DD375F">
            <w:pPr>
              <w:pStyle w:val="Formula"/>
              <w:jc w:val="left"/>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bfRd</m:t>
                    </m:r>
                  </m:sub>
                </m:sSub>
                <m:r>
                  <w:rPr>
                    <w:rFonts w:ascii="Cambria Math" w:hAnsi="Cambria Math"/>
                  </w:rPr>
                  <m:t>=</m:t>
                </m:r>
                <m:sSub>
                  <m:sSubPr>
                    <m:ctrlPr>
                      <w:rPr>
                        <w:rFonts w:ascii="Cambria Math" w:hAnsi="Cambria Math"/>
                      </w:rPr>
                    </m:ctrlPr>
                  </m:sSubPr>
                  <m:e>
                    <m:r>
                      <w:rPr>
                        <w:rFonts w:ascii="Cambria Math" w:hAnsi="Cambria Math"/>
                      </w:rPr>
                      <m:t>0,95⋅b</m:t>
                    </m:r>
                  </m:e>
                  <m:sub>
                    <m:r>
                      <m:rPr>
                        <m:sty m:val="p"/>
                      </m:rP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τ</m:t>
                    </m:r>
                  </m:e>
                  <m:sub>
                    <m:r>
                      <m:rPr>
                        <m:sty m:val="p"/>
                      </m:rPr>
                      <w:rPr>
                        <w:rFonts w:ascii="Cambria Math" w:hAnsi="Cambria Math"/>
                      </w:rPr>
                      <m:t>bfd</m:t>
                    </m:r>
                  </m:sub>
                </m:sSub>
                <m:r>
                  <w:rPr>
                    <w:rFonts w:ascii="Cambria Math" w:hAnsi="Cambria Math"/>
                  </w:rPr>
                  <m:t>⋅</m:t>
                </m:r>
                <m:rad>
                  <m:radPr>
                    <m:ctrlPr>
                      <w:rPr>
                        <w:rFonts w:ascii="Cambria Math" w:hAnsi="Cambria Math"/>
                      </w:rPr>
                    </m:ctrlPr>
                  </m:radPr>
                  <m:deg>
                    <m:r>
                      <w:rPr>
                        <w:rFonts w:ascii="Cambria Math" w:hAnsi="Cambria Math"/>
                      </w:rPr>
                      <m:t>4</m:t>
                    </m:r>
                  </m:deg>
                  <m:e>
                    <m:sSub>
                      <m:sSubPr>
                        <m:ctrlPr>
                          <w:rPr>
                            <w:rFonts w:ascii="Cambria Math" w:hAnsi="Cambria Math"/>
                          </w:rPr>
                        </m:ctrlPr>
                      </m:sSubPr>
                      <m:e>
                        <m:r>
                          <w:rPr>
                            <w:rFonts w:ascii="Cambria Math" w:hAnsi="Cambria Math"/>
                          </w:rPr>
                          <m:t>a</m:t>
                        </m:r>
                      </m:e>
                      <m:sub>
                        <m:r>
                          <m:rPr>
                            <m:sty m:val="p"/>
                          </m:rPr>
                          <w:rPr>
                            <w:rFonts w:ascii="Cambria Math" w:hAnsi="Cambria Math"/>
                          </w:rPr>
                          <m:t>r</m:t>
                        </m:r>
                      </m:sub>
                    </m:sSub>
                  </m:e>
                </m:rad>
                <m: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bf</m:t>
                    </m:r>
                  </m:sub>
                </m:sSub>
                <m:r>
                  <w:rPr>
                    <w:rFonts w:ascii="Cambria Math" w:hAnsi="Cambria Math"/>
                  </w:rPr>
                  <m:t>⋅</m:t>
                </m:r>
                <m:d>
                  <m:dPr>
                    <m:ctrlPr>
                      <w:rPr>
                        <w:rFonts w:ascii="Cambria Math" w:hAnsi="Cambria Math"/>
                      </w:rPr>
                    </m:ctrlPr>
                  </m:dPr>
                  <m:e>
                    <m:r>
                      <w:rPr>
                        <w:rFonts w:ascii="Cambria Math" w:hAnsi="Cambria Math"/>
                      </w:rPr>
                      <m:t>0,4-0,0015⋅</m:t>
                    </m:r>
                    <m:sSub>
                      <m:sSubPr>
                        <m:ctrlPr>
                          <w:rPr>
                            <w:rFonts w:ascii="Cambria Math" w:hAnsi="Cambria Math"/>
                          </w:rPr>
                        </m:ctrlPr>
                      </m:sSubPr>
                      <m:e>
                        <m:r>
                          <w:rPr>
                            <w:rFonts w:ascii="Cambria Math" w:hAnsi="Cambria Math"/>
                          </w:rPr>
                          <m:t>l</m:t>
                        </m:r>
                      </m:e>
                      <m:sub>
                        <m:r>
                          <m:rPr>
                            <m:sty m:val="p"/>
                          </m:rPr>
                          <w:rPr>
                            <w:rFonts w:ascii="Cambria Math" w:hAnsi="Cambria Math"/>
                          </w:rPr>
                          <m:t>bf</m:t>
                        </m:r>
                      </m:sub>
                    </m:sSub>
                  </m:e>
                </m:d>
              </m:oMath>
            </m:oMathPara>
          </w:p>
        </w:tc>
        <w:tc>
          <w:tcPr>
            <w:tcW w:w="1247" w:type="dxa"/>
            <w:vAlign w:val="center"/>
          </w:tcPr>
          <w:p w14:paraId="3D42911B" w14:textId="740B1D50" w:rsidR="002F26B9" w:rsidRPr="001455DC" w:rsidRDefault="002F26B9" w:rsidP="00DD375F">
            <w:pPr>
              <w:pStyle w:val="a7"/>
              <w:jc w:val="right"/>
            </w:pPr>
            <w:r w:rsidRPr="001455DC">
              <w:t>(J.48)</w:t>
            </w:r>
          </w:p>
        </w:tc>
      </w:tr>
    </w:tbl>
    <w:p w14:paraId="3F035FAA" w14:textId="4EA3A0B0" w:rsidR="002F26B9" w:rsidRPr="001455DC" w:rsidRDefault="004E22C1" w:rsidP="00DE6BBC">
      <w:pPr>
        <w:pStyle w:val="a7"/>
        <w:keepNext/>
      </w:pPr>
      <w:r w:rsidRPr="001455DC">
        <w:t xml:space="preserve">For </w:t>
      </w:r>
      <m:oMath>
        <m:sSub>
          <m:sSubPr>
            <m:ctrlPr>
              <w:rPr>
                <w:rFonts w:ascii="Cambria Math" w:hAnsi="Cambria Math"/>
              </w:rPr>
            </m:ctrlPr>
          </m:sSubPr>
          <m:e>
            <m:r>
              <w:rPr>
                <w:rFonts w:ascii="Cambria Math" w:hAnsi="Cambria Math"/>
              </w:rPr>
              <m:t>l</m:t>
            </m:r>
          </m:e>
          <m:sub>
            <m:r>
              <m:rPr>
                <m:nor/>
              </m:rPr>
              <m:t>bf</m:t>
            </m:r>
          </m:sub>
        </m:sSub>
        <m:r>
          <m:rPr>
            <m:sty m:val="p"/>
          </m:rPr>
          <w:rPr>
            <w:rFonts w:ascii="Cambria Math" w:hAnsi="Cambria Math"/>
          </w:rPr>
          <m:t>&gt;115</m:t>
        </m:r>
        <m:r>
          <m:rPr>
            <m:nor/>
          </m:rPr>
          <m:t>mm:</m:t>
        </m:r>
      </m:oMath>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F26B9" w:rsidRPr="001455DC" w14:paraId="51F228D6" w14:textId="77777777" w:rsidTr="00DD375F">
        <w:trPr>
          <w:cantSplit/>
        </w:trPr>
        <w:tc>
          <w:tcPr>
            <w:tcW w:w="8505" w:type="dxa"/>
            <w:vAlign w:val="center"/>
          </w:tcPr>
          <w:p w14:paraId="7F79CC7A" w14:textId="359D7D06" w:rsidR="002F26B9" w:rsidRPr="001455DC" w:rsidRDefault="00231E33" w:rsidP="00DD375F">
            <w:pPr>
              <w:pStyle w:val="Formula"/>
              <w:jc w:val="left"/>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bfRd</m:t>
                    </m:r>
                  </m:sub>
                </m:sSub>
                <m:r>
                  <w:rPr>
                    <w:rFonts w:ascii="Cambria Math" w:hAnsi="Cambria Math"/>
                  </w:rPr>
                  <m:t>=</m:t>
                </m:r>
                <m:sSub>
                  <m:sSubPr>
                    <m:ctrlPr>
                      <w:rPr>
                        <w:rFonts w:ascii="Cambria Math" w:hAnsi="Cambria Math"/>
                      </w:rPr>
                    </m:ctrlPr>
                  </m:sSubPr>
                  <m:e>
                    <m:r>
                      <w:rPr>
                        <w:rFonts w:ascii="Cambria Math" w:hAnsi="Cambria Math"/>
                      </w:rPr>
                      <m:t>0,95⋅b</m:t>
                    </m:r>
                  </m:e>
                  <m:sub>
                    <m:r>
                      <m:rPr>
                        <m:sty m:val="p"/>
                      </m:rP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τ</m:t>
                    </m:r>
                  </m:e>
                  <m:sub>
                    <m:r>
                      <m:rPr>
                        <m:sty m:val="p"/>
                      </m:rPr>
                      <w:rPr>
                        <w:rFonts w:ascii="Cambria Math" w:hAnsi="Cambria Math"/>
                      </w:rPr>
                      <m:t>bAd</m:t>
                    </m:r>
                  </m:sub>
                </m:sSub>
                <m:r>
                  <w:rPr>
                    <w:rFonts w:ascii="Cambria Math" w:hAnsi="Cambria Math"/>
                  </w:rPr>
                  <m:t>⋅</m:t>
                </m:r>
                <m:rad>
                  <m:radPr>
                    <m:ctrlPr>
                      <w:rPr>
                        <w:rFonts w:ascii="Cambria Math" w:hAnsi="Cambria Math"/>
                      </w:rPr>
                    </m:ctrlPr>
                  </m:radPr>
                  <m:deg>
                    <m:r>
                      <w:rPr>
                        <w:rFonts w:ascii="Cambria Math" w:hAnsi="Cambria Math"/>
                      </w:rPr>
                      <m:t>4</m:t>
                    </m:r>
                  </m:deg>
                  <m:e>
                    <m:sSub>
                      <m:sSubPr>
                        <m:ctrlPr>
                          <w:rPr>
                            <w:rFonts w:ascii="Cambria Math" w:hAnsi="Cambria Math"/>
                          </w:rPr>
                        </m:ctrlPr>
                      </m:sSubPr>
                      <m:e>
                        <m:r>
                          <w:rPr>
                            <w:rFonts w:ascii="Cambria Math" w:hAnsi="Cambria Math"/>
                          </w:rPr>
                          <m:t>a</m:t>
                        </m:r>
                      </m:e>
                      <m:sub>
                        <m:r>
                          <m:rPr>
                            <m:sty m:val="p"/>
                          </m:rPr>
                          <w:rPr>
                            <w:rFonts w:ascii="Cambria Math" w:hAnsi="Cambria Math"/>
                          </w:rPr>
                          <m:t>r</m:t>
                        </m:r>
                      </m:sub>
                    </m:sSub>
                  </m:e>
                </m:rad>
                <m:r>
                  <w:rPr>
                    <w:rFonts w:ascii="Cambria Math" w:hAnsi="Cambria Math"/>
                  </w:rPr>
                  <m:t>⋅</m:t>
                </m:r>
                <m:d>
                  <m:dPr>
                    <m:ctrlPr>
                      <w:rPr>
                        <w:rFonts w:ascii="Cambria Math" w:hAnsi="Cambria Math"/>
                      </w:rPr>
                    </m:ctrlPr>
                  </m:dPr>
                  <m:e>
                    <m:r>
                      <w:rPr>
                        <w:rFonts w:ascii="Cambria Math" w:hAnsi="Cambria Math"/>
                      </w:rPr>
                      <m:t>26,2+0,065⋅</m:t>
                    </m:r>
                    <m:func>
                      <m:funcPr>
                        <m:ctrlPr>
                          <w:rPr>
                            <w:rFonts w:ascii="Cambria Math" w:hAnsi="Cambria Math"/>
                          </w:rPr>
                        </m:ctrlPr>
                      </m:funcPr>
                      <m:fName>
                        <m:r>
                          <m:rPr>
                            <m:sty m:val="p"/>
                          </m:rPr>
                          <w:rPr>
                            <w:rFonts w:ascii="Cambria Math" w:hAnsi="Cambria Math"/>
                          </w:rPr>
                          <m:t xml:space="preserve">tan </m:t>
                        </m:r>
                        <m:r>
                          <w:rPr>
                            <w:rFonts w:ascii="Cambria Math" w:hAnsi="Cambria Math"/>
                          </w:rPr>
                          <m:t>h</m:t>
                        </m:r>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r</m:t>
                                    </m:r>
                                  </m:sub>
                                </m:sSub>
                              </m:num>
                              <m:den>
                                <m:r>
                                  <w:rPr>
                                    <w:rFonts w:ascii="Cambria Math" w:hAnsi="Cambria Math"/>
                                  </w:rPr>
                                  <m:t>70</m:t>
                                </m:r>
                              </m:den>
                            </m:f>
                          </m:e>
                        </m:d>
                      </m:e>
                    </m:func>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l</m:t>
                            </m:r>
                          </m:e>
                          <m:sub>
                            <m:r>
                              <m:rPr>
                                <m:sty m:val="p"/>
                              </m:rPr>
                              <w:rPr>
                                <w:rFonts w:ascii="Cambria Math" w:hAnsi="Cambria Math"/>
                              </w:rPr>
                              <m:t>bf</m:t>
                            </m:r>
                          </m:sub>
                        </m:sSub>
                        <m:r>
                          <w:rPr>
                            <w:rFonts w:ascii="Cambria Math" w:hAnsi="Cambria Math"/>
                          </w:rPr>
                          <m:t>-115</m:t>
                        </m:r>
                      </m:e>
                    </m:d>
                  </m:e>
                </m:d>
              </m:oMath>
            </m:oMathPara>
          </w:p>
        </w:tc>
        <w:tc>
          <w:tcPr>
            <w:tcW w:w="1247" w:type="dxa"/>
            <w:vAlign w:val="center"/>
          </w:tcPr>
          <w:p w14:paraId="7EA66EB6" w14:textId="1038F1AE" w:rsidR="002F26B9" w:rsidRPr="001455DC" w:rsidRDefault="002F26B9" w:rsidP="00DD375F">
            <w:pPr>
              <w:pStyle w:val="a7"/>
              <w:jc w:val="right"/>
            </w:pPr>
            <w:r w:rsidRPr="001455DC">
              <w:t>(J.49)</w:t>
            </w:r>
          </w:p>
        </w:tc>
      </w:tr>
    </w:tbl>
    <w:p w14:paraId="676BDD3E" w14:textId="77777777" w:rsidR="002F26B9" w:rsidRPr="001455DC" w:rsidRDefault="004E22C1" w:rsidP="00A35599">
      <w:pPr>
        <w:pStyle w:val="a7"/>
        <w:keepNext/>
      </w:pPr>
      <w:r w:rsidRPr="001455DC">
        <w:t>where</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F26B9" w:rsidRPr="001455DC" w14:paraId="792CCBAE" w14:textId="77777777" w:rsidTr="00DD375F">
        <w:trPr>
          <w:cantSplit/>
        </w:trPr>
        <w:tc>
          <w:tcPr>
            <w:tcW w:w="8505" w:type="dxa"/>
            <w:vAlign w:val="center"/>
          </w:tcPr>
          <w:p w14:paraId="301380B2" w14:textId="7467E95F" w:rsidR="002F26B9" w:rsidRPr="001455DC" w:rsidRDefault="00231E33" w:rsidP="00DD375F">
            <w:pPr>
              <w:pStyle w:val="Formula"/>
              <w:jc w:val="left"/>
            </w:pPr>
            <m:oMathPara>
              <m:oMathParaPr>
                <m:jc m:val="left"/>
              </m:oMathParaPr>
              <m:oMath>
                <m:sSub>
                  <m:sSubPr>
                    <m:ctrlPr>
                      <w:rPr>
                        <w:rFonts w:ascii="Cambria Math" w:hAnsi="Cambria Math"/>
                      </w:rPr>
                    </m:ctrlPr>
                  </m:sSubPr>
                  <m:e>
                    <m:r>
                      <w:rPr>
                        <w:rFonts w:ascii="Cambria Math" w:hAnsi="Cambria Math"/>
                      </w:rPr>
                      <m:t>a</m:t>
                    </m:r>
                  </m:e>
                  <m:sub>
                    <m:r>
                      <m:rPr>
                        <m:sty m:val="p"/>
                      </m:rPr>
                      <w:rPr>
                        <w:rFonts w:ascii="Cambria Math" w:hAnsi="Cambria Math"/>
                      </w:rPr>
                      <m:t>r</m:t>
                    </m:r>
                  </m:sub>
                </m:sSub>
                <m:r>
                  <w:rPr>
                    <w:rFonts w:ascii="Cambria Math" w:hAnsi="Cambria Math"/>
                  </w:rPr>
                  <m:t xml:space="preserve">= </m:t>
                </m:r>
                <m:func>
                  <m:funcPr>
                    <m:ctrlPr>
                      <w:rPr>
                        <w:rFonts w:ascii="Cambria Math" w:hAnsi="Cambria Math"/>
                      </w:rPr>
                    </m:ctrlPr>
                  </m:funcPr>
                  <m:fName>
                    <m:r>
                      <m:rPr>
                        <m:sty m:val="p"/>
                      </m:rPr>
                      <w:rPr>
                        <w:rFonts w:ascii="Cambria Math" w:hAnsi="Cambria Math"/>
                      </w:rPr>
                      <m:t>max</m:t>
                    </m:r>
                  </m:fName>
                  <m:e>
                    <m:d>
                      <m:dPr>
                        <m:begChr m:val="{"/>
                        <m:endChr m:val="}"/>
                        <m:ctrlPr>
                          <w:rPr>
                            <w:rFonts w:ascii="Cambria Math" w:hAnsi="Cambria Math"/>
                          </w:rPr>
                        </m:ctrlPr>
                      </m:dPr>
                      <m:e>
                        <m:r>
                          <w:rPr>
                            <w:rFonts w:ascii="Cambria Math" w:hAnsi="Cambria Math"/>
                          </w:rPr>
                          <m:t xml:space="preserve">100 </m:t>
                        </m:r>
                        <m:r>
                          <m:rPr>
                            <m:nor/>
                          </m:rPr>
                          <w:rPr>
                            <w:rFonts w:ascii="Cambria Math" w:hAnsi="Cambria Math"/>
                          </w:rPr>
                          <m:t>mm</m:t>
                        </m:r>
                        <m:r>
                          <w:rPr>
                            <w:rFonts w:ascii="Cambria Math" w:hAnsi="Cambria Math"/>
                          </w:rPr>
                          <m:t xml:space="preserve">, </m:t>
                        </m:r>
                        <m:sSub>
                          <m:sSubPr>
                            <m:ctrlPr>
                              <w:rPr>
                                <w:rFonts w:ascii="Cambria Math" w:hAnsi="Cambria Math"/>
                              </w:rPr>
                            </m:ctrlPr>
                          </m:sSubPr>
                          <m:e>
                            <m:r>
                              <w:rPr>
                                <w:rFonts w:ascii="Cambria Math" w:hAnsi="Cambria Math"/>
                              </w:rPr>
                              <m:t>a</m:t>
                            </m:r>
                          </m:e>
                          <m:sub>
                            <m:r>
                              <m:rPr>
                                <m:sty m:val="p"/>
                              </m:rPr>
                              <w:rPr>
                                <w:rFonts w:ascii="Cambria Math" w:hAnsi="Cambria Math"/>
                              </w:rPr>
                              <m:t>r</m:t>
                            </m:r>
                          </m:sub>
                        </m:sSub>
                      </m:e>
                    </m:d>
                  </m:e>
                </m:func>
                <m:r>
                  <w:rPr>
                    <w:rFonts w:ascii="Cambria Math" w:hAnsi="Cambria Math"/>
                  </w:rPr>
                  <m:t>.</m:t>
                </m:r>
              </m:oMath>
            </m:oMathPara>
          </w:p>
        </w:tc>
        <w:tc>
          <w:tcPr>
            <w:tcW w:w="1247" w:type="dxa"/>
            <w:vAlign w:val="center"/>
          </w:tcPr>
          <w:p w14:paraId="773CF916" w14:textId="2E72AF69" w:rsidR="002F26B9" w:rsidRPr="001455DC" w:rsidRDefault="002F26B9" w:rsidP="00DD375F">
            <w:pPr>
              <w:pStyle w:val="a7"/>
              <w:jc w:val="right"/>
            </w:pPr>
            <w:r w:rsidRPr="001455DC">
              <w:t>(J.50)</w:t>
            </w:r>
          </w:p>
        </w:tc>
      </w:tr>
    </w:tbl>
    <w:p w14:paraId="6B7E88AB" w14:textId="77777777" w:rsidR="002F26B9" w:rsidRPr="001455DC" w:rsidRDefault="004E22C1" w:rsidP="00DE6BBC">
      <w:pPr>
        <w:pStyle w:val="a7"/>
        <w:keepNext/>
      </w:pPr>
      <w:r w:rsidRPr="001455DC">
        <w:t>The maximum design strength of the adhesive according for NSM CFRP systems may be obtained from Formula (J.51):</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F26B9" w:rsidRPr="001455DC" w14:paraId="4CED48A4" w14:textId="77777777" w:rsidTr="00DD375F">
        <w:trPr>
          <w:cantSplit/>
        </w:trPr>
        <w:tc>
          <w:tcPr>
            <w:tcW w:w="8505" w:type="dxa"/>
            <w:vAlign w:val="center"/>
          </w:tcPr>
          <w:p w14:paraId="704E0313" w14:textId="34C52AB8" w:rsidR="002F26B9" w:rsidRPr="001455DC" w:rsidRDefault="00231E33" w:rsidP="00DD375F">
            <w:pPr>
              <w:pStyle w:val="Formula"/>
              <w:jc w:val="left"/>
            </w:pPr>
            <m:oMathPara>
              <m:oMathParaPr>
                <m:jc m:val="left"/>
              </m:oMathParaPr>
              <m:oMath>
                <m:sSub>
                  <m:sSubPr>
                    <m:ctrlPr>
                      <w:rPr>
                        <w:rFonts w:ascii="Cambria Math" w:hAnsi="Cambria Math"/>
                      </w:rPr>
                    </m:ctrlPr>
                  </m:sSubPr>
                  <m:e>
                    <m:r>
                      <w:rPr>
                        <w:rFonts w:ascii="Cambria Math" w:hAnsi="Cambria Math"/>
                      </w:rPr>
                      <m:t>τ</m:t>
                    </m:r>
                  </m:e>
                  <m:sub>
                    <m:r>
                      <m:rPr>
                        <m:sty m:val="p"/>
                      </m:rPr>
                      <w:rPr>
                        <w:rFonts w:ascii="Cambria Math" w:hAnsi="Cambria Math"/>
                      </w:rPr>
                      <m:t>bAd</m:t>
                    </m:r>
                  </m:sub>
                </m:sSub>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γ</m:t>
                        </m:r>
                      </m:e>
                      <m:sub>
                        <m:r>
                          <m:rPr>
                            <m:sty m:val="p"/>
                          </m:rPr>
                          <w:rPr>
                            <w:rFonts w:ascii="Cambria Math" w:hAnsi="Cambria Math"/>
                          </w:rPr>
                          <m:t>BE</m:t>
                        </m:r>
                      </m:sub>
                    </m:sSub>
                  </m:den>
                </m:f>
                <m:r>
                  <w:rPr>
                    <w:rFonts w:ascii="Cambria Math" w:hAnsi="Cambria Math"/>
                  </w:rPr>
                  <m:t>⋅</m:t>
                </m:r>
                <m:func>
                  <m:funcPr>
                    <m:ctrlPr>
                      <w:rPr>
                        <w:rFonts w:ascii="Cambria Math" w:hAnsi="Cambria Math"/>
                      </w:rPr>
                    </m:ctrlPr>
                  </m:funcPr>
                  <m:fName>
                    <m:r>
                      <m:rPr>
                        <m:sty m:val="p"/>
                      </m:rPr>
                      <w:rPr>
                        <w:rFonts w:ascii="Cambria Math" w:hAnsi="Cambria Math"/>
                      </w:rPr>
                      <m:t>min</m:t>
                    </m:r>
                  </m:fName>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τ</m:t>
                                  </m:r>
                                </m:e>
                                <m:sub>
                                  <m:r>
                                    <m:rPr>
                                      <m:sty m:val="p"/>
                                    </m:rPr>
                                    <w:rPr>
                                      <w:rFonts w:ascii="Cambria Math" w:hAnsi="Cambria Math"/>
                                    </w:rPr>
                                    <m:t>bAk</m:t>
                                  </m:r>
                                </m:sub>
                              </m:sSub>
                              <m:r>
                                <w:rPr>
                                  <w:rFonts w:ascii="Cambria Math" w:hAnsi="Cambria Math"/>
                                </w:rPr>
                                <m:t>⋅</m:t>
                              </m:r>
                              <m:sSub>
                                <m:sSubPr>
                                  <m:ctrlPr>
                                    <w:rPr>
                                      <w:rFonts w:ascii="Cambria Math" w:hAnsi="Cambria Math"/>
                                    </w:rPr>
                                  </m:ctrlPr>
                                </m:sSubPr>
                                <m:e>
                                  <m:r>
                                    <w:rPr>
                                      <w:rFonts w:ascii="Cambria Math" w:hAnsi="Cambria Math"/>
                                    </w:rPr>
                                    <m:t>α</m:t>
                                  </m:r>
                                </m:e>
                                <m:sub>
                                  <m:r>
                                    <m:rPr>
                                      <m:sty m:val="p"/>
                                    </m:rPr>
                                    <w:rPr>
                                      <w:rFonts w:ascii="Cambria Math" w:hAnsi="Cambria Math"/>
                                    </w:rPr>
                                    <m:t>bA</m:t>
                                  </m:r>
                                </m:sub>
                              </m:sSub>
                            </m:e>
                          </m:mr>
                          <m:mr>
                            <m:e>
                              <m:sSub>
                                <m:sSubPr>
                                  <m:ctrlPr>
                                    <w:rPr>
                                      <w:rFonts w:ascii="Cambria Math" w:hAnsi="Cambria Math"/>
                                    </w:rPr>
                                  </m:ctrlPr>
                                </m:sSubPr>
                                <m:e>
                                  <m:r>
                                    <w:rPr>
                                      <w:rFonts w:ascii="Cambria Math" w:hAnsi="Cambria Math"/>
                                    </w:rPr>
                                    <m:t>τ</m:t>
                                  </m:r>
                                </m:e>
                                <m:sub>
                                  <m:r>
                                    <m:rPr>
                                      <m:sty m:val="p"/>
                                    </m:rPr>
                                    <w:rPr>
                                      <w:rFonts w:ascii="Cambria Math" w:hAnsi="Cambria Math"/>
                                    </w:rPr>
                                    <m:t>bck</m:t>
                                  </m:r>
                                </m:sub>
                              </m:sSub>
                              <m:r>
                                <w:rPr>
                                  <w:rFonts w:ascii="Cambria Math" w:hAnsi="Cambria Math"/>
                                </w:rPr>
                                <m:t>⋅</m:t>
                              </m:r>
                              <m:sSub>
                                <m:sSubPr>
                                  <m:ctrlPr>
                                    <w:rPr>
                                      <w:rFonts w:ascii="Cambria Math" w:hAnsi="Cambria Math"/>
                                    </w:rPr>
                                  </m:ctrlPr>
                                </m:sSubPr>
                                <m:e>
                                  <m:r>
                                    <w:rPr>
                                      <w:rFonts w:ascii="Cambria Math" w:hAnsi="Cambria Math"/>
                                    </w:rPr>
                                    <m:t>α</m:t>
                                  </m:r>
                                </m:e>
                                <m:sub>
                                  <m:r>
                                    <m:rPr>
                                      <m:sty m:val="p"/>
                                    </m:rPr>
                                    <w:rPr>
                                      <w:rFonts w:ascii="Cambria Math" w:hAnsi="Cambria Math"/>
                                    </w:rPr>
                                    <m:t>bc</m:t>
                                  </m:r>
                                </m:sub>
                              </m:sSub>
                            </m:e>
                          </m:mr>
                        </m:m>
                      </m:e>
                    </m:d>
                  </m:e>
                </m:func>
              </m:oMath>
            </m:oMathPara>
          </w:p>
        </w:tc>
        <w:tc>
          <w:tcPr>
            <w:tcW w:w="1247" w:type="dxa"/>
            <w:vAlign w:val="center"/>
          </w:tcPr>
          <w:p w14:paraId="7BD8F2F3" w14:textId="7B1C732B" w:rsidR="002F26B9" w:rsidRPr="001455DC" w:rsidRDefault="00DD375F" w:rsidP="00DD375F">
            <w:pPr>
              <w:pStyle w:val="a7"/>
              <w:jc w:val="right"/>
            </w:pPr>
            <w:r w:rsidRPr="001455DC">
              <w:t>(J.51)</w:t>
            </w:r>
          </w:p>
        </w:tc>
      </w:tr>
    </w:tbl>
    <w:p w14:paraId="46EB5C06" w14:textId="3DD24311" w:rsidR="002F26B9" w:rsidRPr="001455DC" w:rsidRDefault="004E22C1" w:rsidP="00DE6BBC">
      <w:pPr>
        <w:pStyle w:val="a7"/>
        <w:keepNext/>
      </w:pPr>
      <w:r w:rsidRPr="001455DC">
        <w:t xml:space="preserve">where the maximum characteristic bond strength of the adhesive may be obtained from Formula (J.52), where the definitions of </w:t>
      </w:r>
      <m:oMath>
        <m:sSub>
          <m:sSubPr>
            <m:ctrlPr>
              <w:rPr>
                <w:rFonts w:ascii="Cambria Math" w:hAnsi="Cambria Math"/>
              </w:rPr>
            </m:ctrlPr>
          </m:sSubPr>
          <m:e>
            <m:r>
              <w:rPr>
                <w:rFonts w:ascii="Cambria Math" w:hAnsi="Cambria Math"/>
              </w:rPr>
              <m:t>f</m:t>
            </m:r>
          </m:e>
          <m:sub>
            <m:r>
              <m:rPr>
                <m:sty m:val="p"/>
              </m:rPr>
              <w:rPr>
                <w:rFonts w:ascii="Cambria Math" w:hAnsi="Cambria Math"/>
              </w:rPr>
              <m:t>Ack</m:t>
            </m:r>
          </m:sub>
        </m:sSub>
      </m:oMath>
      <w:r w:rsidRPr="001455DC">
        <w:t xml:space="preserve"> and </w:t>
      </w:r>
      <m:oMath>
        <m:sSub>
          <m:sSubPr>
            <m:ctrlPr>
              <w:rPr>
                <w:rFonts w:ascii="Cambria Math" w:hAnsi="Cambria Math"/>
              </w:rPr>
            </m:ctrlPr>
          </m:sSubPr>
          <m:e>
            <m:r>
              <w:rPr>
                <w:rFonts w:ascii="Cambria Math" w:hAnsi="Cambria Math"/>
              </w:rPr>
              <m:t>f</m:t>
            </m:r>
          </m:e>
          <m:sub>
            <m:r>
              <m:rPr>
                <m:sty m:val="p"/>
              </m:rPr>
              <w:rPr>
                <w:rFonts w:ascii="Cambria Math" w:hAnsi="Cambria Math"/>
              </w:rPr>
              <m:t>Atk</m:t>
            </m:r>
          </m:sub>
        </m:sSub>
      </m:oMath>
      <w:r w:rsidRPr="001455DC">
        <w:t xml:space="preserve"> are given in </w:t>
      </w:r>
      <w:r w:rsidRPr="009D3012">
        <w:rPr>
          <w:i/>
        </w:rPr>
        <w:t>J.5.1.2.1</w:t>
      </w:r>
      <w:r w:rsidRPr="001455DC">
        <w:t>.</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F26B9" w:rsidRPr="001455DC" w14:paraId="33A9D150" w14:textId="77777777" w:rsidTr="00DD375F">
        <w:trPr>
          <w:cantSplit/>
        </w:trPr>
        <w:tc>
          <w:tcPr>
            <w:tcW w:w="8505" w:type="dxa"/>
            <w:vAlign w:val="center"/>
          </w:tcPr>
          <w:p w14:paraId="4E362580" w14:textId="4CC899F4" w:rsidR="002F26B9" w:rsidRPr="001455DC" w:rsidRDefault="00231E33" w:rsidP="00DD375F">
            <w:pPr>
              <w:pStyle w:val="Formula"/>
              <w:jc w:val="left"/>
            </w:pPr>
            <m:oMathPara>
              <m:oMathParaPr>
                <m:jc m:val="left"/>
              </m:oMathParaPr>
              <m:oMath>
                <m:sSub>
                  <m:sSubPr>
                    <m:ctrlPr>
                      <w:rPr>
                        <w:rFonts w:ascii="Cambria Math" w:hAnsi="Cambria Math"/>
                      </w:rPr>
                    </m:ctrlPr>
                  </m:sSubPr>
                  <m:e>
                    <m:r>
                      <w:rPr>
                        <w:rFonts w:ascii="Cambria Math" w:hAnsi="Cambria Math"/>
                      </w:rPr>
                      <m:t>τ</m:t>
                    </m:r>
                  </m:e>
                  <m:sub>
                    <m:r>
                      <m:rPr>
                        <m:sty m:val="p"/>
                      </m:rPr>
                      <w:rPr>
                        <w:rFonts w:ascii="Cambria Math" w:hAnsi="Cambria Math"/>
                      </w:rPr>
                      <m:t>bAk</m:t>
                    </m:r>
                  </m:sub>
                </m:sSub>
                <m:r>
                  <w:rPr>
                    <w:rFonts w:ascii="Cambria Math" w:hAnsi="Cambria Math"/>
                  </w:rPr>
                  <m:t>=0,6∙</m:t>
                </m:r>
                <m:rad>
                  <m:radPr>
                    <m:degHide m:val="1"/>
                    <m:ctrlPr>
                      <w:rPr>
                        <w:rFonts w:ascii="Cambria Math" w:hAnsi="Cambria Math"/>
                      </w:rPr>
                    </m:ctrlPr>
                  </m:radPr>
                  <m:deg/>
                  <m:e>
                    <m:d>
                      <m:dPr>
                        <m:ctrlPr>
                          <w:rPr>
                            <w:rFonts w:ascii="Cambria Math" w:hAnsi="Cambria Math"/>
                          </w:rPr>
                        </m:ctrlPr>
                      </m:dPr>
                      <m:e>
                        <m:r>
                          <w:rPr>
                            <w:rFonts w:ascii="Cambria Math" w:hAnsi="Cambria Math"/>
                          </w:rPr>
                          <m:t>2∙</m:t>
                        </m:r>
                        <m:sSub>
                          <m:sSubPr>
                            <m:ctrlPr>
                              <w:rPr>
                                <w:rFonts w:ascii="Cambria Math" w:hAnsi="Cambria Math"/>
                              </w:rPr>
                            </m:ctrlPr>
                          </m:sSubPr>
                          <m:e>
                            <m:r>
                              <w:rPr>
                                <w:rFonts w:ascii="Cambria Math" w:hAnsi="Cambria Math"/>
                              </w:rPr>
                              <m:t>f</m:t>
                            </m:r>
                          </m:e>
                          <m:sub>
                            <m:r>
                              <m:rPr>
                                <m:sty m:val="p"/>
                              </m:rPr>
                              <w:rPr>
                                <w:rFonts w:ascii="Cambria Math" w:hAnsi="Cambria Math"/>
                              </w:rPr>
                              <m:t>Atk</m:t>
                            </m:r>
                          </m:sub>
                        </m:sSub>
                        <m:r>
                          <w:rPr>
                            <w:rFonts w:ascii="Cambria Math" w:hAnsi="Cambria Math"/>
                          </w:rPr>
                          <m:t>-2∙</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f</m:t>
                                </m:r>
                              </m:e>
                              <m:sub>
                                <m:r>
                                  <m:rPr>
                                    <m:sty m:val="p"/>
                                  </m:rPr>
                                  <w:rPr>
                                    <w:rFonts w:ascii="Cambria Math" w:hAnsi="Cambria Math"/>
                                  </w:rPr>
                                  <m:t>Atk</m:t>
                                </m:r>
                              </m:sub>
                              <m:sup>
                                <m:r>
                                  <w:rPr>
                                    <w:rFonts w:ascii="Cambria Math" w:hAnsi="Cambria Math"/>
                                  </w:rPr>
                                  <m:t>2</m:t>
                                </m:r>
                              </m:sup>
                            </m:sSubSup>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Ack</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Atk</m:t>
                                </m:r>
                              </m:sub>
                            </m:sSub>
                          </m:e>
                        </m:rad>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Ack</m:t>
                            </m:r>
                          </m:sub>
                        </m:sSub>
                      </m:e>
                    </m:d>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Atk</m:t>
                        </m:r>
                      </m:sub>
                    </m:sSub>
                  </m:e>
                </m:rad>
              </m:oMath>
            </m:oMathPara>
          </w:p>
        </w:tc>
        <w:tc>
          <w:tcPr>
            <w:tcW w:w="1247" w:type="dxa"/>
            <w:vAlign w:val="center"/>
          </w:tcPr>
          <w:p w14:paraId="0E4978BE" w14:textId="5224DB7E" w:rsidR="002F26B9" w:rsidRPr="001455DC" w:rsidRDefault="00DD375F" w:rsidP="00DD375F">
            <w:pPr>
              <w:pStyle w:val="a7"/>
              <w:jc w:val="right"/>
            </w:pPr>
            <w:r w:rsidRPr="001455DC">
              <w:t>(J.52)</w:t>
            </w:r>
          </w:p>
        </w:tc>
      </w:tr>
      <w:tr w:rsidR="00DD375F" w:rsidRPr="001455DC" w14:paraId="219ABE3E" w14:textId="77777777" w:rsidTr="00DD375F">
        <w:trPr>
          <w:cantSplit/>
        </w:trPr>
        <w:tc>
          <w:tcPr>
            <w:tcW w:w="8505" w:type="dxa"/>
            <w:vAlign w:val="center"/>
          </w:tcPr>
          <w:p w14:paraId="002EF4B0" w14:textId="45E38873" w:rsidR="00DD375F" w:rsidRPr="001455DC" w:rsidRDefault="00231E33" w:rsidP="00DD375F">
            <w:pPr>
              <w:pStyle w:val="Formula"/>
              <w:jc w:val="left"/>
            </w:pPr>
            <m:oMathPara>
              <m:oMathParaPr>
                <m:jc m:val="left"/>
              </m:oMathParaPr>
              <m:oMath>
                <m:sSub>
                  <m:sSubPr>
                    <m:ctrlPr>
                      <w:rPr>
                        <w:rFonts w:ascii="Cambria Math" w:hAnsi="Cambria Math"/>
                      </w:rPr>
                    </m:ctrlPr>
                  </m:sSubPr>
                  <m:e>
                    <m:r>
                      <w:rPr>
                        <w:rFonts w:ascii="Cambria Math" w:hAnsi="Cambria Math"/>
                      </w:rPr>
                      <m:t>τ</m:t>
                    </m:r>
                  </m:e>
                  <m:sub>
                    <m:r>
                      <m:rPr>
                        <m:sty m:val="p"/>
                      </m:rPr>
                      <w:rPr>
                        <w:rFonts w:ascii="Cambria Math" w:hAnsi="Cambria Math"/>
                      </w:rPr>
                      <m:t>bck</m:t>
                    </m:r>
                  </m:sub>
                </m:sSub>
                <m:r>
                  <w:rPr>
                    <w:rFonts w:ascii="Cambria Math" w:hAnsi="Cambria Math"/>
                  </w:rPr>
                  <m:t>=4,5∙</m:t>
                </m:r>
                <m:sSup>
                  <m:sSupPr>
                    <m:ctrlPr>
                      <w:rPr>
                        <w:rFonts w:ascii="Cambria Math" w:hAnsi="Cambria Math"/>
                      </w:rPr>
                    </m:ctrlPr>
                  </m:sSupPr>
                  <m:e>
                    <m:sSub>
                      <m:sSubPr>
                        <m:ctrlPr>
                          <w:rPr>
                            <w:rFonts w:ascii="Cambria Math" w:hAnsi="Cambria Math"/>
                          </w:rPr>
                        </m:ctrlPr>
                      </m:sSubPr>
                      <m:e>
                        <m:r>
                          <w:rPr>
                            <w:rFonts w:ascii="Cambria Math" w:hAnsi="Cambria Math"/>
                          </w:rPr>
                          <m:t>f</m:t>
                        </m:r>
                      </m:e>
                      <m:sub>
                        <m:r>
                          <m:rPr>
                            <m:sty m:val="p"/>
                          </m:rPr>
                          <w:rPr>
                            <w:rFonts w:ascii="Cambria Math" w:hAnsi="Cambria Math"/>
                          </w:rPr>
                          <m:t>cm</m:t>
                        </m:r>
                      </m:sub>
                    </m:sSub>
                  </m:e>
                  <m:sup>
                    <m:r>
                      <w:rPr>
                        <w:rFonts w:ascii="Cambria Math" w:hAnsi="Cambria Math"/>
                      </w:rPr>
                      <m:t>0,5</m:t>
                    </m:r>
                  </m:sup>
                </m:sSup>
              </m:oMath>
            </m:oMathPara>
          </w:p>
        </w:tc>
        <w:tc>
          <w:tcPr>
            <w:tcW w:w="1247" w:type="dxa"/>
            <w:vAlign w:val="center"/>
          </w:tcPr>
          <w:p w14:paraId="246DC13B" w14:textId="05F6371F" w:rsidR="00DD375F" w:rsidRPr="001455DC" w:rsidRDefault="00DD375F" w:rsidP="00DD375F">
            <w:pPr>
              <w:pStyle w:val="a7"/>
              <w:jc w:val="right"/>
            </w:pPr>
            <w:r w:rsidRPr="001455DC">
              <w:t>(J.53)</w:t>
            </w:r>
          </w:p>
        </w:tc>
      </w:tr>
    </w:tbl>
    <w:p w14:paraId="56A3693C" w14:textId="7B52C396" w:rsidR="004E22C1" w:rsidRPr="001455DC" w:rsidRDefault="004E22C1" w:rsidP="00DD375F">
      <w:pPr>
        <w:pStyle w:val="a7"/>
      </w:pPr>
      <w:r w:rsidRPr="001455DC">
        <w:t xml:space="preserve">The value of </w:t>
      </w:r>
      <m:oMath>
        <m:sSub>
          <m:sSubPr>
            <m:ctrlPr>
              <w:rPr>
                <w:rFonts w:ascii="Cambria Math" w:hAnsi="Cambria Math"/>
              </w:rPr>
            </m:ctrlPr>
          </m:sSubPr>
          <m:e>
            <m:r>
              <w:rPr>
                <w:rFonts w:ascii="Cambria Math" w:hAnsi="Cambria Math"/>
              </w:rPr>
              <m:t>α</m:t>
            </m:r>
          </m:e>
          <m:sub>
            <m:r>
              <m:rPr>
                <m:sty m:val="p"/>
              </m:rPr>
              <w:rPr>
                <w:rFonts w:ascii="Cambria Math" w:hAnsi="Cambria Math"/>
              </w:rPr>
              <m:t>bA</m:t>
            </m:r>
          </m:sub>
        </m:sSub>
      </m:oMath>
      <w:r w:rsidRPr="001455DC">
        <w:t xml:space="preserve"> may be taken as 0,5 unless the more accurate information is available based on production data of EBR CFRP sheets or strips.</w:t>
      </w:r>
    </w:p>
    <w:p w14:paraId="5608FA3D" w14:textId="6F5B798D" w:rsidR="004E22C1" w:rsidRPr="001455DC" w:rsidRDefault="004E22C1" w:rsidP="00DD375F">
      <w:pPr>
        <w:pStyle w:val="a7"/>
      </w:pPr>
      <w:r w:rsidRPr="001455DC">
        <w:t xml:space="preserve">The value of </w:t>
      </w:r>
      <m:oMath>
        <m:sSub>
          <m:sSubPr>
            <m:ctrlPr>
              <w:rPr>
                <w:rFonts w:ascii="Cambria Math" w:hAnsi="Cambria Math"/>
              </w:rPr>
            </m:ctrlPr>
          </m:sSubPr>
          <m:e>
            <m:r>
              <w:rPr>
                <w:rFonts w:ascii="Cambria Math" w:hAnsi="Cambria Math"/>
              </w:rPr>
              <m:t>α</m:t>
            </m:r>
          </m:e>
          <m:sub>
            <m:r>
              <m:rPr>
                <m:sty m:val="p"/>
              </m:rPr>
              <w:rPr>
                <w:rFonts w:ascii="Cambria Math" w:hAnsi="Cambria Math"/>
              </w:rPr>
              <m:t>bc</m:t>
            </m:r>
          </m:sub>
        </m:sSub>
      </m:oMath>
      <w:r w:rsidRPr="001455DC">
        <w:t xml:space="preserve"> may be taken as </w:t>
      </w:r>
      <m:oMath>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η</m:t>
                    </m:r>
                  </m:e>
                  <m:sub>
                    <m:r>
                      <m:rPr>
                        <m:sty m:val="p"/>
                      </m:rPr>
                      <w:rPr>
                        <w:rFonts w:ascii="Cambria Math" w:hAnsi="Cambria Math"/>
                      </w:rPr>
                      <m:t>cc</m:t>
                    </m:r>
                  </m:sub>
                </m:sSub>
                <m: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tc</m:t>
                    </m:r>
                  </m:sub>
                </m:sSub>
                <m:r>
                  <w:rPr>
                    <w:rFonts w:ascii="Cambria Math" w:hAnsi="Cambria Math"/>
                  </w:rPr>
                  <m:t>⋅</m:t>
                </m:r>
                <m:sSub>
                  <m:sSubPr>
                    <m:ctrlPr>
                      <w:rPr>
                        <w:rFonts w:ascii="Cambria Math" w:hAnsi="Cambria Math"/>
                        <w:i/>
                        <w:iCs/>
                      </w:rPr>
                    </m:ctrlPr>
                  </m:sSubPr>
                  <m:e>
                    <m:r>
                      <w:rPr>
                        <w:rFonts w:ascii="Cambria Math" w:hAnsi="Cambria Math"/>
                      </w:rPr>
                      <m:t>k</m:t>
                    </m:r>
                  </m:e>
                  <m:sub>
                    <m:r>
                      <m:rPr>
                        <m:sty m:val="p"/>
                      </m:rPr>
                      <w:rPr>
                        <w:rFonts w:ascii="Cambria Math" w:hAnsi="Cambria Math"/>
                      </w:rPr>
                      <m:t>tt</m:t>
                    </m:r>
                  </m:sub>
                </m:sSub>
              </m:e>
            </m:d>
          </m:e>
          <m:sup>
            <m:r>
              <m:rPr>
                <m:sty m:val="p"/>
              </m:rPr>
              <w:rPr>
                <w:rFonts w:ascii="Cambria Math" w:hAnsi="Cambria Math"/>
              </w:rPr>
              <m:t>0,5</m:t>
            </m:r>
          </m:sup>
        </m:sSup>
      </m:oMath>
      <w:r w:rsidRPr="001455DC">
        <w:t xml:space="preserve"> unless the more accurate information is available based on production data of EBR CFRP sheets or strips.</w:t>
      </w:r>
    </w:p>
    <w:p w14:paraId="3174CF07" w14:textId="592C7BC3" w:rsidR="004E22C1" w:rsidRPr="001455DC" w:rsidRDefault="004E22C1" w:rsidP="00082680">
      <w:pPr>
        <w:pStyle w:val="a2"/>
      </w:pPr>
      <w:bookmarkStart w:id="1987" w:name="_Toc52820292"/>
      <w:bookmarkStart w:id="1988" w:name="_Toc54337195"/>
      <w:bookmarkStart w:id="1989" w:name="_Toc54337720"/>
      <w:bookmarkStart w:id="1990" w:name="_Toc54338340"/>
      <w:bookmarkStart w:id="1991" w:name="_Toc67565595"/>
      <w:r w:rsidRPr="001455DC">
        <w:t>Detailing of Members and Particular rules</w:t>
      </w:r>
      <w:bookmarkEnd w:id="1987"/>
      <w:bookmarkEnd w:id="1988"/>
      <w:bookmarkEnd w:id="1989"/>
      <w:bookmarkEnd w:id="1990"/>
      <w:r w:rsidR="003A63A9" w:rsidRPr="001455DC">
        <w:t xml:space="preserve"> –</w:t>
      </w:r>
      <w:r w:rsidR="008A6AD5" w:rsidRPr="001455DC">
        <w:t xml:space="preserve"> Detailin</w:t>
      </w:r>
      <w:r w:rsidR="003A63A9" w:rsidRPr="001455DC">
        <w:t>g of CFRP</w:t>
      </w:r>
      <w:bookmarkEnd w:id="1991"/>
    </w:p>
    <w:p w14:paraId="7E887C4B" w14:textId="3EE8CB44" w:rsidR="004E22C1" w:rsidRPr="009D3012" w:rsidRDefault="004E22C1" w:rsidP="00243590">
      <w:pPr>
        <w:pStyle w:val="a3"/>
      </w:pPr>
      <w:bookmarkStart w:id="1992" w:name="_Toc52820294"/>
      <w:bookmarkStart w:id="1993" w:name="_Toc54337722"/>
      <w:bookmarkStart w:id="1994" w:name="_Toc54338342"/>
      <w:r w:rsidRPr="009D3012">
        <w:t>Flexural strengthening with externally bonded CFRP</w:t>
      </w:r>
      <w:bookmarkEnd w:id="1992"/>
      <w:bookmarkEnd w:id="1993"/>
      <w:bookmarkEnd w:id="1994"/>
    </w:p>
    <w:p w14:paraId="47FCF33D" w14:textId="77777777" w:rsidR="00DD375F" w:rsidRPr="001455DC" w:rsidRDefault="004E22C1" w:rsidP="002F26B9">
      <w:pPr>
        <w:pStyle w:val="a7"/>
      </w:pPr>
      <w:r w:rsidRPr="001455DC">
        <w:t>(1)</w:t>
      </w:r>
      <w:r w:rsidRPr="001455DC">
        <w:tab/>
        <w:t>The following should be applied to the centre-to-centre spacing (</w:t>
      </w:r>
      <m:oMath>
        <m:sSub>
          <m:sSubPr>
            <m:ctrlPr>
              <w:rPr>
                <w:rFonts w:ascii="Cambria Math" w:hAnsi="Cambria Math"/>
              </w:rPr>
            </m:ctrlPr>
          </m:sSubPr>
          <m:e>
            <m:r>
              <m:rPr>
                <m:sty m:val="p"/>
              </m:rPr>
              <w:rPr>
                <w:rFonts w:ascii="Cambria Math" w:hAnsi="Cambria Math"/>
              </w:rPr>
              <m:t>a</m:t>
            </m:r>
          </m:e>
          <m:sub>
            <m:r>
              <m:rPr>
                <m:nor/>
              </m:rPr>
              <m:t>f</m:t>
            </m:r>
          </m:sub>
        </m:sSub>
      </m:oMath>
      <w:r w:rsidRPr="001455DC">
        <w:t>), in mm, of ABR CFRP strips: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1701"/>
        <w:gridCol w:w="8051"/>
      </w:tblGrid>
      <w:tr w:rsidR="00DD375F" w:rsidRPr="001455DC" w14:paraId="56DFD002" w14:textId="77777777" w:rsidTr="00B13DC5">
        <w:trPr>
          <w:cantSplit/>
        </w:trPr>
        <w:tc>
          <w:tcPr>
            <w:tcW w:w="1701" w:type="dxa"/>
            <w:vAlign w:val="center"/>
          </w:tcPr>
          <w:p w14:paraId="4E0C3CAE" w14:textId="5576C461" w:rsidR="00DD375F" w:rsidRPr="001455DC" w:rsidRDefault="00231E33" w:rsidP="00DD375F">
            <w:pPr>
              <w:pStyle w:val="Formula"/>
              <w:jc w:val="left"/>
            </w:pPr>
            <m:oMathPara>
              <m:oMathParaPr>
                <m:jc m:val="left"/>
              </m:oMathParaPr>
              <m:oMath>
                <m:sSub>
                  <m:sSubPr>
                    <m:ctrlPr>
                      <w:rPr>
                        <w:rFonts w:ascii="Cambria Math" w:hAnsi="Cambria Math"/>
                      </w:rPr>
                    </m:ctrlPr>
                  </m:sSubPr>
                  <m:e>
                    <m:r>
                      <w:rPr>
                        <w:rFonts w:ascii="Cambria Math" w:hAnsi="Cambria Math"/>
                      </w:rPr>
                      <m:t>a</m:t>
                    </m:r>
                  </m:e>
                  <m:sub>
                    <m:r>
                      <m:rPr>
                        <m:sty m:val="p"/>
                      </m:rPr>
                      <w:rPr>
                        <w:rFonts w:ascii="Cambria Math" w:hAnsi="Cambria Math"/>
                      </w:rPr>
                      <m:t>f,max</m:t>
                    </m:r>
                  </m:sub>
                </m:sSub>
                <m:r>
                  <w:rPr>
                    <w:rFonts w:ascii="Cambria Math" w:hAnsi="Cambria Math"/>
                  </w:rPr>
                  <m:t>≤0,2</m:t>
                </m:r>
              </m:oMath>
            </m:oMathPara>
          </w:p>
        </w:tc>
        <w:tc>
          <w:tcPr>
            <w:tcW w:w="8051" w:type="dxa"/>
          </w:tcPr>
          <w:p w14:paraId="4680D107" w14:textId="3C375662" w:rsidR="00DD375F" w:rsidRPr="001455DC" w:rsidRDefault="00B13DC5" w:rsidP="00B13DC5">
            <w:pPr>
              <w:pStyle w:val="Tablebody"/>
              <w:jc w:val="left"/>
            </w:pPr>
            <w:r w:rsidRPr="001455DC">
              <w:t>times distance between points of zero moments;</w:t>
            </w:r>
          </w:p>
        </w:tc>
      </w:tr>
      <w:tr w:rsidR="00B13DC5" w:rsidRPr="001455DC" w14:paraId="7B2A1068" w14:textId="77777777" w:rsidTr="00B13DC5">
        <w:trPr>
          <w:cantSplit/>
        </w:trPr>
        <w:tc>
          <w:tcPr>
            <w:tcW w:w="1701" w:type="dxa"/>
            <w:vAlign w:val="center"/>
          </w:tcPr>
          <w:p w14:paraId="5D4FBF6F" w14:textId="5F2439EA" w:rsidR="00B13DC5" w:rsidRPr="001455DC" w:rsidRDefault="00231E33" w:rsidP="00C3572F">
            <w:pPr>
              <w:pStyle w:val="Formula"/>
              <w:jc w:val="left"/>
            </w:pPr>
            <m:oMathPara>
              <m:oMathParaPr>
                <m:jc m:val="left"/>
              </m:oMathParaPr>
              <m:oMath>
                <m:sSub>
                  <m:sSubPr>
                    <m:ctrlPr>
                      <w:rPr>
                        <w:rFonts w:ascii="Cambria Math" w:hAnsi="Cambria Math"/>
                      </w:rPr>
                    </m:ctrlPr>
                  </m:sSubPr>
                  <m:e>
                    <m:r>
                      <w:rPr>
                        <w:rFonts w:ascii="Cambria Math" w:hAnsi="Cambria Math"/>
                      </w:rPr>
                      <m:t>a</m:t>
                    </m:r>
                  </m:e>
                  <m:sub>
                    <m:r>
                      <m:rPr>
                        <m:sty m:val="p"/>
                      </m:rPr>
                      <w:rPr>
                        <w:rFonts w:ascii="Cambria Math" w:hAnsi="Cambria Math"/>
                      </w:rPr>
                      <m:t>f,max</m:t>
                    </m:r>
                  </m:sub>
                </m:sSub>
                <m:r>
                  <w:rPr>
                    <w:rFonts w:ascii="Cambria Math" w:hAnsi="Cambria Math"/>
                  </w:rPr>
                  <m:t>≤4</m:t>
                </m:r>
              </m:oMath>
            </m:oMathPara>
          </w:p>
        </w:tc>
        <w:tc>
          <w:tcPr>
            <w:tcW w:w="8051" w:type="dxa"/>
          </w:tcPr>
          <w:p w14:paraId="576FE827" w14:textId="1CB2EF15" w:rsidR="00B13DC5" w:rsidRPr="001455DC" w:rsidRDefault="00B13DC5" w:rsidP="00B13DC5">
            <w:pPr>
              <w:pStyle w:val="Tablebody"/>
              <w:jc w:val="left"/>
            </w:pPr>
            <w:r w:rsidRPr="001455DC">
              <w:t>times slab thickness;</w:t>
            </w:r>
          </w:p>
        </w:tc>
      </w:tr>
      <w:tr w:rsidR="00B13DC5" w:rsidRPr="001455DC" w14:paraId="4A781002" w14:textId="77777777" w:rsidTr="00B13DC5">
        <w:trPr>
          <w:cantSplit/>
        </w:trPr>
        <w:tc>
          <w:tcPr>
            <w:tcW w:w="1701" w:type="dxa"/>
            <w:vAlign w:val="center"/>
          </w:tcPr>
          <w:p w14:paraId="1E755891" w14:textId="75483754" w:rsidR="00B13DC5" w:rsidRPr="001455DC" w:rsidRDefault="00231E33" w:rsidP="00C3572F">
            <w:pPr>
              <w:pStyle w:val="Formula"/>
              <w:jc w:val="left"/>
            </w:pPr>
            <m:oMathPara>
              <m:oMathParaPr>
                <m:jc m:val="left"/>
              </m:oMathParaPr>
              <m:oMath>
                <m:sSub>
                  <m:sSubPr>
                    <m:ctrlPr>
                      <w:rPr>
                        <w:rFonts w:ascii="Cambria Math" w:hAnsi="Cambria Math"/>
                      </w:rPr>
                    </m:ctrlPr>
                  </m:sSubPr>
                  <m:e>
                    <m:r>
                      <w:rPr>
                        <w:rFonts w:ascii="Cambria Math" w:hAnsi="Cambria Math"/>
                      </w:rPr>
                      <m:t>a</m:t>
                    </m:r>
                  </m:e>
                  <m:sub>
                    <m:r>
                      <m:rPr>
                        <m:sty m:val="p"/>
                      </m:rPr>
                      <w:rPr>
                        <w:rFonts w:ascii="Cambria Math" w:hAnsi="Cambria Math"/>
                      </w:rPr>
                      <m:t>f,max</m:t>
                    </m:r>
                  </m:sub>
                </m:sSub>
                <m:r>
                  <w:rPr>
                    <w:rFonts w:ascii="Cambria Math" w:hAnsi="Cambria Math"/>
                  </w:rPr>
                  <m:t>≤0,4</m:t>
                </m:r>
              </m:oMath>
            </m:oMathPara>
          </w:p>
        </w:tc>
        <w:tc>
          <w:tcPr>
            <w:tcW w:w="8051" w:type="dxa"/>
          </w:tcPr>
          <w:p w14:paraId="16D37D3B" w14:textId="1EBA6A8D" w:rsidR="00B13DC5" w:rsidRPr="001455DC" w:rsidRDefault="00B13DC5" w:rsidP="00B13DC5">
            <w:pPr>
              <w:pStyle w:val="Tablebody"/>
              <w:jc w:val="left"/>
            </w:pPr>
            <w:r w:rsidRPr="001455DC">
              <w:t>times cantilever length.</w:t>
            </w:r>
          </w:p>
        </w:tc>
      </w:tr>
    </w:tbl>
    <w:p w14:paraId="2835C59C" w14:textId="77777777" w:rsidR="004E22C1" w:rsidRPr="001455DC" w:rsidRDefault="004E22C1" w:rsidP="002F26B9">
      <w:pPr>
        <w:pStyle w:val="a7"/>
      </w:pPr>
      <w:r w:rsidRPr="001455DC">
        <w:t>(2)</w:t>
      </w:r>
      <w:r w:rsidRPr="001455DC">
        <w:tab/>
        <w:t xml:space="preserve">The distance of the longitudinal edge of the strip from the member edge should be at least equivalent to the nominal concrete cover </w:t>
      </w:r>
      <m:oMath>
        <m:sSub>
          <m:sSubPr>
            <m:ctrlPr>
              <w:rPr>
                <w:rFonts w:ascii="Cambria Math" w:hAnsi="Cambria Math"/>
              </w:rPr>
            </m:ctrlPr>
          </m:sSubPr>
          <m:e>
            <m:r>
              <m:rPr>
                <m:sty m:val="p"/>
              </m:rPr>
              <w:rPr>
                <w:rFonts w:ascii="Cambria Math" w:hAnsi="Cambria Math"/>
              </w:rPr>
              <m:t>c</m:t>
            </m:r>
          </m:e>
          <m:sub>
            <m:r>
              <m:rPr>
                <m:nor/>
              </m:rPr>
              <m:t>nom</m:t>
            </m:r>
          </m:sub>
        </m:sSub>
      </m:oMath>
      <w:r w:rsidRPr="001455DC">
        <w:t xml:space="preserve"> of the internal reinforcement.</w:t>
      </w:r>
    </w:p>
    <w:p w14:paraId="71BAE698" w14:textId="1A94D4F0" w:rsidR="002F26B9" w:rsidRPr="009D3012" w:rsidRDefault="002F26B9" w:rsidP="00243590">
      <w:pPr>
        <w:pStyle w:val="a3"/>
      </w:pPr>
      <w:bookmarkStart w:id="1995" w:name="_Toc54337723"/>
      <w:bookmarkStart w:id="1996" w:name="_Toc54338343"/>
      <w:bookmarkStart w:id="1997" w:name="_Toc52820295"/>
      <w:r w:rsidRPr="009D3012">
        <w:t>Flexural strengthening with NSM reinforcement bars</w:t>
      </w:r>
      <w:bookmarkEnd w:id="1995"/>
      <w:bookmarkEnd w:id="1996"/>
    </w:p>
    <w:bookmarkEnd w:id="1997"/>
    <w:p w14:paraId="15E4C568" w14:textId="77777777" w:rsidR="004E22C1" w:rsidRPr="001455DC" w:rsidRDefault="004E22C1" w:rsidP="002F26B9">
      <w:pPr>
        <w:pStyle w:val="a7"/>
      </w:pPr>
      <w:r w:rsidRPr="001455DC">
        <w:t>(1)</w:t>
      </w:r>
      <w:r w:rsidRPr="001455DC">
        <w:tab/>
        <w:t>Where slots are cut into the cover concrete for bonding of NSM CFRP systems, they should be located such that the cover is not adversely compromised when considering the accuracy of installation equipment along with adequate tolerance for installation.</w:t>
      </w:r>
    </w:p>
    <w:p w14:paraId="0475D5EA" w14:textId="77777777" w:rsidR="004E22C1" w:rsidRPr="001455DC" w:rsidRDefault="004E22C1" w:rsidP="002F26B9">
      <w:pPr>
        <w:pStyle w:val="a7"/>
      </w:pPr>
      <w:r w:rsidRPr="001455DC">
        <w:t>(2)</w:t>
      </w:r>
      <w:r w:rsidRPr="001455DC">
        <w:tab/>
        <w:t>The geometrical limits for slots and edge distances and spacing [mm], for NSM CFRP bars and strips shall be in accordance with Table (J.2).</w:t>
      </w:r>
    </w:p>
    <w:p w14:paraId="379C2F26" w14:textId="77777777" w:rsidR="004E22C1" w:rsidRPr="001455DC" w:rsidRDefault="004E22C1" w:rsidP="002F26B9">
      <w:pPr>
        <w:pStyle w:val="Tabletitle"/>
      </w:pPr>
      <w:bookmarkStart w:id="1998" w:name="_Toc54337724"/>
      <w:r w:rsidRPr="001455DC">
        <w:t>Table J.2 — Geometrical limits for slots and edge distances and spacing, in mm.</w:t>
      </w:r>
      <w:bookmarkEnd w:id="1998"/>
    </w:p>
    <w:tbl>
      <w:tblPr>
        <w:tblStyle w:val="53"/>
        <w:tblW w:w="9752" w:type="dxa"/>
        <w:tblLayout w:type="fixed"/>
        <w:tblLook w:val="0620" w:firstRow="1" w:lastRow="0" w:firstColumn="0" w:lastColumn="0" w:noHBand="1" w:noVBand="1"/>
      </w:tblPr>
      <w:tblGrid>
        <w:gridCol w:w="3323"/>
        <w:gridCol w:w="2113"/>
        <w:gridCol w:w="2113"/>
        <w:gridCol w:w="2203"/>
      </w:tblGrid>
      <w:tr w:rsidR="004E22C1" w:rsidRPr="001455DC" w14:paraId="52CE4383" w14:textId="77777777" w:rsidTr="00095EC1">
        <w:trPr>
          <w:cnfStyle w:val="100000000000" w:firstRow="1" w:lastRow="0" w:firstColumn="0" w:lastColumn="0" w:oddVBand="0" w:evenVBand="0" w:oddHBand="0" w:evenHBand="0" w:firstRowFirstColumn="0" w:firstRowLastColumn="0" w:lastRowFirstColumn="0" w:lastRowLastColumn="0"/>
          <w:cantSplit/>
          <w:tblHeader/>
        </w:trPr>
        <w:tc>
          <w:tcPr>
            <w:tcW w:w="3323" w:type="dxa"/>
          </w:tcPr>
          <w:p w14:paraId="7DC9A708" w14:textId="77777777" w:rsidR="004E22C1" w:rsidRPr="001455DC" w:rsidRDefault="004E22C1" w:rsidP="00F53DE5">
            <w:pPr>
              <w:pStyle w:val="Tableheader"/>
              <w:keepNext/>
            </w:pPr>
            <w:r w:rsidRPr="001455DC">
              <w:t>Geometrical limits</w:t>
            </w:r>
          </w:p>
        </w:tc>
        <w:tc>
          <w:tcPr>
            <w:tcW w:w="2113" w:type="dxa"/>
          </w:tcPr>
          <w:p w14:paraId="3C19E321" w14:textId="77777777" w:rsidR="004E22C1" w:rsidRPr="001455DC" w:rsidRDefault="004E22C1" w:rsidP="00F53DE5">
            <w:pPr>
              <w:pStyle w:val="Tableheader"/>
              <w:keepNext/>
            </w:pPr>
            <w:r w:rsidRPr="001455DC">
              <w:t>Square NSM CFRP bars</w:t>
            </w:r>
          </w:p>
        </w:tc>
        <w:tc>
          <w:tcPr>
            <w:tcW w:w="2113" w:type="dxa"/>
          </w:tcPr>
          <w:p w14:paraId="482B4154" w14:textId="77777777" w:rsidR="004E22C1" w:rsidRPr="001455DC" w:rsidRDefault="004E22C1" w:rsidP="00F53DE5">
            <w:pPr>
              <w:pStyle w:val="Tableheader"/>
              <w:keepNext/>
            </w:pPr>
            <w:r w:rsidRPr="001455DC">
              <w:t>Round NSM CFRP bars</w:t>
            </w:r>
          </w:p>
        </w:tc>
        <w:tc>
          <w:tcPr>
            <w:tcW w:w="2203" w:type="dxa"/>
          </w:tcPr>
          <w:p w14:paraId="3E761346" w14:textId="77777777" w:rsidR="004E22C1" w:rsidRPr="009D3012" w:rsidRDefault="004E22C1" w:rsidP="00F53DE5">
            <w:pPr>
              <w:pStyle w:val="Tableheader"/>
              <w:keepNext/>
              <w:rPr>
                <w:lang w:val="en-US"/>
              </w:rPr>
            </w:pPr>
            <w:r w:rsidRPr="009D3012">
              <w:rPr>
                <w:lang w:val="en-US"/>
              </w:rPr>
              <w:t>NSM CFRP bars or strips</w:t>
            </w:r>
          </w:p>
        </w:tc>
      </w:tr>
      <w:tr w:rsidR="00095EC1" w:rsidRPr="001455DC" w14:paraId="7FDBDCAE" w14:textId="77777777" w:rsidTr="009D3012">
        <w:trPr>
          <w:cantSplit/>
        </w:trPr>
        <w:tc>
          <w:tcPr>
            <w:tcW w:w="3323" w:type="dxa"/>
            <w:vAlign w:val="center"/>
          </w:tcPr>
          <w:p w14:paraId="4E00E5AF" w14:textId="217F2E3B" w:rsidR="00095EC1" w:rsidRPr="009D3012" w:rsidRDefault="00095EC1" w:rsidP="00095EC1">
            <w:pPr>
              <w:pStyle w:val="Tablebody"/>
              <w:keepNext/>
              <w:jc w:val="left"/>
              <w:rPr>
                <w:lang w:val="en-US"/>
              </w:rPr>
            </w:pPr>
            <w:r w:rsidRPr="009D3012">
              <w:rPr>
                <w:lang w:val="en-US"/>
              </w:rPr>
              <w:t xml:space="preserve">The slot width </w:t>
            </w:r>
            <m:oMath>
              <m:sSub>
                <m:sSubPr>
                  <m:ctrlPr>
                    <w:rPr>
                      <w:rFonts w:ascii="Cambria Math" w:hAnsi="Cambria Math"/>
                    </w:rPr>
                  </m:ctrlPr>
                </m:sSubPr>
                <m:e>
                  <m:r>
                    <w:rPr>
                      <w:rFonts w:ascii="Cambria Math" w:hAnsi="Cambria Math"/>
                    </w:rPr>
                    <m:t>b</m:t>
                  </m:r>
                </m:e>
                <m:sub>
                  <m:r>
                    <m:rPr>
                      <m:sty m:val="p"/>
                    </m:rPr>
                    <w:rPr>
                      <w:rFonts w:ascii="Cambria Math" w:hAnsi="Cambria Math"/>
                      <w:lang w:val="en-US"/>
                    </w:rPr>
                    <m:t>slot</m:t>
                  </m:r>
                </m:sub>
              </m:sSub>
            </m:oMath>
            <w:r w:rsidRPr="009D3012">
              <w:rPr>
                <w:lang w:val="en-US"/>
              </w:rPr>
              <w:t xml:space="preserve"> [mm]</w:t>
            </w:r>
          </w:p>
        </w:tc>
        <w:tc>
          <w:tcPr>
            <w:tcW w:w="2113" w:type="dxa"/>
            <w:vAlign w:val="center"/>
          </w:tcPr>
          <w:p w14:paraId="0A974925" w14:textId="220E6E56" w:rsidR="00095EC1" w:rsidRPr="009D3012" w:rsidRDefault="00231E33" w:rsidP="00095EC1">
            <w:pPr>
              <w:pStyle w:val="Tablebody"/>
              <w:keepNext/>
              <w:jc w:val="center"/>
              <w:rPr>
                <w:lang w:val="en-US"/>
              </w:rPr>
            </w:pPr>
            <m:oMathPara>
              <m:oMathParaPr>
                <m:jc m:val="center"/>
              </m:oMathParaPr>
              <m:oMath>
                <m:sSub>
                  <m:sSubPr>
                    <m:ctrlPr>
                      <w:rPr>
                        <w:rFonts w:ascii="Cambria Math" w:hAnsi="Cambria Math"/>
                      </w:rPr>
                    </m:ctrlPr>
                  </m:sSubPr>
                  <m:e>
                    <m:r>
                      <w:rPr>
                        <w:rFonts w:ascii="Cambria Math" w:hAnsi="Cambria Math"/>
                      </w:rPr>
                      <m:t>t</m:t>
                    </m:r>
                  </m:e>
                  <m:sub>
                    <m:r>
                      <m:rPr>
                        <m:sty m:val="p"/>
                      </m:rPr>
                      <w:rPr>
                        <w:rFonts w:ascii="Cambria Math" w:hAnsi="Cambria Math"/>
                        <w:lang w:val="en-US"/>
                      </w:rPr>
                      <m:t>f</m:t>
                    </m:r>
                  </m:sub>
                </m:sSub>
                <m:r>
                  <w:rPr>
                    <w:rFonts w:ascii="Cambria Math" w:hAnsi="Cambria Math"/>
                    <w:lang w:val="en-US"/>
                  </w:rPr>
                  <m:t xml:space="preserve">+2 </m:t>
                </m:r>
                <m:r>
                  <m:rPr>
                    <m:nor/>
                  </m:rPr>
                  <w:rPr>
                    <w:rFonts w:ascii="Cambria Math" w:hAnsi="Cambria Math"/>
                    <w:lang w:val="en-US"/>
                  </w:rPr>
                  <m:t>mm</m:t>
                </m:r>
                <m:r>
                  <w:rPr>
                    <w:rFonts w:ascii="Cambria Math" w:hAnsi="Cambria Math"/>
                    <w:lang w:val="en-US"/>
                  </w:rPr>
                  <m:t>≤</m:t>
                </m:r>
                <m:r>
                  <m:rPr>
                    <m:sty m:val="p"/>
                  </m:rPr>
                  <w:rPr>
                    <w:rFonts w:ascii="Cambria Math" w:hAnsi="Cambria Math"/>
                    <w:lang w:val="en-US"/>
                  </w:rPr>
                  <w:br/>
                </m:r>
              </m:oMath>
              <m:oMath>
                <m:sSub>
                  <m:sSubPr>
                    <m:ctrlPr>
                      <w:rPr>
                        <w:rFonts w:ascii="Cambria Math" w:hAnsi="Cambria Math"/>
                      </w:rPr>
                    </m:ctrlPr>
                  </m:sSubPr>
                  <m:e>
                    <m:r>
                      <w:rPr>
                        <w:rFonts w:ascii="Cambria Math" w:hAnsi="Cambria Math"/>
                      </w:rPr>
                      <m:t>b</m:t>
                    </m:r>
                  </m:e>
                  <m:sub>
                    <m:r>
                      <m:rPr>
                        <m:sty m:val="p"/>
                      </m:rPr>
                      <w:rPr>
                        <w:rFonts w:ascii="Cambria Math" w:hAnsi="Cambria Math"/>
                        <w:lang w:val="en-US"/>
                      </w:rPr>
                      <m:t>slot</m:t>
                    </m:r>
                  </m:sub>
                </m:sSub>
                <m:r>
                  <w:rPr>
                    <w:rFonts w:ascii="Cambria Math" w:hAnsi="Cambria Math"/>
                    <w:lang w:val="en-US"/>
                  </w:rPr>
                  <m:t>≤</m:t>
                </m:r>
                <m:sSub>
                  <m:sSubPr>
                    <m:ctrlPr>
                      <w:rPr>
                        <w:rFonts w:ascii="Cambria Math" w:hAnsi="Cambria Math"/>
                      </w:rPr>
                    </m:ctrlPr>
                  </m:sSubPr>
                  <m:e>
                    <m:r>
                      <w:rPr>
                        <w:rFonts w:ascii="Cambria Math" w:hAnsi="Cambria Math"/>
                      </w:rPr>
                      <m:t>t</m:t>
                    </m:r>
                  </m:e>
                  <m:sub>
                    <m:r>
                      <m:rPr>
                        <m:sty m:val="p"/>
                      </m:rPr>
                      <w:rPr>
                        <w:rFonts w:ascii="Cambria Math" w:hAnsi="Cambria Math"/>
                        <w:lang w:val="en-US"/>
                      </w:rPr>
                      <m:t>f</m:t>
                    </m:r>
                  </m:sub>
                </m:sSub>
                <m:r>
                  <w:rPr>
                    <w:rFonts w:ascii="Cambria Math" w:hAnsi="Cambria Math"/>
                    <w:lang w:val="en-US"/>
                  </w:rPr>
                  <m:t xml:space="preserve">+4 </m:t>
                </m:r>
                <m:r>
                  <m:rPr>
                    <m:nor/>
                  </m:rPr>
                  <w:rPr>
                    <w:rFonts w:ascii="Cambria Math" w:hAnsi="Cambria Math"/>
                    <w:lang w:val="en-US"/>
                  </w:rPr>
                  <m:t>mm</m:t>
                </m:r>
              </m:oMath>
            </m:oMathPara>
          </w:p>
        </w:tc>
        <w:tc>
          <w:tcPr>
            <w:tcW w:w="2113" w:type="dxa"/>
            <w:vAlign w:val="center"/>
          </w:tcPr>
          <w:p w14:paraId="1FE29256" w14:textId="36066555" w:rsidR="00095EC1" w:rsidRPr="009D3012" w:rsidRDefault="00231E33" w:rsidP="00095EC1">
            <w:pPr>
              <w:pStyle w:val="Tablebody"/>
              <w:keepNext/>
              <w:jc w:val="center"/>
              <w:rPr>
                <w:lang w:val="en-US"/>
              </w:rPr>
            </w:pPr>
            <m:oMathPara>
              <m:oMathParaPr>
                <m:jc m:val="center"/>
              </m:oMathParaPr>
              <m:oMath>
                <m:sSub>
                  <m:sSubPr>
                    <m:ctrlPr>
                      <w:rPr>
                        <w:rFonts w:ascii="Cambria Math" w:hAnsi="Cambria Math"/>
                      </w:rPr>
                    </m:ctrlPr>
                  </m:sSubPr>
                  <m:e>
                    <m:r>
                      <w:rPr>
                        <w:rFonts w:ascii="Cambria Math" w:hAnsi="Cambria Math"/>
                        <w:lang w:val="en-US"/>
                      </w:rPr>
                      <m:t>∅</m:t>
                    </m:r>
                  </m:e>
                  <m:sub>
                    <m:r>
                      <m:rPr>
                        <m:sty m:val="p"/>
                      </m:rPr>
                      <w:rPr>
                        <w:rFonts w:ascii="Cambria Math" w:hAnsi="Cambria Math"/>
                        <w:lang w:val="en-US"/>
                      </w:rPr>
                      <m:t>s</m:t>
                    </m:r>
                  </m:sub>
                </m:sSub>
                <m:r>
                  <w:rPr>
                    <w:rFonts w:ascii="Cambria Math" w:hAnsi="Cambria Math"/>
                    <w:lang w:val="en-US"/>
                  </w:rPr>
                  <m:t>+</m:t>
                </m:r>
                <m:r>
                  <m:rPr>
                    <m:nor/>
                  </m:rPr>
                  <w:rPr>
                    <w:rFonts w:ascii="Cambria Math" w:hAnsi="Cambria Math"/>
                    <w:lang w:val="en-US"/>
                  </w:rPr>
                  <m:t>2 mm</m:t>
                </m:r>
                <m:r>
                  <w:rPr>
                    <w:rFonts w:ascii="Cambria Math" w:hAnsi="Cambria Math"/>
                    <w:lang w:val="en-US"/>
                  </w:rPr>
                  <m:t>≤</m:t>
                </m:r>
                <m:r>
                  <m:rPr>
                    <m:sty m:val="p"/>
                  </m:rPr>
                  <w:rPr>
                    <w:rFonts w:ascii="Cambria Math" w:hAnsi="Cambria Math"/>
                    <w:lang w:val="en-US"/>
                  </w:rPr>
                  <w:br/>
                </m:r>
              </m:oMath>
              <m:oMath>
                <m:sSub>
                  <m:sSubPr>
                    <m:ctrlPr>
                      <w:rPr>
                        <w:rFonts w:ascii="Cambria Math" w:hAnsi="Cambria Math"/>
                      </w:rPr>
                    </m:ctrlPr>
                  </m:sSubPr>
                  <m:e>
                    <m:r>
                      <w:rPr>
                        <w:rFonts w:ascii="Cambria Math" w:hAnsi="Cambria Math"/>
                      </w:rPr>
                      <m:t>b</m:t>
                    </m:r>
                  </m:e>
                  <m:sub>
                    <m:r>
                      <m:rPr>
                        <m:sty m:val="p"/>
                      </m:rPr>
                      <w:rPr>
                        <w:rFonts w:ascii="Cambria Math" w:hAnsi="Cambria Math"/>
                        <w:lang w:val="en-US"/>
                      </w:rPr>
                      <m:t>slot</m:t>
                    </m:r>
                  </m:sub>
                </m:sSub>
                <m:r>
                  <w:rPr>
                    <w:rFonts w:ascii="Cambria Math" w:hAnsi="Cambria Math"/>
                    <w:lang w:val="en-US"/>
                  </w:rPr>
                  <m:t>≤</m:t>
                </m:r>
                <m:sSub>
                  <m:sSubPr>
                    <m:ctrlPr>
                      <w:rPr>
                        <w:rFonts w:ascii="Cambria Math" w:hAnsi="Cambria Math"/>
                      </w:rPr>
                    </m:ctrlPr>
                  </m:sSubPr>
                  <m:e>
                    <m:r>
                      <w:rPr>
                        <w:rFonts w:ascii="Cambria Math" w:hAnsi="Cambria Math"/>
                        <w:lang w:val="en-US"/>
                      </w:rPr>
                      <m:t>∅</m:t>
                    </m:r>
                  </m:e>
                  <m:sub>
                    <m:r>
                      <m:rPr>
                        <m:sty m:val="p"/>
                      </m:rPr>
                      <w:rPr>
                        <w:rFonts w:ascii="Cambria Math" w:hAnsi="Cambria Math"/>
                        <w:lang w:val="en-US"/>
                      </w:rPr>
                      <m:t>s</m:t>
                    </m:r>
                  </m:sub>
                </m:sSub>
                <m:r>
                  <w:rPr>
                    <w:rFonts w:ascii="Cambria Math" w:hAnsi="Cambria Math"/>
                    <w:lang w:val="en-US"/>
                  </w:rPr>
                  <m:t>+</m:t>
                </m:r>
                <m:r>
                  <m:rPr>
                    <m:nor/>
                  </m:rPr>
                  <w:rPr>
                    <w:rFonts w:ascii="Cambria Math" w:hAnsi="Cambria Math"/>
                    <w:lang w:val="en-US"/>
                  </w:rPr>
                  <m:t>4 mm</m:t>
                </m:r>
              </m:oMath>
            </m:oMathPara>
          </w:p>
        </w:tc>
        <w:tc>
          <w:tcPr>
            <w:tcW w:w="2203" w:type="dxa"/>
            <w:vAlign w:val="center"/>
          </w:tcPr>
          <w:p w14:paraId="5214B7CC" w14:textId="5AB9C0A5" w:rsidR="00095EC1" w:rsidRPr="001455DC" w:rsidRDefault="00095EC1">
            <w:pPr>
              <w:pStyle w:val="Tablebody"/>
              <w:keepNext/>
              <w:jc w:val="center"/>
            </w:pPr>
            <w:r w:rsidRPr="001455DC">
              <w:t>—</w:t>
            </w:r>
          </w:p>
        </w:tc>
      </w:tr>
      <w:tr w:rsidR="00095EC1" w:rsidRPr="001455DC" w14:paraId="6799A4E1" w14:textId="77777777" w:rsidTr="009D3012">
        <w:trPr>
          <w:cantSplit/>
        </w:trPr>
        <w:tc>
          <w:tcPr>
            <w:tcW w:w="3323" w:type="dxa"/>
            <w:vAlign w:val="center"/>
          </w:tcPr>
          <w:p w14:paraId="30ADFBAB" w14:textId="2ABCE062" w:rsidR="00095EC1" w:rsidRPr="009D3012" w:rsidRDefault="00095EC1" w:rsidP="00095EC1">
            <w:pPr>
              <w:pStyle w:val="Tablebody"/>
              <w:keepNext/>
              <w:jc w:val="left"/>
              <w:rPr>
                <w:lang w:val="en-US"/>
              </w:rPr>
            </w:pPr>
            <w:r w:rsidRPr="009D3012">
              <w:rPr>
                <w:lang w:val="en-US"/>
              </w:rPr>
              <w:t xml:space="preserve">The slot depth </w:t>
            </w:r>
            <m:oMath>
              <m:sSub>
                <m:sSubPr>
                  <m:ctrlPr>
                    <w:rPr>
                      <w:rFonts w:ascii="Cambria Math" w:hAnsi="Cambria Math"/>
                    </w:rPr>
                  </m:ctrlPr>
                </m:sSubPr>
                <m:e>
                  <m:r>
                    <w:rPr>
                      <w:rFonts w:ascii="Cambria Math" w:hAnsi="Cambria Math"/>
                    </w:rPr>
                    <m:t>t</m:t>
                  </m:r>
                </m:e>
                <m:sub>
                  <m:r>
                    <m:rPr>
                      <m:nor/>
                    </m:rPr>
                    <w:rPr>
                      <w:lang w:val="en-US"/>
                    </w:rPr>
                    <m:t>slot</m:t>
                  </m:r>
                </m:sub>
              </m:sSub>
            </m:oMath>
            <w:r w:rsidRPr="009D3012">
              <w:rPr>
                <w:lang w:val="en-US"/>
              </w:rPr>
              <w:t xml:space="preserve"> [mm]</w:t>
            </w:r>
          </w:p>
        </w:tc>
        <w:tc>
          <w:tcPr>
            <w:tcW w:w="2113" w:type="dxa"/>
            <w:vAlign w:val="center"/>
          </w:tcPr>
          <w:p w14:paraId="7EDAC86B" w14:textId="3B288FB4" w:rsidR="00095EC1" w:rsidRPr="009D3012" w:rsidRDefault="00231E33" w:rsidP="00095EC1">
            <w:pPr>
              <w:pStyle w:val="Tablebody"/>
              <w:keepNext/>
              <w:jc w:val="center"/>
              <w:rPr>
                <w:lang w:val="en-US"/>
              </w:rPr>
            </w:pPr>
            <m:oMathPara>
              <m:oMathParaPr>
                <m:jc m:val="center"/>
              </m:oMathParaPr>
              <m:oMath>
                <m:sSub>
                  <m:sSubPr>
                    <m:ctrlPr>
                      <w:rPr>
                        <w:rFonts w:ascii="Cambria Math" w:hAnsi="Cambria Math"/>
                      </w:rPr>
                    </m:ctrlPr>
                  </m:sSubPr>
                  <m:e>
                    <m:r>
                      <w:rPr>
                        <w:rFonts w:ascii="Cambria Math" w:hAnsi="Cambria Math"/>
                      </w:rPr>
                      <m:t>b</m:t>
                    </m:r>
                  </m:e>
                  <m:sub>
                    <m:r>
                      <m:rPr>
                        <m:sty m:val="p"/>
                      </m:rPr>
                      <w:rPr>
                        <w:rFonts w:ascii="Cambria Math" w:hAnsi="Cambria Math"/>
                        <w:lang w:val="en-US"/>
                      </w:rPr>
                      <m:t>f</m:t>
                    </m:r>
                  </m:sub>
                </m:sSub>
                <m:r>
                  <w:rPr>
                    <w:rFonts w:ascii="Cambria Math" w:hAnsi="Cambria Math"/>
                    <w:lang w:val="en-US"/>
                  </w:rPr>
                  <m:t xml:space="preserve">+1 </m:t>
                </m:r>
                <m:r>
                  <m:rPr>
                    <m:nor/>
                  </m:rPr>
                  <w:rPr>
                    <w:rFonts w:ascii="Cambria Math" w:hAnsi="Cambria Math"/>
                    <w:lang w:val="en-US"/>
                  </w:rPr>
                  <m:t>mm</m:t>
                </m:r>
                <m:r>
                  <w:rPr>
                    <w:rFonts w:ascii="Cambria Math" w:hAnsi="Cambria Math"/>
                    <w:lang w:val="en-US"/>
                  </w:rPr>
                  <m:t>≤</m:t>
                </m:r>
                <m:sSub>
                  <m:sSubPr>
                    <m:ctrlPr>
                      <w:rPr>
                        <w:rFonts w:ascii="Cambria Math" w:hAnsi="Cambria Math"/>
                      </w:rPr>
                    </m:ctrlPr>
                  </m:sSubPr>
                  <m:e>
                    <m:r>
                      <w:rPr>
                        <w:rFonts w:ascii="Cambria Math" w:hAnsi="Cambria Math"/>
                      </w:rPr>
                      <m:t>t</m:t>
                    </m:r>
                  </m:e>
                  <m:sub>
                    <m:r>
                      <m:rPr>
                        <m:sty m:val="p"/>
                      </m:rPr>
                      <w:rPr>
                        <w:rFonts w:ascii="Cambria Math" w:hAnsi="Cambria Math"/>
                        <w:lang w:val="en-US"/>
                      </w:rPr>
                      <m:t>slot</m:t>
                    </m:r>
                  </m:sub>
                </m:sSub>
                <m:r>
                  <m:rPr>
                    <m:sty m:val="p"/>
                  </m:rPr>
                  <w:rPr>
                    <w:rFonts w:ascii="Cambria Math" w:hAnsi="Cambria Math"/>
                    <w:lang w:val="en-US"/>
                  </w:rPr>
                  <w:br/>
                </m:r>
              </m:oMath>
              <m:oMath>
                <m:r>
                  <w:rPr>
                    <w:rFonts w:ascii="Cambria Math" w:hAnsi="Cambria Math"/>
                    <w:lang w:val="en-US"/>
                  </w:rPr>
                  <m:t>≤</m:t>
                </m:r>
                <m:sSub>
                  <m:sSubPr>
                    <m:ctrlPr>
                      <w:rPr>
                        <w:rFonts w:ascii="Cambria Math" w:hAnsi="Cambria Math"/>
                      </w:rPr>
                    </m:ctrlPr>
                  </m:sSubPr>
                  <m:e>
                    <m:r>
                      <w:rPr>
                        <w:rFonts w:ascii="Cambria Math" w:hAnsi="Cambria Math"/>
                      </w:rPr>
                      <m:t>b</m:t>
                    </m:r>
                  </m:e>
                  <m:sub>
                    <m:r>
                      <m:rPr>
                        <m:sty m:val="p"/>
                      </m:rPr>
                      <w:rPr>
                        <w:rFonts w:ascii="Cambria Math" w:hAnsi="Cambria Math"/>
                        <w:lang w:val="en-US"/>
                      </w:rPr>
                      <m:t>f</m:t>
                    </m:r>
                  </m:sub>
                </m:sSub>
                <m:r>
                  <w:rPr>
                    <w:rFonts w:ascii="Cambria Math" w:hAnsi="Cambria Math"/>
                    <w:lang w:val="en-US"/>
                  </w:rPr>
                  <m:t xml:space="preserve">+2 </m:t>
                </m:r>
                <m:r>
                  <m:rPr>
                    <m:nor/>
                  </m:rPr>
                  <w:rPr>
                    <w:rFonts w:ascii="Cambria Math" w:hAnsi="Cambria Math"/>
                    <w:lang w:val="en-US"/>
                  </w:rPr>
                  <m:t>mm</m:t>
                </m:r>
                <m:r>
                  <m:rPr>
                    <m:sty m:val="p"/>
                  </m:rPr>
                  <w:rPr>
                    <w:rFonts w:ascii="Cambria Math" w:hAnsi="Cambria Math"/>
                    <w:lang w:val="en-US"/>
                  </w:rPr>
                  <w:br/>
                </m:r>
              </m:oMath>
              <m:oMath>
                <m:sSub>
                  <m:sSubPr>
                    <m:ctrlPr>
                      <w:rPr>
                        <w:rFonts w:ascii="Cambria Math" w:hAnsi="Cambria Math"/>
                      </w:rPr>
                    </m:ctrlPr>
                  </m:sSubPr>
                  <m:e>
                    <m:r>
                      <w:rPr>
                        <w:rFonts w:ascii="Cambria Math" w:hAnsi="Cambria Math"/>
                      </w:rPr>
                      <m:t>t</m:t>
                    </m:r>
                  </m:e>
                  <m:sub>
                    <m:r>
                      <m:rPr>
                        <m:sty m:val="p"/>
                      </m:rPr>
                      <w:rPr>
                        <w:rFonts w:ascii="Cambria Math" w:hAnsi="Cambria Math"/>
                        <w:lang w:val="en-US"/>
                      </w:rPr>
                      <m:t>f</m:t>
                    </m:r>
                  </m:sub>
                </m:sSub>
                <m:r>
                  <w:rPr>
                    <w:rFonts w:ascii="Cambria Math" w:hAnsi="Cambria Math"/>
                    <w:lang w:val="en-US"/>
                  </w:rPr>
                  <m:t>≤</m:t>
                </m:r>
                <m:sSub>
                  <m:sSubPr>
                    <m:ctrlPr>
                      <w:rPr>
                        <w:rFonts w:ascii="Cambria Math" w:hAnsi="Cambria Math"/>
                      </w:rPr>
                    </m:ctrlPr>
                  </m:sSubPr>
                  <m:e>
                    <m:r>
                      <w:rPr>
                        <w:rFonts w:ascii="Cambria Math" w:hAnsi="Cambria Math"/>
                      </w:rPr>
                      <m:t>b</m:t>
                    </m:r>
                  </m:e>
                  <m:sub>
                    <m:r>
                      <m:rPr>
                        <m:sty m:val="p"/>
                      </m:rPr>
                      <w:rPr>
                        <w:rFonts w:ascii="Cambria Math" w:hAnsi="Cambria Math"/>
                        <w:lang w:val="en-US"/>
                      </w:rPr>
                      <m:t>f</m:t>
                    </m:r>
                  </m:sub>
                </m:sSub>
              </m:oMath>
            </m:oMathPara>
          </w:p>
        </w:tc>
        <w:tc>
          <w:tcPr>
            <w:tcW w:w="2113" w:type="dxa"/>
            <w:vAlign w:val="center"/>
          </w:tcPr>
          <w:p w14:paraId="1CB70856" w14:textId="3E8D6CAC" w:rsidR="00095EC1" w:rsidRPr="009D3012" w:rsidRDefault="00231E33" w:rsidP="00095EC1">
            <w:pPr>
              <w:pStyle w:val="Tablebody"/>
              <w:keepNext/>
              <w:jc w:val="center"/>
              <w:rPr>
                <w:lang w:val="en-US"/>
              </w:rPr>
            </w:pPr>
            <m:oMathPara>
              <m:oMathParaPr>
                <m:jc m:val="center"/>
              </m:oMathParaPr>
              <m:oMath>
                <m:sSub>
                  <m:sSubPr>
                    <m:ctrlPr>
                      <w:rPr>
                        <w:rFonts w:ascii="Cambria Math" w:hAnsi="Cambria Math"/>
                      </w:rPr>
                    </m:ctrlPr>
                  </m:sSubPr>
                  <m:e>
                    <m:r>
                      <w:rPr>
                        <w:rFonts w:ascii="Cambria Math" w:hAnsi="Cambria Math"/>
                        <w:lang w:val="en-US"/>
                      </w:rPr>
                      <m:t>∅</m:t>
                    </m:r>
                  </m:e>
                  <m:sub>
                    <m:r>
                      <w:rPr>
                        <w:rFonts w:ascii="Cambria Math" w:hAnsi="Cambria Math"/>
                      </w:rPr>
                      <m:t>s</m:t>
                    </m:r>
                  </m:sub>
                </m:sSub>
                <m:r>
                  <w:rPr>
                    <w:rFonts w:ascii="Cambria Math" w:hAnsi="Cambria Math"/>
                    <w:lang w:val="en-US"/>
                  </w:rPr>
                  <m:t>+</m:t>
                </m:r>
                <m:r>
                  <m:rPr>
                    <m:nor/>
                  </m:rPr>
                  <w:rPr>
                    <w:rFonts w:ascii="Cambria Math" w:hAnsi="Cambria Math"/>
                    <w:lang w:val="en-US"/>
                  </w:rPr>
                  <m:t>1 mm</m:t>
                </m:r>
                <m:r>
                  <w:rPr>
                    <w:rFonts w:ascii="Cambria Math" w:hAnsi="Cambria Math"/>
                    <w:lang w:val="en-US"/>
                  </w:rPr>
                  <m:t>≤</m:t>
                </m:r>
                <m:r>
                  <m:rPr>
                    <m:sty m:val="p"/>
                  </m:rPr>
                  <w:rPr>
                    <w:rFonts w:ascii="Cambria Math" w:hAnsi="Cambria Math"/>
                    <w:lang w:val="en-US"/>
                  </w:rPr>
                  <w:br/>
                </m:r>
              </m:oMath>
              <m:oMath>
                <m:sSub>
                  <m:sSubPr>
                    <m:ctrlPr>
                      <w:rPr>
                        <w:rFonts w:ascii="Cambria Math" w:hAnsi="Cambria Math"/>
                      </w:rPr>
                    </m:ctrlPr>
                  </m:sSubPr>
                  <m:e>
                    <m:r>
                      <w:rPr>
                        <w:rFonts w:ascii="Cambria Math" w:hAnsi="Cambria Math"/>
                      </w:rPr>
                      <m:t>t</m:t>
                    </m:r>
                  </m:e>
                  <m:sub>
                    <m:r>
                      <m:rPr>
                        <m:sty m:val="p"/>
                      </m:rPr>
                      <w:rPr>
                        <w:rFonts w:ascii="Cambria Math" w:hAnsi="Cambria Math"/>
                        <w:lang w:val="en-US"/>
                      </w:rPr>
                      <m:t>slot</m:t>
                    </m:r>
                  </m:sub>
                </m:sSub>
                <m:r>
                  <w:rPr>
                    <w:rFonts w:ascii="Cambria Math" w:hAnsi="Cambria Math"/>
                    <w:lang w:val="en-US"/>
                  </w:rPr>
                  <m:t>≤</m:t>
                </m:r>
                <m:sSub>
                  <m:sSubPr>
                    <m:ctrlPr>
                      <w:rPr>
                        <w:rFonts w:ascii="Cambria Math" w:hAnsi="Cambria Math"/>
                      </w:rPr>
                    </m:ctrlPr>
                  </m:sSubPr>
                  <m:e>
                    <m:r>
                      <w:rPr>
                        <w:rFonts w:ascii="Cambria Math" w:hAnsi="Cambria Math"/>
                        <w:lang w:val="en-US"/>
                      </w:rPr>
                      <m:t>∅</m:t>
                    </m:r>
                  </m:e>
                  <m:sub>
                    <m:r>
                      <m:rPr>
                        <m:sty m:val="p"/>
                      </m:rPr>
                      <w:rPr>
                        <w:rFonts w:ascii="Cambria Math" w:hAnsi="Cambria Math"/>
                        <w:lang w:val="en-US"/>
                      </w:rPr>
                      <m:t>s</m:t>
                    </m:r>
                  </m:sub>
                </m:sSub>
                <m:r>
                  <w:rPr>
                    <w:rFonts w:ascii="Cambria Math" w:hAnsi="Cambria Math"/>
                    <w:lang w:val="en-US"/>
                  </w:rPr>
                  <m:t xml:space="preserve">+1 </m:t>
                </m:r>
                <m:r>
                  <m:rPr>
                    <m:nor/>
                  </m:rPr>
                  <w:rPr>
                    <w:rFonts w:ascii="Cambria Math" w:hAnsi="Cambria Math"/>
                    <w:lang w:val="en-US"/>
                  </w:rPr>
                  <m:t>mm</m:t>
                </m:r>
              </m:oMath>
            </m:oMathPara>
          </w:p>
        </w:tc>
        <w:tc>
          <w:tcPr>
            <w:tcW w:w="2203" w:type="dxa"/>
            <w:vAlign w:val="center"/>
          </w:tcPr>
          <w:p w14:paraId="34C79486" w14:textId="23206265" w:rsidR="00095EC1" w:rsidRPr="001455DC" w:rsidRDefault="00095EC1">
            <w:pPr>
              <w:pStyle w:val="Tablebody"/>
              <w:keepNext/>
              <w:jc w:val="center"/>
            </w:pPr>
            <w:r w:rsidRPr="001455DC">
              <w:t>—</w:t>
            </w:r>
          </w:p>
        </w:tc>
      </w:tr>
      <w:tr w:rsidR="004E22C1" w:rsidRPr="001455DC" w14:paraId="4872553C" w14:textId="77777777" w:rsidTr="00095EC1">
        <w:trPr>
          <w:cantSplit/>
        </w:trPr>
        <w:tc>
          <w:tcPr>
            <w:tcW w:w="3323" w:type="dxa"/>
            <w:vAlign w:val="center"/>
          </w:tcPr>
          <w:p w14:paraId="0C574187" w14:textId="77777777" w:rsidR="004E22C1" w:rsidRPr="009D3012" w:rsidRDefault="004E22C1" w:rsidP="00F53DE5">
            <w:pPr>
              <w:pStyle w:val="Tablebody"/>
              <w:keepNext/>
              <w:jc w:val="left"/>
              <w:rPr>
                <w:lang w:val="en-US"/>
              </w:rPr>
            </w:pPr>
            <w:r w:rsidRPr="009D3012">
              <w:rPr>
                <w:lang w:val="en-US"/>
              </w:rPr>
              <w:t>Distance from slot to edge in accordance with Figure J.8</w:t>
            </w:r>
          </w:p>
        </w:tc>
        <w:tc>
          <w:tcPr>
            <w:tcW w:w="2113" w:type="dxa"/>
            <w:vAlign w:val="center"/>
          </w:tcPr>
          <w:p w14:paraId="0A79A034" w14:textId="06BCCA5C" w:rsidR="004E22C1" w:rsidRPr="001455DC" w:rsidRDefault="00231E33" w:rsidP="00F53DE5">
            <w:pPr>
              <w:pStyle w:val="Tablebody"/>
              <w:keepNext/>
              <w:jc w:val="center"/>
            </w:pPr>
            <m:oMathPara>
              <m:oMath>
                <m:sSub>
                  <m:sSubPr>
                    <m:ctrlPr>
                      <w:rPr>
                        <w:rFonts w:ascii="Cambria Math" w:hAnsi="Cambria Math"/>
                      </w:rPr>
                    </m:ctrlPr>
                  </m:sSubPr>
                  <m:e>
                    <m:r>
                      <w:rPr>
                        <w:rFonts w:ascii="Cambria Math" w:hAnsi="Cambria Math"/>
                      </w:rPr>
                      <m:t>a</m:t>
                    </m:r>
                  </m:e>
                  <m:sub>
                    <m:r>
                      <m:rPr>
                        <m:sty m:val="p"/>
                      </m:rPr>
                      <w:rPr>
                        <w:rFonts w:ascii="Cambria Math" w:hAnsi="Cambria Math"/>
                      </w:rPr>
                      <m:t>r</m:t>
                    </m:r>
                  </m:sub>
                </m:sSub>
                <m:r>
                  <w:rPr>
                    <w:rFonts w:ascii="Cambria Math" w:hAnsi="Cambria Math"/>
                  </w:rPr>
                  <m:t>≥4∙</m:t>
                </m:r>
                <m:sSub>
                  <m:sSubPr>
                    <m:ctrlPr>
                      <w:rPr>
                        <w:rFonts w:ascii="Cambria Math" w:hAnsi="Cambria Math"/>
                      </w:rPr>
                    </m:ctrlPr>
                  </m:sSubPr>
                  <m:e>
                    <m:r>
                      <w:rPr>
                        <w:rFonts w:ascii="Cambria Math" w:hAnsi="Cambria Math"/>
                      </w:rPr>
                      <m:t>b</m:t>
                    </m:r>
                  </m:e>
                  <m:sub>
                    <m:r>
                      <m:rPr>
                        <m:sty m:val="p"/>
                      </m:rPr>
                      <w:rPr>
                        <w:rFonts w:ascii="Cambria Math" w:hAnsi="Cambria Math"/>
                      </w:rPr>
                      <m:t>f</m:t>
                    </m:r>
                  </m:sub>
                </m:sSub>
              </m:oMath>
            </m:oMathPara>
          </w:p>
        </w:tc>
        <w:tc>
          <w:tcPr>
            <w:tcW w:w="2113" w:type="dxa"/>
            <w:vAlign w:val="center"/>
          </w:tcPr>
          <w:p w14:paraId="77039B4B" w14:textId="4B7F46A8" w:rsidR="004E22C1" w:rsidRPr="001455DC" w:rsidRDefault="00231E33" w:rsidP="00F53DE5">
            <w:pPr>
              <w:pStyle w:val="Tablebody"/>
              <w:keepNext/>
              <w:jc w:val="center"/>
            </w:pPr>
            <m:oMathPara>
              <m:oMath>
                <m:sSub>
                  <m:sSubPr>
                    <m:ctrlPr>
                      <w:rPr>
                        <w:rFonts w:ascii="Cambria Math" w:hAnsi="Cambria Math"/>
                      </w:rPr>
                    </m:ctrlPr>
                  </m:sSubPr>
                  <m:e>
                    <m:r>
                      <w:rPr>
                        <w:rFonts w:ascii="Cambria Math" w:hAnsi="Cambria Math"/>
                      </w:rPr>
                      <m:t>a</m:t>
                    </m:r>
                  </m:e>
                  <m:sub>
                    <m:r>
                      <m:rPr>
                        <m:sty m:val="p"/>
                      </m:rPr>
                      <w:rPr>
                        <w:rFonts w:ascii="Cambria Math" w:hAnsi="Cambria Math"/>
                      </w:rPr>
                      <m:t>r</m:t>
                    </m:r>
                  </m:sub>
                </m:sSub>
                <m:r>
                  <w:rPr>
                    <w:rFonts w:ascii="Cambria Math" w:hAnsi="Cambria Math"/>
                  </w:rPr>
                  <m:t>≥4∙</m:t>
                </m:r>
                <m:sSub>
                  <m:sSubPr>
                    <m:ctrlPr>
                      <w:rPr>
                        <w:rFonts w:ascii="Cambria Math" w:hAnsi="Cambria Math"/>
                      </w:rPr>
                    </m:ctrlPr>
                  </m:sSubPr>
                  <m:e>
                    <m:r>
                      <w:rPr>
                        <w:rFonts w:ascii="Cambria Math" w:hAnsi="Cambria Math"/>
                      </w:rPr>
                      <m:t>b</m:t>
                    </m:r>
                  </m:e>
                  <m:sub>
                    <m:r>
                      <m:rPr>
                        <m:sty m:val="p"/>
                      </m:rPr>
                      <w:rPr>
                        <w:rFonts w:ascii="Cambria Math" w:hAnsi="Cambria Math"/>
                      </w:rPr>
                      <m:t>f</m:t>
                    </m:r>
                  </m:sub>
                </m:sSub>
              </m:oMath>
            </m:oMathPara>
          </w:p>
        </w:tc>
        <w:tc>
          <w:tcPr>
            <w:tcW w:w="2203" w:type="dxa"/>
            <w:vAlign w:val="center"/>
          </w:tcPr>
          <w:p w14:paraId="6069731F" w14:textId="15A8B3F8" w:rsidR="004E22C1" w:rsidRPr="001455DC" w:rsidRDefault="00231E33" w:rsidP="00F53DE5">
            <w:pPr>
              <w:pStyle w:val="Tablebody"/>
              <w:keepNext/>
              <w:jc w:val="center"/>
            </w:pPr>
            <m:oMathPara>
              <m:oMath>
                <m:sSub>
                  <m:sSubPr>
                    <m:ctrlPr>
                      <w:rPr>
                        <w:rFonts w:ascii="Cambria Math" w:hAnsi="Cambria Math"/>
                      </w:rPr>
                    </m:ctrlPr>
                  </m:sSubPr>
                  <m:e>
                    <m:r>
                      <w:rPr>
                        <w:rFonts w:ascii="Cambria Math" w:hAnsi="Cambria Math"/>
                      </w:rPr>
                      <m:t>e</m:t>
                    </m:r>
                  </m:e>
                  <m:sub>
                    <m:r>
                      <m:rPr>
                        <m:sty m:val="p"/>
                      </m:rPr>
                      <w:rPr>
                        <w:rFonts w:ascii="Cambria Math" w:hAnsi="Cambria Math"/>
                      </w:rPr>
                      <m:t>f,min</m:t>
                    </m:r>
                  </m:sub>
                </m:sSub>
                <m:r>
                  <w:rPr>
                    <w:rFonts w:ascii="Cambria Math" w:hAnsi="Cambria Math"/>
                  </w:rPr>
                  <m:t>≥1,5∙</m:t>
                </m:r>
                <m:sSub>
                  <m:sSubPr>
                    <m:ctrlPr>
                      <w:rPr>
                        <w:rFonts w:ascii="Cambria Math" w:hAnsi="Cambria Math"/>
                      </w:rPr>
                    </m:ctrlPr>
                  </m:sSubPr>
                  <m:e>
                    <m:r>
                      <w:rPr>
                        <w:rFonts w:ascii="Cambria Math" w:hAnsi="Cambria Math"/>
                      </w:rPr>
                      <m:t>t</m:t>
                    </m:r>
                  </m:e>
                  <m:sub>
                    <m:r>
                      <m:rPr>
                        <m:sty m:val="p"/>
                      </m:rPr>
                      <w:rPr>
                        <w:rFonts w:ascii="Cambria Math" w:hAnsi="Cambria Math"/>
                      </w:rPr>
                      <m:t>slot</m:t>
                    </m:r>
                  </m:sub>
                </m:sSub>
              </m:oMath>
            </m:oMathPara>
          </w:p>
        </w:tc>
      </w:tr>
      <w:tr w:rsidR="00095EC1" w:rsidRPr="001455DC" w14:paraId="00506602" w14:textId="77777777" w:rsidTr="009D3012">
        <w:trPr>
          <w:cantSplit/>
        </w:trPr>
        <w:tc>
          <w:tcPr>
            <w:tcW w:w="3323" w:type="dxa"/>
            <w:vAlign w:val="center"/>
          </w:tcPr>
          <w:p w14:paraId="653CCAFE" w14:textId="026C991A" w:rsidR="00095EC1" w:rsidRPr="009D3012" w:rsidRDefault="00095EC1" w:rsidP="00095EC1">
            <w:pPr>
              <w:pStyle w:val="Tablebody"/>
              <w:jc w:val="left"/>
              <w:rPr>
                <w:lang w:val="en-US"/>
              </w:rPr>
            </w:pPr>
            <w:r w:rsidRPr="009D3012">
              <w:rPr>
                <w:lang w:val="en-US"/>
              </w:rPr>
              <w:t xml:space="preserve">The centre-to-centre spacing of adhesively bonded CFRP reinforcement </w:t>
            </w:r>
            <m:oMath>
              <m:sSub>
                <m:sSubPr>
                  <m:ctrlPr>
                    <w:rPr>
                      <w:rFonts w:ascii="Cambria Math" w:hAnsi="Cambria Math"/>
                    </w:rPr>
                  </m:ctrlPr>
                </m:sSubPr>
                <m:e>
                  <m:r>
                    <w:rPr>
                      <w:rFonts w:ascii="Cambria Math" w:hAnsi="Cambria Math"/>
                    </w:rPr>
                    <m:t>a</m:t>
                  </m:r>
                </m:e>
                <m:sub>
                  <m:r>
                    <m:rPr>
                      <m:nor/>
                    </m:rPr>
                    <w:rPr>
                      <w:lang w:val="en-US"/>
                    </w:rPr>
                    <m:t>f</m:t>
                  </m:r>
                </m:sub>
              </m:sSub>
            </m:oMath>
          </w:p>
        </w:tc>
        <w:tc>
          <w:tcPr>
            <w:tcW w:w="2113" w:type="dxa"/>
            <w:vAlign w:val="center"/>
          </w:tcPr>
          <w:p w14:paraId="68445733" w14:textId="2C6B781C" w:rsidR="00095EC1" w:rsidRPr="001455DC" w:rsidRDefault="00095EC1">
            <w:pPr>
              <w:pStyle w:val="Tablebody"/>
              <w:jc w:val="center"/>
            </w:pPr>
            <w:r w:rsidRPr="001455DC">
              <w:t>—</w:t>
            </w:r>
          </w:p>
        </w:tc>
        <w:tc>
          <w:tcPr>
            <w:tcW w:w="2113" w:type="dxa"/>
            <w:vAlign w:val="center"/>
          </w:tcPr>
          <w:p w14:paraId="20D23312" w14:textId="31EBA596" w:rsidR="00095EC1" w:rsidRPr="001455DC" w:rsidRDefault="00095EC1">
            <w:pPr>
              <w:pStyle w:val="Tablebody"/>
              <w:jc w:val="center"/>
            </w:pPr>
            <w:r w:rsidRPr="001455DC">
              <w:t>—</w:t>
            </w:r>
          </w:p>
        </w:tc>
        <w:tc>
          <w:tcPr>
            <w:tcW w:w="2203" w:type="dxa"/>
            <w:vAlign w:val="center"/>
          </w:tcPr>
          <w:p w14:paraId="59D29FFC" w14:textId="383EA76F" w:rsidR="00095EC1" w:rsidRPr="001455DC" w:rsidRDefault="00095EC1" w:rsidP="00095EC1">
            <w:pPr>
              <w:pStyle w:val="Tablebody"/>
              <w:jc w:val="center"/>
            </w:pPr>
            <m:oMathPara>
              <m:oMathParaPr>
                <m:jc m:val="center"/>
              </m:oMathParaPr>
              <m:oMath>
                <m:r>
                  <w:rPr>
                    <w:rFonts w:ascii="Cambria Math" w:hAnsi="Cambria Math"/>
                  </w:rPr>
                  <m:t>3∙</m:t>
                </m:r>
                <m:sSub>
                  <m:sSubPr>
                    <m:ctrlPr>
                      <w:rPr>
                        <w:rFonts w:ascii="Cambria Math" w:hAnsi="Cambria Math"/>
                      </w:rPr>
                    </m:ctrlPr>
                  </m:sSubPr>
                  <m:e>
                    <m:r>
                      <w:rPr>
                        <w:rFonts w:ascii="Cambria Math" w:hAnsi="Cambria Math"/>
                      </w:rPr>
                      <m:t>t</m:t>
                    </m:r>
                  </m:e>
                  <m:sub>
                    <m:r>
                      <m:rPr>
                        <m:sty m:val="p"/>
                      </m:rPr>
                      <w:rPr>
                        <w:rFonts w:ascii="Cambria Math" w:hAnsi="Cambria Math"/>
                      </w:rPr>
                      <m:t>slot</m:t>
                    </m:r>
                  </m:sub>
                </m:sSub>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f</m:t>
                    </m:r>
                  </m:sub>
                </m:sSub>
                <m:r>
                  <w:rPr>
                    <w:rFonts w:ascii="Cambria Math" w:hAnsi="Cambria Math"/>
                  </w:rPr>
                  <m:t>≤</m:t>
                </m:r>
                <m:r>
                  <m:rPr>
                    <m:sty m:val="p"/>
                  </m:rPr>
                  <w:br/>
                </m:r>
              </m:oMath>
              <m:oMath>
                <m:r>
                  <m:rPr>
                    <m:sty m:val="p"/>
                  </m:rPr>
                  <w:rPr>
                    <w:rFonts w:ascii="Cambria Math" w:hAnsi="Cambria Math"/>
                  </w:rPr>
                  <m:t>min</m:t>
                </m:r>
                <m:d>
                  <m:dPr>
                    <m:begChr m:val="{"/>
                    <m:endChr m:val="}"/>
                    <m:ctrlPr>
                      <w:rPr>
                        <w:rFonts w:ascii="Cambria Math" w:hAnsi="Cambria Math"/>
                      </w:rPr>
                    </m:ctrlPr>
                  </m:dPr>
                  <m:e>
                    <m:r>
                      <w:rPr>
                        <w:rFonts w:ascii="Cambria Math" w:hAnsi="Cambria Math"/>
                      </w:rPr>
                      <m:t>0,2∙</m:t>
                    </m:r>
                    <m:sSub>
                      <m:sSubPr>
                        <m:ctrlPr>
                          <w:rPr>
                            <w:rFonts w:ascii="Cambria Math" w:hAnsi="Cambria Math"/>
                          </w:rPr>
                        </m:ctrlPr>
                      </m:sSubPr>
                      <m:e>
                        <m:r>
                          <w:rPr>
                            <w:rFonts w:ascii="Cambria Math" w:hAnsi="Cambria Math"/>
                          </w:rPr>
                          <m:t>l</m:t>
                        </m:r>
                      </m:e>
                      <m:sub>
                        <m:r>
                          <m:rPr>
                            <m:sty m:val="p"/>
                          </m:rPr>
                          <w:rPr>
                            <w:rFonts w:ascii="Cambria Math" w:hAnsi="Cambria Math"/>
                          </w:rPr>
                          <m:t>0b</m:t>
                        </m:r>
                      </m:sub>
                    </m:sSub>
                    <m:r>
                      <w:rPr>
                        <w:rFonts w:ascii="Cambria Math" w:hAnsi="Cambria Math"/>
                      </w:rPr>
                      <m:t>;4∙</m:t>
                    </m:r>
                    <m:r>
                      <w:rPr>
                        <w:rFonts w:ascii="Cambria Math" w:hAnsi="Cambria Math"/>
                      </w:rPr>
                      <m:t>h</m:t>
                    </m:r>
                  </m:e>
                </m:d>
                <m:r>
                  <m:rPr>
                    <m:sty m:val="p"/>
                  </m:rPr>
                  <w:rPr>
                    <w:rFonts w:ascii="Cambria Math" w:hAnsi="Cambria Math"/>
                  </w:rPr>
                  <w:br/>
                </m:r>
              </m:oMath>
              <m:oMath>
                <m:sSub>
                  <m:sSubPr>
                    <m:ctrlPr>
                      <w:rPr>
                        <w:rFonts w:ascii="Cambria Math" w:hAnsi="Cambria Math"/>
                      </w:rPr>
                    </m:ctrlPr>
                  </m:sSubPr>
                  <m:e>
                    <m:r>
                      <w:rPr>
                        <w:rFonts w:ascii="Cambria Math" w:hAnsi="Cambria Math"/>
                      </w:rPr>
                      <m:t>l</m:t>
                    </m:r>
                  </m:e>
                  <m:sub>
                    <m:r>
                      <m:rPr>
                        <m:sty m:val="p"/>
                      </m:rPr>
                      <w:rPr>
                        <w:rFonts w:ascii="Cambria Math" w:hAnsi="Cambria Math"/>
                      </w:rPr>
                      <m:t>0b</m:t>
                    </m:r>
                  </m:sub>
                </m:sSub>
                <m:r>
                  <w:rPr>
                    <w:rFonts w:ascii="Cambria Math" w:hAnsi="Cambria Math"/>
                  </w:rPr>
                  <m:t>=2</m:t>
                </m:r>
                <m:sSub>
                  <m:sSubPr>
                    <m:ctrlPr>
                      <w:rPr>
                        <w:rFonts w:ascii="Cambria Math" w:hAnsi="Cambria Math"/>
                      </w:rPr>
                    </m:ctrlPr>
                  </m:sSubPr>
                  <m:e>
                    <m:r>
                      <w:rPr>
                        <w:rFonts w:ascii="Cambria Math" w:hAnsi="Cambria Math"/>
                      </w:rPr>
                      <m:t>∙l</m:t>
                    </m:r>
                  </m:e>
                  <m:sub>
                    <m:r>
                      <m:rPr>
                        <m:sty m:val="p"/>
                      </m:rPr>
                      <w:rPr>
                        <w:rFonts w:ascii="Cambria Math" w:hAnsi="Cambria Math"/>
                      </w:rPr>
                      <m:t>k</m:t>
                    </m:r>
                  </m:sub>
                </m:sSub>
              </m:oMath>
            </m:oMathPara>
          </w:p>
        </w:tc>
      </w:tr>
    </w:tbl>
    <w:p w14:paraId="27661DF0" w14:textId="77777777" w:rsidR="004E22C1" w:rsidRPr="001455DC" w:rsidRDefault="004E22C1" w:rsidP="00B13DC5">
      <w:pPr>
        <w:pStyle w:val="a7"/>
      </w:pPr>
    </w:p>
    <w:p w14:paraId="13975769" w14:textId="521A075A" w:rsidR="004E22C1" w:rsidRPr="001455DC" w:rsidRDefault="00723CF7" w:rsidP="00B13DC5">
      <w:pPr>
        <w:pStyle w:val="FigureImage"/>
      </w:pPr>
      <w:r>
        <w:rPr>
          <w:noProof/>
          <w:lang w:eastAsia="en-GB"/>
        </w:rPr>
        <w:fldChar w:fldCharType="begin"/>
      </w:r>
      <w:r>
        <w:rPr>
          <w:noProof/>
          <w:lang w:eastAsia="en-GB"/>
        </w:rPr>
        <w:instrText xml:space="preserve"> INCLUDEPICTURE  "Y:\\STD_MGT\\STDDEL\\PRODUCTION\\etrans\\Download\\Z_FIRST_DEL\\SV\\00250\\00250269\\41_e_dr\\j008.tif"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"Y:\\STD_MGT\\STDDEL\\PRODUCTION\\Standards\\00250\\269\\41_e_dr\\j008.tif"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"Y:\\STD_MGT\\STDDEL\\PRODUCTION\\Standards\\00250\\269\\41_e_dr\\j008.tif"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"Y:\\STD_MGT\\STDDEL\\PRODUCTION\\Standards\\00250\\269\\41_e_dr\\j008.tif"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"Y:\\STD_MGT\\STDDEL\\PRODUCTION\\Standards\\00250\\269\\41_e_dr\\j008.tif"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"Y:\\STD_MGT\\STDDEL\\PRODUCTION\\Standards\\00250\\269\\41_e_dr\\j008.tif"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w:instrText>
      </w:r>
      <w:r w:rsidR="00231E33">
        <w:rPr>
          <w:noProof/>
          <w:lang w:eastAsia="en-GB"/>
        </w:rPr>
        <w:instrText>p1_00250269_e_20210902.zip.zip\\41_e_dr\\j008.tif"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0ADF7E0A">
          <v:shape id="_x0000_i1321" type="#_x0000_t75" style="width:144.75pt;height:111.75pt">
            <v:imagedata r:id="rId612" r:href="rId613"/>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30010321" w14:textId="77777777" w:rsidR="004E22C1" w:rsidRPr="001455DC" w:rsidRDefault="004E22C1" w:rsidP="00B13DC5">
      <w:pPr>
        <w:pStyle w:val="Figuretitle"/>
      </w:pPr>
      <w:r w:rsidRPr="001455DC">
        <w:t>Figure J.8 — Edge distances in arrangement of strips on both sides of an edge</w:t>
      </w:r>
    </w:p>
    <w:p w14:paraId="31E1D45E" w14:textId="46B31BBF" w:rsidR="004E22C1" w:rsidRPr="001455DC" w:rsidRDefault="004E22C1" w:rsidP="00B13DC5">
      <w:pPr>
        <w:pStyle w:val="a7"/>
      </w:pPr>
      <w:r w:rsidRPr="001455DC">
        <w:t>(3)</w:t>
      </w:r>
      <w:r w:rsidRPr="001455DC">
        <w:tab/>
        <w:t>Near curved edges of slabs and beams with ABR CFRP bars, a minimum edge distance of 150 mm in the direction of centre of curvature should be maintained. For all other cases, the radius of curvature of the near surface mounted CFRP strips shall be at least 2</w:t>
      </w:r>
      <w:r w:rsidR="00B13DC5" w:rsidRPr="001455DC">
        <w:t> </w:t>
      </w:r>
      <w:r w:rsidRPr="001455DC">
        <w:t>m.</w:t>
      </w:r>
    </w:p>
    <w:p w14:paraId="3F9CE9A6" w14:textId="383C360C" w:rsidR="004E22C1" w:rsidRPr="009D3012" w:rsidRDefault="004E22C1" w:rsidP="00243590">
      <w:pPr>
        <w:pStyle w:val="a3"/>
      </w:pPr>
      <w:bookmarkStart w:id="1999" w:name="_Toc52820296"/>
      <w:bookmarkStart w:id="2000" w:name="_Toc54337725"/>
      <w:bookmarkStart w:id="2001" w:name="_Toc54338344"/>
      <w:r w:rsidRPr="009D3012">
        <w:t>Permissible mandrel diameters for bending of FRP</w:t>
      </w:r>
      <w:bookmarkEnd w:id="1999"/>
      <w:bookmarkEnd w:id="2000"/>
      <w:bookmarkEnd w:id="2001"/>
    </w:p>
    <w:p w14:paraId="01BC546F" w14:textId="7A2FB862" w:rsidR="004E22C1" w:rsidRPr="001455DC" w:rsidRDefault="004E22C1" w:rsidP="00B13DC5">
      <w:pPr>
        <w:pStyle w:val="a7"/>
      </w:pPr>
      <w:r w:rsidRPr="001455DC">
        <w:t>(1)</w:t>
      </w:r>
      <w:r w:rsidRPr="001455DC">
        <w:tab/>
        <w:t>Straight prefabricated ABR CFRP bars should not be designed to be arranged at a radius that is less than 1 000 times their thickness, unless stresses that arise from the bending process are considered in the design.</w:t>
      </w:r>
    </w:p>
    <w:p w14:paraId="1E6D7810" w14:textId="019D1C80" w:rsidR="00095EC1" w:rsidRPr="009D3012" w:rsidRDefault="00095EC1" w:rsidP="00243590">
      <w:pPr>
        <w:pStyle w:val="a3"/>
      </w:pPr>
      <w:r w:rsidRPr="009D3012">
        <w:t>Permissible layers of bonded CFRP sheets and strips</w:t>
      </w:r>
    </w:p>
    <w:p w14:paraId="13C179A5" w14:textId="496F73D3" w:rsidR="00095EC1" w:rsidRPr="001455DC" w:rsidRDefault="00095EC1" w:rsidP="00B13DC5">
      <w:pPr>
        <w:pStyle w:val="a7"/>
      </w:pPr>
      <w:r w:rsidRPr="001455DC">
        <w:t>(1) CF sheets shall be bonded in no more than five layers for flexural or shear strengthening and a maximum of ten layers for strengthening columns.</w:t>
      </w:r>
    </w:p>
    <w:p w14:paraId="53BB2F75" w14:textId="71C7944C" w:rsidR="00095EC1" w:rsidRPr="001455DC" w:rsidRDefault="00095EC1" w:rsidP="00B13DC5">
      <w:pPr>
        <w:pStyle w:val="a7"/>
        <w:rPr>
          <w:rFonts w:cs="Arial"/>
        </w:rPr>
      </w:pPr>
      <w:r w:rsidRPr="001455DC">
        <w:rPr>
          <w:rFonts w:cs="Arial"/>
        </w:rPr>
        <w:t>(2) CFRP strips shall be bonded in no more than two layers. The maximum thickness of the CFRP strip cross section excluding the adhesive shall not exceed 3 mm.</w:t>
      </w:r>
    </w:p>
    <w:p w14:paraId="10911AB4" w14:textId="56FF25C3" w:rsidR="00095EC1" w:rsidRPr="001455DC" w:rsidRDefault="00095EC1" w:rsidP="00B13DC5">
      <w:pPr>
        <w:pStyle w:val="a7"/>
      </w:pPr>
      <w:r w:rsidRPr="001455DC">
        <w:rPr>
          <w:rFonts w:cs="Arial"/>
        </w:rPr>
        <w:t>(3) No more than a single NSM strip or bar shall be bonded into one slot.</w:t>
      </w:r>
    </w:p>
    <w:p w14:paraId="30FFD29C" w14:textId="78F239EE" w:rsidR="004E22C1" w:rsidRPr="001455DC" w:rsidRDefault="004E22C1" w:rsidP="007A25BF">
      <w:pPr>
        <w:pStyle w:val="ANNEX"/>
        <w:numPr>
          <w:ilvl w:val="0"/>
          <w:numId w:val="0"/>
        </w:numPr>
      </w:pPr>
      <w:bookmarkStart w:id="2002" w:name="_Toc52820297"/>
      <w:bookmarkStart w:id="2003" w:name="_Toc54337196"/>
      <w:bookmarkStart w:id="2004" w:name="_Toc54337726"/>
      <w:bookmarkStart w:id="2005" w:name="_Toc54338345"/>
      <w:bookmarkStart w:id="2006" w:name="_Toc67565596"/>
      <w:bookmarkEnd w:id="1847"/>
      <w:r w:rsidRPr="001455DC">
        <w:t>Annex JA</w:t>
      </w:r>
      <w:r w:rsidR="007A25BF" w:rsidRPr="001455DC">
        <w:br/>
      </w:r>
      <w:r w:rsidRPr="001455DC">
        <w:rPr>
          <w:b w:val="0"/>
        </w:rPr>
        <w:t>(</w:t>
      </w:r>
      <w:r w:rsidR="00CA6522" w:rsidRPr="001455DC">
        <w:rPr>
          <w:b w:val="0"/>
        </w:rPr>
        <w:t>informative</w:t>
      </w:r>
      <w:r w:rsidRPr="001455DC">
        <w:rPr>
          <w:b w:val="0"/>
        </w:rPr>
        <w:t>)</w:t>
      </w:r>
      <w:r w:rsidR="007A25BF" w:rsidRPr="001455DC">
        <w:rPr>
          <w:b w:val="0"/>
        </w:rPr>
        <w:br/>
      </w:r>
      <w:r w:rsidR="007A25BF" w:rsidRPr="001455DC">
        <w:br/>
      </w:r>
      <w:r w:rsidRPr="001455DC">
        <w:t>Embedded FRP Reinforcement</w:t>
      </w:r>
      <w:bookmarkEnd w:id="2002"/>
      <w:bookmarkEnd w:id="2003"/>
      <w:bookmarkEnd w:id="2004"/>
      <w:bookmarkEnd w:id="2005"/>
      <w:bookmarkEnd w:id="2006"/>
    </w:p>
    <w:p w14:paraId="09E689A4" w14:textId="26F162EA" w:rsidR="00E87AB5" w:rsidRPr="001455DC" w:rsidRDefault="004E22C1" w:rsidP="00082680">
      <w:pPr>
        <w:pStyle w:val="a2"/>
        <w:numPr>
          <w:ilvl w:val="0"/>
          <w:numId w:val="0"/>
        </w:numPr>
      </w:pPr>
      <w:bookmarkStart w:id="2007" w:name="_Toc67565597"/>
      <w:bookmarkStart w:id="2008" w:name="_Toc52820298"/>
      <w:bookmarkStart w:id="2009" w:name="_Toc54337197"/>
      <w:bookmarkStart w:id="2010" w:name="_Toc54337727"/>
      <w:bookmarkStart w:id="2011" w:name="_Toc54338346"/>
      <w:r w:rsidRPr="001455DC">
        <w:t>JA.1</w:t>
      </w:r>
      <w:r w:rsidRPr="001455DC">
        <w:tab/>
      </w:r>
      <w:r w:rsidR="00E87AB5" w:rsidRPr="001455DC">
        <w:t>Use of this annex</w:t>
      </w:r>
      <w:bookmarkEnd w:id="2007"/>
    </w:p>
    <w:p w14:paraId="172BB9F5" w14:textId="77777777" w:rsidR="00E87AB5" w:rsidRPr="001455DC" w:rsidRDefault="00E87AB5" w:rsidP="00E87AB5">
      <w:pPr>
        <w:pStyle w:val="a7"/>
      </w:pPr>
      <w:r w:rsidRPr="001455DC">
        <w:t xml:space="preserve">(1) This Informative Annex contains supplementary guidance for the design of new structures reinforced with non-prestressed glass and carbon fibre reinforcement. The provisions of this Eurocode apply for concrete members with FRP reinforcement unless modified in this Annex JA. </w:t>
      </w:r>
    </w:p>
    <w:p w14:paraId="06837932" w14:textId="756D53E0" w:rsidR="00E87AB5" w:rsidRPr="009D3012" w:rsidRDefault="00375D10" w:rsidP="009D3012">
      <w:pPr>
        <w:pStyle w:val="Note"/>
      </w:pPr>
      <w:r>
        <w:t>NOTE</w:t>
      </w:r>
      <w:r>
        <w:tab/>
      </w:r>
      <w:r w:rsidR="00E87AB5" w:rsidRPr="009D3012">
        <w:t>National choice on the application of this Informative Annex is given in a National Annex. If a National Annex contains no information on the application of this Informative Annex, it can be used.</w:t>
      </w:r>
    </w:p>
    <w:p w14:paraId="60C73531" w14:textId="08A40646" w:rsidR="00E87AB5" w:rsidRPr="001455DC" w:rsidRDefault="00E87AB5" w:rsidP="00082680">
      <w:pPr>
        <w:pStyle w:val="a2"/>
        <w:numPr>
          <w:ilvl w:val="0"/>
          <w:numId w:val="0"/>
        </w:numPr>
      </w:pPr>
      <w:bookmarkStart w:id="2012" w:name="_Toc67565598"/>
      <w:r w:rsidRPr="001455DC">
        <w:t>JA.2 Scope and field of application</w:t>
      </w:r>
      <w:bookmarkEnd w:id="2012"/>
    </w:p>
    <w:p w14:paraId="2C8DFB31" w14:textId="77777777" w:rsidR="00E87AB5" w:rsidRPr="001455DC" w:rsidRDefault="00E87AB5" w:rsidP="00E87AB5">
      <w:pPr>
        <w:pStyle w:val="a7"/>
      </w:pPr>
      <w:r w:rsidRPr="001455DC">
        <w:t>(1) This Informative Annex applies to profiled or roughened fibre reinforced polymer (FRP) reinforcement bars and mesh.</w:t>
      </w:r>
    </w:p>
    <w:p w14:paraId="5DEA5BEB" w14:textId="77777777" w:rsidR="00E87AB5" w:rsidRPr="001455DC" w:rsidRDefault="00E87AB5" w:rsidP="00E87AB5">
      <w:pPr>
        <w:pStyle w:val="a7"/>
      </w:pPr>
      <w:r w:rsidRPr="001455DC">
        <w:t xml:space="preserve">(2) This Informative Annex does not apply to lightweight aggregate and to recycled aggregate concrete structures, i.e. Annexes M and N do not apply to members with FRP reinforcement. </w:t>
      </w:r>
    </w:p>
    <w:p w14:paraId="179167C0" w14:textId="02D52D67" w:rsidR="00E87AB5" w:rsidRPr="009D3012" w:rsidRDefault="00E87AB5" w:rsidP="009D3012">
      <w:pPr>
        <w:pStyle w:val="a7"/>
      </w:pPr>
      <w:r w:rsidRPr="009D3012">
        <w:t xml:space="preserve">(3) This Informative Annex applies to members with FRP reinforcement subjected to predominantly static loads, i.e. Clause 10 and Annex E do not apply to members with FRP reinforcement.  </w:t>
      </w:r>
    </w:p>
    <w:p w14:paraId="613F6B8F" w14:textId="4D9B21CD" w:rsidR="004E22C1" w:rsidRPr="001455DC" w:rsidRDefault="00E87AB5" w:rsidP="00082680">
      <w:pPr>
        <w:pStyle w:val="a2"/>
        <w:numPr>
          <w:ilvl w:val="0"/>
          <w:numId w:val="0"/>
        </w:numPr>
      </w:pPr>
      <w:bookmarkStart w:id="2013" w:name="_Toc67565599"/>
      <w:r w:rsidRPr="001455DC">
        <w:t>JA.3</w:t>
      </w:r>
      <w:r w:rsidRPr="001455DC">
        <w:tab/>
      </w:r>
      <w:r w:rsidR="004E22C1" w:rsidRPr="001455DC">
        <w:t>General</w:t>
      </w:r>
      <w:bookmarkEnd w:id="2008"/>
      <w:bookmarkEnd w:id="2009"/>
      <w:bookmarkEnd w:id="2010"/>
      <w:bookmarkEnd w:id="2011"/>
      <w:bookmarkEnd w:id="2013"/>
    </w:p>
    <w:p w14:paraId="4635AAB4" w14:textId="40A5F21A" w:rsidR="00787D8E" w:rsidRPr="009D3012" w:rsidRDefault="004E22C1" w:rsidP="009D3012">
      <w:pPr>
        <w:pStyle w:val="Note"/>
        <w:rPr>
          <w:b/>
          <w:sz w:val="26"/>
        </w:rPr>
      </w:pPr>
      <w:r w:rsidRPr="001455DC">
        <w:rPr>
          <w:bCs/>
        </w:rPr>
        <w:t>NOTE</w:t>
      </w:r>
      <w:r w:rsidRPr="001455DC">
        <w:rPr>
          <w:bCs/>
        </w:rPr>
        <w:tab/>
      </w:r>
      <w:r w:rsidRPr="001455DC">
        <w:t xml:space="preserve">Unless noted otherwise, in Annex JA all </w:t>
      </w:r>
      <w:r w:rsidR="00CA6522" w:rsidRPr="001455DC">
        <w:t>clauses</w:t>
      </w:r>
      <w:r w:rsidRPr="001455DC">
        <w:t>/sub</w:t>
      </w:r>
      <w:r w:rsidR="00CA6522" w:rsidRPr="001455DC">
        <w:t>clauses</w:t>
      </w:r>
      <w:r w:rsidRPr="001455DC">
        <w:t xml:space="preserve"> numbers and titles are similar as the relevant of the main part of this Eurocode. The prefix ‘JA’ is added to section/sub-sections numbers to distinguish content that pertain embedded FRP reinforcement. Annex JA contains only sections/subsections of the main part of this Eurocode that include specific clauses for embedded FRP reinforcement.</w:t>
      </w:r>
    </w:p>
    <w:p w14:paraId="056037FC" w14:textId="56D2E3AE" w:rsidR="004E22C1" w:rsidRPr="001455DC" w:rsidRDefault="00787D8E" w:rsidP="00082680">
      <w:pPr>
        <w:pStyle w:val="a2"/>
        <w:numPr>
          <w:ilvl w:val="0"/>
          <w:numId w:val="0"/>
        </w:numPr>
      </w:pPr>
      <w:bookmarkStart w:id="2014" w:name="_Toc67565600"/>
      <w:r w:rsidRPr="001455DC">
        <w:t>JA.4</w:t>
      </w:r>
      <w:r w:rsidRPr="001455DC">
        <w:tab/>
        <w:t>Verification</w:t>
      </w:r>
      <w:r w:rsidR="00BF78A3" w:rsidRPr="001455DC">
        <w:t>- Partial Factors for FRP reinforcement</w:t>
      </w:r>
      <w:bookmarkEnd w:id="2014"/>
    </w:p>
    <w:p w14:paraId="675D7858" w14:textId="77777777" w:rsidR="004E22C1" w:rsidRPr="001455DC" w:rsidRDefault="004E22C1" w:rsidP="00EB0170">
      <w:pPr>
        <w:pStyle w:val="a7"/>
      </w:pPr>
      <w:bookmarkStart w:id="2015" w:name="_Toc56581162"/>
      <w:bookmarkStart w:id="2016" w:name="_Toc56588950"/>
      <w:bookmarkStart w:id="2017" w:name="_Toc56595242"/>
      <w:bookmarkStart w:id="2018" w:name="_Toc56581182"/>
      <w:bookmarkStart w:id="2019" w:name="_Toc56588970"/>
      <w:bookmarkStart w:id="2020" w:name="_Toc56595262"/>
      <w:bookmarkEnd w:id="2015"/>
      <w:bookmarkEnd w:id="2016"/>
      <w:bookmarkEnd w:id="2017"/>
      <w:bookmarkEnd w:id="2018"/>
      <w:bookmarkEnd w:id="2019"/>
      <w:bookmarkEnd w:id="2020"/>
      <w:r w:rsidRPr="001455DC">
        <w:t>(1)</w:t>
      </w:r>
      <w:r w:rsidRPr="001455DC">
        <w:tab/>
        <w:t xml:space="preserve">The partial factor for material </w:t>
      </w:r>
      <w:r w:rsidRPr="001455DC">
        <w:rPr>
          <w:rStyle w:val="CCMCvariableitalic"/>
        </w:rPr>
        <w:t>γ</w:t>
      </w:r>
      <w:r w:rsidRPr="001455DC">
        <w:rPr>
          <w:rStyle w:val="CCMCvariablesubscript"/>
        </w:rPr>
        <w:t>FRP</w:t>
      </w:r>
      <w:r w:rsidRPr="001455DC">
        <w:t xml:space="preserve"> shall be used for FRP reinforcement.</w:t>
      </w:r>
    </w:p>
    <w:p w14:paraId="07DEC7A6" w14:textId="77777777" w:rsidR="004E22C1" w:rsidRPr="001455DC" w:rsidRDefault="004E22C1" w:rsidP="00EB0170">
      <w:pPr>
        <w:pStyle w:val="Note"/>
      </w:pPr>
      <w:r w:rsidRPr="001455DC">
        <w:rPr>
          <w:bCs/>
        </w:rPr>
        <w:t>NOTE</w:t>
      </w:r>
      <w:r w:rsidRPr="001455DC">
        <w:rPr>
          <w:bCs/>
        </w:rPr>
        <w:tab/>
      </w:r>
      <w:r w:rsidRPr="001455DC">
        <w:t>The values of the partial factors for FRP reinforcement are those in Table JA.1(NDP), unless a National Annex gives different values.</w:t>
      </w:r>
    </w:p>
    <w:p w14:paraId="089DF291" w14:textId="653FA002" w:rsidR="004E22C1" w:rsidRPr="001455DC" w:rsidRDefault="004E22C1" w:rsidP="00EB0170">
      <w:pPr>
        <w:pStyle w:val="Tabletitle"/>
      </w:pPr>
      <w:bookmarkStart w:id="2021" w:name="_Toc54337736"/>
      <w:r w:rsidRPr="001455DC">
        <w:t>Table JA.1 (NDP)</w:t>
      </w:r>
      <w:r w:rsidR="00EB0170" w:rsidRPr="001455DC">
        <w:t> —</w:t>
      </w:r>
      <w:r w:rsidRPr="001455DC">
        <w:t xml:space="preserve"> Partial Factors for FRP Reinforcing</w:t>
      </w:r>
      <w:bookmarkEnd w:id="2021"/>
    </w:p>
    <w:tbl>
      <w:tblPr>
        <w:tblStyle w:val="53"/>
        <w:tblW w:w="9752" w:type="dxa"/>
        <w:tblLayout w:type="fixed"/>
        <w:tblLook w:val="0620" w:firstRow="1" w:lastRow="0" w:firstColumn="0" w:lastColumn="0" w:noHBand="1" w:noVBand="1"/>
      </w:tblPr>
      <w:tblGrid>
        <w:gridCol w:w="7907"/>
        <w:gridCol w:w="1845"/>
      </w:tblGrid>
      <w:tr w:rsidR="004E22C1" w:rsidRPr="001455DC" w14:paraId="3CD98B0A" w14:textId="77777777" w:rsidTr="00EB0170">
        <w:trPr>
          <w:cnfStyle w:val="100000000000" w:firstRow="1" w:lastRow="0" w:firstColumn="0" w:lastColumn="0" w:oddVBand="0" w:evenVBand="0" w:oddHBand="0" w:evenHBand="0" w:firstRowFirstColumn="0" w:firstRowLastColumn="0" w:lastRowFirstColumn="0" w:lastRowLastColumn="0"/>
          <w:tblHeader/>
        </w:trPr>
        <w:tc>
          <w:tcPr>
            <w:tcW w:w="6687" w:type="dxa"/>
          </w:tcPr>
          <w:p w14:paraId="2E6F4E30" w14:textId="77777777" w:rsidR="004E22C1" w:rsidRPr="001455DC" w:rsidRDefault="004E22C1" w:rsidP="00EB0170">
            <w:pPr>
              <w:pStyle w:val="Tableheader"/>
              <w:keepNext/>
            </w:pPr>
            <w:r w:rsidRPr="001455DC">
              <w:t>Design Situation</w:t>
            </w:r>
          </w:p>
        </w:tc>
        <w:tc>
          <w:tcPr>
            <w:tcW w:w="1560" w:type="dxa"/>
          </w:tcPr>
          <w:p w14:paraId="7F175309" w14:textId="77777777" w:rsidR="004E22C1" w:rsidRPr="001455DC" w:rsidRDefault="004E22C1" w:rsidP="00EB0170">
            <w:pPr>
              <w:pStyle w:val="Tableheader"/>
              <w:keepNext/>
            </w:pPr>
            <w:r w:rsidRPr="001455DC">
              <w:rPr>
                <w:rStyle w:val="CCMCvariableitalic"/>
              </w:rPr>
              <w:t>γ</w:t>
            </w:r>
            <w:r w:rsidRPr="001455DC">
              <w:rPr>
                <w:rStyle w:val="CCMCvariablesubscript"/>
              </w:rPr>
              <w:t>FRP</w:t>
            </w:r>
          </w:p>
        </w:tc>
      </w:tr>
      <w:tr w:rsidR="004E22C1" w:rsidRPr="001455DC" w14:paraId="538E728E" w14:textId="77777777" w:rsidTr="00EB0170">
        <w:tc>
          <w:tcPr>
            <w:tcW w:w="6687" w:type="dxa"/>
            <w:vAlign w:val="center"/>
          </w:tcPr>
          <w:p w14:paraId="00B7C166" w14:textId="77777777" w:rsidR="004E22C1" w:rsidRPr="009D3012" w:rsidRDefault="004E22C1" w:rsidP="00EB0170">
            <w:pPr>
              <w:pStyle w:val="Tablebody"/>
              <w:keepNext/>
              <w:jc w:val="left"/>
              <w:rPr>
                <w:lang w:val="en-US"/>
              </w:rPr>
            </w:pPr>
            <w:r w:rsidRPr="009D3012">
              <w:rPr>
                <w:lang w:val="en-US"/>
              </w:rPr>
              <w:t>Ultimate Limit States (Persistent and transient design situation)</w:t>
            </w:r>
          </w:p>
        </w:tc>
        <w:tc>
          <w:tcPr>
            <w:tcW w:w="1560" w:type="dxa"/>
            <w:vAlign w:val="center"/>
          </w:tcPr>
          <w:p w14:paraId="24831377" w14:textId="77777777" w:rsidR="004E22C1" w:rsidRPr="001455DC" w:rsidRDefault="004E22C1" w:rsidP="00EB0170">
            <w:pPr>
              <w:pStyle w:val="Tablebody"/>
              <w:keepNext/>
              <w:jc w:val="center"/>
            </w:pPr>
            <w:r w:rsidRPr="001455DC">
              <w:t>1,50</w:t>
            </w:r>
          </w:p>
        </w:tc>
      </w:tr>
      <w:tr w:rsidR="004E22C1" w:rsidRPr="001455DC" w14:paraId="69F4C81F" w14:textId="77777777" w:rsidTr="00EB0170">
        <w:tc>
          <w:tcPr>
            <w:tcW w:w="6687" w:type="dxa"/>
            <w:vAlign w:val="center"/>
          </w:tcPr>
          <w:p w14:paraId="1ACD8B04" w14:textId="77777777" w:rsidR="004E22C1" w:rsidRPr="001455DC" w:rsidRDefault="004E22C1" w:rsidP="00EB0170">
            <w:pPr>
              <w:pStyle w:val="Tablebody"/>
              <w:keepNext/>
              <w:jc w:val="left"/>
            </w:pPr>
            <w:r w:rsidRPr="001455DC">
              <w:t>Accidental Actions</w:t>
            </w:r>
          </w:p>
        </w:tc>
        <w:tc>
          <w:tcPr>
            <w:tcW w:w="1560" w:type="dxa"/>
            <w:vAlign w:val="center"/>
          </w:tcPr>
          <w:p w14:paraId="5A5AD6F1" w14:textId="77777777" w:rsidR="004E22C1" w:rsidRPr="001455DC" w:rsidRDefault="004E22C1" w:rsidP="00EB0170">
            <w:pPr>
              <w:pStyle w:val="Tablebody"/>
              <w:keepNext/>
              <w:jc w:val="center"/>
            </w:pPr>
            <w:r w:rsidRPr="001455DC">
              <w:t>1,10</w:t>
            </w:r>
          </w:p>
        </w:tc>
      </w:tr>
      <w:tr w:rsidR="004E22C1" w:rsidRPr="001455DC" w14:paraId="7F9D3951" w14:textId="77777777" w:rsidTr="00EB0170">
        <w:tc>
          <w:tcPr>
            <w:tcW w:w="6687" w:type="dxa"/>
            <w:vAlign w:val="center"/>
          </w:tcPr>
          <w:p w14:paraId="6EAE2EAA" w14:textId="77777777" w:rsidR="004E22C1" w:rsidRPr="001455DC" w:rsidRDefault="004E22C1" w:rsidP="00EB0170">
            <w:pPr>
              <w:pStyle w:val="Tablebody"/>
              <w:jc w:val="left"/>
            </w:pPr>
            <w:r w:rsidRPr="001455DC">
              <w:t>Serviceability</w:t>
            </w:r>
          </w:p>
        </w:tc>
        <w:tc>
          <w:tcPr>
            <w:tcW w:w="1560" w:type="dxa"/>
            <w:vAlign w:val="center"/>
          </w:tcPr>
          <w:p w14:paraId="2B41350F" w14:textId="77777777" w:rsidR="004E22C1" w:rsidRPr="001455DC" w:rsidRDefault="004E22C1" w:rsidP="00EB0170">
            <w:pPr>
              <w:pStyle w:val="Tablebody"/>
              <w:jc w:val="center"/>
            </w:pPr>
            <w:r w:rsidRPr="001455DC">
              <w:t>1,00</w:t>
            </w:r>
          </w:p>
        </w:tc>
      </w:tr>
    </w:tbl>
    <w:p w14:paraId="4DACD375" w14:textId="77777777" w:rsidR="004E22C1" w:rsidRPr="001455DC" w:rsidRDefault="004E22C1" w:rsidP="00EB0170">
      <w:pPr>
        <w:pStyle w:val="a7"/>
      </w:pPr>
    </w:p>
    <w:p w14:paraId="7A39133B" w14:textId="31D06F9A" w:rsidR="004E22C1" w:rsidRPr="001455DC" w:rsidRDefault="004E22C1" w:rsidP="00082680">
      <w:pPr>
        <w:pStyle w:val="a2"/>
        <w:numPr>
          <w:ilvl w:val="0"/>
          <w:numId w:val="0"/>
        </w:numPr>
      </w:pPr>
      <w:bookmarkStart w:id="2022" w:name="_Toc52820307"/>
      <w:bookmarkStart w:id="2023" w:name="_Toc54337199"/>
      <w:bookmarkStart w:id="2024" w:name="_Toc54337737"/>
      <w:bookmarkStart w:id="2025" w:name="_Toc54338355"/>
      <w:bookmarkStart w:id="2026" w:name="_Toc67565601"/>
      <w:r w:rsidRPr="001455DC">
        <w:t>JA.5</w:t>
      </w:r>
      <w:r w:rsidRPr="001455DC">
        <w:tab/>
      </w:r>
      <w:r w:rsidR="005965D6" w:rsidRPr="001455DC">
        <w:t>M</w:t>
      </w:r>
      <w:r w:rsidRPr="001455DC">
        <w:t>aterials</w:t>
      </w:r>
      <w:bookmarkEnd w:id="2022"/>
      <w:bookmarkEnd w:id="2023"/>
      <w:bookmarkEnd w:id="2024"/>
      <w:bookmarkEnd w:id="2025"/>
      <w:r w:rsidR="00BF78A3" w:rsidRPr="001455DC">
        <w:t xml:space="preserve"> - FRP reinforcement</w:t>
      </w:r>
      <w:bookmarkEnd w:id="2026"/>
    </w:p>
    <w:p w14:paraId="7AA3B591" w14:textId="2846649D" w:rsidR="004E22C1" w:rsidRPr="001455DC" w:rsidRDefault="004E22C1" w:rsidP="00363AD0">
      <w:pPr>
        <w:pStyle w:val="a3"/>
        <w:numPr>
          <w:ilvl w:val="0"/>
          <w:numId w:val="0"/>
        </w:numPr>
      </w:pPr>
      <w:bookmarkStart w:id="2027" w:name="_Toc52820308"/>
      <w:bookmarkStart w:id="2028" w:name="_Toc54337738"/>
      <w:bookmarkStart w:id="2029" w:name="_Toc54338356"/>
      <w:r w:rsidRPr="001455DC">
        <w:t>JA.5.</w:t>
      </w:r>
      <w:r w:rsidR="00BF78A3" w:rsidRPr="001455DC">
        <w:t>1</w:t>
      </w:r>
      <w:r w:rsidRPr="001455DC">
        <w:tab/>
      </w:r>
      <w:bookmarkEnd w:id="2027"/>
      <w:bookmarkEnd w:id="2028"/>
      <w:bookmarkEnd w:id="2029"/>
      <w:r w:rsidR="00BF78A3" w:rsidRPr="001455DC">
        <w:t>General</w:t>
      </w:r>
    </w:p>
    <w:p w14:paraId="4F7E44E6" w14:textId="77777777" w:rsidR="004E22C1" w:rsidRPr="001455DC" w:rsidRDefault="004E22C1" w:rsidP="00DE6BBC">
      <w:pPr>
        <w:pStyle w:val="a7"/>
        <w:keepNext/>
      </w:pPr>
      <w:r w:rsidRPr="001455DC">
        <w:t>(1)</w:t>
      </w:r>
      <w:r w:rsidRPr="001455DC">
        <w:tab/>
        <w:t>Annex JA provides design rules for member reinforced with embedded FRP reinforcement within the following limits of applicability:</w:t>
      </w:r>
    </w:p>
    <w:p w14:paraId="3A2617FA" w14:textId="728E515E" w:rsidR="004E22C1" w:rsidRPr="001455DC" w:rsidRDefault="004E22C1" w:rsidP="00EB0170">
      <w:pPr>
        <w:pStyle w:val="a0"/>
      </w:pPr>
      <w:r w:rsidRPr="001455DC">
        <w:t xml:space="preserve">Minimum long term tensile strength of </w:t>
      </w:r>
      <m:oMath>
        <m:sSub>
          <m:sSubPr>
            <m:ctrlPr>
              <w:rPr>
                <w:rFonts w:ascii="Cambria Math" w:hAnsi="Cambria Math"/>
              </w:rPr>
            </m:ctrlPr>
          </m:sSubPr>
          <m:e>
            <m:r>
              <w:rPr>
                <w:rFonts w:ascii="Cambria Math" w:hAnsi="Cambria Math"/>
              </w:rPr>
              <m:t>f</m:t>
            </m:r>
          </m:e>
          <m:sub>
            <m:r>
              <m:rPr>
                <m:sty m:val="p"/>
              </m:rPr>
              <w:rPr>
                <w:rFonts w:ascii="Cambria Math" w:hAnsi="Cambria Math"/>
              </w:rPr>
              <m:t>ftk,100a</m:t>
            </m:r>
          </m:sub>
        </m:sSub>
        <m:r>
          <m:rPr>
            <m:sty m:val="p"/>
          </m:rPr>
          <w:rPr>
            <w:rFonts w:ascii="Cambria Math" w:hAnsi="Cambria Math"/>
          </w:rPr>
          <m:t>≥300 MPa</m:t>
        </m:r>
      </m:oMath>
      <w:r w:rsidRPr="001455DC">
        <w:t>,</w:t>
      </w:r>
    </w:p>
    <w:p w14:paraId="6272A54A" w14:textId="6FEFD913" w:rsidR="004E22C1" w:rsidRPr="001455DC" w:rsidRDefault="004E22C1" w:rsidP="00EB0170">
      <w:pPr>
        <w:pStyle w:val="a0"/>
      </w:pPr>
      <w:r w:rsidRPr="001455DC">
        <w:t xml:space="preserve">Minimum modulus of elasticity of </w:t>
      </w:r>
      <m:oMath>
        <m:sSub>
          <m:sSubPr>
            <m:ctrlPr>
              <w:rPr>
                <w:rFonts w:ascii="Cambria Math" w:hAnsi="Cambria Math"/>
              </w:rPr>
            </m:ctrlPr>
          </m:sSubPr>
          <m:e>
            <m:r>
              <w:rPr>
                <w:rFonts w:ascii="Cambria Math" w:hAnsi="Cambria Math"/>
              </w:rPr>
              <m:t>E</m:t>
            </m:r>
          </m:e>
          <m:sub>
            <m:r>
              <m:rPr>
                <m:sty m:val="p"/>
              </m:rPr>
              <w:rPr>
                <w:rFonts w:ascii="Cambria Math" w:hAnsi="Cambria Math"/>
              </w:rPr>
              <m:t>fR</m:t>
            </m:r>
          </m:sub>
        </m:sSub>
        <m:r>
          <m:rPr>
            <m:sty m:val="p"/>
          </m:rPr>
          <w:rPr>
            <w:rFonts w:ascii="Cambria Math" w:hAnsi="Cambria Math"/>
          </w:rPr>
          <m:t>≥40 000 MPa</m:t>
        </m:r>
      </m:oMath>
      <w:r w:rsidRPr="001455DC">
        <w:t>,</w:t>
      </w:r>
    </w:p>
    <w:p w14:paraId="633BEF0F" w14:textId="33AA3222" w:rsidR="004E22C1" w:rsidRPr="001455DC" w:rsidRDefault="004E22C1" w:rsidP="00EB0170">
      <w:pPr>
        <w:pStyle w:val="a0"/>
      </w:pPr>
      <w:r w:rsidRPr="001455DC">
        <w:t xml:space="preserve">Ratio of </w:t>
      </w:r>
      <m:oMath>
        <m:f>
          <m:fPr>
            <m:type m:val="lin"/>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ftk,100a</m:t>
                </m:r>
              </m:sub>
            </m:sSub>
          </m:num>
          <m:den>
            <m:sSub>
              <m:sSubPr>
                <m:ctrlPr>
                  <w:rPr>
                    <w:rFonts w:ascii="Cambria Math" w:hAnsi="Cambria Math"/>
                  </w:rPr>
                </m:ctrlPr>
              </m:sSubPr>
              <m:e>
                <m:r>
                  <w:rPr>
                    <w:rFonts w:ascii="Cambria Math" w:hAnsi="Cambria Math"/>
                  </w:rPr>
                  <m:t>E</m:t>
                </m:r>
              </m:e>
              <m:sub>
                <m:r>
                  <m:rPr>
                    <m:sty m:val="p"/>
                  </m:rPr>
                  <w:rPr>
                    <w:rFonts w:ascii="Cambria Math" w:hAnsi="Cambria Math"/>
                  </w:rPr>
                  <m:t>fR</m:t>
                </m:r>
              </m:sub>
            </m:sSub>
          </m:den>
        </m:f>
        <m:r>
          <m:rPr>
            <m:sty m:val="p"/>
          </m:rPr>
          <w:rPr>
            <w:rFonts w:ascii="Cambria Math" w:hAnsi="Cambria Math"/>
          </w:rPr>
          <m:t>≥0,005</m:t>
        </m:r>
      </m:oMath>
      <w:r w:rsidRPr="001455DC">
        <w:t>,</w:t>
      </w:r>
    </w:p>
    <w:p w14:paraId="0D4EF0DD" w14:textId="2352111A" w:rsidR="004E22C1" w:rsidRPr="001455DC" w:rsidRDefault="004E22C1" w:rsidP="00EB0170">
      <w:pPr>
        <w:pStyle w:val="a0"/>
      </w:pPr>
      <w:r w:rsidRPr="001455DC">
        <w:t xml:space="preserve">characteristic compressive strength of concrete </w:t>
      </w:r>
      <m:oMath>
        <m:sSub>
          <m:sSubPr>
            <m:ctrlPr>
              <w:rPr>
                <w:rFonts w:ascii="Cambria Math" w:hAnsi="Cambria Math"/>
              </w:rPr>
            </m:ctrlPr>
          </m:sSubPr>
          <m:e>
            <m:r>
              <w:rPr>
                <w:rFonts w:ascii="Cambria Math" w:hAnsi="Cambria Math"/>
              </w:rPr>
              <m:t>f</m:t>
            </m:r>
          </m:e>
          <m:sub>
            <m:r>
              <m:rPr>
                <m:sty m:val="p"/>
              </m:rPr>
              <w:rPr>
                <w:rFonts w:ascii="Cambria Math" w:hAnsi="Cambria Math"/>
              </w:rPr>
              <m:t>ck</m:t>
            </m:r>
          </m:sub>
        </m:sSub>
        <m:r>
          <m:rPr>
            <m:sty m:val="p"/>
          </m:rPr>
          <w:rPr>
            <w:rFonts w:ascii="Cambria Math" w:hAnsi="Cambria Math"/>
          </w:rPr>
          <m:t>≥20 MPa</m:t>
        </m:r>
      </m:oMath>
      <w:r w:rsidRPr="001455DC">
        <w:t>,</w:t>
      </w:r>
    </w:p>
    <w:p w14:paraId="287AFCAB" w14:textId="1E66E89D" w:rsidR="004E22C1" w:rsidRPr="001455DC" w:rsidRDefault="004E22C1" w:rsidP="00EB0170">
      <w:pPr>
        <w:pStyle w:val="a0"/>
      </w:pPr>
      <w:r w:rsidRPr="001455DC">
        <w:t xml:space="preserve">members with </w:t>
      </w:r>
      <m:oMath>
        <m:sSub>
          <m:sSubPr>
            <m:ctrlPr>
              <w:rPr>
                <w:rFonts w:ascii="Cambria Math" w:hAnsi="Cambria Math"/>
              </w:rPr>
            </m:ctrlPr>
          </m:sSubPr>
          <m:e>
            <m:r>
              <w:rPr>
                <w:rFonts w:ascii="Cambria Math" w:hAnsi="Cambria Math"/>
              </w:rPr>
              <m:t>ρ</m:t>
            </m:r>
          </m:e>
          <m:sub>
            <m:r>
              <m:rPr>
                <m:sty m:val="p"/>
              </m:rPr>
              <w:rPr>
                <w:rFonts w:ascii="Cambria Math" w:hAnsi="Cambria Math"/>
              </w:rPr>
              <m:t>lf</m:t>
            </m:r>
          </m:sub>
        </m:sSub>
        <m:r>
          <m:rPr>
            <m:sty m:val="p"/>
          </m:rPr>
          <w:rPr>
            <w:rFonts w:ascii="Cambria Math" w:hAnsi="Cambria Math"/>
          </w:rPr>
          <m:t>≤0,05</m:t>
        </m:r>
      </m:oMath>
      <w:r w:rsidRPr="001455DC">
        <w:t>.</w:t>
      </w:r>
    </w:p>
    <w:p w14:paraId="113BF04F" w14:textId="6CF6A487" w:rsidR="004E22C1" w:rsidRPr="009D3012" w:rsidRDefault="004E22C1" w:rsidP="00363AD0">
      <w:pPr>
        <w:pStyle w:val="a3"/>
        <w:numPr>
          <w:ilvl w:val="0"/>
          <w:numId w:val="0"/>
        </w:numPr>
      </w:pPr>
      <w:bookmarkStart w:id="2030" w:name="_Toc52820310"/>
      <w:bookmarkStart w:id="2031" w:name="_Toc54337740"/>
      <w:bookmarkStart w:id="2032" w:name="_Toc54338358"/>
      <w:r w:rsidRPr="009D3012">
        <w:t>JA.5.</w:t>
      </w:r>
      <w:r w:rsidR="00BF78A3" w:rsidRPr="009D3012">
        <w:t>2</w:t>
      </w:r>
      <w:r w:rsidRPr="009D3012">
        <w:tab/>
        <w:t>Properties</w:t>
      </w:r>
      <w:bookmarkEnd w:id="2030"/>
      <w:bookmarkEnd w:id="2031"/>
      <w:bookmarkEnd w:id="2032"/>
    </w:p>
    <w:p w14:paraId="437EC56A" w14:textId="77777777" w:rsidR="004E22C1" w:rsidRPr="001455DC" w:rsidRDefault="004E22C1" w:rsidP="00DE6BBC">
      <w:pPr>
        <w:pStyle w:val="a7"/>
        <w:keepNext/>
      </w:pPr>
      <w:r w:rsidRPr="001455DC">
        <w:t>(1)</w:t>
      </w:r>
      <w:r w:rsidRPr="001455DC">
        <w:tab/>
        <w:t>Specified properties and related conditions of fibre reinforced polymer systems that are required for design to this Eurocode shall include at least the following:</w:t>
      </w:r>
    </w:p>
    <w:p w14:paraId="71684E9E" w14:textId="407D0623" w:rsidR="004E22C1" w:rsidRPr="001455DC" w:rsidRDefault="00231E33" w:rsidP="00EB0170">
      <w:pPr>
        <w:pStyle w:val="a0"/>
      </w:pPr>
      <m:oMath>
        <m:sSub>
          <m:sSubPr>
            <m:ctrlPr>
              <w:rPr>
                <w:rFonts w:ascii="Cambria Math" w:hAnsi="Cambria Math"/>
              </w:rPr>
            </m:ctrlPr>
          </m:sSubPr>
          <m:e>
            <m:r>
              <w:rPr>
                <w:rFonts w:ascii="Cambria Math" w:hAnsi="Cambria Math"/>
              </w:rPr>
              <m:t>f</m:t>
            </m:r>
          </m:e>
          <m:sub>
            <m:r>
              <m:rPr>
                <m:sty m:val="p"/>
              </m:rPr>
              <w:rPr>
                <w:rFonts w:ascii="Cambria Math" w:hAnsi="Cambria Math"/>
              </w:rPr>
              <m:t>ftk0</m:t>
            </m:r>
          </m:sub>
        </m:sSub>
      </m:oMath>
      <w:r w:rsidR="00EB0170" w:rsidRPr="001455DC">
        <w:t xml:space="preserve"> </w:t>
      </w:r>
      <w:r w:rsidR="004E22C1" w:rsidRPr="001455DC">
        <w:t>determined in accordance with ISO 10406</w:t>
      </w:r>
      <w:r w:rsidR="004E22C1" w:rsidRPr="001455DC">
        <w:noBreakHyphen/>
        <w:t>1,</w:t>
      </w:r>
    </w:p>
    <w:p w14:paraId="499CFECE" w14:textId="0AF35AB7" w:rsidR="004E22C1" w:rsidRPr="001455DC" w:rsidRDefault="00231E33" w:rsidP="00EB0170">
      <w:pPr>
        <w:pStyle w:val="a0"/>
      </w:pPr>
      <m:oMath>
        <m:sSub>
          <m:sSubPr>
            <m:ctrlPr>
              <w:rPr>
                <w:rFonts w:ascii="Cambria Math" w:hAnsi="Cambria Math"/>
              </w:rPr>
            </m:ctrlPr>
          </m:sSubPr>
          <m:e>
            <m:r>
              <w:rPr>
                <w:rFonts w:ascii="Cambria Math" w:hAnsi="Cambria Math"/>
              </w:rPr>
              <m:t>E</m:t>
            </m:r>
          </m:e>
          <m:sub>
            <m:r>
              <m:rPr>
                <m:sty m:val="p"/>
              </m:rPr>
              <w:rPr>
                <w:rFonts w:ascii="Cambria Math" w:hAnsi="Cambria Math"/>
              </w:rPr>
              <m:t>fR</m:t>
            </m:r>
          </m:sub>
        </m:sSub>
      </m:oMath>
      <w:r w:rsidR="004E22C1" w:rsidRPr="001455DC">
        <w:t xml:space="preserve"> determined in accordance with ISO 10406</w:t>
      </w:r>
      <w:r w:rsidR="004E22C1" w:rsidRPr="001455DC">
        <w:noBreakHyphen/>
        <w:t>1,</w:t>
      </w:r>
    </w:p>
    <w:p w14:paraId="26E804F9" w14:textId="13D9AFC2" w:rsidR="004E22C1" w:rsidRPr="001455DC" w:rsidRDefault="004E22C1" w:rsidP="00EB0170">
      <w:pPr>
        <w:pStyle w:val="a0"/>
      </w:pPr>
      <w:r w:rsidRPr="001455DC">
        <w:t>diameter and size.</w:t>
      </w:r>
    </w:p>
    <w:p w14:paraId="2E1379A8" w14:textId="77777777" w:rsidR="004E22C1" w:rsidRPr="001455DC" w:rsidRDefault="004E22C1" w:rsidP="00DE6BBC">
      <w:pPr>
        <w:pStyle w:val="a7"/>
        <w:keepNext/>
      </w:pPr>
      <w:r w:rsidRPr="001455DC">
        <w:t>(2)</w:t>
      </w:r>
      <w:r w:rsidRPr="001455DC">
        <w:tab/>
        <w:t>The following properties of the FRP reinforcement should be provided to the FRP reinforcement supplier to ensure a performance as assumed in design:</w:t>
      </w:r>
    </w:p>
    <w:p w14:paraId="3C2EFA86" w14:textId="637DE863" w:rsidR="004E22C1" w:rsidRPr="001455DC" w:rsidRDefault="004E22C1" w:rsidP="00EB0170">
      <w:pPr>
        <w:pStyle w:val="a0"/>
      </w:pPr>
      <w:r w:rsidRPr="001455DC">
        <w:t>section sizes and tolerance on size,</w:t>
      </w:r>
    </w:p>
    <w:p w14:paraId="714DAE02" w14:textId="3FA14E98" w:rsidR="004E22C1" w:rsidRPr="001455DC" w:rsidRDefault="004E22C1" w:rsidP="00EB0170">
      <w:pPr>
        <w:pStyle w:val="a0"/>
      </w:pPr>
      <w:r w:rsidRPr="001455DC">
        <w:t>minimum characteristic short-term tensile strength,</w:t>
      </w:r>
    </w:p>
    <w:p w14:paraId="4C197FEE" w14:textId="01677200" w:rsidR="004E22C1" w:rsidRPr="001455DC" w:rsidRDefault="004E22C1" w:rsidP="00EB0170">
      <w:pPr>
        <w:pStyle w:val="a0"/>
      </w:pPr>
      <w:r w:rsidRPr="001455DC">
        <w:t>minimum long-term characteristic tensile strength,</w:t>
      </w:r>
    </w:p>
    <w:p w14:paraId="094DBB62" w14:textId="5A5A0FDA" w:rsidR="004E22C1" w:rsidRPr="001455DC" w:rsidRDefault="004E22C1" w:rsidP="00EB0170">
      <w:pPr>
        <w:pStyle w:val="a0"/>
      </w:pPr>
      <w:r w:rsidRPr="001455DC">
        <w:t>Youngs modulus,</w:t>
      </w:r>
    </w:p>
    <w:p w14:paraId="061A63FD" w14:textId="5D5D2913" w:rsidR="004E22C1" w:rsidRPr="001455DC" w:rsidRDefault="004E22C1" w:rsidP="00EB0170">
      <w:pPr>
        <w:pStyle w:val="a0"/>
      </w:pPr>
      <w:r w:rsidRPr="001455DC">
        <w:t xml:space="preserve">long term bond strength </w:t>
      </w:r>
      <m:oMath>
        <m:sSub>
          <m:sSubPr>
            <m:ctrlPr>
              <w:rPr>
                <w:rFonts w:ascii="Cambria Math" w:hAnsi="Cambria Math"/>
              </w:rPr>
            </m:ctrlPr>
          </m:sSubPr>
          <m:e>
            <m:r>
              <w:rPr>
                <w:rFonts w:ascii="Cambria Math" w:hAnsi="Cambria Math"/>
              </w:rPr>
              <m:t>f</m:t>
            </m:r>
          </m:e>
          <m:sub>
            <m:r>
              <m:rPr>
                <m:sty m:val="p"/>
              </m:rPr>
              <w:rPr>
                <w:rFonts w:ascii="Cambria Math" w:hAnsi="Cambria Math"/>
              </w:rPr>
              <m:t>bd,100a</m:t>
            </m:r>
          </m:sub>
        </m:sSub>
      </m:oMath>
      <w:r w:rsidRPr="001455DC">
        <w:t>,</w:t>
      </w:r>
    </w:p>
    <w:p w14:paraId="3D7A9C07" w14:textId="7398C454" w:rsidR="004E22C1" w:rsidRPr="001455DC" w:rsidRDefault="004E22C1" w:rsidP="00EB0170">
      <w:pPr>
        <w:pStyle w:val="a0"/>
      </w:pPr>
      <w:r w:rsidRPr="001455DC">
        <w:t>installation temperature,</w:t>
      </w:r>
    </w:p>
    <w:p w14:paraId="23C09E73" w14:textId="033076B4" w:rsidR="004E22C1" w:rsidRPr="001455DC" w:rsidRDefault="004E22C1" w:rsidP="00EB0170">
      <w:pPr>
        <w:pStyle w:val="a0"/>
      </w:pPr>
      <w:r w:rsidRPr="001455DC">
        <w:t>maximum temperature of the FRP reinforcement for the design life of the structure,</w:t>
      </w:r>
    </w:p>
    <w:p w14:paraId="2F8B5674" w14:textId="2F0ACFA9" w:rsidR="004E22C1" w:rsidRPr="001455DC" w:rsidRDefault="004E22C1" w:rsidP="00EB0170">
      <w:pPr>
        <w:pStyle w:val="a0"/>
      </w:pPr>
      <w:r w:rsidRPr="001455DC">
        <w:t>minimum temperature of the FRP reinforcement for the design life of the structure,</w:t>
      </w:r>
    </w:p>
    <w:p w14:paraId="0F806E38" w14:textId="7A70D7D1" w:rsidR="004E22C1" w:rsidRPr="001455DC" w:rsidRDefault="004E22C1" w:rsidP="00EB0170">
      <w:pPr>
        <w:pStyle w:val="a0"/>
      </w:pPr>
      <w:r w:rsidRPr="001455DC">
        <w:t>exposure classification, in accordance with Table 6.1,</w:t>
      </w:r>
    </w:p>
    <w:p w14:paraId="4D111829" w14:textId="65D13D95" w:rsidR="004E22C1" w:rsidRPr="001455DC" w:rsidRDefault="004E22C1" w:rsidP="00EB0170">
      <w:pPr>
        <w:pStyle w:val="a0"/>
      </w:pPr>
      <w:r w:rsidRPr="001455DC">
        <w:t>durability requirements.</w:t>
      </w:r>
    </w:p>
    <w:p w14:paraId="4B0F85AB" w14:textId="4D12B28C" w:rsidR="004E22C1" w:rsidRPr="009D3012" w:rsidRDefault="004E22C1" w:rsidP="00363AD0">
      <w:pPr>
        <w:pStyle w:val="a3"/>
        <w:numPr>
          <w:ilvl w:val="0"/>
          <w:numId w:val="0"/>
        </w:numPr>
      </w:pPr>
      <w:bookmarkStart w:id="2033" w:name="_Toc52820311"/>
      <w:bookmarkStart w:id="2034" w:name="_Toc54337741"/>
      <w:bookmarkStart w:id="2035" w:name="_Toc54338359"/>
      <w:r w:rsidRPr="009D3012">
        <w:t>JA.5.3</w:t>
      </w:r>
      <w:r w:rsidRPr="009D3012">
        <w:tab/>
        <w:t>Design assumptions</w:t>
      </w:r>
      <w:bookmarkEnd w:id="2033"/>
      <w:bookmarkEnd w:id="2034"/>
      <w:bookmarkEnd w:id="2035"/>
    </w:p>
    <w:p w14:paraId="2D87CCAF" w14:textId="61588717" w:rsidR="004E22C1" w:rsidRPr="001455DC" w:rsidRDefault="004E22C1" w:rsidP="00EB0170">
      <w:pPr>
        <w:pStyle w:val="a7"/>
      </w:pPr>
      <w:r w:rsidRPr="001455DC">
        <w:t>(1)</w:t>
      </w:r>
      <w:r w:rsidRPr="001455DC">
        <w:tab/>
        <w:t>Design should be based on the nominal cross</w:t>
      </w:r>
      <w:r w:rsidR="00B10711" w:rsidRPr="001455DC">
        <w:t xml:space="preserve"> </w:t>
      </w:r>
      <w:r w:rsidRPr="001455DC">
        <w:t>section area of the reinforcement.</w:t>
      </w:r>
    </w:p>
    <w:p w14:paraId="4DC42E10" w14:textId="7484EAC5" w:rsidR="004E22C1" w:rsidRPr="001455DC" w:rsidRDefault="004E22C1" w:rsidP="00DE6BBC">
      <w:pPr>
        <w:pStyle w:val="a7"/>
        <w:keepNext/>
      </w:pPr>
      <w:r w:rsidRPr="001455DC">
        <w:t>(2)</w:t>
      </w:r>
      <w:r w:rsidRPr="001455DC">
        <w:tab/>
        <w:t>The stress-strain relationship should be taken as illustrated in Figure JA.1 and Formula (JA.1).</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9B1AB3" w:rsidRPr="001455DC" w14:paraId="5657F3C8" w14:textId="77777777" w:rsidTr="009B1AB3">
        <w:trPr>
          <w:cantSplit/>
        </w:trPr>
        <w:tc>
          <w:tcPr>
            <w:tcW w:w="8505" w:type="dxa"/>
            <w:vAlign w:val="center"/>
          </w:tcPr>
          <w:p w14:paraId="6CED08F5" w14:textId="62356B71" w:rsidR="009B1AB3" w:rsidRPr="001455DC" w:rsidRDefault="00231E33" w:rsidP="009B1AB3">
            <w:pPr>
              <w:pStyle w:val="Formula"/>
              <w:jc w:val="left"/>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ftd</m:t>
                    </m:r>
                  </m:sub>
                </m:sSub>
                <m:r>
                  <w:rPr>
                    <w:rFonts w:ascii="Cambria Math" w:hAnsi="Cambria Math"/>
                  </w:rPr>
                  <m:t>=</m:t>
                </m:r>
                <m:f>
                  <m:fPr>
                    <m:ctrlPr>
                      <w:rPr>
                        <w:rFonts w:ascii="Cambria Math" w:hAnsi="Cambria Math"/>
                      </w:rPr>
                    </m:ctrlPr>
                  </m:fPr>
                  <m:num>
                    <m:r>
                      <w:rPr>
                        <w:rFonts w:ascii="Cambria Math" w:hAnsi="Cambria Math"/>
                      </w:rPr>
                      <m:t xml:space="preserve"> </m:t>
                    </m:r>
                    <m:sSub>
                      <m:sSubPr>
                        <m:ctrlPr>
                          <w:rPr>
                            <w:rFonts w:ascii="Cambria Math" w:hAnsi="Cambria Math"/>
                          </w:rPr>
                        </m:ctrlPr>
                      </m:sSubPr>
                      <m:e>
                        <m:r>
                          <w:rPr>
                            <w:rFonts w:ascii="Cambria Math" w:hAnsi="Cambria Math"/>
                          </w:rPr>
                          <m:t>f</m:t>
                        </m:r>
                      </m:e>
                      <m:sub>
                        <m:r>
                          <m:rPr>
                            <m:sty m:val="p"/>
                          </m:rPr>
                          <w:rPr>
                            <w:rFonts w:ascii="Cambria Math" w:hAnsi="Cambria Math"/>
                          </w:rPr>
                          <m:t>ftk,100a0</m:t>
                        </m:r>
                      </m:sub>
                    </m:sSub>
                  </m:num>
                  <m:den>
                    <m:r>
                      <w:rPr>
                        <w:rFonts w:ascii="Cambria Math" w:hAnsi="Cambria Math"/>
                      </w:rPr>
                      <m:t xml:space="preserve"> </m:t>
                    </m:r>
                    <m:sSub>
                      <m:sSubPr>
                        <m:ctrlPr>
                          <w:rPr>
                            <w:rFonts w:ascii="Cambria Math" w:hAnsi="Cambria Math"/>
                          </w:rPr>
                        </m:ctrlPr>
                      </m:sSubPr>
                      <m:e>
                        <m:r>
                          <w:rPr>
                            <w:rFonts w:ascii="Cambria Math" w:hAnsi="Cambria Math"/>
                          </w:rPr>
                          <m:t>γ</m:t>
                        </m:r>
                      </m:e>
                      <m:sub>
                        <m:r>
                          <m:rPr>
                            <m:sty m:val="p"/>
                          </m:rPr>
                          <w:rPr>
                            <w:rFonts w:ascii="Cambria Math" w:hAnsi="Cambria Math"/>
                          </w:rPr>
                          <m:t>FRP</m:t>
                        </m:r>
                      </m:sub>
                    </m:sSub>
                  </m:den>
                </m:f>
              </m:oMath>
            </m:oMathPara>
          </w:p>
        </w:tc>
        <w:tc>
          <w:tcPr>
            <w:tcW w:w="1247" w:type="dxa"/>
            <w:vAlign w:val="center"/>
          </w:tcPr>
          <w:p w14:paraId="5C7D84AE" w14:textId="7217F9AE" w:rsidR="009B1AB3" w:rsidRPr="001455DC" w:rsidRDefault="009B1AB3" w:rsidP="009B1AB3">
            <w:pPr>
              <w:pStyle w:val="a7"/>
              <w:jc w:val="right"/>
            </w:pPr>
            <w:r w:rsidRPr="001455DC">
              <w:t>(JA.1)</w:t>
            </w:r>
          </w:p>
        </w:tc>
      </w:tr>
    </w:tbl>
    <w:p w14:paraId="5CBA9803" w14:textId="77777777" w:rsidR="009B1AB3" w:rsidRPr="001455DC" w:rsidRDefault="004E22C1" w:rsidP="00A35599">
      <w:pPr>
        <w:pStyle w:val="a7"/>
        <w:keepNext/>
      </w:pPr>
      <w:r w:rsidRPr="001455DC">
        <w:t>where</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9B1AB3" w:rsidRPr="001455DC" w14:paraId="57018964" w14:textId="77777777" w:rsidTr="009B1AB3">
        <w:trPr>
          <w:cantSplit/>
        </w:trPr>
        <w:tc>
          <w:tcPr>
            <w:tcW w:w="8505" w:type="dxa"/>
            <w:vAlign w:val="center"/>
          </w:tcPr>
          <w:p w14:paraId="7D66811B" w14:textId="46A97C8D" w:rsidR="009B1AB3" w:rsidRPr="001455DC" w:rsidRDefault="00231E33" w:rsidP="009B1AB3">
            <w:pPr>
              <w:pStyle w:val="Formula"/>
              <w:jc w:val="left"/>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ftk,100a</m:t>
                    </m:r>
                  </m:sub>
                </m:sSub>
                <m: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C</m:t>
                    </m:r>
                  </m:sub>
                </m:sSub>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 xml:space="preserve"> </m:t>
                    </m:r>
                    <m:r>
                      <m:rPr>
                        <m:sty m:val="p"/>
                      </m:rPr>
                      <w:rPr>
                        <w:rFonts w:ascii="Cambria Math" w:hAnsi="Cambria Math"/>
                      </w:rPr>
                      <m:t>e</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ftk0</m:t>
                    </m:r>
                  </m:sub>
                </m:sSub>
              </m:oMath>
            </m:oMathPara>
          </w:p>
        </w:tc>
        <w:tc>
          <w:tcPr>
            <w:tcW w:w="1247" w:type="dxa"/>
            <w:vAlign w:val="center"/>
          </w:tcPr>
          <w:p w14:paraId="6073D6BA" w14:textId="3713B8DC" w:rsidR="009B1AB3" w:rsidRPr="001455DC" w:rsidRDefault="009B1AB3" w:rsidP="009B1AB3">
            <w:pPr>
              <w:pStyle w:val="a7"/>
              <w:jc w:val="right"/>
            </w:pPr>
            <w:r w:rsidRPr="001455DC">
              <w:t>(JA.2)</w:t>
            </w:r>
          </w:p>
        </w:tc>
      </w:tr>
    </w:tbl>
    <w:p w14:paraId="2786658B" w14:textId="77777777" w:rsidR="004E22C1" w:rsidRPr="001455DC" w:rsidRDefault="004E22C1" w:rsidP="00DE6BBC">
      <w:pPr>
        <w:pStyle w:val="a7"/>
        <w:keepNext/>
      </w:pPr>
      <w:r w:rsidRPr="001455DC">
        <w:rPr>
          <w:rStyle w:val="CCMCvariableitalic"/>
        </w:rPr>
        <w:t>C</w:t>
      </w:r>
      <w:r w:rsidRPr="001455DC">
        <w:rPr>
          <w:rStyle w:val="CCMCvariablesubscript"/>
        </w:rPr>
        <w:t>t</w:t>
      </w:r>
      <w:r w:rsidRPr="001455DC">
        <w:t xml:space="preserve"> is the influence factor for temperature. Unless more accurate information is available from production data, or more accurate values are determined in accordance with ISO 10406</w:t>
      </w:r>
      <w:r w:rsidRPr="001455DC">
        <w:noBreakHyphen/>
        <w:t xml:space="preserve">1, the following values may be used for </w:t>
      </w:r>
      <w:r w:rsidRPr="001455DC">
        <w:rPr>
          <w:rStyle w:val="CCMCvariableitalic"/>
        </w:rPr>
        <w:t>C</w:t>
      </w:r>
      <w:r w:rsidRPr="001455DC">
        <w:rPr>
          <w:rStyle w:val="CCMCvariablesubscript"/>
        </w:rPr>
        <w:t>t</w:t>
      </w:r>
      <w:r w:rsidRPr="001455DC">
        <w:t>:</w:t>
      </w:r>
    </w:p>
    <w:p w14:paraId="69F247A8" w14:textId="23010043" w:rsidR="004E22C1" w:rsidRPr="001455DC" w:rsidRDefault="004E22C1" w:rsidP="00EB0170">
      <w:pPr>
        <w:pStyle w:val="a0"/>
      </w:pPr>
      <w:r w:rsidRPr="001455DC">
        <w:rPr>
          <w:rStyle w:val="CCMCvariableitalic"/>
        </w:rPr>
        <w:t>C</w:t>
      </w:r>
      <w:r w:rsidRPr="001455DC">
        <w:rPr>
          <w:rStyle w:val="CCMCvariablesubscript"/>
        </w:rPr>
        <w:t>t</w:t>
      </w:r>
      <w:r w:rsidRPr="001455DC">
        <w:t> </w:t>
      </w:r>
      <w:r w:rsidR="00EC27D2" w:rsidRPr="001455DC">
        <w:rPr>
          <w:rFonts w:ascii="Cambria Math" w:hAnsi="Cambria Math"/>
        </w:rPr>
        <w:t>=</w:t>
      </w:r>
      <w:r w:rsidRPr="001455DC">
        <w:t> 1,0 for i</w:t>
      </w:r>
      <w:r w:rsidR="00EB0170" w:rsidRPr="001455DC">
        <w:t>n</w:t>
      </w:r>
      <w:r w:rsidRPr="001455DC">
        <w:t>door and underground environments,</w:t>
      </w:r>
    </w:p>
    <w:p w14:paraId="0EB3E0C9" w14:textId="0F64BD23" w:rsidR="004E22C1" w:rsidRPr="001455DC" w:rsidRDefault="004E22C1" w:rsidP="00EB0170">
      <w:pPr>
        <w:pStyle w:val="a0"/>
      </w:pPr>
      <w:r w:rsidRPr="001455DC">
        <w:rPr>
          <w:rStyle w:val="CCMCvariableitalic"/>
        </w:rPr>
        <w:t>C</w:t>
      </w:r>
      <w:r w:rsidRPr="001455DC">
        <w:rPr>
          <w:rStyle w:val="CCMCvariablesubscript"/>
        </w:rPr>
        <w:t>t</w:t>
      </w:r>
      <w:r w:rsidRPr="001455DC">
        <w:t> </w:t>
      </w:r>
      <w:r w:rsidR="00EC27D2" w:rsidRPr="001455DC">
        <w:rPr>
          <w:rFonts w:ascii="Cambria Math" w:hAnsi="Cambria Math"/>
        </w:rPr>
        <w:t>=</w:t>
      </w:r>
      <w:r w:rsidRPr="001455DC">
        <w:t> 0,8 for exterior environments where the FRP reinforcement is subject to large temperature variations;</w:t>
      </w:r>
    </w:p>
    <w:p w14:paraId="25C32FF3" w14:textId="166812F9" w:rsidR="004E22C1" w:rsidRPr="001455DC" w:rsidRDefault="004E22C1" w:rsidP="00EB0170">
      <w:pPr>
        <w:pStyle w:val="a7"/>
      </w:pPr>
      <w:r w:rsidRPr="001455DC">
        <w:rPr>
          <w:rStyle w:val="CCMCvariableitalic"/>
        </w:rPr>
        <w:t>C</w:t>
      </w:r>
      <w:r w:rsidRPr="001455DC">
        <w:rPr>
          <w:rStyle w:val="CCMCvariablesubscript"/>
        </w:rPr>
        <w:t>c</w:t>
      </w:r>
      <w:r w:rsidRPr="001455DC">
        <w:t xml:space="preserve"> is the influence factor for service life which may be taken as </w:t>
      </w:r>
      <w:r w:rsidRPr="001455DC">
        <w:rPr>
          <w:rStyle w:val="CCMCvariableitalic"/>
        </w:rPr>
        <w:t>C</w:t>
      </w:r>
      <w:r w:rsidRPr="001455DC">
        <w:rPr>
          <w:rStyle w:val="CCMCvariablesubscript"/>
        </w:rPr>
        <w:t>c</w:t>
      </w:r>
      <w:r w:rsidRPr="001455DC">
        <w:t> </w:t>
      </w:r>
      <w:r w:rsidR="00EC27D2" w:rsidRPr="001455DC">
        <w:rPr>
          <w:rFonts w:ascii="Cambria Math" w:hAnsi="Cambria Math"/>
        </w:rPr>
        <w:t>=</w:t>
      </w:r>
      <w:r w:rsidRPr="001455DC">
        <w:t> 0,35 unless more accurate values are determined in accordance with ISO 10406</w:t>
      </w:r>
      <w:r w:rsidRPr="001455DC">
        <w:noBreakHyphen/>
        <w:t>1;</w:t>
      </w:r>
    </w:p>
    <w:p w14:paraId="4C134835" w14:textId="42DC665C" w:rsidR="004E22C1" w:rsidRPr="001455DC" w:rsidRDefault="004E22C1" w:rsidP="00EB0170">
      <w:pPr>
        <w:pStyle w:val="a7"/>
      </w:pPr>
      <w:r w:rsidRPr="001455DC">
        <w:rPr>
          <w:rStyle w:val="CCMCvariableitalic"/>
        </w:rPr>
        <w:t>C</w:t>
      </w:r>
      <w:r w:rsidRPr="001455DC">
        <w:rPr>
          <w:rStyle w:val="CCMCvariablesubscript"/>
        </w:rPr>
        <w:t>e</w:t>
      </w:r>
      <w:r w:rsidRPr="001455DC">
        <w:t xml:space="preserve"> is the influence factor for environmental attack which may be taken as </w:t>
      </w:r>
      <w:r w:rsidRPr="001455DC">
        <w:rPr>
          <w:rStyle w:val="CCMCvariableitalic"/>
        </w:rPr>
        <w:t>C</w:t>
      </w:r>
      <w:r w:rsidRPr="001455DC">
        <w:rPr>
          <w:rStyle w:val="CCMCvariablesubscript"/>
        </w:rPr>
        <w:t>e</w:t>
      </w:r>
      <w:r w:rsidRPr="001455DC">
        <w:t> </w:t>
      </w:r>
      <w:r w:rsidR="00EC27D2" w:rsidRPr="001455DC">
        <w:rPr>
          <w:rFonts w:ascii="Cambria Math" w:hAnsi="Cambria Math"/>
        </w:rPr>
        <w:t>=</w:t>
      </w:r>
      <w:r w:rsidRPr="001455DC">
        <w:t> 0,7 unless more accurate values are determined in accordance with ISO 10406</w:t>
      </w:r>
      <w:r w:rsidRPr="001455DC">
        <w:noBreakHyphen/>
        <w:t>1.</w:t>
      </w:r>
    </w:p>
    <w:p w14:paraId="1AC5E54F" w14:textId="42AF5AD7" w:rsidR="004E22C1" w:rsidRPr="001455DC" w:rsidRDefault="00723CF7" w:rsidP="00EB0170">
      <w:pPr>
        <w:pStyle w:val="FigureImage"/>
      </w:pPr>
      <w:r>
        <w:rPr>
          <w:noProof/>
          <w:lang w:eastAsia="en-GB"/>
        </w:rPr>
        <w:fldChar w:fldCharType="begin"/>
      </w:r>
      <w:r>
        <w:rPr>
          <w:noProof/>
          <w:lang w:eastAsia="en-GB"/>
        </w:rPr>
        <w:instrText xml:space="preserve"> INCLUDEPICTURE  "Y:\\STD_MGT\\STDDEL\\PRODUCTION\\etrans\\Download\\Z_FIRST_DEL\\SV\\00250\\00250269\\41_e_dr\\j009.tif"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"Y:\\STD_MGT\\STDDEL\\PRODUCTION\\Standards\\00250\\269\\41_e_dr\\j009.tif"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"Y:\\STD_MGT\\STDDEL\\PRODUCTION\\Standards\\00250\\269\\41_e_dr\\j009.tif"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"Y:\\STD_MGT\\STDDEL\\PRODUCTION\\Standards\\00250\\269\\41_e_dr\\j009.tif"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"Y:\\STD_MGT\\STDDEL\\PRODUCTION\\Standards\\00250\\269\\41_e_dr\\j009.tif"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"Y:\\STD_MGT\\STDDEL\\PRODUCTION\\Standards\\00250\\269\\41_e_dr\\j009.tif"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"C:\\Users\\a.dionysiou\\AppData\\Local\\Temp\\Temp1_00250269_e_20210902.zip.zip\\41_e_dr\\j009.tif"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6C710138">
          <v:shape id="_x0000_i1322" type="#_x0000_t75" style="width:267.75pt;height:182.25pt">
            <v:imagedata r:id="rId614" r:href="rId615"/>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0778B36F" w14:textId="77777777" w:rsidR="00363AD0" w:rsidRDefault="008D5584" w:rsidP="00363AD0">
      <w:pPr>
        <w:pStyle w:val="KeyTitle"/>
      </w:pPr>
      <w:r w:rsidRPr="009D3012">
        <w:t>Key</w:t>
      </w:r>
    </w:p>
    <w:tbl>
      <w:tblPr>
        <w:tblW w:w="0" w:type="auto"/>
        <w:tblInd w:w="-100" w:type="dxa"/>
        <w:tblCellMar>
          <w:left w:w="100" w:type="dxa"/>
        </w:tblCellMar>
        <w:tblLook w:val="0000" w:firstRow="0" w:lastRow="0" w:firstColumn="0" w:lastColumn="0" w:noHBand="0" w:noVBand="0"/>
      </w:tblPr>
      <w:tblGrid>
        <w:gridCol w:w="309"/>
        <w:gridCol w:w="714"/>
      </w:tblGrid>
      <w:tr w:rsidR="00363AD0" w:rsidRPr="00363AD0" w14:paraId="47F43BEA" w14:textId="77777777" w:rsidTr="00363AD0">
        <w:tc>
          <w:tcPr>
            <w:tcW w:w="0" w:type="auto"/>
            <w:shd w:val="clear" w:color="auto" w:fill="auto"/>
          </w:tcPr>
          <w:p w14:paraId="7BCD366C" w14:textId="77777777" w:rsidR="00363AD0" w:rsidRPr="00363AD0" w:rsidRDefault="00363AD0" w:rsidP="003E0584">
            <w:pPr>
              <w:pStyle w:val="KeyText"/>
              <w:tabs>
                <w:tab w:val="clear" w:pos="346"/>
              </w:tabs>
              <w:ind w:left="0" w:firstLine="0"/>
            </w:pPr>
            <w:r w:rsidRPr="00363AD0">
              <w:t>x</w:t>
            </w:r>
          </w:p>
        </w:tc>
        <w:tc>
          <w:tcPr>
            <w:tcW w:w="714" w:type="dxa"/>
            <w:shd w:val="clear" w:color="auto" w:fill="auto"/>
          </w:tcPr>
          <w:p w14:paraId="0AADC892" w14:textId="77777777" w:rsidR="00363AD0" w:rsidRPr="00363AD0" w:rsidRDefault="00363AD0" w:rsidP="003E0584">
            <w:pPr>
              <w:pStyle w:val="KeyText"/>
              <w:tabs>
                <w:tab w:val="clear" w:pos="346"/>
              </w:tabs>
              <w:ind w:left="0" w:firstLine="0"/>
            </w:pPr>
            <w:r w:rsidRPr="00363AD0">
              <w:t>strain</w:t>
            </w:r>
          </w:p>
        </w:tc>
      </w:tr>
      <w:tr w:rsidR="00363AD0" w:rsidRPr="00363AD0" w14:paraId="03A308A3" w14:textId="77777777" w:rsidTr="00363AD0">
        <w:tc>
          <w:tcPr>
            <w:tcW w:w="0" w:type="auto"/>
            <w:shd w:val="clear" w:color="auto" w:fill="auto"/>
          </w:tcPr>
          <w:p w14:paraId="7FAB66A8" w14:textId="77777777" w:rsidR="00363AD0" w:rsidRPr="00363AD0" w:rsidRDefault="00363AD0" w:rsidP="003E0584">
            <w:pPr>
              <w:pStyle w:val="KeyText"/>
              <w:tabs>
                <w:tab w:val="clear" w:pos="346"/>
              </w:tabs>
              <w:ind w:left="0" w:firstLine="0"/>
            </w:pPr>
            <w:r w:rsidRPr="00363AD0">
              <w:t>y</w:t>
            </w:r>
          </w:p>
        </w:tc>
        <w:tc>
          <w:tcPr>
            <w:tcW w:w="714" w:type="dxa"/>
            <w:shd w:val="clear" w:color="auto" w:fill="auto"/>
          </w:tcPr>
          <w:p w14:paraId="6D8E3563" w14:textId="77777777" w:rsidR="00363AD0" w:rsidRPr="00363AD0" w:rsidRDefault="00363AD0" w:rsidP="003E0584">
            <w:pPr>
              <w:pStyle w:val="KeyText"/>
              <w:tabs>
                <w:tab w:val="clear" w:pos="346"/>
              </w:tabs>
              <w:ind w:left="0" w:firstLine="0"/>
            </w:pPr>
            <w:r w:rsidRPr="00363AD0">
              <w:t>stress</w:t>
            </w:r>
          </w:p>
        </w:tc>
      </w:tr>
    </w:tbl>
    <w:p w14:paraId="34FAC930" w14:textId="77777777" w:rsidR="004E22C1" w:rsidRPr="001455DC" w:rsidRDefault="004E22C1" w:rsidP="00EB0170">
      <w:pPr>
        <w:pStyle w:val="Figuretitle"/>
      </w:pPr>
      <w:r w:rsidRPr="001455DC">
        <w:t>Figure JA.1 — Design stress-strain-diagram for FRP Reinforcement</w:t>
      </w:r>
    </w:p>
    <w:p w14:paraId="140506D7" w14:textId="77777777" w:rsidR="004E22C1" w:rsidRPr="001455DC" w:rsidRDefault="004E22C1" w:rsidP="00EB0170">
      <w:pPr>
        <w:pStyle w:val="a7"/>
      </w:pPr>
      <w:r w:rsidRPr="001455DC">
        <w:rPr>
          <w:bCs/>
          <w:szCs w:val="22"/>
        </w:rPr>
        <w:t>(3)</w:t>
      </w:r>
      <w:r w:rsidRPr="001455DC">
        <w:rPr>
          <w:bCs/>
          <w:szCs w:val="22"/>
        </w:rPr>
        <w:tab/>
      </w:r>
      <w:r w:rsidRPr="001455DC">
        <w:t>FRP reinforcement shall be used as tension reinforcement only.</w:t>
      </w:r>
    </w:p>
    <w:p w14:paraId="1FE415C3" w14:textId="1E0EC506" w:rsidR="004E22C1" w:rsidRPr="001455DC" w:rsidRDefault="004E22C1" w:rsidP="00EB0170">
      <w:pPr>
        <w:pStyle w:val="a7"/>
      </w:pPr>
      <w:r w:rsidRPr="001455DC">
        <w:t>(4)</w:t>
      </w:r>
      <w:r w:rsidRPr="001455DC">
        <w:tab/>
        <w:t>The mean density of FRP for the purposes of design may be taken as 2</w:t>
      </w:r>
      <w:r w:rsidR="00EB0170" w:rsidRPr="001455DC">
        <w:t> </w:t>
      </w:r>
      <w:r w:rsidRPr="001455DC">
        <w:t>000 kg/m</w:t>
      </w:r>
      <w:r w:rsidRPr="001455DC">
        <w:rPr>
          <w:rStyle w:val="CCMCvariablesuperscript"/>
        </w:rPr>
        <w:t>3</w:t>
      </w:r>
      <w:r w:rsidRPr="001455DC">
        <w:t>.</w:t>
      </w:r>
    </w:p>
    <w:p w14:paraId="4DF38B70" w14:textId="3336B6A6" w:rsidR="004E22C1" w:rsidRPr="001455DC" w:rsidRDefault="004E22C1" w:rsidP="00EB0170">
      <w:pPr>
        <w:pStyle w:val="a7"/>
      </w:pPr>
      <w:r w:rsidRPr="001455DC">
        <w:t>(5)</w:t>
      </w:r>
      <w:r w:rsidRPr="001455DC">
        <w:tab/>
        <w:t xml:space="preserve">The coefficient of thermal expansion </w:t>
      </w:r>
      <w:r w:rsidRPr="001455DC">
        <w:rPr>
          <w:rStyle w:val="CCMCvariableitalic"/>
        </w:rPr>
        <w:t>α</w:t>
      </w:r>
      <w:r w:rsidRPr="001455DC">
        <w:rPr>
          <w:rStyle w:val="CCMCvariablesubscript"/>
        </w:rPr>
        <w:t>FRP,th</w:t>
      </w:r>
      <w:r w:rsidRPr="001455DC">
        <w:t xml:space="preserve"> in longitudinal direction may be taken as</w:t>
      </w:r>
      <w:r w:rsidR="009B1AB3" w:rsidRPr="001455DC">
        <w:t xml:space="preserve"> </w:t>
      </w:r>
      <w:r w:rsidRPr="001455DC">
        <w:t>5 </w:t>
      </w:r>
      <w:r w:rsidRPr="001455DC">
        <w:rPr>
          <w:rFonts w:ascii="Cambria Math" w:hAnsi="Cambria Math" w:cs="Cambria Math"/>
        </w:rPr>
        <w:t>⋅</w:t>
      </w:r>
      <w:r w:rsidRPr="001455DC">
        <w:t> 10</w:t>
      </w:r>
      <w:r w:rsidR="00EC27D2" w:rsidRPr="001455DC">
        <w:rPr>
          <w:rStyle w:val="CCMCvariablesuperscript"/>
          <w:rFonts w:ascii="Cambria Math" w:hAnsi="Cambria Math"/>
        </w:rPr>
        <w:t>−</w:t>
      </w:r>
      <w:r w:rsidRPr="001455DC">
        <w:rPr>
          <w:rStyle w:val="CCMCvariablesuperscript"/>
        </w:rPr>
        <w:t>6</w:t>
      </w:r>
      <w:r w:rsidRPr="001455DC">
        <w:t> K</w:t>
      </w:r>
      <w:r w:rsidR="00EC27D2" w:rsidRPr="001455DC">
        <w:rPr>
          <w:rStyle w:val="CCMCvariablesuperscript"/>
          <w:rFonts w:ascii="Cambria Math" w:hAnsi="Cambria Math"/>
        </w:rPr>
        <w:t>−</w:t>
      </w:r>
      <w:r w:rsidRPr="001455DC">
        <w:rPr>
          <w:rStyle w:val="CCMCvariablesuperscript"/>
        </w:rPr>
        <w:t>1</w:t>
      </w:r>
      <w:r w:rsidRPr="001455DC">
        <w:t xml:space="preserve"> for GFRP bars and 0 for CFRP bars.</w:t>
      </w:r>
    </w:p>
    <w:p w14:paraId="1339292C" w14:textId="467ED362" w:rsidR="004E22C1" w:rsidRPr="001455DC" w:rsidRDefault="004E22C1" w:rsidP="00082680">
      <w:pPr>
        <w:pStyle w:val="a2"/>
        <w:numPr>
          <w:ilvl w:val="0"/>
          <w:numId w:val="0"/>
        </w:numPr>
      </w:pPr>
      <w:bookmarkStart w:id="2036" w:name="_Toc52820312"/>
      <w:bookmarkStart w:id="2037" w:name="_Toc54337200"/>
      <w:bookmarkStart w:id="2038" w:name="_Toc54337742"/>
      <w:bookmarkStart w:id="2039" w:name="_Toc54338360"/>
      <w:bookmarkStart w:id="2040" w:name="_Toc67565602"/>
      <w:r w:rsidRPr="001455DC">
        <w:t>JA.6</w:t>
      </w:r>
      <w:r w:rsidRPr="001455DC">
        <w:tab/>
      </w:r>
      <w:r w:rsidR="005965D6" w:rsidRPr="001455DC">
        <w:t>Durability</w:t>
      </w:r>
      <w:bookmarkEnd w:id="2036"/>
      <w:bookmarkEnd w:id="2037"/>
      <w:bookmarkEnd w:id="2038"/>
      <w:bookmarkEnd w:id="2039"/>
      <w:r w:rsidR="00311BD3" w:rsidRPr="001455DC">
        <w:t xml:space="preserve"> - Concrete cover - Special rules for FRP reinforcement</w:t>
      </w:r>
      <w:bookmarkEnd w:id="2040"/>
    </w:p>
    <w:p w14:paraId="1F294FEC" w14:textId="2B583811" w:rsidR="004E22C1" w:rsidRPr="001455DC" w:rsidRDefault="004E22C1" w:rsidP="009B1AB3">
      <w:pPr>
        <w:pStyle w:val="a7"/>
      </w:pPr>
      <w:r w:rsidRPr="001455DC">
        <w:t>(1)</w:t>
      </w:r>
      <w:r w:rsidRPr="001455DC">
        <w:tab/>
        <w:t xml:space="preserve">The value of </w:t>
      </w:r>
      <m:oMath>
        <m:sSub>
          <m:sSubPr>
            <m:ctrlPr>
              <w:rPr>
                <w:rFonts w:ascii="Cambria Math" w:hAnsi="Cambria Math"/>
              </w:rPr>
            </m:ctrlPr>
          </m:sSubPr>
          <m:e>
            <m:r>
              <w:rPr>
                <w:rFonts w:ascii="Cambria Math" w:hAnsi="Cambria Math"/>
              </w:rPr>
              <m:t>c</m:t>
            </m:r>
          </m:e>
          <m:sub>
            <m:r>
              <m:rPr>
                <m:sty m:val="p"/>
              </m:rPr>
              <w:rPr>
                <w:rFonts w:ascii="Cambria Math" w:hAnsi="Cambria Math"/>
              </w:rPr>
              <m:t>min,dur</m:t>
            </m:r>
          </m:sub>
        </m:sSub>
      </m:oMath>
      <w:r w:rsidRPr="001455DC">
        <w:t xml:space="preserve"> for FRP reinforcement in Formula (6.2) may be taken as zero.</w:t>
      </w:r>
    </w:p>
    <w:p w14:paraId="0EEBCE8E" w14:textId="74B3E039" w:rsidR="004E22C1" w:rsidRPr="001455DC" w:rsidRDefault="004E22C1" w:rsidP="009B1AB3">
      <w:pPr>
        <w:pStyle w:val="a7"/>
      </w:pPr>
      <w:r w:rsidRPr="001455DC">
        <w:t>(2)</w:t>
      </w:r>
      <w:r w:rsidRPr="001455DC">
        <w:tab/>
        <w:t xml:space="preserve">Unless more accurate information is available based on test data, the cover for bond for FRP reinforcement should be taken as </w:t>
      </w:r>
      <w:r w:rsidRPr="001455DC">
        <w:rPr>
          <w:rStyle w:val="CCMCvariableitalic"/>
        </w:rPr>
        <w:t>c</w:t>
      </w:r>
      <w:r w:rsidRPr="001455DC">
        <w:rPr>
          <w:rStyle w:val="CCMCvariablesubscript"/>
        </w:rPr>
        <w:t>min,b</w:t>
      </w:r>
      <w:r w:rsidRPr="001455DC">
        <w:t> </w:t>
      </w:r>
      <w:r w:rsidR="00650035" w:rsidRPr="001455DC">
        <w:rPr>
          <w:rFonts w:ascii="Cambria Math" w:hAnsi="Cambria Math"/>
        </w:rPr>
        <w:t>≥</w:t>
      </w:r>
      <w:r w:rsidR="00073FC6" w:rsidRPr="001455DC">
        <w:t> </w:t>
      </w:r>
      <w:r w:rsidRPr="001455DC">
        <w:t>2</w:t>
      </w:r>
      <w:r w:rsidRPr="001455DC">
        <w:rPr>
          <w:rStyle w:val="CCMCvariableitalic"/>
        </w:rPr>
        <w:t>ϕ</w:t>
      </w:r>
      <w:r w:rsidRPr="001455DC">
        <w:t xml:space="preserve">. But at least the minimum cover for FRP reinforcement shall be taken as </w:t>
      </w:r>
      <w:r w:rsidRPr="001455DC">
        <w:rPr>
          <w:rStyle w:val="CCMCvariableitalic"/>
        </w:rPr>
        <w:t>c</w:t>
      </w:r>
      <w:r w:rsidRPr="001455DC">
        <w:rPr>
          <w:rStyle w:val="CCMCvariablesubscript"/>
        </w:rPr>
        <w:t>min,b</w:t>
      </w:r>
      <w:r w:rsidRPr="001455DC">
        <w:t> </w:t>
      </w:r>
      <w:r w:rsidR="00650035" w:rsidRPr="001455DC">
        <w:rPr>
          <w:rFonts w:ascii="Cambria Math" w:hAnsi="Cambria Math"/>
        </w:rPr>
        <w:t>≥</w:t>
      </w:r>
      <w:r w:rsidR="00073FC6" w:rsidRPr="001455DC">
        <w:t> </w:t>
      </w:r>
      <w:r w:rsidRPr="001455DC">
        <w:t>1,5</w:t>
      </w:r>
      <w:r w:rsidRPr="001455DC">
        <w:rPr>
          <w:rStyle w:val="CCMCvariableitalic"/>
        </w:rPr>
        <w:t>ϕ</w:t>
      </w:r>
      <w:r w:rsidRPr="001455DC">
        <w:t>.</w:t>
      </w:r>
    </w:p>
    <w:p w14:paraId="075FCB72" w14:textId="77777777" w:rsidR="004E22C1" w:rsidRPr="001455DC" w:rsidRDefault="004E22C1" w:rsidP="009B1AB3">
      <w:pPr>
        <w:pStyle w:val="a7"/>
      </w:pPr>
      <w:r w:rsidRPr="001455DC">
        <w:t>(3)</w:t>
      </w:r>
      <w:r w:rsidRPr="001455DC">
        <w:tab/>
        <w:t>Direct contact of carbon FRP reinforcement bars with steel reinforcement should be avoided.</w:t>
      </w:r>
    </w:p>
    <w:p w14:paraId="010C8E30" w14:textId="2B57FC18" w:rsidR="004E22C1" w:rsidRPr="001455DC" w:rsidRDefault="004E22C1" w:rsidP="00082680">
      <w:pPr>
        <w:pStyle w:val="a2"/>
        <w:numPr>
          <w:ilvl w:val="0"/>
          <w:numId w:val="0"/>
        </w:numPr>
      </w:pPr>
      <w:bookmarkStart w:id="2041" w:name="_Toc52820315"/>
      <w:bookmarkStart w:id="2042" w:name="_Toc54337201"/>
      <w:bookmarkStart w:id="2043" w:name="_Toc54337745"/>
      <w:bookmarkStart w:id="2044" w:name="_Toc54338363"/>
      <w:bookmarkStart w:id="2045" w:name="_Toc67565603"/>
      <w:r w:rsidRPr="001455DC">
        <w:t>JA.7</w:t>
      </w:r>
      <w:r w:rsidRPr="001455DC">
        <w:tab/>
      </w:r>
      <w:r w:rsidR="005965D6" w:rsidRPr="001455DC">
        <w:t>Structural analysis</w:t>
      </w:r>
      <w:bookmarkEnd w:id="2041"/>
      <w:bookmarkEnd w:id="2042"/>
      <w:bookmarkEnd w:id="2043"/>
      <w:bookmarkEnd w:id="2044"/>
      <w:r w:rsidR="0043513F" w:rsidRPr="001455DC">
        <w:t xml:space="preserve"> - Special rules for FRP reinforcement</w:t>
      </w:r>
      <w:bookmarkEnd w:id="2045"/>
    </w:p>
    <w:p w14:paraId="6F3551B4" w14:textId="77777777" w:rsidR="004E22C1" w:rsidRPr="001455DC" w:rsidRDefault="004E22C1" w:rsidP="009B1AB3">
      <w:pPr>
        <w:pStyle w:val="a7"/>
      </w:pPr>
      <w:r w:rsidRPr="001455DC">
        <w:t>(1)</w:t>
      </w:r>
      <w:r w:rsidRPr="001455DC">
        <w:tab/>
        <w:t>For straight FRP-bars installed in a curved shape the bending stress shall be taken into account as permanent action.</w:t>
      </w:r>
    </w:p>
    <w:p w14:paraId="6B8C5F8C" w14:textId="77777777" w:rsidR="004E22C1" w:rsidRPr="001455DC" w:rsidRDefault="004E22C1" w:rsidP="009B1AB3">
      <w:pPr>
        <w:pStyle w:val="a7"/>
      </w:pPr>
      <w:r w:rsidRPr="001455DC">
        <w:t>(2)</w:t>
      </w:r>
      <w:r w:rsidRPr="001455DC">
        <w:tab/>
        <w:t>Linear elastic analysis with limited redistribution according to 7.3.2 shall not be undertaken for members with FRP reinforcement.</w:t>
      </w:r>
    </w:p>
    <w:p w14:paraId="033A7320" w14:textId="77777777" w:rsidR="004E22C1" w:rsidRPr="001455DC" w:rsidRDefault="004E22C1" w:rsidP="009B1AB3">
      <w:pPr>
        <w:pStyle w:val="a7"/>
      </w:pPr>
      <w:r w:rsidRPr="001455DC">
        <w:t>(3)</w:t>
      </w:r>
      <w:r w:rsidRPr="001455DC">
        <w:tab/>
        <w:t>Plastic analysis according to 7.3.3 shall not be undertaken for members with FRP reinforcement.</w:t>
      </w:r>
    </w:p>
    <w:p w14:paraId="745F5070" w14:textId="2529237D" w:rsidR="004E22C1" w:rsidRPr="001455DC" w:rsidRDefault="004E22C1" w:rsidP="009B1AB3">
      <w:pPr>
        <w:pStyle w:val="a7"/>
      </w:pPr>
      <w:r w:rsidRPr="001455DC">
        <w:t>(4)</w:t>
      </w:r>
      <w:r w:rsidRPr="001455DC">
        <w:tab/>
        <w:t xml:space="preserve">Non-linear analysis according to 7.3.4 may be undertaken using the model outlined in Figure JA.1 with design strength, </w:t>
      </w:r>
      <m:oMath>
        <m:sSub>
          <m:sSubPr>
            <m:ctrlPr>
              <w:rPr>
                <w:rFonts w:ascii="Cambria Math" w:hAnsi="Cambria Math"/>
              </w:rPr>
            </m:ctrlPr>
          </m:sSubPr>
          <m:e>
            <m:r>
              <w:rPr>
                <w:rFonts w:ascii="Cambria Math" w:hAnsi="Cambria Math"/>
              </w:rPr>
              <m:t>f</m:t>
            </m:r>
          </m:e>
          <m:sub>
            <m:r>
              <m:rPr>
                <m:sty m:val="p"/>
              </m:rPr>
              <w:rPr>
                <w:rFonts w:ascii="Cambria Math" w:hAnsi="Cambria Math"/>
              </w:rPr>
              <m:t>ftd</m:t>
            </m:r>
          </m:sub>
        </m:sSub>
      </m:oMath>
      <w:r w:rsidRPr="001455DC">
        <w:t xml:space="preserve">, and corresponding design rupture strain, </w:t>
      </w:r>
      <m:oMath>
        <m:sSub>
          <m:sSubPr>
            <m:ctrlPr>
              <w:rPr>
                <w:rFonts w:ascii="Cambria Math" w:hAnsi="Cambria Math"/>
              </w:rPr>
            </m:ctrlPr>
          </m:sSubPr>
          <m:e>
            <m:r>
              <w:rPr>
                <w:rFonts w:ascii="Cambria Math" w:hAnsi="Cambria Math"/>
              </w:rPr>
              <m:t>ε</m:t>
            </m:r>
          </m:e>
          <m:sub>
            <m:r>
              <m:rPr>
                <m:sty m:val="p"/>
              </m:rPr>
              <w:rPr>
                <w:rFonts w:ascii="Cambria Math" w:hAnsi="Cambria Math"/>
              </w:rPr>
              <m:t>fRd</m:t>
            </m:r>
          </m:sub>
        </m:sSub>
      </m:oMath>
      <w:r w:rsidRPr="001455DC">
        <w:t>.</w:t>
      </w:r>
    </w:p>
    <w:p w14:paraId="4CBEF547" w14:textId="54362340" w:rsidR="004E22C1" w:rsidRPr="001455DC" w:rsidRDefault="004E22C1" w:rsidP="00082680">
      <w:pPr>
        <w:pStyle w:val="a2"/>
        <w:numPr>
          <w:ilvl w:val="0"/>
          <w:numId w:val="0"/>
        </w:numPr>
      </w:pPr>
      <w:bookmarkStart w:id="2046" w:name="_Toc52820317"/>
      <w:bookmarkStart w:id="2047" w:name="_Toc54337202"/>
      <w:bookmarkStart w:id="2048" w:name="_Toc54337747"/>
      <w:bookmarkStart w:id="2049" w:name="_Toc54338365"/>
      <w:bookmarkStart w:id="2050" w:name="_Toc67565604"/>
      <w:r w:rsidRPr="001455DC">
        <w:t>JA.8</w:t>
      </w:r>
      <w:r w:rsidRPr="001455DC">
        <w:tab/>
      </w:r>
      <w:r w:rsidR="005965D6" w:rsidRPr="001455DC">
        <w:t>Ultimate Limit States</w:t>
      </w:r>
      <w:r w:rsidRPr="001455DC">
        <w:t xml:space="preserve"> (ULS)</w:t>
      </w:r>
      <w:bookmarkEnd w:id="2046"/>
      <w:bookmarkEnd w:id="2047"/>
      <w:bookmarkEnd w:id="2048"/>
      <w:bookmarkEnd w:id="2049"/>
      <w:r w:rsidR="00BB2431" w:rsidRPr="001455DC">
        <w:t xml:space="preserve"> - Special rules for FRP reinforcement</w:t>
      </w:r>
      <w:bookmarkEnd w:id="2050"/>
    </w:p>
    <w:p w14:paraId="54D47E42" w14:textId="32475E2A" w:rsidR="004E22C1" w:rsidRPr="001455DC" w:rsidRDefault="004E22C1" w:rsidP="00363AD0">
      <w:pPr>
        <w:pStyle w:val="a3"/>
        <w:numPr>
          <w:ilvl w:val="0"/>
          <w:numId w:val="0"/>
        </w:numPr>
        <w:ind w:left="102"/>
      </w:pPr>
      <w:bookmarkStart w:id="2051" w:name="_Toc52820318"/>
      <w:bookmarkStart w:id="2052" w:name="_Toc54337748"/>
      <w:bookmarkStart w:id="2053" w:name="_Toc54338366"/>
      <w:r w:rsidRPr="001455DC">
        <w:t>JA.8.1</w:t>
      </w:r>
      <w:r w:rsidRPr="001455DC">
        <w:tab/>
        <w:t>Bending with or without axial forces</w:t>
      </w:r>
      <w:bookmarkEnd w:id="2051"/>
      <w:bookmarkEnd w:id="2052"/>
      <w:bookmarkEnd w:id="2053"/>
    </w:p>
    <w:p w14:paraId="4FA7829D" w14:textId="5C5B6175" w:rsidR="004E22C1" w:rsidRPr="001455DC" w:rsidRDefault="004E22C1" w:rsidP="009B1AB3">
      <w:pPr>
        <w:pStyle w:val="a7"/>
      </w:pPr>
      <w:r w:rsidRPr="001455DC">
        <w:t>(1)</w:t>
      </w:r>
      <w:r w:rsidRPr="001455DC">
        <w:tab/>
        <w:t xml:space="preserve">The tensile strain in FRP reinforcement shall be limited to the design rupture strain, </w:t>
      </w:r>
      <m:oMath>
        <m:sSub>
          <m:sSubPr>
            <m:ctrlPr>
              <w:rPr>
                <w:rFonts w:ascii="Cambria Math" w:hAnsi="Cambria Math"/>
              </w:rPr>
            </m:ctrlPr>
          </m:sSubPr>
          <m:e>
            <m:r>
              <w:rPr>
                <w:rFonts w:ascii="Cambria Math" w:hAnsi="Cambria Math"/>
              </w:rPr>
              <m:t>ε</m:t>
            </m:r>
          </m:e>
          <m:sub>
            <m:r>
              <m:rPr>
                <m:sty m:val="p"/>
              </m:rPr>
              <w:rPr>
                <w:rFonts w:ascii="Cambria Math" w:hAnsi="Cambria Math"/>
              </w:rPr>
              <m:t>fRd</m:t>
            </m:r>
          </m:sub>
        </m:sSub>
      </m:oMath>
      <w:r w:rsidRPr="001455DC">
        <w:t>.</w:t>
      </w:r>
    </w:p>
    <w:p w14:paraId="684AB3C0" w14:textId="6D1D26C7" w:rsidR="004E22C1" w:rsidRPr="001455DC" w:rsidRDefault="004E22C1" w:rsidP="009B1AB3">
      <w:pPr>
        <w:pStyle w:val="a7"/>
      </w:pPr>
      <w:r w:rsidRPr="001455DC">
        <w:t>(2)</w:t>
      </w:r>
      <w:r w:rsidRPr="001455DC">
        <w:tab/>
        <w:t xml:space="preserve">Unless more rigorous analysis is undertaken the benefit of the confining effect of FRP reinforcement should be reduced by the ratio </w:t>
      </w:r>
      <m:oMath>
        <m:f>
          <m:fPr>
            <m:type m:val="lin"/>
            <m:ctrlPr>
              <w:rPr>
                <w:rFonts w:ascii="Cambria Math" w:hAnsi="Cambria Math"/>
                <w:bCs/>
              </w:rPr>
            </m:ctrlPr>
          </m:fPr>
          <m:num>
            <m:sSub>
              <m:sSubPr>
                <m:ctrlPr>
                  <w:rPr>
                    <w:rFonts w:ascii="Cambria Math" w:hAnsi="Cambria Math"/>
                    <w:bCs/>
                  </w:rPr>
                </m:ctrlPr>
              </m:sSubPr>
              <m:e>
                <m:r>
                  <w:rPr>
                    <w:rFonts w:ascii="Cambria Math" w:hAnsi="Cambria Math"/>
                  </w:rPr>
                  <m:t>E</m:t>
                </m:r>
              </m:e>
              <m:sub>
                <m:r>
                  <m:rPr>
                    <m:sty m:val="p"/>
                  </m:rPr>
                  <w:rPr>
                    <w:rFonts w:ascii="Cambria Math" w:hAnsi="Cambria Math"/>
                  </w:rPr>
                  <m:t>fR</m:t>
                </m:r>
              </m:sub>
            </m:sSub>
          </m:num>
          <m:den>
            <m:sSub>
              <m:sSubPr>
                <m:ctrlPr>
                  <w:rPr>
                    <w:rFonts w:ascii="Cambria Math" w:hAnsi="Cambria Math"/>
                    <w:bCs/>
                  </w:rPr>
                </m:ctrlPr>
              </m:sSubPr>
              <m:e>
                <m:r>
                  <w:rPr>
                    <w:rFonts w:ascii="Cambria Math" w:hAnsi="Cambria Math"/>
                  </w:rPr>
                  <m:t>E</m:t>
                </m:r>
              </m:e>
              <m:sub>
                <m:r>
                  <m:rPr>
                    <m:sty m:val="p"/>
                  </m:rPr>
                  <w:rPr>
                    <w:rFonts w:ascii="Cambria Math" w:hAnsi="Cambria Math"/>
                  </w:rPr>
                  <m:t>s</m:t>
                </m:r>
              </m:sub>
            </m:sSub>
          </m:den>
        </m:f>
      </m:oMath>
      <w:r w:rsidRPr="001455DC">
        <w:t xml:space="preserve"> in any direction that confinement is considered.</w:t>
      </w:r>
    </w:p>
    <w:p w14:paraId="14DEAA1D" w14:textId="288C34A2" w:rsidR="004E22C1" w:rsidRPr="001455DC" w:rsidRDefault="004E22C1" w:rsidP="00363AD0">
      <w:pPr>
        <w:pStyle w:val="a3"/>
        <w:numPr>
          <w:ilvl w:val="0"/>
          <w:numId w:val="0"/>
        </w:numPr>
      </w:pPr>
      <w:bookmarkStart w:id="2054" w:name="_Toc52820320"/>
      <w:bookmarkStart w:id="2055" w:name="_Toc54337750"/>
      <w:bookmarkStart w:id="2056" w:name="_Toc54338368"/>
      <w:r w:rsidRPr="001455DC">
        <w:t>JA.8.2</w:t>
      </w:r>
      <w:r w:rsidRPr="001455DC">
        <w:tab/>
        <w:t>Shear</w:t>
      </w:r>
      <w:bookmarkEnd w:id="2054"/>
      <w:bookmarkEnd w:id="2055"/>
      <w:bookmarkEnd w:id="2056"/>
    </w:p>
    <w:p w14:paraId="428AD2C7" w14:textId="00A7767B" w:rsidR="009B1AB3" w:rsidRPr="001455DC" w:rsidRDefault="004E22C1" w:rsidP="009B1AB3">
      <w:pPr>
        <w:pStyle w:val="a7"/>
      </w:pPr>
      <w:r w:rsidRPr="001455DC">
        <w:t>(1)</w:t>
      </w:r>
      <w:r w:rsidRPr="001455DC">
        <w:tab/>
        <w:t>For members reinforced with FRP reinforcement, the minimum shear resistance in 8.2.1(4) may be calculated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9B1AB3" w:rsidRPr="001455DC" w14:paraId="1B94E8BE" w14:textId="77777777" w:rsidTr="009B1AB3">
        <w:trPr>
          <w:cantSplit/>
        </w:trPr>
        <w:tc>
          <w:tcPr>
            <w:tcW w:w="8505" w:type="dxa"/>
            <w:vAlign w:val="center"/>
          </w:tcPr>
          <w:p w14:paraId="62C4F3F5" w14:textId="0C228287" w:rsidR="009B1AB3" w:rsidRPr="001455DC" w:rsidRDefault="00231E33" w:rsidP="009B1AB3">
            <w:pPr>
              <w:pStyle w:val="Formula"/>
              <w:jc w:val="left"/>
            </w:pPr>
            <m:oMathPara>
              <m:oMathParaPr>
                <m:jc m:val="left"/>
              </m:oMathParaPr>
              <m:oMath>
                <m:sSub>
                  <m:sSubPr>
                    <m:ctrlPr>
                      <w:rPr>
                        <w:rFonts w:ascii="Cambria Math" w:hAnsi="Cambria Math"/>
                        <w:bCs/>
                      </w:rPr>
                    </m:ctrlPr>
                  </m:sSubPr>
                  <m:e>
                    <m:r>
                      <w:rPr>
                        <w:rFonts w:ascii="Cambria Math" w:hAnsi="Cambria Math"/>
                      </w:rPr>
                      <m:t>τ</m:t>
                    </m:r>
                  </m:e>
                  <m:sub>
                    <m:r>
                      <m:rPr>
                        <m:sty m:val="p"/>
                      </m:rPr>
                      <w:rPr>
                        <w:rFonts w:ascii="Cambria Math" w:hAnsi="Cambria Math"/>
                      </w:rPr>
                      <m:t>Rdc,min</m:t>
                    </m:r>
                  </m:sub>
                </m:sSub>
                <m:r>
                  <w:rPr>
                    <w:rFonts w:ascii="Cambria Math" w:hAnsi="Cambria Math"/>
                  </w:rPr>
                  <m:t xml:space="preserve">= </m:t>
                </m:r>
                <m:f>
                  <m:fPr>
                    <m:ctrlPr>
                      <w:rPr>
                        <w:rFonts w:ascii="Cambria Math" w:hAnsi="Cambria Math"/>
                        <w:bCs/>
                      </w:rPr>
                    </m:ctrlPr>
                  </m:fPr>
                  <m:num>
                    <m:r>
                      <w:rPr>
                        <w:rFonts w:ascii="Cambria Math" w:hAnsi="Cambria Math"/>
                      </w:rPr>
                      <m:t>0.29</m:t>
                    </m:r>
                  </m:num>
                  <m:den>
                    <m:sSub>
                      <m:sSubPr>
                        <m:ctrlPr>
                          <w:rPr>
                            <w:rFonts w:ascii="Cambria Math" w:hAnsi="Cambria Math"/>
                            <w:bCs/>
                          </w:rPr>
                        </m:ctrlPr>
                      </m:sSubPr>
                      <m:e>
                        <m:r>
                          <w:rPr>
                            <w:rFonts w:ascii="Cambria Math" w:hAnsi="Cambria Math"/>
                          </w:rPr>
                          <m:t>γ</m:t>
                        </m:r>
                      </m:e>
                      <m:sub>
                        <m:r>
                          <m:rPr>
                            <m:sty m:val="p"/>
                          </m:rPr>
                          <w:rPr>
                            <w:rFonts w:ascii="Cambria Math" w:hAnsi="Cambria Math"/>
                          </w:rPr>
                          <m:t>c</m:t>
                        </m:r>
                      </m:sub>
                    </m:sSub>
                  </m:den>
                </m:f>
                <m:rad>
                  <m:radPr>
                    <m:degHide m:val="1"/>
                    <m:ctrlPr>
                      <w:rPr>
                        <w:rFonts w:ascii="Cambria Math" w:hAnsi="Cambria Math"/>
                        <w:bCs/>
                      </w:rPr>
                    </m:ctrlPr>
                  </m:radPr>
                  <m:deg/>
                  <m:e>
                    <m:sSub>
                      <m:sSubPr>
                        <m:ctrlPr>
                          <w:rPr>
                            <w:rFonts w:ascii="Cambria Math" w:hAnsi="Cambria Math"/>
                            <w:bCs/>
                          </w:rPr>
                        </m:ctrlPr>
                      </m:sSubPr>
                      <m:e>
                        <m:r>
                          <w:rPr>
                            <w:rFonts w:ascii="Cambria Math" w:hAnsi="Cambria Math"/>
                          </w:rPr>
                          <m:t>f</m:t>
                        </m:r>
                      </m:e>
                      <m:sub>
                        <m:r>
                          <m:rPr>
                            <m:sty m:val="p"/>
                          </m:rPr>
                          <w:rPr>
                            <w:rFonts w:ascii="Cambria Math" w:hAnsi="Cambria Math"/>
                          </w:rPr>
                          <m:t>ck</m:t>
                        </m:r>
                      </m:sub>
                    </m:sSub>
                    <m:r>
                      <w:rPr>
                        <w:rFonts w:ascii="Cambria Math" w:hAnsi="Cambria Math"/>
                      </w:rPr>
                      <m:t>∙</m:t>
                    </m:r>
                    <m:f>
                      <m:fPr>
                        <m:ctrlPr>
                          <w:rPr>
                            <w:rFonts w:ascii="Cambria Math" w:hAnsi="Cambria Math"/>
                            <w:bCs/>
                          </w:rPr>
                        </m:ctrlPr>
                      </m:fPr>
                      <m:num>
                        <m:sSub>
                          <m:sSubPr>
                            <m:ctrlPr>
                              <w:rPr>
                                <w:rFonts w:ascii="Cambria Math" w:hAnsi="Cambria Math"/>
                                <w:bCs/>
                              </w:rPr>
                            </m:ctrlPr>
                          </m:sSubPr>
                          <m:e>
                            <m:r>
                              <w:rPr>
                                <w:rFonts w:ascii="Cambria Math" w:hAnsi="Cambria Math"/>
                              </w:rPr>
                              <m:t>E</m:t>
                            </m:r>
                          </m:e>
                          <m:sub>
                            <m:r>
                              <m:rPr>
                                <m:sty m:val="p"/>
                              </m:rPr>
                              <w:rPr>
                                <w:rFonts w:ascii="Cambria Math" w:hAnsi="Cambria Math"/>
                              </w:rPr>
                              <m:t>fR</m:t>
                            </m:r>
                          </m:sub>
                        </m:sSub>
                      </m:num>
                      <m:den>
                        <m:sSub>
                          <m:sSubPr>
                            <m:ctrlPr>
                              <w:rPr>
                                <w:rFonts w:ascii="Cambria Math" w:hAnsi="Cambria Math"/>
                                <w:bCs/>
                              </w:rPr>
                            </m:ctrlPr>
                          </m:sSubPr>
                          <m:e>
                            <m:r>
                              <w:rPr>
                                <w:rFonts w:ascii="Cambria Math" w:hAnsi="Cambria Math"/>
                              </w:rPr>
                              <m:t>E</m:t>
                            </m:r>
                          </m:e>
                          <m:sub>
                            <m:r>
                              <w:rPr>
                                <w:rFonts w:ascii="Cambria Math" w:hAnsi="Cambria Math"/>
                              </w:rPr>
                              <m:t>s</m:t>
                            </m:r>
                          </m:sub>
                        </m:sSub>
                      </m:den>
                    </m:f>
                    <m:r>
                      <w:rPr>
                        <w:rFonts w:ascii="Cambria Math" w:hAnsi="Cambria Math"/>
                      </w:rPr>
                      <m:t>∙</m:t>
                    </m:r>
                    <m:f>
                      <m:fPr>
                        <m:ctrlPr>
                          <w:rPr>
                            <w:rFonts w:ascii="Cambria Math" w:hAnsi="Cambria Math"/>
                            <w:bCs/>
                          </w:rPr>
                        </m:ctrlPr>
                      </m:fPr>
                      <m:num>
                        <m:sSub>
                          <m:sSubPr>
                            <m:ctrlPr>
                              <w:rPr>
                                <w:rFonts w:ascii="Cambria Math" w:hAnsi="Cambria Math"/>
                                <w:bCs/>
                              </w:rPr>
                            </m:ctrlPr>
                          </m:sSubPr>
                          <m:e>
                            <m:r>
                              <w:rPr>
                                <w:rFonts w:ascii="Cambria Math" w:hAnsi="Cambria Math"/>
                              </w:rPr>
                              <m:t>d</m:t>
                            </m:r>
                          </m:e>
                          <m:sub>
                            <m:r>
                              <m:rPr>
                                <m:sty m:val="p"/>
                              </m:rPr>
                              <w:rPr>
                                <w:rFonts w:ascii="Cambria Math" w:hAnsi="Cambria Math"/>
                              </w:rPr>
                              <m:t>dg</m:t>
                            </m:r>
                          </m:sub>
                        </m:sSub>
                      </m:num>
                      <m:den>
                        <m:r>
                          <w:rPr>
                            <w:rFonts w:ascii="Cambria Math" w:hAnsi="Cambria Math"/>
                          </w:rPr>
                          <m:t>d</m:t>
                        </m:r>
                      </m:den>
                    </m:f>
                  </m:e>
                </m:rad>
              </m:oMath>
            </m:oMathPara>
          </w:p>
        </w:tc>
        <w:tc>
          <w:tcPr>
            <w:tcW w:w="1247" w:type="dxa"/>
            <w:vAlign w:val="center"/>
          </w:tcPr>
          <w:p w14:paraId="38CFEBC6" w14:textId="08FDED28" w:rsidR="009B1AB3" w:rsidRPr="001455DC" w:rsidRDefault="009B1AB3" w:rsidP="009B1AB3">
            <w:pPr>
              <w:pStyle w:val="a7"/>
              <w:jc w:val="right"/>
            </w:pPr>
            <w:r w:rsidRPr="001455DC">
              <w:t>(JA.3)</w:t>
            </w:r>
          </w:p>
        </w:tc>
      </w:tr>
    </w:tbl>
    <w:p w14:paraId="3D089B52" w14:textId="3379045B" w:rsidR="004E22C1" w:rsidRPr="001455DC" w:rsidRDefault="004E22C1" w:rsidP="00B0777B">
      <w:pPr>
        <w:pStyle w:val="a7"/>
      </w:pPr>
      <w:r w:rsidRPr="001455DC">
        <w:t>(2)</w:t>
      </w:r>
      <w:r w:rsidRPr="001455DC">
        <w:tab/>
        <w:t xml:space="preserve">The provisions in 8.2.2 may be used provided that the </w:t>
      </w:r>
      <m:oMath>
        <m:sSub>
          <m:sSubPr>
            <m:ctrlPr>
              <w:rPr>
                <w:rFonts w:ascii="Cambria Math" w:hAnsi="Cambria Math"/>
                <w:i/>
              </w:rPr>
            </m:ctrlPr>
          </m:sSubPr>
          <m:e>
            <m:r>
              <w:rPr>
                <w:rFonts w:ascii="Cambria Math" w:hAnsi="Cambria Math"/>
              </w:rPr>
              <m:t>ρ</m:t>
            </m:r>
          </m:e>
          <m:sub>
            <m:r>
              <m:rPr>
                <m:sty m:val="p"/>
              </m:rPr>
              <w:rPr>
                <w:rFonts w:ascii="Cambria Math" w:hAnsi="Cambria Math"/>
              </w:rPr>
              <m:t>l</m:t>
            </m:r>
          </m:sub>
        </m:sSub>
      </m:oMath>
      <w:r w:rsidRPr="001455DC">
        <w:t xml:space="preserve"> of longitudinal FRP reinforcement in Formula (8.</w:t>
      </w:r>
      <w:r w:rsidR="008D5584" w:rsidRPr="001455DC">
        <w:t>17</w:t>
      </w:r>
      <w:r w:rsidRPr="001455DC">
        <w:t xml:space="preserve">) is reduced by the ratio </w:t>
      </w:r>
      <m:oMath>
        <m:f>
          <m:fPr>
            <m:type m:val="lin"/>
            <m:ctrlPr>
              <w:rPr>
                <w:rFonts w:ascii="Cambria Math" w:hAnsi="Cambria Math"/>
              </w:rPr>
            </m:ctrlPr>
          </m:fPr>
          <m:num>
            <m:sSub>
              <m:sSubPr>
                <m:ctrlPr>
                  <w:rPr>
                    <w:rFonts w:ascii="Cambria Math" w:hAnsi="Cambria Math"/>
                  </w:rPr>
                </m:ctrlPr>
              </m:sSubPr>
              <m:e>
                <m:r>
                  <m:rPr>
                    <m:sty m:val="p"/>
                  </m:rPr>
                  <w:rPr>
                    <w:rFonts w:ascii="Cambria Math" w:hAnsi="Cambria Math"/>
                  </w:rPr>
                  <m:t>E</m:t>
                </m:r>
              </m:e>
              <m:sub>
                <m:r>
                  <m:rPr>
                    <m:sty m:val="p"/>
                  </m:rPr>
                  <w:rPr>
                    <w:rFonts w:ascii="Cambria Math" w:hAnsi="Cambria Math"/>
                  </w:rPr>
                  <m:t>fR</m:t>
                </m:r>
              </m:sub>
            </m:sSub>
          </m:num>
          <m:den>
            <m:sSub>
              <m:sSubPr>
                <m:ctrlPr>
                  <w:rPr>
                    <w:rFonts w:ascii="Cambria Math" w:hAnsi="Cambria Math"/>
                  </w:rPr>
                </m:ctrlPr>
              </m:sSubPr>
              <m:e>
                <m:r>
                  <m:rPr>
                    <m:sty m:val="p"/>
                  </m:rPr>
                  <w:rPr>
                    <w:rFonts w:ascii="Cambria Math" w:hAnsi="Cambria Math"/>
                  </w:rPr>
                  <m:t>E</m:t>
                </m:r>
              </m:e>
              <m:sub>
                <m:r>
                  <m:rPr>
                    <m:sty m:val="p"/>
                  </m:rPr>
                  <w:rPr>
                    <w:rFonts w:ascii="Cambria Math" w:hAnsi="Cambria Math"/>
                  </w:rPr>
                  <m:t>s</m:t>
                </m:r>
              </m:sub>
            </m:sSub>
          </m:den>
        </m:f>
      </m:oMath>
      <w:r w:rsidRPr="001455DC">
        <w:t>.</w:t>
      </w:r>
    </w:p>
    <w:p w14:paraId="0E3B5B67" w14:textId="297BCCA1" w:rsidR="004E22C1" w:rsidRPr="001455DC" w:rsidRDefault="004E22C1" w:rsidP="00B0777B">
      <w:pPr>
        <w:pStyle w:val="a7"/>
      </w:pPr>
      <w:r w:rsidRPr="001455DC">
        <w:t>(3)</w:t>
      </w:r>
      <w:r w:rsidRPr="001455DC">
        <w:tab/>
        <w:t>The provisions outlined in 8.2.3 of this Eurocode</w:t>
      </w:r>
      <w:r w:rsidR="00B0777B" w:rsidRPr="001455DC">
        <w:t xml:space="preserve"> </w:t>
      </w:r>
      <w:r w:rsidRPr="001455DC">
        <w:t>may be used subject to the following modifications:</w:t>
      </w:r>
    </w:p>
    <w:p w14:paraId="5F067FFF" w14:textId="44A8EF53" w:rsidR="00B0777B" w:rsidRPr="001455DC" w:rsidRDefault="004E22C1" w:rsidP="00DE6BBC">
      <w:pPr>
        <w:pStyle w:val="a0"/>
        <w:keepNext/>
      </w:pPr>
      <w:r w:rsidRPr="001455DC">
        <w:t>Formula (8.</w:t>
      </w:r>
      <w:r w:rsidR="008D5584" w:rsidRPr="001455DC">
        <w:t>26</w:t>
      </w:r>
      <w:r w:rsidRPr="001455DC">
        <w:t>) for the inclination of the compression field shall be replace by:</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B0777B" w:rsidRPr="001455DC" w14:paraId="4DA3FA7F" w14:textId="77777777" w:rsidTr="00D06D33">
        <w:trPr>
          <w:cantSplit/>
        </w:trPr>
        <w:tc>
          <w:tcPr>
            <w:tcW w:w="8505" w:type="dxa"/>
            <w:vAlign w:val="center"/>
          </w:tcPr>
          <w:p w14:paraId="17693F3E" w14:textId="253D80F6" w:rsidR="00B0777B" w:rsidRPr="001455DC" w:rsidRDefault="00B0777B" w:rsidP="00D06D33">
            <w:pPr>
              <w:pStyle w:val="Formula"/>
              <w:jc w:val="left"/>
            </w:pPr>
            <m:oMathPara>
              <m:oMathParaPr>
                <m:jc m:val="left"/>
              </m:oMathParaPr>
              <m:oMath>
                <m:r>
                  <m:rPr>
                    <m:sty m:val="p"/>
                  </m:rPr>
                  <w:rPr>
                    <w:rFonts w:ascii="Cambria Math" w:hAnsi="Cambria Math"/>
                  </w:rPr>
                  <m:t>cot</m:t>
                </m:r>
                <m:r>
                  <w:rPr>
                    <w:rFonts w:ascii="Cambria Math" w:hAnsi="Cambria Math"/>
                  </w:rPr>
                  <m:t>θ=0,8</m:t>
                </m:r>
              </m:oMath>
            </m:oMathPara>
          </w:p>
        </w:tc>
        <w:tc>
          <w:tcPr>
            <w:tcW w:w="1247" w:type="dxa"/>
            <w:vAlign w:val="center"/>
          </w:tcPr>
          <w:p w14:paraId="3BABECB0" w14:textId="326EFE1B" w:rsidR="00B0777B" w:rsidRPr="001455DC" w:rsidRDefault="00B0777B" w:rsidP="00D06D33">
            <w:pPr>
              <w:pStyle w:val="a7"/>
              <w:jc w:val="right"/>
            </w:pPr>
            <w:r w:rsidRPr="001455DC">
              <w:t>(JA.4)</w:t>
            </w:r>
          </w:p>
        </w:tc>
      </w:tr>
    </w:tbl>
    <w:p w14:paraId="516FB9C4" w14:textId="1FF22772" w:rsidR="00B0777B" w:rsidRPr="001455DC" w:rsidRDefault="004E22C1" w:rsidP="00DE6BBC">
      <w:pPr>
        <w:pStyle w:val="a0"/>
        <w:keepNext/>
      </w:pPr>
      <w:r w:rsidRPr="001455DC">
        <w:t>Formula (8.</w:t>
      </w:r>
      <w:r w:rsidR="008D5584" w:rsidRPr="001455DC">
        <w:t>28</w:t>
      </w:r>
      <w:r w:rsidRPr="001455DC">
        <w:t>) shall be replaced by</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B0777B" w:rsidRPr="001455DC" w14:paraId="415ADBC1" w14:textId="77777777" w:rsidTr="00D06D33">
        <w:trPr>
          <w:cantSplit/>
        </w:trPr>
        <w:tc>
          <w:tcPr>
            <w:tcW w:w="8505" w:type="dxa"/>
            <w:vAlign w:val="center"/>
          </w:tcPr>
          <w:p w14:paraId="463681C0" w14:textId="68D208FC" w:rsidR="00B0777B" w:rsidRPr="001455DC" w:rsidRDefault="00231E33" w:rsidP="00D06D33">
            <w:pPr>
              <w:pStyle w:val="Formula"/>
              <w:jc w:val="left"/>
            </w:pPr>
            <m:oMathPara>
              <m:oMathParaPr>
                <m:jc m:val="left"/>
              </m:oMathParaPr>
              <m:oMath>
                <m:sSub>
                  <m:sSubPr>
                    <m:ctrlPr>
                      <w:rPr>
                        <w:rFonts w:ascii="Cambria Math" w:hAnsi="Cambria Math"/>
                        <w:bCs/>
                      </w:rPr>
                    </m:ctrlPr>
                  </m:sSubPr>
                  <m:e>
                    <m:r>
                      <w:rPr>
                        <w:rFonts w:ascii="Cambria Math" w:hAnsi="Cambria Math"/>
                      </w:rPr>
                      <m:t>τ</m:t>
                    </m:r>
                  </m:e>
                  <m:sub>
                    <m:r>
                      <m:rPr>
                        <m:sty m:val="p"/>
                      </m:rPr>
                      <w:rPr>
                        <w:rFonts w:ascii="Cambria Math" w:hAnsi="Cambria Math"/>
                      </w:rPr>
                      <m:t>Rd,f</m:t>
                    </m:r>
                  </m:sub>
                </m:sSub>
                <m:r>
                  <w:rPr>
                    <w:rFonts w:ascii="Cambria Math" w:hAnsi="Cambria Math"/>
                  </w:rPr>
                  <m:t>=</m:t>
                </m:r>
                <m:sSub>
                  <m:sSubPr>
                    <m:ctrlPr>
                      <w:rPr>
                        <w:rFonts w:ascii="Cambria Math" w:hAnsi="Cambria Math"/>
                        <w:bCs/>
                      </w:rPr>
                    </m:ctrlPr>
                  </m:sSubPr>
                  <m:e>
                    <m:r>
                      <w:rPr>
                        <w:rFonts w:ascii="Cambria Math" w:hAnsi="Cambria Math"/>
                      </w:rPr>
                      <m:t>τ</m:t>
                    </m:r>
                  </m:e>
                  <m:sub>
                    <m:r>
                      <m:rPr>
                        <m:sty m:val="p"/>
                      </m:rPr>
                      <w:rPr>
                        <w:rFonts w:ascii="Cambria Math" w:hAnsi="Cambria Math"/>
                      </w:rPr>
                      <m:t>Rd,c</m:t>
                    </m:r>
                  </m:sub>
                </m:sSub>
                <m:r>
                  <w:rPr>
                    <w:rFonts w:ascii="Cambria Math" w:hAnsi="Cambria Math"/>
                  </w:rPr>
                  <m:t>+</m:t>
                </m:r>
                <m:sSub>
                  <m:sSubPr>
                    <m:ctrlPr>
                      <w:rPr>
                        <w:rFonts w:ascii="Cambria Math" w:hAnsi="Cambria Math"/>
                      </w:rPr>
                    </m:ctrlPr>
                  </m:sSubPr>
                  <m:e>
                    <m:r>
                      <w:rPr>
                        <w:rFonts w:ascii="Cambria Math" w:hAnsi="Cambria Math"/>
                      </w:rPr>
                      <m:t>ρ</m:t>
                    </m:r>
                  </m:e>
                  <m:sub>
                    <m:r>
                      <m:rPr>
                        <m:sty m:val="p"/>
                      </m:rPr>
                      <w:rPr>
                        <w:rFonts w:ascii="Cambria Math" w:hAnsi="Cambria Math"/>
                      </w:rPr>
                      <m:t>w</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fwRd</m:t>
                    </m:r>
                  </m:sub>
                </m:sSub>
                <m:r>
                  <w:rPr>
                    <w:rFonts w:ascii="Cambria Math" w:hAnsi="Cambria Math"/>
                  </w:rPr>
                  <m:t>∙</m:t>
                </m:r>
                <m:r>
                  <m:rPr>
                    <m:sty m:val="p"/>
                  </m:rPr>
                  <w:rPr>
                    <w:rFonts w:ascii="Cambria Math" w:hAnsi="Cambria Math"/>
                  </w:rPr>
                  <m:t>cot</m:t>
                </m:r>
                <m:r>
                  <w:rPr>
                    <w:rFonts w:ascii="Cambria Math" w:hAnsi="Cambria Math"/>
                  </w:rPr>
                  <m:t>θ≤</m:t>
                </m:r>
                <m:sSub>
                  <m:sSubPr>
                    <m:ctrlPr>
                      <w:rPr>
                        <w:rFonts w:ascii="Cambria Math" w:hAnsi="Cambria Math"/>
                        <w:bCs/>
                      </w:rPr>
                    </m:ctrlPr>
                  </m:sSubPr>
                  <m:e>
                    <m:r>
                      <w:rPr>
                        <w:rFonts w:ascii="Cambria Math" w:hAnsi="Cambria Math"/>
                      </w:rPr>
                      <m:t>0,17∙f</m:t>
                    </m:r>
                  </m:e>
                  <m:sub>
                    <m:r>
                      <m:rPr>
                        <m:sty m:val="p"/>
                      </m:rPr>
                      <w:rPr>
                        <w:rFonts w:ascii="Cambria Math" w:hAnsi="Cambria Math"/>
                      </w:rPr>
                      <m:t>cd</m:t>
                    </m:r>
                  </m:sub>
                </m:sSub>
              </m:oMath>
            </m:oMathPara>
          </w:p>
        </w:tc>
        <w:tc>
          <w:tcPr>
            <w:tcW w:w="1247" w:type="dxa"/>
            <w:vAlign w:val="center"/>
          </w:tcPr>
          <w:p w14:paraId="341C6BA8" w14:textId="5873CE87" w:rsidR="00B0777B" w:rsidRPr="001455DC" w:rsidRDefault="00B0777B" w:rsidP="00D06D33">
            <w:pPr>
              <w:pStyle w:val="a7"/>
              <w:jc w:val="right"/>
            </w:pPr>
            <w:r w:rsidRPr="001455DC">
              <w:t>(JA.5)</w:t>
            </w:r>
          </w:p>
        </w:tc>
      </w:tr>
    </w:tbl>
    <w:p w14:paraId="3FF77B85" w14:textId="77777777" w:rsidR="00B0777B" w:rsidRPr="001455DC" w:rsidRDefault="004E22C1" w:rsidP="00A35599">
      <w:pPr>
        <w:pStyle w:val="a7"/>
        <w:keepNext/>
      </w:pPr>
      <w:r w:rsidRPr="001455DC">
        <w:t>where</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B0777B" w:rsidRPr="001455DC" w14:paraId="71098883" w14:textId="77777777" w:rsidTr="00D06D33">
        <w:trPr>
          <w:cantSplit/>
        </w:trPr>
        <w:tc>
          <w:tcPr>
            <w:tcW w:w="8505" w:type="dxa"/>
            <w:vAlign w:val="center"/>
          </w:tcPr>
          <w:p w14:paraId="144A77AF" w14:textId="75E07837" w:rsidR="00B0777B" w:rsidRPr="001455DC" w:rsidRDefault="00231E33" w:rsidP="00D06D33">
            <w:pPr>
              <w:pStyle w:val="Formula"/>
              <w:jc w:val="left"/>
            </w:pPr>
            <m:oMathPara>
              <m:oMathParaPr>
                <m:jc m:val="left"/>
              </m:oMathParaPr>
              <m:oMath>
                <m:sSub>
                  <m:sSubPr>
                    <m:ctrlPr>
                      <w:rPr>
                        <w:rFonts w:ascii="Cambria Math" w:hAnsi="Cambria Math"/>
                        <w:bCs/>
                      </w:rPr>
                    </m:ctrlPr>
                  </m:sSubPr>
                  <m:e>
                    <m:r>
                      <w:rPr>
                        <w:rFonts w:ascii="Cambria Math" w:hAnsi="Cambria Math"/>
                      </w:rPr>
                      <m:t>f</m:t>
                    </m:r>
                  </m:e>
                  <m:sub>
                    <m:r>
                      <m:rPr>
                        <m:sty m:val="p"/>
                      </m:rPr>
                      <w:rPr>
                        <w:rFonts w:ascii="Cambria Math" w:hAnsi="Cambria Math"/>
                      </w:rPr>
                      <m:t>fwRd</m:t>
                    </m:r>
                  </m:sub>
                </m:sSub>
                <m:r>
                  <w:rPr>
                    <w:rFonts w:ascii="Cambria Math" w:hAnsi="Cambria Math"/>
                  </w:rPr>
                  <m:t>=</m:t>
                </m:r>
                <m:r>
                  <m:rPr>
                    <m:sty m:val="p"/>
                  </m:rPr>
                  <w:rPr>
                    <w:rFonts w:ascii="Cambria Math" w:hAnsi="Cambria Math"/>
                  </w:rPr>
                  <m:t>min</m:t>
                </m:r>
                <m:d>
                  <m:dPr>
                    <m:begChr m:val="{"/>
                    <m:endChr m:val="}"/>
                    <m:ctrlPr>
                      <w:rPr>
                        <w:rFonts w:ascii="Cambria Math" w:hAnsi="Cambria Math"/>
                      </w:rPr>
                    </m:ctrlPr>
                  </m:dPr>
                  <m:e>
                    <m:r>
                      <w:rPr>
                        <w:rFonts w:ascii="Cambria Math" w:hAnsi="Cambria Math"/>
                      </w:rPr>
                      <m:t>0,004∙</m:t>
                    </m:r>
                    <m:sSub>
                      <m:sSubPr>
                        <m:ctrlPr>
                          <w:rPr>
                            <w:rFonts w:ascii="Cambria Math" w:hAnsi="Cambria Math"/>
                            <w:bCs/>
                          </w:rPr>
                        </m:ctrlPr>
                      </m:sSubPr>
                      <m:e>
                        <m:r>
                          <w:rPr>
                            <w:rFonts w:ascii="Cambria Math" w:hAnsi="Cambria Math"/>
                          </w:rPr>
                          <m:t>E</m:t>
                        </m:r>
                      </m:e>
                      <m:sub>
                        <m:r>
                          <m:rPr>
                            <m:sty m:val="p"/>
                          </m:rPr>
                          <w:rPr>
                            <w:rFonts w:ascii="Cambria Math" w:hAnsi="Cambria Math"/>
                          </w:rPr>
                          <m:t>f</m:t>
                        </m:r>
                      </m:sub>
                    </m:sSub>
                    <m:r>
                      <w:rPr>
                        <w:rFonts w:ascii="Cambria Math" w:hAnsi="Cambria Math"/>
                      </w:rPr>
                      <m:t>;</m:t>
                    </m:r>
                    <m:sSup>
                      <m:sSupPr>
                        <m:ctrlPr>
                          <w:rPr>
                            <w:rFonts w:ascii="Cambria Math" w:hAnsi="Cambria Math"/>
                            <w:bCs/>
                          </w:rPr>
                        </m:ctrlPr>
                      </m:sSupPr>
                      <m:e>
                        <m:sSub>
                          <m:sSubPr>
                            <m:ctrlPr>
                              <w:rPr>
                                <w:rFonts w:ascii="Cambria Math" w:hAnsi="Cambria Math"/>
                                <w:bCs/>
                              </w:rPr>
                            </m:ctrlPr>
                          </m:sSubPr>
                          <m:e>
                            <m:r>
                              <w:rPr>
                                <w:rFonts w:ascii="Cambria Math" w:hAnsi="Cambria Math"/>
                              </w:rPr>
                              <m:t>f</m:t>
                            </m:r>
                          </m:e>
                          <m:sub>
                            <m:r>
                              <m:rPr>
                                <m:sty m:val="p"/>
                              </m:rPr>
                              <w:rPr>
                                <w:rFonts w:ascii="Cambria Math" w:hAnsi="Cambria Math"/>
                              </w:rPr>
                              <m:t>ftd</m:t>
                            </m:r>
                          </m:sub>
                        </m:sSub>
                      </m:e>
                      <m:sup>
                        <m:r>
                          <w:rPr>
                            <w:rFonts w:ascii="Cambria Math" w:hAnsi="Cambria Math"/>
                          </w:rPr>
                          <m:t>*</m:t>
                        </m:r>
                      </m:sup>
                    </m:sSup>
                  </m:e>
                </m:d>
              </m:oMath>
            </m:oMathPara>
          </w:p>
        </w:tc>
        <w:tc>
          <w:tcPr>
            <w:tcW w:w="1247" w:type="dxa"/>
            <w:vAlign w:val="center"/>
          </w:tcPr>
          <w:p w14:paraId="07DE2A4D" w14:textId="7734AECE" w:rsidR="00B0777B" w:rsidRPr="001455DC" w:rsidRDefault="00B0777B" w:rsidP="00D06D33">
            <w:pPr>
              <w:pStyle w:val="a7"/>
              <w:jc w:val="right"/>
            </w:pPr>
            <w:r w:rsidRPr="001455DC">
              <w:t>(JA.6)</w:t>
            </w:r>
          </w:p>
        </w:tc>
      </w:tr>
    </w:tbl>
    <w:p w14:paraId="11B4DD74" w14:textId="66965DAA" w:rsidR="004E22C1" w:rsidRPr="001455DC" w:rsidRDefault="004E22C1" w:rsidP="00B0777B">
      <w:pPr>
        <w:pStyle w:val="a7"/>
      </w:pPr>
      <w:r w:rsidRPr="001455DC">
        <w:t xml:space="preserve">where </w:t>
      </w:r>
      <m:oMath>
        <m:sSup>
          <m:sSupPr>
            <m:ctrlPr>
              <w:rPr>
                <w:rFonts w:ascii="Cambria Math" w:hAnsi="Cambria Math"/>
                <w:bCs/>
              </w:rPr>
            </m:ctrlPr>
          </m:sSupPr>
          <m:e>
            <m:sSub>
              <m:sSubPr>
                <m:ctrlPr>
                  <w:rPr>
                    <w:rFonts w:ascii="Cambria Math" w:hAnsi="Cambria Math"/>
                    <w:bCs/>
                  </w:rPr>
                </m:ctrlPr>
              </m:sSubPr>
              <m:e>
                <m:r>
                  <w:rPr>
                    <w:rFonts w:ascii="Cambria Math" w:hAnsi="Cambria Math"/>
                  </w:rPr>
                  <m:t>f</m:t>
                </m:r>
              </m:e>
              <m:sub>
                <m:r>
                  <m:rPr>
                    <m:sty m:val="p"/>
                  </m:rPr>
                  <w:rPr>
                    <w:rFonts w:ascii="Cambria Math" w:hAnsi="Cambria Math"/>
                  </w:rPr>
                  <m:t>ftd</m:t>
                </m:r>
              </m:sub>
            </m:sSub>
          </m:e>
          <m:sup>
            <m:r>
              <m:rPr>
                <m:sty m:val="p"/>
              </m:rPr>
              <w:rPr>
                <w:rFonts w:ascii="Cambria Math" w:hAnsi="Cambria Math"/>
              </w:rPr>
              <m:t>*</m:t>
            </m:r>
          </m:sup>
        </m:sSup>
      </m:oMath>
      <w:r w:rsidRPr="001455DC">
        <w:t xml:space="preserve"> is calculated in accordance with </w:t>
      </w:r>
      <w:r w:rsidRPr="009D3012">
        <w:rPr>
          <w:i/>
        </w:rPr>
        <w:t>JA.11.4.3</w:t>
      </w:r>
      <w:r w:rsidRPr="001455DC">
        <w:t>.</w:t>
      </w:r>
    </w:p>
    <w:p w14:paraId="62A06E59" w14:textId="77777777" w:rsidR="004E22C1" w:rsidRPr="001455DC" w:rsidRDefault="004E22C1" w:rsidP="00DE6BBC">
      <w:pPr>
        <w:pStyle w:val="a7"/>
        <w:keepNext/>
      </w:pPr>
      <w:r w:rsidRPr="001455DC">
        <w:t>(4)</w:t>
      </w:r>
      <w:r w:rsidRPr="001455DC">
        <w:tab/>
        <w:t>The provision outlined in 8.2.5 may be used subject to the following alterations:</w:t>
      </w:r>
    </w:p>
    <w:p w14:paraId="3FB649EA" w14:textId="536F8172" w:rsidR="004E22C1" w:rsidRPr="001455DC" w:rsidRDefault="00231E33" w:rsidP="00B0777B">
      <w:pPr>
        <w:pStyle w:val="a0"/>
      </w:pPr>
      <m:oMath>
        <m:sSub>
          <m:sSubPr>
            <m:ctrlPr>
              <w:rPr>
                <w:rFonts w:ascii="Cambria Math" w:hAnsi="Cambria Math"/>
                <w:bCs/>
              </w:rPr>
            </m:ctrlPr>
          </m:sSubPr>
          <m:e>
            <m:r>
              <w:rPr>
                <w:rFonts w:ascii="Cambria Math" w:hAnsi="Cambria Math"/>
              </w:rPr>
              <m:t>f</m:t>
            </m:r>
          </m:e>
          <m:sub>
            <m:r>
              <m:rPr>
                <m:sty m:val="p"/>
              </m:rPr>
              <w:rPr>
                <w:rFonts w:ascii="Cambria Math" w:hAnsi="Cambria Math"/>
              </w:rPr>
              <m:t>yd</m:t>
            </m:r>
          </m:sub>
        </m:sSub>
      </m:oMath>
      <w:r w:rsidR="004E22C1" w:rsidRPr="001455DC">
        <w:t xml:space="preserve"> is replaced by </w:t>
      </w:r>
      <m:oMath>
        <m:sSub>
          <m:sSubPr>
            <m:ctrlPr>
              <w:rPr>
                <w:rFonts w:ascii="Cambria Math" w:hAnsi="Cambria Math"/>
                <w:bCs/>
              </w:rPr>
            </m:ctrlPr>
          </m:sSubPr>
          <m:e>
            <m:r>
              <w:rPr>
                <w:rFonts w:ascii="Cambria Math" w:hAnsi="Cambria Math"/>
              </w:rPr>
              <m:t>f</m:t>
            </m:r>
          </m:e>
          <m:sub>
            <m:r>
              <m:rPr>
                <m:sty m:val="p"/>
              </m:rPr>
              <w:rPr>
                <w:rFonts w:ascii="Cambria Math" w:hAnsi="Cambria Math"/>
              </w:rPr>
              <m:t>ftd</m:t>
            </m:r>
          </m:sub>
        </m:sSub>
        <m:r>
          <m:rPr>
            <m:sty m:val="p"/>
          </m:rPr>
          <w:rPr>
            <w:rFonts w:ascii="Cambria Math" w:hAnsi="Cambria Math"/>
          </w:rPr>
          <m:t>,</m:t>
        </m:r>
      </m:oMath>
    </w:p>
    <w:p w14:paraId="4F3E59F8" w14:textId="0686241C" w:rsidR="004E22C1" w:rsidRPr="001455DC" w:rsidRDefault="004E22C1" w:rsidP="00B0777B">
      <w:pPr>
        <w:pStyle w:val="a0"/>
      </w:pPr>
      <m:oMath>
        <m:r>
          <m:rPr>
            <m:sty m:val="p"/>
          </m:rPr>
          <w:rPr>
            <w:rFonts w:ascii="Cambria Math" w:hAnsi="Cambria Math"/>
          </w:rPr>
          <m:t>cot</m:t>
        </m:r>
        <m:r>
          <w:rPr>
            <w:rFonts w:ascii="Cambria Math" w:hAnsi="Cambria Math"/>
          </w:rPr>
          <m:t>θ</m:t>
        </m:r>
      </m:oMath>
      <w:r w:rsidRPr="001455DC">
        <w:t xml:space="preserve"> is taken as 1,0,</w:t>
      </w:r>
    </w:p>
    <w:p w14:paraId="260E4F45" w14:textId="792404D5" w:rsidR="004E22C1" w:rsidRPr="001455DC" w:rsidRDefault="00B0777B" w:rsidP="00B0777B">
      <w:pPr>
        <w:pStyle w:val="a0"/>
      </w:pPr>
      <m:oMath>
        <m:r>
          <w:rPr>
            <w:rFonts w:ascii="Cambria Math" w:hAnsi="Cambria Math"/>
          </w:rPr>
          <m:t>ν</m:t>
        </m:r>
      </m:oMath>
      <w:r w:rsidR="004E22C1" w:rsidRPr="001455DC">
        <w:t xml:space="preserve"> is taken as 0,35.</w:t>
      </w:r>
    </w:p>
    <w:p w14:paraId="2A176E7A" w14:textId="77777777" w:rsidR="00B0777B" w:rsidRPr="001455DC" w:rsidRDefault="004E22C1" w:rsidP="00F77658">
      <w:pPr>
        <w:pStyle w:val="a7"/>
        <w:keepNext/>
      </w:pPr>
      <w:r w:rsidRPr="001455DC">
        <w:t>(5)</w:t>
      </w:r>
      <w:r w:rsidRPr="001455DC">
        <w:tab/>
        <w:t>For members reinforced with FRP reinforcement, the shear resistance at an interface may be calculated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B0777B" w:rsidRPr="001455DC" w14:paraId="64C0A854" w14:textId="77777777" w:rsidTr="00D06D33">
        <w:trPr>
          <w:cantSplit/>
        </w:trPr>
        <w:tc>
          <w:tcPr>
            <w:tcW w:w="8505" w:type="dxa"/>
            <w:vAlign w:val="center"/>
          </w:tcPr>
          <w:p w14:paraId="5FF6153C" w14:textId="63E8C82A" w:rsidR="00B0777B" w:rsidRPr="001455DC" w:rsidRDefault="00231E33" w:rsidP="00D06D33">
            <w:pPr>
              <w:pStyle w:val="Formula"/>
              <w:jc w:val="left"/>
            </w:pPr>
            <m:oMathPara>
              <m:oMathParaPr>
                <m:jc m:val="left"/>
              </m:oMathParaPr>
              <m:oMath>
                <m:sSub>
                  <m:sSubPr>
                    <m:ctrlPr>
                      <w:rPr>
                        <w:rFonts w:ascii="Cambria Math" w:hAnsi="Cambria Math"/>
                        <w:bCs/>
                      </w:rPr>
                    </m:ctrlPr>
                  </m:sSubPr>
                  <m:e>
                    <m:r>
                      <w:rPr>
                        <w:rFonts w:ascii="Cambria Math" w:hAnsi="Cambria Math"/>
                      </w:rPr>
                      <m:t>τ</m:t>
                    </m:r>
                  </m:e>
                  <m:sub>
                    <m:r>
                      <m:rPr>
                        <m:sty m:val="p"/>
                      </m:rPr>
                      <w:rPr>
                        <w:rFonts w:ascii="Cambria Math" w:hAnsi="Cambria Math"/>
                      </w:rPr>
                      <m:t>Rdi</m:t>
                    </m:r>
                  </m:sub>
                </m:sSub>
                <m:r>
                  <w:rPr>
                    <w:rFonts w:ascii="Cambria Math" w:hAnsi="Cambria Math"/>
                  </w:rPr>
                  <m:t>=</m:t>
                </m:r>
                <m:sSub>
                  <m:sSubPr>
                    <m:ctrlPr>
                      <w:rPr>
                        <w:rFonts w:ascii="Cambria Math" w:hAnsi="Cambria Math"/>
                        <w:bCs/>
                      </w:rPr>
                    </m:ctrlPr>
                  </m:sSubPr>
                  <m:e>
                    <m:r>
                      <w:rPr>
                        <w:rFonts w:ascii="Cambria Math" w:hAnsi="Cambria Math"/>
                      </w:rPr>
                      <m:t>c</m:t>
                    </m:r>
                  </m:e>
                  <m:sub>
                    <m:r>
                      <m:rPr>
                        <m:sty m:val="p"/>
                      </m:rPr>
                      <w:rPr>
                        <w:rFonts w:ascii="Cambria Math" w:hAnsi="Cambria Math"/>
                      </w:rPr>
                      <m:t>v1</m:t>
                    </m:r>
                  </m:sub>
                </m:sSub>
                <m:r>
                  <w:rPr>
                    <w:rFonts w:ascii="Cambria Math" w:hAnsi="Cambria Math"/>
                  </w:rPr>
                  <m:t>∙</m:t>
                </m:r>
                <m:sSub>
                  <m:sSubPr>
                    <m:ctrlPr>
                      <w:rPr>
                        <w:rFonts w:ascii="Cambria Math" w:hAnsi="Cambria Math"/>
                        <w:bCs/>
                      </w:rPr>
                    </m:ctrlPr>
                  </m:sSubPr>
                  <m:e>
                    <m:r>
                      <w:rPr>
                        <w:rFonts w:ascii="Cambria Math" w:hAnsi="Cambria Math"/>
                      </w:rPr>
                      <m:t>f</m:t>
                    </m:r>
                  </m:e>
                  <m:sub>
                    <m:r>
                      <m:rPr>
                        <m:sty m:val="p"/>
                      </m:rPr>
                      <w:rPr>
                        <w:rFonts w:ascii="Cambria Math" w:hAnsi="Cambria Math"/>
                      </w:rPr>
                      <m:t>ctd</m:t>
                    </m:r>
                  </m:sub>
                </m:sSub>
                <m:r>
                  <w:rPr>
                    <w:rFonts w:ascii="Cambria Math" w:hAnsi="Cambria Math"/>
                  </w:rPr>
                  <m:t>+</m:t>
                </m:r>
                <m:sSub>
                  <m:sSubPr>
                    <m:ctrlPr>
                      <w:rPr>
                        <w:rFonts w:ascii="Cambria Math" w:hAnsi="Cambria Math"/>
                        <w:bCs/>
                      </w:rPr>
                    </m:ctrlPr>
                  </m:sSubPr>
                  <m:e>
                    <m:r>
                      <w:rPr>
                        <w:rFonts w:ascii="Cambria Math" w:hAnsi="Cambria Math"/>
                      </w:rPr>
                      <m:t>μ</m:t>
                    </m:r>
                  </m:e>
                  <m:sub>
                    <m:r>
                      <m:rPr>
                        <m:sty m:val="p"/>
                      </m:rPr>
                      <w:rPr>
                        <w:rFonts w:ascii="Cambria Math" w:hAnsi="Cambria Math"/>
                      </w:rPr>
                      <m:t>v</m:t>
                    </m:r>
                  </m:sub>
                </m:sSub>
                <m:r>
                  <w:rPr>
                    <w:rFonts w:ascii="Cambria Math" w:hAnsi="Cambria Math"/>
                  </w:rPr>
                  <m:t>∙</m:t>
                </m:r>
                <m:sSub>
                  <m:sSubPr>
                    <m:ctrlPr>
                      <w:rPr>
                        <w:rFonts w:ascii="Cambria Math" w:hAnsi="Cambria Math"/>
                        <w:bCs/>
                      </w:rPr>
                    </m:ctrlPr>
                  </m:sSubPr>
                  <m:e>
                    <m:r>
                      <w:rPr>
                        <w:rFonts w:ascii="Cambria Math" w:hAnsi="Cambria Math"/>
                      </w:rPr>
                      <m:t>σ</m:t>
                    </m:r>
                  </m:e>
                  <m:sub>
                    <m:r>
                      <m:rPr>
                        <m:sty m:val="p"/>
                      </m:rPr>
                      <w:rPr>
                        <w:rFonts w:ascii="Cambria Math" w:hAnsi="Cambria Math"/>
                      </w:rPr>
                      <m:t>n</m:t>
                    </m:r>
                  </m:sub>
                </m:sSub>
                <m:r>
                  <w:rPr>
                    <w:rFonts w:ascii="Cambria Math" w:hAnsi="Cambria Math"/>
                  </w:rPr>
                  <m:t>≤0,5∙ν∙</m:t>
                </m:r>
                <m:sSub>
                  <m:sSubPr>
                    <m:ctrlPr>
                      <w:rPr>
                        <w:rFonts w:ascii="Cambria Math" w:hAnsi="Cambria Math"/>
                        <w:bCs/>
                      </w:rPr>
                    </m:ctrlPr>
                  </m:sSubPr>
                  <m:e>
                    <m:r>
                      <w:rPr>
                        <w:rFonts w:ascii="Cambria Math" w:hAnsi="Cambria Math"/>
                      </w:rPr>
                      <m:t>f</m:t>
                    </m:r>
                  </m:e>
                  <m:sub>
                    <m:r>
                      <m:rPr>
                        <m:sty m:val="p"/>
                      </m:rPr>
                      <w:rPr>
                        <w:rFonts w:ascii="Cambria Math" w:hAnsi="Cambria Math"/>
                      </w:rPr>
                      <m:t>cd</m:t>
                    </m:r>
                  </m:sub>
                </m:sSub>
              </m:oMath>
            </m:oMathPara>
          </w:p>
        </w:tc>
        <w:tc>
          <w:tcPr>
            <w:tcW w:w="1247" w:type="dxa"/>
            <w:vAlign w:val="center"/>
          </w:tcPr>
          <w:p w14:paraId="7E99939B" w14:textId="4C7ADA13" w:rsidR="00B0777B" w:rsidRPr="001455DC" w:rsidRDefault="00B0777B" w:rsidP="00D06D33">
            <w:pPr>
              <w:pStyle w:val="a7"/>
              <w:jc w:val="right"/>
            </w:pPr>
            <w:r w:rsidRPr="001455DC">
              <w:t>(JA.7)</w:t>
            </w:r>
          </w:p>
        </w:tc>
      </w:tr>
    </w:tbl>
    <w:p w14:paraId="2178461D" w14:textId="53314D3B" w:rsidR="004E22C1" w:rsidRPr="001455DC" w:rsidRDefault="004E22C1" w:rsidP="00B0777B">
      <w:pPr>
        <w:pStyle w:val="a7"/>
      </w:pPr>
      <w:r w:rsidRPr="001455DC">
        <w:t xml:space="preserve">where </w:t>
      </w:r>
      <m:oMath>
        <m:r>
          <w:rPr>
            <w:rFonts w:ascii="Cambria Math" w:hAnsi="Cambria Math"/>
          </w:rPr>
          <m:t>ν</m:t>
        </m:r>
      </m:oMath>
      <w:r w:rsidRPr="001455DC">
        <w:t xml:space="preserve"> may be taken as 0,35.</w:t>
      </w:r>
    </w:p>
    <w:p w14:paraId="1E268C39" w14:textId="574B5B65" w:rsidR="004E22C1" w:rsidRPr="001455DC" w:rsidRDefault="004E22C1" w:rsidP="00363AD0">
      <w:pPr>
        <w:pStyle w:val="a3"/>
        <w:numPr>
          <w:ilvl w:val="0"/>
          <w:numId w:val="0"/>
        </w:numPr>
      </w:pPr>
      <w:bookmarkStart w:id="2057" w:name="_Toc52820322"/>
      <w:bookmarkStart w:id="2058" w:name="_Toc54337752"/>
      <w:bookmarkStart w:id="2059" w:name="_Toc54338370"/>
      <w:r w:rsidRPr="001455DC">
        <w:t>JA.8.3</w:t>
      </w:r>
      <w:r w:rsidRPr="001455DC">
        <w:tab/>
        <w:t>Torsion</w:t>
      </w:r>
      <w:bookmarkEnd w:id="2057"/>
      <w:bookmarkEnd w:id="2058"/>
      <w:bookmarkEnd w:id="2059"/>
    </w:p>
    <w:p w14:paraId="2E3213A9" w14:textId="77777777" w:rsidR="004E22C1" w:rsidRPr="001455DC" w:rsidRDefault="004E22C1" w:rsidP="00DE6BBC">
      <w:pPr>
        <w:pStyle w:val="a7"/>
        <w:keepNext/>
      </w:pPr>
      <w:r w:rsidRPr="001455DC">
        <w:t>(1)</w:t>
      </w:r>
      <w:r w:rsidRPr="001455DC">
        <w:tab/>
        <w:t>The provisions of 8.3.4 may be used for members with FRP reinforcement subject to the following alterations:</w:t>
      </w:r>
    </w:p>
    <w:p w14:paraId="522916EE" w14:textId="77E44CCF" w:rsidR="004E22C1" w:rsidRPr="001455DC" w:rsidRDefault="00231E33" w:rsidP="00B0777B">
      <w:pPr>
        <w:pStyle w:val="a0"/>
      </w:pPr>
      <m:oMath>
        <m:sSub>
          <m:sSubPr>
            <m:ctrlPr>
              <w:rPr>
                <w:rFonts w:ascii="Cambria Math" w:hAnsi="Cambria Math"/>
                <w:bCs/>
              </w:rPr>
            </m:ctrlPr>
          </m:sSubPr>
          <m:e>
            <m:r>
              <w:rPr>
                <w:rFonts w:ascii="Cambria Math" w:hAnsi="Cambria Math"/>
              </w:rPr>
              <m:t>f</m:t>
            </m:r>
          </m:e>
          <m:sub>
            <m:r>
              <m:rPr>
                <m:sty m:val="p"/>
              </m:rPr>
              <w:rPr>
                <w:rFonts w:ascii="Cambria Math" w:hAnsi="Cambria Math"/>
              </w:rPr>
              <m:t>yd</m:t>
            </m:r>
          </m:sub>
        </m:sSub>
      </m:oMath>
      <w:r w:rsidR="004E22C1" w:rsidRPr="001455DC">
        <w:t xml:space="preserve"> is replaced by </w:t>
      </w:r>
      <m:oMath>
        <m:sSub>
          <m:sSubPr>
            <m:ctrlPr>
              <w:rPr>
                <w:rFonts w:ascii="Cambria Math" w:hAnsi="Cambria Math"/>
                <w:bCs/>
              </w:rPr>
            </m:ctrlPr>
          </m:sSubPr>
          <m:e>
            <m:r>
              <w:rPr>
                <w:rFonts w:ascii="Cambria Math" w:hAnsi="Cambria Math"/>
              </w:rPr>
              <m:t>f</m:t>
            </m:r>
          </m:e>
          <m:sub>
            <m:r>
              <m:rPr>
                <m:sty m:val="p"/>
              </m:rPr>
              <w:rPr>
                <w:rFonts w:ascii="Cambria Math" w:hAnsi="Cambria Math"/>
              </w:rPr>
              <m:t>ftd</m:t>
            </m:r>
          </m:sub>
        </m:sSub>
        <m:r>
          <m:rPr>
            <m:sty m:val="p"/>
          </m:rPr>
          <w:rPr>
            <w:rFonts w:ascii="Cambria Math" w:hAnsi="Cambria Math"/>
          </w:rPr>
          <m:t>,</m:t>
        </m:r>
      </m:oMath>
      <w:r w:rsidR="004E22C1" w:rsidRPr="001455DC">
        <w:t xml:space="preserve"> where </w:t>
      </w:r>
      <m:oMath>
        <m:sSub>
          <m:sSubPr>
            <m:ctrlPr>
              <w:rPr>
                <w:rFonts w:ascii="Cambria Math" w:hAnsi="Cambria Math"/>
                <w:bCs/>
              </w:rPr>
            </m:ctrlPr>
          </m:sSubPr>
          <m:e>
            <m:r>
              <w:rPr>
                <w:rFonts w:ascii="Cambria Math" w:hAnsi="Cambria Math"/>
              </w:rPr>
              <m:t>f</m:t>
            </m:r>
          </m:e>
          <m:sub>
            <m:r>
              <m:rPr>
                <m:sty m:val="p"/>
              </m:rPr>
              <w:rPr>
                <w:rFonts w:ascii="Cambria Math" w:hAnsi="Cambria Math"/>
              </w:rPr>
              <m:t>ftd</m:t>
            </m:r>
          </m:sub>
        </m:sSub>
      </m:oMath>
      <w:r w:rsidR="004E22C1" w:rsidRPr="001455DC">
        <w:t xml:space="preserve"> should be limited by </w:t>
      </w:r>
      <m:oMath>
        <m:sSub>
          <m:sSubPr>
            <m:ctrlPr>
              <w:rPr>
                <w:rFonts w:ascii="Cambria Math" w:hAnsi="Cambria Math"/>
                <w:bCs/>
              </w:rPr>
            </m:ctrlPr>
          </m:sSubPr>
          <m:e>
            <m:r>
              <w:rPr>
                <w:rFonts w:ascii="Cambria Math" w:hAnsi="Cambria Math"/>
              </w:rPr>
              <m:t>f</m:t>
            </m:r>
          </m:e>
          <m:sub>
            <m:r>
              <m:rPr>
                <m:sty m:val="p"/>
              </m:rPr>
              <w:rPr>
                <w:rFonts w:ascii="Cambria Math" w:hAnsi="Cambria Math"/>
              </w:rPr>
              <m:t>ftd</m:t>
            </m:r>
          </m:sub>
        </m:sSub>
        <m:r>
          <m:rPr>
            <m:sty m:val="p"/>
          </m:rPr>
          <w:rPr>
            <w:rFonts w:ascii="Cambria Math" w:hAnsi="Cambria Math"/>
          </w:rPr>
          <m:t>≤0,004∙</m:t>
        </m:r>
        <m:sSub>
          <m:sSubPr>
            <m:ctrlPr>
              <w:rPr>
                <w:rFonts w:ascii="Cambria Math" w:hAnsi="Cambria Math"/>
                <w:bCs/>
              </w:rPr>
            </m:ctrlPr>
          </m:sSubPr>
          <m:e>
            <m:r>
              <w:rPr>
                <w:rFonts w:ascii="Cambria Math" w:hAnsi="Cambria Math"/>
              </w:rPr>
              <m:t>E</m:t>
            </m:r>
          </m:e>
          <m:sub>
            <m:r>
              <m:rPr>
                <m:sty m:val="p"/>
              </m:rPr>
              <w:rPr>
                <w:rFonts w:ascii="Cambria Math" w:hAnsi="Cambria Math"/>
              </w:rPr>
              <m:t>f</m:t>
            </m:r>
          </m:sub>
        </m:sSub>
        <m:r>
          <m:rPr>
            <m:sty m:val="p"/>
          </m:rPr>
          <w:rPr>
            <w:rFonts w:ascii="Cambria Math" w:hAnsi="Cambria Math"/>
          </w:rPr>
          <m:t>,</m:t>
        </m:r>
      </m:oMath>
    </w:p>
    <w:p w14:paraId="0D618ED1" w14:textId="62793D84" w:rsidR="004E22C1" w:rsidRPr="001455DC" w:rsidRDefault="004E22C1" w:rsidP="00B0777B">
      <w:pPr>
        <w:pStyle w:val="a0"/>
      </w:pPr>
      <m:oMath>
        <m:r>
          <m:rPr>
            <m:sty m:val="p"/>
          </m:rPr>
          <w:rPr>
            <w:rFonts w:ascii="Cambria Math" w:hAnsi="Cambria Math"/>
          </w:rPr>
          <m:t>cot</m:t>
        </m:r>
        <m:r>
          <w:rPr>
            <w:rFonts w:ascii="Cambria Math" w:hAnsi="Cambria Math"/>
          </w:rPr>
          <m:t>θ</m:t>
        </m:r>
      </m:oMath>
      <w:r w:rsidRPr="001455DC">
        <w:t xml:space="preserve"> is taken as 1,0,</w:t>
      </w:r>
    </w:p>
    <w:p w14:paraId="72B0A00B" w14:textId="24ACB957" w:rsidR="004E22C1" w:rsidRPr="001455DC" w:rsidRDefault="00B0777B" w:rsidP="00B0777B">
      <w:pPr>
        <w:pStyle w:val="a0"/>
      </w:pPr>
      <m:oMath>
        <m:r>
          <w:rPr>
            <w:rFonts w:ascii="Cambria Math" w:hAnsi="Cambria Math"/>
          </w:rPr>
          <m:t>ν</m:t>
        </m:r>
      </m:oMath>
      <w:r w:rsidR="004E22C1" w:rsidRPr="001455DC">
        <w:t xml:space="preserve"> is taken as 0,35,</w:t>
      </w:r>
    </w:p>
    <w:p w14:paraId="7CF8C811" w14:textId="2F3624E3" w:rsidR="004E22C1" w:rsidRPr="001455DC" w:rsidRDefault="00231E33" w:rsidP="00B0777B">
      <w:pPr>
        <w:pStyle w:val="a0"/>
      </w:pPr>
      <m:oMath>
        <m:sSub>
          <m:sSubPr>
            <m:ctrlPr>
              <w:rPr>
                <w:rFonts w:ascii="Cambria Math" w:hAnsi="Cambria Math"/>
                <w:bCs/>
              </w:rPr>
            </m:ctrlPr>
          </m:sSubPr>
          <m:e>
            <m:r>
              <w:rPr>
                <w:rFonts w:ascii="Cambria Math" w:hAnsi="Cambria Math"/>
              </w:rPr>
              <m:t>ρ</m:t>
            </m:r>
          </m:e>
          <m:sub>
            <m:r>
              <m:rPr>
                <m:sty m:val="p"/>
              </m:rPr>
              <w:rPr>
                <w:rFonts w:ascii="Cambria Math" w:hAnsi="Cambria Math"/>
              </w:rPr>
              <m:t>i</m:t>
            </m:r>
          </m:sub>
        </m:sSub>
      </m:oMath>
      <w:r w:rsidR="004E22C1" w:rsidRPr="001455DC">
        <w:t xml:space="preserve"> is factored by the ratio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E</m:t>
                </m:r>
              </m:e>
              <m:sub>
                <m:r>
                  <m:rPr>
                    <m:sty m:val="p"/>
                  </m:rPr>
                  <w:rPr>
                    <w:rFonts w:ascii="Cambria Math" w:hAnsi="Cambria Math"/>
                  </w:rPr>
                  <m:t>F</m:t>
                </m:r>
              </m:sub>
            </m:sSub>
          </m:num>
          <m:den>
            <m:sSub>
              <m:sSubPr>
                <m:ctrlPr>
                  <w:rPr>
                    <w:rFonts w:ascii="Cambria Math" w:hAnsi="Cambria Math"/>
                    <w:i/>
                  </w:rPr>
                </m:ctrlPr>
              </m:sSubPr>
              <m:e>
                <m:r>
                  <w:rPr>
                    <w:rFonts w:ascii="Cambria Math" w:hAnsi="Cambria Math"/>
                  </w:rPr>
                  <m:t>E</m:t>
                </m:r>
              </m:e>
              <m:sub>
                <m:r>
                  <m:rPr>
                    <m:sty m:val="p"/>
                  </m:rPr>
                  <w:rPr>
                    <w:rFonts w:ascii="Cambria Math" w:hAnsi="Cambria Math"/>
                  </w:rPr>
                  <m:t>s</m:t>
                </m:r>
              </m:sub>
            </m:sSub>
          </m:den>
        </m:f>
      </m:oMath>
      <w:r w:rsidR="004E22C1" w:rsidRPr="001455DC">
        <w:t>.</w:t>
      </w:r>
    </w:p>
    <w:p w14:paraId="6F2040F7" w14:textId="114F1620" w:rsidR="004E22C1" w:rsidRPr="001455DC" w:rsidRDefault="004E22C1" w:rsidP="00363AD0">
      <w:pPr>
        <w:pStyle w:val="a3"/>
        <w:numPr>
          <w:ilvl w:val="0"/>
          <w:numId w:val="0"/>
        </w:numPr>
      </w:pPr>
      <w:bookmarkStart w:id="2060" w:name="_Toc52820324"/>
      <w:bookmarkStart w:id="2061" w:name="_Toc54337754"/>
      <w:bookmarkStart w:id="2062" w:name="_Toc54338372"/>
      <w:r w:rsidRPr="001455DC">
        <w:t>JA.8.4</w:t>
      </w:r>
      <w:r w:rsidRPr="001455DC">
        <w:tab/>
        <w:t>Punching</w:t>
      </w:r>
      <w:bookmarkEnd w:id="2060"/>
      <w:bookmarkEnd w:id="2061"/>
      <w:bookmarkEnd w:id="2062"/>
    </w:p>
    <w:p w14:paraId="3460A79D" w14:textId="2D2125CB" w:rsidR="004E22C1" w:rsidRPr="001455DC" w:rsidRDefault="004E22C1" w:rsidP="00B0777B">
      <w:pPr>
        <w:pStyle w:val="a7"/>
      </w:pPr>
      <w:r w:rsidRPr="001455DC">
        <w:t>(1)</w:t>
      </w:r>
      <w:r w:rsidRPr="001455DC">
        <w:tab/>
        <w:t xml:space="preserve">The provisions in 8.4.3 may be used provided that </w:t>
      </w:r>
      <m:oMath>
        <m:sSub>
          <m:sSubPr>
            <m:ctrlPr>
              <w:rPr>
                <w:rFonts w:ascii="Cambria Math" w:hAnsi="Cambria Math"/>
                <w:bCs/>
              </w:rPr>
            </m:ctrlPr>
          </m:sSubPr>
          <m:e>
            <m:r>
              <m:rPr>
                <m:sty m:val="p"/>
              </m:rPr>
              <w:rPr>
                <w:rFonts w:ascii="Cambria Math" w:hAnsi="Cambria Math"/>
              </w:rPr>
              <m:t>ρ</m:t>
            </m:r>
          </m:e>
          <m:sub>
            <m:r>
              <m:rPr>
                <m:sty m:val="p"/>
              </m:rPr>
              <w:rPr>
                <w:rFonts w:ascii="Cambria Math" w:hAnsi="Cambria Math"/>
              </w:rPr>
              <m:t>l</m:t>
            </m:r>
          </m:sub>
        </m:sSub>
      </m:oMath>
      <w:r w:rsidRPr="001455DC">
        <w:t xml:space="preserve"> of longitudinal FRP reinforcement in Formula (8.</w:t>
      </w:r>
      <w:r w:rsidR="008D5584" w:rsidRPr="001455DC">
        <w:t>78</w:t>
      </w:r>
      <w:r w:rsidRPr="001455DC">
        <w:t xml:space="preserve">) is reduced by the ratio </w:t>
      </w:r>
      <m:oMath>
        <m:f>
          <m:fPr>
            <m:type m:val="lin"/>
            <m:ctrlPr>
              <w:rPr>
                <w:rFonts w:ascii="Cambria Math" w:hAnsi="Cambria Math"/>
                <w:bCs/>
              </w:rPr>
            </m:ctrlPr>
          </m:fPr>
          <m:num>
            <m:sSub>
              <m:sSubPr>
                <m:ctrlPr>
                  <w:rPr>
                    <w:rFonts w:ascii="Cambria Math" w:hAnsi="Cambria Math"/>
                    <w:bCs/>
                  </w:rPr>
                </m:ctrlPr>
              </m:sSubPr>
              <m:e>
                <m:r>
                  <w:rPr>
                    <w:rFonts w:ascii="Cambria Math" w:hAnsi="Cambria Math"/>
                  </w:rPr>
                  <m:t>E</m:t>
                </m:r>
              </m:e>
              <m:sub>
                <m:r>
                  <m:rPr>
                    <m:sty m:val="p"/>
                  </m:rPr>
                  <w:rPr>
                    <w:rFonts w:ascii="Cambria Math" w:hAnsi="Cambria Math"/>
                  </w:rPr>
                  <m:t>fR</m:t>
                </m:r>
              </m:sub>
            </m:sSub>
          </m:num>
          <m:den>
            <m:sSub>
              <m:sSubPr>
                <m:ctrlPr>
                  <w:rPr>
                    <w:rFonts w:ascii="Cambria Math" w:hAnsi="Cambria Math"/>
                    <w:bCs/>
                  </w:rPr>
                </m:ctrlPr>
              </m:sSubPr>
              <m:e>
                <m:r>
                  <w:rPr>
                    <w:rFonts w:ascii="Cambria Math" w:hAnsi="Cambria Math"/>
                  </w:rPr>
                  <m:t>E</m:t>
                </m:r>
              </m:e>
              <m:sub>
                <m:r>
                  <m:rPr>
                    <m:sty m:val="p"/>
                  </m:rPr>
                  <w:rPr>
                    <w:rFonts w:ascii="Cambria Math" w:hAnsi="Cambria Math"/>
                  </w:rPr>
                  <m:t>s</m:t>
                </m:r>
              </m:sub>
            </m:sSub>
          </m:den>
        </m:f>
      </m:oMath>
      <w:r w:rsidRPr="001455DC">
        <w:t>.</w:t>
      </w:r>
    </w:p>
    <w:p w14:paraId="7B0AF551" w14:textId="77777777" w:rsidR="004E22C1" w:rsidRPr="001455DC" w:rsidRDefault="004E22C1" w:rsidP="00B0777B">
      <w:pPr>
        <w:pStyle w:val="a7"/>
      </w:pPr>
      <w:r w:rsidRPr="001455DC">
        <w:t>(2)</w:t>
      </w:r>
      <w:r w:rsidRPr="001455DC">
        <w:tab/>
        <w:t>The provisions in 8.4.4 shall not be applied to concrete members with FRP reinforcement.</w:t>
      </w:r>
    </w:p>
    <w:p w14:paraId="6E7228F9" w14:textId="476B3CB2" w:rsidR="004E22C1" w:rsidRPr="001455DC" w:rsidRDefault="004E22C1" w:rsidP="00363AD0">
      <w:pPr>
        <w:pStyle w:val="a3"/>
        <w:numPr>
          <w:ilvl w:val="0"/>
          <w:numId w:val="0"/>
        </w:numPr>
      </w:pPr>
      <w:bookmarkStart w:id="2063" w:name="_Toc52820326"/>
      <w:bookmarkStart w:id="2064" w:name="_Toc54337756"/>
      <w:bookmarkStart w:id="2065" w:name="_Toc54338374"/>
      <w:r w:rsidRPr="001455DC">
        <w:t>JA.8.5</w:t>
      </w:r>
      <w:r w:rsidRPr="001455DC">
        <w:tab/>
        <w:t>Design with strut-and-tie models and stress fields</w:t>
      </w:r>
      <w:bookmarkEnd w:id="2063"/>
      <w:bookmarkEnd w:id="2064"/>
      <w:bookmarkEnd w:id="2065"/>
    </w:p>
    <w:p w14:paraId="479409E3" w14:textId="77777777" w:rsidR="004E22C1" w:rsidRPr="001455DC" w:rsidRDefault="004E22C1" w:rsidP="00B0777B">
      <w:pPr>
        <w:pStyle w:val="a7"/>
        <w:rPr>
          <w:bCs/>
        </w:rPr>
      </w:pPr>
      <w:r w:rsidRPr="001455DC">
        <w:t>(1)</w:t>
      </w:r>
      <w:r w:rsidRPr="001455DC">
        <w:tab/>
        <w:t>Design with strut and tie models and stress fields for concrete structure reinforced with FRP reinforcement are not covered by this Eurocode.</w:t>
      </w:r>
    </w:p>
    <w:p w14:paraId="154C3045" w14:textId="7FDEAB05" w:rsidR="004E22C1" w:rsidRPr="001455DC" w:rsidRDefault="004E22C1" w:rsidP="00082680">
      <w:pPr>
        <w:pStyle w:val="a2"/>
        <w:numPr>
          <w:ilvl w:val="0"/>
          <w:numId w:val="0"/>
        </w:numPr>
      </w:pPr>
      <w:bookmarkStart w:id="2066" w:name="_Toc52820328"/>
      <w:bookmarkStart w:id="2067" w:name="_Toc54337203"/>
      <w:bookmarkStart w:id="2068" w:name="_Toc54337758"/>
      <w:bookmarkStart w:id="2069" w:name="_Toc54338376"/>
      <w:bookmarkStart w:id="2070" w:name="_Toc67565605"/>
      <w:r w:rsidRPr="001455DC">
        <w:t>JA.9</w:t>
      </w:r>
      <w:r w:rsidRPr="001455DC">
        <w:tab/>
      </w:r>
      <w:r w:rsidR="005965D6" w:rsidRPr="001455DC">
        <w:t xml:space="preserve">Serviceability Limit States </w:t>
      </w:r>
      <w:r w:rsidRPr="001455DC">
        <w:t>(SLS)</w:t>
      </w:r>
      <w:bookmarkEnd w:id="2066"/>
      <w:bookmarkEnd w:id="2067"/>
      <w:bookmarkEnd w:id="2068"/>
      <w:bookmarkEnd w:id="2069"/>
      <w:r w:rsidR="00E85B0A" w:rsidRPr="001455DC">
        <w:t xml:space="preserve"> - Special rules for FRP reinforcement</w:t>
      </w:r>
      <w:bookmarkEnd w:id="2070"/>
    </w:p>
    <w:p w14:paraId="26E482A3" w14:textId="2FFE140D" w:rsidR="004E22C1" w:rsidRPr="001455DC" w:rsidRDefault="004E22C1" w:rsidP="00363AD0">
      <w:pPr>
        <w:pStyle w:val="a3"/>
        <w:numPr>
          <w:ilvl w:val="0"/>
          <w:numId w:val="0"/>
        </w:numPr>
      </w:pPr>
      <w:bookmarkStart w:id="2071" w:name="_Toc52820329"/>
      <w:bookmarkStart w:id="2072" w:name="_Toc54337759"/>
      <w:bookmarkStart w:id="2073" w:name="_Toc54338377"/>
      <w:r w:rsidRPr="001455DC">
        <w:t>JA.9.</w:t>
      </w:r>
      <w:r w:rsidR="00E85B0A" w:rsidRPr="001455DC">
        <w:t>1</w:t>
      </w:r>
      <w:r w:rsidRPr="001455DC">
        <w:tab/>
        <w:t>Crack control</w:t>
      </w:r>
      <w:bookmarkEnd w:id="2071"/>
      <w:bookmarkEnd w:id="2072"/>
      <w:bookmarkEnd w:id="2073"/>
    </w:p>
    <w:p w14:paraId="381B0F34" w14:textId="02829F9B" w:rsidR="004E22C1" w:rsidRPr="001455DC" w:rsidRDefault="004E22C1" w:rsidP="00B0777B">
      <w:pPr>
        <w:pStyle w:val="a7"/>
      </w:pPr>
      <w:r w:rsidRPr="001455DC">
        <w:t>(1)</w:t>
      </w:r>
      <w:r w:rsidRPr="001455DC">
        <w:tab/>
        <w:t xml:space="preserve">Table 9.2(NDP) in 9.2.1(6) does not apply for members reinforced only with FRP reinforcement. A crack limit of </w:t>
      </w:r>
      <m:oMath>
        <m:sSub>
          <m:sSubPr>
            <m:ctrlPr>
              <w:rPr>
                <w:rFonts w:ascii="Cambria Math" w:hAnsi="Cambria Math"/>
              </w:rPr>
            </m:ctrlPr>
          </m:sSubPr>
          <m:e>
            <m:r>
              <w:rPr>
                <w:rFonts w:ascii="Cambria Math" w:hAnsi="Cambria Math"/>
              </w:rPr>
              <m:t>w</m:t>
            </m:r>
          </m:e>
          <m:sub>
            <m:r>
              <m:rPr>
                <m:sty m:val="p"/>
              </m:rPr>
              <w:rPr>
                <w:rFonts w:ascii="Cambria Math" w:hAnsi="Cambria Math"/>
              </w:rPr>
              <m:t>lim,cal</m:t>
            </m:r>
          </m:sub>
        </m:sSub>
        <m:r>
          <m:rPr>
            <m:sty m:val="p"/>
          </m:rPr>
          <w:rPr>
            <w:rFonts w:ascii="Cambria Math" w:hAnsi="Cambria Math"/>
          </w:rPr>
          <m:t>=0,4 mm</m:t>
        </m:r>
      </m:oMath>
      <w:r w:rsidRPr="001455DC">
        <w:t xml:space="preserve"> should be used in such members.</w:t>
      </w:r>
    </w:p>
    <w:p w14:paraId="01230E38" w14:textId="50FBA42A" w:rsidR="004E22C1" w:rsidRPr="001455DC" w:rsidRDefault="004E22C1" w:rsidP="00B0777B">
      <w:pPr>
        <w:pStyle w:val="a7"/>
      </w:pPr>
      <w:r w:rsidRPr="001455DC">
        <w:t>(2)</w:t>
      </w:r>
      <w:r w:rsidRPr="001455DC">
        <w:tab/>
        <w:t xml:space="preserve">The provisions relevant to steel reinforcement in 9.2.2(6), 9.2.3(3), 9.2.4(8) may be applied to concrete with FRP reinforcement where the value of </w:t>
      </w:r>
      <m:oMath>
        <m:sSub>
          <m:sSubPr>
            <m:ctrlPr>
              <w:rPr>
                <w:rFonts w:ascii="Cambria Math" w:hAnsi="Cambria Math"/>
                <w:bCs/>
              </w:rPr>
            </m:ctrlPr>
          </m:sSubPr>
          <m:e>
            <m:r>
              <w:rPr>
                <w:rFonts w:ascii="Cambria Math" w:hAnsi="Cambria Math"/>
              </w:rPr>
              <m:t>E</m:t>
            </m:r>
          </m:e>
          <m:sub>
            <m:r>
              <m:rPr>
                <m:sty m:val="p"/>
              </m:rPr>
              <w:rPr>
                <w:rFonts w:ascii="Cambria Math" w:hAnsi="Cambria Math"/>
              </w:rPr>
              <m:t>s</m:t>
            </m:r>
          </m:sub>
        </m:sSub>
      </m:oMath>
      <w:r w:rsidRPr="001455DC">
        <w:t xml:space="preserve"> is replaced by </w:t>
      </w:r>
      <m:oMath>
        <m:sSub>
          <m:sSubPr>
            <m:ctrlPr>
              <w:rPr>
                <w:rFonts w:ascii="Cambria Math" w:hAnsi="Cambria Math"/>
                <w:bCs/>
              </w:rPr>
            </m:ctrlPr>
          </m:sSubPr>
          <m:e>
            <m:r>
              <w:rPr>
                <w:rFonts w:ascii="Cambria Math" w:hAnsi="Cambria Math"/>
              </w:rPr>
              <m:t>E</m:t>
            </m:r>
          </m:e>
          <m:sub>
            <m:r>
              <m:rPr>
                <m:sty m:val="p"/>
              </m:rPr>
              <w:rPr>
                <w:rFonts w:ascii="Cambria Math" w:hAnsi="Cambria Math"/>
              </w:rPr>
              <m:t>fR</m:t>
            </m:r>
          </m:sub>
        </m:sSub>
      </m:oMath>
      <w:r w:rsidRPr="001455DC">
        <w:t xml:space="preserve">, and </w:t>
      </w:r>
      <m:oMath>
        <m:sSub>
          <m:sSubPr>
            <m:ctrlPr>
              <w:rPr>
                <w:rFonts w:ascii="Cambria Math" w:hAnsi="Cambria Math"/>
                <w:bCs/>
              </w:rPr>
            </m:ctrlPr>
          </m:sSubPr>
          <m:e>
            <m:r>
              <w:rPr>
                <w:rFonts w:ascii="Cambria Math" w:hAnsi="Cambria Math"/>
              </w:rPr>
              <m:t>A</m:t>
            </m:r>
          </m:e>
          <m:sub>
            <m:r>
              <m:rPr>
                <m:sty m:val="p"/>
              </m:rPr>
              <w:rPr>
                <w:rFonts w:ascii="Cambria Math" w:hAnsi="Cambria Math"/>
              </w:rPr>
              <m:t>s</m:t>
            </m:r>
          </m:sub>
        </m:sSub>
      </m:oMath>
      <w:r w:rsidRPr="001455DC">
        <w:t xml:space="preserve"> is replaced by </w:t>
      </w:r>
      <m:oMath>
        <m:sSub>
          <m:sSubPr>
            <m:ctrlPr>
              <w:rPr>
                <w:rFonts w:ascii="Cambria Math" w:hAnsi="Cambria Math"/>
              </w:rPr>
            </m:ctrlPr>
          </m:sSubPr>
          <m:e>
            <m:r>
              <w:rPr>
                <w:rFonts w:ascii="Cambria Math" w:hAnsi="Cambria Math"/>
              </w:rPr>
              <m:t>A</m:t>
            </m:r>
          </m:e>
          <m:sub>
            <m:r>
              <m:rPr>
                <m:sty m:val="p"/>
              </m:rPr>
              <w:rPr>
                <w:rFonts w:ascii="Cambria Math" w:hAnsi="Cambria Math"/>
              </w:rPr>
              <m:t>f</m:t>
            </m:r>
          </m:sub>
        </m:sSub>
        <m:r>
          <m:rPr>
            <m:sty m:val="p"/>
          </m:rPr>
          <w:rPr>
            <w:rFonts w:ascii="Cambria Math" w:hAnsi="Cambria Math"/>
          </w:rPr>
          <m:t>∙</m:t>
        </m:r>
        <m:d>
          <m:dPr>
            <m:ctrlPr>
              <w:rPr>
                <w:rFonts w:ascii="Cambria Math" w:hAnsi="Cambria Math"/>
                <w:bCs/>
              </w:rPr>
            </m:ctrlPr>
          </m:dPr>
          <m:e>
            <m:f>
              <m:fPr>
                <m:type m:val="lin"/>
                <m:ctrlPr>
                  <w:rPr>
                    <w:rFonts w:ascii="Cambria Math" w:hAnsi="Cambria Math"/>
                    <w:bCs/>
                  </w:rPr>
                </m:ctrlPr>
              </m:fPr>
              <m:num>
                <m:sSub>
                  <m:sSubPr>
                    <m:ctrlPr>
                      <w:rPr>
                        <w:rFonts w:ascii="Cambria Math" w:hAnsi="Cambria Math"/>
                        <w:bCs/>
                      </w:rPr>
                    </m:ctrlPr>
                  </m:sSubPr>
                  <m:e>
                    <m:r>
                      <w:rPr>
                        <w:rFonts w:ascii="Cambria Math" w:hAnsi="Cambria Math"/>
                      </w:rPr>
                      <m:t>E</m:t>
                    </m:r>
                  </m:e>
                  <m:sub>
                    <m:r>
                      <m:rPr>
                        <m:sty m:val="p"/>
                      </m:rPr>
                      <w:rPr>
                        <w:rFonts w:ascii="Cambria Math" w:hAnsi="Cambria Math"/>
                      </w:rPr>
                      <m:t>fR</m:t>
                    </m:r>
                  </m:sub>
                </m:sSub>
              </m:num>
              <m:den>
                <m:sSub>
                  <m:sSubPr>
                    <m:ctrlPr>
                      <w:rPr>
                        <w:rFonts w:ascii="Cambria Math" w:hAnsi="Cambria Math"/>
                        <w:bCs/>
                      </w:rPr>
                    </m:ctrlPr>
                  </m:sSubPr>
                  <m:e>
                    <m:r>
                      <w:rPr>
                        <w:rFonts w:ascii="Cambria Math" w:hAnsi="Cambria Math"/>
                      </w:rPr>
                      <m:t>E</m:t>
                    </m:r>
                  </m:e>
                  <m:sub>
                    <m:r>
                      <m:rPr>
                        <m:sty m:val="p"/>
                      </m:rPr>
                      <w:rPr>
                        <w:rFonts w:ascii="Cambria Math" w:hAnsi="Cambria Math"/>
                      </w:rPr>
                      <m:t>s</m:t>
                    </m:r>
                  </m:sub>
                </m:sSub>
              </m:den>
            </m:f>
          </m:e>
        </m:d>
      </m:oMath>
      <w:r w:rsidRPr="001455DC">
        <w:t xml:space="preserve"> in all relevant formulae in these clauses.</w:t>
      </w:r>
    </w:p>
    <w:p w14:paraId="38E52308" w14:textId="503A5F6D" w:rsidR="004E22C1" w:rsidRPr="001455DC" w:rsidRDefault="004E22C1" w:rsidP="00363AD0">
      <w:pPr>
        <w:pStyle w:val="a3"/>
        <w:numPr>
          <w:ilvl w:val="0"/>
          <w:numId w:val="0"/>
        </w:numPr>
      </w:pPr>
      <w:bookmarkStart w:id="2074" w:name="_Toc52820331"/>
      <w:bookmarkStart w:id="2075" w:name="_Toc54337761"/>
      <w:bookmarkStart w:id="2076" w:name="_Toc54338379"/>
      <w:r w:rsidRPr="001455DC">
        <w:t>JA.9.</w:t>
      </w:r>
      <w:r w:rsidR="00E85B0A" w:rsidRPr="001455DC">
        <w:t>2</w:t>
      </w:r>
      <w:r w:rsidRPr="001455DC">
        <w:tab/>
        <w:t>Deflection control</w:t>
      </w:r>
      <w:bookmarkEnd w:id="2074"/>
      <w:bookmarkEnd w:id="2075"/>
      <w:bookmarkEnd w:id="2076"/>
    </w:p>
    <w:p w14:paraId="76AC0BF6" w14:textId="77777777" w:rsidR="004E22C1" w:rsidRPr="001455DC" w:rsidRDefault="004E22C1" w:rsidP="00B0777B">
      <w:pPr>
        <w:pStyle w:val="a7"/>
      </w:pPr>
      <w:r w:rsidRPr="001455DC">
        <w:t>(1)</w:t>
      </w:r>
      <w:r w:rsidRPr="001455DC">
        <w:tab/>
        <w:t>Table 9.3 in 9.3.2(1) should not be used for structures with FRP reinforcement.</w:t>
      </w:r>
    </w:p>
    <w:p w14:paraId="37967E71" w14:textId="77777777" w:rsidR="00F718E3" w:rsidRPr="001455DC" w:rsidRDefault="004E22C1" w:rsidP="00B0777B">
      <w:pPr>
        <w:pStyle w:val="a7"/>
      </w:pPr>
      <w:r w:rsidRPr="001455DC">
        <w:t>(2)</w:t>
      </w:r>
      <w:r w:rsidRPr="001455DC">
        <w:tab/>
        <w:t xml:space="preserve">The provisions relevant to steel reinforcement in 9.3.3(3), 9.3.4(8) may be applied to concrete with FRP reinforcement where the value of </w:t>
      </w:r>
      <m:oMath>
        <m:sSub>
          <m:sSubPr>
            <m:ctrlPr>
              <w:rPr>
                <w:rFonts w:ascii="Cambria Math" w:hAnsi="Cambria Math"/>
                <w:bCs/>
              </w:rPr>
            </m:ctrlPr>
          </m:sSubPr>
          <m:e>
            <m:r>
              <w:rPr>
                <w:rFonts w:ascii="Cambria Math" w:hAnsi="Cambria Math"/>
              </w:rPr>
              <m:t>E</m:t>
            </m:r>
          </m:e>
          <m:sub>
            <m:r>
              <m:rPr>
                <m:sty m:val="p"/>
              </m:rPr>
              <w:rPr>
                <w:rFonts w:ascii="Cambria Math" w:hAnsi="Cambria Math"/>
              </w:rPr>
              <m:t>s</m:t>
            </m:r>
          </m:sub>
        </m:sSub>
      </m:oMath>
      <w:r w:rsidRPr="001455DC">
        <w:t xml:space="preserve"> is replaced by </w:t>
      </w:r>
      <m:oMath>
        <m:sSub>
          <m:sSubPr>
            <m:ctrlPr>
              <w:rPr>
                <w:rFonts w:ascii="Cambria Math" w:hAnsi="Cambria Math"/>
                <w:bCs/>
              </w:rPr>
            </m:ctrlPr>
          </m:sSubPr>
          <m:e>
            <m:r>
              <w:rPr>
                <w:rFonts w:ascii="Cambria Math" w:hAnsi="Cambria Math"/>
              </w:rPr>
              <m:t>E</m:t>
            </m:r>
          </m:e>
          <m:sub>
            <m:r>
              <m:rPr>
                <m:sty m:val="p"/>
              </m:rPr>
              <w:rPr>
                <w:rFonts w:ascii="Cambria Math" w:hAnsi="Cambria Math"/>
              </w:rPr>
              <m:t>fR</m:t>
            </m:r>
          </m:sub>
        </m:sSub>
      </m:oMath>
      <w:r w:rsidRPr="001455DC">
        <w:t xml:space="preserve"> in all relevant formulae in these clauses.</w:t>
      </w:r>
    </w:p>
    <w:p w14:paraId="3E6FFDD4" w14:textId="6CBD1A75" w:rsidR="00F718E3" w:rsidRPr="001455DC" w:rsidRDefault="00F718E3" w:rsidP="00082680">
      <w:pPr>
        <w:pStyle w:val="a2"/>
        <w:numPr>
          <w:ilvl w:val="0"/>
          <w:numId w:val="0"/>
        </w:numPr>
      </w:pPr>
      <w:bookmarkStart w:id="2077" w:name="_Toc67565606"/>
      <w:r w:rsidRPr="001455DC">
        <w:t>JA.10</w:t>
      </w:r>
      <w:r w:rsidRPr="001455DC">
        <w:tab/>
        <w:t>Fatigue</w:t>
      </w:r>
      <w:bookmarkEnd w:id="2077"/>
    </w:p>
    <w:p w14:paraId="4153DFB7" w14:textId="64479AAE" w:rsidR="004E22C1" w:rsidRPr="001455DC" w:rsidRDefault="00F718E3" w:rsidP="00363AD0">
      <w:pPr>
        <w:pStyle w:val="a7"/>
        <w:jc w:val="left"/>
      </w:pPr>
      <w:r w:rsidRPr="001455DC">
        <w:t>(1) This Eurocode does not provide rules for fatigue utilising FRP reinforcement.</w:t>
      </w:r>
      <w:r w:rsidR="00E611CE" w:rsidRPr="001455DC">
        <w:rPr>
          <w:vanish/>
        </w:rPr>
        <w:t xml:space="preserve"> </w:t>
      </w:r>
    </w:p>
    <w:p w14:paraId="49BA595B" w14:textId="79E87E18" w:rsidR="004E22C1" w:rsidRPr="001455DC" w:rsidRDefault="004E22C1" w:rsidP="00082680">
      <w:pPr>
        <w:pStyle w:val="a2"/>
        <w:numPr>
          <w:ilvl w:val="0"/>
          <w:numId w:val="0"/>
        </w:numPr>
      </w:pPr>
      <w:bookmarkStart w:id="2078" w:name="_Toc52820333"/>
      <w:bookmarkStart w:id="2079" w:name="_Toc54337204"/>
      <w:bookmarkStart w:id="2080" w:name="_Toc54337763"/>
      <w:bookmarkStart w:id="2081" w:name="_Toc54338381"/>
      <w:bookmarkStart w:id="2082" w:name="_Toc67565607"/>
      <w:r w:rsidRPr="001455DC">
        <w:t>JA.11</w:t>
      </w:r>
      <w:r w:rsidRPr="001455DC">
        <w:tab/>
      </w:r>
      <w:r w:rsidR="00B0777B" w:rsidRPr="001455DC">
        <w:t>Detailing of FRP reinforcement</w:t>
      </w:r>
      <w:bookmarkEnd w:id="2078"/>
      <w:bookmarkEnd w:id="2079"/>
      <w:bookmarkEnd w:id="2080"/>
      <w:bookmarkEnd w:id="2081"/>
      <w:bookmarkEnd w:id="2082"/>
    </w:p>
    <w:p w14:paraId="0D02C4CA" w14:textId="3FAF2F9C" w:rsidR="004E22C1" w:rsidRPr="001455DC" w:rsidRDefault="004E22C1" w:rsidP="00363AD0">
      <w:pPr>
        <w:pStyle w:val="a3"/>
        <w:numPr>
          <w:ilvl w:val="0"/>
          <w:numId w:val="0"/>
        </w:numPr>
      </w:pPr>
      <w:bookmarkStart w:id="2083" w:name="_Toc52820334"/>
      <w:bookmarkStart w:id="2084" w:name="_Toc54337764"/>
      <w:bookmarkStart w:id="2085" w:name="_Toc54338382"/>
      <w:r w:rsidRPr="001455DC">
        <w:t>JA.11.</w:t>
      </w:r>
      <w:r w:rsidR="00D847FD" w:rsidRPr="001455DC">
        <w:t>1</w:t>
      </w:r>
      <w:r w:rsidRPr="001455DC">
        <w:tab/>
        <w:t>Spacing of bars</w:t>
      </w:r>
      <w:bookmarkEnd w:id="2083"/>
      <w:bookmarkEnd w:id="2084"/>
      <w:bookmarkEnd w:id="2085"/>
    </w:p>
    <w:p w14:paraId="3E442CDC" w14:textId="3EC25A53" w:rsidR="004E22C1" w:rsidRPr="001455DC" w:rsidRDefault="004E22C1" w:rsidP="00B0777B">
      <w:pPr>
        <w:pStyle w:val="a7"/>
      </w:pPr>
      <w:r w:rsidRPr="001455DC">
        <w:t>(</w:t>
      </w:r>
      <w:r w:rsidR="00F718E3" w:rsidRPr="001455DC">
        <w:t>1</w:t>
      </w:r>
      <w:r w:rsidRPr="001455DC">
        <w:t>)</w:t>
      </w:r>
      <w:r w:rsidRPr="001455DC">
        <w:tab/>
        <w:t xml:space="preserve">Where the clear distance between FRP reinforcement </w:t>
      </w:r>
      <w:r w:rsidRPr="009D3012">
        <w:rPr>
          <w:rFonts w:ascii="Cambria Math" w:hAnsi="Cambria Math"/>
        </w:rPr>
        <w:t>bars</w:t>
      </w:r>
      <w:r w:rsidRPr="001455DC">
        <w:t xml:space="preserve"> </w:t>
      </w:r>
      <m:oMath>
        <m:sSub>
          <m:sSubPr>
            <m:ctrlPr>
              <w:rPr>
                <w:rFonts w:ascii="Cambria Math" w:hAnsi="Cambria Math"/>
                <w:bCs/>
              </w:rPr>
            </m:ctrlPr>
          </m:sSubPr>
          <m:e>
            <m:r>
              <w:rPr>
                <w:rFonts w:ascii="Cambria Math" w:hAnsi="Cambria Math"/>
              </w:rPr>
              <m:t>c</m:t>
            </m:r>
          </m:e>
          <m:sub>
            <m:r>
              <m:rPr>
                <m:sty m:val="p"/>
              </m:rPr>
              <w:rPr>
                <w:rFonts w:ascii="Cambria Math" w:hAnsi="Cambria Math"/>
              </w:rPr>
              <m:t>s</m:t>
            </m:r>
          </m:sub>
        </m:sSub>
        <m:r>
          <m:rPr>
            <m:sty m:val="p"/>
          </m:rPr>
          <w:rPr>
            <w:rFonts w:ascii="Cambria Math" w:hAnsi="Cambria Math"/>
          </w:rPr>
          <m:t>&lt;7,5∙</m:t>
        </m:r>
        <m:r>
          <w:rPr>
            <w:rFonts w:ascii="Cambria Math" w:hAnsi="Cambria Math"/>
          </w:rPr>
          <m:t>ϕ</m:t>
        </m:r>
      </m:oMath>
      <w:r w:rsidRPr="001455DC">
        <w:t xml:space="preserve">, concrete cover spalling shall be prevented by limiting the design strain to </w:t>
      </w:r>
      <m:oMath>
        <m:sSub>
          <m:sSubPr>
            <m:ctrlPr>
              <w:rPr>
                <w:rFonts w:ascii="Cambria Math" w:hAnsi="Cambria Math"/>
                <w:bCs/>
              </w:rPr>
            </m:ctrlPr>
          </m:sSubPr>
          <m:e>
            <m:r>
              <w:rPr>
                <w:rFonts w:ascii="Cambria Math" w:hAnsi="Cambria Math"/>
              </w:rPr>
              <m:t>ε</m:t>
            </m:r>
          </m:e>
          <m:sub>
            <m:r>
              <m:rPr>
                <m:sty m:val="p"/>
              </m:rPr>
              <w:rPr>
                <w:rFonts w:ascii="Cambria Math" w:hAnsi="Cambria Math"/>
              </w:rPr>
              <m:t>fRd</m:t>
            </m:r>
          </m:sub>
        </m:sSub>
        <m:r>
          <m:rPr>
            <m:sty m:val="p"/>
          </m:rPr>
          <w:rPr>
            <w:rFonts w:ascii="Cambria Math" w:hAnsi="Cambria Math"/>
          </w:rPr>
          <m:t>≤0,0035</m:t>
        </m:r>
      </m:oMath>
      <w:r w:rsidRPr="001455DC">
        <w:t xml:space="preserve"> in straight bars.</w:t>
      </w:r>
    </w:p>
    <w:p w14:paraId="5879C598" w14:textId="410FF626" w:rsidR="004E22C1" w:rsidRPr="001455DC" w:rsidRDefault="004E22C1" w:rsidP="00363AD0">
      <w:pPr>
        <w:pStyle w:val="a3"/>
        <w:numPr>
          <w:ilvl w:val="0"/>
          <w:numId w:val="0"/>
        </w:numPr>
      </w:pPr>
      <w:bookmarkStart w:id="2086" w:name="_Toc52820335"/>
      <w:bookmarkStart w:id="2087" w:name="_Toc54337765"/>
      <w:bookmarkStart w:id="2088" w:name="_Toc54338383"/>
      <w:r w:rsidRPr="001455DC">
        <w:t>JA.11.</w:t>
      </w:r>
      <w:r w:rsidR="00D847FD" w:rsidRPr="001455DC">
        <w:t>2</w:t>
      </w:r>
      <w:r w:rsidRPr="001455DC">
        <w:tab/>
        <w:t>Permissible mandrel diameters for bent bars</w:t>
      </w:r>
      <w:bookmarkEnd w:id="2086"/>
      <w:bookmarkEnd w:id="2087"/>
      <w:bookmarkEnd w:id="2088"/>
    </w:p>
    <w:p w14:paraId="28337B4E" w14:textId="1779A9D6" w:rsidR="009D732D" w:rsidRPr="009D3012" w:rsidRDefault="004E22C1" w:rsidP="009D3012">
      <w:pPr>
        <w:pStyle w:val="a7"/>
      </w:pPr>
      <w:r w:rsidRPr="009D3012">
        <w:t>(</w:t>
      </w:r>
      <w:r w:rsidR="00F718E3" w:rsidRPr="009D3012">
        <w:t>1</w:t>
      </w:r>
      <w:r w:rsidRPr="009D3012">
        <w:t>)</w:t>
      </w:r>
      <w:r w:rsidRPr="009D3012">
        <w:tab/>
      </w:r>
      <w:r w:rsidR="009D732D" w:rsidRPr="009D3012">
        <w:t xml:space="preserve"> The minimum diameter to which a bar may be bent shall be such as to avoid:</w:t>
      </w:r>
    </w:p>
    <w:p w14:paraId="5A0E2DDC" w14:textId="10588313" w:rsidR="009D732D" w:rsidRPr="009D3012" w:rsidRDefault="009D732D" w:rsidP="009D3012">
      <w:pPr>
        <w:pStyle w:val="a0"/>
      </w:pPr>
      <w:r w:rsidRPr="009D3012">
        <w:t>damaging the reinforcement (see (2)) and</w:t>
      </w:r>
    </w:p>
    <w:p w14:paraId="529E319B" w14:textId="610001B7" w:rsidR="004E22C1" w:rsidRPr="001455DC" w:rsidRDefault="009D732D" w:rsidP="009D3012">
      <w:pPr>
        <w:pStyle w:val="a0"/>
      </w:pPr>
      <w:r w:rsidRPr="009D3012">
        <w:t>failure of the concrete inside the bend of the bar (crushing, splitting or spalling of reinforcement cover), see (3) and (4).</w:t>
      </w:r>
    </w:p>
    <w:p w14:paraId="04618390" w14:textId="77777777" w:rsidR="00B56A0F" w:rsidRPr="001455DC" w:rsidRDefault="00B56A0F" w:rsidP="00B56A0F">
      <w:pPr>
        <w:pStyle w:val="a7"/>
      </w:pPr>
      <w:r w:rsidRPr="001455DC">
        <w:t>(2) The mandrel diameter of FRP reinforcement is given by the supplier. Bending on site is not permitted.</w:t>
      </w:r>
    </w:p>
    <w:p w14:paraId="2C00CE28" w14:textId="3216503D" w:rsidR="00B56A0F" w:rsidRPr="001455DC" w:rsidRDefault="00B56A0F" w:rsidP="00B56A0F">
      <w:pPr>
        <w:pStyle w:val="a7"/>
      </w:pPr>
      <w:r w:rsidRPr="001455DC">
        <w:t xml:space="preserve"> The mandrel diameter should be at least:</w:t>
      </w:r>
    </w:p>
    <w:p w14:paraId="042D5368" w14:textId="12134BD6" w:rsidR="00B56A0F" w:rsidRPr="009D3012" w:rsidRDefault="00B56A0F" w:rsidP="009D3012">
      <w:pPr>
        <w:pStyle w:val="a0"/>
      </w:pPr>
      <w:r w:rsidRPr="009D3012">
        <w:rPr>
          <w:i/>
          <w:iCs/>
        </w:rPr>
        <w:sym w:font="Symbol" w:char="F066"/>
      </w:r>
      <w:r w:rsidRPr="009D3012">
        <w:rPr>
          <w:vertAlign w:val="subscript"/>
        </w:rPr>
        <w:t>mand,min</w:t>
      </w:r>
      <w:r w:rsidRPr="009D3012">
        <w:t xml:space="preserve"> = 4</w:t>
      </w:r>
      <w:r w:rsidRPr="009D3012">
        <w:rPr>
          <w:i/>
          <w:iCs/>
        </w:rPr>
        <w:sym w:font="Symbol" w:char="F066"/>
      </w:r>
      <w:r w:rsidRPr="009D3012">
        <w:rPr>
          <w:rFonts w:eastAsia="SymbolMT"/>
          <w:i/>
          <w:iCs/>
        </w:rPr>
        <w:t xml:space="preserve"> </w:t>
      </w:r>
      <w:r w:rsidRPr="009D3012">
        <w:t xml:space="preserve">for </w:t>
      </w:r>
      <w:r w:rsidRPr="009D3012">
        <w:rPr>
          <w:i/>
          <w:iCs/>
        </w:rPr>
        <w:sym w:font="Symbol" w:char="F066"/>
      </w:r>
      <w:r w:rsidRPr="009D3012">
        <w:rPr>
          <w:rFonts w:eastAsia="SymbolMT"/>
        </w:rPr>
        <w:t xml:space="preserve"> ≤ </w:t>
      </w:r>
      <w:r w:rsidRPr="009D3012">
        <w:t>16 mm</w:t>
      </w:r>
    </w:p>
    <w:p w14:paraId="1D110C81" w14:textId="46167B3F" w:rsidR="00B56A0F" w:rsidRPr="001455DC" w:rsidRDefault="00B56A0F" w:rsidP="009D3012">
      <w:pPr>
        <w:pStyle w:val="a0"/>
      </w:pPr>
      <w:r w:rsidRPr="001455DC">
        <w:rPr>
          <w:i/>
          <w:iCs/>
        </w:rPr>
        <w:sym w:font="Symbol" w:char="F066"/>
      </w:r>
      <w:r w:rsidRPr="001455DC">
        <w:rPr>
          <w:vertAlign w:val="subscript"/>
        </w:rPr>
        <w:t>mand,min</w:t>
      </w:r>
      <w:r w:rsidRPr="001455DC">
        <w:t xml:space="preserve"> = 7</w:t>
      </w:r>
      <w:r w:rsidRPr="001455DC">
        <w:rPr>
          <w:i/>
          <w:iCs/>
        </w:rPr>
        <w:sym w:font="Symbol" w:char="F066"/>
      </w:r>
      <w:r w:rsidRPr="001455DC">
        <w:rPr>
          <w:rFonts w:eastAsia="SymbolMT"/>
          <w:i/>
          <w:iCs/>
        </w:rPr>
        <w:t xml:space="preserve"> </w:t>
      </w:r>
      <w:r w:rsidRPr="001455DC">
        <w:t xml:space="preserve">for </w:t>
      </w:r>
      <w:r w:rsidRPr="001455DC">
        <w:rPr>
          <w:i/>
          <w:iCs/>
        </w:rPr>
        <w:sym w:font="Symbol" w:char="F066"/>
      </w:r>
      <w:r w:rsidRPr="001455DC">
        <w:rPr>
          <w:rFonts w:eastAsia="SymbolMT"/>
          <w:i/>
          <w:iCs/>
        </w:rPr>
        <w:t xml:space="preserve"> </w:t>
      </w:r>
      <w:r w:rsidRPr="001455DC">
        <w:t>&gt; 16 mm</w:t>
      </w:r>
    </w:p>
    <w:p w14:paraId="1BA4B4A3" w14:textId="77777777" w:rsidR="00CE5CD4" w:rsidRPr="009D3012" w:rsidRDefault="00CE5CD4" w:rsidP="009D3012">
      <w:pPr>
        <w:pStyle w:val="a7"/>
      </w:pPr>
      <w:r w:rsidRPr="009D3012">
        <w:t xml:space="preserve">(3) Provided that </w:t>
      </w:r>
      <w:r w:rsidRPr="009D3012">
        <w:rPr>
          <w:i/>
          <w:iCs/>
        </w:rPr>
        <w:t>f</w:t>
      </w:r>
      <w:r w:rsidRPr="009D3012">
        <w:rPr>
          <w:vertAlign w:val="subscript"/>
        </w:rPr>
        <w:t>ftd</w:t>
      </w:r>
      <w:r w:rsidRPr="009D3012">
        <w:t xml:space="preserve"> ≤ 25</w:t>
      </w:r>
      <w:r w:rsidRPr="009D3012">
        <w:rPr>
          <w:i/>
          <w:iCs/>
        </w:rPr>
        <w:t>f</w:t>
      </w:r>
      <w:r w:rsidRPr="009D3012">
        <w:rPr>
          <w:vertAlign w:val="subscript"/>
        </w:rPr>
        <w:t>cd</w:t>
      </w:r>
      <w:r w:rsidRPr="009D3012">
        <w:t xml:space="preserve"> and </w:t>
      </w:r>
      <w:r w:rsidRPr="009D3012">
        <w:rPr>
          <w:rFonts w:eastAsia="SymbolMT"/>
          <w:i/>
          <w:iCs/>
        </w:rPr>
        <w:sym w:font="Symbol" w:char="F067"/>
      </w:r>
      <w:r w:rsidRPr="009D3012">
        <w:rPr>
          <w:vertAlign w:val="subscript"/>
        </w:rPr>
        <w:t>C</w:t>
      </w:r>
      <w:r w:rsidRPr="009D3012">
        <w:t xml:space="preserve"> ≤ 1,5, verification of the concrete inside the bend may be omitted for :</w:t>
      </w:r>
    </w:p>
    <w:p w14:paraId="18B291CE" w14:textId="77777777" w:rsidR="00CE5CD4" w:rsidRPr="009D3012" w:rsidRDefault="00CE5CD4" w:rsidP="009D3012">
      <w:pPr>
        <w:pStyle w:val="a0"/>
      </w:pPr>
      <w:r w:rsidRPr="009D3012">
        <w:t>stirrups in compliance with 12.3.3(4),</w:t>
      </w:r>
    </w:p>
    <w:p w14:paraId="15905558" w14:textId="77777777" w:rsidR="00CE5CD4" w:rsidRPr="009D3012" w:rsidRDefault="00CE5CD4" w:rsidP="009D3012">
      <w:pPr>
        <w:pStyle w:val="a0"/>
      </w:pPr>
      <w:r w:rsidRPr="009D3012">
        <w:t xml:space="preserve">standard hook and bend anchorages complying with Figure 11.6 at a clear distance </w:t>
      </w:r>
    </w:p>
    <w:p w14:paraId="5D26CBB6" w14:textId="77777777" w:rsidR="00CE5CD4" w:rsidRPr="009D3012" w:rsidRDefault="00CE5CD4" w:rsidP="009D3012">
      <w:pPr>
        <w:pStyle w:val="a0"/>
      </w:pPr>
      <w:r w:rsidRPr="009D3012">
        <w:rPr>
          <w:i/>
          <w:iCs/>
        </w:rPr>
        <w:t>c</w:t>
      </w:r>
      <w:r w:rsidRPr="009D3012">
        <w:rPr>
          <w:vertAlign w:val="subscript"/>
        </w:rPr>
        <w:t>x</w:t>
      </w:r>
      <w:r w:rsidRPr="009D3012">
        <w:t xml:space="preserve"> ≥ 1,5</w:t>
      </w:r>
      <w:r w:rsidRPr="009D3012">
        <w:rPr>
          <w:i/>
          <w:iCs/>
        </w:rPr>
        <w:sym w:font="Symbol" w:char="F066"/>
      </w:r>
      <w:r w:rsidRPr="009D3012">
        <w:rPr>
          <w:rFonts w:eastAsia="SymbolMT"/>
        </w:rPr>
        <w:t xml:space="preserve"> </w:t>
      </w:r>
      <w:r w:rsidRPr="009D3012">
        <w:t xml:space="preserve">from an edge parallel to the bent and a clear distance between bars </w:t>
      </w:r>
      <w:r w:rsidRPr="009D3012">
        <w:rPr>
          <w:i/>
          <w:iCs/>
        </w:rPr>
        <w:t>c</w:t>
      </w:r>
      <w:r w:rsidRPr="009D3012">
        <w:rPr>
          <w:vertAlign w:val="subscript"/>
        </w:rPr>
        <w:t>s</w:t>
      </w:r>
      <w:r w:rsidRPr="009D3012">
        <w:t xml:space="preserve"> ≥ 3</w:t>
      </w:r>
      <w:r w:rsidRPr="009D3012">
        <w:rPr>
          <w:i/>
          <w:iCs/>
        </w:rPr>
        <w:sym w:font="Symbol" w:char="F066"/>
      </w:r>
      <w:r w:rsidRPr="009D3012">
        <w:rPr>
          <w:rFonts w:eastAsia="SymbolMT"/>
          <w:i/>
          <w:iCs/>
        </w:rPr>
        <w:t xml:space="preserve"> </w:t>
      </w:r>
      <w:r w:rsidRPr="009D3012">
        <w:t>according to Figure 11.6c and</w:t>
      </w:r>
    </w:p>
    <w:p w14:paraId="6783076F" w14:textId="2303B756" w:rsidR="00CE5CD4" w:rsidRPr="001455DC" w:rsidRDefault="00CE5CD4" w:rsidP="009D3012">
      <w:pPr>
        <w:pStyle w:val="a0"/>
      </w:pPr>
      <w:r w:rsidRPr="001455DC">
        <w:t xml:space="preserve">all bends with an angle </w:t>
      </w:r>
      <w:r w:rsidRPr="001455DC">
        <w:rPr>
          <w:i/>
          <w:iCs/>
        </w:rPr>
        <w:sym w:font="Symbol" w:char="F061"/>
      </w:r>
      <w:r w:rsidRPr="001455DC">
        <w:rPr>
          <w:vertAlign w:val="subscript"/>
        </w:rPr>
        <w:t>bend</w:t>
      </w:r>
      <w:r w:rsidRPr="001455DC">
        <w:t xml:space="preserve"> ≤ 45° at a clear distance </w:t>
      </w:r>
      <w:r w:rsidRPr="001455DC">
        <w:rPr>
          <w:i/>
          <w:iCs/>
        </w:rPr>
        <w:t>c</w:t>
      </w:r>
      <w:r w:rsidRPr="001455DC">
        <w:rPr>
          <w:vertAlign w:val="subscript"/>
        </w:rPr>
        <w:t>x</w:t>
      </w:r>
      <w:r w:rsidRPr="001455DC">
        <w:t xml:space="preserve"> ≥ 2,5</w:t>
      </w:r>
      <w:r w:rsidRPr="001455DC">
        <w:rPr>
          <w:i/>
          <w:iCs/>
        </w:rPr>
        <w:sym w:font="Symbol" w:char="F066"/>
      </w:r>
      <w:r w:rsidRPr="001455DC">
        <w:rPr>
          <w:rFonts w:eastAsia="SymbolMT"/>
        </w:rPr>
        <w:t xml:space="preserve"> </w:t>
      </w:r>
      <w:r w:rsidRPr="001455DC">
        <w:t xml:space="preserve">from an edge parallel to the bent, a clear distance between bars </w:t>
      </w:r>
      <w:r w:rsidRPr="001455DC">
        <w:rPr>
          <w:i/>
          <w:iCs/>
        </w:rPr>
        <w:t>c</w:t>
      </w:r>
      <w:r w:rsidRPr="001455DC">
        <w:rPr>
          <w:vertAlign w:val="subscript"/>
        </w:rPr>
        <w:t>s</w:t>
      </w:r>
      <w:r w:rsidRPr="001455DC">
        <w:t xml:space="preserve"> ≥ 5</w:t>
      </w:r>
      <w:r w:rsidRPr="001455DC">
        <w:rPr>
          <w:i/>
          <w:iCs/>
        </w:rPr>
        <w:sym w:font="Symbol" w:char="F066"/>
      </w:r>
      <w:r w:rsidRPr="001455DC">
        <w:rPr>
          <w:rFonts w:eastAsia="SymbolMT"/>
        </w:rPr>
        <w:t xml:space="preserve"> </w:t>
      </w:r>
      <w:r w:rsidRPr="001455DC">
        <w:t>and a length ≥ 2</w:t>
      </w:r>
      <w:r w:rsidRPr="001455DC">
        <w:rPr>
          <w:i/>
          <w:iCs/>
        </w:rPr>
        <w:sym w:font="Symbol" w:char="F066"/>
      </w:r>
      <w:r w:rsidRPr="001455DC">
        <w:rPr>
          <w:i/>
          <w:iCs/>
        </w:rPr>
        <w:t xml:space="preserve"> </w:t>
      </w:r>
      <w:r w:rsidRPr="001455DC">
        <w:t>of the straight segments between multiple bends.</w:t>
      </w:r>
    </w:p>
    <w:p w14:paraId="112FF276" w14:textId="77E88EFF" w:rsidR="00CE5CD4" w:rsidRPr="009D3012" w:rsidRDefault="00CE5CD4" w:rsidP="00CE5CD4">
      <w:pPr>
        <w:pStyle w:val="a7"/>
        <w:rPr>
          <w:rFonts w:cs="Arial"/>
          <w:lang w:val="en-US"/>
        </w:rPr>
      </w:pPr>
      <w:r w:rsidRPr="009D3012">
        <w:rPr>
          <w:rFonts w:cs="Arial"/>
          <w:lang w:val="en-US"/>
        </w:rPr>
        <w:t xml:space="preserve">(4) In cases not complying with (3) the stress in the FRP bar </w:t>
      </w:r>
      <w:r w:rsidRPr="009D3012">
        <w:rPr>
          <w:rFonts w:cs="Arial"/>
          <w:i/>
          <w:iCs/>
          <w:lang w:val="en-US"/>
        </w:rPr>
        <w:sym w:font="Symbol" w:char="F073"/>
      </w:r>
      <w:r w:rsidRPr="009D3012">
        <w:rPr>
          <w:rFonts w:cs="Arial"/>
          <w:vertAlign w:val="subscript"/>
          <w:lang w:val="en-US"/>
        </w:rPr>
        <w:t>ftd</w:t>
      </w:r>
      <w:r w:rsidRPr="009D3012">
        <w:rPr>
          <w:rFonts w:cs="Arial"/>
          <w:lang w:val="en-US"/>
        </w:rPr>
        <w:t xml:space="preserve"> should be verified to avoid concrete failures inside the bend according to Formula (JA.8):</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CE5CD4" w:rsidRPr="001455DC" w14:paraId="38F6D456" w14:textId="77777777" w:rsidTr="00CE5CD4">
        <w:trPr>
          <w:cantSplit/>
        </w:trPr>
        <w:tc>
          <w:tcPr>
            <w:tcW w:w="8505" w:type="dxa"/>
            <w:vAlign w:val="center"/>
          </w:tcPr>
          <w:p w14:paraId="7775412D" w14:textId="130895B2" w:rsidR="00CE5CD4" w:rsidRPr="001455DC" w:rsidRDefault="00CE5CD4" w:rsidP="009D3012">
            <w:pPr>
              <w:pStyle w:val="a7"/>
            </w:pPr>
            <w:r w:rsidRPr="009D3012">
              <w:rPr>
                <w:rFonts w:cs="Arial"/>
                <w:i/>
                <w:iCs/>
                <w:lang w:val="en-US"/>
              </w:rPr>
              <w:sym w:font="Symbol" w:char="F073"/>
            </w:r>
            <w:r w:rsidRPr="009D3012">
              <w:rPr>
                <w:rFonts w:cs="Arial"/>
                <w:vertAlign w:val="subscript"/>
                <w:lang w:val="en-US"/>
              </w:rPr>
              <w:t>f</w:t>
            </w:r>
            <w:r w:rsidRPr="009D3012">
              <w:rPr>
                <w:rFonts w:cs="Arial"/>
                <w:lang w:val="en-US"/>
              </w:rPr>
              <w:t xml:space="preserve"> ≤ 25 </w:t>
            </w:r>
            <w:r w:rsidRPr="009D3012">
              <w:rPr>
                <w:rFonts w:cs="Arial"/>
                <w:lang w:val="en-US"/>
              </w:rPr>
              <w:sym w:font="Symbol" w:char="F0D7"/>
            </w:r>
            <w:r w:rsidRPr="009D3012">
              <w:rPr>
                <w:rFonts w:cs="Arial"/>
                <w:lang w:val="en-US"/>
              </w:rPr>
              <w:t xml:space="preserve"> </w:t>
            </w:r>
            <w:r w:rsidRPr="009D3012">
              <w:rPr>
                <w:rFonts w:cs="Arial"/>
                <w:i/>
                <w:iCs/>
                <w:lang w:val="en-US"/>
              </w:rPr>
              <w:t>f</w:t>
            </w:r>
            <w:r w:rsidRPr="009D3012">
              <w:rPr>
                <w:rFonts w:cs="Arial"/>
                <w:vertAlign w:val="subscript"/>
                <w:lang w:val="en-US"/>
              </w:rPr>
              <w:t>cd</w:t>
            </w:r>
            <w:r w:rsidRPr="009D3012">
              <w:rPr>
                <w:rFonts w:cs="Arial"/>
                <w:lang w:val="en-US"/>
              </w:rPr>
              <w:t xml:space="preserve"> </w:t>
            </w:r>
          </w:p>
        </w:tc>
        <w:tc>
          <w:tcPr>
            <w:tcW w:w="1247" w:type="dxa"/>
            <w:vAlign w:val="center"/>
          </w:tcPr>
          <w:p w14:paraId="685250E8" w14:textId="77777777" w:rsidR="00CE5CD4" w:rsidRPr="001455DC" w:rsidRDefault="00CE5CD4" w:rsidP="00CE5CD4">
            <w:pPr>
              <w:pStyle w:val="a7"/>
              <w:jc w:val="right"/>
            </w:pPr>
            <w:r w:rsidRPr="001455DC">
              <w:t>(JA.8)</w:t>
            </w:r>
          </w:p>
        </w:tc>
      </w:tr>
    </w:tbl>
    <w:p w14:paraId="19E1FBE6" w14:textId="317527BF" w:rsidR="004E22C1" w:rsidRPr="001455DC" w:rsidRDefault="004E22C1" w:rsidP="00363AD0">
      <w:pPr>
        <w:pStyle w:val="a3"/>
        <w:numPr>
          <w:ilvl w:val="0"/>
          <w:numId w:val="0"/>
        </w:numPr>
      </w:pPr>
      <w:bookmarkStart w:id="2089" w:name="_Toc52820336"/>
      <w:bookmarkStart w:id="2090" w:name="_Toc54337766"/>
      <w:bookmarkStart w:id="2091" w:name="_Toc54338384"/>
      <w:r w:rsidRPr="001455DC">
        <w:t>JA.11.</w:t>
      </w:r>
      <w:r w:rsidR="00D847FD" w:rsidRPr="001455DC">
        <w:t>3</w:t>
      </w:r>
      <w:r w:rsidRPr="001455DC">
        <w:tab/>
        <w:t>Anchorage of FRP reinforcement in tension and compression</w:t>
      </w:r>
      <w:bookmarkEnd w:id="2089"/>
      <w:bookmarkEnd w:id="2090"/>
      <w:bookmarkEnd w:id="2091"/>
    </w:p>
    <w:p w14:paraId="6CF30CAD" w14:textId="77777777" w:rsidR="004E22C1" w:rsidRPr="001455DC" w:rsidRDefault="004E22C1" w:rsidP="00EB0170">
      <w:pPr>
        <w:pStyle w:val="a7"/>
      </w:pPr>
      <w:r w:rsidRPr="001455DC">
        <w:t>(1)</w:t>
      </w:r>
      <w:r w:rsidRPr="001455DC">
        <w:tab/>
        <w:t>Provisions for anchorage in 11.4 may be applied to determining the anchorage lengths of FRP reinforcement only where additions and modifications in Annex JA are used in the determination of relevant parameters.</w:t>
      </w:r>
    </w:p>
    <w:p w14:paraId="433A29BB" w14:textId="77777777" w:rsidR="004E22C1" w:rsidRPr="001455DC" w:rsidRDefault="004E22C1" w:rsidP="00EB0170">
      <w:pPr>
        <w:pStyle w:val="a7"/>
      </w:pPr>
      <w:r w:rsidRPr="001455DC">
        <w:t>(2)</w:t>
      </w:r>
      <w:r w:rsidRPr="001455DC">
        <w:tab/>
        <w:t>Only the methods of anchorage according to Figure 11.2a), b) and c) in 11.4.1(6) may be used for FRP reinforcement.</w:t>
      </w:r>
    </w:p>
    <w:p w14:paraId="295FBF88" w14:textId="0BB26474" w:rsidR="004E22C1" w:rsidRPr="001455DC" w:rsidRDefault="004E22C1" w:rsidP="00DE6BBC">
      <w:pPr>
        <w:pStyle w:val="a7"/>
        <w:keepNext/>
      </w:pPr>
      <w:r w:rsidRPr="001455DC">
        <w:t>(3)</w:t>
      </w:r>
      <w:r w:rsidRPr="001455DC">
        <w:tab/>
        <w:t>Formula (JA.</w:t>
      </w:r>
      <w:r w:rsidR="00197BAB" w:rsidRPr="001455DC">
        <w:t>9</w:t>
      </w:r>
      <w:r w:rsidRPr="001455DC">
        <w:t>) may be applied to determine the anchorage length of FRP reinforcement:</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71491" w:rsidRPr="001455DC" w14:paraId="1E4B31D9" w14:textId="77777777" w:rsidTr="00D06D33">
        <w:trPr>
          <w:cantSplit/>
        </w:trPr>
        <w:tc>
          <w:tcPr>
            <w:tcW w:w="8505" w:type="dxa"/>
            <w:vAlign w:val="center"/>
          </w:tcPr>
          <w:p w14:paraId="20E56B38" w14:textId="6D3C8B3D" w:rsidR="00271491" w:rsidRPr="001455DC" w:rsidRDefault="00231E33">
            <w:pPr>
              <w:pStyle w:val="Formula"/>
              <w:jc w:val="left"/>
            </w:pPr>
            <m:oMathPara>
              <m:oMathParaPr>
                <m:jc m:val="left"/>
              </m:oMathParaPr>
              <m:oMath>
                <m:sSub>
                  <m:sSubPr>
                    <m:ctrlPr>
                      <w:rPr>
                        <w:rFonts w:ascii="Cambria Math" w:hAnsi="Cambria Math"/>
                      </w:rPr>
                    </m:ctrlPr>
                  </m:sSubPr>
                  <m:e>
                    <m:r>
                      <w:rPr>
                        <w:rFonts w:ascii="Cambria Math" w:hAnsi="Cambria Math"/>
                      </w:rPr>
                      <m:t>l</m:t>
                    </m:r>
                  </m:e>
                  <m:sub>
                    <m:r>
                      <m:rPr>
                        <m:sty m:val="p"/>
                      </m:rPr>
                      <w:rPr>
                        <w:rFonts w:ascii="Cambria Math" w:hAnsi="Cambria Math"/>
                      </w:rPr>
                      <m:t>bd</m:t>
                    </m:r>
                  </m:sub>
                </m:sSub>
                <m: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lb</m:t>
                    </m:r>
                  </m:sub>
                </m:sSub>
                <m: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cp</m:t>
                    </m:r>
                  </m:sub>
                </m:sSub>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σ</m:t>
                                </m:r>
                              </m:e>
                              <m:sub>
                                <m:r>
                                  <m:rPr>
                                    <m:sty m:val="p"/>
                                  </m:rPr>
                                  <w:rPr>
                                    <w:rFonts w:ascii="Cambria Math" w:hAnsi="Cambria Math"/>
                                  </w:rPr>
                                  <m:t>ftd</m:t>
                                </m:r>
                              </m:sub>
                            </m:sSub>
                          </m:num>
                          <m:den>
                            <m:r>
                              <w:rPr>
                                <w:rFonts w:ascii="Cambria Math" w:hAnsi="Cambria Math"/>
                              </w:rPr>
                              <m:t>217</m:t>
                            </m:r>
                          </m:den>
                        </m:f>
                      </m:e>
                    </m:d>
                  </m:e>
                  <m:sup>
                    <m:sSub>
                      <m:sSubPr>
                        <m:ctrlPr>
                          <w:rPr>
                            <w:rFonts w:ascii="Cambria Math" w:hAnsi="Cambria Math"/>
                          </w:rPr>
                        </m:ctrlPr>
                      </m:sSubPr>
                      <m:e>
                        <m:r>
                          <w:rPr>
                            <w:rFonts w:ascii="Cambria Math" w:hAnsi="Cambria Math"/>
                          </w:rPr>
                          <m:t>η</m:t>
                        </m:r>
                      </m:e>
                      <m:sub>
                        <m:r>
                          <m:rPr>
                            <m:sty m:val="p"/>
                          </m:rPr>
                          <w:rPr>
                            <w:rFonts w:ascii="Cambria Math" w:hAnsi="Cambria Math"/>
                          </w:rPr>
                          <m:t>σ</m:t>
                        </m:r>
                      </m:sub>
                    </m:sSub>
                  </m:sup>
                </m:sSup>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25</m:t>
                            </m:r>
                          </m:num>
                          <m:den>
                            <m:sSub>
                              <m:sSubPr>
                                <m:ctrlPr>
                                  <w:rPr>
                                    <w:rFonts w:ascii="Cambria Math" w:hAnsi="Cambria Math"/>
                                  </w:rPr>
                                </m:ctrlPr>
                              </m:sSubPr>
                              <m:e>
                                <m:r>
                                  <w:rPr>
                                    <w:rFonts w:ascii="Cambria Math" w:hAnsi="Cambria Math"/>
                                  </w:rPr>
                                  <m:t>f</m:t>
                                </m:r>
                              </m:e>
                              <m:sub>
                                <m:sSup>
                                  <m:sSupPr>
                                    <m:ctrlPr>
                                      <w:rPr>
                                        <w:rFonts w:ascii="Cambria Math" w:hAnsi="Cambria Math"/>
                                      </w:rPr>
                                    </m:ctrlPr>
                                  </m:sSupPr>
                                  <m:e>
                                    <m:r>
                                      <m:rPr>
                                        <m:sty m:val="p"/>
                                      </m:rPr>
                                      <w:rPr>
                                        <w:rFonts w:ascii="Cambria Math" w:hAnsi="Cambria Math"/>
                                      </w:rPr>
                                      <m:t>ck</m:t>
                                    </m:r>
                                  </m:e>
                                  <m:sup>
                                    <m:r>
                                      <w:rPr>
                                        <w:rFonts w:ascii="Cambria Math" w:hAnsi="Cambria Math"/>
                                      </w:rPr>
                                      <m:t>*</m:t>
                                    </m:r>
                                  </m:sup>
                                </m:sSup>
                              </m:sub>
                            </m:sSub>
                          </m:den>
                        </m:f>
                      </m:e>
                    </m:d>
                  </m:e>
                  <m:sup>
                    <m:f>
                      <m:fPr>
                        <m:ctrlPr>
                          <w:rPr>
                            <w:rFonts w:ascii="Cambria Math" w:hAnsi="Cambria Math"/>
                          </w:rPr>
                        </m:ctrlPr>
                      </m:fPr>
                      <m:num>
                        <m:r>
                          <w:rPr>
                            <w:rFonts w:ascii="Cambria Math" w:hAnsi="Cambria Math"/>
                          </w:rPr>
                          <m:t>1</m:t>
                        </m:r>
                      </m:num>
                      <m:den>
                        <m:r>
                          <w:rPr>
                            <w:rFonts w:ascii="Cambria Math" w:hAnsi="Cambria Math"/>
                          </w:rPr>
                          <m:t>2</m:t>
                        </m:r>
                      </m:den>
                    </m:f>
                  </m:sup>
                </m:sSup>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ϕ</m:t>
                            </m:r>
                          </m:num>
                          <m:den>
                            <m:r>
                              <w:rPr>
                                <w:rFonts w:ascii="Cambria Math" w:hAnsi="Cambria Math"/>
                              </w:rPr>
                              <m:t>20</m:t>
                            </m:r>
                          </m:den>
                        </m:f>
                      </m:e>
                    </m:d>
                  </m:e>
                  <m:sup>
                    <m:f>
                      <m:fPr>
                        <m:ctrlPr>
                          <w:rPr>
                            <w:rFonts w:ascii="Cambria Math" w:hAnsi="Cambria Math"/>
                          </w:rPr>
                        </m:ctrlPr>
                      </m:fPr>
                      <m:num>
                        <m:r>
                          <w:rPr>
                            <w:rFonts w:ascii="Cambria Math" w:hAnsi="Cambria Math"/>
                          </w:rPr>
                          <m:t>1</m:t>
                        </m:r>
                      </m:num>
                      <m:den>
                        <m:r>
                          <w:rPr>
                            <w:rFonts w:ascii="Cambria Math" w:hAnsi="Cambria Math"/>
                          </w:rPr>
                          <m:t>3</m:t>
                        </m:r>
                      </m:den>
                    </m:f>
                  </m:sup>
                </m:sSup>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1,5.ϕ</m:t>
                            </m:r>
                          </m:num>
                          <m:den>
                            <m:sSub>
                              <m:sSubPr>
                                <m:ctrlPr>
                                  <w:rPr>
                                    <w:rFonts w:ascii="Cambria Math" w:hAnsi="Cambria Math"/>
                                  </w:rPr>
                                </m:ctrlPr>
                              </m:sSubPr>
                              <m:e>
                                <m:r>
                                  <w:rPr>
                                    <w:rFonts w:ascii="Cambria Math" w:hAnsi="Cambria Math"/>
                                  </w:rPr>
                                  <m:t>c</m:t>
                                </m:r>
                              </m:e>
                              <m:sub>
                                <m:r>
                                  <w:rPr>
                                    <w:rFonts w:ascii="Cambria Math" w:hAnsi="Cambria Math"/>
                                  </w:rPr>
                                  <m:t>d</m:t>
                                </m:r>
                              </m:sub>
                            </m:sSub>
                          </m:den>
                        </m:f>
                      </m:e>
                    </m:d>
                  </m:e>
                  <m:sup>
                    <m:f>
                      <m:fPr>
                        <m:ctrlPr>
                          <w:rPr>
                            <w:rFonts w:ascii="Cambria Math" w:hAnsi="Cambria Math"/>
                          </w:rPr>
                        </m:ctrlPr>
                      </m:fPr>
                      <m:num>
                        <m:r>
                          <w:rPr>
                            <w:rFonts w:ascii="Cambria Math" w:hAnsi="Cambria Math"/>
                          </w:rPr>
                          <m:t>1</m:t>
                        </m:r>
                      </m:num>
                      <m:den>
                        <m:r>
                          <w:rPr>
                            <w:rFonts w:ascii="Cambria Math" w:hAnsi="Cambria Math"/>
                          </w:rPr>
                          <m:t>2</m:t>
                        </m:r>
                      </m:den>
                    </m:f>
                  </m:sup>
                </m:sSup>
                <m:r>
                  <w:rPr>
                    <w:rFonts w:ascii="Cambria Math" w:hAnsi="Cambria Math"/>
                  </w:rPr>
                  <m:t>≥10ϕ</m:t>
                </m:r>
              </m:oMath>
            </m:oMathPara>
          </w:p>
        </w:tc>
        <w:tc>
          <w:tcPr>
            <w:tcW w:w="1247" w:type="dxa"/>
            <w:vAlign w:val="center"/>
          </w:tcPr>
          <w:p w14:paraId="1C4F03A2" w14:textId="46B68AF0" w:rsidR="00271491" w:rsidRPr="001455DC" w:rsidRDefault="00271491">
            <w:pPr>
              <w:pStyle w:val="a7"/>
              <w:jc w:val="right"/>
            </w:pPr>
            <w:r w:rsidRPr="001455DC">
              <w:t>(JA.</w:t>
            </w:r>
            <w:r w:rsidR="00197BAB" w:rsidRPr="001455DC">
              <w:t>9</w:t>
            </w:r>
            <w:r w:rsidRPr="001455DC">
              <w:t>)</w:t>
            </w:r>
          </w:p>
        </w:tc>
      </w:tr>
    </w:tbl>
    <w:p w14:paraId="0FB3A2B0" w14:textId="5E656D27" w:rsidR="00197BAB" w:rsidRPr="001455DC" w:rsidRDefault="00197BAB" w:rsidP="00271491">
      <w:pPr>
        <w:pStyle w:val="a7"/>
        <w:rPr>
          <w:rFonts w:eastAsia="Calibri" w:cs="Times New Roman"/>
          <w:bCs/>
        </w:rPr>
      </w:pPr>
      <w:r w:rsidRPr="001455DC">
        <w:rPr>
          <w:rFonts w:eastAsia="Calibri" w:cs="Times New Roman"/>
          <w:bCs/>
        </w:rPr>
        <w:t>Where</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197BAB" w:rsidRPr="001455DC" w14:paraId="3C58E1FD" w14:textId="77777777" w:rsidTr="00197BAB">
        <w:trPr>
          <w:cantSplit/>
        </w:trPr>
        <w:tc>
          <w:tcPr>
            <w:tcW w:w="8505" w:type="dxa"/>
            <w:vAlign w:val="center"/>
          </w:tcPr>
          <w:p w14:paraId="3B831EDE" w14:textId="3488B46B" w:rsidR="00197BAB" w:rsidRPr="001455DC" w:rsidRDefault="00231E33" w:rsidP="009D3012">
            <w:pPr>
              <w:pStyle w:val="Formula"/>
              <w:ind w:left="0"/>
              <w:jc w:val="left"/>
            </w:pPr>
            <m:oMathPara>
              <m:oMathParaPr>
                <m:jc m:val="left"/>
              </m:oMathParaPr>
              <m:oMath>
                <m:sSubSup>
                  <m:sSubSupPr>
                    <m:ctrlPr>
                      <w:rPr>
                        <w:rFonts w:ascii="Cambria Math" w:hAnsi="Cambria Math"/>
                        <w:i/>
                      </w:rPr>
                    </m:ctrlPr>
                  </m:sSubSupPr>
                  <m:e>
                    <m:r>
                      <w:rPr>
                        <w:rFonts w:ascii="Cambria Math" w:hAnsi="Cambria Math"/>
                      </w:rPr>
                      <m:t>f</m:t>
                    </m:r>
                  </m:e>
                  <m:sub>
                    <m:r>
                      <m:rPr>
                        <m:sty m:val="p"/>
                      </m:rPr>
                      <w:rPr>
                        <w:rFonts w:ascii="Cambria Math" w:hAnsi="Cambria Math"/>
                      </w:rPr>
                      <m:t>ck</m:t>
                    </m:r>
                  </m:sub>
                  <m:sup>
                    <m:r>
                      <w:rPr>
                        <w:rFonts w:ascii="Cambria Math" w:hAnsi="Cambria Math"/>
                      </w:rPr>
                      <m:t>*</m:t>
                    </m:r>
                  </m:sup>
                </m:sSubSup>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bd,100a</m:t>
                                </m:r>
                              </m:sub>
                            </m:sSub>
                          </m:num>
                          <m:den>
                            <m:r>
                              <w:rPr>
                                <w:rFonts w:ascii="Cambria Math" w:hAnsi="Cambria Math"/>
                              </w:rPr>
                              <m:t>0,315</m:t>
                            </m:r>
                          </m:den>
                        </m:f>
                      </m:e>
                    </m:d>
                  </m:e>
                  <m:sup>
                    <m:r>
                      <m:rPr>
                        <m:sty m:val="p"/>
                      </m:rPr>
                      <w:rPr>
                        <w:rFonts w:ascii="Cambria Math" w:hAnsi="Cambria Math"/>
                      </w:rPr>
                      <m:t>1,5</m:t>
                    </m:r>
                  </m:sup>
                </m:sSup>
                <m:r>
                  <w:rPr>
                    <w:rFonts w:ascii="Cambria Math" w:hAnsi="Cambria Math"/>
                  </w:rPr>
                  <m:t>≤1,1∙</m:t>
                </m:r>
                <m:sSubSup>
                  <m:sSubSupPr>
                    <m:ctrlPr>
                      <w:rPr>
                        <w:rFonts w:ascii="Cambria Math" w:hAnsi="Cambria Math"/>
                        <w:i/>
                      </w:rPr>
                    </m:ctrlPr>
                  </m:sSubSupPr>
                  <m:e>
                    <m:r>
                      <w:rPr>
                        <w:rFonts w:ascii="Cambria Math" w:hAnsi="Cambria Math"/>
                      </w:rPr>
                      <m:t>f</m:t>
                    </m:r>
                  </m:e>
                  <m:sub>
                    <m:r>
                      <m:rPr>
                        <m:sty m:val="p"/>
                      </m:rPr>
                      <w:rPr>
                        <w:rFonts w:ascii="Cambria Math" w:hAnsi="Cambria Math"/>
                      </w:rPr>
                      <m:t>ck</m:t>
                    </m:r>
                  </m:sub>
                  <m:sup/>
                </m:sSubSup>
              </m:oMath>
            </m:oMathPara>
          </w:p>
        </w:tc>
        <w:tc>
          <w:tcPr>
            <w:tcW w:w="1247" w:type="dxa"/>
            <w:vAlign w:val="center"/>
          </w:tcPr>
          <w:p w14:paraId="304403F7" w14:textId="35D33B25" w:rsidR="00197BAB" w:rsidRPr="001455DC" w:rsidRDefault="00197BAB">
            <w:pPr>
              <w:pStyle w:val="a7"/>
              <w:jc w:val="right"/>
            </w:pPr>
            <w:r w:rsidRPr="001455DC">
              <w:t>(JA.10)</w:t>
            </w:r>
          </w:p>
        </w:tc>
      </w:tr>
    </w:tbl>
    <w:p w14:paraId="196BE17A" w14:textId="07F651FA" w:rsidR="00271491" w:rsidRPr="001455DC" w:rsidRDefault="00231E33" w:rsidP="00271491">
      <w:pPr>
        <w:pStyle w:val="a7"/>
      </w:pPr>
      <m:oMath>
        <m:sSub>
          <m:sSubPr>
            <m:ctrlPr>
              <w:rPr>
                <w:rFonts w:ascii="Cambria Math" w:hAnsi="Cambria Math"/>
                <w:bCs/>
              </w:rPr>
            </m:ctrlPr>
          </m:sSubPr>
          <m:e>
            <m:r>
              <w:rPr>
                <w:rFonts w:ascii="Cambria Math" w:hAnsi="Cambria Math"/>
              </w:rPr>
              <m:t>l</m:t>
            </m:r>
          </m:e>
          <m:sub>
            <m:r>
              <m:rPr>
                <m:sty m:val="p"/>
              </m:rPr>
              <w:rPr>
                <w:rFonts w:ascii="Cambria Math" w:hAnsi="Cambria Math"/>
              </w:rPr>
              <m:t>bd</m:t>
            </m:r>
          </m:sub>
        </m:sSub>
      </m:oMath>
      <w:r w:rsidR="004E22C1" w:rsidRPr="001455DC">
        <w:t xml:space="preserve"> shall be limited also to</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71491" w:rsidRPr="001455DC" w14:paraId="2D3C2D33" w14:textId="77777777" w:rsidTr="00D06D33">
        <w:trPr>
          <w:cantSplit/>
        </w:trPr>
        <w:tc>
          <w:tcPr>
            <w:tcW w:w="8505" w:type="dxa"/>
            <w:vAlign w:val="center"/>
          </w:tcPr>
          <w:p w14:paraId="5AB5CD40" w14:textId="63FCE2B1" w:rsidR="00271491" w:rsidRPr="001455DC" w:rsidRDefault="00231E33">
            <w:pPr>
              <w:pStyle w:val="Formula"/>
              <w:jc w:val="left"/>
            </w:pPr>
            <m:oMathPara>
              <m:oMathParaPr>
                <m:jc m:val="left"/>
              </m:oMathParaPr>
              <m:oMath>
                <m:sSub>
                  <m:sSubPr>
                    <m:ctrlPr>
                      <w:rPr>
                        <w:rFonts w:ascii="Cambria Math" w:hAnsi="Cambria Math"/>
                        <w:bCs/>
                      </w:rPr>
                    </m:ctrlPr>
                  </m:sSubPr>
                  <m:e>
                    <m:r>
                      <w:rPr>
                        <w:rFonts w:ascii="Cambria Math" w:hAnsi="Cambria Math"/>
                      </w:rPr>
                      <m:t>l</m:t>
                    </m:r>
                  </m:e>
                  <m:sub>
                    <m:r>
                      <m:rPr>
                        <m:sty m:val="p"/>
                      </m:rPr>
                      <w:rPr>
                        <w:rFonts w:ascii="Cambria Math" w:hAnsi="Cambria Math"/>
                      </w:rPr>
                      <m:t>bd</m:t>
                    </m:r>
                  </m:sub>
                </m:sSub>
                <m:r>
                  <w:rPr>
                    <w:rFonts w:ascii="Cambria Math" w:hAnsi="Cambria Math"/>
                  </w:rPr>
                  <m:t>≥ </m:t>
                </m:r>
                <m:d>
                  <m:dPr>
                    <m:ctrlPr>
                      <w:rPr>
                        <w:rFonts w:ascii="Cambria Math" w:hAnsi="Cambria Math"/>
                        <w:bCs/>
                      </w:rPr>
                    </m:ctrlPr>
                  </m:dPr>
                  <m:e>
                    <m:f>
                      <m:fPr>
                        <m:type m:val="lin"/>
                        <m:ctrlPr>
                          <w:rPr>
                            <w:rFonts w:ascii="Cambria Math" w:hAnsi="Cambria Math"/>
                            <w:bCs/>
                          </w:rPr>
                        </m:ctrlPr>
                      </m:fPr>
                      <m:num>
                        <m:r>
                          <w:rPr>
                            <w:rFonts w:ascii="Cambria Math" w:hAnsi="Cambria Math"/>
                          </w:rPr>
                          <m:t>ϕ</m:t>
                        </m:r>
                      </m:num>
                      <m:den>
                        <m:r>
                          <w:rPr>
                            <w:rFonts w:ascii="Cambria Math" w:hAnsi="Cambria Math"/>
                          </w:rPr>
                          <m:t>4</m:t>
                        </m:r>
                      </m:den>
                    </m:f>
                  </m:e>
                </m:d>
                <m:r>
                  <w:rPr>
                    <w:rFonts w:ascii="Cambria Math" w:hAnsi="Cambria Math"/>
                  </w:rPr>
                  <m:t>∙</m:t>
                </m:r>
                <m:d>
                  <m:dPr>
                    <m:ctrlPr>
                      <w:rPr>
                        <w:rFonts w:ascii="Cambria Math" w:hAnsi="Cambria Math"/>
                        <w:bCs/>
                      </w:rPr>
                    </m:ctrlPr>
                  </m:dPr>
                  <m:e>
                    <m:f>
                      <m:fPr>
                        <m:type m:val="lin"/>
                        <m:ctrlPr>
                          <w:rPr>
                            <w:rFonts w:ascii="Cambria Math" w:hAnsi="Cambria Math"/>
                            <w:bCs/>
                          </w:rPr>
                        </m:ctrlPr>
                      </m:fPr>
                      <m:num>
                        <m:sSub>
                          <m:sSubPr>
                            <m:ctrlPr>
                              <w:rPr>
                                <w:rFonts w:ascii="Cambria Math" w:hAnsi="Cambria Math"/>
                                <w:bCs/>
                              </w:rPr>
                            </m:ctrlPr>
                          </m:sSubPr>
                          <m:e>
                            <m:r>
                              <w:rPr>
                                <w:rFonts w:ascii="Cambria Math" w:hAnsi="Cambria Math"/>
                              </w:rPr>
                              <m:t>σ</m:t>
                            </m:r>
                          </m:e>
                          <m:sub>
                            <m:r>
                              <m:rPr>
                                <m:sty m:val="p"/>
                              </m:rPr>
                              <w:rPr>
                                <w:rFonts w:ascii="Cambria Math" w:hAnsi="Cambria Math"/>
                              </w:rPr>
                              <m:t>ftd</m:t>
                            </m:r>
                          </m:sub>
                        </m:sSub>
                      </m:num>
                      <m:den>
                        <m:sSub>
                          <m:sSubPr>
                            <m:ctrlPr>
                              <w:rPr>
                                <w:rFonts w:ascii="Cambria Math" w:hAnsi="Cambria Math"/>
                                <w:bCs/>
                              </w:rPr>
                            </m:ctrlPr>
                          </m:sSubPr>
                          <m:e>
                            <m:r>
                              <w:rPr>
                                <w:rFonts w:ascii="Cambria Math" w:hAnsi="Cambria Math"/>
                              </w:rPr>
                              <m:t>f</m:t>
                            </m:r>
                          </m:e>
                          <m:sub>
                            <m:r>
                              <m:rPr>
                                <m:sty m:val="p"/>
                              </m:rPr>
                              <w:rPr>
                                <w:rFonts w:ascii="Cambria Math" w:hAnsi="Cambria Math"/>
                              </w:rPr>
                              <m:t>bd,100a</m:t>
                            </m:r>
                          </m:sub>
                        </m:sSub>
                      </m:den>
                    </m:f>
                  </m:e>
                </m:d>
              </m:oMath>
            </m:oMathPara>
          </w:p>
        </w:tc>
        <w:tc>
          <w:tcPr>
            <w:tcW w:w="1247" w:type="dxa"/>
            <w:vAlign w:val="center"/>
          </w:tcPr>
          <w:p w14:paraId="0B8FF87B" w14:textId="77918168" w:rsidR="00271491" w:rsidRPr="001455DC" w:rsidRDefault="00271491">
            <w:pPr>
              <w:pStyle w:val="a7"/>
              <w:jc w:val="right"/>
            </w:pPr>
            <w:r w:rsidRPr="001455DC">
              <w:t>(JA.</w:t>
            </w:r>
            <w:r w:rsidR="00C94299" w:rsidRPr="001455DC">
              <w:t>11</w:t>
            </w:r>
            <w:r w:rsidRPr="001455DC">
              <w:t>)</w:t>
            </w:r>
          </w:p>
        </w:tc>
      </w:tr>
    </w:tbl>
    <w:p w14:paraId="2B74BA85" w14:textId="1C0BE543" w:rsidR="004E22C1" w:rsidRPr="001455DC" w:rsidRDefault="004E22C1" w:rsidP="00B0777B">
      <w:pPr>
        <w:pStyle w:val="Note"/>
      </w:pPr>
      <w:r w:rsidRPr="001455DC">
        <w:t>NOTE</w:t>
      </w:r>
      <w:r w:rsidRPr="001455DC">
        <w:tab/>
        <w:t xml:space="preserve">The value of </w:t>
      </w:r>
      <m:oMath>
        <m:sSub>
          <m:sSubPr>
            <m:ctrlPr>
              <w:rPr>
                <w:rFonts w:ascii="Cambria Math" w:hAnsi="Cambria Math"/>
              </w:rPr>
            </m:ctrlPr>
          </m:sSubPr>
          <m:e>
            <m:r>
              <w:rPr>
                <w:rFonts w:ascii="Cambria Math" w:hAnsi="Cambria Math"/>
              </w:rPr>
              <m:t>f</m:t>
            </m:r>
          </m:e>
          <m:sub>
            <m:r>
              <m:rPr>
                <m:sty m:val="p"/>
              </m:rPr>
              <w:rPr>
                <w:rFonts w:ascii="Cambria Math" w:hAnsi="Cambria Math"/>
              </w:rPr>
              <m:t>bd,100a</m:t>
            </m:r>
          </m:sub>
        </m:sSub>
      </m:oMath>
      <w:r w:rsidRPr="001455DC">
        <w:t xml:space="preserve"> may be taken as 1,5 MPa unless the more accurate information is available based on production data.</w:t>
      </w:r>
    </w:p>
    <w:p w14:paraId="32C76A5E" w14:textId="241E5C35" w:rsidR="00271491" w:rsidRPr="001455DC" w:rsidRDefault="004E22C1" w:rsidP="00271491">
      <w:pPr>
        <w:pStyle w:val="a7"/>
      </w:pPr>
      <w:r w:rsidRPr="001455DC">
        <w:t>(4)</w:t>
      </w:r>
      <w:r w:rsidRPr="001455DC">
        <w:tab/>
        <w:t>The reduction according to Formula (JA.</w:t>
      </w:r>
      <w:r w:rsidR="00C94299" w:rsidRPr="001455DC">
        <w:t>12</w:t>
      </w:r>
      <w:r w:rsidRPr="001455DC">
        <w:t>) in design tensile strength should be considered at a bend bar or if anchoring of FRP reinforcement with bends or hooks according to 11.4.4:</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71491" w:rsidRPr="001455DC" w14:paraId="587C4425" w14:textId="77777777" w:rsidTr="00D06D33">
        <w:trPr>
          <w:cantSplit/>
        </w:trPr>
        <w:tc>
          <w:tcPr>
            <w:tcW w:w="8505" w:type="dxa"/>
            <w:vAlign w:val="center"/>
          </w:tcPr>
          <w:p w14:paraId="274858E3" w14:textId="6E4FE522" w:rsidR="00271491" w:rsidRPr="001455DC" w:rsidRDefault="00231E33" w:rsidP="00D06D33">
            <w:pPr>
              <w:pStyle w:val="Formula"/>
              <w:jc w:val="left"/>
            </w:pPr>
            <m:oMathPara>
              <m:oMathParaPr>
                <m:jc m:val="left"/>
              </m:oMathParaPr>
              <m:oMath>
                <m:sSup>
                  <m:sSupPr>
                    <m:ctrlPr>
                      <w:rPr>
                        <w:rFonts w:ascii="Cambria Math" w:hAnsi="Cambria Math"/>
                      </w:rPr>
                    </m:ctrlPr>
                  </m:sSupPr>
                  <m:e>
                    <m:sSub>
                      <m:sSubPr>
                        <m:ctrlPr>
                          <w:rPr>
                            <w:rFonts w:ascii="Cambria Math" w:hAnsi="Cambria Math"/>
                          </w:rPr>
                        </m:ctrlPr>
                      </m:sSubPr>
                      <m:e>
                        <m:r>
                          <w:rPr>
                            <w:rFonts w:ascii="Cambria Math" w:hAnsi="Cambria Math"/>
                          </w:rPr>
                          <m:t>f</m:t>
                        </m:r>
                      </m:e>
                      <m:sub>
                        <m:r>
                          <m:rPr>
                            <m:sty m:val="p"/>
                          </m:rPr>
                          <w:rPr>
                            <w:rFonts w:ascii="Cambria Math" w:hAnsi="Cambria Math"/>
                          </w:rPr>
                          <m:t>ftd</m:t>
                        </m:r>
                      </m:sub>
                    </m:sSub>
                  </m:e>
                  <m:sup>
                    <m:r>
                      <w:rPr>
                        <w:rFonts w:ascii="Cambria Math" w:hAnsi="Cambria Math"/>
                      </w:rPr>
                      <m:t>*</m:t>
                    </m:r>
                  </m:sup>
                </m:sSup>
                <m:r>
                  <w:rPr>
                    <w:rFonts w:ascii="Cambria Math" w:hAnsi="Cambria Math"/>
                  </w:rPr>
                  <m:t xml:space="preserve">= </m:t>
                </m:r>
                <m:d>
                  <m:dPr>
                    <m:ctrlPr>
                      <w:rPr>
                        <w:rFonts w:ascii="Cambria Math" w:hAnsi="Cambria Math"/>
                      </w:rPr>
                    </m:ctrlPr>
                  </m:dPr>
                  <m:e>
                    <m:r>
                      <w:rPr>
                        <w:rFonts w:ascii="Cambria Math" w:hAnsi="Cambria Math"/>
                      </w:rPr>
                      <m:t>0,3+0,05∙</m:t>
                    </m:r>
                    <m:f>
                      <m:fPr>
                        <m:ctrlPr>
                          <w:rPr>
                            <w:rFonts w:ascii="Cambria Math" w:hAnsi="Cambria Math"/>
                          </w:rPr>
                        </m:ctrlPr>
                      </m:fPr>
                      <m:num>
                        <m:sSub>
                          <m:sSubPr>
                            <m:ctrlPr>
                              <w:rPr>
                                <w:rFonts w:ascii="Cambria Math" w:hAnsi="Cambria Math"/>
                              </w:rPr>
                            </m:ctrlPr>
                          </m:sSubPr>
                          <m:e>
                            <m:r>
                              <w:rPr>
                                <w:rFonts w:ascii="Cambria Math" w:hAnsi="Cambria Math"/>
                              </w:rPr>
                              <m:t>r</m:t>
                            </m:r>
                          </m:e>
                          <m:sub>
                            <m:r>
                              <m:rPr>
                                <m:sty m:val="p"/>
                              </m:rPr>
                              <w:rPr>
                                <w:rFonts w:ascii="Cambria Math" w:hAnsi="Cambria Math"/>
                              </w:rPr>
                              <m:t>f</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f</m:t>
                            </m:r>
                          </m:sub>
                        </m:sSub>
                      </m:den>
                    </m:f>
                  </m:e>
                </m:d>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ftd</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ftd</m:t>
                    </m:r>
                  </m:sub>
                </m:sSub>
              </m:oMath>
            </m:oMathPara>
          </w:p>
        </w:tc>
        <w:tc>
          <w:tcPr>
            <w:tcW w:w="1247" w:type="dxa"/>
            <w:vAlign w:val="center"/>
          </w:tcPr>
          <w:p w14:paraId="1D86D3E9" w14:textId="3BC4269C" w:rsidR="00271491" w:rsidRPr="001455DC" w:rsidRDefault="00271491">
            <w:pPr>
              <w:pStyle w:val="a7"/>
              <w:jc w:val="right"/>
            </w:pPr>
            <w:r w:rsidRPr="001455DC">
              <w:t>(JA.</w:t>
            </w:r>
            <w:r w:rsidR="00C94299" w:rsidRPr="001455DC">
              <w:t>12</w:t>
            </w:r>
            <w:r w:rsidRPr="001455DC">
              <w:t>)</w:t>
            </w:r>
          </w:p>
        </w:tc>
      </w:tr>
    </w:tbl>
    <w:p w14:paraId="5F3B2307" w14:textId="6F0A01D7" w:rsidR="004E22C1" w:rsidRPr="001455DC" w:rsidRDefault="004E22C1" w:rsidP="00DE6BBC">
      <w:pPr>
        <w:pStyle w:val="a7"/>
        <w:keepNext/>
      </w:pPr>
      <w:r w:rsidRPr="001455DC">
        <w:t>Provisions of Formula (JA.</w:t>
      </w:r>
      <w:r w:rsidR="00C94299" w:rsidRPr="001455DC">
        <w:t>12</w:t>
      </w:r>
      <w:r w:rsidRPr="001455DC">
        <w:t>) shall only be applied where:</w:t>
      </w:r>
    </w:p>
    <w:p w14:paraId="7ABBBF19" w14:textId="47657500" w:rsidR="004E22C1" w:rsidRPr="001455DC" w:rsidRDefault="004E22C1" w:rsidP="00B0777B">
      <w:pPr>
        <w:pStyle w:val="a0"/>
      </w:pPr>
      <w:r w:rsidRPr="001455DC">
        <w:t xml:space="preserve">the bend radius is within the range </w:t>
      </w:r>
      <m:oMath>
        <m:sSub>
          <m:sSubPr>
            <m:ctrlPr>
              <w:rPr>
                <w:rFonts w:ascii="Cambria Math" w:hAnsi="Cambria Math"/>
              </w:rPr>
            </m:ctrlPr>
          </m:sSubPr>
          <m:e>
            <m:r>
              <m:rPr>
                <m:sty m:val="p"/>
              </m:rPr>
              <w:rPr>
                <w:rFonts w:ascii="Cambria Math" w:hAnsi="Cambria Math"/>
              </w:rPr>
              <m:t>3∙</m:t>
            </m:r>
            <m:sSub>
              <m:sSubPr>
                <m:ctrlPr>
                  <w:rPr>
                    <w:rFonts w:ascii="Cambria Math" w:hAnsi="Cambria Math"/>
                  </w:rPr>
                </m:ctrlPr>
              </m:sSubPr>
              <m:e>
                <m:r>
                  <w:rPr>
                    <w:rFonts w:ascii="Cambria Math" w:hAnsi="Cambria Math"/>
                  </w:rPr>
                  <m:t>d</m:t>
                </m:r>
              </m:e>
              <m:sub>
                <m:r>
                  <m:rPr>
                    <m:sty m:val="p"/>
                  </m:rPr>
                  <w:rPr>
                    <w:rFonts w:ascii="Cambria Math" w:hAnsi="Cambria Math"/>
                  </w:rPr>
                  <m:t>f</m:t>
                </m:r>
              </m:sub>
            </m:sSub>
            <m:r>
              <m:rPr>
                <m:sty m:val="p"/>
              </m:rPr>
              <w:rPr>
                <w:rFonts w:ascii="Cambria Math" w:hAnsi="Cambria Math"/>
              </w:rPr>
              <m:t>≤</m:t>
            </m:r>
            <m:r>
              <w:rPr>
                <w:rFonts w:ascii="Cambria Math" w:hAnsi="Cambria Math"/>
              </w:rPr>
              <m:t>r</m:t>
            </m:r>
          </m:e>
          <m:sub>
            <m:r>
              <m:rPr>
                <m:sty m:val="p"/>
              </m:rPr>
              <w:rPr>
                <w:rFonts w:ascii="Cambria Math" w:hAnsi="Cambria Math"/>
              </w:rPr>
              <m:t>f</m:t>
            </m:r>
          </m:sub>
        </m:sSub>
        <m:r>
          <m:rPr>
            <m:sty m:val="p"/>
          </m:rPr>
          <w:rPr>
            <w:rFonts w:ascii="Cambria Math" w:hAnsi="Cambria Math"/>
          </w:rPr>
          <m:t>≤4∙</m:t>
        </m:r>
        <m:sSub>
          <m:sSubPr>
            <m:ctrlPr>
              <w:rPr>
                <w:rFonts w:ascii="Cambria Math" w:hAnsi="Cambria Math"/>
              </w:rPr>
            </m:ctrlPr>
          </m:sSubPr>
          <m:e>
            <m:r>
              <w:rPr>
                <w:rFonts w:ascii="Cambria Math" w:hAnsi="Cambria Math"/>
              </w:rPr>
              <m:t>d</m:t>
            </m:r>
          </m:e>
          <m:sub>
            <m:r>
              <m:rPr>
                <m:sty m:val="p"/>
              </m:rPr>
              <w:rPr>
                <w:rFonts w:ascii="Cambria Math" w:hAnsi="Cambria Math"/>
              </w:rPr>
              <m:t>f</m:t>
            </m:r>
          </m:sub>
        </m:sSub>
      </m:oMath>
      <w:r w:rsidRPr="001455DC">
        <w:t xml:space="preserve"> and</w:t>
      </w:r>
    </w:p>
    <w:p w14:paraId="0F9F1014" w14:textId="7407FBAC" w:rsidR="004E22C1" w:rsidRPr="001455DC" w:rsidRDefault="004E22C1" w:rsidP="00B0777B">
      <w:pPr>
        <w:pStyle w:val="a0"/>
      </w:pPr>
      <w:r w:rsidRPr="001455DC">
        <w:t xml:space="preserve">the bar diameter </w:t>
      </w:r>
      <m:oMath>
        <m:sSub>
          <m:sSubPr>
            <m:ctrlPr>
              <w:rPr>
                <w:rFonts w:ascii="Cambria Math" w:hAnsi="Cambria Math"/>
              </w:rPr>
            </m:ctrlPr>
          </m:sSubPr>
          <m:e>
            <m:r>
              <w:rPr>
                <w:rFonts w:ascii="Cambria Math" w:hAnsi="Cambria Math"/>
              </w:rPr>
              <m:t>d</m:t>
            </m:r>
          </m:e>
          <m:sub>
            <m:r>
              <m:rPr>
                <m:sty m:val="p"/>
              </m:rPr>
              <w:rPr>
                <w:rFonts w:ascii="Cambria Math" w:hAnsi="Cambria Math"/>
              </w:rPr>
              <m:t>f</m:t>
            </m:r>
          </m:sub>
        </m:sSub>
        <m:r>
          <m:rPr>
            <m:sty m:val="p"/>
          </m:rPr>
          <w:rPr>
            <w:rFonts w:ascii="Cambria Math" w:hAnsi="Cambria Math"/>
          </w:rPr>
          <m:t>≤25mm</m:t>
        </m:r>
      </m:oMath>
      <w:r w:rsidRPr="001455DC">
        <w:t>.</w:t>
      </w:r>
    </w:p>
    <w:p w14:paraId="64389B9E" w14:textId="77777777" w:rsidR="004E22C1" w:rsidRPr="001455DC" w:rsidRDefault="004E22C1" w:rsidP="00EB0170">
      <w:pPr>
        <w:pStyle w:val="a7"/>
      </w:pPr>
      <w:r w:rsidRPr="001455DC">
        <w:t>(5)</w:t>
      </w:r>
      <w:r w:rsidRPr="001455DC">
        <w:tab/>
        <w:t>Following clauses should not be used for FRP reinforcement: 11.4.4, 11.4.5, 11.4.6, 11.4.7.</w:t>
      </w:r>
    </w:p>
    <w:p w14:paraId="6AB6D9C2" w14:textId="77777777" w:rsidR="004E22C1" w:rsidRPr="001455DC" w:rsidRDefault="004E22C1" w:rsidP="00EB0170">
      <w:pPr>
        <w:pStyle w:val="a7"/>
      </w:pPr>
      <w:r w:rsidRPr="001455DC">
        <w:t>(6)</w:t>
      </w:r>
      <w:r w:rsidRPr="001455DC">
        <w:tab/>
        <w:t>Provisions for laps in 11.5 should only be used for FRP reinforcement within the provisions stated in Annex JA.</w:t>
      </w:r>
    </w:p>
    <w:p w14:paraId="03CCCDC2" w14:textId="77777777" w:rsidR="004E22C1" w:rsidRPr="001455DC" w:rsidRDefault="004E22C1" w:rsidP="00EB0170">
      <w:pPr>
        <w:pStyle w:val="a7"/>
      </w:pPr>
      <w:r w:rsidRPr="001455DC">
        <w:t>(7)</w:t>
      </w:r>
      <w:r w:rsidRPr="001455DC">
        <w:tab/>
        <w:t>Laps of FRP reinforcement to FRP reinforcement or other reinforcement types shall be situated in zones where the stress in the reinforcement at ultimate limit state is less than 80 % of the design strength and the strain of the FRP reinforcement is less than 0,006.</w:t>
      </w:r>
    </w:p>
    <w:p w14:paraId="62FE3CA1" w14:textId="77777777" w:rsidR="004E22C1" w:rsidRPr="001455DC" w:rsidRDefault="004E22C1" w:rsidP="00EB0170">
      <w:pPr>
        <w:pStyle w:val="a7"/>
      </w:pPr>
      <w:r w:rsidRPr="001455DC">
        <w:t>(8)</w:t>
      </w:r>
      <w:r w:rsidRPr="001455DC">
        <w:tab/>
        <w:t>Table 11.3 should only be applied to members with FRP reinforcement within the provisions stated in Annex JA.</w:t>
      </w:r>
    </w:p>
    <w:p w14:paraId="4E68CC52" w14:textId="6DF586C5" w:rsidR="004E22C1" w:rsidRPr="001455DC" w:rsidRDefault="004E22C1" w:rsidP="00082680">
      <w:pPr>
        <w:pStyle w:val="a2"/>
        <w:numPr>
          <w:ilvl w:val="0"/>
          <w:numId w:val="0"/>
        </w:numPr>
      </w:pPr>
      <w:bookmarkStart w:id="2092" w:name="_Toc52820338"/>
      <w:bookmarkStart w:id="2093" w:name="_Toc54337205"/>
      <w:bookmarkStart w:id="2094" w:name="_Toc54337768"/>
      <w:bookmarkStart w:id="2095" w:name="_Toc54338386"/>
      <w:bookmarkStart w:id="2096" w:name="_Toc67565608"/>
      <w:r w:rsidRPr="001455DC">
        <w:t>JA.</w:t>
      </w:r>
      <w:r w:rsidR="00D847FD" w:rsidRPr="001455DC">
        <w:t>12</w:t>
      </w:r>
      <w:r w:rsidRPr="001455DC">
        <w:tab/>
      </w:r>
      <w:r w:rsidR="004E740F" w:rsidRPr="001455DC">
        <w:t>Additional rules for precast</w:t>
      </w:r>
      <w:r w:rsidRPr="001455DC">
        <w:t xml:space="preserve"> </w:t>
      </w:r>
      <w:r w:rsidR="004E740F" w:rsidRPr="001455DC">
        <w:t>concrete elements and structures</w:t>
      </w:r>
      <w:bookmarkEnd w:id="2092"/>
      <w:bookmarkEnd w:id="2093"/>
      <w:bookmarkEnd w:id="2094"/>
      <w:bookmarkEnd w:id="2095"/>
      <w:bookmarkEnd w:id="2096"/>
    </w:p>
    <w:p w14:paraId="53316014" w14:textId="59F86192" w:rsidR="004E22C1" w:rsidRPr="001455DC" w:rsidRDefault="004E22C1" w:rsidP="00EB0170">
      <w:pPr>
        <w:pStyle w:val="a7"/>
      </w:pPr>
      <w:r w:rsidRPr="001455DC">
        <w:t>(</w:t>
      </w:r>
      <w:r w:rsidR="00F35A63" w:rsidRPr="001455DC">
        <w:t>1</w:t>
      </w:r>
      <w:r w:rsidRPr="001455DC">
        <w:t>)</w:t>
      </w:r>
      <w:r w:rsidRPr="001455DC">
        <w:tab/>
        <w:t xml:space="preserve">Unless information is available from production data, </w:t>
      </w:r>
      <w:r w:rsidR="001710FF" w:rsidRPr="001455DC">
        <w:t>Clause </w:t>
      </w:r>
      <w:r w:rsidRPr="001455DC">
        <w:t xml:space="preserve">13 for steel reinforcement </w:t>
      </w:r>
      <w:r w:rsidR="00C94299" w:rsidRPr="001455DC">
        <w:t xml:space="preserve">is </w:t>
      </w:r>
      <w:r w:rsidRPr="001455DC">
        <w:t>not applicable to FRP reinforcement.</w:t>
      </w:r>
    </w:p>
    <w:p w14:paraId="76F97A3B" w14:textId="28C410C2" w:rsidR="00C3572F" w:rsidRPr="001455DC" w:rsidRDefault="00C3572F" w:rsidP="00082680">
      <w:pPr>
        <w:pStyle w:val="a2"/>
        <w:numPr>
          <w:ilvl w:val="0"/>
          <w:numId w:val="0"/>
        </w:numPr>
      </w:pPr>
      <w:bookmarkStart w:id="2097" w:name="_Toc54337206"/>
      <w:bookmarkStart w:id="2098" w:name="_Toc54337770"/>
      <w:bookmarkStart w:id="2099" w:name="_Toc54338388"/>
      <w:bookmarkStart w:id="2100" w:name="_Toc67565609"/>
      <w:bookmarkStart w:id="2101" w:name="_Toc52820340"/>
      <w:r w:rsidRPr="001455DC">
        <w:t>JA.</w:t>
      </w:r>
      <w:r w:rsidR="00D847FD" w:rsidRPr="001455DC">
        <w:t>13</w:t>
      </w:r>
      <w:r w:rsidRPr="001455DC">
        <w:tab/>
      </w:r>
      <w:r w:rsidR="004E740F" w:rsidRPr="001455DC">
        <w:t>Lightly reinforced concrete structures</w:t>
      </w:r>
      <w:bookmarkEnd w:id="2097"/>
      <w:bookmarkEnd w:id="2098"/>
      <w:bookmarkEnd w:id="2099"/>
      <w:bookmarkEnd w:id="2100"/>
      <w:r w:rsidR="004E740F" w:rsidRPr="001455DC">
        <w:t xml:space="preserve"> </w:t>
      </w:r>
    </w:p>
    <w:bookmarkEnd w:id="2101"/>
    <w:p w14:paraId="270E294A" w14:textId="5EE39D3C" w:rsidR="004E22C1" w:rsidRPr="001455DC" w:rsidRDefault="004E22C1" w:rsidP="00EB0170">
      <w:pPr>
        <w:pStyle w:val="a7"/>
      </w:pPr>
      <w:r w:rsidRPr="001455DC">
        <w:t>(</w:t>
      </w:r>
      <w:r w:rsidR="00F35A63" w:rsidRPr="001455DC">
        <w:t>1</w:t>
      </w:r>
      <w:r w:rsidRPr="001455DC">
        <w:t>)</w:t>
      </w:r>
      <w:r w:rsidRPr="001455DC">
        <w:tab/>
        <w:t>This Eurocode</w:t>
      </w:r>
      <w:r w:rsidR="00F53DE5" w:rsidRPr="001455DC">
        <w:t xml:space="preserve"> </w:t>
      </w:r>
      <w:r w:rsidRPr="001455DC">
        <w:t>does not provide rules for lightly reinforced concrete structures utilising FRP reinforcement.</w:t>
      </w:r>
    </w:p>
    <w:p w14:paraId="6552B2CE" w14:textId="7FB7E89B" w:rsidR="004E22C1" w:rsidRPr="001455DC" w:rsidRDefault="007A25BF" w:rsidP="007A25BF">
      <w:pPr>
        <w:pStyle w:val="ANNEX"/>
      </w:pPr>
      <w:bookmarkStart w:id="2102" w:name="_Toc52820342"/>
      <w:r w:rsidRPr="001455DC">
        <w:br/>
      </w:r>
      <w:bookmarkStart w:id="2103" w:name="_Toc54337207"/>
      <w:bookmarkStart w:id="2104" w:name="_Toc54337772"/>
      <w:bookmarkStart w:id="2105" w:name="_Toc54338390"/>
      <w:bookmarkStart w:id="2106" w:name="_Toc67565610"/>
      <w:r w:rsidR="004E22C1" w:rsidRPr="001455DC">
        <w:rPr>
          <w:b w:val="0"/>
        </w:rPr>
        <w:t>(normative)</w:t>
      </w:r>
      <w:r w:rsidRPr="001455DC">
        <w:rPr>
          <w:b w:val="0"/>
        </w:rPr>
        <w:br/>
      </w:r>
      <w:r w:rsidRPr="001455DC">
        <w:br/>
      </w:r>
      <w:r w:rsidR="004E22C1" w:rsidRPr="001455DC">
        <w:t>Bridges</w:t>
      </w:r>
      <w:bookmarkEnd w:id="2102"/>
      <w:bookmarkEnd w:id="2103"/>
      <w:bookmarkEnd w:id="2104"/>
      <w:bookmarkEnd w:id="2105"/>
      <w:bookmarkEnd w:id="2106"/>
    </w:p>
    <w:p w14:paraId="4604248E" w14:textId="13A1FCE6" w:rsidR="00FC1F73" w:rsidRPr="001455DC" w:rsidRDefault="00FC1F73" w:rsidP="00082680">
      <w:pPr>
        <w:pStyle w:val="a2"/>
      </w:pPr>
      <w:bookmarkStart w:id="2107" w:name="_Toc67565611"/>
      <w:bookmarkStart w:id="2108" w:name="_Toc52820343"/>
      <w:bookmarkStart w:id="2109" w:name="_Toc54337208"/>
      <w:bookmarkStart w:id="2110" w:name="_Toc54337773"/>
      <w:bookmarkStart w:id="2111" w:name="_Toc54338391"/>
      <w:r w:rsidRPr="001455DC">
        <w:t>Use of this annex</w:t>
      </w:r>
      <w:bookmarkEnd w:id="2107"/>
    </w:p>
    <w:p w14:paraId="486FCD6F" w14:textId="15D0BAC9" w:rsidR="00FC1F73" w:rsidRPr="009D3012" w:rsidRDefault="00FC1F73" w:rsidP="009D3012">
      <w:pPr>
        <w:pStyle w:val="a7"/>
      </w:pPr>
      <w:r w:rsidRPr="009D3012">
        <w:t>(1) This Normative Annex contains additional provisions for bridges.</w:t>
      </w:r>
    </w:p>
    <w:p w14:paraId="30A26825" w14:textId="5D13DE50" w:rsidR="004E22C1" w:rsidRPr="001455DC" w:rsidRDefault="00FC1F73" w:rsidP="00082680">
      <w:pPr>
        <w:pStyle w:val="a2"/>
      </w:pPr>
      <w:bookmarkStart w:id="2112" w:name="_Toc67565612"/>
      <w:r w:rsidRPr="001455DC">
        <w:t>Scope and field of application</w:t>
      </w:r>
      <w:bookmarkEnd w:id="2112"/>
      <w:r w:rsidRPr="001455DC" w:rsidDel="00FC1F73">
        <w:t xml:space="preserve"> </w:t>
      </w:r>
      <w:bookmarkEnd w:id="2108"/>
      <w:bookmarkEnd w:id="2109"/>
      <w:bookmarkEnd w:id="2110"/>
      <w:bookmarkEnd w:id="2111"/>
    </w:p>
    <w:p w14:paraId="61822F14" w14:textId="7480D71A" w:rsidR="004E22C1" w:rsidRPr="009D3012" w:rsidRDefault="00FC1F73" w:rsidP="009D3012">
      <w:pPr>
        <w:pStyle w:val="a7"/>
      </w:pPr>
      <w:r w:rsidRPr="009D3012">
        <w:t xml:space="preserve">(1) The provisions of Clauses 1 to 14 and Annexes A to Q apply to bridges unless otherwise stated in this Normative Annex. </w:t>
      </w:r>
    </w:p>
    <w:p w14:paraId="5A54F1B9" w14:textId="7DD7AA3B" w:rsidR="004E22C1" w:rsidRPr="001455DC" w:rsidRDefault="004E22C1" w:rsidP="00082680">
      <w:pPr>
        <w:pStyle w:val="a2"/>
      </w:pPr>
      <w:bookmarkStart w:id="2113" w:name="_Toc52820344"/>
      <w:bookmarkStart w:id="2114" w:name="_Toc54337209"/>
      <w:bookmarkStart w:id="2115" w:name="_Toc54337774"/>
      <w:bookmarkStart w:id="2116" w:name="_Toc54338392"/>
      <w:bookmarkStart w:id="2117" w:name="_Toc67565613"/>
      <w:r w:rsidRPr="001455DC">
        <w:t>Normative References</w:t>
      </w:r>
      <w:bookmarkEnd w:id="2113"/>
      <w:bookmarkEnd w:id="2114"/>
      <w:bookmarkEnd w:id="2115"/>
      <w:bookmarkEnd w:id="2116"/>
      <w:bookmarkEnd w:id="2117"/>
    </w:p>
    <w:p w14:paraId="07CA2FC9" w14:textId="1B7E91C3" w:rsidR="004E22C1" w:rsidRPr="001455DC" w:rsidRDefault="004E22C1" w:rsidP="007A25BF">
      <w:pPr>
        <w:pStyle w:val="Note"/>
      </w:pPr>
      <w:r w:rsidRPr="001455DC">
        <w:t>NOTE</w:t>
      </w:r>
      <w:r w:rsidRPr="001455DC">
        <w:tab/>
        <w:t xml:space="preserve">See </w:t>
      </w:r>
      <w:r w:rsidR="001710FF" w:rsidRPr="001455DC">
        <w:t>Clause </w:t>
      </w:r>
      <w:r w:rsidRPr="001455DC">
        <w:t>2.</w:t>
      </w:r>
    </w:p>
    <w:p w14:paraId="7297E2DF" w14:textId="70DB1EB1" w:rsidR="004E22C1" w:rsidRPr="001455DC" w:rsidRDefault="004E22C1" w:rsidP="00082680">
      <w:pPr>
        <w:pStyle w:val="a2"/>
      </w:pPr>
      <w:bookmarkStart w:id="2118" w:name="_Toc52820345"/>
      <w:bookmarkStart w:id="2119" w:name="_Toc54337210"/>
      <w:bookmarkStart w:id="2120" w:name="_Toc54337775"/>
      <w:bookmarkStart w:id="2121" w:name="_Toc54338393"/>
      <w:bookmarkStart w:id="2122" w:name="_Toc67565614"/>
      <w:r w:rsidRPr="001455DC">
        <w:t>Terms, definitions and symbols</w:t>
      </w:r>
      <w:bookmarkEnd w:id="2118"/>
      <w:bookmarkEnd w:id="2119"/>
      <w:bookmarkEnd w:id="2120"/>
      <w:bookmarkEnd w:id="2121"/>
      <w:bookmarkEnd w:id="2122"/>
    </w:p>
    <w:p w14:paraId="47E76F56" w14:textId="258A3BFC" w:rsidR="004E22C1" w:rsidRPr="001455DC" w:rsidRDefault="004E22C1" w:rsidP="007A25BF">
      <w:pPr>
        <w:pStyle w:val="Note"/>
        <w:rPr>
          <w:bCs/>
        </w:rPr>
      </w:pPr>
      <w:r w:rsidRPr="001455DC">
        <w:t>NOTE</w:t>
      </w:r>
      <w:r w:rsidRPr="001455DC">
        <w:tab/>
        <w:t xml:space="preserve">See </w:t>
      </w:r>
      <w:r w:rsidR="001710FF" w:rsidRPr="001455DC">
        <w:t>Clause </w:t>
      </w:r>
      <w:r w:rsidRPr="001455DC">
        <w:t>3.</w:t>
      </w:r>
    </w:p>
    <w:p w14:paraId="14A7067E" w14:textId="55AA89FA" w:rsidR="004E22C1" w:rsidRPr="001455DC" w:rsidRDefault="004E22C1" w:rsidP="00082680">
      <w:pPr>
        <w:pStyle w:val="a2"/>
      </w:pPr>
      <w:bookmarkStart w:id="2123" w:name="_Toc52820346"/>
      <w:bookmarkStart w:id="2124" w:name="_Toc54337211"/>
      <w:bookmarkStart w:id="2125" w:name="_Toc54337776"/>
      <w:bookmarkStart w:id="2126" w:name="_Toc54338394"/>
      <w:bookmarkStart w:id="2127" w:name="_Toc67565615"/>
      <w:r w:rsidRPr="001455DC">
        <w:t>Basis of design</w:t>
      </w:r>
      <w:bookmarkEnd w:id="2123"/>
      <w:bookmarkEnd w:id="2124"/>
      <w:bookmarkEnd w:id="2125"/>
      <w:bookmarkEnd w:id="2126"/>
      <w:bookmarkEnd w:id="2127"/>
    </w:p>
    <w:p w14:paraId="66B0D7DA" w14:textId="661DAEC6" w:rsidR="004E22C1" w:rsidRPr="001455DC" w:rsidRDefault="004E22C1" w:rsidP="007A25BF">
      <w:pPr>
        <w:pStyle w:val="Note"/>
        <w:rPr>
          <w:bCs/>
        </w:rPr>
      </w:pPr>
      <w:r w:rsidRPr="001455DC">
        <w:t>NOTE</w:t>
      </w:r>
      <w:r w:rsidRPr="001455DC">
        <w:tab/>
        <w:t xml:space="preserve">See </w:t>
      </w:r>
      <w:r w:rsidR="001710FF" w:rsidRPr="001455DC">
        <w:t>Clause </w:t>
      </w:r>
      <w:r w:rsidRPr="001455DC">
        <w:t>4.</w:t>
      </w:r>
    </w:p>
    <w:p w14:paraId="2955BC5C" w14:textId="0A7C0F12" w:rsidR="004E22C1" w:rsidRPr="001455DC" w:rsidRDefault="004E22C1" w:rsidP="00082680">
      <w:pPr>
        <w:pStyle w:val="a2"/>
      </w:pPr>
      <w:bookmarkStart w:id="2128" w:name="_Toc52820347"/>
      <w:bookmarkStart w:id="2129" w:name="_Toc54337212"/>
      <w:bookmarkStart w:id="2130" w:name="_Toc54337777"/>
      <w:bookmarkStart w:id="2131" w:name="_Toc54338395"/>
      <w:bookmarkStart w:id="2132" w:name="_Toc67565616"/>
      <w:r w:rsidRPr="001455DC">
        <w:t>Materials</w:t>
      </w:r>
      <w:bookmarkEnd w:id="2128"/>
      <w:bookmarkEnd w:id="2129"/>
      <w:bookmarkEnd w:id="2130"/>
      <w:bookmarkEnd w:id="2131"/>
      <w:bookmarkEnd w:id="2132"/>
    </w:p>
    <w:p w14:paraId="5927DA0E" w14:textId="45B62CD2" w:rsidR="004E22C1" w:rsidRPr="001455DC" w:rsidRDefault="004E22C1" w:rsidP="007A25BF">
      <w:pPr>
        <w:pStyle w:val="Note"/>
      </w:pPr>
      <w:r w:rsidRPr="001455DC">
        <w:t>NOTE</w:t>
      </w:r>
      <w:r w:rsidRPr="001455DC">
        <w:tab/>
        <w:t xml:space="preserve">See </w:t>
      </w:r>
      <w:r w:rsidR="001710FF" w:rsidRPr="001455DC">
        <w:t>Clause </w:t>
      </w:r>
      <w:r w:rsidRPr="001455DC">
        <w:t>5.</w:t>
      </w:r>
    </w:p>
    <w:p w14:paraId="68E5339C" w14:textId="0FCA50FD" w:rsidR="004E22C1" w:rsidRPr="001455DC" w:rsidRDefault="004E22C1" w:rsidP="00082680">
      <w:pPr>
        <w:pStyle w:val="a2"/>
      </w:pPr>
      <w:bookmarkStart w:id="2133" w:name="_Toc52820348"/>
      <w:bookmarkStart w:id="2134" w:name="_Toc54337213"/>
      <w:bookmarkStart w:id="2135" w:name="_Toc54337778"/>
      <w:bookmarkStart w:id="2136" w:name="_Toc54338396"/>
      <w:bookmarkStart w:id="2137" w:name="_Toc67565617"/>
      <w:r w:rsidRPr="001455DC">
        <w:t>Durability</w:t>
      </w:r>
      <w:bookmarkEnd w:id="2133"/>
      <w:bookmarkEnd w:id="2134"/>
      <w:bookmarkEnd w:id="2135"/>
      <w:bookmarkEnd w:id="2136"/>
      <w:bookmarkEnd w:id="2137"/>
    </w:p>
    <w:p w14:paraId="3BF9D06C" w14:textId="51B6329C" w:rsidR="004E22C1" w:rsidRPr="001455DC" w:rsidRDefault="004E22C1" w:rsidP="007A25BF">
      <w:pPr>
        <w:pStyle w:val="a7"/>
      </w:pPr>
      <w:r w:rsidRPr="001455DC">
        <w:t>(1)</w:t>
      </w:r>
      <w:r w:rsidRPr="001455DC">
        <w:tab/>
        <w:t xml:space="preserve">The following clauses supplement </w:t>
      </w:r>
      <w:r w:rsidR="001710FF" w:rsidRPr="001455DC">
        <w:t>Clause </w:t>
      </w:r>
      <w:r w:rsidRPr="001455DC">
        <w:t>6 with provisions specific to bridges.</w:t>
      </w:r>
    </w:p>
    <w:p w14:paraId="79BD9686" w14:textId="77777777" w:rsidR="004E22C1" w:rsidRPr="001455DC" w:rsidRDefault="004E22C1" w:rsidP="007A25BF">
      <w:pPr>
        <w:pStyle w:val="a7"/>
      </w:pPr>
      <w:r w:rsidRPr="001455DC">
        <w:t>(2)</w:t>
      </w:r>
      <w:r w:rsidRPr="001455DC">
        <w:tab/>
        <w:t>Where de-icing salts are used, exposed concrete surfaces above, adjacent to and in the ground below the carriageway should be considered as being affected by de-icing salts according to Figure K.1.</w:t>
      </w:r>
    </w:p>
    <w:p w14:paraId="794483F8" w14:textId="77777777" w:rsidR="004E22C1" w:rsidRPr="001455DC" w:rsidRDefault="004E22C1" w:rsidP="007A25BF">
      <w:pPr>
        <w:pStyle w:val="Note"/>
      </w:pPr>
      <w:r w:rsidRPr="001455DC">
        <w:t>NOTE</w:t>
      </w:r>
      <w:r w:rsidRPr="001455DC">
        <w:tab/>
        <w:t>The dimensions and distances of Zones I and II are as given in Figure K.1 unless a National Annex gives different values.</w:t>
      </w:r>
    </w:p>
    <w:p w14:paraId="3C491F10" w14:textId="06BDE696" w:rsidR="00882570" w:rsidRDefault="003E0584" w:rsidP="003F0CF8">
      <w:pPr>
        <w:pStyle w:val="FigureImage"/>
        <w:jc w:val="right"/>
        <w:rPr>
          <w:noProof/>
          <w:lang w:val="de-DE" w:eastAsia="de-DE"/>
        </w:rPr>
      </w:pPr>
      <w:r>
        <w:rPr>
          <w:noProof/>
          <w:lang w:val="de-DE" w:eastAsia="de-DE"/>
        </w:rPr>
        <w:t>Dimensions in metres</w:t>
      </w:r>
    </w:p>
    <w:p w14:paraId="5487B382" w14:textId="20250462" w:rsidR="004E22C1" w:rsidRPr="001455DC" w:rsidRDefault="00723CF7" w:rsidP="007A25BF">
      <w:pPr>
        <w:pStyle w:val="FigureImage"/>
      </w:pPr>
      <w:r>
        <w:rPr>
          <w:noProof/>
          <w:lang w:eastAsia="en-GB"/>
        </w:rPr>
        <w:fldChar w:fldCharType="begin"/>
      </w:r>
      <w:r>
        <w:rPr>
          <w:noProof/>
          <w:lang w:eastAsia="en-GB"/>
        </w:rPr>
        <w:instrText xml:space="preserve"> INCLUDEPICTURE  "Y:\\STD_MGT\\STDDEL\\PRODUCTION\\etrans\\Download\\Z_FIRST_DEL\\SV\\00250\\00250269\\41_e_dr\\k001a.tif"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"Y:\\STD_MGT\\STDDEL\\PRODUCTION\\Standards\\00250\\269\\41_e_dr\\k001a.tif"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"Y:\\STD_MGT\\STDDEL\\PRODUCTION\\Standards\\00250\\269\\41_e_dr\\k001a.tif"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"Y:\\STD_MGT\\STDDEL\\PRODUCTION\\Standards\\00250\\269\\41_e_dr\\k001a.tif"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"Y:\\STD_MGT\\STDDEL\\PRODUCTION\\Standards\\00250\\269\\41_e_dr\\k001a.tif"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"Y:\\STD_MGT\\STDDEL\\PRODUCTION\\Standards\\00250\\269\\41_e_dr\\k001a.tif"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w:instrText>
      </w:r>
      <w:r w:rsidR="00231E33">
        <w:rPr>
          <w:noProof/>
          <w:lang w:eastAsia="en-GB"/>
        </w:rPr>
        <w:instrText>mp1_00250269_e_20210902.zip.zip\\41_e_dr\\k001a.tif"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4648AD04">
          <v:shape id="_x0000_i1323" type="#_x0000_t75" style="width:326.25pt;height:189pt">
            <v:imagedata r:id="rId616" r:href="rId617"/>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74FE6A26" w14:textId="37F1397C" w:rsidR="004E22C1" w:rsidRPr="003E0584" w:rsidRDefault="003E0584" w:rsidP="003E0584">
      <w:pPr>
        <w:pStyle w:val="FigureText"/>
        <w:jc w:val="center"/>
      </w:pPr>
      <w:r>
        <w:t>a) Road b</w:t>
      </w:r>
      <w:r w:rsidR="004E22C1" w:rsidRPr="003E0584">
        <w:t>ridges</w:t>
      </w:r>
    </w:p>
    <w:p w14:paraId="5F3B3188" w14:textId="160E7A05" w:rsidR="004E22C1" w:rsidRPr="001455DC" w:rsidRDefault="00723CF7" w:rsidP="007A25BF">
      <w:pPr>
        <w:pStyle w:val="FigureImage"/>
      </w:pPr>
      <w:r>
        <w:rPr>
          <w:noProof/>
          <w:lang w:eastAsia="en-GB"/>
        </w:rPr>
        <w:fldChar w:fldCharType="begin"/>
      </w:r>
      <w:r>
        <w:rPr>
          <w:noProof/>
          <w:lang w:eastAsia="en-GB"/>
        </w:rPr>
        <w:instrText xml:space="preserve"> INCLUDEPICTURE  "Y:\\STD_MGT\\STDDEL\\PRODUCTION\\etrans\\Download\\Z_FIRST_DEL\\SV\\00250\\00250269\\41_e_dr\\k001b.tif"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"Y:\\STD_MGT\\STDDEL\\PRODUCTION\\Standards\\00250\\269\\41_e_dr\\k001b.tif"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"Y:\\STD_MGT\\STDDEL\\PRODUCTION\\Standards\\00250\\269\\41_e_dr\\k001b.tif"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"Y:\\STD_MGT\\STDDEL\\PRODUCTION\\Standards\\00250\\269\\41_e_dr\\k001b.tif"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"Y:\\STD_MGT\\STDDEL\\PRODUCTION\\Standards\\00250\\269\\41_e_dr\\k001b.tif"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"Y:\\STD_MGT\\STDDEL\\PRODUCTION\\Standards\\00250\\269\\41_e_dr\\k001b.tif"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w:instrText>
      </w:r>
      <w:r w:rsidR="00231E33">
        <w:rPr>
          <w:noProof/>
          <w:lang w:eastAsia="en-GB"/>
        </w:rPr>
        <w:instrText>p\\Temp1_00250269_e_20210902.zip.zip\\41_e_dr\\k001b.tif"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6D224D0A">
          <v:shape id="_x0000_i1324" type="#_x0000_t75" style="width:285.75pt;height:80.25pt">
            <v:imagedata r:id="rId618" r:href="rId619"/>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7CE826D0" w14:textId="1517091D" w:rsidR="004E22C1" w:rsidRPr="003E0584" w:rsidRDefault="003E0584" w:rsidP="003E0584">
      <w:pPr>
        <w:pStyle w:val="FigureText"/>
        <w:spacing w:before="120"/>
        <w:jc w:val="center"/>
      </w:pPr>
      <w:r>
        <w:t>b) Road t</w:t>
      </w:r>
      <w:r w:rsidR="004E22C1" w:rsidRPr="003E0584">
        <w:t>unnels</w:t>
      </w:r>
      <w:r w:rsidR="00882570" w:rsidRPr="003E0584">
        <w:t xml:space="preserve">, with Zone I </w:t>
      </w:r>
      <w:r w:rsidR="000250B6">
        <w:rPr>
          <w:noProof/>
          <w:lang w:eastAsia="en-GB"/>
        </w:rPr>
        <w:fldChar w:fldCharType="begin"/>
      </w:r>
      <w:r w:rsidR="000250B6">
        <w:rPr>
          <w:noProof/>
          <w:lang w:eastAsia="en-GB"/>
        </w:rPr>
        <w:instrText xml:space="preserve"> INCLUDEPICTURE  "Y:\\STD_MGT\\STDDEL\\PRODUCTION\\Standards\\00250\\269\\41_e_dr\\k001_1.tif"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"C:\\Users\\a.dionysiou\\AppData\\Local\\Temp\\Temp1_00250269_e_20210902.zip.zip\\41_e_dr\\k001_1.tif"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7210E20F">
          <v:shape id="_x0000_i1325" type="#_x0000_t75" style="width:12pt;height:12pt">
            <v:imagedata r:id="rId620" r:href="rId621"/>
          </v:shape>
        </w:pict>
      </w:r>
      <w:r w:rsidR="00231E33">
        <w:rPr>
          <w:noProof/>
          <w:lang w:eastAsia="en-GB"/>
        </w:rPr>
        <w:fldChar w:fldCharType="end"/>
      </w:r>
      <w:r w:rsidR="000250B6">
        <w:rPr>
          <w:noProof/>
          <w:lang w:eastAsia="en-GB"/>
        </w:rPr>
        <w:fldChar w:fldCharType="end"/>
      </w:r>
      <w:r w:rsidR="00882570" w:rsidRPr="003E0584">
        <w:t xml:space="preserve"> and Zone II </w:t>
      </w:r>
      <w:r w:rsidR="000250B6">
        <w:rPr>
          <w:noProof/>
          <w:lang w:eastAsia="en-GB"/>
        </w:rPr>
        <w:fldChar w:fldCharType="begin"/>
      </w:r>
      <w:r w:rsidR="000250B6">
        <w:rPr>
          <w:noProof/>
          <w:lang w:eastAsia="en-GB"/>
        </w:rPr>
        <w:instrText xml:space="preserve"> INCLUDEPICTURE  "Y:\\STD_MGT\\STDDEL\\PRODUCTION\\Standards\\00250\\269\\41_e_dr\\k001_2.tif"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"C:\\Users\\a.dionysiou\\AppData\\Local\\Temp\\Temp1_00250269_e_20210902.zip.zip\\41_e_dr\\k001_2.tif"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2FC563F8">
          <v:shape id="_x0000_i1326" type="#_x0000_t75" style="width:12pt;height:11.25pt">
            <v:imagedata r:id="rId622" r:href="rId623"/>
          </v:shape>
        </w:pict>
      </w:r>
      <w:r w:rsidR="00231E33">
        <w:rPr>
          <w:noProof/>
          <w:lang w:eastAsia="en-GB"/>
        </w:rPr>
        <w:fldChar w:fldCharType="end"/>
      </w:r>
      <w:r w:rsidR="000250B6">
        <w:rPr>
          <w:noProof/>
          <w:lang w:eastAsia="en-GB"/>
        </w:rPr>
        <w:fldChar w:fldCharType="end"/>
      </w:r>
    </w:p>
    <w:p w14:paraId="3D867CF2" w14:textId="77777777" w:rsidR="007A25BF" w:rsidRPr="001455DC" w:rsidRDefault="007A25BF" w:rsidP="00DB201D">
      <w:pPr>
        <w:pStyle w:val="KeyTitle"/>
      </w:pPr>
      <w:r w:rsidRPr="001455DC">
        <w:t>Key</w:t>
      </w:r>
    </w:p>
    <w:tbl>
      <w:tblPr>
        <w:tblW w:w="9809" w:type="dxa"/>
        <w:tblLayout w:type="fixed"/>
        <w:tblCellMar>
          <w:left w:w="28" w:type="dxa"/>
          <w:right w:w="28" w:type="dxa"/>
        </w:tblCellMar>
        <w:tblLook w:val="0000" w:firstRow="0" w:lastRow="0" w:firstColumn="0" w:lastColumn="0" w:noHBand="0" w:noVBand="0"/>
      </w:tblPr>
      <w:tblGrid>
        <w:gridCol w:w="1464"/>
        <w:gridCol w:w="8345"/>
      </w:tblGrid>
      <w:tr w:rsidR="007A25BF" w:rsidRPr="001455DC" w14:paraId="00F7A9D6" w14:textId="77777777" w:rsidTr="003E0584">
        <w:tc>
          <w:tcPr>
            <w:tcW w:w="1464" w:type="dxa"/>
            <w:shd w:val="clear" w:color="auto" w:fill="auto"/>
          </w:tcPr>
          <w:p w14:paraId="6B7412E6" w14:textId="2820C955" w:rsidR="007A25BF" w:rsidRPr="001455DC" w:rsidRDefault="003E0584" w:rsidP="00D86695">
            <w:pPr>
              <w:pStyle w:val="KeyText"/>
              <w:tabs>
                <w:tab w:val="clear" w:pos="346"/>
              </w:tabs>
              <w:ind w:left="0" w:firstLine="0"/>
            </w:pPr>
            <w:r>
              <w:t xml:space="preserve">1   </w:t>
            </w:r>
            <w:r w:rsidR="007A25BF" w:rsidRPr="001455DC">
              <w:t>Zone I:</w:t>
            </w:r>
          </w:p>
        </w:tc>
        <w:tc>
          <w:tcPr>
            <w:tcW w:w="8345" w:type="dxa"/>
            <w:shd w:val="clear" w:color="auto" w:fill="auto"/>
          </w:tcPr>
          <w:p w14:paraId="5F05EA3A" w14:textId="636823CB" w:rsidR="007A25BF" w:rsidRPr="001455DC" w:rsidRDefault="007A25BF" w:rsidP="00D86695">
            <w:pPr>
              <w:pStyle w:val="KeyText"/>
              <w:tabs>
                <w:tab w:val="clear" w:pos="346"/>
              </w:tabs>
              <w:ind w:left="0" w:firstLine="0"/>
            </w:pPr>
            <w:r w:rsidRPr="001455DC">
              <w:t>XD3</w:t>
            </w:r>
            <w:r w:rsidR="00EC27D2" w:rsidRPr="001455DC">
              <w:rPr>
                <w:rFonts w:ascii="Cambria Math" w:hAnsi="Cambria Math"/>
              </w:rPr>
              <w:t> + </w:t>
            </w:r>
            <w:r w:rsidRPr="001455DC">
              <w:t>XF4</w:t>
            </w:r>
          </w:p>
        </w:tc>
      </w:tr>
      <w:tr w:rsidR="007A25BF" w:rsidRPr="001455DC" w14:paraId="4A34FDE2" w14:textId="77777777" w:rsidTr="003E0584">
        <w:tc>
          <w:tcPr>
            <w:tcW w:w="1464" w:type="dxa"/>
            <w:shd w:val="clear" w:color="auto" w:fill="auto"/>
          </w:tcPr>
          <w:p w14:paraId="383B2666" w14:textId="68430868" w:rsidR="007A25BF" w:rsidRPr="001455DC" w:rsidRDefault="003E0584" w:rsidP="00D86695">
            <w:pPr>
              <w:pStyle w:val="KeyText"/>
              <w:tabs>
                <w:tab w:val="clear" w:pos="346"/>
              </w:tabs>
              <w:ind w:left="0" w:firstLine="0"/>
            </w:pPr>
            <w:r>
              <w:t xml:space="preserve">2   </w:t>
            </w:r>
            <w:r w:rsidR="007A25BF" w:rsidRPr="001455DC">
              <w:t>Zone II:</w:t>
            </w:r>
          </w:p>
        </w:tc>
        <w:tc>
          <w:tcPr>
            <w:tcW w:w="8345" w:type="dxa"/>
            <w:shd w:val="clear" w:color="auto" w:fill="auto"/>
          </w:tcPr>
          <w:p w14:paraId="503CDE9D" w14:textId="773178EC" w:rsidR="007A25BF" w:rsidRPr="001455DC" w:rsidRDefault="007A25BF" w:rsidP="00D86695">
            <w:pPr>
              <w:pStyle w:val="KeyText"/>
              <w:tabs>
                <w:tab w:val="clear" w:pos="346"/>
              </w:tabs>
              <w:ind w:left="0" w:firstLine="0"/>
            </w:pPr>
            <w:r w:rsidRPr="001455DC">
              <w:t>XD1</w:t>
            </w:r>
            <w:r w:rsidR="00EC27D2" w:rsidRPr="001455DC">
              <w:rPr>
                <w:rFonts w:ascii="Cambria Math" w:hAnsi="Cambria Math"/>
              </w:rPr>
              <w:t> + </w:t>
            </w:r>
            <w:r w:rsidRPr="001455DC">
              <w:t>XF2</w:t>
            </w:r>
          </w:p>
        </w:tc>
      </w:tr>
      <w:tr w:rsidR="007A25BF" w:rsidRPr="001455DC" w14:paraId="4B6347A0" w14:textId="77777777" w:rsidTr="003E0584">
        <w:tc>
          <w:tcPr>
            <w:tcW w:w="1464" w:type="dxa"/>
            <w:shd w:val="clear" w:color="auto" w:fill="auto"/>
          </w:tcPr>
          <w:p w14:paraId="0F65702A" w14:textId="03CBE344" w:rsidR="007A25BF" w:rsidRPr="001455DC" w:rsidRDefault="003E0584" w:rsidP="00D86695">
            <w:pPr>
              <w:pStyle w:val="KeyText"/>
              <w:tabs>
                <w:tab w:val="clear" w:pos="346"/>
              </w:tabs>
              <w:ind w:left="0" w:firstLine="0"/>
            </w:pPr>
            <w:r>
              <w:t xml:space="preserve">3   </w:t>
            </w:r>
            <w:r w:rsidR="007A25BF" w:rsidRPr="001455DC">
              <w:t>Zone III:</w:t>
            </w:r>
          </w:p>
        </w:tc>
        <w:tc>
          <w:tcPr>
            <w:tcW w:w="8345" w:type="dxa"/>
            <w:shd w:val="clear" w:color="auto" w:fill="auto"/>
          </w:tcPr>
          <w:p w14:paraId="418CA358" w14:textId="3E8C9948" w:rsidR="007A25BF" w:rsidRPr="001455DC" w:rsidRDefault="007A25BF" w:rsidP="00D86695">
            <w:pPr>
              <w:pStyle w:val="KeyText"/>
              <w:tabs>
                <w:tab w:val="clear" w:pos="346"/>
              </w:tabs>
              <w:ind w:left="0" w:firstLine="0"/>
            </w:pPr>
            <w:r w:rsidRPr="001455DC">
              <w:t>XC3</w:t>
            </w:r>
          </w:p>
        </w:tc>
      </w:tr>
      <w:tr w:rsidR="005648EA" w:rsidRPr="001455DC" w14:paraId="298B91FE" w14:textId="77777777" w:rsidTr="003E0584">
        <w:tc>
          <w:tcPr>
            <w:tcW w:w="1464" w:type="dxa"/>
            <w:shd w:val="clear" w:color="auto" w:fill="auto"/>
          </w:tcPr>
          <w:p w14:paraId="37A96041" w14:textId="0EFB1675" w:rsidR="005648EA" w:rsidRPr="001455DC" w:rsidRDefault="00882570" w:rsidP="00D86695">
            <w:pPr>
              <w:pStyle w:val="KeyText"/>
              <w:tabs>
                <w:tab w:val="clear" w:pos="346"/>
              </w:tabs>
              <w:ind w:left="0" w:firstLine="0"/>
            </w:pPr>
            <w:r>
              <w:t>4</w:t>
            </w:r>
          </w:p>
        </w:tc>
        <w:tc>
          <w:tcPr>
            <w:tcW w:w="8345" w:type="dxa"/>
            <w:shd w:val="clear" w:color="auto" w:fill="auto"/>
          </w:tcPr>
          <w:p w14:paraId="77DE6312" w14:textId="06B1B55C" w:rsidR="005648EA" w:rsidRPr="003E0584" w:rsidRDefault="004A2607" w:rsidP="009D3012">
            <w:pPr>
              <w:rPr>
                <w:rFonts w:asciiTheme="majorHAnsi" w:hAnsiTheme="majorHAnsi"/>
              </w:rPr>
            </w:pPr>
            <w:r w:rsidRPr="003E0584">
              <w:rPr>
                <w:rFonts w:asciiTheme="majorHAnsi" w:eastAsia="Times New Roman" w:hAnsiTheme="majorHAnsi" w:cs="Calibri"/>
                <w:sz w:val="20"/>
                <w:szCs w:val="20"/>
              </w:rPr>
              <w:t>Traffic direction</w:t>
            </w:r>
          </w:p>
        </w:tc>
      </w:tr>
      <w:tr w:rsidR="005648EA" w:rsidRPr="001455DC" w14:paraId="6CB8E5F3" w14:textId="77777777" w:rsidTr="003E0584">
        <w:tc>
          <w:tcPr>
            <w:tcW w:w="1464" w:type="dxa"/>
            <w:shd w:val="clear" w:color="auto" w:fill="auto"/>
          </w:tcPr>
          <w:p w14:paraId="34E9FD71" w14:textId="28AD1A23" w:rsidR="005648EA" w:rsidRPr="001455DC" w:rsidRDefault="00882570" w:rsidP="00D86695">
            <w:pPr>
              <w:pStyle w:val="KeyText"/>
              <w:tabs>
                <w:tab w:val="clear" w:pos="346"/>
              </w:tabs>
              <w:ind w:left="0" w:firstLine="0"/>
            </w:pPr>
            <w:r>
              <w:t>a</w:t>
            </w:r>
          </w:p>
        </w:tc>
        <w:tc>
          <w:tcPr>
            <w:tcW w:w="8345" w:type="dxa"/>
            <w:shd w:val="clear" w:color="auto" w:fill="auto"/>
          </w:tcPr>
          <w:p w14:paraId="0FACA169" w14:textId="0AD0FB17" w:rsidR="005648EA" w:rsidRPr="003E0584" w:rsidRDefault="004A2607" w:rsidP="009D3012">
            <w:pPr>
              <w:rPr>
                <w:rFonts w:asciiTheme="majorHAnsi" w:hAnsiTheme="majorHAnsi"/>
              </w:rPr>
            </w:pPr>
            <w:r w:rsidRPr="003E0584">
              <w:rPr>
                <w:rFonts w:asciiTheme="majorHAnsi" w:eastAsia="Times New Roman" w:hAnsiTheme="majorHAnsi" w:cs="Calibri"/>
                <w:sz w:val="20"/>
                <w:szCs w:val="20"/>
              </w:rPr>
              <w:t>Distance to ground surface</w:t>
            </w:r>
            <w:r w:rsidR="00882570" w:rsidRPr="003E0584">
              <w:rPr>
                <w:rFonts w:asciiTheme="majorHAnsi" w:eastAsia="Times New Roman" w:hAnsiTheme="majorHAnsi" w:cs="Calibri"/>
                <w:sz w:val="20"/>
                <w:szCs w:val="20"/>
              </w:rPr>
              <w:t xml:space="preserve"> in a)</w:t>
            </w:r>
          </w:p>
        </w:tc>
      </w:tr>
    </w:tbl>
    <w:p w14:paraId="0EB92F61" w14:textId="77777777" w:rsidR="004E22C1" w:rsidRPr="001455DC" w:rsidRDefault="004E22C1" w:rsidP="007A25BF">
      <w:pPr>
        <w:pStyle w:val="Figuretitle"/>
      </w:pPr>
      <w:r w:rsidRPr="001455DC">
        <w:t>Figure K.1 — Exposure classes XD for constructions along roads</w:t>
      </w:r>
    </w:p>
    <w:p w14:paraId="715B5555" w14:textId="694AD787" w:rsidR="004E22C1" w:rsidRPr="001455DC" w:rsidRDefault="004E22C1" w:rsidP="00DE6BBC">
      <w:pPr>
        <w:pStyle w:val="a7"/>
        <w:keepNext/>
      </w:pPr>
      <w:r w:rsidRPr="001455DC">
        <w:t>(3)</w:t>
      </w:r>
      <w:r w:rsidRPr="001455DC">
        <w:tab/>
        <w:t>For bridge decks exposed to chlorides from de-icing salts, a waterproofing membrane should be arranged. Bridge decks protected by waterproofing membranes may be considered with following</w:t>
      </w:r>
      <w:r w:rsidR="00DE6BBC" w:rsidRPr="001455DC">
        <w:t xml:space="preserve"> </w:t>
      </w:r>
      <w:r w:rsidRPr="001455DC">
        <w:t>exposure classes:</w:t>
      </w:r>
    </w:p>
    <w:p w14:paraId="57E58774" w14:textId="18E9AA1D" w:rsidR="004E22C1" w:rsidRPr="001455DC" w:rsidRDefault="004E22C1" w:rsidP="007A25BF">
      <w:pPr>
        <w:pStyle w:val="a0"/>
      </w:pPr>
      <w:r w:rsidRPr="001455DC">
        <w:t>XD1: bridge deck top surface;</w:t>
      </w:r>
    </w:p>
    <w:p w14:paraId="1B8A446F" w14:textId="624C6040" w:rsidR="004E22C1" w:rsidRPr="001455DC" w:rsidRDefault="004E22C1" w:rsidP="007A25BF">
      <w:pPr>
        <w:pStyle w:val="a0"/>
      </w:pPr>
      <w:r w:rsidRPr="001455DC">
        <w:t>XD3: inside, top side and outside of curbs;</w:t>
      </w:r>
    </w:p>
    <w:p w14:paraId="22702141" w14:textId="77A3D339" w:rsidR="004E22C1" w:rsidRPr="001455DC" w:rsidRDefault="004E22C1" w:rsidP="007A25BF">
      <w:pPr>
        <w:pStyle w:val="a0"/>
      </w:pPr>
      <w:r w:rsidRPr="001455DC">
        <w:t>XD3: surfaces under expansion joints directly affected by water containing de-icing salts.</w:t>
      </w:r>
    </w:p>
    <w:p w14:paraId="42B886AA" w14:textId="77777777" w:rsidR="004E22C1" w:rsidRPr="001455DC" w:rsidRDefault="004E22C1" w:rsidP="007A25BF">
      <w:pPr>
        <w:pStyle w:val="Note"/>
      </w:pPr>
      <w:r w:rsidRPr="001455DC">
        <w:t>NOTE</w:t>
      </w:r>
      <w:r w:rsidRPr="001455DC">
        <w:tab/>
        <w:t>Horizontal and vertical surfaces located inside Zone I are considered XD3 and XF4, horizontal and vertical surfaces located inside Zone II are considered XD1 and XF2, surfaces inside a box girder section in Zone III are considered XC3 and the dimensions and distances of Zones I and II are as given in Figure K.1 unless a National Annex gives different values.</w:t>
      </w:r>
    </w:p>
    <w:p w14:paraId="424AA412" w14:textId="62EB2ACA" w:rsidR="004E22C1" w:rsidRPr="001455DC" w:rsidRDefault="004E22C1" w:rsidP="00082680">
      <w:pPr>
        <w:pStyle w:val="a2"/>
      </w:pPr>
      <w:bookmarkStart w:id="2138" w:name="_Toc52820349"/>
      <w:bookmarkStart w:id="2139" w:name="_Toc54337214"/>
      <w:bookmarkStart w:id="2140" w:name="_Toc54337779"/>
      <w:bookmarkStart w:id="2141" w:name="_Toc54338397"/>
      <w:bookmarkStart w:id="2142" w:name="_Toc67565618"/>
      <w:r w:rsidRPr="001455DC">
        <w:t>Structural analysis</w:t>
      </w:r>
      <w:bookmarkEnd w:id="2138"/>
      <w:bookmarkEnd w:id="2139"/>
      <w:bookmarkEnd w:id="2140"/>
      <w:bookmarkEnd w:id="2141"/>
      <w:bookmarkEnd w:id="2142"/>
    </w:p>
    <w:p w14:paraId="44851C8F" w14:textId="77777777" w:rsidR="004E22C1" w:rsidRPr="001455DC" w:rsidRDefault="004E22C1" w:rsidP="007A25BF">
      <w:pPr>
        <w:pStyle w:val="a7"/>
      </w:pPr>
      <w:r w:rsidRPr="001455DC">
        <w:t>(1)</w:t>
      </w:r>
      <w:r w:rsidRPr="001455DC">
        <w:tab/>
        <w:t>7.2.2(4) and 7.2.3(6) shall not be applied.</w:t>
      </w:r>
    </w:p>
    <w:p w14:paraId="41A56182" w14:textId="72D57599" w:rsidR="004E22C1" w:rsidRPr="001455DC" w:rsidRDefault="004E22C1" w:rsidP="00082680">
      <w:pPr>
        <w:pStyle w:val="a2"/>
      </w:pPr>
      <w:bookmarkStart w:id="2143" w:name="_Toc52820350"/>
      <w:bookmarkStart w:id="2144" w:name="_Toc54337215"/>
      <w:bookmarkStart w:id="2145" w:name="_Toc54337780"/>
      <w:bookmarkStart w:id="2146" w:name="_Toc54338398"/>
      <w:bookmarkStart w:id="2147" w:name="_Toc67565619"/>
      <w:r w:rsidRPr="001455DC">
        <w:t>Ultimate limit states (ULS)</w:t>
      </w:r>
      <w:bookmarkEnd w:id="2143"/>
      <w:bookmarkEnd w:id="2144"/>
      <w:bookmarkEnd w:id="2145"/>
      <w:bookmarkEnd w:id="2146"/>
      <w:bookmarkEnd w:id="2147"/>
    </w:p>
    <w:p w14:paraId="009A7D9D" w14:textId="49D075E9" w:rsidR="004E22C1" w:rsidRPr="001455DC" w:rsidRDefault="004E22C1" w:rsidP="007A25BF">
      <w:pPr>
        <w:pStyle w:val="Note"/>
        <w:rPr>
          <w:bCs/>
        </w:rPr>
      </w:pPr>
      <w:r w:rsidRPr="001455DC">
        <w:t>NOTE</w:t>
      </w:r>
      <w:r w:rsidRPr="001455DC">
        <w:tab/>
        <w:t xml:space="preserve">See </w:t>
      </w:r>
      <w:r w:rsidR="001710FF" w:rsidRPr="001455DC">
        <w:t>Clause </w:t>
      </w:r>
      <w:r w:rsidRPr="001455DC">
        <w:t>8.</w:t>
      </w:r>
    </w:p>
    <w:p w14:paraId="41D1AB27" w14:textId="597C7A09" w:rsidR="004E22C1" w:rsidRPr="001455DC" w:rsidRDefault="004E22C1" w:rsidP="00082680">
      <w:pPr>
        <w:pStyle w:val="a2"/>
      </w:pPr>
      <w:bookmarkStart w:id="2148" w:name="_Toc52820351"/>
      <w:bookmarkStart w:id="2149" w:name="_Toc54337216"/>
      <w:bookmarkStart w:id="2150" w:name="_Toc54337781"/>
      <w:bookmarkStart w:id="2151" w:name="_Toc54338399"/>
      <w:bookmarkStart w:id="2152" w:name="_Toc67565620"/>
      <w:r w:rsidRPr="001455DC">
        <w:t>Serviceability limit states (SLS)</w:t>
      </w:r>
      <w:bookmarkEnd w:id="2148"/>
      <w:bookmarkEnd w:id="2149"/>
      <w:bookmarkEnd w:id="2150"/>
      <w:bookmarkEnd w:id="2151"/>
      <w:bookmarkEnd w:id="2152"/>
    </w:p>
    <w:p w14:paraId="239FDD13" w14:textId="5055AD57" w:rsidR="004E22C1" w:rsidRPr="001455DC" w:rsidRDefault="004E22C1" w:rsidP="007A25BF">
      <w:pPr>
        <w:pStyle w:val="a7"/>
      </w:pPr>
      <w:r w:rsidRPr="001455DC">
        <w:t>(1)</w:t>
      </w:r>
      <w:r w:rsidRPr="001455DC">
        <w:tab/>
        <w:t xml:space="preserve">9.3.2 and 9.3.3 and values for buildings in Table 9.4 shall not be applied. In addition to </w:t>
      </w:r>
      <w:r w:rsidR="001710FF" w:rsidRPr="001455DC">
        <w:t>Clause </w:t>
      </w:r>
      <w:r w:rsidRPr="001455DC">
        <w:t>9, the following paragraphs specific to bridges shall be applied.</w:t>
      </w:r>
    </w:p>
    <w:p w14:paraId="46F0E20A" w14:textId="77777777" w:rsidR="004E22C1" w:rsidRPr="001455DC" w:rsidRDefault="004E22C1" w:rsidP="007A25BF">
      <w:pPr>
        <w:pStyle w:val="a7"/>
      </w:pPr>
      <w:r w:rsidRPr="001455DC">
        <w:t>(2)</w:t>
      </w:r>
      <w:r w:rsidRPr="001455DC">
        <w:tab/>
        <w:t xml:space="preserve">For temporary phases (construction or maintenance) crack widths should be limited to 0,5 mm for quasi-permanent load combination. Where decompression needs to be checked under frequent combination of actions according to Table 9.2(NDP), either decompression should be checked or the tensile stress limited to </w:t>
      </w:r>
      <w:r w:rsidRPr="001455DC">
        <w:rPr>
          <w:rStyle w:val="CCMCvariableitalic"/>
        </w:rPr>
        <w:t>f</w:t>
      </w:r>
      <w:r w:rsidRPr="001455DC">
        <w:rPr>
          <w:rStyle w:val="CCMCvariablesubscript"/>
        </w:rPr>
        <w:t>ctm</w:t>
      </w:r>
      <w:r w:rsidRPr="001455DC">
        <w:t>.</w:t>
      </w:r>
    </w:p>
    <w:p w14:paraId="221C860E" w14:textId="77777777" w:rsidR="004E22C1" w:rsidRPr="001455DC" w:rsidRDefault="004E22C1" w:rsidP="007A25BF">
      <w:pPr>
        <w:pStyle w:val="a7"/>
      </w:pPr>
      <w:r w:rsidRPr="001455DC">
        <w:t>(3)</w:t>
      </w:r>
      <w:r w:rsidRPr="001455DC">
        <w:tab/>
        <w:t>Additional to Table 9.4 for bridges, additional damping effected by pavement, railings and other non-structural components may be considered on the basis of experimental evidence.</w:t>
      </w:r>
    </w:p>
    <w:p w14:paraId="3B4F9A8F" w14:textId="1762A09D" w:rsidR="004E22C1" w:rsidRPr="001455DC" w:rsidRDefault="004E22C1" w:rsidP="00082680">
      <w:pPr>
        <w:pStyle w:val="a2"/>
      </w:pPr>
      <w:bookmarkStart w:id="2153" w:name="_Toc52820352"/>
      <w:bookmarkStart w:id="2154" w:name="_Toc54337217"/>
      <w:bookmarkStart w:id="2155" w:name="_Toc54337782"/>
      <w:bookmarkStart w:id="2156" w:name="_Toc54338400"/>
      <w:bookmarkStart w:id="2157" w:name="_Toc67565621"/>
      <w:r w:rsidRPr="001455DC">
        <w:t>Fatigue verification using damage equivalent stress range</w:t>
      </w:r>
      <w:bookmarkEnd w:id="2153"/>
      <w:bookmarkEnd w:id="2154"/>
      <w:bookmarkEnd w:id="2155"/>
      <w:bookmarkEnd w:id="2156"/>
      <w:bookmarkEnd w:id="2157"/>
    </w:p>
    <w:p w14:paraId="77E920C2" w14:textId="0DC908F8" w:rsidR="004E22C1" w:rsidRPr="001455DC" w:rsidRDefault="004E22C1" w:rsidP="007A25BF">
      <w:pPr>
        <w:pStyle w:val="a7"/>
      </w:pPr>
      <w:r w:rsidRPr="001455DC">
        <w:t>(1)</w:t>
      </w:r>
      <w:r w:rsidRPr="001455DC">
        <w:tab/>
        <w:t xml:space="preserve">The following clauses supplement </w:t>
      </w:r>
      <w:r w:rsidR="001710FF" w:rsidRPr="001455DC">
        <w:t>Clause </w:t>
      </w:r>
      <w:r w:rsidRPr="001455DC">
        <w:t>10 and E.</w:t>
      </w:r>
      <w:r w:rsidR="00E51CFA" w:rsidRPr="001455DC">
        <w:t xml:space="preserve">4 </w:t>
      </w:r>
      <w:r w:rsidRPr="001455DC">
        <w:t>with provisions for damage equivalent fatigue verification specific to bridges.</w:t>
      </w:r>
    </w:p>
    <w:p w14:paraId="459AB740" w14:textId="3DB85C62" w:rsidR="004E22C1" w:rsidRPr="001455DC" w:rsidRDefault="004E22C1" w:rsidP="00243590">
      <w:pPr>
        <w:pStyle w:val="a3"/>
      </w:pPr>
      <w:bookmarkStart w:id="2158" w:name="_Toc52820353"/>
      <w:bookmarkStart w:id="2159" w:name="_Toc54337783"/>
      <w:bookmarkStart w:id="2160" w:name="_Toc54338401"/>
      <w:r w:rsidRPr="001455DC">
        <w:t>General</w:t>
      </w:r>
      <w:bookmarkEnd w:id="2158"/>
      <w:bookmarkEnd w:id="2159"/>
      <w:bookmarkEnd w:id="2160"/>
    </w:p>
    <w:p w14:paraId="5B74E6FE" w14:textId="24C7ED53" w:rsidR="004E22C1" w:rsidRPr="001455DC" w:rsidRDefault="004E22C1" w:rsidP="007A25BF">
      <w:pPr>
        <w:pStyle w:val="a7"/>
        <w:rPr>
          <w:bCs/>
        </w:rPr>
      </w:pPr>
      <w:r w:rsidRPr="001455DC">
        <w:t>(1)</w:t>
      </w:r>
      <w:r w:rsidRPr="001455DC">
        <w:tab/>
      </w:r>
      <w:r w:rsidR="00B0410C">
        <w:t>pr</w:t>
      </w:r>
      <w:r w:rsidRPr="001455DC">
        <w:t>EN 1991</w:t>
      </w:r>
      <w:r w:rsidRPr="001455DC">
        <w:noBreakHyphen/>
        <w:t xml:space="preserve">2 gives relevant fatigue load models for fatigue verification of bridges using the method of damage equivalent stress range (FLM3 for road bridges, LM71 for railway bridges) and </w:t>
      </w:r>
      <w:r w:rsidR="00DF00C7">
        <w:t>pr</w:t>
      </w:r>
      <w:r w:rsidRPr="001455DC">
        <w:t>EN 1990 procedures for the calculation of the equivalent stress range Δ</w:t>
      </w:r>
      <w:r w:rsidRPr="001455DC">
        <w:rPr>
          <w:rStyle w:val="CCMCvariableitalic"/>
        </w:rPr>
        <w:t>σ</w:t>
      </w:r>
      <w:r w:rsidRPr="001455DC">
        <w:rPr>
          <w:rStyle w:val="CCMCvariablesubscript"/>
        </w:rPr>
        <w:t>S,equ</w:t>
      </w:r>
      <w:r w:rsidRPr="001455DC">
        <w:t xml:space="preserve"> for superstructures of road and railway bridges.</w:t>
      </w:r>
    </w:p>
    <w:p w14:paraId="2ECE88D3" w14:textId="64BD0207" w:rsidR="004E22C1" w:rsidRPr="001455DC" w:rsidRDefault="004E22C1" w:rsidP="00243590">
      <w:pPr>
        <w:pStyle w:val="a3"/>
      </w:pPr>
      <w:bookmarkStart w:id="2161" w:name="_Toc52820354"/>
      <w:bookmarkStart w:id="2162" w:name="_Toc54337784"/>
      <w:bookmarkStart w:id="2163" w:name="_Toc54338402"/>
      <w:r w:rsidRPr="001455DC">
        <w:t>Verification for reinforcement</w:t>
      </w:r>
      <w:bookmarkEnd w:id="2161"/>
      <w:bookmarkEnd w:id="2162"/>
      <w:bookmarkEnd w:id="2163"/>
    </w:p>
    <w:p w14:paraId="4463C55E" w14:textId="481295FF" w:rsidR="004E22C1" w:rsidRPr="001455DC" w:rsidRDefault="004E22C1" w:rsidP="00DE6BBC">
      <w:pPr>
        <w:pStyle w:val="a7"/>
        <w:keepNext/>
      </w:pPr>
      <w:r w:rsidRPr="001455DC">
        <w:t>(1)</w:t>
      </w:r>
      <w:r w:rsidRPr="001455DC">
        <w:tab/>
        <w:t>For road and railway bridges the damage equivalent stress range for reinforcement verification in Formula (E.1) should be calculated according to Formula (K.1):</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125DCB" w:rsidRPr="001455DC" w14:paraId="61326C6D" w14:textId="77777777" w:rsidTr="00125DCB">
        <w:trPr>
          <w:cantSplit/>
        </w:trPr>
        <w:tc>
          <w:tcPr>
            <w:tcW w:w="8505" w:type="dxa"/>
            <w:vAlign w:val="center"/>
          </w:tcPr>
          <w:p w14:paraId="7DFAEC7C" w14:textId="3861683D" w:rsidR="00125DCB" w:rsidRPr="001455DC" w:rsidRDefault="00125DCB" w:rsidP="00125DCB">
            <w:pPr>
              <w:pStyle w:val="Formula"/>
              <w:jc w:val="left"/>
              <w:rPr>
                <w:szCs w:val="22"/>
              </w:rPr>
            </w:pPr>
            <w:r w:rsidRPr="001455DC">
              <w:rPr>
                <w:rFonts w:eastAsia="Cambria"/>
                <w:szCs w:val="22"/>
                <w:lang w:eastAsia="ja-JP"/>
              </w:rPr>
              <w:t>Δ</w:t>
            </w:r>
            <w:r w:rsidRPr="001455DC">
              <w:rPr>
                <w:rStyle w:val="CCMCvariableitalic"/>
                <w:szCs w:val="22"/>
              </w:rPr>
              <w:t>σ</w:t>
            </w:r>
            <w:r w:rsidRPr="001455DC">
              <w:rPr>
                <w:rStyle w:val="CCMCvariablesubscript"/>
                <w:szCs w:val="22"/>
              </w:rPr>
              <w:t>s,equ</w:t>
            </w:r>
            <w:r w:rsidRPr="001455DC">
              <w:rPr>
                <w:szCs w:val="22"/>
              </w:rPr>
              <w:t> </w:t>
            </w:r>
            <w:r w:rsidR="00EC27D2" w:rsidRPr="001455DC">
              <w:rPr>
                <w:rFonts w:ascii="Cambria Math" w:hAnsi="Cambria Math"/>
                <w:szCs w:val="22"/>
              </w:rPr>
              <w:t>=</w:t>
            </w:r>
            <w:r w:rsidRPr="001455DC">
              <w:rPr>
                <w:szCs w:val="22"/>
              </w:rPr>
              <w:t> </w:t>
            </w:r>
            <w:r w:rsidRPr="001455DC">
              <w:rPr>
                <w:rFonts w:eastAsia="Cambria"/>
                <w:szCs w:val="22"/>
                <w:lang w:eastAsia="ja-JP"/>
              </w:rPr>
              <w:t>Δ</w:t>
            </w:r>
            <w:r w:rsidRPr="001455DC">
              <w:rPr>
                <w:rStyle w:val="CCMCvariableitalic"/>
                <w:szCs w:val="22"/>
              </w:rPr>
              <w:t>σ</w:t>
            </w:r>
            <w:r w:rsidRPr="001455DC">
              <w:rPr>
                <w:rStyle w:val="CCMCvariablesubscript"/>
                <w:szCs w:val="22"/>
              </w:rPr>
              <w:t>s,Ec</w:t>
            </w:r>
            <w:r w:rsidRPr="001455DC">
              <w:rPr>
                <w:rFonts w:eastAsia="Cambria"/>
                <w:szCs w:val="22"/>
                <w:lang w:eastAsia="ja-JP"/>
              </w:rPr>
              <w:t> </w:t>
            </w:r>
            <w:r w:rsidRPr="001455DC">
              <w:rPr>
                <w:rFonts w:ascii="Cambria Math" w:eastAsia="Cambria" w:hAnsi="Cambria Math" w:cs="Cambria Math"/>
                <w:szCs w:val="22"/>
                <w:lang w:eastAsia="ja-JP"/>
              </w:rPr>
              <w:t>⋅</w:t>
            </w:r>
            <w:r w:rsidRPr="001455DC">
              <w:rPr>
                <w:rFonts w:eastAsia="Cambria"/>
                <w:szCs w:val="22"/>
                <w:lang w:eastAsia="ja-JP"/>
              </w:rPr>
              <w:t> </w:t>
            </w:r>
            <w:r w:rsidRPr="001455DC">
              <w:rPr>
                <w:rStyle w:val="CCMCvariableitalic"/>
                <w:szCs w:val="22"/>
              </w:rPr>
              <w:t>λ</w:t>
            </w:r>
            <w:r w:rsidRPr="001455DC">
              <w:rPr>
                <w:rStyle w:val="CCMCvariablesubscript"/>
                <w:szCs w:val="22"/>
              </w:rPr>
              <w:t>s</w:t>
            </w:r>
          </w:p>
        </w:tc>
        <w:tc>
          <w:tcPr>
            <w:tcW w:w="1247" w:type="dxa"/>
            <w:vAlign w:val="center"/>
          </w:tcPr>
          <w:p w14:paraId="1E4F3F0C" w14:textId="73171C6C" w:rsidR="00125DCB" w:rsidRPr="001455DC" w:rsidRDefault="00125DCB" w:rsidP="00125DCB">
            <w:pPr>
              <w:pStyle w:val="a7"/>
              <w:jc w:val="right"/>
            </w:pPr>
            <w:r w:rsidRPr="001455DC">
              <w:rPr>
                <w:rFonts w:eastAsia="Cambria"/>
                <w:szCs w:val="22"/>
                <w:lang w:eastAsia="ja-JP"/>
              </w:rPr>
              <w:t>(K.1)</w:t>
            </w:r>
          </w:p>
        </w:tc>
      </w:tr>
    </w:tbl>
    <w:p w14:paraId="5E9DB42B" w14:textId="77777777" w:rsidR="00125DCB" w:rsidRPr="001455DC" w:rsidRDefault="00125DCB"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680"/>
        <w:gridCol w:w="8732"/>
      </w:tblGrid>
      <w:tr w:rsidR="00125DCB" w:rsidRPr="001455DC" w14:paraId="43276079" w14:textId="77777777" w:rsidTr="00125DCB">
        <w:trPr>
          <w:cantSplit/>
        </w:trPr>
        <w:tc>
          <w:tcPr>
            <w:tcW w:w="680" w:type="dxa"/>
          </w:tcPr>
          <w:p w14:paraId="6315C989" w14:textId="1E292871" w:rsidR="00125DCB" w:rsidRPr="001455DC" w:rsidRDefault="00125DCB" w:rsidP="0000442A">
            <w:pPr>
              <w:pStyle w:val="Tablebody"/>
            </w:pPr>
            <w:r w:rsidRPr="001455DC">
              <w:rPr>
                <w:lang w:eastAsia="ja-JP"/>
              </w:rPr>
              <w:t>Δ</w:t>
            </w:r>
            <w:r w:rsidRPr="001455DC">
              <w:rPr>
                <w:rStyle w:val="CCMCvariableitalic"/>
              </w:rPr>
              <w:t>σ</w:t>
            </w:r>
            <w:r w:rsidRPr="001455DC">
              <w:rPr>
                <w:rStyle w:val="CCMCvariablesubscript"/>
              </w:rPr>
              <w:t>s,Ec</w:t>
            </w:r>
          </w:p>
        </w:tc>
        <w:tc>
          <w:tcPr>
            <w:tcW w:w="8732" w:type="dxa"/>
          </w:tcPr>
          <w:p w14:paraId="55E16688" w14:textId="437DE62F" w:rsidR="00125DCB" w:rsidRPr="001455DC" w:rsidRDefault="00125DCB" w:rsidP="00BB1209">
            <w:pPr>
              <w:pStyle w:val="Tablebody"/>
            </w:pPr>
            <w:r w:rsidRPr="001455DC">
              <w:rPr>
                <w:lang w:eastAsia="ja-JP"/>
              </w:rPr>
              <w:t>is the reinforcement stress range caused by the following fatigue load models:</w:t>
            </w:r>
          </w:p>
        </w:tc>
      </w:tr>
      <w:tr w:rsidR="00125DCB" w:rsidRPr="001455DC" w14:paraId="5092078D" w14:textId="77777777" w:rsidTr="00125DCB">
        <w:trPr>
          <w:cantSplit/>
        </w:trPr>
        <w:tc>
          <w:tcPr>
            <w:tcW w:w="680" w:type="dxa"/>
          </w:tcPr>
          <w:p w14:paraId="279BE9DC" w14:textId="5496DB4A" w:rsidR="00125DCB" w:rsidRPr="001455DC" w:rsidRDefault="00125DCB" w:rsidP="0000442A">
            <w:pPr>
              <w:pStyle w:val="Tablebody"/>
              <w:rPr>
                <w:lang w:eastAsia="ja-JP"/>
              </w:rPr>
            </w:pPr>
            <w:r w:rsidRPr="001455DC">
              <w:rPr>
                <w:lang w:eastAsia="ja-JP"/>
              </w:rPr>
              <w:t> </w:t>
            </w:r>
          </w:p>
        </w:tc>
        <w:tc>
          <w:tcPr>
            <w:tcW w:w="8732" w:type="dxa"/>
          </w:tcPr>
          <w:p w14:paraId="236764C8" w14:textId="7DC68E82" w:rsidR="00125DCB" w:rsidRPr="001455DC" w:rsidRDefault="00125DCB" w:rsidP="00BB1209">
            <w:pPr>
              <w:pStyle w:val="Tablebody"/>
              <w:rPr>
                <w:lang w:eastAsia="ja-JP"/>
              </w:rPr>
            </w:pPr>
            <w:r w:rsidRPr="001455DC">
              <w:t xml:space="preserve">For road bridges: based on the load combination given in 10.2 with fatigue load model 3 (FLM3) according to </w:t>
            </w:r>
            <w:r w:rsidR="00B0410C">
              <w:t>pr</w:t>
            </w:r>
            <w:r w:rsidRPr="001455DC">
              <w:t>EN 1991</w:t>
            </w:r>
            <w:r w:rsidRPr="001455DC">
              <w:noBreakHyphen/>
              <w:t>2 with the axle loads increased by the following factors:</w:t>
            </w:r>
          </w:p>
        </w:tc>
      </w:tr>
      <w:tr w:rsidR="00125DCB" w:rsidRPr="001455DC" w14:paraId="556F64DD" w14:textId="77777777" w:rsidTr="00125DCB">
        <w:trPr>
          <w:cantSplit/>
        </w:trPr>
        <w:tc>
          <w:tcPr>
            <w:tcW w:w="680" w:type="dxa"/>
          </w:tcPr>
          <w:p w14:paraId="4FA99451" w14:textId="72868EF4" w:rsidR="00125DCB" w:rsidRPr="001455DC" w:rsidRDefault="00125DCB" w:rsidP="0000442A">
            <w:pPr>
              <w:pStyle w:val="Tablebody"/>
              <w:rPr>
                <w:lang w:eastAsia="ja-JP"/>
              </w:rPr>
            </w:pPr>
            <w:r w:rsidRPr="001455DC">
              <w:rPr>
                <w:lang w:eastAsia="ja-JP"/>
              </w:rPr>
              <w:t> </w:t>
            </w:r>
          </w:p>
        </w:tc>
        <w:tc>
          <w:tcPr>
            <w:tcW w:w="8732" w:type="dxa"/>
          </w:tcPr>
          <w:p w14:paraId="37ABD0A0" w14:textId="4353980D" w:rsidR="00125DCB" w:rsidRPr="001455DC" w:rsidRDefault="00125DCB" w:rsidP="00125DCB">
            <w:pPr>
              <w:pStyle w:val="Tablebody"/>
              <w:ind w:left="357" w:hanging="357"/>
              <w:rPr>
                <w:lang w:eastAsia="ja-JP"/>
              </w:rPr>
            </w:pPr>
            <w:r w:rsidRPr="001455DC">
              <w:rPr>
                <w:lang w:eastAsia="ja-JP"/>
              </w:rPr>
              <w:t>—</w:t>
            </w:r>
            <w:r w:rsidRPr="001455DC">
              <w:rPr>
                <w:lang w:eastAsia="ja-JP"/>
              </w:rPr>
              <w:tab/>
            </w:r>
            <w:r w:rsidRPr="001455DC">
              <w:t>1,75 for verification at intermediate supports in continuous bridges,</w:t>
            </w:r>
          </w:p>
        </w:tc>
      </w:tr>
      <w:tr w:rsidR="00125DCB" w:rsidRPr="001455DC" w14:paraId="1986A21B" w14:textId="77777777" w:rsidTr="00125DCB">
        <w:trPr>
          <w:cantSplit/>
        </w:trPr>
        <w:tc>
          <w:tcPr>
            <w:tcW w:w="680" w:type="dxa"/>
          </w:tcPr>
          <w:p w14:paraId="5820D555" w14:textId="435F0228" w:rsidR="00125DCB" w:rsidRPr="001455DC" w:rsidRDefault="00125DCB" w:rsidP="0000442A">
            <w:pPr>
              <w:pStyle w:val="Tablebody"/>
              <w:rPr>
                <w:lang w:eastAsia="ja-JP"/>
              </w:rPr>
            </w:pPr>
            <w:r w:rsidRPr="001455DC">
              <w:rPr>
                <w:lang w:eastAsia="ja-JP"/>
              </w:rPr>
              <w:t> </w:t>
            </w:r>
          </w:p>
        </w:tc>
        <w:tc>
          <w:tcPr>
            <w:tcW w:w="8732" w:type="dxa"/>
          </w:tcPr>
          <w:p w14:paraId="7EA4F637" w14:textId="41DCF459" w:rsidR="00125DCB" w:rsidRPr="001455DC" w:rsidRDefault="00125DCB" w:rsidP="00125DCB">
            <w:pPr>
              <w:pStyle w:val="Tablebody"/>
              <w:ind w:left="357" w:hanging="357"/>
              <w:rPr>
                <w:lang w:eastAsia="ja-JP"/>
              </w:rPr>
            </w:pPr>
            <w:r w:rsidRPr="001455DC">
              <w:rPr>
                <w:lang w:eastAsia="ja-JP"/>
              </w:rPr>
              <w:t>—</w:t>
            </w:r>
            <w:r w:rsidRPr="001455DC">
              <w:rPr>
                <w:lang w:eastAsia="ja-JP"/>
              </w:rPr>
              <w:tab/>
            </w:r>
            <w:r w:rsidRPr="001455DC">
              <w:t>1,40 for verification in other areas.</w:t>
            </w:r>
          </w:p>
        </w:tc>
      </w:tr>
      <w:tr w:rsidR="00125DCB" w:rsidRPr="001455DC" w14:paraId="2F343403" w14:textId="77777777" w:rsidTr="00125DCB">
        <w:trPr>
          <w:cantSplit/>
        </w:trPr>
        <w:tc>
          <w:tcPr>
            <w:tcW w:w="680" w:type="dxa"/>
          </w:tcPr>
          <w:p w14:paraId="45E6572C" w14:textId="55E2014A" w:rsidR="00125DCB" w:rsidRPr="001455DC" w:rsidRDefault="00125DCB" w:rsidP="0000442A">
            <w:pPr>
              <w:pStyle w:val="Tablebody"/>
              <w:rPr>
                <w:lang w:eastAsia="ja-JP"/>
              </w:rPr>
            </w:pPr>
            <w:r w:rsidRPr="001455DC">
              <w:rPr>
                <w:lang w:eastAsia="ja-JP"/>
              </w:rPr>
              <w:t> </w:t>
            </w:r>
          </w:p>
        </w:tc>
        <w:tc>
          <w:tcPr>
            <w:tcW w:w="8732" w:type="dxa"/>
          </w:tcPr>
          <w:p w14:paraId="30AB1AE9" w14:textId="11D91B6F" w:rsidR="00125DCB" w:rsidRPr="001455DC" w:rsidRDefault="00125DCB" w:rsidP="00BB1209">
            <w:pPr>
              <w:pStyle w:val="Tablebody"/>
              <w:rPr>
                <w:lang w:eastAsia="ja-JP"/>
              </w:rPr>
            </w:pPr>
            <w:r w:rsidRPr="001455DC">
              <w:t xml:space="preserve">For railway bridges: load model 71 (and where required SW/0) according to </w:t>
            </w:r>
            <w:r w:rsidR="00B0410C">
              <w:t>pr</w:t>
            </w:r>
            <w:r w:rsidRPr="001455DC">
              <w:t>EN 1991</w:t>
            </w:r>
            <w:r w:rsidRPr="001455DC">
              <w:noBreakHyphen/>
              <w:t>2;</w:t>
            </w:r>
          </w:p>
        </w:tc>
      </w:tr>
      <w:tr w:rsidR="00125DCB" w:rsidRPr="001455DC" w14:paraId="3CB32175" w14:textId="77777777" w:rsidTr="00125DCB">
        <w:trPr>
          <w:cantSplit/>
        </w:trPr>
        <w:tc>
          <w:tcPr>
            <w:tcW w:w="680" w:type="dxa"/>
          </w:tcPr>
          <w:p w14:paraId="11EB2DFB" w14:textId="3BCF49CB" w:rsidR="00125DCB" w:rsidRPr="001455DC" w:rsidRDefault="00125DCB" w:rsidP="0000442A">
            <w:pPr>
              <w:pStyle w:val="Tablebody"/>
              <w:rPr>
                <w:lang w:eastAsia="ja-JP"/>
              </w:rPr>
            </w:pPr>
            <w:r w:rsidRPr="001455DC">
              <w:rPr>
                <w:rStyle w:val="CCMCvariableitalic"/>
              </w:rPr>
              <w:t>λ</w:t>
            </w:r>
            <w:r w:rsidRPr="001455DC">
              <w:rPr>
                <w:rStyle w:val="CCMCvariablesubscript"/>
              </w:rPr>
              <w:t>s</w:t>
            </w:r>
          </w:p>
        </w:tc>
        <w:tc>
          <w:tcPr>
            <w:tcW w:w="8732" w:type="dxa"/>
          </w:tcPr>
          <w:p w14:paraId="064FC131" w14:textId="73CB198D" w:rsidR="00125DCB" w:rsidRPr="001455DC" w:rsidRDefault="00125DCB" w:rsidP="00BB1209">
            <w:pPr>
              <w:pStyle w:val="Tablebody"/>
              <w:rPr>
                <w:lang w:eastAsia="ja-JP"/>
              </w:rPr>
            </w:pPr>
            <w:r w:rsidRPr="001455DC">
              <w:rPr>
                <w:lang w:eastAsia="ja-JP"/>
              </w:rPr>
              <w:t>is the damage equivalent factor for fatigue.</w:t>
            </w:r>
          </w:p>
        </w:tc>
      </w:tr>
    </w:tbl>
    <w:p w14:paraId="01ECAA42" w14:textId="7E677B69" w:rsidR="00125DCB" w:rsidRPr="001455DC" w:rsidRDefault="004E22C1" w:rsidP="00DE6BBC">
      <w:pPr>
        <w:pStyle w:val="a7"/>
        <w:keepNext/>
      </w:pPr>
      <w:r w:rsidRPr="001455DC">
        <w:rPr>
          <w:szCs w:val="19"/>
        </w:rPr>
        <w:t>(2)</w:t>
      </w:r>
      <w:r w:rsidRPr="001455DC">
        <w:rPr>
          <w:szCs w:val="19"/>
        </w:rPr>
        <w:tab/>
      </w:r>
      <w:r w:rsidRPr="001455DC">
        <w:t xml:space="preserve">The correction factor </w:t>
      </w:r>
      <w:r w:rsidRPr="001455DC">
        <w:rPr>
          <w:rStyle w:val="CCMCvariableitalic"/>
        </w:rPr>
        <w:t>λ</w:t>
      </w:r>
      <w:r w:rsidRPr="001455DC">
        <w:rPr>
          <w:rStyle w:val="CCMCvariablesubscript"/>
        </w:rPr>
        <w:t>s</w:t>
      </w:r>
      <w:r w:rsidRPr="001455DC">
        <w:t xml:space="preserve"> reflects the influence of span, annual traffic volume, design service life, multiple lanes/tracks, and may be calculated by Formula (K.2):</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125DCB" w:rsidRPr="001455DC" w14:paraId="322F1EC0" w14:textId="77777777" w:rsidTr="00125DCB">
        <w:trPr>
          <w:cantSplit/>
        </w:trPr>
        <w:tc>
          <w:tcPr>
            <w:tcW w:w="8505" w:type="dxa"/>
            <w:vAlign w:val="center"/>
          </w:tcPr>
          <w:p w14:paraId="6F4C50AF" w14:textId="783AEB1F" w:rsidR="00125DCB" w:rsidRPr="001455DC" w:rsidRDefault="00125DCB" w:rsidP="00125DCB">
            <w:pPr>
              <w:pStyle w:val="Formula"/>
              <w:jc w:val="left"/>
            </w:pPr>
            <w:r w:rsidRPr="001455DC">
              <w:rPr>
                <w:rStyle w:val="CCMCvariableitalic"/>
              </w:rPr>
              <w:t>λ</w:t>
            </w:r>
            <w:r w:rsidRPr="001455DC">
              <w:rPr>
                <w:rStyle w:val="CCMCvariablesubscript"/>
              </w:rPr>
              <w:t>s</w:t>
            </w:r>
            <w:r w:rsidRPr="001455DC">
              <w:t> </w:t>
            </w:r>
            <w:r w:rsidR="00EC27D2" w:rsidRPr="001455DC">
              <w:rPr>
                <w:rFonts w:ascii="Cambria Math" w:hAnsi="Cambria Math"/>
              </w:rPr>
              <w:t>=</w:t>
            </w:r>
            <w:r w:rsidRPr="001455DC">
              <w:t> </w:t>
            </w:r>
            <w:r w:rsidRPr="001455DC">
              <w:rPr>
                <w:rStyle w:val="CCMCvariableitalic"/>
              </w:rPr>
              <w:t>φ</w:t>
            </w:r>
            <w:r w:rsidRPr="001455DC">
              <w:rPr>
                <w:rFonts w:eastAsia="Cambria"/>
                <w:szCs w:val="22"/>
                <w:lang w:eastAsia="ja-JP"/>
              </w:rPr>
              <w:t> </w:t>
            </w:r>
            <w:r w:rsidRPr="001455DC">
              <w:rPr>
                <w:rFonts w:ascii="Cambria Math" w:eastAsia="Cambria" w:hAnsi="Cambria Math" w:cs="Cambria Math"/>
                <w:sz w:val="20"/>
                <w:lang w:eastAsia="ja-JP"/>
              </w:rPr>
              <w:t>⋅</w:t>
            </w:r>
            <w:r w:rsidRPr="001455DC">
              <w:rPr>
                <w:rFonts w:eastAsia="Cambria"/>
                <w:szCs w:val="22"/>
                <w:lang w:eastAsia="ja-JP"/>
              </w:rPr>
              <w:t> </w:t>
            </w:r>
            <w:r w:rsidRPr="001455DC">
              <w:rPr>
                <w:rStyle w:val="CCMCvariableitalic"/>
              </w:rPr>
              <w:t>λ</w:t>
            </w:r>
            <w:r w:rsidRPr="001455DC">
              <w:rPr>
                <w:rStyle w:val="CCMCvariablesubscript"/>
              </w:rPr>
              <w:t>s,1</w:t>
            </w:r>
            <w:r w:rsidRPr="001455DC">
              <w:rPr>
                <w:rFonts w:eastAsia="Cambria"/>
                <w:szCs w:val="22"/>
                <w:lang w:eastAsia="ja-JP"/>
              </w:rPr>
              <w:t> </w:t>
            </w:r>
            <w:r w:rsidRPr="001455DC">
              <w:rPr>
                <w:rFonts w:ascii="Cambria Math" w:eastAsia="Cambria" w:hAnsi="Cambria Math" w:cs="Cambria Math"/>
                <w:sz w:val="20"/>
                <w:lang w:eastAsia="ja-JP"/>
              </w:rPr>
              <w:t>⋅</w:t>
            </w:r>
            <w:r w:rsidRPr="001455DC">
              <w:rPr>
                <w:rFonts w:eastAsia="Cambria"/>
                <w:szCs w:val="22"/>
                <w:lang w:eastAsia="ja-JP"/>
              </w:rPr>
              <w:t> </w:t>
            </w:r>
            <w:r w:rsidRPr="001455DC">
              <w:rPr>
                <w:rStyle w:val="CCMCvariableitalic"/>
              </w:rPr>
              <w:t>λ</w:t>
            </w:r>
            <w:r w:rsidRPr="001455DC">
              <w:rPr>
                <w:rStyle w:val="CCMCvariablesubscript"/>
              </w:rPr>
              <w:t>s,2</w:t>
            </w:r>
            <w:r w:rsidRPr="001455DC">
              <w:rPr>
                <w:rFonts w:eastAsia="Cambria"/>
                <w:szCs w:val="22"/>
                <w:lang w:eastAsia="ja-JP"/>
              </w:rPr>
              <w:t> </w:t>
            </w:r>
            <w:r w:rsidRPr="001455DC">
              <w:rPr>
                <w:rFonts w:ascii="Cambria Math" w:eastAsia="Cambria" w:hAnsi="Cambria Math" w:cs="Cambria Math"/>
                <w:sz w:val="20"/>
                <w:lang w:eastAsia="ja-JP"/>
              </w:rPr>
              <w:t>⋅</w:t>
            </w:r>
            <w:r w:rsidRPr="001455DC">
              <w:rPr>
                <w:rFonts w:eastAsia="Cambria"/>
                <w:szCs w:val="22"/>
                <w:lang w:eastAsia="ja-JP"/>
              </w:rPr>
              <w:t> </w:t>
            </w:r>
            <w:r w:rsidRPr="001455DC">
              <w:rPr>
                <w:rStyle w:val="CCMCvariableitalic"/>
              </w:rPr>
              <w:t>λ</w:t>
            </w:r>
            <w:r w:rsidRPr="001455DC">
              <w:rPr>
                <w:rStyle w:val="CCMCvariablesubscript"/>
              </w:rPr>
              <w:t>s,3</w:t>
            </w:r>
            <w:r w:rsidRPr="001455DC">
              <w:rPr>
                <w:rFonts w:eastAsia="Cambria"/>
                <w:szCs w:val="22"/>
                <w:lang w:eastAsia="ja-JP"/>
              </w:rPr>
              <w:t> </w:t>
            </w:r>
            <w:r w:rsidRPr="001455DC">
              <w:rPr>
                <w:rFonts w:ascii="Cambria Math" w:eastAsia="Cambria" w:hAnsi="Cambria Math" w:cs="Cambria Math"/>
                <w:sz w:val="20"/>
                <w:lang w:eastAsia="ja-JP"/>
              </w:rPr>
              <w:t>⋅</w:t>
            </w:r>
            <w:r w:rsidRPr="001455DC">
              <w:rPr>
                <w:rFonts w:eastAsia="Cambria"/>
                <w:szCs w:val="22"/>
                <w:lang w:eastAsia="ja-JP"/>
              </w:rPr>
              <w:t> </w:t>
            </w:r>
            <w:r w:rsidRPr="001455DC">
              <w:rPr>
                <w:rStyle w:val="CCMCvariableitalic"/>
              </w:rPr>
              <w:t>λ</w:t>
            </w:r>
            <w:r w:rsidRPr="001455DC">
              <w:rPr>
                <w:rStyle w:val="CCMCvariablesubscript"/>
              </w:rPr>
              <w:t>s,4</w:t>
            </w:r>
          </w:p>
        </w:tc>
        <w:tc>
          <w:tcPr>
            <w:tcW w:w="1247" w:type="dxa"/>
            <w:vAlign w:val="center"/>
          </w:tcPr>
          <w:p w14:paraId="5DC037F2" w14:textId="538E1A27" w:rsidR="00125DCB" w:rsidRPr="001455DC" w:rsidRDefault="00125DCB" w:rsidP="00125DCB">
            <w:pPr>
              <w:pStyle w:val="a7"/>
              <w:jc w:val="right"/>
            </w:pPr>
            <w:r w:rsidRPr="001455DC">
              <w:rPr>
                <w:rFonts w:eastAsia="Cambria"/>
                <w:szCs w:val="22"/>
                <w:lang w:eastAsia="ja-JP"/>
              </w:rPr>
              <w:t>(K.2)</w:t>
            </w:r>
          </w:p>
        </w:tc>
      </w:tr>
    </w:tbl>
    <w:p w14:paraId="747FBCF5" w14:textId="5A58653F" w:rsidR="004E22C1" w:rsidRPr="001455DC" w:rsidRDefault="004E22C1"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680"/>
        <w:gridCol w:w="8732"/>
      </w:tblGrid>
      <w:tr w:rsidR="00125DCB" w:rsidRPr="001455DC" w14:paraId="158DAB7A" w14:textId="77777777" w:rsidTr="00125DCB">
        <w:trPr>
          <w:cantSplit/>
        </w:trPr>
        <w:tc>
          <w:tcPr>
            <w:tcW w:w="680" w:type="dxa"/>
          </w:tcPr>
          <w:p w14:paraId="57A1F467" w14:textId="5FDD1E5E" w:rsidR="00125DCB" w:rsidRPr="001455DC" w:rsidRDefault="00125DCB" w:rsidP="00125DCB">
            <w:pPr>
              <w:pStyle w:val="Tablebody"/>
            </w:pPr>
            <w:r w:rsidRPr="001455DC">
              <w:rPr>
                <w:rStyle w:val="CCMCvariableitalic"/>
              </w:rPr>
              <w:t>λ</w:t>
            </w:r>
            <w:r w:rsidRPr="001455DC">
              <w:rPr>
                <w:rStyle w:val="CCMCvariablesubscript"/>
              </w:rPr>
              <w:t>s,1</w:t>
            </w:r>
          </w:p>
        </w:tc>
        <w:tc>
          <w:tcPr>
            <w:tcW w:w="8732" w:type="dxa"/>
          </w:tcPr>
          <w:p w14:paraId="7B2A01A2" w14:textId="72917865" w:rsidR="00125DCB" w:rsidRPr="001455DC" w:rsidRDefault="00125DCB" w:rsidP="00125DCB">
            <w:pPr>
              <w:pStyle w:val="Tablebody"/>
            </w:pPr>
            <w:r w:rsidRPr="001455DC">
              <w:rPr>
                <w:lang w:eastAsia="ja-JP"/>
              </w:rPr>
              <w:t>is a factor accounting for element type (e.g. continuous beam) and takes into account the damaging effect of traffic depending on the critical length of the influence line or area;</w:t>
            </w:r>
          </w:p>
        </w:tc>
      </w:tr>
      <w:tr w:rsidR="00125DCB" w:rsidRPr="001455DC" w14:paraId="469C7F63" w14:textId="77777777" w:rsidTr="00125DCB">
        <w:trPr>
          <w:cantSplit/>
        </w:trPr>
        <w:tc>
          <w:tcPr>
            <w:tcW w:w="680" w:type="dxa"/>
          </w:tcPr>
          <w:p w14:paraId="0F42CB1F" w14:textId="3A60881B" w:rsidR="00125DCB" w:rsidRPr="001455DC" w:rsidRDefault="00125DCB" w:rsidP="00125DCB">
            <w:pPr>
              <w:pStyle w:val="Tablebody"/>
            </w:pPr>
            <w:r w:rsidRPr="001455DC">
              <w:rPr>
                <w:rStyle w:val="CCMCvariableitalic"/>
              </w:rPr>
              <w:t>λ</w:t>
            </w:r>
            <w:r w:rsidRPr="001455DC">
              <w:rPr>
                <w:rStyle w:val="CCMCvariablesubscript"/>
              </w:rPr>
              <w:t>s,2</w:t>
            </w:r>
          </w:p>
        </w:tc>
        <w:tc>
          <w:tcPr>
            <w:tcW w:w="8732" w:type="dxa"/>
          </w:tcPr>
          <w:p w14:paraId="10772A3F" w14:textId="41ED6BB4" w:rsidR="00125DCB" w:rsidRPr="001455DC" w:rsidRDefault="00125DCB" w:rsidP="00125DCB">
            <w:pPr>
              <w:pStyle w:val="Tablebody"/>
            </w:pPr>
            <w:r w:rsidRPr="001455DC">
              <w:rPr>
                <w:lang w:eastAsia="ja-JP"/>
              </w:rPr>
              <w:t>is a factor that takes into account the traffic volume;</w:t>
            </w:r>
          </w:p>
        </w:tc>
      </w:tr>
      <w:tr w:rsidR="00125DCB" w:rsidRPr="001455DC" w14:paraId="7BE74FF1" w14:textId="77777777" w:rsidTr="00125DCB">
        <w:trPr>
          <w:cantSplit/>
        </w:trPr>
        <w:tc>
          <w:tcPr>
            <w:tcW w:w="680" w:type="dxa"/>
          </w:tcPr>
          <w:p w14:paraId="3D316D0D" w14:textId="6EBDBFF0" w:rsidR="00125DCB" w:rsidRPr="001455DC" w:rsidRDefault="00125DCB" w:rsidP="00125DCB">
            <w:pPr>
              <w:pStyle w:val="Tablebody"/>
            </w:pPr>
            <w:r w:rsidRPr="001455DC">
              <w:rPr>
                <w:rStyle w:val="CCMCvariableitalic"/>
              </w:rPr>
              <w:t>λ</w:t>
            </w:r>
            <w:r w:rsidRPr="001455DC">
              <w:rPr>
                <w:rStyle w:val="CCMCvariablesubscript"/>
              </w:rPr>
              <w:t>s,3</w:t>
            </w:r>
          </w:p>
        </w:tc>
        <w:tc>
          <w:tcPr>
            <w:tcW w:w="8732" w:type="dxa"/>
          </w:tcPr>
          <w:p w14:paraId="2C31571A" w14:textId="479F80EF" w:rsidR="00125DCB" w:rsidRPr="001455DC" w:rsidRDefault="00125DCB" w:rsidP="00125DCB">
            <w:pPr>
              <w:pStyle w:val="Tablebody"/>
            </w:pPr>
            <w:r w:rsidRPr="001455DC">
              <w:rPr>
                <w:lang w:eastAsia="ja-JP"/>
              </w:rPr>
              <w:t>is a factor that takes into account the design service life of the bridge;</w:t>
            </w:r>
          </w:p>
        </w:tc>
      </w:tr>
      <w:tr w:rsidR="00125DCB" w:rsidRPr="001455DC" w14:paraId="08607336" w14:textId="77777777" w:rsidTr="00125DCB">
        <w:trPr>
          <w:cantSplit/>
        </w:trPr>
        <w:tc>
          <w:tcPr>
            <w:tcW w:w="680" w:type="dxa"/>
          </w:tcPr>
          <w:p w14:paraId="168A3B14" w14:textId="550CF484" w:rsidR="00125DCB" w:rsidRPr="001455DC" w:rsidRDefault="00125DCB" w:rsidP="00125DCB">
            <w:pPr>
              <w:pStyle w:val="Tablebody"/>
            </w:pPr>
            <w:r w:rsidRPr="001455DC">
              <w:rPr>
                <w:rStyle w:val="CCMCvariableitalic"/>
              </w:rPr>
              <w:t>λ</w:t>
            </w:r>
            <w:r w:rsidRPr="001455DC">
              <w:rPr>
                <w:rStyle w:val="CCMCvariablesubscript"/>
              </w:rPr>
              <w:t>s,4</w:t>
            </w:r>
          </w:p>
        </w:tc>
        <w:tc>
          <w:tcPr>
            <w:tcW w:w="8732" w:type="dxa"/>
          </w:tcPr>
          <w:p w14:paraId="50091B12" w14:textId="2D61A972" w:rsidR="00125DCB" w:rsidRPr="001455DC" w:rsidRDefault="00125DCB" w:rsidP="00125DCB">
            <w:pPr>
              <w:pStyle w:val="Tablebody"/>
            </w:pPr>
            <w:r w:rsidRPr="001455DC">
              <w:rPr>
                <w:lang w:eastAsia="ja-JP"/>
              </w:rPr>
              <w:t>is a factor to be applied when the structural element is loaded by more than one lane/track;</w:t>
            </w:r>
          </w:p>
        </w:tc>
      </w:tr>
      <w:tr w:rsidR="00125DCB" w:rsidRPr="001455DC" w14:paraId="0036D6C6" w14:textId="77777777" w:rsidTr="00125DCB">
        <w:trPr>
          <w:cantSplit/>
        </w:trPr>
        <w:tc>
          <w:tcPr>
            <w:tcW w:w="680" w:type="dxa"/>
          </w:tcPr>
          <w:p w14:paraId="4ED5805F" w14:textId="436F1DD1" w:rsidR="00125DCB" w:rsidRPr="001455DC" w:rsidRDefault="00125DCB" w:rsidP="00125DCB">
            <w:pPr>
              <w:pStyle w:val="Tablebody"/>
            </w:pPr>
            <w:r w:rsidRPr="001455DC">
              <w:rPr>
                <w:rStyle w:val="CCMCvariableitalic"/>
              </w:rPr>
              <w:t>φ</w:t>
            </w:r>
          </w:p>
        </w:tc>
        <w:tc>
          <w:tcPr>
            <w:tcW w:w="8732" w:type="dxa"/>
          </w:tcPr>
          <w:p w14:paraId="6FAAA2DC" w14:textId="28E1B0F1" w:rsidR="00125DCB" w:rsidRPr="001455DC" w:rsidRDefault="00125DCB" w:rsidP="00125DCB">
            <w:pPr>
              <w:pStyle w:val="Tablebody"/>
            </w:pPr>
            <w:r w:rsidRPr="001455DC">
              <w:rPr>
                <w:lang w:eastAsia="ja-JP"/>
              </w:rPr>
              <w:t xml:space="preserve">equals the damage equivalent impact factor </w:t>
            </w:r>
            <w:r w:rsidRPr="001455DC">
              <w:rPr>
                <w:rStyle w:val="CCMCvariableitalic"/>
              </w:rPr>
              <w:t>φ</w:t>
            </w:r>
            <w:r w:rsidRPr="001455DC">
              <w:rPr>
                <w:rStyle w:val="CCMCvariablesubscript"/>
              </w:rPr>
              <w:t>fat</w:t>
            </w:r>
            <w:r w:rsidRPr="001455DC">
              <w:rPr>
                <w:lang w:eastAsia="ja-JP"/>
              </w:rPr>
              <w:t xml:space="preserve"> controlled by the surface roughness</w:t>
            </w:r>
          </w:p>
        </w:tc>
      </w:tr>
    </w:tbl>
    <w:p w14:paraId="7DC23FC9" w14:textId="2CDD400C" w:rsidR="004E22C1" w:rsidRPr="001455DC" w:rsidRDefault="004E22C1" w:rsidP="00125DCB">
      <w:pPr>
        <w:pStyle w:val="a7"/>
      </w:pPr>
      <w:r w:rsidRPr="001455DC">
        <w:t xml:space="preserve">according to </w:t>
      </w:r>
      <w:r w:rsidR="00B0410C">
        <w:t>pr</w:t>
      </w:r>
      <w:r w:rsidRPr="001455DC">
        <w:t>EN 1991</w:t>
      </w:r>
      <w:r w:rsidRPr="001455DC">
        <w:noBreakHyphen/>
        <w:t xml:space="preserve">2, Annex B for road bridges and the dynamic factor </w:t>
      </w:r>
      <w:r w:rsidR="0022067E" w:rsidRPr="001455DC">
        <w:rPr>
          <w:rFonts w:ascii="Cambria Math" w:hAnsi="Cambria Math"/>
        </w:rPr>
        <w:t>𝜙</w:t>
      </w:r>
      <w:r w:rsidRPr="001455DC">
        <w:t xml:space="preserve"> according to </w:t>
      </w:r>
      <w:r w:rsidR="00B0410C">
        <w:t>pr</w:t>
      </w:r>
      <w:r w:rsidRPr="001455DC">
        <w:t>EN 1991</w:t>
      </w:r>
      <w:r w:rsidRPr="001455DC">
        <w:noBreakHyphen/>
        <w:t>2 for railway bridges, respectively.</w:t>
      </w:r>
    </w:p>
    <w:p w14:paraId="2015F423" w14:textId="77777777" w:rsidR="004E22C1" w:rsidRPr="001455DC" w:rsidRDefault="004E22C1" w:rsidP="00125DCB">
      <w:pPr>
        <w:pStyle w:val="a7"/>
      </w:pPr>
      <w:r w:rsidRPr="001455DC">
        <w:t>(3)</w:t>
      </w:r>
      <w:r w:rsidRPr="001455DC">
        <w:tab/>
        <w:t xml:space="preserve">For road bridges </w:t>
      </w:r>
      <w:r w:rsidRPr="001455DC">
        <w:rPr>
          <w:rStyle w:val="CCMCvariableitalic"/>
        </w:rPr>
        <w:t>λ</w:t>
      </w:r>
      <w:r w:rsidRPr="001455DC">
        <w:rPr>
          <w:rStyle w:val="CCMCvariablesubscript"/>
        </w:rPr>
        <w:t>s,1</w:t>
      </w:r>
      <w:r w:rsidRPr="001455DC">
        <w:t xml:space="preserve"> should be determined from Figures K.3 and K.4 to take into account the critical length of the influence line and the shape of </w:t>
      </w:r>
      <w:r w:rsidRPr="001455DC">
        <w:rPr>
          <w:rStyle w:val="CCMCvariableitalic"/>
        </w:rPr>
        <w:t>S</w:t>
      </w:r>
      <w:r w:rsidRPr="001455DC">
        <w:t>-</w:t>
      </w:r>
      <w:r w:rsidRPr="001455DC">
        <w:rPr>
          <w:rStyle w:val="CCMCvariableitalic"/>
        </w:rPr>
        <w:t>N</w:t>
      </w:r>
      <w:r w:rsidRPr="001455DC">
        <w:t>-curve.</w:t>
      </w:r>
    </w:p>
    <w:p w14:paraId="10947D0F" w14:textId="77777777" w:rsidR="004E22C1" w:rsidRPr="001455DC" w:rsidRDefault="004E22C1" w:rsidP="00125DCB">
      <w:pPr>
        <w:pStyle w:val="FigureText"/>
      </w:pPr>
      <w:r w:rsidRPr="001455DC">
        <w:t>Verification in the intermediate support area</w:t>
      </w:r>
    </w:p>
    <w:p w14:paraId="2B8E527C" w14:textId="37532442" w:rsidR="004E22C1" w:rsidRPr="001455DC" w:rsidRDefault="00723CF7" w:rsidP="00125DCB">
      <w:pPr>
        <w:pStyle w:val="FigureImage"/>
        <w:rPr>
          <w:lang w:eastAsia="ja-JP"/>
        </w:rPr>
      </w:pPr>
      <w:r>
        <w:rPr>
          <w:noProof/>
          <w:lang w:eastAsia="en-GB"/>
        </w:rPr>
        <w:fldChar w:fldCharType="begin"/>
      </w:r>
      <w:r>
        <w:rPr>
          <w:noProof/>
          <w:lang w:eastAsia="en-GB"/>
        </w:rPr>
        <w:instrText xml:space="preserve"> INCLUDEPICTURE  "Y:\\STD_MGT\\STDDEL\\PRODUCTION\\etrans\\Download\\Z_FIRST_DEL\\SV\\00250\\00250269\\41_e_dr\\k002.tif"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"Y:\\STD_MGT\\STDDEL\\PRODUCTION\\Standards\\00250\\269\\41_e_dr\\k002.tif"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"Y:\\STD_MGT\\STDDEL\\PRODUCTION\\Standards\\00250\\269\\41_e_dr\\k002.tif"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"Y:\\STD_MGT\\STDDEL\\PRODUCTION\\Standards\\00250\\269\\41_e_dr\\k002.tif"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"Y:\\STD_MGT\\STDDEL\\PRODUCTION\\Standards\\00250\\269\\41_e_dr\\k002.tif"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"Y:\\STD_MGT\\STDDEL\\PRODUCTION\\Standards\\00250\\269\\41_e_dr\\k002.tif"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"C:\\Users\\a.dionysiou\\AppData\\Local\\Temp\\Temp1_00250269_e_20210902.zip.zip\\41_e_dr\\k002.tif"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4A3F7318">
          <v:shape id="_x0000_i1327" type="#_x0000_t75" style="width:302.25pt;height:243pt">
            <v:imagedata r:id="rId624" r:href="rId625"/>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148DEBE9" w14:textId="77777777" w:rsidR="00125DCB" w:rsidRPr="001455DC" w:rsidRDefault="00125DCB" w:rsidP="00DB201D">
      <w:pPr>
        <w:pStyle w:val="KeyTitle"/>
      </w:pPr>
      <w:r w:rsidRPr="001455DC">
        <w:t>Key</w:t>
      </w:r>
    </w:p>
    <w:tbl>
      <w:tblPr>
        <w:tblW w:w="9809" w:type="dxa"/>
        <w:tblLayout w:type="fixed"/>
        <w:tblCellMar>
          <w:left w:w="28" w:type="dxa"/>
          <w:right w:w="28" w:type="dxa"/>
        </w:tblCellMar>
        <w:tblLook w:val="0000" w:firstRow="0" w:lastRow="0" w:firstColumn="0" w:lastColumn="0" w:noHBand="0" w:noVBand="0"/>
      </w:tblPr>
      <w:tblGrid>
        <w:gridCol w:w="397"/>
        <w:gridCol w:w="9412"/>
      </w:tblGrid>
      <w:tr w:rsidR="00125DCB" w:rsidRPr="001455DC" w14:paraId="3E1F1E1A" w14:textId="77777777" w:rsidTr="00125DCB">
        <w:tc>
          <w:tcPr>
            <w:tcW w:w="397" w:type="dxa"/>
            <w:shd w:val="clear" w:color="auto" w:fill="auto"/>
          </w:tcPr>
          <w:p w14:paraId="239FF867" w14:textId="0BF448E2" w:rsidR="00125DCB" w:rsidRPr="001455DC" w:rsidRDefault="00125DCB" w:rsidP="00D86695">
            <w:pPr>
              <w:pStyle w:val="KeyText"/>
              <w:tabs>
                <w:tab w:val="clear" w:pos="346"/>
              </w:tabs>
              <w:ind w:left="0" w:firstLine="0"/>
            </w:pPr>
            <w:r w:rsidRPr="001455DC">
              <w:t>1</w:t>
            </w:r>
          </w:p>
        </w:tc>
        <w:tc>
          <w:tcPr>
            <w:tcW w:w="9412" w:type="dxa"/>
            <w:shd w:val="clear" w:color="auto" w:fill="auto"/>
          </w:tcPr>
          <w:p w14:paraId="4B094815" w14:textId="043B39B4" w:rsidR="00125DCB" w:rsidRPr="001455DC" w:rsidRDefault="00125DCB" w:rsidP="00D86695">
            <w:pPr>
              <w:pStyle w:val="KeyText"/>
              <w:tabs>
                <w:tab w:val="clear" w:pos="346"/>
              </w:tabs>
              <w:ind w:left="0" w:firstLine="0"/>
            </w:pPr>
            <w:r w:rsidRPr="001455DC">
              <w:rPr>
                <w:lang w:eastAsia="ja-JP"/>
              </w:rPr>
              <w:t>couplers</w:t>
            </w:r>
            <w:r w:rsidRPr="001455DC">
              <w:t xml:space="preserve"> for reinforcing steel</w:t>
            </w:r>
          </w:p>
        </w:tc>
      </w:tr>
      <w:tr w:rsidR="00125DCB" w:rsidRPr="001455DC" w14:paraId="6F439798" w14:textId="77777777" w:rsidTr="00125DCB">
        <w:tc>
          <w:tcPr>
            <w:tcW w:w="397" w:type="dxa"/>
            <w:shd w:val="clear" w:color="auto" w:fill="auto"/>
          </w:tcPr>
          <w:p w14:paraId="4AD2A86E" w14:textId="359CCDE2" w:rsidR="00125DCB" w:rsidRPr="001455DC" w:rsidRDefault="00125DCB" w:rsidP="00D86695">
            <w:pPr>
              <w:pStyle w:val="KeyText"/>
              <w:tabs>
                <w:tab w:val="clear" w:pos="346"/>
              </w:tabs>
              <w:ind w:left="0" w:firstLine="0"/>
            </w:pPr>
            <w:r w:rsidRPr="001455DC">
              <w:t>2</w:t>
            </w:r>
          </w:p>
        </w:tc>
        <w:tc>
          <w:tcPr>
            <w:tcW w:w="9412" w:type="dxa"/>
            <w:shd w:val="clear" w:color="auto" w:fill="auto"/>
          </w:tcPr>
          <w:p w14:paraId="0E946DC3" w14:textId="67018458" w:rsidR="00125DCB" w:rsidRPr="001455DC" w:rsidRDefault="00125DCB" w:rsidP="00D86695">
            <w:pPr>
              <w:pStyle w:val="KeyText"/>
              <w:tabs>
                <w:tab w:val="clear" w:pos="346"/>
              </w:tabs>
              <w:ind w:left="0" w:firstLine="0"/>
            </w:pPr>
            <w:r w:rsidRPr="001455DC">
              <w:rPr>
                <w:lang w:eastAsia="ja-JP"/>
              </w:rPr>
              <w:t>curved tendons in steel ducts</w:t>
            </w:r>
          </w:p>
        </w:tc>
      </w:tr>
      <w:tr w:rsidR="00125DCB" w:rsidRPr="001455DC" w14:paraId="0E94D751" w14:textId="77777777" w:rsidTr="00125DCB">
        <w:tc>
          <w:tcPr>
            <w:tcW w:w="397" w:type="dxa"/>
            <w:shd w:val="clear" w:color="auto" w:fill="auto"/>
          </w:tcPr>
          <w:p w14:paraId="2CEFD0A5" w14:textId="5B933164" w:rsidR="00125DCB" w:rsidRPr="001455DC" w:rsidRDefault="00125DCB" w:rsidP="00D86695">
            <w:pPr>
              <w:pStyle w:val="KeyText"/>
              <w:tabs>
                <w:tab w:val="clear" w:pos="346"/>
              </w:tabs>
              <w:ind w:left="0" w:firstLine="0"/>
            </w:pPr>
            <w:r w:rsidRPr="001455DC">
              <w:t>3</w:t>
            </w:r>
          </w:p>
        </w:tc>
        <w:tc>
          <w:tcPr>
            <w:tcW w:w="9412" w:type="dxa"/>
            <w:shd w:val="clear" w:color="auto" w:fill="auto"/>
          </w:tcPr>
          <w:p w14:paraId="0724170C" w14:textId="0E97F3FB" w:rsidR="00125DCB" w:rsidRPr="001455DC" w:rsidRDefault="00125DCB" w:rsidP="00D86695">
            <w:pPr>
              <w:pStyle w:val="KeyText"/>
              <w:tabs>
                <w:tab w:val="clear" w:pos="346"/>
              </w:tabs>
              <w:ind w:left="0" w:firstLine="0"/>
            </w:pPr>
            <w:r w:rsidRPr="001455DC">
              <w:rPr>
                <w:lang w:eastAsia="ja-JP"/>
              </w:rPr>
              <w:t xml:space="preserve">reinforcing steel </w:t>
            </w:r>
            <w:r w:rsidRPr="001455DC">
              <w:t xml:space="preserve">(straight and bent); </w:t>
            </w:r>
            <w:r w:rsidRPr="001455DC">
              <w:rPr>
                <w:lang w:eastAsia="ja-JP"/>
              </w:rPr>
              <w:t>pre-tensioning (all); post-tensioning (strand in plastic ducts or straight tendons in steel ducts)</w:t>
            </w:r>
          </w:p>
        </w:tc>
      </w:tr>
      <w:tr w:rsidR="00125DCB" w:rsidRPr="001455DC" w14:paraId="774D24CA" w14:textId="77777777" w:rsidTr="00125DCB">
        <w:tc>
          <w:tcPr>
            <w:tcW w:w="397" w:type="dxa"/>
            <w:shd w:val="clear" w:color="auto" w:fill="auto"/>
          </w:tcPr>
          <w:p w14:paraId="204D845C" w14:textId="38DA9E73" w:rsidR="00125DCB" w:rsidRPr="001455DC" w:rsidRDefault="00882570" w:rsidP="00D86695">
            <w:pPr>
              <w:pStyle w:val="KeyText"/>
              <w:tabs>
                <w:tab w:val="clear" w:pos="346"/>
              </w:tabs>
              <w:ind w:left="0" w:firstLine="0"/>
            </w:pPr>
            <w:r>
              <w:t>X</w:t>
            </w:r>
          </w:p>
        </w:tc>
        <w:tc>
          <w:tcPr>
            <w:tcW w:w="9412" w:type="dxa"/>
            <w:shd w:val="clear" w:color="auto" w:fill="auto"/>
          </w:tcPr>
          <w:p w14:paraId="58DB7CBC" w14:textId="1A1B444F" w:rsidR="00125DCB" w:rsidRPr="001455DC" w:rsidRDefault="00125DCB" w:rsidP="00D86695">
            <w:pPr>
              <w:pStyle w:val="KeyText"/>
              <w:tabs>
                <w:tab w:val="clear" w:pos="346"/>
              </w:tabs>
              <w:ind w:left="0" w:firstLine="0"/>
            </w:pPr>
            <w:r w:rsidRPr="001455DC">
              <w:rPr>
                <w:lang w:eastAsia="ja-JP"/>
              </w:rPr>
              <w:t>critical length of influence line [m]</w:t>
            </w:r>
          </w:p>
        </w:tc>
      </w:tr>
    </w:tbl>
    <w:p w14:paraId="2154FEEE" w14:textId="77777777" w:rsidR="004E22C1" w:rsidRPr="001455DC" w:rsidRDefault="004E22C1" w:rsidP="00125DCB">
      <w:pPr>
        <w:pStyle w:val="Figurenote"/>
      </w:pPr>
      <w:r w:rsidRPr="001455DC">
        <w:rPr>
          <w:bCs/>
        </w:rPr>
        <w:t>NOTE</w:t>
      </w:r>
      <w:r w:rsidRPr="001455DC">
        <w:rPr>
          <w:bCs/>
        </w:rPr>
        <w:tab/>
      </w:r>
      <w:r w:rsidRPr="001455DC">
        <w:rPr>
          <w:rStyle w:val="CCMCvariableitalic"/>
        </w:rPr>
        <w:t>λ</w:t>
      </w:r>
      <w:r w:rsidRPr="001455DC">
        <w:rPr>
          <w:rStyle w:val="CCMCvariablesubscript"/>
        </w:rPr>
        <w:t>s1</w:t>
      </w:r>
      <w:r w:rsidRPr="001455DC">
        <w:t>-values for intermediate Δ</w:t>
      </w:r>
      <w:r w:rsidRPr="001455DC">
        <w:rPr>
          <w:rStyle w:val="CCMCvariableitalic"/>
        </w:rPr>
        <w:t>σ</w:t>
      </w:r>
      <w:r w:rsidRPr="001455DC">
        <w:rPr>
          <w:rStyle w:val="CCMCvariablesubscript"/>
        </w:rPr>
        <w:t>Rsk</w:t>
      </w:r>
      <w:r w:rsidRPr="001455DC">
        <w:t xml:space="preserve"> can be interpolated.</w:t>
      </w:r>
    </w:p>
    <w:p w14:paraId="54C4BE89" w14:textId="77777777" w:rsidR="004E22C1" w:rsidRPr="001455DC" w:rsidRDefault="004E22C1" w:rsidP="00125DCB">
      <w:pPr>
        <w:pStyle w:val="Figuretitle"/>
      </w:pPr>
      <w:r w:rsidRPr="001455DC">
        <w:t xml:space="preserve">Figure K.2 — </w:t>
      </w:r>
      <w:r w:rsidRPr="001455DC">
        <w:rPr>
          <w:rStyle w:val="CCMCvariableitalic"/>
        </w:rPr>
        <w:t>λ</w:t>
      </w:r>
      <w:r w:rsidRPr="001455DC">
        <w:rPr>
          <w:rStyle w:val="CCMCvariablesubscript"/>
        </w:rPr>
        <w:t>s,1</w:t>
      </w:r>
      <w:r w:rsidRPr="001455DC">
        <w:t xml:space="preserve"> value for fatigue verification in the intermediate support area of road bridges</w:t>
      </w:r>
    </w:p>
    <w:p w14:paraId="0FBB2746" w14:textId="77777777" w:rsidR="004E22C1" w:rsidRPr="001455DC" w:rsidRDefault="004E22C1" w:rsidP="00125DCB">
      <w:pPr>
        <w:pStyle w:val="FigureText"/>
      </w:pPr>
      <w:r w:rsidRPr="001455DC">
        <w:t>Verification in span and for carriageway slab</w:t>
      </w:r>
    </w:p>
    <w:p w14:paraId="19DE5DB5" w14:textId="7C336051" w:rsidR="004E22C1" w:rsidRPr="001455DC" w:rsidRDefault="00723CF7" w:rsidP="00125DCB">
      <w:pPr>
        <w:pStyle w:val="FigureImage"/>
        <w:rPr>
          <w:lang w:eastAsia="ja-JP"/>
        </w:rPr>
      </w:pPr>
      <w:r>
        <w:rPr>
          <w:noProof/>
          <w:lang w:eastAsia="en-GB"/>
        </w:rPr>
        <w:fldChar w:fldCharType="begin"/>
      </w:r>
      <w:r>
        <w:rPr>
          <w:noProof/>
          <w:lang w:eastAsia="en-GB"/>
        </w:rPr>
        <w:instrText xml:space="preserve"> INCLUDEPICTURE  "Y:\\STD_MGT\\STDDEL\\PRODUCTION\\etrans\\Download\\Z_FIRST_DEL\\SV\\00250\\00250269\\41_e_dr\\k003.tif"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"Y:\\STD_MGT\\STDDEL\\PRODUCTION\\Standards\\00250\\269\\41_e_dr\\k003.tif"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"Y:\\STD_MGT\\STDDEL\\PRODUCTION\\Standards\\00250\\269\\41_e_dr\\k003.tif"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"Y:\\STD_MGT\\STDDEL\\PRODUCTION\\Standards\\00250\\269\\41_e_dr\\k003.tif"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"Y:\\STD_MGT\\STDDEL\\PRODUCTION\\Standards\\00250\\269\\41_e_dr\\k003.tif"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"Y:\\STD_MGT\\STDDEL\\PRODUCTION\\Standards\\00250\\269\\41_e_dr\\k003.tif"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"C:\\Users\\a.dionysiou\\AppData\\Local\\Temp\\Temp1_00250269_e_20210902.zip.zip\\41_e_dr\\k003.tif"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7F2F2E9D">
          <v:shape id="_x0000_i1328" type="#_x0000_t75" style="width:317.25pt;height:255pt">
            <v:imagedata r:id="rId626" r:href="rId627"/>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6A85291A" w14:textId="77777777" w:rsidR="00125DCB" w:rsidRPr="001455DC" w:rsidRDefault="00125DCB" w:rsidP="00125DCB">
      <w:pPr>
        <w:pStyle w:val="KeyTitle"/>
      </w:pPr>
      <w:r w:rsidRPr="001455DC">
        <w:t>Key</w:t>
      </w:r>
    </w:p>
    <w:tbl>
      <w:tblPr>
        <w:tblW w:w="9810" w:type="dxa"/>
        <w:tblLayout w:type="fixed"/>
        <w:tblCellMar>
          <w:left w:w="28" w:type="dxa"/>
          <w:right w:w="28" w:type="dxa"/>
        </w:tblCellMar>
        <w:tblLook w:val="0000" w:firstRow="0" w:lastRow="0" w:firstColumn="0" w:lastColumn="0" w:noHBand="0" w:noVBand="0"/>
      </w:tblPr>
      <w:tblGrid>
        <w:gridCol w:w="397"/>
        <w:gridCol w:w="4508"/>
        <w:gridCol w:w="397"/>
        <w:gridCol w:w="4508"/>
      </w:tblGrid>
      <w:tr w:rsidR="00125DCB" w:rsidRPr="001455DC" w14:paraId="1C12065D" w14:textId="77777777" w:rsidTr="00125DCB">
        <w:tc>
          <w:tcPr>
            <w:tcW w:w="397" w:type="dxa"/>
            <w:shd w:val="clear" w:color="auto" w:fill="auto"/>
          </w:tcPr>
          <w:p w14:paraId="1186C302" w14:textId="5EB4D427" w:rsidR="00125DCB" w:rsidRPr="001455DC" w:rsidRDefault="00125DCB" w:rsidP="00125DCB">
            <w:pPr>
              <w:pStyle w:val="KeyText"/>
              <w:tabs>
                <w:tab w:val="clear" w:pos="346"/>
              </w:tabs>
              <w:ind w:left="0" w:firstLine="0"/>
            </w:pPr>
            <w:r w:rsidRPr="001455DC">
              <w:t>1)</w:t>
            </w:r>
          </w:p>
        </w:tc>
        <w:tc>
          <w:tcPr>
            <w:tcW w:w="4508" w:type="dxa"/>
            <w:shd w:val="clear" w:color="auto" w:fill="auto"/>
          </w:tcPr>
          <w:p w14:paraId="2FEC2579" w14:textId="1BDA5B8C" w:rsidR="00125DCB" w:rsidRPr="001455DC" w:rsidRDefault="00125DCB" w:rsidP="00125DCB">
            <w:pPr>
              <w:pStyle w:val="KeyText"/>
              <w:tabs>
                <w:tab w:val="clear" w:pos="346"/>
              </w:tabs>
              <w:ind w:left="0" w:firstLine="0"/>
              <w:jc w:val="left"/>
            </w:pPr>
            <w:r w:rsidRPr="001455DC">
              <w:rPr>
                <w:lang w:eastAsia="ja-JP"/>
              </w:rPr>
              <w:t>couplers</w:t>
            </w:r>
            <w:r w:rsidRPr="001455DC">
              <w:t xml:space="preserve"> for reinforcing steel</w:t>
            </w:r>
          </w:p>
        </w:tc>
        <w:tc>
          <w:tcPr>
            <w:tcW w:w="397" w:type="dxa"/>
            <w:shd w:val="clear" w:color="auto" w:fill="auto"/>
          </w:tcPr>
          <w:p w14:paraId="11665B91" w14:textId="7D524FC6" w:rsidR="00125DCB" w:rsidRPr="001455DC" w:rsidRDefault="00125DCB" w:rsidP="00125DCB">
            <w:pPr>
              <w:pStyle w:val="KeyText"/>
              <w:tabs>
                <w:tab w:val="clear" w:pos="346"/>
              </w:tabs>
              <w:ind w:left="0" w:firstLine="0"/>
            </w:pPr>
            <w:r w:rsidRPr="001455DC">
              <w:t>a)</w:t>
            </w:r>
          </w:p>
        </w:tc>
        <w:tc>
          <w:tcPr>
            <w:tcW w:w="4508" w:type="dxa"/>
            <w:shd w:val="clear" w:color="auto" w:fill="auto"/>
          </w:tcPr>
          <w:p w14:paraId="79F3E12A" w14:textId="34845785" w:rsidR="00125DCB" w:rsidRPr="001455DC" w:rsidRDefault="00125DCB" w:rsidP="00125DCB">
            <w:pPr>
              <w:pStyle w:val="KeyText"/>
              <w:tabs>
                <w:tab w:val="clear" w:pos="346"/>
              </w:tabs>
              <w:ind w:left="0" w:firstLine="0"/>
            </w:pPr>
            <w:r w:rsidRPr="001455DC">
              <w:rPr>
                <w:lang w:eastAsia="ja-JP"/>
              </w:rPr>
              <w:t>continuous beam</w:t>
            </w:r>
          </w:p>
        </w:tc>
      </w:tr>
      <w:tr w:rsidR="00125DCB" w:rsidRPr="001455DC" w14:paraId="0C533A45" w14:textId="77777777" w:rsidTr="00125DCB">
        <w:tc>
          <w:tcPr>
            <w:tcW w:w="397" w:type="dxa"/>
            <w:shd w:val="clear" w:color="auto" w:fill="auto"/>
          </w:tcPr>
          <w:p w14:paraId="7A8AEC3B" w14:textId="43CD0DD7" w:rsidR="00125DCB" w:rsidRPr="001455DC" w:rsidRDefault="00125DCB" w:rsidP="00125DCB">
            <w:pPr>
              <w:pStyle w:val="KeyText"/>
              <w:tabs>
                <w:tab w:val="clear" w:pos="346"/>
              </w:tabs>
              <w:ind w:left="0" w:firstLine="0"/>
            </w:pPr>
            <w:r w:rsidRPr="001455DC">
              <w:t>2)</w:t>
            </w:r>
          </w:p>
        </w:tc>
        <w:tc>
          <w:tcPr>
            <w:tcW w:w="4508" w:type="dxa"/>
            <w:shd w:val="clear" w:color="auto" w:fill="auto"/>
          </w:tcPr>
          <w:p w14:paraId="1893A484" w14:textId="3D405DB8" w:rsidR="00125DCB" w:rsidRPr="001455DC" w:rsidRDefault="00125DCB" w:rsidP="00125DCB">
            <w:pPr>
              <w:pStyle w:val="KeyText"/>
              <w:tabs>
                <w:tab w:val="clear" w:pos="346"/>
              </w:tabs>
              <w:ind w:left="0" w:firstLine="0"/>
              <w:jc w:val="left"/>
            </w:pPr>
            <w:r w:rsidRPr="001455DC">
              <w:rPr>
                <w:lang w:eastAsia="ja-JP"/>
              </w:rPr>
              <w:t>curved tendons in steel ducts</w:t>
            </w:r>
          </w:p>
        </w:tc>
        <w:tc>
          <w:tcPr>
            <w:tcW w:w="397" w:type="dxa"/>
            <w:shd w:val="clear" w:color="auto" w:fill="auto"/>
          </w:tcPr>
          <w:p w14:paraId="731B1BB7" w14:textId="6AA5C62B" w:rsidR="00125DCB" w:rsidRPr="001455DC" w:rsidRDefault="00125DCB" w:rsidP="00125DCB">
            <w:pPr>
              <w:pStyle w:val="KeyText"/>
              <w:tabs>
                <w:tab w:val="clear" w:pos="346"/>
              </w:tabs>
              <w:ind w:left="0" w:firstLine="0"/>
            </w:pPr>
            <w:r w:rsidRPr="001455DC">
              <w:t>b)</w:t>
            </w:r>
          </w:p>
        </w:tc>
        <w:tc>
          <w:tcPr>
            <w:tcW w:w="4508" w:type="dxa"/>
            <w:shd w:val="clear" w:color="auto" w:fill="auto"/>
          </w:tcPr>
          <w:p w14:paraId="3E959A74" w14:textId="77FAEC4E" w:rsidR="00125DCB" w:rsidRPr="001455DC" w:rsidRDefault="00125DCB" w:rsidP="00125DCB">
            <w:pPr>
              <w:pStyle w:val="KeyText"/>
              <w:tabs>
                <w:tab w:val="clear" w:pos="346"/>
              </w:tabs>
              <w:ind w:left="0" w:firstLine="0"/>
            </w:pPr>
            <w:r w:rsidRPr="001455DC">
              <w:rPr>
                <w:lang w:eastAsia="ja-JP"/>
              </w:rPr>
              <w:t>single span beam</w:t>
            </w:r>
          </w:p>
        </w:tc>
      </w:tr>
      <w:tr w:rsidR="00125DCB" w:rsidRPr="001455DC" w14:paraId="567D9AD4" w14:textId="77777777" w:rsidTr="00125DCB">
        <w:tc>
          <w:tcPr>
            <w:tcW w:w="397" w:type="dxa"/>
            <w:shd w:val="clear" w:color="auto" w:fill="auto"/>
          </w:tcPr>
          <w:p w14:paraId="6FEF32A5" w14:textId="7E8022A2" w:rsidR="00125DCB" w:rsidRPr="001455DC" w:rsidRDefault="00125DCB" w:rsidP="00125DCB">
            <w:pPr>
              <w:pStyle w:val="KeyText"/>
              <w:tabs>
                <w:tab w:val="clear" w:pos="346"/>
              </w:tabs>
              <w:ind w:left="0" w:firstLine="0"/>
            </w:pPr>
            <w:r w:rsidRPr="001455DC">
              <w:t>3)</w:t>
            </w:r>
          </w:p>
        </w:tc>
        <w:tc>
          <w:tcPr>
            <w:tcW w:w="4508" w:type="dxa"/>
            <w:shd w:val="clear" w:color="auto" w:fill="auto"/>
          </w:tcPr>
          <w:p w14:paraId="6A466C26" w14:textId="416ED567" w:rsidR="00125DCB" w:rsidRPr="001455DC" w:rsidRDefault="00125DCB" w:rsidP="00125DCB">
            <w:pPr>
              <w:pStyle w:val="KeyText"/>
              <w:tabs>
                <w:tab w:val="clear" w:pos="346"/>
              </w:tabs>
              <w:ind w:left="0" w:firstLine="0"/>
              <w:jc w:val="left"/>
            </w:pPr>
            <w:r w:rsidRPr="001455DC">
              <w:rPr>
                <w:lang w:eastAsia="ja-JP"/>
              </w:rPr>
              <w:t xml:space="preserve">reinforcing steel </w:t>
            </w:r>
            <w:r w:rsidRPr="001455DC">
              <w:t xml:space="preserve">(straight and bent); </w:t>
            </w:r>
            <w:r w:rsidRPr="001455DC">
              <w:rPr>
                <w:lang w:eastAsia="ja-JP"/>
              </w:rPr>
              <w:t>pre-tensioning (all); post-tensioning (strand in plastic ducts or straight tendons in steel ducts)</w:t>
            </w:r>
          </w:p>
        </w:tc>
        <w:tc>
          <w:tcPr>
            <w:tcW w:w="397" w:type="dxa"/>
            <w:shd w:val="clear" w:color="auto" w:fill="auto"/>
          </w:tcPr>
          <w:p w14:paraId="2AAFD834" w14:textId="294B4203" w:rsidR="00125DCB" w:rsidRPr="001455DC" w:rsidRDefault="00125DCB" w:rsidP="00125DCB">
            <w:pPr>
              <w:pStyle w:val="KeyText"/>
              <w:tabs>
                <w:tab w:val="clear" w:pos="346"/>
              </w:tabs>
              <w:ind w:left="0" w:firstLine="0"/>
            </w:pPr>
            <w:r w:rsidRPr="001455DC">
              <w:t>c)</w:t>
            </w:r>
          </w:p>
        </w:tc>
        <w:tc>
          <w:tcPr>
            <w:tcW w:w="4508" w:type="dxa"/>
            <w:shd w:val="clear" w:color="auto" w:fill="auto"/>
          </w:tcPr>
          <w:p w14:paraId="4676CC04" w14:textId="170DEE83" w:rsidR="00125DCB" w:rsidRPr="001455DC" w:rsidRDefault="00125DCB" w:rsidP="00125DCB">
            <w:pPr>
              <w:pStyle w:val="KeyText"/>
              <w:tabs>
                <w:tab w:val="clear" w:pos="346"/>
              </w:tabs>
              <w:ind w:left="0" w:firstLine="0"/>
            </w:pPr>
            <w:r w:rsidRPr="001455DC">
              <w:rPr>
                <w:lang w:eastAsia="ja-JP"/>
              </w:rPr>
              <w:t>carriageway slab</w:t>
            </w:r>
          </w:p>
        </w:tc>
      </w:tr>
      <w:tr w:rsidR="00125DCB" w:rsidRPr="001455DC" w14:paraId="394CDF4B" w14:textId="77777777" w:rsidTr="00125DCB">
        <w:tc>
          <w:tcPr>
            <w:tcW w:w="397" w:type="dxa"/>
            <w:shd w:val="clear" w:color="auto" w:fill="auto"/>
          </w:tcPr>
          <w:p w14:paraId="2BA9AE01" w14:textId="47770340" w:rsidR="00125DCB" w:rsidRPr="001455DC" w:rsidRDefault="00125DCB" w:rsidP="00125DCB">
            <w:pPr>
              <w:pStyle w:val="KeyText"/>
              <w:tabs>
                <w:tab w:val="clear" w:pos="346"/>
              </w:tabs>
              <w:ind w:left="0" w:firstLine="0"/>
            </w:pPr>
            <w:r w:rsidRPr="001455DC">
              <w:t>4)</w:t>
            </w:r>
          </w:p>
        </w:tc>
        <w:tc>
          <w:tcPr>
            <w:tcW w:w="4508" w:type="dxa"/>
            <w:shd w:val="clear" w:color="auto" w:fill="auto"/>
          </w:tcPr>
          <w:p w14:paraId="20FE60AA" w14:textId="23F872EA" w:rsidR="00125DCB" w:rsidRPr="001455DC" w:rsidRDefault="00125DCB" w:rsidP="00125DCB">
            <w:pPr>
              <w:pStyle w:val="KeyText"/>
              <w:tabs>
                <w:tab w:val="clear" w:pos="346"/>
              </w:tabs>
              <w:ind w:left="0" w:firstLine="0"/>
              <w:jc w:val="left"/>
            </w:pPr>
            <w:r w:rsidRPr="001455DC">
              <w:rPr>
                <w:lang w:eastAsia="ja-JP"/>
              </w:rPr>
              <w:t>shear reinforcement</w:t>
            </w:r>
          </w:p>
        </w:tc>
        <w:tc>
          <w:tcPr>
            <w:tcW w:w="397" w:type="dxa"/>
            <w:shd w:val="clear" w:color="auto" w:fill="auto"/>
          </w:tcPr>
          <w:p w14:paraId="59CF2BF4" w14:textId="7BDE46C6" w:rsidR="00125DCB" w:rsidRPr="001455DC" w:rsidRDefault="00125DCB" w:rsidP="00125DCB">
            <w:pPr>
              <w:pStyle w:val="KeyText"/>
              <w:tabs>
                <w:tab w:val="clear" w:pos="346"/>
              </w:tabs>
              <w:ind w:left="0" w:firstLine="0"/>
            </w:pPr>
          </w:p>
        </w:tc>
        <w:tc>
          <w:tcPr>
            <w:tcW w:w="4508" w:type="dxa"/>
            <w:shd w:val="clear" w:color="auto" w:fill="auto"/>
          </w:tcPr>
          <w:p w14:paraId="278520ED" w14:textId="194E1D35" w:rsidR="00125DCB" w:rsidRPr="001455DC" w:rsidRDefault="00125DCB" w:rsidP="00125DCB">
            <w:pPr>
              <w:pStyle w:val="KeyText"/>
              <w:tabs>
                <w:tab w:val="clear" w:pos="346"/>
              </w:tabs>
              <w:ind w:left="0" w:firstLine="0"/>
            </w:pPr>
          </w:p>
        </w:tc>
      </w:tr>
      <w:tr w:rsidR="00952678" w:rsidRPr="001455DC" w14:paraId="370F61D7" w14:textId="77777777" w:rsidTr="00125DCB">
        <w:tc>
          <w:tcPr>
            <w:tcW w:w="397" w:type="dxa"/>
            <w:shd w:val="clear" w:color="auto" w:fill="auto"/>
          </w:tcPr>
          <w:p w14:paraId="2CAE599B" w14:textId="2F87EA79" w:rsidR="00952678" w:rsidRPr="001455DC" w:rsidRDefault="00952678" w:rsidP="00952678">
            <w:pPr>
              <w:pStyle w:val="KeyText"/>
              <w:tabs>
                <w:tab w:val="clear" w:pos="346"/>
              </w:tabs>
              <w:ind w:left="0" w:firstLine="0"/>
            </w:pPr>
            <w:r>
              <w:t>X</w:t>
            </w:r>
          </w:p>
        </w:tc>
        <w:tc>
          <w:tcPr>
            <w:tcW w:w="4508" w:type="dxa"/>
            <w:shd w:val="clear" w:color="auto" w:fill="auto"/>
          </w:tcPr>
          <w:p w14:paraId="37B06660" w14:textId="0C3AF7CE" w:rsidR="00952678" w:rsidRPr="001455DC" w:rsidRDefault="00952678" w:rsidP="00952678">
            <w:pPr>
              <w:pStyle w:val="KeyText"/>
              <w:tabs>
                <w:tab w:val="clear" w:pos="346"/>
              </w:tabs>
              <w:ind w:left="0" w:firstLine="0"/>
              <w:jc w:val="left"/>
              <w:rPr>
                <w:lang w:eastAsia="ja-JP"/>
              </w:rPr>
            </w:pPr>
            <w:r w:rsidRPr="001455DC">
              <w:rPr>
                <w:lang w:eastAsia="ja-JP"/>
              </w:rPr>
              <w:t>critical length of influence line [m]</w:t>
            </w:r>
          </w:p>
        </w:tc>
        <w:tc>
          <w:tcPr>
            <w:tcW w:w="397" w:type="dxa"/>
            <w:shd w:val="clear" w:color="auto" w:fill="auto"/>
          </w:tcPr>
          <w:p w14:paraId="05544D44" w14:textId="77777777" w:rsidR="00952678" w:rsidRPr="001455DC" w:rsidDel="00952678" w:rsidRDefault="00952678" w:rsidP="00952678">
            <w:pPr>
              <w:pStyle w:val="KeyText"/>
              <w:tabs>
                <w:tab w:val="clear" w:pos="346"/>
              </w:tabs>
              <w:ind w:left="0" w:firstLine="0"/>
            </w:pPr>
          </w:p>
        </w:tc>
        <w:tc>
          <w:tcPr>
            <w:tcW w:w="4508" w:type="dxa"/>
            <w:shd w:val="clear" w:color="auto" w:fill="auto"/>
          </w:tcPr>
          <w:p w14:paraId="0E24DBC2" w14:textId="77777777" w:rsidR="00952678" w:rsidRPr="001455DC" w:rsidRDefault="00952678" w:rsidP="00952678">
            <w:pPr>
              <w:pStyle w:val="KeyText"/>
              <w:tabs>
                <w:tab w:val="clear" w:pos="346"/>
              </w:tabs>
              <w:ind w:left="0" w:firstLine="0"/>
              <w:rPr>
                <w:lang w:eastAsia="ja-JP"/>
              </w:rPr>
            </w:pPr>
          </w:p>
        </w:tc>
      </w:tr>
      <w:tr w:rsidR="00952678" w:rsidRPr="001455DC" w14:paraId="3130BBC6" w14:textId="77777777" w:rsidTr="00125DCB">
        <w:tc>
          <w:tcPr>
            <w:tcW w:w="397" w:type="dxa"/>
            <w:shd w:val="clear" w:color="auto" w:fill="auto"/>
          </w:tcPr>
          <w:p w14:paraId="4B5922F3" w14:textId="2F0DD25A" w:rsidR="00952678" w:rsidRPr="001455DC" w:rsidRDefault="00952678" w:rsidP="00952678">
            <w:pPr>
              <w:pStyle w:val="KeyText"/>
              <w:tabs>
                <w:tab w:val="clear" w:pos="346"/>
              </w:tabs>
              <w:ind w:left="0" w:firstLine="0"/>
            </w:pPr>
            <w:r>
              <w:t>Y</w:t>
            </w:r>
          </w:p>
        </w:tc>
        <w:tc>
          <w:tcPr>
            <w:tcW w:w="4508" w:type="dxa"/>
            <w:shd w:val="clear" w:color="auto" w:fill="auto"/>
          </w:tcPr>
          <w:p w14:paraId="359EB366" w14:textId="720F1D3D" w:rsidR="00952678" w:rsidRPr="001455DC" w:rsidRDefault="00952678" w:rsidP="00952678">
            <w:pPr>
              <w:pStyle w:val="KeyText"/>
              <w:tabs>
                <w:tab w:val="clear" w:pos="346"/>
              </w:tabs>
              <w:ind w:left="0" w:firstLine="0"/>
              <w:jc w:val="left"/>
              <w:rPr>
                <w:lang w:eastAsia="ja-JP"/>
              </w:rPr>
            </w:pPr>
            <w:r w:rsidRPr="001455DC">
              <w:rPr>
                <w:rStyle w:val="CCMCvariableitalic"/>
              </w:rPr>
              <w:t>λ</w:t>
            </w:r>
            <w:r w:rsidRPr="001455DC">
              <w:rPr>
                <w:rStyle w:val="CCMCvariablesubscript"/>
              </w:rPr>
              <w:t>s1</w:t>
            </w:r>
          </w:p>
        </w:tc>
        <w:tc>
          <w:tcPr>
            <w:tcW w:w="397" w:type="dxa"/>
            <w:shd w:val="clear" w:color="auto" w:fill="auto"/>
          </w:tcPr>
          <w:p w14:paraId="245511D8" w14:textId="77777777" w:rsidR="00952678" w:rsidRPr="001455DC" w:rsidDel="00952678" w:rsidRDefault="00952678" w:rsidP="00952678">
            <w:pPr>
              <w:pStyle w:val="KeyText"/>
              <w:tabs>
                <w:tab w:val="clear" w:pos="346"/>
              </w:tabs>
              <w:ind w:left="0" w:firstLine="0"/>
            </w:pPr>
          </w:p>
        </w:tc>
        <w:tc>
          <w:tcPr>
            <w:tcW w:w="4508" w:type="dxa"/>
            <w:shd w:val="clear" w:color="auto" w:fill="auto"/>
          </w:tcPr>
          <w:p w14:paraId="6E9A5160" w14:textId="77777777" w:rsidR="00952678" w:rsidRPr="001455DC" w:rsidRDefault="00952678" w:rsidP="00952678">
            <w:pPr>
              <w:pStyle w:val="KeyText"/>
              <w:tabs>
                <w:tab w:val="clear" w:pos="346"/>
              </w:tabs>
              <w:ind w:left="0" w:firstLine="0"/>
              <w:rPr>
                <w:lang w:eastAsia="ja-JP"/>
              </w:rPr>
            </w:pPr>
          </w:p>
        </w:tc>
      </w:tr>
    </w:tbl>
    <w:p w14:paraId="4B53825F" w14:textId="5E081FBB" w:rsidR="004E22C1" w:rsidRPr="001455DC" w:rsidRDefault="004E22C1" w:rsidP="00125DCB">
      <w:pPr>
        <w:pStyle w:val="Figurenote"/>
      </w:pPr>
      <w:r w:rsidRPr="001455DC">
        <w:rPr>
          <w:bCs/>
        </w:rPr>
        <w:t>NOTE</w:t>
      </w:r>
      <w:r w:rsidRPr="001455DC">
        <w:rPr>
          <w:bCs/>
        </w:rPr>
        <w:tab/>
      </w:r>
      <w:r w:rsidRPr="001455DC">
        <w:rPr>
          <w:rStyle w:val="CCMCvariableitalic"/>
        </w:rPr>
        <w:t>λ</w:t>
      </w:r>
      <w:r w:rsidRPr="001455DC">
        <w:rPr>
          <w:rStyle w:val="CCMCvariablesubscript"/>
        </w:rPr>
        <w:t>s1</w:t>
      </w:r>
      <w:r w:rsidRPr="001455DC">
        <w:t>-values for intermediate Δ</w:t>
      </w:r>
      <w:r w:rsidRPr="001455DC">
        <w:rPr>
          <w:rStyle w:val="CCMCvariableitalic"/>
        </w:rPr>
        <w:t>σ</w:t>
      </w:r>
      <w:r w:rsidRPr="001455DC">
        <w:rPr>
          <w:rStyle w:val="CCMCvariablesubscript"/>
        </w:rPr>
        <w:t>Rsk</w:t>
      </w:r>
      <w:r w:rsidRPr="001455DC">
        <w:t xml:space="preserve"> can be interpolated.</w:t>
      </w:r>
    </w:p>
    <w:p w14:paraId="5DBD5332" w14:textId="77777777" w:rsidR="004E22C1" w:rsidRPr="001455DC" w:rsidRDefault="004E22C1" w:rsidP="00125DCB">
      <w:pPr>
        <w:pStyle w:val="Figuretitle"/>
      </w:pPr>
      <w:r w:rsidRPr="001455DC">
        <w:t xml:space="preserve">Figure K.3 — </w:t>
      </w:r>
      <w:r w:rsidRPr="001455DC">
        <w:rPr>
          <w:rStyle w:val="CCMCvariableitalic"/>
        </w:rPr>
        <w:t>λ</w:t>
      </w:r>
      <w:r w:rsidRPr="001455DC">
        <w:rPr>
          <w:rStyle w:val="CCMCvariablesubscript"/>
        </w:rPr>
        <w:t>s,1</w:t>
      </w:r>
      <w:r w:rsidRPr="001455DC">
        <w:t xml:space="preserve"> value for fatigue verification in span and for local elements of road bridges</w:t>
      </w:r>
    </w:p>
    <w:p w14:paraId="432D9974" w14:textId="77777777" w:rsidR="004E22C1" w:rsidRPr="001455DC" w:rsidRDefault="004E22C1" w:rsidP="00125DCB">
      <w:pPr>
        <w:pStyle w:val="a7"/>
      </w:pPr>
      <w:r w:rsidRPr="001455DC">
        <w:t>(4)</w:t>
      </w:r>
      <w:r w:rsidRPr="001455DC">
        <w:tab/>
        <w:t xml:space="preserve">For railway bridges, </w:t>
      </w:r>
      <w:r w:rsidRPr="001455DC">
        <w:rPr>
          <w:rStyle w:val="CCMCvariableitalic"/>
        </w:rPr>
        <w:t>λ</w:t>
      </w:r>
      <w:r w:rsidRPr="001455DC">
        <w:rPr>
          <w:rStyle w:val="CCMCvariablesubscript"/>
        </w:rPr>
        <w:t>s,1</w:t>
      </w:r>
      <w:r w:rsidRPr="001455DC">
        <w:t xml:space="preserve"> accounts for the critical length of the influence line and the traffic mix. The values of </w:t>
      </w:r>
      <w:r w:rsidRPr="001455DC">
        <w:rPr>
          <w:rStyle w:val="CCMCvariableitalic"/>
        </w:rPr>
        <w:t>λ</w:t>
      </w:r>
      <w:r w:rsidRPr="001455DC">
        <w:rPr>
          <w:rStyle w:val="CCMCvariablesubscript"/>
        </w:rPr>
        <w:t>s,1</w:t>
      </w:r>
      <w:r w:rsidRPr="001455DC">
        <w:t xml:space="preserve"> for standard traffic mix and heavy traffic mix may be taken from Table K.1. The values have been calculated on the basis of a constant ratio of bending moments to stress ranges.</w:t>
      </w:r>
    </w:p>
    <w:p w14:paraId="4764CD62" w14:textId="6D3E8CFE" w:rsidR="004E22C1" w:rsidRPr="001455DC" w:rsidRDefault="004E22C1" w:rsidP="00125DCB">
      <w:pPr>
        <w:pStyle w:val="a7"/>
      </w:pPr>
      <w:r w:rsidRPr="001455DC">
        <w:t xml:space="preserve">The values given for mixed traffic correspond to the combination of train types given in Annex F of </w:t>
      </w:r>
      <w:r w:rsidR="00B0410C">
        <w:t>pr</w:t>
      </w:r>
      <w:r w:rsidRPr="001455DC">
        <w:t>EN 1991</w:t>
      </w:r>
      <w:r w:rsidRPr="001455DC">
        <w:noBreakHyphen/>
        <w:t>2.</w:t>
      </w:r>
    </w:p>
    <w:p w14:paraId="78B63A26" w14:textId="77777777" w:rsidR="00125DCB" w:rsidRPr="001455DC" w:rsidRDefault="004E22C1" w:rsidP="00125DCB">
      <w:pPr>
        <w:pStyle w:val="a7"/>
      </w:pPr>
      <w:r w:rsidRPr="001455DC">
        <w:rPr>
          <w:lang w:eastAsia="ja-JP"/>
        </w:rPr>
        <w:t xml:space="preserve">Values of </w:t>
      </w:r>
      <w:r w:rsidRPr="001455DC">
        <w:rPr>
          <w:rStyle w:val="CCMCvariableitalic"/>
        </w:rPr>
        <w:t>λ</w:t>
      </w:r>
      <w:r w:rsidRPr="001455DC">
        <w:rPr>
          <w:rStyle w:val="CCMCvariablesubscript"/>
        </w:rPr>
        <w:t>s,1</w:t>
      </w:r>
      <w:r w:rsidRPr="001455DC">
        <w:rPr>
          <w:lang w:eastAsia="ja-JP"/>
        </w:rPr>
        <w:t xml:space="preserve"> for a critical length of influence line between 2 m and 20 m may be obtained from the Formula (K.3):</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125DCB" w:rsidRPr="001455DC" w14:paraId="73201879" w14:textId="77777777" w:rsidTr="00125DCB">
        <w:trPr>
          <w:cantSplit/>
        </w:trPr>
        <w:tc>
          <w:tcPr>
            <w:tcW w:w="8505" w:type="dxa"/>
            <w:vAlign w:val="center"/>
          </w:tcPr>
          <w:p w14:paraId="01E1AF42" w14:textId="49E38DD5" w:rsidR="00125DCB" w:rsidRPr="001455DC" w:rsidRDefault="00125DCB" w:rsidP="00125DCB">
            <w:pPr>
              <w:pStyle w:val="Formula"/>
              <w:jc w:val="left"/>
            </w:pPr>
            <w:r w:rsidRPr="001455DC">
              <w:rPr>
                <w:rStyle w:val="CCMCvariableitalic"/>
              </w:rPr>
              <w:t>λ</w:t>
            </w:r>
            <w:r w:rsidRPr="001455DC">
              <w:rPr>
                <w:rStyle w:val="CCMCvariablesubscript"/>
              </w:rPr>
              <w:t>s,1</w:t>
            </w:r>
            <w:r w:rsidRPr="001455DC">
              <w:rPr>
                <w:lang w:eastAsia="ja-JP"/>
              </w:rPr>
              <w:t>(</w:t>
            </w:r>
            <w:r w:rsidRPr="001455DC">
              <w:rPr>
                <w:rStyle w:val="CCMCvariableitalic"/>
              </w:rPr>
              <w:t>L</w:t>
            </w:r>
            <w:r w:rsidRPr="001455DC">
              <w:rPr>
                <w:lang w:eastAsia="ja-JP"/>
              </w:rPr>
              <w:t>)</w:t>
            </w:r>
            <w:r w:rsidRPr="001455DC">
              <w:t> </w:t>
            </w:r>
            <w:r w:rsidR="00EC27D2" w:rsidRPr="001455DC">
              <w:rPr>
                <w:rFonts w:ascii="Cambria Math" w:hAnsi="Cambria Math"/>
              </w:rPr>
              <w:t>=</w:t>
            </w:r>
            <w:r w:rsidRPr="001455DC">
              <w:t> </w:t>
            </w:r>
            <w:r w:rsidRPr="001455DC">
              <w:rPr>
                <w:rStyle w:val="CCMCvariableitalic"/>
              </w:rPr>
              <w:t>λ</w:t>
            </w:r>
            <w:r w:rsidRPr="001455DC">
              <w:rPr>
                <w:rStyle w:val="CCMCvariablesubscript"/>
              </w:rPr>
              <w:t>s,1</w:t>
            </w:r>
            <w:r w:rsidRPr="001455DC">
              <w:rPr>
                <w:lang w:eastAsia="ja-JP"/>
              </w:rPr>
              <w:t>(2 m)</w:t>
            </w:r>
            <w:r w:rsidR="00EC27D2" w:rsidRPr="001455DC">
              <w:rPr>
                <w:rFonts w:ascii="Cambria Math" w:hAnsi="Cambria Math"/>
                <w:lang w:eastAsia="ja-JP"/>
              </w:rPr>
              <w:t> + </w:t>
            </w:r>
            <w:r w:rsidRPr="001455DC">
              <w:rPr>
                <w:lang w:eastAsia="ja-JP"/>
              </w:rPr>
              <w:t>[</w:t>
            </w:r>
            <w:r w:rsidRPr="001455DC">
              <w:rPr>
                <w:rStyle w:val="CCMCvariableitalic"/>
              </w:rPr>
              <w:t>λ</w:t>
            </w:r>
            <w:r w:rsidRPr="001455DC">
              <w:rPr>
                <w:rStyle w:val="CCMCvariablesubscript"/>
              </w:rPr>
              <w:t>s,1</w:t>
            </w:r>
            <w:r w:rsidRPr="001455DC">
              <w:rPr>
                <w:lang w:eastAsia="ja-JP"/>
              </w:rPr>
              <w:t>(20 m) </w:t>
            </w:r>
            <w:r w:rsidR="00EC27D2" w:rsidRPr="001455DC">
              <w:rPr>
                <w:rFonts w:ascii="Cambria Math" w:hAnsi="Cambria Math"/>
                <w:lang w:eastAsia="ja-JP"/>
              </w:rPr>
              <w:t>−</w:t>
            </w:r>
            <w:r w:rsidRPr="001455DC">
              <w:rPr>
                <w:lang w:eastAsia="ja-JP"/>
              </w:rPr>
              <w:t> </w:t>
            </w:r>
            <w:r w:rsidRPr="001455DC">
              <w:rPr>
                <w:rStyle w:val="CCMCvariableitalic"/>
              </w:rPr>
              <w:t>λ</w:t>
            </w:r>
            <w:r w:rsidRPr="001455DC">
              <w:rPr>
                <w:rStyle w:val="CCMCvariablesubscript"/>
              </w:rPr>
              <w:t>s,1</w:t>
            </w:r>
            <w:r w:rsidRPr="001455DC">
              <w:rPr>
                <w:lang w:eastAsia="ja-JP"/>
              </w:rPr>
              <w:t>(2 m)] </w:t>
            </w:r>
            <w:r w:rsidRPr="001455DC">
              <w:rPr>
                <w:rFonts w:ascii="Cambria Math" w:hAnsi="Cambria Math" w:cs="Cambria Math"/>
                <w:lang w:eastAsia="ja-JP"/>
              </w:rPr>
              <w:t>⋅</w:t>
            </w:r>
            <w:r w:rsidRPr="001455DC">
              <w:rPr>
                <w:lang w:eastAsia="ja-JP"/>
              </w:rPr>
              <w:t xml:space="preserve"> (lg </w:t>
            </w:r>
            <w:r w:rsidRPr="001455DC">
              <w:rPr>
                <w:rStyle w:val="CCMCvariableitalic"/>
              </w:rPr>
              <w:t>L</w:t>
            </w:r>
            <w:r w:rsidRPr="001455DC">
              <w:rPr>
                <w:lang w:eastAsia="ja-JP"/>
              </w:rPr>
              <w:t> </w:t>
            </w:r>
            <w:r w:rsidR="00EC27D2" w:rsidRPr="001455DC">
              <w:rPr>
                <w:rFonts w:ascii="Cambria Math" w:hAnsi="Cambria Math"/>
                <w:lang w:eastAsia="ja-JP"/>
              </w:rPr>
              <w:t>−</w:t>
            </w:r>
            <w:r w:rsidRPr="001455DC">
              <w:rPr>
                <w:lang w:eastAsia="ja-JP"/>
              </w:rPr>
              <w:t> 0,3)</w:t>
            </w:r>
          </w:p>
        </w:tc>
        <w:tc>
          <w:tcPr>
            <w:tcW w:w="1247" w:type="dxa"/>
            <w:vAlign w:val="center"/>
          </w:tcPr>
          <w:p w14:paraId="4A0D165F" w14:textId="783F5FD0" w:rsidR="00125DCB" w:rsidRPr="001455DC" w:rsidRDefault="00125DCB" w:rsidP="00125DCB">
            <w:pPr>
              <w:pStyle w:val="a7"/>
              <w:jc w:val="right"/>
            </w:pPr>
            <w:r w:rsidRPr="001455DC">
              <w:rPr>
                <w:lang w:eastAsia="ja-JP"/>
              </w:rPr>
              <w:t>(K.3)</w:t>
            </w:r>
          </w:p>
        </w:tc>
      </w:tr>
    </w:tbl>
    <w:p w14:paraId="30A2DD18" w14:textId="77777777" w:rsidR="00125DCB" w:rsidRPr="001455DC" w:rsidRDefault="00125DCB"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1134"/>
        <w:gridCol w:w="8278"/>
      </w:tblGrid>
      <w:tr w:rsidR="00125DCB" w:rsidRPr="001455DC" w14:paraId="76E21FBB" w14:textId="77777777" w:rsidTr="00125DCB">
        <w:trPr>
          <w:cantSplit/>
        </w:trPr>
        <w:tc>
          <w:tcPr>
            <w:tcW w:w="1134" w:type="dxa"/>
          </w:tcPr>
          <w:p w14:paraId="7308A53A" w14:textId="2F536633" w:rsidR="00125DCB" w:rsidRPr="001455DC" w:rsidRDefault="00125DCB" w:rsidP="0000442A">
            <w:pPr>
              <w:pStyle w:val="Tablebody"/>
            </w:pPr>
            <w:r w:rsidRPr="001455DC">
              <w:rPr>
                <w:rStyle w:val="CCMCvariableitalic"/>
              </w:rPr>
              <w:t>L</w:t>
            </w:r>
          </w:p>
        </w:tc>
        <w:tc>
          <w:tcPr>
            <w:tcW w:w="8278" w:type="dxa"/>
          </w:tcPr>
          <w:p w14:paraId="2DB79529" w14:textId="719E3B4D" w:rsidR="00125DCB" w:rsidRPr="001455DC" w:rsidRDefault="00125DCB" w:rsidP="00BB1209">
            <w:pPr>
              <w:pStyle w:val="Tablebody"/>
            </w:pPr>
            <w:r w:rsidRPr="001455DC">
              <w:rPr>
                <w:lang w:eastAsia="ja-JP"/>
              </w:rPr>
              <w:t>is the critical length [m] of the influence line;</w:t>
            </w:r>
          </w:p>
        </w:tc>
      </w:tr>
      <w:tr w:rsidR="00125DCB" w:rsidRPr="001455DC" w14:paraId="495C7A03" w14:textId="77777777" w:rsidTr="00125DCB">
        <w:trPr>
          <w:cantSplit/>
        </w:trPr>
        <w:tc>
          <w:tcPr>
            <w:tcW w:w="1134" w:type="dxa"/>
          </w:tcPr>
          <w:p w14:paraId="5BE840F8" w14:textId="6E3FF8D9" w:rsidR="00125DCB" w:rsidRPr="001455DC" w:rsidRDefault="00125DCB" w:rsidP="0000442A">
            <w:pPr>
              <w:pStyle w:val="Tablebody"/>
            </w:pPr>
            <w:r w:rsidRPr="001455DC">
              <w:rPr>
                <w:rStyle w:val="CCMCvariableitalic"/>
              </w:rPr>
              <w:t>λ</w:t>
            </w:r>
            <w:r w:rsidRPr="001455DC">
              <w:rPr>
                <w:rStyle w:val="CCMCvariablesubscript"/>
              </w:rPr>
              <w:t>s,1</w:t>
            </w:r>
            <w:r w:rsidRPr="001455DC">
              <w:rPr>
                <w:lang w:eastAsia="ja-JP"/>
              </w:rPr>
              <w:t>(2 m)</w:t>
            </w:r>
          </w:p>
        </w:tc>
        <w:tc>
          <w:tcPr>
            <w:tcW w:w="8278" w:type="dxa"/>
          </w:tcPr>
          <w:p w14:paraId="781143A1" w14:textId="5151DC55" w:rsidR="00125DCB" w:rsidRPr="001455DC" w:rsidRDefault="00125DCB" w:rsidP="0000442A">
            <w:pPr>
              <w:pStyle w:val="Tablebody"/>
            </w:pPr>
            <w:r w:rsidRPr="001455DC">
              <w:rPr>
                <w:lang w:eastAsia="ja-JP"/>
              </w:rPr>
              <w:t xml:space="preserve">is the </w:t>
            </w:r>
            <w:r w:rsidRPr="001455DC">
              <w:rPr>
                <w:rStyle w:val="CCMCvariableitalic"/>
              </w:rPr>
              <w:t>λ</w:t>
            </w:r>
            <w:r w:rsidRPr="001455DC">
              <w:rPr>
                <w:rStyle w:val="CCMCvariablesubscript"/>
              </w:rPr>
              <w:t>s,1</w:t>
            </w:r>
            <w:r w:rsidRPr="001455DC">
              <w:rPr>
                <w:lang w:eastAsia="ja-JP"/>
              </w:rPr>
              <w:t xml:space="preserve"> value for </w:t>
            </w:r>
            <w:r w:rsidRPr="001455DC">
              <w:rPr>
                <w:rStyle w:val="CCMCvariableitalic"/>
              </w:rPr>
              <w:t>L</w:t>
            </w:r>
            <w:r w:rsidRPr="001455DC">
              <w:t> </w:t>
            </w:r>
            <w:r w:rsidR="00EC27D2" w:rsidRPr="001455DC">
              <w:rPr>
                <w:rFonts w:ascii="Cambria Math" w:hAnsi="Cambria Math"/>
              </w:rPr>
              <w:t>=</w:t>
            </w:r>
            <w:r w:rsidRPr="001455DC">
              <w:t> </w:t>
            </w:r>
            <w:r w:rsidRPr="001455DC">
              <w:rPr>
                <w:lang w:eastAsia="ja-JP"/>
              </w:rPr>
              <w:t>2 m;</w:t>
            </w:r>
          </w:p>
        </w:tc>
      </w:tr>
      <w:tr w:rsidR="00125DCB" w:rsidRPr="001455DC" w14:paraId="382B6446" w14:textId="77777777" w:rsidTr="00125DCB">
        <w:trPr>
          <w:cantSplit/>
        </w:trPr>
        <w:tc>
          <w:tcPr>
            <w:tcW w:w="1134" w:type="dxa"/>
          </w:tcPr>
          <w:p w14:paraId="7BC1AF1C" w14:textId="0A29D68E" w:rsidR="00125DCB" w:rsidRPr="001455DC" w:rsidRDefault="00125DCB" w:rsidP="00D86695">
            <w:pPr>
              <w:pStyle w:val="Tablebody"/>
            </w:pPr>
            <w:r w:rsidRPr="001455DC">
              <w:rPr>
                <w:rStyle w:val="CCMCvariableitalic"/>
              </w:rPr>
              <w:t>λ</w:t>
            </w:r>
            <w:r w:rsidRPr="001455DC">
              <w:rPr>
                <w:rStyle w:val="CCMCvariablesubscript"/>
              </w:rPr>
              <w:t>s,1</w:t>
            </w:r>
            <w:r w:rsidRPr="001455DC">
              <w:rPr>
                <w:lang w:eastAsia="ja-JP"/>
              </w:rPr>
              <w:t>(20 m)</w:t>
            </w:r>
          </w:p>
        </w:tc>
        <w:tc>
          <w:tcPr>
            <w:tcW w:w="8278" w:type="dxa"/>
          </w:tcPr>
          <w:p w14:paraId="5067C633" w14:textId="2B304C9D" w:rsidR="00125DCB" w:rsidRPr="001455DC" w:rsidRDefault="00125DCB" w:rsidP="00D86695">
            <w:pPr>
              <w:pStyle w:val="Tablebody"/>
            </w:pPr>
            <w:r w:rsidRPr="001455DC">
              <w:rPr>
                <w:lang w:eastAsia="ja-JP"/>
              </w:rPr>
              <w:t xml:space="preserve">is the </w:t>
            </w:r>
            <w:r w:rsidRPr="001455DC">
              <w:rPr>
                <w:rStyle w:val="CCMCvariableitalic"/>
              </w:rPr>
              <w:t>λ</w:t>
            </w:r>
            <w:r w:rsidRPr="001455DC">
              <w:rPr>
                <w:rStyle w:val="CCMCvariablesubscript"/>
              </w:rPr>
              <w:t>s,1</w:t>
            </w:r>
            <w:r w:rsidRPr="001455DC">
              <w:rPr>
                <w:lang w:eastAsia="ja-JP"/>
              </w:rPr>
              <w:t xml:space="preserve"> value for </w:t>
            </w:r>
            <w:r w:rsidRPr="001455DC">
              <w:rPr>
                <w:rStyle w:val="CCMCvariableitalic"/>
              </w:rPr>
              <w:t>L</w:t>
            </w:r>
            <w:r w:rsidRPr="001455DC">
              <w:t> </w:t>
            </w:r>
            <w:r w:rsidR="00EC27D2" w:rsidRPr="001455DC">
              <w:rPr>
                <w:rFonts w:ascii="Cambria Math" w:hAnsi="Cambria Math"/>
              </w:rPr>
              <w:t>=</w:t>
            </w:r>
            <w:r w:rsidRPr="001455DC">
              <w:t> </w:t>
            </w:r>
            <w:r w:rsidRPr="001455DC">
              <w:rPr>
                <w:lang w:eastAsia="ja-JP"/>
              </w:rPr>
              <w:t>20 m.</w:t>
            </w:r>
          </w:p>
        </w:tc>
      </w:tr>
    </w:tbl>
    <w:p w14:paraId="6B2A99E9" w14:textId="77777777" w:rsidR="004E22C1" w:rsidRPr="001455DC" w:rsidRDefault="004E22C1" w:rsidP="00125DCB">
      <w:pPr>
        <w:pStyle w:val="Tabletitle"/>
      </w:pPr>
      <w:bookmarkStart w:id="2164" w:name="_Toc54337785"/>
      <w:r w:rsidRPr="001455DC">
        <w:t xml:space="preserve">Table K.1 — </w:t>
      </w:r>
      <w:r w:rsidRPr="001455DC">
        <w:rPr>
          <w:rStyle w:val="CCMCvariableitalic"/>
        </w:rPr>
        <w:t>λ</w:t>
      </w:r>
      <w:r w:rsidRPr="001455DC">
        <w:rPr>
          <w:rStyle w:val="CCMCvariablesubscript"/>
        </w:rPr>
        <w:t>s,1</w:t>
      </w:r>
      <w:r w:rsidRPr="001455DC">
        <w:t xml:space="preserve"> values for simply supported and continuous members of railway bridges</w:t>
      </w:r>
      <w:bookmarkEnd w:id="2164"/>
    </w:p>
    <w:tbl>
      <w:tblPr>
        <w:tblStyle w:val="53"/>
        <w:tblW w:w="8774" w:type="dxa"/>
        <w:tblLayout w:type="fixed"/>
        <w:tblLook w:val="0660" w:firstRow="1" w:lastRow="1" w:firstColumn="0" w:lastColumn="0" w:noHBand="1" w:noVBand="1"/>
      </w:tblPr>
      <w:tblGrid>
        <w:gridCol w:w="1083"/>
        <w:gridCol w:w="1083"/>
        <w:gridCol w:w="1083"/>
        <w:gridCol w:w="1131"/>
        <w:gridCol w:w="1084"/>
        <w:gridCol w:w="1084"/>
        <w:gridCol w:w="1084"/>
        <w:gridCol w:w="1142"/>
      </w:tblGrid>
      <w:tr w:rsidR="00D75E08" w:rsidRPr="001455DC" w14:paraId="3855EBDB" w14:textId="77777777" w:rsidTr="009D3012">
        <w:trPr>
          <w:cnfStyle w:val="100000000000" w:firstRow="1" w:lastRow="0" w:firstColumn="0" w:lastColumn="0" w:oddVBand="0" w:evenVBand="0" w:oddHBand="0" w:evenHBand="0" w:firstRowFirstColumn="0" w:firstRowLastColumn="0" w:lastRowFirstColumn="0" w:lastRowLastColumn="0"/>
          <w:tblHeader/>
        </w:trPr>
        <w:tc>
          <w:tcPr>
            <w:tcW w:w="4380" w:type="dxa"/>
            <w:gridSpan w:val="4"/>
            <w:tcBorders>
              <w:bottom w:val="single" w:sz="6" w:space="0" w:color="000000"/>
              <w:right w:val="single" w:sz="12" w:space="0" w:color="000000"/>
            </w:tcBorders>
          </w:tcPr>
          <w:p w14:paraId="5C5F72CF" w14:textId="77777777" w:rsidR="00D75E08" w:rsidRPr="009D3012" w:rsidRDefault="00D75E08" w:rsidP="00125DCB">
            <w:pPr>
              <w:pStyle w:val="Tablebody"/>
              <w:keepNext/>
              <w:jc w:val="center"/>
              <w:rPr>
                <w:rStyle w:val="CCMCvariableitalic"/>
                <w:b/>
              </w:rPr>
            </w:pPr>
            <w:r w:rsidRPr="009D3012">
              <w:rPr>
                <w:b/>
              </w:rPr>
              <w:t>a) simply supported members</w:t>
            </w:r>
          </w:p>
        </w:tc>
        <w:tc>
          <w:tcPr>
            <w:tcW w:w="4394" w:type="dxa"/>
            <w:gridSpan w:val="4"/>
            <w:tcBorders>
              <w:left w:val="single" w:sz="12" w:space="0" w:color="000000"/>
              <w:bottom w:val="single" w:sz="6" w:space="0" w:color="000000"/>
            </w:tcBorders>
          </w:tcPr>
          <w:p w14:paraId="7C2F2972" w14:textId="34CA76EE" w:rsidR="00D75E08" w:rsidRPr="009D3012" w:rsidRDefault="00D75E08" w:rsidP="00125DCB">
            <w:pPr>
              <w:pStyle w:val="Tablebody"/>
              <w:keepNext/>
              <w:jc w:val="center"/>
              <w:rPr>
                <w:rStyle w:val="CCMCvariableitalic"/>
                <w:b/>
                <w:lang w:val="en-US"/>
              </w:rPr>
            </w:pPr>
            <w:r w:rsidRPr="009D3012">
              <w:rPr>
                <w:b/>
                <w:lang w:val="en-US"/>
              </w:rPr>
              <w:t>b) continuous members (interior span)</w:t>
            </w:r>
          </w:p>
        </w:tc>
      </w:tr>
      <w:tr w:rsidR="00D75E08" w:rsidRPr="001455DC" w14:paraId="66AE34AD" w14:textId="77777777" w:rsidTr="009D3012">
        <w:tc>
          <w:tcPr>
            <w:tcW w:w="1083" w:type="dxa"/>
            <w:tcBorders>
              <w:top w:val="single" w:sz="6" w:space="0" w:color="000000"/>
              <w:bottom w:val="single" w:sz="12" w:space="0" w:color="000000"/>
            </w:tcBorders>
            <w:vAlign w:val="center"/>
          </w:tcPr>
          <w:p w14:paraId="53460AB2" w14:textId="57EE50EE" w:rsidR="00D75E08" w:rsidRPr="009D3012" w:rsidRDefault="00D75E08" w:rsidP="00125DCB">
            <w:pPr>
              <w:pStyle w:val="Tablebody"/>
              <w:keepNext/>
              <w:jc w:val="center"/>
              <w:rPr>
                <w:lang w:val="en-US"/>
              </w:rPr>
            </w:pPr>
            <w:r w:rsidRPr="009D3012">
              <w:rPr>
                <w:lang w:val="en-US"/>
              </w:rPr>
              <w:t> </w:t>
            </w:r>
          </w:p>
        </w:tc>
        <w:tc>
          <w:tcPr>
            <w:tcW w:w="1083" w:type="dxa"/>
            <w:tcBorders>
              <w:top w:val="single" w:sz="6" w:space="0" w:color="000000"/>
              <w:bottom w:val="single" w:sz="12" w:space="0" w:color="000000"/>
            </w:tcBorders>
            <w:vAlign w:val="center"/>
            <w:hideMark/>
          </w:tcPr>
          <w:p w14:paraId="41153C36" w14:textId="77777777" w:rsidR="00D75E08" w:rsidRPr="001455DC" w:rsidRDefault="00D75E08" w:rsidP="00125DCB">
            <w:pPr>
              <w:pStyle w:val="Tablebody"/>
              <w:keepNext/>
              <w:jc w:val="center"/>
            </w:pPr>
            <w:r w:rsidRPr="001455DC">
              <w:rPr>
                <w:rStyle w:val="CCMCvariableitalic"/>
              </w:rPr>
              <w:t>L</w:t>
            </w:r>
            <w:r w:rsidRPr="001455DC">
              <w:t xml:space="preserve"> [m]</w:t>
            </w:r>
          </w:p>
        </w:tc>
        <w:tc>
          <w:tcPr>
            <w:tcW w:w="1083" w:type="dxa"/>
            <w:tcBorders>
              <w:top w:val="single" w:sz="6" w:space="0" w:color="000000"/>
              <w:bottom w:val="single" w:sz="12" w:space="0" w:color="000000"/>
            </w:tcBorders>
            <w:vAlign w:val="center"/>
            <w:hideMark/>
          </w:tcPr>
          <w:p w14:paraId="66B3AC85" w14:textId="77777777" w:rsidR="00D75E08" w:rsidRPr="001455DC" w:rsidRDefault="00D75E08" w:rsidP="00125DCB">
            <w:pPr>
              <w:pStyle w:val="Tablebody"/>
              <w:keepNext/>
              <w:jc w:val="center"/>
            </w:pPr>
            <w:r w:rsidRPr="001455DC">
              <w:rPr>
                <w:rStyle w:val="CCMCvariableitalic"/>
              </w:rPr>
              <w:t>STM</w:t>
            </w:r>
          </w:p>
        </w:tc>
        <w:tc>
          <w:tcPr>
            <w:tcW w:w="1131" w:type="dxa"/>
            <w:tcBorders>
              <w:top w:val="single" w:sz="6" w:space="0" w:color="000000"/>
              <w:bottom w:val="single" w:sz="12" w:space="0" w:color="000000"/>
              <w:right w:val="single" w:sz="12" w:space="0" w:color="000000"/>
            </w:tcBorders>
            <w:vAlign w:val="center"/>
            <w:hideMark/>
          </w:tcPr>
          <w:p w14:paraId="15EE6068" w14:textId="77777777" w:rsidR="00D75E08" w:rsidRPr="001455DC" w:rsidRDefault="00D75E08" w:rsidP="00125DCB">
            <w:pPr>
              <w:pStyle w:val="Tablebody"/>
              <w:keepNext/>
              <w:jc w:val="center"/>
            </w:pPr>
            <w:r w:rsidRPr="001455DC">
              <w:rPr>
                <w:rStyle w:val="CCMCvariableitalic"/>
              </w:rPr>
              <w:t>HTM</w:t>
            </w:r>
          </w:p>
        </w:tc>
        <w:tc>
          <w:tcPr>
            <w:tcW w:w="1084" w:type="dxa"/>
            <w:tcBorders>
              <w:top w:val="single" w:sz="6" w:space="0" w:color="000000"/>
              <w:left w:val="single" w:sz="12" w:space="0" w:color="000000"/>
              <w:bottom w:val="single" w:sz="12" w:space="0" w:color="000000"/>
            </w:tcBorders>
            <w:vAlign w:val="center"/>
          </w:tcPr>
          <w:p w14:paraId="7DC3890F" w14:textId="0A4991F7" w:rsidR="00D75E08" w:rsidRPr="001455DC" w:rsidRDefault="00D75E08" w:rsidP="00125DCB">
            <w:pPr>
              <w:pStyle w:val="Tablebody"/>
              <w:keepNext/>
              <w:jc w:val="center"/>
            </w:pPr>
            <w:r w:rsidRPr="001455DC">
              <w:t> </w:t>
            </w:r>
          </w:p>
        </w:tc>
        <w:tc>
          <w:tcPr>
            <w:tcW w:w="1084" w:type="dxa"/>
            <w:tcBorders>
              <w:top w:val="single" w:sz="6" w:space="0" w:color="000000"/>
              <w:bottom w:val="single" w:sz="12" w:space="0" w:color="000000"/>
            </w:tcBorders>
            <w:vAlign w:val="center"/>
            <w:hideMark/>
          </w:tcPr>
          <w:p w14:paraId="516DECF9" w14:textId="77777777" w:rsidR="00D75E08" w:rsidRPr="001455DC" w:rsidRDefault="00D75E08" w:rsidP="00125DCB">
            <w:pPr>
              <w:pStyle w:val="Tablebody"/>
              <w:keepNext/>
              <w:jc w:val="center"/>
            </w:pPr>
            <w:r w:rsidRPr="001455DC">
              <w:rPr>
                <w:rStyle w:val="CCMCvariableitalic"/>
              </w:rPr>
              <w:t>L</w:t>
            </w:r>
            <w:r w:rsidRPr="001455DC">
              <w:t xml:space="preserve"> [m]</w:t>
            </w:r>
          </w:p>
        </w:tc>
        <w:tc>
          <w:tcPr>
            <w:tcW w:w="1084" w:type="dxa"/>
            <w:tcBorders>
              <w:top w:val="single" w:sz="6" w:space="0" w:color="000000"/>
              <w:bottom w:val="single" w:sz="12" w:space="0" w:color="000000"/>
            </w:tcBorders>
            <w:vAlign w:val="center"/>
            <w:hideMark/>
          </w:tcPr>
          <w:p w14:paraId="0128F549" w14:textId="77777777" w:rsidR="00D75E08" w:rsidRPr="001455DC" w:rsidRDefault="00D75E08" w:rsidP="00125DCB">
            <w:pPr>
              <w:pStyle w:val="Tablebody"/>
              <w:keepNext/>
              <w:jc w:val="center"/>
            </w:pPr>
            <w:r w:rsidRPr="001455DC">
              <w:rPr>
                <w:rStyle w:val="CCMCvariableitalic"/>
              </w:rPr>
              <w:t>STM</w:t>
            </w:r>
          </w:p>
        </w:tc>
        <w:tc>
          <w:tcPr>
            <w:tcW w:w="1142" w:type="dxa"/>
            <w:tcBorders>
              <w:top w:val="single" w:sz="6" w:space="0" w:color="000000"/>
              <w:bottom w:val="single" w:sz="12" w:space="0" w:color="000000"/>
            </w:tcBorders>
            <w:vAlign w:val="center"/>
            <w:hideMark/>
          </w:tcPr>
          <w:p w14:paraId="1B56A96B" w14:textId="77777777" w:rsidR="00D75E08" w:rsidRPr="001455DC" w:rsidRDefault="00D75E08" w:rsidP="00125DCB">
            <w:pPr>
              <w:pStyle w:val="Tablebody"/>
              <w:keepNext/>
              <w:jc w:val="center"/>
            </w:pPr>
            <w:r w:rsidRPr="001455DC">
              <w:rPr>
                <w:rStyle w:val="CCMCvariableitalic"/>
              </w:rPr>
              <w:t>HTM</w:t>
            </w:r>
          </w:p>
        </w:tc>
      </w:tr>
      <w:tr w:rsidR="00D75E08" w:rsidRPr="001455DC" w14:paraId="656ACF00" w14:textId="77777777" w:rsidTr="009D3012">
        <w:tc>
          <w:tcPr>
            <w:tcW w:w="1083" w:type="dxa"/>
            <w:vMerge w:val="restart"/>
            <w:tcBorders>
              <w:top w:val="single" w:sz="12" w:space="0" w:color="000000"/>
            </w:tcBorders>
            <w:vAlign w:val="center"/>
            <w:hideMark/>
          </w:tcPr>
          <w:p w14:paraId="4427CF24" w14:textId="77777777" w:rsidR="00D75E08" w:rsidRPr="001455DC" w:rsidRDefault="00D75E08" w:rsidP="00125DCB">
            <w:pPr>
              <w:pStyle w:val="Tablebody"/>
              <w:keepNext/>
              <w:jc w:val="center"/>
            </w:pPr>
            <w:r w:rsidRPr="001455DC">
              <w:t>(1)</w:t>
            </w:r>
          </w:p>
        </w:tc>
        <w:tc>
          <w:tcPr>
            <w:tcW w:w="1083" w:type="dxa"/>
            <w:tcBorders>
              <w:top w:val="single" w:sz="12" w:space="0" w:color="000000"/>
            </w:tcBorders>
            <w:vAlign w:val="center"/>
            <w:hideMark/>
          </w:tcPr>
          <w:p w14:paraId="464264A8" w14:textId="298F7F7C" w:rsidR="00D75E08" w:rsidRPr="001455DC" w:rsidRDefault="00D75E08" w:rsidP="00125DCB">
            <w:pPr>
              <w:pStyle w:val="Tablebody"/>
              <w:keepNext/>
              <w:jc w:val="center"/>
            </w:pPr>
            <w:r w:rsidRPr="001455DC">
              <w:rPr>
                <w:rFonts w:ascii="Cambria Math" w:hAnsi="Cambria Math"/>
              </w:rPr>
              <w:t>≤</w:t>
            </w:r>
            <w:r w:rsidRPr="001455DC">
              <w:t> 2</w:t>
            </w:r>
          </w:p>
        </w:tc>
        <w:tc>
          <w:tcPr>
            <w:tcW w:w="1083" w:type="dxa"/>
            <w:tcBorders>
              <w:top w:val="single" w:sz="12" w:space="0" w:color="000000"/>
            </w:tcBorders>
            <w:vAlign w:val="center"/>
            <w:hideMark/>
          </w:tcPr>
          <w:p w14:paraId="7C1C4CEE" w14:textId="77777777" w:rsidR="00D75E08" w:rsidRPr="001455DC" w:rsidRDefault="00D75E08" w:rsidP="00125DCB">
            <w:pPr>
              <w:pStyle w:val="Tablebody"/>
              <w:keepNext/>
              <w:jc w:val="center"/>
            </w:pPr>
            <w:r w:rsidRPr="001455DC">
              <w:t>0,90</w:t>
            </w:r>
          </w:p>
        </w:tc>
        <w:tc>
          <w:tcPr>
            <w:tcW w:w="1131" w:type="dxa"/>
            <w:tcBorders>
              <w:top w:val="single" w:sz="12" w:space="0" w:color="000000"/>
              <w:right w:val="single" w:sz="12" w:space="0" w:color="000000"/>
            </w:tcBorders>
            <w:vAlign w:val="center"/>
            <w:hideMark/>
          </w:tcPr>
          <w:p w14:paraId="64C046BC" w14:textId="77777777" w:rsidR="00D75E08" w:rsidRPr="001455DC" w:rsidRDefault="00D75E08" w:rsidP="00125DCB">
            <w:pPr>
              <w:pStyle w:val="Tablebody"/>
              <w:keepNext/>
              <w:jc w:val="center"/>
            </w:pPr>
            <w:r w:rsidRPr="001455DC">
              <w:t>0,95</w:t>
            </w:r>
          </w:p>
        </w:tc>
        <w:tc>
          <w:tcPr>
            <w:tcW w:w="1084" w:type="dxa"/>
            <w:vMerge w:val="restart"/>
            <w:tcBorders>
              <w:top w:val="single" w:sz="12" w:space="0" w:color="000000"/>
              <w:left w:val="single" w:sz="12" w:space="0" w:color="000000"/>
            </w:tcBorders>
            <w:vAlign w:val="center"/>
            <w:hideMark/>
          </w:tcPr>
          <w:p w14:paraId="5E13F43D" w14:textId="77777777" w:rsidR="00D75E08" w:rsidRPr="001455DC" w:rsidRDefault="00D75E08" w:rsidP="00125DCB">
            <w:pPr>
              <w:pStyle w:val="Tablebody"/>
              <w:keepNext/>
              <w:jc w:val="center"/>
            </w:pPr>
            <w:r w:rsidRPr="001455DC">
              <w:t>(1)</w:t>
            </w:r>
          </w:p>
        </w:tc>
        <w:tc>
          <w:tcPr>
            <w:tcW w:w="1084" w:type="dxa"/>
            <w:tcBorders>
              <w:top w:val="single" w:sz="12" w:space="0" w:color="000000"/>
            </w:tcBorders>
            <w:vAlign w:val="center"/>
            <w:hideMark/>
          </w:tcPr>
          <w:p w14:paraId="3E8DBD20" w14:textId="701FA861" w:rsidR="00D75E08" w:rsidRPr="001455DC" w:rsidRDefault="00D75E08" w:rsidP="00125DCB">
            <w:pPr>
              <w:pStyle w:val="Tablebody"/>
              <w:keepNext/>
              <w:jc w:val="center"/>
            </w:pPr>
            <w:r w:rsidRPr="001455DC">
              <w:rPr>
                <w:rFonts w:ascii="Cambria Math" w:hAnsi="Cambria Math"/>
              </w:rPr>
              <w:t>≤</w:t>
            </w:r>
            <w:r w:rsidRPr="001455DC">
              <w:t> 2</w:t>
            </w:r>
          </w:p>
        </w:tc>
        <w:tc>
          <w:tcPr>
            <w:tcW w:w="1084" w:type="dxa"/>
            <w:tcBorders>
              <w:top w:val="single" w:sz="12" w:space="0" w:color="000000"/>
            </w:tcBorders>
            <w:vAlign w:val="center"/>
            <w:hideMark/>
          </w:tcPr>
          <w:p w14:paraId="5E9D3CDB" w14:textId="77777777" w:rsidR="00D75E08" w:rsidRPr="001455DC" w:rsidRDefault="00D75E08" w:rsidP="00125DCB">
            <w:pPr>
              <w:pStyle w:val="Tablebody"/>
              <w:keepNext/>
              <w:jc w:val="center"/>
            </w:pPr>
            <w:r w:rsidRPr="001455DC">
              <w:t>0,95</w:t>
            </w:r>
          </w:p>
        </w:tc>
        <w:tc>
          <w:tcPr>
            <w:tcW w:w="1142" w:type="dxa"/>
            <w:tcBorders>
              <w:top w:val="single" w:sz="12" w:space="0" w:color="000000"/>
            </w:tcBorders>
            <w:vAlign w:val="center"/>
            <w:hideMark/>
          </w:tcPr>
          <w:p w14:paraId="51347B4B" w14:textId="77777777" w:rsidR="00D75E08" w:rsidRPr="001455DC" w:rsidRDefault="00D75E08" w:rsidP="00125DCB">
            <w:pPr>
              <w:pStyle w:val="Tablebody"/>
              <w:keepNext/>
              <w:jc w:val="center"/>
            </w:pPr>
            <w:r w:rsidRPr="001455DC">
              <w:t>1,05</w:t>
            </w:r>
          </w:p>
        </w:tc>
      </w:tr>
      <w:tr w:rsidR="00D75E08" w:rsidRPr="001455DC" w14:paraId="4DAA357B" w14:textId="77777777" w:rsidTr="009D3012">
        <w:tc>
          <w:tcPr>
            <w:tcW w:w="1083" w:type="dxa"/>
            <w:vMerge/>
            <w:vAlign w:val="center"/>
            <w:hideMark/>
          </w:tcPr>
          <w:p w14:paraId="4D941C46" w14:textId="77777777" w:rsidR="00D75E08" w:rsidRPr="001455DC" w:rsidRDefault="00D75E08" w:rsidP="00125DCB">
            <w:pPr>
              <w:pStyle w:val="Tablebody"/>
              <w:keepNext/>
              <w:jc w:val="center"/>
            </w:pPr>
          </w:p>
        </w:tc>
        <w:tc>
          <w:tcPr>
            <w:tcW w:w="1083" w:type="dxa"/>
            <w:vAlign w:val="center"/>
            <w:hideMark/>
          </w:tcPr>
          <w:p w14:paraId="460D8B23" w14:textId="30F1ABA3" w:rsidR="00D75E08" w:rsidRPr="001455DC" w:rsidRDefault="00D75E08" w:rsidP="00125DCB">
            <w:pPr>
              <w:pStyle w:val="Tablebody"/>
              <w:keepNext/>
              <w:jc w:val="center"/>
            </w:pPr>
            <w:r w:rsidRPr="001455DC">
              <w:rPr>
                <w:rFonts w:ascii="Cambria Math" w:hAnsi="Cambria Math"/>
              </w:rPr>
              <w:t>≥</w:t>
            </w:r>
            <w:r w:rsidRPr="001455DC">
              <w:t> 20</w:t>
            </w:r>
          </w:p>
        </w:tc>
        <w:tc>
          <w:tcPr>
            <w:tcW w:w="1083" w:type="dxa"/>
            <w:vAlign w:val="center"/>
            <w:hideMark/>
          </w:tcPr>
          <w:p w14:paraId="109F922A" w14:textId="77777777" w:rsidR="00D75E08" w:rsidRPr="001455DC" w:rsidRDefault="00D75E08" w:rsidP="00125DCB">
            <w:pPr>
              <w:pStyle w:val="Tablebody"/>
              <w:keepNext/>
              <w:jc w:val="center"/>
            </w:pPr>
            <w:r w:rsidRPr="001455DC">
              <w:t>0,65</w:t>
            </w:r>
          </w:p>
        </w:tc>
        <w:tc>
          <w:tcPr>
            <w:tcW w:w="1131" w:type="dxa"/>
            <w:tcBorders>
              <w:right w:val="single" w:sz="12" w:space="0" w:color="000000"/>
            </w:tcBorders>
            <w:vAlign w:val="center"/>
            <w:hideMark/>
          </w:tcPr>
          <w:p w14:paraId="54B6FD91" w14:textId="77777777" w:rsidR="00D75E08" w:rsidRPr="001455DC" w:rsidRDefault="00D75E08" w:rsidP="00125DCB">
            <w:pPr>
              <w:pStyle w:val="Tablebody"/>
              <w:keepNext/>
              <w:jc w:val="center"/>
            </w:pPr>
            <w:r w:rsidRPr="001455DC">
              <w:t>0,70</w:t>
            </w:r>
          </w:p>
        </w:tc>
        <w:tc>
          <w:tcPr>
            <w:tcW w:w="1084" w:type="dxa"/>
            <w:vMerge/>
            <w:tcBorders>
              <w:left w:val="single" w:sz="12" w:space="0" w:color="000000"/>
            </w:tcBorders>
            <w:vAlign w:val="center"/>
            <w:hideMark/>
          </w:tcPr>
          <w:p w14:paraId="7C4592C5" w14:textId="77777777" w:rsidR="00D75E08" w:rsidRPr="001455DC" w:rsidRDefault="00D75E08" w:rsidP="00125DCB">
            <w:pPr>
              <w:pStyle w:val="Tablebody"/>
              <w:keepNext/>
              <w:jc w:val="center"/>
            </w:pPr>
          </w:p>
        </w:tc>
        <w:tc>
          <w:tcPr>
            <w:tcW w:w="1084" w:type="dxa"/>
            <w:vAlign w:val="center"/>
            <w:hideMark/>
          </w:tcPr>
          <w:p w14:paraId="141C9910" w14:textId="6E6F9543" w:rsidR="00D75E08" w:rsidRPr="001455DC" w:rsidRDefault="00D75E08" w:rsidP="00125DCB">
            <w:pPr>
              <w:pStyle w:val="Tablebody"/>
              <w:keepNext/>
              <w:jc w:val="center"/>
            </w:pPr>
            <w:r w:rsidRPr="001455DC">
              <w:rPr>
                <w:rFonts w:ascii="Cambria Math" w:hAnsi="Cambria Math"/>
              </w:rPr>
              <w:t>≥</w:t>
            </w:r>
            <w:r w:rsidRPr="001455DC">
              <w:t> 20</w:t>
            </w:r>
          </w:p>
        </w:tc>
        <w:tc>
          <w:tcPr>
            <w:tcW w:w="1084" w:type="dxa"/>
            <w:vAlign w:val="center"/>
            <w:hideMark/>
          </w:tcPr>
          <w:p w14:paraId="2828BA47" w14:textId="77777777" w:rsidR="00D75E08" w:rsidRPr="001455DC" w:rsidRDefault="00D75E08" w:rsidP="00125DCB">
            <w:pPr>
              <w:pStyle w:val="Tablebody"/>
              <w:keepNext/>
              <w:jc w:val="center"/>
            </w:pPr>
            <w:r w:rsidRPr="001455DC">
              <w:t>0,50</w:t>
            </w:r>
          </w:p>
        </w:tc>
        <w:tc>
          <w:tcPr>
            <w:tcW w:w="1142" w:type="dxa"/>
            <w:vAlign w:val="center"/>
            <w:hideMark/>
          </w:tcPr>
          <w:p w14:paraId="3D7F09DD" w14:textId="77777777" w:rsidR="00D75E08" w:rsidRPr="001455DC" w:rsidRDefault="00D75E08" w:rsidP="00125DCB">
            <w:pPr>
              <w:pStyle w:val="Tablebody"/>
              <w:keepNext/>
              <w:jc w:val="center"/>
            </w:pPr>
            <w:r w:rsidRPr="001455DC">
              <w:t>0,55</w:t>
            </w:r>
          </w:p>
        </w:tc>
      </w:tr>
      <w:tr w:rsidR="00D75E08" w:rsidRPr="001455DC" w14:paraId="247248FC" w14:textId="77777777" w:rsidTr="009D3012">
        <w:tc>
          <w:tcPr>
            <w:tcW w:w="1083" w:type="dxa"/>
            <w:vMerge w:val="restart"/>
            <w:vAlign w:val="center"/>
            <w:hideMark/>
          </w:tcPr>
          <w:p w14:paraId="15D2937E" w14:textId="77777777" w:rsidR="00D75E08" w:rsidRPr="001455DC" w:rsidRDefault="00D75E08" w:rsidP="00125DCB">
            <w:pPr>
              <w:pStyle w:val="Tablebody"/>
              <w:keepNext/>
              <w:jc w:val="center"/>
            </w:pPr>
            <w:r w:rsidRPr="001455DC">
              <w:t>(2)</w:t>
            </w:r>
          </w:p>
        </w:tc>
        <w:tc>
          <w:tcPr>
            <w:tcW w:w="1083" w:type="dxa"/>
            <w:vAlign w:val="center"/>
            <w:hideMark/>
          </w:tcPr>
          <w:p w14:paraId="4A70FA27" w14:textId="49EA3E40" w:rsidR="00D75E08" w:rsidRPr="001455DC" w:rsidRDefault="00D75E08" w:rsidP="00125DCB">
            <w:pPr>
              <w:pStyle w:val="Tablebody"/>
              <w:keepNext/>
              <w:jc w:val="center"/>
            </w:pPr>
            <w:r w:rsidRPr="001455DC">
              <w:rPr>
                <w:rFonts w:ascii="Cambria Math" w:hAnsi="Cambria Math"/>
              </w:rPr>
              <w:t>≤</w:t>
            </w:r>
            <w:r w:rsidRPr="001455DC">
              <w:t> 2</w:t>
            </w:r>
          </w:p>
        </w:tc>
        <w:tc>
          <w:tcPr>
            <w:tcW w:w="1083" w:type="dxa"/>
            <w:vAlign w:val="center"/>
            <w:hideMark/>
          </w:tcPr>
          <w:p w14:paraId="6B39788A" w14:textId="77777777" w:rsidR="00D75E08" w:rsidRPr="001455DC" w:rsidRDefault="00D75E08" w:rsidP="00125DCB">
            <w:pPr>
              <w:pStyle w:val="Tablebody"/>
              <w:keepNext/>
              <w:jc w:val="center"/>
            </w:pPr>
            <w:r w:rsidRPr="001455DC">
              <w:t>1,00</w:t>
            </w:r>
          </w:p>
        </w:tc>
        <w:tc>
          <w:tcPr>
            <w:tcW w:w="1131" w:type="dxa"/>
            <w:tcBorders>
              <w:right w:val="single" w:sz="12" w:space="0" w:color="000000"/>
            </w:tcBorders>
            <w:vAlign w:val="center"/>
            <w:hideMark/>
          </w:tcPr>
          <w:p w14:paraId="16D24630" w14:textId="77777777" w:rsidR="00D75E08" w:rsidRPr="001455DC" w:rsidRDefault="00D75E08" w:rsidP="00125DCB">
            <w:pPr>
              <w:pStyle w:val="Tablebody"/>
              <w:keepNext/>
              <w:jc w:val="center"/>
            </w:pPr>
            <w:r w:rsidRPr="001455DC">
              <w:t>1,05</w:t>
            </w:r>
          </w:p>
        </w:tc>
        <w:tc>
          <w:tcPr>
            <w:tcW w:w="1084" w:type="dxa"/>
            <w:vMerge w:val="restart"/>
            <w:tcBorders>
              <w:left w:val="single" w:sz="12" w:space="0" w:color="000000"/>
            </w:tcBorders>
            <w:vAlign w:val="center"/>
            <w:hideMark/>
          </w:tcPr>
          <w:p w14:paraId="4A7B507C" w14:textId="77777777" w:rsidR="00D75E08" w:rsidRPr="001455DC" w:rsidRDefault="00D75E08" w:rsidP="00125DCB">
            <w:pPr>
              <w:pStyle w:val="Tablebody"/>
              <w:keepNext/>
              <w:jc w:val="center"/>
            </w:pPr>
            <w:r w:rsidRPr="001455DC">
              <w:t>(2)</w:t>
            </w:r>
          </w:p>
        </w:tc>
        <w:tc>
          <w:tcPr>
            <w:tcW w:w="1084" w:type="dxa"/>
            <w:vAlign w:val="center"/>
            <w:hideMark/>
          </w:tcPr>
          <w:p w14:paraId="77CB94C3" w14:textId="02F89029" w:rsidR="00D75E08" w:rsidRPr="001455DC" w:rsidRDefault="00D75E08" w:rsidP="00125DCB">
            <w:pPr>
              <w:pStyle w:val="Tablebody"/>
              <w:keepNext/>
              <w:jc w:val="center"/>
            </w:pPr>
            <w:r w:rsidRPr="001455DC">
              <w:rPr>
                <w:rFonts w:ascii="Cambria Math" w:hAnsi="Cambria Math"/>
              </w:rPr>
              <w:t>≤</w:t>
            </w:r>
            <w:r w:rsidRPr="001455DC">
              <w:t> 2</w:t>
            </w:r>
          </w:p>
        </w:tc>
        <w:tc>
          <w:tcPr>
            <w:tcW w:w="1084" w:type="dxa"/>
            <w:vAlign w:val="center"/>
            <w:hideMark/>
          </w:tcPr>
          <w:p w14:paraId="5816F65F" w14:textId="77777777" w:rsidR="00D75E08" w:rsidRPr="001455DC" w:rsidRDefault="00D75E08" w:rsidP="00125DCB">
            <w:pPr>
              <w:pStyle w:val="Tablebody"/>
              <w:keepNext/>
              <w:jc w:val="center"/>
            </w:pPr>
            <w:r w:rsidRPr="001455DC">
              <w:t>1,00</w:t>
            </w:r>
          </w:p>
        </w:tc>
        <w:tc>
          <w:tcPr>
            <w:tcW w:w="1142" w:type="dxa"/>
            <w:vAlign w:val="center"/>
            <w:hideMark/>
          </w:tcPr>
          <w:p w14:paraId="03F68C55" w14:textId="77777777" w:rsidR="00D75E08" w:rsidRPr="001455DC" w:rsidRDefault="00D75E08" w:rsidP="00125DCB">
            <w:pPr>
              <w:pStyle w:val="Tablebody"/>
              <w:keepNext/>
              <w:jc w:val="center"/>
            </w:pPr>
            <w:r w:rsidRPr="001455DC">
              <w:t>1,15</w:t>
            </w:r>
          </w:p>
        </w:tc>
      </w:tr>
      <w:tr w:rsidR="00D75E08" w:rsidRPr="001455DC" w14:paraId="646DB510" w14:textId="77777777" w:rsidTr="009D3012">
        <w:tc>
          <w:tcPr>
            <w:tcW w:w="1083" w:type="dxa"/>
            <w:vMerge/>
            <w:vAlign w:val="center"/>
            <w:hideMark/>
          </w:tcPr>
          <w:p w14:paraId="4F66B68D" w14:textId="77777777" w:rsidR="00D75E08" w:rsidRPr="001455DC" w:rsidRDefault="00D75E08" w:rsidP="00125DCB">
            <w:pPr>
              <w:pStyle w:val="Tablebody"/>
              <w:keepNext/>
              <w:jc w:val="center"/>
            </w:pPr>
          </w:p>
        </w:tc>
        <w:tc>
          <w:tcPr>
            <w:tcW w:w="1083" w:type="dxa"/>
            <w:vAlign w:val="center"/>
            <w:hideMark/>
          </w:tcPr>
          <w:p w14:paraId="3276123F" w14:textId="201A9F5A" w:rsidR="00D75E08" w:rsidRPr="001455DC" w:rsidRDefault="00D75E08" w:rsidP="00125DCB">
            <w:pPr>
              <w:pStyle w:val="Tablebody"/>
              <w:keepNext/>
              <w:jc w:val="center"/>
            </w:pPr>
            <w:r w:rsidRPr="001455DC">
              <w:rPr>
                <w:rFonts w:ascii="Cambria Math" w:hAnsi="Cambria Math"/>
              </w:rPr>
              <w:t>≥</w:t>
            </w:r>
            <w:r w:rsidRPr="001455DC">
              <w:t> 20</w:t>
            </w:r>
          </w:p>
        </w:tc>
        <w:tc>
          <w:tcPr>
            <w:tcW w:w="1083" w:type="dxa"/>
            <w:vAlign w:val="center"/>
            <w:hideMark/>
          </w:tcPr>
          <w:p w14:paraId="76A6B840" w14:textId="77777777" w:rsidR="00D75E08" w:rsidRPr="001455DC" w:rsidRDefault="00D75E08" w:rsidP="00125DCB">
            <w:pPr>
              <w:pStyle w:val="Tablebody"/>
              <w:keepNext/>
              <w:jc w:val="center"/>
            </w:pPr>
            <w:r w:rsidRPr="001455DC">
              <w:t>0,70</w:t>
            </w:r>
          </w:p>
        </w:tc>
        <w:tc>
          <w:tcPr>
            <w:tcW w:w="1131" w:type="dxa"/>
            <w:tcBorders>
              <w:right w:val="single" w:sz="12" w:space="0" w:color="000000"/>
            </w:tcBorders>
            <w:vAlign w:val="center"/>
            <w:hideMark/>
          </w:tcPr>
          <w:p w14:paraId="74F76662" w14:textId="77777777" w:rsidR="00D75E08" w:rsidRPr="001455DC" w:rsidRDefault="00D75E08" w:rsidP="00125DCB">
            <w:pPr>
              <w:pStyle w:val="Tablebody"/>
              <w:keepNext/>
              <w:jc w:val="center"/>
            </w:pPr>
            <w:r w:rsidRPr="001455DC">
              <w:t>0,70</w:t>
            </w:r>
          </w:p>
        </w:tc>
        <w:tc>
          <w:tcPr>
            <w:tcW w:w="1084" w:type="dxa"/>
            <w:vMerge/>
            <w:tcBorders>
              <w:left w:val="single" w:sz="12" w:space="0" w:color="000000"/>
            </w:tcBorders>
            <w:vAlign w:val="center"/>
            <w:hideMark/>
          </w:tcPr>
          <w:p w14:paraId="25AD6600" w14:textId="77777777" w:rsidR="00D75E08" w:rsidRPr="001455DC" w:rsidRDefault="00D75E08" w:rsidP="00125DCB">
            <w:pPr>
              <w:pStyle w:val="Tablebody"/>
              <w:keepNext/>
              <w:jc w:val="center"/>
            </w:pPr>
          </w:p>
        </w:tc>
        <w:tc>
          <w:tcPr>
            <w:tcW w:w="1084" w:type="dxa"/>
            <w:vAlign w:val="center"/>
            <w:hideMark/>
          </w:tcPr>
          <w:p w14:paraId="082ED3FD" w14:textId="54E3C670" w:rsidR="00D75E08" w:rsidRPr="001455DC" w:rsidRDefault="00D75E08" w:rsidP="00125DCB">
            <w:pPr>
              <w:pStyle w:val="Tablebody"/>
              <w:keepNext/>
              <w:jc w:val="center"/>
            </w:pPr>
            <w:r w:rsidRPr="001455DC">
              <w:rPr>
                <w:rFonts w:ascii="Cambria Math" w:hAnsi="Cambria Math"/>
              </w:rPr>
              <w:t>≥</w:t>
            </w:r>
            <w:r w:rsidRPr="001455DC">
              <w:t> 20</w:t>
            </w:r>
          </w:p>
        </w:tc>
        <w:tc>
          <w:tcPr>
            <w:tcW w:w="1084" w:type="dxa"/>
            <w:vAlign w:val="center"/>
            <w:hideMark/>
          </w:tcPr>
          <w:p w14:paraId="0787370D" w14:textId="77777777" w:rsidR="00D75E08" w:rsidRPr="001455DC" w:rsidRDefault="00D75E08" w:rsidP="00125DCB">
            <w:pPr>
              <w:pStyle w:val="Tablebody"/>
              <w:keepNext/>
              <w:jc w:val="center"/>
            </w:pPr>
            <w:r w:rsidRPr="001455DC">
              <w:t>0,55</w:t>
            </w:r>
          </w:p>
        </w:tc>
        <w:tc>
          <w:tcPr>
            <w:tcW w:w="1142" w:type="dxa"/>
            <w:vAlign w:val="center"/>
            <w:hideMark/>
          </w:tcPr>
          <w:p w14:paraId="6957B2A8" w14:textId="77777777" w:rsidR="00D75E08" w:rsidRPr="001455DC" w:rsidRDefault="00D75E08" w:rsidP="00125DCB">
            <w:pPr>
              <w:pStyle w:val="Tablebody"/>
              <w:keepNext/>
              <w:jc w:val="center"/>
            </w:pPr>
            <w:r w:rsidRPr="001455DC">
              <w:t>0,55</w:t>
            </w:r>
          </w:p>
        </w:tc>
      </w:tr>
      <w:tr w:rsidR="00D75E08" w:rsidRPr="001455DC" w14:paraId="758E3EA0" w14:textId="77777777" w:rsidTr="009D3012">
        <w:tc>
          <w:tcPr>
            <w:tcW w:w="1083" w:type="dxa"/>
            <w:vMerge w:val="restart"/>
            <w:vAlign w:val="center"/>
            <w:hideMark/>
          </w:tcPr>
          <w:p w14:paraId="5FC82571" w14:textId="77777777" w:rsidR="00D75E08" w:rsidRPr="001455DC" w:rsidRDefault="00D75E08" w:rsidP="00125DCB">
            <w:pPr>
              <w:pStyle w:val="Tablebody"/>
              <w:keepNext/>
              <w:jc w:val="center"/>
            </w:pPr>
            <w:r w:rsidRPr="001455DC">
              <w:t>(3)</w:t>
            </w:r>
          </w:p>
        </w:tc>
        <w:tc>
          <w:tcPr>
            <w:tcW w:w="1083" w:type="dxa"/>
            <w:vAlign w:val="center"/>
            <w:hideMark/>
          </w:tcPr>
          <w:p w14:paraId="1C5138D8" w14:textId="02630E60" w:rsidR="00D75E08" w:rsidRPr="001455DC" w:rsidRDefault="00D75E08" w:rsidP="00125DCB">
            <w:pPr>
              <w:pStyle w:val="Tablebody"/>
              <w:keepNext/>
              <w:jc w:val="center"/>
            </w:pPr>
            <w:r w:rsidRPr="001455DC">
              <w:rPr>
                <w:rFonts w:ascii="Cambria Math" w:hAnsi="Cambria Math"/>
              </w:rPr>
              <w:t>≤</w:t>
            </w:r>
            <w:r w:rsidRPr="001455DC">
              <w:t> 2</w:t>
            </w:r>
          </w:p>
        </w:tc>
        <w:tc>
          <w:tcPr>
            <w:tcW w:w="1083" w:type="dxa"/>
            <w:vAlign w:val="center"/>
            <w:hideMark/>
          </w:tcPr>
          <w:p w14:paraId="72FE734F" w14:textId="77777777" w:rsidR="00D75E08" w:rsidRPr="001455DC" w:rsidRDefault="00D75E08" w:rsidP="00125DCB">
            <w:pPr>
              <w:pStyle w:val="Tablebody"/>
              <w:keepNext/>
              <w:jc w:val="center"/>
            </w:pPr>
            <w:r w:rsidRPr="001455DC">
              <w:t>1,25</w:t>
            </w:r>
          </w:p>
        </w:tc>
        <w:tc>
          <w:tcPr>
            <w:tcW w:w="1131" w:type="dxa"/>
            <w:tcBorders>
              <w:right w:val="single" w:sz="12" w:space="0" w:color="000000"/>
            </w:tcBorders>
            <w:vAlign w:val="center"/>
            <w:hideMark/>
          </w:tcPr>
          <w:p w14:paraId="269A8A6C" w14:textId="77777777" w:rsidR="00D75E08" w:rsidRPr="001455DC" w:rsidRDefault="00D75E08" w:rsidP="00125DCB">
            <w:pPr>
              <w:pStyle w:val="Tablebody"/>
              <w:keepNext/>
              <w:jc w:val="center"/>
            </w:pPr>
            <w:r w:rsidRPr="001455DC">
              <w:t>1,35</w:t>
            </w:r>
          </w:p>
        </w:tc>
        <w:tc>
          <w:tcPr>
            <w:tcW w:w="1084" w:type="dxa"/>
            <w:vMerge w:val="restart"/>
            <w:tcBorders>
              <w:left w:val="single" w:sz="12" w:space="0" w:color="000000"/>
            </w:tcBorders>
            <w:vAlign w:val="center"/>
            <w:hideMark/>
          </w:tcPr>
          <w:p w14:paraId="1EA6668C" w14:textId="77777777" w:rsidR="00D75E08" w:rsidRPr="001455DC" w:rsidRDefault="00D75E08" w:rsidP="00125DCB">
            <w:pPr>
              <w:pStyle w:val="Tablebody"/>
              <w:keepNext/>
              <w:jc w:val="center"/>
            </w:pPr>
            <w:r w:rsidRPr="001455DC">
              <w:t>(3)</w:t>
            </w:r>
          </w:p>
        </w:tc>
        <w:tc>
          <w:tcPr>
            <w:tcW w:w="1084" w:type="dxa"/>
            <w:vAlign w:val="center"/>
            <w:hideMark/>
          </w:tcPr>
          <w:p w14:paraId="70B8BE48" w14:textId="6A741FD6" w:rsidR="00D75E08" w:rsidRPr="001455DC" w:rsidRDefault="00D75E08" w:rsidP="00125DCB">
            <w:pPr>
              <w:pStyle w:val="Tablebody"/>
              <w:keepNext/>
              <w:jc w:val="center"/>
            </w:pPr>
            <w:r w:rsidRPr="001455DC">
              <w:rPr>
                <w:rFonts w:ascii="Cambria Math" w:hAnsi="Cambria Math"/>
              </w:rPr>
              <w:t>≤</w:t>
            </w:r>
            <w:r w:rsidRPr="001455DC">
              <w:t> 2</w:t>
            </w:r>
          </w:p>
        </w:tc>
        <w:tc>
          <w:tcPr>
            <w:tcW w:w="1084" w:type="dxa"/>
            <w:vAlign w:val="center"/>
            <w:hideMark/>
          </w:tcPr>
          <w:p w14:paraId="7A68BD8C" w14:textId="77777777" w:rsidR="00D75E08" w:rsidRPr="001455DC" w:rsidRDefault="00D75E08" w:rsidP="00125DCB">
            <w:pPr>
              <w:pStyle w:val="Tablebody"/>
              <w:keepNext/>
              <w:jc w:val="center"/>
            </w:pPr>
            <w:r w:rsidRPr="001455DC">
              <w:t>1,25</w:t>
            </w:r>
          </w:p>
        </w:tc>
        <w:tc>
          <w:tcPr>
            <w:tcW w:w="1142" w:type="dxa"/>
            <w:vAlign w:val="center"/>
            <w:hideMark/>
          </w:tcPr>
          <w:p w14:paraId="1F3CAB8F" w14:textId="77777777" w:rsidR="00D75E08" w:rsidRPr="001455DC" w:rsidRDefault="00D75E08" w:rsidP="00125DCB">
            <w:pPr>
              <w:pStyle w:val="Tablebody"/>
              <w:keepNext/>
              <w:jc w:val="center"/>
            </w:pPr>
            <w:r w:rsidRPr="001455DC">
              <w:t>1,40</w:t>
            </w:r>
          </w:p>
        </w:tc>
      </w:tr>
      <w:tr w:rsidR="00D75E08" w:rsidRPr="001455DC" w14:paraId="15D44EFE" w14:textId="77777777" w:rsidTr="009D3012">
        <w:tc>
          <w:tcPr>
            <w:tcW w:w="1083" w:type="dxa"/>
            <w:vMerge/>
            <w:vAlign w:val="center"/>
            <w:hideMark/>
          </w:tcPr>
          <w:p w14:paraId="6D056A5F" w14:textId="77777777" w:rsidR="00D75E08" w:rsidRPr="001455DC" w:rsidRDefault="00D75E08" w:rsidP="00125DCB">
            <w:pPr>
              <w:pStyle w:val="Tablebody"/>
              <w:keepNext/>
              <w:jc w:val="center"/>
            </w:pPr>
          </w:p>
        </w:tc>
        <w:tc>
          <w:tcPr>
            <w:tcW w:w="1083" w:type="dxa"/>
            <w:vAlign w:val="center"/>
            <w:hideMark/>
          </w:tcPr>
          <w:p w14:paraId="03CEAE3C" w14:textId="67D81B7A" w:rsidR="00D75E08" w:rsidRPr="001455DC" w:rsidRDefault="00D75E08" w:rsidP="00125DCB">
            <w:pPr>
              <w:pStyle w:val="Tablebody"/>
              <w:keepNext/>
              <w:jc w:val="center"/>
            </w:pPr>
            <w:r w:rsidRPr="001455DC">
              <w:rPr>
                <w:rFonts w:ascii="Cambria Math" w:hAnsi="Cambria Math"/>
              </w:rPr>
              <w:t>≥</w:t>
            </w:r>
            <w:r w:rsidRPr="001455DC">
              <w:t> 20</w:t>
            </w:r>
          </w:p>
        </w:tc>
        <w:tc>
          <w:tcPr>
            <w:tcW w:w="1083" w:type="dxa"/>
            <w:vAlign w:val="center"/>
            <w:hideMark/>
          </w:tcPr>
          <w:p w14:paraId="2AFEE0AE" w14:textId="77777777" w:rsidR="00D75E08" w:rsidRPr="001455DC" w:rsidRDefault="00D75E08" w:rsidP="00125DCB">
            <w:pPr>
              <w:pStyle w:val="Tablebody"/>
              <w:keepNext/>
              <w:jc w:val="center"/>
            </w:pPr>
            <w:r w:rsidRPr="001455DC">
              <w:t>0,75</w:t>
            </w:r>
          </w:p>
        </w:tc>
        <w:tc>
          <w:tcPr>
            <w:tcW w:w="1131" w:type="dxa"/>
            <w:tcBorders>
              <w:right w:val="single" w:sz="12" w:space="0" w:color="000000"/>
            </w:tcBorders>
            <w:vAlign w:val="center"/>
            <w:hideMark/>
          </w:tcPr>
          <w:p w14:paraId="0EFE457C" w14:textId="77777777" w:rsidR="00D75E08" w:rsidRPr="001455DC" w:rsidRDefault="00D75E08" w:rsidP="00125DCB">
            <w:pPr>
              <w:pStyle w:val="Tablebody"/>
              <w:keepNext/>
              <w:jc w:val="center"/>
            </w:pPr>
            <w:r w:rsidRPr="001455DC">
              <w:t>0,75</w:t>
            </w:r>
          </w:p>
        </w:tc>
        <w:tc>
          <w:tcPr>
            <w:tcW w:w="1084" w:type="dxa"/>
            <w:vMerge/>
            <w:tcBorders>
              <w:left w:val="single" w:sz="12" w:space="0" w:color="000000"/>
            </w:tcBorders>
            <w:vAlign w:val="center"/>
            <w:hideMark/>
          </w:tcPr>
          <w:p w14:paraId="164CDE20" w14:textId="77777777" w:rsidR="00D75E08" w:rsidRPr="001455DC" w:rsidRDefault="00D75E08" w:rsidP="00125DCB">
            <w:pPr>
              <w:pStyle w:val="Tablebody"/>
              <w:keepNext/>
              <w:jc w:val="center"/>
            </w:pPr>
          </w:p>
        </w:tc>
        <w:tc>
          <w:tcPr>
            <w:tcW w:w="1084" w:type="dxa"/>
            <w:vAlign w:val="center"/>
            <w:hideMark/>
          </w:tcPr>
          <w:p w14:paraId="1DF24061" w14:textId="503B0A59" w:rsidR="00D75E08" w:rsidRPr="001455DC" w:rsidRDefault="00D75E08" w:rsidP="00125DCB">
            <w:pPr>
              <w:pStyle w:val="Tablebody"/>
              <w:keepNext/>
              <w:jc w:val="center"/>
            </w:pPr>
            <w:r w:rsidRPr="001455DC">
              <w:rPr>
                <w:rFonts w:ascii="Cambria Math" w:hAnsi="Cambria Math"/>
              </w:rPr>
              <w:t>≥</w:t>
            </w:r>
            <w:r w:rsidRPr="001455DC">
              <w:t> 20</w:t>
            </w:r>
          </w:p>
        </w:tc>
        <w:tc>
          <w:tcPr>
            <w:tcW w:w="1084" w:type="dxa"/>
            <w:vAlign w:val="center"/>
            <w:hideMark/>
          </w:tcPr>
          <w:p w14:paraId="719C790A" w14:textId="77777777" w:rsidR="00D75E08" w:rsidRPr="001455DC" w:rsidRDefault="00D75E08" w:rsidP="00125DCB">
            <w:pPr>
              <w:pStyle w:val="Tablebody"/>
              <w:keepNext/>
              <w:jc w:val="center"/>
            </w:pPr>
            <w:r w:rsidRPr="001455DC">
              <w:t>0,55</w:t>
            </w:r>
          </w:p>
        </w:tc>
        <w:tc>
          <w:tcPr>
            <w:tcW w:w="1142" w:type="dxa"/>
            <w:vAlign w:val="center"/>
            <w:hideMark/>
          </w:tcPr>
          <w:p w14:paraId="1ADC707E" w14:textId="77777777" w:rsidR="00D75E08" w:rsidRPr="001455DC" w:rsidRDefault="00D75E08" w:rsidP="00125DCB">
            <w:pPr>
              <w:pStyle w:val="Tablebody"/>
              <w:keepNext/>
              <w:jc w:val="center"/>
            </w:pPr>
            <w:r w:rsidRPr="001455DC">
              <w:t>0,55</w:t>
            </w:r>
          </w:p>
        </w:tc>
      </w:tr>
      <w:tr w:rsidR="00D75E08" w:rsidRPr="001455DC" w14:paraId="13FADA16" w14:textId="77777777" w:rsidTr="009D3012">
        <w:tc>
          <w:tcPr>
            <w:tcW w:w="1083" w:type="dxa"/>
            <w:vMerge w:val="restart"/>
            <w:vAlign w:val="center"/>
            <w:hideMark/>
          </w:tcPr>
          <w:p w14:paraId="0CE7291D" w14:textId="77777777" w:rsidR="00D75E08" w:rsidRPr="001455DC" w:rsidRDefault="00D75E08" w:rsidP="00125DCB">
            <w:pPr>
              <w:pStyle w:val="Tablebody"/>
              <w:keepNext/>
              <w:jc w:val="center"/>
            </w:pPr>
            <w:r w:rsidRPr="001455DC">
              <w:t>(4)</w:t>
            </w:r>
          </w:p>
        </w:tc>
        <w:tc>
          <w:tcPr>
            <w:tcW w:w="1083" w:type="dxa"/>
            <w:vAlign w:val="center"/>
            <w:hideMark/>
          </w:tcPr>
          <w:p w14:paraId="1B20F1EA" w14:textId="18CFE000" w:rsidR="00D75E08" w:rsidRPr="001455DC" w:rsidRDefault="00D75E08" w:rsidP="00125DCB">
            <w:pPr>
              <w:pStyle w:val="Tablebody"/>
              <w:keepNext/>
              <w:jc w:val="center"/>
            </w:pPr>
            <w:r w:rsidRPr="001455DC">
              <w:rPr>
                <w:rFonts w:ascii="Cambria Math" w:hAnsi="Cambria Math"/>
              </w:rPr>
              <w:t>≤</w:t>
            </w:r>
            <w:r w:rsidRPr="001455DC">
              <w:t> 2</w:t>
            </w:r>
          </w:p>
        </w:tc>
        <w:tc>
          <w:tcPr>
            <w:tcW w:w="1083" w:type="dxa"/>
            <w:vAlign w:val="center"/>
            <w:hideMark/>
          </w:tcPr>
          <w:p w14:paraId="59ED5035" w14:textId="77777777" w:rsidR="00D75E08" w:rsidRPr="001455DC" w:rsidRDefault="00D75E08" w:rsidP="00125DCB">
            <w:pPr>
              <w:pStyle w:val="Tablebody"/>
              <w:keepNext/>
              <w:jc w:val="center"/>
            </w:pPr>
            <w:r w:rsidRPr="001455DC">
              <w:t>0,80</w:t>
            </w:r>
          </w:p>
        </w:tc>
        <w:tc>
          <w:tcPr>
            <w:tcW w:w="1131" w:type="dxa"/>
            <w:tcBorders>
              <w:right w:val="single" w:sz="12" w:space="0" w:color="000000"/>
            </w:tcBorders>
            <w:vAlign w:val="center"/>
            <w:hideMark/>
          </w:tcPr>
          <w:p w14:paraId="002AF5EC" w14:textId="77777777" w:rsidR="00D75E08" w:rsidRPr="001455DC" w:rsidRDefault="00D75E08" w:rsidP="00125DCB">
            <w:pPr>
              <w:pStyle w:val="Tablebody"/>
              <w:keepNext/>
              <w:jc w:val="center"/>
            </w:pPr>
            <w:r w:rsidRPr="001455DC">
              <w:t>0,85</w:t>
            </w:r>
          </w:p>
        </w:tc>
        <w:tc>
          <w:tcPr>
            <w:tcW w:w="1084" w:type="dxa"/>
            <w:vMerge w:val="restart"/>
            <w:tcBorders>
              <w:left w:val="single" w:sz="12" w:space="0" w:color="000000"/>
            </w:tcBorders>
            <w:vAlign w:val="center"/>
            <w:hideMark/>
          </w:tcPr>
          <w:p w14:paraId="409B5F94" w14:textId="77777777" w:rsidR="00D75E08" w:rsidRPr="001455DC" w:rsidRDefault="00D75E08" w:rsidP="00125DCB">
            <w:pPr>
              <w:pStyle w:val="Tablebody"/>
              <w:keepNext/>
              <w:jc w:val="center"/>
            </w:pPr>
            <w:r w:rsidRPr="001455DC">
              <w:t>(4)</w:t>
            </w:r>
          </w:p>
        </w:tc>
        <w:tc>
          <w:tcPr>
            <w:tcW w:w="1084" w:type="dxa"/>
            <w:vAlign w:val="center"/>
            <w:hideMark/>
          </w:tcPr>
          <w:p w14:paraId="23AE7A0A" w14:textId="6446E81A" w:rsidR="00D75E08" w:rsidRPr="001455DC" w:rsidRDefault="00D75E08" w:rsidP="00125DCB">
            <w:pPr>
              <w:pStyle w:val="Tablebody"/>
              <w:keepNext/>
              <w:jc w:val="center"/>
            </w:pPr>
            <w:r w:rsidRPr="001455DC">
              <w:rPr>
                <w:rFonts w:ascii="Cambria Math" w:hAnsi="Cambria Math"/>
              </w:rPr>
              <w:t>≤</w:t>
            </w:r>
            <w:r w:rsidRPr="001455DC">
              <w:t> 2</w:t>
            </w:r>
          </w:p>
        </w:tc>
        <w:tc>
          <w:tcPr>
            <w:tcW w:w="1084" w:type="dxa"/>
            <w:vAlign w:val="center"/>
            <w:hideMark/>
          </w:tcPr>
          <w:p w14:paraId="778C8E8C" w14:textId="77777777" w:rsidR="00D75E08" w:rsidRPr="001455DC" w:rsidRDefault="00D75E08" w:rsidP="00125DCB">
            <w:pPr>
              <w:pStyle w:val="Tablebody"/>
              <w:keepNext/>
              <w:jc w:val="center"/>
            </w:pPr>
            <w:r w:rsidRPr="001455DC">
              <w:t>0,75</w:t>
            </w:r>
          </w:p>
        </w:tc>
        <w:tc>
          <w:tcPr>
            <w:tcW w:w="1142" w:type="dxa"/>
            <w:vAlign w:val="center"/>
            <w:hideMark/>
          </w:tcPr>
          <w:p w14:paraId="6645848C" w14:textId="77777777" w:rsidR="00D75E08" w:rsidRPr="001455DC" w:rsidRDefault="00D75E08" w:rsidP="00125DCB">
            <w:pPr>
              <w:pStyle w:val="Tablebody"/>
              <w:keepNext/>
              <w:jc w:val="center"/>
            </w:pPr>
            <w:r w:rsidRPr="001455DC">
              <w:t>0,90</w:t>
            </w:r>
          </w:p>
        </w:tc>
      </w:tr>
      <w:tr w:rsidR="00D75E08" w:rsidRPr="001455DC" w14:paraId="714DBADB" w14:textId="77777777" w:rsidTr="009D3012">
        <w:tc>
          <w:tcPr>
            <w:tcW w:w="1083" w:type="dxa"/>
            <w:vMerge/>
            <w:tcBorders>
              <w:bottom w:val="single" w:sz="12" w:space="0" w:color="000000"/>
            </w:tcBorders>
            <w:vAlign w:val="center"/>
            <w:hideMark/>
          </w:tcPr>
          <w:p w14:paraId="198D2EB3" w14:textId="77777777" w:rsidR="00D75E08" w:rsidRPr="001455DC" w:rsidRDefault="00D75E08" w:rsidP="00125DCB">
            <w:pPr>
              <w:pStyle w:val="Tablebody"/>
              <w:keepNext/>
              <w:jc w:val="center"/>
            </w:pPr>
          </w:p>
        </w:tc>
        <w:tc>
          <w:tcPr>
            <w:tcW w:w="1083" w:type="dxa"/>
            <w:tcBorders>
              <w:bottom w:val="single" w:sz="12" w:space="0" w:color="000000"/>
            </w:tcBorders>
            <w:vAlign w:val="center"/>
            <w:hideMark/>
          </w:tcPr>
          <w:p w14:paraId="58453F0D" w14:textId="61B010F0" w:rsidR="00D75E08" w:rsidRPr="001455DC" w:rsidRDefault="00D75E08" w:rsidP="00125DCB">
            <w:pPr>
              <w:pStyle w:val="Tablebody"/>
              <w:keepNext/>
              <w:jc w:val="center"/>
            </w:pPr>
            <w:r w:rsidRPr="001455DC">
              <w:rPr>
                <w:rFonts w:ascii="Cambria Math" w:hAnsi="Cambria Math"/>
              </w:rPr>
              <w:t>≥</w:t>
            </w:r>
            <w:r w:rsidRPr="001455DC">
              <w:t> 20</w:t>
            </w:r>
          </w:p>
        </w:tc>
        <w:tc>
          <w:tcPr>
            <w:tcW w:w="1083" w:type="dxa"/>
            <w:tcBorders>
              <w:bottom w:val="single" w:sz="12" w:space="0" w:color="000000"/>
            </w:tcBorders>
            <w:vAlign w:val="center"/>
            <w:hideMark/>
          </w:tcPr>
          <w:p w14:paraId="7390AE23" w14:textId="77777777" w:rsidR="00D75E08" w:rsidRPr="001455DC" w:rsidRDefault="00D75E08" w:rsidP="00125DCB">
            <w:pPr>
              <w:pStyle w:val="Tablebody"/>
              <w:keepNext/>
              <w:jc w:val="center"/>
            </w:pPr>
            <w:r w:rsidRPr="001455DC">
              <w:t>0,40</w:t>
            </w:r>
          </w:p>
        </w:tc>
        <w:tc>
          <w:tcPr>
            <w:tcW w:w="1131" w:type="dxa"/>
            <w:tcBorders>
              <w:bottom w:val="single" w:sz="12" w:space="0" w:color="000000"/>
              <w:right w:val="single" w:sz="12" w:space="0" w:color="000000"/>
            </w:tcBorders>
            <w:vAlign w:val="center"/>
            <w:hideMark/>
          </w:tcPr>
          <w:p w14:paraId="10755B72" w14:textId="77777777" w:rsidR="00D75E08" w:rsidRPr="001455DC" w:rsidRDefault="00D75E08" w:rsidP="00125DCB">
            <w:pPr>
              <w:pStyle w:val="Tablebody"/>
              <w:keepNext/>
              <w:jc w:val="center"/>
            </w:pPr>
            <w:r w:rsidRPr="001455DC">
              <w:t>0,40</w:t>
            </w:r>
          </w:p>
        </w:tc>
        <w:tc>
          <w:tcPr>
            <w:tcW w:w="1084" w:type="dxa"/>
            <w:vMerge/>
            <w:tcBorders>
              <w:left w:val="single" w:sz="12" w:space="0" w:color="000000"/>
              <w:bottom w:val="single" w:sz="12" w:space="0" w:color="000000"/>
            </w:tcBorders>
            <w:vAlign w:val="center"/>
            <w:hideMark/>
          </w:tcPr>
          <w:p w14:paraId="5632156E" w14:textId="77777777" w:rsidR="00D75E08" w:rsidRPr="001455DC" w:rsidRDefault="00D75E08" w:rsidP="00125DCB">
            <w:pPr>
              <w:pStyle w:val="Tablebody"/>
              <w:keepNext/>
              <w:jc w:val="center"/>
            </w:pPr>
          </w:p>
        </w:tc>
        <w:tc>
          <w:tcPr>
            <w:tcW w:w="1084" w:type="dxa"/>
            <w:tcBorders>
              <w:bottom w:val="single" w:sz="12" w:space="0" w:color="000000"/>
            </w:tcBorders>
            <w:vAlign w:val="center"/>
            <w:hideMark/>
          </w:tcPr>
          <w:p w14:paraId="5A6D0124" w14:textId="5E124AB7" w:rsidR="00D75E08" w:rsidRPr="001455DC" w:rsidRDefault="00D75E08" w:rsidP="00125DCB">
            <w:pPr>
              <w:pStyle w:val="Tablebody"/>
              <w:keepNext/>
              <w:jc w:val="center"/>
            </w:pPr>
            <w:r w:rsidRPr="001455DC">
              <w:rPr>
                <w:rFonts w:ascii="Cambria Math" w:hAnsi="Cambria Math"/>
              </w:rPr>
              <w:t>≥</w:t>
            </w:r>
            <w:r w:rsidRPr="001455DC">
              <w:t> 20</w:t>
            </w:r>
          </w:p>
        </w:tc>
        <w:tc>
          <w:tcPr>
            <w:tcW w:w="1084" w:type="dxa"/>
            <w:tcBorders>
              <w:bottom w:val="single" w:sz="12" w:space="0" w:color="000000"/>
            </w:tcBorders>
            <w:vAlign w:val="center"/>
            <w:hideMark/>
          </w:tcPr>
          <w:p w14:paraId="22D1A1C3" w14:textId="77777777" w:rsidR="00D75E08" w:rsidRPr="001455DC" w:rsidRDefault="00D75E08" w:rsidP="00125DCB">
            <w:pPr>
              <w:pStyle w:val="Tablebody"/>
              <w:keepNext/>
              <w:jc w:val="center"/>
            </w:pPr>
            <w:r w:rsidRPr="001455DC">
              <w:t>0,35</w:t>
            </w:r>
          </w:p>
        </w:tc>
        <w:tc>
          <w:tcPr>
            <w:tcW w:w="1142" w:type="dxa"/>
            <w:tcBorders>
              <w:bottom w:val="single" w:sz="12" w:space="0" w:color="000000"/>
            </w:tcBorders>
            <w:vAlign w:val="center"/>
            <w:hideMark/>
          </w:tcPr>
          <w:p w14:paraId="5F378DF4" w14:textId="77777777" w:rsidR="00D75E08" w:rsidRPr="001455DC" w:rsidRDefault="00D75E08" w:rsidP="00125DCB">
            <w:pPr>
              <w:pStyle w:val="Tablebody"/>
              <w:keepNext/>
              <w:jc w:val="center"/>
            </w:pPr>
            <w:r w:rsidRPr="001455DC">
              <w:t>0,30</w:t>
            </w:r>
          </w:p>
        </w:tc>
      </w:tr>
      <w:tr w:rsidR="00D75E08" w:rsidRPr="001455DC" w14:paraId="2812BA58" w14:textId="77777777" w:rsidTr="009D3012">
        <w:tc>
          <w:tcPr>
            <w:tcW w:w="4380" w:type="dxa"/>
            <w:gridSpan w:val="4"/>
            <w:tcBorders>
              <w:top w:val="single" w:sz="12" w:space="0" w:color="000000"/>
              <w:bottom w:val="single" w:sz="6" w:space="0" w:color="000000"/>
              <w:right w:val="single" w:sz="12" w:space="0" w:color="000000"/>
            </w:tcBorders>
            <w:vAlign w:val="center"/>
          </w:tcPr>
          <w:p w14:paraId="52AECE30" w14:textId="5D5DC30F" w:rsidR="00D75E08" w:rsidRPr="009D3012" w:rsidRDefault="00D75E08" w:rsidP="00125DCB">
            <w:pPr>
              <w:pStyle w:val="Tablebody"/>
              <w:keepNext/>
              <w:jc w:val="center"/>
              <w:rPr>
                <w:rStyle w:val="CCMCvariableitalic"/>
                <w:b/>
                <w:lang w:val="en-US"/>
              </w:rPr>
            </w:pPr>
            <w:r w:rsidRPr="009D3012">
              <w:rPr>
                <w:b/>
                <w:lang w:val="en-US"/>
              </w:rPr>
              <w:t>c) continuous members (end span)</w:t>
            </w:r>
          </w:p>
        </w:tc>
        <w:tc>
          <w:tcPr>
            <w:tcW w:w="4394" w:type="dxa"/>
            <w:gridSpan w:val="4"/>
            <w:tcBorders>
              <w:top w:val="single" w:sz="12" w:space="0" w:color="000000"/>
              <w:left w:val="single" w:sz="12" w:space="0" w:color="000000"/>
              <w:bottom w:val="single" w:sz="6" w:space="0" w:color="000000"/>
            </w:tcBorders>
            <w:vAlign w:val="center"/>
          </w:tcPr>
          <w:p w14:paraId="17656650" w14:textId="0892B56E" w:rsidR="00D75E08" w:rsidRPr="009D3012" w:rsidRDefault="00D75E08" w:rsidP="00125DCB">
            <w:pPr>
              <w:pStyle w:val="Tablebody"/>
              <w:keepNext/>
              <w:jc w:val="center"/>
              <w:rPr>
                <w:rStyle w:val="CCMCvariableitalic"/>
                <w:b/>
                <w:lang w:val="en-US"/>
              </w:rPr>
            </w:pPr>
            <w:r w:rsidRPr="009D3012">
              <w:rPr>
                <w:b/>
                <w:lang w:val="en-US"/>
              </w:rPr>
              <w:t>d) continuous members (intermediate support area)</w:t>
            </w:r>
          </w:p>
        </w:tc>
      </w:tr>
      <w:tr w:rsidR="00D75E08" w:rsidRPr="001455DC" w14:paraId="1D957B64" w14:textId="77777777" w:rsidTr="009D3012">
        <w:tc>
          <w:tcPr>
            <w:tcW w:w="1083" w:type="dxa"/>
            <w:tcBorders>
              <w:top w:val="single" w:sz="6" w:space="0" w:color="000000"/>
              <w:bottom w:val="single" w:sz="12" w:space="0" w:color="000000"/>
            </w:tcBorders>
            <w:vAlign w:val="center"/>
          </w:tcPr>
          <w:p w14:paraId="71838D0B" w14:textId="76EF6F51" w:rsidR="00D75E08" w:rsidRPr="009D3012" w:rsidRDefault="00D75E08" w:rsidP="00125DCB">
            <w:pPr>
              <w:pStyle w:val="Tablebody"/>
              <w:keepNext/>
              <w:jc w:val="center"/>
              <w:rPr>
                <w:lang w:val="en-US"/>
              </w:rPr>
            </w:pPr>
            <w:r w:rsidRPr="009D3012">
              <w:rPr>
                <w:lang w:val="en-US"/>
              </w:rPr>
              <w:t> </w:t>
            </w:r>
          </w:p>
        </w:tc>
        <w:tc>
          <w:tcPr>
            <w:tcW w:w="1083" w:type="dxa"/>
            <w:tcBorders>
              <w:top w:val="single" w:sz="6" w:space="0" w:color="000000"/>
              <w:bottom w:val="single" w:sz="12" w:space="0" w:color="000000"/>
            </w:tcBorders>
            <w:vAlign w:val="center"/>
            <w:hideMark/>
          </w:tcPr>
          <w:p w14:paraId="5EC6DF59" w14:textId="77777777" w:rsidR="00D75E08" w:rsidRPr="001455DC" w:rsidRDefault="00D75E08" w:rsidP="00125DCB">
            <w:pPr>
              <w:pStyle w:val="Tablebody"/>
              <w:keepNext/>
              <w:jc w:val="center"/>
            </w:pPr>
            <w:r w:rsidRPr="001455DC">
              <w:rPr>
                <w:rStyle w:val="CCMCvariableitalic"/>
              </w:rPr>
              <w:t>L</w:t>
            </w:r>
            <w:r w:rsidRPr="001455DC">
              <w:t xml:space="preserve"> [m]</w:t>
            </w:r>
          </w:p>
        </w:tc>
        <w:tc>
          <w:tcPr>
            <w:tcW w:w="1083" w:type="dxa"/>
            <w:tcBorders>
              <w:top w:val="single" w:sz="6" w:space="0" w:color="000000"/>
              <w:bottom w:val="single" w:sz="12" w:space="0" w:color="000000"/>
            </w:tcBorders>
            <w:vAlign w:val="center"/>
            <w:hideMark/>
          </w:tcPr>
          <w:p w14:paraId="0E733905" w14:textId="77777777" w:rsidR="00D75E08" w:rsidRPr="001455DC" w:rsidRDefault="00D75E08" w:rsidP="00125DCB">
            <w:pPr>
              <w:pStyle w:val="Tablebody"/>
              <w:keepNext/>
              <w:jc w:val="center"/>
            </w:pPr>
            <w:r w:rsidRPr="001455DC">
              <w:rPr>
                <w:rStyle w:val="CCMCvariableitalic"/>
              </w:rPr>
              <w:t>STM</w:t>
            </w:r>
          </w:p>
        </w:tc>
        <w:tc>
          <w:tcPr>
            <w:tcW w:w="1131" w:type="dxa"/>
            <w:tcBorders>
              <w:top w:val="single" w:sz="6" w:space="0" w:color="000000"/>
              <w:bottom w:val="single" w:sz="12" w:space="0" w:color="000000"/>
              <w:right w:val="single" w:sz="12" w:space="0" w:color="000000"/>
            </w:tcBorders>
            <w:vAlign w:val="center"/>
            <w:hideMark/>
          </w:tcPr>
          <w:p w14:paraId="755F2691" w14:textId="77777777" w:rsidR="00D75E08" w:rsidRPr="001455DC" w:rsidRDefault="00D75E08" w:rsidP="00125DCB">
            <w:pPr>
              <w:pStyle w:val="Tablebody"/>
              <w:keepNext/>
              <w:jc w:val="center"/>
            </w:pPr>
            <w:r w:rsidRPr="001455DC">
              <w:rPr>
                <w:rStyle w:val="CCMCvariableitalic"/>
              </w:rPr>
              <w:t>HTM</w:t>
            </w:r>
          </w:p>
        </w:tc>
        <w:tc>
          <w:tcPr>
            <w:tcW w:w="1084" w:type="dxa"/>
            <w:tcBorders>
              <w:top w:val="single" w:sz="6" w:space="0" w:color="000000"/>
              <w:left w:val="single" w:sz="12" w:space="0" w:color="000000"/>
              <w:bottom w:val="single" w:sz="12" w:space="0" w:color="000000"/>
            </w:tcBorders>
            <w:vAlign w:val="center"/>
          </w:tcPr>
          <w:p w14:paraId="5CEC0B59" w14:textId="423E9BB4" w:rsidR="00D75E08" w:rsidRPr="001455DC" w:rsidRDefault="00D75E08" w:rsidP="00125DCB">
            <w:pPr>
              <w:pStyle w:val="Tablebody"/>
              <w:keepNext/>
              <w:jc w:val="center"/>
            </w:pPr>
            <w:r w:rsidRPr="001455DC">
              <w:t> </w:t>
            </w:r>
          </w:p>
        </w:tc>
        <w:tc>
          <w:tcPr>
            <w:tcW w:w="1084" w:type="dxa"/>
            <w:tcBorders>
              <w:top w:val="single" w:sz="6" w:space="0" w:color="000000"/>
              <w:bottom w:val="single" w:sz="12" w:space="0" w:color="000000"/>
            </w:tcBorders>
            <w:vAlign w:val="center"/>
            <w:hideMark/>
          </w:tcPr>
          <w:p w14:paraId="667C4845" w14:textId="77777777" w:rsidR="00D75E08" w:rsidRPr="001455DC" w:rsidRDefault="00D75E08" w:rsidP="00125DCB">
            <w:pPr>
              <w:pStyle w:val="Tablebody"/>
              <w:keepNext/>
              <w:jc w:val="center"/>
            </w:pPr>
            <w:r w:rsidRPr="001455DC">
              <w:rPr>
                <w:rStyle w:val="CCMCvariableitalic"/>
              </w:rPr>
              <w:t>L</w:t>
            </w:r>
            <w:r w:rsidRPr="001455DC">
              <w:t xml:space="preserve"> [m]</w:t>
            </w:r>
          </w:p>
        </w:tc>
        <w:tc>
          <w:tcPr>
            <w:tcW w:w="1084" w:type="dxa"/>
            <w:tcBorders>
              <w:top w:val="single" w:sz="6" w:space="0" w:color="000000"/>
              <w:bottom w:val="single" w:sz="12" w:space="0" w:color="000000"/>
            </w:tcBorders>
            <w:vAlign w:val="center"/>
            <w:hideMark/>
          </w:tcPr>
          <w:p w14:paraId="48ED7155" w14:textId="77777777" w:rsidR="00D75E08" w:rsidRPr="001455DC" w:rsidRDefault="00D75E08" w:rsidP="00125DCB">
            <w:pPr>
              <w:pStyle w:val="Tablebody"/>
              <w:keepNext/>
              <w:jc w:val="center"/>
            </w:pPr>
            <w:r w:rsidRPr="001455DC">
              <w:rPr>
                <w:rStyle w:val="CCMCvariableitalic"/>
              </w:rPr>
              <w:t>STM</w:t>
            </w:r>
          </w:p>
        </w:tc>
        <w:tc>
          <w:tcPr>
            <w:tcW w:w="1142" w:type="dxa"/>
            <w:tcBorders>
              <w:top w:val="single" w:sz="6" w:space="0" w:color="000000"/>
              <w:bottom w:val="single" w:sz="12" w:space="0" w:color="000000"/>
            </w:tcBorders>
            <w:vAlign w:val="center"/>
            <w:hideMark/>
          </w:tcPr>
          <w:p w14:paraId="5821A3CB" w14:textId="77777777" w:rsidR="00D75E08" w:rsidRPr="001455DC" w:rsidRDefault="00D75E08" w:rsidP="00125DCB">
            <w:pPr>
              <w:pStyle w:val="Tablebody"/>
              <w:keepNext/>
              <w:jc w:val="center"/>
            </w:pPr>
            <w:r w:rsidRPr="001455DC">
              <w:rPr>
                <w:rStyle w:val="CCMCvariableitalic"/>
              </w:rPr>
              <w:t>HTM</w:t>
            </w:r>
          </w:p>
        </w:tc>
      </w:tr>
      <w:tr w:rsidR="00D75E08" w:rsidRPr="001455DC" w14:paraId="3151E500" w14:textId="77777777" w:rsidTr="009D3012">
        <w:tc>
          <w:tcPr>
            <w:tcW w:w="1083" w:type="dxa"/>
            <w:vMerge w:val="restart"/>
            <w:tcBorders>
              <w:top w:val="single" w:sz="12" w:space="0" w:color="000000"/>
            </w:tcBorders>
            <w:vAlign w:val="center"/>
            <w:hideMark/>
          </w:tcPr>
          <w:p w14:paraId="0AAB5A3D" w14:textId="77777777" w:rsidR="00D75E08" w:rsidRPr="001455DC" w:rsidRDefault="00D75E08" w:rsidP="00125DCB">
            <w:pPr>
              <w:pStyle w:val="Tablebody"/>
              <w:keepNext/>
              <w:jc w:val="center"/>
            </w:pPr>
            <w:r w:rsidRPr="001455DC">
              <w:t>(1)</w:t>
            </w:r>
          </w:p>
        </w:tc>
        <w:tc>
          <w:tcPr>
            <w:tcW w:w="1083" w:type="dxa"/>
            <w:tcBorders>
              <w:top w:val="single" w:sz="12" w:space="0" w:color="000000"/>
            </w:tcBorders>
            <w:vAlign w:val="center"/>
            <w:hideMark/>
          </w:tcPr>
          <w:p w14:paraId="6AB17E65" w14:textId="1EA591B4" w:rsidR="00D75E08" w:rsidRPr="001455DC" w:rsidRDefault="00D75E08" w:rsidP="00125DCB">
            <w:pPr>
              <w:pStyle w:val="Tablebody"/>
              <w:keepNext/>
              <w:jc w:val="center"/>
            </w:pPr>
            <w:r w:rsidRPr="001455DC">
              <w:rPr>
                <w:rFonts w:ascii="Cambria Math" w:hAnsi="Cambria Math"/>
              </w:rPr>
              <w:t>≤</w:t>
            </w:r>
            <w:r w:rsidRPr="001455DC">
              <w:t> 2</w:t>
            </w:r>
          </w:p>
        </w:tc>
        <w:tc>
          <w:tcPr>
            <w:tcW w:w="1083" w:type="dxa"/>
            <w:tcBorders>
              <w:top w:val="single" w:sz="12" w:space="0" w:color="000000"/>
            </w:tcBorders>
            <w:vAlign w:val="center"/>
            <w:hideMark/>
          </w:tcPr>
          <w:p w14:paraId="364AD749" w14:textId="77777777" w:rsidR="00D75E08" w:rsidRPr="001455DC" w:rsidRDefault="00D75E08" w:rsidP="00125DCB">
            <w:pPr>
              <w:pStyle w:val="Tablebody"/>
              <w:keepNext/>
              <w:jc w:val="center"/>
            </w:pPr>
            <w:r w:rsidRPr="001455DC">
              <w:t>0,90</w:t>
            </w:r>
          </w:p>
        </w:tc>
        <w:tc>
          <w:tcPr>
            <w:tcW w:w="1131" w:type="dxa"/>
            <w:tcBorders>
              <w:top w:val="single" w:sz="12" w:space="0" w:color="000000"/>
              <w:right w:val="single" w:sz="12" w:space="0" w:color="000000"/>
            </w:tcBorders>
            <w:vAlign w:val="center"/>
            <w:hideMark/>
          </w:tcPr>
          <w:p w14:paraId="7031E941" w14:textId="77777777" w:rsidR="00D75E08" w:rsidRPr="001455DC" w:rsidRDefault="00D75E08" w:rsidP="00125DCB">
            <w:pPr>
              <w:pStyle w:val="Tablebody"/>
              <w:keepNext/>
              <w:jc w:val="center"/>
            </w:pPr>
            <w:r w:rsidRPr="001455DC">
              <w:t>1,00</w:t>
            </w:r>
          </w:p>
        </w:tc>
        <w:tc>
          <w:tcPr>
            <w:tcW w:w="1084" w:type="dxa"/>
            <w:vMerge w:val="restart"/>
            <w:tcBorders>
              <w:top w:val="single" w:sz="12" w:space="0" w:color="000000"/>
              <w:left w:val="single" w:sz="12" w:space="0" w:color="000000"/>
            </w:tcBorders>
            <w:vAlign w:val="center"/>
            <w:hideMark/>
          </w:tcPr>
          <w:p w14:paraId="15481093" w14:textId="77777777" w:rsidR="00D75E08" w:rsidRPr="001455DC" w:rsidRDefault="00D75E08" w:rsidP="00125DCB">
            <w:pPr>
              <w:pStyle w:val="Tablebody"/>
              <w:keepNext/>
              <w:jc w:val="center"/>
            </w:pPr>
            <w:r w:rsidRPr="001455DC">
              <w:t>(1)</w:t>
            </w:r>
          </w:p>
        </w:tc>
        <w:tc>
          <w:tcPr>
            <w:tcW w:w="1084" w:type="dxa"/>
            <w:tcBorders>
              <w:top w:val="single" w:sz="12" w:space="0" w:color="000000"/>
            </w:tcBorders>
            <w:vAlign w:val="center"/>
            <w:hideMark/>
          </w:tcPr>
          <w:p w14:paraId="08B0A0B0" w14:textId="5A78854C" w:rsidR="00D75E08" w:rsidRPr="001455DC" w:rsidRDefault="00D75E08" w:rsidP="00125DCB">
            <w:pPr>
              <w:pStyle w:val="Tablebody"/>
              <w:keepNext/>
              <w:jc w:val="center"/>
            </w:pPr>
            <w:r w:rsidRPr="001455DC">
              <w:rPr>
                <w:rFonts w:ascii="Cambria Math" w:hAnsi="Cambria Math"/>
              </w:rPr>
              <w:t>≤</w:t>
            </w:r>
            <w:r w:rsidRPr="001455DC">
              <w:t> 2</w:t>
            </w:r>
          </w:p>
        </w:tc>
        <w:tc>
          <w:tcPr>
            <w:tcW w:w="1084" w:type="dxa"/>
            <w:tcBorders>
              <w:top w:val="single" w:sz="12" w:space="0" w:color="000000"/>
            </w:tcBorders>
            <w:vAlign w:val="center"/>
            <w:hideMark/>
          </w:tcPr>
          <w:p w14:paraId="7B1125C6" w14:textId="77777777" w:rsidR="00D75E08" w:rsidRPr="001455DC" w:rsidRDefault="00D75E08" w:rsidP="00125DCB">
            <w:pPr>
              <w:pStyle w:val="Tablebody"/>
              <w:keepNext/>
              <w:jc w:val="center"/>
            </w:pPr>
            <w:r w:rsidRPr="001455DC">
              <w:t>0,85</w:t>
            </w:r>
          </w:p>
        </w:tc>
        <w:tc>
          <w:tcPr>
            <w:tcW w:w="1142" w:type="dxa"/>
            <w:tcBorders>
              <w:top w:val="single" w:sz="12" w:space="0" w:color="000000"/>
            </w:tcBorders>
            <w:vAlign w:val="center"/>
            <w:hideMark/>
          </w:tcPr>
          <w:p w14:paraId="5BE312B7" w14:textId="77777777" w:rsidR="00D75E08" w:rsidRPr="001455DC" w:rsidRDefault="00D75E08" w:rsidP="00125DCB">
            <w:pPr>
              <w:pStyle w:val="Tablebody"/>
              <w:keepNext/>
              <w:jc w:val="center"/>
            </w:pPr>
            <w:r w:rsidRPr="001455DC">
              <w:t>0,85</w:t>
            </w:r>
          </w:p>
        </w:tc>
      </w:tr>
      <w:tr w:rsidR="00D75E08" w:rsidRPr="001455DC" w14:paraId="51FB882A" w14:textId="77777777" w:rsidTr="009D3012">
        <w:tc>
          <w:tcPr>
            <w:tcW w:w="1083" w:type="dxa"/>
            <w:vMerge/>
            <w:vAlign w:val="center"/>
            <w:hideMark/>
          </w:tcPr>
          <w:p w14:paraId="2DCB07C5" w14:textId="77777777" w:rsidR="00D75E08" w:rsidRPr="001455DC" w:rsidRDefault="00D75E08" w:rsidP="00125DCB">
            <w:pPr>
              <w:pStyle w:val="Tablebody"/>
              <w:keepNext/>
              <w:jc w:val="center"/>
            </w:pPr>
          </w:p>
        </w:tc>
        <w:tc>
          <w:tcPr>
            <w:tcW w:w="1083" w:type="dxa"/>
            <w:vAlign w:val="center"/>
            <w:hideMark/>
          </w:tcPr>
          <w:p w14:paraId="60F5D114" w14:textId="0A2A54C7" w:rsidR="00D75E08" w:rsidRPr="001455DC" w:rsidRDefault="00D75E08" w:rsidP="00125DCB">
            <w:pPr>
              <w:pStyle w:val="Tablebody"/>
              <w:keepNext/>
              <w:jc w:val="center"/>
            </w:pPr>
            <w:r w:rsidRPr="001455DC">
              <w:rPr>
                <w:rFonts w:ascii="Cambria Math" w:hAnsi="Cambria Math"/>
              </w:rPr>
              <w:t>≥</w:t>
            </w:r>
            <w:r w:rsidRPr="001455DC">
              <w:t> 20</w:t>
            </w:r>
          </w:p>
        </w:tc>
        <w:tc>
          <w:tcPr>
            <w:tcW w:w="1083" w:type="dxa"/>
            <w:vAlign w:val="center"/>
            <w:hideMark/>
          </w:tcPr>
          <w:p w14:paraId="5162D52A" w14:textId="77777777" w:rsidR="00D75E08" w:rsidRPr="001455DC" w:rsidRDefault="00D75E08" w:rsidP="00125DCB">
            <w:pPr>
              <w:pStyle w:val="Tablebody"/>
              <w:keepNext/>
              <w:jc w:val="center"/>
            </w:pPr>
            <w:r w:rsidRPr="001455DC">
              <w:t>0,65</w:t>
            </w:r>
          </w:p>
        </w:tc>
        <w:tc>
          <w:tcPr>
            <w:tcW w:w="1131" w:type="dxa"/>
            <w:tcBorders>
              <w:right w:val="single" w:sz="12" w:space="0" w:color="000000"/>
            </w:tcBorders>
            <w:vAlign w:val="center"/>
            <w:hideMark/>
          </w:tcPr>
          <w:p w14:paraId="5798917C" w14:textId="77777777" w:rsidR="00D75E08" w:rsidRPr="001455DC" w:rsidRDefault="00D75E08" w:rsidP="00125DCB">
            <w:pPr>
              <w:pStyle w:val="Tablebody"/>
              <w:keepNext/>
              <w:jc w:val="center"/>
            </w:pPr>
            <w:r w:rsidRPr="001455DC">
              <w:t>0,65</w:t>
            </w:r>
          </w:p>
        </w:tc>
        <w:tc>
          <w:tcPr>
            <w:tcW w:w="1084" w:type="dxa"/>
            <w:vMerge/>
            <w:tcBorders>
              <w:left w:val="single" w:sz="12" w:space="0" w:color="000000"/>
            </w:tcBorders>
            <w:vAlign w:val="center"/>
            <w:hideMark/>
          </w:tcPr>
          <w:p w14:paraId="3B0C2AE2" w14:textId="77777777" w:rsidR="00D75E08" w:rsidRPr="001455DC" w:rsidRDefault="00D75E08" w:rsidP="00125DCB">
            <w:pPr>
              <w:pStyle w:val="Tablebody"/>
              <w:keepNext/>
              <w:jc w:val="center"/>
            </w:pPr>
          </w:p>
        </w:tc>
        <w:tc>
          <w:tcPr>
            <w:tcW w:w="1084" w:type="dxa"/>
            <w:vAlign w:val="center"/>
            <w:hideMark/>
          </w:tcPr>
          <w:p w14:paraId="5CD600E8" w14:textId="31D10E46" w:rsidR="00D75E08" w:rsidRPr="001455DC" w:rsidRDefault="00D75E08" w:rsidP="00125DCB">
            <w:pPr>
              <w:pStyle w:val="Tablebody"/>
              <w:keepNext/>
              <w:jc w:val="center"/>
            </w:pPr>
            <w:r w:rsidRPr="001455DC">
              <w:rPr>
                <w:rFonts w:ascii="Cambria Math" w:hAnsi="Cambria Math"/>
              </w:rPr>
              <w:t>≥</w:t>
            </w:r>
            <w:r w:rsidRPr="001455DC">
              <w:t> 20</w:t>
            </w:r>
          </w:p>
        </w:tc>
        <w:tc>
          <w:tcPr>
            <w:tcW w:w="1084" w:type="dxa"/>
            <w:vAlign w:val="center"/>
            <w:hideMark/>
          </w:tcPr>
          <w:p w14:paraId="18EDB833" w14:textId="77777777" w:rsidR="00D75E08" w:rsidRPr="001455DC" w:rsidRDefault="00D75E08" w:rsidP="00125DCB">
            <w:pPr>
              <w:pStyle w:val="Tablebody"/>
              <w:keepNext/>
              <w:jc w:val="center"/>
            </w:pPr>
            <w:r w:rsidRPr="001455DC">
              <w:t>0,70</w:t>
            </w:r>
          </w:p>
        </w:tc>
        <w:tc>
          <w:tcPr>
            <w:tcW w:w="1142" w:type="dxa"/>
            <w:vAlign w:val="center"/>
            <w:hideMark/>
          </w:tcPr>
          <w:p w14:paraId="72C02FED" w14:textId="77777777" w:rsidR="00D75E08" w:rsidRPr="001455DC" w:rsidRDefault="00D75E08" w:rsidP="00125DCB">
            <w:pPr>
              <w:pStyle w:val="Tablebody"/>
              <w:keepNext/>
              <w:jc w:val="center"/>
            </w:pPr>
            <w:r w:rsidRPr="001455DC">
              <w:t>0,75</w:t>
            </w:r>
          </w:p>
        </w:tc>
      </w:tr>
      <w:tr w:rsidR="00D75E08" w:rsidRPr="001455DC" w14:paraId="6387C165" w14:textId="77777777" w:rsidTr="009D3012">
        <w:tc>
          <w:tcPr>
            <w:tcW w:w="1083" w:type="dxa"/>
            <w:vMerge w:val="restart"/>
            <w:vAlign w:val="center"/>
            <w:hideMark/>
          </w:tcPr>
          <w:p w14:paraId="39A390D8" w14:textId="77777777" w:rsidR="00D75E08" w:rsidRPr="001455DC" w:rsidRDefault="00D75E08" w:rsidP="00125DCB">
            <w:pPr>
              <w:pStyle w:val="Tablebody"/>
              <w:keepNext/>
              <w:jc w:val="center"/>
            </w:pPr>
            <w:r w:rsidRPr="001455DC">
              <w:t>(2)</w:t>
            </w:r>
          </w:p>
        </w:tc>
        <w:tc>
          <w:tcPr>
            <w:tcW w:w="1083" w:type="dxa"/>
            <w:vAlign w:val="center"/>
            <w:hideMark/>
          </w:tcPr>
          <w:p w14:paraId="52F88349" w14:textId="4C21888D" w:rsidR="00D75E08" w:rsidRPr="001455DC" w:rsidRDefault="00D75E08" w:rsidP="00125DCB">
            <w:pPr>
              <w:pStyle w:val="Tablebody"/>
              <w:keepNext/>
              <w:jc w:val="center"/>
            </w:pPr>
            <w:r w:rsidRPr="001455DC">
              <w:rPr>
                <w:rFonts w:ascii="Cambria Math" w:hAnsi="Cambria Math"/>
              </w:rPr>
              <w:t>≤</w:t>
            </w:r>
            <w:r w:rsidRPr="001455DC">
              <w:t> 2</w:t>
            </w:r>
          </w:p>
        </w:tc>
        <w:tc>
          <w:tcPr>
            <w:tcW w:w="1083" w:type="dxa"/>
            <w:vAlign w:val="center"/>
            <w:hideMark/>
          </w:tcPr>
          <w:p w14:paraId="22D1790A" w14:textId="77777777" w:rsidR="00D75E08" w:rsidRPr="001455DC" w:rsidRDefault="00D75E08" w:rsidP="00125DCB">
            <w:pPr>
              <w:pStyle w:val="Tablebody"/>
              <w:keepNext/>
              <w:jc w:val="center"/>
            </w:pPr>
            <w:r w:rsidRPr="001455DC">
              <w:t>1,05</w:t>
            </w:r>
          </w:p>
        </w:tc>
        <w:tc>
          <w:tcPr>
            <w:tcW w:w="1131" w:type="dxa"/>
            <w:tcBorders>
              <w:right w:val="single" w:sz="12" w:space="0" w:color="000000"/>
            </w:tcBorders>
            <w:vAlign w:val="center"/>
            <w:hideMark/>
          </w:tcPr>
          <w:p w14:paraId="591D2F3A" w14:textId="77777777" w:rsidR="00D75E08" w:rsidRPr="001455DC" w:rsidRDefault="00D75E08" w:rsidP="00125DCB">
            <w:pPr>
              <w:pStyle w:val="Tablebody"/>
              <w:keepNext/>
              <w:jc w:val="center"/>
            </w:pPr>
            <w:r w:rsidRPr="001455DC">
              <w:t>1,15</w:t>
            </w:r>
          </w:p>
        </w:tc>
        <w:tc>
          <w:tcPr>
            <w:tcW w:w="1084" w:type="dxa"/>
            <w:vMerge w:val="restart"/>
            <w:tcBorders>
              <w:left w:val="single" w:sz="12" w:space="0" w:color="000000"/>
            </w:tcBorders>
            <w:vAlign w:val="center"/>
            <w:hideMark/>
          </w:tcPr>
          <w:p w14:paraId="395B0279" w14:textId="77777777" w:rsidR="00D75E08" w:rsidRPr="001455DC" w:rsidRDefault="00D75E08" w:rsidP="00125DCB">
            <w:pPr>
              <w:pStyle w:val="Tablebody"/>
              <w:keepNext/>
              <w:jc w:val="center"/>
            </w:pPr>
            <w:r w:rsidRPr="001455DC">
              <w:t>(2)</w:t>
            </w:r>
          </w:p>
        </w:tc>
        <w:tc>
          <w:tcPr>
            <w:tcW w:w="1084" w:type="dxa"/>
            <w:vAlign w:val="center"/>
            <w:hideMark/>
          </w:tcPr>
          <w:p w14:paraId="737AA768" w14:textId="7F5A0605" w:rsidR="00D75E08" w:rsidRPr="001455DC" w:rsidRDefault="00D75E08" w:rsidP="00125DCB">
            <w:pPr>
              <w:pStyle w:val="Tablebody"/>
              <w:keepNext/>
              <w:jc w:val="center"/>
            </w:pPr>
            <w:r w:rsidRPr="001455DC">
              <w:rPr>
                <w:rFonts w:ascii="Cambria Math" w:hAnsi="Cambria Math"/>
              </w:rPr>
              <w:t>≤</w:t>
            </w:r>
            <w:r w:rsidRPr="001455DC">
              <w:t> 2</w:t>
            </w:r>
          </w:p>
        </w:tc>
        <w:tc>
          <w:tcPr>
            <w:tcW w:w="1084" w:type="dxa"/>
            <w:vAlign w:val="center"/>
            <w:hideMark/>
          </w:tcPr>
          <w:p w14:paraId="43753D9D" w14:textId="77777777" w:rsidR="00D75E08" w:rsidRPr="001455DC" w:rsidRDefault="00D75E08" w:rsidP="00125DCB">
            <w:pPr>
              <w:pStyle w:val="Tablebody"/>
              <w:keepNext/>
              <w:jc w:val="center"/>
            </w:pPr>
            <w:r w:rsidRPr="001455DC">
              <w:t>0,90</w:t>
            </w:r>
          </w:p>
        </w:tc>
        <w:tc>
          <w:tcPr>
            <w:tcW w:w="1142" w:type="dxa"/>
            <w:vAlign w:val="center"/>
            <w:hideMark/>
          </w:tcPr>
          <w:p w14:paraId="03C97B31" w14:textId="77777777" w:rsidR="00D75E08" w:rsidRPr="001455DC" w:rsidRDefault="00D75E08" w:rsidP="00125DCB">
            <w:pPr>
              <w:pStyle w:val="Tablebody"/>
              <w:keepNext/>
              <w:jc w:val="center"/>
            </w:pPr>
            <w:r w:rsidRPr="001455DC">
              <w:t>0,95</w:t>
            </w:r>
          </w:p>
        </w:tc>
      </w:tr>
      <w:tr w:rsidR="00D75E08" w:rsidRPr="001455DC" w14:paraId="676ADED8" w14:textId="77777777" w:rsidTr="009D3012">
        <w:tc>
          <w:tcPr>
            <w:tcW w:w="1083" w:type="dxa"/>
            <w:vMerge/>
            <w:vAlign w:val="center"/>
            <w:hideMark/>
          </w:tcPr>
          <w:p w14:paraId="6A131B2D" w14:textId="77777777" w:rsidR="00D75E08" w:rsidRPr="001455DC" w:rsidRDefault="00D75E08" w:rsidP="00125DCB">
            <w:pPr>
              <w:pStyle w:val="Tablebody"/>
              <w:keepNext/>
              <w:jc w:val="center"/>
            </w:pPr>
          </w:p>
        </w:tc>
        <w:tc>
          <w:tcPr>
            <w:tcW w:w="1083" w:type="dxa"/>
            <w:vAlign w:val="center"/>
            <w:hideMark/>
          </w:tcPr>
          <w:p w14:paraId="7A06853B" w14:textId="4C6F2A59" w:rsidR="00D75E08" w:rsidRPr="001455DC" w:rsidRDefault="00D75E08" w:rsidP="00125DCB">
            <w:pPr>
              <w:pStyle w:val="Tablebody"/>
              <w:keepNext/>
              <w:jc w:val="center"/>
            </w:pPr>
            <w:r w:rsidRPr="001455DC">
              <w:rPr>
                <w:rFonts w:ascii="Cambria Math" w:hAnsi="Cambria Math"/>
              </w:rPr>
              <w:t>≥</w:t>
            </w:r>
            <w:r w:rsidRPr="001455DC">
              <w:t> 20</w:t>
            </w:r>
          </w:p>
        </w:tc>
        <w:tc>
          <w:tcPr>
            <w:tcW w:w="1083" w:type="dxa"/>
            <w:vAlign w:val="center"/>
            <w:hideMark/>
          </w:tcPr>
          <w:p w14:paraId="67321A3F" w14:textId="77777777" w:rsidR="00D75E08" w:rsidRPr="001455DC" w:rsidRDefault="00D75E08" w:rsidP="00125DCB">
            <w:pPr>
              <w:pStyle w:val="Tablebody"/>
              <w:keepNext/>
              <w:jc w:val="center"/>
            </w:pPr>
            <w:r w:rsidRPr="001455DC">
              <w:t>0,65</w:t>
            </w:r>
          </w:p>
        </w:tc>
        <w:tc>
          <w:tcPr>
            <w:tcW w:w="1131" w:type="dxa"/>
            <w:tcBorders>
              <w:right w:val="single" w:sz="12" w:space="0" w:color="000000"/>
            </w:tcBorders>
            <w:vAlign w:val="center"/>
            <w:hideMark/>
          </w:tcPr>
          <w:p w14:paraId="0825DFCC" w14:textId="77777777" w:rsidR="00D75E08" w:rsidRPr="001455DC" w:rsidRDefault="00D75E08" w:rsidP="00125DCB">
            <w:pPr>
              <w:pStyle w:val="Tablebody"/>
              <w:keepNext/>
              <w:jc w:val="center"/>
            </w:pPr>
            <w:r w:rsidRPr="001455DC">
              <w:t>0,65</w:t>
            </w:r>
          </w:p>
        </w:tc>
        <w:tc>
          <w:tcPr>
            <w:tcW w:w="1084" w:type="dxa"/>
            <w:vMerge/>
            <w:tcBorders>
              <w:left w:val="single" w:sz="12" w:space="0" w:color="000000"/>
            </w:tcBorders>
            <w:vAlign w:val="center"/>
            <w:hideMark/>
          </w:tcPr>
          <w:p w14:paraId="214AA1BF" w14:textId="77777777" w:rsidR="00D75E08" w:rsidRPr="001455DC" w:rsidRDefault="00D75E08" w:rsidP="00125DCB">
            <w:pPr>
              <w:pStyle w:val="Tablebody"/>
              <w:keepNext/>
              <w:jc w:val="center"/>
            </w:pPr>
          </w:p>
        </w:tc>
        <w:tc>
          <w:tcPr>
            <w:tcW w:w="1084" w:type="dxa"/>
            <w:vAlign w:val="center"/>
            <w:hideMark/>
          </w:tcPr>
          <w:p w14:paraId="472BDA21" w14:textId="4062E648" w:rsidR="00D75E08" w:rsidRPr="001455DC" w:rsidRDefault="00D75E08" w:rsidP="00125DCB">
            <w:pPr>
              <w:pStyle w:val="Tablebody"/>
              <w:keepNext/>
              <w:jc w:val="center"/>
            </w:pPr>
            <w:r w:rsidRPr="001455DC">
              <w:rPr>
                <w:rFonts w:ascii="Cambria Math" w:hAnsi="Cambria Math"/>
              </w:rPr>
              <w:t>≥</w:t>
            </w:r>
            <w:r w:rsidRPr="001455DC">
              <w:t> 20</w:t>
            </w:r>
          </w:p>
        </w:tc>
        <w:tc>
          <w:tcPr>
            <w:tcW w:w="1084" w:type="dxa"/>
            <w:vAlign w:val="center"/>
            <w:hideMark/>
          </w:tcPr>
          <w:p w14:paraId="785BF13C" w14:textId="77777777" w:rsidR="00D75E08" w:rsidRPr="001455DC" w:rsidRDefault="00D75E08" w:rsidP="00125DCB">
            <w:pPr>
              <w:pStyle w:val="Tablebody"/>
              <w:keepNext/>
              <w:jc w:val="center"/>
            </w:pPr>
            <w:r w:rsidRPr="001455DC">
              <w:t>0,70</w:t>
            </w:r>
          </w:p>
        </w:tc>
        <w:tc>
          <w:tcPr>
            <w:tcW w:w="1142" w:type="dxa"/>
            <w:vAlign w:val="center"/>
            <w:hideMark/>
          </w:tcPr>
          <w:p w14:paraId="7A429569" w14:textId="77777777" w:rsidR="00D75E08" w:rsidRPr="001455DC" w:rsidRDefault="00D75E08" w:rsidP="00125DCB">
            <w:pPr>
              <w:pStyle w:val="Tablebody"/>
              <w:keepNext/>
              <w:jc w:val="center"/>
            </w:pPr>
            <w:r w:rsidRPr="001455DC">
              <w:t>0,75</w:t>
            </w:r>
          </w:p>
        </w:tc>
      </w:tr>
      <w:tr w:rsidR="00D75E08" w:rsidRPr="001455DC" w14:paraId="725F1017" w14:textId="77777777" w:rsidTr="009D3012">
        <w:tc>
          <w:tcPr>
            <w:tcW w:w="1083" w:type="dxa"/>
            <w:vMerge w:val="restart"/>
            <w:vAlign w:val="center"/>
            <w:hideMark/>
          </w:tcPr>
          <w:p w14:paraId="09F3EE7F" w14:textId="77777777" w:rsidR="00D75E08" w:rsidRPr="001455DC" w:rsidRDefault="00D75E08" w:rsidP="00125DCB">
            <w:pPr>
              <w:pStyle w:val="Tablebody"/>
              <w:keepNext/>
              <w:jc w:val="center"/>
            </w:pPr>
            <w:r w:rsidRPr="001455DC">
              <w:t>(3)</w:t>
            </w:r>
          </w:p>
        </w:tc>
        <w:tc>
          <w:tcPr>
            <w:tcW w:w="1083" w:type="dxa"/>
            <w:vAlign w:val="center"/>
            <w:hideMark/>
          </w:tcPr>
          <w:p w14:paraId="6E11326F" w14:textId="6502A615" w:rsidR="00D75E08" w:rsidRPr="001455DC" w:rsidRDefault="00D75E08" w:rsidP="00125DCB">
            <w:pPr>
              <w:pStyle w:val="Tablebody"/>
              <w:keepNext/>
              <w:jc w:val="center"/>
            </w:pPr>
            <w:r w:rsidRPr="001455DC">
              <w:rPr>
                <w:rFonts w:ascii="Cambria Math" w:hAnsi="Cambria Math"/>
              </w:rPr>
              <w:t>≤</w:t>
            </w:r>
            <w:r w:rsidRPr="001455DC">
              <w:t> 2</w:t>
            </w:r>
          </w:p>
        </w:tc>
        <w:tc>
          <w:tcPr>
            <w:tcW w:w="1083" w:type="dxa"/>
            <w:vAlign w:val="center"/>
            <w:hideMark/>
          </w:tcPr>
          <w:p w14:paraId="24C8C449" w14:textId="77777777" w:rsidR="00D75E08" w:rsidRPr="001455DC" w:rsidRDefault="00D75E08" w:rsidP="00125DCB">
            <w:pPr>
              <w:pStyle w:val="Tablebody"/>
              <w:keepNext/>
              <w:jc w:val="center"/>
            </w:pPr>
            <w:r w:rsidRPr="001455DC">
              <w:t>1,30</w:t>
            </w:r>
          </w:p>
        </w:tc>
        <w:tc>
          <w:tcPr>
            <w:tcW w:w="1131" w:type="dxa"/>
            <w:tcBorders>
              <w:right w:val="single" w:sz="12" w:space="0" w:color="000000"/>
            </w:tcBorders>
            <w:vAlign w:val="center"/>
            <w:hideMark/>
          </w:tcPr>
          <w:p w14:paraId="451EF704" w14:textId="77777777" w:rsidR="00D75E08" w:rsidRPr="001455DC" w:rsidRDefault="00D75E08" w:rsidP="00125DCB">
            <w:pPr>
              <w:pStyle w:val="Tablebody"/>
              <w:keepNext/>
              <w:jc w:val="center"/>
            </w:pPr>
            <w:r w:rsidRPr="001455DC">
              <w:t>1,45</w:t>
            </w:r>
          </w:p>
        </w:tc>
        <w:tc>
          <w:tcPr>
            <w:tcW w:w="1084" w:type="dxa"/>
            <w:vMerge w:val="restart"/>
            <w:tcBorders>
              <w:left w:val="single" w:sz="12" w:space="0" w:color="000000"/>
            </w:tcBorders>
            <w:vAlign w:val="center"/>
            <w:hideMark/>
          </w:tcPr>
          <w:p w14:paraId="58A3A5D2" w14:textId="77777777" w:rsidR="00D75E08" w:rsidRPr="001455DC" w:rsidRDefault="00D75E08" w:rsidP="00125DCB">
            <w:pPr>
              <w:pStyle w:val="Tablebody"/>
              <w:keepNext/>
              <w:jc w:val="center"/>
            </w:pPr>
            <w:r w:rsidRPr="001455DC">
              <w:t>(3)</w:t>
            </w:r>
          </w:p>
        </w:tc>
        <w:tc>
          <w:tcPr>
            <w:tcW w:w="1084" w:type="dxa"/>
            <w:vAlign w:val="center"/>
            <w:hideMark/>
          </w:tcPr>
          <w:p w14:paraId="191D5F87" w14:textId="706A43BC" w:rsidR="00D75E08" w:rsidRPr="001455DC" w:rsidRDefault="00D75E08" w:rsidP="00125DCB">
            <w:pPr>
              <w:pStyle w:val="Tablebody"/>
              <w:keepNext/>
              <w:jc w:val="center"/>
            </w:pPr>
            <w:r w:rsidRPr="001455DC">
              <w:rPr>
                <w:rFonts w:ascii="Cambria Math" w:hAnsi="Cambria Math"/>
              </w:rPr>
              <w:t>≤</w:t>
            </w:r>
            <w:r w:rsidRPr="001455DC">
              <w:t> 2</w:t>
            </w:r>
          </w:p>
        </w:tc>
        <w:tc>
          <w:tcPr>
            <w:tcW w:w="1084" w:type="dxa"/>
            <w:vAlign w:val="center"/>
            <w:hideMark/>
          </w:tcPr>
          <w:p w14:paraId="16E689A6" w14:textId="77777777" w:rsidR="00D75E08" w:rsidRPr="001455DC" w:rsidRDefault="00D75E08" w:rsidP="00125DCB">
            <w:pPr>
              <w:pStyle w:val="Tablebody"/>
              <w:keepNext/>
              <w:jc w:val="center"/>
            </w:pPr>
            <w:r w:rsidRPr="001455DC">
              <w:t>1,10</w:t>
            </w:r>
          </w:p>
        </w:tc>
        <w:tc>
          <w:tcPr>
            <w:tcW w:w="1142" w:type="dxa"/>
            <w:vAlign w:val="center"/>
            <w:hideMark/>
          </w:tcPr>
          <w:p w14:paraId="253B6359" w14:textId="77777777" w:rsidR="00D75E08" w:rsidRPr="001455DC" w:rsidRDefault="00D75E08" w:rsidP="00125DCB">
            <w:pPr>
              <w:pStyle w:val="Tablebody"/>
              <w:keepNext/>
              <w:jc w:val="center"/>
            </w:pPr>
            <w:r w:rsidRPr="001455DC">
              <w:t>1,10</w:t>
            </w:r>
          </w:p>
        </w:tc>
      </w:tr>
      <w:tr w:rsidR="00D75E08" w:rsidRPr="001455DC" w14:paraId="54EEB575" w14:textId="77777777" w:rsidTr="009D3012">
        <w:tc>
          <w:tcPr>
            <w:tcW w:w="1083" w:type="dxa"/>
            <w:vMerge/>
            <w:vAlign w:val="center"/>
            <w:hideMark/>
          </w:tcPr>
          <w:p w14:paraId="43F93C7D" w14:textId="77777777" w:rsidR="00D75E08" w:rsidRPr="001455DC" w:rsidRDefault="00D75E08" w:rsidP="00125DCB">
            <w:pPr>
              <w:pStyle w:val="Tablebody"/>
              <w:keepNext/>
              <w:jc w:val="center"/>
            </w:pPr>
          </w:p>
        </w:tc>
        <w:tc>
          <w:tcPr>
            <w:tcW w:w="1083" w:type="dxa"/>
            <w:vAlign w:val="center"/>
            <w:hideMark/>
          </w:tcPr>
          <w:p w14:paraId="4B92643F" w14:textId="1D50B943" w:rsidR="00D75E08" w:rsidRPr="001455DC" w:rsidRDefault="00D75E08" w:rsidP="00125DCB">
            <w:pPr>
              <w:pStyle w:val="Tablebody"/>
              <w:keepNext/>
              <w:jc w:val="center"/>
            </w:pPr>
            <w:r w:rsidRPr="001455DC">
              <w:rPr>
                <w:rFonts w:ascii="Cambria Math" w:hAnsi="Cambria Math"/>
              </w:rPr>
              <w:t>≥</w:t>
            </w:r>
            <w:r w:rsidRPr="001455DC">
              <w:t> 20</w:t>
            </w:r>
          </w:p>
        </w:tc>
        <w:tc>
          <w:tcPr>
            <w:tcW w:w="1083" w:type="dxa"/>
            <w:vAlign w:val="center"/>
            <w:hideMark/>
          </w:tcPr>
          <w:p w14:paraId="4A1CA0C0" w14:textId="77777777" w:rsidR="00D75E08" w:rsidRPr="001455DC" w:rsidRDefault="00D75E08" w:rsidP="00125DCB">
            <w:pPr>
              <w:pStyle w:val="Tablebody"/>
              <w:keepNext/>
              <w:jc w:val="center"/>
            </w:pPr>
            <w:r w:rsidRPr="001455DC">
              <w:t>0,65</w:t>
            </w:r>
          </w:p>
        </w:tc>
        <w:tc>
          <w:tcPr>
            <w:tcW w:w="1131" w:type="dxa"/>
            <w:tcBorders>
              <w:right w:val="single" w:sz="12" w:space="0" w:color="000000"/>
            </w:tcBorders>
            <w:vAlign w:val="center"/>
            <w:hideMark/>
          </w:tcPr>
          <w:p w14:paraId="474FB3C0" w14:textId="77777777" w:rsidR="00D75E08" w:rsidRPr="001455DC" w:rsidRDefault="00D75E08" w:rsidP="00125DCB">
            <w:pPr>
              <w:pStyle w:val="Tablebody"/>
              <w:keepNext/>
              <w:jc w:val="center"/>
            </w:pPr>
            <w:r w:rsidRPr="001455DC">
              <w:t>0,70</w:t>
            </w:r>
          </w:p>
        </w:tc>
        <w:tc>
          <w:tcPr>
            <w:tcW w:w="1084" w:type="dxa"/>
            <w:vMerge/>
            <w:tcBorders>
              <w:left w:val="single" w:sz="12" w:space="0" w:color="000000"/>
            </w:tcBorders>
            <w:vAlign w:val="center"/>
            <w:hideMark/>
          </w:tcPr>
          <w:p w14:paraId="09181AB6" w14:textId="77777777" w:rsidR="00D75E08" w:rsidRPr="001455DC" w:rsidRDefault="00D75E08" w:rsidP="00125DCB">
            <w:pPr>
              <w:pStyle w:val="Tablebody"/>
              <w:keepNext/>
              <w:jc w:val="center"/>
            </w:pPr>
          </w:p>
        </w:tc>
        <w:tc>
          <w:tcPr>
            <w:tcW w:w="1084" w:type="dxa"/>
            <w:vAlign w:val="center"/>
            <w:hideMark/>
          </w:tcPr>
          <w:p w14:paraId="7CC57182" w14:textId="7B585535" w:rsidR="00D75E08" w:rsidRPr="001455DC" w:rsidRDefault="00D75E08" w:rsidP="00125DCB">
            <w:pPr>
              <w:pStyle w:val="Tablebody"/>
              <w:keepNext/>
              <w:jc w:val="center"/>
            </w:pPr>
            <w:r w:rsidRPr="001455DC">
              <w:rPr>
                <w:rFonts w:ascii="Cambria Math" w:hAnsi="Cambria Math"/>
              </w:rPr>
              <w:t>≥</w:t>
            </w:r>
            <w:r w:rsidRPr="001455DC">
              <w:t> 20</w:t>
            </w:r>
          </w:p>
        </w:tc>
        <w:tc>
          <w:tcPr>
            <w:tcW w:w="1084" w:type="dxa"/>
            <w:vAlign w:val="center"/>
            <w:hideMark/>
          </w:tcPr>
          <w:p w14:paraId="3DA08DAD" w14:textId="77777777" w:rsidR="00D75E08" w:rsidRPr="001455DC" w:rsidRDefault="00D75E08" w:rsidP="00125DCB">
            <w:pPr>
              <w:pStyle w:val="Tablebody"/>
              <w:keepNext/>
              <w:jc w:val="center"/>
            </w:pPr>
            <w:r w:rsidRPr="001455DC">
              <w:t>0,75</w:t>
            </w:r>
          </w:p>
        </w:tc>
        <w:tc>
          <w:tcPr>
            <w:tcW w:w="1142" w:type="dxa"/>
            <w:vAlign w:val="center"/>
            <w:hideMark/>
          </w:tcPr>
          <w:p w14:paraId="5367ECA7" w14:textId="77777777" w:rsidR="00D75E08" w:rsidRPr="001455DC" w:rsidRDefault="00D75E08" w:rsidP="00125DCB">
            <w:pPr>
              <w:pStyle w:val="Tablebody"/>
              <w:keepNext/>
              <w:jc w:val="center"/>
            </w:pPr>
            <w:r w:rsidRPr="001455DC">
              <w:t>0,80</w:t>
            </w:r>
          </w:p>
        </w:tc>
      </w:tr>
      <w:tr w:rsidR="00D75E08" w:rsidRPr="001455DC" w14:paraId="0520695C" w14:textId="77777777" w:rsidTr="009D3012">
        <w:tc>
          <w:tcPr>
            <w:tcW w:w="1083" w:type="dxa"/>
            <w:vMerge w:val="restart"/>
            <w:vAlign w:val="center"/>
            <w:hideMark/>
          </w:tcPr>
          <w:p w14:paraId="64B42DD5" w14:textId="77777777" w:rsidR="00D75E08" w:rsidRPr="001455DC" w:rsidRDefault="00D75E08" w:rsidP="00125DCB">
            <w:pPr>
              <w:pStyle w:val="Tablebody"/>
              <w:keepNext/>
              <w:jc w:val="center"/>
            </w:pPr>
            <w:r w:rsidRPr="001455DC">
              <w:t>(4)</w:t>
            </w:r>
          </w:p>
        </w:tc>
        <w:tc>
          <w:tcPr>
            <w:tcW w:w="1083" w:type="dxa"/>
            <w:vAlign w:val="center"/>
            <w:hideMark/>
          </w:tcPr>
          <w:p w14:paraId="6F4F2688" w14:textId="45862515" w:rsidR="00D75E08" w:rsidRPr="001455DC" w:rsidRDefault="00D75E08" w:rsidP="00125DCB">
            <w:pPr>
              <w:pStyle w:val="Tablebody"/>
              <w:keepNext/>
              <w:jc w:val="center"/>
            </w:pPr>
            <w:r w:rsidRPr="001455DC">
              <w:rPr>
                <w:rFonts w:ascii="Cambria Math" w:hAnsi="Cambria Math"/>
              </w:rPr>
              <w:t>≤</w:t>
            </w:r>
            <w:r w:rsidRPr="001455DC">
              <w:t> 2</w:t>
            </w:r>
          </w:p>
        </w:tc>
        <w:tc>
          <w:tcPr>
            <w:tcW w:w="1083" w:type="dxa"/>
            <w:vAlign w:val="center"/>
            <w:hideMark/>
          </w:tcPr>
          <w:p w14:paraId="4A862DA9" w14:textId="77777777" w:rsidR="00D75E08" w:rsidRPr="001455DC" w:rsidRDefault="00D75E08" w:rsidP="00125DCB">
            <w:pPr>
              <w:pStyle w:val="Tablebody"/>
              <w:keepNext/>
              <w:jc w:val="center"/>
            </w:pPr>
            <w:r w:rsidRPr="001455DC">
              <w:t>0,80</w:t>
            </w:r>
          </w:p>
        </w:tc>
        <w:tc>
          <w:tcPr>
            <w:tcW w:w="1131" w:type="dxa"/>
            <w:tcBorders>
              <w:right w:val="single" w:sz="12" w:space="0" w:color="000000"/>
            </w:tcBorders>
            <w:vAlign w:val="center"/>
            <w:hideMark/>
          </w:tcPr>
          <w:p w14:paraId="189288C9" w14:textId="77777777" w:rsidR="00D75E08" w:rsidRPr="001455DC" w:rsidRDefault="00D75E08" w:rsidP="00125DCB">
            <w:pPr>
              <w:pStyle w:val="Tablebody"/>
              <w:keepNext/>
              <w:jc w:val="center"/>
            </w:pPr>
            <w:r w:rsidRPr="001455DC">
              <w:t>0,90</w:t>
            </w:r>
          </w:p>
        </w:tc>
        <w:tc>
          <w:tcPr>
            <w:tcW w:w="1084" w:type="dxa"/>
            <w:vMerge w:val="restart"/>
            <w:tcBorders>
              <w:left w:val="single" w:sz="12" w:space="0" w:color="000000"/>
            </w:tcBorders>
            <w:vAlign w:val="center"/>
            <w:hideMark/>
          </w:tcPr>
          <w:p w14:paraId="46184E44" w14:textId="77777777" w:rsidR="00D75E08" w:rsidRPr="001455DC" w:rsidRDefault="00D75E08" w:rsidP="00125DCB">
            <w:pPr>
              <w:pStyle w:val="Tablebody"/>
              <w:keepNext/>
              <w:jc w:val="center"/>
            </w:pPr>
            <w:r w:rsidRPr="001455DC">
              <w:t>(4)</w:t>
            </w:r>
          </w:p>
        </w:tc>
        <w:tc>
          <w:tcPr>
            <w:tcW w:w="1084" w:type="dxa"/>
            <w:vAlign w:val="center"/>
            <w:hideMark/>
          </w:tcPr>
          <w:p w14:paraId="2D7F61AB" w14:textId="0B21951F" w:rsidR="00D75E08" w:rsidRPr="001455DC" w:rsidRDefault="00D75E08" w:rsidP="00125DCB">
            <w:pPr>
              <w:pStyle w:val="Tablebody"/>
              <w:keepNext/>
              <w:jc w:val="center"/>
            </w:pPr>
            <w:r w:rsidRPr="001455DC">
              <w:rPr>
                <w:rFonts w:ascii="Cambria Math" w:hAnsi="Cambria Math"/>
              </w:rPr>
              <w:t>≤</w:t>
            </w:r>
            <w:r w:rsidRPr="001455DC">
              <w:t> 2</w:t>
            </w:r>
          </w:p>
        </w:tc>
        <w:tc>
          <w:tcPr>
            <w:tcW w:w="1084" w:type="dxa"/>
            <w:vAlign w:val="center"/>
            <w:hideMark/>
          </w:tcPr>
          <w:p w14:paraId="0AD2A43B" w14:textId="77777777" w:rsidR="00D75E08" w:rsidRPr="001455DC" w:rsidRDefault="00D75E08" w:rsidP="00125DCB">
            <w:pPr>
              <w:pStyle w:val="Tablebody"/>
              <w:keepNext/>
              <w:jc w:val="center"/>
            </w:pPr>
            <w:r w:rsidRPr="001455DC">
              <w:t>0,70</w:t>
            </w:r>
          </w:p>
        </w:tc>
        <w:tc>
          <w:tcPr>
            <w:tcW w:w="1142" w:type="dxa"/>
            <w:vAlign w:val="center"/>
            <w:hideMark/>
          </w:tcPr>
          <w:p w14:paraId="4DF32D5F" w14:textId="77777777" w:rsidR="00D75E08" w:rsidRPr="001455DC" w:rsidRDefault="00D75E08" w:rsidP="00125DCB">
            <w:pPr>
              <w:pStyle w:val="Tablebody"/>
              <w:keepNext/>
              <w:jc w:val="center"/>
            </w:pPr>
            <w:r w:rsidRPr="001455DC">
              <w:t>0,70</w:t>
            </w:r>
          </w:p>
        </w:tc>
      </w:tr>
      <w:tr w:rsidR="00D75E08" w:rsidRPr="001455DC" w14:paraId="74079442" w14:textId="77777777" w:rsidTr="009D3012">
        <w:tc>
          <w:tcPr>
            <w:tcW w:w="1083" w:type="dxa"/>
            <w:vMerge/>
            <w:vAlign w:val="center"/>
            <w:hideMark/>
          </w:tcPr>
          <w:p w14:paraId="4776ABB7" w14:textId="77777777" w:rsidR="00D75E08" w:rsidRPr="001455DC" w:rsidRDefault="00D75E08" w:rsidP="00125DCB">
            <w:pPr>
              <w:pStyle w:val="Tablebody"/>
              <w:keepNext/>
              <w:jc w:val="center"/>
            </w:pPr>
          </w:p>
        </w:tc>
        <w:tc>
          <w:tcPr>
            <w:tcW w:w="1083" w:type="dxa"/>
            <w:vAlign w:val="center"/>
            <w:hideMark/>
          </w:tcPr>
          <w:p w14:paraId="2EA65549" w14:textId="087BDA2B" w:rsidR="00D75E08" w:rsidRPr="001455DC" w:rsidRDefault="00D75E08" w:rsidP="00125DCB">
            <w:pPr>
              <w:pStyle w:val="Tablebody"/>
              <w:keepNext/>
              <w:jc w:val="center"/>
            </w:pPr>
            <w:r w:rsidRPr="001455DC">
              <w:rPr>
                <w:rFonts w:ascii="Cambria Math" w:hAnsi="Cambria Math"/>
              </w:rPr>
              <w:t>≥</w:t>
            </w:r>
            <w:r w:rsidRPr="001455DC">
              <w:t> 20</w:t>
            </w:r>
          </w:p>
        </w:tc>
        <w:tc>
          <w:tcPr>
            <w:tcW w:w="1083" w:type="dxa"/>
            <w:vAlign w:val="center"/>
            <w:hideMark/>
          </w:tcPr>
          <w:p w14:paraId="3E22A823" w14:textId="77777777" w:rsidR="00D75E08" w:rsidRPr="001455DC" w:rsidRDefault="00D75E08" w:rsidP="00125DCB">
            <w:pPr>
              <w:pStyle w:val="Tablebody"/>
              <w:keepNext/>
              <w:jc w:val="center"/>
            </w:pPr>
            <w:r w:rsidRPr="001455DC">
              <w:t>0,35</w:t>
            </w:r>
          </w:p>
        </w:tc>
        <w:tc>
          <w:tcPr>
            <w:tcW w:w="1131" w:type="dxa"/>
            <w:tcBorders>
              <w:right w:val="single" w:sz="12" w:space="0" w:color="000000"/>
            </w:tcBorders>
            <w:vAlign w:val="center"/>
            <w:hideMark/>
          </w:tcPr>
          <w:p w14:paraId="52991FA7" w14:textId="77777777" w:rsidR="00D75E08" w:rsidRPr="001455DC" w:rsidRDefault="00D75E08" w:rsidP="00125DCB">
            <w:pPr>
              <w:pStyle w:val="Tablebody"/>
              <w:keepNext/>
              <w:jc w:val="center"/>
            </w:pPr>
            <w:r w:rsidRPr="001455DC">
              <w:t>0,35</w:t>
            </w:r>
          </w:p>
        </w:tc>
        <w:tc>
          <w:tcPr>
            <w:tcW w:w="1084" w:type="dxa"/>
            <w:vMerge/>
            <w:tcBorders>
              <w:left w:val="single" w:sz="12" w:space="0" w:color="000000"/>
            </w:tcBorders>
            <w:vAlign w:val="center"/>
            <w:hideMark/>
          </w:tcPr>
          <w:p w14:paraId="21BCFBAE" w14:textId="77777777" w:rsidR="00D75E08" w:rsidRPr="001455DC" w:rsidRDefault="00D75E08" w:rsidP="00125DCB">
            <w:pPr>
              <w:pStyle w:val="Tablebody"/>
              <w:keepNext/>
              <w:jc w:val="center"/>
            </w:pPr>
          </w:p>
        </w:tc>
        <w:tc>
          <w:tcPr>
            <w:tcW w:w="1084" w:type="dxa"/>
            <w:vAlign w:val="center"/>
            <w:hideMark/>
          </w:tcPr>
          <w:p w14:paraId="6A100BF0" w14:textId="067F9998" w:rsidR="00D75E08" w:rsidRPr="001455DC" w:rsidRDefault="00D75E08" w:rsidP="00125DCB">
            <w:pPr>
              <w:pStyle w:val="Tablebody"/>
              <w:keepNext/>
              <w:jc w:val="center"/>
            </w:pPr>
            <w:r w:rsidRPr="001455DC">
              <w:rPr>
                <w:rFonts w:ascii="Cambria Math" w:hAnsi="Cambria Math"/>
              </w:rPr>
              <w:t>≥</w:t>
            </w:r>
            <w:r w:rsidRPr="001455DC">
              <w:t> 20</w:t>
            </w:r>
          </w:p>
        </w:tc>
        <w:tc>
          <w:tcPr>
            <w:tcW w:w="1084" w:type="dxa"/>
            <w:vAlign w:val="center"/>
            <w:hideMark/>
          </w:tcPr>
          <w:p w14:paraId="04A6EC34" w14:textId="77777777" w:rsidR="00D75E08" w:rsidRPr="001455DC" w:rsidRDefault="00D75E08" w:rsidP="00125DCB">
            <w:pPr>
              <w:pStyle w:val="Tablebody"/>
              <w:keepNext/>
              <w:jc w:val="center"/>
            </w:pPr>
            <w:r w:rsidRPr="001455DC">
              <w:t>0,35</w:t>
            </w:r>
          </w:p>
        </w:tc>
        <w:tc>
          <w:tcPr>
            <w:tcW w:w="1142" w:type="dxa"/>
            <w:vAlign w:val="center"/>
            <w:hideMark/>
          </w:tcPr>
          <w:p w14:paraId="12C03D97" w14:textId="77777777" w:rsidR="00D75E08" w:rsidRPr="001455DC" w:rsidRDefault="00D75E08" w:rsidP="00125DCB">
            <w:pPr>
              <w:pStyle w:val="Tablebody"/>
              <w:keepNext/>
              <w:jc w:val="center"/>
            </w:pPr>
            <w:r w:rsidRPr="001455DC">
              <w:t>0,40</w:t>
            </w:r>
          </w:p>
        </w:tc>
      </w:tr>
      <w:tr w:rsidR="00125DCB" w:rsidRPr="001455DC" w14:paraId="1003AD67" w14:textId="77777777" w:rsidTr="009D3012">
        <w:tc>
          <w:tcPr>
            <w:tcW w:w="8774" w:type="dxa"/>
            <w:gridSpan w:val="8"/>
            <w:vAlign w:val="center"/>
          </w:tcPr>
          <w:p w14:paraId="21F9F29D" w14:textId="77777777" w:rsidR="00125DCB" w:rsidRPr="009D3012" w:rsidRDefault="00125DCB" w:rsidP="00A945AF">
            <w:pPr>
              <w:pStyle w:val="KeyText"/>
              <w:rPr>
                <w:lang w:val="en-US"/>
              </w:rPr>
            </w:pPr>
            <w:r w:rsidRPr="009D3012">
              <w:rPr>
                <w:rStyle w:val="CCMCvariableitalic"/>
                <w:lang w:val="en-US"/>
              </w:rPr>
              <w:t>STM</w:t>
            </w:r>
            <w:r w:rsidRPr="009D3012">
              <w:rPr>
                <w:lang w:val="en-US"/>
              </w:rPr>
              <w:tab/>
              <w:t>standard traffic mix</w:t>
            </w:r>
          </w:p>
          <w:p w14:paraId="0CDD24F7" w14:textId="77777777" w:rsidR="00125DCB" w:rsidRPr="009D3012" w:rsidRDefault="00125DCB" w:rsidP="00A945AF">
            <w:pPr>
              <w:pStyle w:val="KeyText"/>
              <w:rPr>
                <w:lang w:val="en-US"/>
              </w:rPr>
            </w:pPr>
            <w:r w:rsidRPr="009D3012">
              <w:rPr>
                <w:rStyle w:val="CCMCvariableitalic"/>
                <w:lang w:val="en-US"/>
              </w:rPr>
              <w:t>HTM</w:t>
            </w:r>
            <w:r w:rsidRPr="009D3012">
              <w:rPr>
                <w:lang w:val="en-US"/>
              </w:rPr>
              <w:tab/>
              <w:t>heavy traffic mix</w:t>
            </w:r>
          </w:p>
          <w:p w14:paraId="1ADFC67D" w14:textId="77777777" w:rsidR="00125DCB" w:rsidRPr="009D3012" w:rsidRDefault="00125DCB" w:rsidP="00A945AF">
            <w:pPr>
              <w:pStyle w:val="KeyText"/>
              <w:rPr>
                <w:lang w:val="en-US"/>
              </w:rPr>
            </w:pPr>
            <w:r w:rsidRPr="009D3012">
              <w:rPr>
                <w:lang w:val="en-US"/>
              </w:rPr>
              <w:t>(1)</w:t>
            </w:r>
            <w:r w:rsidRPr="009D3012">
              <w:rPr>
                <w:lang w:val="en-US"/>
              </w:rPr>
              <w:tab/>
              <w:t>reinforcing steel, pre-tensioning (all), post-tensioning (tendons in plastic ducts and straight tendons in steel ducts);</w:t>
            </w:r>
          </w:p>
          <w:p w14:paraId="15CE6A14" w14:textId="0C475E16" w:rsidR="00125DCB" w:rsidRPr="009D3012" w:rsidRDefault="00125DCB" w:rsidP="00A945AF">
            <w:pPr>
              <w:pStyle w:val="KeyText"/>
              <w:rPr>
                <w:lang w:val="en-US"/>
              </w:rPr>
            </w:pPr>
            <w:r w:rsidRPr="009D3012">
              <w:rPr>
                <w:lang w:val="en-US"/>
              </w:rPr>
              <w:t>(2)</w:t>
            </w:r>
            <w:r w:rsidRPr="009D3012">
              <w:rPr>
                <w:lang w:val="en-US"/>
              </w:rPr>
              <w:tab/>
              <w:t xml:space="preserve">post-tensioning (curved tendons in steel ducts); </w:t>
            </w:r>
            <w:r w:rsidRPr="009D3012">
              <w:rPr>
                <w:rStyle w:val="CCMCvariableitalic"/>
                <w:lang w:val="en-US"/>
              </w:rPr>
              <w:t>S</w:t>
            </w:r>
            <w:r w:rsidRPr="009D3012">
              <w:rPr>
                <w:lang w:val="en-US"/>
              </w:rPr>
              <w:t>-</w:t>
            </w:r>
            <w:r w:rsidRPr="009D3012">
              <w:rPr>
                <w:rStyle w:val="CCMCvariableitalic"/>
                <w:lang w:val="en-US"/>
              </w:rPr>
              <w:t>N</w:t>
            </w:r>
            <w:r w:rsidRPr="009D3012">
              <w:rPr>
                <w:lang w:val="en-US"/>
              </w:rPr>
              <w:t xml:space="preserve"> curve with </w:t>
            </w:r>
            <w:r w:rsidRPr="009D3012">
              <w:rPr>
                <w:rStyle w:val="CCMCvariableitalic"/>
                <w:lang w:val="en-US"/>
              </w:rPr>
              <w:t>k</w:t>
            </w:r>
            <w:r w:rsidRPr="009D3012">
              <w:rPr>
                <w:rStyle w:val="CCMCvariablesubscript"/>
                <w:lang w:val="en-US"/>
              </w:rPr>
              <w:t>f1</w:t>
            </w:r>
            <w:r w:rsidRPr="009D3012">
              <w:rPr>
                <w:lang w:val="en-US"/>
              </w:rPr>
              <w:t> </w:t>
            </w:r>
            <w:r w:rsidR="00EC27D2" w:rsidRPr="009D3012">
              <w:rPr>
                <w:rFonts w:ascii="Cambria Math" w:hAnsi="Cambria Math"/>
                <w:lang w:val="en-US"/>
              </w:rPr>
              <w:t>=</w:t>
            </w:r>
            <w:r w:rsidRPr="009D3012">
              <w:rPr>
                <w:lang w:val="en-US"/>
              </w:rPr>
              <w:t xml:space="preserve"> 3, </w:t>
            </w:r>
            <w:r w:rsidRPr="009D3012">
              <w:rPr>
                <w:rStyle w:val="CCMCvariableitalic"/>
                <w:lang w:val="en-US"/>
              </w:rPr>
              <w:t>k</w:t>
            </w:r>
            <w:r w:rsidRPr="009D3012">
              <w:rPr>
                <w:rStyle w:val="CCMCvariablesubscript"/>
                <w:lang w:val="en-US"/>
              </w:rPr>
              <w:t>f2</w:t>
            </w:r>
            <w:r w:rsidRPr="009D3012">
              <w:rPr>
                <w:lang w:val="en-US"/>
              </w:rPr>
              <w:t> </w:t>
            </w:r>
            <w:r w:rsidR="00EC27D2" w:rsidRPr="009D3012">
              <w:rPr>
                <w:rFonts w:ascii="Cambria Math" w:hAnsi="Cambria Math"/>
                <w:lang w:val="en-US"/>
              </w:rPr>
              <w:t>=</w:t>
            </w:r>
            <w:r w:rsidRPr="009D3012">
              <w:rPr>
                <w:lang w:val="en-US"/>
              </w:rPr>
              <w:t xml:space="preserve"> 7 and </w:t>
            </w:r>
            <w:r w:rsidRPr="009D3012">
              <w:rPr>
                <w:rStyle w:val="CCMCvariableitalic"/>
                <w:lang w:val="en-US"/>
              </w:rPr>
              <w:t>N</w:t>
            </w:r>
            <w:r w:rsidRPr="009D3012">
              <w:rPr>
                <w:lang w:val="en-US"/>
              </w:rPr>
              <w:t>* </w:t>
            </w:r>
            <w:r w:rsidR="00EC27D2" w:rsidRPr="009D3012">
              <w:rPr>
                <w:rFonts w:ascii="Cambria Math" w:hAnsi="Cambria Math"/>
                <w:lang w:val="en-US"/>
              </w:rPr>
              <w:t>=</w:t>
            </w:r>
            <w:r w:rsidRPr="009D3012">
              <w:rPr>
                <w:lang w:val="en-US"/>
              </w:rPr>
              <w:t> 10</w:t>
            </w:r>
            <w:r w:rsidRPr="009D3012">
              <w:rPr>
                <w:rStyle w:val="CCMCvariablesuperscript"/>
                <w:lang w:val="en-US"/>
              </w:rPr>
              <w:t>6</w:t>
            </w:r>
            <w:r w:rsidRPr="009D3012">
              <w:rPr>
                <w:lang w:val="en-US"/>
              </w:rPr>
              <w:t xml:space="preserve"> (values may be changed due to changes in </w:t>
            </w:r>
            <w:r w:rsidRPr="009D3012">
              <w:rPr>
                <w:rStyle w:val="CCMCvariableitalic"/>
                <w:lang w:val="en-US"/>
              </w:rPr>
              <w:t>k</w:t>
            </w:r>
            <w:r w:rsidRPr="009D3012">
              <w:rPr>
                <w:rStyle w:val="CCMCvariablesubscript"/>
                <w:lang w:val="en-US"/>
              </w:rPr>
              <w:t>f1</w:t>
            </w:r>
            <w:r w:rsidRPr="009D3012">
              <w:rPr>
                <w:lang w:val="en-US"/>
              </w:rPr>
              <w:t xml:space="preserve"> and </w:t>
            </w:r>
            <w:r w:rsidRPr="009D3012">
              <w:rPr>
                <w:rStyle w:val="CCMCvariableitalic"/>
                <w:lang w:val="en-US"/>
              </w:rPr>
              <w:t>k</w:t>
            </w:r>
            <w:r w:rsidRPr="009D3012">
              <w:rPr>
                <w:rStyle w:val="CCMCvariablesubscript"/>
                <w:lang w:val="en-US"/>
              </w:rPr>
              <w:t>f2</w:t>
            </w:r>
            <w:r w:rsidRPr="009D3012">
              <w:rPr>
                <w:lang w:val="en-US"/>
              </w:rPr>
              <w:t xml:space="preserve"> or </w:t>
            </w:r>
            <w:r w:rsidRPr="009D3012">
              <w:rPr>
                <w:rStyle w:val="CCMCvariableitalic"/>
                <w:lang w:val="en-US"/>
              </w:rPr>
              <w:t>N</w:t>
            </w:r>
            <w:r w:rsidRPr="009D3012">
              <w:rPr>
                <w:lang w:val="en-US"/>
              </w:rPr>
              <w:t>*);</w:t>
            </w:r>
          </w:p>
          <w:p w14:paraId="2AC82B60" w14:textId="16BDD01A" w:rsidR="00125DCB" w:rsidRPr="009D3012" w:rsidRDefault="00125DCB" w:rsidP="00A945AF">
            <w:pPr>
              <w:pStyle w:val="KeyText"/>
              <w:rPr>
                <w:lang w:val="en-US"/>
              </w:rPr>
            </w:pPr>
            <w:r w:rsidRPr="009D3012">
              <w:rPr>
                <w:lang w:val="en-US"/>
              </w:rPr>
              <w:t>(3)</w:t>
            </w:r>
            <w:r w:rsidRPr="009D3012">
              <w:rPr>
                <w:lang w:val="en-US"/>
              </w:rPr>
              <w:tab/>
              <w:t xml:space="preserve">couplers (prestressing steel); </w:t>
            </w:r>
            <w:r w:rsidRPr="009D3012">
              <w:rPr>
                <w:rStyle w:val="CCMCvariableitalic"/>
                <w:lang w:val="en-US"/>
              </w:rPr>
              <w:t>S</w:t>
            </w:r>
            <w:r w:rsidRPr="009D3012">
              <w:rPr>
                <w:lang w:val="en-US"/>
              </w:rPr>
              <w:t>-</w:t>
            </w:r>
            <w:r w:rsidRPr="009D3012">
              <w:rPr>
                <w:rStyle w:val="CCMCvariableitalic"/>
                <w:lang w:val="en-US"/>
              </w:rPr>
              <w:t>N</w:t>
            </w:r>
            <w:r w:rsidRPr="009D3012">
              <w:rPr>
                <w:lang w:val="en-US"/>
              </w:rPr>
              <w:t xml:space="preserve"> curve with </w:t>
            </w:r>
            <w:r w:rsidRPr="009D3012">
              <w:rPr>
                <w:rStyle w:val="CCMCvariableitalic"/>
                <w:lang w:val="en-US"/>
              </w:rPr>
              <w:t>k</w:t>
            </w:r>
            <w:r w:rsidRPr="009D3012">
              <w:rPr>
                <w:rStyle w:val="CCMCvariablesubscript"/>
                <w:lang w:val="en-US"/>
              </w:rPr>
              <w:t>f1</w:t>
            </w:r>
            <w:r w:rsidRPr="009D3012">
              <w:rPr>
                <w:lang w:val="en-US"/>
              </w:rPr>
              <w:t> </w:t>
            </w:r>
            <w:r w:rsidR="00EC27D2" w:rsidRPr="009D3012">
              <w:rPr>
                <w:rFonts w:ascii="Cambria Math" w:hAnsi="Cambria Math"/>
                <w:lang w:val="en-US"/>
              </w:rPr>
              <w:t>=</w:t>
            </w:r>
            <w:r w:rsidRPr="009D3012">
              <w:rPr>
                <w:lang w:val="en-US"/>
              </w:rPr>
              <w:t xml:space="preserve"> 5, </w:t>
            </w:r>
            <w:r w:rsidRPr="009D3012">
              <w:rPr>
                <w:rStyle w:val="CCMCvariableitalic"/>
                <w:lang w:val="en-US"/>
              </w:rPr>
              <w:t>k</w:t>
            </w:r>
            <w:r w:rsidRPr="009D3012">
              <w:rPr>
                <w:rStyle w:val="CCMCvariablesubscript"/>
                <w:lang w:val="en-US"/>
              </w:rPr>
              <w:t>f2</w:t>
            </w:r>
            <w:r w:rsidRPr="009D3012">
              <w:rPr>
                <w:lang w:val="en-US"/>
              </w:rPr>
              <w:t> </w:t>
            </w:r>
            <w:r w:rsidR="00EC27D2" w:rsidRPr="009D3012">
              <w:rPr>
                <w:rFonts w:ascii="Cambria Math" w:hAnsi="Cambria Math"/>
                <w:lang w:val="en-US"/>
              </w:rPr>
              <w:t>=</w:t>
            </w:r>
            <w:r w:rsidRPr="009D3012">
              <w:rPr>
                <w:lang w:val="en-US"/>
              </w:rPr>
              <w:t xml:space="preserve"> 5 and </w:t>
            </w:r>
            <w:r w:rsidRPr="009D3012">
              <w:rPr>
                <w:rStyle w:val="CCMCvariableitalic"/>
                <w:lang w:val="en-US"/>
              </w:rPr>
              <w:t>N</w:t>
            </w:r>
            <w:r w:rsidRPr="009D3012">
              <w:rPr>
                <w:lang w:val="en-US"/>
              </w:rPr>
              <w:t>* </w:t>
            </w:r>
            <w:r w:rsidR="00EC27D2" w:rsidRPr="009D3012">
              <w:rPr>
                <w:rFonts w:ascii="Cambria Math" w:hAnsi="Cambria Math"/>
                <w:lang w:val="en-US"/>
              </w:rPr>
              <w:t>=</w:t>
            </w:r>
            <w:r w:rsidRPr="009D3012">
              <w:rPr>
                <w:lang w:val="en-US"/>
              </w:rPr>
              <w:t> 10</w:t>
            </w:r>
            <w:r w:rsidRPr="009D3012">
              <w:rPr>
                <w:rStyle w:val="CCMCvariablesuperscript"/>
                <w:lang w:val="en-US"/>
              </w:rPr>
              <w:t>6</w:t>
            </w:r>
            <w:r w:rsidRPr="009D3012">
              <w:rPr>
                <w:lang w:val="en-US"/>
              </w:rPr>
              <w:t xml:space="preserve"> (values may be changed due to changes in </w:t>
            </w:r>
            <w:r w:rsidRPr="009D3012">
              <w:rPr>
                <w:rStyle w:val="CCMCvariableitalic"/>
                <w:lang w:val="en-US"/>
              </w:rPr>
              <w:t>k</w:t>
            </w:r>
            <w:r w:rsidRPr="009D3012">
              <w:rPr>
                <w:rStyle w:val="CCMCvariablesubscript"/>
                <w:lang w:val="en-US"/>
              </w:rPr>
              <w:t>f1</w:t>
            </w:r>
            <w:r w:rsidRPr="009D3012">
              <w:rPr>
                <w:lang w:val="en-US"/>
              </w:rPr>
              <w:t xml:space="preserve"> and </w:t>
            </w:r>
            <w:r w:rsidRPr="009D3012">
              <w:rPr>
                <w:rStyle w:val="CCMCvariableitalic"/>
                <w:lang w:val="en-US"/>
              </w:rPr>
              <w:t>k</w:t>
            </w:r>
            <w:r w:rsidRPr="009D3012">
              <w:rPr>
                <w:rStyle w:val="CCMCvariablesubscript"/>
                <w:lang w:val="en-US"/>
              </w:rPr>
              <w:t>f2</w:t>
            </w:r>
            <w:r w:rsidRPr="009D3012">
              <w:rPr>
                <w:lang w:val="en-US"/>
              </w:rPr>
              <w:t xml:space="preserve"> or </w:t>
            </w:r>
            <w:r w:rsidRPr="009D3012">
              <w:rPr>
                <w:rStyle w:val="CCMCvariableitalic"/>
                <w:lang w:val="en-US"/>
              </w:rPr>
              <w:t>N</w:t>
            </w:r>
            <w:r w:rsidRPr="009D3012">
              <w:rPr>
                <w:lang w:val="en-US"/>
              </w:rPr>
              <w:t>*);</w:t>
            </w:r>
          </w:p>
          <w:p w14:paraId="5D61E7BA" w14:textId="4E3E86E0" w:rsidR="00125DCB" w:rsidRPr="009D3012" w:rsidRDefault="00125DCB" w:rsidP="00A945AF">
            <w:pPr>
              <w:pStyle w:val="KeyText"/>
              <w:rPr>
                <w:lang w:val="en-US"/>
              </w:rPr>
            </w:pPr>
            <w:r w:rsidRPr="009D3012">
              <w:rPr>
                <w:lang w:val="en-US"/>
              </w:rPr>
              <w:t>(4)</w:t>
            </w:r>
            <w:r w:rsidRPr="009D3012">
              <w:rPr>
                <w:lang w:val="en-US"/>
              </w:rPr>
              <w:tab/>
              <w:t xml:space="preserve">couplers (reinforcing steel); welded bars including tack welding and butt joints; </w:t>
            </w:r>
            <w:r w:rsidRPr="009D3012">
              <w:rPr>
                <w:rStyle w:val="CCMCvariableitalic"/>
                <w:lang w:val="en-US"/>
              </w:rPr>
              <w:t>S</w:t>
            </w:r>
            <w:r w:rsidRPr="009D3012">
              <w:rPr>
                <w:lang w:val="en-US"/>
              </w:rPr>
              <w:t>-</w:t>
            </w:r>
            <w:r w:rsidRPr="009D3012">
              <w:rPr>
                <w:rStyle w:val="CCMCvariableitalic"/>
                <w:lang w:val="en-US"/>
              </w:rPr>
              <w:t>N</w:t>
            </w:r>
            <w:r w:rsidRPr="009D3012">
              <w:rPr>
                <w:lang w:val="en-US"/>
              </w:rPr>
              <w:t xml:space="preserve"> curve with </w:t>
            </w:r>
            <w:r w:rsidRPr="009D3012">
              <w:rPr>
                <w:rStyle w:val="CCMCvariableitalic"/>
                <w:lang w:val="en-US"/>
              </w:rPr>
              <w:t>k</w:t>
            </w:r>
            <w:r w:rsidRPr="009D3012">
              <w:rPr>
                <w:rStyle w:val="CCMCvariablesubscript"/>
                <w:lang w:val="en-US"/>
              </w:rPr>
              <w:t>f1</w:t>
            </w:r>
            <w:r w:rsidRPr="009D3012">
              <w:rPr>
                <w:lang w:val="en-US"/>
              </w:rPr>
              <w:t> </w:t>
            </w:r>
            <w:r w:rsidR="00EC27D2" w:rsidRPr="009D3012">
              <w:rPr>
                <w:rFonts w:ascii="Cambria Math" w:hAnsi="Cambria Math"/>
                <w:lang w:val="en-US"/>
              </w:rPr>
              <w:t>=</w:t>
            </w:r>
            <w:r w:rsidRPr="009D3012">
              <w:rPr>
                <w:lang w:val="en-US"/>
              </w:rPr>
              <w:t xml:space="preserve"> 3, </w:t>
            </w:r>
            <w:r w:rsidRPr="009D3012">
              <w:rPr>
                <w:rStyle w:val="CCMCvariableitalic"/>
                <w:lang w:val="en-US"/>
              </w:rPr>
              <w:t>k</w:t>
            </w:r>
            <w:r w:rsidRPr="009D3012">
              <w:rPr>
                <w:rStyle w:val="CCMCvariablesubscript"/>
                <w:lang w:val="en-US"/>
              </w:rPr>
              <w:t>f2</w:t>
            </w:r>
            <w:r w:rsidRPr="009D3012">
              <w:rPr>
                <w:lang w:val="en-US"/>
              </w:rPr>
              <w:t> </w:t>
            </w:r>
            <w:r w:rsidR="00EC27D2" w:rsidRPr="009D3012">
              <w:rPr>
                <w:rFonts w:ascii="Cambria Math" w:hAnsi="Cambria Math"/>
                <w:lang w:val="en-US"/>
              </w:rPr>
              <w:t>=</w:t>
            </w:r>
            <w:r w:rsidRPr="009D3012">
              <w:rPr>
                <w:lang w:val="en-US"/>
              </w:rPr>
              <w:t xml:space="preserve"> 5 and </w:t>
            </w:r>
            <w:r w:rsidRPr="009D3012">
              <w:rPr>
                <w:rStyle w:val="CCMCvariableitalic"/>
                <w:lang w:val="en-US"/>
              </w:rPr>
              <w:t>N</w:t>
            </w:r>
            <w:r w:rsidRPr="009D3012">
              <w:rPr>
                <w:lang w:val="en-US"/>
              </w:rPr>
              <w:t>* </w:t>
            </w:r>
            <w:r w:rsidR="00EC27D2" w:rsidRPr="009D3012">
              <w:rPr>
                <w:rFonts w:ascii="Cambria Math" w:hAnsi="Cambria Math"/>
                <w:lang w:val="en-US"/>
              </w:rPr>
              <w:t>=</w:t>
            </w:r>
            <w:r w:rsidRPr="009D3012">
              <w:rPr>
                <w:lang w:val="en-US"/>
              </w:rPr>
              <w:t> 10</w:t>
            </w:r>
            <w:r w:rsidRPr="009D3012">
              <w:rPr>
                <w:rStyle w:val="CCMCvariablesuperscript"/>
                <w:lang w:val="en-US"/>
              </w:rPr>
              <w:t>7</w:t>
            </w:r>
            <w:r w:rsidRPr="009D3012">
              <w:rPr>
                <w:lang w:val="en-US"/>
              </w:rPr>
              <w:t xml:space="preserve"> (values may be changed due to changes in </w:t>
            </w:r>
            <w:r w:rsidRPr="009D3012">
              <w:rPr>
                <w:rStyle w:val="CCMCvariableitalic"/>
                <w:lang w:val="en-US"/>
              </w:rPr>
              <w:t>k</w:t>
            </w:r>
            <w:r w:rsidRPr="009D3012">
              <w:rPr>
                <w:rStyle w:val="CCMCvariablesubscript"/>
                <w:lang w:val="en-US"/>
              </w:rPr>
              <w:t>f1</w:t>
            </w:r>
            <w:r w:rsidRPr="009D3012">
              <w:rPr>
                <w:lang w:val="en-US"/>
              </w:rPr>
              <w:t xml:space="preserve"> and </w:t>
            </w:r>
            <w:r w:rsidRPr="009D3012">
              <w:rPr>
                <w:rStyle w:val="CCMCvariableitalic"/>
                <w:lang w:val="en-US"/>
              </w:rPr>
              <w:t>k</w:t>
            </w:r>
            <w:r w:rsidRPr="009D3012">
              <w:rPr>
                <w:rStyle w:val="CCMCvariablesubscript"/>
                <w:lang w:val="en-US"/>
              </w:rPr>
              <w:t>f2</w:t>
            </w:r>
            <w:r w:rsidRPr="009D3012">
              <w:rPr>
                <w:lang w:val="en-US"/>
              </w:rPr>
              <w:t xml:space="preserve"> or </w:t>
            </w:r>
            <w:r w:rsidRPr="009D3012">
              <w:rPr>
                <w:rStyle w:val="CCMCvariableitalic"/>
                <w:lang w:val="en-US"/>
              </w:rPr>
              <w:t>N</w:t>
            </w:r>
            <w:r w:rsidRPr="009D3012">
              <w:rPr>
                <w:lang w:val="en-US"/>
              </w:rPr>
              <w:t>*).</w:t>
            </w:r>
          </w:p>
        </w:tc>
      </w:tr>
      <w:tr w:rsidR="0022067E" w:rsidRPr="001455DC" w14:paraId="220485EC" w14:textId="77777777" w:rsidTr="009D3012">
        <w:trPr>
          <w:cnfStyle w:val="010000000000" w:firstRow="0" w:lastRow="1" w:firstColumn="0" w:lastColumn="0" w:oddVBand="0" w:evenVBand="0" w:oddHBand="0" w:evenHBand="0" w:firstRowFirstColumn="0" w:firstRowLastColumn="0" w:lastRowFirstColumn="0" w:lastRowLastColumn="0"/>
        </w:trPr>
        <w:tc>
          <w:tcPr>
            <w:tcW w:w="8774" w:type="dxa"/>
            <w:gridSpan w:val="8"/>
            <w:vAlign w:val="center"/>
          </w:tcPr>
          <w:p w14:paraId="7723586F" w14:textId="74E752BC" w:rsidR="0022067E" w:rsidRPr="001455DC" w:rsidDel="0022067E" w:rsidRDefault="0022067E" w:rsidP="00A945AF">
            <w:pPr>
              <w:pStyle w:val="KeyText"/>
              <w:rPr>
                <w:lang w:val="en-US"/>
              </w:rPr>
            </w:pPr>
            <w:r w:rsidRPr="001455DC">
              <w:rPr>
                <w:lang w:val="en-US"/>
              </w:rPr>
              <w:t>NOTE</w:t>
            </w:r>
            <w:r w:rsidRPr="001455DC">
              <w:rPr>
                <w:lang w:val="en-US"/>
              </w:rPr>
              <w:tab/>
            </w:r>
            <w:r w:rsidRPr="001455DC">
              <w:rPr>
                <w:lang w:val="en-US"/>
              </w:rPr>
              <w:tab/>
            </w:r>
            <w:r w:rsidRPr="009D3012">
              <w:rPr>
                <w:lang w:val="en-US"/>
              </w:rPr>
              <w:t xml:space="preserve">Interpolation between the given </w:t>
            </w:r>
            <w:r w:rsidRPr="009D3012">
              <w:rPr>
                <w:rStyle w:val="CCMCvariableitalic"/>
                <w:lang w:val="en-US"/>
              </w:rPr>
              <w:t>L</w:t>
            </w:r>
            <w:r w:rsidRPr="009D3012">
              <w:rPr>
                <w:lang w:val="en-US"/>
              </w:rPr>
              <w:t>-values according to Formula (K.4) may be carried out.</w:t>
            </w:r>
          </w:p>
        </w:tc>
      </w:tr>
    </w:tbl>
    <w:p w14:paraId="4259ABC1" w14:textId="3F118948" w:rsidR="004E22C1" w:rsidRPr="001455DC" w:rsidRDefault="004E22C1" w:rsidP="00125DCB">
      <w:pPr>
        <w:pStyle w:val="a7"/>
      </w:pPr>
    </w:p>
    <w:p w14:paraId="051EEE79" w14:textId="1ECC6254" w:rsidR="004E22C1" w:rsidRPr="001455DC" w:rsidRDefault="004E22C1" w:rsidP="00125DCB">
      <w:pPr>
        <w:pStyle w:val="a7"/>
      </w:pPr>
      <w:r w:rsidRPr="001455DC">
        <w:t>(5)</w:t>
      </w:r>
      <w:r w:rsidRPr="001455DC">
        <w:tab/>
        <w:t xml:space="preserve">No values of </w:t>
      </w:r>
      <w:r w:rsidRPr="001455DC">
        <w:rPr>
          <w:rStyle w:val="CCMCvariableitalic"/>
        </w:rPr>
        <w:t>λ</w:t>
      </w:r>
      <w:r w:rsidRPr="001455DC">
        <w:rPr>
          <w:rStyle w:val="CCMCvariablesubscript"/>
        </w:rPr>
        <w:t>s,1</w:t>
      </w:r>
      <w:r w:rsidRPr="001455DC">
        <w:t xml:space="preserve"> </w:t>
      </w:r>
      <w:r w:rsidR="00780F47" w:rsidRPr="001455DC">
        <w:t xml:space="preserve">for a light traffic mix </w:t>
      </w:r>
      <w:r w:rsidRPr="001455DC">
        <w:t xml:space="preserve">are given in Table K.1. For bridges designed to carry a light traffic mix the values for </w:t>
      </w:r>
      <w:r w:rsidRPr="001455DC">
        <w:rPr>
          <w:rStyle w:val="CCMCvariableitalic"/>
        </w:rPr>
        <w:t>λ</w:t>
      </w:r>
      <w:r w:rsidRPr="001455DC">
        <w:rPr>
          <w:rStyle w:val="CCMCvariablesubscript"/>
        </w:rPr>
        <w:t>s,1</w:t>
      </w:r>
      <w:r w:rsidRPr="001455DC">
        <w:t xml:space="preserve"> to be used may be based either on the values given in Table K.1 for standard traffic mix or on values determined from detailed calculations.</w:t>
      </w:r>
    </w:p>
    <w:p w14:paraId="5A9E1E1E" w14:textId="3AD86BB1" w:rsidR="004E22C1" w:rsidRPr="001455DC" w:rsidRDefault="004E22C1" w:rsidP="00125DCB">
      <w:pPr>
        <w:pStyle w:val="a7"/>
      </w:pPr>
      <w:r w:rsidRPr="001455DC">
        <w:t>(6)</w:t>
      </w:r>
      <w:r w:rsidRPr="001455DC">
        <w:tab/>
        <w:t xml:space="preserve">For road bridges </w:t>
      </w:r>
      <w:r w:rsidRPr="001455DC">
        <w:rPr>
          <w:rStyle w:val="CCMCvariableitalic"/>
        </w:rPr>
        <w:t>λ</w:t>
      </w:r>
      <w:r w:rsidRPr="001455DC">
        <w:rPr>
          <w:rStyle w:val="CCMCvariablesubscript"/>
        </w:rPr>
        <w:t>s,2</w:t>
      </w:r>
      <w:r w:rsidRPr="001455DC">
        <w:t xml:space="preserve"> reflects the influence of the annual traffic volume and may be calculated by Formula (K.4) also depending on the traffic type:</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125DCB" w:rsidRPr="001455DC" w14:paraId="4BC8FDDF" w14:textId="77777777" w:rsidTr="00125DCB">
        <w:trPr>
          <w:cantSplit/>
        </w:trPr>
        <w:tc>
          <w:tcPr>
            <w:tcW w:w="8505" w:type="dxa"/>
            <w:vAlign w:val="center"/>
          </w:tcPr>
          <w:p w14:paraId="281A15E1" w14:textId="121C730B" w:rsidR="00125DCB" w:rsidRPr="001455DC" w:rsidRDefault="00231E33" w:rsidP="00125DCB">
            <w:pPr>
              <w:pStyle w:val="Formula"/>
              <w:jc w:val="left"/>
            </w:pPr>
            <m:oMathPara>
              <m:oMathParaPr>
                <m:jc m:val="left"/>
              </m:oMathParaPr>
              <m:oMath>
                <m:sSub>
                  <m:sSubPr>
                    <m:ctrlPr>
                      <w:rPr>
                        <w:rFonts w:ascii="Cambria Math" w:hAnsi="Cambria Math"/>
                      </w:rPr>
                    </m:ctrlPr>
                  </m:sSubPr>
                  <m:e>
                    <m:r>
                      <w:rPr>
                        <w:rFonts w:ascii="Cambria Math" w:hAnsi="Cambria Math"/>
                      </w:rPr>
                      <m:t>λ</m:t>
                    </m:r>
                  </m:e>
                  <m:sub>
                    <m:r>
                      <m:rPr>
                        <m:sty m:val="p"/>
                      </m:rPr>
                      <w:rPr>
                        <w:rFonts w:ascii="Cambria Math" w:hAnsi="Cambria Math"/>
                      </w:rPr>
                      <m:t>s,2</m:t>
                    </m:r>
                  </m:sub>
                </m:sSub>
                <m:r>
                  <w:rPr>
                    <w:rFonts w:ascii="Cambria Math" w:hAnsi="Cambria Math"/>
                  </w:rPr>
                  <m:t>=</m:t>
                </m:r>
                <m:bar>
                  <m:barPr>
                    <m:pos m:val="top"/>
                    <m:ctrlPr>
                      <w:rPr>
                        <w:rFonts w:ascii="Cambria Math" w:hAnsi="Cambria Math"/>
                      </w:rPr>
                    </m:ctrlPr>
                  </m:barPr>
                  <m:e>
                    <m:r>
                      <w:rPr>
                        <w:rFonts w:ascii="Cambria Math" w:hAnsi="Cambria Math"/>
                      </w:rPr>
                      <m:t>Q</m:t>
                    </m:r>
                  </m:e>
                </m:bar>
                <m:r>
                  <w:rPr>
                    <w:rFonts w:ascii="Cambria Math" w:hAnsi="Cambria Math"/>
                  </w:rPr>
                  <m:t>⋅</m:t>
                </m:r>
                <m:rad>
                  <m:radPr>
                    <m:ctrlPr>
                      <w:rPr>
                        <w:rFonts w:ascii="Cambria Math" w:hAnsi="Cambria Math"/>
                      </w:rPr>
                    </m:ctrlPr>
                  </m:radPr>
                  <m:deg>
                    <m:sSub>
                      <m:sSubPr>
                        <m:ctrlPr>
                          <w:rPr>
                            <w:rFonts w:ascii="Cambria Math" w:hAnsi="Cambria Math"/>
                          </w:rPr>
                        </m:ctrlPr>
                      </m:sSubPr>
                      <m:e>
                        <m:r>
                          <w:rPr>
                            <w:rFonts w:ascii="Cambria Math" w:hAnsi="Cambria Math"/>
                          </w:rPr>
                          <m:t>k</m:t>
                        </m:r>
                      </m:e>
                      <m:sub>
                        <m:r>
                          <m:rPr>
                            <m:sty m:val="p"/>
                          </m:rPr>
                          <w:rPr>
                            <w:rFonts w:ascii="Cambria Math" w:hAnsi="Cambria Math"/>
                          </w:rPr>
                          <m:t>f2</m:t>
                        </m:r>
                      </m:sub>
                    </m:sSub>
                  </m:deg>
                  <m:e>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obs</m:t>
                            </m:r>
                          </m:sub>
                        </m:sSub>
                      </m:num>
                      <m:den>
                        <m:r>
                          <w:rPr>
                            <w:rFonts w:ascii="Cambria Math" w:hAnsi="Cambria Math"/>
                          </w:rPr>
                          <m:t>2,0⋅</m:t>
                        </m:r>
                        <m:sSup>
                          <m:sSupPr>
                            <m:ctrlPr>
                              <w:rPr>
                                <w:rFonts w:ascii="Cambria Math" w:hAnsi="Cambria Math"/>
                              </w:rPr>
                            </m:ctrlPr>
                          </m:sSupPr>
                          <m:e>
                            <m:r>
                              <w:rPr>
                                <w:rFonts w:ascii="Cambria Math" w:hAnsi="Cambria Math"/>
                              </w:rPr>
                              <m:t>10</m:t>
                            </m:r>
                          </m:e>
                          <m:sup>
                            <m:r>
                              <w:rPr>
                                <w:rFonts w:ascii="Cambria Math" w:hAnsi="Cambria Math"/>
                              </w:rPr>
                              <m:t>6</m:t>
                            </m:r>
                          </m:sup>
                        </m:sSup>
                      </m:den>
                    </m:f>
                  </m:e>
                </m:rad>
              </m:oMath>
            </m:oMathPara>
          </w:p>
        </w:tc>
        <w:tc>
          <w:tcPr>
            <w:tcW w:w="1247" w:type="dxa"/>
            <w:vAlign w:val="center"/>
          </w:tcPr>
          <w:p w14:paraId="0BC626BE" w14:textId="03EEE394" w:rsidR="00125DCB" w:rsidRPr="001455DC" w:rsidRDefault="00125DCB" w:rsidP="00125DCB">
            <w:pPr>
              <w:pStyle w:val="a7"/>
              <w:jc w:val="right"/>
            </w:pPr>
            <w:r w:rsidRPr="001455DC">
              <w:t>(K.4)</w:t>
            </w:r>
          </w:p>
        </w:tc>
      </w:tr>
    </w:tbl>
    <w:p w14:paraId="1AFD9AF0" w14:textId="77777777" w:rsidR="00125DCB" w:rsidRPr="001455DC" w:rsidRDefault="00125DCB"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125DCB" w:rsidRPr="001455DC" w14:paraId="4EA8B32D" w14:textId="77777777" w:rsidTr="00125DCB">
        <w:trPr>
          <w:cantSplit/>
        </w:trPr>
        <w:tc>
          <w:tcPr>
            <w:tcW w:w="567" w:type="dxa"/>
          </w:tcPr>
          <w:p w14:paraId="0E2DB624" w14:textId="4438B511" w:rsidR="00125DCB" w:rsidRPr="001455DC" w:rsidRDefault="00125DCB" w:rsidP="0000442A">
            <w:pPr>
              <w:pStyle w:val="Tablebody"/>
            </w:pPr>
            <w:r w:rsidRPr="001455DC">
              <w:rPr>
                <w:rStyle w:val="CCMCvariableitalic"/>
              </w:rPr>
              <w:t>N</w:t>
            </w:r>
            <w:r w:rsidRPr="001455DC">
              <w:rPr>
                <w:rStyle w:val="CCMCvariablesubscript"/>
              </w:rPr>
              <w:t>obs</w:t>
            </w:r>
          </w:p>
        </w:tc>
        <w:tc>
          <w:tcPr>
            <w:tcW w:w="8845" w:type="dxa"/>
          </w:tcPr>
          <w:p w14:paraId="0AB14B76" w14:textId="025D2695" w:rsidR="00125DCB" w:rsidRPr="001455DC" w:rsidRDefault="00125DCB" w:rsidP="00BB1209">
            <w:pPr>
              <w:pStyle w:val="Tablebody"/>
            </w:pPr>
            <w:r w:rsidRPr="001455DC">
              <w:rPr>
                <w:lang w:eastAsia="ja-JP"/>
              </w:rPr>
              <w:t xml:space="preserve">is the number of lorries per year according to </w:t>
            </w:r>
            <w:r w:rsidR="00B0410C">
              <w:rPr>
                <w:lang w:eastAsia="ja-JP"/>
              </w:rPr>
              <w:t>pr</w:t>
            </w:r>
            <w:r w:rsidRPr="001455DC">
              <w:rPr>
                <w:lang w:eastAsia="ja-JP"/>
              </w:rPr>
              <w:t>EN 1991</w:t>
            </w:r>
            <w:r w:rsidRPr="001455DC">
              <w:rPr>
                <w:lang w:eastAsia="ja-JP"/>
              </w:rPr>
              <w:noBreakHyphen/>
              <w:t>2</w:t>
            </w:r>
            <w:r w:rsidR="00780F47" w:rsidRPr="001455DC">
              <w:rPr>
                <w:lang w:eastAsia="ja-JP"/>
              </w:rPr>
              <w:t>:</w:t>
            </w:r>
            <w:r w:rsidR="00B0410C" w:rsidRPr="001455DC">
              <w:rPr>
                <w:lang w:eastAsia="ja-JP"/>
              </w:rPr>
              <w:t>20</w:t>
            </w:r>
            <w:r w:rsidR="00B0410C">
              <w:rPr>
                <w:lang w:eastAsia="ja-JP"/>
              </w:rPr>
              <w:t>18</w:t>
            </w:r>
            <w:r w:rsidRPr="001455DC">
              <w:rPr>
                <w:lang w:eastAsia="ja-JP"/>
              </w:rPr>
              <w:t xml:space="preserve">, </w:t>
            </w:r>
            <w:r w:rsidRPr="001455DC">
              <w:t>Table </w:t>
            </w:r>
            <w:r w:rsidR="00B0410C">
              <w:rPr>
                <w:lang w:eastAsia="ja-JP"/>
              </w:rPr>
              <w:t>6</w:t>
            </w:r>
            <w:r w:rsidRPr="001455DC">
              <w:rPr>
                <w:lang w:eastAsia="ja-JP"/>
              </w:rPr>
              <w:t>.5</w:t>
            </w:r>
            <w:r w:rsidRPr="001455DC">
              <w:t>;</w:t>
            </w:r>
          </w:p>
        </w:tc>
      </w:tr>
      <w:tr w:rsidR="00125DCB" w:rsidRPr="001455DC" w14:paraId="49FFB294" w14:textId="77777777" w:rsidTr="00125DCB">
        <w:trPr>
          <w:cantSplit/>
        </w:trPr>
        <w:tc>
          <w:tcPr>
            <w:tcW w:w="567" w:type="dxa"/>
          </w:tcPr>
          <w:p w14:paraId="38EE9FDD" w14:textId="24CA0D4B" w:rsidR="00125DCB" w:rsidRPr="001455DC" w:rsidRDefault="00125DCB" w:rsidP="0000442A">
            <w:pPr>
              <w:pStyle w:val="Tablebody"/>
            </w:pPr>
            <w:r w:rsidRPr="001455DC">
              <w:rPr>
                <w:rStyle w:val="CCMCvariableitalic"/>
              </w:rPr>
              <w:t>k</w:t>
            </w:r>
            <w:r w:rsidRPr="001455DC">
              <w:rPr>
                <w:rStyle w:val="CCMCvariablesubscript"/>
              </w:rPr>
              <w:t>f2</w:t>
            </w:r>
          </w:p>
        </w:tc>
        <w:tc>
          <w:tcPr>
            <w:tcW w:w="8845" w:type="dxa"/>
          </w:tcPr>
          <w:p w14:paraId="3577A4F2" w14:textId="0AF7F093" w:rsidR="00125DCB" w:rsidRPr="001455DC" w:rsidRDefault="00125DCB" w:rsidP="0000442A">
            <w:pPr>
              <w:pStyle w:val="Tablebody"/>
            </w:pPr>
            <w:r w:rsidRPr="001455DC">
              <w:rPr>
                <w:lang w:eastAsia="ja-JP"/>
              </w:rPr>
              <w:t xml:space="preserve">is the slope of the appropriate </w:t>
            </w:r>
            <w:r w:rsidRPr="001455DC">
              <w:rPr>
                <w:rStyle w:val="CCMCvariableitalic"/>
              </w:rPr>
              <w:t>S</w:t>
            </w:r>
            <w:r w:rsidRPr="001455DC">
              <w:t>-</w:t>
            </w:r>
            <w:r w:rsidRPr="001455DC">
              <w:rPr>
                <w:rStyle w:val="CCMCvariableitalic"/>
              </w:rPr>
              <w:t>N</w:t>
            </w:r>
            <w:r w:rsidRPr="001455DC">
              <w:t>-</w:t>
            </w:r>
            <w:r w:rsidRPr="001455DC">
              <w:rPr>
                <w:lang w:eastAsia="ja-JP"/>
              </w:rPr>
              <w:t>Line to be taken from Tables K.1 and K.2</w:t>
            </w:r>
            <w:r w:rsidRPr="001455DC">
              <w:t>;</w:t>
            </w:r>
          </w:p>
        </w:tc>
      </w:tr>
      <w:tr w:rsidR="00125DCB" w:rsidRPr="001455DC" w14:paraId="6CEB4694" w14:textId="77777777" w:rsidTr="00125DCB">
        <w:trPr>
          <w:cantSplit/>
        </w:trPr>
        <w:tc>
          <w:tcPr>
            <w:tcW w:w="567" w:type="dxa"/>
          </w:tcPr>
          <w:p w14:paraId="156175CC" w14:textId="2A4B1A82" w:rsidR="00125DCB" w:rsidRPr="001455DC" w:rsidRDefault="00231E33" w:rsidP="00D86695">
            <w:pPr>
              <w:pStyle w:val="Tablebody"/>
            </w:pPr>
            <m:oMathPara>
              <m:oMathParaPr>
                <m:jc m:val="left"/>
              </m:oMathParaPr>
              <m:oMath>
                <m:bar>
                  <m:barPr>
                    <m:pos m:val="top"/>
                    <m:ctrlPr>
                      <w:rPr>
                        <w:rFonts w:ascii="Cambria Math" w:hAnsi="Cambria Math"/>
                      </w:rPr>
                    </m:ctrlPr>
                  </m:barPr>
                  <m:e>
                    <m:r>
                      <w:rPr>
                        <w:rFonts w:ascii="Cambria Math" w:hAnsi="Cambria Math"/>
                      </w:rPr>
                      <m:t>Q</m:t>
                    </m:r>
                  </m:e>
                </m:bar>
              </m:oMath>
            </m:oMathPara>
          </w:p>
        </w:tc>
        <w:tc>
          <w:tcPr>
            <w:tcW w:w="8845" w:type="dxa"/>
          </w:tcPr>
          <w:p w14:paraId="56F0BF64" w14:textId="399D649C" w:rsidR="00125DCB" w:rsidRPr="001455DC" w:rsidRDefault="00125DCB" w:rsidP="00D86695">
            <w:pPr>
              <w:pStyle w:val="Tablebody"/>
            </w:pPr>
            <w:r w:rsidRPr="001455DC">
              <w:t>is a factor for traffic type according to Table K.2.</w:t>
            </w:r>
          </w:p>
        </w:tc>
      </w:tr>
    </w:tbl>
    <w:p w14:paraId="00AA5382" w14:textId="77777777" w:rsidR="004E22C1" w:rsidRPr="001455DC" w:rsidRDefault="004E22C1" w:rsidP="00125DCB">
      <w:pPr>
        <w:pStyle w:val="Tabletitle"/>
      </w:pPr>
      <w:bookmarkStart w:id="2165" w:name="_Toc54337786"/>
      <w:r w:rsidRPr="001455DC">
        <w:t>Table K.2 — Factors for traffic type of road bridges</w:t>
      </w:r>
      <w:bookmarkEnd w:id="2165"/>
    </w:p>
    <w:tbl>
      <w:tblPr>
        <w:tblStyle w:val="53"/>
        <w:tblW w:w="9752" w:type="dxa"/>
        <w:tblLayout w:type="fixed"/>
        <w:tblLook w:val="0620" w:firstRow="1" w:lastRow="0" w:firstColumn="0" w:lastColumn="0" w:noHBand="1" w:noVBand="1"/>
      </w:tblPr>
      <w:tblGrid>
        <w:gridCol w:w="2439"/>
        <w:gridCol w:w="2439"/>
        <w:gridCol w:w="2437"/>
        <w:gridCol w:w="2437"/>
      </w:tblGrid>
      <w:tr w:rsidR="004E22C1" w:rsidRPr="001455DC" w14:paraId="20052F5E" w14:textId="77777777" w:rsidTr="00125DCB">
        <w:trPr>
          <w:cnfStyle w:val="100000000000" w:firstRow="1" w:lastRow="0" w:firstColumn="0" w:lastColumn="0" w:oddVBand="0" w:evenVBand="0" w:oddHBand="0" w:evenHBand="0" w:firstRowFirstColumn="0" w:firstRowLastColumn="0" w:lastRowFirstColumn="0" w:lastRowLastColumn="0"/>
          <w:tblHeader/>
        </w:trPr>
        <w:tc>
          <w:tcPr>
            <w:tcW w:w="1985" w:type="dxa"/>
            <w:vMerge w:val="restart"/>
            <w:hideMark/>
          </w:tcPr>
          <w:p w14:paraId="711010A5" w14:textId="77777777" w:rsidR="004E22C1" w:rsidRPr="009D3012" w:rsidRDefault="004E22C1" w:rsidP="00125DCB">
            <w:pPr>
              <w:pStyle w:val="Tableheader"/>
              <w:rPr>
                <w:lang w:val="en-US"/>
              </w:rPr>
            </w:pPr>
            <w:r w:rsidRPr="009D3012">
              <w:rPr>
                <w:lang w:val="en-US"/>
              </w:rPr>
              <w:t xml:space="preserve">slope of </w:t>
            </w:r>
            <w:r w:rsidRPr="009D3012">
              <w:rPr>
                <w:rStyle w:val="CCMCvariableitalic"/>
                <w:lang w:val="en-US"/>
              </w:rPr>
              <w:t>S</w:t>
            </w:r>
            <w:r w:rsidRPr="009D3012">
              <w:rPr>
                <w:lang w:val="en-US"/>
              </w:rPr>
              <w:t>-</w:t>
            </w:r>
            <w:r w:rsidRPr="009D3012">
              <w:rPr>
                <w:rStyle w:val="CCMCvariableitalic"/>
                <w:lang w:val="en-US"/>
              </w:rPr>
              <w:t>N</w:t>
            </w:r>
            <w:r w:rsidRPr="009D3012">
              <w:rPr>
                <w:lang w:val="en-US"/>
              </w:rPr>
              <w:t xml:space="preserve"> curve</w:t>
            </w:r>
          </w:p>
        </w:tc>
        <w:tc>
          <w:tcPr>
            <w:tcW w:w="5953" w:type="dxa"/>
            <w:gridSpan w:val="3"/>
            <w:hideMark/>
          </w:tcPr>
          <w:p w14:paraId="105B7787" w14:textId="18A0D61D" w:rsidR="004E22C1" w:rsidRPr="009D3012" w:rsidRDefault="00231E33" w:rsidP="00125DCB">
            <w:pPr>
              <w:pStyle w:val="Tableheader"/>
              <w:rPr>
                <w:lang w:val="en-US"/>
              </w:rPr>
            </w:pPr>
            <m:oMath>
              <m:bar>
                <m:barPr>
                  <m:pos m:val="top"/>
                  <m:ctrlPr>
                    <w:rPr>
                      <w:rFonts w:ascii="Cambria Math" w:hAnsi="Cambria Math"/>
                      <w:i/>
                      <w:iCs/>
                    </w:rPr>
                  </m:ctrlPr>
                </m:barPr>
                <m:e>
                  <m:r>
                    <m:rPr>
                      <m:sty m:val="bi"/>
                    </m:rPr>
                    <w:rPr>
                      <w:rFonts w:ascii="Cambria Math" w:hAnsi="Cambria Math"/>
                    </w:rPr>
                    <m:t>Q</m:t>
                  </m:r>
                </m:e>
              </m:bar>
            </m:oMath>
            <w:r w:rsidR="004E22C1" w:rsidRPr="009D3012">
              <w:rPr>
                <w:lang w:val="en-US"/>
              </w:rPr>
              <w:t>-factor for traffic type (see EN 1991</w:t>
            </w:r>
            <w:r w:rsidR="004E22C1" w:rsidRPr="009D3012">
              <w:rPr>
                <w:lang w:val="en-US"/>
              </w:rPr>
              <w:noBreakHyphen/>
              <w:t>2</w:t>
            </w:r>
            <w:r w:rsidR="00780F47" w:rsidRPr="001455DC">
              <w:rPr>
                <w:lang w:val="en-US"/>
              </w:rPr>
              <w:t>:2003 + AC:2010</w:t>
            </w:r>
            <w:r w:rsidR="004E22C1" w:rsidRPr="009D3012">
              <w:rPr>
                <w:lang w:val="en-US"/>
              </w:rPr>
              <w:t>, Table 4.7)</w:t>
            </w:r>
          </w:p>
        </w:tc>
      </w:tr>
      <w:tr w:rsidR="004E22C1" w:rsidRPr="001455DC" w14:paraId="5CA4CC14" w14:textId="77777777" w:rsidTr="00125DCB">
        <w:trPr>
          <w:cnfStyle w:val="100000000000" w:firstRow="1" w:lastRow="0" w:firstColumn="0" w:lastColumn="0" w:oddVBand="0" w:evenVBand="0" w:oddHBand="0" w:evenHBand="0" w:firstRowFirstColumn="0" w:firstRowLastColumn="0" w:lastRowFirstColumn="0" w:lastRowLastColumn="0"/>
          <w:tblHeader/>
        </w:trPr>
        <w:tc>
          <w:tcPr>
            <w:tcW w:w="1985" w:type="dxa"/>
            <w:vMerge/>
            <w:hideMark/>
          </w:tcPr>
          <w:p w14:paraId="01F6DAE8" w14:textId="77777777" w:rsidR="004E22C1" w:rsidRPr="009D3012" w:rsidRDefault="004E22C1" w:rsidP="00125DCB">
            <w:pPr>
              <w:pStyle w:val="Tableheader"/>
              <w:rPr>
                <w:lang w:val="en-US"/>
              </w:rPr>
            </w:pPr>
          </w:p>
        </w:tc>
        <w:tc>
          <w:tcPr>
            <w:tcW w:w="1985" w:type="dxa"/>
            <w:hideMark/>
          </w:tcPr>
          <w:p w14:paraId="76389AC5" w14:textId="77777777" w:rsidR="004E22C1" w:rsidRPr="001455DC" w:rsidRDefault="004E22C1" w:rsidP="00125DCB">
            <w:pPr>
              <w:pStyle w:val="Tableheader"/>
            </w:pPr>
            <w:r w:rsidRPr="001455DC">
              <w:t>long distance</w:t>
            </w:r>
          </w:p>
        </w:tc>
        <w:tc>
          <w:tcPr>
            <w:tcW w:w="1984" w:type="dxa"/>
            <w:hideMark/>
          </w:tcPr>
          <w:p w14:paraId="74966303" w14:textId="77777777" w:rsidR="004E22C1" w:rsidRPr="001455DC" w:rsidRDefault="004E22C1" w:rsidP="00125DCB">
            <w:pPr>
              <w:pStyle w:val="Tableheader"/>
            </w:pPr>
            <w:r w:rsidRPr="001455DC">
              <w:t>medium distance</w:t>
            </w:r>
          </w:p>
        </w:tc>
        <w:tc>
          <w:tcPr>
            <w:tcW w:w="1984" w:type="dxa"/>
            <w:hideMark/>
          </w:tcPr>
          <w:p w14:paraId="48616D24" w14:textId="77777777" w:rsidR="004E22C1" w:rsidRPr="001455DC" w:rsidRDefault="004E22C1" w:rsidP="00125DCB">
            <w:pPr>
              <w:pStyle w:val="Tableheader"/>
            </w:pPr>
            <w:r w:rsidRPr="001455DC">
              <w:t>local traffic</w:t>
            </w:r>
          </w:p>
        </w:tc>
      </w:tr>
      <w:tr w:rsidR="004E22C1" w:rsidRPr="001455DC" w14:paraId="6E252258" w14:textId="77777777" w:rsidTr="00125DCB">
        <w:tc>
          <w:tcPr>
            <w:tcW w:w="1985" w:type="dxa"/>
            <w:vAlign w:val="center"/>
            <w:hideMark/>
          </w:tcPr>
          <w:p w14:paraId="3935F87A" w14:textId="73826600" w:rsidR="004E22C1" w:rsidRPr="001455DC" w:rsidRDefault="004E22C1" w:rsidP="00125DCB">
            <w:pPr>
              <w:pStyle w:val="Tablebody"/>
              <w:jc w:val="center"/>
              <w:rPr>
                <w:lang w:eastAsia="ja-JP"/>
              </w:rPr>
            </w:pPr>
            <w:r w:rsidRPr="001455DC">
              <w:rPr>
                <w:rStyle w:val="CCMCvariableitalic"/>
              </w:rPr>
              <w:t>k</w:t>
            </w:r>
            <w:r w:rsidRPr="001455DC">
              <w:rPr>
                <w:rStyle w:val="CCMCvariablesubscript"/>
              </w:rPr>
              <w:t>f2</w:t>
            </w:r>
            <w:r w:rsidRPr="001455DC">
              <w:t> </w:t>
            </w:r>
            <w:r w:rsidR="00EC27D2" w:rsidRPr="001455DC">
              <w:rPr>
                <w:rFonts w:ascii="Cambria Math" w:hAnsi="Cambria Math"/>
              </w:rPr>
              <w:t>=</w:t>
            </w:r>
            <w:r w:rsidRPr="001455DC">
              <w:t> </w:t>
            </w:r>
            <w:r w:rsidRPr="001455DC">
              <w:rPr>
                <w:lang w:eastAsia="ja-JP"/>
              </w:rPr>
              <w:t>5</w:t>
            </w:r>
          </w:p>
        </w:tc>
        <w:tc>
          <w:tcPr>
            <w:tcW w:w="1985" w:type="dxa"/>
            <w:vAlign w:val="center"/>
            <w:hideMark/>
          </w:tcPr>
          <w:p w14:paraId="668A38A9" w14:textId="77777777" w:rsidR="004E22C1" w:rsidRPr="001455DC" w:rsidRDefault="004E22C1" w:rsidP="00125DCB">
            <w:pPr>
              <w:pStyle w:val="Tablebody"/>
              <w:jc w:val="center"/>
              <w:rPr>
                <w:lang w:eastAsia="ja-JP"/>
              </w:rPr>
            </w:pPr>
            <w:r w:rsidRPr="001455DC">
              <w:rPr>
                <w:lang w:eastAsia="ja-JP"/>
              </w:rPr>
              <w:t>1,0</w:t>
            </w:r>
          </w:p>
        </w:tc>
        <w:tc>
          <w:tcPr>
            <w:tcW w:w="1984" w:type="dxa"/>
            <w:vAlign w:val="center"/>
            <w:hideMark/>
          </w:tcPr>
          <w:p w14:paraId="5FAC8B27" w14:textId="77777777" w:rsidR="004E22C1" w:rsidRPr="001455DC" w:rsidRDefault="004E22C1" w:rsidP="00125DCB">
            <w:pPr>
              <w:pStyle w:val="Tablebody"/>
              <w:jc w:val="center"/>
              <w:rPr>
                <w:lang w:eastAsia="ja-JP"/>
              </w:rPr>
            </w:pPr>
            <w:r w:rsidRPr="001455DC">
              <w:rPr>
                <w:lang w:eastAsia="ja-JP"/>
              </w:rPr>
              <w:t>0,90</w:t>
            </w:r>
          </w:p>
        </w:tc>
        <w:tc>
          <w:tcPr>
            <w:tcW w:w="1984" w:type="dxa"/>
            <w:vAlign w:val="center"/>
            <w:hideMark/>
          </w:tcPr>
          <w:p w14:paraId="79633640" w14:textId="77777777" w:rsidR="004E22C1" w:rsidRPr="001455DC" w:rsidRDefault="004E22C1" w:rsidP="00125DCB">
            <w:pPr>
              <w:pStyle w:val="Tablebody"/>
              <w:jc w:val="center"/>
              <w:rPr>
                <w:lang w:eastAsia="ja-JP"/>
              </w:rPr>
            </w:pPr>
            <w:r w:rsidRPr="001455DC">
              <w:rPr>
                <w:lang w:eastAsia="ja-JP"/>
              </w:rPr>
              <w:t>0,73</w:t>
            </w:r>
          </w:p>
        </w:tc>
      </w:tr>
      <w:tr w:rsidR="004E22C1" w:rsidRPr="001455DC" w14:paraId="57574C74" w14:textId="77777777" w:rsidTr="00125DCB">
        <w:tc>
          <w:tcPr>
            <w:tcW w:w="1985" w:type="dxa"/>
            <w:vAlign w:val="center"/>
            <w:hideMark/>
          </w:tcPr>
          <w:p w14:paraId="21A375CB" w14:textId="6AC8F1E1" w:rsidR="004E22C1" w:rsidRPr="001455DC" w:rsidRDefault="004E22C1" w:rsidP="00125DCB">
            <w:pPr>
              <w:pStyle w:val="Tablebody"/>
              <w:jc w:val="center"/>
              <w:rPr>
                <w:lang w:eastAsia="ja-JP"/>
              </w:rPr>
            </w:pPr>
            <w:r w:rsidRPr="001455DC">
              <w:rPr>
                <w:rStyle w:val="CCMCvariableitalic"/>
              </w:rPr>
              <w:t>k</w:t>
            </w:r>
            <w:r w:rsidRPr="001455DC">
              <w:rPr>
                <w:rStyle w:val="CCMCvariablesubscript"/>
              </w:rPr>
              <w:t>f2</w:t>
            </w:r>
            <w:r w:rsidRPr="001455DC">
              <w:t> </w:t>
            </w:r>
            <w:r w:rsidR="00EC27D2" w:rsidRPr="001455DC">
              <w:rPr>
                <w:rFonts w:ascii="Cambria Math" w:hAnsi="Cambria Math"/>
              </w:rPr>
              <w:t>=</w:t>
            </w:r>
            <w:r w:rsidRPr="001455DC">
              <w:t> </w:t>
            </w:r>
            <w:r w:rsidRPr="001455DC">
              <w:rPr>
                <w:lang w:eastAsia="ja-JP"/>
              </w:rPr>
              <w:t>7</w:t>
            </w:r>
          </w:p>
        </w:tc>
        <w:tc>
          <w:tcPr>
            <w:tcW w:w="1985" w:type="dxa"/>
            <w:vAlign w:val="center"/>
            <w:hideMark/>
          </w:tcPr>
          <w:p w14:paraId="16EAAEE9" w14:textId="77777777" w:rsidR="004E22C1" w:rsidRPr="001455DC" w:rsidRDefault="004E22C1" w:rsidP="00125DCB">
            <w:pPr>
              <w:pStyle w:val="Tablebody"/>
              <w:jc w:val="center"/>
              <w:rPr>
                <w:lang w:eastAsia="ja-JP"/>
              </w:rPr>
            </w:pPr>
            <w:r w:rsidRPr="001455DC">
              <w:rPr>
                <w:lang w:eastAsia="ja-JP"/>
              </w:rPr>
              <w:t>1,0</w:t>
            </w:r>
          </w:p>
        </w:tc>
        <w:tc>
          <w:tcPr>
            <w:tcW w:w="1984" w:type="dxa"/>
            <w:vAlign w:val="center"/>
            <w:hideMark/>
          </w:tcPr>
          <w:p w14:paraId="4444E308" w14:textId="77777777" w:rsidR="004E22C1" w:rsidRPr="001455DC" w:rsidRDefault="004E22C1" w:rsidP="00125DCB">
            <w:pPr>
              <w:pStyle w:val="Tablebody"/>
              <w:jc w:val="center"/>
              <w:rPr>
                <w:lang w:eastAsia="ja-JP"/>
              </w:rPr>
            </w:pPr>
            <w:r w:rsidRPr="001455DC">
              <w:rPr>
                <w:lang w:eastAsia="ja-JP"/>
              </w:rPr>
              <w:t>0,92</w:t>
            </w:r>
          </w:p>
        </w:tc>
        <w:tc>
          <w:tcPr>
            <w:tcW w:w="1984" w:type="dxa"/>
            <w:vAlign w:val="center"/>
            <w:hideMark/>
          </w:tcPr>
          <w:p w14:paraId="21C68133" w14:textId="77777777" w:rsidR="004E22C1" w:rsidRPr="001455DC" w:rsidRDefault="004E22C1" w:rsidP="00125DCB">
            <w:pPr>
              <w:pStyle w:val="Tablebody"/>
              <w:jc w:val="center"/>
              <w:rPr>
                <w:lang w:eastAsia="ja-JP"/>
              </w:rPr>
            </w:pPr>
            <w:r w:rsidRPr="001455DC">
              <w:rPr>
                <w:lang w:eastAsia="ja-JP"/>
              </w:rPr>
              <w:t>0,78</w:t>
            </w:r>
          </w:p>
        </w:tc>
      </w:tr>
      <w:tr w:rsidR="004E22C1" w:rsidRPr="001455DC" w14:paraId="10BA90A6" w14:textId="77777777" w:rsidTr="00125DCB">
        <w:tc>
          <w:tcPr>
            <w:tcW w:w="1985" w:type="dxa"/>
            <w:vAlign w:val="center"/>
            <w:hideMark/>
          </w:tcPr>
          <w:p w14:paraId="4B1CF08E" w14:textId="66AA5579" w:rsidR="004E22C1" w:rsidRPr="001455DC" w:rsidRDefault="004E22C1" w:rsidP="00125DCB">
            <w:pPr>
              <w:pStyle w:val="Tablebody"/>
              <w:jc w:val="center"/>
              <w:rPr>
                <w:lang w:eastAsia="ja-JP"/>
              </w:rPr>
            </w:pPr>
            <w:r w:rsidRPr="001455DC">
              <w:rPr>
                <w:rStyle w:val="CCMCvariableitalic"/>
              </w:rPr>
              <w:t>k</w:t>
            </w:r>
            <w:r w:rsidRPr="001455DC">
              <w:rPr>
                <w:rStyle w:val="CCMCvariablesubscript"/>
              </w:rPr>
              <w:t>f2</w:t>
            </w:r>
            <w:r w:rsidRPr="001455DC">
              <w:t> </w:t>
            </w:r>
            <w:r w:rsidR="00EC27D2" w:rsidRPr="001455DC">
              <w:rPr>
                <w:rFonts w:ascii="Cambria Math" w:hAnsi="Cambria Math"/>
              </w:rPr>
              <w:t>=</w:t>
            </w:r>
            <w:r w:rsidRPr="001455DC">
              <w:t> </w:t>
            </w:r>
            <w:r w:rsidRPr="001455DC">
              <w:rPr>
                <w:lang w:eastAsia="ja-JP"/>
              </w:rPr>
              <w:t>9</w:t>
            </w:r>
          </w:p>
        </w:tc>
        <w:tc>
          <w:tcPr>
            <w:tcW w:w="1985" w:type="dxa"/>
            <w:vAlign w:val="center"/>
            <w:hideMark/>
          </w:tcPr>
          <w:p w14:paraId="30455F70" w14:textId="77777777" w:rsidR="004E22C1" w:rsidRPr="001455DC" w:rsidRDefault="004E22C1" w:rsidP="00125DCB">
            <w:pPr>
              <w:pStyle w:val="Tablebody"/>
              <w:jc w:val="center"/>
              <w:rPr>
                <w:lang w:eastAsia="ja-JP"/>
              </w:rPr>
            </w:pPr>
            <w:r w:rsidRPr="001455DC">
              <w:rPr>
                <w:lang w:eastAsia="ja-JP"/>
              </w:rPr>
              <w:t>1,0</w:t>
            </w:r>
          </w:p>
        </w:tc>
        <w:tc>
          <w:tcPr>
            <w:tcW w:w="1984" w:type="dxa"/>
            <w:vAlign w:val="center"/>
            <w:hideMark/>
          </w:tcPr>
          <w:p w14:paraId="706B1C15" w14:textId="77777777" w:rsidR="004E22C1" w:rsidRPr="001455DC" w:rsidRDefault="004E22C1" w:rsidP="00125DCB">
            <w:pPr>
              <w:pStyle w:val="Tablebody"/>
              <w:jc w:val="center"/>
              <w:rPr>
                <w:lang w:eastAsia="ja-JP"/>
              </w:rPr>
            </w:pPr>
            <w:r w:rsidRPr="001455DC">
              <w:rPr>
                <w:lang w:eastAsia="ja-JP"/>
              </w:rPr>
              <w:t>0,94</w:t>
            </w:r>
          </w:p>
        </w:tc>
        <w:tc>
          <w:tcPr>
            <w:tcW w:w="1984" w:type="dxa"/>
            <w:vAlign w:val="center"/>
            <w:hideMark/>
          </w:tcPr>
          <w:p w14:paraId="58214E02" w14:textId="77777777" w:rsidR="004E22C1" w:rsidRPr="001455DC" w:rsidRDefault="004E22C1" w:rsidP="00125DCB">
            <w:pPr>
              <w:pStyle w:val="Tablebody"/>
              <w:jc w:val="center"/>
              <w:rPr>
                <w:lang w:eastAsia="ja-JP"/>
              </w:rPr>
            </w:pPr>
            <w:r w:rsidRPr="001455DC">
              <w:rPr>
                <w:lang w:eastAsia="ja-JP"/>
              </w:rPr>
              <w:t>0,82</w:t>
            </w:r>
          </w:p>
        </w:tc>
      </w:tr>
    </w:tbl>
    <w:p w14:paraId="604BF5B0" w14:textId="77777777" w:rsidR="004E22C1" w:rsidRPr="001455DC" w:rsidRDefault="004E22C1" w:rsidP="00125DCB">
      <w:pPr>
        <w:pStyle w:val="a7"/>
      </w:pPr>
    </w:p>
    <w:p w14:paraId="55D7BBE0" w14:textId="77777777" w:rsidR="00125DCB" w:rsidRPr="001455DC" w:rsidRDefault="004E22C1" w:rsidP="00DE6BBC">
      <w:pPr>
        <w:pStyle w:val="a7"/>
        <w:keepNext/>
      </w:pPr>
      <w:r w:rsidRPr="001455DC">
        <w:t>(7)</w:t>
      </w:r>
      <w:r w:rsidRPr="001455DC">
        <w:tab/>
        <w:t xml:space="preserve">For railway bridges </w:t>
      </w:r>
      <w:r w:rsidRPr="001455DC">
        <w:rPr>
          <w:rStyle w:val="CCMCvariableitalic"/>
        </w:rPr>
        <w:t>λ</w:t>
      </w:r>
      <w:r w:rsidRPr="001455DC">
        <w:rPr>
          <w:rStyle w:val="CCMCvariablesubscript"/>
        </w:rPr>
        <w:t>s,2</w:t>
      </w:r>
      <w:r w:rsidRPr="001455DC">
        <w:t xml:space="preserve"> reflects the influence of the annual traffic volume. </w:t>
      </w:r>
      <w:r w:rsidRPr="001455DC">
        <w:rPr>
          <w:rStyle w:val="CCMCvariableitalic"/>
        </w:rPr>
        <w:t>λ</w:t>
      </w:r>
      <w:r w:rsidRPr="001455DC">
        <w:rPr>
          <w:rStyle w:val="CCMCvariablesubscript"/>
        </w:rPr>
        <w:t>s,2</w:t>
      </w:r>
      <w:r w:rsidRPr="001455DC">
        <w:t xml:space="preserve"> may be calculated by Formula (K.5):</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125DCB" w:rsidRPr="001455DC" w14:paraId="617AA93F" w14:textId="77777777" w:rsidTr="00125DCB">
        <w:trPr>
          <w:cantSplit/>
        </w:trPr>
        <w:tc>
          <w:tcPr>
            <w:tcW w:w="8505" w:type="dxa"/>
            <w:vAlign w:val="center"/>
          </w:tcPr>
          <w:p w14:paraId="504F624E" w14:textId="39616D99" w:rsidR="00125DCB" w:rsidRPr="001455DC" w:rsidRDefault="00231E33" w:rsidP="00125DCB">
            <w:pPr>
              <w:pStyle w:val="Formula"/>
              <w:jc w:val="left"/>
            </w:pPr>
            <m:oMathPara>
              <m:oMathParaPr>
                <m:jc m:val="left"/>
              </m:oMathParaPr>
              <m:oMath>
                <m:sSub>
                  <m:sSubPr>
                    <m:ctrlPr>
                      <w:rPr>
                        <w:rFonts w:ascii="Cambria Math" w:hAnsi="Cambria Math"/>
                      </w:rPr>
                    </m:ctrlPr>
                  </m:sSubPr>
                  <m:e>
                    <m:r>
                      <w:rPr>
                        <w:rFonts w:ascii="Cambria Math" w:hAnsi="Cambria Math"/>
                      </w:rPr>
                      <m:t>λ</m:t>
                    </m:r>
                  </m:e>
                  <m:sub>
                    <m:r>
                      <m:rPr>
                        <m:sty m:val="p"/>
                      </m:rPr>
                      <w:rPr>
                        <w:rFonts w:ascii="Cambria Math" w:hAnsi="Cambria Math"/>
                      </w:rPr>
                      <m:t>s,2</m:t>
                    </m:r>
                  </m:sub>
                </m:sSub>
                <m:r>
                  <w:rPr>
                    <w:rFonts w:ascii="Cambria Math" w:hAnsi="Cambria Math"/>
                  </w:rPr>
                  <m:t>=</m:t>
                </m:r>
                <m:rad>
                  <m:radPr>
                    <m:ctrlPr>
                      <w:rPr>
                        <w:rFonts w:ascii="Cambria Math" w:hAnsi="Cambria Math"/>
                      </w:rPr>
                    </m:ctrlPr>
                  </m:radPr>
                  <m:deg>
                    <m:sSub>
                      <m:sSubPr>
                        <m:ctrlPr>
                          <w:rPr>
                            <w:rFonts w:ascii="Cambria Math" w:hAnsi="Cambria Math"/>
                          </w:rPr>
                        </m:ctrlPr>
                      </m:sSubPr>
                      <m:e>
                        <m:r>
                          <w:rPr>
                            <w:rFonts w:ascii="Cambria Math" w:hAnsi="Cambria Math"/>
                          </w:rPr>
                          <m:t>k</m:t>
                        </m:r>
                      </m:e>
                      <m:sub>
                        <m:r>
                          <m:rPr>
                            <m:sty m:val="p"/>
                          </m:rPr>
                          <w:rPr>
                            <w:rFonts w:ascii="Cambria Math" w:hAnsi="Cambria Math"/>
                          </w:rPr>
                          <m:t>f2</m:t>
                        </m:r>
                      </m:sub>
                    </m:sSub>
                  </m:deg>
                  <m:e>
                    <m:f>
                      <m:fPr>
                        <m:ctrlPr>
                          <w:rPr>
                            <w:rFonts w:ascii="Cambria Math" w:hAnsi="Cambria Math"/>
                          </w:rPr>
                        </m:ctrlPr>
                      </m:fPr>
                      <m:num>
                        <m:r>
                          <m:rPr>
                            <m:sty m:val="p"/>
                          </m:rPr>
                          <w:rPr>
                            <w:rFonts w:ascii="Cambria Math" w:hAnsi="Cambria Math"/>
                          </w:rPr>
                          <m:t>Vol</m:t>
                        </m:r>
                      </m:num>
                      <m:den>
                        <m:r>
                          <w:rPr>
                            <w:rFonts w:ascii="Cambria Math" w:hAnsi="Cambria Math"/>
                          </w:rPr>
                          <m:t>25⋅</m:t>
                        </m:r>
                        <m:sSup>
                          <m:sSupPr>
                            <m:ctrlPr>
                              <w:rPr>
                                <w:rFonts w:ascii="Cambria Math" w:hAnsi="Cambria Math"/>
                              </w:rPr>
                            </m:ctrlPr>
                          </m:sSupPr>
                          <m:e>
                            <m:r>
                              <w:rPr>
                                <w:rFonts w:ascii="Cambria Math" w:hAnsi="Cambria Math"/>
                              </w:rPr>
                              <m:t>10</m:t>
                            </m:r>
                          </m:e>
                          <m:sup>
                            <m:r>
                              <w:rPr>
                                <w:rFonts w:ascii="Cambria Math" w:hAnsi="Cambria Math"/>
                              </w:rPr>
                              <m:t>6</m:t>
                            </m:r>
                          </m:sup>
                        </m:sSup>
                      </m:den>
                    </m:f>
                  </m:e>
                </m:rad>
              </m:oMath>
            </m:oMathPara>
          </w:p>
        </w:tc>
        <w:tc>
          <w:tcPr>
            <w:tcW w:w="1247" w:type="dxa"/>
            <w:vAlign w:val="center"/>
          </w:tcPr>
          <w:p w14:paraId="107B33B0" w14:textId="4668CE39" w:rsidR="00125DCB" w:rsidRPr="001455DC" w:rsidRDefault="003E09B3" w:rsidP="00125DCB">
            <w:pPr>
              <w:pStyle w:val="a7"/>
              <w:jc w:val="right"/>
            </w:pPr>
            <w:r w:rsidRPr="001455DC">
              <w:t>(K.5)</w:t>
            </w:r>
          </w:p>
        </w:tc>
      </w:tr>
    </w:tbl>
    <w:p w14:paraId="53A47B3D" w14:textId="77777777" w:rsidR="003E09B3" w:rsidRPr="001455DC" w:rsidRDefault="003E09B3"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3E09B3" w:rsidRPr="001455DC" w14:paraId="148A9503" w14:textId="77777777" w:rsidTr="00214838">
        <w:trPr>
          <w:cantSplit/>
        </w:trPr>
        <w:tc>
          <w:tcPr>
            <w:tcW w:w="567" w:type="dxa"/>
          </w:tcPr>
          <w:p w14:paraId="6818C0C7" w14:textId="398B5091" w:rsidR="003E09B3" w:rsidRPr="001455DC" w:rsidRDefault="003E09B3" w:rsidP="00214838">
            <w:pPr>
              <w:pStyle w:val="Tablebody"/>
            </w:pPr>
            <w:r w:rsidRPr="001455DC">
              <w:t>Vol</w:t>
            </w:r>
          </w:p>
        </w:tc>
        <w:tc>
          <w:tcPr>
            <w:tcW w:w="8845" w:type="dxa"/>
          </w:tcPr>
          <w:p w14:paraId="18A88888" w14:textId="138CFB75" w:rsidR="003E09B3" w:rsidRPr="001455DC" w:rsidRDefault="003E09B3" w:rsidP="00214838">
            <w:pPr>
              <w:pStyle w:val="Tablebody"/>
            </w:pPr>
            <w:r w:rsidRPr="001455DC">
              <w:t>is the volume of traffic (tonnes/year/track);</w:t>
            </w:r>
          </w:p>
        </w:tc>
      </w:tr>
      <w:tr w:rsidR="003E09B3" w:rsidRPr="001455DC" w14:paraId="390839EF" w14:textId="77777777" w:rsidTr="00214838">
        <w:trPr>
          <w:cantSplit/>
        </w:trPr>
        <w:tc>
          <w:tcPr>
            <w:tcW w:w="567" w:type="dxa"/>
          </w:tcPr>
          <w:p w14:paraId="79D2279A" w14:textId="15031BF6" w:rsidR="003E09B3" w:rsidRPr="001455DC" w:rsidRDefault="003E09B3" w:rsidP="00214838">
            <w:pPr>
              <w:pStyle w:val="Tablebody"/>
            </w:pPr>
            <w:r w:rsidRPr="001455DC">
              <w:rPr>
                <w:rStyle w:val="CCMCvariableitalic"/>
              </w:rPr>
              <w:t>k</w:t>
            </w:r>
            <w:r w:rsidRPr="001455DC">
              <w:rPr>
                <w:rStyle w:val="CCMCvariablesubscript"/>
              </w:rPr>
              <w:t>f2</w:t>
            </w:r>
          </w:p>
        </w:tc>
        <w:tc>
          <w:tcPr>
            <w:tcW w:w="8845" w:type="dxa"/>
          </w:tcPr>
          <w:p w14:paraId="0E46466B" w14:textId="1EB6EBE7" w:rsidR="003E09B3" w:rsidRPr="001455DC" w:rsidRDefault="003E09B3" w:rsidP="00214838">
            <w:pPr>
              <w:pStyle w:val="Tablebody"/>
            </w:pPr>
            <w:r w:rsidRPr="001455DC">
              <w:t xml:space="preserve">is the slope of the appropriate </w:t>
            </w:r>
            <w:r w:rsidRPr="001455DC">
              <w:rPr>
                <w:rStyle w:val="CCMCvariableitalic"/>
              </w:rPr>
              <w:t>S</w:t>
            </w:r>
            <w:r w:rsidRPr="001455DC">
              <w:t>-</w:t>
            </w:r>
            <w:r w:rsidRPr="001455DC">
              <w:rPr>
                <w:rStyle w:val="CCMCvariableitalic"/>
              </w:rPr>
              <w:t>N</w:t>
            </w:r>
            <w:r w:rsidRPr="001455DC">
              <w:t xml:space="preserve"> line to be taken from Tables K.1 and K.2.</w:t>
            </w:r>
          </w:p>
        </w:tc>
      </w:tr>
    </w:tbl>
    <w:p w14:paraId="7C7006D4" w14:textId="77777777" w:rsidR="00125DCB" w:rsidRPr="001455DC" w:rsidRDefault="004E22C1" w:rsidP="00125DCB">
      <w:pPr>
        <w:pStyle w:val="a7"/>
      </w:pPr>
      <w:r w:rsidRPr="001455DC">
        <w:t>(8)</w:t>
      </w:r>
      <w:r w:rsidRPr="001455DC">
        <w:tab/>
      </w:r>
      <w:r w:rsidRPr="001455DC">
        <w:rPr>
          <w:rStyle w:val="CCMCvariableitalic"/>
        </w:rPr>
        <w:t>λ</w:t>
      </w:r>
      <w:r w:rsidRPr="001455DC">
        <w:rPr>
          <w:rStyle w:val="CCMCvariablesubscript"/>
        </w:rPr>
        <w:t>s,3</w:t>
      </w:r>
      <w:r w:rsidRPr="001455DC">
        <w:t xml:space="preserve"> reflects the influence of the service life and may be calculated from Formula (K.6):</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125DCB" w:rsidRPr="001455DC" w14:paraId="2A6115E3" w14:textId="77777777" w:rsidTr="00125DCB">
        <w:trPr>
          <w:cantSplit/>
        </w:trPr>
        <w:tc>
          <w:tcPr>
            <w:tcW w:w="8505" w:type="dxa"/>
            <w:vAlign w:val="center"/>
          </w:tcPr>
          <w:p w14:paraId="70C2E55B" w14:textId="76F83170" w:rsidR="00125DCB" w:rsidRPr="001455DC" w:rsidRDefault="00231E33" w:rsidP="00125DCB">
            <w:pPr>
              <w:pStyle w:val="Formula"/>
              <w:jc w:val="left"/>
            </w:pPr>
            <m:oMathPara>
              <m:oMathParaPr>
                <m:jc m:val="left"/>
              </m:oMathParaPr>
              <m:oMath>
                <m:sSub>
                  <m:sSubPr>
                    <m:ctrlPr>
                      <w:rPr>
                        <w:rFonts w:ascii="Cambria Math" w:hAnsi="Cambria Math"/>
                      </w:rPr>
                    </m:ctrlPr>
                  </m:sSubPr>
                  <m:e>
                    <m:r>
                      <w:rPr>
                        <w:rFonts w:ascii="Cambria Math" w:hAnsi="Cambria Math"/>
                      </w:rPr>
                      <m:t>λ</m:t>
                    </m:r>
                  </m:e>
                  <m:sub>
                    <m:r>
                      <m:rPr>
                        <m:sty m:val="p"/>
                      </m:rPr>
                      <w:rPr>
                        <w:rFonts w:ascii="Cambria Math" w:hAnsi="Cambria Math"/>
                      </w:rPr>
                      <m:t>s,3</m:t>
                    </m:r>
                  </m:sub>
                </m:sSub>
                <m:r>
                  <w:rPr>
                    <w:rFonts w:ascii="Cambria Math" w:hAnsi="Cambria Math"/>
                  </w:rPr>
                  <m:t>=</m:t>
                </m:r>
                <m:rad>
                  <m:radPr>
                    <m:ctrlPr>
                      <w:rPr>
                        <w:rFonts w:ascii="Cambria Math" w:hAnsi="Cambria Math"/>
                      </w:rPr>
                    </m:ctrlPr>
                  </m:radPr>
                  <m:deg>
                    <m:sSub>
                      <m:sSubPr>
                        <m:ctrlPr>
                          <w:rPr>
                            <w:rFonts w:ascii="Cambria Math" w:hAnsi="Cambria Math"/>
                          </w:rPr>
                        </m:ctrlPr>
                      </m:sSubPr>
                      <m:e>
                        <m:r>
                          <w:rPr>
                            <w:rFonts w:ascii="Cambria Math" w:hAnsi="Cambria Math"/>
                          </w:rPr>
                          <m:t>k</m:t>
                        </m:r>
                      </m:e>
                      <m:sub>
                        <m:r>
                          <m:rPr>
                            <m:sty m:val="p"/>
                          </m:rPr>
                          <w:rPr>
                            <w:rFonts w:ascii="Cambria Math" w:hAnsi="Cambria Math"/>
                          </w:rPr>
                          <m:t>f2</m:t>
                        </m:r>
                      </m:sub>
                    </m:sSub>
                  </m:deg>
                  <m:e>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years</m:t>
                            </m:r>
                          </m:sub>
                        </m:sSub>
                      </m:num>
                      <m:den>
                        <m:r>
                          <w:rPr>
                            <w:rFonts w:ascii="Cambria Math" w:hAnsi="Cambria Math"/>
                          </w:rPr>
                          <m:t>100</m:t>
                        </m:r>
                      </m:den>
                    </m:f>
                  </m:e>
                </m:rad>
              </m:oMath>
            </m:oMathPara>
          </w:p>
        </w:tc>
        <w:tc>
          <w:tcPr>
            <w:tcW w:w="1247" w:type="dxa"/>
            <w:vAlign w:val="center"/>
          </w:tcPr>
          <w:p w14:paraId="7FE5B516" w14:textId="27D863D3" w:rsidR="00125DCB" w:rsidRPr="001455DC" w:rsidRDefault="003E09B3" w:rsidP="00125DCB">
            <w:pPr>
              <w:pStyle w:val="a7"/>
              <w:jc w:val="right"/>
            </w:pPr>
            <w:r w:rsidRPr="001455DC">
              <w:t>(K.6)</w:t>
            </w:r>
          </w:p>
        </w:tc>
      </w:tr>
    </w:tbl>
    <w:p w14:paraId="743A4B87" w14:textId="77777777" w:rsidR="003E09B3" w:rsidRPr="001455DC" w:rsidRDefault="003E09B3"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680"/>
        <w:gridCol w:w="8732"/>
      </w:tblGrid>
      <w:tr w:rsidR="003E09B3" w:rsidRPr="001455DC" w14:paraId="37D95D5F" w14:textId="77777777" w:rsidTr="003E09B3">
        <w:trPr>
          <w:cantSplit/>
        </w:trPr>
        <w:tc>
          <w:tcPr>
            <w:tcW w:w="680" w:type="dxa"/>
          </w:tcPr>
          <w:p w14:paraId="7B706B1B" w14:textId="4852F3CD" w:rsidR="003E09B3" w:rsidRPr="001455DC" w:rsidRDefault="003E09B3" w:rsidP="00214838">
            <w:pPr>
              <w:pStyle w:val="Tablebody"/>
            </w:pPr>
            <w:r w:rsidRPr="001455DC">
              <w:rPr>
                <w:rStyle w:val="CCMCvariableitalic"/>
              </w:rPr>
              <w:t>N</w:t>
            </w:r>
            <w:r w:rsidRPr="001455DC">
              <w:rPr>
                <w:rStyle w:val="CCMCvariablesubscript"/>
              </w:rPr>
              <w:t>years</w:t>
            </w:r>
          </w:p>
        </w:tc>
        <w:tc>
          <w:tcPr>
            <w:tcW w:w="8732" w:type="dxa"/>
          </w:tcPr>
          <w:p w14:paraId="22C9EEC2" w14:textId="1DBCF166" w:rsidR="003E09B3" w:rsidRPr="001455DC" w:rsidRDefault="003E09B3" w:rsidP="00214838">
            <w:pPr>
              <w:pStyle w:val="Tablebody"/>
            </w:pPr>
            <w:r w:rsidRPr="001455DC">
              <w:t>is the design service life of the bridge;</w:t>
            </w:r>
          </w:p>
        </w:tc>
      </w:tr>
      <w:tr w:rsidR="003E09B3" w:rsidRPr="001455DC" w14:paraId="04DE9EB0" w14:textId="77777777" w:rsidTr="003E09B3">
        <w:trPr>
          <w:cantSplit/>
        </w:trPr>
        <w:tc>
          <w:tcPr>
            <w:tcW w:w="680" w:type="dxa"/>
          </w:tcPr>
          <w:p w14:paraId="3724A258" w14:textId="6A4D3DB7" w:rsidR="003E09B3" w:rsidRPr="001455DC" w:rsidRDefault="003E09B3" w:rsidP="00214838">
            <w:pPr>
              <w:pStyle w:val="Tablebody"/>
            </w:pPr>
            <w:r w:rsidRPr="001455DC">
              <w:rPr>
                <w:rStyle w:val="CCMCvariableitalic"/>
              </w:rPr>
              <w:t>k</w:t>
            </w:r>
            <w:r w:rsidRPr="001455DC">
              <w:rPr>
                <w:rStyle w:val="CCMCvariablesubscript"/>
              </w:rPr>
              <w:t>f2</w:t>
            </w:r>
          </w:p>
        </w:tc>
        <w:tc>
          <w:tcPr>
            <w:tcW w:w="8732" w:type="dxa"/>
          </w:tcPr>
          <w:p w14:paraId="1374DA12" w14:textId="4F00C85F" w:rsidR="003E09B3" w:rsidRPr="001455DC" w:rsidRDefault="003E09B3" w:rsidP="00214838">
            <w:pPr>
              <w:pStyle w:val="Tablebody"/>
            </w:pPr>
            <w:r w:rsidRPr="001455DC">
              <w:t xml:space="preserve">is the slope of appropriate </w:t>
            </w:r>
            <w:r w:rsidRPr="001455DC">
              <w:rPr>
                <w:rStyle w:val="CCMCvariableitalic"/>
              </w:rPr>
              <w:t>S</w:t>
            </w:r>
            <w:r w:rsidRPr="001455DC">
              <w:t>-</w:t>
            </w:r>
            <w:r w:rsidRPr="001455DC">
              <w:rPr>
                <w:rStyle w:val="CCMCvariableitalic"/>
              </w:rPr>
              <w:t>N</w:t>
            </w:r>
            <w:r w:rsidRPr="001455DC">
              <w:t xml:space="preserve"> line to be taken from Tables K.1 and K.2.</w:t>
            </w:r>
          </w:p>
        </w:tc>
      </w:tr>
    </w:tbl>
    <w:p w14:paraId="320DEB7E" w14:textId="77777777" w:rsidR="00125DCB" w:rsidRPr="001455DC" w:rsidRDefault="004E22C1" w:rsidP="00DE6BBC">
      <w:pPr>
        <w:pStyle w:val="a7"/>
        <w:keepNext/>
      </w:pPr>
      <w:r w:rsidRPr="001455DC">
        <w:t>(9)</w:t>
      </w:r>
      <w:r w:rsidRPr="001455DC">
        <w:tab/>
        <w:t xml:space="preserve">For road bridges </w:t>
      </w:r>
      <w:r w:rsidRPr="001455DC">
        <w:rPr>
          <w:rStyle w:val="CCMCvariableitalic"/>
        </w:rPr>
        <w:t>λ</w:t>
      </w:r>
      <w:r w:rsidRPr="001455DC">
        <w:rPr>
          <w:rStyle w:val="CCMCvariablesubscript"/>
        </w:rPr>
        <w:t>s,4</w:t>
      </w:r>
      <w:r w:rsidRPr="001455DC">
        <w:t xml:space="preserve"> reflects the influence of multiple lanes/tracks and may be calculated by Formula (K.7):</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125DCB" w:rsidRPr="001455DC" w14:paraId="336C6357" w14:textId="77777777" w:rsidTr="00125DCB">
        <w:trPr>
          <w:cantSplit/>
        </w:trPr>
        <w:tc>
          <w:tcPr>
            <w:tcW w:w="8505" w:type="dxa"/>
            <w:vAlign w:val="center"/>
          </w:tcPr>
          <w:p w14:paraId="5B100B67" w14:textId="06EA18E5" w:rsidR="00125DCB" w:rsidRPr="001455DC" w:rsidRDefault="00231E33" w:rsidP="00125DCB">
            <w:pPr>
              <w:pStyle w:val="Formula"/>
              <w:jc w:val="left"/>
            </w:pPr>
            <m:oMathPara>
              <m:oMathParaPr>
                <m:jc m:val="left"/>
              </m:oMathParaPr>
              <m:oMath>
                <m:sSub>
                  <m:sSubPr>
                    <m:ctrlPr>
                      <w:rPr>
                        <w:rFonts w:ascii="Cambria Math" w:hAnsi="Cambria Math"/>
                      </w:rPr>
                    </m:ctrlPr>
                  </m:sSubPr>
                  <m:e>
                    <m:r>
                      <w:rPr>
                        <w:rFonts w:ascii="Cambria Math" w:hAnsi="Cambria Math"/>
                      </w:rPr>
                      <m:t>λ</m:t>
                    </m:r>
                  </m:e>
                  <m:sub>
                    <m:r>
                      <m:rPr>
                        <m:sty m:val="p"/>
                      </m:rPr>
                      <w:rPr>
                        <w:rFonts w:ascii="Cambria Math" w:hAnsi="Cambria Math"/>
                      </w:rPr>
                      <m:t>s,4</m:t>
                    </m:r>
                  </m:sub>
                </m:sSub>
                <m:r>
                  <w:rPr>
                    <w:rFonts w:ascii="Cambria Math" w:hAnsi="Cambria Math"/>
                  </w:rPr>
                  <m:t>=</m:t>
                </m:r>
                <m:rad>
                  <m:radPr>
                    <m:ctrlPr>
                      <w:rPr>
                        <w:rFonts w:ascii="Cambria Math" w:hAnsi="Cambria Math"/>
                      </w:rPr>
                    </m:ctrlPr>
                  </m:radPr>
                  <m:deg>
                    <m:sSub>
                      <m:sSubPr>
                        <m:ctrlPr>
                          <w:rPr>
                            <w:rFonts w:ascii="Cambria Math" w:hAnsi="Cambria Math"/>
                          </w:rPr>
                        </m:ctrlPr>
                      </m:sSubPr>
                      <m:e>
                        <m:r>
                          <w:rPr>
                            <w:rFonts w:ascii="Cambria Math" w:hAnsi="Cambria Math"/>
                          </w:rPr>
                          <m:t>k</m:t>
                        </m:r>
                      </m:e>
                      <m:sub>
                        <m:r>
                          <m:rPr>
                            <m:sty m:val="p"/>
                          </m:rPr>
                          <w:rPr>
                            <w:rFonts w:ascii="Cambria Math" w:hAnsi="Cambria Math"/>
                          </w:rPr>
                          <m:t>f2</m:t>
                        </m:r>
                      </m:sub>
                    </m:sSub>
                  </m:deg>
                  <m:e>
                    <m:f>
                      <m:fPr>
                        <m:ctrlPr>
                          <w:rPr>
                            <w:rFonts w:ascii="Cambria Math" w:hAnsi="Cambria Math"/>
                          </w:rPr>
                        </m:ctrlPr>
                      </m:fPr>
                      <m:num>
                        <m:r>
                          <w:rPr>
                            <w:rFonts w:ascii="Cambria Math" w:hAnsi="Cambria Math" w:hint="eastAsia"/>
                          </w:rPr>
                          <m:t>∑</m:t>
                        </m:r>
                        <m:sSub>
                          <m:sSubPr>
                            <m:ctrlPr>
                              <w:rPr>
                                <w:rFonts w:ascii="Cambria Math" w:hAnsi="Cambria Math"/>
                              </w:rPr>
                            </m:ctrlPr>
                          </m:sSubPr>
                          <m:e>
                            <m:r>
                              <w:rPr>
                                <w:rFonts w:ascii="Cambria Math" w:hAnsi="Cambria Math"/>
                              </w:rPr>
                              <m:t>N</m:t>
                            </m:r>
                          </m:e>
                          <m:sub>
                            <m:r>
                              <m:rPr>
                                <m:sty m:val="p"/>
                              </m:rPr>
                              <w:rPr>
                                <w:rFonts w:ascii="Cambria Math" w:hAnsi="Cambria Math"/>
                              </w:rPr>
                              <m:t>obs,i</m:t>
                            </m:r>
                          </m:sub>
                        </m:sSub>
                      </m:num>
                      <m:den>
                        <m:sSub>
                          <m:sSubPr>
                            <m:ctrlPr>
                              <w:rPr>
                                <w:rFonts w:ascii="Cambria Math" w:hAnsi="Cambria Math"/>
                              </w:rPr>
                            </m:ctrlPr>
                          </m:sSubPr>
                          <m:e>
                            <m:r>
                              <w:rPr>
                                <w:rFonts w:ascii="Cambria Math" w:hAnsi="Cambria Math"/>
                              </w:rPr>
                              <m:t>N</m:t>
                            </m:r>
                          </m:e>
                          <m:sub>
                            <m:r>
                              <m:rPr>
                                <m:sty m:val="p"/>
                              </m:rPr>
                              <w:rPr>
                                <w:rFonts w:ascii="Cambria Math" w:hAnsi="Cambria Math"/>
                              </w:rPr>
                              <m:t>obs,1</m:t>
                            </m:r>
                          </m:sub>
                        </m:sSub>
                      </m:den>
                    </m:f>
                  </m:e>
                </m:rad>
              </m:oMath>
            </m:oMathPara>
          </w:p>
        </w:tc>
        <w:tc>
          <w:tcPr>
            <w:tcW w:w="1247" w:type="dxa"/>
            <w:vAlign w:val="center"/>
          </w:tcPr>
          <w:p w14:paraId="119244F7" w14:textId="773DF2CB" w:rsidR="00125DCB" w:rsidRPr="001455DC" w:rsidRDefault="003E09B3" w:rsidP="00125DCB">
            <w:pPr>
              <w:pStyle w:val="a7"/>
              <w:jc w:val="right"/>
            </w:pPr>
            <w:r w:rsidRPr="001455DC">
              <w:t>(K.7)</w:t>
            </w:r>
          </w:p>
        </w:tc>
      </w:tr>
    </w:tbl>
    <w:p w14:paraId="0ADAF212" w14:textId="77777777" w:rsidR="003E09B3" w:rsidRPr="001455DC" w:rsidRDefault="003E09B3"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680"/>
        <w:gridCol w:w="8732"/>
      </w:tblGrid>
      <w:tr w:rsidR="003E09B3" w:rsidRPr="001455DC" w14:paraId="49EED9D7" w14:textId="77777777" w:rsidTr="003E09B3">
        <w:trPr>
          <w:cantSplit/>
        </w:trPr>
        <w:tc>
          <w:tcPr>
            <w:tcW w:w="680" w:type="dxa"/>
          </w:tcPr>
          <w:p w14:paraId="0C854D65" w14:textId="5B853364" w:rsidR="003E09B3" w:rsidRPr="001455DC" w:rsidRDefault="003E09B3" w:rsidP="00214838">
            <w:pPr>
              <w:pStyle w:val="Tablebody"/>
            </w:pPr>
            <w:r w:rsidRPr="001455DC">
              <w:rPr>
                <w:rStyle w:val="CCMCvariableitalic"/>
              </w:rPr>
              <w:t>N</w:t>
            </w:r>
            <w:r w:rsidRPr="001455DC">
              <w:rPr>
                <w:rStyle w:val="CCMCvariablesubscript"/>
              </w:rPr>
              <w:t>obs,i</w:t>
            </w:r>
          </w:p>
        </w:tc>
        <w:tc>
          <w:tcPr>
            <w:tcW w:w="8732" w:type="dxa"/>
          </w:tcPr>
          <w:p w14:paraId="70F6DFA6" w14:textId="075CAEB1" w:rsidR="003E09B3" w:rsidRPr="001455DC" w:rsidRDefault="003E09B3" w:rsidP="00214838">
            <w:pPr>
              <w:pStyle w:val="Tablebody"/>
            </w:pPr>
            <w:r w:rsidRPr="001455DC">
              <w:t xml:space="preserve">is the number of lorries expected on lane </w:t>
            </w:r>
            <w:r w:rsidRPr="001455DC">
              <w:rPr>
                <w:rStyle w:val="CCMCvariableitalic"/>
              </w:rPr>
              <w:t>i</w:t>
            </w:r>
            <w:r w:rsidRPr="001455DC">
              <w:t xml:space="preserve"> per year;</w:t>
            </w:r>
          </w:p>
        </w:tc>
      </w:tr>
      <w:tr w:rsidR="003E09B3" w:rsidRPr="001455DC" w14:paraId="4C658FF9" w14:textId="77777777" w:rsidTr="003E09B3">
        <w:trPr>
          <w:cantSplit/>
        </w:trPr>
        <w:tc>
          <w:tcPr>
            <w:tcW w:w="680" w:type="dxa"/>
          </w:tcPr>
          <w:p w14:paraId="1EC45F41" w14:textId="1268AFEB" w:rsidR="003E09B3" w:rsidRPr="001455DC" w:rsidRDefault="003E09B3" w:rsidP="00214838">
            <w:pPr>
              <w:pStyle w:val="Tablebody"/>
            </w:pPr>
            <w:r w:rsidRPr="001455DC">
              <w:rPr>
                <w:rStyle w:val="CCMCvariableitalic"/>
              </w:rPr>
              <w:t>N</w:t>
            </w:r>
            <w:r w:rsidRPr="001455DC">
              <w:rPr>
                <w:rStyle w:val="CCMCvariablesubscript"/>
              </w:rPr>
              <w:t>obs,1</w:t>
            </w:r>
          </w:p>
        </w:tc>
        <w:tc>
          <w:tcPr>
            <w:tcW w:w="8732" w:type="dxa"/>
          </w:tcPr>
          <w:p w14:paraId="6E870206" w14:textId="6B91D1A1" w:rsidR="003E09B3" w:rsidRPr="001455DC" w:rsidRDefault="003E09B3" w:rsidP="00214838">
            <w:pPr>
              <w:pStyle w:val="Tablebody"/>
            </w:pPr>
            <w:r w:rsidRPr="001455DC">
              <w:t>is the number of lorries on the slow lane per year.</w:t>
            </w:r>
          </w:p>
        </w:tc>
      </w:tr>
    </w:tbl>
    <w:p w14:paraId="11755128" w14:textId="040395C2" w:rsidR="00125DCB" w:rsidRPr="001455DC" w:rsidRDefault="004E22C1" w:rsidP="00DE6BBC">
      <w:pPr>
        <w:pStyle w:val="a7"/>
        <w:keepNext/>
      </w:pPr>
      <w:r w:rsidRPr="001455DC">
        <w:t>(10)</w:t>
      </w:r>
      <w:r w:rsidRPr="001455DC">
        <w:tab/>
        <w:t xml:space="preserve">For railway structures carrying multiple tracks, the fatigue loading should be applied to a maximum of two tracks in the most unfavourable positions (see </w:t>
      </w:r>
      <w:r w:rsidR="00B0410C">
        <w:t>pr</w:t>
      </w:r>
      <w:r w:rsidRPr="001455DC">
        <w:t>EN 1991</w:t>
      </w:r>
      <w:r w:rsidRPr="001455DC">
        <w:noBreakHyphen/>
        <w:t>2). The effect of loading from two tracks may be calculated by Formula (K.8):</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125DCB" w:rsidRPr="001455DC" w14:paraId="77A8208B" w14:textId="77777777" w:rsidTr="00125DCB">
        <w:trPr>
          <w:cantSplit/>
        </w:trPr>
        <w:tc>
          <w:tcPr>
            <w:tcW w:w="8505" w:type="dxa"/>
            <w:vAlign w:val="center"/>
          </w:tcPr>
          <w:p w14:paraId="5CB73170" w14:textId="1A16FE66" w:rsidR="00125DCB" w:rsidRPr="001455DC" w:rsidRDefault="00231E33" w:rsidP="00125DCB">
            <w:pPr>
              <w:pStyle w:val="Formula"/>
              <w:jc w:val="left"/>
            </w:pPr>
            <m:oMathPara>
              <m:oMathParaPr>
                <m:jc m:val="left"/>
              </m:oMathParaPr>
              <m:oMath>
                <m:sSub>
                  <m:sSubPr>
                    <m:ctrlPr>
                      <w:rPr>
                        <w:rFonts w:ascii="Cambria Math" w:hAnsi="Cambria Math"/>
                      </w:rPr>
                    </m:ctrlPr>
                  </m:sSubPr>
                  <m:e>
                    <m:r>
                      <w:rPr>
                        <w:rFonts w:ascii="Cambria Math" w:hAnsi="Cambria Math"/>
                      </w:rPr>
                      <m:t>λ</m:t>
                    </m:r>
                  </m:e>
                  <m:sub>
                    <m:r>
                      <m:rPr>
                        <m:sty m:val="p"/>
                      </m:rPr>
                      <w:rPr>
                        <w:rFonts w:ascii="Cambria Math" w:hAnsi="Cambria Math"/>
                      </w:rPr>
                      <m:t>s,4</m:t>
                    </m:r>
                  </m:sub>
                </m:sSub>
                <m:r>
                  <w:rPr>
                    <w:rFonts w:ascii="Cambria Math" w:hAnsi="Cambria Math"/>
                  </w:rPr>
                  <m:t>=</m:t>
                </m:r>
                <m:rad>
                  <m:radPr>
                    <m:ctrlPr>
                      <w:rPr>
                        <w:rFonts w:ascii="Cambria Math" w:hAnsi="Cambria Math"/>
                      </w:rPr>
                    </m:ctrlPr>
                  </m:radPr>
                  <m:deg>
                    <m:sSub>
                      <m:sSubPr>
                        <m:ctrlPr>
                          <w:rPr>
                            <w:rFonts w:ascii="Cambria Math" w:hAnsi="Cambria Math"/>
                          </w:rPr>
                        </m:ctrlPr>
                      </m:sSubPr>
                      <m:e>
                        <m:r>
                          <w:rPr>
                            <w:rFonts w:ascii="Cambria Math" w:hAnsi="Cambria Math"/>
                          </w:rPr>
                          <m:t>k</m:t>
                        </m:r>
                      </m:e>
                      <m:sub>
                        <m:r>
                          <m:rPr>
                            <m:sty m:val="p"/>
                          </m:rPr>
                          <w:rPr>
                            <w:rFonts w:ascii="Cambria Math" w:hAnsi="Cambria Math"/>
                          </w:rPr>
                          <m:t>f2</m:t>
                        </m:r>
                      </m:sub>
                    </m:sSub>
                  </m:deg>
                  <m:e>
                    <m:sSub>
                      <m:sSubPr>
                        <m:ctrlPr>
                          <w:rPr>
                            <w:rFonts w:ascii="Cambria Math" w:hAnsi="Cambria Math"/>
                          </w:rPr>
                        </m:ctrlPr>
                      </m:sSubPr>
                      <m:e>
                        <m:r>
                          <w:rPr>
                            <w:rFonts w:ascii="Cambria Math" w:hAnsi="Cambria Math"/>
                          </w:rPr>
                          <m:t>n</m:t>
                        </m:r>
                      </m:e>
                      <m:sub>
                        <m:r>
                          <m:rPr>
                            <m:sty m:val="p"/>
                          </m:rPr>
                          <w:rPr>
                            <w:rFonts w:ascii="Cambria Math" w:hAnsi="Cambria Math"/>
                          </w:rPr>
                          <m:t>st</m:t>
                        </m:r>
                      </m:sub>
                    </m:sSub>
                    <m:r>
                      <w:rPr>
                        <w:rFonts w:ascii="Cambria Math" w:hAnsi="Cambria Math"/>
                      </w:rPr>
                      <m:t>+</m:t>
                    </m:r>
                    <m:d>
                      <m:dPr>
                        <m:sepChr m:val=""/>
                        <m:ctrlPr>
                          <w:rPr>
                            <w:rFonts w:ascii="Cambria Math" w:hAnsi="Cambria Math"/>
                          </w:rPr>
                        </m:ctrlPr>
                      </m:dPr>
                      <m:e>
                        <m:r>
                          <w:rPr>
                            <w:rFonts w:ascii="Cambria Math" w:hAnsi="Cambria Math"/>
                          </w:rPr>
                          <m:t>1</m:t>
                        </m:r>
                      </m:e>
                      <m:e>
                        <m:r>
                          <w:rPr>
                            <w:rFonts w:ascii="Cambria Math" w:hAnsi="Cambria Math"/>
                          </w:rPr>
                          <m:t>-</m:t>
                        </m:r>
                      </m:e>
                      <m:e>
                        <m:sSub>
                          <m:sSubPr>
                            <m:ctrlPr>
                              <w:rPr>
                                <w:rFonts w:ascii="Cambria Math" w:hAnsi="Cambria Math"/>
                              </w:rPr>
                            </m:ctrlPr>
                          </m:sSubPr>
                          <m:e>
                            <m:r>
                              <w:rPr>
                                <w:rFonts w:ascii="Cambria Math" w:hAnsi="Cambria Math"/>
                              </w:rPr>
                              <m:t>n</m:t>
                            </m:r>
                          </m:e>
                          <m:sub>
                            <m:r>
                              <m:rPr>
                                <m:sty m:val="p"/>
                              </m:rPr>
                              <w:rPr>
                                <w:rFonts w:ascii="Cambria Math" w:hAnsi="Cambria Math"/>
                              </w:rPr>
                              <m:t>st</m:t>
                            </m:r>
                          </m:sub>
                        </m:sSub>
                      </m:e>
                    </m:d>
                    <m:r>
                      <w:rPr>
                        <w:rFonts w:ascii="Cambria Math" w:hAnsi="Cambria Math"/>
                      </w:rPr>
                      <m:t>⋅</m:t>
                    </m:r>
                    <m:sSubSup>
                      <m:sSubSupPr>
                        <m:ctrlPr>
                          <w:rPr>
                            <w:rFonts w:ascii="Cambria Math" w:hAnsi="Cambria Math"/>
                          </w:rPr>
                        </m:ctrlPr>
                      </m:sSubSupPr>
                      <m:e>
                        <m:r>
                          <w:rPr>
                            <w:rFonts w:ascii="Cambria Math" w:hAnsi="Cambria Math"/>
                          </w:rPr>
                          <m:t>s</m:t>
                        </m:r>
                      </m:e>
                      <m:sub>
                        <m:r>
                          <w:rPr>
                            <w:rFonts w:ascii="Cambria Math" w:hAnsi="Cambria Math"/>
                          </w:rPr>
                          <m:t>1</m:t>
                        </m:r>
                      </m:sub>
                      <m:sup>
                        <m:sSub>
                          <m:sSubPr>
                            <m:ctrlPr>
                              <w:rPr>
                                <w:rFonts w:ascii="Cambria Math" w:hAnsi="Cambria Math"/>
                              </w:rPr>
                            </m:ctrlPr>
                          </m:sSubPr>
                          <m:e>
                            <m:r>
                              <w:rPr>
                                <w:rFonts w:ascii="Cambria Math" w:hAnsi="Cambria Math"/>
                              </w:rPr>
                              <m:t>k</m:t>
                            </m:r>
                          </m:e>
                          <m:sub>
                            <m:r>
                              <m:rPr>
                                <m:sty m:val="p"/>
                              </m:rPr>
                              <w:rPr>
                                <w:rFonts w:ascii="Cambria Math" w:hAnsi="Cambria Math"/>
                              </w:rPr>
                              <m:t>f2</m:t>
                            </m:r>
                          </m:sub>
                        </m:sSub>
                      </m:sup>
                    </m:sSubSup>
                    <m:r>
                      <w:rPr>
                        <w:rFonts w:ascii="Cambria Math" w:hAnsi="Cambria Math"/>
                      </w:rPr>
                      <m:t>+</m:t>
                    </m:r>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n</m:t>
                            </m:r>
                          </m:e>
                          <m:sub>
                            <m:r>
                              <m:rPr>
                                <m:sty m:val="p"/>
                              </m:rPr>
                              <w:rPr>
                                <w:rFonts w:ascii="Cambria Math" w:hAnsi="Cambria Math"/>
                              </w:rPr>
                              <m:t>st</m:t>
                            </m:r>
                          </m:sub>
                        </m:sSub>
                      </m:e>
                    </m:d>
                    <m:r>
                      <w:rPr>
                        <w:rFonts w:ascii="Cambria Math" w:hAnsi="Cambria Math"/>
                      </w:rPr>
                      <m:t>⋅</m:t>
                    </m:r>
                    <m:sSubSup>
                      <m:sSubSupPr>
                        <m:ctrlPr>
                          <w:rPr>
                            <w:rFonts w:ascii="Cambria Math" w:hAnsi="Cambria Math"/>
                          </w:rPr>
                        </m:ctrlPr>
                      </m:sSubSupPr>
                      <m:e>
                        <m:r>
                          <w:rPr>
                            <w:rFonts w:ascii="Cambria Math" w:hAnsi="Cambria Math"/>
                          </w:rPr>
                          <m:t>s</m:t>
                        </m:r>
                      </m:e>
                      <m:sub>
                        <m:r>
                          <w:rPr>
                            <w:rFonts w:ascii="Cambria Math" w:hAnsi="Cambria Math"/>
                          </w:rPr>
                          <m:t>2</m:t>
                        </m:r>
                      </m:sub>
                      <m:sup>
                        <m:sSub>
                          <m:sSubPr>
                            <m:ctrlPr>
                              <w:rPr>
                                <w:rFonts w:ascii="Cambria Math" w:hAnsi="Cambria Math"/>
                              </w:rPr>
                            </m:ctrlPr>
                          </m:sSubPr>
                          <m:e>
                            <m:r>
                              <w:rPr>
                                <w:rFonts w:ascii="Cambria Math" w:hAnsi="Cambria Math"/>
                              </w:rPr>
                              <m:t>k</m:t>
                            </m:r>
                          </m:e>
                          <m:sub>
                            <m:r>
                              <m:rPr>
                                <m:sty m:val="p"/>
                              </m:rPr>
                              <w:rPr>
                                <w:rFonts w:ascii="Cambria Math" w:hAnsi="Cambria Math"/>
                              </w:rPr>
                              <m:t>f2</m:t>
                            </m:r>
                          </m:sub>
                        </m:sSub>
                      </m:sup>
                    </m:sSubSup>
                  </m:e>
                </m:rad>
              </m:oMath>
            </m:oMathPara>
          </w:p>
        </w:tc>
        <w:tc>
          <w:tcPr>
            <w:tcW w:w="1247" w:type="dxa"/>
            <w:vAlign w:val="center"/>
          </w:tcPr>
          <w:p w14:paraId="7AF08195" w14:textId="098A2DA5" w:rsidR="00125DCB" w:rsidRPr="001455DC" w:rsidRDefault="003E09B3" w:rsidP="00125DCB">
            <w:pPr>
              <w:pStyle w:val="a7"/>
              <w:jc w:val="right"/>
            </w:pPr>
            <w:r w:rsidRPr="001455DC">
              <w:t>(K.8)</w:t>
            </w:r>
          </w:p>
        </w:tc>
      </w:tr>
    </w:tbl>
    <w:p w14:paraId="7C2190CF" w14:textId="77777777" w:rsidR="00125DCB" w:rsidRPr="001455DC" w:rsidRDefault="004E22C1" w:rsidP="00A35599">
      <w:pPr>
        <w:pStyle w:val="a7"/>
        <w:keepNext/>
      </w:pPr>
      <w:r w:rsidRPr="001455DC">
        <w:t>where</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125DCB" w:rsidRPr="001455DC" w14:paraId="214A3B2D" w14:textId="77777777" w:rsidTr="00125DCB">
        <w:trPr>
          <w:cantSplit/>
        </w:trPr>
        <w:tc>
          <w:tcPr>
            <w:tcW w:w="8505" w:type="dxa"/>
            <w:vAlign w:val="center"/>
          </w:tcPr>
          <w:p w14:paraId="2EBD4C1D" w14:textId="6B7FCA10" w:rsidR="00125DCB" w:rsidRPr="001455DC" w:rsidRDefault="00231E33" w:rsidP="00125DCB">
            <w:pPr>
              <w:pStyle w:val="Formula"/>
              <w:jc w:val="left"/>
            </w:pPr>
            <m:oMathPara>
              <m:oMathParaPr>
                <m:jc m:val="left"/>
              </m:oMathParaPr>
              <m:oMath>
                <m:sSub>
                  <m:sSubPr>
                    <m:ctrlPr>
                      <w:rPr>
                        <w:rFonts w:ascii="Cambria Math" w:hAnsi="Cambria Math"/>
                      </w:rPr>
                    </m:ctrlPr>
                  </m:sSubPr>
                  <m:e>
                    <m:r>
                      <w:rPr>
                        <w:rFonts w:ascii="Cambria Math" w:hAnsi="Cambria Math"/>
                      </w:rPr>
                      <m:t>s</m:t>
                    </m:r>
                  </m:e>
                  <m:sub>
                    <m:r>
                      <w:rPr>
                        <w:rFonts w:ascii="Cambria Math" w:hAnsi="Cambria Math"/>
                      </w:rPr>
                      <m:t>1</m:t>
                    </m:r>
                  </m:sub>
                </m:sSub>
                <m:r>
                  <w:rPr>
                    <w:rFonts w:ascii="Cambria Math" w:hAnsi="Cambria Math"/>
                  </w:rPr>
                  <m:t>=</m:t>
                </m:r>
                <m:f>
                  <m:fPr>
                    <m:ctrlPr>
                      <w:rPr>
                        <w:rFonts w:ascii="Cambria Math" w:hAnsi="Cambria Math"/>
                      </w:rPr>
                    </m:ctrlPr>
                  </m:fPr>
                  <m:num>
                    <m:r>
                      <m:rPr>
                        <m:sty m:val="p"/>
                      </m:rPr>
                      <w:rPr>
                        <w:rFonts w:ascii="Cambria Math" w:hAnsi="Cambria Math"/>
                      </w:rPr>
                      <m:t>Δ</m:t>
                    </m:r>
                    <m:sSub>
                      <m:sSubPr>
                        <m:ctrlPr>
                          <w:rPr>
                            <w:rFonts w:ascii="Cambria Math" w:hAnsi="Cambria Math"/>
                          </w:rPr>
                        </m:ctrlPr>
                      </m:sSubPr>
                      <m:e>
                        <m:r>
                          <w:rPr>
                            <w:rFonts w:ascii="Cambria Math" w:hAnsi="Cambria Math"/>
                          </w:rPr>
                          <m:t>σ</m:t>
                        </m:r>
                      </m:e>
                      <m:sub>
                        <m:r>
                          <w:rPr>
                            <w:rFonts w:ascii="Cambria Math" w:hAnsi="Cambria Math"/>
                          </w:rPr>
                          <m:t>1</m:t>
                        </m:r>
                      </m:sub>
                    </m:sSub>
                  </m:num>
                  <m:den>
                    <m:r>
                      <m:rPr>
                        <m:sty m:val="p"/>
                      </m:rPr>
                      <w:rPr>
                        <w:rFonts w:ascii="Cambria Math" w:hAnsi="Cambria Math"/>
                      </w:rPr>
                      <m:t>Δ</m:t>
                    </m:r>
                    <m:sSub>
                      <m:sSubPr>
                        <m:ctrlPr>
                          <w:rPr>
                            <w:rFonts w:ascii="Cambria Math" w:hAnsi="Cambria Math"/>
                          </w:rPr>
                        </m:ctrlPr>
                      </m:sSubPr>
                      <m:e>
                        <m:r>
                          <w:rPr>
                            <w:rFonts w:ascii="Cambria Math" w:hAnsi="Cambria Math"/>
                          </w:rPr>
                          <m:t>σ</m:t>
                        </m:r>
                      </m:e>
                      <m:sub>
                        <m:r>
                          <w:rPr>
                            <w:rFonts w:ascii="Cambria Math" w:hAnsi="Cambria Math"/>
                          </w:rPr>
                          <m:t>1+2</m:t>
                        </m:r>
                      </m:sub>
                    </m:sSub>
                  </m:den>
                </m:f>
              </m:oMath>
            </m:oMathPara>
          </w:p>
        </w:tc>
        <w:tc>
          <w:tcPr>
            <w:tcW w:w="1247" w:type="dxa"/>
            <w:vAlign w:val="center"/>
          </w:tcPr>
          <w:p w14:paraId="2F1DB234" w14:textId="3CE71BBD" w:rsidR="00125DCB" w:rsidRPr="001455DC" w:rsidRDefault="003E09B3" w:rsidP="00125DCB">
            <w:pPr>
              <w:pStyle w:val="a7"/>
              <w:jc w:val="right"/>
            </w:pPr>
            <w:r w:rsidRPr="001455DC">
              <w:t>(K.9)</w:t>
            </w:r>
          </w:p>
        </w:tc>
      </w:tr>
      <w:tr w:rsidR="00125DCB" w:rsidRPr="001455DC" w14:paraId="299F6358" w14:textId="77777777" w:rsidTr="00125DCB">
        <w:trPr>
          <w:cantSplit/>
        </w:trPr>
        <w:tc>
          <w:tcPr>
            <w:tcW w:w="8505" w:type="dxa"/>
            <w:vAlign w:val="center"/>
          </w:tcPr>
          <w:p w14:paraId="2DAA0084" w14:textId="5B2FD45A" w:rsidR="00125DCB" w:rsidRPr="001455DC" w:rsidRDefault="00231E33" w:rsidP="00125DCB">
            <w:pPr>
              <w:pStyle w:val="Formula"/>
              <w:jc w:val="left"/>
            </w:pPr>
            <m:oMathPara>
              <m:oMathParaPr>
                <m:jc m:val="left"/>
              </m:oMathParaPr>
              <m:oMath>
                <m:sSub>
                  <m:sSubPr>
                    <m:ctrlPr>
                      <w:rPr>
                        <w:rFonts w:ascii="Cambria Math" w:hAnsi="Cambria Math"/>
                      </w:rPr>
                    </m:ctrlPr>
                  </m:sSubPr>
                  <m:e>
                    <m:r>
                      <w:rPr>
                        <w:rFonts w:ascii="Cambria Math" w:hAnsi="Cambria Math"/>
                      </w:rPr>
                      <m:t>s</m:t>
                    </m:r>
                  </m:e>
                  <m:sub>
                    <m:r>
                      <w:rPr>
                        <w:rFonts w:ascii="Cambria Math" w:hAnsi="Cambria Math"/>
                      </w:rPr>
                      <m:t>2</m:t>
                    </m:r>
                  </m:sub>
                </m:sSub>
                <m:r>
                  <w:rPr>
                    <w:rFonts w:ascii="Cambria Math" w:hAnsi="Cambria Math"/>
                  </w:rPr>
                  <m:t>=</m:t>
                </m:r>
                <m:f>
                  <m:fPr>
                    <m:ctrlPr>
                      <w:rPr>
                        <w:rFonts w:ascii="Cambria Math" w:hAnsi="Cambria Math"/>
                      </w:rPr>
                    </m:ctrlPr>
                  </m:fPr>
                  <m:num>
                    <m:r>
                      <m:rPr>
                        <m:sty m:val="p"/>
                      </m:rPr>
                      <w:rPr>
                        <w:rFonts w:ascii="Cambria Math" w:hAnsi="Cambria Math"/>
                      </w:rPr>
                      <m:t>Δ</m:t>
                    </m:r>
                    <m:sSub>
                      <m:sSubPr>
                        <m:ctrlPr>
                          <w:rPr>
                            <w:rFonts w:ascii="Cambria Math" w:hAnsi="Cambria Math"/>
                          </w:rPr>
                        </m:ctrlPr>
                      </m:sSubPr>
                      <m:e>
                        <m:r>
                          <w:rPr>
                            <w:rFonts w:ascii="Cambria Math" w:hAnsi="Cambria Math"/>
                          </w:rPr>
                          <m:t>σ</m:t>
                        </m:r>
                      </m:e>
                      <m:sub>
                        <m:r>
                          <w:rPr>
                            <w:rFonts w:ascii="Cambria Math" w:hAnsi="Cambria Math"/>
                          </w:rPr>
                          <m:t>2</m:t>
                        </m:r>
                      </m:sub>
                    </m:sSub>
                  </m:num>
                  <m:den>
                    <m:r>
                      <m:rPr>
                        <m:sty m:val="p"/>
                      </m:rPr>
                      <w:rPr>
                        <w:rFonts w:ascii="Cambria Math" w:hAnsi="Cambria Math"/>
                      </w:rPr>
                      <m:t>Δ</m:t>
                    </m:r>
                    <m:sSub>
                      <m:sSubPr>
                        <m:ctrlPr>
                          <w:rPr>
                            <w:rFonts w:ascii="Cambria Math" w:hAnsi="Cambria Math"/>
                          </w:rPr>
                        </m:ctrlPr>
                      </m:sSubPr>
                      <m:e>
                        <m:r>
                          <w:rPr>
                            <w:rFonts w:ascii="Cambria Math" w:hAnsi="Cambria Math"/>
                          </w:rPr>
                          <m:t>σ</m:t>
                        </m:r>
                      </m:e>
                      <m:sub>
                        <m:r>
                          <w:rPr>
                            <w:rFonts w:ascii="Cambria Math" w:hAnsi="Cambria Math"/>
                          </w:rPr>
                          <m:t>1+2</m:t>
                        </m:r>
                      </m:sub>
                    </m:sSub>
                  </m:den>
                </m:f>
              </m:oMath>
            </m:oMathPara>
          </w:p>
        </w:tc>
        <w:tc>
          <w:tcPr>
            <w:tcW w:w="1247" w:type="dxa"/>
            <w:vAlign w:val="center"/>
          </w:tcPr>
          <w:p w14:paraId="6DE29C9F" w14:textId="1F7D02A3" w:rsidR="00125DCB" w:rsidRPr="001455DC" w:rsidRDefault="003E09B3" w:rsidP="00125DCB">
            <w:pPr>
              <w:pStyle w:val="a7"/>
              <w:jc w:val="right"/>
            </w:pPr>
            <w:r w:rsidRPr="001455DC">
              <w:t>(K.10)</w:t>
            </w:r>
          </w:p>
        </w:tc>
      </w:tr>
    </w:tbl>
    <w:p w14:paraId="79C3097F" w14:textId="77777777" w:rsidR="003E09B3" w:rsidRPr="001455DC" w:rsidRDefault="003E09B3"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1134"/>
        <w:gridCol w:w="8278"/>
      </w:tblGrid>
      <w:tr w:rsidR="003E09B3" w:rsidRPr="001455DC" w14:paraId="0A7191F5" w14:textId="77777777" w:rsidTr="003E09B3">
        <w:trPr>
          <w:cantSplit/>
        </w:trPr>
        <w:tc>
          <w:tcPr>
            <w:tcW w:w="1134" w:type="dxa"/>
          </w:tcPr>
          <w:p w14:paraId="4A50447F" w14:textId="3F740326" w:rsidR="003E09B3" w:rsidRPr="001455DC" w:rsidRDefault="003E09B3" w:rsidP="00214838">
            <w:pPr>
              <w:pStyle w:val="Tablebody"/>
            </w:pPr>
            <w:r w:rsidRPr="001455DC">
              <w:rPr>
                <w:rStyle w:val="CCMCvariableitalic"/>
              </w:rPr>
              <w:t>n</w:t>
            </w:r>
            <w:r w:rsidRPr="001455DC">
              <w:rPr>
                <w:rStyle w:val="CCMCvariablesubscript"/>
              </w:rPr>
              <w:t>st</w:t>
            </w:r>
          </w:p>
        </w:tc>
        <w:tc>
          <w:tcPr>
            <w:tcW w:w="8278" w:type="dxa"/>
          </w:tcPr>
          <w:p w14:paraId="0460A39E" w14:textId="5B0EB786" w:rsidR="003E09B3" w:rsidRPr="001455DC" w:rsidRDefault="003E09B3" w:rsidP="00214838">
            <w:pPr>
              <w:pStyle w:val="Tablebody"/>
            </w:pPr>
            <w:r w:rsidRPr="001455DC">
              <w:t xml:space="preserve">is the proportion of traffic that crosses the bridge simultaneously (suggested value </w:t>
            </w:r>
            <w:r w:rsidRPr="001455DC">
              <w:rPr>
                <w:rStyle w:val="CCMCvariableitalic"/>
              </w:rPr>
              <w:t>n</w:t>
            </w:r>
            <w:r w:rsidRPr="001455DC">
              <w:t> </w:t>
            </w:r>
            <w:r w:rsidR="00EC27D2" w:rsidRPr="001455DC">
              <w:rPr>
                <w:rFonts w:ascii="Cambria Math" w:hAnsi="Cambria Math"/>
              </w:rPr>
              <w:t>=</w:t>
            </w:r>
            <w:r w:rsidRPr="001455DC">
              <w:t> 0,12);</w:t>
            </w:r>
          </w:p>
        </w:tc>
      </w:tr>
      <w:tr w:rsidR="003E09B3" w:rsidRPr="001455DC" w14:paraId="79AB7AAC" w14:textId="77777777" w:rsidTr="003E09B3">
        <w:trPr>
          <w:cantSplit/>
        </w:trPr>
        <w:tc>
          <w:tcPr>
            <w:tcW w:w="1134" w:type="dxa"/>
          </w:tcPr>
          <w:p w14:paraId="58BDCD96" w14:textId="71B1F89C" w:rsidR="003E09B3" w:rsidRPr="001455DC" w:rsidRDefault="003E09B3" w:rsidP="00214838">
            <w:pPr>
              <w:pStyle w:val="Tablebody"/>
            </w:pPr>
            <w:r w:rsidRPr="001455DC">
              <w:t>Δ</w:t>
            </w:r>
            <w:r w:rsidRPr="001455DC">
              <w:rPr>
                <w:rStyle w:val="CCMCvariableitalic"/>
              </w:rPr>
              <w:t>σ</w:t>
            </w:r>
            <w:r w:rsidRPr="001455DC">
              <w:rPr>
                <w:rStyle w:val="CCMCvariablesubscript"/>
              </w:rPr>
              <w:t>1</w:t>
            </w:r>
            <w:r w:rsidRPr="001455DC">
              <w:t>, Δ</w:t>
            </w:r>
            <w:r w:rsidRPr="001455DC">
              <w:rPr>
                <w:rStyle w:val="CCMCvariableitalic"/>
              </w:rPr>
              <w:t>σ</w:t>
            </w:r>
            <w:r w:rsidRPr="001455DC">
              <w:rPr>
                <w:rStyle w:val="CCMCvariablesubscript"/>
              </w:rPr>
              <w:t>2</w:t>
            </w:r>
          </w:p>
        </w:tc>
        <w:tc>
          <w:tcPr>
            <w:tcW w:w="8278" w:type="dxa"/>
          </w:tcPr>
          <w:p w14:paraId="0484E756" w14:textId="10703A96" w:rsidR="003E09B3" w:rsidRPr="001455DC" w:rsidRDefault="003E09B3" w:rsidP="00214838">
            <w:pPr>
              <w:pStyle w:val="Tablebody"/>
            </w:pPr>
            <w:r w:rsidRPr="001455DC">
              <w:t>is the stress range due to load model 71 on one track at the section to be checked;</w:t>
            </w:r>
          </w:p>
        </w:tc>
      </w:tr>
      <w:tr w:rsidR="003E09B3" w:rsidRPr="001455DC" w14:paraId="0B2C8FF1" w14:textId="77777777" w:rsidTr="003E09B3">
        <w:trPr>
          <w:cantSplit/>
        </w:trPr>
        <w:tc>
          <w:tcPr>
            <w:tcW w:w="1134" w:type="dxa"/>
          </w:tcPr>
          <w:p w14:paraId="2C8BBE3A" w14:textId="38BD56A6" w:rsidR="003E09B3" w:rsidRPr="001455DC" w:rsidRDefault="003E09B3" w:rsidP="00214838">
            <w:pPr>
              <w:pStyle w:val="Tablebody"/>
            </w:pPr>
            <w:r w:rsidRPr="001455DC">
              <w:t>Δ</w:t>
            </w:r>
            <w:r w:rsidRPr="001455DC">
              <w:rPr>
                <w:rStyle w:val="CCMCvariableitalic"/>
              </w:rPr>
              <w:t>σ</w:t>
            </w:r>
            <w:r w:rsidRPr="001455DC">
              <w:rPr>
                <w:rStyle w:val="CCMCvariablesubscript"/>
              </w:rPr>
              <w:t>1</w:t>
            </w:r>
            <w:r w:rsidR="00650035" w:rsidRPr="001455DC">
              <w:rPr>
                <w:rStyle w:val="CCMCvariablesubscript"/>
                <w:rFonts w:ascii="Cambria Math" w:hAnsi="Cambria Math"/>
              </w:rPr>
              <w:t>+</w:t>
            </w:r>
            <w:r w:rsidRPr="001455DC">
              <w:rPr>
                <w:rStyle w:val="CCMCvariablesubscript"/>
              </w:rPr>
              <w:t>2</w:t>
            </w:r>
          </w:p>
        </w:tc>
        <w:tc>
          <w:tcPr>
            <w:tcW w:w="8278" w:type="dxa"/>
          </w:tcPr>
          <w:p w14:paraId="080D8ED1" w14:textId="20BB0F5A" w:rsidR="003E09B3" w:rsidRPr="001455DC" w:rsidRDefault="003E09B3" w:rsidP="00214838">
            <w:pPr>
              <w:pStyle w:val="Tablebody"/>
            </w:pPr>
            <w:r w:rsidRPr="001455DC">
              <w:t xml:space="preserve">is the stress range at the same section due to the load model LM71 on any two tracks, according to </w:t>
            </w:r>
            <w:r w:rsidR="00B0410C">
              <w:t>pr</w:t>
            </w:r>
            <w:r w:rsidRPr="001455DC">
              <w:t>EN 1991</w:t>
            </w:r>
            <w:r w:rsidRPr="001455DC">
              <w:noBreakHyphen/>
              <w:t>2;</w:t>
            </w:r>
          </w:p>
        </w:tc>
      </w:tr>
      <w:tr w:rsidR="003E09B3" w:rsidRPr="001455DC" w14:paraId="694965DA" w14:textId="77777777" w:rsidTr="003E09B3">
        <w:trPr>
          <w:cantSplit/>
        </w:trPr>
        <w:tc>
          <w:tcPr>
            <w:tcW w:w="1134" w:type="dxa"/>
          </w:tcPr>
          <w:p w14:paraId="36BF69C6" w14:textId="3E652FB8" w:rsidR="003E09B3" w:rsidRPr="001455DC" w:rsidRDefault="003E09B3" w:rsidP="00214838">
            <w:pPr>
              <w:pStyle w:val="Tablebody"/>
            </w:pPr>
            <w:r w:rsidRPr="001455DC">
              <w:rPr>
                <w:rStyle w:val="CCMCvariableitalic"/>
              </w:rPr>
              <w:t>k</w:t>
            </w:r>
            <w:r w:rsidRPr="001455DC">
              <w:rPr>
                <w:rStyle w:val="CCMCvariablesubscript"/>
              </w:rPr>
              <w:t>f2</w:t>
            </w:r>
          </w:p>
        </w:tc>
        <w:tc>
          <w:tcPr>
            <w:tcW w:w="8278" w:type="dxa"/>
          </w:tcPr>
          <w:p w14:paraId="684990EB" w14:textId="40FA29A4" w:rsidR="003E09B3" w:rsidRPr="001455DC" w:rsidRDefault="003E09B3" w:rsidP="00214838">
            <w:pPr>
              <w:pStyle w:val="Tablebody"/>
            </w:pPr>
            <w:r w:rsidRPr="001455DC">
              <w:t xml:space="preserve">is the slope of the appropriate </w:t>
            </w:r>
            <w:r w:rsidRPr="001455DC">
              <w:rPr>
                <w:rStyle w:val="CCMCvariableitalic"/>
              </w:rPr>
              <w:t>S</w:t>
            </w:r>
            <w:r w:rsidRPr="001455DC">
              <w:t>-</w:t>
            </w:r>
            <w:r w:rsidRPr="001455DC">
              <w:rPr>
                <w:rStyle w:val="CCMCvariableitalic"/>
              </w:rPr>
              <w:t>N</w:t>
            </w:r>
            <w:r w:rsidRPr="001455DC">
              <w:t xml:space="preserve"> line from Tables K.1 and K.2.</w:t>
            </w:r>
          </w:p>
        </w:tc>
      </w:tr>
    </w:tbl>
    <w:p w14:paraId="1AD31309" w14:textId="3F9233CA" w:rsidR="004E22C1" w:rsidRPr="001455DC" w:rsidRDefault="004E22C1" w:rsidP="00125DCB">
      <w:pPr>
        <w:pStyle w:val="a7"/>
      </w:pPr>
      <w:r w:rsidRPr="001455DC">
        <w:t xml:space="preserve">If only compressive stresses occur under traffic loads on a track, the corresponding value should be </w:t>
      </w:r>
      <w:r w:rsidRPr="001455DC">
        <w:rPr>
          <w:rStyle w:val="CCMCvariableitalic"/>
        </w:rPr>
        <w:t>s</w:t>
      </w:r>
      <w:r w:rsidRPr="001455DC">
        <w:rPr>
          <w:rStyle w:val="CCMCvariablesubscript"/>
        </w:rPr>
        <w:t>j</w:t>
      </w:r>
      <w:r w:rsidRPr="001455DC">
        <w:t> </w:t>
      </w:r>
      <w:r w:rsidR="00EC27D2" w:rsidRPr="001455DC">
        <w:rPr>
          <w:rFonts w:ascii="Cambria Math" w:hAnsi="Cambria Math"/>
        </w:rPr>
        <w:t>=</w:t>
      </w:r>
      <w:r w:rsidRPr="001455DC">
        <w:t> 0.</w:t>
      </w:r>
    </w:p>
    <w:p w14:paraId="2E8DEDD4" w14:textId="701EF557" w:rsidR="004E22C1" w:rsidRPr="001455DC" w:rsidRDefault="004E22C1" w:rsidP="00243590">
      <w:pPr>
        <w:pStyle w:val="a3"/>
      </w:pPr>
      <w:bookmarkStart w:id="2166" w:name="_Toc52820355"/>
      <w:bookmarkStart w:id="2167" w:name="_Toc54337787"/>
      <w:bookmarkStart w:id="2168" w:name="_Toc54338403"/>
      <w:r w:rsidRPr="001455DC">
        <w:t>Verification for concrete</w:t>
      </w:r>
      <w:bookmarkEnd w:id="2166"/>
      <w:bookmarkEnd w:id="2167"/>
      <w:bookmarkEnd w:id="2168"/>
    </w:p>
    <w:p w14:paraId="7C4608B9" w14:textId="77777777" w:rsidR="003E09B3" w:rsidRPr="001455DC" w:rsidRDefault="004E22C1" w:rsidP="003E09B3">
      <w:pPr>
        <w:pStyle w:val="a7"/>
      </w:pPr>
      <w:r w:rsidRPr="001455DC">
        <w:t>(1)</w:t>
      </w:r>
      <w:r w:rsidRPr="001455DC">
        <w:tab/>
      </w:r>
      <w:r w:rsidRPr="001455DC">
        <w:rPr>
          <w:lang w:eastAsia="ja-JP"/>
        </w:rPr>
        <w:t xml:space="preserve">For railway bridges, the upper and lower stresses of the damage equivalent stress amplitude used in Formula (E.7) should be calculated according to </w:t>
      </w:r>
      <w:r w:rsidRPr="001455DC">
        <w:t>Formula (</w:t>
      </w:r>
      <w:r w:rsidRPr="001455DC">
        <w:rPr>
          <w:lang w:eastAsia="ja-JP"/>
        </w:rPr>
        <w:t>K.11)</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3E09B3" w:rsidRPr="001455DC" w14:paraId="5A0C05AD" w14:textId="77777777" w:rsidTr="00214838">
        <w:trPr>
          <w:cantSplit/>
        </w:trPr>
        <w:tc>
          <w:tcPr>
            <w:tcW w:w="8505" w:type="dxa"/>
            <w:vAlign w:val="center"/>
          </w:tcPr>
          <w:p w14:paraId="4DB75715" w14:textId="4C22D23B" w:rsidR="003E09B3" w:rsidRPr="001455DC" w:rsidRDefault="003E09B3" w:rsidP="00214838">
            <w:pPr>
              <w:pStyle w:val="Formula"/>
              <w:jc w:val="left"/>
              <w:rPr>
                <w:lang w:eastAsia="ja-JP"/>
              </w:rPr>
            </w:pPr>
            <w:r w:rsidRPr="001455DC">
              <w:rPr>
                <w:rStyle w:val="CCMCvariableitalic"/>
              </w:rPr>
              <w:t>σ</w:t>
            </w:r>
            <w:r w:rsidRPr="001455DC">
              <w:rPr>
                <w:rStyle w:val="CCMCvariablesubscript"/>
              </w:rPr>
              <w:t>cd,max,equ</w:t>
            </w:r>
            <w:r w:rsidRPr="001455DC">
              <w:t> </w:t>
            </w:r>
            <w:r w:rsidR="00EC27D2" w:rsidRPr="001455DC">
              <w:rPr>
                <w:rFonts w:ascii="Cambria Math" w:hAnsi="Cambria Math"/>
              </w:rPr>
              <w:t>=</w:t>
            </w:r>
            <w:r w:rsidRPr="001455DC">
              <w:t> </w:t>
            </w:r>
            <w:r w:rsidRPr="001455DC">
              <w:rPr>
                <w:rStyle w:val="CCMCvariableitalic"/>
              </w:rPr>
              <w:t>γ</w:t>
            </w:r>
            <w:r w:rsidRPr="001455DC">
              <w:rPr>
                <w:rStyle w:val="CCMCvariablesubscript"/>
              </w:rPr>
              <w:t>F,f</w:t>
            </w:r>
            <w:r w:rsidRPr="001455DC">
              <w:rPr>
                <w:lang w:eastAsia="ja-JP"/>
              </w:rPr>
              <w:t> </w:t>
            </w:r>
            <w:r w:rsidR="00C74721" w:rsidRPr="001455DC">
              <w:rPr>
                <w:rFonts w:ascii="Cambria Math" w:hAnsi="Cambria Math"/>
                <w:lang w:eastAsia="ja-JP"/>
              </w:rPr>
              <w:t>⋅</w:t>
            </w:r>
            <w:r w:rsidRPr="001455DC">
              <w:rPr>
                <w:lang w:eastAsia="ja-JP"/>
              </w:rPr>
              <w:t> (</w:t>
            </w:r>
            <w:r w:rsidRPr="001455DC">
              <w:rPr>
                <w:rStyle w:val="CCMCvariableitalic"/>
              </w:rPr>
              <w:t>σ</w:t>
            </w:r>
            <w:r w:rsidRPr="001455DC">
              <w:rPr>
                <w:rStyle w:val="CCMCvariablesubscript"/>
              </w:rPr>
              <w:t>c,perm</w:t>
            </w:r>
            <w:r w:rsidR="00650035" w:rsidRPr="001455DC">
              <w:t xml:space="preserve"> </w:t>
            </w:r>
            <w:r w:rsidR="00650035" w:rsidRPr="001455DC">
              <w:rPr>
                <w:rFonts w:ascii="Cambria Math" w:hAnsi="Cambria Math"/>
                <w:lang w:eastAsia="ja-JP"/>
              </w:rPr>
              <w:t>+</w:t>
            </w:r>
            <w:r w:rsidRPr="001455DC">
              <w:rPr>
                <w:lang w:eastAsia="ja-JP"/>
              </w:rPr>
              <w:t xml:space="preserve"> </w:t>
            </w:r>
            <w:r w:rsidRPr="001455DC">
              <w:rPr>
                <w:rStyle w:val="CCMCvariableitalic"/>
              </w:rPr>
              <w:t>λ</w:t>
            </w:r>
            <w:r w:rsidRPr="001455DC">
              <w:rPr>
                <w:rStyle w:val="CCMCvariablesubscript"/>
              </w:rPr>
              <w:t>c</w:t>
            </w:r>
            <w:r w:rsidRPr="001455DC">
              <w:rPr>
                <w:lang w:eastAsia="ja-JP"/>
              </w:rPr>
              <w:t xml:space="preserve"> (</w:t>
            </w:r>
            <w:r w:rsidRPr="001455DC">
              <w:rPr>
                <w:rStyle w:val="CCMCvariableitalic"/>
              </w:rPr>
              <w:t>σ</w:t>
            </w:r>
            <w:r w:rsidRPr="001455DC">
              <w:rPr>
                <w:rStyle w:val="CCMCvariablesubscript"/>
              </w:rPr>
              <w:t>c,max,71</w:t>
            </w:r>
            <w:r w:rsidRPr="001455DC">
              <w:rPr>
                <w:lang w:eastAsia="ja-JP"/>
              </w:rPr>
              <w:t> </w:t>
            </w:r>
            <w:r w:rsidR="00EC27D2" w:rsidRPr="001455DC">
              <w:rPr>
                <w:rFonts w:ascii="Cambria Math" w:hAnsi="Cambria Math"/>
                <w:lang w:eastAsia="ja-JP"/>
              </w:rPr>
              <w:t>−</w:t>
            </w:r>
            <w:r w:rsidRPr="001455DC">
              <w:rPr>
                <w:lang w:eastAsia="ja-JP"/>
              </w:rPr>
              <w:t> </w:t>
            </w:r>
            <w:r w:rsidRPr="001455DC">
              <w:rPr>
                <w:rStyle w:val="CCMCvariableitalic"/>
              </w:rPr>
              <w:t>σ</w:t>
            </w:r>
            <w:r w:rsidRPr="001455DC">
              <w:rPr>
                <w:rStyle w:val="CCMCvariablesubscript"/>
              </w:rPr>
              <w:t>c,perm</w:t>
            </w:r>
            <w:r w:rsidRPr="001455DC">
              <w:rPr>
                <w:lang w:eastAsia="ja-JP"/>
              </w:rPr>
              <w:t>))</w:t>
            </w:r>
          </w:p>
          <w:p w14:paraId="25C990A1" w14:textId="7322D152" w:rsidR="003E09B3" w:rsidRPr="001455DC" w:rsidRDefault="003E09B3" w:rsidP="003E09B3">
            <w:pPr>
              <w:pStyle w:val="Formula"/>
            </w:pPr>
            <w:r w:rsidRPr="001455DC">
              <w:rPr>
                <w:rStyle w:val="CCMCvariableitalic"/>
              </w:rPr>
              <w:t>σ</w:t>
            </w:r>
            <w:r w:rsidRPr="001455DC">
              <w:rPr>
                <w:rStyle w:val="CCMCvariablesubscript"/>
              </w:rPr>
              <w:t>cd,min,equ</w:t>
            </w:r>
            <w:r w:rsidRPr="001455DC">
              <w:t> </w:t>
            </w:r>
            <w:r w:rsidR="00EC27D2" w:rsidRPr="001455DC">
              <w:rPr>
                <w:rFonts w:ascii="Cambria Math" w:hAnsi="Cambria Math"/>
              </w:rPr>
              <w:t>=</w:t>
            </w:r>
            <w:r w:rsidRPr="001455DC">
              <w:t xml:space="preserve"> </w:t>
            </w:r>
            <w:r w:rsidRPr="001455DC">
              <w:rPr>
                <w:rStyle w:val="CCMCvariableitalic"/>
              </w:rPr>
              <w:t>γ</w:t>
            </w:r>
            <w:r w:rsidRPr="001455DC">
              <w:rPr>
                <w:rStyle w:val="CCMCvariablesubscript"/>
              </w:rPr>
              <w:t>F,f</w:t>
            </w:r>
            <w:r w:rsidRPr="001455DC">
              <w:rPr>
                <w:lang w:eastAsia="ja-JP"/>
              </w:rPr>
              <w:t> </w:t>
            </w:r>
            <w:r w:rsidRPr="001455DC">
              <w:rPr>
                <w:rFonts w:ascii="Cambria Math" w:hAnsi="Cambria Math" w:cs="Cambria Math"/>
                <w:lang w:eastAsia="ja-JP"/>
              </w:rPr>
              <w:t>⋅</w:t>
            </w:r>
            <w:r w:rsidRPr="001455DC">
              <w:rPr>
                <w:lang w:eastAsia="ja-JP"/>
              </w:rPr>
              <w:t> (</w:t>
            </w:r>
            <w:r w:rsidRPr="001455DC">
              <w:rPr>
                <w:rStyle w:val="CCMCvariableitalic"/>
              </w:rPr>
              <w:t>σ</w:t>
            </w:r>
            <w:r w:rsidRPr="001455DC">
              <w:rPr>
                <w:rStyle w:val="CCMCvariablesubscript"/>
              </w:rPr>
              <w:t>c,perm</w:t>
            </w:r>
            <w:r w:rsidRPr="001455DC">
              <w:rPr>
                <w:lang w:eastAsia="ja-JP"/>
              </w:rPr>
              <w:t> </w:t>
            </w:r>
            <w:r w:rsidR="00EC27D2" w:rsidRPr="001455DC">
              <w:rPr>
                <w:rFonts w:ascii="Cambria Math" w:hAnsi="Cambria Math"/>
                <w:lang w:eastAsia="ja-JP"/>
              </w:rPr>
              <w:t>−</w:t>
            </w:r>
            <w:r w:rsidRPr="001455DC">
              <w:rPr>
                <w:lang w:eastAsia="ja-JP"/>
              </w:rPr>
              <w:t> </w:t>
            </w:r>
            <w:r w:rsidRPr="001455DC">
              <w:rPr>
                <w:rStyle w:val="CCMCvariableitalic"/>
              </w:rPr>
              <w:t>λ</w:t>
            </w:r>
            <w:r w:rsidRPr="001455DC">
              <w:rPr>
                <w:rStyle w:val="CCMCvariablesubscript"/>
              </w:rPr>
              <w:t>c</w:t>
            </w:r>
            <w:r w:rsidRPr="001455DC">
              <w:rPr>
                <w:lang w:eastAsia="ja-JP"/>
              </w:rPr>
              <w:t xml:space="preserve"> (</w:t>
            </w:r>
            <w:r w:rsidRPr="001455DC">
              <w:rPr>
                <w:rStyle w:val="CCMCvariableitalic"/>
              </w:rPr>
              <w:t>σ</w:t>
            </w:r>
            <w:r w:rsidRPr="001455DC">
              <w:rPr>
                <w:rStyle w:val="CCMCvariablesubscript"/>
              </w:rPr>
              <w:t>c,perm</w:t>
            </w:r>
            <w:r w:rsidRPr="001455DC">
              <w:rPr>
                <w:lang w:eastAsia="ja-JP"/>
              </w:rPr>
              <w:t> </w:t>
            </w:r>
            <w:r w:rsidR="00EC27D2" w:rsidRPr="001455DC">
              <w:rPr>
                <w:rFonts w:ascii="Cambria Math" w:hAnsi="Cambria Math"/>
                <w:lang w:eastAsia="ja-JP"/>
              </w:rPr>
              <w:t>−</w:t>
            </w:r>
            <w:r w:rsidRPr="001455DC">
              <w:rPr>
                <w:lang w:eastAsia="ja-JP"/>
              </w:rPr>
              <w:t> </w:t>
            </w:r>
            <w:r w:rsidRPr="001455DC">
              <w:rPr>
                <w:rStyle w:val="CCMCvariableitalic"/>
              </w:rPr>
              <w:t>σ</w:t>
            </w:r>
            <w:r w:rsidRPr="001455DC">
              <w:rPr>
                <w:rStyle w:val="CCMCvariablesubscript"/>
              </w:rPr>
              <w:t>c,min,71</w:t>
            </w:r>
            <w:r w:rsidRPr="001455DC">
              <w:rPr>
                <w:lang w:eastAsia="ja-JP"/>
              </w:rPr>
              <w:t>))</w:t>
            </w:r>
          </w:p>
        </w:tc>
        <w:tc>
          <w:tcPr>
            <w:tcW w:w="1247" w:type="dxa"/>
            <w:vAlign w:val="center"/>
          </w:tcPr>
          <w:p w14:paraId="40BE27DC" w14:textId="2A0B7C28" w:rsidR="003E09B3" w:rsidRPr="001455DC" w:rsidRDefault="003E09B3" w:rsidP="00214838">
            <w:pPr>
              <w:pStyle w:val="a7"/>
              <w:jc w:val="right"/>
            </w:pPr>
            <w:r w:rsidRPr="001455DC">
              <w:rPr>
                <w:lang w:eastAsia="ja-JP"/>
              </w:rPr>
              <w:t>(K.11)</w:t>
            </w:r>
          </w:p>
        </w:tc>
      </w:tr>
    </w:tbl>
    <w:p w14:paraId="7307B07A" w14:textId="34993638" w:rsidR="004E22C1" w:rsidRPr="001455DC" w:rsidRDefault="004E22C1"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1134"/>
        <w:gridCol w:w="8278"/>
      </w:tblGrid>
      <w:tr w:rsidR="003E09B3" w:rsidRPr="001455DC" w14:paraId="726CA485" w14:textId="77777777" w:rsidTr="00214838">
        <w:trPr>
          <w:cantSplit/>
        </w:trPr>
        <w:tc>
          <w:tcPr>
            <w:tcW w:w="1134" w:type="dxa"/>
          </w:tcPr>
          <w:p w14:paraId="30453CC1" w14:textId="053281C8" w:rsidR="003E09B3" w:rsidRPr="001455DC" w:rsidRDefault="003E09B3" w:rsidP="00214838">
            <w:pPr>
              <w:pStyle w:val="Tablebody"/>
            </w:pPr>
            <w:r w:rsidRPr="001455DC">
              <w:rPr>
                <w:rStyle w:val="CCMCvariableitalic"/>
              </w:rPr>
              <w:t>σ</w:t>
            </w:r>
            <w:r w:rsidRPr="001455DC">
              <w:rPr>
                <w:rStyle w:val="CCMCvariablesubscript"/>
              </w:rPr>
              <w:t>c,perm</w:t>
            </w:r>
          </w:p>
        </w:tc>
        <w:tc>
          <w:tcPr>
            <w:tcW w:w="8278" w:type="dxa"/>
          </w:tcPr>
          <w:p w14:paraId="6B3885A9" w14:textId="3E014D76" w:rsidR="003E09B3" w:rsidRPr="001455DC" w:rsidRDefault="003E09B3" w:rsidP="00214838">
            <w:pPr>
              <w:pStyle w:val="Tablebody"/>
            </w:pPr>
            <w:r w:rsidRPr="001455DC">
              <w:rPr>
                <w:lang w:eastAsia="ja-JP"/>
              </w:rPr>
              <w:t>is the compressive concrete stress caused by the characteristic combination of</w:t>
            </w:r>
            <w:r w:rsidRPr="001455DC">
              <w:rPr>
                <w:lang w:eastAsia="ja-JP"/>
              </w:rPr>
              <w:tab/>
              <w:t>actions, without load model 71;</w:t>
            </w:r>
          </w:p>
        </w:tc>
      </w:tr>
      <w:tr w:rsidR="003E09B3" w:rsidRPr="001455DC" w14:paraId="09AD18C1" w14:textId="77777777" w:rsidTr="00214838">
        <w:trPr>
          <w:cantSplit/>
        </w:trPr>
        <w:tc>
          <w:tcPr>
            <w:tcW w:w="1134" w:type="dxa"/>
          </w:tcPr>
          <w:p w14:paraId="2828ED33" w14:textId="353DF1C2" w:rsidR="003E09B3" w:rsidRPr="001455DC" w:rsidRDefault="003E09B3" w:rsidP="00214838">
            <w:pPr>
              <w:pStyle w:val="Tablebody"/>
            </w:pPr>
            <w:r w:rsidRPr="001455DC">
              <w:rPr>
                <w:rStyle w:val="CCMCvariableitalic"/>
              </w:rPr>
              <w:t>σ</w:t>
            </w:r>
            <w:r w:rsidRPr="001455DC">
              <w:rPr>
                <w:rStyle w:val="CCMCvariablesubscript"/>
              </w:rPr>
              <w:t>c,max,71</w:t>
            </w:r>
          </w:p>
        </w:tc>
        <w:tc>
          <w:tcPr>
            <w:tcW w:w="8278" w:type="dxa"/>
          </w:tcPr>
          <w:p w14:paraId="4520781F" w14:textId="59152DB3" w:rsidR="003E09B3" w:rsidRPr="001455DC" w:rsidRDefault="003E09B3" w:rsidP="00214838">
            <w:pPr>
              <w:pStyle w:val="Tablebody"/>
            </w:pPr>
            <w:r w:rsidRPr="001455DC">
              <w:rPr>
                <w:lang w:eastAsia="ja-JP"/>
              </w:rPr>
              <w:t xml:space="preserve">is the maximum compressive stress caused by the characteristic combination including load model 71 and the dynamic factor </w:t>
            </w:r>
            <w:r w:rsidRPr="001455DC">
              <w:rPr>
                <w:rStyle w:val="CCMCvariableitalic"/>
              </w:rPr>
              <w:t>Φ</w:t>
            </w:r>
            <w:r w:rsidRPr="001455DC">
              <w:rPr>
                <w:lang w:eastAsia="ja-JP"/>
              </w:rPr>
              <w:t xml:space="preserve"> according to </w:t>
            </w:r>
            <w:r w:rsidR="00B0410C">
              <w:rPr>
                <w:lang w:eastAsia="ja-JP"/>
              </w:rPr>
              <w:t>pr</w:t>
            </w:r>
            <w:r w:rsidRPr="001455DC">
              <w:rPr>
                <w:lang w:eastAsia="ja-JP"/>
              </w:rPr>
              <w:t>EN 1991</w:t>
            </w:r>
            <w:r w:rsidRPr="001455DC">
              <w:rPr>
                <w:lang w:eastAsia="ja-JP"/>
              </w:rPr>
              <w:noBreakHyphen/>
              <w:t>2;</w:t>
            </w:r>
          </w:p>
        </w:tc>
      </w:tr>
      <w:tr w:rsidR="003E09B3" w:rsidRPr="001455DC" w14:paraId="485BF0FF" w14:textId="77777777" w:rsidTr="00214838">
        <w:trPr>
          <w:cantSplit/>
        </w:trPr>
        <w:tc>
          <w:tcPr>
            <w:tcW w:w="1134" w:type="dxa"/>
          </w:tcPr>
          <w:p w14:paraId="3E292E55" w14:textId="311FDEC1" w:rsidR="003E09B3" w:rsidRPr="001455DC" w:rsidRDefault="003E09B3" w:rsidP="00214838">
            <w:pPr>
              <w:pStyle w:val="Tablebody"/>
            </w:pPr>
            <w:r w:rsidRPr="001455DC">
              <w:rPr>
                <w:rStyle w:val="CCMCvariableitalic"/>
              </w:rPr>
              <w:t>σ</w:t>
            </w:r>
            <w:r w:rsidRPr="001455DC">
              <w:rPr>
                <w:rStyle w:val="CCMCvariablesubscript"/>
              </w:rPr>
              <w:t>c,min,71</w:t>
            </w:r>
          </w:p>
        </w:tc>
        <w:tc>
          <w:tcPr>
            <w:tcW w:w="8278" w:type="dxa"/>
          </w:tcPr>
          <w:p w14:paraId="4CE355B5" w14:textId="06CA3B5A" w:rsidR="003E09B3" w:rsidRPr="001455DC" w:rsidRDefault="003E09B3" w:rsidP="00214838">
            <w:pPr>
              <w:pStyle w:val="Tablebody"/>
            </w:pPr>
            <w:r w:rsidRPr="001455DC">
              <w:rPr>
                <w:lang w:eastAsia="ja-JP"/>
              </w:rPr>
              <w:t xml:space="preserve">is the minimum compressive stress under the characteristic combination including load model 71 and the dynamic factor </w:t>
            </w:r>
            <w:r w:rsidRPr="001455DC">
              <w:rPr>
                <w:rStyle w:val="CCMCvariableitalic"/>
              </w:rPr>
              <w:t>Φ</w:t>
            </w:r>
            <w:r w:rsidRPr="001455DC">
              <w:rPr>
                <w:lang w:eastAsia="ja-JP"/>
              </w:rPr>
              <w:t xml:space="preserve"> according to </w:t>
            </w:r>
            <w:r w:rsidR="00B0410C">
              <w:rPr>
                <w:lang w:eastAsia="ja-JP"/>
              </w:rPr>
              <w:t>pr</w:t>
            </w:r>
            <w:r w:rsidRPr="001455DC">
              <w:rPr>
                <w:lang w:eastAsia="ja-JP"/>
              </w:rPr>
              <w:t>EN 1991</w:t>
            </w:r>
            <w:r w:rsidRPr="001455DC">
              <w:rPr>
                <w:lang w:eastAsia="ja-JP"/>
              </w:rPr>
              <w:noBreakHyphen/>
              <w:t>2;</w:t>
            </w:r>
          </w:p>
        </w:tc>
      </w:tr>
      <w:tr w:rsidR="003E09B3" w:rsidRPr="001455DC" w14:paraId="04A4FB41" w14:textId="77777777" w:rsidTr="00214838">
        <w:trPr>
          <w:cantSplit/>
        </w:trPr>
        <w:tc>
          <w:tcPr>
            <w:tcW w:w="1134" w:type="dxa"/>
          </w:tcPr>
          <w:p w14:paraId="15F66EB0" w14:textId="448B7EDF" w:rsidR="003E09B3" w:rsidRPr="001455DC" w:rsidRDefault="003E09B3" w:rsidP="00214838">
            <w:pPr>
              <w:pStyle w:val="Tablebody"/>
            </w:pPr>
            <w:r w:rsidRPr="001455DC">
              <w:rPr>
                <w:rStyle w:val="CCMCvariableitalic"/>
              </w:rPr>
              <w:t>λ</w:t>
            </w:r>
            <w:r w:rsidRPr="001455DC">
              <w:rPr>
                <w:rStyle w:val="CCMCvariablesubscript"/>
              </w:rPr>
              <w:t>c</w:t>
            </w:r>
          </w:p>
        </w:tc>
        <w:tc>
          <w:tcPr>
            <w:tcW w:w="8278" w:type="dxa"/>
          </w:tcPr>
          <w:p w14:paraId="2A010837" w14:textId="44800BA2" w:rsidR="003E09B3" w:rsidRPr="001455DC" w:rsidRDefault="003E09B3" w:rsidP="00214838">
            <w:pPr>
              <w:pStyle w:val="Tablebody"/>
            </w:pPr>
            <w:r w:rsidRPr="001455DC">
              <w:rPr>
                <w:lang w:eastAsia="ja-JP"/>
              </w:rPr>
              <w:t>is a correction factor to calculate the upper and lower stresses of the damage equivalent stress spectrum from the stresses caused by load model 71.</w:t>
            </w:r>
          </w:p>
        </w:tc>
      </w:tr>
    </w:tbl>
    <w:p w14:paraId="7414F794" w14:textId="77777777" w:rsidR="004E22C1" w:rsidRPr="001455DC" w:rsidRDefault="004E22C1" w:rsidP="003E09B3">
      <w:pPr>
        <w:pStyle w:val="Note"/>
      </w:pPr>
      <w:r w:rsidRPr="001455DC">
        <w:t>NOTE</w:t>
      </w:r>
      <w:r w:rsidRPr="001455DC">
        <w:tab/>
      </w:r>
      <w:r w:rsidRPr="001455DC">
        <w:rPr>
          <w:rStyle w:val="CCMCvariableitalic"/>
        </w:rPr>
        <w:t>σ</w:t>
      </w:r>
      <w:r w:rsidRPr="001455DC">
        <w:rPr>
          <w:rStyle w:val="CCMCvariablesubscript"/>
        </w:rPr>
        <w:t>c,perm</w:t>
      </w:r>
      <w:r w:rsidRPr="001455DC">
        <w:t xml:space="preserve">, </w:t>
      </w:r>
      <w:r w:rsidRPr="001455DC">
        <w:rPr>
          <w:rStyle w:val="CCMCvariableitalic"/>
        </w:rPr>
        <w:t>σ</w:t>
      </w:r>
      <w:r w:rsidRPr="001455DC">
        <w:rPr>
          <w:rStyle w:val="CCMCvariablesubscript"/>
        </w:rPr>
        <w:t>c,max,71</w:t>
      </w:r>
      <w:r w:rsidRPr="001455DC">
        <w:t xml:space="preserve"> and </w:t>
      </w:r>
      <w:r w:rsidRPr="001455DC">
        <w:rPr>
          <w:rStyle w:val="CCMCvariableitalic"/>
        </w:rPr>
        <w:t>σ</w:t>
      </w:r>
      <w:r w:rsidRPr="001455DC">
        <w:rPr>
          <w:rStyle w:val="CCMCvariablesubscript"/>
        </w:rPr>
        <w:t>c,min,71</w:t>
      </w:r>
      <w:r w:rsidRPr="001455DC">
        <w:t xml:space="preserve"> do not include other variable actions (e.g. wind, temperature etc.).</w:t>
      </w:r>
    </w:p>
    <w:p w14:paraId="7B89AB56" w14:textId="77777777" w:rsidR="003E09B3" w:rsidRPr="001455DC" w:rsidRDefault="004E22C1" w:rsidP="00DE6BBC">
      <w:pPr>
        <w:pStyle w:val="a7"/>
        <w:keepNext/>
      </w:pPr>
      <w:r w:rsidRPr="001455DC">
        <w:rPr>
          <w:szCs w:val="22"/>
          <w:lang w:eastAsia="ja-JP"/>
        </w:rPr>
        <w:t>(2)</w:t>
      </w:r>
      <w:r w:rsidRPr="001455DC">
        <w:rPr>
          <w:szCs w:val="22"/>
          <w:lang w:eastAsia="ja-JP"/>
        </w:rPr>
        <w:tab/>
      </w:r>
      <w:r w:rsidRPr="001455DC">
        <w:rPr>
          <w:lang w:eastAsia="ja-JP"/>
        </w:rPr>
        <w:t xml:space="preserve">The correction factor </w:t>
      </w:r>
      <w:r w:rsidRPr="001455DC">
        <w:rPr>
          <w:rStyle w:val="CCMCvariableitalic"/>
        </w:rPr>
        <w:t>λ</w:t>
      </w:r>
      <w:r w:rsidRPr="001455DC">
        <w:rPr>
          <w:rStyle w:val="CCMCvariablesubscript"/>
        </w:rPr>
        <w:t>c</w:t>
      </w:r>
      <w:r w:rsidRPr="001455DC">
        <w:rPr>
          <w:lang w:eastAsia="ja-JP"/>
        </w:rPr>
        <w:t xml:space="preserve"> accounts for the permanent stress, the span, annual traffic volume, design service life and multiple tracks. It should be calculated from </w:t>
      </w:r>
      <w:r w:rsidRPr="001455DC">
        <w:t>Formula (K.12)</w:t>
      </w:r>
      <w:r w:rsidRPr="001455DC">
        <w:rPr>
          <w:lang w:eastAsia="ja-JP"/>
        </w:rPr>
        <w:t>:</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3E09B3" w:rsidRPr="001455DC" w14:paraId="0C859E44" w14:textId="77777777" w:rsidTr="00214838">
        <w:trPr>
          <w:cantSplit/>
        </w:trPr>
        <w:tc>
          <w:tcPr>
            <w:tcW w:w="8505" w:type="dxa"/>
            <w:vAlign w:val="center"/>
          </w:tcPr>
          <w:p w14:paraId="6B7EFFBF" w14:textId="198F96F6" w:rsidR="003E09B3" w:rsidRPr="001455DC" w:rsidRDefault="003E09B3" w:rsidP="00214838">
            <w:pPr>
              <w:pStyle w:val="Formula"/>
              <w:jc w:val="left"/>
            </w:pPr>
            <w:r w:rsidRPr="001455DC">
              <w:rPr>
                <w:rStyle w:val="CCMCvariableitalic"/>
              </w:rPr>
              <w:t>λ</w:t>
            </w:r>
            <w:r w:rsidRPr="001455DC">
              <w:rPr>
                <w:rStyle w:val="CCMCvariablesubscript"/>
              </w:rPr>
              <w:t>c</w:t>
            </w:r>
            <w:r w:rsidRPr="001455DC">
              <w:t> </w:t>
            </w:r>
            <w:r w:rsidR="00EC27D2" w:rsidRPr="001455DC">
              <w:rPr>
                <w:rFonts w:ascii="Cambria Math" w:hAnsi="Cambria Math"/>
              </w:rPr>
              <w:t>=</w:t>
            </w:r>
            <w:r w:rsidRPr="001455DC">
              <w:t> </w:t>
            </w:r>
            <w:r w:rsidRPr="001455DC">
              <w:rPr>
                <w:rStyle w:val="CCMCvariableitalic"/>
              </w:rPr>
              <w:t>λ</w:t>
            </w:r>
            <w:r w:rsidRPr="001455DC">
              <w:rPr>
                <w:rStyle w:val="CCMCvariablesubscript"/>
              </w:rPr>
              <w:t>c,0</w:t>
            </w:r>
            <w:r w:rsidRPr="001455DC">
              <w:rPr>
                <w:lang w:eastAsia="ja-JP"/>
              </w:rPr>
              <w:t> </w:t>
            </w:r>
            <w:r w:rsidRPr="001455DC">
              <w:rPr>
                <w:rFonts w:ascii="Cambria Math" w:hAnsi="Cambria Math" w:cs="Cambria Math"/>
                <w:lang w:eastAsia="ja-JP"/>
              </w:rPr>
              <w:t>⋅</w:t>
            </w:r>
            <w:r w:rsidRPr="001455DC">
              <w:rPr>
                <w:lang w:eastAsia="ja-JP"/>
              </w:rPr>
              <w:t> </w:t>
            </w:r>
            <w:r w:rsidRPr="001455DC">
              <w:rPr>
                <w:rStyle w:val="CCMCvariableitalic"/>
              </w:rPr>
              <w:t>λ</w:t>
            </w:r>
            <w:r w:rsidRPr="001455DC">
              <w:rPr>
                <w:rStyle w:val="CCMCvariablesubscript"/>
              </w:rPr>
              <w:t>c,1</w:t>
            </w:r>
            <w:r w:rsidRPr="001455DC">
              <w:rPr>
                <w:lang w:eastAsia="ja-JP"/>
              </w:rPr>
              <w:t> </w:t>
            </w:r>
            <w:r w:rsidRPr="001455DC">
              <w:rPr>
                <w:rFonts w:ascii="Cambria Math" w:hAnsi="Cambria Math" w:cs="Cambria Math"/>
                <w:lang w:eastAsia="ja-JP"/>
              </w:rPr>
              <w:t>⋅</w:t>
            </w:r>
            <w:r w:rsidRPr="001455DC">
              <w:rPr>
                <w:lang w:eastAsia="ja-JP"/>
              </w:rPr>
              <w:t> </w:t>
            </w:r>
            <w:r w:rsidRPr="001455DC">
              <w:rPr>
                <w:rStyle w:val="CCMCvariableitalic"/>
              </w:rPr>
              <w:t>λ</w:t>
            </w:r>
            <w:r w:rsidRPr="001455DC">
              <w:rPr>
                <w:rStyle w:val="CCMCvariablesubscript"/>
              </w:rPr>
              <w:t>c,2,3</w:t>
            </w:r>
            <w:r w:rsidRPr="001455DC">
              <w:rPr>
                <w:lang w:eastAsia="ja-JP"/>
              </w:rPr>
              <w:t> </w:t>
            </w:r>
            <w:r w:rsidRPr="001455DC">
              <w:rPr>
                <w:rFonts w:ascii="Cambria Math" w:hAnsi="Cambria Math" w:cs="Cambria Math"/>
                <w:lang w:eastAsia="ja-JP"/>
              </w:rPr>
              <w:t>⋅</w:t>
            </w:r>
            <w:r w:rsidRPr="001455DC">
              <w:rPr>
                <w:lang w:eastAsia="ja-JP"/>
              </w:rPr>
              <w:t> </w:t>
            </w:r>
            <w:r w:rsidRPr="001455DC">
              <w:rPr>
                <w:rStyle w:val="CCMCvariableitalic"/>
              </w:rPr>
              <w:t>λ</w:t>
            </w:r>
            <w:r w:rsidRPr="001455DC">
              <w:rPr>
                <w:rStyle w:val="CCMCvariablesubscript"/>
              </w:rPr>
              <w:t>c,4</w:t>
            </w:r>
          </w:p>
        </w:tc>
        <w:tc>
          <w:tcPr>
            <w:tcW w:w="1247" w:type="dxa"/>
            <w:vAlign w:val="center"/>
          </w:tcPr>
          <w:p w14:paraId="022625D2" w14:textId="58D87F18" w:rsidR="003E09B3" w:rsidRPr="001455DC" w:rsidRDefault="003E09B3" w:rsidP="00214838">
            <w:pPr>
              <w:pStyle w:val="a7"/>
              <w:jc w:val="right"/>
            </w:pPr>
            <w:r w:rsidRPr="001455DC">
              <w:rPr>
                <w:lang w:eastAsia="ja-JP"/>
              </w:rPr>
              <w:t>(K.12)</w:t>
            </w:r>
          </w:p>
        </w:tc>
      </w:tr>
    </w:tbl>
    <w:p w14:paraId="01841BA9" w14:textId="368EF7E5" w:rsidR="004E22C1" w:rsidRPr="001455DC" w:rsidRDefault="004E22C1" w:rsidP="00A35599">
      <w:pPr>
        <w:pStyle w:val="a7"/>
        <w:keepNext/>
      </w:pPr>
      <w:r w:rsidRPr="001455DC">
        <w:t>where</w:t>
      </w:r>
    </w:p>
    <w:tbl>
      <w:tblPr>
        <w:tblW w:w="9413" w:type="dxa"/>
        <w:tblInd w:w="397" w:type="dxa"/>
        <w:tblLayout w:type="fixed"/>
        <w:tblCellMar>
          <w:left w:w="28" w:type="dxa"/>
          <w:right w:w="28" w:type="dxa"/>
        </w:tblCellMar>
        <w:tblLook w:val="04A0" w:firstRow="1" w:lastRow="0" w:firstColumn="1" w:lastColumn="0" w:noHBand="0" w:noVBand="1"/>
      </w:tblPr>
      <w:tblGrid>
        <w:gridCol w:w="851"/>
        <w:gridCol w:w="8562"/>
      </w:tblGrid>
      <w:tr w:rsidR="003E09B3" w:rsidRPr="001455DC" w14:paraId="61009D9D" w14:textId="77777777" w:rsidTr="003E09B3">
        <w:trPr>
          <w:cantSplit/>
        </w:trPr>
        <w:tc>
          <w:tcPr>
            <w:tcW w:w="851" w:type="dxa"/>
          </w:tcPr>
          <w:p w14:paraId="087305EB" w14:textId="6742605A" w:rsidR="003E09B3" w:rsidRPr="001455DC" w:rsidRDefault="003E09B3" w:rsidP="00214838">
            <w:pPr>
              <w:pStyle w:val="Tablebody"/>
            </w:pPr>
            <w:r w:rsidRPr="001455DC">
              <w:rPr>
                <w:rStyle w:val="CCMCvariableitalic"/>
              </w:rPr>
              <w:t>λ</w:t>
            </w:r>
            <w:r w:rsidRPr="001455DC">
              <w:rPr>
                <w:rStyle w:val="CCMCvariablesubscript"/>
              </w:rPr>
              <w:t>c,0</w:t>
            </w:r>
          </w:p>
        </w:tc>
        <w:tc>
          <w:tcPr>
            <w:tcW w:w="8562" w:type="dxa"/>
          </w:tcPr>
          <w:p w14:paraId="3FB6C06B" w14:textId="4A845214" w:rsidR="003E09B3" w:rsidRPr="001455DC" w:rsidRDefault="003E09B3" w:rsidP="00214838">
            <w:pPr>
              <w:pStyle w:val="Tablebody"/>
            </w:pPr>
            <w:r w:rsidRPr="001455DC">
              <w:rPr>
                <w:lang w:eastAsia="ja-JP"/>
              </w:rPr>
              <w:t>is a factor to take account of the permanent stress;</w:t>
            </w:r>
          </w:p>
        </w:tc>
      </w:tr>
      <w:tr w:rsidR="003E09B3" w:rsidRPr="001455DC" w14:paraId="319056BC" w14:textId="77777777" w:rsidTr="003E09B3">
        <w:trPr>
          <w:cantSplit/>
        </w:trPr>
        <w:tc>
          <w:tcPr>
            <w:tcW w:w="851" w:type="dxa"/>
          </w:tcPr>
          <w:p w14:paraId="1B78C83F" w14:textId="291A0D37" w:rsidR="003E09B3" w:rsidRPr="001455DC" w:rsidRDefault="003E09B3" w:rsidP="00214838">
            <w:pPr>
              <w:pStyle w:val="Tablebody"/>
            </w:pPr>
            <w:r w:rsidRPr="001455DC">
              <w:rPr>
                <w:rStyle w:val="CCMCvariableitalic"/>
              </w:rPr>
              <w:t>λ</w:t>
            </w:r>
            <w:r w:rsidRPr="001455DC">
              <w:rPr>
                <w:rStyle w:val="CCMCvariablesubscript"/>
              </w:rPr>
              <w:t>c,1</w:t>
            </w:r>
          </w:p>
        </w:tc>
        <w:tc>
          <w:tcPr>
            <w:tcW w:w="8562" w:type="dxa"/>
          </w:tcPr>
          <w:p w14:paraId="03A6D043" w14:textId="61E22BA8" w:rsidR="003E09B3" w:rsidRPr="001455DC" w:rsidRDefault="003E09B3" w:rsidP="00214838">
            <w:pPr>
              <w:pStyle w:val="Tablebody"/>
            </w:pPr>
            <w:r w:rsidRPr="001455DC">
              <w:rPr>
                <w:lang w:eastAsia="ja-JP"/>
              </w:rPr>
              <w:t>is a factor accounting for element type (e.g. continuous beam) that takes into account the damaging effect of traffic depending on the critical length of the influence line or area;</w:t>
            </w:r>
          </w:p>
        </w:tc>
      </w:tr>
      <w:tr w:rsidR="003E09B3" w:rsidRPr="001455DC" w14:paraId="0C21E2B2" w14:textId="77777777" w:rsidTr="003E09B3">
        <w:trPr>
          <w:cantSplit/>
        </w:trPr>
        <w:tc>
          <w:tcPr>
            <w:tcW w:w="851" w:type="dxa"/>
          </w:tcPr>
          <w:p w14:paraId="57D4D1FD" w14:textId="5AA15491" w:rsidR="003E09B3" w:rsidRPr="001455DC" w:rsidRDefault="003E09B3" w:rsidP="00214838">
            <w:pPr>
              <w:pStyle w:val="Tablebody"/>
            </w:pPr>
            <w:r w:rsidRPr="001455DC">
              <w:rPr>
                <w:rStyle w:val="CCMCvariableitalic"/>
              </w:rPr>
              <w:t>λ</w:t>
            </w:r>
            <w:r w:rsidRPr="001455DC">
              <w:rPr>
                <w:rStyle w:val="CCMCvariablesubscript"/>
              </w:rPr>
              <w:t>c,2,3</w:t>
            </w:r>
          </w:p>
        </w:tc>
        <w:tc>
          <w:tcPr>
            <w:tcW w:w="8562" w:type="dxa"/>
          </w:tcPr>
          <w:p w14:paraId="1A88C608" w14:textId="2F9D51B5" w:rsidR="003E09B3" w:rsidRPr="001455DC" w:rsidRDefault="003E09B3" w:rsidP="00214838">
            <w:pPr>
              <w:pStyle w:val="Tablebody"/>
            </w:pPr>
            <w:r w:rsidRPr="001455DC">
              <w:rPr>
                <w:lang w:eastAsia="ja-JP"/>
              </w:rPr>
              <w:t>is a factor to account for the traffic volume and the design service life of the bridge;</w:t>
            </w:r>
          </w:p>
        </w:tc>
      </w:tr>
      <w:tr w:rsidR="003E09B3" w:rsidRPr="001455DC" w14:paraId="18AA98F0" w14:textId="77777777" w:rsidTr="003E09B3">
        <w:trPr>
          <w:cantSplit/>
        </w:trPr>
        <w:tc>
          <w:tcPr>
            <w:tcW w:w="851" w:type="dxa"/>
          </w:tcPr>
          <w:p w14:paraId="2340E3C0" w14:textId="0CED3705" w:rsidR="003E09B3" w:rsidRPr="001455DC" w:rsidRDefault="003E09B3" w:rsidP="00214838">
            <w:pPr>
              <w:pStyle w:val="Tablebody"/>
            </w:pPr>
            <w:r w:rsidRPr="001455DC">
              <w:rPr>
                <w:rStyle w:val="CCMCvariableitalic"/>
              </w:rPr>
              <w:t>λ</w:t>
            </w:r>
            <w:r w:rsidRPr="001455DC">
              <w:rPr>
                <w:rStyle w:val="CCMCvariablesubscript"/>
              </w:rPr>
              <w:t>c,4</w:t>
            </w:r>
          </w:p>
        </w:tc>
        <w:tc>
          <w:tcPr>
            <w:tcW w:w="8562" w:type="dxa"/>
          </w:tcPr>
          <w:p w14:paraId="0B6E11B9" w14:textId="09C92ED7" w:rsidR="003E09B3" w:rsidRPr="001455DC" w:rsidRDefault="003E09B3" w:rsidP="00214838">
            <w:pPr>
              <w:pStyle w:val="Tablebody"/>
            </w:pPr>
            <w:r w:rsidRPr="001455DC">
              <w:rPr>
                <w:lang w:eastAsia="ja-JP"/>
              </w:rPr>
              <w:t>is a factor to be applied when the structural element is loaded by more than one track.</w:t>
            </w:r>
          </w:p>
        </w:tc>
      </w:tr>
    </w:tbl>
    <w:p w14:paraId="3B6643F0" w14:textId="77777777" w:rsidR="003E09B3" w:rsidRPr="001455DC" w:rsidRDefault="004E22C1" w:rsidP="00DE6BBC">
      <w:pPr>
        <w:pStyle w:val="a7"/>
        <w:keepNext/>
      </w:pPr>
      <w:r w:rsidRPr="001455DC">
        <w:rPr>
          <w:lang w:eastAsia="ja-JP"/>
        </w:rPr>
        <w:t>(3)</w:t>
      </w:r>
      <w:r w:rsidRPr="001455DC">
        <w:rPr>
          <w:lang w:eastAsia="ja-JP"/>
        </w:rPr>
        <w:tab/>
      </w:r>
      <w:r w:rsidRPr="001455DC">
        <w:rPr>
          <w:rStyle w:val="CCMCvariableitalic"/>
        </w:rPr>
        <w:t>λ</w:t>
      </w:r>
      <w:r w:rsidRPr="001455DC">
        <w:rPr>
          <w:rStyle w:val="CCMCvariablesubscript"/>
        </w:rPr>
        <w:t>c,0</w:t>
      </w:r>
      <w:r w:rsidRPr="001455DC">
        <w:rPr>
          <w:lang w:eastAsia="ja-JP"/>
        </w:rPr>
        <w:t xml:space="preserve"> reflects the influence of the permanent stress and may be calculated from </w:t>
      </w:r>
      <w:r w:rsidRPr="001455DC">
        <w:t>Formula (</w:t>
      </w:r>
      <w:r w:rsidRPr="001455DC">
        <w:rPr>
          <w:lang w:eastAsia="ja-JP"/>
        </w:rPr>
        <w:t>K.13)</w:t>
      </w:r>
    </w:p>
    <w:tbl>
      <w:tblPr>
        <w:tblStyle w:val="ad"/>
        <w:tblW w:w="9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119"/>
        <w:gridCol w:w="5387"/>
        <w:gridCol w:w="1247"/>
      </w:tblGrid>
      <w:tr w:rsidR="003E09B3" w:rsidRPr="001455DC" w14:paraId="6666D9CF" w14:textId="77777777" w:rsidTr="003E09B3">
        <w:trPr>
          <w:cantSplit/>
        </w:trPr>
        <w:tc>
          <w:tcPr>
            <w:tcW w:w="3119" w:type="dxa"/>
            <w:vAlign w:val="center"/>
          </w:tcPr>
          <w:p w14:paraId="45B908F8" w14:textId="46098EBC" w:rsidR="003E09B3" w:rsidRPr="001455DC" w:rsidRDefault="00231E33" w:rsidP="00214838">
            <w:pPr>
              <w:pStyle w:val="Formula"/>
              <w:jc w:val="left"/>
            </w:pPr>
            <m:oMathPara>
              <m:oMathParaPr>
                <m:jc m:val="left"/>
              </m:oMathParaPr>
              <m:oMath>
                <m:sSub>
                  <m:sSubPr>
                    <m:ctrlPr>
                      <w:rPr>
                        <w:rFonts w:ascii="Cambria Math" w:hAnsi="Cambria Math"/>
                        <w:i/>
                      </w:rPr>
                    </m:ctrlPr>
                  </m:sSubPr>
                  <m:e>
                    <m:r>
                      <w:rPr>
                        <w:rFonts w:ascii="Cambria Math" w:hAnsi="Cambria Math"/>
                      </w:rPr>
                      <m:t>λ</m:t>
                    </m:r>
                  </m:e>
                  <m:sub>
                    <m:r>
                      <m:rPr>
                        <m:sty m:val="p"/>
                      </m:rPr>
                      <w:rPr>
                        <w:rFonts w:ascii="Cambria Math" w:hAnsi="Cambria Math"/>
                      </w:rPr>
                      <m:t>c,0</m:t>
                    </m:r>
                  </m:sub>
                </m:sSub>
                <m:r>
                  <w:rPr>
                    <w:rFonts w:ascii="Cambria Math" w:hAnsi="Cambria Math"/>
                  </w:rPr>
                  <m:t>=0,94+0,2</m:t>
                </m:r>
                <m:f>
                  <m:fPr>
                    <m:ctrlPr>
                      <w:rPr>
                        <w:rFonts w:ascii="Cambria Math" w:hAnsi="Cambria Math"/>
                      </w:rPr>
                    </m:ctrlPr>
                  </m:fPr>
                  <m:num>
                    <m:sSub>
                      <m:sSubPr>
                        <m:ctrlPr>
                          <w:rPr>
                            <w:rFonts w:ascii="Cambria Math" w:hAnsi="Cambria Math"/>
                          </w:rPr>
                        </m:ctrlPr>
                      </m:sSubPr>
                      <m:e>
                        <m:r>
                          <w:rPr>
                            <w:rFonts w:ascii="Cambria Math" w:hAnsi="Cambria Math"/>
                          </w:rPr>
                          <m:t>σ</m:t>
                        </m:r>
                      </m:e>
                      <m:sub>
                        <m:r>
                          <m:rPr>
                            <m:sty m:val="p"/>
                          </m:rPr>
                          <w:rPr>
                            <w:rFonts w:ascii="Cambria Math" w:hAnsi="Cambria Math"/>
                          </w:rPr>
                          <m:t>c,perm</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cd,fat</m:t>
                        </m:r>
                      </m:sub>
                    </m:sSub>
                  </m:den>
                </m:f>
                <m:r>
                  <w:rPr>
                    <w:rFonts w:ascii="Cambria Math" w:hAnsi="Cambria Math"/>
                    <w:lang w:eastAsia="ja-JP"/>
                  </w:rPr>
                  <m:t>≥1</m:t>
                </m:r>
              </m:oMath>
            </m:oMathPara>
          </w:p>
        </w:tc>
        <w:tc>
          <w:tcPr>
            <w:tcW w:w="5387" w:type="dxa"/>
            <w:vAlign w:val="center"/>
          </w:tcPr>
          <w:p w14:paraId="5D49106C" w14:textId="41278E11" w:rsidR="003E09B3" w:rsidRPr="001455DC" w:rsidRDefault="003E09B3" w:rsidP="00214838">
            <w:pPr>
              <w:pStyle w:val="Formula"/>
              <w:jc w:val="left"/>
            </w:pPr>
            <w:r w:rsidRPr="001455DC">
              <w:rPr>
                <w:lang w:eastAsia="ja-JP"/>
              </w:rPr>
              <w:t>for the compression zone</w:t>
            </w:r>
          </w:p>
        </w:tc>
        <w:tc>
          <w:tcPr>
            <w:tcW w:w="1247" w:type="dxa"/>
            <w:vAlign w:val="center"/>
          </w:tcPr>
          <w:p w14:paraId="5707EEF4" w14:textId="7042E9EF" w:rsidR="003E09B3" w:rsidRPr="001455DC" w:rsidRDefault="003E09B3" w:rsidP="00214838">
            <w:pPr>
              <w:pStyle w:val="a7"/>
              <w:jc w:val="right"/>
            </w:pPr>
            <w:r w:rsidRPr="001455DC">
              <w:rPr>
                <w:lang w:eastAsia="ja-JP"/>
              </w:rPr>
              <w:t>(K.13)</w:t>
            </w:r>
          </w:p>
        </w:tc>
      </w:tr>
    </w:tbl>
    <w:p w14:paraId="5785365E" w14:textId="588A1DCA" w:rsidR="004E22C1" w:rsidRPr="001455DC" w:rsidRDefault="004E22C1" w:rsidP="003E09B3">
      <w:pPr>
        <w:pStyle w:val="a7"/>
        <w:rPr>
          <w:szCs w:val="19"/>
        </w:rPr>
      </w:pPr>
      <w:r w:rsidRPr="001455DC">
        <w:rPr>
          <w:rStyle w:val="CCMCvariableitalic"/>
        </w:rPr>
        <w:t>λ</w:t>
      </w:r>
      <w:r w:rsidRPr="001455DC">
        <w:rPr>
          <w:rStyle w:val="CCMCvariablesubscript"/>
        </w:rPr>
        <w:t>c,0</w:t>
      </w:r>
      <w:r w:rsidRPr="001455DC">
        <w:t> </w:t>
      </w:r>
      <w:r w:rsidR="00EC27D2" w:rsidRPr="001455DC">
        <w:rPr>
          <w:rFonts w:ascii="Cambria Math" w:hAnsi="Cambria Math"/>
        </w:rPr>
        <w:t>=</w:t>
      </w:r>
      <w:r w:rsidRPr="001455DC">
        <w:t> 1 for the precompressed tensile zone (including prestressing effect)</w:t>
      </w:r>
    </w:p>
    <w:p w14:paraId="2C839662" w14:textId="77777777" w:rsidR="004E22C1" w:rsidRPr="001455DC" w:rsidRDefault="004E22C1" w:rsidP="003E09B3">
      <w:pPr>
        <w:pStyle w:val="a7"/>
      </w:pPr>
      <w:r w:rsidRPr="001455DC">
        <w:rPr>
          <w:szCs w:val="19"/>
        </w:rPr>
        <w:t>(4)</w:t>
      </w:r>
      <w:r w:rsidRPr="001455DC">
        <w:rPr>
          <w:szCs w:val="19"/>
        </w:rPr>
        <w:tab/>
      </w:r>
      <w:r w:rsidRPr="001455DC">
        <w:rPr>
          <w:rStyle w:val="CCMCvariableitalic"/>
        </w:rPr>
        <w:t>λ</w:t>
      </w:r>
      <w:r w:rsidRPr="001455DC">
        <w:rPr>
          <w:rStyle w:val="CCMCvariablesubscript"/>
        </w:rPr>
        <w:t>c,1</w:t>
      </w:r>
      <w:r w:rsidRPr="001455DC">
        <w:t xml:space="preserve"> is a function of the critical length of the influence line and the traffic. For standard traffic mix and heavy traffic mix it may be taken from Table K.3.</w:t>
      </w:r>
    </w:p>
    <w:p w14:paraId="4F2CE619" w14:textId="77777777" w:rsidR="004E22C1" w:rsidRPr="001455DC" w:rsidRDefault="004E22C1" w:rsidP="003E09B3">
      <w:pPr>
        <w:pStyle w:val="a7"/>
        <w:rPr>
          <w:szCs w:val="19"/>
        </w:rPr>
      </w:pPr>
      <w:r w:rsidRPr="001455DC">
        <w:t xml:space="preserve">Values of </w:t>
      </w:r>
      <w:r w:rsidRPr="001455DC">
        <w:rPr>
          <w:rStyle w:val="CCMCvariableitalic"/>
        </w:rPr>
        <w:t>λ</w:t>
      </w:r>
      <w:r w:rsidRPr="001455DC">
        <w:rPr>
          <w:rStyle w:val="CCMCvariablesubscript"/>
        </w:rPr>
        <w:t>c,1</w:t>
      </w:r>
      <w:r w:rsidRPr="001455DC">
        <w:t xml:space="preserve"> for critical lengths of influence lines between 2 m and 20 m may be obtained by applying Formula (K.3) with </w:t>
      </w:r>
      <w:r w:rsidRPr="001455DC">
        <w:rPr>
          <w:rStyle w:val="CCMCvariableitalic"/>
        </w:rPr>
        <w:t>λ</w:t>
      </w:r>
      <w:r w:rsidRPr="001455DC">
        <w:rPr>
          <w:rStyle w:val="CCMCvariablesubscript"/>
        </w:rPr>
        <w:t>s,1</w:t>
      </w:r>
      <w:r w:rsidRPr="001455DC">
        <w:t xml:space="preserve"> replaced by </w:t>
      </w:r>
      <w:r w:rsidRPr="001455DC">
        <w:rPr>
          <w:rStyle w:val="CCMCvariableitalic"/>
        </w:rPr>
        <w:t>λ</w:t>
      </w:r>
      <w:r w:rsidRPr="001455DC">
        <w:rPr>
          <w:rStyle w:val="CCMCvariablesubscript"/>
        </w:rPr>
        <w:t>c,1</w:t>
      </w:r>
      <w:r w:rsidRPr="001455DC">
        <w:t>.</w:t>
      </w:r>
    </w:p>
    <w:p w14:paraId="5FDF5E88" w14:textId="77777777" w:rsidR="003E09B3" w:rsidRPr="001455DC" w:rsidRDefault="004E22C1" w:rsidP="00DE6BBC">
      <w:pPr>
        <w:pStyle w:val="a7"/>
        <w:keepNext/>
      </w:pPr>
      <w:r w:rsidRPr="001455DC">
        <w:rPr>
          <w:szCs w:val="19"/>
          <w:lang w:eastAsia="ja-JP"/>
        </w:rPr>
        <w:t>(5)</w:t>
      </w:r>
      <w:r w:rsidRPr="001455DC">
        <w:rPr>
          <w:szCs w:val="19"/>
          <w:lang w:eastAsia="ja-JP"/>
        </w:rPr>
        <w:tab/>
      </w:r>
      <w:r w:rsidRPr="001455DC">
        <w:rPr>
          <w:rStyle w:val="CCMCvariableitalic"/>
        </w:rPr>
        <w:t>λ</w:t>
      </w:r>
      <w:r w:rsidRPr="001455DC">
        <w:rPr>
          <w:rStyle w:val="CCMCvariablesubscript"/>
        </w:rPr>
        <w:t>c,2,3</w:t>
      </w:r>
      <w:r w:rsidRPr="001455DC">
        <w:rPr>
          <w:lang w:eastAsia="ja-JP"/>
        </w:rPr>
        <w:t xml:space="preserve"> reflects the influence of annual traffic volume and design service life and may be calculated from Formula (K.14):</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3E09B3" w:rsidRPr="001455DC" w14:paraId="7AEDDC50" w14:textId="77777777" w:rsidTr="00214838">
        <w:trPr>
          <w:cantSplit/>
        </w:trPr>
        <w:tc>
          <w:tcPr>
            <w:tcW w:w="8505" w:type="dxa"/>
            <w:vAlign w:val="center"/>
          </w:tcPr>
          <w:p w14:paraId="173A7315" w14:textId="5BC940FF" w:rsidR="003E09B3" w:rsidRPr="001455DC" w:rsidRDefault="00231E33" w:rsidP="00214838">
            <w:pPr>
              <w:pStyle w:val="Formula"/>
              <w:jc w:val="left"/>
            </w:pPr>
            <m:oMathPara>
              <m:oMathParaPr>
                <m:jc m:val="left"/>
              </m:oMathParaPr>
              <m:oMath>
                <m:sSub>
                  <m:sSubPr>
                    <m:ctrlPr>
                      <w:rPr>
                        <w:rFonts w:ascii="Cambria Math" w:hAnsi="Cambria Math"/>
                      </w:rPr>
                    </m:ctrlPr>
                  </m:sSubPr>
                  <m:e>
                    <m:r>
                      <w:rPr>
                        <w:rFonts w:ascii="Cambria Math" w:hAnsi="Cambria Math"/>
                      </w:rPr>
                      <m:t>λ</m:t>
                    </m:r>
                  </m:e>
                  <m:sub>
                    <m:r>
                      <m:rPr>
                        <m:sty m:val="p"/>
                      </m:rPr>
                      <w:rPr>
                        <w:rFonts w:ascii="Cambria Math" w:hAnsi="Cambria Math"/>
                      </w:rPr>
                      <m:t>c,2,3</m:t>
                    </m:r>
                  </m:sub>
                </m:sSub>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8</m:t>
                    </m:r>
                  </m:den>
                </m:f>
                <m:r>
                  <m:rPr>
                    <m:sty m:val="p"/>
                  </m:rPr>
                  <w:rPr>
                    <w:rFonts w:ascii="Cambria Math" w:hAnsi="Cambria Math"/>
                  </w:rPr>
                  <m:t>lg</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Vol</m:t>
                        </m:r>
                      </m:num>
                      <m:den>
                        <m:r>
                          <w:rPr>
                            <w:rFonts w:ascii="Cambria Math" w:hAnsi="Cambria Math"/>
                          </w:rPr>
                          <m:t>25⋅</m:t>
                        </m:r>
                        <m:sSup>
                          <m:sSupPr>
                            <m:ctrlPr>
                              <w:rPr>
                                <w:rFonts w:ascii="Cambria Math" w:hAnsi="Cambria Math"/>
                              </w:rPr>
                            </m:ctrlPr>
                          </m:sSupPr>
                          <m:e>
                            <m:r>
                              <w:rPr>
                                <w:rFonts w:ascii="Cambria Math" w:hAnsi="Cambria Math"/>
                              </w:rPr>
                              <m:t>10</m:t>
                            </m:r>
                          </m:e>
                          <m:sup>
                            <m:r>
                              <w:rPr>
                                <w:rFonts w:ascii="Cambria Math" w:hAnsi="Cambria Math"/>
                              </w:rPr>
                              <m:t>6</m:t>
                            </m:r>
                          </m:sup>
                        </m:sSup>
                      </m:den>
                    </m:f>
                  </m:e>
                </m:d>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8</m:t>
                    </m:r>
                  </m:den>
                </m:f>
                <m:r>
                  <m:rPr>
                    <m:sty m:val="p"/>
                  </m:rPr>
                  <w:rPr>
                    <w:rFonts w:ascii="Cambria Math" w:hAnsi="Cambria Math"/>
                  </w:rPr>
                  <m:t>lg</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years</m:t>
                            </m:r>
                          </m:sub>
                        </m:sSub>
                      </m:num>
                      <m:den>
                        <m:r>
                          <w:rPr>
                            <w:rFonts w:ascii="Cambria Math" w:hAnsi="Cambria Math"/>
                          </w:rPr>
                          <m:t>100</m:t>
                        </m:r>
                      </m:den>
                    </m:f>
                  </m:e>
                </m:d>
              </m:oMath>
            </m:oMathPara>
          </w:p>
        </w:tc>
        <w:tc>
          <w:tcPr>
            <w:tcW w:w="1247" w:type="dxa"/>
            <w:vAlign w:val="center"/>
          </w:tcPr>
          <w:p w14:paraId="385DA0C8" w14:textId="1C66E221" w:rsidR="003E09B3" w:rsidRPr="001455DC" w:rsidRDefault="003E09B3" w:rsidP="00214838">
            <w:pPr>
              <w:pStyle w:val="a7"/>
              <w:jc w:val="right"/>
            </w:pPr>
            <w:r w:rsidRPr="001455DC">
              <w:t>(K.14)</w:t>
            </w:r>
          </w:p>
        </w:tc>
      </w:tr>
    </w:tbl>
    <w:p w14:paraId="425A3E94" w14:textId="4CA8B144" w:rsidR="004E22C1" w:rsidRPr="001455DC" w:rsidRDefault="004E22C1" w:rsidP="00A35599">
      <w:pPr>
        <w:pStyle w:val="a7"/>
        <w:keepNext/>
      </w:pPr>
      <w:r w:rsidRPr="001455DC">
        <w:t>where</w:t>
      </w:r>
    </w:p>
    <w:tbl>
      <w:tblPr>
        <w:tblW w:w="9413" w:type="dxa"/>
        <w:tblInd w:w="397" w:type="dxa"/>
        <w:tblLayout w:type="fixed"/>
        <w:tblCellMar>
          <w:left w:w="28" w:type="dxa"/>
          <w:right w:w="28" w:type="dxa"/>
        </w:tblCellMar>
        <w:tblLook w:val="04A0" w:firstRow="1" w:lastRow="0" w:firstColumn="1" w:lastColumn="0" w:noHBand="0" w:noVBand="1"/>
      </w:tblPr>
      <w:tblGrid>
        <w:gridCol w:w="851"/>
        <w:gridCol w:w="8562"/>
      </w:tblGrid>
      <w:tr w:rsidR="003E09B3" w:rsidRPr="001455DC" w14:paraId="2798DFA3" w14:textId="77777777" w:rsidTr="00214838">
        <w:trPr>
          <w:cantSplit/>
        </w:trPr>
        <w:tc>
          <w:tcPr>
            <w:tcW w:w="851" w:type="dxa"/>
          </w:tcPr>
          <w:p w14:paraId="0A905103" w14:textId="35E3A29B" w:rsidR="003E09B3" w:rsidRPr="001455DC" w:rsidRDefault="003E09B3" w:rsidP="00214838">
            <w:pPr>
              <w:pStyle w:val="Tablebody"/>
            </w:pPr>
            <w:r w:rsidRPr="001455DC">
              <w:rPr>
                <w:lang w:eastAsia="ja-JP"/>
              </w:rPr>
              <w:t>Vol</w:t>
            </w:r>
          </w:p>
        </w:tc>
        <w:tc>
          <w:tcPr>
            <w:tcW w:w="8562" w:type="dxa"/>
          </w:tcPr>
          <w:p w14:paraId="5D808C72" w14:textId="61E1375F" w:rsidR="003E09B3" w:rsidRPr="001455DC" w:rsidRDefault="003E09B3" w:rsidP="00214838">
            <w:pPr>
              <w:pStyle w:val="Tablebody"/>
            </w:pPr>
            <w:r w:rsidRPr="001455DC">
              <w:rPr>
                <w:lang w:eastAsia="ja-JP"/>
              </w:rPr>
              <w:t>is the volume of traffic (tonnes/years/track);</w:t>
            </w:r>
          </w:p>
        </w:tc>
      </w:tr>
      <w:tr w:rsidR="003E09B3" w:rsidRPr="001455DC" w14:paraId="0A59A3D3" w14:textId="77777777" w:rsidTr="00214838">
        <w:trPr>
          <w:cantSplit/>
        </w:trPr>
        <w:tc>
          <w:tcPr>
            <w:tcW w:w="851" w:type="dxa"/>
          </w:tcPr>
          <w:p w14:paraId="4EE8F2BB" w14:textId="5CB5CA9D" w:rsidR="003E09B3" w:rsidRPr="001455DC" w:rsidRDefault="003E09B3" w:rsidP="00214838">
            <w:pPr>
              <w:pStyle w:val="Tablebody"/>
            </w:pPr>
            <w:r w:rsidRPr="001455DC">
              <w:rPr>
                <w:rStyle w:val="CCMCvariableitalic"/>
              </w:rPr>
              <w:t>N</w:t>
            </w:r>
            <w:r w:rsidRPr="001455DC">
              <w:rPr>
                <w:rStyle w:val="CCMCvariablesubscript"/>
              </w:rPr>
              <w:t>years</w:t>
            </w:r>
          </w:p>
        </w:tc>
        <w:tc>
          <w:tcPr>
            <w:tcW w:w="8562" w:type="dxa"/>
          </w:tcPr>
          <w:p w14:paraId="59B4DB9B" w14:textId="13C2DE15" w:rsidR="003E09B3" w:rsidRPr="001455DC" w:rsidRDefault="003E09B3" w:rsidP="00214838">
            <w:pPr>
              <w:pStyle w:val="Tablebody"/>
            </w:pPr>
            <w:r w:rsidRPr="001455DC">
              <w:rPr>
                <w:lang w:eastAsia="ja-JP"/>
              </w:rPr>
              <w:t>is the design service life of the bridge.</w:t>
            </w:r>
          </w:p>
        </w:tc>
      </w:tr>
    </w:tbl>
    <w:p w14:paraId="3722C6EF" w14:textId="00BA4DE1" w:rsidR="003E09B3" w:rsidRPr="001455DC" w:rsidRDefault="004E22C1" w:rsidP="00DE6BBC">
      <w:pPr>
        <w:pStyle w:val="a7"/>
        <w:keepNext/>
      </w:pPr>
      <w:r w:rsidRPr="001455DC">
        <w:rPr>
          <w:szCs w:val="19"/>
          <w:lang w:eastAsia="ja-JP"/>
        </w:rPr>
        <w:t>(6)</w:t>
      </w:r>
      <w:r w:rsidRPr="001455DC">
        <w:rPr>
          <w:szCs w:val="19"/>
          <w:lang w:eastAsia="ja-JP"/>
        </w:rPr>
        <w:tab/>
      </w:r>
      <w:r w:rsidRPr="001455DC">
        <w:rPr>
          <w:rStyle w:val="CCMCvariableitalic"/>
        </w:rPr>
        <w:t>λ</w:t>
      </w:r>
      <w:r w:rsidRPr="001455DC">
        <w:rPr>
          <w:rStyle w:val="CCMCvariablesubscript"/>
        </w:rPr>
        <w:t>c,4</w:t>
      </w:r>
      <w:r w:rsidRPr="001455DC">
        <w:rPr>
          <w:lang w:eastAsia="ja-JP"/>
        </w:rPr>
        <w:t xml:space="preserve"> reflects the effect of loading from more than one track. For structures carrying multiple tracks, the fatigue loading should be applied to a maximum of two tracks in the most unfavourable positions (see </w:t>
      </w:r>
      <w:r w:rsidR="00B0410C">
        <w:rPr>
          <w:lang w:eastAsia="ja-JP"/>
        </w:rPr>
        <w:t>pr</w:t>
      </w:r>
      <w:r w:rsidRPr="001455DC">
        <w:rPr>
          <w:lang w:eastAsia="ja-JP"/>
        </w:rPr>
        <w:t>EN 1991</w:t>
      </w:r>
      <w:r w:rsidRPr="001455DC">
        <w:rPr>
          <w:lang w:eastAsia="ja-JP"/>
        </w:rPr>
        <w:noBreakHyphen/>
        <w:t xml:space="preserve">2). The effect of loading from two tracks may be calculated from </w:t>
      </w:r>
      <w:r w:rsidRPr="001455DC">
        <w:t>Formula (</w:t>
      </w:r>
      <w:r w:rsidRPr="001455DC">
        <w:rPr>
          <w:lang w:eastAsia="ja-JP"/>
        </w:rPr>
        <w:t>K.15):</w:t>
      </w:r>
    </w:p>
    <w:tbl>
      <w:tblPr>
        <w:tblStyle w:val="ad"/>
        <w:tblW w:w="9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119"/>
        <w:gridCol w:w="5387"/>
        <w:gridCol w:w="1247"/>
      </w:tblGrid>
      <w:tr w:rsidR="003E09B3" w:rsidRPr="001455DC" w14:paraId="06EAF47F" w14:textId="77777777" w:rsidTr="003E09B3">
        <w:trPr>
          <w:cantSplit/>
        </w:trPr>
        <w:tc>
          <w:tcPr>
            <w:tcW w:w="3119" w:type="dxa"/>
            <w:vAlign w:val="center"/>
          </w:tcPr>
          <w:p w14:paraId="5F690194" w14:textId="3310F165" w:rsidR="003E09B3" w:rsidRPr="001455DC" w:rsidRDefault="003E09B3" w:rsidP="00214838">
            <w:pPr>
              <w:pStyle w:val="Formula"/>
              <w:jc w:val="left"/>
            </w:pPr>
            <w:r w:rsidRPr="001455DC">
              <w:rPr>
                <w:rStyle w:val="CCMCvariableitalic"/>
              </w:rPr>
              <w:t>λ</w:t>
            </w:r>
            <w:r w:rsidRPr="001455DC">
              <w:rPr>
                <w:rStyle w:val="CCMCvariablesubscript"/>
              </w:rPr>
              <w:t>c,4</w:t>
            </w:r>
            <w:r w:rsidRPr="001455DC">
              <w:t> </w:t>
            </w:r>
            <w:r w:rsidR="00EC27D2" w:rsidRPr="001455DC">
              <w:rPr>
                <w:rFonts w:ascii="Cambria Math" w:hAnsi="Cambria Math"/>
              </w:rPr>
              <w:t>=</w:t>
            </w:r>
            <w:r w:rsidRPr="001455DC">
              <w:t> </w:t>
            </w:r>
            <w:r w:rsidRPr="001455DC">
              <w:rPr>
                <w:lang w:eastAsia="ja-JP"/>
              </w:rPr>
              <w:t>1</w:t>
            </w:r>
            <w:r w:rsidR="00EC27D2" w:rsidRPr="001455DC">
              <w:rPr>
                <w:rFonts w:ascii="Cambria Math" w:hAnsi="Cambria Math"/>
                <w:lang w:eastAsia="ja-JP"/>
              </w:rPr>
              <w:t> + </w:t>
            </w:r>
            <w:r w:rsidRPr="001455DC">
              <w:rPr>
                <w:lang w:eastAsia="ja-JP"/>
              </w:rPr>
              <w:t xml:space="preserve">(1/8) lg </w:t>
            </w:r>
            <w:r w:rsidRPr="001455DC">
              <w:rPr>
                <w:rStyle w:val="CCMCvariableitalic"/>
              </w:rPr>
              <w:t>n</w:t>
            </w:r>
            <w:r w:rsidRPr="001455DC">
              <w:rPr>
                <w:rStyle w:val="CCMCvariablesubscript"/>
              </w:rPr>
              <w:t>st</w:t>
            </w:r>
            <w:r w:rsidRPr="001455DC">
              <w:rPr>
                <w:lang w:eastAsia="ja-JP"/>
              </w:rPr>
              <w:t> </w:t>
            </w:r>
            <w:r w:rsidR="00650035" w:rsidRPr="001455DC">
              <w:rPr>
                <w:rFonts w:ascii="Cambria Math" w:hAnsi="Cambria Math"/>
                <w:lang w:eastAsia="ja-JP"/>
              </w:rPr>
              <w:t>≥</w:t>
            </w:r>
            <w:r w:rsidRPr="001455DC">
              <w:rPr>
                <w:lang w:eastAsia="ja-JP"/>
              </w:rPr>
              <w:t> 0,54</w:t>
            </w:r>
          </w:p>
        </w:tc>
        <w:tc>
          <w:tcPr>
            <w:tcW w:w="5387" w:type="dxa"/>
            <w:vAlign w:val="center"/>
          </w:tcPr>
          <w:p w14:paraId="4C3699F0" w14:textId="3829EAB8" w:rsidR="003E09B3" w:rsidRPr="001455DC" w:rsidRDefault="003E09B3" w:rsidP="00214838">
            <w:pPr>
              <w:pStyle w:val="Formula"/>
              <w:jc w:val="left"/>
            </w:pPr>
            <w:r w:rsidRPr="001455DC">
              <w:rPr>
                <w:lang w:eastAsia="ja-JP"/>
              </w:rPr>
              <w:t xml:space="preserve">for </w:t>
            </w:r>
            <w:r w:rsidRPr="001455DC">
              <w:rPr>
                <w:rStyle w:val="CCMCvariableitalic"/>
              </w:rPr>
              <w:t>a</w:t>
            </w:r>
            <w:r w:rsidRPr="001455DC">
              <w:rPr>
                <w:lang w:eastAsia="ja-JP"/>
              </w:rPr>
              <w:t> </w:t>
            </w:r>
            <w:r w:rsidR="00650035" w:rsidRPr="001455DC">
              <w:rPr>
                <w:rFonts w:ascii="Cambria Math" w:hAnsi="Cambria Math"/>
                <w:lang w:eastAsia="ja-JP"/>
              </w:rPr>
              <w:t>≤</w:t>
            </w:r>
            <w:r w:rsidRPr="001455DC">
              <w:rPr>
                <w:lang w:eastAsia="ja-JP"/>
              </w:rPr>
              <w:t> 0,8</w:t>
            </w:r>
          </w:p>
        </w:tc>
        <w:tc>
          <w:tcPr>
            <w:tcW w:w="1247" w:type="dxa"/>
            <w:vAlign w:val="center"/>
          </w:tcPr>
          <w:p w14:paraId="65BC613B" w14:textId="557ABA6F" w:rsidR="003E09B3" w:rsidRPr="001455DC" w:rsidRDefault="003E09B3" w:rsidP="00214838">
            <w:pPr>
              <w:pStyle w:val="a7"/>
              <w:jc w:val="right"/>
            </w:pPr>
            <w:r w:rsidRPr="001455DC">
              <w:rPr>
                <w:lang w:eastAsia="ja-JP"/>
              </w:rPr>
              <w:t>(K.15a)</w:t>
            </w:r>
          </w:p>
        </w:tc>
      </w:tr>
      <w:tr w:rsidR="003E09B3" w:rsidRPr="001455DC" w14:paraId="189D0AFC" w14:textId="77777777" w:rsidTr="003E09B3">
        <w:trPr>
          <w:cantSplit/>
        </w:trPr>
        <w:tc>
          <w:tcPr>
            <w:tcW w:w="3119" w:type="dxa"/>
            <w:vAlign w:val="center"/>
          </w:tcPr>
          <w:p w14:paraId="419162AD" w14:textId="0EF4DDCA" w:rsidR="003E09B3" w:rsidRPr="001455DC" w:rsidRDefault="003E09B3" w:rsidP="00214838">
            <w:pPr>
              <w:pStyle w:val="Formula"/>
              <w:jc w:val="left"/>
            </w:pPr>
            <w:r w:rsidRPr="001455DC">
              <w:rPr>
                <w:rStyle w:val="CCMCvariableitalic"/>
              </w:rPr>
              <w:t>λ</w:t>
            </w:r>
            <w:r w:rsidRPr="001455DC">
              <w:rPr>
                <w:rStyle w:val="CCMCvariablesubscript"/>
              </w:rPr>
              <w:t>c,4</w:t>
            </w:r>
            <w:r w:rsidRPr="001455DC">
              <w:t> </w:t>
            </w:r>
            <w:r w:rsidR="00EC27D2" w:rsidRPr="001455DC">
              <w:rPr>
                <w:rFonts w:ascii="Cambria Math" w:hAnsi="Cambria Math"/>
              </w:rPr>
              <w:t>=</w:t>
            </w:r>
            <w:r w:rsidRPr="001455DC">
              <w:t> </w:t>
            </w:r>
            <w:r w:rsidRPr="001455DC">
              <w:rPr>
                <w:lang w:eastAsia="ja-JP"/>
              </w:rPr>
              <w:t>1</w:t>
            </w:r>
          </w:p>
        </w:tc>
        <w:tc>
          <w:tcPr>
            <w:tcW w:w="5387" w:type="dxa"/>
            <w:vAlign w:val="center"/>
          </w:tcPr>
          <w:p w14:paraId="69C1B176" w14:textId="136FA2FF" w:rsidR="003E09B3" w:rsidRPr="001455DC" w:rsidRDefault="003E09B3" w:rsidP="00214838">
            <w:pPr>
              <w:pStyle w:val="Formula"/>
              <w:jc w:val="left"/>
            </w:pPr>
            <w:r w:rsidRPr="001455DC">
              <w:rPr>
                <w:lang w:eastAsia="ja-JP"/>
              </w:rPr>
              <w:t xml:space="preserve">for </w:t>
            </w:r>
            <w:r w:rsidRPr="001455DC">
              <w:rPr>
                <w:rStyle w:val="CCMCvariableitalic"/>
              </w:rPr>
              <w:t>a</w:t>
            </w:r>
            <w:r w:rsidRPr="001455DC">
              <w:rPr>
                <w:lang w:eastAsia="ja-JP"/>
              </w:rPr>
              <w:t> </w:t>
            </w:r>
            <w:r w:rsidR="00650035" w:rsidRPr="001455DC">
              <w:rPr>
                <w:rFonts w:ascii="Cambria Math" w:hAnsi="Cambria Math"/>
                <w:lang w:eastAsia="ja-JP"/>
              </w:rPr>
              <w:t>&gt;</w:t>
            </w:r>
            <w:r w:rsidRPr="001455DC">
              <w:rPr>
                <w:lang w:eastAsia="ja-JP"/>
              </w:rPr>
              <w:t> 0,8</w:t>
            </w:r>
          </w:p>
        </w:tc>
        <w:tc>
          <w:tcPr>
            <w:tcW w:w="1247" w:type="dxa"/>
            <w:vAlign w:val="center"/>
          </w:tcPr>
          <w:p w14:paraId="46C1EC8F" w14:textId="62A25CD6" w:rsidR="003E09B3" w:rsidRPr="001455DC" w:rsidRDefault="003E09B3" w:rsidP="00214838">
            <w:pPr>
              <w:pStyle w:val="a7"/>
              <w:jc w:val="right"/>
            </w:pPr>
            <w:r w:rsidRPr="001455DC">
              <w:rPr>
                <w:lang w:eastAsia="ja-JP"/>
              </w:rPr>
              <w:t>(K.15b)</w:t>
            </w:r>
          </w:p>
        </w:tc>
      </w:tr>
      <w:tr w:rsidR="003E09B3" w:rsidRPr="001455DC" w14:paraId="40D15006" w14:textId="77777777" w:rsidTr="003E09B3">
        <w:trPr>
          <w:cantSplit/>
        </w:trPr>
        <w:tc>
          <w:tcPr>
            <w:tcW w:w="8505" w:type="dxa"/>
            <w:gridSpan w:val="2"/>
            <w:vAlign w:val="center"/>
          </w:tcPr>
          <w:p w14:paraId="71907A5B" w14:textId="28BA909C" w:rsidR="003E09B3" w:rsidRPr="001455DC" w:rsidRDefault="003E09B3" w:rsidP="00214838">
            <w:pPr>
              <w:pStyle w:val="Formula"/>
              <w:jc w:val="left"/>
            </w:pPr>
            <m:oMathPara>
              <m:oMathParaPr>
                <m:jc m:val="left"/>
              </m:oMathParaPr>
              <m:oMath>
                <m:r>
                  <m:rPr>
                    <m:nor/>
                  </m:rPr>
                  <w:rPr>
                    <w:rFonts w:ascii="Cambria Math" w:hAnsi="Cambria Math"/>
                  </w:rPr>
                  <m:t>with</m:t>
                </m:r>
                <m:r>
                  <w:rPr>
                    <w:rFonts w:ascii="Cambria Math" w:hAnsi="Cambria Math"/>
                  </w:rPr>
                  <m:t xml:space="preserve"> a=</m:t>
                </m:r>
                <m:f>
                  <m:fPr>
                    <m:ctrlPr>
                      <w:rPr>
                        <w:rFonts w:ascii="Cambria Math" w:hAnsi="Cambria Math"/>
                      </w:rPr>
                    </m:ctrlPr>
                  </m:fPr>
                  <m:num>
                    <m:r>
                      <m:rPr>
                        <m:sty m:val="p"/>
                      </m:rPr>
                      <w:rPr>
                        <w:rFonts w:ascii="Cambria Math" w:hAnsi="Cambria Math"/>
                      </w:rPr>
                      <m:t>max</m:t>
                    </m:r>
                    <m:d>
                      <m:dPr>
                        <m:begChr m:val="{"/>
                        <m:sepChr m:val=""/>
                        <m:endChr m:val="}"/>
                        <m:ctrlPr>
                          <w:rPr>
                            <w:rFonts w:ascii="Cambria Math" w:hAnsi="Cambria Math"/>
                          </w:rPr>
                        </m:ctrlPr>
                      </m:dPr>
                      <m:e>
                        <m:r>
                          <w:rPr>
                            <w:rFonts w:ascii="Cambria Math" w:hAnsi="Cambria Math"/>
                          </w:rPr>
                          <m:t>|</m:t>
                        </m:r>
                      </m:e>
                      <m:e>
                        <m:sSub>
                          <m:sSubPr>
                            <m:ctrlPr>
                              <w:rPr>
                                <w:rFonts w:ascii="Cambria Math" w:hAnsi="Cambria Math"/>
                              </w:rPr>
                            </m:ctrlPr>
                          </m:sSubPr>
                          <m:e>
                            <m:r>
                              <w:rPr>
                                <w:rFonts w:ascii="Cambria Math" w:hAnsi="Cambria Math"/>
                              </w:rPr>
                              <m:t>σ</m:t>
                            </m:r>
                          </m:e>
                          <m:sub>
                            <m:r>
                              <m:rPr>
                                <m:sty m:val="p"/>
                              </m:rPr>
                              <w:rPr>
                                <w:rFonts w:ascii="Cambria Math" w:hAnsi="Cambria Math"/>
                              </w:rPr>
                              <m:t>c1</m:t>
                            </m:r>
                          </m:sub>
                        </m:sSub>
                      </m:e>
                      <m:e>
                        <m:r>
                          <w:rPr>
                            <w:rFonts w:ascii="Cambria Math" w:hAnsi="Cambria Math"/>
                          </w:rPr>
                          <m:t>|</m:t>
                        </m:r>
                      </m:e>
                      <m:e>
                        <m:r>
                          <w:rPr>
                            <w:rFonts w:ascii="Cambria Math" w:hAnsi="Cambria Math"/>
                          </w:rPr>
                          <m:t>;</m:t>
                        </m:r>
                      </m:e>
                      <m:e>
                        <m:r>
                          <w:rPr>
                            <w:rFonts w:ascii="Cambria Math" w:hAnsi="Cambria Math"/>
                          </w:rPr>
                          <m:t>|</m:t>
                        </m:r>
                      </m:e>
                      <m:e>
                        <m:sSub>
                          <m:sSubPr>
                            <m:ctrlPr>
                              <w:rPr>
                                <w:rFonts w:ascii="Cambria Math" w:hAnsi="Cambria Math"/>
                              </w:rPr>
                            </m:ctrlPr>
                          </m:sSubPr>
                          <m:e>
                            <m:r>
                              <w:rPr>
                                <w:rFonts w:ascii="Cambria Math" w:hAnsi="Cambria Math"/>
                              </w:rPr>
                              <m:t>σ</m:t>
                            </m:r>
                          </m:e>
                          <m:sub>
                            <m:r>
                              <m:rPr>
                                <m:sty m:val="p"/>
                              </m:rPr>
                              <w:rPr>
                                <w:rFonts w:ascii="Cambria Math" w:hAnsi="Cambria Math"/>
                              </w:rPr>
                              <m:t>c2</m:t>
                            </m:r>
                          </m:sub>
                        </m:sSub>
                      </m:e>
                      <m:e>
                        <m:r>
                          <w:rPr>
                            <w:rFonts w:ascii="Cambria Math" w:hAnsi="Cambria Math"/>
                          </w:rPr>
                          <m:t>|</m:t>
                        </m:r>
                      </m:e>
                    </m:d>
                  </m:num>
                  <m:den>
                    <m:r>
                      <w:rPr>
                        <w:rFonts w:ascii="Cambria Math" w:hAnsi="Cambria Math"/>
                      </w:rPr>
                      <m:t>|</m:t>
                    </m:r>
                    <m:sSub>
                      <m:sSubPr>
                        <m:ctrlPr>
                          <w:rPr>
                            <w:rFonts w:ascii="Cambria Math" w:hAnsi="Cambria Math"/>
                          </w:rPr>
                        </m:ctrlPr>
                      </m:sSubPr>
                      <m:e>
                        <m:r>
                          <w:rPr>
                            <w:rFonts w:ascii="Cambria Math" w:hAnsi="Cambria Math"/>
                          </w:rPr>
                          <m:t>σ</m:t>
                        </m:r>
                      </m:e>
                      <m:sub>
                        <m:r>
                          <m:rPr>
                            <m:sty m:val="p"/>
                          </m:rPr>
                          <w:rPr>
                            <w:rFonts w:ascii="Cambria Math" w:hAnsi="Cambria Math"/>
                          </w:rPr>
                          <m:t>c</m:t>
                        </m:r>
                        <m:r>
                          <w:rPr>
                            <w:rFonts w:ascii="Cambria Math" w:hAnsi="Cambria Math"/>
                          </w:rPr>
                          <m:t>1+2</m:t>
                        </m:r>
                      </m:sub>
                    </m:sSub>
                    <m:r>
                      <w:rPr>
                        <w:rFonts w:ascii="Cambria Math" w:hAnsi="Cambria Math"/>
                      </w:rPr>
                      <m:t>|</m:t>
                    </m:r>
                  </m:den>
                </m:f>
              </m:oMath>
            </m:oMathPara>
          </w:p>
        </w:tc>
        <w:tc>
          <w:tcPr>
            <w:tcW w:w="1247" w:type="dxa"/>
            <w:vAlign w:val="center"/>
          </w:tcPr>
          <w:p w14:paraId="4EB2EA3F" w14:textId="2051AFF1" w:rsidR="003E09B3" w:rsidRPr="001455DC" w:rsidRDefault="003E09B3" w:rsidP="00214838">
            <w:pPr>
              <w:pStyle w:val="a7"/>
              <w:jc w:val="right"/>
            </w:pPr>
            <w:r w:rsidRPr="001455DC">
              <w:t>(K.16)</w:t>
            </w:r>
          </w:p>
        </w:tc>
      </w:tr>
    </w:tbl>
    <w:p w14:paraId="10484D58" w14:textId="5DC9BC97" w:rsidR="004E22C1" w:rsidRPr="001455DC" w:rsidRDefault="004E22C1" w:rsidP="00A35599">
      <w:pPr>
        <w:pStyle w:val="a7"/>
        <w:keepNext/>
      </w:pPr>
      <w:r w:rsidRPr="001455DC">
        <w:t>where</w:t>
      </w:r>
    </w:p>
    <w:tbl>
      <w:tblPr>
        <w:tblW w:w="9413" w:type="dxa"/>
        <w:tblInd w:w="397" w:type="dxa"/>
        <w:tblLayout w:type="fixed"/>
        <w:tblCellMar>
          <w:left w:w="28" w:type="dxa"/>
          <w:right w:w="28" w:type="dxa"/>
        </w:tblCellMar>
        <w:tblLook w:val="04A0" w:firstRow="1" w:lastRow="0" w:firstColumn="1" w:lastColumn="0" w:noHBand="0" w:noVBand="1"/>
      </w:tblPr>
      <w:tblGrid>
        <w:gridCol w:w="851"/>
        <w:gridCol w:w="8562"/>
      </w:tblGrid>
      <w:tr w:rsidR="003E09B3" w:rsidRPr="001455DC" w14:paraId="2821B613" w14:textId="77777777" w:rsidTr="00214838">
        <w:trPr>
          <w:cantSplit/>
        </w:trPr>
        <w:tc>
          <w:tcPr>
            <w:tcW w:w="851" w:type="dxa"/>
          </w:tcPr>
          <w:p w14:paraId="439384D9" w14:textId="22153881" w:rsidR="003E09B3" w:rsidRPr="001455DC" w:rsidRDefault="003E09B3" w:rsidP="00214838">
            <w:pPr>
              <w:pStyle w:val="Tablebody"/>
            </w:pPr>
            <w:r w:rsidRPr="001455DC">
              <w:rPr>
                <w:rStyle w:val="CCMCvariableitalic"/>
              </w:rPr>
              <w:t>n</w:t>
            </w:r>
            <w:r w:rsidRPr="001455DC">
              <w:rPr>
                <w:rStyle w:val="CCMCvariablesubscript"/>
              </w:rPr>
              <w:t>st</w:t>
            </w:r>
          </w:p>
        </w:tc>
        <w:tc>
          <w:tcPr>
            <w:tcW w:w="8562" w:type="dxa"/>
          </w:tcPr>
          <w:p w14:paraId="0D5C4723" w14:textId="431E456E" w:rsidR="003E09B3" w:rsidRPr="001455DC" w:rsidRDefault="003E09B3" w:rsidP="00214838">
            <w:pPr>
              <w:pStyle w:val="Tablebody"/>
            </w:pPr>
            <w:r w:rsidRPr="001455DC">
              <w:rPr>
                <w:lang w:eastAsia="ja-JP"/>
              </w:rPr>
              <w:t xml:space="preserve">is the proportion of traffic crossing the bridge simultaneously (recommended value </w:t>
            </w:r>
            <w:r w:rsidRPr="001455DC">
              <w:rPr>
                <w:rStyle w:val="CCMCvariableitalic"/>
              </w:rPr>
              <w:t>n</w:t>
            </w:r>
            <w:r w:rsidRPr="001455DC">
              <w:t> </w:t>
            </w:r>
            <w:r w:rsidR="00EC27D2" w:rsidRPr="001455DC">
              <w:rPr>
                <w:rFonts w:ascii="Cambria Math" w:hAnsi="Cambria Math"/>
              </w:rPr>
              <w:t>=</w:t>
            </w:r>
            <w:r w:rsidRPr="001455DC">
              <w:t> </w:t>
            </w:r>
            <w:r w:rsidRPr="001455DC">
              <w:rPr>
                <w:lang w:eastAsia="ja-JP"/>
              </w:rPr>
              <w:t>0,12);</w:t>
            </w:r>
          </w:p>
        </w:tc>
      </w:tr>
      <w:tr w:rsidR="003E09B3" w:rsidRPr="001455DC" w14:paraId="1FB58F77" w14:textId="77777777" w:rsidTr="00214838">
        <w:trPr>
          <w:cantSplit/>
        </w:trPr>
        <w:tc>
          <w:tcPr>
            <w:tcW w:w="851" w:type="dxa"/>
          </w:tcPr>
          <w:p w14:paraId="6C946269" w14:textId="5AF2A066" w:rsidR="003E09B3" w:rsidRPr="001455DC" w:rsidRDefault="003E09B3" w:rsidP="00214838">
            <w:pPr>
              <w:pStyle w:val="Tablebody"/>
            </w:pPr>
            <w:r w:rsidRPr="001455DC">
              <w:rPr>
                <w:rStyle w:val="CCMCvariableitalic"/>
              </w:rPr>
              <w:t>σ</w:t>
            </w:r>
            <w:r w:rsidRPr="001455DC">
              <w:rPr>
                <w:rStyle w:val="CCMCvariablesubscript"/>
              </w:rPr>
              <w:t>c1</w:t>
            </w:r>
            <w:r w:rsidRPr="001455DC">
              <w:rPr>
                <w:lang w:eastAsia="ja-JP"/>
              </w:rPr>
              <w:t xml:space="preserve">, </w:t>
            </w:r>
            <w:r w:rsidRPr="001455DC">
              <w:rPr>
                <w:rStyle w:val="CCMCvariableitalic"/>
              </w:rPr>
              <w:t>σ</w:t>
            </w:r>
            <w:r w:rsidRPr="001455DC">
              <w:rPr>
                <w:rStyle w:val="CCMCvariablesubscript"/>
              </w:rPr>
              <w:t>c2</w:t>
            </w:r>
          </w:p>
        </w:tc>
        <w:tc>
          <w:tcPr>
            <w:tcW w:w="8562" w:type="dxa"/>
          </w:tcPr>
          <w:p w14:paraId="13903E5F" w14:textId="716047B7" w:rsidR="003E09B3" w:rsidRPr="001455DC" w:rsidRDefault="003E09B3" w:rsidP="00214838">
            <w:pPr>
              <w:pStyle w:val="Tablebody"/>
            </w:pPr>
            <w:r w:rsidRPr="001455DC">
              <w:rPr>
                <w:lang w:eastAsia="ja-JP"/>
              </w:rPr>
              <w:t xml:space="preserve">is the compressive stress caused by load model 71 on one track, including the dynamic factor for load model 71 according to </w:t>
            </w:r>
            <w:r w:rsidR="00B0410C">
              <w:rPr>
                <w:lang w:eastAsia="ja-JP"/>
              </w:rPr>
              <w:t>pr</w:t>
            </w:r>
            <w:r w:rsidRPr="001455DC">
              <w:rPr>
                <w:lang w:eastAsia="ja-JP"/>
              </w:rPr>
              <w:t>EN 1991</w:t>
            </w:r>
            <w:r w:rsidRPr="001455DC">
              <w:rPr>
                <w:lang w:eastAsia="ja-JP"/>
              </w:rPr>
              <w:noBreakHyphen/>
              <w:t>2;</w:t>
            </w:r>
          </w:p>
        </w:tc>
      </w:tr>
      <w:tr w:rsidR="003E09B3" w:rsidRPr="001455DC" w14:paraId="16585FD4" w14:textId="77777777" w:rsidTr="00214838">
        <w:trPr>
          <w:cantSplit/>
        </w:trPr>
        <w:tc>
          <w:tcPr>
            <w:tcW w:w="851" w:type="dxa"/>
          </w:tcPr>
          <w:p w14:paraId="75E62333" w14:textId="0213E1EF" w:rsidR="003E09B3" w:rsidRPr="001455DC" w:rsidRDefault="003E09B3" w:rsidP="00214838">
            <w:pPr>
              <w:pStyle w:val="Tablebody"/>
            </w:pPr>
            <w:r w:rsidRPr="001455DC">
              <w:rPr>
                <w:rStyle w:val="CCMCvariableitalic"/>
              </w:rPr>
              <w:t>σ</w:t>
            </w:r>
            <w:r w:rsidRPr="001455DC">
              <w:rPr>
                <w:rStyle w:val="CCMCvariablesubscript"/>
              </w:rPr>
              <w:t>c1</w:t>
            </w:r>
            <w:r w:rsidR="00650035" w:rsidRPr="001455DC">
              <w:rPr>
                <w:rStyle w:val="CCMCvariablesubscript"/>
                <w:rFonts w:ascii="Cambria Math" w:hAnsi="Cambria Math"/>
              </w:rPr>
              <w:t>+</w:t>
            </w:r>
            <w:r w:rsidRPr="001455DC">
              <w:rPr>
                <w:rStyle w:val="CCMCvariablesubscript"/>
              </w:rPr>
              <w:t>2</w:t>
            </w:r>
          </w:p>
        </w:tc>
        <w:tc>
          <w:tcPr>
            <w:tcW w:w="8562" w:type="dxa"/>
          </w:tcPr>
          <w:p w14:paraId="18E14D1F" w14:textId="0B5DE2BB" w:rsidR="003E09B3" w:rsidRPr="001455DC" w:rsidRDefault="003E09B3" w:rsidP="00214838">
            <w:pPr>
              <w:pStyle w:val="Tablebody"/>
            </w:pPr>
            <w:r w:rsidRPr="001455DC">
              <w:rPr>
                <w:lang w:eastAsia="ja-JP"/>
              </w:rPr>
              <w:t xml:space="preserve">is the compressive stress caused by load model 71 on two tracks, including the dynamic factor for load model 71 according to </w:t>
            </w:r>
            <w:r w:rsidR="00B0410C">
              <w:rPr>
                <w:lang w:eastAsia="ja-JP"/>
              </w:rPr>
              <w:t>pr</w:t>
            </w:r>
            <w:r w:rsidRPr="001455DC">
              <w:rPr>
                <w:lang w:eastAsia="ja-JP"/>
              </w:rPr>
              <w:t>EN 1991</w:t>
            </w:r>
            <w:r w:rsidRPr="001455DC">
              <w:rPr>
                <w:lang w:eastAsia="ja-JP"/>
              </w:rPr>
              <w:noBreakHyphen/>
              <w:t>2.</w:t>
            </w:r>
          </w:p>
        </w:tc>
      </w:tr>
    </w:tbl>
    <w:p w14:paraId="37F41DF0" w14:textId="77777777" w:rsidR="004E22C1" w:rsidRPr="001455DC" w:rsidRDefault="004E22C1" w:rsidP="003E09B3">
      <w:pPr>
        <w:pStyle w:val="a7"/>
      </w:pPr>
      <w:r w:rsidRPr="001455DC">
        <w:t>(7)</w:t>
      </w:r>
      <w:r w:rsidRPr="001455DC">
        <w:tab/>
        <w:t xml:space="preserve">No values of </w:t>
      </w:r>
      <w:r w:rsidRPr="001455DC">
        <w:rPr>
          <w:rStyle w:val="CCMCvariableitalic"/>
        </w:rPr>
        <w:t>λ</w:t>
      </w:r>
      <w:r w:rsidRPr="001455DC">
        <w:rPr>
          <w:rStyle w:val="CCMCvariablesubscript"/>
        </w:rPr>
        <w:t>c,1</w:t>
      </w:r>
      <w:r w:rsidRPr="001455DC">
        <w:t xml:space="preserve"> are given in Table K.3 for a light traffic mix. For bridges designed to carry a light traffic mix the values for </w:t>
      </w:r>
      <w:r w:rsidRPr="001455DC">
        <w:rPr>
          <w:rStyle w:val="CCMCvariableitalic"/>
        </w:rPr>
        <w:t>λ</w:t>
      </w:r>
      <w:r w:rsidRPr="001455DC">
        <w:rPr>
          <w:rStyle w:val="CCMCvariablesubscript"/>
        </w:rPr>
        <w:t>c,1</w:t>
      </w:r>
      <w:r w:rsidRPr="001455DC">
        <w:t xml:space="preserve"> to be used may be based either on the values given in Table K.3 for standard traffic mix or on values derived from detailed calculations.</w:t>
      </w:r>
    </w:p>
    <w:p w14:paraId="061FED81" w14:textId="77777777" w:rsidR="004E22C1" w:rsidRPr="001455DC" w:rsidRDefault="004E22C1" w:rsidP="0009382B">
      <w:pPr>
        <w:pStyle w:val="Tabletitle"/>
      </w:pPr>
      <w:bookmarkStart w:id="2169" w:name="_Toc54337788"/>
      <w:r w:rsidRPr="001455DC">
        <w:t xml:space="preserve">Table K.3 — </w:t>
      </w:r>
      <w:r w:rsidRPr="001455DC">
        <w:rPr>
          <w:rStyle w:val="CCMCvariableitalic"/>
        </w:rPr>
        <w:t>λ</w:t>
      </w:r>
      <w:r w:rsidRPr="001455DC">
        <w:rPr>
          <w:rStyle w:val="CCMCvariablesubscript"/>
        </w:rPr>
        <w:t>c,1</w:t>
      </w:r>
      <w:r w:rsidRPr="001455DC">
        <w:t xml:space="preserve"> values for simply supported and continuous members of railway bridges</w:t>
      </w:r>
      <w:bookmarkEnd w:id="2169"/>
    </w:p>
    <w:tbl>
      <w:tblPr>
        <w:tblStyle w:val="53"/>
        <w:tblW w:w="9752" w:type="dxa"/>
        <w:tblLayout w:type="fixed"/>
        <w:tblLook w:val="0660" w:firstRow="1" w:lastRow="1" w:firstColumn="0" w:lastColumn="0" w:noHBand="1" w:noVBand="1"/>
      </w:tblPr>
      <w:tblGrid>
        <w:gridCol w:w="1219"/>
        <w:gridCol w:w="1219"/>
        <w:gridCol w:w="1219"/>
        <w:gridCol w:w="1219"/>
        <w:gridCol w:w="1219"/>
        <w:gridCol w:w="1219"/>
        <w:gridCol w:w="1219"/>
        <w:gridCol w:w="1219"/>
      </w:tblGrid>
      <w:tr w:rsidR="004E22C1" w:rsidRPr="001455DC" w14:paraId="0C9AEE86" w14:textId="77777777" w:rsidTr="0009382B">
        <w:trPr>
          <w:cnfStyle w:val="100000000000" w:firstRow="1" w:lastRow="0" w:firstColumn="0" w:lastColumn="0" w:oddVBand="0" w:evenVBand="0" w:oddHBand="0" w:evenHBand="0" w:firstRowFirstColumn="0" w:firstRowLastColumn="0" w:lastRowFirstColumn="0" w:lastRowLastColumn="0"/>
          <w:cantSplit/>
        </w:trPr>
        <w:tc>
          <w:tcPr>
            <w:tcW w:w="4876" w:type="dxa"/>
            <w:gridSpan w:val="4"/>
            <w:tcBorders>
              <w:bottom w:val="single" w:sz="6" w:space="0" w:color="000000"/>
              <w:right w:val="single" w:sz="12" w:space="0" w:color="000000"/>
            </w:tcBorders>
          </w:tcPr>
          <w:p w14:paraId="11E71714" w14:textId="77777777" w:rsidR="004E22C1" w:rsidRPr="009D3012" w:rsidRDefault="004E22C1" w:rsidP="0009382B">
            <w:pPr>
              <w:pStyle w:val="Tablebody"/>
              <w:jc w:val="center"/>
              <w:rPr>
                <w:rStyle w:val="CCMCvariableitalic"/>
                <w:b/>
              </w:rPr>
            </w:pPr>
            <w:r w:rsidRPr="009D3012">
              <w:rPr>
                <w:b/>
              </w:rPr>
              <w:t>a) simply supported members</w:t>
            </w:r>
          </w:p>
        </w:tc>
        <w:tc>
          <w:tcPr>
            <w:tcW w:w="4876" w:type="dxa"/>
            <w:gridSpan w:val="4"/>
            <w:tcBorders>
              <w:left w:val="single" w:sz="12" w:space="0" w:color="000000"/>
              <w:bottom w:val="single" w:sz="6" w:space="0" w:color="000000"/>
            </w:tcBorders>
          </w:tcPr>
          <w:p w14:paraId="17254A2A" w14:textId="269EBD6E" w:rsidR="004E22C1" w:rsidRPr="009D3012" w:rsidRDefault="004E22C1" w:rsidP="0009382B">
            <w:pPr>
              <w:pStyle w:val="Tablebody"/>
              <w:jc w:val="center"/>
              <w:rPr>
                <w:rStyle w:val="CCMCvariableitalic"/>
                <w:b/>
                <w:lang w:val="en-US"/>
              </w:rPr>
            </w:pPr>
            <w:r w:rsidRPr="009D3012">
              <w:rPr>
                <w:b/>
                <w:lang w:val="en-US"/>
              </w:rPr>
              <w:t>b) continuous members</w:t>
            </w:r>
            <w:r w:rsidR="0009382B" w:rsidRPr="009D3012">
              <w:rPr>
                <w:b/>
                <w:lang w:val="en-US"/>
              </w:rPr>
              <w:t xml:space="preserve"> </w:t>
            </w:r>
            <w:r w:rsidRPr="009D3012">
              <w:rPr>
                <w:b/>
                <w:lang w:val="en-US"/>
              </w:rPr>
              <w:t>(interior span)</w:t>
            </w:r>
          </w:p>
        </w:tc>
      </w:tr>
      <w:tr w:rsidR="004E22C1" w:rsidRPr="001455DC" w14:paraId="28DD7F52" w14:textId="77777777" w:rsidTr="0009382B">
        <w:trPr>
          <w:cantSplit/>
        </w:trPr>
        <w:tc>
          <w:tcPr>
            <w:tcW w:w="1219" w:type="dxa"/>
            <w:tcBorders>
              <w:top w:val="single" w:sz="6" w:space="0" w:color="000000"/>
              <w:bottom w:val="single" w:sz="12" w:space="0" w:color="000000"/>
            </w:tcBorders>
            <w:vAlign w:val="center"/>
          </w:tcPr>
          <w:p w14:paraId="2EBD462D" w14:textId="77777777" w:rsidR="004E22C1" w:rsidRPr="009D3012" w:rsidRDefault="004E22C1" w:rsidP="0009382B">
            <w:pPr>
              <w:pStyle w:val="Tablebody"/>
              <w:jc w:val="center"/>
              <w:rPr>
                <w:lang w:val="en-US"/>
              </w:rPr>
            </w:pPr>
          </w:p>
        </w:tc>
        <w:tc>
          <w:tcPr>
            <w:tcW w:w="1219" w:type="dxa"/>
            <w:tcBorders>
              <w:top w:val="single" w:sz="6" w:space="0" w:color="000000"/>
              <w:bottom w:val="single" w:sz="12" w:space="0" w:color="000000"/>
            </w:tcBorders>
            <w:vAlign w:val="center"/>
            <w:hideMark/>
          </w:tcPr>
          <w:p w14:paraId="2E39E85E" w14:textId="77777777" w:rsidR="004E22C1" w:rsidRPr="001455DC" w:rsidRDefault="004E22C1" w:rsidP="0009382B">
            <w:pPr>
              <w:pStyle w:val="Tablebody"/>
              <w:jc w:val="center"/>
            </w:pPr>
            <w:r w:rsidRPr="001455DC">
              <w:rPr>
                <w:rStyle w:val="CCMCvariableitalic"/>
              </w:rPr>
              <w:t>L</w:t>
            </w:r>
            <w:r w:rsidRPr="001455DC">
              <w:t xml:space="preserve"> [m]</w:t>
            </w:r>
          </w:p>
        </w:tc>
        <w:tc>
          <w:tcPr>
            <w:tcW w:w="1219" w:type="dxa"/>
            <w:tcBorders>
              <w:top w:val="single" w:sz="6" w:space="0" w:color="000000"/>
              <w:bottom w:val="single" w:sz="12" w:space="0" w:color="000000"/>
            </w:tcBorders>
            <w:vAlign w:val="center"/>
            <w:hideMark/>
          </w:tcPr>
          <w:p w14:paraId="7E942494" w14:textId="77777777" w:rsidR="004E22C1" w:rsidRPr="001455DC" w:rsidRDefault="004E22C1" w:rsidP="0009382B">
            <w:pPr>
              <w:pStyle w:val="Tablebody"/>
              <w:jc w:val="center"/>
            </w:pPr>
            <w:r w:rsidRPr="001455DC">
              <w:rPr>
                <w:rStyle w:val="CCMCvariableitalic"/>
              </w:rPr>
              <w:t>STM</w:t>
            </w:r>
          </w:p>
        </w:tc>
        <w:tc>
          <w:tcPr>
            <w:tcW w:w="1219" w:type="dxa"/>
            <w:tcBorders>
              <w:top w:val="single" w:sz="6" w:space="0" w:color="000000"/>
              <w:bottom w:val="single" w:sz="12" w:space="0" w:color="000000"/>
              <w:right w:val="single" w:sz="12" w:space="0" w:color="000000"/>
            </w:tcBorders>
            <w:vAlign w:val="center"/>
            <w:hideMark/>
          </w:tcPr>
          <w:p w14:paraId="144C3815" w14:textId="77777777" w:rsidR="004E22C1" w:rsidRPr="001455DC" w:rsidRDefault="004E22C1" w:rsidP="0009382B">
            <w:pPr>
              <w:pStyle w:val="Tablebody"/>
              <w:jc w:val="center"/>
            </w:pPr>
            <w:r w:rsidRPr="001455DC">
              <w:rPr>
                <w:rStyle w:val="CCMCvariableitalic"/>
              </w:rPr>
              <w:t>HTM</w:t>
            </w:r>
          </w:p>
        </w:tc>
        <w:tc>
          <w:tcPr>
            <w:tcW w:w="1219" w:type="dxa"/>
            <w:tcBorders>
              <w:top w:val="single" w:sz="6" w:space="0" w:color="000000"/>
              <w:left w:val="single" w:sz="12" w:space="0" w:color="000000"/>
              <w:bottom w:val="single" w:sz="6" w:space="0" w:color="000000"/>
            </w:tcBorders>
            <w:vAlign w:val="center"/>
          </w:tcPr>
          <w:p w14:paraId="4B1029E9" w14:textId="77777777" w:rsidR="004E22C1" w:rsidRPr="001455DC" w:rsidRDefault="004E22C1" w:rsidP="0009382B">
            <w:pPr>
              <w:pStyle w:val="Tablebody"/>
              <w:jc w:val="center"/>
            </w:pPr>
          </w:p>
        </w:tc>
        <w:tc>
          <w:tcPr>
            <w:tcW w:w="1219" w:type="dxa"/>
            <w:tcBorders>
              <w:top w:val="single" w:sz="6" w:space="0" w:color="000000"/>
              <w:bottom w:val="single" w:sz="12" w:space="0" w:color="000000"/>
            </w:tcBorders>
            <w:vAlign w:val="center"/>
            <w:hideMark/>
          </w:tcPr>
          <w:p w14:paraId="4624B6E5" w14:textId="77777777" w:rsidR="004E22C1" w:rsidRPr="001455DC" w:rsidRDefault="004E22C1" w:rsidP="0009382B">
            <w:pPr>
              <w:pStyle w:val="Tablebody"/>
              <w:jc w:val="center"/>
            </w:pPr>
            <w:r w:rsidRPr="001455DC">
              <w:rPr>
                <w:rStyle w:val="CCMCvariableitalic"/>
              </w:rPr>
              <w:t>L</w:t>
            </w:r>
            <w:r w:rsidRPr="001455DC">
              <w:t xml:space="preserve"> [m]</w:t>
            </w:r>
          </w:p>
        </w:tc>
        <w:tc>
          <w:tcPr>
            <w:tcW w:w="1219" w:type="dxa"/>
            <w:tcBorders>
              <w:top w:val="single" w:sz="6" w:space="0" w:color="000000"/>
              <w:bottom w:val="single" w:sz="12" w:space="0" w:color="000000"/>
            </w:tcBorders>
            <w:vAlign w:val="center"/>
            <w:hideMark/>
          </w:tcPr>
          <w:p w14:paraId="09895493" w14:textId="77777777" w:rsidR="004E22C1" w:rsidRPr="001455DC" w:rsidRDefault="004E22C1" w:rsidP="0009382B">
            <w:pPr>
              <w:pStyle w:val="Tablebody"/>
              <w:jc w:val="center"/>
            </w:pPr>
            <w:r w:rsidRPr="001455DC">
              <w:rPr>
                <w:rStyle w:val="CCMCvariableitalic"/>
              </w:rPr>
              <w:t>STM</w:t>
            </w:r>
          </w:p>
        </w:tc>
        <w:tc>
          <w:tcPr>
            <w:tcW w:w="1219" w:type="dxa"/>
            <w:tcBorders>
              <w:top w:val="single" w:sz="6" w:space="0" w:color="000000"/>
              <w:bottom w:val="single" w:sz="12" w:space="0" w:color="000000"/>
            </w:tcBorders>
            <w:vAlign w:val="center"/>
            <w:hideMark/>
          </w:tcPr>
          <w:p w14:paraId="747E35A9" w14:textId="77777777" w:rsidR="004E22C1" w:rsidRPr="001455DC" w:rsidRDefault="004E22C1" w:rsidP="0009382B">
            <w:pPr>
              <w:pStyle w:val="Tablebody"/>
              <w:jc w:val="center"/>
            </w:pPr>
            <w:r w:rsidRPr="001455DC">
              <w:rPr>
                <w:rStyle w:val="CCMCvariableitalic"/>
              </w:rPr>
              <w:t>HTM</w:t>
            </w:r>
          </w:p>
        </w:tc>
      </w:tr>
      <w:tr w:rsidR="004E22C1" w:rsidRPr="001455DC" w14:paraId="45F09DF2" w14:textId="77777777" w:rsidTr="0009382B">
        <w:trPr>
          <w:cantSplit/>
        </w:trPr>
        <w:tc>
          <w:tcPr>
            <w:tcW w:w="1219" w:type="dxa"/>
            <w:vMerge w:val="restart"/>
            <w:tcBorders>
              <w:top w:val="single" w:sz="12" w:space="0" w:color="000000"/>
            </w:tcBorders>
            <w:vAlign w:val="center"/>
            <w:hideMark/>
          </w:tcPr>
          <w:p w14:paraId="546A280E" w14:textId="77777777" w:rsidR="004E22C1" w:rsidRPr="001455DC" w:rsidRDefault="004E22C1" w:rsidP="0009382B">
            <w:pPr>
              <w:pStyle w:val="Tablebody"/>
              <w:jc w:val="center"/>
            </w:pPr>
            <w:r w:rsidRPr="001455DC">
              <w:t>(1)</w:t>
            </w:r>
          </w:p>
        </w:tc>
        <w:tc>
          <w:tcPr>
            <w:tcW w:w="1219" w:type="dxa"/>
            <w:tcBorders>
              <w:top w:val="single" w:sz="12" w:space="0" w:color="000000"/>
            </w:tcBorders>
            <w:vAlign w:val="center"/>
            <w:hideMark/>
          </w:tcPr>
          <w:p w14:paraId="078F94EE" w14:textId="18ABAB35" w:rsidR="004E22C1" w:rsidRPr="001455DC" w:rsidRDefault="00650035" w:rsidP="0009382B">
            <w:pPr>
              <w:pStyle w:val="Tablebody"/>
              <w:jc w:val="center"/>
            </w:pPr>
            <w:r w:rsidRPr="001455DC">
              <w:rPr>
                <w:rFonts w:ascii="Cambria Math" w:hAnsi="Cambria Math"/>
              </w:rPr>
              <w:t>≤</w:t>
            </w:r>
            <w:r w:rsidR="004E22C1" w:rsidRPr="001455DC">
              <w:t> 2</w:t>
            </w:r>
          </w:p>
        </w:tc>
        <w:tc>
          <w:tcPr>
            <w:tcW w:w="1219" w:type="dxa"/>
            <w:tcBorders>
              <w:top w:val="single" w:sz="12" w:space="0" w:color="000000"/>
            </w:tcBorders>
            <w:vAlign w:val="center"/>
            <w:hideMark/>
          </w:tcPr>
          <w:p w14:paraId="2A511AE5" w14:textId="77777777" w:rsidR="004E22C1" w:rsidRPr="001455DC" w:rsidRDefault="004E22C1" w:rsidP="0009382B">
            <w:pPr>
              <w:pStyle w:val="Tablebody"/>
              <w:jc w:val="center"/>
            </w:pPr>
            <w:r w:rsidRPr="001455DC">
              <w:t>0,70</w:t>
            </w:r>
          </w:p>
        </w:tc>
        <w:tc>
          <w:tcPr>
            <w:tcW w:w="1219" w:type="dxa"/>
            <w:tcBorders>
              <w:top w:val="single" w:sz="12" w:space="0" w:color="000000"/>
              <w:right w:val="single" w:sz="12" w:space="0" w:color="000000"/>
            </w:tcBorders>
            <w:vAlign w:val="center"/>
            <w:hideMark/>
          </w:tcPr>
          <w:p w14:paraId="04819205" w14:textId="77777777" w:rsidR="004E22C1" w:rsidRPr="001455DC" w:rsidRDefault="004E22C1" w:rsidP="0009382B">
            <w:pPr>
              <w:pStyle w:val="Tablebody"/>
              <w:jc w:val="center"/>
            </w:pPr>
            <w:r w:rsidRPr="001455DC">
              <w:t>0,70</w:t>
            </w:r>
          </w:p>
        </w:tc>
        <w:tc>
          <w:tcPr>
            <w:tcW w:w="1219" w:type="dxa"/>
            <w:vMerge w:val="restart"/>
            <w:tcBorders>
              <w:top w:val="single" w:sz="12" w:space="0" w:color="000000"/>
              <w:left w:val="single" w:sz="12" w:space="0" w:color="000000"/>
              <w:bottom w:val="single" w:sz="6" w:space="0" w:color="000000"/>
            </w:tcBorders>
            <w:vAlign w:val="center"/>
          </w:tcPr>
          <w:p w14:paraId="79CB8096" w14:textId="77777777" w:rsidR="004E22C1" w:rsidRPr="001455DC" w:rsidRDefault="004E22C1" w:rsidP="0009382B">
            <w:pPr>
              <w:pStyle w:val="Tablebody"/>
              <w:jc w:val="center"/>
            </w:pPr>
            <w:r w:rsidRPr="001455DC">
              <w:t>(1)</w:t>
            </w:r>
          </w:p>
        </w:tc>
        <w:tc>
          <w:tcPr>
            <w:tcW w:w="1219" w:type="dxa"/>
            <w:tcBorders>
              <w:top w:val="single" w:sz="12" w:space="0" w:color="000000"/>
            </w:tcBorders>
            <w:vAlign w:val="center"/>
            <w:hideMark/>
          </w:tcPr>
          <w:p w14:paraId="0F10F23B" w14:textId="3486FD68" w:rsidR="004E22C1" w:rsidRPr="001455DC" w:rsidRDefault="00650035" w:rsidP="0009382B">
            <w:pPr>
              <w:pStyle w:val="Tablebody"/>
              <w:jc w:val="center"/>
            </w:pPr>
            <w:r w:rsidRPr="001455DC">
              <w:rPr>
                <w:rFonts w:ascii="Cambria Math" w:hAnsi="Cambria Math"/>
              </w:rPr>
              <w:t>≤</w:t>
            </w:r>
            <w:r w:rsidR="004E22C1" w:rsidRPr="001455DC">
              <w:t> 2</w:t>
            </w:r>
          </w:p>
        </w:tc>
        <w:tc>
          <w:tcPr>
            <w:tcW w:w="1219" w:type="dxa"/>
            <w:tcBorders>
              <w:top w:val="single" w:sz="12" w:space="0" w:color="000000"/>
            </w:tcBorders>
            <w:vAlign w:val="center"/>
            <w:hideMark/>
          </w:tcPr>
          <w:p w14:paraId="18297F1A" w14:textId="77777777" w:rsidR="004E22C1" w:rsidRPr="001455DC" w:rsidRDefault="004E22C1" w:rsidP="0009382B">
            <w:pPr>
              <w:pStyle w:val="Tablebody"/>
              <w:jc w:val="center"/>
            </w:pPr>
            <w:r w:rsidRPr="001455DC">
              <w:t>0,75</w:t>
            </w:r>
          </w:p>
        </w:tc>
        <w:tc>
          <w:tcPr>
            <w:tcW w:w="1219" w:type="dxa"/>
            <w:tcBorders>
              <w:top w:val="single" w:sz="12" w:space="0" w:color="000000"/>
            </w:tcBorders>
            <w:vAlign w:val="center"/>
            <w:hideMark/>
          </w:tcPr>
          <w:p w14:paraId="0AFDCEBB" w14:textId="77777777" w:rsidR="004E22C1" w:rsidRPr="001455DC" w:rsidRDefault="004E22C1" w:rsidP="0009382B">
            <w:pPr>
              <w:pStyle w:val="Tablebody"/>
              <w:jc w:val="center"/>
            </w:pPr>
            <w:r w:rsidRPr="001455DC">
              <w:t>0,90</w:t>
            </w:r>
          </w:p>
        </w:tc>
      </w:tr>
      <w:tr w:rsidR="004E22C1" w:rsidRPr="001455DC" w14:paraId="3ECC296C" w14:textId="77777777" w:rsidTr="0009382B">
        <w:trPr>
          <w:cantSplit/>
        </w:trPr>
        <w:tc>
          <w:tcPr>
            <w:tcW w:w="1219" w:type="dxa"/>
            <w:vMerge/>
            <w:vAlign w:val="center"/>
            <w:hideMark/>
          </w:tcPr>
          <w:p w14:paraId="3AE827BA" w14:textId="77777777" w:rsidR="004E22C1" w:rsidRPr="001455DC" w:rsidRDefault="004E22C1" w:rsidP="0009382B">
            <w:pPr>
              <w:pStyle w:val="Tablebody"/>
              <w:jc w:val="center"/>
            </w:pPr>
          </w:p>
        </w:tc>
        <w:tc>
          <w:tcPr>
            <w:tcW w:w="1219" w:type="dxa"/>
            <w:vAlign w:val="center"/>
            <w:hideMark/>
          </w:tcPr>
          <w:p w14:paraId="7748EA1A" w14:textId="01CBFC2A" w:rsidR="004E22C1" w:rsidRPr="001455DC" w:rsidRDefault="00650035" w:rsidP="0009382B">
            <w:pPr>
              <w:pStyle w:val="Tablebody"/>
              <w:jc w:val="center"/>
            </w:pPr>
            <w:r w:rsidRPr="001455DC">
              <w:rPr>
                <w:rFonts w:ascii="Cambria Math" w:hAnsi="Cambria Math"/>
              </w:rPr>
              <w:t>≥</w:t>
            </w:r>
            <w:r w:rsidR="00073FC6" w:rsidRPr="001455DC">
              <w:t> </w:t>
            </w:r>
            <w:r w:rsidR="004E22C1" w:rsidRPr="001455DC">
              <w:t>20</w:t>
            </w:r>
          </w:p>
        </w:tc>
        <w:tc>
          <w:tcPr>
            <w:tcW w:w="1219" w:type="dxa"/>
            <w:vAlign w:val="center"/>
            <w:hideMark/>
          </w:tcPr>
          <w:p w14:paraId="4349D7FD" w14:textId="77777777" w:rsidR="004E22C1" w:rsidRPr="001455DC" w:rsidRDefault="004E22C1" w:rsidP="0009382B">
            <w:pPr>
              <w:pStyle w:val="Tablebody"/>
              <w:jc w:val="center"/>
            </w:pPr>
            <w:r w:rsidRPr="001455DC">
              <w:t>0,75</w:t>
            </w:r>
          </w:p>
        </w:tc>
        <w:tc>
          <w:tcPr>
            <w:tcW w:w="1219" w:type="dxa"/>
            <w:tcBorders>
              <w:right w:val="single" w:sz="12" w:space="0" w:color="000000"/>
            </w:tcBorders>
            <w:vAlign w:val="center"/>
            <w:hideMark/>
          </w:tcPr>
          <w:p w14:paraId="02EFD829" w14:textId="77777777" w:rsidR="004E22C1" w:rsidRPr="001455DC" w:rsidRDefault="004E22C1" w:rsidP="0009382B">
            <w:pPr>
              <w:pStyle w:val="Tablebody"/>
              <w:jc w:val="center"/>
            </w:pPr>
            <w:r w:rsidRPr="001455DC">
              <w:t>0,75</w:t>
            </w:r>
          </w:p>
        </w:tc>
        <w:tc>
          <w:tcPr>
            <w:tcW w:w="1219" w:type="dxa"/>
            <w:vMerge/>
            <w:tcBorders>
              <w:left w:val="single" w:sz="12" w:space="0" w:color="000000"/>
              <w:bottom w:val="single" w:sz="6" w:space="0" w:color="000000"/>
            </w:tcBorders>
            <w:vAlign w:val="center"/>
          </w:tcPr>
          <w:p w14:paraId="464448CD" w14:textId="77777777" w:rsidR="004E22C1" w:rsidRPr="001455DC" w:rsidRDefault="004E22C1" w:rsidP="0009382B">
            <w:pPr>
              <w:pStyle w:val="Tablebody"/>
              <w:jc w:val="center"/>
            </w:pPr>
          </w:p>
        </w:tc>
        <w:tc>
          <w:tcPr>
            <w:tcW w:w="1219" w:type="dxa"/>
            <w:vAlign w:val="center"/>
            <w:hideMark/>
          </w:tcPr>
          <w:p w14:paraId="44A9CB3F" w14:textId="48BBC2B0" w:rsidR="004E22C1" w:rsidRPr="001455DC" w:rsidRDefault="00650035" w:rsidP="0009382B">
            <w:pPr>
              <w:pStyle w:val="Tablebody"/>
              <w:jc w:val="center"/>
            </w:pPr>
            <w:r w:rsidRPr="001455DC">
              <w:rPr>
                <w:rFonts w:ascii="Cambria Math" w:hAnsi="Cambria Math"/>
              </w:rPr>
              <w:t>≥</w:t>
            </w:r>
            <w:r w:rsidR="00073FC6" w:rsidRPr="001455DC">
              <w:t> </w:t>
            </w:r>
            <w:r w:rsidR="004E22C1" w:rsidRPr="001455DC">
              <w:t>20</w:t>
            </w:r>
          </w:p>
        </w:tc>
        <w:tc>
          <w:tcPr>
            <w:tcW w:w="1219" w:type="dxa"/>
            <w:vAlign w:val="center"/>
            <w:hideMark/>
          </w:tcPr>
          <w:p w14:paraId="40E71A83" w14:textId="77777777" w:rsidR="004E22C1" w:rsidRPr="001455DC" w:rsidRDefault="004E22C1" w:rsidP="0009382B">
            <w:pPr>
              <w:pStyle w:val="Tablebody"/>
              <w:jc w:val="center"/>
            </w:pPr>
            <w:r w:rsidRPr="001455DC">
              <w:t>0,55</w:t>
            </w:r>
          </w:p>
        </w:tc>
        <w:tc>
          <w:tcPr>
            <w:tcW w:w="1219" w:type="dxa"/>
            <w:vAlign w:val="center"/>
            <w:hideMark/>
          </w:tcPr>
          <w:p w14:paraId="7CF0D945" w14:textId="77777777" w:rsidR="004E22C1" w:rsidRPr="001455DC" w:rsidRDefault="004E22C1" w:rsidP="0009382B">
            <w:pPr>
              <w:pStyle w:val="Tablebody"/>
              <w:jc w:val="center"/>
            </w:pPr>
            <w:r w:rsidRPr="001455DC">
              <w:t>0,55</w:t>
            </w:r>
          </w:p>
        </w:tc>
      </w:tr>
      <w:tr w:rsidR="004E22C1" w:rsidRPr="001455DC" w14:paraId="4F8C7619" w14:textId="77777777" w:rsidTr="0009382B">
        <w:trPr>
          <w:cantSplit/>
        </w:trPr>
        <w:tc>
          <w:tcPr>
            <w:tcW w:w="1219" w:type="dxa"/>
            <w:vMerge w:val="restart"/>
            <w:vAlign w:val="center"/>
            <w:hideMark/>
          </w:tcPr>
          <w:p w14:paraId="395DE9BA" w14:textId="77777777" w:rsidR="004E22C1" w:rsidRPr="001455DC" w:rsidRDefault="004E22C1" w:rsidP="0009382B">
            <w:pPr>
              <w:pStyle w:val="Tablebody"/>
              <w:jc w:val="center"/>
            </w:pPr>
            <w:r w:rsidRPr="001455DC">
              <w:t>(2)</w:t>
            </w:r>
          </w:p>
        </w:tc>
        <w:tc>
          <w:tcPr>
            <w:tcW w:w="1219" w:type="dxa"/>
            <w:vAlign w:val="center"/>
            <w:hideMark/>
          </w:tcPr>
          <w:p w14:paraId="62DC6813" w14:textId="5500D138" w:rsidR="004E22C1" w:rsidRPr="001455DC" w:rsidRDefault="00650035" w:rsidP="0009382B">
            <w:pPr>
              <w:pStyle w:val="Tablebody"/>
              <w:jc w:val="center"/>
            </w:pPr>
            <w:r w:rsidRPr="001455DC">
              <w:rPr>
                <w:rFonts w:ascii="Cambria Math" w:hAnsi="Cambria Math"/>
              </w:rPr>
              <w:t>≤</w:t>
            </w:r>
            <w:r w:rsidR="004E22C1" w:rsidRPr="001455DC">
              <w:t> 2</w:t>
            </w:r>
          </w:p>
        </w:tc>
        <w:tc>
          <w:tcPr>
            <w:tcW w:w="1219" w:type="dxa"/>
            <w:vAlign w:val="center"/>
            <w:hideMark/>
          </w:tcPr>
          <w:p w14:paraId="3C918322" w14:textId="77777777" w:rsidR="004E22C1" w:rsidRPr="001455DC" w:rsidRDefault="004E22C1" w:rsidP="0009382B">
            <w:pPr>
              <w:pStyle w:val="Tablebody"/>
              <w:jc w:val="center"/>
            </w:pPr>
            <w:r w:rsidRPr="001455DC">
              <w:t>0,95</w:t>
            </w:r>
          </w:p>
        </w:tc>
        <w:tc>
          <w:tcPr>
            <w:tcW w:w="1219" w:type="dxa"/>
            <w:tcBorders>
              <w:right w:val="single" w:sz="12" w:space="0" w:color="000000"/>
            </w:tcBorders>
            <w:vAlign w:val="center"/>
            <w:hideMark/>
          </w:tcPr>
          <w:p w14:paraId="35608E36" w14:textId="77777777" w:rsidR="004E22C1" w:rsidRPr="001455DC" w:rsidRDefault="004E22C1" w:rsidP="0009382B">
            <w:pPr>
              <w:pStyle w:val="Tablebody"/>
              <w:jc w:val="center"/>
            </w:pPr>
            <w:r w:rsidRPr="001455DC">
              <w:t>1,00</w:t>
            </w:r>
          </w:p>
        </w:tc>
        <w:tc>
          <w:tcPr>
            <w:tcW w:w="1219" w:type="dxa"/>
            <w:vMerge w:val="restart"/>
            <w:tcBorders>
              <w:left w:val="single" w:sz="12" w:space="0" w:color="000000"/>
              <w:bottom w:val="single" w:sz="6" w:space="0" w:color="000000"/>
            </w:tcBorders>
            <w:vAlign w:val="center"/>
          </w:tcPr>
          <w:p w14:paraId="543C85CF" w14:textId="77777777" w:rsidR="004E22C1" w:rsidRPr="001455DC" w:rsidRDefault="004E22C1" w:rsidP="0009382B">
            <w:pPr>
              <w:pStyle w:val="Tablebody"/>
              <w:jc w:val="center"/>
            </w:pPr>
            <w:r w:rsidRPr="001455DC">
              <w:t>(2)</w:t>
            </w:r>
          </w:p>
        </w:tc>
        <w:tc>
          <w:tcPr>
            <w:tcW w:w="1219" w:type="dxa"/>
            <w:vAlign w:val="center"/>
            <w:hideMark/>
          </w:tcPr>
          <w:p w14:paraId="30E62806" w14:textId="62603FAE" w:rsidR="004E22C1" w:rsidRPr="001455DC" w:rsidRDefault="00650035" w:rsidP="0009382B">
            <w:pPr>
              <w:pStyle w:val="Tablebody"/>
              <w:jc w:val="center"/>
            </w:pPr>
            <w:r w:rsidRPr="001455DC">
              <w:rPr>
                <w:rFonts w:ascii="Cambria Math" w:hAnsi="Cambria Math"/>
              </w:rPr>
              <w:t>≤</w:t>
            </w:r>
            <w:r w:rsidR="004E22C1" w:rsidRPr="001455DC">
              <w:t> 2</w:t>
            </w:r>
          </w:p>
        </w:tc>
        <w:tc>
          <w:tcPr>
            <w:tcW w:w="1219" w:type="dxa"/>
            <w:vAlign w:val="center"/>
            <w:hideMark/>
          </w:tcPr>
          <w:p w14:paraId="089A2F25" w14:textId="77777777" w:rsidR="004E22C1" w:rsidRPr="001455DC" w:rsidRDefault="004E22C1" w:rsidP="0009382B">
            <w:pPr>
              <w:pStyle w:val="Tablebody"/>
              <w:jc w:val="center"/>
            </w:pPr>
            <w:r w:rsidRPr="001455DC">
              <w:t>1,05</w:t>
            </w:r>
          </w:p>
        </w:tc>
        <w:tc>
          <w:tcPr>
            <w:tcW w:w="1219" w:type="dxa"/>
            <w:vAlign w:val="center"/>
            <w:hideMark/>
          </w:tcPr>
          <w:p w14:paraId="1E0F646D" w14:textId="77777777" w:rsidR="004E22C1" w:rsidRPr="001455DC" w:rsidRDefault="004E22C1" w:rsidP="0009382B">
            <w:pPr>
              <w:pStyle w:val="Tablebody"/>
              <w:jc w:val="center"/>
            </w:pPr>
            <w:r w:rsidRPr="001455DC">
              <w:t>1,15</w:t>
            </w:r>
          </w:p>
        </w:tc>
      </w:tr>
      <w:tr w:rsidR="004E22C1" w:rsidRPr="001455DC" w14:paraId="3561AD1C" w14:textId="77777777" w:rsidTr="0009382B">
        <w:trPr>
          <w:cantSplit/>
        </w:trPr>
        <w:tc>
          <w:tcPr>
            <w:tcW w:w="1219" w:type="dxa"/>
            <w:vMerge/>
            <w:tcBorders>
              <w:bottom w:val="single" w:sz="12" w:space="0" w:color="000000"/>
            </w:tcBorders>
            <w:vAlign w:val="center"/>
            <w:hideMark/>
          </w:tcPr>
          <w:p w14:paraId="5A9B8861" w14:textId="77777777" w:rsidR="004E22C1" w:rsidRPr="001455DC" w:rsidRDefault="004E22C1" w:rsidP="0009382B">
            <w:pPr>
              <w:pStyle w:val="Tablebody"/>
              <w:jc w:val="center"/>
            </w:pPr>
          </w:p>
        </w:tc>
        <w:tc>
          <w:tcPr>
            <w:tcW w:w="1219" w:type="dxa"/>
            <w:tcBorders>
              <w:bottom w:val="single" w:sz="12" w:space="0" w:color="000000"/>
            </w:tcBorders>
            <w:vAlign w:val="center"/>
            <w:hideMark/>
          </w:tcPr>
          <w:p w14:paraId="1BCBCF47" w14:textId="419F594D" w:rsidR="004E22C1" w:rsidRPr="001455DC" w:rsidRDefault="00650035" w:rsidP="0009382B">
            <w:pPr>
              <w:pStyle w:val="Tablebody"/>
              <w:jc w:val="center"/>
            </w:pPr>
            <w:r w:rsidRPr="001455DC">
              <w:rPr>
                <w:rFonts w:ascii="Cambria Math" w:hAnsi="Cambria Math"/>
              </w:rPr>
              <w:t>≥</w:t>
            </w:r>
            <w:r w:rsidR="00073FC6" w:rsidRPr="001455DC">
              <w:t> </w:t>
            </w:r>
            <w:r w:rsidR="004E22C1" w:rsidRPr="001455DC">
              <w:t>20</w:t>
            </w:r>
          </w:p>
        </w:tc>
        <w:tc>
          <w:tcPr>
            <w:tcW w:w="1219" w:type="dxa"/>
            <w:tcBorders>
              <w:bottom w:val="single" w:sz="12" w:space="0" w:color="000000"/>
            </w:tcBorders>
            <w:vAlign w:val="center"/>
            <w:hideMark/>
          </w:tcPr>
          <w:p w14:paraId="74DB88B1" w14:textId="77777777" w:rsidR="004E22C1" w:rsidRPr="001455DC" w:rsidRDefault="004E22C1" w:rsidP="0009382B">
            <w:pPr>
              <w:pStyle w:val="Tablebody"/>
              <w:jc w:val="center"/>
            </w:pPr>
            <w:r w:rsidRPr="001455DC">
              <w:t>0,90</w:t>
            </w:r>
          </w:p>
        </w:tc>
        <w:tc>
          <w:tcPr>
            <w:tcW w:w="1219" w:type="dxa"/>
            <w:tcBorders>
              <w:bottom w:val="single" w:sz="12" w:space="0" w:color="000000"/>
              <w:right w:val="single" w:sz="12" w:space="0" w:color="000000"/>
            </w:tcBorders>
            <w:vAlign w:val="center"/>
            <w:hideMark/>
          </w:tcPr>
          <w:p w14:paraId="2517ED75" w14:textId="77777777" w:rsidR="004E22C1" w:rsidRPr="001455DC" w:rsidRDefault="004E22C1" w:rsidP="0009382B">
            <w:pPr>
              <w:pStyle w:val="Tablebody"/>
              <w:jc w:val="center"/>
            </w:pPr>
            <w:r w:rsidRPr="001455DC">
              <w:t>0,90</w:t>
            </w:r>
          </w:p>
        </w:tc>
        <w:tc>
          <w:tcPr>
            <w:tcW w:w="1219" w:type="dxa"/>
            <w:vMerge/>
            <w:tcBorders>
              <w:left w:val="single" w:sz="12" w:space="0" w:color="000000"/>
              <w:bottom w:val="single" w:sz="6" w:space="0" w:color="000000"/>
            </w:tcBorders>
            <w:vAlign w:val="center"/>
          </w:tcPr>
          <w:p w14:paraId="21FD5E6C" w14:textId="77777777" w:rsidR="004E22C1" w:rsidRPr="001455DC" w:rsidRDefault="004E22C1" w:rsidP="0009382B">
            <w:pPr>
              <w:pStyle w:val="Tablebody"/>
              <w:jc w:val="center"/>
            </w:pPr>
          </w:p>
        </w:tc>
        <w:tc>
          <w:tcPr>
            <w:tcW w:w="1219" w:type="dxa"/>
            <w:tcBorders>
              <w:bottom w:val="single" w:sz="12" w:space="0" w:color="000000"/>
            </w:tcBorders>
            <w:vAlign w:val="center"/>
            <w:hideMark/>
          </w:tcPr>
          <w:p w14:paraId="101C2290" w14:textId="20D43489" w:rsidR="004E22C1" w:rsidRPr="001455DC" w:rsidRDefault="00650035" w:rsidP="0009382B">
            <w:pPr>
              <w:pStyle w:val="Tablebody"/>
              <w:jc w:val="center"/>
            </w:pPr>
            <w:r w:rsidRPr="001455DC">
              <w:rPr>
                <w:rFonts w:ascii="Cambria Math" w:hAnsi="Cambria Math"/>
              </w:rPr>
              <w:t>≥</w:t>
            </w:r>
            <w:r w:rsidR="00073FC6" w:rsidRPr="001455DC">
              <w:t> </w:t>
            </w:r>
            <w:r w:rsidR="004E22C1" w:rsidRPr="001455DC">
              <w:t>20</w:t>
            </w:r>
          </w:p>
        </w:tc>
        <w:tc>
          <w:tcPr>
            <w:tcW w:w="1219" w:type="dxa"/>
            <w:tcBorders>
              <w:bottom w:val="single" w:sz="12" w:space="0" w:color="000000"/>
            </w:tcBorders>
            <w:vAlign w:val="center"/>
            <w:hideMark/>
          </w:tcPr>
          <w:p w14:paraId="2266B32C" w14:textId="77777777" w:rsidR="004E22C1" w:rsidRPr="001455DC" w:rsidRDefault="004E22C1" w:rsidP="0009382B">
            <w:pPr>
              <w:pStyle w:val="Tablebody"/>
              <w:jc w:val="center"/>
            </w:pPr>
            <w:r w:rsidRPr="001455DC">
              <w:t>0,65</w:t>
            </w:r>
          </w:p>
        </w:tc>
        <w:tc>
          <w:tcPr>
            <w:tcW w:w="1219" w:type="dxa"/>
            <w:tcBorders>
              <w:bottom w:val="single" w:sz="12" w:space="0" w:color="000000"/>
            </w:tcBorders>
            <w:vAlign w:val="center"/>
            <w:hideMark/>
          </w:tcPr>
          <w:p w14:paraId="58F4760D" w14:textId="77777777" w:rsidR="004E22C1" w:rsidRPr="001455DC" w:rsidRDefault="004E22C1" w:rsidP="0009382B">
            <w:pPr>
              <w:pStyle w:val="Tablebody"/>
              <w:jc w:val="center"/>
            </w:pPr>
            <w:r w:rsidRPr="001455DC">
              <w:t>0,70</w:t>
            </w:r>
          </w:p>
        </w:tc>
      </w:tr>
      <w:tr w:rsidR="004E22C1" w:rsidRPr="001455DC" w14:paraId="75D54593" w14:textId="77777777" w:rsidTr="0009382B">
        <w:trPr>
          <w:cantSplit/>
        </w:trPr>
        <w:tc>
          <w:tcPr>
            <w:tcW w:w="4876" w:type="dxa"/>
            <w:gridSpan w:val="4"/>
            <w:tcBorders>
              <w:top w:val="single" w:sz="12" w:space="0" w:color="000000"/>
              <w:bottom w:val="single" w:sz="6" w:space="0" w:color="000000"/>
              <w:right w:val="single" w:sz="12" w:space="0" w:color="000000"/>
            </w:tcBorders>
            <w:vAlign w:val="center"/>
          </w:tcPr>
          <w:p w14:paraId="7C0FF8AC" w14:textId="48E067E7" w:rsidR="004E22C1" w:rsidRPr="009D3012" w:rsidRDefault="0009382B" w:rsidP="0009382B">
            <w:pPr>
              <w:pStyle w:val="Tablebody"/>
              <w:jc w:val="center"/>
              <w:rPr>
                <w:rStyle w:val="CCMCvariableitalic"/>
                <w:b/>
                <w:lang w:val="en-US"/>
              </w:rPr>
            </w:pPr>
            <w:r w:rsidRPr="009D3012">
              <w:rPr>
                <w:b/>
                <w:lang w:val="en-US"/>
              </w:rPr>
              <w:t>c) Continous members (end span)</w:t>
            </w:r>
          </w:p>
        </w:tc>
        <w:tc>
          <w:tcPr>
            <w:tcW w:w="4876" w:type="dxa"/>
            <w:gridSpan w:val="4"/>
            <w:tcBorders>
              <w:top w:val="single" w:sz="12" w:space="0" w:color="000000"/>
              <w:left w:val="single" w:sz="12" w:space="0" w:color="000000"/>
              <w:bottom w:val="single" w:sz="6" w:space="0" w:color="000000"/>
            </w:tcBorders>
            <w:vAlign w:val="center"/>
          </w:tcPr>
          <w:p w14:paraId="0BC3E92E" w14:textId="5124EF20" w:rsidR="004E22C1" w:rsidRPr="009D3012" w:rsidRDefault="004E22C1" w:rsidP="0009382B">
            <w:pPr>
              <w:pStyle w:val="Tablebody"/>
              <w:jc w:val="center"/>
              <w:rPr>
                <w:rStyle w:val="CCMCvariableitalic"/>
                <w:b/>
                <w:lang w:val="en-US"/>
              </w:rPr>
            </w:pPr>
            <w:r w:rsidRPr="009D3012">
              <w:rPr>
                <w:b/>
                <w:lang w:val="en-US"/>
              </w:rPr>
              <w:t>d) Continuous members</w:t>
            </w:r>
            <w:r w:rsidR="0009382B" w:rsidRPr="009D3012">
              <w:rPr>
                <w:b/>
                <w:lang w:val="en-US"/>
              </w:rPr>
              <w:t xml:space="preserve"> </w:t>
            </w:r>
            <w:r w:rsidRPr="009D3012">
              <w:rPr>
                <w:b/>
                <w:lang w:val="en-US"/>
              </w:rPr>
              <w:t>(intermediate support area)</w:t>
            </w:r>
          </w:p>
        </w:tc>
      </w:tr>
      <w:tr w:rsidR="004E22C1" w:rsidRPr="001455DC" w14:paraId="4EEA8435" w14:textId="77777777" w:rsidTr="0009382B">
        <w:trPr>
          <w:cantSplit/>
        </w:trPr>
        <w:tc>
          <w:tcPr>
            <w:tcW w:w="1219" w:type="dxa"/>
            <w:tcBorders>
              <w:top w:val="single" w:sz="6" w:space="0" w:color="000000"/>
              <w:bottom w:val="single" w:sz="12" w:space="0" w:color="000000"/>
            </w:tcBorders>
            <w:vAlign w:val="center"/>
          </w:tcPr>
          <w:p w14:paraId="11DB1DA1" w14:textId="77777777" w:rsidR="004E22C1" w:rsidRPr="009D3012" w:rsidRDefault="004E22C1" w:rsidP="0009382B">
            <w:pPr>
              <w:pStyle w:val="Tablebody"/>
              <w:jc w:val="center"/>
              <w:rPr>
                <w:lang w:val="en-US"/>
              </w:rPr>
            </w:pPr>
          </w:p>
        </w:tc>
        <w:tc>
          <w:tcPr>
            <w:tcW w:w="1219" w:type="dxa"/>
            <w:tcBorders>
              <w:top w:val="single" w:sz="6" w:space="0" w:color="000000"/>
              <w:bottom w:val="single" w:sz="12" w:space="0" w:color="000000"/>
            </w:tcBorders>
            <w:vAlign w:val="center"/>
            <w:hideMark/>
          </w:tcPr>
          <w:p w14:paraId="1E0C5B78" w14:textId="77777777" w:rsidR="004E22C1" w:rsidRPr="001455DC" w:rsidRDefault="004E22C1" w:rsidP="0009382B">
            <w:pPr>
              <w:pStyle w:val="Tablebody"/>
              <w:jc w:val="center"/>
            </w:pPr>
            <w:r w:rsidRPr="001455DC">
              <w:rPr>
                <w:rStyle w:val="CCMCvariableitalic"/>
              </w:rPr>
              <w:t>L</w:t>
            </w:r>
            <w:r w:rsidRPr="001455DC">
              <w:t xml:space="preserve"> [m]</w:t>
            </w:r>
          </w:p>
        </w:tc>
        <w:tc>
          <w:tcPr>
            <w:tcW w:w="1219" w:type="dxa"/>
            <w:tcBorders>
              <w:top w:val="single" w:sz="6" w:space="0" w:color="000000"/>
              <w:bottom w:val="single" w:sz="12" w:space="0" w:color="000000"/>
            </w:tcBorders>
            <w:vAlign w:val="center"/>
            <w:hideMark/>
          </w:tcPr>
          <w:p w14:paraId="5B1DC3FD" w14:textId="77777777" w:rsidR="004E22C1" w:rsidRPr="001455DC" w:rsidRDefault="004E22C1" w:rsidP="0009382B">
            <w:pPr>
              <w:pStyle w:val="Tablebody"/>
              <w:jc w:val="center"/>
            </w:pPr>
            <w:r w:rsidRPr="001455DC">
              <w:rPr>
                <w:rStyle w:val="CCMCvariableitalic"/>
              </w:rPr>
              <w:t>STM</w:t>
            </w:r>
          </w:p>
        </w:tc>
        <w:tc>
          <w:tcPr>
            <w:tcW w:w="1219" w:type="dxa"/>
            <w:tcBorders>
              <w:top w:val="single" w:sz="6" w:space="0" w:color="000000"/>
              <w:bottom w:val="single" w:sz="12" w:space="0" w:color="000000"/>
              <w:right w:val="single" w:sz="12" w:space="0" w:color="000000"/>
            </w:tcBorders>
            <w:vAlign w:val="center"/>
            <w:hideMark/>
          </w:tcPr>
          <w:p w14:paraId="1FF49FFF" w14:textId="77777777" w:rsidR="004E22C1" w:rsidRPr="001455DC" w:rsidRDefault="004E22C1" w:rsidP="0009382B">
            <w:pPr>
              <w:pStyle w:val="Tablebody"/>
              <w:jc w:val="center"/>
            </w:pPr>
            <w:r w:rsidRPr="001455DC">
              <w:rPr>
                <w:rStyle w:val="CCMCvariableitalic"/>
              </w:rPr>
              <w:t>HTM</w:t>
            </w:r>
          </w:p>
        </w:tc>
        <w:tc>
          <w:tcPr>
            <w:tcW w:w="1219" w:type="dxa"/>
            <w:tcBorders>
              <w:top w:val="single" w:sz="6" w:space="0" w:color="000000"/>
              <w:left w:val="single" w:sz="12" w:space="0" w:color="000000"/>
              <w:bottom w:val="single" w:sz="6" w:space="0" w:color="000000"/>
            </w:tcBorders>
            <w:vAlign w:val="center"/>
          </w:tcPr>
          <w:p w14:paraId="06AAC05F" w14:textId="77777777" w:rsidR="004E22C1" w:rsidRPr="001455DC" w:rsidRDefault="004E22C1" w:rsidP="0009382B">
            <w:pPr>
              <w:pStyle w:val="Tablebody"/>
              <w:jc w:val="center"/>
            </w:pPr>
          </w:p>
        </w:tc>
        <w:tc>
          <w:tcPr>
            <w:tcW w:w="1219" w:type="dxa"/>
            <w:tcBorders>
              <w:top w:val="single" w:sz="6" w:space="0" w:color="000000"/>
              <w:bottom w:val="single" w:sz="12" w:space="0" w:color="000000"/>
            </w:tcBorders>
            <w:vAlign w:val="center"/>
            <w:hideMark/>
          </w:tcPr>
          <w:p w14:paraId="5FA2C1F8" w14:textId="77777777" w:rsidR="004E22C1" w:rsidRPr="001455DC" w:rsidRDefault="004E22C1" w:rsidP="0009382B">
            <w:pPr>
              <w:pStyle w:val="Tablebody"/>
              <w:jc w:val="center"/>
            </w:pPr>
            <w:r w:rsidRPr="001455DC">
              <w:rPr>
                <w:rStyle w:val="CCMCvariableitalic"/>
              </w:rPr>
              <w:t>L</w:t>
            </w:r>
            <w:r w:rsidRPr="001455DC">
              <w:t xml:space="preserve"> [m]</w:t>
            </w:r>
          </w:p>
        </w:tc>
        <w:tc>
          <w:tcPr>
            <w:tcW w:w="1219" w:type="dxa"/>
            <w:tcBorders>
              <w:top w:val="single" w:sz="6" w:space="0" w:color="000000"/>
              <w:bottom w:val="single" w:sz="12" w:space="0" w:color="000000"/>
            </w:tcBorders>
            <w:vAlign w:val="center"/>
            <w:hideMark/>
          </w:tcPr>
          <w:p w14:paraId="01F82F8C" w14:textId="77777777" w:rsidR="004E22C1" w:rsidRPr="001455DC" w:rsidRDefault="004E22C1" w:rsidP="0009382B">
            <w:pPr>
              <w:pStyle w:val="Tablebody"/>
              <w:jc w:val="center"/>
            </w:pPr>
            <w:r w:rsidRPr="001455DC">
              <w:rPr>
                <w:rStyle w:val="CCMCvariableitalic"/>
              </w:rPr>
              <w:t>STM</w:t>
            </w:r>
          </w:p>
        </w:tc>
        <w:tc>
          <w:tcPr>
            <w:tcW w:w="1219" w:type="dxa"/>
            <w:tcBorders>
              <w:top w:val="single" w:sz="6" w:space="0" w:color="000000"/>
              <w:bottom w:val="single" w:sz="12" w:space="0" w:color="000000"/>
            </w:tcBorders>
            <w:vAlign w:val="center"/>
            <w:hideMark/>
          </w:tcPr>
          <w:p w14:paraId="2944C947" w14:textId="77777777" w:rsidR="004E22C1" w:rsidRPr="001455DC" w:rsidRDefault="004E22C1" w:rsidP="0009382B">
            <w:pPr>
              <w:pStyle w:val="Tablebody"/>
              <w:jc w:val="center"/>
            </w:pPr>
            <w:r w:rsidRPr="001455DC">
              <w:rPr>
                <w:rStyle w:val="CCMCvariableitalic"/>
              </w:rPr>
              <w:t>HTM</w:t>
            </w:r>
          </w:p>
        </w:tc>
      </w:tr>
      <w:tr w:rsidR="004E22C1" w:rsidRPr="001455DC" w14:paraId="335C1196" w14:textId="77777777" w:rsidTr="0009382B">
        <w:trPr>
          <w:cantSplit/>
        </w:trPr>
        <w:tc>
          <w:tcPr>
            <w:tcW w:w="1219" w:type="dxa"/>
            <w:vMerge w:val="restart"/>
            <w:tcBorders>
              <w:top w:val="single" w:sz="12" w:space="0" w:color="000000"/>
            </w:tcBorders>
            <w:vAlign w:val="center"/>
          </w:tcPr>
          <w:p w14:paraId="15DEC6D0" w14:textId="77777777" w:rsidR="004E22C1" w:rsidRPr="001455DC" w:rsidRDefault="004E22C1" w:rsidP="0009382B">
            <w:pPr>
              <w:pStyle w:val="Tablebody"/>
              <w:jc w:val="center"/>
            </w:pPr>
            <w:r w:rsidRPr="001455DC">
              <w:t>(1)</w:t>
            </w:r>
          </w:p>
        </w:tc>
        <w:tc>
          <w:tcPr>
            <w:tcW w:w="1219" w:type="dxa"/>
            <w:tcBorders>
              <w:top w:val="single" w:sz="12" w:space="0" w:color="000000"/>
            </w:tcBorders>
            <w:vAlign w:val="center"/>
            <w:hideMark/>
          </w:tcPr>
          <w:p w14:paraId="1E7DE013" w14:textId="105AC786" w:rsidR="004E22C1" w:rsidRPr="001455DC" w:rsidRDefault="00650035" w:rsidP="0009382B">
            <w:pPr>
              <w:pStyle w:val="Tablebody"/>
              <w:jc w:val="center"/>
            </w:pPr>
            <w:r w:rsidRPr="001455DC">
              <w:rPr>
                <w:rFonts w:ascii="Cambria Math" w:hAnsi="Cambria Math"/>
              </w:rPr>
              <w:t>≤</w:t>
            </w:r>
            <w:r w:rsidR="004E22C1" w:rsidRPr="001455DC">
              <w:t> 2</w:t>
            </w:r>
          </w:p>
        </w:tc>
        <w:tc>
          <w:tcPr>
            <w:tcW w:w="1219" w:type="dxa"/>
            <w:tcBorders>
              <w:top w:val="single" w:sz="12" w:space="0" w:color="000000"/>
            </w:tcBorders>
            <w:vAlign w:val="center"/>
            <w:hideMark/>
          </w:tcPr>
          <w:p w14:paraId="5E09E974" w14:textId="77777777" w:rsidR="004E22C1" w:rsidRPr="001455DC" w:rsidRDefault="004E22C1" w:rsidP="0009382B">
            <w:pPr>
              <w:pStyle w:val="Tablebody"/>
              <w:jc w:val="center"/>
            </w:pPr>
            <w:r w:rsidRPr="001455DC">
              <w:t>0,75</w:t>
            </w:r>
          </w:p>
        </w:tc>
        <w:tc>
          <w:tcPr>
            <w:tcW w:w="1219" w:type="dxa"/>
            <w:tcBorders>
              <w:top w:val="single" w:sz="12" w:space="0" w:color="000000"/>
              <w:right w:val="single" w:sz="12" w:space="0" w:color="000000"/>
            </w:tcBorders>
            <w:vAlign w:val="center"/>
            <w:hideMark/>
          </w:tcPr>
          <w:p w14:paraId="3D4DFBF4" w14:textId="77777777" w:rsidR="004E22C1" w:rsidRPr="001455DC" w:rsidRDefault="004E22C1" w:rsidP="0009382B">
            <w:pPr>
              <w:pStyle w:val="Tablebody"/>
              <w:jc w:val="center"/>
            </w:pPr>
            <w:r w:rsidRPr="001455DC">
              <w:t>0,80</w:t>
            </w:r>
          </w:p>
        </w:tc>
        <w:tc>
          <w:tcPr>
            <w:tcW w:w="1219" w:type="dxa"/>
            <w:vMerge w:val="restart"/>
            <w:tcBorders>
              <w:top w:val="single" w:sz="12" w:space="0" w:color="000000"/>
              <w:left w:val="single" w:sz="12" w:space="0" w:color="000000"/>
              <w:bottom w:val="single" w:sz="6" w:space="0" w:color="000000"/>
            </w:tcBorders>
            <w:vAlign w:val="center"/>
          </w:tcPr>
          <w:p w14:paraId="73C7A04C" w14:textId="77777777" w:rsidR="004E22C1" w:rsidRPr="001455DC" w:rsidRDefault="004E22C1" w:rsidP="0009382B">
            <w:pPr>
              <w:pStyle w:val="Tablebody"/>
              <w:jc w:val="center"/>
            </w:pPr>
            <w:r w:rsidRPr="001455DC">
              <w:t>(1)</w:t>
            </w:r>
          </w:p>
        </w:tc>
        <w:tc>
          <w:tcPr>
            <w:tcW w:w="1219" w:type="dxa"/>
            <w:tcBorders>
              <w:top w:val="single" w:sz="12" w:space="0" w:color="000000"/>
            </w:tcBorders>
            <w:vAlign w:val="center"/>
            <w:hideMark/>
          </w:tcPr>
          <w:p w14:paraId="4C5D6996" w14:textId="27362A37" w:rsidR="004E22C1" w:rsidRPr="001455DC" w:rsidRDefault="00650035" w:rsidP="0009382B">
            <w:pPr>
              <w:pStyle w:val="Tablebody"/>
              <w:jc w:val="center"/>
            </w:pPr>
            <w:r w:rsidRPr="001455DC">
              <w:rPr>
                <w:rFonts w:ascii="Cambria Math" w:hAnsi="Cambria Math"/>
              </w:rPr>
              <w:t>≤</w:t>
            </w:r>
            <w:r w:rsidR="004E22C1" w:rsidRPr="001455DC">
              <w:t> 2</w:t>
            </w:r>
          </w:p>
        </w:tc>
        <w:tc>
          <w:tcPr>
            <w:tcW w:w="1219" w:type="dxa"/>
            <w:tcBorders>
              <w:top w:val="single" w:sz="12" w:space="0" w:color="000000"/>
            </w:tcBorders>
            <w:vAlign w:val="center"/>
            <w:hideMark/>
          </w:tcPr>
          <w:p w14:paraId="36A88193" w14:textId="77777777" w:rsidR="004E22C1" w:rsidRPr="001455DC" w:rsidRDefault="004E22C1" w:rsidP="0009382B">
            <w:pPr>
              <w:pStyle w:val="Tablebody"/>
              <w:jc w:val="center"/>
            </w:pPr>
            <w:r w:rsidRPr="001455DC">
              <w:t>0,70</w:t>
            </w:r>
          </w:p>
        </w:tc>
        <w:tc>
          <w:tcPr>
            <w:tcW w:w="1219" w:type="dxa"/>
            <w:tcBorders>
              <w:top w:val="single" w:sz="12" w:space="0" w:color="000000"/>
            </w:tcBorders>
            <w:vAlign w:val="center"/>
            <w:hideMark/>
          </w:tcPr>
          <w:p w14:paraId="797FB552" w14:textId="77777777" w:rsidR="004E22C1" w:rsidRPr="001455DC" w:rsidRDefault="004E22C1" w:rsidP="0009382B">
            <w:pPr>
              <w:pStyle w:val="Tablebody"/>
              <w:jc w:val="center"/>
            </w:pPr>
            <w:r w:rsidRPr="001455DC">
              <w:t>0,75</w:t>
            </w:r>
          </w:p>
        </w:tc>
      </w:tr>
      <w:tr w:rsidR="004E22C1" w:rsidRPr="001455DC" w14:paraId="101532CC" w14:textId="77777777" w:rsidTr="0009382B">
        <w:trPr>
          <w:cantSplit/>
        </w:trPr>
        <w:tc>
          <w:tcPr>
            <w:tcW w:w="1219" w:type="dxa"/>
            <w:vMerge/>
            <w:vAlign w:val="center"/>
          </w:tcPr>
          <w:p w14:paraId="6E1B78A3" w14:textId="77777777" w:rsidR="004E22C1" w:rsidRPr="001455DC" w:rsidRDefault="004E22C1" w:rsidP="0009382B">
            <w:pPr>
              <w:pStyle w:val="Tablebody"/>
              <w:jc w:val="center"/>
            </w:pPr>
          </w:p>
        </w:tc>
        <w:tc>
          <w:tcPr>
            <w:tcW w:w="1219" w:type="dxa"/>
            <w:vAlign w:val="center"/>
            <w:hideMark/>
          </w:tcPr>
          <w:p w14:paraId="2EEFFA8E" w14:textId="21D48698" w:rsidR="004E22C1" w:rsidRPr="001455DC" w:rsidRDefault="00650035" w:rsidP="0009382B">
            <w:pPr>
              <w:pStyle w:val="Tablebody"/>
              <w:jc w:val="center"/>
            </w:pPr>
            <w:r w:rsidRPr="001455DC">
              <w:rPr>
                <w:rFonts w:ascii="Cambria Math" w:hAnsi="Cambria Math"/>
              </w:rPr>
              <w:t>≥</w:t>
            </w:r>
            <w:r w:rsidR="00073FC6" w:rsidRPr="001455DC">
              <w:t> </w:t>
            </w:r>
            <w:r w:rsidR="004E22C1" w:rsidRPr="001455DC">
              <w:t>20</w:t>
            </w:r>
          </w:p>
        </w:tc>
        <w:tc>
          <w:tcPr>
            <w:tcW w:w="1219" w:type="dxa"/>
            <w:vAlign w:val="center"/>
            <w:hideMark/>
          </w:tcPr>
          <w:p w14:paraId="476BDE72" w14:textId="77777777" w:rsidR="004E22C1" w:rsidRPr="001455DC" w:rsidRDefault="004E22C1" w:rsidP="0009382B">
            <w:pPr>
              <w:pStyle w:val="Tablebody"/>
              <w:jc w:val="center"/>
            </w:pPr>
            <w:r w:rsidRPr="001455DC">
              <w:t>0,70</w:t>
            </w:r>
          </w:p>
        </w:tc>
        <w:tc>
          <w:tcPr>
            <w:tcW w:w="1219" w:type="dxa"/>
            <w:tcBorders>
              <w:right w:val="single" w:sz="12" w:space="0" w:color="000000"/>
            </w:tcBorders>
            <w:vAlign w:val="center"/>
            <w:hideMark/>
          </w:tcPr>
          <w:p w14:paraId="1041927C" w14:textId="77777777" w:rsidR="004E22C1" w:rsidRPr="001455DC" w:rsidRDefault="004E22C1" w:rsidP="0009382B">
            <w:pPr>
              <w:pStyle w:val="Tablebody"/>
              <w:jc w:val="center"/>
            </w:pPr>
            <w:r w:rsidRPr="001455DC">
              <w:t>0,70</w:t>
            </w:r>
          </w:p>
        </w:tc>
        <w:tc>
          <w:tcPr>
            <w:tcW w:w="1219" w:type="dxa"/>
            <w:vMerge/>
            <w:tcBorders>
              <w:left w:val="single" w:sz="12" w:space="0" w:color="000000"/>
              <w:bottom w:val="single" w:sz="6" w:space="0" w:color="000000"/>
            </w:tcBorders>
            <w:vAlign w:val="center"/>
          </w:tcPr>
          <w:p w14:paraId="3E9D5512" w14:textId="77777777" w:rsidR="004E22C1" w:rsidRPr="001455DC" w:rsidRDefault="004E22C1" w:rsidP="0009382B">
            <w:pPr>
              <w:pStyle w:val="Tablebody"/>
              <w:jc w:val="center"/>
            </w:pPr>
          </w:p>
        </w:tc>
        <w:tc>
          <w:tcPr>
            <w:tcW w:w="1219" w:type="dxa"/>
            <w:vAlign w:val="center"/>
            <w:hideMark/>
          </w:tcPr>
          <w:p w14:paraId="34D56BF5" w14:textId="30D18E36" w:rsidR="004E22C1" w:rsidRPr="001455DC" w:rsidRDefault="00650035" w:rsidP="0009382B">
            <w:pPr>
              <w:pStyle w:val="Tablebody"/>
              <w:jc w:val="center"/>
            </w:pPr>
            <w:r w:rsidRPr="001455DC">
              <w:rPr>
                <w:rFonts w:ascii="Cambria Math" w:hAnsi="Cambria Math"/>
              </w:rPr>
              <w:t>≥</w:t>
            </w:r>
            <w:r w:rsidR="00073FC6" w:rsidRPr="001455DC">
              <w:t> </w:t>
            </w:r>
            <w:r w:rsidR="004E22C1" w:rsidRPr="001455DC">
              <w:t>20</w:t>
            </w:r>
          </w:p>
        </w:tc>
        <w:tc>
          <w:tcPr>
            <w:tcW w:w="1219" w:type="dxa"/>
            <w:vAlign w:val="center"/>
            <w:hideMark/>
          </w:tcPr>
          <w:p w14:paraId="7A9B565D" w14:textId="77777777" w:rsidR="004E22C1" w:rsidRPr="001455DC" w:rsidRDefault="004E22C1" w:rsidP="0009382B">
            <w:pPr>
              <w:pStyle w:val="Tablebody"/>
              <w:jc w:val="center"/>
            </w:pPr>
            <w:r w:rsidRPr="001455DC">
              <w:t>0,85</w:t>
            </w:r>
          </w:p>
        </w:tc>
        <w:tc>
          <w:tcPr>
            <w:tcW w:w="1219" w:type="dxa"/>
            <w:vAlign w:val="center"/>
            <w:hideMark/>
          </w:tcPr>
          <w:p w14:paraId="344D2F1D" w14:textId="77777777" w:rsidR="004E22C1" w:rsidRPr="001455DC" w:rsidRDefault="004E22C1" w:rsidP="0009382B">
            <w:pPr>
              <w:pStyle w:val="Tablebody"/>
              <w:jc w:val="center"/>
            </w:pPr>
            <w:r w:rsidRPr="001455DC">
              <w:t>0,85</w:t>
            </w:r>
          </w:p>
        </w:tc>
      </w:tr>
      <w:tr w:rsidR="004E22C1" w:rsidRPr="001455DC" w14:paraId="4FE41EA6" w14:textId="77777777" w:rsidTr="0009382B">
        <w:trPr>
          <w:cantSplit/>
        </w:trPr>
        <w:tc>
          <w:tcPr>
            <w:tcW w:w="1219" w:type="dxa"/>
            <w:vMerge w:val="restart"/>
            <w:vAlign w:val="center"/>
          </w:tcPr>
          <w:p w14:paraId="184A659F" w14:textId="77777777" w:rsidR="004E22C1" w:rsidRPr="001455DC" w:rsidRDefault="004E22C1" w:rsidP="0009382B">
            <w:pPr>
              <w:pStyle w:val="Tablebody"/>
              <w:jc w:val="center"/>
            </w:pPr>
            <w:r w:rsidRPr="001455DC">
              <w:t>(2)</w:t>
            </w:r>
          </w:p>
        </w:tc>
        <w:tc>
          <w:tcPr>
            <w:tcW w:w="1219" w:type="dxa"/>
            <w:vAlign w:val="center"/>
            <w:hideMark/>
          </w:tcPr>
          <w:p w14:paraId="7929505C" w14:textId="2E83CD93" w:rsidR="004E22C1" w:rsidRPr="001455DC" w:rsidRDefault="00650035" w:rsidP="0009382B">
            <w:pPr>
              <w:pStyle w:val="Tablebody"/>
              <w:jc w:val="center"/>
            </w:pPr>
            <w:r w:rsidRPr="001455DC">
              <w:rPr>
                <w:rFonts w:ascii="Cambria Math" w:hAnsi="Cambria Math"/>
              </w:rPr>
              <w:t>≤</w:t>
            </w:r>
            <w:r w:rsidR="004E22C1" w:rsidRPr="001455DC">
              <w:t> 2</w:t>
            </w:r>
          </w:p>
        </w:tc>
        <w:tc>
          <w:tcPr>
            <w:tcW w:w="1219" w:type="dxa"/>
            <w:vAlign w:val="center"/>
            <w:hideMark/>
          </w:tcPr>
          <w:p w14:paraId="40FCE430" w14:textId="77777777" w:rsidR="004E22C1" w:rsidRPr="001455DC" w:rsidRDefault="004E22C1" w:rsidP="0009382B">
            <w:pPr>
              <w:pStyle w:val="Tablebody"/>
              <w:jc w:val="center"/>
            </w:pPr>
            <w:r w:rsidRPr="001455DC">
              <w:t>1,10</w:t>
            </w:r>
          </w:p>
        </w:tc>
        <w:tc>
          <w:tcPr>
            <w:tcW w:w="1219" w:type="dxa"/>
            <w:tcBorders>
              <w:right w:val="single" w:sz="12" w:space="0" w:color="000000"/>
            </w:tcBorders>
            <w:vAlign w:val="center"/>
            <w:hideMark/>
          </w:tcPr>
          <w:p w14:paraId="40CAEE90" w14:textId="77777777" w:rsidR="004E22C1" w:rsidRPr="001455DC" w:rsidRDefault="004E22C1" w:rsidP="0009382B">
            <w:pPr>
              <w:pStyle w:val="Tablebody"/>
              <w:jc w:val="center"/>
            </w:pPr>
            <w:r w:rsidRPr="001455DC">
              <w:t>1,20</w:t>
            </w:r>
          </w:p>
        </w:tc>
        <w:tc>
          <w:tcPr>
            <w:tcW w:w="1219" w:type="dxa"/>
            <w:vMerge w:val="restart"/>
            <w:tcBorders>
              <w:left w:val="single" w:sz="12" w:space="0" w:color="000000"/>
              <w:bottom w:val="single" w:sz="6" w:space="0" w:color="000000"/>
            </w:tcBorders>
            <w:vAlign w:val="center"/>
          </w:tcPr>
          <w:p w14:paraId="442EDE15" w14:textId="77777777" w:rsidR="004E22C1" w:rsidRPr="001455DC" w:rsidRDefault="004E22C1" w:rsidP="0009382B">
            <w:pPr>
              <w:pStyle w:val="Tablebody"/>
              <w:jc w:val="center"/>
            </w:pPr>
            <w:r w:rsidRPr="001455DC">
              <w:t>(2)</w:t>
            </w:r>
          </w:p>
        </w:tc>
        <w:tc>
          <w:tcPr>
            <w:tcW w:w="1219" w:type="dxa"/>
            <w:vAlign w:val="center"/>
            <w:hideMark/>
          </w:tcPr>
          <w:p w14:paraId="550AA850" w14:textId="6BB7A5C9" w:rsidR="004E22C1" w:rsidRPr="001455DC" w:rsidRDefault="00650035" w:rsidP="0009382B">
            <w:pPr>
              <w:pStyle w:val="Tablebody"/>
              <w:jc w:val="center"/>
            </w:pPr>
            <w:r w:rsidRPr="001455DC">
              <w:rPr>
                <w:rFonts w:ascii="Cambria Math" w:hAnsi="Cambria Math"/>
              </w:rPr>
              <w:t>≤</w:t>
            </w:r>
            <w:r w:rsidR="004E22C1" w:rsidRPr="001455DC">
              <w:t> 2</w:t>
            </w:r>
          </w:p>
        </w:tc>
        <w:tc>
          <w:tcPr>
            <w:tcW w:w="1219" w:type="dxa"/>
            <w:vAlign w:val="center"/>
            <w:hideMark/>
          </w:tcPr>
          <w:p w14:paraId="14E7F95B" w14:textId="77777777" w:rsidR="004E22C1" w:rsidRPr="001455DC" w:rsidRDefault="004E22C1" w:rsidP="0009382B">
            <w:pPr>
              <w:pStyle w:val="Tablebody"/>
              <w:jc w:val="center"/>
            </w:pPr>
            <w:r w:rsidRPr="001455DC">
              <w:t>1,10</w:t>
            </w:r>
          </w:p>
        </w:tc>
        <w:tc>
          <w:tcPr>
            <w:tcW w:w="1219" w:type="dxa"/>
            <w:vAlign w:val="center"/>
            <w:hideMark/>
          </w:tcPr>
          <w:p w14:paraId="2255C7F1" w14:textId="77777777" w:rsidR="004E22C1" w:rsidRPr="001455DC" w:rsidRDefault="004E22C1" w:rsidP="0009382B">
            <w:pPr>
              <w:pStyle w:val="Tablebody"/>
              <w:jc w:val="center"/>
            </w:pPr>
            <w:r w:rsidRPr="001455DC">
              <w:t>1,15</w:t>
            </w:r>
          </w:p>
        </w:tc>
      </w:tr>
      <w:tr w:rsidR="004E22C1" w:rsidRPr="001455DC" w14:paraId="5DFFCF78" w14:textId="77777777" w:rsidTr="0009382B">
        <w:trPr>
          <w:cantSplit/>
        </w:trPr>
        <w:tc>
          <w:tcPr>
            <w:tcW w:w="1219" w:type="dxa"/>
            <w:vMerge/>
            <w:vAlign w:val="center"/>
          </w:tcPr>
          <w:p w14:paraId="7D78A5AF" w14:textId="77777777" w:rsidR="004E22C1" w:rsidRPr="001455DC" w:rsidRDefault="004E22C1" w:rsidP="0009382B">
            <w:pPr>
              <w:pStyle w:val="Tablebody"/>
              <w:jc w:val="center"/>
            </w:pPr>
          </w:p>
        </w:tc>
        <w:tc>
          <w:tcPr>
            <w:tcW w:w="1219" w:type="dxa"/>
            <w:vAlign w:val="center"/>
            <w:hideMark/>
          </w:tcPr>
          <w:p w14:paraId="1879338C" w14:textId="063B0F15" w:rsidR="004E22C1" w:rsidRPr="001455DC" w:rsidRDefault="00650035" w:rsidP="0009382B">
            <w:pPr>
              <w:pStyle w:val="Tablebody"/>
              <w:jc w:val="center"/>
            </w:pPr>
            <w:r w:rsidRPr="001455DC">
              <w:rPr>
                <w:rFonts w:ascii="Cambria Math" w:hAnsi="Cambria Math"/>
              </w:rPr>
              <w:t>≥</w:t>
            </w:r>
            <w:r w:rsidR="00073FC6" w:rsidRPr="001455DC">
              <w:t> </w:t>
            </w:r>
            <w:r w:rsidR="004E22C1" w:rsidRPr="001455DC">
              <w:t>20</w:t>
            </w:r>
          </w:p>
        </w:tc>
        <w:tc>
          <w:tcPr>
            <w:tcW w:w="1219" w:type="dxa"/>
            <w:vAlign w:val="center"/>
            <w:hideMark/>
          </w:tcPr>
          <w:p w14:paraId="7CBB36D5" w14:textId="77777777" w:rsidR="004E22C1" w:rsidRPr="001455DC" w:rsidRDefault="004E22C1" w:rsidP="0009382B">
            <w:pPr>
              <w:pStyle w:val="Tablebody"/>
              <w:jc w:val="center"/>
            </w:pPr>
            <w:r w:rsidRPr="001455DC">
              <w:t>0,70</w:t>
            </w:r>
          </w:p>
        </w:tc>
        <w:tc>
          <w:tcPr>
            <w:tcW w:w="1219" w:type="dxa"/>
            <w:tcBorders>
              <w:right w:val="single" w:sz="12" w:space="0" w:color="000000"/>
            </w:tcBorders>
            <w:vAlign w:val="center"/>
            <w:hideMark/>
          </w:tcPr>
          <w:p w14:paraId="35337354" w14:textId="77777777" w:rsidR="004E22C1" w:rsidRPr="001455DC" w:rsidRDefault="004E22C1" w:rsidP="0009382B">
            <w:pPr>
              <w:pStyle w:val="Tablebody"/>
              <w:jc w:val="center"/>
            </w:pPr>
            <w:r w:rsidRPr="001455DC">
              <w:t>0,70</w:t>
            </w:r>
          </w:p>
        </w:tc>
        <w:tc>
          <w:tcPr>
            <w:tcW w:w="1219" w:type="dxa"/>
            <w:vMerge/>
            <w:tcBorders>
              <w:left w:val="single" w:sz="12" w:space="0" w:color="000000"/>
              <w:bottom w:val="single" w:sz="6" w:space="0" w:color="000000"/>
            </w:tcBorders>
            <w:vAlign w:val="center"/>
          </w:tcPr>
          <w:p w14:paraId="11DC315D" w14:textId="77777777" w:rsidR="004E22C1" w:rsidRPr="001455DC" w:rsidRDefault="004E22C1" w:rsidP="0009382B">
            <w:pPr>
              <w:pStyle w:val="Tablebody"/>
              <w:jc w:val="center"/>
            </w:pPr>
          </w:p>
        </w:tc>
        <w:tc>
          <w:tcPr>
            <w:tcW w:w="1219" w:type="dxa"/>
            <w:vAlign w:val="center"/>
            <w:hideMark/>
          </w:tcPr>
          <w:p w14:paraId="475E7A14" w14:textId="784F86ED" w:rsidR="004E22C1" w:rsidRPr="001455DC" w:rsidRDefault="00650035" w:rsidP="0009382B">
            <w:pPr>
              <w:pStyle w:val="Tablebody"/>
              <w:jc w:val="center"/>
            </w:pPr>
            <w:r w:rsidRPr="001455DC">
              <w:rPr>
                <w:rFonts w:ascii="Cambria Math" w:hAnsi="Cambria Math"/>
              </w:rPr>
              <w:t>≥</w:t>
            </w:r>
            <w:r w:rsidR="00073FC6" w:rsidRPr="001455DC">
              <w:t> </w:t>
            </w:r>
            <w:r w:rsidR="004E22C1" w:rsidRPr="001455DC">
              <w:t>20</w:t>
            </w:r>
          </w:p>
        </w:tc>
        <w:tc>
          <w:tcPr>
            <w:tcW w:w="1219" w:type="dxa"/>
            <w:vAlign w:val="center"/>
            <w:hideMark/>
          </w:tcPr>
          <w:p w14:paraId="0E7E1B13" w14:textId="77777777" w:rsidR="004E22C1" w:rsidRPr="001455DC" w:rsidRDefault="004E22C1" w:rsidP="0009382B">
            <w:pPr>
              <w:pStyle w:val="Tablebody"/>
              <w:jc w:val="center"/>
            </w:pPr>
            <w:r w:rsidRPr="001455DC">
              <w:t>0,80</w:t>
            </w:r>
          </w:p>
        </w:tc>
        <w:tc>
          <w:tcPr>
            <w:tcW w:w="1219" w:type="dxa"/>
            <w:vAlign w:val="center"/>
            <w:hideMark/>
          </w:tcPr>
          <w:p w14:paraId="16E15829" w14:textId="77777777" w:rsidR="004E22C1" w:rsidRPr="001455DC" w:rsidRDefault="004E22C1" w:rsidP="0009382B">
            <w:pPr>
              <w:pStyle w:val="Tablebody"/>
              <w:jc w:val="center"/>
            </w:pPr>
            <w:r w:rsidRPr="001455DC">
              <w:t>0,85</w:t>
            </w:r>
          </w:p>
        </w:tc>
      </w:tr>
      <w:tr w:rsidR="004E22C1" w:rsidRPr="000250B6" w14:paraId="11AFC307" w14:textId="77777777" w:rsidTr="0009382B">
        <w:trPr>
          <w:cantSplit/>
        </w:trPr>
        <w:tc>
          <w:tcPr>
            <w:tcW w:w="9752" w:type="dxa"/>
            <w:gridSpan w:val="8"/>
            <w:vAlign w:val="center"/>
          </w:tcPr>
          <w:p w14:paraId="2DAFB378" w14:textId="689D6FD1" w:rsidR="00CC376D" w:rsidRPr="001455DC" w:rsidRDefault="004E22C1" w:rsidP="00A945AF">
            <w:pPr>
              <w:pStyle w:val="KeyText"/>
              <w:rPr>
                <w:lang w:val="en-US"/>
              </w:rPr>
            </w:pPr>
            <w:r w:rsidRPr="009D3012">
              <w:rPr>
                <w:rStyle w:val="CCMCvariableitalic"/>
                <w:lang w:val="en-US"/>
              </w:rPr>
              <w:t>STM</w:t>
            </w:r>
            <w:r w:rsidRPr="009D3012">
              <w:rPr>
                <w:lang w:val="en-US"/>
              </w:rPr>
              <w:t xml:space="preserve"> – standard traffic mix,</w:t>
            </w:r>
          </w:p>
          <w:p w14:paraId="39C71FBC" w14:textId="248216C1" w:rsidR="004E22C1" w:rsidRPr="009D3012" w:rsidRDefault="004E22C1" w:rsidP="00A945AF">
            <w:pPr>
              <w:pStyle w:val="KeyText"/>
              <w:rPr>
                <w:lang w:val="en-US"/>
              </w:rPr>
            </w:pPr>
            <w:r w:rsidRPr="009D3012">
              <w:rPr>
                <w:rStyle w:val="CCMCvariableitalic"/>
                <w:lang w:val="en-US"/>
              </w:rPr>
              <w:t>HTM</w:t>
            </w:r>
            <w:r w:rsidRPr="009D3012">
              <w:rPr>
                <w:lang w:val="en-US"/>
              </w:rPr>
              <w:t xml:space="preserve"> – heavy traffic mix</w:t>
            </w:r>
          </w:p>
          <w:p w14:paraId="42A880A3" w14:textId="7AD79E88" w:rsidR="0017659B" w:rsidRPr="00FA575F" w:rsidRDefault="004E22C1" w:rsidP="00A945AF">
            <w:pPr>
              <w:pStyle w:val="KeyText"/>
              <w:rPr>
                <w:lang w:val="it-IT"/>
              </w:rPr>
            </w:pPr>
            <w:r w:rsidRPr="00FA575F">
              <w:rPr>
                <w:lang w:val="it-IT"/>
              </w:rPr>
              <w:t>(1)</w:t>
            </w:r>
            <w:r w:rsidRPr="00FA575F">
              <w:rPr>
                <w:lang w:val="it-IT"/>
              </w:rPr>
              <w:tab/>
              <w:t>compression zone</w:t>
            </w:r>
          </w:p>
          <w:p w14:paraId="271953C7" w14:textId="70BAA067" w:rsidR="004E22C1" w:rsidRPr="00FA575F" w:rsidRDefault="004E22C1" w:rsidP="00A945AF">
            <w:pPr>
              <w:pStyle w:val="KeyText"/>
              <w:rPr>
                <w:lang w:val="it-IT"/>
              </w:rPr>
            </w:pPr>
            <w:r w:rsidRPr="00FA575F">
              <w:rPr>
                <w:lang w:val="it-IT"/>
              </w:rPr>
              <w:t>(2) precompressed tensile zone</w:t>
            </w:r>
          </w:p>
        </w:tc>
      </w:tr>
      <w:tr w:rsidR="00CC376D" w:rsidRPr="001455DC" w14:paraId="226F5FE5" w14:textId="77777777" w:rsidTr="0009382B">
        <w:trPr>
          <w:cnfStyle w:val="010000000000" w:firstRow="0" w:lastRow="1" w:firstColumn="0" w:lastColumn="0" w:oddVBand="0" w:evenVBand="0" w:oddHBand="0" w:evenHBand="0" w:firstRowFirstColumn="0" w:firstRowLastColumn="0" w:lastRowFirstColumn="0" w:lastRowLastColumn="0"/>
          <w:cantSplit/>
        </w:trPr>
        <w:tc>
          <w:tcPr>
            <w:tcW w:w="9752" w:type="dxa"/>
            <w:gridSpan w:val="8"/>
            <w:vAlign w:val="center"/>
          </w:tcPr>
          <w:p w14:paraId="4A25AD1F" w14:textId="46EF2553" w:rsidR="00CC376D" w:rsidRPr="001455DC" w:rsidDel="00CC376D" w:rsidRDefault="00CC376D" w:rsidP="00A945AF">
            <w:pPr>
              <w:pStyle w:val="KeyText"/>
              <w:rPr>
                <w:lang w:val="en-US"/>
              </w:rPr>
            </w:pPr>
            <w:r w:rsidRPr="001455DC">
              <w:rPr>
                <w:lang w:val="en-US"/>
              </w:rPr>
              <w:t>NOTE</w:t>
            </w:r>
            <w:r w:rsidRPr="001455DC">
              <w:rPr>
                <w:lang w:val="en-US"/>
              </w:rPr>
              <w:tab/>
            </w:r>
            <w:r w:rsidRPr="001455DC">
              <w:rPr>
                <w:lang w:val="en-US"/>
              </w:rPr>
              <w:tab/>
            </w:r>
            <w:r w:rsidRPr="009D3012">
              <w:rPr>
                <w:lang w:val="en-US"/>
              </w:rPr>
              <w:t xml:space="preserve">Interpolation between the given </w:t>
            </w:r>
            <w:r w:rsidRPr="009D3012">
              <w:rPr>
                <w:rStyle w:val="CCMCvariableitalic"/>
                <w:lang w:val="en-US"/>
              </w:rPr>
              <w:t>L</w:t>
            </w:r>
            <w:r w:rsidRPr="009D3012">
              <w:rPr>
                <w:lang w:val="en-US"/>
              </w:rPr>
              <w:t xml:space="preserve">-values according to Formula (K.3) is allowed, with </w:t>
            </w:r>
            <w:r w:rsidRPr="001455DC">
              <w:rPr>
                <w:rStyle w:val="CCMCvariableitalic"/>
              </w:rPr>
              <w:t>λ</w:t>
            </w:r>
            <w:r w:rsidRPr="009D3012">
              <w:rPr>
                <w:rStyle w:val="CCMCvariablesubscript"/>
                <w:lang w:val="en-US"/>
              </w:rPr>
              <w:t>s,1</w:t>
            </w:r>
            <w:r w:rsidRPr="009D3012">
              <w:rPr>
                <w:lang w:val="en-US"/>
              </w:rPr>
              <w:t xml:space="preserve"> replaced </w:t>
            </w:r>
            <w:r w:rsidRPr="001455DC">
              <w:rPr>
                <w:lang w:val="en-US"/>
              </w:rPr>
              <w:tab/>
            </w:r>
            <w:r w:rsidRPr="001455DC">
              <w:rPr>
                <w:lang w:val="en-US"/>
              </w:rPr>
              <w:tab/>
            </w:r>
            <w:r w:rsidRPr="001455DC">
              <w:rPr>
                <w:lang w:val="en-US"/>
              </w:rPr>
              <w:tab/>
            </w:r>
            <w:r w:rsidRPr="009D3012">
              <w:rPr>
                <w:lang w:val="en-US"/>
              </w:rPr>
              <w:t xml:space="preserve">by </w:t>
            </w:r>
            <w:r w:rsidRPr="001455DC">
              <w:rPr>
                <w:rStyle w:val="CCMCvariableitalic"/>
              </w:rPr>
              <w:t>λ</w:t>
            </w:r>
            <w:r w:rsidRPr="009D3012">
              <w:rPr>
                <w:rStyle w:val="CCMCvariablesubscript"/>
                <w:lang w:val="en-US"/>
              </w:rPr>
              <w:t>c,1</w:t>
            </w:r>
            <w:r w:rsidRPr="009D3012">
              <w:rPr>
                <w:lang w:val="en-US"/>
              </w:rPr>
              <w:t>.</w:t>
            </w:r>
          </w:p>
        </w:tc>
      </w:tr>
    </w:tbl>
    <w:p w14:paraId="1ED98CD5" w14:textId="3CE9C00B" w:rsidR="004E22C1" w:rsidRPr="001455DC" w:rsidRDefault="004E22C1" w:rsidP="0009382B">
      <w:pPr>
        <w:pStyle w:val="a7"/>
      </w:pPr>
    </w:p>
    <w:p w14:paraId="1AFC7E14" w14:textId="6C5C3E99" w:rsidR="004E22C1" w:rsidRPr="001455DC" w:rsidRDefault="004E22C1" w:rsidP="00082680">
      <w:pPr>
        <w:pStyle w:val="a2"/>
      </w:pPr>
      <w:bookmarkStart w:id="2170" w:name="_Toc52820356"/>
      <w:bookmarkStart w:id="2171" w:name="_Toc54337218"/>
      <w:bookmarkStart w:id="2172" w:name="_Toc54337789"/>
      <w:bookmarkStart w:id="2173" w:name="_Toc54338404"/>
      <w:bookmarkStart w:id="2174" w:name="_Toc67565622"/>
      <w:r w:rsidRPr="001455DC">
        <w:t>Detailing of reinforcement and post-tensioning tendons</w:t>
      </w:r>
      <w:bookmarkEnd w:id="2170"/>
      <w:bookmarkEnd w:id="2171"/>
      <w:bookmarkEnd w:id="2172"/>
      <w:bookmarkEnd w:id="2173"/>
      <w:bookmarkEnd w:id="2174"/>
    </w:p>
    <w:p w14:paraId="637D8FAB" w14:textId="07147E43" w:rsidR="004E22C1" w:rsidRPr="001455DC" w:rsidRDefault="004E22C1" w:rsidP="0009382B">
      <w:pPr>
        <w:pStyle w:val="Note"/>
      </w:pPr>
      <w:r w:rsidRPr="001455DC">
        <w:t>NOTE</w:t>
      </w:r>
      <w:r w:rsidRPr="001455DC">
        <w:tab/>
        <w:t xml:space="preserve">See </w:t>
      </w:r>
      <w:r w:rsidR="001710FF" w:rsidRPr="001455DC">
        <w:t>Clause </w:t>
      </w:r>
      <w:r w:rsidRPr="001455DC">
        <w:t>11.</w:t>
      </w:r>
    </w:p>
    <w:p w14:paraId="62FD7B1F" w14:textId="455FA9F9" w:rsidR="004E22C1" w:rsidRPr="001455DC" w:rsidRDefault="004E22C1" w:rsidP="00082680">
      <w:pPr>
        <w:pStyle w:val="a2"/>
      </w:pPr>
      <w:bookmarkStart w:id="2175" w:name="_Toc52820357"/>
      <w:bookmarkStart w:id="2176" w:name="_Toc54337219"/>
      <w:bookmarkStart w:id="2177" w:name="_Toc54337790"/>
      <w:bookmarkStart w:id="2178" w:name="_Toc54338405"/>
      <w:bookmarkStart w:id="2179" w:name="_Toc67565623"/>
      <w:r w:rsidRPr="001455DC">
        <w:t>Detailing of members and particular rules</w:t>
      </w:r>
      <w:bookmarkEnd w:id="2175"/>
      <w:bookmarkEnd w:id="2176"/>
      <w:bookmarkEnd w:id="2177"/>
      <w:bookmarkEnd w:id="2178"/>
      <w:bookmarkEnd w:id="2179"/>
    </w:p>
    <w:p w14:paraId="31693299" w14:textId="308DA780" w:rsidR="004E22C1" w:rsidRPr="001455DC" w:rsidRDefault="004E22C1" w:rsidP="00243590">
      <w:pPr>
        <w:pStyle w:val="a3"/>
      </w:pPr>
      <w:bookmarkStart w:id="2180" w:name="_Toc52820358"/>
      <w:bookmarkStart w:id="2181" w:name="_Toc54337791"/>
      <w:bookmarkStart w:id="2182" w:name="_Toc54338406"/>
      <w:r w:rsidRPr="001455DC">
        <w:t>General</w:t>
      </w:r>
      <w:bookmarkEnd w:id="2180"/>
      <w:bookmarkEnd w:id="2181"/>
      <w:bookmarkEnd w:id="2182"/>
    </w:p>
    <w:p w14:paraId="2BC6E55C" w14:textId="6091BE0B" w:rsidR="004E22C1" w:rsidRPr="001455DC" w:rsidRDefault="004E22C1" w:rsidP="0009382B">
      <w:pPr>
        <w:pStyle w:val="a7"/>
      </w:pPr>
      <w:r w:rsidRPr="001455DC">
        <w:t>(1)</w:t>
      </w:r>
      <w:r w:rsidRPr="001455DC">
        <w:tab/>
        <w:t xml:space="preserve">12.9 shall not be applied. The following clauses supplement </w:t>
      </w:r>
      <w:r w:rsidR="001710FF" w:rsidRPr="001455DC">
        <w:t>Clause </w:t>
      </w:r>
      <w:r w:rsidRPr="001455DC">
        <w:t>12 with provisions specific to bridges and particular types of bridges.</w:t>
      </w:r>
    </w:p>
    <w:p w14:paraId="0859C2BB" w14:textId="77777777" w:rsidR="004E22C1" w:rsidRPr="001455DC" w:rsidRDefault="004E22C1" w:rsidP="0009382B">
      <w:pPr>
        <w:pStyle w:val="a7"/>
      </w:pPr>
      <w:r w:rsidRPr="001455DC">
        <w:t>(2)</w:t>
      </w:r>
      <w:r w:rsidRPr="001455DC">
        <w:tab/>
        <w:t>Voids in structural members should be drained.</w:t>
      </w:r>
    </w:p>
    <w:p w14:paraId="76903E45" w14:textId="75F3A97A" w:rsidR="004E22C1" w:rsidRPr="001455DC" w:rsidRDefault="004E22C1" w:rsidP="00243590">
      <w:pPr>
        <w:pStyle w:val="a3"/>
      </w:pPr>
      <w:bookmarkStart w:id="2183" w:name="_Toc52820359"/>
      <w:bookmarkStart w:id="2184" w:name="_Toc54337792"/>
      <w:bookmarkStart w:id="2185" w:name="_Toc54338407"/>
      <w:r w:rsidRPr="001455DC">
        <w:t>Minimum reinforcement rules</w:t>
      </w:r>
      <w:bookmarkEnd w:id="2183"/>
      <w:bookmarkEnd w:id="2184"/>
      <w:bookmarkEnd w:id="2185"/>
    </w:p>
    <w:p w14:paraId="16B1E211" w14:textId="6E792A8E" w:rsidR="004E22C1" w:rsidRPr="001455DC" w:rsidRDefault="004E22C1" w:rsidP="00F77658">
      <w:pPr>
        <w:pStyle w:val="a7"/>
        <w:keepNext/>
      </w:pPr>
      <w:r w:rsidRPr="001455DC">
        <w:t>(1)</w:t>
      </w:r>
      <w:r w:rsidRPr="001455DC">
        <w:tab/>
        <w:t>Brittle failure of bridges due loss of cross</w:t>
      </w:r>
      <w:r w:rsidR="00B10711" w:rsidRPr="001455DC">
        <w:t xml:space="preserve"> </w:t>
      </w:r>
      <w:r w:rsidRPr="001455DC">
        <w:t>section of prestressing tendons (e.g. due to corrosion) should be prevented. Methods a) or b) below may be applied:</w:t>
      </w:r>
    </w:p>
    <w:p w14:paraId="413A6989" w14:textId="7DE8CC5E" w:rsidR="004E22C1" w:rsidRPr="001455DC" w:rsidRDefault="004E22C1" w:rsidP="00082680">
      <w:pPr>
        <w:pStyle w:val="a0"/>
        <w:keepNext/>
        <w:numPr>
          <w:ilvl w:val="0"/>
          <w:numId w:val="42"/>
        </w:numPr>
      </w:pPr>
      <w:r w:rsidRPr="001455DC">
        <w:t>Check that the structure with the remaining prestressing has sufficient strength for the traffic load combination. The requirement may be verified by the following procedure:</w:t>
      </w:r>
    </w:p>
    <w:p w14:paraId="78EF91EB" w14:textId="77777777" w:rsidR="004E22C1" w:rsidRPr="001455DC" w:rsidRDefault="004E22C1" w:rsidP="0009382B">
      <w:pPr>
        <w:pStyle w:val="2"/>
        <w:numPr>
          <w:ilvl w:val="0"/>
          <w:numId w:val="0"/>
        </w:numPr>
        <w:ind w:left="924" w:hanging="567"/>
      </w:pPr>
      <w:r w:rsidRPr="001455DC">
        <w:t>(i)</w:t>
      </w:r>
      <w:r w:rsidRPr="001455DC">
        <w:tab/>
        <w:t>Calculate the maximum sagging and hogging</w:t>
      </w:r>
      <w:r w:rsidRPr="001455DC">
        <w:rPr>
          <w:iCs/>
        </w:rPr>
        <w:t xml:space="preserve"> </w:t>
      </w:r>
      <w:r w:rsidRPr="001455DC">
        <w:t xml:space="preserve">bending moments in each span due to the frequent combination of actions, </w:t>
      </w:r>
      <w:r w:rsidRPr="001455DC">
        <w:rPr>
          <w:rStyle w:val="CCMCvariableitalic"/>
        </w:rPr>
        <w:t>M</w:t>
      </w:r>
      <w:r w:rsidRPr="001455DC">
        <w:rPr>
          <w:rStyle w:val="CCMCvariablesubscript"/>
        </w:rPr>
        <w:t>Ed,freq</w:t>
      </w:r>
      <w:r w:rsidRPr="001455DC">
        <w:t>.</w:t>
      </w:r>
    </w:p>
    <w:p w14:paraId="19BDECD1" w14:textId="39626B25" w:rsidR="004E22C1" w:rsidRPr="001455DC" w:rsidRDefault="004E22C1" w:rsidP="0009382B">
      <w:pPr>
        <w:pStyle w:val="2"/>
        <w:numPr>
          <w:ilvl w:val="0"/>
          <w:numId w:val="0"/>
        </w:numPr>
        <w:ind w:left="924" w:hanging="567"/>
      </w:pPr>
      <w:r w:rsidRPr="001455DC">
        <w:t>(ii)</w:t>
      </w:r>
      <w:r w:rsidRPr="001455DC">
        <w:tab/>
        <w:t>Determine the reduced cross</w:t>
      </w:r>
      <w:r w:rsidR="00B10711" w:rsidRPr="001455DC">
        <w:t xml:space="preserve"> </w:t>
      </w:r>
      <w:r w:rsidRPr="001455DC">
        <w:t xml:space="preserve">sectional area of prestressing, </w:t>
      </w:r>
      <w:r w:rsidRPr="001455DC">
        <w:rPr>
          <w:rStyle w:val="CCMCvariableitalic"/>
        </w:rPr>
        <w:t>A</w:t>
      </w:r>
      <w:r w:rsidRPr="001455DC">
        <w:rPr>
          <w:rStyle w:val="CCMCvariablesubscript"/>
        </w:rPr>
        <w:t>p,red</w:t>
      </w:r>
      <w:r w:rsidRPr="001455DC">
        <w:t xml:space="preserve">, and corresponding prestressing load resultants that make the tensile stress reach </w:t>
      </w:r>
      <w:r w:rsidRPr="001455DC">
        <w:rPr>
          <w:rStyle w:val="CCMCvariableitalic"/>
        </w:rPr>
        <w:t>f</w:t>
      </w:r>
      <w:r w:rsidRPr="001455DC">
        <w:rPr>
          <w:rStyle w:val="CCMCvariablesubscript"/>
        </w:rPr>
        <w:t>ctm</w:t>
      </w:r>
      <w:r w:rsidRPr="001455DC">
        <w:t xml:space="preserve"> at the extreme tension fibre when the section is subject to </w:t>
      </w:r>
      <w:r w:rsidRPr="001455DC">
        <w:rPr>
          <w:rStyle w:val="CCMCvariableitalic"/>
        </w:rPr>
        <w:t>M</w:t>
      </w:r>
      <w:r w:rsidRPr="001455DC">
        <w:rPr>
          <w:rStyle w:val="CCMCvariablesubscript"/>
        </w:rPr>
        <w:t>Ed,freq</w:t>
      </w:r>
      <w:r w:rsidRPr="001455DC">
        <w:t>. Immediate and long-term prestressing losses should be taken into consideration.</w:t>
      </w:r>
    </w:p>
    <w:p w14:paraId="2632DEED" w14:textId="0FB5311A" w:rsidR="004E22C1" w:rsidRPr="001455DC" w:rsidRDefault="004E22C1" w:rsidP="0009382B">
      <w:pPr>
        <w:pStyle w:val="2"/>
        <w:numPr>
          <w:ilvl w:val="0"/>
          <w:numId w:val="0"/>
        </w:numPr>
        <w:ind w:left="924" w:hanging="567"/>
      </w:pPr>
      <w:r w:rsidRPr="001455DC">
        <w:t>(iii)</w:t>
      </w:r>
      <w:r w:rsidRPr="001455DC">
        <w:tab/>
        <w:t xml:space="preserve">Calculate the ultimate flexural capacity, </w:t>
      </w:r>
      <w:r w:rsidRPr="001455DC">
        <w:rPr>
          <w:rStyle w:val="CCMCvariableitalic"/>
        </w:rPr>
        <w:t>M</w:t>
      </w:r>
      <w:r w:rsidRPr="001455DC">
        <w:rPr>
          <w:rStyle w:val="CCMCvariablesubscript"/>
        </w:rPr>
        <w:t>Rd,red</w:t>
      </w:r>
      <w:r w:rsidRPr="001455DC">
        <w:t>, of the section with reduced cross</w:t>
      </w:r>
      <w:r w:rsidR="00B10711" w:rsidRPr="001455DC">
        <w:t xml:space="preserve"> </w:t>
      </w:r>
      <w:r w:rsidRPr="001455DC">
        <w:t xml:space="preserve">sectional area of prestressing, </w:t>
      </w:r>
      <w:r w:rsidRPr="001455DC">
        <w:rPr>
          <w:rStyle w:val="CCMCvariableitalic"/>
        </w:rPr>
        <w:t>A</w:t>
      </w:r>
      <w:r w:rsidRPr="001455DC">
        <w:rPr>
          <w:rStyle w:val="CCMCvariablesubscript"/>
        </w:rPr>
        <w:t>P,red</w:t>
      </w:r>
      <w:r w:rsidRPr="001455DC">
        <w:t>, and ordinary reinforcement using material partial safety factors for accidental design situations.</w:t>
      </w:r>
    </w:p>
    <w:p w14:paraId="089EEB24" w14:textId="569A3B1D" w:rsidR="004E22C1" w:rsidRPr="001455DC" w:rsidRDefault="004E22C1" w:rsidP="0009382B">
      <w:pPr>
        <w:pStyle w:val="2"/>
        <w:numPr>
          <w:ilvl w:val="0"/>
          <w:numId w:val="0"/>
        </w:numPr>
        <w:ind w:left="924" w:hanging="567"/>
      </w:pPr>
      <w:r w:rsidRPr="001455DC">
        <w:t>(iv)</w:t>
      </w:r>
      <w:r w:rsidRPr="001455DC">
        <w:tab/>
        <w:t xml:space="preserve">Check that </w:t>
      </w:r>
      <w:r w:rsidRPr="001455DC">
        <w:rPr>
          <w:rStyle w:val="CCMCvariableitalic"/>
        </w:rPr>
        <w:t>M</w:t>
      </w:r>
      <w:r w:rsidRPr="001455DC">
        <w:rPr>
          <w:rStyle w:val="CCMCvariablesubscript"/>
        </w:rPr>
        <w:t>Rd,red</w:t>
      </w:r>
      <w:r w:rsidRPr="001455DC">
        <w:t> </w:t>
      </w:r>
      <w:r w:rsidR="00650035" w:rsidRPr="001455DC">
        <w:rPr>
          <w:rFonts w:ascii="Cambria Math" w:hAnsi="Cambria Math"/>
        </w:rPr>
        <w:t>≥</w:t>
      </w:r>
      <w:r w:rsidR="00073FC6" w:rsidRPr="001455DC">
        <w:t> </w:t>
      </w:r>
      <w:r w:rsidRPr="001455DC">
        <w:rPr>
          <w:rStyle w:val="CCMCvariableitalic"/>
        </w:rPr>
        <w:t>M</w:t>
      </w:r>
      <w:r w:rsidRPr="001455DC">
        <w:rPr>
          <w:rStyle w:val="CCMCvariablesubscript"/>
        </w:rPr>
        <w:t>Ed,freq</w:t>
      </w:r>
      <w:r w:rsidRPr="001455DC">
        <w:t>.</w:t>
      </w:r>
    </w:p>
    <w:p w14:paraId="53AF6AAA" w14:textId="66F52F0D" w:rsidR="004E22C1" w:rsidRPr="001455DC" w:rsidRDefault="004E22C1" w:rsidP="00082680">
      <w:pPr>
        <w:pStyle w:val="a0"/>
        <w:numPr>
          <w:ilvl w:val="0"/>
          <w:numId w:val="42"/>
        </w:numPr>
      </w:pPr>
      <w:r w:rsidRPr="001455DC">
        <w:t>Ensure that there is sufficient longitudinal reinforcement to compensate for the loss of resistance when the tensile strength of the concrete is exceeded and the section cracks.</w:t>
      </w:r>
    </w:p>
    <w:p w14:paraId="0B9BEA81" w14:textId="38CFEC25" w:rsidR="004E22C1" w:rsidRPr="001455DC" w:rsidRDefault="004E22C1" w:rsidP="00DE6BBC">
      <w:pPr>
        <w:pStyle w:val="a7"/>
        <w:keepNext/>
      </w:pPr>
      <w:r w:rsidRPr="001455DC">
        <w:t>If tensile stresses occur anywhere in the section for characteristic load combination (statically determinated effects of prestressing ignored, but indeterminated effects included, see 7.6.1(1)), longitudinal reinforcement should be at least:</w:t>
      </w:r>
    </w:p>
    <w:tbl>
      <w:tblPr>
        <w:tblStyle w:val="ad"/>
        <w:tblW w:w="9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6"/>
        <w:gridCol w:w="1247"/>
      </w:tblGrid>
      <w:tr w:rsidR="0009382B" w:rsidRPr="001455DC" w14:paraId="5A62B466" w14:textId="77777777" w:rsidTr="00214838">
        <w:trPr>
          <w:cantSplit/>
        </w:trPr>
        <w:tc>
          <w:tcPr>
            <w:tcW w:w="8505" w:type="dxa"/>
            <w:vAlign w:val="center"/>
          </w:tcPr>
          <w:p w14:paraId="68C9E351" w14:textId="79860512" w:rsidR="0009382B" w:rsidRPr="001455DC" w:rsidRDefault="00231E33" w:rsidP="00214838">
            <w:pPr>
              <w:pStyle w:val="Formula"/>
              <w:jc w:val="left"/>
            </w:pPr>
            <m:oMathPara>
              <m:oMathParaPr>
                <m:jc m:val="left"/>
              </m:oMathParaPr>
              <m:oMath>
                <m:sSub>
                  <m:sSubPr>
                    <m:ctrlPr>
                      <w:rPr>
                        <w:rFonts w:ascii="Cambria Math" w:hAnsi="Cambria Math"/>
                      </w:rPr>
                    </m:ctrlPr>
                  </m:sSubPr>
                  <m:e>
                    <m:r>
                      <w:rPr>
                        <w:rFonts w:ascii="Cambria Math" w:hAnsi="Cambria Math"/>
                      </w:rPr>
                      <m:t>A</m:t>
                    </m:r>
                  </m:e>
                  <m:sub>
                    <m:r>
                      <m:rPr>
                        <m:sty m:val="p"/>
                      </m:rPr>
                      <w:rPr>
                        <w:rFonts w:ascii="Cambria Math" w:hAnsi="Cambria Math"/>
                      </w:rPr>
                      <m:t>s,min</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rep</m:t>
                        </m:r>
                      </m:sub>
                    </m:sSub>
                  </m:num>
                  <m:den>
                    <m:r>
                      <w:rPr>
                        <w:rFonts w:ascii="Cambria Math" w:hAnsi="Cambria Math"/>
                      </w:rPr>
                      <m:t>z⋅</m:t>
                    </m:r>
                    <m:sSub>
                      <m:sSubPr>
                        <m:ctrlPr>
                          <w:rPr>
                            <w:rFonts w:ascii="Cambria Math" w:hAnsi="Cambria Math"/>
                          </w:rPr>
                        </m:ctrlPr>
                      </m:sSubPr>
                      <m:e>
                        <m:r>
                          <w:rPr>
                            <w:rFonts w:ascii="Cambria Math" w:hAnsi="Cambria Math"/>
                          </w:rPr>
                          <m:t>f</m:t>
                        </m:r>
                      </m:e>
                      <m:sub>
                        <m:r>
                          <m:rPr>
                            <m:sty m:val="p"/>
                          </m:rPr>
                          <w:rPr>
                            <w:rFonts w:ascii="Cambria Math" w:hAnsi="Cambria Math"/>
                          </w:rPr>
                          <m:t>yk</m:t>
                        </m:r>
                      </m:sub>
                    </m:sSub>
                  </m:den>
                </m:f>
              </m:oMath>
            </m:oMathPara>
          </w:p>
        </w:tc>
        <w:tc>
          <w:tcPr>
            <w:tcW w:w="1247" w:type="dxa"/>
            <w:vAlign w:val="center"/>
          </w:tcPr>
          <w:p w14:paraId="24227EAF" w14:textId="5773C34E" w:rsidR="0009382B" w:rsidRPr="001455DC" w:rsidRDefault="0009382B" w:rsidP="00214838">
            <w:pPr>
              <w:pStyle w:val="a7"/>
              <w:jc w:val="right"/>
            </w:pPr>
            <w:r w:rsidRPr="001455DC">
              <w:t>(K.17)</w:t>
            </w:r>
          </w:p>
        </w:tc>
      </w:tr>
    </w:tbl>
    <w:p w14:paraId="08C59E80" w14:textId="3168537F" w:rsidR="004E22C1" w:rsidRPr="001455DC" w:rsidRDefault="004E22C1"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09382B" w:rsidRPr="001455DC" w14:paraId="6A953120" w14:textId="77777777" w:rsidTr="0009382B">
        <w:trPr>
          <w:cantSplit/>
        </w:trPr>
        <w:tc>
          <w:tcPr>
            <w:tcW w:w="567" w:type="dxa"/>
          </w:tcPr>
          <w:p w14:paraId="6B4C73CC" w14:textId="114E8983" w:rsidR="0009382B" w:rsidRPr="001455DC" w:rsidRDefault="0009382B" w:rsidP="00214838">
            <w:pPr>
              <w:pStyle w:val="Tablebody"/>
            </w:pPr>
            <w:r w:rsidRPr="001455DC">
              <w:rPr>
                <w:rStyle w:val="CCMCvariableitalic"/>
              </w:rPr>
              <w:t>M</w:t>
            </w:r>
            <w:r w:rsidRPr="001455DC">
              <w:rPr>
                <w:rStyle w:val="CCMCvariablesubscript"/>
              </w:rPr>
              <w:t>rep</w:t>
            </w:r>
          </w:p>
        </w:tc>
        <w:tc>
          <w:tcPr>
            <w:tcW w:w="8845" w:type="dxa"/>
          </w:tcPr>
          <w:p w14:paraId="6F033F02" w14:textId="5A82B7B4" w:rsidR="0009382B" w:rsidRPr="001455DC" w:rsidRDefault="0009382B" w:rsidP="00214838">
            <w:pPr>
              <w:pStyle w:val="Tablebody"/>
            </w:pPr>
            <w:r w:rsidRPr="001455DC">
              <w:t xml:space="preserve">cracking moment with extreme fibre tension </w:t>
            </w:r>
            <w:r w:rsidRPr="001455DC">
              <w:rPr>
                <w:rStyle w:val="CCMCvariableitalic"/>
              </w:rPr>
              <w:t>σ</w:t>
            </w:r>
            <w:r w:rsidRPr="001455DC">
              <w:rPr>
                <w:rStyle w:val="CCMCvariablesubscript"/>
              </w:rPr>
              <w:t>c</w:t>
            </w:r>
            <w:r w:rsidRPr="001455DC">
              <w:t> </w:t>
            </w:r>
            <w:r w:rsidR="00EC27D2" w:rsidRPr="001455DC">
              <w:rPr>
                <w:rFonts w:ascii="Cambria Math" w:hAnsi="Cambria Math"/>
              </w:rPr>
              <w:t>=</w:t>
            </w:r>
            <w:r w:rsidRPr="001455DC">
              <w:t> </w:t>
            </w:r>
            <w:r w:rsidRPr="001455DC">
              <w:rPr>
                <w:rStyle w:val="CCMCvariableitalic"/>
              </w:rPr>
              <w:t>f</w:t>
            </w:r>
            <w:r w:rsidRPr="001455DC">
              <w:rPr>
                <w:rStyle w:val="CCMCvariablesubscript"/>
              </w:rPr>
              <w:t>ctm</w:t>
            </w:r>
            <w:r w:rsidRPr="001455DC">
              <w:t xml:space="preserve">, for section without prestressing. At the joint of segmental precast elements </w:t>
            </w:r>
            <w:r w:rsidRPr="001455DC">
              <w:rPr>
                <w:rStyle w:val="CCMCvariableitalic"/>
              </w:rPr>
              <w:t>M</w:t>
            </w:r>
            <w:r w:rsidRPr="001455DC">
              <w:rPr>
                <w:rStyle w:val="CCMCvariablesubscript"/>
              </w:rPr>
              <w:t>rep</w:t>
            </w:r>
            <w:r w:rsidRPr="001455DC">
              <w:t> </w:t>
            </w:r>
            <w:r w:rsidR="00EC27D2" w:rsidRPr="001455DC">
              <w:rPr>
                <w:rFonts w:ascii="Cambria Math" w:hAnsi="Cambria Math"/>
              </w:rPr>
              <w:t>=</w:t>
            </w:r>
            <w:r w:rsidRPr="001455DC">
              <w:t> 0;</w:t>
            </w:r>
          </w:p>
        </w:tc>
      </w:tr>
      <w:tr w:rsidR="0009382B" w:rsidRPr="001455DC" w14:paraId="48DFDDDF" w14:textId="77777777" w:rsidTr="0009382B">
        <w:trPr>
          <w:cantSplit/>
        </w:trPr>
        <w:tc>
          <w:tcPr>
            <w:tcW w:w="567" w:type="dxa"/>
          </w:tcPr>
          <w:p w14:paraId="3B5C4FBD" w14:textId="5E3C664E" w:rsidR="0009382B" w:rsidRPr="001455DC" w:rsidRDefault="0009382B" w:rsidP="00214838">
            <w:pPr>
              <w:pStyle w:val="Tablebody"/>
            </w:pPr>
            <w:r w:rsidRPr="001455DC">
              <w:rPr>
                <w:rStyle w:val="CCMCvariableitalic"/>
              </w:rPr>
              <w:t>z</w:t>
            </w:r>
          </w:p>
        </w:tc>
        <w:tc>
          <w:tcPr>
            <w:tcW w:w="8845" w:type="dxa"/>
          </w:tcPr>
          <w:p w14:paraId="5F6BE292" w14:textId="26AE7AF0" w:rsidR="0009382B" w:rsidRPr="001455DC" w:rsidRDefault="0009382B" w:rsidP="00214838">
            <w:pPr>
              <w:pStyle w:val="Tablebody"/>
            </w:pPr>
            <w:r w:rsidRPr="001455DC">
              <w:t>lever arm at the ultimate limit state related to the reinforcing steel.</w:t>
            </w:r>
          </w:p>
        </w:tc>
      </w:tr>
    </w:tbl>
    <w:p w14:paraId="73B19F47" w14:textId="671AFE21" w:rsidR="004E22C1" w:rsidRPr="001455DC" w:rsidRDefault="004E22C1" w:rsidP="00243590">
      <w:pPr>
        <w:pStyle w:val="a3"/>
      </w:pPr>
      <w:bookmarkStart w:id="2186" w:name="_Toc52820360"/>
      <w:bookmarkStart w:id="2187" w:name="_Toc54337793"/>
      <w:bookmarkStart w:id="2188" w:name="_Toc54338408"/>
      <w:r w:rsidRPr="001455DC">
        <w:t>Bridges with external or unbonded internal tendons</w:t>
      </w:r>
      <w:bookmarkEnd w:id="2186"/>
      <w:bookmarkEnd w:id="2187"/>
      <w:bookmarkEnd w:id="2188"/>
    </w:p>
    <w:p w14:paraId="00385F82" w14:textId="77777777" w:rsidR="004E22C1" w:rsidRPr="001455DC" w:rsidRDefault="004E22C1" w:rsidP="0009382B">
      <w:pPr>
        <w:pStyle w:val="a7"/>
      </w:pPr>
      <w:r w:rsidRPr="001455DC">
        <w:t>(1)</w:t>
      </w:r>
      <w:r w:rsidRPr="001455DC">
        <w:tab/>
        <w:t>External prestressing tendons should be inspectable and replaceable. For internal unbonded tendons, the anchorages should be inspectable and the project design specification (project basis) should identify if the tendons should be replaceable as defined in (2).</w:t>
      </w:r>
    </w:p>
    <w:p w14:paraId="0DB4A352" w14:textId="77777777" w:rsidR="004E22C1" w:rsidRPr="001455DC" w:rsidRDefault="004E22C1" w:rsidP="0009382B">
      <w:pPr>
        <w:pStyle w:val="a7"/>
      </w:pPr>
      <w:r w:rsidRPr="001455DC">
        <w:t>(2)</w:t>
      </w:r>
      <w:r w:rsidRPr="001455DC">
        <w:tab/>
        <w:t>Bridges should be verified to ensure that any one tendon of the external and if identified in the project basis any one of the unbonded tendons can be replaced. A project specific load combination with permissible live loads (traffic) should be defined for the replacement.</w:t>
      </w:r>
    </w:p>
    <w:p w14:paraId="65EA30E4" w14:textId="7F92DCF6" w:rsidR="004E22C1" w:rsidRPr="001455DC" w:rsidRDefault="004E22C1" w:rsidP="0009382B">
      <w:pPr>
        <w:pStyle w:val="a7"/>
      </w:pPr>
      <w:r w:rsidRPr="001455DC">
        <w:t>(3)</w:t>
      </w:r>
      <w:r w:rsidRPr="001455DC">
        <w:tab/>
        <w:t>When designing members for anchorage and deviation of external tendons, deviation forces accounting for an angular tolerance of Δ</w:t>
      </w:r>
      <w:r w:rsidRPr="001455DC">
        <w:rPr>
          <w:rStyle w:val="CCMCvariableitalic"/>
        </w:rPr>
        <w:t>α</w:t>
      </w:r>
      <w:r w:rsidRPr="001455DC">
        <w:t> </w:t>
      </w:r>
      <w:r w:rsidR="00EC27D2" w:rsidRPr="001455DC">
        <w:rPr>
          <w:rFonts w:ascii="Cambria Math" w:hAnsi="Cambria Math"/>
        </w:rPr>
        <w:t>=</w:t>
      </w:r>
      <w:r w:rsidRPr="001455DC">
        <w:t> </w:t>
      </w:r>
      <w:r w:rsidR="0009382B" w:rsidRPr="001455DC">
        <w:rPr>
          <w:rFonts w:ascii="Cambria Math" w:hAnsi="Cambria Math"/>
        </w:rPr>
        <w:t>±</w:t>
      </w:r>
      <w:r w:rsidRPr="001455DC">
        <w:t>3° should be taken into account.</w:t>
      </w:r>
    </w:p>
    <w:p w14:paraId="64629A8F" w14:textId="77777777" w:rsidR="004E22C1" w:rsidRPr="001455DC" w:rsidRDefault="004E22C1" w:rsidP="0009382B">
      <w:pPr>
        <w:pStyle w:val="a7"/>
      </w:pPr>
      <w:r w:rsidRPr="001455DC">
        <w:t>(4)</w:t>
      </w:r>
      <w:r w:rsidRPr="001455DC">
        <w:tab/>
        <w:t>The risk of vibration of external tendons induced between tendon fix points by traffic loads should be controlled by adequate detailing of tendon supports. Without more detailed analysis, spacing of tendon support points should be limited to 12 m for railway bridges and 18 m for road bridges.</w:t>
      </w:r>
    </w:p>
    <w:p w14:paraId="35D05C68" w14:textId="79FAB0AA" w:rsidR="004E22C1" w:rsidRPr="001455DC" w:rsidRDefault="004E22C1" w:rsidP="00243590">
      <w:pPr>
        <w:pStyle w:val="a3"/>
      </w:pPr>
      <w:bookmarkStart w:id="2189" w:name="_Toc52820361"/>
      <w:bookmarkStart w:id="2190" w:name="_Toc54337794"/>
      <w:bookmarkStart w:id="2191" w:name="_Toc54338409"/>
      <w:r w:rsidRPr="001455DC">
        <w:t>Cable stayed, Extradosed and Suspension bridges</w:t>
      </w:r>
      <w:bookmarkEnd w:id="2189"/>
      <w:bookmarkEnd w:id="2190"/>
      <w:bookmarkEnd w:id="2191"/>
    </w:p>
    <w:p w14:paraId="5B186F16" w14:textId="4A9DD096" w:rsidR="004E22C1" w:rsidRPr="001455DC" w:rsidRDefault="004E22C1" w:rsidP="0009382B">
      <w:pPr>
        <w:pStyle w:val="a7"/>
      </w:pPr>
      <w:r w:rsidRPr="001455DC">
        <w:t>(1)</w:t>
      </w:r>
      <w:r w:rsidRPr="001455DC">
        <w:tab/>
        <w:t xml:space="preserve">For stay cables and extradosed cables for cable supported members and structures, the general provisions of </w:t>
      </w:r>
      <w:r w:rsidR="00DF00C7">
        <w:t>pr</w:t>
      </w:r>
      <w:r w:rsidRPr="001455DC">
        <w:t>EN 1990</w:t>
      </w:r>
      <w:r w:rsidR="00D3193E" w:rsidRPr="001455DC">
        <w:t>:20</w:t>
      </w:r>
      <w:r w:rsidR="00DF00C7">
        <w:t>20</w:t>
      </w:r>
      <w:r w:rsidRPr="001455DC">
        <w:t>, Annex A.2, should be applied.</w:t>
      </w:r>
    </w:p>
    <w:p w14:paraId="536A8BCA" w14:textId="75EBF5E1" w:rsidR="004E22C1" w:rsidRPr="001455DC" w:rsidRDefault="004E22C1" w:rsidP="00DE6BBC">
      <w:pPr>
        <w:pStyle w:val="a7"/>
        <w:keepNext/>
      </w:pPr>
      <w:r w:rsidRPr="001455DC">
        <w:t>(2)</w:t>
      </w:r>
      <w:r w:rsidRPr="001455DC">
        <w:tab/>
        <w:t xml:space="preserve">For ultimate limit state verifications, the design value of tension resistance should be assumed in accordance with </w:t>
      </w:r>
      <w:r w:rsidR="003A369F">
        <w:t>pr</w:t>
      </w:r>
      <w:r w:rsidRPr="001455DC">
        <w:t>EN 1993</w:t>
      </w:r>
      <w:r w:rsidRPr="001455DC">
        <w:noBreakHyphen/>
        <w:t>1</w:t>
      </w:r>
      <w:r w:rsidRPr="001455DC">
        <w:noBreakHyphen/>
        <w:t>11</w:t>
      </w:r>
      <w:r w:rsidR="00B8599B" w:rsidRPr="001455DC">
        <w:t>.</w:t>
      </w:r>
    </w:p>
    <w:p w14:paraId="7BA2430F" w14:textId="055D2CAF" w:rsidR="004E22C1" w:rsidRPr="001455DC" w:rsidRDefault="00B8599B" w:rsidP="00DE6BBC">
      <w:pPr>
        <w:pStyle w:val="a7"/>
        <w:keepNext/>
      </w:pPr>
      <w:r w:rsidRPr="001455DC" w:rsidDel="00B8599B">
        <w:rPr>
          <w:rStyle w:val="CCMCvariableitalic"/>
        </w:rPr>
        <w:t xml:space="preserve"> </w:t>
      </w:r>
      <w:r w:rsidR="004E22C1" w:rsidRPr="001455DC">
        <w:t>(3)</w:t>
      </w:r>
      <w:r w:rsidR="004E22C1" w:rsidRPr="001455DC">
        <w:tab/>
        <w:t>The following rules apply to prestressing cables which extend above or below the bridge deck and in which</w:t>
      </w:r>
    </w:p>
    <w:p w14:paraId="1AF37FF3" w14:textId="6C8257C3" w:rsidR="004E22C1" w:rsidRPr="001455DC" w:rsidRDefault="004E22C1" w:rsidP="0009382B">
      <w:pPr>
        <w:pStyle w:val="a0"/>
      </w:pPr>
      <w:r w:rsidRPr="001455DC">
        <w:t>the variations of tensile stress under frequent traffic loads are less than 100 MPa,</w:t>
      </w:r>
    </w:p>
    <w:p w14:paraId="0A805D87" w14:textId="5F6DB253" w:rsidR="004E22C1" w:rsidRPr="001455DC" w:rsidRDefault="004E22C1" w:rsidP="0009382B">
      <w:pPr>
        <w:pStyle w:val="a0"/>
      </w:pPr>
      <w:r w:rsidRPr="001455DC">
        <w:t>the vibrations caused by wind are negligible.</w:t>
      </w:r>
    </w:p>
    <w:p w14:paraId="2508229E" w14:textId="77777777" w:rsidR="0009382B" w:rsidRPr="001455DC" w:rsidRDefault="004E22C1" w:rsidP="00DE6BBC">
      <w:pPr>
        <w:pStyle w:val="a7"/>
        <w:keepNext/>
      </w:pPr>
      <w:r w:rsidRPr="001455DC">
        <w:t>(4)</w:t>
      </w:r>
      <w:r w:rsidRPr="001455DC">
        <w:tab/>
        <w:t>The maximum tensile stress under the characteristic combinations at SLS should be</w:t>
      </w:r>
    </w:p>
    <w:tbl>
      <w:tblPr>
        <w:tblStyle w:val="ad"/>
        <w:tblW w:w="9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820"/>
        <w:gridCol w:w="3686"/>
        <w:gridCol w:w="1247"/>
      </w:tblGrid>
      <w:tr w:rsidR="0009382B" w:rsidRPr="001455DC" w14:paraId="455234AA" w14:textId="77777777" w:rsidTr="0009382B">
        <w:trPr>
          <w:cantSplit/>
        </w:trPr>
        <w:tc>
          <w:tcPr>
            <w:tcW w:w="4820" w:type="dxa"/>
            <w:vAlign w:val="center"/>
          </w:tcPr>
          <w:p w14:paraId="59380D61" w14:textId="2363CC25" w:rsidR="0009382B" w:rsidRPr="001455DC" w:rsidRDefault="0009382B" w:rsidP="00214838">
            <w:pPr>
              <w:pStyle w:val="Formula"/>
              <w:jc w:val="left"/>
            </w:pPr>
            <w:r w:rsidRPr="001455DC">
              <w:t xml:space="preserve">max </w:t>
            </w:r>
            <w:r w:rsidRPr="001455DC">
              <w:rPr>
                <w:rStyle w:val="CCMCvariableitalic"/>
              </w:rPr>
              <w:t>σ</w:t>
            </w:r>
            <w:r w:rsidRPr="001455DC">
              <w:rPr>
                <w:rStyle w:val="CCMCvariablesubscript"/>
              </w:rPr>
              <w:t>cable</w:t>
            </w:r>
            <w:r w:rsidRPr="001455DC">
              <w:t> </w:t>
            </w:r>
            <w:r w:rsidR="00650035" w:rsidRPr="001455DC">
              <w:rPr>
                <w:rFonts w:ascii="Cambria Math" w:hAnsi="Cambria Math"/>
              </w:rPr>
              <w:t>≤</w:t>
            </w:r>
            <w:r w:rsidRPr="001455DC">
              <w:t> 0,60</w:t>
            </w:r>
            <w:r w:rsidRPr="001455DC">
              <w:rPr>
                <w:rStyle w:val="CCMCvariableitalic"/>
              </w:rPr>
              <w:t>σ</w:t>
            </w:r>
            <w:r w:rsidRPr="001455DC">
              <w:rPr>
                <w:rStyle w:val="CCMCvariablesubscript"/>
              </w:rPr>
              <w:t>uk</w:t>
            </w:r>
          </w:p>
        </w:tc>
        <w:tc>
          <w:tcPr>
            <w:tcW w:w="3686" w:type="dxa"/>
            <w:vAlign w:val="center"/>
          </w:tcPr>
          <w:p w14:paraId="4424CA02" w14:textId="5129B8F9" w:rsidR="0009382B" w:rsidRPr="001455DC" w:rsidRDefault="0009382B" w:rsidP="00214838">
            <w:pPr>
              <w:pStyle w:val="Formula"/>
              <w:jc w:val="left"/>
            </w:pPr>
            <w:r w:rsidRPr="001455DC">
              <w:t>if Δ</w:t>
            </w:r>
            <w:r w:rsidRPr="001455DC">
              <w:rPr>
                <w:rStyle w:val="CCMCvariableitalic"/>
              </w:rPr>
              <w:t>σ</w:t>
            </w:r>
            <w:r w:rsidRPr="001455DC">
              <w:rPr>
                <w:rStyle w:val="CCMCvariablesubscript"/>
              </w:rPr>
              <w:t>freq</w:t>
            </w:r>
            <w:r w:rsidRPr="001455DC">
              <w:t> </w:t>
            </w:r>
            <w:r w:rsidR="00650035" w:rsidRPr="001455DC">
              <w:rPr>
                <w:rFonts w:ascii="Cambria Math" w:hAnsi="Cambria Math"/>
              </w:rPr>
              <w:t>≤</w:t>
            </w:r>
            <w:r w:rsidRPr="001455DC">
              <w:t> 50 MPa</w:t>
            </w:r>
          </w:p>
        </w:tc>
        <w:tc>
          <w:tcPr>
            <w:tcW w:w="1247" w:type="dxa"/>
            <w:vAlign w:val="center"/>
          </w:tcPr>
          <w:p w14:paraId="52669AEC" w14:textId="483368FF" w:rsidR="0009382B" w:rsidRPr="001455DC" w:rsidRDefault="0009382B" w:rsidP="00214838">
            <w:pPr>
              <w:pStyle w:val="a7"/>
              <w:jc w:val="right"/>
            </w:pPr>
            <w:r w:rsidRPr="001455DC">
              <w:t>(K.18)</w:t>
            </w:r>
          </w:p>
        </w:tc>
      </w:tr>
      <w:tr w:rsidR="0009382B" w:rsidRPr="001455DC" w14:paraId="375DC471" w14:textId="77777777" w:rsidTr="0009382B">
        <w:trPr>
          <w:cantSplit/>
        </w:trPr>
        <w:tc>
          <w:tcPr>
            <w:tcW w:w="4820" w:type="dxa"/>
            <w:vAlign w:val="center"/>
          </w:tcPr>
          <w:p w14:paraId="5FF95D24" w14:textId="47ADE39A" w:rsidR="0009382B" w:rsidRPr="009D3012" w:rsidRDefault="0009382B" w:rsidP="00214838">
            <w:pPr>
              <w:pStyle w:val="Formula"/>
              <w:jc w:val="left"/>
              <w:rPr>
                <w:lang w:val="de-DE"/>
              </w:rPr>
            </w:pPr>
            <m:oMathPara>
              <m:oMathParaPr>
                <m:jc m:val="left"/>
              </m:oMathParaPr>
              <m:oMath>
                <m:r>
                  <m:rPr>
                    <m:sty m:val="p"/>
                  </m:rPr>
                  <w:rPr>
                    <w:rFonts w:ascii="Cambria Math" w:hAnsi="Cambria Math"/>
                    <w:lang w:val="de-DE"/>
                  </w:rPr>
                  <m:t>max</m:t>
                </m:r>
                <m:r>
                  <w:rPr>
                    <w:rFonts w:ascii="Cambria Math" w:hAnsi="Cambria Math"/>
                    <w:lang w:val="de-DE"/>
                  </w:rPr>
                  <m:t xml:space="preserve"> </m:t>
                </m:r>
                <m:sSub>
                  <m:sSubPr>
                    <m:ctrlPr>
                      <w:rPr>
                        <w:rFonts w:ascii="Cambria Math" w:hAnsi="Cambria Math"/>
                      </w:rPr>
                    </m:ctrlPr>
                  </m:sSubPr>
                  <m:e>
                    <m:r>
                      <w:rPr>
                        <w:rFonts w:ascii="Cambria Math" w:hAnsi="Cambria Math"/>
                      </w:rPr>
                      <m:t>σ</m:t>
                    </m:r>
                  </m:e>
                  <m:sub>
                    <m:r>
                      <m:rPr>
                        <m:sty m:val="p"/>
                      </m:rPr>
                      <w:rPr>
                        <w:rFonts w:ascii="Cambria Math" w:hAnsi="Cambria Math"/>
                        <w:lang w:val="de-DE"/>
                      </w:rPr>
                      <m:t>cable</m:t>
                    </m:r>
                  </m:sub>
                </m:sSub>
                <m:r>
                  <w:rPr>
                    <w:rFonts w:ascii="Cambria Math" w:hAnsi="Cambria Math"/>
                    <w:lang w:val="de-DE"/>
                  </w:rPr>
                  <m:t>≤0,46⋅</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Δ</m:t>
                            </m:r>
                            <m:sSub>
                              <m:sSubPr>
                                <m:ctrlPr>
                                  <w:rPr>
                                    <w:rFonts w:ascii="Cambria Math" w:hAnsi="Cambria Math"/>
                                  </w:rPr>
                                </m:ctrlPr>
                              </m:sSubPr>
                              <m:e>
                                <m:r>
                                  <w:rPr>
                                    <w:rFonts w:ascii="Cambria Math" w:hAnsi="Cambria Math"/>
                                  </w:rPr>
                                  <m:t>σ</m:t>
                                </m:r>
                              </m:e>
                              <m:sub>
                                <m:r>
                                  <m:rPr>
                                    <m:sty m:val="p"/>
                                  </m:rPr>
                                  <w:rPr>
                                    <w:rFonts w:ascii="Cambria Math" w:hAnsi="Cambria Math"/>
                                    <w:lang w:val="de-DE"/>
                                  </w:rPr>
                                  <m:t>freq</m:t>
                                </m:r>
                              </m:sub>
                            </m:sSub>
                          </m:num>
                          <m:den>
                            <m:r>
                              <w:rPr>
                                <w:rFonts w:ascii="Cambria Math" w:hAnsi="Cambria Math"/>
                                <w:lang w:val="de-DE"/>
                              </w:rPr>
                              <m:t xml:space="preserve">140 </m:t>
                            </m:r>
                            <m:r>
                              <m:rPr>
                                <m:nor/>
                              </m:rPr>
                              <w:rPr>
                                <w:rFonts w:ascii="Cambria Math" w:hAnsi="Cambria Math"/>
                                <w:lang w:val="de-DE"/>
                              </w:rPr>
                              <m:t>MPa</m:t>
                            </m:r>
                          </m:den>
                        </m:f>
                      </m:e>
                    </m:d>
                  </m:e>
                  <m:sup>
                    <m:r>
                      <w:rPr>
                        <w:rFonts w:ascii="Cambria Math" w:hAnsi="Cambria Math"/>
                        <w:lang w:val="de-DE"/>
                      </w:rPr>
                      <m:t>-0,25</m:t>
                    </m:r>
                  </m:sup>
                </m:sSup>
                <m:r>
                  <w:rPr>
                    <w:rFonts w:ascii="Cambria Math" w:hAnsi="Cambria Math"/>
                    <w:lang w:val="de-DE"/>
                  </w:rPr>
                  <m:t>⋅</m:t>
                </m:r>
                <m:sSub>
                  <m:sSubPr>
                    <m:ctrlPr>
                      <w:rPr>
                        <w:rFonts w:ascii="Cambria Math" w:hAnsi="Cambria Math"/>
                      </w:rPr>
                    </m:ctrlPr>
                  </m:sSubPr>
                  <m:e>
                    <m:r>
                      <w:rPr>
                        <w:rFonts w:ascii="Cambria Math" w:hAnsi="Cambria Math"/>
                      </w:rPr>
                      <m:t>σ</m:t>
                    </m:r>
                  </m:e>
                  <m:sub>
                    <m:r>
                      <m:rPr>
                        <m:sty m:val="p"/>
                      </m:rPr>
                      <w:rPr>
                        <w:rFonts w:ascii="Cambria Math" w:hAnsi="Cambria Math"/>
                        <w:lang w:val="de-DE"/>
                      </w:rPr>
                      <m:t>uk</m:t>
                    </m:r>
                  </m:sub>
                </m:sSub>
              </m:oMath>
            </m:oMathPara>
          </w:p>
        </w:tc>
        <w:tc>
          <w:tcPr>
            <w:tcW w:w="3686" w:type="dxa"/>
            <w:vAlign w:val="center"/>
          </w:tcPr>
          <w:p w14:paraId="4FCF1898" w14:textId="51824123" w:rsidR="0009382B" w:rsidRPr="001455DC" w:rsidRDefault="0009382B" w:rsidP="00214838">
            <w:pPr>
              <w:pStyle w:val="Formula"/>
              <w:jc w:val="left"/>
            </w:pPr>
            <w:r w:rsidRPr="001455DC">
              <w:t>if 50 MPa </w:t>
            </w:r>
            <w:r w:rsidR="00650035" w:rsidRPr="001455DC">
              <w:rPr>
                <w:rFonts w:ascii="Cambria Math" w:hAnsi="Cambria Math"/>
              </w:rPr>
              <w:t>&lt;</w:t>
            </w:r>
            <w:r w:rsidRPr="001455DC">
              <w:t> Δ</w:t>
            </w:r>
            <w:r w:rsidRPr="001455DC">
              <w:rPr>
                <w:rStyle w:val="CCMCvariableitalic"/>
              </w:rPr>
              <w:t>σ</w:t>
            </w:r>
            <w:r w:rsidRPr="001455DC">
              <w:rPr>
                <w:rStyle w:val="CCMCvariablesubscript"/>
              </w:rPr>
              <w:t>freq</w:t>
            </w:r>
            <w:r w:rsidRPr="001455DC">
              <w:t> </w:t>
            </w:r>
            <w:r w:rsidR="00650035" w:rsidRPr="001455DC">
              <w:rPr>
                <w:rFonts w:ascii="Cambria Math" w:hAnsi="Cambria Math"/>
              </w:rPr>
              <w:t>≤</w:t>
            </w:r>
            <w:r w:rsidRPr="001455DC">
              <w:t> 100 MPa</w:t>
            </w:r>
          </w:p>
        </w:tc>
        <w:tc>
          <w:tcPr>
            <w:tcW w:w="1247" w:type="dxa"/>
            <w:vAlign w:val="center"/>
          </w:tcPr>
          <w:p w14:paraId="56EF5A08" w14:textId="49969908" w:rsidR="0009382B" w:rsidRPr="001455DC" w:rsidRDefault="0009382B" w:rsidP="00214838">
            <w:pPr>
              <w:pStyle w:val="a7"/>
              <w:jc w:val="right"/>
            </w:pPr>
            <w:r w:rsidRPr="001455DC">
              <w:t>(K.19)</w:t>
            </w:r>
          </w:p>
        </w:tc>
      </w:tr>
    </w:tbl>
    <w:p w14:paraId="4EFCC0D4" w14:textId="106AF01D" w:rsidR="004E22C1" w:rsidRPr="001455DC" w:rsidRDefault="004E22C1"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737"/>
        <w:gridCol w:w="8675"/>
      </w:tblGrid>
      <w:tr w:rsidR="0009382B" w:rsidRPr="001455DC" w14:paraId="63754AEF" w14:textId="77777777" w:rsidTr="0009382B">
        <w:trPr>
          <w:cantSplit/>
        </w:trPr>
        <w:tc>
          <w:tcPr>
            <w:tcW w:w="737" w:type="dxa"/>
          </w:tcPr>
          <w:p w14:paraId="34175786" w14:textId="10E6E0E4" w:rsidR="0009382B" w:rsidRPr="001455DC" w:rsidRDefault="0009382B" w:rsidP="00214838">
            <w:pPr>
              <w:pStyle w:val="Tablebody"/>
            </w:pPr>
            <w:r w:rsidRPr="001455DC">
              <w:rPr>
                <w:rStyle w:val="CCMCvariableitalic"/>
              </w:rPr>
              <w:t>σ</w:t>
            </w:r>
            <w:r w:rsidRPr="001455DC">
              <w:rPr>
                <w:rStyle w:val="CCMCvariablesubscript"/>
              </w:rPr>
              <w:t>uk</w:t>
            </w:r>
          </w:p>
        </w:tc>
        <w:tc>
          <w:tcPr>
            <w:tcW w:w="8675" w:type="dxa"/>
          </w:tcPr>
          <w:p w14:paraId="7E858612" w14:textId="334BF851" w:rsidR="0009382B" w:rsidRPr="001455DC" w:rsidRDefault="0009382B" w:rsidP="00214838">
            <w:pPr>
              <w:pStyle w:val="Tablebody"/>
            </w:pPr>
            <w:r w:rsidRPr="001455DC">
              <w:t xml:space="preserve">is the characteristic breaking strength of the cable: </w:t>
            </w:r>
            <w:r w:rsidRPr="001455DC">
              <w:rPr>
                <w:rStyle w:val="CCMCvariableitalic"/>
              </w:rPr>
              <w:t>σ</w:t>
            </w:r>
            <w:r w:rsidRPr="001455DC">
              <w:rPr>
                <w:rStyle w:val="CCMCvariablesubscript"/>
              </w:rPr>
              <w:t>uk</w:t>
            </w:r>
            <w:r w:rsidRPr="001455DC">
              <w:t> </w:t>
            </w:r>
            <w:r w:rsidR="00EC27D2" w:rsidRPr="001455DC">
              <w:rPr>
                <w:rFonts w:ascii="Cambria Math" w:hAnsi="Cambria Math"/>
              </w:rPr>
              <w:t>=</w:t>
            </w:r>
            <w:r w:rsidRPr="001455DC">
              <w:t> </w:t>
            </w:r>
            <w:r w:rsidRPr="001455DC">
              <w:rPr>
                <w:rStyle w:val="CCMCvariableitalic"/>
              </w:rPr>
              <w:t>F</w:t>
            </w:r>
            <w:r w:rsidRPr="001455DC">
              <w:rPr>
                <w:rStyle w:val="CCMCvariablesubscript"/>
              </w:rPr>
              <w:t>uk</w:t>
            </w:r>
            <w:r w:rsidRPr="001455DC">
              <w:t>/</w:t>
            </w:r>
            <w:r w:rsidRPr="001455DC">
              <w:rPr>
                <w:rStyle w:val="CCMCvariableitalic"/>
              </w:rPr>
              <w:t>A</w:t>
            </w:r>
            <w:r w:rsidRPr="001455DC">
              <w:rPr>
                <w:rStyle w:val="CCMCvariablesubscript"/>
              </w:rPr>
              <w:t>m</w:t>
            </w:r>
            <w:r w:rsidRPr="001455DC">
              <w:t>;</w:t>
            </w:r>
          </w:p>
        </w:tc>
      </w:tr>
      <w:tr w:rsidR="0009382B" w:rsidRPr="001455DC" w14:paraId="4FC5CFD0" w14:textId="77777777" w:rsidTr="0009382B">
        <w:trPr>
          <w:cantSplit/>
        </w:trPr>
        <w:tc>
          <w:tcPr>
            <w:tcW w:w="737" w:type="dxa"/>
          </w:tcPr>
          <w:p w14:paraId="474787C7" w14:textId="4A1CCE39" w:rsidR="0009382B" w:rsidRPr="001455DC" w:rsidRDefault="0009382B" w:rsidP="00214838">
            <w:pPr>
              <w:pStyle w:val="Tablebody"/>
            </w:pPr>
            <w:r w:rsidRPr="001455DC">
              <w:t>Δ</w:t>
            </w:r>
            <w:r w:rsidRPr="001455DC">
              <w:rPr>
                <w:rStyle w:val="CCMCvariableitalic"/>
              </w:rPr>
              <w:t>σ</w:t>
            </w:r>
            <w:r w:rsidRPr="001455DC">
              <w:rPr>
                <w:rStyle w:val="CCMCvariablesubscript"/>
              </w:rPr>
              <w:t>freq</w:t>
            </w:r>
          </w:p>
        </w:tc>
        <w:tc>
          <w:tcPr>
            <w:tcW w:w="8675" w:type="dxa"/>
          </w:tcPr>
          <w:p w14:paraId="1E30C36C" w14:textId="3AC47051" w:rsidR="0009382B" w:rsidRPr="001455DC" w:rsidRDefault="0009382B" w:rsidP="00214838">
            <w:pPr>
              <w:pStyle w:val="Tablebody"/>
            </w:pPr>
            <w:r w:rsidRPr="001455DC">
              <w:t>is the variation of the tensile stress under frequent traffic loads.</w:t>
            </w:r>
          </w:p>
        </w:tc>
      </w:tr>
    </w:tbl>
    <w:p w14:paraId="752E4B26" w14:textId="77777777" w:rsidR="004E22C1" w:rsidRPr="001455DC" w:rsidRDefault="004E22C1" w:rsidP="0009382B">
      <w:pPr>
        <w:pStyle w:val="a7"/>
      </w:pPr>
      <w:r w:rsidRPr="001455DC">
        <w:t>(5)</w:t>
      </w:r>
      <w:r w:rsidRPr="001455DC">
        <w:tab/>
        <w:t>When cables are used as hangers to suspend the deck of bow-string bridges, the sequence of tensioning and the level of pretensioning after losses should ensure that under the characteristic combination at SLS a residual stress of at least 100 MPa is present in all hangers.</w:t>
      </w:r>
    </w:p>
    <w:p w14:paraId="0C05E180" w14:textId="25C8B055" w:rsidR="004E22C1" w:rsidRPr="001455DC" w:rsidRDefault="004E22C1" w:rsidP="00082680">
      <w:pPr>
        <w:pStyle w:val="a2"/>
      </w:pPr>
      <w:bookmarkStart w:id="2192" w:name="_Toc52820362"/>
      <w:bookmarkStart w:id="2193" w:name="_Toc54337220"/>
      <w:bookmarkStart w:id="2194" w:name="_Toc54337795"/>
      <w:bookmarkStart w:id="2195" w:name="_Toc54338410"/>
      <w:bookmarkStart w:id="2196" w:name="_Toc67565624"/>
      <w:r w:rsidRPr="001455DC">
        <w:t>Additional rules for precast concrete elements and structures</w:t>
      </w:r>
      <w:bookmarkEnd w:id="2192"/>
      <w:bookmarkEnd w:id="2193"/>
      <w:bookmarkEnd w:id="2194"/>
      <w:bookmarkEnd w:id="2195"/>
      <w:bookmarkEnd w:id="2196"/>
    </w:p>
    <w:p w14:paraId="58A8A62B" w14:textId="6287F350" w:rsidR="004E22C1" w:rsidRPr="001455DC" w:rsidRDefault="004E22C1" w:rsidP="0009382B">
      <w:pPr>
        <w:pStyle w:val="a7"/>
      </w:pPr>
      <w:r w:rsidRPr="001455DC">
        <w:t>(1)</w:t>
      </w:r>
      <w:r w:rsidRPr="001455DC">
        <w:tab/>
        <w:t xml:space="preserve">13.6, 13.7.1(9)(11)(12)(13), 13.7.3 and 13.7.4 do not apply. The following clauses supplement </w:t>
      </w:r>
      <w:r w:rsidR="001710FF" w:rsidRPr="001455DC">
        <w:t>Clause </w:t>
      </w:r>
      <w:r w:rsidRPr="001455DC">
        <w:t>13 with provisions specific to bridges.</w:t>
      </w:r>
    </w:p>
    <w:p w14:paraId="4B5B065D" w14:textId="77777777" w:rsidR="0009382B" w:rsidRPr="001455DC" w:rsidRDefault="004E22C1" w:rsidP="0009382B">
      <w:pPr>
        <w:pStyle w:val="a7"/>
      </w:pPr>
      <w:r w:rsidRPr="001455DC">
        <w:t>(2)</w:t>
      </w:r>
      <w:r w:rsidRPr="001455DC">
        <w:tab/>
        <w:t xml:space="preserve">In the case of segmental construction with precast elements and without internal bonded tendons in the tension chord, the effect of opening of the joint at ULS shall be considered. In these conditions, in the absence of a more detailed analysis, the force in the tension chord should be assumed to remain unchanged after the joints have opened. In consequence, as the applied load increases and the joints open (Figure K.4), the concrete stress field inclination </w:t>
      </w:r>
      <w:r w:rsidRPr="001455DC">
        <w:rPr>
          <w:rStyle w:val="CCMCvariableitalic"/>
        </w:rPr>
        <w:t>θ</w:t>
      </w:r>
      <w:r w:rsidRPr="001455DC">
        <w:t xml:space="preserve"> within the web increases. The depth of concrete section available for the flow of the web compression field decreases to a value of </w:t>
      </w:r>
      <w:r w:rsidRPr="001455DC">
        <w:rPr>
          <w:rStyle w:val="CCMCvariableitalic"/>
        </w:rPr>
        <w:t>z</w:t>
      </w:r>
      <w:r w:rsidRPr="001455DC">
        <w:rPr>
          <w:rStyle w:val="CCMCvariablesubscript"/>
        </w:rPr>
        <w:t>red</w:t>
      </w:r>
      <w:r w:rsidRPr="001455DC">
        <w:t xml:space="preserve"> (see Formula (K.20)). The shear capacity may be evaluated in accordance with 8.2.3 by assuming a value of </w:t>
      </w:r>
      <w:r w:rsidRPr="001455DC">
        <w:rPr>
          <w:rStyle w:val="CCMCvariableitalic"/>
        </w:rPr>
        <w:t>θ</w:t>
      </w:r>
      <w:r w:rsidRPr="001455DC">
        <w:t xml:space="preserve"> derived from the minimum value of residual depth </w:t>
      </w:r>
      <w:r w:rsidRPr="001455DC">
        <w:rPr>
          <w:rStyle w:val="CCMCvariableitalic"/>
        </w:rPr>
        <w:t>z</w:t>
      </w:r>
      <w:r w:rsidRPr="001455DC">
        <w:rPr>
          <w:rStyle w:val="CCMCvariablesubscript"/>
        </w:rPr>
        <w:t>red</w:t>
      </w:r>
      <w:r w:rsidRPr="001455DC">
        <w:t>.</w:t>
      </w:r>
    </w:p>
    <w:tbl>
      <w:tblPr>
        <w:tblStyle w:val="ad"/>
        <w:tblW w:w="9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6"/>
        <w:gridCol w:w="1247"/>
      </w:tblGrid>
      <w:tr w:rsidR="0009382B" w:rsidRPr="001455DC" w14:paraId="5D2DF0DE" w14:textId="77777777" w:rsidTr="00214838">
        <w:trPr>
          <w:cantSplit/>
        </w:trPr>
        <w:tc>
          <w:tcPr>
            <w:tcW w:w="8505" w:type="dxa"/>
            <w:vAlign w:val="center"/>
          </w:tcPr>
          <w:p w14:paraId="7E0FF140" w14:textId="5F3BAB55" w:rsidR="0009382B" w:rsidRPr="001455DC" w:rsidRDefault="00231E33" w:rsidP="00214838">
            <w:pPr>
              <w:pStyle w:val="Formula"/>
              <w:jc w:val="left"/>
            </w:pPr>
            <m:oMathPara>
              <m:oMathParaPr>
                <m:jc m:val="left"/>
              </m:oMathParaPr>
              <m:oMath>
                <m:sSub>
                  <m:sSubPr>
                    <m:ctrlPr>
                      <w:rPr>
                        <w:rFonts w:ascii="Cambria Math" w:hAnsi="Cambria Math"/>
                      </w:rPr>
                    </m:ctrlPr>
                  </m:sSubPr>
                  <m:e>
                    <m:r>
                      <w:rPr>
                        <w:rFonts w:ascii="Cambria Math" w:hAnsi="Cambria Math"/>
                      </w:rPr>
                      <m:t>z</m:t>
                    </m:r>
                  </m:e>
                  <m:sub>
                    <m:r>
                      <m:rPr>
                        <m:sty m:val="p"/>
                      </m:rPr>
                      <w:rPr>
                        <w:rFonts w:ascii="Cambria Math" w:hAnsi="Cambria Math"/>
                      </w:rPr>
                      <m:t>red</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Ed</m:t>
                        </m:r>
                      </m:sub>
                    </m:sSub>
                  </m:num>
                  <m:den>
                    <m:sSub>
                      <m:sSubPr>
                        <m:ctrlPr>
                          <w:rPr>
                            <w:rFonts w:ascii="Cambria Math" w:hAnsi="Cambria Math"/>
                          </w:rPr>
                        </m:ctrlPr>
                      </m:sSubPr>
                      <m:e>
                        <m:r>
                          <w:rPr>
                            <w:rFonts w:ascii="Cambria Math" w:hAnsi="Cambria Math"/>
                          </w:rPr>
                          <m:t>b</m:t>
                        </m:r>
                      </m:e>
                      <m:sub>
                        <m:r>
                          <m:rPr>
                            <m:sty m:val="p"/>
                          </m:rPr>
                          <w:rPr>
                            <w:rFonts w:ascii="Cambria Math" w:hAnsi="Cambria Math"/>
                          </w:rPr>
                          <m:t>w</m:t>
                        </m:r>
                      </m:sub>
                    </m:sSub>
                    <m:r>
                      <w:rPr>
                        <w:rFonts w:ascii="Cambria Math" w:hAnsi="Cambria Math"/>
                      </w:rPr>
                      <m:t>⋅ν⋅</m:t>
                    </m:r>
                    <m:sSub>
                      <m:sSubPr>
                        <m:ctrlPr>
                          <w:rPr>
                            <w:rFonts w:ascii="Cambria Math" w:hAnsi="Cambria Math"/>
                          </w:rPr>
                        </m:ctrlPr>
                      </m:sSubPr>
                      <m:e>
                        <m:r>
                          <w:rPr>
                            <w:rFonts w:ascii="Cambria Math" w:hAnsi="Cambria Math"/>
                          </w:rPr>
                          <m:t>f</m:t>
                        </m:r>
                      </m:e>
                      <m:sub>
                        <m:r>
                          <m:rPr>
                            <m:sty m:val="p"/>
                          </m:rPr>
                          <w:rPr>
                            <w:rFonts w:ascii="Cambria Math" w:hAnsi="Cambria Math"/>
                          </w:rPr>
                          <m:t>cd</m:t>
                        </m:r>
                      </m:sub>
                    </m:sSub>
                  </m:den>
                </m:f>
                <m:d>
                  <m:dPr>
                    <m:ctrlPr>
                      <w:rPr>
                        <w:rFonts w:ascii="Cambria Math" w:hAnsi="Cambria Math"/>
                      </w:rPr>
                    </m:ctrlPr>
                  </m:dPr>
                  <m:e>
                    <m:r>
                      <m:rPr>
                        <m:sty m:val="p"/>
                      </m:rPr>
                      <w:rPr>
                        <w:rFonts w:ascii="Cambria Math" w:hAnsi="Cambria Math"/>
                      </w:rPr>
                      <m:t>cot</m:t>
                    </m:r>
                    <m:r>
                      <w:rPr>
                        <w:rFonts w:ascii="Cambria Math" w:hAnsi="Cambria Math"/>
                      </w:rPr>
                      <m:t>θ+</m:t>
                    </m:r>
                    <m:r>
                      <m:rPr>
                        <m:sty m:val="p"/>
                      </m:rPr>
                      <w:rPr>
                        <w:rFonts w:ascii="Cambria Math" w:hAnsi="Cambria Math"/>
                      </w:rPr>
                      <m:t>tan</m:t>
                    </m:r>
                    <m:r>
                      <w:rPr>
                        <w:rFonts w:ascii="Cambria Math" w:hAnsi="Cambria Math"/>
                      </w:rPr>
                      <m:t>θ</m:t>
                    </m:r>
                  </m:e>
                </m:d>
              </m:oMath>
            </m:oMathPara>
          </w:p>
        </w:tc>
        <w:tc>
          <w:tcPr>
            <w:tcW w:w="1247" w:type="dxa"/>
            <w:vAlign w:val="center"/>
          </w:tcPr>
          <w:p w14:paraId="44A731CA" w14:textId="288D51D9" w:rsidR="0009382B" w:rsidRPr="001455DC" w:rsidRDefault="0009382B" w:rsidP="00214838">
            <w:pPr>
              <w:pStyle w:val="a7"/>
              <w:jc w:val="right"/>
            </w:pPr>
            <w:r w:rsidRPr="001455DC">
              <w:t>(K.20)</w:t>
            </w:r>
          </w:p>
        </w:tc>
      </w:tr>
    </w:tbl>
    <w:p w14:paraId="4A57B9F3" w14:textId="3BBF1856" w:rsidR="004E22C1" w:rsidRPr="001455DC" w:rsidRDefault="004E22C1" w:rsidP="0009382B">
      <w:pPr>
        <w:pStyle w:val="a7"/>
      </w:pPr>
      <w:r w:rsidRPr="001455DC">
        <w:t xml:space="preserve">The prestressing force should be increased, if necessary, so that, at ULS under the combination of bending moment and shear, the joint opening is limited to the value </w:t>
      </w:r>
      <w:r w:rsidRPr="001455DC">
        <w:rPr>
          <w:rStyle w:val="CCMCvariableitalic"/>
        </w:rPr>
        <w:t>h</w:t>
      </w:r>
      <w:r w:rsidRPr="001455DC">
        <w:t> </w:t>
      </w:r>
      <w:r w:rsidR="00EC27D2" w:rsidRPr="001455DC">
        <w:rPr>
          <w:rFonts w:ascii="Cambria Math" w:hAnsi="Cambria Math"/>
        </w:rPr>
        <w:t>−</w:t>
      </w:r>
      <w:r w:rsidRPr="001455DC">
        <w:t> </w:t>
      </w:r>
      <w:r w:rsidRPr="001455DC">
        <w:rPr>
          <w:rStyle w:val="CCMCvariableitalic"/>
        </w:rPr>
        <w:t>z</w:t>
      </w:r>
      <w:r w:rsidRPr="001455DC">
        <w:rPr>
          <w:rStyle w:val="CCMCvariablesubscript"/>
        </w:rPr>
        <w:t>red</w:t>
      </w:r>
      <w:r w:rsidRPr="001455DC">
        <w:t xml:space="preserve"> as calculated above.</w:t>
      </w:r>
    </w:p>
    <w:p w14:paraId="2285723A" w14:textId="77777777" w:rsidR="004E22C1" w:rsidRPr="001455DC" w:rsidRDefault="004E22C1" w:rsidP="0009382B">
      <w:pPr>
        <w:pStyle w:val="Note"/>
      </w:pPr>
      <w:r w:rsidRPr="001455DC">
        <w:t>NOTE</w:t>
      </w:r>
      <w:r w:rsidRPr="001455DC">
        <w:tab/>
        <w:t xml:space="preserve">The minimum value of </w:t>
      </w:r>
      <w:r w:rsidRPr="001455DC">
        <w:rPr>
          <w:rStyle w:val="CCMCvariableitalic"/>
        </w:rPr>
        <w:t>z</w:t>
      </w:r>
      <w:r w:rsidRPr="001455DC">
        <w:rPr>
          <w:rStyle w:val="CCMCvariablesubscript"/>
        </w:rPr>
        <w:t>red</w:t>
      </w:r>
      <w:r w:rsidRPr="001455DC">
        <w:t xml:space="preserve"> is 0,5</w:t>
      </w:r>
      <w:r w:rsidRPr="001455DC">
        <w:rPr>
          <w:rStyle w:val="CCMCvariableitalic"/>
        </w:rPr>
        <w:t>h</w:t>
      </w:r>
      <w:r w:rsidRPr="001455DC">
        <w:t xml:space="preserve"> unless a National Annex gives a different value.</w:t>
      </w:r>
    </w:p>
    <w:p w14:paraId="5043BF09" w14:textId="533B0E23" w:rsidR="0009382B" w:rsidRPr="001455DC" w:rsidRDefault="004E22C1" w:rsidP="00DE6BBC">
      <w:pPr>
        <w:pStyle w:val="a7"/>
        <w:keepNext/>
      </w:pPr>
      <w:r w:rsidRPr="001455DC">
        <w:t>(3)</w:t>
      </w:r>
      <w:r w:rsidRPr="001455DC">
        <w:tab/>
        <w:t xml:space="preserve">Shear reinforcement should be provided within a distance </w:t>
      </w:r>
      <w:r w:rsidRPr="001455DC">
        <w:rPr>
          <w:rStyle w:val="CCMCvariableitalic"/>
        </w:rPr>
        <w:t>z</w:t>
      </w:r>
      <w:r w:rsidRPr="001455DC">
        <w:rPr>
          <w:rStyle w:val="CCMCvariablesubscript"/>
        </w:rPr>
        <w:t>red</w:t>
      </w:r>
      <w:r w:rsidR="0009382B" w:rsidRPr="001455DC">
        <w:t> </w:t>
      </w:r>
      <w:r w:rsidR="00C74721" w:rsidRPr="001455DC">
        <w:rPr>
          <w:rFonts w:ascii="Cambria Math" w:hAnsi="Cambria Math"/>
        </w:rPr>
        <w:t>⋅</w:t>
      </w:r>
      <w:r w:rsidR="0009382B" w:rsidRPr="001455DC">
        <w:t> </w:t>
      </w:r>
      <w:r w:rsidRPr="001455DC">
        <w:t>cot</w:t>
      </w:r>
      <w:r w:rsidRPr="001455DC">
        <w:rPr>
          <w:rStyle w:val="CCMCvariableitalic"/>
        </w:rPr>
        <w:t>θ</w:t>
      </w:r>
      <w:r w:rsidRPr="001455DC">
        <w:t>, but not greater than the segment length, from both edges of the joint, having the area per unit length according to Formula (K.21):</w:t>
      </w:r>
    </w:p>
    <w:tbl>
      <w:tblPr>
        <w:tblStyle w:val="ad"/>
        <w:tblW w:w="9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6"/>
        <w:gridCol w:w="1247"/>
      </w:tblGrid>
      <w:tr w:rsidR="0009382B" w:rsidRPr="001455DC" w14:paraId="15C2D4E7" w14:textId="77777777" w:rsidTr="00C74721">
        <w:trPr>
          <w:cantSplit/>
        </w:trPr>
        <w:tc>
          <w:tcPr>
            <w:tcW w:w="8506" w:type="dxa"/>
            <w:vAlign w:val="center"/>
          </w:tcPr>
          <w:p w14:paraId="520489BF" w14:textId="1B97A2F6" w:rsidR="0009382B" w:rsidRPr="001455DC" w:rsidRDefault="00231E33" w:rsidP="00214838">
            <w:pPr>
              <w:pStyle w:val="Formula"/>
              <w:jc w:val="left"/>
            </w:pPr>
            <m:oMathPara>
              <m:oMathParaPr>
                <m:jc m:val="left"/>
              </m:oMathParaPr>
              <m:oMath>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sw</m:t>
                        </m:r>
                      </m:sub>
                    </m:sSub>
                  </m:num>
                  <m:den>
                    <m:r>
                      <w:rPr>
                        <w:rFonts w:ascii="Cambria Math" w:hAnsi="Cambria Math"/>
                      </w:rPr>
                      <m:t>s</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Ed</m:t>
                        </m:r>
                      </m:sub>
                    </m:sSub>
                  </m:num>
                  <m:den>
                    <m:sSub>
                      <m:sSubPr>
                        <m:ctrlPr>
                          <w:rPr>
                            <w:rFonts w:ascii="Cambria Math" w:hAnsi="Cambria Math"/>
                          </w:rPr>
                        </m:ctrlPr>
                      </m:sSubPr>
                      <m:e>
                        <m:r>
                          <w:rPr>
                            <w:rFonts w:ascii="Cambria Math" w:hAnsi="Cambria Math"/>
                          </w:rPr>
                          <m:t>z</m:t>
                        </m:r>
                      </m:e>
                      <m:sub>
                        <m:r>
                          <m:rPr>
                            <m:sty m:val="p"/>
                          </m:rPr>
                          <w:rPr>
                            <w:rFonts w:ascii="Cambria Math" w:hAnsi="Cambria Math"/>
                          </w:rPr>
                          <m:t>red</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ywd</m:t>
                        </m:r>
                      </m:sub>
                    </m:sSub>
                    <m:r>
                      <w:rPr>
                        <w:rFonts w:ascii="Cambria Math" w:hAnsi="Cambria Math"/>
                      </w:rPr>
                      <m:t>⋅</m:t>
                    </m:r>
                    <m:r>
                      <m:rPr>
                        <m:sty m:val="p"/>
                      </m:rPr>
                      <w:rPr>
                        <w:rFonts w:ascii="Cambria Math" w:hAnsi="Cambria Math"/>
                      </w:rPr>
                      <m:t>cot</m:t>
                    </m:r>
                    <m:r>
                      <w:rPr>
                        <w:rFonts w:ascii="Cambria Math" w:hAnsi="Cambria Math"/>
                      </w:rPr>
                      <m:t>θ</m:t>
                    </m:r>
                  </m:den>
                </m:f>
              </m:oMath>
            </m:oMathPara>
          </w:p>
        </w:tc>
        <w:tc>
          <w:tcPr>
            <w:tcW w:w="1247" w:type="dxa"/>
            <w:vAlign w:val="center"/>
          </w:tcPr>
          <w:p w14:paraId="1325372F" w14:textId="30D1D370" w:rsidR="0009382B" w:rsidRPr="001455DC" w:rsidRDefault="0009382B" w:rsidP="00214838">
            <w:pPr>
              <w:pStyle w:val="a7"/>
              <w:jc w:val="right"/>
            </w:pPr>
            <w:r w:rsidRPr="001455DC">
              <w:t>(K.21)</w:t>
            </w:r>
          </w:p>
        </w:tc>
      </w:tr>
    </w:tbl>
    <w:p w14:paraId="55B5369B" w14:textId="3E8A01DD" w:rsidR="004E22C1" w:rsidRPr="001455DC" w:rsidRDefault="00723CF7" w:rsidP="0009382B">
      <w:pPr>
        <w:pStyle w:val="FigureImage"/>
      </w:pPr>
      <w:r>
        <w:rPr>
          <w:noProof/>
          <w:lang w:eastAsia="en-GB"/>
        </w:rPr>
        <w:fldChar w:fldCharType="begin"/>
      </w:r>
      <w:r>
        <w:rPr>
          <w:noProof/>
          <w:lang w:eastAsia="en-GB"/>
        </w:rPr>
        <w:instrText xml:space="preserve"> INCLUDEPICTURE  "Y:\\STD_MGT\\STDDEL\\PRODUCTION\\etrans\\Download\\Z_FIRST_DEL\\SV\\00250\\00250269\\41_e_dr\\k004.tif"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"Y:\\STD_MGT\\STDDEL\\PRODUCTION\\Standards\\00250\\269\\41_e_dr\\k004.tif"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"Y:\\STD_MGT\\STDDEL\\PRODUCTION\\Standards\\00250\\269\\41_e_dr\\k004.tif"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"Y:\\STD_MGT\\STDDEL\\PRODUCTION\\Standards\\00250\\269\\41_e_dr\\k004.tif"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"Y:\\STD_MGT\\STDDEL\\PRODUCTION\\Standards\\00250\\269\\41_e_dr\\k004.tif"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"Y:\\STD_MGT\\STDDEL\\PRODUCTION\\Standards\\00250\\269\\41_e_dr\\k004.tif"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w:instrText>
      </w:r>
      <w:r w:rsidR="00231E33">
        <w:rPr>
          <w:noProof/>
          <w:lang w:eastAsia="en-GB"/>
        </w:rPr>
        <w:instrText>Temp1_00250269_e_20210902.zip.zip\\41_e_dr\\k004.tif"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501C4781">
          <v:shape id="_x0000_i1329" type="#_x0000_t75" style="width:213.75pt;height:136.5pt">
            <v:imagedata r:id="rId628" r:href="rId629"/>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48094FCC" w14:textId="77777777" w:rsidR="0009382B" w:rsidRPr="001455DC" w:rsidRDefault="0009382B" w:rsidP="00DB201D">
      <w:pPr>
        <w:pStyle w:val="KeyTitle"/>
      </w:pPr>
      <w:r w:rsidRPr="001455DC">
        <w:t>Key</w:t>
      </w:r>
    </w:p>
    <w:tbl>
      <w:tblPr>
        <w:tblW w:w="9809" w:type="dxa"/>
        <w:tblLayout w:type="fixed"/>
        <w:tblCellMar>
          <w:left w:w="28" w:type="dxa"/>
          <w:right w:w="28" w:type="dxa"/>
        </w:tblCellMar>
        <w:tblLook w:val="0000" w:firstRow="0" w:lastRow="0" w:firstColumn="0" w:lastColumn="0" w:noHBand="0" w:noVBand="0"/>
      </w:tblPr>
      <w:tblGrid>
        <w:gridCol w:w="397"/>
        <w:gridCol w:w="9412"/>
      </w:tblGrid>
      <w:tr w:rsidR="0009382B" w:rsidRPr="001455DC" w14:paraId="0AB9B05C" w14:textId="77777777" w:rsidTr="00214838">
        <w:tc>
          <w:tcPr>
            <w:tcW w:w="397" w:type="dxa"/>
            <w:shd w:val="clear" w:color="auto" w:fill="auto"/>
          </w:tcPr>
          <w:p w14:paraId="284724A5" w14:textId="7BD5828C" w:rsidR="0009382B" w:rsidRPr="001455DC" w:rsidRDefault="00952678" w:rsidP="00D86695">
            <w:pPr>
              <w:pStyle w:val="KeyText"/>
              <w:tabs>
                <w:tab w:val="clear" w:pos="346"/>
              </w:tabs>
              <w:ind w:left="0" w:firstLine="0"/>
            </w:pPr>
            <w:r>
              <w:t>1</w:t>
            </w:r>
          </w:p>
        </w:tc>
        <w:tc>
          <w:tcPr>
            <w:tcW w:w="9412" w:type="dxa"/>
            <w:shd w:val="clear" w:color="auto" w:fill="auto"/>
          </w:tcPr>
          <w:p w14:paraId="4C55981F" w14:textId="2F94956C" w:rsidR="0009382B" w:rsidRPr="001455DC" w:rsidRDefault="0009382B" w:rsidP="00D86695">
            <w:pPr>
              <w:pStyle w:val="KeyText"/>
              <w:tabs>
                <w:tab w:val="clear" w:pos="346"/>
              </w:tabs>
              <w:ind w:left="0" w:firstLine="0"/>
            </w:pPr>
            <w:r w:rsidRPr="001455DC">
              <w:t>Axes of theoretical tie</w:t>
            </w:r>
          </w:p>
        </w:tc>
      </w:tr>
      <w:tr w:rsidR="0009382B" w:rsidRPr="001455DC" w14:paraId="1C73ECDD" w14:textId="77777777" w:rsidTr="00214838">
        <w:tc>
          <w:tcPr>
            <w:tcW w:w="397" w:type="dxa"/>
            <w:shd w:val="clear" w:color="auto" w:fill="auto"/>
          </w:tcPr>
          <w:p w14:paraId="10AF7DC2" w14:textId="48FE2DDE" w:rsidR="0009382B" w:rsidRPr="001455DC" w:rsidRDefault="00952678" w:rsidP="00D86695">
            <w:pPr>
              <w:pStyle w:val="KeyText"/>
              <w:tabs>
                <w:tab w:val="clear" w:pos="346"/>
              </w:tabs>
              <w:ind w:left="0" w:firstLine="0"/>
            </w:pPr>
            <w:r>
              <w:t>2</w:t>
            </w:r>
          </w:p>
        </w:tc>
        <w:tc>
          <w:tcPr>
            <w:tcW w:w="9412" w:type="dxa"/>
            <w:shd w:val="clear" w:color="auto" w:fill="auto"/>
          </w:tcPr>
          <w:p w14:paraId="37784821" w14:textId="52D19C9E" w:rsidR="0009382B" w:rsidRPr="001455DC" w:rsidRDefault="0009382B" w:rsidP="00D86695">
            <w:pPr>
              <w:pStyle w:val="KeyText"/>
              <w:tabs>
                <w:tab w:val="clear" w:pos="346"/>
              </w:tabs>
              <w:ind w:left="0" w:firstLine="0"/>
            </w:pPr>
            <w:r w:rsidRPr="001455DC">
              <w:t>Axes of theoretical struts</w:t>
            </w:r>
          </w:p>
        </w:tc>
      </w:tr>
      <w:tr w:rsidR="0009382B" w:rsidRPr="001455DC" w14:paraId="5DDDDC27" w14:textId="77777777" w:rsidTr="00214838">
        <w:tc>
          <w:tcPr>
            <w:tcW w:w="397" w:type="dxa"/>
            <w:shd w:val="clear" w:color="auto" w:fill="auto"/>
          </w:tcPr>
          <w:p w14:paraId="4506F8E5" w14:textId="5A3284F9" w:rsidR="0009382B" w:rsidRPr="001455DC" w:rsidRDefault="00952678" w:rsidP="00D86695">
            <w:pPr>
              <w:pStyle w:val="KeyText"/>
              <w:tabs>
                <w:tab w:val="clear" w:pos="346"/>
              </w:tabs>
              <w:ind w:left="0" w:firstLine="0"/>
            </w:pPr>
            <w:r>
              <w:t>3</w:t>
            </w:r>
          </w:p>
        </w:tc>
        <w:tc>
          <w:tcPr>
            <w:tcW w:w="9412" w:type="dxa"/>
            <w:shd w:val="clear" w:color="auto" w:fill="auto"/>
          </w:tcPr>
          <w:p w14:paraId="3787553D" w14:textId="45D10D97" w:rsidR="0009382B" w:rsidRPr="001455DC" w:rsidRDefault="0009382B" w:rsidP="00D86695">
            <w:pPr>
              <w:pStyle w:val="KeyText"/>
              <w:tabs>
                <w:tab w:val="clear" w:pos="346"/>
              </w:tabs>
              <w:ind w:left="0" w:firstLine="0"/>
            </w:pPr>
            <w:r w:rsidRPr="001455DC">
              <w:t>Tension chord of truss (external tendon)</w:t>
            </w:r>
          </w:p>
        </w:tc>
      </w:tr>
      <w:tr w:rsidR="0009382B" w:rsidRPr="001455DC" w14:paraId="08542BA2" w14:textId="77777777" w:rsidTr="00214838">
        <w:tc>
          <w:tcPr>
            <w:tcW w:w="397" w:type="dxa"/>
            <w:shd w:val="clear" w:color="auto" w:fill="auto"/>
          </w:tcPr>
          <w:p w14:paraId="507066DC" w14:textId="5F2430CD" w:rsidR="0009382B" w:rsidRPr="001455DC" w:rsidRDefault="00952678" w:rsidP="00D86695">
            <w:pPr>
              <w:pStyle w:val="KeyText"/>
              <w:tabs>
                <w:tab w:val="clear" w:pos="346"/>
              </w:tabs>
              <w:ind w:left="0" w:firstLine="0"/>
            </w:pPr>
            <w:r>
              <w:t>4</w:t>
            </w:r>
          </w:p>
        </w:tc>
        <w:tc>
          <w:tcPr>
            <w:tcW w:w="9412" w:type="dxa"/>
            <w:shd w:val="clear" w:color="auto" w:fill="auto"/>
          </w:tcPr>
          <w:p w14:paraId="0326F365" w14:textId="09D62D27" w:rsidR="0009382B" w:rsidRPr="001455DC" w:rsidRDefault="0009382B" w:rsidP="00D86695">
            <w:pPr>
              <w:pStyle w:val="KeyText"/>
              <w:tabs>
                <w:tab w:val="clear" w:pos="346"/>
              </w:tabs>
              <w:ind w:left="0" w:firstLine="0"/>
            </w:pPr>
            <w:r w:rsidRPr="001455DC">
              <w:t xml:space="preserve">Field A: arrangement of stirrups with </w:t>
            </w:r>
            <w:r w:rsidRPr="001455DC">
              <w:rPr>
                <w:rStyle w:val="CCMCvariableitalic"/>
              </w:rPr>
              <w:t>θ</w:t>
            </w:r>
            <w:r w:rsidRPr="001455DC">
              <w:rPr>
                <w:rStyle w:val="CCMCvariablesubscript"/>
              </w:rPr>
              <w:t>max</w:t>
            </w:r>
            <w:r w:rsidRPr="001455DC">
              <w:t xml:space="preserve"> (cot </w:t>
            </w:r>
            <w:r w:rsidRPr="001455DC">
              <w:rPr>
                <w:rStyle w:val="CCMCvariableitalic"/>
              </w:rPr>
              <w:t>θ</w:t>
            </w:r>
            <w:r w:rsidRPr="001455DC">
              <w:t> </w:t>
            </w:r>
            <w:r w:rsidR="00EC27D2" w:rsidRPr="001455DC">
              <w:rPr>
                <w:rFonts w:ascii="Cambria Math" w:hAnsi="Cambria Math"/>
              </w:rPr>
              <w:t>=</w:t>
            </w:r>
            <w:r w:rsidRPr="001455DC">
              <w:t> 1,0)</w:t>
            </w:r>
          </w:p>
        </w:tc>
      </w:tr>
      <w:tr w:rsidR="0009382B" w:rsidRPr="001455DC" w14:paraId="6751D8EF" w14:textId="77777777" w:rsidTr="00214838">
        <w:tc>
          <w:tcPr>
            <w:tcW w:w="397" w:type="dxa"/>
            <w:shd w:val="clear" w:color="auto" w:fill="auto"/>
          </w:tcPr>
          <w:p w14:paraId="44BF053B" w14:textId="0A711B57" w:rsidR="0009382B" w:rsidRPr="001455DC" w:rsidRDefault="00952678" w:rsidP="00D86695">
            <w:pPr>
              <w:pStyle w:val="KeyText"/>
              <w:tabs>
                <w:tab w:val="clear" w:pos="346"/>
              </w:tabs>
              <w:ind w:left="0" w:firstLine="0"/>
            </w:pPr>
            <w:r>
              <w:t>5</w:t>
            </w:r>
          </w:p>
        </w:tc>
        <w:tc>
          <w:tcPr>
            <w:tcW w:w="9412" w:type="dxa"/>
            <w:shd w:val="clear" w:color="auto" w:fill="auto"/>
          </w:tcPr>
          <w:p w14:paraId="6F388BA3" w14:textId="1B179470" w:rsidR="0009382B" w:rsidRPr="001455DC" w:rsidRDefault="0009382B" w:rsidP="00D86695">
            <w:pPr>
              <w:pStyle w:val="KeyText"/>
              <w:tabs>
                <w:tab w:val="clear" w:pos="346"/>
              </w:tabs>
              <w:ind w:left="0" w:firstLine="0"/>
            </w:pPr>
            <w:r w:rsidRPr="001455DC">
              <w:t xml:space="preserve">Field B: arrangement of stirrups with </w:t>
            </w:r>
            <w:r w:rsidRPr="001455DC">
              <w:rPr>
                <w:rStyle w:val="CCMCvariableitalic"/>
              </w:rPr>
              <w:t>θ</w:t>
            </w:r>
            <w:r w:rsidRPr="001455DC">
              <w:rPr>
                <w:rStyle w:val="CCMCvariablesubscript"/>
              </w:rPr>
              <w:t>min</w:t>
            </w:r>
            <w:r w:rsidRPr="001455DC">
              <w:t xml:space="preserve"> (cot </w:t>
            </w:r>
            <w:r w:rsidRPr="001455DC">
              <w:rPr>
                <w:rStyle w:val="CCMCvariableitalic"/>
              </w:rPr>
              <w:t>θ</w:t>
            </w:r>
            <w:r w:rsidRPr="001455DC">
              <w:t> </w:t>
            </w:r>
            <w:r w:rsidR="00EC27D2" w:rsidRPr="001455DC">
              <w:rPr>
                <w:rFonts w:ascii="Cambria Math" w:hAnsi="Cambria Math"/>
              </w:rPr>
              <w:t>=</w:t>
            </w:r>
            <w:r w:rsidRPr="001455DC">
              <w:t> 2,5)</w:t>
            </w:r>
          </w:p>
        </w:tc>
      </w:tr>
    </w:tbl>
    <w:p w14:paraId="1A158CBE" w14:textId="77777777" w:rsidR="004E22C1" w:rsidRPr="001455DC" w:rsidRDefault="004E22C1" w:rsidP="0009382B">
      <w:pPr>
        <w:pStyle w:val="Figuretitle"/>
      </w:pPr>
      <w:r w:rsidRPr="001455DC">
        <w:t>Figure K.4 — Diagonal stress fields across the joint web</w:t>
      </w:r>
    </w:p>
    <w:p w14:paraId="47C52280" w14:textId="77777777" w:rsidR="004E22C1" w:rsidRPr="001455DC" w:rsidRDefault="004E22C1" w:rsidP="0009382B">
      <w:pPr>
        <w:pStyle w:val="a7"/>
      </w:pPr>
      <w:r w:rsidRPr="001455DC">
        <w:t>(4)</w:t>
      </w:r>
      <w:r w:rsidRPr="001455DC">
        <w:tab/>
        <w:t>In the case of segmental construction with precast box elements and no internal bonded prestressing in the tension region, the opening of a joint to an extent greater than the thickness of the corresponding flange should not be permitted unless a sufficient strength can be demonstrated with refined design models accounting for this opening of the joint.</w:t>
      </w:r>
    </w:p>
    <w:p w14:paraId="70C95B4B" w14:textId="77777777" w:rsidR="004E22C1" w:rsidRPr="001455DC" w:rsidRDefault="004E22C1" w:rsidP="0009382B">
      <w:pPr>
        <w:pStyle w:val="Note"/>
      </w:pPr>
      <w:r w:rsidRPr="001455DC">
        <w:t>NOTE</w:t>
      </w:r>
      <w:r w:rsidRPr="001455DC">
        <w:tab/>
        <w:t>Such amount of joint opening induces a substantial modification of the torsional resisting mechanism.</w:t>
      </w:r>
    </w:p>
    <w:p w14:paraId="77C0416E" w14:textId="4B62FA30" w:rsidR="004E22C1" w:rsidRPr="001455DC" w:rsidRDefault="004E22C1" w:rsidP="00082680">
      <w:pPr>
        <w:pStyle w:val="a2"/>
      </w:pPr>
      <w:bookmarkStart w:id="2197" w:name="_Toc52820363"/>
      <w:bookmarkStart w:id="2198" w:name="_Toc54337221"/>
      <w:bookmarkStart w:id="2199" w:name="_Toc54337796"/>
      <w:bookmarkStart w:id="2200" w:name="_Toc54338411"/>
      <w:bookmarkStart w:id="2201" w:name="_Toc67565625"/>
      <w:r w:rsidRPr="001455DC">
        <w:t>Plain and lightly reinforced concrete structures</w:t>
      </w:r>
      <w:bookmarkEnd w:id="2197"/>
      <w:bookmarkEnd w:id="2198"/>
      <w:bookmarkEnd w:id="2199"/>
      <w:bookmarkEnd w:id="2200"/>
      <w:bookmarkEnd w:id="2201"/>
    </w:p>
    <w:p w14:paraId="259B1C76" w14:textId="474CB40A" w:rsidR="004E22C1" w:rsidRPr="001455DC" w:rsidRDefault="004E22C1" w:rsidP="0009382B">
      <w:pPr>
        <w:pStyle w:val="Note"/>
      </w:pPr>
      <w:r w:rsidRPr="001455DC">
        <w:t>NOTE</w:t>
      </w:r>
      <w:r w:rsidRPr="001455DC">
        <w:tab/>
        <w:t xml:space="preserve">See </w:t>
      </w:r>
      <w:r w:rsidR="001710FF" w:rsidRPr="001455DC">
        <w:t>Clause </w:t>
      </w:r>
      <w:r w:rsidRPr="001455DC">
        <w:t>14.</w:t>
      </w:r>
    </w:p>
    <w:p w14:paraId="4A9FAC50" w14:textId="2F24EEBC" w:rsidR="004E22C1" w:rsidRPr="001455DC" w:rsidRDefault="004E22C1" w:rsidP="00082680">
      <w:pPr>
        <w:pStyle w:val="a2"/>
      </w:pPr>
      <w:bookmarkStart w:id="2202" w:name="_Toc52820364"/>
      <w:bookmarkStart w:id="2203" w:name="_Toc54337222"/>
      <w:bookmarkStart w:id="2204" w:name="_Toc54337797"/>
      <w:bookmarkStart w:id="2205" w:name="_Toc54338412"/>
      <w:bookmarkStart w:id="2206" w:name="_Toc67565626"/>
      <w:r w:rsidRPr="001455DC">
        <w:t>Annexes A to O</w:t>
      </w:r>
      <w:bookmarkEnd w:id="2202"/>
      <w:bookmarkEnd w:id="2203"/>
      <w:bookmarkEnd w:id="2204"/>
      <w:bookmarkEnd w:id="2205"/>
      <w:bookmarkEnd w:id="2206"/>
    </w:p>
    <w:p w14:paraId="72DFBC3B" w14:textId="5F9AA96F" w:rsidR="004E22C1" w:rsidRPr="001455DC" w:rsidRDefault="004E22C1" w:rsidP="0009382B">
      <w:pPr>
        <w:pStyle w:val="Note"/>
      </w:pPr>
      <w:r w:rsidRPr="001455DC">
        <w:t>NOTE</w:t>
      </w:r>
      <w:r w:rsidRPr="001455DC">
        <w:tab/>
        <w:t>See Annexes A to O.</w:t>
      </w:r>
    </w:p>
    <w:p w14:paraId="0C45146E" w14:textId="148E37AE" w:rsidR="004E22C1" w:rsidRPr="001455DC" w:rsidRDefault="00DB7B8A" w:rsidP="00DB7B8A">
      <w:pPr>
        <w:pStyle w:val="ANNEX"/>
      </w:pPr>
      <w:bookmarkStart w:id="2207" w:name="_Toc52820365"/>
      <w:r w:rsidRPr="001455DC">
        <w:br/>
      </w:r>
      <w:bookmarkStart w:id="2208" w:name="_Toc54337223"/>
      <w:bookmarkStart w:id="2209" w:name="_Toc54337798"/>
      <w:bookmarkStart w:id="2210" w:name="_Toc54338413"/>
      <w:bookmarkStart w:id="2211" w:name="_Toc67565627"/>
      <w:r w:rsidR="004E22C1" w:rsidRPr="001455DC">
        <w:rPr>
          <w:b w:val="0"/>
          <w:bCs/>
        </w:rPr>
        <w:t>(</w:t>
      </w:r>
      <w:r w:rsidR="00405FFA" w:rsidRPr="001455DC">
        <w:rPr>
          <w:b w:val="0"/>
          <w:bCs/>
        </w:rPr>
        <w:t>informative</w:t>
      </w:r>
      <w:r w:rsidR="004E22C1" w:rsidRPr="001455DC">
        <w:rPr>
          <w:b w:val="0"/>
          <w:bCs/>
        </w:rPr>
        <w:t>)</w:t>
      </w:r>
      <w:r w:rsidRPr="001455DC">
        <w:rPr>
          <w:b w:val="0"/>
          <w:bCs/>
        </w:rPr>
        <w:br/>
      </w:r>
      <w:r w:rsidRPr="001455DC">
        <w:br/>
      </w:r>
      <w:r w:rsidR="004E22C1" w:rsidRPr="001455DC">
        <w:t>Steel Fibre Reinforced Concrete</w:t>
      </w:r>
      <w:bookmarkEnd w:id="2207"/>
      <w:bookmarkEnd w:id="2208"/>
      <w:bookmarkEnd w:id="2209"/>
      <w:bookmarkEnd w:id="2210"/>
      <w:r w:rsidR="00405FFA" w:rsidRPr="001455DC">
        <w:t xml:space="preserve"> Structures</w:t>
      </w:r>
      <w:bookmarkEnd w:id="2211"/>
    </w:p>
    <w:p w14:paraId="2152BF88" w14:textId="665929FB" w:rsidR="00790307" w:rsidRPr="001455DC" w:rsidRDefault="00790307" w:rsidP="00082680">
      <w:pPr>
        <w:pStyle w:val="a2"/>
      </w:pPr>
      <w:bookmarkStart w:id="2212" w:name="_Toc67565628"/>
      <w:bookmarkStart w:id="2213" w:name="_Toc52820366"/>
      <w:bookmarkStart w:id="2214" w:name="_Toc54337224"/>
      <w:bookmarkStart w:id="2215" w:name="_Toc54337799"/>
      <w:bookmarkStart w:id="2216" w:name="_Toc54338414"/>
      <w:r w:rsidRPr="001455DC">
        <w:t>Use of this annex</w:t>
      </w:r>
      <w:bookmarkEnd w:id="2212"/>
    </w:p>
    <w:p w14:paraId="397E260D" w14:textId="77777777" w:rsidR="00790307" w:rsidRPr="001455DC" w:rsidRDefault="00790307" w:rsidP="00790307">
      <w:pPr>
        <w:pStyle w:val="a7"/>
      </w:pPr>
      <w:r w:rsidRPr="001455DC">
        <w:t>(1) This Informative Annex provides supplementary rules for structures which comprise steel fibre reinforced concrete (SFRC). The provisions of this Eurocode apply for concrete members with SFRC unless modified in this Annex L.</w:t>
      </w:r>
    </w:p>
    <w:p w14:paraId="248FDA77" w14:textId="7AD87F80" w:rsidR="00790307" w:rsidRPr="009D3012" w:rsidRDefault="003E0584" w:rsidP="009D3012">
      <w:pPr>
        <w:pStyle w:val="Note"/>
      </w:pPr>
      <w:r>
        <w:t>NOTE</w:t>
      </w:r>
      <w:r>
        <w:tab/>
      </w:r>
      <w:r w:rsidR="00790307" w:rsidRPr="009D3012">
        <w:t>National choice on the application of this Informative Annex is given in a National Annex. If a National Annex contains no information on the application of this Informative Annex, it can be used.</w:t>
      </w:r>
    </w:p>
    <w:p w14:paraId="14C8B7EF" w14:textId="2D1CA79B" w:rsidR="00790307" w:rsidRPr="001455DC" w:rsidRDefault="00790307" w:rsidP="00082680">
      <w:pPr>
        <w:pStyle w:val="a2"/>
      </w:pPr>
      <w:bookmarkStart w:id="2217" w:name="_Toc67565629"/>
      <w:r w:rsidRPr="001455DC">
        <w:t>Scope and field of application</w:t>
      </w:r>
      <w:bookmarkEnd w:id="2217"/>
    </w:p>
    <w:p w14:paraId="2758CF03" w14:textId="77777777" w:rsidR="00790307" w:rsidRPr="001455DC" w:rsidRDefault="00790307" w:rsidP="00790307">
      <w:pPr>
        <w:pStyle w:val="a7"/>
      </w:pPr>
      <w:r w:rsidRPr="001455DC">
        <w:t>(1) This Informative Annex covers the design of concrete structures which comprise steel fibre reinforced concrete (SFRC) with or without reinforcing steel, pretensioning or post-tensioning tendons.</w:t>
      </w:r>
    </w:p>
    <w:p w14:paraId="150A7152" w14:textId="77777777" w:rsidR="00790307" w:rsidRPr="001455DC" w:rsidRDefault="00790307" w:rsidP="00790307">
      <w:pPr>
        <w:pStyle w:val="a7"/>
      </w:pPr>
      <w:r w:rsidRPr="001455DC">
        <w:t>(2) This Informative Annex applies to normal weight and heavy weight, precast or cast in place concrete in accordance with 5.1.1.</w:t>
      </w:r>
    </w:p>
    <w:p w14:paraId="396A79FD" w14:textId="00640592" w:rsidR="00790307" w:rsidRPr="009D3012" w:rsidRDefault="003E0584" w:rsidP="009D3012">
      <w:pPr>
        <w:pStyle w:val="Note"/>
      </w:pPr>
      <w:r>
        <w:t>NOTE</w:t>
      </w:r>
      <w:r>
        <w:tab/>
      </w:r>
      <w:r w:rsidR="00790307" w:rsidRPr="009D3012">
        <w:t>Slabs on ground which are not required for the structural stability (e.g. industrial floors) can be designed to these provisions.</w:t>
      </w:r>
    </w:p>
    <w:p w14:paraId="512D7024" w14:textId="417DDE5F" w:rsidR="004E22C1" w:rsidRPr="001455DC" w:rsidRDefault="0009382B" w:rsidP="00082680">
      <w:pPr>
        <w:pStyle w:val="a2"/>
      </w:pPr>
      <w:bookmarkStart w:id="2218" w:name="_Toc67565630"/>
      <w:r w:rsidRPr="001455DC">
        <w:t>General</w:t>
      </w:r>
      <w:bookmarkEnd w:id="2213"/>
      <w:bookmarkEnd w:id="2214"/>
      <w:bookmarkEnd w:id="2215"/>
      <w:bookmarkEnd w:id="2216"/>
      <w:bookmarkEnd w:id="2218"/>
    </w:p>
    <w:p w14:paraId="598CD474" w14:textId="064F2FAE" w:rsidR="00A37167" w:rsidRPr="009D3012" w:rsidRDefault="004E22C1" w:rsidP="009D3012">
      <w:pPr>
        <w:pStyle w:val="Note"/>
      </w:pPr>
      <w:r w:rsidRPr="009D3012">
        <w:rPr>
          <w:bCs/>
        </w:rPr>
        <w:t>NOTE</w:t>
      </w:r>
      <w:r w:rsidR="00405FFA" w:rsidRPr="009D3012">
        <w:rPr>
          <w:bCs/>
        </w:rPr>
        <w:t xml:space="preserve"> </w:t>
      </w:r>
      <w:r w:rsidRPr="009D3012">
        <w:rPr>
          <w:bCs/>
        </w:rPr>
        <w:tab/>
      </w:r>
      <w:r w:rsidRPr="009D3012">
        <w:t xml:space="preserve">Unless noted otherwise, in Annex L all </w:t>
      </w:r>
      <w:r w:rsidR="00405FFA" w:rsidRPr="009D3012">
        <w:t>clauses</w:t>
      </w:r>
      <w:r w:rsidRPr="009D3012">
        <w:t>/sub</w:t>
      </w:r>
      <w:r w:rsidR="00405FFA" w:rsidRPr="009D3012">
        <w:t>clauses</w:t>
      </w:r>
      <w:r w:rsidRPr="009D3012">
        <w:t xml:space="preserve"> numbers and titles are similar </w:t>
      </w:r>
      <w:r w:rsidR="00405FFA" w:rsidRPr="009D3012">
        <w:t xml:space="preserve">to </w:t>
      </w:r>
      <w:r w:rsidRPr="009D3012">
        <w:t xml:space="preserve">the relevant of the main part of this Eurocode. The prefix ‘L’ is added to section/sub-sections numbers to distinguish content that pertain Steel Firbre Reinforced Concrete (SFRC). Annex L contains only </w:t>
      </w:r>
      <w:r w:rsidR="00405FFA" w:rsidRPr="009D3012">
        <w:t>clauses</w:t>
      </w:r>
      <w:r w:rsidRPr="009D3012">
        <w:t>/sub</w:t>
      </w:r>
      <w:r w:rsidR="00405FFA" w:rsidRPr="009D3012">
        <w:t>clause</w:t>
      </w:r>
      <w:r w:rsidRPr="009D3012">
        <w:t>s of the main part of this Eurocode</w:t>
      </w:r>
      <w:r w:rsidR="00246C87" w:rsidRPr="009D3012">
        <w:t xml:space="preserve"> </w:t>
      </w:r>
      <w:r w:rsidRPr="009D3012">
        <w:t>that include specific clauses for SFRC.</w:t>
      </w:r>
      <w:bookmarkStart w:id="2219" w:name="_Toc52820373"/>
      <w:bookmarkStart w:id="2220" w:name="_Toc54337226"/>
      <w:bookmarkStart w:id="2221" w:name="_Toc54337806"/>
      <w:bookmarkStart w:id="2222" w:name="_Toc54338421"/>
    </w:p>
    <w:p w14:paraId="19253E86" w14:textId="26E4D8F0" w:rsidR="004E22C1" w:rsidRPr="001455DC" w:rsidRDefault="00DB7B8A" w:rsidP="00082680">
      <w:pPr>
        <w:pStyle w:val="a2"/>
      </w:pPr>
      <w:bookmarkStart w:id="2223" w:name="_Toc67565631"/>
      <w:r w:rsidRPr="001455DC">
        <w:t>Basis of design</w:t>
      </w:r>
      <w:bookmarkEnd w:id="2219"/>
      <w:bookmarkEnd w:id="2220"/>
      <w:bookmarkEnd w:id="2221"/>
      <w:bookmarkEnd w:id="2222"/>
      <w:r w:rsidR="00A37167" w:rsidRPr="001455DC">
        <w:t xml:space="preserve"> - Verification by the partial factor method - Partial factors for materials</w:t>
      </w:r>
      <w:bookmarkEnd w:id="2223"/>
    </w:p>
    <w:p w14:paraId="31C8CBD6" w14:textId="77777777" w:rsidR="004E22C1" w:rsidRPr="001455DC" w:rsidRDefault="004E22C1" w:rsidP="00DB7B8A">
      <w:pPr>
        <w:pStyle w:val="a7"/>
      </w:pPr>
      <w:r w:rsidRPr="001455DC">
        <w:t>(1)</w:t>
      </w:r>
      <w:r w:rsidRPr="001455DC">
        <w:tab/>
        <w:t xml:space="preserve">Partial factors for SFRC in tension </w:t>
      </w:r>
      <w:r w:rsidRPr="001455DC">
        <w:rPr>
          <w:rStyle w:val="CCMCvariableitalic"/>
        </w:rPr>
        <w:t>γ</w:t>
      </w:r>
      <w:r w:rsidRPr="001455DC">
        <w:rPr>
          <w:rStyle w:val="CCMCvariablesubscript"/>
        </w:rPr>
        <w:t>SF</w:t>
      </w:r>
      <w:r w:rsidRPr="001455DC">
        <w:t xml:space="preserve"> shall be applied for ultimate and serviceability limit states. For SFRC in compression, the values </w:t>
      </w:r>
      <w:r w:rsidRPr="001455DC">
        <w:rPr>
          <w:rStyle w:val="CCMCvariableitalic"/>
        </w:rPr>
        <w:t>γ</w:t>
      </w:r>
      <w:r w:rsidRPr="001455DC">
        <w:rPr>
          <w:rStyle w:val="CCMCvariablesubscript"/>
        </w:rPr>
        <w:t>C</w:t>
      </w:r>
      <w:r w:rsidRPr="001455DC">
        <w:t xml:space="preserve"> given in Table 4.3(NDP) apply.</w:t>
      </w:r>
    </w:p>
    <w:p w14:paraId="7F40984C" w14:textId="77777777" w:rsidR="004E22C1" w:rsidRPr="001455DC" w:rsidRDefault="004E22C1" w:rsidP="00246C87">
      <w:pPr>
        <w:pStyle w:val="Note"/>
      </w:pPr>
      <w:r w:rsidRPr="001455DC">
        <w:rPr>
          <w:bCs/>
        </w:rPr>
        <w:t>NOTE</w:t>
      </w:r>
      <w:r w:rsidRPr="001455DC">
        <w:rPr>
          <w:bCs/>
        </w:rPr>
        <w:tab/>
      </w:r>
      <w:r w:rsidRPr="001455DC">
        <w:t xml:space="preserve">The values of </w:t>
      </w:r>
      <w:r w:rsidRPr="001455DC">
        <w:rPr>
          <w:rStyle w:val="CCMCvariableitalic"/>
        </w:rPr>
        <w:t>γ</w:t>
      </w:r>
      <w:r w:rsidRPr="001455DC">
        <w:rPr>
          <w:rStyle w:val="CCMCvariablesubscript"/>
        </w:rPr>
        <w:t>SF</w:t>
      </w:r>
      <w:r w:rsidRPr="001455DC">
        <w:t xml:space="preserve"> given in Table L.1(NDP) apply unless a National Annex gives different values</w:t>
      </w:r>
    </w:p>
    <w:p w14:paraId="6C1F875B" w14:textId="77777777" w:rsidR="004E22C1" w:rsidRPr="001455DC" w:rsidRDefault="004E22C1" w:rsidP="00246C87">
      <w:pPr>
        <w:pStyle w:val="Tabletitle"/>
      </w:pPr>
      <w:bookmarkStart w:id="2224" w:name="_Toc54337809"/>
      <w:r w:rsidRPr="001455DC">
        <w:t>Table L.1(NDP) — Partial factors for SFRC in tension</w:t>
      </w:r>
      <w:bookmarkEnd w:id="2224"/>
    </w:p>
    <w:tbl>
      <w:tblPr>
        <w:tblStyle w:val="53"/>
        <w:tblW w:w="6804" w:type="dxa"/>
        <w:tblLayout w:type="fixed"/>
        <w:tblLook w:val="04A0" w:firstRow="1" w:lastRow="0" w:firstColumn="1" w:lastColumn="0" w:noHBand="0" w:noVBand="1"/>
      </w:tblPr>
      <w:tblGrid>
        <w:gridCol w:w="5337"/>
        <w:gridCol w:w="1467"/>
      </w:tblGrid>
      <w:tr w:rsidR="004E22C1" w:rsidRPr="001455DC" w14:paraId="2923F2F6" w14:textId="77777777" w:rsidTr="00246C87">
        <w:trPr>
          <w:cnfStyle w:val="100000000000" w:firstRow="1" w:lastRow="0" w:firstColumn="0" w:lastColumn="0" w:oddVBand="0" w:evenVBand="0" w:oddHBand="0" w:evenHBand="0" w:firstRowFirstColumn="0" w:firstRowLastColumn="0" w:lastRowFirstColumn="0" w:lastRowLastColumn="0"/>
          <w:trHeight w:val="221"/>
          <w:tblHeader/>
        </w:trPr>
        <w:tc>
          <w:tcPr>
            <w:cnfStyle w:val="000000000100" w:firstRow="0" w:lastRow="0" w:firstColumn="0" w:lastColumn="0" w:oddVBand="0" w:evenVBand="0" w:oddHBand="0" w:evenHBand="0" w:firstRowFirstColumn="1" w:firstRowLastColumn="0" w:lastRowFirstColumn="0" w:lastRowLastColumn="0"/>
            <w:tcW w:w="4258" w:type="dxa"/>
          </w:tcPr>
          <w:p w14:paraId="10988FB2" w14:textId="77777777" w:rsidR="004E22C1" w:rsidRPr="001455DC" w:rsidRDefault="004E22C1" w:rsidP="00DE6BBC">
            <w:pPr>
              <w:pStyle w:val="Tableheader"/>
              <w:keepNext/>
            </w:pPr>
            <w:r w:rsidRPr="001455DC">
              <w:t>Design situations — Limit states</w:t>
            </w:r>
          </w:p>
        </w:tc>
        <w:tc>
          <w:tcPr>
            <w:tcW w:w="1170" w:type="dxa"/>
          </w:tcPr>
          <w:p w14:paraId="47CD46DA" w14:textId="77777777" w:rsidR="004E22C1" w:rsidRPr="001455DC" w:rsidRDefault="004E22C1" w:rsidP="00DE6BBC">
            <w:pPr>
              <w:pStyle w:val="Tableheader"/>
              <w:keepNext/>
              <w:cnfStyle w:val="100000000000" w:firstRow="1" w:lastRow="0" w:firstColumn="0" w:lastColumn="0" w:oddVBand="0" w:evenVBand="0" w:oddHBand="0" w:evenHBand="0" w:firstRowFirstColumn="0" w:firstRowLastColumn="0" w:lastRowFirstColumn="0" w:lastRowLastColumn="0"/>
            </w:pPr>
            <w:r w:rsidRPr="001455DC">
              <w:rPr>
                <w:rStyle w:val="CCMCvariableitalic"/>
              </w:rPr>
              <w:t>γ</w:t>
            </w:r>
            <w:r w:rsidRPr="001455DC">
              <w:rPr>
                <w:rStyle w:val="CCMCvariablesubscript"/>
              </w:rPr>
              <w:t>SF</w:t>
            </w:r>
          </w:p>
        </w:tc>
      </w:tr>
      <w:tr w:rsidR="004E22C1" w:rsidRPr="001455DC" w14:paraId="72DEB292" w14:textId="77777777" w:rsidTr="00246C87">
        <w:trPr>
          <w:trHeight w:val="197"/>
        </w:trPr>
        <w:tc>
          <w:tcPr>
            <w:tcW w:w="4258" w:type="dxa"/>
            <w:vAlign w:val="center"/>
            <w:hideMark/>
          </w:tcPr>
          <w:p w14:paraId="632C9212" w14:textId="12B1C128" w:rsidR="004E22C1" w:rsidRPr="001455DC" w:rsidRDefault="004E22C1" w:rsidP="00DE6BBC">
            <w:pPr>
              <w:pStyle w:val="Tablebody"/>
              <w:keepNext/>
              <w:jc w:val="left"/>
            </w:pPr>
            <w:r w:rsidRPr="001455DC">
              <w:t>Persistent and transient design situations</w:t>
            </w:r>
          </w:p>
        </w:tc>
        <w:tc>
          <w:tcPr>
            <w:tcW w:w="1170" w:type="dxa"/>
            <w:vAlign w:val="center"/>
            <w:hideMark/>
          </w:tcPr>
          <w:p w14:paraId="3FEC9A0D" w14:textId="77777777" w:rsidR="004E22C1" w:rsidRPr="001455DC" w:rsidRDefault="004E22C1" w:rsidP="00DE6BBC">
            <w:pPr>
              <w:pStyle w:val="Tablebody"/>
              <w:keepNext/>
              <w:jc w:val="center"/>
            </w:pPr>
            <w:r w:rsidRPr="001455DC">
              <w:t>1,50</w:t>
            </w:r>
          </w:p>
        </w:tc>
      </w:tr>
      <w:tr w:rsidR="004E22C1" w:rsidRPr="001455DC" w14:paraId="5A6B13B6" w14:textId="77777777" w:rsidTr="00246C87">
        <w:trPr>
          <w:trHeight w:val="173"/>
        </w:trPr>
        <w:tc>
          <w:tcPr>
            <w:tcW w:w="4258" w:type="dxa"/>
            <w:vAlign w:val="center"/>
            <w:hideMark/>
          </w:tcPr>
          <w:p w14:paraId="647580AD" w14:textId="6BE7417A" w:rsidR="004E22C1" w:rsidRPr="001455DC" w:rsidRDefault="004E22C1" w:rsidP="00DE6BBC">
            <w:pPr>
              <w:pStyle w:val="Tablebody"/>
              <w:keepNext/>
              <w:jc w:val="left"/>
            </w:pPr>
            <w:r w:rsidRPr="001455DC">
              <w:t>Accidental design situation</w:t>
            </w:r>
          </w:p>
        </w:tc>
        <w:tc>
          <w:tcPr>
            <w:tcW w:w="1170" w:type="dxa"/>
            <w:vAlign w:val="center"/>
            <w:hideMark/>
          </w:tcPr>
          <w:p w14:paraId="0AD64D95" w14:textId="77777777" w:rsidR="004E22C1" w:rsidRPr="001455DC" w:rsidRDefault="004E22C1" w:rsidP="00DE6BBC">
            <w:pPr>
              <w:pStyle w:val="Tablebody"/>
              <w:keepNext/>
              <w:jc w:val="center"/>
            </w:pPr>
            <w:r w:rsidRPr="001455DC">
              <w:t>1,20</w:t>
            </w:r>
          </w:p>
        </w:tc>
      </w:tr>
      <w:tr w:rsidR="004E22C1" w:rsidRPr="001455DC" w14:paraId="3F823A55" w14:textId="77777777" w:rsidTr="00246C87">
        <w:trPr>
          <w:trHeight w:val="260"/>
        </w:trPr>
        <w:tc>
          <w:tcPr>
            <w:tcW w:w="4258" w:type="dxa"/>
            <w:vAlign w:val="center"/>
            <w:hideMark/>
          </w:tcPr>
          <w:p w14:paraId="58E00B00" w14:textId="0AB4CEEA" w:rsidR="004E22C1" w:rsidRPr="001455DC" w:rsidRDefault="004E22C1" w:rsidP="00246C87">
            <w:pPr>
              <w:pStyle w:val="Tablebody"/>
              <w:jc w:val="left"/>
            </w:pPr>
            <w:r w:rsidRPr="001455DC">
              <w:t>Serviceability</w:t>
            </w:r>
            <w:r w:rsidR="00F77658" w:rsidRPr="001455DC">
              <w:t xml:space="preserve"> </w:t>
            </w:r>
            <w:r w:rsidRPr="001455DC">
              <w:t xml:space="preserve">limit </w:t>
            </w:r>
            <w:r w:rsidR="00F77658" w:rsidRPr="001455DC">
              <w:t>s</w:t>
            </w:r>
            <w:r w:rsidRPr="001455DC">
              <w:t>tate</w:t>
            </w:r>
            <w:r w:rsidR="00F77658" w:rsidRPr="001455DC">
              <w:t>s</w:t>
            </w:r>
          </w:p>
        </w:tc>
        <w:tc>
          <w:tcPr>
            <w:tcW w:w="1170" w:type="dxa"/>
            <w:vAlign w:val="center"/>
            <w:hideMark/>
          </w:tcPr>
          <w:p w14:paraId="2612EFB2" w14:textId="63B9A08E" w:rsidR="004E22C1" w:rsidRPr="001455DC" w:rsidRDefault="004E22C1" w:rsidP="00246C87">
            <w:pPr>
              <w:pStyle w:val="Tablebody"/>
              <w:jc w:val="center"/>
            </w:pPr>
            <w:r w:rsidRPr="001455DC">
              <w:t>1,00</w:t>
            </w:r>
          </w:p>
        </w:tc>
      </w:tr>
    </w:tbl>
    <w:p w14:paraId="0204B157" w14:textId="77777777" w:rsidR="004E22C1" w:rsidRPr="001455DC" w:rsidRDefault="004E22C1" w:rsidP="00DB7B8A">
      <w:pPr>
        <w:pStyle w:val="a7"/>
      </w:pPr>
    </w:p>
    <w:p w14:paraId="0913FDA6" w14:textId="72AEA8C2" w:rsidR="004E22C1" w:rsidRPr="001455DC" w:rsidRDefault="00DB7B8A" w:rsidP="00082680">
      <w:pPr>
        <w:pStyle w:val="a2"/>
      </w:pPr>
      <w:bookmarkStart w:id="2225" w:name="_Toc54337227"/>
      <w:bookmarkStart w:id="2226" w:name="_Toc54337810"/>
      <w:bookmarkStart w:id="2227" w:name="_Toc54338424"/>
      <w:bookmarkStart w:id="2228" w:name="_Toc67565632"/>
      <w:r w:rsidRPr="001455DC">
        <w:t>Materials</w:t>
      </w:r>
      <w:bookmarkEnd w:id="2225"/>
      <w:bookmarkEnd w:id="2226"/>
      <w:bookmarkEnd w:id="2227"/>
      <w:r w:rsidR="00A37167" w:rsidRPr="001455DC">
        <w:t xml:space="preserve"> - Steel Fibre Reinforced Concrete</w:t>
      </w:r>
      <w:bookmarkEnd w:id="2228"/>
    </w:p>
    <w:p w14:paraId="5EF66EC5" w14:textId="097F826A" w:rsidR="004E22C1" w:rsidRPr="001455DC" w:rsidRDefault="00A37167" w:rsidP="00243590">
      <w:pPr>
        <w:pStyle w:val="a3"/>
      </w:pPr>
      <w:bookmarkStart w:id="2229" w:name="_Toc52820377"/>
      <w:bookmarkStart w:id="2230" w:name="_Toc54337811"/>
      <w:bookmarkStart w:id="2231" w:name="_Toc54338425"/>
      <w:r w:rsidRPr="001455DC">
        <w:t>Properties</w:t>
      </w:r>
      <w:r w:rsidRPr="001455DC" w:rsidDel="00A37167">
        <w:t xml:space="preserve"> </w:t>
      </w:r>
      <w:bookmarkEnd w:id="2229"/>
      <w:bookmarkEnd w:id="2230"/>
      <w:bookmarkEnd w:id="2231"/>
    </w:p>
    <w:p w14:paraId="56B6F0A3" w14:textId="2D4556C5" w:rsidR="004E22C1" w:rsidRPr="001455DC" w:rsidRDefault="00783EF5" w:rsidP="00DB7B8A">
      <w:pPr>
        <w:pStyle w:val="a7"/>
      </w:pPr>
      <w:bookmarkStart w:id="2232" w:name="_Toc52820378"/>
      <w:bookmarkStart w:id="2233" w:name="_Toc54337812"/>
      <w:bookmarkStart w:id="2234" w:name="_Toc54338426"/>
      <w:r w:rsidRPr="001455DC" w:rsidDel="00783EF5">
        <w:t xml:space="preserve"> </w:t>
      </w:r>
      <w:bookmarkEnd w:id="2232"/>
      <w:bookmarkEnd w:id="2233"/>
      <w:bookmarkEnd w:id="2234"/>
      <w:r w:rsidR="004E22C1" w:rsidRPr="001455DC">
        <w:t>(1)</w:t>
      </w:r>
      <w:r w:rsidR="004E22C1" w:rsidRPr="001455DC">
        <w:tab/>
        <w:t xml:space="preserve">In addition to the properties to be defined according to 5.1.2(1), properties that need to be specified for design of SFRC in accordance with this Eurocode include the characteristic residual flexural strengths </w:t>
      </w:r>
      <w:r w:rsidR="004E22C1" w:rsidRPr="001455DC">
        <w:rPr>
          <w:rStyle w:val="CCMCvariableitalic"/>
        </w:rPr>
        <w:t>f</w:t>
      </w:r>
      <w:r w:rsidR="004E22C1" w:rsidRPr="001455DC">
        <w:rPr>
          <w:rStyle w:val="CCMCvariablesubscript"/>
        </w:rPr>
        <w:t>R,1k</w:t>
      </w:r>
      <w:r w:rsidR="004E22C1" w:rsidRPr="001455DC">
        <w:t xml:space="preserve"> and </w:t>
      </w:r>
      <w:r w:rsidR="004E22C1" w:rsidRPr="001455DC">
        <w:rPr>
          <w:rStyle w:val="CCMCvariableitalic"/>
        </w:rPr>
        <w:t>f</w:t>
      </w:r>
      <w:r w:rsidR="004E22C1" w:rsidRPr="001455DC">
        <w:rPr>
          <w:rStyle w:val="CCMCvariablesubscript"/>
        </w:rPr>
        <w:t>R,3k</w:t>
      </w:r>
      <w:r w:rsidR="004E22C1" w:rsidRPr="001455DC">
        <w:t>.</w:t>
      </w:r>
    </w:p>
    <w:p w14:paraId="433A70D6" w14:textId="581E7C23" w:rsidR="004E22C1" w:rsidRPr="009D3012" w:rsidRDefault="004E22C1" w:rsidP="00243590">
      <w:pPr>
        <w:pStyle w:val="a3"/>
      </w:pPr>
      <w:bookmarkStart w:id="2235" w:name="_Toc52820379"/>
      <w:bookmarkStart w:id="2236" w:name="_Toc54337813"/>
      <w:bookmarkStart w:id="2237" w:name="_Toc54338427"/>
      <w:r w:rsidRPr="009D3012">
        <w:t>Strength</w:t>
      </w:r>
      <w:bookmarkEnd w:id="2235"/>
      <w:bookmarkEnd w:id="2236"/>
      <w:bookmarkEnd w:id="2237"/>
    </w:p>
    <w:p w14:paraId="3407907E" w14:textId="77777777" w:rsidR="004E22C1" w:rsidRPr="001455DC" w:rsidRDefault="004E22C1" w:rsidP="00DB7B8A">
      <w:pPr>
        <w:pStyle w:val="a7"/>
      </w:pPr>
      <w:r w:rsidRPr="001455DC">
        <w:t>(1)</w:t>
      </w:r>
      <w:r w:rsidRPr="001455DC">
        <w:tab/>
        <w:t xml:space="preserve">The residual strength classes in this annex are based on the characteristic residual flexural strength </w:t>
      </w:r>
      <w:r w:rsidRPr="001455DC">
        <w:rPr>
          <w:rStyle w:val="CCMCvariableitalic"/>
        </w:rPr>
        <w:t>f</w:t>
      </w:r>
      <w:r w:rsidRPr="001455DC">
        <w:rPr>
          <w:rStyle w:val="CCMCvariablesubscript"/>
        </w:rPr>
        <w:t>R,1k</w:t>
      </w:r>
      <w:r w:rsidRPr="001455DC">
        <w:t xml:space="preserve"> and </w:t>
      </w:r>
      <w:r w:rsidRPr="001455DC">
        <w:rPr>
          <w:rStyle w:val="CCMCvariableitalic"/>
        </w:rPr>
        <w:t>f</w:t>
      </w:r>
      <w:r w:rsidRPr="001455DC">
        <w:rPr>
          <w:rStyle w:val="CCMCvariablesubscript"/>
        </w:rPr>
        <w:t>R,3k</w:t>
      </w:r>
      <w:r w:rsidRPr="001455DC">
        <w:t xml:space="preserve"> that should be taken from Table L.2.</w:t>
      </w:r>
    </w:p>
    <w:p w14:paraId="213F07F1" w14:textId="77777777" w:rsidR="004E22C1" w:rsidRPr="001455DC" w:rsidRDefault="004E22C1" w:rsidP="00DB7B8A">
      <w:pPr>
        <w:pStyle w:val="Note"/>
      </w:pPr>
      <w:r w:rsidRPr="001455DC">
        <w:t>NOTE 1</w:t>
      </w:r>
      <w:r w:rsidRPr="001455DC">
        <w:tab/>
        <w:t xml:space="preserve">The classification is denominated according to </w:t>
      </w:r>
      <w:r w:rsidRPr="001455DC">
        <w:rPr>
          <w:rStyle w:val="CCMCvariableitalic"/>
        </w:rPr>
        <w:t>f</w:t>
      </w:r>
      <w:r w:rsidRPr="001455DC">
        <w:rPr>
          <w:rStyle w:val="CCMCvariablesubscript"/>
        </w:rPr>
        <w:t>R,1k</w:t>
      </w:r>
      <w:r w:rsidRPr="001455DC">
        <w:t xml:space="preserve"> and the ratio </w:t>
      </w:r>
      <w:r w:rsidRPr="001455DC">
        <w:rPr>
          <w:rStyle w:val="CCMCvariableitalic"/>
        </w:rPr>
        <w:t>f</w:t>
      </w:r>
      <w:r w:rsidRPr="001455DC">
        <w:rPr>
          <w:rStyle w:val="CCMCvariablesubscript"/>
        </w:rPr>
        <w:t>R,3k</w:t>
      </w:r>
      <w:r w:rsidRPr="001455DC">
        <w:t>/</w:t>
      </w:r>
      <w:r w:rsidRPr="001455DC">
        <w:rPr>
          <w:rStyle w:val="CCMCvariableitalic"/>
        </w:rPr>
        <w:t>f</w:t>
      </w:r>
      <w:r w:rsidRPr="001455DC">
        <w:rPr>
          <w:rStyle w:val="CCMCvariablesubscript"/>
        </w:rPr>
        <w:t>R,1k</w:t>
      </w:r>
      <w:r w:rsidRPr="001455DC">
        <w:t xml:space="preserve"> denominated by a letter. The letter defines the ductility class which is illustrated in Figure L.1a).</w:t>
      </w:r>
    </w:p>
    <w:p w14:paraId="0A207E0C" w14:textId="77777777" w:rsidR="004E22C1" w:rsidRPr="001455DC" w:rsidRDefault="004E22C1" w:rsidP="00DB7B8A">
      <w:pPr>
        <w:pStyle w:val="Note"/>
      </w:pPr>
      <w:r w:rsidRPr="001455DC">
        <w:rPr>
          <w:bCs/>
        </w:rPr>
        <w:t>NOTE 2</w:t>
      </w:r>
      <w:r w:rsidRPr="001455DC">
        <w:rPr>
          <w:bCs/>
        </w:rPr>
        <w:tab/>
      </w:r>
      <w:r w:rsidRPr="001455DC">
        <w:t xml:space="preserve">Values of characteristic residual flexural strength used in this Eurocode correspond to those determined using EN 14651 at the age </w:t>
      </w:r>
      <w:r w:rsidRPr="001455DC">
        <w:rPr>
          <w:rStyle w:val="CCMCvariableitalic"/>
        </w:rPr>
        <w:t>t</w:t>
      </w:r>
      <w:r w:rsidRPr="001455DC">
        <w:rPr>
          <w:rStyle w:val="CCMCvariablesubscript"/>
        </w:rPr>
        <w:t>ref</w:t>
      </w:r>
      <w:r w:rsidRPr="001455DC">
        <w:t xml:space="preserve"> defined in 5.1.3(2).</w:t>
      </w:r>
    </w:p>
    <w:p w14:paraId="1B904F81" w14:textId="77777777" w:rsidR="004E22C1" w:rsidRPr="001455DC" w:rsidRDefault="004E22C1" w:rsidP="00DB7B8A">
      <w:pPr>
        <w:pStyle w:val="a7"/>
      </w:pPr>
      <w:r w:rsidRPr="001455DC">
        <w:t>(2)</w:t>
      </w:r>
      <w:r w:rsidRPr="001455DC">
        <w:tab/>
        <w:t xml:space="preserve">If required, the strength of SFRC should be specified for times </w:t>
      </w:r>
      <w:r w:rsidRPr="001455DC">
        <w:rPr>
          <w:rStyle w:val="CCMCvariableitalic"/>
        </w:rPr>
        <w:t>t</w:t>
      </w:r>
      <w:r w:rsidRPr="001455DC">
        <w:t xml:space="preserve"> that can be before or after </w:t>
      </w:r>
      <w:r w:rsidRPr="001455DC">
        <w:rPr>
          <w:rStyle w:val="CCMCvariableitalic"/>
        </w:rPr>
        <w:t>t</w:t>
      </w:r>
      <w:r w:rsidRPr="001455DC">
        <w:rPr>
          <w:rStyle w:val="CCMCvariablesubscript"/>
        </w:rPr>
        <w:t>ref</w:t>
      </w:r>
      <w:r w:rsidRPr="001455DC">
        <w:rPr>
          <w:iCs/>
        </w:rPr>
        <w:t xml:space="preserve"> </w:t>
      </w:r>
      <w:r w:rsidRPr="001455DC">
        <w:t>for a number of stages (e.g. demoulding, removal of propping, transfer of prestress).</w:t>
      </w:r>
    </w:p>
    <w:p w14:paraId="0A46C3BC" w14:textId="77777777" w:rsidR="004E22C1" w:rsidRPr="001455DC" w:rsidRDefault="004E22C1" w:rsidP="00246C87">
      <w:pPr>
        <w:pStyle w:val="Tabletitle"/>
      </w:pPr>
      <w:bookmarkStart w:id="2238" w:name="_Toc54337814"/>
      <w:bookmarkStart w:id="2239" w:name="_Hlk52457865"/>
      <w:r w:rsidRPr="001455DC">
        <w:t>Table L.2 — Residual strength classes for SFRC</w:t>
      </w:r>
      <w:bookmarkEnd w:id="2238"/>
    </w:p>
    <w:tbl>
      <w:tblPr>
        <w:tblStyle w:val="53"/>
        <w:tblW w:w="9752" w:type="dxa"/>
        <w:tblLayout w:type="fixed"/>
        <w:tblLook w:val="04A0" w:firstRow="1" w:lastRow="0" w:firstColumn="1" w:lastColumn="0" w:noHBand="0" w:noVBand="1"/>
      </w:tblPr>
      <w:tblGrid>
        <w:gridCol w:w="1501"/>
        <w:gridCol w:w="734"/>
        <w:gridCol w:w="734"/>
        <w:gridCol w:w="734"/>
        <w:gridCol w:w="735"/>
        <w:gridCol w:w="735"/>
        <w:gridCol w:w="735"/>
        <w:gridCol w:w="735"/>
        <w:gridCol w:w="735"/>
        <w:gridCol w:w="735"/>
        <w:gridCol w:w="1639"/>
      </w:tblGrid>
      <w:tr w:rsidR="004E22C1" w:rsidRPr="001455DC" w14:paraId="6B4A8E11" w14:textId="77777777" w:rsidTr="00246C8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159" w:type="dxa"/>
            <w:vMerge w:val="restart"/>
            <w:tcBorders>
              <w:bottom w:val="single" w:sz="6" w:space="0" w:color="000000"/>
            </w:tcBorders>
          </w:tcPr>
          <w:p w14:paraId="576432F0" w14:textId="43EAEEDC" w:rsidR="004E22C1" w:rsidRPr="001455DC" w:rsidRDefault="004E22C1" w:rsidP="00246C87">
            <w:pPr>
              <w:pStyle w:val="Tableheader"/>
              <w:rPr>
                <w:szCs w:val="22"/>
              </w:rPr>
            </w:pPr>
            <w:r w:rsidRPr="001455DC">
              <w:rPr>
                <w:szCs w:val="22"/>
              </w:rPr>
              <w:t>Ductility</w:t>
            </w:r>
            <w:r w:rsidR="00246C87" w:rsidRPr="001455DC">
              <w:rPr>
                <w:szCs w:val="22"/>
              </w:rPr>
              <w:t xml:space="preserve"> </w:t>
            </w:r>
            <w:r w:rsidRPr="001455DC">
              <w:rPr>
                <w:szCs w:val="22"/>
              </w:rPr>
              <w:t>classes</w:t>
            </w:r>
          </w:p>
        </w:tc>
        <w:tc>
          <w:tcPr>
            <w:tcW w:w="567" w:type="dxa"/>
            <w:gridSpan w:val="9"/>
            <w:tcBorders>
              <w:bottom w:val="single" w:sz="6" w:space="0" w:color="000000"/>
            </w:tcBorders>
          </w:tcPr>
          <w:p w14:paraId="3A02F303" w14:textId="77777777" w:rsidR="004E22C1" w:rsidRPr="009D3012" w:rsidRDefault="004E22C1" w:rsidP="00246C87">
            <w:pPr>
              <w:pStyle w:val="Tableheader"/>
              <w:cnfStyle w:val="100000000000" w:firstRow="1" w:lastRow="0" w:firstColumn="0" w:lastColumn="0" w:oddVBand="0" w:evenVBand="0" w:oddHBand="0" w:evenHBand="0" w:firstRowFirstColumn="0" w:firstRowLastColumn="0" w:lastRowFirstColumn="0" w:lastRowLastColumn="0"/>
              <w:rPr>
                <w:szCs w:val="22"/>
                <w:lang w:val="en-US"/>
              </w:rPr>
            </w:pPr>
            <w:r w:rsidRPr="009D3012">
              <w:rPr>
                <w:szCs w:val="22"/>
                <w:lang w:val="en-US"/>
              </w:rPr>
              <w:t>Characteristic residual flexural strength</w:t>
            </w:r>
            <w:r w:rsidRPr="009D3012">
              <w:rPr>
                <w:iCs/>
                <w:szCs w:val="22"/>
                <w:lang w:val="en-US"/>
              </w:rPr>
              <w:t xml:space="preserve"> </w:t>
            </w:r>
            <w:r w:rsidRPr="009D3012">
              <w:rPr>
                <w:rStyle w:val="CCMCvariableitalic"/>
                <w:szCs w:val="22"/>
                <w:lang w:val="en-US"/>
              </w:rPr>
              <w:t>f</w:t>
            </w:r>
            <w:r w:rsidRPr="009D3012">
              <w:rPr>
                <w:rStyle w:val="CCMCvariablesubscript"/>
                <w:szCs w:val="22"/>
                <w:lang w:val="en-US"/>
              </w:rPr>
              <w:t>R,1k</w:t>
            </w:r>
          </w:p>
        </w:tc>
        <w:tc>
          <w:tcPr>
            <w:tcW w:w="1265" w:type="dxa"/>
            <w:vMerge w:val="restart"/>
            <w:tcBorders>
              <w:bottom w:val="single" w:sz="6" w:space="0" w:color="000000"/>
            </w:tcBorders>
          </w:tcPr>
          <w:p w14:paraId="1E317B0E" w14:textId="77777777" w:rsidR="004E22C1" w:rsidRPr="001455DC" w:rsidRDefault="004E22C1" w:rsidP="00246C87">
            <w:pPr>
              <w:pStyle w:val="Tableheader"/>
              <w:cnfStyle w:val="100000000000" w:firstRow="1" w:lastRow="0" w:firstColumn="0" w:lastColumn="0" w:oddVBand="0" w:evenVBand="0" w:oddHBand="0" w:evenHBand="0" w:firstRowFirstColumn="0" w:firstRowLastColumn="0" w:lastRowFirstColumn="0" w:lastRowLastColumn="0"/>
              <w:rPr>
                <w:szCs w:val="22"/>
              </w:rPr>
            </w:pPr>
            <w:r w:rsidRPr="001455DC">
              <w:rPr>
                <w:szCs w:val="22"/>
              </w:rPr>
              <w:t>Analytical formulae</w:t>
            </w:r>
          </w:p>
        </w:tc>
      </w:tr>
      <w:tr w:rsidR="004E22C1" w:rsidRPr="001455DC" w14:paraId="53BA3CE7" w14:textId="77777777" w:rsidTr="00246C87">
        <w:tc>
          <w:tcPr>
            <w:tcW w:w="1159" w:type="dxa"/>
            <w:vMerge/>
            <w:tcBorders>
              <w:top w:val="single" w:sz="6" w:space="0" w:color="000000"/>
              <w:bottom w:val="single" w:sz="12" w:space="0" w:color="000000"/>
            </w:tcBorders>
          </w:tcPr>
          <w:p w14:paraId="2639150B" w14:textId="77777777" w:rsidR="004E22C1" w:rsidRPr="001455DC" w:rsidRDefault="004E22C1" w:rsidP="00246C87">
            <w:pPr>
              <w:pStyle w:val="Tableheader"/>
              <w:rPr>
                <w:szCs w:val="22"/>
              </w:rPr>
            </w:pPr>
          </w:p>
        </w:tc>
        <w:tc>
          <w:tcPr>
            <w:tcW w:w="567" w:type="dxa"/>
            <w:tcBorders>
              <w:top w:val="single" w:sz="6" w:space="0" w:color="000000"/>
              <w:bottom w:val="single" w:sz="12" w:space="0" w:color="000000"/>
            </w:tcBorders>
          </w:tcPr>
          <w:p w14:paraId="76E90C01" w14:textId="77777777" w:rsidR="004E22C1" w:rsidRPr="001455DC" w:rsidRDefault="004E22C1" w:rsidP="00246C87">
            <w:pPr>
              <w:pStyle w:val="Tableheader"/>
              <w:rPr>
                <w:szCs w:val="22"/>
              </w:rPr>
            </w:pPr>
            <w:r w:rsidRPr="001455DC">
              <w:rPr>
                <w:szCs w:val="22"/>
              </w:rPr>
              <w:t>1,0</w:t>
            </w:r>
          </w:p>
        </w:tc>
        <w:tc>
          <w:tcPr>
            <w:tcW w:w="567" w:type="dxa"/>
            <w:tcBorders>
              <w:top w:val="single" w:sz="6" w:space="0" w:color="000000"/>
              <w:bottom w:val="single" w:sz="12" w:space="0" w:color="000000"/>
            </w:tcBorders>
          </w:tcPr>
          <w:p w14:paraId="657E675D" w14:textId="77777777" w:rsidR="004E22C1" w:rsidRPr="001455DC" w:rsidRDefault="004E22C1" w:rsidP="00246C87">
            <w:pPr>
              <w:pStyle w:val="Tableheader"/>
              <w:rPr>
                <w:szCs w:val="22"/>
              </w:rPr>
            </w:pPr>
            <w:r w:rsidRPr="001455DC">
              <w:rPr>
                <w:szCs w:val="22"/>
              </w:rPr>
              <w:t>1,5</w:t>
            </w:r>
          </w:p>
        </w:tc>
        <w:tc>
          <w:tcPr>
            <w:tcW w:w="567" w:type="dxa"/>
            <w:tcBorders>
              <w:top w:val="single" w:sz="6" w:space="0" w:color="000000"/>
              <w:bottom w:val="single" w:sz="12" w:space="0" w:color="000000"/>
            </w:tcBorders>
          </w:tcPr>
          <w:p w14:paraId="3D50554B" w14:textId="77777777" w:rsidR="004E22C1" w:rsidRPr="001455DC" w:rsidRDefault="004E22C1" w:rsidP="00246C87">
            <w:pPr>
              <w:pStyle w:val="Tableheader"/>
              <w:rPr>
                <w:szCs w:val="22"/>
              </w:rPr>
            </w:pPr>
            <w:r w:rsidRPr="001455DC">
              <w:rPr>
                <w:szCs w:val="22"/>
              </w:rPr>
              <w:t>2,0</w:t>
            </w:r>
          </w:p>
        </w:tc>
        <w:tc>
          <w:tcPr>
            <w:tcW w:w="567" w:type="dxa"/>
            <w:tcBorders>
              <w:top w:val="single" w:sz="6" w:space="0" w:color="000000"/>
              <w:bottom w:val="single" w:sz="12" w:space="0" w:color="000000"/>
            </w:tcBorders>
          </w:tcPr>
          <w:p w14:paraId="4DE4F769" w14:textId="77777777" w:rsidR="004E22C1" w:rsidRPr="001455DC" w:rsidRDefault="004E22C1" w:rsidP="00246C87">
            <w:pPr>
              <w:pStyle w:val="Tableheader"/>
              <w:rPr>
                <w:szCs w:val="22"/>
              </w:rPr>
            </w:pPr>
            <w:r w:rsidRPr="001455DC">
              <w:rPr>
                <w:szCs w:val="22"/>
              </w:rPr>
              <w:t>2,5</w:t>
            </w:r>
          </w:p>
        </w:tc>
        <w:tc>
          <w:tcPr>
            <w:tcW w:w="567" w:type="dxa"/>
            <w:tcBorders>
              <w:top w:val="single" w:sz="6" w:space="0" w:color="000000"/>
              <w:bottom w:val="single" w:sz="12" w:space="0" w:color="000000"/>
            </w:tcBorders>
          </w:tcPr>
          <w:p w14:paraId="63F456D3" w14:textId="77777777" w:rsidR="004E22C1" w:rsidRPr="001455DC" w:rsidRDefault="004E22C1" w:rsidP="00246C87">
            <w:pPr>
              <w:pStyle w:val="Tableheader"/>
              <w:rPr>
                <w:szCs w:val="22"/>
              </w:rPr>
            </w:pPr>
            <w:r w:rsidRPr="001455DC">
              <w:rPr>
                <w:szCs w:val="22"/>
              </w:rPr>
              <w:t>3,0</w:t>
            </w:r>
          </w:p>
        </w:tc>
        <w:tc>
          <w:tcPr>
            <w:tcW w:w="567" w:type="dxa"/>
            <w:tcBorders>
              <w:top w:val="single" w:sz="6" w:space="0" w:color="000000"/>
              <w:bottom w:val="single" w:sz="12" w:space="0" w:color="000000"/>
            </w:tcBorders>
          </w:tcPr>
          <w:p w14:paraId="2FB3DB22" w14:textId="77777777" w:rsidR="004E22C1" w:rsidRPr="001455DC" w:rsidRDefault="004E22C1" w:rsidP="00246C87">
            <w:pPr>
              <w:pStyle w:val="Tableheader"/>
              <w:rPr>
                <w:szCs w:val="22"/>
              </w:rPr>
            </w:pPr>
            <w:r w:rsidRPr="001455DC">
              <w:rPr>
                <w:szCs w:val="22"/>
              </w:rPr>
              <w:t xml:space="preserve">4,0 </w:t>
            </w:r>
          </w:p>
        </w:tc>
        <w:tc>
          <w:tcPr>
            <w:tcW w:w="567" w:type="dxa"/>
            <w:tcBorders>
              <w:top w:val="single" w:sz="6" w:space="0" w:color="000000"/>
              <w:bottom w:val="single" w:sz="12" w:space="0" w:color="000000"/>
            </w:tcBorders>
          </w:tcPr>
          <w:p w14:paraId="21EA7235" w14:textId="77777777" w:rsidR="004E22C1" w:rsidRPr="001455DC" w:rsidRDefault="004E22C1" w:rsidP="00246C87">
            <w:pPr>
              <w:pStyle w:val="Tableheader"/>
              <w:rPr>
                <w:szCs w:val="22"/>
              </w:rPr>
            </w:pPr>
            <w:r w:rsidRPr="001455DC">
              <w:rPr>
                <w:szCs w:val="22"/>
              </w:rPr>
              <w:t>5,0</w:t>
            </w:r>
          </w:p>
        </w:tc>
        <w:tc>
          <w:tcPr>
            <w:tcW w:w="567" w:type="dxa"/>
            <w:tcBorders>
              <w:top w:val="single" w:sz="6" w:space="0" w:color="000000"/>
              <w:bottom w:val="single" w:sz="12" w:space="0" w:color="000000"/>
            </w:tcBorders>
          </w:tcPr>
          <w:p w14:paraId="3A2C2057" w14:textId="77777777" w:rsidR="004E22C1" w:rsidRPr="001455DC" w:rsidRDefault="004E22C1" w:rsidP="00246C87">
            <w:pPr>
              <w:pStyle w:val="Tableheader"/>
              <w:rPr>
                <w:szCs w:val="22"/>
              </w:rPr>
            </w:pPr>
            <w:r w:rsidRPr="001455DC">
              <w:rPr>
                <w:szCs w:val="22"/>
              </w:rPr>
              <w:t>6,0</w:t>
            </w:r>
          </w:p>
        </w:tc>
        <w:tc>
          <w:tcPr>
            <w:tcW w:w="567" w:type="dxa"/>
            <w:tcBorders>
              <w:top w:val="single" w:sz="6" w:space="0" w:color="000000"/>
              <w:bottom w:val="single" w:sz="12" w:space="0" w:color="000000"/>
            </w:tcBorders>
          </w:tcPr>
          <w:p w14:paraId="49E16F37" w14:textId="77777777" w:rsidR="004E22C1" w:rsidRPr="001455DC" w:rsidRDefault="004E22C1" w:rsidP="00246C87">
            <w:pPr>
              <w:pStyle w:val="Tableheader"/>
              <w:rPr>
                <w:szCs w:val="22"/>
              </w:rPr>
            </w:pPr>
            <w:r w:rsidRPr="001455DC">
              <w:rPr>
                <w:szCs w:val="22"/>
              </w:rPr>
              <w:t>8,0</w:t>
            </w:r>
          </w:p>
        </w:tc>
        <w:tc>
          <w:tcPr>
            <w:tcW w:w="1265" w:type="dxa"/>
            <w:vMerge/>
            <w:tcBorders>
              <w:top w:val="single" w:sz="6" w:space="0" w:color="000000"/>
              <w:bottom w:val="single" w:sz="12" w:space="0" w:color="000000"/>
            </w:tcBorders>
          </w:tcPr>
          <w:p w14:paraId="68746100" w14:textId="77777777" w:rsidR="004E22C1" w:rsidRPr="009D3012" w:rsidRDefault="004E22C1" w:rsidP="00246C87">
            <w:pPr>
              <w:pStyle w:val="Tableheader"/>
              <w:rPr>
                <w:rStyle w:val="CCMCvariableitalic"/>
                <w:szCs w:val="22"/>
              </w:rPr>
            </w:pPr>
          </w:p>
        </w:tc>
      </w:tr>
      <w:tr w:rsidR="004E22C1" w:rsidRPr="001455DC" w14:paraId="195AFC7A" w14:textId="77777777" w:rsidTr="00246C87">
        <w:tc>
          <w:tcPr>
            <w:tcW w:w="1159" w:type="dxa"/>
            <w:tcBorders>
              <w:top w:val="single" w:sz="12" w:space="0" w:color="000000"/>
            </w:tcBorders>
            <w:vAlign w:val="center"/>
          </w:tcPr>
          <w:p w14:paraId="2ABF4615" w14:textId="77777777" w:rsidR="004E22C1" w:rsidRPr="001455DC" w:rsidRDefault="004E22C1" w:rsidP="00246C87">
            <w:pPr>
              <w:pStyle w:val="Tablebody"/>
              <w:jc w:val="center"/>
            </w:pPr>
            <w:bookmarkStart w:id="2240" w:name="_Hlk512235703"/>
            <w:r w:rsidRPr="009D3012">
              <w:t>a</w:t>
            </w:r>
          </w:p>
        </w:tc>
        <w:tc>
          <w:tcPr>
            <w:tcW w:w="567" w:type="dxa"/>
            <w:tcBorders>
              <w:top w:val="single" w:sz="12" w:space="0" w:color="000000"/>
            </w:tcBorders>
            <w:vAlign w:val="center"/>
          </w:tcPr>
          <w:p w14:paraId="06F05725" w14:textId="77777777" w:rsidR="004E22C1" w:rsidRPr="001455DC" w:rsidRDefault="004E22C1" w:rsidP="00246C87">
            <w:pPr>
              <w:pStyle w:val="Tablebody"/>
              <w:jc w:val="center"/>
            </w:pPr>
            <w:r w:rsidRPr="001455DC">
              <w:t>0,5</w:t>
            </w:r>
          </w:p>
        </w:tc>
        <w:tc>
          <w:tcPr>
            <w:tcW w:w="567" w:type="dxa"/>
            <w:tcBorders>
              <w:top w:val="single" w:sz="12" w:space="0" w:color="000000"/>
            </w:tcBorders>
            <w:vAlign w:val="center"/>
          </w:tcPr>
          <w:p w14:paraId="4D4BCCCE" w14:textId="77777777" w:rsidR="004E22C1" w:rsidRPr="001455DC" w:rsidRDefault="004E22C1" w:rsidP="00246C87">
            <w:pPr>
              <w:pStyle w:val="Tablebody"/>
              <w:jc w:val="center"/>
            </w:pPr>
            <w:r w:rsidRPr="001455DC">
              <w:t>0,8</w:t>
            </w:r>
          </w:p>
        </w:tc>
        <w:tc>
          <w:tcPr>
            <w:tcW w:w="567" w:type="dxa"/>
            <w:tcBorders>
              <w:top w:val="single" w:sz="12" w:space="0" w:color="000000"/>
            </w:tcBorders>
            <w:vAlign w:val="center"/>
          </w:tcPr>
          <w:p w14:paraId="6FFCD4AC" w14:textId="77777777" w:rsidR="004E22C1" w:rsidRPr="001455DC" w:rsidRDefault="004E22C1" w:rsidP="00246C87">
            <w:pPr>
              <w:pStyle w:val="Tablebody"/>
              <w:jc w:val="center"/>
            </w:pPr>
            <w:r w:rsidRPr="001455DC">
              <w:t>1,0</w:t>
            </w:r>
          </w:p>
        </w:tc>
        <w:tc>
          <w:tcPr>
            <w:tcW w:w="567" w:type="dxa"/>
            <w:tcBorders>
              <w:top w:val="single" w:sz="12" w:space="0" w:color="000000"/>
            </w:tcBorders>
            <w:vAlign w:val="center"/>
          </w:tcPr>
          <w:p w14:paraId="5177C285" w14:textId="77777777" w:rsidR="004E22C1" w:rsidRPr="001455DC" w:rsidRDefault="004E22C1" w:rsidP="00246C87">
            <w:pPr>
              <w:pStyle w:val="Tablebody"/>
              <w:jc w:val="center"/>
            </w:pPr>
            <w:r w:rsidRPr="001455DC">
              <w:t>1,3</w:t>
            </w:r>
          </w:p>
        </w:tc>
        <w:tc>
          <w:tcPr>
            <w:tcW w:w="567" w:type="dxa"/>
            <w:tcBorders>
              <w:top w:val="single" w:sz="12" w:space="0" w:color="000000"/>
            </w:tcBorders>
            <w:vAlign w:val="center"/>
          </w:tcPr>
          <w:p w14:paraId="7A6E41DA" w14:textId="77777777" w:rsidR="004E22C1" w:rsidRPr="001455DC" w:rsidRDefault="004E22C1" w:rsidP="00246C87">
            <w:pPr>
              <w:pStyle w:val="Tablebody"/>
              <w:jc w:val="center"/>
            </w:pPr>
            <w:r w:rsidRPr="001455DC">
              <w:t>1,5</w:t>
            </w:r>
          </w:p>
        </w:tc>
        <w:tc>
          <w:tcPr>
            <w:tcW w:w="567" w:type="dxa"/>
            <w:tcBorders>
              <w:top w:val="single" w:sz="12" w:space="0" w:color="000000"/>
            </w:tcBorders>
            <w:vAlign w:val="center"/>
          </w:tcPr>
          <w:p w14:paraId="72E14AB8" w14:textId="77777777" w:rsidR="004E22C1" w:rsidRPr="001455DC" w:rsidRDefault="004E22C1" w:rsidP="00246C87">
            <w:pPr>
              <w:pStyle w:val="Tablebody"/>
              <w:jc w:val="center"/>
            </w:pPr>
            <w:r w:rsidRPr="001455DC">
              <w:t>2,0</w:t>
            </w:r>
          </w:p>
        </w:tc>
        <w:tc>
          <w:tcPr>
            <w:tcW w:w="567" w:type="dxa"/>
            <w:tcBorders>
              <w:top w:val="single" w:sz="12" w:space="0" w:color="000000"/>
            </w:tcBorders>
            <w:vAlign w:val="center"/>
          </w:tcPr>
          <w:p w14:paraId="47FC5EDE" w14:textId="77777777" w:rsidR="004E22C1" w:rsidRPr="001455DC" w:rsidRDefault="004E22C1" w:rsidP="00246C87">
            <w:pPr>
              <w:pStyle w:val="Tablebody"/>
              <w:jc w:val="center"/>
            </w:pPr>
            <w:r w:rsidRPr="001455DC">
              <w:t>2,5</w:t>
            </w:r>
          </w:p>
        </w:tc>
        <w:tc>
          <w:tcPr>
            <w:tcW w:w="567" w:type="dxa"/>
            <w:tcBorders>
              <w:top w:val="single" w:sz="12" w:space="0" w:color="000000"/>
            </w:tcBorders>
            <w:vAlign w:val="center"/>
          </w:tcPr>
          <w:p w14:paraId="37D04563" w14:textId="77777777" w:rsidR="004E22C1" w:rsidRPr="001455DC" w:rsidRDefault="004E22C1" w:rsidP="00246C87">
            <w:pPr>
              <w:pStyle w:val="Tablebody"/>
              <w:jc w:val="center"/>
            </w:pPr>
            <w:r w:rsidRPr="001455DC">
              <w:t>3,0</w:t>
            </w:r>
          </w:p>
        </w:tc>
        <w:tc>
          <w:tcPr>
            <w:tcW w:w="567" w:type="dxa"/>
            <w:tcBorders>
              <w:top w:val="single" w:sz="12" w:space="0" w:color="000000"/>
            </w:tcBorders>
            <w:vAlign w:val="center"/>
          </w:tcPr>
          <w:p w14:paraId="4C02BF88" w14:textId="77777777" w:rsidR="004E22C1" w:rsidRPr="001455DC" w:rsidRDefault="004E22C1" w:rsidP="00246C87">
            <w:pPr>
              <w:pStyle w:val="Tablebody"/>
              <w:jc w:val="center"/>
            </w:pPr>
            <w:r w:rsidRPr="001455DC">
              <w:t>4,0</w:t>
            </w:r>
          </w:p>
        </w:tc>
        <w:tc>
          <w:tcPr>
            <w:tcW w:w="1265" w:type="dxa"/>
            <w:tcBorders>
              <w:top w:val="single" w:sz="12" w:space="0" w:color="000000"/>
            </w:tcBorders>
            <w:vAlign w:val="center"/>
          </w:tcPr>
          <w:p w14:paraId="207A92B5" w14:textId="402F3018" w:rsidR="004E22C1" w:rsidRPr="001455DC" w:rsidRDefault="004E22C1" w:rsidP="00246C87">
            <w:pPr>
              <w:pStyle w:val="Tablebody"/>
              <w:jc w:val="center"/>
              <w:rPr>
                <w:sz w:val="19"/>
                <w:szCs w:val="19"/>
              </w:rPr>
            </w:pPr>
            <w:r w:rsidRPr="001455DC">
              <w:rPr>
                <w:rStyle w:val="CCMCvariableitalic"/>
              </w:rPr>
              <w:t>f</w:t>
            </w:r>
            <w:r w:rsidRPr="001455DC">
              <w:rPr>
                <w:rStyle w:val="CCMCvariablesubscript"/>
              </w:rPr>
              <w:t>R,3k</w:t>
            </w:r>
            <w:r w:rsidRPr="001455DC">
              <w:t> </w:t>
            </w:r>
            <w:r w:rsidR="00EC27D2" w:rsidRPr="001455DC">
              <w:rPr>
                <w:rFonts w:ascii="Cambria Math" w:hAnsi="Cambria Math"/>
              </w:rPr>
              <w:t>=</w:t>
            </w:r>
            <w:r w:rsidRPr="001455DC">
              <w:t> </w:t>
            </w:r>
            <w:r w:rsidRPr="001455DC">
              <w:rPr>
                <w:szCs w:val="22"/>
              </w:rPr>
              <w:t>0,5</w:t>
            </w:r>
            <w:r w:rsidRPr="001455DC">
              <w:rPr>
                <w:rStyle w:val="CCMCvariableitalic"/>
              </w:rPr>
              <w:t>f</w:t>
            </w:r>
            <w:r w:rsidRPr="001455DC">
              <w:rPr>
                <w:rStyle w:val="CCMCvariablesubscript"/>
              </w:rPr>
              <w:t>R,1k</w:t>
            </w:r>
          </w:p>
        </w:tc>
      </w:tr>
      <w:tr w:rsidR="004E22C1" w:rsidRPr="001455DC" w14:paraId="06E3DE3C" w14:textId="77777777" w:rsidTr="00246C87">
        <w:tc>
          <w:tcPr>
            <w:tcW w:w="1159" w:type="dxa"/>
            <w:vAlign w:val="center"/>
          </w:tcPr>
          <w:p w14:paraId="52949C2D" w14:textId="77777777" w:rsidR="004E22C1" w:rsidRPr="001455DC" w:rsidRDefault="004E22C1" w:rsidP="00246C87">
            <w:pPr>
              <w:pStyle w:val="Tablebody"/>
              <w:jc w:val="center"/>
            </w:pPr>
            <w:r w:rsidRPr="001455DC">
              <w:t>b</w:t>
            </w:r>
          </w:p>
        </w:tc>
        <w:tc>
          <w:tcPr>
            <w:tcW w:w="567" w:type="dxa"/>
            <w:vAlign w:val="center"/>
          </w:tcPr>
          <w:p w14:paraId="2A384B9B" w14:textId="77777777" w:rsidR="004E22C1" w:rsidRPr="001455DC" w:rsidRDefault="004E22C1" w:rsidP="00246C87">
            <w:pPr>
              <w:pStyle w:val="Tablebody"/>
              <w:jc w:val="center"/>
            </w:pPr>
            <w:r w:rsidRPr="001455DC">
              <w:t>0,7</w:t>
            </w:r>
          </w:p>
        </w:tc>
        <w:tc>
          <w:tcPr>
            <w:tcW w:w="567" w:type="dxa"/>
            <w:vAlign w:val="center"/>
          </w:tcPr>
          <w:p w14:paraId="4CB94A4E" w14:textId="77777777" w:rsidR="004E22C1" w:rsidRPr="001455DC" w:rsidRDefault="004E22C1" w:rsidP="00246C87">
            <w:pPr>
              <w:pStyle w:val="Tablebody"/>
              <w:jc w:val="center"/>
            </w:pPr>
            <w:r w:rsidRPr="001455DC">
              <w:t>1,1</w:t>
            </w:r>
          </w:p>
        </w:tc>
        <w:tc>
          <w:tcPr>
            <w:tcW w:w="567" w:type="dxa"/>
            <w:vAlign w:val="center"/>
          </w:tcPr>
          <w:p w14:paraId="7B6479BC" w14:textId="77777777" w:rsidR="004E22C1" w:rsidRPr="001455DC" w:rsidRDefault="004E22C1" w:rsidP="00246C87">
            <w:pPr>
              <w:pStyle w:val="Tablebody"/>
              <w:jc w:val="center"/>
            </w:pPr>
            <w:r w:rsidRPr="001455DC">
              <w:t>1,4</w:t>
            </w:r>
          </w:p>
        </w:tc>
        <w:tc>
          <w:tcPr>
            <w:tcW w:w="567" w:type="dxa"/>
            <w:vAlign w:val="center"/>
          </w:tcPr>
          <w:p w14:paraId="589F149C" w14:textId="77777777" w:rsidR="004E22C1" w:rsidRPr="001455DC" w:rsidRDefault="004E22C1" w:rsidP="00246C87">
            <w:pPr>
              <w:pStyle w:val="Tablebody"/>
              <w:jc w:val="center"/>
            </w:pPr>
            <w:r w:rsidRPr="001455DC">
              <w:t>1,8</w:t>
            </w:r>
          </w:p>
        </w:tc>
        <w:tc>
          <w:tcPr>
            <w:tcW w:w="567" w:type="dxa"/>
            <w:vAlign w:val="center"/>
          </w:tcPr>
          <w:p w14:paraId="69E6937D" w14:textId="77777777" w:rsidR="004E22C1" w:rsidRPr="001455DC" w:rsidRDefault="004E22C1" w:rsidP="00246C87">
            <w:pPr>
              <w:pStyle w:val="Tablebody"/>
              <w:jc w:val="center"/>
            </w:pPr>
            <w:r w:rsidRPr="001455DC">
              <w:t>2,1</w:t>
            </w:r>
          </w:p>
        </w:tc>
        <w:tc>
          <w:tcPr>
            <w:tcW w:w="567" w:type="dxa"/>
            <w:vAlign w:val="center"/>
          </w:tcPr>
          <w:p w14:paraId="4DB5150D" w14:textId="77777777" w:rsidR="004E22C1" w:rsidRPr="001455DC" w:rsidRDefault="004E22C1" w:rsidP="00246C87">
            <w:pPr>
              <w:pStyle w:val="Tablebody"/>
              <w:jc w:val="center"/>
            </w:pPr>
            <w:r w:rsidRPr="001455DC">
              <w:t>2,8</w:t>
            </w:r>
          </w:p>
        </w:tc>
        <w:tc>
          <w:tcPr>
            <w:tcW w:w="567" w:type="dxa"/>
            <w:vAlign w:val="center"/>
          </w:tcPr>
          <w:p w14:paraId="36F56A1E" w14:textId="77777777" w:rsidR="004E22C1" w:rsidRPr="001455DC" w:rsidRDefault="004E22C1" w:rsidP="00246C87">
            <w:pPr>
              <w:pStyle w:val="Tablebody"/>
              <w:jc w:val="center"/>
            </w:pPr>
            <w:r w:rsidRPr="001455DC">
              <w:t>3,5</w:t>
            </w:r>
          </w:p>
        </w:tc>
        <w:tc>
          <w:tcPr>
            <w:tcW w:w="567" w:type="dxa"/>
            <w:vAlign w:val="center"/>
          </w:tcPr>
          <w:p w14:paraId="7FF4C4EE" w14:textId="77777777" w:rsidR="004E22C1" w:rsidRPr="001455DC" w:rsidRDefault="004E22C1" w:rsidP="00246C87">
            <w:pPr>
              <w:pStyle w:val="Tablebody"/>
              <w:jc w:val="center"/>
            </w:pPr>
            <w:r w:rsidRPr="001455DC">
              <w:t>4,2</w:t>
            </w:r>
          </w:p>
        </w:tc>
        <w:tc>
          <w:tcPr>
            <w:tcW w:w="567" w:type="dxa"/>
            <w:vAlign w:val="center"/>
          </w:tcPr>
          <w:p w14:paraId="6C33DBF7" w14:textId="77777777" w:rsidR="004E22C1" w:rsidRPr="001455DC" w:rsidRDefault="004E22C1" w:rsidP="00246C87">
            <w:pPr>
              <w:pStyle w:val="Tablebody"/>
              <w:jc w:val="center"/>
            </w:pPr>
            <w:r w:rsidRPr="001455DC">
              <w:t>5,6</w:t>
            </w:r>
          </w:p>
        </w:tc>
        <w:tc>
          <w:tcPr>
            <w:tcW w:w="1265" w:type="dxa"/>
            <w:vAlign w:val="center"/>
          </w:tcPr>
          <w:p w14:paraId="1C8A762A" w14:textId="6DEBA974" w:rsidR="004E22C1" w:rsidRPr="001455DC" w:rsidRDefault="004E22C1" w:rsidP="00246C87">
            <w:pPr>
              <w:pStyle w:val="Tablebody"/>
              <w:jc w:val="center"/>
              <w:rPr>
                <w:sz w:val="19"/>
                <w:szCs w:val="19"/>
              </w:rPr>
            </w:pPr>
            <w:r w:rsidRPr="001455DC">
              <w:rPr>
                <w:rStyle w:val="CCMCvariableitalic"/>
              </w:rPr>
              <w:t>f</w:t>
            </w:r>
            <w:r w:rsidRPr="001455DC">
              <w:rPr>
                <w:rStyle w:val="CCMCvariablesubscript"/>
              </w:rPr>
              <w:t>R,3k</w:t>
            </w:r>
            <w:r w:rsidRPr="001455DC">
              <w:t> </w:t>
            </w:r>
            <w:r w:rsidR="00EC27D2" w:rsidRPr="001455DC">
              <w:rPr>
                <w:rFonts w:ascii="Cambria Math" w:hAnsi="Cambria Math"/>
              </w:rPr>
              <w:t>=</w:t>
            </w:r>
            <w:r w:rsidRPr="001455DC">
              <w:t> </w:t>
            </w:r>
            <w:r w:rsidRPr="001455DC">
              <w:rPr>
                <w:szCs w:val="22"/>
              </w:rPr>
              <w:t>0,7</w:t>
            </w:r>
            <w:r w:rsidRPr="001455DC">
              <w:rPr>
                <w:rStyle w:val="CCMCvariableitalic"/>
              </w:rPr>
              <w:t>f</w:t>
            </w:r>
            <w:r w:rsidRPr="001455DC">
              <w:rPr>
                <w:rStyle w:val="CCMCvariablesubscript"/>
              </w:rPr>
              <w:t>R,1k</w:t>
            </w:r>
          </w:p>
        </w:tc>
      </w:tr>
      <w:tr w:rsidR="004E22C1" w:rsidRPr="001455DC" w14:paraId="0FCBACE1" w14:textId="77777777" w:rsidTr="00246C87">
        <w:tc>
          <w:tcPr>
            <w:tcW w:w="1159" w:type="dxa"/>
            <w:vAlign w:val="center"/>
          </w:tcPr>
          <w:p w14:paraId="6ED16761" w14:textId="77777777" w:rsidR="004E22C1" w:rsidRPr="001455DC" w:rsidRDefault="004E22C1" w:rsidP="00246C87">
            <w:pPr>
              <w:pStyle w:val="Tablebody"/>
              <w:jc w:val="center"/>
            </w:pPr>
            <w:r w:rsidRPr="001455DC">
              <w:t>c</w:t>
            </w:r>
          </w:p>
        </w:tc>
        <w:tc>
          <w:tcPr>
            <w:tcW w:w="567" w:type="dxa"/>
            <w:vAlign w:val="center"/>
          </w:tcPr>
          <w:p w14:paraId="7277EE4B" w14:textId="77777777" w:rsidR="004E22C1" w:rsidRPr="001455DC" w:rsidRDefault="004E22C1" w:rsidP="00246C87">
            <w:pPr>
              <w:pStyle w:val="Tablebody"/>
              <w:jc w:val="center"/>
            </w:pPr>
            <w:r w:rsidRPr="001455DC">
              <w:t>0,9</w:t>
            </w:r>
          </w:p>
        </w:tc>
        <w:tc>
          <w:tcPr>
            <w:tcW w:w="567" w:type="dxa"/>
            <w:vAlign w:val="center"/>
          </w:tcPr>
          <w:p w14:paraId="7DFDAF66" w14:textId="77777777" w:rsidR="004E22C1" w:rsidRPr="001455DC" w:rsidRDefault="004E22C1" w:rsidP="00246C87">
            <w:pPr>
              <w:pStyle w:val="Tablebody"/>
              <w:jc w:val="center"/>
            </w:pPr>
            <w:r w:rsidRPr="001455DC">
              <w:t>1,4</w:t>
            </w:r>
          </w:p>
        </w:tc>
        <w:tc>
          <w:tcPr>
            <w:tcW w:w="567" w:type="dxa"/>
            <w:vAlign w:val="center"/>
          </w:tcPr>
          <w:p w14:paraId="083EDB83" w14:textId="77777777" w:rsidR="004E22C1" w:rsidRPr="001455DC" w:rsidRDefault="004E22C1" w:rsidP="00246C87">
            <w:pPr>
              <w:pStyle w:val="Tablebody"/>
              <w:jc w:val="center"/>
            </w:pPr>
            <w:r w:rsidRPr="001455DC">
              <w:t>1,8</w:t>
            </w:r>
          </w:p>
        </w:tc>
        <w:tc>
          <w:tcPr>
            <w:tcW w:w="567" w:type="dxa"/>
            <w:vAlign w:val="center"/>
          </w:tcPr>
          <w:p w14:paraId="6E77E304" w14:textId="77777777" w:rsidR="004E22C1" w:rsidRPr="001455DC" w:rsidRDefault="004E22C1" w:rsidP="00246C87">
            <w:pPr>
              <w:pStyle w:val="Tablebody"/>
              <w:jc w:val="center"/>
            </w:pPr>
            <w:r w:rsidRPr="001455DC">
              <w:t>2,3</w:t>
            </w:r>
          </w:p>
        </w:tc>
        <w:tc>
          <w:tcPr>
            <w:tcW w:w="567" w:type="dxa"/>
            <w:vAlign w:val="center"/>
          </w:tcPr>
          <w:p w14:paraId="084CF3A9" w14:textId="77777777" w:rsidR="004E22C1" w:rsidRPr="001455DC" w:rsidRDefault="004E22C1" w:rsidP="00246C87">
            <w:pPr>
              <w:pStyle w:val="Tablebody"/>
              <w:jc w:val="center"/>
            </w:pPr>
            <w:r w:rsidRPr="001455DC">
              <w:t>2,7</w:t>
            </w:r>
          </w:p>
        </w:tc>
        <w:tc>
          <w:tcPr>
            <w:tcW w:w="567" w:type="dxa"/>
            <w:vAlign w:val="center"/>
          </w:tcPr>
          <w:p w14:paraId="0B2C60C1" w14:textId="77777777" w:rsidR="004E22C1" w:rsidRPr="001455DC" w:rsidRDefault="004E22C1" w:rsidP="00246C87">
            <w:pPr>
              <w:pStyle w:val="Tablebody"/>
              <w:jc w:val="center"/>
            </w:pPr>
            <w:r w:rsidRPr="001455DC">
              <w:t>3,6</w:t>
            </w:r>
          </w:p>
        </w:tc>
        <w:tc>
          <w:tcPr>
            <w:tcW w:w="567" w:type="dxa"/>
            <w:vAlign w:val="center"/>
          </w:tcPr>
          <w:p w14:paraId="40889518" w14:textId="77777777" w:rsidR="004E22C1" w:rsidRPr="001455DC" w:rsidRDefault="004E22C1" w:rsidP="00246C87">
            <w:pPr>
              <w:pStyle w:val="Tablebody"/>
              <w:jc w:val="center"/>
            </w:pPr>
            <w:r w:rsidRPr="001455DC">
              <w:t>4,5</w:t>
            </w:r>
          </w:p>
        </w:tc>
        <w:tc>
          <w:tcPr>
            <w:tcW w:w="567" w:type="dxa"/>
            <w:vAlign w:val="center"/>
          </w:tcPr>
          <w:p w14:paraId="52CC9069" w14:textId="77777777" w:rsidR="004E22C1" w:rsidRPr="001455DC" w:rsidRDefault="004E22C1" w:rsidP="00246C87">
            <w:pPr>
              <w:pStyle w:val="Tablebody"/>
              <w:jc w:val="center"/>
            </w:pPr>
            <w:r w:rsidRPr="001455DC">
              <w:t>5,4</w:t>
            </w:r>
          </w:p>
        </w:tc>
        <w:tc>
          <w:tcPr>
            <w:tcW w:w="567" w:type="dxa"/>
            <w:vAlign w:val="center"/>
          </w:tcPr>
          <w:p w14:paraId="0CCCEC0E" w14:textId="77777777" w:rsidR="004E22C1" w:rsidRPr="001455DC" w:rsidRDefault="004E22C1" w:rsidP="00246C87">
            <w:pPr>
              <w:pStyle w:val="Tablebody"/>
              <w:jc w:val="center"/>
            </w:pPr>
            <w:r w:rsidRPr="001455DC">
              <w:t>7,2</w:t>
            </w:r>
          </w:p>
        </w:tc>
        <w:tc>
          <w:tcPr>
            <w:tcW w:w="1265" w:type="dxa"/>
            <w:vAlign w:val="center"/>
          </w:tcPr>
          <w:p w14:paraId="2C889BBF" w14:textId="55F869AF" w:rsidR="004E22C1" w:rsidRPr="001455DC" w:rsidRDefault="004E22C1" w:rsidP="00246C87">
            <w:pPr>
              <w:pStyle w:val="Tablebody"/>
              <w:jc w:val="center"/>
              <w:rPr>
                <w:sz w:val="19"/>
                <w:szCs w:val="19"/>
              </w:rPr>
            </w:pPr>
            <w:r w:rsidRPr="001455DC">
              <w:rPr>
                <w:rStyle w:val="CCMCvariableitalic"/>
              </w:rPr>
              <w:t>f</w:t>
            </w:r>
            <w:r w:rsidRPr="001455DC">
              <w:rPr>
                <w:rStyle w:val="CCMCvariablesubscript"/>
              </w:rPr>
              <w:t>R,3k</w:t>
            </w:r>
            <w:r w:rsidRPr="001455DC">
              <w:t> </w:t>
            </w:r>
            <w:r w:rsidR="00EC27D2" w:rsidRPr="001455DC">
              <w:rPr>
                <w:rFonts w:ascii="Cambria Math" w:hAnsi="Cambria Math"/>
              </w:rPr>
              <w:t>=</w:t>
            </w:r>
            <w:r w:rsidRPr="001455DC">
              <w:t> </w:t>
            </w:r>
            <w:r w:rsidRPr="001455DC">
              <w:rPr>
                <w:szCs w:val="22"/>
              </w:rPr>
              <w:t>0,9</w:t>
            </w:r>
            <w:r w:rsidRPr="001455DC">
              <w:rPr>
                <w:rStyle w:val="CCMCvariableitalic"/>
              </w:rPr>
              <w:t>f</w:t>
            </w:r>
            <w:r w:rsidRPr="001455DC">
              <w:rPr>
                <w:rStyle w:val="CCMCvariablesubscript"/>
              </w:rPr>
              <w:t>R,1k</w:t>
            </w:r>
          </w:p>
        </w:tc>
      </w:tr>
      <w:tr w:rsidR="004E22C1" w:rsidRPr="001455DC" w14:paraId="6E78029D" w14:textId="77777777" w:rsidTr="00246C87">
        <w:tc>
          <w:tcPr>
            <w:tcW w:w="1159" w:type="dxa"/>
            <w:vAlign w:val="center"/>
          </w:tcPr>
          <w:p w14:paraId="13B3F9F3" w14:textId="77777777" w:rsidR="004E22C1" w:rsidRPr="001455DC" w:rsidRDefault="004E22C1" w:rsidP="00246C87">
            <w:pPr>
              <w:pStyle w:val="Tablebody"/>
              <w:jc w:val="center"/>
            </w:pPr>
            <w:r w:rsidRPr="001455DC">
              <w:t>d</w:t>
            </w:r>
          </w:p>
        </w:tc>
        <w:tc>
          <w:tcPr>
            <w:tcW w:w="567" w:type="dxa"/>
            <w:vAlign w:val="center"/>
          </w:tcPr>
          <w:p w14:paraId="7A889A51" w14:textId="77777777" w:rsidR="004E22C1" w:rsidRPr="001455DC" w:rsidRDefault="004E22C1" w:rsidP="00246C87">
            <w:pPr>
              <w:pStyle w:val="Tablebody"/>
              <w:jc w:val="center"/>
            </w:pPr>
            <w:r w:rsidRPr="001455DC">
              <w:t>1,1</w:t>
            </w:r>
          </w:p>
        </w:tc>
        <w:tc>
          <w:tcPr>
            <w:tcW w:w="567" w:type="dxa"/>
            <w:vAlign w:val="center"/>
          </w:tcPr>
          <w:p w14:paraId="65951AB9" w14:textId="77777777" w:rsidR="004E22C1" w:rsidRPr="001455DC" w:rsidRDefault="004E22C1" w:rsidP="00246C87">
            <w:pPr>
              <w:pStyle w:val="Tablebody"/>
              <w:jc w:val="center"/>
            </w:pPr>
            <w:r w:rsidRPr="001455DC">
              <w:t>1,7</w:t>
            </w:r>
          </w:p>
        </w:tc>
        <w:tc>
          <w:tcPr>
            <w:tcW w:w="567" w:type="dxa"/>
            <w:vAlign w:val="center"/>
          </w:tcPr>
          <w:p w14:paraId="242F0A71" w14:textId="77777777" w:rsidR="004E22C1" w:rsidRPr="001455DC" w:rsidRDefault="004E22C1" w:rsidP="00246C87">
            <w:pPr>
              <w:pStyle w:val="Tablebody"/>
              <w:jc w:val="center"/>
            </w:pPr>
            <w:r w:rsidRPr="001455DC">
              <w:t>2,2</w:t>
            </w:r>
          </w:p>
        </w:tc>
        <w:tc>
          <w:tcPr>
            <w:tcW w:w="567" w:type="dxa"/>
            <w:vAlign w:val="center"/>
          </w:tcPr>
          <w:p w14:paraId="3BB065B8" w14:textId="77777777" w:rsidR="004E22C1" w:rsidRPr="001455DC" w:rsidRDefault="004E22C1" w:rsidP="00246C87">
            <w:pPr>
              <w:pStyle w:val="Tablebody"/>
              <w:jc w:val="center"/>
            </w:pPr>
            <w:r w:rsidRPr="001455DC">
              <w:t>2,8</w:t>
            </w:r>
          </w:p>
        </w:tc>
        <w:tc>
          <w:tcPr>
            <w:tcW w:w="567" w:type="dxa"/>
            <w:vAlign w:val="center"/>
          </w:tcPr>
          <w:p w14:paraId="793B276C" w14:textId="77777777" w:rsidR="004E22C1" w:rsidRPr="001455DC" w:rsidRDefault="004E22C1" w:rsidP="00246C87">
            <w:pPr>
              <w:pStyle w:val="Tablebody"/>
              <w:jc w:val="center"/>
            </w:pPr>
            <w:r w:rsidRPr="001455DC">
              <w:t>3,3</w:t>
            </w:r>
          </w:p>
        </w:tc>
        <w:tc>
          <w:tcPr>
            <w:tcW w:w="567" w:type="dxa"/>
            <w:vAlign w:val="center"/>
          </w:tcPr>
          <w:p w14:paraId="6D64436E" w14:textId="77777777" w:rsidR="004E22C1" w:rsidRPr="001455DC" w:rsidRDefault="004E22C1" w:rsidP="00246C87">
            <w:pPr>
              <w:pStyle w:val="Tablebody"/>
              <w:jc w:val="center"/>
            </w:pPr>
            <w:r w:rsidRPr="001455DC">
              <w:t>4,4</w:t>
            </w:r>
          </w:p>
        </w:tc>
        <w:tc>
          <w:tcPr>
            <w:tcW w:w="567" w:type="dxa"/>
            <w:vAlign w:val="center"/>
          </w:tcPr>
          <w:p w14:paraId="3A7BD410" w14:textId="77777777" w:rsidR="004E22C1" w:rsidRPr="001455DC" w:rsidRDefault="004E22C1" w:rsidP="00246C87">
            <w:pPr>
              <w:pStyle w:val="Tablebody"/>
              <w:jc w:val="center"/>
            </w:pPr>
            <w:r w:rsidRPr="001455DC">
              <w:t>5,5</w:t>
            </w:r>
          </w:p>
        </w:tc>
        <w:tc>
          <w:tcPr>
            <w:tcW w:w="567" w:type="dxa"/>
            <w:vAlign w:val="center"/>
          </w:tcPr>
          <w:p w14:paraId="3B834274" w14:textId="77777777" w:rsidR="004E22C1" w:rsidRPr="001455DC" w:rsidRDefault="004E22C1" w:rsidP="00246C87">
            <w:pPr>
              <w:pStyle w:val="Tablebody"/>
              <w:jc w:val="center"/>
            </w:pPr>
            <w:r w:rsidRPr="001455DC">
              <w:t>6,6</w:t>
            </w:r>
          </w:p>
        </w:tc>
        <w:tc>
          <w:tcPr>
            <w:tcW w:w="567" w:type="dxa"/>
            <w:vAlign w:val="center"/>
          </w:tcPr>
          <w:p w14:paraId="35993169" w14:textId="77777777" w:rsidR="004E22C1" w:rsidRPr="001455DC" w:rsidRDefault="004E22C1" w:rsidP="00246C87">
            <w:pPr>
              <w:pStyle w:val="Tablebody"/>
              <w:jc w:val="center"/>
            </w:pPr>
            <w:r w:rsidRPr="001455DC">
              <w:t>8,8</w:t>
            </w:r>
          </w:p>
        </w:tc>
        <w:tc>
          <w:tcPr>
            <w:tcW w:w="1265" w:type="dxa"/>
            <w:vAlign w:val="center"/>
          </w:tcPr>
          <w:p w14:paraId="510957BE" w14:textId="03061CCB" w:rsidR="004E22C1" w:rsidRPr="001455DC" w:rsidRDefault="004E22C1" w:rsidP="00246C87">
            <w:pPr>
              <w:pStyle w:val="Tablebody"/>
              <w:jc w:val="center"/>
              <w:rPr>
                <w:sz w:val="19"/>
                <w:szCs w:val="19"/>
              </w:rPr>
            </w:pPr>
            <w:r w:rsidRPr="001455DC">
              <w:rPr>
                <w:rStyle w:val="CCMCvariableitalic"/>
              </w:rPr>
              <w:t>f</w:t>
            </w:r>
            <w:r w:rsidRPr="001455DC">
              <w:rPr>
                <w:rStyle w:val="CCMCvariablesubscript"/>
              </w:rPr>
              <w:t>R,3k</w:t>
            </w:r>
            <w:r w:rsidRPr="001455DC">
              <w:t> </w:t>
            </w:r>
            <w:r w:rsidR="00EC27D2" w:rsidRPr="001455DC">
              <w:rPr>
                <w:rFonts w:ascii="Cambria Math" w:hAnsi="Cambria Math"/>
              </w:rPr>
              <w:t>=</w:t>
            </w:r>
            <w:r w:rsidRPr="001455DC">
              <w:t> </w:t>
            </w:r>
            <w:r w:rsidRPr="001455DC">
              <w:rPr>
                <w:szCs w:val="22"/>
              </w:rPr>
              <w:t>1,1</w:t>
            </w:r>
            <w:r w:rsidRPr="001455DC">
              <w:rPr>
                <w:rStyle w:val="CCMCvariableitalic"/>
              </w:rPr>
              <w:t>f</w:t>
            </w:r>
            <w:r w:rsidRPr="001455DC">
              <w:rPr>
                <w:rStyle w:val="CCMCvariablesubscript"/>
              </w:rPr>
              <w:t>R,1k</w:t>
            </w:r>
          </w:p>
        </w:tc>
      </w:tr>
      <w:tr w:rsidR="004E22C1" w:rsidRPr="001455DC" w14:paraId="2C33D5AC" w14:textId="77777777" w:rsidTr="00246C87">
        <w:tc>
          <w:tcPr>
            <w:tcW w:w="1159" w:type="dxa"/>
            <w:vAlign w:val="center"/>
          </w:tcPr>
          <w:p w14:paraId="0D094523" w14:textId="77777777" w:rsidR="004E22C1" w:rsidRPr="001455DC" w:rsidRDefault="004E22C1" w:rsidP="00246C87">
            <w:pPr>
              <w:pStyle w:val="Tablebody"/>
              <w:jc w:val="center"/>
            </w:pPr>
            <w:r w:rsidRPr="001455DC">
              <w:t>e</w:t>
            </w:r>
          </w:p>
        </w:tc>
        <w:tc>
          <w:tcPr>
            <w:tcW w:w="567" w:type="dxa"/>
            <w:vAlign w:val="center"/>
          </w:tcPr>
          <w:p w14:paraId="37AE0C2F" w14:textId="77777777" w:rsidR="004E22C1" w:rsidRPr="001455DC" w:rsidRDefault="004E22C1" w:rsidP="00246C87">
            <w:pPr>
              <w:pStyle w:val="Tablebody"/>
              <w:jc w:val="center"/>
            </w:pPr>
            <w:r w:rsidRPr="001455DC">
              <w:t>1,3</w:t>
            </w:r>
          </w:p>
        </w:tc>
        <w:tc>
          <w:tcPr>
            <w:tcW w:w="567" w:type="dxa"/>
            <w:vAlign w:val="center"/>
          </w:tcPr>
          <w:p w14:paraId="2B1630F5" w14:textId="77777777" w:rsidR="004E22C1" w:rsidRPr="001455DC" w:rsidRDefault="004E22C1" w:rsidP="00246C87">
            <w:pPr>
              <w:pStyle w:val="Tablebody"/>
              <w:jc w:val="center"/>
            </w:pPr>
            <w:r w:rsidRPr="001455DC">
              <w:t>2,0</w:t>
            </w:r>
          </w:p>
        </w:tc>
        <w:tc>
          <w:tcPr>
            <w:tcW w:w="567" w:type="dxa"/>
            <w:vAlign w:val="center"/>
          </w:tcPr>
          <w:p w14:paraId="0D60DE3B" w14:textId="77777777" w:rsidR="004E22C1" w:rsidRPr="001455DC" w:rsidRDefault="004E22C1" w:rsidP="00246C87">
            <w:pPr>
              <w:pStyle w:val="Tablebody"/>
              <w:jc w:val="center"/>
            </w:pPr>
            <w:r w:rsidRPr="001455DC">
              <w:t>2,6</w:t>
            </w:r>
          </w:p>
        </w:tc>
        <w:tc>
          <w:tcPr>
            <w:tcW w:w="567" w:type="dxa"/>
            <w:vAlign w:val="center"/>
          </w:tcPr>
          <w:p w14:paraId="583A2BE3" w14:textId="77777777" w:rsidR="004E22C1" w:rsidRPr="001455DC" w:rsidRDefault="004E22C1" w:rsidP="00246C87">
            <w:pPr>
              <w:pStyle w:val="Tablebody"/>
              <w:jc w:val="center"/>
            </w:pPr>
            <w:r w:rsidRPr="001455DC">
              <w:t>3,3</w:t>
            </w:r>
          </w:p>
        </w:tc>
        <w:tc>
          <w:tcPr>
            <w:tcW w:w="567" w:type="dxa"/>
            <w:vAlign w:val="center"/>
          </w:tcPr>
          <w:p w14:paraId="4AB294FB" w14:textId="77777777" w:rsidR="004E22C1" w:rsidRPr="001455DC" w:rsidRDefault="004E22C1" w:rsidP="00246C87">
            <w:pPr>
              <w:pStyle w:val="Tablebody"/>
              <w:jc w:val="center"/>
            </w:pPr>
            <w:r w:rsidRPr="001455DC">
              <w:t>3,9</w:t>
            </w:r>
          </w:p>
        </w:tc>
        <w:tc>
          <w:tcPr>
            <w:tcW w:w="567" w:type="dxa"/>
            <w:vAlign w:val="center"/>
          </w:tcPr>
          <w:p w14:paraId="400A4224" w14:textId="77777777" w:rsidR="004E22C1" w:rsidRPr="001455DC" w:rsidRDefault="004E22C1" w:rsidP="00246C87">
            <w:pPr>
              <w:pStyle w:val="Tablebody"/>
              <w:jc w:val="center"/>
            </w:pPr>
            <w:r w:rsidRPr="001455DC">
              <w:t>5,2</w:t>
            </w:r>
          </w:p>
        </w:tc>
        <w:tc>
          <w:tcPr>
            <w:tcW w:w="567" w:type="dxa"/>
            <w:vAlign w:val="center"/>
          </w:tcPr>
          <w:p w14:paraId="64983A90" w14:textId="77777777" w:rsidR="004E22C1" w:rsidRPr="001455DC" w:rsidRDefault="004E22C1" w:rsidP="00246C87">
            <w:pPr>
              <w:pStyle w:val="Tablebody"/>
              <w:jc w:val="center"/>
            </w:pPr>
            <w:r w:rsidRPr="001455DC">
              <w:t>6,5</w:t>
            </w:r>
          </w:p>
        </w:tc>
        <w:tc>
          <w:tcPr>
            <w:tcW w:w="567" w:type="dxa"/>
            <w:vAlign w:val="center"/>
          </w:tcPr>
          <w:p w14:paraId="3F0B9E33" w14:textId="77777777" w:rsidR="004E22C1" w:rsidRPr="001455DC" w:rsidRDefault="004E22C1" w:rsidP="00246C87">
            <w:pPr>
              <w:pStyle w:val="Tablebody"/>
              <w:jc w:val="center"/>
            </w:pPr>
            <w:r w:rsidRPr="001455DC">
              <w:t>7,8</w:t>
            </w:r>
          </w:p>
        </w:tc>
        <w:tc>
          <w:tcPr>
            <w:tcW w:w="567" w:type="dxa"/>
            <w:vAlign w:val="center"/>
          </w:tcPr>
          <w:p w14:paraId="3BC0D5FB" w14:textId="77777777" w:rsidR="004E22C1" w:rsidRPr="001455DC" w:rsidRDefault="004E22C1" w:rsidP="00246C87">
            <w:pPr>
              <w:pStyle w:val="Tablebody"/>
              <w:jc w:val="center"/>
            </w:pPr>
            <w:r w:rsidRPr="001455DC">
              <w:t>10,4</w:t>
            </w:r>
          </w:p>
        </w:tc>
        <w:tc>
          <w:tcPr>
            <w:tcW w:w="1265" w:type="dxa"/>
            <w:vAlign w:val="center"/>
          </w:tcPr>
          <w:p w14:paraId="6FDDD4A6" w14:textId="27FF6DCE" w:rsidR="004E22C1" w:rsidRPr="001455DC" w:rsidRDefault="004E22C1" w:rsidP="00246C87">
            <w:pPr>
              <w:pStyle w:val="Tablebody"/>
              <w:jc w:val="center"/>
              <w:rPr>
                <w:sz w:val="19"/>
                <w:szCs w:val="19"/>
              </w:rPr>
            </w:pPr>
            <w:r w:rsidRPr="001455DC">
              <w:rPr>
                <w:rStyle w:val="CCMCvariableitalic"/>
              </w:rPr>
              <w:t>f</w:t>
            </w:r>
            <w:r w:rsidRPr="001455DC">
              <w:rPr>
                <w:rStyle w:val="CCMCvariablesubscript"/>
              </w:rPr>
              <w:t>R,3k</w:t>
            </w:r>
            <w:r w:rsidRPr="001455DC">
              <w:t> </w:t>
            </w:r>
            <w:r w:rsidR="00EC27D2" w:rsidRPr="001455DC">
              <w:rPr>
                <w:rFonts w:ascii="Cambria Math" w:hAnsi="Cambria Math"/>
              </w:rPr>
              <w:t>=</w:t>
            </w:r>
            <w:r w:rsidRPr="001455DC">
              <w:t> </w:t>
            </w:r>
            <w:r w:rsidRPr="001455DC">
              <w:rPr>
                <w:szCs w:val="22"/>
              </w:rPr>
              <w:t>1,3</w:t>
            </w:r>
            <w:r w:rsidRPr="001455DC">
              <w:rPr>
                <w:rStyle w:val="CCMCvariableitalic"/>
              </w:rPr>
              <w:t>f</w:t>
            </w:r>
            <w:r w:rsidRPr="001455DC">
              <w:rPr>
                <w:rStyle w:val="CCMCvariablesubscript"/>
              </w:rPr>
              <w:t>R,1k</w:t>
            </w:r>
          </w:p>
        </w:tc>
      </w:tr>
      <w:bookmarkEnd w:id="2240"/>
    </w:tbl>
    <w:p w14:paraId="1CD50E79" w14:textId="77777777" w:rsidR="00246C87" w:rsidRPr="001455DC" w:rsidRDefault="00246C87" w:rsidP="00246C87">
      <w:pPr>
        <w:pStyle w:val="a7"/>
      </w:pPr>
    </w:p>
    <w:p w14:paraId="5B98FA94" w14:textId="1CE49A28" w:rsidR="004E22C1" w:rsidRPr="001455DC" w:rsidRDefault="004E22C1" w:rsidP="00246C87">
      <w:pPr>
        <w:pStyle w:val="Note"/>
      </w:pPr>
      <w:r w:rsidRPr="001455DC">
        <w:t>NOTE 1</w:t>
      </w:r>
      <w:r w:rsidRPr="001455DC">
        <w:tab/>
        <w:t>All strength classes apply unless a National Annex excludes specific classes.</w:t>
      </w:r>
    </w:p>
    <w:p w14:paraId="08FAC49B" w14:textId="59FDFAE4" w:rsidR="00654CA4" w:rsidRPr="001455DC" w:rsidRDefault="00654CA4" w:rsidP="003E0584">
      <w:pPr>
        <w:pStyle w:val="Note"/>
      </w:pPr>
      <w:r w:rsidRPr="001455DC">
        <w:t>NOTE 2</w:t>
      </w:r>
      <w:r w:rsidRPr="001455DC">
        <w:tab/>
      </w:r>
      <w:r w:rsidRPr="009D3012">
        <w:rPr>
          <w:lang w:eastAsia="en-US"/>
        </w:rPr>
        <w:t>Intermediate classes can be used, if included in a National Annex.</w:t>
      </w:r>
    </w:p>
    <w:p w14:paraId="16D1EA77" w14:textId="06D53F05" w:rsidR="004E22C1" w:rsidRPr="001455DC" w:rsidRDefault="00723CF7" w:rsidP="00246C87">
      <w:pPr>
        <w:pStyle w:val="FigureImage"/>
      </w:pPr>
      <w:r>
        <w:rPr>
          <w:noProof/>
          <w:lang w:eastAsia="en-GB"/>
        </w:rPr>
        <w:fldChar w:fldCharType="begin"/>
      </w:r>
      <w:r>
        <w:rPr>
          <w:noProof/>
          <w:lang w:eastAsia="en-GB"/>
        </w:rPr>
        <w:instrText xml:space="preserve"> INCLUDEPICTURE  "Y:\\STD_MGT\\STDDEL\\PRODUCTION\\etrans\\Download\\Z_FIRST_DEL\\SV\\00250\\00250269\\41_e_dr\\l001a.tif"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"Y:\\STD_MGT\\STDDEL\\PRODUCTION\\Standards\\00250\\269\\41_e_dr\\l001a.tif"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"Y:\\STD_MGT\\STDDEL\\PRODUCTION\\Standards\\00250\\269\\41_e_dr\\l001a.tif"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"Y:\\STD_MGT\\STDDEL\\PRODUCTION\\Standards\\00250\\269\\41_e_dr\\l001a.tif"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"Y:\\STD_MGT\\STDDEL\\PRODUCTION\\Standards\\00250\\269\\41_e_dr\\l001a.tif"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"Y:\\STD_MGT\\STDDEL\\PRODUCTION\\Standards\\00250\\269\\41_e_dr\\l001a.tif"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"C:\\Users\\a.dionysiou\\AppData\\Local\\Temp\\Temp1_00250269_e_20210902.zip.zip\\41_e_dr\\l001a.tif"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67EFED1D">
          <v:shape id="_x0000_i1330" type="#_x0000_t75" style="width:189pt;height:120pt">
            <v:imagedata r:id="rId630" r:href="rId631"/>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0E1CA3E3" w14:textId="77777777" w:rsidR="004E22C1" w:rsidRPr="009D3012" w:rsidRDefault="004E22C1" w:rsidP="003E0584">
      <w:pPr>
        <w:pStyle w:val="FigureText"/>
        <w:jc w:val="center"/>
      </w:pPr>
      <w:r w:rsidRPr="009D3012">
        <w:t>a) Illustration of the ductility classes</w:t>
      </w:r>
    </w:p>
    <w:p w14:paraId="7BC7E7F8" w14:textId="3CF2A1ED" w:rsidR="004E22C1" w:rsidRPr="001455DC" w:rsidRDefault="00723CF7" w:rsidP="00246C87">
      <w:pPr>
        <w:pStyle w:val="FigureImage"/>
        <w:rPr>
          <w:noProof/>
        </w:rPr>
      </w:pPr>
      <w:r>
        <w:rPr>
          <w:noProof/>
          <w:lang w:eastAsia="en-GB"/>
        </w:rPr>
        <w:fldChar w:fldCharType="begin"/>
      </w:r>
      <w:r>
        <w:rPr>
          <w:noProof/>
          <w:lang w:eastAsia="en-GB"/>
        </w:rPr>
        <w:instrText xml:space="preserve"> INCLUDEPICTURE  "Y:\\STD_MGT\\STDDEL\\PRODUCTION\\etrans\\Download\\Z_FIRST_DEL\\SV\\00250\\00250269\\41_e_dr\\l001b.tif"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"Y:\\STD_MGT\\STDDEL\\PRODUCTION\\Standards\\00250\\269\\41_e_dr\\l001b.tif"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"Y:\\STD_MGT\\STDDEL\\PRODUCTION\\Standards\\00250\\269\\41_e_dr\\l001b.tif"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"Y:\\STD_MGT\\STDDEL\\PRODUCTION\\Standards\\00250\\269\\41_e_dr\\l001b.tif"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"Y:\\STD_MGT\\STDDEL\\PRODUCTION\\Standards\\00250\\269\\41_e_dr\\l001b.tif"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"Y:\\STD_MGT\\STDDEL\\PRODUCTION\\Standards\\00250\\269\\41_e_dr\\l001b.tif"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w:instrText>
      </w:r>
      <w:r w:rsidR="00231E33">
        <w:rPr>
          <w:noProof/>
          <w:lang w:eastAsia="en-GB"/>
        </w:rPr>
        <w:instrText>p\\Temp1_00250269_e_20210902.zip.zip\\41_e_dr\\l001b.tif"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7A6855C9">
          <v:shape id="_x0000_i1331" type="#_x0000_t75" style="width:204.75pt;height:121.5pt">
            <v:imagedata r:id="rId632" r:href="rId633"/>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3F1B1140" w14:textId="77777777" w:rsidR="004E22C1" w:rsidRPr="009D3012" w:rsidRDefault="004E22C1" w:rsidP="003E0584">
      <w:pPr>
        <w:pStyle w:val="FigureText"/>
        <w:jc w:val="center"/>
        <w:rPr>
          <w:noProof/>
        </w:rPr>
      </w:pPr>
      <w:r w:rsidRPr="009D3012">
        <w:rPr>
          <w:noProof/>
        </w:rPr>
        <w:t>b) Typical relation between residual flexural strengths and crack widths</w:t>
      </w:r>
    </w:p>
    <w:p w14:paraId="1A06BFA0" w14:textId="2CC83F8E" w:rsidR="00AA2C15" w:rsidRPr="003F0CF8" w:rsidRDefault="00AA2C15" w:rsidP="003E0584">
      <w:pPr>
        <w:pStyle w:val="KeyTitle"/>
      </w:pPr>
      <w:r w:rsidRPr="003F0CF8">
        <w:t>Key</w:t>
      </w:r>
    </w:p>
    <w:tbl>
      <w:tblPr>
        <w:tblW w:w="0" w:type="auto"/>
        <w:tblInd w:w="-100" w:type="dxa"/>
        <w:tblCellMar>
          <w:left w:w="100" w:type="dxa"/>
        </w:tblCellMar>
        <w:tblLook w:val="0000" w:firstRow="0" w:lastRow="0" w:firstColumn="0" w:lastColumn="0" w:noHBand="0" w:noVBand="0"/>
      </w:tblPr>
      <w:tblGrid>
        <w:gridCol w:w="323"/>
        <w:gridCol w:w="1312"/>
      </w:tblGrid>
      <w:tr w:rsidR="003E0584" w:rsidRPr="003E0584" w14:paraId="33BA592A" w14:textId="77777777" w:rsidTr="003E0584">
        <w:tc>
          <w:tcPr>
            <w:tcW w:w="0" w:type="auto"/>
            <w:shd w:val="clear" w:color="auto" w:fill="auto"/>
          </w:tcPr>
          <w:p w14:paraId="7B680AFD" w14:textId="77777777" w:rsidR="003E0584" w:rsidRPr="003E0584" w:rsidRDefault="003E0584" w:rsidP="003E0584">
            <w:pPr>
              <w:pStyle w:val="KeyText"/>
              <w:tabs>
                <w:tab w:val="clear" w:pos="346"/>
              </w:tabs>
              <w:ind w:left="0" w:firstLine="0"/>
            </w:pPr>
            <w:r w:rsidRPr="003E0584">
              <w:t>X</w:t>
            </w:r>
          </w:p>
        </w:tc>
        <w:tc>
          <w:tcPr>
            <w:tcW w:w="0" w:type="auto"/>
            <w:shd w:val="clear" w:color="auto" w:fill="auto"/>
          </w:tcPr>
          <w:p w14:paraId="617A812C" w14:textId="4043F36F" w:rsidR="003E0584" w:rsidRPr="003E0584" w:rsidRDefault="003E0584" w:rsidP="003E0584">
            <w:pPr>
              <w:pStyle w:val="KeyText"/>
              <w:tabs>
                <w:tab w:val="clear" w:pos="346"/>
              </w:tabs>
              <w:ind w:left="0" w:firstLine="0"/>
            </w:pPr>
            <w:r>
              <w:t>c</w:t>
            </w:r>
            <w:r w:rsidRPr="003E0584">
              <w:t>rackwidth</w:t>
            </w:r>
          </w:p>
        </w:tc>
      </w:tr>
      <w:tr w:rsidR="003E0584" w:rsidRPr="000250B6" w14:paraId="0971D9B5" w14:textId="77777777" w:rsidTr="003E0584">
        <w:tc>
          <w:tcPr>
            <w:tcW w:w="0" w:type="auto"/>
            <w:shd w:val="clear" w:color="auto" w:fill="auto"/>
          </w:tcPr>
          <w:p w14:paraId="0EFB747B" w14:textId="77777777" w:rsidR="003E0584" w:rsidRPr="003E0584" w:rsidRDefault="003E0584" w:rsidP="003E0584">
            <w:pPr>
              <w:pStyle w:val="KeyText"/>
              <w:tabs>
                <w:tab w:val="clear" w:pos="346"/>
              </w:tabs>
              <w:ind w:left="0" w:firstLine="0"/>
            </w:pPr>
            <w:r w:rsidRPr="003E0584">
              <w:t>Y</w:t>
            </w:r>
          </w:p>
        </w:tc>
        <w:tc>
          <w:tcPr>
            <w:tcW w:w="0" w:type="auto"/>
            <w:shd w:val="clear" w:color="auto" w:fill="auto"/>
          </w:tcPr>
          <w:p w14:paraId="5FB04C74" w14:textId="77777777" w:rsidR="003E0584" w:rsidRPr="003E0584" w:rsidRDefault="003E0584" w:rsidP="003E0584">
            <w:pPr>
              <w:pStyle w:val="KeyText"/>
              <w:tabs>
                <w:tab w:val="clear" w:pos="346"/>
              </w:tabs>
              <w:ind w:left="0" w:firstLine="0"/>
              <w:rPr>
                <w:lang w:val="nl-NL"/>
              </w:rPr>
            </w:pPr>
            <w:r w:rsidRPr="003E0584">
              <w:rPr>
                <w:rStyle w:val="CCMCvariableitalic"/>
                <w:lang w:val="nl-NL"/>
              </w:rPr>
              <w:t>f</w:t>
            </w:r>
            <w:r w:rsidRPr="003E0584">
              <w:rPr>
                <w:rStyle w:val="CCMCvariablesubscript"/>
                <w:lang w:val="nl-NL"/>
              </w:rPr>
              <w:t>R,ik</w:t>
            </w:r>
            <w:r w:rsidRPr="003E0584">
              <w:rPr>
                <w:lang w:val="nl-NL"/>
              </w:rPr>
              <w:t>/</w:t>
            </w:r>
            <w:r w:rsidRPr="003E0584">
              <w:rPr>
                <w:rStyle w:val="CCMCvariableitalic"/>
                <w:lang w:val="nl-NL"/>
              </w:rPr>
              <w:t>f</w:t>
            </w:r>
            <w:r w:rsidRPr="003E0584">
              <w:rPr>
                <w:rStyle w:val="CCMCvariablesubscript"/>
                <w:lang w:val="nl-NL"/>
              </w:rPr>
              <w:t>R,1k</w:t>
            </w:r>
            <w:r w:rsidRPr="003E0584">
              <w:rPr>
                <w:lang w:val="nl-NL"/>
              </w:rPr>
              <w:t xml:space="preserve"> in a)</w:t>
            </w:r>
          </w:p>
        </w:tc>
      </w:tr>
    </w:tbl>
    <w:p w14:paraId="0C719D58" w14:textId="235BF65B" w:rsidR="004E22C1" w:rsidRPr="001455DC" w:rsidRDefault="004E22C1" w:rsidP="00DB7B8A">
      <w:pPr>
        <w:pStyle w:val="Figuretitle"/>
      </w:pPr>
      <w:r w:rsidRPr="001455DC">
        <w:rPr>
          <w:noProof/>
        </w:rPr>
        <w:t>Figure L.1 — SFCR classification according to characteristic residual flexural strength</w:t>
      </w:r>
    </w:p>
    <w:p w14:paraId="7DADEB51" w14:textId="248D29E0" w:rsidR="004E22C1" w:rsidRPr="009D3012" w:rsidRDefault="004E22C1" w:rsidP="00243590">
      <w:pPr>
        <w:pStyle w:val="a3"/>
      </w:pPr>
      <w:bookmarkStart w:id="2241" w:name="_Toc52820380"/>
      <w:bookmarkStart w:id="2242" w:name="_Toc54337815"/>
      <w:bookmarkStart w:id="2243" w:name="_Toc54338428"/>
      <w:bookmarkEnd w:id="2239"/>
      <w:r w:rsidRPr="009D3012">
        <w:t>Elastic deformation</w:t>
      </w:r>
      <w:bookmarkEnd w:id="2241"/>
      <w:bookmarkEnd w:id="2242"/>
      <w:bookmarkEnd w:id="2243"/>
    </w:p>
    <w:p w14:paraId="14298507" w14:textId="77777777" w:rsidR="004E22C1" w:rsidRPr="001455DC" w:rsidRDefault="004E22C1" w:rsidP="00DB7B8A">
      <w:pPr>
        <w:pStyle w:val="a7"/>
      </w:pPr>
      <w:r w:rsidRPr="001455DC">
        <w:t>(1)</w:t>
      </w:r>
      <w:r w:rsidRPr="001455DC">
        <w:tab/>
        <w:t>The values of the modulus of elasticity, the Poisson’s ratio and the thermal expansion coefficient may be taken according to 5.1.</w:t>
      </w:r>
    </w:p>
    <w:p w14:paraId="17E12819" w14:textId="77777777" w:rsidR="004E22C1" w:rsidRPr="001455DC" w:rsidRDefault="004E22C1" w:rsidP="00DB7B8A">
      <w:pPr>
        <w:pStyle w:val="a7"/>
      </w:pPr>
      <w:r w:rsidRPr="001455DC">
        <w:t>(2)</w:t>
      </w:r>
      <w:r w:rsidRPr="001455DC">
        <w:tab/>
        <w:t>Values of the modulus of elasticity and Poisson’s ratio may be subject to higher variation than for ordinary concrete when steel fibres are introduced into the mix. Where they are a significant component of action effects, they should be determined by testing.</w:t>
      </w:r>
    </w:p>
    <w:p w14:paraId="378E0120" w14:textId="568C4413" w:rsidR="004E22C1" w:rsidRPr="009D3012" w:rsidRDefault="004E22C1" w:rsidP="00243590">
      <w:pPr>
        <w:pStyle w:val="a3"/>
      </w:pPr>
      <w:bookmarkStart w:id="2244" w:name="_Toc52820381"/>
      <w:bookmarkStart w:id="2245" w:name="_Toc54337816"/>
      <w:bookmarkStart w:id="2246" w:name="_Toc54338429"/>
      <w:r w:rsidRPr="009D3012">
        <w:t>Creep and shrinkage</w:t>
      </w:r>
      <w:bookmarkEnd w:id="2244"/>
      <w:bookmarkEnd w:id="2245"/>
      <w:bookmarkEnd w:id="2246"/>
    </w:p>
    <w:p w14:paraId="5DCDF726" w14:textId="77777777" w:rsidR="004E22C1" w:rsidRPr="001455DC" w:rsidRDefault="004E22C1" w:rsidP="00246C87">
      <w:pPr>
        <w:pStyle w:val="a7"/>
      </w:pPr>
      <w:r w:rsidRPr="001455DC">
        <w:t>(1)</w:t>
      </w:r>
      <w:r w:rsidRPr="001455DC">
        <w:tab/>
        <w:t>Creep and shrinkage properties may be taken according to 5.1. However, if these values have a significant impact on the action effects, they should be determined by testing.</w:t>
      </w:r>
    </w:p>
    <w:p w14:paraId="418F546E" w14:textId="77777777" w:rsidR="004E22C1" w:rsidRPr="001455DC" w:rsidRDefault="004E22C1" w:rsidP="00246C87">
      <w:pPr>
        <w:pStyle w:val="a7"/>
      </w:pPr>
      <w:r w:rsidRPr="001455DC">
        <w:t>(2)</w:t>
      </w:r>
      <w:r w:rsidRPr="001455DC">
        <w:tab/>
        <w:t>Values of creep and shrinkage may be subject to higher variation than for ordinary concrete when steel fibres are introduced into the mix. Where they are a significant component of action effects, they should be determined by testing.</w:t>
      </w:r>
    </w:p>
    <w:p w14:paraId="32A6E1D2" w14:textId="5E1C749A" w:rsidR="004E22C1" w:rsidRPr="009D3012" w:rsidRDefault="004E22C1" w:rsidP="00243590">
      <w:pPr>
        <w:pStyle w:val="a3"/>
      </w:pPr>
      <w:bookmarkStart w:id="2247" w:name="_Toc52820382"/>
      <w:bookmarkStart w:id="2248" w:name="_Toc54337817"/>
      <w:bookmarkStart w:id="2249" w:name="_Toc54338430"/>
      <w:r w:rsidRPr="009D3012">
        <w:t>Design assumptions</w:t>
      </w:r>
      <w:bookmarkEnd w:id="2247"/>
      <w:bookmarkEnd w:id="2248"/>
      <w:bookmarkEnd w:id="2249"/>
    </w:p>
    <w:p w14:paraId="4731F14E" w14:textId="04B220C6" w:rsidR="004E22C1" w:rsidRPr="001455DC" w:rsidRDefault="004E22C1" w:rsidP="00243590">
      <w:pPr>
        <w:pStyle w:val="a4"/>
      </w:pPr>
      <w:bookmarkStart w:id="2250" w:name="_Toc52820383"/>
      <w:bookmarkStart w:id="2251" w:name="_Toc54337818"/>
      <w:r w:rsidRPr="001455DC">
        <w:t>Design residual tensile strengths</w:t>
      </w:r>
      <w:bookmarkEnd w:id="2250"/>
      <w:bookmarkEnd w:id="2251"/>
    </w:p>
    <w:p w14:paraId="62032A21" w14:textId="34990715" w:rsidR="004E22C1" w:rsidRPr="001455DC" w:rsidRDefault="004E22C1" w:rsidP="00DE6BBC">
      <w:pPr>
        <w:pStyle w:val="a7"/>
        <w:keepNext/>
      </w:pPr>
      <w:r w:rsidRPr="001455DC">
        <w:t>(1)</w:t>
      </w:r>
      <w:r w:rsidRPr="001455DC">
        <w:tab/>
        <w:t>For design according to Annex L</w:t>
      </w:r>
      <w:r w:rsidR="00DB7B8A" w:rsidRPr="001455DC">
        <w:t>,</w:t>
      </w:r>
      <w:r w:rsidRPr="001455DC">
        <w:t xml:space="preserve"> Formula (L.1) should be satisfied:</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14838" w:rsidRPr="001455DC" w14:paraId="0CE21DB0" w14:textId="77777777" w:rsidTr="00214838">
        <w:trPr>
          <w:cantSplit/>
        </w:trPr>
        <w:tc>
          <w:tcPr>
            <w:tcW w:w="8505" w:type="dxa"/>
            <w:vAlign w:val="center"/>
          </w:tcPr>
          <w:p w14:paraId="44770AA1" w14:textId="50DBDA18" w:rsidR="00214838" w:rsidRPr="001455DC" w:rsidRDefault="00231E33" w:rsidP="00214838">
            <w:pPr>
              <w:pStyle w:val="Formula"/>
              <w:jc w:val="left"/>
            </w:pPr>
            <m:oMathPara>
              <m:oMathParaPr>
                <m:jc m:val="left"/>
              </m:oMathParaPr>
              <m:oMath>
                <m:f>
                  <m:fPr>
                    <m:type m:val="lin"/>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R,1k</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ctk,0,05</m:t>
                        </m:r>
                      </m:sub>
                    </m:sSub>
                  </m:den>
                </m:f>
                <m:r>
                  <w:rPr>
                    <w:rFonts w:ascii="Cambria Math" w:hAnsi="Cambria Math"/>
                  </w:rPr>
                  <m:t>≥0,5</m:t>
                </m:r>
              </m:oMath>
            </m:oMathPara>
          </w:p>
        </w:tc>
        <w:tc>
          <w:tcPr>
            <w:tcW w:w="1247" w:type="dxa"/>
            <w:vAlign w:val="center"/>
          </w:tcPr>
          <w:p w14:paraId="25DF919E" w14:textId="681E92D8" w:rsidR="00214838" w:rsidRPr="001455DC" w:rsidRDefault="00214838" w:rsidP="00214838">
            <w:pPr>
              <w:pStyle w:val="a7"/>
              <w:jc w:val="right"/>
            </w:pPr>
            <w:r w:rsidRPr="001455DC">
              <w:t>(L.1)</w:t>
            </w:r>
          </w:p>
        </w:tc>
      </w:tr>
    </w:tbl>
    <w:p w14:paraId="44368300" w14:textId="77777777" w:rsidR="00214838" w:rsidRPr="001455DC" w:rsidRDefault="004E22C1" w:rsidP="00DE6BBC">
      <w:pPr>
        <w:pStyle w:val="a7"/>
        <w:keepNext/>
      </w:pPr>
      <w:r w:rsidRPr="001455DC">
        <w:t>(2)</w:t>
      </w:r>
      <w:r w:rsidRPr="001455DC">
        <w:tab/>
        <w:t xml:space="preserve">The values of the design residual tensile strength, </w:t>
      </w:r>
      <w:r w:rsidRPr="001455DC">
        <w:rPr>
          <w:rStyle w:val="CCMCvariableitalic"/>
        </w:rPr>
        <w:t>f</w:t>
      </w:r>
      <w:r w:rsidRPr="001455DC">
        <w:rPr>
          <w:rStyle w:val="CCMCvariablesubscript"/>
        </w:rPr>
        <w:t>Ftsd</w:t>
      </w:r>
      <w:r w:rsidRPr="001455DC">
        <w:t xml:space="preserve"> and </w:t>
      </w:r>
      <w:r w:rsidRPr="001455DC">
        <w:rPr>
          <w:rStyle w:val="CCMCvariableitalic"/>
        </w:rPr>
        <w:t>f</w:t>
      </w:r>
      <w:r w:rsidRPr="001455DC">
        <w:rPr>
          <w:rStyle w:val="CCMCvariablesubscript"/>
        </w:rPr>
        <w:t>Ftud</w:t>
      </w:r>
      <w:r w:rsidRPr="001455DC">
        <w:t xml:space="preserve"> should be taken as follows: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14838" w:rsidRPr="001455DC" w14:paraId="540A0E25" w14:textId="77777777" w:rsidTr="00214838">
        <w:trPr>
          <w:cantSplit/>
        </w:trPr>
        <w:tc>
          <w:tcPr>
            <w:tcW w:w="8505" w:type="dxa"/>
            <w:vAlign w:val="center"/>
          </w:tcPr>
          <w:p w14:paraId="7A4C6E83" w14:textId="40A003D4" w:rsidR="00214838" w:rsidRPr="001455DC" w:rsidRDefault="00231E33">
            <w:pPr>
              <w:pStyle w:val="Formula"/>
              <w:jc w:val="left"/>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Ftsd</m:t>
                    </m:r>
                  </m:sub>
                </m:sSub>
                <m:r>
                  <w:rPr>
                    <w:rFonts w:ascii="Cambria Math" w:hAnsi="Cambria Math"/>
                  </w:rPr>
                  <m:t>=</m:t>
                </m:r>
                <m:sSub>
                  <m:sSubPr>
                    <m:ctrlPr>
                      <w:rPr>
                        <w:rFonts w:ascii="Cambria Math" w:hAnsi="Cambria Math"/>
                      </w:rPr>
                    </m:ctrlPr>
                  </m:sSubPr>
                  <m:e>
                    <m:r>
                      <w:rPr>
                        <w:rFonts w:ascii="Cambria Math" w:hAnsi="Cambria Math"/>
                      </w:rPr>
                      <m:t>κ</m:t>
                    </m:r>
                  </m:e>
                  <m:sub>
                    <m:r>
                      <m:rPr>
                        <m:sty m:val="p"/>
                      </m:rPr>
                      <w:rPr>
                        <w:rFonts w:ascii="Cambria Math" w:hAnsi="Cambria Math"/>
                      </w:rPr>
                      <m:t>O</m:t>
                    </m:r>
                  </m:sub>
                </m:sSub>
                <m:r>
                  <w:rPr>
                    <w:rFonts w:ascii="Cambria Math" w:hAnsi="Cambria Math"/>
                  </w:rPr>
                  <m:t>∙0,40∙</m:t>
                </m:r>
                <m:sSub>
                  <m:sSubPr>
                    <m:ctrlPr>
                      <w:rPr>
                        <w:rFonts w:ascii="Cambria Math" w:hAnsi="Cambria Math"/>
                      </w:rPr>
                    </m:ctrlPr>
                  </m:sSubPr>
                  <m:e>
                    <m:r>
                      <w:rPr>
                        <w:rFonts w:ascii="Cambria Math" w:hAnsi="Cambria Math"/>
                      </w:rPr>
                      <m:t>f</m:t>
                    </m:r>
                  </m:e>
                  <m:sub>
                    <m:r>
                      <m:rPr>
                        <m:sty m:val="p"/>
                      </m:rPr>
                      <w:rPr>
                        <w:rFonts w:ascii="Cambria Math" w:hAnsi="Cambria Math"/>
                      </w:rPr>
                      <m:t>R,1k</m:t>
                    </m:r>
                  </m:sub>
                </m:sSub>
                <m:r>
                  <m:rPr>
                    <m:sty m:val="p"/>
                  </m:rPr>
                  <w:rPr>
                    <w:rFonts w:ascii="Cambria Math" w:hAnsi="Cambria Math"/>
                  </w:rPr>
                  <m:t>/</m:t>
                </m:r>
                <m:sSub>
                  <m:sSubPr>
                    <m:ctrlPr>
                      <w:rPr>
                        <w:rFonts w:ascii="Cambria Math" w:hAnsi="Cambria Math"/>
                      </w:rPr>
                    </m:ctrlPr>
                  </m:sSubPr>
                  <m:e>
                    <m:r>
                      <w:rPr>
                        <w:rFonts w:ascii="Cambria Math" w:hAnsi="Cambria Math"/>
                      </w:rPr>
                      <m:t>γ</m:t>
                    </m:r>
                  </m:e>
                  <m:sub>
                    <m:r>
                      <m:rPr>
                        <m:sty m:val="p"/>
                      </m:rPr>
                      <w:rPr>
                        <w:rFonts w:ascii="Cambria Math" w:hAnsi="Cambria Math"/>
                      </w:rPr>
                      <m:t>SF</m:t>
                    </m:r>
                  </m:sub>
                </m:sSub>
              </m:oMath>
            </m:oMathPara>
          </w:p>
        </w:tc>
        <w:tc>
          <w:tcPr>
            <w:tcW w:w="1247" w:type="dxa"/>
            <w:vAlign w:val="center"/>
          </w:tcPr>
          <w:p w14:paraId="61389DC9" w14:textId="44A8C868" w:rsidR="00214838" w:rsidRPr="001455DC" w:rsidRDefault="00214838" w:rsidP="00214838">
            <w:pPr>
              <w:pStyle w:val="a7"/>
              <w:jc w:val="right"/>
            </w:pPr>
            <w:r w:rsidRPr="001455DC">
              <w:t>(L.2)</w:t>
            </w:r>
          </w:p>
        </w:tc>
      </w:tr>
      <w:tr w:rsidR="00214838" w:rsidRPr="001455DC" w14:paraId="4986A157" w14:textId="77777777" w:rsidTr="00214838">
        <w:trPr>
          <w:cantSplit/>
        </w:trPr>
        <w:tc>
          <w:tcPr>
            <w:tcW w:w="8505" w:type="dxa"/>
            <w:vAlign w:val="center"/>
          </w:tcPr>
          <w:p w14:paraId="4A4A2401" w14:textId="55BFA2D2" w:rsidR="00214838" w:rsidRPr="001455DC" w:rsidRDefault="00231E33">
            <w:pPr>
              <w:pStyle w:val="Formula"/>
              <w:jc w:val="left"/>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Ftuk</m:t>
                    </m:r>
                  </m:sub>
                </m:sSub>
                <m:r>
                  <w:rPr>
                    <w:rFonts w:ascii="Cambria Math" w:hAnsi="Cambria Math"/>
                  </w:rPr>
                  <m:t>d</m:t>
                </m:r>
                <m:sSub>
                  <m:sSubPr>
                    <m:ctrlPr>
                      <w:rPr>
                        <w:rFonts w:ascii="Cambria Math" w:hAnsi="Cambria Math"/>
                      </w:rPr>
                    </m:ctrlPr>
                  </m:sSubPr>
                  <m:e>
                    <m:r>
                      <w:rPr>
                        <w:rFonts w:ascii="Cambria Math" w:hAnsi="Cambria Math"/>
                      </w:rPr>
                      <m:t>κ</m:t>
                    </m:r>
                  </m:e>
                  <m:sub>
                    <m:r>
                      <m:rPr>
                        <m:sty m:val="p"/>
                      </m:rPr>
                      <w:rPr>
                        <w:rFonts w:ascii="Cambria Math" w:hAnsi="Cambria Math"/>
                      </w:rPr>
                      <m:t>O</m:t>
                    </m:r>
                  </m:sub>
                </m:sSub>
                <m:r>
                  <w:rPr>
                    <w:rFonts w:ascii="Cambria Math" w:hAnsi="Cambria Math"/>
                  </w:rPr>
                  <m:t>∙0,37∙</m:t>
                </m:r>
                <m:sSub>
                  <m:sSubPr>
                    <m:ctrlPr>
                      <w:rPr>
                        <w:rFonts w:ascii="Cambria Math" w:hAnsi="Cambria Math"/>
                      </w:rPr>
                    </m:ctrlPr>
                  </m:sSubPr>
                  <m:e>
                    <m:r>
                      <w:rPr>
                        <w:rFonts w:ascii="Cambria Math" w:hAnsi="Cambria Math"/>
                      </w:rPr>
                      <m:t>f</m:t>
                    </m:r>
                  </m:e>
                  <m:sub>
                    <m:r>
                      <m:rPr>
                        <m:sty m:val="p"/>
                      </m:rPr>
                      <w:rPr>
                        <w:rFonts w:ascii="Cambria Math" w:hAnsi="Cambria Math"/>
                      </w:rPr>
                      <m:t>R,3k</m:t>
                    </m:r>
                  </m:sub>
                </m:sSub>
                <m:r>
                  <w:rPr>
                    <w:rFonts w:ascii="Cambria Math" w:hAnsi="Cambria Math"/>
                  </w:rPr>
                  <m:t>/</m:t>
                </m:r>
                <m:sSub>
                  <m:sSubPr>
                    <m:ctrlPr>
                      <w:rPr>
                        <w:rFonts w:ascii="Cambria Math" w:hAnsi="Cambria Math"/>
                      </w:rPr>
                    </m:ctrlPr>
                  </m:sSubPr>
                  <m:e>
                    <m:r>
                      <w:rPr>
                        <w:rFonts w:ascii="Cambria Math" w:hAnsi="Cambria Math"/>
                      </w:rPr>
                      <m:t>γ</m:t>
                    </m:r>
                  </m:e>
                  <m:sub>
                    <m:r>
                      <m:rPr>
                        <m:sty m:val="p"/>
                      </m:rPr>
                      <w:rPr>
                        <w:rFonts w:ascii="Cambria Math" w:hAnsi="Cambria Math"/>
                      </w:rPr>
                      <m:t>SF</m:t>
                    </m:r>
                  </m:sub>
                </m:sSub>
              </m:oMath>
            </m:oMathPara>
          </w:p>
        </w:tc>
        <w:tc>
          <w:tcPr>
            <w:tcW w:w="1247" w:type="dxa"/>
            <w:vAlign w:val="center"/>
          </w:tcPr>
          <w:p w14:paraId="195413C1" w14:textId="359EF286" w:rsidR="00214838" w:rsidRPr="001455DC" w:rsidRDefault="00214838" w:rsidP="00214838">
            <w:pPr>
              <w:pStyle w:val="a7"/>
              <w:jc w:val="right"/>
            </w:pPr>
            <w:r w:rsidRPr="001455DC">
              <w:t>(L.3)</w:t>
            </w:r>
          </w:p>
        </w:tc>
      </w:tr>
    </w:tbl>
    <w:p w14:paraId="354B71EE" w14:textId="09DEC02B" w:rsidR="004E22C1" w:rsidRPr="009D3012" w:rsidRDefault="004E22C1" w:rsidP="009D3012">
      <w:r w:rsidRPr="009D3012">
        <w:t>(3)</w:t>
      </w:r>
      <w:r w:rsidRPr="009D3012">
        <w:tab/>
        <w:t xml:space="preserve">The factor accounting for fibre orientation should be taken as </w:t>
      </w:r>
      <m:oMath>
        <m:sSub>
          <m:sSubPr>
            <m:ctrlPr>
              <w:rPr>
                <w:rFonts w:ascii="Cambria Math" w:hAnsi="Cambria Math"/>
              </w:rPr>
            </m:ctrlPr>
          </m:sSubPr>
          <m:e>
            <m:r>
              <m:rPr>
                <m:sty m:val="p"/>
              </m:rPr>
              <w:rPr>
                <w:rFonts w:ascii="Cambria Math" w:hAnsi="Cambria Math"/>
              </w:rPr>
              <m:t>κ</m:t>
            </m:r>
          </m:e>
          <m:sub>
            <m:r>
              <m:rPr>
                <m:sty m:val="p"/>
              </m:rPr>
              <w:rPr>
                <w:rFonts w:ascii="Cambria Math" w:hAnsi="Cambria Math"/>
              </w:rPr>
              <m:t>O</m:t>
            </m:r>
          </m:sub>
        </m:sSub>
        <m:r>
          <m:rPr>
            <m:sty m:val="p"/>
          </m:rPr>
          <w:rPr>
            <w:rFonts w:ascii="Cambria Math" w:hAnsi="Cambria Math"/>
          </w:rPr>
          <m:t>=0,5</m:t>
        </m:r>
      </m:oMath>
      <w:r w:rsidRPr="009D3012">
        <w:t xml:space="preserve"> unless otherwise specified in Annex L or verified by testing.</w:t>
      </w:r>
    </w:p>
    <w:p w14:paraId="2A5E79D9" w14:textId="3D67BBDA" w:rsidR="004E22C1" w:rsidRPr="001455DC" w:rsidRDefault="004E22C1" w:rsidP="0009382B">
      <w:pPr>
        <w:pStyle w:val="a7"/>
      </w:pPr>
      <w:r w:rsidRPr="001455DC">
        <w:t>(4)</w:t>
      </w:r>
      <w:r w:rsidRPr="001455DC">
        <w:tab/>
      </w:r>
      <w:r w:rsidRPr="001455DC">
        <w:rPr>
          <w:noProof/>
        </w:rPr>
        <w:t>For bending moments, shear forces and torsion in slabs and beams made of concrete with consistency classes S2</w:t>
      </w:r>
      <w:r w:rsidR="00214838" w:rsidRPr="001455DC">
        <w:rPr>
          <w:noProof/>
        </w:rPr>
        <w:t>–</w:t>
      </w:r>
      <w:r w:rsidRPr="001455DC">
        <w:rPr>
          <w:noProof/>
        </w:rPr>
        <w:t>S4 in accordance with EN 20</w:t>
      </w:r>
      <w:r w:rsidRPr="001455DC">
        <w:t xml:space="preserve">6, </w:t>
      </w:r>
      <m:oMath>
        <m:sSub>
          <m:sSubPr>
            <m:ctrlPr>
              <w:rPr>
                <w:rFonts w:ascii="Cambria Math" w:hAnsi="Cambria Math"/>
              </w:rPr>
            </m:ctrlPr>
          </m:sSubPr>
          <m:e>
            <m:r>
              <w:rPr>
                <w:rFonts w:ascii="Cambria Math" w:hAnsi="Cambria Math"/>
              </w:rPr>
              <m:t>κ</m:t>
            </m:r>
          </m:e>
          <m:sub>
            <m:r>
              <m:rPr>
                <m:sty m:val="p"/>
              </m:rPr>
              <w:rPr>
                <w:rFonts w:ascii="Cambria Math" w:hAnsi="Cambria Math"/>
              </w:rPr>
              <m:t>O</m:t>
            </m:r>
          </m:sub>
        </m:sSub>
        <m:r>
          <m:rPr>
            <m:sty m:val="p"/>
          </m:rPr>
          <w:rPr>
            <w:rFonts w:ascii="Cambria Math" w:hAnsi="Cambria Math"/>
          </w:rPr>
          <m:t>=1,0</m:t>
        </m:r>
      </m:oMath>
      <w:r w:rsidRPr="001455DC">
        <w:t xml:space="preserve"> m</w:t>
      </w:r>
      <w:r w:rsidRPr="001455DC">
        <w:rPr>
          <w:noProof/>
        </w:rPr>
        <w:t>ay be used.</w:t>
      </w:r>
    </w:p>
    <w:p w14:paraId="05755121" w14:textId="77777777" w:rsidR="004E22C1" w:rsidRPr="001455DC" w:rsidRDefault="004E22C1" w:rsidP="0009382B">
      <w:pPr>
        <w:pStyle w:val="a7"/>
      </w:pPr>
      <w:r w:rsidRPr="001455DC">
        <w:t>(5)</w:t>
      </w:r>
      <w:r w:rsidRPr="001455DC">
        <w:tab/>
        <w:t xml:space="preserve">More accurate information based on production of SFRC and well-founded theoretical approaches may be used to establish more accurate values for </w:t>
      </w:r>
      <m:oMath>
        <m:sSub>
          <m:sSubPr>
            <m:ctrlPr>
              <w:rPr>
                <w:rFonts w:ascii="Cambria Math" w:hAnsi="Cambria Math"/>
              </w:rPr>
            </m:ctrlPr>
          </m:sSubPr>
          <m:e>
            <m:r>
              <m:rPr>
                <m:sty m:val="p"/>
              </m:rPr>
              <w:rPr>
                <w:rFonts w:ascii="Cambria Math" w:hAnsi="Cambria Math"/>
              </w:rPr>
              <m:t>κ</m:t>
            </m:r>
          </m:e>
          <m:sub>
            <m:r>
              <m:rPr>
                <m:sty m:val="p"/>
              </m:rPr>
              <w:rPr>
                <w:rFonts w:ascii="Cambria Math" w:hAnsi="Cambria Math"/>
              </w:rPr>
              <m:t>O</m:t>
            </m:r>
          </m:sub>
        </m:sSub>
      </m:oMath>
      <w:r w:rsidRPr="001455DC">
        <w:t>.</w:t>
      </w:r>
    </w:p>
    <w:p w14:paraId="00B6038F" w14:textId="7FA73176" w:rsidR="004E22C1" w:rsidRPr="001455DC" w:rsidRDefault="004E22C1" w:rsidP="0009382B">
      <w:pPr>
        <w:pStyle w:val="a7"/>
      </w:pPr>
      <w:r w:rsidRPr="001455DC">
        <w:t>(5)</w:t>
      </w:r>
      <w:r w:rsidRPr="001455DC">
        <w:tab/>
      </w:r>
      <w:r w:rsidRPr="001455DC">
        <w:rPr>
          <w:noProof/>
        </w:rPr>
        <w:t>For self compacting conc</w:t>
      </w:r>
      <w:r w:rsidRPr="001455DC">
        <w:t xml:space="preserve">rete, </w:t>
      </w:r>
      <m:oMath>
        <m:sSub>
          <m:sSubPr>
            <m:ctrlPr>
              <w:rPr>
                <w:rFonts w:ascii="Cambria Math" w:hAnsi="Cambria Math"/>
              </w:rPr>
            </m:ctrlPr>
          </m:sSubPr>
          <m:e>
            <m:r>
              <w:rPr>
                <w:rFonts w:ascii="Cambria Math" w:hAnsi="Cambria Math"/>
              </w:rPr>
              <m:t>κ</m:t>
            </m:r>
          </m:e>
          <m:sub>
            <m:r>
              <m:rPr>
                <m:sty m:val="p"/>
              </m:rPr>
              <w:rPr>
                <w:rFonts w:ascii="Cambria Math" w:hAnsi="Cambria Math"/>
              </w:rPr>
              <m:t>O</m:t>
            </m:r>
          </m:sub>
        </m:sSub>
      </m:oMath>
      <w:r w:rsidRPr="001455DC">
        <w:t xml:space="preserve"> in every d</w:t>
      </w:r>
      <w:r w:rsidRPr="001455DC">
        <w:rPr>
          <w:noProof/>
        </w:rPr>
        <w:t xml:space="preserve">irection should be experimentally determined by using specimens and casting methods representative for the real structure. For design the value of </w:t>
      </w:r>
      <w:r w:rsidRPr="001455DC">
        <w:rPr>
          <w:rStyle w:val="CCMCvariableitalic"/>
        </w:rPr>
        <w:t>κ</w:t>
      </w:r>
      <w:r w:rsidRPr="001455DC">
        <w:rPr>
          <w:rStyle w:val="CCMCvariablesubscript"/>
        </w:rPr>
        <w:t>O</w:t>
      </w:r>
      <w:r w:rsidRPr="001455DC">
        <w:rPr>
          <w:noProof/>
        </w:rPr>
        <w:t xml:space="preserve"> shall not exceed 2,0.</w:t>
      </w:r>
    </w:p>
    <w:p w14:paraId="61B32AA3" w14:textId="33D64515" w:rsidR="004E22C1" w:rsidRPr="001455DC" w:rsidRDefault="004E22C1" w:rsidP="00246C87">
      <w:pPr>
        <w:pStyle w:val="a7"/>
        <w:rPr>
          <w:bCs/>
        </w:rPr>
      </w:pPr>
      <w:r w:rsidRPr="001455DC">
        <w:t>(6)</w:t>
      </w:r>
      <w:r w:rsidRPr="001455DC">
        <w:tab/>
        <w:t xml:space="preserve">Formulae in 5.1.6 may be used for determination of </w:t>
      </w:r>
      <w:r w:rsidRPr="001455DC">
        <w:rPr>
          <w:rStyle w:val="CCMCvariableitalic"/>
        </w:rPr>
        <w:t>η</w:t>
      </w:r>
      <w:r w:rsidRPr="001455DC">
        <w:rPr>
          <w:rStyle w:val="CCMCvariablesubscript"/>
        </w:rPr>
        <w:t>cc</w:t>
      </w:r>
      <w:r w:rsidRPr="001455DC">
        <w:t xml:space="preserve"> unless more accurate values are obtained from testing.</w:t>
      </w:r>
    </w:p>
    <w:p w14:paraId="31779711" w14:textId="38D339C0" w:rsidR="004E22C1" w:rsidRPr="001455DC" w:rsidRDefault="004E22C1" w:rsidP="00243590">
      <w:pPr>
        <w:pStyle w:val="a4"/>
      </w:pPr>
      <w:bookmarkStart w:id="2252" w:name="_Toc52820384"/>
      <w:bookmarkStart w:id="2253" w:name="_Toc54337819"/>
      <w:r w:rsidRPr="001455DC">
        <w:t>Stress-strain relation for structural analysis</w:t>
      </w:r>
      <w:bookmarkEnd w:id="2252"/>
      <w:bookmarkEnd w:id="2253"/>
    </w:p>
    <w:p w14:paraId="53EB4309" w14:textId="27BA62E4" w:rsidR="004E22C1" w:rsidRPr="001455DC" w:rsidRDefault="004E22C1" w:rsidP="00DE6BBC">
      <w:pPr>
        <w:pStyle w:val="a7"/>
        <w:keepNext/>
      </w:pPr>
      <w:r w:rsidRPr="001455DC">
        <w:t>(1)</w:t>
      </w:r>
      <w:r w:rsidRPr="001455DC">
        <w:tab/>
        <w:t>For structural analysis the constitutive law given in Figure L.2 may be used. The parameters should be determined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660B73" w:rsidRPr="001455DC" w14:paraId="6CECBC0A" w14:textId="77777777" w:rsidTr="00EA7C41">
        <w:trPr>
          <w:cantSplit/>
        </w:trPr>
        <w:tc>
          <w:tcPr>
            <w:tcW w:w="8505" w:type="dxa"/>
            <w:vAlign w:val="center"/>
          </w:tcPr>
          <w:p w14:paraId="48481862" w14:textId="7892158E" w:rsidR="00660B73" w:rsidRPr="001455DC" w:rsidRDefault="00231E33" w:rsidP="00EA7C41">
            <w:pPr>
              <w:pStyle w:val="Formula"/>
              <w:jc w:val="left"/>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Ft1,ef</m:t>
                    </m:r>
                  </m:sub>
                </m:sSub>
                <m:r>
                  <w:rPr>
                    <w:rFonts w:ascii="Cambria Math" w:hAnsi="Cambria Math"/>
                  </w:rPr>
                  <m:t>=</m:t>
                </m:r>
                <m:sSub>
                  <m:sSubPr>
                    <m:ctrlPr>
                      <w:rPr>
                        <w:rFonts w:ascii="Cambria Math" w:hAnsi="Cambria Math"/>
                      </w:rPr>
                    </m:ctrlPr>
                  </m:sSubPr>
                  <m:e>
                    <m:r>
                      <w:rPr>
                        <w:rFonts w:ascii="Cambria Math" w:hAnsi="Cambria Math"/>
                      </w:rPr>
                      <m:t>κ</m:t>
                    </m:r>
                  </m:e>
                  <m:sub>
                    <m:r>
                      <m:rPr>
                        <m:sty m:val="p"/>
                      </m:rPr>
                      <w:rPr>
                        <w:rFonts w:ascii="Cambria Math" w:hAnsi="Cambria Math"/>
                      </w:rPr>
                      <m:t>O</m:t>
                    </m:r>
                  </m:sub>
                </m:sSub>
                <m:r>
                  <m:rPr>
                    <m:sty m:val="p"/>
                  </m:rPr>
                  <w:rPr>
                    <w:rFonts w:ascii="Cambria Math" w:hAnsi="Cambria Math"/>
                  </w:rPr>
                  <m:t xml:space="preserve">∙ </m:t>
                </m:r>
                <m:r>
                  <w:rPr>
                    <w:rFonts w:ascii="Cambria Math" w:hAnsi="Cambria Math"/>
                  </w:rPr>
                  <m:t>0,37</m:t>
                </m:r>
                <m:sSub>
                  <m:sSubPr>
                    <m:ctrlPr>
                      <w:rPr>
                        <w:rFonts w:ascii="Cambria Math" w:hAnsi="Cambria Math"/>
                        <w:i/>
                      </w:rPr>
                    </m:ctrlPr>
                  </m:sSubPr>
                  <m:e>
                    <m:r>
                      <w:rPr>
                        <w:rFonts w:ascii="Cambria Math" w:hAnsi="Cambria Math"/>
                      </w:rPr>
                      <m:t>f</m:t>
                    </m:r>
                  </m:e>
                  <m:sub>
                    <m:r>
                      <w:rPr>
                        <w:rFonts w:ascii="Cambria Math" w:hAnsi="Cambria Math"/>
                      </w:rPr>
                      <m:t>R,1k</m:t>
                    </m:r>
                  </m:sub>
                </m:sSub>
              </m:oMath>
            </m:oMathPara>
          </w:p>
        </w:tc>
        <w:tc>
          <w:tcPr>
            <w:tcW w:w="1247" w:type="dxa"/>
            <w:vAlign w:val="center"/>
          </w:tcPr>
          <w:p w14:paraId="10DC426B" w14:textId="3E24F498" w:rsidR="00660B73" w:rsidRPr="001455DC" w:rsidRDefault="00660B73">
            <w:pPr>
              <w:pStyle w:val="a7"/>
              <w:jc w:val="right"/>
            </w:pPr>
            <w:r w:rsidRPr="001455DC">
              <w:t>(L.</w:t>
            </w:r>
            <w:r w:rsidR="00EE510D" w:rsidRPr="001455DC">
              <w:t>4</w:t>
            </w:r>
            <w:r w:rsidRPr="001455DC">
              <w:t>)</w:t>
            </w:r>
          </w:p>
        </w:tc>
      </w:tr>
      <w:tr w:rsidR="00660B73" w:rsidRPr="001455DC" w14:paraId="574AE27D" w14:textId="77777777" w:rsidTr="00EA7C41">
        <w:trPr>
          <w:cantSplit/>
        </w:trPr>
        <w:tc>
          <w:tcPr>
            <w:tcW w:w="8505" w:type="dxa"/>
            <w:vAlign w:val="center"/>
          </w:tcPr>
          <w:p w14:paraId="50F6BC2D" w14:textId="414EA456" w:rsidR="00660B73" w:rsidRPr="001455DC" w:rsidRDefault="00231E33" w:rsidP="00EA7C41">
            <w:pPr>
              <w:pStyle w:val="Formula"/>
              <w:jc w:val="left"/>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Ft3,ef</m:t>
                    </m:r>
                  </m:sub>
                </m:sSub>
                <m:r>
                  <m:rPr>
                    <m:sty m:val="p"/>
                  </m:rPr>
                  <w:rPr>
                    <w:rFonts w:ascii="Cambria Math" w:hAnsi="Cambria Math"/>
                  </w:rPr>
                  <m:t>=</m:t>
                </m:r>
                <m:sSub>
                  <m:sSubPr>
                    <m:ctrlPr>
                      <w:rPr>
                        <w:rFonts w:ascii="Cambria Math" w:hAnsi="Cambria Math"/>
                      </w:rPr>
                    </m:ctrlPr>
                  </m:sSubPr>
                  <m:e>
                    <m:r>
                      <w:rPr>
                        <w:rFonts w:ascii="Cambria Math" w:hAnsi="Cambria Math"/>
                      </w:rPr>
                      <m:t>κ</m:t>
                    </m:r>
                  </m:e>
                  <m:sub>
                    <m:r>
                      <m:rPr>
                        <m:sty m:val="p"/>
                      </m:rPr>
                      <w:rPr>
                        <w:rFonts w:ascii="Cambria Math" w:hAnsi="Cambria Math"/>
                      </w:rPr>
                      <m:t>O</m:t>
                    </m:r>
                  </m:sub>
                </m:sSub>
                <m:r>
                  <w:rPr>
                    <w:rFonts w:ascii="Cambria Math" w:hAnsi="Cambria Math"/>
                  </w:rPr>
                  <m:t>⋅</m:t>
                </m:r>
                <m:d>
                  <m:dPr>
                    <m:ctrlPr>
                      <w:rPr>
                        <w:rFonts w:ascii="Cambria Math" w:hAnsi="Cambria Math"/>
                        <w:i/>
                        <w:iCs/>
                      </w:rPr>
                    </m:ctrlPr>
                  </m:dPr>
                  <m:e>
                    <m:r>
                      <w:rPr>
                        <w:rFonts w:ascii="Cambria Math" w:hAnsi="Cambria Math"/>
                      </w:rPr>
                      <m:t>0,57</m:t>
                    </m:r>
                    <m:sSub>
                      <m:sSubPr>
                        <m:ctrlPr>
                          <w:rPr>
                            <w:rFonts w:ascii="Cambria Math" w:hAnsi="Cambria Math"/>
                            <w:i/>
                          </w:rPr>
                        </m:ctrlPr>
                      </m:sSubPr>
                      <m:e>
                        <m:r>
                          <w:rPr>
                            <w:rFonts w:ascii="Cambria Math" w:hAnsi="Cambria Math"/>
                          </w:rPr>
                          <m:t>f</m:t>
                        </m:r>
                      </m:e>
                      <m:sub>
                        <m:r>
                          <m:rPr>
                            <m:sty m:val="p"/>
                          </m:rPr>
                          <w:rPr>
                            <w:rFonts w:ascii="Cambria Math" w:hAnsi="Cambria Math"/>
                          </w:rPr>
                          <m:t>R,3k</m:t>
                        </m:r>
                      </m:sub>
                    </m:sSub>
                    <m:r>
                      <w:rPr>
                        <w:rFonts w:ascii="Cambria Math" w:hAnsi="Cambria Math"/>
                      </w:rPr>
                      <m:t xml:space="preserve">-0,26 </m:t>
                    </m:r>
                    <m:sSub>
                      <m:sSubPr>
                        <m:ctrlPr>
                          <w:rPr>
                            <w:rFonts w:ascii="Cambria Math" w:hAnsi="Cambria Math"/>
                            <w:i/>
                          </w:rPr>
                        </m:ctrlPr>
                      </m:sSubPr>
                      <m:e>
                        <m:r>
                          <w:rPr>
                            <w:rFonts w:ascii="Cambria Math" w:hAnsi="Cambria Math"/>
                          </w:rPr>
                          <m:t>f</m:t>
                        </m:r>
                      </m:e>
                      <m:sub>
                        <m:r>
                          <m:rPr>
                            <m:sty m:val="p"/>
                          </m:rPr>
                          <w:rPr>
                            <w:rFonts w:ascii="Cambria Math" w:hAnsi="Cambria Math"/>
                          </w:rPr>
                          <m:t>R,1k</m:t>
                        </m:r>
                      </m:sub>
                    </m:sSub>
                  </m:e>
                </m:d>
              </m:oMath>
            </m:oMathPara>
          </w:p>
        </w:tc>
        <w:tc>
          <w:tcPr>
            <w:tcW w:w="1247" w:type="dxa"/>
            <w:vAlign w:val="center"/>
          </w:tcPr>
          <w:p w14:paraId="249DDD98" w14:textId="2AC84D60" w:rsidR="00660B73" w:rsidRPr="001455DC" w:rsidRDefault="00660B73" w:rsidP="00EA7C41">
            <w:pPr>
              <w:pStyle w:val="a7"/>
              <w:jc w:val="right"/>
            </w:pPr>
            <w:r w:rsidRPr="001455DC">
              <w:t>(L.</w:t>
            </w:r>
            <w:r w:rsidR="00EE510D" w:rsidRPr="001455DC">
              <w:t>5</w:t>
            </w:r>
            <w:r w:rsidRPr="001455DC">
              <w:t>)</w:t>
            </w:r>
          </w:p>
        </w:tc>
      </w:tr>
      <w:tr w:rsidR="00660B73" w:rsidRPr="001455DC" w14:paraId="62C0E169" w14:textId="77777777" w:rsidTr="00EA7C41">
        <w:trPr>
          <w:cantSplit/>
        </w:trPr>
        <w:tc>
          <w:tcPr>
            <w:tcW w:w="8505" w:type="dxa"/>
            <w:vAlign w:val="center"/>
          </w:tcPr>
          <w:p w14:paraId="6EDFC02E" w14:textId="03CA497A" w:rsidR="00660B73" w:rsidRPr="001455DC" w:rsidRDefault="00231E33" w:rsidP="00EA7C41">
            <w:pPr>
              <w:pStyle w:val="Formula"/>
              <w:jc w:val="left"/>
            </w:pPr>
            <m:oMathPara>
              <m:oMathParaPr>
                <m:jc m:val="left"/>
              </m:oMathParaPr>
              <m:oMath>
                <m:sSub>
                  <m:sSubPr>
                    <m:ctrlPr>
                      <w:rPr>
                        <w:rFonts w:ascii="Cambria Math" w:hAnsi="Cambria Math"/>
                      </w:rPr>
                    </m:ctrlPr>
                  </m:sSubPr>
                  <m:e>
                    <m:r>
                      <w:rPr>
                        <w:rFonts w:ascii="Cambria Math" w:hAnsi="Cambria Math"/>
                      </w:rPr>
                      <m:t>ε</m:t>
                    </m:r>
                  </m:e>
                  <m:sub>
                    <m:r>
                      <m:rPr>
                        <m:sty m:val="p"/>
                      </m:rPr>
                      <w:rPr>
                        <w:rFonts w:ascii="Cambria Math" w:hAnsi="Cambria Math"/>
                      </w:rPr>
                      <m:t>Ftu</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w</m:t>
                        </m:r>
                      </m:e>
                      <m:sub>
                        <m:r>
                          <m:rPr>
                            <m:sty m:val="p"/>
                          </m:rPr>
                          <w:rPr>
                            <w:rFonts w:ascii="Cambria Math" w:hAnsi="Cambria Math"/>
                          </w:rPr>
                          <m:t>u</m:t>
                        </m:r>
                      </m:sub>
                    </m:sSub>
                  </m:num>
                  <m:den>
                    <m:sSub>
                      <m:sSubPr>
                        <m:ctrlPr>
                          <w:rPr>
                            <w:rFonts w:ascii="Cambria Math" w:hAnsi="Cambria Math"/>
                          </w:rPr>
                        </m:ctrlPr>
                      </m:sSubPr>
                      <m:e>
                        <m:r>
                          <w:rPr>
                            <w:rFonts w:ascii="Cambria Math" w:hAnsi="Cambria Math"/>
                          </w:rPr>
                          <m:t>l</m:t>
                        </m:r>
                      </m:e>
                      <m:sub>
                        <m:r>
                          <m:rPr>
                            <m:sty m:val="p"/>
                          </m:rPr>
                          <w:rPr>
                            <w:rFonts w:ascii="Cambria Math" w:hAnsi="Cambria Math"/>
                          </w:rPr>
                          <m:t>cs</m:t>
                        </m:r>
                      </m:sub>
                    </m:sSub>
                  </m:den>
                </m:f>
                <m:r>
                  <m:rPr>
                    <m:sty m:val="p"/>
                  </m:rPr>
                  <w:rPr>
                    <w:rFonts w:ascii="Cambria Math" w:hAnsi="Cambria Math"/>
                  </w:rPr>
                  <m:t>≤</m:t>
                </m:r>
                <m:f>
                  <m:fPr>
                    <m:type m:val="lin"/>
                    <m:ctrlPr>
                      <w:rPr>
                        <w:rFonts w:ascii="Cambria Math" w:hAnsi="Cambria Math"/>
                      </w:rPr>
                    </m:ctrlPr>
                  </m:fPr>
                  <m:num>
                    <m:r>
                      <m:rPr>
                        <m:sty m:val="p"/>
                      </m:rPr>
                      <w:rPr>
                        <w:rFonts w:ascii="Cambria Math" w:hAnsi="Cambria Math"/>
                      </w:rPr>
                      <m:t>2,5 mm</m:t>
                    </m:r>
                  </m:num>
                  <m:den>
                    <m:sSub>
                      <m:sSubPr>
                        <m:ctrlPr>
                          <w:rPr>
                            <w:rFonts w:ascii="Cambria Math" w:hAnsi="Cambria Math"/>
                            <w:iCs/>
                          </w:rPr>
                        </m:ctrlPr>
                      </m:sSubPr>
                      <m:e>
                        <m:r>
                          <w:rPr>
                            <w:rFonts w:ascii="Cambria Math" w:hAnsi="Cambria Math"/>
                          </w:rPr>
                          <m:t>l</m:t>
                        </m:r>
                      </m:e>
                      <m:sub>
                        <m:r>
                          <m:rPr>
                            <m:sty m:val="p"/>
                          </m:rPr>
                          <w:rPr>
                            <w:rFonts w:ascii="Cambria Math" w:hAnsi="Cambria Math"/>
                          </w:rPr>
                          <m:t>cs</m:t>
                        </m:r>
                      </m:sub>
                    </m:sSub>
                  </m:den>
                </m:f>
                <m:r>
                  <m:rPr>
                    <m:sty m:val="p"/>
                  </m:rPr>
                  <w:rPr>
                    <w:rFonts w:ascii="Cambria Math" w:hAnsi="Cambria Math"/>
                  </w:rPr>
                  <m:t>≤</m:t>
                </m:r>
                <m:sSub>
                  <m:sSubPr>
                    <m:ctrlPr>
                      <w:rPr>
                        <w:rFonts w:ascii="Cambria Math" w:hAnsi="Cambria Math"/>
                      </w:rPr>
                    </m:ctrlPr>
                  </m:sSubPr>
                  <m:e>
                    <m:r>
                      <w:rPr>
                        <w:rFonts w:ascii="Cambria Math" w:hAnsi="Cambria Math"/>
                      </w:rPr>
                      <m:t>ε</m:t>
                    </m:r>
                  </m:e>
                  <m:sub>
                    <m:r>
                      <m:rPr>
                        <m:sty m:val="p"/>
                      </m:rPr>
                      <w:rPr>
                        <w:rFonts w:ascii="Cambria Math" w:hAnsi="Cambria Math"/>
                      </w:rPr>
                      <m:t>Ftud</m:t>
                    </m:r>
                  </m:sub>
                </m:sSub>
              </m:oMath>
            </m:oMathPara>
          </w:p>
        </w:tc>
        <w:tc>
          <w:tcPr>
            <w:tcW w:w="1247" w:type="dxa"/>
            <w:vAlign w:val="center"/>
          </w:tcPr>
          <w:p w14:paraId="18DC9EB2" w14:textId="614D33C4" w:rsidR="00660B73" w:rsidRPr="001455DC" w:rsidRDefault="00660B73" w:rsidP="00EA7C41">
            <w:pPr>
              <w:pStyle w:val="a7"/>
              <w:jc w:val="right"/>
            </w:pPr>
            <w:r w:rsidRPr="001455DC">
              <w:t>(L.</w:t>
            </w:r>
            <w:r w:rsidR="00EE510D" w:rsidRPr="001455DC">
              <w:t>6</w:t>
            </w:r>
            <w:r w:rsidRPr="001455DC">
              <w:t>)</w:t>
            </w:r>
          </w:p>
        </w:tc>
      </w:tr>
      <w:tr w:rsidR="00660B73" w:rsidRPr="001455DC" w14:paraId="0EEB441D" w14:textId="77777777" w:rsidTr="00EA7C41">
        <w:trPr>
          <w:cantSplit/>
        </w:trPr>
        <w:tc>
          <w:tcPr>
            <w:tcW w:w="8505" w:type="dxa"/>
            <w:vAlign w:val="center"/>
          </w:tcPr>
          <w:p w14:paraId="1C9475AE" w14:textId="4164994D" w:rsidR="00660B73" w:rsidRPr="001455DC" w:rsidRDefault="00660B73" w:rsidP="00EA7C41">
            <w:pPr>
              <w:pStyle w:val="Formula"/>
              <w:jc w:val="left"/>
            </w:pPr>
            <w:r w:rsidRPr="001455DC">
              <w:rPr>
                <w:rStyle w:val="CCMCvariableitalic"/>
              </w:rPr>
              <w:t>l</w:t>
            </w:r>
            <w:r w:rsidRPr="001455DC">
              <w:rPr>
                <w:rStyle w:val="CCMCvariablesubscript"/>
              </w:rPr>
              <w:t>cs</w:t>
            </w:r>
            <w:r w:rsidRPr="001455DC">
              <w:t> </w:t>
            </w:r>
            <w:r w:rsidR="00EC27D2" w:rsidRPr="001455DC">
              <w:rPr>
                <w:rFonts w:ascii="Cambria Math" w:hAnsi="Cambria Math"/>
              </w:rPr>
              <w:t>=</w:t>
            </w:r>
            <w:r w:rsidRPr="001455DC">
              <w:t> </w:t>
            </w:r>
            <w:r w:rsidRPr="001455DC">
              <w:rPr>
                <w:iCs/>
              </w:rPr>
              <w:t>min {</w:t>
            </w:r>
            <w:r w:rsidRPr="001455DC">
              <w:rPr>
                <w:rStyle w:val="CCMCvariableitalic"/>
              </w:rPr>
              <w:t>h</w:t>
            </w:r>
            <w:r w:rsidRPr="001455DC">
              <w:rPr>
                <w:iCs/>
              </w:rPr>
              <w:t xml:space="preserve">; </w:t>
            </w:r>
            <w:r w:rsidRPr="001455DC">
              <w:rPr>
                <w:rStyle w:val="CCMCvariableitalic"/>
              </w:rPr>
              <w:t>s</w:t>
            </w:r>
            <w:r w:rsidRPr="001455DC">
              <w:rPr>
                <w:rStyle w:val="CCMCvariablesubscript"/>
              </w:rPr>
              <w:t>rm</w:t>
            </w:r>
            <w:r w:rsidRPr="001455DC">
              <w:rPr>
                <w:iCs/>
              </w:rPr>
              <w:t>}</w:t>
            </w:r>
          </w:p>
        </w:tc>
        <w:tc>
          <w:tcPr>
            <w:tcW w:w="1247" w:type="dxa"/>
            <w:vAlign w:val="center"/>
          </w:tcPr>
          <w:p w14:paraId="06734358" w14:textId="69C7C283" w:rsidR="00660B73" w:rsidRPr="001455DC" w:rsidRDefault="00660B73">
            <w:pPr>
              <w:pStyle w:val="a7"/>
              <w:jc w:val="right"/>
            </w:pPr>
            <w:r w:rsidRPr="001455DC">
              <w:t>(L.</w:t>
            </w:r>
            <w:r w:rsidR="00EE510D" w:rsidRPr="001455DC">
              <w:t>7</w:t>
            </w:r>
            <w:r w:rsidRPr="001455DC">
              <w:t>)</w:t>
            </w:r>
          </w:p>
        </w:tc>
      </w:tr>
      <w:tr w:rsidR="00660B73" w:rsidRPr="001455DC" w14:paraId="13D8DA23" w14:textId="77777777" w:rsidTr="00EA7C41">
        <w:trPr>
          <w:cantSplit/>
        </w:trPr>
        <w:tc>
          <w:tcPr>
            <w:tcW w:w="8505" w:type="dxa"/>
            <w:vAlign w:val="center"/>
          </w:tcPr>
          <w:p w14:paraId="72A0C866" w14:textId="2F7E1367" w:rsidR="00660B73" w:rsidRPr="001455DC" w:rsidRDefault="00660B73">
            <w:pPr>
              <w:pStyle w:val="Formula"/>
              <w:jc w:val="left"/>
            </w:pPr>
            <w:r w:rsidRPr="001455DC">
              <w:rPr>
                <w:rStyle w:val="CCMCvariableitalic"/>
              </w:rPr>
              <w:t>s</w:t>
            </w:r>
            <w:r w:rsidRPr="001455DC">
              <w:rPr>
                <w:rStyle w:val="CCMCvariablesubscript"/>
              </w:rPr>
              <w:t>rm</w:t>
            </w:r>
            <w:r w:rsidRPr="001455DC">
              <w:t> </w:t>
            </w:r>
            <w:r w:rsidR="00EC27D2" w:rsidRPr="001455DC">
              <w:rPr>
                <w:rFonts w:ascii="Cambria Math" w:hAnsi="Cambria Math"/>
              </w:rPr>
              <w:t>=</w:t>
            </w:r>
            <w:r w:rsidRPr="001455DC">
              <w:t> </w:t>
            </w:r>
            <w:r w:rsidRPr="001455DC">
              <w:rPr>
                <w:iCs/>
              </w:rPr>
              <w:t>0,75 ∙</w:t>
            </w:r>
            <w:r w:rsidRPr="001455DC">
              <w:t xml:space="preserve"> </w:t>
            </w:r>
            <w:r w:rsidRPr="001455DC">
              <w:rPr>
                <w:rStyle w:val="CCMCvariableitalic"/>
              </w:rPr>
              <w:t>s</w:t>
            </w:r>
            <w:r w:rsidRPr="001455DC">
              <w:rPr>
                <w:rStyle w:val="CCMCvariablesubscript"/>
              </w:rPr>
              <w:t>r,max,cal</w:t>
            </w:r>
            <w:r w:rsidRPr="001455DC">
              <w:rPr>
                <w:iCs/>
              </w:rPr>
              <w:t xml:space="preserve"> (</w:t>
            </w:r>
            <w:r w:rsidRPr="001455DC">
              <w:rPr>
                <w:rStyle w:val="CCMCvariableitalic"/>
              </w:rPr>
              <w:t>s</w:t>
            </w:r>
            <w:r w:rsidRPr="001455DC">
              <w:rPr>
                <w:rStyle w:val="CCMCvariablesubscript"/>
              </w:rPr>
              <w:t>r,max,cal</w:t>
            </w:r>
            <w:r w:rsidRPr="001455DC">
              <w:rPr>
                <w:iCs/>
              </w:rPr>
              <w:t xml:space="preserve"> </w:t>
            </w:r>
            <w:r w:rsidRPr="001455DC">
              <w:t>according to L.9.</w:t>
            </w:r>
            <w:r w:rsidR="00A261AC" w:rsidRPr="001455DC">
              <w:t>3</w:t>
            </w:r>
            <w:r w:rsidRPr="001455DC">
              <w:t>).</w:t>
            </w:r>
          </w:p>
        </w:tc>
        <w:tc>
          <w:tcPr>
            <w:tcW w:w="1247" w:type="dxa"/>
            <w:vAlign w:val="center"/>
          </w:tcPr>
          <w:p w14:paraId="1D34F648" w14:textId="12BB1AE8" w:rsidR="00660B73" w:rsidRPr="001455DC" w:rsidRDefault="00660B73" w:rsidP="00EA7C41">
            <w:pPr>
              <w:pStyle w:val="a7"/>
              <w:jc w:val="right"/>
            </w:pPr>
            <w:r w:rsidRPr="001455DC">
              <w:t>(L.</w:t>
            </w:r>
            <w:r w:rsidR="00EE510D" w:rsidRPr="001455DC">
              <w:t>8</w:t>
            </w:r>
            <w:r w:rsidRPr="001455DC">
              <w:t>)</w:t>
            </w:r>
          </w:p>
        </w:tc>
      </w:tr>
      <w:tr w:rsidR="00660B73" w:rsidRPr="001455DC" w14:paraId="018FD1B7" w14:textId="77777777" w:rsidTr="00EA7C41">
        <w:trPr>
          <w:cantSplit/>
        </w:trPr>
        <w:tc>
          <w:tcPr>
            <w:tcW w:w="8505" w:type="dxa"/>
            <w:vAlign w:val="center"/>
          </w:tcPr>
          <w:p w14:paraId="01352A1D" w14:textId="4DD84C22" w:rsidR="00660B73" w:rsidRPr="001455DC" w:rsidRDefault="00231E33" w:rsidP="00EA7C41">
            <w:pPr>
              <w:pStyle w:val="Formula"/>
              <w:jc w:val="left"/>
            </w:pPr>
            <m:oMathPara>
              <m:oMathParaPr>
                <m:jc m:val="left"/>
              </m:oMathParaPr>
              <m:oMath>
                <m:sSub>
                  <m:sSubPr>
                    <m:ctrlPr>
                      <w:rPr>
                        <w:rFonts w:ascii="Cambria Math" w:hAnsi="Cambria Math"/>
                      </w:rPr>
                    </m:ctrlPr>
                  </m:sSubPr>
                  <m:e>
                    <m:r>
                      <w:rPr>
                        <w:rFonts w:ascii="Cambria Math" w:hAnsi="Cambria Math"/>
                      </w:rPr>
                      <m:t>ε</m:t>
                    </m:r>
                  </m:e>
                  <m:sub>
                    <m:r>
                      <m:rPr>
                        <m:sty m:val="p"/>
                      </m:rPr>
                      <w:rPr>
                        <w:rFonts w:ascii="Cambria Math" w:hAnsi="Cambria Math"/>
                      </w:rPr>
                      <m:t>ctm</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ctm</m:t>
                        </m:r>
                      </m:sub>
                    </m:sSub>
                  </m:num>
                  <m:den>
                    <m:sSub>
                      <m:sSubPr>
                        <m:ctrlPr>
                          <w:rPr>
                            <w:rFonts w:ascii="Cambria Math" w:hAnsi="Cambria Math"/>
                          </w:rPr>
                        </m:ctrlPr>
                      </m:sSubPr>
                      <m:e>
                        <m:r>
                          <w:rPr>
                            <w:rFonts w:ascii="Cambria Math" w:hAnsi="Cambria Math"/>
                          </w:rPr>
                          <m:t>E</m:t>
                        </m:r>
                      </m:e>
                      <m:sub>
                        <m:r>
                          <m:rPr>
                            <m:sty m:val="p"/>
                          </m:rPr>
                          <w:rPr>
                            <w:rFonts w:ascii="Cambria Math" w:hAnsi="Cambria Math"/>
                          </w:rPr>
                          <m:t>cm</m:t>
                        </m:r>
                      </m:sub>
                    </m:sSub>
                  </m:den>
                </m:f>
                <m:r>
                  <m:rPr>
                    <m:sty m:val="p"/>
                  </m:rPr>
                  <w:rPr>
                    <w:rFonts w:ascii="Cambria Math" w:hAnsi="Cambria Math"/>
                  </w:rPr>
                  <m:t>and</m:t>
                </m:r>
                <m:r>
                  <m:rPr>
                    <m:sty m:val="p"/>
                  </m:rPr>
                  <w:rPr>
                    <w:rFonts w:ascii="Cambria Math"/>
                  </w:rPr>
                  <m:t xml:space="preserve"> </m:t>
                </m:r>
                <m:sSub>
                  <m:sSubPr>
                    <m:ctrlPr>
                      <w:rPr>
                        <w:rFonts w:ascii="Cambria Math" w:hAnsi="Cambria Math"/>
                      </w:rPr>
                    </m:ctrlPr>
                  </m:sSubPr>
                  <m:e>
                    <m:r>
                      <w:rPr>
                        <w:rFonts w:ascii="Cambria Math" w:hAnsi="Cambria Math"/>
                      </w:rPr>
                      <m:t>ε</m:t>
                    </m:r>
                  </m:e>
                  <m:sub>
                    <m:r>
                      <m:rPr>
                        <m:sty m:val="p"/>
                      </m:rPr>
                      <w:rPr>
                        <w:rFonts w:ascii="Cambria Math" w:hAnsi="Cambria Math"/>
                      </w:rPr>
                      <m:t>F,0</m:t>
                    </m:r>
                  </m:sub>
                </m:sSub>
                <m:r>
                  <m:rPr>
                    <m:sty m:val="p"/>
                  </m:rPr>
                  <w:rPr>
                    <w:rFonts w:ascii="Cambria Math" w:hAnsi="Cambria Math"/>
                  </w:rPr>
                  <m:t>=2∙</m:t>
                </m:r>
                <m:sSub>
                  <m:sSubPr>
                    <m:ctrlPr>
                      <w:rPr>
                        <w:rFonts w:ascii="Cambria Math" w:hAnsi="Cambria Math"/>
                      </w:rPr>
                    </m:ctrlPr>
                  </m:sSubPr>
                  <m:e>
                    <m:r>
                      <w:rPr>
                        <w:rFonts w:ascii="Cambria Math" w:hAnsi="Cambria Math"/>
                      </w:rPr>
                      <m:t>ε</m:t>
                    </m:r>
                  </m:e>
                  <m:sub>
                    <m:r>
                      <m:rPr>
                        <m:sty m:val="p"/>
                      </m:rPr>
                      <w:rPr>
                        <w:rFonts w:ascii="Cambria Math" w:hAnsi="Cambria Math"/>
                      </w:rPr>
                      <m:t>ctm</m:t>
                    </m:r>
                  </m:sub>
                </m:sSub>
              </m:oMath>
            </m:oMathPara>
          </w:p>
        </w:tc>
        <w:tc>
          <w:tcPr>
            <w:tcW w:w="1247" w:type="dxa"/>
            <w:vAlign w:val="center"/>
          </w:tcPr>
          <w:p w14:paraId="6F9D5341" w14:textId="2F03EA82" w:rsidR="00660B73" w:rsidRPr="001455DC" w:rsidRDefault="00660B73">
            <w:pPr>
              <w:pStyle w:val="a7"/>
              <w:jc w:val="right"/>
            </w:pPr>
            <w:r w:rsidRPr="001455DC">
              <w:t>(L.</w:t>
            </w:r>
            <w:r w:rsidR="00EE510D" w:rsidRPr="001455DC">
              <w:t>9</w:t>
            </w:r>
            <w:r w:rsidRPr="001455DC">
              <w:t>)</w:t>
            </w:r>
          </w:p>
        </w:tc>
      </w:tr>
    </w:tbl>
    <w:p w14:paraId="65F4097B" w14:textId="0724194A" w:rsidR="004E22C1" w:rsidRPr="001455DC" w:rsidRDefault="004E22C1" w:rsidP="00660B73">
      <w:pPr>
        <w:pStyle w:val="a7"/>
      </w:pPr>
      <w:r w:rsidRPr="001455DC">
        <w:t xml:space="preserve">As a simplification a constant value of </w:t>
      </w:r>
      <w:r w:rsidRPr="001455DC">
        <w:rPr>
          <w:rStyle w:val="CCMCvariableitalic"/>
        </w:rPr>
        <w:t>l</w:t>
      </w:r>
      <w:r w:rsidRPr="001455DC">
        <w:rPr>
          <w:rStyle w:val="CCMCvariablesubscript"/>
        </w:rPr>
        <w:t>cs</w:t>
      </w:r>
      <w:r w:rsidRPr="001455DC">
        <w:t> </w:t>
      </w:r>
      <w:r w:rsidR="00EC27D2" w:rsidRPr="001455DC">
        <w:rPr>
          <w:rFonts w:ascii="Cambria Math" w:hAnsi="Cambria Math"/>
        </w:rPr>
        <w:t>=</w:t>
      </w:r>
      <w:r w:rsidRPr="001455DC">
        <w:t> 125 mm may be used.</w:t>
      </w:r>
    </w:p>
    <w:p w14:paraId="5E1C9CA8" w14:textId="1A7E8716" w:rsidR="004E22C1" w:rsidRPr="001455DC" w:rsidRDefault="004E22C1" w:rsidP="00246C87">
      <w:pPr>
        <w:pStyle w:val="Note"/>
      </w:pPr>
      <w:r w:rsidRPr="001455DC">
        <w:rPr>
          <w:bCs/>
        </w:rPr>
        <w:t>NOTE 1</w:t>
      </w:r>
      <w:r w:rsidRPr="001455DC">
        <w:rPr>
          <w:bCs/>
        </w:rPr>
        <w:tab/>
      </w:r>
      <w:r w:rsidRPr="001455DC">
        <w:t xml:space="preserve">The value of </w:t>
      </w:r>
      <m:oMath>
        <m:sSub>
          <m:sSubPr>
            <m:ctrlPr>
              <w:rPr>
                <w:rFonts w:ascii="Cambria Math" w:hAnsi="Cambria Math"/>
              </w:rPr>
            </m:ctrlPr>
          </m:sSubPr>
          <m:e>
            <m:r>
              <w:rPr>
                <w:rFonts w:ascii="Cambria Math" w:hAnsi="Cambria Math"/>
              </w:rPr>
              <m:t>ε</m:t>
            </m:r>
          </m:e>
          <m:sub>
            <m:r>
              <m:rPr>
                <m:sty m:val="p"/>
              </m:rPr>
              <w:rPr>
                <w:rFonts w:ascii="Cambria Math" w:hAnsi="Cambria Math"/>
              </w:rPr>
              <m:t>Ftud</m:t>
            </m:r>
          </m:sub>
        </m:sSub>
      </m:oMath>
      <w:r w:rsidRPr="001455DC">
        <w:t xml:space="preserve"> is 0,02 unless a National Annex gives a different value.</w:t>
      </w:r>
    </w:p>
    <w:p w14:paraId="0AB2C53B" w14:textId="444847DB" w:rsidR="004E22C1" w:rsidRPr="001455DC" w:rsidRDefault="004E22C1" w:rsidP="00246C87">
      <w:pPr>
        <w:pStyle w:val="Note"/>
      </w:pPr>
      <w:r w:rsidRPr="001455DC">
        <w:t>NOTE 2</w:t>
      </w:r>
      <w:r w:rsidRPr="001455DC">
        <w:tab/>
        <w:t>Simplified stress distributions in cross sections used to determine the resistance to bending with axial force at the ultimate limit states are provided in L.8.1.</w:t>
      </w:r>
    </w:p>
    <w:p w14:paraId="07452701" w14:textId="1751DEE7" w:rsidR="004E22C1" w:rsidRPr="001455DC" w:rsidRDefault="004E22C1" w:rsidP="00DE6BBC">
      <w:pPr>
        <w:pStyle w:val="a7"/>
        <w:keepNext/>
      </w:pPr>
      <w:r w:rsidRPr="001455DC">
        <w:t>(2)</w:t>
      </w:r>
      <w:r w:rsidRPr="001455DC">
        <w:tab/>
        <w:t xml:space="preserve">The relation between </w:t>
      </w:r>
      <w:r w:rsidRPr="001455DC">
        <w:rPr>
          <w:rStyle w:val="CCMCvariableitalic"/>
        </w:rPr>
        <w:t>σ</w:t>
      </w:r>
      <w:r w:rsidRPr="001455DC">
        <w:rPr>
          <w:rStyle w:val="CCMCvariablesubscript"/>
        </w:rPr>
        <w:t>c</w:t>
      </w:r>
      <w:r w:rsidRPr="001455DC">
        <w:t xml:space="preserve"> and </w:t>
      </w:r>
      <w:r w:rsidRPr="001455DC">
        <w:rPr>
          <w:rStyle w:val="CCMCvariableitalic"/>
        </w:rPr>
        <w:t>ε</w:t>
      </w:r>
      <w:r w:rsidRPr="001455DC">
        <w:rPr>
          <w:rStyle w:val="CCMCvariablesubscript"/>
        </w:rPr>
        <w:t>c</w:t>
      </w:r>
      <w:r w:rsidRPr="001455DC">
        <w:t xml:space="preserve"> in compression in Formula (5.6) may be modified:</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660B73" w:rsidRPr="001455DC" w14:paraId="6D69001E" w14:textId="77777777" w:rsidTr="00EA7C41">
        <w:trPr>
          <w:cantSplit/>
        </w:trPr>
        <w:tc>
          <w:tcPr>
            <w:tcW w:w="8505" w:type="dxa"/>
            <w:vAlign w:val="center"/>
          </w:tcPr>
          <w:p w14:paraId="4BC02707" w14:textId="3B2F2DD9" w:rsidR="00660B73" w:rsidRPr="001455DC" w:rsidRDefault="00660B73" w:rsidP="00EA7C41">
            <w:pPr>
              <w:pStyle w:val="Formula"/>
              <w:jc w:val="left"/>
            </w:pPr>
            <w:r w:rsidRPr="001455DC">
              <w:rPr>
                <w:rStyle w:val="CCMCvariableitalic"/>
              </w:rPr>
              <w:t>ε</w:t>
            </w:r>
            <w:r w:rsidRPr="001455DC">
              <w:rPr>
                <w:rStyle w:val="CCMCvariablesubscript"/>
              </w:rPr>
              <w:t>c1</w:t>
            </w:r>
            <w:r w:rsidRPr="001455DC">
              <w:t> </w:t>
            </w:r>
            <w:r w:rsidR="00EC27D2" w:rsidRPr="001455DC">
              <w:rPr>
                <w:rFonts w:ascii="Cambria Math" w:hAnsi="Cambria Math"/>
              </w:rPr>
              <w:t>=</w:t>
            </w:r>
            <w:r w:rsidRPr="001455DC">
              <w:t xml:space="preserve"> 0,7 </w:t>
            </w:r>
            <w:r w:rsidRPr="001455DC">
              <w:rPr>
                <w:rStyle w:val="CCMCvariableitalic"/>
              </w:rPr>
              <w:t>f</w:t>
            </w:r>
            <w:r w:rsidRPr="001455DC">
              <w:rPr>
                <w:rStyle w:val="CCMCvariablesubscript"/>
              </w:rPr>
              <w:t>cm</w:t>
            </w:r>
            <w:r w:rsidRPr="001455DC">
              <w:rPr>
                <w:rStyle w:val="CCMCvariablesuperscript"/>
              </w:rPr>
              <w:t>1/3</w:t>
            </w:r>
            <w:r w:rsidRPr="001455DC">
              <w:t xml:space="preserve"> (1</w:t>
            </w:r>
            <w:r w:rsidR="00EC27D2" w:rsidRPr="001455DC">
              <w:rPr>
                <w:rFonts w:ascii="Cambria Math" w:hAnsi="Cambria Math"/>
              </w:rPr>
              <w:t> + </w:t>
            </w:r>
            <w:r w:rsidRPr="001455DC">
              <w:t xml:space="preserve">0,03 </w:t>
            </w:r>
            <w:r w:rsidRPr="001455DC">
              <w:rPr>
                <w:rStyle w:val="CCMCvariableitalic"/>
              </w:rPr>
              <w:t>f</w:t>
            </w:r>
            <w:r w:rsidRPr="001455DC">
              <w:rPr>
                <w:rStyle w:val="CCMCvariablesubscript"/>
              </w:rPr>
              <w:t>R1,k</w:t>
            </w:r>
            <w:r w:rsidRPr="001455DC">
              <w:t>)</w:t>
            </w:r>
          </w:p>
        </w:tc>
        <w:tc>
          <w:tcPr>
            <w:tcW w:w="1247" w:type="dxa"/>
            <w:vAlign w:val="center"/>
          </w:tcPr>
          <w:p w14:paraId="25A6070B" w14:textId="23F9731A" w:rsidR="00660B73" w:rsidRPr="001455DC" w:rsidRDefault="00660B73">
            <w:pPr>
              <w:pStyle w:val="a7"/>
              <w:jc w:val="right"/>
            </w:pPr>
            <w:r w:rsidRPr="001455DC">
              <w:t>(L.</w:t>
            </w:r>
            <w:r w:rsidR="00EE510D" w:rsidRPr="001455DC">
              <w:t>10</w:t>
            </w:r>
            <w:r w:rsidRPr="001455DC">
              <w:t>)</w:t>
            </w:r>
          </w:p>
        </w:tc>
      </w:tr>
      <w:tr w:rsidR="00660B73" w:rsidRPr="001455DC" w14:paraId="2875B4BB" w14:textId="77777777" w:rsidTr="00EA7C41">
        <w:trPr>
          <w:cantSplit/>
        </w:trPr>
        <w:tc>
          <w:tcPr>
            <w:tcW w:w="8505" w:type="dxa"/>
            <w:vAlign w:val="center"/>
          </w:tcPr>
          <w:p w14:paraId="703677E8" w14:textId="5C972DDA" w:rsidR="00660B73" w:rsidRPr="001455DC" w:rsidRDefault="00660B73" w:rsidP="00EA7C41">
            <w:pPr>
              <w:pStyle w:val="Formula"/>
              <w:jc w:val="left"/>
            </w:pPr>
            <w:r w:rsidRPr="001455DC">
              <w:rPr>
                <w:rStyle w:val="CCMCvariableitalic"/>
              </w:rPr>
              <w:t>ε</w:t>
            </w:r>
            <w:r w:rsidRPr="001455DC">
              <w:rPr>
                <w:rStyle w:val="CCMCvariablesubscript"/>
              </w:rPr>
              <w:t>cu1</w:t>
            </w:r>
            <w:r w:rsidRPr="001455DC">
              <w:t> </w:t>
            </w:r>
            <w:r w:rsidR="00EC27D2" w:rsidRPr="001455DC">
              <w:rPr>
                <w:rFonts w:ascii="Cambria Math" w:hAnsi="Cambria Math"/>
              </w:rPr>
              <w:t>=</w:t>
            </w:r>
            <w:r w:rsidRPr="001455DC">
              <w:t> </w:t>
            </w:r>
            <w:r w:rsidRPr="001455DC">
              <w:rPr>
                <w:rStyle w:val="CCMCvariableitalic"/>
              </w:rPr>
              <w:t>k</w:t>
            </w:r>
            <w:r w:rsidRPr="001455DC">
              <w:t> </w:t>
            </w:r>
            <w:r w:rsidRPr="001455DC">
              <w:rPr>
                <w:rFonts w:ascii="Cambria Math" w:hAnsi="Cambria Math" w:cs="Cambria Math"/>
              </w:rPr>
              <w:t>⋅</w:t>
            </w:r>
            <w:r w:rsidRPr="001455DC">
              <w:t> </w:t>
            </w:r>
            <w:r w:rsidRPr="001455DC">
              <w:rPr>
                <w:rStyle w:val="CCMCvariableitalic"/>
              </w:rPr>
              <w:t>ε</w:t>
            </w:r>
            <w:r w:rsidRPr="001455DC">
              <w:rPr>
                <w:rStyle w:val="CCMCvariablesubscript"/>
              </w:rPr>
              <w:t>c1</w:t>
            </w:r>
          </w:p>
        </w:tc>
        <w:tc>
          <w:tcPr>
            <w:tcW w:w="1247" w:type="dxa"/>
            <w:vAlign w:val="center"/>
          </w:tcPr>
          <w:p w14:paraId="74A2E69B" w14:textId="33C17E6B" w:rsidR="00660B73" w:rsidRPr="001455DC" w:rsidRDefault="00660B73" w:rsidP="00EA7C41">
            <w:pPr>
              <w:pStyle w:val="a7"/>
              <w:jc w:val="right"/>
            </w:pPr>
            <w:r w:rsidRPr="001455DC">
              <w:t>(L.1</w:t>
            </w:r>
            <w:r w:rsidR="00EE510D" w:rsidRPr="001455DC">
              <w:t>1</w:t>
            </w:r>
            <w:r w:rsidRPr="001455DC">
              <w:t>)</w:t>
            </w:r>
          </w:p>
        </w:tc>
      </w:tr>
    </w:tbl>
    <w:p w14:paraId="4D7E2D2A" w14:textId="4F79BE58" w:rsidR="004E22C1" w:rsidRPr="001455DC" w:rsidRDefault="004E22C1" w:rsidP="00A35599">
      <w:pPr>
        <w:pStyle w:val="a7"/>
        <w:keepNext/>
      </w:pPr>
      <w:r w:rsidRPr="001455DC">
        <w:t>where</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660B73" w:rsidRPr="001455DC" w14:paraId="72735404" w14:textId="77777777" w:rsidTr="00EA7C41">
        <w:trPr>
          <w:cantSplit/>
        </w:trPr>
        <w:tc>
          <w:tcPr>
            <w:tcW w:w="8505" w:type="dxa"/>
            <w:vAlign w:val="center"/>
          </w:tcPr>
          <w:p w14:paraId="31C81C12" w14:textId="7F47986E" w:rsidR="00660B73" w:rsidRPr="001455DC" w:rsidRDefault="00660B73" w:rsidP="00EA7C41">
            <w:pPr>
              <w:pStyle w:val="Formula"/>
              <w:jc w:val="left"/>
            </w:pPr>
            <m:oMathPara>
              <m:oMathParaPr>
                <m:jc m:val="left"/>
              </m:oMathParaPr>
              <m:oMath>
                <m:r>
                  <w:rPr>
                    <w:rFonts w:ascii="Cambria Math" w:hAnsi="Cambria Math"/>
                  </w:rPr>
                  <m:t>k=1+</m:t>
                </m:r>
                <m:f>
                  <m:fPr>
                    <m:ctrlPr>
                      <w:rPr>
                        <w:rFonts w:ascii="Cambria Math" w:hAnsi="Cambria Math"/>
                      </w:rPr>
                    </m:ctrlPr>
                  </m:fPr>
                  <m:num>
                    <m:r>
                      <w:rPr>
                        <w:rFonts w:ascii="Cambria Math" w:hAnsi="Cambria Math"/>
                      </w:rPr>
                      <m:t>20</m:t>
                    </m:r>
                  </m:num>
                  <m:den>
                    <m:rad>
                      <m:radPr>
                        <m:degHide m:val="1"/>
                        <m:ctrlPr>
                          <w:rPr>
                            <w:rFonts w:ascii="Cambria Math" w:hAnsi="Cambria Math"/>
                          </w:rPr>
                        </m:ctrlPr>
                      </m:radPr>
                      <m:deg/>
                      <m:e>
                        <m:r>
                          <w:rPr>
                            <w:rFonts w:ascii="Cambria Math" w:hAnsi="Cambria Math"/>
                          </w:rPr>
                          <m:t>82-2,2</m:t>
                        </m:r>
                        <m:sSub>
                          <m:sSubPr>
                            <m:ctrlPr>
                              <w:rPr>
                                <w:rFonts w:ascii="Cambria Math" w:hAnsi="Cambria Math"/>
                                <w:i/>
                              </w:rPr>
                            </m:ctrlPr>
                          </m:sSubPr>
                          <m:e>
                            <m:r>
                              <w:rPr>
                                <w:rFonts w:ascii="Cambria Math" w:hAnsi="Cambria Math"/>
                              </w:rPr>
                              <m:t>f</m:t>
                            </m:r>
                          </m:e>
                          <m:sub>
                            <m:r>
                              <m:rPr>
                                <m:sty m:val="p"/>
                              </m:rPr>
                              <w:rPr>
                                <w:rFonts w:ascii="Cambria Math" w:hAnsi="Cambria Math"/>
                              </w:rPr>
                              <m:t>R1,k</m:t>
                            </m:r>
                          </m:sub>
                        </m:sSub>
                      </m:e>
                    </m:rad>
                  </m:den>
                </m:f>
              </m:oMath>
            </m:oMathPara>
          </w:p>
        </w:tc>
        <w:tc>
          <w:tcPr>
            <w:tcW w:w="1247" w:type="dxa"/>
            <w:vAlign w:val="center"/>
          </w:tcPr>
          <w:p w14:paraId="64E9A532" w14:textId="211B9DC6" w:rsidR="00660B73" w:rsidRPr="001455DC" w:rsidRDefault="00660B73">
            <w:pPr>
              <w:pStyle w:val="a7"/>
              <w:jc w:val="right"/>
            </w:pPr>
            <w:r w:rsidRPr="001455DC">
              <w:t>(L.1</w:t>
            </w:r>
            <w:r w:rsidR="00EE510D" w:rsidRPr="001455DC">
              <w:t>2</w:t>
            </w:r>
            <w:r w:rsidRPr="001455DC">
              <w:t>)</w:t>
            </w:r>
          </w:p>
        </w:tc>
      </w:tr>
    </w:tbl>
    <w:p w14:paraId="647D34B6" w14:textId="68D6BF66" w:rsidR="00F524D9" w:rsidRDefault="00F524D9" w:rsidP="003F0CF8">
      <w:pPr>
        <w:pStyle w:val="FigureImage"/>
        <w:jc w:val="right"/>
        <w:rPr>
          <w:noProof/>
          <w:lang w:val="de-DE" w:eastAsia="de-DE"/>
        </w:rPr>
      </w:pPr>
      <w:r>
        <w:rPr>
          <w:noProof/>
          <w:lang w:val="de-DE" w:eastAsia="de-DE"/>
        </w:rPr>
        <w:t>In millimetres</w:t>
      </w:r>
    </w:p>
    <w:p w14:paraId="1ABD255F" w14:textId="431C244D" w:rsidR="004E22C1" w:rsidRPr="001455DC" w:rsidRDefault="00723CF7" w:rsidP="00660B73">
      <w:pPr>
        <w:pStyle w:val="FigureImage"/>
        <w:rPr>
          <w:noProof/>
        </w:rPr>
      </w:pPr>
      <w:r>
        <w:rPr>
          <w:noProof/>
          <w:lang w:eastAsia="en-GB"/>
        </w:rPr>
        <w:fldChar w:fldCharType="begin"/>
      </w:r>
      <w:r>
        <w:rPr>
          <w:noProof/>
          <w:lang w:eastAsia="en-GB"/>
        </w:rPr>
        <w:instrText xml:space="preserve"> INCLUDEPICTURE  "Y:\\STD_MGT\\STDDEL\\PRODUCTION\\etrans\\Download\\Z_FIRST_DEL\\SV\\00250\\00250269\\41_e_dr\\l002.tif"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"Y:\\STD_MGT\\STDDEL\\PRODUCTION\\Standards\\00250\\269\\41_e_dr\\l002.tif"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"Y:\\STD_MGT\\STDDEL\\PRODUCTION\\Standards\\00250\\269\\41_e_dr\\l002.tif"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"Y:\\STD_MGT\\STDDEL\\PRODUCTION\\Standards\\00250\\269\\41_e_dr\\l002.tif"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"Y:\\STD_MGT\\STDDEL\\PRODUCTION\\Standards\\00250\\269\\41_e_dr\\l002.tif"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"Y:\\STD_MGT\\STDDEL\\PRODUCTION\\Standards\\00250\\269\\41_e_dr\\l002.tif"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"C:\\Users\\a.dionysiou\\AppData\\Local\\Temp\\Temp1_00250269_e_20210902.zip.zip\\41_e_dr\\l002.tif"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2968D241">
          <v:shape id="_x0000_i1332" type="#_x0000_t75" style="width:340.5pt;height:159pt">
            <v:imagedata r:id="rId634" r:href="rId635"/>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654F6542" w14:textId="77777777" w:rsidR="004E22C1" w:rsidRPr="001455DC" w:rsidRDefault="004E22C1" w:rsidP="00660B73">
      <w:pPr>
        <w:pStyle w:val="Figuretitle"/>
      </w:pPr>
      <w:r w:rsidRPr="001455DC">
        <w:t>Figure L.2 — Constitutive law of SFRC for structural analysis</w:t>
      </w:r>
    </w:p>
    <w:p w14:paraId="31EC7436" w14:textId="170EECF3" w:rsidR="004E22C1" w:rsidRPr="001455DC" w:rsidRDefault="00660B73" w:rsidP="00082680">
      <w:pPr>
        <w:pStyle w:val="a2"/>
      </w:pPr>
      <w:bookmarkStart w:id="2254" w:name="_Toc52820385"/>
      <w:bookmarkStart w:id="2255" w:name="_Toc54337228"/>
      <w:bookmarkStart w:id="2256" w:name="_Toc54337820"/>
      <w:bookmarkStart w:id="2257" w:name="_Toc54338431"/>
      <w:bookmarkStart w:id="2258" w:name="_Toc67565633"/>
      <w:r w:rsidRPr="001455DC">
        <w:t>Durability</w:t>
      </w:r>
      <w:bookmarkEnd w:id="2254"/>
      <w:bookmarkEnd w:id="2255"/>
      <w:bookmarkEnd w:id="2256"/>
      <w:bookmarkEnd w:id="2257"/>
      <w:r w:rsidR="00783EF5" w:rsidRPr="001455DC">
        <w:t xml:space="preserve"> - Concrete cover - Minimum cover</w:t>
      </w:r>
      <w:bookmarkEnd w:id="2258"/>
    </w:p>
    <w:p w14:paraId="16183C49" w14:textId="77777777" w:rsidR="004E22C1" w:rsidRPr="001455DC" w:rsidRDefault="004E22C1" w:rsidP="00246C87">
      <w:pPr>
        <w:pStyle w:val="a7"/>
      </w:pPr>
      <w:r w:rsidRPr="001455DC">
        <w:t>(1)</w:t>
      </w:r>
      <w:r w:rsidRPr="001455DC">
        <w:tab/>
        <w:t xml:space="preserve">For SFRC, the concrete cover due to durability requirements </w:t>
      </w:r>
      <w:r w:rsidRPr="001455DC">
        <w:rPr>
          <w:rStyle w:val="CCMCvariableitalic"/>
        </w:rPr>
        <w:t>c</w:t>
      </w:r>
      <w:r w:rsidRPr="001455DC">
        <w:rPr>
          <w:rStyle w:val="CCMCvariablesubscript"/>
        </w:rPr>
        <w:t>min,dur</w:t>
      </w:r>
      <w:r w:rsidRPr="001455DC">
        <w:t xml:space="preserve"> according to 6.5.2.2 shall only apply to the embedded reinforcement, not to the steel fibres.</w:t>
      </w:r>
    </w:p>
    <w:p w14:paraId="3ACD70E5" w14:textId="2096B60B" w:rsidR="004E22C1" w:rsidRPr="001455DC" w:rsidRDefault="004E22C1" w:rsidP="00246C87">
      <w:pPr>
        <w:pStyle w:val="a7"/>
      </w:pPr>
      <w:r w:rsidRPr="001455DC">
        <w:t>(2)</w:t>
      </w:r>
      <w:r w:rsidRPr="001455DC">
        <w:tab/>
        <w:t xml:space="preserve">To avoid fibre accumulation, a minimum cover of </w:t>
      </w:r>
      <w:r w:rsidRPr="001455DC">
        <w:rPr>
          <w:rStyle w:val="CCMCvariableitalic"/>
        </w:rPr>
        <w:t>c</w:t>
      </w:r>
      <w:r w:rsidRPr="001455DC">
        <w:rPr>
          <w:rStyle w:val="CCMCvariablesubscript"/>
        </w:rPr>
        <w:t>min</w:t>
      </w:r>
      <w:r w:rsidRPr="001455DC">
        <w:t> </w:t>
      </w:r>
      <w:r w:rsidR="00EC27D2" w:rsidRPr="001455DC">
        <w:rPr>
          <w:rFonts w:ascii="Cambria Math" w:hAnsi="Cambria Math"/>
        </w:rPr>
        <w:t>=</w:t>
      </w:r>
      <w:r w:rsidRPr="001455DC">
        <w:t> 20 mm to embedded reinforcement shall be used for all SFRC members.</w:t>
      </w:r>
    </w:p>
    <w:p w14:paraId="7670D9C1" w14:textId="38F2C3F4" w:rsidR="004E22C1" w:rsidRPr="001455DC" w:rsidRDefault="004E22C1" w:rsidP="00246C87">
      <w:pPr>
        <w:pStyle w:val="a7"/>
      </w:pPr>
      <w:r w:rsidRPr="001455DC">
        <w:t>(3)</w:t>
      </w:r>
      <w:r w:rsidRPr="001455DC">
        <w:tab/>
        <w:t xml:space="preserve">For design of SFRC in exposure classes XC2-XC4, XD1-XD3, and XS1-XS3, designed to be uncracked, the tensile strength in the outer most tension fibres shall be disregarded within a layer of </w:t>
      </w:r>
      <w:r w:rsidRPr="001455DC">
        <w:rPr>
          <w:rStyle w:val="CCMCvariableitalic"/>
        </w:rPr>
        <w:t>c</w:t>
      </w:r>
      <w:r w:rsidRPr="001455DC">
        <w:rPr>
          <w:rStyle w:val="CCMCvariablesubscript"/>
        </w:rPr>
        <w:t>f,dur</w:t>
      </w:r>
      <w:r w:rsidRPr="001455DC">
        <w:t> </w:t>
      </w:r>
      <w:r w:rsidR="00EC27D2" w:rsidRPr="001455DC">
        <w:rPr>
          <w:rFonts w:ascii="Cambria Math" w:hAnsi="Cambria Math"/>
        </w:rPr>
        <w:t>=</w:t>
      </w:r>
      <w:r w:rsidRPr="001455DC">
        <w:t> 10 mm from the exposed surface.</w:t>
      </w:r>
    </w:p>
    <w:p w14:paraId="625EB5C6" w14:textId="51669422" w:rsidR="004E22C1" w:rsidRPr="001455DC" w:rsidRDefault="004E22C1" w:rsidP="00246C87">
      <w:pPr>
        <w:pStyle w:val="a7"/>
      </w:pPr>
      <w:r w:rsidRPr="001455DC">
        <w:t>(4)</w:t>
      </w:r>
      <w:r w:rsidRPr="001455DC">
        <w:tab/>
        <w:t xml:space="preserve">For design of SFRC in exposure classes XC2-XC4, XD1-XD3, and XS1-XS3 designed to be cracked, the residual tensile strength in the outer most tension fibres shall be disregarded with a distance of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min,dur</m:t>
            </m:r>
          </m:sub>
        </m:sSub>
      </m:oMath>
      <w:r w:rsidR="00A1477B" w:rsidRPr="001455DC">
        <w:t xml:space="preserve"> </w:t>
      </w:r>
      <w:r w:rsidRPr="001455DC">
        <w:t>from the exposed surface, unless provisions (5) or (6) are satisfied.</w:t>
      </w:r>
    </w:p>
    <w:p w14:paraId="66706616" w14:textId="4C01F98D" w:rsidR="004E22C1" w:rsidRPr="001455DC" w:rsidRDefault="004E22C1" w:rsidP="00DE6BBC">
      <w:pPr>
        <w:pStyle w:val="a7"/>
        <w:keepNext/>
      </w:pPr>
      <w:r w:rsidRPr="001455DC">
        <w:t xml:space="preserve">If the characteristic crack width calculated in accordance with 9.2 is less than the crack width limit </w:t>
      </w:r>
      <w:r w:rsidRPr="001455DC">
        <w:rPr>
          <w:rStyle w:val="CCMCvariableitalic"/>
        </w:rPr>
        <w:t>w</w:t>
      </w:r>
      <w:r w:rsidRPr="001455DC">
        <w:rPr>
          <w:rStyle w:val="CCMCvariablesubscript"/>
        </w:rPr>
        <w:t>lim,cal</w:t>
      </w:r>
      <w:r w:rsidRPr="001455DC">
        <w:t xml:space="preserve"> stated in Table 9.2(NDP) and L.9, the values of </w:t>
      </w:r>
      <w:r w:rsidRPr="001455DC">
        <w:rPr>
          <w:rStyle w:val="CCMCvariableitalic"/>
        </w:rPr>
        <w:t>c</w:t>
      </w:r>
      <w:r w:rsidRPr="001455DC">
        <w:rPr>
          <w:rStyle w:val="CCMCvariablesubscript"/>
        </w:rPr>
        <w:t>f,dur</w:t>
      </w:r>
      <w:r w:rsidRPr="001455DC">
        <w:t xml:space="preserve"> may be reduced as follows: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660B73" w:rsidRPr="001455DC" w14:paraId="3FB9EF74" w14:textId="77777777" w:rsidTr="00EA7C41">
        <w:trPr>
          <w:cantSplit/>
        </w:trPr>
        <w:tc>
          <w:tcPr>
            <w:tcW w:w="8505" w:type="dxa"/>
            <w:vAlign w:val="center"/>
          </w:tcPr>
          <w:p w14:paraId="18E2748C" w14:textId="13673B02" w:rsidR="00660B73" w:rsidRPr="001455DC" w:rsidRDefault="00231E33" w:rsidP="00EA7C41">
            <w:pPr>
              <w:pStyle w:val="Formula"/>
              <w:jc w:val="left"/>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f,dur</m:t>
                    </m:r>
                  </m:sub>
                </m:sSub>
                <m:r>
                  <w:rPr>
                    <w:rFonts w:ascii="Cambria Math" w:hAnsi="Cambria Math"/>
                  </w:rPr>
                  <m:t xml:space="preserve"> =</m:t>
                </m:r>
                <m:sSub>
                  <m:sSubPr>
                    <m:ctrlPr>
                      <w:rPr>
                        <w:rFonts w:ascii="Cambria Math" w:hAnsi="Cambria Math"/>
                      </w:rPr>
                    </m:ctrlPr>
                  </m:sSubPr>
                  <m:e>
                    <m:r>
                      <w:rPr>
                        <w:rFonts w:ascii="Cambria Math" w:hAnsi="Cambria Math"/>
                      </w:rPr>
                      <m:t>c</m:t>
                    </m:r>
                  </m:e>
                  <m:sub>
                    <m:r>
                      <m:rPr>
                        <m:sty m:val="p"/>
                      </m:rPr>
                      <w:rPr>
                        <w:rFonts w:ascii="Cambria Math" w:hAnsi="Cambria Math"/>
                      </w:rPr>
                      <m:t>min,dur</m:t>
                    </m:r>
                  </m:sub>
                </m:sSub>
                <m:f>
                  <m:fPr>
                    <m:ctrlPr>
                      <w:rPr>
                        <w:rFonts w:ascii="Cambria Math" w:hAnsi="Cambria Math"/>
                      </w:rPr>
                    </m:ctrlPr>
                  </m:fPr>
                  <m:num>
                    <m:sSub>
                      <m:sSubPr>
                        <m:ctrlPr>
                          <w:rPr>
                            <w:rFonts w:ascii="Cambria Math" w:hAnsi="Cambria Math"/>
                          </w:rPr>
                        </m:ctrlPr>
                      </m:sSubPr>
                      <m:e>
                        <m:r>
                          <w:rPr>
                            <w:rFonts w:ascii="Cambria Math" w:hAnsi="Cambria Math"/>
                          </w:rPr>
                          <m:t>w</m:t>
                        </m:r>
                      </m:e>
                      <m:sub>
                        <m:r>
                          <m:rPr>
                            <m:sty m:val="p"/>
                          </m:rPr>
                          <w:rPr>
                            <w:rFonts w:ascii="Cambria Math" w:hAnsi="Cambria Math"/>
                          </w:rPr>
                          <m:t>k,cal</m:t>
                        </m:r>
                      </m:sub>
                    </m:sSub>
                  </m:num>
                  <m:den>
                    <m:sSub>
                      <m:sSubPr>
                        <m:ctrlPr>
                          <w:rPr>
                            <w:rFonts w:ascii="Cambria Math" w:hAnsi="Cambria Math"/>
                          </w:rPr>
                        </m:ctrlPr>
                      </m:sSubPr>
                      <m:e>
                        <m:r>
                          <w:rPr>
                            <w:rFonts w:ascii="Cambria Math" w:hAnsi="Cambria Math"/>
                          </w:rPr>
                          <m:t>w</m:t>
                        </m:r>
                      </m:e>
                      <m:sub>
                        <m:r>
                          <m:rPr>
                            <m:sty m:val="p"/>
                          </m:rPr>
                          <w:rPr>
                            <w:rFonts w:ascii="Cambria Math" w:hAnsi="Cambria Math"/>
                          </w:rPr>
                          <m:t>lim,cal</m:t>
                        </m:r>
                      </m:sub>
                    </m:sSub>
                  </m:den>
                </m:f>
                <m:r>
                  <w:rPr>
                    <w:rFonts w:ascii="Cambria Math" w:hAnsi="Cambria Math"/>
                  </w:rPr>
                  <m:t>≥10 </m:t>
                </m:r>
                <m:r>
                  <m:rPr>
                    <m:nor/>
                  </m:rPr>
                  <w:rPr>
                    <w:rFonts w:ascii="Cambria Math" w:hAnsi="Cambria Math"/>
                  </w:rPr>
                  <m:t>mm</m:t>
                </m:r>
              </m:oMath>
            </m:oMathPara>
          </w:p>
        </w:tc>
        <w:tc>
          <w:tcPr>
            <w:tcW w:w="1247" w:type="dxa"/>
            <w:vAlign w:val="center"/>
          </w:tcPr>
          <w:p w14:paraId="429DEDD5" w14:textId="02CF716A" w:rsidR="00660B73" w:rsidRPr="001455DC" w:rsidRDefault="00660B73">
            <w:pPr>
              <w:pStyle w:val="a7"/>
              <w:jc w:val="right"/>
            </w:pPr>
            <w:r w:rsidRPr="001455DC">
              <w:t>(L.</w:t>
            </w:r>
            <w:r w:rsidR="00CC56CE" w:rsidRPr="001455DC">
              <w:t>13</w:t>
            </w:r>
            <w:r w:rsidRPr="001455DC">
              <w:t>)</w:t>
            </w:r>
          </w:p>
        </w:tc>
      </w:tr>
    </w:tbl>
    <w:p w14:paraId="5D2F74D8" w14:textId="5E342491" w:rsidR="004E22C1" w:rsidRPr="001455DC" w:rsidRDefault="004E22C1" w:rsidP="00246C87">
      <w:pPr>
        <w:pStyle w:val="a7"/>
      </w:pPr>
      <w:r w:rsidRPr="001455DC">
        <w:t>(5)</w:t>
      </w:r>
      <w:r w:rsidRPr="001455DC">
        <w:tab/>
      </w:r>
      <w:r w:rsidR="00CC56CE" w:rsidRPr="009D3012">
        <w:rPr>
          <w:rFonts w:cs="Arial"/>
        </w:rPr>
        <w:t xml:space="preserve">If stainless steel fibres are used, the residual tensile strength of the outermost tension fibres within depth </w:t>
      </w:r>
      <w:r w:rsidR="00CC56CE" w:rsidRPr="009D3012">
        <w:rPr>
          <w:rFonts w:cs="Arial"/>
          <w:i/>
          <w:iCs/>
        </w:rPr>
        <w:t>c</w:t>
      </w:r>
      <w:r w:rsidR="00CC56CE" w:rsidRPr="009D3012">
        <w:rPr>
          <w:rFonts w:cs="Arial"/>
          <w:vertAlign w:val="subscript"/>
        </w:rPr>
        <w:t>f,dur</w:t>
      </w:r>
      <w:r w:rsidR="00CC56CE" w:rsidRPr="009D3012">
        <w:rPr>
          <w:rFonts w:cs="Arial"/>
        </w:rPr>
        <w:t xml:space="preserve"> may be used.</w:t>
      </w:r>
    </w:p>
    <w:p w14:paraId="00A27A36" w14:textId="77777777" w:rsidR="004E22C1" w:rsidRPr="001455DC" w:rsidRDefault="004E22C1" w:rsidP="00246C87">
      <w:pPr>
        <w:pStyle w:val="a7"/>
      </w:pPr>
      <w:r w:rsidRPr="001455DC">
        <w:t>(6)</w:t>
      </w:r>
      <w:r w:rsidRPr="001455DC">
        <w:tab/>
        <w:t xml:space="preserve">The residual tensile strength of fibres in the layer </w:t>
      </w:r>
      <w:r w:rsidRPr="001455DC">
        <w:rPr>
          <w:rStyle w:val="CCMCvariableitalic"/>
        </w:rPr>
        <w:t>c</w:t>
      </w:r>
      <w:r w:rsidRPr="001455DC">
        <w:rPr>
          <w:rStyle w:val="CCMCvariablesubscript"/>
        </w:rPr>
        <w:t>f,dur</w:t>
      </w:r>
      <w:r w:rsidRPr="001455DC">
        <w:t xml:space="preserve"> may be used in temporary situations such as during the construction phase.</w:t>
      </w:r>
    </w:p>
    <w:p w14:paraId="74370C3B" w14:textId="116BAAD7" w:rsidR="004E22C1" w:rsidRPr="001455DC" w:rsidRDefault="00660B73" w:rsidP="00082680">
      <w:pPr>
        <w:pStyle w:val="a2"/>
      </w:pPr>
      <w:bookmarkStart w:id="2259" w:name="_Toc52820388"/>
      <w:bookmarkStart w:id="2260" w:name="_Toc54337229"/>
      <w:bookmarkStart w:id="2261" w:name="_Toc54337823"/>
      <w:bookmarkStart w:id="2262" w:name="_Toc54338434"/>
      <w:bookmarkStart w:id="2263" w:name="_Toc67565634"/>
      <w:r w:rsidRPr="001455DC">
        <w:t>Structural analysis</w:t>
      </w:r>
      <w:bookmarkEnd w:id="2259"/>
      <w:bookmarkEnd w:id="2260"/>
      <w:bookmarkEnd w:id="2261"/>
      <w:bookmarkEnd w:id="2262"/>
      <w:r w:rsidR="004C61D2" w:rsidRPr="001455DC">
        <w:t xml:space="preserve"> - Plastic analysis - Special rules for SFRC structures</w:t>
      </w:r>
      <w:bookmarkEnd w:id="2263"/>
    </w:p>
    <w:p w14:paraId="0E4F6A32" w14:textId="77777777" w:rsidR="004E22C1" w:rsidRPr="001455DC" w:rsidRDefault="004E22C1" w:rsidP="00DE6BBC">
      <w:pPr>
        <w:pStyle w:val="a7"/>
        <w:keepNext/>
      </w:pPr>
      <w:r w:rsidRPr="001455DC">
        <w:t>(1)</w:t>
      </w:r>
      <w:r w:rsidRPr="001455DC">
        <w:tab/>
        <w:t>Plastic analysis of SFRC structures without any direct check of rotation capacity may be used for the ultimate limit state analysis of the following structure types:</w:t>
      </w:r>
    </w:p>
    <w:p w14:paraId="17A9AF99" w14:textId="477E1B1C" w:rsidR="004E22C1" w:rsidRPr="001455DC" w:rsidRDefault="004E22C1" w:rsidP="00660B73">
      <w:pPr>
        <w:pStyle w:val="a0"/>
      </w:pPr>
      <w:r w:rsidRPr="001455DC">
        <w:t>Foundations and slabs</w:t>
      </w:r>
      <w:r w:rsidRPr="001455DC">
        <w:rPr>
          <w:bCs/>
        </w:rPr>
        <w:t xml:space="preserve"> supported </w:t>
      </w:r>
      <w:r w:rsidRPr="001455DC">
        <w:t>directly on ground.</w:t>
      </w:r>
    </w:p>
    <w:p w14:paraId="63C2333B" w14:textId="5BA7D4DA" w:rsidR="004E22C1" w:rsidRPr="001455DC" w:rsidRDefault="004E22C1" w:rsidP="00DE6BBC">
      <w:pPr>
        <w:pStyle w:val="a0"/>
        <w:keepNext/>
      </w:pPr>
      <w:r w:rsidRPr="001455DC">
        <w:t>For statically indeterminate rafts and slabs on piles subject to the following conditions:</w:t>
      </w:r>
    </w:p>
    <w:p w14:paraId="2C34568C" w14:textId="7BD4E97D" w:rsidR="004E22C1" w:rsidRPr="001455DC" w:rsidRDefault="004E22C1" w:rsidP="00082680">
      <w:pPr>
        <w:pStyle w:val="2"/>
        <w:numPr>
          <w:ilvl w:val="0"/>
          <w:numId w:val="43"/>
        </w:numPr>
        <w:ind w:left="714" w:hanging="357"/>
      </w:pPr>
      <w:r w:rsidRPr="001455DC">
        <w:t>the ductility class is at least c and</w:t>
      </w:r>
    </w:p>
    <w:p w14:paraId="6EE8F2DA" w14:textId="320E591F" w:rsidR="004E22C1" w:rsidRPr="001455DC" w:rsidRDefault="004E22C1" w:rsidP="00082680">
      <w:pPr>
        <w:pStyle w:val="2"/>
        <w:numPr>
          <w:ilvl w:val="0"/>
          <w:numId w:val="43"/>
        </w:numPr>
        <w:ind w:left="714" w:hanging="357"/>
      </w:pPr>
      <w:r w:rsidRPr="001455DC">
        <w:t>if the member is needed for structural stability</w:t>
      </w:r>
      <m:oMath>
        <m:r>
          <m:rPr>
            <m:sty m:val="p"/>
          </m:rPr>
          <w:rPr>
            <w:rFonts w:ascii="Cambria Math" w:hAnsi="Cambria Math"/>
          </w:rPr>
          <m:t xml:space="preserve"> </m:t>
        </m:r>
        <m:f>
          <m:fPr>
            <m:type m:val="lin"/>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R,3k</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ct,flm</m:t>
                </m:r>
              </m:sub>
            </m:sSub>
          </m:den>
        </m:f>
        <m:r>
          <m:rPr>
            <m:sty m:val="p"/>
          </m:rPr>
          <w:rPr>
            <w:rFonts w:ascii="Cambria Math" w:hAnsi="Cambria Math"/>
          </w:rPr>
          <m:t>≥1,0</m:t>
        </m:r>
      </m:oMath>
      <w:r w:rsidRPr="001455DC">
        <w:t>.</w:t>
      </w:r>
    </w:p>
    <w:p w14:paraId="79B985A9" w14:textId="486DBB1F" w:rsidR="004E22C1" w:rsidRPr="001455DC" w:rsidRDefault="004E22C1" w:rsidP="00DE6BBC">
      <w:pPr>
        <w:pStyle w:val="a0"/>
        <w:keepNext/>
      </w:pPr>
      <w:r w:rsidRPr="001455DC">
        <w:t>For statically indeterminate elevated slabs subject to the following conditions:</w:t>
      </w:r>
    </w:p>
    <w:p w14:paraId="5D4996F5" w14:textId="6B7DC5B6" w:rsidR="004E22C1" w:rsidRPr="001455DC" w:rsidRDefault="004E22C1" w:rsidP="00082680">
      <w:pPr>
        <w:pStyle w:val="2"/>
        <w:numPr>
          <w:ilvl w:val="0"/>
          <w:numId w:val="44"/>
        </w:numPr>
        <w:ind w:left="714" w:hanging="357"/>
      </w:pPr>
      <w:r w:rsidRPr="001455DC">
        <w:t>the ductility class is at least c,</w:t>
      </w:r>
    </w:p>
    <w:p w14:paraId="6B312ADD" w14:textId="5316D3F2" w:rsidR="004E22C1" w:rsidRPr="001455DC" w:rsidRDefault="00231E33" w:rsidP="00082680">
      <w:pPr>
        <w:pStyle w:val="2"/>
        <w:numPr>
          <w:ilvl w:val="0"/>
          <w:numId w:val="44"/>
        </w:numPr>
        <w:ind w:left="714" w:hanging="357"/>
      </w:pPr>
      <m:oMath>
        <m:f>
          <m:fPr>
            <m:type m:val="lin"/>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R,3k</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ct,flm</m:t>
                </m:r>
              </m:sub>
            </m:sSub>
          </m:den>
        </m:f>
        <m:r>
          <m:rPr>
            <m:sty m:val="p"/>
          </m:rPr>
          <w:rPr>
            <w:rFonts w:ascii="Cambria Math" w:hAnsi="Cambria Math"/>
          </w:rPr>
          <m:t>≥1,0</m:t>
        </m:r>
      </m:oMath>
    </w:p>
    <w:p w14:paraId="584655C6" w14:textId="77777777" w:rsidR="004E22C1" w:rsidRPr="001455DC" w:rsidRDefault="004E22C1" w:rsidP="00246C87">
      <w:pPr>
        <w:pStyle w:val="a7"/>
      </w:pPr>
      <w:r w:rsidRPr="001455DC">
        <w:t>(2)</w:t>
      </w:r>
      <w:r w:rsidRPr="001455DC">
        <w:tab/>
        <w:t>For members not fulfilling the requirements of (1), methods based on plastic analysis, or linear analysis with limited redistribution, shall only be applied where the deformation capacity of the critical sections is demonstrated to be sufficient by calculation for the envisaged failure mechanisms to be formed.</w:t>
      </w:r>
    </w:p>
    <w:p w14:paraId="1D555F94" w14:textId="77777777" w:rsidR="004E22C1" w:rsidRPr="001455DC" w:rsidRDefault="004E22C1" w:rsidP="00246C87">
      <w:pPr>
        <w:pStyle w:val="Note"/>
      </w:pPr>
      <w:r w:rsidRPr="001455DC">
        <w:rPr>
          <w:bCs/>
        </w:rPr>
        <w:t>NOTE</w:t>
      </w:r>
      <w:r w:rsidRPr="001455DC">
        <w:rPr>
          <w:bCs/>
        </w:rPr>
        <w:tab/>
      </w:r>
      <w:r w:rsidRPr="001455DC">
        <w:t>Due to possible localisation effects occurring at yielding of longitudinal reinforcement, minimum reinforcement as prescribed in L.12.1 is not sufficient to generally allow plastic analysis without verification of the deformation capacity.</w:t>
      </w:r>
    </w:p>
    <w:p w14:paraId="6F4071A7" w14:textId="77777777" w:rsidR="004E22C1" w:rsidRPr="001455DC" w:rsidRDefault="004E22C1" w:rsidP="00246C87">
      <w:pPr>
        <w:pStyle w:val="a7"/>
      </w:pPr>
      <w:r w:rsidRPr="001455DC">
        <w:t>(3)</w:t>
      </w:r>
      <w:r w:rsidRPr="001455DC">
        <w:tab/>
        <w:t>Methods to be used for verification of plastic deformation capacity shall take local variations in residual tensile strength into account.</w:t>
      </w:r>
    </w:p>
    <w:p w14:paraId="1654F90C" w14:textId="2A0012E7" w:rsidR="004E22C1" w:rsidRPr="001455DC" w:rsidRDefault="00660B73" w:rsidP="00082680">
      <w:pPr>
        <w:pStyle w:val="a2"/>
      </w:pPr>
      <w:bookmarkStart w:id="2264" w:name="_Toc52820392"/>
      <w:bookmarkStart w:id="2265" w:name="_Toc54337230"/>
      <w:bookmarkStart w:id="2266" w:name="_Toc54337827"/>
      <w:bookmarkStart w:id="2267" w:name="_Toc54338437"/>
      <w:bookmarkStart w:id="2268" w:name="_Toc67565635"/>
      <w:r w:rsidRPr="001455DC">
        <w:t>Ultimate Limit States</w:t>
      </w:r>
      <w:r w:rsidR="004E22C1" w:rsidRPr="001455DC">
        <w:t xml:space="preserve"> (ULS)</w:t>
      </w:r>
      <w:bookmarkEnd w:id="2264"/>
      <w:bookmarkEnd w:id="2265"/>
      <w:bookmarkEnd w:id="2266"/>
      <w:bookmarkEnd w:id="2267"/>
      <w:bookmarkEnd w:id="2268"/>
    </w:p>
    <w:p w14:paraId="54E3120E" w14:textId="5FE2014E" w:rsidR="004E22C1" w:rsidRPr="001455DC" w:rsidRDefault="004E22C1" w:rsidP="00243590">
      <w:pPr>
        <w:pStyle w:val="a3"/>
      </w:pPr>
      <w:bookmarkStart w:id="2269" w:name="_Toc52820393"/>
      <w:bookmarkStart w:id="2270" w:name="_Toc54337828"/>
      <w:bookmarkStart w:id="2271" w:name="_Toc54338438"/>
      <w:r w:rsidRPr="001455DC">
        <w:t>Bending with or without axial force</w:t>
      </w:r>
      <w:bookmarkEnd w:id="2269"/>
      <w:bookmarkEnd w:id="2270"/>
      <w:bookmarkEnd w:id="2271"/>
      <w:r w:rsidR="00341F5E" w:rsidRPr="001455DC">
        <w:t xml:space="preserve"> - Stress distribution for SFRC in tension</w:t>
      </w:r>
    </w:p>
    <w:p w14:paraId="63B81841" w14:textId="3E12F33F" w:rsidR="004E22C1" w:rsidRPr="001455DC" w:rsidRDefault="00341F5E" w:rsidP="00246C87">
      <w:pPr>
        <w:pStyle w:val="a7"/>
      </w:pPr>
      <w:bookmarkStart w:id="2272" w:name="_Toc52820394"/>
      <w:bookmarkStart w:id="2273" w:name="_Toc54337829"/>
      <w:bookmarkStart w:id="2274" w:name="_Toc54338439"/>
      <w:r w:rsidRPr="001455DC" w:rsidDel="00341F5E">
        <w:t xml:space="preserve"> </w:t>
      </w:r>
      <w:bookmarkEnd w:id="2272"/>
      <w:bookmarkEnd w:id="2273"/>
      <w:bookmarkEnd w:id="2274"/>
      <w:r w:rsidR="004E22C1" w:rsidRPr="001455DC">
        <w:t>(1)</w:t>
      </w:r>
      <w:r w:rsidR="004E22C1" w:rsidRPr="001455DC">
        <w:tab/>
        <w:t>A simplified rigid plastic approach for the residual tensile strength according to Figure L.3a) may be used for ultimate limit state design of a member subjected to bending with or without axial compression, for ductility classes a, b and c.</w:t>
      </w:r>
    </w:p>
    <w:p w14:paraId="288762DC" w14:textId="77777777" w:rsidR="004E22C1" w:rsidRPr="001455DC" w:rsidRDefault="004E22C1" w:rsidP="00246C87">
      <w:pPr>
        <w:pStyle w:val="a7"/>
      </w:pPr>
      <w:r w:rsidRPr="001455DC">
        <w:t>For classes d and e this approach should only be used to determine the ULS moment capacity at the design tensile strain limit.</w:t>
      </w:r>
    </w:p>
    <w:p w14:paraId="6CE86551" w14:textId="780A9FCF" w:rsidR="004E22C1" w:rsidRPr="001455DC" w:rsidRDefault="004E22C1" w:rsidP="00DE6BBC">
      <w:pPr>
        <w:pStyle w:val="a7"/>
        <w:keepNext/>
      </w:pPr>
      <w:r w:rsidRPr="001455DC">
        <w:t>(2)</w:t>
      </w:r>
      <w:r w:rsidRPr="001455DC">
        <w:tab/>
        <w:t>The tensile strain limit relevant to the simplified rigid plastic approach should be calculated from Formula (L.</w:t>
      </w:r>
      <w:r w:rsidR="000A360C" w:rsidRPr="001455DC">
        <w:t>14</w:t>
      </w:r>
      <w:r w:rsidRPr="001455DC">
        <w:t xml:space="preserve">) with </w:t>
      </w:r>
      <m:oMath>
        <m:sSub>
          <m:sSubPr>
            <m:ctrlPr>
              <w:rPr>
                <w:rFonts w:ascii="Cambria Math" w:hAnsi="Cambria Math"/>
              </w:rPr>
            </m:ctrlPr>
          </m:sSubPr>
          <m:e>
            <m:r>
              <w:rPr>
                <w:rFonts w:ascii="Cambria Math" w:hAnsi="Cambria Math"/>
              </w:rPr>
              <m:t>ε</m:t>
            </m:r>
          </m:e>
          <m:sub>
            <m:r>
              <m:rPr>
                <m:sty m:val="p"/>
              </m:rPr>
              <w:rPr>
                <w:rFonts w:ascii="Cambria Math" w:hAnsi="Cambria Math"/>
              </w:rPr>
              <m:t>Ftud</m:t>
            </m:r>
          </m:sub>
        </m:sSub>
      </m:oMath>
      <w:r w:rsidRPr="001455DC">
        <w:t xml:space="preserve"> as defined in </w:t>
      </w:r>
      <w:r w:rsidRPr="009D3012">
        <w:rPr>
          <w:i/>
        </w:rPr>
        <w:t>L.5.1.7</w:t>
      </w:r>
      <w:r w:rsidRPr="001455DC">
        <w:t>:</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660B73" w:rsidRPr="001455DC" w14:paraId="20F04238" w14:textId="77777777" w:rsidTr="00EA7C41">
        <w:trPr>
          <w:cantSplit/>
        </w:trPr>
        <w:tc>
          <w:tcPr>
            <w:tcW w:w="8505" w:type="dxa"/>
            <w:vAlign w:val="center"/>
          </w:tcPr>
          <w:p w14:paraId="78EF1A28" w14:textId="3CBA7BE0" w:rsidR="00660B73" w:rsidRPr="001455DC" w:rsidRDefault="00660B73" w:rsidP="00EA7C41">
            <w:pPr>
              <w:pStyle w:val="Formula"/>
              <w:jc w:val="left"/>
            </w:pPr>
            <w:r w:rsidRPr="001455DC">
              <w:rPr>
                <w:rStyle w:val="CCMCvariableitalic"/>
              </w:rPr>
              <w:t>ε</w:t>
            </w:r>
            <w:r w:rsidRPr="001455DC">
              <w:rPr>
                <w:rStyle w:val="CCMCvariablesubscript"/>
              </w:rPr>
              <w:t>Ftu</w:t>
            </w:r>
            <w:r w:rsidRPr="001455DC">
              <w:t> </w:t>
            </w:r>
            <w:r w:rsidR="00EC27D2" w:rsidRPr="001455DC">
              <w:rPr>
                <w:rFonts w:ascii="Cambria Math" w:hAnsi="Cambria Math"/>
              </w:rPr>
              <w:t>=</w:t>
            </w:r>
            <w:r w:rsidRPr="001455DC">
              <w:t> </w:t>
            </w:r>
            <w:r w:rsidRPr="001455DC">
              <w:rPr>
                <w:rStyle w:val="CCMCvariableitalic"/>
              </w:rPr>
              <w:t>ε</w:t>
            </w:r>
            <w:r w:rsidRPr="001455DC">
              <w:rPr>
                <w:rStyle w:val="CCMCvariablesubscript"/>
              </w:rPr>
              <w:t>Ftud</w:t>
            </w:r>
          </w:p>
        </w:tc>
        <w:tc>
          <w:tcPr>
            <w:tcW w:w="1247" w:type="dxa"/>
            <w:vAlign w:val="center"/>
          </w:tcPr>
          <w:p w14:paraId="07CB650C" w14:textId="4AA1C5EE" w:rsidR="00660B73" w:rsidRPr="001455DC" w:rsidRDefault="00660B73">
            <w:pPr>
              <w:pStyle w:val="a7"/>
              <w:jc w:val="right"/>
            </w:pPr>
            <w:r w:rsidRPr="001455DC">
              <w:t>(L.</w:t>
            </w:r>
            <w:r w:rsidR="000A360C" w:rsidRPr="001455DC">
              <w:t>14</w:t>
            </w:r>
            <w:r w:rsidRPr="001455DC">
              <w:t>)</w:t>
            </w:r>
          </w:p>
        </w:tc>
      </w:tr>
    </w:tbl>
    <w:p w14:paraId="19B58D63" w14:textId="3B330D82" w:rsidR="004E22C1" w:rsidRPr="001455DC" w:rsidRDefault="004E22C1" w:rsidP="00DE6BBC">
      <w:pPr>
        <w:pStyle w:val="a7"/>
        <w:keepNext/>
      </w:pPr>
      <w:r w:rsidRPr="001455DC">
        <w:t>(3)</w:t>
      </w:r>
      <w:r w:rsidRPr="001455DC">
        <w:tab/>
        <w:t>For the design of steel fibre reinforced cross</w:t>
      </w:r>
      <w:r w:rsidR="00B10711" w:rsidRPr="001455DC">
        <w:t xml:space="preserve"> </w:t>
      </w:r>
      <w:r w:rsidRPr="001455DC">
        <w:t xml:space="preserve">sections a bi-linear residual tensile stress distribution according to Figure L.3b) may be used with parameters as defined in </w:t>
      </w:r>
      <w:r w:rsidRPr="009D3012">
        <w:rPr>
          <w:i/>
        </w:rPr>
        <w:t>L.5.1.7</w:t>
      </w:r>
      <w:r w:rsidRPr="001455DC">
        <w:t xml:space="preserve"> and:</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660B73" w:rsidRPr="001455DC" w14:paraId="67C59E29" w14:textId="77777777" w:rsidTr="00EA7C41">
        <w:trPr>
          <w:cantSplit/>
        </w:trPr>
        <w:tc>
          <w:tcPr>
            <w:tcW w:w="8505" w:type="dxa"/>
            <w:vAlign w:val="center"/>
          </w:tcPr>
          <w:p w14:paraId="609E049E" w14:textId="22740820" w:rsidR="00660B73" w:rsidRPr="001455DC" w:rsidRDefault="00231E33" w:rsidP="00EA7C41">
            <w:pPr>
              <w:pStyle w:val="Formula"/>
              <w:jc w:val="left"/>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Ft1d</m:t>
                    </m:r>
                  </m:sub>
                </m:sSub>
                <m: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Ft1,ef</m:t>
                        </m:r>
                      </m:sub>
                    </m:sSub>
                  </m:num>
                  <m:den>
                    <m:sSub>
                      <m:sSubPr>
                        <m:ctrlPr>
                          <w:rPr>
                            <w:rFonts w:ascii="Cambria Math" w:hAnsi="Cambria Math"/>
                          </w:rPr>
                        </m:ctrlPr>
                      </m:sSubPr>
                      <m:e>
                        <m:r>
                          <w:rPr>
                            <w:rFonts w:ascii="Cambria Math" w:hAnsi="Cambria Math"/>
                          </w:rPr>
                          <m:t>γ</m:t>
                        </m:r>
                      </m:e>
                      <m:sub>
                        <m:r>
                          <m:rPr>
                            <m:sty m:val="p"/>
                          </m:rPr>
                          <w:rPr>
                            <w:rFonts w:ascii="Cambria Math" w:hAnsi="Cambria Math"/>
                          </w:rPr>
                          <m:t>SF</m:t>
                        </m:r>
                      </m:sub>
                    </m:sSub>
                  </m:den>
                </m:f>
              </m:oMath>
            </m:oMathPara>
          </w:p>
        </w:tc>
        <w:tc>
          <w:tcPr>
            <w:tcW w:w="1247" w:type="dxa"/>
            <w:vAlign w:val="center"/>
          </w:tcPr>
          <w:p w14:paraId="292411A5" w14:textId="309A0A18" w:rsidR="00660B73" w:rsidRPr="001455DC" w:rsidRDefault="00660B73">
            <w:pPr>
              <w:pStyle w:val="a7"/>
              <w:jc w:val="right"/>
            </w:pPr>
            <w:r w:rsidRPr="001455DC">
              <w:t>(L.</w:t>
            </w:r>
            <w:r w:rsidR="000A360C" w:rsidRPr="001455DC">
              <w:t>15</w:t>
            </w:r>
            <w:r w:rsidRPr="001455DC">
              <w:t>)</w:t>
            </w:r>
          </w:p>
        </w:tc>
      </w:tr>
      <w:tr w:rsidR="00660B73" w:rsidRPr="001455DC" w14:paraId="338E874E" w14:textId="77777777" w:rsidTr="00EA7C41">
        <w:trPr>
          <w:cantSplit/>
        </w:trPr>
        <w:tc>
          <w:tcPr>
            <w:tcW w:w="8505" w:type="dxa"/>
            <w:vAlign w:val="center"/>
          </w:tcPr>
          <w:p w14:paraId="681B5300" w14:textId="67B10844" w:rsidR="00660B73" w:rsidRPr="001455DC" w:rsidRDefault="00231E33" w:rsidP="00EA7C41">
            <w:pPr>
              <w:pStyle w:val="Formula"/>
              <w:jc w:val="left"/>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Ft3d</m:t>
                    </m:r>
                  </m:sub>
                </m:sSub>
                <m: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Ft3,ef</m:t>
                        </m:r>
                      </m:sub>
                    </m:sSub>
                  </m:num>
                  <m:den>
                    <m:sSub>
                      <m:sSubPr>
                        <m:ctrlPr>
                          <w:rPr>
                            <w:rFonts w:ascii="Cambria Math" w:hAnsi="Cambria Math"/>
                          </w:rPr>
                        </m:ctrlPr>
                      </m:sSubPr>
                      <m:e>
                        <m:r>
                          <w:rPr>
                            <w:rFonts w:ascii="Cambria Math" w:hAnsi="Cambria Math"/>
                          </w:rPr>
                          <m:t>γ</m:t>
                        </m:r>
                      </m:e>
                      <m:sub>
                        <m:r>
                          <m:rPr>
                            <m:sty m:val="p"/>
                          </m:rPr>
                          <w:rPr>
                            <w:rFonts w:ascii="Cambria Math" w:hAnsi="Cambria Math"/>
                          </w:rPr>
                          <m:t>SF</m:t>
                        </m:r>
                      </m:sub>
                    </m:sSub>
                  </m:den>
                </m:f>
              </m:oMath>
            </m:oMathPara>
          </w:p>
        </w:tc>
        <w:tc>
          <w:tcPr>
            <w:tcW w:w="1247" w:type="dxa"/>
            <w:vAlign w:val="center"/>
          </w:tcPr>
          <w:p w14:paraId="7B4C2759" w14:textId="20821AB4" w:rsidR="00660B73" w:rsidRPr="001455DC" w:rsidRDefault="00660B73">
            <w:pPr>
              <w:pStyle w:val="a7"/>
              <w:jc w:val="right"/>
            </w:pPr>
            <w:r w:rsidRPr="001455DC">
              <w:t>(L.</w:t>
            </w:r>
            <w:r w:rsidR="000A360C" w:rsidRPr="001455DC">
              <w:t>16</w:t>
            </w:r>
            <w:r w:rsidRPr="001455DC">
              <w:t>)</w:t>
            </w:r>
          </w:p>
        </w:tc>
      </w:tr>
    </w:tbl>
    <w:p w14:paraId="4EDA7294" w14:textId="3A473904" w:rsidR="004E22C1" w:rsidRPr="001455DC" w:rsidRDefault="004E22C1" w:rsidP="00246C87">
      <w:pPr>
        <w:pStyle w:val="a7"/>
      </w:pPr>
      <w:r w:rsidRPr="001455DC">
        <w:t>(4)</w:t>
      </w:r>
      <w:r w:rsidRPr="001455DC">
        <w:tab/>
        <w:t>The stress distribution according to Formula (8.</w:t>
      </w:r>
      <w:r w:rsidR="000A360C" w:rsidRPr="001455DC">
        <w:t>4</w:t>
      </w:r>
      <w:r w:rsidRPr="001455DC">
        <w:t xml:space="preserve">) may be modified for SFRC by applying </w:t>
      </w:r>
      <w:r w:rsidRPr="001455DC">
        <w:rPr>
          <w:rStyle w:val="CCMCvariableitalic"/>
        </w:rPr>
        <w:t>ε</w:t>
      </w:r>
      <w:r w:rsidRPr="001455DC">
        <w:rPr>
          <w:rStyle w:val="CCMCvariablesubscript"/>
        </w:rPr>
        <w:t>c2</w:t>
      </w:r>
      <w:r w:rsidRPr="001455DC">
        <w:t> </w:t>
      </w:r>
      <w:r w:rsidR="00EC27D2" w:rsidRPr="001455DC">
        <w:rPr>
          <w:rFonts w:ascii="Cambria Math" w:hAnsi="Cambria Math"/>
        </w:rPr>
        <w:t>=</w:t>
      </w:r>
      <w:r w:rsidRPr="001455DC">
        <w:t xml:space="preserve"> 0,0025 and </w:t>
      </w:r>
      <w:r w:rsidRPr="001455DC">
        <w:rPr>
          <w:rStyle w:val="CCMCvariableitalic"/>
        </w:rPr>
        <w:t>ε</w:t>
      </w:r>
      <w:r w:rsidRPr="001455DC">
        <w:rPr>
          <w:rStyle w:val="CCMCvariablesubscript"/>
        </w:rPr>
        <w:t>cu</w:t>
      </w:r>
      <w:r w:rsidRPr="001455DC">
        <w:t> </w:t>
      </w:r>
      <w:r w:rsidR="00EC27D2" w:rsidRPr="001455DC">
        <w:rPr>
          <w:rFonts w:ascii="Cambria Math" w:hAnsi="Cambria Math"/>
        </w:rPr>
        <w:t>=</w:t>
      </w:r>
      <w:r w:rsidRPr="001455DC">
        <w:t> 0,006.</w:t>
      </w:r>
    </w:p>
    <w:p w14:paraId="2D6A7102" w14:textId="6D54AFC6" w:rsidR="004E22C1" w:rsidRPr="001455DC" w:rsidRDefault="004E22C1" w:rsidP="00DE6BBC">
      <w:pPr>
        <w:pStyle w:val="a7"/>
        <w:keepNext/>
      </w:pPr>
      <w:r w:rsidRPr="001455DC">
        <w:t>(5)</w:t>
      </w:r>
      <w:r w:rsidRPr="001455DC">
        <w:tab/>
      </w:r>
      <w:r w:rsidRPr="001455DC">
        <w:rPr>
          <w:noProof/>
        </w:rPr>
        <w:t>F</w:t>
      </w:r>
      <w:r w:rsidRPr="001455DC">
        <w:t>or ultimate limit state design in flexure of statically indeterminate slabs, the design strengths,</w:t>
      </w:r>
      <m:oMath>
        <m:r>
          <m:rPr>
            <m:sty m:val="p"/>
          </m:rPr>
          <w:rPr>
            <w:rFonts w:ascii="Cambria Math" w:hAnsi="Cambria Math"/>
          </w:rPr>
          <m:t xml:space="preserve"> </m:t>
        </m:r>
        <m:sSub>
          <m:sSubPr>
            <m:ctrlPr>
              <w:rPr>
                <w:rFonts w:ascii="Cambria Math" w:hAnsi="Cambria Math"/>
              </w:rPr>
            </m:ctrlPr>
          </m:sSubPr>
          <m:e>
            <m:r>
              <w:rPr>
                <w:rFonts w:ascii="Cambria Math" w:hAnsi="Cambria Math"/>
              </w:rPr>
              <m:t>f</m:t>
            </m:r>
          </m:e>
          <m:sub>
            <m:r>
              <m:rPr>
                <m:sty m:val="p"/>
              </m:rPr>
              <w:rPr>
                <w:rFonts w:ascii="Cambria Math" w:hAnsi="Cambria Math"/>
              </w:rPr>
              <m:t>Ftud</m:t>
            </m:r>
          </m:sub>
        </m:sSub>
      </m:oMath>
      <w:r w:rsidRPr="001455DC">
        <w:t xml:space="preserve">, </w:t>
      </w:r>
      <m:oMath>
        <m:sSub>
          <m:sSubPr>
            <m:ctrlPr>
              <w:rPr>
                <w:rFonts w:ascii="Cambria Math" w:hAnsi="Cambria Math"/>
              </w:rPr>
            </m:ctrlPr>
          </m:sSubPr>
          <m:e>
            <m:r>
              <w:rPr>
                <w:rFonts w:ascii="Cambria Math" w:hAnsi="Cambria Math"/>
              </w:rPr>
              <m:t>f</m:t>
            </m:r>
          </m:e>
          <m:sub>
            <m:r>
              <m:rPr>
                <m:sty m:val="p"/>
              </m:rPr>
              <w:rPr>
                <w:rFonts w:ascii="Cambria Math" w:hAnsi="Cambria Math"/>
              </w:rPr>
              <m:t>Ft1d</m:t>
            </m:r>
          </m:sub>
        </m:sSub>
      </m:oMath>
      <w:r w:rsidRPr="001455DC">
        <w:t xml:space="preserve"> and </w:t>
      </w:r>
      <m:oMath>
        <m:sSub>
          <m:sSubPr>
            <m:ctrlPr>
              <w:rPr>
                <w:rFonts w:ascii="Cambria Math" w:hAnsi="Cambria Math"/>
              </w:rPr>
            </m:ctrlPr>
          </m:sSubPr>
          <m:e>
            <m:r>
              <w:rPr>
                <w:rFonts w:ascii="Cambria Math" w:hAnsi="Cambria Math"/>
              </w:rPr>
              <m:t>f</m:t>
            </m:r>
          </m:e>
          <m:sub>
            <m:r>
              <m:rPr>
                <m:sty m:val="p"/>
              </m:rPr>
              <w:rPr>
                <w:rFonts w:ascii="Cambria Math" w:hAnsi="Cambria Math"/>
              </w:rPr>
              <m:t>Ft3d</m:t>
            </m:r>
          </m:sub>
        </m:sSub>
        <m:r>
          <m:rPr>
            <m:sty m:val="p"/>
          </m:rPr>
          <w:rPr>
            <w:rFonts w:ascii="Cambria Math" w:hAnsi="Cambria Math"/>
          </w:rPr>
          <m:t xml:space="preserve">, </m:t>
        </m:r>
      </m:oMath>
      <w:r w:rsidRPr="001455DC">
        <w:t xml:space="preserve">may be increased by multiplying with factor </w:t>
      </w:r>
      <m:oMath>
        <m:sSub>
          <m:sSubPr>
            <m:ctrlPr>
              <w:rPr>
                <w:rFonts w:ascii="Cambria Math" w:hAnsi="Cambria Math"/>
              </w:rPr>
            </m:ctrlPr>
          </m:sSubPr>
          <m:e>
            <m:r>
              <w:rPr>
                <w:rFonts w:ascii="Cambria Math" w:hAnsi="Cambria Math"/>
              </w:rPr>
              <m:t>κ</m:t>
            </m:r>
          </m:e>
          <m:sub>
            <m:r>
              <m:rPr>
                <m:sty m:val="p"/>
              </m:rPr>
              <w:rPr>
                <w:rFonts w:ascii="Cambria Math" w:hAnsi="Cambria Math"/>
              </w:rPr>
              <m:t>G</m:t>
            </m:r>
          </m:sub>
        </m:sSub>
        <m:r>
          <m:rPr>
            <m:sty m:val="p"/>
          </m:rPr>
          <w:rPr>
            <w:rFonts w:ascii="Cambria Math" w:hAnsi="Cambria Math"/>
          </w:rPr>
          <m:t>:</m:t>
        </m:r>
      </m:oMath>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660B73" w:rsidRPr="001455DC" w14:paraId="48DD20D3" w14:textId="77777777" w:rsidTr="00EA7C41">
        <w:trPr>
          <w:cantSplit/>
        </w:trPr>
        <w:tc>
          <w:tcPr>
            <w:tcW w:w="8505" w:type="dxa"/>
            <w:vAlign w:val="center"/>
          </w:tcPr>
          <w:p w14:paraId="64BC1246" w14:textId="7C92E6AD" w:rsidR="00660B73" w:rsidRPr="001455DC" w:rsidRDefault="00231E33" w:rsidP="00EA7C41">
            <w:pPr>
              <w:pStyle w:val="Formula"/>
              <w:jc w:val="left"/>
            </w:pPr>
            <m:oMathPara>
              <m:oMathParaPr>
                <m:jc m:val="left"/>
              </m:oMathParaPr>
              <m:oMath>
                <m:sSub>
                  <m:sSubPr>
                    <m:ctrlPr>
                      <w:rPr>
                        <w:rFonts w:ascii="Cambria Math" w:hAnsi="Cambria Math"/>
                      </w:rPr>
                    </m:ctrlPr>
                  </m:sSubPr>
                  <m:e>
                    <m:r>
                      <w:rPr>
                        <w:rFonts w:ascii="Cambria Math" w:hAnsi="Cambria Math"/>
                      </w:rPr>
                      <m:t>κ</m:t>
                    </m:r>
                  </m:e>
                  <m:sub>
                    <m:r>
                      <m:rPr>
                        <m:sty m:val="p"/>
                      </m:rPr>
                      <w:rPr>
                        <w:rFonts w:ascii="Cambria Math" w:hAnsi="Cambria Math"/>
                      </w:rPr>
                      <m:t>G</m:t>
                    </m:r>
                  </m:sub>
                </m:sSub>
                <m:r>
                  <w:rPr>
                    <w:rFonts w:ascii="Cambria Math" w:hAnsi="Cambria Math"/>
                  </w:rPr>
                  <m:t>=1,0+</m:t>
                </m:r>
                <m:sSub>
                  <m:sSubPr>
                    <m:ctrlPr>
                      <w:rPr>
                        <w:rFonts w:ascii="Cambria Math" w:hAnsi="Cambria Math"/>
                      </w:rPr>
                    </m:ctrlPr>
                  </m:sSubPr>
                  <m:e>
                    <m:r>
                      <w:rPr>
                        <w:rFonts w:ascii="Cambria Math" w:hAnsi="Cambria Math"/>
                      </w:rPr>
                      <m:t>A</m:t>
                    </m:r>
                  </m:e>
                  <m:sub>
                    <m:r>
                      <m:rPr>
                        <m:sty m:val="p"/>
                      </m:rPr>
                      <w:rPr>
                        <w:rFonts w:ascii="Cambria Math" w:hAnsi="Cambria Math"/>
                      </w:rPr>
                      <m:t>ct</m:t>
                    </m:r>
                  </m:sub>
                </m:sSub>
                <m:r>
                  <w:rPr>
                    <w:rFonts w:ascii="Cambria Math" w:hAnsi="Cambria Math"/>
                  </w:rPr>
                  <m:t>∙0,5≤1,5</m:t>
                </m:r>
              </m:oMath>
            </m:oMathPara>
          </w:p>
        </w:tc>
        <w:tc>
          <w:tcPr>
            <w:tcW w:w="1247" w:type="dxa"/>
            <w:vAlign w:val="center"/>
          </w:tcPr>
          <w:p w14:paraId="1E15E41E" w14:textId="59632F2F" w:rsidR="00660B73" w:rsidRPr="001455DC" w:rsidRDefault="00660B73">
            <w:pPr>
              <w:pStyle w:val="a7"/>
              <w:jc w:val="right"/>
            </w:pPr>
            <w:r w:rsidRPr="001455DC">
              <w:t>(L.</w:t>
            </w:r>
            <w:r w:rsidR="000A360C" w:rsidRPr="001455DC">
              <w:t>17</w:t>
            </w:r>
            <w:r w:rsidRPr="001455DC">
              <w:t>)</w:t>
            </w:r>
          </w:p>
        </w:tc>
      </w:tr>
    </w:tbl>
    <w:p w14:paraId="611120FF" w14:textId="77777777" w:rsidR="00660B73" w:rsidRPr="001455DC" w:rsidRDefault="00660B73"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660B73" w:rsidRPr="001455DC" w14:paraId="2EA182D4" w14:textId="77777777" w:rsidTr="00EA7C41">
        <w:trPr>
          <w:cantSplit/>
        </w:trPr>
        <w:tc>
          <w:tcPr>
            <w:tcW w:w="567" w:type="dxa"/>
          </w:tcPr>
          <w:p w14:paraId="692BC262" w14:textId="73FC6525" w:rsidR="00660B73" w:rsidRPr="001455DC" w:rsidRDefault="00660B73" w:rsidP="0000442A">
            <w:pPr>
              <w:pStyle w:val="Tablebody"/>
            </w:pPr>
            <w:r w:rsidRPr="001455DC">
              <w:rPr>
                <w:rStyle w:val="CCMCvariableitalic"/>
              </w:rPr>
              <w:t>A</w:t>
            </w:r>
            <w:r w:rsidRPr="001455DC">
              <w:rPr>
                <w:rStyle w:val="CCMCvariablesubscript"/>
              </w:rPr>
              <w:t>ct</w:t>
            </w:r>
          </w:p>
        </w:tc>
        <w:tc>
          <w:tcPr>
            <w:tcW w:w="8845" w:type="dxa"/>
          </w:tcPr>
          <w:p w14:paraId="4ECD2216" w14:textId="4D160B05" w:rsidR="00660B73" w:rsidRPr="001455DC" w:rsidRDefault="00660B73" w:rsidP="00BB1209">
            <w:pPr>
              <w:pStyle w:val="Tablebody"/>
            </w:pPr>
            <w:r w:rsidRPr="001455DC">
              <w:rPr>
                <w:noProof/>
              </w:rPr>
              <w:t>area of the tension zone (in m²) of the cross</w:t>
            </w:r>
            <w:r w:rsidR="00B10711" w:rsidRPr="001455DC">
              <w:rPr>
                <w:noProof/>
              </w:rPr>
              <w:t xml:space="preserve"> </w:t>
            </w:r>
            <w:r w:rsidRPr="001455DC">
              <w:rPr>
                <w:noProof/>
              </w:rPr>
              <w:t>section involved in the failure of an equilibrium system.</w:t>
            </w:r>
          </w:p>
        </w:tc>
      </w:tr>
    </w:tbl>
    <w:p w14:paraId="47E64CDA" w14:textId="63D23B9E" w:rsidR="007D1D29" w:rsidRDefault="003E0584" w:rsidP="003F0CF8">
      <w:pPr>
        <w:pStyle w:val="FigureImage"/>
        <w:jc w:val="right"/>
        <w:rPr>
          <w:noProof/>
          <w:lang w:val="de-DE" w:eastAsia="de-DE"/>
        </w:rPr>
      </w:pPr>
      <w:r>
        <w:rPr>
          <w:noProof/>
          <w:lang w:val="de-DE" w:eastAsia="de-DE"/>
        </w:rPr>
        <w:t>Dimensions i</w:t>
      </w:r>
      <w:r w:rsidR="007D1D29">
        <w:rPr>
          <w:noProof/>
          <w:lang w:val="de-DE" w:eastAsia="de-DE"/>
        </w:rPr>
        <w:t>n millimetres</w:t>
      </w:r>
    </w:p>
    <w:p w14:paraId="5BC9B04A" w14:textId="646C237C" w:rsidR="004E22C1" w:rsidRPr="001455DC" w:rsidRDefault="00723CF7" w:rsidP="00660B73">
      <w:pPr>
        <w:pStyle w:val="FigureImage"/>
      </w:pPr>
      <w:r>
        <w:rPr>
          <w:noProof/>
          <w:lang w:eastAsia="en-GB"/>
        </w:rPr>
        <w:fldChar w:fldCharType="begin"/>
      </w:r>
      <w:r>
        <w:rPr>
          <w:noProof/>
          <w:lang w:eastAsia="en-GB"/>
        </w:rPr>
        <w:instrText xml:space="preserve"> INCLUDEPICTURE  "Y:\\STD_MGT\\STDDEL\\PRODUCTION\\etrans\\Download\\Z_FIRST_DEL\\SV\\00250\\00250269\\41_e_dr\\l003a.tif"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"Y:\\STD_MGT\\STDDEL\\PRODUCTION\\Standards\\00250\\269\\41_e_dr\\l003a.tif"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"Y:\\STD_MGT\\STDDEL\\PRODUCTION\\Standards\\00250\\269\\41_e_dr\\l003a.tif"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"Y:\\STD_MGT\\STDDEL\\PRODUCTION\\Standards\\00250\\269\\41_e_dr\\l003a.tif"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"Y:\\STD_MGT\\STDDEL\\PRODUCTION\\Standards\\00250\\269\\41_e_dr\\l003a.tif"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"Y:\\STD_MGT\\STDDEL\\PRODUCTION\\Standards\\00250\\269\\41_e_dr\\l003a.tif"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w:instrText>
      </w:r>
      <w:r w:rsidR="00231E33">
        <w:rPr>
          <w:noProof/>
          <w:lang w:eastAsia="en-GB"/>
        </w:rPr>
        <w:instrText>p\\Temp1_00250269_e_20210902.zip.zip\\41_e_dr\\l003a.tif"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3556E114">
          <v:shape id="_x0000_i1333" type="#_x0000_t75" style="width:310.5pt;height:90.75pt">
            <v:imagedata r:id="rId636" r:href="rId637"/>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637CDE3F" w14:textId="77777777" w:rsidR="004E22C1" w:rsidRPr="003E0584" w:rsidRDefault="004E22C1" w:rsidP="003E0584">
      <w:pPr>
        <w:pStyle w:val="FigureText"/>
        <w:jc w:val="center"/>
      </w:pPr>
      <w:r w:rsidRPr="003E0584">
        <w:t>a) Plastic distribution</w:t>
      </w:r>
    </w:p>
    <w:p w14:paraId="48670F25" w14:textId="6D97D105" w:rsidR="004E22C1" w:rsidRPr="001455DC" w:rsidRDefault="00723CF7" w:rsidP="00660B73">
      <w:pPr>
        <w:pStyle w:val="FigureImage"/>
      </w:pPr>
      <w:r>
        <w:rPr>
          <w:noProof/>
          <w:lang w:eastAsia="en-GB"/>
        </w:rPr>
        <w:fldChar w:fldCharType="begin"/>
      </w:r>
      <w:r>
        <w:rPr>
          <w:noProof/>
          <w:lang w:eastAsia="en-GB"/>
        </w:rPr>
        <w:instrText xml:space="preserve"> INCLUDEPICTURE  "Y:\\STD_MGT\\STDDEL\\PRODUCTION\\etrans\\Download\\Z_FIRST_DEL\\SV\\00250\\00250269\\41_e_dr\\l003b.tif"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"Y:\\STD_MGT\\STDDEL\\PRODUCTION\\Standards\\00250\\269\\41_e_dr\\l003b.tif"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"Y:\\STD_MGT\\STDDEL\\PRODUCTION\\Standards\\00250\\269\\41_e_dr\\l003b.tif"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"Y:\\STD_MGT\\STDDEL\\PRODUCTION\\Standards\\00250\\269\\41_e_dr\\l003b.tif"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"Y:\\STD_MGT\\STDDEL\\PRODUCTION\\Standards\\00250\\269\\41_e_dr\\l003b.tif"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"Y:\\STD_MGT\\STDDEL\\PRODUCTION\\Standards\\00250\\269\\41_e_dr\\l003b.tif"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w:instrText>
      </w:r>
      <w:r w:rsidR="00231E33">
        <w:rPr>
          <w:noProof/>
          <w:lang w:eastAsia="en-GB"/>
        </w:rPr>
        <w:instrText>p\\Temp1_00250269_e_20210902.zip.zip\\41_e_dr\\l003b.tif"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61059175">
          <v:shape id="_x0000_i1334" type="#_x0000_t75" style="width:337.5pt;height:135.75pt">
            <v:imagedata r:id="rId638" r:href="rId639"/>
          </v:shape>
        </w:pict>
      </w:r>
      <w:r w:rsidR="00231E33">
        <w:rPr>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p w14:paraId="34BCECBD" w14:textId="77777777" w:rsidR="004E22C1" w:rsidRPr="003E0584" w:rsidRDefault="004E22C1" w:rsidP="003E0584">
      <w:pPr>
        <w:pStyle w:val="FigureText"/>
        <w:jc w:val="center"/>
      </w:pPr>
      <w:r w:rsidRPr="003E0584">
        <w:t>b) bi-linear distribution</w:t>
      </w:r>
    </w:p>
    <w:p w14:paraId="4ED2D086" w14:textId="77777777" w:rsidR="004E22C1" w:rsidRPr="001455DC" w:rsidRDefault="004E22C1" w:rsidP="00660B73">
      <w:pPr>
        <w:pStyle w:val="Figuretitle"/>
      </w:pPr>
      <w:r w:rsidRPr="001455DC">
        <w:t>Figure L.3 — Simplified stress distributions for SFRC</w:t>
      </w:r>
    </w:p>
    <w:p w14:paraId="0896718F" w14:textId="61B19CB3" w:rsidR="004E22C1" w:rsidRPr="001455DC" w:rsidRDefault="004E22C1" w:rsidP="00243590">
      <w:pPr>
        <w:pStyle w:val="a3"/>
      </w:pPr>
      <w:bookmarkStart w:id="2275" w:name="_Toc52820395"/>
      <w:bookmarkStart w:id="2276" w:name="_Toc54337830"/>
      <w:bookmarkStart w:id="2277" w:name="_Toc54338440"/>
      <w:r w:rsidRPr="001455DC">
        <w:t>Shear</w:t>
      </w:r>
      <w:bookmarkEnd w:id="2275"/>
      <w:bookmarkEnd w:id="2276"/>
      <w:bookmarkEnd w:id="2277"/>
    </w:p>
    <w:p w14:paraId="0E8F3C5D" w14:textId="75D56FB7" w:rsidR="004E22C1" w:rsidRPr="001455DC" w:rsidRDefault="004E22C1" w:rsidP="00243590">
      <w:pPr>
        <w:pStyle w:val="a4"/>
      </w:pPr>
      <w:bookmarkStart w:id="2278" w:name="_Toc52820396"/>
      <w:bookmarkStart w:id="2279" w:name="_Toc54337831"/>
      <w:bookmarkStart w:id="2280" w:name="_Toc54338441"/>
      <w:r w:rsidRPr="001455DC">
        <w:t>General verification procedure</w:t>
      </w:r>
      <w:bookmarkEnd w:id="2278"/>
      <w:bookmarkEnd w:id="2279"/>
      <w:bookmarkEnd w:id="2280"/>
    </w:p>
    <w:p w14:paraId="280B8537" w14:textId="4F11E311" w:rsidR="004E22C1" w:rsidRPr="001455DC" w:rsidRDefault="004E22C1" w:rsidP="00246C87">
      <w:pPr>
        <w:pStyle w:val="a7"/>
      </w:pPr>
      <w:r w:rsidRPr="001455DC">
        <w:t>(1)</w:t>
      </w:r>
      <w:r w:rsidRPr="001455DC">
        <w:tab/>
        <w:t xml:space="preserve">Shear reinforcement may be omitted in regions of the SFRC member where </w:t>
      </w:r>
      <w:r w:rsidRPr="001455DC">
        <w:rPr>
          <w:rStyle w:val="CCMCvariableitalic"/>
        </w:rPr>
        <w:t>τ</w:t>
      </w:r>
      <w:r w:rsidRPr="001455DC">
        <w:rPr>
          <w:rStyle w:val="CCMCvariablesubscript"/>
        </w:rPr>
        <w:t>Ed</w:t>
      </w:r>
      <w:r w:rsidRPr="001455DC">
        <w:t> </w:t>
      </w:r>
      <w:r w:rsidR="00650035" w:rsidRPr="001455DC">
        <w:rPr>
          <w:rFonts w:ascii="Cambria Math" w:hAnsi="Cambria Math"/>
        </w:rPr>
        <w:t>≤</w:t>
      </w:r>
      <w:r w:rsidRPr="001455DC">
        <w:t> </w:t>
      </w:r>
      <w:r w:rsidRPr="001455DC">
        <w:rPr>
          <w:rStyle w:val="CCMCvariableitalic"/>
        </w:rPr>
        <w:t>τ</w:t>
      </w:r>
      <w:r w:rsidRPr="001455DC">
        <w:rPr>
          <w:rStyle w:val="CCMCvariablesubscript"/>
        </w:rPr>
        <w:t>RD,cF</w:t>
      </w:r>
      <w:r w:rsidRPr="001455DC">
        <w:t xml:space="preserve"> according to L.8.2.2.</w:t>
      </w:r>
    </w:p>
    <w:p w14:paraId="5D02691E" w14:textId="77777777" w:rsidR="004E22C1" w:rsidRPr="001455DC" w:rsidRDefault="004E22C1" w:rsidP="00246C87">
      <w:pPr>
        <w:pStyle w:val="a7"/>
      </w:pPr>
      <w:r w:rsidRPr="001455DC">
        <w:t>(2)</w:t>
      </w:r>
      <w:r w:rsidRPr="001455DC">
        <w:tab/>
        <w:t>If (1) is not met, shear reinforcement shall be designed according to L.8.2.3.</w:t>
      </w:r>
    </w:p>
    <w:p w14:paraId="40879172" w14:textId="77777777" w:rsidR="004E22C1" w:rsidRPr="001455DC" w:rsidRDefault="004E22C1" w:rsidP="00246C87">
      <w:pPr>
        <w:pStyle w:val="a7"/>
      </w:pPr>
      <w:r w:rsidRPr="001455DC">
        <w:t>(3)</w:t>
      </w:r>
      <w:r w:rsidRPr="001455DC">
        <w:tab/>
        <w:t>Steel fibres shall not be taken into account for members resisting shear in combination with axial tension.</w:t>
      </w:r>
    </w:p>
    <w:p w14:paraId="2BE38B52" w14:textId="182BC6E1" w:rsidR="004E22C1" w:rsidRPr="001455DC" w:rsidRDefault="004E22C1" w:rsidP="00243590">
      <w:pPr>
        <w:pStyle w:val="a4"/>
      </w:pPr>
      <w:bookmarkStart w:id="2281" w:name="_Toc52820397"/>
      <w:bookmarkStart w:id="2282" w:name="_Toc54337832"/>
      <w:bookmarkStart w:id="2283" w:name="_Toc54338442"/>
      <w:r w:rsidRPr="001455DC">
        <w:t>Detailed verification for members not requiring design shear reinforcement</w:t>
      </w:r>
      <w:bookmarkEnd w:id="2281"/>
      <w:bookmarkEnd w:id="2282"/>
      <w:bookmarkEnd w:id="2283"/>
    </w:p>
    <w:p w14:paraId="53649883" w14:textId="752D5146" w:rsidR="004E22C1" w:rsidRPr="001455DC" w:rsidRDefault="004E22C1" w:rsidP="00DE6BBC">
      <w:pPr>
        <w:pStyle w:val="a7"/>
        <w:keepNext/>
      </w:pPr>
      <w:r w:rsidRPr="001455DC">
        <w:t>(1)</w:t>
      </w:r>
      <w:r w:rsidRPr="001455DC">
        <w:tab/>
        <w:t>For SFRC with longitudinal bars in the tensile zone, the design value of the shear strength should be taken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C0743C" w:rsidRPr="001455DC" w14:paraId="151691F1" w14:textId="77777777" w:rsidTr="00EA7C41">
        <w:trPr>
          <w:cantSplit/>
        </w:trPr>
        <w:tc>
          <w:tcPr>
            <w:tcW w:w="8505" w:type="dxa"/>
            <w:vAlign w:val="center"/>
          </w:tcPr>
          <w:p w14:paraId="5B41208B" w14:textId="62342678" w:rsidR="00C0743C" w:rsidRPr="001455DC" w:rsidRDefault="00231E33" w:rsidP="00EA7C41">
            <w:pPr>
              <w:pStyle w:val="Formula"/>
              <w:jc w:val="left"/>
            </w:pPr>
            <m:oMathPara>
              <m:oMathParaPr>
                <m:jc m:val="left"/>
              </m:oMathParaPr>
              <m:oMath>
                <m:sSub>
                  <m:sSubPr>
                    <m:ctrlPr>
                      <w:rPr>
                        <w:rFonts w:ascii="Cambria Math" w:hAnsi="Cambria Math"/>
                        <w:bCs/>
                      </w:rPr>
                    </m:ctrlPr>
                  </m:sSubPr>
                  <m:e>
                    <m:r>
                      <w:rPr>
                        <w:rFonts w:ascii="Cambria Math" w:hAnsi="Cambria Math"/>
                      </w:rPr>
                      <m:t>τ</m:t>
                    </m:r>
                  </m:e>
                  <m:sub>
                    <m:r>
                      <m:rPr>
                        <m:sty m:val="p"/>
                      </m:rPr>
                      <w:rPr>
                        <w:rFonts w:ascii="Cambria Math" w:hAnsi="Cambria Math"/>
                      </w:rPr>
                      <m:t>Rd,cF</m:t>
                    </m:r>
                  </m:sub>
                </m:sSub>
                <m:r>
                  <w:rPr>
                    <w:rFonts w:ascii="Cambria Math" w:hAnsi="Cambria Math"/>
                  </w:rPr>
                  <m:t>=η⋅</m:t>
                </m:r>
                <m:f>
                  <m:fPr>
                    <m:ctrlPr>
                      <w:rPr>
                        <w:rFonts w:ascii="Cambria Math" w:hAnsi="Cambria Math"/>
                        <w:bCs/>
                      </w:rPr>
                    </m:ctrlPr>
                  </m:fPr>
                  <m:num>
                    <m:r>
                      <w:rPr>
                        <w:rFonts w:ascii="Cambria Math" w:hAnsi="Cambria Math"/>
                      </w:rPr>
                      <m:t>0,6</m:t>
                    </m:r>
                  </m:num>
                  <m:den>
                    <m:sSub>
                      <m:sSubPr>
                        <m:ctrlPr>
                          <w:rPr>
                            <w:rFonts w:ascii="Cambria Math" w:hAnsi="Cambria Math"/>
                            <w:bCs/>
                          </w:rPr>
                        </m:ctrlPr>
                      </m:sSubPr>
                      <m:e>
                        <m:r>
                          <w:rPr>
                            <w:rFonts w:ascii="Cambria Math" w:hAnsi="Cambria Math"/>
                          </w:rPr>
                          <m:t>γ</m:t>
                        </m:r>
                      </m:e>
                      <m:sub>
                        <m:r>
                          <m:rPr>
                            <m:sty m:val="p"/>
                          </m:rPr>
                          <w:rPr>
                            <w:rFonts w:ascii="Cambria Math" w:hAnsi="Cambria Math"/>
                          </w:rPr>
                          <m:t>c</m:t>
                        </m:r>
                      </m:sub>
                    </m:sSub>
                  </m:den>
                </m:f>
                <m:sSup>
                  <m:sSupPr>
                    <m:ctrlPr>
                      <w:rPr>
                        <w:rFonts w:ascii="Cambria Math" w:hAnsi="Cambria Math"/>
                        <w:bCs/>
                        <w:i/>
                      </w:rPr>
                    </m:ctrlPr>
                  </m:sSupPr>
                  <m:e>
                    <m:d>
                      <m:dPr>
                        <m:ctrlPr>
                          <w:rPr>
                            <w:rFonts w:ascii="Cambria Math" w:hAnsi="Cambria Math"/>
                            <w:bCs/>
                          </w:rPr>
                        </m:ctrlPr>
                      </m:dPr>
                      <m:e>
                        <m:r>
                          <w:rPr>
                            <w:rFonts w:ascii="Cambria Math" w:hAnsi="Cambria Math"/>
                          </w:rPr>
                          <m:t>100</m:t>
                        </m:r>
                        <m:sSub>
                          <m:sSubPr>
                            <m:ctrlPr>
                              <w:rPr>
                                <w:rFonts w:ascii="Cambria Math" w:hAnsi="Cambria Math"/>
                                <w:bCs/>
                              </w:rPr>
                            </m:ctrlPr>
                          </m:sSubPr>
                          <m:e>
                            <m:r>
                              <w:rPr>
                                <w:rFonts w:ascii="Cambria Math" w:hAnsi="Cambria Math"/>
                              </w:rPr>
                              <m:t>ρ</m:t>
                            </m:r>
                          </m:e>
                          <m:sub>
                            <m:r>
                              <w:rPr>
                                <w:rFonts w:ascii="Cambria Math" w:hAnsi="Cambria Math"/>
                              </w:rPr>
                              <m:t>l</m:t>
                            </m:r>
                          </m:sub>
                        </m:sSub>
                        <m:sSub>
                          <m:sSubPr>
                            <m:ctrlPr>
                              <w:rPr>
                                <w:rFonts w:ascii="Cambria Math" w:hAnsi="Cambria Math"/>
                                <w:bCs/>
                              </w:rPr>
                            </m:ctrlPr>
                          </m:sSubPr>
                          <m:e>
                            <m:r>
                              <w:rPr>
                                <w:rFonts w:ascii="Cambria Math" w:hAnsi="Cambria Math"/>
                              </w:rPr>
                              <m:t>⋅f</m:t>
                            </m:r>
                          </m:e>
                          <m:sub>
                            <m:r>
                              <m:rPr>
                                <m:sty m:val="p"/>
                              </m:rPr>
                              <w:rPr>
                                <w:rFonts w:ascii="Cambria Math" w:hAnsi="Cambria Math"/>
                              </w:rPr>
                              <m:t>ck</m:t>
                            </m:r>
                          </m:sub>
                        </m:sSub>
                        <m:f>
                          <m:fPr>
                            <m:ctrlPr>
                              <w:rPr>
                                <w:rFonts w:ascii="Cambria Math" w:hAnsi="Cambria Math"/>
                                <w:bCs/>
                              </w:rPr>
                            </m:ctrlPr>
                          </m:fPr>
                          <m:num>
                            <m:sSub>
                              <m:sSubPr>
                                <m:ctrlPr>
                                  <w:rPr>
                                    <w:rFonts w:ascii="Cambria Math" w:hAnsi="Cambria Math"/>
                                    <w:bCs/>
                                  </w:rPr>
                                </m:ctrlPr>
                              </m:sSubPr>
                              <m:e>
                                <m:r>
                                  <w:rPr>
                                    <w:rFonts w:ascii="Cambria Math" w:hAnsi="Cambria Math"/>
                                  </w:rPr>
                                  <m:t>d</m:t>
                                </m:r>
                              </m:e>
                              <m:sub>
                                <m:r>
                                  <m:rPr>
                                    <m:sty m:val="p"/>
                                  </m:rPr>
                                  <w:rPr>
                                    <w:rFonts w:ascii="Cambria Math" w:hAnsi="Cambria Math"/>
                                  </w:rPr>
                                  <m:t>dg</m:t>
                                </m:r>
                              </m:sub>
                            </m:sSub>
                          </m:num>
                          <m:den>
                            <m:r>
                              <w:rPr>
                                <w:rFonts w:ascii="Cambria Math" w:hAnsi="Cambria Math"/>
                              </w:rPr>
                              <m:t>d</m:t>
                            </m:r>
                          </m:den>
                        </m:f>
                      </m:e>
                    </m:d>
                    <m:ctrlPr>
                      <w:rPr>
                        <w:rFonts w:ascii="Cambria Math" w:hAnsi="Cambria Math"/>
                        <w:bCs/>
                      </w:rPr>
                    </m:ctrlPr>
                  </m:e>
                  <m:sup>
                    <m:r>
                      <w:rPr>
                        <w:rFonts w:ascii="Cambria Math" w:hAnsi="Cambria Math"/>
                      </w:rPr>
                      <m:t>1/3</m:t>
                    </m:r>
                    <m:ctrlPr>
                      <w:rPr>
                        <w:rFonts w:ascii="Cambria Math" w:hAnsi="Cambria Math"/>
                        <w:bCs/>
                      </w:rPr>
                    </m:ctrlPr>
                  </m:sup>
                </m:sSup>
                <m:r>
                  <w:rPr>
                    <w:rFonts w:ascii="Cambria Math" w:hAnsi="Cambria Math"/>
                  </w:rPr>
                  <m:t>+</m:t>
                </m:r>
                <m:sSub>
                  <m:sSubPr>
                    <m:ctrlPr>
                      <w:rPr>
                        <w:rFonts w:ascii="Cambria Math" w:hAnsi="Cambria Math"/>
                        <w:bCs/>
                      </w:rPr>
                    </m:ctrlPr>
                  </m:sSubPr>
                  <m:e>
                    <m:r>
                      <w:rPr>
                        <w:rFonts w:ascii="Cambria Math" w:hAnsi="Cambria Math"/>
                      </w:rPr>
                      <m:t>f</m:t>
                    </m:r>
                  </m:e>
                  <m:sub>
                    <m:r>
                      <m:rPr>
                        <m:sty m:val="p"/>
                      </m:rPr>
                      <w:rPr>
                        <w:rFonts w:ascii="Cambria Math" w:hAnsi="Cambria Math"/>
                      </w:rPr>
                      <m:t>Ftud</m:t>
                    </m:r>
                  </m:sub>
                </m:sSub>
                <m:r>
                  <w:rPr>
                    <w:rFonts w:ascii="Cambria Math" w:hAnsi="Cambria Math"/>
                  </w:rPr>
                  <m:t>≥η⋅</m:t>
                </m:r>
                <m:sSub>
                  <m:sSubPr>
                    <m:ctrlPr>
                      <w:rPr>
                        <w:rFonts w:ascii="Cambria Math" w:hAnsi="Cambria Math"/>
                        <w:bCs/>
                      </w:rPr>
                    </m:ctrlPr>
                  </m:sSubPr>
                  <m:e>
                    <m:r>
                      <w:rPr>
                        <w:rFonts w:ascii="Cambria Math" w:hAnsi="Cambria Math"/>
                      </w:rPr>
                      <m:t>τ</m:t>
                    </m:r>
                  </m:e>
                  <m:sub>
                    <m:r>
                      <m:rPr>
                        <m:sty m:val="p"/>
                      </m:rPr>
                      <w:rPr>
                        <w:rFonts w:ascii="Cambria Math" w:hAnsi="Cambria Math"/>
                      </w:rPr>
                      <m:t>Rdc,min</m:t>
                    </m:r>
                  </m:sub>
                </m:sSub>
                <m:r>
                  <w:rPr>
                    <w:rFonts w:ascii="Cambria Math" w:hAnsi="Cambria Math"/>
                  </w:rPr>
                  <m:t>+</m:t>
                </m:r>
                <m:sSub>
                  <m:sSubPr>
                    <m:ctrlPr>
                      <w:rPr>
                        <w:rFonts w:ascii="Cambria Math" w:hAnsi="Cambria Math"/>
                        <w:bCs/>
                      </w:rPr>
                    </m:ctrlPr>
                  </m:sSubPr>
                  <m:e>
                    <m:r>
                      <w:rPr>
                        <w:rFonts w:ascii="Cambria Math" w:hAnsi="Cambria Math"/>
                      </w:rPr>
                      <m:t>f</m:t>
                    </m:r>
                  </m:e>
                  <m:sub>
                    <m:r>
                      <m:rPr>
                        <m:sty m:val="p"/>
                      </m:rPr>
                      <w:rPr>
                        <w:rFonts w:ascii="Cambria Math" w:hAnsi="Cambria Math"/>
                      </w:rPr>
                      <m:t>Ftud</m:t>
                    </m:r>
                  </m:sub>
                </m:sSub>
              </m:oMath>
            </m:oMathPara>
          </w:p>
        </w:tc>
        <w:tc>
          <w:tcPr>
            <w:tcW w:w="1247" w:type="dxa"/>
            <w:vAlign w:val="center"/>
          </w:tcPr>
          <w:p w14:paraId="6C8A6A22" w14:textId="627961E7" w:rsidR="00C0743C" w:rsidRPr="001455DC" w:rsidRDefault="00C0743C">
            <w:pPr>
              <w:pStyle w:val="a7"/>
              <w:jc w:val="right"/>
            </w:pPr>
            <w:r w:rsidRPr="001455DC">
              <w:t>(L.</w:t>
            </w:r>
            <w:r w:rsidR="00596DE0" w:rsidRPr="001455DC">
              <w:t>18</w:t>
            </w:r>
            <w:r w:rsidRPr="001455DC">
              <w:t>)</w:t>
            </w:r>
          </w:p>
        </w:tc>
      </w:tr>
      <w:tr w:rsidR="00C0743C" w:rsidRPr="001455DC" w14:paraId="0911F15B" w14:textId="77777777" w:rsidTr="00EA7C41">
        <w:trPr>
          <w:cantSplit/>
        </w:trPr>
        <w:tc>
          <w:tcPr>
            <w:tcW w:w="8505" w:type="dxa"/>
            <w:vAlign w:val="center"/>
          </w:tcPr>
          <w:p w14:paraId="56CF5EA9" w14:textId="6166BF15" w:rsidR="00C0743C" w:rsidRPr="001455DC" w:rsidRDefault="00C0743C" w:rsidP="00EA7C41">
            <w:pPr>
              <w:pStyle w:val="Formula"/>
              <w:jc w:val="left"/>
            </w:pPr>
            <m:oMathPara>
              <m:oMathParaPr>
                <m:jc m:val="left"/>
              </m:oMathParaPr>
              <m:oMath>
                <m:r>
                  <w:rPr>
                    <w:rFonts w:ascii="Cambria Math" w:hAnsi="Cambria Math"/>
                  </w:rPr>
                  <m:t>η=</m:t>
                </m:r>
                <m:r>
                  <m:rPr>
                    <m:sty m:val="p"/>
                  </m:rPr>
                  <w:rPr>
                    <w:rFonts w:ascii="Cambria Math" w:hAnsi="Cambria Math"/>
                  </w:rPr>
                  <m:t>max</m:t>
                </m:r>
                <m:r>
                  <w:rPr>
                    <w:rFonts w:ascii="Cambria Math" w:hAnsi="Cambria Math"/>
                  </w:rPr>
                  <m:t>{</m:t>
                </m:r>
                <m:f>
                  <m:fPr>
                    <m:ctrlPr>
                      <w:rPr>
                        <w:rFonts w:ascii="Cambria Math" w:hAnsi="Cambria Math"/>
                        <w:bCs/>
                      </w:rPr>
                    </m:ctrlPr>
                  </m:fPr>
                  <m:num>
                    <m:r>
                      <w:rPr>
                        <w:rFonts w:ascii="Cambria Math" w:hAnsi="Cambria Math"/>
                      </w:rPr>
                      <m:t>1</m:t>
                    </m:r>
                  </m:num>
                  <m:den>
                    <m:r>
                      <w:rPr>
                        <w:rFonts w:ascii="Cambria Math" w:hAnsi="Cambria Math"/>
                      </w:rPr>
                      <m:t>1+0,43</m:t>
                    </m:r>
                    <m:sSubSup>
                      <m:sSubSupPr>
                        <m:ctrlPr>
                          <w:rPr>
                            <w:rFonts w:ascii="Cambria Math" w:hAnsi="Cambria Math"/>
                            <w:bCs/>
                            <w:iCs/>
                          </w:rPr>
                        </m:ctrlPr>
                      </m:sSubSupPr>
                      <m:e>
                        <m:r>
                          <w:rPr>
                            <w:rFonts w:ascii="Cambria Math" w:hAnsi="Cambria Math"/>
                          </w:rPr>
                          <m:t>f</m:t>
                        </m:r>
                      </m:e>
                      <m:sub>
                        <m:r>
                          <m:rPr>
                            <m:sty m:val="p"/>
                          </m:rPr>
                          <w:rPr>
                            <w:rFonts w:ascii="Cambria Math" w:hAnsi="Cambria Math"/>
                          </w:rPr>
                          <m:t>Ftuk</m:t>
                        </m:r>
                      </m:sub>
                      <m:sup>
                        <m:r>
                          <w:rPr>
                            <w:rFonts w:ascii="Cambria Math" w:hAnsi="Cambria Math"/>
                          </w:rPr>
                          <m:t>2,85</m:t>
                        </m:r>
                      </m:sup>
                    </m:sSubSup>
                  </m:den>
                </m:f>
                <m:r>
                  <w:rPr>
                    <w:rFonts w:ascii="Cambria Math" w:hAnsi="Cambria Math"/>
                  </w:rPr>
                  <m:t>;0,4}</m:t>
                </m:r>
              </m:oMath>
            </m:oMathPara>
          </w:p>
        </w:tc>
        <w:tc>
          <w:tcPr>
            <w:tcW w:w="1247" w:type="dxa"/>
            <w:vAlign w:val="center"/>
          </w:tcPr>
          <w:p w14:paraId="6C6F68BC" w14:textId="65ADD5A6" w:rsidR="00C0743C" w:rsidRPr="001455DC" w:rsidRDefault="00C0743C" w:rsidP="00EA7C41">
            <w:pPr>
              <w:pStyle w:val="a7"/>
              <w:jc w:val="right"/>
            </w:pPr>
            <w:r w:rsidRPr="001455DC">
              <w:t>(L.</w:t>
            </w:r>
            <w:r w:rsidR="00596DE0" w:rsidRPr="001455DC">
              <w:t>19</w:t>
            </w:r>
            <w:r w:rsidRPr="001455DC">
              <w:t>)</w:t>
            </w:r>
          </w:p>
        </w:tc>
      </w:tr>
    </w:tbl>
    <w:p w14:paraId="6FA6E55E" w14:textId="678DC981" w:rsidR="004E22C1" w:rsidRPr="001455DC" w:rsidRDefault="004E22C1" w:rsidP="00246C87">
      <w:pPr>
        <w:pStyle w:val="a7"/>
      </w:pPr>
      <w:r w:rsidRPr="001455DC">
        <w:t>(2)</w:t>
      </w:r>
      <w:r w:rsidRPr="001455DC">
        <w:tab/>
        <w:t xml:space="preserve">When, on the basis of the design shear calculation, no shear reinforcement is required, minimum shear reinforcement may be needed according to </w:t>
      </w:r>
      <w:r w:rsidR="001710FF" w:rsidRPr="001455DC">
        <w:t>L</w:t>
      </w:r>
      <w:r w:rsidRPr="001455DC">
        <w:t>.12.</w:t>
      </w:r>
    </w:p>
    <w:p w14:paraId="70BA4866" w14:textId="58EA2F60" w:rsidR="004E22C1" w:rsidRPr="001455DC" w:rsidRDefault="004E22C1" w:rsidP="00243590">
      <w:pPr>
        <w:pStyle w:val="a4"/>
      </w:pPr>
      <w:bookmarkStart w:id="2284" w:name="_Toc52820398"/>
      <w:bookmarkStart w:id="2285" w:name="_Toc54337833"/>
      <w:bookmarkStart w:id="2286" w:name="_Toc54338443"/>
      <w:r w:rsidRPr="001455DC">
        <w:t>Members requiring design shear reinforcement</w:t>
      </w:r>
      <w:bookmarkEnd w:id="2284"/>
      <w:bookmarkEnd w:id="2285"/>
      <w:bookmarkEnd w:id="2286"/>
    </w:p>
    <w:p w14:paraId="357857A2" w14:textId="1064E9AF" w:rsidR="004E22C1" w:rsidRPr="001455DC" w:rsidRDefault="004E22C1" w:rsidP="00DE6BBC">
      <w:pPr>
        <w:pStyle w:val="a7"/>
        <w:keepNext/>
      </w:pPr>
      <w:r w:rsidRPr="001455DC">
        <w:t>(1)</w:t>
      </w:r>
      <w:r w:rsidRPr="001455DC">
        <w:tab/>
        <w:t>For members with SFRC that require design shear reinforcement, and have steel fibres and longitudinal bars in the tensile zone, the design value of the shear strength should be taken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C0743C" w:rsidRPr="001455DC" w14:paraId="35599766" w14:textId="77777777" w:rsidTr="00EA7C41">
        <w:trPr>
          <w:cantSplit/>
        </w:trPr>
        <w:tc>
          <w:tcPr>
            <w:tcW w:w="8505" w:type="dxa"/>
            <w:vAlign w:val="center"/>
          </w:tcPr>
          <w:p w14:paraId="5AF932CF" w14:textId="08BF0FF5" w:rsidR="00C0743C" w:rsidRPr="001455DC" w:rsidRDefault="00231E33" w:rsidP="00EA7C41">
            <w:pPr>
              <w:pStyle w:val="Formula"/>
              <w:jc w:val="left"/>
            </w:pPr>
            <m:oMathPara>
              <m:oMathParaPr>
                <m:jc m:val="left"/>
              </m:oMathParaPr>
              <m:oMath>
                <m:sSub>
                  <m:sSubPr>
                    <m:ctrlPr>
                      <w:rPr>
                        <w:rFonts w:ascii="Cambria Math" w:hAnsi="Cambria Math"/>
                        <w:bCs/>
                      </w:rPr>
                    </m:ctrlPr>
                  </m:sSubPr>
                  <m:e>
                    <m:r>
                      <w:rPr>
                        <w:rFonts w:ascii="Cambria Math" w:hAnsi="Cambria Math"/>
                      </w:rPr>
                      <m:t>τ</m:t>
                    </m:r>
                  </m:e>
                  <m:sub>
                    <m:r>
                      <m:rPr>
                        <m:sty m:val="p"/>
                      </m:rPr>
                      <w:rPr>
                        <w:rFonts w:ascii="Cambria Math" w:hAnsi="Cambria Math"/>
                      </w:rPr>
                      <m:t>Rd,sF</m:t>
                    </m:r>
                  </m:sub>
                </m:sSub>
                <m:r>
                  <w:rPr>
                    <w:rFonts w:ascii="Cambria Math" w:hAnsi="Cambria Math"/>
                  </w:rPr>
                  <m:t xml:space="preserve">= </m:t>
                </m:r>
                <m:sSub>
                  <m:sSubPr>
                    <m:ctrlPr>
                      <w:rPr>
                        <w:rFonts w:ascii="Cambria Math" w:hAnsi="Cambria Math"/>
                        <w:bCs/>
                      </w:rPr>
                    </m:ctrlPr>
                  </m:sSubPr>
                  <m:e>
                    <m:r>
                      <w:rPr>
                        <w:rFonts w:ascii="Cambria Math" w:hAnsi="Cambria Math"/>
                      </w:rPr>
                      <m:t>η</m:t>
                    </m:r>
                  </m:e>
                  <m:sub>
                    <m:r>
                      <m:rPr>
                        <m:sty m:val="p"/>
                      </m:rPr>
                      <w:rPr>
                        <w:rFonts w:ascii="Cambria Math" w:hAnsi="Cambria Math"/>
                      </w:rPr>
                      <m:t>ss</m:t>
                    </m:r>
                  </m:sub>
                </m:sSub>
                <m:sSub>
                  <m:sSubPr>
                    <m:ctrlPr>
                      <w:rPr>
                        <w:rFonts w:ascii="Cambria Math" w:hAnsi="Cambria Math"/>
                        <w:bCs/>
                      </w:rPr>
                    </m:ctrlPr>
                  </m:sSubPr>
                  <m:e>
                    <m:r>
                      <w:rPr>
                        <w:rFonts w:ascii="Cambria Math" w:hAnsi="Cambria Math"/>
                      </w:rPr>
                      <m:t>ρ</m:t>
                    </m:r>
                  </m:e>
                  <m:sub>
                    <m:r>
                      <m:rPr>
                        <m:sty m:val="p"/>
                      </m:rPr>
                      <w:rPr>
                        <w:rFonts w:ascii="Cambria Math" w:hAnsi="Cambria Math"/>
                      </w:rPr>
                      <m:t>w</m:t>
                    </m:r>
                  </m:sub>
                </m:sSub>
                <m:sSub>
                  <m:sSubPr>
                    <m:ctrlPr>
                      <w:rPr>
                        <w:rFonts w:ascii="Cambria Math" w:hAnsi="Cambria Math"/>
                        <w:bCs/>
                      </w:rPr>
                    </m:ctrlPr>
                  </m:sSubPr>
                  <m:e>
                    <m:r>
                      <w:rPr>
                        <w:rFonts w:ascii="Cambria Math" w:hAnsi="Cambria Math"/>
                      </w:rPr>
                      <m:t>f</m:t>
                    </m:r>
                  </m:e>
                  <m:sub>
                    <m:r>
                      <m:rPr>
                        <m:sty m:val="p"/>
                      </m:rPr>
                      <w:rPr>
                        <w:rFonts w:ascii="Cambria Math" w:hAnsi="Cambria Math"/>
                      </w:rPr>
                      <m:t>yd</m:t>
                    </m:r>
                  </m:sub>
                </m:sSub>
                <m:r>
                  <w:rPr>
                    <w:rFonts w:ascii="Cambria Math" w:hAnsi="Cambria Math"/>
                  </w:rPr>
                  <m:t>+</m:t>
                </m:r>
                <m:sSub>
                  <m:sSubPr>
                    <m:ctrlPr>
                      <w:rPr>
                        <w:rFonts w:ascii="Cambria Math" w:hAnsi="Cambria Math"/>
                        <w:bCs/>
                      </w:rPr>
                    </m:ctrlPr>
                  </m:sSubPr>
                  <m:e>
                    <m:r>
                      <w:rPr>
                        <w:rFonts w:ascii="Cambria Math" w:hAnsi="Cambria Math"/>
                      </w:rPr>
                      <m:t>η</m:t>
                    </m:r>
                  </m:e>
                  <m:sub>
                    <m:r>
                      <m:rPr>
                        <m:sty m:val="p"/>
                      </m:rPr>
                      <w:rPr>
                        <w:rFonts w:ascii="Cambria Math" w:hAnsi="Cambria Math"/>
                      </w:rPr>
                      <m:t>F</m:t>
                    </m:r>
                  </m:sub>
                </m:sSub>
                <m:sSub>
                  <m:sSubPr>
                    <m:ctrlPr>
                      <w:rPr>
                        <w:rFonts w:ascii="Cambria Math" w:hAnsi="Cambria Math"/>
                        <w:bCs/>
                      </w:rPr>
                    </m:ctrlPr>
                  </m:sSubPr>
                  <m:e>
                    <m:r>
                      <w:rPr>
                        <w:rFonts w:ascii="Cambria Math" w:hAnsi="Cambria Math"/>
                      </w:rPr>
                      <m:t>f</m:t>
                    </m:r>
                  </m:e>
                  <m:sub>
                    <m:r>
                      <m:rPr>
                        <m:sty m:val="p"/>
                      </m:rPr>
                      <w:rPr>
                        <w:rFonts w:ascii="Cambria Math" w:hAnsi="Cambria Math"/>
                      </w:rPr>
                      <m:t>Ftud</m:t>
                    </m:r>
                  </m:sub>
                </m:sSub>
              </m:oMath>
            </m:oMathPara>
          </w:p>
        </w:tc>
        <w:tc>
          <w:tcPr>
            <w:tcW w:w="1247" w:type="dxa"/>
            <w:vAlign w:val="center"/>
          </w:tcPr>
          <w:p w14:paraId="251F1AF3" w14:textId="2B284932" w:rsidR="00C0743C" w:rsidRPr="001455DC" w:rsidRDefault="00C0743C">
            <w:pPr>
              <w:pStyle w:val="a7"/>
              <w:jc w:val="right"/>
            </w:pPr>
            <w:r w:rsidRPr="001455DC">
              <w:t>(L.</w:t>
            </w:r>
            <w:r w:rsidR="00596DE0" w:rsidRPr="001455DC">
              <w:t>20</w:t>
            </w:r>
            <w:r w:rsidRPr="001455DC">
              <w:t>)</w:t>
            </w:r>
          </w:p>
        </w:tc>
      </w:tr>
    </w:tbl>
    <w:p w14:paraId="35329CF6" w14:textId="73CC4379" w:rsidR="004E22C1" w:rsidRPr="001455DC" w:rsidRDefault="004E22C1" w:rsidP="00A35599">
      <w:pPr>
        <w:pStyle w:val="a7"/>
        <w:keepNext/>
      </w:pPr>
      <w:r w:rsidRPr="001455DC">
        <w:t>where</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9752"/>
      </w:tblGrid>
      <w:tr w:rsidR="00C0743C" w:rsidRPr="001455DC" w14:paraId="66C4B786" w14:textId="77777777" w:rsidTr="00EA7C41">
        <w:trPr>
          <w:cantSplit/>
        </w:trPr>
        <w:tc>
          <w:tcPr>
            <w:tcW w:w="9752" w:type="dxa"/>
            <w:vAlign w:val="center"/>
          </w:tcPr>
          <w:p w14:paraId="38386698" w14:textId="05366C64" w:rsidR="00C0743C" w:rsidRPr="001455DC" w:rsidRDefault="00231E33" w:rsidP="00C0743C">
            <w:pPr>
              <w:pStyle w:val="Formula"/>
            </w:pPr>
            <m:oMath>
              <m:sSub>
                <m:sSubPr>
                  <m:ctrlPr>
                    <w:rPr>
                      <w:rFonts w:ascii="Cambria Math" w:hAnsi="Cambria Math"/>
                      <w:bCs/>
                    </w:rPr>
                  </m:ctrlPr>
                </m:sSubPr>
                <m:e>
                  <m:r>
                    <w:rPr>
                      <w:rFonts w:ascii="Cambria Math" w:hAnsi="Cambria Math"/>
                    </w:rPr>
                    <m:t>η</m:t>
                  </m:r>
                </m:e>
                <m:sub>
                  <m:r>
                    <m:rPr>
                      <m:sty m:val="p"/>
                    </m:rPr>
                    <w:rPr>
                      <w:rFonts w:ascii="Cambria Math" w:hAnsi="Cambria Math"/>
                    </w:rPr>
                    <m:t>ss</m:t>
                  </m:r>
                </m:sub>
              </m:sSub>
              <m:r>
                <m:rPr>
                  <m:sty m:val="p"/>
                </m:rPr>
                <w:rPr>
                  <w:rFonts w:ascii="Cambria Math" w:hAnsi="Cambria Math"/>
                </w:rPr>
                <m:t xml:space="preserve">=0,75  </m:t>
              </m:r>
              <m:r>
                <m:rPr>
                  <m:nor/>
                </m:rPr>
                <m:t>and</m:t>
              </m:r>
              <m:sSub>
                <m:sSubPr>
                  <m:ctrlPr>
                    <w:rPr>
                      <w:rFonts w:ascii="Cambria Math" w:hAnsi="Cambria Math"/>
                      <w:bCs/>
                    </w:rPr>
                  </m:ctrlPr>
                </m:sSubPr>
                <m:e>
                  <m:r>
                    <m:rPr>
                      <m:sty m:val="p"/>
                    </m:rPr>
                    <w:rPr>
                      <w:rFonts w:ascii="Cambria Math" w:hAnsi="Cambria Math"/>
                    </w:rPr>
                    <m:t xml:space="preserve">  </m:t>
                  </m:r>
                  <m:r>
                    <w:rPr>
                      <w:rFonts w:ascii="Cambria Math" w:hAnsi="Cambria Math"/>
                    </w:rPr>
                    <m:t>η</m:t>
                  </m:r>
                </m:e>
                <m:sub>
                  <m:r>
                    <m:rPr>
                      <m:sty m:val="p"/>
                    </m:rPr>
                    <w:rPr>
                      <w:rFonts w:ascii="Cambria Math" w:hAnsi="Cambria Math"/>
                    </w:rPr>
                    <m:t>F</m:t>
                  </m:r>
                </m:sub>
              </m:sSub>
              <m:r>
                <m:rPr>
                  <m:sty m:val="p"/>
                </m:rPr>
                <w:rPr>
                  <w:rFonts w:ascii="Cambria Math" w:hAnsi="Cambria Math"/>
                </w:rPr>
                <m:t xml:space="preserve"> =1,0</m:t>
              </m:r>
            </m:oMath>
            <w:r w:rsidR="00C0743C" w:rsidRPr="001455DC">
              <w:t>.</w:t>
            </w:r>
          </w:p>
        </w:tc>
      </w:tr>
    </w:tbl>
    <w:p w14:paraId="5EE6EB96" w14:textId="438CDC67" w:rsidR="004E22C1" w:rsidRPr="001455DC" w:rsidRDefault="004E22C1" w:rsidP="00243590">
      <w:pPr>
        <w:pStyle w:val="a3"/>
      </w:pPr>
      <w:bookmarkStart w:id="2287" w:name="_Toc52820399"/>
      <w:bookmarkStart w:id="2288" w:name="_Toc54337834"/>
      <w:bookmarkStart w:id="2289" w:name="_Toc54338444"/>
      <w:r w:rsidRPr="001455DC">
        <w:t>Torsion</w:t>
      </w:r>
      <w:bookmarkEnd w:id="2287"/>
      <w:bookmarkEnd w:id="2288"/>
      <w:bookmarkEnd w:id="2289"/>
      <w:r w:rsidR="00341F5E" w:rsidRPr="001455DC">
        <w:t xml:space="preserve"> - Torsional resistance of compact or closed sections</w:t>
      </w:r>
    </w:p>
    <w:p w14:paraId="0A990585" w14:textId="23C17582" w:rsidR="004E22C1" w:rsidRPr="001455DC" w:rsidRDefault="004E22C1" w:rsidP="00DE6BBC">
      <w:pPr>
        <w:pStyle w:val="a7"/>
        <w:keepNext/>
      </w:pPr>
      <w:r w:rsidRPr="001455DC">
        <w:t>(1)</w:t>
      </w:r>
      <w:r w:rsidRPr="001455DC">
        <w:tab/>
        <w:t>The torsional resistance in the transverse and longitudinal directions of SFRC members should be taken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C0743C" w:rsidRPr="001455DC" w14:paraId="0891FB92" w14:textId="77777777" w:rsidTr="00EA7C41">
        <w:trPr>
          <w:cantSplit/>
        </w:trPr>
        <w:tc>
          <w:tcPr>
            <w:tcW w:w="8505" w:type="dxa"/>
            <w:vAlign w:val="center"/>
          </w:tcPr>
          <w:p w14:paraId="50B82200" w14:textId="06C73142" w:rsidR="00C0743C" w:rsidRPr="001455DC" w:rsidRDefault="00231E33" w:rsidP="00EA7C41">
            <w:pPr>
              <w:pStyle w:val="Formula"/>
              <w:jc w:val="left"/>
            </w:pPr>
            <m:oMathPara>
              <m:oMathParaPr>
                <m:jc m:val="left"/>
              </m:oMathParaPr>
              <m:oMath>
                <m:sSub>
                  <m:sSubPr>
                    <m:ctrlPr>
                      <w:rPr>
                        <w:rFonts w:ascii="Cambria Math" w:hAnsi="Cambria Math"/>
                        <w:i/>
                      </w:rPr>
                    </m:ctrlPr>
                  </m:sSubPr>
                  <m:e>
                    <m:r>
                      <w:rPr>
                        <w:rFonts w:ascii="Cambria Math" w:hAnsi="Cambria Math"/>
                      </w:rPr>
                      <m:t>τ</m:t>
                    </m:r>
                    <m:ctrlPr>
                      <w:rPr>
                        <w:rFonts w:ascii="Cambria Math" w:hAnsi="Cambria Math"/>
                      </w:rPr>
                    </m:ctrlPr>
                  </m:e>
                  <m:sub>
                    <m:r>
                      <m:rPr>
                        <m:sty m:val="p"/>
                      </m:rPr>
                      <w:rPr>
                        <w:rFonts w:ascii="Cambria Math" w:hAnsi="Cambria Math"/>
                      </w:rPr>
                      <m:t>Rd,swF</m:t>
                    </m:r>
                    <m:ctrlPr>
                      <w:rPr>
                        <w:rFonts w:ascii="Cambria Math" w:hAnsi="Cambria Math"/>
                      </w:rPr>
                    </m:ctrlPr>
                  </m:sub>
                </m:sSub>
                <m:r>
                  <w:rPr>
                    <w:rFonts w:ascii="Cambria Math" w:hAnsi="Cambria Math"/>
                  </w:rPr>
                  <m:t xml:space="preserve">= </m:t>
                </m:r>
                <m:sSub>
                  <m:sSubPr>
                    <m:ctrlPr>
                      <w:rPr>
                        <w:rFonts w:ascii="Cambria Math" w:hAnsi="Cambria Math"/>
                      </w:rPr>
                    </m:ctrlPr>
                  </m:sSubPr>
                  <m:e>
                    <m:sSub>
                      <m:sSubPr>
                        <m:ctrlPr>
                          <w:rPr>
                            <w:rFonts w:ascii="Cambria Math" w:hAnsi="Cambria Math"/>
                            <w:bCs/>
                          </w:rPr>
                        </m:ctrlPr>
                      </m:sSubPr>
                      <m:e>
                        <m:r>
                          <w:rPr>
                            <w:rFonts w:ascii="Cambria Math" w:hAnsi="Cambria Math"/>
                          </w:rPr>
                          <m:t>η</m:t>
                        </m:r>
                      </m:e>
                      <m:sub>
                        <m:r>
                          <w:rPr>
                            <w:rFonts w:ascii="Cambria Math" w:hAnsi="Cambria Math"/>
                          </w:rPr>
                          <m:t>ss</m:t>
                        </m:r>
                      </m:sub>
                    </m:sSub>
                    <m:r>
                      <w:rPr>
                        <w:rFonts w:ascii="Cambria Math" w:hAnsi="Cambria Math"/>
                      </w:rPr>
                      <m:t>τ</m:t>
                    </m:r>
                  </m:e>
                  <m:sub>
                    <m:r>
                      <m:rPr>
                        <m:sty m:val="p"/>
                      </m:rPr>
                      <w:rPr>
                        <w:rFonts w:ascii="Cambria Math" w:hAnsi="Cambria Math"/>
                      </w:rPr>
                      <m:t>Rd,sw</m:t>
                    </m:r>
                  </m:sub>
                </m:sSub>
                <m:r>
                  <w:rPr>
                    <w:rFonts w:ascii="Cambria Math" w:hAnsi="Cambria Math"/>
                  </w:rPr>
                  <m:t xml:space="preserve">+ </m:t>
                </m:r>
                <m:sSub>
                  <m:sSubPr>
                    <m:ctrlPr>
                      <w:rPr>
                        <w:rFonts w:ascii="Cambria Math" w:hAnsi="Cambria Math"/>
                        <w:bCs/>
                      </w:rPr>
                    </m:ctrlPr>
                  </m:sSubPr>
                  <m:e>
                    <m:r>
                      <w:rPr>
                        <w:rFonts w:ascii="Cambria Math" w:hAnsi="Cambria Math"/>
                      </w:rPr>
                      <m:t>η</m:t>
                    </m:r>
                  </m:e>
                  <m:sub>
                    <m:r>
                      <m:rPr>
                        <m:sty m:val="p"/>
                      </m:rPr>
                      <w:rPr>
                        <w:rFonts w:ascii="Cambria Math" w:hAnsi="Cambria Math"/>
                      </w:rPr>
                      <m:t>F</m:t>
                    </m:r>
                  </m:sub>
                </m:sSub>
                <m:sSub>
                  <m:sSubPr>
                    <m:ctrlPr>
                      <w:rPr>
                        <w:rFonts w:ascii="Cambria Math" w:hAnsi="Cambria Math"/>
                      </w:rPr>
                    </m:ctrlPr>
                  </m:sSubPr>
                  <m:e>
                    <m:r>
                      <w:rPr>
                        <w:rFonts w:ascii="Cambria Math" w:hAnsi="Cambria Math"/>
                      </w:rPr>
                      <m:t xml:space="preserve"> f</m:t>
                    </m:r>
                  </m:e>
                  <m:sub>
                    <m:r>
                      <m:rPr>
                        <m:sty m:val="p"/>
                      </m:rPr>
                      <w:rPr>
                        <w:rFonts w:ascii="Cambria Math" w:hAnsi="Cambria Math"/>
                      </w:rPr>
                      <m:t>Ftud</m:t>
                    </m:r>
                  </m:sub>
                </m:sSub>
                <m:r>
                  <w:rPr>
                    <w:rFonts w:ascii="Cambria Math" w:hAnsi="Cambria Math"/>
                  </w:rPr>
                  <m:t>≥</m:t>
                </m:r>
                <m:sSub>
                  <m:sSubPr>
                    <m:ctrlPr>
                      <w:rPr>
                        <w:rFonts w:ascii="Cambria Math" w:hAnsi="Cambria Math"/>
                      </w:rPr>
                    </m:ctrlPr>
                  </m:sSubPr>
                  <m:e>
                    <m:r>
                      <w:rPr>
                        <w:rFonts w:ascii="Cambria Math" w:hAnsi="Cambria Math"/>
                      </w:rPr>
                      <m:t>τ</m:t>
                    </m:r>
                  </m:e>
                  <m:sub>
                    <m:r>
                      <m:rPr>
                        <m:sty m:val="p"/>
                      </m:rPr>
                      <w:rPr>
                        <w:rFonts w:ascii="Cambria Math" w:hAnsi="Cambria Math"/>
                      </w:rPr>
                      <m:t>Rd,sw</m:t>
                    </m:r>
                  </m:sub>
                </m:sSub>
              </m:oMath>
            </m:oMathPara>
          </w:p>
        </w:tc>
        <w:tc>
          <w:tcPr>
            <w:tcW w:w="1247" w:type="dxa"/>
            <w:vAlign w:val="center"/>
          </w:tcPr>
          <w:p w14:paraId="42FD4021" w14:textId="55238088" w:rsidR="00C0743C" w:rsidRPr="001455DC" w:rsidRDefault="00C0743C">
            <w:pPr>
              <w:pStyle w:val="a7"/>
              <w:jc w:val="right"/>
            </w:pPr>
            <w:r w:rsidRPr="001455DC">
              <w:t>(L.</w:t>
            </w:r>
            <w:r w:rsidR="00596DE0" w:rsidRPr="001455DC">
              <w:t>21</w:t>
            </w:r>
            <w:r w:rsidRPr="001455DC">
              <w:t>)</w:t>
            </w:r>
          </w:p>
        </w:tc>
      </w:tr>
      <w:tr w:rsidR="00C0743C" w:rsidRPr="001455DC" w14:paraId="780024A0" w14:textId="77777777" w:rsidTr="00EA7C41">
        <w:trPr>
          <w:cantSplit/>
        </w:trPr>
        <w:tc>
          <w:tcPr>
            <w:tcW w:w="8505" w:type="dxa"/>
            <w:vAlign w:val="center"/>
          </w:tcPr>
          <w:p w14:paraId="239A3F93" w14:textId="1A5863A6" w:rsidR="00C0743C" w:rsidRPr="001455DC" w:rsidRDefault="00231E33" w:rsidP="00EA7C41">
            <w:pPr>
              <w:pStyle w:val="Formula"/>
              <w:jc w:val="left"/>
            </w:pPr>
            <m:oMathPara>
              <m:oMathParaPr>
                <m:jc m:val="left"/>
              </m:oMathParaPr>
              <m:oMath>
                <m:sSub>
                  <m:sSubPr>
                    <m:ctrlPr>
                      <w:rPr>
                        <w:rFonts w:ascii="Cambria Math" w:hAnsi="Cambria Math"/>
                        <w:i/>
                      </w:rPr>
                    </m:ctrlPr>
                  </m:sSubPr>
                  <m:e>
                    <m:r>
                      <w:rPr>
                        <w:rFonts w:ascii="Cambria Math" w:hAnsi="Cambria Math"/>
                      </w:rPr>
                      <m:t>τ</m:t>
                    </m:r>
                    <m:ctrlPr>
                      <w:rPr>
                        <w:rFonts w:ascii="Cambria Math" w:hAnsi="Cambria Math"/>
                      </w:rPr>
                    </m:ctrlPr>
                  </m:e>
                  <m:sub>
                    <m:r>
                      <m:rPr>
                        <m:sty m:val="p"/>
                      </m:rPr>
                      <w:rPr>
                        <w:rFonts w:ascii="Cambria Math" w:hAnsi="Cambria Math"/>
                      </w:rPr>
                      <m:t>Rd,slF</m:t>
                    </m:r>
                    <m:ctrlPr>
                      <w:rPr>
                        <w:rFonts w:ascii="Cambria Math" w:hAnsi="Cambria Math"/>
                      </w:rPr>
                    </m:ctrlPr>
                  </m:sub>
                </m:sSub>
                <m:r>
                  <w:rPr>
                    <w:rFonts w:ascii="Cambria Math" w:hAnsi="Cambria Math"/>
                  </w:rPr>
                  <m:t xml:space="preserve">= </m:t>
                </m:r>
                <m:sSub>
                  <m:sSubPr>
                    <m:ctrlPr>
                      <w:rPr>
                        <w:rFonts w:ascii="Cambria Math" w:hAnsi="Cambria Math"/>
                      </w:rPr>
                    </m:ctrlPr>
                  </m:sSubPr>
                  <m:e>
                    <m:sSub>
                      <m:sSubPr>
                        <m:ctrlPr>
                          <w:rPr>
                            <w:rFonts w:ascii="Cambria Math" w:hAnsi="Cambria Math"/>
                            <w:bCs/>
                          </w:rPr>
                        </m:ctrlPr>
                      </m:sSubPr>
                      <m:e>
                        <m:r>
                          <w:rPr>
                            <w:rFonts w:ascii="Cambria Math" w:hAnsi="Cambria Math"/>
                          </w:rPr>
                          <m:t>η</m:t>
                        </m:r>
                      </m:e>
                      <m:sub>
                        <m:r>
                          <m:rPr>
                            <m:sty m:val="p"/>
                          </m:rPr>
                          <w:rPr>
                            <w:rFonts w:ascii="Cambria Math" w:hAnsi="Cambria Math"/>
                          </w:rPr>
                          <m:t>ss</m:t>
                        </m:r>
                      </m:sub>
                    </m:sSub>
                    <m:r>
                      <w:rPr>
                        <w:rFonts w:ascii="Cambria Math" w:hAnsi="Cambria Math"/>
                      </w:rPr>
                      <m:t>τ</m:t>
                    </m:r>
                  </m:e>
                  <m:sub>
                    <m:r>
                      <m:rPr>
                        <m:sty m:val="p"/>
                      </m:rPr>
                      <w:rPr>
                        <w:rFonts w:ascii="Cambria Math" w:hAnsi="Cambria Math"/>
                      </w:rPr>
                      <m:t>Rd,sl</m:t>
                    </m:r>
                  </m:sub>
                </m:sSub>
                <m:r>
                  <w:rPr>
                    <w:rFonts w:ascii="Cambria Math" w:hAnsi="Cambria Math"/>
                  </w:rPr>
                  <m:t xml:space="preserve">+ </m:t>
                </m:r>
                <m:sSub>
                  <m:sSubPr>
                    <m:ctrlPr>
                      <w:rPr>
                        <w:rFonts w:ascii="Cambria Math" w:hAnsi="Cambria Math"/>
                        <w:bCs/>
                      </w:rPr>
                    </m:ctrlPr>
                  </m:sSubPr>
                  <m:e>
                    <m:r>
                      <w:rPr>
                        <w:rFonts w:ascii="Cambria Math" w:hAnsi="Cambria Math"/>
                      </w:rPr>
                      <m:t>η</m:t>
                    </m:r>
                  </m:e>
                  <m:sub>
                    <m:r>
                      <m:rPr>
                        <m:sty m:val="p"/>
                      </m:rPr>
                      <w:rPr>
                        <w:rFonts w:ascii="Cambria Math" w:hAnsi="Cambria Math"/>
                      </w:rPr>
                      <m:t>F</m:t>
                    </m:r>
                  </m:sub>
                </m:sSub>
                <m:r>
                  <w:rPr>
                    <w:rFonts w:ascii="Cambria Math" w:hAnsi="Cambria Math"/>
                  </w:rPr>
                  <m:t xml:space="preserve"> </m:t>
                </m:r>
                <m:sSub>
                  <m:sSubPr>
                    <m:ctrlPr>
                      <w:rPr>
                        <w:rFonts w:ascii="Cambria Math" w:hAnsi="Cambria Math"/>
                      </w:rPr>
                    </m:ctrlPr>
                  </m:sSubPr>
                  <m:e>
                    <m:r>
                      <w:rPr>
                        <w:rFonts w:ascii="Cambria Math" w:hAnsi="Cambria Math"/>
                      </w:rPr>
                      <m:t>f</m:t>
                    </m:r>
                  </m:e>
                  <m:sub>
                    <m:r>
                      <m:rPr>
                        <m:sty m:val="p"/>
                      </m:rPr>
                      <w:rPr>
                        <w:rFonts w:ascii="Cambria Math" w:hAnsi="Cambria Math"/>
                      </w:rPr>
                      <m:t>Ftud</m:t>
                    </m:r>
                  </m:sub>
                </m:sSub>
                <m:r>
                  <w:rPr>
                    <w:rFonts w:ascii="Cambria Math" w:hAnsi="Cambria Math"/>
                  </w:rPr>
                  <m:t>≥</m:t>
                </m:r>
                <m:sSub>
                  <m:sSubPr>
                    <m:ctrlPr>
                      <w:rPr>
                        <w:rFonts w:ascii="Cambria Math" w:hAnsi="Cambria Math"/>
                      </w:rPr>
                    </m:ctrlPr>
                  </m:sSubPr>
                  <m:e>
                    <m:r>
                      <w:rPr>
                        <w:rFonts w:ascii="Cambria Math" w:hAnsi="Cambria Math"/>
                      </w:rPr>
                      <m:t>τ</m:t>
                    </m:r>
                  </m:e>
                  <m:sub>
                    <m:r>
                      <m:rPr>
                        <m:sty m:val="p"/>
                      </m:rPr>
                      <w:rPr>
                        <w:rFonts w:ascii="Cambria Math" w:hAnsi="Cambria Math"/>
                      </w:rPr>
                      <m:t>Rd,sl</m:t>
                    </m:r>
                  </m:sub>
                </m:sSub>
              </m:oMath>
            </m:oMathPara>
          </w:p>
        </w:tc>
        <w:tc>
          <w:tcPr>
            <w:tcW w:w="1247" w:type="dxa"/>
            <w:vAlign w:val="center"/>
          </w:tcPr>
          <w:p w14:paraId="6F85B866" w14:textId="4E06D2FF" w:rsidR="00C0743C" w:rsidRPr="001455DC" w:rsidRDefault="00C0743C">
            <w:pPr>
              <w:pStyle w:val="a7"/>
              <w:jc w:val="right"/>
            </w:pPr>
            <w:r w:rsidRPr="001455DC">
              <w:t>(L.</w:t>
            </w:r>
            <w:r w:rsidR="00596DE0" w:rsidRPr="001455DC">
              <w:t>22</w:t>
            </w:r>
            <w:r w:rsidRPr="001455DC">
              <w:t>)</w:t>
            </w:r>
          </w:p>
        </w:tc>
      </w:tr>
    </w:tbl>
    <w:p w14:paraId="0C7E3BDA" w14:textId="388A0CD4" w:rsidR="004E22C1" w:rsidRPr="001455DC" w:rsidRDefault="004E22C1" w:rsidP="00A35599">
      <w:pPr>
        <w:pStyle w:val="a7"/>
        <w:keepNext/>
      </w:pPr>
      <w:r w:rsidRPr="001455DC">
        <w:t>where</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C0743C" w:rsidRPr="001455DC" w14:paraId="12BD8EEE" w14:textId="77777777" w:rsidTr="00EA7C41">
        <w:trPr>
          <w:cantSplit/>
        </w:trPr>
        <w:tc>
          <w:tcPr>
            <w:tcW w:w="8505" w:type="dxa"/>
            <w:vAlign w:val="center"/>
          </w:tcPr>
          <w:p w14:paraId="07C95E7F" w14:textId="58D299D7" w:rsidR="00C0743C" w:rsidRPr="001455DC" w:rsidRDefault="00231E33" w:rsidP="00EA7C41">
            <w:pPr>
              <w:pStyle w:val="Formula"/>
              <w:jc w:val="left"/>
            </w:pPr>
            <m:oMathPara>
              <m:oMathParaPr>
                <m:jc m:val="left"/>
              </m:oMathParaPr>
              <m:oMath>
                <m:sSub>
                  <m:sSubPr>
                    <m:ctrlPr>
                      <w:rPr>
                        <w:rFonts w:ascii="Cambria Math" w:hAnsi="Cambria Math"/>
                      </w:rPr>
                    </m:ctrlPr>
                  </m:sSubPr>
                  <m:e>
                    <m:r>
                      <w:rPr>
                        <w:rFonts w:ascii="Cambria Math" w:hAnsi="Cambria Math"/>
                      </w:rPr>
                      <m:t>η</m:t>
                    </m:r>
                  </m:e>
                  <m:sub>
                    <m:r>
                      <m:rPr>
                        <m:sty m:val="p"/>
                      </m:rPr>
                      <w:rPr>
                        <w:rFonts w:ascii="Cambria Math" w:hAnsi="Cambria Math"/>
                      </w:rPr>
                      <m:t>F</m:t>
                    </m:r>
                  </m:sub>
                </m:sSub>
                <m:r>
                  <w:rPr>
                    <w:rFonts w:ascii="Cambria Math" w:hAnsi="Cambria Math"/>
                  </w:rPr>
                  <m:t xml:space="preserve">=1,0  </m:t>
                </m:r>
                <m:r>
                  <m:rPr>
                    <m:nor/>
                  </m:rPr>
                  <w:rPr>
                    <w:rFonts w:ascii="Cambria Math" w:hAnsi="Cambria Math"/>
                  </w:rPr>
                  <m:t>and</m:t>
                </m:r>
                <m:r>
                  <w:rPr>
                    <w:rFonts w:ascii="Cambria Math"/>
                  </w:rPr>
                  <m:t xml:space="preserve">  </m:t>
                </m:r>
                <m:sSub>
                  <m:sSubPr>
                    <m:ctrlPr>
                      <w:rPr>
                        <w:rFonts w:ascii="Cambria Math" w:hAnsi="Cambria Math"/>
                      </w:rPr>
                    </m:ctrlPr>
                  </m:sSubPr>
                  <m:e>
                    <m:r>
                      <w:rPr>
                        <w:rFonts w:ascii="Cambria Math" w:hAnsi="Cambria Math"/>
                      </w:rPr>
                      <m:t>η</m:t>
                    </m:r>
                  </m:e>
                  <m:sub>
                    <m:r>
                      <m:rPr>
                        <m:sty m:val="p"/>
                      </m:rPr>
                      <w:rPr>
                        <w:rFonts w:ascii="Cambria Math" w:hAnsi="Cambria Math"/>
                      </w:rPr>
                      <m:t>ss</m:t>
                    </m:r>
                  </m:sub>
                </m:sSub>
                <m:r>
                  <w:rPr>
                    <w:rFonts w:ascii="Cambria Math" w:hAnsi="Cambria Math"/>
                  </w:rPr>
                  <m:t>=0,75</m:t>
                </m:r>
              </m:oMath>
            </m:oMathPara>
          </w:p>
        </w:tc>
        <w:tc>
          <w:tcPr>
            <w:tcW w:w="1247" w:type="dxa"/>
            <w:vAlign w:val="center"/>
          </w:tcPr>
          <w:p w14:paraId="533AD300" w14:textId="77777777" w:rsidR="00C0743C" w:rsidRPr="001455DC" w:rsidRDefault="00C0743C" w:rsidP="00EA7C41">
            <w:pPr>
              <w:pStyle w:val="a7"/>
              <w:jc w:val="right"/>
            </w:pPr>
          </w:p>
        </w:tc>
      </w:tr>
    </w:tbl>
    <w:p w14:paraId="3C77AEB3" w14:textId="1825D609" w:rsidR="004E22C1" w:rsidRPr="001455DC" w:rsidRDefault="004E22C1" w:rsidP="00DE6BBC">
      <w:pPr>
        <w:pStyle w:val="a7"/>
        <w:keepNext/>
      </w:pPr>
      <w:r w:rsidRPr="001455DC">
        <w:rPr>
          <w:rFonts w:eastAsiaTheme="minorEastAsia"/>
        </w:rPr>
        <w:t>(2)</w:t>
      </w:r>
      <w:r w:rsidRPr="001455DC">
        <w:rPr>
          <w:rFonts w:eastAsiaTheme="minorEastAsia"/>
        </w:rPr>
        <w:tab/>
      </w:r>
      <w:r w:rsidRPr="001455DC">
        <w:t>Where</w:t>
      </w:r>
      <w:r w:rsidR="000955DB" w:rsidRPr="001455DC">
        <w:t xml:space="preserve"> </w:t>
      </w:r>
      <w:r w:rsidRPr="001455DC">
        <w:t>a member is subject to torsion in combination with shear and bending, fibre contribution to design resistances should only be as one of the two approaches:</w:t>
      </w:r>
    </w:p>
    <w:p w14:paraId="5675E0D8" w14:textId="41AFF1D1" w:rsidR="004E22C1" w:rsidRPr="001455DC" w:rsidRDefault="00246C87" w:rsidP="00246C87">
      <w:pPr>
        <w:pStyle w:val="a0"/>
        <w:numPr>
          <w:ilvl w:val="0"/>
          <w:numId w:val="0"/>
        </w:numPr>
        <w:ind w:left="360" w:hanging="360"/>
      </w:pPr>
      <w:r w:rsidRPr="001455DC">
        <w:rPr>
          <w:szCs w:val="22"/>
        </w:rPr>
        <w:t>—</w:t>
      </w:r>
      <w:r w:rsidRPr="001455DC">
        <w:rPr>
          <w:szCs w:val="22"/>
        </w:rPr>
        <w:tab/>
      </w:r>
      <w:r w:rsidR="004E22C1" w:rsidRPr="001455DC">
        <w:t>the fibre contribution is used to resist torsional action effects only</w:t>
      </w:r>
    </w:p>
    <w:p w14:paraId="033F93D1" w14:textId="33E3B553" w:rsidR="004E22C1" w:rsidRPr="001455DC" w:rsidRDefault="00246C87" w:rsidP="00246C87">
      <w:pPr>
        <w:pStyle w:val="a0"/>
        <w:numPr>
          <w:ilvl w:val="0"/>
          <w:numId w:val="0"/>
        </w:numPr>
        <w:ind w:left="360" w:hanging="360"/>
      </w:pPr>
      <w:r w:rsidRPr="001455DC">
        <w:rPr>
          <w:szCs w:val="22"/>
        </w:rPr>
        <w:t>—</w:t>
      </w:r>
      <w:r w:rsidRPr="001455DC">
        <w:rPr>
          <w:szCs w:val="22"/>
        </w:rPr>
        <w:tab/>
      </w:r>
      <w:r w:rsidR="004E22C1" w:rsidRPr="001455DC">
        <w:t>the fibre contribution is used to resist tensile forces arising from shear and bending action effects, with fibre contribution to sectional resistance disregarded in determining axial tension and torsional resistances</w:t>
      </w:r>
    </w:p>
    <w:p w14:paraId="39166822" w14:textId="76D9688F" w:rsidR="004E22C1" w:rsidRPr="001455DC" w:rsidRDefault="004E22C1" w:rsidP="00246C87">
      <w:pPr>
        <w:pStyle w:val="a7"/>
      </w:pPr>
      <w:r w:rsidRPr="001455DC">
        <w:t>(3)</w:t>
      </w:r>
      <w:r w:rsidRPr="001455DC">
        <w:tab/>
        <w:t>Minimum reinforcement according to L.12.</w:t>
      </w:r>
      <w:r w:rsidR="00FD0030" w:rsidRPr="001455DC">
        <w:t xml:space="preserve">1 </w:t>
      </w:r>
      <w:r w:rsidRPr="001455DC">
        <w:t>shall always be provided for beams.</w:t>
      </w:r>
    </w:p>
    <w:p w14:paraId="2BA5A477" w14:textId="0D8D33AF" w:rsidR="004E22C1" w:rsidRPr="001455DC" w:rsidRDefault="004E22C1" w:rsidP="00243590">
      <w:pPr>
        <w:pStyle w:val="a3"/>
      </w:pPr>
      <w:bookmarkStart w:id="2290" w:name="_Toc52820401"/>
      <w:bookmarkStart w:id="2291" w:name="_Toc54337836"/>
      <w:bookmarkStart w:id="2292" w:name="_Toc54338446"/>
      <w:r w:rsidRPr="001455DC">
        <w:t>Punching</w:t>
      </w:r>
      <w:bookmarkEnd w:id="2290"/>
      <w:bookmarkEnd w:id="2291"/>
      <w:bookmarkEnd w:id="2292"/>
    </w:p>
    <w:p w14:paraId="0CA337FC" w14:textId="7D046C41" w:rsidR="004E22C1" w:rsidRPr="001455DC" w:rsidRDefault="004E22C1" w:rsidP="00243590">
      <w:pPr>
        <w:pStyle w:val="a4"/>
      </w:pPr>
      <w:bookmarkStart w:id="2293" w:name="_Toc52820402"/>
      <w:bookmarkStart w:id="2294" w:name="_Toc54337837"/>
      <w:bookmarkStart w:id="2295" w:name="_Toc54338447"/>
      <w:r w:rsidRPr="001455DC">
        <w:t>Punching shear resistance of FRC slabs without shear reinforcement</w:t>
      </w:r>
      <w:bookmarkEnd w:id="2293"/>
      <w:bookmarkEnd w:id="2294"/>
      <w:bookmarkEnd w:id="2295"/>
    </w:p>
    <w:p w14:paraId="6CA76E59" w14:textId="0D20F178" w:rsidR="004E22C1" w:rsidRPr="001455DC" w:rsidRDefault="004E22C1" w:rsidP="00DE6BBC">
      <w:pPr>
        <w:pStyle w:val="a7"/>
        <w:keepNext/>
      </w:pPr>
      <w:r w:rsidRPr="001455DC">
        <w:t>(1)</w:t>
      </w:r>
      <w:r w:rsidRPr="001455DC">
        <w:tab/>
        <w:t xml:space="preserve">The design punching shear stress resistance of FRC slabs with flexural reinforcement complying with </w:t>
      </w:r>
      <w:r w:rsidRPr="009D3012">
        <w:rPr>
          <w:i/>
        </w:rPr>
        <w:t>L.12.1.1</w:t>
      </w:r>
      <w:r w:rsidRPr="001455DC">
        <w:t xml:space="preserve"> should be calculated as follows: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C0743C" w:rsidRPr="001455DC" w14:paraId="71686812" w14:textId="77777777" w:rsidTr="00EA7C41">
        <w:trPr>
          <w:cantSplit/>
        </w:trPr>
        <w:tc>
          <w:tcPr>
            <w:tcW w:w="8505" w:type="dxa"/>
            <w:vAlign w:val="center"/>
          </w:tcPr>
          <w:p w14:paraId="328755A1" w14:textId="691B307B" w:rsidR="00C0743C" w:rsidRPr="001455DC" w:rsidRDefault="00231E33" w:rsidP="00EA7C41">
            <w:pPr>
              <w:pStyle w:val="Formula"/>
              <w:jc w:val="left"/>
            </w:pPr>
            <m:oMathPara>
              <m:oMathParaPr>
                <m:jc m:val="left"/>
              </m:oMathParaPr>
              <m:oMath>
                <m:sSub>
                  <m:sSubPr>
                    <m:ctrlPr>
                      <w:rPr>
                        <w:rFonts w:ascii="Cambria Math" w:hAnsi="Cambria Math"/>
                      </w:rPr>
                    </m:ctrlPr>
                  </m:sSubPr>
                  <m:e>
                    <m:r>
                      <w:rPr>
                        <w:rFonts w:ascii="Cambria Math" w:hAnsi="Cambria Math"/>
                      </w:rPr>
                      <m:t>τ</m:t>
                    </m:r>
                  </m:e>
                  <m:sub>
                    <m:r>
                      <m:rPr>
                        <m:sty m:val="p"/>
                      </m:rPr>
                      <w:rPr>
                        <w:rFonts w:ascii="Cambria Math" w:hAnsi="Cambria Math"/>
                      </w:rPr>
                      <m:t>Rd,cF</m:t>
                    </m:r>
                  </m:sub>
                </m:sSub>
                <m: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c</m:t>
                    </m:r>
                  </m:sub>
                </m:sSub>
                <m:r>
                  <w:rPr>
                    <w:rFonts w:ascii="Cambria Math" w:hAnsi="Cambria Math"/>
                  </w:rPr>
                  <m:t>⋅</m:t>
                </m:r>
                <m:sSub>
                  <m:sSubPr>
                    <m:ctrlPr>
                      <w:rPr>
                        <w:rFonts w:ascii="Cambria Math" w:hAnsi="Cambria Math"/>
                      </w:rPr>
                    </m:ctrlPr>
                  </m:sSubPr>
                  <m:e>
                    <m:r>
                      <w:rPr>
                        <w:rFonts w:ascii="Cambria Math" w:hAnsi="Cambria Math"/>
                      </w:rPr>
                      <m:t>τ</m:t>
                    </m:r>
                  </m:e>
                  <m:sub>
                    <m:r>
                      <m:rPr>
                        <m:sty m:val="p"/>
                      </m:rPr>
                      <w:rPr>
                        <w:rFonts w:ascii="Cambria Math" w:hAnsi="Cambria Math"/>
                      </w:rPr>
                      <m:t>Rd,c</m:t>
                    </m:r>
                  </m:sub>
                </m:sSub>
                <m: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Ftud</m:t>
                    </m:r>
                  </m:sub>
                </m:sSub>
                <m: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c</m:t>
                    </m:r>
                  </m:sub>
                </m:sSub>
                <m:r>
                  <w:rPr>
                    <w:rFonts w:ascii="Cambria Math" w:hAnsi="Cambria Math"/>
                  </w:rPr>
                  <m:t xml:space="preserve"> </m:t>
                </m:r>
                <m:sSub>
                  <m:sSubPr>
                    <m:ctrlPr>
                      <w:rPr>
                        <w:rFonts w:ascii="Cambria Math" w:hAnsi="Cambria Math"/>
                      </w:rPr>
                    </m:ctrlPr>
                  </m:sSubPr>
                  <m:e>
                    <m:r>
                      <w:rPr>
                        <w:rFonts w:ascii="Cambria Math" w:hAnsi="Cambria Math"/>
                      </w:rPr>
                      <m:t>τ</m:t>
                    </m:r>
                  </m:e>
                  <m:sub>
                    <m:r>
                      <m:rPr>
                        <m:sty m:val="p"/>
                      </m:rPr>
                      <w:rPr>
                        <w:rFonts w:ascii="Cambria Math" w:hAnsi="Cambria Math"/>
                      </w:rPr>
                      <m:t>Rdc,min</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Ftud</m:t>
                    </m:r>
                  </m:sub>
                </m:sSub>
              </m:oMath>
            </m:oMathPara>
          </w:p>
        </w:tc>
        <w:tc>
          <w:tcPr>
            <w:tcW w:w="1247" w:type="dxa"/>
            <w:vAlign w:val="center"/>
          </w:tcPr>
          <w:p w14:paraId="0CECBF02" w14:textId="2DB9F5D9" w:rsidR="00C0743C" w:rsidRPr="001455DC" w:rsidRDefault="00C0743C">
            <w:pPr>
              <w:pStyle w:val="a7"/>
              <w:jc w:val="right"/>
            </w:pPr>
            <w:r w:rsidRPr="001455DC">
              <w:t>(L.</w:t>
            </w:r>
            <w:r w:rsidR="00AF5889" w:rsidRPr="001455DC">
              <w:t>23</w:t>
            </w:r>
            <w:r w:rsidRPr="001455DC">
              <w:t>)</w:t>
            </w:r>
          </w:p>
        </w:tc>
      </w:tr>
    </w:tbl>
    <w:p w14:paraId="597B3D04" w14:textId="4D6D6B28" w:rsidR="004E22C1" w:rsidRPr="001455DC" w:rsidRDefault="004E22C1"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C0743C" w:rsidRPr="001455DC" w14:paraId="0C0E56AD" w14:textId="77777777" w:rsidTr="00EA7C41">
        <w:trPr>
          <w:cantSplit/>
        </w:trPr>
        <w:tc>
          <w:tcPr>
            <w:tcW w:w="567" w:type="dxa"/>
          </w:tcPr>
          <w:p w14:paraId="5565CFE1" w14:textId="6817A9C9" w:rsidR="00C0743C" w:rsidRPr="001455DC" w:rsidRDefault="00C0743C" w:rsidP="0000442A">
            <w:pPr>
              <w:pStyle w:val="Tablebody"/>
            </w:pPr>
            <w:r w:rsidRPr="001455DC">
              <w:rPr>
                <w:rStyle w:val="CCMCvariableitalic"/>
              </w:rPr>
              <w:t>η</w:t>
            </w:r>
            <w:r w:rsidRPr="001455DC">
              <w:rPr>
                <w:rStyle w:val="CCMCvariablesubscript"/>
              </w:rPr>
              <w:t>c</w:t>
            </w:r>
          </w:p>
        </w:tc>
        <w:tc>
          <w:tcPr>
            <w:tcW w:w="8845" w:type="dxa"/>
          </w:tcPr>
          <w:p w14:paraId="3DE4C2B4" w14:textId="5F37F674" w:rsidR="00C0743C" w:rsidRPr="001455DC" w:rsidRDefault="00EC27D2" w:rsidP="00BB1209">
            <w:pPr>
              <w:pStyle w:val="Tablebody"/>
            </w:pPr>
            <w:r w:rsidRPr="001455DC">
              <w:rPr>
                <w:rFonts w:ascii="Cambria Math" w:hAnsi="Cambria Math"/>
                <w:lang w:eastAsia="de-CH"/>
              </w:rPr>
              <w:t>=</w:t>
            </w:r>
            <w:r w:rsidR="00C0743C" w:rsidRPr="001455DC">
              <w:rPr>
                <w:lang w:eastAsia="de-CH"/>
              </w:rPr>
              <w:t xml:space="preserve"> </w:t>
            </w:r>
            <w:r w:rsidR="00C0743C" w:rsidRPr="001455DC">
              <w:rPr>
                <w:rStyle w:val="CCMCvariableitalic"/>
              </w:rPr>
              <w:t>τ</w:t>
            </w:r>
            <w:r w:rsidR="00C0743C" w:rsidRPr="001455DC">
              <w:rPr>
                <w:rStyle w:val="CCMCvariablesubscript"/>
              </w:rPr>
              <w:t>Rd,c</w:t>
            </w:r>
            <w:r w:rsidR="00C0743C" w:rsidRPr="001455DC">
              <w:rPr>
                <w:lang w:eastAsia="de-CH"/>
              </w:rPr>
              <w:t>/</w:t>
            </w:r>
            <w:r w:rsidR="00C0743C" w:rsidRPr="001455DC">
              <w:rPr>
                <w:rStyle w:val="CCMCvariableitalic"/>
              </w:rPr>
              <w:t>τ</w:t>
            </w:r>
            <w:r w:rsidR="00C0743C" w:rsidRPr="001455DC">
              <w:rPr>
                <w:rStyle w:val="CCMCvariablesubscript"/>
              </w:rPr>
              <w:t>Ed</w:t>
            </w:r>
            <w:r w:rsidR="00C0743C" w:rsidRPr="001455DC">
              <w:rPr>
                <w:iCs/>
                <w:lang w:eastAsia="de-CH"/>
              </w:rPr>
              <w:t> </w:t>
            </w:r>
            <w:r w:rsidR="00650035" w:rsidRPr="001455DC">
              <w:rPr>
                <w:rFonts w:ascii="Cambria Math" w:hAnsi="Cambria Math"/>
                <w:iCs/>
                <w:lang w:eastAsia="de-CH"/>
              </w:rPr>
              <w:t>≤</w:t>
            </w:r>
            <w:r w:rsidR="00C0743C" w:rsidRPr="001455DC">
              <w:rPr>
                <w:iCs/>
                <w:lang w:eastAsia="de-CH"/>
              </w:rPr>
              <w:t> 1,0;</w:t>
            </w:r>
          </w:p>
        </w:tc>
      </w:tr>
      <w:tr w:rsidR="00C0743C" w:rsidRPr="001455DC" w14:paraId="49FB4F4D" w14:textId="77777777" w:rsidTr="00EA7C41">
        <w:trPr>
          <w:cantSplit/>
        </w:trPr>
        <w:tc>
          <w:tcPr>
            <w:tcW w:w="567" w:type="dxa"/>
          </w:tcPr>
          <w:p w14:paraId="1D1FD1D0" w14:textId="42E4A170" w:rsidR="00C0743C" w:rsidRPr="001455DC" w:rsidRDefault="00C0743C" w:rsidP="0000442A">
            <w:pPr>
              <w:pStyle w:val="Tablebody"/>
            </w:pPr>
            <w:r w:rsidRPr="001455DC">
              <w:rPr>
                <w:rStyle w:val="CCMCvariableitalic"/>
              </w:rPr>
              <w:t>τ</w:t>
            </w:r>
            <w:r w:rsidRPr="001455DC">
              <w:rPr>
                <w:rStyle w:val="CCMCvariablesubscript"/>
              </w:rPr>
              <w:t>Rd,c</w:t>
            </w:r>
          </w:p>
        </w:tc>
        <w:tc>
          <w:tcPr>
            <w:tcW w:w="8845" w:type="dxa"/>
          </w:tcPr>
          <w:p w14:paraId="68C0DD6B" w14:textId="556B172E" w:rsidR="00C0743C" w:rsidRPr="001455DC" w:rsidRDefault="00C0743C" w:rsidP="0000442A">
            <w:pPr>
              <w:pStyle w:val="Tablebody"/>
            </w:pPr>
            <w:r w:rsidRPr="001455DC">
              <w:rPr>
                <w:lang w:eastAsia="de-CH"/>
              </w:rPr>
              <w:t>is given in 8.4.3(1);</w:t>
            </w:r>
          </w:p>
        </w:tc>
      </w:tr>
      <w:tr w:rsidR="00C0743C" w:rsidRPr="001455DC" w14:paraId="2FD61678" w14:textId="77777777" w:rsidTr="00EA7C41">
        <w:trPr>
          <w:cantSplit/>
        </w:trPr>
        <w:tc>
          <w:tcPr>
            <w:tcW w:w="567" w:type="dxa"/>
          </w:tcPr>
          <w:p w14:paraId="491E195C" w14:textId="5D7264CE" w:rsidR="00C0743C" w:rsidRPr="001455DC" w:rsidRDefault="00C0743C" w:rsidP="00D86695">
            <w:pPr>
              <w:pStyle w:val="Tablebody"/>
            </w:pPr>
            <w:r w:rsidRPr="001455DC">
              <w:rPr>
                <w:rStyle w:val="CCMCvariableitalic"/>
              </w:rPr>
              <w:t>η</w:t>
            </w:r>
            <w:r w:rsidRPr="001455DC">
              <w:rPr>
                <w:rStyle w:val="CCMCvariablesubscript"/>
              </w:rPr>
              <w:t>F</w:t>
            </w:r>
          </w:p>
        </w:tc>
        <w:tc>
          <w:tcPr>
            <w:tcW w:w="8845" w:type="dxa"/>
          </w:tcPr>
          <w:p w14:paraId="22BFB6D7" w14:textId="1BAAA46F" w:rsidR="00C0743C" w:rsidRPr="001455DC" w:rsidRDefault="00EC27D2" w:rsidP="00D86695">
            <w:pPr>
              <w:pStyle w:val="Tablebody"/>
            </w:pPr>
            <w:r w:rsidRPr="001455DC">
              <w:rPr>
                <w:rFonts w:ascii="Cambria Math" w:hAnsi="Cambria Math"/>
                <w:lang w:eastAsia="de-CH"/>
              </w:rPr>
              <w:t>=</w:t>
            </w:r>
            <w:r w:rsidR="00C0743C" w:rsidRPr="001455DC">
              <w:rPr>
                <w:lang w:eastAsia="de-CH"/>
              </w:rPr>
              <w:t xml:space="preserve"> 1,0.</w:t>
            </w:r>
          </w:p>
        </w:tc>
      </w:tr>
    </w:tbl>
    <w:p w14:paraId="54E46AD5" w14:textId="52193F9A" w:rsidR="004E22C1" w:rsidRPr="001455DC" w:rsidRDefault="004E22C1" w:rsidP="00246C87">
      <w:pPr>
        <w:pStyle w:val="a7"/>
      </w:pPr>
      <w:r w:rsidRPr="001455DC">
        <w:rPr>
          <w:lang w:eastAsia="de-CH"/>
        </w:rPr>
        <w:t>(2)</w:t>
      </w:r>
      <w:r w:rsidRPr="001455DC">
        <w:rPr>
          <w:lang w:eastAsia="de-CH"/>
        </w:rPr>
        <w:tab/>
      </w:r>
      <w:r w:rsidRPr="001455DC">
        <w:t>Formula (L.</w:t>
      </w:r>
      <w:r w:rsidR="00AF5889" w:rsidRPr="001455DC">
        <w:t>23</w:t>
      </w:r>
      <w:r w:rsidRPr="001455DC">
        <w:t>) shall not be applied to members subject to punching shear in combination with axial tension.</w:t>
      </w:r>
    </w:p>
    <w:p w14:paraId="59E362F1" w14:textId="2DA9D282" w:rsidR="004E22C1" w:rsidRPr="001455DC" w:rsidRDefault="004E22C1" w:rsidP="00243590">
      <w:pPr>
        <w:pStyle w:val="a4"/>
      </w:pPr>
      <w:bookmarkStart w:id="2296" w:name="_Toc52820403"/>
      <w:bookmarkStart w:id="2297" w:name="_Toc54337838"/>
      <w:bookmarkStart w:id="2298" w:name="_Toc54338448"/>
      <w:r w:rsidRPr="001455DC">
        <w:t>Punching shear resistance of FRC slabs with shear reinforcement</w:t>
      </w:r>
      <w:bookmarkEnd w:id="2296"/>
      <w:bookmarkEnd w:id="2297"/>
      <w:bookmarkEnd w:id="2298"/>
    </w:p>
    <w:p w14:paraId="0357912B" w14:textId="2A98632D" w:rsidR="004E22C1" w:rsidRPr="001455DC" w:rsidRDefault="004E22C1" w:rsidP="00DE6BBC">
      <w:pPr>
        <w:pStyle w:val="a7"/>
        <w:keepNext/>
      </w:pPr>
      <w:r w:rsidRPr="001455DC">
        <w:t>(1)</w:t>
      </w:r>
      <w:r w:rsidRPr="001455DC">
        <w:tab/>
        <w:t>Where shear reinforcement is required in FRC slabs with flexural reinforcement complying with 12.1.1, Formula (8.</w:t>
      </w:r>
      <w:r w:rsidR="00AF5889" w:rsidRPr="001455DC">
        <w:t>88</w:t>
      </w:r>
      <w:r w:rsidRPr="001455DC">
        <w:t>) may be replaced by Formula (L.</w:t>
      </w:r>
      <w:r w:rsidR="00AF5889" w:rsidRPr="001455DC">
        <w:t>24</w:t>
      </w:r>
      <w:r w:rsidRPr="001455DC">
        <w:t>):</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C0743C" w:rsidRPr="001455DC" w14:paraId="50540CAD" w14:textId="77777777" w:rsidTr="00EA7C41">
        <w:trPr>
          <w:cantSplit/>
        </w:trPr>
        <w:tc>
          <w:tcPr>
            <w:tcW w:w="8505" w:type="dxa"/>
            <w:vAlign w:val="center"/>
          </w:tcPr>
          <w:p w14:paraId="1848C441" w14:textId="781BA972" w:rsidR="00C0743C" w:rsidRPr="001455DC" w:rsidRDefault="00231E33" w:rsidP="00EA7C41">
            <w:pPr>
              <w:pStyle w:val="Formula"/>
              <w:jc w:val="left"/>
            </w:pPr>
            <m:oMathPara>
              <m:oMathParaPr>
                <m:jc m:val="left"/>
              </m:oMathParaPr>
              <m:oMath>
                <m:sSub>
                  <m:sSubPr>
                    <m:ctrlPr>
                      <w:rPr>
                        <w:rFonts w:ascii="Cambria Math" w:hAnsi="Cambria Math"/>
                      </w:rPr>
                    </m:ctrlPr>
                  </m:sSubPr>
                  <m:e>
                    <m:r>
                      <w:rPr>
                        <w:rFonts w:ascii="Cambria Math" w:hAnsi="Cambria Math"/>
                      </w:rPr>
                      <m:t>τ</m:t>
                    </m:r>
                  </m:e>
                  <m:sub>
                    <m:r>
                      <m:rPr>
                        <m:sty m:val="p"/>
                      </m:rPr>
                      <w:rPr>
                        <w:rFonts w:ascii="Cambria Math" w:hAnsi="Cambria Math"/>
                      </w:rPr>
                      <m:t>Rd,cs</m:t>
                    </m:r>
                  </m:sub>
                </m:sSub>
                <m: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c</m:t>
                    </m:r>
                  </m:sub>
                </m:sSub>
                <m:r>
                  <w:rPr>
                    <w:rFonts w:ascii="Cambria Math" w:hAnsi="Cambria Math"/>
                  </w:rPr>
                  <m:t>⋅</m:t>
                </m:r>
                <m:sSub>
                  <m:sSubPr>
                    <m:ctrlPr>
                      <w:rPr>
                        <w:rFonts w:ascii="Cambria Math" w:hAnsi="Cambria Math"/>
                      </w:rPr>
                    </m:ctrlPr>
                  </m:sSubPr>
                  <m:e>
                    <m:r>
                      <w:rPr>
                        <w:rFonts w:ascii="Cambria Math" w:hAnsi="Cambria Math"/>
                      </w:rPr>
                      <m:t>τ</m:t>
                    </m:r>
                  </m:e>
                  <m:sub>
                    <m:r>
                      <m:rPr>
                        <m:sty m:val="p"/>
                      </m:rPr>
                      <w:rPr>
                        <w:rFonts w:ascii="Cambria Math" w:hAnsi="Cambria Math"/>
                      </w:rPr>
                      <m:t>Rd,c</m:t>
                    </m:r>
                  </m:sub>
                </m:sSub>
                <m: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s</m:t>
                    </m:r>
                  </m:sub>
                </m:sSub>
                <m:r>
                  <w:rPr>
                    <w:rFonts w:ascii="Cambria Math" w:hAnsi="Cambria Math"/>
                  </w:rPr>
                  <m:t>⋅</m:t>
                </m:r>
                <m:sSub>
                  <m:sSubPr>
                    <m:ctrlPr>
                      <w:rPr>
                        <w:rFonts w:ascii="Cambria Math" w:hAnsi="Cambria Math"/>
                      </w:rPr>
                    </m:ctrlPr>
                  </m:sSubPr>
                  <m:e>
                    <m:r>
                      <w:rPr>
                        <w:rFonts w:ascii="Cambria Math" w:hAnsi="Cambria Math"/>
                      </w:rPr>
                      <m:t>ρ</m:t>
                    </m:r>
                  </m:e>
                  <m:sub>
                    <m:r>
                      <m:rPr>
                        <m:sty m:val="p"/>
                      </m:rPr>
                      <w:rPr>
                        <w:rFonts w:ascii="Cambria Math" w:hAnsi="Cambria Math"/>
                      </w:rPr>
                      <m:t>w</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ywd</m:t>
                    </m:r>
                  </m:sub>
                </m:sSub>
                <m: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Ftud</m:t>
                    </m:r>
                  </m:sub>
                </m:sSub>
                <m:r>
                  <w:rPr>
                    <w:rFonts w:ascii="Cambria Math" w:hAnsi="Cambria Math"/>
                  </w:rPr>
                  <m:t>≥</m:t>
                </m:r>
                <m:sSub>
                  <m:sSubPr>
                    <m:ctrlPr>
                      <w:rPr>
                        <w:rFonts w:ascii="Cambria Math" w:hAnsi="Cambria Math"/>
                      </w:rPr>
                    </m:ctrlPr>
                  </m:sSubPr>
                  <m:e>
                    <m:r>
                      <w:rPr>
                        <w:rFonts w:ascii="Cambria Math" w:hAnsi="Cambria Math"/>
                      </w:rPr>
                      <m:t>ρ</m:t>
                    </m:r>
                  </m:e>
                  <m:sub>
                    <m:r>
                      <m:rPr>
                        <m:sty m:val="p"/>
                      </m:rPr>
                      <w:rPr>
                        <w:rFonts w:ascii="Cambria Math" w:hAnsi="Cambria Math"/>
                      </w:rPr>
                      <m:t>w</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ywd</m:t>
                    </m:r>
                  </m:sub>
                </m:sSub>
                <m: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Ftud</m:t>
                    </m:r>
                  </m:sub>
                </m:sSub>
              </m:oMath>
            </m:oMathPara>
          </w:p>
        </w:tc>
        <w:tc>
          <w:tcPr>
            <w:tcW w:w="1247" w:type="dxa"/>
            <w:vAlign w:val="center"/>
          </w:tcPr>
          <w:p w14:paraId="3A9DBC78" w14:textId="33218C31" w:rsidR="00C0743C" w:rsidRPr="001455DC" w:rsidRDefault="00C0743C">
            <w:pPr>
              <w:pStyle w:val="a7"/>
              <w:jc w:val="right"/>
            </w:pPr>
            <w:r w:rsidRPr="001455DC">
              <w:t>(L.</w:t>
            </w:r>
            <w:r w:rsidR="00AF5889" w:rsidRPr="001455DC">
              <w:t>24</w:t>
            </w:r>
            <w:r w:rsidRPr="001455DC">
              <w:t>)</w:t>
            </w:r>
          </w:p>
        </w:tc>
      </w:tr>
    </w:tbl>
    <w:p w14:paraId="3EB54AB8" w14:textId="437734D2" w:rsidR="004E22C1" w:rsidRPr="001455DC" w:rsidRDefault="004E22C1"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1134"/>
        <w:gridCol w:w="8278"/>
      </w:tblGrid>
      <w:tr w:rsidR="00C0743C" w:rsidRPr="001455DC" w14:paraId="173ACCCE" w14:textId="77777777" w:rsidTr="00C0743C">
        <w:trPr>
          <w:cantSplit/>
        </w:trPr>
        <w:tc>
          <w:tcPr>
            <w:tcW w:w="1134" w:type="dxa"/>
          </w:tcPr>
          <w:p w14:paraId="5B377A06" w14:textId="45A4728C" w:rsidR="00C0743C" w:rsidRPr="001455DC" w:rsidRDefault="00C0743C" w:rsidP="00EA7C41">
            <w:pPr>
              <w:pStyle w:val="Tablebody"/>
            </w:pPr>
            <w:r w:rsidRPr="001455DC">
              <w:rPr>
                <w:rStyle w:val="CCMCvariableitalic"/>
              </w:rPr>
              <w:t>η</w:t>
            </w:r>
            <w:r w:rsidRPr="001455DC">
              <w:rPr>
                <w:rStyle w:val="CCMCvariablesubscript"/>
              </w:rPr>
              <w:t>c</w:t>
            </w:r>
            <w:r w:rsidRPr="001455DC">
              <w:t xml:space="preserve"> and </w:t>
            </w:r>
            <w:r w:rsidRPr="001455DC">
              <w:rPr>
                <w:rStyle w:val="CCMCvariableitalic"/>
              </w:rPr>
              <w:t>η</w:t>
            </w:r>
            <w:r w:rsidRPr="001455DC">
              <w:rPr>
                <w:rStyle w:val="CCMCvariablesubscript"/>
              </w:rPr>
              <w:t>s</w:t>
            </w:r>
          </w:p>
        </w:tc>
        <w:tc>
          <w:tcPr>
            <w:tcW w:w="8278" w:type="dxa"/>
          </w:tcPr>
          <w:p w14:paraId="7A512D11" w14:textId="44EBE5EE" w:rsidR="00C0743C" w:rsidRPr="001455DC" w:rsidRDefault="00C0743C" w:rsidP="00EA7C41">
            <w:pPr>
              <w:pStyle w:val="Tablebody"/>
            </w:pPr>
            <w:r w:rsidRPr="001455DC">
              <w:t>are defined in 8.4.4(1);</w:t>
            </w:r>
          </w:p>
        </w:tc>
      </w:tr>
      <w:tr w:rsidR="00C0743C" w:rsidRPr="001455DC" w14:paraId="1CFA25E1" w14:textId="77777777" w:rsidTr="00C0743C">
        <w:trPr>
          <w:cantSplit/>
        </w:trPr>
        <w:tc>
          <w:tcPr>
            <w:tcW w:w="1134" w:type="dxa"/>
          </w:tcPr>
          <w:p w14:paraId="45CFB667" w14:textId="52D37925" w:rsidR="00C0743C" w:rsidRPr="001455DC" w:rsidRDefault="00C0743C" w:rsidP="00EA7C41">
            <w:pPr>
              <w:pStyle w:val="Tablebody"/>
            </w:pPr>
            <w:r w:rsidRPr="001455DC">
              <w:rPr>
                <w:rStyle w:val="CCMCvariableitalic"/>
              </w:rPr>
              <w:t>η</w:t>
            </w:r>
            <w:r w:rsidRPr="001455DC">
              <w:rPr>
                <w:rStyle w:val="CCMCvariablesubscript"/>
              </w:rPr>
              <w:t>F</w:t>
            </w:r>
          </w:p>
        </w:tc>
        <w:tc>
          <w:tcPr>
            <w:tcW w:w="8278" w:type="dxa"/>
          </w:tcPr>
          <w:p w14:paraId="4C9576C4" w14:textId="621B1124" w:rsidR="00C0743C" w:rsidRPr="001455DC" w:rsidRDefault="00EC27D2" w:rsidP="00EA7C41">
            <w:pPr>
              <w:pStyle w:val="Tablebody"/>
            </w:pPr>
            <w:r w:rsidRPr="001455DC">
              <w:rPr>
                <w:rFonts w:ascii="Cambria Math" w:hAnsi="Cambria Math"/>
              </w:rPr>
              <w:t>=</w:t>
            </w:r>
            <w:r w:rsidR="00C0743C" w:rsidRPr="001455DC">
              <w:t> </w:t>
            </w:r>
            <w:r w:rsidR="00C0743C" w:rsidRPr="001455DC">
              <w:rPr>
                <w:lang w:eastAsia="de-CH"/>
              </w:rPr>
              <w:t>1,0.</w:t>
            </w:r>
          </w:p>
        </w:tc>
      </w:tr>
    </w:tbl>
    <w:p w14:paraId="20F835DE" w14:textId="290BFB49" w:rsidR="004E22C1" w:rsidRPr="001455DC" w:rsidRDefault="004E22C1" w:rsidP="00243590">
      <w:pPr>
        <w:pStyle w:val="a3"/>
      </w:pPr>
      <w:bookmarkStart w:id="2299" w:name="_Toc52820404"/>
      <w:bookmarkStart w:id="2300" w:name="_Toc54337839"/>
      <w:bookmarkStart w:id="2301" w:name="_Toc54338449"/>
      <w:r w:rsidRPr="001455DC">
        <w:t>Design with strut-and-tie models</w:t>
      </w:r>
      <w:bookmarkEnd w:id="2299"/>
      <w:bookmarkEnd w:id="2300"/>
      <w:bookmarkEnd w:id="2301"/>
      <w:r w:rsidR="009E788D" w:rsidRPr="001455DC">
        <w:t xml:space="preserve"> - Ties</w:t>
      </w:r>
    </w:p>
    <w:p w14:paraId="7ACDEFD6" w14:textId="77777777" w:rsidR="004E22C1" w:rsidRPr="001455DC" w:rsidRDefault="004E22C1" w:rsidP="00246C87">
      <w:pPr>
        <w:pStyle w:val="a7"/>
      </w:pPr>
      <w:r w:rsidRPr="001455DC">
        <w:t>(1)</w:t>
      </w:r>
      <w:r w:rsidRPr="001455DC">
        <w:tab/>
        <w:t>Fibres may be used in place of the transverse reinforcement.</w:t>
      </w:r>
    </w:p>
    <w:p w14:paraId="4976E2FF" w14:textId="77777777" w:rsidR="004E22C1" w:rsidRPr="001455DC" w:rsidRDefault="004E22C1" w:rsidP="00246C87">
      <w:pPr>
        <w:pStyle w:val="a7"/>
      </w:pPr>
      <w:r w:rsidRPr="001455DC">
        <w:t>(2)</w:t>
      </w:r>
      <w:r w:rsidRPr="001455DC">
        <w:tab/>
        <w:t xml:space="preserve">Fibres may substitute the main longitudinal reinforcement only up to 30 % of the total required amount. A maximum stress of </w:t>
      </w:r>
      <w:r w:rsidRPr="001455DC">
        <w:rPr>
          <w:rStyle w:val="CCMCvariableitalic"/>
        </w:rPr>
        <w:t>f</w:t>
      </w:r>
      <w:r w:rsidRPr="001455DC">
        <w:rPr>
          <w:rStyle w:val="CCMCvariablesubscript"/>
        </w:rPr>
        <w:t>Fts,ef</w:t>
      </w:r>
      <w:r w:rsidRPr="001455DC">
        <w:t xml:space="preserve"> and </w:t>
      </w:r>
      <w:r w:rsidRPr="001455DC">
        <w:rPr>
          <w:rStyle w:val="CCMCvariableitalic"/>
        </w:rPr>
        <w:t>f</w:t>
      </w:r>
      <w:r w:rsidRPr="001455DC">
        <w:rPr>
          <w:rStyle w:val="CCMCvariablesubscript"/>
        </w:rPr>
        <w:t>Ftud</w:t>
      </w:r>
      <w:r w:rsidRPr="001455DC">
        <w:t xml:space="preserve"> may be assumed for serviceability and ultimate limit state respectively in the concrete areas involved.</w:t>
      </w:r>
    </w:p>
    <w:p w14:paraId="70EF2D05" w14:textId="4E55FF6D" w:rsidR="004E22C1" w:rsidRPr="001455DC" w:rsidRDefault="004E22C1" w:rsidP="00243590">
      <w:pPr>
        <w:pStyle w:val="a3"/>
      </w:pPr>
      <w:bookmarkStart w:id="2302" w:name="_Toc52820406"/>
      <w:bookmarkStart w:id="2303" w:name="_Toc54337841"/>
      <w:bookmarkStart w:id="2304" w:name="_Toc54338451"/>
      <w:r w:rsidRPr="001455DC">
        <w:t>Partially loaded areas</w:t>
      </w:r>
      <w:bookmarkEnd w:id="2302"/>
      <w:bookmarkEnd w:id="2303"/>
      <w:bookmarkEnd w:id="2304"/>
    </w:p>
    <w:p w14:paraId="229F1799" w14:textId="5434DE20" w:rsidR="004E22C1" w:rsidRPr="001455DC" w:rsidRDefault="004E22C1" w:rsidP="00246C87">
      <w:pPr>
        <w:pStyle w:val="a7"/>
      </w:pPr>
      <w:r w:rsidRPr="001455DC">
        <w:t>(1)</w:t>
      </w:r>
      <w:r w:rsidRPr="001455DC">
        <w:tab/>
        <w:t xml:space="preserve">Fibres may be used to replace the transverse reinforcement required to resist transverse tensile stresses arising from action effects in partially loaded areas. For the design, the idealised tensile post-cracking behaviour (see </w:t>
      </w:r>
      <w:r w:rsidRPr="009D3012">
        <w:rPr>
          <w:i/>
        </w:rPr>
        <w:t>L.5.1.7</w:t>
      </w:r>
      <w:r w:rsidRPr="001455DC">
        <w:t xml:space="preserve"> and L.8.1) may be used.</w:t>
      </w:r>
    </w:p>
    <w:p w14:paraId="4C5908F2" w14:textId="0B3A5030" w:rsidR="004E22C1" w:rsidRPr="001455DC" w:rsidRDefault="00C0743C" w:rsidP="00082680">
      <w:pPr>
        <w:pStyle w:val="a2"/>
      </w:pPr>
      <w:bookmarkStart w:id="2305" w:name="_Toc52820407"/>
      <w:bookmarkStart w:id="2306" w:name="_Toc54337231"/>
      <w:bookmarkStart w:id="2307" w:name="_Toc54337842"/>
      <w:bookmarkStart w:id="2308" w:name="_Toc54338452"/>
      <w:bookmarkStart w:id="2309" w:name="_Toc67565636"/>
      <w:r w:rsidRPr="001455DC">
        <w:t>Serviceability Limit States</w:t>
      </w:r>
      <w:r w:rsidR="004E22C1" w:rsidRPr="001455DC">
        <w:t xml:space="preserve"> (SLS)</w:t>
      </w:r>
      <w:bookmarkEnd w:id="2305"/>
      <w:bookmarkEnd w:id="2306"/>
      <w:bookmarkEnd w:id="2307"/>
      <w:bookmarkEnd w:id="2308"/>
      <w:r w:rsidR="007F7FCC" w:rsidRPr="001455DC">
        <w:t xml:space="preserve"> - Crack control</w:t>
      </w:r>
      <w:bookmarkEnd w:id="2309"/>
    </w:p>
    <w:p w14:paraId="6B49ACD8" w14:textId="5722FDC1" w:rsidR="004E22C1" w:rsidRPr="009D3012" w:rsidRDefault="004E22C1" w:rsidP="00243590">
      <w:pPr>
        <w:pStyle w:val="a3"/>
      </w:pPr>
      <w:bookmarkStart w:id="2310" w:name="_Toc52820409"/>
      <w:bookmarkStart w:id="2311" w:name="_Toc54337844"/>
      <w:bookmarkStart w:id="2312" w:name="_Toc54338454"/>
      <w:r w:rsidRPr="009D3012">
        <w:t>General considerations</w:t>
      </w:r>
      <w:bookmarkEnd w:id="2310"/>
      <w:bookmarkEnd w:id="2311"/>
      <w:bookmarkEnd w:id="2312"/>
    </w:p>
    <w:p w14:paraId="0478C2C6" w14:textId="77777777" w:rsidR="004E22C1" w:rsidRPr="001455DC" w:rsidRDefault="004E22C1" w:rsidP="00246C87">
      <w:pPr>
        <w:pStyle w:val="a7"/>
      </w:pPr>
      <w:r w:rsidRPr="001455DC">
        <w:t>(1)</w:t>
      </w:r>
      <w:r w:rsidRPr="001455DC">
        <w:tab/>
        <w:t>The stress and crack width limits in Table 9.1(NDP) and Table 9.2(NDP) may be applied to members reinforced with steel fibres.</w:t>
      </w:r>
    </w:p>
    <w:p w14:paraId="27D4D36A" w14:textId="182FCAAB" w:rsidR="004E22C1" w:rsidRPr="001455DC" w:rsidRDefault="004E22C1" w:rsidP="00246C87">
      <w:pPr>
        <w:pStyle w:val="a7"/>
      </w:pPr>
      <w:r w:rsidRPr="001455DC">
        <w:t>(2)</w:t>
      </w:r>
      <w:r w:rsidRPr="001455DC">
        <w:tab/>
        <w:t xml:space="preserve">In determining stresses and crack widths for use of Table 9.1(NDP) and Table 9.2(NDP), </w:t>
      </w:r>
      <w:r w:rsidRPr="001455DC">
        <w:rPr>
          <w:rStyle w:val="CCMCvariableitalic"/>
        </w:rPr>
        <w:t>c</w:t>
      </w:r>
      <w:r w:rsidRPr="001455DC">
        <w:rPr>
          <w:rStyle w:val="CCMCvariablesubscript"/>
        </w:rPr>
        <w:t>f,dur</w:t>
      </w:r>
      <w:r w:rsidRPr="001455DC">
        <w:t xml:space="preserve"> shall be disregarded from the concrete section in accordance with </w:t>
      </w:r>
      <w:r w:rsidRPr="009D3012">
        <w:rPr>
          <w:i/>
        </w:rPr>
        <w:t>L.6.5(2)</w:t>
      </w:r>
      <w:r w:rsidRPr="001455DC">
        <w:t>.</w:t>
      </w:r>
    </w:p>
    <w:p w14:paraId="2ABF46CD" w14:textId="746DB76B" w:rsidR="004E22C1" w:rsidRPr="009D3012" w:rsidRDefault="004E22C1" w:rsidP="00243590">
      <w:pPr>
        <w:pStyle w:val="a3"/>
      </w:pPr>
      <w:bookmarkStart w:id="2313" w:name="_Toc52820410"/>
      <w:bookmarkStart w:id="2314" w:name="_Toc54337845"/>
      <w:bookmarkStart w:id="2315" w:name="_Toc54338455"/>
      <w:r w:rsidRPr="009D3012">
        <w:t>Minimum reinforcement areas for crack control</w:t>
      </w:r>
      <w:bookmarkEnd w:id="2313"/>
      <w:bookmarkEnd w:id="2314"/>
      <w:bookmarkEnd w:id="2315"/>
    </w:p>
    <w:p w14:paraId="070BF048" w14:textId="77777777" w:rsidR="004E22C1" w:rsidRPr="001455DC" w:rsidRDefault="004E22C1" w:rsidP="00246C87">
      <w:pPr>
        <w:pStyle w:val="a7"/>
      </w:pPr>
      <w:r w:rsidRPr="001455DC">
        <w:t>(1)</w:t>
      </w:r>
      <w:r w:rsidRPr="001455DC">
        <w:tab/>
        <w:t xml:space="preserve">The reinforcement areas calculated by Formulae (9.3) to (9.5) may be adjusted for the fibre contribution in accordance with </w:t>
      </w:r>
      <w:r w:rsidRPr="009D3012">
        <w:rPr>
          <w:i/>
        </w:rPr>
        <w:t>L.12.1.1</w:t>
      </w:r>
      <w:r w:rsidRPr="001455DC">
        <w:t>.</w:t>
      </w:r>
    </w:p>
    <w:p w14:paraId="700DAA68" w14:textId="302269B3" w:rsidR="004E22C1" w:rsidRPr="009D3012" w:rsidRDefault="004E22C1" w:rsidP="00243590">
      <w:pPr>
        <w:pStyle w:val="a3"/>
      </w:pPr>
      <w:bookmarkStart w:id="2316" w:name="_Toc52820411"/>
      <w:bookmarkStart w:id="2317" w:name="_Toc54337846"/>
      <w:bookmarkStart w:id="2318" w:name="_Toc54338456"/>
      <w:r w:rsidRPr="009D3012">
        <w:t>Refined control of cracking</w:t>
      </w:r>
      <w:bookmarkEnd w:id="2316"/>
      <w:bookmarkEnd w:id="2317"/>
      <w:bookmarkEnd w:id="2318"/>
    </w:p>
    <w:p w14:paraId="5CC99FEB" w14:textId="77777777" w:rsidR="004035D4" w:rsidRPr="001455DC" w:rsidRDefault="004E22C1" w:rsidP="00DE6BBC">
      <w:pPr>
        <w:pStyle w:val="a7"/>
        <w:keepNext/>
      </w:pPr>
      <w:r w:rsidRPr="001455DC">
        <w:t>(1)</w:t>
      </w:r>
      <w:r w:rsidRPr="001455DC">
        <w:tab/>
        <w:t>The maximum crack spacing for members reinforced with steel fibres and longitudinal bars should be calculated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035D4" w:rsidRPr="001455DC" w14:paraId="43AB62C6" w14:textId="77777777" w:rsidTr="00EA7C41">
        <w:trPr>
          <w:cantSplit/>
        </w:trPr>
        <w:tc>
          <w:tcPr>
            <w:tcW w:w="8505" w:type="dxa"/>
            <w:vAlign w:val="center"/>
          </w:tcPr>
          <w:p w14:paraId="3E08F2B5" w14:textId="06C4BA92" w:rsidR="004035D4" w:rsidRPr="001455DC" w:rsidRDefault="004035D4" w:rsidP="00EA7C41">
            <w:pPr>
              <w:pStyle w:val="Formula"/>
              <w:jc w:val="left"/>
            </w:pPr>
            <w:r w:rsidRPr="001455DC">
              <w:rPr>
                <w:rStyle w:val="CCMCvariableitalic"/>
              </w:rPr>
              <w:t>s</w:t>
            </w:r>
            <w:r w:rsidRPr="001455DC">
              <w:rPr>
                <w:rStyle w:val="CCMCvariablesubscript"/>
              </w:rPr>
              <w:t>r,max,cal</w:t>
            </w:r>
            <w:r w:rsidRPr="001455DC">
              <w:t> </w:t>
            </w:r>
            <w:r w:rsidR="00EC27D2" w:rsidRPr="001455DC">
              <w:rPr>
                <w:rFonts w:ascii="Cambria Math" w:hAnsi="Cambria Math"/>
              </w:rPr>
              <w:t>=</w:t>
            </w:r>
            <w:r w:rsidRPr="001455DC">
              <w:t> </w:t>
            </w:r>
            <w:r w:rsidRPr="001455DC">
              <w:rPr>
                <w:iCs/>
              </w:rPr>
              <w:t>(2</w:t>
            </w:r>
            <w:r w:rsidRPr="001455DC">
              <w:rPr>
                <w:rStyle w:val="CCMCvariableitalic"/>
              </w:rPr>
              <w:t>c</w:t>
            </w:r>
            <w:r w:rsidR="00EC27D2" w:rsidRPr="001455DC">
              <w:rPr>
                <w:rFonts w:ascii="Cambria Math" w:hAnsi="Cambria Math"/>
              </w:rPr>
              <w:t> + </w:t>
            </w:r>
            <w:r w:rsidRPr="001455DC">
              <w:rPr>
                <w:iCs/>
              </w:rPr>
              <w:t>0,28</w:t>
            </w:r>
            <w:r w:rsidRPr="001455DC">
              <w:t xml:space="preserve"> </w:t>
            </w:r>
            <w:r w:rsidR="00C74721" w:rsidRPr="001455DC">
              <w:rPr>
                <w:rFonts w:ascii="Cambria Math" w:hAnsi="Cambria Math"/>
              </w:rPr>
              <w:t>⋅</w:t>
            </w:r>
            <w:r w:rsidRPr="001455DC">
              <w:t xml:space="preserve"> </w:t>
            </w:r>
            <w:r w:rsidRPr="001455DC">
              <w:rPr>
                <w:rStyle w:val="CCMCvariableitalic"/>
              </w:rPr>
              <w:t>ϕ</w:t>
            </w:r>
            <w:r w:rsidRPr="001455DC">
              <w:t>/</w:t>
            </w:r>
            <w:r w:rsidRPr="001455DC">
              <w:rPr>
                <w:rStyle w:val="CCMCvariableitalic"/>
              </w:rPr>
              <w:t>ρ</w:t>
            </w:r>
            <w:r w:rsidRPr="001455DC">
              <w:rPr>
                <w:rStyle w:val="CCMCvariablesubscript"/>
              </w:rPr>
              <w:t>p,ef</w:t>
            </w:r>
            <w:r w:rsidRPr="001455DC">
              <w:rPr>
                <w:iCs/>
              </w:rPr>
              <w:t>) </w:t>
            </w:r>
            <w:r w:rsidRPr="001455DC">
              <w:rPr>
                <w:rFonts w:ascii="Cambria Math" w:hAnsi="Cambria Math" w:cs="Cambria Math"/>
                <w:iCs/>
              </w:rPr>
              <w:t>⋅</w:t>
            </w:r>
            <w:r w:rsidRPr="001455DC">
              <w:rPr>
                <w:iCs/>
              </w:rPr>
              <w:t> (1 </w:t>
            </w:r>
            <w:r w:rsidR="00EC27D2" w:rsidRPr="001455DC">
              <w:rPr>
                <w:rFonts w:ascii="Cambria Math" w:hAnsi="Cambria Math"/>
                <w:iCs/>
              </w:rPr>
              <w:t>−</w:t>
            </w:r>
            <w:r w:rsidRPr="001455DC">
              <w:rPr>
                <w:iCs/>
              </w:rPr>
              <w:t> </w:t>
            </w:r>
            <w:r w:rsidRPr="001455DC">
              <w:rPr>
                <w:rStyle w:val="CCMCvariableitalic"/>
              </w:rPr>
              <w:t>f</w:t>
            </w:r>
            <w:r w:rsidRPr="001455DC">
              <w:rPr>
                <w:rStyle w:val="CCMCvariablesubscript"/>
              </w:rPr>
              <w:t>Fts,ef</w:t>
            </w:r>
            <w:r w:rsidR="00605B61" w:rsidRPr="001455DC">
              <w:t>/</w:t>
            </w:r>
            <w:r w:rsidRPr="001455DC">
              <w:rPr>
                <w:rStyle w:val="CCMCvariableitalic"/>
              </w:rPr>
              <w:t>f</w:t>
            </w:r>
            <w:r w:rsidRPr="001455DC">
              <w:rPr>
                <w:rStyle w:val="CCMCvariablesubscript"/>
              </w:rPr>
              <w:t>ctm</w:t>
            </w:r>
            <w:r w:rsidRPr="001455DC">
              <w:rPr>
                <w:iCs/>
              </w:rPr>
              <w:t>)</w:t>
            </w:r>
          </w:p>
        </w:tc>
        <w:tc>
          <w:tcPr>
            <w:tcW w:w="1247" w:type="dxa"/>
            <w:vAlign w:val="center"/>
          </w:tcPr>
          <w:p w14:paraId="7853D8A6" w14:textId="333DCC2C" w:rsidR="004035D4" w:rsidRPr="001455DC" w:rsidRDefault="004035D4" w:rsidP="00EA7C41">
            <w:pPr>
              <w:pStyle w:val="a7"/>
              <w:jc w:val="right"/>
            </w:pPr>
            <w:r w:rsidRPr="001455DC">
              <w:t>(L.2</w:t>
            </w:r>
            <w:r w:rsidR="00A501E5" w:rsidRPr="001455DC">
              <w:t>5</w:t>
            </w:r>
            <w:r w:rsidRPr="001455DC">
              <w:t>)</w:t>
            </w:r>
          </w:p>
        </w:tc>
      </w:tr>
    </w:tbl>
    <w:p w14:paraId="5CCF96EA" w14:textId="77777777" w:rsidR="004E22C1" w:rsidRPr="001455DC" w:rsidRDefault="004E22C1" w:rsidP="00246C87">
      <w:pPr>
        <w:pStyle w:val="a7"/>
      </w:pPr>
      <w:r w:rsidRPr="001455DC">
        <w:t xml:space="preserve">where </w:t>
      </w:r>
      <w:r w:rsidRPr="001455DC">
        <w:rPr>
          <w:rStyle w:val="CCMCvariableitalic"/>
        </w:rPr>
        <w:t>f</w:t>
      </w:r>
      <w:r w:rsidRPr="001455DC">
        <w:rPr>
          <w:rStyle w:val="CCMCvariablesubscript"/>
        </w:rPr>
        <w:t>Fts,ef</w:t>
      </w:r>
      <w:r w:rsidRPr="001455DC">
        <w:rPr>
          <w:iCs/>
        </w:rPr>
        <w:t xml:space="preserve"> </w:t>
      </w:r>
      <w:r w:rsidRPr="001455DC">
        <w:t>is the effective residual tensile strength for the serviceability limit states, and the remaining parameters are as defined in 9.2.4.</w:t>
      </w:r>
    </w:p>
    <w:p w14:paraId="22DD7AFB" w14:textId="64CE8D26" w:rsidR="004E22C1" w:rsidRPr="001455DC" w:rsidRDefault="004E22C1" w:rsidP="00246C87">
      <w:pPr>
        <w:pStyle w:val="a7"/>
      </w:pPr>
      <w:r w:rsidRPr="001455DC">
        <w:t>(2)</w:t>
      </w:r>
      <w:r w:rsidRPr="001455DC">
        <w:tab/>
        <w:t xml:space="preserve">The stress in the tensile reinforcement </w:t>
      </w:r>
      <w:r w:rsidRPr="001455DC">
        <w:rPr>
          <w:rStyle w:val="CCMCvariableitalic"/>
        </w:rPr>
        <w:t>σ</w:t>
      </w:r>
      <w:r w:rsidRPr="001455DC">
        <w:rPr>
          <w:rStyle w:val="CCMCvariablesubscript"/>
        </w:rPr>
        <w:t>s</w:t>
      </w:r>
      <w:r w:rsidRPr="001455DC">
        <w:t xml:space="preserve"> in Formula (9.13), should be calculated using the provisions of L.8.1.</w:t>
      </w:r>
    </w:p>
    <w:p w14:paraId="25C3BF35" w14:textId="6309CA7C" w:rsidR="004E22C1" w:rsidRPr="001455DC" w:rsidRDefault="004035D4" w:rsidP="00082680">
      <w:pPr>
        <w:pStyle w:val="a2"/>
      </w:pPr>
      <w:bookmarkStart w:id="2319" w:name="_Toc52820412"/>
      <w:bookmarkStart w:id="2320" w:name="_Toc54337232"/>
      <w:bookmarkStart w:id="2321" w:name="_Toc54337847"/>
      <w:bookmarkStart w:id="2322" w:name="_Toc54338457"/>
      <w:bookmarkStart w:id="2323" w:name="_Toc67565637"/>
      <w:r w:rsidRPr="001455DC">
        <w:t>Fatigue</w:t>
      </w:r>
      <w:bookmarkEnd w:id="2319"/>
      <w:bookmarkEnd w:id="2320"/>
      <w:bookmarkEnd w:id="2321"/>
      <w:bookmarkEnd w:id="2322"/>
      <w:bookmarkEnd w:id="2323"/>
    </w:p>
    <w:p w14:paraId="3368A0E9" w14:textId="583D06E5" w:rsidR="004E22C1" w:rsidRPr="001455DC" w:rsidRDefault="007F7FCC" w:rsidP="00246C87">
      <w:pPr>
        <w:pStyle w:val="a7"/>
      </w:pPr>
      <w:bookmarkStart w:id="2324" w:name="_Toc52820413"/>
      <w:bookmarkStart w:id="2325" w:name="_Toc54337848"/>
      <w:bookmarkStart w:id="2326" w:name="_Toc54338458"/>
      <w:r w:rsidRPr="001455DC" w:rsidDel="007F7FCC">
        <w:t xml:space="preserve"> </w:t>
      </w:r>
      <w:bookmarkEnd w:id="2324"/>
      <w:bookmarkEnd w:id="2325"/>
      <w:bookmarkEnd w:id="2326"/>
      <w:r w:rsidR="004E22C1" w:rsidRPr="001455DC">
        <w:t>(1)</w:t>
      </w:r>
      <w:r w:rsidR="004E22C1" w:rsidRPr="001455DC">
        <w:tab/>
        <w:t>For fatigue verification of SFRC members, the contribution of fibres should be neglected.</w:t>
      </w:r>
    </w:p>
    <w:p w14:paraId="4FF1CE27" w14:textId="383E6AA4" w:rsidR="004E22C1" w:rsidRPr="001455DC" w:rsidRDefault="004035D4" w:rsidP="00082680">
      <w:pPr>
        <w:pStyle w:val="a2"/>
      </w:pPr>
      <w:bookmarkStart w:id="2327" w:name="_Toc52820414"/>
      <w:bookmarkStart w:id="2328" w:name="_Toc54337233"/>
      <w:bookmarkStart w:id="2329" w:name="_Toc54337849"/>
      <w:bookmarkStart w:id="2330" w:name="_Toc54338459"/>
      <w:bookmarkStart w:id="2331" w:name="_Toc67565638"/>
      <w:r w:rsidRPr="001455DC">
        <w:t>Detailing of reinforcement and post-tensioning tendons</w:t>
      </w:r>
      <w:bookmarkEnd w:id="2327"/>
      <w:bookmarkEnd w:id="2328"/>
      <w:bookmarkEnd w:id="2329"/>
      <w:bookmarkEnd w:id="2330"/>
      <w:bookmarkEnd w:id="2331"/>
    </w:p>
    <w:p w14:paraId="0A7EA143" w14:textId="4D8DDB30" w:rsidR="004E22C1" w:rsidRPr="001455DC" w:rsidRDefault="004E22C1" w:rsidP="00243590">
      <w:pPr>
        <w:pStyle w:val="a3"/>
      </w:pPr>
      <w:bookmarkStart w:id="2332" w:name="_Toc52820415"/>
      <w:bookmarkStart w:id="2333" w:name="_Toc54337850"/>
      <w:bookmarkStart w:id="2334" w:name="_Toc54338460"/>
      <w:r w:rsidRPr="001455DC">
        <w:t>General</w:t>
      </w:r>
      <w:bookmarkEnd w:id="2332"/>
      <w:bookmarkEnd w:id="2333"/>
      <w:bookmarkEnd w:id="2334"/>
    </w:p>
    <w:p w14:paraId="36FD3AD1" w14:textId="561E9076" w:rsidR="004E22C1" w:rsidRPr="001455DC" w:rsidRDefault="004E22C1" w:rsidP="00246C87">
      <w:pPr>
        <w:pStyle w:val="a7"/>
      </w:pPr>
      <w:r w:rsidRPr="001455DC">
        <w:t>(</w:t>
      </w:r>
      <w:r w:rsidR="002F21CA" w:rsidRPr="001455DC">
        <w:t>1</w:t>
      </w:r>
      <w:r w:rsidRPr="001455DC">
        <w:t>)</w:t>
      </w:r>
      <w:r w:rsidRPr="001455DC">
        <w:tab/>
        <w:t>Steel fibres shall not be used to replace reinforcement across a construction joint.</w:t>
      </w:r>
    </w:p>
    <w:p w14:paraId="2BC63599" w14:textId="6D98D867" w:rsidR="004E22C1" w:rsidRPr="001455DC" w:rsidRDefault="004E22C1" w:rsidP="00246C87">
      <w:pPr>
        <w:pStyle w:val="a7"/>
      </w:pPr>
      <w:r w:rsidRPr="001455DC">
        <w:t>(</w:t>
      </w:r>
      <w:r w:rsidR="002F21CA" w:rsidRPr="001455DC">
        <w:t>2</w:t>
      </w:r>
      <w:r w:rsidRPr="001455DC">
        <w:t>)</w:t>
      </w:r>
      <w:r w:rsidRPr="001455DC">
        <w:tab/>
        <w:t>The residual tensile strength of SFRC shall be disregarded at construction joints.</w:t>
      </w:r>
    </w:p>
    <w:p w14:paraId="6E0307F8" w14:textId="1BB2E9F2" w:rsidR="004E22C1" w:rsidRPr="001455DC" w:rsidRDefault="004E22C1" w:rsidP="00243590">
      <w:pPr>
        <w:pStyle w:val="a3"/>
      </w:pPr>
      <w:bookmarkStart w:id="2335" w:name="_Toc52820416"/>
      <w:bookmarkStart w:id="2336" w:name="_Toc54337851"/>
      <w:bookmarkStart w:id="2337" w:name="_Toc54338461"/>
      <w:r w:rsidRPr="001455DC">
        <w:t>Spacing of bars</w:t>
      </w:r>
      <w:bookmarkEnd w:id="2335"/>
      <w:bookmarkEnd w:id="2336"/>
      <w:bookmarkEnd w:id="2337"/>
    </w:p>
    <w:p w14:paraId="0555A9B0" w14:textId="6F7A5E10" w:rsidR="004E22C1" w:rsidRPr="001455DC" w:rsidRDefault="004E22C1" w:rsidP="004035D4">
      <w:pPr>
        <w:pStyle w:val="a7"/>
      </w:pPr>
      <w:r w:rsidRPr="001455DC">
        <w:t>(1)</w:t>
      </w:r>
      <w:r w:rsidRPr="001455DC">
        <w:tab/>
        <w:t xml:space="preserve">A </w:t>
      </w:r>
      <w:r w:rsidR="002F21CA" w:rsidRPr="001455DC">
        <w:t xml:space="preserve">clear </w:t>
      </w:r>
      <w:r w:rsidRPr="001455DC">
        <w:t xml:space="preserve">bar </w:t>
      </w:r>
      <w:r w:rsidR="00224D0D" w:rsidRPr="001455DC">
        <w:t>distance</w:t>
      </w:r>
      <w:r w:rsidRPr="001455DC">
        <w:t> </w:t>
      </w:r>
      <w:r w:rsidR="00650035" w:rsidRPr="001455DC">
        <w:rPr>
          <w:rFonts w:ascii="Cambria Math" w:hAnsi="Cambria Math"/>
        </w:rPr>
        <w:t>≥</w:t>
      </w:r>
      <w:r w:rsidR="00073FC6" w:rsidRPr="001455DC">
        <w:t> </w:t>
      </w:r>
      <w:r w:rsidR="00224D0D" w:rsidRPr="001455DC">
        <w:rPr>
          <w:rStyle w:val="CCMCvariableitalic"/>
        </w:rPr>
        <w:t>k</w:t>
      </w:r>
      <w:r w:rsidRPr="001455DC">
        <w:rPr>
          <w:rStyle w:val="CCMCvariablesubscript"/>
        </w:rPr>
        <w:t>F</w:t>
      </w:r>
      <w:r w:rsidRPr="001455DC">
        <w:t xml:space="preserve"> times the fibre length should be used.</w:t>
      </w:r>
    </w:p>
    <w:p w14:paraId="425B6A54" w14:textId="2CAE0B44" w:rsidR="004E22C1" w:rsidRPr="001455DC" w:rsidRDefault="004E22C1" w:rsidP="004035D4">
      <w:pPr>
        <w:pStyle w:val="Note"/>
      </w:pPr>
      <w:r w:rsidRPr="001455DC">
        <w:t>NOTE</w:t>
      </w:r>
      <w:r w:rsidRPr="001455DC">
        <w:tab/>
        <w:t xml:space="preserve">The value of </w:t>
      </w:r>
      <w:r w:rsidR="00224D0D" w:rsidRPr="001455DC">
        <w:rPr>
          <w:rStyle w:val="CCMCvariableitalic"/>
        </w:rPr>
        <w:t>k</w:t>
      </w:r>
      <w:r w:rsidR="00224D0D" w:rsidRPr="001455DC">
        <w:rPr>
          <w:rStyle w:val="CCMCvariablesubscript"/>
        </w:rPr>
        <w:t>F</w:t>
      </w:r>
      <w:r w:rsidR="00224D0D" w:rsidRPr="001455DC">
        <w:t xml:space="preserve"> </w:t>
      </w:r>
      <w:r w:rsidRPr="001455DC">
        <w:t>is 20  unless a National Annex gives a different value.</w:t>
      </w:r>
    </w:p>
    <w:p w14:paraId="480AE47E" w14:textId="2443B360" w:rsidR="004E22C1" w:rsidRPr="001455DC" w:rsidRDefault="004035D4" w:rsidP="00082680">
      <w:pPr>
        <w:pStyle w:val="a2"/>
      </w:pPr>
      <w:bookmarkStart w:id="2338" w:name="_Toc52820417"/>
      <w:bookmarkStart w:id="2339" w:name="_Toc54337234"/>
      <w:bookmarkStart w:id="2340" w:name="_Toc54337852"/>
      <w:bookmarkStart w:id="2341" w:name="_Toc54338462"/>
      <w:bookmarkStart w:id="2342" w:name="_Toc67565639"/>
      <w:r w:rsidRPr="001455DC">
        <w:t>Detailing of members and particular rules</w:t>
      </w:r>
      <w:bookmarkEnd w:id="2338"/>
      <w:bookmarkEnd w:id="2339"/>
      <w:bookmarkEnd w:id="2340"/>
      <w:bookmarkEnd w:id="2341"/>
      <w:bookmarkEnd w:id="2342"/>
    </w:p>
    <w:p w14:paraId="64EC96A7" w14:textId="54451ED9" w:rsidR="004E22C1" w:rsidRPr="001455DC" w:rsidRDefault="004E22C1" w:rsidP="00243590">
      <w:pPr>
        <w:pStyle w:val="a3"/>
      </w:pPr>
      <w:bookmarkStart w:id="2343" w:name="_Toc52820418"/>
      <w:bookmarkStart w:id="2344" w:name="_Toc54337853"/>
      <w:bookmarkStart w:id="2345" w:name="_Toc54338463"/>
      <w:r w:rsidRPr="001455DC">
        <w:t>Minimum reinforcement rules</w:t>
      </w:r>
      <w:bookmarkEnd w:id="2343"/>
      <w:bookmarkEnd w:id="2344"/>
      <w:bookmarkEnd w:id="2345"/>
    </w:p>
    <w:p w14:paraId="3395AD37" w14:textId="77777777" w:rsidR="004035D4" w:rsidRPr="001455DC" w:rsidRDefault="004E22C1" w:rsidP="00DE6BBC">
      <w:pPr>
        <w:pStyle w:val="a7"/>
        <w:keepNext/>
      </w:pPr>
      <w:r w:rsidRPr="001455DC">
        <w:t>(1)</w:t>
      </w:r>
      <w:r w:rsidRPr="001455DC">
        <w:tab/>
        <w:t>In members reinforced with steel fibres with or without axial force, minimum reinforcement shall be provided so that:</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035D4" w:rsidRPr="001455DC" w14:paraId="3B6B89B9" w14:textId="77777777" w:rsidTr="00EA7C41">
        <w:trPr>
          <w:cantSplit/>
        </w:trPr>
        <w:tc>
          <w:tcPr>
            <w:tcW w:w="8505" w:type="dxa"/>
            <w:vAlign w:val="center"/>
          </w:tcPr>
          <w:p w14:paraId="1022DB05" w14:textId="6B4B34D0" w:rsidR="004035D4" w:rsidRPr="001455DC" w:rsidRDefault="004035D4" w:rsidP="00EA7C41">
            <w:pPr>
              <w:pStyle w:val="Formula"/>
              <w:jc w:val="left"/>
            </w:pPr>
            <w:r w:rsidRPr="001455DC">
              <w:rPr>
                <w:rStyle w:val="CCMCvariableitalic"/>
              </w:rPr>
              <w:t>M</w:t>
            </w:r>
            <w:r w:rsidRPr="001455DC">
              <w:rPr>
                <w:rStyle w:val="CCMCvariablesubscript"/>
              </w:rPr>
              <w:t>R,min</w:t>
            </w:r>
            <w:r w:rsidRPr="001455DC">
              <w:rPr>
                <w:iCs/>
              </w:rPr>
              <w:t>(</w:t>
            </w:r>
            <w:r w:rsidRPr="001455DC">
              <w:rPr>
                <w:rStyle w:val="CCMCvariableitalic"/>
              </w:rPr>
              <w:t>N</w:t>
            </w:r>
            <w:r w:rsidRPr="001455DC">
              <w:rPr>
                <w:rStyle w:val="CCMCvariablesubscript"/>
              </w:rPr>
              <w:t>Ed</w:t>
            </w:r>
            <w:r w:rsidRPr="001455DC">
              <w:rPr>
                <w:iCs/>
              </w:rPr>
              <w:t>)</w:t>
            </w:r>
            <w:r w:rsidRPr="001455DC">
              <w:t> </w:t>
            </w:r>
            <w:r w:rsidR="00650035" w:rsidRPr="001455DC">
              <w:rPr>
                <w:rFonts w:ascii="Cambria Math" w:hAnsi="Cambria Math"/>
              </w:rPr>
              <w:t>≥</w:t>
            </w:r>
            <w:r w:rsidRPr="001455DC">
              <w:t> </w:t>
            </w:r>
            <w:r w:rsidRPr="001455DC">
              <w:rPr>
                <w:rStyle w:val="CCMCvariableitalic"/>
              </w:rPr>
              <w:t>k</w:t>
            </w:r>
            <w:r w:rsidRPr="001455DC">
              <w:t> </w:t>
            </w:r>
            <w:r w:rsidR="00C74721" w:rsidRPr="001455DC">
              <w:rPr>
                <w:rFonts w:ascii="Cambria Math" w:hAnsi="Cambria Math"/>
              </w:rPr>
              <w:t>⋅</w:t>
            </w:r>
            <w:r w:rsidRPr="001455DC">
              <w:t> </w:t>
            </w:r>
            <w:r w:rsidRPr="001455DC">
              <w:rPr>
                <w:rStyle w:val="CCMCvariableitalic"/>
              </w:rPr>
              <w:t>M</w:t>
            </w:r>
            <w:r w:rsidRPr="001455DC">
              <w:rPr>
                <w:rStyle w:val="CCMCvariablesubscript"/>
              </w:rPr>
              <w:t>cr</w:t>
            </w:r>
            <w:r w:rsidRPr="001455DC">
              <w:rPr>
                <w:iCs/>
              </w:rPr>
              <w:t>(</w:t>
            </w:r>
            <w:r w:rsidRPr="001455DC">
              <w:rPr>
                <w:rStyle w:val="CCMCvariableitalic"/>
              </w:rPr>
              <w:t>N</w:t>
            </w:r>
            <w:r w:rsidRPr="001455DC">
              <w:rPr>
                <w:rStyle w:val="CCMCvariablesubscript"/>
              </w:rPr>
              <w:t>Ed</w:t>
            </w:r>
            <w:r w:rsidRPr="001455DC">
              <w:rPr>
                <w:iCs/>
              </w:rPr>
              <w:t>)</w:t>
            </w:r>
          </w:p>
        </w:tc>
        <w:tc>
          <w:tcPr>
            <w:tcW w:w="1247" w:type="dxa"/>
            <w:vAlign w:val="center"/>
          </w:tcPr>
          <w:p w14:paraId="24390B19" w14:textId="7ABD54C7" w:rsidR="004035D4" w:rsidRPr="001455DC" w:rsidRDefault="004035D4">
            <w:pPr>
              <w:pStyle w:val="a7"/>
              <w:jc w:val="right"/>
            </w:pPr>
            <w:r w:rsidRPr="001455DC">
              <w:rPr>
                <w:iCs/>
              </w:rPr>
              <w:t>(L.</w:t>
            </w:r>
            <w:r w:rsidR="00224D0D" w:rsidRPr="001455DC">
              <w:rPr>
                <w:iCs/>
              </w:rPr>
              <w:t>26</w:t>
            </w:r>
            <w:r w:rsidRPr="001455DC">
              <w:rPr>
                <w:iCs/>
              </w:rPr>
              <w:t>)</w:t>
            </w:r>
          </w:p>
        </w:tc>
      </w:tr>
    </w:tbl>
    <w:p w14:paraId="0F6B24BB" w14:textId="723FA2CE" w:rsidR="004E22C1" w:rsidRPr="001455DC" w:rsidRDefault="004E22C1" w:rsidP="00A35599">
      <w:pPr>
        <w:pStyle w:val="a7"/>
        <w:keepNext/>
      </w:pPr>
      <w:r w:rsidRPr="001455DC">
        <w:t>where</w:t>
      </w:r>
    </w:p>
    <w:tbl>
      <w:tblPr>
        <w:tblW w:w="9413" w:type="dxa"/>
        <w:tblInd w:w="397" w:type="dxa"/>
        <w:tblLayout w:type="fixed"/>
        <w:tblCellMar>
          <w:left w:w="28" w:type="dxa"/>
          <w:right w:w="28" w:type="dxa"/>
        </w:tblCellMar>
        <w:tblLook w:val="04A0" w:firstRow="1" w:lastRow="0" w:firstColumn="1" w:lastColumn="0" w:noHBand="0" w:noVBand="1"/>
      </w:tblPr>
      <w:tblGrid>
        <w:gridCol w:w="851"/>
        <w:gridCol w:w="8562"/>
      </w:tblGrid>
      <w:tr w:rsidR="004035D4" w:rsidRPr="001455DC" w14:paraId="29D3C135" w14:textId="77777777" w:rsidTr="004035D4">
        <w:trPr>
          <w:cantSplit/>
        </w:trPr>
        <w:tc>
          <w:tcPr>
            <w:tcW w:w="851" w:type="dxa"/>
          </w:tcPr>
          <w:p w14:paraId="54C770B0" w14:textId="2560C1D1" w:rsidR="004035D4" w:rsidRPr="001455DC" w:rsidRDefault="004035D4" w:rsidP="0000442A">
            <w:pPr>
              <w:pStyle w:val="Tablebody"/>
            </w:pPr>
            <w:r w:rsidRPr="001455DC">
              <w:rPr>
                <w:rStyle w:val="CCMCvariableitalic"/>
              </w:rPr>
              <w:t>M</w:t>
            </w:r>
            <w:r w:rsidRPr="001455DC">
              <w:rPr>
                <w:rStyle w:val="CCMCvariablesubscript"/>
              </w:rPr>
              <w:t>R,min</w:t>
            </w:r>
          </w:p>
        </w:tc>
        <w:tc>
          <w:tcPr>
            <w:tcW w:w="8562" w:type="dxa"/>
          </w:tcPr>
          <w:p w14:paraId="023AEE47" w14:textId="4C6A505A" w:rsidR="004035D4" w:rsidRPr="001455DC" w:rsidRDefault="004035D4" w:rsidP="00A9422D">
            <w:pPr>
              <w:pStyle w:val="Tablebody"/>
            </w:pPr>
            <w:r w:rsidRPr="001455DC">
              <w:t xml:space="preserve">is the bending strength of the section with </w:t>
            </w:r>
            <w:r w:rsidRPr="001455DC">
              <w:rPr>
                <w:rStyle w:val="CCMCvariableitalic"/>
              </w:rPr>
              <w:t>A</w:t>
            </w:r>
            <w:r w:rsidRPr="001455DC">
              <w:rPr>
                <w:rStyle w:val="CCMCvariablesubscript"/>
              </w:rPr>
              <w:t>s,min</w:t>
            </w:r>
            <w:r w:rsidRPr="001455DC">
              <w:rPr>
                <w:iCs/>
              </w:rPr>
              <w:t xml:space="preserve"> </w:t>
            </w:r>
            <w:r w:rsidRPr="001455DC">
              <w:t xml:space="preserve">in presence of the co-existing axial force </w:t>
            </w:r>
            <w:r w:rsidRPr="001455DC">
              <w:rPr>
                <w:rStyle w:val="CCMCvariableitalic"/>
              </w:rPr>
              <w:t>N</w:t>
            </w:r>
            <w:r w:rsidRPr="001455DC">
              <w:rPr>
                <w:rStyle w:val="CCMCvariablesubscript"/>
              </w:rPr>
              <w:t>Ed</w:t>
            </w:r>
            <w:r w:rsidRPr="001455DC">
              <w:t xml:space="preserve">, the effects of the fibres included by the effective residual tensile strength </w:t>
            </w:r>
            <w:r w:rsidRPr="001455DC">
              <w:rPr>
                <w:rStyle w:val="CCMCvariableitalic"/>
              </w:rPr>
              <w:t>f</w:t>
            </w:r>
            <w:r w:rsidRPr="001455DC">
              <w:rPr>
                <w:rStyle w:val="CCMCvariablesubscript"/>
              </w:rPr>
              <w:t>Ftu,ef</w:t>
            </w:r>
            <w:r w:rsidRPr="001455DC">
              <w:t xml:space="preserve"> and the stress distributions in L.8.1 used. The reduction in </w:t>
            </w:r>
            <w:r w:rsidRPr="001455DC">
              <w:rPr>
                <w:rStyle w:val="CCMCvariableitalic"/>
              </w:rPr>
              <w:t>A</w:t>
            </w:r>
            <w:r w:rsidRPr="001455DC">
              <w:rPr>
                <w:rStyle w:val="CCMCvariablesubscript"/>
              </w:rPr>
              <w:t>s,min</w:t>
            </w:r>
            <w:r w:rsidRPr="001455DC">
              <w:t xml:space="preserve"> due to the fibre-contribution should fulfil the limits described in the subsequent clauses.</w:t>
            </w:r>
          </w:p>
        </w:tc>
      </w:tr>
    </w:tbl>
    <w:p w14:paraId="670D40BE" w14:textId="77777777" w:rsidR="004035D4" w:rsidRPr="001455DC" w:rsidRDefault="004E22C1" w:rsidP="00DE6BBC">
      <w:pPr>
        <w:pStyle w:val="a7"/>
        <w:keepNext/>
      </w:pPr>
      <w:r w:rsidRPr="001455DC">
        <w:t>(2)</w:t>
      </w:r>
      <w:r w:rsidRPr="001455DC">
        <w:tab/>
        <w:t xml:space="preserve">In members subjected to axial tension, </w:t>
      </w:r>
      <w:r w:rsidRPr="001455DC">
        <w:rPr>
          <w:rStyle w:val="CCMCvariableitalic"/>
        </w:rPr>
        <w:t>A</w:t>
      </w:r>
      <w:r w:rsidRPr="001455DC">
        <w:rPr>
          <w:rStyle w:val="CCMCvariablesubscript"/>
        </w:rPr>
        <w:t>s,min</w:t>
      </w:r>
      <w:r w:rsidRPr="001455DC">
        <w:rPr>
          <w:iCs/>
        </w:rPr>
        <w:t>,</w:t>
      </w:r>
      <w:r w:rsidRPr="001455DC">
        <w:t xml:space="preserve"> shall meet the following requirement:</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035D4" w:rsidRPr="001455DC" w14:paraId="52893064" w14:textId="77777777" w:rsidTr="00EA7C41">
        <w:trPr>
          <w:cantSplit/>
        </w:trPr>
        <w:tc>
          <w:tcPr>
            <w:tcW w:w="8505" w:type="dxa"/>
            <w:vAlign w:val="center"/>
          </w:tcPr>
          <w:p w14:paraId="0279A560" w14:textId="6BB884C6" w:rsidR="004035D4" w:rsidRPr="001455DC" w:rsidRDefault="004035D4" w:rsidP="00EA7C41">
            <w:pPr>
              <w:pStyle w:val="Formula"/>
              <w:jc w:val="left"/>
            </w:pPr>
            <w:r w:rsidRPr="001455DC">
              <w:rPr>
                <w:rStyle w:val="CCMCvariableitalic"/>
              </w:rPr>
              <w:t>N</w:t>
            </w:r>
            <w:r w:rsidRPr="001455DC">
              <w:rPr>
                <w:rStyle w:val="CCMCvariablesubscript"/>
              </w:rPr>
              <w:t>R,min</w:t>
            </w:r>
            <w:r w:rsidRPr="001455DC">
              <w:t> </w:t>
            </w:r>
            <w:r w:rsidR="00650035" w:rsidRPr="001455DC">
              <w:rPr>
                <w:rFonts w:ascii="Cambria Math" w:hAnsi="Cambria Math"/>
              </w:rPr>
              <w:t>≥</w:t>
            </w:r>
            <w:r w:rsidRPr="001455DC">
              <w:t> </w:t>
            </w:r>
            <w:r w:rsidRPr="001455DC">
              <w:rPr>
                <w:rStyle w:val="CCMCvariableitalic"/>
              </w:rPr>
              <w:t>k</w:t>
            </w:r>
            <w:r w:rsidRPr="001455DC">
              <w:t> </w:t>
            </w:r>
            <w:r w:rsidRPr="001455DC">
              <w:rPr>
                <w:rFonts w:ascii="Cambria Math" w:hAnsi="Cambria Math" w:cs="Cambria Math"/>
              </w:rPr>
              <w:t>⋅</w:t>
            </w:r>
            <w:r w:rsidRPr="001455DC">
              <w:t> </w:t>
            </w:r>
            <w:r w:rsidRPr="001455DC">
              <w:rPr>
                <w:rStyle w:val="CCMCvariableitalic"/>
              </w:rPr>
              <w:t>N</w:t>
            </w:r>
            <w:r w:rsidRPr="001455DC">
              <w:rPr>
                <w:rStyle w:val="CCMCvariablesubscript"/>
              </w:rPr>
              <w:t>cr</w:t>
            </w:r>
          </w:p>
        </w:tc>
        <w:tc>
          <w:tcPr>
            <w:tcW w:w="1247" w:type="dxa"/>
            <w:vAlign w:val="center"/>
          </w:tcPr>
          <w:p w14:paraId="0FC9FA04" w14:textId="2599627D" w:rsidR="004035D4" w:rsidRPr="001455DC" w:rsidRDefault="004035D4">
            <w:pPr>
              <w:pStyle w:val="a7"/>
              <w:jc w:val="right"/>
            </w:pPr>
            <w:r w:rsidRPr="001455DC">
              <w:t>(L.</w:t>
            </w:r>
            <w:r w:rsidR="00224D0D" w:rsidRPr="001455DC">
              <w:t>27</w:t>
            </w:r>
            <w:r w:rsidRPr="001455DC">
              <w:t>)</w:t>
            </w:r>
          </w:p>
        </w:tc>
      </w:tr>
    </w:tbl>
    <w:p w14:paraId="2B838777" w14:textId="77777777" w:rsidR="004E22C1" w:rsidRPr="001455DC" w:rsidRDefault="004E22C1" w:rsidP="00246C87">
      <w:pPr>
        <w:pStyle w:val="a7"/>
      </w:pPr>
      <w:r w:rsidRPr="001455DC">
        <w:t xml:space="preserve">Similarly as above the effects of the fibres are included by the residual tensile strength, and the reduction </w:t>
      </w:r>
      <w:r w:rsidRPr="001455DC">
        <w:rPr>
          <w:rStyle w:val="CCMCvariableitalic"/>
        </w:rPr>
        <w:t>A</w:t>
      </w:r>
      <w:r w:rsidRPr="001455DC">
        <w:rPr>
          <w:rStyle w:val="CCMCvariablesubscript"/>
        </w:rPr>
        <w:t>s,min</w:t>
      </w:r>
      <w:r w:rsidRPr="001455DC">
        <w:rPr>
          <w:iCs/>
        </w:rPr>
        <w:t xml:space="preserve"> </w:t>
      </w:r>
      <w:r w:rsidRPr="001455DC">
        <w:t>due to the fibre-contribution should fulfil limits described in the subsequent clauses.</w:t>
      </w:r>
    </w:p>
    <w:p w14:paraId="406D0EF5" w14:textId="77777777" w:rsidR="004035D4" w:rsidRPr="001455DC" w:rsidRDefault="004E22C1" w:rsidP="00DE6BBC">
      <w:pPr>
        <w:pStyle w:val="a7"/>
        <w:keepNext/>
      </w:pPr>
      <w:r w:rsidRPr="001455DC">
        <w:t>(3)</w:t>
      </w:r>
      <w:r w:rsidRPr="001455DC">
        <w:tab/>
        <w:t xml:space="preserve">The minimum shear reinforcement area </w:t>
      </w:r>
      <w:r w:rsidRPr="001455DC">
        <w:rPr>
          <w:rStyle w:val="CCMCvariableitalic"/>
        </w:rPr>
        <w:t>ρ</w:t>
      </w:r>
      <w:r w:rsidRPr="001455DC">
        <w:rPr>
          <w:rStyle w:val="CCMCvariablesubscript"/>
        </w:rPr>
        <w:t>Fw,min</w:t>
      </w:r>
      <w:r w:rsidRPr="001455DC">
        <w:t xml:space="preserve"> for members reinforced with steel fibres requiring shear or torsion reinforcement may be taken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035D4" w:rsidRPr="001455DC" w14:paraId="56CE5CE7" w14:textId="77777777" w:rsidTr="00EA7C41">
        <w:trPr>
          <w:cantSplit/>
        </w:trPr>
        <w:tc>
          <w:tcPr>
            <w:tcW w:w="8505" w:type="dxa"/>
            <w:vAlign w:val="center"/>
          </w:tcPr>
          <w:p w14:paraId="32E3A68B" w14:textId="236E8498" w:rsidR="004035D4" w:rsidRPr="001455DC" w:rsidRDefault="00231E33" w:rsidP="00EA7C41">
            <w:pPr>
              <w:pStyle w:val="Formula"/>
              <w:jc w:val="left"/>
            </w:pPr>
            <m:oMathPara>
              <m:oMathParaPr>
                <m:jc m:val="left"/>
              </m:oMathParaPr>
              <m:oMath>
                <m:sSub>
                  <m:sSubPr>
                    <m:ctrlPr>
                      <w:rPr>
                        <w:rFonts w:ascii="Cambria Math" w:hAnsi="Cambria Math"/>
                      </w:rPr>
                    </m:ctrlPr>
                  </m:sSubPr>
                  <m:e>
                    <m:r>
                      <w:rPr>
                        <w:rFonts w:ascii="Cambria Math" w:hAnsi="Cambria Math"/>
                      </w:rPr>
                      <m:t>ρ</m:t>
                    </m:r>
                  </m:e>
                  <m:sub>
                    <m:r>
                      <m:rPr>
                        <m:sty m:val="p"/>
                      </m:rPr>
                      <w:rPr>
                        <w:rFonts w:ascii="Cambria Math" w:hAnsi="Cambria Math"/>
                      </w:rPr>
                      <m:t>Fw,min</m:t>
                    </m:r>
                  </m:sub>
                </m:sSub>
                <m:r>
                  <w:rPr>
                    <w:rFonts w:ascii="Cambria Math" w:hAnsi="Cambria Math"/>
                  </w:rPr>
                  <m:t>=</m:t>
                </m:r>
                <m:sSub>
                  <m:sSubPr>
                    <m:ctrlPr>
                      <w:rPr>
                        <w:rFonts w:ascii="Cambria Math" w:hAnsi="Cambria Math"/>
                      </w:rPr>
                    </m:ctrlPr>
                  </m:sSubPr>
                  <m:e>
                    <m:r>
                      <w:rPr>
                        <w:rFonts w:ascii="Cambria Math" w:hAnsi="Cambria Math"/>
                      </w:rPr>
                      <m:t>ρ</m:t>
                    </m:r>
                  </m:e>
                  <m:sub>
                    <m:r>
                      <m:rPr>
                        <m:sty m:val="p"/>
                      </m:rPr>
                      <w:rPr>
                        <w:rFonts w:ascii="Cambria Math" w:hAnsi="Cambria Math"/>
                      </w:rPr>
                      <m:t>w,min</m:t>
                    </m:r>
                  </m:sub>
                </m:sSub>
                <m: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Ftu,ef</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yk</m:t>
                        </m:r>
                      </m:sub>
                    </m:sSub>
                  </m:den>
                </m:f>
                <m:r>
                  <w:rPr>
                    <w:rFonts w:ascii="Cambria Math" w:hAnsi="Cambria Math"/>
                  </w:rPr>
                  <m:t>≥0</m:t>
                </m:r>
              </m:oMath>
            </m:oMathPara>
          </w:p>
        </w:tc>
        <w:tc>
          <w:tcPr>
            <w:tcW w:w="1247" w:type="dxa"/>
            <w:vAlign w:val="center"/>
          </w:tcPr>
          <w:p w14:paraId="6278FEA8" w14:textId="08642E6E" w:rsidR="004035D4" w:rsidRPr="001455DC" w:rsidRDefault="004035D4">
            <w:pPr>
              <w:pStyle w:val="a7"/>
              <w:jc w:val="right"/>
            </w:pPr>
            <w:r w:rsidRPr="001455DC">
              <w:t>(L.</w:t>
            </w:r>
            <w:r w:rsidR="00224D0D" w:rsidRPr="001455DC">
              <w:t>28</w:t>
            </w:r>
            <w:r w:rsidRPr="001455DC">
              <w:t>)</w:t>
            </w:r>
          </w:p>
        </w:tc>
      </w:tr>
    </w:tbl>
    <w:p w14:paraId="23548057" w14:textId="77777777" w:rsidR="004035D4" w:rsidRPr="001455DC" w:rsidRDefault="004E22C1" w:rsidP="00A35599">
      <w:pPr>
        <w:pStyle w:val="a7"/>
        <w:keepNext/>
      </w:pPr>
      <w:r w:rsidRPr="001455DC">
        <w:t>where</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035D4" w:rsidRPr="001455DC" w14:paraId="19D4595A" w14:textId="77777777" w:rsidTr="00EA7C41">
        <w:trPr>
          <w:cantSplit/>
        </w:trPr>
        <w:tc>
          <w:tcPr>
            <w:tcW w:w="8505" w:type="dxa"/>
            <w:vAlign w:val="center"/>
          </w:tcPr>
          <w:p w14:paraId="7BCC6218" w14:textId="45E58CDC" w:rsidR="004035D4" w:rsidRPr="001455DC" w:rsidRDefault="00231E33" w:rsidP="00EA7C41">
            <w:pPr>
              <w:pStyle w:val="Formula"/>
              <w:jc w:val="left"/>
            </w:pPr>
            <m:oMathPara>
              <m:oMathParaPr>
                <m:jc m:val="left"/>
              </m:oMathParaPr>
              <m:oMath>
                <m:sSub>
                  <m:sSubPr>
                    <m:ctrlPr>
                      <w:rPr>
                        <w:rFonts w:ascii="Cambria Math" w:hAnsi="Cambria Math"/>
                        <w:iCs/>
                      </w:rPr>
                    </m:ctrlPr>
                  </m:sSubPr>
                  <m:e>
                    <m:r>
                      <w:rPr>
                        <w:rFonts w:ascii="Cambria Math" w:hAnsi="Cambria Math"/>
                      </w:rPr>
                      <m:t>f</m:t>
                    </m:r>
                  </m:e>
                  <m:sub>
                    <m:r>
                      <m:rPr>
                        <m:sty m:val="p"/>
                      </m:rPr>
                      <w:rPr>
                        <w:rFonts w:ascii="Cambria Math" w:hAnsi="Cambria Math"/>
                      </w:rPr>
                      <m:t>Ftu,ef</m:t>
                    </m:r>
                  </m:sub>
                </m:sSub>
                <m:r>
                  <w:rPr>
                    <w:rFonts w:ascii="Cambria Math" w:hAnsi="Cambria Math"/>
                  </w:rPr>
                  <m:t>≥0,08∙</m:t>
                </m:r>
                <m:rad>
                  <m:radPr>
                    <m:degHide m:val="1"/>
                    <m:ctrlPr>
                      <w:rPr>
                        <w:rFonts w:ascii="Cambria Math" w:hAnsi="Cambria Math"/>
                        <w:iCs/>
                      </w:rPr>
                    </m:ctrlPr>
                  </m:radPr>
                  <m:deg/>
                  <m:e>
                    <m:sSub>
                      <m:sSubPr>
                        <m:ctrlPr>
                          <w:rPr>
                            <w:rFonts w:ascii="Cambria Math" w:hAnsi="Cambria Math"/>
                            <w:iCs/>
                          </w:rPr>
                        </m:ctrlPr>
                      </m:sSubPr>
                      <m:e>
                        <m:r>
                          <w:rPr>
                            <w:rFonts w:ascii="Cambria Math" w:hAnsi="Cambria Math"/>
                          </w:rPr>
                          <m:t>f</m:t>
                        </m:r>
                      </m:e>
                      <m:sub>
                        <m:r>
                          <m:rPr>
                            <m:sty m:val="p"/>
                          </m:rPr>
                          <w:rPr>
                            <w:rFonts w:ascii="Cambria Math" w:hAnsi="Cambria Math"/>
                          </w:rPr>
                          <m:t>ck</m:t>
                        </m:r>
                      </m:sub>
                    </m:sSub>
                  </m:e>
                </m:rad>
              </m:oMath>
            </m:oMathPara>
          </w:p>
        </w:tc>
        <w:tc>
          <w:tcPr>
            <w:tcW w:w="1247" w:type="dxa"/>
            <w:vAlign w:val="center"/>
          </w:tcPr>
          <w:p w14:paraId="6ADC2069" w14:textId="0655DD59" w:rsidR="004035D4" w:rsidRPr="001455DC" w:rsidRDefault="004035D4">
            <w:pPr>
              <w:pStyle w:val="a7"/>
              <w:jc w:val="right"/>
            </w:pPr>
            <w:r w:rsidRPr="001455DC">
              <w:t>(L.</w:t>
            </w:r>
            <w:r w:rsidR="00224D0D" w:rsidRPr="001455DC">
              <w:t>29</w:t>
            </w:r>
            <w:r w:rsidRPr="001455DC">
              <w:t>)</w:t>
            </w:r>
          </w:p>
        </w:tc>
      </w:tr>
    </w:tbl>
    <w:p w14:paraId="008A9AAA" w14:textId="27195954" w:rsidR="004E22C1" w:rsidRPr="001455DC" w:rsidRDefault="004E22C1" w:rsidP="00243590">
      <w:pPr>
        <w:pStyle w:val="a3"/>
      </w:pPr>
      <w:bookmarkStart w:id="2346" w:name="_Toc52820419"/>
      <w:bookmarkStart w:id="2347" w:name="_Toc54337854"/>
      <w:bookmarkStart w:id="2348" w:name="_Toc54338464"/>
      <w:r w:rsidRPr="001455DC">
        <w:t>Beams</w:t>
      </w:r>
      <w:bookmarkEnd w:id="2346"/>
      <w:bookmarkEnd w:id="2347"/>
      <w:bookmarkEnd w:id="2348"/>
    </w:p>
    <w:p w14:paraId="605C2B38" w14:textId="1284B59F" w:rsidR="004E22C1" w:rsidRPr="001455DC" w:rsidRDefault="004E22C1" w:rsidP="00243590">
      <w:pPr>
        <w:pStyle w:val="a4"/>
      </w:pPr>
      <w:bookmarkStart w:id="2349" w:name="_Toc52820420"/>
      <w:bookmarkStart w:id="2350" w:name="_Toc54337855"/>
      <w:bookmarkStart w:id="2351" w:name="_Toc54338465"/>
      <w:r w:rsidRPr="001455DC">
        <w:t>Longitudinal reinforcement</w:t>
      </w:r>
      <w:bookmarkEnd w:id="2349"/>
      <w:bookmarkEnd w:id="2350"/>
      <w:bookmarkEnd w:id="2351"/>
    </w:p>
    <w:p w14:paraId="4AF2FDC7" w14:textId="77777777" w:rsidR="004E22C1" w:rsidRPr="001455DC" w:rsidRDefault="004E22C1" w:rsidP="00246C87">
      <w:pPr>
        <w:pStyle w:val="a7"/>
      </w:pPr>
      <w:r w:rsidRPr="001455DC">
        <w:t>(1)</w:t>
      </w:r>
      <w:r w:rsidRPr="001455DC">
        <w:tab/>
        <w:t>The minimum longitudinal reinforcement in beams should not be replaced by steel fibres.</w:t>
      </w:r>
    </w:p>
    <w:p w14:paraId="66FE98F4" w14:textId="083860E5" w:rsidR="004E22C1" w:rsidRPr="001455DC" w:rsidRDefault="004E22C1" w:rsidP="00243590">
      <w:pPr>
        <w:pStyle w:val="a4"/>
      </w:pPr>
      <w:bookmarkStart w:id="2352" w:name="_Toc52820421"/>
      <w:bookmarkStart w:id="2353" w:name="_Toc54337856"/>
      <w:bookmarkStart w:id="2354" w:name="_Toc54338466"/>
      <w:r w:rsidRPr="001455DC">
        <w:t>Shear and torsion reinforcement</w:t>
      </w:r>
      <w:bookmarkEnd w:id="2352"/>
      <w:bookmarkEnd w:id="2353"/>
      <w:bookmarkEnd w:id="2354"/>
    </w:p>
    <w:p w14:paraId="503EA46D" w14:textId="75E9D348" w:rsidR="004E22C1" w:rsidRPr="001455DC" w:rsidRDefault="004E22C1" w:rsidP="00246C87">
      <w:pPr>
        <w:pStyle w:val="a7"/>
      </w:pPr>
      <w:r w:rsidRPr="001455DC">
        <w:t>(1)</w:t>
      </w:r>
      <w:r w:rsidRPr="001455DC">
        <w:tab/>
        <w:t>The shear and torsion reinforcement in beams may be fully replaced by steel fibres if the provisions in L.12.</w:t>
      </w:r>
      <w:r w:rsidR="00FD0030" w:rsidRPr="001455DC">
        <w:t xml:space="preserve">1 </w:t>
      </w:r>
      <w:r w:rsidRPr="001455DC">
        <w:t>are fulfilled.</w:t>
      </w:r>
    </w:p>
    <w:p w14:paraId="0E36D6FF" w14:textId="265B63CC" w:rsidR="004E22C1" w:rsidRPr="001455DC" w:rsidRDefault="004E22C1" w:rsidP="00243590">
      <w:pPr>
        <w:pStyle w:val="a3"/>
      </w:pPr>
      <w:bookmarkStart w:id="2355" w:name="_Toc52820422"/>
      <w:bookmarkStart w:id="2356" w:name="_Toc54337857"/>
      <w:bookmarkStart w:id="2357" w:name="_Toc54338467"/>
      <w:r w:rsidRPr="001455DC">
        <w:t>Slabs</w:t>
      </w:r>
      <w:bookmarkEnd w:id="2355"/>
      <w:bookmarkEnd w:id="2356"/>
      <w:bookmarkEnd w:id="2357"/>
    </w:p>
    <w:p w14:paraId="68E2AF9A" w14:textId="5E325BA3" w:rsidR="004E22C1" w:rsidRPr="001455DC" w:rsidRDefault="004E22C1" w:rsidP="00243590">
      <w:pPr>
        <w:pStyle w:val="a4"/>
      </w:pPr>
      <w:bookmarkStart w:id="2358" w:name="_Toc52820423"/>
      <w:bookmarkStart w:id="2359" w:name="_Toc54337858"/>
      <w:bookmarkStart w:id="2360" w:name="_Toc54338468"/>
      <w:r w:rsidRPr="001455DC">
        <w:t>General</w:t>
      </w:r>
      <w:bookmarkEnd w:id="2358"/>
      <w:bookmarkEnd w:id="2359"/>
      <w:bookmarkEnd w:id="2360"/>
    </w:p>
    <w:p w14:paraId="5B77A546" w14:textId="0BF8396E" w:rsidR="004E22C1" w:rsidRPr="001455DC" w:rsidRDefault="004E22C1" w:rsidP="00246C87">
      <w:pPr>
        <w:pStyle w:val="a7"/>
      </w:pPr>
      <w:r w:rsidRPr="001455DC">
        <w:t>(</w:t>
      </w:r>
      <w:r w:rsidR="00EC482C" w:rsidRPr="001455DC">
        <w:t>1</w:t>
      </w:r>
      <w:r w:rsidRPr="001455DC">
        <w:t>)</w:t>
      </w:r>
      <w:r w:rsidRPr="001455DC">
        <w:tab/>
        <w:t>The longitudinal reinforcement in slabs may be partly replaced by steel fibres subject to the provisions in L.12.</w:t>
      </w:r>
      <w:r w:rsidR="00FD0030" w:rsidRPr="001455DC">
        <w:t>1</w:t>
      </w:r>
      <w:r w:rsidRPr="001455DC">
        <w:t>.</w:t>
      </w:r>
    </w:p>
    <w:p w14:paraId="180C51B6" w14:textId="4CBFD7D9" w:rsidR="004E22C1" w:rsidRPr="001455DC" w:rsidRDefault="004E22C1" w:rsidP="00246C87">
      <w:pPr>
        <w:pStyle w:val="a7"/>
      </w:pPr>
      <w:r w:rsidRPr="001455DC">
        <w:t>(</w:t>
      </w:r>
      <w:r w:rsidR="00EC482C" w:rsidRPr="001455DC">
        <w:t>2</w:t>
      </w:r>
      <w:r w:rsidRPr="001455DC">
        <w:t>)</w:t>
      </w:r>
      <w:r w:rsidRPr="001455DC">
        <w:tab/>
        <w:t xml:space="preserve">The replacement of minimum longitudinal tensile reinforcement should be limited to a fraction </w:t>
      </w:r>
      <w:r w:rsidRPr="001455DC">
        <w:rPr>
          <w:rStyle w:val="CCMCvariableitalic"/>
        </w:rPr>
        <w:t>k</w:t>
      </w:r>
      <w:r w:rsidRPr="001455DC">
        <w:rPr>
          <w:rStyle w:val="CCMCvariablesubscript"/>
        </w:rPr>
        <w:t>AS</w:t>
      </w:r>
      <w:r w:rsidRPr="001455DC">
        <w:t xml:space="preserve"> </w:t>
      </w:r>
      <w:r w:rsidRPr="001455DC">
        <w:rPr>
          <w:iCs/>
        </w:rPr>
        <w:t xml:space="preserve">of </w:t>
      </w:r>
      <w:r w:rsidRPr="001455DC">
        <w:rPr>
          <w:rStyle w:val="CCMCvariableitalic"/>
        </w:rPr>
        <w:t>A</w:t>
      </w:r>
      <w:r w:rsidRPr="001455DC">
        <w:rPr>
          <w:rStyle w:val="CCMCvariablesubscript"/>
        </w:rPr>
        <w:t>s,min</w:t>
      </w:r>
      <w:r w:rsidRPr="001455DC">
        <w:t>.</w:t>
      </w:r>
    </w:p>
    <w:p w14:paraId="2BA78072" w14:textId="77777777" w:rsidR="004E22C1" w:rsidRPr="001455DC" w:rsidRDefault="004E22C1" w:rsidP="00246C87">
      <w:pPr>
        <w:pStyle w:val="Note"/>
      </w:pPr>
      <w:r w:rsidRPr="001455DC">
        <w:t>NOTE</w:t>
      </w:r>
      <w:r w:rsidRPr="001455DC">
        <w:tab/>
        <w:t xml:space="preserve">The value of </w:t>
      </w:r>
      <w:r w:rsidRPr="001455DC">
        <w:rPr>
          <w:rStyle w:val="CCMCvariableitalic"/>
        </w:rPr>
        <w:t>k</w:t>
      </w:r>
      <w:r w:rsidRPr="001455DC">
        <w:rPr>
          <w:rStyle w:val="CCMCvariablesubscript"/>
        </w:rPr>
        <w:t>AS</w:t>
      </w:r>
      <w:r w:rsidRPr="001455DC">
        <w:t xml:space="preserve"> is 0,50 unless a National Annex gives a different value for use in a Country.</w:t>
      </w:r>
    </w:p>
    <w:p w14:paraId="53F75A46" w14:textId="76C88415" w:rsidR="004E22C1" w:rsidRPr="001455DC" w:rsidRDefault="004E22C1" w:rsidP="00246C87">
      <w:pPr>
        <w:pStyle w:val="a7"/>
      </w:pPr>
      <w:r w:rsidRPr="001455DC">
        <w:t>(</w:t>
      </w:r>
      <w:r w:rsidR="00EC482C" w:rsidRPr="001455DC">
        <w:t>3</w:t>
      </w:r>
      <w:r w:rsidRPr="001455DC">
        <w:t>)</w:t>
      </w:r>
      <w:r w:rsidRPr="001455DC">
        <w:tab/>
        <w:t>The minimum secondary tensile reinforcement in one-way slabs may be fully replaced by steel fibres.</w:t>
      </w:r>
    </w:p>
    <w:p w14:paraId="534F067F" w14:textId="05801B2F" w:rsidR="004E22C1" w:rsidRPr="001455DC" w:rsidRDefault="004E22C1" w:rsidP="00243590">
      <w:pPr>
        <w:pStyle w:val="a4"/>
      </w:pPr>
      <w:bookmarkStart w:id="2361" w:name="_Toc52820424"/>
      <w:bookmarkStart w:id="2362" w:name="_Toc54337859"/>
      <w:bookmarkStart w:id="2363" w:name="_Toc54338469"/>
      <w:r w:rsidRPr="001455DC">
        <w:t>Shear reinforcement</w:t>
      </w:r>
      <w:bookmarkEnd w:id="2361"/>
      <w:bookmarkEnd w:id="2362"/>
      <w:bookmarkEnd w:id="2363"/>
    </w:p>
    <w:p w14:paraId="7639BBEA" w14:textId="6A5C6803" w:rsidR="004035D4" w:rsidRPr="001455DC" w:rsidRDefault="004E22C1" w:rsidP="004035D4">
      <w:pPr>
        <w:pStyle w:val="a7"/>
      </w:pPr>
      <w:r w:rsidRPr="001455DC">
        <w:t>(</w:t>
      </w:r>
      <w:r w:rsidR="00EC482C" w:rsidRPr="001455DC">
        <w:t>1</w:t>
      </w:r>
      <w:r w:rsidRPr="001455DC">
        <w:t>)</w:t>
      </w:r>
      <w:r w:rsidRPr="001455DC">
        <w:tab/>
        <w:t>The shear reinforcement in slabs may be fully replaced by steel fibres if Formula (L.3</w:t>
      </w:r>
      <w:r w:rsidR="00EC482C" w:rsidRPr="001455DC">
        <w:t>0</w:t>
      </w:r>
      <w:r w:rsidRPr="001455DC">
        <w:t>) is fulfilled:</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035D4" w:rsidRPr="001455DC" w14:paraId="566B722C" w14:textId="77777777" w:rsidTr="00EA7C41">
        <w:trPr>
          <w:cantSplit/>
        </w:trPr>
        <w:tc>
          <w:tcPr>
            <w:tcW w:w="8505" w:type="dxa"/>
            <w:vAlign w:val="center"/>
          </w:tcPr>
          <w:p w14:paraId="1FEAEADC" w14:textId="77073D17" w:rsidR="004035D4" w:rsidRPr="001455DC" w:rsidRDefault="00231E33" w:rsidP="00EA7C41">
            <w:pPr>
              <w:pStyle w:val="Formula"/>
              <w:jc w:val="left"/>
            </w:pPr>
            <m:oMathPara>
              <m:oMathParaPr>
                <m:jc m:val="left"/>
              </m:oMathParaPr>
              <m:oMath>
                <m:f>
                  <m:fPr>
                    <m:type m:val="lin"/>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Ftu,ef</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yk</m:t>
                        </m:r>
                      </m:sub>
                    </m:sSub>
                  </m:den>
                </m:f>
                <m:r>
                  <w:rPr>
                    <w:rFonts w:ascii="Cambria Math" w:hAnsi="Cambria Math"/>
                  </w:rPr>
                  <m:t>≥</m:t>
                </m:r>
                <m:sSub>
                  <m:sSubPr>
                    <m:ctrlPr>
                      <w:rPr>
                        <w:rFonts w:ascii="Cambria Math" w:hAnsi="Cambria Math"/>
                      </w:rPr>
                    </m:ctrlPr>
                  </m:sSubPr>
                  <m:e>
                    <m:r>
                      <w:rPr>
                        <w:rFonts w:ascii="Cambria Math" w:hAnsi="Cambria Math"/>
                      </w:rPr>
                      <m:t>ρ</m:t>
                    </m:r>
                  </m:e>
                  <m:sub>
                    <m:r>
                      <m:rPr>
                        <m:sty m:val="p"/>
                      </m:rPr>
                      <w:rPr>
                        <w:rFonts w:ascii="Cambria Math" w:hAnsi="Cambria Math"/>
                      </w:rPr>
                      <m:t>w,min</m:t>
                    </m:r>
                  </m:sub>
                </m:sSub>
              </m:oMath>
            </m:oMathPara>
          </w:p>
        </w:tc>
        <w:tc>
          <w:tcPr>
            <w:tcW w:w="1247" w:type="dxa"/>
            <w:vAlign w:val="center"/>
          </w:tcPr>
          <w:p w14:paraId="1240AE4D" w14:textId="760F324C" w:rsidR="004035D4" w:rsidRPr="001455DC" w:rsidRDefault="004035D4">
            <w:pPr>
              <w:pStyle w:val="a7"/>
              <w:jc w:val="right"/>
            </w:pPr>
            <w:r w:rsidRPr="001455DC">
              <w:t>(L.</w:t>
            </w:r>
            <w:r w:rsidR="00EC482C" w:rsidRPr="001455DC">
              <w:t>30</w:t>
            </w:r>
            <w:r w:rsidRPr="001455DC">
              <w:t>)</w:t>
            </w:r>
          </w:p>
        </w:tc>
      </w:tr>
    </w:tbl>
    <w:p w14:paraId="1BCDBA73" w14:textId="40098D70" w:rsidR="004E22C1" w:rsidRPr="001455DC" w:rsidRDefault="004E22C1" w:rsidP="00246C87">
      <w:pPr>
        <w:pStyle w:val="a7"/>
      </w:pPr>
      <w:r w:rsidRPr="001455DC">
        <w:t xml:space="preserve">where </w:t>
      </w: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Ftu,ef</m:t>
            </m:r>
          </m:sub>
        </m:sSub>
        <m:r>
          <m:rPr>
            <m:sty m:val="p"/>
          </m:rPr>
          <w:rPr>
            <w:rFonts w:ascii="Cambria Math" w:hAnsi="Cambria Math"/>
          </w:rPr>
          <m:t xml:space="preserve"> </m:t>
        </m:r>
      </m:oMath>
      <w:r w:rsidRPr="001455DC">
        <w:t>according to Formula (L.</w:t>
      </w:r>
      <w:r w:rsidR="00EC482C" w:rsidRPr="001455DC">
        <w:t>29</w:t>
      </w:r>
      <w:r w:rsidRPr="001455DC">
        <w:t>).</w:t>
      </w:r>
    </w:p>
    <w:p w14:paraId="3E768274" w14:textId="4983D708" w:rsidR="004E22C1" w:rsidRPr="001455DC" w:rsidRDefault="004E22C1" w:rsidP="00246C87">
      <w:pPr>
        <w:pStyle w:val="a7"/>
      </w:pPr>
      <w:r w:rsidRPr="001455DC">
        <w:rPr>
          <w:bCs/>
        </w:rPr>
        <w:t>(</w:t>
      </w:r>
      <w:r w:rsidR="00EC482C" w:rsidRPr="001455DC">
        <w:rPr>
          <w:bCs/>
        </w:rPr>
        <w:t>2</w:t>
      </w:r>
      <w:r w:rsidRPr="001455DC">
        <w:rPr>
          <w:bCs/>
        </w:rPr>
        <w:t>)</w:t>
      </w:r>
      <w:r w:rsidRPr="001455DC">
        <w:rPr>
          <w:bCs/>
        </w:rPr>
        <w:tab/>
      </w:r>
      <w:r w:rsidRPr="001455DC">
        <w:t>The minimum depth given in 12.3.2(2) does not apply for SFRC slabs with fibres as the only shear reinforcement.</w:t>
      </w:r>
    </w:p>
    <w:p w14:paraId="63776A37" w14:textId="61DD2379" w:rsidR="004E22C1" w:rsidRPr="001455DC" w:rsidRDefault="004E22C1" w:rsidP="00243590">
      <w:pPr>
        <w:pStyle w:val="a3"/>
      </w:pPr>
      <w:bookmarkStart w:id="2364" w:name="_Toc52820425"/>
      <w:bookmarkStart w:id="2365" w:name="_Toc54337860"/>
      <w:bookmarkStart w:id="2366" w:name="_Toc54338470"/>
      <w:r w:rsidRPr="001455DC">
        <w:t>Walls and deep beams</w:t>
      </w:r>
      <w:bookmarkEnd w:id="2364"/>
      <w:bookmarkEnd w:id="2365"/>
      <w:bookmarkEnd w:id="2366"/>
    </w:p>
    <w:p w14:paraId="7732A428" w14:textId="7BA6C36D" w:rsidR="004E22C1" w:rsidRPr="001455DC" w:rsidRDefault="004E22C1" w:rsidP="00246C87">
      <w:pPr>
        <w:pStyle w:val="a7"/>
      </w:pPr>
      <w:r w:rsidRPr="001455DC">
        <w:t>(</w:t>
      </w:r>
      <w:r w:rsidR="00EC482C" w:rsidRPr="001455DC">
        <w:t>1</w:t>
      </w:r>
      <w:r w:rsidRPr="001455DC">
        <w:t>)</w:t>
      </w:r>
      <w:r w:rsidRPr="001455DC">
        <w:tab/>
        <w:t xml:space="preserve">Vertical and horizontal minimum reinforcement in walls </w:t>
      </w:r>
      <w:r w:rsidRPr="001455DC">
        <w:rPr>
          <w:rStyle w:val="CCMCvariableitalic"/>
        </w:rPr>
        <w:t>A</w:t>
      </w:r>
      <w:r w:rsidRPr="001455DC">
        <w:rPr>
          <w:rStyle w:val="CCMCvariablesubscript"/>
        </w:rPr>
        <w:t>s,min,v</w:t>
      </w:r>
      <w:r w:rsidRPr="001455DC">
        <w:t xml:space="preserve"> and </w:t>
      </w:r>
      <w:r w:rsidRPr="001455DC">
        <w:rPr>
          <w:rStyle w:val="CCMCvariableitalic"/>
        </w:rPr>
        <w:t>A</w:t>
      </w:r>
      <w:r w:rsidRPr="001455DC">
        <w:rPr>
          <w:rStyle w:val="CCMCvariablesubscript"/>
        </w:rPr>
        <w:t>s,min,h</w:t>
      </w:r>
      <w:r w:rsidRPr="001455DC">
        <w:t xml:space="preserve"> may be fully replaced by the steel fibres, taking into account the post cracking tensile strength </w:t>
      </w:r>
      <w:r w:rsidRPr="001455DC">
        <w:rPr>
          <w:rStyle w:val="CCMCvariableitalic"/>
        </w:rPr>
        <w:t>f</w:t>
      </w:r>
      <w:r w:rsidRPr="001455DC">
        <w:rPr>
          <w:rStyle w:val="CCMCvariablesubscript"/>
        </w:rPr>
        <w:t>Ftu,ef</w:t>
      </w:r>
      <w:r w:rsidRPr="001455DC">
        <w:t xml:space="preserve"> in accordance with </w:t>
      </w:r>
      <w:r w:rsidRPr="009D3012">
        <w:rPr>
          <w:i/>
        </w:rPr>
        <w:t>L.12.1.1</w:t>
      </w:r>
      <w:r w:rsidRPr="001455DC">
        <w:t>.</w:t>
      </w:r>
    </w:p>
    <w:p w14:paraId="3F367F62" w14:textId="5D812EDA" w:rsidR="00EC482C" w:rsidRPr="001455DC" w:rsidRDefault="00EC482C" w:rsidP="00243590">
      <w:pPr>
        <w:pStyle w:val="a3"/>
      </w:pPr>
      <w:r w:rsidRPr="001455DC">
        <w:t>Tying systems for robustness of buildings</w:t>
      </w:r>
    </w:p>
    <w:p w14:paraId="74BDA333" w14:textId="41CEDCD6" w:rsidR="00EC482C" w:rsidRPr="001455DC" w:rsidRDefault="00EC482C" w:rsidP="00246C87">
      <w:pPr>
        <w:pStyle w:val="a7"/>
      </w:pPr>
      <w:r w:rsidRPr="001455DC">
        <w:t>(1) Fibre reinforcement shall not be considered in the calculation of tie reinforcement.</w:t>
      </w:r>
    </w:p>
    <w:p w14:paraId="6CD08D1D" w14:textId="47A43112" w:rsidR="004E22C1" w:rsidRPr="001455DC" w:rsidRDefault="004E22C1" w:rsidP="00082680">
      <w:pPr>
        <w:pStyle w:val="a2"/>
      </w:pPr>
      <w:bookmarkStart w:id="2367" w:name="_Toc52820426"/>
      <w:bookmarkStart w:id="2368" w:name="_Toc54337235"/>
      <w:bookmarkStart w:id="2369" w:name="_Toc54337861"/>
      <w:bookmarkStart w:id="2370" w:name="_Toc54338471"/>
      <w:bookmarkStart w:id="2371" w:name="_Toc67565640"/>
      <w:r w:rsidRPr="001455DC">
        <w:t>Additional rules for precast concrete elements and structures</w:t>
      </w:r>
      <w:bookmarkEnd w:id="2367"/>
      <w:bookmarkEnd w:id="2368"/>
      <w:bookmarkEnd w:id="2369"/>
      <w:bookmarkEnd w:id="2370"/>
      <w:bookmarkEnd w:id="2371"/>
    </w:p>
    <w:p w14:paraId="17C271AC" w14:textId="00FB5EC7" w:rsidR="004E22C1" w:rsidRPr="001455DC" w:rsidRDefault="004E22C1" w:rsidP="00243590">
      <w:pPr>
        <w:pStyle w:val="a3"/>
      </w:pPr>
      <w:bookmarkStart w:id="2372" w:name="_Toc52820427"/>
      <w:bookmarkStart w:id="2373" w:name="_Toc54337862"/>
      <w:bookmarkStart w:id="2374" w:name="_Toc54338472"/>
      <w:r w:rsidRPr="001455DC">
        <w:t>Concrete</w:t>
      </w:r>
      <w:bookmarkEnd w:id="2372"/>
      <w:bookmarkEnd w:id="2373"/>
      <w:bookmarkEnd w:id="2374"/>
      <w:r w:rsidR="007F7FCC" w:rsidRPr="001455DC">
        <w:t xml:space="preserve"> - Strength of SFRC</w:t>
      </w:r>
    </w:p>
    <w:p w14:paraId="327E59F0" w14:textId="44571F2A" w:rsidR="004E22C1" w:rsidRPr="001455DC" w:rsidRDefault="007F7FCC" w:rsidP="00246C87">
      <w:pPr>
        <w:pStyle w:val="a7"/>
      </w:pPr>
      <w:bookmarkStart w:id="2375" w:name="_Toc52820428"/>
      <w:bookmarkStart w:id="2376" w:name="_Toc54337863"/>
      <w:bookmarkStart w:id="2377" w:name="_Toc54338473"/>
      <w:r w:rsidRPr="001455DC" w:rsidDel="007F7FCC">
        <w:t xml:space="preserve"> </w:t>
      </w:r>
      <w:bookmarkEnd w:id="2375"/>
      <w:bookmarkEnd w:id="2376"/>
      <w:bookmarkEnd w:id="2377"/>
      <w:r w:rsidR="004E22C1" w:rsidRPr="001455DC">
        <w:t>(1)</w:t>
      </w:r>
      <w:r w:rsidR="004E22C1" w:rsidRPr="001455DC">
        <w:tab/>
        <w:t xml:space="preserve">Where quality control measures in accordance with the relevant execution standard are applied, the characteristic values </w:t>
      </w:r>
      <m:oMath>
        <m:sSub>
          <m:sSubPr>
            <m:ctrlPr>
              <w:rPr>
                <w:rFonts w:ascii="Cambria Math" w:hAnsi="Cambria Math"/>
              </w:rPr>
            </m:ctrlPr>
          </m:sSubPr>
          <m:e>
            <m:r>
              <w:rPr>
                <w:rFonts w:ascii="Cambria Math" w:hAnsi="Cambria Math"/>
              </w:rPr>
              <m:t>f</m:t>
            </m:r>
          </m:e>
          <m:sub>
            <m:r>
              <m:rPr>
                <m:sty m:val="p"/>
              </m:rPr>
              <w:rPr>
                <w:rFonts w:ascii="Cambria Math" w:hAnsi="Cambria Math"/>
              </w:rPr>
              <m:t>R,1k</m:t>
            </m:r>
          </m:sub>
        </m:sSub>
      </m:oMath>
      <w:r w:rsidR="004E22C1" w:rsidRPr="001455DC">
        <w:t xml:space="preserve"> and </w:t>
      </w:r>
      <m:oMath>
        <m:sSub>
          <m:sSubPr>
            <m:ctrlPr>
              <w:rPr>
                <w:rFonts w:ascii="Cambria Math" w:hAnsi="Cambria Math"/>
              </w:rPr>
            </m:ctrlPr>
          </m:sSubPr>
          <m:e>
            <m:r>
              <w:rPr>
                <w:rFonts w:ascii="Cambria Math" w:hAnsi="Cambria Math"/>
              </w:rPr>
              <m:t>f</m:t>
            </m:r>
          </m:e>
          <m:sub>
            <m:r>
              <m:rPr>
                <m:sty m:val="p"/>
              </m:rPr>
              <w:rPr>
                <w:rFonts w:ascii="Cambria Math" w:hAnsi="Cambria Math"/>
              </w:rPr>
              <m:t>R,3k</m:t>
            </m:r>
          </m:sub>
        </m:sSub>
      </m:oMath>
      <w:r w:rsidR="004E22C1" w:rsidRPr="001455DC">
        <w:t xml:space="preserve"> may be determined using </w:t>
      </w:r>
      <m:oMath>
        <m:sSub>
          <m:sSubPr>
            <m:ctrlPr>
              <w:rPr>
                <w:rFonts w:ascii="Cambria Math" w:hAnsi="Cambria Math"/>
              </w:rPr>
            </m:ctrlPr>
          </m:sSubPr>
          <m:e>
            <m:r>
              <w:rPr>
                <w:rFonts w:ascii="Cambria Math" w:hAnsi="Cambria Math"/>
              </w:rPr>
              <m:t>κ</m:t>
            </m:r>
          </m:e>
          <m:sub>
            <m:r>
              <m:rPr>
                <m:sty m:val="p"/>
              </m:rPr>
              <w:rPr>
                <w:rFonts w:ascii="Cambria Math" w:hAnsi="Cambria Math"/>
              </w:rPr>
              <m:t>k,max</m:t>
            </m:r>
          </m:sub>
        </m:sSub>
        <m:r>
          <m:rPr>
            <m:sty m:val="p"/>
          </m:rPr>
          <w:rPr>
            <w:rFonts w:ascii="Cambria Math" w:hAnsi="Cambria Math"/>
          </w:rPr>
          <m:t>=1,0</m:t>
        </m:r>
      </m:oMath>
      <w:r w:rsidR="004E22C1" w:rsidRPr="001455DC">
        <w:t xml:space="preserve"> if </w:t>
      </w:r>
      <m:oMath>
        <m:sSub>
          <m:sSubPr>
            <m:ctrlPr>
              <w:rPr>
                <w:rFonts w:ascii="Cambria Math" w:hAnsi="Cambria Math"/>
              </w:rPr>
            </m:ctrlPr>
          </m:sSubPr>
          <m:e>
            <m:r>
              <w:rPr>
                <w:rFonts w:ascii="Cambria Math" w:hAnsi="Cambria Math"/>
              </w:rPr>
              <m:t>κ</m:t>
            </m:r>
          </m:e>
          <m:sub>
            <m:r>
              <m:rPr>
                <m:sty m:val="p"/>
              </m:rPr>
              <w:rPr>
                <w:rFonts w:ascii="Cambria Math" w:hAnsi="Cambria Math"/>
              </w:rPr>
              <m:t>G</m:t>
            </m:r>
          </m:sub>
        </m:sSub>
        <m:r>
          <m:rPr>
            <m:sty m:val="p"/>
          </m:rPr>
          <w:rPr>
            <w:rFonts w:ascii="Cambria Math" w:hAnsi="Cambria Math"/>
          </w:rPr>
          <m:t>=1,0</m:t>
        </m:r>
      </m:oMath>
      <w:r w:rsidR="004E22C1" w:rsidRPr="001455DC">
        <w:t>. In this case residual strength and ductility classes according to Table L.2 may be neglected.</w:t>
      </w:r>
    </w:p>
    <w:p w14:paraId="344D0F66" w14:textId="5D535C8E" w:rsidR="004E22C1" w:rsidRPr="001455DC" w:rsidRDefault="004E22C1" w:rsidP="00243590">
      <w:pPr>
        <w:pStyle w:val="a3"/>
      </w:pPr>
      <w:bookmarkStart w:id="2378" w:name="_Toc52820429"/>
      <w:bookmarkStart w:id="2379" w:name="_Toc54337864"/>
      <w:bookmarkStart w:id="2380" w:name="_Toc54338474"/>
      <w:r w:rsidRPr="001455DC">
        <w:t>Connections and supports</w:t>
      </w:r>
      <w:bookmarkEnd w:id="2378"/>
      <w:bookmarkEnd w:id="2379"/>
      <w:bookmarkEnd w:id="2380"/>
    </w:p>
    <w:p w14:paraId="46A2A864" w14:textId="01770A58" w:rsidR="004E22C1" w:rsidRPr="001455DC" w:rsidRDefault="00430059" w:rsidP="00246C87">
      <w:pPr>
        <w:pStyle w:val="a7"/>
      </w:pPr>
      <w:bookmarkStart w:id="2381" w:name="_Toc52820430"/>
      <w:bookmarkStart w:id="2382" w:name="_Toc54337865"/>
      <w:bookmarkStart w:id="2383" w:name="_Toc54338475"/>
      <w:r w:rsidRPr="001455DC" w:rsidDel="00430059">
        <w:t xml:space="preserve"> </w:t>
      </w:r>
      <w:bookmarkEnd w:id="2381"/>
      <w:bookmarkEnd w:id="2382"/>
      <w:bookmarkEnd w:id="2383"/>
      <w:r w:rsidR="004E22C1" w:rsidRPr="001455DC">
        <w:t>(15)</w:t>
      </w:r>
      <w:r w:rsidR="004E22C1" w:rsidRPr="001455DC">
        <w:tab/>
        <w:t>8.5.3 or 8.6 should be used to determine the capacity of connection in compression without considering steel fibres of SFRC.</w:t>
      </w:r>
    </w:p>
    <w:p w14:paraId="6922D480" w14:textId="4ED48CDD" w:rsidR="004E22C1" w:rsidRPr="001455DC" w:rsidRDefault="004035D4" w:rsidP="00082680">
      <w:pPr>
        <w:pStyle w:val="a2"/>
      </w:pPr>
      <w:bookmarkStart w:id="2384" w:name="_Toc52820431"/>
      <w:bookmarkStart w:id="2385" w:name="_Toc54337236"/>
      <w:bookmarkStart w:id="2386" w:name="_Toc54337866"/>
      <w:bookmarkStart w:id="2387" w:name="_Toc54338476"/>
      <w:bookmarkStart w:id="2388" w:name="_Toc67565641"/>
      <w:r w:rsidRPr="001455DC">
        <w:t>Lightly reinforced SFRC structures</w:t>
      </w:r>
      <w:bookmarkEnd w:id="2384"/>
      <w:bookmarkEnd w:id="2385"/>
      <w:bookmarkEnd w:id="2386"/>
      <w:bookmarkEnd w:id="2387"/>
      <w:bookmarkEnd w:id="2388"/>
    </w:p>
    <w:p w14:paraId="783F19F9" w14:textId="4B2CCB49" w:rsidR="004E22C1" w:rsidRPr="001455DC" w:rsidRDefault="004E22C1" w:rsidP="00243590">
      <w:pPr>
        <w:pStyle w:val="a3"/>
      </w:pPr>
      <w:bookmarkStart w:id="2389" w:name="_Toc52820432"/>
      <w:bookmarkStart w:id="2390" w:name="_Toc54337867"/>
      <w:bookmarkStart w:id="2391" w:name="_Toc54338477"/>
      <w:r w:rsidRPr="001455DC">
        <w:t>General</w:t>
      </w:r>
      <w:bookmarkEnd w:id="2389"/>
      <w:bookmarkEnd w:id="2390"/>
      <w:bookmarkEnd w:id="2391"/>
    </w:p>
    <w:p w14:paraId="27D45FBE" w14:textId="107F7C06" w:rsidR="004E22C1" w:rsidRPr="001455DC" w:rsidRDefault="004E22C1" w:rsidP="00246C87">
      <w:pPr>
        <w:pStyle w:val="a7"/>
      </w:pPr>
      <w:r w:rsidRPr="001455DC">
        <w:t>(1)</w:t>
      </w:r>
      <w:r w:rsidRPr="001455DC">
        <w:tab/>
        <w:t xml:space="preserve">This </w:t>
      </w:r>
      <w:r w:rsidR="00474F9D" w:rsidRPr="001455DC">
        <w:t xml:space="preserve">clause </w:t>
      </w:r>
      <w:r w:rsidRPr="001455DC">
        <w:t>provides additional rules for steel fibre reinforced structural members where the minimum reinforcement provided is less than the requirements in L.12.</w:t>
      </w:r>
    </w:p>
    <w:p w14:paraId="1969C049" w14:textId="77777777" w:rsidR="004E22C1" w:rsidRPr="001455DC" w:rsidRDefault="004E22C1" w:rsidP="00246C87">
      <w:pPr>
        <w:pStyle w:val="a7"/>
      </w:pPr>
      <w:r w:rsidRPr="001455DC">
        <w:t>(2)</w:t>
      </w:r>
      <w:r w:rsidRPr="001455DC">
        <w:tab/>
        <w:t>For members constructed with joints to avoid uncontrolled cracking, it should be ensured that brittle failure of these members does not lead to collapse of the structure.</w:t>
      </w:r>
    </w:p>
    <w:p w14:paraId="09027635" w14:textId="57665458" w:rsidR="004E22C1" w:rsidRPr="001455DC" w:rsidRDefault="004E22C1" w:rsidP="00246C87">
      <w:pPr>
        <w:pStyle w:val="a7"/>
      </w:pPr>
      <w:r w:rsidRPr="001455DC">
        <w:t>(3)</w:t>
      </w:r>
      <w:r w:rsidRPr="001455DC">
        <w:tab/>
        <w:t xml:space="preserve">Members using SFRC and designed in accordance with this </w:t>
      </w:r>
      <w:r w:rsidR="001710FF" w:rsidRPr="001455DC">
        <w:t>clause</w:t>
      </w:r>
      <w:r w:rsidRPr="001455DC">
        <w:t xml:space="preserve"> do not preclude the provision of steel reinforcement needed to satisfy serviceability, nor reinforcement in certain parts of the members. Any reinforcement may be taken into account for the local verification of ultimate limit states as well as for the checks of the serviceability limit states.</w:t>
      </w:r>
    </w:p>
    <w:p w14:paraId="3E7D7FE2" w14:textId="0BBE8D10" w:rsidR="004E22C1" w:rsidRPr="001455DC" w:rsidRDefault="004E22C1" w:rsidP="00246C87">
      <w:pPr>
        <w:pStyle w:val="a7"/>
      </w:pPr>
      <w:r w:rsidRPr="001455DC">
        <w:t>(4)</w:t>
      </w:r>
      <w:r w:rsidRPr="001455DC">
        <w:tab/>
        <w:t>Members subject to imposed deformations should comply with provisions of L.12.</w:t>
      </w:r>
    </w:p>
    <w:p w14:paraId="6F9FD684" w14:textId="05C5B71E" w:rsidR="004E22C1" w:rsidRPr="001455DC" w:rsidRDefault="004E22C1" w:rsidP="00243590">
      <w:pPr>
        <w:pStyle w:val="a3"/>
      </w:pPr>
      <w:bookmarkStart w:id="2392" w:name="_Toc52820433"/>
      <w:bookmarkStart w:id="2393" w:name="_Toc54337868"/>
      <w:bookmarkStart w:id="2394" w:name="_Toc54338478"/>
      <w:r w:rsidRPr="001455DC">
        <w:t>Concrete</w:t>
      </w:r>
      <w:bookmarkEnd w:id="2392"/>
      <w:bookmarkEnd w:id="2393"/>
      <w:bookmarkEnd w:id="2394"/>
    </w:p>
    <w:p w14:paraId="61F588DA" w14:textId="77777777" w:rsidR="004E22C1" w:rsidRPr="001455DC" w:rsidRDefault="004E22C1" w:rsidP="00246C87">
      <w:pPr>
        <w:pStyle w:val="a7"/>
      </w:pPr>
      <w:r w:rsidRPr="001455DC">
        <w:t>(1)</w:t>
      </w:r>
      <w:r w:rsidRPr="001455DC">
        <w:tab/>
        <w:t xml:space="preserve">When tensile stresses are considered for the design resistance of steel fibre reinforced concrete members, linear elastic analysis may be applied with the post cracking tensile design strength using Formula (L.10) in </w:t>
      </w:r>
      <w:r w:rsidRPr="009D3012">
        <w:rPr>
          <w:i/>
        </w:rPr>
        <w:t>L.5.1.7</w:t>
      </w:r>
      <w:r w:rsidRPr="001455DC">
        <w:t xml:space="preserve"> as stress limit.</w:t>
      </w:r>
    </w:p>
    <w:p w14:paraId="238FF9A0" w14:textId="0D0EB193" w:rsidR="004E22C1" w:rsidRPr="001455DC" w:rsidRDefault="004E22C1" w:rsidP="00246C87">
      <w:pPr>
        <w:pStyle w:val="a7"/>
      </w:pPr>
      <w:r w:rsidRPr="001455DC">
        <w:t>(2)</w:t>
      </w:r>
      <w:r w:rsidRPr="001455DC">
        <w:tab/>
        <w:t>For design of steel fibre reinforced concrete members according to L.14, tensile stresses according to the stress strain diagrams in L.8.1 may be considered in the design.</w:t>
      </w:r>
    </w:p>
    <w:p w14:paraId="65682E36" w14:textId="07BF064F" w:rsidR="004E22C1" w:rsidRPr="001455DC" w:rsidRDefault="004E22C1" w:rsidP="00243590">
      <w:pPr>
        <w:pStyle w:val="a3"/>
      </w:pPr>
      <w:bookmarkStart w:id="2395" w:name="_Toc52820434"/>
      <w:bookmarkStart w:id="2396" w:name="_Toc54337869"/>
      <w:bookmarkStart w:id="2397" w:name="_Toc54338479"/>
      <w:r w:rsidRPr="001455DC">
        <w:t>Ultimate limit states (ULS)</w:t>
      </w:r>
      <w:bookmarkEnd w:id="2395"/>
      <w:bookmarkEnd w:id="2396"/>
      <w:bookmarkEnd w:id="2397"/>
      <w:r w:rsidR="00AC13E6" w:rsidRPr="001455DC">
        <w:t xml:space="preserve"> - Shear resistance of SFRC members without longitudinal reinforcement</w:t>
      </w:r>
    </w:p>
    <w:p w14:paraId="62D7252F" w14:textId="004096BE" w:rsidR="004035D4" w:rsidRPr="001455DC" w:rsidRDefault="00AC13E6" w:rsidP="00DE6BBC">
      <w:pPr>
        <w:pStyle w:val="a7"/>
        <w:keepNext/>
      </w:pPr>
      <w:bookmarkStart w:id="2398" w:name="_Toc52820435"/>
      <w:bookmarkStart w:id="2399" w:name="_Toc54337870"/>
      <w:bookmarkStart w:id="2400" w:name="_Toc54338480"/>
      <w:r w:rsidRPr="001455DC" w:rsidDel="00AC13E6">
        <w:t xml:space="preserve"> </w:t>
      </w:r>
      <w:bookmarkEnd w:id="2398"/>
      <w:bookmarkEnd w:id="2399"/>
      <w:bookmarkEnd w:id="2400"/>
      <w:r w:rsidR="004E22C1" w:rsidRPr="001455DC">
        <w:t>(</w:t>
      </w:r>
      <w:r w:rsidR="00474F9D" w:rsidRPr="001455DC">
        <w:t>1</w:t>
      </w:r>
      <w:r w:rsidR="004E22C1" w:rsidRPr="001455DC">
        <w:t>)</w:t>
      </w:r>
      <w:r w:rsidR="004E22C1" w:rsidRPr="001455DC">
        <w:tab/>
        <w:t>For SFRC without longitudinal bars or prestressing tendons in the tensile zone, the design value of the shear strength should be taken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035D4" w:rsidRPr="001455DC" w14:paraId="2C9C3594" w14:textId="77777777" w:rsidTr="00EA7C41">
        <w:trPr>
          <w:cantSplit/>
        </w:trPr>
        <w:tc>
          <w:tcPr>
            <w:tcW w:w="8505" w:type="dxa"/>
            <w:vAlign w:val="center"/>
          </w:tcPr>
          <w:p w14:paraId="72BA67BE" w14:textId="232D6D55" w:rsidR="004035D4" w:rsidRPr="001455DC" w:rsidRDefault="00231E33" w:rsidP="00EA7C41">
            <w:pPr>
              <w:pStyle w:val="Formula"/>
              <w:jc w:val="left"/>
            </w:pPr>
            <m:oMathPara>
              <m:oMathParaPr>
                <m:jc m:val="left"/>
              </m:oMathParaPr>
              <m:oMath>
                <m:sSub>
                  <m:sSubPr>
                    <m:ctrlPr>
                      <w:rPr>
                        <w:rFonts w:ascii="Cambria Math" w:hAnsi="Cambria Math"/>
                      </w:rPr>
                    </m:ctrlPr>
                  </m:sSubPr>
                  <m:e>
                    <m:r>
                      <w:rPr>
                        <w:rFonts w:ascii="Cambria Math" w:hAnsi="Cambria Math"/>
                      </w:rPr>
                      <m:t>τ</m:t>
                    </m:r>
                  </m:e>
                  <m:sub>
                    <m:r>
                      <m:rPr>
                        <m:sty m:val="p"/>
                      </m:rPr>
                      <w:rPr>
                        <w:rFonts w:ascii="Cambria Math" w:hAnsi="Cambria Math"/>
                      </w:rPr>
                      <m:t>Rd,cF</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Ftud</m:t>
                    </m:r>
                  </m:sub>
                </m:sSub>
              </m:oMath>
            </m:oMathPara>
          </w:p>
        </w:tc>
        <w:tc>
          <w:tcPr>
            <w:tcW w:w="1247" w:type="dxa"/>
            <w:vAlign w:val="center"/>
          </w:tcPr>
          <w:p w14:paraId="742AE4E6" w14:textId="48E399A4" w:rsidR="004035D4" w:rsidRPr="001455DC" w:rsidRDefault="004035D4">
            <w:pPr>
              <w:pStyle w:val="a7"/>
              <w:jc w:val="right"/>
            </w:pPr>
            <w:r w:rsidRPr="001455DC">
              <w:t>(L.</w:t>
            </w:r>
            <w:r w:rsidR="00474F9D" w:rsidRPr="001455DC">
              <w:t>31</w:t>
            </w:r>
            <w:r w:rsidRPr="001455DC">
              <w:t>)</w:t>
            </w:r>
          </w:p>
        </w:tc>
      </w:tr>
    </w:tbl>
    <w:p w14:paraId="63E6EAB1" w14:textId="5E89FF45" w:rsidR="004E22C1" w:rsidRPr="001455DC" w:rsidRDefault="004E22C1" w:rsidP="00243590">
      <w:pPr>
        <w:pStyle w:val="a3"/>
      </w:pPr>
      <w:bookmarkStart w:id="2401" w:name="_Toc52820436"/>
      <w:bookmarkStart w:id="2402" w:name="_Toc54337871"/>
      <w:bookmarkStart w:id="2403" w:name="_Toc54338481"/>
      <w:r w:rsidRPr="001455DC">
        <w:t>Serviceability limit states (SLS)</w:t>
      </w:r>
      <w:bookmarkEnd w:id="2401"/>
      <w:bookmarkEnd w:id="2402"/>
      <w:bookmarkEnd w:id="2403"/>
    </w:p>
    <w:p w14:paraId="1ABD53BD" w14:textId="6F12E85C" w:rsidR="004035D4" w:rsidRPr="001455DC" w:rsidRDefault="004E22C1" w:rsidP="00DE6BBC">
      <w:pPr>
        <w:pStyle w:val="a7"/>
        <w:keepNext/>
      </w:pPr>
      <w:r w:rsidRPr="001455DC">
        <w:t>(</w:t>
      </w:r>
      <w:r w:rsidR="00474F9D" w:rsidRPr="001455DC">
        <w:t>1</w:t>
      </w:r>
      <w:r w:rsidRPr="001455DC">
        <w:t>)</w:t>
      </w:r>
      <w:r w:rsidRPr="001455DC">
        <w:tab/>
        <w:t>For SFRC members without longitudinal bars, and structural hardening behaviour under bending with or without axial compression, the maximum crack spacing can be determined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035D4" w:rsidRPr="001455DC" w14:paraId="4BC9EDE5" w14:textId="77777777" w:rsidTr="00EA7C41">
        <w:trPr>
          <w:cantSplit/>
        </w:trPr>
        <w:tc>
          <w:tcPr>
            <w:tcW w:w="8505" w:type="dxa"/>
            <w:vAlign w:val="center"/>
          </w:tcPr>
          <w:p w14:paraId="6C423F44" w14:textId="110C367E" w:rsidR="004035D4" w:rsidRPr="001455DC" w:rsidRDefault="004035D4" w:rsidP="00EA7C41">
            <w:pPr>
              <w:pStyle w:val="Formula"/>
              <w:jc w:val="left"/>
            </w:pPr>
            <w:r w:rsidRPr="001455DC">
              <w:rPr>
                <w:rStyle w:val="CCMCvariableitalic"/>
              </w:rPr>
              <w:t>s</w:t>
            </w:r>
            <w:r w:rsidRPr="001455DC">
              <w:rPr>
                <w:rStyle w:val="CCMCvariablesubscript"/>
              </w:rPr>
              <w:t>r,max,cal</w:t>
            </w:r>
            <w:r w:rsidRPr="001455DC">
              <w:t> </w:t>
            </w:r>
            <w:r w:rsidR="00EC27D2" w:rsidRPr="001455DC">
              <w:rPr>
                <w:rFonts w:ascii="Cambria Math" w:hAnsi="Cambria Math"/>
              </w:rPr>
              <w:t>=</w:t>
            </w:r>
            <w:r w:rsidRPr="001455DC">
              <w:t> </w:t>
            </w:r>
            <w:r w:rsidRPr="001455DC">
              <w:rPr>
                <w:rStyle w:val="CCMCvariableitalic"/>
              </w:rPr>
              <w:t>h</w:t>
            </w:r>
          </w:p>
        </w:tc>
        <w:tc>
          <w:tcPr>
            <w:tcW w:w="1247" w:type="dxa"/>
            <w:vAlign w:val="center"/>
          </w:tcPr>
          <w:p w14:paraId="44820A17" w14:textId="4368F9A6" w:rsidR="004035D4" w:rsidRPr="001455DC" w:rsidRDefault="004035D4">
            <w:pPr>
              <w:pStyle w:val="a7"/>
              <w:jc w:val="right"/>
            </w:pPr>
            <w:r w:rsidRPr="001455DC">
              <w:rPr>
                <w:iCs/>
              </w:rPr>
              <w:t>(L.</w:t>
            </w:r>
            <w:r w:rsidR="00474F9D" w:rsidRPr="001455DC">
              <w:rPr>
                <w:iCs/>
              </w:rPr>
              <w:t>32</w:t>
            </w:r>
            <w:r w:rsidRPr="001455DC">
              <w:rPr>
                <w:iCs/>
              </w:rPr>
              <w:t>)</w:t>
            </w:r>
          </w:p>
        </w:tc>
      </w:tr>
    </w:tbl>
    <w:p w14:paraId="3AF28D53" w14:textId="2D3E2242" w:rsidR="004E22C1" w:rsidRPr="001455DC" w:rsidRDefault="004E22C1" w:rsidP="00243590">
      <w:pPr>
        <w:pStyle w:val="a3"/>
      </w:pPr>
      <w:bookmarkStart w:id="2404" w:name="_Toc52820437"/>
      <w:bookmarkStart w:id="2405" w:name="_Toc54337872"/>
      <w:bookmarkStart w:id="2406" w:name="_Toc54338482"/>
      <w:r w:rsidRPr="001455DC">
        <w:t>Detailing of members and particular rules</w:t>
      </w:r>
      <w:bookmarkEnd w:id="2404"/>
      <w:bookmarkEnd w:id="2405"/>
      <w:bookmarkEnd w:id="2406"/>
    </w:p>
    <w:p w14:paraId="06247150" w14:textId="43B5065B" w:rsidR="004E22C1" w:rsidRPr="001455DC" w:rsidRDefault="004E22C1" w:rsidP="00243590">
      <w:pPr>
        <w:pStyle w:val="a4"/>
      </w:pPr>
      <w:bookmarkStart w:id="2407" w:name="_Toc52820438"/>
      <w:bookmarkStart w:id="2408" w:name="_Toc54337873"/>
      <w:bookmarkStart w:id="2409" w:name="_Toc54338483"/>
      <w:r w:rsidRPr="001455DC">
        <w:t>SFRC Column footing on rock</w:t>
      </w:r>
      <w:bookmarkEnd w:id="2407"/>
      <w:bookmarkEnd w:id="2408"/>
      <w:bookmarkEnd w:id="2409"/>
    </w:p>
    <w:p w14:paraId="3F1BBA77" w14:textId="77777777" w:rsidR="004E22C1" w:rsidRPr="001455DC" w:rsidRDefault="004E22C1" w:rsidP="00246C87">
      <w:pPr>
        <w:pStyle w:val="a7"/>
      </w:pPr>
      <w:r w:rsidRPr="001455DC">
        <w:t>(1)</w:t>
      </w:r>
      <w:r w:rsidRPr="001455DC">
        <w:tab/>
        <w:t xml:space="preserve">For design of SFRC,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Ftsd</m:t>
            </m:r>
          </m:sub>
        </m:sSub>
      </m:oMath>
      <w:r w:rsidRPr="001455DC">
        <w:t xml:space="preserve"> and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Ftud</m:t>
            </m:r>
          </m:sub>
        </m:sSub>
        <m:r>
          <m:rPr>
            <m:sty m:val="p"/>
          </m:rPr>
          <w:rPr>
            <w:rFonts w:ascii="Cambria Math" w:hAnsi="Cambria Math"/>
          </w:rPr>
          <m:t xml:space="preserve"> </m:t>
        </m:r>
      </m:oMath>
      <w:r w:rsidRPr="001455DC">
        <w:t xml:space="preserve">may be taken into account in accordance with </w:t>
      </w:r>
      <w:r w:rsidRPr="009D3012">
        <w:rPr>
          <w:i/>
        </w:rPr>
        <w:t>L.5.1.7</w:t>
      </w:r>
      <w:r w:rsidRPr="001455DC">
        <w:t>.</w:t>
      </w:r>
    </w:p>
    <w:p w14:paraId="25CD4E1C" w14:textId="12C1BCBC" w:rsidR="004E22C1" w:rsidRPr="001455DC" w:rsidRDefault="004E22C1" w:rsidP="00243590">
      <w:pPr>
        <w:pStyle w:val="a4"/>
      </w:pPr>
      <w:bookmarkStart w:id="2410" w:name="_Toc52820439"/>
      <w:bookmarkStart w:id="2411" w:name="_Toc54337874"/>
      <w:bookmarkStart w:id="2412" w:name="_Toc54338484"/>
      <w:r w:rsidRPr="001455DC">
        <w:t>Foundations directly on ground</w:t>
      </w:r>
      <w:bookmarkEnd w:id="2410"/>
      <w:bookmarkEnd w:id="2411"/>
      <w:bookmarkEnd w:id="2412"/>
    </w:p>
    <w:p w14:paraId="503A4AB5" w14:textId="77777777" w:rsidR="004E22C1" w:rsidRPr="001455DC" w:rsidRDefault="004E22C1" w:rsidP="00246C87">
      <w:pPr>
        <w:pStyle w:val="a7"/>
      </w:pPr>
      <w:r w:rsidRPr="001455DC">
        <w:t>(1)</w:t>
      </w:r>
      <w:r w:rsidRPr="001455DC">
        <w:tab/>
        <w:t>For continuously ground supported rafts and foundation beams a minimum residual strength and ductility class of 1b according to Table L.2 should be applied.</w:t>
      </w:r>
    </w:p>
    <w:p w14:paraId="6750E6FB" w14:textId="2D722C73" w:rsidR="004E22C1" w:rsidRPr="001455DC" w:rsidRDefault="004E22C1" w:rsidP="00243590">
      <w:pPr>
        <w:pStyle w:val="a4"/>
      </w:pPr>
      <w:bookmarkStart w:id="2413" w:name="_Toc52820440"/>
      <w:bookmarkStart w:id="2414" w:name="_Toc54337875"/>
      <w:bookmarkStart w:id="2415" w:name="_Toc54338485"/>
      <w:r w:rsidRPr="001455DC">
        <w:t>Foundations on piles</w:t>
      </w:r>
      <w:bookmarkEnd w:id="2413"/>
      <w:bookmarkEnd w:id="2414"/>
      <w:bookmarkEnd w:id="2415"/>
    </w:p>
    <w:p w14:paraId="25BA143C" w14:textId="101FFB71" w:rsidR="004E22C1" w:rsidRPr="001455DC" w:rsidRDefault="004E22C1" w:rsidP="00246C87">
      <w:pPr>
        <w:pStyle w:val="a7"/>
      </w:pPr>
      <w:r w:rsidRPr="001455DC">
        <w:t>(1)</w:t>
      </w:r>
      <w:r w:rsidRPr="001455DC">
        <w:tab/>
        <w:t>For rafts and slabs on piles a minimum residual strength and ductility class of 2c according to Table L.1 or Formula (L.</w:t>
      </w:r>
      <w:r w:rsidR="00474F9D" w:rsidRPr="001455DC">
        <w:t>26</w:t>
      </w:r>
      <w:r w:rsidRPr="001455DC">
        <w:t>), should be applied.</w:t>
      </w:r>
    </w:p>
    <w:p w14:paraId="6EA70E99" w14:textId="35FDD25A" w:rsidR="004E22C1" w:rsidRPr="001455DC" w:rsidRDefault="004E22C1" w:rsidP="00243590">
      <w:pPr>
        <w:pStyle w:val="a4"/>
      </w:pPr>
      <w:bookmarkStart w:id="2416" w:name="_Toc52820441"/>
      <w:bookmarkStart w:id="2417" w:name="_Toc54337876"/>
      <w:bookmarkStart w:id="2418" w:name="_Toc54338486"/>
      <w:r w:rsidRPr="001455DC">
        <w:t>Segmental Lining</w:t>
      </w:r>
      <w:bookmarkEnd w:id="2416"/>
      <w:bookmarkEnd w:id="2417"/>
      <w:bookmarkEnd w:id="2418"/>
    </w:p>
    <w:p w14:paraId="70319DE0" w14:textId="657B984A" w:rsidR="004E22C1" w:rsidRPr="001455DC" w:rsidRDefault="004E22C1" w:rsidP="00246C87">
      <w:pPr>
        <w:pStyle w:val="a7"/>
        <w:rPr>
          <w:szCs w:val="19"/>
        </w:rPr>
      </w:pPr>
      <w:r w:rsidRPr="001455DC">
        <w:t>(1)</w:t>
      </w:r>
      <w:r w:rsidRPr="001455DC">
        <w:tab/>
        <w:t>For segmental lining without additional longitudinal reinforcement, a minimum performance according to class 4c should replace Formula (L.</w:t>
      </w:r>
      <w:r w:rsidR="00474F9D" w:rsidRPr="001455DC">
        <w:t>26</w:t>
      </w:r>
      <w:r w:rsidRPr="001455DC">
        <w:t>).</w:t>
      </w:r>
    </w:p>
    <w:p w14:paraId="3A829A81" w14:textId="12B83802" w:rsidR="004E22C1" w:rsidRPr="001455DC" w:rsidRDefault="004C68F7" w:rsidP="004C68F7">
      <w:pPr>
        <w:pStyle w:val="ANNEX"/>
      </w:pPr>
      <w:bookmarkStart w:id="2419" w:name="_Toc52820442"/>
      <w:r w:rsidRPr="001455DC">
        <w:br/>
      </w:r>
      <w:bookmarkStart w:id="2420" w:name="_Toc54337237"/>
      <w:bookmarkStart w:id="2421" w:name="_Toc54337877"/>
      <w:bookmarkStart w:id="2422" w:name="_Toc54338487"/>
      <w:bookmarkStart w:id="2423" w:name="_Toc67565642"/>
      <w:r w:rsidR="004E22C1" w:rsidRPr="001455DC">
        <w:rPr>
          <w:b w:val="0"/>
        </w:rPr>
        <w:t>(normative)</w:t>
      </w:r>
      <w:r w:rsidRPr="001455DC">
        <w:rPr>
          <w:b w:val="0"/>
        </w:rPr>
        <w:br/>
      </w:r>
      <w:r w:rsidRPr="001455DC">
        <w:br/>
      </w:r>
      <w:r w:rsidR="004E22C1" w:rsidRPr="001455DC">
        <w:t>Lightweight aggregate concrete structures</w:t>
      </w:r>
      <w:bookmarkEnd w:id="2419"/>
      <w:bookmarkEnd w:id="2420"/>
      <w:bookmarkEnd w:id="2421"/>
      <w:bookmarkEnd w:id="2422"/>
      <w:bookmarkEnd w:id="2423"/>
    </w:p>
    <w:p w14:paraId="5B84A555" w14:textId="522E4D9F" w:rsidR="006059DA" w:rsidRPr="009D3012" w:rsidRDefault="006059DA" w:rsidP="00082680">
      <w:pPr>
        <w:pStyle w:val="a2"/>
      </w:pPr>
      <w:bookmarkStart w:id="2424" w:name="_Toc67565643"/>
      <w:r w:rsidRPr="009D3012">
        <w:t>Use of this annex</w:t>
      </w:r>
      <w:bookmarkEnd w:id="2424"/>
    </w:p>
    <w:p w14:paraId="0AC7A4DE" w14:textId="77777777" w:rsidR="006059DA" w:rsidRPr="001455DC" w:rsidRDefault="006059DA" w:rsidP="006059DA">
      <w:pPr>
        <w:pStyle w:val="a7"/>
      </w:pPr>
      <w:r w:rsidRPr="001455DC">
        <w:t>(1) This Normative Annex contains additional provisions for all concretes made with natural or artificial mineral lightweight aggregates with closed structure. The provisions of this Eurocode apply for concrete members with lightweight aggregates unless modified in this Annex M.</w:t>
      </w:r>
    </w:p>
    <w:p w14:paraId="280C9D36" w14:textId="1C8D6A1E" w:rsidR="006059DA" w:rsidRPr="009D3012" w:rsidRDefault="006059DA" w:rsidP="00082680">
      <w:pPr>
        <w:pStyle w:val="a2"/>
      </w:pPr>
      <w:bookmarkStart w:id="2425" w:name="_Toc67565644"/>
      <w:r w:rsidRPr="009D3012">
        <w:t>Scope and field of application</w:t>
      </w:r>
      <w:bookmarkEnd w:id="2425"/>
    </w:p>
    <w:p w14:paraId="06F7DBD0" w14:textId="77777777" w:rsidR="006059DA" w:rsidRPr="001455DC" w:rsidRDefault="006059DA" w:rsidP="006059DA">
      <w:pPr>
        <w:pStyle w:val="a7"/>
      </w:pPr>
      <w:r w:rsidRPr="001455DC">
        <w:t xml:space="preserve">(1) This Normative Annex applies to all concretes made with natural or artificial mineral lightweight aggregates with closed structure, unless reliable experience indicates that provisions different from those given can be adopted safely. </w:t>
      </w:r>
    </w:p>
    <w:p w14:paraId="5CC83007" w14:textId="1EE38C75" w:rsidR="006059DA" w:rsidRPr="001455DC" w:rsidRDefault="006059DA" w:rsidP="006059DA">
      <w:pPr>
        <w:pStyle w:val="a7"/>
      </w:pPr>
      <w:r w:rsidRPr="001455DC">
        <w:t>(2) This Normative Annex does not apply to aerated concrete either autoclaved or normally cured nor to lightweight aggregate concrete with an open structure</w:t>
      </w:r>
    </w:p>
    <w:p w14:paraId="1A902193" w14:textId="4A562A2E" w:rsidR="006059DA" w:rsidRPr="009D3012" w:rsidRDefault="006059DA" w:rsidP="00082680">
      <w:pPr>
        <w:pStyle w:val="a2"/>
      </w:pPr>
      <w:bookmarkStart w:id="2426" w:name="_Toc67565645"/>
      <w:r w:rsidRPr="009D3012">
        <w:t>General</w:t>
      </w:r>
      <w:bookmarkEnd w:id="2426"/>
    </w:p>
    <w:p w14:paraId="34BA6412" w14:textId="379774A3" w:rsidR="004E22C1" w:rsidRPr="001455DC" w:rsidRDefault="006059DA" w:rsidP="00DE6BBC">
      <w:pPr>
        <w:pStyle w:val="a7"/>
        <w:keepNext/>
      </w:pPr>
      <w:r w:rsidRPr="001455DC" w:rsidDel="006059DA">
        <w:t xml:space="preserve"> </w:t>
      </w:r>
      <w:r w:rsidR="004E22C1" w:rsidRPr="001455DC">
        <w:t>(</w:t>
      </w:r>
      <w:r w:rsidRPr="001455DC">
        <w:t>1</w:t>
      </w:r>
      <w:r w:rsidR="004E22C1" w:rsidRPr="001455DC">
        <w:t>)</w:t>
      </w:r>
      <w:r w:rsidR="004E22C1" w:rsidRPr="001455DC">
        <w:tab/>
        <w:t>In EN 206, lightweight aggregate concrete is classified according to:</w:t>
      </w:r>
    </w:p>
    <w:p w14:paraId="6D9DD6A3" w14:textId="59A6EA9A" w:rsidR="004E22C1" w:rsidRPr="001455DC" w:rsidRDefault="004E22C1" w:rsidP="00353CE4">
      <w:pPr>
        <w:pStyle w:val="a0"/>
        <w:rPr>
          <w:b/>
        </w:rPr>
      </w:pPr>
      <w:r w:rsidRPr="001455DC">
        <w:t>its density as shown in Table M.1. Alternatively, the density may be specified as a target value;</w:t>
      </w:r>
    </w:p>
    <w:p w14:paraId="5B400BB9" w14:textId="5804DA32" w:rsidR="004E22C1" w:rsidRPr="001455DC" w:rsidRDefault="004E22C1" w:rsidP="00353CE4">
      <w:pPr>
        <w:pStyle w:val="a0"/>
      </w:pPr>
      <w:r w:rsidRPr="001455DC">
        <w:t xml:space="preserve">its compressive strength </w:t>
      </w:r>
      <w:r w:rsidRPr="001455DC">
        <w:rPr>
          <w:rStyle w:val="CCMCvariableitalic"/>
        </w:rPr>
        <w:t>f</w:t>
      </w:r>
      <w:r w:rsidRPr="001455DC">
        <w:rPr>
          <w:rStyle w:val="CCMCvariablesubscript"/>
        </w:rPr>
        <w:t>ck</w:t>
      </w:r>
      <w:r w:rsidRPr="001455DC">
        <w:t> </w:t>
      </w:r>
      <w:r w:rsidR="00EC27D2" w:rsidRPr="001455DC">
        <w:rPr>
          <w:rFonts w:ascii="Cambria Math" w:hAnsi="Cambria Math"/>
        </w:rPr>
        <w:t>=</w:t>
      </w:r>
      <w:r w:rsidRPr="001455DC">
        <w:t> 12 MPa to 80 MPa according to LC12/13 to LC80/88.</w:t>
      </w:r>
    </w:p>
    <w:p w14:paraId="430E903F" w14:textId="4862521A" w:rsidR="004E22C1" w:rsidRPr="001455DC" w:rsidRDefault="004E22C1" w:rsidP="004C68F7">
      <w:pPr>
        <w:pStyle w:val="a7"/>
      </w:pPr>
      <w:r w:rsidRPr="001455DC">
        <w:t>(</w:t>
      </w:r>
      <w:r w:rsidR="006059DA" w:rsidRPr="001455DC">
        <w:t>2</w:t>
      </w:r>
      <w:r w:rsidRPr="001455DC">
        <w:t>)</w:t>
      </w:r>
      <w:r w:rsidRPr="001455DC">
        <w:tab/>
        <w:t>All clauses of this code are generally applicable, unless they are substituted by special provisions given in Table M.2.</w:t>
      </w:r>
    </w:p>
    <w:p w14:paraId="20C0AB23" w14:textId="5AC7E77A" w:rsidR="004E22C1" w:rsidRPr="001455DC" w:rsidRDefault="004E22C1" w:rsidP="004C68F7">
      <w:pPr>
        <w:pStyle w:val="Tabletitle"/>
      </w:pPr>
      <w:bookmarkStart w:id="2427" w:name="_Toc54337878"/>
      <w:r w:rsidRPr="001455DC">
        <w:t>Table M.1</w:t>
      </w:r>
      <w:r w:rsidRPr="001455DC">
        <w:rPr>
          <w:lang w:eastAsia="ja-JP"/>
        </w:rPr>
        <w:t xml:space="preserve"> — </w:t>
      </w:r>
      <w:r w:rsidRPr="001455DC">
        <w:t>Density classes and corresponding design densities of LWAC according to EN 206</w:t>
      </w:r>
      <w:bookmarkEnd w:id="2427"/>
    </w:p>
    <w:tbl>
      <w:tblPr>
        <w:tblStyle w:val="53"/>
        <w:tblW w:w="9756" w:type="dxa"/>
        <w:tblLayout w:type="fixed"/>
        <w:tblCellMar>
          <w:left w:w="56" w:type="dxa"/>
          <w:right w:w="56" w:type="dxa"/>
        </w:tblCellMar>
        <w:tblLook w:val="0620" w:firstRow="1" w:lastRow="0" w:firstColumn="0" w:lastColumn="0" w:noHBand="1" w:noVBand="1"/>
      </w:tblPr>
      <w:tblGrid>
        <w:gridCol w:w="1191"/>
        <w:gridCol w:w="851"/>
        <w:gridCol w:w="851"/>
        <w:gridCol w:w="851"/>
        <w:gridCol w:w="851"/>
        <w:gridCol w:w="851"/>
        <w:gridCol w:w="851"/>
        <w:gridCol w:w="2778"/>
        <w:gridCol w:w="681"/>
      </w:tblGrid>
      <w:tr w:rsidR="00292A00" w:rsidRPr="001455DC" w14:paraId="2BABB45C" w14:textId="77777777" w:rsidTr="009A1397">
        <w:trPr>
          <w:cnfStyle w:val="100000000000" w:firstRow="1" w:lastRow="0" w:firstColumn="0" w:lastColumn="0" w:oddVBand="0" w:evenVBand="0" w:oddHBand="0" w:evenHBand="0" w:firstRowFirstColumn="0" w:firstRowLastColumn="0" w:lastRowFirstColumn="0" w:lastRowLastColumn="0"/>
          <w:cantSplit/>
          <w:tblHeader/>
        </w:trPr>
        <w:tc>
          <w:tcPr>
            <w:tcW w:w="1191" w:type="dxa"/>
            <w:vMerge w:val="restart"/>
          </w:tcPr>
          <w:p w14:paraId="1A7226EC" w14:textId="44126A61" w:rsidR="00292A00" w:rsidRPr="009D3012" w:rsidRDefault="00292A00" w:rsidP="00EA7C41">
            <w:pPr>
              <w:pStyle w:val="Tableheader"/>
              <w:rPr>
                <w:lang w:val="en-US"/>
              </w:rPr>
            </w:pPr>
            <w:r w:rsidRPr="009D3012">
              <w:rPr>
                <w:lang w:val="en-US"/>
              </w:rPr>
              <w:t> </w:t>
            </w:r>
          </w:p>
        </w:tc>
        <w:tc>
          <w:tcPr>
            <w:tcW w:w="5106" w:type="dxa"/>
            <w:gridSpan w:val="6"/>
          </w:tcPr>
          <w:p w14:paraId="284BF0F8" w14:textId="4C2F0CFF" w:rsidR="00292A00" w:rsidRPr="001455DC" w:rsidRDefault="00292A00" w:rsidP="00EA7C41">
            <w:pPr>
              <w:pStyle w:val="Tableheader"/>
            </w:pPr>
            <w:r w:rsidRPr="001455DC">
              <w:t>Density class</w:t>
            </w:r>
          </w:p>
        </w:tc>
        <w:tc>
          <w:tcPr>
            <w:tcW w:w="3459" w:type="dxa"/>
            <w:gridSpan w:val="2"/>
            <w:vMerge w:val="restart"/>
          </w:tcPr>
          <w:p w14:paraId="04682DA5" w14:textId="77777777" w:rsidR="00292A00" w:rsidRPr="001455DC" w:rsidRDefault="00292A00" w:rsidP="00EA7C41">
            <w:pPr>
              <w:pStyle w:val="Tableheader"/>
            </w:pPr>
            <w:r w:rsidRPr="001455DC">
              <w:t>Analytical formula</w:t>
            </w:r>
          </w:p>
        </w:tc>
      </w:tr>
      <w:tr w:rsidR="004E22C1" w:rsidRPr="001455DC" w14:paraId="66BE2037" w14:textId="77777777" w:rsidTr="00292A00">
        <w:trPr>
          <w:cnfStyle w:val="100000000000" w:firstRow="1" w:lastRow="0" w:firstColumn="0" w:lastColumn="0" w:oddVBand="0" w:evenVBand="0" w:oddHBand="0" w:evenHBand="0" w:firstRowFirstColumn="0" w:firstRowLastColumn="0" w:lastRowFirstColumn="0" w:lastRowLastColumn="0"/>
          <w:cantSplit/>
          <w:tblHeader/>
        </w:trPr>
        <w:tc>
          <w:tcPr>
            <w:tcW w:w="1191" w:type="dxa"/>
            <w:vMerge/>
          </w:tcPr>
          <w:p w14:paraId="753307B5" w14:textId="77777777" w:rsidR="004E22C1" w:rsidRPr="001455DC" w:rsidRDefault="004E22C1" w:rsidP="00EA7C41">
            <w:pPr>
              <w:pStyle w:val="Tableheader"/>
            </w:pPr>
          </w:p>
        </w:tc>
        <w:tc>
          <w:tcPr>
            <w:tcW w:w="851" w:type="dxa"/>
          </w:tcPr>
          <w:p w14:paraId="41BBA63C" w14:textId="77777777" w:rsidR="004E22C1" w:rsidRPr="001455DC" w:rsidRDefault="004E22C1" w:rsidP="00EA7C41">
            <w:pPr>
              <w:pStyle w:val="Tableheader"/>
            </w:pPr>
            <w:r w:rsidRPr="001455DC">
              <w:t>D1,0</w:t>
            </w:r>
          </w:p>
        </w:tc>
        <w:tc>
          <w:tcPr>
            <w:tcW w:w="851" w:type="dxa"/>
          </w:tcPr>
          <w:p w14:paraId="56E532D2" w14:textId="77777777" w:rsidR="004E22C1" w:rsidRPr="001455DC" w:rsidRDefault="004E22C1" w:rsidP="00EA7C41">
            <w:pPr>
              <w:pStyle w:val="Tableheader"/>
            </w:pPr>
            <w:r w:rsidRPr="001455DC">
              <w:t>D1,2</w:t>
            </w:r>
          </w:p>
        </w:tc>
        <w:tc>
          <w:tcPr>
            <w:tcW w:w="851" w:type="dxa"/>
          </w:tcPr>
          <w:p w14:paraId="31DB9920" w14:textId="77777777" w:rsidR="004E22C1" w:rsidRPr="001455DC" w:rsidRDefault="004E22C1" w:rsidP="00EA7C41">
            <w:pPr>
              <w:pStyle w:val="Tableheader"/>
            </w:pPr>
            <w:r w:rsidRPr="001455DC">
              <w:t>D1,4</w:t>
            </w:r>
          </w:p>
        </w:tc>
        <w:tc>
          <w:tcPr>
            <w:tcW w:w="851" w:type="dxa"/>
          </w:tcPr>
          <w:p w14:paraId="508E3D9C" w14:textId="77777777" w:rsidR="004E22C1" w:rsidRPr="001455DC" w:rsidRDefault="004E22C1" w:rsidP="00EA7C41">
            <w:pPr>
              <w:pStyle w:val="Tableheader"/>
            </w:pPr>
            <w:r w:rsidRPr="001455DC">
              <w:t>D1,6</w:t>
            </w:r>
          </w:p>
        </w:tc>
        <w:tc>
          <w:tcPr>
            <w:tcW w:w="851" w:type="dxa"/>
          </w:tcPr>
          <w:p w14:paraId="7BDE7378" w14:textId="77777777" w:rsidR="004E22C1" w:rsidRPr="001455DC" w:rsidRDefault="004E22C1" w:rsidP="00EA7C41">
            <w:pPr>
              <w:pStyle w:val="Tableheader"/>
            </w:pPr>
            <w:r w:rsidRPr="001455DC">
              <w:t>D1,8</w:t>
            </w:r>
          </w:p>
        </w:tc>
        <w:tc>
          <w:tcPr>
            <w:tcW w:w="851" w:type="dxa"/>
          </w:tcPr>
          <w:p w14:paraId="2000AEB8" w14:textId="77777777" w:rsidR="004E22C1" w:rsidRPr="001455DC" w:rsidRDefault="004E22C1" w:rsidP="00EA7C41">
            <w:pPr>
              <w:pStyle w:val="Tableheader"/>
            </w:pPr>
            <w:r w:rsidRPr="001455DC">
              <w:t>D2,0</w:t>
            </w:r>
          </w:p>
        </w:tc>
        <w:tc>
          <w:tcPr>
            <w:tcW w:w="3459" w:type="dxa"/>
            <w:gridSpan w:val="2"/>
            <w:vMerge/>
          </w:tcPr>
          <w:p w14:paraId="553B8084" w14:textId="77777777" w:rsidR="004E22C1" w:rsidRPr="001455DC" w:rsidRDefault="004E22C1" w:rsidP="00EA7C41">
            <w:pPr>
              <w:pStyle w:val="Tableheader"/>
            </w:pPr>
          </w:p>
        </w:tc>
      </w:tr>
      <w:tr w:rsidR="00292A00" w:rsidRPr="001455DC" w14:paraId="3980D19E" w14:textId="77777777" w:rsidTr="00292A00">
        <w:trPr>
          <w:cantSplit/>
          <w:trHeight w:val="204"/>
        </w:trPr>
        <w:tc>
          <w:tcPr>
            <w:tcW w:w="1191" w:type="dxa"/>
            <w:vMerge w:val="restart"/>
            <w:vAlign w:val="center"/>
          </w:tcPr>
          <w:p w14:paraId="26E6DD23" w14:textId="77777777" w:rsidR="00292A00" w:rsidRPr="009D3012" w:rsidRDefault="00292A00" w:rsidP="00EA7C41">
            <w:pPr>
              <w:pStyle w:val="Tablebody"/>
              <w:jc w:val="center"/>
              <w:rPr>
                <w:sz w:val="20"/>
              </w:rPr>
            </w:pPr>
            <w:r w:rsidRPr="009D3012">
              <w:rPr>
                <w:b/>
                <w:sz w:val="20"/>
              </w:rPr>
              <w:t>Density</w:t>
            </w:r>
            <w:r w:rsidRPr="009D3012">
              <w:rPr>
                <w:sz w:val="20"/>
              </w:rPr>
              <w:t xml:space="preserve"> (kg/m</w:t>
            </w:r>
            <w:r w:rsidRPr="009D3012">
              <w:rPr>
                <w:rStyle w:val="CCMCvariablesuperscript"/>
                <w:sz w:val="20"/>
              </w:rPr>
              <w:t>3</w:t>
            </w:r>
            <w:r w:rsidRPr="009D3012">
              <w:rPr>
                <w:sz w:val="20"/>
              </w:rPr>
              <w:t>)</w:t>
            </w:r>
          </w:p>
        </w:tc>
        <w:tc>
          <w:tcPr>
            <w:tcW w:w="851" w:type="dxa"/>
            <w:tcBorders>
              <w:bottom w:val="nil"/>
            </w:tcBorders>
            <w:vAlign w:val="center"/>
          </w:tcPr>
          <w:p w14:paraId="7B58E84E" w14:textId="035EB6EB" w:rsidR="00292A00" w:rsidRPr="001455DC" w:rsidRDefault="00292A00" w:rsidP="00EA7C41">
            <w:pPr>
              <w:pStyle w:val="Tablebody"/>
              <w:jc w:val="center"/>
              <w:rPr>
                <w:szCs w:val="22"/>
              </w:rPr>
            </w:pPr>
            <w:r w:rsidRPr="001455DC">
              <w:rPr>
                <w:szCs w:val="22"/>
              </w:rPr>
              <w:t>801</w:t>
            </w:r>
          </w:p>
        </w:tc>
        <w:tc>
          <w:tcPr>
            <w:tcW w:w="851" w:type="dxa"/>
            <w:tcBorders>
              <w:bottom w:val="nil"/>
            </w:tcBorders>
            <w:vAlign w:val="center"/>
          </w:tcPr>
          <w:p w14:paraId="2EC8EBFB" w14:textId="639BF4EA" w:rsidR="00292A00" w:rsidRPr="001455DC" w:rsidRDefault="00292A00" w:rsidP="00EA7C41">
            <w:pPr>
              <w:pStyle w:val="Tablebody"/>
              <w:jc w:val="center"/>
              <w:rPr>
                <w:szCs w:val="22"/>
              </w:rPr>
            </w:pPr>
            <w:r w:rsidRPr="001455DC">
              <w:rPr>
                <w:szCs w:val="22"/>
              </w:rPr>
              <w:t>1 001</w:t>
            </w:r>
          </w:p>
        </w:tc>
        <w:tc>
          <w:tcPr>
            <w:tcW w:w="851" w:type="dxa"/>
            <w:tcBorders>
              <w:bottom w:val="nil"/>
            </w:tcBorders>
            <w:vAlign w:val="center"/>
          </w:tcPr>
          <w:p w14:paraId="60E4CEFF" w14:textId="710FA0E7" w:rsidR="00292A00" w:rsidRPr="001455DC" w:rsidRDefault="00292A00" w:rsidP="00EA7C41">
            <w:pPr>
              <w:pStyle w:val="Tablebody"/>
              <w:jc w:val="center"/>
              <w:rPr>
                <w:szCs w:val="22"/>
              </w:rPr>
            </w:pPr>
            <w:r w:rsidRPr="001455DC">
              <w:rPr>
                <w:szCs w:val="22"/>
              </w:rPr>
              <w:t>1 201</w:t>
            </w:r>
          </w:p>
        </w:tc>
        <w:tc>
          <w:tcPr>
            <w:tcW w:w="851" w:type="dxa"/>
            <w:tcBorders>
              <w:bottom w:val="nil"/>
            </w:tcBorders>
            <w:vAlign w:val="center"/>
          </w:tcPr>
          <w:p w14:paraId="447C9456" w14:textId="7F9CAD55" w:rsidR="00292A00" w:rsidRPr="001455DC" w:rsidRDefault="00292A00" w:rsidP="00EA7C41">
            <w:pPr>
              <w:pStyle w:val="Tablebody"/>
              <w:jc w:val="center"/>
              <w:rPr>
                <w:szCs w:val="22"/>
              </w:rPr>
            </w:pPr>
            <w:r w:rsidRPr="001455DC">
              <w:rPr>
                <w:szCs w:val="22"/>
              </w:rPr>
              <w:t>1 401</w:t>
            </w:r>
          </w:p>
        </w:tc>
        <w:tc>
          <w:tcPr>
            <w:tcW w:w="851" w:type="dxa"/>
            <w:tcBorders>
              <w:bottom w:val="nil"/>
            </w:tcBorders>
            <w:vAlign w:val="center"/>
          </w:tcPr>
          <w:p w14:paraId="6E97AACD" w14:textId="38B299FA" w:rsidR="00292A00" w:rsidRPr="001455DC" w:rsidRDefault="00292A00" w:rsidP="00EA7C41">
            <w:pPr>
              <w:pStyle w:val="Tablebody"/>
              <w:jc w:val="center"/>
              <w:rPr>
                <w:szCs w:val="22"/>
              </w:rPr>
            </w:pPr>
            <w:r w:rsidRPr="001455DC">
              <w:rPr>
                <w:szCs w:val="22"/>
              </w:rPr>
              <w:t>1 601</w:t>
            </w:r>
          </w:p>
        </w:tc>
        <w:tc>
          <w:tcPr>
            <w:tcW w:w="851" w:type="dxa"/>
            <w:tcBorders>
              <w:bottom w:val="nil"/>
            </w:tcBorders>
            <w:vAlign w:val="center"/>
          </w:tcPr>
          <w:p w14:paraId="1917A5CE" w14:textId="36C9EEA7" w:rsidR="00292A00" w:rsidRPr="001455DC" w:rsidRDefault="00292A00" w:rsidP="00EA7C41">
            <w:pPr>
              <w:pStyle w:val="Tablebody"/>
              <w:jc w:val="center"/>
              <w:rPr>
                <w:szCs w:val="22"/>
              </w:rPr>
            </w:pPr>
            <w:r w:rsidRPr="001455DC">
              <w:rPr>
                <w:szCs w:val="22"/>
              </w:rPr>
              <w:t>1 801</w:t>
            </w:r>
          </w:p>
        </w:tc>
        <w:tc>
          <w:tcPr>
            <w:tcW w:w="3459" w:type="dxa"/>
            <w:gridSpan w:val="2"/>
            <w:vMerge w:val="restart"/>
            <w:vAlign w:val="center"/>
          </w:tcPr>
          <w:p w14:paraId="3B40A182" w14:textId="77777777" w:rsidR="00292A00" w:rsidRPr="001455DC" w:rsidRDefault="00292A00" w:rsidP="00EA7C41">
            <w:pPr>
              <w:pStyle w:val="Tablebody"/>
              <w:jc w:val="center"/>
              <w:rPr>
                <w:szCs w:val="22"/>
              </w:rPr>
            </w:pPr>
            <w:r w:rsidRPr="001455DC">
              <w:rPr>
                <w:szCs w:val="22"/>
              </w:rPr>
              <w:t>–</w:t>
            </w:r>
          </w:p>
        </w:tc>
      </w:tr>
      <w:tr w:rsidR="00292A00" w:rsidRPr="001455DC" w14:paraId="12479B2F" w14:textId="77777777" w:rsidTr="00292A00">
        <w:trPr>
          <w:cantSplit/>
          <w:trHeight w:val="204"/>
        </w:trPr>
        <w:tc>
          <w:tcPr>
            <w:tcW w:w="1191" w:type="dxa"/>
            <w:vMerge/>
            <w:vAlign w:val="center"/>
          </w:tcPr>
          <w:p w14:paraId="76343FBE" w14:textId="77777777" w:rsidR="00292A00" w:rsidRPr="009D3012" w:rsidRDefault="00292A00" w:rsidP="00EA7C41">
            <w:pPr>
              <w:pStyle w:val="Tablebody"/>
              <w:jc w:val="center"/>
              <w:rPr>
                <w:b/>
                <w:sz w:val="20"/>
              </w:rPr>
            </w:pPr>
          </w:p>
        </w:tc>
        <w:tc>
          <w:tcPr>
            <w:tcW w:w="851" w:type="dxa"/>
            <w:tcBorders>
              <w:top w:val="nil"/>
              <w:bottom w:val="single" w:sz="6" w:space="0" w:color="000000"/>
            </w:tcBorders>
            <w:vAlign w:val="center"/>
          </w:tcPr>
          <w:p w14:paraId="4D7E59AD" w14:textId="682C379F" w:rsidR="00292A00" w:rsidRPr="001455DC" w:rsidRDefault="00292A00" w:rsidP="00EA7C41">
            <w:pPr>
              <w:pStyle w:val="Tablebody"/>
              <w:jc w:val="center"/>
              <w:rPr>
                <w:szCs w:val="22"/>
              </w:rPr>
            </w:pPr>
            <w:r w:rsidRPr="001455DC">
              <w:rPr>
                <w:rFonts w:ascii="Cambria Math" w:hAnsi="Cambria Math"/>
                <w:szCs w:val="22"/>
              </w:rPr>
              <w:t>−</w:t>
            </w:r>
            <w:r w:rsidRPr="001455DC">
              <w:rPr>
                <w:szCs w:val="22"/>
              </w:rPr>
              <w:t>1 000</w:t>
            </w:r>
          </w:p>
        </w:tc>
        <w:tc>
          <w:tcPr>
            <w:tcW w:w="851" w:type="dxa"/>
            <w:tcBorders>
              <w:top w:val="nil"/>
              <w:bottom w:val="single" w:sz="6" w:space="0" w:color="000000"/>
            </w:tcBorders>
            <w:vAlign w:val="center"/>
          </w:tcPr>
          <w:p w14:paraId="03433338" w14:textId="4F2A524D" w:rsidR="00292A00" w:rsidRPr="001455DC" w:rsidRDefault="00292A00" w:rsidP="00EA7C41">
            <w:pPr>
              <w:pStyle w:val="Tablebody"/>
              <w:jc w:val="center"/>
              <w:rPr>
                <w:szCs w:val="22"/>
              </w:rPr>
            </w:pPr>
            <w:r w:rsidRPr="001455DC">
              <w:rPr>
                <w:rFonts w:ascii="Cambria Math" w:hAnsi="Cambria Math"/>
                <w:szCs w:val="22"/>
              </w:rPr>
              <w:t>−</w:t>
            </w:r>
            <w:r w:rsidRPr="001455DC">
              <w:rPr>
                <w:szCs w:val="22"/>
              </w:rPr>
              <w:t>1 200</w:t>
            </w:r>
          </w:p>
        </w:tc>
        <w:tc>
          <w:tcPr>
            <w:tcW w:w="851" w:type="dxa"/>
            <w:tcBorders>
              <w:top w:val="nil"/>
              <w:bottom w:val="single" w:sz="6" w:space="0" w:color="000000"/>
            </w:tcBorders>
            <w:vAlign w:val="center"/>
          </w:tcPr>
          <w:p w14:paraId="44109800" w14:textId="4FC6BD96" w:rsidR="00292A00" w:rsidRPr="001455DC" w:rsidRDefault="00292A00" w:rsidP="00EA7C41">
            <w:pPr>
              <w:pStyle w:val="Tablebody"/>
              <w:jc w:val="center"/>
              <w:rPr>
                <w:szCs w:val="22"/>
              </w:rPr>
            </w:pPr>
            <w:r w:rsidRPr="001455DC">
              <w:rPr>
                <w:rFonts w:ascii="Cambria Math" w:hAnsi="Cambria Math"/>
                <w:szCs w:val="22"/>
              </w:rPr>
              <w:t>−</w:t>
            </w:r>
            <w:r w:rsidRPr="001455DC">
              <w:rPr>
                <w:szCs w:val="22"/>
              </w:rPr>
              <w:t>1 400</w:t>
            </w:r>
          </w:p>
        </w:tc>
        <w:tc>
          <w:tcPr>
            <w:tcW w:w="851" w:type="dxa"/>
            <w:tcBorders>
              <w:top w:val="nil"/>
              <w:bottom w:val="single" w:sz="6" w:space="0" w:color="000000"/>
            </w:tcBorders>
            <w:vAlign w:val="center"/>
          </w:tcPr>
          <w:p w14:paraId="4BA41BBB" w14:textId="0E04D8AF" w:rsidR="00292A00" w:rsidRPr="001455DC" w:rsidRDefault="00292A00" w:rsidP="00EA7C41">
            <w:pPr>
              <w:pStyle w:val="Tablebody"/>
              <w:jc w:val="center"/>
              <w:rPr>
                <w:szCs w:val="22"/>
              </w:rPr>
            </w:pPr>
            <w:r w:rsidRPr="001455DC">
              <w:rPr>
                <w:rFonts w:ascii="Cambria Math" w:hAnsi="Cambria Math"/>
                <w:szCs w:val="22"/>
              </w:rPr>
              <w:t>−</w:t>
            </w:r>
            <w:r w:rsidRPr="001455DC">
              <w:rPr>
                <w:szCs w:val="22"/>
              </w:rPr>
              <w:t>1 600</w:t>
            </w:r>
          </w:p>
        </w:tc>
        <w:tc>
          <w:tcPr>
            <w:tcW w:w="851" w:type="dxa"/>
            <w:tcBorders>
              <w:top w:val="nil"/>
              <w:bottom w:val="single" w:sz="6" w:space="0" w:color="000000"/>
            </w:tcBorders>
            <w:vAlign w:val="center"/>
          </w:tcPr>
          <w:p w14:paraId="71C8BCB5" w14:textId="5C971BA9" w:rsidR="00292A00" w:rsidRPr="001455DC" w:rsidRDefault="00292A00" w:rsidP="00EA7C41">
            <w:pPr>
              <w:pStyle w:val="Tablebody"/>
              <w:jc w:val="center"/>
              <w:rPr>
                <w:szCs w:val="22"/>
              </w:rPr>
            </w:pPr>
            <w:r w:rsidRPr="001455DC">
              <w:rPr>
                <w:rFonts w:ascii="Cambria Math" w:hAnsi="Cambria Math"/>
                <w:szCs w:val="22"/>
              </w:rPr>
              <w:t>−</w:t>
            </w:r>
            <w:r w:rsidRPr="001455DC">
              <w:rPr>
                <w:szCs w:val="22"/>
              </w:rPr>
              <w:t>1 800</w:t>
            </w:r>
          </w:p>
        </w:tc>
        <w:tc>
          <w:tcPr>
            <w:tcW w:w="851" w:type="dxa"/>
            <w:tcBorders>
              <w:top w:val="nil"/>
              <w:bottom w:val="single" w:sz="6" w:space="0" w:color="000000"/>
            </w:tcBorders>
            <w:vAlign w:val="center"/>
          </w:tcPr>
          <w:p w14:paraId="3CFC5B8C" w14:textId="5E09C952" w:rsidR="00292A00" w:rsidRPr="001455DC" w:rsidRDefault="00292A00" w:rsidP="00EA7C41">
            <w:pPr>
              <w:pStyle w:val="Tablebody"/>
              <w:jc w:val="center"/>
              <w:rPr>
                <w:szCs w:val="22"/>
              </w:rPr>
            </w:pPr>
            <w:r w:rsidRPr="001455DC">
              <w:rPr>
                <w:rFonts w:ascii="Cambria Math" w:hAnsi="Cambria Math"/>
                <w:szCs w:val="22"/>
              </w:rPr>
              <w:t>−</w:t>
            </w:r>
            <w:r w:rsidRPr="001455DC">
              <w:rPr>
                <w:szCs w:val="22"/>
              </w:rPr>
              <w:t>2 000</w:t>
            </w:r>
          </w:p>
        </w:tc>
        <w:tc>
          <w:tcPr>
            <w:tcW w:w="3459" w:type="dxa"/>
            <w:gridSpan w:val="2"/>
            <w:vMerge/>
            <w:vAlign w:val="center"/>
          </w:tcPr>
          <w:p w14:paraId="3850E400" w14:textId="77777777" w:rsidR="00292A00" w:rsidRPr="001455DC" w:rsidRDefault="00292A00" w:rsidP="00EA7C41">
            <w:pPr>
              <w:pStyle w:val="Tablebody"/>
              <w:jc w:val="center"/>
              <w:rPr>
                <w:szCs w:val="22"/>
              </w:rPr>
            </w:pPr>
          </w:p>
        </w:tc>
      </w:tr>
      <w:tr w:rsidR="00EA7C41" w:rsidRPr="001455DC" w14:paraId="7829C3AD" w14:textId="77777777" w:rsidTr="00292A00">
        <w:trPr>
          <w:cantSplit/>
        </w:trPr>
        <w:tc>
          <w:tcPr>
            <w:tcW w:w="1191" w:type="dxa"/>
          </w:tcPr>
          <w:p w14:paraId="11188DE1" w14:textId="50D2D1B6" w:rsidR="00EA7C41" w:rsidRPr="009D3012" w:rsidRDefault="00EA7C41" w:rsidP="00EA7C41">
            <w:pPr>
              <w:pStyle w:val="Tablebody"/>
              <w:jc w:val="center"/>
              <w:rPr>
                <w:sz w:val="20"/>
              </w:rPr>
            </w:pPr>
            <w:r w:rsidRPr="009D3012">
              <w:rPr>
                <w:b/>
                <w:sz w:val="20"/>
              </w:rPr>
              <w:t>Coefficient</w:t>
            </w:r>
            <w:r w:rsidRPr="009D3012">
              <w:rPr>
                <w:sz w:val="20"/>
              </w:rPr>
              <w:t xml:space="preserve"> </w:t>
            </w:r>
            <w:r w:rsidRPr="009D3012">
              <w:rPr>
                <w:rStyle w:val="CCMCvariableitalic"/>
                <w:sz w:val="20"/>
              </w:rPr>
              <w:t>η</w:t>
            </w:r>
            <w:r w:rsidRPr="009D3012">
              <w:rPr>
                <w:rStyle w:val="CCMCvariablesubscript"/>
                <w:sz w:val="20"/>
              </w:rPr>
              <w:t>lw,fc</w:t>
            </w:r>
          </w:p>
        </w:tc>
        <w:tc>
          <w:tcPr>
            <w:tcW w:w="851" w:type="dxa"/>
            <w:tcBorders>
              <w:top w:val="single" w:sz="6" w:space="0" w:color="000000"/>
            </w:tcBorders>
          </w:tcPr>
          <w:p w14:paraId="7607BCB6" w14:textId="77777777" w:rsidR="00EA7C41" w:rsidRPr="001455DC" w:rsidRDefault="00EA7C41" w:rsidP="00EA7C41">
            <w:pPr>
              <w:pStyle w:val="Tablebody"/>
              <w:jc w:val="center"/>
              <w:rPr>
                <w:szCs w:val="22"/>
              </w:rPr>
            </w:pPr>
            <w:r w:rsidRPr="001455DC">
              <w:rPr>
                <w:szCs w:val="22"/>
              </w:rPr>
              <w:t>0,45</w:t>
            </w:r>
          </w:p>
        </w:tc>
        <w:tc>
          <w:tcPr>
            <w:tcW w:w="851" w:type="dxa"/>
            <w:tcBorders>
              <w:top w:val="single" w:sz="6" w:space="0" w:color="000000"/>
            </w:tcBorders>
          </w:tcPr>
          <w:p w14:paraId="21DF995D" w14:textId="77777777" w:rsidR="00EA7C41" w:rsidRPr="001455DC" w:rsidRDefault="00EA7C41" w:rsidP="00EA7C41">
            <w:pPr>
              <w:pStyle w:val="Tablebody"/>
              <w:jc w:val="center"/>
              <w:rPr>
                <w:szCs w:val="22"/>
              </w:rPr>
            </w:pPr>
            <w:r w:rsidRPr="001455DC">
              <w:rPr>
                <w:szCs w:val="22"/>
              </w:rPr>
              <w:t>0,55</w:t>
            </w:r>
          </w:p>
        </w:tc>
        <w:tc>
          <w:tcPr>
            <w:tcW w:w="851" w:type="dxa"/>
            <w:tcBorders>
              <w:top w:val="single" w:sz="6" w:space="0" w:color="000000"/>
            </w:tcBorders>
          </w:tcPr>
          <w:p w14:paraId="1A0B5962" w14:textId="77777777" w:rsidR="00EA7C41" w:rsidRPr="001455DC" w:rsidRDefault="00EA7C41" w:rsidP="00EA7C41">
            <w:pPr>
              <w:pStyle w:val="Tablebody"/>
              <w:jc w:val="center"/>
              <w:rPr>
                <w:szCs w:val="22"/>
              </w:rPr>
            </w:pPr>
            <w:r w:rsidRPr="001455DC">
              <w:rPr>
                <w:szCs w:val="22"/>
              </w:rPr>
              <w:t>0,64</w:t>
            </w:r>
          </w:p>
        </w:tc>
        <w:tc>
          <w:tcPr>
            <w:tcW w:w="851" w:type="dxa"/>
            <w:tcBorders>
              <w:top w:val="single" w:sz="6" w:space="0" w:color="000000"/>
            </w:tcBorders>
          </w:tcPr>
          <w:p w14:paraId="4070BADA" w14:textId="77777777" w:rsidR="00EA7C41" w:rsidRPr="001455DC" w:rsidRDefault="00EA7C41" w:rsidP="00EA7C41">
            <w:pPr>
              <w:pStyle w:val="Tablebody"/>
              <w:jc w:val="center"/>
              <w:rPr>
                <w:szCs w:val="22"/>
              </w:rPr>
            </w:pPr>
            <w:r w:rsidRPr="001455DC">
              <w:rPr>
                <w:szCs w:val="22"/>
              </w:rPr>
              <w:t>0,73</w:t>
            </w:r>
          </w:p>
        </w:tc>
        <w:tc>
          <w:tcPr>
            <w:tcW w:w="851" w:type="dxa"/>
            <w:tcBorders>
              <w:top w:val="single" w:sz="6" w:space="0" w:color="000000"/>
            </w:tcBorders>
          </w:tcPr>
          <w:p w14:paraId="3FBD0427" w14:textId="77777777" w:rsidR="00EA7C41" w:rsidRPr="001455DC" w:rsidRDefault="00EA7C41" w:rsidP="00EA7C41">
            <w:pPr>
              <w:pStyle w:val="Tablebody"/>
              <w:jc w:val="center"/>
              <w:rPr>
                <w:szCs w:val="22"/>
              </w:rPr>
            </w:pPr>
            <w:r w:rsidRPr="001455DC">
              <w:rPr>
                <w:szCs w:val="22"/>
              </w:rPr>
              <w:t>0,82</w:t>
            </w:r>
          </w:p>
        </w:tc>
        <w:tc>
          <w:tcPr>
            <w:tcW w:w="851" w:type="dxa"/>
            <w:tcBorders>
              <w:top w:val="single" w:sz="6" w:space="0" w:color="000000"/>
            </w:tcBorders>
          </w:tcPr>
          <w:p w14:paraId="51552688" w14:textId="77777777" w:rsidR="00EA7C41" w:rsidRPr="001455DC" w:rsidRDefault="00EA7C41" w:rsidP="00EA7C41">
            <w:pPr>
              <w:pStyle w:val="Tablebody"/>
              <w:jc w:val="center"/>
              <w:rPr>
                <w:szCs w:val="22"/>
              </w:rPr>
            </w:pPr>
            <w:r w:rsidRPr="001455DC">
              <w:rPr>
                <w:szCs w:val="22"/>
              </w:rPr>
              <w:t>0,91</w:t>
            </w:r>
          </w:p>
        </w:tc>
        <w:tc>
          <w:tcPr>
            <w:tcW w:w="2778" w:type="dxa"/>
            <w:tcBorders>
              <w:right w:val="nil"/>
            </w:tcBorders>
            <w:vAlign w:val="center"/>
          </w:tcPr>
          <w:p w14:paraId="67AFC16E" w14:textId="724ECA53" w:rsidR="00EA7C41" w:rsidRPr="001455DC" w:rsidRDefault="00231E33" w:rsidP="00292A00">
            <w:pPr>
              <w:pStyle w:val="Tablebody"/>
              <w:jc w:val="left"/>
              <w:rPr>
                <w:szCs w:val="22"/>
              </w:rPr>
            </w:pPr>
            <m:oMathPara>
              <m:oMathParaPr>
                <m:jc m:val="left"/>
              </m:oMathParaPr>
              <m:oMath>
                <m:sSub>
                  <m:sSubPr>
                    <m:ctrlPr>
                      <w:rPr>
                        <w:rFonts w:ascii="Cambria Math" w:hAnsi="Cambria Math"/>
                        <w:szCs w:val="22"/>
                      </w:rPr>
                    </m:ctrlPr>
                  </m:sSubPr>
                  <m:e>
                    <m:r>
                      <w:rPr>
                        <w:rFonts w:ascii="Cambria Math" w:hAnsi="Cambria Math"/>
                        <w:szCs w:val="22"/>
                      </w:rPr>
                      <m:t>η</m:t>
                    </m:r>
                  </m:e>
                  <m:sub>
                    <m:r>
                      <m:rPr>
                        <m:sty m:val="p"/>
                      </m:rPr>
                      <w:rPr>
                        <w:rFonts w:ascii="Cambria Math" w:hAnsi="Cambria Math"/>
                        <w:szCs w:val="22"/>
                      </w:rPr>
                      <m:t>lw,fc</m:t>
                    </m:r>
                  </m:sub>
                </m:sSub>
                <m:r>
                  <w:rPr>
                    <w:rFonts w:ascii="Cambria Math" w:hAnsi="Cambria Math"/>
                    <w:szCs w:val="22"/>
                  </w:rPr>
                  <m:t xml:space="preserve"> =</m:t>
                </m:r>
                <m:f>
                  <m:fPr>
                    <m:ctrlPr>
                      <w:rPr>
                        <w:rFonts w:ascii="Cambria Math" w:hAnsi="Cambria Math"/>
                        <w:szCs w:val="22"/>
                      </w:rPr>
                    </m:ctrlPr>
                  </m:fPr>
                  <m:num>
                    <m:r>
                      <w:rPr>
                        <w:rFonts w:ascii="Cambria Math" w:hAnsi="Cambria Math"/>
                        <w:szCs w:val="22"/>
                      </w:rPr>
                      <m:t>ρ</m:t>
                    </m:r>
                  </m:num>
                  <m:den>
                    <m:r>
                      <w:rPr>
                        <w:rFonts w:ascii="Cambria Math" w:hAnsi="Cambria Math"/>
                        <w:szCs w:val="22"/>
                      </w:rPr>
                      <m:t>2 200</m:t>
                    </m:r>
                  </m:den>
                </m:f>
              </m:oMath>
            </m:oMathPara>
          </w:p>
        </w:tc>
        <w:tc>
          <w:tcPr>
            <w:tcW w:w="681" w:type="dxa"/>
            <w:tcBorders>
              <w:left w:val="nil"/>
            </w:tcBorders>
            <w:vAlign w:val="center"/>
          </w:tcPr>
          <w:p w14:paraId="4AB40B7E" w14:textId="7FF7FCF2" w:rsidR="00EA7C41" w:rsidRPr="001455DC" w:rsidRDefault="00EA7C41" w:rsidP="00292A00">
            <w:pPr>
              <w:pStyle w:val="Tablebody"/>
              <w:jc w:val="right"/>
              <w:rPr>
                <w:szCs w:val="22"/>
              </w:rPr>
            </w:pPr>
            <w:r w:rsidRPr="001455DC">
              <w:rPr>
                <w:szCs w:val="22"/>
              </w:rPr>
              <w:t>(M.1)</w:t>
            </w:r>
          </w:p>
        </w:tc>
      </w:tr>
      <w:tr w:rsidR="00EA7C41" w:rsidRPr="001455DC" w14:paraId="27AFC6FB" w14:textId="77777777" w:rsidTr="00292A00">
        <w:trPr>
          <w:cantSplit/>
        </w:trPr>
        <w:tc>
          <w:tcPr>
            <w:tcW w:w="1191" w:type="dxa"/>
            <w:vAlign w:val="center"/>
          </w:tcPr>
          <w:p w14:paraId="68C907FD" w14:textId="78B8A793" w:rsidR="00EA7C41" w:rsidRPr="009D3012" w:rsidRDefault="00EA7C41" w:rsidP="00EA7C41">
            <w:pPr>
              <w:pStyle w:val="Tablebody"/>
              <w:jc w:val="center"/>
              <w:rPr>
                <w:sz w:val="20"/>
              </w:rPr>
            </w:pPr>
            <w:r w:rsidRPr="009D3012">
              <w:rPr>
                <w:b/>
                <w:sz w:val="20"/>
              </w:rPr>
              <w:t>Coefficient</w:t>
            </w:r>
            <w:r w:rsidRPr="009D3012">
              <w:rPr>
                <w:sz w:val="20"/>
              </w:rPr>
              <w:t xml:space="preserve"> </w:t>
            </w:r>
            <w:r w:rsidRPr="009D3012">
              <w:rPr>
                <w:rStyle w:val="CCMCvariableitalic"/>
                <w:sz w:val="20"/>
              </w:rPr>
              <w:t>η</w:t>
            </w:r>
            <w:r w:rsidRPr="009D3012">
              <w:rPr>
                <w:rStyle w:val="CCMCvariablesubscript"/>
                <w:sz w:val="20"/>
              </w:rPr>
              <w:t>lw,fct</w:t>
            </w:r>
          </w:p>
        </w:tc>
        <w:tc>
          <w:tcPr>
            <w:tcW w:w="851" w:type="dxa"/>
            <w:vAlign w:val="center"/>
          </w:tcPr>
          <w:p w14:paraId="03445127" w14:textId="77777777" w:rsidR="00EA7C41" w:rsidRPr="001455DC" w:rsidRDefault="00EA7C41" w:rsidP="00EA7C41">
            <w:pPr>
              <w:pStyle w:val="Tablebody"/>
              <w:jc w:val="center"/>
              <w:rPr>
                <w:szCs w:val="22"/>
              </w:rPr>
            </w:pPr>
            <w:r w:rsidRPr="001455DC">
              <w:rPr>
                <w:szCs w:val="22"/>
              </w:rPr>
              <w:t>0,67</w:t>
            </w:r>
          </w:p>
        </w:tc>
        <w:tc>
          <w:tcPr>
            <w:tcW w:w="851" w:type="dxa"/>
            <w:vAlign w:val="center"/>
          </w:tcPr>
          <w:p w14:paraId="6EE9E948" w14:textId="77777777" w:rsidR="00EA7C41" w:rsidRPr="001455DC" w:rsidRDefault="00EA7C41" w:rsidP="00EA7C41">
            <w:pPr>
              <w:pStyle w:val="Tablebody"/>
              <w:jc w:val="center"/>
              <w:rPr>
                <w:szCs w:val="22"/>
              </w:rPr>
            </w:pPr>
            <w:r w:rsidRPr="001455DC">
              <w:rPr>
                <w:szCs w:val="22"/>
              </w:rPr>
              <w:t>0,73</w:t>
            </w:r>
          </w:p>
        </w:tc>
        <w:tc>
          <w:tcPr>
            <w:tcW w:w="851" w:type="dxa"/>
            <w:vAlign w:val="center"/>
          </w:tcPr>
          <w:p w14:paraId="1EA75E21" w14:textId="77777777" w:rsidR="00EA7C41" w:rsidRPr="001455DC" w:rsidRDefault="00EA7C41" w:rsidP="00EA7C41">
            <w:pPr>
              <w:pStyle w:val="Tablebody"/>
              <w:jc w:val="center"/>
              <w:rPr>
                <w:szCs w:val="22"/>
              </w:rPr>
            </w:pPr>
            <w:r w:rsidRPr="001455DC">
              <w:rPr>
                <w:szCs w:val="22"/>
              </w:rPr>
              <w:t>0,78</w:t>
            </w:r>
          </w:p>
        </w:tc>
        <w:tc>
          <w:tcPr>
            <w:tcW w:w="851" w:type="dxa"/>
            <w:vAlign w:val="center"/>
          </w:tcPr>
          <w:p w14:paraId="15D2E2D8" w14:textId="77777777" w:rsidR="00EA7C41" w:rsidRPr="001455DC" w:rsidRDefault="00EA7C41" w:rsidP="00EA7C41">
            <w:pPr>
              <w:pStyle w:val="Tablebody"/>
              <w:jc w:val="center"/>
              <w:rPr>
                <w:szCs w:val="22"/>
              </w:rPr>
            </w:pPr>
            <w:r w:rsidRPr="001455DC">
              <w:rPr>
                <w:szCs w:val="22"/>
              </w:rPr>
              <w:t>0,84</w:t>
            </w:r>
          </w:p>
        </w:tc>
        <w:tc>
          <w:tcPr>
            <w:tcW w:w="851" w:type="dxa"/>
            <w:vAlign w:val="center"/>
          </w:tcPr>
          <w:p w14:paraId="56553D8D" w14:textId="77777777" w:rsidR="00EA7C41" w:rsidRPr="001455DC" w:rsidRDefault="00EA7C41" w:rsidP="00EA7C41">
            <w:pPr>
              <w:pStyle w:val="Tablebody"/>
              <w:jc w:val="center"/>
              <w:rPr>
                <w:szCs w:val="22"/>
              </w:rPr>
            </w:pPr>
            <w:r w:rsidRPr="001455DC">
              <w:rPr>
                <w:szCs w:val="22"/>
              </w:rPr>
              <w:t>0,89</w:t>
            </w:r>
          </w:p>
        </w:tc>
        <w:tc>
          <w:tcPr>
            <w:tcW w:w="851" w:type="dxa"/>
            <w:vAlign w:val="center"/>
          </w:tcPr>
          <w:p w14:paraId="1F273632" w14:textId="77777777" w:rsidR="00EA7C41" w:rsidRPr="001455DC" w:rsidRDefault="00EA7C41" w:rsidP="00EA7C41">
            <w:pPr>
              <w:pStyle w:val="Tablebody"/>
              <w:jc w:val="center"/>
              <w:rPr>
                <w:szCs w:val="22"/>
              </w:rPr>
            </w:pPr>
            <w:r w:rsidRPr="001455DC">
              <w:rPr>
                <w:szCs w:val="22"/>
              </w:rPr>
              <w:t>0,95</w:t>
            </w:r>
          </w:p>
        </w:tc>
        <w:tc>
          <w:tcPr>
            <w:tcW w:w="2778" w:type="dxa"/>
            <w:tcBorders>
              <w:right w:val="nil"/>
            </w:tcBorders>
            <w:vAlign w:val="center"/>
          </w:tcPr>
          <w:p w14:paraId="5F08AE30" w14:textId="5D3FC3FE" w:rsidR="00EA7C41" w:rsidRPr="001455DC" w:rsidRDefault="00231E33" w:rsidP="00292A00">
            <w:pPr>
              <w:pStyle w:val="Tablebody"/>
              <w:jc w:val="left"/>
              <w:rPr>
                <w:szCs w:val="22"/>
              </w:rPr>
            </w:pPr>
            <m:oMathPara>
              <m:oMathParaPr>
                <m:jc m:val="left"/>
              </m:oMathParaPr>
              <m:oMath>
                <m:sSub>
                  <m:sSubPr>
                    <m:ctrlPr>
                      <w:rPr>
                        <w:rFonts w:ascii="Cambria Math" w:hAnsi="Cambria Math"/>
                        <w:szCs w:val="22"/>
                      </w:rPr>
                    </m:ctrlPr>
                  </m:sSubPr>
                  <m:e>
                    <m:r>
                      <w:rPr>
                        <w:rFonts w:ascii="Cambria Math" w:hAnsi="Cambria Math"/>
                        <w:szCs w:val="22"/>
                      </w:rPr>
                      <m:t>η</m:t>
                    </m:r>
                  </m:e>
                  <m:sub>
                    <m:r>
                      <w:rPr>
                        <w:rFonts w:ascii="Cambria Math" w:hAnsi="Cambria Math"/>
                        <w:szCs w:val="22"/>
                      </w:rPr>
                      <m:t>l</m:t>
                    </m:r>
                    <m:r>
                      <m:rPr>
                        <m:sty m:val="p"/>
                      </m:rPr>
                      <w:rPr>
                        <w:rFonts w:ascii="Cambria Math" w:hAnsi="Cambria Math"/>
                        <w:szCs w:val="22"/>
                      </w:rPr>
                      <m:t>w,fct</m:t>
                    </m:r>
                  </m:sub>
                </m:sSub>
                <m:r>
                  <w:rPr>
                    <w:rFonts w:ascii="Cambria Math" w:hAnsi="Cambria Math"/>
                    <w:szCs w:val="22"/>
                  </w:rPr>
                  <m:t xml:space="preserve"> = 0,40+0,60</m:t>
                </m:r>
                <m:f>
                  <m:fPr>
                    <m:ctrlPr>
                      <w:rPr>
                        <w:rFonts w:ascii="Cambria Math" w:hAnsi="Cambria Math"/>
                        <w:szCs w:val="22"/>
                      </w:rPr>
                    </m:ctrlPr>
                  </m:fPr>
                  <m:num>
                    <m:r>
                      <w:rPr>
                        <w:rFonts w:ascii="Cambria Math" w:hAnsi="Cambria Math"/>
                        <w:szCs w:val="22"/>
                      </w:rPr>
                      <m:t>ρ</m:t>
                    </m:r>
                  </m:num>
                  <m:den>
                    <m:r>
                      <w:rPr>
                        <w:rFonts w:ascii="Cambria Math" w:hAnsi="Cambria Math"/>
                        <w:szCs w:val="22"/>
                      </w:rPr>
                      <m:t>2 200</m:t>
                    </m:r>
                  </m:den>
                </m:f>
              </m:oMath>
            </m:oMathPara>
          </w:p>
        </w:tc>
        <w:tc>
          <w:tcPr>
            <w:tcW w:w="681" w:type="dxa"/>
            <w:tcBorders>
              <w:left w:val="nil"/>
            </w:tcBorders>
            <w:vAlign w:val="center"/>
          </w:tcPr>
          <w:p w14:paraId="3E56EC30" w14:textId="2A24C0E4" w:rsidR="00EA7C41" w:rsidRPr="001455DC" w:rsidRDefault="00EA7C41" w:rsidP="00292A00">
            <w:pPr>
              <w:pStyle w:val="Tablebody"/>
              <w:jc w:val="right"/>
              <w:rPr>
                <w:szCs w:val="22"/>
              </w:rPr>
            </w:pPr>
            <w:r w:rsidRPr="001455DC">
              <w:rPr>
                <w:szCs w:val="22"/>
              </w:rPr>
              <w:t>(M.2)</w:t>
            </w:r>
          </w:p>
        </w:tc>
      </w:tr>
      <w:tr w:rsidR="00EA7C41" w:rsidRPr="001455DC" w14:paraId="3CA54AD7" w14:textId="77777777" w:rsidTr="00292A00">
        <w:trPr>
          <w:cantSplit/>
        </w:trPr>
        <w:tc>
          <w:tcPr>
            <w:tcW w:w="1191" w:type="dxa"/>
            <w:vAlign w:val="center"/>
          </w:tcPr>
          <w:p w14:paraId="1CD6C70F" w14:textId="5E226228" w:rsidR="00EA7C41" w:rsidRPr="009D3012" w:rsidRDefault="00EA7C41" w:rsidP="00EA7C41">
            <w:pPr>
              <w:pStyle w:val="Tablebody"/>
              <w:jc w:val="center"/>
              <w:rPr>
                <w:sz w:val="20"/>
              </w:rPr>
            </w:pPr>
            <w:r w:rsidRPr="009D3012">
              <w:rPr>
                <w:b/>
                <w:bCs/>
                <w:sz w:val="20"/>
              </w:rPr>
              <w:t xml:space="preserve">Coefficient </w:t>
            </w:r>
            <w:r w:rsidRPr="009D3012">
              <w:rPr>
                <w:rStyle w:val="CCMCvariableitalic"/>
                <w:sz w:val="20"/>
              </w:rPr>
              <w:t>η</w:t>
            </w:r>
            <w:r w:rsidRPr="009D3012">
              <w:rPr>
                <w:rStyle w:val="CCMCvariablesubscript"/>
                <w:sz w:val="20"/>
              </w:rPr>
              <w:t>lw,Ec</w:t>
            </w:r>
          </w:p>
        </w:tc>
        <w:tc>
          <w:tcPr>
            <w:tcW w:w="851" w:type="dxa"/>
            <w:vAlign w:val="center"/>
          </w:tcPr>
          <w:p w14:paraId="769F572C" w14:textId="77777777" w:rsidR="00EA7C41" w:rsidRPr="001455DC" w:rsidRDefault="00EA7C41" w:rsidP="00EA7C41">
            <w:pPr>
              <w:pStyle w:val="Tablebody"/>
              <w:jc w:val="center"/>
              <w:rPr>
                <w:szCs w:val="22"/>
              </w:rPr>
            </w:pPr>
            <w:r w:rsidRPr="001455DC">
              <w:rPr>
                <w:szCs w:val="22"/>
              </w:rPr>
              <w:t>0,21</w:t>
            </w:r>
          </w:p>
        </w:tc>
        <w:tc>
          <w:tcPr>
            <w:tcW w:w="851" w:type="dxa"/>
            <w:vAlign w:val="center"/>
          </w:tcPr>
          <w:p w14:paraId="59E0332F" w14:textId="77777777" w:rsidR="00EA7C41" w:rsidRPr="001455DC" w:rsidRDefault="00EA7C41" w:rsidP="00EA7C41">
            <w:pPr>
              <w:pStyle w:val="Tablebody"/>
              <w:jc w:val="center"/>
              <w:rPr>
                <w:szCs w:val="22"/>
              </w:rPr>
            </w:pPr>
            <w:r w:rsidRPr="001455DC">
              <w:rPr>
                <w:szCs w:val="22"/>
              </w:rPr>
              <w:t>0,30</w:t>
            </w:r>
          </w:p>
        </w:tc>
        <w:tc>
          <w:tcPr>
            <w:tcW w:w="851" w:type="dxa"/>
            <w:vAlign w:val="center"/>
          </w:tcPr>
          <w:p w14:paraId="09188A30" w14:textId="77777777" w:rsidR="00EA7C41" w:rsidRPr="001455DC" w:rsidRDefault="00EA7C41" w:rsidP="00EA7C41">
            <w:pPr>
              <w:pStyle w:val="Tablebody"/>
              <w:jc w:val="center"/>
              <w:rPr>
                <w:szCs w:val="22"/>
              </w:rPr>
            </w:pPr>
            <w:r w:rsidRPr="001455DC">
              <w:rPr>
                <w:szCs w:val="22"/>
              </w:rPr>
              <w:t>0,40</w:t>
            </w:r>
          </w:p>
        </w:tc>
        <w:tc>
          <w:tcPr>
            <w:tcW w:w="851" w:type="dxa"/>
            <w:vAlign w:val="center"/>
          </w:tcPr>
          <w:p w14:paraId="0D7A0D6F" w14:textId="77777777" w:rsidR="00EA7C41" w:rsidRPr="001455DC" w:rsidRDefault="00EA7C41" w:rsidP="00EA7C41">
            <w:pPr>
              <w:pStyle w:val="Tablebody"/>
              <w:jc w:val="center"/>
              <w:rPr>
                <w:szCs w:val="22"/>
              </w:rPr>
            </w:pPr>
            <w:r w:rsidRPr="001455DC">
              <w:rPr>
                <w:szCs w:val="22"/>
              </w:rPr>
              <w:t>0,53</w:t>
            </w:r>
          </w:p>
        </w:tc>
        <w:tc>
          <w:tcPr>
            <w:tcW w:w="851" w:type="dxa"/>
            <w:vAlign w:val="center"/>
          </w:tcPr>
          <w:p w14:paraId="1E62256E" w14:textId="77777777" w:rsidR="00EA7C41" w:rsidRPr="001455DC" w:rsidRDefault="00EA7C41" w:rsidP="00EA7C41">
            <w:pPr>
              <w:pStyle w:val="Tablebody"/>
              <w:jc w:val="center"/>
              <w:rPr>
                <w:szCs w:val="22"/>
              </w:rPr>
            </w:pPr>
            <w:r w:rsidRPr="001455DC">
              <w:rPr>
                <w:szCs w:val="22"/>
              </w:rPr>
              <w:t>0,67</w:t>
            </w:r>
          </w:p>
        </w:tc>
        <w:tc>
          <w:tcPr>
            <w:tcW w:w="851" w:type="dxa"/>
            <w:vAlign w:val="center"/>
          </w:tcPr>
          <w:p w14:paraId="3642B917" w14:textId="77777777" w:rsidR="00EA7C41" w:rsidRPr="001455DC" w:rsidRDefault="00EA7C41" w:rsidP="00EA7C41">
            <w:pPr>
              <w:pStyle w:val="Tablebody"/>
              <w:jc w:val="center"/>
              <w:rPr>
                <w:szCs w:val="22"/>
              </w:rPr>
            </w:pPr>
            <w:r w:rsidRPr="001455DC">
              <w:rPr>
                <w:szCs w:val="22"/>
              </w:rPr>
              <w:t>0,83</w:t>
            </w:r>
          </w:p>
        </w:tc>
        <w:tc>
          <w:tcPr>
            <w:tcW w:w="2778" w:type="dxa"/>
            <w:tcBorders>
              <w:right w:val="nil"/>
            </w:tcBorders>
            <w:vAlign w:val="center"/>
          </w:tcPr>
          <w:p w14:paraId="4052D1FB" w14:textId="2C6FF8DE" w:rsidR="00EA7C41" w:rsidRPr="001455DC" w:rsidRDefault="00231E33" w:rsidP="00292A00">
            <w:pPr>
              <w:pStyle w:val="Tablebody"/>
              <w:jc w:val="left"/>
              <w:rPr>
                <w:szCs w:val="22"/>
              </w:rPr>
            </w:pPr>
            <m:oMathPara>
              <m:oMathParaPr>
                <m:jc m:val="left"/>
              </m:oMathParaPr>
              <m:oMath>
                <m:sSub>
                  <m:sSubPr>
                    <m:ctrlPr>
                      <w:rPr>
                        <w:rFonts w:ascii="Cambria Math" w:hAnsi="Cambria Math"/>
                        <w:szCs w:val="22"/>
                      </w:rPr>
                    </m:ctrlPr>
                  </m:sSubPr>
                  <m:e>
                    <m:r>
                      <w:rPr>
                        <w:rFonts w:ascii="Cambria Math" w:hAnsi="Cambria Math"/>
                        <w:szCs w:val="22"/>
                      </w:rPr>
                      <m:t>η</m:t>
                    </m:r>
                  </m:e>
                  <m:sub>
                    <m:r>
                      <w:rPr>
                        <w:rFonts w:ascii="Cambria Math" w:hAnsi="Cambria Math"/>
                        <w:szCs w:val="22"/>
                      </w:rPr>
                      <m:t>l</m:t>
                    </m:r>
                    <m:r>
                      <m:rPr>
                        <m:sty m:val="p"/>
                      </m:rPr>
                      <w:rPr>
                        <w:rFonts w:ascii="Cambria Math" w:hAnsi="Cambria Math"/>
                        <w:szCs w:val="22"/>
                      </w:rPr>
                      <m:t>w,Ec</m:t>
                    </m:r>
                  </m:sub>
                </m:sSub>
                <m:r>
                  <w:rPr>
                    <w:rFonts w:ascii="Cambria Math" w:hAnsi="Cambria Math"/>
                    <w:szCs w:val="22"/>
                  </w:rPr>
                  <m:t xml:space="preserve"> = </m:t>
                </m:r>
                <m:sSup>
                  <m:sSupPr>
                    <m:ctrlPr>
                      <w:rPr>
                        <w:rFonts w:ascii="Cambria Math" w:hAnsi="Cambria Math"/>
                        <w:szCs w:val="22"/>
                      </w:rPr>
                    </m:ctrlPr>
                  </m:sSupPr>
                  <m:e>
                    <m:d>
                      <m:dPr>
                        <m:ctrlPr>
                          <w:rPr>
                            <w:rFonts w:ascii="Cambria Math" w:hAnsi="Cambria Math"/>
                            <w:szCs w:val="22"/>
                          </w:rPr>
                        </m:ctrlPr>
                      </m:dPr>
                      <m:e>
                        <m:f>
                          <m:fPr>
                            <m:ctrlPr>
                              <w:rPr>
                                <w:rFonts w:ascii="Cambria Math" w:hAnsi="Cambria Math"/>
                                <w:szCs w:val="22"/>
                              </w:rPr>
                            </m:ctrlPr>
                          </m:fPr>
                          <m:num>
                            <m:r>
                              <w:rPr>
                                <w:rFonts w:ascii="Cambria Math" w:hAnsi="Cambria Math"/>
                                <w:szCs w:val="22"/>
                              </w:rPr>
                              <m:t>ρ</m:t>
                            </m:r>
                          </m:num>
                          <m:den>
                            <m:r>
                              <w:rPr>
                                <w:rFonts w:ascii="Cambria Math" w:hAnsi="Cambria Math"/>
                                <w:szCs w:val="22"/>
                              </w:rPr>
                              <m:t>2 200</m:t>
                            </m:r>
                          </m:den>
                        </m:f>
                      </m:e>
                    </m:d>
                  </m:e>
                  <m:sup>
                    <m:r>
                      <w:rPr>
                        <w:rFonts w:ascii="Cambria Math" w:hAnsi="Cambria Math"/>
                        <w:szCs w:val="22"/>
                      </w:rPr>
                      <m:t>2</m:t>
                    </m:r>
                  </m:sup>
                </m:sSup>
              </m:oMath>
            </m:oMathPara>
          </w:p>
        </w:tc>
        <w:tc>
          <w:tcPr>
            <w:tcW w:w="681" w:type="dxa"/>
            <w:tcBorders>
              <w:left w:val="nil"/>
              <w:bottom w:val="single" w:sz="12" w:space="0" w:color="000000"/>
            </w:tcBorders>
            <w:vAlign w:val="center"/>
          </w:tcPr>
          <w:p w14:paraId="38C36FD0" w14:textId="6A9DBC6F" w:rsidR="00EA7C41" w:rsidRPr="001455DC" w:rsidRDefault="00EA7C41" w:rsidP="00292A00">
            <w:pPr>
              <w:pStyle w:val="Tablebody"/>
              <w:jc w:val="right"/>
              <w:rPr>
                <w:szCs w:val="22"/>
              </w:rPr>
            </w:pPr>
            <w:r w:rsidRPr="001455DC">
              <w:rPr>
                <w:szCs w:val="22"/>
              </w:rPr>
              <w:t>(M.3)</w:t>
            </w:r>
          </w:p>
        </w:tc>
      </w:tr>
    </w:tbl>
    <w:p w14:paraId="2C34F080" w14:textId="77777777" w:rsidR="004E22C1" w:rsidRPr="001455DC" w:rsidRDefault="004E22C1" w:rsidP="004C68F7">
      <w:pPr>
        <w:pStyle w:val="a7"/>
      </w:pPr>
    </w:p>
    <w:p w14:paraId="05FB228A" w14:textId="77777777" w:rsidR="004E22C1" w:rsidRPr="001455DC" w:rsidRDefault="004E22C1" w:rsidP="007E5401">
      <w:pPr>
        <w:pStyle w:val="Tabletitle"/>
        <w:pageBreakBefore/>
        <w:spacing w:before="0"/>
      </w:pPr>
      <w:bookmarkStart w:id="2428" w:name="_Toc54337879"/>
      <w:r w:rsidRPr="001455DC">
        <w:t>Table M.2</w:t>
      </w:r>
      <w:r w:rsidRPr="001455DC">
        <w:rPr>
          <w:lang w:eastAsia="ja-JP"/>
        </w:rPr>
        <w:t xml:space="preserve"> — </w:t>
      </w:r>
      <w:r w:rsidRPr="001455DC">
        <w:t>Special provisions for LWAC</w:t>
      </w:r>
      <w:bookmarkEnd w:id="2428"/>
    </w:p>
    <w:tbl>
      <w:tblPr>
        <w:tblStyle w:val="53"/>
        <w:tblW w:w="9752" w:type="dxa"/>
        <w:tblLayout w:type="fixed"/>
        <w:tblCellMar>
          <w:left w:w="56" w:type="dxa"/>
          <w:right w:w="56" w:type="dxa"/>
        </w:tblCellMar>
        <w:tblLook w:val="0620" w:firstRow="1" w:lastRow="0" w:firstColumn="0" w:lastColumn="0" w:noHBand="1" w:noVBand="1"/>
      </w:tblPr>
      <w:tblGrid>
        <w:gridCol w:w="1247"/>
        <w:gridCol w:w="2608"/>
        <w:gridCol w:w="5103"/>
        <w:gridCol w:w="794"/>
      </w:tblGrid>
      <w:tr w:rsidR="004E22C1" w:rsidRPr="001455DC" w14:paraId="6BA37E58" w14:textId="77777777" w:rsidTr="00A151D3">
        <w:trPr>
          <w:cnfStyle w:val="100000000000" w:firstRow="1" w:lastRow="0" w:firstColumn="0" w:lastColumn="0" w:oddVBand="0" w:evenVBand="0" w:oddHBand="0" w:evenHBand="0" w:firstRowFirstColumn="0" w:firstRowLastColumn="0" w:lastRowFirstColumn="0" w:lastRowLastColumn="0"/>
          <w:cantSplit/>
          <w:tblHeader/>
        </w:trPr>
        <w:tc>
          <w:tcPr>
            <w:tcW w:w="1247" w:type="dxa"/>
          </w:tcPr>
          <w:p w14:paraId="0E68B8EA" w14:textId="77777777" w:rsidR="004E22C1" w:rsidRPr="001455DC" w:rsidRDefault="004E22C1" w:rsidP="009A1397">
            <w:pPr>
              <w:pStyle w:val="Tableheader"/>
            </w:pPr>
            <w:r w:rsidRPr="001455DC">
              <w:t>Reference to original clause</w:t>
            </w:r>
          </w:p>
        </w:tc>
        <w:tc>
          <w:tcPr>
            <w:tcW w:w="2608" w:type="dxa"/>
          </w:tcPr>
          <w:p w14:paraId="628AA5FF" w14:textId="77777777" w:rsidR="004E22C1" w:rsidRPr="009D3012" w:rsidRDefault="004E22C1" w:rsidP="009A1397">
            <w:pPr>
              <w:pStyle w:val="Tableheader"/>
              <w:rPr>
                <w:lang w:val="en-US"/>
              </w:rPr>
            </w:pPr>
            <w:r w:rsidRPr="009D3012">
              <w:rPr>
                <w:lang w:val="en-US"/>
              </w:rPr>
              <w:t>Values and terms to be modified for lightweight aggregate concrete</w:t>
            </w:r>
          </w:p>
        </w:tc>
        <w:tc>
          <w:tcPr>
            <w:tcW w:w="5897" w:type="dxa"/>
            <w:gridSpan w:val="2"/>
          </w:tcPr>
          <w:p w14:paraId="7C0F224A" w14:textId="77777777" w:rsidR="004E22C1" w:rsidRPr="009D3012" w:rsidRDefault="004E22C1" w:rsidP="009A1397">
            <w:pPr>
              <w:pStyle w:val="Tableheader"/>
              <w:rPr>
                <w:lang w:val="en-US"/>
              </w:rPr>
            </w:pPr>
            <w:r w:rsidRPr="009D3012">
              <w:rPr>
                <w:lang w:val="en-US"/>
              </w:rPr>
              <w:t>Provisions and formulae for lightweight aggregate concrete</w:t>
            </w:r>
          </w:p>
        </w:tc>
      </w:tr>
      <w:tr w:rsidR="004E22C1" w:rsidRPr="001455DC" w14:paraId="0481ADBC" w14:textId="77777777" w:rsidTr="00A151D3">
        <w:trPr>
          <w:cantSplit/>
        </w:trPr>
        <w:tc>
          <w:tcPr>
            <w:tcW w:w="1247" w:type="dxa"/>
            <w:vAlign w:val="center"/>
          </w:tcPr>
          <w:p w14:paraId="7A32F3C5" w14:textId="77777777" w:rsidR="004E22C1" w:rsidRPr="001455DC" w:rsidRDefault="004E22C1" w:rsidP="009A1397">
            <w:pPr>
              <w:pStyle w:val="Tablebody"/>
              <w:jc w:val="left"/>
            </w:pPr>
            <w:r w:rsidRPr="001455DC">
              <w:t>5.1.3(3)</w:t>
            </w:r>
          </w:p>
        </w:tc>
        <w:tc>
          <w:tcPr>
            <w:tcW w:w="2608" w:type="dxa"/>
            <w:vAlign w:val="center"/>
          </w:tcPr>
          <w:p w14:paraId="0FBECBDF" w14:textId="77777777" w:rsidR="004E22C1" w:rsidRPr="001455DC" w:rsidRDefault="004E22C1" w:rsidP="009A1397">
            <w:pPr>
              <w:pStyle w:val="Tablebody"/>
              <w:jc w:val="left"/>
            </w:pPr>
            <w:r w:rsidRPr="001455DC">
              <w:t>Maximum compressive strength</w:t>
            </w:r>
          </w:p>
        </w:tc>
        <w:tc>
          <w:tcPr>
            <w:tcW w:w="5897" w:type="dxa"/>
            <w:gridSpan w:val="2"/>
            <w:vAlign w:val="center"/>
          </w:tcPr>
          <w:p w14:paraId="259FF4DE" w14:textId="0F0B0908" w:rsidR="004E22C1" w:rsidRPr="001455DC" w:rsidRDefault="004E22C1" w:rsidP="009A1397">
            <w:pPr>
              <w:pStyle w:val="Tablebody"/>
              <w:jc w:val="left"/>
            </w:pPr>
            <w:r w:rsidRPr="001455DC">
              <w:rPr>
                <w:rStyle w:val="CCMCvariableitalic"/>
              </w:rPr>
              <w:t>f</w:t>
            </w:r>
            <w:r w:rsidRPr="001455DC">
              <w:rPr>
                <w:rStyle w:val="CCMCvariablesubscript"/>
              </w:rPr>
              <w:t>ck</w:t>
            </w:r>
            <w:r w:rsidRPr="001455DC">
              <w:t> </w:t>
            </w:r>
            <w:r w:rsidR="00650035" w:rsidRPr="001455DC">
              <w:rPr>
                <w:rFonts w:ascii="Cambria Math" w:hAnsi="Cambria Math"/>
              </w:rPr>
              <w:t>≤</w:t>
            </w:r>
            <w:r w:rsidRPr="001455DC">
              <w:t> 80 MPa</w:t>
            </w:r>
          </w:p>
        </w:tc>
      </w:tr>
      <w:tr w:rsidR="004E22C1" w:rsidRPr="001455DC" w14:paraId="0401ABAC" w14:textId="77777777" w:rsidTr="00A151D3">
        <w:trPr>
          <w:cantSplit/>
        </w:trPr>
        <w:tc>
          <w:tcPr>
            <w:tcW w:w="1247" w:type="dxa"/>
            <w:vAlign w:val="center"/>
          </w:tcPr>
          <w:p w14:paraId="7DF2CAE7" w14:textId="77777777" w:rsidR="004E22C1" w:rsidRPr="001455DC" w:rsidRDefault="004E22C1" w:rsidP="009A1397">
            <w:pPr>
              <w:pStyle w:val="Tablebody"/>
              <w:jc w:val="left"/>
            </w:pPr>
            <w:r w:rsidRPr="001455DC">
              <w:t>Table 5.1</w:t>
            </w:r>
          </w:p>
        </w:tc>
        <w:tc>
          <w:tcPr>
            <w:tcW w:w="2608" w:type="dxa"/>
            <w:vAlign w:val="center"/>
          </w:tcPr>
          <w:p w14:paraId="665EF64D" w14:textId="77777777" w:rsidR="004E22C1" w:rsidRPr="009D3012" w:rsidRDefault="004E22C1" w:rsidP="009A1397">
            <w:pPr>
              <w:pStyle w:val="Tablebody"/>
              <w:jc w:val="left"/>
              <w:rPr>
                <w:lang w:val="en-US"/>
              </w:rPr>
            </w:pPr>
            <w:r w:rsidRPr="009D3012">
              <w:rPr>
                <w:lang w:val="en-US"/>
              </w:rPr>
              <w:t xml:space="preserve">Mean value of concrete cylinder compressive strength </w:t>
            </w:r>
            <w:r w:rsidRPr="009D3012">
              <w:rPr>
                <w:rStyle w:val="CCMCvariableitalic"/>
                <w:lang w:val="en-US"/>
              </w:rPr>
              <w:t>f</w:t>
            </w:r>
            <w:r w:rsidRPr="009D3012">
              <w:rPr>
                <w:rStyle w:val="CCMCvariablesubscript"/>
                <w:lang w:val="en-US"/>
              </w:rPr>
              <w:t>cm</w:t>
            </w:r>
            <w:r w:rsidRPr="009D3012">
              <w:rPr>
                <w:lang w:val="en-US"/>
              </w:rPr>
              <w:t xml:space="preserve"> </w:t>
            </w:r>
          </w:p>
        </w:tc>
        <w:tc>
          <w:tcPr>
            <w:tcW w:w="5897" w:type="dxa"/>
            <w:gridSpan w:val="2"/>
            <w:vAlign w:val="center"/>
          </w:tcPr>
          <w:p w14:paraId="641BE7E0" w14:textId="03E14F8A" w:rsidR="004E22C1" w:rsidRPr="009D3012" w:rsidRDefault="004E22C1" w:rsidP="009A1397">
            <w:pPr>
              <w:pStyle w:val="Tablebody"/>
              <w:jc w:val="left"/>
              <w:rPr>
                <w:lang w:val="en-US"/>
              </w:rPr>
            </w:pPr>
            <w:r w:rsidRPr="009D3012">
              <w:rPr>
                <w:rStyle w:val="CCMCvariableitalic"/>
                <w:lang w:val="en-US"/>
              </w:rPr>
              <w:t>f</w:t>
            </w:r>
            <w:r w:rsidRPr="009D3012">
              <w:rPr>
                <w:rStyle w:val="CCMCvariablesubscript"/>
                <w:lang w:val="en-US"/>
              </w:rPr>
              <w:t>cm</w:t>
            </w:r>
            <w:r w:rsidRPr="009D3012">
              <w:rPr>
                <w:lang w:val="en-US"/>
              </w:rPr>
              <w:t> </w:t>
            </w:r>
            <w:r w:rsidR="00EC27D2" w:rsidRPr="009D3012">
              <w:rPr>
                <w:rFonts w:ascii="Cambria Math" w:hAnsi="Cambria Math"/>
                <w:lang w:val="en-US"/>
              </w:rPr>
              <w:t>=</w:t>
            </w:r>
            <w:r w:rsidRPr="009D3012">
              <w:rPr>
                <w:lang w:val="en-US"/>
              </w:rPr>
              <w:t xml:space="preserve"> 17 MPa for </w:t>
            </w:r>
            <w:r w:rsidRPr="009D3012">
              <w:rPr>
                <w:rStyle w:val="CCMCvariableitalic"/>
                <w:lang w:val="en-US"/>
              </w:rPr>
              <w:t>f</w:t>
            </w:r>
            <w:r w:rsidRPr="009D3012">
              <w:rPr>
                <w:rStyle w:val="CCMCvariablesubscript"/>
                <w:lang w:val="en-US"/>
              </w:rPr>
              <w:t>ck</w:t>
            </w:r>
            <w:r w:rsidRPr="009D3012">
              <w:rPr>
                <w:lang w:val="en-US"/>
              </w:rPr>
              <w:t> </w:t>
            </w:r>
            <w:r w:rsidR="00EC27D2" w:rsidRPr="009D3012">
              <w:rPr>
                <w:rFonts w:ascii="Cambria Math" w:hAnsi="Cambria Math"/>
                <w:lang w:val="en-US"/>
              </w:rPr>
              <w:t>=</w:t>
            </w:r>
            <w:r w:rsidRPr="009D3012">
              <w:rPr>
                <w:lang w:val="en-US"/>
              </w:rPr>
              <w:t> 12 MPa;</w:t>
            </w:r>
          </w:p>
          <w:p w14:paraId="1D9B588A" w14:textId="746A8ACB" w:rsidR="004E22C1" w:rsidRPr="009D3012" w:rsidRDefault="004E22C1" w:rsidP="009A1397">
            <w:pPr>
              <w:pStyle w:val="Tablebody"/>
              <w:jc w:val="left"/>
              <w:rPr>
                <w:lang w:val="en-US"/>
              </w:rPr>
            </w:pPr>
            <w:r w:rsidRPr="009D3012">
              <w:rPr>
                <w:rStyle w:val="CCMCvariableitalic"/>
                <w:lang w:val="en-US"/>
              </w:rPr>
              <w:t>f</w:t>
            </w:r>
            <w:r w:rsidRPr="009D3012">
              <w:rPr>
                <w:rStyle w:val="CCMCvariablesubscript"/>
                <w:lang w:val="en-US"/>
              </w:rPr>
              <w:t>cm</w:t>
            </w:r>
            <w:r w:rsidRPr="009D3012">
              <w:rPr>
                <w:lang w:val="en-US"/>
              </w:rPr>
              <w:t> </w:t>
            </w:r>
            <w:r w:rsidR="00EC27D2" w:rsidRPr="009D3012">
              <w:rPr>
                <w:rFonts w:ascii="Cambria Math" w:hAnsi="Cambria Math"/>
                <w:lang w:val="en-US"/>
              </w:rPr>
              <w:t>=</w:t>
            </w:r>
            <w:r w:rsidRPr="009D3012">
              <w:rPr>
                <w:lang w:val="en-US"/>
              </w:rPr>
              <w:t xml:space="preserve"> 22 MPa for </w:t>
            </w:r>
            <w:r w:rsidRPr="009D3012">
              <w:rPr>
                <w:rStyle w:val="CCMCvariableitalic"/>
                <w:lang w:val="en-US"/>
              </w:rPr>
              <w:t>f</w:t>
            </w:r>
            <w:r w:rsidRPr="009D3012">
              <w:rPr>
                <w:rStyle w:val="CCMCvariablesubscript"/>
                <w:lang w:val="en-US"/>
              </w:rPr>
              <w:t>ck</w:t>
            </w:r>
            <w:r w:rsidRPr="009D3012">
              <w:rPr>
                <w:lang w:val="en-US"/>
              </w:rPr>
              <w:t> </w:t>
            </w:r>
            <w:r w:rsidR="00EC27D2" w:rsidRPr="009D3012">
              <w:rPr>
                <w:rFonts w:ascii="Cambria Math" w:hAnsi="Cambria Math"/>
                <w:lang w:val="en-US"/>
              </w:rPr>
              <w:t>=</w:t>
            </w:r>
            <w:r w:rsidRPr="009D3012">
              <w:rPr>
                <w:lang w:val="en-US"/>
              </w:rPr>
              <w:t> 16 MPa;</w:t>
            </w:r>
          </w:p>
          <w:p w14:paraId="6BA069A4" w14:textId="1366440A" w:rsidR="004E22C1" w:rsidRPr="009D3012" w:rsidRDefault="004E22C1" w:rsidP="009A1397">
            <w:pPr>
              <w:pStyle w:val="Tablebody"/>
              <w:jc w:val="left"/>
              <w:rPr>
                <w:lang w:val="en-US"/>
              </w:rPr>
            </w:pPr>
            <w:r w:rsidRPr="009D3012">
              <w:rPr>
                <w:lang w:val="en-US"/>
              </w:rPr>
              <w:t xml:space="preserve">values given in Table 5.1 for </w:t>
            </w:r>
            <w:r w:rsidRPr="009D3012">
              <w:rPr>
                <w:rStyle w:val="CCMCvariableitalic"/>
                <w:lang w:val="en-US"/>
              </w:rPr>
              <w:t>f</w:t>
            </w:r>
            <w:r w:rsidRPr="009D3012">
              <w:rPr>
                <w:rStyle w:val="CCMCvariablesubscript"/>
                <w:lang w:val="en-US"/>
              </w:rPr>
              <w:t>ck</w:t>
            </w:r>
            <w:r w:rsidRPr="009D3012">
              <w:rPr>
                <w:lang w:val="en-US"/>
              </w:rPr>
              <w:t> </w:t>
            </w:r>
            <w:r w:rsidR="00650035" w:rsidRPr="009D3012">
              <w:rPr>
                <w:rFonts w:ascii="Cambria Math" w:hAnsi="Cambria Math"/>
                <w:lang w:val="en-US"/>
              </w:rPr>
              <w:t>≥</w:t>
            </w:r>
            <w:r w:rsidR="00073FC6" w:rsidRPr="009D3012">
              <w:rPr>
                <w:lang w:val="en-US"/>
              </w:rPr>
              <w:t> </w:t>
            </w:r>
            <w:r w:rsidRPr="009D3012">
              <w:rPr>
                <w:lang w:val="en-US"/>
              </w:rPr>
              <w:t>20 MPa.</w:t>
            </w:r>
          </w:p>
        </w:tc>
      </w:tr>
      <w:tr w:rsidR="004E22C1" w:rsidRPr="001455DC" w14:paraId="4C216868" w14:textId="77777777" w:rsidTr="00A151D3">
        <w:trPr>
          <w:cantSplit/>
        </w:trPr>
        <w:tc>
          <w:tcPr>
            <w:tcW w:w="1247" w:type="dxa"/>
            <w:vAlign w:val="center"/>
          </w:tcPr>
          <w:p w14:paraId="4F2398F6" w14:textId="77777777" w:rsidR="004E22C1" w:rsidRPr="001455DC" w:rsidRDefault="004E22C1" w:rsidP="009A1397">
            <w:pPr>
              <w:pStyle w:val="Tablebody"/>
              <w:jc w:val="left"/>
            </w:pPr>
            <w:r w:rsidRPr="001455DC">
              <w:t>Table 5.1</w:t>
            </w:r>
          </w:p>
        </w:tc>
        <w:tc>
          <w:tcPr>
            <w:tcW w:w="2608" w:type="dxa"/>
            <w:vAlign w:val="center"/>
          </w:tcPr>
          <w:p w14:paraId="23AFE70B" w14:textId="77777777" w:rsidR="004E22C1" w:rsidRPr="009D3012" w:rsidRDefault="004E22C1" w:rsidP="009A1397">
            <w:pPr>
              <w:pStyle w:val="Tablebody"/>
              <w:jc w:val="left"/>
              <w:rPr>
                <w:lang w:val="en-US"/>
              </w:rPr>
            </w:pPr>
            <w:r w:rsidRPr="009D3012">
              <w:rPr>
                <w:lang w:val="en-US"/>
              </w:rPr>
              <w:t xml:space="preserve">Concrete tensile strength </w:t>
            </w:r>
            <w:r w:rsidRPr="009D3012">
              <w:rPr>
                <w:rStyle w:val="CCMCvariableitalic"/>
                <w:lang w:val="en-US"/>
              </w:rPr>
              <w:t>f</w:t>
            </w:r>
            <w:r w:rsidRPr="009D3012">
              <w:rPr>
                <w:rStyle w:val="CCMCvariablesubscript"/>
                <w:lang w:val="en-US"/>
              </w:rPr>
              <w:t>ctm</w:t>
            </w:r>
            <w:r w:rsidRPr="009D3012">
              <w:rPr>
                <w:lang w:val="en-US"/>
              </w:rPr>
              <w:t xml:space="preserve">, </w:t>
            </w:r>
            <w:r w:rsidRPr="009D3012">
              <w:rPr>
                <w:rStyle w:val="CCMCvariableitalic"/>
                <w:lang w:val="en-US"/>
              </w:rPr>
              <w:t>f</w:t>
            </w:r>
            <w:r w:rsidRPr="009D3012">
              <w:rPr>
                <w:rStyle w:val="CCMCvariablesubscript"/>
                <w:lang w:val="en-US"/>
              </w:rPr>
              <w:t>ctk,0,05</w:t>
            </w:r>
            <w:r w:rsidRPr="009D3012">
              <w:rPr>
                <w:lang w:val="en-US"/>
              </w:rPr>
              <w:t xml:space="preserve">, </w:t>
            </w:r>
            <w:r w:rsidRPr="009D3012">
              <w:rPr>
                <w:rStyle w:val="CCMCvariableitalic"/>
                <w:lang w:val="en-US"/>
              </w:rPr>
              <w:t>f</w:t>
            </w:r>
            <w:r w:rsidRPr="009D3012">
              <w:rPr>
                <w:rStyle w:val="CCMCvariablesubscript"/>
                <w:lang w:val="en-US"/>
              </w:rPr>
              <w:t>ctk,0,95</w:t>
            </w:r>
            <w:r w:rsidRPr="009D3012">
              <w:rPr>
                <w:lang w:val="en-US"/>
              </w:rPr>
              <w:t xml:space="preserve"> </w:t>
            </w:r>
          </w:p>
        </w:tc>
        <w:tc>
          <w:tcPr>
            <w:tcW w:w="5897" w:type="dxa"/>
            <w:gridSpan w:val="2"/>
            <w:vAlign w:val="center"/>
          </w:tcPr>
          <w:p w14:paraId="2E3F4406" w14:textId="77777777" w:rsidR="004E22C1" w:rsidRPr="009D3012" w:rsidRDefault="004E22C1" w:rsidP="009A1397">
            <w:pPr>
              <w:pStyle w:val="Tablebody"/>
              <w:jc w:val="left"/>
              <w:rPr>
                <w:lang w:val="en-US"/>
              </w:rPr>
            </w:pPr>
            <w:r w:rsidRPr="009D3012">
              <w:rPr>
                <w:lang w:val="en-US"/>
              </w:rPr>
              <w:t xml:space="preserve">The tensile strength may be obtained by multiplying the values given in Table 5.1 by coefficient </w:t>
            </w:r>
            <w:r w:rsidRPr="001455DC">
              <w:rPr>
                <w:rStyle w:val="CCMCvariableitalic"/>
              </w:rPr>
              <w:t>η</w:t>
            </w:r>
            <w:r w:rsidRPr="009D3012">
              <w:rPr>
                <w:rStyle w:val="CCMCvariablesubscript"/>
                <w:lang w:val="en-US"/>
              </w:rPr>
              <w:t>lw,fct</w:t>
            </w:r>
            <w:r w:rsidRPr="009D3012">
              <w:rPr>
                <w:lang w:val="en-US"/>
              </w:rPr>
              <w:t xml:space="preserve"> given in Table M.1.</w:t>
            </w:r>
          </w:p>
        </w:tc>
      </w:tr>
      <w:tr w:rsidR="004E22C1" w:rsidRPr="001455DC" w14:paraId="350FA396" w14:textId="77777777" w:rsidTr="00A151D3">
        <w:trPr>
          <w:cantSplit/>
        </w:trPr>
        <w:tc>
          <w:tcPr>
            <w:tcW w:w="1247" w:type="dxa"/>
            <w:vAlign w:val="center"/>
          </w:tcPr>
          <w:p w14:paraId="38AF2989" w14:textId="77777777" w:rsidR="004E22C1" w:rsidRPr="001455DC" w:rsidRDefault="004E22C1" w:rsidP="009A1397">
            <w:pPr>
              <w:pStyle w:val="Tablebody"/>
              <w:jc w:val="left"/>
            </w:pPr>
            <w:r w:rsidRPr="001455DC">
              <w:t>5.1.4</w:t>
            </w:r>
          </w:p>
        </w:tc>
        <w:tc>
          <w:tcPr>
            <w:tcW w:w="2608" w:type="dxa"/>
            <w:vAlign w:val="center"/>
          </w:tcPr>
          <w:p w14:paraId="32D938BF" w14:textId="77777777" w:rsidR="004E22C1" w:rsidRPr="001455DC" w:rsidRDefault="004E22C1" w:rsidP="009A1397">
            <w:pPr>
              <w:pStyle w:val="Tablebody"/>
              <w:jc w:val="left"/>
            </w:pPr>
            <w:r w:rsidRPr="001455DC">
              <w:t xml:space="preserve">Modulus of elasticity </w:t>
            </w:r>
            <w:r w:rsidRPr="001455DC">
              <w:rPr>
                <w:rStyle w:val="CCMCvariableitalic"/>
              </w:rPr>
              <w:t>E</w:t>
            </w:r>
            <w:r w:rsidRPr="001455DC">
              <w:rPr>
                <w:rStyle w:val="CCMCvariablesubscript"/>
              </w:rPr>
              <w:t>cm</w:t>
            </w:r>
          </w:p>
        </w:tc>
        <w:tc>
          <w:tcPr>
            <w:tcW w:w="5897" w:type="dxa"/>
            <w:gridSpan w:val="2"/>
            <w:vAlign w:val="center"/>
          </w:tcPr>
          <w:p w14:paraId="5262D845" w14:textId="77777777" w:rsidR="004E22C1" w:rsidRPr="009D3012" w:rsidRDefault="004E22C1" w:rsidP="009A1397">
            <w:pPr>
              <w:pStyle w:val="Tablebody"/>
              <w:jc w:val="left"/>
              <w:rPr>
                <w:lang w:val="en-US"/>
              </w:rPr>
            </w:pPr>
            <w:r w:rsidRPr="009D3012">
              <w:rPr>
                <w:lang w:val="en-US"/>
              </w:rPr>
              <w:t xml:space="preserve">An estimate of the mean values of the secant modulus </w:t>
            </w:r>
            <w:r w:rsidRPr="009D3012">
              <w:rPr>
                <w:rStyle w:val="CCMCvariableitalic"/>
                <w:lang w:val="en-US"/>
              </w:rPr>
              <w:t>E</w:t>
            </w:r>
            <w:r w:rsidRPr="009D3012">
              <w:rPr>
                <w:rStyle w:val="CCMCvariablesubscript"/>
                <w:lang w:val="en-US"/>
              </w:rPr>
              <w:t>cm</w:t>
            </w:r>
            <w:r w:rsidRPr="009D3012">
              <w:rPr>
                <w:lang w:val="en-US"/>
              </w:rPr>
              <w:t xml:space="preserve"> may be obtained by multiplying the values for normal density concrete according to 5.1.4 by coefficient </w:t>
            </w:r>
            <w:r w:rsidRPr="001455DC">
              <w:rPr>
                <w:rStyle w:val="CCMCvariableitalic"/>
              </w:rPr>
              <w:t>η</w:t>
            </w:r>
            <w:r w:rsidRPr="009D3012">
              <w:rPr>
                <w:rStyle w:val="CCMCvariablesubscript"/>
                <w:lang w:val="en-US"/>
              </w:rPr>
              <w:t>lw,Ec</w:t>
            </w:r>
            <w:r w:rsidRPr="009D3012">
              <w:rPr>
                <w:lang w:val="en-US"/>
              </w:rPr>
              <w:t xml:space="preserve"> given in Table M.1.</w:t>
            </w:r>
          </w:p>
        </w:tc>
      </w:tr>
      <w:tr w:rsidR="004E22C1" w:rsidRPr="001455DC" w14:paraId="1E39256E" w14:textId="77777777" w:rsidTr="00A151D3">
        <w:trPr>
          <w:cantSplit/>
        </w:trPr>
        <w:tc>
          <w:tcPr>
            <w:tcW w:w="1247" w:type="dxa"/>
            <w:vAlign w:val="center"/>
          </w:tcPr>
          <w:p w14:paraId="34038723" w14:textId="77777777" w:rsidR="004E22C1" w:rsidRPr="001455DC" w:rsidRDefault="004E22C1" w:rsidP="009A1397">
            <w:pPr>
              <w:pStyle w:val="Tablebody"/>
              <w:jc w:val="left"/>
            </w:pPr>
            <w:r w:rsidRPr="001455DC">
              <w:t>5.1.6(5)</w:t>
            </w:r>
          </w:p>
        </w:tc>
        <w:tc>
          <w:tcPr>
            <w:tcW w:w="2608" w:type="dxa"/>
            <w:vAlign w:val="center"/>
          </w:tcPr>
          <w:p w14:paraId="066414CC" w14:textId="77777777" w:rsidR="004E22C1" w:rsidRPr="009D3012" w:rsidRDefault="004E22C1" w:rsidP="009A1397">
            <w:pPr>
              <w:pStyle w:val="Tablebody"/>
              <w:jc w:val="left"/>
              <w:rPr>
                <w:lang w:val="en-US"/>
              </w:rPr>
            </w:pPr>
            <w:r w:rsidRPr="009D3012">
              <w:rPr>
                <w:lang w:val="en-US"/>
              </w:rPr>
              <w:t>Linear coefficient of thermal expansion</w:t>
            </w:r>
          </w:p>
        </w:tc>
        <w:tc>
          <w:tcPr>
            <w:tcW w:w="5897" w:type="dxa"/>
            <w:gridSpan w:val="2"/>
            <w:vAlign w:val="center"/>
          </w:tcPr>
          <w:p w14:paraId="3976D0E8" w14:textId="3E84D2A3" w:rsidR="004E22C1" w:rsidRPr="009D3012" w:rsidRDefault="004E22C1" w:rsidP="009A1397">
            <w:pPr>
              <w:pStyle w:val="Tablebody"/>
              <w:jc w:val="left"/>
              <w:rPr>
                <w:lang w:val="en-US"/>
              </w:rPr>
            </w:pPr>
            <w:r w:rsidRPr="009D3012">
              <w:rPr>
                <w:lang w:val="en-US"/>
              </w:rPr>
              <w:t>Unless more accurate information is available, the linear coefficient of thermal expansion may be taken equal to</w:t>
            </w:r>
            <w:r w:rsidR="009A1397" w:rsidRPr="009D3012">
              <w:rPr>
                <w:lang w:val="en-US"/>
              </w:rPr>
              <w:t xml:space="preserve"> </w:t>
            </w:r>
            <w:r w:rsidRPr="009D3012">
              <w:rPr>
                <w:lang w:val="en-US"/>
              </w:rPr>
              <w:t>8 </w:t>
            </w:r>
            <w:r w:rsidRPr="009D3012">
              <w:rPr>
                <w:rFonts w:ascii="Cambria Math" w:hAnsi="Cambria Math" w:cs="Cambria Math"/>
                <w:lang w:val="en-US"/>
              </w:rPr>
              <w:t>⋅</w:t>
            </w:r>
            <w:r w:rsidRPr="009D3012">
              <w:rPr>
                <w:lang w:val="en-US"/>
              </w:rPr>
              <w:t> 10</w:t>
            </w:r>
            <w:r w:rsidR="00EC27D2" w:rsidRPr="009D3012">
              <w:rPr>
                <w:rStyle w:val="CCMCvariablesuperscript"/>
                <w:rFonts w:ascii="Cambria Math" w:hAnsi="Cambria Math"/>
                <w:lang w:val="en-US"/>
              </w:rPr>
              <w:t>−</w:t>
            </w:r>
            <w:r w:rsidRPr="009D3012">
              <w:rPr>
                <w:rStyle w:val="CCMCvariablesuperscript"/>
                <w:lang w:val="en-US"/>
              </w:rPr>
              <w:t>6</w:t>
            </w:r>
            <w:r w:rsidRPr="009D3012">
              <w:rPr>
                <w:lang w:val="en-US"/>
              </w:rPr>
              <w:t> °C</w:t>
            </w:r>
            <w:r w:rsidR="00EC27D2" w:rsidRPr="009D3012">
              <w:rPr>
                <w:rStyle w:val="CCMCvariablesuperscript"/>
                <w:rFonts w:ascii="Cambria Math" w:hAnsi="Cambria Math"/>
                <w:lang w:val="en-US"/>
              </w:rPr>
              <w:t>−</w:t>
            </w:r>
            <w:r w:rsidRPr="009D3012">
              <w:rPr>
                <w:rStyle w:val="CCMCvariablesuperscript"/>
                <w:lang w:val="en-US"/>
              </w:rPr>
              <w:t>1</w:t>
            </w:r>
          </w:p>
        </w:tc>
      </w:tr>
      <w:tr w:rsidR="004E22C1" w:rsidRPr="001455DC" w14:paraId="7995A75A" w14:textId="77777777" w:rsidTr="00A151D3">
        <w:trPr>
          <w:cantSplit/>
        </w:trPr>
        <w:tc>
          <w:tcPr>
            <w:tcW w:w="1247" w:type="dxa"/>
            <w:vAlign w:val="center"/>
          </w:tcPr>
          <w:p w14:paraId="115DBBF0" w14:textId="77777777" w:rsidR="004E22C1" w:rsidRPr="001455DC" w:rsidRDefault="004E22C1" w:rsidP="009A1397">
            <w:pPr>
              <w:pStyle w:val="Tablebody"/>
              <w:jc w:val="left"/>
            </w:pPr>
            <w:r w:rsidRPr="001455DC">
              <w:t>5.1.5(2), Table 5.2</w:t>
            </w:r>
          </w:p>
        </w:tc>
        <w:tc>
          <w:tcPr>
            <w:tcW w:w="2608" w:type="dxa"/>
            <w:vAlign w:val="center"/>
          </w:tcPr>
          <w:p w14:paraId="53FFAAE5" w14:textId="77777777" w:rsidR="004E22C1" w:rsidRPr="001455DC" w:rsidRDefault="004E22C1" w:rsidP="009A1397">
            <w:pPr>
              <w:pStyle w:val="Tablebody"/>
              <w:jc w:val="left"/>
            </w:pPr>
            <w:r w:rsidRPr="001455DC">
              <w:t>Creep coefficient</w:t>
            </w:r>
          </w:p>
        </w:tc>
        <w:tc>
          <w:tcPr>
            <w:tcW w:w="5897" w:type="dxa"/>
            <w:gridSpan w:val="2"/>
            <w:vAlign w:val="center"/>
          </w:tcPr>
          <w:p w14:paraId="124C02B0" w14:textId="77777777" w:rsidR="004E22C1" w:rsidRPr="009D3012" w:rsidRDefault="004E22C1" w:rsidP="009A1397">
            <w:pPr>
              <w:pStyle w:val="Tablebody"/>
              <w:jc w:val="left"/>
              <w:rPr>
                <w:lang w:val="en-US"/>
              </w:rPr>
            </w:pPr>
            <w:r w:rsidRPr="009D3012">
              <w:rPr>
                <w:lang w:val="en-US"/>
              </w:rPr>
              <w:t xml:space="preserve">The creep coefficient </w:t>
            </w:r>
            <w:r w:rsidRPr="001455DC">
              <w:rPr>
                <w:rStyle w:val="CCMCvariableitalic"/>
              </w:rPr>
              <w:t>φ</w:t>
            </w:r>
            <w:r w:rsidRPr="009D3012">
              <w:rPr>
                <w:lang w:val="en-US"/>
              </w:rPr>
              <w:t xml:space="preserve"> may be assumed equal to the value of normal density concrete multiplied by:</w:t>
            </w:r>
          </w:p>
          <w:p w14:paraId="090FD835" w14:textId="2D3ED8E5" w:rsidR="004E22C1" w:rsidRPr="009D3012" w:rsidRDefault="00EC27D2" w:rsidP="009A1397">
            <w:pPr>
              <w:pStyle w:val="Tablebody"/>
              <w:tabs>
                <w:tab w:val="left" w:pos="1452"/>
              </w:tabs>
              <w:ind w:left="357" w:hanging="357"/>
              <w:jc w:val="left"/>
              <w:rPr>
                <w:lang w:val="en-US"/>
              </w:rPr>
            </w:pPr>
            <w:r w:rsidRPr="009D3012">
              <w:rPr>
                <w:lang w:val="en-US"/>
              </w:rPr>
              <w:t>—</w:t>
            </w:r>
            <w:r w:rsidR="004E22C1" w:rsidRPr="009D3012">
              <w:rPr>
                <w:lang w:val="en-US"/>
              </w:rPr>
              <w:tab/>
              <w:t xml:space="preserve">1,3 ∙ </w:t>
            </w:r>
            <w:r w:rsidR="004E22C1" w:rsidRPr="001455DC">
              <w:rPr>
                <w:rStyle w:val="CCMCvariableitalic"/>
              </w:rPr>
              <w:t>η</w:t>
            </w:r>
            <w:r w:rsidR="004E22C1" w:rsidRPr="009D3012">
              <w:rPr>
                <w:rStyle w:val="CCMCvariablesubscript"/>
                <w:lang w:val="en-US"/>
              </w:rPr>
              <w:t>lw,Ec</w:t>
            </w:r>
            <w:r w:rsidR="004E22C1" w:rsidRPr="009D3012">
              <w:rPr>
                <w:lang w:val="en-US"/>
              </w:rPr>
              <w:tab/>
              <w:t xml:space="preserve">for </w:t>
            </w:r>
            <w:r w:rsidR="004E22C1" w:rsidRPr="009D3012">
              <w:rPr>
                <w:rStyle w:val="CCMCvariableitalic"/>
                <w:lang w:val="en-US"/>
              </w:rPr>
              <w:t>f</w:t>
            </w:r>
            <w:r w:rsidR="004E22C1" w:rsidRPr="009D3012">
              <w:rPr>
                <w:rStyle w:val="CCMCvariablesubscript"/>
                <w:lang w:val="en-US"/>
              </w:rPr>
              <w:t>ck</w:t>
            </w:r>
            <w:r w:rsidR="004E22C1" w:rsidRPr="009D3012">
              <w:rPr>
                <w:lang w:val="en-US"/>
              </w:rPr>
              <w:t> </w:t>
            </w:r>
            <w:r w:rsidR="00650035" w:rsidRPr="009D3012">
              <w:rPr>
                <w:rFonts w:ascii="Cambria Math" w:hAnsi="Cambria Math"/>
                <w:lang w:val="en-US"/>
              </w:rPr>
              <w:t>≤</w:t>
            </w:r>
            <w:r w:rsidR="004E22C1" w:rsidRPr="009D3012">
              <w:rPr>
                <w:lang w:val="en-US"/>
              </w:rPr>
              <w:t> 16 MPa,</w:t>
            </w:r>
          </w:p>
          <w:p w14:paraId="3FE61A8F" w14:textId="03FCFB52" w:rsidR="004E22C1" w:rsidRPr="009D3012" w:rsidRDefault="00EC27D2" w:rsidP="009A1397">
            <w:pPr>
              <w:pStyle w:val="Tablebody"/>
              <w:tabs>
                <w:tab w:val="left" w:pos="1452"/>
              </w:tabs>
              <w:ind w:left="357" w:hanging="357"/>
              <w:jc w:val="left"/>
              <w:rPr>
                <w:lang w:val="en-US"/>
              </w:rPr>
            </w:pPr>
            <w:r w:rsidRPr="009D3012">
              <w:rPr>
                <w:lang w:val="en-US"/>
              </w:rPr>
              <w:t>—</w:t>
            </w:r>
            <w:r w:rsidR="004E22C1" w:rsidRPr="009D3012">
              <w:rPr>
                <w:lang w:val="en-US"/>
              </w:rPr>
              <w:tab/>
            </w:r>
            <w:r w:rsidR="004E22C1" w:rsidRPr="001455DC">
              <w:rPr>
                <w:rStyle w:val="CCMCvariableitalic"/>
              </w:rPr>
              <w:t>η</w:t>
            </w:r>
            <w:r w:rsidR="004E22C1" w:rsidRPr="009D3012">
              <w:rPr>
                <w:rStyle w:val="CCMCvariablesubscript"/>
                <w:lang w:val="en-US"/>
              </w:rPr>
              <w:t>lw,Ec</w:t>
            </w:r>
            <w:r w:rsidR="004E22C1" w:rsidRPr="009D3012">
              <w:rPr>
                <w:lang w:val="en-US"/>
              </w:rPr>
              <w:tab/>
              <w:t xml:space="preserve">for </w:t>
            </w:r>
            <w:r w:rsidR="004E22C1" w:rsidRPr="009D3012">
              <w:rPr>
                <w:rStyle w:val="CCMCvariableitalic"/>
                <w:lang w:val="en-US"/>
              </w:rPr>
              <w:t>f</w:t>
            </w:r>
            <w:r w:rsidR="004E22C1" w:rsidRPr="009D3012">
              <w:rPr>
                <w:rStyle w:val="CCMCvariablesubscript"/>
                <w:lang w:val="en-US"/>
              </w:rPr>
              <w:t>ck</w:t>
            </w:r>
            <w:r w:rsidR="004E22C1" w:rsidRPr="009D3012">
              <w:rPr>
                <w:lang w:val="en-US"/>
              </w:rPr>
              <w:t> </w:t>
            </w:r>
            <w:r w:rsidR="00650035" w:rsidRPr="009D3012">
              <w:rPr>
                <w:rFonts w:ascii="Cambria Math" w:hAnsi="Cambria Math"/>
                <w:lang w:val="en-US"/>
              </w:rPr>
              <w:t>≥</w:t>
            </w:r>
            <w:r w:rsidR="00073FC6" w:rsidRPr="009D3012">
              <w:rPr>
                <w:lang w:val="en-US"/>
              </w:rPr>
              <w:t> </w:t>
            </w:r>
            <w:r w:rsidR="004E22C1" w:rsidRPr="009D3012">
              <w:rPr>
                <w:lang w:val="en-US"/>
              </w:rPr>
              <w:t>20 MPa.</w:t>
            </w:r>
          </w:p>
        </w:tc>
      </w:tr>
      <w:tr w:rsidR="004E22C1" w:rsidRPr="001455DC" w14:paraId="5BFA6111" w14:textId="77777777" w:rsidTr="00A151D3">
        <w:trPr>
          <w:cantSplit/>
        </w:trPr>
        <w:tc>
          <w:tcPr>
            <w:tcW w:w="1247" w:type="dxa"/>
            <w:vAlign w:val="center"/>
          </w:tcPr>
          <w:p w14:paraId="7D422BDE" w14:textId="77777777" w:rsidR="004E22C1" w:rsidRPr="001455DC" w:rsidRDefault="004E22C1" w:rsidP="009A1397">
            <w:pPr>
              <w:pStyle w:val="Tablebody"/>
              <w:jc w:val="left"/>
            </w:pPr>
            <w:r w:rsidRPr="001455DC">
              <w:t>5.1.5(4), Table 5.3</w:t>
            </w:r>
          </w:p>
        </w:tc>
        <w:tc>
          <w:tcPr>
            <w:tcW w:w="2608" w:type="dxa"/>
            <w:vAlign w:val="center"/>
          </w:tcPr>
          <w:p w14:paraId="6E99CD5F" w14:textId="77777777" w:rsidR="004E22C1" w:rsidRPr="001455DC" w:rsidRDefault="004E22C1" w:rsidP="009A1397">
            <w:pPr>
              <w:pStyle w:val="Tablebody"/>
              <w:jc w:val="left"/>
            </w:pPr>
            <w:r w:rsidRPr="001455DC">
              <w:t>Total shrinkage</w:t>
            </w:r>
          </w:p>
        </w:tc>
        <w:tc>
          <w:tcPr>
            <w:tcW w:w="5897" w:type="dxa"/>
            <w:gridSpan w:val="2"/>
            <w:vAlign w:val="center"/>
          </w:tcPr>
          <w:p w14:paraId="1D689ABE" w14:textId="77777777" w:rsidR="004E22C1" w:rsidRPr="009D3012" w:rsidRDefault="004E22C1" w:rsidP="009A1397">
            <w:pPr>
              <w:pStyle w:val="Tablebody"/>
              <w:jc w:val="left"/>
              <w:rPr>
                <w:lang w:val="en-US"/>
              </w:rPr>
            </w:pPr>
            <w:r w:rsidRPr="009D3012">
              <w:rPr>
                <w:lang w:val="en-US"/>
              </w:rPr>
              <w:t>The final shrinkage values may be obtained by multiplying the values for normal density concrete in Table 5.4 by:</w:t>
            </w:r>
          </w:p>
          <w:p w14:paraId="51052DC9" w14:textId="0D937067" w:rsidR="004E22C1" w:rsidRPr="009D3012" w:rsidRDefault="00EC27D2" w:rsidP="009A1397">
            <w:pPr>
              <w:pStyle w:val="Tablebody"/>
              <w:tabs>
                <w:tab w:val="left" w:pos="1452"/>
              </w:tabs>
              <w:ind w:left="357" w:hanging="357"/>
              <w:jc w:val="left"/>
              <w:rPr>
                <w:lang w:val="en-US"/>
              </w:rPr>
            </w:pPr>
            <w:r w:rsidRPr="009D3012">
              <w:rPr>
                <w:lang w:val="en-US"/>
              </w:rPr>
              <w:t>—</w:t>
            </w:r>
            <w:r w:rsidR="004E22C1" w:rsidRPr="009D3012">
              <w:rPr>
                <w:lang w:val="en-US"/>
              </w:rPr>
              <w:tab/>
              <w:t>1,5</w:t>
            </w:r>
            <w:r w:rsidR="004E22C1" w:rsidRPr="009D3012">
              <w:rPr>
                <w:lang w:val="en-US"/>
              </w:rPr>
              <w:tab/>
              <w:t xml:space="preserve">for </w:t>
            </w:r>
            <w:r w:rsidR="004E22C1" w:rsidRPr="009D3012">
              <w:rPr>
                <w:rStyle w:val="CCMCvariableitalic"/>
                <w:lang w:val="en-US"/>
              </w:rPr>
              <w:t>f</w:t>
            </w:r>
            <w:r w:rsidR="004E22C1" w:rsidRPr="009D3012">
              <w:rPr>
                <w:rStyle w:val="CCMCvariablesubscript"/>
                <w:lang w:val="en-US"/>
              </w:rPr>
              <w:t>ck</w:t>
            </w:r>
            <w:r w:rsidR="004E22C1" w:rsidRPr="009D3012">
              <w:rPr>
                <w:lang w:val="en-US"/>
              </w:rPr>
              <w:t> </w:t>
            </w:r>
            <w:r w:rsidR="00650035" w:rsidRPr="009D3012">
              <w:rPr>
                <w:rFonts w:ascii="Cambria Math" w:hAnsi="Cambria Math"/>
                <w:lang w:val="en-US"/>
              </w:rPr>
              <w:t>≤</w:t>
            </w:r>
            <w:r w:rsidR="004E22C1" w:rsidRPr="009D3012">
              <w:rPr>
                <w:lang w:val="en-US"/>
              </w:rPr>
              <w:t> 16 MPa,</w:t>
            </w:r>
          </w:p>
          <w:p w14:paraId="4EBA4BCA" w14:textId="5352EDC4" w:rsidR="004E22C1" w:rsidRPr="009D3012" w:rsidRDefault="00EC27D2" w:rsidP="009A1397">
            <w:pPr>
              <w:pStyle w:val="Tablebody"/>
              <w:tabs>
                <w:tab w:val="left" w:pos="1452"/>
              </w:tabs>
              <w:ind w:left="357" w:hanging="357"/>
              <w:jc w:val="left"/>
              <w:rPr>
                <w:lang w:val="en-US"/>
              </w:rPr>
            </w:pPr>
            <w:r w:rsidRPr="009D3012">
              <w:rPr>
                <w:lang w:val="en-US"/>
              </w:rPr>
              <w:t>—</w:t>
            </w:r>
            <w:r w:rsidR="004E22C1" w:rsidRPr="009D3012">
              <w:rPr>
                <w:lang w:val="en-US"/>
              </w:rPr>
              <w:tab/>
              <w:t>1,2</w:t>
            </w:r>
            <w:r w:rsidR="004E22C1" w:rsidRPr="009D3012">
              <w:rPr>
                <w:lang w:val="en-US"/>
              </w:rPr>
              <w:tab/>
              <w:t xml:space="preserve">for </w:t>
            </w:r>
            <w:r w:rsidR="004E22C1" w:rsidRPr="009D3012">
              <w:rPr>
                <w:rStyle w:val="CCMCvariableitalic"/>
                <w:lang w:val="en-US"/>
              </w:rPr>
              <w:t>f</w:t>
            </w:r>
            <w:r w:rsidR="004E22C1" w:rsidRPr="009D3012">
              <w:rPr>
                <w:rStyle w:val="CCMCvariablesubscript"/>
                <w:lang w:val="en-US"/>
              </w:rPr>
              <w:t>ck</w:t>
            </w:r>
            <w:r w:rsidR="004E22C1" w:rsidRPr="009D3012">
              <w:rPr>
                <w:lang w:val="en-US"/>
              </w:rPr>
              <w:t> </w:t>
            </w:r>
            <w:r w:rsidR="00650035" w:rsidRPr="009D3012">
              <w:rPr>
                <w:rFonts w:ascii="Cambria Math" w:hAnsi="Cambria Math"/>
                <w:lang w:val="en-US"/>
              </w:rPr>
              <w:t>≥</w:t>
            </w:r>
            <w:r w:rsidR="00073FC6" w:rsidRPr="009D3012">
              <w:rPr>
                <w:lang w:val="en-US"/>
              </w:rPr>
              <w:t> </w:t>
            </w:r>
            <w:r w:rsidR="004E22C1" w:rsidRPr="009D3012">
              <w:rPr>
                <w:lang w:val="en-US"/>
              </w:rPr>
              <w:t>20 MPa.</w:t>
            </w:r>
          </w:p>
        </w:tc>
      </w:tr>
      <w:tr w:rsidR="009A1397" w:rsidRPr="001455DC" w14:paraId="388611AF" w14:textId="77777777" w:rsidTr="00A151D3">
        <w:trPr>
          <w:cantSplit/>
        </w:trPr>
        <w:tc>
          <w:tcPr>
            <w:tcW w:w="1247" w:type="dxa"/>
            <w:vMerge w:val="restart"/>
            <w:vAlign w:val="center"/>
          </w:tcPr>
          <w:p w14:paraId="2F6ABD77" w14:textId="77777777" w:rsidR="009A1397" w:rsidRPr="001455DC" w:rsidRDefault="009A1397" w:rsidP="009A1397">
            <w:pPr>
              <w:pStyle w:val="Tablebody"/>
              <w:jc w:val="left"/>
            </w:pPr>
            <w:r w:rsidRPr="001455DC">
              <w:t>5.1.6(1)</w:t>
            </w:r>
          </w:p>
        </w:tc>
        <w:tc>
          <w:tcPr>
            <w:tcW w:w="2608" w:type="dxa"/>
            <w:vMerge w:val="restart"/>
            <w:vAlign w:val="center"/>
          </w:tcPr>
          <w:p w14:paraId="2CF35479" w14:textId="77777777" w:rsidR="009A1397" w:rsidRPr="009D3012" w:rsidRDefault="009A1397" w:rsidP="009A1397">
            <w:pPr>
              <w:pStyle w:val="Tablebody"/>
              <w:jc w:val="left"/>
              <w:rPr>
                <w:lang w:val="en-US"/>
              </w:rPr>
            </w:pPr>
            <w:r w:rsidRPr="009D3012">
              <w:rPr>
                <w:lang w:val="en-US"/>
              </w:rPr>
              <w:t xml:space="preserve">Design value of concrete compressive strength </w:t>
            </w:r>
            <w:r w:rsidRPr="009D3012">
              <w:rPr>
                <w:rStyle w:val="CCMCvariableitalic"/>
                <w:lang w:val="en-US"/>
              </w:rPr>
              <w:t>f</w:t>
            </w:r>
            <w:r w:rsidRPr="009D3012">
              <w:rPr>
                <w:rStyle w:val="CCMCvariablesubscript"/>
                <w:lang w:val="en-US"/>
              </w:rPr>
              <w:t>cd</w:t>
            </w:r>
          </w:p>
        </w:tc>
        <w:tc>
          <w:tcPr>
            <w:tcW w:w="5897" w:type="dxa"/>
            <w:gridSpan w:val="2"/>
            <w:tcBorders>
              <w:bottom w:val="nil"/>
            </w:tcBorders>
            <w:vAlign w:val="center"/>
          </w:tcPr>
          <w:p w14:paraId="2442FA39" w14:textId="2A3A055F" w:rsidR="009A1397" w:rsidRPr="009D3012" w:rsidRDefault="009A1397" w:rsidP="009A1397">
            <w:pPr>
              <w:pStyle w:val="Tablebody"/>
              <w:jc w:val="left"/>
              <w:rPr>
                <w:lang w:val="en-US"/>
              </w:rPr>
            </w:pPr>
            <w:r w:rsidRPr="009D3012">
              <w:rPr>
                <w:lang w:val="en-US"/>
              </w:rPr>
              <w:t xml:space="preserve">The influence of the increased brittleness of lightweight concrete on the design strength </w:t>
            </w:r>
            <w:r w:rsidRPr="009D3012">
              <w:rPr>
                <w:rStyle w:val="CCMCvariableitalic"/>
                <w:lang w:val="en-US"/>
              </w:rPr>
              <w:t>f</w:t>
            </w:r>
            <w:r w:rsidRPr="009D3012">
              <w:rPr>
                <w:rStyle w:val="CCMCvariablesubscript"/>
                <w:lang w:val="en-US"/>
              </w:rPr>
              <w:t>cd</w:t>
            </w:r>
            <w:r w:rsidRPr="009D3012">
              <w:rPr>
                <w:lang w:val="en-US"/>
              </w:rPr>
              <w:t xml:space="preserve"> shall be accounted by replacing Formula (5.4) by Formula (M.4):</w:t>
            </w:r>
          </w:p>
        </w:tc>
      </w:tr>
      <w:tr w:rsidR="009A1397" w:rsidRPr="001455DC" w14:paraId="00F1DDA2" w14:textId="77777777" w:rsidTr="00A151D3">
        <w:trPr>
          <w:cantSplit/>
        </w:trPr>
        <w:tc>
          <w:tcPr>
            <w:tcW w:w="1247" w:type="dxa"/>
            <w:vMerge/>
            <w:vAlign w:val="center"/>
          </w:tcPr>
          <w:p w14:paraId="60C2EBAB" w14:textId="77777777" w:rsidR="009A1397" w:rsidRPr="009D3012" w:rsidRDefault="009A1397" w:rsidP="009A1397">
            <w:pPr>
              <w:pStyle w:val="Tablebody"/>
              <w:jc w:val="left"/>
              <w:rPr>
                <w:lang w:val="en-US"/>
              </w:rPr>
            </w:pPr>
          </w:p>
        </w:tc>
        <w:tc>
          <w:tcPr>
            <w:tcW w:w="2608" w:type="dxa"/>
            <w:vMerge/>
            <w:vAlign w:val="center"/>
          </w:tcPr>
          <w:p w14:paraId="30D7D67D" w14:textId="77777777" w:rsidR="009A1397" w:rsidRPr="009D3012" w:rsidRDefault="009A1397" w:rsidP="009A1397">
            <w:pPr>
              <w:pStyle w:val="Tablebody"/>
              <w:jc w:val="left"/>
              <w:rPr>
                <w:lang w:val="en-US"/>
              </w:rPr>
            </w:pPr>
          </w:p>
        </w:tc>
        <w:tc>
          <w:tcPr>
            <w:tcW w:w="5103" w:type="dxa"/>
            <w:tcBorders>
              <w:top w:val="nil"/>
              <w:bottom w:val="nil"/>
              <w:right w:val="nil"/>
            </w:tcBorders>
            <w:vAlign w:val="center"/>
          </w:tcPr>
          <w:p w14:paraId="38840E00" w14:textId="2B45A790" w:rsidR="009A1397" w:rsidRPr="001455DC" w:rsidRDefault="00231E33" w:rsidP="009A1397">
            <w:pPr>
              <w:pStyle w:val="Tablebody"/>
              <w:jc w:val="left"/>
            </w:pPr>
            <m:oMathPara>
              <m:oMathParaPr>
                <m:jc m:val="left"/>
              </m:oMathParaPr>
              <m:oMath>
                <m:sSub>
                  <m:sSubPr>
                    <m:ctrlPr>
                      <w:rPr>
                        <w:rFonts w:ascii="Cambria Math" w:hAnsi="Cambria Math"/>
                      </w:rPr>
                    </m:ctrlPr>
                  </m:sSubPr>
                  <m:e>
                    <m:r>
                      <w:rPr>
                        <w:rFonts w:ascii="Cambria Math" w:hAnsi="Cambria Math"/>
                      </w:rPr>
                      <m:t>η</m:t>
                    </m:r>
                  </m:e>
                  <m:sub>
                    <m:r>
                      <m:rPr>
                        <m:sty m:val="p"/>
                      </m:rPr>
                      <w:rPr>
                        <w:rFonts w:ascii="Cambria Math" w:hAnsi="Cambria Math"/>
                      </w:rPr>
                      <m:t>cc</m:t>
                    </m:r>
                  </m:sub>
                </m:sSub>
                <m:r>
                  <w:rPr>
                    <w:rFonts w:ascii="Cambria Math" w:hAnsi="Cambria Math"/>
                  </w:rPr>
                  <m:t xml:space="preserve"> = </m:t>
                </m:r>
                <m:sSup>
                  <m:sSupPr>
                    <m:ctrlPr>
                      <w:rPr>
                        <w:rFonts w:ascii="Cambria Math" w:hAnsi="Cambria Math"/>
                      </w:rPr>
                    </m:ctrlPr>
                  </m:sSupPr>
                  <m:e>
                    <m:d>
                      <m:dPr>
                        <m:sepChr m:val=""/>
                        <m:ctrlPr>
                          <w:rPr>
                            <w:rFonts w:ascii="Cambria Math" w:hAnsi="Cambria Math"/>
                          </w:rPr>
                        </m:ctrlPr>
                      </m:dPr>
                      <m:e>
                        <m:sSub>
                          <m:sSubPr>
                            <m:ctrlPr>
                              <w:rPr>
                                <w:rFonts w:ascii="Cambria Math" w:hAnsi="Cambria Math"/>
                              </w:rPr>
                            </m:ctrlPr>
                          </m:sSubPr>
                          <m:e>
                            <m:r>
                              <w:rPr>
                                <w:rFonts w:ascii="Cambria Math" w:hAnsi="Cambria Math"/>
                              </w:rPr>
                              <m:t>η</m:t>
                            </m:r>
                          </m:e>
                          <m:sub>
                            <m:r>
                              <m:rPr>
                                <m:sty m:val="p"/>
                              </m:rPr>
                              <w:rPr>
                                <w:rFonts w:ascii="Cambria Math" w:hAnsi="Cambria Math"/>
                              </w:rPr>
                              <m:t>lw,fc</m:t>
                            </m:r>
                          </m:sub>
                        </m:sSub>
                      </m:e>
                      <m:e>
                        <m:f>
                          <m:fPr>
                            <m:ctrlPr>
                              <w:rPr>
                                <w:rFonts w:ascii="Cambria Math" w:hAnsi="Cambria Math"/>
                              </w:rPr>
                            </m:ctrlPr>
                          </m:fPr>
                          <m:num>
                            <m:r>
                              <w:rPr>
                                <w:rFonts w:ascii="Cambria Math" w:hAnsi="Cambria Math"/>
                              </w:rPr>
                              <m:t>40</m:t>
                            </m:r>
                          </m:num>
                          <m:den>
                            <m:sSub>
                              <m:sSubPr>
                                <m:ctrlPr>
                                  <w:rPr>
                                    <w:rFonts w:ascii="Cambria Math" w:hAnsi="Cambria Math"/>
                                  </w:rPr>
                                </m:ctrlPr>
                              </m:sSubPr>
                              <m:e>
                                <m:r>
                                  <w:rPr>
                                    <w:rFonts w:ascii="Cambria Math" w:hAnsi="Cambria Math"/>
                                  </w:rPr>
                                  <m:t>f</m:t>
                                </m:r>
                              </m:e>
                              <m:sub>
                                <m:r>
                                  <m:rPr>
                                    <m:sty m:val="p"/>
                                  </m:rPr>
                                  <w:rPr>
                                    <w:rFonts w:ascii="Cambria Math" w:hAnsi="Cambria Math"/>
                                  </w:rPr>
                                  <m:t>ck</m:t>
                                </m:r>
                              </m:sub>
                            </m:sSub>
                          </m:den>
                        </m:f>
                      </m:e>
                    </m:d>
                  </m:e>
                  <m:sup>
                    <m:f>
                      <m:fPr>
                        <m:type m:val="lin"/>
                        <m:ctrlPr>
                          <w:rPr>
                            <w:rFonts w:ascii="Cambria Math" w:hAnsi="Cambria Math"/>
                          </w:rPr>
                        </m:ctrlPr>
                      </m:fPr>
                      <m:num>
                        <m:r>
                          <w:rPr>
                            <w:rFonts w:ascii="Cambria Math" w:hAnsi="Cambria Math"/>
                          </w:rPr>
                          <m:t>1</m:t>
                        </m:r>
                      </m:num>
                      <m:den>
                        <m:r>
                          <w:rPr>
                            <w:rFonts w:ascii="Cambria Math" w:hAnsi="Cambria Math"/>
                          </w:rPr>
                          <m:t>3</m:t>
                        </m:r>
                      </m:den>
                    </m:f>
                  </m:sup>
                </m:sSup>
                <m:r>
                  <w:rPr>
                    <w:rFonts w:ascii="Cambria Math" w:hAnsi="Cambria Math"/>
                  </w:rPr>
                  <m:t>≤1</m:t>
                </m:r>
              </m:oMath>
            </m:oMathPara>
          </w:p>
        </w:tc>
        <w:tc>
          <w:tcPr>
            <w:tcW w:w="794" w:type="dxa"/>
            <w:tcBorders>
              <w:top w:val="nil"/>
              <w:left w:val="nil"/>
              <w:bottom w:val="nil"/>
            </w:tcBorders>
            <w:vAlign w:val="center"/>
          </w:tcPr>
          <w:p w14:paraId="634C4B4E" w14:textId="61A2DA9E" w:rsidR="009A1397" w:rsidRPr="001455DC" w:rsidRDefault="009A1397" w:rsidP="009A1397">
            <w:pPr>
              <w:pStyle w:val="Tablebody"/>
              <w:jc w:val="right"/>
            </w:pPr>
            <w:r w:rsidRPr="001455DC">
              <w:t>(M.4)</w:t>
            </w:r>
          </w:p>
        </w:tc>
      </w:tr>
      <w:tr w:rsidR="009A1397" w:rsidRPr="001455DC" w14:paraId="100B7F93" w14:textId="77777777" w:rsidTr="00A151D3">
        <w:trPr>
          <w:cantSplit/>
        </w:trPr>
        <w:tc>
          <w:tcPr>
            <w:tcW w:w="1247" w:type="dxa"/>
            <w:vMerge/>
            <w:tcBorders>
              <w:bottom w:val="single" w:sz="6" w:space="0" w:color="000000"/>
            </w:tcBorders>
            <w:vAlign w:val="center"/>
          </w:tcPr>
          <w:p w14:paraId="4D275029" w14:textId="77777777" w:rsidR="009A1397" w:rsidRPr="009D3012" w:rsidRDefault="009A1397" w:rsidP="009A1397">
            <w:pPr>
              <w:pStyle w:val="Tablebody"/>
              <w:jc w:val="left"/>
            </w:pPr>
          </w:p>
        </w:tc>
        <w:tc>
          <w:tcPr>
            <w:tcW w:w="2608" w:type="dxa"/>
            <w:vMerge/>
            <w:tcBorders>
              <w:bottom w:val="single" w:sz="6" w:space="0" w:color="000000"/>
            </w:tcBorders>
            <w:vAlign w:val="center"/>
          </w:tcPr>
          <w:p w14:paraId="783B10D4" w14:textId="77777777" w:rsidR="009A1397" w:rsidRPr="001455DC" w:rsidRDefault="009A1397" w:rsidP="009A1397">
            <w:pPr>
              <w:pStyle w:val="Tablebody"/>
              <w:jc w:val="left"/>
            </w:pPr>
          </w:p>
        </w:tc>
        <w:tc>
          <w:tcPr>
            <w:tcW w:w="5897" w:type="dxa"/>
            <w:gridSpan w:val="2"/>
            <w:tcBorders>
              <w:top w:val="nil"/>
              <w:bottom w:val="single" w:sz="6" w:space="0" w:color="000000"/>
            </w:tcBorders>
            <w:vAlign w:val="center"/>
          </w:tcPr>
          <w:p w14:paraId="0D01905A" w14:textId="4850BC25" w:rsidR="009A1397" w:rsidRPr="009D3012" w:rsidRDefault="009A1397" w:rsidP="009A1397">
            <w:pPr>
              <w:pStyle w:val="Tablebody"/>
              <w:jc w:val="left"/>
              <w:rPr>
                <w:lang w:val="en-US"/>
              </w:rPr>
            </w:pPr>
            <w:r w:rsidRPr="009D3012">
              <w:rPr>
                <w:lang w:val="en-US"/>
              </w:rPr>
              <w:t xml:space="preserve">where coefficient </w:t>
            </w:r>
            <w:r w:rsidRPr="001455DC">
              <w:rPr>
                <w:rStyle w:val="CCMCvariableitalic"/>
              </w:rPr>
              <w:t>η</w:t>
            </w:r>
            <w:r w:rsidRPr="009D3012">
              <w:rPr>
                <w:rStyle w:val="CCMCvariablesubscript"/>
                <w:lang w:val="en-US"/>
              </w:rPr>
              <w:t>lw,fc</w:t>
            </w:r>
            <w:r w:rsidRPr="009D3012">
              <w:rPr>
                <w:lang w:val="en-US"/>
              </w:rPr>
              <w:t xml:space="preserve"> is given in Table M.1</w:t>
            </w:r>
          </w:p>
        </w:tc>
      </w:tr>
      <w:tr w:rsidR="004E22C1" w:rsidRPr="001455DC" w14:paraId="403B4173" w14:textId="77777777" w:rsidTr="00A151D3">
        <w:trPr>
          <w:cantSplit/>
        </w:trPr>
        <w:tc>
          <w:tcPr>
            <w:tcW w:w="1247" w:type="dxa"/>
            <w:tcBorders>
              <w:top w:val="single" w:sz="6" w:space="0" w:color="000000"/>
            </w:tcBorders>
            <w:vAlign w:val="center"/>
          </w:tcPr>
          <w:p w14:paraId="0A612A2A" w14:textId="77777777" w:rsidR="004E22C1" w:rsidRPr="009D3012" w:rsidRDefault="004E22C1" w:rsidP="009A1397">
            <w:pPr>
              <w:pStyle w:val="Tablebody"/>
              <w:jc w:val="left"/>
            </w:pPr>
            <w:r w:rsidRPr="001455DC">
              <w:t>Tables 6.3(NDP), 6.4(NDP), 6.5(NDP)</w:t>
            </w:r>
          </w:p>
        </w:tc>
        <w:tc>
          <w:tcPr>
            <w:tcW w:w="2608" w:type="dxa"/>
            <w:tcBorders>
              <w:top w:val="single" w:sz="6" w:space="0" w:color="000000"/>
            </w:tcBorders>
            <w:vAlign w:val="center"/>
          </w:tcPr>
          <w:p w14:paraId="4C9B3A97" w14:textId="77777777" w:rsidR="004E22C1" w:rsidRPr="009D3012" w:rsidRDefault="004E22C1" w:rsidP="009A1397">
            <w:pPr>
              <w:pStyle w:val="Tablebody"/>
              <w:jc w:val="left"/>
              <w:rPr>
                <w:lang w:val="en-US"/>
              </w:rPr>
            </w:pPr>
            <w:r w:rsidRPr="009D3012">
              <w:rPr>
                <w:lang w:val="en-US"/>
              </w:rPr>
              <w:t xml:space="preserve">Minimum clear cover </w:t>
            </w:r>
            <w:r w:rsidRPr="009D3012">
              <w:rPr>
                <w:rStyle w:val="CCMCvariableitalic"/>
                <w:lang w:val="en-US"/>
              </w:rPr>
              <w:t>c</w:t>
            </w:r>
            <w:r w:rsidRPr="009D3012">
              <w:rPr>
                <w:rStyle w:val="CCMCvariablesubscript"/>
                <w:lang w:val="en-US"/>
              </w:rPr>
              <w:t>min,dur</w:t>
            </w:r>
            <w:r w:rsidRPr="009D3012">
              <w:rPr>
                <w:lang w:val="en-US"/>
              </w:rPr>
              <w:t xml:space="preserve"> due to durability requirement </w:t>
            </w:r>
          </w:p>
        </w:tc>
        <w:tc>
          <w:tcPr>
            <w:tcW w:w="5897" w:type="dxa"/>
            <w:gridSpan w:val="2"/>
            <w:tcBorders>
              <w:top w:val="single" w:sz="6" w:space="0" w:color="000000"/>
            </w:tcBorders>
            <w:vAlign w:val="center"/>
          </w:tcPr>
          <w:p w14:paraId="7A238892" w14:textId="77777777" w:rsidR="004E22C1" w:rsidRPr="009D3012" w:rsidRDefault="004E22C1" w:rsidP="009A1397">
            <w:pPr>
              <w:pStyle w:val="Tablebody"/>
              <w:jc w:val="left"/>
              <w:rPr>
                <w:lang w:val="en-US"/>
              </w:rPr>
            </w:pPr>
            <w:r w:rsidRPr="009D3012">
              <w:rPr>
                <w:lang w:val="en-US"/>
              </w:rPr>
              <w:t xml:space="preserve">The values of </w:t>
            </w:r>
            <w:r w:rsidRPr="009D3012">
              <w:rPr>
                <w:rStyle w:val="CCMCvariableitalic"/>
                <w:lang w:val="en-US"/>
              </w:rPr>
              <w:t>c</w:t>
            </w:r>
            <w:r w:rsidRPr="009D3012">
              <w:rPr>
                <w:rStyle w:val="CCMCvariablesubscript"/>
                <w:lang w:val="en-US"/>
              </w:rPr>
              <w:t>min,dur</w:t>
            </w:r>
            <w:r w:rsidRPr="009D3012">
              <w:rPr>
                <w:lang w:val="en-US"/>
              </w:rPr>
              <w:t xml:space="preserve"> given in Tables 6.3(NDP), 6.4(NDP) and 6.5(NDP) should be increased by 5 mm.</w:t>
            </w:r>
          </w:p>
        </w:tc>
      </w:tr>
      <w:tr w:rsidR="009A1397" w:rsidRPr="001455DC" w14:paraId="6961FC3E" w14:textId="77777777" w:rsidTr="00A151D3">
        <w:trPr>
          <w:cantSplit/>
        </w:trPr>
        <w:tc>
          <w:tcPr>
            <w:tcW w:w="1247" w:type="dxa"/>
            <w:vMerge w:val="restart"/>
            <w:tcBorders>
              <w:top w:val="single" w:sz="6" w:space="0" w:color="000000"/>
            </w:tcBorders>
            <w:vAlign w:val="center"/>
          </w:tcPr>
          <w:p w14:paraId="0141F482" w14:textId="77777777" w:rsidR="009A1397" w:rsidRPr="001455DC" w:rsidRDefault="009A1397" w:rsidP="009A1397">
            <w:pPr>
              <w:pStyle w:val="Tablebody"/>
              <w:keepNext/>
              <w:jc w:val="left"/>
            </w:pPr>
            <w:r w:rsidRPr="001455DC">
              <w:t>8.1.4(2)</w:t>
            </w:r>
          </w:p>
        </w:tc>
        <w:tc>
          <w:tcPr>
            <w:tcW w:w="2608" w:type="dxa"/>
            <w:vMerge w:val="restart"/>
            <w:tcBorders>
              <w:top w:val="single" w:sz="6" w:space="0" w:color="000000"/>
            </w:tcBorders>
            <w:vAlign w:val="center"/>
          </w:tcPr>
          <w:p w14:paraId="5A4DC224" w14:textId="77777777" w:rsidR="009A1397" w:rsidRPr="001455DC" w:rsidRDefault="009A1397" w:rsidP="009A1397">
            <w:pPr>
              <w:pStyle w:val="Tablebody"/>
              <w:keepNext/>
              <w:jc w:val="left"/>
            </w:pPr>
            <w:r w:rsidRPr="001455DC">
              <w:t>Confined concrete</w:t>
            </w:r>
          </w:p>
        </w:tc>
        <w:tc>
          <w:tcPr>
            <w:tcW w:w="5897" w:type="dxa"/>
            <w:gridSpan w:val="2"/>
            <w:tcBorders>
              <w:top w:val="single" w:sz="6" w:space="0" w:color="000000"/>
              <w:bottom w:val="nil"/>
            </w:tcBorders>
            <w:vAlign w:val="center"/>
          </w:tcPr>
          <w:p w14:paraId="29818898" w14:textId="07FE3347" w:rsidR="009A1397" w:rsidRPr="009D3012" w:rsidRDefault="009A1397">
            <w:pPr>
              <w:pStyle w:val="Tablebody"/>
              <w:keepNext/>
              <w:jc w:val="left"/>
              <w:rPr>
                <w:lang w:val="en-US"/>
              </w:rPr>
            </w:pPr>
            <w:r w:rsidRPr="009D3012">
              <w:rPr>
                <w:lang w:val="en-US"/>
              </w:rPr>
              <w:t>Formulae (8.</w:t>
            </w:r>
            <w:r w:rsidR="00882485" w:rsidRPr="001455DC">
              <w:rPr>
                <w:lang w:val="en-US"/>
              </w:rPr>
              <w:t>6</w:t>
            </w:r>
            <w:r w:rsidRPr="009D3012">
              <w:rPr>
                <w:lang w:val="en-US"/>
              </w:rPr>
              <w:t>a) and (8.</w:t>
            </w:r>
            <w:r w:rsidR="00882485" w:rsidRPr="001455DC">
              <w:rPr>
                <w:lang w:val="en-US"/>
              </w:rPr>
              <w:t>6</w:t>
            </w:r>
            <w:r w:rsidR="00882485" w:rsidRPr="009D3012">
              <w:rPr>
                <w:lang w:val="en-US"/>
              </w:rPr>
              <w:t>b</w:t>
            </w:r>
            <w:r w:rsidRPr="009D3012">
              <w:rPr>
                <w:lang w:val="en-US"/>
              </w:rPr>
              <w:t>) shall be replaced by Formula (M.5):</w:t>
            </w:r>
          </w:p>
        </w:tc>
      </w:tr>
      <w:tr w:rsidR="009A1397" w:rsidRPr="001455DC" w14:paraId="1A9E69C8" w14:textId="77777777" w:rsidTr="00A151D3">
        <w:trPr>
          <w:cantSplit/>
        </w:trPr>
        <w:tc>
          <w:tcPr>
            <w:tcW w:w="1247" w:type="dxa"/>
            <w:vMerge/>
            <w:vAlign w:val="center"/>
          </w:tcPr>
          <w:p w14:paraId="189F201A" w14:textId="77777777" w:rsidR="009A1397" w:rsidRPr="009D3012" w:rsidRDefault="009A1397" w:rsidP="009A1397">
            <w:pPr>
              <w:pStyle w:val="Tablebody"/>
              <w:keepNext/>
              <w:jc w:val="left"/>
              <w:rPr>
                <w:lang w:val="en-US"/>
              </w:rPr>
            </w:pPr>
          </w:p>
        </w:tc>
        <w:tc>
          <w:tcPr>
            <w:tcW w:w="2608" w:type="dxa"/>
            <w:vMerge/>
            <w:vAlign w:val="center"/>
          </w:tcPr>
          <w:p w14:paraId="2B9F5758" w14:textId="77777777" w:rsidR="009A1397" w:rsidRPr="009D3012" w:rsidRDefault="009A1397" w:rsidP="009A1397">
            <w:pPr>
              <w:pStyle w:val="Tablebody"/>
              <w:keepNext/>
              <w:jc w:val="left"/>
              <w:rPr>
                <w:lang w:val="en-US"/>
              </w:rPr>
            </w:pPr>
          </w:p>
        </w:tc>
        <w:tc>
          <w:tcPr>
            <w:tcW w:w="5103" w:type="dxa"/>
            <w:tcBorders>
              <w:top w:val="nil"/>
              <w:bottom w:val="nil"/>
              <w:right w:val="nil"/>
            </w:tcBorders>
            <w:vAlign w:val="center"/>
          </w:tcPr>
          <w:p w14:paraId="6BDBD4DD" w14:textId="3E317394" w:rsidR="009A1397" w:rsidRPr="001455DC" w:rsidRDefault="009A1397" w:rsidP="009A1397">
            <w:pPr>
              <w:pStyle w:val="Tablebody"/>
              <w:keepNext/>
              <w:jc w:val="left"/>
            </w:pPr>
            <m:oMathPara>
              <m:oMathParaPr>
                <m:jc m:val="left"/>
              </m:oMathParaPr>
              <m:oMath>
                <m:r>
                  <m:rPr>
                    <m:sty m:val="p"/>
                  </m:rPr>
                  <w:rPr>
                    <w:rFonts w:ascii="Cambria Math" w:hAnsi="Cambria Math"/>
                  </w:rPr>
                  <m:t>Δ</m:t>
                </m:r>
                <m:sSub>
                  <m:sSubPr>
                    <m:ctrlPr>
                      <w:rPr>
                        <w:rFonts w:ascii="Cambria Math" w:hAnsi="Cambria Math"/>
                      </w:rPr>
                    </m:ctrlPr>
                  </m:sSubPr>
                  <m:e>
                    <m:r>
                      <w:rPr>
                        <w:rFonts w:ascii="Cambria Math" w:hAnsi="Cambria Math"/>
                      </w:rPr>
                      <m:t>f</m:t>
                    </m:r>
                  </m:e>
                  <m:sub>
                    <m:r>
                      <m:rPr>
                        <m:sty m:val="p"/>
                      </m:rPr>
                      <w:rPr>
                        <w:rFonts w:ascii="Cambria Math" w:hAnsi="Cambria Math"/>
                      </w:rPr>
                      <m:t>cd</m:t>
                    </m:r>
                  </m:sub>
                </m:sSub>
                <m:r>
                  <w:rPr>
                    <w:rFonts w:ascii="Cambria Math" w:hAnsi="Cambria Math"/>
                  </w:rPr>
                  <m:t xml:space="preserve"> = </m:t>
                </m:r>
                <m:sSub>
                  <m:sSubPr>
                    <m:ctrlPr>
                      <w:rPr>
                        <w:rFonts w:ascii="Cambria Math" w:hAnsi="Cambria Math"/>
                      </w:rPr>
                    </m:ctrlPr>
                  </m:sSubPr>
                  <m:e>
                    <m:r>
                      <w:rPr>
                        <w:rFonts w:ascii="Cambria Math" w:hAnsi="Cambria Math"/>
                      </w:rPr>
                      <m:t>σ</m:t>
                    </m:r>
                  </m:e>
                  <m:sub>
                    <m:r>
                      <m:rPr>
                        <m:sty m:val="p"/>
                      </m:rPr>
                      <w:rPr>
                        <w:rFonts w:ascii="Cambria Math" w:hAnsi="Cambria Math"/>
                      </w:rPr>
                      <m:t>c2d</m:t>
                    </m:r>
                  </m:sub>
                </m:sSub>
              </m:oMath>
            </m:oMathPara>
          </w:p>
        </w:tc>
        <w:tc>
          <w:tcPr>
            <w:tcW w:w="794" w:type="dxa"/>
            <w:tcBorders>
              <w:top w:val="nil"/>
              <w:left w:val="nil"/>
              <w:bottom w:val="nil"/>
            </w:tcBorders>
            <w:vAlign w:val="center"/>
          </w:tcPr>
          <w:p w14:paraId="1AE692E7" w14:textId="3757308D" w:rsidR="009A1397" w:rsidRPr="001455DC" w:rsidRDefault="009A1397" w:rsidP="009A1397">
            <w:pPr>
              <w:pStyle w:val="Tablebody"/>
              <w:keepNext/>
              <w:jc w:val="right"/>
            </w:pPr>
            <w:r w:rsidRPr="001455DC">
              <w:t>(M.5a)</w:t>
            </w:r>
          </w:p>
        </w:tc>
      </w:tr>
      <w:tr w:rsidR="009A1397" w:rsidRPr="001455DC" w14:paraId="58A993D1" w14:textId="77777777" w:rsidTr="00A151D3">
        <w:trPr>
          <w:cantSplit/>
        </w:trPr>
        <w:tc>
          <w:tcPr>
            <w:tcW w:w="1247" w:type="dxa"/>
            <w:vMerge/>
            <w:tcBorders>
              <w:bottom w:val="single" w:sz="6" w:space="0" w:color="000000"/>
            </w:tcBorders>
            <w:vAlign w:val="center"/>
          </w:tcPr>
          <w:p w14:paraId="19D7544D" w14:textId="77777777" w:rsidR="009A1397" w:rsidRPr="009D3012" w:rsidRDefault="009A1397" w:rsidP="009A1397">
            <w:pPr>
              <w:pStyle w:val="Tablebody"/>
              <w:jc w:val="left"/>
            </w:pPr>
          </w:p>
        </w:tc>
        <w:tc>
          <w:tcPr>
            <w:tcW w:w="2608" w:type="dxa"/>
            <w:vMerge/>
            <w:tcBorders>
              <w:bottom w:val="single" w:sz="6" w:space="0" w:color="000000"/>
            </w:tcBorders>
            <w:vAlign w:val="center"/>
          </w:tcPr>
          <w:p w14:paraId="74C9C3D8" w14:textId="77777777" w:rsidR="009A1397" w:rsidRPr="001455DC" w:rsidRDefault="009A1397" w:rsidP="009A1397">
            <w:pPr>
              <w:pStyle w:val="Tablebody"/>
              <w:jc w:val="left"/>
            </w:pPr>
          </w:p>
        </w:tc>
        <w:tc>
          <w:tcPr>
            <w:tcW w:w="5103" w:type="dxa"/>
            <w:tcBorders>
              <w:top w:val="nil"/>
              <w:bottom w:val="single" w:sz="6" w:space="0" w:color="000000"/>
              <w:right w:val="nil"/>
            </w:tcBorders>
            <w:vAlign w:val="center"/>
          </w:tcPr>
          <w:p w14:paraId="55D0A921" w14:textId="18C9C2A9" w:rsidR="009A1397" w:rsidRPr="001455DC" w:rsidRDefault="009A1397" w:rsidP="009A1397">
            <w:pPr>
              <w:pStyle w:val="Tablebody"/>
              <w:jc w:val="left"/>
            </w:pPr>
            <m:oMathPara>
              <m:oMathParaPr>
                <m:jc m:val="left"/>
              </m:oMathParaPr>
              <m:oMath>
                <m:r>
                  <m:rPr>
                    <m:sty m:val="p"/>
                  </m:rPr>
                  <w:rPr>
                    <w:rFonts w:ascii="Cambria Math" w:hAnsi="Cambria Math"/>
                  </w:rPr>
                  <m:t>Δ</m:t>
                </m:r>
                <m:sSub>
                  <m:sSubPr>
                    <m:ctrlPr>
                      <w:rPr>
                        <w:rFonts w:ascii="Cambria Math" w:hAnsi="Cambria Math"/>
                      </w:rPr>
                    </m:ctrlPr>
                  </m:sSubPr>
                  <m:e>
                    <m:r>
                      <w:rPr>
                        <w:rFonts w:ascii="Cambria Math" w:hAnsi="Cambria Math"/>
                      </w:rPr>
                      <m:t>f</m:t>
                    </m:r>
                  </m:e>
                  <m:sub>
                    <m:r>
                      <m:rPr>
                        <m:sty m:val="p"/>
                      </m:rPr>
                      <w:rPr>
                        <w:rFonts w:ascii="Cambria Math" w:hAnsi="Cambria Math"/>
                      </w:rPr>
                      <m:t>cd</m:t>
                    </m:r>
                  </m:sub>
                </m:sSub>
                <m:r>
                  <w:rPr>
                    <w:rFonts w:ascii="Cambria Math" w:hAnsi="Cambria Math"/>
                  </w:rPr>
                  <m:t xml:space="preserve"> = 0,88</m:t>
                </m:r>
                <m:sSubSup>
                  <m:sSubSupPr>
                    <m:ctrlPr>
                      <w:rPr>
                        <w:rFonts w:ascii="Cambria Math" w:hAnsi="Cambria Math"/>
                      </w:rPr>
                    </m:ctrlPr>
                  </m:sSubSupPr>
                  <m:e>
                    <m:r>
                      <w:rPr>
                        <w:rFonts w:ascii="Cambria Math" w:hAnsi="Cambria Math"/>
                      </w:rPr>
                      <m:t>σ</m:t>
                    </m:r>
                  </m:e>
                  <m:sub>
                    <m:r>
                      <m:rPr>
                        <m:sty m:val="p"/>
                      </m:rPr>
                      <w:rPr>
                        <w:rFonts w:ascii="Cambria Math" w:hAnsi="Cambria Math"/>
                      </w:rPr>
                      <m:t>c2d</m:t>
                    </m:r>
                  </m:sub>
                  <m:sup>
                    <m:f>
                      <m:fPr>
                        <m:type m:val="lin"/>
                        <m:ctrlPr>
                          <w:rPr>
                            <w:rFonts w:ascii="Cambria Math" w:hAnsi="Cambria Math"/>
                          </w:rPr>
                        </m:ctrlPr>
                      </m:fPr>
                      <m:num>
                        <m:r>
                          <w:rPr>
                            <w:rFonts w:ascii="Cambria Math" w:hAnsi="Cambria Math"/>
                          </w:rPr>
                          <m:t>3</m:t>
                        </m:r>
                      </m:num>
                      <m:den>
                        <m:r>
                          <w:rPr>
                            <w:rFonts w:ascii="Cambria Math" w:hAnsi="Cambria Math"/>
                          </w:rPr>
                          <m:t>4</m:t>
                        </m:r>
                      </m:den>
                    </m:f>
                  </m:sup>
                </m:sSubSup>
                <m:r>
                  <w:rPr>
                    <w:rFonts w:ascii="Cambria Math" w:hAnsi="Cambria Math"/>
                  </w:rPr>
                  <m:t>⋅</m:t>
                </m:r>
                <m:sSubSup>
                  <m:sSubSupPr>
                    <m:ctrlPr>
                      <w:rPr>
                        <w:rFonts w:ascii="Cambria Math" w:hAnsi="Cambria Math"/>
                      </w:rPr>
                    </m:ctrlPr>
                  </m:sSubSupPr>
                  <m:e>
                    <m:r>
                      <w:rPr>
                        <w:rFonts w:ascii="Cambria Math" w:hAnsi="Cambria Math"/>
                      </w:rPr>
                      <m:t>f</m:t>
                    </m:r>
                  </m:e>
                  <m:sub>
                    <m:r>
                      <m:rPr>
                        <m:sty m:val="p"/>
                      </m:rPr>
                      <w:rPr>
                        <w:rFonts w:ascii="Cambria Math" w:hAnsi="Cambria Math"/>
                      </w:rPr>
                      <m:t>cd</m:t>
                    </m:r>
                  </m:sub>
                  <m:sup>
                    <m:f>
                      <m:fPr>
                        <m:type m:val="lin"/>
                        <m:ctrlPr>
                          <w:rPr>
                            <w:rFonts w:ascii="Cambria Math" w:hAnsi="Cambria Math"/>
                          </w:rPr>
                        </m:ctrlPr>
                      </m:fPr>
                      <m:num>
                        <m:r>
                          <w:rPr>
                            <w:rFonts w:ascii="Cambria Math" w:hAnsi="Cambria Math"/>
                          </w:rPr>
                          <m:t>1</m:t>
                        </m:r>
                      </m:num>
                      <m:den>
                        <m:r>
                          <w:rPr>
                            <w:rFonts w:ascii="Cambria Math" w:hAnsi="Cambria Math"/>
                          </w:rPr>
                          <m:t>4</m:t>
                        </m:r>
                      </m:den>
                    </m:f>
                  </m:sup>
                </m:sSubSup>
              </m:oMath>
            </m:oMathPara>
          </w:p>
        </w:tc>
        <w:tc>
          <w:tcPr>
            <w:tcW w:w="794" w:type="dxa"/>
            <w:tcBorders>
              <w:top w:val="nil"/>
              <w:left w:val="nil"/>
              <w:bottom w:val="single" w:sz="6" w:space="0" w:color="000000"/>
            </w:tcBorders>
            <w:vAlign w:val="center"/>
          </w:tcPr>
          <w:p w14:paraId="7B6B264F" w14:textId="2A8DAEC2" w:rsidR="009A1397" w:rsidRPr="001455DC" w:rsidRDefault="009A1397" w:rsidP="009A1397">
            <w:pPr>
              <w:pStyle w:val="Tablebody"/>
              <w:jc w:val="right"/>
            </w:pPr>
            <w:r w:rsidRPr="001455DC">
              <w:t>(M.5b)</w:t>
            </w:r>
          </w:p>
        </w:tc>
      </w:tr>
      <w:tr w:rsidR="004E22C1" w:rsidRPr="001455DC" w14:paraId="3EF8A096" w14:textId="77777777" w:rsidTr="00A151D3">
        <w:trPr>
          <w:cantSplit/>
        </w:trPr>
        <w:tc>
          <w:tcPr>
            <w:tcW w:w="1247" w:type="dxa"/>
            <w:tcBorders>
              <w:top w:val="single" w:sz="6" w:space="0" w:color="000000"/>
            </w:tcBorders>
            <w:vAlign w:val="center"/>
          </w:tcPr>
          <w:p w14:paraId="6F16CC3C" w14:textId="77777777" w:rsidR="004E22C1" w:rsidRPr="001455DC" w:rsidRDefault="004E22C1" w:rsidP="009A1397">
            <w:pPr>
              <w:pStyle w:val="Tablebody"/>
              <w:jc w:val="left"/>
            </w:pPr>
            <w:r w:rsidRPr="001455DC">
              <w:t>8.1.4(2), 8.2.1(4), 8.2.2(2) 8.4.3(1)</w:t>
            </w:r>
          </w:p>
        </w:tc>
        <w:tc>
          <w:tcPr>
            <w:tcW w:w="2608" w:type="dxa"/>
            <w:tcBorders>
              <w:top w:val="single" w:sz="6" w:space="0" w:color="000000"/>
            </w:tcBorders>
            <w:vAlign w:val="center"/>
          </w:tcPr>
          <w:p w14:paraId="58A60159" w14:textId="77777777" w:rsidR="004E22C1" w:rsidRPr="009D3012" w:rsidRDefault="004E22C1" w:rsidP="009A1397">
            <w:pPr>
              <w:pStyle w:val="Tablebody"/>
              <w:jc w:val="left"/>
              <w:rPr>
                <w:lang w:val="en-US"/>
              </w:rPr>
            </w:pPr>
            <w:r w:rsidRPr="009D3012">
              <w:rPr>
                <w:lang w:val="en-US"/>
              </w:rPr>
              <w:t xml:space="preserve">Parameter </w:t>
            </w:r>
            <w:r w:rsidRPr="009D3012">
              <w:rPr>
                <w:rStyle w:val="CCMCvariableitalic"/>
                <w:lang w:val="en-US"/>
              </w:rPr>
              <w:t>d</w:t>
            </w:r>
            <w:r w:rsidRPr="009D3012">
              <w:rPr>
                <w:rStyle w:val="CCMCvariablesubscript"/>
                <w:lang w:val="en-US"/>
              </w:rPr>
              <w:t>dg</w:t>
            </w:r>
            <w:r w:rsidRPr="009D3012">
              <w:rPr>
                <w:lang w:val="en-US"/>
              </w:rPr>
              <w:t xml:space="preserve"> affecting the resistance of confined concrete, the shear resistance of members not requiring design shear reinforcement and the punching shear resistance</w:t>
            </w:r>
          </w:p>
        </w:tc>
        <w:tc>
          <w:tcPr>
            <w:tcW w:w="5897" w:type="dxa"/>
            <w:gridSpan w:val="2"/>
            <w:tcBorders>
              <w:top w:val="single" w:sz="6" w:space="0" w:color="000000"/>
            </w:tcBorders>
            <w:vAlign w:val="center"/>
          </w:tcPr>
          <w:p w14:paraId="738E8E5E" w14:textId="6E4258F9" w:rsidR="004E22C1" w:rsidRPr="009D3012" w:rsidRDefault="004E22C1" w:rsidP="009A1397">
            <w:pPr>
              <w:pStyle w:val="Tablebody"/>
              <w:jc w:val="left"/>
              <w:rPr>
                <w:lang w:val="en-US"/>
              </w:rPr>
            </w:pPr>
            <w:r w:rsidRPr="009D3012">
              <w:rPr>
                <w:lang w:val="en-US"/>
              </w:rPr>
              <w:t xml:space="preserve">The parameter </w:t>
            </w:r>
            <w:r w:rsidRPr="009D3012">
              <w:rPr>
                <w:rStyle w:val="CCMCvariableitalic"/>
                <w:lang w:val="en-US"/>
              </w:rPr>
              <w:t>d</w:t>
            </w:r>
            <w:r w:rsidRPr="009D3012">
              <w:rPr>
                <w:rStyle w:val="CCMCvariablesubscript"/>
                <w:lang w:val="en-US"/>
              </w:rPr>
              <w:t>dg</w:t>
            </w:r>
            <w:r w:rsidRPr="009D3012">
              <w:rPr>
                <w:lang w:val="en-US"/>
              </w:rPr>
              <w:t xml:space="preserve"> taking account of concrete type and its aggregate properties shall be assumed as </w:t>
            </w:r>
            <w:r w:rsidRPr="009D3012">
              <w:rPr>
                <w:rStyle w:val="CCMCvariableitalic"/>
                <w:lang w:val="en-US"/>
              </w:rPr>
              <w:t>d</w:t>
            </w:r>
            <w:r w:rsidRPr="009D3012">
              <w:rPr>
                <w:rStyle w:val="CCMCvariablesubscript"/>
                <w:lang w:val="en-US"/>
              </w:rPr>
              <w:t>dg</w:t>
            </w:r>
            <w:r w:rsidRPr="009D3012">
              <w:rPr>
                <w:lang w:val="en-US"/>
              </w:rPr>
              <w:t> </w:t>
            </w:r>
            <w:r w:rsidR="00EC27D2" w:rsidRPr="009D3012">
              <w:rPr>
                <w:rFonts w:ascii="Cambria Math" w:hAnsi="Cambria Math"/>
                <w:lang w:val="en-US"/>
              </w:rPr>
              <w:t>=</w:t>
            </w:r>
            <w:r w:rsidRPr="009D3012">
              <w:rPr>
                <w:lang w:val="en-US"/>
              </w:rPr>
              <w:t> 16 mm.</w:t>
            </w:r>
          </w:p>
        </w:tc>
      </w:tr>
      <w:tr w:rsidR="009A1397" w:rsidRPr="001455DC" w14:paraId="6DDC42C0" w14:textId="77777777" w:rsidTr="00A151D3">
        <w:trPr>
          <w:cantSplit/>
        </w:trPr>
        <w:tc>
          <w:tcPr>
            <w:tcW w:w="1247" w:type="dxa"/>
            <w:vMerge w:val="restart"/>
            <w:vAlign w:val="center"/>
          </w:tcPr>
          <w:p w14:paraId="63357ED2" w14:textId="36ECA5A5" w:rsidR="009A1397" w:rsidRPr="001455DC" w:rsidRDefault="009A1397" w:rsidP="009A1397">
            <w:pPr>
              <w:pStyle w:val="Tablebody"/>
              <w:jc w:val="left"/>
            </w:pPr>
            <w:r w:rsidRPr="001455DC">
              <w:t>8.6(2)</w:t>
            </w:r>
          </w:p>
        </w:tc>
        <w:tc>
          <w:tcPr>
            <w:tcW w:w="2608" w:type="dxa"/>
            <w:vMerge w:val="restart"/>
            <w:vAlign w:val="center"/>
          </w:tcPr>
          <w:p w14:paraId="164F2073" w14:textId="77777777" w:rsidR="009A1397" w:rsidRPr="001455DC" w:rsidRDefault="009A1397" w:rsidP="009A1397">
            <w:pPr>
              <w:pStyle w:val="Tablebody"/>
              <w:jc w:val="left"/>
            </w:pPr>
            <w:r w:rsidRPr="001455DC">
              <w:t>Partially loaded areas</w:t>
            </w:r>
          </w:p>
        </w:tc>
        <w:tc>
          <w:tcPr>
            <w:tcW w:w="5897" w:type="dxa"/>
            <w:gridSpan w:val="2"/>
            <w:tcBorders>
              <w:bottom w:val="nil"/>
            </w:tcBorders>
            <w:vAlign w:val="center"/>
          </w:tcPr>
          <w:p w14:paraId="34E5C5A6" w14:textId="3E01EF5A" w:rsidR="009A1397" w:rsidRPr="009D3012" w:rsidRDefault="009A1397">
            <w:pPr>
              <w:pStyle w:val="Tablebody"/>
              <w:jc w:val="left"/>
              <w:rPr>
                <w:lang w:val="en-US"/>
              </w:rPr>
            </w:pPr>
            <w:r w:rsidRPr="009D3012">
              <w:rPr>
                <w:lang w:val="en-US"/>
              </w:rPr>
              <w:t>Formula (8.</w:t>
            </w:r>
            <w:r w:rsidR="001C2C7E" w:rsidRPr="001455DC">
              <w:rPr>
                <w:lang w:val="en-US"/>
              </w:rPr>
              <w:t>105</w:t>
            </w:r>
            <w:r w:rsidRPr="009D3012">
              <w:rPr>
                <w:lang w:val="en-US"/>
              </w:rPr>
              <w:t>) shall be replaced by Formula (M.6):</w:t>
            </w:r>
          </w:p>
        </w:tc>
      </w:tr>
      <w:tr w:rsidR="009A1397" w:rsidRPr="001455DC" w14:paraId="71A281F7" w14:textId="77777777" w:rsidTr="00A151D3">
        <w:trPr>
          <w:cantSplit/>
        </w:trPr>
        <w:tc>
          <w:tcPr>
            <w:tcW w:w="1247" w:type="dxa"/>
            <w:vMerge/>
            <w:tcBorders>
              <w:bottom w:val="single" w:sz="6" w:space="0" w:color="000000"/>
            </w:tcBorders>
            <w:vAlign w:val="center"/>
          </w:tcPr>
          <w:p w14:paraId="20BA2456" w14:textId="77777777" w:rsidR="009A1397" w:rsidRPr="009D3012" w:rsidRDefault="009A1397" w:rsidP="009A1397">
            <w:pPr>
              <w:pStyle w:val="Tablebody"/>
              <w:jc w:val="left"/>
              <w:rPr>
                <w:lang w:val="en-US"/>
              </w:rPr>
            </w:pPr>
          </w:p>
        </w:tc>
        <w:tc>
          <w:tcPr>
            <w:tcW w:w="2608" w:type="dxa"/>
            <w:vMerge/>
            <w:tcBorders>
              <w:bottom w:val="single" w:sz="6" w:space="0" w:color="000000"/>
            </w:tcBorders>
            <w:vAlign w:val="center"/>
          </w:tcPr>
          <w:p w14:paraId="2010A8EC" w14:textId="77777777" w:rsidR="009A1397" w:rsidRPr="009D3012" w:rsidRDefault="009A1397" w:rsidP="009A1397">
            <w:pPr>
              <w:pStyle w:val="Tablebody"/>
              <w:jc w:val="left"/>
              <w:rPr>
                <w:lang w:val="en-US"/>
              </w:rPr>
            </w:pPr>
          </w:p>
        </w:tc>
        <w:tc>
          <w:tcPr>
            <w:tcW w:w="5103" w:type="dxa"/>
            <w:tcBorders>
              <w:top w:val="nil"/>
              <w:bottom w:val="single" w:sz="6" w:space="0" w:color="000000"/>
              <w:right w:val="nil"/>
            </w:tcBorders>
            <w:vAlign w:val="center"/>
          </w:tcPr>
          <w:p w14:paraId="641C6E82" w14:textId="599F3E61" w:rsidR="009A1397" w:rsidRPr="001455DC" w:rsidRDefault="00231E33" w:rsidP="009A1397">
            <w:pPr>
              <w:pStyle w:val="Tablebody"/>
              <w:jc w:val="left"/>
            </w:pPr>
            <m:oMathPara>
              <m:oMathParaPr>
                <m:jc m:val="left"/>
              </m:oMathParaPr>
              <m:oMath>
                <m:sSub>
                  <m:sSubPr>
                    <m:ctrlPr>
                      <w:rPr>
                        <w:rFonts w:ascii="Cambria Math" w:hAnsi="Cambria Math"/>
                      </w:rPr>
                    </m:ctrlPr>
                  </m:sSubPr>
                  <m:e>
                    <m:r>
                      <w:rPr>
                        <w:rFonts w:ascii="Cambria Math" w:hAnsi="Cambria Math"/>
                      </w:rPr>
                      <m:t>σ</m:t>
                    </m:r>
                  </m:e>
                  <m:sub>
                    <m:r>
                      <m:rPr>
                        <m:sty m:val="p"/>
                      </m:rPr>
                      <w:rPr>
                        <w:rFonts w:ascii="Cambria Math" w:hAnsi="Cambria Math"/>
                      </w:rPr>
                      <m:t>Rdu</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cd</m:t>
                    </m:r>
                  </m:sub>
                </m:sSub>
                <m:r>
                  <w:rPr>
                    <w:rFonts w:ascii="Cambria Math" w:hAnsi="Cambria Math"/>
                  </w:rPr>
                  <m:t>⋅</m:t>
                </m:r>
                <m:d>
                  <m:dPr>
                    <m:begChr m:val="["/>
                    <m:sepChr m:val=""/>
                    <m:endChr m:val="]"/>
                    <m:ctrlPr>
                      <w:rPr>
                        <w:rFonts w:ascii="Cambria Math" w:hAnsi="Cambria Math"/>
                      </w:rPr>
                    </m:ctrlPr>
                  </m:dPr>
                  <m:e>
                    <m:sSub>
                      <m:sSubPr>
                        <m:ctrlPr>
                          <w:rPr>
                            <w:rFonts w:ascii="Cambria Math" w:hAnsi="Cambria Math"/>
                          </w:rPr>
                        </m:ctrlPr>
                      </m:sSubPr>
                      <m:e>
                        <m:r>
                          <w:rPr>
                            <w:rFonts w:ascii="Cambria Math" w:hAnsi="Cambria Math"/>
                          </w:rPr>
                          <m:t>A</m:t>
                        </m:r>
                      </m:e>
                      <m:sub>
                        <m:r>
                          <m:rPr>
                            <m:sty m:val="p"/>
                          </m:rPr>
                          <w:rPr>
                            <w:rFonts w:ascii="Cambria Math" w:hAnsi="Cambria Math"/>
                          </w:rPr>
                          <m:t>c1</m:t>
                        </m:r>
                      </m:sub>
                    </m:sSub>
                  </m:e>
                  <m:e>
                    <m:r>
                      <w:rPr>
                        <w:rFonts w:ascii="Cambria Math" w:hAnsi="Cambria Math"/>
                      </w:rPr>
                      <m:t>/</m:t>
                    </m:r>
                  </m:e>
                  <m:e>
                    <m:sSub>
                      <m:sSubPr>
                        <m:ctrlPr>
                          <w:rPr>
                            <w:rFonts w:ascii="Cambria Math" w:hAnsi="Cambria Math"/>
                          </w:rPr>
                        </m:ctrlPr>
                      </m:sSubPr>
                      <m:e>
                        <m:r>
                          <w:rPr>
                            <w:rFonts w:ascii="Cambria Math" w:hAnsi="Cambria Math"/>
                          </w:rPr>
                          <m:t>A</m:t>
                        </m:r>
                      </m:e>
                      <m:sub>
                        <m:r>
                          <m:rPr>
                            <m:sty m:val="p"/>
                          </m:rPr>
                          <w:rPr>
                            <w:rFonts w:ascii="Cambria Math" w:hAnsi="Cambria Math"/>
                          </w:rPr>
                          <m:t>c0</m:t>
                        </m:r>
                      </m:sub>
                    </m:sSub>
                  </m:e>
                </m:d>
                <m:sSup>
                  <m:sSupPr>
                    <m:ctrlPr>
                      <w:rPr>
                        <w:rFonts w:ascii="Cambria Math" w:hAnsi="Cambria Math"/>
                      </w:rPr>
                    </m:ctrlPr>
                  </m:sSupPr>
                  <m:e>
                    <m:r>
                      <w:rPr>
                        <w:rFonts w:ascii="Cambria Math" w:hAnsi="Cambria Math"/>
                      </w:rPr>
                      <m:t xml:space="preserve"> </m:t>
                    </m:r>
                  </m:e>
                  <m:sup>
                    <m:f>
                      <m:fPr>
                        <m:ctrlPr>
                          <w:rPr>
                            <w:rFonts w:ascii="Cambria Math" w:hAnsi="Cambria Math"/>
                          </w:rPr>
                        </m:ctrlPr>
                      </m:fPr>
                      <m:num>
                        <m:sSub>
                          <m:sSubPr>
                            <m:ctrlPr>
                              <w:rPr>
                                <w:rFonts w:ascii="Cambria Math" w:hAnsi="Cambria Math"/>
                              </w:rPr>
                            </m:ctrlPr>
                          </m:sSubPr>
                          <m:e>
                            <m:r>
                              <w:rPr>
                                <w:rFonts w:ascii="Cambria Math" w:hAnsi="Cambria Math"/>
                              </w:rPr>
                              <m:t>η</m:t>
                            </m:r>
                          </m:e>
                          <m:sub>
                            <m:r>
                              <m:rPr>
                                <m:sty m:val="p"/>
                              </m:rPr>
                              <w:rPr>
                                <w:rFonts w:ascii="Cambria Math" w:hAnsi="Cambria Math"/>
                              </w:rPr>
                              <m:t>lw,fc</m:t>
                            </m:r>
                          </m:sub>
                        </m:sSub>
                      </m:num>
                      <m:den>
                        <m:r>
                          <w:rPr>
                            <w:rFonts w:ascii="Cambria Math" w:hAnsi="Cambria Math"/>
                          </w:rPr>
                          <m:t>2</m:t>
                        </m:r>
                      </m:den>
                    </m:f>
                  </m:sup>
                </m:sSup>
                <m:r>
                  <w:rPr>
                    <w:rFonts w:ascii="Cambria Math" w:hAnsi="Cambria Math"/>
                  </w:rPr>
                  <m:t xml:space="preserve"> ≤ 3,0⋅</m:t>
                </m:r>
                <m:sSub>
                  <m:sSubPr>
                    <m:ctrlPr>
                      <w:rPr>
                        <w:rFonts w:ascii="Cambria Math" w:hAnsi="Cambria Math"/>
                      </w:rPr>
                    </m:ctrlPr>
                  </m:sSubPr>
                  <m:e>
                    <m:r>
                      <w:rPr>
                        <w:rFonts w:ascii="Cambria Math" w:hAnsi="Cambria Math"/>
                      </w:rPr>
                      <m:t>η</m:t>
                    </m:r>
                  </m:e>
                  <m:sub>
                    <m:r>
                      <m:rPr>
                        <m:sty m:val="p"/>
                      </m:rPr>
                      <w:rPr>
                        <w:rFonts w:ascii="Cambria Math" w:hAnsi="Cambria Math"/>
                      </w:rPr>
                      <m:t>lw,fc</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cd</m:t>
                    </m:r>
                  </m:sub>
                </m:sSub>
              </m:oMath>
            </m:oMathPara>
          </w:p>
        </w:tc>
        <w:tc>
          <w:tcPr>
            <w:tcW w:w="794" w:type="dxa"/>
            <w:tcBorders>
              <w:top w:val="nil"/>
              <w:left w:val="nil"/>
              <w:bottom w:val="single" w:sz="6" w:space="0" w:color="000000"/>
            </w:tcBorders>
            <w:vAlign w:val="center"/>
          </w:tcPr>
          <w:p w14:paraId="3A2D299F" w14:textId="226F4804" w:rsidR="009A1397" w:rsidRPr="001455DC" w:rsidRDefault="009A1397" w:rsidP="009A1397">
            <w:pPr>
              <w:pStyle w:val="Tablebody"/>
              <w:jc w:val="right"/>
            </w:pPr>
            <w:r w:rsidRPr="001455DC">
              <w:t>(M.6)</w:t>
            </w:r>
          </w:p>
        </w:tc>
      </w:tr>
      <w:tr w:rsidR="004E22C1" w:rsidRPr="001455DC" w14:paraId="58B8255C" w14:textId="77777777" w:rsidTr="00A151D3">
        <w:trPr>
          <w:cantSplit/>
        </w:trPr>
        <w:tc>
          <w:tcPr>
            <w:tcW w:w="1247" w:type="dxa"/>
            <w:tcBorders>
              <w:top w:val="single" w:sz="6" w:space="0" w:color="000000"/>
            </w:tcBorders>
            <w:vAlign w:val="center"/>
          </w:tcPr>
          <w:p w14:paraId="35F9AA99" w14:textId="77777777" w:rsidR="004E22C1" w:rsidRPr="001455DC" w:rsidRDefault="004E22C1" w:rsidP="009A1397">
            <w:pPr>
              <w:pStyle w:val="Tablebody"/>
              <w:jc w:val="left"/>
            </w:pPr>
            <w:r w:rsidRPr="001455DC">
              <w:t>9.3.2(1), Table 9.2</w:t>
            </w:r>
          </w:p>
        </w:tc>
        <w:tc>
          <w:tcPr>
            <w:tcW w:w="2608" w:type="dxa"/>
            <w:tcBorders>
              <w:top w:val="single" w:sz="6" w:space="0" w:color="000000"/>
            </w:tcBorders>
            <w:vAlign w:val="center"/>
          </w:tcPr>
          <w:p w14:paraId="46128A52" w14:textId="77777777" w:rsidR="004E22C1" w:rsidRPr="001455DC" w:rsidRDefault="004E22C1" w:rsidP="009A1397">
            <w:pPr>
              <w:pStyle w:val="Tablebody"/>
              <w:jc w:val="left"/>
            </w:pPr>
            <w:r w:rsidRPr="001455DC">
              <w:t>Deflection control</w:t>
            </w:r>
          </w:p>
        </w:tc>
        <w:tc>
          <w:tcPr>
            <w:tcW w:w="5897" w:type="dxa"/>
            <w:gridSpan w:val="2"/>
            <w:tcBorders>
              <w:top w:val="single" w:sz="6" w:space="0" w:color="000000"/>
            </w:tcBorders>
            <w:vAlign w:val="center"/>
          </w:tcPr>
          <w:p w14:paraId="5051445B" w14:textId="77777777" w:rsidR="004E22C1" w:rsidRPr="009D3012" w:rsidRDefault="004E22C1" w:rsidP="009A1397">
            <w:pPr>
              <w:pStyle w:val="Tablebody"/>
              <w:jc w:val="left"/>
              <w:rPr>
                <w:lang w:val="en-US"/>
              </w:rPr>
            </w:pPr>
            <w:r w:rsidRPr="009D3012">
              <w:rPr>
                <w:lang w:val="en-US"/>
              </w:rPr>
              <w:t xml:space="preserve">The basic ratios of span/effective depth for reinforced concrete members given in Table 9.2, should be reduced by a factor </w:t>
            </w:r>
            <w:r w:rsidRPr="001455DC">
              <w:rPr>
                <w:rStyle w:val="CCMCvariableitalic"/>
              </w:rPr>
              <w:t>η</w:t>
            </w:r>
            <w:r w:rsidRPr="009D3012">
              <w:rPr>
                <w:rStyle w:val="CCMCvariablesubscript"/>
                <w:lang w:val="en-US"/>
              </w:rPr>
              <w:t>lw,Ec</w:t>
            </w:r>
            <w:r w:rsidRPr="009D3012">
              <w:rPr>
                <w:rStyle w:val="CCMCvariablesuperscript"/>
                <w:lang w:val="en-US"/>
              </w:rPr>
              <w:t>0,15</w:t>
            </w:r>
            <w:r w:rsidRPr="009D3012">
              <w:rPr>
                <w:lang w:val="en-US"/>
              </w:rPr>
              <w:t>.</w:t>
            </w:r>
          </w:p>
        </w:tc>
      </w:tr>
      <w:tr w:rsidR="004E22C1" w:rsidRPr="001455DC" w14:paraId="4D5F35A5" w14:textId="77777777" w:rsidTr="00A151D3">
        <w:trPr>
          <w:cantSplit/>
        </w:trPr>
        <w:tc>
          <w:tcPr>
            <w:tcW w:w="1247" w:type="dxa"/>
            <w:vAlign w:val="center"/>
          </w:tcPr>
          <w:p w14:paraId="2B7E0D25" w14:textId="77777777" w:rsidR="004E22C1" w:rsidRPr="001455DC" w:rsidRDefault="004E22C1" w:rsidP="009A1397">
            <w:pPr>
              <w:pStyle w:val="Tablebody"/>
              <w:jc w:val="left"/>
            </w:pPr>
            <w:r w:rsidRPr="001455DC">
              <w:t>11.3(4) and 11.3(5)</w:t>
            </w:r>
          </w:p>
        </w:tc>
        <w:tc>
          <w:tcPr>
            <w:tcW w:w="2608" w:type="dxa"/>
            <w:vAlign w:val="center"/>
          </w:tcPr>
          <w:p w14:paraId="1DCB0C4D" w14:textId="77777777" w:rsidR="004E22C1" w:rsidRPr="009D3012" w:rsidRDefault="004E22C1" w:rsidP="009A1397">
            <w:pPr>
              <w:pStyle w:val="Tablebody"/>
              <w:jc w:val="left"/>
              <w:rPr>
                <w:lang w:val="en-US"/>
              </w:rPr>
            </w:pPr>
            <w:r w:rsidRPr="009D3012">
              <w:rPr>
                <w:lang w:val="en-US"/>
              </w:rPr>
              <w:t>Permissible mandrel diameter for bent bars</w:t>
            </w:r>
          </w:p>
        </w:tc>
        <w:tc>
          <w:tcPr>
            <w:tcW w:w="5897" w:type="dxa"/>
            <w:gridSpan w:val="2"/>
            <w:vAlign w:val="center"/>
          </w:tcPr>
          <w:p w14:paraId="11A3A0DF" w14:textId="6B483140" w:rsidR="004E22C1" w:rsidRPr="009D3012" w:rsidRDefault="004E22C1">
            <w:pPr>
              <w:pStyle w:val="Tablebody"/>
              <w:jc w:val="left"/>
              <w:rPr>
                <w:lang w:val="en-US"/>
              </w:rPr>
            </w:pPr>
            <w:r w:rsidRPr="009D3012">
              <w:rPr>
                <w:lang w:val="en-US"/>
              </w:rPr>
              <w:t>The required minimum mandrel diameter to avoid concrete failures according to 11.3(4) shall be increased by factor 1/</w:t>
            </w:r>
            <w:r w:rsidRPr="001455DC">
              <w:rPr>
                <w:rStyle w:val="CCMCvariableitalic"/>
              </w:rPr>
              <w:t>η</w:t>
            </w:r>
            <w:r w:rsidRPr="009D3012">
              <w:rPr>
                <w:rStyle w:val="CCMCvariablesubscript"/>
                <w:lang w:val="en-US"/>
              </w:rPr>
              <w:t>lw,fct</w:t>
            </w:r>
            <w:r w:rsidRPr="009D3012">
              <w:rPr>
                <w:lang w:val="en-US"/>
              </w:rPr>
              <w:t xml:space="preserve"> (coefficient </w:t>
            </w:r>
            <w:r w:rsidRPr="001455DC">
              <w:rPr>
                <w:rStyle w:val="CCMCvariableitalic"/>
              </w:rPr>
              <w:t>η</w:t>
            </w:r>
            <w:r w:rsidRPr="009D3012">
              <w:rPr>
                <w:rStyle w:val="CCMCvariablesubscript"/>
                <w:lang w:val="en-US"/>
              </w:rPr>
              <w:t>lw,fct</w:t>
            </w:r>
            <w:r w:rsidRPr="009D3012">
              <w:rPr>
                <w:lang w:val="en-US"/>
              </w:rPr>
              <w:t xml:space="preserve"> according to Table M.1)</w:t>
            </w:r>
          </w:p>
        </w:tc>
      </w:tr>
      <w:tr w:rsidR="004E22C1" w:rsidRPr="001455DC" w14:paraId="55375835" w14:textId="77777777" w:rsidTr="00A151D3">
        <w:trPr>
          <w:cantSplit/>
        </w:trPr>
        <w:tc>
          <w:tcPr>
            <w:tcW w:w="1247" w:type="dxa"/>
            <w:vAlign w:val="center"/>
          </w:tcPr>
          <w:p w14:paraId="5899E257" w14:textId="77777777" w:rsidR="004E22C1" w:rsidRPr="001455DC" w:rsidRDefault="004E22C1" w:rsidP="009A1397">
            <w:pPr>
              <w:pStyle w:val="Tablebody"/>
              <w:jc w:val="left"/>
            </w:pPr>
            <w:r w:rsidRPr="001455DC">
              <w:t>11.4.2, 11.5.2</w:t>
            </w:r>
          </w:p>
        </w:tc>
        <w:tc>
          <w:tcPr>
            <w:tcW w:w="2608" w:type="dxa"/>
            <w:vAlign w:val="center"/>
          </w:tcPr>
          <w:p w14:paraId="228D16EC" w14:textId="77777777" w:rsidR="004E22C1" w:rsidRPr="009D3012" w:rsidRDefault="004E22C1" w:rsidP="009A1397">
            <w:pPr>
              <w:pStyle w:val="Tablebody"/>
              <w:jc w:val="left"/>
              <w:rPr>
                <w:lang w:val="en-US"/>
              </w:rPr>
            </w:pPr>
            <w:r w:rsidRPr="009D3012">
              <w:rPr>
                <w:lang w:val="en-US"/>
              </w:rPr>
              <w:t>Anchorages and laps of bars</w:t>
            </w:r>
          </w:p>
        </w:tc>
        <w:tc>
          <w:tcPr>
            <w:tcW w:w="5897" w:type="dxa"/>
            <w:gridSpan w:val="2"/>
            <w:vAlign w:val="center"/>
          </w:tcPr>
          <w:p w14:paraId="19B5241E" w14:textId="77777777" w:rsidR="004E22C1" w:rsidRPr="009D3012" w:rsidRDefault="004E22C1" w:rsidP="009A1397">
            <w:pPr>
              <w:pStyle w:val="Tablebody"/>
              <w:jc w:val="left"/>
              <w:rPr>
                <w:lang w:val="en-US"/>
              </w:rPr>
            </w:pPr>
            <w:r w:rsidRPr="009D3012">
              <w:rPr>
                <w:lang w:val="en-US"/>
              </w:rPr>
              <w:t xml:space="preserve">The design anchorage lengths </w:t>
            </w:r>
            <w:r w:rsidRPr="009D3012">
              <w:rPr>
                <w:rStyle w:val="CCMCvariableitalic"/>
                <w:lang w:val="en-US"/>
              </w:rPr>
              <w:t>ℓ</w:t>
            </w:r>
            <w:r w:rsidRPr="009D3012">
              <w:rPr>
                <w:rStyle w:val="CCMCvariablesubscript"/>
                <w:lang w:val="en-US"/>
              </w:rPr>
              <w:t>bd,req</w:t>
            </w:r>
            <w:r w:rsidRPr="009D3012">
              <w:rPr>
                <w:lang w:val="en-US"/>
              </w:rPr>
              <w:t xml:space="preserve"> according to 11.4.2 and the design lengths of lap splices </w:t>
            </w:r>
            <w:r w:rsidRPr="009D3012">
              <w:rPr>
                <w:rStyle w:val="CCMCvariableitalic"/>
                <w:lang w:val="en-US"/>
              </w:rPr>
              <w:t>ℓ</w:t>
            </w:r>
            <w:r w:rsidRPr="009D3012">
              <w:rPr>
                <w:rStyle w:val="CCMCvariablesubscript"/>
                <w:lang w:val="en-US"/>
              </w:rPr>
              <w:t>sd,req</w:t>
            </w:r>
            <w:r w:rsidRPr="009D3012">
              <w:rPr>
                <w:lang w:val="en-US"/>
              </w:rPr>
              <w:t xml:space="preserve"> according to 11.5.2 shall be increased by factor 1/</w:t>
            </w:r>
            <w:r w:rsidRPr="001455DC">
              <w:rPr>
                <w:rStyle w:val="CCMCvariableitalic"/>
              </w:rPr>
              <w:t>η</w:t>
            </w:r>
            <w:r w:rsidRPr="009D3012">
              <w:rPr>
                <w:rStyle w:val="CCMCvariablesubscript"/>
                <w:lang w:val="en-US"/>
              </w:rPr>
              <w:t>lw,fct</w:t>
            </w:r>
            <w:r w:rsidRPr="009D3012">
              <w:rPr>
                <w:lang w:val="en-US"/>
              </w:rPr>
              <w:t xml:space="preserve"> (coefficient </w:t>
            </w:r>
            <w:r w:rsidRPr="001455DC">
              <w:rPr>
                <w:rStyle w:val="CCMCvariableitalic"/>
              </w:rPr>
              <w:t>η</w:t>
            </w:r>
            <w:r w:rsidRPr="009D3012">
              <w:rPr>
                <w:rStyle w:val="CCMCvariablesubscript"/>
                <w:lang w:val="en-US"/>
              </w:rPr>
              <w:t>lw,fct</w:t>
            </w:r>
            <w:r w:rsidRPr="009D3012">
              <w:rPr>
                <w:lang w:val="en-US"/>
              </w:rPr>
              <w:t xml:space="preserve"> according to Table M.1)</w:t>
            </w:r>
          </w:p>
        </w:tc>
      </w:tr>
      <w:tr w:rsidR="004E22C1" w:rsidRPr="001455DC" w14:paraId="154D9D0C" w14:textId="77777777" w:rsidTr="00A151D3">
        <w:trPr>
          <w:cantSplit/>
        </w:trPr>
        <w:tc>
          <w:tcPr>
            <w:tcW w:w="1247" w:type="dxa"/>
            <w:vAlign w:val="center"/>
          </w:tcPr>
          <w:p w14:paraId="473FC3C4" w14:textId="4B96511F" w:rsidR="004E22C1" w:rsidRPr="001455DC" w:rsidRDefault="004E22C1">
            <w:pPr>
              <w:pStyle w:val="Tablebody"/>
              <w:jc w:val="left"/>
            </w:pPr>
            <w:r w:rsidRPr="001455DC">
              <w:t>B.</w:t>
            </w:r>
            <w:r w:rsidR="005A7F00" w:rsidRPr="001455DC">
              <w:t>4</w:t>
            </w:r>
            <w:r w:rsidRPr="001455DC">
              <w:t>(1)</w:t>
            </w:r>
          </w:p>
        </w:tc>
        <w:tc>
          <w:tcPr>
            <w:tcW w:w="2608" w:type="dxa"/>
            <w:vAlign w:val="center"/>
          </w:tcPr>
          <w:p w14:paraId="74462039" w14:textId="77777777" w:rsidR="004E22C1" w:rsidRPr="001455DC" w:rsidRDefault="004E22C1" w:rsidP="009A1397">
            <w:pPr>
              <w:pStyle w:val="Tablebody"/>
              <w:jc w:val="left"/>
            </w:pPr>
            <w:r w:rsidRPr="001455DC">
              <w:t>Creep coefficient</w:t>
            </w:r>
          </w:p>
        </w:tc>
        <w:tc>
          <w:tcPr>
            <w:tcW w:w="5897" w:type="dxa"/>
            <w:gridSpan w:val="2"/>
            <w:vAlign w:val="center"/>
          </w:tcPr>
          <w:p w14:paraId="414F2BBC" w14:textId="77777777" w:rsidR="004E22C1" w:rsidRPr="009D3012" w:rsidRDefault="004E22C1" w:rsidP="009A1397">
            <w:pPr>
              <w:pStyle w:val="Tablebody"/>
              <w:jc w:val="left"/>
              <w:rPr>
                <w:lang w:val="en-US"/>
              </w:rPr>
            </w:pPr>
            <w:r w:rsidRPr="009D3012">
              <w:rPr>
                <w:lang w:val="en-US"/>
              </w:rPr>
              <w:t xml:space="preserve">The creep coefficient for normal weight concrete </w:t>
            </w:r>
            <w:r w:rsidRPr="001455DC">
              <w:rPr>
                <w:rStyle w:val="CCMCvariableitalic"/>
              </w:rPr>
              <w:t>φ</w:t>
            </w:r>
            <w:r w:rsidRPr="009D3012">
              <w:rPr>
                <w:lang w:val="en-US" w:eastAsia="de-DE"/>
              </w:rPr>
              <w:t>(</w:t>
            </w:r>
            <w:r w:rsidRPr="009D3012">
              <w:rPr>
                <w:rStyle w:val="CCMCvariableitalic"/>
                <w:lang w:val="en-US"/>
              </w:rPr>
              <w:t>t</w:t>
            </w:r>
            <w:r w:rsidRPr="009D3012">
              <w:rPr>
                <w:lang w:val="en-US" w:eastAsia="de-DE"/>
              </w:rPr>
              <w:t>,</w:t>
            </w:r>
            <w:r w:rsidRPr="009D3012">
              <w:rPr>
                <w:rStyle w:val="CCMCvariableitalic"/>
                <w:lang w:val="en-US"/>
              </w:rPr>
              <w:t>t</w:t>
            </w:r>
            <w:r w:rsidRPr="009D3012">
              <w:rPr>
                <w:rStyle w:val="CCMCvariablesubscript"/>
                <w:lang w:val="en-US"/>
              </w:rPr>
              <w:t>0</w:t>
            </w:r>
            <w:r w:rsidRPr="009D3012">
              <w:rPr>
                <w:lang w:val="en-US" w:eastAsia="de-DE"/>
              </w:rPr>
              <w:t xml:space="preserve">) should be multiplied by </w:t>
            </w:r>
            <w:r w:rsidRPr="001455DC">
              <w:rPr>
                <w:rStyle w:val="CCMCvariableitalic"/>
              </w:rPr>
              <w:t>η</w:t>
            </w:r>
            <w:r w:rsidRPr="009D3012">
              <w:rPr>
                <w:rStyle w:val="CCMCvariablesubscript"/>
                <w:lang w:val="en-US"/>
              </w:rPr>
              <w:t>lw,Ec</w:t>
            </w:r>
            <w:r w:rsidRPr="009D3012">
              <w:rPr>
                <w:lang w:val="en-US"/>
              </w:rPr>
              <w:t>. For concrete grades LC12/13 and LC16/18 the creep coefficient shall be additionally multiplied by a factor 1,3.</w:t>
            </w:r>
          </w:p>
        </w:tc>
      </w:tr>
      <w:tr w:rsidR="004E22C1" w:rsidRPr="001455DC" w14:paraId="742E596B" w14:textId="77777777" w:rsidTr="00A151D3">
        <w:trPr>
          <w:cantSplit/>
        </w:trPr>
        <w:tc>
          <w:tcPr>
            <w:tcW w:w="1247" w:type="dxa"/>
            <w:vAlign w:val="center"/>
          </w:tcPr>
          <w:p w14:paraId="5D8E8F5A" w14:textId="60B2E940" w:rsidR="004E22C1" w:rsidRPr="001455DC" w:rsidRDefault="004E22C1">
            <w:pPr>
              <w:pStyle w:val="Tablebody"/>
              <w:jc w:val="left"/>
            </w:pPr>
            <w:r w:rsidRPr="001455DC">
              <w:t>B.</w:t>
            </w:r>
            <w:r w:rsidR="001A17A7" w:rsidRPr="001455DC">
              <w:t>5</w:t>
            </w:r>
            <w:r w:rsidRPr="001455DC">
              <w:t>(1)</w:t>
            </w:r>
          </w:p>
        </w:tc>
        <w:tc>
          <w:tcPr>
            <w:tcW w:w="2608" w:type="dxa"/>
            <w:vAlign w:val="center"/>
          </w:tcPr>
          <w:p w14:paraId="411E602A" w14:textId="77777777" w:rsidR="004E22C1" w:rsidRPr="001455DC" w:rsidRDefault="004E22C1" w:rsidP="009A1397">
            <w:pPr>
              <w:pStyle w:val="Tablebody"/>
              <w:jc w:val="left"/>
            </w:pPr>
            <w:r w:rsidRPr="001455DC">
              <w:t>Shrinkage strain</w:t>
            </w:r>
          </w:p>
        </w:tc>
        <w:tc>
          <w:tcPr>
            <w:tcW w:w="5897" w:type="dxa"/>
            <w:gridSpan w:val="2"/>
            <w:vAlign w:val="center"/>
          </w:tcPr>
          <w:p w14:paraId="455BF763" w14:textId="072DF172" w:rsidR="004E22C1" w:rsidRPr="009D3012" w:rsidRDefault="004E22C1" w:rsidP="009A1397">
            <w:pPr>
              <w:pStyle w:val="Tablebody"/>
              <w:jc w:val="left"/>
              <w:rPr>
                <w:lang w:val="en-US"/>
              </w:rPr>
            </w:pPr>
            <w:r w:rsidRPr="009D3012">
              <w:rPr>
                <w:lang w:val="en-US"/>
              </w:rPr>
              <w:t xml:space="preserve">The shrinkage strain of normal weight concrete, </w:t>
            </w:r>
            <w:r w:rsidRPr="001455DC">
              <w:rPr>
                <w:rStyle w:val="CCMCvariableitalic"/>
              </w:rPr>
              <w:t>ε</w:t>
            </w:r>
            <w:r w:rsidRPr="009D3012">
              <w:rPr>
                <w:rStyle w:val="CCMCvariablesubscript"/>
                <w:lang w:val="en-US"/>
              </w:rPr>
              <w:t>cs</w:t>
            </w:r>
            <w:r w:rsidRPr="009D3012">
              <w:rPr>
                <w:rStyle w:val="CCMCvariableitalic"/>
                <w:lang w:val="en-US"/>
              </w:rPr>
              <w:t> </w:t>
            </w:r>
            <w:r w:rsidRPr="009D3012">
              <w:rPr>
                <w:lang w:val="en-US"/>
              </w:rPr>
              <w:t>(</w:t>
            </w:r>
            <w:r w:rsidRPr="009D3012">
              <w:rPr>
                <w:rStyle w:val="CCMCvariableitalic"/>
                <w:lang w:val="en-US"/>
              </w:rPr>
              <w:t>t</w:t>
            </w:r>
            <w:r w:rsidRPr="009D3012">
              <w:rPr>
                <w:lang w:val="en-US"/>
              </w:rPr>
              <w:t>,</w:t>
            </w:r>
            <w:r w:rsidRPr="009D3012">
              <w:rPr>
                <w:rStyle w:val="CCMCvariableitalic"/>
                <w:lang w:val="en-US"/>
              </w:rPr>
              <w:t>t</w:t>
            </w:r>
            <w:r w:rsidRPr="009D3012">
              <w:rPr>
                <w:rStyle w:val="CCMCvariablesubscript"/>
                <w:lang w:val="en-US"/>
              </w:rPr>
              <w:t>s</w:t>
            </w:r>
            <w:r w:rsidRPr="009D3012">
              <w:rPr>
                <w:lang w:val="en-US"/>
              </w:rPr>
              <w:t>),</w:t>
            </w:r>
            <w:r w:rsidR="00EC0A75" w:rsidRPr="009D3012">
              <w:rPr>
                <w:lang w:val="en-US"/>
              </w:rPr>
              <w:t xml:space="preserve"> </w:t>
            </w:r>
            <w:r w:rsidRPr="009D3012">
              <w:rPr>
                <w:lang w:val="en-US"/>
              </w:rPr>
              <w:t xml:space="preserve">should be multiplied by a factor of 1,5 for LC8/9, LC12/13, LC16/18 and of 1,2 for LC20/22 and higher. </w:t>
            </w:r>
          </w:p>
        </w:tc>
      </w:tr>
    </w:tbl>
    <w:p w14:paraId="31295083" w14:textId="77777777" w:rsidR="004E22C1" w:rsidRPr="001455DC" w:rsidRDefault="004E22C1" w:rsidP="004C68F7">
      <w:pPr>
        <w:pStyle w:val="a7"/>
      </w:pPr>
    </w:p>
    <w:p w14:paraId="19028822" w14:textId="4AAB3808" w:rsidR="004E22C1" w:rsidRPr="001455DC" w:rsidRDefault="004C68F7" w:rsidP="004C68F7">
      <w:pPr>
        <w:pStyle w:val="ANNEX"/>
      </w:pPr>
      <w:bookmarkStart w:id="2429" w:name="_Toc52820443"/>
      <w:r w:rsidRPr="001455DC">
        <w:br/>
      </w:r>
      <w:bookmarkStart w:id="2430" w:name="_Toc54337238"/>
      <w:bookmarkStart w:id="2431" w:name="_Toc54337880"/>
      <w:bookmarkStart w:id="2432" w:name="_Toc54338488"/>
      <w:bookmarkStart w:id="2433" w:name="_Toc67565646"/>
      <w:r w:rsidR="004E22C1" w:rsidRPr="001455DC">
        <w:rPr>
          <w:b w:val="0"/>
        </w:rPr>
        <w:t>(</w:t>
      </w:r>
      <w:r w:rsidR="001C2C7E" w:rsidRPr="001455DC">
        <w:rPr>
          <w:b w:val="0"/>
        </w:rPr>
        <w:t>informative</w:t>
      </w:r>
      <w:r w:rsidR="004E22C1" w:rsidRPr="001455DC">
        <w:rPr>
          <w:b w:val="0"/>
        </w:rPr>
        <w:t>)</w:t>
      </w:r>
      <w:r w:rsidRPr="001455DC">
        <w:rPr>
          <w:b w:val="0"/>
        </w:rPr>
        <w:br/>
      </w:r>
      <w:r w:rsidRPr="001455DC">
        <w:br/>
      </w:r>
      <w:r w:rsidR="004E22C1" w:rsidRPr="001455DC">
        <w:t>Recycled aggregates concrete structures</w:t>
      </w:r>
      <w:bookmarkEnd w:id="2429"/>
      <w:bookmarkEnd w:id="2430"/>
      <w:bookmarkEnd w:id="2431"/>
      <w:bookmarkEnd w:id="2432"/>
      <w:bookmarkEnd w:id="2433"/>
    </w:p>
    <w:p w14:paraId="41B11A59" w14:textId="191A3BDD" w:rsidR="00641F31" w:rsidRPr="009D3012" w:rsidRDefault="00641F31" w:rsidP="00082680">
      <w:pPr>
        <w:pStyle w:val="a2"/>
      </w:pPr>
      <w:bookmarkStart w:id="2434" w:name="_Toc67565647"/>
      <w:r w:rsidRPr="009D3012">
        <w:t>Use of this annex</w:t>
      </w:r>
      <w:bookmarkEnd w:id="2434"/>
    </w:p>
    <w:p w14:paraId="424CAB3D" w14:textId="77777777" w:rsidR="00641F31" w:rsidRPr="001455DC" w:rsidRDefault="00641F31" w:rsidP="00641F31">
      <w:pPr>
        <w:pStyle w:val="a7"/>
      </w:pPr>
      <w:r w:rsidRPr="001455DC">
        <w:t>(1) This Informative Annex provides supplementary rules for structures made of recycled aggregates concrete. The provisions of this Eurocode apply for concrete members with recycled aggregates concrete unless modified in this Annex N.</w:t>
      </w:r>
    </w:p>
    <w:p w14:paraId="12521403" w14:textId="34FC16D9" w:rsidR="00641F31" w:rsidRPr="009D3012" w:rsidRDefault="003E0584" w:rsidP="009D3012">
      <w:pPr>
        <w:pStyle w:val="Note"/>
      </w:pPr>
      <w:r>
        <w:t>NOTE</w:t>
      </w:r>
      <w:r>
        <w:tab/>
      </w:r>
      <w:r w:rsidR="00641F31" w:rsidRPr="009D3012">
        <w:t xml:space="preserve">National choice on the application of this Informative Annex is given in a National Annex. If a National Annex contains no information on the application of this Informative Annex, it can be used. </w:t>
      </w:r>
    </w:p>
    <w:p w14:paraId="71D66A30" w14:textId="04A5AE53" w:rsidR="00641F31" w:rsidRPr="009D3012" w:rsidRDefault="00641F31" w:rsidP="00082680">
      <w:pPr>
        <w:pStyle w:val="a2"/>
      </w:pPr>
      <w:bookmarkStart w:id="2435" w:name="_Toc67565648"/>
      <w:r w:rsidRPr="009D3012">
        <w:t>Scope and field of application</w:t>
      </w:r>
      <w:bookmarkEnd w:id="2435"/>
      <w:r w:rsidRPr="009D3012">
        <w:t xml:space="preserve"> </w:t>
      </w:r>
    </w:p>
    <w:p w14:paraId="3D17EDA2" w14:textId="49B4AEFE" w:rsidR="00641F31" w:rsidRPr="001455DC" w:rsidRDefault="00641F31" w:rsidP="00641F31">
      <w:pPr>
        <w:pStyle w:val="a7"/>
      </w:pPr>
      <w:r w:rsidRPr="001455DC">
        <w:t>(1) This Informative Annex applies to structures made of recycled aggregates concrete.</w:t>
      </w:r>
    </w:p>
    <w:p w14:paraId="5F2E2539" w14:textId="765CF123" w:rsidR="00641F31" w:rsidRPr="009D3012" w:rsidRDefault="00641F31" w:rsidP="00082680">
      <w:pPr>
        <w:pStyle w:val="a2"/>
      </w:pPr>
      <w:bookmarkStart w:id="2436" w:name="_Toc67565649"/>
      <w:r w:rsidRPr="009D3012">
        <w:t>General</w:t>
      </w:r>
      <w:bookmarkEnd w:id="2436"/>
    </w:p>
    <w:p w14:paraId="112D5254" w14:textId="2BF6FB6A" w:rsidR="004E22C1" w:rsidRPr="001455DC" w:rsidRDefault="004E22C1" w:rsidP="004C68F7">
      <w:pPr>
        <w:pStyle w:val="a7"/>
      </w:pPr>
      <w:r w:rsidRPr="001455DC">
        <w:t>(1)</w:t>
      </w:r>
      <w:r w:rsidRPr="001455DC">
        <w:tab/>
        <w:t>Concrete with recycled aggregates may be used where the use of recycled aggregates will not impair durability, service performance like appearance or wear, or represents a risk of polluting water or air. Recycled aggregates may be used in normal concrete production without any particular consent if done in accordance with the provisions of EN 206.</w:t>
      </w:r>
    </w:p>
    <w:p w14:paraId="12BC090E" w14:textId="77777777" w:rsidR="004E22C1" w:rsidRPr="001455DC" w:rsidRDefault="004E22C1" w:rsidP="004C68F7">
      <w:pPr>
        <w:pStyle w:val="a7"/>
      </w:pPr>
      <w:r w:rsidRPr="001455DC">
        <w:t>(2)</w:t>
      </w:r>
      <w:r w:rsidRPr="001455DC">
        <w:tab/>
        <w:t>If the percentage of recycled aggregates exceeds the limits given in EN 206 and if the properties listed in 5.1.2(2) for concrete with recycled aggregates are relevant to the design in accordance with this Eurocode, these properties should be determined by testing in accordance with EN 206. The exposure resistance class should be determined based on durability performance testing.</w:t>
      </w:r>
    </w:p>
    <w:p w14:paraId="52B41BD3" w14:textId="3A57457D" w:rsidR="004E22C1" w:rsidRPr="001455DC" w:rsidRDefault="004E22C1" w:rsidP="00DE6BBC">
      <w:pPr>
        <w:pStyle w:val="a7"/>
        <w:keepNext/>
      </w:pPr>
      <w:r w:rsidRPr="001455DC">
        <w:t>(3)</w:t>
      </w:r>
      <w:r w:rsidRPr="001455DC">
        <w:tab/>
        <w:t>In order to facilitate recycling, the following may be assumed</w:t>
      </w:r>
      <w:r w:rsidR="001C2C7E" w:rsidRPr="001455DC">
        <w:t xml:space="preserve"> or type A recycled aggregate as defined in EN 206. For type B recycled aggregate, the substitution rate limits provided below should be decreased by 50 %</w:t>
      </w:r>
      <w:r w:rsidRPr="001455DC">
        <w:t>.</w:t>
      </w:r>
    </w:p>
    <w:p w14:paraId="629C6144" w14:textId="1EBC1E90" w:rsidR="004E22C1" w:rsidRPr="001455DC" w:rsidRDefault="004E22C1" w:rsidP="00082680">
      <w:pPr>
        <w:pStyle w:val="a0"/>
        <w:keepNext/>
        <w:numPr>
          <w:ilvl w:val="0"/>
          <w:numId w:val="45"/>
        </w:numPr>
      </w:pPr>
      <w:r w:rsidRPr="001455DC">
        <w:t>For reinforced concrete:</w:t>
      </w:r>
    </w:p>
    <w:p w14:paraId="244C51F6" w14:textId="35873A1D" w:rsidR="004E22C1" w:rsidRPr="001455DC" w:rsidRDefault="004E22C1" w:rsidP="00082680">
      <w:pPr>
        <w:pStyle w:val="2"/>
        <w:numPr>
          <w:ilvl w:val="0"/>
          <w:numId w:val="46"/>
        </w:numPr>
        <w:ind w:left="714" w:hanging="357"/>
      </w:pPr>
      <w:r w:rsidRPr="001455DC">
        <w:t>when the substitution rate of recycled aggregates (</w:t>
      </w:r>
      <w:r w:rsidRPr="001455DC">
        <w:rPr>
          <w:rFonts w:eastAsiaTheme="minorEastAsia"/>
        </w:rPr>
        <w:t>quantity of fine and coarse recycled aggregates/total quantity of aggregates</w:t>
      </w:r>
      <w:r w:rsidRPr="001455DC">
        <w:t xml:space="preserve">) </w:t>
      </w:r>
      <w:r w:rsidRPr="001455DC">
        <w:rPr>
          <w:rStyle w:val="CCMCvariableitalic"/>
        </w:rPr>
        <w:t>α</w:t>
      </w:r>
      <w:r w:rsidRPr="001455DC">
        <w:rPr>
          <w:rStyle w:val="CCMCvariablesubscript"/>
        </w:rPr>
        <w:t>RA</w:t>
      </w:r>
      <w:r w:rsidRPr="001455DC">
        <w:t> </w:t>
      </w:r>
      <w:r w:rsidR="00650035" w:rsidRPr="001455DC">
        <w:rPr>
          <w:rFonts w:ascii="Cambria Math" w:hAnsi="Cambria Math"/>
        </w:rPr>
        <w:t>≤</w:t>
      </w:r>
      <w:r w:rsidRPr="001455DC">
        <w:t> 0,20 there is no change in the mechanical properties,</w:t>
      </w:r>
    </w:p>
    <w:p w14:paraId="1EF0FF32" w14:textId="4744E8BE" w:rsidR="004E22C1" w:rsidRPr="001455DC" w:rsidRDefault="004E22C1" w:rsidP="00082680">
      <w:pPr>
        <w:pStyle w:val="2"/>
        <w:numPr>
          <w:ilvl w:val="0"/>
          <w:numId w:val="46"/>
        </w:numPr>
        <w:ind w:left="714" w:hanging="357"/>
      </w:pPr>
      <w:r w:rsidRPr="001455DC">
        <w:t>when 0,20 </w:t>
      </w:r>
      <w:r w:rsidR="00650035" w:rsidRPr="001455DC">
        <w:rPr>
          <w:rFonts w:ascii="Cambria Math" w:hAnsi="Cambria Math"/>
        </w:rPr>
        <w:t>&lt;</w:t>
      </w:r>
      <w:r w:rsidRPr="001455DC">
        <w:t> </w:t>
      </w:r>
      <w:r w:rsidRPr="001455DC">
        <w:rPr>
          <w:rStyle w:val="CCMCvariableitalic"/>
        </w:rPr>
        <w:t>α</w:t>
      </w:r>
      <w:r w:rsidRPr="001455DC">
        <w:rPr>
          <w:rStyle w:val="CCMCvariablesubscript"/>
        </w:rPr>
        <w:t>RA</w:t>
      </w:r>
      <w:r w:rsidRPr="001455DC">
        <w:t> </w:t>
      </w:r>
      <w:r w:rsidR="00650035" w:rsidRPr="001455DC">
        <w:rPr>
          <w:rFonts w:ascii="Cambria Math" w:hAnsi="Cambria Math"/>
        </w:rPr>
        <w:t>≤</w:t>
      </w:r>
      <w:r w:rsidRPr="001455DC">
        <w:t> 0,40 the values of properties of Table N.1 should be used or values should be measured,</w:t>
      </w:r>
    </w:p>
    <w:p w14:paraId="1E7AD6D1" w14:textId="15EB6574" w:rsidR="004E22C1" w:rsidRPr="001455DC" w:rsidRDefault="004E22C1" w:rsidP="00082680">
      <w:pPr>
        <w:pStyle w:val="2"/>
        <w:numPr>
          <w:ilvl w:val="0"/>
          <w:numId w:val="46"/>
        </w:numPr>
        <w:ind w:left="714" w:hanging="357"/>
      </w:pPr>
      <w:r w:rsidRPr="001455DC">
        <w:t xml:space="preserve">when </w:t>
      </w:r>
      <w:r w:rsidRPr="001455DC">
        <w:rPr>
          <w:rStyle w:val="CCMCvariableitalic"/>
        </w:rPr>
        <w:t>α</w:t>
      </w:r>
      <w:r w:rsidRPr="001455DC">
        <w:rPr>
          <w:rStyle w:val="CCMCvariablesubscript"/>
        </w:rPr>
        <w:t>RA</w:t>
      </w:r>
      <w:r w:rsidRPr="001455DC">
        <w:t> </w:t>
      </w:r>
      <w:r w:rsidR="00650035" w:rsidRPr="001455DC">
        <w:rPr>
          <w:rFonts w:ascii="Cambria Math" w:hAnsi="Cambria Math"/>
        </w:rPr>
        <w:t>&gt;</w:t>
      </w:r>
      <w:r w:rsidR="00073FC6" w:rsidRPr="001455DC">
        <w:t> </w:t>
      </w:r>
      <w:r w:rsidRPr="001455DC">
        <w:t>0,40 the properties should be measured using an identified batch of aggregates.</w:t>
      </w:r>
    </w:p>
    <w:p w14:paraId="698FC57F" w14:textId="31ED3A74" w:rsidR="004E22C1" w:rsidRPr="001455DC" w:rsidRDefault="004E22C1" w:rsidP="00082680">
      <w:pPr>
        <w:pStyle w:val="a0"/>
        <w:keepNext/>
        <w:numPr>
          <w:ilvl w:val="0"/>
          <w:numId w:val="45"/>
        </w:numPr>
      </w:pPr>
      <w:r w:rsidRPr="001455DC">
        <w:t>For prestressed concrete:</w:t>
      </w:r>
    </w:p>
    <w:p w14:paraId="4B989478" w14:textId="07DBA0AB" w:rsidR="004E22C1" w:rsidRPr="001455DC" w:rsidRDefault="004E22C1" w:rsidP="00082680">
      <w:pPr>
        <w:pStyle w:val="2"/>
        <w:numPr>
          <w:ilvl w:val="0"/>
          <w:numId w:val="47"/>
        </w:numPr>
        <w:ind w:left="714" w:hanging="357"/>
      </w:pPr>
      <w:r w:rsidRPr="001455DC">
        <w:t>when 0 </w:t>
      </w:r>
      <w:r w:rsidR="00650035" w:rsidRPr="001455DC">
        <w:rPr>
          <w:rFonts w:ascii="Cambria Math" w:hAnsi="Cambria Math"/>
        </w:rPr>
        <w:t>&lt;</w:t>
      </w:r>
      <w:r w:rsidRPr="001455DC">
        <w:t> </w:t>
      </w:r>
      <w:r w:rsidRPr="001455DC">
        <w:rPr>
          <w:rStyle w:val="CCMCvariableitalic"/>
        </w:rPr>
        <w:t>α</w:t>
      </w:r>
      <w:r w:rsidRPr="001455DC">
        <w:rPr>
          <w:rStyle w:val="CCMCvariablesubscript"/>
        </w:rPr>
        <w:t>RA</w:t>
      </w:r>
      <w:r w:rsidRPr="001455DC">
        <w:t> </w:t>
      </w:r>
      <w:r w:rsidR="00650035" w:rsidRPr="001455DC">
        <w:rPr>
          <w:rFonts w:ascii="Cambria Math" w:hAnsi="Cambria Math"/>
        </w:rPr>
        <w:t>≤</w:t>
      </w:r>
      <w:r w:rsidRPr="001455DC">
        <w:t> 0,20 the values of properties of Table N.1 should be used or values should be measured,</w:t>
      </w:r>
    </w:p>
    <w:p w14:paraId="378498AF" w14:textId="46992CD0" w:rsidR="004E22C1" w:rsidRPr="001455DC" w:rsidRDefault="004E22C1" w:rsidP="00082680">
      <w:pPr>
        <w:pStyle w:val="2"/>
        <w:numPr>
          <w:ilvl w:val="0"/>
          <w:numId w:val="47"/>
        </w:numPr>
        <w:ind w:left="714" w:hanging="357"/>
      </w:pPr>
      <w:r w:rsidRPr="001455DC">
        <w:t xml:space="preserve">when </w:t>
      </w:r>
      <w:r w:rsidRPr="001455DC">
        <w:rPr>
          <w:rStyle w:val="CCMCvariableitalic"/>
        </w:rPr>
        <w:t>α</w:t>
      </w:r>
      <w:r w:rsidRPr="001455DC">
        <w:rPr>
          <w:rStyle w:val="CCMCvariablesubscript"/>
        </w:rPr>
        <w:t>RA</w:t>
      </w:r>
      <w:r w:rsidRPr="001455DC">
        <w:t> </w:t>
      </w:r>
      <w:r w:rsidR="00650035" w:rsidRPr="001455DC">
        <w:rPr>
          <w:rFonts w:ascii="Cambria Math" w:hAnsi="Cambria Math"/>
        </w:rPr>
        <w:t>&gt;</w:t>
      </w:r>
      <w:r w:rsidR="00073FC6" w:rsidRPr="001455DC">
        <w:t> </w:t>
      </w:r>
      <w:r w:rsidRPr="001455DC">
        <w:t>0,20 the properties should be measured using an identified batch of aggregate.</w:t>
      </w:r>
    </w:p>
    <w:p w14:paraId="2848D51F" w14:textId="77777777" w:rsidR="004E22C1" w:rsidRPr="001455DC" w:rsidRDefault="004E22C1" w:rsidP="00A151D3">
      <w:pPr>
        <w:pStyle w:val="Tabletitle"/>
        <w:pageBreakBefore/>
        <w:spacing w:before="0"/>
      </w:pPr>
      <w:bookmarkStart w:id="2437" w:name="_Toc54337881"/>
      <w:r w:rsidRPr="001455DC">
        <w:t>Table N.1</w:t>
      </w:r>
      <w:r w:rsidRPr="001455DC">
        <w:rPr>
          <w:lang w:eastAsia="ja-JP"/>
        </w:rPr>
        <w:t xml:space="preserve"> — </w:t>
      </w:r>
      <w:r w:rsidRPr="001455DC">
        <w:t>Special provisions for recycled aggregates concrete</w:t>
      </w:r>
      <w:bookmarkEnd w:id="2437"/>
    </w:p>
    <w:tbl>
      <w:tblPr>
        <w:tblStyle w:val="53"/>
        <w:tblW w:w="9752" w:type="dxa"/>
        <w:tblLayout w:type="fixed"/>
        <w:tblCellMar>
          <w:left w:w="56" w:type="dxa"/>
          <w:right w:w="56" w:type="dxa"/>
        </w:tblCellMar>
        <w:tblLook w:val="0660" w:firstRow="1" w:lastRow="1" w:firstColumn="0" w:lastColumn="0" w:noHBand="1" w:noVBand="1"/>
      </w:tblPr>
      <w:tblGrid>
        <w:gridCol w:w="1247"/>
        <w:gridCol w:w="2608"/>
        <w:gridCol w:w="5897"/>
      </w:tblGrid>
      <w:tr w:rsidR="00DE6BBC" w:rsidRPr="001455DC" w14:paraId="339802BF" w14:textId="77777777" w:rsidTr="00A151D3">
        <w:trPr>
          <w:cnfStyle w:val="100000000000" w:firstRow="1" w:lastRow="0" w:firstColumn="0" w:lastColumn="0" w:oddVBand="0" w:evenVBand="0" w:oddHBand="0" w:evenHBand="0" w:firstRowFirstColumn="0" w:firstRowLastColumn="0" w:lastRowFirstColumn="0" w:lastRowLastColumn="0"/>
          <w:tblHeader/>
        </w:trPr>
        <w:tc>
          <w:tcPr>
            <w:tcW w:w="1247" w:type="dxa"/>
          </w:tcPr>
          <w:p w14:paraId="0D24D0D2" w14:textId="77777777" w:rsidR="004E22C1" w:rsidRPr="001455DC" w:rsidRDefault="004E22C1" w:rsidP="00A151D3">
            <w:pPr>
              <w:pStyle w:val="Tableheader"/>
            </w:pPr>
            <w:r w:rsidRPr="001455DC">
              <w:t>Reference to original clause</w:t>
            </w:r>
          </w:p>
        </w:tc>
        <w:tc>
          <w:tcPr>
            <w:tcW w:w="2608" w:type="dxa"/>
          </w:tcPr>
          <w:p w14:paraId="586BB180" w14:textId="77777777" w:rsidR="004E22C1" w:rsidRPr="009D3012" w:rsidRDefault="004E22C1" w:rsidP="00A151D3">
            <w:pPr>
              <w:pStyle w:val="Tableheader"/>
              <w:rPr>
                <w:lang w:val="en-US"/>
              </w:rPr>
            </w:pPr>
            <w:r w:rsidRPr="009D3012">
              <w:rPr>
                <w:lang w:val="en-US"/>
              </w:rPr>
              <w:t>Values and terms to be modified for recycled aggregates concrete</w:t>
            </w:r>
          </w:p>
        </w:tc>
        <w:tc>
          <w:tcPr>
            <w:tcW w:w="5897" w:type="dxa"/>
          </w:tcPr>
          <w:p w14:paraId="36855198" w14:textId="77777777" w:rsidR="004E22C1" w:rsidRPr="009D3012" w:rsidRDefault="004E22C1" w:rsidP="00A151D3">
            <w:pPr>
              <w:pStyle w:val="Tableheader"/>
              <w:rPr>
                <w:lang w:val="en-US"/>
              </w:rPr>
            </w:pPr>
            <w:r w:rsidRPr="009D3012">
              <w:rPr>
                <w:lang w:val="en-US"/>
              </w:rPr>
              <w:t xml:space="preserve">Provisions and formulae for recycled aggregates concrete </w:t>
            </w:r>
            <w:r w:rsidRPr="009D3012">
              <w:rPr>
                <w:rStyle w:val="CCMCvariablesuperscript"/>
                <w:lang w:val="en-US"/>
              </w:rPr>
              <w:t>a)</w:t>
            </w:r>
          </w:p>
        </w:tc>
      </w:tr>
      <w:tr w:rsidR="00DE6BBC" w:rsidRPr="001455DC" w14:paraId="35A0C93A" w14:textId="77777777" w:rsidTr="00A151D3">
        <w:tc>
          <w:tcPr>
            <w:tcW w:w="1247" w:type="dxa"/>
            <w:vAlign w:val="center"/>
          </w:tcPr>
          <w:p w14:paraId="69AE1AA6" w14:textId="0EB29486" w:rsidR="004E22C1" w:rsidRPr="009D3012" w:rsidRDefault="00A151D3" w:rsidP="00A151D3">
            <w:pPr>
              <w:pStyle w:val="Tablebody"/>
              <w:jc w:val="left"/>
              <w:rPr>
                <w:lang w:val="en-US"/>
              </w:rPr>
            </w:pPr>
            <w:r w:rsidRPr="009D3012">
              <w:rPr>
                <w:lang w:val="en-US"/>
              </w:rPr>
              <w:t> </w:t>
            </w:r>
          </w:p>
        </w:tc>
        <w:tc>
          <w:tcPr>
            <w:tcW w:w="2608" w:type="dxa"/>
            <w:vAlign w:val="center"/>
          </w:tcPr>
          <w:p w14:paraId="57413429" w14:textId="77777777" w:rsidR="004E22C1" w:rsidRPr="001455DC" w:rsidRDefault="004E22C1" w:rsidP="00A151D3">
            <w:pPr>
              <w:pStyle w:val="Tablebody"/>
              <w:jc w:val="left"/>
            </w:pPr>
            <w:r w:rsidRPr="001455DC">
              <w:t>Density</w:t>
            </w:r>
          </w:p>
        </w:tc>
        <w:tc>
          <w:tcPr>
            <w:tcW w:w="5897" w:type="dxa"/>
            <w:vAlign w:val="center"/>
          </w:tcPr>
          <w:p w14:paraId="7B7AEB46" w14:textId="739EB409" w:rsidR="004E22C1" w:rsidRPr="001455DC" w:rsidRDefault="00A151D3" w:rsidP="00A151D3">
            <w:pPr>
              <w:pStyle w:val="Tablebody"/>
              <w:jc w:val="left"/>
            </w:pPr>
            <m:oMathPara>
              <m:oMathParaPr>
                <m:jc m:val="left"/>
              </m:oMathParaPr>
              <m:oMath>
                <m:r>
                  <w:rPr>
                    <w:rFonts w:ascii="Cambria Math" w:hAnsi="Cambria Math"/>
                  </w:rPr>
                  <m:t>ρ=2,5-0,22</m:t>
                </m:r>
                <m:sSub>
                  <m:sSubPr>
                    <m:ctrlPr>
                      <w:rPr>
                        <w:rFonts w:ascii="Cambria Math" w:hAnsi="Cambria Math"/>
                      </w:rPr>
                    </m:ctrlPr>
                  </m:sSubPr>
                  <m:e>
                    <m:r>
                      <w:rPr>
                        <w:rFonts w:ascii="Cambria Math" w:hAnsi="Cambria Math"/>
                      </w:rPr>
                      <m:t>α</m:t>
                    </m:r>
                  </m:e>
                  <m:sub>
                    <m:r>
                      <m:rPr>
                        <m:sty m:val="p"/>
                      </m:rPr>
                      <w:rPr>
                        <w:rFonts w:ascii="Cambria Math" w:hAnsi="Cambria Math"/>
                      </w:rPr>
                      <m:t>RA</m:t>
                    </m:r>
                  </m:sub>
                </m:sSub>
              </m:oMath>
            </m:oMathPara>
          </w:p>
        </w:tc>
      </w:tr>
      <w:tr w:rsidR="00DE6BBC" w:rsidRPr="001455DC" w14:paraId="01F97822" w14:textId="77777777" w:rsidTr="00A151D3">
        <w:tc>
          <w:tcPr>
            <w:tcW w:w="1247" w:type="dxa"/>
            <w:vAlign w:val="center"/>
          </w:tcPr>
          <w:p w14:paraId="74548604" w14:textId="77777777" w:rsidR="004E22C1" w:rsidRPr="001455DC" w:rsidRDefault="004E22C1" w:rsidP="00A151D3">
            <w:pPr>
              <w:pStyle w:val="Tablebody"/>
              <w:jc w:val="left"/>
            </w:pPr>
            <w:r w:rsidRPr="001455DC">
              <w:t>5.1.3(2)</w:t>
            </w:r>
          </w:p>
        </w:tc>
        <w:tc>
          <w:tcPr>
            <w:tcW w:w="2608" w:type="dxa"/>
            <w:vAlign w:val="center"/>
          </w:tcPr>
          <w:p w14:paraId="69A64063" w14:textId="77777777" w:rsidR="004E22C1" w:rsidRPr="001455DC" w:rsidRDefault="004E22C1" w:rsidP="00A151D3">
            <w:pPr>
              <w:pStyle w:val="Tablebody"/>
              <w:jc w:val="left"/>
            </w:pPr>
            <w:r w:rsidRPr="001455DC">
              <w:t>Maximum compressive strength</w:t>
            </w:r>
          </w:p>
        </w:tc>
        <w:tc>
          <w:tcPr>
            <w:tcW w:w="5897" w:type="dxa"/>
            <w:vAlign w:val="center"/>
          </w:tcPr>
          <w:p w14:paraId="2A00F666" w14:textId="0E0470F4" w:rsidR="004E22C1" w:rsidRPr="001455DC" w:rsidRDefault="004E22C1" w:rsidP="00A151D3">
            <w:pPr>
              <w:pStyle w:val="Tablebody"/>
              <w:jc w:val="left"/>
            </w:pPr>
            <w:r w:rsidRPr="001455DC">
              <w:rPr>
                <w:rStyle w:val="CCMCvariableitalic"/>
              </w:rPr>
              <w:t>f</w:t>
            </w:r>
            <w:r w:rsidRPr="001455DC">
              <w:rPr>
                <w:rStyle w:val="CCMCvariablesubscript"/>
              </w:rPr>
              <w:t>ck</w:t>
            </w:r>
            <w:r w:rsidRPr="001455DC">
              <w:t> </w:t>
            </w:r>
            <w:r w:rsidR="00650035" w:rsidRPr="001455DC">
              <w:rPr>
                <w:rFonts w:ascii="Cambria Math" w:hAnsi="Cambria Math"/>
              </w:rPr>
              <w:t>≤</w:t>
            </w:r>
            <w:r w:rsidRPr="001455DC">
              <w:t> 50 MPa</w:t>
            </w:r>
          </w:p>
        </w:tc>
      </w:tr>
      <w:tr w:rsidR="00DE6BBC" w:rsidRPr="001455DC" w14:paraId="22F2B6C8" w14:textId="77777777" w:rsidTr="00A151D3">
        <w:tc>
          <w:tcPr>
            <w:tcW w:w="1247" w:type="dxa"/>
            <w:vAlign w:val="center"/>
          </w:tcPr>
          <w:p w14:paraId="5A8251FE" w14:textId="77777777" w:rsidR="004E22C1" w:rsidRPr="001455DC" w:rsidRDefault="004E22C1" w:rsidP="00A151D3">
            <w:pPr>
              <w:pStyle w:val="Tablebody"/>
              <w:jc w:val="left"/>
            </w:pPr>
            <w:r w:rsidRPr="001455DC">
              <w:t>Table 5.1</w:t>
            </w:r>
          </w:p>
        </w:tc>
        <w:tc>
          <w:tcPr>
            <w:tcW w:w="2608" w:type="dxa"/>
            <w:vAlign w:val="center"/>
          </w:tcPr>
          <w:p w14:paraId="54906C78" w14:textId="77777777" w:rsidR="004E22C1" w:rsidRPr="009D3012" w:rsidRDefault="004E22C1" w:rsidP="00A151D3">
            <w:pPr>
              <w:pStyle w:val="Tablebody"/>
              <w:jc w:val="left"/>
              <w:rPr>
                <w:lang w:val="en-US"/>
              </w:rPr>
            </w:pPr>
            <w:r w:rsidRPr="009D3012">
              <w:rPr>
                <w:lang w:val="en-US"/>
              </w:rPr>
              <w:t xml:space="preserve">Mean value of concrete cylinder compressive strength </w:t>
            </w:r>
            <w:r w:rsidRPr="009D3012">
              <w:rPr>
                <w:rStyle w:val="CCMCvariableitalic"/>
                <w:lang w:val="en-US"/>
              </w:rPr>
              <w:t>f</w:t>
            </w:r>
            <w:r w:rsidRPr="009D3012">
              <w:rPr>
                <w:rStyle w:val="CCMCvariablesubscript"/>
                <w:lang w:val="en-US"/>
              </w:rPr>
              <w:t>cm</w:t>
            </w:r>
            <w:r w:rsidRPr="009D3012">
              <w:rPr>
                <w:lang w:val="en-US"/>
              </w:rPr>
              <w:t xml:space="preserve"> </w:t>
            </w:r>
          </w:p>
        </w:tc>
        <w:tc>
          <w:tcPr>
            <w:tcW w:w="5897" w:type="dxa"/>
            <w:vAlign w:val="center"/>
          </w:tcPr>
          <w:p w14:paraId="439E175A" w14:textId="77777777" w:rsidR="004E22C1" w:rsidRPr="001455DC" w:rsidRDefault="004E22C1" w:rsidP="00A151D3">
            <w:pPr>
              <w:pStyle w:val="Tablebody"/>
              <w:jc w:val="left"/>
            </w:pPr>
            <w:r w:rsidRPr="001455DC">
              <w:t>No change.</w:t>
            </w:r>
          </w:p>
        </w:tc>
      </w:tr>
      <w:tr w:rsidR="00DE6BBC" w:rsidRPr="001455DC" w14:paraId="327F384A" w14:textId="77777777" w:rsidTr="00A151D3">
        <w:tc>
          <w:tcPr>
            <w:tcW w:w="1247" w:type="dxa"/>
            <w:vAlign w:val="center"/>
          </w:tcPr>
          <w:p w14:paraId="545ADD63" w14:textId="77777777" w:rsidR="004E22C1" w:rsidRPr="001455DC" w:rsidRDefault="004E22C1" w:rsidP="00A151D3">
            <w:pPr>
              <w:pStyle w:val="Tablebody"/>
              <w:jc w:val="left"/>
            </w:pPr>
            <w:r w:rsidRPr="001455DC">
              <w:t>Table 5.1</w:t>
            </w:r>
          </w:p>
        </w:tc>
        <w:tc>
          <w:tcPr>
            <w:tcW w:w="2608" w:type="dxa"/>
            <w:vAlign w:val="center"/>
          </w:tcPr>
          <w:p w14:paraId="3CEC0ACA" w14:textId="77777777" w:rsidR="004E22C1" w:rsidRPr="009D3012" w:rsidRDefault="004E22C1" w:rsidP="00A151D3">
            <w:pPr>
              <w:pStyle w:val="Tablebody"/>
              <w:jc w:val="left"/>
              <w:rPr>
                <w:lang w:val="en-US"/>
              </w:rPr>
            </w:pPr>
            <w:r w:rsidRPr="009D3012">
              <w:rPr>
                <w:lang w:val="en-US"/>
              </w:rPr>
              <w:t xml:space="preserve">Concrete tensile strength </w:t>
            </w:r>
            <w:r w:rsidRPr="009D3012">
              <w:rPr>
                <w:rStyle w:val="CCMCvariableitalic"/>
                <w:lang w:val="en-US"/>
              </w:rPr>
              <w:t>f</w:t>
            </w:r>
            <w:r w:rsidRPr="009D3012">
              <w:rPr>
                <w:rStyle w:val="CCMCvariablesubscript"/>
                <w:lang w:val="en-US"/>
              </w:rPr>
              <w:t>ctm</w:t>
            </w:r>
            <w:r w:rsidRPr="009D3012">
              <w:rPr>
                <w:lang w:val="en-US"/>
              </w:rPr>
              <w:t xml:space="preserve">, </w:t>
            </w:r>
            <w:r w:rsidRPr="009D3012">
              <w:rPr>
                <w:rStyle w:val="CCMCvariableitalic"/>
                <w:lang w:val="en-US"/>
              </w:rPr>
              <w:t>f</w:t>
            </w:r>
            <w:r w:rsidRPr="009D3012">
              <w:rPr>
                <w:rStyle w:val="CCMCvariablesubscript"/>
                <w:lang w:val="en-US"/>
              </w:rPr>
              <w:t>ctk,0,05</w:t>
            </w:r>
            <w:r w:rsidRPr="009D3012">
              <w:rPr>
                <w:lang w:val="en-US"/>
              </w:rPr>
              <w:t xml:space="preserve">, </w:t>
            </w:r>
            <w:r w:rsidRPr="009D3012">
              <w:rPr>
                <w:rStyle w:val="CCMCvariableitalic"/>
                <w:lang w:val="en-US"/>
              </w:rPr>
              <w:t>f</w:t>
            </w:r>
            <w:r w:rsidRPr="009D3012">
              <w:rPr>
                <w:rStyle w:val="CCMCvariablesubscript"/>
                <w:lang w:val="en-US"/>
              </w:rPr>
              <w:t>ctk,0,95</w:t>
            </w:r>
            <w:r w:rsidRPr="009D3012">
              <w:rPr>
                <w:lang w:val="en-US"/>
              </w:rPr>
              <w:t xml:space="preserve"> </w:t>
            </w:r>
          </w:p>
        </w:tc>
        <w:tc>
          <w:tcPr>
            <w:tcW w:w="5897" w:type="dxa"/>
            <w:vAlign w:val="center"/>
          </w:tcPr>
          <w:p w14:paraId="4666A978" w14:textId="77777777" w:rsidR="004E22C1" w:rsidRPr="009D3012" w:rsidRDefault="004E22C1" w:rsidP="00A151D3">
            <w:pPr>
              <w:pStyle w:val="Tablebody"/>
              <w:jc w:val="left"/>
              <w:rPr>
                <w:lang w:val="en-US"/>
              </w:rPr>
            </w:pPr>
            <w:r w:rsidRPr="009D3012">
              <w:rPr>
                <w:lang w:val="en-US"/>
              </w:rPr>
              <w:t>Determine by testing if relevant.</w:t>
            </w:r>
          </w:p>
          <w:p w14:paraId="6B80425F" w14:textId="4472E3AB" w:rsidR="004E22C1" w:rsidRPr="009D3012" w:rsidRDefault="004E22C1" w:rsidP="00A151D3">
            <w:pPr>
              <w:pStyle w:val="Tablebody"/>
              <w:jc w:val="left"/>
              <w:rPr>
                <w:lang w:val="en-US"/>
              </w:rPr>
            </w:pPr>
            <w:r w:rsidRPr="009D3012">
              <w:rPr>
                <w:lang w:val="en-US"/>
              </w:rPr>
              <w:t xml:space="preserve">Alternatively may be used the following: </w:t>
            </w:r>
            <m:oMath>
              <m:sSub>
                <m:sSubPr>
                  <m:ctrlPr>
                    <w:rPr>
                      <w:rFonts w:ascii="Cambria Math" w:hAnsi="Cambria Math"/>
                    </w:rPr>
                  </m:ctrlPr>
                </m:sSubPr>
                <m:e>
                  <m:r>
                    <w:rPr>
                      <w:rFonts w:ascii="Cambria Math" w:hAnsi="Cambria Math"/>
                    </w:rPr>
                    <m:t>f</m:t>
                  </m:r>
                </m:e>
                <m:sub>
                  <m:r>
                    <m:rPr>
                      <m:sty m:val="p"/>
                    </m:rPr>
                    <w:rPr>
                      <w:rFonts w:ascii="Cambria Math" w:hAnsi="Cambria Math"/>
                      <w:lang w:val="en-US"/>
                    </w:rPr>
                    <m:t>ctm</m:t>
                  </m:r>
                </m:sub>
              </m:sSub>
              <m:r>
                <w:rPr>
                  <w:rFonts w:ascii="Cambria Math" w:hAnsi="Cambria Math"/>
                  <w:lang w:val="en-US"/>
                </w:rPr>
                <m:t>=0,3⋅</m:t>
              </m:r>
              <m:sSubSup>
                <m:sSubSupPr>
                  <m:ctrlPr>
                    <w:rPr>
                      <w:rFonts w:ascii="Cambria Math" w:hAnsi="Cambria Math"/>
                    </w:rPr>
                  </m:ctrlPr>
                </m:sSubSupPr>
                <m:e>
                  <m:r>
                    <w:rPr>
                      <w:rFonts w:ascii="Cambria Math" w:hAnsi="Cambria Math"/>
                    </w:rPr>
                    <m:t>f</m:t>
                  </m:r>
                </m:e>
                <m:sub>
                  <m:r>
                    <m:rPr>
                      <m:sty m:val="p"/>
                    </m:rPr>
                    <w:rPr>
                      <w:rFonts w:ascii="Cambria Math" w:hAnsi="Cambria Math"/>
                      <w:lang w:val="en-US"/>
                    </w:rPr>
                    <m:t>ck</m:t>
                  </m:r>
                </m:sub>
                <m:sup>
                  <m:f>
                    <m:fPr>
                      <m:type m:val="lin"/>
                      <m:ctrlPr>
                        <w:rPr>
                          <w:rFonts w:ascii="Cambria Math" w:hAnsi="Cambria Math"/>
                        </w:rPr>
                      </m:ctrlPr>
                    </m:fPr>
                    <m:num>
                      <m:r>
                        <w:rPr>
                          <w:rFonts w:ascii="Cambria Math" w:hAnsi="Cambria Math"/>
                          <w:lang w:val="en-US"/>
                        </w:rPr>
                        <m:t>2</m:t>
                      </m:r>
                    </m:num>
                    <m:den>
                      <m:r>
                        <w:rPr>
                          <w:rFonts w:ascii="Cambria Math" w:hAnsi="Cambria Math"/>
                          <w:lang w:val="en-US"/>
                        </w:rPr>
                        <m:t>3</m:t>
                      </m:r>
                    </m:den>
                  </m:f>
                </m:sup>
              </m:sSubSup>
            </m:oMath>
          </w:p>
        </w:tc>
      </w:tr>
      <w:tr w:rsidR="00DE6BBC" w:rsidRPr="001455DC" w14:paraId="130E32AD" w14:textId="77777777" w:rsidTr="00A151D3">
        <w:tc>
          <w:tcPr>
            <w:tcW w:w="1247" w:type="dxa"/>
            <w:vAlign w:val="center"/>
          </w:tcPr>
          <w:p w14:paraId="586B4D43" w14:textId="6D67C28E" w:rsidR="004E22C1" w:rsidRPr="001455DC" w:rsidRDefault="004E22C1" w:rsidP="00A151D3">
            <w:pPr>
              <w:pStyle w:val="Tablebody"/>
              <w:jc w:val="left"/>
            </w:pPr>
            <w:r w:rsidRPr="001455DC">
              <w:t>5.1.4</w:t>
            </w:r>
          </w:p>
        </w:tc>
        <w:tc>
          <w:tcPr>
            <w:tcW w:w="2608" w:type="dxa"/>
            <w:vAlign w:val="center"/>
          </w:tcPr>
          <w:p w14:paraId="277FD96F" w14:textId="77777777" w:rsidR="004E22C1" w:rsidRPr="001455DC" w:rsidRDefault="004E22C1" w:rsidP="00A151D3">
            <w:pPr>
              <w:pStyle w:val="Tablebody"/>
              <w:jc w:val="left"/>
            </w:pPr>
            <w:r w:rsidRPr="001455DC">
              <w:t xml:space="preserve">Modulus of elasticity </w:t>
            </w:r>
            <w:r w:rsidRPr="001455DC">
              <w:rPr>
                <w:rStyle w:val="CCMCvariableitalic"/>
              </w:rPr>
              <w:t>E</w:t>
            </w:r>
            <w:r w:rsidRPr="001455DC">
              <w:rPr>
                <w:rStyle w:val="CCMCvariablesubscript"/>
              </w:rPr>
              <w:t>cm</w:t>
            </w:r>
          </w:p>
        </w:tc>
        <w:tc>
          <w:tcPr>
            <w:tcW w:w="5897" w:type="dxa"/>
            <w:vAlign w:val="center"/>
          </w:tcPr>
          <w:p w14:paraId="6EC545D9" w14:textId="77777777" w:rsidR="004E22C1" w:rsidRPr="009D3012" w:rsidRDefault="004E22C1" w:rsidP="00A151D3">
            <w:pPr>
              <w:pStyle w:val="Tablebody"/>
              <w:jc w:val="left"/>
              <w:rPr>
                <w:lang w:val="en-US"/>
              </w:rPr>
            </w:pPr>
            <w:r w:rsidRPr="009D3012">
              <w:rPr>
                <w:lang w:val="en-US"/>
              </w:rPr>
              <w:t>Determine by testing if relevant.</w:t>
            </w:r>
          </w:p>
          <w:p w14:paraId="21157D76" w14:textId="77777777" w:rsidR="004E22C1" w:rsidRPr="009D3012" w:rsidRDefault="004E22C1" w:rsidP="00A151D3">
            <w:pPr>
              <w:pStyle w:val="Tablebody"/>
              <w:jc w:val="left"/>
              <w:rPr>
                <w:lang w:val="en-US"/>
              </w:rPr>
            </w:pPr>
            <w:r w:rsidRPr="009D3012">
              <w:rPr>
                <w:lang w:val="en-US"/>
              </w:rPr>
              <w:t>Alternatively may be used the following:</w:t>
            </w:r>
          </w:p>
          <w:p w14:paraId="507AD36F" w14:textId="164D020A" w:rsidR="004E22C1" w:rsidRPr="009D3012" w:rsidRDefault="00231E33" w:rsidP="00A151D3">
            <w:pPr>
              <w:pStyle w:val="Tablebody"/>
              <w:jc w:val="left"/>
              <w:rPr>
                <w:lang w:val="en-US"/>
              </w:rPr>
            </w:pPr>
            <m:oMath>
              <m:sSub>
                <m:sSubPr>
                  <m:ctrlPr>
                    <w:rPr>
                      <w:rFonts w:ascii="Cambria Math" w:hAnsi="Cambria Math"/>
                    </w:rPr>
                  </m:ctrlPr>
                </m:sSubPr>
                <m:e>
                  <m:r>
                    <w:rPr>
                      <w:rFonts w:ascii="Cambria Math" w:hAnsi="Cambria Math"/>
                    </w:rPr>
                    <m:t>E</m:t>
                  </m:r>
                </m:e>
                <m:sub>
                  <m:r>
                    <m:rPr>
                      <m:sty m:val="p"/>
                    </m:rPr>
                    <w:rPr>
                      <w:rFonts w:ascii="Cambria Math" w:hAnsi="Cambria Math"/>
                      <w:lang w:val="en-US"/>
                    </w:rPr>
                    <m:t>cm</m:t>
                  </m:r>
                </m:sub>
              </m:sSub>
              <m:r>
                <w:rPr>
                  <w:rFonts w:ascii="Cambria Math" w:hAnsi="Cambria Math"/>
                  <w:lang w:val="en-US"/>
                </w:rPr>
                <m:t>=</m:t>
              </m:r>
              <m:sSub>
                <m:sSubPr>
                  <m:ctrlPr>
                    <w:rPr>
                      <w:rFonts w:ascii="Cambria Math" w:hAnsi="Cambria Math"/>
                    </w:rPr>
                  </m:ctrlPr>
                </m:sSubPr>
                <m:e>
                  <m:r>
                    <w:rPr>
                      <w:rFonts w:ascii="Cambria Math" w:hAnsi="Cambria Math"/>
                    </w:rPr>
                    <m:t>η</m:t>
                  </m:r>
                </m:e>
                <m:sub>
                  <m:r>
                    <m:rPr>
                      <m:sty m:val="p"/>
                    </m:rPr>
                    <w:rPr>
                      <w:rFonts w:ascii="Cambria Math" w:hAnsi="Cambria Math"/>
                      <w:lang w:val="en-US"/>
                    </w:rPr>
                    <m:t>ERA</m:t>
                  </m:r>
                </m:sub>
              </m:sSub>
              <m:r>
                <w:rPr>
                  <w:rFonts w:ascii="Cambria Math" w:hAnsi="Cambria Math"/>
                  <w:lang w:val="en-US"/>
                </w:rPr>
                <m:t>⋅</m:t>
              </m:r>
              <m:sSubSup>
                <m:sSubSupPr>
                  <m:ctrlPr>
                    <w:rPr>
                      <w:rFonts w:ascii="Cambria Math" w:hAnsi="Cambria Math"/>
                    </w:rPr>
                  </m:ctrlPr>
                </m:sSubSupPr>
                <m:e>
                  <m:r>
                    <w:rPr>
                      <w:rFonts w:ascii="Cambria Math" w:hAnsi="Cambria Math"/>
                    </w:rPr>
                    <m:t>f</m:t>
                  </m:r>
                </m:e>
                <m:sub>
                  <m:r>
                    <m:rPr>
                      <m:sty m:val="p"/>
                    </m:rPr>
                    <w:rPr>
                      <w:rFonts w:ascii="Cambria Math" w:hAnsi="Cambria Math"/>
                      <w:lang w:val="en-US"/>
                    </w:rPr>
                    <m:t>cm</m:t>
                  </m:r>
                </m:sub>
                <m:sup>
                  <m:f>
                    <m:fPr>
                      <m:type m:val="lin"/>
                      <m:ctrlPr>
                        <w:rPr>
                          <w:rFonts w:ascii="Cambria Math" w:hAnsi="Cambria Math"/>
                        </w:rPr>
                      </m:ctrlPr>
                    </m:fPr>
                    <m:num>
                      <m:r>
                        <w:rPr>
                          <w:rFonts w:ascii="Cambria Math" w:hAnsi="Cambria Math"/>
                          <w:lang w:val="en-US"/>
                        </w:rPr>
                        <m:t>1</m:t>
                      </m:r>
                    </m:num>
                    <m:den>
                      <m:r>
                        <w:rPr>
                          <w:rFonts w:ascii="Cambria Math" w:hAnsi="Cambria Math"/>
                          <w:lang w:val="en-US"/>
                        </w:rPr>
                        <m:t>3</m:t>
                      </m:r>
                    </m:den>
                  </m:f>
                </m:sup>
              </m:sSubSup>
            </m:oMath>
            <w:r w:rsidR="004E22C1" w:rsidRPr="009D3012">
              <w:rPr>
                <w:lang w:val="en-US"/>
              </w:rPr>
              <w:t xml:space="preserve"> where </w:t>
            </w:r>
            <m:oMath>
              <m:sSub>
                <m:sSubPr>
                  <m:ctrlPr>
                    <w:rPr>
                      <w:rFonts w:ascii="Cambria Math" w:hAnsi="Cambria Math"/>
                    </w:rPr>
                  </m:ctrlPr>
                </m:sSubPr>
                <m:e>
                  <m:r>
                    <w:rPr>
                      <w:rFonts w:ascii="Cambria Math" w:hAnsi="Cambria Math"/>
                    </w:rPr>
                    <m:t>η</m:t>
                  </m:r>
                </m:e>
                <m:sub>
                  <m:r>
                    <m:rPr>
                      <m:sty m:val="p"/>
                    </m:rPr>
                    <w:rPr>
                      <w:rFonts w:ascii="Cambria Math" w:hAnsi="Cambria Math"/>
                      <w:lang w:val="en-US"/>
                    </w:rPr>
                    <m:t>ERA</m:t>
                  </m:r>
                </m:sub>
              </m:sSub>
              <m:r>
                <w:rPr>
                  <w:rFonts w:ascii="Cambria Math" w:hAnsi="Cambria Math"/>
                  <w:lang w:val="en-US"/>
                </w:rPr>
                <m:t>=</m:t>
              </m:r>
              <m:sSub>
                <m:sSubPr>
                  <m:ctrlPr>
                    <w:rPr>
                      <w:rFonts w:ascii="Cambria Math" w:hAnsi="Cambria Math"/>
                    </w:rPr>
                  </m:ctrlPr>
                </m:sSubPr>
                <m:e>
                  <m:r>
                    <w:rPr>
                      <w:rFonts w:ascii="Cambria Math" w:hAnsi="Cambria Math"/>
                    </w:rPr>
                    <m:t>k</m:t>
                  </m:r>
                </m:e>
                <m:sub>
                  <m:r>
                    <m:rPr>
                      <m:sty m:val="p"/>
                    </m:rPr>
                    <w:rPr>
                      <w:rFonts w:ascii="Cambria Math" w:hAnsi="Cambria Math"/>
                      <w:lang w:val="en-US"/>
                    </w:rPr>
                    <m:t>E</m:t>
                  </m:r>
                </m:sub>
              </m:sSub>
              <m:r>
                <w:rPr>
                  <w:rFonts w:ascii="Cambria Math" w:hAnsi="Cambria Math"/>
                  <w:lang w:val="en-US"/>
                </w:rPr>
                <m:t>⋅</m:t>
              </m:r>
              <m:d>
                <m:dPr>
                  <m:ctrlPr>
                    <w:rPr>
                      <w:rFonts w:ascii="Cambria Math" w:hAnsi="Cambria Math"/>
                    </w:rPr>
                  </m:ctrlPr>
                </m:dPr>
                <m:e>
                  <m:r>
                    <w:rPr>
                      <w:rFonts w:ascii="Cambria Math" w:hAnsi="Cambria Math"/>
                      <w:lang w:val="en-US"/>
                    </w:rPr>
                    <m:t>1-0,25⋅</m:t>
                  </m:r>
                  <m:sSub>
                    <m:sSubPr>
                      <m:ctrlPr>
                        <w:rPr>
                          <w:rFonts w:ascii="Cambria Math" w:hAnsi="Cambria Math"/>
                        </w:rPr>
                      </m:ctrlPr>
                    </m:sSubPr>
                    <m:e>
                      <m:r>
                        <w:rPr>
                          <w:rFonts w:ascii="Cambria Math" w:hAnsi="Cambria Math"/>
                        </w:rPr>
                        <m:t>α</m:t>
                      </m:r>
                    </m:e>
                    <m:sub>
                      <m:r>
                        <m:rPr>
                          <m:sty m:val="p"/>
                        </m:rPr>
                        <w:rPr>
                          <w:rFonts w:ascii="Cambria Math" w:hAnsi="Cambria Math"/>
                          <w:lang w:val="en-US"/>
                        </w:rPr>
                        <m:t>RA</m:t>
                      </m:r>
                    </m:sub>
                  </m:sSub>
                </m:e>
              </m:d>
            </m:oMath>
          </w:p>
        </w:tc>
      </w:tr>
      <w:tr w:rsidR="00DE6BBC" w:rsidRPr="001455DC" w14:paraId="25530F72" w14:textId="77777777" w:rsidTr="00A151D3">
        <w:tc>
          <w:tcPr>
            <w:tcW w:w="1247" w:type="dxa"/>
            <w:vAlign w:val="center"/>
          </w:tcPr>
          <w:p w14:paraId="22BAD929" w14:textId="77777777" w:rsidR="004E22C1" w:rsidRPr="001455DC" w:rsidRDefault="004E22C1" w:rsidP="00A151D3">
            <w:pPr>
              <w:pStyle w:val="Tablebody"/>
              <w:jc w:val="left"/>
            </w:pPr>
            <w:r w:rsidRPr="001455DC">
              <w:t>5.1.6(5)</w:t>
            </w:r>
          </w:p>
        </w:tc>
        <w:tc>
          <w:tcPr>
            <w:tcW w:w="2608" w:type="dxa"/>
            <w:vAlign w:val="center"/>
          </w:tcPr>
          <w:p w14:paraId="7529CA37" w14:textId="77777777" w:rsidR="004E22C1" w:rsidRPr="009D3012" w:rsidRDefault="004E22C1" w:rsidP="00A151D3">
            <w:pPr>
              <w:pStyle w:val="Tablebody"/>
              <w:jc w:val="left"/>
              <w:rPr>
                <w:lang w:val="en-US"/>
              </w:rPr>
            </w:pPr>
            <w:r w:rsidRPr="009D3012">
              <w:rPr>
                <w:lang w:val="en-US"/>
              </w:rPr>
              <w:t>Linear coefficient of thermal expansion</w:t>
            </w:r>
          </w:p>
        </w:tc>
        <w:tc>
          <w:tcPr>
            <w:tcW w:w="5897" w:type="dxa"/>
            <w:vAlign w:val="center"/>
          </w:tcPr>
          <w:p w14:paraId="5F3F9564" w14:textId="5E06EC1F" w:rsidR="004E22C1" w:rsidRPr="009D3012" w:rsidRDefault="004E22C1" w:rsidP="00A151D3">
            <w:pPr>
              <w:pStyle w:val="Tablebody"/>
              <w:jc w:val="left"/>
              <w:rPr>
                <w:lang w:val="en-US"/>
              </w:rPr>
            </w:pPr>
            <w:r w:rsidRPr="009D3012">
              <w:rPr>
                <w:lang w:val="en-US"/>
              </w:rPr>
              <w:t>Unless more accurate information is available, the linear coefficient of thermal expansion may be taken equal to 10 </w:t>
            </w:r>
            <w:r w:rsidRPr="009D3012">
              <w:rPr>
                <w:rFonts w:ascii="Cambria Math" w:hAnsi="Cambria Math" w:cs="Cambria Math"/>
                <w:lang w:val="en-US"/>
              </w:rPr>
              <w:t>⋅</w:t>
            </w:r>
            <w:r w:rsidRPr="009D3012">
              <w:rPr>
                <w:lang w:val="en-US"/>
              </w:rPr>
              <w:t> 10</w:t>
            </w:r>
            <w:r w:rsidR="00EC27D2" w:rsidRPr="009D3012">
              <w:rPr>
                <w:rStyle w:val="CCMCvariablesuperscript"/>
                <w:rFonts w:ascii="Cambria Math" w:hAnsi="Cambria Math"/>
                <w:lang w:val="en-US"/>
              </w:rPr>
              <w:t>−</w:t>
            </w:r>
            <w:r w:rsidRPr="009D3012">
              <w:rPr>
                <w:rStyle w:val="CCMCvariablesuperscript"/>
                <w:lang w:val="en-US"/>
              </w:rPr>
              <w:t>6</w:t>
            </w:r>
            <w:r w:rsidRPr="009D3012">
              <w:rPr>
                <w:lang w:val="en-US"/>
              </w:rPr>
              <w:t xml:space="preserve"> K</w:t>
            </w:r>
            <w:r w:rsidR="00EC27D2" w:rsidRPr="009D3012">
              <w:rPr>
                <w:rStyle w:val="CCMCvariablesuperscript"/>
                <w:rFonts w:ascii="Cambria Math" w:hAnsi="Cambria Math"/>
                <w:lang w:val="en-US"/>
              </w:rPr>
              <w:t>−</w:t>
            </w:r>
            <w:r w:rsidRPr="009D3012">
              <w:rPr>
                <w:rStyle w:val="CCMCvariablesuperscript"/>
                <w:lang w:val="en-US"/>
              </w:rPr>
              <w:t>1</w:t>
            </w:r>
          </w:p>
        </w:tc>
      </w:tr>
      <w:tr w:rsidR="00DE6BBC" w:rsidRPr="001455DC" w14:paraId="30A69DB1" w14:textId="77777777" w:rsidTr="00A151D3">
        <w:tc>
          <w:tcPr>
            <w:tcW w:w="1247" w:type="dxa"/>
            <w:vAlign w:val="center"/>
          </w:tcPr>
          <w:p w14:paraId="35A66136" w14:textId="137871CE" w:rsidR="004E22C1" w:rsidRPr="001455DC" w:rsidRDefault="004E22C1" w:rsidP="00A151D3">
            <w:pPr>
              <w:pStyle w:val="Tablebody"/>
              <w:jc w:val="left"/>
            </w:pPr>
            <w:r w:rsidRPr="001455DC">
              <w:t>5.1.5(3),</w:t>
            </w:r>
            <w:r w:rsidR="00A151D3" w:rsidRPr="001455DC">
              <w:t xml:space="preserve"> </w:t>
            </w:r>
            <w:r w:rsidRPr="001455DC">
              <w:t>Table 5.3</w:t>
            </w:r>
          </w:p>
        </w:tc>
        <w:tc>
          <w:tcPr>
            <w:tcW w:w="2608" w:type="dxa"/>
            <w:vAlign w:val="center"/>
          </w:tcPr>
          <w:p w14:paraId="4AEC2936" w14:textId="77777777" w:rsidR="004E22C1" w:rsidRPr="001455DC" w:rsidRDefault="004E22C1" w:rsidP="00A151D3">
            <w:pPr>
              <w:pStyle w:val="Tablebody"/>
              <w:jc w:val="left"/>
            </w:pPr>
            <w:r w:rsidRPr="001455DC">
              <w:t>Creep coefficient</w:t>
            </w:r>
          </w:p>
        </w:tc>
        <w:tc>
          <w:tcPr>
            <w:tcW w:w="5897" w:type="dxa"/>
            <w:vAlign w:val="center"/>
          </w:tcPr>
          <w:p w14:paraId="60F5D93A" w14:textId="77777777" w:rsidR="004E22C1" w:rsidRPr="009D3012" w:rsidRDefault="004E22C1" w:rsidP="00A151D3">
            <w:pPr>
              <w:pStyle w:val="Tablebody"/>
              <w:jc w:val="left"/>
              <w:rPr>
                <w:lang w:val="en-US"/>
              </w:rPr>
            </w:pPr>
            <w:r w:rsidRPr="009D3012">
              <w:rPr>
                <w:lang w:val="en-US"/>
              </w:rPr>
              <w:t>Determine by testing if relevant.</w:t>
            </w:r>
          </w:p>
          <w:p w14:paraId="529B7364" w14:textId="45FDA5B5" w:rsidR="004E22C1" w:rsidRPr="009D3012" w:rsidRDefault="004E22C1" w:rsidP="00A151D3">
            <w:pPr>
              <w:pStyle w:val="Tablebody"/>
              <w:jc w:val="left"/>
              <w:rPr>
                <w:lang w:val="en-US"/>
              </w:rPr>
            </w:pPr>
            <w:r w:rsidRPr="009D3012">
              <w:rPr>
                <w:lang w:val="en-US"/>
              </w:rPr>
              <w:t xml:space="preserve">Alternatively the creep coefficient for basic and drying creep should be multiplied by a factor </w:t>
            </w:r>
            <m:oMath>
              <m:sSub>
                <m:sSubPr>
                  <m:ctrlPr>
                    <w:rPr>
                      <w:rFonts w:ascii="Cambria Math" w:hAnsi="Cambria Math"/>
                    </w:rPr>
                  </m:ctrlPr>
                </m:sSubPr>
                <m:e>
                  <m:r>
                    <w:rPr>
                      <w:rFonts w:ascii="Cambria Math" w:hAnsi="Cambria Math"/>
                    </w:rPr>
                    <m:t>η</m:t>
                  </m:r>
                </m:e>
                <m:sub>
                  <m:r>
                    <m:rPr>
                      <m:sty m:val="p"/>
                    </m:rPr>
                    <w:rPr>
                      <w:rFonts w:ascii="Cambria Math" w:hAnsi="Cambria Math"/>
                      <w:lang w:val="en-US"/>
                    </w:rPr>
                    <m:t>cRA</m:t>
                  </m:r>
                </m:sub>
              </m:sSub>
              <m:r>
                <w:rPr>
                  <w:rFonts w:ascii="Cambria Math" w:hAnsi="Cambria Math"/>
                  <w:lang w:val="en-US"/>
                </w:rPr>
                <m:t>=1+0,6⋅</m:t>
              </m:r>
              <m:sSub>
                <m:sSubPr>
                  <m:ctrlPr>
                    <w:rPr>
                      <w:rFonts w:ascii="Cambria Math" w:hAnsi="Cambria Math"/>
                    </w:rPr>
                  </m:ctrlPr>
                </m:sSubPr>
                <m:e>
                  <m:r>
                    <w:rPr>
                      <w:rFonts w:ascii="Cambria Math" w:hAnsi="Cambria Math"/>
                    </w:rPr>
                    <m:t>α</m:t>
                  </m:r>
                </m:e>
                <m:sub>
                  <m:r>
                    <m:rPr>
                      <m:sty m:val="p"/>
                    </m:rPr>
                    <w:rPr>
                      <w:rFonts w:ascii="Cambria Math" w:hAnsi="Cambria Math"/>
                      <w:lang w:val="en-US"/>
                    </w:rPr>
                    <m:t>RA</m:t>
                  </m:r>
                </m:sub>
              </m:sSub>
            </m:oMath>
          </w:p>
        </w:tc>
      </w:tr>
      <w:tr w:rsidR="00DE6BBC" w:rsidRPr="001455DC" w14:paraId="3C8D3FB8" w14:textId="77777777" w:rsidTr="00A151D3">
        <w:tc>
          <w:tcPr>
            <w:tcW w:w="1247" w:type="dxa"/>
            <w:vAlign w:val="center"/>
          </w:tcPr>
          <w:p w14:paraId="28B097DF" w14:textId="40DAC419" w:rsidR="004E22C1" w:rsidRPr="001455DC" w:rsidRDefault="004E22C1" w:rsidP="00A151D3">
            <w:pPr>
              <w:pStyle w:val="Tablebody"/>
              <w:jc w:val="left"/>
            </w:pPr>
            <w:r w:rsidRPr="001455DC">
              <w:t>5.1.5(8),</w:t>
            </w:r>
            <w:r w:rsidR="00A151D3" w:rsidRPr="001455DC">
              <w:t xml:space="preserve"> </w:t>
            </w:r>
            <w:r w:rsidRPr="001455DC">
              <w:t>Table 5.4</w:t>
            </w:r>
          </w:p>
        </w:tc>
        <w:tc>
          <w:tcPr>
            <w:tcW w:w="2608" w:type="dxa"/>
            <w:vAlign w:val="center"/>
          </w:tcPr>
          <w:p w14:paraId="19BF16DD" w14:textId="77777777" w:rsidR="004E22C1" w:rsidRPr="001455DC" w:rsidRDefault="004E22C1" w:rsidP="00A151D3">
            <w:pPr>
              <w:pStyle w:val="Tablebody"/>
              <w:jc w:val="left"/>
            </w:pPr>
            <w:r w:rsidRPr="001455DC">
              <w:t>Total shrinkage</w:t>
            </w:r>
          </w:p>
        </w:tc>
        <w:tc>
          <w:tcPr>
            <w:tcW w:w="5897" w:type="dxa"/>
            <w:vAlign w:val="center"/>
          </w:tcPr>
          <w:p w14:paraId="52DCE663" w14:textId="77777777" w:rsidR="004E22C1" w:rsidRPr="009D3012" w:rsidRDefault="004E22C1" w:rsidP="00A151D3">
            <w:pPr>
              <w:pStyle w:val="Tablebody"/>
              <w:jc w:val="left"/>
              <w:rPr>
                <w:lang w:val="en-US"/>
              </w:rPr>
            </w:pPr>
            <w:r w:rsidRPr="009D3012">
              <w:rPr>
                <w:lang w:val="en-US"/>
              </w:rPr>
              <w:t>Determine by testing if relevant.</w:t>
            </w:r>
          </w:p>
          <w:p w14:paraId="53248EF5" w14:textId="27EB876F" w:rsidR="004E22C1" w:rsidRPr="009D3012" w:rsidRDefault="004E22C1" w:rsidP="00A151D3">
            <w:pPr>
              <w:pStyle w:val="Tablebody"/>
              <w:jc w:val="left"/>
              <w:rPr>
                <w:lang w:val="en-US"/>
              </w:rPr>
            </w:pPr>
            <w:r w:rsidRPr="009D3012">
              <w:rPr>
                <w:lang w:val="en-US"/>
              </w:rPr>
              <w:t>Alternatively the basic and drying shrinkages should be multiplied by a factor</w:t>
            </w:r>
            <w:r w:rsidR="00A151D3" w:rsidRPr="009D3012">
              <w:rPr>
                <w:lang w:val="en-US"/>
              </w:rPr>
              <w:t xml:space="preserve"> </w:t>
            </w:r>
            <m:oMath>
              <m:sSub>
                <m:sSubPr>
                  <m:ctrlPr>
                    <w:rPr>
                      <w:rFonts w:ascii="Cambria Math" w:hAnsi="Cambria Math"/>
                    </w:rPr>
                  </m:ctrlPr>
                </m:sSubPr>
                <m:e>
                  <m:r>
                    <w:rPr>
                      <w:rFonts w:ascii="Cambria Math" w:hAnsi="Cambria Math"/>
                    </w:rPr>
                    <m:t>η</m:t>
                  </m:r>
                </m:e>
                <m:sub>
                  <m:r>
                    <m:rPr>
                      <m:sty m:val="p"/>
                    </m:rPr>
                    <w:rPr>
                      <w:rFonts w:ascii="Cambria Math" w:hAnsi="Cambria Math"/>
                      <w:lang w:val="en-US"/>
                    </w:rPr>
                    <m:t>shRA</m:t>
                  </m:r>
                </m:sub>
              </m:sSub>
              <m:r>
                <w:rPr>
                  <w:rFonts w:ascii="Cambria Math" w:hAnsi="Cambria Math"/>
                  <w:lang w:val="en-US"/>
                </w:rPr>
                <m:t>=1+0,8⋅</m:t>
              </m:r>
              <m:sSub>
                <m:sSubPr>
                  <m:ctrlPr>
                    <w:rPr>
                      <w:rFonts w:ascii="Cambria Math" w:hAnsi="Cambria Math"/>
                    </w:rPr>
                  </m:ctrlPr>
                </m:sSubPr>
                <m:e>
                  <m:r>
                    <w:rPr>
                      <w:rFonts w:ascii="Cambria Math" w:hAnsi="Cambria Math"/>
                    </w:rPr>
                    <m:t>α</m:t>
                  </m:r>
                </m:e>
                <m:sub>
                  <m:r>
                    <m:rPr>
                      <m:sty m:val="p"/>
                    </m:rPr>
                    <w:rPr>
                      <w:rFonts w:ascii="Cambria Math" w:hAnsi="Cambria Math"/>
                      <w:lang w:val="en-US"/>
                    </w:rPr>
                    <m:t>RA</m:t>
                  </m:r>
                </m:sub>
              </m:sSub>
            </m:oMath>
          </w:p>
        </w:tc>
      </w:tr>
      <w:tr w:rsidR="00DE6BBC" w:rsidRPr="001455DC" w14:paraId="79C93B8C" w14:textId="77777777" w:rsidTr="00A151D3">
        <w:tc>
          <w:tcPr>
            <w:tcW w:w="1247" w:type="dxa"/>
            <w:tcBorders>
              <w:bottom w:val="single" w:sz="6" w:space="0" w:color="000000"/>
            </w:tcBorders>
            <w:vAlign w:val="center"/>
          </w:tcPr>
          <w:p w14:paraId="11D25335" w14:textId="77777777" w:rsidR="004E22C1" w:rsidRPr="001455DC" w:rsidRDefault="004E22C1" w:rsidP="00A151D3">
            <w:pPr>
              <w:pStyle w:val="Tablebody"/>
              <w:jc w:val="left"/>
            </w:pPr>
            <w:r w:rsidRPr="001455DC">
              <w:t>5.1.7(1)</w:t>
            </w:r>
          </w:p>
        </w:tc>
        <w:tc>
          <w:tcPr>
            <w:tcW w:w="2608" w:type="dxa"/>
            <w:tcBorders>
              <w:bottom w:val="single" w:sz="6" w:space="0" w:color="000000"/>
            </w:tcBorders>
            <w:vAlign w:val="center"/>
          </w:tcPr>
          <w:p w14:paraId="4CCED82B" w14:textId="77777777" w:rsidR="004E22C1" w:rsidRPr="009D3012" w:rsidRDefault="004E22C1" w:rsidP="00A151D3">
            <w:pPr>
              <w:pStyle w:val="Tablebody"/>
              <w:jc w:val="left"/>
              <w:rPr>
                <w:lang w:val="en-US"/>
              </w:rPr>
            </w:pPr>
            <w:r w:rsidRPr="009D3012">
              <w:rPr>
                <w:lang w:val="en-US"/>
              </w:rPr>
              <w:t xml:space="preserve">Design value of concrete compressive strength </w:t>
            </w:r>
            <w:r w:rsidRPr="009D3012">
              <w:rPr>
                <w:rStyle w:val="CCMCvariableitalic"/>
                <w:lang w:val="en-US"/>
              </w:rPr>
              <w:t>f</w:t>
            </w:r>
            <w:r w:rsidRPr="009D3012">
              <w:rPr>
                <w:rStyle w:val="CCMCvariablesubscript"/>
                <w:lang w:val="en-US"/>
              </w:rPr>
              <w:t>cd</w:t>
            </w:r>
          </w:p>
        </w:tc>
        <w:tc>
          <w:tcPr>
            <w:tcW w:w="5897" w:type="dxa"/>
            <w:tcBorders>
              <w:bottom w:val="single" w:sz="6" w:space="0" w:color="000000"/>
            </w:tcBorders>
            <w:vAlign w:val="center"/>
          </w:tcPr>
          <w:p w14:paraId="3647C123" w14:textId="77777777" w:rsidR="004E22C1" w:rsidRPr="001455DC" w:rsidRDefault="004E22C1" w:rsidP="00A151D3">
            <w:pPr>
              <w:pStyle w:val="Tablebody"/>
              <w:jc w:val="left"/>
            </w:pPr>
            <w:r w:rsidRPr="001455DC">
              <w:t>No change.</w:t>
            </w:r>
          </w:p>
        </w:tc>
      </w:tr>
      <w:tr w:rsidR="00DE6BBC" w:rsidRPr="001455DC" w14:paraId="79AAF3CA" w14:textId="77777777" w:rsidTr="00A151D3">
        <w:tc>
          <w:tcPr>
            <w:tcW w:w="1247" w:type="dxa"/>
            <w:tcBorders>
              <w:top w:val="single" w:sz="6" w:space="0" w:color="000000"/>
              <w:bottom w:val="single" w:sz="6" w:space="0" w:color="000000"/>
            </w:tcBorders>
            <w:vAlign w:val="center"/>
          </w:tcPr>
          <w:p w14:paraId="324C86C5" w14:textId="29545621" w:rsidR="004E22C1" w:rsidRPr="001455DC" w:rsidRDefault="004E22C1" w:rsidP="00A151D3">
            <w:pPr>
              <w:pStyle w:val="Tablebody"/>
              <w:jc w:val="left"/>
            </w:pPr>
            <w:r w:rsidRPr="001455DC">
              <w:t>Tables 6.3(NDP),</w:t>
            </w:r>
            <w:r w:rsidR="00A151D3" w:rsidRPr="001455DC">
              <w:t xml:space="preserve"> </w:t>
            </w:r>
            <w:r w:rsidRPr="001455DC">
              <w:t>6.4(NDP), 6.5(NDP)</w:t>
            </w:r>
          </w:p>
        </w:tc>
        <w:tc>
          <w:tcPr>
            <w:tcW w:w="2608" w:type="dxa"/>
            <w:tcBorders>
              <w:top w:val="single" w:sz="6" w:space="0" w:color="000000"/>
              <w:bottom w:val="single" w:sz="6" w:space="0" w:color="000000"/>
            </w:tcBorders>
            <w:vAlign w:val="center"/>
          </w:tcPr>
          <w:p w14:paraId="3CDB0756" w14:textId="77777777" w:rsidR="004E22C1" w:rsidRPr="009D3012" w:rsidRDefault="004E22C1" w:rsidP="00A151D3">
            <w:pPr>
              <w:pStyle w:val="Tablebody"/>
              <w:jc w:val="left"/>
              <w:rPr>
                <w:lang w:val="en-US"/>
              </w:rPr>
            </w:pPr>
            <w:r w:rsidRPr="009D3012">
              <w:rPr>
                <w:lang w:val="en-US"/>
              </w:rPr>
              <w:t xml:space="preserve">Minimum clear cover </w:t>
            </w:r>
            <w:r w:rsidRPr="009D3012">
              <w:rPr>
                <w:rStyle w:val="CCMCvariableitalic"/>
                <w:lang w:val="en-US"/>
              </w:rPr>
              <w:t>c</w:t>
            </w:r>
            <w:r w:rsidRPr="009D3012">
              <w:rPr>
                <w:rStyle w:val="CCMCvariablesubscript"/>
                <w:lang w:val="en-US"/>
              </w:rPr>
              <w:t>min,dur</w:t>
            </w:r>
            <w:r w:rsidRPr="009D3012">
              <w:rPr>
                <w:lang w:val="en-US"/>
              </w:rPr>
              <w:t xml:space="preserve"> due to durability requirement </w:t>
            </w:r>
          </w:p>
        </w:tc>
        <w:tc>
          <w:tcPr>
            <w:tcW w:w="5897" w:type="dxa"/>
            <w:tcBorders>
              <w:top w:val="single" w:sz="6" w:space="0" w:color="000000"/>
              <w:bottom w:val="single" w:sz="6" w:space="0" w:color="000000"/>
            </w:tcBorders>
            <w:vAlign w:val="center"/>
          </w:tcPr>
          <w:p w14:paraId="39B54AEE" w14:textId="77777777" w:rsidR="004E22C1" w:rsidRPr="009D3012" w:rsidRDefault="004E22C1" w:rsidP="00A151D3">
            <w:pPr>
              <w:pStyle w:val="Tablebody"/>
              <w:jc w:val="left"/>
              <w:rPr>
                <w:lang w:val="en-US"/>
              </w:rPr>
            </w:pPr>
            <w:r w:rsidRPr="009D3012">
              <w:rPr>
                <w:lang w:val="en-US"/>
              </w:rPr>
              <w:t>Determine ERC by testing if relevant.</w:t>
            </w:r>
          </w:p>
          <w:p w14:paraId="7B085A62" w14:textId="77777777" w:rsidR="004E22C1" w:rsidRPr="009D3012" w:rsidRDefault="004E22C1" w:rsidP="00A151D3">
            <w:pPr>
              <w:pStyle w:val="Tablebody"/>
              <w:jc w:val="left"/>
              <w:rPr>
                <w:lang w:val="en-US"/>
              </w:rPr>
            </w:pPr>
            <w:r w:rsidRPr="009D3012">
              <w:rPr>
                <w:lang w:val="en-US"/>
              </w:rPr>
              <w:t xml:space="preserve">For concrete including recycled aggregate, the same minimum cover depth for durability </w:t>
            </w:r>
            <w:r w:rsidRPr="009D3012">
              <w:rPr>
                <w:rStyle w:val="CCMCvariableitalic"/>
                <w:lang w:val="en-US"/>
              </w:rPr>
              <w:t>c</w:t>
            </w:r>
            <w:r w:rsidRPr="009D3012">
              <w:rPr>
                <w:rStyle w:val="CCMCvariablesubscript"/>
                <w:lang w:val="en-US"/>
              </w:rPr>
              <w:t>min,dur</w:t>
            </w:r>
            <w:r w:rsidRPr="009D3012">
              <w:rPr>
                <w:lang w:val="en-US"/>
              </w:rPr>
              <w:t xml:space="preserve"> applies provided the material pertains the same exposure resistance class (ERC) as concrete including natural aggregate only. Adaptation of the limiting values and/or performance thresholds ensuring compliance with ERCs for concrete including recycled aggregate are given in EN 206 complemented by the provisions valid in the place of use.</w:t>
            </w:r>
          </w:p>
          <w:p w14:paraId="0A805E36" w14:textId="0DC73F66" w:rsidR="004E22C1" w:rsidRPr="009D3012" w:rsidRDefault="004E22C1" w:rsidP="00A151D3">
            <w:pPr>
              <w:pStyle w:val="Tablebody"/>
              <w:jc w:val="left"/>
              <w:rPr>
                <w:lang w:val="en-US"/>
              </w:rPr>
            </w:pPr>
            <w:r w:rsidRPr="009D3012">
              <w:rPr>
                <w:lang w:val="en-US"/>
              </w:rPr>
              <w:t xml:space="preserve">If the ERC is not determined for reinforced or prestressed concrete when </w:t>
            </w:r>
            <w:r w:rsidRPr="001455DC">
              <w:rPr>
                <w:rStyle w:val="CCMCvariableitalic"/>
              </w:rPr>
              <w:t>α</w:t>
            </w:r>
            <w:r w:rsidRPr="009D3012">
              <w:rPr>
                <w:rStyle w:val="CCMCvariablesubscript"/>
                <w:lang w:val="en-US"/>
              </w:rPr>
              <w:t>RA</w:t>
            </w:r>
            <w:r w:rsidRPr="009D3012">
              <w:rPr>
                <w:lang w:val="en-US"/>
              </w:rPr>
              <w:t> </w:t>
            </w:r>
            <w:r w:rsidR="00650035" w:rsidRPr="009D3012">
              <w:rPr>
                <w:rFonts w:ascii="Cambria Math" w:hAnsi="Cambria Math"/>
                <w:lang w:val="en-US"/>
              </w:rPr>
              <w:t>&gt;</w:t>
            </w:r>
            <w:r w:rsidR="00073FC6" w:rsidRPr="009D3012">
              <w:rPr>
                <w:lang w:val="en-US"/>
              </w:rPr>
              <w:t> </w:t>
            </w:r>
            <w:r w:rsidRPr="009D3012">
              <w:rPr>
                <w:lang w:val="en-US"/>
              </w:rPr>
              <w:t xml:space="preserve">0,20 and for prestressed concrete when </w:t>
            </w:r>
            <w:r w:rsidRPr="001455DC">
              <w:rPr>
                <w:rStyle w:val="CCMCvariableitalic"/>
              </w:rPr>
              <w:t>α</w:t>
            </w:r>
            <w:r w:rsidRPr="009D3012">
              <w:rPr>
                <w:rStyle w:val="CCMCvariablesubscript"/>
                <w:lang w:val="en-US"/>
              </w:rPr>
              <w:t>RA</w:t>
            </w:r>
            <w:r w:rsidRPr="009D3012">
              <w:rPr>
                <w:lang w:val="en-US"/>
              </w:rPr>
              <w:t> </w:t>
            </w:r>
            <w:r w:rsidR="00650035" w:rsidRPr="009D3012">
              <w:rPr>
                <w:rFonts w:ascii="Cambria Math" w:hAnsi="Cambria Math"/>
                <w:lang w:val="en-US"/>
              </w:rPr>
              <w:t>&gt;</w:t>
            </w:r>
            <w:r w:rsidR="00073FC6" w:rsidRPr="009D3012">
              <w:rPr>
                <w:lang w:val="en-US"/>
              </w:rPr>
              <w:t> </w:t>
            </w:r>
            <w:r w:rsidRPr="009D3012">
              <w:rPr>
                <w:lang w:val="en-US"/>
              </w:rPr>
              <w:t xml:space="preserve">0, the values of </w:t>
            </w:r>
            <w:r w:rsidRPr="009D3012">
              <w:rPr>
                <w:rStyle w:val="CCMCvariableitalic"/>
                <w:lang w:val="en-US"/>
              </w:rPr>
              <w:t>c</w:t>
            </w:r>
            <w:r w:rsidRPr="009D3012">
              <w:rPr>
                <w:rStyle w:val="CCMCvariablesubscript"/>
                <w:lang w:val="en-US"/>
              </w:rPr>
              <w:t>min,dur</w:t>
            </w:r>
            <w:r w:rsidRPr="009D3012">
              <w:rPr>
                <w:lang w:val="en-US"/>
              </w:rPr>
              <w:t xml:space="preserve"> given in 6.5.2 should be increased by </w:t>
            </w:r>
            <w:r w:rsidR="00EC27D2" w:rsidRPr="009D3012">
              <w:rPr>
                <w:rFonts w:ascii="Cambria Math" w:hAnsi="Cambria Math"/>
                <w:lang w:val="en-US"/>
              </w:rPr>
              <w:t>+</w:t>
            </w:r>
            <w:r w:rsidRPr="009D3012">
              <w:rPr>
                <w:lang w:val="en-US"/>
              </w:rPr>
              <w:t xml:space="preserve">5 mm in case of XC-exposure classes and by </w:t>
            </w:r>
            <w:r w:rsidR="00EC27D2" w:rsidRPr="009D3012">
              <w:rPr>
                <w:rFonts w:ascii="Cambria Math" w:hAnsi="Cambria Math"/>
                <w:lang w:val="en-US"/>
              </w:rPr>
              <w:t>+</w:t>
            </w:r>
            <w:r w:rsidRPr="009D3012">
              <w:rPr>
                <w:lang w:val="en-US"/>
              </w:rPr>
              <w:t>10 mm in case of XD/XS-exposure classes.</w:t>
            </w:r>
          </w:p>
        </w:tc>
      </w:tr>
      <w:tr w:rsidR="00DE6BBC" w:rsidRPr="001455DC" w14:paraId="0B999BD3" w14:textId="77777777" w:rsidTr="00A151D3">
        <w:tc>
          <w:tcPr>
            <w:tcW w:w="1247" w:type="dxa"/>
            <w:tcBorders>
              <w:top w:val="single" w:sz="6" w:space="0" w:color="000000"/>
            </w:tcBorders>
            <w:vAlign w:val="center"/>
          </w:tcPr>
          <w:p w14:paraId="2E5772BC" w14:textId="5CF77015" w:rsidR="004E22C1" w:rsidRPr="001455DC" w:rsidRDefault="001710FF" w:rsidP="00A151D3">
            <w:pPr>
              <w:pStyle w:val="Tablebody"/>
              <w:keepNext/>
              <w:jc w:val="left"/>
            </w:pPr>
            <w:r w:rsidRPr="001455DC">
              <w:t>Clause </w:t>
            </w:r>
            <w:r w:rsidR="004E22C1" w:rsidRPr="001455DC">
              <w:t>7</w:t>
            </w:r>
          </w:p>
        </w:tc>
        <w:tc>
          <w:tcPr>
            <w:tcW w:w="2608" w:type="dxa"/>
            <w:tcBorders>
              <w:top w:val="single" w:sz="6" w:space="0" w:color="000000"/>
            </w:tcBorders>
            <w:vAlign w:val="center"/>
          </w:tcPr>
          <w:p w14:paraId="6BD974EE" w14:textId="77777777" w:rsidR="004E22C1" w:rsidRPr="001455DC" w:rsidRDefault="004E22C1" w:rsidP="00A151D3">
            <w:pPr>
              <w:pStyle w:val="Tablebody"/>
              <w:keepNext/>
              <w:jc w:val="left"/>
            </w:pPr>
            <w:r w:rsidRPr="001455DC">
              <w:t>Rotation capacity</w:t>
            </w:r>
          </w:p>
        </w:tc>
        <w:tc>
          <w:tcPr>
            <w:tcW w:w="5897" w:type="dxa"/>
            <w:tcBorders>
              <w:top w:val="single" w:sz="6" w:space="0" w:color="000000"/>
            </w:tcBorders>
            <w:vAlign w:val="center"/>
          </w:tcPr>
          <w:p w14:paraId="1067B81D" w14:textId="1DC10C2C" w:rsidR="004E22C1" w:rsidRPr="009D3012" w:rsidRDefault="004E22C1" w:rsidP="00A151D3">
            <w:pPr>
              <w:pStyle w:val="Tablebody"/>
              <w:keepNext/>
              <w:jc w:val="left"/>
              <w:rPr>
                <w:lang w:val="en-US"/>
              </w:rPr>
            </w:pPr>
            <w:r w:rsidRPr="009D3012">
              <w:rPr>
                <w:lang w:val="en-US"/>
              </w:rPr>
              <w:t>Multiply in 5.1.6(3), Formula (5.6) by</w:t>
            </w:r>
            <w:r w:rsidR="00A151D3" w:rsidRPr="009D3012">
              <w:rPr>
                <w:lang w:val="en-US"/>
              </w:rPr>
              <w:t xml:space="preserve"> </w:t>
            </w:r>
            <m:oMath>
              <m:sSub>
                <m:sSubPr>
                  <m:ctrlPr>
                    <w:rPr>
                      <w:rFonts w:ascii="Cambria Math" w:hAnsi="Cambria Math"/>
                    </w:rPr>
                  </m:ctrlPr>
                </m:sSubPr>
                <m:e>
                  <m:r>
                    <w:rPr>
                      <w:rFonts w:ascii="Cambria Math" w:hAnsi="Cambria Math"/>
                    </w:rPr>
                    <m:t>η</m:t>
                  </m:r>
                </m:e>
                <m:sub>
                  <m:r>
                    <m:rPr>
                      <m:sty m:val="p"/>
                    </m:rPr>
                    <w:rPr>
                      <w:rFonts w:ascii="Cambria Math" w:hAnsi="Cambria Math"/>
                    </w:rPr>
                    <m:t>ε</m:t>
                  </m:r>
                  <m:r>
                    <m:rPr>
                      <m:sty m:val="p"/>
                    </m:rPr>
                    <w:rPr>
                      <w:rFonts w:ascii="Cambria Math" w:hAnsi="Cambria Math"/>
                      <w:lang w:val="en-US"/>
                    </w:rPr>
                    <m:t>c</m:t>
                  </m:r>
                </m:sub>
              </m:sSub>
              <m:r>
                <w:rPr>
                  <w:rFonts w:ascii="Cambria Math" w:hAnsi="Cambria Math"/>
                  <w:lang w:val="en-US"/>
                </w:rPr>
                <m:t>=1+0,33⋅</m:t>
              </m:r>
              <m:sSub>
                <m:sSubPr>
                  <m:ctrlPr>
                    <w:rPr>
                      <w:rFonts w:ascii="Cambria Math" w:hAnsi="Cambria Math"/>
                    </w:rPr>
                  </m:ctrlPr>
                </m:sSubPr>
                <m:e>
                  <m:r>
                    <w:rPr>
                      <w:rFonts w:ascii="Cambria Math" w:hAnsi="Cambria Math"/>
                    </w:rPr>
                    <m:t>α</m:t>
                  </m:r>
                </m:e>
                <m:sub>
                  <m:r>
                    <m:rPr>
                      <m:sty m:val="p"/>
                    </m:rPr>
                    <w:rPr>
                      <w:rFonts w:ascii="Cambria Math" w:hAnsi="Cambria Math"/>
                      <w:lang w:val="en-US"/>
                    </w:rPr>
                    <m:t>RA</m:t>
                  </m:r>
                </m:sub>
              </m:sSub>
            </m:oMath>
            <w:r w:rsidRPr="009D3012">
              <w:rPr>
                <w:lang w:val="en-US"/>
              </w:rPr>
              <w:t>:</w:t>
            </w:r>
          </w:p>
          <w:p w14:paraId="760EE881" w14:textId="2963C7FC" w:rsidR="004E22C1" w:rsidRPr="001455DC" w:rsidRDefault="00231E33" w:rsidP="00A151D3">
            <w:pPr>
              <w:pStyle w:val="Tablebody"/>
              <w:keepNext/>
              <w:jc w:val="left"/>
            </w:pPr>
            <m:oMathPara>
              <m:oMathParaPr>
                <m:jc m:val="left"/>
              </m:oMathParaPr>
              <m:oMath>
                <m:sSub>
                  <m:sSubPr>
                    <m:ctrlPr>
                      <w:rPr>
                        <w:rFonts w:ascii="Cambria Math" w:hAnsi="Cambria Math"/>
                      </w:rPr>
                    </m:ctrlPr>
                  </m:sSubPr>
                  <m:e>
                    <m:r>
                      <w:rPr>
                        <w:rFonts w:ascii="Cambria Math" w:hAnsi="Cambria Math"/>
                      </w:rPr>
                      <m:t>ε</m:t>
                    </m:r>
                  </m:e>
                  <m:sub>
                    <m:r>
                      <m:rPr>
                        <m:sty m:val="p"/>
                      </m:rPr>
                      <w:rPr>
                        <w:rFonts w:ascii="Cambria Math" w:hAnsi="Cambria Math"/>
                      </w:rPr>
                      <m:t>c1</m:t>
                    </m:r>
                  </m:sub>
                </m:sSub>
                <m:d>
                  <m:dPr>
                    <m:ctrlPr>
                      <w:rPr>
                        <w:rFonts w:ascii="Cambria Math" w:hAnsi="Cambria Math"/>
                      </w:rPr>
                    </m:ctrlPr>
                  </m:dPr>
                  <m:e>
                    <m:r>
                      <w:rPr>
                        <w:rFonts w:ascii="Cambria Math" w:hAnsi="Cambria Math"/>
                      </w:rPr>
                      <m:t>‰</m:t>
                    </m:r>
                  </m:e>
                </m:d>
                <m: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εc</m:t>
                    </m:r>
                  </m:sub>
                </m:sSub>
                <m:d>
                  <m:dPr>
                    <m:ctrlPr>
                      <w:rPr>
                        <w:rFonts w:ascii="Cambria Math" w:hAnsi="Cambria Math"/>
                      </w:rPr>
                    </m:ctrlPr>
                  </m:dPr>
                  <m:e>
                    <m:r>
                      <w:rPr>
                        <w:rFonts w:ascii="Cambria Math" w:hAnsi="Cambria Math"/>
                      </w:rPr>
                      <m:t>0,7</m:t>
                    </m:r>
                    <m:sSubSup>
                      <m:sSubSupPr>
                        <m:ctrlPr>
                          <w:rPr>
                            <w:rFonts w:ascii="Cambria Math" w:hAnsi="Cambria Math"/>
                          </w:rPr>
                        </m:ctrlPr>
                      </m:sSubSupPr>
                      <m:e>
                        <m:r>
                          <w:rPr>
                            <w:rFonts w:ascii="Cambria Math" w:hAnsi="Cambria Math"/>
                          </w:rPr>
                          <m:t>f</m:t>
                        </m:r>
                      </m:e>
                      <m:sub>
                        <m:r>
                          <m:rPr>
                            <m:sty m:val="p"/>
                          </m:rPr>
                          <w:rPr>
                            <w:rFonts w:ascii="Cambria Math" w:hAnsi="Cambria Math"/>
                          </w:rPr>
                          <m:t>cm</m:t>
                        </m:r>
                      </m:sub>
                      <m:sup>
                        <m:f>
                          <m:fPr>
                            <m:ctrlPr>
                              <w:rPr>
                                <w:rFonts w:ascii="Cambria Math" w:hAnsi="Cambria Math"/>
                              </w:rPr>
                            </m:ctrlPr>
                          </m:fPr>
                          <m:num>
                            <m:r>
                              <w:rPr>
                                <w:rFonts w:ascii="Cambria Math" w:hAnsi="Cambria Math"/>
                              </w:rPr>
                              <m:t>1</m:t>
                            </m:r>
                          </m:num>
                          <m:den>
                            <m:r>
                              <w:rPr>
                                <w:rFonts w:ascii="Cambria Math" w:hAnsi="Cambria Math"/>
                              </w:rPr>
                              <m:t>3</m:t>
                            </m:r>
                          </m:den>
                        </m:f>
                      </m:sup>
                    </m:sSubSup>
                  </m:e>
                </m:d>
                <m:r>
                  <w:rPr>
                    <w:rFonts w:ascii="Cambria Math" w:hAnsi="Cambria Math"/>
                  </w:rPr>
                  <m:t>≤2,8 ‰</m:t>
                </m:r>
              </m:oMath>
            </m:oMathPara>
          </w:p>
          <w:p w14:paraId="34FA9101" w14:textId="69E1D3D9" w:rsidR="004E22C1" w:rsidRPr="001455DC" w:rsidRDefault="00231E33" w:rsidP="00A151D3">
            <w:pPr>
              <w:pStyle w:val="Tablebody"/>
              <w:keepNext/>
              <w:jc w:val="left"/>
            </w:pPr>
            <m:oMathPara>
              <m:oMathParaPr>
                <m:jc m:val="left"/>
              </m:oMathParaPr>
              <m:oMath>
                <m:sSub>
                  <m:sSubPr>
                    <m:ctrlPr>
                      <w:rPr>
                        <w:rFonts w:ascii="Cambria Math" w:hAnsi="Cambria Math"/>
                      </w:rPr>
                    </m:ctrlPr>
                  </m:sSubPr>
                  <m:e>
                    <m:r>
                      <w:rPr>
                        <w:rFonts w:ascii="Cambria Math" w:hAnsi="Cambria Math"/>
                      </w:rPr>
                      <m:t>ε</m:t>
                    </m:r>
                  </m:e>
                  <m:sub>
                    <m:r>
                      <m:rPr>
                        <m:sty m:val="p"/>
                      </m:rPr>
                      <w:rPr>
                        <w:rFonts w:ascii="Cambria Math" w:hAnsi="Cambria Math"/>
                      </w:rPr>
                      <m:t>cu1</m:t>
                    </m:r>
                  </m:sub>
                </m:sSub>
                <m:d>
                  <m:dPr>
                    <m:ctrlPr>
                      <w:rPr>
                        <w:rFonts w:ascii="Cambria Math" w:hAnsi="Cambria Math"/>
                      </w:rPr>
                    </m:ctrlPr>
                  </m:dPr>
                  <m:e>
                    <m:r>
                      <w:rPr>
                        <w:rFonts w:ascii="Cambria Math" w:hAnsi="Cambria Math"/>
                      </w:rPr>
                      <m:t>‰</m:t>
                    </m:r>
                  </m:e>
                </m:d>
                <m: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εc</m:t>
                    </m:r>
                  </m:sub>
                </m:sSub>
                <m:d>
                  <m:dPr>
                    <m:ctrlPr>
                      <w:rPr>
                        <w:rFonts w:ascii="Cambria Math" w:hAnsi="Cambria Math"/>
                      </w:rPr>
                    </m:ctrlPr>
                  </m:dPr>
                  <m:e>
                    <m:r>
                      <w:rPr>
                        <w:rFonts w:ascii="Cambria Math" w:hAnsi="Cambria Math"/>
                      </w:rPr>
                      <m:t>2,8+14</m:t>
                    </m:r>
                    <m:sSup>
                      <m:sSupPr>
                        <m:ctrlPr>
                          <w:rPr>
                            <w:rFonts w:ascii="Cambria Math" w:hAnsi="Cambria Math"/>
                          </w:rPr>
                        </m:ctrlPr>
                      </m:sSupPr>
                      <m:e>
                        <m:d>
                          <m:dPr>
                            <m:ctrlPr>
                              <w:rPr>
                                <w:rFonts w:ascii="Cambria Math" w:hAnsi="Cambria Math"/>
                              </w:rPr>
                            </m:ctrlPr>
                          </m:dPr>
                          <m:e>
                            <m: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cm</m:t>
                                    </m:r>
                                  </m:sub>
                                </m:sSub>
                              </m:num>
                              <m:den>
                                <m:r>
                                  <w:rPr>
                                    <w:rFonts w:ascii="Cambria Math" w:hAnsi="Cambria Math"/>
                                  </w:rPr>
                                  <m:t>108</m:t>
                                </m:r>
                              </m:den>
                            </m:f>
                          </m:e>
                        </m:d>
                      </m:e>
                      <m:sup>
                        <m:r>
                          <w:rPr>
                            <w:rFonts w:ascii="Cambria Math" w:hAnsi="Cambria Math"/>
                          </w:rPr>
                          <m:t>4</m:t>
                        </m:r>
                      </m:sup>
                    </m:sSup>
                  </m:e>
                </m:d>
                <m:r>
                  <w:rPr>
                    <w:rFonts w:ascii="Cambria Math" w:hAnsi="Cambria Math"/>
                  </w:rPr>
                  <m:t>≤3,5 ‰</m:t>
                </m:r>
              </m:oMath>
            </m:oMathPara>
          </w:p>
        </w:tc>
      </w:tr>
      <w:tr w:rsidR="00DE6BBC" w:rsidRPr="001455DC" w14:paraId="0C37748C" w14:textId="77777777" w:rsidTr="00A151D3">
        <w:tc>
          <w:tcPr>
            <w:tcW w:w="1247" w:type="dxa"/>
            <w:vAlign w:val="center"/>
          </w:tcPr>
          <w:p w14:paraId="1EFB9392" w14:textId="77777777" w:rsidR="004E22C1" w:rsidRPr="001455DC" w:rsidRDefault="004E22C1" w:rsidP="00A151D3">
            <w:pPr>
              <w:pStyle w:val="Tablebody"/>
              <w:jc w:val="left"/>
            </w:pPr>
            <w:r w:rsidRPr="001455DC">
              <w:t xml:space="preserve">8.1.4(2) </w:t>
            </w:r>
          </w:p>
        </w:tc>
        <w:tc>
          <w:tcPr>
            <w:tcW w:w="2608" w:type="dxa"/>
            <w:vAlign w:val="center"/>
          </w:tcPr>
          <w:p w14:paraId="3458F812" w14:textId="77777777" w:rsidR="004E22C1" w:rsidRPr="001455DC" w:rsidRDefault="004E22C1" w:rsidP="00A151D3">
            <w:pPr>
              <w:pStyle w:val="Tablebody"/>
              <w:jc w:val="left"/>
            </w:pPr>
            <w:r w:rsidRPr="001455DC">
              <w:t>Confined concrete</w:t>
            </w:r>
          </w:p>
        </w:tc>
        <w:tc>
          <w:tcPr>
            <w:tcW w:w="5897" w:type="dxa"/>
            <w:vAlign w:val="center"/>
          </w:tcPr>
          <w:p w14:paraId="54318E93" w14:textId="77777777" w:rsidR="004E22C1" w:rsidRPr="001455DC" w:rsidRDefault="004E22C1" w:rsidP="00A151D3">
            <w:pPr>
              <w:pStyle w:val="Tablebody"/>
              <w:jc w:val="left"/>
            </w:pPr>
            <w:r w:rsidRPr="001455DC">
              <w:t>No change.</w:t>
            </w:r>
          </w:p>
        </w:tc>
      </w:tr>
      <w:tr w:rsidR="00DE6BBC" w:rsidRPr="001455DC" w14:paraId="7714C642" w14:textId="77777777" w:rsidTr="00A151D3">
        <w:tc>
          <w:tcPr>
            <w:tcW w:w="1247" w:type="dxa"/>
            <w:vAlign w:val="center"/>
          </w:tcPr>
          <w:p w14:paraId="21C9B883" w14:textId="5F55B9C2" w:rsidR="004E22C1" w:rsidRPr="001455DC" w:rsidRDefault="004E22C1" w:rsidP="00A151D3">
            <w:pPr>
              <w:pStyle w:val="Tablebody"/>
              <w:jc w:val="left"/>
            </w:pPr>
            <w:r w:rsidRPr="001455DC">
              <w:t>8.1.4(2)</w:t>
            </w:r>
            <w:r w:rsidR="00A151D3" w:rsidRPr="001455DC">
              <w:t xml:space="preserve">, </w:t>
            </w:r>
            <w:r w:rsidRPr="001455DC">
              <w:t>8.2.1(5)</w:t>
            </w:r>
            <w:r w:rsidR="00A151D3" w:rsidRPr="001455DC">
              <w:t xml:space="preserve">, </w:t>
            </w:r>
            <w:r w:rsidRPr="001455DC">
              <w:t>8.2.2(3)</w:t>
            </w:r>
            <w:r w:rsidR="00A151D3" w:rsidRPr="001455DC">
              <w:t>,</w:t>
            </w:r>
            <w:r w:rsidRPr="001455DC">
              <w:t xml:space="preserve"> 8.4.3(1)</w:t>
            </w:r>
          </w:p>
        </w:tc>
        <w:tc>
          <w:tcPr>
            <w:tcW w:w="2608" w:type="dxa"/>
            <w:vAlign w:val="center"/>
          </w:tcPr>
          <w:p w14:paraId="52B85108" w14:textId="77777777" w:rsidR="004E22C1" w:rsidRPr="009D3012" w:rsidRDefault="004E22C1" w:rsidP="00A151D3">
            <w:pPr>
              <w:pStyle w:val="Tablebody"/>
              <w:jc w:val="left"/>
              <w:rPr>
                <w:lang w:val="en-US"/>
              </w:rPr>
            </w:pPr>
            <w:r w:rsidRPr="009D3012">
              <w:rPr>
                <w:lang w:val="en-US"/>
              </w:rPr>
              <w:t xml:space="preserve">Parameter </w:t>
            </w:r>
            <w:r w:rsidRPr="009D3012">
              <w:rPr>
                <w:rStyle w:val="CCMCvariableitalic"/>
                <w:lang w:val="en-US"/>
              </w:rPr>
              <w:t>d</w:t>
            </w:r>
            <w:r w:rsidRPr="009D3012">
              <w:rPr>
                <w:rStyle w:val="CCMCvariablesubscript"/>
                <w:lang w:val="en-US"/>
              </w:rPr>
              <w:t>dg</w:t>
            </w:r>
            <w:r w:rsidRPr="009D3012">
              <w:rPr>
                <w:lang w:val="en-US"/>
              </w:rPr>
              <w:t xml:space="preserve"> affecting the resistance of confined concrete, the shear resistance of members not requiring design shear reinforcement and the punching shear resistance</w:t>
            </w:r>
          </w:p>
        </w:tc>
        <w:tc>
          <w:tcPr>
            <w:tcW w:w="5897" w:type="dxa"/>
            <w:vAlign w:val="center"/>
          </w:tcPr>
          <w:p w14:paraId="040978C6" w14:textId="298D2ADF" w:rsidR="004E22C1" w:rsidRPr="009D3012" w:rsidRDefault="004E22C1" w:rsidP="00A151D3">
            <w:pPr>
              <w:pStyle w:val="Tablebody"/>
              <w:jc w:val="left"/>
              <w:rPr>
                <w:lang w:val="en-US"/>
              </w:rPr>
            </w:pPr>
            <w:r w:rsidRPr="009D3012">
              <w:rPr>
                <w:lang w:val="en-US"/>
              </w:rPr>
              <w:t xml:space="preserve">The parameter </w:t>
            </w:r>
            <w:r w:rsidRPr="009D3012">
              <w:rPr>
                <w:rStyle w:val="CCMCvariableitalic"/>
                <w:lang w:val="en-US"/>
              </w:rPr>
              <w:t>d</w:t>
            </w:r>
            <w:r w:rsidRPr="009D3012">
              <w:rPr>
                <w:rStyle w:val="CCMCvariablesubscript"/>
                <w:lang w:val="en-US"/>
              </w:rPr>
              <w:t>dg</w:t>
            </w:r>
            <w:r w:rsidRPr="009D3012">
              <w:rPr>
                <w:lang w:val="en-US"/>
              </w:rPr>
              <w:t xml:space="preserve"> taking account of concrete type and its aggregate properties shall be assumed as </w:t>
            </w:r>
            <w:r w:rsidRPr="009D3012">
              <w:rPr>
                <w:rStyle w:val="CCMCvariableitalic"/>
                <w:lang w:val="en-US"/>
              </w:rPr>
              <w:t>d</w:t>
            </w:r>
            <w:r w:rsidRPr="009D3012">
              <w:rPr>
                <w:rStyle w:val="CCMCvariablesubscript"/>
                <w:lang w:val="en-US"/>
              </w:rPr>
              <w:t>dg</w:t>
            </w:r>
            <w:r w:rsidRPr="009D3012">
              <w:rPr>
                <w:lang w:val="en-US"/>
              </w:rPr>
              <w:t> </w:t>
            </w:r>
            <w:r w:rsidR="00EC27D2" w:rsidRPr="009D3012">
              <w:rPr>
                <w:rFonts w:ascii="Cambria Math" w:hAnsi="Cambria Math"/>
                <w:lang w:val="en-US"/>
              </w:rPr>
              <w:t>=</w:t>
            </w:r>
            <w:r w:rsidRPr="009D3012">
              <w:rPr>
                <w:lang w:val="en-US"/>
              </w:rPr>
              <w:t> 16 mm.</w:t>
            </w:r>
          </w:p>
          <w:p w14:paraId="7A6B07BD" w14:textId="563A4067" w:rsidR="004E22C1" w:rsidRPr="009D3012" w:rsidRDefault="004E22C1">
            <w:pPr>
              <w:pStyle w:val="Tablebody"/>
              <w:jc w:val="left"/>
              <w:rPr>
                <w:lang w:val="en-US"/>
              </w:rPr>
            </w:pPr>
            <w:r w:rsidRPr="009D3012">
              <w:rPr>
                <w:lang w:val="en-US"/>
              </w:rPr>
              <w:t>Shear strength without shear reinforcement: Multiply in 8.2.1(4), Formula (8.</w:t>
            </w:r>
            <w:r w:rsidR="00CB2841" w:rsidRPr="001455DC">
              <w:rPr>
                <w:lang w:val="en-US"/>
              </w:rPr>
              <w:t>11</w:t>
            </w:r>
            <w:r w:rsidRPr="009D3012">
              <w:rPr>
                <w:lang w:val="en-US"/>
              </w:rPr>
              <w:t>) and in 8.2.2(2), Formula (8.</w:t>
            </w:r>
            <w:r w:rsidR="00CB2841" w:rsidRPr="009D3012">
              <w:rPr>
                <w:lang w:val="en-US"/>
              </w:rPr>
              <w:t>1</w:t>
            </w:r>
            <w:r w:rsidR="00CB2841" w:rsidRPr="001455DC">
              <w:rPr>
                <w:lang w:val="en-US"/>
              </w:rPr>
              <w:t>6</w:t>
            </w:r>
            <w:r w:rsidRPr="009D3012">
              <w:rPr>
                <w:lang w:val="en-US"/>
              </w:rPr>
              <w:t>) by</w:t>
            </w:r>
            <w:r w:rsidR="00A151D3" w:rsidRPr="009D3012">
              <w:rPr>
                <w:lang w:val="en-US"/>
              </w:rPr>
              <w:t xml:space="preserve"> </w:t>
            </w:r>
            <m:oMath>
              <m:sSub>
                <m:sSubPr>
                  <m:ctrlPr>
                    <w:rPr>
                      <w:rFonts w:ascii="Cambria Math" w:hAnsi="Cambria Math"/>
                    </w:rPr>
                  </m:ctrlPr>
                </m:sSubPr>
                <m:e>
                  <m:r>
                    <w:rPr>
                      <w:rFonts w:ascii="Cambria Math" w:hAnsi="Cambria Math"/>
                    </w:rPr>
                    <m:t>η</m:t>
                  </m:r>
                </m:e>
                <m:sub>
                  <m:r>
                    <m:rPr>
                      <m:sty m:val="p"/>
                    </m:rPr>
                    <w:rPr>
                      <w:rFonts w:ascii="Cambria Math" w:hAnsi="Cambria Math"/>
                    </w:rPr>
                    <m:t>τ</m:t>
                  </m:r>
                </m:sub>
              </m:sSub>
              <m:r>
                <w:rPr>
                  <w:rFonts w:ascii="Cambria Math" w:hAnsi="Cambria Math"/>
                  <w:lang w:val="en-US"/>
                </w:rPr>
                <m:t>=1-0,2⋅</m:t>
              </m:r>
              <m:sSub>
                <m:sSubPr>
                  <m:ctrlPr>
                    <w:rPr>
                      <w:rFonts w:ascii="Cambria Math" w:hAnsi="Cambria Math"/>
                    </w:rPr>
                  </m:ctrlPr>
                </m:sSubPr>
                <m:e>
                  <m:r>
                    <w:rPr>
                      <w:rFonts w:ascii="Cambria Math" w:hAnsi="Cambria Math"/>
                    </w:rPr>
                    <m:t>α</m:t>
                  </m:r>
                </m:e>
                <m:sub>
                  <m:r>
                    <m:rPr>
                      <m:sty m:val="p"/>
                    </m:rPr>
                    <w:rPr>
                      <w:rFonts w:ascii="Cambria Math" w:hAnsi="Cambria Math"/>
                      <w:lang w:val="en-US"/>
                    </w:rPr>
                    <m:t>RA</m:t>
                  </m:r>
                </m:sub>
              </m:sSub>
            </m:oMath>
            <w:r w:rsidRPr="009D3012">
              <w:rPr>
                <w:lang w:val="en-US"/>
              </w:rPr>
              <w:t>.</w:t>
            </w:r>
          </w:p>
        </w:tc>
      </w:tr>
      <w:tr w:rsidR="00DE6BBC" w:rsidRPr="001455DC" w14:paraId="6621A3A6" w14:textId="77777777" w:rsidTr="00A151D3">
        <w:tc>
          <w:tcPr>
            <w:tcW w:w="1247" w:type="dxa"/>
            <w:vAlign w:val="center"/>
          </w:tcPr>
          <w:p w14:paraId="7306C1B1" w14:textId="7F711C1E" w:rsidR="004E22C1" w:rsidRPr="001455DC" w:rsidRDefault="004E22C1" w:rsidP="00A151D3">
            <w:pPr>
              <w:pStyle w:val="Tablebody"/>
              <w:jc w:val="left"/>
            </w:pPr>
            <w:r w:rsidRPr="001455DC">
              <w:t>8.6(2)</w:t>
            </w:r>
          </w:p>
        </w:tc>
        <w:tc>
          <w:tcPr>
            <w:tcW w:w="2608" w:type="dxa"/>
            <w:vAlign w:val="center"/>
          </w:tcPr>
          <w:p w14:paraId="65419CE8" w14:textId="77777777" w:rsidR="004E22C1" w:rsidRPr="001455DC" w:rsidRDefault="004E22C1" w:rsidP="00A151D3">
            <w:pPr>
              <w:pStyle w:val="Tablebody"/>
              <w:jc w:val="left"/>
            </w:pPr>
            <w:r w:rsidRPr="001455DC">
              <w:t>Partially loaded areas</w:t>
            </w:r>
          </w:p>
        </w:tc>
        <w:tc>
          <w:tcPr>
            <w:tcW w:w="5897" w:type="dxa"/>
            <w:vAlign w:val="center"/>
          </w:tcPr>
          <w:p w14:paraId="212D68FE" w14:textId="77777777" w:rsidR="004E22C1" w:rsidRPr="001455DC" w:rsidRDefault="004E22C1" w:rsidP="00A151D3">
            <w:pPr>
              <w:pStyle w:val="Tablebody"/>
              <w:jc w:val="left"/>
            </w:pPr>
            <w:r w:rsidRPr="001455DC">
              <w:t>No change.</w:t>
            </w:r>
          </w:p>
        </w:tc>
      </w:tr>
      <w:tr w:rsidR="00DE6BBC" w:rsidRPr="001455DC" w14:paraId="3D595EA1" w14:textId="77777777" w:rsidTr="00A151D3">
        <w:tc>
          <w:tcPr>
            <w:tcW w:w="1247" w:type="dxa"/>
            <w:vAlign w:val="center"/>
          </w:tcPr>
          <w:p w14:paraId="3855F9BF" w14:textId="1B71FFDA" w:rsidR="004E22C1" w:rsidRPr="001455DC" w:rsidRDefault="004E22C1" w:rsidP="00A151D3">
            <w:pPr>
              <w:pStyle w:val="Tablebody"/>
              <w:jc w:val="left"/>
            </w:pPr>
            <w:r w:rsidRPr="001455DC">
              <w:t>9.3.2(2),</w:t>
            </w:r>
            <w:r w:rsidR="00A151D3" w:rsidRPr="001455DC">
              <w:t xml:space="preserve"> </w:t>
            </w:r>
            <w:r w:rsidRPr="001455DC">
              <w:t>Table 9.2</w:t>
            </w:r>
          </w:p>
        </w:tc>
        <w:tc>
          <w:tcPr>
            <w:tcW w:w="2608" w:type="dxa"/>
            <w:vAlign w:val="center"/>
          </w:tcPr>
          <w:p w14:paraId="555AE708" w14:textId="77777777" w:rsidR="004E22C1" w:rsidRPr="001455DC" w:rsidRDefault="004E22C1" w:rsidP="00A151D3">
            <w:pPr>
              <w:pStyle w:val="Tablebody"/>
              <w:jc w:val="left"/>
            </w:pPr>
            <w:r w:rsidRPr="001455DC">
              <w:t>Deflection control</w:t>
            </w:r>
          </w:p>
        </w:tc>
        <w:tc>
          <w:tcPr>
            <w:tcW w:w="5897" w:type="dxa"/>
            <w:vAlign w:val="center"/>
          </w:tcPr>
          <w:p w14:paraId="1B5E0529" w14:textId="60AF8376" w:rsidR="004E22C1" w:rsidRPr="001455DC" w:rsidRDefault="00A151D3" w:rsidP="00A151D3">
            <w:pPr>
              <w:pStyle w:val="Tablebody"/>
              <w:jc w:val="left"/>
            </w:pPr>
            <m:oMathPara>
              <m:oMathParaPr>
                <m:jc m:val="left"/>
              </m:oMathParaPr>
              <m:oMath>
                <m:r>
                  <w:rPr>
                    <w:rFonts w:ascii="Cambria Math" w:hAnsi="Cambria Math"/>
                  </w:rPr>
                  <m:t>ς=1-</m:t>
                </m:r>
                <m:sSub>
                  <m:sSubPr>
                    <m:ctrlPr>
                      <w:rPr>
                        <w:rFonts w:ascii="Cambria Math" w:hAnsi="Cambria Math"/>
                      </w:rPr>
                    </m:ctrlPr>
                  </m:sSubPr>
                  <m:e>
                    <m:r>
                      <w:rPr>
                        <w:rFonts w:ascii="Cambria Math" w:hAnsi="Cambria Math"/>
                      </w:rPr>
                      <m:t>β</m:t>
                    </m:r>
                  </m:e>
                  <m:sub>
                    <m:r>
                      <m:rPr>
                        <m:sty m:val="p"/>
                      </m:rPr>
                      <w:rPr>
                        <w:rFonts w:ascii="Cambria Math" w:hAnsi="Cambria Math"/>
                      </w:rPr>
                      <m:t>tRA</m:t>
                    </m:r>
                  </m:sub>
                </m:sSub>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σ</m:t>
                                </m:r>
                              </m:e>
                              <m:sub>
                                <m:r>
                                  <m:rPr>
                                    <m:sty m:val="p"/>
                                  </m:rPr>
                                  <w:rPr>
                                    <w:rFonts w:ascii="Cambria Math" w:hAnsi="Cambria Math"/>
                                  </w:rPr>
                                  <m:t>sr</m:t>
                                </m:r>
                              </m:sub>
                            </m:sSub>
                          </m:num>
                          <m:den>
                            <m:sSub>
                              <m:sSubPr>
                                <m:ctrlPr>
                                  <w:rPr>
                                    <w:rFonts w:ascii="Cambria Math" w:hAnsi="Cambria Math"/>
                                  </w:rPr>
                                </m:ctrlPr>
                              </m:sSubPr>
                              <m:e>
                                <m:r>
                                  <w:rPr>
                                    <w:rFonts w:ascii="Cambria Math" w:hAnsi="Cambria Math"/>
                                  </w:rPr>
                                  <m:t>σ</m:t>
                                </m:r>
                              </m:e>
                              <m:sub>
                                <m:r>
                                  <m:rPr>
                                    <m:sty m:val="p"/>
                                  </m:rPr>
                                  <w:rPr>
                                    <w:rFonts w:ascii="Cambria Math" w:hAnsi="Cambria Math"/>
                                  </w:rPr>
                                  <m:t>s</m:t>
                                </m:r>
                              </m:sub>
                            </m:sSub>
                          </m:den>
                        </m:f>
                      </m:e>
                    </m:d>
                  </m:e>
                  <m:sup>
                    <m:r>
                      <w:rPr>
                        <w:rFonts w:ascii="Cambria Math" w:hAnsi="Cambria Math"/>
                      </w:rPr>
                      <m:t>2</m:t>
                    </m:r>
                  </m:sup>
                </m:sSup>
                <m:r>
                  <w:rPr>
                    <w:rFonts w:ascii="Cambria Math" w:hAnsi="Cambria Math"/>
                  </w:rPr>
                  <m:t>≥0</m:t>
                </m:r>
              </m:oMath>
            </m:oMathPara>
          </w:p>
          <w:p w14:paraId="00F8B4EA" w14:textId="021B195B" w:rsidR="004E22C1" w:rsidRPr="009D3012" w:rsidRDefault="004E22C1" w:rsidP="00A151D3">
            <w:pPr>
              <w:pStyle w:val="Tablebody"/>
              <w:jc w:val="left"/>
              <w:rPr>
                <w:lang w:val="en-US"/>
              </w:rPr>
            </w:pPr>
            <w:r w:rsidRPr="009D3012">
              <w:rPr>
                <w:lang w:val="en-US"/>
              </w:rPr>
              <w:t>with</w:t>
            </w:r>
            <w:r w:rsidRPr="009D3012">
              <w:rPr>
                <w:lang w:val="en-US"/>
              </w:rPr>
              <w:tab/>
            </w:r>
            <w:r w:rsidRPr="001455DC">
              <w:rPr>
                <w:rFonts w:ascii="Cambria Math" w:hAnsi="Cambria Math" w:cs="Cambria Math"/>
              </w:rPr>
              <w:t>𝛽</w:t>
            </w:r>
            <w:r w:rsidRPr="009D3012">
              <w:rPr>
                <w:rStyle w:val="CCMCvariablesubscript"/>
                <w:lang w:val="en-US"/>
              </w:rPr>
              <w:t>tRA</w:t>
            </w:r>
            <w:r w:rsidRPr="009D3012">
              <w:rPr>
                <w:lang w:val="en-US"/>
              </w:rPr>
              <w:t> </w:t>
            </w:r>
            <w:r w:rsidR="00EC27D2" w:rsidRPr="009D3012">
              <w:rPr>
                <w:rFonts w:ascii="Cambria Math" w:hAnsi="Cambria Math"/>
                <w:lang w:val="en-US"/>
              </w:rPr>
              <w:t>=</w:t>
            </w:r>
            <w:r w:rsidRPr="009D3012">
              <w:rPr>
                <w:lang w:val="en-US"/>
              </w:rPr>
              <w:t> 1,0 for a single short term loading and</w:t>
            </w:r>
          </w:p>
          <w:p w14:paraId="60411F44" w14:textId="2B40C34F" w:rsidR="004E22C1" w:rsidRPr="009D3012" w:rsidRDefault="004E22C1" w:rsidP="00A151D3">
            <w:pPr>
              <w:pStyle w:val="Tablebody"/>
              <w:jc w:val="left"/>
              <w:rPr>
                <w:lang w:val="en-US"/>
              </w:rPr>
            </w:pPr>
            <w:r w:rsidRPr="001455DC">
              <w:rPr>
                <w:rFonts w:ascii="Cambria Math" w:hAnsi="Cambria Math" w:cs="Cambria Math"/>
              </w:rPr>
              <w:t>𝛽</w:t>
            </w:r>
            <w:r w:rsidRPr="009D3012">
              <w:rPr>
                <w:rStyle w:val="CCMCvariablesubscript"/>
                <w:lang w:val="en-US"/>
              </w:rPr>
              <w:t>tRA</w:t>
            </w:r>
            <w:r w:rsidRPr="009D3012">
              <w:rPr>
                <w:lang w:val="en-US"/>
              </w:rPr>
              <w:t> </w:t>
            </w:r>
            <w:r w:rsidR="00EC27D2" w:rsidRPr="009D3012">
              <w:rPr>
                <w:rFonts w:ascii="Cambria Math" w:hAnsi="Cambria Math"/>
                <w:lang w:val="en-US"/>
              </w:rPr>
              <w:t>=</w:t>
            </w:r>
            <w:r w:rsidRPr="009D3012">
              <w:rPr>
                <w:lang w:val="en-US"/>
              </w:rPr>
              <w:t> 0,25 for sustained loads or many cycles of repeated loading;</w:t>
            </w:r>
          </w:p>
        </w:tc>
      </w:tr>
      <w:tr w:rsidR="00DE6BBC" w:rsidRPr="001455DC" w14:paraId="032B4956" w14:textId="77777777" w:rsidTr="00A151D3">
        <w:tc>
          <w:tcPr>
            <w:tcW w:w="1247" w:type="dxa"/>
            <w:vAlign w:val="center"/>
          </w:tcPr>
          <w:p w14:paraId="28900D26" w14:textId="5CE8B5FA" w:rsidR="004E22C1" w:rsidRPr="001455DC" w:rsidRDefault="004E22C1" w:rsidP="00A151D3">
            <w:pPr>
              <w:pStyle w:val="Tablebody"/>
              <w:jc w:val="left"/>
            </w:pPr>
            <w:r w:rsidRPr="001455DC">
              <w:t>11.3(4) and</w:t>
            </w:r>
            <w:r w:rsidR="00A151D3" w:rsidRPr="001455DC">
              <w:t> </w:t>
            </w:r>
            <w:r w:rsidRPr="001455DC">
              <w:t>(5)</w:t>
            </w:r>
          </w:p>
        </w:tc>
        <w:tc>
          <w:tcPr>
            <w:tcW w:w="2608" w:type="dxa"/>
            <w:vAlign w:val="center"/>
          </w:tcPr>
          <w:p w14:paraId="3955294C" w14:textId="77777777" w:rsidR="004E22C1" w:rsidRPr="009D3012" w:rsidRDefault="004E22C1" w:rsidP="00A151D3">
            <w:pPr>
              <w:pStyle w:val="Tablebody"/>
              <w:jc w:val="left"/>
              <w:rPr>
                <w:lang w:val="en-US"/>
              </w:rPr>
            </w:pPr>
            <w:r w:rsidRPr="009D3012">
              <w:rPr>
                <w:lang w:val="en-US"/>
              </w:rPr>
              <w:t>Permissible mandrel diameter for bent bars</w:t>
            </w:r>
          </w:p>
        </w:tc>
        <w:tc>
          <w:tcPr>
            <w:tcW w:w="5897" w:type="dxa"/>
            <w:vAlign w:val="center"/>
          </w:tcPr>
          <w:p w14:paraId="131E0ED2" w14:textId="77777777" w:rsidR="004E22C1" w:rsidRPr="001455DC" w:rsidRDefault="004E22C1" w:rsidP="00A151D3">
            <w:pPr>
              <w:pStyle w:val="Tablebody"/>
              <w:jc w:val="left"/>
            </w:pPr>
            <w:r w:rsidRPr="001455DC">
              <w:t>No change.</w:t>
            </w:r>
          </w:p>
        </w:tc>
      </w:tr>
      <w:tr w:rsidR="00DE6BBC" w:rsidRPr="001455DC" w14:paraId="39824C48" w14:textId="77777777" w:rsidTr="00A151D3">
        <w:tc>
          <w:tcPr>
            <w:tcW w:w="1247" w:type="dxa"/>
            <w:vAlign w:val="center"/>
          </w:tcPr>
          <w:p w14:paraId="2EA920D0" w14:textId="77777777" w:rsidR="004E22C1" w:rsidRPr="001455DC" w:rsidRDefault="004E22C1" w:rsidP="00A151D3">
            <w:pPr>
              <w:pStyle w:val="Tablebody"/>
              <w:jc w:val="left"/>
            </w:pPr>
            <w:r w:rsidRPr="001455DC">
              <w:t>11.4.2, 11.5.2</w:t>
            </w:r>
          </w:p>
        </w:tc>
        <w:tc>
          <w:tcPr>
            <w:tcW w:w="2608" w:type="dxa"/>
            <w:vAlign w:val="center"/>
          </w:tcPr>
          <w:p w14:paraId="295CAABA" w14:textId="77777777" w:rsidR="004E22C1" w:rsidRPr="009D3012" w:rsidRDefault="004E22C1" w:rsidP="00A151D3">
            <w:pPr>
              <w:pStyle w:val="Tablebody"/>
              <w:jc w:val="left"/>
              <w:rPr>
                <w:lang w:val="en-US"/>
              </w:rPr>
            </w:pPr>
            <w:r w:rsidRPr="009D3012">
              <w:rPr>
                <w:lang w:val="en-US"/>
              </w:rPr>
              <w:t>Anchorages and laps of bars</w:t>
            </w:r>
          </w:p>
        </w:tc>
        <w:tc>
          <w:tcPr>
            <w:tcW w:w="5897" w:type="dxa"/>
            <w:vAlign w:val="center"/>
          </w:tcPr>
          <w:p w14:paraId="630E5FE9" w14:textId="77777777" w:rsidR="004E22C1" w:rsidRPr="001455DC" w:rsidRDefault="004E22C1" w:rsidP="00A151D3">
            <w:pPr>
              <w:pStyle w:val="Tablebody"/>
              <w:jc w:val="left"/>
            </w:pPr>
            <w:r w:rsidRPr="001455DC">
              <w:t>No change.</w:t>
            </w:r>
          </w:p>
        </w:tc>
      </w:tr>
      <w:tr w:rsidR="00DE6BBC" w:rsidRPr="001455DC" w14:paraId="734FECD0" w14:textId="77777777" w:rsidTr="00A151D3">
        <w:tc>
          <w:tcPr>
            <w:tcW w:w="1247" w:type="dxa"/>
            <w:vAlign w:val="center"/>
          </w:tcPr>
          <w:p w14:paraId="56B52971" w14:textId="13C58DE8" w:rsidR="004E22C1" w:rsidRPr="001455DC" w:rsidRDefault="004E22C1">
            <w:pPr>
              <w:pStyle w:val="Tablebody"/>
              <w:jc w:val="left"/>
            </w:pPr>
            <w:r w:rsidRPr="001455DC">
              <w:t>B.</w:t>
            </w:r>
            <w:r w:rsidR="007D653E" w:rsidRPr="001455DC">
              <w:t>4</w:t>
            </w:r>
            <w:r w:rsidRPr="001455DC">
              <w:t>(1)</w:t>
            </w:r>
          </w:p>
        </w:tc>
        <w:tc>
          <w:tcPr>
            <w:tcW w:w="2608" w:type="dxa"/>
            <w:vAlign w:val="center"/>
          </w:tcPr>
          <w:p w14:paraId="7F03B23B" w14:textId="77777777" w:rsidR="004E22C1" w:rsidRPr="001455DC" w:rsidRDefault="004E22C1" w:rsidP="00A151D3">
            <w:pPr>
              <w:pStyle w:val="Tablebody"/>
              <w:jc w:val="left"/>
            </w:pPr>
            <w:r w:rsidRPr="001455DC">
              <w:t>Creep coefficient</w:t>
            </w:r>
          </w:p>
        </w:tc>
        <w:tc>
          <w:tcPr>
            <w:tcW w:w="5897" w:type="dxa"/>
            <w:vAlign w:val="center"/>
          </w:tcPr>
          <w:p w14:paraId="4BD98E00" w14:textId="77777777" w:rsidR="004E22C1" w:rsidRPr="009D3012" w:rsidRDefault="004E22C1" w:rsidP="00A151D3">
            <w:pPr>
              <w:pStyle w:val="Tablebody"/>
              <w:jc w:val="left"/>
              <w:rPr>
                <w:lang w:val="en-US"/>
              </w:rPr>
            </w:pPr>
            <w:r w:rsidRPr="009D3012">
              <w:rPr>
                <w:lang w:val="en-US"/>
              </w:rPr>
              <w:t>Determine by testing if relevant.</w:t>
            </w:r>
          </w:p>
          <w:p w14:paraId="7429668C" w14:textId="4B4EEAA4" w:rsidR="004E22C1" w:rsidRPr="009D3012" w:rsidRDefault="004E22C1" w:rsidP="00A151D3">
            <w:pPr>
              <w:pStyle w:val="Tablebody"/>
              <w:jc w:val="left"/>
              <w:rPr>
                <w:lang w:val="en-US"/>
              </w:rPr>
            </w:pPr>
            <w:r w:rsidRPr="009D3012">
              <w:rPr>
                <w:lang w:val="en-US"/>
              </w:rPr>
              <w:t xml:space="preserve">Alternatively the creep coefficient for basic and drying creep should be multiplied by a factor </w:t>
            </w:r>
            <m:oMath>
              <m:sSub>
                <m:sSubPr>
                  <m:ctrlPr>
                    <w:rPr>
                      <w:rFonts w:ascii="Cambria Math" w:hAnsi="Cambria Math"/>
                    </w:rPr>
                  </m:ctrlPr>
                </m:sSubPr>
                <m:e>
                  <m:r>
                    <w:rPr>
                      <w:rFonts w:ascii="Cambria Math" w:hAnsi="Cambria Math"/>
                    </w:rPr>
                    <m:t>η</m:t>
                  </m:r>
                </m:e>
                <m:sub>
                  <m:r>
                    <m:rPr>
                      <m:sty m:val="p"/>
                    </m:rPr>
                    <w:rPr>
                      <w:rFonts w:ascii="Cambria Math" w:hAnsi="Cambria Math"/>
                      <w:lang w:val="en-US"/>
                    </w:rPr>
                    <m:t>ccRA</m:t>
                  </m:r>
                </m:sub>
              </m:sSub>
              <m:r>
                <w:rPr>
                  <w:rFonts w:ascii="Cambria Math" w:hAnsi="Cambria Math"/>
                  <w:lang w:val="en-US"/>
                </w:rPr>
                <m:t>=1+0,6⋅</m:t>
              </m:r>
              <m:sSub>
                <m:sSubPr>
                  <m:ctrlPr>
                    <w:rPr>
                      <w:rFonts w:ascii="Cambria Math" w:hAnsi="Cambria Math"/>
                    </w:rPr>
                  </m:ctrlPr>
                </m:sSubPr>
                <m:e>
                  <m:r>
                    <w:rPr>
                      <w:rFonts w:ascii="Cambria Math" w:hAnsi="Cambria Math"/>
                    </w:rPr>
                    <m:t>α</m:t>
                  </m:r>
                </m:e>
                <m:sub>
                  <m:r>
                    <m:rPr>
                      <m:sty m:val="p"/>
                    </m:rPr>
                    <w:rPr>
                      <w:rFonts w:ascii="Cambria Math" w:hAnsi="Cambria Math"/>
                      <w:lang w:val="en-US"/>
                    </w:rPr>
                    <m:t>RA</m:t>
                  </m:r>
                </m:sub>
              </m:sSub>
            </m:oMath>
            <w:r w:rsidR="00A151D3" w:rsidRPr="009D3012">
              <w:rPr>
                <w:lang w:val="en-US"/>
              </w:rPr>
              <w:t xml:space="preserve"> </w:t>
            </w:r>
            <w:r w:rsidRPr="009D3012">
              <w:rPr>
                <w:lang w:val="en-US"/>
              </w:rPr>
              <w:t>(high disper</w:t>
            </w:r>
            <w:r w:rsidRPr="009D3012">
              <w:rPr>
                <w:rFonts w:eastAsiaTheme="minorEastAsia"/>
                <w:lang w:val="en-US"/>
              </w:rPr>
              <w:t>sion of the results).</w:t>
            </w:r>
          </w:p>
        </w:tc>
      </w:tr>
      <w:tr w:rsidR="00DE6BBC" w:rsidRPr="001455DC" w14:paraId="412F4DC3" w14:textId="77777777" w:rsidTr="00A151D3">
        <w:tc>
          <w:tcPr>
            <w:tcW w:w="1247" w:type="dxa"/>
            <w:vAlign w:val="center"/>
          </w:tcPr>
          <w:p w14:paraId="5C3CCD63" w14:textId="1CE1B2A2" w:rsidR="004E22C1" w:rsidRPr="001455DC" w:rsidRDefault="004E22C1">
            <w:pPr>
              <w:pStyle w:val="Tablebody"/>
              <w:jc w:val="left"/>
            </w:pPr>
            <w:r w:rsidRPr="001455DC">
              <w:t>B.</w:t>
            </w:r>
            <w:r w:rsidR="001A17A7" w:rsidRPr="001455DC">
              <w:t>5</w:t>
            </w:r>
            <w:r w:rsidRPr="001455DC">
              <w:t>(1)</w:t>
            </w:r>
          </w:p>
        </w:tc>
        <w:tc>
          <w:tcPr>
            <w:tcW w:w="2608" w:type="dxa"/>
            <w:vAlign w:val="center"/>
          </w:tcPr>
          <w:p w14:paraId="23A0497A" w14:textId="77777777" w:rsidR="004E22C1" w:rsidRPr="001455DC" w:rsidRDefault="004E22C1" w:rsidP="00A151D3">
            <w:pPr>
              <w:pStyle w:val="Tablebody"/>
              <w:jc w:val="left"/>
            </w:pPr>
            <w:r w:rsidRPr="001455DC">
              <w:t>Shrinkage strain</w:t>
            </w:r>
          </w:p>
        </w:tc>
        <w:tc>
          <w:tcPr>
            <w:tcW w:w="5897" w:type="dxa"/>
            <w:vAlign w:val="center"/>
          </w:tcPr>
          <w:p w14:paraId="572F801F" w14:textId="77777777" w:rsidR="004E22C1" w:rsidRPr="009D3012" w:rsidRDefault="004E22C1" w:rsidP="00A151D3">
            <w:pPr>
              <w:pStyle w:val="Tablebody"/>
              <w:jc w:val="left"/>
              <w:rPr>
                <w:lang w:val="en-US"/>
              </w:rPr>
            </w:pPr>
            <w:r w:rsidRPr="009D3012">
              <w:rPr>
                <w:lang w:val="en-US"/>
              </w:rPr>
              <w:t>Determine by testing if relevant.</w:t>
            </w:r>
          </w:p>
          <w:p w14:paraId="0FF19008" w14:textId="51C6EA32" w:rsidR="004E22C1" w:rsidRPr="009D3012" w:rsidRDefault="004E22C1" w:rsidP="00A151D3">
            <w:pPr>
              <w:pStyle w:val="Tablebody"/>
              <w:jc w:val="left"/>
              <w:rPr>
                <w:lang w:val="en-US"/>
              </w:rPr>
            </w:pPr>
            <w:r w:rsidRPr="009D3012">
              <w:rPr>
                <w:lang w:val="en-US"/>
              </w:rPr>
              <w:t>Alternatively the basic and drying shrinkages should be multiplied by a factor</w:t>
            </w:r>
            <w:r w:rsidR="00A151D3" w:rsidRPr="009D3012">
              <w:rPr>
                <w:lang w:val="en-US"/>
              </w:rPr>
              <w:t xml:space="preserve"> </w:t>
            </w:r>
            <m:oMath>
              <m:sSub>
                <m:sSubPr>
                  <m:ctrlPr>
                    <w:rPr>
                      <w:rFonts w:ascii="Cambria Math" w:hAnsi="Cambria Math"/>
                    </w:rPr>
                  </m:ctrlPr>
                </m:sSubPr>
                <m:e>
                  <m:r>
                    <w:rPr>
                      <w:rFonts w:ascii="Cambria Math" w:hAnsi="Cambria Math"/>
                    </w:rPr>
                    <m:t>η</m:t>
                  </m:r>
                </m:e>
                <m:sub>
                  <m:r>
                    <m:rPr>
                      <m:sty m:val="p"/>
                    </m:rPr>
                    <w:rPr>
                      <w:rFonts w:ascii="Cambria Math" w:hAnsi="Cambria Math"/>
                      <w:lang w:val="en-US"/>
                    </w:rPr>
                    <m:t>shRA</m:t>
                  </m:r>
                </m:sub>
              </m:sSub>
              <m:r>
                <w:rPr>
                  <w:rFonts w:ascii="Cambria Math" w:hAnsi="Cambria Math"/>
                  <w:lang w:val="en-US"/>
                </w:rPr>
                <m:t>=1+0,8⋅</m:t>
              </m:r>
              <m:sSub>
                <m:sSubPr>
                  <m:ctrlPr>
                    <w:rPr>
                      <w:rFonts w:ascii="Cambria Math" w:hAnsi="Cambria Math"/>
                    </w:rPr>
                  </m:ctrlPr>
                </m:sSubPr>
                <m:e>
                  <m:r>
                    <w:rPr>
                      <w:rFonts w:ascii="Cambria Math" w:hAnsi="Cambria Math"/>
                    </w:rPr>
                    <m:t>α</m:t>
                  </m:r>
                </m:e>
                <m:sub>
                  <m:r>
                    <m:rPr>
                      <m:sty m:val="p"/>
                    </m:rPr>
                    <w:rPr>
                      <w:rFonts w:ascii="Cambria Math" w:hAnsi="Cambria Math"/>
                      <w:lang w:val="en-US"/>
                    </w:rPr>
                    <m:t>RA</m:t>
                  </m:r>
                </m:sub>
              </m:sSub>
            </m:oMath>
            <w:r w:rsidR="000955DB" w:rsidRPr="009D3012">
              <w:rPr>
                <w:lang w:val="en-US"/>
              </w:rPr>
              <w:t xml:space="preserve"> </w:t>
            </w:r>
            <w:r w:rsidRPr="009D3012">
              <w:rPr>
                <w:lang w:val="en-US"/>
              </w:rPr>
              <w:t xml:space="preserve">(high </w:t>
            </w:r>
            <w:r w:rsidRPr="009D3012">
              <w:rPr>
                <w:rFonts w:eastAsiaTheme="minorEastAsia"/>
                <w:lang w:val="en-US"/>
              </w:rPr>
              <w:t>dispersion of the results).</w:t>
            </w:r>
          </w:p>
        </w:tc>
      </w:tr>
      <w:tr w:rsidR="00DE6BBC" w:rsidRPr="001455DC" w14:paraId="6E5D9AC6" w14:textId="77777777" w:rsidTr="00A151D3">
        <w:trPr>
          <w:cnfStyle w:val="010000000000" w:firstRow="0" w:lastRow="1" w:firstColumn="0" w:lastColumn="0" w:oddVBand="0" w:evenVBand="0" w:oddHBand="0" w:evenHBand="0" w:firstRowFirstColumn="0" w:firstRowLastColumn="0" w:lastRowFirstColumn="0" w:lastRowLastColumn="0"/>
        </w:trPr>
        <w:tc>
          <w:tcPr>
            <w:tcW w:w="9752" w:type="dxa"/>
            <w:gridSpan w:val="3"/>
            <w:vAlign w:val="center"/>
          </w:tcPr>
          <w:p w14:paraId="4EC6F6EC" w14:textId="2F3F9A51" w:rsidR="004E22C1" w:rsidRPr="009D3012" w:rsidRDefault="004E22C1" w:rsidP="00A151D3">
            <w:pPr>
              <w:pStyle w:val="Tablefooter"/>
              <w:rPr>
                <w:lang w:val="en-US"/>
              </w:rPr>
            </w:pPr>
            <w:r w:rsidRPr="009D3012">
              <w:rPr>
                <w:rStyle w:val="CCMCvariablesuperscript"/>
                <w:lang w:val="en-US"/>
              </w:rPr>
              <w:t>a</w:t>
            </w:r>
            <w:r w:rsidR="00A151D3" w:rsidRPr="009D3012">
              <w:rPr>
                <w:lang w:val="en-US"/>
              </w:rPr>
              <w:tab/>
            </w:r>
            <w:r w:rsidRPr="009D3012">
              <w:rPr>
                <w:lang w:val="en-US"/>
              </w:rPr>
              <w:t xml:space="preserve">In Formulae is </w:t>
            </w:r>
            <w:r w:rsidRPr="001455DC">
              <w:rPr>
                <w:rStyle w:val="CCMCvariableitalic"/>
              </w:rPr>
              <w:t>α</w:t>
            </w:r>
            <w:r w:rsidRPr="009D3012">
              <w:rPr>
                <w:rStyle w:val="CCMCvariablesubscript"/>
                <w:lang w:val="en-US"/>
              </w:rPr>
              <w:t>RA</w:t>
            </w:r>
            <w:r w:rsidRPr="009D3012">
              <w:rPr>
                <w:lang w:val="en-US"/>
              </w:rPr>
              <w:t xml:space="preserve"> the substitution rate of recycled concrete aggregates (varying from 0 to 1):</w:t>
            </w:r>
          </w:p>
          <w:p w14:paraId="41FBA7B5" w14:textId="26719840" w:rsidR="004E22C1" w:rsidRPr="009D3012" w:rsidRDefault="00231E33" w:rsidP="00A151D3">
            <w:pPr>
              <w:pStyle w:val="Tablefooter"/>
              <w:rPr>
                <w:lang w:val="en-US"/>
              </w:rPr>
            </w:pPr>
            <m:oMathPara>
              <m:oMathParaPr>
                <m:jc m:val="left"/>
              </m:oMathParaPr>
              <m:oMath>
                <m:sSub>
                  <m:sSubPr>
                    <m:ctrlPr>
                      <w:rPr>
                        <w:rFonts w:ascii="Cambria Math" w:hAnsi="Cambria Math"/>
                      </w:rPr>
                    </m:ctrlPr>
                  </m:sSubPr>
                  <m:e>
                    <m:r>
                      <w:rPr>
                        <w:rFonts w:ascii="Cambria Math" w:hAnsi="Cambria Math"/>
                      </w:rPr>
                      <m:t>α</m:t>
                    </m:r>
                  </m:e>
                  <m:sub>
                    <m:r>
                      <m:rPr>
                        <m:sty m:val="p"/>
                      </m:rPr>
                      <w:rPr>
                        <w:rFonts w:ascii="Cambria Math" w:hAnsi="Cambria Math"/>
                        <w:lang w:val="en-US"/>
                      </w:rPr>
                      <m:t>RA</m:t>
                    </m:r>
                  </m:sub>
                </m:sSub>
                <m:r>
                  <w:rPr>
                    <w:rFonts w:ascii="Cambria Math" w:hAnsi="Cambria Math"/>
                    <w:lang w:val="en-US"/>
                  </w:rPr>
                  <m:t>=</m:t>
                </m:r>
                <m:f>
                  <m:fPr>
                    <m:ctrlPr>
                      <w:rPr>
                        <w:rFonts w:ascii="Cambria Math" w:hAnsi="Cambria Math"/>
                      </w:rPr>
                    </m:ctrlPr>
                  </m:fPr>
                  <m:num>
                    <m:r>
                      <m:rPr>
                        <m:nor/>
                      </m:rPr>
                      <w:rPr>
                        <w:rFonts w:ascii="Cambria Math" w:hAnsi="Cambria Math"/>
                        <w:lang w:val="en-US"/>
                      </w:rPr>
                      <m:t>quantity of recycled sand and gravel</m:t>
                    </m:r>
                  </m:num>
                  <m:den>
                    <m:r>
                      <m:rPr>
                        <m:nor/>
                      </m:rPr>
                      <w:rPr>
                        <w:rFonts w:ascii="Cambria Math" w:hAnsi="Cambria Math"/>
                        <w:lang w:val="en-US"/>
                      </w:rPr>
                      <m:t>total quantity of aggregates</m:t>
                    </m:r>
                  </m:den>
                </m:f>
              </m:oMath>
            </m:oMathPara>
          </w:p>
        </w:tc>
      </w:tr>
    </w:tbl>
    <w:p w14:paraId="18079DD6" w14:textId="77777777" w:rsidR="004E22C1" w:rsidRPr="001455DC" w:rsidRDefault="004E22C1" w:rsidP="00A151D3">
      <w:pPr>
        <w:pStyle w:val="a7"/>
      </w:pPr>
    </w:p>
    <w:p w14:paraId="773ED09D" w14:textId="11F89FC5" w:rsidR="004E22C1" w:rsidRPr="001455DC" w:rsidRDefault="004C68F7" w:rsidP="004C68F7">
      <w:pPr>
        <w:pStyle w:val="ANNEX"/>
      </w:pPr>
      <w:bookmarkStart w:id="2438" w:name="_Toc52820444"/>
      <w:r w:rsidRPr="001455DC">
        <w:br/>
      </w:r>
      <w:bookmarkStart w:id="2439" w:name="_Toc54337239"/>
      <w:bookmarkStart w:id="2440" w:name="_Toc54337882"/>
      <w:bookmarkStart w:id="2441" w:name="_Toc54338489"/>
      <w:bookmarkStart w:id="2442" w:name="_Toc67565650"/>
      <w:r w:rsidR="004E22C1" w:rsidRPr="001455DC">
        <w:rPr>
          <w:b w:val="0"/>
        </w:rPr>
        <w:t>(informative)</w:t>
      </w:r>
      <w:r w:rsidRPr="001455DC">
        <w:rPr>
          <w:b w:val="0"/>
        </w:rPr>
        <w:br/>
      </w:r>
      <w:r w:rsidRPr="001455DC">
        <w:br/>
      </w:r>
      <w:r w:rsidR="004E22C1" w:rsidRPr="001455DC">
        <w:t>Simplified approaches for second order effects</w:t>
      </w:r>
      <w:bookmarkEnd w:id="2438"/>
      <w:bookmarkEnd w:id="2439"/>
      <w:bookmarkEnd w:id="2440"/>
      <w:bookmarkEnd w:id="2441"/>
      <w:bookmarkEnd w:id="2442"/>
    </w:p>
    <w:p w14:paraId="3FD607E1" w14:textId="337AC3B3" w:rsidR="004E22C1" w:rsidRPr="001455DC" w:rsidRDefault="004E22C1" w:rsidP="00082680">
      <w:pPr>
        <w:pStyle w:val="a2"/>
      </w:pPr>
      <w:bookmarkStart w:id="2443" w:name="_Toc52820445"/>
      <w:bookmarkStart w:id="2444" w:name="_Toc54337240"/>
      <w:bookmarkStart w:id="2445" w:name="_Toc54337883"/>
      <w:bookmarkStart w:id="2446" w:name="_Toc54338490"/>
      <w:bookmarkStart w:id="2447" w:name="_Toc67565651"/>
      <w:r w:rsidRPr="001455DC">
        <w:t>Use of this Informative Annex</w:t>
      </w:r>
      <w:bookmarkEnd w:id="2443"/>
      <w:bookmarkEnd w:id="2444"/>
      <w:bookmarkEnd w:id="2445"/>
      <w:bookmarkEnd w:id="2446"/>
      <w:bookmarkEnd w:id="2447"/>
    </w:p>
    <w:p w14:paraId="10F90B7F" w14:textId="77777777" w:rsidR="004E22C1" w:rsidRPr="001455DC" w:rsidRDefault="004E22C1" w:rsidP="004C68F7">
      <w:pPr>
        <w:pStyle w:val="a7"/>
      </w:pPr>
      <w:r w:rsidRPr="001455DC">
        <w:t>(1)</w:t>
      </w:r>
      <w:r w:rsidRPr="001455DC">
        <w:tab/>
        <w:t>Annex O provides complementary guidance to 7.4 for second order structural analysis of members and systems.</w:t>
      </w:r>
    </w:p>
    <w:p w14:paraId="3D3AC8ED" w14:textId="77777777" w:rsidR="004E22C1" w:rsidRPr="001455DC" w:rsidRDefault="004E22C1" w:rsidP="004C68F7">
      <w:pPr>
        <w:pStyle w:val="Note"/>
      </w:pPr>
      <w:r w:rsidRPr="001455DC">
        <w:t>NOTE</w:t>
      </w:r>
      <w:r w:rsidRPr="001455DC">
        <w:tab/>
        <w:t>National choice on the application of this Informative Annex is given in a National Annex. If a National Annex contains no information on the application of this Informative Annex, it can be used.</w:t>
      </w:r>
    </w:p>
    <w:p w14:paraId="133AF202" w14:textId="08F17DFB" w:rsidR="004E22C1" w:rsidRPr="001455DC" w:rsidRDefault="004E22C1" w:rsidP="00082680">
      <w:pPr>
        <w:pStyle w:val="a2"/>
      </w:pPr>
      <w:bookmarkStart w:id="2448" w:name="_Toc52820446"/>
      <w:bookmarkStart w:id="2449" w:name="_Ref514861352"/>
      <w:bookmarkStart w:id="2450" w:name="_Toc54337241"/>
      <w:bookmarkStart w:id="2451" w:name="_Toc54337884"/>
      <w:bookmarkStart w:id="2452" w:name="_Toc54338491"/>
      <w:bookmarkStart w:id="2453" w:name="_Toc67565652"/>
      <w:r w:rsidRPr="001455DC">
        <w:t>Scope and field of application</w:t>
      </w:r>
      <w:bookmarkEnd w:id="2448"/>
      <w:bookmarkEnd w:id="2449"/>
      <w:bookmarkEnd w:id="2450"/>
      <w:bookmarkEnd w:id="2451"/>
      <w:bookmarkEnd w:id="2452"/>
      <w:bookmarkEnd w:id="2453"/>
    </w:p>
    <w:p w14:paraId="5762FC42" w14:textId="77777777" w:rsidR="004E22C1" w:rsidRPr="001455DC" w:rsidRDefault="004E22C1" w:rsidP="00DE6BBC">
      <w:pPr>
        <w:pStyle w:val="a7"/>
        <w:keepNext/>
      </w:pPr>
      <w:r w:rsidRPr="001455DC">
        <w:t>(1)</w:t>
      </w:r>
      <w:r w:rsidRPr="001455DC">
        <w:tab/>
        <w:t>Annex O provides conservative simplified methods for design against second order effects, including:</w:t>
      </w:r>
    </w:p>
    <w:p w14:paraId="0B745F66" w14:textId="673484E9" w:rsidR="004E22C1" w:rsidRPr="001455DC" w:rsidRDefault="004E22C1" w:rsidP="00353CE4">
      <w:pPr>
        <w:pStyle w:val="a0"/>
      </w:pPr>
      <w:r w:rsidRPr="001455DC">
        <w:t>a formulation for the determination of the buckling load for reasonably symmetrical building structures (see O.3) and isolated members (see O.4);</w:t>
      </w:r>
    </w:p>
    <w:p w14:paraId="0A7C835B" w14:textId="62099C1D" w:rsidR="004E22C1" w:rsidRPr="001455DC" w:rsidRDefault="004E22C1" w:rsidP="00353CE4">
      <w:pPr>
        <w:pStyle w:val="a0"/>
      </w:pPr>
      <w:r w:rsidRPr="001455DC">
        <w:t>a slenderness criterion for isolated members to below which second order effects may be neglected (see O.5);</w:t>
      </w:r>
    </w:p>
    <w:p w14:paraId="65C7EF7B" w14:textId="77520E72" w:rsidR="004E22C1" w:rsidRPr="001455DC" w:rsidRDefault="004E22C1" w:rsidP="00353CE4">
      <w:pPr>
        <w:pStyle w:val="a0"/>
      </w:pPr>
      <w:r w:rsidRPr="001455DC">
        <w:t>a conservative simplified method to evaluate the second order effects of isolated elements based on a nominal curvature (see O.7); and</w:t>
      </w:r>
    </w:p>
    <w:p w14:paraId="423B2F14" w14:textId="1E4168C5" w:rsidR="004E22C1" w:rsidRPr="001455DC" w:rsidRDefault="004E22C1" w:rsidP="00353CE4">
      <w:pPr>
        <w:pStyle w:val="a0"/>
      </w:pPr>
      <w:r w:rsidRPr="001455DC">
        <w:t>simplified criteria to determine stiffnesses for the evaluation of second order effects by the second order elastic method or by a moment magnification factor (see O.8).</w:t>
      </w:r>
    </w:p>
    <w:p w14:paraId="7389F398" w14:textId="0A15FF58" w:rsidR="004E22C1" w:rsidRPr="001455DC" w:rsidRDefault="004E22C1" w:rsidP="00082680">
      <w:pPr>
        <w:pStyle w:val="a2"/>
      </w:pPr>
      <w:bookmarkStart w:id="2454" w:name="_Toc52820447"/>
      <w:bookmarkStart w:id="2455" w:name="_Ref514860829"/>
      <w:bookmarkStart w:id="2456" w:name="_Toc54337242"/>
      <w:bookmarkStart w:id="2457" w:name="_Toc54337885"/>
      <w:bookmarkStart w:id="2458" w:name="_Toc54338492"/>
      <w:bookmarkStart w:id="2459" w:name="_Toc67565653"/>
      <w:r w:rsidRPr="001455DC">
        <w:t>Critical load of building structures</w:t>
      </w:r>
      <w:bookmarkEnd w:id="2454"/>
      <w:bookmarkEnd w:id="2455"/>
      <w:bookmarkEnd w:id="2456"/>
      <w:bookmarkEnd w:id="2457"/>
      <w:bookmarkEnd w:id="2458"/>
      <w:bookmarkEnd w:id="2459"/>
    </w:p>
    <w:p w14:paraId="0E530C8D" w14:textId="77777777" w:rsidR="004E22C1" w:rsidRPr="001455DC" w:rsidRDefault="004E22C1" w:rsidP="00DE6BBC">
      <w:pPr>
        <w:pStyle w:val="a7"/>
        <w:keepNext/>
      </w:pPr>
      <w:r w:rsidRPr="001455DC">
        <w:t>(1)</w:t>
      </w:r>
      <w:r w:rsidRPr="001455DC">
        <w:tab/>
        <w:t xml:space="preserve">For multilevel, reasonably symmetrical building structures having distinct bracing members (typically shear walls) with reasonably constant bending stiffness along the height, and with approximately equal loading on each level and negligible global torsional action, the global buckling load, </w:t>
      </w:r>
      <w:r w:rsidRPr="001455DC">
        <w:rPr>
          <w:rStyle w:val="CCMCvariableitalic"/>
        </w:rPr>
        <w:t>F</w:t>
      </w:r>
      <w:r w:rsidRPr="001455DC">
        <w:rPr>
          <w:rStyle w:val="CCMCvariablesubscript"/>
        </w:rPr>
        <w:t>VB</w:t>
      </w:r>
      <w:r w:rsidRPr="001455DC">
        <w:t>, may be taken as:</w:t>
      </w:r>
    </w:p>
    <w:p w14:paraId="23153A4B" w14:textId="7263803D" w:rsidR="004E22C1" w:rsidRPr="001455DC" w:rsidRDefault="004E22C1" w:rsidP="00DE6BBC">
      <w:pPr>
        <w:pStyle w:val="a7"/>
        <w:keepNext/>
      </w:pPr>
      <w:r w:rsidRPr="001455DC">
        <w:t>When shear deformations may be neglected:</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5376A9" w:rsidRPr="001455DC" w14:paraId="45F8B442" w14:textId="77777777" w:rsidTr="00EC5547">
        <w:trPr>
          <w:cantSplit/>
        </w:trPr>
        <w:tc>
          <w:tcPr>
            <w:tcW w:w="8505" w:type="dxa"/>
            <w:vAlign w:val="center"/>
          </w:tcPr>
          <w:bookmarkStart w:id="2460" w:name="_Hlk53497866"/>
          <w:p w14:paraId="423BCA04" w14:textId="38C39369" w:rsidR="005376A9" w:rsidRPr="001455DC" w:rsidRDefault="00231E33" w:rsidP="00EC5547">
            <w:pPr>
              <w:pStyle w:val="Formula"/>
              <w:jc w:val="left"/>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VB</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VBB</m:t>
                    </m:r>
                  </m:sub>
                </m:sSub>
              </m:oMath>
            </m:oMathPara>
          </w:p>
        </w:tc>
        <w:tc>
          <w:tcPr>
            <w:tcW w:w="1247" w:type="dxa"/>
            <w:vAlign w:val="center"/>
          </w:tcPr>
          <w:p w14:paraId="0AC1C03E" w14:textId="0EDEA4C2" w:rsidR="005376A9" w:rsidRPr="001455DC" w:rsidRDefault="005376A9" w:rsidP="00EC5547">
            <w:pPr>
              <w:pStyle w:val="a7"/>
              <w:jc w:val="right"/>
            </w:pPr>
            <w:r w:rsidRPr="001455DC">
              <w:t>(O.1)</w:t>
            </w:r>
          </w:p>
        </w:tc>
      </w:tr>
    </w:tbl>
    <w:bookmarkEnd w:id="2460"/>
    <w:p w14:paraId="27174710" w14:textId="77777777" w:rsidR="005376A9" w:rsidRPr="001455DC" w:rsidRDefault="004E22C1" w:rsidP="00DE6BBC">
      <w:pPr>
        <w:pStyle w:val="a7"/>
        <w:keepNext/>
      </w:pPr>
      <w:r w:rsidRPr="001455DC">
        <w:t>When shear deformations may not be neglected:</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5376A9" w:rsidRPr="001455DC" w14:paraId="5085AA22" w14:textId="77777777" w:rsidTr="00EC5547">
        <w:trPr>
          <w:cantSplit/>
        </w:trPr>
        <w:tc>
          <w:tcPr>
            <w:tcW w:w="8505" w:type="dxa"/>
            <w:vAlign w:val="center"/>
          </w:tcPr>
          <w:p w14:paraId="430E094E" w14:textId="7624E43E" w:rsidR="005376A9" w:rsidRPr="001455DC" w:rsidRDefault="00231E33" w:rsidP="00EC5547">
            <w:pPr>
              <w:pStyle w:val="Formula"/>
              <w:jc w:val="left"/>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VB</m:t>
                    </m:r>
                  </m:sub>
                </m:sSub>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F</m:t>
                                </m:r>
                              </m:e>
                              <m:sub>
                                <m:r>
                                  <m:rPr>
                                    <m:sty m:val="p"/>
                                  </m:rPr>
                                  <w:rPr>
                                    <w:rFonts w:ascii="Cambria Math" w:hAnsi="Cambria Math"/>
                                  </w:rPr>
                                  <m:t>VBB</m:t>
                                </m:r>
                              </m:sub>
                            </m:sSub>
                          </m:den>
                        </m:f>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F</m:t>
                                </m:r>
                              </m:e>
                              <m:sub>
                                <m:r>
                                  <m:rPr>
                                    <m:sty m:val="p"/>
                                  </m:rPr>
                                  <w:rPr>
                                    <w:rFonts w:ascii="Cambria Math" w:hAnsi="Cambria Math"/>
                                  </w:rPr>
                                  <m:t>VBS</m:t>
                                </m:r>
                              </m:sub>
                            </m:sSub>
                          </m:den>
                        </m:f>
                      </m:e>
                    </m:d>
                  </m:e>
                  <m:sup>
                    <m:r>
                      <w:rPr>
                        <w:rFonts w:ascii="Cambria Math" w:hAnsi="Cambria Math"/>
                      </w:rPr>
                      <m:t>-1</m:t>
                    </m:r>
                  </m:sup>
                </m:sSup>
              </m:oMath>
            </m:oMathPara>
          </w:p>
        </w:tc>
        <w:tc>
          <w:tcPr>
            <w:tcW w:w="1247" w:type="dxa"/>
            <w:vAlign w:val="center"/>
          </w:tcPr>
          <w:p w14:paraId="0C87CB0F" w14:textId="010F498A" w:rsidR="005376A9" w:rsidRPr="001455DC" w:rsidRDefault="005376A9" w:rsidP="00EC5547">
            <w:pPr>
              <w:pStyle w:val="a7"/>
              <w:jc w:val="right"/>
            </w:pPr>
            <w:r w:rsidRPr="001455DC">
              <w:t>(O.2)</w:t>
            </w:r>
          </w:p>
        </w:tc>
      </w:tr>
    </w:tbl>
    <w:p w14:paraId="3EA4C495" w14:textId="77777777" w:rsidR="005376A9" w:rsidRPr="001455DC" w:rsidRDefault="005376A9"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567"/>
        <w:gridCol w:w="7031"/>
        <w:gridCol w:w="1247"/>
      </w:tblGrid>
      <w:tr w:rsidR="005376A9" w:rsidRPr="001455DC" w14:paraId="3FA4737C" w14:textId="77777777" w:rsidTr="00EC5547">
        <w:trPr>
          <w:cantSplit/>
        </w:trPr>
        <w:tc>
          <w:tcPr>
            <w:tcW w:w="567" w:type="dxa"/>
          </w:tcPr>
          <w:p w14:paraId="521666D6" w14:textId="68853935" w:rsidR="005376A9" w:rsidRPr="001455DC" w:rsidRDefault="005376A9" w:rsidP="0000442A">
            <w:pPr>
              <w:pStyle w:val="Tablebody"/>
            </w:pPr>
            <w:r w:rsidRPr="001455DC">
              <w:rPr>
                <w:rStyle w:val="CCMCvariableitalic"/>
              </w:rPr>
              <w:t>F</w:t>
            </w:r>
            <w:r w:rsidRPr="001455DC">
              <w:rPr>
                <w:rStyle w:val="CCMCvariablesubscript"/>
              </w:rPr>
              <w:t>VBB</w:t>
            </w:r>
          </w:p>
        </w:tc>
        <w:tc>
          <w:tcPr>
            <w:tcW w:w="8845" w:type="dxa"/>
            <w:gridSpan w:val="3"/>
          </w:tcPr>
          <w:p w14:paraId="4074105C" w14:textId="682E1B55" w:rsidR="005376A9" w:rsidRPr="001455DC" w:rsidRDefault="005376A9" w:rsidP="00BB1209">
            <w:pPr>
              <w:pStyle w:val="Tablebody"/>
            </w:pPr>
            <w:r w:rsidRPr="001455DC">
              <w:t>is the buckling load of a cantilever (with no shear deformation), restricted by the floors, with base rotation that may be taken as:</w:t>
            </w:r>
          </w:p>
        </w:tc>
      </w:tr>
      <w:tr w:rsidR="005376A9" w:rsidRPr="001455DC" w14:paraId="3C8DC484" w14:textId="77777777" w:rsidTr="005376A9">
        <w:trPr>
          <w:cantSplit/>
        </w:trPr>
        <w:tc>
          <w:tcPr>
            <w:tcW w:w="567" w:type="dxa"/>
          </w:tcPr>
          <w:p w14:paraId="22EF42A0" w14:textId="34978C0B" w:rsidR="005376A9" w:rsidRPr="001455DC" w:rsidRDefault="005376A9" w:rsidP="0000442A">
            <w:pPr>
              <w:pStyle w:val="Tablebody"/>
            </w:pPr>
            <w:r w:rsidRPr="001455DC">
              <w:t> </w:t>
            </w:r>
          </w:p>
        </w:tc>
        <w:tc>
          <w:tcPr>
            <w:tcW w:w="7598" w:type="dxa"/>
            <w:gridSpan w:val="2"/>
            <w:vAlign w:val="center"/>
          </w:tcPr>
          <w:p w14:paraId="4D992424" w14:textId="47718438" w:rsidR="005376A9" w:rsidRPr="001455DC" w:rsidRDefault="00231E33" w:rsidP="005376A9">
            <w:pPr>
              <w:pStyle w:val="Formula"/>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VBB</m:t>
                    </m:r>
                  </m:sub>
                </m:sSub>
                <m:r>
                  <m:rPr>
                    <m:sty m:val="p"/>
                  </m:rPr>
                  <w:rPr>
                    <w:rFonts w:ascii="Cambria Math" w:hAnsi="Cambria Math"/>
                  </w:rPr>
                  <m:t>=</m:t>
                </m:r>
                <m:f>
                  <m:fPr>
                    <m:ctrlPr>
                      <w:rPr>
                        <w:rFonts w:ascii="Cambria Math" w:hAnsi="Cambria Math"/>
                      </w:rPr>
                    </m:ctrlPr>
                  </m:fPr>
                  <m:num>
                    <m:r>
                      <m:rPr>
                        <m:sty m:val="p"/>
                      </m:rPr>
                      <w:rPr>
                        <w:rFonts w:ascii="Cambria Math" w:hAnsi="Cambria Math"/>
                      </w:rPr>
                      <m:t>7,8</m:t>
                    </m:r>
                    <m:sSub>
                      <m:sSubPr>
                        <m:ctrlPr>
                          <w:rPr>
                            <w:rFonts w:ascii="Cambria Math" w:hAnsi="Cambria Math"/>
                          </w:rPr>
                        </m:ctrlPr>
                      </m:sSubPr>
                      <m:e>
                        <m:r>
                          <w:rPr>
                            <w:rFonts w:ascii="Cambria Math" w:hAnsi="Cambria Math"/>
                          </w:rPr>
                          <m:t>n</m:t>
                        </m:r>
                      </m:e>
                      <m:sub>
                        <m:r>
                          <m:rPr>
                            <m:sty m:val="p"/>
                          </m:rPr>
                          <w:rPr>
                            <w:rFonts w:ascii="Cambria Math" w:hAnsi="Cambria Math"/>
                          </w:rPr>
                          <m:t>s</m:t>
                        </m:r>
                      </m:sub>
                    </m:sSub>
                  </m:num>
                  <m:den>
                    <m:sSub>
                      <m:sSubPr>
                        <m:ctrlPr>
                          <w:rPr>
                            <w:rFonts w:ascii="Cambria Math" w:hAnsi="Cambria Math"/>
                          </w:rPr>
                        </m:ctrlPr>
                      </m:sSubPr>
                      <m:e>
                        <m:r>
                          <w:rPr>
                            <w:rFonts w:ascii="Cambria Math" w:hAnsi="Cambria Math"/>
                          </w:rPr>
                          <m:t>n</m:t>
                        </m:r>
                      </m:e>
                      <m:sub>
                        <m:r>
                          <m:rPr>
                            <m:sty m:val="p"/>
                          </m:rPr>
                          <w:rPr>
                            <w:rFonts w:ascii="Cambria Math" w:hAnsi="Cambria Math"/>
                          </w:rPr>
                          <m:t>s</m:t>
                        </m:r>
                      </m:sub>
                    </m:sSub>
                    <m:r>
                      <m:rPr>
                        <m:sty m:val="p"/>
                      </m:rPr>
                      <w:rPr>
                        <w:rFonts w:ascii="Cambria Math" w:hAnsi="Cambria Math"/>
                      </w:rPr>
                      <m:t>+1,6</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1+3,9</m:t>
                    </m:r>
                    <m:sSub>
                      <m:sSubPr>
                        <m:ctrlPr>
                          <w:rPr>
                            <w:rFonts w:ascii="Cambria Math" w:hAnsi="Cambria Math"/>
                          </w:rPr>
                        </m:ctrlPr>
                      </m:sSubPr>
                      <m:e>
                        <m:r>
                          <w:rPr>
                            <w:rFonts w:ascii="Cambria Math" w:hAnsi="Cambria Math"/>
                          </w:rPr>
                          <m:t>k</m:t>
                        </m:r>
                      </m:e>
                      <m:sub>
                        <m:r>
                          <m:rPr>
                            <m:sty m:val="p"/>
                          </m:rPr>
                          <w:rPr>
                            <w:rFonts w:ascii="Cambria Math" w:hAnsi="Cambria Math"/>
                          </w:rPr>
                          <m:t>θ</m:t>
                        </m:r>
                      </m:sub>
                    </m:sSub>
                  </m:den>
                </m:f>
                <m:r>
                  <m:rPr>
                    <m:sty m:val="p"/>
                  </m:rPr>
                  <w:rPr>
                    <w:rFonts w:ascii="Cambria Math" w:hAnsi="Cambria Math"/>
                  </w:rPr>
                  <m:t xml:space="preserve"> </m:t>
                </m:r>
                <m:f>
                  <m:fPr>
                    <m:ctrlPr>
                      <w:rPr>
                        <w:rFonts w:ascii="Cambria Math" w:hAnsi="Cambria Math"/>
                      </w:rPr>
                    </m:ctrlPr>
                  </m:fPr>
                  <m:num>
                    <m:r>
                      <w:rPr>
                        <w:rFonts w:ascii="Cambria Math" w:hAnsi="Cambria Math"/>
                      </w:rPr>
                      <m:t>EI</m:t>
                    </m:r>
                  </m:num>
                  <m:den>
                    <m:sSup>
                      <m:sSupPr>
                        <m:ctrlPr>
                          <w:rPr>
                            <w:rFonts w:ascii="Cambria Math" w:hAnsi="Cambria Math"/>
                          </w:rPr>
                        </m:ctrlPr>
                      </m:sSupPr>
                      <m:e>
                        <m:r>
                          <w:rPr>
                            <w:rFonts w:ascii="Cambria Math" w:hAnsi="Cambria Math"/>
                          </w:rPr>
                          <m:t>L</m:t>
                        </m:r>
                      </m:e>
                      <m:sup>
                        <m:r>
                          <m:rPr>
                            <m:sty m:val="p"/>
                          </m:rPr>
                          <w:rPr>
                            <w:rFonts w:ascii="Cambria Math" w:hAnsi="Cambria Math"/>
                          </w:rPr>
                          <m:t>2</m:t>
                        </m:r>
                      </m:sup>
                    </m:sSup>
                  </m:den>
                </m:f>
              </m:oMath>
            </m:oMathPara>
          </w:p>
        </w:tc>
        <w:tc>
          <w:tcPr>
            <w:tcW w:w="1247" w:type="dxa"/>
            <w:vAlign w:val="center"/>
          </w:tcPr>
          <w:p w14:paraId="4FDBC127" w14:textId="7710090C" w:rsidR="005376A9" w:rsidRPr="001455DC" w:rsidRDefault="005376A9" w:rsidP="005376A9">
            <w:pPr>
              <w:pStyle w:val="Tablebody"/>
              <w:jc w:val="right"/>
            </w:pPr>
            <w:r w:rsidRPr="001455DC">
              <w:t>(O.3)</w:t>
            </w:r>
          </w:p>
        </w:tc>
      </w:tr>
      <w:tr w:rsidR="005376A9" w:rsidRPr="001455DC" w14:paraId="3795FA41" w14:textId="77777777" w:rsidTr="00EC5547">
        <w:trPr>
          <w:cantSplit/>
        </w:trPr>
        <w:tc>
          <w:tcPr>
            <w:tcW w:w="567" w:type="dxa"/>
          </w:tcPr>
          <w:p w14:paraId="25B8E382" w14:textId="66ECEEEE" w:rsidR="005376A9" w:rsidRPr="001455DC" w:rsidRDefault="005376A9" w:rsidP="00D86695">
            <w:pPr>
              <w:pStyle w:val="Tablebody"/>
            </w:pPr>
            <w:r w:rsidRPr="001455DC">
              <w:rPr>
                <w:rStyle w:val="CCMCvariableitalic"/>
              </w:rPr>
              <w:t>F</w:t>
            </w:r>
            <w:r w:rsidRPr="001455DC">
              <w:rPr>
                <w:rStyle w:val="CCMCvariablesubscript"/>
              </w:rPr>
              <w:t>VBS</w:t>
            </w:r>
          </w:p>
        </w:tc>
        <w:tc>
          <w:tcPr>
            <w:tcW w:w="8845" w:type="dxa"/>
            <w:gridSpan w:val="3"/>
          </w:tcPr>
          <w:p w14:paraId="40FCA6C0" w14:textId="356A47DD" w:rsidR="005376A9" w:rsidRPr="001455DC" w:rsidRDefault="005376A9" w:rsidP="00D86695">
            <w:pPr>
              <w:pStyle w:val="Tablebody"/>
            </w:pPr>
            <w:r w:rsidRPr="001455DC">
              <w:t>is the buckling load due to localised lateral storey deformations, to be included when significant. For solid shear walls it may be taken as the cracked shear stiffness:</w:t>
            </w:r>
          </w:p>
        </w:tc>
      </w:tr>
      <w:tr w:rsidR="005376A9" w:rsidRPr="001455DC" w14:paraId="34ED5680" w14:textId="77777777" w:rsidTr="00EC5547">
        <w:trPr>
          <w:cantSplit/>
        </w:trPr>
        <w:tc>
          <w:tcPr>
            <w:tcW w:w="567" w:type="dxa"/>
          </w:tcPr>
          <w:p w14:paraId="3074732F" w14:textId="34E44249" w:rsidR="005376A9" w:rsidRPr="001455DC" w:rsidRDefault="005376A9" w:rsidP="00EC5547">
            <w:pPr>
              <w:pStyle w:val="Tablebody"/>
            </w:pPr>
            <w:r w:rsidRPr="001455DC">
              <w:t> </w:t>
            </w:r>
          </w:p>
        </w:tc>
        <w:tc>
          <w:tcPr>
            <w:tcW w:w="7598" w:type="dxa"/>
            <w:gridSpan w:val="2"/>
            <w:vAlign w:val="center"/>
          </w:tcPr>
          <w:p w14:paraId="7E73A47E" w14:textId="2C6F776B" w:rsidR="005376A9" w:rsidRPr="001455DC" w:rsidRDefault="00231E33" w:rsidP="005376A9">
            <w:pPr>
              <w:pStyle w:val="Formula"/>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VBS</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rPr>
                          <m:t>c</m:t>
                        </m:r>
                      </m:sub>
                    </m:sSub>
                    <m:r>
                      <w:rPr>
                        <w:rFonts w:ascii="Cambria Math" w:hAnsi="Cambria Math"/>
                      </w:rPr>
                      <m:t>⋅</m:t>
                    </m:r>
                    <m:sSub>
                      <m:sSubPr>
                        <m:ctrlPr>
                          <w:rPr>
                            <w:rFonts w:ascii="Cambria Math" w:hAnsi="Cambria Math"/>
                          </w:rPr>
                        </m:ctrlPr>
                      </m:sSubPr>
                      <m:e>
                        <m:r>
                          <w:rPr>
                            <w:rFonts w:ascii="Cambria Math" w:hAnsi="Cambria Math"/>
                          </w:rPr>
                          <m:t>G</m:t>
                        </m:r>
                      </m:e>
                      <m:sub>
                        <m:r>
                          <m:rPr>
                            <m:sty m:val="p"/>
                          </m:rPr>
                          <w:rPr>
                            <w:rFonts w:ascii="Cambria Math" w:hAnsi="Cambria Math"/>
                          </w:rPr>
                          <m:t>cd</m:t>
                        </m:r>
                      </m:sub>
                    </m:sSub>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c</m:t>
                        </m:r>
                      </m:sub>
                    </m:sSub>
                  </m:num>
                  <m:den>
                    <m:r>
                      <w:rPr>
                        <w:rFonts w:ascii="Cambria Math" w:hAnsi="Cambria Math"/>
                      </w:rPr>
                      <m:t>1,2</m:t>
                    </m:r>
                  </m:den>
                </m:f>
              </m:oMath>
            </m:oMathPara>
          </w:p>
        </w:tc>
        <w:tc>
          <w:tcPr>
            <w:tcW w:w="1247" w:type="dxa"/>
            <w:vAlign w:val="center"/>
          </w:tcPr>
          <w:p w14:paraId="357A6E7C" w14:textId="07BFCB93" w:rsidR="005376A9" w:rsidRPr="001455DC" w:rsidRDefault="005376A9" w:rsidP="00EC5547">
            <w:pPr>
              <w:pStyle w:val="Tablebody"/>
              <w:jc w:val="right"/>
            </w:pPr>
            <w:r w:rsidRPr="001455DC">
              <w:t>(O.4)</w:t>
            </w:r>
          </w:p>
        </w:tc>
      </w:tr>
      <w:tr w:rsidR="005376A9" w:rsidRPr="001455DC" w14:paraId="05A3C923" w14:textId="77777777" w:rsidTr="00EC5547">
        <w:trPr>
          <w:cantSplit/>
        </w:trPr>
        <w:tc>
          <w:tcPr>
            <w:tcW w:w="567" w:type="dxa"/>
          </w:tcPr>
          <w:p w14:paraId="22B49E79" w14:textId="4EB1A93E" w:rsidR="005376A9" w:rsidRPr="001455DC" w:rsidRDefault="00EC5547" w:rsidP="00EC5547">
            <w:pPr>
              <w:pStyle w:val="Tablebody"/>
            </w:pPr>
            <w:r w:rsidRPr="001455DC">
              <w:t> </w:t>
            </w:r>
          </w:p>
        </w:tc>
        <w:tc>
          <w:tcPr>
            <w:tcW w:w="8845" w:type="dxa"/>
            <w:gridSpan w:val="3"/>
          </w:tcPr>
          <w:p w14:paraId="06304A6C" w14:textId="22D409C8" w:rsidR="005376A9" w:rsidRPr="001455DC" w:rsidRDefault="005376A9" w:rsidP="00EC5547">
            <w:pPr>
              <w:pStyle w:val="Tablebody"/>
            </w:pPr>
            <w:r w:rsidRPr="001455DC">
              <w:t>where</w:t>
            </w:r>
          </w:p>
        </w:tc>
      </w:tr>
      <w:tr w:rsidR="005376A9" w:rsidRPr="001455DC" w14:paraId="73F96555" w14:textId="77777777" w:rsidTr="005376A9">
        <w:trPr>
          <w:cantSplit/>
        </w:trPr>
        <w:tc>
          <w:tcPr>
            <w:tcW w:w="567" w:type="dxa"/>
          </w:tcPr>
          <w:p w14:paraId="371D605A" w14:textId="59B3059E" w:rsidR="005376A9" w:rsidRPr="001455DC" w:rsidRDefault="00EC5547" w:rsidP="00EC5547">
            <w:pPr>
              <w:pStyle w:val="Tablebody"/>
            </w:pPr>
            <w:r w:rsidRPr="001455DC">
              <w:t> </w:t>
            </w:r>
          </w:p>
        </w:tc>
        <w:tc>
          <w:tcPr>
            <w:tcW w:w="567" w:type="dxa"/>
          </w:tcPr>
          <w:p w14:paraId="4A2F7493" w14:textId="27134467" w:rsidR="005376A9" w:rsidRPr="001455DC" w:rsidRDefault="005376A9" w:rsidP="00EC5547">
            <w:pPr>
              <w:pStyle w:val="Tablebody"/>
            </w:pPr>
            <w:r w:rsidRPr="001455DC">
              <w:rPr>
                <w:rStyle w:val="CCMCvariableitalic"/>
              </w:rPr>
              <w:t>n</w:t>
            </w:r>
            <w:r w:rsidRPr="001455DC">
              <w:rPr>
                <w:rStyle w:val="CCMCvariablesubscript"/>
              </w:rPr>
              <w:t>s</w:t>
            </w:r>
          </w:p>
        </w:tc>
        <w:tc>
          <w:tcPr>
            <w:tcW w:w="8278" w:type="dxa"/>
            <w:gridSpan w:val="2"/>
          </w:tcPr>
          <w:p w14:paraId="7D064105" w14:textId="614D2293" w:rsidR="005376A9" w:rsidRPr="001455DC" w:rsidRDefault="005376A9" w:rsidP="00EC5547">
            <w:pPr>
              <w:pStyle w:val="Tablebody"/>
            </w:pPr>
            <w:r w:rsidRPr="001455DC">
              <w:t>is the number of storeys;</w:t>
            </w:r>
          </w:p>
        </w:tc>
      </w:tr>
      <w:tr w:rsidR="005376A9" w:rsidRPr="001455DC" w14:paraId="0908045C" w14:textId="77777777" w:rsidTr="005376A9">
        <w:trPr>
          <w:cantSplit/>
        </w:trPr>
        <w:tc>
          <w:tcPr>
            <w:tcW w:w="567" w:type="dxa"/>
          </w:tcPr>
          <w:p w14:paraId="18BB930B" w14:textId="2B603F6E" w:rsidR="005376A9" w:rsidRPr="001455DC" w:rsidRDefault="00EC5547" w:rsidP="00EC5547">
            <w:pPr>
              <w:pStyle w:val="Tablebody"/>
            </w:pPr>
            <w:r w:rsidRPr="001455DC">
              <w:t> </w:t>
            </w:r>
          </w:p>
        </w:tc>
        <w:tc>
          <w:tcPr>
            <w:tcW w:w="567" w:type="dxa"/>
          </w:tcPr>
          <w:p w14:paraId="6F04DAEB" w14:textId="30CD8FA0" w:rsidR="005376A9" w:rsidRPr="001455DC" w:rsidRDefault="005376A9" w:rsidP="00EC5547">
            <w:pPr>
              <w:pStyle w:val="Tablebody"/>
            </w:pPr>
            <w:r w:rsidRPr="001455DC">
              <w:rPr>
                <w:rStyle w:val="CCMCvariableitalic"/>
              </w:rPr>
              <w:t>L</w:t>
            </w:r>
          </w:p>
        </w:tc>
        <w:tc>
          <w:tcPr>
            <w:tcW w:w="8278" w:type="dxa"/>
            <w:gridSpan w:val="2"/>
          </w:tcPr>
          <w:p w14:paraId="284F65FB" w14:textId="628771FF" w:rsidR="005376A9" w:rsidRPr="001455DC" w:rsidRDefault="005376A9" w:rsidP="00EC5547">
            <w:pPr>
              <w:pStyle w:val="Tablebody"/>
            </w:pPr>
            <w:r w:rsidRPr="001455DC">
              <w:t>is the total height of the building above the base (foundation or top of a rigid basement);</w:t>
            </w:r>
          </w:p>
        </w:tc>
      </w:tr>
      <w:tr w:rsidR="005376A9" w:rsidRPr="001455DC" w14:paraId="627917F7" w14:textId="77777777" w:rsidTr="005376A9">
        <w:trPr>
          <w:cantSplit/>
        </w:trPr>
        <w:tc>
          <w:tcPr>
            <w:tcW w:w="567" w:type="dxa"/>
          </w:tcPr>
          <w:p w14:paraId="241BED6F" w14:textId="1A998998" w:rsidR="005376A9" w:rsidRPr="001455DC" w:rsidRDefault="00EC5547" w:rsidP="00EC5547">
            <w:pPr>
              <w:pStyle w:val="Tablebody"/>
            </w:pPr>
            <w:r w:rsidRPr="001455DC">
              <w:t> </w:t>
            </w:r>
          </w:p>
        </w:tc>
        <w:tc>
          <w:tcPr>
            <w:tcW w:w="567" w:type="dxa"/>
          </w:tcPr>
          <w:p w14:paraId="5E708294" w14:textId="3309DF0F" w:rsidR="005376A9" w:rsidRPr="001455DC" w:rsidRDefault="005376A9" w:rsidP="00EC5547">
            <w:pPr>
              <w:pStyle w:val="Tablebody"/>
            </w:pPr>
            <w:r w:rsidRPr="001455DC">
              <w:rPr>
                <w:rStyle w:val="CCMCvariableitalic"/>
              </w:rPr>
              <w:t>EI</w:t>
            </w:r>
          </w:p>
        </w:tc>
        <w:tc>
          <w:tcPr>
            <w:tcW w:w="8278" w:type="dxa"/>
            <w:gridSpan w:val="2"/>
          </w:tcPr>
          <w:p w14:paraId="1D4E5E01" w14:textId="6D5C2D52" w:rsidR="005376A9" w:rsidRPr="001455DC" w:rsidRDefault="00EC27D2" w:rsidP="00EC5547">
            <w:pPr>
              <w:pStyle w:val="Tablebody"/>
            </w:pPr>
            <w:r w:rsidRPr="001455DC">
              <w:rPr>
                <w:rFonts w:ascii="Cambria Math" w:hAnsi="Cambria Math"/>
              </w:rPr>
              <w:t>=</w:t>
            </w:r>
            <w:r w:rsidR="005376A9" w:rsidRPr="001455DC">
              <w:t xml:space="preserve"> (</w:t>
            </w:r>
            <w:r w:rsidR="005376A9" w:rsidRPr="001455DC">
              <w:rPr>
                <w:rFonts w:ascii="Cambria Math" w:hAnsi="Cambria Math" w:cs="Cambria Math"/>
              </w:rPr>
              <w:t>Σ</w:t>
            </w:r>
            <w:r w:rsidR="005376A9" w:rsidRPr="001455DC">
              <w:rPr>
                <w:rStyle w:val="CCMCvariableitalic"/>
              </w:rPr>
              <w:t>k</w:t>
            </w:r>
            <w:r w:rsidR="005376A9" w:rsidRPr="001455DC">
              <w:rPr>
                <w:rStyle w:val="CCMCvariablesubscript"/>
              </w:rPr>
              <w:t>c</w:t>
            </w:r>
            <w:r w:rsidR="005376A9" w:rsidRPr="001455DC">
              <w:rPr>
                <w:rStyle w:val="CCMCvariableitalic"/>
              </w:rPr>
              <w:t>E</w:t>
            </w:r>
            <w:r w:rsidR="005376A9" w:rsidRPr="001455DC">
              <w:rPr>
                <w:rStyle w:val="CCMCvariablesubscript"/>
              </w:rPr>
              <w:t>cd</w:t>
            </w:r>
            <w:r w:rsidR="005376A9" w:rsidRPr="001455DC">
              <w:rPr>
                <w:rStyle w:val="CCMCvariableitalic"/>
              </w:rPr>
              <w:t>I</w:t>
            </w:r>
            <w:r w:rsidR="005376A9" w:rsidRPr="001455DC">
              <w:rPr>
                <w:rStyle w:val="CCMCvariablesubscript"/>
              </w:rPr>
              <w:t>c</w:t>
            </w:r>
            <w:r w:rsidR="005376A9" w:rsidRPr="001455DC">
              <w:t xml:space="preserve"> )/(1</w:t>
            </w:r>
            <w:r w:rsidRPr="001455DC">
              <w:rPr>
                <w:rFonts w:ascii="Cambria Math" w:hAnsi="Cambria Math"/>
              </w:rPr>
              <w:t>+</w:t>
            </w:r>
            <w:r w:rsidR="005376A9" w:rsidRPr="001455DC">
              <w:rPr>
                <w:rStyle w:val="CCMCvariableitalic"/>
              </w:rPr>
              <w:t>φ</w:t>
            </w:r>
            <w:r w:rsidR="005376A9" w:rsidRPr="001455DC">
              <w:rPr>
                <w:rStyle w:val="CCMCvariablesubscript"/>
              </w:rPr>
              <w:t>ef,s</w:t>
            </w:r>
            <w:r w:rsidR="005376A9" w:rsidRPr="001455DC">
              <w:t>) is the sum of the bending stiffnesses of all bracing members;</w:t>
            </w:r>
          </w:p>
        </w:tc>
      </w:tr>
      <w:tr w:rsidR="005376A9" w:rsidRPr="001455DC" w14:paraId="4702F57E" w14:textId="77777777" w:rsidTr="005376A9">
        <w:trPr>
          <w:cantSplit/>
        </w:trPr>
        <w:tc>
          <w:tcPr>
            <w:tcW w:w="567" w:type="dxa"/>
          </w:tcPr>
          <w:p w14:paraId="0A058695" w14:textId="0CCB4D8C" w:rsidR="005376A9" w:rsidRPr="001455DC" w:rsidRDefault="00EC5547" w:rsidP="00EC5547">
            <w:pPr>
              <w:pStyle w:val="Tablebody"/>
            </w:pPr>
            <w:r w:rsidRPr="001455DC">
              <w:t> </w:t>
            </w:r>
          </w:p>
        </w:tc>
        <w:tc>
          <w:tcPr>
            <w:tcW w:w="567" w:type="dxa"/>
          </w:tcPr>
          <w:p w14:paraId="1108B23C" w14:textId="3346F9D9" w:rsidR="005376A9" w:rsidRPr="001455DC" w:rsidRDefault="005376A9" w:rsidP="00EC5547">
            <w:pPr>
              <w:pStyle w:val="Tablebody"/>
            </w:pPr>
            <w:r w:rsidRPr="001455DC">
              <w:rPr>
                <w:rStyle w:val="CCMCvariableitalic"/>
              </w:rPr>
              <w:t>I</w:t>
            </w:r>
            <w:r w:rsidRPr="001455DC">
              <w:rPr>
                <w:rStyle w:val="CCMCvariablesubscript"/>
              </w:rPr>
              <w:t>c</w:t>
            </w:r>
          </w:p>
        </w:tc>
        <w:tc>
          <w:tcPr>
            <w:tcW w:w="8278" w:type="dxa"/>
            <w:gridSpan w:val="2"/>
          </w:tcPr>
          <w:p w14:paraId="15AA72CE" w14:textId="198EB0EB" w:rsidR="005376A9" w:rsidRPr="001455DC" w:rsidRDefault="005376A9">
            <w:pPr>
              <w:pStyle w:val="Tablebody"/>
            </w:pPr>
            <w:r w:rsidRPr="001455DC">
              <w:t xml:space="preserve">is the </w:t>
            </w:r>
            <w:r w:rsidR="00CB2841" w:rsidRPr="001455DC">
              <w:t>second moment of area</w:t>
            </w:r>
            <w:r w:rsidRPr="001455DC">
              <w:t xml:space="preserve"> of the gross concrete cross section;</w:t>
            </w:r>
          </w:p>
        </w:tc>
      </w:tr>
      <w:tr w:rsidR="005376A9" w:rsidRPr="001455DC" w14:paraId="74FEDE2C" w14:textId="77777777" w:rsidTr="005376A9">
        <w:trPr>
          <w:cantSplit/>
        </w:trPr>
        <w:tc>
          <w:tcPr>
            <w:tcW w:w="567" w:type="dxa"/>
          </w:tcPr>
          <w:p w14:paraId="63EAFDE1" w14:textId="67D365D4" w:rsidR="005376A9" w:rsidRPr="001455DC" w:rsidRDefault="00EC5547" w:rsidP="00EC5547">
            <w:pPr>
              <w:pStyle w:val="Tablebody"/>
            </w:pPr>
            <w:r w:rsidRPr="001455DC">
              <w:t> </w:t>
            </w:r>
          </w:p>
        </w:tc>
        <w:tc>
          <w:tcPr>
            <w:tcW w:w="567" w:type="dxa"/>
          </w:tcPr>
          <w:p w14:paraId="491A836B" w14:textId="7BA42652" w:rsidR="005376A9" w:rsidRPr="001455DC" w:rsidRDefault="005376A9" w:rsidP="00EC5547">
            <w:pPr>
              <w:pStyle w:val="Tablebody"/>
            </w:pPr>
            <w:r w:rsidRPr="001455DC">
              <w:rPr>
                <w:rStyle w:val="CCMCvariableitalic"/>
              </w:rPr>
              <w:t>E</w:t>
            </w:r>
            <w:r w:rsidRPr="001455DC">
              <w:rPr>
                <w:rStyle w:val="CCMCvariablesubscript"/>
              </w:rPr>
              <w:t>cd</w:t>
            </w:r>
          </w:p>
        </w:tc>
        <w:tc>
          <w:tcPr>
            <w:tcW w:w="8278" w:type="dxa"/>
            <w:gridSpan w:val="2"/>
          </w:tcPr>
          <w:p w14:paraId="1930822E" w14:textId="196F7CAA" w:rsidR="005376A9" w:rsidRPr="001455DC" w:rsidRDefault="005376A9" w:rsidP="00EC5547">
            <w:pPr>
              <w:pStyle w:val="Tablebody"/>
            </w:pPr>
            <w:r w:rsidRPr="001455DC">
              <w:t>is the design value of the modulus of elasticity, see 7.4.3.3(3);</w:t>
            </w:r>
          </w:p>
        </w:tc>
      </w:tr>
      <w:tr w:rsidR="005376A9" w:rsidRPr="001455DC" w14:paraId="58680AB1" w14:textId="77777777" w:rsidTr="005376A9">
        <w:trPr>
          <w:cantSplit/>
        </w:trPr>
        <w:tc>
          <w:tcPr>
            <w:tcW w:w="567" w:type="dxa"/>
          </w:tcPr>
          <w:p w14:paraId="48B7EFDD" w14:textId="1A350CBD" w:rsidR="005376A9" w:rsidRPr="001455DC" w:rsidRDefault="00EC5547" w:rsidP="00EC5547">
            <w:pPr>
              <w:pStyle w:val="Tablebody"/>
            </w:pPr>
            <w:r w:rsidRPr="001455DC">
              <w:t> </w:t>
            </w:r>
          </w:p>
        </w:tc>
        <w:tc>
          <w:tcPr>
            <w:tcW w:w="567" w:type="dxa"/>
          </w:tcPr>
          <w:p w14:paraId="5379DA69" w14:textId="2D9B6AEC" w:rsidR="005376A9" w:rsidRPr="001455DC" w:rsidRDefault="005376A9" w:rsidP="00EC5547">
            <w:pPr>
              <w:pStyle w:val="Tablebody"/>
            </w:pPr>
            <w:r w:rsidRPr="001455DC">
              <w:rPr>
                <w:rStyle w:val="CCMCvariableitalic"/>
              </w:rPr>
              <w:t>φ</w:t>
            </w:r>
            <w:r w:rsidRPr="001455DC">
              <w:rPr>
                <w:rStyle w:val="CCMCvariablesubscript"/>
              </w:rPr>
              <w:t>ef,s</w:t>
            </w:r>
          </w:p>
        </w:tc>
        <w:tc>
          <w:tcPr>
            <w:tcW w:w="8278" w:type="dxa"/>
            <w:gridSpan w:val="2"/>
          </w:tcPr>
          <w:p w14:paraId="04BCC1EB" w14:textId="629BFF6E" w:rsidR="005376A9" w:rsidRPr="001455DC" w:rsidRDefault="005376A9" w:rsidP="00EC5547">
            <w:pPr>
              <w:pStyle w:val="Tablebody"/>
            </w:pPr>
            <w:r w:rsidRPr="001455DC">
              <w:t>is the effective creep coefficient for global second order effects, see 7.4.2(2);</w:t>
            </w:r>
          </w:p>
        </w:tc>
      </w:tr>
      <w:tr w:rsidR="005376A9" w:rsidRPr="001455DC" w14:paraId="3C6E9772" w14:textId="77777777" w:rsidTr="005376A9">
        <w:trPr>
          <w:cantSplit/>
        </w:trPr>
        <w:tc>
          <w:tcPr>
            <w:tcW w:w="567" w:type="dxa"/>
          </w:tcPr>
          <w:p w14:paraId="63D84C90" w14:textId="520BDF3D" w:rsidR="005376A9" w:rsidRPr="001455DC" w:rsidRDefault="00EC5547" w:rsidP="00EC5547">
            <w:pPr>
              <w:pStyle w:val="Tablebody"/>
            </w:pPr>
            <w:r w:rsidRPr="001455DC">
              <w:t> </w:t>
            </w:r>
          </w:p>
        </w:tc>
        <w:tc>
          <w:tcPr>
            <w:tcW w:w="567" w:type="dxa"/>
          </w:tcPr>
          <w:p w14:paraId="7BFE2A71" w14:textId="561FAAC6" w:rsidR="005376A9" w:rsidRPr="001455DC" w:rsidRDefault="005376A9" w:rsidP="00EC5547">
            <w:pPr>
              <w:pStyle w:val="Tablebody"/>
            </w:pPr>
            <w:r w:rsidRPr="001455DC">
              <w:rPr>
                <w:rStyle w:val="CCMCvariableitalic"/>
              </w:rPr>
              <w:t>G</w:t>
            </w:r>
            <w:r w:rsidRPr="001455DC">
              <w:rPr>
                <w:rStyle w:val="CCMCvariablesubscript"/>
              </w:rPr>
              <w:t>cd</w:t>
            </w:r>
          </w:p>
        </w:tc>
        <w:tc>
          <w:tcPr>
            <w:tcW w:w="8278" w:type="dxa"/>
            <w:gridSpan w:val="2"/>
          </w:tcPr>
          <w:p w14:paraId="60AF3419" w14:textId="6D954430" w:rsidR="005376A9" w:rsidRPr="001455DC" w:rsidRDefault="005376A9" w:rsidP="00EC5547">
            <w:pPr>
              <w:pStyle w:val="Tablebody"/>
            </w:pPr>
            <w:r w:rsidRPr="001455DC">
              <w:t>≈ 0,4</w:t>
            </w:r>
            <w:r w:rsidRPr="001455DC">
              <w:rPr>
                <w:rStyle w:val="CCMCvariableitalic"/>
              </w:rPr>
              <w:t>E</w:t>
            </w:r>
            <w:r w:rsidRPr="001455DC">
              <w:rPr>
                <w:rStyle w:val="CCMCvariablesubscript"/>
              </w:rPr>
              <w:t>cd</w:t>
            </w:r>
            <w:r w:rsidRPr="001455DC">
              <w:t xml:space="preserve"> is the design value of the elastic shear modulus;</w:t>
            </w:r>
          </w:p>
        </w:tc>
      </w:tr>
      <w:tr w:rsidR="005376A9" w:rsidRPr="001455DC" w14:paraId="783B910C" w14:textId="77777777" w:rsidTr="005376A9">
        <w:trPr>
          <w:cantSplit/>
        </w:trPr>
        <w:tc>
          <w:tcPr>
            <w:tcW w:w="567" w:type="dxa"/>
          </w:tcPr>
          <w:p w14:paraId="762A1196" w14:textId="60058FB1" w:rsidR="005376A9" w:rsidRPr="001455DC" w:rsidRDefault="00EC5547" w:rsidP="00EC5547">
            <w:pPr>
              <w:pStyle w:val="Tablebody"/>
            </w:pPr>
            <w:r w:rsidRPr="001455DC">
              <w:t> </w:t>
            </w:r>
          </w:p>
        </w:tc>
        <w:tc>
          <w:tcPr>
            <w:tcW w:w="567" w:type="dxa"/>
          </w:tcPr>
          <w:p w14:paraId="46F1B183" w14:textId="34692531" w:rsidR="005376A9" w:rsidRPr="001455DC" w:rsidRDefault="005376A9" w:rsidP="00EC5547">
            <w:pPr>
              <w:pStyle w:val="Tablebody"/>
            </w:pPr>
            <w:r w:rsidRPr="001455DC">
              <w:rPr>
                <w:rStyle w:val="CCMCvariableitalic"/>
              </w:rPr>
              <w:t>k</w:t>
            </w:r>
            <w:r w:rsidRPr="001455DC">
              <w:rPr>
                <w:rStyle w:val="CCMCvariablesubscript"/>
              </w:rPr>
              <w:t>c</w:t>
            </w:r>
          </w:p>
        </w:tc>
        <w:tc>
          <w:tcPr>
            <w:tcW w:w="8278" w:type="dxa"/>
            <w:gridSpan w:val="2"/>
          </w:tcPr>
          <w:p w14:paraId="4133B88B" w14:textId="0136563D" w:rsidR="005376A9" w:rsidRPr="001455DC" w:rsidRDefault="005376A9" w:rsidP="00EC5547">
            <w:pPr>
              <w:pStyle w:val="Tablebody"/>
            </w:pPr>
            <w:r w:rsidRPr="001455DC">
              <w:t>reflects the extent of cracking and the effect of non-linear material properties and may be taken as:</w:t>
            </w:r>
          </w:p>
        </w:tc>
      </w:tr>
      <w:tr w:rsidR="005376A9" w:rsidRPr="001455DC" w14:paraId="2DF25CDE" w14:textId="77777777" w:rsidTr="005376A9">
        <w:trPr>
          <w:cantSplit/>
        </w:trPr>
        <w:tc>
          <w:tcPr>
            <w:tcW w:w="567" w:type="dxa"/>
          </w:tcPr>
          <w:p w14:paraId="1CBB71B0" w14:textId="3AF1150B" w:rsidR="005376A9" w:rsidRPr="001455DC" w:rsidRDefault="00EC5547" w:rsidP="00EC5547">
            <w:pPr>
              <w:pStyle w:val="Tablebody"/>
            </w:pPr>
            <w:r w:rsidRPr="001455DC">
              <w:t> </w:t>
            </w:r>
          </w:p>
        </w:tc>
        <w:tc>
          <w:tcPr>
            <w:tcW w:w="567" w:type="dxa"/>
          </w:tcPr>
          <w:p w14:paraId="5E051FE3" w14:textId="2DFD4B5E" w:rsidR="005376A9" w:rsidRPr="001455DC" w:rsidRDefault="00EC5547" w:rsidP="00EC5547">
            <w:pPr>
              <w:pStyle w:val="Tablebody"/>
            </w:pPr>
            <w:r w:rsidRPr="001455DC">
              <w:t> </w:t>
            </w:r>
          </w:p>
        </w:tc>
        <w:tc>
          <w:tcPr>
            <w:tcW w:w="8278" w:type="dxa"/>
            <w:gridSpan w:val="2"/>
          </w:tcPr>
          <w:p w14:paraId="05A53517" w14:textId="4F5738D1" w:rsidR="005376A9" w:rsidRPr="001455DC" w:rsidRDefault="005376A9" w:rsidP="00EC5547">
            <w:pPr>
              <w:pStyle w:val="Tablebody"/>
            </w:pPr>
            <w:r w:rsidRPr="001455DC">
              <w:rPr>
                <w:rStyle w:val="CCMCvariableitalic"/>
              </w:rPr>
              <w:t>k</w:t>
            </w:r>
            <w:r w:rsidRPr="001455DC">
              <w:rPr>
                <w:rStyle w:val="CCMCvariablesubscript"/>
              </w:rPr>
              <w:t>c</w:t>
            </w:r>
            <w:r w:rsidRPr="001455DC">
              <w:t> </w:t>
            </w:r>
            <w:r w:rsidR="00EC27D2" w:rsidRPr="001455DC">
              <w:rPr>
                <w:rFonts w:ascii="Cambria Math" w:hAnsi="Cambria Math"/>
              </w:rPr>
              <w:t>=</w:t>
            </w:r>
            <w:r w:rsidRPr="001455DC">
              <w:t> 0,4 in the general case;</w:t>
            </w:r>
          </w:p>
        </w:tc>
      </w:tr>
      <w:tr w:rsidR="005376A9" w:rsidRPr="001455DC" w14:paraId="0C160576" w14:textId="77777777" w:rsidTr="005376A9">
        <w:trPr>
          <w:cantSplit/>
        </w:trPr>
        <w:tc>
          <w:tcPr>
            <w:tcW w:w="567" w:type="dxa"/>
          </w:tcPr>
          <w:p w14:paraId="4DEAB49C" w14:textId="132A8EFC" w:rsidR="005376A9" w:rsidRPr="001455DC" w:rsidRDefault="00EC5547" w:rsidP="00EC5547">
            <w:pPr>
              <w:pStyle w:val="Tablebody"/>
            </w:pPr>
            <w:r w:rsidRPr="001455DC">
              <w:t> </w:t>
            </w:r>
          </w:p>
        </w:tc>
        <w:tc>
          <w:tcPr>
            <w:tcW w:w="567" w:type="dxa"/>
          </w:tcPr>
          <w:p w14:paraId="401FB3F1" w14:textId="408433A9" w:rsidR="005376A9" w:rsidRPr="001455DC" w:rsidRDefault="00EC5547" w:rsidP="00EC5547">
            <w:pPr>
              <w:pStyle w:val="Tablebody"/>
            </w:pPr>
            <w:r w:rsidRPr="001455DC">
              <w:t> </w:t>
            </w:r>
          </w:p>
        </w:tc>
        <w:tc>
          <w:tcPr>
            <w:tcW w:w="8278" w:type="dxa"/>
            <w:gridSpan w:val="2"/>
          </w:tcPr>
          <w:p w14:paraId="1B46F447" w14:textId="7F3A1594" w:rsidR="005376A9" w:rsidRPr="001455DC" w:rsidRDefault="005376A9" w:rsidP="00EC5547">
            <w:pPr>
              <w:pStyle w:val="Tablebody"/>
            </w:pPr>
            <w:r w:rsidRPr="001455DC">
              <w:rPr>
                <w:rStyle w:val="CCMCvariableitalic"/>
              </w:rPr>
              <w:t>k</w:t>
            </w:r>
            <w:r w:rsidRPr="001455DC">
              <w:rPr>
                <w:rStyle w:val="CCMCvariablesubscript"/>
              </w:rPr>
              <w:t>c</w:t>
            </w:r>
            <w:r w:rsidRPr="001455DC">
              <w:t> </w:t>
            </w:r>
            <w:r w:rsidR="00EC27D2" w:rsidRPr="001455DC">
              <w:rPr>
                <w:rFonts w:ascii="Cambria Math" w:hAnsi="Cambria Math"/>
              </w:rPr>
              <w:t>=</w:t>
            </w:r>
            <w:r w:rsidRPr="001455DC">
              <w:t xml:space="preserve"> 0,8 if it can be shown that the tensile stress in the bracing members under the effect characteristic combination of actions at the critical sections is less than </w:t>
            </w:r>
            <w:r w:rsidRPr="001455DC">
              <w:rPr>
                <w:rStyle w:val="CCMCvariableitalic"/>
              </w:rPr>
              <w:t>f</w:t>
            </w:r>
            <w:r w:rsidRPr="001455DC">
              <w:rPr>
                <w:rStyle w:val="CCMCvariablesubscript"/>
              </w:rPr>
              <w:t>ctd</w:t>
            </w:r>
            <w:r w:rsidRPr="001455DC">
              <w:t>.</w:t>
            </w:r>
          </w:p>
        </w:tc>
      </w:tr>
      <w:tr w:rsidR="005376A9" w:rsidRPr="001455DC" w14:paraId="5779ECB1" w14:textId="77777777" w:rsidTr="005376A9">
        <w:trPr>
          <w:cantSplit/>
        </w:trPr>
        <w:tc>
          <w:tcPr>
            <w:tcW w:w="567" w:type="dxa"/>
          </w:tcPr>
          <w:p w14:paraId="5C262AD7" w14:textId="1FDF65A2" w:rsidR="005376A9" w:rsidRPr="001455DC" w:rsidRDefault="00EC5547" w:rsidP="00EC5547">
            <w:pPr>
              <w:pStyle w:val="Tablebody"/>
            </w:pPr>
            <w:r w:rsidRPr="001455DC">
              <w:t> </w:t>
            </w:r>
          </w:p>
        </w:tc>
        <w:tc>
          <w:tcPr>
            <w:tcW w:w="567" w:type="dxa"/>
          </w:tcPr>
          <w:p w14:paraId="3F4650A6" w14:textId="00269BDC" w:rsidR="005376A9" w:rsidRPr="001455DC" w:rsidRDefault="005376A9" w:rsidP="00EC5547">
            <w:pPr>
              <w:pStyle w:val="Tablebody"/>
            </w:pPr>
            <w:r w:rsidRPr="001455DC">
              <w:rPr>
                <w:rStyle w:val="CCMCvariableitalic"/>
              </w:rPr>
              <w:t>k</w:t>
            </w:r>
            <w:r w:rsidRPr="001455DC">
              <w:rPr>
                <w:rStyle w:val="CCMCvariablesubscript"/>
              </w:rPr>
              <w:t>θ</w:t>
            </w:r>
          </w:p>
        </w:tc>
        <w:tc>
          <w:tcPr>
            <w:tcW w:w="8278" w:type="dxa"/>
            <w:gridSpan w:val="2"/>
          </w:tcPr>
          <w:p w14:paraId="0790C248" w14:textId="58996CBB" w:rsidR="005376A9" w:rsidRPr="001455DC" w:rsidRDefault="005376A9" w:rsidP="00EC5547">
            <w:pPr>
              <w:pStyle w:val="Tablebody"/>
              <w:rPr>
                <w:rStyle w:val="CCMCvariableitalic"/>
              </w:rPr>
            </w:pPr>
            <w:r w:rsidRPr="009D3012">
              <w:t>is the sum of rotational restraint stiffnesses at the base of the bracing members;</w:t>
            </w:r>
          </w:p>
        </w:tc>
      </w:tr>
      <w:tr w:rsidR="005376A9" w:rsidRPr="001455DC" w14:paraId="60E5186B" w14:textId="77777777" w:rsidTr="005376A9">
        <w:trPr>
          <w:cantSplit/>
        </w:trPr>
        <w:tc>
          <w:tcPr>
            <w:tcW w:w="567" w:type="dxa"/>
          </w:tcPr>
          <w:p w14:paraId="2D6041E3" w14:textId="27559E8C" w:rsidR="005376A9" w:rsidRPr="001455DC" w:rsidRDefault="00EC5547" w:rsidP="00EC5547">
            <w:pPr>
              <w:pStyle w:val="Tablebody"/>
            </w:pPr>
            <w:r w:rsidRPr="001455DC">
              <w:t> </w:t>
            </w:r>
          </w:p>
        </w:tc>
        <w:tc>
          <w:tcPr>
            <w:tcW w:w="567" w:type="dxa"/>
          </w:tcPr>
          <w:p w14:paraId="60CC6739" w14:textId="5C87A8DE" w:rsidR="005376A9" w:rsidRPr="001455DC" w:rsidRDefault="00EC5547" w:rsidP="00EC5547">
            <w:pPr>
              <w:pStyle w:val="Tablebody"/>
              <w:rPr>
                <w:rStyle w:val="CCMCvariableitalic"/>
              </w:rPr>
            </w:pPr>
            <w:r w:rsidRPr="009D3012">
              <w:t> </w:t>
            </w:r>
          </w:p>
        </w:tc>
        <w:tc>
          <w:tcPr>
            <w:tcW w:w="7031" w:type="dxa"/>
            <w:vAlign w:val="center"/>
          </w:tcPr>
          <w:p w14:paraId="21242CA2" w14:textId="38DFC106" w:rsidR="005376A9" w:rsidRPr="001455DC" w:rsidRDefault="00231E33" w:rsidP="005376A9">
            <w:pPr>
              <w:pStyle w:val="Tablebody"/>
              <w:jc w:val="left"/>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rPr>
                      <m:t>θ</m:t>
                    </m:r>
                  </m:sub>
                </m:sSub>
                <m:r>
                  <w:rPr>
                    <w:rFonts w:ascii="Cambria Math" w:hAnsi="Cambria Math"/>
                  </w:rPr>
                  <m:t>=</m:t>
                </m:r>
                <m:f>
                  <m:fPr>
                    <m:ctrlPr>
                      <w:rPr>
                        <w:rFonts w:ascii="Cambria Math" w:hAnsi="Cambria Math"/>
                      </w:rPr>
                    </m:ctrlPr>
                  </m:fPr>
                  <m:num>
                    <m:r>
                      <w:rPr>
                        <w:rFonts w:ascii="Cambria Math" w:hAnsi="Cambria Math"/>
                      </w:rPr>
                      <m:t>θ</m:t>
                    </m:r>
                  </m:num>
                  <m:den>
                    <m:r>
                      <w:rPr>
                        <w:rFonts w:ascii="Cambria Math" w:hAnsi="Cambria Math"/>
                      </w:rPr>
                      <m:t>M</m:t>
                    </m:r>
                  </m:den>
                </m:f>
                <m:r>
                  <w:rPr>
                    <w:rFonts w:ascii="Cambria Math" w:hAnsi="Cambria Math"/>
                  </w:rPr>
                  <m:t>⋅</m:t>
                </m:r>
                <m:f>
                  <m:fPr>
                    <m:ctrlPr>
                      <w:rPr>
                        <w:rFonts w:ascii="Cambria Math" w:hAnsi="Cambria Math"/>
                      </w:rPr>
                    </m:ctrlPr>
                  </m:fPr>
                  <m:num>
                    <m:r>
                      <w:rPr>
                        <w:rFonts w:ascii="Cambria Math" w:hAnsi="Cambria Math"/>
                      </w:rPr>
                      <m:t>EI</m:t>
                    </m:r>
                  </m:num>
                  <m:den>
                    <m:r>
                      <w:rPr>
                        <w:rFonts w:ascii="Cambria Math" w:hAnsi="Cambria Math"/>
                      </w:rPr>
                      <m:t>L</m:t>
                    </m:r>
                  </m:den>
                </m:f>
              </m:oMath>
            </m:oMathPara>
          </w:p>
        </w:tc>
        <w:tc>
          <w:tcPr>
            <w:tcW w:w="1247" w:type="dxa"/>
            <w:vAlign w:val="center"/>
          </w:tcPr>
          <w:p w14:paraId="1CA0D3AB" w14:textId="74A0CE5B" w:rsidR="005376A9" w:rsidRPr="001455DC" w:rsidRDefault="005376A9" w:rsidP="005376A9">
            <w:pPr>
              <w:pStyle w:val="Tablebody"/>
              <w:jc w:val="right"/>
            </w:pPr>
            <w:r w:rsidRPr="001455DC">
              <w:t>(O.5)</w:t>
            </w:r>
          </w:p>
        </w:tc>
      </w:tr>
      <w:tr w:rsidR="005376A9" w:rsidRPr="001455DC" w14:paraId="0DBFBB57" w14:textId="77777777" w:rsidTr="00EC5547">
        <w:trPr>
          <w:cantSplit/>
        </w:trPr>
        <w:tc>
          <w:tcPr>
            <w:tcW w:w="567" w:type="dxa"/>
          </w:tcPr>
          <w:p w14:paraId="7423342E" w14:textId="30D21A9B" w:rsidR="005376A9" w:rsidRPr="001455DC" w:rsidRDefault="00EC5547" w:rsidP="00EC5547">
            <w:pPr>
              <w:pStyle w:val="Tablebody"/>
            </w:pPr>
            <w:r w:rsidRPr="001455DC">
              <w:t> </w:t>
            </w:r>
          </w:p>
        </w:tc>
        <w:tc>
          <w:tcPr>
            <w:tcW w:w="567" w:type="dxa"/>
          </w:tcPr>
          <w:p w14:paraId="0595B523" w14:textId="54F3B49E" w:rsidR="005376A9" w:rsidRPr="001455DC" w:rsidRDefault="005376A9" w:rsidP="00EC5547">
            <w:pPr>
              <w:pStyle w:val="Tablebody"/>
            </w:pPr>
            <w:r w:rsidRPr="001455DC">
              <w:rPr>
                <w:rStyle w:val="CCMCvariableitalic"/>
              </w:rPr>
              <w:t>θ</w:t>
            </w:r>
          </w:p>
        </w:tc>
        <w:tc>
          <w:tcPr>
            <w:tcW w:w="8278" w:type="dxa"/>
            <w:gridSpan w:val="2"/>
          </w:tcPr>
          <w:p w14:paraId="5B52ACE5" w14:textId="00B7500E" w:rsidR="005376A9" w:rsidRPr="001455DC" w:rsidRDefault="005376A9" w:rsidP="00EC5547">
            <w:pPr>
              <w:pStyle w:val="Tablebody"/>
              <w:rPr>
                <w:rStyle w:val="CCMCvariableitalic"/>
              </w:rPr>
            </w:pPr>
            <w:r w:rsidRPr="009D3012">
              <w:t xml:space="preserve">is the rotation for bending moment </w:t>
            </w:r>
            <w:r w:rsidRPr="001455DC">
              <w:rPr>
                <w:rStyle w:val="CCMCvariableitalic"/>
              </w:rPr>
              <w:t>M</w:t>
            </w:r>
            <w:r w:rsidRPr="001455DC">
              <w:t>.</w:t>
            </w:r>
          </w:p>
        </w:tc>
      </w:tr>
    </w:tbl>
    <w:p w14:paraId="3C3ECACB" w14:textId="77777777" w:rsidR="005376A9" w:rsidRPr="001455DC" w:rsidRDefault="004E22C1" w:rsidP="00DE6BBC">
      <w:pPr>
        <w:pStyle w:val="a7"/>
        <w:keepNext/>
      </w:pPr>
      <w:r w:rsidRPr="001455DC">
        <w:t>(2)</w:t>
      </w:r>
      <w:r w:rsidRPr="001455DC">
        <w:tab/>
        <w:t xml:space="preserve">In cases where the global buckling load </w:t>
      </w:r>
      <w:r w:rsidRPr="001455DC">
        <w:rPr>
          <w:rStyle w:val="CCMCvariableitalic"/>
        </w:rPr>
        <w:t>F</w:t>
      </w:r>
      <w:r w:rsidRPr="001455DC">
        <w:rPr>
          <w:rStyle w:val="CCMCvariablesubscript"/>
        </w:rPr>
        <w:t>V,B</w:t>
      </w:r>
      <w:r w:rsidRPr="001455DC">
        <w:t xml:space="preserve"> is not well defined, the Formula (O.6) may be used:</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5376A9" w:rsidRPr="001455DC" w14:paraId="3D0DADA1" w14:textId="77777777" w:rsidTr="00EC5547">
        <w:trPr>
          <w:cantSplit/>
        </w:trPr>
        <w:tc>
          <w:tcPr>
            <w:tcW w:w="8505" w:type="dxa"/>
            <w:vAlign w:val="center"/>
          </w:tcPr>
          <w:p w14:paraId="4FF6A21D" w14:textId="7383947F" w:rsidR="005376A9" w:rsidRPr="001455DC" w:rsidRDefault="00231E33" w:rsidP="00EC5547">
            <w:pPr>
              <w:pStyle w:val="Formula"/>
              <w:jc w:val="left"/>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V,B</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H,0Ed</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H,1Ed</m:t>
                        </m:r>
                      </m:sub>
                    </m:sSub>
                  </m:den>
                </m:f>
                <m:sSub>
                  <m:sSubPr>
                    <m:ctrlPr>
                      <w:rPr>
                        <w:rFonts w:ascii="Cambria Math" w:hAnsi="Cambria Math"/>
                      </w:rPr>
                    </m:ctrlPr>
                  </m:sSubPr>
                  <m:e>
                    <m:r>
                      <w:rPr>
                        <w:rFonts w:ascii="Cambria Math" w:hAnsi="Cambria Math"/>
                      </w:rPr>
                      <m:t>F</m:t>
                    </m:r>
                  </m:e>
                  <m:sub>
                    <m:r>
                      <m:rPr>
                        <m:sty m:val="p"/>
                      </m:rPr>
                      <w:rPr>
                        <w:rFonts w:ascii="Cambria Math" w:hAnsi="Cambria Math"/>
                      </w:rPr>
                      <m:t>V,Ed</m:t>
                    </m:r>
                  </m:sub>
                </m:sSub>
              </m:oMath>
            </m:oMathPara>
          </w:p>
        </w:tc>
        <w:tc>
          <w:tcPr>
            <w:tcW w:w="1247" w:type="dxa"/>
            <w:vAlign w:val="center"/>
          </w:tcPr>
          <w:p w14:paraId="43B6209B" w14:textId="59216118" w:rsidR="005376A9" w:rsidRPr="001455DC" w:rsidRDefault="005376A9" w:rsidP="00EC5547">
            <w:pPr>
              <w:pStyle w:val="a7"/>
              <w:jc w:val="right"/>
            </w:pPr>
            <w:r w:rsidRPr="001455DC">
              <w:t>(O.6)</w:t>
            </w:r>
          </w:p>
        </w:tc>
      </w:tr>
    </w:tbl>
    <w:p w14:paraId="1D4E8CF1" w14:textId="44F35E3E" w:rsidR="005376A9" w:rsidRPr="001455DC" w:rsidRDefault="004E22C1" w:rsidP="00A35599">
      <w:pPr>
        <w:pStyle w:val="a7"/>
        <w:keepNext/>
      </w:pPr>
      <w:r w:rsidRPr="001455DC">
        <w:t>where</w:t>
      </w:r>
    </w:p>
    <w:tbl>
      <w:tblPr>
        <w:tblW w:w="9413" w:type="dxa"/>
        <w:tblInd w:w="397" w:type="dxa"/>
        <w:tblLayout w:type="fixed"/>
        <w:tblCellMar>
          <w:left w:w="28" w:type="dxa"/>
          <w:right w:w="28" w:type="dxa"/>
        </w:tblCellMar>
        <w:tblLook w:val="04A0" w:firstRow="1" w:lastRow="0" w:firstColumn="1" w:lastColumn="0" w:noHBand="0" w:noVBand="1"/>
      </w:tblPr>
      <w:tblGrid>
        <w:gridCol w:w="851"/>
        <w:gridCol w:w="8562"/>
      </w:tblGrid>
      <w:tr w:rsidR="005376A9" w:rsidRPr="001455DC" w14:paraId="1C27365E" w14:textId="77777777" w:rsidTr="005376A9">
        <w:trPr>
          <w:cantSplit/>
        </w:trPr>
        <w:tc>
          <w:tcPr>
            <w:tcW w:w="851" w:type="dxa"/>
          </w:tcPr>
          <w:p w14:paraId="6981C454" w14:textId="1AA84979" w:rsidR="005376A9" w:rsidRPr="001455DC" w:rsidRDefault="005376A9" w:rsidP="00EC5547">
            <w:pPr>
              <w:pStyle w:val="Tablebody"/>
            </w:pPr>
            <w:r w:rsidRPr="001455DC">
              <w:rPr>
                <w:rStyle w:val="CCMCvariableitalic"/>
              </w:rPr>
              <w:t>F</w:t>
            </w:r>
            <w:r w:rsidRPr="001455DC">
              <w:rPr>
                <w:rStyle w:val="CCMCvariablesubscript"/>
              </w:rPr>
              <w:t>H,1Ed</w:t>
            </w:r>
          </w:p>
        </w:tc>
        <w:tc>
          <w:tcPr>
            <w:tcW w:w="8562" w:type="dxa"/>
          </w:tcPr>
          <w:p w14:paraId="3255AEFF" w14:textId="6A2707BA" w:rsidR="005376A9" w:rsidRPr="001455DC" w:rsidRDefault="005376A9" w:rsidP="00EC5547">
            <w:pPr>
              <w:pStyle w:val="Tablebody"/>
            </w:pPr>
            <w:r w:rsidRPr="001455DC">
              <w:t xml:space="preserve">is a fictitious horizontal force, giving the same bending moments as the vertical load </w:t>
            </w:r>
            <w:r w:rsidRPr="001455DC">
              <w:rPr>
                <w:rStyle w:val="CCMCvariableitalic"/>
              </w:rPr>
              <w:t>F</w:t>
            </w:r>
            <w:r w:rsidRPr="001455DC">
              <w:rPr>
                <w:rStyle w:val="CCMCvariablesubscript"/>
              </w:rPr>
              <w:t>V,Ed</w:t>
            </w:r>
            <w:r w:rsidRPr="001455DC">
              <w:t xml:space="preserve"> acting on the deformed structure, with deformation caused by </w:t>
            </w:r>
            <w:r w:rsidRPr="001455DC">
              <w:rPr>
                <w:rStyle w:val="CCMCvariableitalic"/>
              </w:rPr>
              <w:t>F</w:t>
            </w:r>
            <w:r w:rsidRPr="001455DC">
              <w:rPr>
                <w:rStyle w:val="CCMCvariablesubscript"/>
              </w:rPr>
              <w:t>H,0Ed</w:t>
            </w:r>
            <w:r w:rsidRPr="001455DC">
              <w:t xml:space="preserve"> and calculated with an effective stiffness according to 7.4.3.2(1);</w:t>
            </w:r>
          </w:p>
        </w:tc>
      </w:tr>
      <w:tr w:rsidR="005376A9" w:rsidRPr="001455DC" w14:paraId="1B779064" w14:textId="77777777" w:rsidTr="005376A9">
        <w:trPr>
          <w:cantSplit/>
        </w:trPr>
        <w:tc>
          <w:tcPr>
            <w:tcW w:w="851" w:type="dxa"/>
          </w:tcPr>
          <w:p w14:paraId="275D83CD" w14:textId="3D901EBE" w:rsidR="005376A9" w:rsidRPr="001455DC" w:rsidRDefault="005376A9" w:rsidP="00EC5547">
            <w:pPr>
              <w:pStyle w:val="Tablebody"/>
            </w:pPr>
            <w:r w:rsidRPr="001455DC">
              <w:rPr>
                <w:rStyle w:val="CCMCvariableitalic"/>
              </w:rPr>
              <w:t>F</w:t>
            </w:r>
            <w:r w:rsidRPr="001455DC">
              <w:rPr>
                <w:rStyle w:val="CCMCvariablesubscript"/>
              </w:rPr>
              <w:t>H,0Ed</w:t>
            </w:r>
          </w:p>
        </w:tc>
        <w:tc>
          <w:tcPr>
            <w:tcW w:w="8562" w:type="dxa"/>
          </w:tcPr>
          <w:p w14:paraId="4996062C" w14:textId="38C34CA7" w:rsidR="005376A9" w:rsidRPr="001455DC" w:rsidRDefault="005376A9" w:rsidP="00EC5547">
            <w:pPr>
              <w:pStyle w:val="Tablebody"/>
            </w:pPr>
            <w:r w:rsidRPr="001455DC">
              <w:t>is the first order horizontal force due to wind, imperfections, etc.</w:t>
            </w:r>
          </w:p>
        </w:tc>
      </w:tr>
    </w:tbl>
    <w:p w14:paraId="211E623F" w14:textId="3A999DA9" w:rsidR="004E22C1" w:rsidRPr="001455DC" w:rsidRDefault="004E22C1" w:rsidP="00082680">
      <w:pPr>
        <w:pStyle w:val="a2"/>
      </w:pPr>
      <w:bookmarkStart w:id="2461" w:name="_Toc52820448"/>
      <w:bookmarkStart w:id="2462" w:name="_Ref514860858"/>
      <w:bookmarkStart w:id="2463" w:name="_Toc54337243"/>
      <w:bookmarkStart w:id="2464" w:name="_Toc54337886"/>
      <w:bookmarkStart w:id="2465" w:name="_Toc54338493"/>
      <w:bookmarkStart w:id="2466" w:name="_Toc67565654"/>
      <w:r w:rsidRPr="001455DC">
        <w:t>Critical load of isolated members</w:t>
      </w:r>
      <w:bookmarkEnd w:id="2461"/>
      <w:bookmarkEnd w:id="2462"/>
      <w:bookmarkEnd w:id="2463"/>
      <w:bookmarkEnd w:id="2464"/>
      <w:bookmarkEnd w:id="2465"/>
      <w:bookmarkEnd w:id="2466"/>
    </w:p>
    <w:p w14:paraId="6E4601E0" w14:textId="77777777" w:rsidR="005376A9" w:rsidRPr="001455DC" w:rsidRDefault="004E22C1" w:rsidP="00DE6BBC">
      <w:pPr>
        <w:pStyle w:val="a7"/>
        <w:keepNext/>
      </w:pPr>
      <w:r w:rsidRPr="001455DC">
        <w:t>(1)</w:t>
      </w:r>
      <w:r w:rsidRPr="001455DC">
        <w:tab/>
        <w:t>For use in simplified second order analyses, the elastic buckling load (</w:t>
      </w:r>
      <w:r w:rsidRPr="001455DC">
        <w:rPr>
          <w:rStyle w:val="CCMCvariableitalic"/>
        </w:rPr>
        <w:t>N</w:t>
      </w:r>
      <w:r w:rsidRPr="001455DC">
        <w:rPr>
          <w:rStyle w:val="CCMCvariablesubscript"/>
        </w:rPr>
        <w:t>B</w:t>
      </w:r>
      <w:r w:rsidRPr="001455DC">
        <w:t xml:space="preserve">) and effective length </w:t>
      </w:r>
      <w:r w:rsidRPr="001455DC">
        <w:rPr>
          <w:rStyle w:val="CCMCvariableitalic"/>
        </w:rPr>
        <w:t>l</w:t>
      </w:r>
      <w:r w:rsidRPr="001455DC">
        <w:rPr>
          <w:rStyle w:val="CCMCvariablesubscript"/>
        </w:rPr>
        <w:t>0</w:t>
      </w:r>
      <w:r w:rsidRPr="001455DC">
        <w:t xml:space="preserve"> of a compression member are defined by:</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5376A9" w:rsidRPr="001455DC" w14:paraId="37E47509" w14:textId="77777777" w:rsidTr="00EC5547">
        <w:trPr>
          <w:cantSplit/>
        </w:trPr>
        <w:tc>
          <w:tcPr>
            <w:tcW w:w="8505" w:type="dxa"/>
            <w:vAlign w:val="center"/>
          </w:tcPr>
          <w:p w14:paraId="0EC2DF72" w14:textId="4E8A5B72" w:rsidR="005376A9" w:rsidRPr="001455DC" w:rsidRDefault="00231E33" w:rsidP="00EC5547">
            <w:pPr>
              <w:pStyle w:val="Formula"/>
              <w:jc w:val="left"/>
            </w:pPr>
            <m:oMathPara>
              <m:oMathParaPr>
                <m:jc m:val="left"/>
              </m:oMathParaPr>
              <m:oMath>
                <m:sSub>
                  <m:sSubPr>
                    <m:ctrlPr>
                      <w:rPr>
                        <w:rFonts w:ascii="Cambria Math" w:hAnsi="Cambria Math"/>
                      </w:rPr>
                    </m:ctrlPr>
                  </m:sSubPr>
                  <m:e>
                    <m:r>
                      <w:rPr>
                        <w:rFonts w:ascii="Cambria Math" w:hAnsi="Cambria Math"/>
                      </w:rPr>
                      <m:t>N</m:t>
                    </m:r>
                  </m:e>
                  <m:sub>
                    <m:r>
                      <m:rPr>
                        <m:sty m:val="p"/>
                      </m:rPr>
                      <w:rPr>
                        <w:rFonts w:ascii="Cambria Math" w:hAnsi="Cambria Math"/>
                      </w:rPr>
                      <m:t>B</m:t>
                    </m:r>
                  </m:sub>
                </m:sSub>
                <m: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π</m:t>
                        </m:r>
                      </m:e>
                      <m:sup>
                        <m:r>
                          <w:rPr>
                            <w:rFonts w:ascii="Cambria Math" w:hAnsi="Cambria Math"/>
                          </w:rPr>
                          <m:t>2</m:t>
                        </m:r>
                      </m:sup>
                    </m:sSup>
                    <m:r>
                      <w:rPr>
                        <w:rFonts w:ascii="Cambria Math" w:hAnsi="Cambria Math"/>
                      </w:rPr>
                      <m:t>EI</m:t>
                    </m:r>
                  </m:num>
                  <m:den>
                    <m:sSubSup>
                      <m:sSubSupPr>
                        <m:ctrlPr>
                          <w:rPr>
                            <w:rFonts w:ascii="Cambria Math" w:hAnsi="Cambria Math"/>
                          </w:rPr>
                        </m:ctrlPr>
                      </m:sSubSupPr>
                      <m:e>
                        <m:r>
                          <w:rPr>
                            <w:rFonts w:ascii="Cambria Math" w:hAnsi="Cambria Math"/>
                          </w:rPr>
                          <m:t>l</m:t>
                        </m:r>
                      </m:e>
                      <m:sub>
                        <m:r>
                          <w:rPr>
                            <w:rFonts w:ascii="Cambria Math" w:hAnsi="Cambria Math"/>
                          </w:rPr>
                          <m:t>0</m:t>
                        </m:r>
                      </m:sub>
                      <m:sup>
                        <m:r>
                          <w:rPr>
                            <w:rFonts w:ascii="Cambria Math" w:hAnsi="Cambria Math"/>
                          </w:rPr>
                          <m:t>2</m:t>
                        </m:r>
                      </m:sup>
                    </m:sSubSup>
                  </m:den>
                </m:f>
                <m:r>
                  <w:rPr>
                    <w:rFonts w:ascii="Cambria Math" w:hAnsi="Cambria Math"/>
                  </w:rPr>
                  <m:t xml:space="preserve"> </m:t>
                </m:r>
              </m:oMath>
            </m:oMathPara>
          </w:p>
        </w:tc>
        <w:tc>
          <w:tcPr>
            <w:tcW w:w="1247" w:type="dxa"/>
            <w:vAlign w:val="center"/>
          </w:tcPr>
          <w:p w14:paraId="6502CFA2" w14:textId="193504C0" w:rsidR="005376A9" w:rsidRPr="001455DC" w:rsidRDefault="00EC5547" w:rsidP="00EC5547">
            <w:pPr>
              <w:pStyle w:val="a7"/>
              <w:jc w:val="right"/>
            </w:pPr>
            <w:bookmarkStart w:id="2467" w:name="_Ref480805590"/>
            <w:r w:rsidRPr="001455DC">
              <w:t>(O.7)</w:t>
            </w:r>
            <w:bookmarkEnd w:id="2467"/>
          </w:p>
        </w:tc>
      </w:tr>
    </w:tbl>
    <w:p w14:paraId="43D3121F" w14:textId="462A46A6" w:rsidR="005376A9" w:rsidRPr="001455DC" w:rsidRDefault="005376A9"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5376A9" w:rsidRPr="001455DC" w14:paraId="58D2DC17" w14:textId="77777777" w:rsidTr="00EC5547">
        <w:trPr>
          <w:cantSplit/>
        </w:trPr>
        <w:tc>
          <w:tcPr>
            <w:tcW w:w="567" w:type="dxa"/>
          </w:tcPr>
          <w:p w14:paraId="136B1850" w14:textId="6BC6309B" w:rsidR="005376A9" w:rsidRPr="001455DC" w:rsidRDefault="00EC5547" w:rsidP="00DE6BBC">
            <w:pPr>
              <w:pStyle w:val="Tablebody"/>
              <w:keepNext/>
            </w:pPr>
            <w:r w:rsidRPr="001455DC">
              <w:rPr>
                <w:rStyle w:val="CCMCvariableitalic"/>
              </w:rPr>
              <w:t>EI</w:t>
            </w:r>
          </w:p>
        </w:tc>
        <w:tc>
          <w:tcPr>
            <w:tcW w:w="8845" w:type="dxa"/>
          </w:tcPr>
          <w:p w14:paraId="0E9081DE" w14:textId="09408144" w:rsidR="005376A9" w:rsidRPr="001455DC" w:rsidRDefault="00EC5547" w:rsidP="00EC5547">
            <w:pPr>
              <w:pStyle w:val="Tablebody"/>
            </w:pPr>
            <w:r w:rsidRPr="001455DC">
              <w:t>is a representative effective stiffness, in the considered plane of bending;</w:t>
            </w:r>
          </w:p>
        </w:tc>
      </w:tr>
      <w:tr w:rsidR="005376A9" w:rsidRPr="001455DC" w14:paraId="24E58816" w14:textId="77777777" w:rsidTr="00EC5547">
        <w:trPr>
          <w:cantSplit/>
        </w:trPr>
        <w:tc>
          <w:tcPr>
            <w:tcW w:w="567" w:type="dxa"/>
          </w:tcPr>
          <w:p w14:paraId="2C525245" w14:textId="7671A9B5" w:rsidR="005376A9" w:rsidRPr="001455DC" w:rsidRDefault="00EC5547" w:rsidP="00EC5547">
            <w:pPr>
              <w:pStyle w:val="Tablebody"/>
            </w:pPr>
            <w:r w:rsidRPr="001455DC">
              <w:rPr>
                <w:rStyle w:val="CCMCvariableitalic"/>
              </w:rPr>
              <w:t>l</w:t>
            </w:r>
            <w:r w:rsidRPr="001455DC">
              <w:rPr>
                <w:rStyle w:val="CCMCvariablesubscript"/>
              </w:rPr>
              <w:t>0</w:t>
            </w:r>
          </w:p>
        </w:tc>
        <w:tc>
          <w:tcPr>
            <w:tcW w:w="8845" w:type="dxa"/>
          </w:tcPr>
          <w:p w14:paraId="6D2AFAD4" w14:textId="73FC1915" w:rsidR="005376A9" w:rsidRPr="001455DC" w:rsidRDefault="00EC5547" w:rsidP="00EC5547">
            <w:pPr>
              <w:pStyle w:val="Tablebody"/>
            </w:pPr>
            <w:r w:rsidRPr="001455DC">
              <w:t>is the effective length that may be determined using Formulae (O.9) or (O.10).</w:t>
            </w:r>
          </w:p>
        </w:tc>
      </w:tr>
    </w:tbl>
    <w:p w14:paraId="2DF2B60C" w14:textId="32422899" w:rsidR="004E22C1" w:rsidRPr="001455DC" w:rsidRDefault="004E22C1" w:rsidP="00082680">
      <w:pPr>
        <w:pStyle w:val="a2"/>
      </w:pPr>
      <w:bookmarkStart w:id="2468" w:name="_Toc52820449"/>
      <w:bookmarkStart w:id="2469" w:name="_Ref480887083"/>
      <w:bookmarkStart w:id="2470" w:name="_Toc54337244"/>
      <w:bookmarkStart w:id="2471" w:name="_Toc54337887"/>
      <w:bookmarkStart w:id="2472" w:name="_Toc54338494"/>
      <w:bookmarkStart w:id="2473" w:name="_Toc67565655"/>
      <w:r w:rsidRPr="001455DC">
        <w:t>Slenderness ratio and effective length of isolated members</w:t>
      </w:r>
      <w:bookmarkEnd w:id="2468"/>
      <w:bookmarkEnd w:id="2469"/>
      <w:bookmarkEnd w:id="2470"/>
      <w:bookmarkEnd w:id="2471"/>
      <w:bookmarkEnd w:id="2472"/>
      <w:bookmarkEnd w:id="2473"/>
    </w:p>
    <w:p w14:paraId="31B66395" w14:textId="77777777" w:rsidR="005376A9" w:rsidRPr="001455DC" w:rsidRDefault="004E22C1" w:rsidP="00DE6BBC">
      <w:pPr>
        <w:pStyle w:val="a7"/>
        <w:keepNext/>
      </w:pPr>
      <w:r w:rsidRPr="001455DC">
        <w:t>(1)</w:t>
      </w:r>
      <w:r w:rsidRPr="001455DC">
        <w:tab/>
        <w:t>The slenderness ratio is defined as follows: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5376A9" w:rsidRPr="001455DC" w14:paraId="035D5723" w14:textId="77777777" w:rsidTr="00EC5547">
        <w:trPr>
          <w:cantSplit/>
        </w:trPr>
        <w:tc>
          <w:tcPr>
            <w:tcW w:w="8505" w:type="dxa"/>
            <w:vAlign w:val="center"/>
          </w:tcPr>
          <w:p w14:paraId="3D1717C9" w14:textId="22EAB903" w:rsidR="005376A9" w:rsidRPr="001455DC" w:rsidRDefault="00EC5547" w:rsidP="00EC5547">
            <w:pPr>
              <w:pStyle w:val="Formula"/>
              <w:jc w:val="left"/>
            </w:pPr>
            <w:r w:rsidRPr="001455DC">
              <w:rPr>
                <w:rStyle w:val="CCMCvariableitalic"/>
              </w:rPr>
              <w:t>λ</w:t>
            </w:r>
            <w:r w:rsidRPr="001455DC">
              <w:t> </w:t>
            </w:r>
            <w:r w:rsidR="00EC27D2" w:rsidRPr="001455DC">
              <w:rPr>
                <w:rFonts w:ascii="Cambria Math" w:hAnsi="Cambria Math"/>
              </w:rPr>
              <w:t>=</w:t>
            </w:r>
            <w:r w:rsidRPr="001455DC">
              <w:t> </w:t>
            </w:r>
            <w:r w:rsidRPr="001455DC">
              <w:rPr>
                <w:rStyle w:val="CCMCvariableitalic"/>
              </w:rPr>
              <w:t>l</w:t>
            </w:r>
            <w:r w:rsidRPr="001455DC">
              <w:rPr>
                <w:rStyle w:val="CCMCvariablesubscript"/>
              </w:rPr>
              <w:t>0</w:t>
            </w:r>
            <w:r w:rsidRPr="001455DC">
              <w:t>/</w:t>
            </w:r>
            <w:r w:rsidRPr="001455DC">
              <w:rPr>
                <w:rStyle w:val="CCMCvariableitalic"/>
              </w:rPr>
              <w:t>i</w:t>
            </w:r>
          </w:p>
        </w:tc>
        <w:tc>
          <w:tcPr>
            <w:tcW w:w="1247" w:type="dxa"/>
            <w:vAlign w:val="center"/>
          </w:tcPr>
          <w:p w14:paraId="39F83D88" w14:textId="21A62317" w:rsidR="005376A9" w:rsidRPr="001455DC" w:rsidRDefault="00EC5547" w:rsidP="00EC5547">
            <w:pPr>
              <w:pStyle w:val="a7"/>
              <w:jc w:val="right"/>
            </w:pPr>
            <w:bookmarkStart w:id="2474" w:name="_Ref480805566"/>
            <w:r w:rsidRPr="001455DC">
              <w:t>(O.8)</w:t>
            </w:r>
            <w:bookmarkEnd w:id="2474"/>
          </w:p>
        </w:tc>
      </w:tr>
    </w:tbl>
    <w:p w14:paraId="3F4AE226" w14:textId="7FA7941C" w:rsidR="005376A9" w:rsidRPr="001455DC" w:rsidRDefault="004E22C1"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1134"/>
        <w:gridCol w:w="8278"/>
      </w:tblGrid>
      <w:tr w:rsidR="005376A9" w:rsidRPr="001455DC" w14:paraId="08F41E6B" w14:textId="77777777" w:rsidTr="00EC5547">
        <w:trPr>
          <w:cantSplit/>
        </w:trPr>
        <w:tc>
          <w:tcPr>
            <w:tcW w:w="1134" w:type="dxa"/>
          </w:tcPr>
          <w:p w14:paraId="36D2B35B" w14:textId="02C42011" w:rsidR="005376A9" w:rsidRPr="001455DC" w:rsidRDefault="00EC5547" w:rsidP="00EC5547">
            <w:pPr>
              <w:pStyle w:val="Tablebody"/>
            </w:pPr>
            <m:oMathPara>
              <m:oMathParaPr>
                <m:jc m:val="left"/>
              </m:oMathParaPr>
              <m:oMath>
                <m:r>
                  <w:rPr>
                    <w:rFonts w:ascii="Cambria Math" w:hAnsi="Cambria Math"/>
                  </w:rPr>
                  <m:t>i=</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rPr>
                              <m:t>I</m:t>
                            </m:r>
                          </m:e>
                          <m:sub>
                            <m:r>
                              <m:rPr>
                                <m:sty m:val="p"/>
                              </m:rPr>
                              <w:rPr>
                                <w:rFonts w:ascii="Cambria Math" w:hAnsi="Cambria Math"/>
                              </w:rPr>
                              <m:t>c</m:t>
                            </m:r>
                          </m:sub>
                        </m:sSub>
                      </m:num>
                      <m:den>
                        <m:sSub>
                          <m:sSubPr>
                            <m:ctrlPr>
                              <w:rPr>
                                <w:rFonts w:ascii="Cambria Math" w:hAnsi="Cambria Math"/>
                              </w:rPr>
                            </m:ctrlPr>
                          </m:sSubPr>
                          <m:e>
                            <m:r>
                              <w:rPr>
                                <w:rFonts w:ascii="Cambria Math" w:hAnsi="Cambria Math"/>
                              </w:rPr>
                              <m:t>A</m:t>
                            </m:r>
                          </m:e>
                          <m:sub>
                            <m:r>
                              <m:rPr>
                                <m:sty m:val="p"/>
                              </m:rPr>
                              <w:rPr>
                                <w:rFonts w:ascii="Cambria Math" w:hAnsi="Cambria Math"/>
                              </w:rPr>
                              <m:t>c</m:t>
                            </m:r>
                          </m:sub>
                        </m:sSub>
                      </m:den>
                    </m:f>
                  </m:e>
                </m:rad>
              </m:oMath>
            </m:oMathPara>
          </w:p>
        </w:tc>
        <w:tc>
          <w:tcPr>
            <w:tcW w:w="8278" w:type="dxa"/>
            <w:vAlign w:val="center"/>
          </w:tcPr>
          <w:p w14:paraId="4C3784F2" w14:textId="11C92672" w:rsidR="005376A9" w:rsidRPr="001455DC" w:rsidRDefault="00EC5547" w:rsidP="00EC5547">
            <w:pPr>
              <w:pStyle w:val="Tablebody"/>
              <w:jc w:val="left"/>
            </w:pPr>
            <w:r w:rsidRPr="001455DC">
              <w:t>is the radius of gyration of the uncracked concrete section.</w:t>
            </w:r>
          </w:p>
        </w:tc>
      </w:tr>
    </w:tbl>
    <w:p w14:paraId="27E4C2CD" w14:textId="77777777" w:rsidR="004E22C1" w:rsidRPr="001455DC" w:rsidRDefault="004E22C1" w:rsidP="004C68F7">
      <w:pPr>
        <w:pStyle w:val="a7"/>
      </w:pPr>
      <w:r w:rsidRPr="001455DC">
        <w:t>(2)</w:t>
      </w:r>
      <w:r w:rsidRPr="001455DC">
        <w:tab/>
        <w:t xml:space="preserve">In the definition of effective length </w:t>
      </w:r>
      <w:r w:rsidRPr="001455DC">
        <w:rPr>
          <w:rStyle w:val="CCMCvariableitalic"/>
        </w:rPr>
        <w:t>l</w:t>
      </w:r>
      <w:r w:rsidRPr="001455DC">
        <w:rPr>
          <w:rStyle w:val="CCMCvariablesubscript"/>
        </w:rPr>
        <w:t>0</w:t>
      </w:r>
      <w:r w:rsidRPr="001455DC">
        <w:t>, the stiffness of restraining members should include the effect of cracking, unless they can be shown to be uncracked in ULS.</w:t>
      </w:r>
    </w:p>
    <w:p w14:paraId="0E11F0BE" w14:textId="77777777" w:rsidR="004E22C1" w:rsidRPr="001455DC" w:rsidRDefault="004E22C1" w:rsidP="004C68F7">
      <w:pPr>
        <w:pStyle w:val="a7"/>
      </w:pPr>
      <w:r w:rsidRPr="001455DC">
        <w:t>(3)</w:t>
      </w:r>
      <w:r w:rsidRPr="001455DC">
        <w:tab/>
        <w:t xml:space="preserve">For compression members in regular frames the effective length </w:t>
      </w:r>
      <w:r w:rsidRPr="001455DC">
        <w:rPr>
          <w:rStyle w:val="CCMCvariableitalic"/>
        </w:rPr>
        <w:t>l</w:t>
      </w:r>
      <w:r w:rsidRPr="001455DC">
        <w:rPr>
          <w:rStyle w:val="CCMCvariablesubscript"/>
        </w:rPr>
        <w:t>0</w:t>
      </w:r>
      <w:r w:rsidRPr="001455DC">
        <w:t xml:space="preserve"> may be determined in the following way:</w:t>
      </w:r>
    </w:p>
    <w:p w14:paraId="286C65A2" w14:textId="77777777" w:rsidR="005376A9" w:rsidRPr="001455DC" w:rsidRDefault="004E22C1" w:rsidP="00DE6BBC">
      <w:pPr>
        <w:pStyle w:val="a7"/>
        <w:keepNext/>
      </w:pPr>
      <w:r w:rsidRPr="001455DC">
        <w:t>For braced members: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5376A9" w:rsidRPr="001455DC" w14:paraId="08866156" w14:textId="77777777" w:rsidTr="00EC5547">
        <w:trPr>
          <w:cantSplit/>
        </w:trPr>
        <w:tc>
          <w:tcPr>
            <w:tcW w:w="8505" w:type="dxa"/>
            <w:vAlign w:val="center"/>
          </w:tcPr>
          <w:p w14:paraId="6183D36A" w14:textId="18F57CA6" w:rsidR="005376A9" w:rsidRPr="001455DC" w:rsidRDefault="00231E33" w:rsidP="00EC5547">
            <w:pPr>
              <w:pStyle w:val="Formula"/>
              <w:jc w:val="left"/>
            </w:pPr>
            <m:oMathPara>
              <m:oMathParaPr>
                <m:jc m:val="left"/>
              </m:oMathParaPr>
              <m:oMath>
                <m:sSub>
                  <m:sSubPr>
                    <m:ctrlPr>
                      <w:rPr>
                        <w:rFonts w:ascii="Cambria Math" w:hAnsi="Cambria Math"/>
                      </w:rPr>
                    </m:ctrlPr>
                  </m:sSubPr>
                  <m:e>
                    <m:r>
                      <w:rPr>
                        <w:rFonts w:ascii="Cambria Math" w:hAnsi="Cambria Math"/>
                      </w:rPr>
                      <m:t>l</m:t>
                    </m:r>
                  </m:e>
                  <m:sub>
                    <m:r>
                      <w:rPr>
                        <w:rFonts w:ascii="Cambria Math" w:hAnsi="Cambria Math"/>
                      </w:rPr>
                      <m:t>0</m:t>
                    </m:r>
                  </m:sub>
                </m:sSub>
                <m:r>
                  <w:rPr>
                    <w:rFonts w:ascii="Cambria Math" w:hAnsi="Cambria Math"/>
                  </w:rPr>
                  <m:t>=0,5l</m:t>
                </m:r>
                <m:rad>
                  <m:radPr>
                    <m:degHide m:val="1"/>
                    <m:ctrlPr>
                      <w:rPr>
                        <w:rFonts w:ascii="Cambria Math" w:hAnsi="Cambria Math"/>
                      </w:rPr>
                    </m:ctrlPr>
                  </m:radPr>
                  <m:deg/>
                  <m:e>
                    <m:d>
                      <m:dPr>
                        <m:sepChr m:val=""/>
                        <m:ctrlPr>
                          <w:rPr>
                            <w:rFonts w:ascii="Cambria Math" w:hAnsi="Cambria Math"/>
                          </w:rPr>
                        </m:ctrlPr>
                      </m:dPr>
                      <m:e>
                        <m:r>
                          <w:rPr>
                            <w:rFonts w:ascii="Cambria Math" w:hAnsi="Cambria Math"/>
                          </w:rPr>
                          <m:t>1</m:t>
                        </m:r>
                      </m:e>
                      <m:e>
                        <m:r>
                          <w:rPr>
                            <w:rFonts w:ascii="Cambria Math" w:hAnsi="Cambria Math"/>
                          </w:rPr>
                          <m:t>+</m:t>
                        </m:r>
                      </m:e>
                      <m:e>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r1</m:t>
                                </m:r>
                              </m:sub>
                            </m:sSub>
                          </m:num>
                          <m:den>
                            <m:r>
                              <w:rPr>
                                <w:rFonts w:ascii="Cambria Math" w:hAnsi="Cambria Math"/>
                              </w:rPr>
                              <m:t>0,45+</m:t>
                            </m:r>
                            <m:sSub>
                              <m:sSubPr>
                                <m:ctrlPr>
                                  <w:rPr>
                                    <w:rFonts w:ascii="Cambria Math" w:hAnsi="Cambria Math"/>
                                  </w:rPr>
                                </m:ctrlPr>
                              </m:sSubPr>
                              <m:e>
                                <m:r>
                                  <w:rPr>
                                    <w:rFonts w:ascii="Cambria Math" w:hAnsi="Cambria Math"/>
                                  </w:rPr>
                                  <m:t>f</m:t>
                                </m:r>
                              </m:e>
                              <m:sub>
                                <m:r>
                                  <m:rPr>
                                    <m:sty m:val="p"/>
                                  </m:rPr>
                                  <w:rPr>
                                    <w:rFonts w:ascii="Cambria Math" w:hAnsi="Cambria Math"/>
                                  </w:rPr>
                                  <m:t>r1</m:t>
                                </m:r>
                              </m:sub>
                            </m:sSub>
                          </m:den>
                        </m:f>
                      </m:e>
                    </m:d>
                    <m:r>
                      <w:rPr>
                        <w:rFonts w:ascii="Cambria Math" w:hAnsi="Cambria Math"/>
                      </w:rPr>
                      <m:t>⋅</m:t>
                    </m:r>
                    <m:d>
                      <m:dPr>
                        <m:sepChr m:val=""/>
                        <m:ctrlPr>
                          <w:rPr>
                            <w:rFonts w:ascii="Cambria Math" w:hAnsi="Cambria Math"/>
                          </w:rPr>
                        </m:ctrlPr>
                      </m:dPr>
                      <m:e>
                        <m:r>
                          <w:rPr>
                            <w:rFonts w:ascii="Cambria Math" w:hAnsi="Cambria Math"/>
                          </w:rPr>
                          <m:t>1</m:t>
                        </m:r>
                      </m:e>
                      <m:e>
                        <m:r>
                          <w:rPr>
                            <w:rFonts w:ascii="Cambria Math" w:hAnsi="Cambria Math"/>
                          </w:rPr>
                          <m:t>+</m:t>
                        </m:r>
                      </m:e>
                      <m:e>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r2</m:t>
                                </m:r>
                              </m:sub>
                            </m:sSub>
                          </m:num>
                          <m:den>
                            <m:r>
                              <w:rPr>
                                <w:rFonts w:ascii="Cambria Math" w:hAnsi="Cambria Math"/>
                              </w:rPr>
                              <m:t>0,45+</m:t>
                            </m:r>
                            <m:sSub>
                              <m:sSubPr>
                                <m:ctrlPr>
                                  <w:rPr>
                                    <w:rFonts w:ascii="Cambria Math" w:hAnsi="Cambria Math"/>
                                  </w:rPr>
                                </m:ctrlPr>
                              </m:sSubPr>
                              <m:e>
                                <m:r>
                                  <w:rPr>
                                    <w:rFonts w:ascii="Cambria Math" w:hAnsi="Cambria Math"/>
                                  </w:rPr>
                                  <m:t>f</m:t>
                                </m:r>
                              </m:e>
                              <m:sub>
                                <m:r>
                                  <m:rPr>
                                    <m:sty m:val="p"/>
                                  </m:rPr>
                                  <w:rPr>
                                    <w:rFonts w:ascii="Cambria Math" w:hAnsi="Cambria Math"/>
                                  </w:rPr>
                                  <m:t>r2</m:t>
                                </m:r>
                              </m:sub>
                            </m:sSub>
                          </m:den>
                        </m:f>
                      </m:e>
                    </m:d>
                  </m:e>
                </m:rad>
              </m:oMath>
            </m:oMathPara>
          </w:p>
        </w:tc>
        <w:tc>
          <w:tcPr>
            <w:tcW w:w="1247" w:type="dxa"/>
            <w:vAlign w:val="center"/>
          </w:tcPr>
          <w:p w14:paraId="19526200" w14:textId="2CF0380D" w:rsidR="005376A9" w:rsidRPr="001455DC" w:rsidRDefault="00EC5547" w:rsidP="00EC5547">
            <w:pPr>
              <w:pStyle w:val="a7"/>
              <w:jc w:val="right"/>
            </w:pPr>
            <w:bookmarkStart w:id="2475" w:name="_Ref494268765"/>
            <w:r w:rsidRPr="001455DC">
              <w:t>(O.9)</w:t>
            </w:r>
            <w:bookmarkEnd w:id="2475"/>
          </w:p>
        </w:tc>
      </w:tr>
    </w:tbl>
    <w:p w14:paraId="5A1F0DF0" w14:textId="77777777" w:rsidR="005376A9" w:rsidRPr="001455DC" w:rsidRDefault="004E22C1" w:rsidP="00DE6BBC">
      <w:pPr>
        <w:pStyle w:val="a7"/>
        <w:keepNext/>
      </w:pPr>
      <w:r w:rsidRPr="001455DC">
        <w:t>For unbraced members: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5376A9" w:rsidRPr="001455DC" w14:paraId="37C40E35" w14:textId="77777777" w:rsidTr="00EC5547">
        <w:trPr>
          <w:cantSplit/>
        </w:trPr>
        <w:tc>
          <w:tcPr>
            <w:tcW w:w="8505" w:type="dxa"/>
            <w:vAlign w:val="center"/>
          </w:tcPr>
          <w:p w14:paraId="74668AEC" w14:textId="119B3AFF" w:rsidR="005376A9" w:rsidRPr="001455DC" w:rsidRDefault="00231E33" w:rsidP="00EC5547">
            <w:pPr>
              <w:pStyle w:val="Formula"/>
              <w:jc w:val="left"/>
            </w:pPr>
            <m:oMathPara>
              <m:oMathParaPr>
                <m:jc m:val="left"/>
              </m:oMathParaPr>
              <m:oMath>
                <m:sSub>
                  <m:sSubPr>
                    <m:ctrlPr>
                      <w:rPr>
                        <w:rFonts w:ascii="Cambria Math" w:hAnsi="Cambria Math"/>
                      </w:rPr>
                    </m:ctrlPr>
                  </m:sSubPr>
                  <m:e>
                    <m:r>
                      <w:rPr>
                        <w:rFonts w:ascii="Cambria Math" w:hAnsi="Cambria Math"/>
                      </w:rPr>
                      <m:t>l</m:t>
                    </m:r>
                  </m:e>
                  <m:sub>
                    <m:r>
                      <w:rPr>
                        <w:rFonts w:ascii="Cambria Math" w:hAnsi="Cambria Math"/>
                      </w:rPr>
                      <m:t>0</m:t>
                    </m:r>
                  </m:sub>
                </m:sSub>
                <m:r>
                  <w:rPr>
                    <w:rFonts w:ascii="Cambria Math" w:hAnsi="Cambria Math"/>
                  </w:rPr>
                  <m:t>=l</m:t>
                </m:r>
                <m:f>
                  <m:fPr>
                    <m:ctrlPr>
                      <w:rPr>
                        <w:rFonts w:ascii="Cambria Math" w:hAnsi="Cambria Math"/>
                      </w:rPr>
                    </m:ctrlPr>
                  </m:fPr>
                  <m:num>
                    <m:rad>
                      <m:radPr>
                        <m:degHide m:val="1"/>
                        <m:ctrlPr>
                          <w:rPr>
                            <w:rFonts w:ascii="Cambria Math" w:hAnsi="Cambria Math"/>
                          </w:rPr>
                        </m:ctrlPr>
                      </m:radPr>
                      <m:deg/>
                      <m:e>
                        <m:d>
                          <m:dPr>
                            <m:ctrlPr>
                              <w:rPr>
                                <w:rFonts w:ascii="Cambria Math" w:hAnsi="Cambria Math"/>
                              </w:rPr>
                            </m:ctrlPr>
                          </m:dPr>
                          <m:e>
                            <m:r>
                              <w:rPr>
                                <w:rFonts w:ascii="Cambria Math" w:hAnsi="Cambria Math"/>
                              </w:rPr>
                              <m:t>1+2,4</m:t>
                            </m:r>
                            <m:sSub>
                              <m:sSubPr>
                                <m:ctrlPr>
                                  <w:rPr>
                                    <w:rFonts w:ascii="Cambria Math" w:hAnsi="Cambria Math"/>
                                  </w:rPr>
                                </m:ctrlPr>
                              </m:sSubPr>
                              <m:e>
                                <m:r>
                                  <w:rPr>
                                    <w:rFonts w:ascii="Cambria Math" w:hAnsi="Cambria Math"/>
                                  </w:rPr>
                                  <m:t>f</m:t>
                                </m:r>
                              </m:e>
                              <m:sub>
                                <m:r>
                                  <m:rPr>
                                    <m:sty m:val="p"/>
                                  </m:rPr>
                                  <w:rPr>
                                    <w:rFonts w:ascii="Cambria Math" w:hAnsi="Cambria Math"/>
                                  </w:rPr>
                                  <m:t>r1</m:t>
                                </m:r>
                              </m:sub>
                            </m:sSub>
                            <m:r>
                              <w:rPr>
                                <w:rFonts w:ascii="Cambria Math" w:hAnsi="Cambria Math"/>
                              </w:rPr>
                              <m:t>+2,4</m:t>
                            </m:r>
                            <m:sSub>
                              <m:sSubPr>
                                <m:ctrlPr>
                                  <w:rPr>
                                    <w:rFonts w:ascii="Cambria Math" w:hAnsi="Cambria Math"/>
                                  </w:rPr>
                                </m:ctrlPr>
                              </m:sSubPr>
                              <m:e>
                                <m:r>
                                  <w:rPr>
                                    <w:rFonts w:ascii="Cambria Math" w:hAnsi="Cambria Math"/>
                                  </w:rPr>
                                  <m:t>f</m:t>
                                </m:r>
                              </m:e>
                              <m:sub>
                                <m:r>
                                  <m:rPr>
                                    <m:sty m:val="p"/>
                                  </m:rPr>
                                  <w:rPr>
                                    <w:rFonts w:ascii="Cambria Math" w:hAnsi="Cambria Math"/>
                                  </w:rPr>
                                  <m:t>r2</m:t>
                                </m:r>
                              </m:sub>
                            </m:sSub>
                          </m:e>
                        </m:d>
                        <m:r>
                          <w:rPr>
                            <w:rFonts w:ascii="Cambria Math" w:hAnsi="Cambria Math"/>
                          </w:rPr>
                          <m:t>⋅</m:t>
                        </m:r>
                        <m:d>
                          <m:dPr>
                            <m:ctrlPr>
                              <w:rPr>
                                <w:rFonts w:ascii="Cambria Math" w:hAnsi="Cambria Math"/>
                              </w:rPr>
                            </m:ctrlPr>
                          </m:dPr>
                          <m:e>
                            <m:r>
                              <w:rPr>
                                <w:rFonts w:ascii="Cambria Math" w:hAnsi="Cambria Math"/>
                              </w:rPr>
                              <m:t>1+2,4</m:t>
                            </m:r>
                            <m:sSub>
                              <m:sSubPr>
                                <m:ctrlPr>
                                  <w:rPr>
                                    <w:rFonts w:ascii="Cambria Math" w:hAnsi="Cambria Math"/>
                                  </w:rPr>
                                </m:ctrlPr>
                              </m:sSubPr>
                              <m:e>
                                <m:r>
                                  <w:rPr>
                                    <w:rFonts w:ascii="Cambria Math" w:hAnsi="Cambria Math"/>
                                  </w:rPr>
                                  <m:t>f</m:t>
                                </m:r>
                              </m:e>
                              <m:sub>
                                <m:r>
                                  <m:rPr>
                                    <m:sty m:val="p"/>
                                  </m:rPr>
                                  <w:rPr>
                                    <w:rFonts w:ascii="Cambria Math" w:hAnsi="Cambria Math"/>
                                  </w:rPr>
                                  <m:t>r1</m:t>
                                </m:r>
                              </m:sub>
                            </m:sSub>
                          </m:e>
                        </m:d>
                        <m:r>
                          <w:rPr>
                            <w:rFonts w:ascii="Cambria Math" w:hAnsi="Cambria Math"/>
                          </w:rPr>
                          <m:t>⋅</m:t>
                        </m:r>
                        <m:d>
                          <m:dPr>
                            <m:ctrlPr>
                              <w:rPr>
                                <w:rFonts w:ascii="Cambria Math" w:hAnsi="Cambria Math"/>
                              </w:rPr>
                            </m:ctrlPr>
                          </m:dPr>
                          <m:e>
                            <m:r>
                              <w:rPr>
                                <w:rFonts w:ascii="Cambria Math" w:hAnsi="Cambria Math"/>
                              </w:rPr>
                              <m:t>1+2,4</m:t>
                            </m:r>
                            <m:sSub>
                              <m:sSubPr>
                                <m:ctrlPr>
                                  <w:rPr>
                                    <w:rFonts w:ascii="Cambria Math" w:hAnsi="Cambria Math"/>
                                  </w:rPr>
                                </m:ctrlPr>
                              </m:sSubPr>
                              <m:e>
                                <m:r>
                                  <w:rPr>
                                    <w:rFonts w:ascii="Cambria Math" w:hAnsi="Cambria Math"/>
                                  </w:rPr>
                                  <m:t>f</m:t>
                                </m:r>
                              </m:e>
                              <m:sub>
                                <m:r>
                                  <m:rPr>
                                    <m:sty m:val="p"/>
                                  </m:rPr>
                                  <w:rPr>
                                    <w:rFonts w:ascii="Cambria Math" w:hAnsi="Cambria Math"/>
                                  </w:rPr>
                                  <m:t>r2</m:t>
                                </m:r>
                              </m:sub>
                            </m:sSub>
                          </m:e>
                        </m:d>
                      </m:e>
                    </m:rad>
                  </m:num>
                  <m:den>
                    <m:r>
                      <w:rPr>
                        <w:rFonts w:ascii="Cambria Math" w:hAnsi="Cambria Math"/>
                      </w:rPr>
                      <m:t>1+1,2</m:t>
                    </m:r>
                    <m:sSub>
                      <m:sSubPr>
                        <m:ctrlPr>
                          <w:rPr>
                            <w:rFonts w:ascii="Cambria Math" w:hAnsi="Cambria Math"/>
                          </w:rPr>
                        </m:ctrlPr>
                      </m:sSubPr>
                      <m:e>
                        <m:r>
                          <w:rPr>
                            <w:rFonts w:ascii="Cambria Math" w:hAnsi="Cambria Math"/>
                          </w:rPr>
                          <m:t>f</m:t>
                        </m:r>
                      </m:e>
                      <m:sub>
                        <m:r>
                          <m:rPr>
                            <m:sty m:val="p"/>
                          </m:rPr>
                          <w:rPr>
                            <w:rFonts w:ascii="Cambria Math" w:hAnsi="Cambria Math"/>
                          </w:rPr>
                          <m:t>r1</m:t>
                        </m:r>
                      </m:sub>
                    </m:sSub>
                    <m:r>
                      <w:rPr>
                        <w:rFonts w:ascii="Cambria Math" w:hAnsi="Cambria Math"/>
                      </w:rPr>
                      <m:t>+1,2</m:t>
                    </m:r>
                    <m:sSub>
                      <m:sSubPr>
                        <m:ctrlPr>
                          <w:rPr>
                            <w:rFonts w:ascii="Cambria Math" w:hAnsi="Cambria Math"/>
                          </w:rPr>
                        </m:ctrlPr>
                      </m:sSubPr>
                      <m:e>
                        <m:r>
                          <w:rPr>
                            <w:rFonts w:ascii="Cambria Math" w:hAnsi="Cambria Math"/>
                          </w:rPr>
                          <m:t>f</m:t>
                        </m:r>
                      </m:e>
                      <m:sub>
                        <m:r>
                          <m:rPr>
                            <m:sty m:val="p"/>
                          </m:rPr>
                          <w:rPr>
                            <w:rFonts w:ascii="Cambria Math" w:hAnsi="Cambria Math"/>
                          </w:rPr>
                          <m:t>r2</m:t>
                        </m:r>
                      </m:sub>
                    </m:sSub>
                  </m:den>
                </m:f>
              </m:oMath>
            </m:oMathPara>
          </w:p>
        </w:tc>
        <w:tc>
          <w:tcPr>
            <w:tcW w:w="1247" w:type="dxa"/>
            <w:vAlign w:val="center"/>
          </w:tcPr>
          <w:p w14:paraId="1CEC7EAA" w14:textId="0EE07836" w:rsidR="005376A9" w:rsidRPr="001455DC" w:rsidRDefault="00EC5547" w:rsidP="00EC5547">
            <w:pPr>
              <w:pStyle w:val="a7"/>
              <w:jc w:val="right"/>
            </w:pPr>
            <w:bookmarkStart w:id="2476" w:name="_Ref494268768"/>
            <w:r w:rsidRPr="001455DC">
              <w:t>(O.10)</w:t>
            </w:r>
            <w:bookmarkEnd w:id="2476"/>
          </w:p>
        </w:tc>
      </w:tr>
    </w:tbl>
    <w:p w14:paraId="44654F61" w14:textId="02FB6B46" w:rsidR="00EC5547" w:rsidRPr="001455DC" w:rsidRDefault="00EC5547" w:rsidP="00A35599">
      <w:pPr>
        <w:pStyle w:val="a7"/>
        <w:keepNext/>
      </w:pPr>
      <w:r w:rsidRPr="001455DC">
        <w:t>where</w:t>
      </w:r>
    </w:p>
    <w:tbl>
      <w:tblPr>
        <w:tblW w:w="9413" w:type="dxa"/>
        <w:tblInd w:w="397" w:type="dxa"/>
        <w:tblLayout w:type="fixed"/>
        <w:tblCellMar>
          <w:left w:w="28" w:type="dxa"/>
          <w:right w:w="28" w:type="dxa"/>
        </w:tblCellMar>
        <w:tblLook w:val="04A0" w:firstRow="1" w:lastRow="0" w:firstColumn="1" w:lastColumn="0" w:noHBand="0" w:noVBand="1"/>
      </w:tblPr>
      <w:tblGrid>
        <w:gridCol w:w="851"/>
        <w:gridCol w:w="567"/>
        <w:gridCol w:w="6747"/>
        <w:gridCol w:w="1248"/>
      </w:tblGrid>
      <w:tr w:rsidR="00EC5547" w:rsidRPr="001455DC" w14:paraId="6A094604" w14:textId="77777777" w:rsidTr="005C4C9E">
        <w:trPr>
          <w:cantSplit/>
        </w:trPr>
        <w:tc>
          <w:tcPr>
            <w:tcW w:w="851" w:type="dxa"/>
          </w:tcPr>
          <w:p w14:paraId="7DA32596" w14:textId="68DF4420" w:rsidR="00EC5547" w:rsidRPr="001455DC" w:rsidRDefault="005C4C9E" w:rsidP="00EC5547">
            <w:pPr>
              <w:pStyle w:val="Tablebody"/>
            </w:pPr>
            <w:r w:rsidRPr="001455DC">
              <w:rPr>
                <w:rStyle w:val="CCMCvariableitalic"/>
              </w:rPr>
              <w:t>f</w:t>
            </w:r>
            <w:r w:rsidRPr="001455DC">
              <w:rPr>
                <w:rStyle w:val="CCMCvariablesubscript"/>
              </w:rPr>
              <w:t>r1</w:t>
            </w:r>
            <w:r w:rsidRPr="001455DC">
              <w:t xml:space="preserve">, </w:t>
            </w:r>
            <w:r w:rsidRPr="001455DC">
              <w:rPr>
                <w:rStyle w:val="CCMCvariableitalic"/>
              </w:rPr>
              <w:t>f</w:t>
            </w:r>
            <w:r w:rsidRPr="001455DC">
              <w:rPr>
                <w:rStyle w:val="CCMCvariablesubscript"/>
              </w:rPr>
              <w:t>r2</w:t>
            </w:r>
          </w:p>
        </w:tc>
        <w:tc>
          <w:tcPr>
            <w:tcW w:w="8562" w:type="dxa"/>
            <w:gridSpan w:val="3"/>
          </w:tcPr>
          <w:p w14:paraId="76E5D42A" w14:textId="6A276C9A" w:rsidR="00EC5547" w:rsidRPr="001455DC" w:rsidRDefault="005C4C9E" w:rsidP="00EC5547">
            <w:pPr>
              <w:pStyle w:val="Tablebody"/>
            </w:pPr>
            <w:r w:rsidRPr="001455DC">
              <w:t xml:space="preserve">are the relative flexibilities of rotational restraints at ends 1 and 2 respectively; </w:t>
            </w:r>
            <w:r w:rsidRPr="001455DC">
              <w:rPr>
                <w:szCs w:val="19"/>
              </w:rPr>
              <w:t xml:space="preserve">since fully rigid restraint is rare in practice, a minimum value of 0,1 should be taken for </w:t>
            </w:r>
            <w:r w:rsidRPr="001455DC">
              <w:rPr>
                <w:rStyle w:val="CCMCvariableitalic"/>
              </w:rPr>
              <w:t>f</w:t>
            </w:r>
            <w:r w:rsidRPr="001455DC">
              <w:rPr>
                <w:rStyle w:val="CCMCvariablesubscript"/>
              </w:rPr>
              <w:t>r1</w:t>
            </w:r>
            <w:r w:rsidRPr="001455DC">
              <w:rPr>
                <w:szCs w:val="19"/>
              </w:rPr>
              <w:t xml:space="preserve"> and </w:t>
            </w:r>
            <w:r w:rsidRPr="001455DC">
              <w:rPr>
                <w:rStyle w:val="CCMCvariableitalic"/>
              </w:rPr>
              <w:t>f</w:t>
            </w:r>
            <w:r w:rsidRPr="001455DC">
              <w:rPr>
                <w:rStyle w:val="CCMCvariablesubscript"/>
              </w:rPr>
              <w:t>r2</w:t>
            </w:r>
          </w:p>
        </w:tc>
      </w:tr>
      <w:tr w:rsidR="005C4C9E" w:rsidRPr="001455DC" w14:paraId="0368E941" w14:textId="77777777" w:rsidTr="005C4C9E">
        <w:trPr>
          <w:cantSplit/>
        </w:trPr>
        <w:tc>
          <w:tcPr>
            <w:tcW w:w="851" w:type="dxa"/>
          </w:tcPr>
          <w:p w14:paraId="00D003EA" w14:textId="1B3592E7" w:rsidR="005C4C9E" w:rsidRPr="001455DC" w:rsidRDefault="005C4C9E" w:rsidP="00EC5547">
            <w:pPr>
              <w:pStyle w:val="Tablebody"/>
            </w:pPr>
            <w:r w:rsidRPr="001455DC">
              <w:t> </w:t>
            </w:r>
          </w:p>
        </w:tc>
        <w:tc>
          <w:tcPr>
            <w:tcW w:w="7314" w:type="dxa"/>
            <w:gridSpan w:val="2"/>
            <w:vAlign w:val="center"/>
          </w:tcPr>
          <w:p w14:paraId="013AB11F" w14:textId="7550B83E" w:rsidR="005C4C9E" w:rsidRPr="001455DC" w:rsidRDefault="00231E33" w:rsidP="005C4C9E">
            <w:pPr>
              <w:pStyle w:val="Tablebody"/>
              <w:jc w:val="left"/>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r</m:t>
                    </m:r>
                  </m:sub>
                </m:sSub>
                <m:r>
                  <w:rPr>
                    <w:rFonts w:ascii="Cambria Math" w:hAnsi="Cambria Math"/>
                  </w:rPr>
                  <m:t>=</m:t>
                </m:r>
                <m:f>
                  <m:fPr>
                    <m:ctrlPr>
                      <w:rPr>
                        <w:rFonts w:ascii="Cambria Math" w:hAnsi="Cambria Math"/>
                      </w:rPr>
                    </m:ctrlPr>
                  </m:fPr>
                  <m:num>
                    <m:r>
                      <w:rPr>
                        <w:rFonts w:ascii="Cambria Math" w:hAnsi="Cambria Math"/>
                      </w:rPr>
                      <m:t>θ</m:t>
                    </m:r>
                  </m:num>
                  <m:den>
                    <m:r>
                      <w:rPr>
                        <w:rFonts w:ascii="Cambria Math" w:hAnsi="Cambria Math"/>
                      </w:rPr>
                      <m:t>M</m:t>
                    </m:r>
                  </m:den>
                </m:f>
                <m:r>
                  <w:rPr>
                    <w:rFonts w:ascii="Cambria Math" w:hAnsi="Cambria Math"/>
                  </w:rPr>
                  <m:t>⋅</m:t>
                </m:r>
                <m:f>
                  <m:fPr>
                    <m:ctrlPr>
                      <w:rPr>
                        <w:rFonts w:ascii="Cambria Math" w:hAnsi="Cambria Math"/>
                      </w:rPr>
                    </m:ctrlPr>
                  </m:fPr>
                  <m:num>
                    <m:r>
                      <w:rPr>
                        <w:rFonts w:ascii="Cambria Math" w:hAnsi="Cambria Math"/>
                      </w:rPr>
                      <m:t>EI</m:t>
                    </m:r>
                  </m:num>
                  <m:den>
                    <m:r>
                      <w:rPr>
                        <w:rFonts w:ascii="Cambria Math" w:hAnsi="Cambria Math"/>
                      </w:rPr>
                      <m:t>l</m:t>
                    </m:r>
                  </m:den>
                </m:f>
              </m:oMath>
            </m:oMathPara>
          </w:p>
        </w:tc>
        <w:tc>
          <w:tcPr>
            <w:tcW w:w="1248" w:type="dxa"/>
            <w:vAlign w:val="center"/>
          </w:tcPr>
          <w:p w14:paraId="4732D02B" w14:textId="4ED26556" w:rsidR="005C4C9E" w:rsidRPr="001455DC" w:rsidRDefault="005C4C9E" w:rsidP="005C4C9E">
            <w:pPr>
              <w:pStyle w:val="Tablebody"/>
              <w:jc w:val="right"/>
            </w:pPr>
            <w:r w:rsidRPr="001455DC">
              <w:t>(O.11)</w:t>
            </w:r>
          </w:p>
        </w:tc>
      </w:tr>
      <w:tr w:rsidR="005C4C9E" w:rsidRPr="001455DC" w14:paraId="03DEA3A4" w14:textId="77777777" w:rsidTr="005C4C9E">
        <w:trPr>
          <w:cantSplit/>
        </w:trPr>
        <w:tc>
          <w:tcPr>
            <w:tcW w:w="851" w:type="dxa"/>
          </w:tcPr>
          <w:p w14:paraId="6AC90334" w14:textId="4D663ACE" w:rsidR="005C4C9E" w:rsidRPr="001455DC" w:rsidRDefault="005C4C9E" w:rsidP="00EC5547">
            <w:pPr>
              <w:pStyle w:val="Tablebody"/>
            </w:pPr>
            <w:r w:rsidRPr="001455DC">
              <w:t> </w:t>
            </w:r>
          </w:p>
        </w:tc>
        <w:tc>
          <w:tcPr>
            <w:tcW w:w="567" w:type="dxa"/>
          </w:tcPr>
          <w:p w14:paraId="77D3B768" w14:textId="15B88BD8" w:rsidR="005C4C9E" w:rsidRPr="001455DC" w:rsidRDefault="005C4C9E" w:rsidP="00EC5547">
            <w:pPr>
              <w:pStyle w:val="Tablebody"/>
            </w:pPr>
            <w:r w:rsidRPr="001455DC">
              <w:rPr>
                <w:rStyle w:val="CCMCvariableitalic"/>
              </w:rPr>
              <w:t>θ</w:t>
            </w:r>
          </w:p>
        </w:tc>
        <w:tc>
          <w:tcPr>
            <w:tcW w:w="7995" w:type="dxa"/>
            <w:gridSpan w:val="2"/>
          </w:tcPr>
          <w:p w14:paraId="3C8CE29E" w14:textId="10E29FC1" w:rsidR="005C4C9E" w:rsidRPr="001455DC" w:rsidRDefault="005C4C9E" w:rsidP="00EC5547">
            <w:pPr>
              <w:pStyle w:val="Tablebody"/>
            </w:pPr>
            <w:r w:rsidRPr="001455DC">
              <w:t xml:space="preserve">is the rotation of restraining members for bending moment </w:t>
            </w:r>
            <w:r w:rsidRPr="001455DC">
              <w:rPr>
                <w:rStyle w:val="CCMCvariableitalic"/>
              </w:rPr>
              <w:t>M</w:t>
            </w:r>
            <w:r w:rsidRPr="001455DC">
              <w:t>, see also (2);</w:t>
            </w:r>
          </w:p>
        </w:tc>
      </w:tr>
      <w:tr w:rsidR="005C4C9E" w:rsidRPr="001455DC" w14:paraId="5D260F4D" w14:textId="77777777" w:rsidTr="005C4C9E">
        <w:trPr>
          <w:cantSplit/>
        </w:trPr>
        <w:tc>
          <w:tcPr>
            <w:tcW w:w="851" w:type="dxa"/>
          </w:tcPr>
          <w:p w14:paraId="5124EA86" w14:textId="664E5EE7" w:rsidR="005C4C9E" w:rsidRPr="001455DC" w:rsidRDefault="005C4C9E" w:rsidP="00EC5547">
            <w:pPr>
              <w:pStyle w:val="Tablebody"/>
            </w:pPr>
            <w:r w:rsidRPr="001455DC">
              <w:t> </w:t>
            </w:r>
          </w:p>
        </w:tc>
        <w:tc>
          <w:tcPr>
            <w:tcW w:w="567" w:type="dxa"/>
          </w:tcPr>
          <w:p w14:paraId="1045F551" w14:textId="67A94C0C" w:rsidR="005C4C9E" w:rsidRPr="001455DC" w:rsidRDefault="005C4C9E" w:rsidP="00EC5547">
            <w:pPr>
              <w:pStyle w:val="Tablebody"/>
            </w:pPr>
            <w:r w:rsidRPr="001455DC">
              <w:rPr>
                <w:rStyle w:val="CCMCvariableitalic"/>
              </w:rPr>
              <w:t>EI</w:t>
            </w:r>
          </w:p>
        </w:tc>
        <w:tc>
          <w:tcPr>
            <w:tcW w:w="7995" w:type="dxa"/>
            <w:gridSpan w:val="2"/>
          </w:tcPr>
          <w:p w14:paraId="66E0E7B6" w14:textId="0D88FD07" w:rsidR="005C4C9E" w:rsidRPr="001455DC" w:rsidRDefault="005C4C9E" w:rsidP="00EC5547">
            <w:pPr>
              <w:pStyle w:val="Tablebody"/>
            </w:pPr>
            <w:r w:rsidRPr="001455DC">
              <w:t>is the bending stiffness of the compression member, see also (4);</w:t>
            </w:r>
          </w:p>
        </w:tc>
      </w:tr>
      <w:tr w:rsidR="005C4C9E" w:rsidRPr="001455DC" w14:paraId="2FB1B00E" w14:textId="77777777" w:rsidTr="005C4C9E">
        <w:trPr>
          <w:cantSplit/>
        </w:trPr>
        <w:tc>
          <w:tcPr>
            <w:tcW w:w="851" w:type="dxa"/>
          </w:tcPr>
          <w:p w14:paraId="2335558C" w14:textId="10010438" w:rsidR="005C4C9E" w:rsidRPr="001455DC" w:rsidRDefault="005C4C9E" w:rsidP="00EC5547">
            <w:pPr>
              <w:pStyle w:val="Tablebody"/>
            </w:pPr>
            <w:r w:rsidRPr="001455DC">
              <w:t> </w:t>
            </w:r>
          </w:p>
        </w:tc>
        <w:tc>
          <w:tcPr>
            <w:tcW w:w="567" w:type="dxa"/>
          </w:tcPr>
          <w:p w14:paraId="501FAFC7" w14:textId="5412EB9A" w:rsidR="005C4C9E" w:rsidRPr="001455DC" w:rsidRDefault="005C4C9E" w:rsidP="00EC5547">
            <w:pPr>
              <w:pStyle w:val="Tablebody"/>
            </w:pPr>
            <w:r w:rsidRPr="001455DC">
              <w:rPr>
                <w:rStyle w:val="CCMCvariableitalic"/>
              </w:rPr>
              <w:t>l</w:t>
            </w:r>
          </w:p>
        </w:tc>
        <w:tc>
          <w:tcPr>
            <w:tcW w:w="7995" w:type="dxa"/>
            <w:gridSpan w:val="2"/>
          </w:tcPr>
          <w:p w14:paraId="6AA74FEA" w14:textId="3561698F" w:rsidR="005C4C9E" w:rsidRPr="001455DC" w:rsidRDefault="005C4C9E" w:rsidP="00EC5547">
            <w:pPr>
              <w:pStyle w:val="Tablebody"/>
            </w:pPr>
            <w:r w:rsidRPr="001455DC">
              <w:t>is the clear height of the compression member between end restraints.</w:t>
            </w:r>
          </w:p>
        </w:tc>
      </w:tr>
    </w:tbl>
    <w:p w14:paraId="7C23B2DA" w14:textId="669B0634" w:rsidR="004E22C1" w:rsidRPr="001455DC" w:rsidRDefault="004E22C1" w:rsidP="004C68F7">
      <w:pPr>
        <w:pStyle w:val="Note"/>
      </w:pPr>
      <w:r w:rsidRPr="001455DC">
        <w:t>NOTE</w:t>
      </w:r>
      <w:r w:rsidRPr="001455DC">
        <w:tab/>
      </w:r>
      <w:r w:rsidRPr="001455DC">
        <w:rPr>
          <w:rStyle w:val="CCMCvariableitalic"/>
        </w:rPr>
        <w:t>f</w:t>
      </w:r>
      <w:r w:rsidRPr="001455DC">
        <w:rPr>
          <w:rStyle w:val="CCMCvariablesubscript"/>
        </w:rPr>
        <w:t>r</w:t>
      </w:r>
      <w:r w:rsidRPr="001455DC">
        <w:t> </w:t>
      </w:r>
      <w:r w:rsidR="00EC27D2" w:rsidRPr="001455DC">
        <w:rPr>
          <w:rFonts w:ascii="Cambria Math" w:hAnsi="Cambria Math"/>
        </w:rPr>
        <w:t>=</w:t>
      </w:r>
      <w:r w:rsidRPr="001455DC">
        <w:t xml:space="preserve"> 0 is the theoretical limit for rigid rotational restraint and </w:t>
      </w:r>
      <w:r w:rsidRPr="001455DC">
        <w:rPr>
          <w:rStyle w:val="CCMCvariableitalic"/>
        </w:rPr>
        <w:t>f</w:t>
      </w:r>
      <w:r w:rsidRPr="001455DC">
        <w:rPr>
          <w:rStyle w:val="CCMCvariablesubscript"/>
        </w:rPr>
        <w:t>r</w:t>
      </w:r>
      <w:r w:rsidRPr="001455DC">
        <w:t> </w:t>
      </w:r>
      <w:r w:rsidR="00EC27D2" w:rsidRPr="001455DC">
        <w:rPr>
          <w:rFonts w:ascii="Cambria Math" w:hAnsi="Cambria Math"/>
        </w:rPr>
        <w:t>=</w:t>
      </w:r>
      <w:r w:rsidRPr="001455DC">
        <w:t> </w:t>
      </w:r>
      <w:r w:rsidRPr="001455DC">
        <w:rPr>
          <w:rFonts w:ascii="Cambria Math" w:hAnsi="Cambria Math" w:cs="Cambria Math" w:hint="eastAsia"/>
        </w:rPr>
        <w:t>∞</w:t>
      </w:r>
      <w:r w:rsidRPr="001455DC">
        <w:t xml:space="preserve"> represents the limit for no rotational restraint at all.</w:t>
      </w:r>
    </w:p>
    <w:p w14:paraId="0091485D" w14:textId="15EA76C6" w:rsidR="004E22C1" w:rsidRPr="001455DC" w:rsidRDefault="004E22C1" w:rsidP="004C68F7">
      <w:pPr>
        <w:pStyle w:val="a7"/>
      </w:pPr>
      <w:r w:rsidRPr="001455DC">
        <w:t>(4)</w:t>
      </w:r>
      <w:r w:rsidRPr="001455DC">
        <w:tab/>
        <w:t>If an adjacent compression member (column) in a node is likely to contribute to the rotation at buckling, the (</w:t>
      </w:r>
      <w:r w:rsidRPr="001455DC">
        <w:rPr>
          <w:rStyle w:val="CCMCvariableitalic"/>
        </w:rPr>
        <w:t>EI</w:t>
      </w:r>
      <w:r w:rsidRPr="001455DC">
        <w:t>/</w:t>
      </w:r>
      <w:r w:rsidRPr="001455DC">
        <w:rPr>
          <w:rStyle w:val="CCMCvariableitalic"/>
        </w:rPr>
        <w:t>l</w:t>
      </w:r>
      <w:r w:rsidRPr="001455DC">
        <w:t xml:space="preserve">) in the definition of </w:t>
      </w:r>
      <w:r w:rsidRPr="001455DC">
        <w:rPr>
          <w:rStyle w:val="CCMCvariableitalic"/>
        </w:rPr>
        <w:t>f</w:t>
      </w:r>
      <w:r w:rsidRPr="001455DC">
        <w:rPr>
          <w:rStyle w:val="CCMCvariablesubscript"/>
        </w:rPr>
        <w:t>r</w:t>
      </w:r>
      <w:r w:rsidRPr="001455DC">
        <w:t xml:space="preserve"> should be replaced by [(</w:t>
      </w:r>
      <w:r w:rsidRPr="001455DC">
        <w:rPr>
          <w:rStyle w:val="CCMCvariableitalic"/>
        </w:rPr>
        <w:t>EI</w:t>
      </w:r>
      <w:r w:rsidRPr="001455DC">
        <w:t>/</w:t>
      </w:r>
      <w:r w:rsidRPr="001455DC">
        <w:rPr>
          <w:rStyle w:val="CCMCvariableitalic"/>
        </w:rPr>
        <w:t>l</w:t>
      </w:r>
      <w:r w:rsidRPr="001455DC">
        <w:t>)</w:t>
      </w:r>
      <w:r w:rsidRPr="001455DC">
        <w:rPr>
          <w:rStyle w:val="CCMCvariablesubscript"/>
        </w:rPr>
        <w:t>a</w:t>
      </w:r>
      <w:r w:rsidR="00EC27D2" w:rsidRPr="001455DC">
        <w:rPr>
          <w:rFonts w:ascii="Cambria Math" w:hAnsi="Cambria Math"/>
        </w:rPr>
        <w:t> + </w:t>
      </w:r>
      <w:r w:rsidRPr="001455DC">
        <w:t>(</w:t>
      </w:r>
      <w:r w:rsidRPr="001455DC">
        <w:rPr>
          <w:rStyle w:val="CCMCvariableitalic"/>
        </w:rPr>
        <w:t>EI</w:t>
      </w:r>
      <w:r w:rsidRPr="001455DC">
        <w:t>/</w:t>
      </w:r>
      <w:r w:rsidRPr="001455DC">
        <w:rPr>
          <w:rStyle w:val="CCMCvariableitalic"/>
        </w:rPr>
        <w:t>l</w:t>
      </w:r>
      <w:r w:rsidRPr="001455DC">
        <w:t>)</w:t>
      </w:r>
      <w:r w:rsidRPr="001455DC">
        <w:rPr>
          <w:rStyle w:val="CCMCvariablesubscript"/>
        </w:rPr>
        <w:t>b</w:t>
      </w:r>
      <w:r w:rsidRPr="001455DC">
        <w:t xml:space="preserve">], with </w:t>
      </w:r>
      <w:r w:rsidRPr="001455DC">
        <w:rPr>
          <w:rStyle w:val="CCMCvariableitalic"/>
        </w:rPr>
        <w:t>a</w:t>
      </w:r>
      <w:r w:rsidRPr="001455DC">
        <w:t xml:space="preserve"> and </w:t>
      </w:r>
      <w:r w:rsidRPr="001455DC">
        <w:rPr>
          <w:rStyle w:val="CCMCvariableitalic"/>
        </w:rPr>
        <w:t>b</w:t>
      </w:r>
      <w:r w:rsidRPr="001455DC">
        <w:t xml:space="preserve"> representing the compression member above and below the node.</w:t>
      </w:r>
    </w:p>
    <w:p w14:paraId="6091D24D" w14:textId="120B90C5" w:rsidR="004E22C1" w:rsidRPr="001455DC" w:rsidRDefault="004E22C1" w:rsidP="00082680">
      <w:pPr>
        <w:pStyle w:val="a2"/>
      </w:pPr>
      <w:bookmarkStart w:id="2477" w:name="_Toc52820450"/>
      <w:bookmarkStart w:id="2478" w:name="_Toc54337245"/>
      <w:bookmarkStart w:id="2479" w:name="_Toc54337888"/>
      <w:bookmarkStart w:id="2480" w:name="_Toc54338495"/>
      <w:bookmarkStart w:id="2481" w:name="_Toc67565656"/>
      <w:r w:rsidRPr="001455DC">
        <w:t>Slenderness criteria for isolated members</w:t>
      </w:r>
      <w:bookmarkEnd w:id="2477"/>
      <w:bookmarkEnd w:id="2478"/>
      <w:bookmarkEnd w:id="2479"/>
      <w:bookmarkEnd w:id="2480"/>
      <w:bookmarkEnd w:id="2481"/>
    </w:p>
    <w:p w14:paraId="5DC035A8" w14:textId="77777777" w:rsidR="005376A9" w:rsidRPr="001455DC" w:rsidRDefault="004E22C1" w:rsidP="007E5401">
      <w:pPr>
        <w:pStyle w:val="a7"/>
        <w:keepNext/>
      </w:pPr>
      <w:r w:rsidRPr="001455DC">
        <w:t>(1)</w:t>
      </w:r>
      <w:r w:rsidRPr="001455DC">
        <w:tab/>
        <w:t xml:space="preserve">As an alternative to 7.4.1(3) second order effects may be ignored if the slenderness </w:t>
      </w:r>
      <w:r w:rsidRPr="001455DC">
        <w:rPr>
          <w:rStyle w:val="CCMCvariableitalic"/>
        </w:rPr>
        <w:t>λ</w:t>
      </w:r>
      <w:r w:rsidRPr="001455DC">
        <w:t xml:space="preserve"> is smaller than or equal to </w:t>
      </w:r>
      <w:r w:rsidRPr="001455DC">
        <w:rPr>
          <w:rStyle w:val="CCMCvariableitalic"/>
        </w:rPr>
        <w:t>λ</w:t>
      </w:r>
      <w:r w:rsidRPr="001455DC">
        <w:rPr>
          <w:rStyle w:val="CCMCvariablesubscript"/>
        </w:rPr>
        <w:t>lim,simpl</w:t>
      </w:r>
      <w:r w:rsidRPr="001455DC">
        <w:t xml:space="preserve"> (see Formula (O.12)), or, if not, smaller than </w:t>
      </w:r>
      <w:r w:rsidRPr="001455DC">
        <w:rPr>
          <w:rStyle w:val="CCMCvariableitalic"/>
        </w:rPr>
        <w:t>λ</w:t>
      </w:r>
      <w:r w:rsidRPr="001455DC">
        <w:rPr>
          <w:rStyle w:val="CCMCvariablesubscript"/>
        </w:rPr>
        <w:t>lim</w:t>
      </w:r>
      <w:r w:rsidRPr="001455DC">
        <w:t xml:space="preserve"> (see Formula (O.13)):</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5376A9" w:rsidRPr="001455DC" w14:paraId="59B824DA" w14:textId="77777777" w:rsidTr="00EC5547">
        <w:trPr>
          <w:cantSplit/>
        </w:trPr>
        <w:tc>
          <w:tcPr>
            <w:tcW w:w="8505" w:type="dxa"/>
            <w:vAlign w:val="center"/>
          </w:tcPr>
          <w:p w14:paraId="31D7640B" w14:textId="494CA187" w:rsidR="005376A9" w:rsidRPr="001455DC" w:rsidRDefault="00231E33" w:rsidP="00EC5547">
            <w:pPr>
              <w:pStyle w:val="Formula"/>
              <w:jc w:val="left"/>
            </w:pPr>
            <m:oMathPara>
              <m:oMathParaPr>
                <m:jc m:val="left"/>
              </m:oMathParaPr>
              <m:oMath>
                <m:sSub>
                  <m:sSubPr>
                    <m:ctrlPr>
                      <w:rPr>
                        <w:rFonts w:ascii="Cambria Math" w:hAnsi="Cambria Math"/>
                      </w:rPr>
                    </m:ctrlPr>
                  </m:sSubPr>
                  <m:e>
                    <m:r>
                      <w:rPr>
                        <w:rFonts w:ascii="Cambria Math" w:hAnsi="Cambria Math"/>
                      </w:rPr>
                      <m:t>λ</m:t>
                    </m:r>
                  </m:e>
                  <m:sub>
                    <m:r>
                      <m:rPr>
                        <m:sty m:val="p"/>
                      </m:rPr>
                      <w:rPr>
                        <w:rFonts w:ascii="Cambria Math" w:hAnsi="Cambria Math"/>
                      </w:rPr>
                      <m:t>lim,simpl</m:t>
                    </m:r>
                  </m:sub>
                </m:sSub>
                <m:r>
                  <w:rPr>
                    <w:rFonts w:ascii="Cambria Math" w:hAnsi="Cambria Math"/>
                  </w:rPr>
                  <m:t>=</m:t>
                </m:r>
                <m:f>
                  <m:fPr>
                    <m:ctrlPr>
                      <w:rPr>
                        <w:rFonts w:ascii="Cambria Math" w:hAnsi="Cambria Math"/>
                      </w:rPr>
                    </m:ctrlPr>
                  </m:fPr>
                  <m:num>
                    <m:r>
                      <w:rPr>
                        <w:rFonts w:ascii="Cambria Math" w:hAnsi="Cambria Math"/>
                      </w:rPr>
                      <m:t>10,8</m:t>
                    </m:r>
                  </m:num>
                  <m:den>
                    <m:rad>
                      <m:radPr>
                        <m:degHide m:val="1"/>
                        <m:ctrlPr>
                          <w:rPr>
                            <w:rFonts w:ascii="Cambria Math" w:hAnsi="Cambria Math"/>
                          </w:rPr>
                        </m:ctrlPr>
                      </m:radPr>
                      <m:deg/>
                      <m:e>
                        <m:r>
                          <w:rPr>
                            <w:rFonts w:ascii="Cambria Math" w:hAnsi="Cambria Math"/>
                          </w:rPr>
                          <m:t>n</m:t>
                        </m:r>
                      </m:e>
                    </m:rad>
                  </m:den>
                </m:f>
              </m:oMath>
            </m:oMathPara>
          </w:p>
        </w:tc>
        <w:tc>
          <w:tcPr>
            <w:tcW w:w="1247" w:type="dxa"/>
            <w:vAlign w:val="center"/>
          </w:tcPr>
          <w:p w14:paraId="2F25D70F" w14:textId="7498C1AB" w:rsidR="005376A9" w:rsidRPr="001455DC" w:rsidRDefault="005C4C9E" w:rsidP="00EC5547">
            <w:pPr>
              <w:pStyle w:val="a7"/>
              <w:jc w:val="right"/>
            </w:pPr>
            <w:bookmarkStart w:id="2482" w:name="_Ref514912457"/>
            <w:r w:rsidRPr="001455DC">
              <w:t>(O.12)</w:t>
            </w:r>
            <w:bookmarkEnd w:id="2482"/>
          </w:p>
        </w:tc>
      </w:tr>
      <w:tr w:rsidR="005376A9" w:rsidRPr="001455DC" w14:paraId="4931A3F0" w14:textId="77777777" w:rsidTr="00EC5547">
        <w:trPr>
          <w:cantSplit/>
        </w:trPr>
        <w:tc>
          <w:tcPr>
            <w:tcW w:w="8505" w:type="dxa"/>
            <w:vAlign w:val="center"/>
          </w:tcPr>
          <w:p w14:paraId="6329ACF4" w14:textId="20A220B6" w:rsidR="005376A9" w:rsidRPr="001455DC" w:rsidRDefault="00231E33" w:rsidP="00EC5547">
            <w:pPr>
              <w:pStyle w:val="Formula"/>
              <w:jc w:val="left"/>
            </w:pPr>
            <m:oMathPara>
              <m:oMathParaPr>
                <m:jc m:val="left"/>
              </m:oMathParaPr>
              <m:oMath>
                <m:sSub>
                  <m:sSubPr>
                    <m:ctrlPr>
                      <w:rPr>
                        <w:rFonts w:ascii="Cambria Math" w:hAnsi="Cambria Math"/>
                      </w:rPr>
                    </m:ctrlPr>
                  </m:sSubPr>
                  <m:e>
                    <m:r>
                      <w:rPr>
                        <w:rFonts w:ascii="Cambria Math" w:hAnsi="Cambria Math"/>
                      </w:rPr>
                      <m:t>λ</m:t>
                    </m:r>
                  </m:e>
                  <m:sub>
                    <m:r>
                      <m:rPr>
                        <m:sty m:val="p"/>
                      </m:rPr>
                      <w:rPr>
                        <w:rFonts w:ascii="Cambria Math" w:hAnsi="Cambria Math"/>
                      </w:rPr>
                      <m:t>lim</m:t>
                    </m:r>
                  </m:sub>
                </m:sSub>
                <m:r>
                  <w:rPr>
                    <w:rFonts w:ascii="Cambria Math" w:hAnsi="Cambria Math"/>
                  </w:rPr>
                  <m:t>=20</m:t>
                </m:r>
                <m:f>
                  <m:fPr>
                    <m:ctrlPr>
                      <w:rPr>
                        <w:rFonts w:ascii="Cambria Math" w:hAnsi="Cambria Math"/>
                      </w:rPr>
                    </m:ctrlPr>
                  </m:fPr>
                  <m:num>
                    <m:r>
                      <w:rPr>
                        <w:rFonts w:ascii="Cambria Math" w:hAnsi="Cambria Math"/>
                      </w:rPr>
                      <m:t>A B C</m:t>
                    </m:r>
                  </m:num>
                  <m:den>
                    <m:rad>
                      <m:radPr>
                        <m:degHide m:val="1"/>
                        <m:ctrlPr>
                          <w:rPr>
                            <w:rFonts w:ascii="Cambria Math" w:hAnsi="Cambria Math"/>
                          </w:rPr>
                        </m:ctrlPr>
                      </m:radPr>
                      <m:deg/>
                      <m:e>
                        <m:r>
                          <w:rPr>
                            <w:rFonts w:ascii="Cambria Math" w:hAnsi="Cambria Math"/>
                          </w:rPr>
                          <m:t>n</m:t>
                        </m:r>
                      </m:e>
                    </m:rad>
                  </m:den>
                </m:f>
              </m:oMath>
            </m:oMathPara>
          </w:p>
        </w:tc>
        <w:tc>
          <w:tcPr>
            <w:tcW w:w="1247" w:type="dxa"/>
            <w:vAlign w:val="center"/>
          </w:tcPr>
          <w:p w14:paraId="50DCFF0E" w14:textId="78330A4D" w:rsidR="005376A9" w:rsidRPr="001455DC" w:rsidRDefault="005C4C9E" w:rsidP="00EC5547">
            <w:pPr>
              <w:pStyle w:val="a7"/>
              <w:jc w:val="right"/>
            </w:pPr>
            <w:bookmarkStart w:id="2483" w:name="_Ref514912387"/>
            <w:r w:rsidRPr="001455DC">
              <w:t>(O.13)</w:t>
            </w:r>
            <w:bookmarkEnd w:id="2483"/>
          </w:p>
        </w:tc>
      </w:tr>
    </w:tbl>
    <w:p w14:paraId="42CB8EAE" w14:textId="242A4305" w:rsidR="005C4C9E" w:rsidRPr="001455DC" w:rsidRDefault="005C4C9E" w:rsidP="00A35599">
      <w:pPr>
        <w:pStyle w:val="a7"/>
        <w:keepNext/>
      </w:pPr>
      <w:r w:rsidRPr="001455DC">
        <w:t>where</w:t>
      </w:r>
    </w:p>
    <w:tbl>
      <w:tblPr>
        <w:tblW w:w="9413" w:type="dxa"/>
        <w:tblInd w:w="397" w:type="dxa"/>
        <w:tblLayout w:type="fixed"/>
        <w:tblCellMar>
          <w:left w:w="28" w:type="dxa"/>
          <w:right w:w="28" w:type="dxa"/>
        </w:tblCellMar>
        <w:tblLook w:val="04A0" w:firstRow="1" w:lastRow="0" w:firstColumn="1" w:lastColumn="0" w:noHBand="0" w:noVBand="1"/>
      </w:tblPr>
      <w:tblGrid>
        <w:gridCol w:w="567"/>
        <w:gridCol w:w="2155"/>
        <w:gridCol w:w="6691"/>
      </w:tblGrid>
      <w:tr w:rsidR="005C4C9E" w:rsidRPr="001455DC" w14:paraId="31AB120D" w14:textId="77777777" w:rsidTr="005C4C9E">
        <w:trPr>
          <w:cantSplit/>
        </w:trPr>
        <w:tc>
          <w:tcPr>
            <w:tcW w:w="567" w:type="dxa"/>
          </w:tcPr>
          <w:p w14:paraId="162D8680" w14:textId="6BD3CEE9" w:rsidR="005C4C9E" w:rsidRPr="001455DC" w:rsidRDefault="005C4C9E" w:rsidP="005C4C9E">
            <w:pPr>
              <w:pStyle w:val="Tablebody"/>
            </w:pPr>
            <w:r w:rsidRPr="001455DC">
              <w:rPr>
                <w:rStyle w:val="CCMCvariableitalic"/>
              </w:rPr>
              <w:t>A</w:t>
            </w:r>
          </w:p>
        </w:tc>
        <w:tc>
          <w:tcPr>
            <w:tcW w:w="2155" w:type="dxa"/>
          </w:tcPr>
          <w:p w14:paraId="32C4C6A2" w14:textId="1CE0BB2C" w:rsidR="005C4C9E" w:rsidRPr="001455DC" w:rsidRDefault="00EC27D2" w:rsidP="005C4C9E">
            <w:pPr>
              <w:pStyle w:val="Tablebody"/>
            </w:pPr>
            <w:r w:rsidRPr="001455DC">
              <w:rPr>
                <w:rFonts w:ascii="Cambria Math" w:hAnsi="Cambria Math"/>
              </w:rPr>
              <w:t>=</w:t>
            </w:r>
            <w:r w:rsidR="005C4C9E" w:rsidRPr="001455DC">
              <w:t xml:space="preserve"> 1/(1</w:t>
            </w:r>
            <w:r w:rsidRPr="001455DC">
              <w:rPr>
                <w:rFonts w:ascii="Cambria Math" w:hAnsi="Cambria Math"/>
              </w:rPr>
              <w:t> + </w:t>
            </w:r>
            <w:r w:rsidR="005C4C9E" w:rsidRPr="001455DC">
              <w:t>0,2</w:t>
            </w:r>
            <w:r w:rsidR="005C4C9E" w:rsidRPr="001455DC">
              <w:rPr>
                <w:rStyle w:val="CCMCvariableitalic"/>
              </w:rPr>
              <w:t>φ</w:t>
            </w:r>
            <w:r w:rsidR="005C4C9E" w:rsidRPr="001455DC">
              <w:rPr>
                <w:rStyle w:val="CCMCvariablesubscript"/>
              </w:rPr>
              <w:t>eff,b</w:t>
            </w:r>
            <w:r w:rsidR="005C4C9E" w:rsidRPr="001455DC">
              <w:t>)</w:t>
            </w:r>
          </w:p>
        </w:tc>
        <w:tc>
          <w:tcPr>
            <w:tcW w:w="6691" w:type="dxa"/>
          </w:tcPr>
          <w:p w14:paraId="6B8D9571" w14:textId="0E4691C6" w:rsidR="005C4C9E" w:rsidRPr="001455DC" w:rsidRDefault="005C4C9E" w:rsidP="005C4C9E">
            <w:pPr>
              <w:pStyle w:val="Tablebody"/>
            </w:pPr>
            <w:r w:rsidRPr="001455DC">
              <w:t xml:space="preserve">(if </w:t>
            </w:r>
            <w:r w:rsidRPr="001455DC">
              <w:rPr>
                <w:rStyle w:val="CCMCvariableitalic"/>
              </w:rPr>
              <w:t>φ</w:t>
            </w:r>
            <w:r w:rsidRPr="001455DC">
              <w:rPr>
                <w:rStyle w:val="CCMCvariablesubscript"/>
              </w:rPr>
              <w:t>eff</w:t>
            </w:r>
            <w:r w:rsidRPr="001455DC">
              <w:t xml:space="preserve"> is not known, </w:t>
            </w:r>
            <w:r w:rsidRPr="001455DC">
              <w:rPr>
                <w:rStyle w:val="CCMCvariableitalic"/>
              </w:rPr>
              <w:t>A</w:t>
            </w:r>
            <w:r w:rsidRPr="001455DC">
              <w:t> </w:t>
            </w:r>
            <w:r w:rsidR="00EC27D2" w:rsidRPr="001455DC">
              <w:rPr>
                <w:rFonts w:ascii="Cambria Math" w:hAnsi="Cambria Math"/>
              </w:rPr>
              <w:t>=</w:t>
            </w:r>
            <w:r w:rsidRPr="001455DC">
              <w:t> 0,7 may be used);</w:t>
            </w:r>
          </w:p>
        </w:tc>
      </w:tr>
      <w:tr w:rsidR="005C4C9E" w:rsidRPr="001455DC" w14:paraId="3249C386" w14:textId="77777777" w:rsidTr="005C4C9E">
        <w:trPr>
          <w:cantSplit/>
        </w:trPr>
        <w:tc>
          <w:tcPr>
            <w:tcW w:w="567" w:type="dxa"/>
          </w:tcPr>
          <w:p w14:paraId="1078D446" w14:textId="003054B1" w:rsidR="005C4C9E" w:rsidRPr="001455DC" w:rsidRDefault="005C4C9E" w:rsidP="005C4C9E">
            <w:pPr>
              <w:pStyle w:val="Tablebody"/>
            </w:pPr>
            <w:r w:rsidRPr="001455DC">
              <w:rPr>
                <w:rStyle w:val="CCMCvariableitalic"/>
              </w:rPr>
              <w:t>B</w:t>
            </w:r>
          </w:p>
        </w:tc>
        <w:tc>
          <w:tcPr>
            <w:tcW w:w="2155" w:type="dxa"/>
          </w:tcPr>
          <w:p w14:paraId="7F10435D" w14:textId="40B3C798" w:rsidR="005C4C9E" w:rsidRPr="001455DC" w:rsidRDefault="00EC27D2" w:rsidP="005C4C9E">
            <w:pPr>
              <w:pStyle w:val="Tablebody"/>
            </w:pPr>
            <w:r w:rsidRPr="001455DC">
              <w:rPr>
                <w:rFonts w:ascii="Cambria Math" w:hAnsi="Cambria Math"/>
              </w:rPr>
              <w:t>=</w:t>
            </w:r>
            <w:r w:rsidR="005C4C9E" w:rsidRPr="001455DC">
              <w:t xml:space="preserve"> </w:t>
            </w:r>
            <m:oMath>
              <m:rad>
                <m:radPr>
                  <m:degHide m:val="1"/>
                  <m:ctrlPr>
                    <w:rPr>
                      <w:rFonts w:ascii="Cambria Math" w:hAnsi="Cambria Math"/>
                    </w:rPr>
                  </m:ctrlPr>
                </m:radPr>
                <m:deg/>
                <m:e>
                  <m:r>
                    <w:rPr>
                      <w:rFonts w:ascii="Cambria Math" w:hAnsi="Cambria Math"/>
                    </w:rPr>
                    <m:t>1+2ω</m:t>
                  </m:r>
                </m:e>
              </m:rad>
            </m:oMath>
          </w:p>
        </w:tc>
        <w:tc>
          <w:tcPr>
            <w:tcW w:w="6691" w:type="dxa"/>
          </w:tcPr>
          <w:p w14:paraId="06742F5D" w14:textId="3DABB325" w:rsidR="005C4C9E" w:rsidRPr="001455DC" w:rsidRDefault="005C4C9E" w:rsidP="005C4C9E">
            <w:pPr>
              <w:pStyle w:val="Tablebody"/>
            </w:pPr>
            <w:r w:rsidRPr="001455DC">
              <w:t xml:space="preserve">(if </w:t>
            </w:r>
            <w:r w:rsidRPr="001455DC">
              <w:rPr>
                <w:rStyle w:val="CCMCvariableitalic"/>
              </w:rPr>
              <w:t>ω</w:t>
            </w:r>
            <w:r w:rsidRPr="001455DC">
              <w:t xml:space="preserve"> is not known, </w:t>
            </w:r>
            <w:r w:rsidRPr="001455DC">
              <w:rPr>
                <w:rStyle w:val="CCMCvariableitalic"/>
              </w:rPr>
              <w:t>B</w:t>
            </w:r>
            <w:r w:rsidRPr="001455DC">
              <w:t> </w:t>
            </w:r>
            <w:r w:rsidR="00EC27D2" w:rsidRPr="001455DC">
              <w:rPr>
                <w:rFonts w:ascii="Cambria Math" w:hAnsi="Cambria Math"/>
              </w:rPr>
              <w:t>=</w:t>
            </w:r>
            <w:r w:rsidRPr="001455DC">
              <w:t> 1,1 may be used);</w:t>
            </w:r>
          </w:p>
        </w:tc>
      </w:tr>
      <w:tr w:rsidR="005C4C9E" w:rsidRPr="001455DC" w14:paraId="5AE1D1C0" w14:textId="77777777" w:rsidTr="005C4C9E">
        <w:trPr>
          <w:cantSplit/>
        </w:trPr>
        <w:tc>
          <w:tcPr>
            <w:tcW w:w="567" w:type="dxa"/>
          </w:tcPr>
          <w:p w14:paraId="6C91E299" w14:textId="632A2AC0" w:rsidR="005C4C9E" w:rsidRPr="001455DC" w:rsidRDefault="005C4C9E" w:rsidP="005C4C9E">
            <w:pPr>
              <w:pStyle w:val="Tablebody"/>
            </w:pPr>
            <w:r w:rsidRPr="001455DC">
              <w:rPr>
                <w:rStyle w:val="CCMCvariableitalic"/>
              </w:rPr>
              <w:t>C</w:t>
            </w:r>
          </w:p>
        </w:tc>
        <w:tc>
          <w:tcPr>
            <w:tcW w:w="2155" w:type="dxa"/>
          </w:tcPr>
          <w:p w14:paraId="43DEF7A3" w14:textId="0FDF645E" w:rsidR="005C4C9E" w:rsidRPr="001455DC" w:rsidRDefault="00EC27D2" w:rsidP="005C4C9E">
            <w:pPr>
              <w:pStyle w:val="Tablebody"/>
            </w:pPr>
            <w:r w:rsidRPr="001455DC">
              <w:rPr>
                <w:rFonts w:ascii="Cambria Math" w:hAnsi="Cambria Math"/>
              </w:rPr>
              <w:t>=</w:t>
            </w:r>
            <w:r w:rsidR="005C4C9E" w:rsidRPr="001455DC">
              <w:t xml:space="preserve"> 1,7 </w:t>
            </w:r>
            <w:r w:rsidRPr="001455DC">
              <w:rPr>
                <w:rFonts w:ascii="Cambria Math" w:hAnsi="Cambria Math"/>
              </w:rPr>
              <w:t>−</w:t>
            </w:r>
            <w:r w:rsidR="005C4C9E" w:rsidRPr="001455DC">
              <w:t> </w:t>
            </w:r>
            <w:r w:rsidR="005C4C9E" w:rsidRPr="001455DC">
              <w:rPr>
                <w:rStyle w:val="CCMCvariableitalic"/>
              </w:rPr>
              <w:t>r</w:t>
            </w:r>
            <w:r w:rsidR="005C4C9E" w:rsidRPr="001455DC">
              <w:rPr>
                <w:rStyle w:val="CCMCvariablesubscript"/>
              </w:rPr>
              <w:t>m</w:t>
            </w:r>
          </w:p>
        </w:tc>
        <w:tc>
          <w:tcPr>
            <w:tcW w:w="6691" w:type="dxa"/>
          </w:tcPr>
          <w:p w14:paraId="33AEFB0C" w14:textId="0FA46C24" w:rsidR="005C4C9E" w:rsidRPr="001455DC" w:rsidRDefault="005C4C9E" w:rsidP="005C4C9E">
            <w:pPr>
              <w:pStyle w:val="Tablebody"/>
            </w:pPr>
            <w:r w:rsidRPr="001455DC">
              <w:t xml:space="preserve">(if </w:t>
            </w:r>
            <w:r w:rsidRPr="001455DC">
              <w:rPr>
                <w:rStyle w:val="CCMCvariableitalic"/>
              </w:rPr>
              <w:t>r</w:t>
            </w:r>
            <w:r w:rsidRPr="001455DC">
              <w:rPr>
                <w:rStyle w:val="CCMCvariablesubscript"/>
              </w:rPr>
              <w:t>m</w:t>
            </w:r>
            <w:r w:rsidRPr="001455DC">
              <w:t xml:space="preserve"> is not known, </w:t>
            </w:r>
            <w:r w:rsidRPr="001455DC">
              <w:rPr>
                <w:rStyle w:val="CCMCvariableitalic"/>
              </w:rPr>
              <w:t>C</w:t>
            </w:r>
            <w:r w:rsidRPr="001455DC">
              <w:t> </w:t>
            </w:r>
            <w:r w:rsidR="00EC27D2" w:rsidRPr="001455DC">
              <w:rPr>
                <w:rFonts w:ascii="Cambria Math" w:hAnsi="Cambria Math"/>
              </w:rPr>
              <w:t>=</w:t>
            </w:r>
            <w:r w:rsidRPr="001455DC">
              <w:t> 0,7 may be used);</w:t>
            </w:r>
          </w:p>
        </w:tc>
      </w:tr>
      <w:tr w:rsidR="005C4C9E" w:rsidRPr="001455DC" w14:paraId="79E0290C" w14:textId="77777777" w:rsidTr="005C4C9E">
        <w:trPr>
          <w:cantSplit/>
        </w:trPr>
        <w:tc>
          <w:tcPr>
            <w:tcW w:w="567" w:type="dxa"/>
          </w:tcPr>
          <w:p w14:paraId="28B273A2" w14:textId="63B7BCD8" w:rsidR="005C4C9E" w:rsidRPr="001455DC" w:rsidRDefault="005C4C9E" w:rsidP="005C4C9E">
            <w:pPr>
              <w:pStyle w:val="Tablebody"/>
            </w:pPr>
            <w:r w:rsidRPr="001455DC">
              <w:rPr>
                <w:rStyle w:val="CCMCvariableitalic"/>
              </w:rPr>
              <w:t>φ</w:t>
            </w:r>
            <w:r w:rsidRPr="001455DC">
              <w:rPr>
                <w:rStyle w:val="CCMCvariablesubscript"/>
              </w:rPr>
              <w:t>eff,b</w:t>
            </w:r>
          </w:p>
        </w:tc>
        <w:tc>
          <w:tcPr>
            <w:tcW w:w="8846" w:type="dxa"/>
            <w:gridSpan w:val="2"/>
          </w:tcPr>
          <w:p w14:paraId="610AE42B" w14:textId="3C4FCD84" w:rsidR="005C4C9E" w:rsidRPr="001455DC" w:rsidRDefault="005C4C9E" w:rsidP="005C4C9E">
            <w:pPr>
              <w:pStyle w:val="Tablebody"/>
            </w:pPr>
            <w:r w:rsidRPr="001455DC">
              <w:t>is the effective creep ratio for local effects, see 7.4.2(2);</w:t>
            </w:r>
          </w:p>
        </w:tc>
      </w:tr>
      <w:tr w:rsidR="005C4C9E" w:rsidRPr="001455DC" w14:paraId="09C41B1B" w14:textId="77777777" w:rsidTr="005C4C9E">
        <w:trPr>
          <w:cantSplit/>
        </w:trPr>
        <w:tc>
          <w:tcPr>
            <w:tcW w:w="567" w:type="dxa"/>
          </w:tcPr>
          <w:p w14:paraId="4EF3C259" w14:textId="32FC2A01" w:rsidR="005C4C9E" w:rsidRPr="001455DC" w:rsidRDefault="005C4C9E" w:rsidP="005C4C9E">
            <w:pPr>
              <w:pStyle w:val="Tablebody"/>
            </w:pPr>
            <w:r w:rsidRPr="001455DC">
              <w:rPr>
                <w:rStyle w:val="CCMCvariableitalic"/>
              </w:rPr>
              <w:t>ω</w:t>
            </w:r>
          </w:p>
        </w:tc>
        <w:tc>
          <w:tcPr>
            <w:tcW w:w="2155" w:type="dxa"/>
          </w:tcPr>
          <w:p w14:paraId="152CFB0B" w14:textId="63A034A6" w:rsidR="005C4C9E" w:rsidRPr="001455DC" w:rsidRDefault="00EC27D2" w:rsidP="005C4C9E">
            <w:pPr>
              <w:pStyle w:val="Tablebody"/>
            </w:pPr>
            <w:r w:rsidRPr="001455DC">
              <w:rPr>
                <w:rFonts w:ascii="Cambria Math" w:hAnsi="Cambria Math"/>
              </w:rPr>
              <w:t>=</w:t>
            </w:r>
            <w:r w:rsidR="005C4C9E" w:rsidRPr="001455DC">
              <w:t xml:space="preserve"> </w:t>
            </w:r>
            <w:r w:rsidR="005C4C9E" w:rsidRPr="001455DC">
              <w:rPr>
                <w:rStyle w:val="CCMCvariableitalic"/>
              </w:rPr>
              <w:t>A</w:t>
            </w:r>
            <w:r w:rsidR="005C4C9E" w:rsidRPr="001455DC">
              <w:rPr>
                <w:rStyle w:val="CCMCvariablesubscript"/>
              </w:rPr>
              <w:t>s</w:t>
            </w:r>
            <w:r w:rsidR="005C4C9E" w:rsidRPr="001455DC">
              <w:t xml:space="preserve"> </w:t>
            </w:r>
            <w:r w:rsidR="005C4C9E" w:rsidRPr="001455DC">
              <w:rPr>
                <w:rStyle w:val="CCMCvariableitalic"/>
              </w:rPr>
              <w:t>f</w:t>
            </w:r>
            <w:r w:rsidR="005C4C9E" w:rsidRPr="001455DC">
              <w:rPr>
                <w:rStyle w:val="CCMCvariablesubscript"/>
              </w:rPr>
              <w:t>yd</w:t>
            </w:r>
            <w:r w:rsidR="005C4C9E" w:rsidRPr="001455DC">
              <w:t>/(</w:t>
            </w:r>
            <w:r w:rsidR="005C4C9E" w:rsidRPr="001455DC">
              <w:rPr>
                <w:rStyle w:val="CCMCvariableitalic"/>
              </w:rPr>
              <w:t>A</w:t>
            </w:r>
            <w:r w:rsidR="005C4C9E" w:rsidRPr="001455DC">
              <w:rPr>
                <w:rStyle w:val="CCMCvariablesubscript"/>
              </w:rPr>
              <w:t>c</w:t>
            </w:r>
            <w:r w:rsidR="005C4C9E" w:rsidRPr="001455DC">
              <w:t xml:space="preserve"> </w:t>
            </w:r>
            <w:r w:rsidR="005C4C9E" w:rsidRPr="001455DC">
              <w:rPr>
                <w:rStyle w:val="CCMCvariableitalic"/>
              </w:rPr>
              <w:t>f</w:t>
            </w:r>
            <w:r w:rsidR="005C4C9E" w:rsidRPr="001455DC">
              <w:rPr>
                <w:rStyle w:val="CCMCvariablesubscript"/>
              </w:rPr>
              <w:t>cd</w:t>
            </w:r>
            <w:r w:rsidR="005C4C9E" w:rsidRPr="001455DC">
              <w:t>)</w:t>
            </w:r>
          </w:p>
        </w:tc>
        <w:tc>
          <w:tcPr>
            <w:tcW w:w="6691" w:type="dxa"/>
          </w:tcPr>
          <w:p w14:paraId="7873B3C2" w14:textId="44C6AECE" w:rsidR="005C4C9E" w:rsidRPr="001455DC" w:rsidRDefault="005C4C9E" w:rsidP="005C4C9E">
            <w:pPr>
              <w:pStyle w:val="Tablebody"/>
            </w:pPr>
            <w:r w:rsidRPr="001455DC">
              <w:t>is the mechanical reinforcement ratio;</w:t>
            </w:r>
          </w:p>
        </w:tc>
      </w:tr>
      <w:tr w:rsidR="005C4C9E" w:rsidRPr="001455DC" w14:paraId="04A59988" w14:textId="77777777" w:rsidTr="005C4C9E">
        <w:trPr>
          <w:cantSplit/>
        </w:trPr>
        <w:tc>
          <w:tcPr>
            <w:tcW w:w="567" w:type="dxa"/>
          </w:tcPr>
          <w:p w14:paraId="54D22A46" w14:textId="1110328A" w:rsidR="005C4C9E" w:rsidRPr="001455DC" w:rsidRDefault="005C4C9E" w:rsidP="005C4C9E">
            <w:pPr>
              <w:pStyle w:val="Tablebody"/>
            </w:pPr>
            <w:r w:rsidRPr="001455DC">
              <w:rPr>
                <w:rStyle w:val="CCMCvariableitalic"/>
              </w:rPr>
              <w:t>A</w:t>
            </w:r>
            <w:r w:rsidRPr="001455DC">
              <w:rPr>
                <w:rStyle w:val="CCMCvariablesubscript"/>
              </w:rPr>
              <w:t>s</w:t>
            </w:r>
          </w:p>
        </w:tc>
        <w:tc>
          <w:tcPr>
            <w:tcW w:w="8846" w:type="dxa"/>
            <w:gridSpan w:val="2"/>
          </w:tcPr>
          <w:p w14:paraId="1DACAE40" w14:textId="42AF9BEF" w:rsidR="005C4C9E" w:rsidRPr="001455DC" w:rsidRDefault="005C4C9E" w:rsidP="005C4C9E">
            <w:pPr>
              <w:pStyle w:val="Tablebody"/>
            </w:pPr>
            <w:r w:rsidRPr="001455DC">
              <w:t>is the total area of longitudinal reinforcement;</w:t>
            </w:r>
          </w:p>
        </w:tc>
      </w:tr>
      <w:tr w:rsidR="005C4C9E" w:rsidRPr="001455DC" w14:paraId="51CEED9F" w14:textId="77777777" w:rsidTr="005C4C9E">
        <w:trPr>
          <w:cantSplit/>
        </w:trPr>
        <w:tc>
          <w:tcPr>
            <w:tcW w:w="567" w:type="dxa"/>
          </w:tcPr>
          <w:p w14:paraId="4509880C" w14:textId="7BDD3D12" w:rsidR="005C4C9E" w:rsidRPr="001455DC" w:rsidRDefault="005C4C9E" w:rsidP="005C4C9E">
            <w:pPr>
              <w:pStyle w:val="Tablebody"/>
            </w:pPr>
            <w:r w:rsidRPr="001455DC">
              <w:rPr>
                <w:rStyle w:val="CCMCvariableitalic"/>
              </w:rPr>
              <w:t>n</w:t>
            </w:r>
          </w:p>
        </w:tc>
        <w:tc>
          <w:tcPr>
            <w:tcW w:w="2155" w:type="dxa"/>
          </w:tcPr>
          <w:p w14:paraId="5CD8686A" w14:textId="5E0B320A" w:rsidR="005C4C9E" w:rsidRPr="001455DC" w:rsidRDefault="00EC27D2" w:rsidP="005C4C9E">
            <w:pPr>
              <w:pStyle w:val="Tablebody"/>
            </w:pPr>
            <w:r w:rsidRPr="001455DC">
              <w:rPr>
                <w:rFonts w:ascii="Cambria Math" w:hAnsi="Cambria Math"/>
              </w:rPr>
              <w:t>=</w:t>
            </w:r>
            <w:r w:rsidR="005C4C9E" w:rsidRPr="001455DC">
              <w:t xml:space="preserve"> </w:t>
            </w:r>
            <w:r w:rsidR="005C4C9E" w:rsidRPr="001455DC">
              <w:rPr>
                <w:rStyle w:val="CCMCvariableitalic"/>
              </w:rPr>
              <w:t>N</w:t>
            </w:r>
            <w:r w:rsidR="005C4C9E" w:rsidRPr="001455DC">
              <w:rPr>
                <w:rStyle w:val="CCMCvariablesubscript"/>
              </w:rPr>
              <w:t>Ed</w:t>
            </w:r>
            <w:r w:rsidR="005C4C9E" w:rsidRPr="001455DC">
              <w:t>/(</w:t>
            </w:r>
            <w:r w:rsidR="005C4C9E" w:rsidRPr="001455DC">
              <w:rPr>
                <w:rStyle w:val="CCMCvariableitalic"/>
              </w:rPr>
              <w:t>A</w:t>
            </w:r>
            <w:r w:rsidR="005C4C9E" w:rsidRPr="001455DC">
              <w:rPr>
                <w:rStyle w:val="CCMCvariablesubscript"/>
              </w:rPr>
              <w:t>c</w:t>
            </w:r>
            <w:r w:rsidR="005C4C9E" w:rsidRPr="001455DC">
              <w:t xml:space="preserve"> </w:t>
            </w:r>
            <w:r w:rsidR="005C4C9E" w:rsidRPr="001455DC">
              <w:rPr>
                <w:rStyle w:val="CCMCvariableitalic"/>
              </w:rPr>
              <w:t>f</w:t>
            </w:r>
            <w:r w:rsidR="005C4C9E" w:rsidRPr="001455DC">
              <w:rPr>
                <w:rStyle w:val="CCMCvariablesubscript"/>
              </w:rPr>
              <w:t>cd</w:t>
            </w:r>
            <w:r w:rsidR="005C4C9E" w:rsidRPr="001455DC">
              <w:t>)</w:t>
            </w:r>
          </w:p>
        </w:tc>
        <w:tc>
          <w:tcPr>
            <w:tcW w:w="6691" w:type="dxa"/>
          </w:tcPr>
          <w:p w14:paraId="19B50D60" w14:textId="0DCBC1D9" w:rsidR="005C4C9E" w:rsidRPr="001455DC" w:rsidRDefault="005C4C9E" w:rsidP="005C4C9E">
            <w:pPr>
              <w:pStyle w:val="Tablebody"/>
            </w:pPr>
            <w:r w:rsidRPr="001455DC">
              <w:t>is the non-dimensional normal force;</w:t>
            </w:r>
          </w:p>
        </w:tc>
      </w:tr>
      <w:tr w:rsidR="005C4C9E" w:rsidRPr="001455DC" w14:paraId="4FCA4FA5" w14:textId="77777777" w:rsidTr="005C4C9E">
        <w:trPr>
          <w:cantSplit/>
        </w:trPr>
        <w:tc>
          <w:tcPr>
            <w:tcW w:w="567" w:type="dxa"/>
          </w:tcPr>
          <w:p w14:paraId="0AD3CE56" w14:textId="0BA62C82" w:rsidR="005C4C9E" w:rsidRPr="009D3012" w:rsidRDefault="005C4C9E" w:rsidP="005C4C9E">
            <w:pPr>
              <w:pStyle w:val="Tablebody"/>
              <w:rPr>
                <w:rStyle w:val="CCMCvariableitalic"/>
              </w:rPr>
            </w:pPr>
            <w:r w:rsidRPr="001455DC">
              <w:rPr>
                <w:rStyle w:val="CCMCvariableitalic"/>
              </w:rPr>
              <w:t>r</w:t>
            </w:r>
            <w:r w:rsidRPr="001455DC">
              <w:rPr>
                <w:rStyle w:val="CCMCvariablesubscript"/>
              </w:rPr>
              <w:t>m</w:t>
            </w:r>
          </w:p>
        </w:tc>
        <w:tc>
          <w:tcPr>
            <w:tcW w:w="8846" w:type="dxa"/>
            <w:gridSpan w:val="2"/>
          </w:tcPr>
          <w:p w14:paraId="7A9F63F3" w14:textId="5BC208FB" w:rsidR="005C4C9E" w:rsidRPr="001455DC" w:rsidRDefault="00EC27D2" w:rsidP="005C4C9E">
            <w:pPr>
              <w:pStyle w:val="Tablebody"/>
            </w:pPr>
            <w:r w:rsidRPr="001455DC">
              <w:rPr>
                <w:rFonts w:ascii="Cambria Math" w:hAnsi="Cambria Math"/>
              </w:rPr>
              <w:t>=</w:t>
            </w:r>
            <w:r w:rsidR="005C4C9E" w:rsidRPr="001455DC">
              <w:t xml:space="preserve"> 1,0 for unbraced members and for braced members in which the first order moments arise only from or predominantly from imperfections or transverse loading, otherwise </w:t>
            </w:r>
            <w:r w:rsidRPr="001455DC">
              <w:rPr>
                <w:rFonts w:ascii="Cambria Math" w:hAnsi="Cambria Math"/>
              </w:rPr>
              <w:t>=</w:t>
            </w:r>
            <w:r w:rsidR="005C4C9E" w:rsidRPr="001455DC">
              <w:t> </w:t>
            </w:r>
            <w:r w:rsidR="005C4C9E" w:rsidRPr="001455DC">
              <w:rPr>
                <w:rStyle w:val="CCMCvariableitalic"/>
              </w:rPr>
              <w:t>M</w:t>
            </w:r>
            <w:r w:rsidR="005C4C9E" w:rsidRPr="001455DC">
              <w:rPr>
                <w:rStyle w:val="CCMCvariablesubscript"/>
              </w:rPr>
              <w:t>01</w:t>
            </w:r>
            <w:r w:rsidR="005C4C9E" w:rsidRPr="001455DC">
              <w:t>/</w:t>
            </w:r>
            <w:r w:rsidR="005C4C9E" w:rsidRPr="001455DC">
              <w:rPr>
                <w:rStyle w:val="CCMCvariableitalic"/>
              </w:rPr>
              <w:t>M</w:t>
            </w:r>
            <w:r w:rsidR="005C4C9E" w:rsidRPr="001455DC">
              <w:rPr>
                <w:rStyle w:val="CCMCvariablesubscript"/>
              </w:rPr>
              <w:t>02</w:t>
            </w:r>
            <w:r w:rsidR="005C4C9E" w:rsidRPr="001455DC">
              <w:t>; moment ratio (see Figure O.1);</w:t>
            </w:r>
          </w:p>
        </w:tc>
      </w:tr>
    </w:tbl>
    <w:p w14:paraId="15445F6C" w14:textId="77777777" w:rsidR="004E22C1" w:rsidRPr="001455DC" w:rsidRDefault="004E22C1" w:rsidP="004C68F7">
      <w:pPr>
        <w:pStyle w:val="a7"/>
      </w:pPr>
      <w:r w:rsidRPr="001455DC">
        <w:t>(2)</w:t>
      </w:r>
      <w:r w:rsidRPr="001455DC">
        <w:tab/>
        <w:t>In cases with biaxial bending, the slenderness criterion may be checked separately in each principal plane of bending.</w:t>
      </w:r>
    </w:p>
    <w:p w14:paraId="7B0D61D0" w14:textId="1B5B9C87" w:rsidR="004E22C1" w:rsidRPr="001455DC" w:rsidRDefault="004E22C1" w:rsidP="00082680">
      <w:pPr>
        <w:pStyle w:val="a2"/>
      </w:pPr>
      <w:bookmarkStart w:id="2484" w:name="_Ref461623554"/>
      <w:bookmarkStart w:id="2485" w:name="_Ref461617424"/>
      <w:bookmarkStart w:id="2486" w:name="_Ref480923798"/>
      <w:bookmarkStart w:id="2487" w:name="_Toc52820451"/>
      <w:bookmarkStart w:id="2488" w:name="_Ref514861021"/>
      <w:bookmarkStart w:id="2489" w:name="_Toc54337246"/>
      <w:bookmarkStart w:id="2490" w:name="_Toc54337889"/>
      <w:bookmarkStart w:id="2491" w:name="_Toc54338496"/>
      <w:bookmarkStart w:id="2492" w:name="_Toc67565657"/>
      <w:r w:rsidRPr="001455DC">
        <w:t>Simplified analysis</w:t>
      </w:r>
      <w:bookmarkEnd w:id="2484"/>
      <w:bookmarkEnd w:id="2485"/>
      <w:r w:rsidRPr="001455DC">
        <w:t xml:space="preserve"> of isolated members</w:t>
      </w:r>
      <w:bookmarkEnd w:id="2486"/>
      <w:r w:rsidRPr="001455DC">
        <w:t xml:space="preserve"> based on nominal curvature</w:t>
      </w:r>
      <w:bookmarkEnd w:id="2487"/>
      <w:bookmarkEnd w:id="2488"/>
      <w:bookmarkEnd w:id="2489"/>
      <w:bookmarkEnd w:id="2490"/>
      <w:bookmarkEnd w:id="2491"/>
      <w:bookmarkEnd w:id="2492"/>
    </w:p>
    <w:p w14:paraId="4B6E4F83" w14:textId="370A25DF" w:rsidR="004E22C1" w:rsidRPr="001455DC" w:rsidRDefault="004E22C1" w:rsidP="00243590">
      <w:pPr>
        <w:pStyle w:val="a3"/>
      </w:pPr>
      <w:bookmarkStart w:id="2493" w:name="_Toc52820452"/>
      <w:bookmarkStart w:id="2494" w:name="_Toc54337890"/>
      <w:bookmarkStart w:id="2495" w:name="_Toc54338497"/>
      <w:r w:rsidRPr="001455DC">
        <w:t>General</w:t>
      </w:r>
      <w:bookmarkEnd w:id="2493"/>
      <w:bookmarkEnd w:id="2494"/>
      <w:bookmarkEnd w:id="2495"/>
    </w:p>
    <w:p w14:paraId="61ED449B" w14:textId="77777777" w:rsidR="004E22C1" w:rsidRPr="001455DC" w:rsidRDefault="004E22C1" w:rsidP="004C68F7">
      <w:pPr>
        <w:pStyle w:val="a7"/>
      </w:pPr>
      <w:r w:rsidRPr="001455DC">
        <w:t>(1)</w:t>
      </w:r>
      <w:r w:rsidRPr="001455DC">
        <w:tab/>
        <w:t xml:space="preserve">This method is primarily suitable for isolated members with constant normal force and a well defined effective length </w:t>
      </w:r>
      <w:r w:rsidRPr="001455DC">
        <w:rPr>
          <w:rStyle w:val="CCMCvariableitalic"/>
        </w:rPr>
        <w:t>l</w:t>
      </w:r>
      <w:r w:rsidRPr="001455DC">
        <w:rPr>
          <w:rStyle w:val="CCMCvariablesubscript"/>
        </w:rPr>
        <w:t>0</w:t>
      </w:r>
      <w:r w:rsidRPr="001455DC">
        <w:t xml:space="preserve"> (see O.5). The method gives a nominal second order moment based on a deflection, which in turn is based on the effective length and an estimated maximum curvature (see also Figure 7.7a).</w:t>
      </w:r>
    </w:p>
    <w:p w14:paraId="666DDD5A" w14:textId="58DA783A" w:rsidR="004E22C1" w:rsidRPr="001455DC" w:rsidRDefault="004E22C1" w:rsidP="00243590">
      <w:pPr>
        <w:pStyle w:val="a3"/>
      </w:pPr>
      <w:bookmarkStart w:id="2496" w:name="_Ref480924481"/>
      <w:bookmarkStart w:id="2497" w:name="_Toc52820453"/>
      <w:bookmarkStart w:id="2498" w:name="_Toc54337891"/>
      <w:bookmarkStart w:id="2499" w:name="_Toc54338498"/>
      <w:r w:rsidRPr="001455DC">
        <w:t>Design moments</w:t>
      </w:r>
      <w:bookmarkEnd w:id="2496"/>
      <w:bookmarkEnd w:id="2497"/>
      <w:bookmarkEnd w:id="2498"/>
      <w:bookmarkEnd w:id="2499"/>
    </w:p>
    <w:p w14:paraId="5E5DD9F8" w14:textId="77777777" w:rsidR="005376A9" w:rsidRPr="001455DC" w:rsidRDefault="004E22C1" w:rsidP="00DE6BBC">
      <w:pPr>
        <w:pStyle w:val="a7"/>
        <w:keepNext/>
      </w:pPr>
      <w:r w:rsidRPr="001455DC">
        <w:t>(1)</w:t>
      </w:r>
      <w:r w:rsidRPr="001455DC">
        <w:tab/>
        <w:t>The design moment should be taken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5376A9" w:rsidRPr="001455DC" w14:paraId="02768EDC" w14:textId="77777777" w:rsidTr="00EC5547">
        <w:trPr>
          <w:cantSplit/>
        </w:trPr>
        <w:tc>
          <w:tcPr>
            <w:tcW w:w="8505" w:type="dxa"/>
            <w:vAlign w:val="center"/>
          </w:tcPr>
          <w:p w14:paraId="517FDD81" w14:textId="35DD1B36" w:rsidR="005376A9" w:rsidRPr="001455DC" w:rsidRDefault="00231E33" w:rsidP="00EC5547">
            <w:pPr>
              <w:pStyle w:val="Formula"/>
              <w:jc w:val="left"/>
            </w:pPr>
            <m:oMathPara>
              <m:oMathParaPr>
                <m:jc m:val="left"/>
              </m:oMathParaPr>
              <m:oMath>
                <m:sSub>
                  <m:sSubPr>
                    <m:ctrlPr>
                      <w:rPr>
                        <w:rFonts w:ascii="Cambria Math" w:hAnsi="Cambria Math"/>
                      </w:rPr>
                    </m:ctrlPr>
                  </m:sSubPr>
                  <m:e>
                    <m:r>
                      <w:rPr>
                        <w:rFonts w:ascii="Cambria Math" w:hAnsi="Cambria Math"/>
                      </w:rPr>
                      <m:t>M</m:t>
                    </m:r>
                  </m:e>
                  <m:sub>
                    <m:r>
                      <m:rPr>
                        <m:sty m:val="p"/>
                      </m:rPr>
                      <w:rPr>
                        <w:rFonts w:ascii="Cambria Math" w:hAnsi="Cambria Math"/>
                      </w:rPr>
                      <m:t>Ed</m:t>
                    </m:r>
                  </m:sub>
                </m:sSub>
                <m:r>
                  <w:rPr>
                    <w:rFonts w:ascii="Cambria Math" w:hAnsi="Cambria Math"/>
                  </w:rPr>
                  <m:t>=</m:t>
                </m:r>
                <m:r>
                  <m:rPr>
                    <m:sty m:val="p"/>
                  </m:rPr>
                  <w:rPr>
                    <w:rFonts w:ascii="Cambria Math" w:hAnsi="Cambria Math"/>
                  </w:rPr>
                  <m:t>max</m:t>
                </m:r>
                <m:d>
                  <m:dPr>
                    <m:begChr m:val="{"/>
                    <m:sepChr m:val=""/>
                    <m:endChr m:val="}"/>
                    <m:ctrlPr>
                      <w:rPr>
                        <w:rFonts w:ascii="Cambria Math" w:hAnsi="Cambria Math"/>
                      </w:rPr>
                    </m:ctrlPr>
                  </m:dPr>
                  <m:e>
                    <m:sSub>
                      <m:sSubPr>
                        <m:ctrlPr>
                          <w:rPr>
                            <w:rFonts w:ascii="Cambria Math" w:hAnsi="Cambria Math"/>
                          </w:rPr>
                        </m:ctrlPr>
                      </m:sSubPr>
                      <m:e>
                        <m:r>
                          <w:rPr>
                            <w:rFonts w:ascii="Cambria Math" w:hAnsi="Cambria Math"/>
                          </w:rPr>
                          <m:t>M</m:t>
                        </m:r>
                      </m:e>
                      <m:sub>
                        <m:r>
                          <m:rPr>
                            <m:sty m:val="p"/>
                          </m:rPr>
                          <w:rPr>
                            <w:rFonts w:ascii="Cambria Math" w:hAnsi="Cambria Math"/>
                          </w:rPr>
                          <m:t>0Ed</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sSub>
                      <m:sSubPr>
                        <m:ctrlPr>
                          <w:rPr>
                            <w:rFonts w:ascii="Cambria Math" w:hAnsi="Cambria Math"/>
                          </w:rPr>
                        </m:ctrlPr>
                      </m:sSubPr>
                      <m:e>
                        <m:r>
                          <w:rPr>
                            <w:rFonts w:ascii="Cambria Math" w:hAnsi="Cambria Math"/>
                          </w:rPr>
                          <m:t>; M</m:t>
                        </m:r>
                      </m:e>
                      <m:sub>
                        <m:r>
                          <w:rPr>
                            <w:rFonts w:ascii="Cambria Math" w:hAnsi="Cambria Math"/>
                          </w:rPr>
                          <m:t>02</m:t>
                        </m:r>
                      </m:sub>
                    </m:sSub>
                    <m:r>
                      <w:rPr>
                        <w:rFonts w:ascii="Cambria Math" w:hAnsi="Cambria Math"/>
                      </w:rPr>
                      <m:t>;</m:t>
                    </m:r>
                  </m:e>
                  <m:e>
                    <m:d>
                      <m:dPr>
                        <m:begChr m:val="|"/>
                        <m:endChr m:val="|"/>
                        <m:ctrlPr>
                          <w:rPr>
                            <w:rFonts w:ascii="Cambria Math" w:hAnsi="Cambria Math"/>
                          </w:rPr>
                        </m:ctrlPr>
                      </m:dPr>
                      <m:e>
                        <m:sSub>
                          <m:sSubPr>
                            <m:ctrlPr>
                              <w:rPr>
                                <w:rFonts w:ascii="Cambria Math" w:hAnsi="Cambria Math"/>
                              </w:rPr>
                            </m:ctrlPr>
                          </m:sSubPr>
                          <m:e>
                            <m:r>
                              <w:rPr>
                                <w:rFonts w:ascii="Cambria Math" w:hAnsi="Cambria Math"/>
                              </w:rPr>
                              <m:t>M</m:t>
                            </m:r>
                          </m:e>
                          <m:sub>
                            <m:r>
                              <w:rPr>
                                <w:rFonts w:ascii="Cambria Math" w:hAnsi="Cambria Math"/>
                              </w:rPr>
                              <m:t>01</m:t>
                            </m:r>
                          </m:sub>
                        </m:sSub>
                        <m:r>
                          <w:rPr>
                            <w:rFonts w:ascii="Cambria Math" w:hAnsi="Cambria Math"/>
                          </w:rPr>
                          <m:t>-0,5</m:t>
                        </m:r>
                        <m:sSub>
                          <m:sSubPr>
                            <m:ctrlPr>
                              <w:rPr>
                                <w:rFonts w:ascii="Cambria Math" w:hAnsi="Cambria Math"/>
                              </w:rPr>
                            </m:ctrlPr>
                          </m:sSubPr>
                          <m:e>
                            <m:r>
                              <w:rPr>
                                <w:rFonts w:ascii="Cambria Math" w:hAnsi="Cambria Math"/>
                              </w:rPr>
                              <m:t>M</m:t>
                            </m:r>
                          </m:e>
                          <m:sub>
                            <m:r>
                              <w:rPr>
                                <w:rFonts w:ascii="Cambria Math" w:hAnsi="Cambria Math"/>
                              </w:rPr>
                              <m:t>2</m:t>
                            </m:r>
                          </m:sub>
                        </m:sSub>
                        <m:r>
                          <w:rPr>
                            <w:rFonts w:ascii="Cambria Math" w:hAnsi="Cambria Math"/>
                          </w:rPr>
                          <m:t>-2</m:t>
                        </m:r>
                        <m:sSub>
                          <m:sSubPr>
                            <m:ctrlPr>
                              <w:rPr>
                                <w:rFonts w:ascii="Cambria Math" w:hAnsi="Cambria Math"/>
                              </w:rPr>
                            </m:ctrlPr>
                          </m:sSubPr>
                          <m:e>
                            <m:r>
                              <w:rPr>
                                <w:rFonts w:ascii="Cambria Math" w:hAnsi="Cambria Math"/>
                              </w:rPr>
                              <m:t>N</m:t>
                            </m:r>
                          </m:e>
                          <m:sub>
                            <m:r>
                              <m:rPr>
                                <m:sty m:val="p"/>
                              </m:rPr>
                              <w:rPr>
                                <w:rFonts w:ascii="Cambria Math" w:hAnsi="Cambria Math"/>
                              </w:rPr>
                              <m:t>Ed</m:t>
                            </m:r>
                          </m:sub>
                        </m:sSub>
                        <m:r>
                          <w:rPr>
                            <w:rFonts w:ascii="Cambria Math" w:hAnsi="Cambria Math"/>
                          </w:rPr>
                          <m:t>⋅</m:t>
                        </m:r>
                        <m:sSub>
                          <m:sSubPr>
                            <m:ctrlPr>
                              <w:rPr>
                                <w:rFonts w:ascii="Cambria Math" w:hAnsi="Cambria Math"/>
                              </w:rPr>
                            </m:ctrlPr>
                          </m:sSubPr>
                          <m:e>
                            <m:r>
                              <w:rPr>
                                <w:rFonts w:ascii="Cambria Math" w:hAnsi="Cambria Math"/>
                              </w:rPr>
                              <m:t>e</m:t>
                            </m:r>
                          </m:e>
                          <m:sub>
                            <m:r>
                              <m:rPr>
                                <m:sty m:val="p"/>
                              </m:rPr>
                              <w:rPr>
                                <w:rFonts w:ascii="Cambria Math" w:hAnsi="Cambria Math"/>
                              </w:rPr>
                              <m:t>i</m:t>
                            </m:r>
                          </m:sub>
                        </m:sSub>
                      </m:e>
                    </m:d>
                  </m:e>
                </m:d>
              </m:oMath>
            </m:oMathPara>
          </w:p>
        </w:tc>
        <w:tc>
          <w:tcPr>
            <w:tcW w:w="1247" w:type="dxa"/>
            <w:vAlign w:val="center"/>
          </w:tcPr>
          <w:p w14:paraId="3161729C" w14:textId="4F99EE42" w:rsidR="005376A9" w:rsidRPr="001455DC" w:rsidRDefault="005C4C9E" w:rsidP="00EC5547">
            <w:pPr>
              <w:pStyle w:val="a7"/>
              <w:jc w:val="right"/>
            </w:pPr>
            <w:bookmarkStart w:id="2500" w:name="_Ref514914289"/>
            <w:r w:rsidRPr="001455DC">
              <w:t>(O.14)</w:t>
            </w:r>
            <w:bookmarkEnd w:id="2500"/>
          </w:p>
        </w:tc>
      </w:tr>
    </w:tbl>
    <w:p w14:paraId="3ED14B95" w14:textId="77777777" w:rsidR="00B82AA6" w:rsidRPr="001455DC" w:rsidRDefault="00B82AA6"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B82AA6" w:rsidRPr="001455DC" w14:paraId="25673ACA" w14:textId="77777777" w:rsidTr="00B82AA6">
        <w:trPr>
          <w:cantSplit/>
        </w:trPr>
        <w:tc>
          <w:tcPr>
            <w:tcW w:w="567" w:type="dxa"/>
          </w:tcPr>
          <w:p w14:paraId="7E4D7249" w14:textId="4C0AE952" w:rsidR="00B82AA6" w:rsidRPr="001455DC" w:rsidRDefault="00B82AA6" w:rsidP="00A0760E">
            <w:pPr>
              <w:pStyle w:val="Tablebody"/>
            </w:pPr>
            <w:r w:rsidRPr="001455DC">
              <w:rPr>
                <w:rStyle w:val="CCMCvariableitalic"/>
              </w:rPr>
              <w:t>M</w:t>
            </w:r>
            <w:r w:rsidRPr="001455DC">
              <w:rPr>
                <w:rStyle w:val="CCMCvariablesubscript"/>
              </w:rPr>
              <w:t>0Ed</w:t>
            </w:r>
          </w:p>
        </w:tc>
        <w:tc>
          <w:tcPr>
            <w:tcW w:w="8845" w:type="dxa"/>
          </w:tcPr>
          <w:p w14:paraId="64A191E7" w14:textId="6585FC2C" w:rsidR="00B82AA6" w:rsidRPr="001455DC" w:rsidRDefault="00B82AA6" w:rsidP="00A0760E">
            <w:pPr>
              <w:pStyle w:val="Tablebody"/>
            </w:pPr>
            <w:r w:rsidRPr="001455DC">
              <w:t>is the 1</w:t>
            </w:r>
            <w:r w:rsidRPr="001455DC">
              <w:rPr>
                <w:rStyle w:val="CCMCvariablesuperscript"/>
              </w:rPr>
              <w:t>st</w:t>
            </w:r>
            <w:r w:rsidRPr="001455DC">
              <w:t xml:space="preserve"> order moment, including the effect of imperfections, see (2);</w:t>
            </w:r>
          </w:p>
        </w:tc>
      </w:tr>
      <w:tr w:rsidR="00B82AA6" w:rsidRPr="001455DC" w14:paraId="0E63A3C3" w14:textId="77777777" w:rsidTr="00B82AA6">
        <w:trPr>
          <w:cantSplit/>
        </w:trPr>
        <w:tc>
          <w:tcPr>
            <w:tcW w:w="567" w:type="dxa"/>
          </w:tcPr>
          <w:p w14:paraId="26ADC904" w14:textId="6C1173BC" w:rsidR="00B82AA6" w:rsidRPr="001455DC" w:rsidRDefault="00B82AA6" w:rsidP="00A0760E">
            <w:pPr>
              <w:pStyle w:val="Tablebody"/>
            </w:pPr>
            <w:r w:rsidRPr="001455DC">
              <w:rPr>
                <w:rStyle w:val="CCMCvariableitalic"/>
              </w:rPr>
              <w:t>M</w:t>
            </w:r>
            <w:r w:rsidRPr="001455DC">
              <w:rPr>
                <w:rStyle w:val="CCMCvariablesubscript"/>
              </w:rPr>
              <w:t>2</w:t>
            </w:r>
          </w:p>
        </w:tc>
        <w:tc>
          <w:tcPr>
            <w:tcW w:w="8845" w:type="dxa"/>
          </w:tcPr>
          <w:p w14:paraId="74056795" w14:textId="2C94226B" w:rsidR="00B82AA6" w:rsidRPr="001455DC" w:rsidRDefault="00B82AA6" w:rsidP="00A0760E">
            <w:pPr>
              <w:pStyle w:val="Tablebody"/>
            </w:pPr>
            <w:r w:rsidRPr="001455DC">
              <w:t>is the nominal 2</w:t>
            </w:r>
            <w:r w:rsidRPr="001455DC">
              <w:rPr>
                <w:rStyle w:val="CCMCvariablesuperscript"/>
              </w:rPr>
              <w:t>nd</w:t>
            </w:r>
            <w:r w:rsidRPr="001455DC">
              <w:t xml:space="preserve"> order moment, see (3).</w:t>
            </w:r>
          </w:p>
        </w:tc>
      </w:tr>
    </w:tbl>
    <w:p w14:paraId="1E765D84" w14:textId="77777777" w:rsidR="004E22C1" w:rsidRPr="001455DC" w:rsidRDefault="004E22C1" w:rsidP="004C68F7">
      <w:pPr>
        <w:pStyle w:val="Tablebody"/>
      </w:pPr>
      <w:r w:rsidRPr="001455DC">
        <w:rPr>
          <w:rStyle w:val="CCMCvariableitalic"/>
        </w:rPr>
        <w:t>M</w:t>
      </w:r>
      <w:r w:rsidRPr="001455DC">
        <w:rPr>
          <w:rStyle w:val="CCMCvariablesubscript"/>
        </w:rPr>
        <w:t>01</w:t>
      </w:r>
      <w:r w:rsidRPr="001455DC">
        <w:t xml:space="preserve">, </w:t>
      </w:r>
      <w:r w:rsidRPr="001455DC">
        <w:rPr>
          <w:rStyle w:val="CCMCvariableitalic"/>
        </w:rPr>
        <w:t>M</w:t>
      </w:r>
      <w:r w:rsidRPr="001455DC">
        <w:rPr>
          <w:rStyle w:val="CCMCvariablesubscript"/>
        </w:rPr>
        <w:t>02</w:t>
      </w:r>
      <w:r w:rsidRPr="001455DC">
        <w:t xml:space="preserve"> are the first order moments at both supports 1 and 2, see Figure O.1.</w:t>
      </w:r>
    </w:p>
    <w:p w14:paraId="3DEE5883" w14:textId="77777777" w:rsidR="004E22C1" w:rsidRPr="001455DC" w:rsidRDefault="004E22C1" w:rsidP="004C68F7">
      <w:pPr>
        <w:pStyle w:val="a7"/>
      </w:pPr>
      <w:r w:rsidRPr="001455DC">
        <w:t xml:space="preserve">The maximum value of </w:t>
      </w:r>
      <w:r w:rsidRPr="001455DC">
        <w:rPr>
          <w:rStyle w:val="CCMCvariableitalic"/>
        </w:rPr>
        <w:t>M</w:t>
      </w:r>
      <w:r w:rsidRPr="001455DC">
        <w:rPr>
          <w:rStyle w:val="CCMCvariablesubscript"/>
        </w:rPr>
        <w:t>Ed</w:t>
      </w:r>
      <w:r w:rsidRPr="001455DC">
        <w:t xml:space="preserve"> depends on the distributions of </w:t>
      </w:r>
      <w:r w:rsidRPr="001455DC">
        <w:rPr>
          <w:rStyle w:val="CCMCvariableitalic"/>
        </w:rPr>
        <w:t>M</w:t>
      </w:r>
      <w:r w:rsidRPr="001455DC">
        <w:rPr>
          <w:rStyle w:val="CCMCvariablesubscript"/>
        </w:rPr>
        <w:t>0Ed</w:t>
      </w:r>
      <w:r w:rsidRPr="001455DC">
        <w:t xml:space="preserve"> and </w:t>
      </w:r>
      <w:r w:rsidRPr="001455DC">
        <w:rPr>
          <w:rStyle w:val="CCMCvariableitalic"/>
        </w:rPr>
        <w:t>M</w:t>
      </w:r>
      <w:r w:rsidRPr="001455DC">
        <w:rPr>
          <w:rStyle w:val="CCMCvariablesubscript"/>
        </w:rPr>
        <w:t>2</w:t>
      </w:r>
      <w:r w:rsidRPr="001455DC">
        <w:t xml:space="preserve"> over the member length; the latter may be taken as parabolic or sinusoidal over the effective length.</w:t>
      </w:r>
    </w:p>
    <w:p w14:paraId="42F0941B" w14:textId="1225E677" w:rsidR="000C5E66" w:rsidRPr="001455DC" w:rsidRDefault="000C5E66" w:rsidP="004C68F7">
      <w:pPr>
        <w:pStyle w:val="FigureImage"/>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7"/>
        <w:gridCol w:w="3247"/>
        <w:gridCol w:w="3247"/>
      </w:tblGrid>
      <w:tr w:rsidR="007D1D29" w:rsidRPr="001455DC" w14:paraId="56FFC668" w14:textId="77777777" w:rsidTr="007D1D29">
        <w:tc>
          <w:tcPr>
            <w:tcW w:w="9741" w:type="dxa"/>
            <w:gridSpan w:val="3"/>
          </w:tcPr>
          <w:p w14:paraId="03C92792" w14:textId="07DBE3B6" w:rsidR="007D1D29" w:rsidRPr="001455DC" w:rsidRDefault="00723CF7" w:rsidP="004C68F7">
            <w:pPr>
              <w:pStyle w:val="FigureImage"/>
            </w:pPr>
            <w:r>
              <w:rPr>
                <w:noProof/>
                <w:lang w:eastAsia="en-GB"/>
              </w:rPr>
              <w:fldChar w:fldCharType="begin"/>
            </w:r>
            <w:r>
              <w:rPr>
                <w:rFonts w:cs="Times New Roman"/>
                <w:noProof/>
                <w:lang w:eastAsia="en-GB"/>
              </w:rPr>
              <w:instrText xml:space="preserve"> INCLUDEPICTURE  "Y:\\STD_MGT\\STDDEL\\PRODUCTION\\etrans\\Download\\Z_FIRST_DEL\\SV\\00250\\00250269\\41_e_dr\\o001.tif" \* MERGEFORMATINET </w:instrText>
            </w:r>
            <w:r>
              <w:rPr>
                <w:noProof/>
                <w:lang w:eastAsia="en-GB"/>
              </w:rPr>
              <w:fldChar w:fldCharType="separate"/>
            </w:r>
            <w:r w:rsidR="00FA575F">
              <w:rPr>
                <w:noProof/>
                <w:lang w:eastAsia="en-GB"/>
              </w:rPr>
              <w:fldChar w:fldCharType="begin"/>
            </w:r>
            <w:r w:rsidR="00FA575F">
              <w:rPr>
                <w:noProof/>
                <w:lang w:eastAsia="en-GB"/>
              </w:rPr>
              <w:instrText xml:space="preserve"> INCLUDEPICTURE  "Y:\\STD_MGT\\STDDEL\\PRODUCTION\\Standards\\00250\\269\\41_e_dr\\o001.tif" \* MERGEFORMATINET </w:instrText>
            </w:r>
            <w:r w:rsidR="00FA575F">
              <w:rPr>
                <w:noProof/>
                <w:lang w:eastAsia="en-GB"/>
              </w:rPr>
              <w:fldChar w:fldCharType="separate"/>
            </w:r>
            <w:r w:rsidR="00C54E80">
              <w:rPr>
                <w:noProof/>
                <w:lang w:eastAsia="en-GB"/>
              </w:rPr>
              <w:fldChar w:fldCharType="begin"/>
            </w:r>
            <w:r w:rsidR="00C54E80">
              <w:rPr>
                <w:noProof/>
                <w:lang w:eastAsia="en-GB"/>
              </w:rPr>
              <w:instrText xml:space="preserve"> INCLUDEPICTURE  "Y:\\STD_MGT\\STDDEL\\PRODUCTION\\Standards\\00250\\269\\41_e_dr\\o001.tif" \* MERGEFORMATINET </w:instrText>
            </w:r>
            <w:r w:rsidR="00C54E80">
              <w:rPr>
                <w:noProof/>
                <w:lang w:eastAsia="en-GB"/>
              </w:rPr>
              <w:fldChar w:fldCharType="separate"/>
            </w:r>
            <w:r w:rsidR="004B62E7">
              <w:rPr>
                <w:noProof/>
                <w:lang w:eastAsia="en-GB"/>
              </w:rPr>
              <w:fldChar w:fldCharType="begin"/>
            </w:r>
            <w:r w:rsidR="004B62E7">
              <w:rPr>
                <w:noProof/>
                <w:lang w:eastAsia="en-GB"/>
              </w:rPr>
              <w:instrText xml:space="preserve"> INCLUDEPICTURE  "Y:\\STD_MGT\\STDDEL\\PRODUCTION\\Standards\\00250\\269\\41_e_dr\\o001.tif" \* MERGEFORMATINET </w:instrText>
            </w:r>
            <w:r w:rsidR="004B62E7">
              <w:rPr>
                <w:noProof/>
                <w:lang w:eastAsia="en-GB"/>
              </w:rPr>
              <w:fldChar w:fldCharType="separate"/>
            </w:r>
            <w:r w:rsidR="00B078F1">
              <w:rPr>
                <w:noProof/>
                <w:lang w:eastAsia="en-GB"/>
              </w:rPr>
              <w:fldChar w:fldCharType="begin"/>
            </w:r>
            <w:r w:rsidR="00B078F1">
              <w:rPr>
                <w:noProof/>
                <w:lang w:eastAsia="en-GB"/>
              </w:rPr>
              <w:instrText xml:space="preserve"> INCLUDEPICTURE  "Y:\\STD_MGT\\STDDEL\\PRODUCTION\\Standards\\00250\\269\\41_e_dr\\o001.tif" \* MERGEFORMATINET </w:instrText>
            </w:r>
            <w:r w:rsidR="00B078F1">
              <w:rPr>
                <w:noProof/>
                <w:lang w:eastAsia="en-GB"/>
              </w:rPr>
              <w:fldChar w:fldCharType="separate"/>
            </w:r>
            <w:r w:rsidR="000250B6">
              <w:rPr>
                <w:noProof/>
                <w:lang w:eastAsia="en-GB"/>
              </w:rPr>
              <w:fldChar w:fldCharType="begin"/>
            </w:r>
            <w:r w:rsidR="000250B6">
              <w:rPr>
                <w:noProof/>
                <w:lang w:eastAsia="en-GB"/>
              </w:rPr>
              <w:instrText xml:space="preserve"> INCLUDEPICTURE  "Y:\\STD_MGT\\STDDEL\\PRODUCTION\\Standards\\00250\\269\\41_e_dr\\o001.tif" \* MERGEFORMATINET </w:instrText>
            </w:r>
            <w:r w:rsidR="000250B6">
              <w:rPr>
                <w:noProof/>
                <w:lang w:eastAsia="en-GB"/>
              </w:rPr>
              <w:fldChar w:fldCharType="separate"/>
            </w:r>
            <w:r w:rsidR="00231E33">
              <w:rPr>
                <w:noProof/>
                <w:lang w:eastAsia="en-GB"/>
              </w:rPr>
              <w:fldChar w:fldCharType="begin"/>
            </w:r>
            <w:r w:rsidR="00231E33">
              <w:rPr>
                <w:noProof/>
                <w:lang w:eastAsia="en-GB"/>
              </w:rPr>
              <w:instrText xml:space="preserve"> </w:instrText>
            </w:r>
            <w:r w:rsidR="00231E33">
              <w:rPr>
                <w:noProof/>
                <w:lang w:eastAsia="en-GB"/>
              </w:rPr>
              <w:instrText>INCLUDEPICTURE  "C:\\Users\\a.dionysiou\\AppData\\Local\\Temp\\Temp1_00250269_e_20210902.zip.zip\\41_e_dr\\o001.tif" \* MERGEFORMATINET</w:instrText>
            </w:r>
            <w:r w:rsidR="00231E33">
              <w:rPr>
                <w:noProof/>
                <w:lang w:eastAsia="en-GB"/>
              </w:rPr>
              <w:instrText xml:space="preserve"> </w:instrText>
            </w:r>
            <w:r w:rsidR="00231E33">
              <w:rPr>
                <w:noProof/>
                <w:lang w:eastAsia="en-GB"/>
              </w:rPr>
              <w:fldChar w:fldCharType="separate"/>
            </w:r>
            <w:r w:rsidR="00231E33">
              <w:rPr>
                <w:noProof/>
                <w:lang w:eastAsia="en-GB"/>
              </w:rPr>
              <w:pict w14:anchorId="2DAA2380">
                <v:shape id="_x0000_i1335" type="#_x0000_t75" style="width:302.25pt;height:216.75pt">
                  <v:imagedata r:id="rId640" r:href="rId641"/>
                </v:shape>
              </w:pict>
            </w:r>
            <w:r w:rsidR="00231E33">
              <w:rPr>
                <w:rFonts w:cs="Times New Roman"/>
                <w:noProof/>
                <w:lang w:eastAsia="en-GB"/>
              </w:rPr>
              <w:fldChar w:fldCharType="end"/>
            </w:r>
            <w:r w:rsidR="000250B6">
              <w:rPr>
                <w:noProof/>
                <w:lang w:eastAsia="en-GB"/>
              </w:rPr>
              <w:fldChar w:fldCharType="end"/>
            </w:r>
            <w:r w:rsidR="00B078F1">
              <w:rPr>
                <w:noProof/>
                <w:lang w:eastAsia="en-GB"/>
              </w:rPr>
              <w:fldChar w:fldCharType="end"/>
            </w:r>
            <w:r w:rsidR="004B62E7">
              <w:rPr>
                <w:noProof/>
                <w:lang w:eastAsia="en-GB"/>
              </w:rPr>
              <w:fldChar w:fldCharType="end"/>
            </w:r>
            <w:r w:rsidR="00C54E80">
              <w:rPr>
                <w:noProof/>
                <w:lang w:eastAsia="en-GB"/>
              </w:rPr>
              <w:fldChar w:fldCharType="end"/>
            </w:r>
            <w:r w:rsidR="00FA575F">
              <w:rPr>
                <w:noProof/>
                <w:lang w:eastAsia="en-GB"/>
              </w:rPr>
              <w:fldChar w:fldCharType="end"/>
            </w:r>
            <w:r>
              <w:rPr>
                <w:noProof/>
                <w:lang w:eastAsia="en-GB"/>
              </w:rPr>
              <w:fldChar w:fldCharType="end"/>
            </w:r>
          </w:p>
        </w:tc>
      </w:tr>
      <w:tr w:rsidR="000C5E66" w:rsidRPr="001455DC" w14:paraId="017B2B6A" w14:textId="77777777" w:rsidTr="003F0CF8">
        <w:tc>
          <w:tcPr>
            <w:tcW w:w="3247" w:type="dxa"/>
          </w:tcPr>
          <w:p w14:paraId="2D6B70BA" w14:textId="37FC76C2" w:rsidR="000C5E66" w:rsidRPr="001455DC" w:rsidRDefault="000C5E66" w:rsidP="004C68F7">
            <w:pPr>
              <w:pStyle w:val="FigureImage"/>
            </w:pPr>
            <w:r w:rsidRPr="001455DC">
              <w:t>a) First order moments for “stocky” columns</w:t>
            </w:r>
          </w:p>
        </w:tc>
        <w:tc>
          <w:tcPr>
            <w:tcW w:w="3247" w:type="dxa"/>
          </w:tcPr>
          <w:p w14:paraId="0DD06D75" w14:textId="35152393" w:rsidR="000C5E66" w:rsidRPr="001455DC" w:rsidRDefault="000C5E66">
            <w:pPr>
              <w:pStyle w:val="FigureImage"/>
            </w:pPr>
            <w:r w:rsidRPr="001455DC">
              <w:t>b) Additional second order moments for “slender” columns</w:t>
            </w:r>
          </w:p>
        </w:tc>
        <w:tc>
          <w:tcPr>
            <w:tcW w:w="3247" w:type="dxa"/>
          </w:tcPr>
          <w:p w14:paraId="1003EBD6" w14:textId="43374DAE" w:rsidR="000C5E66" w:rsidRPr="001455DC" w:rsidRDefault="000C5E66" w:rsidP="004C68F7">
            <w:pPr>
              <w:pStyle w:val="FigureImage"/>
            </w:pPr>
            <w:r w:rsidRPr="001455DC">
              <w:t>c) Envelope of design moments for a slender column</w:t>
            </w:r>
          </w:p>
        </w:tc>
      </w:tr>
    </w:tbl>
    <w:p w14:paraId="043657F1" w14:textId="77777777" w:rsidR="004E22C1" w:rsidRPr="001455DC" w:rsidRDefault="004E22C1" w:rsidP="004C68F7">
      <w:pPr>
        <w:pStyle w:val="Figuretitle"/>
      </w:pPr>
      <w:r w:rsidRPr="001455DC">
        <w:t>Figure O.1</w:t>
      </w:r>
      <w:r w:rsidRPr="001455DC">
        <w:rPr>
          <w:lang w:eastAsia="ja-JP"/>
        </w:rPr>
        <w:t xml:space="preserve"> — </w:t>
      </w:r>
      <w:r w:rsidRPr="001455DC">
        <w:t>First order moments, additional second order moments and moment envelope in a braced column</w:t>
      </w:r>
    </w:p>
    <w:p w14:paraId="795701CC" w14:textId="77777777" w:rsidR="005376A9" w:rsidRPr="001455DC" w:rsidRDefault="004E22C1" w:rsidP="005376A9">
      <w:pPr>
        <w:pStyle w:val="a7"/>
      </w:pPr>
      <w:r w:rsidRPr="001455DC">
        <w:t>(2)</w:t>
      </w:r>
      <w:r w:rsidRPr="001455DC">
        <w:tab/>
        <w:t>For unbraced single compression members and for compression members in braced frame systems, with significant transverse loads on the member:</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5376A9" w:rsidRPr="001455DC" w14:paraId="73790718" w14:textId="77777777" w:rsidTr="00EC5547">
        <w:trPr>
          <w:cantSplit/>
        </w:trPr>
        <w:tc>
          <w:tcPr>
            <w:tcW w:w="8505" w:type="dxa"/>
            <w:vAlign w:val="center"/>
          </w:tcPr>
          <w:p w14:paraId="19ECEABE" w14:textId="41F9050D" w:rsidR="005376A9" w:rsidRPr="001455DC" w:rsidRDefault="00B82AA6" w:rsidP="00EC5547">
            <w:pPr>
              <w:pStyle w:val="Formula"/>
              <w:jc w:val="left"/>
            </w:pPr>
            <w:r w:rsidRPr="001455DC">
              <w:rPr>
                <w:rStyle w:val="CCMCvariableitalic"/>
              </w:rPr>
              <w:t>M</w:t>
            </w:r>
            <w:r w:rsidRPr="001455DC">
              <w:rPr>
                <w:rStyle w:val="CCMCvariablesubscript"/>
              </w:rPr>
              <w:t>0Ed</w:t>
            </w:r>
            <w:r w:rsidRPr="001455DC">
              <w:t> </w:t>
            </w:r>
            <w:r w:rsidR="00EC27D2" w:rsidRPr="001455DC">
              <w:rPr>
                <w:rFonts w:ascii="Cambria Math" w:hAnsi="Cambria Math"/>
              </w:rPr>
              <w:t>=</w:t>
            </w:r>
            <w:r w:rsidRPr="001455DC">
              <w:t> </w:t>
            </w:r>
            <w:r w:rsidRPr="001455DC">
              <w:rPr>
                <w:rStyle w:val="CCMCvariableitalic"/>
              </w:rPr>
              <w:t>M</w:t>
            </w:r>
            <w:r w:rsidRPr="001455DC">
              <w:rPr>
                <w:rStyle w:val="CCMCvariablesubscript"/>
              </w:rPr>
              <w:t>02</w:t>
            </w:r>
          </w:p>
        </w:tc>
        <w:tc>
          <w:tcPr>
            <w:tcW w:w="1247" w:type="dxa"/>
            <w:vAlign w:val="center"/>
          </w:tcPr>
          <w:p w14:paraId="30F649C6" w14:textId="164E2DE6" w:rsidR="005376A9" w:rsidRPr="001455DC" w:rsidRDefault="00B82AA6" w:rsidP="00EC5547">
            <w:pPr>
              <w:pStyle w:val="a7"/>
              <w:jc w:val="right"/>
            </w:pPr>
            <w:r w:rsidRPr="001455DC">
              <w:t>(O.15)</w:t>
            </w:r>
          </w:p>
        </w:tc>
      </w:tr>
    </w:tbl>
    <w:p w14:paraId="18F9D09B" w14:textId="77777777" w:rsidR="005376A9" w:rsidRPr="001455DC" w:rsidRDefault="004E22C1" w:rsidP="005376A9">
      <w:pPr>
        <w:pStyle w:val="a7"/>
      </w:pPr>
      <w:r w:rsidRPr="001455DC">
        <w:t>For compression members in braced frame systems, without significant transverse loads on the member:</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5376A9" w:rsidRPr="001455DC" w14:paraId="3E68E215" w14:textId="77777777" w:rsidTr="00EC5547">
        <w:trPr>
          <w:cantSplit/>
        </w:trPr>
        <w:tc>
          <w:tcPr>
            <w:tcW w:w="8505" w:type="dxa"/>
            <w:vAlign w:val="center"/>
          </w:tcPr>
          <w:p w14:paraId="42C47B76" w14:textId="17B72793" w:rsidR="005376A9" w:rsidRPr="001455DC" w:rsidRDefault="00B82AA6" w:rsidP="00EC5547">
            <w:pPr>
              <w:pStyle w:val="Formula"/>
              <w:jc w:val="left"/>
            </w:pPr>
            <w:r w:rsidRPr="001455DC">
              <w:rPr>
                <w:rStyle w:val="CCMCvariableitalic"/>
              </w:rPr>
              <w:t>M</w:t>
            </w:r>
            <w:r w:rsidRPr="001455DC">
              <w:rPr>
                <w:rStyle w:val="CCMCvariablesubscript"/>
              </w:rPr>
              <w:t>0Ed</w:t>
            </w:r>
            <w:r w:rsidRPr="001455DC">
              <w:t> </w:t>
            </w:r>
            <w:r w:rsidR="00EC27D2" w:rsidRPr="001455DC">
              <w:rPr>
                <w:rFonts w:ascii="Cambria Math" w:hAnsi="Cambria Math"/>
              </w:rPr>
              <w:t>=</w:t>
            </w:r>
            <w:r w:rsidRPr="001455DC">
              <w:t> </w:t>
            </w:r>
            <w:r w:rsidRPr="001455DC">
              <w:rPr>
                <w:rStyle w:val="CCMCvariableitalic"/>
              </w:rPr>
              <w:t>C</w:t>
            </w:r>
            <w:r w:rsidRPr="001455DC">
              <w:rPr>
                <w:rStyle w:val="CCMCvariablesubscript"/>
              </w:rPr>
              <w:t>m</w:t>
            </w:r>
            <w:r w:rsidRPr="001455DC">
              <w:t> </w:t>
            </w:r>
            <w:r w:rsidR="00C74721" w:rsidRPr="001455DC">
              <w:rPr>
                <w:rFonts w:ascii="Cambria Math" w:hAnsi="Cambria Math"/>
              </w:rPr>
              <w:t>⋅</w:t>
            </w:r>
            <w:r w:rsidRPr="001455DC">
              <w:t> </w:t>
            </w:r>
            <w:r w:rsidRPr="001455DC">
              <w:rPr>
                <w:rStyle w:val="CCMCvariableitalic"/>
              </w:rPr>
              <w:t>M</w:t>
            </w:r>
            <w:r w:rsidRPr="001455DC">
              <w:rPr>
                <w:rStyle w:val="CCMCvariablesubscript"/>
              </w:rPr>
              <w:t>02</w:t>
            </w:r>
          </w:p>
        </w:tc>
        <w:tc>
          <w:tcPr>
            <w:tcW w:w="1247" w:type="dxa"/>
            <w:vAlign w:val="center"/>
          </w:tcPr>
          <w:p w14:paraId="06C13DB4" w14:textId="14042AFC" w:rsidR="005376A9" w:rsidRPr="001455DC" w:rsidRDefault="00B82AA6" w:rsidP="00EC5547">
            <w:pPr>
              <w:pStyle w:val="a7"/>
              <w:jc w:val="right"/>
            </w:pPr>
            <w:r w:rsidRPr="001455DC">
              <w:t>(O.16)</w:t>
            </w:r>
          </w:p>
        </w:tc>
      </w:tr>
    </w:tbl>
    <w:p w14:paraId="1209C1BB" w14:textId="77777777" w:rsidR="005376A9" w:rsidRPr="001455DC" w:rsidRDefault="004E22C1" w:rsidP="00A35599">
      <w:pPr>
        <w:pStyle w:val="a7"/>
        <w:keepNext/>
      </w:pPr>
      <w:r w:rsidRPr="001455DC">
        <w:t>where</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5376A9" w:rsidRPr="001455DC" w14:paraId="2A258898" w14:textId="77777777" w:rsidTr="00EC5547">
        <w:trPr>
          <w:cantSplit/>
        </w:trPr>
        <w:tc>
          <w:tcPr>
            <w:tcW w:w="8505" w:type="dxa"/>
            <w:vAlign w:val="center"/>
          </w:tcPr>
          <w:p w14:paraId="1B59CF5E" w14:textId="349FF0CD" w:rsidR="005376A9" w:rsidRPr="001455DC" w:rsidRDefault="00B82AA6" w:rsidP="00EC5547">
            <w:pPr>
              <w:pStyle w:val="Formula"/>
              <w:jc w:val="left"/>
            </w:pPr>
            <w:r w:rsidRPr="001455DC">
              <w:rPr>
                <w:rStyle w:val="CCMCvariableitalic"/>
              </w:rPr>
              <w:t>C</w:t>
            </w:r>
            <w:r w:rsidRPr="001455DC">
              <w:rPr>
                <w:rStyle w:val="CCMCvariablesubscript"/>
              </w:rPr>
              <w:t>m</w:t>
            </w:r>
            <w:r w:rsidRPr="001455DC">
              <w:t> </w:t>
            </w:r>
            <w:r w:rsidR="00EC27D2" w:rsidRPr="001455DC">
              <w:rPr>
                <w:rFonts w:ascii="Cambria Math" w:hAnsi="Cambria Math"/>
              </w:rPr>
              <w:t>=</w:t>
            </w:r>
            <w:r w:rsidRPr="001455DC">
              <w:t> 0,6</w:t>
            </w:r>
            <w:r w:rsidR="00EC27D2" w:rsidRPr="001455DC">
              <w:rPr>
                <w:rFonts w:ascii="Cambria Math" w:hAnsi="Cambria Math"/>
              </w:rPr>
              <w:t> + </w:t>
            </w:r>
            <w:r w:rsidRPr="001455DC">
              <w:t>0,4</w:t>
            </w:r>
            <w:r w:rsidRPr="001455DC">
              <w:rPr>
                <w:rStyle w:val="CCMCvariableitalic"/>
              </w:rPr>
              <w:t>r</w:t>
            </w:r>
            <w:r w:rsidRPr="001455DC">
              <w:rPr>
                <w:rStyle w:val="CCMCvariablesubscript"/>
              </w:rPr>
              <w:t>m</w:t>
            </w:r>
            <w:r w:rsidRPr="001455DC">
              <w:t> </w:t>
            </w:r>
            <w:r w:rsidR="00650035" w:rsidRPr="001455DC">
              <w:rPr>
                <w:rFonts w:ascii="Cambria Math" w:hAnsi="Cambria Math"/>
              </w:rPr>
              <w:t>≥</w:t>
            </w:r>
            <w:r w:rsidRPr="001455DC">
              <w:t> 0,4</w:t>
            </w:r>
          </w:p>
        </w:tc>
        <w:tc>
          <w:tcPr>
            <w:tcW w:w="1247" w:type="dxa"/>
            <w:vAlign w:val="center"/>
          </w:tcPr>
          <w:p w14:paraId="5F7517F9" w14:textId="0EC689BE" w:rsidR="005376A9" w:rsidRPr="001455DC" w:rsidRDefault="00B82AA6" w:rsidP="00EC5547">
            <w:pPr>
              <w:pStyle w:val="a7"/>
              <w:jc w:val="right"/>
            </w:pPr>
            <w:r w:rsidRPr="001455DC">
              <w:t>(O.17)</w:t>
            </w:r>
          </w:p>
        </w:tc>
      </w:tr>
      <w:tr w:rsidR="005376A9" w:rsidRPr="001455DC" w14:paraId="60F009BD" w14:textId="77777777" w:rsidTr="00EC5547">
        <w:trPr>
          <w:cantSplit/>
        </w:trPr>
        <w:tc>
          <w:tcPr>
            <w:tcW w:w="8505" w:type="dxa"/>
            <w:vAlign w:val="center"/>
          </w:tcPr>
          <w:p w14:paraId="08432D28" w14:textId="58740BF1" w:rsidR="005376A9" w:rsidRPr="001455DC" w:rsidRDefault="00B82AA6" w:rsidP="00EC5547">
            <w:pPr>
              <w:pStyle w:val="Formula"/>
              <w:jc w:val="left"/>
            </w:pPr>
            <w:r w:rsidRPr="001455DC">
              <w:rPr>
                <w:rStyle w:val="CCMCvariableitalic"/>
              </w:rPr>
              <w:t>r</w:t>
            </w:r>
            <w:r w:rsidRPr="001455DC">
              <w:rPr>
                <w:rStyle w:val="CCMCvariablesubscript"/>
              </w:rPr>
              <w:t>m</w:t>
            </w:r>
            <w:r w:rsidRPr="001455DC">
              <w:t> </w:t>
            </w:r>
            <w:r w:rsidR="00EC27D2" w:rsidRPr="001455DC">
              <w:rPr>
                <w:rFonts w:ascii="Cambria Math" w:hAnsi="Cambria Math"/>
              </w:rPr>
              <w:t>=</w:t>
            </w:r>
            <w:r w:rsidRPr="001455DC">
              <w:t xml:space="preserve"> 1 in case </w:t>
            </w:r>
            <w:r w:rsidRPr="001455DC">
              <w:rPr>
                <w:rStyle w:val="CCMCvariableitalic"/>
              </w:rPr>
              <w:t>M</w:t>
            </w:r>
            <w:r w:rsidRPr="001455DC">
              <w:rPr>
                <w:rStyle w:val="CCMCvariablesubscript"/>
              </w:rPr>
              <w:t>02</w:t>
            </w:r>
            <w:r w:rsidRPr="001455DC">
              <w:t> </w:t>
            </w:r>
            <w:r w:rsidR="00650035" w:rsidRPr="001455DC">
              <w:rPr>
                <w:rFonts w:ascii="Cambria Math" w:hAnsi="Cambria Math"/>
              </w:rPr>
              <w:t>&lt;</w:t>
            </w:r>
            <w:r w:rsidRPr="001455DC">
              <w:t xml:space="preserve"> 0,05 </w:t>
            </w:r>
            <w:r w:rsidRPr="001455DC">
              <w:rPr>
                <w:rStyle w:val="CCMCvariableitalic"/>
              </w:rPr>
              <w:t>N</w:t>
            </w:r>
            <w:r w:rsidRPr="001455DC">
              <w:rPr>
                <w:rStyle w:val="CCMCvariablesubscript"/>
              </w:rPr>
              <w:t>Ed</w:t>
            </w:r>
            <w:r w:rsidRPr="001455DC">
              <w:t> </w:t>
            </w:r>
            <w:r w:rsidRPr="001455DC">
              <w:rPr>
                <w:rFonts w:ascii="Cambria Math" w:hAnsi="Cambria Math" w:cs="Cambria Math"/>
              </w:rPr>
              <w:t>⋅</w:t>
            </w:r>
            <w:r w:rsidRPr="001455DC">
              <w:t> </w:t>
            </w:r>
            <w:r w:rsidRPr="001455DC">
              <w:rPr>
                <w:rStyle w:val="CCMCvariableitalic"/>
              </w:rPr>
              <w:t>h</w:t>
            </w:r>
          </w:p>
        </w:tc>
        <w:tc>
          <w:tcPr>
            <w:tcW w:w="1247" w:type="dxa"/>
            <w:vAlign w:val="center"/>
          </w:tcPr>
          <w:p w14:paraId="14281666" w14:textId="28D445EC" w:rsidR="005376A9" w:rsidRPr="001455DC" w:rsidRDefault="00B82AA6" w:rsidP="00EC5547">
            <w:pPr>
              <w:pStyle w:val="a7"/>
              <w:jc w:val="right"/>
            </w:pPr>
            <w:r w:rsidRPr="001455DC">
              <w:t>(O.18)</w:t>
            </w:r>
          </w:p>
        </w:tc>
      </w:tr>
    </w:tbl>
    <w:p w14:paraId="39024E5D" w14:textId="67CFFA44" w:rsidR="004E22C1" w:rsidRPr="001455DC" w:rsidRDefault="004E22C1" w:rsidP="004C68F7">
      <w:pPr>
        <w:pStyle w:val="Tablebody"/>
      </w:pPr>
      <w:r w:rsidRPr="001455DC">
        <w:rPr>
          <w:rStyle w:val="CCMCvariableitalic"/>
        </w:rPr>
        <w:t>C</w:t>
      </w:r>
      <w:r w:rsidRPr="001455DC">
        <w:rPr>
          <w:rStyle w:val="CCMCvariablesubscript"/>
        </w:rPr>
        <w:t>m</w:t>
      </w:r>
      <w:r w:rsidRPr="001455DC">
        <w:rPr>
          <w:rStyle w:val="CCMCvariableitalic"/>
        </w:rPr>
        <w:t>M</w:t>
      </w:r>
      <w:r w:rsidRPr="001455DC">
        <w:rPr>
          <w:rStyle w:val="CCMCvariablesubscript"/>
        </w:rPr>
        <w:t>02</w:t>
      </w:r>
      <w:r w:rsidRPr="001455DC">
        <w:t xml:space="preserve"> is an equivalent moment assumed to be constant over the length and therefore </w:t>
      </w:r>
      <w:r w:rsidRPr="001455DC">
        <w:rPr>
          <w:rStyle w:val="CCMCvariableitalic"/>
        </w:rPr>
        <w:t>c</w:t>
      </w:r>
      <w:r w:rsidRPr="001455DC">
        <w:rPr>
          <w:rStyle w:val="CCMCvariablesubscript"/>
        </w:rPr>
        <w:t>1/r</w:t>
      </w:r>
      <w:r w:rsidRPr="001455DC">
        <w:t> </w:t>
      </w:r>
      <w:r w:rsidR="00EC27D2" w:rsidRPr="001455DC">
        <w:rPr>
          <w:rFonts w:ascii="Cambria Math" w:hAnsi="Cambria Math"/>
        </w:rPr>
        <w:t>=</w:t>
      </w:r>
      <w:r w:rsidRPr="001455DC">
        <w:t> 8 (corresponding to constant moment).</w:t>
      </w:r>
    </w:p>
    <w:p w14:paraId="58F542F2" w14:textId="77777777" w:rsidR="005376A9" w:rsidRPr="001455DC" w:rsidRDefault="004E22C1" w:rsidP="005376A9">
      <w:pPr>
        <w:pStyle w:val="a7"/>
      </w:pPr>
      <w:r w:rsidRPr="001455DC">
        <w:t>(3)</w:t>
      </w:r>
      <w:r w:rsidRPr="001455DC">
        <w:tab/>
        <w:t xml:space="preserve">The nominal second order moment </w:t>
      </w:r>
      <w:r w:rsidRPr="001455DC">
        <w:rPr>
          <w:rStyle w:val="CCMCvariableitalic"/>
        </w:rPr>
        <w:t>M</w:t>
      </w:r>
      <w:r w:rsidRPr="001455DC">
        <w:rPr>
          <w:rStyle w:val="CCMCvariablesubscript"/>
        </w:rPr>
        <w:t>2</w:t>
      </w:r>
      <w:r w:rsidRPr="001455DC">
        <w:t xml:space="preserve"> at the critical section should be taken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5376A9" w:rsidRPr="001455DC" w14:paraId="77489796" w14:textId="77777777" w:rsidTr="00EC5547">
        <w:trPr>
          <w:cantSplit/>
        </w:trPr>
        <w:tc>
          <w:tcPr>
            <w:tcW w:w="8505" w:type="dxa"/>
            <w:vAlign w:val="center"/>
          </w:tcPr>
          <w:p w14:paraId="54161FCF" w14:textId="0F064EA5" w:rsidR="005376A9" w:rsidRPr="001455DC" w:rsidRDefault="00B82AA6" w:rsidP="00EC5547">
            <w:pPr>
              <w:pStyle w:val="Formula"/>
              <w:jc w:val="left"/>
            </w:pPr>
            <w:r w:rsidRPr="001455DC">
              <w:rPr>
                <w:rStyle w:val="CCMCvariableitalic"/>
              </w:rPr>
              <w:t>M</w:t>
            </w:r>
            <w:r w:rsidRPr="001455DC">
              <w:rPr>
                <w:rStyle w:val="CCMCvariablesubscript"/>
              </w:rPr>
              <w:t>2</w:t>
            </w:r>
            <w:r w:rsidRPr="001455DC">
              <w:t> </w:t>
            </w:r>
            <w:r w:rsidR="00EC27D2" w:rsidRPr="001455DC">
              <w:rPr>
                <w:rFonts w:ascii="Cambria Math" w:hAnsi="Cambria Math"/>
              </w:rPr>
              <w:t>=</w:t>
            </w:r>
            <w:r w:rsidRPr="001455DC">
              <w:t> </w:t>
            </w:r>
            <w:r w:rsidRPr="001455DC">
              <w:rPr>
                <w:rStyle w:val="CCMCvariableitalic"/>
              </w:rPr>
              <w:t>N</w:t>
            </w:r>
            <w:r w:rsidRPr="001455DC">
              <w:rPr>
                <w:rStyle w:val="CCMCvariablesubscript"/>
              </w:rPr>
              <w:t>Ed</w:t>
            </w:r>
            <w:r w:rsidRPr="001455DC">
              <w:t> </w:t>
            </w:r>
            <w:r w:rsidR="00C74721" w:rsidRPr="001455DC">
              <w:rPr>
                <w:rFonts w:ascii="Cambria Math" w:hAnsi="Cambria Math"/>
              </w:rPr>
              <w:t>⋅</w:t>
            </w:r>
            <w:r w:rsidRPr="001455DC">
              <w:t> </w:t>
            </w:r>
            <w:r w:rsidRPr="001455DC">
              <w:rPr>
                <w:rStyle w:val="CCMCvariableitalic"/>
              </w:rPr>
              <w:t>e</w:t>
            </w:r>
            <w:r w:rsidRPr="001455DC">
              <w:rPr>
                <w:rStyle w:val="CCMCvariablesubscript"/>
              </w:rPr>
              <w:t>2</w:t>
            </w:r>
          </w:p>
        </w:tc>
        <w:tc>
          <w:tcPr>
            <w:tcW w:w="1247" w:type="dxa"/>
            <w:vAlign w:val="center"/>
          </w:tcPr>
          <w:p w14:paraId="6FCF1AEB" w14:textId="189F7EC3" w:rsidR="005376A9" w:rsidRPr="001455DC" w:rsidRDefault="00B82AA6" w:rsidP="00EC5547">
            <w:pPr>
              <w:pStyle w:val="a7"/>
              <w:jc w:val="right"/>
            </w:pPr>
            <w:r w:rsidRPr="001455DC">
              <w:t>(O.19)</w:t>
            </w:r>
          </w:p>
        </w:tc>
      </w:tr>
    </w:tbl>
    <w:p w14:paraId="5C3E1F9D" w14:textId="77777777" w:rsidR="00B82AA6" w:rsidRPr="001455DC" w:rsidRDefault="004E22C1"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7598"/>
        <w:gridCol w:w="1247"/>
      </w:tblGrid>
      <w:tr w:rsidR="00B82AA6" w:rsidRPr="001455DC" w14:paraId="33BF8D44" w14:textId="77777777" w:rsidTr="00B82AA6">
        <w:trPr>
          <w:cantSplit/>
        </w:trPr>
        <w:tc>
          <w:tcPr>
            <w:tcW w:w="8165" w:type="dxa"/>
            <w:gridSpan w:val="2"/>
            <w:vAlign w:val="center"/>
          </w:tcPr>
          <w:p w14:paraId="31E25D1F" w14:textId="0D0D86CB" w:rsidR="00B82AA6" w:rsidRPr="001455DC" w:rsidRDefault="00231E33" w:rsidP="00B82AA6">
            <w:pPr>
              <w:pStyle w:val="Tablebody"/>
              <w:jc w:val="left"/>
            </w:pPr>
            <m:oMathPara>
              <m:oMathParaPr>
                <m:jc m:val="left"/>
              </m:oMathParaPr>
              <m:oMath>
                <m:sSub>
                  <m:sSubPr>
                    <m:ctrlPr>
                      <w:rPr>
                        <w:rFonts w:ascii="Cambria Math" w:hAnsi="Cambria Math"/>
                      </w:rPr>
                    </m:ctrlPr>
                  </m:sSubPr>
                  <m:e>
                    <m:r>
                      <w:rPr>
                        <w:rFonts w:ascii="Cambria Math" w:hAnsi="Cambria Math"/>
                      </w:rPr>
                      <m:t>e</m:t>
                    </m:r>
                  </m:e>
                  <m:sub>
                    <m:r>
                      <w:rPr>
                        <w:rFonts w:ascii="Cambria Math" w:hAnsi="Cambria Math"/>
                      </w:rPr>
                      <m:t>2</m:t>
                    </m:r>
                  </m:sub>
                </m:sSub>
                <m: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l</m:t>
                        </m:r>
                      </m:e>
                      <m:sub>
                        <m:r>
                          <w:rPr>
                            <w:rFonts w:ascii="Cambria Math" w:hAnsi="Cambria Math"/>
                          </w:rPr>
                          <m:t>0</m:t>
                        </m:r>
                      </m:sub>
                      <m:sup>
                        <m:r>
                          <w:rPr>
                            <w:rFonts w:ascii="Cambria Math" w:hAnsi="Cambria Math"/>
                          </w:rPr>
                          <m:t>2</m:t>
                        </m:r>
                      </m:sup>
                    </m:sSubSup>
                  </m:num>
                  <m:den>
                    <m:sSub>
                      <m:sSubPr>
                        <m:ctrlPr>
                          <w:rPr>
                            <w:rFonts w:ascii="Cambria Math" w:hAnsi="Cambria Math"/>
                          </w:rPr>
                        </m:ctrlPr>
                      </m:sSubPr>
                      <m:e>
                        <m:r>
                          <w:rPr>
                            <w:rFonts w:ascii="Cambria Math" w:hAnsi="Cambria Math"/>
                          </w:rPr>
                          <m:t>c</m:t>
                        </m:r>
                      </m:e>
                      <m:sub>
                        <m:r>
                          <m:rPr>
                            <m:sty m:val="p"/>
                          </m:rPr>
                          <w:rPr>
                            <w:rFonts w:ascii="Cambria Math" w:hAnsi="Cambria Math"/>
                          </w:rPr>
                          <m:t>1/r</m:t>
                        </m:r>
                      </m:sub>
                    </m:sSub>
                  </m:den>
                </m:f>
                <m:f>
                  <m:fPr>
                    <m:ctrlPr>
                      <w:rPr>
                        <w:rFonts w:ascii="Cambria Math" w:hAnsi="Cambria Math"/>
                      </w:rPr>
                    </m:ctrlPr>
                  </m:fPr>
                  <m:num>
                    <m:r>
                      <w:rPr>
                        <w:rFonts w:ascii="Cambria Math" w:hAnsi="Cambria Math"/>
                      </w:rPr>
                      <m:t>1</m:t>
                    </m:r>
                  </m:num>
                  <m:den>
                    <m:r>
                      <w:rPr>
                        <w:rFonts w:ascii="Cambria Math" w:hAnsi="Cambria Math"/>
                      </w:rPr>
                      <m:t>r</m:t>
                    </m:r>
                  </m:den>
                </m:f>
              </m:oMath>
            </m:oMathPara>
          </w:p>
        </w:tc>
        <w:tc>
          <w:tcPr>
            <w:tcW w:w="1247" w:type="dxa"/>
            <w:vAlign w:val="center"/>
          </w:tcPr>
          <w:p w14:paraId="48C474BF" w14:textId="17049405" w:rsidR="00B82AA6" w:rsidRPr="001455DC" w:rsidRDefault="00B82AA6" w:rsidP="00B82AA6">
            <w:pPr>
              <w:pStyle w:val="Tablebody"/>
              <w:jc w:val="right"/>
            </w:pPr>
            <w:r w:rsidRPr="001455DC">
              <w:t>(O.20)</w:t>
            </w:r>
          </w:p>
        </w:tc>
      </w:tr>
      <w:tr w:rsidR="00B82AA6" w:rsidRPr="001455DC" w14:paraId="65E017D4" w14:textId="77777777" w:rsidTr="00A0760E">
        <w:trPr>
          <w:cantSplit/>
        </w:trPr>
        <w:tc>
          <w:tcPr>
            <w:tcW w:w="567" w:type="dxa"/>
          </w:tcPr>
          <w:p w14:paraId="62FE5227" w14:textId="4F23B2A7" w:rsidR="00B82AA6" w:rsidRPr="001455DC" w:rsidRDefault="00B82AA6" w:rsidP="00A0760E">
            <w:pPr>
              <w:pStyle w:val="Tablebody"/>
            </w:pPr>
            <w:r w:rsidRPr="001455DC">
              <w:rPr>
                <w:rStyle w:val="CCMCvariableitalic"/>
              </w:rPr>
              <w:t>c</w:t>
            </w:r>
            <w:r w:rsidRPr="001455DC">
              <w:rPr>
                <w:rStyle w:val="CCMCvariablesubscript"/>
              </w:rPr>
              <w:t>1/r</w:t>
            </w:r>
          </w:p>
        </w:tc>
        <w:tc>
          <w:tcPr>
            <w:tcW w:w="8845" w:type="dxa"/>
            <w:gridSpan w:val="2"/>
          </w:tcPr>
          <w:p w14:paraId="51A2994E" w14:textId="3343DD6C" w:rsidR="00B82AA6" w:rsidRPr="001455DC" w:rsidRDefault="00B82AA6" w:rsidP="00A0760E">
            <w:pPr>
              <w:pStyle w:val="Tablebody"/>
            </w:pPr>
            <w:r w:rsidRPr="001455DC">
              <w:t>is a total curvature distribution factor;</w:t>
            </w:r>
          </w:p>
        </w:tc>
      </w:tr>
      <w:tr w:rsidR="00B82AA6" w:rsidRPr="001455DC" w14:paraId="101462F7" w14:textId="77777777" w:rsidTr="00A0760E">
        <w:trPr>
          <w:cantSplit/>
        </w:trPr>
        <w:tc>
          <w:tcPr>
            <w:tcW w:w="567" w:type="dxa"/>
          </w:tcPr>
          <w:p w14:paraId="6826A202" w14:textId="41A07E3E" w:rsidR="00B82AA6" w:rsidRPr="001455DC" w:rsidRDefault="00B82AA6" w:rsidP="00A0760E">
            <w:pPr>
              <w:pStyle w:val="Tablebody"/>
            </w:pPr>
            <w:r w:rsidRPr="001455DC">
              <w:t>1/</w:t>
            </w:r>
            <w:r w:rsidRPr="001455DC">
              <w:rPr>
                <w:rStyle w:val="CCMCvariableitalic"/>
              </w:rPr>
              <w:t>r</w:t>
            </w:r>
          </w:p>
        </w:tc>
        <w:tc>
          <w:tcPr>
            <w:tcW w:w="8845" w:type="dxa"/>
            <w:gridSpan w:val="2"/>
          </w:tcPr>
          <w:p w14:paraId="2D22188B" w14:textId="24F7087F" w:rsidR="00B82AA6" w:rsidRPr="001455DC" w:rsidRDefault="00B82AA6" w:rsidP="00A0760E">
            <w:pPr>
              <w:pStyle w:val="Tablebody"/>
            </w:pPr>
            <w:r w:rsidRPr="001455DC">
              <w:t>is the member’s equilibrium curvature including second order effects (1/</w:t>
            </w:r>
            <w:r w:rsidRPr="001455DC">
              <w:rPr>
                <w:rStyle w:val="CCMCvariableitalic"/>
              </w:rPr>
              <w:t>r</w:t>
            </w:r>
            <w:r w:rsidRPr="001455DC">
              <w:t> </w:t>
            </w:r>
            <w:r w:rsidR="00EC27D2" w:rsidRPr="001455DC">
              <w:rPr>
                <w:rFonts w:ascii="Cambria Math" w:hAnsi="Cambria Math"/>
              </w:rPr>
              <w:t>=</w:t>
            </w:r>
            <w:r w:rsidRPr="001455DC">
              <w:t> (</w:t>
            </w:r>
            <w:r w:rsidRPr="001455DC">
              <w:rPr>
                <w:rStyle w:val="CCMCvariableitalic"/>
              </w:rPr>
              <w:t>ε</w:t>
            </w:r>
            <w:r w:rsidRPr="001455DC">
              <w:rPr>
                <w:rStyle w:val="CCMCvariablesubscript"/>
              </w:rPr>
              <w:t>c</w:t>
            </w:r>
            <w:r w:rsidR="00EC27D2" w:rsidRPr="001455DC">
              <w:rPr>
                <w:rFonts w:ascii="Cambria Math" w:hAnsi="Cambria Math"/>
              </w:rPr>
              <w:t> + </w:t>
            </w:r>
            <w:r w:rsidRPr="001455DC">
              <w:rPr>
                <w:rStyle w:val="CCMCvariableitalic"/>
              </w:rPr>
              <w:t>ε</w:t>
            </w:r>
            <w:r w:rsidRPr="001455DC">
              <w:rPr>
                <w:rStyle w:val="CCMCvariablesubscript"/>
              </w:rPr>
              <w:t>s</w:t>
            </w:r>
            <w:r w:rsidRPr="001455DC">
              <w:t>)/</w:t>
            </w:r>
            <w:r w:rsidRPr="001455DC">
              <w:rPr>
                <w:rStyle w:val="CCMCvariableitalic"/>
              </w:rPr>
              <w:t>d</w:t>
            </w:r>
            <w:r w:rsidRPr="001455DC">
              <w:t>). In the absence of more accurate design, 1/</w:t>
            </w:r>
            <w:r w:rsidRPr="001455DC">
              <w:rPr>
                <w:rStyle w:val="CCMCvariableitalic"/>
              </w:rPr>
              <w:t>r</w:t>
            </w:r>
            <w:r w:rsidRPr="001455DC">
              <w:t xml:space="preserve"> may be taken equal to the nominal curvature in O.7.3.</w:t>
            </w:r>
          </w:p>
        </w:tc>
      </w:tr>
    </w:tbl>
    <w:p w14:paraId="04B107C9" w14:textId="53071475" w:rsidR="004E22C1" w:rsidRPr="001455DC" w:rsidRDefault="004E22C1" w:rsidP="004C68F7">
      <w:pPr>
        <w:pStyle w:val="a7"/>
      </w:pPr>
      <w:r w:rsidRPr="001455DC">
        <w:t>(4)</w:t>
      </w:r>
      <w:r w:rsidRPr="001455DC">
        <w:tab/>
        <w:t xml:space="preserve">The </w:t>
      </w:r>
      <w:r w:rsidRPr="001455DC">
        <w:rPr>
          <w:rStyle w:val="CCMCvariableitalic"/>
        </w:rPr>
        <w:t>c</w:t>
      </w:r>
      <w:r w:rsidRPr="001455DC">
        <w:rPr>
          <w:rStyle w:val="CCMCvariablesubscript"/>
        </w:rPr>
        <w:t>1/r</w:t>
      </w:r>
      <w:r w:rsidRPr="001455DC">
        <w:t xml:space="preserve"> factor depends on the total curvature distribution along the member (due to first plus second order moments and the non-linear moment-curvature relationship of the cross</w:t>
      </w:r>
      <w:r w:rsidR="00B10711" w:rsidRPr="001455DC">
        <w:t xml:space="preserve"> </w:t>
      </w:r>
      <w:r w:rsidRPr="001455DC">
        <w:t xml:space="preserve">sections). For single unbraced members with constant cross section, </w:t>
      </w:r>
      <w:r w:rsidRPr="001455DC">
        <w:rPr>
          <w:rStyle w:val="CCMCvariableitalic"/>
        </w:rPr>
        <w:t>c</w:t>
      </w:r>
      <w:r w:rsidRPr="001455DC">
        <w:rPr>
          <w:rStyle w:val="CCMCvariablesubscript"/>
        </w:rPr>
        <w:t>1/r</w:t>
      </w:r>
      <w:r w:rsidRPr="001455DC">
        <w:t> </w:t>
      </w:r>
      <w:r w:rsidR="00EC27D2" w:rsidRPr="001455DC">
        <w:rPr>
          <w:rFonts w:ascii="Cambria Math" w:hAnsi="Cambria Math"/>
        </w:rPr>
        <w:t>=</w:t>
      </w:r>
      <w:r w:rsidRPr="001455DC">
        <w:t> 10 may be used, if more accurate values are not justified. For braced members, c</w:t>
      </w:r>
      <w:r w:rsidRPr="001455DC">
        <w:rPr>
          <w:rStyle w:val="CCMCvariablesubscript"/>
        </w:rPr>
        <w:t>1/r</w:t>
      </w:r>
      <w:r w:rsidRPr="001455DC">
        <w:t> </w:t>
      </w:r>
      <w:r w:rsidR="00EC27D2" w:rsidRPr="001455DC">
        <w:rPr>
          <w:rFonts w:ascii="Cambria Math" w:hAnsi="Cambria Math"/>
        </w:rPr>
        <w:t>=</w:t>
      </w:r>
      <w:r w:rsidRPr="001455DC">
        <w:t> 8 may be adopted.</w:t>
      </w:r>
    </w:p>
    <w:p w14:paraId="16846657" w14:textId="5CD5D29F" w:rsidR="004E22C1" w:rsidRPr="001455DC" w:rsidRDefault="004E22C1" w:rsidP="00243590">
      <w:pPr>
        <w:pStyle w:val="a3"/>
      </w:pPr>
      <w:bookmarkStart w:id="2501" w:name="_Ref480889296"/>
      <w:bookmarkStart w:id="2502" w:name="_Toc52820454"/>
      <w:bookmarkStart w:id="2503" w:name="_Ref480889104"/>
      <w:bookmarkStart w:id="2504" w:name="_Toc54337892"/>
      <w:bookmarkStart w:id="2505" w:name="_Toc54338499"/>
      <w:r w:rsidRPr="001455DC">
        <w:t>Nominal curvature</w:t>
      </w:r>
      <w:bookmarkEnd w:id="2501"/>
      <w:bookmarkEnd w:id="2502"/>
      <w:bookmarkEnd w:id="2503"/>
      <w:bookmarkEnd w:id="2504"/>
      <w:bookmarkEnd w:id="2505"/>
    </w:p>
    <w:p w14:paraId="1969391E" w14:textId="77777777" w:rsidR="005376A9" w:rsidRPr="001455DC" w:rsidRDefault="004E22C1" w:rsidP="005376A9">
      <w:pPr>
        <w:pStyle w:val="a7"/>
      </w:pPr>
      <w:r w:rsidRPr="001455DC">
        <w:t>(1)</w:t>
      </w:r>
      <w:r w:rsidRPr="001455DC">
        <w:tab/>
        <w:t>For members with constant symmetrical cross sections (incl. reinforcement), the following curvature may be used:</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5376A9" w:rsidRPr="001455DC" w14:paraId="7BD41AB9" w14:textId="77777777" w:rsidTr="00EC5547">
        <w:trPr>
          <w:cantSplit/>
        </w:trPr>
        <w:tc>
          <w:tcPr>
            <w:tcW w:w="8505" w:type="dxa"/>
            <w:vAlign w:val="center"/>
          </w:tcPr>
          <w:p w14:paraId="74C101D2" w14:textId="5BF54EA2" w:rsidR="005376A9" w:rsidRPr="001455DC" w:rsidRDefault="00231E33" w:rsidP="00EC5547">
            <w:pPr>
              <w:pStyle w:val="Formula"/>
              <w:jc w:val="left"/>
            </w:pPr>
            <m:oMathPara>
              <m:oMathParaPr>
                <m:jc m:val="left"/>
              </m:oMathParaPr>
              <m:oMath>
                <m:f>
                  <m:fPr>
                    <m:ctrlPr>
                      <w:rPr>
                        <w:rFonts w:ascii="Cambria Math" w:hAnsi="Cambria Math"/>
                      </w:rPr>
                    </m:ctrlPr>
                  </m:fPr>
                  <m:num>
                    <m:r>
                      <w:rPr>
                        <w:rFonts w:ascii="Cambria Math" w:hAnsi="Cambria Math"/>
                      </w:rPr>
                      <m:t>1</m:t>
                    </m:r>
                  </m:num>
                  <m:den>
                    <m:r>
                      <w:rPr>
                        <w:rFonts w:ascii="Cambria Math" w:hAnsi="Cambria Math"/>
                      </w:rPr>
                      <m:t>r</m:t>
                    </m:r>
                  </m:den>
                </m:f>
                <m: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φ</m:t>
                    </m:r>
                  </m:sub>
                </m:sSub>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r</m:t>
                        </m:r>
                      </m:e>
                      <m:sub>
                        <m:r>
                          <w:rPr>
                            <w:rFonts w:ascii="Cambria Math" w:hAnsi="Cambria Math"/>
                          </w:rPr>
                          <m:t>0</m:t>
                        </m:r>
                      </m:sub>
                    </m:sSub>
                  </m:den>
                </m:f>
              </m:oMath>
            </m:oMathPara>
          </w:p>
        </w:tc>
        <w:tc>
          <w:tcPr>
            <w:tcW w:w="1247" w:type="dxa"/>
            <w:vAlign w:val="center"/>
          </w:tcPr>
          <w:p w14:paraId="2B6FD1E5" w14:textId="5D5A89BF" w:rsidR="005376A9" w:rsidRPr="001455DC" w:rsidRDefault="00B82AA6" w:rsidP="00EC5547">
            <w:pPr>
              <w:pStyle w:val="a7"/>
              <w:jc w:val="right"/>
            </w:pPr>
            <w:bookmarkStart w:id="2506" w:name="_Ref480889527"/>
            <w:r w:rsidRPr="001455DC">
              <w:t>(O.21)</w:t>
            </w:r>
            <w:bookmarkEnd w:id="2506"/>
          </w:p>
        </w:tc>
      </w:tr>
    </w:tbl>
    <w:p w14:paraId="034B086F" w14:textId="2FA6E721" w:rsidR="004E22C1" w:rsidRPr="001455DC" w:rsidRDefault="004E22C1"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B82AA6" w:rsidRPr="001455DC" w14:paraId="59DD38BA" w14:textId="77777777" w:rsidTr="00A0760E">
        <w:trPr>
          <w:cantSplit/>
        </w:trPr>
        <w:tc>
          <w:tcPr>
            <w:tcW w:w="567" w:type="dxa"/>
          </w:tcPr>
          <w:p w14:paraId="78D4C493" w14:textId="7BE41769" w:rsidR="00B82AA6" w:rsidRPr="001455DC" w:rsidRDefault="00B82AA6" w:rsidP="00A0760E">
            <w:pPr>
              <w:pStyle w:val="Tablebody"/>
            </w:pPr>
            <w:r w:rsidRPr="001455DC">
              <w:rPr>
                <w:rStyle w:val="CCMCvariableitalic"/>
              </w:rPr>
              <w:t>k</w:t>
            </w:r>
            <w:r w:rsidRPr="001455DC">
              <w:rPr>
                <w:rStyle w:val="CCMCvariablesubscript"/>
              </w:rPr>
              <w:t>r</w:t>
            </w:r>
          </w:p>
        </w:tc>
        <w:tc>
          <w:tcPr>
            <w:tcW w:w="8845" w:type="dxa"/>
          </w:tcPr>
          <w:p w14:paraId="15863CF5" w14:textId="5EDA17BB" w:rsidR="00B82AA6" w:rsidRPr="001455DC" w:rsidRDefault="00B82AA6" w:rsidP="00A0760E">
            <w:pPr>
              <w:pStyle w:val="Tablebody"/>
            </w:pPr>
            <w:r w:rsidRPr="001455DC">
              <w:t>is a coefficient depending on the axial load, see O.7.3(3);</w:t>
            </w:r>
          </w:p>
        </w:tc>
      </w:tr>
      <w:tr w:rsidR="00B82AA6" w:rsidRPr="001455DC" w14:paraId="5CBBD12A" w14:textId="77777777" w:rsidTr="00A0760E">
        <w:trPr>
          <w:cantSplit/>
        </w:trPr>
        <w:tc>
          <w:tcPr>
            <w:tcW w:w="567" w:type="dxa"/>
          </w:tcPr>
          <w:p w14:paraId="08D3F804" w14:textId="7E7C6DF3" w:rsidR="00B82AA6" w:rsidRPr="001455DC" w:rsidRDefault="00B82AA6" w:rsidP="00A0760E">
            <w:pPr>
              <w:pStyle w:val="Tablebody"/>
            </w:pPr>
            <w:r w:rsidRPr="001455DC">
              <w:rPr>
                <w:rStyle w:val="CCMCvariableitalic"/>
              </w:rPr>
              <w:t>k</w:t>
            </w:r>
            <w:r w:rsidRPr="001455DC">
              <w:rPr>
                <w:rStyle w:val="CCMCvariablesubscript"/>
              </w:rPr>
              <w:t>φ</w:t>
            </w:r>
          </w:p>
        </w:tc>
        <w:tc>
          <w:tcPr>
            <w:tcW w:w="8845" w:type="dxa"/>
          </w:tcPr>
          <w:p w14:paraId="46DE6454" w14:textId="3596F48B" w:rsidR="00B82AA6" w:rsidRPr="001455DC" w:rsidRDefault="00B82AA6" w:rsidP="00A0760E">
            <w:pPr>
              <w:pStyle w:val="Tablebody"/>
            </w:pPr>
            <w:r w:rsidRPr="001455DC">
              <w:t>is a coefficient accounting for creep, see O.7.3(4);</w:t>
            </w:r>
          </w:p>
        </w:tc>
      </w:tr>
      <w:tr w:rsidR="00B82AA6" w:rsidRPr="001455DC" w14:paraId="55DD6345" w14:textId="77777777" w:rsidTr="00A0760E">
        <w:trPr>
          <w:cantSplit/>
        </w:trPr>
        <w:tc>
          <w:tcPr>
            <w:tcW w:w="567" w:type="dxa"/>
          </w:tcPr>
          <w:p w14:paraId="42F7C19C" w14:textId="0692EE34" w:rsidR="00B82AA6" w:rsidRPr="001455DC" w:rsidRDefault="00B82AA6" w:rsidP="00A0760E">
            <w:pPr>
              <w:pStyle w:val="Tablebody"/>
            </w:pPr>
            <w:r w:rsidRPr="001455DC">
              <w:t>1/</w:t>
            </w:r>
            <w:r w:rsidRPr="001455DC">
              <w:rPr>
                <w:rStyle w:val="CCMCvariableitalic"/>
              </w:rPr>
              <w:t>r</w:t>
            </w:r>
            <w:r w:rsidRPr="001455DC">
              <w:rPr>
                <w:rStyle w:val="CCMCvariablesubscript"/>
              </w:rPr>
              <w:t>0</w:t>
            </w:r>
          </w:p>
        </w:tc>
        <w:tc>
          <w:tcPr>
            <w:tcW w:w="8845" w:type="dxa"/>
          </w:tcPr>
          <w:p w14:paraId="35CB5DE1" w14:textId="6CA77807" w:rsidR="00B82AA6" w:rsidRPr="001455DC" w:rsidRDefault="00EC27D2" w:rsidP="00A0760E">
            <w:pPr>
              <w:pStyle w:val="Tablebody"/>
            </w:pPr>
            <w:r w:rsidRPr="001455DC">
              <w:rPr>
                <w:rFonts w:ascii="Cambria Math" w:hAnsi="Cambria Math"/>
              </w:rPr>
              <w:t>=</w:t>
            </w:r>
            <w:r w:rsidR="00B82AA6" w:rsidRPr="001455DC">
              <w:t xml:space="preserve"> 2 </w:t>
            </w:r>
            <w:r w:rsidR="00B82AA6" w:rsidRPr="001455DC">
              <w:rPr>
                <w:rStyle w:val="CCMCvariableitalic"/>
              </w:rPr>
              <w:t>ε</w:t>
            </w:r>
            <w:r w:rsidR="00B82AA6" w:rsidRPr="001455DC">
              <w:rPr>
                <w:rStyle w:val="CCMCvariablesubscript"/>
              </w:rPr>
              <w:t>yd</w:t>
            </w:r>
            <w:r w:rsidR="00B82AA6" w:rsidRPr="001455DC">
              <w:t>/(</w:t>
            </w:r>
            <w:r w:rsidR="00B82AA6" w:rsidRPr="001455DC">
              <w:rPr>
                <w:rStyle w:val="CCMCvariableitalic"/>
              </w:rPr>
              <w:t>d</w:t>
            </w:r>
            <w:r w:rsidR="00B82AA6" w:rsidRPr="001455DC">
              <w:t> </w:t>
            </w:r>
            <w:r w:rsidRPr="001455DC">
              <w:rPr>
                <w:rFonts w:ascii="Cambria Math" w:hAnsi="Cambria Math"/>
              </w:rPr>
              <w:t>−</w:t>
            </w:r>
            <w:r w:rsidR="00B82AA6" w:rsidRPr="001455DC">
              <w:t> </w:t>
            </w:r>
            <w:r w:rsidR="00B82AA6" w:rsidRPr="001455DC">
              <w:rPr>
                <w:rStyle w:val="CCMCvariableitalic"/>
              </w:rPr>
              <w:t>d</w:t>
            </w:r>
            <w:r w:rsidR="00B82AA6" w:rsidRPr="001455DC">
              <w:rPr>
                <w:rFonts w:ascii="Cambria Math" w:hAnsi="Cambria Math"/>
              </w:rPr>
              <w:t>′</w:t>
            </w:r>
            <w:r w:rsidR="00B82AA6" w:rsidRPr="001455DC">
              <w:t>);</w:t>
            </w:r>
          </w:p>
        </w:tc>
      </w:tr>
      <w:tr w:rsidR="00B82AA6" w:rsidRPr="001455DC" w14:paraId="3639E909" w14:textId="77777777" w:rsidTr="00A0760E">
        <w:trPr>
          <w:cantSplit/>
        </w:trPr>
        <w:tc>
          <w:tcPr>
            <w:tcW w:w="567" w:type="dxa"/>
          </w:tcPr>
          <w:p w14:paraId="12F98824" w14:textId="5EF157FD" w:rsidR="00B82AA6" w:rsidRPr="001455DC" w:rsidRDefault="00B82AA6" w:rsidP="00A0760E">
            <w:pPr>
              <w:pStyle w:val="Tablebody"/>
            </w:pPr>
            <w:r w:rsidRPr="001455DC">
              <w:rPr>
                <w:rStyle w:val="CCMCvariableitalic"/>
              </w:rPr>
              <w:t>ε</w:t>
            </w:r>
            <w:r w:rsidRPr="001455DC">
              <w:rPr>
                <w:rStyle w:val="CCMCvariablesubscript"/>
              </w:rPr>
              <w:t>yd</w:t>
            </w:r>
          </w:p>
        </w:tc>
        <w:tc>
          <w:tcPr>
            <w:tcW w:w="8845" w:type="dxa"/>
          </w:tcPr>
          <w:p w14:paraId="09E8776B" w14:textId="1D20206D" w:rsidR="00B82AA6" w:rsidRPr="001455DC" w:rsidRDefault="00EC27D2" w:rsidP="00A0760E">
            <w:pPr>
              <w:pStyle w:val="Tablebody"/>
            </w:pPr>
            <w:r w:rsidRPr="001455DC">
              <w:rPr>
                <w:rFonts w:ascii="Cambria Math" w:hAnsi="Cambria Math"/>
              </w:rPr>
              <w:t>=</w:t>
            </w:r>
            <w:r w:rsidR="00B82AA6" w:rsidRPr="001455DC">
              <w:t xml:space="preserve"> </w:t>
            </w:r>
            <w:r w:rsidR="00B82AA6" w:rsidRPr="001455DC">
              <w:rPr>
                <w:rStyle w:val="CCMCvariableitalic"/>
              </w:rPr>
              <w:t>f</w:t>
            </w:r>
            <w:r w:rsidR="00B82AA6" w:rsidRPr="001455DC">
              <w:rPr>
                <w:rStyle w:val="CCMCvariablesubscript"/>
              </w:rPr>
              <w:t>yd</w:t>
            </w:r>
            <w:r w:rsidR="00B82AA6" w:rsidRPr="001455DC">
              <w:t>/</w:t>
            </w:r>
            <w:r w:rsidR="00B82AA6" w:rsidRPr="001455DC">
              <w:rPr>
                <w:rStyle w:val="CCMCvariableitalic"/>
              </w:rPr>
              <w:t>E</w:t>
            </w:r>
            <w:r w:rsidR="00B82AA6" w:rsidRPr="001455DC">
              <w:rPr>
                <w:rStyle w:val="CCMCvariablesubscript"/>
              </w:rPr>
              <w:t>s</w:t>
            </w:r>
            <w:r w:rsidR="00B82AA6" w:rsidRPr="001455DC">
              <w:t>;</w:t>
            </w:r>
          </w:p>
        </w:tc>
      </w:tr>
      <w:tr w:rsidR="00B82AA6" w:rsidRPr="001455DC" w14:paraId="760BC634" w14:textId="77777777" w:rsidTr="00A0760E">
        <w:trPr>
          <w:cantSplit/>
        </w:trPr>
        <w:tc>
          <w:tcPr>
            <w:tcW w:w="567" w:type="dxa"/>
          </w:tcPr>
          <w:p w14:paraId="47CE7F44" w14:textId="4D77EC1B" w:rsidR="00B82AA6" w:rsidRPr="001455DC" w:rsidRDefault="00B82AA6" w:rsidP="00A0760E">
            <w:pPr>
              <w:pStyle w:val="Tablebody"/>
            </w:pPr>
            <w:r w:rsidRPr="001455DC">
              <w:rPr>
                <w:rStyle w:val="CCMCvariableitalic"/>
              </w:rPr>
              <w:t>d</w:t>
            </w:r>
          </w:p>
        </w:tc>
        <w:tc>
          <w:tcPr>
            <w:tcW w:w="8845" w:type="dxa"/>
          </w:tcPr>
          <w:p w14:paraId="57F53C01" w14:textId="6DD7CD27" w:rsidR="00B82AA6" w:rsidRPr="001455DC" w:rsidRDefault="00B82AA6" w:rsidP="00A0760E">
            <w:pPr>
              <w:pStyle w:val="Tablebody"/>
            </w:pPr>
            <w:r w:rsidRPr="001455DC">
              <w:t>is the effective depth; see also O.7.3(2);</w:t>
            </w:r>
          </w:p>
        </w:tc>
      </w:tr>
      <w:tr w:rsidR="00B82AA6" w:rsidRPr="001455DC" w14:paraId="27824815" w14:textId="77777777" w:rsidTr="00A0760E">
        <w:trPr>
          <w:cantSplit/>
        </w:trPr>
        <w:tc>
          <w:tcPr>
            <w:tcW w:w="567" w:type="dxa"/>
          </w:tcPr>
          <w:p w14:paraId="41BF9025" w14:textId="1222E664" w:rsidR="00B82AA6" w:rsidRPr="001455DC" w:rsidRDefault="00B82AA6" w:rsidP="00A0760E">
            <w:pPr>
              <w:pStyle w:val="Tablebody"/>
            </w:pPr>
            <w:r w:rsidRPr="001455DC">
              <w:rPr>
                <w:rStyle w:val="CCMCvariableitalic"/>
              </w:rPr>
              <w:t>d</w:t>
            </w:r>
            <w:r w:rsidRPr="001455DC">
              <w:rPr>
                <w:rFonts w:ascii="Cambria Math" w:hAnsi="Cambria Math"/>
              </w:rPr>
              <w:t>′</w:t>
            </w:r>
          </w:p>
        </w:tc>
        <w:tc>
          <w:tcPr>
            <w:tcW w:w="8845" w:type="dxa"/>
          </w:tcPr>
          <w:p w14:paraId="6D09AEC2" w14:textId="0562A7BB" w:rsidR="00B82AA6" w:rsidRPr="001455DC" w:rsidRDefault="00B82AA6" w:rsidP="00A0760E">
            <w:pPr>
              <w:pStyle w:val="Tablebody"/>
            </w:pPr>
            <w:r w:rsidRPr="001455DC">
              <w:t>is the cover measured to the centroid of the compression reinforcement.</w:t>
            </w:r>
          </w:p>
        </w:tc>
      </w:tr>
    </w:tbl>
    <w:p w14:paraId="5123E5E4" w14:textId="7E40FAA7" w:rsidR="005376A9" w:rsidRPr="001455DC" w:rsidRDefault="004E22C1" w:rsidP="005376A9">
      <w:pPr>
        <w:pStyle w:val="a7"/>
      </w:pPr>
      <w:r w:rsidRPr="001455DC">
        <w:t>(2)</w:t>
      </w:r>
      <w:r w:rsidRPr="001455DC">
        <w:tab/>
        <w:t xml:space="preserve">If all reinforcement is not concentrated on opposite sides, but part of it is distributed parallel to the plane of bending, </w:t>
      </w:r>
      <w:r w:rsidRPr="001455DC">
        <w:rPr>
          <w:rStyle w:val="CCMCvariableitalic"/>
        </w:rPr>
        <w:t>d</w:t>
      </w:r>
      <w:r w:rsidRPr="001455DC">
        <w:t> </w:t>
      </w:r>
      <w:r w:rsidR="00EC27D2" w:rsidRPr="001455DC">
        <w:rPr>
          <w:rFonts w:ascii="Cambria Math" w:hAnsi="Cambria Math"/>
        </w:rPr>
        <w:t>−</w:t>
      </w:r>
      <w:r w:rsidRPr="001455DC">
        <w:t> </w:t>
      </w:r>
      <w:r w:rsidRPr="001455DC">
        <w:rPr>
          <w:rStyle w:val="CCMCvariableitalic"/>
        </w:rPr>
        <w:t>d</w:t>
      </w:r>
      <w:r w:rsidR="00B82AA6" w:rsidRPr="001455DC">
        <w:rPr>
          <w:rFonts w:ascii="Cambria Math" w:hAnsi="Cambria Math" w:hint="eastAsia"/>
        </w:rPr>
        <w:t>′</w:t>
      </w:r>
      <w:r w:rsidRPr="001455DC">
        <w:t xml:space="preserve"> is defined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5376A9" w:rsidRPr="001455DC" w14:paraId="706C4D51" w14:textId="77777777" w:rsidTr="00EC5547">
        <w:trPr>
          <w:cantSplit/>
        </w:trPr>
        <w:tc>
          <w:tcPr>
            <w:tcW w:w="8505" w:type="dxa"/>
            <w:vAlign w:val="center"/>
          </w:tcPr>
          <w:p w14:paraId="69374B78" w14:textId="3C11396A" w:rsidR="005376A9" w:rsidRPr="001455DC" w:rsidRDefault="00B82AA6" w:rsidP="00EC5547">
            <w:pPr>
              <w:pStyle w:val="Formula"/>
              <w:jc w:val="left"/>
            </w:pPr>
            <w:r w:rsidRPr="001455DC">
              <w:rPr>
                <w:rStyle w:val="CCMCvariableitalic"/>
              </w:rPr>
              <w:t>d</w:t>
            </w:r>
            <w:r w:rsidRPr="001455DC">
              <w:t> </w:t>
            </w:r>
            <w:r w:rsidR="00EC27D2" w:rsidRPr="001455DC">
              <w:rPr>
                <w:rFonts w:ascii="Cambria Math" w:hAnsi="Cambria Math"/>
              </w:rPr>
              <w:t>−</w:t>
            </w:r>
            <w:r w:rsidRPr="001455DC">
              <w:t> </w:t>
            </w:r>
            <w:r w:rsidRPr="001455DC">
              <w:rPr>
                <w:rStyle w:val="CCMCvariableitalic"/>
              </w:rPr>
              <w:t>d</w:t>
            </w:r>
            <w:r w:rsidRPr="001455DC">
              <w:t>’ </w:t>
            </w:r>
            <w:r w:rsidR="00EC27D2" w:rsidRPr="001455DC">
              <w:rPr>
                <w:rFonts w:ascii="Cambria Math" w:hAnsi="Cambria Math"/>
              </w:rPr>
              <w:t>=</w:t>
            </w:r>
            <w:r w:rsidRPr="001455DC">
              <w:t> 2</w:t>
            </w:r>
            <w:r w:rsidRPr="001455DC">
              <w:rPr>
                <w:rStyle w:val="CCMCvariableitalic"/>
              </w:rPr>
              <w:t>i</w:t>
            </w:r>
            <w:r w:rsidRPr="001455DC">
              <w:rPr>
                <w:rStyle w:val="CCMCvariablesubscript"/>
              </w:rPr>
              <w:t>s</w:t>
            </w:r>
          </w:p>
        </w:tc>
        <w:tc>
          <w:tcPr>
            <w:tcW w:w="1247" w:type="dxa"/>
            <w:vAlign w:val="center"/>
          </w:tcPr>
          <w:p w14:paraId="09572D2A" w14:textId="525B80F3" w:rsidR="005376A9" w:rsidRPr="001455DC" w:rsidRDefault="00B82AA6" w:rsidP="00EC5547">
            <w:pPr>
              <w:pStyle w:val="a7"/>
              <w:jc w:val="right"/>
            </w:pPr>
            <w:r w:rsidRPr="001455DC">
              <w:t>(O.22)</w:t>
            </w:r>
          </w:p>
        </w:tc>
      </w:tr>
    </w:tbl>
    <w:p w14:paraId="5948B712" w14:textId="10084C59" w:rsidR="004C68F7" w:rsidRPr="001455DC" w:rsidRDefault="004E22C1"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B82AA6" w:rsidRPr="001455DC" w14:paraId="34E45B79" w14:textId="77777777" w:rsidTr="00A0760E">
        <w:trPr>
          <w:cantSplit/>
        </w:trPr>
        <w:tc>
          <w:tcPr>
            <w:tcW w:w="567" w:type="dxa"/>
          </w:tcPr>
          <w:p w14:paraId="1121F40E" w14:textId="5B86D51B" w:rsidR="00B82AA6" w:rsidRPr="001455DC" w:rsidRDefault="00B82AA6" w:rsidP="00A0760E">
            <w:pPr>
              <w:pStyle w:val="Tablebody"/>
            </w:pPr>
            <w:r w:rsidRPr="001455DC">
              <w:rPr>
                <w:rStyle w:val="CCMCvariableitalic"/>
              </w:rPr>
              <w:t>i</w:t>
            </w:r>
            <w:r w:rsidRPr="001455DC">
              <w:rPr>
                <w:rStyle w:val="CCMCvariablesubscript"/>
              </w:rPr>
              <w:t>s</w:t>
            </w:r>
          </w:p>
        </w:tc>
        <w:tc>
          <w:tcPr>
            <w:tcW w:w="8845" w:type="dxa"/>
          </w:tcPr>
          <w:p w14:paraId="5E9C7FEC" w14:textId="7E312F8D" w:rsidR="00B82AA6" w:rsidRPr="001455DC" w:rsidRDefault="00B82AA6" w:rsidP="00A0760E">
            <w:pPr>
              <w:pStyle w:val="Tablebody"/>
            </w:pPr>
            <w:r w:rsidRPr="001455DC">
              <w:t>is the radius of gyration of the total reinforcement area.</w:t>
            </w:r>
          </w:p>
        </w:tc>
      </w:tr>
    </w:tbl>
    <w:p w14:paraId="308C3768" w14:textId="77777777" w:rsidR="005376A9" w:rsidRPr="001455DC" w:rsidRDefault="004E22C1" w:rsidP="00DE6BBC">
      <w:pPr>
        <w:pStyle w:val="a7"/>
        <w:keepNext/>
      </w:pPr>
      <w:r w:rsidRPr="001455DC">
        <w:t>(3)</w:t>
      </w:r>
      <w:r w:rsidRPr="001455DC">
        <w:tab/>
      </w:r>
      <w:r w:rsidRPr="001455DC">
        <w:rPr>
          <w:rStyle w:val="CCMCvariableitalic"/>
        </w:rPr>
        <w:t>k</w:t>
      </w:r>
      <w:r w:rsidRPr="001455DC">
        <w:rPr>
          <w:rStyle w:val="CCMCvariablesubscript"/>
        </w:rPr>
        <w:t>r</w:t>
      </w:r>
      <w:r w:rsidRPr="001455DC">
        <w:t xml:space="preserve"> in Formula (O.21) may be taken as 1,0 as a first approximation. If a more refined calculation is needed, </w:t>
      </w:r>
      <w:r w:rsidRPr="001455DC">
        <w:rPr>
          <w:rStyle w:val="CCMCvariableitalic"/>
        </w:rPr>
        <w:t>k</w:t>
      </w:r>
      <w:r w:rsidRPr="001455DC">
        <w:rPr>
          <w:rStyle w:val="CCMCvariablesubscript"/>
        </w:rPr>
        <w:t>r</w:t>
      </w:r>
      <w:r w:rsidRPr="001455DC">
        <w:t xml:space="preserve"> may be taken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5376A9" w:rsidRPr="001455DC" w14:paraId="4B0CDC3E" w14:textId="77777777" w:rsidTr="00EC5547">
        <w:trPr>
          <w:cantSplit/>
        </w:trPr>
        <w:tc>
          <w:tcPr>
            <w:tcW w:w="8505" w:type="dxa"/>
            <w:vAlign w:val="center"/>
          </w:tcPr>
          <w:p w14:paraId="0E366993" w14:textId="13E707B7" w:rsidR="005376A9" w:rsidRPr="001455DC" w:rsidRDefault="00231E33" w:rsidP="00EC5547">
            <w:pPr>
              <w:pStyle w:val="Formula"/>
              <w:jc w:val="left"/>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rPr>
                      <m:t>r</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u</m:t>
                        </m:r>
                      </m:sub>
                    </m:sSub>
                    <m:r>
                      <w:rPr>
                        <w:rFonts w:ascii="Cambria Math" w:hAnsi="Cambria Math"/>
                      </w:rPr>
                      <m:t>-n</m:t>
                    </m:r>
                  </m:num>
                  <m:den>
                    <m:sSub>
                      <m:sSubPr>
                        <m:ctrlPr>
                          <w:rPr>
                            <w:rFonts w:ascii="Cambria Math" w:hAnsi="Cambria Math"/>
                          </w:rPr>
                        </m:ctrlPr>
                      </m:sSubPr>
                      <m:e>
                        <m:r>
                          <w:rPr>
                            <w:rFonts w:ascii="Cambria Math" w:hAnsi="Cambria Math"/>
                          </w:rPr>
                          <m:t>n</m:t>
                        </m:r>
                      </m:e>
                      <m:sub>
                        <m:r>
                          <m:rPr>
                            <m:sty m:val="p"/>
                          </m:rPr>
                          <w:rPr>
                            <w:rFonts w:ascii="Cambria Math" w:hAnsi="Cambria Math"/>
                          </w:rPr>
                          <m:t>u</m:t>
                        </m:r>
                      </m:sub>
                    </m:sSub>
                    <m: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bal</m:t>
                        </m:r>
                      </m:sub>
                    </m:sSub>
                  </m:den>
                </m:f>
                <m:r>
                  <w:rPr>
                    <w:rFonts w:ascii="Cambria Math" w:hAnsi="Cambria Math"/>
                  </w:rPr>
                  <m:t>≤1</m:t>
                </m:r>
              </m:oMath>
            </m:oMathPara>
          </w:p>
        </w:tc>
        <w:tc>
          <w:tcPr>
            <w:tcW w:w="1247" w:type="dxa"/>
            <w:vAlign w:val="center"/>
          </w:tcPr>
          <w:p w14:paraId="587CE93E" w14:textId="63CC3B48" w:rsidR="005376A9" w:rsidRPr="001455DC" w:rsidRDefault="00B82AA6" w:rsidP="00EC5547">
            <w:pPr>
              <w:pStyle w:val="a7"/>
              <w:jc w:val="right"/>
            </w:pPr>
            <w:r w:rsidRPr="001455DC">
              <w:t>(O.23)</w:t>
            </w:r>
          </w:p>
        </w:tc>
      </w:tr>
    </w:tbl>
    <w:p w14:paraId="50BE8747" w14:textId="5EAA4268" w:rsidR="004E22C1" w:rsidRPr="001455DC" w:rsidRDefault="004E22C1"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B82AA6" w:rsidRPr="001455DC" w14:paraId="458C1EFD" w14:textId="77777777" w:rsidTr="00A0760E">
        <w:trPr>
          <w:cantSplit/>
        </w:trPr>
        <w:tc>
          <w:tcPr>
            <w:tcW w:w="567" w:type="dxa"/>
          </w:tcPr>
          <w:p w14:paraId="03CBF95E" w14:textId="2645C0C7" w:rsidR="00B82AA6" w:rsidRPr="001455DC" w:rsidRDefault="00FC32BF" w:rsidP="00A0760E">
            <w:pPr>
              <w:pStyle w:val="Tablebody"/>
            </w:pPr>
            <w:r w:rsidRPr="001455DC">
              <w:rPr>
                <w:rStyle w:val="CCMCvariableitalic"/>
              </w:rPr>
              <w:t>n</w:t>
            </w:r>
          </w:p>
        </w:tc>
        <w:tc>
          <w:tcPr>
            <w:tcW w:w="8845" w:type="dxa"/>
          </w:tcPr>
          <w:p w14:paraId="432A36FB" w14:textId="48E47256" w:rsidR="00B82AA6" w:rsidRPr="001455DC" w:rsidRDefault="00EC27D2" w:rsidP="00A0760E">
            <w:pPr>
              <w:pStyle w:val="Tablebody"/>
            </w:pPr>
            <w:r w:rsidRPr="001455DC">
              <w:rPr>
                <w:rFonts w:ascii="Cambria Math" w:hAnsi="Cambria Math"/>
              </w:rPr>
              <w:t>=</w:t>
            </w:r>
            <w:r w:rsidR="00B82AA6" w:rsidRPr="001455DC">
              <w:t xml:space="preserve"> </w:t>
            </w:r>
            <w:r w:rsidR="00B82AA6" w:rsidRPr="001455DC">
              <w:rPr>
                <w:rStyle w:val="CCMCvariableitalic"/>
              </w:rPr>
              <w:t>N</w:t>
            </w:r>
            <w:r w:rsidR="00B82AA6" w:rsidRPr="001455DC">
              <w:rPr>
                <w:rStyle w:val="CCMCvariablesubscript"/>
              </w:rPr>
              <w:t>Ed</w:t>
            </w:r>
            <w:r w:rsidR="00B82AA6" w:rsidRPr="001455DC">
              <w:t>/(</w:t>
            </w:r>
            <w:r w:rsidR="00B82AA6" w:rsidRPr="001455DC">
              <w:rPr>
                <w:rStyle w:val="CCMCvariableitalic"/>
              </w:rPr>
              <w:t>A</w:t>
            </w:r>
            <w:r w:rsidR="00B82AA6" w:rsidRPr="001455DC">
              <w:rPr>
                <w:rStyle w:val="CCMCvariablesubscript"/>
              </w:rPr>
              <w:t>c</w:t>
            </w:r>
            <w:r w:rsidR="00B82AA6" w:rsidRPr="001455DC">
              <w:t xml:space="preserve"> </w:t>
            </w:r>
            <w:r w:rsidR="00B82AA6" w:rsidRPr="001455DC">
              <w:rPr>
                <w:rStyle w:val="CCMCvariableitalic"/>
              </w:rPr>
              <w:t>f</w:t>
            </w:r>
            <w:r w:rsidR="00B82AA6" w:rsidRPr="001455DC">
              <w:rPr>
                <w:rStyle w:val="CCMCvariablesubscript"/>
              </w:rPr>
              <w:t>cd</w:t>
            </w:r>
            <w:r w:rsidR="00B82AA6" w:rsidRPr="001455DC">
              <w:rPr>
                <w:rStyle w:val="CCMCvariableitalic"/>
              </w:rPr>
              <w:t>)</w:t>
            </w:r>
            <w:r w:rsidR="00B82AA6" w:rsidRPr="001455DC">
              <w:t>, is the non dimensional axial force;</w:t>
            </w:r>
          </w:p>
        </w:tc>
      </w:tr>
      <w:tr w:rsidR="00B82AA6" w:rsidRPr="001455DC" w14:paraId="46757EE6" w14:textId="77777777" w:rsidTr="00A0760E">
        <w:trPr>
          <w:cantSplit/>
        </w:trPr>
        <w:tc>
          <w:tcPr>
            <w:tcW w:w="567" w:type="dxa"/>
          </w:tcPr>
          <w:p w14:paraId="0AE83D29" w14:textId="7CA3C96A" w:rsidR="00B82AA6" w:rsidRPr="001455DC" w:rsidRDefault="00FC32BF" w:rsidP="00A0760E">
            <w:pPr>
              <w:pStyle w:val="Tablebody"/>
            </w:pPr>
            <w:r w:rsidRPr="001455DC">
              <w:rPr>
                <w:rStyle w:val="CCMCvariableitalic"/>
              </w:rPr>
              <w:t>N</w:t>
            </w:r>
            <w:r w:rsidRPr="001455DC">
              <w:rPr>
                <w:rStyle w:val="CCMCvariablesubscript"/>
              </w:rPr>
              <w:t>Ed</w:t>
            </w:r>
          </w:p>
        </w:tc>
        <w:tc>
          <w:tcPr>
            <w:tcW w:w="8845" w:type="dxa"/>
          </w:tcPr>
          <w:p w14:paraId="0A7F087E" w14:textId="7591AA7F" w:rsidR="00B82AA6" w:rsidRPr="001455DC" w:rsidRDefault="00B82AA6" w:rsidP="00A0760E">
            <w:pPr>
              <w:pStyle w:val="Tablebody"/>
            </w:pPr>
            <w:r w:rsidRPr="001455DC">
              <w:t>is the design value of axial force;</w:t>
            </w:r>
          </w:p>
        </w:tc>
      </w:tr>
      <w:tr w:rsidR="00B82AA6" w:rsidRPr="001455DC" w14:paraId="0A3D50FE" w14:textId="77777777" w:rsidTr="00A0760E">
        <w:trPr>
          <w:cantSplit/>
        </w:trPr>
        <w:tc>
          <w:tcPr>
            <w:tcW w:w="567" w:type="dxa"/>
          </w:tcPr>
          <w:p w14:paraId="57F9B563" w14:textId="288A4E3A" w:rsidR="00B82AA6" w:rsidRPr="001455DC" w:rsidRDefault="00FC32BF" w:rsidP="00A0760E">
            <w:pPr>
              <w:pStyle w:val="Tablebody"/>
            </w:pPr>
            <w:r w:rsidRPr="001455DC">
              <w:rPr>
                <w:rStyle w:val="CCMCvariableitalic"/>
              </w:rPr>
              <w:t>n</w:t>
            </w:r>
            <w:r w:rsidRPr="001455DC">
              <w:rPr>
                <w:rStyle w:val="CCMCvariablesubscript"/>
              </w:rPr>
              <w:t>u</w:t>
            </w:r>
          </w:p>
        </w:tc>
        <w:tc>
          <w:tcPr>
            <w:tcW w:w="8845" w:type="dxa"/>
          </w:tcPr>
          <w:p w14:paraId="21B079CC" w14:textId="20437146" w:rsidR="00B82AA6" w:rsidRPr="001455DC" w:rsidRDefault="00EC27D2" w:rsidP="00A0760E">
            <w:pPr>
              <w:pStyle w:val="Tablebody"/>
            </w:pPr>
            <w:r w:rsidRPr="001455DC">
              <w:rPr>
                <w:rFonts w:ascii="Cambria Math" w:hAnsi="Cambria Math"/>
              </w:rPr>
              <w:t>=</w:t>
            </w:r>
            <w:r w:rsidR="00B82AA6" w:rsidRPr="001455DC">
              <w:t xml:space="preserve"> 1</w:t>
            </w:r>
            <w:r w:rsidRPr="001455DC">
              <w:rPr>
                <w:rFonts w:ascii="Cambria Math" w:hAnsi="Cambria Math"/>
              </w:rPr>
              <w:t>+</w:t>
            </w:r>
            <w:r w:rsidR="00B82AA6" w:rsidRPr="001455DC">
              <w:rPr>
                <w:rStyle w:val="CCMCvariableitalic"/>
              </w:rPr>
              <w:t>ω</w:t>
            </w:r>
            <w:r w:rsidR="00B82AA6" w:rsidRPr="001455DC">
              <w:t>;</w:t>
            </w:r>
          </w:p>
        </w:tc>
      </w:tr>
      <w:tr w:rsidR="00B82AA6" w:rsidRPr="001455DC" w14:paraId="2883FA59" w14:textId="77777777" w:rsidTr="00A0760E">
        <w:trPr>
          <w:cantSplit/>
        </w:trPr>
        <w:tc>
          <w:tcPr>
            <w:tcW w:w="567" w:type="dxa"/>
          </w:tcPr>
          <w:p w14:paraId="6F5B86D7" w14:textId="77FDE6FC" w:rsidR="00B82AA6" w:rsidRPr="001455DC" w:rsidRDefault="00FC32BF" w:rsidP="00A0760E">
            <w:pPr>
              <w:pStyle w:val="Tablebody"/>
            </w:pPr>
            <w:r w:rsidRPr="001455DC">
              <w:rPr>
                <w:rStyle w:val="CCMCvariableitalic"/>
              </w:rPr>
              <w:t>n</w:t>
            </w:r>
            <w:r w:rsidRPr="001455DC">
              <w:rPr>
                <w:rStyle w:val="CCMCvariablesubscript"/>
              </w:rPr>
              <w:t>bal</w:t>
            </w:r>
          </w:p>
        </w:tc>
        <w:tc>
          <w:tcPr>
            <w:tcW w:w="8845" w:type="dxa"/>
          </w:tcPr>
          <w:p w14:paraId="2550D18E" w14:textId="270619C7" w:rsidR="00B82AA6" w:rsidRPr="001455DC" w:rsidRDefault="00B82AA6" w:rsidP="00A0760E">
            <w:pPr>
              <w:pStyle w:val="Tablebody"/>
            </w:pPr>
            <w:r w:rsidRPr="001455DC">
              <w:t xml:space="preserve">is the value of </w:t>
            </w:r>
            <w:r w:rsidRPr="001455DC">
              <w:rPr>
                <w:rStyle w:val="CCMCvariableitalic"/>
              </w:rPr>
              <w:t>n</w:t>
            </w:r>
            <w:r w:rsidRPr="001455DC">
              <w:t xml:space="preserve"> at maximum moment resistance; the value </w:t>
            </w:r>
            <w:r w:rsidRPr="001455DC">
              <w:rPr>
                <w:rStyle w:val="CCMCvariableitalic"/>
              </w:rPr>
              <w:t>n</w:t>
            </w:r>
            <w:r w:rsidRPr="001455DC">
              <w:rPr>
                <w:rStyle w:val="CCMCvariablesubscript"/>
              </w:rPr>
              <w:t>bal</w:t>
            </w:r>
            <w:r w:rsidRPr="001455DC">
              <w:t> </w:t>
            </w:r>
            <w:r w:rsidR="00EC27D2" w:rsidRPr="001455DC">
              <w:rPr>
                <w:rFonts w:ascii="Cambria Math" w:hAnsi="Cambria Math"/>
              </w:rPr>
              <w:t>=</w:t>
            </w:r>
            <w:r w:rsidRPr="001455DC">
              <w:t> 0,4 may be used;</w:t>
            </w:r>
          </w:p>
        </w:tc>
      </w:tr>
      <w:tr w:rsidR="00B82AA6" w:rsidRPr="001455DC" w14:paraId="36A249F0" w14:textId="77777777" w:rsidTr="00A0760E">
        <w:trPr>
          <w:cantSplit/>
        </w:trPr>
        <w:tc>
          <w:tcPr>
            <w:tcW w:w="567" w:type="dxa"/>
          </w:tcPr>
          <w:p w14:paraId="41C4DD2D" w14:textId="3181DD0D" w:rsidR="00B82AA6" w:rsidRPr="001455DC" w:rsidRDefault="00FC32BF" w:rsidP="00A0760E">
            <w:pPr>
              <w:pStyle w:val="Tablebody"/>
            </w:pPr>
            <w:r w:rsidRPr="001455DC">
              <w:rPr>
                <w:rStyle w:val="CCMCvariableitalic"/>
              </w:rPr>
              <w:t>ω</w:t>
            </w:r>
          </w:p>
        </w:tc>
        <w:tc>
          <w:tcPr>
            <w:tcW w:w="8845" w:type="dxa"/>
          </w:tcPr>
          <w:p w14:paraId="3865DB7E" w14:textId="164875D8" w:rsidR="00B82AA6" w:rsidRPr="001455DC" w:rsidRDefault="00EC27D2" w:rsidP="00A0760E">
            <w:pPr>
              <w:pStyle w:val="Tablebody"/>
            </w:pPr>
            <w:r w:rsidRPr="001455DC">
              <w:rPr>
                <w:rFonts w:ascii="Cambria Math" w:hAnsi="Cambria Math"/>
              </w:rPr>
              <w:t>=</w:t>
            </w:r>
            <w:r w:rsidR="00B82AA6" w:rsidRPr="001455DC">
              <w:t xml:space="preserve"> </w:t>
            </w:r>
            <w:r w:rsidR="00B82AA6" w:rsidRPr="001455DC">
              <w:rPr>
                <w:rStyle w:val="CCMCvariableitalic"/>
              </w:rPr>
              <w:t>A</w:t>
            </w:r>
            <w:r w:rsidR="00B82AA6" w:rsidRPr="001455DC">
              <w:rPr>
                <w:rStyle w:val="CCMCvariablesubscript"/>
              </w:rPr>
              <w:t>s</w:t>
            </w:r>
            <w:r w:rsidR="00B82AA6" w:rsidRPr="001455DC">
              <w:rPr>
                <w:rStyle w:val="CCMCvariableitalic"/>
              </w:rPr>
              <w:t>f</w:t>
            </w:r>
            <w:r w:rsidR="00B82AA6" w:rsidRPr="001455DC">
              <w:rPr>
                <w:rStyle w:val="CCMCvariablesubscript"/>
              </w:rPr>
              <w:t>yd</w:t>
            </w:r>
            <w:r w:rsidR="00B82AA6" w:rsidRPr="001455DC">
              <w:t>/(</w:t>
            </w:r>
            <w:r w:rsidR="00B82AA6" w:rsidRPr="001455DC">
              <w:rPr>
                <w:rStyle w:val="CCMCvariableitalic"/>
              </w:rPr>
              <w:t>A</w:t>
            </w:r>
            <w:r w:rsidR="00B82AA6" w:rsidRPr="001455DC">
              <w:rPr>
                <w:rStyle w:val="CCMCvariablesubscript"/>
              </w:rPr>
              <w:t>c</w:t>
            </w:r>
            <w:r w:rsidR="00B82AA6" w:rsidRPr="001455DC">
              <w:rPr>
                <w:rStyle w:val="CCMCvariableitalic"/>
              </w:rPr>
              <w:t>f</w:t>
            </w:r>
            <w:r w:rsidR="00B82AA6" w:rsidRPr="001455DC">
              <w:rPr>
                <w:rStyle w:val="CCMCvariablesubscript"/>
              </w:rPr>
              <w:t>cd</w:t>
            </w:r>
            <w:r w:rsidR="00B82AA6" w:rsidRPr="001455DC">
              <w:t>);</w:t>
            </w:r>
          </w:p>
        </w:tc>
      </w:tr>
      <w:tr w:rsidR="00B82AA6" w:rsidRPr="001455DC" w14:paraId="32A251C4" w14:textId="77777777" w:rsidTr="00A0760E">
        <w:trPr>
          <w:cantSplit/>
        </w:trPr>
        <w:tc>
          <w:tcPr>
            <w:tcW w:w="567" w:type="dxa"/>
          </w:tcPr>
          <w:p w14:paraId="0CB37611" w14:textId="3CBFD354" w:rsidR="00B82AA6" w:rsidRPr="001455DC" w:rsidRDefault="00FC32BF" w:rsidP="00A0760E">
            <w:pPr>
              <w:pStyle w:val="Tablebody"/>
            </w:pPr>
            <w:r w:rsidRPr="001455DC">
              <w:rPr>
                <w:rStyle w:val="CCMCvariableitalic"/>
              </w:rPr>
              <w:t>A</w:t>
            </w:r>
            <w:r w:rsidRPr="001455DC">
              <w:rPr>
                <w:rStyle w:val="CCMCvariablesubscript"/>
              </w:rPr>
              <w:t>s</w:t>
            </w:r>
          </w:p>
        </w:tc>
        <w:tc>
          <w:tcPr>
            <w:tcW w:w="8845" w:type="dxa"/>
          </w:tcPr>
          <w:p w14:paraId="5BC51422" w14:textId="7588E097" w:rsidR="00B82AA6" w:rsidRPr="001455DC" w:rsidRDefault="00FC32BF" w:rsidP="00A0760E">
            <w:pPr>
              <w:pStyle w:val="Tablebody"/>
            </w:pPr>
            <w:r w:rsidRPr="001455DC">
              <w:t>is the total area of the reinforcement;</w:t>
            </w:r>
          </w:p>
        </w:tc>
      </w:tr>
      <w:tr w:rsidR="00B82AA6" w:rsidRPr="001455DC" w14:paraId="17F696A0" w14:textId="77777777" w:rsidTr="00A0760E">
        <w:trPr>
          <w:cantSplit/>
        </w:trPr>
        <w:tc>
          <w:tcPr>
            <w:tcW w:w="567" w:type="dxa"/>
          </w:tcPr>
          <w:p w14:paraId="03E967B4" w14:textId="46DFE4CF" w:rsidR="00B82AA6" w:rsidRPr="001455DC" w:rsidRDefault="00FC32BF" w:rsidP="00A0760E">
            <w:pPr>
              <w:pStyle w:val="Tablebody"/>
            </w:pPr>
            <w:r w:rsidRPr="001455DC">
              <w:rPr>
                <w:rStyle w:val="CCMCvariableitalic"/>
              </w:rPr>
              <w:t>A</w:t>
            </w:r>
            <w:r w:rsidRPr="001455DC">
              <w:rPr>
                <w:rStyle w:val="CCMCvariablesubscript"/>
              </w:rPr>
              <w:t>c</w:t>
            </w:r>
          </w:p>
        </w:tc>
        <w:tc>
          <w:tcPr>
            <w:tcW w:w="8845" w:type="dxa"/>
          </w:tcPr>
          <w:p w14:paraId="2C3C14CC" w14:textId="70631581" w:rsidR="00B82AA6" w:rsidRPr="001455DC" w:rsidRDefault="00FC32BF" w:rsidP="00A0760E">
            <w:pPr>
              <w:pStyle w:val="Tablebody"/>
            </w:pPr>
            <w:r w:rsidRPr="001455DC">
              <w:t>is the area of the concrete cross section.</w:t>
            </w:r>
          </w:p>
        </w:tc>
      </w:tr>
    </w:tbl>
    <w:p w14:paraId="5C0C8D7F" w14:textId="41EE9745" w:rsidR="005376A9" w:rsidRPr="001455DC" w:rsidRDefault="004E22C1" w:rsidP="005376A9">
      <w:pPr>
        <w:pStyle w:val="a7"/>
      </w:pPr>
      <w:r w:rsidRPr="001455DC">
        <w:t>(</w:t>
      </w:r>
      <w:r w:rsidR="00EC0A75" w:rsidRPr="001455DC">
        <w:t>4</w:t>
      </w:r>
      <w:r w:rsidRPr="001455DC">
        <w:t>)</w:t>
      </w:r>
      <w:r w:rsidRPr="001455DC">
        <w:tab/>
      </w:r>
      <w:r w:rsidRPr="001455DC">
        <w:rPr>
          <w:rStyle w:val="CCMCvariableitalic"/>
        </w:rPr>
        <w:t>k</w:t>
      </w:r>
      <w:r w:rsidRPr="001455DC">
        <w:rPr>
          <w:rStyle w:val="CCMCvariablesubscript"/>
        </w:rPr>
        <w:t>φ</w:t>
      </w:r>
      <w:r w:rsidRPr="001455DC">
        <w:t xml:space="preserve"> in Formula (O.21) should be taken as:</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5376A9" w:rsidRPr="001455DC" w14:paraId="763BF4AB" w14:textId="77777777" w:rsidTr="00EC5547">
        <w:trPr>
          <w:cantSplit/>
        </w:trPr>
        <w:tc>
          <w:tcPr>
            <w:tcW w:w="8505" w:type="dxa"/>
            <w:vAlign w:val="center"/>
          </w:tcPr>
          <w:p w14:paraId="689D2BC2" w14:textId="5B5443C9" w:rsidR="005376A9" w:rsidRPr="001455DC" w:rsidRDefault="00231E33" w:rsidP="00EC5547">
            <w:pPr>
              <w:pStyle w:val="Formula"/>
              <w:jc w:val="left"/>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rPr>
                      <m:t>φ</m:t>
                    </m:r>
                  </m:sub>
                </m:sSub>
                <m:r>
                  <w:rPr>
                    <w:rFonts w:ascii="Cambria Math" w:hAnsi="Cambria Math"/>
                  </w:rPr>
                  <m:t>=1+</m:t>
                </m:r>
                <m:sSub>
                  <m:sSubPr>
                    <m:ctrlPr>
                      <w:rPr>
                        <w:rFonts w:ascii="Cambria Math" w:hAnsi="Cambria Math"/>
                      </w:rPr>
                    </m:ctrlPr>
                  </m:sSubPr>
                  <m:e>
                    <m:r>
                      <w:rPr>
                        <w:rFonts w:ascii="Cambria Math" w:hAnsi="Cambria Math"/>
                      </w:rPr>
                      <m:t>β</m:t>
                    </m:r>
                  </m:e>
                  <m:sub>
                    <m:sSub>
                      <m:sSubPr>
                        <m:ctrlPr>
                          <w:rPr>
                            <w:rFonts w:ascii="Cambria Math" w:hAnsi="Cambria Math"/>
                          </w:rPr>
                        </m:ctrlPr>
                      </m:sSubPr>
                      <m:e>
                        <m:r>
                          <w:rPr>
                            <w:rFonts w:ascii="Cambria Math" w:hAnsi="Cambria Math"/>
                          </w:rPr>
                          <m:t>f</m:t>
                        </m:r>
                      </m:e>
                      <m:sub>
                        <m:r>
                          <m:rPr>
                            <m:sty m:val="p"/>
                          </m:rPr>
                          <w:rPr>
                            <w:rFonts w:ascii="Cambria Math" w:hAnsi="Cambria Math"/>
                          </w:rPr>
                          <m:t>ck</m:t>
                        </m:r>
                      </m:sub>
                    </m:sSub>
                  </m:sub>
                </m:sSub>
                <m:sSub>
                  <m:sSubPr>
                    <m:ctrlPr>
                      <w:rPr>
                        <w:rFonts w:ascii="Cambria Math" w:hAnsi="Cambria Math"/>
                      </w:rPr>
                    </m:ctrlPr>
                  </m:sSubPr>
                  <m:e>
                    <m:r>
                      <w:rPr>
                        <w:rFonts w:ascii="Cambria Math" w:hAnsi="Cambria Math"/>
                      </w:rPr>
                      <m:t>φ</m:t>
                    </m:r>
                  </m:e>
                  <m:sub>
                    <m:r>
                      <m:rPr>
                        <m:sty m:val="p"/>
                      </m:rPr>
                      <w:rPr>
                        <w:rFonts w:ascii="Cambria Math" w:hAnsi="Cambria Math"/>
                      </w:rPr>
                      <m:t>eff,b</m:t>
                    </m:r>
                  </m:sub>
                </m:sSub>
                <m:r>
                  <w:rPr>
                    <w:rFonts w:ascii="Cambria Math" w:hAnsi="Cambria Math"/>
                  </w:rPr>
                  <m:t>≥1</m:t>
                </m:r>
              </m:oMath>
            </m:oMathPara>
          </w:p>
        </w:tc>
        <w:tc>
          <w:tcPr>
            <w:tcW w:w="1247" w:type="dxa"/>
            <w:vAlign w:val="center"/>
          </w:tcPr>
          <w:p w14:paraId="70A49D85" w14:textId="38D599E1" w:rsidR="005376A9" w:rsidRPr="001455DC" w:rsidRDefault="00FC32BF" w:rsidP="00EC5547">
            <w:pPr>
              <w:pStyle w:val="a7"/>
              <w:jc w:val="right"/>
            </w:pPr>
            <w:r w:rsidRPr="001455DC">
              <w:t>(O.24)</w:t>
            </w:r>
          </w:p>
        </w:tc>
      </w:tr>
    </w:tbl>
    <w:p w14:paraId="58E2E59C" w14:textId="4AB96D4E" w:rsidR="004E22C1" w:rsidRPr="001455DC" w:rsidRDefault="004E22C1"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FC32BF" w:rsidRPr="001455DC" w14:paraId="7BD8AF89" w14:textId="77777777" w:rsidTr="00A0760E">
        <w:trPr>
          <w:cantSplit/>
        </w:trPr>
        <w:tc>
          <w:tcPr>
            <w:tcW w:w="567" w:type="dxa"/>
          </w:tcPr>
          <w:p w14:paraId="683ADBDC" w14:textId="28B9A99A" w:rsidR="00FC32BF" w:rsidRPr="001455DC" w:rsidRDefault="00FC32BF" w:rsidP="00A0760E">
            <w:pPr>
              <w:pStyle w:val="Tablebody"/>
            </w:pPr>
            <w:r w:rsidRPr="001455DC">
              <w:rPr>
                <w:rStyle w:val="CCMCvariableitalic"/>
              </w:rPr>
              <w:t>φ</w:t>
            </w:r>
            <w:r w:rsidRPr="001455DC">
              <w:rPr>
                <w:rStyle w:val="CCMCvariablesubscript"/>
              </w:rPr>
              <w:t>eff,b</w:t>
            </w:r>
          </w:p>
        </w:tc>
        <w:tc>
          <w:tcPr>
            <w:tcW w:w="8845" w:type="dxa"/>
          </w:tcPr>
          <w:p w14:paraId="351182EE" w14:textId="4B546904" w:rsidR="00FC32BF" w:rsidRPr="001455DC" w:rsidRDefault="00FC32BF" w:rsidP="00A0760E">
            <w:pPr>
              <w:pStyle w:val="Tablebody"/>
            </w:pPr>
            <w:r w:rsidRPr="001455DC">
              <w:t>is the effective creep ratio for local effects, see 7.4.2(2);</w:t>
            </w:r>
          </w:p>
        </w:tc>
      </w:tr>
      <w:tr w:rsidR="00FC32BF" w:rsidRPr="001455DC" w14:paraId="62B581ED" w14:textId="77777777" w:rsidTr="00A0760E">
        <w:trPr>
          <w:cantSplit/>
        </w:trPr>
        <w:tc>
          <w:tcPr>
            <w:tcW w:w="567" w:type="dxa"/>
          </w:tcPr>
          <w:p w14:paraId="01D54309" w14:textId="1028A05F" w:rsidR="00FC32BF" w:rsidRPr="009D3012" w:rsidRDefault="00231E33" w:rsidP="00A0760E">
            <w:pPr>
              <w:pStyle w:val="Tablebody"/>
              <w:rPr>
                <w:rStyle w:val="CCMCvariableitalic"/>
              </w:rPr>
            </w:pPr>
            <m:oMathPara>
              <m:oMathParaPr>
                <m:jc m:val="left"/>
              </m:oMathParaPr>
              <m:oMath>
                <m:sSub>
                  <m:sSubPr>
                    <m:ctrlPr>
                      <w:rPr>
                        <w:rFonts w:ascii="Cambria Math" w:hAnsi="Cambria Math"/>
                      </w:rPr>
                    </m:ctrlPr>
                  </m:sSubPr>
                  <m:e>
                    <m:r>
                      <w:rPr>
                        <w:rFonts w:ascii="Cambria Math" w:hAnsi="Cambria Math"/>
                      </w:rPr>
                      <m:t>β</m:t>
                    </m:r>
                  </m:e>
                  <m:sub>
                    <m:sSub>
                      <m:sSubPr>
                        <m:ctrlPr>
                          <w:rPr>
                            <w:rFonts w:ascii="Cambria Math" w:hAnsi="Cambria Math"/>
                          </w:rPr>
                        </m:ctrlPr>
                      </m:sSubPr>
                      <m:e>
                        <m:r>
                          <w:rPr>
                            <w:rFonts w:ascii="Cambria Math" w:hAnsi="Cambria Math"/>
                          </w:rPr>
                          <m:t>f</m:t>
                        </m:r>
                      </m:e>
                      <m:sub>
                        <m:r>
                          <m:rPr>
                            <m:sty m:val="p"/>
                          </m:rPr>
                          <w:rPr>
                            <w:rFonts w:ascii="Cambria Math" w:hAnsi="Cambria Math"/>
                          </w:rPr>
                          <m:t>ck</m:t>
                        </m:r>
                      </m:sub>
                    </m:sSub>
                  </m:sub>
                </m:sSub>
              </m:oMath>
            </m:oMathPara>
          </w:p>
        </w:tc>
        <w:tc>
          <w:tcPr>
            <w:tcW w:w="8845" w:type="dxa"/>
          </w:tcPr>
          <w:p w14:paraId="6D7954C2" w14:textId="0F71F45A" w:rsidR="00FC32BF" w:rsidRPr="001455DC" w:rsidRDefault="00EC27D2" w:rsidP="00A0760E">
            <w:pPr>
              <w:pStyle w:val="Tablebody"/>
            </w:pPr>
            <w:r w:rsidRPr="001455DC">
              <w:rPr>
                <w:rFonts w:ascii="Cambria Math" w:hAnsi="Cambria Math"/>
              </w:rPr>
              <w:t>=</w:t>
            </w:r>
            <w:r w:rsidR="00FC32BF" w:rsidRPr="001455DC">
              <w:t xml:space="preserve"> 0,35</w:t>
            </w:r>
            <w:r w:rsidRPr="001455DC">
              <w:rPr>
                <w:rFonts w:ascii="Cambria Math" w:hAnsi="Cambria Math"/>
              </w:rPr>
              <w:t> + </w:t>
            </w:r>
            <w:r w:rsidR="00FC32BF" w:rsidRPr="001455DC">
              <w:rPr>
                <w:rStyle w:val="CCMCvariableitalic"/>
              </w:rPr>
              <w:t>f</w:t>
            </w:r>
            <w:r w:rsidR="00FC32BF" w:rsidRPr="001455DC">
              <w:rPr>
                <w:rStyle w:val="CCMCvariablesubscript"/>
              </w:rPr>
              <w:t>ck</w:t>
            </w:r>
            <w:r w:rsidR="00FC32BF" w:rsidRPr="001455DC">
              <w:t xml:space="preserve"> /200 </w:t>
            </w:r>
            <w:r w:rsidRPr="001455DC">
              <w:rPr>
                <w:rFonts w:ascii="Cambria Math" w:hAnsi="Cambria Math"/>
              </w:rPr>
              <w:t>−</w:t>
            </w:r>
            <w:r w:rsidR="00FC32BF" w:rsidRPr="001455DC">
              <w:t> </w:t>
            </w:r>
            <w:r w:rsidR="00FC32BF" w:rsidRPr="001455DC">
              <w:rPr>
                <w:rStyle w:val="CCMCvariableitalic"/>
              </w:rPr>
              <w:t>λ</w:t>
            </w:r>
            <w:r w:rsidR="00FC32BF" w:rsidRPr="001455DC">
              <w:t>/150.</w:t>
            </w:r>
          </w:p>
        </w:tc>
      </w:tr>
    </w:tbl>
    <w:p w14:paraId="7E8966B0" w14:textId="21280E3E" w:rsidR="004E22C1" w:rsidRPr="001455DC" w:rsidRDefault="004E22C1" w:rsidP="00082680">
      <w:pPr>
        <w:pStyle w:val="a2"/>
      </w:pPr>
      <w:bookmarkStart w:id="2507" w:name="_Ref461617402"/>
      <w:bookmarkStart w:id="2508" w:name="_Toc52820455"/>
      <w:bookmarkStart w:id="2509" w:name="_Ref514861192"/>
      <w:bookmarkStart w:id="2510" w:name="_Toc54337247"/>
      <w:bookmarkStart w:id="2511" w:name="_Toc54337893"/>
      <w:bookmarkStart w:id="2512" w:name="_Toc54338500"/>
      <w:bookmarkStart w:id="2513" w:name="_Toc67565658"/>
      <w:r w:rsidRPr="001455DC">
        <w:t>Second order elastic method</w:t>
      </w:r>
      <w:bookmarkEnd w:id="2507"/>
      <w:bookmarkEnd w:id="2508"/>
      <w:bookmarkEnd w:id="2509"/>
      <w:bookmarkEnd w:id="2510"/>
      <w:bookmarkEnd w:id="2511"/>
      <w:bookmarkEnd w:id="2512"/>
      <w:bookmarkEnd w:id="2513"/>
    </w:p>
    <w:p w14:paraId="78356B97" w14:textId="5D22F544" w:rsidR="004E22C1" w:rsidRPr="001455DC" w:rsidRDefault="004E22C1" w:rsidP="00243590">
      <w:pPr>
        <w:pStyle w:val="a3"/>
      </w:pPr>
      <w:bookmarkStart w:id="2514" w:name="_Toc52820456"/>
      <w:bookmarkStart w:id="2515" w:name="_Toc54337894"/>
      <w:bookmarkStart w:id="2516" w:name="_Toc54338501"/>
      <w:r w:rsidRPr="001455DC">
        <w:t>General</w:t>
      </w:r>
      <w:bookmarkEnd w:id="2514"/>
      <w:bookmarkEnd w:id="2515"/>
      <w:bookmarkEnd w:id="2516"/>
    </w:p>
    <w:p w14:paraId="346D8827" w14:textId="77777777" w:rsidR="004E22C1" w:rsidRPr="001455DC" w:rsidRDefault="004E22C1" w:rsidP="004C68F7">
      <w:pPr>
        <w:pStyle w:val="a7"/>
      </w:pPr>
      <w:r w:rsidRPr="001455DC">
        <w:t>(1)</w:t>
      </w:r>
      <w:r w:rsidRPr="001455DC">
        <w:tab/>
        <w:t xml:space="preserve">The determination of the second order effects may be carried out using either a second </w:t>
      </w:r>
      <w:r w:rsidRPr="001455DC">
        <w:rPr>
          <w:rFonts w:eastAsiaTheme="minorHAnsi"/>
        </w:rPr>
        <w:t>order</w:t>
      </w:r>
      <w:r w:rsidRPr="001455DC">
        <w:t xml:space="preserve"> (geometric non-linear) elastic analysis or a theoretical solution based on the magnification factor, both satisfying the general principles of 7.4.1. Non-linear material behaviour (cracking, non-linear materials, creep and tension stiffening) shall be taken into account by means of an effective stiffness.</w:t>
      </w:r>
    </w:p>
    <w:p w14:paraId="690D033A" w14:textId="77777777" w:rsidR="004E22C1" w:rsidRPr="001455DC" w:rsidRDefault="004E22C1" w:rsidP="004C68F7">
      <w:pPr>
        <w:pStyle w:val="a7"/>
      </w:pPr>
      <w:r w:rsidRPr="001455DC">
        <w:t>(2)</w:t>
      </w:r>
      <w:r w:rsidRPr="001455DC">
        <w:tab/>
        <w:t>Member stiffnesses may in principle be chosen within relatively wide limits provided equilibrium and compatibility are satisfied as described in (3) and (4).</w:t>
      </w:r>
    </w:p>
    <w:p w14:paraId="3341B7B7" w14:textId="77777777" w:rsidR="004E22C1" w:rsidRPr="001455DC" w:rsidRDefault="004E22C1" w:rsidP="004C68F7">
      <w:pPr>
        <w:pStyle w:val="Note"/>
      </w:pPr>
      <w:r w:rsidRPr="001455DC">
        <w:t>NOTE</w:t>
      </w:r>
      <w:r w:rsidRPr="001455DC">
        <w:tab/>
        <w:t>Optimal design will require several iterations.</w:t>
      </w:r>
    </w:p>
    <w:p w14:paraId="7B31B3AE" w14:textId="77777777" w:rsidR="004E22C1" w:rsidRPr="001455DC" w:rsidRDefault="004E22C1" w:rsidP="004C68F7">
      <w:pPr>
        <w:pStyle w:val="a7"/>
      </w:pPr>
      <w:r w:rsidRPr="001455DC">
        <w:rPr>
          <w:szCs w:val="22"/>
        </w:rPr>
        <w:t>(3)</w:t>
      </w:r>
      <w:r w:rsidRPr="001455DC">
        <w:rPr>
          <w:szCs w:val="22"/>
        </w:rPr>
        <w:tab/>
      </w:r>
      <w:r w:rsidRPr="001455DC">
        <w:t>For compression members with approximately constant axial force, constant section and reinforcement along the member length, it suffices to satisfy equilibrium and curvature compatibility at the most critical section.</w:t>
      </w:r>
    </w:p>
    <w:p w14:paraId="3CC71000" w14:textId="5BB5DD2A" w:rsidR="004E22C1" w:rsidRPr="001455DC" w:rsidRDefault="004E22C1" w:rsidP="004C68F7">
      <w:pPr>
        <w:pStyle w:val="a7"/>
      </w:pPr>
      <w:r w:rsidRPr="001455DC">
        <w:t>(4)</w:t>
      </w:r>
      <w:r w:rsidRPr="001455DC">
        <w:tab/>
        <w:t xml:space="preserve">In other cases, equilibrium and curvature compatibility shall be satisfied at a sufficient number of sections to ensure a safe design, i.e., the member sections shall be designed for corresponding values of </w:t>
      </w:r>
      <w:r w:rsidRPr="001455DC">
        <w:rPr>
          <w:rStyle w:val="CCMCvariableitalic"/>
        </w:rPr>
        <w:t>N</w:t>
      </w:r>
      <w:r w:rsidRPr="001455DC">
        <w:rPr>
          <w:rStyle w:val="CCMCvariablesubscript"/>
        </w:rPr>
        <w:t>Ed</w:t>
      </w:r>
      <w:r w:rsidRPr="001455DC">
        <w:rPr>
          <w:rStyle w:val="CCMCvariableitalic"/>
        </w:rPr>
        <w:t>,</w:t>
      </w:r>
      <w:r w:rsidRPr="001455DC">
        <w:t xml:space="preserve"> </w:t>
      </w:r>
      <w:r w:rsidRPr="001455DC">
        <w:rPr>
          <w:rStyle w:val="CCMCvariableitalic"/>
        </w:rPr>
        <w:t>M</w:t>
      </w:r>
      <w:r w:rsidRPr="001455DC">
        <w:rPr>
          <w:rStyle w:val="CCMCvariablesubscript"/>
        </w:rPr>
        <w:t>Ed</w:t>
      </w:r>
      <w:r w:rsidRPr="001455DC">
        <w:t xml:space="preserve"> and curvature (1/</w:t>
      </w:r>
      <w:r w:rsidRPr="001455DC">
        <w:rPr>
          <w:rStyle w:val="CCMCvariableitalic"/>
        </w:rPr>
        <w:t>r</w:t>
      </w:r>
      <w:r w:rsidRPr="001455DC">
        <w:t> </w:t>
      </w:r>
      <w:r w:rsidR="00EC27D2" w:rsidRPr="001455DC">
        <w:rPr>
          <w:rFonts w:ascii="Cambria Math" w:hAnsi="Cambria Math"/>
        </w:rPr>
        <w:t>=</w:t>
      </w:r>
      <w:r w:rsidRPr="001455DC">
        <w:t> </w:t>
      </w:r>
      <w:r w:rsidRPr="001455DC">
        <w:rPr>
          <w:rStyle w:val="CCMCvariableitalic"/>
        </w:rPr>
        <w:t>M</w:t>
      </w:r>
      <w:r w:rsidRPr="001455DC">
        <w:rPr>
          <w:rStyle w:val="CCMCvariablesubscript"/>
        </w:rPr>
        <w:t>Ed</w:t>
      </w:r>
      <w:r w:rsidRPr="001455DC">
        <w:t>/</w:t>
      </w:r>
      <w:r w:rsidRPr="001455DC">
        <w:rPr>
          <w:rStyle w:val="CCMCvariableitalic"/>
        </w:rPr>
        <w:t>EI</w:t>
      </w:r>
      <w:r w:rsidRPr="001455DC">
        <w:t xml:space="preserve">) obtained with the assumed bending stiffness values </w:t>
      </w:r>
      <w:r w:rsidRPr="001455DC">
        <w:rPr>
          <w:rStyle w:val="CCMCvariableitalic"/>
        </w:rPr>
        <w:t>EI</w:t>
      </w:r>
      <w:r w:rsidRPr="001455DC">
        <w:t xml:space="preserve"> at these sections.</w:t>
      </w:r>
    </w:p>
    <w:p w14:paraId="3BBD9828" w14:textId="01D44A94" w:rsidR="004E22C1" w:rsidRPr="001455DC" w:rsidRDefault="004E22C1" w:rsidP="004C68F7">
      <w:pPr>
        <w:pStyle w:val="a7"/>
      </w:pPr>
      <w:r w:rsidRPr="001455DC">
        <w:t>(5)</w:t>
      </w:r>
      <w:r w:rsidRPr="001455DC">
        <w:tab/>
        <w:t>For global analysis as a simplification, the value of the stiffnesses may be taken as:</w:t>
      </w:r>
    </w:p>
    <w:p w14:paraId="107A8045" w14:textId="77777777" w:rsidR="00A0760E" w:rsidRPr="001455DC" w:rsidRDefault="00A0760E"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1701"/>
        <w:gridCol w:w="7711"/>
      </w:tblGrid>
      <w:tr w:rsidR="00A0760E" w:rsidRPr="001455DC" w14:paraId="1E9F00E6" w14:textId="77777777" w:rsidTr="00A0760E">
        <w:trPr>
          <w:cantSplit/>
        </w:trPr>
        <w:tc>
          <w:tcPr>
            <w:tcW w:w="1701" w:type="dxa"/>
          </w:tcPr>
          <w:p w14:paraId="4697A1EB" w14:textId="1FF4E142" w:rsidR="00A0760E" w:rsidRPr="001455DC" w:rsidRDefault="00A0760E" w:rsidP="0000442A">
            <w:pPr>
              <w:pStyle w:val="Tablebody"/>
            </w:pPr>
            <m:oMathPara>
              <m:oMathParaPr>
                <m:jc m:val="left"/>
              </m:oMathParaPr>
              <m:oMath>
                <m:r>
                  <w:rPr>
                    <w:rFonts w:ascii="Cambria Math" w:hAnsi="Cambria Math"/>
                  </w:rPr>
                  <m:t>EI=0,4</m:t>
                </m:r>
                <m:sSub>
                  <m:sSubPr>
                    <m:ctrlPr>
                      <w:rPr>
                        <w:rFonts w:ascii="Cambria Math" w:hAnsi="Cambria Math"/>
                      </w:rPr>
                    </m:ctrlPr>
                  </m:sSubPr>
                  <m:e>
                    <m:r>
                      <w:rPr>
                        <w:rFonts w:ascii="Cambria Math" w:hAnsi="Cambria Math"/>
                      </w:rPr>
                      <m:t>E</m:t>
                    </m:r>
                  </m:e>
                  <m:sub>
                    <m:r>
                      <m:rPr>
                        <m:sty m:val="p"/>
                      </m:rPr>
                      <w:rPr>
                        <w:rFonts w:ascii="Cambria Math" w:hAnsi="Cambria Math"/>
                      </w:rPr>
                      <m:t>cd</m:t>
                    </m:r>
                  </m:sub>
                </m:sSub>
                <m:sSub>
                  <m:sSubPr>
                    <m:ctrlPr>
                      <w:rPr>
                        <w:rFonts w:ascii="Cambria Math" w:hAnsi="Cambria Math"/>
                      </w:rPr>
                    </m:ctrlPr>
                  </m:sSubPr>
                  <m:e>
                    <m:r>
                      <w:rPr>
                        <w:rFonts w:ascii="Cambria Math" w:hAnsi="Cambria Math"/>
                      </w:rPr>
                      <m:t>I</m:t>
                    </m:r>
                  </m:e>
                  <m:sub>
                    <m:r>
                      <m:rPr>
                        <m:sty m:val="p"/>
                      </m:rPr>
                      <w:rPr>
                        <w:rFonts w:ascii="Cambria Math" w:hAnsi="Cambria Math"/>
                      </w:rPr>
                      <m:t>c</m:t>
                    </m:r>
                  </m:sub>
                </m:sSub>
              </m:oMath>
            </m:oMathPara>
          </w:p>
        </w:tc>
        <w:tc>
          <w:tcPr>
            <w:tcW w:w="7711" w:type="dxa"/>
          </w:tcPr>
          <w:p w14:paraId="422B9FD2" w14:textId="7936D44F" w:rsidR="00A0760E" w:rsidRPr="001455DC" w:rsidRDefault="00A0760E" w:rsidP="00BB1209">
            <w:pPr>
              <w:pStyle w:val="Tablebody"/>
            </w:pPr>
            <w:r w:rsidRPr="001455DC">
              <w:t>for walls and columns;</w:t>
            </w:r>
          </w:p>
        </w:tc>
      </w:tr>
      <w:tr w:rsidR="00A0760E" w:rsidRPr="001455DC" w14:paraId="3380D680" w14:textId="77777777" w:rsidTr="00A0760E">
        <w:trPr>
          <w:cantSplit/>
        </w:trPr>
        <w:tc>
          <w:tcPr>
            <w:tcW w:w="1701" w:type="dxa"/>
          </w:tcPr>
          <w:p w14:paraId="54F24794" w14:textId="5AF43691" w:rsidR="00A0760E" w:rsidRPr="001455DC" w:rsidRDefault="00A0760E" w:rsidP="0000442A">
            <w:pPr>
              <w:pStyle w:val="Tablebody"/>
            </w:pPr>
            <m:oMathPara>
              <m:oMathParaPr>
                <m:jc m:val="left"/>
              </m:oMathParaPr>
              <m:oMath>
                <m:r>
                  <w:rPr>
                    <w:rFonts w:ascii="Cambria Math" w:hAnsi="Cambria Math"/>
                  </w:rPr>
                  <m:t>EI=0,3</m:t>
                </m:r>
                <m:sSub>
                  <m:sSubPr>
                    <m:ctrlPr>
                      <w:rPr>
                        <w:rFonts w:ascii="Cambria Math" w:hAnsi="Cambria Math"/>
                      </w:rPr>
                    </m:ctrlPr>
                  </m:sSubPr>
                  <m:e>
                    <m:r>
                      <w:rPr>
                        <w:rFonts w:ascii="Cambria Math" w:hAnsi="Cambria Math"/>
                      </w:rPr>
                      <m:t>E</m:t>
                    </m:r>
                  </m:e>
                  <m:sub>
                    <m:r>
                      <m:rPr>
                        <m:sty m:val="p"/>
                      </m:rPr>
                      <w:rPr>
                        <w:rFonts w:ascii="Cambria Math" w:hAnsi="Cambria Math"/>
                      </w:rPr>
                      <m:t>cd</m:t>
                    </m:r>
                  </m:sub>
                </m:sSub>
                <m:sSub>
                  <m:sSubPr>
                    <m:ctrlPr>
                      <w:rPr>
                        <w:rFonts w:ascii="Cambria Math" w:hAnsi="Cambria Math"/>
                      </w:rPr>
                    </m:ctrlPr>
                  </m:sSubPr>
                  <m:e>
                    <m:r>
                      <w:rPr>
                        <w:rFonts w:ascii="Cambria Math" w:hAnsi="Cambria Math"/>
                      </w:rPr>
                      <m:t>I</m:t>
                    </m:r>
                  </m:e>
                  <m:sub>
                    <m:r>
                      <m:rPr>
                        <m:sty m:val="p"/>
                      </m:rPr>
                      <w:rPr>
                        <w:rFonts w:ascii="Cambria Math" w:hAnsi="Cambria Math"/>
                      </w:rPr>
                      <m:t>c</m:t>
                    </m:r>
                  </m:sub>
                </m:sSub>
              </m:oMath>
            </m:oMathPara>
          </w:p>
        </w:tc>
        <w:tc>
          <w:tcPr>
            <w:tcW w:w="7711" w:type="dxa"/>
          </w:tcPr>
          <w:p w14:paraId="6DB0D24D" w14:textId="1E0346C3" w:rsidR="00A0760E" w:rsidRPr="001455DC" w:rsidRDefault="00A0760E" w:rsidP="0000442A">
            <w:pPr>
              <w:pStyle w:val="Tablebody"/>
            </w:pPr>
            <w:r w:rsidRPr="001455DC">
              <w:t>for reinforced concrete beams and slabs;</w:t>
            </w:r>
          </w:p>
        </w:tc>
      </w:tr>
      <w:tr w:rsidR="00A0760E" w:rsidRPr="001455DC" w14:paraId="3D5612B2" w14:textId="77777777" w:rsidTr="00A0760E">
        <w:trPr>
          <w:cantSplit/>
        </w:trPr>
        <w:tc>
          <w:tcPr>
            <w:tcW w:w="1701" w:type="dxa"/>
          </w:tcPr>
          <w:p w14:paraId="70B1B028" w14:textId="5B762A00" w:rsidR="00A0760E" w:rsidRPr="001455DC" w:rsidRDefault="00A0760E" w:rsidP="00D86695">
            <w:pPr>
              <w:pStyle w:val="Tablebody"/>
            </w:pPr>
            <m:oMathPara>
              <m:oMathParaPr>
                <m:jc m:val="left"/>
              </m:oMathParaPr>
              <m:oMath>
                <m:r>
                  <w:rPr>
                    <w:rFonts w:ascii="Cambria Math" w:hAnsi="Cambria Math"/>
                  </w:rPr>
                  <m:t>EI=</m:t>
                </m:r>
                <m:sSub>
                  <m:sSubPr>
                    <m:ctrlPr>
                      <w:rPr>
                        <w:rFonts w:ascii="Cambria Math" w:hAnsi="Cambria Math"/>
                      </w:rPr>
                    </m:ctrlPr>
                  </m:sSubPr>
                  <m:e>
                    <m:r>
                      <w:rPr>
                        <w:rFonts w:ascii="Cambria Math" w:hAnsi="Cambria Math"/>
                      </w:rPr>
                      <m:t>E</m:t>
                    </m:r>
                  </m:e>
                  <m:sub>
                    <m:r>
                      <m:rPr>
                        <m:sty m:val="p"/>
                      </m:rPr>
                      <w:rPr>
                        <w:rFonts w:ascii="Cambria Math" w:hAnsi="Cambria Math"/>
                      </w:rPr>
                      <m:t>cd</m:t>
                    </m:r>
                  </m:sub>
                </m:sSub>
                <m:sSub>
                  <m:sSubPr>
                    <m:ctrlPr>
                      <w:rPr>
                        <w:rFonts w:ascii="Cambria Math" w:hAnsi="Cambria Math"/>
                      </w:rPr>
                    </m:ctrlPr>
                  </m:sSubPr>
                  <m:e>
                    <m:r>
                      <w:rPr>
                        <w:rFonts w:ascii="Cambria Math" w:hAnsi="Cambria Math"/>
                      </w:rPr>
                      <m:t>I</m:t>
                    </m:r>
                  </m:e>
                  <m:sub>
                    <m:r>
                      <m:rPr>
                        <m:sty m:val="p"/>
                      </m:rPr>
                      <w:rPr>
                        <w:rFonts w:ascii="Cambria Math" w:hAnsi="Cambria Math"/>
                      </w:rPr>
                      <m:t>c</m:t>
                    </m:r>
                  </m:sub>
                </m:sSub>
              </m:oMath>
            </m:oMathPara>
          </w:p>
        </w:tc>
        <w:tc>
          <w:tcPr>
            <w:tcW w:w="7711" w:type="dxa"/>
          </w:tcPr>
          <w:p w14:paraId="6BBFEF8E" w14:textId="545AA307" w:rsidR="00A0760E" w:rsidRPr="001455DC" w:rsidRDefault="00A0760E" w:rsidP="00D86695">
            <w:pPr>
              <w:pStyle w:val="Tablebody"/>
            </w:pPr>
            <w:r w:rsidRPr="001455DC">
              <w:t>for uncracked concrete beams and slabs. due to prestressing</w:t>
            </w:r>
            <w:r w:rsidR="00B95978" w:rsidRPr="001455DC">
              <w:t>.</w:t>
            </w:r>
          </w:p>
        </w:tc>
      </w:tr>
    </w:tbl>
    <w:p w14:paraId="679DCD03" w14:textId="77777777" w:rsidR="004E22C1" w:rsidRPr="001455DC" w:rsidRDefault="004E22C1" w:rsidP="004C68F7">
      <w:pPr>
        <w:pStyle w:val="a7"/>
      </w:pPr>
      <w:r w:rsidRPr="001455DC">
        <w:t>When using such an approximation, and in order to prevent false force redistributions, the stiffness of restraining elements should be reduced in the same proportion.</w:t>
      </w:r>
    </w:p>
    <w:p w14:paraId="2BCED105" w14:textId="77777777" w:rsidR="004E22C1" w:rsidRPr="001455DC" w:rsidRDefault="004E22C1" w:rsidP="004C68F7">
      <w:pPr>
        <w:pStyle w:val="a7"/>
      </w:pPr>
      <w:r w:rsidRPr="001455DC">
        <w:t>Where simplified properties are used for global analysis, local 2</w:t>
      </w:r>
      <w:r w:rsidRPr="001455DC">
        <w:rPr>
          <w:rStyle w:val="CCMCvariablesuperscript"/>
        </w:rPr>
        <w:t>nd</w:t>
      </w:r>
      <w:r w:rsidRPr="001455DC">
        <w:t xml:space="preserve"> order effects in slender members shall be accounted for either by a local analysis using O.8.2, by the simplified method in O.7, or with an effective stiffness that fulfils (2).</w:t>
      </w:r>
    </w:p>
    <w:p w14:paraId="383579FE" w14:textId="3163CFAD" w:rsidR="004E22C1" w:rsidRPr="001455DC" w:rsidRDefault="004E22C1" w:rsidP="00243590">
      <w:pPr>
        <w:pStyle w:val="a3"/>
      </w:pPr>
      <w:bookmarkStart w:id="2517" w:name="_Ref480892429"/>
      <w:bookmarkStart w:id="2518" w:name="_Toc52820457"/>
      <w:bookmarkStart w:id="2519" w:name="_Toc54337895"/>
      <w:bookmarkStart w:id="2520" w:name="_Toc54338502"/>
      <w:r w:rsidRPr="001455DC">
        <w:t>Moment magnification method</w:t>
      </w:r>
      <w:bookmarkEnd w:id="2517"/>
      <w:bookmarkEnd w:id="2518"/>
      <w:bookmarkEnd w:id="2519"/>
      <w:bookmarkEnd w:id="2520"/>
    </w:p>
    <w:p w14:paraId="7BE9A9A7" w14:textId="77777777" w:rsidR="005376A9" w:rsidRPr="001455DC" w:rsidRDefault="004E22C1" w:rsidP="005376A9">
      <w:pPr>
        <w:pStyle w:val="a7"/>
      </w:pPr>
      <w:r w:rsidRPr="001455DC">
        <w:rPr>
          <w:szCs w:val="22"/>
        </w:rPr>
        <w:t>(1)</w:t>
      </w:r>
      <w:r w:rsidRPr="001455DC">
        <w:rPr>
          <w:szCs w:val="22"/>
        </w:rPr>
        <w:tab/>
        <w:t>In case of a global or a local analysis the total design moment, including the second order moment, may be expressed as a magnification of the bending moment from a first order linear analysis, namely:</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5376A9" w:rsidRPr="001455DC" w14:paraId="4A8AE715" w14:textId="77777777" w:rsidTr="00EC5547">
        <w:trPr>
          <w:cantSplit/>
        </w:trPr>
        <w:tc>
          <w:tcPr>
            <w:tcW w:w="8505" w:type="dxa"/>
            <w:vAlign w:val="center"/>
          </w:tcPr>
          <w:bookmarkStart w:id="2521" w:name="OLE_LINK3"/>
          <w:p w14:paraId="4E1E6846" w14:textId="7A17BCAD" w:rsidR="005376A9" w:rsidRPr="001455DC" w:rsidRDefault="00231E33" w:rsidP="00EC5547">
            <w:pPr>
              <w:pStyle w:val="Formula"/>
              <w:jc w:val="left"/>
            </w:pPr>
            <m:oMathPara>
              <m:oMathParaPr>
                <m:jc m:val="left"/>
              </m:oMathParaPr>
              <m:oMath>
                <m:sSub>
                  <m:sSubPr>
                    <m:ctrlPr>
                      <w:rPr>
                        <w:rFonts w:ascii="Cambria Math" w:hAnsi="Cambria Math"/>
                      </w:rPr>
                    </m:ctrlPr>
                  </m:sSubPr>
                  <m:e>
                    <m:r>
                      <w:rPr>
                        <w:rFonts w:ascii="Cambria Math" w:hAnsi="Cambria Math"/>
                      </w:rPr>
                      <m:t>M</m:t>
                    </m:r>
                  </m:e>
                  <m:sub>
                    <m:r>
                      <w:rPr>
                        <w:rFonts w:ascii="Cambria Math" w:hAnsi="Cambria Math"/>
                      </w:rPr>
                      <m:t>Ed</m:t>
                    </m:r>
                  </m:sub>
                </m:sSub>
                <m: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0Ed</m:t>
                    </m:r>
                  </m:sub>
                </m:sSub>
                <m:d>
                  <m:dPr>
                    <m:begChr m:val="["/>
                    <m:endChr m:val="]"/>
                    <m:ctrlPr>
                      <w:rPr>
                        <w:rFonts w:ascii="Cambria Math" w:hAnsi="Cambria Math"/>
                      </w:rPr>
                    </m:ctrlPr>
                  </m:dPr>
                  <m:e>
                    <m: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β</m:t>
                            </m:r>
                          </m:e>
                          <m:sub>
                            <m:r>
                              <w:rPr>
                                <w:rFonts w:ascii="Cambria Math" w:hAnsi="Cambria Math"/>
                              </w:rPr>
                              <m:t>c</m:t>
                            </m:r>
                          </m:sub>
                        </m:sSub>
                      </m:num>
                      <m:den>
                        <m:d>
                          <m:dPr>
                            <m:sepChr m:val=""/>
                            <m:ctrlPr>
                              <w:rPr>
                                <w:rFonts w:ascii="Cambria Math" w:hAnsi="Cambria Math"/>
                              </w:rPr>
                            </m:ctrlPr>
                          </m:dPr>
                          <m:e>
                            <m:sSub>
                              <m:sSubPr>
                                <m:ctrlPr>
                                  <w:rPr>
                                    <w:rFonts w:ascii="Cambria Math" w:hAnsi="Cambria Math"/>
                                  </w:rPr>
                                </m:ctrlPr>
                              </m:sSubPr>
                              <m:e>
                                <m:r>
                                  <w:rPr>
                                    <w:rFonts w:ascii="Cambria Math" w:hAnsi="Cambria Math"/>
                                  </w:rPr>
                                  <m:t>N</m:t>
                                </m:r>
                              </m:e>
                              <m:sub>
                                <m:r>
                                  <m:rPr>
                                    <m:sty m:val="p"/>
                                  </m:rPr>
                                  <w:rPr>
                                    <w:rFonts w:ascii="Cambria Math" w:hAnsi="Cambria Math"/>
                                  </w:rPr>
                                  <m:t>B</m:t>
                                </m:r>
                              </m:sub>
                            </m:sSub>
                          </m:e>
                          <m:e>
                            <m:r>
                              <w:rPr>
                                <w:rFonts w:ascii="Cambria Math" w:hAnsi="Cambria Math"/>
                              </w:rPr>
                              <m:t>/</m:t>
                            </m:r>
                          </m:e>
                          <m:e>
                            <m:sSub>
                              <m:sSubPr>
                                <m:ctrlPr>
                                  <w:rPr>
                                    <w:rFonts w:ascii="Cambria Math" w:hAnsi="Cambria Math"/>
                                  </w:rPr>
                                </m:ctrlPr>
                              </m:sSubPr>
                              <m:e>
                                <m:r>
                                  <w:rPr>
                                    <w:rFonts w:ascii="Cambria Math" w:hAnsi="Cambria Math"/>
                                  </w:rPr>
                                  <m:t>N</m:t>
                                </m:r>
                              </m:e>
                              <m:sub>
                                <m:r>
                                  <m:rPr>
                                    <m:sty m:val="p"/>
                                  </m:rPr>
                                  <w:rPr>
                                    <w:rFonts w:ascii="Cambria Math" w:hAnsi="Cambria Math"/>
                                  </w:rPr>
                                  <m:t>Ed</m:t>
                                </m:r>
                              </m:sub>
                            </m:sSub>
                          </m:e>
                        </m:d>
                        <m:r>
                          <w:rPr>
                            <w:rFonts w:ascii="Cambria Math" w:hAnsi="Cambria Math"/>
                          </w:rPr>
                          <m:t>-1</m:t>
                        </m:r>
                      </m:den>
                    </m:f>
                  </m:e>
                </m:d>
              </m:oMath>
            </m:oMathPara>
            <w:bookmarkEnd w:id="2521"/>
          </w:p>
        </w:tc>
        <w:tc>
          <w:tcPr>
            <w:tcW w:w="1247" w:type="dxa"/>
            <w:vAlign w:val="center"/>
          </w:tcPr>
          <w:p w14:paraId="7F9321F6" w14:textId="14CFDA90" w:rsidR="005376A9" w:rsidRPr="001455DC" w:rsidRDefault="00A0760E" w:rsidP="00EC5547">
            <w:pPr>
              <w:pStyle w:val="a7"/>
              <w:jc w:val="right"/>
            </w:pPr>
            <w:r w:rsidRPr="001455DC">
              <w:t>(O.25)</w:t>
            </w:r>
          </w:p>
        </w:tc>
      </w:tr>
    </w:tbl>
    <w:p w14:paraId="187DB34C" w14:textId="1B82D0D7" w:rsidR="004E22C1" w:rsidRPr="001455DC" w:rsidRDefault="004E22C1"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A0760E" w:rsidRPr="001455DC" w14:paraId="0875C42F" w14:textId="77777777" w:rsidTr="00A0760E">
        <w:trPr>
          <w:cantSplit/>
        </w:trPr>
        <w:tc>
          <w:tcPr>
            <w:tcW w:w="567" w:type="dxa"/>
          </w:tcPr>
          <w:p w14:paraId="23B7033A" w14:textId="4638AA23" w:rsidR="00A0760E" w:rsidRPr="001455DC" w:rsidRDefault="00A0760E" w:rsidP="00A0760E">
            <w:pPr>
              <w:pStyle w:val="Tablebody"/>
            </w:pPr>
            <w:r w:rsidRPr="001455DC">
              <w:rPr>
                <w:rStyle w:val="CCMCvariableitalic"/>
              </w:rPr>
              <w:t>M</w:t>
            </w:r>
            <w:r w:rsidRPr="001455DC">
              <w:rPr>
                <w:rStyle w:val="CCMCvariablesubscript"/>
              </w:rPr>
              <w:t>0Ed</w:t>
            </w:r>
          </w:p>
        </w:tc>
        <w:tc>
          <w:tcPr>
            <w:tcW w:w="8845" w:type="dxa"/>
          </w:tcPr>
          <w:p w14:paraId="3F039B9E" w14:textId="28162E4E" w:rsidR="00A0760E" w:rsidRPr="001455DC" w:rsidRDefault="00A0760E" w:rsidP="00A0760E">
            <w:pPr>
              <w:pStyle w:val="Tablebody"/>
            </w:pPr>
            <w:r w:rsidRPr="001455DC">
              <w:t>is the first order moment;</w:t>
            </w:r>
          </w:p>
        </w:tc>
      </w:tr>
      <w:tr w:rsidR="00A0760E" w:rsidRPr="001455DC" w14:paraId="05E07BA9" w14:textId="77777777" w:rsidTr="00A0760E">
        <w:trPr>
          <w:cantSplit/>
        </w:trPr>
        <w:tc>
          <w:tcPr>
            <w:tcW w:w="567" w:type="dxa"/>
          </w:tcPr>
          <w:p w14:paraId="68DB0555" w14:textId="2F149D2F" w:rsidR="00A0760E" w:rsidRPr="001455DC" w:rsidRDefault="00A0760E" w:rsidP="00A0760E">
            <w:pPr>
              <w:pStyle w:val="Tablebody"/>
            </w:pPr>
            <w:r w:rsidRPr="001455DC">
              <w:rPr>
                <w:rStyle w:val="CCMCvariableitalic"/>
              </w:rPr>
              <w:t>β</w:t>
            </w:r>
            <w:r w:rsidRPr="001455DC">
              <w:rPr>
                <w:rStyle w:val="CCMCvariablesubscript"/>
              </w:rPr>
              <w:t>c</w:t>
            </w:r>
          </w:p>
        </w:tc>
        <w:tc>
          <w:tcPr>
            <w:tcW w:w="8845" w:type="dxa"/>
          </w:tcPr>
          <w:p w14:paraId="356885C4" w14:textId="4D9672A1" w:rsidR="00A0760E" w:rsidRPr="001455DC" w:rsidRDefault="00A0760E" w:rsidP="00A0760E">
            <w:pPr>
              <w:pStyle w:val="Tablebody"/>
            </w:pPr>
            <w:r w:rsidRPr="001455DC">
              <w:t>is a coefficient which depends on the distribution of first and second order moments, see (3);</w:t>
            </w:r>
          </w:p>
        </w:tc>
      </w:tr>
      <w:tr w:rsidR="00A0760E" w:rsidRPr="001455DC" w14:paraId="716CE13F" w14:textId="77777777" w:rsidTr="00A0760E">
        <w:trPr>
          <w:cantSplit/>
        </w:trPr>
        <w:tc>
          <w:tcPr>
            <w:tcW w:w="567" w:type="dxa"/>
          </w:tcPr>
          <w:p w14:paraId="47CFF0A2" w14:textId="3DE213B9" w:rsidR="00A0760E" w:rsidRPr="001455DC" w:rsidRDefault="00A0760E" w:rsidP="00A0760E">
            <w:pPr>
              <w:pStyle w:val="Tablebody"/>
            </w:pPr>
            <w:r w:rsidRPr="001455DC">
              <w:rPr>
                <w:rStyle w:val="CCMCvariableitalic"/>
              </w:rPr>
              <w:t>N</w:t>
            </w:r>
            <w:r w:rsidRPr="001455DC">
              <w:rPr>
                <w:rStyle w:val="CCMCvariablesubscript"/>
              </w:rPr>
              <w:t>Ed</w:t>
            </w:r>
          </w:p>
        </w:tc>
        <w:tc>
          <w:tcPr>
            <w:tcW w:w="8845" w:type="dxa"/>
          </w:tcPr>
          <w:p w14:paraId="0F4F5497" w14:textId="33492536" w:rsidR="00A0760E" w:rsidRPr="001455DC" w:rsidRDefault="00A0760E" w:rsidP="00A0760E">
            <w:pPr>
              <w:pStyle w:val="Tablebody"/>
            </w:pPr>
            <w:r w:rsidRPr="001455DC">
              <w:t>is the design value of axial load;</w:t>
            </w:r>
          </w:p>
        </w:tc>
      </w:tr>
      <w:tr w:rsidR="00A0760E" w:rsidRPr="001455DC" w14:paraId="7C4FA9E2" w14:textId="77777777" w:rsidTr="00A0760E">
        <w:trPr>
          <w:cantSplit/>
        </w:trPr>
        <w:tc>
          <w:tcPr>
            <w:tcW w:w="567" w:type="dxa"/>
          </w:tcPr>
          <w:p w14:paraId="2275C8F2" w14:textId="4E60AEA0" w:rsidR="00A0760E" w:rsidRPr="001455DC" w:rsidRDefault="00A0760E" w:rsidP="00A0760E">
            <w:pPr>
              <w:pStyle w:val="Tablebody"/>
            </w:pPr>
            <w:r w:rsidRPr="001455DC">
              <w:rPr>
                <w:rStyle w:val="CCMCvariableitalic"/>
              </w:rPr>
              <w:t>N</w:t>
            </w:r>
            <w:r w:rsidRPr="001455DC">
              <w:rPr>
                <w:rStyle w:val="CCMCvariablesubscript"/>
              </w:rPr>
              <w:t>B</w:t>
            </w:r>
          </w:p>
        </w:tc>
        <w:tc>
          <w:tcPr>
            <w:tcW w:w="8845" w:type="dxa"/>
          </w:tcPr>
          <w:p w14:paraId="1BAAA383" w14:textId="107308CF" w:rsidR="00A0760E" w:rsidRPr="001455DC" w:rsidRDefault="00A0760E" w:rsidP="00A0760E">
            <w:pPr>
              <w:pStyle w:val="Tablebody"/>
            </w:pPr>
            <w:r w:rsidRPr="001455DC">
              <w:t>is the buckling load based on the effective stiffness.</w:t>
            </w:r>
          </w:p>
        </w:tc>
      </w:tr>
    </w:tbl>
    <w:p w14:paraId="27BE3EC4" w14:textId="1A52C1FD" w:rsidR="004E22C1" w:rsidRPr="001455DC" w:rsidRDefault="004E22C1" w:rsidP="00A0760E">
      <w:pPr>
        <w:pStyle w:val="Note"/>
      </w:pPr>
      <w:r w:rsidRPr="001455DC">
        <w:t>NOTE</w:t>
      </w:r>
      <w:r w:rsidR="00B95978" w:rsidRPr="001455DC">
        <w:t xml:space="preserve"> 1</w:t>
      </w:r>
      <w:r w:rsidRPr="001455DC">
        <w:tab/>
        <w:t>Magnification factors applicable to specific situations can be found in literature.</w:t>
      </w:r>
    </w:p>
    <w:p w14:paraId="281EF87E" w14:textId="174ECC81" w:rsidR="005376A9" w:rsidRPr="001455DC" w:rsidRDefault="004E22C1" w:rsidP="00DE6BBC">
      <w:pPr>
        <w:pStyle w:val="a7"/>
        <w:keepNext/>
      </w:pPr>
      <w:r w:rsidRPr="001455DC">
        <w:t>(2)</w:t>
      </w:r>
      <w:r w:rsidRPr="001455DC">
        <w:tab/>
      </w:r>
      <w:r w:rsidRPr="001455DC">
        <w:rPr>
          <w:szCs w:val="22"/>
        </w:rPr>
        <w:t>Alternatively, for global analysis, second order effects may be obtained by fictitious magnification of the horizontal forces according to Formula (O.26)</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5376A9" w:rsidRPr="001455DC" w14:paraId="3A61BA7A" w14:textId="77777777" w:rsidTr="00EC5547">
        <w:trPr>
          <w:cantSplit/>
        </w:trPr>
        <w:tc>
          <w:tcPr>
            <w:tcW w:w="8505" w:type="dxa"/>
            <w:vAlign w:val="center"/>
          </w:tcPr>
          <w:p w14:paraId="472FBC16" w14:textId="4343B3A0" w:rsidR="005376A9" w:rsidRPr="001455DC" w:rsidRDefault="00231E33" w:rsidP="00EC5547">
            <w:pPr>
              <w:pStyle w:val="Formula"/>
              <w:jc w:val="left"/>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Ed,2</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H,0Ed</m:t>
                    </m:r>
                  </m:sub>
                </m:sSub>
                <m:d>
                  <m:dPr>
                    <m:begChr m:val="["/>
                    <m:endChr m:val="]"/>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1-</m:t>
                        </m:r>
                        <m:d>
                          <m:dPr>
                            <m:sepChr m:val=""/>
                            <m:ctrlPr>
                              <w:rPr>
                                <w:rFonts w:ascii="Cambria Math" w:hAnsi="Cambria Math"/>
                              </w:rPr>
                            </m:ctrlPr>
                          </m:dPr>
                          <m:e>
                            <m:sSub>
                              <m:sSubPr>
                                <m:ctrlPr>
                                  <w:rPr>
                                    <w:rFonts w:ascii="Cambria Math" w:hAnsi="Cambria Math"/>
                                  </w:rPr>
                                </m:ctrlPr>
                              </m:sSubPr>
                              <m:e>
                                <m:r>
                                  <w:rPr>
                                    <w:rFonts w:ascii="Cambria Math" w:hAnsi="Cambria Math"/>
                                  </w:rPr>
                                  <m:t>N</m:t>
                                </m:r>
                              </m:e>
                              <m:sub>
                                <m:r>
                                  <m:rPr>
                                    <m:sty m:val="p"/>
                                  </m:rPr>
                                  <w:rPr>
                                    <w:rFonts w:ascii="Cambria Math" w:hAnsi="Cambria Math"/>
                                  </w:rPr>
                                  <m:t>Ed</m:t>
                                </m:r>
                              </m:sub>
                            </m:sSub>
                          </m:e>
                          <m:e>
                            <m:r>
                              <w:rPr>
                                <w:rFonts w:ascii="Cambria Math" w:hAnsi="Cambria Math"/>
                              </w:rPr>
                              <m:t>/</m:t>
                            </m:r>
                          </m:e>
                          <m:e>
                            <m:sSub>
                              <m:sSubPr>
                                <m:ctrlPr>
                                  <w:rPr>
                                    <w:rFonts w:ascii="Cambria Math" w:hAnsi="Cambria Math"/>
                                  </w:rPr>
                                </m:ctrlPr>
                              </m:sSubPr>
                              <m:e>
                                <m:r>
                                  <w:rPr>
                                    <w:rFonts w:ascii="Cambria Math" w:hAnsi="Cambria Math"/>
                                  </w:rPr>
                                  <m:t>N</m:t>
                                </m:r>
                              </m:e>
                              <m:sub>
                                <m:r>
                                  <m:rPr>
                                    <m:sty m:val="p"/>
                                  </m:rPr>
                                  <w:rPr>
                                    <w:rFonts w:ascii="Cambria Math" w:hAnsi="Cambria Math"/>
                                  </w:rPr>
                                  <m:t>B</m:t>
                                </m:r>
                              </m:sub>
                            </m:sSub>
                          </m:e>
                        </m:d>
                      </m:den>
                    </m:f>
                  </m:e>
                </m:d>
              </m:oMath>
            </m:oMathPara>
          </w:p>
        </w:tc>
        <w:tc>
          <w:tcPr>
            <w:tcW w:w="1247" w:type="dxa"/>
            <w:vAlign w:val="center"/>
          </w:tcPr>
          <w:p w14:paraId="0D4F6852" w14:textId="4FE9C70D" w:rsidR="005376A9" w:rsidRPr="001455DC" w:rsidRDefault="00A0760E" w:rsidP="00EC5547">
            <w:pPr>
              <w:pStyle w:val="a7"/>
              <w:jc w:val="right"/>
            </w:pPr>
            <w:bookmarkStart w:id="2522" w:name="_Ref493946912"/>
            <w:r w:rsidRPr="001455DC">
              <w:t>(O.26)</w:t>
            </w:r>
            <w:bookmarkEnd w:id="2522"/>
          </w:p>
        </w:tc>
      </w:tr>
    </w:tbl>
    <w:p w14:paraId="0BC46E2B" w14:textId="6899FEE8" w:rsidR="005376A9" w:rsidRPr="001455DC" w:rsidRDefault="004E22C1" w:rsidP="00DE6BBC">
      <w:pPr>
        <w:pStyle w:val="a7"/>
        <w:keepNext/>
      </w:pPr>
      <w:r w:rsidRPr="001455DC">
        <w:rPr>
          <w:szCs w:val="22"/>
        </w:rPr>
        <w:t>(3)</w:t>
      </w:r>
      <w:r w:rsidR="00A0760E" w:rsidRPr="001455DC">
        <w:rPr>
          <w:szCs w:val="22"/>
        </w:rPr>
        <w:tab/>
      </w:r>
      <w:r w:rsidRPr="001455DC">
        <w:rPr>
          <w:szCs w:val="22"/>
        </w:rPr>
        <w:t>For isolated members with constant cross section and axial load, the second order moment may normally be assumed to have a sinusoidal shaped distribution. Then</w:t>
      </w:r>
    </w:p>
    <w:tbl>
      <w:tblPr>
        <w:tblStyle w:val="a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5376A9" w:rsidRPr="001455DC" w14:paraId="3C1DBA97" w14:textId="77777777" w:rsidTr="00EC5547">
        <w:trPr>
          <w:cantSplit/>
        </w:trPr>
        <w:tc>
          <w:tcPr>
            <w:tcW w:w="8505" w:type="dxa"/>
            <w:vAlign w:val="center"/>
          </w:tcPr>
          <w:p w14:paraId="09C30BF7" w14:textId="7433E732" w:rsidR="005376A9" w:rsidRPr="001455DC" w:rsidRDefault="00A0760E" w:rsidP="00EC5547">
            <w:pPr>
              <w:pStyle w:val="Formula"/>
              <w:jc w:val="left"/>
            </w:pPr>
            <w:r w:rsidRPr="001455DC">
              <w:rPr>
                <w:rStyle w:val="CCMCvariableitalic"/>
              </w:rPr>
              <w:t>β</w:t>
            </w:r>
            <w:r w:rsidRPr="001455DC">
              <w:rPr>
                <w:rStyle w:val="CCMCvariablesubscript"/>
              </w:rPr>
              <w:t>c</w:t>
            </w:r>
            <w:r w:rsidRPr="001455DC">
              <w:t> </w:t>
            </w:r>
            <w:r w:rsidR="00EC27D2" w:rsidRPr="001455DC">
              <w:rPr>
                <w:rFonts w:ascii="Cambria Math" w:hAnsi="Cambria Math"/>
              </w:rPr>
              <w:t>=</w:t>
            </w:r>
            <w:r w:rsidRPr="001455DC">
              <w:t> </w:t>
            </w:r>
            <w:r w:rsidRPr="001455DC">
              <w:rPr>
                <w:rFonts w:ascii="Cambria Math" w:hAnsi="Cambria Math" w:cs="Cambria Math"/>
              </w:rPr>
              <w:t>π</w:t>
            </w:r>
            <w:r w:rsidRPr="001455DC">
              <w:rPr>
                <w:rStyle w:val="CCMCvariablesuperscript"/>
              </w:rPr>
              <w:t>2</w:t>
            </w:r>
            <w:r w:rsidRPr="001455DC">
              <w:t>/</w:t>
            </w:r>
            <w:r w:rsidRPr="001455DC">
              <w:rPr>
                <w:rStyle w:val="CCMCvariableitalic"/>
              </w:rPr>
              <w:t>c</w:t>
            </w:r>
            <w:r w:rsidRPr="001455DC">
              <w:rPr>
                <w:rStyle w:val="CCMCvariablesubscript"/>
              </w:rPr>
              <w:t>1/r</w:t>
            </w:r>
          </w:p>
        </w:tc>
        <w:tc>
          <w:tcPr>
            <w:tcW w:w="1247" w:type="dxa"/>
            <w:vAlign w:val="center"/>
          </w:tcPr>
          <w:p w14:paraId="1AAEB9E1" w14:textId="2BA469E5" w:rsidR="005376A9" w:rsidRPr="001455DC" w:rsidRDefault="00A0760E" w:rsidP="00EC5547">
            <w:pPr>
              <w:pStyle w:val="a7"/>
              <w:jc w:val="right"/>
            </w:pPr>
            <w:r w:rsidRPr="001455DC">
              <w:t>(O.27)</w:t>
            </w:r>
          </w:p>
        </w:tc>
      </w:tr>
    </w:tbl>
    <w:p w14:paraId="2955C383" w14:textId="38AD6BE0" w:rsidR="004E22C1" w:rsidRPr="001455DC" w:rsidRDefault="004E22C1" w:rsidP="00A35599">
      <w:pPr>
        <w:pStyle w:val="a7"/>
        <w:keepNext/>
      </w:pPr>
      <w:r w:rsidRPr="001455DC">
        <w:t>where</w:t>
      </w:r>
    </w:p>
    <w:tbl>
      <w:tblPr>
        <w:tblW w:w="9412" w:type="dxa"/>
        <w:tblInd w:w="397" w:type="dxa"/>
        <w:tblLayout w:type="fixed"/>
        <w:tblCellMar>
          <w:left w:w="28" w:type="dxa"/>
          <w:right w:w="28" w:type="dxa"/>
        </w:tblCellMar>
        <w:tblLook w:val="04A0" w:firstRow="1" w:lastRow="0" w:firstColumn="1" w:lastColumn="0" w:noHBand="0" w:noVBand="1"/>
      </w:tblPr>
      <w:tblGrid>
        <w:gridCol w:w="567"/>
        <w:gridCol w:w="8845"/>
      </w:tblGrid>
      <w:tr w:rsidR="00A0760E" w:rsidRPr="001455DC" w14:paraId="7408E428" w14:textId="77777777" w:rsidTr="00A0760E">
        <w:trPr>
          <w:cantSplit/>
        </w:trPr>
        <w:tc>
          <w:tcPr>
            <w:tcW w:w="567" w:type="dxa"/>
          </w:tcPr>
          <w:p w14:paraId="7CBC15FB" w14:textId="371A976F" w:rsidR="00A0760E" w:rsidRPr="001455DC" w:rsidRDefault="00A0760E" w:rsidP="00A0760E">
            <w:pPr>
              <w:pStyle w:val="Tablebody"/>
            </w:pPr>
            <w:r w:rsidRPr="001455DC">
              <w:rPr>
                <w:rStyle w:val="CCMCvariableitalic"/>
              </w:rPr>
              <w:t>c</w:t>
            </w:r>
            <w:r w:rsidRPr="001455DC">
              <w:rPr>
                <w:rStyle w:val="CCMCvariablesubscript"/>
              </w:rPr>
              <w:t>1/r</w:t>
            </w:r>
          </w:p>
        </w:tc>
        <w:tc>
          <w:tcPr>
            <w:tcW w:w="8845" w:type="dxa"/>
          </w:tcPr>
          <w:p w14:paraId="56A4316C" w14:textId="0CFB0D9F" w:rsidR="00A0760E" w:rsidRPr="001455DC" w:rsidRDefault="00A0760E" w:rsidP="00A0760E">
            <w:pPr>
              <w:pStyle w:val="Tablebody"/>
            </w:pPr>
            <w:r w:rsidRPr="001455DC">
              <w:t xml:space="preserve">is a coefficient which depends on the distribution of first and second order moments (for instance, </w:t>
            </w:r>
            <w:r w:rsidRPr="001455DC">
              <w:rPr>
                <w:rStyle w:val="CCMCvariableitalic"/>
              </w:rPr>
              <w:t>c</w:t>
            </w:r>
            <w:r w:rsidRPr="001455DC">
              <w:rPr>
                <w:rStyle w:val="CCMCvariablesubscript"/>
              </w:rPr>
              <w:t>1/r</w:t>
            </w:r>
            <w:r w:rsidRPr="001455DC">
              <w:t> </w:t>
            </w:r>
            <w:r w:rsidR="00EC27D2" w:rsidRPr="001455DC">
              <w:rPr>
                <w:rFonts w:ascii="Cambria Math" w:hAnsi="Cambria Math"/>
              </w:rPr>
              <w:t>=</w:t>
            </w:r>
            <w:r w:rsidRPr="001455DC">
              <w:t xml:space="preserve"> 8 for a constant first order moment distribution, </w:t>
            </w:r>
            <w:r w:rsidRPr="001455DC">
              <w:rPr>
                <w:rStyle w:val="CCMCvariableitalic"/>
              </w:rPr>
              <w:t>c</w:t>
            </w:r>
            <w:r w:rsidRPr="001455DC">
              <w:rPr>
                <w:rStyle w:val="CCMCvariablesubscript"/>
              </w:rPr>
              <w:t>1/r</w:t>
            </w:r>
            <w:r w:rsidRPr="001455DC">
              <w:t> </w:t>
            </w:r>
            <w:r w:rsidR="00EC27D2" w:rsidRPr="001455DC">
              <w:rPr>
                <w:rFonts w:ascii="Cambria Math" w:hAnsi="Cambria Math"/>
              </w:rPr>
              <w:t>=</w:t>
            </w:r>
            <w:r w:rsidRPr="001455DC">
              <w:t> 9,6 for a parabolic distribution and 12 for a triangular distribution etc.).</w:t>
            </w:r>
          </w:p>
        </w:tc>
      </w:tr>
    </w:tbl>
    <w:p w14:paraId="0AA9F570" w14:textId="1FAB1AE1" w:rsidR="004E22C1" w:rsidRPr="001455DC" w:rsidRDefault="004E22C1" w:rsidP="004C68F7">
      <w:pPr>
        <w:pStyle w:val="a7"/>
      </w:pPr>
      <w:r w:rsidRPr="001455DC">
        <w:t>(4)</w:t>
      </w:r>
      <w:r w:rsidRPr="001455DC">
        <w:tab/>
        <w:t xml:space="preserve">For members without transverse load, differing first order end moments </w:t>
      </w:r>
      <w:r w:rsidRPr="001455DC">
        <w:rPr>
          <w:rStyle w:val="CCMCvariableitalic"/>
        </w:rPr>
        <w:t>M</w:t>
      </w:r>
      <w:r w:rsidRPr="001455DC">
        <w:rPr>
          <w:rStyle w:val="CCMCvariablesubscript"/>
        </w:rPr>
        <w:t>01</w:t>
      </w:r>
      <w:r w:rsidRPr="001455DC">
        <w:t xml:space="preserve"> and </w:t>
      </w:r>
      <w:r w:rsidRPr="001455DC">
        <w:rPr>
          <w:rStyle w:val="CCMCvariableitalic"/>
        </w:rPr>
        <w:t>M</w:t>
      </w:r>
      <w:r w:rsidRPr="001455DC">
        <w:rPr>
          <w:rStyle w:val="CCMCvariablesubscript"/>
        </w:rPr>
        <w:t>02</w:t>
      </w:r>
      <w:r w:rsidRPr="001455DC">
        <w:t xml:space="preserve"> may be replaced by an equivalent constant first order moment according to O.7(2). Consistent with the assumption of a constant first order moment, </w:t>
      </w:r>
      <w:r w:rsidRPr="001455DC">
        <w:rPr>
          <w:rStyle w:val="CCMCvariableitalic"/>
        </w:rPr>
        <w:t>c</w:t>
      </w:r>
      <w:r w:rsidRPr="001455DC">
        <w:rPr>
          <w:rStyle w:val="CCMCvariablesubscript"/>
        </w:rPr>
        <w:t>1/r</w:t>
      </w:r>
      <w:r w:rsidRPr="001455DC">
        <w:t> </w:t>
      </w:r>
      <w:r w:rsidR="00EC27D2" w:rsidRPr="001455DC">
        <w:rPr>
          <w:rFonts w:ascii="Cambria Math" w:hAnsi="Cambria Math"/>
        </w:rPr>
        <w:t>=</w:t>
      </w:r>
      <w:r w:rsidRPr="001455DC">
        <w:t> 8 should be used.</w:t>
      </w:r>
    </w:p>
    <w:p w14:paraId="35398362" w14:textId="4ACBEC52" w:rsidR="004E22C1" w:rsidRPr="001455DC" w:rsidRDefault="004E22C1" w:rsidP="004C68F7">
      <w:pPr>
        <w:pStyle w:val="Note"/>
      </w:pPr>
      <w:r w:rsidRPr="001455DC">
        <w:t>NOTE</w:t>
      </w:r>
      <w:r w:rsidR="00B95978" w:rsidRPr="001455DC">
        <w:t xml:space="preserve"> 2</w:t>
      </w:r>
      <w:r w:rsidRPr="001455DC">
        <w:tab/>
        <w:t xml:space="preserve">The value of </w:t>
      </w:r>
      <w:r w:rsidRPr="001455DC">
        <w:rPr>
          <w:rStyle w:val="CCMCvariableitalic"/>
        </w:rPr>
        <w:t>c</w:t>
      </w:r>
      <w:r w:rsidRPr="001455DC">
        <w:rPr>
          <w:rStyle w:val="CCMCvariablesubscript"/>
        </w:rPr>
        <w:t>1/r</w:t>
      </w:r>
      <w:r w:rsidRPr="001455DC">
        <w:t> </w:t>
      </w:r>
      <w:r w:rsidR="00EC27D2" w:rsidRPr="001455DC">
        <w:rPr>
          <w:rFonts w:ascii="Cambria Math" w:hAnsi="Cambria Math"/>
        </w:rPr>
        <w:t>=</w:t>
      </w:r>
      <w:r w:rsidRPr="001455DC">
        <w:t> 8 also applies to members bent in double curvature. In some cases, depending on slenderness and axial force, the end moments can be greater than the magnified equivalent moment.</w:t>
      </w:r>
    </w:p>
    <w:p w14:paraId="7A721B31" w14:textId="32741F35" w:rsidR="004E22C1" w:rsidRPr="001455DC" w:rsidRDefault="004E22C1" w:rsidP="004C68F7">
      <w:pPr>
        <w:pStyle w:val="a7"/>
      </w:pPr>
      <w:r w:rsidRPr="001455DC">
        <w:rPr>
          <w:szCs w:val="22"/>
        </w:rPr>
        <w:t>(5)</w:t>
      </w:r>
      <w:r w:rsidRPr="001455DC">
        <w:rPr>
          <w:szCs w:val="22"/>
        </w:rPr>
        <w:tab/>
      </w:r>
      <w:r w:rsidRPr="001455DC">
        <w:t xml:space="preserve">Where O.8.2(3) or (4) is not applicable, </w:t>
      </w:r>
      <w:r w:rsidRPr="001455DC">
        <w:rPr>
          <w:rStyle w:val="CCMCvariableitalic"/>
        </w:rPr>
        <w:t>β</w:t>
      </w:r>
      <w:r w:rsidRPr="001455DC">
        <w:rPr>
          <w:rStyle w:val="CCMCvariablesubscript"/>
        </w:rPr>
        <w:t>c</w:t>
      </w:r>
      <w:r w:rsidRPr="001455DC">
        <w:t> </w:t>
      </w:r>
      <w:r w:rsidR="00EC27D2" w:rsidRPr="001455DC">
        <w:rPr>
          <w:rFonts w:ascii="Cambria Math" w:hAnsi="Cambria Math"/>
        </w:rPr>
        <w:t>=</w:t>
      </w:r>
      <w:r w:rsidRPr="001455DC">
        <w:t> 1 may be used.</w:t>
      </w:r>
    </w:p>
    <w:p w14:paraId="7D717E3F" w14:textId="0429965A" w:rsidR="004E22C1" w:rsidRPr="001455DC" w:rsidRDefault="004E22C1" w:rsidP="004C68F7">
      <w:pPr>
        <w:pStyle w:val="Note"/>
      </w:pPr>
      <w:r w:rsidRPr="001455DC">
        <w:t>NOTE</w:t>
      </w:r>
      <w:r w:rsidR="00B95978" w:rsidRPr="001455DC">
        <w:t xml:space="preserve"> 3</w:t>
      </w:r>
      <w:r w:rsidRPr="001455DC">
        <w:tab/>
        <w:t>This is also applicable to the global analysis of certain types of structures, e.g. structures braced by shear walls and similar, where the principal action effect is bending in bracing units.</w:t>
      </w:r>
    </w:p>
    <w:p w14:paraId="0605379E" w14:textId="04D76C46" w:rsidR="004E22C1" w:rsidRPr="001455DC" w:rsidRDefault="004C68F7" w:rsidP="004C68F7">
      <w:pPr>
        <w:pStyle w:val="ANNEX"/>
      </w:pPr>
      <w:bookmarkStart w:id="2523" w:name="_Toc52820458"/>
      <w:r w:rsidRPr="001455DC">
        <w:br/>
      </w:r>
      <w:bookmarkStart w:id="2524" w:name="_Toc54337248"/>
      <w:bookmarkStart w:id="2525" w:name="_Toc54337896"/>
      <w:bookmarkStart w:id="2526" w:name="_Toc54338503"/>
      <w:bookmarkStart w:id="2527" w:name="_Toc67565659"/>
      <w:r w:rsidR="004E22C1" w:rsidRPr="001455DC">
        <w:rPr>
          <w:b w:val="0"/>
          <w:bCs/>
        </w:rPr>
        <w:t>(informative)</w:t>
      </w:r>
      <w:r w:rsidRPr="001455DC">
        <w:rPr>
          <w:b w:val="0"/>
          <w:bCs/>
        </w:rPr>
        <w:br/>
      </w:r>
      <w:r w:rsidRPr="001455DC">
        <w:br/>
        <w:t xml:space="preserve">Alternative cover </w:t>
      </w:r>
      <w:r w:rsidR="004E22C1" w:rsidRPr="001455DC">
        <w:t xml:space="preserve">approach for </w:t>
      </w:r>
      <w:r w:rsidRPr="001455DC">
        <w:t>durability</w:t>
      </w:r>
      <w:bookmarkEnd w:id="2523"/>
      <w:bookmarkEnd w:id="2524"/>
      <w:bookmarkEnd w:id="2525"/>
      <w:bookmarkEnd w:id="2526"/>
      <w:bookmarkEnd w:id="2527"/>
    </w:p>
    <w:p w14:paraId="11335E46" w14:textId="21729B3C" w:rsidR="004E22C1" w:rsidRPr="001455DC" w:rsidRDefault="004E22C1" w:rsidP="00082680">
      <w:pPr>
        <w:pStyle w:val="a2"/>
      </w:pPr>
      <w:bookmarkStart w:id="2528" w:name="_Toc52820459"/>
      <w:bookmarkStart w:id="2529" w:name="_Toc54337249"/>
      <w:bookmarkStart w:id="2530" w:name="_Toc54337897"/>
      <w:bookmarkStart w:id="2531" w:name="_Toc54338504"/>
      <w:bookmarkStart w:id="2532" w:name="_Toc67565660"/>
      <w:r w:rsidRPr="001455DC">
        <w:t>Use of this Informative Annex</w:t>
      </w:r>
      <w:bookmarkEnd w:id="2528"/>
      <w:bookmarkEnd w:id="2529"/>
      <w:bookmarkEnd w:id="2530"/>
      <w:bookmarkEnd w:id="2531"/>
      <w:bookmarkEnd w:id="2532"/>
    </w:p>
    <w:p w14:paraId="74D85F7E" w14:textId="09699CED" w:rsidR="000F7710" w:rsidRPr="001455DC" w:rsidRDefault="000F7710" w:rsidP="000F7710">
      <w:pPr>
        <w:pStyle w:val="a7"/>
      </w:pPr>
      <w:r w:rsidRPr="001455DC">
        <w:t>(1) This Informative Annex provides an alternative approach to design cover for durability without use of Exposure Resistance Classes (ERC) according to Clause 6. In this case, the resistance of the cover depends on the value of concrete cover and the concrete mix requirements based on Deemed-to-Satisfy values for concrete</w:t>
      </w:r>
      <w:r w:rsidR="00C54E80">
        <w:t xml:space="preserve"> mixes according to EN 206:2014,</w:t>
      </w:r>
      <w:r w:rsidRPr="001455DC">
        <w:t xml:space="preserve"> </w:t>
      </w:r>
      <w:r w:rsidR="000E016F" w:rsidRPr="001455DC">
        <w:t>A</w:t>
      </w:r>
      <w:r w:rsidR="000E016F">
        <w:t>nn</w:t>
      </w:r>
      <w:r w:rsidR="000E016F" w:rsidRPr="001455DC">
        <w:t xml:space="preserve">ex </w:t>
      </w:r>
      <w:r w:rsidRPr="001455DC">
        <w:t>F (see P.3).</w:t>
      </w:r>
    </w:p>
    <w:p w14:paraId="42BA0EF2" w14:textId="4FF39944" w:rsidR="000F7710" w:rsidRPr="009D3012" w:rsidRDefault="000F7710" w:rsidP="009D3012">
      <w:pPr>
        <w:pStyle w:val="Note"/>
      </w:pPr>
      <w:r w:rsidRPr="009D3012">
        <w:t>NOTE National choice on the application of this Informative Annex is given in a National Annex. If a National Annex contains no information on the application of this Informative Annex, it can be used.</w:t>
      </w:r>
    </w:p>
    <w:p w14:paraId="4A21B8E3" w14:textId="3D7072F0" w:rsidR="000F7710" w:rsidRPr="009D3012" w:rsidRDefault="000F7710" w:rsidP="00082680">
      <w:pPr>
        <w:pStyle w:val="a2"/>
      </w:pPr>
      <w:bookmarkStart w:id="2533" w:name="_Toc67565661"/>
      <w:r w:rsidRPr="009D3012">
        <w:t>Scope and field of application</w:t>
      </w:r>
      <w:bookmarkEnd w:id="2533"/>
      <w:r w:rsidRPr="009D3012">
        <w:t xml:space="preserve"> </w:t>
      </w:r>
    </w:p>
    <w:p w14:paraId="0ABEC405" w14:textId="77777777" w:rsidR="000F7710" w:rsidRPr="001455DC" w:rsidRDefault="000F7710" w:rsidP="000F7710">
      <w:pPr>
        <w:pStyle w:val="a7"/>
      </w:pPr>
      <w:r w:rsidRPr="001455DC">
        <w:t>(1) This Informative Annex applies to the design of cover for durability of concrete without the use of Exposure Resistance Classes (ERC) according to Clause 6.</w:t>
      </w:r>
    </w:p>
    <w:p w14:paraId="72B4EC5C" w14:textId="5372A857" w:rsidR="000F7710" w:rsidRPr="001455DC" w:rsidRDefault="000F7710" w:rsidP="000F7710">
      <w:pPr>
        <w:pStyle w:val="a7"/>
      </w:pPr>
      <w:r w:rsidRPr="001455DC">
        <w:t>(2) Except for 6.4 and 6.5.2.2, all provisions of Clause 6 apply.</w:t>
      </w:r>
    </w:p>
    <w:p w14:paraId="15573C54" w14:textId="15B2D653" w:rsidR="004E22C1" w:rsidRPr="001455DC" w:rsidRDefault="004E22C1" w:rsidP="00A0760E">
      <w:pPr>
        <w:pStyle w:val="Note"/>
      </w:pPr>
    </w:p>
    <w:p w14:paraId="4EB22A39" w14:textId="04FFDE20" w:rsidR="004E22C1" w:rsidRPr="001455DC" w:rsidRDefault="004E22C1" w:rsidP="00082680">
      <w:pPr>
        <w:pStyle w:val="a2"/>
      </w:pPr>
      <w:bookmarkStart w:id="2534" w:name="_Toc52820460"/>
      <w:bookmarkStart w:id="2535" w:name="_Toc54337250"/>
      <w:bookmarkStart w:id="2536" w:name="_Toc54337898"/>
      <w:bookmarkStart w:id="2537" w:name="_Toc54338505"/>
      <w:bookmarkStart w:id="2538" w:name="_Toc67565662"/>
      <w:r w:rsidRPr="001455DC">
        <w:t>Minimum cover for durabil</w:t>
      </w:r>
      <w:r w:rsidR="00055233" w:rsidRPr="001455DC">
        <w:t>i</w:t>
      </w:r>
      <w:r w:rsidRPr="001455DC">
        <w:t>ty</w:t>
      </w:r>
      <w:bookmarkEnd w:id="2534"/>
      <w:bookmarkEnd w:id="2535"/>
      <w:bookmarkEnd w:id="2536"/>
      <w:bookmarkEnd w:id="2537"/>
      <w:bookmarkEnd w:id="2538"/>
    </w:p>
    <w:p w14:paraId="240AA008" w14:textId="77777777" w:rsidR="004E22C1" w:rsidRPr="001455DC" w:rsidRDefault="004E22C1" w:rsidP="004C68F7">
      <w:pPr>
        <w:pStyle w:val="a7"/>
      </w:pPr>
      <w:r w:rsidRPr="001455DC">
        <w:t>(1)</w:t>
      </w:r>
      <w:r w:rsidRPr="001455DC">
        <w:tab/>
        <w:t xml:space="preserve">The minimum cover values for reinforcement and prestressing tendons in normal weight concrete taking account of the exposure classes and the structural classes is given by </w:t>
      </w:r>
      <w:r w:rsidRPr="001455DC">
        <w:rPr>
          <w:rStyle w:val="CCMCvariableitalic"/>
        </w:rPr>
        <w:t>c</w:t>
      </w:r>
      <w:r w:rsidRPr="001455DC">
        <w:rPr>
          <w:rStyle w:val="CCMCvariablesubscript"/>
        </w:rPr>
        <w:t>min,dur</w:t>
      </w:r>
      <w:r w:rsidRPr="001455DC">
        <w:t>.</w:t>
      </w:r>
    </w:p>
    <w:p w14:paraId="12F49AB2" w14:textId="6B8CFBE3" w:rsidR="004E22C1" w:rsidRPr="001455DC" w:rsidRDefault="004E22C1" w:rsidP="004C68F7">
      <w:pPr>
        <w:pStyle w:val="Note"/>
      </w:pPr>
      <w:r w:rsidRPr="001455DC">
        <w:t>NOTE</w:t>
      </w:r>
      <w:r w:rsidR="00A07CB6" w:rsidRPr="001455DC">
        <w:t xml:space="preserve"> 1</w:t>
      </w:r>
      <w:r w:rsidRPr="001455DC">
        <w:tab/>
        <w:t xml:space="preserve">Structural classification and values of </w:t>
      </w:r>
      <w:r w:rsidRPr="001455DC">
        <w:rPr>
          <w:rStyle w:val="CCMCvariableitalic"/>
        </w:rPr>
        <w:t>c</w:t>
      </w:r>
      <w:r w:rsidRPr="001455DC">
        <w:rPr>
          <w:rStyle w:val="CCMCvariablesubscript"/>
        </w:rPr>
        <w:t>min,dur</w:t>
      </w:r>
      <w:r w:rsidRPr="001455DC">
        <w:t xml:space="preserve"> </w:t>
      </w:r>
      <w:r w:rsidRPr="001455DC">
        <w:rPr>
          <w:bCs/>
        </w:rPr>
        <w:t>for use in a Country may be found in its National Annex</w:t>
      </w:r>
      <w:r w:rsidRPr="001455DC">
        <w:t>.</w:t>
      </w:r>
      <w:r w:rsidR="00A07CB6" w:rsidRPr="001455DC">
        <w:t xml:space="preserve"> </w:t>
      </w:r>
      <w:r w:rsidRPr="001455DC">
        <w:t>The recommended Structural Class (design working life of 50 years) is S4 for the indicative concrete strengths given in Table P.4(NDP) and the recommended modifications to the structural class is given in Table P.1(NDP).</w:t>
      </w:r>
      <w:r w:rsidR="00A07CB6" w:rsidRPr="001455DC">
        <w:t xml:space="preserve"> </w:t>
      </w:r>
      <w:r w:rsidRPr="001455DC">
        <w:t xml:space="preserve">The recommended values of </w:t>
      </w:r>
      <w:r w:rsidRPr="001455DC">
        <w:rPr>
          <w:rStyle w:val="CCMCvariableitalic"/>
        </w:rPr>
        <w:t>c</w:t>
      </w:r>
      <w:r w:rsidRPr="001455DC">
        <w:rPr>
          <w:rStyle w:val="CCMCvariablesubscript"/>
        </w:rPr>
        <w:t>min,dur</w:t>
      </w:r>
      <w:r w:rsidRPr="001455DC">
        <w:t xml:space="preserve"> are given in Table P.2(NDP) (reinforcing steel) and Table P.3(NDP) (prestressing steel).</w:t>
      </w:r>
    </w:p>
    <w:p w14:paraId="4CDF69E4" w14:textId="77777777" w:rsidR="004E22C1" w:rsidRPr="001455DC" w:rsidRDefault="004E22C1" w:rsidP="004C68F7">
      <w:pPr>
        <w:pStyle w:val="Tabletitle"/>
      </w:pPr>
      <w:bookmarkStart w:id="2539" w:name="_Toc54337899"/>
      <w:r w:rsidRPr="001455DC">
        <w:t>Table P.1(NDP) — Recommended structural classification</w:t>
      </w:r>
      <w:bookmarkEnd w:id="2539"/>
    </w:p>
    <w:tbl>
      <w:tblPr>
        <w:tblStyle w:val="53"/>
        <w:tblW w:w="9754" w:type="dxa"/>
        <w:tblLayout w:type="fixed"/>
        <w:tblCellMar>
          <w:left w:w="71" w:type="dxa"/>
          <w:right w:w="71" w:type="dxa"/>
        </w:tblCellMar>
        <w:tblLook w:val="0660" w:firstRow="1" w:lastRow="1" w:firstColumn="0" w:lastColumn="0" w:noHBand="1" w:noVBand="1"/>
      </w:tblPr>
      <w:tblGrid>
        <w:gridCol w:w="2211"/>
        <w:gridCol w:w="1021"/>
        <w:gridCol w:w="1020"/>
        <w:gridCol w:w="1021"/>
        <w:gridCol w:w="1021"/>
        <w:gridCol w:w="1021"/>
        <w:gridCol w:w="1021"/>
        <w:gridCol w:w="1418"/>
      </w:tblGrid>
      <w:tr w:rsidR="002C57BD" w:rsidRPr="001455DC" w14:paraId="47E14694" w14:textId="77777777" w:rsidTr="007C0470">
        <w:trPr>
          <w:cnfStyle w:val="100000000000" w:firstRow="1" w:lastRow="0" w:firstColumn="0" w:lastColumn="0" w:oddVBand="0" w:evenVBand="0" w:oddHBand="0" w:evenHBand="0" w:firstRowFirstColumn="0" w:firstRowLastColumn="0" w:lastRowFirstColumn="0" w:lastRowLastColumn="0"/>
          <w:cantSplit/>
          <w:tblHeader/>
        </w:trPr>
        <w:tc>
          <w:tcPr>
            <w:tcW w:w="2211" w:type="dxa"/>
            <w:vMerge w:val="restart"/>
          </w:tcPr>
          <w:p w14:paraId="31EE37C1" w14:textId="77777777" w:rsidR="002C57BD" w:rsidRPr="001455DC" w:rsidRDefault="002C57BD" w:rsidP="00593991">
            <w:pPr>
              <w:pStyle w:val="Tableheader-"/>
              <w:keepNext/>
              <w:rPr>
                <w:szCs w:val="20"/>
              </w:rPr>
            </w:pPr>
            <w:r w:rsidRPr="001455DC">
              <w:rPr>
                <w:szCs w:val="20"/>
              </w:rPr>
              <w:t>Criterion</w:t>
            </w:r>
          </w:p>
        </w:tc>
        <w:tc>
          <w:tcPr>
            <w:tcW w:w="7543" w:type="dxa"/>
            <w:gridSpan w:val="7"/>
          </w:tcPr>
          <w:p w14:paraId="1ADDBE7B" w14:textId="0DDA5C2C" w:rsidR="002C57BD" w:rsidRPr="009D3012" w:rsidRDefault="002C57BD" w:rsidP="00593991">
            <w:pPr>
              <w:pStyle w:val="Tableheader-"/>
              <w:keepNext/>
              <w:rPr>
                <w:szCs w:val="20"/>
                <w:lang w:val="en-US"/>
              </w:rPr>
            </w:pPr>
            <w:r w:rsidRPr="009D3012">
              <w:rPr>
                <w:szCs w:val="20"/>
                <w:lang w:val="en-US"/>
              </w:rPr>
              <w:t>Exposure Class according to Table 6.1</w:t>
            </w:r>
          </w:p>
        </w:tc>
      </w:tr>
      <w:tr w:rsidR="002C57BD" w:rsidRPr="001455DC" w14:paraId="4F0091C9" w14:textId="77777777" w:rsidTr="007C0470">
        <w:trPr>
          <w:cnfStyle w:val="100000000000" w:firstRow="1" w:lastRow="0" w:firstColumn="0" w:lastColumn="0" w:oddVBand="0" w:evenVBand="0" w:oddHBand="0" w:evenHBand="0" w:firstRowFirstColumn="0" w:firstRowLastColumn="0" w:lastRowFirstColumn="0" w:lastRowLastColumn="0"/>
          <w:cantSplit/>
          <w:tblHeader/>
        </w:trPr>
        <w:tc>
          <w:tcPr>
            <w:tcW w:w="2211" w:type="dxa"/>
            <w:vMerge/>
          </w:tcPr>
          <w:p w14:paraId="285D8A10" w14:textId="77777777" w:rsidR="002C57BD" w:rsidRPr="009D3012" w:rsidRDefault="002C57BD" w:rsidP="00593991">
            <w:pPr>
              <w:pStyle w:val="Tableheader-"/>
              <w:keepNext/>
              <w:rPr>
                <w:szCs w:val="20"/>
                <w:lang w:val="en-US"/>
              </w:rPr>
            </w:pPr>
          </w:p>
        </w:tc>
        <w:tc>
          <w:tcPr>
            <w:tcW w:w="1021" w:type="dxa"/>
          </w:tcPr>
          <w:p w14:paraId="278649AD" w14:textId="77777777" w:rsidR="002C57BD" w:rsidRPr="001455DC" w:rsidRDefault="002C57BD" w:rsidP="00593991">
            <w:pPr>
              <w:pStyle w:val="Tableheader-"/>
              <w:keepNext/>
              <w:rPr>
                <w:szCs w:val="20"/>
              </w:rPr>
            </w:pPr>
            <w:r w:rsidRPr="001455DC">
              <w:rPr>
                <w:szCs w:val="20"/>
              </w:rPr>
              <w:t>X0</w:t>
            </w:r>
          </w:p>
        </w:tc>
        <w:tc>
          <w:tcPr>
            <w:tcW w:w="1020" w:type="dxa"/>
          </w:tcPr>
          <w:p w14:paraId="65C53EB9" w14:textId="77777777" w:rsidR="002C57BD" w:rsidRPr="001455DC" w:rsidRDefault="002C57BD" w:rsidP="00593991">
            <w:pPr>
              <w:pStyle w:val="Tableheader-"/>
              <w:keepNext/>
              <w:rPr>
                <w:szCs w:val="20"/>
              </w:rPr>
            </w:pPr>
            <w:r w:rsidRPr="001455DC">
              <w:rPr>
                <w:szCs w:val="20"/>
              </w:rPr>
              <w:t>XC1</w:t>
            </w:r>
          </w:p>
        </w:tc>
        <w:tc>
          <w:tcPr>
            <w:tcW w:w="1021" w:type="dxa"/>
          </w:tcPr>
          <w:p w14:paraId="5B0426FB" w14:textId="77777777" w:rsidR="002C57BD" w:rsidRPr="001455DC" w:rsidRDefault="002C57BD" w:rsidP="00593991">
            <w:pPr>
              <w:pStyle w:val="Tableheader-"/>
              <w:keepNext/>
              <w:rPr>
                <w:szCs w:val="20"/>
              </w:rPr>
            </w:pPr>
            <w:r w:rsidRPr="001455DC">
              <w:rPr>
                <w:szCs w:val="20"/>
              </w:rPr>
              <w:t>XC2/XC3</w:t>
            </w:r>
          </w:p>
        </w:tc>
        <w:tc>
          <w:tcPr>
            <w:tcW w:w="1021" w:type="dxa"/>
          </w:tcPr>
          <w:p w14:paraId="49585AFA" w14:textId="77777777" w:rsidR="002C57BD" w:rsidRPr="001455DC" w:rsidRDefault="002C57BD" w:rsidP="00593991">
            <w:pPr>
              <w:pStyle w:val="Tableheader-"/>
              <w:keepNext/>
              <w:rPr>
                <w:szCs w:val="20"/>
              </w:rPr>
            </w:pPr>
            <w:r w:rsidRPr="001455DC">
              <w:rPr>
                <w:szCs w:val="20"/>
              </w:rPr>
              <w:t>XC4</w:t>
            </w:r>
          </w:p>
        </w:tc>
        <w:tc>
          <w:tcPr>
            <w:tcW w:w="1021" w:type="dxa"/>
          </w:tcPr>
          <w:p w14:paraId="5DA702F5" w14:textId="77777777" w:rsidR="002C57BD" w:rsidRPr="001455DC" w:rsidRDefault="002C57BD" w:rsidP="00593991">
            <w:pPr>
              <w:pStyle w:val="Tableheader-"/>
              <w:keepNext/>
              <w:rPr>
                <w:szCs w:val="20"/>
              </w:rPr>
            </w:pPr>
            <w:r w:rsidRPr="001455DC">
              <w:rPr>
                <w:szCs w:val="20"/>
              </w:rPr>
              <w:t>XD1</w:t>
            </w:r>
          </w:p>
        </w:tc>
        <w:tc>
          <w:tcPr>
            <w:tcW w:w="1021" w:type="dxa"/>
          </w:tcPr>
          <w:p w14:paraId="6B295E8C" w14:textId="77777777" w:rsidR="002C57BD" w:rsidRPr="001455DC" w:rsidRDefault="002C57BD" w:rsidP="00593991">
            <w:pPr>
              <w:pStyle w:val="Tableheader-"/>
              <w:keepNext/>
              <w:rPr>
                <w:szCs w:val="20"/>
              </w:rPr>
            </w:pPr>
            <w:r w:rsidRPr="001455DC">
              <w:rPr>
                <w:szCs w:val="20"/>
              </w:rPr>
              <w:t>XD2/XS1</w:t>
            </w:r>
          </w:p>
        </w:tc>
        <w:tc>
          <w:tcPr>
            <w:tcW w:w="1418" w:type="dxa"/>
          </w:tcPr>
          <w:p w14:paraId="2D1D1021" w14:textId="77777777" w:rsidR="002C57BD" w:rsidRPr="001455DC" w:rsidRDefault="002C57BD" w:rsidP="00593991">
            <w:pPr>
              <w:pStyle w:val="Tableheader-"/>
              <w:keepNext/>
              <w:rPr>
                <w:szCs w:val="20"/>
              </w:rPr>
            </w:pPr>
            <w:r w:rsidRPr="001455DC">
              <w:rPr>
                <w:szCs w:val="20"/>
              </w:rPr>
              <w:t>XD3/XS2/XS3</w:t>
            </w:r>
          </w:p>
        </w:tc>
      </w:tr>
      <w:tr w:rsidR="004E22C1" w:rsidRPr="001455DC" w14:paraId="160DA585" w14:textId="77777777" w:rsidTr="002C57BD">
        <w:trPr>
          <w:cantSplit/>
        </w:trPr>
        <w:tc>
          <w:tcPr>
            <w:tcW w:w="2211" w:type="dxa"/>
            <w:vAlign w:val="center"/>
          </w:tcPr>
          <w:p w14:paraId="63E5B704" w14:textId="77777777" w:rsidR="004E22C1" w:rsidRPr="009D3012" w:rsidRDefault="004E22C1" w:rsidP="00593991">
            <w:pPr>
              <w:pStyle w:val="Tablebody-"/>
              <w:keepNext/>
              <w:jc w:val="center"/>
              <w:rPr>
                <w:szCs w:val="20"/>
                <w:lang w:val="en-US"/>
              </w:rPr>
            </w:pPr>
            <w:r w:rsidRPr="009D3012">
              <w:rPr>
                <w:szCs w:val="20"/>
                <w:lang w:val="en-US"/>
              </w:rPr>
              <w:t>Design Working Life of 100 years</w:t>
            </w:r>
          </w:p>
        </w:tc>
        <w:tc>
          <w:tcPr>
            <w:tcW w:w="1021" w:type="dxa"/>
            <w:vAlign w:val="center"/>
          </w:tcPr>
          <w:p w14:paraId="7EAAFCF9" w14:textId="77777777" w:rsidR="004E22C1" w:rsidRPr="001455DC" w:rsidRDefault="004E22C1" w:rsidP="00593991">
            <w:pPr>
              <w:pStyle w:val="Tablebody-"/>
              <w:keepNext/>
              <w:jc w:val="center"/>
              <w:rPr>
                <w:szCs w:val="20"/>
              </w:rPr>
            </w:pPr>
            <w:r w:rsidRPr="001455DC">
              <w:rPr>
                <w:szCs w:val="20"/>
              </w:rPr>
              <w:t>increase class by 2</w:t>
            </w:r>
          </w:p>
        </w:tc>
        <w:tc>
          <w:tcPr>
            <w:tcW w:w="1020" w:type="dxa"/>
            <w:vAlign w:val="center"/>
          </w:tcPr>
          <w:p w14:paraId="00B7EB93" w14:textId="77777777" w:rsidR="004E22C1" w:rsidRPr="001455DC" w:rsidRDefault="004E22C1" w:rsidP="00593991">
            <w:pPr>
              <w:pStyle w:val="Tablebody-"/>
              <w:keepNext/>
              <w:jc w:val="center"/>
              <w:rPr>
                <w:szCs w:val="20"/>
              </w:rPr>
            </w:pPr>
            <w:r w:rsidRPr="001455DC">
              <w:rPr>
                <w:szCs w:val="20"/>
              </w:rPr>
              <w:t>increase class by 2</w:t>
            </w:r>
          </w:p>
        </w:tc>
        <w:tc>
          <w:tcPr>
            <w:tcW w:w="1021" w:type="dxa"/>
            <w:vAlign w:val="center"/>
          </w:tcPr>
          <w:p w14:paraId="2AD5177B" w14:textId="77777777" w:rsidR="004E22C1" w:rsidRPr="001455DC" w:rsidRDefault="004E22C1" w:rsidP="00593991">
            <w:pPr>
              <w:pStyle w:val="Tablebody-"/>
              <w:keepNext/>
              <w:jc w:val="center"/>
              <w:rPr>
                <w:szCs w:val="20"/>
              </w:rPr>
            </w:pPr>
            <w:r w:rsidRPr="001455DC">
              <w:rPr>
                <w:szCs w:val="20"/>
              </w:rPr>
              <w:t>increase class by 2</w:t>
            </w:r>
          </w:p>
        </w:tc>
        <w:tc>
          <w:tcPr>
            <w:tcW w:w="1021" w:type="dxa"/>
            <w:vAlign w:val="center"/>
          </w:tcPr>
          <w:p w14:paraId="4BF2A28D" w14:textId="77777777" w:rsidR="004E22C1" w:rsidRPr="001455DC" w:rsidRDefault="004E22C1" w:rsidP="00593991">
            <w:pPr>
              <w:pStyle w:val="Tablebody-"/>
              <w:keepNext/>
              <w:jc w:val="center"/>
              <w:rPr>
                <w:szCs w:val="20"/>
              </w:rPr>
            </w:pPr>
            <w:r w:rsidRPr="001455DC">
              <w:rPr>
                <w:szCs w:val="20"/>
              </w:rPr>
              <w:t>increase class by 2</w:t>
            </w:r>
          </w:p>
        </w:tc>
        <w:tc>
          <w:tcPr>
            <w:tcW w:w="1021" w:type="dxa"/>
            <w:vAlign w:val="center"/>
          </w:tcPr>
          <w:p w14:paraId="3652CA89" w14:textId="77777777" w:rsidR="004E22C1" w:rsidRPr="001455DC" w:rsidRDefault="004E22C1" w:rsidP="00593991">
            <w:pPr>
              <w:pStyle w:val="Tablebody-"/>
              <w:keepNext/>
              <w:jc w:val="center"/>
              <w:rPr>
                <w:szCs w:val="20"/>
              </w:rPr>
            </w:pPr>
            <w:r w:rsidRPr="001455DC">
              <w:rPr>
                <w:szCs w:val="20"/>
              </w:rPr>
              <w:t>increase class by 2</w:t>
            </w:r>
          </w:p>
        </w:tc>
        <w:tc>
          <w:tcPr>
            <w:tcW w:w="1021" w:type="dxa"/>
            <w:vAlign w:val="center"/>
          </w:tcPr>
          <w:p w14:paraId="2130BAB2" w14:textId="77777777" w:rsidR="004E22C1" w:rsidRPr="001455DC" w:rsidRDefault="004E22C1" w:rsidP="00593991">
            <w:pPr>
              <w:pStyle w:val="Tablebody-"/>
              <w:keepNext/>
              <w:jc w:val="center"/>
              <w:rPr>
                <w:szCs w:val="20"/>
              </w:rPr>
            </w:pPr>
            <w:r w:rsidRPr="001455DC">
              <w:rPr>
                <w:szCs w:val="20"/>
              </w:rPr>
              <w:t>increase class by 2</w:t>
            </w:r>
          </w:p>
        </w:tc>
        <w:tc>
          <w:tcPr>
            <w:tcW w:w="1418" w:type="dxa"/>
            <w:vAlign w:val="center"/>
          </w:tcPr>
          <w:p w14:paraId="2031155F" w14:textId="3580AB3E" w:rsidR="004E22C1" w:rsidRPr="001455DC" w:rsidRDefault="004E22C1" w:rsidP="00593991">
            <w:pPr>
              <w:pStyle w:val="Tablebody-"/>
              <w:keepNext/>
              <w:jc w:val="center"/>
              <w:rPr>
                <w:szCs w:val="20"/>
              </w:rPr>
            </w:pPr>
            <w:r w:rsidRPr="001455DC">
              <w:rPr>
                <w:szCs w:val="20"/>
              </w:rPr>
              <w:t>increase</w:t>
            </w:r>
            <w:r w:rsidR="00A0760E" w:rsidRPr="001455DC">
              <w:rPr>
                <w:szCs w:val="20"/>
              </w:rPr>
              <w:t xml:space="preserve"> </w:t>
            </w:r>
            <w:r w:rsidRPr="001455DC">
              <w:rPr>
                <w:szCs w:val="20"/>
              </w:rPr>
              <w:t>class by</w:t>
            </w:r>
            <w:r w:rsidR="00A0760E" w:rsidRPr="001455DC">
              <w:rPr>
                <w:szCs w:val="20"/>
              </w:rPr>
              <w:t> </w:t>
            </w:r>
            <w:r w:rsidRPr="001455DC">
              <w:rPr>
                <w:szCs w:val="20"/>
              </w:rPr>
              <w:t>2</w:t>
            </w:r>
          </w:p>
        </w:tc>
      </w:tr>
      <w:tr w:rsidR="004E22C1" w:rsidRPr="001455DC" w14:paraId="51E04D73" w14:textId="77777777" w:rsidTr="002C57BD">
        <w:trPr>
          <w:cantSplit/>
        </w:trPr>
        <w:tc>
          <w:tcPr>
            <w:tcW w:w="2211" w:type="dxa"/>
            <w:vAlign w:val="center"/>
          </w:tcPr>
          <w:p w14:paraId="2493A826" w14:textId="6985A3AC" w:rsidR="004E22C1" w:rsidRPr="001455DC" w:rsidRDefault="004E22C1" w:rsidP="00593991">
            <w:pPr>
              <w:pStyle w:val="Tablebody-"/>
              <w:keepNext/>
              <w:jc w:val="center"/>
              <w:rPr>
                <w:szCs w:val="20"/>
              </w:rPr>
            </w:pPr>
            <w:r w:rsidRPr="001455DC">
              <w:rPr>
                <w:szCs w:val="20"/>
              </w:rPr>
              <w:t>Strength Class</w:t>
            </w:r>
            <w:r w:rsidRPr="001455DC">
              <w:rPr>
                <w:rStyle w:val="CCMCvariablesuperscript"/>
                <w:szCs w:val="20"/>
              </w:rPr>
              <w:t>a</w:t>
            </w:r>
            <w:r w:rsidR="00A0760E" w:rsidRPr="001455DC">
              <w:rPr>
                <w:rStyle w:val="CCMCvariablesuperscript"/>
                <w:szCs w:val="20"/>
              </w:rPr>
              <w:t>,</w:t>
            </w:r>
            <w:r w:rsidRPr="001455DC">
              <w:rPr>
                <w:rStyle w:val="CCMCvariablesuperscript"/>
                <w:szCs w:val="20"/>
              </w:rPr>
              <w:t>b</w:t>
            </w:r>
          </w:p>
        </w:tc>
        <w:tc>
          <w:tcPr>
            <w:tcW w:w="1021" w:type="dxa"/>
            <w:vAlign w:val="center"/>
          </w:tcPr>
          <w:p w14:paraId="41EB901A" w14:textId="269B11DB" w:rsidR="004E22C1" w:rsidRPr="001455DC" w:rsidRDefault="00073FC6" w:rsidP="00593991">
            <w:pPr>
              <w:pStyle w:val="Tablebody-"/>
              <w:keepNext/>
              <w:jc w:val="center"/>
              <w:rPr>
                <w:szCs w:val="20"/>
              </w:rPr>
            </w:pPr>
            <w:r w:rsidRPr="001455DC">
              <w:rPr>
                <w:rFonts w:ascii="Cambria Math" w:hAnsi="Cambria Math"/>
                <w:szCs w:val="20"/>
              </w:rPr>
              <w:t>≥</w:t>
            </w:r>
            <w:r w:rsidRPr="001455DC">
              <w:rPr>
                <w:szCs w:val="20"/>
              </w:rPr>
              <w:t> </w:t>
            </w:r>
            <w:r w:rsidR="004E22C1" w:rsidRPr="001455DC">
              <w:rPr>
                <w:szCs w:val="20"/>
              </w:rPr>
              <w:t>C30/37</w:t>
            </w:r>
            <w:r w:rsidR="00A0760E" w:rsidRPr="001455DC">
              <w:rPr>
                <w:szCs w:val="20"/>
              </w:rPr>
              <w:t xml:space="preserve"> </w:t>
            </w:r>
            <w:r w:rsidR="004E22C1" w:rsidRPr="001455DC">
              <w:rPr>
                <w:szCs w:val="20"/>
              </w:rPr>
              <w:t>reduce class by 1</w:t>
            </w:r>
          </w:p>
        </w:tc>
        <w:tc>
          <w:tcPr>
            <w:tcW w:w="1020" w:type="dxa"/>
            <w:vAlign w:val="center"/>
          </w:tcPr>
          <w:p w14:paraId="04CE9799" w14:textId="6D06D363" w:rsidR="004E22C1" w:rsidRPr="001455DC" w:rsidRDefault="00073FC6" w:rsidP="00593991">
            <w:pPr>
              <w:pStyle w:val="Tablebody-"/>
              <w:keepNext/>
              <w:jc w:val="center"/>
              <w:rPr>
                <w:szCs w:val="20"/>
              </w:rPr>
            </w:pPr>
            <w:r w:rsidRPr="001455DC">
              <w:rPr>
                <w:rFonts w:ascii="Cambria Math" w:hAnsi="Cambria Math"/>
                <w:szCs w:val="20"/>
              </w:rPr>
              <w:t>≥</w:t>
            </w:r>
            <w:r w:rsidRPr="001455DC">
              <w:rPr>
                <w:szCs w:val="20"/>
              </w:rPr>
              <w:t> </w:t>
            </w:r>
            <w:r w:rsidR="004E22C1" w:rsidRPr="001455DC">
              <w:rPr>
                <w:szCs w:val="20"/>
              </w:rPr>
              <w:t>C30/37</w:t>
            </w:r>
            <w:r w:rsidR="00A0760E" w:rsidRPr="001455DC">
              <w:rPr>
                <w:szCs w:val="20"/>
              </w:rPr>
              <w:t xml:space="preserve"> </w:t>
            </w:r>
            <w:r w:rsidR="004E22C1" w:rsidRPr="001455DC">
              <w:rPr>
                <w:szCs w:val="20"/>
              </w:rPr>
              <w:t>reduce class by 1</w:t>
            </w:r>
          </w:p>
        </w:tc>
        <w:tc>
          <w:tcPr>
            <w:tcW w:w="1021" w:type="dxa"/>
            <w:vAlign w:val="center"/>
          </w:tcPr>
          <w:p w14:paraId="5D4B6024" w14:textId="72450898" w:rsidR="004E22C1" w:rsidRPr="001455DC" w:rsidRDefault="00073FC6" w:rsidP="00593991">
            <w:pPr>
              <w:pStyle w:val="Tablebody-"/>
              <w:keepNext/>
              <w:jc w:val="center"/>
              <w:rPr>
                <w:szCs w:val="20"/>
              </w:rPr>
            </w:pPr>
            <w:r w:rsidRPr="001455DC">
              <w:rPr>
                <w:rFonts w:ascii="Cambria Math" w:hAnsi="Cambria Math"/>
                <w:szCs w:val="20"/>
              </w:rPr>
              <w:t>≥</w:t>
            </w:r>
            <w:r w:rsidRPr="001455DC">
              <w:rPr>
                <w:szCs w:val="20"/>
              </w:rPr>
              <w:t> </w:t>
            </w:r>
            <w:r w:rsidR="004E22C1" w:rsidRPr="001455DC">
              <w:rPr>
                <w:szCs w:val="20"/>
              </w:rPr>
              <w:t>C35/45</w:t>
            </w:r>
            <w:r w:rsidR="00A0760E" w:rsidRPr="001455DC">
              <w:rPr>
                <w:szCs w:val="20"/>
              </w:rPr>
              <w:t xml:space="preserve"> </w:t>
            </w:r>
            <w:r w:rsidR="004E22C1" w:rsidRPr="001455DC">
              <w:rPr>
                <w:szCs w:val="20"/>
              </w:rPr>
              <w:t>reduce</w:t>
            </w:r>
            <w:r w:rsidR="00A0760E" w:rsidRPr="001455DC">
              <w:rPr>
                <w:szCs w:val="20"/>
              </w:rPr>
              <w:t xml:space="preserve"> </w:t>
            </w:r>
            <w:r w:rsidR="004E22C1" w:rsidRPr="001455DC">
              <w:rPr>
                <w:szCs w:val="20"/>
              </w:rPr>
              <w:t>class by 1</w:t>
            </w:r>
          </w:p>
        </w:tc>
        <w:tc>
          <w:tcPr>
            <w:tcW w:w="1021" w:type="dxa"/>
            <w:vAlign w:val="center"/>
          </w:tcPr>
          <w:p w14:paraId="2F012D4A" w14:textId="1602C203" w:rsidR="004E22C1" w:rsidRPr="001455DC" w:rsidRDefault="00073FC6" w:rsidP="00593991">
            <w:pPr>
              <w:pStyle w:val="Tablebody-"/>
              <w:keepNext/>
              <w:jc w:val="center"/>
              <w:rPr>
                <w:szCs w:val="20"/>
              </w:rPr>
            </w:pPr>
            <w:r w:rsidRPr="001455DC">
              <w:rPr>
                <w:rFonts w:ascii="Cambria Math" w:hAnsi="Cambria Math"/>
                <w:szCs w:val="20"/>
              </w:rPr>
              <w:t>≥</w:t>
            </w:r>
            <w:r w:rsidRPr="001455DC">
              <w:rPr>
                <w:szCs w:val="20"/>
              </w:rPr>
              <w:t> </w:t>
            </w:r>
            <w:r w:rsidR="004E22C1" w:rsidRPr="001455DC">
              <w:rPr>
                <w:szCs w:val="20"/>
              </w:rPr>
              <w:t>C40/50</w:t>
            </w:r>
            <w:r w:rsidR="00A0760E" w:rsidRPr="001455DC">
              <w:rPr>
                <w:szCs w:val="20"/>
              </w:rPr>
              <w:t xml:space="preserve"> </w:t>
            </w:r>
            <w:r w:rsidR="004E22C1" w:rsidRPr="001455DC">
              <w:rPr>
                <w:szCs w:val="20"/>
              </w:rPr>
              <w:t>reduce class by 1</w:t>
            </w:r>
          </w:p>
        </w:tc>
        <w:tc>
          <w:tcPr>
            <w:tcW w:w="1021" w:type="dxa"/>
            <w:vAlign w:val="center"/>
          </w:tcPr>
          <w:p w14:paraId="5958331C" w14:textId="49D4220D" w:rsidR="004E22C1" w:rsidRPr="001455DC" w:rsidRDefault="00073FC6" w:rsidP="00593991">
            <w:pPr>
              <w:pStyle w:val="Tablebody-"/>
              <w:keepNext/>
              <w:jc w:val="center"/>
              <w:rPr>
                <w:szCs w:val="20"/>
              </w:rPr>
            </w:pPr>
            <w:r w:rsidRPr="001455DC">
              <w:rPr>
                <w:rFonts w:ascii="Cambria Math" w:hAnsi="Cambria Math"/>
                <w:szCs w:val="20"/>
              </w:rPr>
              <w:t>≥</w:t>
            </w:r>
            <w:r w:rsidRPr="001455DC">
              <w:rPr>
                <w:szCs w:val="20"/>
              </w:rPr>
              <w:t> </w:t>
            </w:r>
            <w:r w:rsidR="004E22C1" w:rsidRPr="001455DC">
              <w:rPr>
                <w:szCs w:val="20"/>
              </w:rPr>
              <w:t>C40/50</w:t>
            </w:r>
            <w:r w:rsidR="00A0760E" w:rsidRPr="001455DC">
              <w:rPr>
                <w:szCs w:val="20"/>
              </w:rPr>
              <w:t xml:space="preserve"> </w:t>
            </w:r>
            <w:r w:rsidR="004E22C1" w:rsidRPr="001455DC">
              <w:rPr>
                <w:szCs w:val="20"/>
              </w:rPr>
              <w:t>reduce class by 1</w:t>
            </w:r>
          </w:p>
        </w:tc>
        <w:tc>
          <w:tcPr>
            <w:tcW w:w="1021" w:type="dxa"/>
            <w:vAlign w:val="center"/>
          </w:tcPr>
          <w:p w14:paraId="4CCD5F25" w14:textId="1539740F" w:rsidR="004E22C1" w:rsidRPr="001455DC" w:rsidRDefault="00073FC6" w:rsidP="00593991">
            <w:pPr>
              <w:pStyle w:val="Tablebody-"/>
              <w:keepNext/>
              <w:jc w:val="center"/>
              <w:rPr>
                <w:szCs w:val="20"/>
              </w:rPr>
            </w:pPr>
            <w:r w:rsidRPr="001455DC">
              <w:rPr>
                <w:rFonts w:ascii="Cambria Math" w:hAnsi="Cambria Math"/>
                <w:szCs w:val="20"/>
              </w:rPr>
              <w:t>≥</w:t>
            </w:r>
            <w:r w:rsidRPr="001455DC">
              <w:rPr>
                <w:szCs w:val="20"/>
              </w:rPr>
              <w:t> </w:t>
            </w:r>
            <w:r w:rsidR="004E22C1" w:rsidRPr="001455DC">
              <w:rPr>
                <w:szCs w:val="20"/>
              </w:rPr>
              <w:t>C40/50</w:t>
            </w:r>
            <w:r w:rsidR="00A0760E" w:rsidRPr="001455DC">
              <w:rPr>
                <w:szCs w:val="20"/>
              </w:rPr>
              <w:t xml:space="preserve"> </w:t>
            </w:r>
            <w:r w:rsidR="004E22C1" w:rsidRPr="001455DC">
              <w:rPr>
                <w:szCs w:val="20"/>
              </w:rPr>
              <w:t>reduce class by 1</w:t>
            </w:r>
          </w:p>
        </w:tc>
        <w:tc>
          <w:tcPr>
            <w:tcW w:w="1418" w:type="dxa"/>
            <w:vAlign w:val="center"/>
          </w:tcPr>
          <w:p w14:paraId="73D1C786" w14:textId="0A09079C" w:rsidR="004E22C1" w:rsidRPr="001455DC" w:rsidRDefault="00073FC6" w:rsidP="00593991">
            <w:pPr>
              <w:pStyle w:val="Tablebody-"/>
              <w:keepNext/>
              <w:jc w:val="center"/>
              <w:rPr>
                <w:szCs w:val="20"/>
              </w:rPr>
            </w:pPr>
            <w:r w:rsidRPr="001455DC">
              <w:rPr>
                <w:rFonts w:ascii="Cambria Math" w:hAnsi="Cambria Math"/>
                <w:szCs w:val="20"/>
              </w:rPr>
              <w:t>≥</w:t>
            </w:r>
            <w:r w:rsidRPr="001455DC">
              <w:rPr>
                <w:szCs w:val="20"/>
              </w:rPr>
              <w:t> </w:t>
            </w:r>
            <w:r w:rsidR="004E22C1" w:rsidRPr="001455DC">
              <w:rPr>
                <w:szCs w:val="20"/>
              </w:rPr>
              <w:t>C45/55</w:t>
            </w:r>
            <w:r w:rsidR="00A0760E" w:rsidRPr="001455DC">
              <w:rPr>
                <w:szCs w:val="20"/>
              </w:rPr>
              <w:t xml:space="preserve"> </w:t>
            </w:r>
            <w:r w:rsidR="004E22C1" w:rsidRPr="001455DC">
              <w:rPr>
                <w:szCs w:val="20"/>
              </w:rPr>
              <w:t>reduce</w:t>
            </w:r>
            <w:r w:rsidR="00A0760E" w:rsidRPr="001455DC">
              <w:rPr>
                <w:szCs w:val="20"/>
              </w:rPr>
              <w:t xml:space="preserve"> </w:t>
            </w:r>
            <w:r w:rsidR="004E22C1" w:rsidRPr="001455DC">
              <w:rPr>
                <w:szCs w:val="20"/>
              </w:rPr>
              <w:t>class by 1</w:t>
            </w:r>
          </w:p>
        </w:tc>
      </w:tr>
      <w:tr w:rsidR="004E22C1" w:rsidRPr="001455DC" w14:paraId="143798CD" w14:textId="77777777" w:rsidTr="002C57BD">
        <w:trPr>
          <w:cantSplit/>
        </w:trPr>
        <w:tc>
          <w:tcPr>
            <w:tcW w:w="2211" w:type="dxa"/>
            <w:vAlign w:val="center"/>
          </w:tcPr>
          <w:p w14:paraId="250812AA" w14:textId="5E7B70E7" w:rsidR="004E22C1" w:rsidRPr="009D3012" w:rsidRDefault="004E22C1" w:rsidP="00593991">
            <w:pPr>
              <w:pStyle w:val="Tablebody-"/>
              <w:keepNext/>
              <w:jc w:val="center"/>
              <w:rPr>
                <w:szCs w:val="20"/>
                <w:lang w:val="en-US"/>
              </w:rPr>
            </w:pPr>
            <w:r w:rsidRPr="009D3012">
              <w:rPr>
                <w:szCs w:val="20"/>
                <w:lang w:val="en-US"/>
              </w:rPr>
              <w:t>Member with slab geometry (position of reinforcement not affected by construction process)</w:t>
            </w:r>
          </w:p>
        </w:tc>
        <w:tc>
          <w:tcPr>
            <w:tcW w:w="1021" w:type="dxa"/>
            <w:vAlign w:val="center"/>
          </w:tcPr>
          <w:p w14:paraId="41C0CE16" w14:textId="77777777" w:rsidR="004E22C1" w:rsidRPr="001455DC" w:rsidRDefault="004E22C1" w:rsidP="00593991">
            <w:pPr>
              <w:pStyle w:val="Tablebody-"/>
              <w:keepNext/>
              <w:jc w:val="center"/>
              <w:rPr>
                <w:szCs w:val="20"/>
              </w:rPr>
            </w:pPr>
            <w:r w:rsidRPr="001455DC">
              <w:rPr>
                <w:szCs w:val="20"/>
              </w:rPr>
              <w:t>reduce class by 1</w:t>
            </w:r>
          </w:p>
        </w:tc>
        <w:tc>
          <w:tcPr>
            <w:tcW w:w="1020" w:type="dxa"/>
            <w:vAlign w:val="center"/>
          </w:tcPr>
          <w:p w14:paraId="1CAF0307" w14:textId="77777777" w:rsidR="004E22C1" w:rsidRPr="001455DC" w:rsidRDefault="004E22C1" w:rsidP="00593991">
            <w:pPr>
              <w:pStyle w:val="Tablebody-"/>
              <w:keepNext/>
              <w:jc w:val="center"/>
              <w:rPr>
                <w:szCs w:val="20"/>
              </w:rPr>
            </w:pPr>
            <w:r w:rsidRPr="001455DC">
              <w:rPr>
                <w:szCs w:val="20"/>
              </w:rPr>
              <w:t>reduce class by 1</w:t>
            </w:r>
          </w:p>
        </w:tc>
        <w:tc>
          <w:tcPr>
            <w:tcW w:w="1021" w:type="dxa"/>
            <w:vAlign w:val="center"/>
          </w:tcPr>
          <w:p w14:paraId="72773D9D" w14:textId="6353C479" w:rsidR="004E22C1" w:rsidRPr="001455DC" w:rsidRDefault="004E22C1" w:rsidP="00593991">
            <w:pPr>
              <w:pStyle w:val="Tablebody-"/>
              <w:keepNext/>
              <w:jc w:val="center"/>
              <w:rPr>
                <w:szCs w:val="20"/>
              </w:rPr>
            </w:pPr>
            <w:r w:rsidRPr="001455DC">
              <w:rPr>
                <w:szCs w:val="20"/>
              </w:rPr>
              <w:t>reduce</w:t>
            </w:r>
            <w:r w:rsidR="00A0760E" w:rsidRPr="001455DC">
              <w:rPr>
                <w:szCs w:val="20"/>
              </w:rPr>
              <w:t xml:space="preserve"> </w:t>
            </w:r>
            <w:r w:rsidRPr="001455DC">
              <w:rPr>
                <w:szCs w:val="20"/>
              </w:rPr>
              <w:t>class by 1</w:t>
            </w:r>
          </w:p>
        </w:tc>
        <w:tc>
          <w:tcPr>
            <w:tcW w:w="1021" w:type="dxa"/>
            <w:vAlign w:val="center"/>
          </w:tcPr>
          <w:p w14:paraId="6383A23A" w14:textId="77777777" w:rsidR="004E22C1" w:rsidRPr="001455DC" w:rsidRDefault="004E22C1" w:rsidP="00593991">
            <w:pPr>
              <w:pStyle w:val="Tablebody-"/>
              <w:keepNext/>
              <w:jc w:val="center"/>
              <w:rPr>
                <w:szCs w:val="20"/>
              </w:rPr>
            </w:pPr>
            <w:r w:rsidRPr="001455DC">
              <w:rPr>
                <w:szCs w:val="20"/>
              </w:rPr>
              <w:t>reduce class by 1</w:t>
            </w:r>
          </w:p>
        </w:tc>
        <w:tc>
          <w:tcPr>
            <w:tcW w:w="1021" w:type="dxa"/>
            <w:vAlign w:val="center"/>
          </w:tcPr>
          <w:p w14:paraId="4BF3698E" w14:textId="77777777" w:rsidR="004E22C1" w:rsidRPr="001455DC" w:rsidRDefault="004E22C1" w:rsidP="00593991">
            <w:pPr>
              <w:pStyle w:val="Tablebody-"/>
              <w:keepNext/>
              <w:jc w:val="center"/>
              <w:rPr>
                <w:szCs w:val="20"/>
              </w:rPr>
            </w:pPr>
            <w:r w:rsidRPr="001455DC">
              <w:rPr>
                <w:szCs w:val="20"/>
              </w:rPr>
              <w:t>reduce class by 1</w:t>
            </w:r>
          </w:p>
        </w:tc>
        <w:tc>
          <w:tcPr>
            <w:tcW w:w="1021" w:type="dxa"/>
            <w:vAlign w:val="center"/>
          </w:tcPr>
          <w:p w14:paraId="5425484C" w14:textId="77777777" w:rsidR="004E22C1" w:rsidRPr="001455DC" w:rsidRDefault="004E22C1" w:rsidP="00593991">
            <w:pPr>
              <w:pStyle w:val="Tablebody-"/>
              <w:keepNext/>
              <w:jc w:val="center"/>
              <w:rPr>
                <w:szCs w:val="20"/>
              </w:rPr>
            </w:pPr>
            <w:r w:rsidRPr="001455DC">
              <w:rPr>
                <w:szCs w:val="20"/>
              </w:rPr>
              <w:t>reduce class by 1</w:t>
            </w:r>
          </w:p>
        </w:tc>
        <w:tc>
          <w:tcPr>
            <w:tcW w:w="1418" w:type="dxa"/>
            <w:vAlign w:val="center"/>
          </w:tcPr>
          <w:p w14:paraId="5D4AA8B9" w14:textId="0A902CD7" w:rsidR="004E22C1" w:rsidRPr="001455DC" w:rsidRDefault="004E22C1" w:rsidP="00593991">
            <w:pPr>
              <w:pStyle w:val="Tablebody-"/>
              <w:keepNext/>
              <w:jc w:val="center"/>
              <w:rPr>
                <w:szCs w:val="20"/>
              </w:rPr>
            </w:pPr>
            <w:r w:rsidRPr="001455DC">
              <w:rPr>
                <w:szCs w:val="20"/>
              </w:rPr>
              <w:t>reduce</w:t>
            </w:r>
            <w:r w:rsidR="00A0760E" w:rsidRPr="001455DC">
              <w:rPr>
                <w:szCs w:val="20"/>
              </w:rPr>
              <w:t xml:space="preserve"> </w:t>
            </w:r>
            <w:r w:rsidRPr="001455DC">
              <w:rPr>
                <w:szCs w:val="20"/>
              </w:rPr>
              <w:t>class by</w:t>
            </w:r>
            <w:r w:rsidR="00A0760E" w:rsidRPr="001455DC">
              <w:rPr>
                <w:szCs w:val="20"/>
              </w:rPr>
              <w:t> </w:t>
            </w:r>
            <w:r w:rsidRPr="001455DC">
              <w:rPr>
                <w:szCs w:val="20"/>
              </w:rPr>
              <w:t>1</w:t>
            </w:r>
          </w:p>
        </w:tc>
      </w:tr>
      <w:tr w:rsidR="004E22C1" w:rsidRPr="001455DC" w14:paraId="46B658A4" w14:textId="77777777" w:rsidTr="002C57BD">
        <w:trPr>
          <w:cantSplit/>
        </w:trPr>
        <w:tc>
          <w:tcPr>
            <w:tcW w:w="2211" w:type="dxa"/>
            <w:vAlign w:val="center"/>
          </w:tcPr>
          <w:p w14:paraId="33EDB0E9" w14:textId="77777777" w:rsidR="004E22C1" w:rsidRPr="009D3012" w:rsidRDefault="004E22C1" w:rsidP="00593991">
            <w:pPr>
              <w:pStyle w:val="Tablebody-"/>
              <w:keepNext/>
              <w:jc w:val="center"/>
              <w:rPr>
                <w:szCs w:val="20"/>
                <w:lang w:val="en-US"/>
              </w:rPr>
            </w:pPr>
            <w:r w:rsidRPr="009D3012">
              <w:rPr>
                <w:szCs w:val="20"/>
                <w:lang w:val="en-US"/>
              </w:rPr>
              <w:t>Special Quality Control of the concrete production ensured</w:t>
            </w:r>
          </w:p>
        </w:tc>
        <w:tc>
          <w:tcPr>
            <w:tcW w:w="1021" w:type="dxa"/>
            <w:vAlign w:val="center"/>
          </w:tcPr>
          <w:p w14:paraId="40A8BC93" w14:textId="77777777" w:rsidR="004E22C1" w:rsidRPr="001455DC" w:rsidRDefault="004E22C1" w:rsidP="00593991">
            <w:pPr>
              <w:pStyle w:val="Tablebody-"/>
              <w:keepNext/>
              <w:jc w:val="center"/>
              <w:rPr>
                <w:szCs w:val="20"/>
              </w:rPr>
            </w:pPr>
            <w:r w:rsidRPr="001455DC">
              <w:rPr>
                <w:szCs w:val="20"/>
              </w:rPr>
              <w:t>reduce class by 1</w:t>
            </w:r>
          </w:p>
        </w:tc>
        <w:tc>
          <w:tcPr>
            <w:tcW w:w="1020" w:type="dxa"/>
            <w:vAlign w:val="center"/>
          </w:tcPr>
          <w:p w14:paraId="24573CC1" w14:textId="77777777" w:rsidR="004E22C1" w:rsidRPr="001455DC" w:rsidRDefault="004E22C1" w:rsidP="00593991">
            <w:pPr>
              <w:pStyle w:val="Tablebody-"/>
              <w:keepNext/>
              <w:jc w:val="center"/>
              <w:rPr>
                <w:szCs w:val="20"/>
              </w:rPr>
            </w:pPr>
            <w:r w:rsidRPr="001455DC">
              <w:rPr>
                <w:szCs w:val="20"/>
              </w:rPr>
              <w:t>reduce class by 1</w:t>
            </w:r>
          </w:p>
        </w:tc>
        <w:tc>
          <w:tcPr>
            <w:tcW w:w="1021" w:type="dxa"/>
            <w:vAlign w:val="center"/>
          </w:tcPr>
          <w:p w14:paraId="5CDF77EB" w14:textId="065C0BEA" w:rsidR="004E22C1" w:rsidRPr="001455DC" w:rsidRDefault="004E22C1" w:rsidP="00593991">
            <w:pPr>
              <w:pStyle w:val="Tablebody-"/>
              <w:keepNext/>
              <w:jc w:val="center"/>
              <w:rPr>
                <w:szCs w:val="20"/>
              </w:rPr>
            </w:pPr>
            <w:r w:rsidRPr="001455DC">
              <w:rPr>
                <w:szCs w:val="20"/>
              </w:rPr>
              <w:t>reduce</w:t>
            </w:r>
            <w:r w:rsidR="00A0760E" w:rsidRPr="001455DC">
              <w:rPr>
                <w:szCs w:val="20"/>
              </w:rPr>
              <w:t xml:space="preserve"> </w:t>
            </w:r>
            <w:r w:rsidRPr="001455DC">
              <w:rPr>
                <w:szCs w:val="20"/>
              </w:rPr>
              <w:t>class by 1</w:t>
            </w:r>
          </w:p>
        </w:tc>
        <w:tc>
          <w:tcPr>
            <w:tcW w:w="1021" w:type="dxa"/>
            <w:vAlign w:val="center"/>
          </w:tcPr>
          <w:p w14:paraId="040867CA" w14:textId="77777777" w:rsidR="004E22C1" w:rsidRPr="001455DC" w:rsidRDefault="004E22C1" w:rsidP="00593991">
            <w:pPr>
              <w:pStyle w:val="Tablebody-"/>
              <w:keepNext/>
              <w:jc w:val="center"/>
              <w:rPr>
                <w:szCs w:val="20"/>
              </w:rPr>
            </w:pPr>
            <w:r w:rsidRPr="001455DC">
              <w:rPr>
                <w:szCs w:val="20"/>
              </w:rPr>
              <w:t>reduce class by 1</w:t>
            </w:r>
          </w:p>
        </w:tc>
        <w:tc>
          <w:tcPr>
            <w:tcW w:w="1021" w:type="dxa"/>
            <w:vAlign w:val="center"/>
          </w:tcPr>
          <w:p w14:paraId="518255B2" w14:textId="77777777" w:rsidR="004E22C1" w:rsidRPr="001455DC" w:rsidRDefault="004E22C1" w:rsidP="00593991">
            <w:pPr>
              <w:pStyle w:val="Tablebody-"/>
              <w:keepNext/>
              <w:jc w:val="center"/>
              <w:rPr>
                <w:szCs w:val="20"/>
              </w:rPr>
            </w:pPr>
            <w:r w:rsidRPr="001455DC">
              <w:rPr>
                <w:szCs w:val="20"/>
              </w:rPr>
              <w:t>reduce class by 1</w:t>
            </w:r>
          </w:p>
        </w:tc>
        <w:tc>
          <w:tcPr>
            <w:tcW w:w="1021" w:type="dxa"/>
            <w:vAlign w:val="center"/>
          </w:tcPr>
          <w:p w14:paraId="101E790A" w14:textId="77777777" w:rsidR="004E22C1" w:rsidRPr="001455DC" w:rsidRDefault="004E22C1" w:rsidP="00593991">
            <w:pPr>
              <w:pStyle w:val="Tablebody-"/>
              <w:keepNext/>
              <w:jc w:val="center"/>
              <w:rPr>
                <w:szCs w:val="20"/>
              </w:rPr>
            </w:pPr>
            <w:r w:rsidRPr="001455DC">
              <w:rPr>
                <w:szCs w:val="20"/>
              </w:rPr>
              <w:t>reduce class by 1</w:t>
            </w:r>
          </w:p>
        </w:tc>
        <w:tc>
          <w:tcPr>
            <w:tcW w:w="1418" w:type="dxa"/>
            <w:vAlign w:val="center"/>
          </w:tcPr>
          <w:p w14:paraId="7AB9D892" w14:textId="3A20CCB9" w:rsidR="004E22C1" w:rsidRPr="001455DC" w:rsidRDefault="004E22C1" w:rsidP="00593991">
            <w:pPr>
              <w:pStyle w:val="Tablebody-"/>
              <w:keepNext/>
              <w:jc w:val="center"/>
              <w:rPr>
                <w:szCs w:val="20"/>
              </w:rPr>
            </w:pPr>
            <w:r w:rsidRPr="001455DC">
              <w:rPr>
                <w:szCs w:val="20"/>
              </w:rPr>
              <w:t>reduce</w:t>
            </w:r>
            <w:r w:rsidR="00A0760E" w:rsidRPr="001455DC">
              <w:rPr>
                <w:szCs w:val="20"/>
              </w:rPr>
              <w:t xml:space="preserve"> </w:t>
            </w:r>
            <w:r w:rsidRPr="001455DC">
              <w:rPr>
                <w:szCs w:val="20"/>
              </w:rPr>
              <w:t>class by</w:t>
            </w:r>
            <w:r w:rsidR="00A0760E" w:rsidRPr="001455DC">
              <w:rPr>
                <w:szCs w:val="20"/>
              </w:rPr>
              <w:t> </w:t>
            </w:r>
            <w:r w:rsidRPr="001455DC">
              <w:rPr>
                <w:szCs w:val="20"/>
              </w:rPr>
              <w:t>1</w:t>
            </w:r>
          </w:p>
        </w:tc>
      </w:tr>
      <w:tr w:rsidR="004E22C1" w:rsidRPr="001455DC" w14:paraId="77735214" w14:textId="77777777" w:rsidTr="00593991">
        <w:trPr>
          <w:cnfStyle w:val="010000000000" w:firstRow="0" w:lastRow="1" w:firstColumn="0" w:lastColumn="0" w:oddVBand="0" w:evenVBand="0" w:oddHBand="0" w:evenHBand="0" w:firstRowFirstColumn="0" w:firstRowLastColumn="0" w:lastRowFirstColumn="0" w:lastRowLastColumn="0"/>
          <w:cantSplit/>
        </w:trPr>
        <w:tc>
          <w:tcPr>
            <w:tcW w:w="9754" w:type="dxa"/>
            <w:gridSpan w:val="8"/>
          </w:tcPr>
          <w:p w14:paraId="5C73724E" w14:textId="2DC83155" w:rsidR="004E22C1" w:rsidRPr="009D3012" w:rsidRDefault="004E22C1" w:rsidP="00A0760E">
            <w:pPr>
              <w:pStyle w:val="Tablefooter"/>
              <w:rPr>
                <w:lang w:val="en-US"/>
              </w:rPr>
            </w:pPr>
            <w:r w:rsidRPr="009D3012">
              <w:rPr>
                <w:rStyle w:val="CCMCvariablesuperscript"/>
                <w:lang w:val="en-US"/>
              </w:rPr>
              <w:t>a</w:t>
            </w:r>
            <w:r w:rsidR="00A0760E" w:rsidRPr="009D3012">
              <w:rPr>
                <w:lang w:val="en-US"/>
              </w:rPr>
              <w:tab/>
            </w:r>
            <w:r w:rsidRPr="009D3012">
              <w:rPr>
                <w:lang w:val="en-US"/>
              </w:rPr>
              <w:t xml:space="preserve">The strength class and </w:t>
            </w:r>
            <w:r w:rsidRPr="009D3012">
              <w:rPr>
                <w:rStyle w:val="CCMCvariableitalic"/>
                <w:lang w:val="en-US"/>
              </w:rPr>
              <w:t>w</w:t>
            </w:r>
            <w:r w:rsidRPr="009D3012">
              <w:rPr>
                <w:lang w:val="en-US"/>
              </w:rPr>
              <w:t>/</w:t>
            </w:r>
            <w:r w:rsidRPr="009D3012">
              <w:rPr>
                <w:rStyle w:val="CCMCvariableitalic"/>
                <w:lang w:val="en-US"/>
              </w:rPr>
              <w:t>c</w:t>
            </w:r>
            <w:r w:rsidRPr="009D3012">
              <w:rPr>
                <w:lang w:val="en-US"/>
              </w:rPr>
              <w:t xml:space="preserve"> ratio are considered to be related values. A special composition (type of cement, </w:t>
            </w:r>
            <w:r w:rsidRPr="009D3012">
              <w:rPr>
                <w:rStyle w:val="CCMCvariableitalic"/>
                <w:lang w:val="en-US"/>
              </w:rPr>
              <w:t>w</w:t>
            </w:r>
            <w:r w:rsidRPr="009D3012">
              <w:rPr>
                <w:lang w:val="en-US"/>
              </w:rPr>
              <w:t>/</w:t>
            </w:r>
            <w:r w:rsidRPr="009D3012">
              <w:rPr>
                <w:rStyle w:val="CCMCvariableitalic"/>
                <w:lang w:val="en-US"/>
              </w:rPr>
              <w:t>c</w:t>
            </w:r>
            <w:r w:rsidRPr="009D3012">
              <w:rPr>
                <w:lang w:val="en-US"/>
              </w:rPr>
              <w:t xml:space="preserve"> value, fine fillers) with the intent to produce low permeability may be considered.</w:t>
            </w:r>
          </w:p>
          <w:p w14:paraId="53F4F54C" w14:textId="6A9F3AFB" w:rsidR="004E22C1" w:rsidRPr="009D3012" w:rsidRDefault="004E22C1" w:rsidP="00A0760E">
            <w:pPr>
              <w:pStyle w:val="Tablefooter"/>
              <w:rPr>
                <w:lang w:val="en-US"/>
              </w:rPr>
            </w:pPr>
            <w:r w:rsidRPr="009D3012">
              <w:rPr>
                <w:rStyle w:val="CCMCvariablesuperscript"/>
                <w:lang w:val="en-US"/>
              </w:rPr>
              <w:t>b</w:t>
            </w:r>
            <w:r w:rsidR="00A0760E" w:rsidRPr="009D3012">
              <w:rPr>
                <w:lang w:val="en-US"/>
              </w:rPr>
              <w:tab/>
            </w:r>
            <w:r w:rsidRPr="009D3012">
              <w:rPr>
                <w:lang w:val="en-US"/>
              </w:rPr>
              <w:t>The limit may be reduced by one strength class if air entrainment of more than 4 % is applied.</w:t>
            </w:r>
          </w:p>
        </w:tc>
      </w:tr>
    </w:tbl>
    <w:p w14:paraId="1E20B191" w14:textId="77777777" w:rsidR="004E22C1" w:rsidRPr="001455DC" w:rsidRDefault="004E22C1" w:rsidP="004C68F7">
      <w:pPr>
        <w:pStyle w:val="a7"/>
      </w:pPr>
    </w:p>
    <w:p w14:paraId="6748DB85" w14:textId="77777777" w:rsidR="004E22C1" w:rsidRPr="001455DC" w:rsidRDefault="004E22C1" w:rsidP="004C68F7">
      <w:pPr>
        <w:pStyle w:val="Tabletitle"/>
      </w:pPr>
      <w:bookmarkStart w:id="2540" w:name="_Toc54337900"/>
      <w:r w:rsidRPr="001455DC">
        <w:t xml:space="preserve">Table P.2(NDP) — Values of minimum cover </w:t>
      </w:r>
      <w:r w:rsidRPr="001455DC">
        <w:rPr>
          <w:rStyle w:val="CCMCvariableitalic"/>
        </w:rPr>
        <w:t>c</w:t>
      </w:r>
      <w:r w:rsidRPr="001455DC">
        <w:rPr>
          <w:rStyle w:val="CCMCvariablesubscript"/>
        </w:rPr>
        <w:t>min,dur</w:t>
      </w:r>
      <w:r w:rsidRPr="001455DC">
        <w:t xml:space="preserve"> [mm] for reinforcing steel according to EN 10080</w:t>
      </w:r>
      <w:bookmarkEnd w:id="2540"/>
    </w:p>
    <w:tbl>
      <w:tblPr>
        <w:tblStyle w:val="53"/>
        <w:tblW w:w="9752" w:type="dxa"/>
        <w:tblLook w:val="0620" w:firstRow="1" w:lastRow="0" w:firstColumn="0" w:lastColumn="0" w:noHBand="1" w:noVBand="1"/>
      </w:tblPr>
      <w:tblGrid>
        <w:gridCol w:w="1494"/>
        <w:gridCol w:w="856"/>
        <w:gridCol w:w="874"/>
        <w:gridCol w:w="1300"/>
        <w:gridCol w:w="1226"/>
        <w:gridCol w:w="1302"/>
        <w:gridCol w:w="1296"/>
        <w:gridCol w:w="1404"/>
      </w:tblGrid>
      <w:tr w:rsidR="004E22C1" w:rsidRPr="001455DC" w14:paraId="05D019D1" w14:textId="77777777" w:rsidTr="00A0760E">
        <w:trPr>
          <w:cnfStyle w:val="100000000000" w:firstRow="1" w:lastRow="0" w:firstColumn="0" w:lastColumn="0" w:oddVBand="0" w:evenVBand="0" w:oddHBand="0" w:evenHBand="0" w:firstRowFirstColumn="0" w:firstRowLastColumn="0" w:lastRowFirstColumn="0" w:lastRowLastColumn="0"/>
          <w:cantSplit/>
          <w:tblHeader/>
        </w:trPr>
        <w:tc>
          <w:tcPr>
            <w:tcW w:w="1544" w:type="dxa"/>
            <w:vMerge w:val="restart"/>
          </w:tcPr>
          <w:p w14:paraId="1C06FA44" w14:textId="4E488D9C" w:rsidR="004E22C1" w:rsidRPr="001455DC" w:rsidRDefault="004E22C1" w:rsidP="00593991">
            <w:pPr>
              <w:pStyle w:val="Tableheader"/>
              <w:keepNext/>
            </w:pPr>
            <w:r w:rsidRPr="001455DC">
              <w:t>Structural</w:t>
            </w:r>
            <w:r w:rsidR="00A0760E" w:rsidRPr="001455DC">
              <w:t xml:space="preserve"> </w:t>
            </w:r>
            <w:r w:rsidRPr="001455DC">
              <w:t>Class</w:t>
            </w:r>
          </w:p>
        </w:tc>
        <w:tc>
          <w:tcPr>
            <w:tcW w:w="8662" w:type="dxa"/>
            <w:gridSpan w:val="7"/>
          </w:tcPr>
          <w:p w14:paraId="52BBB308" w14:textId="77777777" w:rsidR="004E22C1" w:rsidRPr="009D3012" w:rsidRDefault="004E22C1" w:rsidP="00593991">
            <w:pPr>
              <w:pStyle w:val="Tableheader"/>
              <w:keepNext/>
              <w:rPr>
                <w:lang w:val="en-US"/>
              </w:rPr>
            </w:pPr>
            <w:r w:rsidRPr="009D3012">
              <w:rPr>
                <w:lang w:val="en-US"/>
              </w:rPr>
              <w:t>Exposure Class according to Table 6.1</w:t>
            </w:r>
          </w:p>
        </w:tc>
      </w:tr>
      <w:tr w:rsidR="004E22C1" w:rsidRPr="001455DC" w14:paraId="1BBE63A7" w14:textId="77777777" w:rsidTr="00A0760E">
        <w:trPr>
          <w:cnfStyle w:val="100000000000" w:firstRow="1" w:lastRow="0" w:firstColumn="0" w:lastColumn="0" w:oddVBand="0" w:evenVBand="0" w:oddHBand="0" w:evenHBand="0" w:firstRowFirstColumn="0" w:firstRowLastColumn="0" w:lastRowFirstColumn="0" w:lastRowLastColumn="0"/>
          <w:cantSplit/>
          <w:tblHeader/>
        </w:trPr>
        <w:tc>
          <w:tcPr>
            <w:tcW w:w="1544" w:type="dxa"/>
            <w:vMerge/>
          </w:tcPr>
          <w:p w14:paraId="1B7B2D96" w14:textId="77777777" w:rsidR="004E22C1" w:rsidRPr="009D3012" w:rsidRDefault="004E22C1" w:rsidP="00593991">
            <w:pPr>
              <w:pStyle w:val="Tableheader"/>
              <w:keepNext/>
              <w:rPr>
                <w:lang w:val="en-US"/>
              </w:rPr>
            </w:pPr>
          </w:p>
        </w:tc>
        <w:tc>
          <w:tcPr>
            <w:tcW w:w="927" w:type="dxa"/>
          </w:tcPr>
          <w:p w14:paraId="5F9091FB" w14:textId="77777777" w:rsidR="004E22C1" w:rsidRPr="001455DC" w:rsidRDefault="004E22C1" w:rsidP="00593991">
            <w:pPr>
              <w:pStyle w:val="Tableheader"/>
              <w:keepNext/>
            </w:pPr>
            <w:r w:rsidRPr="001455DC">
              <w:t>X0</w:t>
            </w:r>
          </w:p>
        </w:tc>
        <w:tc>
          <w:tcPr>
            <w:tcW w:w="927" w:type="dxa"/>
          </w:tcPr>
          <w:p w14:paraId="483D36C1" w14:textId="77777777" w:rsidR="004E22C1" w:rsidRPr="001455DC" w:rsidRDefault="004E22C1" w:rsidP="00593991">
            <w:pPr>
              <w:pStyle w:val="Tableheader"/>
              <w:keepNext/>
            </w:pPr>
            <w:r w:rsidRPr="001455DC">
              <w:t>XC1</w:t>
            </w:r>
          </w:p>
        </w:tc>
        <w:tc>
          <w:tcPr>
            <w:tcW w:w="1339" w:type="dxa"/>
          </w:tcPr>
          <w:p w14:paraId="6F6A6B84" w14:textId="77777777" w:rsidR="004E22C1" w:rsidRPr="001455DC" w:rsidRDefault="004E22C1" w:rsidP="00593991">
            <w:pPr>
              <w:pStyle w:val="Tableheader"/>
              <w:keepNext/>
            </w:pPr>
            <w:r w:rsidRPr="001455DC">
              <w:t>XC2/XC3</w:t>
            </w:r>
          </w:p>
        </w:tc>
        <w:tc>
          <w:tcPr>
            <w:tcW w:w="1339" w:type="dxa"/>
          </w:tcPr>
          <w:p w14:paraId="60ABAC40" w14:textId="77777777" w:rsidR="004E22C1" w:rsidRPr="001455DC" w:rsidRDefault="004E22C1" w:rsidP="00593991">
            <w:pPr>
              <w:pStyle w:val="Tableheader"/>
              <w:keepNext/>
            </w:pPr>
            <w:r w:rsidRPr="001455DC">
              <w:t>XC4</w:t>
            </w:r>
          </w:p>
        </w:tc>
        <w:tc>
          <w:tcPr>
            <w:tcW w:w="1339" w:type="dxa"/>
          </w:tcPr>
          <w:p w14:paraId="34FBF27C" w14:textId="77777777" w:rsidR="004E22C1" w:rsidRPr="001455DC" w:rsidRDefault="004E22C1" w:rsidP="00593991">
            <w:pPr>
              <w:pStyle w:val="Tableheader"/>
              <w:keepNext/>
            </w:pPr>
            <w:r w:rsidRPr="001455DC">
              <w:t>XD1/XS1</w:t>
            </w:r>
          </w:p>
        </w:tc>
        <w:tc>
          <w:tcPr>
            <w:tcW w:w="1332" w:type="dxa"/>
          </w:tcPr>
          <w:p w14:paraId="409253B7" w14:textId="77777777" w:rsidR="004E22C1" w:rsidRPr="001455DC" w:rsidRDefault="004E22C1" w:rsidP="00593991">
            <w:pPr>
              <w:pStyle w:val="Tableheader"/>
              <w:keepNext/>
            </w:pPr>
            <w:r w:rsidRPr="001455DC">
              <w:t>XD2/XS2</w:t>
            </w:r>
          </w:p>
        </w:tc>
        <w:tc>
          <w:tcPr>
            <w:tcW w:w="1459" w:type="dxa"/>
          </w:tcPr>
          <w:p w14:paraId="48A2770F" w14:textId="77777777" w:rsidR="004E22C1" w:rsidRPr="001455DC" w:rsidRDefault="004E22C1" w:rsidP="00593991">
            <w:pPr>
              <w:pStyle w:val="Tableheader"/>
              <w:keepNext/>
            </w:pPr>
            <w:r w:rsidRPr="001455DC">
              <w:t>XD3/XS3</w:t>
            </w:r>
          </w:p>
        </w:tc>
      </w:tr>
      <w:tr w:rsidR="004E22C1" w:rsidRPr="001455DC" w14:paraId="39F3AA94" w14:textId="77777777" w:rsidTr="00A0760E">
        <w:trPr>
          <w:cantSplit/>
        </w:trPr>
        <w:tc>
          <w:tcPr>
            <w:tcW w:w="1544" w:type="dxa"/>
            <w:vAlign w:val="center"/>
          </w:tcPr>
          <w:p w14:paraId="7201B20A" w14:textId="77777777" w:rsidR="004E22C1" w:rsidRPr="001455DC" w:rsidRDefault="004E22C1" w:rsidP="00593991">
            <w:pPr>
              <w:pStyle w:val="Tablebody"/>
              <w:keepNext/>
              <w:jc w:val="center"/>
              <w:rPr>
                <w:b/>
                <w:szCs w:val="22"/>
              </w:rPr>
            </w:pPr>
            <w:r w:rsidRPr="001455DC">
              <w:rPr>
                <w:b/>
                <w:szCs w:val="22"/>
              </w:rPr>
              <w:t>S1</w:t>
            </w:r>
          </w:p>
        </w:tc>
        <w:tc>
          <w:tcPr>
            <w:tcW w:w="927" w:type="dxa"/>
            <w:vAlign w:val="center"/>
          </w:tcPr>
          <w:p w14:paraId="46182890" w14:textId="77777777" w:rsidR="004E22C1" w:rsidRPr="001455DC" w:rsidRDefault="004E22C1" w:rsidP="00593991">
            <w:pPr>
              <w:pStyle w:val="Tablebody"/>
              <w:keepNext/>
              <w:jc w:val="center"/>
              <w:rPr>
                <w:szCs w:val="22"/>
              </w:rPr>
            </w:pPr>
            <w:r w:rsidRPr="001455DC">
              <w:rPr>
                <w:szCs w:val="22"/>
              </w:rPr>
              <w:t>10</w:t>
            </w:r>
          </w:p>
        </w:tc>
        <w:tc>
          <w:tcPr>
            <w:tcW w:w="927" w:type="dxa"/>
            <w:vAlign w:val="center"/>
          </w:tcPr>
          <w:p w14:paraId="27D8EAC4" w14:textId="77777777" w:rsidR="004E22C1" w:rsidRPr="001455DC" w:rsidRDefault="004E22C1" w:rsidP="00593991">
            <w:pPr>
              <w:pStyle w:val="Tablebody"/>
              <w:keepNext/>
              <w:jc w:val="center"/>
              <w:rPr>
                <w:szCs w:val="22"/>
              </w:rPr>
            </w:pPr>
            <w:r w:rsidRPr="001455DC">
              <w:rPr>
                <w:szCs w:val="22"/>
              </w:rPr>
              <w:t>10</w:t>
            </w:r>
          </w:p>
        </w:tc>
        <w:tc>
          <w:tcPr>
            <w:tcW w:w="1339" w:type="dxa"/>
            <w:vAlign w:val="center"/>
          </w:tcPr>
          <w:p w14:paraId="47B31B7F" w14:textId="77777777" w:rsidR="004E22C1" w:rsidRPr="001455DC" w:rsidRDefault="004E22C1" w:rsidP="00593991">
            <w:pPr>
              <w:pStyle w:val="Tablebody"/>
              <w:keepNext/>
              <w:jc w:val="center"/>
              <w:rPr>
                <w:szCs w:val="22"/>
              </w:rPr>
            </w:pPr>
            <w:r w:rsidRPr="001455DC">
              <w:rPr>
                <w:szCs w:val="22"/>
              </w:rPr>
              <w:t>10</w:t>
            </w:r>
          </w:p>
        </w:tc>
        <w:tc>
          <w:tcPr>
            <w:tcW w:w="1339" w:type="dxa"/>
            <w:vAlign w:val="center"/>
          </w:tcPr>
          <w:p w14:paraId="3D32BD1D" w14:textId="77777777" w:rsidR="004E22C1" w:rsidRPr="001455DC" w:rsidRDefault="004E22C1" w:rsidP="00593991">
            <w:pPr>
              <w:pStyle w:val="Tablebody"/>
              <w:keepNext/>
              <w:jc w:val="center"/>
              <w:rPr>
                <w:szCs w:val="22"/>
              </w:rPr>
            </w:pPr>
            <w:r w:rsidRPr="001455DC">
              <w:rPr>
                <w:szCs w:val="22"/>
              </w:rPr>
              <w:t>15</w:t>
            </w:r>
          </w:p>
        </w:tc>
        <w:tc>
          <w:tcPr>
            <w:tcW w:w="1339" w:type="dxa"/>
            <w:vAlign w:val="center"/>
          </w:tcPr>
          <w:p w14:paraId="5E8DE38A" w14:textId="77777777" w:rsidR="004E22C1" w:rsidRPr="001455DC" w:rsidRDefault="004E22C1" w:rsidP="00593991">
            <w:pPr>
              <w:pStyle w:val="Tablebody"/>
              <w:keepNext/>
              <w:jc w:val="center"/>
              <w:rPr>
                <w:szCs w:val="22"/>
              </w:rPr>
            </w:pPr>
            <w:r w:rsidRPr="001455DC">
              <w:rPr>
                <w:szCs w:val="22"/>
              </w:rPr>
              <w:t>20</w:t>
            </w:r>
          </w:p>
        </w:tc>
        <w:tc>
          <w:tcPr>
            <w:tcW w:w="1332" w:type="dxa"/>
            <w:vAlign w:val="center"/>
          </w:tcPr>
          <w:p w14:paraId="045F1574" w14:textId="77777777" w:rsidR="004E22C1" w:rsidRPr="001455DC" w:rsidRDefault="004E22C1" w:rsidP="00593991">
            <w:pPr>
              <w:pStyle w:val="Tablebody"/>
              <w:keepNext/>
              <w:jc w:val="center"/>
              <w:rPr>
                <w:szCs w:val="22"/>
              </w:rPr>
            </w:pPr>
            <w:r w:rsidRPr="001455DC">
              <w:rPr>
                <w:szCs w:val="22"/>
              </w:rPr>
              <w:t>25</w:t>
            </w:r>
          </w:p>
        </w:tc>
        <w:tc>
          <w:tcPr>
            <w:tcW w:w="1459" w:type="dxa"/>
            <w:vAlign w:val="center"/>
          </w:tcPr>
          <w:p w14:paraId="4EC6C155" w14:textId="77777777" w:rsidR="004E22C1" w:rsidRPr="001455DC" w:rsidRDefault="004E22C1" w:rsidP="00593991">
            <w:pPr>
              <w:pStyle w:val="Tablebody"/>
              <w:keepNext/>
              <w:jc w:val="center"/>
              <w:rPr>
                <w:szCs w:val="22"/>
              </w:rPr>
            </w:pPr>
            <w:r w:rsidRPr="001455DC">
              <w:rPr>
                <w:szCs w:val="22"/>
              </w:rPr>
              <w:t>30</w:t>
            </w:r>
          </w:p>
        </w:tc>
      </w:tr>
      <w:tr w:rsidR="004E22C1" w:rsidRPr="001455DC" w14:paraId="10FAE386" w14:textId="77777777" w:rsidTr="00A0760E">
        <w:trPr>
          <w:cantSplit/>
        </w:trPr>
        <w:tc>
          <w:tcPr>
            <w:tcW w:w="1544" w:type="dxa"/>
            <w:vAlign w:val="center"/>
          </w:tcPr>
          <w:p w14:paraId="53E3BB4B" w14:textId="77777777" w:rsidR="004E22C1" w:rsidRPr="001455DC" w:rsidRDefault="004E22C1" w:rsidP="00593991">
            <w:pPr>
              <w:pStyle w:val="Tablebody"/>
              <w:keepNext/>
              <w:jc w:val="center"/>
              <w:rPr>
                <w:b/>
                <w:szCs w:val="22"/>
              </w:rPr>
            </w:pPr>
            <w:r w:rsidRPr="001455DC">
              <w:rPr>
                <w:b/>
                <w:szCs w:val="22"/>
              </w:rPr>
              <w:t>S2</w:t>
            </w:r>
          </w:p>
        </w:tc>
        <w:tc>
          <w:tcPr>
            <w:tcW w:w="927" w:type="dxa"/>
            <w:vAlign w:val="center"/>
          </w:tcPr>
          <w:p w14:paraId="629509AE" w14:textId="77777777" w:rsidR="004E22C1" w:rsidRPr="001455DC" w:rsidRDefault="004E22C1" w:rsidP="00593991">
            <w:pPr>
              <w:pStyle w:val="Tablebody"/>
              <w:keepNext/>
              <w:jc w:val="center"/>
              <w:rPr>
                <w:szCs w:val="22"/>
              </w:rPr>
            </w:pPr>
            <w:r w:rsidRPr="001455DC">
              <w:rPr>
                <w:szCs w:val="22"/>
              </w:rPr>
              <w:t>10</w:t>
            </w:r>
          </w:p>
        </w:tc>
        <w:tc>
          <w:tcPr>
            <w:tcW w:w="927" w:type="dxa"/>
            <w:vAlign w:val="center"/>
          </w:tcPr>
          <w:p w14:paraId="0AA14576" w14:textId="77777777" w:rsidR="004E22C1" w:rsidRPr="001455DC" w:rsidRDefault="004E22C1" w:rsidP="00593991">
            <w:pPr>
              <w:pStyle w:val="Tablebody"/>
              <w:keepNext/>
              <w:jc w:val="center"/>
              <w:rPr>
                <w:szCs w:val="22"/>
              </w:rPr>
            </w:pPr>
            <w:r w:rsidRPr="001455DC">
              <w:rPr>
                <w:szCs w:val="22"/>
              </w:rPr>
              <w:t>10</w:t>
            </w:r>
          </w:p>
        </w:tc>
        <w:tc>
          <w:tcPr>
            <w:tcW w:w="1339" w:type="dxa"/>
            <w:vAlign w:val="center"/>
          </w:tcPr>
          <w:p w14:paraId="67F26CE6" w14:textId="77777777" w:rsidR="004E22C1" w:rsidRPr="001455DC" w:rsidRDefault="004E22C1" w:rsidP="00593991">
            <w:pPr>
              <w:pStyle w:val="Tablebody"/>
              <w:keepNext/>
              <w:jc w:val="center"/>
              <w:rPr>
                <w:szCs w:val="22"/>
              </w:rPr>
            </w:pPr>
            <w:r w:rsidRPr="001455DC">
              <w:rPr>
                <w:szCs w:val="22"/>
              </w:rPr>
              <w:t>15</w:t>
            </w:r>
          </w:p>
        </w:tc>
        <w:tc>
          <w:tcPr>
            <w:tcW w:w="1339" w:type="dxa"/>
            <w:vAlign w:val="center"/>
          </w:tcPr>
          <w:p w14:paraId="5A4893C3" w14:textId="77777777" w:rsidR="004E22C1" w:rsidRPr="001455DC" w:rsidRDefault="004E22C1" w:rsidP="00593991">
            <w:pPr>
              <w:pStyle w:val="Tablebody"/>
              <w:keepNext/>
              <w:jc w:val="center"/>
              <w:rPr>
                <w:szCs w:val="22"/>
              </w:rPr>
            </w:pPr>
            <w:r w:rsidRPr="001455DC">
              <w:rPr>
                <w:szCs w:val="22"/>
              </w:rPr>
              <w:t>20</w:t>
            </w:r>
          </w:p>
        </w:tc>
        <w:tc>
          <w:tcPr>
            <w:tcW w:w="1339" w:type="dxa"/>
            <w:vAlign w:val="center"/>
          </w:tcPr>
          <w:p w14:paraId="2D59825F" w14:textId="77777777" w:rsidR="004E22C1" w:rsidRPr="001455DC" w:rsidRDefault="004E22C1" w:rsidP="00593991">
            <w:pPr>
              <w:pStyle w:val="Tablebody"/>
              <w:keepNext/>
              <w:jc w:val="center"/>
              <w:rPr>
                <w:szCs w:val="22"/>
              </w:rPr>
            </w:pPr>
            <w:r w:rsidRPr="001455DC">
              <w:rPr>
                <w:szCs w:val="22"/>
              </w:rPr>
              <w:t>25</w:t>
            </w:r>
          </w:p>
        </w:tc>
        <w:tc>
          <w:tcPr>
            <w:tcW w:w="1332" w:type="dxa"/>
            <w:vAlign w:val="center"/>
          </w:tcPr>
          <w:p w14:paraId="5DEB4AE1" w14:textId="77777777" w:rsidR="004E22C1" w:rsidRPr="001455DC" w:rsidRDefault="004E22C1" w:rsidP="00593991">
            <w:pPr>
              <w:pStyle w:val="Tablebody"/>
              <w:keepNext/>
              <w:jc w:val="center"/>
              <w:rPr>
                <w:szCs w:val="22"/>
              </w:rPr>
            </w:pPr>
            <w:r w:rsidRPr="001455DC">
              <w:rPr>
                <w:szCs w:val="22"/>
              </w:rPr>
              <w:t>30</w:t>
            </w:r>
          </w:p>
        </w:tc>
        <w:tc>
          <w:tcPr>
            <w:tcW w:w="1459" w:type="dxa"/>
            <w:vAlign w:val="center"/>
          </w:tcPr>
          <w:p w14:paraId="26A487CF" w14:textId="77777777" w:rsidR="004E22C1" w:rsidRPr="001455DC" w:rsidRDefault="004E22C1" w:rsidP="00593991">
            <w:pPr>
              <w:pStyle w:val="Tablebody"/>
              <w:keepNext/>
              <w:jc w:val="center"/>
              <w:rPr>
                <w:szCs w:val="22"/>
              </w:rPr>
            </w:pPr>
            <w:r w:rsidRPr="001455DC">
              <w:rPr>
                <w:szCs w:val="22"/>
              </w:rPr>
              <w:t>35</w:t>
            </w:r>
          </w:p>
        </w:tc>
      </w:tr>
      <w:tr w:rsidR="004E22C1" w:rsidRPr="001455DC" w14:paraId="13D6EE12" w14:textId="77777777" w:rsidTr="00A0760E">
        <w:trPr>
          <w:cantSplit/>
        </w:trPr>
        <w:tc>
          <w:tcPr>
            <w:tcW w:w="1544" w:type="dxa"/>
            <w:vAlign w:val="center"/>
          </w:tcPr>
          <w:p w14:paraId="03F73E8F" w14:textId="77777777" w:rsidR="004E22C1" w:rsidRPr="001455DC" w:rsidRDefault="004E22C1" w:rsidP="00593991">
            <w:pPr>
              <w:pStyle w:val="Tablebody"/>
              <w:keepNext/>
              <w:jc w:val="center"/>
              <w:rPr>
                <w:b/>
                <w:szCs w:val="22"/>
              </w:rPr>
            </w:pPr>
            <w:r w:rsidRPr="001455DC">
              <w:rPr>
                <w:b/>
                <w:szCs w:val="22"/>
              </w:rPr>
              <w:t>S3</w:t>
            </w:r>
          </w:p>
        </w:tc>
        <w:tc>
          <w:tcPr>
            <w:tcW w:w="927" w:type="dxa"/>
            <w:vAlign w:val="center"/>
          </w:tcPr>
          <w:p w14:paraId="3F27B43D" w14:textId="77777777" w:rsidR="004E22C1" w:rsidRPr="001455DC" w:rsidRDefault="004E22C1" w:rsidP="00593991">
            <w:pPr>
              <w:pStyle w:val="Tablebody"/>
              <w:keepNext/>
              <w:jc w:val="center"/>
              <w:rPr>
                <w:szCs w:val="22"/>
              </w:rPr>
            </w:pPr>
            <w:r w:rsidRPr="001455DC">
              <w:rPr>
                <w:szCs w:val="22"/>
              </w:rPr>
              <w:t>10</w:t>
            </w:r>
          </w:p>
        </w:tc>
        <w:tc>
          <w:tcPr>
            <w:tcW w:w="927" w:type="dxa"/>
            <w:vAlign w:val="center"/>
          </w:tcPr>
          <w:p w14:paraId="713A5C27" w14:textId="77777777" w:rsidR="004E22C1" w:rsidRPr="001455DC" w:rsidRDefault="004E22C1" w:rsidP="00593991">
            <w:pPr>
              <w:pStyle w:val="Tablebody"/>
              <w:keepNext/>
              <w:jc w:val="center"/>
              <w:rPr>
                <w:szCs w:val="22"/>
              </w:rPr>
            </w:pPr>
            <w:r w:rsidRPr="001455DC">
              <w:rPr>
                <w:szCs w:val="22"/>
              </w:rPr>
              <w:t>10</w:t>
            </w:r>
          </w:p>
        </w:tc>
        <w:tc>
          <w:tcPr>
            <w:tcW w:w="1339" w:type="dxa"/>
            <w:vAlign w:val="center"/>
          </w:tcPr>
          <w:p w14:paraId="66EE35C2" w14:textId="77777777" w:rsidR="004E22C1" w:rsidRPr="001455DC" w:rsidRDefault="004E22C1" w:rsidP="00593991">
            <w:pPr>
              <w:pStyle w:val="Tablebody"/>
              <w:keepNext/>
              <w:jc w:val="center"/>
              <w:rPr>
                <w:szCs w:val="22"/>
              </w:rPr>
            </w:pPr>
            <w:r w:rsidRPr="001455DC">
              <w:rPr>
                <w:szCs w:val="22"/>
              </w:rPr>
              <w:t>20</w:t>
            </w:r>
          </w:p>
        </w:tc>
        <w:tc>
          <w:tcPr>
            <w:tcW w:w="1339" w:type="dxa"/>
            <w:vAlign w:val="center"/>
          </w:tcPr>
          <w:p w14:paraId="5B913B67" w14:textId="77777777" w:rsidR="004E22C1" w:rsidRPr="001455DC" w:rsidRDefault="004E22C1" w:rsidP="00593991">
            <w:pPr>
              <w:pStyle w:val="Tablebody"/>
              <w:keepNext/>
              <w:jc w:val="center"/>
              <w:rPr>
                <w:szCs w:val="22"/>
              </w:rPr>
            </w:pPr>
            <w:r w:rsidRPr="001455DC">
              <w:rPr>
                <w:szCs w:val="22"/>
              </w:rPr>
              <w:t>25</w:t>
            </w:r>
          </w:p>
        </w:tc>
        <w:tc>
          <w:tcPr>
            <w:tcW w:w="1339" w:type="dxa"/>
            <w:vAlign w:val="center"/>
          </w:tcPr>
          <w:p w14:paraId="6DA0B5C8" w14:textId="77777777" w:rsidR="004E22C1" w:rsidRPr="001455DC" w:rsidRDefault="004E22C1" w:rsidP="00593991">
            <w:pPr>
              <w:pStyle w:val="Tablebody"/>
              <w:keepNext/>
              <w:jc w:val="center"/>
              <w:rPr>
                <w:szCs w:val="22"/>
              </w:rPr>
            </w:pPr>
            <w:r w:rsidRPr="001455DC">
              <w:rPr>
                <w:szCs w:val="22"/>
              </w:rPr>
              <w:t>30</w:t>
            </w:r>
          </w:p>
        </w:tc>
        <w:tc>
          <w:tcPr>
            <w:tcW w:w="1332" w:type="dxa"/>
            <w:vAlign w:val="center"/>
          </w:tcPr>
          <w:p w14:paraId="496AB1EA" w14:textId="77777777" w:rsidR="004E22C1" w:rsidRPr="001455DC" w:rsidRDefault="004E22C1" w:rsidP="00593991">
            <w:pPr>
              <w:pStyle w:val="Tablebody"/>
              <w:keepNext/>
              <w:jc w:val="center"/>
              <w:rPr>
                <w:szCs w:val="22"/>
              </w:rPr>
            </w:pPr>
            <w:r w:rsidRPr="001455DC">
              <w:rPr>
                <w:szCs w:val="22"/>
              </w:rPr>
              <w:t>35</w:t>
            </w:r>
          </w:p>
        </w:tc>
        <w:tc>
          <w:tcPr>
            <w:tcW w:w="1459" w:type="dxa"/>
            <w:vAlign w:val="center"/>
          </w:tcPr>
          <w:p w14:paraId="1D384C61" w14:textId="77777777" w:rsidR="004E22C1" w:rsidRPr="001455DC" w:rsidRDefault="004E22C1" w:rsidP="00593991">
            <w:pPr>
              <w:pStyle w:val="Tablebody"/>
              <w:keepNext/>
              <w:jc w:val="center"/>
              <w:rPr>
                <w:szCs w:val="22"/>
              </w:rPr>
            </w:pPr>
            <w:r w:rsidRPr="001455DC">
              <w:rPr>
                <w:szCs w:val="22"/>
              </w:rPr>
              <w:t>40</w:t>
            </w:r>
          </w:p>
        </w:tc>
      </w:tr>
      <w:tr w:rsidR="004E22C1" w:rsidRPr="001455DC" w14:paraId="72827186" w14:textId="77777777" w:rsidTr="00A0760E">
        <w:trPr>
          <w:cantSplit/>
        </w:trPr>
        <w:tc>
          <w:tcPr>
            <w:tcW w:w="1544" w:type="dxa"/>
            <w:vAlign w:val="center"/>
          </w:tcPr>
          <w:p w14:paraId="3777F14C" w14:textId="77777777" w:rsidR="004E22C1" w:rsidRPr="001455DC" w:rsidRDefault="004E22C1" w:rsidP="00593991">
            <w:pPr>
              <w:pStyle w:val="Tablebody"/>
              <w:keepNext/>
              <w:jc w:val="center"/>
              <w:rPr>
                <w:b/>
                <w:szCs w:val="22"/>
              </w:rPr>
            </w:pPr>
            <w:r w:rsidRPr="001455DC">
              <w:rPr>
                <w:b/>
                <w:szCs w:val="22"/>
              </w:rPr>
              <w:t>S4</w:t>
            </w:r>
          </w:p>
        </w:tc>
        <w:tc>
          <w:tcPr>
            <w:tcW w:w="927" w:type="dxa"/>
            <w:vAlign w:val="center"/>
          </w:tcPr>
          <w:p w14:paraId="0F70B266" w14:textId="77777777" w:rsidR="004E22C1" w:rsidRPr="001455DC" w:rsidRDefault="004E22C1" w:rsidP="00593991">
            <w:pPr>
              <w:pStyle w:val="Tablebody"/>
              <w:keepNext/>
              <w:jc w:val="center"/>
              <w:rPr>
                <w:szCs w:val="22"/>
              </w:rPr>
            </w:pPr>
            <w:r w:rsidRPr="001455DC">
              <w:rPr>
                <w:szCs w:val="22"/>
              </w:rPr>
              <w:t>10</w:t>
            </w:r>
          </w:p>
        </w:tc>
        <w:tc>
          <w:tcPr>
            <w:tcW w:w="927" w:type="dxa"/>
            <w:vAlign w:val="center"/>
          </w:tcPr>
          <w:p w14:paraId="7178B8F6" w14:textId="77777777" w:rsidR="004E22C1" w:rsidRPr="001455DC" w:rsidRDefault="004E22C1" w:rsidP="00593991">
            <w:pPr>
              <w:pStyle w:val="Tablebody"/>
              <w:keepNext/>
              <w:jc w:val="center"/>
              <w:rPr>
                <w:szCs w:val="22"/>
              </w:rPr>
            </w:pPr>
            <w:r w:rsidRPr="001455DC">
              <w:rPr>
                <w:szCs w:val="22"/>
              </w:rPr>
              <w:t>15</w:t>
            </w:r>
          </w:p>
        </w:tc>
        <w:tc>
          <w:tcPr>
            <w:tcW w:w="1339" w:type="dxa"/>
            <w:vAlign w:val="center"/>
          </w:tcPr>
          <w:p w14:paraId="3F5CA144" w14:textId="77777777" w:rsidR="004E22C1" w:rsidRPr="001455DC" w:rsidRDefault="004E22C1" w:rsidP="00593991">
            <w:pPr>
              <w:pStyle w:val="Tablebody"/>
              <w:keepNext/>
              <w:jc w:val="center"/>
              <w:rPr>
                <w:szCs w:val="22"/>
              </w:rPr>
            </w:pPr>
            <w:r w:rsidRPr="001455DC">
              <w:rPr>
                <w:szCs w:val="22"/>
              </w:rPr>
              <w:t>25</w:t>
            </w:r>
          </w:p>
        </w:tc>
        <w:tc>
          <w:tcPr>
            <w:tcW w:w="1339" w:type="dxa"/>
            <w:vAlign w:val="center"/>
          </w:tcPr>
          <w:p w14:paraId="5FA376C2" w14:textId="77777777" w:rsidR="004E22C1" w:rsidRPr="001455DC" w:rsidRDefault="004E22C1" w:rsidP="00593991">
            <w:pPr>
              <w:pStyle w:val="Tablebody"/>
              <w:keepNext/>
              <w:jc w:val="center"/>
              <w:rPr>
                <w:szCs w:val="22"/>
              </w:rPr>
            </w:pPr>
            <w:r w:rsidRPr="001455DC">
              <w:rPr>
                <w:szCs w:val="22"/>
              </w:rPr>
              <w:t>30</w:t>
            </w:r>
          </w:p>
        </w:tc>
        <w:tc>
          <w:tcPr>
            <w:tcW w:w="1339" w:type="dxa"/>
            <w:vAlign w:val="center"/>
          </w:tcPr>
          <w:p w14:paraId="1D0FCE24" w14:textId="77777777" w:rsidR="004E22C1" w:rsidRPr="001455DC" w:rsidRDefault="004E22C1" w:rsidP="00593991">
            <w:pPr>
              <w:pStyle w:val="Tablebody"/>
              <w:keepNext/>
              <w:jc w:val="center"/>
              <w:rPr>
                <w:szCs w:val="22"/>
              </w:rPr>
            </w:pPr>
            <w:r w:rsidRPr="001455DC">
              <w:rPr>
                <w:szCs w:val="22"/>
              </w:rPr>
              <w:t>35</w:t>
            </w:r>
          </w:p>
        </w:tc>
        <w:tc>
          <w:tcPr>
            <w:tcW w:w="1332" w:type="dxa"/>
            <w:vAlign w:val="center"/>
          </w:tcPr>
          <w:p w14:paraId="0263F082" w14:textId="77777777" w:rsidR="004E22C1" w:rsidRPr="001455DC" w:rsidRDefault="004E22C1" w:rsidP="00593991">
            <w:pPr>
              <w:pStyle w:val="Tablebody"/>
              <w:keepNext/>
              <w:jc w:val="center"/>
              <w:rPr>
                <w:szCs w:val="22"/>
              </w:rPr>
            </w:pPr>
            <w:r w:rsidRPr="001455DC">
              <w:rPr>
                <w:szCs w:val="22"/>
              </w:rPr>
              <w:t>40</w:t>
            </w:r>
          </w:p>
        </w:tc>
        <w:tc>
          <w:tcPr>
            <w:tcW w:w="1459" w:type="dxa"/>
            <w:vAlign w:val="center"/>
          </w:tcPr>
          <w:p w14:paraId="4F0E4BE5" w14:textId="77777777" w:rsidR="004E22C1" w:rsidRPr="001455DC" w:rsidRDefault="004E22C1" w:rsidP="00593991">
            <w:pPr>
              <w:pStyle w:val="Tablebody"/>
              <w:keepNext/>
              <w:jc w:val="center"/>
              <w:rPr>
                <w:szCs w:val="22"/>
              </w:rPr>
            </w:pPr>
            <w:r w:rsidRPr="001455DC">
              <w:rPr>
                <w:szCs w:val="22"/>
              </w:rPr>
              <w:t>45</w:t>
            </w:r>
          </w:p>
        </w:tc>
      </w:tr>
      <w:tr w:rsidR="004E22C1" w:rsidRPr="001455DC" w14:paraId="55B264DF" w14:textId="77777777" w:rsidTr="00A0760E">
        <w:trPr>
          <w:cantSplit/>
        </w:trPr>
        <w:tc>
          <w:tcPr>
            <w:tcW w:w="1544" w:type="dxa"/>
            <w:vAlign w:val="center"/>
          </w:tcPr>
          <w:p w14:paraId="114A10A7" w14:textId="77777777" w:rsidR="004E22C1" w:rsidRPr="001455DC" w:rsidRDefault="004E22C1" w:rsidP="00593991">
            <w:pPr>
              <w:pStyle w:val="Tablebody"/>
              <w:keepNext/>
              <w:jc w:val="center"/>
              <w:rPr>
                <w:b/>
                <w:szCs w:val="22"/>
              </w:rPr>
            </w:pPr>
            <w:r w:rsidRPr="001455DC">
              <w:rPr>
                <w:b/>
                <w:szCs w:val="22"/>
              </w:rPr>
              <w:t>S5</w:t>
            </w:r>
          </w:p>
        </w:tc>
        <w:tc>
          <w:tcPr>
            <w:tcW w:w="927" w:type="dxa"/>
            <w:vAlign w:val="center"/>
          </w:tcPr>
          <w:p w14:paraId="616D8A97" w14:textId="77777777" w:rsidR="004E22C1" w:rsidRPr="001455DC" w:rsidRDefault="004E22C1" w:rsidP="00593991">
            <w:pPr>
              <w:pStyle w:val="Tablebody"/>
              <w:keepNext/>
              <w:jc w:val="center"/>
              <w:rPr>
                <w:szCs w:val="22"/>
              </w:rPr>
            </w:pPr>
            <w:r w:rsidRPr="001455DC">
              <w:rPr>
                <w:szCs w:val="22"/>
              </w:rPr>
              <w:t>15</w:t>
            </w:r>
          </w:p>
        </w:tc>
        <w:tc>
          <w:tcPr>
            <w:tcW w:w="927" w:type="dxa"/>
            <w:vAlign w:val="center"/>
          </w:tcPr>
          <w:p w14:paraId="426ABE56" w14:textId="77777777" w:rsidR="004E22C1" w:rsidRPr="001455DC" w:rsidRDefault="004E22C1" w:rsidP="00593991">
            <w:pPr>
              <w:pStyle w:val="Tablebody"/>
              <w:keepNext/>
              <w:jc w:val="center"/>
              <w:rPr>
                <w:szCs w:val="22"/>
              </w:rPr>
            </w:pPr>
            <w:r w:rsidRPr="001455DC">
              <w:rPr>
                <w:szCs w:val="22"/>
              </w:rPr>
              <w:t>20</w:t>
            </w:r>
          </w:p>
        </w:tc>
        <w:tc>
          <w:tcPr>
            <w:tcW w:w="1339" w:type="dxa"/>
            <w:vAlign w:val="center"/>
          </w:tcPr>
          <w:p w14:paraId="1414D046" w14:textId="77777777" w:rsidR="004E22C1" w:rsidRPr="001455DC" w:rsidRDefault="004E22C1" w:rsidP="00593991">
            <w:pPr>
              <w:pStyle w:val="Tablebody"/>
              <w:keepNext/>
              <w:jc w:val="center"/>
              <w:rPr>
                <w:szCs w:val="22"/>
              </w:rPr>
            </w:pPr>
            <w:r w:rsidRPr="001455DC">
              <w:rPr>
                <w:szCs w:val="22"/>
              </w:rPr>
              <w:t>30</w:t>
            </w:r>
          </w:p>
        </w:tc>
        <w:tc>
          <w:tcPr>
            <w:tcW w:w="1339" w:type="dxa"/>
            <w:vAlign w:val="center"/>
          </w:tcPr>
          <w:p w14:paraId="7D86B789" w14:textId="77777777" w:rsidR="004E22C1" w:rsidRPr="001455DC" w:rsidRDefault="004E22C1" w:rsidP="00593991">
            <w:pPr>
              <w:pStyle w:val="Tablebody"/>
              <w:keepNext/>
              <w:jc w:val="center"/>
              <w:rPr>
                <w:szCs w:val="22"/>
              </w:rPr>
            </w:pPr>
            <w:r w:rsidRPr="001455DC">
              <w:rPr>
                <w:szCs w:val="22"/>
              </w:rPr>
              <w:t>35</w:t>
            </w:r>
          </w:p>
        </w:tc>
        <w:tc>
          <w:tcPr>
            <w:tcW w:w="1339" w:type="dxa"/>
            <w:vAlign w:val="center"/>
          </w:tcPr>
          <w:p w14:paraId="343C061F" w14:textId="77777777" w:rsidR="004E22C1" w:rsidRPr="001455DC" w:rsidRDefault="004E22C1" w:rsidP="00593991">
            <w:pPr>
              <w:pStyle w:val="Tablebody"/>
              <w:keepNext/>
              <w:jc w:val="center"/>
              <w:rPr>
                <w:szCs w:val="22"/>
              </w:rPr>
            </w:pPr>
            <w:r w:rsidRPr="001455DC">
              <w:rPr>
                <w:szCs w:val="22"/>
              </w:rPr>
              <w:t>40</w:t>
            </w:r>
          </w:p>
        </w:tc>
        <w:tc>
          <w:tcPr>
            <w:tcW w:w="1332" w:type="dxa"/>
            <w:vAlign w:val="center"/>
          </w:tcPr>
          <w:p w14:paraId="7DC396C5" w14:textId="77777777" w:rsidR="004E22C1" w:rsidRPr="001455DC" w:rsidRDefault="004E22C1" w:rsidP="00593991">
            <w:pPr>
              <w:pStyle w:val="Tablebody"/>
              <w:keepNext/>
              <w:jc w:val="center"/>
              <w:rPr>
                <w:szCs w:val="22"/>
              </w:rPr>
            </w:pPr>
            <w:r w:rsidRPr="001455DC">
              <w:rPr>
                <w:szCs w:val="22"/>
              </w:rPr>
              <w:t>45</w:t>
            </w:r>
          </w:p>
        </w:tc>
        <w:tc>
          <w:tcPr>
            <w:tcW w:w="1459" w:type="dxa"/>
            <w:vAlign w:val="center"/>
          </w:tcPr>
          <w:p w14:paraId="537BF6A8" w14:textId="77777777" w:rsidR="004E22C1" w:rsidRPr="001455DC" w:rsidRDefault="004E22C1" w:rsidP="00593991">
            <w:pPr>
              <w:pStyle w:val="Tablebody"/>
              <w:keepNext/>
              <w:jc w:val="center"/>
              <w:rPr>
                <w:szCs w:val="22"/>
              </w:rPr>
            </w:pPr>
            <w:r w:rsidRPr="001455DC">
              <w:rPr>
                <w:szCs w:val="22"/>
              </w:rPr>
              <w:t>50</w:t>
            </w:r>
          </w:p>
        </w:tc>
      </w:tr>
      <w:tr w:rsidR="004E22C1" w:rsidRPr="001455DC" w14:paraId="1C93D4EF" w14:textId="77777777" w:rsidTr="00A0760E">
        <w:trPr>
          <w:cantSplit/>
        </w:trPr>
        <w:tc>
          <w:tcPr>
            <w:tcW w:w="1544" w:type="dxa"/>
            <w:vAlign w:val="center"/>
          </w:tcPr>
          <w:p w14:paraId="37D490AF" w14:textId="77777777" w:rsidR="004E22C1" w:rsidRPr="001455DC" w:rsidRDefault="004E22C1" w:rsidP="00A0760E">
            <w:pPr>
              <w:pStyle w:val="Tablebody"/>
              <w:jc w:val="center"/>
              <w:rPr>
                <w:b/>
                <w:szCs w:val="22"/>
              </w:rPr>
            </w:pPr>
            <w:r w:rsidRPr="001455DC">
              <w:rPr>
                <w:b/>
                <w:szCs w:val="22"/>
              </w:rPr>
              <w:t>S6</w:t>
            </w:r>
          </w:p>
        </w:tc>
        <w:tc>
          <w:tcPr>
            <w:tcW w:w="927" w:type="dxa"/>
            <w:vAlign w:val="center"/>
          </w:tcPr>
          <w:p w14:paraId="70BF62F6" w14:textId="77777777" w:rsidR="004E22C1" w:rsidRPr="001455DC" w:rsidRDefault="004E22C1" w:rsidP="00A0760E">
            <w:pPr>
              <w:pStyle w:val="Tablebody"/>
              <w:jc w:val="center"/>
              <w:rPr>
                <w:szCs w:val="22"/>
              </w:rPr>
            </w:pPr>
            <w:r w:rsidRPr="001455DC">
              <w:rPr>
                <w:szCs w:val="22"/>
              </w:rPr>
              <w:t>20</w:t>
            </w:r>
          </w:p>
        </w:tc>
        <w:tc>
          <w:tcPr>
            <w:tcW w:w="927" w:type="dxa"/>
            <w:vAlign w:val="center"/>
          </w:tcPr>
          <w:p w14:paraId="79446BF4" w14:textId="77777777" w:rsidR="004E22C1" w:rsidRPr="001455DC" w:rsidRDefault="004E22C1" w:rsidP="00A0760E">
            <w:pPr>
              <w:pStyle w:val="Tablebody"/>
              <w:jc w:val="center"/>
              <w:rPr>
                <w:szCs w:val="22"/>
              </w:rPr>
            </w:pPr>
            <w:r w:rsidRPr="001455DC">
              <w:rPr>
                <w:szCs w:val="22"/>
              </w:rPr>
              <w:t>25</w:t>
            </w:r>
          </w:p>
        </w:tc>
        <w:tc>
          <w:tcPr>
            <w:tcW w:w="1339" w:type="dxa"/>
            <w:vAlign w:val="center"/>
          </w:tcPr>
          <w:p w14:paraId="50EE61C1" w14:textId="77777777" w:rsidR="004E22C1" w:rsidRPr="001455DC" w:rsidRDefault="004E22C1" w:rsidP="00A0760E">
            <w:pPr>
              <w:pStyle w:val="Tablebody"/>
              <w:jc w:val="center"/>
              <w:rPr>
                <w:szCs w:val="22"/>
              </w:rPr>
            </w:pPr>
            <w:r w:rsidRPr="001455DC">
              <w:rPr>
                <w:szCs w:val="22"/>
              </w:rPr>
              <w:t>35</w:t>
            </w:r>
          </w:p>
        </w:tc>
        <w:tc>
          <w:tcPr>
            <w:tcW w:w="1339" w:type="dxa"/>
            <w:vAlign w:val="center"/>
          </w:tcPr>
          <w:p w14:paraId="64291B87" w14:textId="77777777" w:rsidR="004E22C1" w:rsidRPr="001455DC" w:rsidRDefault="004E22C1" w:rsidP="00A0760E">
            <w:pPr>
              <w:pStyle w:val="Tablebody"/>
              <w:jc w:val="center"/>
              <w:rPr>
                <w:szCs w:val="22"/>
              </w:rPr>
            </w:pPr>
            <w:r w:rsidRPr="001455DC">
              <w:rPr>
                <w:szCs w:val="22"/>
              </w:rPr>
              <w:t>40</w:t>
            </w:r>
          </w:p>
        </w:tc>
        <w:tc>
          <w:tcPr>
            <w:tcW w:w="1339" w:type="dxa"/>
            <w:vAlign w:val="center"/>
          </w:tcPr>
          <w:p w14:paraId="1811F1E5" w14:textId="77777777" w:rsidR="004E22C1" w:rsidRPr="001455DC" w:rsidRDefault="004E22C1" w:rsidP="00A0760E">
            <w:pPr>
              <w:pStyle w:val="Tablebody"/>
              <w:jc w:val="center"/>
              <w:rPr>
                <w:szCs w:val="22"/>
              </w:rPr>
            </w:pPr>
            <w:r w:rsidRPr="001455DC">
              <w:rPr>
                <w:szCs w:val="22"/>
              </w:rPr>
              <w:t>45</w:t>
            </w:r>
          </w:p>
        </w:tc>
        <w:tc>
          <w:tcPr>
            <w:tcW w:w="1332" w:type="dxa"/>
            <w:vAlign w:val="center"/>
          </w:tcPr>
          <w:p w14:paraId="0379AE98" w14:textId="77777777" w:rsidR="004E22C1" w:rsidRPr="001455DC" w:rsidRDefault="004E22C1" w:rsidP="00A0760E">
            <w:pPr>
              <w:pStyle w:val="Tablebody"/>
              <w:jc w:val="center"/>
              <w:rPr>
                <w:szCs w:val="22"/>
              </w:rPr>
            </w:pPr>
            <w:r w:rsidRPr="001455DC">
              <w:rPr>
                <w:szCs w:val="22"/>
              </w:rPr>
              <w:t>50</w:t>
            </w:r>
          </w:p>
        </w:tc>
        <w:tc>
          <w:tcPr>
            <w:tcW w:w="1459" w:type="dxa"/>
            <w:vAlign w:val="center"/>
          </w:tcPr>
          <w:p w14:paraId="6E2BACDF" w14:textId="77777777" w:rsidR="004E22C1" w:rsidRPr="001455DC" w:rsidRDefault="004E22C1" w:rsidP="00A0760E">
            <w:pPr>
              <w:pStyle w:val="Tablebody"/>
              <w:jc w:val="center"/>
              <w:rPr>
                <w:szCs w:val="22"/>
              </w:rPr>
            </w:pPr>
            <w:r w:rsidRPr="001455DC">
              <w:rPr>
                <w:szCs w:val="22"/>
              </w:rPr>
              <w:t>55</w:t>
            </w:r>
          </w:p>
        </w:tc>
      </w:tr>
    </w:tbl>
    <w:p w14:paraId="6E5C9A48" w14:textId="77777777" w:rsidR="004E22C1" w:rsidRPr="001455DC" w:rsidRDefault="004E22C1" w:rsidP="004C68F7">
      <w:pPr>
        <w:pStyle w:val="a7"/>
      </w:pPr>
    </w:p>
    <w:p w14:paraId="7197A49B" w14:textId="1AA832FF" w:rsidR="004E22C1" w:rsidRPr="001455DC" w:rsidRDefault="004E22C1" w:rsidP="004C68F7">
      <w:pPr>
        <w:pStyle w:val="Tabletitle"/>
      </w:pPr>
      <w:bookmarkStart w:id="2541" w:name="_Toc54337901"/>
      <w:r w:rsidRPr="001455DC">
        <w:t xml:space="preserve">Table P.3(NDP) — Values of minimum cover </w:t>
      </w:r>
      <w:r w:rsidRPr="001455DC">
        <w:rPr>
          <w:rStyle w:val="CCMCvariableitalic"/>
        </w:rPr>
        <w:t>c</w:t>
      </w:r>
      <w:r w:rsidRPr="001455DC">
        <w:rPr>
          <w:rStyle w:val="CCMCvariablesubscript"/>
        </w:rPr>
        <w:t>min,dur</w:t>
      </w:r>
      <w:r w:rsidRPr="001455DC">
        <w:t xml:space="preserve"> [mm] for prestressing steel according to </w:t>
      </w:r>
      <w:bookmarkEnd w:id="2541"/>
      <w:r w:rsidR="000D2A45" w:rsidRPr="001455DC">
        <w:t>prEN 10138 (all parts)</w:t>
      </w:r>
    </w:p>
    <w:tbl>
      <w:tblPr>
        <w:tblStyle w:val="53"/>
        <w:tblW w:w="9752" w:type="dxa"/>
        <w:tblLook w:val="0620" w:firstRow="1" w:lastRow="0" w:firstColumn="0" w:lastColumn="0" w:noHBand="1" w:noVBand="1"/>
      </w:tblPr>
      <w:tblGrid>
        <w:gridCol w:w="1494"/>
        <w:gridCol w:w="944"/>
        <w:gridCol w:w="874"/>
        <w:gridCol w:w="1388"/>
        <w:gridCol w:w="1050"/>
        <w:gridCol w:w="1302"/>
        <w:gridCol w:w="1296"/>
        <w:gridCol w:w="1404"/>
      </w:tblGrid>
      <w:tr w:rsidR="004E22C1" w:rsidRPr="001455DC" w14:paraId="03327423" w14:textId="77777777" w:rsidTr="00A0760E">
        <w:trPr>
          <w:cnfStyle w:val="100000000000" w:firstRow="1" w:lastRow="0" w:firstColumn="0" w:lastColumn="0" w:oddVBand="0" w:evenVBand="0" w:oddHBand="0" w:evenHBand="0" w:firstRowFirstColumn="0" w:firstRowLastColumn="0" w:lastRowFirstColumn="0" w:lastRowLastColumn="0"/>
          <w:cantSplit/>
          <w:tblHeader/>
        </w:trPr>
        <w:tc>
          <w:tcPr>
            <w:tcW w:w="1544" w:type="dxa"/>
            <w:vMerge w:val="restart"/>
          </w:tcPr>
          <w:p w14:paraId="537FFD95" w14:textId="4E6EA0AB" w:rsidR="004E22C1" w:rsidRPr="001455DC" w:rsidRDefault="004E22C1" w:rsidP="00593991">
            <w:pPr>
              <w:pStyle w:val="Tableheader"/>
              <w:keepNext/>
            </w:pPr>
            <w:r w:rsidRPr="001455DC">
              <w:t>Structural</w:t>
            </w:r>
            <w:r w:rsidR="00A0760E" w:rsidRPr="001455DC">
              <w:t xml:space="preserve"> </w:t>
            </w:r>
            <w:r w:rsidRPr="001455DC">
              <w:t>Class</w:t>
            </w:r>
          </w:p>
        </w:tc>
        <w:tc>
          <w:tcPr>
            <w:tcW w:w="8662" w:type="dxa"/>
            <w:gridSpan w:val="7"/>
          </w:tcPr>
          <w:p w14:paraId="70302CC5" w14:textId="77777777" w:rsidR="004E22C1" w:rsidRPr="009D3012" w:rsidRDefault="004E22C1" w:rsidP="00593991">
            <w:pPr>
              <w:pStyle w:val="Tableheader"/>
              <w:keepNext/>
              <w:rPr>
                <w:lang w:val="en-US"/>
              </w:rPr>
            </w:pPr>
            <w:r w:rsidRPr="009D3012">
              <w:rPr>
                <w:lang w:val="en-US"/>
              </w:rPr>
              <w:t>Exposure Class according to Table 6.1</w:t>
            </w:r>
          </w:p>
        </w:tc>
      </w:tr>
      <w:tr w:rsidR="004E22C1" w:rsidRPr="001455DC" w14:paraId="214E0A74" w14:textId="77777777" w:rsidTr="00A0760E">
        <w:trPr>
          <w:cnfStyle w:val="100000000000" w:firstRow="1" w:lastRow="0" w:firstColumn="0" w:lastColumn="0" w:oddVBand="0" w:evenVBand="0" w:oddHBand="0" w:evenHBand="0" w:firstRowFirstColumn="0" w:firstRowLastColumn="0" w:lastRowFirstColumn="0" w:lastRowLastColumn="0"/>
          <w:cantSplit/>
          <w:tblHeader/>
        </w:trPr>
        <w:tc>
          <w:tcPr>
            <w:tcW w:w="1544" w:type="dxa"/>
            <w:vMerge/>
          </w:tcPr>
          <w:p w14:paraId="419E0BDA" w14:textId="77777777" w:rsidR="004E22C1" w:rsidRPr="009D3012" w:rsidRDefault="004E22C1" w:rsidP="00593991">
            <w:pPr>
              <w:pStyle w:val="Tableheader"/>
              <w:keepNext/>
              <w:rPr>
                <w:lang w:val="en-US"/>
              </w:rPr>
            </w:pPr>
          </w:p>
        </w:tc>
        <w:tc>
          <w:tcPr>
            <w:tcW w:w="1030" w:type="dxa"/>
          </w:tcPr>
          <w:p w14:paraId="67397952" w14:textId="77777777" w:rsidR="004E22C1" w:rsidRPr="001455DC" w:rsidRDefault="004E22C1" w:rsidP="00593991">
            <w:pPr>
              <w:pStyle w:val="Tableheader"/>
              <w:keepNext/>
            </w:pPr>
            <w:r w:rsidRPr="001455DC">
              <w:t>X0</w:t>
            </w:r>
          </w:p>
        </w:tc>
        <w:tc>
          <w:tcPr>
            <w:tcW w:w="927" w:type="dxa"/>
          </w:tcPr>
          <w:p w14:paraId="22F02871" w14:textId="77777777" w:rsidR="004E22C1" w:rsidRPr="001455DC" w:rsidRDefault="004E22C1" w:rsidP="00593991">
            <w:pPr>
              <w:pStyle w:val="Tableheader"/>
              <w:keepNext/>
            </w:pPr>
            <w:r w:rsidRPr="001455DC">
              <w:t>XC1</w:t>
            </w:r>
          </w:p>
        </w:tc>
        <w:tc>
          <w:tcPr>
            <w:tcW w:w="1442" w:type="dxa"/>
          </w:tcPr>
          <w:p w14:paraId="724C2EDF" w14:textId="77777777" w:rsidR="004E22C1" w:rsidRPr="001455DC" w:rsidRDefault="004E22C1" w:rsidP="00593991">
            <w:pPr>
              <w:pStyle w:val="Tableheader"/>
              <w:keepNext/>
            </w:pPr>
            <w:r w:rsidRPr="001455DC">
              <w:t>XC2/XC3</w:t>
            </w:r>
          </w:p>
        </w:tc>
        <w:tc>
          <w:tcPr>
            <w:tcW w:w="1133" w:type="dxa"/>
          </w:tcPr>
          <w:p w14:paraId="6FAF0736" w14:textId="77777777" w:rsidR="004E22C1" w:rsidRPr="001455DC" w:rsidRDefault="004E22C1" w:rsidP="00593991">
            <w:pPr>
              <w:pStyle w:val="Tableheader"/>
              <w:keepNext/>
            </w:pPr>
            <w:r w:rsidRPr="001455DC">
              <w:t>XC4</w:t>
            </w:r>
          </w:p>
        </w:tc>
        <w:tc>
          <w:tcPr>
            <w:tcW w:w="1339" w:type="dxa"/>
          </w:tcPr>
          <w:p w14:paraId="28B49988" w14:textId="77777777" w:rsidR="004E22C1" w:rsidRPr="001455DC" w:rsidRDefault="004E22C1" w:rsidP="00593991">
            <w:pPr>
              <w:pStyle w:val="Tableheader"/>
              <w:keepNext/>
            </w:pPr>
            <w:r w:rsidRPr="001455DC">
              <w:t>XD1/XS1</w:t>
            </w:r>
          </w:p>
        </w:tc>
        <w:tc>
          <w:tcPr>
            <w:tcW w:w="1332" w:type="dxa"/>
          </w:tcPr>
          <w:p w14:paraId="3372B413" w14:textId="77777777" w:rsidR="004E22C1" w:rsidRPr="001455DC" w:rsidRDefault="004E22C1" w:rsidP="00593991">
            <w:pPr>
              <w:pStyle w:val="Tableheader"/>
              <w:keepNext/>
            </w:pPr>
            <w:r w:rsidRPr="001455DC">
              <w:t>XD2/XS2</w:t>
            </w:r>
          </w:p>
        </w:tc>
        <w:tc>
          <w:tcPr>
            <w:tcW w:w="1459" w:type="dxa"/>
          </w:tcPr>
          <w:p w14:paraId="5273032F" w14:textId="77777777" w:rsidR="004E22C1" w:rsidRPr="001455DC" w:rsidRDefault="004E22C1" w:rsidP="00593991">
            <w:pPr>
              <w:pStyle w:val="Tableheader"/>
              <w:keepNext/>
            </w:pPr>
            <w:r w:rsidRPr="001455DC">
              <w:t>XD3/XS3</w:t>
            </w:r>
          </w:p>
        </w:tc>
      </w:tr>
      <w:tr w:rsidR="004E22C1" w:rsidRPr="001455DC" w14:paraId="18F53C59" w14:textId="77777777" w:rsidTr="00A0760E">
        <w:trPr>
          <w:cantSplit/>
        </w:trPr>
        <w:tc>
          <w:tcPr>
            <w:tcW w:w="1544" w:type="dxa"/>
            <w:vAlign w:val="center"/>
          </w:tcPr>
          <w:p w14:paraId="49F3B897" w14:textId="77777777" w:rsidR="004E22C1" w:rsidRPr="001455DC" w:rsidRDefault="004E22C1" w:rsidP="00593991">
            <w:pPr>
              <w:pStyle w:val="Tablebody"/>
              <w:keepNext/>
              <w:jc w:val="center"/>
              <w:rPr>
                <w:b/>
                <w:szCs w:val="22"/>
              </w:rPr>
            </w:pPr>
            <w:r w:rsidRPr="001455DC">
              <w:rPr>
                <w:b/>
                <w:szCs w:val="22"/>
              </w:rPr>
              <w:t>S1</w:t>
            </w:r>
          </w:p>
        </w:tc>
        <w:tc>
          <w:tcPr>
            <w:tcW w:w="1030" w:type="dxa"/>
            <w:vAlign w:val="center"/>
          </w:tcPr>
          <w:p w14:paraId="25FD5864" w14:textId="77777777" w:rsidR="004E22C1" w:rsidRPr="001455DC" w:rsidRDefault="004E22C1" w:rsidP="00593991">
            <w:pPr>
              <w:pStyle w:val="Tablebody"/>
              <w:keepNext/>
              <w:jc w:val="center"/>
              <w:rPr>
                <w:szCs w:val="22"/>
              </w:rPr>
            </w:pPr>
            <w:r w:rsidRPr="001455DC">
              <w:rPr>
                <w:szCs w:val="22"/>
              </w:rPr>
              <w:t>10</w:t>
            </w:r>
          </w:p>
        </w:tc>
        <w:tc>
          <w:tcPr>
            <w:tcW w:w="927" w:type="dxa"/>
            <w:vAlign w:val="center"/>
          </w:tcPr>
          <w:p w14:paraId="0334BE83" w14:textId="77777777" w:rsidR="004E22C1" w:rsidRPr="001455DC" w:rsidRDefault="004E22C1" w:rsidP="00593991">
            <w:pPr>
              <w:pStyle w:val="Tablebody"/>
              <w:keepNext/>
              <w:jc w:val="center"/>
              <w:rPr>
                <w:szCs w:val="22"/>
              </w:rPr>
            </w:pPr>
            <w:r w:rsidRPr="001455DC">
              <w:rPr>
                <w:szCs w:val="22"/>
              </w:rPr>
              <w:t>15</w:t>
            </w:r>
          </w:p>
        </w:tc>
        <w:tc>
          <w:tcPr>
            <w:tcW w:w="1442" w:type="dxa"/>
            <w:vAlign w:val="center"/>
          </w:tcPr>
          <w:p w14:paraId="197D5453" w14:textId="77777777" w:rsidR="004E22C1" w:rsidRPr="001455DC" w:rsidRDefault="004E22C1" w:rsidP="00593991">
            <w:pPr>
              <w:pStyle w:val="Tablebody"/>
              <w:keepNext/>
              <w:jc w:val="center"/>
              <w:rPr>
                <w:szCs w:val="22"/>
              </w:rPr>
            </w:pPr>
            <w:r w:rsidRPr="001455DC">
              <w:rPr>
                <w:szCs w:val="22"/>
              </w:rPr>
              <w:t>20</w:t>
            </w:r>
          </w:p>
        </w:tc>
        <w:tc>
          <w:tcPr>
            <w:tcW w:w="1133" w:type="dxa"/>
            <w:vAlign w:val="center"/>
          </w:tcPr>
          <w:p w14:paraId="7818B87C" w14:textId="77777777" w:rsidR="004E22C1" w:rsidRPr="001455DC" w:rsidRDefault="004E22C1" w:rsidP="00593991">
            <w:pPr>
              <w:pStyle w:val="Tablebody"/>
              <w:keepNext/>
              <w:jc w:val="center"/>
              <w:rPr>
                <w:szCs w:val="22"/>
              </w:rPr>
            </w:pPr>
            <w:r w:rsidRPr="001455DC">
              <w:rPr>
                <w:szCs w:val="22"/>
              </w:rPr>
              <w:t>25</w:t>
            </w:r>
          </w:p>
        </w:tc>
        <w:tc>
          <w:tcPr>
            <w:tcW w:w="1339" w:type="dxa"/>
            <w:vAlign w:val="center"/>
          </w:tcPr>
          <w:p w14:paraId="676A7710" w14:textId="77777777" w:rsidR="004E22C1" w:rsidRPr="001455DC" w:rsidRDefault="004E22C1" w:rsidP="00593991">
            <w:pPr>
              <w:pStyle w:val="Tablebody"/>
              <w:keepNext/>
              <w:jc w:val="center"/>
              <w:rPr>
                <w:szCs w:val="22"/>
              </w:rPr>
            </w:pPr>
            <w:r w:rsidRPr="001455DC">
              <w:rPr>
                <w:szCs w:val="22"/>
              </w:rPr>
              <w:t>30</w:t>
            </w:r>
          </w:p>
        </w:tc>
        <w:tc>
          <w:tcPr>
            <w:tcW w:w="1332" w:type="dxa"/>
            <w:vAlign w:val="center"/>
          </w:tcPr>
          <w:p w14:paraId="7A669120" w14:textId="77777777" w:rsidR="004E22C1" w:rsidRPr="001455DC" w:rsidRDefault="004E22C1" w:rsidP="00593991">
            <w:pPr>
              <w:pStyle w:val="Tablebody"/>
              <w:keepNext/>
              <w:jc w:val="center"/>
              <w:rPr>
                <w:szCs w:val="22"/>
              </w:rPr>
            </w:pPr>
            <w:r w:rsidRPr="001455DC">
              <w:rPr>
                <w:szCs w:val="22"/>
              </w:rPr>
              <w:t>35</w:t>
            </w:r>
          </w:p>
        </w:tc>
        <w:tc>
          <w:tcPr>
            <w:tcW w:w="1459" w:type="dxa"/>
            <w:vAlign w:val="center"/>
          </w:tcPr>
          <w:p w14:paraId="4BDA838B" w14:textId="77777777" w:rsidR="004E22C1" w:rsidRPr="001455DC" w:rsidRDefault="004E22C1" w:rsidP="00593991">
            <w:pPr>
              <w:pStyle w:val="Tablebody"/>
              <w:keepNext/>
              <w:jc w:val="center"/>
              <w:rPr>
                <w:szCs w:val="22"/>
              </w:rPr>
            </w:pPr>
            <w:r w:rsidRPr="001455DC">
              <w:rPr>
                <w:szCs w:val="22"/>
              </w:rPr>
              <w:t>40</w:t>
            </w:r>
          </w:p>
        </w:tc>
      </w:tr>
      <w:tr w:rsidR="004E22C1" w:rsidRPr="001455DC" w14:paraId="57CF0706" w14:textId="77777777" w:rsidTr="00A0760E">
        <w:trPr>
          <w:cantSplit/>
        </w:trPr>
        <w:tc>
          <w:tcPr>
            <w:tcW w:w="1544" w:type="dxa"/>
            <w:vAlign w:val="center"/>
          </w:tcPr>
          <w:p w14:paraId="1318D570" w14:textId="77777777" w:rsidR="004E22C1" w:rsidRPr="001455DC" w:rsidRDefault="004E22C1" w:rsidP="00593991">
            <w:pPr>
              <w:pStyle w:val="Tablebody"/>
              <w:keepNext/>
              <w:jc w:val="center"/>
              <w:rPr>
                <w:b/>
                <w:szCs w:val="22"/>
              </w:rPr>
            </w:pPr>
            <w:r w:rsidRPr="001455DC">
              <w:rPr>
                <w:b/>
                <w:szCs w:val="22"/>
              </w:rPr>
              <w:t>S2</w:t>
            </w:r>
          </w:p>
        </w:tc>
        <w:tc>
          <w:tcPr>
            <w:tcW w:w="1030" w:type="dxa"/>
            <w:vAlign w:val="center"/>
          </w:tcPr>
          <w:p w14:paraId="3AC0D885" w14:textId="77777777" w:rsidR="004E22C1" w:rsidRPr="001455DC" w:rsidRDefault="004E22C1" w:rsidP="00593991">
            <w:pPr>
              <w:pStyle w:val="Tablebody"/>
              <w:keepNext/>
              <w:jc w:val="center"/>
              <w:rPr>
                <w:szCs w:val="22"/>
              </w:rPr>
            </w:pPr>
            <w:r w:rsidRPr="001455DC">
              <w:rPr>
                <w:szCs w:val="22"/>
              </w:rPr>
              <w:t>10</w:t>
            </w:r>
          </w:p>
        </w:tc>
        <w:tc>
          <w:tcPr>
            <w:tcW w:w="927" w:type="dxa"/>
            <w:vAlign w:val="center"/>
          </w:tcPr>
          <w:p w14:paraId="133F2DF3" w14:textId="77777777" w:rsidR="004E22C1" w:rsidRPr="001455DC" w:rsidRDefault="004E22C1" w:rsidP="00593991">
            <w:pPr>
              <w:pStyle w:val="Tablebody"/>
              <w:keepNext/>
              <w:jc w:val="center"/>
              <w:rPr>
                <w:szCs w:val="22"/>
              </w:rPr>
            </w:pPr>
            <w:r w:rsidRPr="001455DC">
              <w:rPr>
                <w:szCs w:val="22"/>
              </w:rPr>
              <w:t>15</w:t>
            </w:r>
          </w:p>
        </w:tc>
        <w:tc>
          <w:tcPr>
            <w:tcW w:w="1442" w:type="dxa"/>
            <w:vAlign w:val="center"/>
          </w:tcPr>
          <w:p w14:paraId="79D28FA0" w14:textId="77777777" w:rsidR="004E22C1" w:rsidRPr="001455DC" w:rsidRDefault="004E22C1" w:rsidP="00593991">
            <w:pPr>
              <w:pStyle w:val="Tablebody"/>
              <w:keepNext/>
              <w:jc w:val="center"/>
              <w:rPr>
                <w:szCs w:val="22"/>
              </w:rPr>
            </w:pPr>
            <w:r w:rsidRPr="001455DC">
              <w:rPr>
                <w:szCs w:val="22"/>
              </w:rPr>
              <w:t>25</w:t>
            </w:r>
          </w:p>
        </w:tc>
        <w:tc>
          <w:tcPr>
            <w:tcW w:w="1133" w:type="dxa"/>
            <w:vAlign w:val="center"/>
          </w:tcPr>
          <w:p w14:paraId="1DDCF0DA" w14:textId="77777777" w:rsidR="004E22C1" w:rsidRPr="001455DC" w:rsidRDefault="004E22C1" w:rsidP="00593991">
            <w:pPr>
              <w:pStyle w:val="Tablebody"/>
              <w:keepNext/>
              <w:jc w:val="center"/>
              <w:rPr>
                <w:szCs w:val="22"/>
              </w:rPr>
            </w:pPr>
            <w:r w:rsidRPr="001455DC">
              <w:rPr>
                <w:szCs w:val="22"/>
              </w:rPr>
              <w:t>30</w:t>
            </w:r>
          </w:p>
        </w:tc>
        <w:tc>
          <w:tcPr>
            <w:tcW w:w="1339" w:type="dxa"/>
            <w:vAlign w:val="center"/>
          </w:tcPr>
          <w:p w14:paraId="40109B42" w14:textId="77777777" w:rsidR="004E22C1" w:rsidRPr="001455DC" w:rsidRDefault="004E22C1" w:rsidP="00593991">
            <w:pPr>
              <w:pStyle w:val="Tablebody"/>
              <w:keepNext/>
              <w:jc w:val="center"/>
              <w:rPr>
                <w:szCs w:val="22"/>
              </w:rPr>
            </w:pPr>
            <w:r w:rsidRPr="001455DC">
              <w:rPr>
                <w:szCs w:val="22"/>
              </w:rPr>
              <w:t>35</w:t>
            </w:r>
          </w:p>
        </w:tc>
        <w:tc>
          <w:tcPr>
            <w:tcW w:w="1332" w:type="dxa"/>
            <w:vAlign w:val="center"/>
          </w:tcPr>
          <w:p w14:paraId="5821186E" w14:textId="77777777" w:rsidR="004E22C1" w:rsidRPr="001455DC" w:rsidRDefault="004E22C1" w:rsidP="00593991">
            <w:pPr>
              <w:pStyle w:val="Tablebody"/>
              <w:keepNext/>
              <w:jc w:val="center"/>
              <w:rPr>
                <w:szCs w:val="22"/>
              </w:rPr>
            </w:pPr>
            <w:r w:rsidRPr="001455DC">
              <w:rPr>
                <w:szCs w:val="22"/>
              </w:rPr>
              <w:t>40</w:t>
            </w:r>
          </w:p>
        </w:tc>
        <w:tc>
          <w:tcPr>
            <w:tcW w:w="1459" w:type="dxa"/>
            <w:vAlign w:val="center"/>
          </w:tcPr>
          <w:p w14:paraId="08B30B8E" w14:textId="77777777" w:rsidR="004E22C1" w:rsidRPr="001455DC" w:rsidRDefault="004E22C1" w:rsidP="00593991">
            <w:pPr>
              <w:pStyle w:val="Tablebody"/>
              <w:keepNext/>
              <w:jc w:val="center"/>
              <w:rPr>
                <w:szCs w:val="22"/>
              </w:rPr>
            </w:pPr>
            <w:r w:rsidRPr="001455DC">
              <w:rPr>
                <w:szCs w:val="22"/>
              </w:rPr>
              <w:t>45</w:t>
            </w:r>
          </w:p>
        </w:tc>
      </w:tr>
      <w:tr w:rsidR="004E22C1" w:rsidRPr="001455DC" w14:paraId="51475FA4" w14:textId="77777777" w:rsidTr="00A0760E">
        <w:trPr>
          <w:cantSplit/>
        </w:trPr>
        <w:tc>
          <w:tcPr>
            <w:tcW w:w="1544" w:type="dxa"/>
            <w:vAlign w:val="center"/>
          </w:tcPr>
          <w:p w14:paraId="3C4D531D" w14:textId="77777777" w:rsidR="004E22C1" w:rsidRPr="001455DC" w:rsidRDefault="004E22C1" w:rsidP="00593991">
            <w:pPr>
              <w:pStyle w:val="Tablebody"/>
              <w:keepNext/>
              <w:jc w:val="center"/>
              <w:rPr>
                <w:b/>
                <w:szCs w:val="22"/>
              </w:rPr>
            </w:pPr>
            <w:r w:rsidRPr="001455DC">
              <w:rPr>
                <w:b/>
                <w:szCs w:val="22"/>
              </w:rPr>
              <w:t>S3</w:t>
            </w:r>
          </w:p>
        </w:tc>
        <w:tc>
          <w:tcPr>
            <w:tcW w:w="1030" w:type="dxa"/>
            <w:vAlign w:val="center"/>
          </w:tcPr>
          <w:p w14:paraId="7D7A4285" w14:textId="77777777" w:rsidR="004E22C1" w:rsidRPr="001455DC" w:rsidRDefault="004E22C1" w:rsidP="00593991">
            <w:pPr>
              <w:pStyle w:val="Tablebody"/>
              <w:keepNext/>
              <w:jc w:val="center"/>
              <w:rPr>
                <w:szCs w:val="22"/>
              </w:rPr>
            </w:pPr>
            <w:r w:rsidRPr="001455DC">
              <w:rPr>
                <w:szCs w:val="22"/>
              </w:rPr>
              <w:t>10</w:t>
            </w:r>
          </w:p>
        </w:tc>
        <w:tc>
          <w:tcPr>
            <w:tcW w:w="927" w:type="dxa"/>
            <w:vAlign w:val="center"/>
          </w:tcPr>
          <w:p w14:paraId="5656D0FD" w14:textId="77777777" w:rsidR="004E22C1" w:rsidRPr="001455DC" w:rsidRDefault="004E22C1" w:rsidP="00593991">
            <w:pPr>
              <w:pStyle w:val="Tablebody"/>
              <w:keepNext/>
              <w:jc w:val="center"/>
              <w:rPr>
                <w:szCs w:val="22"/>
              </w:rPr>
            </w:pPr>
            <w:r w:rsidRPr="001455DC">
              <w:rPr>
                <w:szCs w:val="22"/>
              </w:rPr>
              <w:t>20</w:t>
            </w:r>
          </w:p>
        </w:tc>
        <w:tc>
          <w:tcPr>
            <w:tcW w:w="1442" w:type="dxa"/>
            <w:vAlign w:val="center"/>
          </w:tcPr>
          <w:p w14:paraId="5B9C70AC" w14:textId="77777777" w:rsidR="004E22C1" w:rsidRPr="001455DC" w:rsidRDefault="004E22C1" w:rsidP="00593991">
            <w:pPr>
              <w:pStyle w:val="Tablebody"/>
              <w:keepNext/>
              <w:jc w:val="center"/>
              <w:rPr>
                <w:szCs w:val="22"/>
              </w:rPr>
            </w:pPr>
            <w:r w:rsidRPr="001455DC">
              <w:rPr>
                <w:szCs w:val="22"/>
              </w:rPr>
              <w:t>30</w:t>
            </w:r>
          </w:p>
        </w:tc>
        <w:tc>
          <w:tcPr>
            <w:tcW w:w="1133" w:type="dxa"/>
            <w:vAlign w:val="center"/>
          </w:tcPr>
          <w:p w14:paraId="1B9B4C81" w14:textId="77777777" w:rsidR="004E22C1" w:rsidRPr="001455DC" w:rsidRDefault="004E22C1" w:rsidP="00593991">
            <w:pPr>
              <w:pStyle w:val="Tablebody"/>
              <w:keepNext/>
              <w:jc w:val="center"/>
              <w:rPr>
                <w:szCs w:val="22"/>
              </w:rPr>
            </w:pPr>
            <w:r w:rsidRPr="001455DC">
              <w:rPr>
                <w:szCs w:val="22"/>
              </w:rPr>
              <w:t>35</w:t>
            </w:r>
          </w:p>
        </w:tc>
        <w:tc>
          <w:tcPr>
            <w:tcW w:w="1339" w:type="dxa"/>
            <w:vAlign w:val="center"/>
          </w:tcPr>
          <w:p w14:paraId="2FD2B86C" w14:textId="77777777" w:rsidR="004E22C1" w:rsidRPr="001455DC" w:rsidRDefault="004E22C1" w:rsidP="00593991">
            <w:pPr>
              <w:pStyle w:val="Tablebody"/>
              <w:keepNext/>
              <w:jc w:val="center"/>
              <w:rPr>
                <w:szCs w:val="22"/>
              </w:rPr>
            </w:pPr>
            <w:r w:rsidRPr="001455DC">
              <w:rPr>
                <w:szCs w:val="22"/>
              </w:rPr>
              <w:t>40</w:t>
            </w:r>
          </w:p>
        </w:tc>
        <w:tc>
          <w:tcPr>
            <w:tcW w:w="1332" w:type="dxa"/>
            <w:vAlign w:val="center"/>
          </w:tcPr>
          <w:p w14:paraId="41F9CC9E" w14:textId="77777777" w:rsidR="004E22C1" w:rsidRPr="001455DC" w:rsidRDefault="004E22C1" w:rsidP="00593991">
            <w:pPr>
              <w:pStyle w:val="Tablebody"/>
              <w:keepNext/>
              <w:jc w:val="center"/>
              <w:rPr>
                <w:szCs w:val="22"/>
              </w:rPr>
            </w:pPr>
            <w:r w:rsidRPr="001455DC">
              <w:rPr>
                <w:szCs w:val="22"/>
              </w:rPr>
              <w:t>45</w:t>
            </w:r>
          </w:p>
        </w:tc>
        <w:tc>
          <w:tcPr>
            <w:tcW w:w="1459" w:type="dxa"/>
            <w:vAlign w:val="center"/>
          </w:tcPr>
          <w:p w14:paraId="272BAAE2" w14:textId="77777777" w:rsidR="004E22C1" w:rsidRPr="001455DC" w:rsidRDefault="004E22C1" w:rsidP="00593991">
            <w:pPr>
              <w:pStyle w:val="Tablebody"/>
              <w:keepNext/>
              <w:jc w:val="center"/>
              <w:rPr>
                <w:szCs w:val="22"/>
              </w:rPr>
            </w:pPr>
            <w:r w:rsidRPr="001455DC">
              <w:rPr>
                <w:szCs w:val="22"/>
              </w:rPr>
              <w:t>50</w:t>
            </w:r>
          </w:p>
        </w:tc>
      </w:tr>
      <w:tr w:rsidR="004E22C1" w:rsidRPr="001455DC" w14:paraId="0275ECB0" w14:textId="77777777" w:rsidTr="00A0760E">
        <w:trPr>
          <w:cantSplit/>
        </w:trPr>
        <w:tc>
          <w:tcPr>
            <w:tcW w:w="1544" w:type="dxa"/>
            <w:vAlign w:val="center"/>
          </w:tcPr>
          <w:p w14:paraId="3A2CF19E" w14:textId="77777777" w:rsidR="004E22C1" w:rsidRPr="001455DC" w:rsidRDefault="004E22C1" w:rsidP="00593991">
            <w:pPr>
              <w:pStyle w:val="Tablebody"/>
              <w:keepNext/>
              <w:jc w:val="center"/>
              <w:rPr>
                <w:b/>
                <w:szCs w:val="22"/>
              </w:rPr>
            </w:pPr>
            <w:r w:rsidRPr="001455DC">
              <w:rPr>
                <w:b/>
                <w:szCs w:val="22"/>
              </w:rPr>
              <w:t>S4</w:t>
            </w:r>
          </w:p>
        </w:tc>
        <w:tc>
          <w:tcPr>
            <w:tcW w:w="1030" w:type="dxa"/>
            <w:vAlign w:val="center"/>
          </w:tcPr>
          <w:p w14:paraId="693E0879" w14:textId="77777777" w:rsidR="004E22C1" w:rsidRPr="001455DC" w:rsidRDefault="004E22C1" w:rsidP="00593991">
            <w:pPr>
              <w:pStyle w:val="Tablebody"/>
              <w:keepNext/>
              <w:jc w:val="center"/>
              <w:rPr>
                <w:szCs w:val="22"/>
              </w:rPr>
            </w:pPr>
            <w:r w:rsidRPr="001455DC">
              <w:rPr>
                <w:szCs w:val="22"/>
              </w:rPr>
              <w:t>10</w:t>
            </w:r>
          </w:p>
        </w:tc>
        <w:tc>
          <w:tcPr>
            <w:tcW w:w="927" w:type="dxa"/>
            <w:vAlign w:val="center"/>
          </w:tcPr>
          <w:p w14:paraId="0BD7EE24" w14:textId="77777777" w:rsidR="004E22C1" w:rsidRPr="001455DC" w:rsidRDefault="004E22C1" w:rsidP="00593991">
            <w:pPr>
              <w:pStyle w:val="Tablebody"/>
              <w:keepNext/>
              <w:jc w:val="center"/>
              <w:rPr>
                <w:szCs w:val="22"/>
              </w:rPr>
            </w:pPr>
            <w:r w:rsidRPr="001455DC">
              <w:rPr>
                <w:szCs w:val="22"/>
              </w:rPr>
              <w:t>25</w:t>
            </w:r>
          </w:p>
        </w:tc>
        <w:tc>
          <w:tcPr>
            <w:tcW w:w="1442" w:type="dxa"/>
            <w:vAlign w:val="center"/>
          </w:tcPr>
          <w:p w14:paraId="75D788EE" w14:textId="77777777" w:rsidR="004E22C1" w:rsidRPr="001455DC" w:rsidRDefault="004E22C1" w:rsidP="00593991">
            <w:pPr>
              <w:pStyle w:val="Tablebody"/>
              <w:keepNext/>
              <w:jc w:val="center"/>
              <w:rPr>
                <w:szCs w:val="22"/>
              </w:rPr>
            </w:pPr>
            <w:r w:rsidRPr="001455DC">
              <w:rPr>
                <w:szCs w:val="22"/>
              </w:rPr>
              <w:t>35</w:t>
            </w:r>
          </w:p>
        </w:tc>
        <w:tc>
          <w:tcPr>
            <w:tcW w:w="1133" w:type="dxa"/>
            <w:vAlign w:val="center"/>
          </w:tcPr>
          <w:p w14:paraId="68AD18F4" w14:textId="77777777" w:rsidR="004E22C1" w:rsidRPr="001455DC" w:rsidRDefault="004E22C1" w:rsidP="00593991">
            <w:pPr>
              <w:pStyle w:val="Tablebody"/>
              <w:keepNext/>
              <w:jc w:val="center"/>
              <w:rPr>
                <w:szCs w:val="22"/>
              </w:rPr>
            </w:pPr>
            <w:r w:rsidRPr="001455DC">
              <w:rPr>
                <w:szCs w:val="22"/>
              </w:rPr>
              <w:t>40</w:t>
            </w:r>
          </w:p>
        </w:tc>
        <w:tc>
          <w:tcPr>
            <w:tcW w:w="1339" w:type="dxa"/>
            <w:vAlign w:val="center"/>
          </w:tcPr>
          <w:p w14:paraId="53A34AA4" w14:textId="77777777" w:rsidR="004E22C1" w:rsidRPr="001455DC" w:rsidRDefault="004E22C1" w:rsidP="00593991">
            <w:pPr>
              <w:pStyle w:val="Tablebody"/>
              <w:keepNext/>
              <w:jc w:val="center"/>
              <w:rPr>
                <w:szCs w:val="22"/>
              </w:rPr>
            </w:pPr>
            <w:r w:rsidRPr="001455DC">
              <w:rPr>
                <w:szCs w:val="22"/>
              </w:rPr>
              <w:t>45</w:t>
            </w:r>
          </w:p>
        </w:tc>
        <w:tc>
          <w:tcPr>
            <w:tcW w:w="1332" w:type="dxa"/>
            <w:vAlign w:val="center"/>
          </w:tcPr>
          <w:p w14:paraId="3A73550A" w14:textId="77777777" w:rsidR="004E22C1" w:rsidRPr="001455DC" w:rsidRDefault="004E22C1" w:rsidP="00593991">
            <w:pPr>
              <w:pStyle w:val="Tablebody"/>
              <w:keepNext/>
              <w:jc w:val="center"/>
              <w:rPr>
                <w:szCs w:val="22"/>
              </w:rPr>
            </w:pPr>
            <w:r w:rsidRPr="001455DC">
              <w:rPr>
                <w:szCs w:val="22"/>
              </w:rPr>
              <w:t>50</w:t>
            </w:r>
          </w:p>
        </w:tc>
        <w:tc>
          <w:tcPr>
            <w:tcW w:w="1459" w:type="dxa"/>
            <w:vAlign w:val="center"/>
          </w:tcPr>
          <w:p w14:paraId="759223D7" w14:textId="77777777" w:rsidR="004E22C1" w:rsidRPr="001455DC" w:rsidRDefault="004E22C1" w:rsidP="00593991">
            <w:pPr>
              <w:pStyle w:val="Tablebody"/>
              <w:keepNext/>
              <w:jc w:val="center"/>
              <w:rPr>
                <w:szCs w:val="22"/>
              </w:rPr>
            </w:pPr>
            <w:r w:rsidRPr="001455DC">
              <w:rPr>
                <w:szCs w:val="22"/>
              </w:rPr>
              <w:t>55</w:t>
            </w:r>
          </w:p>
        </w:tc>
      </w:tr>
      <w:tr w:rsidR="004E22C1" w:rsidRPr="001455DC" w14:paraId="0AE31BCB" w14:textId="77777777" w:rsidTr="00A0760E">
        <w:trPr>
          <w:cantSplit/>
        </w:trPr>
        <w:tc>
          <w:tcPr>
            <w:tcW w:w="1544" w:type="dxa"/>
            <w:vAlign w:val="center"/>
          </w:tcPr>
          <w:p w14:paraId="0105DFE7" w14:textId="77777777" w:rsidR="004E22C1" w:rsidRPr="001455DC" w:rsidRDefault="004E22C1" w:rsidP="00593991">
            <w:pPr>
              <w:pStyle w:val="Tablebody"/>
              <w:keepNext/>
              <w:jc w:val="center"/>
              <w:rPr>
                <w:b/>
                <w:szCs w:val="22"/>
              </w:rPr>
            </w:pPr>
            <w:r w:rsidRPr="001455DC">
              <w:rPr>
                <w:b/>
                <w:szCs w:val="22"/>
              </w:rPr>
              <w:t>S5</w:t>
            </w:r>
          </w:p>
        </w:tc>
        <w:tc>
          <w:tcPr>
            <w:tcW w:w="1030" w:type="dxa"/>
            <w:vAlign w:val="center"/>
          </w:tcPr>
          <w:p w14:paraId="596B4ABB" w14:textId="77777777" w:rsidR="004E22C1" w:rsidRPr="001455DC" w:rsidRDefault="004E22C1" w:rsidP="00593991">
            <w:pPr>
              <w:pStyle w:val="Tablebody"/>
              <w:keepNext/>
              <w:jc w:val="center"/>
              <w:rPr>
                <w:szCs w:val="22"/>
              </w:rPr>
            </w:pPr>
            <w:r w:rsidRPr="001455DC">
              <w:rPr>
                <w:szCs w:val="22"/>
              </w:rPr>
              <w:t>15</w:t>
            </w:r>
          </w:p>
        </w:tc>
        <w:tc>
          <w:tcPr>
            <w:tcW w:w="927" w:type="dxa"/>
            <w:vAlign w:val="center"/>
          </w:tcPr>
          <w:p w14:paraId="041EC00C" w14:textId="77777777" w:rsidR="004E22C1" w:rsidRPr="001455DC" w:rsidRDefault="004E22C1" w:rsidP="00593991">
            <w:pPr>
              <w:pStyle w:val="Tablebody"/>
              <w:keepNext/>
              <w:jc w:val="center"/>
              <w:rPr>
                <w:szCs w:val="22"/>
              </w:rPr>
            </w:pPr>
            <w:r w:rsidRPr="001455DC">
              <w:rPr>
                <w:szCs w:val="22"/>
              </w:rPr>
              <w:t>30</w:t>
            </w:r>
          </w:p>
        </w:tc>
        <w:tc>
          <w:tcPr>
            <w:tcW w:w="1442" w:type="dxa"/>
            <w:vAlign w:val="center"/>
          </w:tcPr>
          <w:p w14:paraId="2ABA441C" w14:textId="77777777" w:rsidR="004E22C1" w:rsidRPr="001455DC" w:rsidRDefault="004E22C1" w:rsidP="00593991">
            <w:pPr>
              <w:pStyle w:val="Tablebody"/>
              <w:keepNext/>
              <w:jc w:val="center"/>
              <w:rPr>
                <w:szCs w:val="22"/>
              </w:rPr>
            </w:pPr>
            <w:r w:rsidRPr="001455DC">
              <w:rPr>
                <w:szCs w:val="22"/>
              </w:rPr>
              <w:t>40</w:t>
            </w:r>
          </w:p>
        </w:tc>
        <w:tc>
          <w:tcPr>
            <w:tcW w:w="1133" w:type="dxa"/>
            <w:vAlign w:val="center"/>
          </w:tcPr>
          <w:p w14:paraId="46D39F0B" w14:textId="77777777" w:rsidR="004E22C1" w:rsidRPr="001455DC" w:rsidRDefault="004E22C1" w:rsidP="00593991">
            <w:pPr>
              <w:pStyle w:val="Tablebody"/>
              <w:keepNext/>
              <w:jc w:val="center"/>
              <w:rPr>
                <w:szCs w:val="22"/>
              </w:rPr>
            </w:pPr>
            <w:r w:rsidRPr="001455DC">
              <w:rPr>
                <w:szCs w:val="22"/>
              </w:rPr>
              <w:t>45</w:t>
            </w:r>
          </w:p>
        </w:tc>
        <w:tc>
          <w:tcPr>
            <w:tcW w:w="1339" w:type="dxa"/>
            <w:vAlign w:val="center"/>
          </w:tcPr>
          <w:p w14:paraId="3F893DAA" w14:textId="77777777" w:rsidR="004E22C1" w:rsidRPr="001455DC" w:rsidRDefault="004E22C1" w:rsidP="00593991">
            <w:pPr>
              <w:pStyle w:val="Tablebody"/>
              <w:keepNext/>
              <w:jc w:val="center"/>
              <w:rPr>
                <w:szCs w:val="22"/>
              </w:rPr>
            </w:pPr>
            <w:r w:rsidRPr="001455DC">
              <w:rPr>
                <w:szCs w:val="22"/>
              </w:rPr>
              <w:t>50</w:t>
            </w:r>
          </w:p>
        </w:tc>
        <w:tc>
          <w:tcPr>
            <w:tcW w:w="1332" w:type="dxa"/>
            <w:vAlign w:val="center"/>
          </w:tcPr>
          <w:p w14:paraId="0F0F8657" w14:textId="77777777" w:rsidR="004E22C1" w:rsidRPr="001455DC" w:rsidRDefault="004E22C1" w:rsidP="00593991">
            <w:pPr>
              <w:pStyle w:val="Tablebody"/>
              <w:keepNext/>
              <w:jc w:val="center"/>
              <w:rPr>
                <w:szCs w:val="22"/>
              </w:rPr>
            </w:pPr>
            <w:r w:rsidRPr="001455DC">
              <w:rPr>
                <w:szCs w:val="22"/>
              </w:rPr>
              <w:t>55</w:t>
            </w:r>
          </w:p>
        </w:tc>
        <w:tc>
          <w:tcPr>
            <w:tcW w:w="1459" w:type="dxa"/>
            <w:vAlign w:val="center"/>
          </w:tcPr>
          <w:p w14:paraId="61A17A71" w14:textId="77777777" w:rsidR="004E22C1" w:rsidRPr="001455DC" w:rsidRDefault="004E22C1" w:rsidP="00593991">
            <w:pPr>
              <w:pStyle w:val="Tablebody"/>
              <w:keepNext/>
              <w:jc w:val="center"/>
              <w:rPr>
                <w:szCs w:val="22"/>
              </w:rPr>
            </w:pPr>
            <w:r w:rsidRPr="001455DC">
              <w:rPr>
                <w:szCs w:val="22"/>
              </w:rPr>
              <w:t>60</w:t>
            </w:r>
          </w:p>
        </w:tc>
      </w:tr>
      <w:tr w:rsidR="004E22C1" w:rsidRPr="001455DC" w14:paraId="22B44314" w14:textId="77777777" w:rsidTr="00A0760E">
        <w:trPr>
          <w:cantSplit/>
        </w:trPr>
        <w:tc>
          <w:tcPr>
            <w:tcW w:w="1544" w:type="dxa"/>
            <w:vAlign w:val="center"/>
          </w:tcPr>
          <w:p w14:paraId="45ADECF3" w14:textId="77777777" w:rsidR="004E22C1" w:rsidRPr="001455DC" w:rsidRDefault="004E22C1" w:rsidP="00A0760E">
            <w:pPr>
              <w:pStyle w:val="Tablebody"/>
              <w:jc w:val="center"/>
              <w:rPr>
                <w:b/>
                <w:szCs w:val="22"/>
              </w:rPr>
            </w:pPr>
            <w:r w:rsidRPr="001455DC">
              <w:rPr>
                <w:b/>
                <w:szCs w:val="22"/>
              </w:rPr>
              <w:t>S6</w:t>
            </w:r>
          </w:p>
        </w:tc>
        <w:tc>
          <w:tcPr>
            <w:tcW w:w="1030" w:type="dxa"/>
            <w:vAlign w:val="center"/>
          </w:tcPr>
          <w:p w14:paraId="3C67F494" w14:textId="77777777" w:rsidR="004E22C1" w:rsidRPr="001455DC" w:rsidRDefault="004E22C1" w:rsidP="00A0760E">
            <w:pPr>
              <w:pStyle w:val="Tablebody"/>
              <w:jc w:val="center"/>
              <w:rPr>
                <w:szCs w:val="22"/>
              </w:rPr>
            </w:pPr>
            <w:r w:rsidRPr="001455DC">
              <w:rPr>
                <w:szCs w:val="22"/>
              </w:rPr>
              <w:t>20</w:t>
            </w:r>
          </w:p>
        </w:tc>
        <w:tc>
          <w:tcPr>
            <w:tcW w:w="927" w:type="dxa"/>
            <w:vAlign w:val="center"/>
          </w:tcPr>
          <w:p w14:paraId="7B1EA47C" w14:textId="77777777" w:rsidR="004E22C1" w:rsidRPr="001455DC" w:rsidRDefault="004E22C1" w:rsidP="00A0760E">
            <w:pPr>
              <w:pStyle w:val="Tablebody"/>
              <w:jc w:val="center"/>
              <w:rPr>
                <w:szCs w:val="22"/>
              </w:rPr>
            </w:pPr>
            <w:r w:rsidRPr="001455DC">
              <w:rPr>
                <w:szCs w:val="22"/>
              </w:rPr>
              <w:t>35</w:t>
            </w:r>
          </w:p>
        </w:tc>
        <w:tc>
          <w:tcPr>
            <w:tcW w:w="1442" w:type="dxa"/>
            <w:vAlign w:val="center"/>
          </w:tcPr>
          <w:p w14:paraId="61991744" w14:textId="77777777" w:rsidR="004E22C1" w:rsidRPr="001455DC" w:rsidRDefault="004E22C1" w:rsidP="00A0760E">
            <w:pPr>
              <w:pStyle w:val="Tablebody"/>
              <w:jc w:val="center"/>
              <w:rPr>
                <w:szCs w:val="22"/>
              </w:rPr>
            </w:pPr>
            <w:r w:rsidRPr="001455DC">
              <w:rPr>
                <w:szCs w:val="22"/>
              </w:rPr>
              <w:t>45</w:t>
            </w:r>
          </w:p>
        </w:tc>
        <w:tc>
          <w:tcPr>
            <w:tcW w:w="1133" w:type="dxa"/>
            <w:vAlign w:val="center"/>
          </w:tcPr>
          <w:p w14:paraId="491E6D09" w14:textId="77777777" w:rsidR="004E22C1" w:rsidRPr="001455DC" w:rsidRDefault="004E22C1" w:rsidP="00A0760E">
            <w:pPr>
              <w:pStyle w:val="Tablebody"/>
              <w:jc w:val="center"/>
              <w:rPr>
                <w:szCs w:val="22"/>
              </w:rPr>
            </w:pPr>
            <w:r w:rsidRPr="001455DC">
              <w:rPr>
                <w:szCs w:val="22"/>
              </w:rPr>
              <w:t>50</w:t>
            </w:r>
          </w:p>
        </w:tc>
        <w:tc>
          <w:tcPr>
            <w:tcW w:w="1339" w:type="dxa"/>
            <w:vAlign w:val="center"/>
          </w:tcPr>
          <w:p w14:paraId="2F49CA3D" w14:textId="77777777" w:rsidR="004E22C1" w:rsidRPr="001455DC" w:rsidRDefault="004E22C1" w:rsidP="00A0760E">
            <w:pPr>
              <w:pStyle w:val="Tablebody"/>
              <w:jc w:val="center"/>
              <w:rPr>
                <w:szCs w:val="22"/>
              </w:rPr>
            </w:pPr>
            <w:r w:rsidRPr="001455DC">
              <w:rPr>
                <w:szCs w:val="22"/>
              </w:rPr>
              <w:t>55</w:t>
            </w:r>
          </w:p>
        </w:tc>
        <w:tc>
          <w:tcPr>
            <w:tcW w:w="1332" w:type="dxa"/>
            <w:vAlign w:val="center"/>
          </w:tcPr>
          <w:p w14:paraId="3CE04314" w14:textId="77777777" w:rsidR="004E22C1" w:rsidRPr="001455DC" w:rsidRDefault="004E22C1" w:rsidP="00A0760E">
            <w:pPr>
              <w:pStyle w:val="Tablebody"/>
              <w:jc w:val="center"/>
              <w:rPr>
                <w:szCs w:val="22"/>
              </w:rPr>
            </w:pPr>
            <w:r w:rsidRPr="001455DC">
              <w:rPr>
                <w:szCs w:val="22"/>
              </w:rPr>
              <w:t>60</w:t>
            </w:r>
          </w:p>
        </w:tc>
        <w:tc>
          <w:tcPr>
            <w:tcW w:w="1459" w:type="dxa"/>
            <w:vAlign w:val="center"/>
          </w:tcPr>
          <w:p w14:paraId="027A2399" w14:textId="77777777" w:rsidR="004E22C1" w:rsidRPr="001455DC" w:rsidRDefault="004E22C1" w:rsidP="00A0760E">
            <w:pPr>
              <w:pStyle w:val="Tablebody"/>
              <w:jc w:val="center"/>
              <w:rPr>
                <w:szCs w:val="22"/>
              </w:rPr>
            </w:pPr>
            <w:r w:rsidRPr="001455DC">
              <w:rPr>
                <w:szCs w:val="22"/>
              </w:rPr>
              <w:t>65</w:t>
            </w:r>
          </w:p>
        </w:tc>
      </w:tr>
    </w:tbl>
    <w:p w14:paraId="787E2D55" w14:textId="77777777" w:rsidR="004E22C1" w:rsidRPr="001455DC" w:rsidRDefault="004E22C1" w:rsidP="004C68F7">
      <w:pPr>
        <w:pStyle w:val="a7"/>
      </w:pPr>
    </w:p>
    <w:p w14:paraId="1B9E0945" w14:textId="77777777" w:rsidR="004E22C1" w:rsidRPr="001455DC" w:rsidRDefault="004E22C1" w:rsidP="004C68F7">
      <w:pPr>
        <w:pStyle w:val="a7"/>
      </w:pPr>
      <w:r w:rsidRPr="001455DC">
        <w:t>(2)</w:t>
      </w:r>
      <w:r w:rsidRPr="001455DC">
        <w:tab/>
        <w:t>The concrete cover should be increased by the additive safety element ∆</w:t>
      </w:r>
      <w:r w:rsidRPr="001455DC">
        <w:rPr>
          <w:rStyle w:val="CCMCvariableitalic"/>
        </w:rPr>
        <w:t>c</w:t>
      </w:r>
      <w:r w:rsidRPr="001455DC">
        <w:rPr>
          <w:rStyle w:val="CCMCvariablesubscript"/>
        </w:rPr>
        <w:t>dur,</w:t>
      </w:r>
      <w:r w:rsidRPr="001455DC">
        <w:rPr>
          <w:rStyle w:val="CCMCvariableitalic"/>
        </w:rPr>
        <w:t>γ</w:t>
      </w:r>
      <w:r w:rsidRPr="001455DC">
        <w:t>.</w:t>
      </w:r>
    </w:p>
    <w:p w14:paraId="18D66B6B" w14:textId="41B91A1B" w:rsidR="004E22C1" w:rsidRPr="001455DC" w:rsidRDefault="004E22C1" w:rsidP="004C68F7">
      <w:pPr>
        <w:pStyle w:val="Note"/>
      </w:pPr>
      <w:r w:rsidRPr="001455DC">
        <w:rPr>
          <w:bCs/>
        </w:rPr>
        <w:t>NOTE</w:t>
      </w:r>
      <w:r w:rsidR="00767E94" w:rsidRPr="001455DC">
        <w:rPr>
          <w:bCs/>
        </w:rPr>
        <w:t xml:space="preserve"> 2</w:t>
      </w:r>
      <w:r w:rsidRPr="001455DC">
        <w:rPr>
          <w:bCs/>
        </w:rPr>
        <w:tab/>
        <w:t xml:space="preserve">The value of </w:t>
      </w:r>
      <w:r w:rsidRPr="001455DC">
        <w:t>Δ</w:t>
      </w:r>
      <w:r w:rsidRPr="001455DC">
        <w:rPr>
          <w:rStyle w:val="CCMCvariableitalic"/>
        </w:rPr>
        <w:t>c</w:t>
      </w:r>
      <w:r w:rsidRPr="001455DC">
        <w:rPr>
          <w:rStyle w:val="CCMCvariablesubscript"/>
        </w:rPr>
        <w:t>dur,</w:t>
      </w:r>
      <w:r w:rsidRPr="001455DC">
        <w:rPr>
          <w:rStyle w:val="CCMCvariableitalic"/>
        </w:rPr>
        <w:t>γ</w:t>
      </w:r>
      <w:r w:rsidRPr="001455DC">
        <w:t xml:space="preserve"> for use in a </w:t>
      </w:r>
      <w:r w:rsidR="008F443D" w:rsidRPr="001455DC">
        <w:t xml:space="preserve">country </w:t>
      </w:r>
      <w:r w:rsidRPr="001455DC">
        <w:t>can be found in its National Annex. The recommended value is 0 mm.</w:t>
      </w:r>
    </w:p>
    <w:p w14:paraId="74E3A90E" w14:textId="77777777" w:rsidR="004E22C1" w:rsidRPr="001455DC" w:rsidRDefault="004E22C1" w:rsidP="004C68F7">
      <w:pPr>
        <w:pStyle w:val="a7"/>
      </w:pPr>
      <w:r w:rsidRPr="001455DC">
        <w:rPr>
          <w:szCs w:val="22"/>
        </w:rPr>
        <w:t>(3)</w:t>
      </w:r>
      <w:r w:rsidRPr="001455DC">
        <w:rPr>
          <w:szCs w:val="22"/>
        </w:rPr>
        <w:tab/>
      </w:r>
      <w:r w:rsidRPr="001455DC">
        <w:t>Where stainless steel is used or where other special measures have been taken, the minimum cover may be reduced by Δ</w:t>
      </w:r>
      <w:r w:rsidRPr="001455DC">
        <w:rPr>
          <w:rStyle w:val="CCMCvariableitalic"/>
        </w:rPr>
        <w:t>c</w:t>
      </w:r>
      <w:r w:rsidRPr="001455DC">
        <w:rPr>
          <w:rStyle w:val="CCMCvariablesubscript"/>
        </w:rPr>
        <w:t>dur,st</w:t>
      </w:r>
      <w:r w:rsidRPr="001455DC">
        <w:t>. For such situations the effects on all relevant material properties should be considered, including bond.</w:t>
      </w:r>
    </w:p>
    <w:p w14:paraId="5CD97F56" w14:textId="752B63DC" w:rsidR="004E22C1" w:rsidRPr="001455DC" w:rsidRDefault="004E22C1" w:rsidP="004C68F7">
      <w:pPr>
        <w:pStyle w:val="Note"/>
      </w:pPr>
      <w:r w:rsidRPr="001455DC">
        <w:t>NOTE</w:t>
      </w:r>
      <w:r w:rsidR="008F443D" w:rsidRPr="001455DC">
        <w:t xml:space="preserve"> 3</w:t>
      </w:r>
      <w:r w:rsidRPr="001455DC">
        <w:tab/>
        <w:t>The value of Δ</w:t>
      </w:r>
      <w:r w:rsidRPr="001455DC">
        <w:rPr>
          <w:rStyle w:val="CCMCvariableitalic"/>
        </w:rPr>
        <w:t>c</w:t>
      </w:r>
      <w:r w:rsidRPr="001455DC">
        <w:rPr>
          <w:rStyle w:val="CCMCvariablesubscript"/>
        </w:rPr>
        <w:t>dur,st</w:t>
      </w:r>
      <w:r w:rsidRPr="001455DC">
        <w:t xml:space="preserve"> </w:t>
      </w:r>
      <w:r w:rsidRPr="001455DC">
        <w:rPr>
          <w:bCs/>
        </w:rPr>
        <w:t xml:space="preserve">for use in a </w:t>
      </w:r>
      <w:r w:rsidR="008F443D" w:rsidRPr="001455DC">
        <w:rPr>
          <w:bCs/>
        </w:rPr>
        <w:t xml:space="preserve">country </w:t>
      </w:r>
      <w:r w:rsidRPr="001455DC">
        <w:rPr>
          <w:bCs/>
        </w:rPr>
        <w:t>can be found in its National Annex</w:t>
      </w:r>
      <w:r w:rsidRPr="001455DC">
        <w:t>. The recommended value, without further specification, is 0 mm.</w:t>
      </w:r>
    </w:p>
    <w:p w14:paraId="1EF6ECD2" w14:textId="0024F261" w:rsidR="004E22C1" w:rsidRPr="001455DC" w:rsidRDefault="004E22C1" w:rsidP="00082680">
      <w:pPr>
        <w:pStyle w:val="a2"/>
      </w:pPr>
      <w:bookmarkStart w:id="2542" w:name="_Toc52820461"/>
      <w:bookmarkStart w:id="2543" w:name="_Toc54337251"/>
      <w:bookmarkStart w:id="2544" w:name="_Toc54337902"/>
      <w:bookmarkStart w:id="2545" w:name="_Toc54338506"/>
      <w:bookmarkStart w:id="2546" w:name="_Toc67565663"/>
      <w:r w:rsidRPr="001455DC">
        <w:t>Indicative strength classes for durability</w:t>
      </w:r>
      <w:bookmarkEnd w:id="2542"/>
      <w:bookmarkEnd w:id="2543"/>
      <w:bookmarkEnd w:id="2544"/>
      <w:bookmarkEnd w:id="2545"/>
      <w:bookmarkEnd w:id="2546"/>
    </w:p>
    <w:p w14:paraId="01E80152" w14:textId="77777777" w:rsidR="004E22C1" w:rsidRPr="001455DC" w:rsidRDefault="004E22C1" w:rsidP="004C68F7">
      <w:pPr>
        <w:pStyle w:val="a7"/>
      </w:pPr>
      <w:r w:rsidRPr="001455DC">
        <w:t>(1)</w:t>
      </w:r>
      <w:r w:rsidRPr="001455DC">
        <w:tab/>
        <w:t>The choice of adequately durable concrete for corrosion protection of reinforcement and protection of concrete attack, requires consideration of the composition of concrete. This may result in a higher compressive strength of the concrete than is required for structural design. The relationship between concrete strength classes and exposure classes (see Table 6.1) may be described by indicative strength classes.</w:t>
      </w:r>
    </w:p>
    <w:p w14:paraId="3C874FC6" w14:textId="1CA2D7E6" w:rsidR="004E22C1" w:rsidRPr="001455DC" w:rsidRDefault="004E22C1" w:rsidP="004C68F7">
      <w:pPr>
        <w:pStyle w:val="Note"/>
      </w:pPr>
      <w:r w:rsidRPr="001455DC">
        <w:t>NOTE</w:t>
      </w:r>
      <w:r w:rsidRPr="001455DC">
        <w:tab/>
        <w:t xml:space="preserve">Values of indicative minimum strength classes for use in a </w:t>
      </w:r>
      <w:r w:rsidR="008F443D" w:rsidRPr="001455DC">
        <w:t>c</w:t>
      </w:r>
      <w:r w:rsidRPr="001455DC">
        <w:t>ountry can be found in its National Annex. The recommended values are given in Table P.4(NDP).</w:t>
      </w:r>
    </w:p>
    <w:p w14:paraId="2E0C467C" w14:textId="31279FAE" w:rsidR="004E22C1" w:rsidRPr="001455DC" w:rsidRDefault="004E22C1" w:rsidP="00C85C70">
      <w:pPr>
        <w:pStyle w:val="Tabletitle"/>
        <w:pageBreakBefore/>
      </w:pPr>
      <w:bookmarkStart w:id="2547" w:name="_Toc54337903"/>
      <w:r w:rsidRPr="001455DC">
        <w:t>Table P.4(NDP) — Indicative minimum strength classes</w:t>
      </w:r>
      <w:bookmarkEnd w:id="2547"/>
    </w:p>
    <w:tbl>
      <w:tblPr>
        <w:tblStyle w:val="53"/>
        <w:tblW w:w="9750" w:type="dxa"/>
        <w:tblLayout w:type="fixed"/>
        <w:tblCellMar>
          <w:left w:w="71" w:type="dxa"/>
          <w:right w:w="71" w:type="dxa"/>
        </w:tblCellMar>
        <w:tblLook w:val="0660" w:firstRow="1" w:lastRow="1" w:firstColumn="0" w:lastColumn="0" w:noHBand="1" w:noVBand="1"/>
      </w:tblPr>
      <w:tblGrid>
        <w:gridCol w:w="680"/>
        <w:gridCol w:w="907"/>
        <w:gridCol w:w="907"/>
        <w:gridCol w:w="907"/>
        <w:gridCol w:w="907"/>
        <w:gridCol w:w="907"/>
        <w:gridCol w:w="907"/>
        <w:gridCol w:w="907"/>
        <w:gridCol w:w="907"/>
        <w:gridCol w:w="907"/>
        <w:gridCol w:w="907"/>
      </w:tblGrid>
      <w:tr w:rsidR="00C85C70" w:rsidRPr="001455DC" w14:paraId="0F19BAD7" w14:textId="77777777" w:rsidTr="00C85C70">
        <w:trPr>
          <w:cnfStyle w:val="100000000000" w:firstRow="1" w:lastRow="0" w:firstColumn="0" w:lastColumn="0" w:oddVBand="0" w:evenVBand="0" w:oddHBand="0" w:evenHBand="0" w:firstRowFirstColumn="0" w:firstRowLastColumn="0" w:lastRowFirstColumn="0" w:lastRowLastColumn="0"/>
          <w:cantSplit/>
          <w:tblHeader/>
        </w:trPr>
        <w:tc>
          <w:tcPr>
            <w:tcW w:w="9750" w:type="dxa"/>
            <w:gridSpan w:val="11"/>
          </w:tcPr>
          <w:p w14:paraId="27F8CE94" w14:textId="58BDD86D" w:rsidR="00C85C70" w:rsidRPr="001455DC" w:rsidRDefault="00C85C70" w:rsidP="0032033D">
            <w:pPr>
              <w:pStyle w:val="Tablebody"/>
              <w:keepNext/>
              <w:jc w:val="center"/>
              <w:rPr>
                <w:b/>
                <w:bCs/>
                <w:szCs w:val="22"/>
              </w:rPr>
            </w:pPr>
            <w:r w:rsidRPr="001455DC">
              <w:rPr>
                <w:b/>
                <w:bCs/>
                <w:szCs w:val="22"/>
              </w:rPr>
              <w:t>Corrosion</w:t>
            </w:r>
          </w:p>
        </w:tc>
      </w:tr>
      <w:tr w:rsidR="00C85C70" w:rsidRPr="001455DC" w14:paraId="180CACEA" w14:textId="77777777" w:rsidTr="00C85C70">
        <w:trPr>
          <w:cnfStyle w:val="100000000000" w:firstRow="1" w:lastRow="0" w:firstColumn="0" w:lastColumn="0" w:oddVBand="0" w:evenVBand="0" w:oddHBand="0" w:evenHBand="0" w:firstRowFirstColumn="0" w:firstRowLastColumn="0" w:lastRowFirstColumn="0" w:lastRowLastColumn="0"/>
          <w:cantSplit/>
          <w:tblHeader/>
        </w:trPr>
        <w:tc>
          <w:tcPr>
            <w:tcW w:w="680" w:type="dxa"/>
          </w:tcPr>
          <w:p w14:paraId="692190FC" w14:textId="77777777" w:rsidR="00C85C70" w:rsidRPr="001455DC" w:rsidRDefault="00C85C70" w:rsidP="0032033D">
            <w:pPr>
              <w:pStyle w:val="Tablebody"/>
              <w:keepNext/>
              <w:jc w:val="center"/>
              <w:rPr>
                <w:b/>
                <w:szCs w:val="22"/>
              </w:rPr>
            </w:pPr>
          </w:p>
        </w:tc>
        <w:tc>
          <w:tcPr>
            <w:tcW w:w="3628" w:type="dxa"/>
            <w:gridSpan w:val="4"/>
          </w:tcPr>
          <w:p w14:paraId="47C40D4E" w14:textId="4919D534" w:rsidR="00C85C70" w:rsidRPr="001455DC" w:rsidRDefault="00C85C70" w:rsidP="0032033D">
            <w:pPr>
              <w:pStyle w:val="Tablebody"/>
              <w:keepNext/>
              <w:jc w:val="center"/>
              <w:rPr>
                <w:b/>
                <w:szCs w:val="22"/>
              </w:rPr>
            </w:pPr>
            <w:r w:rsidRPr="001455DC">
              <w:rPr>
                <w:b/>
                <w:szCs w:val="22"/>
              </w:rPr>
              <w:t>Carbonation-induced</w:t>
            </w:r>
          </w:p>
        </w:tc>
        <w:tc>
          <w:tcPr>
            <w:tcW w:w="2721" w:type="dxa"/>
            <w:gridSpan w:val="3"/>
          </w:tcPr>
          <w:p w14:paraId="473F498B" w14:textId="3EECD79C" w:rsidR="00C85C70" w:rsidRPr="001455DC" w:rsidRDefault="00C85C70" w:rsidP="0032033D">
            <w:pPr>
              <w:pStyle w:val="Tablebody"/>
              <w:keepNext/>
              <w:jc w:val="center"/>
              <w:rPr>
                <w:b/>
                <w:szCs w:val="22"/>
              </w:rPr>
            </w:pPr>
            <w:r w:rsidRPr="001455DC">
              <w:rPr>
                <w:b/>
                <w:szCs w:val="22"/>
              </w:rPr>
              <w:t>Chloride-induced</w:t>
            </w:r>
          </w:p>
        </w:tc>
        <w:tc>
          <w:tcPr>
            <w:tcW w:w="2721" w:type="dxa"/>
            <w:gridSpan w:val="3"/>
          </w:tcPr>
          <w:p w14:paraId="61F53C06" w14:textId="3D3E3BD9" w:rsidR="00C85C70" w:rsidRPr="009D3012" w:rsidRDefault="00C85C70" w:rsidP="0032033D">
            <w:pPr>
              <w:pStyle w:val="Tablebody"/>
              <w:keepNext/>
              <w:jc w:val="center"/>
              <w:rPr>
                <w:b/>
                <w:szCs w:val="22"/>
                <w:lang w:val="en-US"/>
              </w:rPr>
            </w:pPr>
            <w:r w:rsidRPr="009D3012">
              <w:rPr>
                <w:b/>
                <w:szCs w:val="22"/>
                <w:lang w:val="en-US"/>
              </w:rPr>
              <w:t>Chloride-induced from sea-water</w:t>
            </w:r>
          </w:p>
        </w:tc>
      </w:tr>
      <w:tr w:rsidR="004E22C1" w:rsidRPr="001455DC" w14:paraId="638B222F" w14:textId="77777777" w:rsidTr="00C85C70">
        <w:trPr>
          <w:cantSplit/>
        </w:trPr>
        <w:tc>
          <w:tcPr>
            <w:tcW w:w="680" w:type="dxa"/>
            <w:vAlign w:val="center"/>
          </w:tcPr>
          <w:p w14:paraId="395254B7" w14:textId="77777777" w:rsidR="004E22C1" w:rsidRPr="001455DC" w:rsidRDefault="004E22C1" w:rsidP="0032033D">
            <w:pPr>
              <w:pStyle w:val="Tablebody"/>
              <w:keepNext/>
              <w:jc w:val="center"/>
              <w:rPr>
                <w:szCs w:val="22"/>
              </w:rPr>
            </w:pPr>
            <w:r w:rsidRPr="001455DC">
              <w:rPr>
                <w:szCs w:val="22"/>
              </w:rPr>
              <w:t>1</w:t>
            </w:r>
          </w:p>
        </w:tc>
        <w:tc>
          <w:tcPr>
            <w:tcW w:w="907" w:type="dxa"/>
            <w:vAlign w:val="center"/>
          </w:tcPr>
          <w:p w14:paraId="2688C3CD" w14:textId="77777777" w:rsidR="004E22C1" w:rsidRPr="001455DC" w:rsidRDefault="004E22C1" w:rsidP="0032033D">
            <w:pPr>
              <w:pStyle w:val="Tablebody"/>
              <w:keepNext/>
              <w:jc w:val="center"/>
              <w:rPr>
                <w:szCs w:val="22"/>
              </w:rPr>
            </w:pPr>
            <w:r w:rsidRPr="001455DC">
              <w:rPr>
                <w:szCs w:val="22"/>
              </w:rPr>
              <w:t>XC1</w:t>
            </w:r>
          </w:p>
        </w:tc>
        <w:tc>
          <w:tcPr>
            <w:tcW w:w="907" w:type="dxa"/>
            <w:vAlign w:val="center"/>
          </w:tcPr>
          <w:p w14:paraId="67CC68B6" w14:textId="77777777" w:rsidR="004E22C1" w:rsidRPr="001455DC" w:rsidRDefault="004E22C1" w:rsidP="0032033D">
            <w:pPr>
              <w:pStyle w:val="Tablebody"/>
              <w:keepNext/>
              <w:jc w:val="center"/>
              <w:rPr>
                <w:szCs w:val="22"/>
              </w:rPr>
            </w:pPr>
            <w:r w:rsidRPr="001455DC">
              <w:rPr>
                <w:szCs w:val="22"/>
              </w:rPr>
              <w:t>XC2</w:t>
            </w:r>
          </w:p>
        </w:tc>
        <w:tc>
          <w:tcPr>
            <w:tcW w:w="907" w:type="dxa"/>
            <w:vAlign w:val="center"/>
          </w:tcPr>
          <w:p w14:paraId="27D9F4C5" w14:textId="77777777" w:rsidR="004E22C1" w:rsidRPr="001455DC" w:rsidRDefault="004E22C1" w:rsidP="0032033D">
            <w:pPr>
              <w:pStyle w:val="Tablebody"/>
              <w:keepNext/>
              <w:jc w:val="center"/>
              <w:rPr>
                <w:szCs w:val="22"/>
              </w:rPr>
            </w:pPr>
            <w:r w:rsidRPr="001455DC">
              <w:rPr>
                <w:szCs w:val="22"/>
              </w:rPr>
              <w:t>XC3</w:t>
            </w:r>
          </w:p>
        </w:tc>
        <w:tc>
          <w:tcPr>
            <w:tcW w:w="907" w:type="dxa"/>
            <w:vAlign w:val="center"/>
          </w:tcPr>
          <w:p w14:paraId="6F8FFD8F" w14:textId="77777777" w:rsidR="004E22C1" w:rsidRPr="001455DC" w:rsidRDefault="004E22C1" w:rsidP="0032033D">
            <w:pPr>
              <w:pStyle w:val="Tablebody"/>
              <w:keepNext/>
              <w:jc w:val="center"/>
              <w:rPr>
                <w:szCs w:val="22"/>
              </w:rPr>
            </w:pPr>
            <w:r w:rsidRPr="001455DC">
              <w:rPr>
                <w:szCs w:val="22"/>
              </w:rPr>
              <w:t>XC4</w:t>
            </w:r>
          </w:p>
        </w:tc>
        <w:tc>
          <w:tcPr>
            <w:tcW w:w="907" w:type="dxa"/>
            <w:vAlign w:val="center"/>
          </w:tcPr>
          <w:p w14:paraId="01FF488B" w14:textId="77777777" w:rsidR="004E22C1" w:rsidRPr="001455DC" w:rsidRDefault="004E22C1" w:rsidP="0032033D">
            <w:pPr>
              <w:pStyle w:val="Tablebody"/>
              <w:keepNext/>
              <w:jc w:val="center"/>
              <w:rPr>
                <w:szCs w:val="22"/>
              </w:rPr>
            </w:pPr>
            <w:r w:rsidRPr="001455DC">
              <w:rPr>
                <w:szCs w:val="22"/>
              </w:rPr>
              <w:t>XD1</w:t>
            </w:r>
          </w:p>
        </w:tc>
        <w:tc>
          <w:tcPr>
            <w:tcW w:w="907" w:type="dxa"/>
            <w:vAlign w:val="center"/>
          </w:tcPr>
          <w:p w14:paraId="398EBE0F" w14:textId="77777777" w:rsidR="004E22C1" w:rsidRPr="001455DC" w:rsidRDefault="004E22C1" w:rsidP="0032033D">
            <w:pPr>
              <w:pStyle w:val="Tablebody"/>
              <w:keepNext/>
              <w:jc w:val="center"/>
              <w:rPr>
                <w:szCs w:val="22"/>
              </w:rPr>
            </w:pPr>
            <w:r w:rsidRPr="001455DC">
              <w:rPr>
                <w:szCs w:val="22"/>
              </w:rPr>
              <w:t>XD2</w:t>
            </w:r>
          </w:p>
        </w:tc>
        <w:tc>
          <w:tcPr>
            <w:tcW w:w="907" w:type="dxa"/>
            <w:vAlign w:val="center"/>
          </w:tcPr>
          <w:p w14:paraId="341E1CD2" w14:textId="55DD2909" w:rsidR="004E22C1" w:rsidRPr="001455DC" w:rsidRDefault="004E22C1" w:rsidP="0032033D">
            <w:pPr>
              <w:pStyle w:val="Tablebody"/>
              <w:keepNext/>
              <w:jc w:val="center"/>
              <w:rPr>
                <w:szCs w:val="22"/>
              </w:rPr>
            </w:pPr>
            <w:r w:rsidRPr="001455DC">
              <w:rPr>
                <w:szCs w:val="22"/>
              </w:rPr>
              <w:t>XD3</w:t>
            </w:r>
          </w:p>
        </w:tc>
        <w:tc>
          <w:tcPr>
            <w:tcW w:w="907" w:type="dxa"/>
            <w:vAlign w:val="center"/>
          </w:tcPr>
          <w:p w14:paraId="024466D4" w14:textId="77777777" w:rsidR="004E22C1" w:rsidRPr="001455DC" w:rsidRDefault="004E22C1" w:rsidP="0032033D">
            <w:pPr>
              <w:pStyle w:val="Tablebody"/>
              <w:keepNext/>
              <w:jc w:val="center"/>
              <w:rPr>
                <w:szCs w:val="22"/>
              </w:rPr>
            </w:pPr>
            <w:r w:rsidRPr="001455DC">
              <w:rPr>
                <w:szCs w:val="22"/>
              </w:rPr>
              <w:t>XS1</w:t>
            </w:r>
          </w:p>
        </w:tc>
        <w:tc>
          <w:tcPr>
            <w:tcW w:w="907" w:type="dxa"/>
            <w:vAlign w:val="center"/>
          </w:tcPr>
          <w:p w14:paraId="152991E2" w14:textId="77777777" w:rsidR="004E22C1" w:rsidRPr="001455DC" w:rsidRDefault="004E22C1" w:rsidP="0032033D">
            <w:pPr>
              <w:pStyle w:val="Tablebody"/>
              <w:keepNext/>
              <w:jc w:val="center"/>
              <w:rPr>
                <w:szCs w:val="22"/>
              </w:rPr>
            </w:pPr>
            <w:r w:rsidRPr="001455DC">
              <w:rPr>
                <w:szCs w:val="22"/>
              </w:rPr>
              <w:t>XS2</w:t>
            </w:r>
          </w:p>
        </w:tc>
        <w:tc>
          <w:tcPr>
            <w:tcW w:w="907" w:type="dxa"/>
            <w:vAlign w:val="center"/>
          </w:tcPr>
          <w:p w14:paraId="76CE4DC9" w14:textId="77777777" w:rsidR="004E22C1" w:rsidRPr="001455DC" w:rsidRDefault="004E22C1" w:rsidP="0032033D">
            <w:pPr>
              <w:pStyle w:val="Tablebody"/>
              <w:keepNext/>
              <w:jc w:val="center"/>
              <w:rPr>
                <w:szCs w:val="22"/>
              </w:rPr>
            </w:pPr>
            <w:r w:rsidRPr="001455DC">
              <w:rPr>
                <w:szCs w:val="22"/>
              </w:rPr>
              <w:t>XS3</w:t>
            </w:r>
          </w:p>
        </w:tc>
      </w:tr>
      <w:tr w:rsidR="00C85C70" w:rsidRPr="001455DC" w14:paraId="5CF8BC0B" w14:textId="77777777" w:rsidTr="00C85C70">
        <w:trPr>
          <w:cantSplit/>
        </w:trPr>
        <w:tc>
          <w:tcPr>
            <w:tcW w:w="680" w:type="dxa"/>
            <w:tcBorders>
              <w:bottom w:val="single" w:sz="12" w:space="0" w:color="000000"/>
            </w:tcBorders>
            <w:vAlign w:val="center"/>
          </w:tcPr>
          <w:p w14:paraId="6BAB632D" w14:textId="77777777" w:rsidR="00C85C70" w:rsidRPr="001455DC" w:rsidRDefault="00C85C70" w:rsidP="0032033D">
            <w:pPr>
              <w:pStyle w:val="Tablebody"/>
              <w:keepNext/>
              <w:jc w:val="center"/>
              <w:rPr>
                <w:szCs w:val="22"/>
              </w:rPr>
            </w:pPr>
            <w:r w:rsidRPr="001455DC">
              <w:rPr>
                <w:szCs w:val="22"/>
              </w:rPr>
              <w:t>2</w:t>
            </w:r>
          </w:p>
        </w:tc>
        <w:tc>
          <w:tcPr>
            <w:tcW w:w="907" w:type="dxa"/>
            <w:tcBorders>
              <w:bottom w:val="single" w:sz="12" w:space="0" w:color="000000"/>
            </w:tcBorders>
            <w:vAlign w:val="center"/>
          </w:tcPr>
          <w:p w14:paraId="2908AA16" w14:textId="77777777" w:rsidR="00C85C70" w:rsidRPr="001455DC" w:rsidRDefault="00C85C70" w:rsidP="0032033D">
            <w:pPr>
              <w:pStyle w:val="Tablebody"/>
              <w:keepNext/>
              <w:jc w:val="center"/>
              <w:rPr>
                <w:szCs w:val="22"/>
              </w:rPr>
            </w:pPr>
            <w:r w:rsidRPr="001455DC">
              <w:rPr>
                <w:szCs w:val="22"/>
              </w:rPr>
              <w:t>C20/25</w:t>
            </w:r>
          </w:p>
        </w:tc>
        <w:tc>
          <w:tcPr>
            <w:tcW w:w="907" w:type="dxa"/>
            <w:tcBorders>
              <w:bottom w:val="single" w:sz="12" w:space="0" w:color="000000"/>
            </w:tcBorders>
            <w:vAlign w:val="center"/>
          </w:tcPr>
          <w:p w14:paraId="4C71E7D5" w14:textId="77777777" w:rsidR="00C85C70" w:rsidRPr="001455DC" w:rsidRDefault="00C85C70" w:rsidP="0032033D">
            <w:pPr>
              <w:pStyle w:val="Tablebody"/>
              <w:keepNext/>
              <w:jc w:val="center"/>
              <w:rPr>
                <w:szCs w:val="22"/>
              </w:rPr>
            </w:pPr>
            <w:r w:rsidRPr="001455DC">
              <w:rPr>
                <w:szCs w:val="22"/>
              </w:rPr>
              <w:t>C25/30</w:t>
            </w:r>
          </w:p>
        </w:tc>
        <w:tc>
          <w:tcPr>
            <w:tcW w:w="1814" w:type="dxa"/>
            <w:gridSpan w:val="2"/>
            <w:tcBorders>
              <w:bottom w:val="single" w:sz="12" w:space="0" w:color="000000"/>
            </w:tcBorders>
            <w:vAlign w:val="center"/>
          </w:tcPr>
          <w:p w14:paraId="291345D9" w14:textId="24EE1661" w:rsidR="00C85C70" w:rsidRPr="001455DC" w:rsidRDefault="00C85C70" w:rsidP="0032033D">
            <w:pPr>
              <w:pStyle w:val="Tablebody"/>
              <w:keepNext/>
              <w:jc w:val="center"/>
              <w:rPr>
                <w:szCs w:val="22"/>
              </w:rPr>
            </w:pPr>
            <w:r w:rsidRPr="001455DC">
              <w:rPr>
                <w:szCs w:val="22"/>
              </w:rPr>
              <w:t>C30/37</w:t>
            </w:r>
          </w:p>
        </w:tc>
        <w:tc>
          <w:tcPr>
            <w:tcW w:w="1814" w:type="dxa"/>
            <w:gridSpan w:val="2"/>
            <w:tcBorders>
              <w:bottom w:val="single" w:sz="12" w:space="0" w:color="000000"/>
            </w:tcBorders>
            <w:vAlign w:val="center"/>
          </w:tcPr>
          <w:p w14:paraId="1456D41D" w14:textId="5281B27B" w:rsidR="00C85C70" w:rsidRPr="001455DC" w:rsidRDefault="00C85C70" w:rsidP="0032033D">
            <w:pPr>
              <w:pStyle w:val="Tablebody"/>
              <w:keepNext/>
              <w:jc w:val="center"/>
              <w:rPr>
                <w:szCs w:val="22"/>
              </w:rPr>
            </w:pPr>
            <w:r w:rsidRPr="001455DC">
              <w:rPr>
                <w:szCs w:val="22"/>
              </w:rPr>
              <w:t>C30/37</w:t>
            </w:r>
          </w:p>
        </w:tc>
        <w:tc>
          <w:tcPr>
            <w:tcW w:w="907" w:type="dxa"/>
            <w:tcBorders>
              <w:bottom w:val="single" w:sz="12" w:space="0" w:color="000000"/>
            </w:tcBorders>
            <w:vAlign w:val="center"/>
          </w:tcPr>
          <w:p w14:paraId="62142AC2" w14:textId="77777777" w:rsidR="00C85C70" w:rsidRPr="001455DC" w:rsidRDefault="00C85C70" w:rsidP="0032033D">
            <w:pPr>
              <w:pStyle w:val="Tablebody"/>
              <w:keepNext/>
              <w:jc w:val="center"/>
              <w:rPr>
                <w:szCs w:val="22"/>
              </w:rPr>
            </w:pPr>
            <w:r w:rsidRPr="001455DC">
              <w:rPr>
                <w:szCs w:val="22"/>
              </w:rPr>
              <w:t>C35/45</w:t>
            </w:r>
          </w:p>
        </w:tc>
        <w:tc>
          <w:tcPr>
            <w:tcW w:w="907" w:type="dxa"/>
            <w:tcBorders>
              <w:bottom w:val="single" w:sz="12" w:space="0" w:color="000000"/>
            </w:tcBorders>
            <w:vAlign w:val="center"/>
          </w:tcPr>
          <w:p w14:paraId="3AB94698" w14:textId="77777777" w:rsidR="00C85C70" w:rsidRPr="001455DC" w:rsidRDefault="00C85C70" w:rsidP="0032033D">
            <w:pPr>
              <w:pStyle w:val="Tablebody"/>
              <w:keepNext/>
              <w:jc w:val="center"/>
              <w:rPr>
                <w:szCs w:val="22"/>
              </w:rPr>
            </w:pPr>
            <w:r w:rsidRPr="001455DC">
              <w:rPr>
                <w:szCs w:val="22"/>
              </w:rPr>
              <w:t>C30/37</w:t>
            </w:r>
          </w:p>
        </w:tc>
        <w:tc>
          <w:tcPr>
            <w:tcW w:w="1814" w:type="dxa"/>
            <w:gridSpan w:val="2"/>
            <w:tcBorders>
              <w:bottom w:val="single" w:sz="12" w:space="0" w:color="000000"/>
            </w:tcBorders>
            <w:vAlign w:val="center"/>
          </w:tcPr>
          <w:p w14:paraId="70D60132" w14:textId="7C49A189" w:rsidR="00C85C70" w:rsidRPr="001455DC" w:rsidRDefault="00C85C70" w:rsidP="0032033D">
            <w:pPr>
              <w:pStyle w:val="Tablebody"/>
              <w:keepNext/>
              <w:jc w:val="center"/>
              <w:rPr>
                <w:szCs w:val="22"/>
              </w:rPr>
            </w:pPr>
            <w:r w:rsidRPr="001455DC">
              <w:rPr>
                <w:szCs w:val="22"/>
              </w:rPr>
              <w:t>C35/45</w:t>
            </w:r>
          </w:p>
        </w:tc>
      </w:tr>
      <w:tr w:rsidR="00C85C70" w:rsidRPr="001455DC" w14:paraId="4883BB13" w14:textId="77777777" w:rsidTr="00C85C70">
        <w:trPr>
          <w:cantSplit/>
        </w:trPr>
        <w:tc>
          <w:tcPr>
            <w:tcW w:w="9750" w:type="dxa"/>
            <w:gridSpan w:val="11"/>
            <w:tcBorders>
              <w:top w:val="single" w:sz="12" w:space="0" w:color="000000"/>
              <w:bottom w:val="single" w:sz="6" w:space="0" w:color="000000"/>
            </w:tcBorders>
            <w:vAlign w:val="center"/>
          </w:tcPr>
          <w:p w14:paraId="20A72D5B" w14:textId="43F28D75" w:rsidR="00C85C70" w:rsidRPr="001455DC" w:rsidRDefault="00C85C70" w:rsidP="0032033D">
            <w:pPr>
              <w:pStyle w:val="Tablebody"/>
              <w:keepNext/>
              <w:jc w:val="center"/>
              <w:rPr>
                <w:b/>
                <w:szCs w:val="22"/>
              </w:rPr>
            </w:pPr>
            <w:r w:rsidRPr="001455DC">
              <w:rPr>
                <w:b/>
                <w:szCs w:val="22"/>
              </w:rPr>
              <w:t>Concrete damage</w:t>
            </w:r>
          </w:p>
        </w:tc>
      </w:tr>
      <w:tr w:rsidR="00C85C70" w:rsidRPr="001455DC" w14:paraId="35853996" w14:textId="77777777" w:rsidTr="00C85C70">
        <w:trPr>
          <w:cantSplit/>
        </w:trPr>
        <w:tc>
          <w:tcPr>
            <w:tcW w:w="680" w:type="dxa"/>
            <w:tcBorders>
              <w:top w:val="single" w:sz="6" w:space="0" w:color="000000"/>
              <w:bottom w:val="single" w:sz="12" w:space="0" w:color="000000"/>
            </w:tcBorders>
            <w:vAlign w:val="center"/>
          </w:tcPr>
          <w:p w14:paraId="4605B43B" w14:textId="77777777" w:rsidR="00C85C70" w:rsidRPr="001455DC" w:rsidRDefault="00C85C70" w:rsidP="0032033D">
            <w:pPr>
              <w:pStyle w:val="Tablebody"/>
              <w:keepNext/>
              <w:jc w:val="center"/>
              <w:rPr>
                <w:szCs w:val="22"/>
              </w:rPr>
            </w:pPr>
          </w:p>
        </w:tc>
        <w:tc>
          <w:tcPr>
            <w:tcW w:w="907" w:type="dxa"/>
            <w:tcBorders>
              <w:top w:val="single" w:sz="6" w:space="0" w:color="000000"/>
              <w:bottom w:val="single" w:sz="12" w:space="0" w:color="000000"/>
            </w:tcBorders>
            <w:vAlign w:val="center"/>
          </w:tcPr>
          <w:p w14:paraId="63E01D5D" w14:textId="67CF756D" w:rsidR="00C85C70" w:rsidRPr="001455DC" w:rsidRDefault="00C85C70" w:rsidP="0032033D">
            <w:pPr>
              <w:pStyle w:val="Tablebody"/>
              <w:keepNext/>
              <w:jc w:val="center"/>
              <w:rPr>
                <w:szCs w:val="22"/>
              </w:rPr>
            </w:pPr>
            <w:r w:rsidRPr="001455DC">
              <w:rPr>
                <w:b/>
                <w:szCs w:val="22"/>
              </w:rPr>
              <w:t>No risk</w:t>
            </w:r>
          </w:p>
        </w:tc>
        <w:tc>
          <w:tcPr>
            <w:tcW w:w="5442" w:type="dxa"/>
            <w:gridSpan w:val="6"/>
            <w:tcBorders>
              <w:top w:val="single" w:sz="6" w:space="0" w:color="000000"/>
              <w:bottom w:val="single" w:sz="12" w:space="0" w:color="000000"/>
            </w:tcBorders>
            <w:vAlign w:val="center"/>
          </w:tcPr>
          <w:p w14:paraId="7A6FB2B2" w14:textId="0C50447B" w:rsidR="00C85C70" w:rsidRPr="001455DC" w:rsidRDefault="00C85C70" w:rsidP="0032033D">
            <w:pPr>
              <w:pStyle w:val="Tablebody"/>
              <w:keepNext/>
              <w:jc w:val="center"/>
              <w:rPr>
                <w:szCs w:val="22"/>
              </w:rPr>
            </w:pPr>
            <w:r w:rsidRPr="001455DC">
              <w:rPr>
                <w:b/>
                <w:szCs w:val="22"/>
              </w:rPr>
              <w:t>Freeze/Thaw Attack</w:t>
            </w:r>
          </w:p>
        </w:tc>
        <w:tc>
          <w:tcPr>
            <w:tcW w:w="2721" w:type="dxa"/>
            <w:gridSpan w:val="3"/>
            <w:tcBorders>
              <w:top w:val="single" w:sz="6" w:space="0" w:color="000000"/>
              <w:bottom w:val="single" w:sz="12" w:space="0" w:color="000000"/>
            </w:tcBorders>
            <w:vAlign w:val="center"/>
          </w:tcPr>
          <w:p w14:paraId="401D0CEA" w14:textId="372E0702" w:rsidR="00C85C70" w:rsidRPr="001455DC" w:rsidRDefault="00C85C70" w:rsidP="0032033D">
            <w:pPr>
              <w:pStyle w:val="Tablebody"/>
              <w:keepNext/>
              <w:jc w:val="center"/>
              <w:rPr>
                <w:szCs w:val="22"/>
              </w:rPr>
            </w:pPr>
            <w:r w:rsidRPr="001455DC">
              <w:rPr>
                <w:b/>
                <w:szCs w:val="22"/>
              </w:rPr>
              <w:t>Chemical Attack</w:t>
            </w:r>
          </w:p>
        </w:tc>
      </w:tr>
      <w:tr w:rsidR="00C85C70" w:rsidRPr="001455DC" w14:paraId="6946AD8F" w14:textId="77777777" w:rsidTr="00C85C70">
        <w:trPr>
          <w:cantSplit/>
        </w:trPr>
        <w:tc>
          <w:tcPr>
            <w:tcW w:w="680" w:type="dxa"/>
            <w:tcBorders>
              <w:top w:val="single" w:sz="12" w:space="0" w:color="000000"/>
            </w:tcBorders>
            <w:vAlign w:val="center"/>
          </w:tcPr>
          <w:p w14:paraId="371928DE" w14:textId="1CD8C50B" w:rsidR="00C85C70" w:rsidRPr="001455DC" w:rsidRDefault="00C85C70" w:rsidP="0032033D">
            <w:pPr>
              <w:pStyle w:val="Tablebody"/>
              <w:keepNext/>
              <w:jc w:val="center"/>
              <w:rPr>
                <w:szCs w:val="22"/>
              </w:rPr>
            </w:pPr>
            <w:r w:rsidRPr="001455DC">
              <w:rPr>
                <w:szCs w:val="22"/>
              </w:rPr>
              <w:t>3</w:t>
            </w:r>
          </w:p>
        </w:tc>
        <w:tc>
          <w:tcPr>
            <w:tcW w:w="907" w:type="dxa"/>
            <w:tcBorders>
              <w:top w:val="single" w:sz="12" w:space="0" w:color="000000"/>
            </w:tcBorders>
            <w:vAlign w:val="center"/>
          </w:tcPr>
          <w:p w14:paraId="5B419374" w14:textId="2A7297E4" w:rsidR="00C85C70" w:rsidRPr="001455DC" w:rsidRDefault="00C85C70" w:rsidP="0032033D">
            <w:pPr>
              <w:pStyle w:val="Tablebody"/>
              <w:keepNext/>
              <w:jc w:val="center"/>
              <w:rPr>
                <w:szCs w:val="22"/>
              </w:rPr>
            </w:pPr>
            <w:r w:rsidRPr="001455DC">
              <w:rPr>
                <w:szCs w:val="22"/>
              </w:rPr>
              <w:t>X0</w:t>
            </w:r>
          </w:p>
        </w:tc>
        <w:tc>
          <w:tcPr>
            <w:tcW w:w="907" w:type="dxa"/>
            <w:tcBorders>
              <w:top w:val="single" w:sz="12" w:space="0" w:color="000000"/>
            </w:tcBorders>
            <w:vAlign w:val="center"/>
          </w:tcPr>
          <w:p w14:paraId="7DC2BBED" w14:textId="6A47710E" w:rsidR="00C85C70" w:rsidRPr="001455DC" w:rsidRDefault="00C85C70" w:rsidP="0032033D">
            <w:pPr>
              <w:pStyle w:val="Tablebody"/>
              <w:keepNext/>
              <w:jc w:val="center"/>
              <w:rPr>
                <w:szCs w:val="22"/>
              </w:rPr>
            </w:pPr>
            <w:r w:rsidRPr="001455DC">
              <w:rPr>
                <w:szCs w:val="22"/>
              </w:rPr>
              <w:t>XF1</w:t>
            </w:r>
          </w:p>
        </w:tc>
        <w:tc>
          <w:tcPr>
            <w:tcW w:w="1814" w:type="dxa"/>
            <w:gridSpan w:val="2"/>
            <w:tcBorders>
              <w:top w:val="single" w:sz="12" w:space="0" w:color="000000"/>
            </w:tcBorders>
            <w:vAlign w:val="center"/>
          </w:tcPr>
          <w:p w14:paraId="32B07DCB" w14:textId="385D6F28" w:rsidR="00C85C70" w:rsidRPr="001455DC" w:rsidRDefault="00C85C70" w:rsidP="0032033D">
            <w:pPr>
              <w:pStyle w:val="Tablebody"/>
              <w:keepNext/>
              <w:jc w:val="center"/>
              <w:rPr>
                <w:szCs w:val="22"/>
              </w:rPr>
            </w:pPr>
            <w:r w:rsidRPr="001455DC">
              <w:rPr>
                <w:szCs w:val="22"/>
              </w:rPr>
              <w:t>XF2</w:t>
            </w:r>
          </w:p>
        </w:tc>
        <w:tc>
          <w:tcPr>
            <w:tcW w:w="2721" w:type="dxa"/>
            <w:gridSpan w:val="3"/>
            <w:tcBorders>
              <w:top w:val="single" w:sz="12" w:space="0" w:color="000000"/>
            </w:tcBorders>
            <w:vAlign w:val="center"/>
          </w:tcPr>
          <w:p w14:paraId="3D76B5E5" w14:textId="272AA4B0" w:rsidR="00C85C70" w:rsidRPr="001455DC" w:rsidRDefault="00C85C70" w:rsidP="0032033D">
            <w:pPr>
              <w:pStyle w:val="Tablebody"/>
              <w:keepNext/>
              <w:jc w:val="center"/>
              <w:rPr>
                <w:szCs w:val="22"/>
              </w:rPr>
            </w:pPr>
            <w:r w:rsidRPr="001455DC">
              <w:rPr>
                <w:szCs w:val="22"/>
              </w:rPr>
              <w:t>XF3</w:t>
            </w:r>
          </w:p>
        </w:tc>
        <w:tc>
          <w:tcPr>
            <w:tcW w:w="907" w:type="dxa"/>
            <w:tcBorders>
              <w:top w:val="single" w:sz="12" w:space="0" w:color="000000"/>
            </w:tcBorders>
            <w:vAlign w:val="center"/>
          </w:tcPr>
          <w:p w14:paraId="0E2CEA63" w14:textId="3DF390B0" w:rsidR="00C85C70" w:rsidRPr="001455DC" w:rsidRDefault="00C85C70" w:rsidP="0032033D">
            <w:pPr>
              <w:pStyle w:val="Tablebody"/>
              <w:keepNext/>
              <w:jc w:val="center"/>
              <w:rPr>
                <w:szCs w:val="22"/>
              </w:rPr>
            </w:pPr>
            <w:r w:rsidRPr="001455DC">
              <w:rPr>
                <w:szCs w:val="22"/>
              </w:rPr>
              <w:t>XA1</w:t>
            </w:r>
          </w:p>
        </w:tc>
        <w:tc>
          <w:tcPr>
            <w:tcW w:w="907" w:type="dxa"/>
            <w:tcBorders>
              <w:top w:val="single" w:sz="12" w:space="0" w:color="000000"/>
            </w:tcBorders>
            <w:vAlign w:val="center"/>
          </w:tcPr>
          <w:p w14:paraId="6E4291A3" w14:textId="512452F1" w:rsidR="00C85C70" w:rsidRPr="001455DC" w:rsidRDefault="00C85C70" w:rsidP="0032033D">
            <w:pPr>
              <w:pStyle w:val="Tablebody"/>
              <w:keepNext/>
              <w:jc w:val="center"/>
              <w:rPr>
                <w:szCs w:val="22"/>
              </w:rPr>
            </w:pPr>
            <w:r w:rsidRPr="001455DC">
              <w:rPr>
                <w:szCs w:val="22"/>
              </w:rPr>
              <w:t>XA2</w:t>
            </w:r>
          </w:p>
        </w:tc>
        <w:tc>
          <w:tcPr>
            <w:tcW w:w="907" w:type="dxa"/>
            <w:tcBorders>
              <w:top w:val="single" w:sz="12" w:space="0" w:color="000000"/>
            </w:tcBorders>
            <w:vAlign w:val="center"/>
          </w:tcPr>
          <w:p w14:paraId="6C28836C" w14:textId="6FBA7B89" w:rsidR="00C85C70" w:rsidRPr="001455DC" w:rsidRDefault="00C85C70" w:rsidP="0032033D">
            <w:pPr>
              <w:pStyle w:val="Tablebody"/>
              <w:keepNext/>
              <w:jc w:val="center"/>
              <w:rPr>
                <w:szCs w:val="22"/>
              </w:rPr>
            </w:pPr>
            <w:r w:rsidRPr="001455DC">
              <w:rPr>
                <w:szCs w:val="22"/>
              </w:rPr>
              <w:t>XA3</w:t>
            </w:r>
          </w:p>
        </w:tc>
      </w:tr>
      <w:tr w:rsidR="00C85C70" w:rsidRPr="001455DC" w14:paraId="569B7596" w14:textId="77777777" w:rsidTr="00C85C70">
        <w:trPr>
          <w:cantSplit/>
        </w:trPr>
        <w:tc>
          <w:tcPr>
            <w:tcW w:w="680" w:type="dxa"/>
            <w:vAlign w:val="center"/>
          </w:tcPr>
          <w:p w14:paraId="786E840F" w14:textId="430C06CB" w:rsidR="00C85C70" w:rsidRPr="001455DC" w:rsidRDefault="00C85C70" w:rsidP="0032033D">
            <w:pPr>
              <w:pStyle w:val="Tablebody"/>
              <w:keepNext/>
              <w:jc w:val="center"/>
              <w:rPr>
                <w:szCs w:val="22"/>
              </w:rPr>
            </w:pPr>
            <w:r w:rsidRPr="001455DC">
              <w:rPr>
                <w:szCs w:val="22"/>
              </w:rPr>
              <w:t>4</w:t>
            </w:r>
          </w:p>
        </w:tc>
        <w:tc>
          <w:tcPr>
            <w:tcW w:w="907" w:type="dxa"/>
            <w:vAlign w:val="center"/>
          </w:tcPr>
          <w:p w14:paraId="42CD21AB" w14:textId="7AA6A8BE" w:rsidR="00C85C70" w:rsidRPr="001455DC" w:rsidRDefault="00C85C70" w:rsidP="0032033D">
            <w:pPr>
              <w:pStyle w:val="Tablebody"/>
              <w:keepNext/>
              <w:jc w:val="center"/>
              <w:rPr>
                <w:szCs w:val="22"/>
              </w:rPr>
            </w:pPr>
            <w:r w:rsidRPr="001455DC">
              <w:rPr>
                <w:szCs w:val="22"/>
              </w:rPr>
              <w:t>C12/15</w:t>
            </w:r>
          </w:p>
        </w:tc>
        <w:tc>
          <w:tcPr>
            <w:tcW w:w="907" w:type="dxa"/>
            <w:vAlign w:val="center"/>
          </w:tcPr>
          <w:p w14:paraId="52917E74" w14:textId="11A71C14" w:rsidR="00C85C70" w:rsidRPr="001455DC" w:rsidRDefault="00C85C70" w:rsidP="0032033D">
            <w:pPr>
              <w:pStyle w:val="Tablebody"/>
              <w:keepNext/>
              <w:jc w:val="center"/>
              <w:rPr>
                <w:szCs w:val="22"/>
              </w:rPr>
            </w:pPr>
            <w:r w:rsidRPr="001455DC">
              <w:rPr>
                <w:szCs w:val="22"/>
              </w:rPr>
              <w:t>C30/37</w:t>
            </w:r>
          </w:p>
        </w:tc>
        <w:tc>
          <w:tcPr>
            <w:tcW w:w="1814" w:type="dxa"/>
            <w:gridSpan w:val="2"/>
            <w:vAlign w:val="center"/>
          </w:tcPr>
          <w:p w14:paraId="32AD001C" w14:textId="05870ACF" w:rsidR="00C85C70" w:rsidRPr="001455DC" w:rsidRDefault="00C85C70" w:rsidP="0032033D">
            <w:pPr>
              <w:pStyle w:val="Tablebody"/>
              <w:keepNext/>
              <w:jc w:val="center"/>
              <w:rPr>
                <w:szCs w:val="22"/>
              </w:rPr>
            </w:pPr>
            <w:r w:rsidRPr="001455DC">
              <w:rPr>
                <w:szCs w:val="22"/>
              </w:rPr>
              <w:t>C25/30</w:t>
            </w:r>
          </w:p>
        </w:tc>
        <w:tc>
          <w:tcPr>
            <w:tcW w:w="2721" w:type="dxa"/>
            <w:gridSpan w:val="3"/>
            <w:vAlign w:val="center"/>
          </w:tcPr>
          <w:p w14:paraId="768612AE" w14:textId="4A5362A4" w:rsidR="00C85C70" w:rsidRPr="001455DC" w:rsidRDefault="00C85C70" w:rsidP="0032033D">
            <w:pPr>
              <w:pStyle w:val="Tablebody"/>
              <w:keepNext/>
              <w:jc w:val="center"/>
              <w:rPr>
                <w:szCs w:val="22"/>
              </w:rPr>
            </w:pPr>
            <w:r w:rsidRPr="001455DC">
              <w:rPr>
                <w:szCs w:val="22"/>
              </w:rPr>
              <w:t>C30/37</w:t>
            </w:r>
          </w:p>
        </w:tc>
        <w:tc>
          <w:tcPr>
            <w:tcW w:w="1814" w:type="dxa"/>
            <w:gridSpan w:val="2"/>
            <w:vAlign w:val="center"/>
          </w:tcPr>
          <w:p w14:paraId="74F14D4B" w14:textId="5878DFE1" w:rsidR="00C85C70" w:rsidRPr="001455DC" w:rsidRDefault="00C85C70" w:rsidP="0032033D">
            <w:pPr>
              <w:pStyle w:val="Tablebody"/>
              <w:keepNext/>
              <w:jc w:val="center"/>
              <w:rPr>
                <w:szCs w:val="22"/>
              </w:rPr>
            </w:pPr>
            <w:r w:rsidRPr="001455DC">
              <w:rPr>
                <w:szCs w:val="22"/>
              </w:rPr>
              <w:t>C30/37</w:t>
            </w:r>
          </w:p>
        </w:tc>
        <w:tc>
          <w:tcPr>
            <w:tcW w:w="907" w:type="dxa"/>
            <w:vAlign w:val="center"/>
          </w:tcPr>
          <w:p w14:paraId="3A89E177" w14:textId="0454AD6B" w:rsidR="00C85C70" w:rsidRPr="001455DC" w:rsidRDefault="00C85C70" w:rsidP="0032033D">
            <w:pPr>
              <w:pStyle w:val="Tablebody"/>
              <w:keepNext/>
              <w:jc w:val="center"/>
              <w:rPr>
                <w:szCs w:val="22"/>
              </w:rPr>
            </w:pPr>
            <w:r w:rsidRPr="001455DC">
              <w:rPr>
                <w:szCs w:val="22"/>
              </w:rPr>
              <w:t>C35/45</w:t>
            </w:r>
          </w:p>
        </w:tc>
      </w:tr>
      <w:tr w:rsidR="00C85C70" w:rsidRPr="001455DC" w14:paraId="3CC3A55A" w14:textId="77777777" w:rsidTr="00C85C70">
        <w:trPr>
          <w:cnfStyle w:val="010000000000" w:firstRow="0" w:lastRow="1" w:firstColumn="0" w:lastColumn="0" w:oddVBand="0" w:evenVBand="0" w:oddHBand="0" w:evenHBand="0" w:firstRowFirstColumn="0" w:firstRowLastColumn="0" w:lastRowFirstColumn="0" w:lastRowLastColumn="0"/>
          <w:cantSplit/>
        </w:trPr>
        <w:tc>
          <w:tcPr>
            <w:tcW w:w="9750" w:type="dxa"/>
            <w:gridSpan w:val="11"/>
            <w:vAlign w:val="center"/>
          </w:tcPr>
          <w:p w14:paraId="35F61656" w14:textId="5B2098B5" w:rsidR="00C85C70" w:rsidRPr="009D3012" w:rsidRDefault="00C85C70" w:rsidP="00605B61">
            <w:pPr>
              <w:pStyle w:val="Tablefooternote"/>
              <w:rPr>
                <w:lang w:val="en-US"/>
              </w:rPr>
            </w:pPr>
            <w:r w:rsidRPr="009D3012">
              <w:rPr>
                <w:lang w:val="en-US"/>
              </w:rPr>
              <w:t>NOTE</w:t>
            </w:r>
            <w:r w:rsidRPr="009D3012">
              <w:rPr>
                <w:lang w:val="en-US"/>
              </w:rPr>
              <w:tab/>
              <w:t>For Exposure Classes see Table 6.1.</w:t>
            </w:r>
          </w:p>
        </w:tc>
      </w:tr>
    </w:tbl>
    <w:p w14:paraId="5A3D65C0" w14:textId="51811570" w:rsidR="004E22C1" w:rsidRPr="001455DC" w:rsidRDefault="004C68F7" w:rsidP="004C68F7">
      <w:pPr>
        <w:pStyle w:val="ANNEX"/>
      </w:pPr>
      <w:bookmarkStart w:id="2548" w:name="_Toc52820462"/>
      <w:r w:rsidRPr="001455DC">
        <w:br/>
      </w:r>
      <w:bookmarkStart w:id="2549" w:name="_Toc54337252"/>
      <w:bookmarkStart w:id="2550" w:name="_Toc54337904"/>
      <w:bookmarkStart w:id="2551" w:name="_Toc54338507"/>
      <w:bookmarkStart w:id="2552" w:name="_Toc67565664"/>
      <w:r w:rsidR="004E22C1" w:rsidRPr="001455DC">
        <w:rPr>
          <w:b w:val="0"/>
        </w:rPr>
        <w:t>(normative)</w:t>
      </w:r>
      <w:r w:rsidRPr="001455DC">
        <w:rPr>
          <w:b w:val="0"/>
        </w:rPr>
        <w:br/>
      </w:r>
      <w:r w:rsidRPr="001455DC">
        <w:br/>
      </w:r>
      <w:r w:rsidR="004E22C1" w:rsidRPr="001455DC">
        <w:t xml:space="preserve">Stainless </w:t>
      </w:r>
      <w:r w:rsidRPr="001455DC">
        <w:t>reinforcing</w:t>
      </w:r>
      <w:r w:rsidR="004E22C1" w:rsidRPr="001455DC">
        <w:t xml:space="preserve"> </w:t>
      </w:r>
      <w:r w:rsidRPr="001455DC">
        <w:t>s</w:t>
      </w:r>
      <w:r w:rsidR="004E22C1" w:rsidRPr="001455DC">
        <w:t>teel</w:t>
      </w:r>
      <w:bookmarkEnd w:id="2548"/>
      <w:bookmarkEnd w:id="2549"/>
      <w:bookmarkEnd w:id="2550"/>
      <w:bookmarkEnd w:id="2551"/>
      <w:bookmarkEnd w:id="2552"/>
    </w:p>
    <w:p w14:paraId="38C52F05" w14:textId="667706D5" w:rsidR="00F77E2C" w:rsidRPr="009D3012" w:rsidRDefault="00F77E2C" w:rsidP="00082680">
      <w:pPr>
        <w:pStyle w:val="a2"/>
      </w:pPr>
      <w:bookmarkStart w:id="2553" w:name="_Toc67565665"/>
      <w:bookmarkStart w:id="2554" w:name="_Toc52820463"/>
      <w:bookmarkStart w:id="2555" w:name="_Toc54337253"/>
      <w:bookmarkStart w:id="2556" w:name="_Toc54337905"/>
      <w:bookmarkStart w:id="2557" w:name="_Toc54338508"/>
      <w:r w:rsidRPr="009D3012">
        <w:t>Use of this annex</w:t>
      </w:r>
      <w:bookmarkEnd w:id="2553"/>
    </w:p>
    <w:p w14:paraId="7FA9AD07" w14:textId="77777777" w:rsidR="00F77E2C" w:rsidRPr="001455DC" w:rsidRDefault="00F77E2C" w:rsidP="00F77E2C">
      <w:pPr>
        <w:pStyle w:val="a7"/>
      </w:pPr>
      <w:r w:rsidRPr="001455DC">
        <w:t xml:space="preserve">(1) This Normative Annex contains additional provisions for stainless steel reinforcing steel. </w:t>
      </w:r>
    </w:p>
    <w:p w14:paraId="2B5FF110" w14:textId="04221DC0" w:rsidR="00F77E2C" w:rsidRPr="009D3012" w:rsidRDefault="00F77E2C" w:rsidP="00082680">
      <w:pPr>
        <w:pStyle w:val="a2"/>
      </w:pPr>
      <w:bookmarkStart w:id="2558" w:name="_Toc67565666"/>
      <w:r w:rsidRPr="009D3012">
        <w:t>Scope and field of application</w:t>
      </w:r>
      <w:bookmarkEnd w:id="2558"/>
    </w:p>
    <w:p w14:paraId="1AAFAEAF" w14:textId="77777777" w:rsidR="00F77E2C" w:rsidRPr="001455DC" w:rsidRDefault="00F77E2C" w:rsidP="00F77E2C">
      <w:pPr>
        <w:pStyle w:val="a7"/>
      </w:pPr>
      <w:r w:rsidRPr="001455DC">
        <w:t>(1) This Normative Annex applies to ribbed and indented stainless steel reinforcing steel. The provisions of this Eurocode apply to stainless steel reinforcing steel unless modified in this Annex Q.</w:t>
      </w:r>
    </w:p>
    <w:p w14:paraId="60CD2812" w14:textId="77777777" w:rsidR="00F77E2C" w:rsidRPr="001455DC" w:rsidRDefault="00F77E2C" w:rsidP="00F77E2C">
      <w:pPr>
        <w:pStyle w:val="a7"/>
      </w:pPr>
      <w:r w:rsidRPr="001455DC">
        <w:t xml:space="preserve">(2) This Normative Annex does not cover cast-in fastenings used to anchor steel plates or members to the surface of concrete structures. </w:t>
      </w:r>
    </w:p>
    <w:p w14:paraId="578648D0" w14:textId="5F11DECA" w:rsidR="00F77E2C" w:rsidRPr="009D3012" w:rsidRDefault="00302272" w:rsidP="00302272">
      <w:pPr>
        <w:pStyle w:val="Note"/>
      </w:pPr>
      <w:r>
        <w:t>NOTE</w:t>
      </w:r>
      <w:r>
        <w:tab/>
      </w:r>
      <w:r w:rsidR="00F77E2C" w:rsidRPr="009D3012">
        <w:t xml:space="preserve">Fastenings can be designed according to EN 1992-4, and exposed steel members in accordance with </w:t>
      </w:r>
      <w:r w:rsidR="003A369F">
        <w:t>pr</w:t>
      </w:r>
      <w:r w:rsidR="00F77E2C" w:rsidRPr="009D3012">
        <w:t>EN 1993-1-1.</w:t>
      </w:r>
    </w:p>
    <w:p w14:paraId="00756533" w14:textId="1DF961A2" w:rsidR="004E22C1" w:rsidRPr="001455DC" w:rsidRDefault="004E22C1" w:rsidP="00082680">
      <w:pPr>
        <w:pStyle w:val="a2"/>
      </w:pPr>
      <w:bookmarkStart w:id="2559" w:name="_Toc67565667"/>
      <w:r w:rsidRPr="001455DC">
        <w:t>General</w:t>
      </w:r>
      <w:bookmarkEnd w:id="2554"/>
      <w:bookmarkEnd w:id="2555"/>
      <w:bookmarkEnd w:id="2556"/>
      <w:bookmarkEnd w:id="2557"/>
      <w:bookmarkEnd w:id="2559"/>
    </w:p>
    <w:p w14:paraId="32B7FEF7" w14:textId="1BEB92C4" w:rsidR="004E22C1" w:rsidRPr="001455DC" w:rsidRDefault="004E22C1" w:rsidP="004C68F7">
      <w:pPr>
        <w:pStyle w:val="a7"/>
      </w:pPr>
      <w:r w:rsidRPr="001455DC">
        <w:t>(1)</w:t>
      </w:r>
      <w:r w:rsidRPr="001455DC">
        <w:tab/>
      </w:r>
      <w:r w:rsidR="00F77E2C" w:rsidRPr="001455DC">
        <w:t>S</w:t>
      </w:r>
      <w:r w:rsidRPr="001455DC">
        <w:t>pecial provisions</w:t>
      </w:r>
      <w:r w:rsidR="00F77E2C" w:rsidRPr="001455DC">
        <w:t xml:space="preserve"> for stainless reinforcing steel are </w:t>
      </w:r>
      <w:r w:rsidRPr="001455DC">
        <w:t>given in Table Q.1.</w:t>
      </w:r>
    </w:p>
    <w:p w14:paraId="0ADCF9D1" w14:textId="0A5AA801" w:rsidR="004E22C1" w:rsidRPr="001455DC" w:rsidRDefault="004E22C1" w:rsidP="004C68F7">
      <w:pPr>
        <w:pStyle w:val="Note"/>
      </w:pPr>
    </w:p>
    <w:p w14:paraId="5A6871A2" w14:textId="77777777" w:rsidR="004E22C1" w:rsidRPr="001455DC" w:rsidRDefault="004E22C1" w:rsidP="004C68F7">
      <w:pPr>
        <w:pStyle w:val="Tabletitle"/>
      </w:pPr>
      <w:bookmarkStart w:id="2560" w:name="_Toc54337906"/>
      <w:r w:rsidRPr="001455DC">
        <w:t>Table Q.1</w:t>
      </w:r>
      <w:r w:rsidRPr="001455DC">
        <w:rPr>
          <w:lang w:eastAsia="ja-JP"/>
        </w:rPr>
        <w:t xml:space="preserve"> — </w:t>
      </w:r>
      <w:r w:rsidRPr="001455DC">
        <w:t>Special provisions for stainless reinforcing steel</w:t>
      </w:r>
      <w:bookmarkEnd w:id="2560"/>
    </w:p>
    <w:tbl>
      <w:tblPr>
        <w:tblStyle w:val="53"/>
        <w:tblW w:w="9752" w:type="dxa"/>
        <w:tblLayout w:type="fixed"/>
        <w:tblCellMar>
          <w:left w:w="71" w:type="dxa"/>
          <w:right w:w="71" w:type="dxa"/>
        </w:tblCellMar>
        <w:tblLook w:val="04A0" w:firstRow="1" w:lastRow="0" w:firstColumn="1" w:lastColumn="0" w:noHBand="0" w:noVBand="1"/>
      </w:tblPr>
      <w:tblGrid>
        <w:gridCol w:w="1247"/>
        <w:gridCol w:w="2608"/>
        <w:gridCol w:w="5897"/>
      </w:tblGrid>
      <w:tr w:rsidR="004E22C1" w:rsidRPr="001455DC" w14:paraId="19BD3F9E" w14:textId="77777777" w:rsidTr="00802497">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247" w:type="dxa"/>
          </w:tcPr>
          <w:p w14:paraId="73DC4238" w14:textId="77777777" w:rsidR="004E22C1" w:rsidRPr="001455DC" w:rsidRDefault="004E22C1" w:rsidP="0032033D">
            <w:pPr>
              <w:pStyle w:val="Tableheader"/>
              <w:rPr>
                <w:szCs w:val="22"/>
              </w:rPr>
            </w:pPr>
            <w:r w:rsidRPr="001455DC">
              <w:rPr>
                <w:szCs w:val="22"/>
              </w:rPr>
              <w:t>Reference to original clause</w:t>
            </w:r>
          </w:p>
        </w:tc>
        <w:tc>
          <w:tcPr>
            <w:tcW w:w="2608" w:type="dxa"/>
          </w:tcPr>
          <w:p w14:paraId="63E54D89" w14:textId="77777777" w:rsidR="004E22C1" w:rsidRPr="009D3012" w:rsidRDefault="004E22C1" w:rsidP="0032033D">
            <w:pPr>
              <w:pStyle w:val="Tableheader"/>
              <w:cnfStyle w:val="100000000000" w:firstRow="1" w:lastRow="0" w:firstColumn="0" w:lastColumn="0" w:oddVBand="0" w:evenVBand="0" w:oddHBand="0" w:evenHBand="0" w:firstRowFirstColumn="0" w:firstRowLastColumn="0" w:lastRowFirstColumn="0" w:lastRowLastColumn="0"/>
              <w:rPr>
                <w:szCs w:val="22"/>
                <w:lang w:val="en-US"/>
              </w:rPr>
            </w:pPr>
            <w:r w:rsidRPr="009D3012">
              <w:rPr>
                <w:szCs w:val="22"/>
                <w:lang w:val="en-US"/>
              </w:rPr>
              <w:t>Values and terms to be modified for stainless reinforcing steel</w:t>
            </w:r>
          </w:p>
        </w:tc>
        <w:tc>
          <w:tcPr>
            <w:tcW w:w="5897" w:type="dxa"/>
          </w:tcPr>
          <w:p w14:paraId="6EDC6FE3" w14:textId="77777777" w:rsidR="004E22C1" w:rsidRPr="009D3012" w:rsidRDefault="004E22C1" w:rsidP="0032033D">
            <w:pPr>
              <w:pStyle w:val="Tableheader"/>
              <w:cnfStyle w:val="100000000000" w:firstRow="1" w:lastRow="0" w:firstColumn="0" w:lastColumn="0" w:oddVBand="0" w:evenVBand="0" w:oddHBand="0" w:evenHBand="0" w:firstRowFirstColumn="0" w:firstRowLastColumn="0" w:lastRowFirstColumn="0" w:lastRowLastColumn="0"/>
              <w:rPr>
                <w:szCs w:val="22"/>
                <w:lang w:val="en-US"/>
              </w:rPr>
            </w:pPr>
            <w:r w:rsidRPr="009D3012">
              <w:rPr>
                <w:szCs w:val="22"/>
                <w:lang w:val="en-US"/>
              </w:rPr>
              <w:t>Provisions and formulae for stainless reinforcing steel</w:t>
            </w:r>
          </w:p>
        </w:tc>
      </w:tr>
      <w:tr w:rsidR="004E22C1" w:rsidRPr="001455DC" w14:paraId="5BF94143" w14:textId="77777777" w:rsidTr="00802497">
        <w:trPr>
          <w:cantSplit/>
        </w:trPr>
        <w:tc>
          <w:tcPr>
            <w:tcW w:w="1247" w:type="dxa"/>
            <w:vAlign w:val="center"/>
          </w:tcPr>
          <w:p w14:paraId="0C3E5676" w14:textId="77777777" w:rsidR="004E22C1" w:rsidRPr="001455DC" w:rsidRDefault="004E22C1" w:rsidP="0032033D">
            <w:pPr>
              <w:pStyle w:val="Tablebody"/>
              <w:jc w:val="left"/>
              <w:rPr>
                <w:szCs w:val="22"/>
              </w:rPr>
            </w:pPr>
            <w:r w:rsidRPr="001455DC">
              <w:rPr>
                <w:szCs w:val="22"/>
              </w:rPr>
              <w:t>5.2.2(4)</w:t>
            </w:r>
          </w:p>
        </w:tc>
        <w:tc>
          <w:tcPr>
            <w:tcW w:w="2608" w:type="dxa"/>
            <w:vAlign w:val="center"/>
          </w:tcPr>
          <w:p w14:paraId="4E8799F9" w14:textId="77777777" w:rsidR="004E22C1" w:rsidRPr="009D3012" w:rsidRDefault="004E22C1" w:rsidP="0032033D">
            <w:pPr>
              <w:pStyle w:val="Tablebody"/>
              <w:jc w:val="left"/>
              <w:rPr>
                <w:szCs w:val="22"/>
                <w:lang w:val="en-US"/>
              </w:rPr>
            </w:pPr>
            <w:r w:rsidRPr="009D3012">
              <w:rPr>
                <w:szCs w:val="22"/>
                <w:lang w:val="en-US"/>
              </w:rPr>
              <w:t xml:space="preserve">New term </w:t>
            </w:r>
            <w:r w:rsidRPr="009D3012">
              <w:rPr>
                <w:rStyle w:val="CCMCvariableitalic"/>
                <w:szCs w:val="22"/>
                <w:lang w:val="en-US"/>
              </w:rPr>
              <w:t>f</w:t>
            </w:r>
            <w:r w:rsidRPr="009D3012">
              <w:rPr>
                <w:rStyle w:val="CCMCvariablesubscript"/>
                <w:szCs w:val="22"/>
                <w:lang w:val="en-US"/>
              </w:rPr>
              <w:t>0,2k</w:t>
            </w:r>
            <w:r w:rsidRPr="009D3012">
              <w:rPr>
                <w:szCs w:val="22"/>
                <w:lang w:val="en-US"/>
              </w:rPr>
              <w:t xml:space="preserve"> in Tables 5.4 and 5.5 introduced.</w:t>
            </w:r>
          </w:p>
        </w:tc>
        <w:tc>
          <w:tcPr>
            <w:tcW w:w="5897" w:type="dxa"/>
            <w:vAlign w:val="center"/>
          </w:tcPr>
          <w:p w14:paraId="432ACCA2" w14:textId="7C5D339A" w:rsidR="004E22C1" w:rsidRPr="009D3012" w:rsidRDefault="004E22C1" w:rsidP="0032033D">
            <w:pPr>
              <w:pStyle w:val="Tablebody"/>
              <w:jc w:val="left"/>
              <w:rPr>
                <w:szCs w:val="22"/>
                <w:lang w:val="en-US"/>
              </w:rPr>
            </w:pPr>
            <w:r w:rsidRPr="009D3012">
              <w:rPr>
                <w:szCs w:val="22"/>
                <w:lang w:val="en-US"/>
              </w:rPr>
              <w:t xml:space="preserve">characteristic value of </w:t>
            </w:r>
            <w:r w:rsidRPr="009D3012">
              <w:rPr>
                <w:rStyle w:val="CCMCvariableitalic"/>
                <w:szCs w:val="22"/>
                <w:lang w:val="en-US"/>
              </w:rPr>
              <w:t>k</w:t>
            </w:r>
            <w:r w:rsidRPr="009D3012">
              <w:rPr>
                <w:szCs w:val="22"/>
                <w:lang w:val="en-US"/>
              </w:rPr>
              <w:t> </w:t>
            </w:r>
            <w:r w:rsidR="00EC27D2" w:rsidRPr="009D3012">
              <w:rPr>
                <w:rFonts w:ascii="Cambria Math" w:hAnsi="Cambria Math"/>
                <w:szCs w:val="22"/>
                <w:lang w:val="en-US"/>
              </w:rPr>
              <w:t>=</w:t>
            </w:r>
            <w:r w:rsidRPr="009D3012">
              <w:rPr>
                <w:szCs w:val="22"/>
                <w:lang w:val="en-US"/>
              </w:rPr>
              <w:t> (</w:t>
            </w:r>
            <w:r w:rsidRPr="009D3012">
              <w:rPr>
                <w:rStyle w:val="CCMCvariableitalic"/>
                <w:szCs w:val="22"/>
                <w:lang w:val="en-US"/>
              </w:rPr>
              <w:t>f</w:t>
            </w:r>
            <w:r w:rsidRPr="009D3012">
              <w:rPr>
                <w:rStyle w:val="CCMCvariablesubscript"/>
                <w:szCs w:val="22"/>
                <w:lang w:val="en-US"/>
              </w:rPr>
              <w:t>t</w:t>
            </w:r>
            <w:r w:rsidRPr="009D3012">
              <w:rPr>
                <w:szCs w:val="22"/>
                <w:lang w:val="en-US"/>
              </w:rPr>
              <w:t>/</w:t>
            </w:r>
            <w:r w:rsidRPr="009D3012">
              <w:rPr>
                <w:rStyle w:val="CCMCvariableitalic"/>
                <w:szCs w:val="22"/>
                <w:lang w:val="en-US"/>
              </w:rPr>
              <w:t>f</w:t>
            </w:r>
            <w:r w:rsidRPr="009D3012">
              <w:rPr>
                <w:rStyle w:val="CCMCvariablesubscript"/>
                <w:szCs w:val="22"/>
                <w:lang w:val="en-US"/>
              </w:rPr>
              <w:t>0,2</w:t>
            </w:r>
            <w:r w:rsidRPr="009D3012">
              <w:rPr>
                <w:szCs w:val="22"/>
                <w:lang w:val="en-US"/>
              </w:rPr>
              <w:t>)</w:t>
            </w:r>
            <w:r w:rsidRPr="009D3012">
              <w:rPr>
                <w:rStyle w:val="CCMCvariablesubscript"/>
                <w:szCs w:val="22"/>
                <w:lang w:val="en-US"/>
              </w:rPr>
              <w:t>k</w:t>
            </w:r>
            <w:r w:rsidRPr="009D3012">
              <w:rPr>
                <w:szCs w:val="22"/>
                <w:lang w:val="en-US"/>
              </w:rPr>
              <w:t xml:space="preserve"> [MPa]</w:t>
            </w:r>
          </w:p>
        </w:tc>
      </w:tr>
      <w:tr w:rsidR="004E22C1" w:rsidRPr="001455DC" w14:paraId="192D63B7" w14:textId="77777777" w:rsidTr="00802497">
        <w:trPr>
          <w:cantSplit/>
        </w:trPr>
        <w:tc>
          <w:tcPr>
            <w:tcW w:w="1247" w:type="dxa"/>
            <w:vAlign w:val="center"/>
          </w:tcPr>
          <w:p w14:paraId="04497C16" w14:textId="77777777" w:rsidR="004E22C1" w:rsidRPr="001455DC" w:rsidRDefault="004E22C1" w:rsidP="0032033D">
            <w:pPr>
              <w:pStyle w:val="Tablebody"/>
              <w:jc w:val="left"/>
              <w:rPr>
                <w:szCs w:val="22"/>
              </w:rPr>
            </w:pPr>
            <w:r w:rsidRPr="001455DC">
              <w:rPr>
                <w:szCs w:val="22"/>
              </w:rPr>
              <w:t>5.2.3(2)</w:t>
            </w:r>
          </w:p>
        </w:tc>
        <w:tc>
          <w:tcPr>
            <w:tcW w:w="2608" w:type="dxa"/>
            <w:vAlign w:val="center"/>
          </w:tcPr>
          <w:p w14:paraId="122A1C2E" w14:textId="77777777" w:rsidR="004E22C1" w:rsidRPr="001455DC" w:rsidRDefault="004E22C1" w:rsidP="0032033D">
            <w:pPr>
              <w:pStyle w:val="Tablebody"/>
              <w:jc w:val="left"/>
              <w:rPr>
                <w:szCs w:val="22"/>
              </w:rPr>
            </w:pPr>
            <w:r w:rsidRPr="001455DC">
              <w:rPr>
                <w:szCs w:val="22"/>
              </w:rPr>
              <w:t>New note added.</w:t>
            </w:r>
          </w:p>
        </w:tc>
        <w:tc>
          <w:tcPr>
            <w:tcW w:w="5897" w:type="dxa"/>
            <w:vAlign w:val="center"/>
          </w:tcPr>
          <w:p w14:paraId="7487CF6C" w14:textId="4EA13A3F" w:rsidR="004E22C1" w:rsidRPr="009D3012" w:rsidRDefault="004E22C1" w:rsidP="0032033D">
            <w:pPr>
              <w:pStyle w:val="Note"/>
              <w:spacing w:after="60"/>
              <w:jc w:val="left"/>
              <w:rPr>
                <w:lang w:val="en-US"/>
              </w:rPr>
            </w:pPr>
            <w:r w:rsidRPr="009D3012">
              <w:rPr>
                <w:lang w:val="en-US"/>
              </w:rPr>
              <w:t>NOTE</w:t>
            </w:r>
            <w:r w:rsidRPr="009D3012">
              <w:rPr>
                <w:lang w:val="en-US"/>
              </w:rPr>
              <w:tab/>
              <w:t xml:space="preserve">Further guidance for welding of stainless steel is given in </w:t>
            </w:r>
            <w:r w:rsidR="000D2A45" w:rsidRPr="001455DC">
              <w:rPr>
                <w:lang w:val="en-US"/>
              </w:rPr>
              <w:t>pr</w:t>
            </w:r>
            <w:r w:rsidRPr="009D3012">
              <w:rPr>
                <w:lang w:val="en-US"/>
              </w:rPr>
              <w:t>EN 10370</w:t>
            </w:r>
            <w:r w:rsidR="000D2A45" w:rsidRPr="001455DC">
              <w:rPr>
                <w:lang w:val="en-US"/>
              </w:rPr>
              <w:t>:2019</w:t>
            </w:r>
            <w:r w:rsidRPr="009D3012">
              <w:rPr>
                <w:lang w:val="en-US"/>
              </w:rPr>
              <w:t>, E.1.</w:t>
            </w:r>
          </w:p>
        </w:tc>
      </w:tr>
      <w:tr w:rsidR="004E22C1" w:rsidRPr="001455DC" w14:paraId="04219BE3" w14:textId="77777777" w:rsidTr="00802497">
        <w:trPr>
          <w:cantSplit/>
        </w:trPr>
        <w:tc>
          <w:tcPr>
            <w:tcW w:w="1247" w:type="dxa"/>
            <w:vAlign w:val="center"/>
          </w:tcPr>
          <w:p w14:paraId="7D571228" w14:textId="77777777" w:rsidR="004E22C1" w:rsidRPr="001455DC" w:rsidRDefault="004E22C1" w:rsidP="0032033D">
            <w:pPr>
              <w:pStyle w:val="Tablebody"/>
              <w:jc w:val="left"/>
              <w:rPr>
                <w:szCs w:val="22"/>
              </w:rPr>
            </w:pPr>
            <w:r w:rsidRPr="001455DC">
              <w:rPr>
                <w:szCs w:val="22"/>
              </w:rPr>
              <w:t>5.2.4(2)</w:t>
            </w:r>
          </w:p>
        </w:tc>
        <w:tc>
          <w:tcPr>
            <w:tcW w:w="2608" w:type="dxa"/>
            <w:vAlign w:val="center"/>
          </w:tcPr>
          <w:p w14:paraId="10608EF5" w14:textId="77777777" w:rsidR="004E22C1" w:rsidRPr="009D3012" w:rsidRDefault="004E22C1" w:rsidP="0032033D">
            <w:pPr>
              <w:pStyle w:val="Tablebody"/>
              <w:jc w:val="left"/>
              <w:rPr>
                <w:szCs w:val="22"/>
                <w:lang w:val="en-US"/>
              </w:rPr>
            </w:pPr>
            <w:r w:rsidRPr="009D3012">
              <w:rPr>
                <w:szCs w:val="22"/>
                <w:lang w:val="en-US"/>
              </w:rPr>
              <w:t xml:space="preserve">New terms </w:t>
            </w:r>
            <w:r w:rsidRPr="009D3012">
              <w:rPr>
                <w:rStyle w:val="CCMCvariableitalic"/>
                <w:szCs w:val="22"/>
                <w:lang w:val="en-US"/>
              </w:rPr>
              <w:t>f</w:t>
            </w:r>
            <w:r w:rsidRPr="009D3012">
              <w:rPr>
                <w:rStyle w:val="CCMCvariablesubscript"/>
                <w:szCs w:val="22"/>
                <w:lang w:val="en-US"/>
              </w:rPr>
              <w:t>0,2k</w:t>
            </w:r>
            <w:r w:rsidRPr="009D3012">
              <w:rPr>
                <w:szCs w:val="22"/>
                <w:lang w:val="en-US"/>
              </w:rPr>
              <w:t xml:space="preserve"> introduced.</w:t>
            </w:r>
          </w:p>
        </w:tc>
        <w:tc>
          <w:tcPr>
            <w:tcW w:w="5897" w:type="dxa"/>
            <w:vAlign w:val="center"/>
          </w:tcPr>
          <w:p w14:paraId="6358FB62" w14:textId="77777777" w:rsidR="004E22C1" w:rsidRPr="009D3012" w:rsidRDefault="004E22C1" w:rsidP="0032033D">
            <w:pPr>
              <w:pStyle w:val="Tablebody"/>
              <w:jc w:val="left"/>
              <w:rPr>
                <w:szCs w:val="22"/>
                <w:lang w:val="en-US"/>
              </w:rPr>
            </w:pPr>
            <w:r w:rsidRPr="009D3012">
              <w:rPr>
                <w:szCs w:val="22"/>
                <w:lang w:val="en-US"/>
              </w:rPr>
              <w:t>(2)</w:t>
            </w:r>
            <w:r w:rsidRPr="009D3012">
              <w:rPr>
                <w:szCs w:val="22"/>
                <w:lang w:val="en-US"/>
              </w:rPr>
              <w:tab/>
              <w:t>For design either of the following assumptions may be made (see Figure 5.2):</w:t>
            </w:r>
          </w:p>
          <w:p w14:paraId="67B0C926" w14:textId="2CA60373" w:rsidR="004E22C1" w:rsidRPr="009D3012" w:rsidRDefault="004E22C1" w:rsidP="0032033D">
            <w:pPr>
              <w:pStyle w:val="Tablebody"/>
              <w:ind w:left="357" w:hanging="357"/>
              <w:jc w:val="left"/>
              <w:rPr>
                <w:szCs w:val="22"/>
                <w:lang w:val="en-US"/>
              </w:rPr>
            </w:pPr>
            <w:r w:rsidRPr="009D3012">
              <w:rPr>
                <w:szCs w:val="22"/>
                <w:lang w:val="en-US"/>
              </w:rPr>
              <w:t>a)</w:t>
            </w:r>
            <w:r w:rsidRPr="009D3012">
              <w:rPr>
                <w:szCs w:val="22"/>
                <w:lang w:val="en-US"/>
              </w:rPr>
              <w:tab/>
              <w:t xml:space="preserve">an inclined post-elastic branch with a strain limit of </w:t>
            </w:r>
            <w:r w:rsidRPr="001455DC">
              <w:rPr>
                <w:rStyle w:val="CCMCvariableitalic"/>
                <w:szCs w:val="22"/>
              </w:rPr>
              <w:t>ε</w:t>
            </w:r>
            <w:r w:rsidRPr="009D3012">
              <w:rPr>
                <w:rStyle w:val="CCMCvariablesubscript"/>
                <w:szCs w:val="22"/>
                <w:lang w:val="en-US"/>
              </w:rPr>
              <w:t>ud</w:t>
            </w:r>
            <w:r w:rsidRPr="009D3012">
              <w:rPr>
                <w:szCs w:val="22"/>
                <w:lang w:val="en-US"/>
              </w:rPr>
              <w:t> </w:t>
            </w:r>
            <w:r w:rsidR="00650035" w:rsidRPr="009D3012">
              <w:rPr>
                <w:rFonts w:ascii="Cambria Math" w:hAnsi="Cambria Math"/>
                <w:szCs w:val="22"/>
                <w:lang w:val="en-US"/>
              </w:rPr>
              <w:t>≤</w:t>
            </w:r>
            <w:r w:rsidRPr="009D3012">
              <w:rPr>
                <w:szCs w:val="22"/>
                <w:lang w:val="en-US"/>
              </w:rPr>
              <w:t> 0,9</w:t>
            </w:r>
            <w:r w:rsidRPr="001455DC">
              <w:rPr>
                <w:rStyle w:val="CCMCvariableitalic"/>
                <w:szCs w:val="22"/>
              </w:rPr>
              <w:t>ε</w:t>
            </w:r>
            <w:r w:rsidRPr="009D3012">
              <w:rPr>
                <w:rStyle w:val="CCMCvariablesubscript"/>
                <w:szCs w:val="22"/>
                <w:lang w:val="en-US"/>
              </w:rPr>
              <w:t>uk</w:t>
            </w:r>
            <w:r w:rsidRPr="009D3012">
              <w:rPr>
                <w:szCs w:val="22"/>
                <w:lang w:val="en-US"/>
              </w:rPr>
              <w:t xml:space="preserve"> and a maximum stress of </w:t>
            </w:r>
            <w:r w:rsidRPr="009D3012">
              <w:rPr>
                <w:rStyle w:val="CCMCvariableitalic"/>
                <w:szCs w:val="22"/>
                <w:lang w:val="en-US"/>
              </w:rPr>
              <w:t>k</w:t>
            </w:r>
            <w:r w:rsidRPr="009D3012">
              <w:rPr>
                <w:szCs w:val="22"/>
                <w:lang w:val="en-US"/>
              </w:rPr>
              <w:t> </w:t>
            </w:r>
            <w:r w:rsidR="00C74721" w:rsidRPr="009D3012">
              <w:rPr>
                <w:rFonts w:ascii="Cambria Math" w:hAnsi="Cambria Math"/>
                <w:szCs w:val="22"/>
                <w:lang w:val="en-US"/>
              </w:rPr>
              <w:t>⋅</w:t>
            </w:r>
            <w:r w:rsidRPr="009D3012">
              <w:rPr>
                <w:szCs w:val="22"/>
                <w:lang w:val="en-US"/>
              </w:rPr>
              <w:t> </w:t>
            </w:r>
            <w:r w:rsidRPr="009D3012">
              <w:rPr>
                <w:rStyle w:val="CCMCvariableitalic"/>
                <w:szCs w:val="22"/>
                <w:lang w:val="en-US"/>
              </w:rPr>
              <w:t>f</w:t>
            </w:r>
            <w:r w:rsidRPr="009D3012">
              <w:rPr>
                <w:rStyle w:val="CCMCvariablesubscript"/>
                <w:szCs w:val="22"/>
                <w:lang w:val="en-US"/>
              </w:rPr>
              <w:t>0,2k</w:t>
            </w:r>
            <w:r w:rsidRPr="009D3012">
              <w:rPr>
                <w:szCs w:val="22"/>
                <w:lang w:val="en-US"/>
              </w:rPr>
              <w:t>/</w:t>
            </w:r>
            <w:r w:rsidRPr="001455DC">
              <w:rPr>
                <w:rStyle w:val="CCMCvariableitalic"/>
                <w:szCs w:val="22"/>
              </w:rPr>
              <w:t>γ</w:t>
            </w:r>
            <w:r w:rsidRPr="009D3012">
              <w:rPr>
                <w:rStyle w:val="CCMCvariablesubscript"/>
                <w:szCs w:val="22"/>
                <w:lang w:val="en-US"/>
              </w:rPr>
              <w:t>S</w:t>
            </w:r>
            <w:r w:rsidRPr="009D3012">
              <w:rPr>
                <w:szCs w:val="22"/>
                <w:lang w:val="en-US"/>
              </w:rPr>
              <w:t xml:space="preserve"> at </w:t>
            </w:r>
            <w:r w:rsidRPr="001455DC">
              <w:rPr>
                <w:rStyle w:val="CCMCvariableitalic"/>
                <w:szCs w:val="22"/>
              </w:rPr>
              <w:t>ε</w:t>
            </w:r>
            <w:r w:rsidRPr="009D3012">
              <w:rPr>
                <w:rStyle w:val="CCMCvariablesubscript"/>
                <w:szCs w:val="22"/>
                <w:lang w:val="en-US"/>
              </w:rPr>
              <w:t>uk</w:t>
            </w:r>
            <w:r w:rsidRPr="009D3012">
              <w:rPr>
                <w:szCs w:val="22"/>
                <w:lang w:val="en-US"/>
              </w:rPr>
              <w:t xml:space="preserve">, where </w:t>
            </w:r>
            <w:r w:rsidRPr="009D3012">
              <w:rPr>
                <w:rStyle w:val="CCMCvariableitalic"/>
                <w:szCs w:val="22"/>
                <w:lang w:val="en-US"/>
              </w:rPr>
              <w:t>k</w:t>
            </w:r>
            <w:r w:rsidRPr="009D3012">
              <w:rPr>
                <w:szCs w:val="22"/>
                <w:lang w:val="en-US"/>
              </w:rPr>
              <w:t> </w:t>
            </w:r>
            <w:r w:rsidR="00EC27D2" w:rsidRPr="009D3012">
              <w:rPr>
                <w:rFonts w:ascii="Cambria Math" w:hAnsi="Cambria Math"/>
                <w:szCs w:val="22"/>
                <w:lang w:val="en-US"/>
              </w:rPr>
              <w:t>=</w:t>
            </w:r>
            <w:r w:rsidRPr="009D3012">
              <w:rPr>
                <w:szCs w:val="22"/>
                <w:lang w:val="en-US"/>
              </w:rPr>
              <w:t> (</w:t>
            </w:r>
            <w:r w:rsidRPr="009D3012">
              <w:rPr>
                <w:rStyle w:val="CCMCvariableitalic"/>
                <w:szCs w:val="22"/>
                <w:lang w:val="en-US"/>
              </w:rPr>
              <w:t>f</w:t>
            </w:r>
            <w:r w:rsidRPr="009D3012">
              <w:rPr>
                <w:rStyle w:val="CCMCvariablesubscript"/>
                <w:szCs w:val="22"/>
                <w:lang w:val="en-US"/>
              </w:rPr>
              <w:t>t</w:t>
            </w:r>
            <w:r w:rsidRPr="009D3012">
              <w:rPr>
                <w:szCs w:val="22"/>
                <w:lang w:val="en-US"/>
              </w:rPr>
              <w:t>/</w:t>
            </w:r>
            <w:r w:rsidRPr="009D3012">
              <w:rPr>
                <w:rStyle w:val="CCMCvariableitalic"/>
                <w:szCs w:val="22"/>
                <w:lang w:val="en-US"/>
              </w:rPr>
              <w:t>f</w:t>
            </w:r>
            <w:r w:rsidRPr="009D3012">
              <w:rPr>
                <w:rStyle w:val="CCMCvariablesubscript"/>
                <w:szCs w:val="22"/>
                <w:lang w:val="en-US"/>
              </w:rPr>
              <w:t>0,2</w:t>
            </w:r>
            <w:r w:rsidRPr="009D3012">
              <w:rPr>
                <w:szCs w:val="22"/>
                <w:lang w:val="en-US"/>
              </w:rPr>
              <w:t>)</w:t>
            </w:r>
            <w:r w:rsidRPr="009D3012">
              <w:rPr>
                <w:rStyle w:val="CCMCvariablesubscript"/>
                <w:szCs w:val="22"/>
                <w:lang w:val="en-US"/>
              </w:rPr>
              <w:t>k</w:t>
            </w:r>
            <w:r w:rsidRPr="009D3012">
              <w:rPr>
                <w:szCs w:val="22"/>
                <w:lang w:val="en-US"/>
              </w:rPr>
              <w:t>;</w:t>
            </w:r>
          </w:p>
        </w:tc>
      </w:tr>
      <w:tr w:rsidR="004E22C1" w:rsidRPr="001455DC" w14:paraId="77B93DB9" w14:textId="77777777" w:rsidTr="00802497">
        <w:trPr>
          <w:cantSplit/>
        </w:trPr>
        <w:tc>
          <w:tcPr>
            <w:tcW w:w="1247" w:type="dxa"/>
            <w:vAlign w:val="center"/>
          </w:tcPr>
          <w:p w14:paraId="18660838" w14:textId="77777777" w:rsidR="004E22C1" w:rsidRPr="001455DC" w:rsidRDefault="004E22C1" w:rsidP="0032033D">
            <w:pPr>
              <w:pStyle w:val="Tablebody"/>
              <w:jc w:val="left"/>
              <w:rPr>
                <w:szCs w:val="22"/>
              </w:rPr>
            </w:pPr>
            <w:r w:rsidRPr="001455DC">
              <w:rPr>
                <w:szCs w:val="22"/>
              </w:rPr>
              <w:t>5.2.4(3)</w:t>
            </w:r>
          </w:p>
        </w:tc>
        <w:tc>
          <w:tcPr>
            <w:tcW w:w="2608" w:type="dxa"/>
            <w:vAlign w:val="center"/>
          </w:tcPr>
          <w:p w14:paraId="1D55FB07" w14:textId="77777777" w:rsidR="004E22C1" w:rsidRPr="001455DC" w:rsidRDefault="004E22C1" w:rsidP="0032033D">
            <w:pPr>
              <w:pStyle w:val="Tablebody"/>
              <w:jc w:val="left"/>
              <w:rPr>
                <w:szCs w:val="22"/>
              </w:rPr>
            </w:pPr>
            <w:r w:rsidRPr="001455DC">
              <w:rPr>
                <w:szCs w:val="22"/>
              </w:rPr>
              <w:t>New terms added.</w:t>
            </w:r>
          </w:p>
        </w:tc>
        <w:tc>
          <w:tcPr>
            <w:tcW w:w="5897" w:type="dxa"/>
            <w:vAlign w:val="center"/>
          </w:tcPr>
          <w:p w14:paraId="068BF53E" w14:textId="3EF066EA" w:rsidR="004E22C1" w:rsidRPr="009D3012" w:rsidRDefault="004E22C1" w:rsidP="0032033D">
            <w:pPr>
              <w:pStyle w:val="Tablebody"/>
              <w:jc w:val="left"/>
              <w:rPr>
                <w:szCs w:val="22"/>
                <w:lang w:val="en-US"/>
              </w:rPr>
            </w:pPr>
            <w:r w:rsidRPr="009D3012">
              <w:rPr>
                <w:szCs w:val="22"/>
                <w:lang w:val="en-US"/>
              </w:rPr>
              <w:t>(3)</w:t>
            </w:r>
            <w:r w:rsidRPr="009D3012">
              <w:rPr>
                <w:szCs w:val="22"/>
                <w:lang w:val="en-US"/>
              </w:rPr>
              <w:tab/>
              <w:t xml:space="preserve">The design value of the modulus of elasticity </w:t>
            </w:r>
            <w:r w:rsidRPr="009D3012">
              <w:rPr>
                <w:rStyle w:val="CCMCvariableitalic"/>
                <w:szCs w:val="22"/>
                <w:lang w:val="en-US"/>
              </w:rPr>
              <w:t>E</w:t>
            </w:r>
            <w:r w:rsidRPr="009D3012">
              <w:rPr>
                <w:rStyle w:val="CCMCvariablesubscript"/>
                <w:szCs w:val="22"/>
                <w:lang w:val="en-US"/>
              </w:rPr>
              <w:t>s</w:t>
            </w:r>
            <w:r w:rsidRPr="009D3012">
              <w:rPr>
                <w:szCs w:val="22"/>
                <w:lang w:val="en-US"/>
              </w:rPr>
              <w:t xml:space="preserve"> for stainless steel may be assumed to be 200</w:t>
            </w:r>
            <w:r w:rsidR="0032033D" w:rsidRPr="009D3012">
              <w:rPr>
                <w:szCs w:val="22"/>
                <w:lang w:val="en-US"/>
              </w:rPr>
              <w:t> </w:t>
            </w:r>
            <w:r w:rsidRPr="009D3012">
              <w:rPr>
                <w:szCs w:val="22"/>
                <w:lang w:val="en-US"/>
              </w:rPr>
              <w:t>000 MPa, unless more precise values are known.</w:t>
            </w:r>
          </w:p>
          <w:p w14:paraId="424BF9C1" w14:textId="1623683E" w:rsidR="004E22C1" w:rsidRPr="009D3012" w:rsidRDefault="004E22C1" w:rsidP="0032033D">
            <w:pPr>
              <w:pStyle w:val="Note"/>
              <w:spacing w:after="60"/>
              <w:jc w:val="left"/>
              <w:rPr>
                <w:lang w:val="en-US"/>
              </w:rPr>
            </w:pPr>
            <w:r w:rsidRPr="009D3012">
              <w:rPr>
                <w:lang w:val="en-US"/>
              </w:rPr>
              <w:t>NOTE</w:t>
            </w:r>
            <w:r w:rsidRPr="009D3012">
              <w:rPr>
                <w:lang w:val="en-US"/>
              </w:rPr>
              <w:tab/>
              <w:t>The E-moduli of stainless steel depends on the alloy and can be between 150 000 MPa and 200 000 MPa. The actual E</w:t>
            </w:r>
            <w:r w:rsidR="0032033D" w:rsidRPr="009D3012">
              <w:rPr>
                <w:lang w:val="en-US"/>
              </w:rPr>
              <w:noBreakHyphen/>
            </w:r>
            <w:r w:rsidRPr="009D3012">
              <w:rPr>
                <w:lang w:val="en-US"/>
              </w:rPr>
              <w:t>modulus of a stainless steel product can be found in a European Technical Product Specification.</w:t>
            </w:r>
          </w:p>
        </w:tc>
      </w:tr>
      <w:tr w:rsidR="004E22C1" w:rsidRPr="001455DC" w14:paraId="3B0EB4A3" w14:textId="77777777" w:rsidTr="00802497">
        <w:trPr>
          <w:cantSplit/>
        </w:trPr>
        <w:tc>
          <w:tcPr>
            <w:tcW w:w="1247" w:type="dxa"/>
            <w:vAlign w:val="center"/>
          </w:tcPr>
          <w:p w14:paraId="1881CF88" w14:textId="77777777" w:rsidR="004E22C1" w:rsidRPr="001455DC" w:rsidRDefault="004E22C1" w:rsidP="0032033D">
            <w:pPr>
              <w:pStyle w:val="Tablebody"/>
              <w:jc w:val="left"/>
              <w:rPr>
                <w:szCs w:val="22"/>
              </w:rPr>
            </w:pPr>
            <w:r w:rsidRPr="001455DC">
              <w:rPr>
                <w:szCs w:val="22"/>
              </w:rPr>
              <w:t>5.2.4(5)</w:t>
            </w:r>
          </w:p>
        </w:tc>
        <w:tc>
          <w:tcPr>
            <w:tcW w:w="2608" w:type="dxa"/>
            <w:vAlign w:val="center"/>
          </w:tcPr>
          <w:p w14:paraId="4703487B" w14:textId="77777777" w:rsidR="004E22C1" w:rsidRPr="001455DC" w:rsidRDefault="004E22C1" w:rsidP="0032033D">
            <w:pPr>
              <w:pStyle w:val="Tablebody"/>
              <w:jc w:val="left"/>
              <w:rPr>
                <w:szCs w:val="22"/>
              </w:rPr>
            </w:pPr>
            <w:r w:rsidRPr="001455DC">
              <w:rPr>
                <w:szCs w:val="22"/>
              </w:rPr>
              <w:t>New terms added.</w:t>
            </w:r>
          </w:p>
        </w:tc>
        <w:tc>
          <w:tcPr>
            <w:tcW w:w="5897" w:type="dxa"/>
            <w:vAlign w:val="center"/>
          </w:tcPr>
          <w:p w14:paraId="640079BD" w14:textId="0AA787D4" w:rsidR="004E22C1" w:rsidRPr="009D3012" w:rsidRDefault="004E22C1" w:rsidP="0032033D">
            <w:pPr>
              <w:pStyle w:val="Tablebody"/>
              <w:jc w:val="left"/>
              <w:rPr>
                <w:szCs w:val="22"/>
                <w:lang w:val="en-US"/>
              </w:rPr>
            </w:pPr>
            <w:r w:rsidRPr="009D3012">
              <w:rPr>
                <w:szCs w:val="22"/>
                <w:lang w:val="en-US"/>
              </w:rPr>
              <w:t>(5)</w:t>
            </w:r>
            <w:r w:rsidRPr="009D3012">
              <w:rPr>
                <w:szCs w:val="22"/>
                <w:lang w:val="en-US"/>
              </w:rPr>
              <w:tab/>
              <w:t xml:space="preserve">For design purposes, the coefficient of thermal expansion </w:t>
            </w:r>
            <w:r w:rsidRPr="001455DC">
              <w:rPr>
                <w:rStyle w:val="CCMCvariableitalic"/>
                <w:szCs w:val="22"/>
              </w:rPr>
              <w:t>α</w:t>
            </w:r>
            <w:r w:rsidRPr="009D3012">
              <w:rPr>
                <w:rStyle w:val="CCMCvariablesubscript"/>
                <w:szCs w:val="22"/>
                <w:lang w:val="en-US"/>
              </w:rPr>
              <w:t>s,th</w:t>
            </w:r>
            <w:r w:rsidRPr="009D3012">
              <w:rPr>
                <w:szCs w:val="22"/>
                <w:lang w:val="en-US"/>
              </w:rPr>
              <w:t xml:space="preserve"> for stainless steel may be taken as 10 </w:t>
            </w:r>
            <w:r w:rsidRPr="009D3012">
              <w:rPr>
                <w:rFonts w:ascii="Cambria Math" w:hAnsi="Cambria Math" w:cs="Cambria Math"/>
                <w:szCs w:val="22"/>
                <w:lang w:val="en-US"/>
              </w:rPr>
              <w:t>⋅</w:t>
            </w:r>
            <w:r w:rsidRPr="009D3012">
              <w:rPr>
                <w:szCs w:val="22"/>
                <w:lang w:val="en-US"/>
              </w:rPr>
              <w:t> 10</w:t>
            </w:r>
            <w:r w:rsidR="00EC27D2" w:rsidRPr="009D3012">
              <w:rPr>
                <w:rStyle w:val="CCMCvariablesuperscript"/>
                <w:rFonts w:ascii="Cambria Math" w:hAnsi="Cambria Math"/>
                <w:szCs w:val="22"/>
                <w:lang w:val="en-US"/>
              </w:rPr>
              <w:t>−</w:t>
            </w:r>
            <w:r w:rsidRPr="009D3012">
              <w:rPr>
                <w:rStyle w:val="CCMCvariablesuperscript"/>
                <w:szCs w:val="22"/>
                <w:lang w:val="en-US"/>
              </w:rPr>
              <w:t>6</w:t>
            </w:r>
            <w:r w:rsidRPr="009D3012">
              <w:rPr>
                <w:szCs w:val="22"/>
                <w:lang w:val="en-US"/>
              </w:rPr>
              <w:t> °C</w:t>
            </w:r>
            <w:r w:rsidR="00EC27D2" w:rsidRPr="009D3012">
              <w:rPr>
                <w:rStyle w:val="CCMCvariablesuperscript"/>
                <w:rFonts w:ascii="Cambria Math" w:hAnsi="Cambria Math"/>
                <w:szCs w:val="22"/>
                <w:lang w:val="en-US"/>
              </w:rPr>
              <w:t>−</w:t>
            </w:r>
            <w:r w:rsidRPr="009D3012">
              <w:rPr>
                <w:rStyle w:val="CCMCvariablesuperscript"/>
                <w:szCs w:val="22"/>
                <w:lang w:val="en-US"/>
              </w:rPr>
              <w:t>1</w:t>
            </w:r>
            <w:r w:rsidRPr="009D3012">
              <w:rPr>
                <w:szCs w:val="22"/>
                <w:lang w:val="en-US"/>
              </w:rPr>
              <w:t>, unless more precise values are known.</w:t>
            </w:r>
          </w:p>
          <w:p w14:paraId="014B2673" w14:textId="6F195F16" w:rsidR="004E22C1" w:rsidRPr="009D3012" w:rsidRDefault="004E22C1" w:rsidP="0032033D">
            <w:pPr>
              <w:pStyle w:val="Note"/>
              <w:spacing w:after="60"/>
              <w:jc w:val="left"/>
              <w:rPr>
                <w:lang w:val="en-US"/>
              </w:rPr>
            </w:pPr>
            <w:r w:rsidRPr="009D3012">
              <w:rPr>
                <w:lang w:val="en-US"/>
              </w:rPr>
              <w:t>NOTE</w:t>
            </w:r>
            <w:r w:rsidRPr="009D3012">
              <w:rPr>
                <w:lang w:val="en-US"/>
              </w:rPr>
              <w:tab/>
              <w:t>The thermal expansion coefficient of stainless steel depends on the alloy and can be up to 15 </w:t>
            </w:r>
            <w:r w:rsidRPr="009D3012">
              <w:rPr>
                <w:rFonts w:ascii="Cambria Math" w:hAnsi="Cambria Math" w:cs="Cambria Math"/>
                <w:lang w:val="en-US"/>
              </w:rPr>
              <w:t>⋅</w:t>
            </w:r>
            <w:r w:rsidRPr="009D3012">
              <w:rPr>
                <w:lang w:val="en-US"/>
              </w:rPr>
              <w:t> 10</w:t>
            </w:r>
            <w:r w:rsidR="00EC27D2" w:rsidRPr="009D3012">
              <w:rPr>
                <w:rStyle w:val="CCMCvariablesuperscript"/>
                <w:rFonts w:ascii="Cambria Math" w:hAnsi="Cambria Math"/>
                <w:sz w:val="22"/>
                <w:szCs w:val="22"/>
                <w:lang w:val="en-US"/>
              </w:rPr>
              <w:t>−</w:t>
            </w:r>
            <w:r w:rsidRPr="009D3012">
              <w:rPr>
                <w:rStyle w:val="CCMCvariablesuperscript"/>
                <w:sz w:val="22"/>
                <w:szCs w:val="22"/>
                <w:lang w:val="en-US"/>
              </w:rPr>
              <w:t>6</w:t>
            </w:r>
            <w:r w:rsidRPr="009D3012">
              <w:rPr>
                <w:lang w:val="en-US"/>
              </w:rPr>
              <w:t> °C</w:t>
            </w:r>
            <w:r w:rsidR="00EC27D2" w:rsidRPr="009D3012">
              <w:rPr>
                <w:rStyle w:val="CCMCvariablesuperscript"/>
                <w:rFonts w:ascii="Cambria Math" w:hAnsi="Cambria Math"/>
                <w:sz w:val="22"/>
                <w:szCs w:val="22"/>
                <w:lang w:val="en-US"/>
              </w:rPr>
              <w:t>−</w:t>
            </w:r>
            <w:r w:rsidRPr="009D3012">
              <w:rPr>
                <w:rStyle w:val="CCMCvariablesuperscript"/>
                <w:sz w:val="22"/>
                <w:szCs w:val="22"/>
                <w:lang w:val="en-US"/>
              </w:rPr>
              <w:t>1</w:t>
            </w:r>
            <w:r w:rsidRPr="009D3012">
              <w:rPr>
                <w:lang w:val="en-US"/>
              </w:rPr>
              <w:t>. The actual thermal expansion coefficient of a stainless steel product can be found in a European Technical Product Specification.</w:t>
            </w:r>
          </w:p>
        </w:tc>
      </w:tr>
      <w:tr w:rsidR="004E22C1" w:rsidRPr="001455DC" w14:paraId="13F6819B" w14:textId="77777777" w:rsidTr="00802497">
        <w:trPr>
          <w:cantSplit/>
        </w:trPr>
        <w:tc>
          <w:tcPr>
            <w:tcW w:w="1247" w:type="dxa"/>
            <w:vAlign w:val="center"/>
          </w:tcPr>
          <w:p w14:paraId="3E34A729" w14:textId="77777777" w:rsidR="004E22C1" w:rsidRPr="001455DC" w:rsidRDefault="004E22C1" w:rsidP="0032033D">
            <w:pPr>
              <w:pStyle w:val="Tablebody"/>
              <w:jc w:val="left"/>
              <w:rPr>
                <w:szCs w:val="22"/>
              </w:rPr>
            </w:pPr>
            <w:r w:rsidRPr="001455DC">
              <w:rPr>
                <w:szCs w:val="22"/>
              </w:rPr>
              <w:t>6.5.2.2</w:t>
            </w:r>
          </w:p>
        </w:tc>
        <w:tc>
          <w:tcPr>
            <w:tcW w:w="2608" w:type="dxa"/>
            <w:vAlign w:val="center"/>
          </w:tcPr>
          <w:p w14:paraId="04FD9BF3" w14:textId="77777777" w:rsidR="004E22C1" w:rsidRPr="001455DC" w:rsidRDefault="004E22C1" w:rsidP="0032033D">
            <w:pPr>
              <w:pStyle w:val="Tablebody"/>
              <w:jc w:val="left"/>
              <w:rPr>
                <w:szCs w:val="22"/>
              </w:rPr>
            </w:pPr>
            <w:r w:rsidRPr="001455DC">
              <w:rPr>
                <w:szCs w:val="22"/>
              </w:rPr>
              <w:t>New rules added.</w:t>
            </w:r>
          </w:p>
        </w:tc>
        <w:tc>
          <w:tcPr>
            <w:tcW w:w="5897" w:type="dxa"/>
            <w:vAlign w:val="center"/>
          </w:tcPr>
          <w:p w14:paraId="10547AC5" w14:textId="52EBF565" w:rsidR="004E22C1" w:rsidRPr="001455DC" w:rsidRDefault="004E22C1">
            <w:pPr>
              <w:pStyle w:val="Tablebody"/>
              <w:jc w:val="left"/>
              <w:rPr>
                <w:szCs w:val="22"/>
              </w:rPr>
            </w:pPr>
            <w:r w:rsidRPr="001455DC">
              <w:rPr>
                <w:szCs w:val="22"/>
              </w:rPr>
              <w:t>See Q.</w:t>
            </w:r>
            <w:r w:rsidR="00CC592C" w:rsidRPr="001455DC">
              <w:rPr>
                <w:szCs w:val="22"/>
              </w:rPr>
              <w:t>4</w:t>
            </w:r>
            <w:r w:rsidRPr="001455DC">
              <w:rPr>
                <w:szCs w:val="22"/>
              </w:rPr>
              <w:t>.</w:t>
            </w:r>
          </w:p>
        </w:tc>
      </w:tr>
      <w:tr w:rsidR="004E22C1" w:rsidRPr="001455DC" w14:paraId="7F223DDD" w14:textId="77777777" w:rsidTr="00802497">
        <w:trPr>
          <w:cantSplit/>
        </w:trPr>
        <w:tc>
          <w:tcPr>
            <w:tcW w:w="1247" w:type="dxa"/>
            <w:vAlign w:val="center"/>
          </w:tcPr>
          <w:p w14:paraId="72D6C6F6" w14:textId="413212AE" w:rsidR="004E22C1" w:rsidRPr="001455DC" w:rsidRDefault="004E22C1" w:rsidP="0032033D">
            <w:pPr>
              <w:pStyle w:val="Tablebody"/>
              <w:jc w:val="left"/>
              <w:rPr>
                <w:szCs w:val="22"/>
              </w:rPr>
            </w:pPr>
            <w:r w:rsidRPr="001455DC">
              <w:rPr>
                <w:szCs w:val="22"/>
              </w:rPr>
              <w:t>C.</w:t>
            </w:r>
            <w:r w:rsidR="00977FED" w:rsidRPr="001455DC">
              <w:rPr>
                <w:szCs w:val="22"/>
              </w:rPr>
              <w:t>4</w:t>
            </w:r>
          </w:p>
        </w:tc>
        <w:tc>
          <w:tcPr>
            <w:tcW w:w="2608" w:type="dxa"/>
            <w:vAlign w:val="center"/>
          </w:tcPr>
          <w:p w14:paraId="349BB94A" w14:textId="39036F8F" w:rsidR="004E22C1" w:rsidRPr="001455DC" w:rsidRDefault="004E22C1">
            <w:pPr>
              <w:pStyle w:val="Tablebody"/>
              <w:jc w:val="left"/>
              <w:rPr>
                <w:szCs w:val="22"/>
              </w:rPr>
            </w:pPr>
            <w:r w:rsidRPr="001455DC">
              <w:rPr>
                <w:szCs w:val="22"/>
              </w:rPr>
              <w:t>New chapter C.</w:t>
            </w:r>
            <w:r w:rsidR="00977FED" w:rsidRPr="001455DC">
              <w:rPr>
                <w:szCs w:val="22"/>
              </w:rPr>
              <w:t>4</w:t>
            </w:r>
            <w:r w:rsidRPr="001455DC">
              <w:rPr>
                <w:szCs w:val="22"/>
              </w:rPr>
              <w:t>.2.</w:t>
            </w:r>
          </w:p>
        </w:tc>
        <w:tc>
          <w:tcPr>
            <w:tcW w:w="5897" w:type="dxa"/>
            <w:vAlign w:val="center"/>
          </w:tcPr>
          <w:p w14:paraId="55201157" w14:textId="77777777" w:rsidR="004E22C1" w:rsidRPr="009D3012" w:rsidRDefault="004E22C1" w:rsidP="0032033D">
            <w:pPr>
              <w:pStyle w:val="Tablebody"/>
              <w:jc w:val="left"/>
              <w:rPr>
                <w:bCs/>
                <w:szCs w:val="22"/>
                <w:lang w:val="en-US"/>
              </w:rPr>
            </w:pPr>
            <w:r w:rsidRPr="009D3012">
              <w:rPr>
                <w:rFonts w:eastAsiaTheme="minorHAnsi"/>
                <w:bCs/>
                <w:szCs w:val="22"/>
                <w:lang w:val="en-US"/>
              </w:rPr>
              <w:t>Requirements to producers of stainless steel partly different</w:t>
            </w:r>
            <w:r w:rsidRPr="009D3012">
              <w:rPr>
                <w:bCs/>
                <w:szCs w:val="22"/>
                <w:lang w:val="en-US"/>
              </w:rPr>
              <w:t xml:space="preserve"> to carbon steel reinforcement.</w:t>
            </w:r>
          </w:p>
          <w:p w14:paraId="4A461F0E" w14:textId="53DB8C54" w:rsidR="004E22C1" w:rsidRPr="009D3012" w:rsidRDefault="004E22C1">
            <w:pPr>
              <w:pStyle w:val="Tablebody"/>
              <w:jc w:val="left"/>
              <w:rPr>
                <w:bCs/>
                <w:szCs w:val="22"/>
                <w:lang w:val="en-US"/>
              </w:rPr>
            </w:pPr>
            <w:r w:rsidRPr="009D3012">
              <w:rPr>
                <w:bCs/>
                <w:szCs w:val="22"/>
                <w:lang w:val="en-US"/>
              </w:rPr>
              <w:t xml:space="preserve">Between </w:t>
            </w:r>
            <w:r w:rsidRPr="009D3012">
              <w:rPr>
                <w:rStyle w:val="CCMCvariableitalic"/>
                <w:szCs w:val="22"/>
                <w:lang w:val="en-US"/>
              </w:rPr>
              <w:t>f</w:t>
            </w:r>
            <w:r w:rsidRPr="009D3012">
              <w:rPr>
                <w:rStyle w:val="CCMCvariablesubscript"/>
                <w:szCs w:val="22"/>
                <w:lang w:val="en-US"/>
              </w:rPr>
              <w:t>0,2k</w:t>
            </w:r>
            <w:r w:rsidRPr="009D3012">
              <w:rPr>
                <w:rFonts w:ascii="Cambria Math" w:eastAsiaTheme="minorHAnsi" w:hAnsi="Cambria Math" w:cs="Cambria Math"/>
                <w:bCs/>
                <w:szCs w:val="22"/>
                <w:lang w:val="en-US"/>
              </w:rPr>
              <w:t xml:space="preserve"> </w:t>
            </w:r>
            <w:r w:rsidRPr="009D3012">
              <w:rPr>
                <w:bCs/>
                <w:szCs w:val="22"/>
                <w:lang w:val="en-US"/>
              </w:rPr>
              <w:t xml:space="preserve">and the characteristic </w:t>
            </w:r>
            <w:r w:rsidRPr="009D3012">
              <w:rPr>
                <w:rStyle w:val="CCMCvariableitalic"/>
                <w:szCs w:val="22"/>
                <w:lang w:val="en-US"/>
              </w:rPr>
              <w:t>R</w:t>
            </w:r>
            <w:r w:rsidRPr="009D3012">
              <w:rPr>
                <w:rStyle w:val="CCMCvariablesubscript"/>
                <w:szCs w:val="22"/>
                <w:lang w:val="en-US"/>
              </w:rPr>
              <w:t>p0,2k</w:t>
            </w:r>
            <w:r w:rsidRPr="009D3012">
              <w:rPr>
                <w:bCs/>
                <w:szCs w:val="22"/>
                <w:lang w:val="en-US"/>
              </w:rPr>
              <w:t xml:space="preserve">. However the methods of evaluation and verification of 0,2 % proof strength given in </w:t>
            </w:r>
            <w:r w:rsidR="000D2A45" w:rsidRPr="001455DC">
              <w:rPr>
                <w:bCs/>
                <w:szCs w:val="22"/>
                <w:lang w:val="en-US"/>
              </w:rPr>
              <w:t>prEN 10370</w:t>
            </w:r>
            <w:r w:rsidRPr="009D3012">
              <w:rPr>
                <w:bCs/>
                <w:szCs w:val="22"/>
                <w:lang w:val="en-US"/>
              </w:rPr>
              <w:t xml:space="preserve"> provide a sufficient check for obtaining </w:t>
            </w:r>
            <w:r w:rsidRPr="009D3012">
              <w:rPr>
                <w:rStyle w:val="CCMCvariableitalic"/>
                <w:szCs w:val="22"/>
                <w:lang w:val="en-US"/>
              </w:rPr>
              <w:t>f</w:t>
            </w:r>
            <w:r w:rsidRPr="009D3012">
              <w:rPr>
                <w:rStyle w:val="CCMCvariablesubscript"/>
                <w:szCs w:val="22"/>
                <w:lang w:val="en-US"/>
              </w:rPr>
              <w:t>0,2k</w:t>
            </w:r>
            <w:r w:rsidRPr="009D3012">
              <w:rPr>
                <w:bCs/>
                <w:szCs w:val="22"/>
                <w:lang w:val="en-US"/>
              </w:rPr>
              <w:t>.</w:t>
            </w:r>
          </w:p>
        </w:tc>
      </w:tr>
    </w:tbl>
    <w:p w14:paraId="5FAC490F" w14:textId="77777777" w:rsidR="004E22C1" w:rsidRPr="001455DC" w:rsidRDefault="004E22C1" w:rsidP="004C68F7">
      <w:pPr>
        <w:pStyle w:val="a7"/>
      </w:pPr>
    </w:p>
    <w:p w14:paraId="6F7BB55D" w14:textId="60204AB8" w:rsidR="004E22C1" w:rsidRPr="001455DC" w:rsidRDefault="004E22C1" w:rsidP="00082680">
      <w:pPr>
        <w:pStyle w:val="a2"/>
      </w:pPr>
      <w:bookmarkStart w:id="2561" w:name="_Toc52820464"/>
      <w:bookmarkStart w:id="2562" w:name="_Toc54337254"/>
      <w:bookmarkStart w:id="2563" w:name="_Toc54337907"/>
      <w:bookmarkStart w:id="2564" w:name="_Toc54338509"/>
      <w:bookmarkStart w:id="2565" w:name="_Toc67565668"/>
      <w:r w:rsidRPr="001455DC">
        <w:t>Minimum cover for durability</w:t>
      </w:r>
      <w:bookmarkEnd w:id="2561"/>
      <w:bookmarkEnd w:id="2562"/>
      <w:bookmarkEnd w:id="2563"/>
      <w:bookmarkEnd w:id="2564"/>
      <w:bookmarkEnd w:id="2565"/>
    </w:p>
    <w:p w14:paraId="77E9A6B8" w14:textId="77777777" w:rsidR="004E22C1" w:rsidRPr="001455DC" w:rsidRDefault="004E22C1" w:rsidP="004C68F7">
      <w:pPr>
        <w:pStyle w:val="a7"/>
      </w:pPr>
      <w:r w:rsidRPr="001455DC">
        <w:t>(1)</w:t>
      </w:r>
      <w:r w:rsidRPr="001455DC">
        <w:tab/>
        <w:t>For durability design with stainless steel reinforcement, Stainless Steel Resistance Classes SSRC are defined in Table Q.2.</w:t>
      </w:r>
    </w:p>
    <w:p w14:paraId="59ADDD73" w14:textId="77777777" w:rsidR="004E22C1" w:rsidRPr="001455DC" w:rsidRDefault="004E22C1" w:rsidP="004C68F7">
      <w:pPr>
        <w:pStyle w:val="Note"/>
      </w:pPr>
      <w:r w:rsidRPr="001455DC">
        <w:t>NOTE</w:t>
      </w:r>
      <w:r w:rsidRPr="001455DC">
        <w:tab/>
        <w:t>For an alternative approach to design cover for durability without use of Exposure Resistance Classes (ERC) see Annex P.</w:t>
      </w:r>
    </w:p>
    <w:p w14:paraId="7E15614F" w14:textId="28A34204" w:rsidR="004E22C1" w:rsidRPr="001455DC" w:rsidRDefault="004E22C1" w:rsidP="004C68F7">
      <w:pPr>
        <w:pStyle w:val="Tabletitle"/>
      </w:pPr>
      <w:bookmarkStart w:id="2566" w:name="_Toc54337908"/>
      <w:r w:rsidRPr="001455DC">
        <w:t>Table Q.</w:t>
      </w:r>
      <w:r w:rsidR="008A5E41" w:rsidRPr="001455DC">
        <w:t>2</w:t>
      </w:r>
      <w:r w:rsidRPr="001455DC">
        <w:t>. Classification of corrosion resistance of stainless steel dependent on the Pitting Resistance Eqvivalent PRE</w:t>
      </w:r>
      <w:bookmarkEnd w:id="2566"/>
    </w:p>
    <w:tbl>
      <w:tblPr>
        <w:tblStyle w:val="53"/>
        <w:tblW w:w="9752" w:type="dxa"/>
        <w:tblLayout w:type="fixed"/>
        <w:tblLook w:val="0660" w:firstRow="1" w:lastRow="1" w:firstColumn="0" w:lastColumn="0" w:noHBand="1" w:noVBand="1"/>
      </w:tblPr>
      <w:tblGrid>
        <w:gridCol w:w="1517"/>
        <w:gridCol w:w="1524"/>
        <w:gridCol w:w="3003"/>
        <w:gridCol w:w="1137"/>
        <w:gridCol w:w="1137"/>
        <w:gridCol w:w="1434"/>
      </w:tblGrid>
      <w:tr w:rsidR="004E22C1" w:rsidRPr="001455DC" w14:paraId="450C59F9" w14:textId="77777777" w:rsidTr="0032033D">
        <w:trPr>
          <w:cnfStyle w:val="100000000000" w:firstRow="1" w:lastRow="0" w:firstColumn="0" w:lastColumn="0" w:oddVBand="0" w:evenVBand="0" w:oddHBand="0" w:evenHBand="0" w:firstRowFirstColumn="0" w:firstRowLastColumn="0" w:lastRowFirstColumn="0" w:lastRowLastColumn="0"/>
          <w:cantSplit/>
          <w:tblHeader/>
        </w:trPr>
        <w:tc>
          <w:tcPr>
            <w:tcW w:w="1322" w:type="dxa"/>
            <w:vMerge w:val="restart"/>
            <w:hideMark/>
          </w:tcPr>
          <w:p w14:paraId="1543206B" w14:textId="77777777" w:rsidR="004E22C1" w:rsidRPr="001455DC" w:rsidRDefault="004E22C1" w:rsidP="0032033D">
            <w:pPr>
              <w:pStyle w:val="Tableheader"/>
            </w:pPr>
            <w:r w:rsidRPr="001455DC">
              <w:t>Stainless steel Resistance Class</w:t>
            </w:r>
          </w:p>
        </w:tc>
        <w:tc>
          <w:tcPr>
            <w:tcW w:w="1329" w:type="dxa"/>
            <w:vMerge w:val="restart"/>
            <w:hideMark/>
          </w:tcPr>
          <w:p w14:paraId="4B3F6124" w14:textId="434D1A5E" w:rsidR="004E22C1" w:rsidRPr="009D3012" w:rsidRDefault="004E22C1" w:rsidP="0032033D">
            <w:pPr>
              <w:pStyle w:val="Tableheader"/>
              <w:rPr>
                <w:rStyle w:val="CCMCvariablesuperscript"/>
              </w:rPr>
            </w:pPr>
            <w:r w:rsidRPr="009D3012">
              <w:t>Pitting Resistance Equivalent PRE</w:t>
            </w:r>
            <w:r w:rsidRPr="001455DC">
              <w:rPr>
                <w:rStyle w:val="CCMCvariablesuperscript"/>
                <w:b w:val="0"/>
                <w:bCs/>
              </w:rPr>
              <w:t>a</w:t>
            </w:r>
          </w:p>
        </w:tc>
        <w:tc>
          <w:tcPr>
            <w:tcW w:w="2619" w:type="dxa"/>
            <w:vMerge w:val="restart"/>
            <w:hideMark/>
          </w:tcPr>
          <w:p w14:paraId="597E8BBA" w14:textId="77777777" w:rsidR="004E22C1" w:rsidRPr="001455DC" w:rsidRDefault="004E22C1" w:rsidP="0032033D">
            <w:pPr>
              <w:pStyle w:val="Tableheader"/>
            </w:pPr>
            <w:r w:rsidRPr="001455DC">
              <w:t>Description</w:t>
            </w:r>
          </w:p>
        </w:tc>
        <w:tc>
          <w:tcPr>
            <w:tcW w:w="3235" w:type="dxa"/>
            <w:gridSpan w:val="3"/>
            <w:hideMark/>
          </w:tcPr>
          <w:p w14:paraId="6AFE9E50" w14:textId="1B5F4D89" w:rsidR="004E22C1" w:rsidRPr="001455DC" w:rsidRDefault="004E22C1" w:rsidP="0032033D">
            <w:pPr>
              <w:pStyle w:val="Tableheader"/>
            </w:pPr>
            <w:r w:rsidRPr="001455DC">
              <w:t>Informative examples</w:t>
            </w:r>
            <w:r w:rsidR="0032033D" w:rsidRPr="001455DC">
              <w:t xml:space="preserve"> </w:t>
            </w:r>
            <w:r w:rsidRPr="001455DC">
              <w:t>EN 10088</w:t>
            </w:r>
            <w:r w:rsidRPr="001455DC">
              <w:noBreakHyphen/>
              <w:t>1</w:t>
            </w:r>
          </w:p>
        </w:tc>
      </w:tr>
      <w:tr w:rsidR="004E22C1" w:rsidRPr="001455DC" w14:paraId="7C134BAC" w14:textId="77777777" w:rsidTr="0032033D">
        <w:trPr>
          <w:cnfStyle w:val="100000000000" w:firstRow="1" w:lastRow="0" w:firstColumn="0" w:lastColumn="0" w:oddVBand="0" w:evenVBand="0" w:oddHBand="0" w:evenHBand="0" w:firstRowFirstColumn="0" w:firstRowLastColumn="0" w:lastRowFirstColumn="0" w:lastRowLastColumn="0"/>
          <w:cantSplit/>
          <w:tblHeader/>
        </w:trPr>
        <w:tc>
          <w:tcPr>
            <w:tcW w:w="1322" w:type="dxa"/>
            <w:vMerge/>
            <w:hideMark/>
          </w:tcPr>
          <w:p w14:paraId="05E4897D" w14:textId="77777777" w:rsidR="004E22C1" w:rsidRPr="009D3012" w:rsidRDefault="004E22C1" w:rsidP="0032033D">
            <w:pPr>
              <w:pStyle w:val="Tableheader"/>
            </w:pPr>
          </w:p>
        </w:tc>
        <w:tc>
          <w:tcPr>
            <w:tcW w:w="1329" w:type="dxa"/>
            <w:vMerge/>
            <w:hideMark/>
          </w:tcPr>
          <w:p w14:paraId="2B7B46B2" w14:textId="77777777" w:rsidR="004E22C1" w:rsidRPr="009D3012" w:rsidRDefault="004E22C1" w:rsidP="0032033D">
            <w:pPr>
              <w:pStyle w:val="Tableheader"/>
            </w:pPr>
          </w:p>
        </w:tc>
        <w:tc>
          <w:tcPr>
            <w:tcW w:w="2619" w:type="dxa"/>
            <w:vMerge/>
            <w:hideMark/>
          </w:tcPr>
          <w:p w14:paraId="3353DCAD" w14:textId="77777777" w:rsidR="004E22C1" w:rsidRPr="009D3012" w:rsidRDefault="004E22C1" w:rsidP="0032033D">
            <w:pPr>
              <w:pStyle w:val="Tableheader"/>
            </w:pPr>
          </w:p>
        </w:tc>
        <w:tc>
          <w:tcPr>
            <w:tcW w:w="992" w:type="dxa"/>
            <w:hideMark/>
          </w:tcPr>
          <w:p w14:paraId="3345B3A9" w14:textId="77777777" w:rsidR="004E22C1" w:rsidRPr="001455DC" w:rsidRDefault="004E22C1" w:rsidP="0032033D">
            <w:pPr>
              <w:pStyle w:val="Tableheader"/>
            </w:pPr>
            <w:r w:rsidRPr="001455DC">
              <w:t>Ferritic</w:t>
            </w:r>
          </w:p>
        </w:tc>
        <w:tc>
          <w:tcPr>
            <w:tcW w:w="992" w:type="dxa"/>
            <w:hideMark/>
          </w:tcPr>
          <w:p w14:paraId="140A39EE" w14:textId="77777777" w:rsidR="004E22C1" w:rsidRPr="001455DC" w:rsidRDefault="004E22C1" w:rsidP="0032033D">
            <w:pPr>
              <w:pStyle w:val="Tableheader"/>
            </w:pPr>
            <w:r w:rsidRPr="001455DC">
              <w:t>Duplex</w:t>
            </w:r>
          </w:p>
        </w:tc>
        <w:tc>
          <w:tcPr>
            <w:tcW w:w="1251" w:type="dxa"/>
            <w:hideMark/>
          </w:tcPr>
          <w:p w14:paraId="675D29A3" w14:textId="77777777" w:rsidR="004E22C1" w:rsidRPr="001455DC" w:rsidRDefault="004E22C1" w:rsidP="0032033D">
            <w:pPr>
              <w:pStyle w:val="Tableheader"/>
            </w:pPr>
            <w:r w:rsidRPr="001455DC">
              <w:t>Austenitic</w:t>
            </w:r>
          </w:p>
        </w:tc>
      </w:tr>
      <w:tr w:rsidR="004E22C1" w:rsidRPr="001455DC" w14:paraId="72F22A1A" w14:textId="77777777" w:rsidTr="0032033D">
        <w:trPr>
          <w:cantSplit/>
        </w:trPr>
        <w:tc>
          <w:tcPr>
            <w:tcW w:w="1322" w:type="dxa"/>
            <w:vAlign w:val="center"/>
            <w:hideMark/>
          </w:tcPr>
          <w:p w14:paraId="0B4AF030" w14:textId="77777777" w:rsidR="004E22C1" w:rsidRPr="001455DC" w:rsidRDefault="004E22C1" w:rsidP="0032033D">
            <w:pPr>
              <w:pStyle w:val="Tablebody"/>
              <w:jc w:val="center"/>
              <w:rPr>
                <w:b/>
                <w:bCs/>
              </w:rPr>
            </w:pPr>
            <w:r w:rsidRPr="001455DC">
              <w:rPr>
                <w:b/>
                <w:bCs/>
              </w:rPr>
              <w:t>SSRC0</w:t>
            </w:r>
          </w:p>
        </w:tc>
        <w:tc>
          <w:tcPr>
            <w:tcW w:w="1329" w:type="dxa"/>
            <w:vAlign w:val="center"/>
            <w:hideMark/>
          </w:tcPr>
          <w:p w14:paraId="54ED07BA" w14:textId="6C1A90EE" w:rsidR="004E22C1" w:rsidRPr="001455DC" w:rsidRDefault="004E22C1" w:rsidP="0032033D">
            <w:pPr>
              <w:pStyle w:val="Tablebody"/>
              <w:jc w:val="center"/>
            </w:pPr>
            <w:r w:rsidRPr="001455DC">
              <w:t>0</w:t>
            </w:r>
            <w:r w:rsidR="0032033D" w:rsidRPr="001455DC">
              <w:t xml:space="preserve"> to </w:t>
            </w:r>
            <w:r w:rsidRPr="001455DC">
              <w:t>9</w:t>
            </w:r>
          </w:p>
        </w:tc>
        <w:tc>
          <w:tcPr>
            <w:tcW w:w="2619" w:type="dxa"/>
            <w:vAlign w:val="center"/>
            <w:hideMark/>
          </w:tcPr>
          <w:p w14:paraId="244E3D71" w14:textId="77777777" w:rsidR="004E22C1" w:rsidRPr="001455DC" w:rsidRDefault="004E22C1" w:rsidP="0032033D">
            <w:pPr>
              <w:pStyle w:val="Tablebody"/>
              <w:jc w:val="left"/>
            </w:pPr>
            <w:r w:rsidRPr="001455DC">
              <w:t>Carbon steel reinforcement</w:t>
            </w:r>
          </w:p>
        </w:tc>
        <w:tc>
          <w:tcPr>
            <w:tcW w:w="992" w:type="dxa"/>
            <w:vAlign w:val="center"/>
            <w:hideMark/>
          </w:tcPr>
          <w:p w14:paraId="6897EDD7" w14:textId="77777777" w:rsidR="004E22C1" w:rsidRPr="001455DC" w:rsidRDefault="004E22C1" w:rsidP="0032033D">
            <w:pPr>
              <w:pStyle w:val="Tablebody"/>
              <w:jc w:val="center"/>
            </w:pPr>
            <w:r w:rsidRPr="001455DC">
              <w:t>–</w:t>
            </w:r>
          </w:p>
        </w:tc>
        <w:tc>
          <w:tcPr>
            <w:tcW w:w="992" w:type="dxa"/>
            <w:vAlign w:val="center"/>
            <w:hideMark/>
          </w:tcPr>
          <w:p w14:paraId="278C507C" w14:textId="77777777" w:rsidR="004E22C1" w:rsidRPr="001455DC" w:rsidRDefault="004E22C1" w:rsidP="0032033D">
            <w:pPr>
              <w:pStyle w:val="Tablebody"/>
              <w:jc w:val="center"/>
              <w:rPr>
                <w:rFonts w:asciiTheme="minorHAnsi" w:eastAsiaTheme="minorHAnsi" w:hAnsiTheme="minorHAnsi" w:cstheme="minorBidi"/>
                <w:lang w:eastAsia="sv-SE"/>
              </w:rPr>
            </w:pPr>
            <w:r w:rsidRPr="001455DC">
              <w:rPr>
                <w:rFonts w:asciiTheme="minorHAnsi" w:eastAsiaTheme="minorHAnsi" w:hAnsiTheme="minorHAnsi" w:cstheme="minorBidi"/>
                <w:lang w:eastAsia="sv-SE"/>
              </w:rPr>
              <w:t>–</w:t>
            </w:r>
          </w:p>
        </w:tc>
        <w:tc>
          <w:tcPr>
            <w:tcW w:w="1251" w:type="dxa"/>
            <w:vAlign w:val="center"/>
            <w:hideMark/>
          </w:tcPr>
          <w:p w14:paraId="4CF876CB" w14:textId="77777777" w:rsidR="004E22C1" w:rsidRPr="001455DC" w:rsidRDefault="004E22C1" w:rsidP="0032033D">
            <w:pPr>
              <w:pStyle w:val="Tablebody"/>
              <w:jc w:val="center"/>
              <w:rPr>
                <w:rFonts w:asciiTheme="minorHAnsi" w:eastAsiaTheme="minorHAnsi" w:hAnsiTheme="minorHAnsi" w:cstheme="minorBidi"/>
                <w:lang w:eastAsia="sv-SE"/>
              </w:rPr>
            </w:pPr>
            <w:r w:rsidRPr="001455DC">
              <w:rPr>
                <w:rFonts w:asciiTheme="minorHAnsi" w:eastAsiaTheme="minorHAnsi" w:hAnsiTheme="minorHAnsi" w:cstheme="minorBidi"/>
                <w:lang w:eastAsia="sv-SE"/>
              </w:rPr>
              <w:t>–</w:t>
            </w:r>
          </w:p>
        </w:tc>
      </w:tr>
      <w:tr w:rsidR="004E22C1" w:rsidRPr="001455DC" w14:paraId="1C826A01" w14:textId="77777777" w:rsidTr="0032033D">
        <w:trPr>
          <w:cantSplit/>
        </w:trPr>
        <w:tc>
          <w:tcPr>
            <w:tcW w:w="1322" w:type="dxa"/>
            <w:vAlign w:val="center"/>
            <w:hideMark/>
          </w:tcPr>
          <w:p w14:paraId="4F4617E9" w14:textId="77777777" w:rsidR="004E22C1" w:rsidRPr="009D3012" w:rsidRDefault="004E22C1" w:rsidP="0032033D">
            <w:pPr>
              <w:pStyle w:val="Tablebody"/>
              <w:jc w:val="center"/>
              <w:rPr>
                <w:b/>
                <w:bCs/>
              </w:rPr>
            </w:pPr>
            <w:r w:rsidRPr="001455DC">
              <w:rPr>
                <w:b/>
                <w:bCs/>
              </w:rPr>
              <w:t>SSRC1</w:t>
            </w:r>
          </w:p>
        </w:tc>
        <w:tc>
          <w:tcPr>
            <w:tcW w:w="1329" w:type="dxa"/>
            <w:vAlign w:val="center"/>
            <w:hideMark/>
          </w:tcPr>
          <w:p w14:paraId="4F103836" w14:textId="12483DC0" w:rsidR="004E22C1" w:rsidRPr="001455DC" w:rsidRDefault="004E22C1" w:rsidP="0032033D">
            <w:pPr>
              <w:pStyle w:val="Tablebody"/>
              <w:jc w:val="center"/>
            </w:pPr>
            <w:r w:rsidRPr="001455DC">
              <w:t>10</w:t>
            </w:r>
            <w:r w:rsidR="0032033D" w:rsidRPr="001455DC">
              <w:t xml:space="preserve"> to </w:t>
            </w:r>
            <w:r w:rsidRPr="001455DC">
              <w:t>16</w:t>
            </w:r>
          </w:p>
        </w:tc>
        <w:tc>
          <w:tcPr>
            <w:tcW w:w="2619" w:type="dxa"/>
            <w:vAlign w:val="center"/>
            <w:hideMark/>
          </w:tcPr>
          <w:p w14:paraId="3C493F0B" w14:textId="77777777" w:rsidR="004E22C1" w:rsidRPr="001455DC" w:rsidRDefault="004E22C1" w:rsidP="0032033D">
            <w:pPr>
              <w:pStyle w:val="Tablebody"/>
              <w:jc w:val="left"/>
            </w:pPr>
            <w:r w:rsidRPr="001455DC">
              <w:t>Chromium steels</w:t>
            </w:r>
          </w:p>
        </w:tc>
        <w:tc>
          <w:tcPr>
            <w:tcW w:w="992" w:type="dxa"/>
            <w:vAlign w:val="center"/>
            <w:hideMark/>
          </w:tcPr>
          <w:p w14:paraId="61045126" w14:textId="77777777" w:rsidR="004E22C1" w:rsidRPr="001455DC" w:rsidRDefault="004E22C1" w:rsidP="0032033D">
            <w:pPr>
              <w:pStyle w:val="Tablebody"/>
              <w:jc w:val="center"/>
            </w:pPr>
            <w:r w:rsidRPr="001455DC">
              <w:t>1.4003</w:t>
            </w:r>
          </w:p>
        </w:tc>
        <w:tc>
          <w:tcPr>
            <w:tcW w:w="992" w:type="dxa"/>
            <w:vAlign w:val="center"/>
            <w:hideMark/>
          </w:tcPr>
          <w:p w14:paraId="7DAA1BEE" w14:textId="77777777" w:rsidR="004E22C1" w:rsidRPr="001455DC" w:rsidRDefault="004E22C1" w:rsidP="0032033D">
            <w:pPr>
              <w:pStyle w:val="Tablebody"/>
              <w:jc w:val="center"/>
            </w:pPr>
            <w:r w:rsidRPr="001455DC">
              <w:t>–</w:t>
            </w:r>
          </w:p>
        </w:tc>
        <w:tc>
          <w:tcPr>
            <w:tcW w:w="1251" w:type="dxa"/>
            <w:vAlign w:val="center"/>
            <w:hideMark/>
          </w:tcPr>
          <w:p w14:paraId="01FE86B4" w14:textId="77777777" w:rsidR="004E22C1" w:rsidRPr="001455DC" w:rsidRDefault="004E22C1" w:rsidP="0032033D">
            <w:pPr>
              <w:pStyle w:val="Tablebody"/>
              <w:jc w:val="center"/>
              <w:rPr>
                <w:rFonts w:asciiTheme="minorHAnsi" w:eastAsiaTheme="minorHAnsi" w:hAnsiTheme="minorHAnsi" w:cstheme="minorBidi"/>
                <w:lang w:eastAsia="sv-SE"/>
              </w:rPr>
            </w:pPr>
            <w:r w:rsidRPr="001455DC">
              <w:rPr>
                <w:rFonts w:asciiTheme="minorHAnsi" w:eastAsiaTheme="minorHAnsi" w:hAnsiTheme="minorHAnsi" w:cstheme="minorBidi"/>
                <w:lang w:eastAsia="sv-SE"/>
              </w:rPr>
              <w:t>–</w:t>
            </w:r>
          </w:p>
        </w:tc>
      </w:tr>
      <w:tr w:rsidR="004E22C1" w:rsidRPr="001455DC" w14:paraId="13556684" w14:textId="77777777" w:rsidTr="0032033D">
        <w:trPr>
          <w:cantSplit/>
        </w:trPr>
        <w:tc>
          <w:tcPr>
            <w:tcW w:w="1322" w:type="dxa"/>
            <w:vAlign w:val="center"/>
            <w:hideMark/>
          </w:tcPr>
          <w:p w14:paraId="52296E33" w14:textId="77777777" w:rsidR="004E22C1" w:rsidRPr="009D3012" w:rsidRDefault="004E22C1" w:rsidP="0032033D">
            <w:pPr>
              <w:pStyle w:val="Tablebody"/>
              <w:jc w:val="center"/>
              <w:rPr>
                <w:b/>
                <w:bCs/>
              </w:rPr>
            </w:pPr>
            <w:r w:rsidRPr="001455DC">
              <w:rPr>
                <w:b/>
                <w:bCs/>
              </w:rPr>
              <w:t>SSRC2</w:t>
            </w:r>
          </w:p>
        </w:tc>
        <w:tc>
          <w:tcPr>
            <w:tcW w:w="1329" w:type="dxa"/>
            <w:vAlign w:val="center"/>
            <w:hideMark/>
          </w:tcPr>
          <w:p w14:paraId="1A757019" w14:textId="6FBD6FB0" w:rsidR="004E22C1" w:rsidRPr="001455DC" w:rsidRDefault="004E22C1" w:rsidP="0032033D">
            <w:pPr>
              <w:pStyle w:val="Tablebody"/>
              <w:jc w:val="center"/>
            </w:pPr>
            <w:r w:rsidRPr="001455DC">
              <w:t>17</w:t>
            </w:r>
            <w:r w:rsidR="0032033D" w:rsidRPr="001455DC">
              <w:t xml:space="preserve"> to </w:t>
            </w:r>
            <w:r w:rsidRPr="001455DC">
              <w:t>22</w:t>
            </w:r>
          </w:p>
        </w:tc>
        <w:tc>
          <w:tcPr>
            <w:tcW w:w="2619" w:type="dxa"/>
            <w:vAlign w:val="center"/>
            <w:hideMark/>
          </w:tcPr>
          <w:p w14:paraId="265A3332" w14:textId="77777777" w:rsidR="004E22C1" w:rsidRPr="001455DC" w:rsidRDefault="004E22C1" w:rsidP="0032033D">
            <w:pPr>
              <w:pStyle w:val="Tablebody"/>
              <w:jc w:val="left"/>
            </w:pPr>
            <w:r w:rsidRPr="001455DC">
              <w:t>Chromium Nickel steels</w:t>
            </w:r>
          </w:p>
        </w:tc>
        <w:tc>
          <w:tcPr>
            <w:tcW w:w="992" w:type="dxa"/>
            <w:vAlign w:val="center"/>
            <w:hideMark/>
          </w:tcPr>
          <w:p w14:paraId="6D6ABCE9" w14:textId="77777777" w:rsidR="004E22C1" w:rsidRPr="001455DC" w:rsidRDefault="004E22C1" w:rsidP="0032033D">
            <w:pPr>
              <w:pStyle w:val="Tablebody"/>
              <w:jc w:val="center"/>
            </w:pPr>
            <w:r w:rsidRPr="001455DC">
              <w:t>–</w:t>
            </w:r>
          </w:p>
        </w:tc>
        <w:tc>
          <w:tcPr>
            <w:tcW w:w="992" w:type="dxa"/>
            <w:vAlign w:val="center"/>
            <w:hideMark/>
          </w:tcPr>
          <w:p w14:paraId="32DE15E1" w14:textId="77777777" w:rsidR="004E22C1" w:rsidRPr="009D3012" w:rsidRDefault="004E22C1" w:rsidP="0032033D">
            <w:pPr>
              <w:pStyle w:val="Tablebody"/>
              <w:jc w:val="center"/>
            </w:pPr>
            <w:r w:rsidRPr="001455DC">
              <w:t>1.4482</w:t>
            </w:r>
          </w:p>
        </w:tc>
        <w:tc>
          <w:tcPr>
            <w:tcW w:w="1251" w:type="dxa"/>
            <w:vAlign w:val="center"/>
            <w:hideMark/>
          </w:tcPr>
          <w:p w14:paraId="0CFA2D7C" w14:textId="77777777" w:rsidR="004E22C1" w:rsidRPr="001455DC" w:rsidRDefault="004E22C1" w:rsidP="0032033D">
            <w:pPr>
              <w:pStyle w:val="Tablebody"/>
              <w:jc w:val="center"/>
            </w:pPr>
            <w:r w:rsidRPr="001455DC">
              <w:t>1.4301</w:t>
            </w:r>
          </w:p>
          <w:p w14:paraId="74AFB23B" w14:textId="77777777" w:rsidR="004E22C1" w:rsidRPr="001455DC" w:rsidRDefault="004E22C1" w:rsidP="0032033D">
            <w:pPr>
              <w:pStyle w:val="Tablebody"/>
              <w:jc w:val="center"/>
            </w:pPr>
            <w:r w:rsidRPr="001455DC">
              <w:t>1.4307</w:t>
            </w:r>
          </w:p>
        </w:tc>
      </w:tr>
      <w:tr w:rsidR="004E22C1" w:rsidRPr="001455DC" w14:paraId="5EA641F7" w14:textId="77777777" w:rsidTr="0032033D">
        <w:trPr>
          <w:cantSplit/>
        </w:trPr>
        <w:tc>
          <w:tcPr>
            <w:tcW w:w="1322" w:type="dxa"/>
            <w:vAlign w:val="center"/>
            <w:hideMark/>
          </w:tcPr>
          <w:p w14:paraId="4E4A8AC7" w14:textId="77777777" w:rsidR="004E22C1" w:rsidRPr="001455DC" w:rsidRDefault="004E22C1" w:rsidP="0032033D">
            <w:pPr>
              <w:pStyle w:val="Tablebody"/>
              <w:jc w:val="center"/>
              <w:rPr>
                <w:b/>
                <w:bCs/>
              </w:rPr>
            </w:pPr>
            <w:r w:rsidRPr="001455DC">
              <w:rPr>
                <w:b/>
                <w:bCs/>
              </w:rPr>
              <w:t>SSRC3</w:t>
            </w:r>
          </w:p>
        </w:tc>
        <w:tc>
          <w:tcPr>
            <w:tcW w:w="1329" w:type="dxa"/>
            <w:vAlign w:val="center"/>
            <w:hideMark/>
          </w:tcPr>
          <w:p w14:paraId="1CBAD04F" w14:textId="147A6852" w:rsidR="004E22C1" w:rsidRPr="001455DC" w:rsidRDefault="004E22C1" w:rsidP="0032033D">
            <w:pPr>
              <w:pStyle w:val="Tablebody"/>
              <w:jc w:val="center"/>
            </w:pPr>
            <w:r w:rsidRPr="001455DC">
              <w:t>23</w:t>
            </w:r>
            <w:r w:rsidR="0032033D" w:rsidRPr="001455DC">
              <w:t xml:space="preserve"> to </w:t>
            </w:r>
            <w:r w:rsidRPr="001455DC">
              <w:t>30</w:t>
            </w:r>
          </w:p>
        </w:tc>
        <w:tc>
          <w:tcPr>
            <w:tcW w:w="2619" w:type="dxa"/>
            <w:vAlign w:val="center"/>
            <w:hideMark/>
          </w:tcPr>
          <w:p w14:paraId="45D61C46" w14:textId="77777777" w:rsidR="004E22C1" w:rsidRPr="009D3012" w:rsidRDefault="004E22C1" w:rsidP="0032033D">
            <w:pPr>
              <w:pStyle w:val="Tablebody"/>
              <w:jc w:val="left"/>
              <w:rPr>
                <w:lang w:val="en-US"/>
              </w:rPr>
            </w:pPr>
            <w:r w:rsidRPr="009D3012">
              <w:rPr>
                <w:lang w:val="en-US"/>
              </w:rPr>
              <w:t>Chromium Nickel steels with Molybdenum</w:t>
            </w:r>
          </w:p>
        </w:tc>
        <w:tc>
          <w:tcPr>
            <w:tcW w:w="992" w:type="dxa"/>
            <w:vAlign w:val="center"/>
            <w:hideMark/>
          </w:tcPr>
          <w:p w14:paraId="42077E66" w14:textId="77777777" w:rsidR="004E22C1" w:rsidRPr="001455DC" w:rsidRDefault="004E22C1" w:rsidP="0032033D">
            <w:pPr>
              <w:pStyle w:val="Tablebody"/>
              <w:jc w:val="center"/>
            </w:pPr>
            <w:r w:rsidRPr="001455DC">
              <w:t>–</w:t>
            </w:r>
          </w:p>
        </w:tc>
        <w:tc>
          <w:tcPr>
            <w:tcW w:w="992" w:type="dxa"/>
            <w:vAlign w:val="center"/>
            <w:hideMark/>
          </w:tcPr>
          <w:p w14:paraId="3488E825" w14:textId="77777777" w:rsidR="004E22C1" w:rsidRPr="009D3012" w:rsidRDefault="004E22C1" w:rsidP="0032033D">
            <w:pPr>
              <w:pStyle w:val="Tablebody"/>
              <w:jc w:val="center"/>
            </w:pPr>
            <w:r w:rsidRPr="001455DC">
              <w:t>1.4362</w:t>
            </w:r>
          </w:p>
        </w:tc>
        <w:tc>
          <w:tcPr>
            <w:tcW w:w="1251" w:type="dxa"/>
            <w:vAlign w:val="center"/>
            <w:hideMark/>
          </w:tcPr>
          <w:p w14:paraId="033EAC29" w14:textId="77777777" w:rsidR="004E22C1" w:rsidRPr="001455DC" w:rsidRDefault="004E22C1" w:rsidP="0032033D">
            <w:pPr>
              <w:pStyle w:val="Tablebody"/>
              <w:jc w:val="center"/>
            </w:pPr>
            <w:r w:rsidRPr="001455DC">
              <w:t>1.4401</w:t>
            </w:r>
          </w:p>
          <w:p w14:paraId="165F56C5" w14:textId="77777777" w:rsidR="004E22C1" w:rsidRPr="001455DC" w:rsidRDefault="004E22C1" w:rsidP="0032033D">
            <w:pPr>
              <w:pStyle w:val="Tablebody"/>
              <w:jc w:val="center"/>
            </w:pPr>
            <w:r w:rsidRPr="001455DC">
              <w:t>1.4404</w:t>
            </w:r>
          </w:p>
          <w:p w14:paraId="62908E0C" w14:textId="77777777" w:rsidR="004E22C1" w:rsidRPr="001455DC" w:rsidRDefault="004E22C1" w:rsidP="0032033D">
            <w:pPr>
              <w:pStyle w:val="Tablebody"/>
              <w:jc w:val="center"/>
            </w:pPr>
            <w:r w:rsidRPr="001455DC">
              <w:t>1.4571</w:t>
            </w:r>
          </w:p>
        </w:tc>
      </w:tr>
      <w:tr w:rsidR="004E22C1" w:rsidRPr="001455DC" w14:paraId="45AA2DDF" w14:textId="77777777" w:rsidTr="0032033D">
        <w:trPr>
          <w:cantSplit/>
        </w:trPr>
        <w:tc>
          <w:tcPr>
            <w:tcW w:w="1322" w:type="dxa"/>
            <w:vAlign w:val="center"/>
            <w:hideMark/>
          </w:tcPr>
          <w:p w14:paraId="2B3D983E" w14:textId="77777777" w:rsidR="004E22C1" w:rsidRPr="001455DC" w:rsidRDefault="004E22C1" w:rsidP="0032033D">
            <w:pPr>
              <w:pStyle w:val="Tablebody"/>
              <w:jc w:val="center"/>
              <w:rPr>
                <w:b/>
                <w:bCs/>
              </w:rPr>
            </w:pPr>
            <w:r w:rsidRPr="001455DC">
              <w:rPr>
                <w:b/>
                <w:bCs/>
              </w:rPr>
              <w:t>SSRC4</w:t>
            </w:r>
          </w:p>
        </w:tc>
        <w:tc>
          <w:tcPr>
            <w:tcW w:w="1329" w:type="dxa"/>
            <w:vAlign w:val="center"/>
            <w:hideMark/>
          </w:tcPr>
          <w:p w14:paraId="7506517F" w14:textId="64CFC617" w:rsidR="004E22C1" w:rsidRPr="001455DC" w:rsidRDefault="00650035" w:rsidP="0032033D">
            <w:pPr>
              <w:pStyle w:val="Tablebody"/>
              <w:jc w:val="center"/>
            </w:pPr>
            <w:r w:rsidRPr="001455DC">
              <w:rPr>
                <w:rFonts w:ascii="Cambria Math" w:hAnsi="Cambria Math"/>
              </w:rPr>
              <w:t>≥</w:t>
            </w:r>
            <w:r w:rsidR="00073FC6" w:rsidRPr="001455DC">
              <w:t> </w:t>
            </w:r>
            <w:r w:rsidR="004E22C1" w:rsidRPr="001455DC">
              <w:t>31</w:t>
            </w:r>
          </w:p>
        </w:tc>
        <w:tc>
          <w:tcPr>
            <w:tcW w:w="2619" w:type="dxa"/>
            <w:vAlign w:val="center"/>
            <w:hideMark/>
          </w:tcPr>
          <w:p w14:paraId="0E716036" w14:textId="77777777" w:rsidR="004E22C1" w:rsidRPr="009D3012" w:rsidRDefault="004E22C1" w:rsidP="0032033D">
            <w:pPr>
              <w:pStyle w:val="Tablebody"/>
              <w:jc w:val="left"/>
              <w:rPr>
                <w:lang w:val="en-US"/>
              </w:rPr>
            </w:pPr>
            <w:r w:rsidRPr="009D3012">
              <w:rPr>
                <w:lang w:val="en-US"/>
              </w:rPr>
              <w:t>Steels with increased content of Chromium and Molybdenum</w:t>
            </w:r>
          </w:p>
        </w:tc>
        <w:tc>
          <w:tcPr>
            <w:tcW w:w="992" w:type="dxa"/>
            <w:vAlign w:val="center"/>
            <w:hideMark/>
          </w:tcPr>
          <w:p w14:paraId="2E84C0D3" w14:textId="77777777" w:rsidR="004E22C1" w:rsidRPr="001455DC" w:rsidRDefault="004E22C1" w:rsidP="0032033D">
            <w:pPr>
              <w:pStyle w:val="Tablebody"/>
              <w:jc w:val="center"/>
            </w:pPr>
            <w:r w:rsidRPr="001455DC">
              <w:t>–</w:t>
            </w:r>
          </w:p>
        </w:tc>
        <w:tc>
          <w:tcPr>
            <w:tcW w:w="992" w:type="dxa"/>
            <w:vAlign w:val="center"/>
            <w:hideMark/>
          </w:tcPr>
          <w:p w14:paraId="35E623E3" w14:textId="77777777" w:rsidR="004E22C1" w:rsidRPr="009D3012" w:rsidRDefault="004E22C1" w:rsidP="0032033D">
            <w:pPr>
              <w:pStyle w:val="Tablebody"/>
              <w:jc w:val="center"/>
            </w:pPr>
            <w:r w:rsidRPr="001455DC">
              <w:t>1.4462</w:t>
            </w:r>
          </w:p>
        </w:tc>
        <w:tc>
          <w:tcPr>
            <w:tcW w:w="1251" w:type="dxa"/>
            <w:vAlign w:val="center"/>
            <w:hideMark/>
          </w:tcPr>
          <w:p w14:paraId="58FB8F02" w14:textId="77777777" w:rsidR="004E22C1" w:rsidRPr="001455DC" w:rsidRDefault="004E22C1" w:rsidP="0032033D">
            <w:pPr>
              <w:pStyle w:val="Tablebody"/>
              <w:jc w:val="center"/>
            </w:pPr>
            <w:r w:rsidRPr="001455DC">
              <w:t>1.4529</w:t>
            </w:r>
          </w:p>
        </w:tc>
      </w:tr>
      <w:tr w:rsidR="004E22C1" w:rsidRPr="001455DC" w14:paraId="07608214" w14:textId="77777777" w:rsidTr="0032033D">
        <w:trPr>
          <w:cnfStyle w:val="010000000000" w:firstRow="0" w:lastRow="1" w:firstColumn="0" w:lastColumn="0" w:oddVBand="0" w:evenVBand="0" w:oddHBand="0" w:evenHBand="0" w:firstRowFirstColumn="0" w:firstRowLastColumn="0" w:lastRowFirstColumn="0" w:lastRowLastColumn="0"/>
          <w:cantSplit/>
        </w:trPr>
        <w:tc>
          <w:tcPr>
            <w:tcW w:w="8505" w:type="dxa"/>
            <w:gridSpan w:val="6"/>
          </w:tcPr>
          <w:p w14:paraId="72C4EA61" w14:textId="7333AF68" w:rsidR="004E22C1" w:rsidRPr="009D3012" w:rsidRDefault="004E22C1" w:rsidP="0032033D">
            <w:pPr>
              <w:pStyle w:val="Tablefooter"/>
              <w:rPr>
                <w:lang w:val="en-US"/>
              </w:rPr>
            </w:pPr>
            <w:r w:rsidRPr="009D3012">
              <w:rPr>
                <w:rStyle w:val="CCMCvariablesuperscript"/>
                <w:lang w:val="en-US"/>
              </w:rPr>
              <w:t>a</w:t>
            </w:r>
            <w:r w:rsidR="0032033D" w:rsidRPr="009D3012">
              <w:rPr>
                <w:lang w:val="en-US"/>
              </w:rPr>
              <w:tab/>
            </w:r>
            <w:r w:rsidRPr="009D3012">
              <w:rPr>
                <w:lang w:val="en-US"/>
              </w:rPr>
              <w:t>Calculation of the Pitting Resistance Equivalent: PRE </w:t>
            </w:r>
            <w:r w:rsidR="00EC27D2" w:rsidRPr="009D3012">
              <w:rPr>
                <w:rFonts w:ascii="Cambria Math" w:hAnsi="Cambria Math"/>
                <w:lang w:val="en-US"/>
              </w:rPr>
              <w:t>=</w:t>
            </w:r>
            <w:r w:rsidRPr="009D3012">
              <w:rPr>
                <w:lang w:val="en-US"/>
              </w:rPr>
              <w:t> Cr</w:t>
            </w:r>
            <w:r w:rsidR="00EC27D2" w:rsidRPr="009D3012">
              <w:rPr>
                <w:rFonts w:ascii="Cambria Math" w:hAnsi="Cambria Math"/>
                <w:lang w:val="en-US"/>
              </w:rPr>
              <w:t> + </w:t>
            </w:r>
            <w:r w:rsidRPr="009D3012">
              <w:rPr>
                <w:lang w:val="en-US"/>
              </w:rPr>
              <w:t>3,3 </w:t>
            </w:r>
            <w:r w:rsidRPr="009D3012">
              <w:rPr>
                <w:rFonts w:ascii="Cambria Math" w:hAnsi="Cambria Math" w:cs="Cambria Math"/>
                <w:lang w:val="en-US"/>
              </w:rPr>
              <w:t>⋅</w:t>
            </w:r>
            <w:r w:rsidRPr="009D3012">
              <w:rPr>
                <w:lang w:val="en-US"/>
              </w:rPr>
              <w:t> Mo</w:t>
            </w:r>
            <w:r w:rsidR="00EC27D2" w:rsidRPr="009D3012">
              <w:rPr>
                <w:rFonts w:ascii="Cambria Math" w:hAnsi="Cambria Math"/>
                <w:lang w:val="en-US"/>
              </w:rPr>
              <w:t> + </w:t>
            </w:r>
            <w:r w:rsidRPr="009D3012">
              <w:rPr>
                <w:rStyle w:val="CCMCvariableitalic"/>
                <w:lang w:val="en-US"/>
              </w:rPr>
              <w:t>n</w:t>
            </w:r>
            <w:r w:rsidRPr="009D3012">
              <w:rPr>
                <w:lang w:val="en-US"/>
              </w:rPr>
              <w:t> </w:t>
            </w:r>
            <w:r w:rsidRPr="009D3012">
              <w:rPr>
                <w:rFonts w:ascii="Cambria Math" w:hAnsi="Cambria Math" w:cs="Cambria Math"/>
                <w:lang w:val="en-US"/>
              </w:rPr>
              <w:t>⋅</w:t>
            </w:r>
            <w:r w:rsidRPr="009D3012">
              <w:rPr>
                <w:lang w:val="en-US"/>
              </w:rPr>
              <w:t> N;</w:t>
            </w:r>
            <w:r w:rsidR="0032033D" w:rsidRPr="009D3012">
              <w:rPr>
                <w:lang w:val="en-US"/>
              </w:rPr>
              <w:t xml:space="preserve"> </w:t>
            </w:r>
            <w:r w:rsidRPr="009D3012">
              <w:rPr>
                <w:lang w:val="en-US"/>
              </w:rPr>
              <w:t>Cr, Mo and N in M.- %.</w:t>
            </w:r>
            <w:r w:rsidR="0032033D" w:rsidRPr="009D3012">
              <w:rPr>
                <w:lang w:val="en-US"/>
              </w:rPr>
              <w:t xml:space="preserve"> </w:t>
            </w:r>
            <w:r w:rsidRPr="009D3012">
              <w:rPr>
                <w:lang w:val="en-US"/>
              </w:rPr>
              <w:t xml:space="preserve">With: </w:t>
            </w:r>
            <w:r w:rsidRPr="009D3012">
              <w:rPr>
                <w:rStyle w:val="CCMCvariableitalic"/>
                <w:lang w:val="en-US"/>
              </w:rPr>
              <w:t>n</w:t>
            </w:r>
            <w:r w:rsidRPr="009D3012">
              <w:rPr>
                <w:lang w:val="en-US"/>
              </w:rPr>
              <w:t> </w:t>
            </w:r>
            <w:r w:rsidR="00EC27D2" w:rsidRPr="009D3012">
              <w:rPr>
                <w:rFonts w:ascii="Cambria Math" w:hAnsi="Cambria Math"/>
                <w:lang w:val="en-US"/>
              </w:rPr>
              <w:t>=</w:t>
            </w:r>
            <w:r w:rsidRPr="009D3012">
              <w:rPr>
                <w:lang w:val="en-US"/>
              </w:rPr>
              <w:t xml:space="preserve"> 0 for ferritic steels, </w:t>
            </w:r>
            <w:r w:rsidRPr="009D3012">
              <w:rPr>
                <w:rStyle w:val="CCMCvariableitalic"/>
                <w:lang w:val="en-US"/>
              </w:rPr>
              <w:t>n</w:t>
            </w:r>
            <w:r w:rsidRPr="009D3012">
              <w:rPr>
                <w:lang w:val="en-US"/>
              </w:rPr>
              <w:t> </w:t>
            </w:r>
            <w:r w:rsidR="00EC27D2" w:rsidRPr="009D3012">
              <w:rPr>
                <w:rFonts w:ascii="Cambria Math" w:hAnsi="Cambria Math"/>
                <w:lang w:val="en-US"/>
              </w:rPr>
              <w:t>=</w:t>
            </w:r>
            <w:r w:rsidRPr="009D3012">
              <w:rPr>
                <w:lang w:val="en-US"/>
              </w:rPr>
              <w:t xml:space="preserve"> 16 for Duplex steels and </w:t>
            </w:r>
            <w:r w:rsidRPr="009D3012">
              <w:rPr>
                <w:rStyle w:val="CCMCvariableitalic"/>
                <w:lang w:val="en-US"/>
              </w:rPr>
              <w:t>n</w:t>
            </w:r>
            <w:r w:rsidRPr="009D3012">
              <w:rPr>
                <w:lang w:val="en-US"/>
              </w:rPr>
              <w:t> </w:t>
            </w:r>
            <w:r w:rsidR="00EC27D2" w:rsidRPr="009D3012">
              <w:rPr>
                <w:rFonts w:ascii="Cambria Math" w:hAnsi="Cambria Math"/>
                <w:lang w:val="en-US"/>
              </w:rPr>
              <w:t>=</w:t>
            </w:r>
            <w:r w:rsidRPr="009D3012">
              <w:rPr>
                <w:lang w:val="en-US"/>
              </w:rPr>
              <w:t> 30 for austenitic steels.</w:t>
            </w:r>
          </w:p>
        </w:tc>
      </w:tr>
    </w:tbl>
    <w:p w14:paraId="1C6AF00A" w14:textId="77777777" w:rsidR="004E22C1" w:rsidRPr="001455DC" w:rsidRDefault="004E22C1" w:rsidP="0032033D">
      <w:pPr>
        <w:pStyle w:val="a7"/>
      </w:pPr>
    </w:p>
    <w:p w14:paraId="4D878101" w14:textId="41640A4C" w:rsidR="004E22C1" w:rsidRPr="001455DC" w:rsidRDefault="004E22C1" w:rsidP="004C68F7">
      <w:pPr>
        <w:pStyle w:val="a7"/>
        <w:rPr>
          <w:bCs/>
        </w:rPr>
      </w:pPr>
      <w:r w:rsidRPr="001455DC">
        <w:t>(2)</w:t>
      </w:r>
      <w:r w:rsidRPr="001455DC">
        <w:tab/>
        <w:t xml:space="preserve">Where stainless steel reinforcement is used, the minimum cover </w:t>
      </w:r>
      <w:r w:rsidRPr="001455DC">
        <w:rPr>
          <w:rStyle w:val="CCMCvariableitalic"/>
        </w:rPr>
        <w:t>c</w:t>
      </w:r>
      <w:r w:rsidRPr="001455DC">
        <w:rPr>
          <w:rStyle w:val="CCMCvariablesubscript"/>
        </w:rPr>
        <w:t>min,dur</w:t>
      </w:r>
      <w:r w:rsidRPr="001455DC">
        <w:t xml:space="preserve"> in Table Q.3(NDP) may be used. For such situations the effects on all relevant material properties and design parameters should be considered, including bond.</w:t>
      </w:r>
    </w:p>
    <w:p w14:paraId="626CE73E" w14:textId="77777777" w:rsidR="004E22C1" w:rsidRPr="001455DC" w:rsidRDefault="004E22C1" w:rsidP="004C68F7">
      <w:pPr>
        <w:pStyle w:val="Tabletitle"/>
      </w:pPr>
      <w:bookmarkStart w:id="2567" w:name="_Toc54337909"/>
      <w:r w:rsidRPr="001455DC">
        <w:t xml:space="preserve">Table Q.3(NDP) — Minimum concrete cover </w:t>
      </w:r>
      <w:r w:rsidRPr="001455DC">
        <w:rPr>
          <w:rStyle w:val="CCMCvariableitalic"/>
        </w:rPr>
        <w:t>c</w:t>
      </w:r>
      <w:r w:rsidRPr="001455DC">
        <w:rPr>
          <w:rStyle w:val="CCMCvariablesubscript"/>
        </w:rPr>
        <w:t>min,dur</w:t>
      </w:r>
      <w:r w:rsidRPr="001455DC">
        <w:t xml:space="preserve"> to stainless steel reinforcement</w:t>
      </w:r>
      <w:bookmarkEnd w:id="2567"/>
    </w:p>
    <w:tbl>
      <w:tblPr>
        <w:tblStyle w:val="53"/>
        <w:tblW w:w="9752" w:type="dxa"/>
        <w:tblLook w:val="0660" w:firstRow="1" w:lastRow="1" w:firstColumn="0" w:lastColumn="0" w:noHBand="1" w:noVBand="1"/>
      </w:tblPr>
      <w:tblGrid>
        <w:gridCol w:w="1816"/>
        <w:gridCol w:w="1991"/>
        <w:gridCol w:w="1486"/>
        <w:gridCol w:w="1486"/>
        <w:gridCol w:w="1487"/>
        <w:gridCol w:w="1486"/>
      </w:tblGrid>
      <w:tr w:rsidR="004E22C1" w:rsidRPr="001455DC" w14:paraId="60E58D98" w14:textId="77777777" w:rsidTr="0032033D">
        <w:trPr>
          <w:cnfStyle w:val="100000000000" w:firstRow="1" w:lastRow="0" w:firstColumn="0" w:lastColumn="0" w:oddVBand="0" w:evenVBand="0" w:oddHBand="0" w:evenHBand="0" w:firstRowFirstColumn="0" w:firstRowLastColumn="0" w:lastRowFirstColumn="0" w:lastRowLastColumn="0"/>
          <w:cantSplit/>
          <w:tblHeader/>
        </w:trPr>
        <w:tc>
          <w:tcPr>
            <w:tcW w:w="1584" w:type="dxa"/>
            <w:vMerge w:val="restart"/>
            <w:hideMark/>
          </w:tcPr>
          <w:p w14:paraId="06F0143D" w14:textId="77777777" w:rsidR="004E22C1" w:rsidRPr="001455DC" w:rsidRDefault="004E22C1" w:rsidP="00802497">
            <w:pPr>
              <w:pStyle w:val="Tableheader"/>
              <w:keepNext/>
            </w:pPr>
            <w:r w:rsidRPr="001455DC">
              <w:t>Exposure</w:t>
            </w:r>
            <w:r w:rsidRPr="001455DC">
              <w:br/>
              <w:t>Class</w:t>
            </w:r>
          </w:p>
        </w:tc>
        <w:tc>
          <w:tcPr>
            <w:tcW w:w="1736" w:type="dxa"/>
            <w:vMerge w:val="restart"/>
            <w:hideMark/>
          </w:tcPr>
          <w:p w14:paraId="43450C0D" w14:textId="77777777" w:rsidR="004E22C1" w:rsidRPr="001455DC" w:rsidRDefault="004E22C1" w:rsidP="00802497">
            <w:pPr>
              <w:pStyle w:val="Tableheader"/>
              <w:keepNext/>
            </w:pPr>
            <w:r w:rsidRPr="001455DC">
              <w:t>Exposure resistance class ERC</w:t>
            </w:r>
          </w:p>
        </w:tc>
        <w:tc>
          <w:tcPr>
            <w:tcW w:w="5185" w:type="dxa"/>
            <w:gridSpan w:val="4"/>
            <w:hideMark/>
          </w:tcPr>
          <w:p w14:paraId="4AEC28C9" w14:textId="222E7153" w:rsidR="004E22C1" w:rsidRPr="001455DC" w:rsidRDefault="004E22C1" w:rsidP="00802497">
            <w:pPr>
              <w:pStyle w:val="Tableheader"/>
              <w:keepNext/>
            </w:pPr>
            <w:r w:rsidRPr="001455DC">
              <w:t>Stainless steel resistance class</w:t>
            </w:r>
            <w:r w:rsidRPr="001455DC">
              <w:rPr>
                <w:rStyle w:val="CCMCvariablesuperscript"/>
                <w:b w:val="0"/>
                <w:bCs/>
              </w:rPr>
              <w:t>a</w:t>
            </w:r>
          </w:p>
        </w:tc>
      </w:tr>
      <w:tr w:rsidR="004E22C1" w:rsidRPr="001455DC" w14:paraId="21F07862" w14:textId="77777777" w:rsidTr="0032033D">
        <w:trPr>
          <w:cnfStyle w:val="100000000000" w:firstRow="1" w:lastRow="0" w:firstColumn="0" w:lastColumn="0" w:oddVBand="0" w:evenVBand="0" w:oddHBand="0" w:evenHBand="0" w:firstRowFirstColumn="0" w:firstRowLastColumn="0" w:lastRowFirstColumn="0" w:lastRowLastColumn="0"/>
          <w:cantSplit/>
          <w:tblHeader/>
        </w:trPr>
        <w:tc>
          <w:tcPr>
            <w:tcW w:w="1584" w:type="dxa"/>
            <w:vMerge/>
            <w:hideMark/>
          </w:tcPr>
          <w:p w14:paraId="6175F39B" w14:textId="77777777" w:rsidR="004E22C1" w:rsidRPr="001455DC" w:rsidRDefault="004E22C1" w:rsidP="00802497">
            <w:pPr>
              <w:pStyle w:val="Tableheader"/>
              <w:keepNext/>
            </w:pPr>
          </w:p>
        </w:tc>
        <w:tc>
          <w:tcPr>
            <w:tcW w:w="1736" w:type="dxa"/>
            <w:vMerge/>
            <w:hideMark/>
          </w:tcPr>
          <w:p w14:paraId="050F7706" w14:textId="77777777" w:rsidR="004E22C1" w:rsidRPr="001455DC" w:rsidRDefault="004E22C1" w:rsidP="00802497">
            <w:pPr>
              <w:pStyle w:val="Tableheader"/>
              <w:keepNext/>
            </w:pPr>
          </w:p>
        </w:tc>
        <w:tc>
          <w:tcPr>
            <w:tcW w:w="1296" w:type="dxa"/>
            <w:hideMark/>
          </w:tcPr>
          <w:p w14:paraId="3D55E25E" w14:textId="77777777" w:rsidR="004E22C1" w:rsidRPr="001455DC" w:rsidRDefault="004E22C1" w:rsidP="00802497">
            <w:pPr>
              <w:pStyle w:val="Tableheader"/>
              <w:keepNext/>
            </w:pPr>
            <w:r w:rsidRPr="001455DC">
              <w:t>SSRC1</w:t>
            </w:r>
          </w:p>
        </w:tc>
        <w:tc>
          <w:tcPr>
            <w:tcW w:w="1296" w:type="dxa"/>
            <w:hideMark/>
          </w:tcPr>
          <w:p w14:paraId="22DA0B0A" w14:textId="77777777" w:rsidR="004E22C1" w:rsidRPr="001455DC" w:rsidRDefault="004E22C1" w:rsidP="00802497">
            <w:pPr>
              <w:pStyle w:val="Tableheader"/>
              <w:keepNext/>
            </w:pPr>
            <w:r w:rsidRPr="001455DC">
              <w:t>SSRC2</w:t>
            </w:r>
          </w:p>
        </w:tc>
        <w:tc>
          <w:tcPr>
            <w:tcW w:w="1297" w:type="dxa"/>
            <w:hideMark/>
          </w:tcPr>
          <w:p w14:paraId="21E63EC6" w14:textId="77777777" w:rsidR="004E22C1" w:rsidRPr="001455DC" w:rsidRDefault="004E22C1" w:rsidP="00802497">
            <w:pPr>
              <w:pStyle w:val="Tableheader"/>
              <w:keepNext/>
            </w:pPr>
            <w:r w:rsidRPr="001455DC">
              <w:t>SSRC3</w:t>
            </w:r>
          </w:p>
        </w:tc>
        <w:tc>
          <w:tcPr>
            <w:tcW w:w="1296" w:type="dxa"/>
            <w:hideMark/>
          </w:tcPr>
          <w:p w14:paraId="1902F7FE" w14:textId="77777777" w:rsidR="004E22C1" w:rsidRPr="001455DC" w:rsidRDefault="004E22C1" w:rsidP="00802497">
            <w:pPr>
              <w:pStyle w:val="Tableheader"/>
              <w:keepNext/>
            </w:pPr>
            <w:r w:rsidRPr="001455DC">
              <w:t>SSRC4</w:t>
            </w:r>
          </w:p>
        </w:tc>
      </w:tr>
      <w:tr w:rsidR="004E22C1" w:rsidRPr="001455DC" w14:paraId="0D9368B2" w14:textId="77777777" w:rsidTr="0032033D">
        <w:trPr>
          <w:cantSplit/>
        </w:trPr>
        <w:tc>
          <w:tcPr>
            <w:tcW w:w="1584" w:type="dxa"/>
            <w:vAlign w:val="center"/>
          </w:tcPr>
          <w:p w14:paraId="2147086B" w14:textId="77777777" w:rsidR="004E22C1" w:rsidRPr="001455DC" w:rsidRDefault="004E22C1" w:rsidP="00802497">
            <w:pPr>
              <w:pStyle w:val="Tablebody"/>
              <w:keepNext/>
              <w:jc w:val="center"/>
            </w:pPr>
            <w:r w:rsidRPr="001455DC">
              <w:t>XC1</w:t>
            </w:r>
          </w:p>
        </w:tc>
        <w:tc>
          <w:tcPr>
            <w:tcW w:w="1736" w:type="dxa"/>
            <w:vMerge w:val="restart"/>
            <w:vAlign w:val="center"/>
          </w:tcPr>
          <w:p w14:paraId="3D1AA8EB" w14:textId="1B605F36" w:rsidR="004E22C1" w:rsidRPr="001455DC" w:rsidRDefault="00650035" w:rsidP="00802497">
            <w:pPr>
              <w:pStyle w:val="Tablebody"/>
              <w:keepNext/>
              <w:jc w:val="center"/>
            </w:pPr>
            <w:r w:rsidRPr="001455DC">
              <w:rPr>
                <w:rFonts w:ascii="Cambria Math" w:hAnsi="Cambria Math"/>
              </w:rPr>
              <w:t>≤</w:t>
            </w:r>
            <w:r w:rsidR="004E22C1" w:rsidRPr="001455DC">
              <w:t> XRC9</w:t>
            </w:r>
          </w:p>
        </w:tc>
        <w:tc>
          <w:tcPr>
            <w:tcW w:w="1296" w:type="dxa"/>
            <w:vAlign w:val="center"/>
          </w:tcPr>
          <w:p w14:paraId="42CF141D" w14:textId="77777777" w:rsidR="004E22C1" w:rsidRPr="001455DC" w:rsidRDefault="004E22C1" w:rsidP="00802497">
            <w:pPr>
              <w:pStyle w:val="Tablebody"/>
              <w:keepNext/>
              <w:jc w:val="center"/>
            </w:pPr>
            <w:r w:rsidRPr="001455DC">
              <w:t>0</w:t>
            </w:r>
          </w:p>
        </w:tc>
        <w:tc>
          <w:tcPr>
            <w:tcW w:w="1296" w:type="dxa"/>
            <w:vAlign w:val="center"/>
          </w:tcPr>
          <w:p w14:paraId="1D438716" w14:textId="77777777" w:rsidR="004E22C1" w:rsidRPr="001455DC" w:rsidRDefault="004E22C1" w:rsidP="00802497">
            <w:pPr>
              <w:pStyle w:val="Tablebody"/>
              <w:keepNext/>
              <w:jc w:val="center"/>
            </w:pPr>
            <w:r w:rsidRPr="001455DC">
              <w:t>0</w:t>
            </w:r>
          </w:p>
        </w:tc>
        <w:tc>
          <w:tcPr>
            <w:tcW w:w="1297" w:type="dxa"/>
            <w:vAlign w:val="center"/>
          </w:tcPr>
          <w:p w14:paraId="42A215B5" w14:textId="77777777" w:rsidR="004E22C1" w:rsidRPr="001455DC" w:rsidRDefault="004E22C1" w:rsidP="00802497">
            <w:pPr>
              <w:pStyle w:val="Tablebody"/>
              <w:keepNext/>
              <w:jc w:val="center"/>
            </w:pPr>
            <w:r w:rsidRPr="001455DC">
              <w:t>0</w:t>
            </w:r>
          </w:p>
        </w:tc>
        <w:tc>
          <w:tcPr>
            <w:tcW w:w="1296" w:type="dxa"/>
            <w:vAlign w:val="center"/>
          </w:tcPr>
          <w:p w14:paraId="5F279BDD" w14:textId="77777777" w:rsidR="004E22C1" w:rsidRPr="001455DC" w:rsidRDefault="004E22C1" w:rsidP="00802497">
            <w:pPr>
              <w:pStyle w:val="Tablebody"/>
              <w:keepNext/>
              <w:jc w:val="center"/>
            </w:pPr>
            <w:r w:rsidRPr="001455DC">
              <w:t>0</w:t>
            </w:r>
          </w:p>
        </w:tc>
      </w:tr>
      <w:tr w:rsidR="004E22C1" w:rsidRPr="001455DC" w14:paraId="7C0757F2" w14:textId="77777777" w:rsidTr="0032033D">
        <w:trPr>
          <w:cantSplit/>
        </w:trPr>
        <w:tc>
          <w:tcPr>
            <w:tcW w:w="1584" w:type="dxa"/>
            <w:vAlign w:val="center"/>
          </w:tcPr>
          <w:p w14:paraId="6B242E5B" w14:textId="77777777" w:rsidR="004E22C1" w:rsidRPr="001455DC" w:rsidRDefault="004E22C1" w:rsidP="00802497">
            <w:pPr>
              <w:pStyle w:val="Tablebody"/>
              <w:keepNext/>
              <w:jc w:val="center"/>
            </w:pPr>
            <w:r w:rsidRPr="001455DC">
              <w:t>XC2</w:t>
            </w:r>
          </w:p>
        </w:tc>
        <w:tc>
          <w:tcPr>
            <w:tcW w:w="1736" w:type="dxa"/>
            <w:vMerge/>
            <w:vAlign w:val="center"/>
          </w:tcPr>
          <w:p w14:paraId="66135404" w14:textId="77777777" w:rsidR="004E22C1" w:rsidRPr="001455DC" w:rsidRDefault="004E22C1" w:rsidP="00802497">
            <w:pPr>
              <w:pStyle w:val="Tablebody"/>
              <w:keepNext/>
              <w:jc w:val="center"/>
            </w:pPr>
          </w:p>
        </w:tc>
        <w:tc>
          <w:tcPr>
            <w:tcW w:w="1296" w:type="dxa"/>
            <w:vAlign w:val="center"/>
          </w:tcPr>
          <w:p w14:paraId="0E8AFA25" w14:textId="77777777" w:rsidR="004E22C1" w:rsidRPr="001455DC" w:rsidRDefault="004E22C1" w:rsidP="00802497">
            <w:pPr>
              <w:pStyle w:val="Tablebody"/>
              <w:keepNext/>
              <w:jc w:val="center"/>
            </w:pPr>
            <w:r w:rsidRPr="001455DC">
              <w:t>0</w:t>
            </w:r>
          </w:p>
        </w:tc>
        <w:tc>
          <w:tcPr>
            <w:tcW w:w="1296" w:type="dxa"/>
            <w:vAlign w:val="center"/>
          </w:tcPr>
          <w:p w14:paraId="04AB0502" w14:textId="77777777" w:rsidR="004E22C1" w:rsidRPr="001455DC" w:rsidRDefault="004E22C1" w:rsidP="00802497">
            <w:pPr>
              <w:pStyle w:val="Tablebody"/>
              <w:keepNext/>
              <w:jc w:val="center"/>
            </w:pPr>
            <w:r w:rsidRPr="001455DC">
              <w:t>0</w:t>
            </w:r>
          </w:p>
        </w:tc>
        <w:tc>
          <w:tcPr>
            <w:tcW w:w="1297" w:type="dxa"/>
            <w:vAlign w:val="center"/>
          </w:tcPr>
          <w:p w14:paraId="2FEBCD9B" w14:textId="77777777" w:rsidR="004E22C1" w:rsidRPr="001455DC" w:rsidRDefault="004E22C1" w:rsidP="00802497">
            <w:pPr>
              <w:pStyle w:val="Tablebody"/>
              <w:keepNext/>
              <w:jc w:val="center"/>
            </w:pPr>
            <w:r w:rsidRPr="001455DC">
              <w:t>0</w:t>
            </w:r>
          </w:p>
        </w:tc>
        <w:tc>
          <w:tcPr>
            <w:tcW w:w="1296" w:type="dxa"/>
            <w:vAlign w:val="center"/>
          </w:tcPr>
          <w:p w14:paraId="043B8FC6" w14:textId="77777777" w:rsidR="004E22C1" w:rsidRPr="001455DC" w:rsidRDefault="004E22C1" w:rsidP="00802497">
            <w:pPr>
              <w:pStyle w:val="Tablebody"/>
              <w:keepNext/>
              <w:jc w:val="center"/>
            </w:pPr>
            <w:r w:rsidRPr="001455DC">
              <w:t>0</w:t>
            </w:r>
          </w:p>
        </w:tc>
      </w:tr>
      <w:tr w:rsidR="004E22C1" w:rsidRPr="001455DC" w14:paraId="5780043F" w14:textId="77777777" w:rsidTr="0032033D">
        <w:trPr>
          <w:cantSplit/>
        </w:trPr>
        <w:tc>
          <w:tcPr>
            <w:tcW w:w="1584" w:type="dxa"/>
            <w:vMerge w:val="restart"/>
            <w:vAlign w:val="center"/>
          </w:tcPr>
          <w:p w14:paraId="40C5E7E2" w14:textId="77777777" w:rsidR="004E22C1" w:rsidRPr="001455DC" w:rsidRDefault="004E22C1" w:rsidP="00802497">
            <w:pPr>
              <w:pStyle w:val="Tablebody"/>
              <w:keepNext/>
              <w:jc w:val="center"/>
            </w:pPr>
            <w:r w:rsidRPr="001455DC">
              <w:t>XC3</w:t>
            </w:r>
          </w:p>
        </w:tc>
        <w:tc>
          <w:tcPr>
            <w:tcW w:w="1736" w:type="dxa"/>
            <w:vAlign w:val="center"/>
          </w:tcPr>
          <w:p w14:paraId="035DA471" w14:textId="10F1D956" w:rsidR="004E22C1" w:rsidRPr="001455DC" w:rsidRDefault="00650035" w:rsidP="00802497">
            <w:pPr>
              <w:pStyle w:val="Tablebody"/>
              <w:keepNext/>
              <w:jc w:val="center"/>
            </w:pPr>
            <w:r w:rsidRPr="001455DC">
              <w:rPr>
                <w:rFonts w:ascii="Cambria Math" w:hAnsi="Cambria Math"/>
              </w:rPr>
              <w:t>≤</w:t>
            </w:r>
            <w:r w:rsidR="004E22C1" w:rsidRPr="001455DC">
              <w:t> XRC5</w:t>
            </w:r>
          </w:p>
        </w:tc>
        <w:tc>
          <w:tcPr>
            <w:tcW w:w="1296" w:type="dxa"/>
            <w:vAlign w:val="center"/>
          </w:tcPr>
          <w:p w14:paraId="3A7A46A3" w14:textId="77777777" w:rsidR="004E22C1" w:rsidRPr="001455DC" w:rsidRDefault="004E22C1" w:rsidP="00802497">
            <w:pPr>
              <w:pStyle w:val="Tablebody"/>
              <w:keepNext/>
              <w:jc w:val="center"/>
            </w:pPr>
            <w:r w:rsidRPr="001455DC">
              <w:t>0</w:t>
            </w:r>
          </w:p>
        </w:tc>
        <w:tc>
          <w:tcPr>
            <w:tcW w:w="1296" w:type="dxa"/>
            <w:vAlign w:val="center"/>
          </w:tcPr>
          <w:p w14:paraId="7FF4AEE8" w14:textId="77777777" w:rsidR="004E22C1" w:rsidRPr="001455DC" w:rsidRDefault="004E22C1" w:rsidP="00802497">
            <w:pPr>
              <w:pStyle w:val="Tablebody"/>
              <w:keepNext/>
              <w:jc w:val="center"/>
            </w:pPr>
            <w:r w:rsidRPr="001455DC">
              <w:t>0</w:t>
            </w:r>
          </w:p>
        </w:tc>
        <w:tc>
          <w:tcPr>
            <w:tcW w:w="1297" w:type="dxa"/>
            <w:vAlign w:val="center"/>
          </w:tcPr>
          <w:p w14:paraId="68E6F65C" w14:textId="77777777" w:rsidR="004E22C1" w:rsidRPr="001455DC" w:rsidRDefault="004E22C1" w:rsidP="00802497">
            <w:pPr>
              <w:pStyle w:val="Tablebody"/>
              <w:keepNext/>
              <w:jc w:val="center"/>
            </w:pPr>
            <w:r w:rsidRPr="001455DC">
              <w:t>0</w:t>
            </w:r>
          </w:p>
        </w:tc>
        <w:tc>
          <w:tcPr>
            <w:tcW w:w="1296" w:type="dxa"/>
            <w:vAlign w:val="center"/>
          </w:tcPr>
          <w:p w14:paraId="7F861FD4" w14:textId="77777777" w:rsidR="004E22C1" w:rsidRPr="001455DC" w:rsidRDefault="004E22C1" w:rsidP="00802497">
            <w:pPr>
              <w:pStyle w:val="Tablebody"/>
              <w:keepNext/>
              <w:jc w:val="center"/>
            </w:pPr>
            <w:r w:rsidRPr="001455DC">
              <w:t>0</w:t>
            </w:r>
          </w:p>
        </w:tc>
      </w:tr>
      <w:tr w:rsidR="004E22C1" w:rsidRPr="001455DC" w14:paraId="0D312597" w14:textId="77777777" w:rsidTr="0032033D">
        <w:trPr>
          <w:cantSplit/>
        </w:trPr>
        <w:tc>
          <w:tcPr>
            <w:tcW w:w="1584" w:type="dxa"/>
            <w:vMerge/>
            <w:vAlign w:val="center"/>
          </w:tcPr>
          <w:p w14:paraId="652FC505" w14:textId="77777777" w:rsidR="004E22C1" w:rsidRPr="001455DC" w:rsidRDefault="004E22C1" w:rsidP="00802497">
            <w:pPr>
              <w:pStyle w:val="Tablebody"/>
              <w:keepNext/>
              <w:jc w:val="center"/>
            </w:pPr>
          </w:p>
        </w:tc>
        <w:tc>
          <w:tcPr>
            <w:tcW w:w="1736" w:type="dxa"/>
            <w:vAlign w:val="center"/>
          </w:tcPr>
          <w:p w14:paraId="74A62C60" w14:textId="04F51F4F" w:rsidR="004E22C1" w:rsidRPr="001455DC" w:rsidRDefault="00650035" w:rsidP="00802497">
            <w:pPr>
              <w:pStyle w:val="Tablebody"/>
              <w:keepNext/>
              <w:jc w:val="center"/>
            </w:pPr>
            <w:r w:rsidRPr="001455DC">
              <w:rPr>
                <w:rFonts w:ascii="Cambria Math" w:hAnsi="Cambria Math"/>
              </w:rPr>
              <w:t>≤</w:t>
            </w:r>
            <w:r w:rsidR="004E22C1" w:rsidRPr="001455DC">
              <w:t> XRC9</w:t>
            </w:r>
          </w:p>
        </w:tc>
        <w:tc>
          <w:tcPr>
            <w:tcW w:w="1296" w:type="dxa"/>
            <w:vAlign w:val="center"/>
          </w:tcPr>
          <w:p w14:paraId="26015DBB" w14:textId="77777777" w:rsidR="004E22C1" w:rsidRPr="001455DC" w:rsidRDefault="004E22C1" w:rsidP="00802497">
            <w:pPr>
              <w:pStyle w:val="Tablebody"/>
              <w:keepNext/>
              <w:jc w:val="center"/>
            </w:pPr>
            <w:r w:rsidRPr="001455DC">
              <w:t>15</w:t>
            </w:r>
          </w:p>
        </w:tc>
        <w:tc>
          <w:tcPr>
            <w:tcW w:w="1296" w:type="dxa"/>
            <w:vAlign w:val="center"/>
          </w:tcPr>
          <w:p w14:paraId="1D759658" w14:textId="77777777" w:rsidR="004E22C1" w:rsidRPr="001455DC" w:rsidRDefault="004E22C1" w:rsidP="00802497">
            <w:pPr>
              <w:pStyle w:val="Tablebody"/>
              <w:keepNext/>
              <w:jc w:val="center"/>
            </w:pPr>
            <w:r w:rsidRPr="001455DC">
              <w:t>0</w:t>
            </w:r>
          </w:p>
        </w:tc>
        <w:tc>
          <w:tcPr>
            <w:tcW w:w="1297" w:type="dxa"/>
            <w:vAlign w:val="center"/>
          </w:tcPr>
          <w:p w14:paraId="4315656A" w14:textId="77777777" w:rsidR="004E22C1" w:rsidRPr="001455DC" w:rsidRDefault="004E22C1" w:rsidP="00802497">
            <w:pPr>
              <w:pStyle w:val="Tablebody"/>
              <w:keepNext/>
              <w:jc w:val="center"/>
            </w:pPr>
            <w:r w:rsidRPr="001455DC">
              <w:t>0</w:t>
            </w:r>
          </w:p>
        </w:tc>
        <w:tc>
          <w:tcPr>
            <w:tcW w:w="1296" w:type="dxa"/>
            <w:vAlign w:val="center"/>
          </w:tcPr>
          <w:p w14:paraId="26E07D3C" w14:textId="77777777" w:rsidR="004E22C1" w:rsidRPr="001455DC" w:rsidRDefault="004E22C1" w:rsidP="00802497">
            <w:pPr>
              <w:pStyle w:val="Tablebody"/>
              <w:keepNext/>
              <w:jc w:val="center"/>
            </w:pPr>
            <w:r w:rsidRPr="001455DC">
              <w:t>0</w:t>
            </w:r>
          </w:p>
        </w:tc>
      </w:tr>
      <w:tr w:rsidR="004E22C1" w:rsidRPr="001455DC" w14:paraId="389E3ED1" w14:textId="77777777" w:rsidTr="0032033D">
        <w:trPr>
          <w:cantSplit/>
        </w:trPr>
        <w:tc>
          <w:tcPr>
            <w:tcW w:w="1584" w:type="dxa"/>
            <w:vMerge w:val="restart"/>
            <w:vAlign w:val="center"/>
          </w:tcPr>
          <w:p w14:paraId="317BCD93" w14:textId="77777777" w:rsidR="004E22C1" w:rsidRPr="001455DC" w:rsidRDefault="004E22C1" w:rsidP="00802497">
            <w:pPr>
              <w:pStyle w:val="Tablebody"/>
              <w:keepNext/>
              <w:jc w:val="center"/>
            </w:pPr>
            <w:r w:rsidRPr="001455DC">
              <w:t>XC4</w:t>
            </w:r>
          </w:p>
        </w:tc>
        <w:tc>
          <w:tcPr>
            <w:tcW w:w="1736" w:type="dxa"/>
            <w:vAlign w:val="center"/>
          </w:tcPr>
          <w:p w14:paraId="758A5152" w14:textId="144DCEF9" w:rsidR="004E22C1" w:rsidRPr="001455DC" w:rsidRDefault="00650035" w:rsidP="00802497">
            <w:pPr>
              <w:pStyle w:val="Tablebody"/>
              <w:keepNext/>
              <w:jc w:val="center"/>
            </w:pPr>
            <w:r w:rsidRPr="001455DC">
              <w:rPr>
                <w:rFonts w:ascii="Cambria Math" w:hAnsi="Cambria Math"/>
              </w:rPr>
              <w:t>≤</w:t>
            </w:r>
            <w:r w:rsidR="004E22C1" w:rsidRPr="001455DC">
              <w:t> XRC5</w:t>
            </w:r>
          </w:p>
        </w:tc>
        <w:tc>
          <w:tcPr>
            <w:tcW w:w="1296" w:type="dxa"/>
            <w:vAlign w:val="center"/>
          </w:tcPr>
          <w:p w14:paraId="565EBD96" w14:textId="77777777" w:rsidR="004E22C1" w:rsidRPr="001455DC" w:rsidRDefault="004E22C1" w:rsidP="00802497">
            <w:pPr>
              <w:pStyle w:val="Tablebody"/>
              <w:keepNext/>
              <w:jc w:val="center"/>
            </w:pPr>
            <w:r w:rsidRPr="001455DC">
              <w:t>15</w:t>
            </w:r>
          </w:p>
        </w:tc>
        <w:tc>
          <w:tcPr>
            <w:tcW w:w="1296" w:type="dxa"/>
            <w:vAlign w:val="center"/>
          </w:tcPr>
          <w:p w14:paraId="0B9BF4A5" w14:textId="77777777" w:rsidR="004E22C1" w:rsidRPr="001455DC" w:rsidRDefault="004E22C1" w:rsidP="00802497">
            <w:pPr>
              <w:pStyle w:val="Tablebody"/>
              <w:keepNext/>
              <w:jc w:val="center"/>
            </w:pPr>
            <w:r w:rsidRPr="001455DC">
              <w:t>0</w:t>
            </w:r>
          </w:p>
        </w:tc>
        <w:tc>
          <w:tcPr>
            <w:tcW w:w="1297" w:type="dxa"/>
            <w:vAlign w:val="center"/>
          </w:tcPr>
          <w:p w14:paraId="7905068D" w14:textId="77777777" w:rsidR="004E22C1" w:rsidRPr="001455DC" w:rsidRDefault="004E22C1" w:rsidP="00802497">
            <w:pPr>
              <w:pStyle w:val="Tablebody"/>
              <w:keepNext/>
              <w:jc w:val="center"/>
            </w:pPr>
            <w:r w:rsidRPr="001455DC">
              <w:t>0</w:t>
            </w:r>
          </w:p>
        </w:tc>
        <w:tc>
          <w:tcPr>
            <w:tcW w:w="1296" w:type="dxa"/>
            <w:vAlign w:val="center"/>
          </w:tcPr>
          <w:p w14:paraId="50D93A4B" w14:textId="77777777" w:rsidR="004E22C1" w:rsidRPr="001455DC" w:rsidRDefault="004E22C1" w:rsidP="00802497">
            <w:pPr>
              <w:pStyle w:val="Tablebody"/>
              <w:keepNext/>
              <w:jc w:val="center"/>
            </w:pPr>
            <w:r w:rsidRPr="001455DC">
              <w:t>0</w:t>
            </w:r>
          </w:p>
        </w:tc>
      </w:tr>
      <w:tr w:rsidR="004E22C1" w:rsidRPr="001455DC" w14:paraId="665939FC" w14:textId="77777777" w:rsidTr="0032033D">
        <w:trPr>
          <w:cantSplit/>
        </w:trPr>
        <w:tc>
          <w:tcPr>
            <w:tcW w:w="1584" w:type="dxa"/>
            <w:vMerge/>
            <w:vAlign w:val="center"/>
          </w:tcPr>
          <w:p w14:paraId="29DC9D29" w14:textId="77777777" w:rsidR="004E22C1" w:rsidRPr="001455DC" w:rsidRDefault="004E22C1" w:rsidP="00802497">
            <w:pPr>
              <w:pStyle w:val="Tablebody"/>
              <w:keepNext/>
              <w:jc w:val="center"/>
            </w:pPr>
          </w:p>
        </w:tc>
        <w:tc>
          <w:tcPr>
            <w:tcW w:w="1736" w:type="dxa"/>
            <w:vAlign w:val="center"/>
          </w:tcPr>
          <w:p w14:paraId="0F860171" w14:textId="7C92FC26" w:rsidR="004E22C1" w:rsidRPr="001455DC" w:rsidRDefault="00650035" w:rsidP="00802497">
            <w:pPr>
              <w:pStyle w:val="Tablebody"/>
              <w:keepNext/>
              <w:jc w:val="center"/>
            </w:pPr>
            <w:r w:rsidRPr="001455DC">
              <w:rPr>
                <w:rFonts w:ascii="Cambria Math" w:hAnsi="Cambria Math"/>
              </w:rPr>
              <w:t>≤</w:t>
            </w:r>
            <w:r w:rsidR="004E22C1" w:rsidRPr="001455DC">
              <w:t> XRC9</w:t>
            </w:r>
          </w:p>
        </w:tc>
        <w:tc>
          <w:tcPr>
            <w:tcW w:w="1296" w:type="dxa"/>
            <w:vAlign w:val="center"/>
          </w:tcPr>
          <w:p w14:paraId="22F213D6" w14:textId="77777777" w:rsidR="004E22C1" w:rsidRPr="001455DC" w:rsidRDefault="004E22C1" w:rsidP="00802497">
            <w:pPr>
              <w:pStyle w:val="Tablebody"/>
              <w:keepNext/>
              <w:jc w:val="center"/>
            </w:pPr>
            <w:r w:rsidRPr="001455DC">
              <w:t>20</w:t>
            </w:r>
          </w:p>
        </w:tc>
        <w:tc>
          <w:tcPr>
            <w:tcW w:w="1296" w:type="dxa"/>
            <w:vAlign w:val="center"/>
          </w:tcPr>
          <w:p w14:paraId="3BEFACAB" w14:textId="77777777" w:rsidR="004E22C1" w:rsidRPr="001455DC" w:rsidRDefault="004E22C1" w:rsidP="00802497">
            <w:pPr>
              <w:pStyle w:val="Tablebody"/>
              <w:keepNext/>
              <w:jc w:val="center"/>
            </w:pPr>
            <w:r w:rsidRPr="001455DC">
              <w:t>0</w:t>
            </w:r>
          </w:p>
        </w:tc>
        <w:tc>
          <w:tcPr>
            <w:tcW w:w="1297" w:type="dxa"/>
            <w:vAlign w:val="center"/>
          </w:tcPr>
          <w:p w14:paraId="74BFF13D" w14:textId="77777777" w:rsidR="004E22C1" w:rsidRPr="001455DC" w:rsidRDefault="004E22C1" w:rsidP="00802497">
            <w:pPr>
              <w:pStyle w:val="Tablebody"/>
              <w:keepNext/>
              <w:jc w:val="center"/>
            </w:pPr>
            <w:r w:rsidRPr="001455DC">
              <w:t>0</w:t>
            </w:r>
          </w:p>
        </w:tc>
        <w:tc>
          <w:tcPr>
            <w:tcW w:w="1296" w:type="dxa"/>
            <w:vAlign w:val="center"/>
          </w:tcPr>
          <w:p w14:paraId="02969831" w14:textId="77777777" w:rsidR="004E22C1" w:rsidRPr="001455DC" w:rsidRDefault="004E22C1" w:rsidP="00802497">
            <w:pPr>
              <w:pStyle w:val="Tablebody"/>
              <w:keepNext/>
              <w:jc w:val="center"/>
            </w:pPr>
            <w:r w:rsidRPr="001455DC">
              <w:t>0</w:t>
            </w:r>
          </w:p>
        </w:tc>
      </w:tr>
      <w:tr w:rsidR="004E22C1" w:rsidRPr="001455DC" w14:paraId="4490150B" w14:textId="77777777" w:rsidTr="0032033D">
        <w:trPr>
          <w:cantSplit/>
        </w:trPr>
        <w:tc>
          <w:tcPr>
            <w:tcW w:w="1584" w:type="dxa"/>
            <w:vMerge w:val="restart"/>
            <w:vAlign w:val="center"/>
          </w:tcPr>
          <w:p w14:paraId="08125C82" w14:textId="77777777" w:rsidR="004E22C1" w:rsidRPr="001455DC" w:rsidRDefault="004E22C1" w:rsidP="00802497">
            <w:pPr>
              <w:pStyle w:val="Tablebody"/>
              <w:keepNext/>
              <w:jc w:val="center"/>
            </w:pPr>
            <w:r w:rsidRPr="001455DC">
              <w:t>XD1, XS1</w:t>
            </w:r>
          </w:p>
        </w:tc>
        <w:tc>
          <w:tcPr>
            <w:tcW w:w="1736" w:type="dxa"/>
            <w:vAlign w:val="center"/>
          </w:tcPr>
          <w:p w14:paraId="4373972E" w14:textId="0DE2EE0C" w:rsidR="004E22C1" w:rsidRPr="001455DC" w:rsidRDefault="00650035" w:rsidP="00802497">
            <w:pPr>
              <w:pStyle w:val="Tablebody"/>
              <w:keepNext/>
              <w:jc w:val="center"/>
            </w:pPr>
            <w:r w:rsidRPr="001455DC">
              <w:rPr>
                <w:rFonts w:ascii="Cambria Math" w:hAnsi="Cambria Math"/>
              </w:rPr>
              <w:t>≤</w:t>
            </w:r>
            <w:r w:rsidR="004E22C1" w:rsidRPr="001455DC">
              <w:t> XRDS1,5</w:t>
            </w:r>
          </w:p>
        </w:tc>
        <w:tc>
          <w:tcPr>
            <w:tcW w:w="1296" w:type="dxa"/>
            <w:vAlign w:val="center"/>
          </w:tcPr>
          <w:p w14:paraId="447BA324" w14:textId="77777777" w:rsidR="004E22C1" w:rsidRPr="001455DC" w:rsidRDefault="004E22C1" w:rsidP="00802497">
            <w:pPr>
              <w:pStyle w:val="Tablebody"/>
              <w:keepNext/>
              <w:jc w:val="center"/>
            </w:pPr>
            <w:r w:rsidRPr="001455DC">
              <w:t>20</w:t>
            </w:r>
          </w:p>
        </w:tc>
        <w:tc>
          <w:tcPr>
            <w:tcW w:w="1296" w:type="dxa"/>
            <w:vAlign w:val="center"/>
          </w:tcPr>
          <w:p w14:paraId="562E7757" w14:textId="77777777" w:rsidR="004E22C1" w:rsidRPr="001455DC" w:rsidRDefault="004E22C1" w:rsidP="00802497">
            <w:pPr>
              <w:pStyle w:val="Tablebody"/>
              <w:keepNext/>
              <w:jc w:val="center"/>
            </w:pPr>
            <w:r w:rsidRPr="001455DC">
              <w:t>15</w:t>
            </w:r>
          </w:p>
        </w:tc>
        <w:tc>
          <w:tcPr>
            <w:tcW w:w="1297" w:type="dxa"/>
            <w:vAlign w:val="center"/>
          </w:tcPr>
          <w:p w14:paraId="4FA52796" w14:textId="77777777" w:rsidR="004E22C1" w:rsidRPr="001455DC" w:rsidRDefault="004E22C1" w:rsidP="00802497">
            <w:pPr>
              <w:pStyle w:val="Tablebody"/>
              <w:keepNext/>
              <w:jc w:val="center"/>
            </w:pPr>
            <w:r w:rsidRPr="001455DC">
              <w:t>0</w:t>
            </w:r>
          </w:p>
        </w:tc>
        <w:tc>
          <w:tcPr>
            <w:tcW w:w="1296" w:type="dxa"/>
            <w:vAlign w:val="center"/>
          </w:tcPr>
          <w:p w14:paraId="0DEC7D50" w14:textId="77777777" w:rsidR="004E22C1" w:rsidRPr="001455DC" w:rsidRDefault="004E22C1" w:rsidP="00802497">
            <w:pPr>
              <w:pStyle w:val="Tablebody"/>
              <w:keepNext/>
              <w:jc w:val="center"/>
            </w:pPr>
            <w:r w:rsidRPr="001455DC">
              <w:t>0</w:t>
            </w:r>
          </w:p>
        </w:tc>
      </w:tr>
      <w:tr w:rsidR="004E22C1" w:rsidRPr="001455DC" w14:paraId="27409E1A" w14:textId="77777777" w:rsidTr="0032033D">
        <w:trPr>
          <w:cantSplit/>
        </w:trPr>
        <w:tc>
          <w:tcPr>
            <w:tcW w:w="1584" w:type="dxa"/>
            <w:vMerge/>
            <w:vAlign w:val="center"/>
          </w:tcPr>
          <w:p w14:paraId="66841C90" w14:textId="77777777" w:rsidR="004E22C1" w:rsidRPr="001455DC" w:rsidRDefault="004E22C1" w:rsidP="00802497">
            <w:pPr>
              <w:pStyle w:val="Tablebody"/>
              <w:keepNext/>
              <w:jc w:val="center"/>
            </w:pPr>
          </w:p>
        </w:tc>
        <w:tc>
          <w:tcPr>
            <w:tcW w:w="1736" w:type="dxa"/>
            <w:vAlign w:val="center"/>
          </w:tcPr>
          <w:p w14:paraId="7548AAC8" w14:textId="19DD3C87" w:rsidR="004E22C1" w:rsidRPr="001455DC" w:rsidRDefault="00650035" w:rsidP="00802497">
            <w:pPr>
              <w:pStyle w:val="Tablebody"/>
              <w:keepNext/>
              <w:jc w:val="center"/>
            </w:pPr>
            <w:r w:rsidRPr="001455DC">
              <w:rPr>
                <w:rFonts w:ascii="Cambria Math" w:hAnsi="Cambria Math"/>
              </w:rPr>
              <w:t>≤</w:t>
            </w:r>
            <w:r w:rsidR="004E22C1" w:rsidRPr="001455DC">
              <w:t> XRDS3,5</w:t>
            </w:r>
          </w:p>
        </w:tc>
        <w:tc>
          <w:tcPr>
            <w:tcW w:w="1296" w:type="dxa"/>
            <w:vAlign w:val="center"/>
          </w:tcPr>
          <w:p w14:paraId="7FCCBF20" w14:textId="77777777" w:rsidR="004E22C1" w:rsidRPr="001455DC" w:rsidRDefault="004E22C1" w:rsidP="00802497">
            <w:pPr>
              <w:pStyle w:val="Tablebody"/>
              <w:keepNext/>
              <w:jc w:val="center"/>
            </w:pPr>
            <w:r w:rsidRPr="001455DC">
              <w:t>30</w:t>
            </w:r>
          </w:p>
        </w:tc>
        <w:tc>
          <w:tcPr>
            <w:tcW w:w="1296" w:type="dxa"/>
            <w:vAlign w:val="center"/>
          </w:tcPr>
          <w:p w14:paraId="6CCD3438" w14:textId="77777777" w:rsidR="004E22C1" w:rsidRPr="001455DC" w:rsidRDefault="004E22C1" w:rsidP="00802497">
            <w:pPr>
              <w:pStyle w:val="Tablebody"/>
              <w:keepNext/>
              <w:jc w:val="center"/>
            </w:pPr>
            <w:r w:rsidRPr="001455DC">
              <w:t>20</w:t>
            </w:r>
          </w:p>
        </w:tc>
        <w:tc>
          <w:tcPr>
            <w:tcW w:w="1297" w:type="dxa"/>
            <w:vAlign w:val="center"/>
          </w:tcPr>
          <w:p w14:paraId="17594374" w14:textId="77777777" w:rsidR="004E22C1" w:rsidRPr="001455DC" w:rsidRDefault="004E22C1" w:rsidP="00802497">
            <w:pPr>
              <w:pStyle w:val="Tablebody"/>
              <w:keepNext/>
              <w:jc w:val="center"/>
            </w:pPr>
            <w:r w:rsidRPr="001455DC">
              <w:t>15</w:t>
            </w:r>
          </w:p>
        </w:tc>
        <w:tc>
          <w:tcPr>
            <w:tcW w:w="1296" w:type="dxa"/>
            <w:vAlign w:val="center"/>
          </w:tcPr>
          <w:p w14:paraId="567D7D66" w14:textId="77777777" w:rsidR="004E22C1" w:rsidRPr="001455DC" w:rsidRDefault="004E22C1" w:rsidP="00802497">
            <w:pPr>
              <w:pStyle w:val="Tablebody"/>
              <w:keepNext/>
              <w:jc w:val="center"/>
            </w:pPr>
            <w:r w:rsidRPr="001455DC">
              <w:t>0</w:t>
            </w:r>
          </w:p>
        </w:tc>
      </w:tr>
      <w:tr w:rsidR="004E22C1" w:rsidRPr="001455DC" w14:paraId="5CC87681" w14:textId="77777777" w:rsidTr="0032033D">
        <w:trPr>
          <w:cantSplit/>
        </w:trPr>
        <w:tc>
          <w:tcPr>
            <w:tcW w:w="1584" w:type="dxa"/>
            <w:vMerge/>
            <w:vAlign w:val="center"/>
          </w:tcPr>
          <w:p w14:paraId="74FE226F" w14:textId="77777777" w:rsidR="004E22C1" w:rsidRPr="001455DC" w:rsidRDefault="004E22C1" w:rsidP="00802497">
            <w:pPr>
              <w:pStyle w:val="Tablebody"/>
              <w:keepNext/>
              <w:jc w:val="center"/>
            </w:pPr>
          </w:p>
        </w:tc>
        <w:tc>
          <w:tcPr>
            <w:tcW w:w="1736" w:type="dxa"/>
            <w:vAlign w:val="center"/>
          </w:tcPr>
          <w:p w14:paraId="547BF81B" w14:textId="43EC5526" w:rsidR="004E22C1" w:rsidRPr="001455DC" w:rsidRDefault="00650035" w:rsidP="00802497">
            <w:pPr>
              <w:pStyle w:val="Tablebody"/>
              <w:keepNext/>
              <w:jc w:val="center"/>
            </w:pPr>
            <w:r w:rsidRPr="001455DC">
              <w:rPr>
                <w:rFonts w:ascii="Cambria Math" w:hAnsi="Cambria Math"/>
              </w:rPr>
              <w:t>≤</w:t>
            </w:r>
            <w:r w:rsidR="004E22C1" w:rsidRPr="001455DC">
              <w:t> XRDS5,5</w:t>
            </w:r>
          </w:p>
        </w:tc>
        <w:tc>
          <w:tcPr>
            <w:tcW w:w="1296" w:type="dxa"/>
            <w:vAlign w:val="center"/>
          </w:tcPr>
          <w:p w14:paraId="32EA0059" w14:textId="77777777" w:rsidR="004E22C1" w:rsidRPr="001455DC" w:rsidRDefault="004E22C1" w:rsidP="00802497">
            <w:pPr>
              <w:pStyle w:val="Tablebody"/>
              <w:keepNext/>
              <w:jc w:val="center"/>
            </w:pPr>
            <w:r w:rsidRPr="001455DC">
              <w:t>35</w:t>
            </w:r>
          </w:p>
        </w:tc>
        <w:tc>
          <w:tcPr>
            <w:tcW w:w="1296" w:type="dxa"/>
            <w:vAlign w:val="center"/>
          </w:tcPr>
          <w:p w14:paraId="561C1652" w14:textId="77777777" w:rsidR="004E22C1" w:rsidRPr="001455DC" w:rsidRDefault="004E22C1" w:rsidP="00802497">
            <w:pPr>
              <w:pStyle w:val="Tablebody"/>
              <w:keepNext/>
              <w:jc w:val="center"/>
            </w:pPr>
            <w:r w:rsidRPr="001455DC">
              <w:t>25</w:t>
            </w:r>
          </w:p>
        </w:tc>
        <w:tc>
          <w:tcPr>
            <w:tcW w:w="1297" w:type="dxa"/>
            <w:vAlign w:val="center"/>
          </w:tcPr>
          <w:p w14:paraId="0E912647" w14:textId="77777777" w:rsidR="004E22C1" w:rsidRPr="001455DC" w:rsidRDefault="004E22C1" w:rsidP="00802497">
            <w:pPr>
              <w:pStyle w:val="Tablebody"/>
              <w:keepNext/>
              <w:jc w:val="center"/>
            </w:pPr>
            <w:r w:rsidRPr="001455DC">
              <w:t>20</w:t>
            </w:r>
          </w:p>
        </w:tc>
        <w:tc>
          <w:tcPr>
            <w:tcW w:w="1296" w:type="dxa"/>
            <w:vAlign w:val="center"/>
          </w:tcPr>
          <w:p w14:paraId="71762724" w14:textId="77777777" w:rsidR="004E22C1" w:rsidRPr="001455DC" w:rsidRDefault="004E22C1" w:rsidP="00802497">
            <w:pPr>
              <w:pStyle w:val="Tablebody"/>
              <w:keepNext/>
              <w:jc w:val="center"/>
            </w:pPr>
            <w:r w:rsidRPr="001455DC">
              <w:t>0</w:t>
            </w:r>
          </w:p>
        </w:tc>
      </w:tr>
      <w:tr w:rsidR="004E22C1" w:rsidRPr="001455DC" w14:paraId="24EE9DEC" w14:textId="77777777" w:rsidTr="0032033D">
        <w:trPr>
          <w:cantSplit/>
        </w:trPr>
        <w:tc>
          <w:tcPr>
            <w:tcW w:w="1584" w:type="dxa"/>
            <w:vMerge w:val="restart"/>
            <w:vAlign w:val="center"/>
          </w:tcPr>
          <w:p w14:paraId="11771865" w14:textId="77777777" w:rsidR="004E22C1" w:rsidRPr="001455DC" w:rsidRDefault="004E22C1" w:rsidP="00802497">
            <w:pPr>
              <w:pStyle w:val="Tablebody"/>
              <w:keepNext/>
              <w:jc w:val="center"/>
            </w:pPr>
            <w:r w:rsidRPr="001455DC">
              <w:t>XD2, XD3,</w:t>
            </w:r>
            <w:r w:rsidRPr="001455DC">
              <w:br/>
              <w:t>XS2, XS3</w:t>
            </w:r>
          </w:p>
        </w:tc>
        <w:tc>
          <w:tcPr>
            <w:tcW w:w="1736" w:type="dxa"/>
            <w:vAlign w:val="center"/>
          </w:tcPr>
          <w:p w14:paraId="20EF92E4" w14:textId="6C04A56A" w:rsidR="004E22C1" w:rsidRPr="001455DC" w:rsidRDefault="00650035" w:rsidP="00802497">
            <w:pPr>
              <w:pStyle w:val="Tablebody"/>
              <w:keepNext/>
              <w:jc w:val="center"/>
            </w:pPr>
            <w:r w:rsidRPr="001455DC">
              <w:rPr>
                <w:rFonts w:ascii="Cambria Math" w:hAnsi="Cambria Math"/>
              </w:rPr>
              <w:t>≤</w:t>
            </w:r>
            <w:r w:rsidR="004E22C1" w:rsidRPr="001455DC">
              <w:t> XRDS1,5</w:t>
            </w:r>
          </w:p>
        </w:tc>
        <w:tc>
          <w:tcPr>
            <w:tcW w:w="1296" w:type="dxa"/>
            <w:vAlign w:val="center"/>
          </w:tcPr>
          <w:p w14:paraId="21E2F126" w14:textId="77777777" w:rsidR="004E22C1" w:rsidRPr="001455DC" w:rsidRDefault="004E22C1" w:rsidP="00802497">
            <w:pPr>
              <w:pStyle w:val="Tablebody"/>
              <w:keepNext/>
              <w:jc w:val="center"/>
            </w:pPr>
            <w:r w:rsidRPr="001455DC">
              <w:t>35</w:t>
            </w:r>
          </w:p>
        </w:tc>
        <w:tc>
          <w:tcPr>
            <w:tcW w:w="1296" w:type="dxa"/>
            <w:vAlign w:val="center"/>
          </w:tcPr>
          <w:p w14:paraId="1A49FAC0" w14:textId="77777777" w:rsidR="004E22C1" w:rsidRPr="001455DC" w:rsidRDefault="004E22C1" w:rsidP="00802497">
            <w:pPr>
              <w:pStyle w:val="Tablebody"/>
              <w:keepNext/>
              <w:jc w:val="center"/>
            </w:pPr>
            <w:r w:rsidRPr="001455DC">
              <w:t>25</w:t>
            </w:r>
          </w:p>
        </w:tc>
        <w:tc>
          <w:tcPr>
            <w:tcW w:w="1297" w:type="dxa"/>
            <w:vAlign w:val="center"/>
          </w:tcPr>
          <w:p w14:paraId="23255737" w14:textId="77777777" w:rsidR="004E22C1" w:rsidRPr="001455DC" w:rsidRDefault="004E22C1" w:rsidP="00802497">
            <w:pPr>
              <w:pStyle w:val="Tablebody"/>
              <w:keepNext/>
              <w:jc w:val="center"/>
            </w:pPr>
            <w:r w:rsidRPr="001455DC">
              <w:t>20</w:t>
            </w:r>
          </w:p>
        </w:tc>
        <w:tc>
          <w:tcPr>
            <w:tcW w:w="1296" w:type="dxa"/>
            <w:vAlign w:val="center"/>
          </w:tcPr>
          <w:p w14:paraId="6A8FAD0C" w14:textId="77777777" w:rsidR="004E22C1" w:rsidRPr="001455DC" w:rsidRDefault="004E22C1" w:rsidP="00802497">
            <w:pPr>
              <w:pStyle w:val="Tablebody"/>
              <w:keepNext/>
              <w:jc w:val="center"/>
            </w:pPr>
            <w:r w:rsidRPr="001455DC">
              <w:t>0</w:t>
            </w:r>
          </w:p>
        </w:tc>
      </w:tr>
      <w:tr w:rsidR="004E22C1" w:rsidRPr="001455DC" w14:paraId="004973B6" w14:textId="77777777" w:rsidTr="0032033D">
        <w:trPr>
          <w:cantSplit/>
        </w:trPr>
        <w:tc>
          <w:tcPr>
            <w:tcW w:w="1584" w:type="dxa"/>
            <w:vMerge/>
            <w:vAlign w:val="center"/>
          </w:tcPr>
          <w:p w14:paraId="712D242C" w14:textId="77777777" w:rsidR="004E22C1" w:rsidRPr="001455DC" w:rsidRDefault="004E22C1" w:rsidP="00802497">
            <w:pPr>
              <w:pStyle w:val="Tablebody"/>
              <w:keepNext/>
              <w:jc w:val="center"/>
            </w:pPr>
          </w:p>
        </w:tc>
        <w:tc>
          <w:tcPr>
            <w:tcW w:w="1736" w:type="dxa"/>
            <w:vAlign w:val="center"/>
          </w:tcPr>
          <w:p w14:paraId="6BD1AA16" w14:textId="11D7966C" w:rsidR="004E22C1" w:rsidRPr="001455DC" w:rsidRDefault="00650035" w:rsidP="00802497">
            <w:pPr>
              <w:pStyle w:val="Tablebody"/>
              <w:keepNext/>
              <w:jc w:val="center"/>
            </w:pPr>
            <w:r w:rsidRPr="001455DC">
              <w:rPr>
                <w:rFonts w:ascii="Cambria Math" w:hAnsi="Cambria Math"/>
              </w:rPr>
              <w:t>≤</w:t>
            </w:r>
            <w:r w:rsidR="004E22C1" w:rsidRPr="001455DC">
              <w:t> XRDS3,5</w:t>
            </w:r>
          </w:p>
        </w:tc>
        <w:tc>
          <w:tcPr>
            <w:tcW w:w="1296" w:type="dxa"/>
            <w:vAlign w:val="center"/>
          </w:tcPr>
          <w:p w14:paraId="657702CE" w14:textId="77777777" w:rsidR="004E22C1" w:rsidRPr="001455DC" w:rsidRDefault="004E22C1" w:rsidP="00802497">
            <w:pPr>
              <w:pStyle w:val="Tablebody"/>
              <w:keepNext/>
              <w:jc w:val="center"/>
            </w:pPr>
            <w:r w:rsidRPr="001455DC">
              <w:t>45</w:t>
            </w:r>
          </w:p>
        </w:tc>
        <w:tc>
          <w:tcPr>
            <w:tcW w:w="1296" w:type="dxa"/>
            <w:vAlign w:val="center"/>
          </w:tcPr>
          <w:p w14:paraId="21B37992" w14:textId="77777777" w:rsidR="004E22C1" w:rsidRPr="001455DC" w:rsidRDefault="004E22C1" w:rsidP="00802497">
            <w:pPr>
              <w:pStyle w:val="Tablebody"/>
              <w:keepNext/>
              <w:jc w:val="center"/>
            </w:pPr>
            <w:r w:rsidRPr="001455DC">
              <w:t>35</w:t>
            </w:r>
          </w:p>
        </w:tc>
        <w:tc>
          <w:tcPr>
            <w:tcW w:w="1297" w:type="dxa"/>
            <w:vAlign w:val="center"/>
          </w:tcPr>
          <w:p w14:paraId="7D4B9C9E" w14:textId="77777777" w:rsidR="004E22C1" w:rsidRPr="001455DC" w:rsidRDefault="004E22C1" w:rsidP="00802497">
            <w:pPr>
              <w:pStyle w:val="Tablebody"/>
              <w:keepNext/>
              <w:jc w:val="center"/>
            </w:pPr>
            <w:r w:rsidRPr="001455DC">
              <w:t>25</w:t>
            </w:r>
          </w:p>
        </w:tc>
        <w:tc>
          <w:tcPr>
            <w:tcW w:w="1296" w:type="dxa"/>
            <w:vAlign w:val="center"/>
          </w:tcPr>
          <w:p w14:paraId="58C45DA5" w14:textId="77777777" w:rsidR="004E22C1" w:rsidRPr="001455DC" w:rsidRDefault="004E22C1" w:rsidP="00802497">
            <w:pPr>
              <w:pStyle w:val="Tablebody"/>
              <w:keepNext/>
              <w:jc w:val="center"/>
            </w:pPr>
            <w:r w:rsidRPr="001455DC">
              <w:t>15</w:t>
            </w:r>
          </w:p>
        </w:tc>
      </w:tr>
      <w:tr w:rsidR="004E22C1" w:rsidRPr="001455DC" w14:paraId="0F3B2506" w14:textId="77777777" w:rsidTr="0032033D">
        <w:trPr>
          <w:cantSplit/>
        </w:trPr>
        <w:tc>
          <w:tcPr>
            <w:tcW w:w="1584" w:type="dxa"/>
            <w:vMerge/>
            <w:tcBorders>
              <w:bottom w:val="single" w:sz="12" w:space="0" w:color="000000"/>
            </w:tcBorders>
            <w:vAlign w:val="center"/>
          </w:tcPr>
          <w:p w14:paraId="1CE8CEC2" w14:textId="77777777" w:rsidR="004E22C1" w:rsidRPr="001455DC" w:rsidRDefault="004E22C1" w:rsidP="00802497">
            <w:pPr>
              <w:pStyle w:val="Tablebody"/>
              <w:keepNext/>
              <w:jc w:val="center"/>
            </w:pPr>
          </w:p>
        </w:tc>
        <w:tc>
          <w:tcPr>
            <w:tcW w:w="1736" w:type="dxa"/>
            <w:tcBorders>
              <w:bottom w:val="single" w:sz="12" w:space="0" w:color="000000"/>
            </w:tcBorders>
            <w:vAlign w:val="center"/>
          </w:tcPr>
          <w:p w14:paraId="2A50A073" w14:textId="56B5FAF3" w:rsidR="004E22C1" w:rsidRPr="001455DC" w:rsidRDefault="00650035" w:rsidP="00802497">
            <w:pPr>
              <w:pStyle w:val="Tablebody"/>
              <w:keepNext/>
              <w:jc w:val="center"/>
            </w:pPr>
            <w:r w:rsidRPr="001455DC">
              <w:rPr>
                <w:rFonts w:ascii="Cambria Math" w:hAnsi="Cambria Math"/>
              </w:rPr>
              <w:t>≤</w:t>
            </w:r>
            <w:r w:rsidR="004E22C1" w:rsidRPr="001455DC">
              <w:t> XRDS5,5</w:t>
            </w:r>
          </w:p>
        </w:tc>
        <w:tc>
          <w:tcPr>
            <w:tcW w:w="1296" w:type="dxa"/>
            <w:tcBorders>
              <w:bottom w:val="single" w:sz="12" w:space="0" w:color="000000"/>
            </w:tcBorders>
            <w:vAlign w:val="center"/>
          </w:tcPr>
          <w:p w14:paraId="722837F0" w14:textId="77777777" w:rsidR="004E22C1" w:rsidRPr="001455DC" w:rsidRDefault="004E22C1" w:rsidP="00802497">
            <w:pPr>
              <w:pStyle w:val="Tablebody"/>
              <w:keepNext/>
              <w:jc w:val="center"/>
            </w:pPr>
            <w:r w:rsidRPr="001455DC">
              <w:t>55</w:t>
            </w:r>
          </w:p>
        </w:tc>
        <w:tc>
          <w:tcPr>
            <w:tcW w:w="1296" w:type="dxa"/>
            <w:tcBorders>
              <w:bottom w:val="single" w:sz="12" w:space="0" w:color="000000"/>
            </w:tcBorders>
            <w:vAlign w:val="center"/>
          </w:tcPr>
          <w:p w14:paraId="0BF6DC11" w14:textId="77777777" w:rsidR="004E22C1" w:rsidRPr="001455DC" w:rsidRDefault="004E22C1" w:rsidP="00802497">
            <w:pPr>
              <w:pStyle w:val="Tablebody"/>
              <w:keepNext/>
              <w:jc w:val="center"/>
            </w:pPr>
            <w:r w:rsidRPr="001455DC">
              <w:t>45</w:t>
            </w:r>
          </w:p>
        </w:tc>
        <w:tc>
          <w:tcPr>
            <w:tcW w:w="1297" w:type="dxa"/>
            <w:tcBorders>
              <w:bottom w:val="single" w:sz="12" w:space="0" w:color="000000"/>
            </w:tcBorders>
            <w:vAlign w:val="center"/>
          </w:tcPr>
          <w:p w14:paraId="18651E9E" w14:textId="77777777" w:rsidR="004E22C1" w:rsidRPr="001455DC" w:rsidRDefault="004E22C1" w:rsidP="00802497">
            <w:pPr>
              <w:pStyle w:val="Tablebody"/>
              <w:keepNext/>
              <w:jc w:val="center"/>
            </w:pPr>
            <w:r w:rsidRPr="001455DC">
              <w:t>35</w:t>
            </w:r>
          </w:p>
        </w:tc>
        <w:tc>
          <w:tcPr>
            <w:tcW w:w="1296" w:type="dxa"/>
            <w:tcBorders>
              <w:bottom w:val="single" w:sz="12" w:space="0" w:color="000000"/>
            </w:tcBorders>
            <w:vAlign w:val="center"/>
          </w:tcPr>
          <w:p w14:paraId="7A544DD7" w14:textId="77777777" w:rsidR="004E22C1" w:rsidRPr="001455DC" w:rsidRDefault="004E22C1" w:rsidP="00802497">
            <w:pPr>
              <w:pStyle w:val="Tablebody"/>
              <w:keepNext/>
              <w:jc w:val="center"/>
            </w:pPr>
            <w:r w:rsidRPr="001455DC">
              <w:t>25</w:t>
            </w:r>
          </w:p>
        </w:tc>
      </w:tr>
      <w:tr w:rsidR="004E22C1" w:rsidRPr="001455DC" w14:paraId="03BB6DA4" w14:textId="77777777" w:rsidTr="0032033D">
        <w:trPr>
          <w:cantSplit/>
        </w:trPr>
        <w:tc>
          <w:tcPr>
            <w:tcW w:w="8505" w:type="dxa"/>
            <w:gridSpan w:val="6"/>
            <w:tcBorders>
              <w:top w:val="single" w:sz="12" w:space="0" w:color="000000"/>
              <w:bottom w:val="single" w:sz="12" w:space="0" w:color="auto"/>
            </w:tcBorders>
          </w:tcPr>
          <w:p w14:paraId="2E8DA0B4" w14:textId="77777777" w:rsidR="004E22C1" w:rsidRPr="009D3012" w:rsidRDefault="004E22C1" w:rsidP="0032033D">
            <w:pPr>
              <w:pStyle w:val="Tablefooternote"/>
              <w:tabs>
                <w:tab w:val="clear" w:pos="680"/>
                <w:tab w:val="left" w:pos="851"/>
              </w:tabs>
              <w:rPr>
                <w:lang w:val="en-US"/>
              </w:rPr>
            </w:pPr>
            <w:r w:rsidRPr="009D3012">
              <w:rPr>
                <w:lang w:val="en-US"/>
              </w:rPr>
              <w:t>NOTE 1</w:t>
            </w:r>
            <w:r w:rsidRPr="009D3012">
              <w:rPr>
                <w:lang w:val="en-US"/>
              </w:rPr>
              <w:tab/>
              <w:t>The tabulated cover values apply for a design service life of 50 years unless a National Annex excludes some classes or gives other values.</w:t>
            </w:r>
          </w:p>
          <w:p w14:paraId="0A5AF2EF" w14:textId="5D53AEFC" w:rsidR="004E22C1" w:rsidRPr="009D3012" w:rsidRDefault="004E22C1" w:rsidP="0032033D">
            <w:pPr>
              <w:pStyle w:val="Tablefooternote"/>
              <w:tabs>
                <w:tab w:val="clear" w:pos="680"/>
                <w:tab w:val="left" w:pos="851"/>
              </w:tabs>
              <w:rPr>
                <w:lang w:val="en-US"/>
              </w:rPr>
            </w:pPr>
            <w:r w:rsidRPr="009D3012">
              <w:rPr>
                <w:lang w:val="en-US"/>
              </w:rPr>
              <w:t>NOTE 2</w:t>
            </w:r>
            <w:r w:rsidRPr="009D3012">
              <w:rPr>
                <w:lang w:val="en-US"/>
              </w:rPr>
              <w:tab/>
              <w:t xml:space="preserve">For a design service life of 100 years </w:t>
            </w:r>
            <w:r w:rsidRPr="009D3012">
              <w:rPr>
                <w:rStyle w:val="CCMCvariableitalic"/>
                <w:lang w:val="en-US"/>
              </w:rPr>
              <w:t>c</w:t>
            </w:r>
            <w:r w:rsidRPr="009D3012">
              <w:rPr>
                <w:rStyle w:val="CCMCvariablesubscript"/>
                <w:lang w:val="en-US"/>
              </w:rPr>
              <w:t>min,dur</w:t>
            </w:r>
            <w:r w:rsidRPr="009D3012">
              <w:rPr>
                <w:lang w:val="en-US"/>
              </w:rPr>
              <w:t xml:space="preserve"> in Table Q.3(NDP) should be increased by </w:t>
            </w:r>
            <w:r w:rsidR="00EC27D2" w:rsidRPr="009D3012">
              <w:rPr>
                <w:rFonts w:ascii="Cambria Math" w:hAnsi="Cambria Math"/>
                <w:lang w:val="en-US"/>
              </w:rPr>
              <w:t>+</w:t>
            </w:r>
            <w:r w:rsidRPr="009D3012">
              <w:rPr>
                <w:lang w:val="en-US"/>
              </w:rPr>
              <w:t>10 mm for all ERC classes unless a National Annex excludes some classes or gives other values.</w:t>
            </w:r>
          </w:p>
          <w:p w14:paraId="5E26709F" w14:textId="77777777" w:rsidR="004E22C1" w:rsidRPr="009D3012" w:rsidRDefault="004E22C1" w:rsidP="0032033D">
            <w:pPr>
              <w:pStyle w:val="Tablefooternote"/>
              <w:tabs>
                <w:tab w:val="clear" w:pos="680"/>
                <w:tab w:val="left" w:pos="851"/>
              </w:tabs>
              <w:rPr>
                <w:lang w:val="en-US"/>
              </w:rPr>
            </w:pPr>
            <w:r w:rsidRPr="009D3012">
              <w:rPr>
                <w:lang w:val="en-US"/>
              </w:rPr>
              <w:t>NOTE 3</w:t>
            </w:r>
            <w:r w:rsidRPr="009D3012">
              <w:rPr>
                <w:lang w:val="en-US"/>
              </w:rPr>
              <w:tab/>
              <w:t xml:space="preserve">In case of combined action of carbonation and chloride induced corrosion, </w:t>
            </w:r>
            <w:r w:rsidRPr="009D3012">
              <w:rPr>
                <w:rStyle w:val="CCMCvariableitalic"/>
                <w:lang w:val="en-US"/>
              </w:rPr>
              <w:t>c</w:t>
            </w:r>
            <w:r w:rsidRPr="009D3012">
              <w:rPr>
                <w:rStyle w:val="CCMCvariablesubscript"/>
                <w:lang w:val="en-US"/>
              </w:rPr>
              <w:t>min,dur</w:t>
            </w:r>
            <w:r w:rsidRPr="009D3012">
              <w:rPr>
                <w:lang w:val="en-US"/>
              </w:rPr>
              <w:t xml:space="preserve"> in Table Q.3(NDP) should be increased by 20 mm or a higher stainless steel resistance class should be chosen unless a National Annex gives other values.</w:t>
            </w:r>
          </w:p>
        </w:tc>
      </w:tr>
      <w:tr w:rsidR="0032033D" w:rsidRPr="001455DC" w14:paraId="555D00B7" w14:textId="77777777" w:rsidTr="0032033D">
        <w:trPr>
          <w:cnfStyle w:val="010000000000" w:firstRow="0" w:lastRow="1" w:firstColumn="0" w:lastColumn="0" w:oddVBand="0" w:evenVBand="0" w:oddHBand="0" w:evenHBand="0" w:firstRowFirstColumn="0" w:firstRowLastColumn="0" w:lastRowFirstColumn="0" w:lastRowLastColumn="0"/>
          <w:cantSplit/>
        </w:trPr>
        <w:tc>
          <w:tcPr>
            <w:tcW w:w="8505" w:type="dxa"/>
            <w:gridSpan w:val="6"/>
          </w:tcPr>
          <w:p w14:paraId="1810BE30" w14:textId="23ACF2D2" w:rsidR="0032033D" w:rsidRPr="009D3012" w:rsidRDefault="0032033D" w:rsidP="0032033D">
            <w:pPr>
              <w:pStyle w:val="Tablefooter"/>
              <w:rPr>
                <w:rStyle w:val="CCMCvariablesuperscript"/>
                <w:lang w:val="en-US"/>
              </w:rPr>
            </w:pPr>
            <w:r w:rsidRPr="009D3012">
              <w:rPr>
                <w:rStyle w:val="CCMCvariablesuperscript"/>
                <w:lang w:val="en-US"/>
              </w:rPr>
              <w:t>a</w:t>
            </w:r>
            <w:r w:rsidRPr="009D3012">
              <w:rPr>
                <w:lang w:val="en-US"/>
              </w:rPr>
              <w:tab/>
              <w:t>For stainless steel corrosion resistance classes see Table Q.2.</w:t>
            </w:r>
          </w:p>
        </w:tc>
      </w:tr>
    </w:tbl>
    <w:p w14:paraId="4869D2F1" w14:textId="77777777" w:rsidR="004E22C1" w:rsidRPr="001455DC" w:rsidRDefault="004E22C1" w:rsidP="004C68F7">
      <w:pPr>
        <w:pStyle w:val="a7"/>
      </w:pPr>
    </w:p>
    <w:p w14:paraId="1ECE4164" w14:textId="5AFC2BAC" w:rsidR="004E22C1" w:rsidRPr="001455DC" w:rsidRDefault="004E22C1" w:rsidP="004C68F7">
      <w:pPr>
        <w:pStyle w:val="a7"/>
      </w:pPr>
      <w:r w:rsidRPr="001455DC">
        <w:t>(3)</w:t>
      </w:r>
      <w:r w:rsidRPr="001455DC">
        <w:tab/>
        <w:t>If welding of stainless steels is necessary, the sensitivity of intercrystalline corrosion (stress corrosion cracking) shall be taken into account for the selection of the appropriate stainless steel.</w:t>
      </w:r>
    </w:p>
    <w:p w14:paraId="17244851" w14:textId="75C4E59D" w:rsidR="008A5E41" w:rsidRPr="009D3012" w:rsidRDefault="008A5E41" w:rsidP="00082680">
      <w:pPr>
        <w:pStyle w:val="a2"/>
      </w:pPr>
      <w:bookmarkStart w:id="2568" w:name="_Toc67565669"/>
      <w:r w:rsidRPr="009D3012">
        <w:t>Fatigue verification</w:t>
      </w:r>
      <w:bookmarkEnd w:id="2568"/>
    </w:p>
    <w:p w14:paraId="62BDA69D" w14:textId="1A286294" w:rsidR="008A5E41" w:rsidRPr="001455DC" w:rsidRDefault="008A5E41" w:rsidP="008A5E41">
      <w:pPr>
        <w:pStyle w:val="a7"/>
      </w:pPr>
      <w:r w:rsidRPr="001455DC">
        <w:t>(1) The values given in 10.4(1) may be used for stainless steel complying with the provisions of  C.</w:t>
      </w:r>
      <w:r w:rsidR="00DC0EB4" w:rsidRPr="001455DC">
        <w:t>4</w:t>
      </w:r>
      <w:r w:rsidRPr="001455DC">
        <w:t>.2.</w:t>
      </w:r>
    </w:p>
    <w:p w14:paraId="2E4D3DB0" w14:textId="1A5A9A6A" w:rsidR="008A5E41" w:rsidRPr="001455DC" w:rsidRDefault="008A5E41" w:rsidP="008A5E41">
      <w:pPr>
        <w:pStyle w:val="a7"/>
      </w:pPr>
      <w:r w:rsidRPr="001455DC">
        <w:t>(2) The values given in Table E.1(NDP) may be used for stainless steel complying with the provisions of  C.</w:t>
      </w:r>
      <w:r w:rsidR="00DC0EB4" w:rsidRPr="001455DC">
        <w:t>4</w:t>
      </w:r>
      <w:r w:rsidRPr="001455DC">
        <w:t>.2.</w:t>
      </w:r>
    </w:p>
    <w:p w14:paraId="69AF6AFF" w14:textId="3261C340" w:rsidR="004E22C1" w:rsidRPr="001455DC" w:rsidRDefault="004C68F7" w:rsidP="004C68F7">
      <w:pPr>
        <w:pStyle w:val="BiblioTitle"/>
      </w:pPr>
      <w:bookmarkStart w:id="2569" w:name="_Toc54337255"/>
      <w:bookmarkStart w:id="2570" w:name="_Toc54337910"/>
      <w:bookmarkStart w:id="2571" w:name="_Toc54338510"/>
      <w:bookmarkStart w:id="2572" w:name="_Toc67565670"/>
      <w:r w:rsidRPr="001455DC">
        <w:t>Bibliography</w:t>
      </w:r>
      <w:bookmarkEnd w:id="2569"/>
      <w:bookmarkEnd w:id="2570"/>
      <w:bookmarkEnd w:id="2571"/>
      <w:bookmarkEnd w:id="2572"/>
    </w:p>
    <w:p w14:paraId="56C9A908" w14:textId="77777777" w:rsidR="00932DFD" w:rsidRPr="009D3012" w:rsidRDefault="00932DFD" w:rsidP="009D3012">
      <w:pPr>
        <w:pStyle w:val="a7"/>
        <w:rPr>
          <w:b/>
          <w:lang w:val="en-US"/>
        </w:rPr>
      </w:pPr>
      <w:r w:rsidRPr="009D3012">
        <w:rPr>
          <w:b/>
          <w:lang w:val="en-US"/>
        </w:rPr>
        <w:t xml:space="preserve">References contained in recommendations (i.e. “should” clauses) </w:t>
      </w:r>
    </w:p>
    <w:p w14:paraId="502B66BC" w14:textId="44E110C4" w:rsidR="00932DFD" w:rsidRPr="009D3012" w:rsidRDefault="00932DFD" w:rsidP="009D3012">
      <w:pPr>
        <w:pStyle w:val="a7"/>
        <w:rPr>
          <w:iCs/>
        </w:rPr>
      </w:pPr>
      <w:r w:rsidRPr="009D3012">
        <w:rPr>
          <w:lang w:val="en-US"/>
        </w:rPr>
        <w:t>The following documents are referred to in the text in such a way that some or all of their content constitutes highly recommended choices or course of action of this document. Subject to national regulation and/or any relevant contractual provisions, alternative documents could be used/adopted where technically justified. For dated references, only the edition cited applies. For undated references, the latest edition of the referenced document (including any amendments) applies.</w:t>
      </w:r>
    </w:p>
    <w:p w14:paraId="58081D58" w14:textId="451AF9B6" w:rsidR="00897787" w:rsidRPr="009D3012" w:rsidRDefault="00FA079C" w:rsidP="009D3012">
      <w:pPr>
        <w:pStyle w:val="BiblioEntry"/>
        <w:rPr>
          <w:iCs/>
        </w:rPr>
      </w:pPr>
      <w:r w:rsidRPr="009D3012">
        <w:rPr>
          <w:iCs/>
        </w:rPr>
        <w:t>[1]</w:t>
      </w:r>
      <w:r w:rsidRPr="009D3012">
        <w:rPr>
          <w:iCs/>
        </w:rPr>
        <w:tab/>
      </w:r>
      <w:r w:rsidR="00897787" w:rsidRPr="009D3012">
        <w:rPr>
          <w:iCs/>
        </w:rPr>
        <w:t xml:space="preserve">EN 12390-13, </w:t>
      </w:r>
      <w:r w:rsidR="00897787" w:rsidRPr="009D3012">
        <w:rPr>
          <w:i/>
          <w:iCs/>
        </w:rPr>
        <w:t>Testing hardened concrete</w:t>
      </w:r>
      <w:r w:rsidR="00DE54EB" w:rsidRPr="009D3012">
        <w:rPr>
          <w:i/>
          <w:iCs/>
        </w:rPr>
        <w:t xml:space="preserve"> — Part 13: Determination of secant modulus of elasticity in compression</w:t>
      </w:r>
    </w:p>
    <w:p w14:paraId="055D34F2" w14:textId="32D6798F" w:rsidR="00897787" w:rsidRPr="009D3012" w:rsidRDefault="00FA079C" w:rsidP="009D3012">
      <w:pPr>
        <w:pStyle w:val="BiblioEntry"/>
        <w:rPr>
          <w:iCs/>
        </w:rPr>
      </w:pPr>
      <w:r w:rsidRPr="009D3012">
        <w:rPr>
          <w:iCs/>
        </w:rPr>
        <w:t>[</w:t>
      </w:r>
      <w:r w:rsidR="00FE1655" w:rsidRPr="009D3012">
        <w:rPr>
          <w:iCs/>
        </w:rPr>
        <w:t>2</w:t>
      </w:r>
      <w:r w:rsidRPr="009D3012">
        <w:rPr>
          <w:iCs/>
        </w:rPr>
        <w:t>]</w:t>
      </w:r>
      <w:r w:rsidRPr="009D3012">
        <w:rPr>
          <w:iCs/>
        </w:rPr>
        <w:tab/>
      </w:r>
      <w:r w:rsidR="00897787" w:rsidRPr="009D3012">
        <w:rPr>
          <w:iCs/>
        </w:rPr>
        <w:t xml:space="preserve">EN 12390-15, </w:t>
      </w:r>
      <w:r w:rsidR="00897787" w:rsidRPr="009D3012">
        <w:rPr>
          <w:i/>
          <w:iCs/>
        </w:rPr>
        <w:t>Testing hardened concrete</w:t>
      </w:r>
      <w:r w:rsidR="00DE54EB" w:rsidRPr="009D3012">
        <w:rPr>
          <w:i/>
          <w:iCs/>
        </w:rPr>
        <w:t xml:space="preserve"> — Part 15: Adiabatic method for the determination of heat released by concrete during its hardening process</w:t>
      </w:r>
    </w:p>
    <w:p w14:paraId="1E9ACFBA" w14:textId="5F8B84E5" w:rsidR="00897787" w:rsidRPr="009D3012" w:rsidRDefault="00FA079C" w:rsidP="009D3012">
      <w:pPr>
        <w:pStyle w:val="BiblioEntry"/>
        <w:rPr>
          <w:i/>
          <w:iCs/>
        </w:rPr>
      </w:pPr>
      <w:r w:rsidRPr="009D3012">
        <w:rPr>
          <w:iCs/>
        </w:rPr>
        <w:t>[</w:t>
      </w:r>
      <w:r w:rsidR="00FE1655" w:rsidRPr="009D3012">
        <w:rPr>
          <w:iCs/>
        </w:rPr>
        <w:t>3</w:t>
      </w:r>
      <w:r w:rsidRPr="009D3012">
        <w:rPr>
          <w:iCs/>
        </w:rPr>
        <w:t>]</w:t>
      </w:r>
      <w:r w:rsidRPr="009D3012">
        <w:rPr>
          <w:iCs/>
        </w:rPr>
        <w:tab/>
      </w:r>
      <w:r w:rsidR="00994DAE">
        <w:rPr>
          <w:iCs/>
        </w:rPr>
        <w:t>E</w:t>
      </w:r>
      <w:r w:rsidR="00897787" w:rsidRPr="009D3012">
        <w:rPr>
          <w:iCs/>
        </w:rPr>
        <w:t xml:space="preserve">N 12390-16, </w:t>
      </w:r>
      <w:r w:rsidR="00897787" w:rsidRPr="009D3012">
        <w:rPr>
          <w:i/>
          <w:iCs/>
        </w:rPr>
        <w:t>Testing hardened concrete</w:t>
      </w:r>
      <w:r w:rsidR="00DE54EB" w:rsidRPr="009D3012">
        <w:rPr>
          <w:i/>
          <w:iCs/>
        </w:rPr>
        <w:t xml:space="preserve"> — Part 16: Determination of the shrinkage of concrete</w:t>
      </w:r>
    </w:p>
    <w:p w14:paraId="58030F07" w14:textId="0D15D63A" w:rsidR="007A1A12" w:rsidRPr="009D3012" w:rsidRDefault="00FA079C" w:rsidP="009D3012">
      <w:pPr>
        <w:pStyle w:val="BiblioEntry"/>
        <w:rPr>
          <w:iCs/>
        </w:rPr>
      </w:pPr>
      <w:r w:rsidRPr="009D3012">
        <w:rPr>
          <w:iCs/>
        </w:rPr>
        <w:t>[</w:t>
      </w:r>
      <w:r w:rsidR="00FE1655" w:rsidRPr="009D3012">
        <w:rPr>
          <w:iCs/>
        </w:rPr>
        <w:t>4</w:t>
      </w:r>
      <w:r w:rsidRPr="009D3012">
        <w:rPr>
          <w:iCs/>
        </w:rPr>
        <w:t>]</w:t>
      </w:r>
      <w:r w:rsidRPr="009D3012">
        <w:rPr>
          <w:iCs/>
        </w:rPr>
        <w:tab/>
      </w:r>
      <w:r w:rsidR="007A1A12" w:rsidRPr="009D3012">
        <w:rPr>
          <w:iCs/>
        </w:rPr>
        <w:t xml:space="preserve">EN ISO 15630 (all parts), </w:t>
      </w:r>
      <w:r w:rsidR="007A1A12" w:rsidRPr="009D3012">
        <w:rPr>
          <w:i/>
          <w:iCs/>
        </w:rPr>
        <w:t>Steel for the reinforcement and prestressing of concrete</w:t>
      </w:r>
      <w:r w:rsidR="00B60DCC" w:rsidRPr="009D3012">
        <w:rPr>
          <w:i/>
          <w:iCs/>
        </w:rPr>
        <w:t xml:space="preserve"> </w:t>
      </w:r>
      <w:r w:rsidR="00B60DCC" w:rsidRPr="009D3012">
        <w:rPr>
          <w:i/>
        </w:rPr>
        <w:t>—</w:t>
      </w:r>
      <w:r w:rsidR="007A1A12" w:rsidRPr="009D3012">
        <w:rPr>
          <w:i/>
          <w:iCs/>
        </w:rPr>
        <w:t xml:space="preserve"> Test methods</w:t>
      </w:r>
    </w:p>
    <w:p w14:paraId="78A9F673" w14:textId="496DABFD" w:rsidR="00A000F1" w:rsidRPr="009D3012" w:rsidRDefault="00FA079C" w:rsidP="009D3012">
      <w:pPr>
        <w:pStyle w:val="BiblioEntry"/>
        <w:rPr>
          <w:i/>
          <w:iCs/>
        </w:rPr>
      </w:pPr>
      <w:r w:rsidRPr="009D3012">
        <w:rPr>
          <w:iCs/>
        </w:rPr>
        <w:t>[</w:t>
      </w:r>
      <w:r w:rsidR="00FE1655" w:rsidRPr="009D3012">
        <w:rPr>
          <w:iCs/>
        </w:rPr>
        <w:t>5</w:t>
      </w:r>
      <w:r w:rsidRPr="009D3012">
        <w:rPr>
          <w:iCs/>
        </w:rPr>
        <w:t>]</w:t>
      </w:r>
      <w:r w:rsidRPr="009D3012">
        <w:rPr>
          <w:iCs/>
        </w:rPr>
        <w:tab/>
      </w:r>
      <w:r w:rsidR="00FE1655" w:rsidRPr="009D3012">
        <w:rPr>
          <w:iCs/>
        </w:rPr>
        <w:t>EAD 160004-</w:t>
      </w:r>
      <w:r w:rsidR="00A000F1" w:rsidRPr="009D3012">
        <w:rPr>
          <w:iCs/>
        </w:rPr>
        <w:t>00</w:t>
      </w:r>
      <w:r w:rsidR="00FE1655" w:rsidRPr="009D3012">
        <w:rPr>
          <w:iCs/>
        </w:rPr>
        <w:t>-</w:t>
      </w:r>
      <w:r w:rsidR="00A000F1" w:rsidRPr="009D3012">
        <w:rPr>
          <w:iCs/>
        </w:rPr>
        <w:t>0301</w:t>
      </w:r>
      <w:r w:rsidR="00FE1655" w:rsidRPr="009D3012">
        <w:rPr>
          <w:iCs/>
        </w:rPr>
        <w:t xml:space="preserve">, </w:t>
      </w:r>
      <w:r w:rsidR="00FE1655" w:rsidRPr="009D3012">
        <w:rPr>
          <w:i/>
          <w:iCs/>
        </w:rPr>
        <w:t>Post-tensioning kits for prestressing of structures</w:t>
      </w:r>
    </w:p>
    <w:p w14:paraId="6BF87B93" w14:textId="0DFF1DB7" w:rsidR="00A04E33" w:rsidRDefault="00FA079C" w:rsidP="009D3012">
      <w:pPr>
        <w:pStyle w:val="BiblioEntry"/>
        <w:rPr>
          <w:i/>
          <w:iCs/>
        </w:rPr>
      </w:pPr>
      <w:r w:rsidRPr="009D3012">
        <w:rPr>
          <w:iCs/>
        </w:rPr>
        <w:t>[</w:t>
      </w:r>
      <w:r w:rsidR="00FE1655" w:rsidRPr="009D3012">
        <w:rPr>
          <w:iCs/>
        </w:rPr>
        <w:t>6</w:t>
      </w:r>
      <w:r w:rsidRPr="009D3012">
        <w:rPr>
          <w:iCs/>
        </w:rPr>
        <w:t>]</w:t>
      </w:r>
      <w:r w:rsidRPr="009D3012">
        <w:rPr>
          <w:iCs/>
        </w:rPr>
        <w:tab/>
      </w:r>
      <w:r w:rsidR="00FE1655" w:rsidRPr="009D3012">
        <w:rPr>
          <w:iCs/>
        </w:rPr>
        <w:t>E</w:t>
      </w:r>
      <w:r w:rsidR="00A04E33" w:rsidRPr="009D3012">
        <w:rPr>
          <w:iCs/>
        </w:rPr>
        <w:t>AD 330087</w:t>
      </w:r>
      <w:r w:rsidR="00FE1655" w:rsidRPr="009D3012">
        <w:rPr>
          <w:iCs/>
        </w:rPr>
        <w:t xml:space="preserve">-00-0601, </w:t>
      </w:r>
      <w:r w:rsidR="00FE1655" w:rsidRPr="009D3012">
        <w:rPr>
          <w:i/>
          <w:iCs/>
        </w:rPr>
        <w:t>Systems for post-installed rebar connections with mortar</w:t>
      </w:r>
    </w:p>
    <w:p w14:paraId="1DF8A832" w14:textId="77777777" w:rsidR="00DF692C" w:rsidRPr="001455DC" w:rsidRDefault="00DF692C" w:rsidP="00DF692C">
      <w:pPr>
        <w:pStyle w:val="RefNorm"/>
        <w:rPr>
          <w:i/>
        </w:rPr>
      </w:pPr>
      <w:r>
        <w:rPr>
          <w:iCs/>
        </w:rPr>
        <w:t>[7]</w:t>
      </w:r>
      <w:r>
        <w:rPr>
          <w:iCs/>
        </w:rPr>
        <w:tab/>
      </w:r>
      <w:r w:rsidRPr="009D3012">
        <w:t>EN 1536</w:t>
      </w:r>
      <w:r w:rsidRPr="001455DC">
        <w:t xml:space="preserve">, </w:t>
      </w:r>
      <w:r w:rsidRPr="009D3012">
        <w:rPr>
          <w:i/>
        </w:rPr>
        <w:t xml:space="preserve">Execution of special geotechnical work </w:t>
      </w:r>
      <w:r w:rsidRPr="001455DC">
        <w:rPr>
          <w:i/>
        </w:rPr>
        <w:t>—</w:t>
      </w:r>
      <w:r w:rsidRPr="009D3012">
        <w:rPr>
          <w:i/>
        </w:rPr>
        <w:t xml:space="preserve"> Bored piles</w:t>
      </w:r>
    </w:p>
    <w:p w14:paraId="67595177" w14:textId="08A8E0EF" w:rsidR="00DF692C" w:rsidRPr="001455DC" w:rsidRDefault="00DF692C" w:rsidP="00DF692C">
      <w:pPr>
        <w:pStyle w:val="RefNorm"/>
      </w:pPr>
      <w:r>
        <w:t>[8]</w:t>
      </w:r>
      <w:r>
        <w:tab/>
      </w:r>
      <w:r w:rsidRPr="009D3012">
        <w:t>EN 1538</w:t>
      </w:r>
      <w:r w:rsidRPr="001455DC">
        <w:t xml:space="preserve">, </w:t>
      </w:r>
      <w:r w:rsidRPr="009D3012">
        <w:rPr>
          <w:i/>
        </w:rPr>
        <w:t xml:space="preserve">Execution of special geotechnical work </w:t>
      </w:r>
      <w:r w:rsidRPr="001455DC">
        <w:rPr>
          <w:i/>
        </w:rPr>
        <w:t>—</w:t>
      </w:r>
      <w:r w:rsidRPr="009D3012">
        <w:rPr>
          <w:i/>
        </w:rPr>
        <w:t xml:space="preserve"> Diaphragm walls</w:t>
      </w:r>
    </w:p>
    <w:p w14:paraId="58B3A5E3" w14:textId="1EA55541" w:rsidR="00932DFD" w:rsidRPr="009D3012" w:rsidRDefault="00932DFD" w:rsidP="009D3012">
      <w:pPr>
        <w:pStyle w:val="a7"/>
        <w:rPr>
          <w:b/>
          <w:iCs/>
        </w:rPr>
      </w:pPr>
      <w:r w:rsidRPr="009D3012">
        <w:rPr>
          <w:b/>
          <w:lang w:val="en-US"/>
        </w:rPr>
        <w:t>References</w:t>
      </w:r>
      <w:r w:rsidRPr="009D3012">
        <w:rPr>
          <w:b/>
          <w:iCs/>
        </w:rPr>
        <w:t xml:space="preserve"> contained in permissions (i.e. “may” clauses)</w:t>
      </w:r>
    </w:p>
    <w:p w14:paraId="54FE6652" w14:textId="2D2C6CD5" w:rsidR="00932DFD" w:rsidRPr="009D3012" w:rsidRDefault="00932DFD" w:rsidP="009D3012">
      <w:pPr>
        <w:pStyle w:val="a7"/>
        <w:rPr>
          <w:lang w:val="en-US"/>
        </w:rPr>
      </w:pPr>
      <w:r w:rsidRPr="009D3012">
        <w:rPr>
          <w:lang w:val="en-US"/>
        </w:rPr>
        <w:t>The following documents are referred to in the text in such a way that some or all of their content expresses a course of action permissible within the limits of the Eurocodes. For dated references, only the edition cited applies. For undated references, the latest edition of the referenced document (including any amendments) applies.</w:t>
      </w:r>
    </w:p>
    <w:p w14:paraId="53342022" w14:textId="1A964F81" w:rsidR="0019592A" w:rsidRPr="009D3012" w:rsidRDefault="00FA079C" w:rsidP="009D3012">
      <w:pPr>
        <w:pStyle w:val="BiblioEntry"/>
        <w:rPr>
          <w:i/>
          <w:iCs/>
        </w:rPr>
      </w:pPr>
      <w:r w:rsidRPr="009D3012">
        <w:rPr>
          <w:iCs/>
        </w:rPr>
        <w:t>[1]</w:t>
      </w:r>
      <w:r w:rsidRPr="009D3012">
        <w:rPr>
          <w:iCs/>
        </w:rPr>
        <w:tab/>
      </w:r>
      <w:r w:rsidR="0019592A" w:rsidRPr="009D3012">
        <w:rPr>
          <w:iCs/>
        </w:rPr>
        <w:t>EN 196-2</w:t>
      </w:r>
      <w:r w:rsidR="00073665" w:rsidRPr="009D3012">
        <w:rPr>
          <w:iCs/>
        </w:rPr>
        <w:t xml:space="preserve">, </w:t>
      </w:r>
      <w:r w:rsidR="00073665" w:rsidRPr="009D3012">
        <w:rPr>
          <w:i/>
          <w:iCs/>
        </w:rPr>
        <w:t xml:space="preserve">Method of testing cement </w:t>
      </w:r>
      <w:r w:rsidR="00073665" w:rsidRPr="009D3012">
        <w:rPr>
          <w:i/>
        </w:rPr>
        <w:t>—</w:t>
      </w:r>
      <w:r w:rsidR="00073665" w:rsidRPr="009D3012">
        <w:rPr>
          <w:i/>
          <w:iCs/>
        </w:rPr>
        <w:t xml:space="preserve"> Part 2: Chemical analysis of cement</w:t>
      </w:r>
    </w:p>
    <w:p w14:paraId="56DB676C" w14:textId="5AC2A54D" w:rsidR="00897787" w:rsidRPr="009D3012" w:rsidRDefault="00FA079C" w:rsidP="009D3012">
      <w:pPr>
        <w:pStyle w:val="BiblioEntry"/>
        <w:rPr>
          <w:i/>
        </w:rPr>
      </w:pPr>
      <w:r w:rsidRPr="009D3012">
        <w:rPr>
          <w:iCs/>
        </w:rPr>
        <w:t>[</w:t>
      </w:r>
      <w:r w:rsidR="00FE1655" w:rsidRPr="009D3012">
        <w:rPr>
          <w:iCs/>
        </w:rPr>
        <w:t>2</w:t>
      </w:r>
      <w:r w:rsidRPr="009D3012">
        <w:rPr>
          <w:iCs/>
        </w:rPr>
        <w:t>]</w:t>
      </w:r>
      <w:r w:rsidRPr="009D3012">
        <w:rPr>
          <w:iCs/>
        </w:rPr>
        <w:tab/>
      </w:r>
      <w:r w:rsidR="00897787" w:rsidRPr="009D3012">
        <w:t xml:space="preserve">EN 12390-14, </w:t>
      </w:r>
      <w:r w:rsidR="00897787" w:rsidRPr="009D3012">
        <w:rPr>
          <w:i/>
        </w:rPr>
        <w:t>Testing hardened concrete</w:t>
      </w:r>
      <w:r w:rsidR="00DE54EB" w:rsidRPr="009D3012">
        <w:rPr>
          <w:i/>
        </w:rPr>
        <w:t xml:space="preserve"> — Part 14: Semi-adiabatic method for the determination of heat released by concrete during its hardening process</w:t>
      </w:r>
    </w:p>
    <w:p w14:paraId="1C57E93E" w14:textId="125F69FB" w:rsidR="00932DFD" w:rsidRPr="009D3012" w:rsidRDefault="00FA079C" w:rsidP="009D3012">
      <w:pPr>
        <w:pStyle w:val="BiblioEntry"/>
        <w:ind w:left="564" w:hanging="564"/>
        <w:rPr>
          <w:i/>
          <w:iCs/>
          <w:lang w:val="en-US"/>
        </w:rPr>
      </w:pPr>
      <w:r w:rsidRPr="009D3012">
        <w:rPr>
          <w:iCs/>
          <w:lang w:val="en-US"/>
        </w:rPr>
        <w:t>[</w:t>
      </w:r>
      <w:r w:rsidR="00FE1655" w:rsidRPr="009D3012">
        <w:rPr>
          <w:iCs/>
          <w:lang w:val="en-US"/>
        </w:rPr>
        <w:t>3</w:t>
      </w:r>
      <w:r w:rsidRPr="009D3012">
        <w:rPr>
          <w:iCs/>
          <w:lang w:val="en-US"/>
        </w:rPr>
        <w:t>]</w:t>
      </w:r>
      <w:r w:rsidRPr="009D3012">
        <w:rPr>
          <w:iCs/>
          <w:lang w:val="en-US"/>
        </w:rPr>
        <w:tab/>
      </w:r>
      <w:r w:rsidR="0019592A" w:rsidRPr="009D3012">
        <w:rPr>
          <w:iCs/>
          <w:lang w:val="en-US"/>
        </w:rPr>
        <w:t>EN 13577</w:t>
      </w:r>
      <w:r w:rsidR="00073665" w:rsidRPr="009D3012">
        <w:rPr>
          <w:iCs/>
          <w:lang w:val="en-US"/>
        </w:rPr>
        <w:t xml:space="preserve">, </w:t>
      </w:r>
      <w:r w:rsidR="00073665" w:rsidRPr="009D3012">
        <w:rPr>
          <w:i/>
          <w:iCs/>
          <w:lang w:val="en-US"/>
        </w:rPr>
        <w:t xml:space="preserve">Chemical attack on concrete </w:t>
      </w:r>
      <w:r w:rsidR="00B60DCC" w:rsidRPr="001455DC">
        <w:rPr>
          <w:i/>
        </w:rPr>
        <w:t xml:space="preserve">— </w:t>
      </w:r>
      <w:r w:rsidR="00073665" w:rsidRPr="009D3012">
        <w:rPr>
          <w:i/>
          <w:iCs/>
          <w:lang w:val="en-US"/>
        </w:rPr>
        <w:t>Determination of aggressive carbon dioxide content in water</w:t>
      </w:r>
    </w:p>
    <w:p w14:paraId="6859FB80" w14:textId="4C7F5738" w:rsidR="0019592A" w:rsidRPr="009D3012" w:rsidRDefault="00FA079C" w:rsidP="009D3012">
      <w:pPr>
        <w:pStyle w:val="BiblioEntry"/>
        <w:ind w:left="0" w:firstLine="0"/>
        <w:rPr>
          <w:i/>
          <w:iCs/>
          <w:lang w:val="en-US"/>
        </w:rPr>
      </w:pPr>
      <w:r w:rsidRPr="009D3012">
        <w:rPr>
          <w:iCs/>
          <w:lang w:val="en-US"/>
        </w:rPr>
        <w:t>[</w:t>
      </w:r>
      <w:r w:rsidR="00FE1655" w:rsidRPr="009D3012">
        <w:rPr>
          <w:iCs/>
          <w:lang w:val="en-US"/>
        </w:rPr>
        <w:t>4</w:t>
      </w:r>
      <w:r w:rsidRPr="009D3012">
        <w:rPr>
          <w:iCs/>
          <w:lang w:val="en-US"/>
        </w:rPr>
        <w:t>]</w:t>
      </w:r>
      <w:r w:rsidRPr="009D3012">
        <w:rPr>
          <w:iCs/>
          <w:lang w:val="en-US"/>
        </w:rPr>
        <w:tab/>
      </w:r>
      <w:r w:rsidR="0019592A" w:rsidRPr="009D3012">
        <w:rPr>
          <w:iCs/>
          <w:lang w:val="en-US"/>
        </w:rPr>
        <w:t>EN 16502</w:t>
      </w:r>
      <w:r w:rsidR="00073665" w:rsidRPr="009D3012">
        <w:rPr>
          <w:iCs/>
          <w:lang w:val="en-US"/>
        </w:rPr>
        <w:t>,</w:t>
      </w:r>
      <w:r w:rsidR="00073665" w:rsidRPr="001455DC">
        <w:t xml:space="preserve"> </w:t>
      </w:r>
      <w:r w:rsidR="00073665" w:rsidRPr="009D3012">
        <w:rPr>
          <w:i/>
          <w:iCs/>
          <w:lang w:val="en-US"/>
        </w:rPr>
        <w:t>Test method for the determination of the degree of soil acidity according to B</w:t>
      </w:r>
      <w:r w:rsidR="00073665" w:rsidRPr="009D3012">
        <w:rPr>
          <w:i/>
          <w:iCs/>
          <w:lang w:val="en-US"/>
        </w:rPr>
        <w:tab/>
        <w:t>aumann-Gully</w:t>
      </w:r>
    </w:p>
    <w:p w14:paraId="49CB425D" w14:textId="412A1A74" w:rsidR="0019592A" w:rsidRPr="009D3012" w:rsidRDefault="00FA079C" w:rsidP="009D3012">
      <w:pPr>
        <w:pStyle w:val="BiblioEntry"/>
        <w:ind w:left="564" w:hanging="564"/>
        <w:rPr>
          <w:iCs/>
          <w:lang w:val="en-US"/>
        </w:rPr>
      </w:pPr>
      <w:r w:rsidRPr="009D3012">
        <w:rPr>
          <w:iCs/>
          <w:lang w:val="en-US"/>
        </w:rPr>
        <w:t>[</w:t>
      </w:r>
      <w:r w:rsidR="00FE1655" w:rsidRPr="009D3012">
        <w:rPr>
          <w:iCs/>
          <w:lang w:val="en-US"/>
        </w:rPr>
        <w:t>5</w:t>
      </w:r>
      <w:r w:rsidRPr="009D3012">
        <w:rPr>
          <w:iCs/>
          <w:lang w:val="en-US"/>
        </w:rPr>
        <w:t>]</w:t>
      </w:r>
      <w:r w:rsidRPr="009D3012">
        <w:rPr>
          <w:iCs/>
          <w:lang w:val="en-US"/>
        </w:rPr>
        <w:tab/>
      </w:r>
      <w:r w:rsidR="0019592A" w:rsidRPr="009D3012">
        <w:rPr>
          <w:iCs/>
          <w:lang w:val="en-US"/>
        </w:rPr>
        <w:t>EN ISO 7980</w:t>
      </w:r>
      <w:r w:rsidR="00D61AC4" w:rsidRPr="009D3012">
        <w:rPr>
          <w:iCs/>
          <w:lang w:val="en-US"/>
        </w:rPr>
        <w:t xml:space="preserve">, </w:t>
      </w:r>
      <w:r w:rsidR="00D61AC4" w:rsidRPr="009D3012">
        <w:rPr>
          <w:i/>
          <w:iCs/>
          <w:lang w:val="en-US"/>
        </w:rPr>
        <w:t xml:space="preserve">Water quality </w:t>
      </w:r>
      <w:r w:rsidR="00B60DCC" w:rsidRPr="001455DC">
        <w:rPr>
          <w:i/>
        </w:rPr>
        <w:t>—</w:t>
      </w:r>
      <w:r w:rsidR="00D61AC4" w:rsidRPr="009D3012">
        <w:rPr>
          <w:i/>
          <w:iCs/>
          <w:lang w:val="en-US"/>
        </w:rPr>
        <w:t xml:space="preserve"> Determination of calcium and magnesium </w:t>
      </w:r>
      <w:r w:rsidR="00B60DCC" w:rsidRPr="001455DC">
        <w:rPr>
          <w:i/>
        </w:rPr>
        <w:t>—</w:t>
      </w:r>
      <w:r w:rsidR="00D61AC4" w:rsidRPr="009D3012">
        <w:rPr>
          <w:i/>
          <w:iCs/>
          <w:lang w:val="en-US"/>
        </w:rPr>
        <w:t xml:space="preserve"> Atomic absorption spectrometric method</w:t>
      </w:r>
      <w:r w:rsidR="00D61AC4" w:rsidRPr="009D3012">
        <w:rPr>
          <w:iCs/>
          <w:lang w:val="en-US"/>
        </w:rPr>
        <w:t xml:space="preserve"> (ISO 7980:1986);</w:t>
      </w:r>
    </w:p>
    <w:p w14:paraId="38977CD5" w14:textId="69F9C164" w:rsidR="00932DFD" w:rsidRPr="009D3012" w:rsidRDefault="00FE1655" w:rsidP="009D3012">
      <w:pPr>
        <w:pStyle w:val="BiblioEntry"/>
        <w:ind w:left="564" w:hanging="564"/>
        <w:rPr>
          <w:i/>
          <w:iCs/>
          <w:lang w:val="en-US"/>
        </w:rPr>
      </w:pPr>
      <w:r w:rsidRPr="009D3012">
        <w:rPr>
          <w:iCs/>
          <w:lang w:val="en-US"/>
        </w:rPr>
        <w:t>[6]</w:t>
      </w:r>
      <w:r w:rsidRPr="009D3012">
        <w:rPr>
          <w:iCs/>
          <w:lang w:val="en-US"/>
        </w:rPr>
        <w:tab/>
      </w:r>
      <w:r w:rsidR="0019592A" w:rsidRPr="009D3012">
        <w:rPr>
          <w:iCs/>
          <w:lang w:val="en-US"/>
        </w:rPr>
        <w:t>ISO 4316</w:t>
      </w:r>
      <w:r w:rsidR="00D61AC4" w:rsidRPr="009D3012">
        <w:rPr>
          <w:iCs/>
          <w:lang w:val="en-US"/>
        </w:rPr>
        <w:t xml:space="preserve">, </w:t>
      </w:r>
      <w:r w:rsidR="00D61AC4" w:rsidRPr="009D3012">
        <w:rPr>
          <w:i/>
          <w:iCs/>
          <w:lang w:val="en-US"/>
        </w:rPr>
        <w:t>Surface active agents</w:t>
      </w:r>
      <w:r w:rsidR="00B60DCC" w:rsidRPr="009D3012">
        <w:rPr>
          <w:i/>
          <w:iCs/>
          <w:lang w:val="en-US"/>
        </w:rPr>
        <w:t xml:space="preserve"> </w:t>
      </w:r>
      <w:r w:rsidR="00B60DCC" w:rsidRPr="001455DC">
        <w:rPr>
          <w:i/>
        </w:rPr>
        <w:t>—</w:t>
      </w:r>
      <w:r w:rsidR="00D61AC4" w:rsidRPr="009D3012">
        <w:rPr>
          <w:i/>
          <w:iCs/>
          <w:lang w:val="en-US"/>
        </w:rPr>
        <w:t xml:space="preserve"> Determination of pH of aqueous solutions</w:t>
      </w:r>
      <w:r w:rsidR="00B60DCC" w:rsidRPr="009D3012">
        <w:rPr>
          <w:i/>
          <w:iCs/>
          <w:lang w:val="en-US"/>
        </w:rPr>
        <w:t xml:space="preserve"> </w:t>
      </w:r>
      <w:r w:rsidR="00B60DCC" w:rsidRPr="001455DC">
        <w:rPr>
          <w:i/>
        </w:rPr>
        <w:t>—</w:t>
      </w:r>
      <w:r w:rsidR="00D61AC4" w:rsidRPr="009D3012">
        <w:rPr>
          <w:i/>
          <w:iCs/>
          <w:lang w:val="en-US"/>
        </w:rPr>
        <w:t xml:space="preserve"> Potentiometric method</w:t>
      </w:r>
    </w:p>
    <w:p w14:paraId="68C059D2" w14:textId="2D5383CA" w:rsidR="0019592A" w:rsidRDefault="00FE1655" w:rsidP="009D3012">
      <w:pPr>
        <w:pStyle w:val="BiblioEntry"/>
        <w:ind w:left="0" w:firstLine="0"/>
        <w:rPr>
          <w:i/>
          <w:iCs/>
          <w:lang w:val="en-US"/>
        </w:rPr>
      </w:pPr>
      <w:r w:rsidRPr="009D3012">
        <w:rPr>
          <w:iCs/>
          <w:lang w:val="en-US"/>
        </w:rPr>
        <w:t>[7]</w:t>
      </w:r>
      <w:r w:rsidRPr="009D3012">
        <w:rPr>
          <w:iCs/>
          <w:lang w:val="en-US"/>
        </w:rPr>
        <w:tab/>
      </w:r>
      <w:r w:rsidR="0019592A" w:rsidRPr="009D3012">
        <w:rPr>
          <w:iCs/>
          <w:lang w:val="en-US"/>
        </w:rPr>
        <w:t>ISO 71</w:t>
      </w:r>
      <w:r w:rsidR="00D61AC4" w:rsidRPr="009D3012">
        <w:rPr>
          <w:iCs/>
          <w:lang w:val="en-US"/>
        </w:rPr>
        <w:t>50</w:t>
      </w:r>
      <w:r w:rsidR="0019592A" w:rsidRPr="009D3012">
        <w:rPr>
          <w:iCs/>
          <w:lang w:val="en-US"/>
        </w:rPr>
        <w:t>-1</w:t>
      </w:r>
      <w:r w:rsidR="00D61AC4" w:rsidRPr="009D3012">
        <w:rPr>
          <w:iCs/>
          <w:lang w:val="en-US"/>
        </w:rPr>
        <w:t xml:space="preserve">, </w:t>
      </w:r>
      <w:r w:rsidR="00D61AC4" w:rsidRPr="009D3012">
        <w:rPr>
          <w:i/>
          <w:iCs/>
          <w:lang w:val="en-US"/>
        </w:rPr>
        <w:t>Water quality</w:t>
      </w:r>
      <w:r w:rsidR="00B60DCC" w:rsidRPr="009D3012">
        <w:rPr>
          <w:i/>
          <w:iCs/>
          <w:lang w:val="en-US"/>
        </w:rPr>
        <w:t xml:space="preserve"> </w:t>
      </w:r>
      <w:r w:rsidR="00B60DCC" w:rsidRPr="001455DC">
        <w:rPr>
          <w:i/>
        </w:rPr>
        <w:t>—</w:t>
      </w:r>
      <w:r w:rsidR="00D61AC4" w:rsidRPr="009D3012">
        <w:rPr>
          <w:i/>
          <w:iCs/>
          <w:lang w:val="en-US"/>
        </w:rPr>
        <w:t xml:space="preserve"> Physical, chemical and biochemical methods</w:t>
      </w:r>
      <w:r w:rsidR="00B60DCC" w:rsidRPr="009D3012">
        <w:rPr>
          <w:i/>
          <w:iCs/>
          <w:lang w:val="en-US"/>
        </w:rPr>
        <w:t xml:space="preserve"> </w:t>
      </w:r>
      <w:r w:rsidR="00B60DCC" w:rsidRPr="001455DC">
        <w:rPr>
          <w:i/>
        </w:rPr>
        <w:t>—</w:t>
      </w:r>
      <w:r w:rsidR="00D61AC4" w:rsidRPr="009D3012">
        <w:rPr>
          <w:i/>
          <w:iCs/>
          <w:lang w:val="en-US"/>
        </w:rPr>
        <w:t xml:space="preserve"> Determination of ammonium: manual spectrometric method</w:t>
      </w:r>
    </w:p>
    <w:p w14:paraId="3216B598" w14:textId="77777777" w:rsidR="00932DFD" w:rsidRPr="009D3012" w:rsidRDefault="00932DFD" w:rsidP="009D3012">
      <w:pPr>
        <w:pStyle w:val="a7"/>
        <w:rPr>
          <w:b/>
          <w:iCs/>
        </w:rPr>
      </w:pPr>
      <w:r w:rsidRPr="009D3012">
        <w:rPr>
          <w:b/>
          <w:lang w:val="en-US"/>
        </w:rPr>
        <w:t>References</w:t>
      </w:r>
      <w:r w:rsidRPr="009D3012">
        <w:rPr>
          <w:b/>
          <w:iCs/>
        </w:rPr>
        <w:t xml:space="preserve"> contained in permissions (i.e. “can” clauses) and notes</w:t>
      </w:r>
    </w:p>
    <w:p w14:paraId="66A07F35" w14:textId="2C415399" w:rsidR="00932DFD" w:rsidRPr="009D3012" w:rsidRDefault="00932DFD" w:rsidP="009D3012">
      <w:pPr>
        <w:pStyle w:val="a7"/>
        <w:rPr>
          <w:iCs/>
        </w:rPr>
      </w:pPr>
      <w:r w:rsidRPr="009D3012">
        <w:rPr>
          <w:lang w:val="en-US"/>
        </w:rPr>
        <w:t>The</w:t>
      </w:r>
      <w:r w:rsidRPr="009D3012">
        <w:rPr>
          <w:iCs/>
        </w:rPr>
        <w:t xml:space="preserve"> following documents are cited informatively in the document, for example in "can" clauses and in notes.</w:t>
      </w:r>
    </w:p>
    <w:p w14:paraId="4EEF741D" w14:textId="4C83D73E" w:rsidR="001977FF" w:rsidRPr="009D3012" w:rsidRDefault="00FA079C" w:rsidP="004C68F7">
      <w:pPr>
        <w:pStyle w:val="BiblioEntry"/>
        <w:rPr>
          <w:i/>
        </w:rPr>
      </w:pPr>
      <w:r w:rsidRPr="001455DC">
        <w:rPr>
          <w:iCs/>
        </w:rPr>
        <w:t>[1]</w:t>
      </w:r>
      <w:r w:rsidRPr="001455DC">
        <w:rPr>
          <w:iCs/>
        </w:rPr>
        <w:tab/>
      </w:r>
      <w:r w:rsidR="001977FF" w:rsidRPr="001455DC">
        <w:t>EN 1542,</w:t>
      </w:r>
      <w:r w:rsidR="00D61AC4" w:rsidRPr="001455DC">
        <w:t xml:space="preserve"> </w:t>
      </w:r>
      <w:r w:rsidR="00D61AC4" w:rsidRPr="009D3012">
        <w:rPr>
          <w:i/>
        </w:rPr>
        <w:t xml:space="preserve">Products and systems for the protection and repair of concrete structures </w:t>
      </w:r>
      <w:r w:rsidR="00B60DCC" w:rsidRPr="001455DC">
        <w:rPr>
          <w:i/>
        </w:rPr>
        <w:t>—</w:t>
      </w:r>
      <w:r w:rsidR="00D61AC4" w:rsidRPr="009D3012">
        <w:rPr>
          <w:i/>
        </w:rPr>
        <w:t xml:space="preserve"> Test methods </w:t>
      </w:r>
      <w:r w:rsidR="00B60DCC" w:rsidRPr="001455DC">
        <w:rPr>
          <w:i/>
        </w:rPr>
        <w:t>—</w:t>
      </w:r>
      <w:r w:rsidR="00D61AC4" w:rsidRPr="009D3012">
        <w:rPr>
          <w:i/>
        </w:rPr>
        <w:t xml:space="preserve"> Measurement of bond strength by pull-off</w:t>
      </w:r>
    </w:p>
    <w:p w14:paraId="287A0C1A" w14:textId="72DA91F6" w:rsidR="00932DFD" w:rsidRPr="001455DC" w:rsidRDefault="00FA079C" w:rsidP="004C68F7">
      <w:pPr>
        <w:pStyle w:val="BiblioEntry"/>
        <w:rPr>
          <w:i/>
        </w:rPr>
      </w:pPr>
      <w:r w:rsidRPr="001455DC">
        <w:rPr>
          <w:iCs/>
        </w:rPr>
        <w:t>[</w:t>
      </w:r>
      <w:r w:rsidR="00FE1655" w:rsidRPr="001455DC">
        <w:rPr>
          <w:iCs/>
        </w:rPr>
        <w:t>2</w:t>
      </w:r>
      <w:r w:rsidRPr="001455DC">
        <w:rPr>
          <w:iCs/>
        </w:rPr>
        <w:t>]</w:t>
      </w:r>
      <w:r w:rsidRPr="001455DC">
        <w:rPr>
          <w:iCs/>
        </w:rPr>
        <w:tab/>
      </w:r>
      <w:r w:rsidR="00D562AC" w:rsidRPr="001455DC">
        <w:t xml:space="preserve">EN 1998 (all parts), </w:t>
      </w:r>
      <w:r w:rsidR="00D562AC" w:rsidRPr="001455DC">
        <w:rPr>
          <w:i/>
        </w:rPr>
        <w:t>Design of structures for earthquake resistance, when concrete structures are built in seismic regions</w:t>
      </w:r>
    </w:p>
    <w:p w14:paraId="13C0E9CE" w14:textId="6CB873D7" w:rsidR="0019592A" w:rsidRPr="001455DC" w:rsidRDefault="00FA079C" w:rsidP="004C68F7">
      <w:pPr>
        <w:pStyle w:val="BiblioEntry"/>
        <w:rPr>
          <w:i/>
        </w:rPr>
      </w:pPr>
      <w:r w:rsidRPr="001455DC">
        <w:rPr>
          <w:iCs/>
        </w:rPr>
        <w:t>[</w:t>
      </w:r>
      <w:r w:rsidR="00FE1655" w:rsidRPr="001455DC">
        <w:rPr>
          <w:iCs/>
        </w:rPr>
        <w:t>3</w:t>
      </w:r>
      <w:r w:rsidRPr="001455DC">
        <w:rPr>
          <w:iCs/>
        </w:rPr>
        <w:t>]</w:t>
      </w:r>
      <w:r w:rsidRPr="001455DC">
        <w:rPr>
          <w:iCs/>
        </w:rPr>
        <w:tab/>
      </w:r>
      <w:r w:rsidR="0019592A" w:rsidRPr="001455DC">
        <w:t>EN 12620</w:t>
      </w:r>
      <w:r w:rsidR="00D61AC4" w:rsidRPr="001455DC">
        <w:t xml:space="preserve">, </w:t>
      </w:r>
      <w:r w:rsidR="00D61AC4" w:rsidRPr="009D3012">
        <w:rPr>
          <w:i/>
        </w:rPr>
        <w:t>Aggregates for concrete</w:t>
      </w:r>
    </w:p>
    <w:p w14:paraId="032885D1" w14:textId="3BC0A3D9" w:rsidR="000466D1" w:rsidRPr="009D3012" w:rsidRDefault="00FA079C" w:rsidP="004C68F7">
      <w:pPr>
        <w:pStyle w:val="BiblioEntry"/>
        <w:rPr>
          <w:i/>
        </w:rPr>
      </w:pPr>
      <w:r w:rsidRPr="001455DC">
        <w:rPr>
          <w:iCs/>
        </w:rPr>
        <w:t>[</w:t>
      </w:r>
      <w:r w:rsidR="00FE1655" w:rsidRPr="001455DC">
        <w:rPr>
          <w:iCs/>
        </w:rPr>
        <w:t>4</w:t>
      </w:r>
      <w:r w:rsidRPr="001455DC">
        <w:rPr>
          <w:iCs/>
        </w:rPr>
        <w:t>]</w:t>
      </w:r>
      <w:r w:rsidRPr="001455DC">
        <w:rPr>
          <w:iCs/>
        </w:rPr>
        <w:tab/>
      </w:r>
      <w:r w:rsidR="000466D1" w:rsidRPr="001455DC">
        <w:t>EN 14199</w:t>
      </w:r>
      <w:r w:rsidR="00D61AC4" w:rsidRPr="001455DC">
        <w:t xml:space="preserve">, </w:t>
      </w:r>
      <w:r w:rsidR="00D61AC4" w:rsidRPr="009D3012">
        <w:rPr>
          <w:i/>
        </w:rPr>
        <w:t xml:space="preserve">Execution of special geotechnical work </w:t>
      </w:r>
      <w:r w:rsidR="00B60DCC" w:rsidRPr="001455DC">
        <w:rPr>
          <w:i/>
        </w:rPr>
        <w:t>—</w:t>
      </w:r>
      <w:r w:rsidR="00D61AC4" w:rsidRPr="009D3012">
        <w:rPr>
          <w:i/>
        </w:rPr>
        <w:t xml:space="preserve"> Micropiles</w:t>
      </w:r>
    </w:p>
    <w:p w14:paraId="41DAC0D7" w14:textId="331EFC71" w:rsidR="00932DFD" w:rsidRPr="001455DC" w:rsidRDefault="00FA079C" w:rsidP="004C68F7">
      <w:pPr>
        <w:pStyle w:val="BiblioEntry"/>
        <w:rPr>
          <w:iCs/>
        </w:rPr>
      </w:pPr>
      <w:r w:rsidRPr="001455DC">
        <w:rPr>
          <w:iCs/>
        </w:rPr>
        <w:t>[</w:t>
      </w:r>
      <w:r w:rsidR="00FE1655" w:rsidRPr="001455DC">
        <w:rPr>
          <w:iCs/>
        </w:rPr>
        <w:t>5</w:t>
      </w:r>
      <w:r w:rsidRPr="001455DC">
        <w:rPr>
          <w:iCs/>
        </w:rPr>
        <w:t>]</w:t>
      </w:r>
      <w:r w:rsidRPr="001455DC">
        <w:rPr>
          <w:iCs/>
        </w:rPr>
        <w:tab/>
      </w:r>
      <w:r w:rsidR="00A04E33" w:rsidRPr="001455DC">
        <w:rPr>
          <w:iCs/>
        </w:rPr>
        <w:t>EAD 160129</w:t>
      </w:r>
      <w:r w:rsidR="00A04E33" w:rsidRPr="001455DC">
        <w:noBreakHyphen/>
        <w:t>00</w:t>
      </w:r>
      <w:r w:rsidR="00A04E33" w:rsidRPr="001455DC">
        <w:noBreakHyphen/>
        <w:t>0301</w:t>
      </w:r>
    </w:p>
    <w:p w14:paraId="2B028D91" w14:textId="684A9502" w:rsidR="00932DFD" w:rsidRPr="009D3012" w:rsidRDefault="0019592A" w:rsidP="004C68F7">
      <w:pPr>
        <w:pStyle w:val="BiblioEntry"/>
        <w:rPr>
          <w:b/>
          <w:iCs/>
        </w:rPr>
      </w:pPr>
      <w:r w:rsidRPr="009D3012">
        <w:rPr>
          <w:b/>
          <w:iCs/>
        </w:rPr>
        <w:t>Other</w:t>
      </w:r>
    </w:p>
    <w:p w14:paraId="0F100A8D" w14:textId="27E6D7D2" w:rsidR="00206D6A" w:rsidRPr="001455DC" w:rsidRDefault="00FA079C" w:rsidP="00206D6A">
      <w:pPr>
        <w:pStyle w:val="RefNorm"/>
      </w:pPr>
      <w:r w:rsidRPr="001455DC">
        <w:rPr>
          <w:iCs/>
        </w:rPr>
        <w:t>[1]</w:t>
      </w:r>
      <w:r w:rsidRPr="001455DC">
        <w:rPr>
          <w:iCs/>
        </w:rPr>
        <w:tab/>
      </w:r>
      <w:r w:rsidRPr="001455DC" w:rsidDel="0019592A">
        <w:rPr>
          <w:iCs/>
        </w:rPr>
        <w:t xml:space="preserve"> </w:t>
      </w:r>
      <w:r w:rsidR="00206D6A" w:rsidRPr="001455DC">
        <w:t>EN 1504</w:t>
      </w:r>
      <w:r w:rsidR="00206D6A" w:rsidRPr="001455DC">
        <w:noBreakHyphen/>
        <w:t xml:space="preserve">2, </w:t>
      </w:r>
      <w:r w:rsidR="00206D6A" w:rsidRPr="001455DC">
        <w:rPr>
          <w:i/>
        </w:rPr>
        <w:t>Products and systems for the protection and repair of concrete structures — Definitions, requirements, quality control and evaluation of conformity — Part 2: Surface protection systems for concrete</w:t>
      </w:r>
    </w:p>
    <w:p w14:paraId="5924A470" w14:textId="002A6880" w:rsidR="0087537D" w:rsidRPr="001455DC" w:rsidRDefault="00FA079C" w:rsidP="0087537D">
      <w:pPr>
        <w:pStyle w:val="RefNorm"/>
      </w:pPr>
      <w:r w:rsidRPr="001455DC">
        <w:rPr>
          <w:iCs/>
        </w:rPr>
        <w:t>[</w:t>
      </w:r>
      <w:r w:rsidR="00FE1655" w:rsidRPr="001455DC">
        <w:rPr>
          <w:iCs/>
        </w:rPr>
        <w:t>2</w:t>
      </w:r>
      <w:r w:rsidRPr="001455DC">
        <w:rPr>
          <w:iCs/>
        </w:rPr>
        <w:t>]</w:t>
      </w:r>
      <w:r w:rsidRPr="001455DC">
        <w:rPr>
          <w:iCs/>
        </w:rPr>
        <w:tab/>
      </w:r>
      <w:r w:rsidR="0087537D" w:rsidRPr="001455DC">
        <w:t xml:space="preserve">EN 12504, </w:t>
      </w:r>
      <w:r w:rsidR="0087537D" w:rsidRPr="001455DC">
        <w:rPr>
          <w:i/>
          <w:iCs/>
        </w:rPr>
        <w:t>Testing concrete in structures</w:t>
      </w:r>
    </w:p>
    <w:p w14:paraId="4932228A" w14:textId="7E70009F" w:rsidR="0019592A" w:rsidRDefault="0019592A" w:rsidP="0019592A">
      <w:pPr>
        <w:pStyle w:val="BiblioEntry"/>
      </w:pPr>
      <w:r w:rsidRPr="001455DC">
        <w:rPr>
          <w:iCs/>
        </w:rPr>
        <w:t>[</w:t>
      </w:r>
      <w:r w:rsidR="00FE1655" w:rsidRPr="001455DC">
        <w:rPr>
          <w:iCs/>
        </w:rPr>
        <w:t>3</w:t>
      </w:r>
      <w:r w:rsidRPr="001455DC">
        <w:rPr>
          <w:iCs/>
        </w:rPr>
        <w:t>]</w:t>
      </w:r>
      <w:r w:rsidRPr="001455DC">
        <w:tab/>
      </w:r>
      <w:r w:rsidRPr="001455DC">
        <w:rPr>
          <w:rStyle w:val="CCMCvariableitalic"/>
        </w:rPr>
        <w:t>fib</w:t>
      </w:r>
      <w:r w:rsidRPr="001455DC">
        <w:t> Bulletin 75: Polymer-duct systems for internal bonded post-tensioning. Recommendation (172 pages, ISBN 978</w:t>
      </w:r>
      <w:r w:rsidRPr="001455DC">
        <w:noBreakHyphen/>
        <w:t>2</w:t>
      </w:r>
      <w:r w:rsidRPr="001455DC">
        <w:noBreakHyphen/>
        <w:t>88394</w:t>
      </w:r>
      <w:r w:rsidRPr="001455DC">
        <w:noBreakHyphen/>
        <w:t>115</w:t>
      </w:r>
      <w:r w:rsidRPr="001455DC">
        <w:noBreakHyphen/>
        <w:t>1, December 2014.</w:t>
      </w:r>
      <w:r w:rsidR="00B60DCC" w:rsidRPr="001455DC">
        <w:t>)</w:t>
      </w:r>
    </w:p>
    <w:p w14:paraId="56B8BB2C" w14:textId="3C925D1E" w:rsidR="004A56F9" w:rsidRDefault="004A56F9" w:rsidP="004A56F9">
      <w:pPr>
        <w:pStyle w:val="RefNorm"/>
        <w:rPr>
          <w:i/>
        </w:rPr>
      </w:pPr>
      <w:r>
        <w:t>[4]</w:t>
      </w:r>
      <w:r>
        <w:tab/>
      </w:r>
      <w:r w:rsidRPr="001455DC">
        <w:t>EN 10088</w:t>
      </w:r>
      <w:r w:rsidRPr="001455DC">
        <w:noBreakHyphen/>
        <w:t xml:space="preserve">1, </w:t>
      </w:r>
      <w:r w:rsidRPr="001455DC">
        <w:rPr>
          <w:i/>
        </w:rPr>
        <w:t>Stainless steels — Part 1: List of stainless steels</w:t>
      </w:r>
    </w:p>
    <w:p w14:paraId="05A64071" w14:textId="3B3A99EC" w:rsidR="00206D6A" w:rsidRPr="001455DC" w:rsidRDefault="004A56F9" w:rsidP="000250B6">
      <w:pPr>
        <w:pStyle w:val="RefNorm"/>
      </w:pPr>
      <w:r>
        <w:t>[5]</w:t>
      </w:r>
      <w:r>
        <w:tab/>
      </w:r>
      <w:r w:rsidRPr="001455DC">
        <w:t xml:space="preserve">EN 13369, </w:t>
      </w:r>
      <w:r w:rsidRPr="001455DC">
        <w:rPr>
          <w:i/>
          <w:iCs/>
        </w:rPr>
        <w:t>Common rules for precast concrete products</w:t>
      </w:r>
    </w:p>
    <w:sectPr w:rsidR="00206D6A" w:rsidRPr="001455DC" w:rsidSect="00994AC0">
      <w:pgSz w:w="11906" w:h="16838" w:code="9"/>
      <w:pgMar w:top="1644" w:right="737" w:bottom="1418" w:left="851" w:header="709" w:footer="284"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42CE7A" w14:textId="77777777" w:rsidR="00E519AB" w:rsidRDefault="00E519AB">
      <w:pPr>
        <w:spacing w:after="0" w:line="240" w:lineRule="auto"/>
      </w:pPr>
      <w:r>
        <w:separator/>
      </w:r>
    </w:p>
  </w:endnote>
  <w:endnote w:type="continuationSeparator" w:id="0">
    <w:p w14:paraId="20737D7F" w14:textId="77777777" w:rsidR="00E519AB" w:rsidRDefault="00E51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Arial Fett">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BoldMT">
    <w:altName w:val="Times New Roman"/>
    <w:panose1 w:val="00000000000000000000"/>
    <w:charset w:val="00"/>
    <w:family w:val="roman"/>
    <w:notTrueType/>
    <w:pitch w:val="default"/>
  </w:font>
  <w:font w:name="ArialM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SymbolMT">
    <w:altName w:val="Malgun Gothic Semilight"/>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923FA" w14:textId="77777777" w:rsidR="00E519AB" w:rsidRPr="00AA03D8" w:rsidRDefault="00E519AB" w:rsidP="00D86695">
    <w:pPr>
      <w:pStyle w:val="ac"/>
      <w:spacing w:before="283" w:after="283"/>
    </w:pPr>
    <w:r w:rsidRPr="00AA03D8">
      <w:fldChar w:fldCharType="begin"/>
    </w:r>
    <w:r w:rsidRPr="00AA03D8">
      <w:instrText xml:space="preserve"> PAGE  \* MERGEFORMAT </w:instrText>
    </w:r>
    <w:r w:rsidRPr="00AA03D8">
      <w:fldChar w:fldCharType="separate"/>
    </w:r>
    <w:r>
      <w:rPr>
        <w:noProof/>
      </w:rPr>
      <w:t>2</w:t>
    </w:r>
    <w:r w:rsidRPr="00AA03D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5A6F6" w14:textId="77777777" w:rsidR="00E519AB" w:rsidRPr="00D80F98" w:rsidRDefault="00E519AB" w:rsidP="00D86695">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vanish/>
        <w:highlight w:val="yellow"/>
      </w:rPr>
      <w:id w:val="-226151705"/>
      <w:docPartObj>
        <w:docPartGallery w:val="Page Numbers (Bottom of Page)"/>
        <w:docPartUnique/>
      </w:docPartObj>
    </w:sdtPr>
    <w:sdtEndPr>
      <w:rPr>
        <w:b/>
        <w:noProof/>
        <w:szCs w:val="23"/>
      </w:rPr>
    </w:sdtEndPr>
    <w:sdtContent>
      <w:p w14:paraId="78AE365A" w14:textId="77777777" w:rsidR="00E519AB" w:rsidRPr="00EA3695" w:rsidRDefault="00E519AB">
        <w:pPr>
          <w:pStyle w:val="ac"/>
          <w:rPr>
            <w:b/>
            <w:szCs w:val="23"/>
          </w:rPr>
        </w:pPr>
        <w:r w:rsidRPr="00EA3695">
          <w:rPr>
            <w:b/>
            <w:szCs w:val="23"/>
          </w:rPr>
          <w:fldChar w:fldCharType="begin"/>
        </w:r>
        <w:r w:rsidRPr="00EA3695">
          <w:rPr>
            <w:b/>
            <w:szCs w:val="23"/>
          </w:rPr>
          <w:instrText xml:space="preserve"> PAGE   \* MERGEFORMAT </w:instrText>
        </w:r>
        <w:r w:rsidRPr="00EA3695">
          <w:rPr>
            <w:b/>
            <w:szCs w:val="23"/>
          </w:rPr>
          <w:fldChar w:fldCharType="separate"/>
        </w:r>
        <w:r>
          <w:rPr>
            <w:b/>
            <w:noProof/>
            <w:szCs w:val="23"/>
          </w:rPr>
          <w:t>2</w:t>
        </w:r>
        <w:r w:rsidRPr="00EA3695">
          <w:rPr>
            <w:b/>
            <w:noProof/>
            <w:szCs w:val="23"/>
          </w:rPr>
          <w:fldChar w:fldCharType="end"/>
        </w:r>
      </w:p>
    </w:sdtContent>
  </w:sdt>
  <w:p w14:paraId="4E680ED5" w14:textId="77777777" w:rsidR="00E519AB" w:rsidRDefault="00E519AB">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F7F6A" w14:textId="689BFCCA" w:rsidR="00E519AB" w:rsidRPr="00EA3695" w:rsidRDefault="00E519AB" w:rsidP="00D86695">
    <w:pPr>
      <w:pStyle w:val="ac"/>
      <w:spacing w:before="283" w:after="283"/>
      <w:rPr>
        <w:b/>
        <w:szCs w:val="23"/>
      </w:rPr>
    </w:pPr>
    <w:r w:rsidRPr="00EA3695">
      <w:rPr>
        <w:b/>
        <w:szCs w:val="23"/>
      </w:rPr>
      <w:fldChar w:fldCharType="begin"/>
    </w:r>
    <w:r w:rsidRPr="00EA3695">
      <w:rPr>
        <w:b/>
        <w:szCs w:val="23"/>
      </w:rPr>
      <w:instrText xml:space="preserve"> PAGE  \* MERGEFORMAT </w:instrText>
    </w:r>
    <w:r w:rsidRPr="00EA3695">
      <w:rPr>
        <w:b/>
        <w:szCs w:val="23"/>
      </w:rPr>
      <w:fldChar w:fldCharType="separate"/>
    </w:r>
    <w:r w:rsidR="000250B6">
      <w:rPr>
        <w:b/>
        <w:noProof/>
        <w:szCs w:val="23"/>
      </w:rPr>
      <w:t>6</w:t>
    </w:r>
    <w:r w:rsidRPr="00EA3695">
      <w:rPr>
        <w:b/>
        <w:szCs w:val="23"/>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BBB0B" w14:textId="3B66D059" w:rsidR="00E519AB" w:rsidRPr="00EA3695" w:rsidRDefault="00E519AB" w:rsidP="00B732D2">
    <w:pPr>
      <w:pStyle w:val="ac"/>
      <w:spacing w:before="283" w:after="283"/>
      <w:jc w:val="right"/>
      <w:rPr>
        <w:b/>
        <w:szCs w:val="23"/>
      </w:rPr>
    </w:pPr>
    <w:r w:rsidRPr="00EA3695">
      <w:rPr>
        <w:b/>
        <w:szCs w:val="23"/>
      </w:rPr>
      <w:fldChar w:fldCharType="begin"/>
    </w:r>
    <w:r w:rsidRPr="00EA3695">
      <w:rPr>
        <w:b/>
        <w:szCs w:val="23"/>
      </w:rPr>
      <w:instrText xml:space="preserve"> PAGE  \* MERGEFORMAT </w:instrText>
    </w:r>
    <w:r w:rsidRPr="00EA3695">
      <w:rPr>
        <w:b/>
        <w:szCs w:val="23"/>
      </w:rPr>
      <w:fldChar w:fldCharType="separate"/>
    </w:r>
    <w:r w:rsidR="000250B6">
      <w:rPr>
        <w:b/>
        <w:noProof/>
        <w:szCs w:val="23"/>
      </w:rPr>
      <w:t>5</w:t>
    </w:r>
    <w:r w:rsidRPr="00EA3695">
      <w:rPr>
        <w:b/>
        <w:szCs w:val="2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89F9DC" w14:textId="77777777" w:rsidR="00E519AB" w:rsidRDefault="00E519AB">
      <w:pPr>
        <w:spacing w:after="0" w:line="240" w:lineRule="auto"/>
      </w:pPr>
      <w:r>
        <w:separator/>
      </w:r>
    </w:p>
  </w:footnote>
  <w:footnote w:type="continuationSeparator" w:id="0">
    <w:p w14:paraId="1BD69158" w14:textId="77777777" w:rsidR="00E519AB" w:rsidRDefault="00E519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BF5035" w14:textId="17461047" w:rsidR="00E519AB" w:rsidRPr="00BD6CDB" w:rsidRDefault="00E519AB" w:rsidP="00D86695">
    <w:pPr>
      <w:spacing w:after="680"/>
    </w:pPr>
    <w:fldSimple w:instr=" REF LibEnteteCEN ">
      <w:r>
        <w:rPr>
          <w:b/>
          <w:bCs/>
          <w:lang w:val="en-US"/>
        </w:rPr>
        <w:t>Error! Reference source not found.</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72E5D" w14:textId="77777777" w:rsidR="00E519AB" w:rsidRPr="00EA3695" w:rsidRDefault="00E519AB" w:rsidP="00B732D2">
    <w:pPr>
      <w:spacing w:after="680"/>
      <w:rPr>
        <w:b/>
        <w:szCs w:val="23"/>
        <w:lang w:val="it-IT"/>
      </w:rPr>
    </w:pPr>
    <w:r w:rsidRPr="00EA3695">
      <w:rPr>
        <w:b/>
        <w:noProof/>
        <w:szCs w:val="23"/>
        <w:lang w:val="it-IT"/>
      </w:rPr>
      <w:t>prEN </w:t>
    </w:r>
    <w:r w:rsidRPr="00EA3695">
      <w:rPr>
        <w:b/>
        <w:noProof/>
        <w:color w:val="FF0000"/>
        <w:szCs w:val="23"/>
        <w:lang w:val="it-IT"/>
      </w:rPr>
      <w:t>XXXX:XXXX</w:t>
    </w:r>
    <w:r w:rsidRPr="00EA3695">
      <w:rPr>
        <w:b/>
        <w:noProof/>
        <w:szCs w:val="23"/>
        <w:lang w:val="it-IT"/>
      </w:rPr>
      <w:t> </w:t>
    </w:r>
    <w:r w:rsidRPr="00EA3695">
      <w:rPr>
        <w:b/>
        <w:noProof/>
        <w:color w:val="FF0000"/>
        <w:szCs w:val="23"/>
        <w:lang w:val="it-IT"/>
      </w:rPr>
      <w: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4A0CD" w14:textId="7BD15A4D" w:rsidR="00E519AB" w:rsidRPr="00EF241D" w:rsidRDefault="00E519AB" w:rsidP="00860240">
    <w:pPr>
      <w:spacing w:after="680"/>
      <w:jc w:val="left"/>
      <w:rPr>
        <w:b/>
        <w:szCs w:val="23"/>
        <w:lang w:val="it-IT"/>
      </w:rPr>
    </w:pPr>
    <w:r>
      <w:rPr>
        <w:b/>
        <w:noProof/>
        <w:szCs w:val="23"/>
        <w:lang w:val="it-IT"/>
      </w:rPr>
      <w:t>prEN 1992</w:t>
    </w:r>
    <w:r>
      <w:rPr>
        <w:b/>
        <w:noProof/>
        <w:szCs w:val="23"/>
        <w:lang w:val="it-IT"/>
      </w:rPr>
      <w:noBreakHyphen/>
      <w:t>1</w:t>
    </w:r>
    <w:r>
      <w:rPr>
        <w:b/>
        <w:noProof/>
        <w:szCs w:val="23"/>
        <w:lang w:val="it-IT"/>
      </w:rPr>
      <w:noBreakHyphen/>
      <w:t>1:2021</w:t>
    </w:r>
    <w:r w:rsidRPr="00EF241D">
      <w:rPr>
        <w:b/>
        <w:noProof/>
        <w:szCs w:val="23"/>
        <w:lang w:val="it-IT"/>
      </w:rPr>
      <w:t> (E)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5FC8B" w14:textId="3944EACF" w:rsidR="00E519AB" w:rsidRPr="00EA3695" w:rsidRDefault="00E519AB" w:rsidP="00B732D2">
    <w:pPr>
      <w:spacing w:after="680"/>
      <w:jc w:val="right"/>
      <w:rPr>
        <w:b/>
        <w:szCs w:val="23"/>
        <w:lang w:val="it-IT"/>
      </w:rPr>
    </w:pPr>
    <w:r>
      <w:rPr>
        <w:b/>
        <w:noProof/>
        <w:szCs w:val="23"/>
        <w:lang w:val="it-IT"/>
      </w:rPr>
      <w:t>prEN 1992</w:t>
    </w:r>
    <w:r>
      <w:rPr>
        <w:b/>
        <w:noProof/>
        <w:szCs w:val="23"/>
        <w:lang w:val="it-IT"/>
      </w:rPr>
      <w:noBreakHyphen/>
      <w:t>1</w:t>
    </w:r>
    <w:r>
      <w:rPr>
        <w:b/>
        <w:noProof/>
        <w:szCs w:val="23"/>
        <w:lang w:val="it-IT"/>
      </w:rPr>
      <w:noBreakHyphen/>
      <w:t>1:2021</w:t>
    </w:r>
    <w:r w:rsidRPr="00EF241D">
      <w:rPr>
        <w:b/>
        <w:noProof/>
        <w:szCs w:val="23"/>
        <w:lang w:val="it-IT"/>
      </w:rPr>
      <w:t> (E)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09A6D22"/>
    <w:lvl w:ilvl="0">
      <w:start w:val="1"/>
      <w:numFmt w:val="decimal"/>
      <w:pStyle w:val="5"/>
      <w:lvlText w:val="%1."/>
      <w:lvlJc w:val="left"/>
      <w:pPr>
        <w:tabs>
          <w:tab w:val="num" w:pos="1492"/>
        </w:tabs>
        <w:ind w:left="1492" w:hanging="360"/>
      </w:pPr>
    </w:lvl>
  </w:abstractNum>
  <w:abstractNum w:abstractNumId="1" w15:restartNumberingAfterBreak="0">
    <w:nsid w:val="FFFFFF80"/>
    <w:multiLevelType w:val="singleLevel"/>
    <w:tmpl w:val="602E1DC2"/>
    <w:lvl w:ilvl="0">
      <w:start w:val="1"/>
      <w:numFmt w:val="bullet"/>
      <w:pStyle w:val="50"/>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8BD60B44"/>
    <w:lvl w:ilvl="0">
      <w:start w:val="1"/>
      <w:numFmt w:val="bullet"/>
      <w:pStyle w:val="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571C2B5E"/>
    <w:lvl w:ilvl="0">
      <w:start w:val="1"/>
      <w:numFmt w:val="bullet"/>
      <w:pStyle w:val="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C4F0A810"/>
    <w:lvl w:ilvl="0">
      <w:start w:val="1"/>
      <w:numFmt w:val="bullet"/>
      <w:pStyle w:val="2"/>
      <w:lvlText w:val=""/>
      <w:lvlJc w:val="left"/>
      <w:pPr>
        <w:tabs>
          <w:tab w:val="num" w:pos="643"/>
        </w:tabs>
        <w:ind w:left="643" w:hanging="360"/>
      </w:pPr>
      <w:rPr>
        <w:rFonts w:ascii="Symbol" w:hAnsi="Symbol" w:hint="default"/>
      </w:rPr>
    </w:lvl>
  </w:abstractNum>
  <w:abstractNum w:abstractNumId="5" w15:restartNumberingAfterBreak="0">
    <w:nsid w:val="01287C52"/>
    <w:multiLevelType w:val="hybridMultilevel"/>
    <w:tmpl w:val="552A9E06"/>
    <w:lvl w:ilvl="0" w:tplc="B574BBBC">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08A55008"/>
    <w:multiLevelType w:val="multilevel"/>
    <w:tmpl w:val="5E36B128"/>
    <w:lvl w:ilvl="0">
      <w:start w:val="1"/>
      <w:numFmt w:val="upperLetter"/>
      <w:pStyle w:val="ANNEX"/>
      <w:suff w:val="nothing"/>
      <w:lvlText w:val="Annex %1"/>
      <w:lvlJc w:val="left"/>
      <w:pPr>
        <w:ind w:left="499" w:hanging="499"/>
      </w:pPr>
      <w:rPr>
        <w:rFonts w:ascii="Cambria" w:hAnsi="Cambria" w:hint="default"/>
        <w:b/>
        <w:i w:val="0"/>
        <w:sz w:val="30"/>
      </w:rPr>
    </w:lvl>
    <w:lvl w:ilvl="1">
      <w:start w:val="1"/>
      <w:numFmt w:val="decimal"/>
      <w:pStyle w:val="a2"/>
      <w:lvlText w:val="%1.%2"/>
      <w:lvlJc w:val="left"/>
      <w:pPr>
        <w:ind w:left="1129" w:hanging="499"/>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3"/>
      <w:lvlText w:val="%1.%2.%3"/>
      <w:lvlJc w:val="left"/>
      <w:pPr>
        <w:ind w:left="641" w:hanging="641"/>
      </w:pPr>
      <w:rPr>
        <w:rFonts w:hint="default"/>
        <w:b/>
        <w:i w:val="0"/>
      </w:rPr>
    </w:lvl>
    <w:lvl w:ilvl="3">
      <w:start w:val="1"/>
      <w:numFmt w:val="decimal"/>
      <w:pStyle w:val="a4"/>
      <w:lvlText w:val="%1.%2.%3.%4"/>
      <w:lvlJc w:val="left"/>
      <w:pPr>
        <w:ind w:left="879" w:hanging="879"/>
      </w:pPr>
      <w:rPr>
        <w:rFonts w:hint="default"/>
        <w:b/>
        <w:i w:val="0"/>
      </w:rPr>
    </w:lvl>
    <w:lvl w:ilvl="4">
      <w:start w:val="1"/>
      <w:numFmt w:val="decimal"/>
      <w:pStyle w:val="a5"/>
      <w:lvlText w:val="%1.%2.%3.%4.%5"/>
      <w:lvlJc w:val="left"/>
      <w:pPr>
        <w:ind w:left="1140" w:hanging="1140"/>
      </w:pPr>
      <w:rPr>
        <w:rFonts w:hint="default"/>
        <w:b/>
        <w:i w:val="0"/>
      </w:rPr>
    </w:lvl>
    <w:lvl w:ilvl="5">
      <w:start w:val="1"/>
      <w:numFmt w:val="decimal"/>
      <w:pStyle w:val="a6"/>
      <w:lvlText w:val="%1.%2.%3.%4.%5.%6"/>
      <w:lvlJc w:val="left"/>
      <w:pPr>
        <w:ind w:left="1361" w:hanging="1361"/>
      </w:pPr>
      <w:rPr>
        <w:rFonts w:hint="default"/>
        <w:b/>
        <w:i w:val="0"/>
      </w:rPr>
    </w:lvl>
    <w:lvl w:ilvl="6">
      <w:start w:val="1"/>
      <w:numFmt w:val="lowerRoman"/>
      <w:lvlText w:val="(%7)"/>
      <w:lvlJc w:val="left"/>
      <w:pPr>
        <w:ind w:left="1531" w:hanging="1531"/>
      </w:pPr>
      <w:rPr>
        <w:rFonts w:hint="default"/>
      </w:rPr>
    </w:lvl>
    <w:lvl w:ilvl="7">
      <w:start w:val="1"/>
      <w:numFmt w:val="lowerLetter"/>
      <w:lvlText w:val="(%8)"/>
      <w:lvlJc w:val="left"/>
      <w:pPr>
        <w:ind w:left="1644" w:hanging="1644"/>
      </w:pPr>
      <w:rPr>
        <w:rFonts w:hint="default"/>
      </w:rPr>
    </w:lvl>
    <w:lvl w:ilvl="8">
      <w:start w:val="1"/>
      <w:numFmt w:val="lowerRoman"/>
      <w:lvlText w:val="(%9)"/>
      <w:lvlJc w:val="left"/>
      <w:pPr>
        <w:ind w:left="1758" w:hanging="1758"/>
      </w:pPr>
      <w:rPr>
        <w:rFonts w:hint="default"/>
      </w:rPr>
    </w:lvl>
  </w:abstractNum>
  <w:abstractNum w:abstractNumId="7" w15:restartNumberingAfterBreak="0">
    <w:nsid w:val="0AD96927"/>
    <w:multiLevelType w:val="hybridMultilevel"/>
    <w:tmpl w:val="45D427BE"/>
    <w:lvl w:ilvl="0" w:tplc="ED325874">
      <w:start w:val="1"/>
      <w:numFmt w:val="lowerLetter"/>
      <w:pStyle w:val="a"/>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C8C02B8"/>
    <w:multiLevelType w:val="hybridMultilevel"/>
    <w:tmpl w:val="07E2A562"/>
    <w:lvl w:ilvl="0" w:tplc="04070017">
      <w:start w:val="1"/>
      <w:numFmt w:val="lowerLetter"/>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0D593795"/>
    <w:multiLevelType w:val="hybridMultilevel"/>
    <w:tmpl w:val="5D505440"/>
    <w:lvl w:ilvl="0" w:tplc="FF947ECA">
      <w:start w:val="1"/>
      <w:numFmt w:val="bullet"/>
      <w:lvlText w:val="—"/>
      <w:lvlJc w:val="left"/>
      <w:pPr>
        <w:ind w:left="643" w:hanging="360"/>
      </w:pPr>
      <w:rPr>
        <w:rFonts w:ascii="Cambria" w:hAnsi="Cambria" w:hint="default"/>
      </w:rPr>
    </w:lvl>
    <w:lvl w:ilvl="1" w:tplc="8EF01068">
      <w:numFmt w:val="bullet"/>
      <w:lvlText w:val="–"/>
      <w:lvlJc w:val="left"/>
      <w:pPr>
        <w:ind w:left="1363" w:hanging="360"/>
      </w:pPr>
      <w:rPr>
        <w:rFonts w:ascii="Cambria" w:eastAsia="Calibri" w:hAnsi="Cambria" w:cs="Arial" w:hint="default"/>
      </w:rPr>
    </w:lvl>
    <w:lvl w:ilvl="2" w:tplc="04070005" w:tentative="1">
      <w:start w:val="1"/>
      <w:numFmt w:val="bullet"/>
      <w:lvlText w:val=""/>
      <w:lvlJc w:val="left"/>
      <w:pPr>
        <w:ind w:left="2083" w:hanging="360"/>
      </w:pPr>
      <w:rPr>
        <w:rFonts w:ascii="Wingdings" w:hAnsi="Wingdings" w:hint="default"/>
      </w:rPr>
    </w:lvl>
    <w:lvl w:ilvl="3" w:tplc="04070001" w:tentative="1">
      <w:start w:val="1"/>
      <w:numFmt w:val="bullet"/>
      <w:lvlText w:val=""/>
      <w:lvlJc w:val="left"/>
      <w:pPr>
        <w:ind w:left="2803" w:hanging="360"/>
      </w:pPr>
      <w:rPr>
        <w:rFonts w:ascii="Symbol" w:hAnsi="Symbol" w:hint="default"/>
      </w:rPr>
    </w:lvl>
    <w:lvl w:ilvl="4" w:tplc="04070003" w:tentative="1">
      <w:start w:val="1"/>
      <w:numFmt w:val="bullet"/>
      <w:lvlText w:val="o"/>
      <w:lvlJc w:val="left"/>
      <w:pPr>
        <w:ind w:left="3523" w:hanging="360"/>
      </w:pPr>
      <w:rPr>
        <w:rFonts w:ascii="Courier New" w:hAnsi="Courier New" w:cs="Courier New" w:hint="default"/>
      </w:rPr>
    </w:lvl>
    <w:lvl w:ilvl="5" w:tplc="04070005" w:tentative="1">
      <w:start w:val="1"/>
      <w:numFmt w:val="bullet"/>
      <w:lvlText w:val=""/>
      <w:lvlJc w:val="left"/>
      <w:pPr>
        <w:ind w:left="4243" w:hanging="360"/>
      </w:pPr>
      <w:rPr>
        <w:rFonts w:ascii="Wingdings" w:hAnsi="Wingdings" w:hint="default"/>
      </w:rPr>
    </w:lvl>
    <w:lvl w:ilvl="6" w:tplc="04070001" w:tentative="1">
      <w:start w:val="1"/>
      <w:numFmt w:val="bullet"/>
      <w:lvlText w:val=""/>
      <w:lvlJc w:val="left"/>
      <w:pPr>
        <w:ind w:left="4963" w:hanging="360"/>
      </w:pPr>
      <w:rPr>
        <w:rFonts w:ascii="Symbol" w:hAnsi="Symbol" w:hint="default"/>
      </w:rPr>
    </w:lvl>
    <w:lvl w:ilvl="7" w:tplc="04070003" w:tentative="1">
      <w:start w:val="1"/>
      <w:numFmt w:val="bullet"/>
      <w:lvlText w:val="o"/>
      <w:lvlJc w:val="left"/>
      <w:pPr>
        <w:ind w:left="5683" w:hanging="360"/>
      </w:pPr>
      <w:rPr>
        <w:rFonts w:ascii="Courier New" w:hAnsi="Courier New" w:cs="Courier New" w:hint="default"/>
      </w:rPr>
    </w:lvl>
    <w:lvl w:ilvl="8" w:tplc="04070005" w:tentative="1">
      <w:start w:val="1"/>
      <w:numFmt w:val="bullet"/>
      <w:lvlText w:val=""/>
      <w:lvlJc w:val="left"/>
      <w:pPr>
        <w:ind w:left="6403" w:hanging="360"/>
      </w:pPr>
      <w:rPr>
        <w:rFonts w:ascii="Wingdings" w:hAnsi="Wingdings" w:hint="default"/>
      </w:rPr>
    </w:lvl>
  </w:abstractNum>
  <w:abstractNum w:abstractNumId="10" w15:restartNumberingAfterBreak="0">
    <w:nsid w:val="0F2C3145"/>
    <w:multiLevelType w:val="hybridMultilevel"/>
    <w:tmpl w:val="E36A0C36"/>
    <w:lvl w:ilvl="0" w:tplc="04070017">
      <w:start w:val="1"/>
      <w:numFmt w:val="lowerLetter"/>
      <w:lvlText w:val="%1)"/>
      <w:lvlJc w:val="left"/>
      <w:pPr>
        <w:ind w:left="360" w:hanging="360"/>
      </w:pPr>
      <w:rPr>
        <w:rFonts w:hint="default"/>
        <w:sz w:val="22"/>
        <w:szCs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1082084B"/>
    <w:multiLevelType w:val="hybridMultilevel"/>
    <w:tmpl w:val="BE12362E"/>
    <w:lvl w:ilvl="0" w:tplc="B574BBBC">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11576899"/>
    <w:multiLevelType w:val="hybridMultilevel"/>
    <w:tmpl w:val="FDEE3D3C"/>
    <w:lvl w:ilvl="0" w:tplc="FF947ECA">
      <w:start w:val="1"/>
      <w:numFmt w:val="bullet"/>
      <w:lvlText w:val="—"/>
      <w:lvlJc w:val="left"/>
      <w:pPr>
        <w:ind w:left="643" w:hanging="360"/>
      </w:pPr>
      <w:rPr>
        <w:rFonts w:ascii="Cambria" w:hAnsi="Cambria" w:hint="default"/>
      </w:rPr>
    </w:lvl>
    <w:lvl w:ilvl="1" w:tplc="04070003" w:tentative="1">
      <w:start w:val="1"/>
      <w:numFmt w:val="bullet"/>
      <w:lvlText w:val="o"/>
      <w:lvlJc w:val="left"/>
      <w:pPr>
        <w:ind w:left="1363" w:hanging="360"/>
      </w:pPr>
      <w:rPr>
        <w:rFonts w:ascii="Courier New" w:hAnsi="Courier New" w:cs="Courier New" w:hint="default"/>
      </w:rPr>
    </w:lvl>
    <w:lvl w:ilvl="2" w:tplc="04070005" w:tentative="1">
      <w:start w:val="1"/>
      <w:numFmt w:val="bullet"/>
      <w:lvlText w:val=""/>
      <w:lvlJc w:val="left"/>
      <w:pPr>
        <w:ind w:left="2083" w:hanging="360"/>
      </w:pPr>
      <w:rPr>
        <w:rFonts w:ascii="Wingdings" w:hAnsi="Wingdings" w:hint="default"/>
      </w:rPr>
    </w:lvl>
    <w:lvl w:ilvl="3" w:tplc="04070001" w:tentative="1">
      <w:start w:val="1"/>
      <w:numFmt w:val="bullet"/>
      <w:lvlText w:val=""/>
      <w:lvlJc w:val="left"/>
      <w:pPr>
        <w:ind w:left="2803" w:hanging="360"/>
      </w:pPr>
      <w:rPr>
        <w:rFonts w:ascii="Symbol" w:hAnsi="Symbol" w:hint="default"/>
      </w:rPr>
    </w:lvl>
    <w:lvl w:ilvl="4" w:tplc="04070003" w:tentative="1">
      <w:start w:val="1"/>
      <w:numFmt w:val="bullet"/>
      <w:lvlText w:val="o"/>
      <w:lvlJc w:val="left"/>
      <w:pPr>
        <w:ind w:left="3523" w:hanging="360"/>
      </w:pPr>
      <w:rPr>
        <w:rFonts w:ascii="Courier New" w:hAnsi="Courier New" w:cs="Courier New" w:hint="default"/>
      </w:rPr>
    </w:lvl>
    <w:lvl w:ilvl="5" w:tplc="04070005" w:tentative="1">
      <w:start w:val="1"/>
      <w:numFmt w:val="bullet"/>
      <w:lvlText w:val=""/>
      <w:lvlJc w:val="left"/>
      <w:pPr>
        <w:ind w:left="4243" w:hanging="360"/>
      </w:pPr>
      <w:rPr>
        <w:rFonts w:ascii="Wingdings" w:hAnsi="Wingdings" w:hint="default"/>
      </w:rPr>
    </w:lvl>
    <w:lvl w:ilvl="6" w:tplc="04070001" w:tentative="1">
      <w:start w:val="1"/>
      <w:numFmt w:val="bullet"/>
      <w:lvlText w:val=""/>
      <w:lvlJc w:val="left"/>
      <w:pPr>
        <w:ind w:left="4963" w:hanging="360"/>
      </w:pPr>
      <w:rPr>
        <w:rFonts w:ascii="Symbol" w:hAnsi="Symbol" w:hint="default"/>
      </w:rPr>
    </w:lvl>
    <w:lvl w:ilvl="7" w:tplc="04070003" w:tentative="1">
      <w:start w:val="1"/>
      <w:numFmt w:val="bullet"/>
      <w:lvlText w:val="o"/>
      <w:lvlJc w:val="left"/>
      <w:pPr>
        <w:ind w:left="5683" w:hanging="360"/>
      </w:pPr>
      <w:rPr>
        <w:rFonts w:ascii="Courier New" w:hAnsi="Courier New" w:cs="Courier New" w:hint="default"/>
      </w:rPr>
    </w:lvl>
    <w:lvl w:ilvl="8" w:tplc="04070005" w:tentative="1">
      <w:start w:val="1"/>
      <w:numFmt w:val="bullet"/>
      <w:lvlText w:val=""/>
      <w:lvlJc w:val="left"/>
      <w:pPr>
        <w:ind w:left="6403" w:hanging="360"/>
      </w:pPr>
      <w:rPr>
        <w:rFonts w:ascii="Wingdings" w:hAnsi="Wingdings" w:hint="default"/>
      </w:rPr>
    </w:lvl>
  </w:abstractNum>
  <w:abstractNum w:abstractNumId="13" w15:restartNumberingAfterBreak="0">
    <w:nsid w:val="18262807"/>
    <w:multiLevelType w:val="hybridMultilevel"/>
    <w:tmpl w:val="80605C70"/>
    <w:lvl w:ilvl="0" w:tplc="FF947ECA">
      <w:start w:val="1"/>
      <w:numFmt w:val="bullet"/>
      <w:lvlText w:val="—"/>
      <w:lvlJc w:val="left"/>
      <w:pPr>
        <w:ind w:left="643" w:hanging="360"/>
      </w:pPr>
      <w:rPr>
        <w:rFonts w:ascii="Cambria" w:hAnsi="Cambria" w:hint="default"/>
      </w:rPr>
    </w:lvl>
    <w:lvl w:ilvl="1" w:tplc="04070003" w:tentative="1">
      <w:start w:val="1"/>
      <w:numFmt w:val="bullet"/>
      <w:lvlText w:val="o"/>
      <w:lvlJc w:val="left"/>
      <w:pPr>
        <w:ind w:left="1363" w:hanging="360"/>
      </w:pPr>
      <w:rPr>
        <w:rFonts w:ascii="Courier New" w:hAnsi="Courier New" w:cs="Courier New" w:hint="default"/>
      </w:rPr>
    </w:lvl>
    <w:lvl w:ilvl="2" w:tplc="04070005" w:tentative="1">
      <w:start w:val="1"/>
      <w:numFmt w:val="bullet"/>
      <w:lvlText w:val=""/>
      <w:lvlJc w:val="left"/>
      <w:pPr>
        <w:ind w:left="2083" w:hanging="360"/>
      </w:pPr>
      <w:rPr>
        <w:rFonts w:ascii="Wingdings" w:hAnsi="Wingdings" w:hint="default"/>
      </w:rPr>
    </w:lvl>
    <w:lvl w:ilvl="3" w:tplc="04070001" w:tentative="1">
      <w:start w:val="1"/>
      <w:numFmt w:val="bullet"/>
      <w:lvlText w:val=""/>
      <w:lvlJc w:val="left"/>
      <w:pPr>
        <w:ind w:left="2803" w:hanging="360"/>
      </w:pPr>
      <w:rPr>
        <w:rFonts w:ascii="Symbol" w:hAnsi="Symbol" w:hint="default"/>
      </w:rPr>
    </w:lvl>
    <w:lvl w:ilvl="4" w:tplc="04070003" w:tentative="1">
      <w:start w:val="1"/>
      <w:numFmt w:val="bullet"/>
      <w:lvlText w:val="o"/>
      <w:lvlJc w:val="left"/>
      <w:pPr>
        <w:ind w:left="3523" w:hanging="360"/>
      </w:pPr>
      <w:rPr>
        <w:rFonts w:ascii="Courier New" w:hAnsi="Courier New" w:cs="Courier New" w:hint="default"/>
      </w:rPr>
    </w:lvl>
    <w:lvl w:ilvl="5" w:tplc="04070005" w:tentative="1">
      <w:start w:val="1"/>
      <w:numFmt w:val="bullet"/>
      <w:lvlText w:val=""/>
      <w:lvlJc w:val="left"/>
      <w:pPr>
        <w:ind w:left="4243" w:hanging="360"/>
      </w:pPr>
      <w:rPr>
        <w:rFonts w:ascii="Wingdings" w:hAnsi="Wingdings" w:hint="default"/>
      </w:rPr>
    </w:lvl>
    <w:lvl w:ilvl="6" w:tplc="04070001" w:tentative="1">
      <w:start w:val="1"/>
      <w:numFmt w:val="bullet"/>
      <w:lvlText w:val=""/>
      <w:lvlJc w:val="left"/>
      <w:pPr>
        <w:ind w:left="4963" w:hanging="360"/>
      </w:pPr>
      <w:rPr>
        <w:rFonts w:ascii="Symbol" w:hAnsi="Symbol" w:hint="default"/>
      </w:rPr>
    </w:lvl>
    <w:lvl w:ilvl="7" w:tplc="04070003" w:tentative="1">
      <w:start w:val="1"/>
      <w:numFmt w:val="bullet"/>
      <w:lvlText w:val="o"/>
      <w:lvlJc w:val="left"/>
      <w:pPr>
        <w:ind w:left="5683" w:hanging="360"/>
      </w:pPr>
      <w:rPr>
        <w:rFonts w:ascii="Courier New" w:hAnsi="Courier New" w:cs="Courier New" w:hint="default"/>
      </w:rPr>
    </w:lvl>
    <w:lvl w:ilvl="8" w:tplc="04070005" w:tentative="1">
      <w:start w:val="1"/>
      <w:numFmt w:val="bullet"/>
      <w:lvlText w:val=""/>
      <w:lvlJc w:val="left"/>
      <w:pPr>
        <w:ind w:left="6403" w:hanging="360"/>
      </w:pPr>
      <w:rPr>
        <w:rFonts w:ascii="Wingdings" w:hAnsi="Wingdings" w:hint="default"/>
      </w:rPr>
    </w:lvl>
  </w:abstractNum>
  <w:abstractNum w:abstractNumId="14" w15:restartNumberingAfterBreak="0">
    <w:nsid w:val="194E096F"/>
    <w:multiLevelType w:val="hybridMultilevel"/>
    <w:tmpl w:val="33A47AD0"/>
    <w:lvl w:ilvl="0" w:tplc="04070017">
      <w:start w:val="1"/>
      <w:numFmt w:val="lowerLetter"/>
      <w:lvlText w:val="%1)"/>
      <w:lvlJc w:val="left"/>
      <w:pPr>
        <w:ind w:left="360" w:hanging="360"/>
      </w:pPr>
      <w:rPr>
        <w:rFonts w:hint="default"/>
        <w:sz w:val="22"/>
        <w:szCs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1ADE6DB4"/>
    <w:multiLevelType w:val="hybridMultilevel"/>
    <w:tmpl w:val="D3888A54"/>
    <w:lvl w:ilvl="0" w:tplc="04070017">
      <w:start w:val="1"/>
      <w:numFmt w:val="lowerLetter"/>
      <w:lvlText w:val="%1)"/>
      <w:lvlJc w:val="left"/>
      <w:pPr>
        <w:ind w:left="360" w:hanging="360"/>
      </w:pPr>
      <w:rPr>
        <w:rFonts w:hint="default"/>
        <w:sz w:val="22"/>
        <w:szCs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1C5A6462"/>
    <w:multiLevelType w:val="hybridMultilevel"/>
    <w:tmpl w:val="A8C03DC4"/>
    <w:lvl w:ilvl="0" w:tplc="04070017">
      <w:start w:val="1"/>
      <w:numFmt w:val="lowerLetter"/>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2142211B"/>
    <w:multiLevelType w:val="hybridMultilevel"/>
    <w:tmpl w:val="989AED1E"/>
    <w:lvl w:ilvl="0" w:tplc="04070017">
      <w:start w:val="1"/>
      <w:numFmt w:val="lowerLetter"/>
      <w:lvlText w:val="%1)"/>
      <w:lvlJc w:val="left"/>
      <w:pPr>
        <w:ind w:left="360" w:hanging="360"/>
      </w:pPr>
      <w:rPr>
        <w:rFonts w:hint="default"/>
        <w:sz w:val="22"/>
        <w:szCs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215564EF"/>
    <w:multiLevelType w:val="hybridMultilevel"/>
    <w:tmpl w:val="C63C7828"/>
    <w:lvl w:ilvl="0" w:tplc="04070017">
      <w:start w:val="1"/>
      <w:numFmt w:val="lowerLetter"/>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242E2C26"/>
    <w:multiLevelType w:val="hybridMultilevel"/>
    <w:tmpl w:val="BA8047A6"/>
    <w:lvl w:ilvl="0" w:tplc="04070017">
      <w:start w:val="1"/>
      <w:numFmt w:val="lowerLetter"/>
      <w:lvlText w:val="%1)"/>
      <w:lvlJc w:val="left"/>
      <w:pPr>
        <w:ind w:left="360" w:hanging="360"/>
      </w:pPr>
      <w:rPr>
        <w:rFonts w:hint="default"/>
        <w:sz w:val="22"/>
        <w:szCs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246E4574"/>
    <w:multiLevelType w:val="hybridMultilevel"/>
    <w:tmpl w:val="769A96F8"/>
    <w:lvl w:ilvl="0" w:tplc="04070017">
      <w:start w:val="1"/>
      <w:numFmt w:val="lowerLetter"/>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252E14BB"/>
    <w:multiLevelType w:val="hybridMultilevel"/>
    <w:tmpl w:val="047082B8"/>
    <w:lvl w:ilvl="0" w:tplc="04070017">
      <w:start w:val="1"/>
      <w:numFmt w:val="lowerLetter"/>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257353BA"/>
    <w:multiLevelType w:val="multilevel"/>
    <w:tmpl w:val="D57CA010"/>
    <w:lvl w:ilvl="0">
      <w:start w:val="25"/>
      <w:numFmt w:val="decimal"/>
      <w:pStyle w:val="Equation"/>
      <w:suff w:val="space"/>
      <w:lvlText w:val="(5.%1)"/>
      <w:lvlJc w:val="left"/>
      <w:pPr>
        <w:ind w:left="0" w:firstLine="0"/>
      </w:pPr>
      <w:rPr>
        <w:rFonts w:hint="default"/>
      </w:rPr>
    </w:lvl>
    <w:lvl w:ilvl="1">
      <w:start w:val="1"/>
      <w:numFmt w:val="decimal"/>
      <w:lvlText w:val="7.%1.%2."/>
      <w:lvlJc w:val="left"/>
      <w:pPr>
        <w:tabs>
          <w:tab w:val="num" w:pos="1077"/>
        </w:tabs>
        <w:ind w:left="1440" w:hanging="1440"/>
      </w:pPr>
      <w:rPr>
        <w:rFonts w:hint="default"/>
      </w:rPr>
    </w:lvl>
    <w:lvl w:ilvl="2">
      <w:start w:val="1"/>
      <w:numFmt w:val="decimal"/>
      <w:lvlText w:val="7.%2.%1.%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27CC7650"/>
    <w:multiLevelType w:val="hybridMultilevel"/>
    <w:tmpl w:val="41769DC8"/>
    <w:lvl w:ilvl="0" w:tplc="B574BBB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8C7032B"/>
    <w:multiLevelType w:val="hybridMultilevel"/>
    <w:tmpl w:val="91F4D0A6"/>
    <w:lvl w:ilvl="0" w:tplc="2ACA11C2">
      <w:start w:val="1"/>
      <w:numFmt w:val="bullet"/>
      <w:pStyle w:val="a0"/>
      <w:lvlText w:val="—"/>
      <w:lvlJc w:val="left"/>
      <w:pPr>
        <w:ind w:left="4896" w:hanging="360"/>
      </w:pPr>
      <w:rPr>
        <w:rFonts w:ascii="Cambria" w:hAnsi="Cambria" w:hint="default"/>
        <w:sz w:val="22"/>
        <w:szCs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298639A8"/>
    <w:multiLevelType w:val="hybridMultilevel"/>
    <w:tmpl w:val="B656957C"/>
    <w:lvl w:ilvl="0" w:tplc="23DE7DC2">
      <w:start w:val="1"/>
      <w:numFmt w:val="upperRoman"/>
      <w:pStyle w:val="40"/>
      <w:lvlText w:val="%1."/>
      <w:lvlJc w:val="right"/>
      <w:pPr>
        <w:ind w:left="1209" w:hanging="360"/>
      </w:pPr>
    </w:lvl>
    <w:lvl w:ilvl="1" w:tplc="08090019" w:tentative="1">
      <w:start w:val="1"/>
      <w:numFmt w:val="lowerLetter"/>
      <w:lvlText w:val="%2."/>
      <w:lvlJc w:val="left"/>
      <w:pPr>
        <w:ind w:left="1929" w:hanging="360"/>
      </w:pPr>
    </w:lvl>
    <w:lvl w:ilvl="2" w:tplc="0809001B" w:tentative="1">
      <w:start w:val="1"/>
      <w:numFmt w:val="lowerRoman"/>
      <w:lvlText w:val="%3."/>
      <w:lvlJc w:val="right"/>
      <w:pPr>
        <w:ind w:left="2649" w:hanging="180"/>
      </w:pPr>
    </w:lvl>
    <w:lvl w:ilvl="3" w:tplc="0809000F" w:tentative="1">
      <w:start w:val="1"/>
      <w:numFmt w:val="decimal"/>
      <w:lvlText w:val="%4."/>
      <w:lvlJc w:val="left"/>
      <w:pPr>
        <w:ind w:left="3369" w:hanging="360"/>
      </w:pPr>
    </w:lvl>
    <w:lvl w:ilvl="4" w:tplc="08090019" w:tentative="1">
      <w:start w:val="1"/>
      <w:numFmt w:val="lowerLetter"/>
      <w:lvlText w:val="%5."/>
      <w:lvlJc w:val="left"/>
      <w:pPr>
        <w:ind w:left="4089" w:hanging="360"/>
      </w:pPr>
    </w:lvl>
    <w:lvl w:ilvl="5" w:tplc="0809001B" w:tentative="1">
      <w:start w:val="1"/>
      <w:numFmt w:val="lowerRoman"/>
      <w:lvlText w:val="%6."/>
      <w:lvlJc w:val="right"/>
      <w:pPr>
        <w:ind w:left="4809" w:hanging="180"/>
      </w:pPr>
    </w:lvl>
    <w:lvl w:ilvl="6" w:tplc="0809000F" w:tentative="1">
      <w:start w:val="1"/>
      <w:numFmt w:val="decimal"/>
      <w:lvlText w:val="%7."/>
      <w:lvlJc w:val="left"/>
      <w:pPr>
        <w:ind w:left="5529" w:hanging="360"/>
      </w:pPr>
    </w:lvl>
    <w:lvl w:ilvl="7" w:tplc="08090019" w:tentative="1">
      <w:start w:val="1"/>
      <w:numFmt w:val="lowerLetter"/>
      <w:lvlText w:val="%8."/>
      <w:lvlJc w:val="left"/>
      <w:pPr>
        <w:ind w:left="6249" w:hanging="360"/>
      </w:pPr>
    </w:lvl>
    <w:lvl w:ilvl="8" w:tplc="0809001B" w:tentative="1">
      <w:start w:val="1"/>
      <w:numFmt w:val="lowerRoman"/>
      <w:lvlText w:val="%9."/>
      <w:lvlJc w:val="right"/>
      <w:pPr>
        <w:ind w:left="6969" w:hanging="180"/>
      </w:pPr>
    </w:lvl>
  </w:abstractNum>
  <w:abstractNum w:abstractNumId="26" w15:restartNumberingAfterBreak="0">
    <w:nsid w:val="2AC87AE2"/>
    <w:multiLevelType w:val="hybridMultilevel"/>
    <w:tmpl w:val="E1C03E94"/>
    <w:lvl w:ilvl="0" w:tplc="FF947ECA">
      <w:start w:val="1"/>
      <w:numFmt w:val="bullet"/>
      <w:lvlText w:val="—"/>
      <w:lvlJc w:val="left"/>
      <w:pPr>
        <w:ind w:left="643" w:hanging="360"/>
      </w:pPr>
      <w:rPr>
        <w:rFonts w:ascii="Cambria" w:hAnsi="Cambria" w:hint="default"/>
      </w:rPr>
    </w:lvl>
    <w:lvl w:ilvl="1" w:tplc="04070003" w:tentative="1">
      <w:start w:val="1"/>
      <w:numFmt w:val="bullet"/>
      <w:lvlText w:val="o"/>
      <w:lvlJc w:val="left"/>
      <w:pPr>
        <w:ind w:left="1363" w:hanging="360"/>
      </w:pPr>
      <w:rPr>
        <w:rFonts w:ascii="Courier New" w:hAnsi="Courier New" w:cs="Courier New" w:hint="default"/>
      </w:rPr>
    </w:lvl>
    <w:lvl w:ilvl="2" w:tplc="04070005" w:tentative="1">
      <w:start w:val="1"/>
      <w:numFmt w:val="bullet"/>
      <w:lvlText w:val=""/>
      <w:lvlJc w:val="left"/>
      <w:pPr>
        <w:ind w:left="2083" w:hanging="360"/>
      </w:pPr>
      <w:rPr>
        <w:rFonts w:ascii="Wingdings" w:hAnsi="Wingdings" w:hint="default"/>
      </w:rPr>
    </w:lvl>
    <w:lvl w:ilvl="3" w:tplc="04070001" w:tentative="1">
      <w:start w:val="1"/>
      <w:numFmt w:val="bullet"/>
      <w:lvlText w:val=""/>
      <w:lvlJc w:val="left"/>
      <w:pPr>
        <w:ind w:left="2803" w:hanging="360"/>
      </w:pPr>
      <w:rPr>
        <w:rFonts w:ascii="Symbol" w:hAnsi="Symbol" w:hint="default"/>
      </w:rPr>
    </w:lvl>
    <w:lvl w:ilvl="4" w:tplc="04070003" w:tentative="1">
      <w:start w:val="1"/>
      <w:numFmt w:val="bullet"/>
      <w:lvlText w:val="o"/>
      <w:lvlJc w:val="left"/>
      <w:pPr>
        <w:ind w:left="3523" w:hanging="360"/>
      </w:pPr>
      <w:rPr>
        <w:rFonts w:ascii="Courier New" w:hAnsi="Courier New" w:cs="Courier New" w:hint="default"/>
      </w:rPr>
    </w:lvl>
    <w:lvl w:ilvl="5" w:tplc="04070005" w:tentative="1">
      <w:start w:val="1"/>
      <w:numFmt w:val="bullet"/>
      <w:lvlText w:val=""/>
      <w:lvlJc w:val="left"/>
      <w:pPr>
        <w:ind w:left="4243" w:hanging="360"/>
      </w:pPr>
      <w:rPr>
        <w:rFonts w:ascii="Wingdings" w:hAnsi="Wingdings" w:hint="default"/>
      </w:rPr>
    </w:lvl>
    <w:lvl w:ilvl="6" w:tplc="04070001" w:tentative="1">
      <w:start w:val="1"/>
      <w:numFmt w:val="bullet"/>
      <w:lvlText w:val=""/>
      <w:lvlJc w:val="left"/>
      <w:pPr>
        <w:ind w:left="4963" w:hanging="360"/>
      </w:pPr>
      <w:rPr>
        <w:rFonts w:ascii="Symbol" w:hAnsi="Symbol" w:hint="default"/>
      </w:rPr>
    </w:lvl>
    <w:lvl w:ilvl="7" w:tplc="04070003" w:tentative="1">
      <w:start w:val="1"/>
      <w:numFmt w:val="bullet"/>
      <w:lvlText w:val="o"/>
      <w:lvlJc w:val="left"/>
      <w:pPr>
        <w:ind w:left="5683" w:hanging="360"/>
      </w:pPr>
      <w:rPr>
        <w:rFonts w:ascii="Courier New" w:hAnsi="Courier New" w:cs="Courier New" w:hint="default"/>
      </w:rPr>
    </w:lvl>
    <w:lvl w:ilvl="8" w:tplc="04070005" w:tentative="1">
      <w:start w:val="1"/>
      <w:numFmt w:val="bullet"/>
      <w:lvlText w:val=""/>
      <w:lvlJc w:val="left"/>
      <w:pPr>
        <w:ind w:left="6403" w:hanging="360"/>
      </w:pPr>
      <w:rPr>
        <w:rFonts w:ascii="Wingdings" w:hAnsi="Wingdings" w:hint="default"/>
      </w:rPr>
    </w:lvl>
  </w:abstractNum>
  <w:abstractNum w:abstractNumId="27" w15:restartNumberingAfterBreak="0">
    <w:nsid w:val="2BFD3689"/>
    <w:multiLevelType w:val="hybridMultilevel"/>
    <w:tmpl w:val="508C63E2"/>
    <w:lvl w:ilvl="0" w:tplc="30EE7252">
      <w:start w:val="1"/>
      <w:numFmt w:val="lowerRoman"/>
      <w:pStyle w:val="30"/>
      <w:lvlText w:val="%1."/>
      <w:lvlJc w:val="right"/>
      <w:pPr>
        <w:ind w:left="926" w:hanging="360"/>
      </w:pPr>
    </w:lvl>
    <w:lvl w:ilvl="1" w:tplc="08090019" w:tentative="1">
      <w:start w:val="1"/>
      <w:numFmt w:val="lowerLetter"/>
      <w:lvlText w:val="%2."/>
      <w:lvlJc w:val="left"/>
      <w:pPr>
        <w:ind w:left="1646" w:hanging="360"/>
      </w:pPr>
    </w:lvl>
    <w:lvl w:ilvl="2" w:tplc="0809001B" w:tentative="1">
      <w:start w:val="1"/>
      <w:numFmt w:val="lowerRoman"/>
      <w:lvlText w:val="%3."/>
      <w:lvlJc w:val="right"/>
      <w:pPr>
        <w:ind w:left="2366" w:hanging="180"/>
      </w:pPr>
    </w:lvl>
    <w:lvl w:ilvl="3" w:tplc="0809000F" w:tentative="1">
      <w:start w:val="1"/>
      <w:numFmt w:val="decimal"/>
      <w:lvlText w:val="%4."/>
      <w:lvlJc w:val="left"/>
      <w:pPr>
        <w:ind w:left="3086" w:hanging="360"/>
      </w:pPr>
    </w:lvl>
    <w:lvl w:ilvl="4" w:tplc="08090019" w:tentative="1">
      <w:start w:val="1"/>
      <w:numFmt w:val="lowerLetter"/>
      <w:lvlText w:val="%5."/>
      <w:lvlJc w:val="left"/>
      <w:pPr>
        <w:ind w:left="3806" w:hanging="360"/>
      </w:pPr>
    </w:lvl>
    <w:lvl w:ilvl="5" w:tplc="0809001B" w:tentative="1">
      <w:start w:val="1"/>
      <w:numFmt w:val="lowerRoman"/>
      <w:lvlText w:val="%6."/>
      <w:lvlJc w:val="right"/>
      <w:pPr>
        <w:ind w:left="4526" w:hanging="180"/>
      </w:pPr>
    </w:lvl>
    <w:lvl w:ilvl="6" w:tplc="0809000F" w:tentative="1">
      <w:start w:val="1"/>
      <w:numFmt w:val="decimal"/>
      <w:lvlText w:val="%7."/>
      <w:lvlJc w:val="left"/>
      <w:pPr>
        <w:ind w:left="5246" w:hanging="360"/>
      </w:pPr>
    </w:lvl>
    <w:lvl w:ilvl="7" w:tplc="08090019" w:tentative="1">
      <w:start w:val="1"/>
      <w:numFmt w:val="lowerLetter"/>
      <w:lvlText w:val="%8."/>
      <w:lvlJc w:val="left"/>
      <w:pPr>
        <w:ind w:left="5966" w:hanging="360"/>
      </w:pPr>
    </w:lvl>
    <w:lvl w:ilvl="8" w:tplc="0809001B" w:tentative="1">
      <w:start w:val="1"/>
      <w:numFmt w:val="lowerRoman"/>
      <w:lvlText w:val="%9."/>
      <w:lvlJc w:val="right"/>
      <w:pPr>
        <w:ind w:left="6686" w:hanging="180"/>
      </w:pPr>
    </w:lvl>
  </w:abstractNum>
  <w:abstractNum w:abstractNumId="28" w15:restartNumberingAfterBreak="0">
    <w:nsid w:val="2E425486"/>
    <w:multiLevelType w:val="multilevel"/>
    <w:tmpl w:val="F5A0C378"/>
    <w:lvl w:ilvl="0">
      <w:start w:val="1"/>
      <w:numFmt w:val="upperLetter"/>
      <w:pStyle w:val="Literaturverzeichnis1"/>
      <w:suff w:val="nothing"/>
      <w:lvlText w:val="Annexe Z%1"/>
      <w:lvlJc w:val="left"/>
      <w:pPr>
        <w:ind w:left="0" w:firstLine="0"/>
      </w:pPr>
      <w:rPr>
        <w:b/>
        <w:i w:val="0"/>
      </w:r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29" w15:restartNumberingAfterBreak="0">
    <w:nsid w:val="310414C3"/>
    <w:multiLevelType w:val="hybridMultilevel"/>
    <w:tmpl w:val="2A8A5960"/>
    <w:lvl w:ilvl="0" w:tplc="1EAE3AF6">
      <w:start w:val="1"/>
      <w:numFmt w:val="decimal"/>
      <w:pStyle w:val="20"/>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30" w15:restartNumberingAfterBreak="0">
    <w:nsid w:val="33AC7EB8"/>
    <w:multiLevelType w:val="multilevel"/>
    <w:tmpl w:val="42BA2834"/>
    <w:lvl w:ilvl="0">
      <w:start w:val="1"/>
      <w:numFmt w:val="decimal"/>
      <w:pStyle w:val="1"/>
      <w:lvlText w:val="%1"/>
      <w:lvlJc w:val="left"/>
      <w:pPr>
        <w:tabs>
          <w:tab w:val="num" w:pos="432"/>
        </w:tabs>
        <w:ind w:left="403" w:hanging="403"/>
      </w:pPr>
      <w:rPr>
        <w:rFonts w:hint="default"/>
        <w:b/>
        <w:i w:val="0"/>
      </w:rPr>
    </w:lvl>
    <w:lvl w:ilvl="1">
      <w:start w:val="1"/>
      <w:numFmt w:val="decimal"/>
      <w:pStyle w:val="21"/>
      <w:lvlText w:val="%1.%2"/>
      <w:lvlJc w:val="left"/>
      <w:pPr>
        <w:tabs>
          <w:tab w:val="num" w:pos="360"/>
        </w:tabs>
        <w:ind w:left="539" w:hanging="539"/>
      </w:pPr>
      <w:rPr>
        <w:rFonts w:hint="default"/>
        <w:b/>
        <w:i w:val="0"/>
      </w:rPr>
    </w:lvl>
    <w:lvl w:ilvl="2">
      <w:start w:val="1"/>
      <w:numFmt w:val="decimal"/>
      <w:pStyle w:val="31"/>
      <w:lvlText w:val="%1.%2.%3"/>
      <w:lvlJc w:val="left"/>
      <w:pPr>
        <w:tabs>
          <w:tab w:val="num" w:pos="720"/>
        </w:tabs>
        <w:ind w:left="658" w:hanging="658"/>
      </w:pPr>
      <w:rPr>
        <w:rFonts w:hint="default"/>
        <w:b/>
        <w:i w:val="0"/>
      </w:rPr>
    </w:lvl>
    <w:lvl w:ilvl="3">
      <w:start w:val="1"/>
      <w:numFmt w:val="decimal"/>
      <w:pStyle w:val="41"/>
      <w:lvlText w:val="%1.%2.%3.%4"/>
      <w:lvlJc w:val="left"/>
      <w:pPr>
        <w:tabs>
          <w:tab w:val="num" w:pos="1080"/>
        </w:tabs>
        <w:ind w:left="941" w:hanging="941"/>
      </w:pPr>
      <w:rPr>
        <w:rFonts w:hint="default"/>
        <w:b/>
        <w:i w:val="0"/>
      </w:rPr>
    </w:lvl>
    <w:lvl w:ilvl="4">
      <w:start w:val="1"/>
      <w:numFmt w:val="decimal"/>
      <w:pStyle w:val="51"/>
      <w:lvlText w:val="%1.%2.%3.%4.%5"/>
      <w:lvlJc w:val="left"/>
      <w:pPr>
        <w:tabs>
          <w:tab w:val="num" w:pos="1080"/>
        </w:tabs>
        <w:ind w:left="1077" w:hanging="1077"/>
      </w:pPr>
      <w:rPr>
        <w:rFonts w:hint="default"/>
        <w:b/>
        <w:i w:val="0"/>
      </w:rPr>
    </w:lvl>
    <w:lvl w:ilvl="5">
      <w:start w:val="1"/>
      <w:numFmt w:val="decimal"/>
      <w:pStyle w:val="6"/>
      <w:lvlText w:val="%1.%2.%3.%4.%5.%6"/>
      <w:lvlJc w:val="left"/>
      <w:pPr>
        <w:tabs>
          <w:tab w:val="num" w:pos="1440"/>
        </w:tabs>
        <w:ind w:left="1191" w:hanging="1191"/>
      </w:pPr>
      <w:rPr>
        <w:rFonts w:hint="default"/>
        <w:b/>
        <w:i w:val="0"/>
      </w:rPr>
    </w:lvl>
    <w:lvl w:ilvl="6">
      <w:start w:val="1"/>
      <w:numFmt w:val="decimal"/>
      <w:pStyle w:val="7"/>
      <w:lvlText w:val="%1.%2.%3.%4.%5.%6.%7"/>
      <w:lvlJc w:val="left"/>
      <w:pPr>
        <w:tabs>
          <w:tab w:val="num" w:pos="1440"/>
        </w:tabs>
        <w:ind w:left="1304" w:hanging="1304"/>
      </w:pPr>
      <w:rPr>
        <w:rFonts w:hint="default"/>
      </w:rPr>
    </w:lvl>
    <w:lvl w:ilvl="7">
      <w:start w:val="1"/>
      <w:numFmt w:val="decimal"/>
      <w:pStyle w:val="8"/>
      <w:lvlText w:val="%1.%2.%3.%4.%5.%6.%7.%8"/>
      <w:lvlJc w:val="left"/>
      <w:pPr>
        <w:tabs>
          <w:tab w:val="num" w:pos="1800"/>
        </w:tabs>
        <w:ind w:left="1418" w:hanging="1418"/>
      </w:pPr>
      <w:rPr>
        <w:rFonts w:hint="default"/>
      </w:rPr>
    </w:lvl>
    <w:lvl w:ilvl="8">
      <w:start w:val="1"/>
      <w:numFmt w:val="decimal"/>
      <w:pStyle w:val="9"/>
      <w:lvlText w:val="%1.%2.%3.%4.%5.%6.%7.%8.%9"/>
      <w:lvlJc w:val="left"/>
      <w:pPr>
        <w:tabs>
          <w:tab w:val="num" w:pos="1800"/>
        </w:tabs>
        <w:ind w:left="1531" w:hanging="1531"/>
      </w:pPr>
      <w:rPr>
        <w:rFonts w:hint="default"/>
      </w:rPr>
    </w:lvl>
  </w:abstractNum>
  <w:abstractNum w:abstractNumId="31" w15:restartNumberingAfterBreak="0">
    <w:nsid w:val="38746DA5"/>
    <w:multiLevelType w:val="hybridMultilevel"/>
    <w:tmpl w:val="337C71E4"/>
    <w:lvl w:ilvl="0" w:tplc="04070017">
      <w:start w:val="1"/>
      <w:numFmt w:val="lowerLetter"/>
      <w:lvlText w:val="%1)"/>
      <w:lvlJc w:val="left"/>
      <w:pPr>
        <w:ind w:left="360" w:hanging="360"/>
      </w:pPr>
      <w:rPr>
        <w:rFonts w:hint="default"/>
        <w:sz w:val="22"/>
        <w:szCs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38E44B1D"/>
    <w:multiLevelType w:val="hybridMultilevel"/>
    <w:tmpl w:val="D9982FC4"/>
    <w:lvl w:ilvl="0" w:tplc="04070017">
      <w:start w:val="1"/>
      <w:numFmt w:val="lowerLetter"/>
      <w:lvlText w:val="%1)"/>
      <w:lvlJc w:val="left"/>
      <w:pPr>
        <w:ind w:left="360" w:hanging="360"/>
      </w:pPr>
      <w:rPr>
        <w:rFonts w:hint="default"/>
        <w:sz w:val="22"/>
        <w:szCs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3CAA10E3"/>
    <w:multiLevelType w:val="hybridMultilevel"/>
    <w:tmpl w:val="2948201C"/>
    <w:lvl w:ilvl="0" w:tplc="B574BBBC">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4" w15:restartNumberingAfterBreak="0">
    <w:nsid w:val="4015390E"/>
    <w:multiLevelType w:val="multilevel"/>
    <w:tmpl w:val="A020967A"/>
    <w:lvl w:ilvl="0">
      <w:start w:val="1"/>
      <w:numFmt w:val="decimal"/>
      <w:pStyle w:val="Formel"/>
      <w:suff w:val="nothing"/>
      <w:lvlText w:val="(B.%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42CA05C3"/>
    <w:multiLevelType w:val="multilevel"/>
    <w:tmpl w:val="F0021BF6"/>
    <w:lvl w:ilvl="0">
      <w:start w:val="1"/>
      <w:numFmt w:val="upperLetter"/>
      <w:pStyle w:val="ANNEXZ"/>
      <w:suff w:val="nothing"/>
      <w:lvlText w:val="Annex Z%1"/>
      <w:lvlJc w:val="left"/>
      <w:pPr>
        <w:ind w:left="0" w:firstLine="0"/>
      </w:pPr>
      <w:rPr>
        <w:rFonts w:ascii="Cambria" w:hAnsi="Cambria"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za2"/>
      <w:lvlText w:val="Z%1.%2"/>
      <w:lvlJc w:val="left"/>
      <w:pPr>
        <w:tabs>
          <w:tab w:val="num" w:pos="0"/>
        </w:tabs>
        <w:ind w:left="0" w:firstLine="0"/>
      </w:pPr>
      <w:rPr>
        <w:rFonts w:ascii="Cambria" w:hAnsi="Cambria"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za3"/>
      <w:lvlText w:val="Z%1.%2.%3"/>
      <w:lvlJc w:val="left"/>
      <w:pPr>
        <w:tabs>
          <w:tab w:val="num" w:pos="794"/>
        </w:tabs>
        <w:ind w:left="0" w:firstLine="0"/>
      </w:pPr>
      <w:rPr>
        <w:rFonts w:ascii="Cambria" w:hAnsi="Cambria"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za4"/>
      <w:lvlText w:val="Z%1.%2.%3.%4"/>
      <w:lvlJc w:val="left"/>
      <w:pPr>
        <w:tabs>
          <w:tab w:val="num" w:pos="1080"/>
        </w:tabs>
        <w:ind w:left="0" w:firstLine="0"/>
      </w:pPr>
      <w:rPr>
        <w:rFonts w:ascii="Cambria" w:hAnsi="Cambria"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za5"/>
      <w:lvlText w:val="Z%1.%2.%3.%4.%5"/>
      <w:lvlJc w:val="left"/>
      <w:pPr>
        <w:tabs>
          <w:tab w:val="num" w:pos="1080"/>
        </w:tabs>
        <w:ind w:left="0" w:firstLine="0"/>
      </w:pPr>
      <w:rPr>
        <w:rFonts w:ascii="Cambria" w:hAnsi="Cambria"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za6"/>
      <w:lvlText w:val="Z%1.%2.%3.%4.%5.%6"/>
      <w:lvlJc w:val="left"/>
      <w:pPr>
        <w:tabs>
          <w:tab w:val="num" w:pos="1440"/>
        </w:tabs>
        <w:ind w:left="0" w:firstLine="0"/>
      </w:pPr>
      <w:rPr>
        <w:rFonts w:ascii="Cambria" w:hAnsi="Cambria"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36" w15:restartNumberingAfterBreak="0">
    <w:nsid w:val="47070EF4"/>
    <w:multiLevelType w:val="hybridMultilevel"/>
    <w:tmpl w:val="AADC2978"/>
    <w:lvl w:ilvl="0" w:tplc="04070017">
      <w:start w:val="1"/>
      <w:numFmt w:val="lowerLetter"/>
      <w:lvlText w:val="%1)"/>
      <w:lvlJc w:val="left"/>
      <w:pPr>
        <w:ind w:left="360" w:hanging="360"/>
      </w:pPr>
      <w:rPr>
        <w:rFonts w:hint="default"/>
        <w:sz w:val="22"/>
        <w:szCs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15:restartNumberingAfterBreak="0">
    <w:nsid w:val="48B762AC"/>
    <w:multiLevelType w:val="hybridMultilevel"/>
    <w:tmpl w:val="579088D0"/>
    <w:lvl w:ilvl="0" w:tplc="04070017">
      <w:start w:val="1"/>
      <w:numFmt w:val="lowerLetter"/>
      <w:lvlText w:val="%1)"/>
      <w:lvlJc w:val="left"/>
      <w:pPr>
        <w:ind w:left="360" w:hanging="360"/>
      </w:pPr>
      <w:rPr>
        <w:rFonts w:hint="default"/>
        <w:sz w:val="22"/>
        <w:szCs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4A741BB9"/>
    <w:multiLevelType w:val="hybridMultilevel"/>
    <w:tmpl w:val="8E860E64"/>
    <w:lvl w:ilvl="0" w:tplc="FF947ECA">
      <w:start w:val="1"/>
      <w:numFmt w:val="bullet"/>
      <w:lvlText w:val="—"/>
      <w:lvlJc w:val="left"/>
      <w:pPr>
        <w:ind w:left="643" w:hanging="360"/>
      </w:pPr>
      <w:rPr>
        <w:rFonts w:ascii="Cambria" w:hAnsi="Cambria" w:hint="default"/>
      </w:rPr>
    </w:lvl>
    <w:lvl w:ilvl="1" w:tplc="04070003" w:tentative="1">
      <w:start w:val="1"/>
      <w:numFmt w:val="bullet"/>
      <w:lvlText w:val="o"/>
      <w:lvlJc w:val="left"/>
      <w:pPr>
        <w:ind w:left="1363" w:hanging="360"/>
      </w:pPr>
      <w:rPr>
        <w:rFonts w:ascii="Courier New" w:hAnsi="Courier New" w:cs="Courier New" w:hint="default"/>
      </w:rPr>
    </w:lvl>
    <w:lvl w:ilvl="2" w:tplc="04070005" w:tentative="1">
      <w:start w:val="1"/>
      <w:numFmt w:val="bullet"/>
      <w:lvlText w:val=""/>
      <w:lvlJc w:val="left"/>
      <w:pPr>
        <w:ind w:left="2083" w:hanging="360"/>
      </w:pPr>
      <w:rPr>
        <w:rFonts w:ascii="Wingdings" w:hAnsi="Wingdings" w:hint="default"/>
      </w:rPr>
    </w:lvl>
    <w:lvl w:ilvl="3" w:tplc="04070001" w:tentative="1">
      <w:start w:val="1"/>
      <w:numFmt w:val="bullet"/>
      <w:lvlText w:val=""/>
      <w:lvlJc w:val="left"/>
      <w:pPr>
        <w:ind w:left="2803" w:hanging="360"/>
      </w:pPr>
      <w:rPr>
        <w:rFonts w:ascii="Symbol" w:hAnsi="Symbol" w:hint="default"/>
      </w:rPr>
    </w:lvl>
    <w:lvl w:ilvl="4" w:tplc="04070003" w:tentative="1">
      <w:start w:val="1"/>
      <w:numFmt w:val="bullet"/>
      <w:lvlText w:val="o"/>
      <w:lvlJc w:val="left"/>
      <w:pPr>
        <w:ind w:left="3523" w:hanging="360"/>
      </w:pPr>
      <w:rPr>
        <w:rFonts w:ascii="Courier New" w:hAnsi="Courier New" w:cs="Courier New" w:hint="default"/>
      </w:rPr>
    </w:lvl>
    <w:lvl w:ilvl="5" w:tplc="04070005" w:tentative="1">
      <w:start w:val="1"/>
      <w:numFmt w:val="bullet"/>
      <w:lvlText w:val=""/>
      <w:lvlJc w:val="left"/>
      <w:pPr>
        <w:ind w:left="4243" w:hanging="360"/>
      </w:pPr>
      <w:rPr>
        <w:rFonts w:ascii="Wingdings" w:hAnsi="Wingdings" w:hint="default"/>
      </w:rPr>
    </w:lvl>
    <w:lvl w:ilvl="6" w:tplc="04070001" w:tentative="1">
      <w:start w:val="1"/>
      <w:numFmt w:val="bullet"/>
      <w:lvlText w:val=""/>
      <w:lvlJc w:val="left"/>
      <w:pPr>
        <w:ind w:left="4963" w:hanging="360"/>
      </w:pPr>
      <w:rPr>
        <w:rFonts w:ascii="Symbol" w:hAnsi="Symbol" w:hint="default"/>
      </w:rPr>
    </w:lvl>
    <w:lvl w:ilvl="7" w:tplc="04070003" w:tentative="1">
      <w:start w:val="1"/>
      <w:numFmt w:val="bullet"/>
      <w:lvlText w:val="o"/>
      <w:lvlJc w:val="left"/>
      <w:pPr>
        <w:ind w:left="5683" w:hanging="360"/>
      </w:pPr>
      <w:rPr>
        <w:rFonts w:ascii="Courier New" w:hAnsi="Courier New" w:cs="Courier New" w:hint="default"/>
      </w:rPr>
    </w:lvl>
    <w:lvl w:ilvl="8" w:tplc="04070005" w:tentative="1">
      <w:start w:val="1"/>
      <w:numFmt w:val="bullet"/>
      <w:lvlText w:val=""/>
      <w:lvlJc w:val="left"/>
      <w:pPr>
        <w:ind w:left="6403" w:hanging="360"/>
      </w:pPr>
      <w:rPr>
        <w:rFonts w:ascii="Wingdings" w:hAnsi="Wingdings" w:hint="default"/>
      </w:rPr>
    </w:lvl>
  </w:abstractNum>
  <w:abstractNum w:abstractNumId="39" w15:restartNumberingAfterBreak="0">
    <w:nsid w:val="4AAD1213"/>
    <w:multiLevelType w:val="hybridMultilevel"/>
    <w:tmpl w:val="1BCA99CA"/>
    <w:lvl w:ilvl="0" w:tplc="04070017">
      <w:start w:val="1"/>
      <w:numFmt w:val="lowerLetter"/>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 w15:restartNumberingAfterBreak="0">
    <w:nsid w:val="4EAF5FAE"/>
    <w:multiLevelType w:val="hybridMultilevel"/>
    <w:tmpl w:val="AE4874CC"/>
    <w:lvl w:ilvl="0" w:tplc="FF947ECA">
      <w:start w:val="1"/>
      <w:numFmt w:val="bullet"/>
      <w:lvlText w:val="—"/>
      <w:lvlJc w:val="left"/>
      <w:pPr>
        <w:ind w:left="643" w:hanging="360"/>
      </w:pPr>
      <w:rPr>
        <w:rFonts w:ascii="Cambria" w:hAnsi="Cambria" w:hint="default"/>
      </w:rPr>
    </w:lvl>
    <w:lvl w:ilvl="1" w:tplc="04070003" w:tentative="1">
      <w:start w:val="1"/>
      <w:numFmt w:val="bullet"/>
      <w:lvlText w:val="o"/>
      <w:lvlJc w:val="left"/>
      <w:pPr>
        <w:ind w:left="1363" w:hanging="360"/>
      </w:pPr>
      <w:rPr>
        <w:rFonts w:ascii="Courier New" w:hAnsi="Courier New" w:cs="Courier New" w:hint="default"/>
      </w:rPr>
    </w:lvl>
    <w:lvl w:ilvl="2" w:tplc="04070005" w:tentative="1">
      <w:start w:val="1"/>
      <w:numFmt w:val="bullet"/>
      <w:lvlText w:val=""/>
      <w:lvlJc w:val="left"/>
      <w:pPr>
        <w:ind w:left="2083" w:hanging="360"/>
      </w:pPr>
      <w:rPr>
        <w:rFonts w:ascii="Wingdings" w:hAnsi="Wingdings" w:hint="default"/>
      </w:rPr>
    </w:lvl>
    <w:lvl w:ilvl="3" w:tplc="04070001" w:tentative="1">
      <w:start w:val="1"/>
      <w:numFmt w:val="bullet"/>
      <w:lvlText w:val=""/>
      <w:lvlJc w:val="left"/>
      <w:pPr>
        <w:ind w:left="2803" w:hanging="360"/>
      </w:pPr>
      <w:rPr>
        <w:rFonts w:ascii="Symbol" w:hAnsi="Symbol" w:hint="default"/>
      </w:rPr>
    </w:lvl>
    <w:lvl w:ilvl="4" w:tplc="04070003" w:tentative="1">
      <w:start w:val="1"/>
      <w:numFmt w:val="bullet"/>
      <w:lvlText w:val="o"/>
      <w:lvlJc w:val="left"/>
      <w:pPr>
        <w:ind w:left="3523" w:hanging="360"/>
      </w:pPr>
      <w:rPr>
        <w:rFonts w:ascii="Courier New" w:hAnsi="Courier New" w:cs="Courier New" w:hint="default"/>
      </w:rPr>
    </w:lvl>
    <w:lvl w:ilvl="5" w:tplc="04070005" w:tentative="1">
      <w:start w:val="1"/>
      <w:numFmt w:val="bullet"/>
      <w:lvlText w:val=""/>
      <w:lvlJc w:val="left"/>
      <w:pPr>
        <w:ind w:left="4243" w:hanging="360"/>
      </w:pPr>
      <w:rPr>
        <w:rFonts w:ascii="Wingdings" w:hAnsi="Wingdings" w:hint="default"/>
      </w:rPr>
    </w:lvl>
    <w:lvl w:ilvl="6" w:tplc="04070001" w:tentative="1">
      <w:start w:val="1"/>
      <w:numFmt w:val="bullet"/>
      <w:lvlText w:val=""/>
      <w:lvlJc w:val="left"/>
      <w:pPr>
        <w:ind w:left="4963" w:hanging="360"/>
      </w:pPr>
      <w:rPr>
        <w:rFonts w:ascii="Symbol" w:hAnsi="Symbol" w:hint="default"/>
      </w:rPr>
    </w:lvl>
    <w:lvl w:ilvl="7" w:tplc="04070003" w:tentative="1">
      <w:start w:val="1"/>
      <w:numFmt w:val="bullet"/>
      <w:lvlText w:val="o"/>
      <w:lvlJc w:val="left"/>
      <w:pPr>
        <w:ind w:left="5683" w:hanging="360"/>
      </w:pPr>
      <w:rPr>
        <w:rFonts w:ascii="Courier New" w:hAnsi="Courier New" w:cs="Courier New" w:hint="default"/>
      </w:rPr>
    </w:lvl>
    <w:lvl w:ilvl="8" w:tplc="04070005" w:tentative="1">
      <w:start w:val="1"/>
      <w:numFmt w:val="bullet"/>
      <w:lvlText w:val=""/>
      <w:lvlJc w:val="left"/>
      <w:pPr>
        <w:ind w:left="6403" w:hanging="360"/>
      </w:pPr>
      <w:rPr>
        <w:rFonts w:ascii="Wingdings" w:hAnsi="Wingdings" w:hint="default"/>
      </w:rPr>
    </w:lvl>
  </w:abstractNum>
  <w:abstractNum w:abstractNumId="41" w15:restartNumberingAfterBreak="0">
    <w:nsid w:val="4F0B1CB4"/>
    <w:multiLevelType w:val="hybridMultilevel"/>
    <w:tmpl w:val="AA2268B8"/>
    <w:lvl w:ilvl="0" w:tplc="B574BBBC">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55CD689C"/>
    <w:multiLevelType w:val="hybridMultilevel"/>
    <w:tmpl w:val="3978F924"/>
    <w:lvl w:ilvl="0" w:tplc="808E2E66">
      <w:start w:val="1"/>
      <w:numFmt w:val="bullet"/>
      <w:pStyle w:val="Liste-1"/>
      <w:lvlText w:val="-"/>
      <w:lvlJc w:val="left"/>
      <w:pPr>
        <w:ind w:left="720" w:hanging="360"/>
      </w:pPr>
      <w:rPr>
        <w:rFonts w:ascii="Times New Roman" w:hAnsi="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56A36927"/>
    <w:multiLevelType w:val="hybridMultilevel"/>
    <w:tmpl w:val="85F8F072"/>
    <w:lvl w:ilvl="0" w:tplc="FF947ECA">
      <w:start w:val="1"/>
      <w:numFmt w:val="bullet"/>
      <w:lvlText w:val="—"/>
      <w:lvlJc w:val="left"/>
      <w:pPr>
        <w:ind w:left="643" w:hanging="360"/>
      </w:pPr>
      <w:rPr>
        <w:rFonts w:ascii="Cambria" w:hAnsi="Cambria" w:hint="default"/>
      </w:rPr>
    </w:lvl>
    <w:lvl w:ilvl="1" w:tplc="04070003" w:tentative="1">
      <w:start w:val="1"/>
      <w:numFmt w:val="bullet"/>
      <w:lvlText w:val="o"/>
      <w:lvlJc w:val="left"/>
      <w:pPr>
        <w:ind w:left="1363" w:hanging="360"/>
      </w:pPr>
      <w:rPr>
        <w:rFonts w:ascii="Courier New" w:hAnsi="Courier New" w:cs="Courier New" w:hint="default"/>
      </w:rPr>
    </w:lvl>
    <w:lvl w:ilvl="2" w:tplc="04070005" w:tentative="1">
      <w:start w:val="1"/>
      <w:numFmt w:val="bullet"/>
      <w:lvlText w:val=""/>
      <w:lvlJc w:val="left"/>
      <w:pPr>
        <w:ind w:left="2083" w:hanging="360"/>
      </w:pPr>
      <w:rPr>
        <w:rFonts w:ascii="Wingdings" w:hAnsi="Wingdings" w:hint="default"/>
      </w:rPr>
    </w:lvl>
    <w:lvl w:ilvl="3" w:tplc="04070001" w:tentative="1">
      <w:start w:val="1"/>
      <w:numFmt w:val="bullet"/>
      <w:lvlText w:val=""/>
      <w:lvlJc w:val="left"/>
      <w:pPr>
        <w:ind w:left="2803" w:hanging="360"/>
      </w:pPr>
      <w:rPr>
        <w:rFonts w:ascii="Symbol" w:hAnsi="Symbol" w:hint="default"/>
      </w:rPr>
    </w:lvl>
    <w:lvl w:ilvl="4" w:tplc="04070003" w:tentative="1">
      <w:start w:val="1"/>
      <w:numFmt w:val="bullet"/>
      <w:lvlText w:val="o"/>
      <w:lvlJc w:val="left"/>
      <w:pPr>
        <w:ind w:left="3523" w:hanging="360"/>
      </w:pPr>
      <w:rPr>
        <w:rFonts w:ascii="Courier New" w:hAnsi="Courier New" w:cs="Courier New" w:hint="default"/>
      </w:rPr>
    </w:lvl>
    <w:lvl w:ilvl="5" w:tplc="04070005" w:tentative="1">
      <w:start w:val="1"/>
      <w:numFmt w:val="bullet"/>
      <w:lvlText w:val=""/>
      <w:lvlJc w:val="left"/>
      <w:pPr>
        <w:ind w:left="4243" w:hanging="360"/>
      </w:pPr>
      <w:rPr>
        <w:rFonts w:ascii="Wingdings" w:hAnsi="Wingdings" w:hint="default"/>
      </w:rPr>
    </w:lvl>
    <w:lvl w:ilvl="6" w:tplc="04070001" w:tentative="1">
      <w:start w:val="1"/>
      <w:numFmt w:val="bullet"/>
      <w:lvlText w:val=""/>
      <w:lvlJc w:val="left"/>
      <w:pPr>
        <w:ind w:left="4963" w:hanging="360"/>
      </w:pPr>
      <w:rPr>
        <w:rFonts w:ascii="Symbol" w:hAnsi="Symbol" w:hint="default"/>
      </w:rPr>
    </w:lvl>
    <w:lvl w:ilvl="7" w:tplc="04070003" w:tentative="1">
      <w:start w:val="1"/>
      <w:numFmt w:val="bullet"/>
      <w:lvlText w:val="o"/>
      <w:lvlJc w:val="left"/>
      <w:pPr>
        <w:ind w:left="5683" w:hanging="360"/>
      </w:pPr>
      <w:rPr>
        <w:rFonts w:ascii="Courier New" w:hAnsi="Courier New" w:cs="Courier New" w:hint="default"/>
      </w:rPr>
    </w:lvl>
    <w:lvl w:ilvl="8" w:tplc="04070005" w:tentative="1">
      <w:start w:val="1"/>
      <w:numFmt w:val="bullet"/>
      <w:lvlText w:val=""/>
      <w:lvlJc w:val="left"/>
      <w:pPr>
        <w:ind w:left="6403" w:hanging="360"/>
      </w:pPr>
      <w:rPr>
        <w:rFonts w:ascii="Wingdings" w:hAnsi="Wingdings" w:hint="default"/>
      </w:rPr>
    </w:lvl>
  </w:abstractNum>
  <w:abstractNum w:abstractNumId="44" w15:restartNumberingAfterBreak="0">
    <w:nsid w:val="5AB813FB"/>
    <w:multiLevelType w:val="hybridMultilevel"/>
    <w:tmpl w:val="7A4C5C82"/>
    <w:lvl w:ilvl="0" w:tplc="04070017">
      <w:start w:val="1"/>
      <w:numFmt w:val="lowerLetter"/>
      <w:lvlText w:val="%1)"/>
      <w:lvlJc w:val="left"/>
      <w:pPr>
        <w:ind w:left="360" w:hanging="360"/>
      </w:pPr>
      <w:rPr>
        <w:rFonts w:hint="default"/>
        <w:sz w:val="22"/>
        <w:szCs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5" w15:restartNumberingAfterBreak="0">
    <w:nsid w:val="5B89577B"/>
    <w:multiLevelType w:val="hybridMultilevel"/>
    <w:tmpl w:val="8E4EE56A"/>
    <w:lvl w:ilvl="0" w:tplc="FF947ECA">
      <w:start w:val="1"/>
      <w:numFmt w:val="bullet"/>
      <w:lvlText w:val="—"/>
      <w:lvlJc w:val="left"/>
      <w:pPr>
        <w:ind w:left="643" w:hanging="360"/>
      </w:pPr>
      <w:rPr>
        <w:rFonts w:ascii="Cambria" w:hAnsi="Cambria" w:hint="default"/>
      </w:rPr>
    </w:lvl>
    <w:lvl w:ilvl="1" w:tplc="04070003" w:tentative="1">
      <w:start w:val="1"/>
      <w:numFmt w:val="bullet"/>
      <w:lvlText w:val="o"/>
      <w:lvlJc w:val="left"/>
      <w:pPr>
        <w:ind w:left="1363" w:hanging="360"/>
      </w:pPr>
      <w:rPr>
        <w:rFonts w:ascii="Courier New" w:hAnsi="Courier New" w:cs="Courier New" w:hint="default"/>
      </w:rPr>
    </w:lvl>
    <w:lvl w:ilvl="2" w:tplc="04070005" w:tentative="1">
      <w:start w:val="1"/>
      <w:numFmt w:val="bullet"/>
      <w:lvlText w:val=""/>
      <w:lvlJc w:val="left"/>
      <w:pPr>
        <w:ind w:left="2083" w:hanging="360"/>
      </w:pPr>
      <w:rPr>
        <w:rFonts w:ascii="Wingdings" w:hAnsi="Wingdings" w:hint="default"/>
      </w:rPr>
    </w:lvl>
    <w:lvl w:ilvl="3" w:tplc="04070001" w:tentative="1">
      <w:start w:val="1"/>
      <w:numFmt w:val="bullet"/>
      <w:lvlText w:val=""/>
      <w:lvlJc w:val="left"/>
      <w:pPr>
        <w:ind w:left="2803" w:hanging="360"/>
      </w:pPr>
      <w:rPr>
        <w:rFonts w:ascii="Symbol" w:hAnsi="Symbol" w:hint="default"/>
      </w:rPr>
    </w:lvl>
    <w:lvl w:ilvl="4" w:tplc="04070003" w:tentative="1">
      <w:start w:val="1"/>
      <w:numFmt w:val="bullet"/>
      <w:lvlText w:val="o"/>
      <w:lvlJc w:val="left"/>
      <w:pPr>
        <w:ind w:left="3523" w:hanging="360"/>
      </w:pPr>
      <w:rPr>
        <w:rFonts w:ascii="Courier New" w:hAnsi="Courier New" w:cs="Courier New" w:hint="default"/>
      </w:rPr>
    </w:lvl>
    <w:lvl w:ilvl="5" w:tplc="04070005" w:tentative="1">
      <w:start w:val="1"/>
      <w:numFmt w:val="bullet"/>
      <w:lvlText w:val=""/>
      <w:lvlJc w:val="left"/>
      <w:pPr>
        <w:ind w:left="4243" w:hanging="360"/>
      </w:pPr>
      <w:rPr>
        <w:rFonts w:ascii="Wingdings" w:hAnsi="Wingdings" w:hint="default"/>
      </w:rPr>
    </w:lvl>
    <w:lvl w:ilvl="6" w:tplc="04070001" w:tentative="1">
      <w:start w:val="1"/>
      <w:numFmt w:val="bullet"/>
      <w:lvlText w:val=""/>
      <w:lvlJc w:val="left"/>
      <w:pPr>
        <w:ind w:left="4963" w:hanging="360"/>
      </w:pPr>
      <w:rPr>
        <w:rFonts w:ascii="Symbol" w:hAnsi="Symbol" w:hint="default"/>
      </w:rPr>
    </w:lvl>
    <w:lvl w:ilvl="7" w:tplc="04070003" w:tentative="1">
      <w:start w:val="1"/>
      <w:numFmt w:val="bullet"/>
      <w:lvlText w:val="o"/>
      <w:lvlJc w:val="left"/>
      <w:pPr>
        <w:ind w:left="5683" w:hanging="360"/>
      </w:pPr>
      <w:rPr>
        <w:rFonts w:ascii="Courier New" w:hAnsi="Courier New" w:cs="Courier New" w:hint="default"/>
      </w:rPr>
    </w:lvl>
    <w:lvl w:ilvl="8" w:tplc="04070005" w:tentative="1">
      <w:start w:val="1"/>
      <w:numFmt w:val="bullet"/>
      <w:lvlText w:val=""/>
      <w:lvlJc w:val="left"/>
      <w:pPr>
        <w:ind w:left="6403" w:hanging="360"/>
      </w:pPr>
      <w:rPr>
        <w:rFonts w:ascii="Wingdings" w:hAnsi="Wingdings" w:hint="default"/>
      </w:rPr>
    </w:lvl>
  </w:abstractNum>
  <w:abstractNum w:abstractNumId="46" w15:restartNumberingAfterBreak="0">
    <w:nsid w:val="61AF463C"/>
    <w:multiLevelType w:val="hybridMultilevel"/>
    <w:tmpl w:val="4A26FD86"/>
    <w:lvl w:ilvl="0" w:tplc="FF947ECA">
      <w:start w:val="1"/>
      <w:numFmt w:val="bullet"/>
      <w:lvlText w:val="—"/>
      <w:lvlJc w:val="left"/>
      <w:pPr>
        <w:ind w:left="643" w:hanging="360"/>
      </w:pPr>
      <w:rPr>
        <w:rFonts w:ascii="Cambria" w:hAnsi="Cambria" w:hint="default"/>
      </w:rPr>
    </w:lvl>
    <w:lvl w:ilvl="1" w:tplc="04070003" w:tentative="1">
      <w:start w:val="1"/>
      <w:numFmt w:val="bullet"/>
      <w:lvlText w:val="o"/>
      <w:lvlJc w:val="left"/>
      <w:pPr>
        <w:ind w:left="1363" w:hanging="360"/>
      </w:pPr>
      <w:rPr>
        <w:rFonts w:ascii="Courier New" w:hAnsi="Courier New" w:cs="Courier New" w:hint="default"/>
      </w:rPr>
    </w:lvl>
    <w:lvl w:ilvl="2" w:tplc="04070005" w:tentative="1">
      <w:start w:val="1"/>
      <w:numFmt w:val="bullet"/>
      <w:lvlText w:val=""/>
      <w:lvlJc w:val="left"/>
      <w:pPr>
        <w:ind w:left="2083" w:hanging="360"/>
      </w:pPr>
      <w:rPr>
        <w:rFonts w:ascii="Wingdings" w:hAnsi="Wingdings" w:hint="default"/>
      </w:rPr>
    </w:lvl>
    <w:lvl w:ilvl="3" w:tplc="04070001" w:tentative="1">
      <w:start w:val="1"/>
      <w:numFmt w:val="bullet"/>
      <w:lvlText w:val=""/>
      <w:lvlJc w:val="left"/>
      <w:pPr>
        <w:ind w:left="2803" w:hanging="360"/>
      </w:pPr>
      <w:rPr>
        <w:rFonts w:ascii="Symbol" w:hAnsi="Symbol" w:hint="default"/>
      </w:rPr>
    </w:lvl>
    <w:lvl w:ilvl="4" w:tplc="04070003" w:tentative="1">
      <w:start w:val="1"/>
      <w:numFmt w:val="bullet"/>
      <w:lvlText w:val="o"/>
      <w:lvlJc w:val="left"/>
      <w:pPr>
        <w:ind w:left="3523" w:hanging="360"/>
      </w:pPr>
      <w:rPr>
        <w:rFonts w:ascii="Courier New" w:hAnsi="Courier New" w:cs="Courier New" w:hint="default"/>
      </w:rPr>
    </w:lvl>
    <w:lvl w:ilvl="5" w:tplc="04070005" w:tentative="1">
      <w:start w:val="1"/>
      <w:numFmt w:val="bullet"/>
      <w:lvlText w:val=""/>
      <w:lvlJc w:val="left"/>
      <w:pPr>
        <w:ind w:left="4243" w:hanging="360"/>
      </w:pPr>
      <w:rPr>
        <w:rFonts w:ascii="Wingdings" w:hAnsi="Wingdings" w:hint="default"/>
      </w:rPr>
    </w:lvl>
    <w:lvl w:ilvl="6" w:tplc="04070001" w:tentative="1">
      <w:start w:val="1"/>
      <w:numFmt w:val="bullet"/>
      <w:lvlText w:val=""/>
      <w:lvlJc w:val="left"/>
      <w:pPr>
        <w:ind w:left="4963" w:hanging="360"/>
      </w:pPr>
      <w:rPr>
        <w:rFonts w:ascii="Symbol" w:hAnsi="Symbol" w:hint="default"/>
      </w:rPr>
    </w:lvl>
    <w:lvl w:ilvl="7" w:tplc="04070003" w:tentative="1">
      <w:start w:val="1"/>
      <w:numFmt w:val="bullet"/>
      <w:lvlText w:val="o"/>
      <w:lvlJc w:val="left"/>
      <w:pPr>
        <w:ind w:left="5683" w:hanging="360"/>
      </w:pPr>
      <w:rPr>
        <w:rFonts w:ascii="Courier New" w:hAnsi="Courier New" w:cs="Courier New" w:hint="default"/>
      </w:rPr>
    </w:lvl>
    <w:lvl w:ilvl="8" w:tplc="04070005" w:tentative="1">
      <w:start w:val="1"/>
      <w:numFmt w:val="bullet"/>
      <w:lvlText w:val=""/>
      <w:lvlJc w:val="left"/>
      <w:pPr>
        <w:ind w:left="6403" w:hanging="360"/>
      </w:pPr>
      <w:rPr>
        <w:rFonts w:ascii="Wingdings" w:hAnsi="Wingdings" w:hint="default"/>
      </w:rPr>
    </w:lvl>
  </w:abstractNum>
  <w:abstractNum w:abstractNumId="47" w15:restartNumberingAfterBreak="0">
    <w:nsid w:val="644C0D5F"/>
    <w:multiLevelType w:val="hybridMultilevel"/>
    <w:tmpl w:val="4F24A3F2"/>
    <w:lvl w:ilvl="0" w:tplc="04070017">
      <w:start w:val="1"/>
      <w:numFmt w:val="lowerLetter"/>
      <w:lvlText w:val="%1)"/>
      <w:lvlJc w:val="left"/>
      <w:pPr>
        <w:ind w:left="360" w:hanging="360"/>
      </w:pPr>
      <w:rPr>
        <w:rFonts w:hint="default"/>
        <w:sz w:val="22"/>
        <w:szCs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8" w15:restartNumberingAfterBreak="0">
    <w:nsid w:val="66F20FB9"/>
    <w:multiLevelType w:val="hybridMultilevel"/>
    <w:tmpl w:val="D32031E6"/>
    <w:lvl w:ilvl="0" w:tplc="B574BBB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671A2E1C"/>
    <w:multiLevelType w:val="hybridMultilevel"/>
    <w:tmpl w:val="362E06C0"/>
    <w:lvl w:ilvl="0" w:tplc="FF947ECA">
      <w:start w:val="1"/>
      <w:numFmt w:val="bullet"/>
      <w:lvlText w:val="—"/>
      <w:lvlJc w:val="left"/>
      <w:pPr>
        <w:ind w:left="643" w:hanging="360"/>
      </w:pPr>
      <w:rPr>
        <w:rFonts w:ascii="Cambria" w:hAnsi="Cambria" w:hint="default"/>
      </w:rPr>
    </w:lvl>
    <w:lvl w:ilvl="1" w:tplc="04070003" w:tentative="1">
      <w:start w:val="1"/>
      <w:numFmt w:val="bullet"/>
      <w:lvlText w:val="o"/>
      <w:lvlJc w:val="left"/>
      <w:pPr>
        <w:ind w:left="1363" w:hanging="360"/>
      </w:pPr>
      <w:rPr>
        <w:rFonts w:ascii="Courier New" w:hAnsi="Courier New" w:cs="Courier New" w:hint="default"/>
      </w:rPr>
    </w:lvl>
    <w:lvl w:ilvl="2" w:tplc="04070005" w:tentative="1">
      <w:start w:val="1"/>
      <w:numFmt w:val="bullet"/>
      <w:lvlText w:val=""/>
      <w:lvlJc w:val="left"/>
      <w:pPr>
        <w:ind w:left="2083" w:hanging="360"/>
      </w:pPr>
      <w:rPr>
        <w:rFonts w:ascii="Wingdings" w:hAnsi="Wingdings" w:hint="default"/>
      </w:rPr>
    </w:lvl>
    <w:lvl w:ilvl="3" w:tplc="04070001" w:tentative="1">
      <w:start w:val="1"/>
      <w:numFmt w:val="bullet"/>
      <w:lvlText w:val=""/>
      <w:lvlJc w:val="left"/>
      <w:pPr>
        <w:ind w:left="2803" w:hanging="360"/>
      </w:pPr>
      <w:rPr>
        <w:rFonts w:ascii="Symbol" w:hAnsi="Symbol" w:hint="default"/>
      </w:rPr>
    </w:lvl>
    <w:lvl w:ilvl="4" w:tplc="04070003" w:tentative="1">
      <w:start w:val="1"/>
      <w:numFmt w:val="bullet"/>
      <w:lvlText w:val="o"/>
      <w:lvlJc w:val="left"/>
      <w:pPr>
        <w:ind w:left="3523" w:hanging="360"/>
      </w:pPr>
      <w:rPr>
        <w:rFonts w:ascii="Courier New" w:hAnsi="Courier New" w:cs="Courier New" w:hint="default"/>
      </w:rPr>
    </w:lvl>
    <w:lvl w:ilvl="5" w:tplc="04070005" w:tentative="1">
      <w:start w:val="1"/>
      <w:numFmt w:val="bullet"/>
      <w:lvlText w:val=""/>
      <w:lvlJc w:val="left"/>
      <w:pPr>
        <w:ind w:left="4243" w:hanging="360"/>
      </w:pPr>
      <w:rPr>
        <w:rFonts w:ascii="Wingdings" w:hAnsi="Wingdings" w:hint="default"/>
      </w:rPr>
    </w:lvl>
    <w:lvl w:ilvl="6" w:tplc="04070001" w:tentative="1">
      <w:start w:val="1"/>
      <w:numFmt w:val="bullet"/>
      <w:lvlText w:val=""/>
      <w:lvlJc w:val="left"/>
      <w:pPr>
        <w:ind w:left="4963" w:hanging="360"/>
      </w:pPr>
      <w:rPr>
        <w:rFonts w:ascii="Symbol" w:hAnsi="Symbol" w:hint="default"/>
      </w:rPr>
    </w:lvl>
    <w:lvl w:ilvl="7" w:tplc="04070003" w:tentative="1">
      <w:start w:val="1"/>
      <w:numFmt w:val="bullet"/>
      <w:lvlText w:val="o"/>
      <w:lvlJc w:val="left"/>
      <w:pPr>
        <w:ind w:left="5683" w:hanging="360"/>
      </w:pPr>
      <w:rPr>
        <w:rFonts w:ascii="Courier New" w:hAnsi="Courier New" w:cs="Courier New" w:hint="default"/>
      </w:rPr>
    </w:lvl>
    <w:lvl w:ilvl="8" w:tplc="04070005" w:tentative="1">
      <w:start w:val="1"/>
      <w:numFmt w:val="bullet"/>
      <w:lvlText w:val=""/>
      <w:lvlJc w:val="left"/>
      <w:pPr>
        <w:ind w:left="6403" w:hanging="360"/>
      </w:pPr>
      <w:rPr>
        <w:rFonts w:ascii="Wingdings" w:hAnsi="Wingdings" w:hint="default"/>
      </w:rPr>
    </w:lvl>
  </w:abstractNum>
  <w:abstractNum w:abstractNumId="50" w15:restartNumberingAfterBreak="0">
    <w:nsid w:val="6DCA2656"/>
    <w:multiLevelType w:val="hybridMultilevel"/>
    <w:tmpl w:val="BF44074C"/>
    <w:lvl w:ilvl="0" w:tplc="FF947ECA">
      <w:start w:val="1"/>
      <w:numFmt w:val="bullet"/>
      <w:lvlText w:val="—"/>
      <w:lvlJc w:val="left"/>
      <w:pPr>
        <w:ind w:left="643" w:hanging="360"/>
      </w:pPr>
      <w:rPr>
        <w:rFonts w:ascii="Cambria" w:hAnsi="Cambria" w:hint="default"/>
      </w:rPr>
    </w:lvl>
    <w:lvl w:ilvl="1" w:tplc="04070003" w:tentative="1">
      <w:start w:val="1"/>
      <w:numFmt w:val="bullet"/>
      <w:lvlText w:val="o"/>
      <w:lvlJc w:val="left"/>
      <w:pPr>
        <w:ind w:left="1363" w:hanging="360"/>
      </w:pPr>
      <w:rPr>
        <w:rFonts w:ascii="Courier New" w:hAnsi="Courier New" w:cs="Courier New" w:hint="default"/>
      </w:rPr>
    </w:lvl>
    <w:lvl w:ilvl="2" w:tplc="04070005" w:tentative="1">
      <w:start w:val="1"/>
      <w:numFmt w:val="bullet"/>
      <w:lvlText w:val=""/>
      <w:lvlJc w:val="left"/>
      <w:pPr>
        <w:ind w:left="2083" w:hanging="360"/>
      </w:pPr>
      <w:rPr>
        <w:rFonts w:ascii="Wingdings" w:hAnsi="Wingdings" w:hint="default"/>
      </w:rPr>
    </w:lvl>
    <w:lvl w:ilvl="3" w:tplc="04070001" w:tentative="1">
      <w:start w:val="1"/>
      <w:numFmt w:val="bullet"/>
      <w:lvlText w:val=""/>
      <w:lvlJc w:val="left"/>
      <w:pPr>
        <w:ind w:left="2803" w:hanging="360"/>
      </w:pPr>
      <w:rPr>
        <w:rFonts w:ascii="Symbol" w:hAnsi="Symbol" w:hint="default"/>
      </w:rPr>
    </w:lvl>
    <w:lvl w:ilvl="4" w:tplc="04070003" w:tentative="1">
      <w:start w:val="1"/>
      <w:numFmt w:val="bullet"/>
      <w:lvlText w:val="o"/>
      <w:lvlJc w:val="left"/>
      <w:pPr>
        <w:ind w:left="3523" w:hanging="360"/>
      </w:pPr>
      <w:rPr>
        <w:rFonts w:ascii="Courier New" w:hAnsi="Courier New" w:cs="Courier New" w:hint="default"/>
      </w:rPr>
    </w:lvl>
    <w:lvl w:ilvl="5" w:tplc="04070005" w:tentative="1">
      <w:start w:val="1"/>
      <w:numFmt w:val="bullet"/>
      <w:lvlText w:val=""/>
      <w:lvlJc w:val="left"/>
      <w:pPr>
        <w:ind w:left="4243" w:hanging="360"/>
      </w:pPr>
      <w:rPr>
        <w:rFonts w:ascii="Wingdings" w:hAnsi="Wingdings" w:hint="default"/>
      </w:rPr>
    </w:lvl>
    <w:lvl w:ilvl="6" w:tplc="04070001" w:tentative="1">
      <w:start w:val="1"/>
      <w:numFmt w:val="bullet"/>
      <w:lvlText w:val=""/>
      <w:lvlJc w:val="left"/>
      <w:pPr>
        <w:ind w:left="4963" w:hanging="360"/>
      </w:pPr>
      <w:rPr>
        <w:rFonts w:ascii="Symbol" w:hAnsi="Symbol" w:hint="default"/>
      </w:rPr>
    </w:lvl>
    <w:lvl w:ilvl="7" w:tplc="04070003" w:tentative="1">
      <w:start w:val="1"/>
      <w:numFmt w:val="bullet"/>
      <w:lvlText w:val="o"/>
      <w:lvlJc w:val="left"/>
      <w:pPr>
        <w:ind w:left="5683" w:hanging="360"/>
      </w:pPr>
      <w:rPr>
        <w:rFonts w:ascii="Courier New" w:hAnsi="Courier New" w:cs="Courier New" w:hint="default"/>
      </w:rPr>
    </w:lvl>
    <w:lvl w:ilvl="8" w:tplc="04070005" w:tentative="1">
      <w:start w:val="1"/>
      <w:numFmt w:val="bullet"/>
      <w:lvlText w:val=""/>
      <w:lvlJc w:val="left"/>
      <w:pPr>
        <w:ind w:left="6403" w:hanging="360"/>
      </w:pPr>
      <w:rPr>
        <w:rFonts w:ascii="Wingdings" w:hAnsi="Wingdings" w:hint="default"/>
      </w:rPr>
    </w:lvl>
  </w:abstractNum>
  <w:abstractNum w:abstractNumId="51" w15:restartNumberingAfterBreak="0">
    <w:nsid w:val="6E661F50"/>
    <w:multiLevelType w:val="hybridMultilevel"/>
    <w:tmpl w:val="61427D1A"/>
    <w:lvl w:ilvl="0" w:tplc="DC400D68">
      <w:start w:val="1"/>
      <w:numFmt w:val="bullet"/>
      <w:pStyle w:val="Comments"/>
      <w:lvlText w:val="•"/>
      <w:lvlJc w:val="left"/>
      <w:pPr>
        <w:tabs>
          <w:tab w:val="num" w:pos="720"/>
        </w:tabs>
        <w:ind w:left="720" w:hanging="360"/>
      </w:pPr>
      <w:rPr>
        <w:rFonts w:ascii="Arial" w:hAnsi="Arial" w:hint="default"/>
      </w:rPr>
    </w:lvl>
    <w:lvl w:ilvl="1" w:tplc="21309318" w:tentative="1">
      <w:start w:val="1"/>
      <w:numFmt w:val="bullet"/>
      <w:lvlText w:val="•"/>
      <w:lvlJc w:val="left"/>
      <w:pPr>
        <w:tabs>
          <w:tab w:val="num" w:pos="1440"/>
        </w:tabs>
        <w:ind w:left="1440" w:hanging="360"/>
      </w:pPr>
      <w:rPr>
        <w:rFonts w:ascii="Arial" w:hAnsi="Arial" w:hint="default"/>
      </w:rPr>
    </w:lvl>
    <w:lvl w:ilvl="2" w:tplc="9D9255AC" w:tentative="1">
      <w:start w:val="1"/>
      <w:numFmt w:val="bullet"/>
      <w:lvlText w:val="•"/>
      <w:lvlJc w:val="left"/>
      <w:pPr>
        <w:tabs>
          <w:tab w:val="num" w:pos="2160"/>
        </w:tabs>
        <w:ind w:left="2160" w:hanging="360"/>
      </w:pPr>
      <w:rPr>
        <w:rFonts w:ascii="Arial" w:hAnsi="Arial" w:hint="default"/>
      </w:rPr>
    </w:lvl>
    <w:lvl w:ilvl="3" w:tplc="25C2FA58" w:tentative="1">
      <w:start w:val="1"/>
      <w:numFmt w:val="bullet"/>
      <w:lvlText w:val="•"/>
      <w:lvlJc w:val="left"/>
      <w:pPr>
        <w:tabs>
          <w:tab w:val="num" w:pos="2880"/>
        </w:tabs>
        <w:ind w:left="2880" w:hanging="360"/>
      </w:pPr>
      <w:rPr>
        <w:rFonts w:ascii="Arial" w:hAnsi="Arial" w:hint="default"/>
      </w:rPr>
    </w:lvl>
    <w:lvl w:ilvl="4" w:tplc="CAAEF350" w:tentative="1">
      <w:start w:val="1"/>
      <w:numFmt w:val="bullet"/>
      <w:lvlText w:val="•"/>
      <w:lvlJc w:val="left"/>
      <w:pPr>
        <w:tabs>
          <w:tab w:val="num" w:pos="3600"/>
        </w:tabs>
        <w:ind w:left="3600" w:hanging="360"/>
      </w:pPr>
      <w:rPr>
        <w:rFonts w:ascii="Arial" w:hAnsi="Arial" w:hint="default"/>
      </w:rPr>
    </w:lvl>
    <w:lvl w:ilvl="5" w:tplc="D764BFF2" w:tentative="1">
      <w:start w:val="1"/>
      <w:numFmt w:val="bullet"/>
      <w:lvlText w:val="•"/>
      <w:lvlJc w:val="left"/>
      <w:pPr>
        <w:tabs>
          <w:tab w:val="num" w:pos="4320"/>
        </w:tabs>
        <w:ind w:left="4320" w:hanging="360"/>
      </w:pPr>
      <w:rPr>
        <w:rFonts w:ascii="Arial" w:hAnsi="Arial" w:hint="default"/>
      </w:rPr>
    </w:lvl>
    <w:lvl w:ilvl="6" w:tplc="3224F00C" w:tentative="1">
      <w:start w:val="1"/>
      <w:numFmt w:val="bullet"/>
      <w:lvlText w:val="•"/>
      <w:lvlJc w:val="left"/>
      <w:pPr>
        <w:tabs>
          <w:tab w:val="num" w:pos="5040"/>
        </w:tabs>
        <w:ind w:left="5040" w:hanging="360"/>
      </w:pPr>
      <w:rPr>
        <w:rFonts w:ascii="Arial" w:hAnsi="Arial" w:hint="default"/>
      </w:rPr>
    </w:lvl>
    <w:lvl w:ilvl="7" w:tplc="8ECA4166" w:tentative="1">
      <w:start w:val="1"/>
      <w:numFmt w:val="bullet"/>
      <w:lvlText w:val="•"/>
      <w:lvlJc w:val="left"/>
      <w:pPr>
        <w:tabs>
          <w:tab w:val="num" w:pos="5760"/>
        </w:tabs>
        <w:ind w:left="5760" w:hanging="360"/>
      </w:pPr>
      <w:rPr>
        <w:rFonts w:ascii="Arial" w:hAnsi="Arial" w:hint="default"/>
      </w:rPr>
    </w:lvl>
    <w:lvl w:ilvl="8" w:tplc="406A8056"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76C947DD"/>
    <w:multiLevelType w:val="hybridMultilevel"/>
    <w:tmpl w:val="B3C890B4"/>
    <w:lvl w:ilvl="0" w:tplc="C4D4A18A">
      <w:start w:val="1"/>
      <w:numFmt w:val="decimal"/>
      <w:pStyle w:val="StileReferencesdopo3ptInterlineadoppia"/>
      <w:lvlText w:val="[%1]"/>
      <w:lvlJc w:val="left"/>
      <w:pPr>
        <w:tabs>
          <w:tab w:val="num" w:pos="1135"/>
        </w:tabs>
        <w:ind w:left="1135" w:hanging="567"/>
      </w:pPr>
      <w:rPr>
        <w:rFonts w:ascii="Times New Roman" w:hAnsi="Times New Roman" w:cs="Times New Roman" w:hint="default"/>
        <w:b w:val="0"/>
        <w:bCs w:val="0"/>
        <w:i w:val="0"/>
        <w:i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73C04FD"/>
    <w:multiLevelType w:val="hybridMultilevel"/>
    <w:tmpl w:val="34CCFFA4"/>
    <w:lvl w:ilvl="0" w:tplc="FF947ECA">
      <w:start w:val="1"/>
      <w:numFmt w:val="bullet"/>
      <w:lvlText w:val="—"/>
      <w:lvlJc w:val="left"/>
      <w:pPr>
        <w:ind w:left="246" w:hanging="360"/>
      </w:pPr>
      <w:rPr>
        <w:rFonts w:ascii="Cambria" w:hAnsi="Cambria" w:hint="default"/>
      </w:rPr>
    </w:lvl>
    <w:lvl w:ilvl="1" w:tplc="04070003" w:tentative="1">
      <w:start w:val="1"/>
      <w:numFmt w:val="bullet"/>
      <w:lvlText w:val="o"/>
      <w:lvlJc w:val="left"/>
      <w:pPr>
        <w:ind w:left="966" w:hanging="360"/>
      </w:pPr>
      <w:rPr>
        <w:rFonts w:ascii="Courier New" w:hAnsi="Courier New" w:cs="Courier New" w:hint="default"/>
      </w:rPr>
    </w:lvl>
    <w:lvl w:ilvl="2" w:tplc="04070005" w:tentative="1">
      <w:start w:val="1"/>
      <w:numFmt w:val="bullet"/>
      <w:lvlText w:val=""/>
      <w:lvlJc w:val="left"/>
      <w:pPr>
        <w:ind w:left="1686" w:hanging="360"/>
      </w:pPr>
      <w:rPr>
        <w:rFonts w:ascii="Wingdings" w:hAnsi="Wingdings" w:hint="default"/>
      </w:rPr>
    </w:lvl>
    <w:lvl w:ilvl="3" w:tplc="04070001" w:tentative="1">
      <w:start w:val="1"/>
      <w:numFmt w:val="bullet"/>
      <w:lvlText w:val=""/>
      <w:lvlJc w:val="left"/>
      <w:pPr>
        <w:ind w:left="2406" w:hanging="360"/>
      </w:pPr>
      <w:rPr>
        <w:rFonts w:ascii="Symbol" w:hAnsi="Symbol" w:hint="default"/>
      </w:rPr>
    </w:lvl>
    <w:lvl w:ilvl="4" w:tplc="04070003" w:tentative="1">
      <w:start w:val="1"/>
      <w:numFmt w:val="bullet"/>
      <w:lvlText w:val="o"/>
      <w:lvlJc w:val="left"/>
      <w:pPr>
        <w:ind w:left="3126" w:hanging="360"/>
      </w:pPr>
      <w:rPr>
        <w:rFonts w:ascii="Courier New" w:hAnsi="Courier New" w:cs="Courier New" w:hint="default"/>
      </w:rPr>
    </w:lvl>
    <w:lvl w:ilvl="5" w:tplc="04070005" w:tentative="1">
      <w:start w:val="1"/>
      <w:numFmt w:val="bullet"/>
      <w:lvlText w:val=""/>
      <w:lvlJc w:val="left"/>
      <w:pPr>
        <w:ind w:left="3846" w:hanging="360"/>
      </w:pPr>
      <w:rPr>
        <w:rFonts w:ascii="Wingdings" w:hAnsi="Wingdings" w:hint="default"/>
      </w:rPr>
    </w:lvl>
    <w:lvl w:ilvl="6" w:tplc="04070001" w:tentative="1">
      <w:start w:val="1"/>
      <w:numFmt w:val="bullet"/>
      <w:lvlText w:val=""/>
      <w:lvlJc w:val="left"/>
      <w:pPr>
        <w:ind w:left="4566" w:hanging="360"/>
      </w:pPr>
      <w:rPr>
        <w:rFonts w:ascii="Symbol" w:hAnsi="Symbol" w:hint="default"/>
      </w:rPr>
    </w:lvl>
    <w:lvl w:ilvl="7" w:tplc="04070003" w:tentative="1">
      <w:start w:val="1"/>
      <w:numFmt w:val="bullet"/>
      <w:lvlText w:val="o"/>
      <w:lvlJc w:val="left"/>
      <w:pPr>
        <w:ind w:left="5286" w:hanging="360"/>
      </w:pPr>
      <w:rPr>
        <w:rFonts w:ascii="Courier New" w:hAnsi="Courier New" w:cs="Courier New" w:hint="default"/>
      </w:rPr>
    </w:lvl>
    <w:lvl w:ilvl="8" w:tplc="04070005" w:tentative="1">
      <w:start w:val="1"/>
      <w:numFmt w:val="bullet"/>
      <w:lvlText w:val=""/>
      <w:lvlJc w:val="left"/>
      <w:pPr>
        <w:ind w:left="6006" w:hanging="360"/>
      </w:pPr>
      <w:rPr>
        <w:rFonts w:ascii="Wingdings" w:hAnsi="Wingdings" w:hint="default"/>
      </w:rPr>
    </w:lvl>
  </w:abstractNum>
  <w:abstractNum w:abstractNumId="54" w15:restartNumberingAfterBreak="0">
    <w:nsid w:val="78494D65"/>
    <w:multiLevelType w:val="hybridMultilevel"/>
    <w:tmpl w:val="AD8A188C"/>
    <w:lvl w:ilvl="0" w:tplc="FF947ECA">
      <w:start w:val="1"/>
      <w:numFmt w:val="bullet"/>
      <w:lvlText w:val="—"/>
      <w:lvlJc w:val="left"/>
      <w:pPr>
        <w:ind w:left="643" w:hanging="360"/>
      </w:pPr>
      <w:rPr>
        <w:rFonts w:ascii="Cambria" w:hAnsi="Cambria" w:hint="default"/>
      </w:rPr>
    </w:lvl>
    <w:lvl w:ilvl="1" w:tplc="04070003" w:tentative="1">
      <w:start w:val="1"/>
      <w:numFmt w:val="bullet"/>
      <w:lvlText w:val="o"/>
      <w:lvlJc w:val="left"/>
      <w:pPr>
        <w:ind w:left="1363" w:hanging="360"/>
      </w:pPr>
      <w:rPr>
        <w:rFonts w:ascii="Courier New" w:hAnsi="Courier New" w:cs="Courier New" w:hint="default"/>
      </w:rPr>
    </w:lvl>
    <w:lvl w:ilvl="2" w:tplc="04070005" w:tentative="1">
      <w:start w:val="1"/>
      <w:numFmt w:val="bullet"/>
      <w:lvlText w:val=""/>
      <w:lvlJc w:val="left"/>
      <w:pPr>
        <w:ind w:left="2083" w:hanging="360"/>
      </w:pPr>
      <w:rPr>
        <w:rFonts w:ascii="Wingdings" w:hAnsi="Wingdings" w:hint="default"/>
      </w:rPr>
    </w:lvl>
    <w:lvl w:ilvl="3" w:tplc="04070001" w:tentative="1">
      <w:start w:val="1"/>
      <w:numFmt w:val="bullet"/>
      <w:lvlText w:val=""/>
      <w:lvlJc w:val="left"/>
      <w:pPr>
        <w:ind w:left="2803" w:hanging="360"/>
      </w:pPr>
      <w:rPr>
        <w:rFonts w:ascii="Symbol" w:hAnsi="Symbol" w:hint="default"/>
      </w:rPr>
    </w:lvl>
    <w:lvl w:ilvl="4" w:tplc="04070003" w:tentative="1">
      <w:start w:val="1"/>
      <w:numFmt w:val="bullet"/>
      <w:lvlText w:val="o"/>
      <w:lvlJc w:val="left"/>
      <w:pPr>
        <w:ind w:left="3523" w:hanging="360"/>
      </w:pPr>
      <w:rPr>
        <w:rFonts w:ascii="Courier New" w:hAnsi="Courier New" w:cs="Courier New" w:hint="default"/>
      </w:rPr>
    </w:lvl>
    <w:lvl w:ilvl="5" w:tplc="04070005" w:tentative="1">
      <w:start w:val="1"/>
      <w:numFmt w:val="bullet"/>
      <w:lvlText w:val=""/>
      <w:lvlJc w:val="left"/>
      <w:pPr>
        <w:ind w:left="4243" w:hanging="360"/>
      </w:pPr>
      <w:rPr>
        <w:rFonts w:ascii="Wingdings" w:hAnsi="Wingdings" w:hint="default"/>
      </w:rPr>
    </w:lvl>
    <w:lvl w:ilvl="6" w:tplc="04070001" w:tentative="1">
      <w:start w:val="1"/>
      <w:numFmt w:val="bullet"/>
      <w:lvlText w:val=""/>
      <w:lvlJc w:val="left"/>
      <w:pPr>
        <w:ind w:left="4963" w:hanging="360"/>
      </w:pPr>
      <w:rPr>
        <w:rFonts w:ascii="Symbol" w:hAnsi="Symbol" w:hint="default"/>
      </w:rPr>
    </w:lvl>
    <w:lvl w:ilvl="7" w:tplc="04070003" w:tentative="1">
      <w:start w:val="1"/>
      <w:numFmt w:val="bullet"/>
      <w:lvlText w:val="o"/>
      <w:lvlJc w:val="left"/>
      <w:pPr>
        <w:ind w:left="5683" w:hanging="360"/>
      </w:pPr>
      <w:rPr>
        <w:rFonts w:ascii="Courier New" w:hAnsi="Courier New" w:cs="Courier New" w:hint="default"/>
      </w:rPr>
    </w:lvl>
    <w:lvl w:ilvl="8" w:tplc="04070005" w:tentative="1">
      <w:start w:val="1"/>
      <w:numFmt w:val="bullet"/>
      <w:lvlText w:val=""/>
      <w:lvlJc w:val="left"/>
      <w:pPr>
        <w:ind w:left="6403" w:hanging="360"/>
      </w:pPr>
      <w:rPr>
        <w:rFonts w:ascii="Wingdings" w:hAnsi="Wingdings" w:hint="default"/>
      </w:rPr>
    </w:lvl>
  </w:abstractNum>
  <w:abstractNum w:abstractNumId="55" w15:restartNumberingAfterBreak="0">
    <w:nsid w:val="792F417D"/>
    <w:multiLevelType w:val="hybridMultilevel"/>
    <w:tmpl w:val="22660172"/>
    <w:lvl w:ilvl="0" w:tplc="04070017">
      <w:start w:val="1"/>
      <w:numFmt w:val="lowerLetter"/>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6" w15:restartNumberingAfterBreak="0">
    <w:nsid w:val="7A8A4689"/>
    <w:multiLevelType w:val="hybridMultilevel"/>
    <w:tmpl w:val="718438B2"/>
    <w:lvl w:ilvl="0" w:tplc="04070017">
      <w:start w:val="1"/>
      <w:numFmt w:val="lowerLetter"/>
      <w:lvlText w:val="%1)"/>
      <w:lvlJc w:val="left"/>
      <w:pPr>
        <w:ind w:left="360" w:hanging="360"/>
      </w:pPr>
      <w:rPr>
        <w:rFonts w:hint="default"/>
        <w:sz w:val="22"/>
        <w:szCs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7" w15:restartNumberingAfterBreak="0">
    <w:nsid w:val="7DA16C57"/>
    <w:multiLevelType w:val="hybridMultilevel"/>
    <w:tmpl w:val="36D641DC"/>
    <w:lvl w:ilvl="0" w:tplc="04070017">
      <w:start w:val="1"/>
      <w:numFmt w:val="lowerLetter"/>
      <w:lvlText w:val="%1)"/>
      <w:lvlJc w:val="left"/>
      <w:pPr>
        <w:ind w:left="360" w:hanging="360"/>
      </w:pPr>
      <w:rPr>
        <w:rFonts w:hint="default"/>
        <w:sz w:val="22"/>
        <w:szCs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8" w15:restartNumberingAfterBreak="0">
    <w:nsid w:val="7E0B3467"/>
    <w:multiLevelType w:val="hybridMultilevel"/>
    <w:tmpl w:val="06A8D5A2"/>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30"/>
  </w:num>
  <w:num w:numId="2">
    <w:abstractNumId w:val="6"/>
  </w:num>
  <w:num w:numId="3">
    <w:abstractNumId w:val="4"/>
  </w:num>
  <w:num w:numId="4">
    <w:abstractNumId w:val="3"/>
  </w:num>
  <w:num w:numId="5">
    <w:abstractNumId w:val="2"/>
  </w:num>
  <w:num w:numId="6">
    <w:abstractNumId w:val="1"/>
  </w:num>
  <w:num w:numId="7">
    <w:abstractNumId w:val="0"/>
  </w:num>
  <w:num w:numId="8">
    <w:abstractNumId w:val="7"/>
  </w:num>
  <w:num w:numId="9">
    <w:abstractNumId w:val="29"/>
  </w:num>
  <w:num w:numId="10">
    <w:abstractNumId w:val="27"/>
  </w:num>
  <w:num w:numId="11">
    <w:abstractNumId w:val="25"/>
  </w:num>
  <w:num w:numId="12">
    <w:abstractNumId w:val="35"/>
  </w:num>
  <w:num w:numId="13">
    <w:abstractNumId w:val="28"/>
  </w:num>
  <w:num w:numId="14">
    <w:abstractNumId w:val="58"/>
  </w:num>
  <w:num w:numId="15">
    <w:abstractNumId w:val="24"/>
  </w:num>
  <w:num w:numId="16">
    <w:abstractNumId w:val="16"/>
  </w:num>
  <w:num w:numId="17">
    <w:abstractNumId w:val="8"/>
  </w:num>
  <w:num w:numId="18">
    <w:abstractNumId w:val="18"/>
  </w:num>
  <w:num w:numId="19">
    <w:abstractNumId w:val="21"/>
  </w:num>
  <w:num w:numId="20">
    <w:abstractNumId w:val="39"/>
  </w:num>
  <w:num w:numId="21">
    <w:abstractNumId w:val="55"/>
  </w:num>
  <w:num w:numId="22">
    <w:abstractNumId w:val="20"/>
  </w:num>
  <w:num w:numId="23">
    <w:abstractNumId w:val="17"/>
  </w:num>
  <w:num w:numId="24">
    <w:abstractNumId w:val="57"/>
  </w:num>
  <w:num w:numId="25">
    <w:abstractNumId w:val="49"/>
  </w:num>
  <w:num w:numId="26">
    <w:abstractNumId w:val="26"/>
  </w:num>
  <w:num w:numId="27">
    <w:abstractNumId w:val="13"/>
  </w:num>
  <w:num w:numId="28">
    <w:abstractNumId w:val="56"/>
  </w:num>
  <w:num w:numId="29">
    <w:abstractNumId w:val="19"/>
  </w:num>
  <w:num w:numId="30">
    <w:abstractNumId w:val="15"/>
  </w:num>
  <w:num w:numId="31">
    <w:abstractNumId w:val="37"/>
  </w:num>
  <w:num w:numId="32">
    <w:abstractNumId w:val="12"/>
  </w:num>
  <w:num w:numId="33">
    <w:abstractNumId w:val="54"/>
  </w:num>
  <w:num w:numId="34">
    <w:abstractNumId w:val="32"/>
  </w:num>
  <w:num w:numId="35">
    <w:abstractNumId w:val="44"/>
  </w:num>
  <w:num w:numId="36">
    <w:abstractNumId w:val="31"/>
  </w:num>
  <w:num w:numId="37">
    <w:abstractNumId w:val="47"/>
  </w:num>
  <w:num w:numId="38">
    <w:abstractNumId w:val="10"/>
  </w:num>
  <w:num w:numId="39">
    <w:abstractNumId w:val="9"/>
  </w:num>
  <w:num w:numId="40">
    <w:abstractNumId w:val="53"/>
  </w:num>
  <w:num w:numId="41">
    <w:abstractNumId w:val="40"/>
  </w:num>
  <w:num w:numId="42">
    <w:abstractNumId w:val="14"/>
  </w:num>
  <w:num w:numId="43">
    <w:abstractNumId w:val="46"/>
  </w:num>
  <w:num w:numId="44">
    <w:abstractNumId w:val="43"/>
  </w:num>
  <w:num w:numId="45">
    <w:abstractNumId w:val="36"/>
  </w:num>
  <w:num w:numId="46">
    <w:abstractNumId w:val="50"/>
  </w:num>
  <w:num w:numId="47">
    <w:abstractNumId w:val="38"/>
  </w:num>
  <w:num w:numId="48">
    <w:abstractNumId w:val="45"/>
  </w:num>
  <w:num w:numId="49">
    <w:abstractNumId w:val="22"/>
  </w:num>
  <w:num w:numId="50">
    <w:abstractNumId w:val="51"/>
  </w:num>
  <w:num w:numId="51">
    <w:abstractNumId w:val="34"/>
  </w:num>
  <w:num w:numId="52">
    <w:abstractNumId w:val="52"/>
  </w:num>
  <w:num w:numId="53">
    <w:abstractNumId w:val="42"/>
  </w:num>
  <w:num w:numId="54">
    <w:abstractNumId w:val="11"/>
  </w:num>
  <w:num w:numId="55">
    <w:abstractNumId w:val="23"/>
  </w:num>
  <w:num w:numId="56">
    <w:abstractNumId w:val="33"/>
  </w:num>
  <w:num w:numId="57">
    <w:abstractNumId w:val="41"/>
  </w:num>
  <w:num w:numId="58">
    <w:abstractNumId w:val="5"/>
  </w:num>
  <w:num w:numId="59">
    <w:abstractNumId w:val="4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activeWritingStyle w:appName="MSWord" w:lang="it-IT" w:vendorID="64" w:dllVersion="6" w:nlCheck="1" w:checkStyle="0"/>
  <w:activeWritingStyle w:appName="MSWord" w:lang="en-GB" w:vendorID="64" w:dllVersion="6" w:nlCheck="1" w:checkStyle="1"/>
  <w:activeWritingStyle w:appName="MSWord" w:lang="fr-BE" w:vendorID="64" w:dllVersion="6" w:nlCheck="1" w:checkStyle="1"/>
  <w:activeWritingStyle w:appName="MSWord" w:lang="de-DE" w:vendorID="64" w:dllVersion="6" w:nlCheck="1" w:checkStyle="1"/>
  <w:activeWritingStyle w:appName="MSWord" w:lang="en-US" w:vendorID="64" w:dllVersion="6" w:nlCheck="1" w:checkStyle="1"/>
  <w:activeWritingStyle w:appName="MSWord" w:lang="fr-BE"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fr-FR" w:vendorID="64" w:dllVersion="4096" w:nlCheck="1" w:checkStyle="0"/>
  <w:activeWritingStyle w:appName="MSWord" w:lang="fr-CH" w:vendorID="64" w:dllVersion="4096" w:nlCheck="1" w:checkStyle="0"/>
  <w:activeWritingStyle w:appName="MSWord" w:lang="de-CH" w:vendorID="64" w:dllVersion="4096" w:nlCheck="1" w:checkStyle="0"/>
  <w:activeWritingStyle w:appName="MSWord" w:lang="it-CH" w:vendorID="64" w:dllVersion="4096" w:nlCheck="1" w:checkStyle="0"/>
  <w:activeWritingStyle w:appName="MSWord" w:lang="fr-FR" w:vendorID="64" w:dllVersion="6" w:nlCheck="1" w:checkStyle="1"/>
  <w:activeWritingStyle w:appName="MSWord" w:lang="fr-CH"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s-ES" w:vendorID="64" w:dllVersion="0" w:nlCheck="1" w:checkStyle="0"/>
  <w:activeWritingStyle w:appName="MSWord" w:lang="es-ES" w:vendorID="64" w:dllVersion="6" w:nlCheck="1" w:checkStyle="1"/>
  <w:activeWritingStyle w:appName="MSWord" w:lang="nb-NO" w:vendorID="64" w:dllVersion="6" w:nlCheck="1" w:checkStyle="0"/>
  <w:activeWritingStyle w:appName="MSWord" w:lang="de-DE" w:vendorID="64" w:dllVersion="0" w:nlCheck="1" w:checkStyle="0"/>
  <w:activeWritingStyle w:appName="MSWord" w:lang="fr-BE" w:vendorID="64" w:dllVersion="0" w:nlCheck="1" w:checkStyle="0"/>
  <w:stylePaneFormatFilter w:val="1201" w:allStyles="1" w:customStyles="0" w:latentStyles="0" w:stylesInUse="0" w:headingStyles="0" w:numberingStyles="0" w:tableStyles="0" w:directFormattingOnRuns="0" w:directFormattingOnParagraphs="1" w:directFormattingOnNumbering="0" w:directFormattingOnTables="0" w:clearFormatting="1" w:top3HeadingStyles="0" w:visibleStyles="0" w:alternateStyleNames="0"/>
  <w:stylePaneSortMethod w:val="0000"/>
  <w:defaultTabStop w:val="567"/>
  <w:hyphenationZone w:val="425"/>
  <w:evenAndOddHeaders/>
  <w:drawingGridHorizontalSpacing w:val="9752"/>
  <w:drawingGridVerticalSpacing w:val="13767"/>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01D"/>
    <w:rsid w:val="00002B55"/>
    <w:rsid w:val="0000442A"/>
    <w:rsid w:val="00006B36"/>
    <w:rsid w:val="00010F21"/>
    <w:rsid w:val="00013FD3"/>
    <w:rsid w:val="00015002"/>
    <w:rsid w:val="000170A7"/>
    <w:rsid w:val="000203DC"/>
    <w:rsid w:val="00023A0D"/>
    <w:rsid w:val="000250B6"/>
    <w:rsid w:val="000259B5"/>
    <w:rsid w:val="000261DB"/>
    <w:rsid w:val="00030466"/>
    <w:rsid w:val="00031020"/>
    <w:rsid w:val="00036609"/>
    <w:rsid w:val="00036848"/>
    <w:rsid w:val="0004083C"/>
    <w:rsid w:val="00040EBF"/>
    <w:rsid w:val="0004544E"/>
    <w:rsid w:val="000457C9"/>
    <w:rsid w:val="00045A1E"/>
    <w:rsid w:val="000466D1"/>
    <w:rsid w:val="00046B26"/>
    <w:rsid w:val="00046D2A"/>
    <w:rsid w:val="000506A6"/>
    <w:rsid w:val="00050C0A"/>
    <w:rsid w:val="00051EBE"/>
    <w:rsid w:val="00055233"/>
    <w:rsid w:val="00056CF9"/>
    <w:rsid w:val="000570D8"/>
    <w:rsid w:val="00057E65"/>
    <w:rsid w:val="0006068A"/>
    <w:rsid w:val="00062F3A"/>
    <w:rsid w:val="000632E7"/>
    <w:rsid w:val="000644E1"/>
    <w:rsid w:val="00072053"/>
    <w:rsid w:val="00072A5B"/>
    <w:rsid w:val="00073665"/>
    <w:rsid w:val="00073FC6"/>
    <w:rsid w:val="0007657C"/>
    <w:rsid w:val="00081D83"/>
    <w:rsid w:val="00082680"/>
    <w:rsid w:val="0008281E"/>
    <w:rsid w:val="00083838"/>
    <w:rsid w:val="00090043"/>
    <w:rsid w:val="000903D6"/>
    <w:rsid w:val="00091606"/>
    <w:rsid w:val="00092A36"/>
    <w:rsid w:val="0009382B"/>
    <w:rsid w:val="00093CCF"/>
    <w:rsid w:val="000955DB"/>
    <w:rsid w:val="00095EC1"/>
    <w:rsid w:val="00096D05"/>
    <w:rsid w:val="00097B2A"/>
    <w:rsid w:val="00097C36"/>
    <w:rsid w:val="00097D1C"/>
    <w:rsid w:val="000A0855"/>
    <w:rsid w:val="000A24C4"/>
    <w:rsid w:val="000A360C"/>
    <w:rsid w:val="000A3AE7"/>
    <w:rsid w:val="000A47B8"/>
    <w:rsid w:val="000B0512"/>
    <w:rsid w:val="000B07C2"/>
    <w:rsid w:val="000B68D3"/>
    <w:rsid w:val="000C03F7"/>
    <w:rsid w:val="000C0670"/>
    <w:rsid w:val="000C3015"/>
    <w:rsid w:val="000C3038"/>
    <w:rsid w:val="000C5E66"/>
    <w:rsid w:val="000C79B4"/>
    <w:rsid w:val="000C7FE6"/>
    <w:rsid w:val="000D02C0"/>
    <w:rsid w:val="000D0D97"/>
    <w:rsid w:val="000D2A45"/>
    <w:rsid w:val="000D3250"/>
    <w:rsid w:val="000D519F"/>
    <w:rsid w:val="000D7949"/>
    <w:rsid w:val="000D7CD1"/>
    <w:rsid w:val="000E016F"/>
    <w:rsid w:val="000E2087"/>
    <w:rsid w:val="000E2F7D"/>
    <w:rsid w:val="000E3A36"/>
    <w:rsid w:val="000E40D7"/>
    <w:rsid w:val="000E56F5"/>
    <w:rsid w:val="000E7C58"/>
    <w:rsid w:val="000F0753"/>
    <w:rsid w:val="000F2592"/>
    <w:rsid w:val="000F36EB"/>
    <w:rsid w:val="000F58BC"/>
    <w:rsid w:val="000F6B46"/>
    <w:rsid w:val="000F7710"/>
    <w:rsid w:val="00101CDD"/>
    <w:rsid w:val="00102F3B"/>
    <w:rsid w:val="00102F63"/>
    <w:rsid w:val="0010418B"/>
    <w:rsid w:val="001105B4"/>
    <w:rsid w:val="001143D4"/>
    <w:rsid w:val="001148E7"/>
    <w:rsid w:val="00115FC3"/>
    <w:rsid w:val="0011658E"/>
    <w:rsid w:val="00116AE2"/>
    <w:rsid w:val="00120433"/>
    <w:rsid w:val="00121F59"/>
    <w:rsid w:val="00125DCB"/>
    <w:rsid w:val="001352DF"/>
    <w:rsid w:val="001353E5"/>
    <w:rsid w:val="001355E9"/>
    <w:rsid w:val="00137015"/>
    <w:rsid w:val="00140817"/>
    <w:rsid w:val="00142A02"/>
    <w:rsid w:val="00143F57"/>
    <w:rsid w:val="001455DC"/>
    <w:rsid w:val="00157BED"/>
    <w:rsid w:val="00157CE4"/>
    <w:rsid w:val="00164986"/>
    <w:rsid w:val="00165E36"/>
    <w:rsid w:val="00166174"/>
    <w:rsid w:val="001710FF"/>
    <w:rsid w:val="00171579"/>
    <w:rsid w:val="00173A84"/>
    <w:rsid w:val="0017659B"/>
    <w:rsid w:val="00176770"/>
    <w:rsid w:val="001778AA"/>
    <w:rsid w:val="00181041"/>
    <w:rsid w:val="00182760"/>
    <w:rsid w:val="00182974"/>
    <w:rsid w:val="00185BCF"/>
    <w:rsid w:val="00186111"/>
    <w:rsid w:val="00191712"/>
    <w:rsid w:val="0019592A"/>
    <w:rsid w:val="001973DC"/>
    <w:rsid w:val="001977FF"/>
    <w:rsid w:val="00197BAB"/>
    <w:rsid w:val="001A17A7"/>
    <w:rsid w:val="001A1A66"/>
    <w:rsid w:val="001A577B"/>
    <w:rsid w:val="001A7DC0"/>
    <w:rsid w:val="001B40CD"/>
    <w:rsid w:val="001B55B2"/>
    <w:rsid w:val="001C1AF5"/>
    <w:rsid w:val="001C2C7E"/>
    <w:rsid w:val="001C620A"/>
    <w:rsid w:val="001D08D2"/>
    <w:rsid w:val="001D30F9"/>
    <w:rsid w:val="001E15FB"/>
    <w:rsid w:val="001E73AF"/>
    <w:rsid w:val="001E754B"/>
    <w:rsid w:val="001E7ABA"/>
    <w:rsid w:val="001E7B4C"/>
    <w:rsid w:val="001F055D"/>
    <w:rsid w:val="001F5833"/>
    <w:rsid w:val="001F5D6E"/>
    <w:rsid w:val="001F6111"/>
    <w:rsid w:val="00206D6A"/>
    <w:rsid w:val="00212735"/>
    <w:rsid w:val="00212938"/>
    <w:rsid w:val="00214838"/>
    <w:rsid w:val="00215B3F"/>
    <w:rsid w:val="00217B86"/>
    <w:rsid w:val="0022067E"/>
    <w:rsid w:val="00224404"/>
    <w:rsid w:val="002247E0"/>
    <w:rsid w:val="00224D0D"/>
    <w:rsid w:val="0023077C"/>
    <w:rsid w:val="002310B1"/>
    <w:rsid w:val="002318A0"/>
    <w:rsid w:val="00231E33"/>
    <w:rsid w:val="00232404"/>
    <w:rsid w:val="0023448A"/>
    <w:rsid w:val="002374A2"/>
    <w:rsid w:val="00243062"/>
    <w:rsid w:val="00243590"/>
    <w:rsid w:val="00246C87"/>
    <w:rsid w:val="00247DA6"/>
    <w:rsid w:val="0025232C"/>
    <w:rsid w:val="002540CA"/>
    <w:rsid w:val="00256080"/>
    <w:rsid w:val="002560E1"/>
    <w:rsid w:val="0026332D"/>
    <w:rsid w:val="002649F7"/>
    <w:rsid w:val="002677D5"/>
    <w:rsid w:val="00267DD1"/>
    <w:rsid w:val="00271491"/>
    <w:rsid w:val="00272DA7"/>
    <w:rsid w:val="00272FDB"/>
    <w:rsid w:val="00274F3B"/>
    <w:rsid w:val="002769FA"/>
    <w:rsid w:val="00281787"/>
    <w:rsid w:val="00283785"/>
    <w:rsid w:val="002867EB"/>
    <w:rsid w:val="002913E1"/>
    <w:rsid w:val="00292A00"/>
    <w:rsid w:val="002951BB"/>
    <w:rsid w:val="002A078D"/>
    <w:rsid w:val="002A0824"/>
    <w:rsid w:val="002A179A"/>
    <w:rsid w:val="002A1A45"/>
    <w:rsid w:val="002A2DE0"/>
    <w:rsid w:val="002A387D"/>
    <w:rsid w:val="002A3B99"/>
    <w:rsid w:val="002A3E0C"/>
    <w:rsid w:val="002A4100"/>
    <w:rsid w:val="002A4807"/>
    <w:rsid w:val="002A49B1"/>
    <w:rsid w:val="002B0BF6"/>
    <w:rsid w:val="002B3818"/>
    <w:rsid w:val="002B64DF"/>
    <w:rsid w:val="002C3D36"/>
    <w:rsid w:val="002C57BD"/>
    <w:rsid w:val="002D1280"/>
    <w:rsid w:val="002D3AC2"/>
    <w:rsid w:val="002D599B"/>
    <w:rsid w:val="002E1907"/>
    <w:rsid w:val="002E47C1"/>
    <w:rsid w:val="002E5D61"/>
    <w:rsid w:val="002E684B"/>
    <w:rsid w:val="002E7CFF"/>
    <w:rsid w:val="002F21CA"/>
    <w:rsid w:val="002F26B9"/>
    <w:rsid w:val="002F44E8"/>
    <w:rsid w:val="002F55E4"/>
    <w:rsid w:val="002F59E0"/>
    <w:rsid w:val="00300618"/>
    <w:rsid w:val="003019FC"/>
    <w:rsid w:val="00302272"/>
    <w:rsid w:val="0031045B"/>
    <w:rsid w:val="00311BD3"/>
    <w:rsid w:val="00313557"/>
    <w:rsid w:val="0031370E"/>
    <w:rsid w:val="00314515"/>
    <w:rsid w:val="0032033D"/>
    <w:rsid w:val="00321313"/>
    <w:rsid w:val="003222FA"/>
    <w:rsid w:val="0032499B"/>
    <w:rsid w:val="00325208"/>
    <w:rsid w:val="00326559"/>
    <w:rsid w:val="00331B1A"/>
    <w:rsid w:val="00332974"/>
    <w:rsid w:val="0033314D"/>
    <w:rsid w:val="0033404C"/>
    <w:rsid w:val="003344F8"/>
    <w:rsid w:val="00335551"/>
    <w:rsid w:val="00341F5E"/>
    <w:rsid w:val="00342C02"/>
    <w:rsid w:val="00343CED"/>
    <w:rsid w:val="00347307"/>
    <w:rsid w:val="003509FA"/>
    <w:rsid w:val="00350ACA"/>
    <w:rsid w:val="00350C7E"/>
    <w:rsid w:val="00351857"/>
    <w:rsid w:val="00353CE4"/>
    <w:rsid w:val="003548AB"/>
    <w:rsid w:val="0035737C"/>
    <w:rsid w:val="00363AD0"/>
    <w:rsid w:val="0036564C"/>
    <w:rsid w:val="003734EE"/>
    <w:rsid w:val="00373D4E"/>
    <w:rsid w:val="00374B5C"/>
    <w:rsid w:val="00375D10"/>
    <w:rsid w:val="00375FF0"/>
    <w:rsid w:val="003778BD"/>
    <w:rsid w:val="00380BA8"/>
    <w:rsid w:val="00381B50"/>
    <w:rsid w:val="00381C12"/>
    <w:rsid w:val="00381D56"/>
    <w:rsid w:val="003841C9"/>
    <w:rsid w:val="003874E6"/>
    <w:rsid w:val="00394985"/>
    <w:rsid w:val="00395994"/>
    <w:rsid w:val="00395F29"/>
    <w:rsid w:val="00396755"/>
    <w:rsid w:val="003A1958"/>
    <w:rsid w:val="003A369F"/>
    <w:rsid w:val="003A63A9"/>
    <w:rsid w:val="003A72EF"/>
    <w:rsid w:val="003B2152"/>
    <w:rsid w:val="003B405C"/>
    <w:rsid w:val="003B4B6E"/>
    <w:rsid w:val="003C0167"/>
    <w:rsid w:val="003C17A6"/>
    <w:rsid w:val="003C1A84"/>
    <w:rsid w:val="003C7E57"/>
    <w:rsid w:val="003D382C"/>
    <w:rsid w:val="003E0584"/>
    <w:rsid w:val="003E09B3"/>
    <w:rsid w:val="003E1C3A"/>
    <w:rsid w:val="003E407B"/>
    <w:rsid w:val="003F0CF8"/>
    <w:rsid w:val="003F3B7F"/>
    <w:rsid w:val="003F41D3"/>
    <w:rsid w:val="003F4B71"/>
    <w:rsid w:val="003F7B00"/>
    <w:rsid w:val="0040163C"/>
    <w:rsid w:val="004035D4"/>
    <w:rsid w:val="00403E41"/>
    <w:rsid w:val="004057E8"/>
    <w:rsid w:val="00405FFA"/>
    <w:rsid w:val="00411EA8"/>
    <w:rsid w:val="004120A1"/>
    <w:rsid w:val="004135A7"/>
    <w:rsid w:val="00415374"/>
    <w:rsid w:val="00415F3A"/>
    <w:rsid w:val="00416A13"/>
    <w:rsid w:val="00420562"/>
    <w:rsid w:val="00421207"/>
    <w:rsid w:val="00425ED4"/>
    <w:rsid w:val="004274B8"/>
    <w:rsid w:val="00430059"/>
    <w:rsid w:val="00430A55"/>
    <w:rsid w:val="00431C39"/>
    <w:rsid w:val="00434309"/>
    <w:rsid w:val="0043513F"/>
    <w:rsid w:val="004356AB"/>
    <w:rsid w:val="004364DA"/>
    <w:rsid w:val="004365BE"/>
    <w:rsid w:val="00436D10"/>
    <w:rsid w:val="00437112"/>
    <w:rsid w:val="00445264"/>
    <w:rsid w:val="00446B9B"/>
    <w:rsid w:val="00446ED4"/>
    <w:rsid w:val="0045218E"/>
    <w:rsid w:val="00452BEE"/>
    <w:rsid w:val="004538AA"/>
    <w:rsid w:val="004543C9"/>
    <w:rsid w:val="00456FBB"/>
    <w:rsid w:val="00462181"/>
    <w:rsid w:val="004631C1"/>
    <w:rsid w:val="0046410D"/>
    <w:rsid w:val="00474B00"/>
    <w:rsid w:val="00474F9D"/>
    <w:rsid w:val="00486ADF"/>
    <w:rsid w:val="00491BE1"/>
    <w:rsid w:val="0049209D"/>
    <w:rsid w:val="004945D3"/>
    <w:rsid w:val="00497A45"/>
    <w:rsid w:val="00497F32"/>
    <w:rsid w:val="004A029E"/>
    <w:rsid w:val="004A20BC"/>
    <w:rsid w:val="004A20CD"/>
    <w:rsid w:val="004A2607"/>
    <w:rsid w:val="004A56F9"/>
    <w:rsid w:val="004A59E7"/>
    <w:rsid w:val="004A62FC"/>
    <w:rsid w:val="004A73C2"/>
    <w:rsid w:val="004B08A4"/>
    <w:rsid w:val="004B5BBD"/>
    <w:rsid w:val="004B62E7"/>
    <w:rsid w:val="004C116E"/>
    <w:rsid w:val="004C1854"/>
    <w:rsid w:val="004C4EDF"/>
    <w:rsid w:val="004C61D2"/>
    <w:rsid w:val="004C63DB"/>
    <w:rsid w:val="004C68F7"/>
    <w:rsid w:val="004D3DE3"/>
    <w:rsid w:val="004D5FD9"/>
    <w:rsid w:val="004D729F"/>
    <w:rsid w:val="004E22C1"/>
    <w:rsid w:val="004E31A8"/>
    <w:rsid w:val="004E5733"/>
    <w:rsid w:val="004E740F"/>
    <w:rsid w:val="004E7F30"/>
    <w:rsid w:val="004F009F"/>
    <w:rsid w:val="004F0614"/>
    <w:rsid w:val="004F26FC"/>
    <w:rsid w:val="004F2B29"/>
    <w:rsid w:val="004F2CDC"/>
    <w:rsid w:val="004F4BCC"/>
    <w:rsid w:val="004F5434"/>
    <w:rsid w:val="004F7465"/>
    <w:rsid w:val="004F7F58"/>
    <w:rsid w:val="00501E16"/>
    <w:rsid w:val="005024D8"/>
    <w:rsid w:val="0050341E"/>
    <w:rsid w:val="00504093"/>
    <w:rsid w:val="005041C8"/>
    <w:rsid w:val="00506E35"/>
    <w:rsid w:val="005072C9"/>
    <w:rsid w:val="005110C8"/>
    <w:rsid w:val="005138F6"/>
    <w:rsid w:val="0051522D"/>
    <w:rsid w:val="005156B4"/>
    <w:rsid w:val="00515DAA"/>
    <w:rsid w:val="0052191E"/>
    <w:rsid w:val="00522059"/>
    <w:rsid w:val="0052231A"/>
    <w:rsid w:val="0052692D"/>
    <w:rsid w:val="00534B87"/>
    <w:rsid w:val="005352C2"/>
    <w:rsid w:val="005376A9"/>
    <w:rsid w:val="0054629D"/>
    <w:rsid w:val="00555CF7"/>
    <w:rsid w:val="00556A2B"/>
    <w:rsid w:val="005574FF"/>
    <w:rsid w:val="0056481D"/>
    <w:rsid w:val="005648EA"/>
    <w:rsid w:val="00570B69"/>
    <w:rsid w:val="0057215D"/>
    <w:rsid w:val="00572250"/>
    <w:rsid w:val="00577B47"/>
    <w:rsid w:val="0058143E"/>
    <w:rsid w:val="00582828"/>
    <w:rsid w:val="005841B6"/>
    <w:rsid w:val="0058586E"/>
    <w:rsid w:val="00587BA3"/>
    <w:rsid w:val="00590712"/>
    <w:rsid w:val="00591324"/>
    <w:rsid w:val="00591CF4"/>
    <w:rsid w:val="00591E90"/>
    <w:rsid w:val="00593991"/>
    <w:rsid w:val="00594617"/>
    <w:rsid w:val="005965D6"/>
    <w:rsid w:val="00596DE0"/>
    <w:rsid w:val="005A503B"/>
    <w:rsid w:val="005A7C45"/>
    <w:rsid w:val="005A7DF6"/>
    <w:rsid w:val="005A7F00"/>
    <w:rsid w:val="005B4A74"/>
    <w:rsid w:val="005B6303"/>
    <w:rsid w:val="005B7CFD"/>
    <w:rsid w:val="005C4C9E"/>
    <w:rsid w:val="005D2325"/>
    <w:rsid w:val="005D2A12"/>
    <w:rsid w:val="005D42C7"/>
    <w:rsid w:val="005E6404"/>
    <w:rsid w:val="005F222B"/>
    <w:rsid w:val="005F4D95"/>
    <w:rsid w:val="006010E7"/>
    <w:rsid w:val="00604642"/>
    <w:rsid w:val="0060470A"/>
    <w:rsid w:val="0060596D"/>
    <w:rsid w:val="006059DA"/>
    <w:rsid w:val="00605B61"/>
    <w:rsid w:val="00611764"/>
    <w:rsid w:val="00611D67"/>
    <w:rsid w:val="006207A3"/>
    <w:rsid w:val="006210D7"/>
    <w:rsid w:val="006213A5"/>
    <w:rsid w:val="00621828"/>
    <w:rsid w:val="006230AE"/>
    <w:rsid w:val="00626FEA"/>
    <w:rsid w:val="00632983"/>
    <w:rsid w:val="00640360"/>
    <w:rsid w:val="00641F31"/>
    <w:rsid w:val="00642581"/>
    <w:rsid w:val="00643377"/>
    <w:rsid w:val="00643598"/>
    <w:rsid w:val="00643E44"/>
    <w:rsid w:val="00644E67"/>
    <w:rsid w:val="00647E8A"/>
    <w:rsid w:val="00650035"/>
    <w:rsid w:val="00650A34"/>
    <w:rsid w:val="00653C71"/>
    <w:rsid w:val="00654CA4"/>
    <w:rsid w:val="00654E70"/>
    <w:rsid w:val="0065651A"/>
    <w:rsid w:val="0065676D"/>
    <w:rsid w:val="00657BB2"/>
    <w:rsid w:val="00660B73"/>
    <w:rsid w:val="00661029"/>
    <w:rsid w:val="00661B4F"/>
    <w:rsid w:val="0066200C"/>
    <w:rsid w:val="006638FA"/>
    <w:rsid w:val="0066689D"/>
    <w:rsid w:val="00670247"/>
    <w:rsid w:val="0067170B"/>
    <w:rsid w:val="006724C7"/>
    <w:rsid w:val="0067270F"/>
    <w:rsid w:val="00672A7C"/>
    <w:rsid w:val="006736EB"/>
    <w:rsid w:val="00676AF3"/>
    <w:rsid w:val="00680DD8"/>
    <w:rsid w:val="00687BF7"/>
    <w:rsid w:val="00690097"/>
    <w:rsid w:val="00692E9B"/>
    <w:rsid w:val="00695815"/>
    <w:rsid w:val="006B0B79"/>
    <w:rsid w:val="006B663B"/>
    <w:rsid w:val="006C0555"/>
    <w:rsid w:val="006D0B34"/>
    <w:rsid w:val="006D3F6F"/>
    <w:rsid w:val="006D682B"/>
    <w:rsid w:val="006D721F"/>
    <w:rsid w:val="006E0B24"/>
    <w:rsid w:val="006E13DA"/>
    <w:rsid w:val="006E310D"/>
    <w:rsid w:val="006E3CA9"/>
    <w:rsid w:val="006E47F5"/>
    <w:rsid w:val="006E5B3C"/>
    <w:rsid w:val="006E6E71"/>
    <w:rsid w:val="006E72E1"/>
    <w:rsid w:val="006E79E6"/>
    <w:rsid w:val="006F17A0"/>
    <w:rsid w:val="006F3A9D"/>
    <w:rsid w:val="006F55FF"/>
    <w:rsid w:val="00702A82"/>
    <w:rsid w:val="00703482"/>
    <w:rsid w:val="00704975"/>
    <w:rsid w:val="00706660"/>
    <w:rsid w:val="00706BEF"/>
    <w:rsid w:val="007078C7"/>
    <w:rsid w:val="00711AAE"/>
    <w:rsid w:val="00714ED1"/>
    <w:rsid w:val="00716538"/>
    <w:rsid w:val="00722F85"/>
    <w:rsid w:val="00723CF7"/>
    <w:rsid w:val="00725D07"/>
    <w:rsid w:val="00726D50"/>
    <w:rsid w:val="00727FC2"/>
    <w:rsid w:val="00730CAA"/>
    <w:rsid w:val="00733415"/>
    <w:rsid w:val="007375D1"/>
    <w:rsid w:val="00740478"/>
    <w:rsid w:val="00740DB2"/>
    <w:rsid w:val="00744C0A"/>
    <w:rsid w:val="00745F7F"/>
    <w:rsid w:val="00755269"/>
    <w:rsid w:val="007565E8"/>
    <w:rsid w:val="00756EDF"/>
    <w:rsid w:val="007571BC"/>
    <w:rsid w:val="0075768C"/>
    <w:rsid w:val="00761918"/>
    <w:rsid w:val="007627EB"/>
    <w:rsid w:val="00763209"/>
    <w:rsid w:val="00763285"/>
    <w:rsid w:val="00763BFE"/>
    <w:rsid w:val="007641A1"/>
    <w:rsid w:val="00767E94"/>
    <w:rsid w:val="007707FF"/>
    <w:rsid w:val="00771302"/>
    <w:rsid w:val="0077153E"/>
    <w:rsid w:val="00772347"/>
    <w:rsid w:val="0077336D"/>
    <w:rsid w:val="007744B3"/>
    <w:rsid w:val="00776B0F"/>
    <w:rsid w:val="00777269"/>
    <w:rsid w:val="00777CB3"/>
    <w:rsid w:val="00780F47"/>
    <w:rsid w:val="007834F1"/>
    <w:rsid w:val="00783EF5"/>
    <w:rsid w:val="00783FDB"/>
    <w:rsid w:val="0078504E"/>
    <w:rsid w:val="00785548"/>
    <w:rsid w:val="00785C17"/>
    <w:rsid w:val="00786760"/>
    <w:rsid w:val="00787D8E"/>
    <w:rsid w:val="00790307"/>
    <w:rsid w:val="007906E1"/>
    <w:rsid w:val="0079170B"/>
    <w:rsid w:val="00792E53"/>
    <w:rsid w:val="0079403C"/>
    <w:rsid w:val="00794FC9"/>
    <w:rsid w:val="00795BE2"/>
    <w:rsid w:val="00796059"/>
    <w:rsid w:val="007A117E"/>
    <w:rsid w:val="007A1A12"/>
    <w:rsid w:val="007A25B5"/>
    <w:rsid w:val="007A25BF"/>
    <w:rsid w:val="007A2E41"/>
    <w:rsid w:val="007A4A17"/>
    <w:rsid w:val="007A764A"/>
    <w:rsid w:val="007B2F7B"/>
    <w:rsid w:val="007B40C9"/>
    <w:rsid w:val="007B491B"/>
    <w:rsid w:val="007C0470"/>
    <w:rsid w:val="007C3199"/>
    <w:rsid w:val="007D115E"/>
    <w:rsid w:val="007D1D29"/>
    <w:rsid w:val="007D2E7E"/>
    <w:rsid w:val="007D653E"/>
    <w:rsid w:val="007E1F1A"/>
    <w:rsid w:val="007E2EF8"/>
    <w:rsid w:val="007E432D"/>
    <w:rsid w:val="007E49AF"/>
    <w:rsid w:val="007E4AE7"/>
    <w:rsid w:val="007E4B66"/>
    <w:rsid w:val="007E5401"/>
    <w:rsid w:val="007F079E"/>
    <w:rsid w:val="007F1414"/>
    <w:rsid w:val="007F51ED"/>
    <w:rsid w:val="007F7FCC"/>
    <w:rsid w:val="00802497"/>
    <w:rsid w:val="00803ECF"/>
    <w:rsid w:val="008161FC"/>
    <w:rsid w:val="00817FE4"/>
    <w:rsid w:val="0082181D"/>
    <w:rsid w:val="00822F09"/>
    <w:rsid w:val="00825E18"/>
    <w:rsid w:val="00831300"/>
    <w:rsid w:val="00833A7E"/>
    <w:rsid w:val="00835063"/>
    <w:rsid w:val="00841368"/>
    <w:rsid w:val="008419FA"/>
    <w:rsid w:val="008427F3"/>
    <w:rsid w:val="00842E57"/>
    <w:rsid w:val="00846380"/>
    <w:rsid w:val="00850ACE"/>
    <w:rsid w:val="00853A17"/>
    <w:rsid w:val="00853D7F"/>
    <w:rsid w:val="00856A3B"/>
    <w:rsid w:val="00860240"/>
    <w:rsid w:val="00862802"/>
    <w:rsid w:val="00864638"/>
    <w:rsid w:val="0086517C"/>
    <w:rsid w:val="008656B4"/>
    <w:rsid w:val="00865DB3"/>
    <w:rsid w:val="00867F11"/>
    <w:rsid w:val="00873D74"/>
    <w:rsid w:val="0087537D"/>
    <w:rsid w:val="0087595C"/>
    <w:rsid w:val="00875ADA"/>
    <w:rsid w:val="008814E1"/>
    <w:rsid w:val="00882485"/>
    <w:rsid w:val="00882570"/>
    <w:rsid w:val="008827F6"/>
    <w:rsid w:val="00882C68"/>
    <w:rsid w:val="0089465B"/>
    <w:rsid w:val="008969A4"/>
    <w:rsid w:val="00896A2E"/>
    <w:rsid w:val="008970C2"/>
    <w:rsid w:val="00897787"/>
    <w:rsid w:val="008A05F3"/>
    <w:rsid w:val="008A48D7"/>
    <w:rsid w:val="008A4FE4"/>
    <w:rsid w:val="008A5E41"/>
    <w:rsid w:val="008A6AD5"/>
    <w:rsid w:val="008A794D"/>
    <w:rsid w:val="008B0767"/>
    <w:rsid w:val="008B51E0"/>
    <w:rsid w:val="008C0574"/>
    <w:rsid w:val="008C1310"/>
    <w:rsid w:val="008C1358"/>
    <w:rsid w:val="008C277A"/>
    <w:rsid w:val="008C27ED"/>
    <w:rsid w:val="008C549E"/>
    <w:rsid w:val="008C5B10"/>
    <w:rsid w:val="008C6AAA"/>
    <w:rsid w:val="008C783D"/>
    <w:rsid w:val="008D1B54"/>
    <w:rsid w:val="008D1DC3"/>
    <w:rsid w:val="008D32E2"/>
    <w:rsid w:val="008D35BC"/>
    <w:rsid w:val="008D37B2"/>
    <w:rsid w:val="008D528C"/>
    <w:rsid w:val="008D5584"/>
    <w:rsid w:val="008D5A5F"/>
    <w:rsid w:val="008D5F54"/>
    <w:rsid w:val="008D6173"/>
    <w:rsid w:val="008D6184"/>
    <w:rsid w:val="008D6B60"/>
    <w:rsid w:val="008E04E1"/>
    <w:rsid w:val="008E2778"/>
    <w:rsid w:val="008E3A0B"/>
    <w:rsid w:val="008E6252"/>
    <w:rsid w:val="008E7B26"/>
    <w:rsid w:val="008F443D"/>
    <w:rsid w:val="0090199C"/>
    <w:rsid w:val="009050D5"/>
    <w:rsid w:val="00905C72"/>
    <w:rsid w:val="00907BE4"/>
    <w:rsid w:val="00910A2B"/>
    <w:rsid w:val="009126B8"/>
    <w:rsid w:val="00913131"/>
    <w:rsid w:val="009156DB"/>
    <w:rsid w:val="0092743C"/>
    <w:rsid w:val="009302EB"/>
    <w:rsid w:val="00932315"/>
    <w:rsid w:val="00932DFD"/>
    <w:rsid w:val="00943565"/>
    <w:rsid w:val="00943AE8"/>
    <w:rsid w:val="00943C97"/>
    <w:rsid w:val="00951206"/>
    <w:rsid w:val="00952678"/>
    <w:rsid w:val="00953A13"/>
    <w:rsid w:val="00956AA1"/>
    <w:rsid w:val="009570A5"/>
    <w:rsid w:val="0096382E"/>
    <w:rsid w:val="00966F02"/>
    <w:rsid w:val="009717CF"/>
    <w:rsid w:val="00972DAA"/>
    <w:rsid w:val="009732CA"/>
    <w:rsid w:val="00977615"/>
    <w:rsid w:val="00977FED"/>
    <w:rsid w:val="00980422"/>
    <w:rsid w:val="00980B41"/>
    <w:rsid w:val="00981547"/>
    <w:rsid w:val="009829DB"/>
    <w:rsid w:val="00993D16"/>
    <w:rsid w:val="00994AC0"/>
    <w:rsid w:val="00994DAE"/>
    <w:rsid w:val="00996E90"/>
    <w:rsid w:val="009A1397"/>
    <w:rsid w:val="009A1F53"/>
    <w:rsid w:val="009A7A6C"/>
    <w:rsid w:val="009B1AB3"/>
    <w:rsid w:val="009B23FF"/>
    <w:rsid w:val="009B39AC"/>
    <w:rsid w:val="009B455E"/>
    <w:rsid w:val="009B729F"/>
    <w:rsid w:val="009C73BD"/>
    <w:rsid w:val="009D287A"/>
    <w:rsid w:val="009D29BB"/>
    <w:rsid w:val="009D3012"/>
    <w:rsid w:val="009D3D7D"/>
    <w:rsid w:val="009D5C74"/>
    <w:rsid w:val="009D6383"/>
    <w:rsid w:val="009D732D"/>
    <w:rsid w:val="009D7EBE"/>
    <w:rsid w:val="009E11EC"/>
    <w:rsid w:val="009E22E4"/>
    <w:rsid w:val="009E3C24"/>
    <w:rsid w:val="009E4248"/>
    <w:rsid w:val="009E4901"/>
    <w:rsid w:val="009E788D"/>
    <w:rsid w:val="009F0ED8"/>
    <w:rsid w:val="009F27BF"/>
    <w:rsid w:val="009F2E93"/>
    <w:rsid w:val="009F527F"/>
    <w:rsid w:val="009F5C63"/>
    <w:rsid w:val="009F5D02"/>
    <w:rsid w:val="009F6685"/>
    <w:rsid w:val="00A000F1"/>
    <w:rsid w:val="00A00DDC"/>
    <w:rsid w:val="00A04220"/>
    <w:rsid w:val="00A048B3"/>
    <w:rsid w:val="00A04E33"/>
    <w:rsid w:val="00A05832"/>
    <w:rsid w:val="00A0760E"/>
    <w:rsid w:val="00A07CB6"/>
    <w:rsid w:val="00A10B21"/>
    <w:rsid w:val="00A1477B"/>
    <w:rsid w:val="00A14936"/>
    <w:rsid w:val="00A151D3"/>
    <w:rsid w:val="00A15994"/>
    <w:rsid w:val="00A16135"/>
    <w:rsid w:val="00A2376F"/>
    <w:rsid w:val="00A261AC"/>
    <w:rsid w:val="00A30EB7"/>
    <w:rsid w:val="00A3240C"/>
    <w:rsid w:val="00A3398D"/>
    <w:rsid w:val="00A3480E"/>
    <w:rsid w:val="00A35599"/>
    <w:rsid w:val="00A37167"/>
    <w:rsid w:val="00A37F7E"/>
    <w:rsid w:val="00A41266"/>
    <w:rsid w:val="00A41B8D"/>
    <w:rsid w:val="00A467E1"/>
    <w:rsid w:val="00A46F70"/>
    <w:rsid w:val="00A501E5"/>
    <w:rsid w:val="00A52A59"/>
    <w:rsid w:val="00A53290"/>
    <w:rsid w:val="00A55D4B"/>
    <w:rsid w:val="00A57FDC"/>
    <w:rsid w:val="00A62C68"/>
    <w:rsid w:val="00A63694"/>
    <w:rsid w:val="00A64585"/>
    <w:rsid w:val="00A663EB"/>
    <w:rsid w:val="00A670FA"/>
    <w:rsid w:val="00A735A5"/>
    <w:rsid w:val="00A7553E"/>
    <w:rsid w:val="00A772B3"/>
    <w:rsid w:val="00A807C6"/>
    <w:rsid w:val="00A82148"/>
    <w:rsid w:val="00A84718"/>
    <w:rsid w:val="00A84CE8"/>
    <w:rsid w:val="00A85511"/>
    <w:rsid w:val="00A85879"/>
    <w:rsid w:val="00A8751A"/>
    <w:rsid w:val="00A87840"/>
    <w:rsid w:val="00A90172"/>
    <w:rsid w:val="00A93E91"/>
    <w:rsid w:val="00A9422D"/>
    <w:rsid w:val="00A945AF"/>
    <w:rsid w:val="00A96530"/>
    <w:rsid w:val="00A9798F"/>
    <w:rsid w:val="00A97B6B"/>
    <w:rsid w:val="00AA0FE5"/>
    <w:rsid w:val="00AA119D"/>
    <w:rsid w:val="00AA2C15"/>
    <w:rsid w:val="00AA4AC4"/>
    <w:rsid w:val="00AB020A"/>
    <w:rsid w:val="00AB06C9"/>
    <w:rsid w:val="00AB5116"/>
    <w:rsid w:val="00AB5D05"/>
    <w:rsid w:val="00AB5E7A"/>
    <w:rsid w:val="00AB65AB"/>
    <w:rsid w:val="00AC13E6"/>
    <w:rsid w:val="00AC1836"/>
    <w:rsid w:val="00AC38C7"/>
    <w:rsid w:val="00AC39A1"/>
    <w:rsid w:val="00AC3D59"/>
    <w:rsid w:val="00AC44F2"/>
    <w:rsid w:val="00AD033B"/>
    <w:rsid w:val="00AD1729"/>
    <w:rsid w:val="00AD44B5"/>
    <w:rsid w:val="00AD6474"/>
    <w:rsid w:val="00AE0DC5"/>
    <w:rsid w:val="00AE30DB"/>
    <w:rsid w:val="00AE4703"/>
    <w:rsid w:val="00AE724B"/>
    <w:rsid w:val="00AF14E5"/>
    <w:rsid w:val="00AF1DBB"/>
    <w:rsid w:val="00AF4B31"/>
    <w:rsid w:val="00AF5889"/>
    <w:rsid w:val="00AF6585"/>
    <w:rsid w:val="00AF7261"/>
    <w:rsid w:val="00B023FE"/>
    <w:rsid w:val="00B03E87"/>
    <w:rsid w:val="00B0410C"/>
    <w:rsid w:val="00B05D84"/>
    <w:rsid w:val="00B0777B"/>
    <w:rsid w:val="00B078F1"/>
    <w:rsid w:val="00B10711"/>
    <w:rsid w:val="00B10EF2"/>
    <w:rsid w:val="00B10F08"/>
    <w:rsid w:val="00B13DC5"/>
    <w:rsid w:val="00B212C6"/>
    <w:rsid w:val="00B223BF"/>
    <w:rsid w:val="00B2287C"/>
    <w:rsid w:val="00B25AB7"/>
    <w:rsid w:val="00B265D6"/>
    <w:rsid w:val="00B269EF"/>
    <w:rsid w:val="00B27340"/>
    <w:rsid w:val="00B30272"/>
    <w:rsid w:val="00B3041B"/>
    <w:rsid w:val="00B307E4"/>
    <w:rsid w:val="00B325DB"/>
    <w:rsid w:val="00B32CBB"/>
    <w:rsid w:val="00B3302F"/>
    <w:rsid w:val="00B3355A"/>
    <w:rsid w:val="00B45950"/>
    <w:rsid w:val="00B47E3D"/>
    <w:rsid w:val="00B520E6"/>
    <w:rsid w:val="00B556B5"/>
    <w:rsid w:val="00B55757"/>
    <w:rsid w:val="00B56A0F"/>
    <w:rsid w:val="00B60186"/>
    <w:rsid w:val="00B603A5"/>
    <w:rsid w:val="00B60DCC"/>
    <w:rsid w:val="00B63EF0"/>
    <w:rsid w:val="00B64693"/>
    <w:rsid w:val="00B654E8"/>
    <w:rsid w:val="00B71827"/>
    <w:rsid w:val="00B732D2"/>
    <w:rsid w:val="00B7663F"/>
    <w:rsid w:val="00B807B8"/>
    <w:rsid w:val="00B8288D"/>
    <w:rsid w:val="00B82AA6"/>
    <w:rsid w:val="00B831DD"/>
    <w:rsid w:val="00B84929"/>
    <w:rsid w:val="00B84FDB"/>
    <w:rsid w:val="00B8599B"/>
    <w:rsid w:val="00B90773"/>
    <w:rsid w:val="00B9096E"/>
    <w:rsid w:val="00B95978"/>
    <w:rsid w:val="00BA012D"/>
    <w:rsid w:val="00BA2C46"/>
    <w:rsid w:val="00BA3C8A"/>
    <w:rsid w:val="00BA7B71"/>
    <w:rsid w:val="00BB0FE4"/>
    <w:rsid w:val="00BB1209"/>
    <w:rsid w:val="00BB2431"/>
    <w:rsid w:val="00BB3882"/>
    <w:rsid w:val="00BB3D18"/>
    <w:rsid w:val="00BD04C2"/>
    <w:rsid w:val="00BD35C3"/>
    <w:rsid w:val="00BD5ABE"/>
    <w:rsid w:val="00BD7B75"/>
    <w:rsid w:val="00BE5EF4"/>
    <w:rsid w:val="00BE71AF"/>
    <w:rsid w:val="00BE773A"/>
    <w:rsid w:val="00BE7E1E"/>
    <w:rsid w:val="00BF00EE"/>
    <w:rsid w:val="00BF0553"/>
    <w:rsid w:val="00BF0D86"/>
    <w:rsid w:val="00BF3C1A"/>
    <w:rsid w:val="00BF78A3"/>
    <w:rsid w:val="00BF792D"/>
    <w:rsid w:val="00C00C3C"/>
    <w:rsid w:val="00C049A1"/>
    <w:rsid w:val="00C04ACB"/>
    <w:rsid w:val="00C06AF7"/>
    <w:rsid w:val="00C0743C"/>
    <w:rsid w:val="00C07BCB"/>
    <w:rsid w:val="00C108CB"/>
    <w:rsid w:val="00C10FA2"/>
    <w:rsid w:val="00C11449"/>
    <w:rsid w:val="00C164CF"/>
    <w:rsid w:val="00C167D2"/>
    <w:rsid w:val="00C16899"/>
    <w:rsid w:val="00C16B22"/>
    <w:rsid w:val="00C3572F"/>
    <w:rsid w:val="00C412E5"/>
    <w:rsid w:val="00C44447"/>
    <w:rsid w:val="00C45587"/>
    <w:rsid w:val="00C45FF1"/>
    <w:rsid w:val="00C52B4F"/>
    <w:rsid w:val="00C54DE9"/>
    <w:rsid w:val="00C54E80"/>
    <w:rsid w:val="00C55817"/>
    <w:rsid w:val="00C603BE"/>
    <w:rsid w:val="00C603F8"/>
    <w:rsid w:val="00C613E3"/>
    <w:rsid w:val="00C6630A"/>
    <w:rsid w:val="00C67580"/>
    <w:rsid w:val="00C710B1"/>
    <w:rsid w:val="00C74721"/>
    <w:rsid w:val="00C764D4"/>
    <w:rsid w:val="00C77874"/>
    <w:rsid w:val="00C803CB"/>
    <w:rsid w:val="00C818C0"/>
    <w:rsid w:val="00C82552"/>
    <w:rsid w:val="00C840EC"/>
    <w:rsid w:val="00C85C70"/>
    <w:rsid w:val="00C864B2"/>
    <w:rsid w:val="00C87208"/>
    <w:rsid w:val="00C94299"/>
    <w:rsid w:val="00CA0F43"/>
    <w:rsid w:val="00CA1101"/>
    <w:rsid w:val="00CA356C"/>
    <w:rsid w:val="00CA6522"/>
    <w:rsid w:val="00CA7429"/>
    <w:rsid w:val="00CB2841"/>
    <w:rsid w:val="00CB3573"/>
    <w:rsid w:val="00CB43DA"/>
    <w:rsid w:val="00CB451A"/>
    <w:rsid w:val="00CB5049"/>
    <w:rsid w:val="00CB5743"/>
    <w:rsid w:val="00CB777E"/>
    <w:rsid w:val="00CC03E3"/>
    <w:rsid w:val="00CC376D"/>
    <w:rsid w:val="00CC56CE"/>
    <w:rsid w:val="00CC592C"/>
    <w:rsid w:val="00CC62AC"/>
    <w:rsid w:val="00CD6350"/>
    <w:rsid w:val="00CD6899"/>
    <w:rsid w:val="00CE1D2B"/>
    <w:rsid w:val="00CE290D"/>
    <w:rsid w:val="00CE50EE"/>
    <w:rsid w:val="00CE5CD4"/>
    <w:rsid w:val="00CE644A"/>
    <w:rsid w:val="00CF0747"/>
    <w:rsid w:val="00CF1E6A"/>
    <w:rsid w:val="00CF3768"/>
    <w:rsid w:val="00CF4D97"/>
    <w:rsid w:val="00CF7E2A"/>
    <w:rsid w:val="00D0076C"/>
    <w:rsid w:val="00D04FFB"/>
    <w:rsid w:val="00D06D33"/>
    <w:rsid w:val="00D100E8"/>
    <w:rsid w:val="00D10DA4"/>
    <w:rsid w:val="00D144A1"/>
    <w:rsid w:val="00D14697"/>
    <w:rsid w:val="00D160AE"/>
    <w:rsid w:val="00D163D6"/>
    <w:rsid w:val="00D16D3D"/>
    <w:rsid w:val="00D218F1"/>
    <w:rsid w:val="00D23836"/>
    <w:rsid w:val="00D3193E"/>
    <w:rsid w:val="00D32875"/>
    <w:rsid w:val="00D3428F"/>
    <w:rsid w:val="00D34CF1"/>
    <w:rsid w:val="00D35CC0"/>
    <w:rsid w:val="00D36AE6"/>
    <w:rsid w:val="00D445D8"/>
    <w:rsid w:val="00D50CCA"/>
    <w:rsid w:val="00D5112B"/>
    <w:rsid w:val="00D52B3C"/>
    <w:rsid w:val="00D55F8F"/>
    <w:rsid w:val="00D562AC"/>
    <w:rsid w:val="00D564E2"/>
    <w:rsid w:val="00D61AC4"/>
    <w:rsid w:val="00D635E8"/>
    <w:rsid w:val="00D63A10"/>
    <w:rsid w:val="00D63F75"/>
    <w:rsid w:val="00D66380"/>
    <w:rsid w:val="00D67068"/>
    <w:rsid w:val="00D75383"/>
    <w:rsid w:val="00D75E08"/>
    <w:rsid w:val="00D847FD"/>
    <w:rsid w:val="00D86695"/>
    <w:rsid w:val="00D9118B"/>
    <w:rsid w:val="00D9692B"/>
    <w:rsid w:val="00D97DB2"/>
    <w:rsid w:val="00DA239E"/>
    <w:rsid w:val="00DA3EE7"/>
    <w:rsid w:val="00DA5CB7"/>
    <w:rsid w:val="00DA7105"/>
    <w:rsid w:val="00DB201D"/>
    <w:rsid w:val="00DB5136"/>
    <w:rsid w:val="00DB7B8A"/>
    <w:rsid w:val="00DC0C50"/>
    <w:rsid w:val="00DC0EB4"/>
    <w:rsid w:val="00DC25F7"/>
    <w:rsid w:val="00DC6F37"/>
    <w:rsid w:val="00DC705D"/>
    <w:rsid w:val="00DD0BDA"/>
    <w:rsid w:val="00DD0C3D"/>
    <w:rsid w:val="00DD13AD"/>
    <w:rsid w:val="00DD18EC"/>
    <w:rsid w:val="00DD2588"/>
    <w:rsid w:val="00DD2F5F"/>
    <w:rsid w:val="00DD375F"/>
    <w:rsid w:val="00DD481D"/>
    <w:rsid w:val="00DD6F15"/>
    <w:rsid w:val="00DE2C2B"/>
    <w:rsid w:val="00DE364B"/>
    <w:rsid w:val="00DE3A26"/>
    <w:rsid w:val="00DE54EB"/>
    <w:rsid w:val="00DE5B30"/>
    <w:rsid w:val="00DE6BBC"/>
    <w:rsid w:val="00DE701C"/>
    <w:rsid w:val="00DE7C2D"/>
    <w:rsid w:val="00DF00C7"/>
    <w:rsid w:val="00DF2E75"/>
    <w:rsid w:val="00DF50C7"/>
    <w:rsid w:val="00DF525A"/>
    <w:rsid w:val="00DF692C"/>
    <w:rsid w:val="00E10924"/>
    <w:rsid w:val="00E110CE"/>
    <w:rsid w:val="00E14CF8"/>
    <w:rsid w:val="00E1784B"/>
    <w:rsid w:val="00E21D9D"/>
    <w:rsid w:val="00E22E8E"/>
    <w:rsid w:val="00E23B1C"/>
    <w:rsid w:val="00E26F12"/>
    <w:rsid w:val="00E305E2"/>
    <w:rsid w:val="00E31E66"/>
    <w:rsid w:val="00E33265"/>
    <w:rsid w:val="00E36ED7"/>
    <w:rsid w:val="00E44D00"/>
    <w:rsid w:val="00E47279"/>
    <w:rsid w:val="00E519AB"/>
    <w:rsid w:val="00E51CFA"/>
    <w:rsid w:val="00E541D3"/>
    <w:rsid w:val="00E60A78"/>
    <w:rsid w:val="00E611CE"/>
    <w:rsid w:val="00E64277"/>
    <w:rsid w:val="00E64F24"/>
    <w:rsid w:val="00E71254"/>
    <w:rsid w:val="00E73E1F"/>
    <w:rsid w:val="00E7421B"/>
    <w:rsid w:val="00E751B2"/>
    <w:rsid w:val="00E755A0"/>
    <w:rsid w:val="00E75685"/>
    <w:rsid w:val="00E76401"/>
    <w:rsid w:val="00E83694"/>
    <w:rsid w:val="00E844D2"/>
    <w:rsid w:val="00E85B0A"/>
    <w:rsid w:val="00E87AB5"/>
    <w:rsid w:val="00E9212A"/>
    <w:rsid w:val="00E94935"/>
    <w:rsid w:val="00EA0AF7"/>
    <w:rsid w:val="00EA3695"/>
    <w:rsid w:val="00EA399C"/>
    <w:rsid w:val="00EA7C41"/>
    <w:rsid w:val="00EB0170"/>
    <w:rsid w:val="00EB2163"/>
    <w:rsid w:val="00EC0A75"/>
    <w:rsid w:val="00EC0B1F"/>
    <w:rsid w:val="00EC0EC0"/>
    <w:rsid w:val="00EC2544"/>
    <w:rsid w:val="00EC27D2"/>
    <w:rsid w:val="00EC453D"/>
    <w:rsid w:val="00EC482C"/>
    <w:rsid w:val="00EC5547"/>
    <w:rsid w:val="00EC5F9F"/>
    <w:rsid w:val="00EC773D"/>
    <w:rsid w:val="00ED054E"/>
    <w:rsid w:val="00ED07C6"/>
    <w:rsid w:val="00ED2C48"/>
    <w:rsid w:val="00ED372C"/>
    <w:rsid w:val="00ED7952"/>
    <w:rsid w:val="00EE1E66"/>
    <w:rsid w:val="00EE26B9"/>
    <w:rsid w:val="00EE3F01"/>
    <w:rsid w:val="00EE41B0"/>
    <w:rsid w:val="00EE510D"/>
    <w:rsid w:val="00EE5589"/>
    <w:rsid w:val="00EE6E03"/>
    <w:rsid w:val="00EE7D9A"/>
    <w:rsid w:val="00EE7E42"/>
    <w:rsid w:val="00EF011C"/>
    <w:rsid w:val="00EF16CB"/>
    <w:rsid w:val="00EF241D"/>
    <w:rsid w:val="00EF2CF1"/>
    <w:rsid w:val="00EF2F27"/>
    <w:rsid w:val="00EF575C"/>
    <w:rsid w:val="00F00164"/>
    <w:rsid w:val="00F0154C"/>
    <w:rsid w:val="00F01AF3"/>
    <w:rsid w:val="00F02579"/>
    <w:rsid w:val="00F051F9"/>
    <w:rsid w:val="00F06D26"/>
    <w:rsid w:val="00F0708F"/>
    <w:rsid w:val="00F07336"/>
    <w:rsid w:val="00F14AD0"/>
    <w:rsid w:val="00F15E11"/>
    <w:rsid w:val="00F17916"/>
    <w:rsid w:val="00F206A9"/>
    <w:rsid w:val="00F20990"/>
    <w:rsid w:val="00F239E2"/>
    <w:rsid w:val="00F24502"/>
    <w:rsid w:val="00F266D8"/>
    <w:rsid w:val="00F27225"/>
    <w:rsid w:val="00F3202E"/>
    <w:rsid w:val="00F33AE7"/>
    <w:rsid w:val="00F34177"/>
    <w:rsid w:val="00F35A63"/>
    <w:rsid w:val="00F35F4C"/>
    <w:rsid w:val="00F41042"/>
    <w:rsid w:val="00F46BA4"/>
    <w:rsid w:val="00F50CCE"/>
    <w:rsid w:val="00F523AB"/>
    <w:rsid w:val="00F524D9"/>
    <w:rsid w:val="00F5318C"/>
    <w:rsid w:val="00F53DE5"/>
    <w:rsid w:val="00F55541"/>
    <w:rsid w:val="00F55FA2"/>
    <w:rsid w:val="00F57D6E"/>
    <w:rsid w:val="00F602E1"/>
    <w:rsid w:val="00F60602"/>
    <w:rsid w:val="00F62E9C"/>
    <w:rsid w:val="00F63AAB"/>
    <w:rsid w:val="00F63FBD"/>
    <w:rsid w:val="00F650E3"/>
    <w:rsid w:val="00F66B6C"/>
    <w:rsid w:val="00F703C7"/>
    <w:rsid w:val="00F718E3"/>
    <w:rsid w:val="00F72049"/>
    <w:rsid w:val="00F73641"/>
    <w:rsid w:val="00F737DB"/>
    <w:rsid w:val="00F73D15"/>
    <w:rsid w:val="00F744F1"/>
    <w:rsid w:val="00F772FE"/>
    <w:rsid w:val="00F77658"/>
    <w:rsid w:val="00F77E2C"/>
    <w:rsid w:val="00F80BBC"/>
    <w:rsid w:val="00F84BE1"/>
    <w:rsid w:val="00F86858"/>
    <w:rsid w:val="00F8724D"/>
    <w:rsid w:val="00F90FEE"/>
    <w:rsid w:val="00F921C7"/>
    <w:rsid w:val="00F925E6"/>
    <w:rsid w:val="00F9418B"/>
    <w:rsid w:val="00F95D07"/>
    <w:rsid w:val="00F9708F"/>
    <w:rsid w:val="00FA079C"/>
    <w:rsid w:val="00FA4842"/>
    <w:rsid w:val="00FA575F"/>
    <w:rsid w:val="00FB0605"/>
    <w:rsid w:val="00FB3551"/>
    <w:rsid w:val="00FB4B2D"/>
    <w:rsid w:val="00FB57AA"/>
    <w:rsid w:val="00FB75F8"/>
    <w:rsid w:val="00FB7A82"/>
    <w:rsid w:val="00FC00A3"/>
    <w:rsid w:val="00FC1F73"/>
    <w:rsid w:val="00FC32BF"/>
    <w:rsid w:val="00FD0030"/>
    <w:rsid w:val="00FD09CB"/>
    <w:rsid w:val="00FD111C"/>
    <w:rsid w:val="00FD6160"/>
    <w:rsid w:val="00FE1655"/>
    <w:rsid w:val="00FF20F9"/>
    <w:rsid w:val="00FF440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2AC0AE01"/>
  <w15:docId w15:val="{16B6CF79-B089-40C8-858E-7379159E3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rsid w:val="004E5733"/>
    <w:pPr>
      <w:spacing w:before="60" w:after="120" w:line="210" w:lineRule="atLeast"/>
      <w:jc w:val="both"/>
    </w:pPr>
    <w:rPr>
      <w:rFonts w:ascii="Cambria" w:hAnsi="Cambria"/>
      <w:sz w:val="22"/>
      <w:szCs w:val="22"/>
      <w:lang w:eastAsia="en-US"/>
    </w:rPr>
  </w:style>
  <w:style w:type="paragraph" w:styleId="1">
    <w:name w:val="heading 1"/>
    <w:basedOn w:val="a7"/>
    <w:next w:val="a7"/>
    <w:link w:val="1Char"/>
    <w:uiPriority w:val="9"/>
    <w:qFormat/>
    <w:rsid w:val="00DE5B30"/>
    <w:pPr>
      <w:keepNext/>
      <w:numPr>
        <w:numId w:val="1"/>
      </w:numPr>
      <w:tabs>
        <w:tab w:val="clear" w:pos="432"/>
      </w:tabs>
      <w:suppressAutoHyphens/>
      <w:spacing w:before="270" w:after="240" w:line="270" w:lineRule="exact"/>
      <w:jc w:val="left"/>
      <w:outlineLvl w:val="0"/>
    </w:pPr>
    <w:rPr>
      <w:b/>
      <w:sz w:val="26"/>
    </w:rPr>
  </w:style>
  <w:style w:type="paragraph" w:styleId="21">
    <w:name w:val="heading 2"/>
    <w:basedOn w:val="1"/>
    <w:next w:val="a7"/>
    <w:link w:val="2Char"/>
    <w:uiPriority w:val="9"/>
    <w:qFormat/>
    <w:rsid w:val="006D682B"/>
    <w:pPr>
      <w:numPr>
        <w:ilvl w:val="1"/>
      </w:numPr>
      <w:tabs>
        <w:tab w:val="clear" w:pos="360"/>
        <w:tab w:val="num" w:pos="450"/>
      </w:tabs>
      <w:spacing w:before="240" w:line="250" w:lineRule="exact"/>
      <w:outlineLvl w:val="1"/>
    </w:pPr>
    <w:rPr>
      <w:sz w:val="24"/>
    </w:rPr>
  </w:style>
  <w:style w:type="paragraph" w:styleId="31">
    <w:name w:val="heading 3"/>
    <w:basedOn w:val="1"/>
    <w:next w:val="a7"/>
    <w:link w:val="3Char"/>
    <w:qFormat/>
    <w:rsid w:val="00243590"/>
    <w:pPr>
      <w:numPr>
        <w:ilvl w:val="2"/>
      </w:numPr>
      <w:tabs>
        <w:tab w:val="clear" w:pos="720"/>
        <w:tab w:val="num" w:pos="990"/>
      </w:tabs>
      <w:spacing w:before="240" w:line="230" w:lineRule="exact"/>
      <w:ind w:left="810" w:hanging="810"/>
      <w:outlineLvl w:val="2"/>
    </w:pPr>
    <w:rPr>
      <w:sz w:val="22"/>
    </w:rPr>
  </w:style>
  <w:style w:type="paragraph" w:styleId="41">
    <w:name w:val="heading 4"/>
    <w:basedOn w:val="31"/>
    <w:next w:val="a7"/>
    <w:link w:val="4Char"/>
    <w:qFormat/>
    <w:rsid w:val="002E5D61"/>
    <w:pPr>
      <w:numPr>
        <w:ilvl w:val="3"/>
      </w:numPr>
      <w:tabs>
        <w:tab w:val="clear" w:pos="1080"/>
      </w:tabs>
      <w:outlineLvl w:val="3"/>
    </w:pPr>
  </w:style>
  <w:style w:type="paragraph" w:styleId="51">
    <w:name w:val="heading 5"/>
    <w:basedOn w:val="41"/>
    <w:next w:val="a7"/>
    <w:link w:val="5Char"/>
    <w:uiPriority w:val="9"/>
    <w:qFormat/>
    <w:rsid w:val="006F3A9D"/>
    <w:pPr>
      <w:numPr>
        <w:ilvl w:val="4"/>
      </w:numPr>
      <w:tabs>
        <w:tab w:val="clear" w:pos="1080"/>
      </w:tabs>
      <w:outlineLvl w:val="4"/>
    </w:pPr>
  </w:style>
  <w:style w:type="paragraph" w:styleId="6">
    <w:name w:val="heading 6"/>
    <w:basedOn w:val="51"/>
    <w:next w:val="a7"/>
    <w:link w:val="6Char"/>
    <w:uiPriority w:val="9"/>
    <w:qFormat/>
    <w:rsid w:val="006F3A9D"/>
    <w:pPr>
      <w:numPr>
        <w:ilvl w:val="5"/>
      </w:numPr>
      <w:tabs>
        <w:tab w:val="clear" w:pos="1440"/>
      </w:tabs>
      <w:outlineLvl w:val="5"/>
    </w:pPr>
  </w:style>
  <w:style w:type="paragraph" w:styleId="7">
    <w:name w:val="heading 7"/>
    <w:basedOn w:val="6"/>
    <w:next w:val="a1"/>
    <w:link w:val="7Char"/>
    <w:qFormat/>
    <w:rsid w:val="00DB201D"/>
    <w:pPr>
      <w:numPr>
        <w:ilvl w:val="6"/>
      </w:numPr>
      <w:tabs>
        <w:tab w:val="clear" w:pos="1440"/>
      </w:tabs>
      <w:outlineLvl w:val="6"/>
    </w:pPr>
  </w:style>
  <w:style w:type="paragraph" w:styleId="8">
    <w:name w:val="heading 8"/>
    <w:basedOn w:val="6"/>
    <w:next w:val="a1"/>
    <w:link w:val="8Char"/>
    <w:uiPriority w:val="9"/>
    <w:qFormat/>
    <w:rsid w:val="00DB201D"/>
    <w:pPr>
      <w:numPr>
        <w:ilvl w:val="7"/>
      </w:numPr>
      <w:tabs>
        <w:tab w:val="clear" w:pos="1800"/>
      </w:tabs>
      <w:outlineLvl w:val="7"/>
    </w:pPr>
  </w:style>
  <w:style w:type="paragraph" w:styleId="9">
    <w:name w:val="heading 9"/>
    <w:basedOn w:val="6"/>
    <w:next w:val="a1"/>
    <w:link w:val="9Char"/>
    <w:uiPriority w:val="9"/>
    <w:qFormat/>
    <w:rsid w:val="00DB201D"/>
    <w:pPr>
      <w:numPr>
        <w:ilvl w:val="8"/>
      </w:numPr>
      <w:tabs>
        <w:tab w:val="clear" w:pos="1800"/>
      </w:tabs>
      <w:outlineLvl w:val="8"/>
    </w:p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7">
    <w:name w:val="Body Text"/>
    <w:basedOn w:val="a1"/>
    <w:link w:val="Char"/>
    <w:qFormat/>
    <w:rsid w:val="00157BED"/>
    <w:rPr>
      <w:rFonts w:eastAsia="MS Mincho" w:cs="Cambria"/>
      <w:szCs w:val="20"/>
      <w:lang w:eastAsia="fr-FR"/>
    </w:rPr>
  </w:style>
  <w:style w:type="character" w:customStyle="1" w:styleId="Char">
    <w:name w:val="Σώμα κειμένου Char"/>
    <w:basedOn w:val="a8"/>
    <w:link w:val="a7"/>
    <w:rsid w:val="00157BED"/>
    <w:rPr>
      <w:rFonts w:ascii="Cambria" w:eastAsia="MS Mincho" w:hAnsi="Cambria" w:cs="Cambria"/>
      <w:sz w:val="22"/>
      <w:lang w:eastAsia="fr-FR"/>
    </w:rPr>
  </w:style>
  <w:style w:type="character" w:customStyle="1" w:styleId="1Char">
    <w:name w:val="Επικεφαλίδα 1 Char"/>
    <w:basedOn w:val="a8"/>
    <w:link w:val="1"/>
    <w:uiPriority w:val="9"/>
    <w:rsid w:val="00DE5B30"/>
    <w:rPr>
      <w:rFonts w:ascii="Cambria" w:eastAsia="MS Mincho" w:hAnsi="Cambria" w:cs="Cambria"/>
      <w:b/>
      <w:sz w:val="26"/>
      <w:lang w:eastAsia="fr-FR"/>
    </w:rPr>
  </w:style>
  <w:style w:type="character" w:customStyle="1" w:styleId="2Char">
    <w:name w:val="Επικεφαλίδα 2 Char"/>
    <w:basedOn w:val="a8"/>
    <w:link w:val="21"/>
    <w:uiPriority w:val="9"/>
    <w:rsid w:val="006D682B"/>
    <w:rPr>
      <w:rFonts w:ascii="Cambria" w:eastAsia="MS Mincho" w:hAnsi="Cambria" w:cs="Cambria"/>
      <w:b/>
      <w:sz w:val="24"/>
      <w:lang w:eastAsia="fr-FR"/>
    </w:rPr>
  </w:style>
  <w:style w:type="character" w:customStyle="1" w:styleId="3Char">
    <w:name w:val="Επικεφαλίδα 3 Char"/>
    <w:basedOn w:val="a8"/>
    <w:link w:val="31"/>
    <w:rsid w:val="00243590"/>
    <w:rPr>
      <w:rFonts w:ascii="Cambria" w:eastAsia="MS Mincho" w:hAnsi="Cambria" w:cs="Cambria"/>
      <w:b/>
      <w:sz w:val="22"/>
      <w:lang w:eastAsia="fr-FR"/>
    </w:rPr>
  </w:style>
  <w:style w:type="character" w:customStyle="1" w:styleId="4Char">
    <w:name w:val="Επικεφαλίδα 4 Char"/>
    <w:basedOn w:val="a8"/>
    <w:link w:val="41"/>
    <w:rsid w:val="002E5D61"/>
    <w:rPr>
      <w:rFonts w:ascii="Cambria" w:eastAsia="MS Mincho" w:hAnsi="Cambria" w:cs="Cambria"/>
      <w:b/>
      <w:sz w:val="22"/>
      <w:lang w:eastAsia="fr-FR"/>
    </w:rPr>
  </w:style>
  <w:style w:type="character" w:customStyle="1" w:styleId="5Char">
    <w:name w:val="Επικεφαλίδα 5 Char"/>
    <w:basedOn w:val="a8"/>
    <w:link w:val="51"/>
    <w:uiPriority w:val="9"/>
    <w:rsid w:val="006F3A9D"/>
    <w:rPr>
      <w:rFonts w:ascii="Cambria" w:eastAsia="MS Mincho" w:hAnsi="Cambria" w:cs="Cambria"/>
      <w:b/>
      <w:sz w:val="22"/>
      <w:lang w:eastAsia="fr-FR"/>
    </w:rPr>
  </w:style>
  <w:style w:type="character" w:customStyle="1" w:styleId="6Char">
    <w:name w:val="Επικεφαλίδα 6 Char"/>
    <w:basedOn w:val="a8"/>
    <w:link w:val="6"/>
    <w:uiPriority w:val="9"/>
    <w:rsid w:val="006F3A9D"/>
    <w:rPr>
      <w:rFonts w:ascii="Cambria" w:eastAsia="MS Mincho" w:hAnsi="Cambria" w:cs="Cambria"/>
      <w:b/>
      <w:sz w:val="22"/>
      <w:lang w:eastAsia="fr-FR"/>
    </w:rPr>
  </w:style>
  <w:style w:type="character" w:customStyle="1" w:styleId="7Char">
    <w:name w:val="Επικεφαλίδα 7 Char"/>
    <w:basedOn w:val="a8"/>
    <w:link w:val="7"/>
    <w:rsid w:val="00DB201D"/>
    <w:rPr>
      <w:rFonts w:ascii="Cambria" w:eastAsia="MS Mincho" w:hAnsi="Cambria" w:cs="Cambria"/>
      <w:b/>
      <w:sz w:val="22"/>
      <w:lang w:eastAsia="fr-FR"/>
    </w:rPr>
  </w:style>
  <w:style w:type="character" w:customStyle="1" w:styleId="8Char">
    <w:name w:val="Επικεφαλίδα 8 Char"/>
    <w:basedOn w:val="a8"/>
    <w:link w:val="8"/>
    <w:uiPriority w:val="9"/>
    <w:rsid w:val="00DB201D"/>
    <w:rPr>
      <w:rFonts w:ascii="Cambria" w:eastAsia="MS Mincho" w:hAnsi="Cambria" w:cs="Cambria"/>
      <w:b/>
      <w:sz w:val="22"/>
      <w:lang w:eastAsia="fr-FR"/>
    </w:rPr>
  </w:style>
  <w:style w:type="character" w:customStyle="1" w:styleId="9Char">
    <w:name w:val="Επικεφαλίδα 9 Char"/>
    <w:basedOn w:val="a8"/>
    <w:link w:val="9"/>
    <w:uiPriority w:val="9"/>
    <w:rsid w:val="00DB201D"/>
    <w:rPr>
      <w:rFonts w:ascii="Cambria" w:eastAsia="MS Mincho" w:hAnsi="Cambria" w:cs="Cambria"/>
      <w:b/>
      <w:sz w:val="22"/>
      <w:lang w:eastAsia="fr-FR"/>
    </w:rPr>
  </w:style>
  <w:style w:type="paragraph" w:customStyle="1" w:styleId="a2">
    <w:name w:val="a2"/>
    <w:basedOn w:val="21"/>
    <w:next w:val="a7"/>
    <w:rsid w:val="00082680"/>
    <w:pPr>
      <w:numPr>
        <w:numId w:val="2"/>
      </w:numPr>
      <w:spacing w:before="270" w:line="270" w:lineRule="exact"/>
      <w:ind w:left="540" w:hanging="540"/>
    </w:pPr>
    <w:rPr>
      <w:sz w:val="26"/>
    </w:rPr>
  </w:style>
  <w:style w:type="paragraph" w:customStyle="1" w:styleId="a3">
    <w:name w:val="a3"/>
    <w:basedOn w:val="31"/>
    <w:next w:val="a7"/>
    <w:rsid w:val="00DB201D"/>
    <w:pPr>
      <w:numPr>
        <w:numId w:val="2"/>
      </w:numPr>
      <w:spacing w:line="250" w:lineRule="exact"/>
    </w:pPr>
    <w:rPr>
      <w:sz w:val="24"/>
    </w:rPr>
  </w:style>
  <w:style w:type="paragraph" w:customStyle="1" w:styleId="a4">
    <w:name w:val="a4"/>
    <w:basedOn w:val="41"/>
    <w:next w:val="a7"/>
    <w:rsid w:val="00176770"/>
    <w:pPr>
      <w:numPr>
        <w:numId w:val="2"/>
      </w:numPr>
      <w:tabs>
        <w:tab w:val="left" w:pos="880"/>
      </w:tabs>
      <w:suppressAutoHyphens w:val="0"/>
      <w:spacing w:before="60" w:line="240" w:lineRule="atLeast"/>
      <w:outlineLvl w:val="0"/>
    </w:pPr>
  </w:style>
  <w:style w:type="paragraph" w:customStyle="1" w:styleId="a5">
    <w:name w:val="a5"/>
    <w:basedOn w:val="51"/>
    <w:next w:val="a7"/>
    <w:rsid w:val="0009382B"/>
    <w:pPr>
      <w:numPr>
        <w:numId w:val="2"/>
      </w:numPr>
      <w:tabs>
        <w:tab w:val="left" w:pos="1360"/>
      </w:tabs>
      <w:suppressAutoHyphens w:val="0"/>
      <w:spacing w:before="60" w:line="240" w:lineRule="atLeast"/>
      <w:outlineLvl w:val="0"/>
    </w:pPr>
  </w:style>
  <w:style w:type="paragraph" w:customStyle="1" w:styleId="a6">
    <w:name w:val="a6"/>
    <w:basedOn w:val="6"/>
    <w:next w:val="a7"/>
    <w:rsid w:val="000D7CD1"/>
    <w:pPr>
      <w:numPr>
        <w:numId w:val="2"/>
      </w:numPr>
      <w:tabs>
        <w:tab w:val="left" w:pos="1140"/>
        <w:tab w:val="left" w:pos="1360"/>
        <w:tab w:val="num" w:pos="1440"/>
      </w:tabs>
      <w:suppressAutoHyphens w:val="0"/>
      <w:spacing w:before="0" w:line="240" w:lineRule="atLeast"/>
      <w:ind w:left="0" w:firstLine="0"/>
      <w:outlineLvl w:val="0"/>
    </w:pPr>
  </w:style>
  <w:style w:type="paragraph" w:customStyle="1" w:styleId="ANNEX">
    <w:name w:val="ANNEX"/>
    <w:basedOn w:val="a7"/>
    <w:next w:val="a7"/>
    <w:rsid w:val="00E1784B"/>
    <w:pPr>
      <w:keepNext/>
      <w:pageBreakBefore/>
      <w:numPr>
        <w:numId w:val="2"/>
      </w:numPr>
      <w:tabs>
        <w:tab w:val="num" w:pos="360"/>
      </w:tabs>
      <w:spacing w:after="760" w:line="310" w:lineRule="exact"/>
      <w:ind w:left="0" w:firstLine="0"/>
      <w:jc w:val="center"/>
      <w:outlineLvl w:val="0"/>
    </w:pPr>
    <w:rPr>
      <w:b/>
      <w:sz w:val="30"/>
    </w:rPr>
  </w:style>
  <w:style w:type="paragraph" w:customStyle="1" w:styleId="Definition">
    <w:name w:val="Definition"/>
    <w:basedOn w:val="a7"/>
    <w:rsid w:val="00DB201D"/>
    <w:pPr>
      <w:spacing w:after="240" w:line="230" w:lineRule="atLeast"/>
    </w:pPr>
  </w:style>
  <w:style w:type="paragraph" w:customStyle="1" w:styleId="FigureText">
    <w:name w:val="Figure Text"/>
    <w:basedOn w:val="a7"/>
    <w:qFormat/>
    <w:rsid w:val="004A59E7"/>
    <w:pPr>
      <w:keepNext/>
      <w:spacing w:line="240" w:lineRule="atLeast"/>
    </w:pPr>
  </w:style>
  <w:style w:type="paragraph" w:styleId="ab">
    <w:name w:val="Body Text Indent"/>
    <w:aliases w:val="APrinciple"/>
    <w:basedOn w:val="a7"/>
    <w:link w:val="Char0"/>
    <w:rsid w:val="00643377"/>
    <w:pPr>
      <w:ind w:left="283"/>
    </w:pPr>
  </w:style>
  <w:style w:type="character" w:customStyle="1" w:styleId="Char0">
    <w:name w:val="Σώμα κείμενου με εσοχή Char"/>
    <w:aliases w:val="APrinciple Char"/>
    <w:basedOn w:val="a8"/>
    <w:link w:val="ab"/>
    <w:rsid w:val="00DD2F5F"/>
    <w:rPr>
      <w:rFonts w:ascii="Cambria" w:eastAsia="MS Mincho" w:hAnsi="Cambria" w:cs="Cambria"/>
      <w:sz w:val="22"/>
      <w:lang w:eastAsia="fr-FR"/>
    </w:rPr>
  </w:style>
  <w:style w:type="paragraph" w:customStyle="1" w:styleId="Figuretitle">
    <w:name w:val="Figure title"/>
    <w:basedOn w:val="a7"/>
    <w:next w:val="a7"/>
    <w:qFormat/>
    <w:rsid w:val="00907BE4"/>
    <w:pPr>
      <w:suppressAutoHyphens/>
      <w:spacing w:before="220" w:after="220" w:line="230" w:lineRule="atLeast"/>
      <w:jc w:val="center"/>
    </w:pPr>
    <w:rPr>
      <w:b/>
    </w:rPr>
  </w:style>
  <w:style w:type="paragraph" w:customStyle="1" w:styleId="Note">
    <w:name w:val="Note"/>
    <w:basedOn w:val="a7"/>
    <w:next w:val="a7"/>
    <w:qFormat/>
    <w:rsid w:val="00DB201D"/>
    <w:pPr>
      <w:tabs>
        <w:tab w:val="left" w:pos="960"/>
      </w:tabs>
      <w:spacing w:after="240"/>
    </w:pPr>
    <w:rPr>
      <w:sz w:val="20"/>
    </w:rPr>
  </w:style>
  <w:style w:type="paragraph" w:styleId="ac">
    <w:name w:val="footer"/>
    <w:basedOn w:val="a1"/>
    <w:link w:val="Char1"/>
    <w:uiPriority w:val="99"/>
    <w:rsid w:val="00DB201D"/>
    <w:pPr>
      <w:tabs>
        <w:tab w:val="right" w:pos="9752"/>
      </w:tabs>
      <w:spacing w:after="0" w:line="220" w:lineRule="exact"/>
    </w:pPr>
    <w:rPr>
      <w:rFonts w:eastAsia="MS Mincho" w:cs="Cambria"/>
      <w:szCs w:val="20"/>
      <w:lang w:eastAsia="fr-FR"/>
    </w:rPr>
  </w:style>
  <w:style w:type="character" w:customStyle="1" w:styleId="Char1">
    <w:name w:val="Υποσέλιδο Char"/>
    <w:basedOn w:val="a8"/>
    <w:link w:val="ac"/>
    <w:uiPriority w:val="99"/>
    <w:rsid w:val="00DB201D"/>
    <w:rPr>
      <w:rFonts w:ascii="Cambria" w:eastAsia="MS Mincho" w:hAnsi="Cambria" w:cs="Cambria"/>
      <w:sz w:val="22"/>
      <w:lang w:eastAsia="fr-FR"/>
    </w:rPr>
  </w:style>
  <w:style w:type="paragraph" w:customStyle="1" w:styleId="RefNorm">
    <w:name w:val="RefNorm"/>
    <w:basedOn w:val="a7"/>
    <w:rsid w:val="00643E44"/>
    <w:pPr>
      <w:spacing w:after="240" w:line="230" w:lineRule="atLeast"/>
    </w:pPr>
  </w:style>
  <w:style w:type="paragraph" w:customStyle="1" w:styleId="Tabletitle">
    <w:name w:val="Table title"/>
    <w:basedOn w:val="a7"/>
    <w:next w:val="Tableheader"/>
    <w:link w:val="TabletitleChar"/>
    <w:qFormat/>
    <w:rsid w:val="00907BE4"/>
    <w:pPr>
      <w:keepNext/>
      <w:suppressAutoHyphens/>
      <w:autoSpaceDE w:val="0"/>
      <w:autoSpaceDN w:val="0"/>
      <w:adjustRightInd w:val="0"/>
      <w:spacing w:before="240" w:line="230" w:lineRule="exact"/>
      <w:jc w:val="center"/>
      <w:outlineLvl w:val="0"/>
    </w:pPr>
    <w:rPr>
      <w:b/>
      <w:szCs w:val="24"/>
    </w:rPr>
  </w:style>
  <w:style w:type="paragraph" w:customStyle="1" w:styleId="Tableheader">
    <w:name w:val="Table header"/>
    <w:basedOn w:val="Tablebody"/>
    <w:qFormat/>
    <w:rsid w:val="00AE724B"/>
    <w:pPr>
      <w:jc w:val="center"/>
    </w:pPr>
    <w:rPr>
      <w:b/>
    </w:rPr>
  </w:style>
  <w:style w:type="paragraph" w:customStyle="1" w:styleId="Tablebody">
    <w:name w:val="Table body"/>
    <w:basedOn w:val="a7"/>
    <w:link w:val="TablebodyChar"/>
    <w:qFormat/>
    <w:rsid w:val="00853D7F"/>
    <w:pPr>
      <w:spacing w:after="60"/>
    </w:pPr>
    <w:rPr>
      <w:rFonts w:eastAsia="Times New Roman"/>
    </w:rPr>
  </w:style>
  <w:style w:type="character" w:customStyle="1" w:styleId="TablebodyChar">
    <w:name w:val="Table body Char"/>
    <w:link w:val="Tablebody"/>
    <w:locked/>
    <w:rsid w:val="00853D7F"/>
    <w:rPr>
      <w:rFonts w:ascii="Cambria" w:eastAsia="Times New Roman" w:hAnsi="Cambria" w:cs="Cambria"/>
      <w:sz w:val="22"/>
      <w:lang w:eastAsia="fr-FR"/>
    </w:rPr>
  </w:style>
  <w:style w:type="character" w:customStyle="1" w:styleId="TabletitleChar">
    <w:name w:val="Table title Char"/>
    <w:link w:val="Tabletitle"/>
    <w:locked/>
    <w:rsid w:val="00907BE4"/>
    <w:rPr>
      <w:rFonts w:ascii="Cambria" w:eastAsia="MS Mincho" w:hAnsi="Cambria" w:cs="Cambria"/>
      <w:b/>
      <w:sz w:val="22"/>
      <w:szCs w:val="24"/>
      <w:lang w:eastAsia="fr-FR"/>
    </w:rPr>
  </w:style>
  <w:style w:type="paragraph" w:customStyle="1" w:styleId="Terms">
    <w:name w:val="Term(s)"/>
    <w:basedOn w:val="a1"/>
    <w:next w:val="Definition"/>
    <w:rsid w:val="00DB7B8A"/>
    <w:pPr>
      <w:keepNext/>
      <w:suppressAutoHyphens/>
      <w:spacing w:after="0" w:line="230" w:lineRule="atLeast"/>
    </w:pPr>
    <w:rPr>
      <w:rFonts w:eastAsia="MS Mincho" w:cs="Cambria"/>
      <w:b/>
      <w:szCs w:val="20"/>
      <w:lang w:eastAsia="fr-FR"/>
    </w:rPr>
  </w:style>
  <w:style w:type="paragraph" w:customStyle="1" w:styleId="TermNum">
    <w:name w:val="TermNum"/>
    <w:basedOn w:val="a1"/>
    <w:next w:val="Terms"/>
    <w:rsid w:val="00DB7B8A"/>
    <w:pPr>
      <w:keepNext/>
      <w:spacing w:after="0" w:line="230" w:lineRule="atLeast"/>
    </w:pPr>
    <w:rPr>
      <w:rFonts w:eastAsia="MS Mincho" w:cs="Cambria"/>
      <w:b/>
      <w:szCs w:val="20"/>
      <w:lang w:eastAsia="fr-FR"/>
    </w:rPr>
  </w:style>
  <w:style w:type="paragraph" w:styleId="10">
    <w:name w:val="toc 1"/>
    <w:basedOn w:val="a1"/>
    <w:next w:val="a1"/>
    <w:uiPriority w:val="39"/>
    <w:rsid w:val="005965D6"/>
    <w:pPr>
      <w:tabs>
        <w:tab w:val="left" w:pos="794"/>
        <w:tab w:val="right" w:leader="dot" w:pos="9752"/>
      </w:tabs>
      <w:suppressAutoHyphens/>
      <w:spacing w:before="120" w:after="0" w:line="230" w:lineRule="atLeast"/>
      <w:ind w:left="794" w:right="499" w:hanging="794"/>
      <w:jc w:val="left"/>
    </w:pPr>
    <w:rPr>
      <w:rFonts w:eastAsia="MS Mincho" w:cs="Cambria"/>
      <w:b/>
      <w:szCs w:val="20"/>
      <w:lang w:eastAsia="fr-FR"/>
    </w:rPr>
  </w:style>
  <w:style w:type="paragraph" w:styleId="22">
    <w:name w:val="toc 2"/>
    <w:basedOn w:val="10"/>
    <w:next w:val="a1"/>
    <w:uiPriority w:val="39"/>
    <w:rsid w:val="00DB201D"/>
    <w:pPr>
      <w:spacing w:before="0"/>
    </w:pPr>
  </w:style>
  <w:style w:type="paragraph" w:styleId="32">
    <w:name w:val="toc 3"/>
    <w:basedOn w:val="22"/>
    <w:next w:val="a1"/>
    <w:uiPriority w:val="39"/>
    <w:rsid w:val="00DB201D"/>
  </w:style>
  <w:style w:type="paragraph" w:styleId="90">
    <w:name w:val="toc 9"/>
    <w:basedOn w:val="10"/>
    <w:next w:val="a1"/>
    <w:uiPriority w:val="39"/>
    <w:rsid w:val="00DB201D"/>
    <w:pPr>
      <w:ind w:left="0" w:firstLine="0"/>
    </w:pPr>
  </w:style>
  <w:style w:type="paragraph" w:customStyle="1" w:styleId="zzContents">
    <w:name w:val="zzContents"/>
    <w:basedOn w:val="a1"/>
    <w:next w:val="10"/>
    <w:rsid w:val="00DB201D"/>
    <w:pPr>
      <w:keepNext/>
      <w:pageBreakBefore/>
      <w:suppressAutoHyphens/>
      <w:spacing w:before="960" w:after="310" w:line="310" w:lineRule="exact"/>
    </w:pPr>
    <w:rPr>
      <w:rFonts w:eastAsia="MS Mincho" w:cs="Cambria"/>
      <w:b/>
      <w:sz w:val="30"/>
      <w:szCs w:val="20"/>
      <w:lang w:eastAsia="fr-FR"/>
    </w:rPr>
  </w:style>
  <w:style w:type="paragraph" w:customStyle="1" w:styleId="zzCover">
    <w:name w:val="zzCover"/>
    <w:basedOn w:val="a1"/>
    <w:rsid w:val="00DB201D"/>
    <w:pPr>
      <w:spacing w:after="220" w:line="230" w:lineRule="atLeast"/>
      <w:jc w:val="right"/>
    </w:pPr>
    <w:rPr>
      <w:rFonts w:eastAsia="MS Mincho" w:cs="Cambria"/>
      <w:b/>
      <w:color w:val="000000"/>
      <w:sz w:val="26"/>
      <w:szCs w:val="20"/>
      <w:lang w:eastAsia="fr-FR"/>
    </w:rPr>
  </w:style>
  <w:style w:type="table" w:styleId="ad">
    <w:name w:val="Table Grid"/>
    <w:basedOn w:val="a9"/>
    <w:uiPriority w:val="39"/>
    <w:rsid w:val="00DB201D"/>
    <w:rPr>
      <w:rFonts w:ascii="Cambria" w:eastAsia="Cambria" w:hAnsi="Cambria"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ewordText">
    <w:name w:val="Foreword Text"/>
    <w:basedOn w:val="a7"/>
    <w:rsid w:val="00860240"/>
    <w:pPr>
      <w:spacing w:after="240" w:line="240" w:lineRule="atLeast"/>
    </w:pPr>
    <w:rPr>
      <w:szCs w:val="23"/>
    </w:rPr>
  </w:style>
  <w:style w:type="paragraph" w:customStyle="1" w:styleId="ForewordTitle">
    <w:name w:val="Foreword Title"/>
    <w:basedOn w:val="a7"/>
    <w:rsid w:val="00DB201D"/>
    <w:pPr>
      <w:keepNext/>
      <w:pageBreakBefore/>
      <w:suppressAutoHyphens/>
      <w:spacing w:before="310" w:after="310" w:line="310" w:lineRule="atLeast"/>
      <w:outlineLvl w:val="0"/>
    </w:pPr>
    <w:rPr>
      <w:rFonts w:eastAsia="Times New Roman"/>
      <w:b/>
      <w:sz w:val="28"/>
    </w:rPr>
  </w:style>
  <w:style w:type="paragraph" w:customStyle="1" w:styleId="IntroTitle">
    <w:name w:val="Intro Title"/>
    <w:basedOn w:val="a7"/>
    <w:rsid w:val="00DB201D"/>
    <w:pPr>
      <w:keepNext/>
      <w:pageBreakBefore/>
      <w:suppressAutoHyphens/>
      <w:spacing w:before="310" w:after="310" w:line="310" w:lineRule="atLeast"/>
      <w:outlineLvl w:val="0"/>
    </w:pPr>
    <w:rPr>
      <w:rFonts w:eastAsia="Times New Roman"/>
      <w:b/>
      <w:sz w:val="28"/>
    </w:rPr>
  </w:style>
  <w:style w:type="paragraph" w:customStyle="1" w:styleId="BiblioEntry">
    <w:name w:val="Biblio Entry"/>
    <w:basedOn w:val="a7"/>
    <w:rsid w:val="004C68F7"/>
    <w:pPr>
      <w:autoSpaceDE w:val="0"/>
      <w:autoSpaceDN w:val="0"/>
      <w:adjustRightInd w:val="0"/>
      <w:spacing w:after="240" w:line="240" w:lineRule="atLeast"/>
      <w:ind w:left="663" w:hanging="663"/>
    </w:pPr>
    <w:rPr>
      <w:szCs w:val="24"/>
    </w:rPr>
  </w:style>
  <w:style w:type="paragraph" w:customStyle="1" w:styleId="KeyTitle">
    <w:name w:val="Key Title"/>
    <w:basedOn w:val="a7"/>
    <w:next w:val="KeyText"/>
    <w:rsid w:val="00A41266"/>
    <w:pPr>
      <w:keepNext/>
      <w:tabs>
        <w:tab w:val="left" w:pos="346"/>
      </w:tabs>
      <w:spacing w:after="60" w:line="220" w:lineRule="atLeast"/>
      <w:ind w:left="346" w:hanging="346"/>
    </w:pPr>
    <w:rPr>
      <w:rFonts w:eastAsia="Times New Roman"/>
      <w:b/>
      <w:sz w:val="20"/>
    </w:rPr>
  </w:style>
  <w:style w:type="paragraph" w:customStyle="1" w:styleId="KeyText">
    <w:name w:val="Key Text"/>
    <w:basedOn w:val="a7"/>
    <w:rsid w:val="00A41266"/>
    <w:pPr>
      <w:keepNext/>
      <w:tabs>
        <w:tab w:val="left" w:pos="346"/>
      </w:tabs>
      <w:spacing w:after="60" w:line="220" w:lineRule="atLeast"/>
      <w:ind w:left="346" w:hanging="346"/>
    </w:pPr>
    <w:rPr>
      <w:sz w:val="20"/>
    </w:rPr>
  </w:style>
  <w:style w:type="paragraph" w:customStyle="1" w:styleId="FigureImage">
    <w:name w:val="Figure Image"/>
    <w:basedOn w:val="a1"/>
    <w:qFormat/>
    <w:rsid w:val="00853D7F"/>
    <w:pPr>
      <w:keepNext/>
      <w:spacing w:before="240" w:line="240" w:lineRule="atLeast"/>
      <w:jc w:val="center"/>
    </w:pPr>
    <w:rPr>
      <w:rFonts w:eastAsia="Times New Roman"/>
    </w:rPr>
  </w:style>
  <w:style w:type="paragraph" w:customStyle="1" w:styleId="BiblioTitle">
    <w:name w:val="Biblio Title"/>
    <w:basedOn w:val="a7"/>
    <w:next w:val="BiblioEntry"/>
    <w:rsid w:val="00DB201D"/>
    <w:pPr>
      <w:pageBreakBefore/>
      <w:spacing w:after="760" w:line="280" w:lineRule="atLeast"/>
      <w:jc w:val="center"/>
      <w:outlineLvl w:val="0"/>
    </w:pPr>
    <w:rPr>
      <w:rFonts w:eastAsia="Times New Roman"/>
      <w:b/>
      <w:sz w:val="28"/>
    </w:rPr>
  </w:style>
  <w:style w:type="paragraph" w:customStyle="1" w:styleId="Figurenote">
    <w:name w:val="Figure note"/>
    <w:basedOn w:val="a7"/>
    <w:rsid w:val="00437112"/>
    <w:pPr>
      <w:keepNext/>
      <w:tabs>
        <w:tab w:val="left" w:pos="965"/>
      </w:tabs>
      <w:spacing w:before="120" w:after="240" w:line="220" w:lineRule="atLeast"/>
    </w:pPr>
    <w:rPr>
      <w:rFonts w:eastAsia="Times New Roman"/>
      <w:sz w:val="20"/>
    </w:rPr>
  </w:style>
  <w:style w:type="paragraph" w:customStyle="1" w:styleId="Dimension100">
    <w:name w:val="Dimension_100"/>
    <w:basedOn w:val="a7"/>
    <w:rsid w:val="00DB201D"/>
    <w:pPr>
      <w:spacing w:after="60" w:line="220" w:lineRule="atLeast"/>
      <w:jc w:val="right"/>
    </w:pPr>
    <w:rPr>
      <w:rFonts w:eastAsia="Times New Roman"/>
      <w:sz w:val="20"/>
    </w:rPr>
  </w:style>
  <w:style w:type="paragraph" w:styleId="23">
    <w:name w:val="Body Text Indent 2"/>
    <w:basedOn w:val="a7"/>
    <w:link w:val="2Char0"/>
    <w:uiPriority w:val="99"/>
    <w:unhideWhenUsed/>
    <w:rsid w:val="00643377"/>
    <w:pPr>
      <w:spacing w:line="480" w:lineRule="auto"/>
      <w:ind w:left="283"/>
    </w:pPr>
  </w:style>
  <w:style w:type="character" w:customStyle="1" w:styleId="2Char0">
    <w:name w:val="Σώμα κείμενου με εσοχή 2 Char"/>
    <w:basedOn w:val="a8"/>
    <w:link w:val="23"/>
    <w:uiPriority w:val="99"/>
    <w:rsid w:val="00643377"/>
    <w:rPr>
      <w:rFonts w:ascii="Cambria" w:eastAsia="MS Mincho" w:hAnsi="Cambria" w:cs="Cambria"/>
      <w:sz w:val="22"/>
      <w:lang w:eastAsia="fr-FR"/>
    </w:rPr>
  </w:style>
  <w:style w:type="paragraph" w:customStyle="1" w:styleId="Tablefooternote">
    <w:name w:val="Table footer note"/>
    <w:basedOn w:val="a7"/>
    <w:rsid w:val="008D6173"/>
    <w:pPr>
      <w:tabs>
        <w:tab w:val="left" w:pos="680"/>
      </w:tabs>
      <w:spacing w:after="60" w:line="200" w:lineRule="atLeast"/>
      <w:jc w:val="left"/>
    </w:pPr>
    <w:rPr>
      <w:sz w:val="20"/>
    </w:rPr>
  </w:style>
  <w:style w:type="paragraph" w:customStyle="1" w:styleId="Tablefooter">
    <w:name w:val="Table footer"/>
    <w:basedOn w:val="a7"/>
    <w:rsid w:val="00073FC6"/>
    <w:pPr>
      <w:spacing w:after="60" w:line="200" w:lineRule="atLeast"/>
      <w:ind w:left="284" w:hanging="284"/>
      <w:jc w:val="left"/>
    </w:pPr>
    <w:rPr>
      <w:sz w:val="20"/>
    </w:rPr>
  </w:style>
  <w:style w:type="paragraph" w:customStyle="1" w:styleId="Formula">
    <w:name w:val="Formula"/>
    <w:basedOn w:val="a7"/>
    <w:next w:val="a7"/>
    <w:qFormat/>
    <w:rsid w:val="00332974"/>
    <w:pPr>
      <w:tabs>
        <w:tab w:val="right" w:pos="9749"/>
      </w:tabs>
      <w:spacing w:line="240" w:lineRule="atLeast"/>
      <w:ind w:left="403"/>
    </w:pPr>
  </w:style>
  <w:style w:type="paragraph" w:styleId="33">
    <w:name w:val="Body Text Indent 3"/>
    <w:basedOn w:val="a7"/>
    <w:link w:val="3Char0"/>
    <w:uiPriority w:val="99"/>
    <w:semiHidden/>
    <w:unhideWhenUsed/>
    <w:rsid w:val="00643377"/>
    <w:pPr>
      <w:ind w:left="283"/>
    </w:pPr>
    <w:rPr>
      <w:szCs w:val="16"/>
    </w:rPr>
  </w:style>
  <w:style w:type="character" w:customStyle="1" w:styleId="3Char0">
    <w:name w:val="Σώμα κείμενου με εσοχή 3 Char"/>
    <w:basedOn w:val="a8"/>
    <w:link w:val="33"/>
    <w:uiPriority w:val="99"/>
    <w:semiHidden/>
    <w:rsid w:val="00643377"/>
    <w:rPr>
      <w:rFonts w:ascii="Cambria" w:eastAsia="MS Mincho" w:hAnsi="Cambria" w:cs="Cambria"/>
      <w:sz w:val="22"/>
      <w:szCs w:val="16"/>
      <w:lang w:eastAsia="fr-FR"/>
    </w:rPr>
  </w:style>
  <w:style w:type="paragraph" w:customStyle="1" w:styleId="Dimension75">
    <w:name w:val="Dimension_75"/>
    <w:basedOn w:val="Dimension100"/>
    <w:rsid w:val="00643377"/>
    <w:pPr>
      <w:keepNext/>
      <w:spacing w:before="0"/>
      <w:ind w:right="1253"/>
    </w:pPr>
    <w:rPr>
      <w:rFonts w:eastAsia="Calibri" w:cs="Times New Roman"/>
      <w:szCs w:val="22"/>
      <w:lang w:val="fr-FR" w:eastAsia="en-US"/>
    </w:rPr>
  </w:style>
  <w:style w:type="paragraph" w:customStyle="1" w:styleId="p2">
    <w:name w:val="p2"/>
    <w:basedOn w:val="a7"/>
    <w:next w:val="a7"/>
    <w:rsid w:val="004F2B29"/>
    <w:pPr>
      <w:tabs>
        <w:tab w:val="left" w:pos="562"/>
      </w:tabs>
      <w:spacing w:after="240" w:line="240" w:lineRule="atLeast"/>
    </w:pPr>
  </w:style>
  <w:style w:type="paragraph" w:customStyle="1" w:styleId="p3">
    <w:name w:val="p3"/>
    <w:basedOn w:val="a7"/>
    <w:next w:val="a7"/>
    <w:rsid w:val="004F2B29"/>
    <w:pPr>
      <w:tabs>
        <w:tab w:val="left" w:pos="720"/>
      </w:tabs>
      <w:spacing w:after="240" w:line="240" w:lineRule="atLeast"/>
    </w:pPr>
  </w:style>
  <w:style w:type="paragraph" w:customStyle="1" w:styleId="p4">
    <w:name w:val="p4"/>
    <w:basedOn w:val="a7"/>
    <w:next w:val="a7"/>
    <w:rsid w:val="004F2B29"/>
    <w:pPr>
      <w:tabs>
        <w:tab w:val="left" w:pos="1094"/>
      </w:tabs>
      <w:spacing w:after="240" w:line="240" w:lineRule="atLeast"/>
    </w:pPr>
  </w:style>
  <w:style w:type="paragraph" w:customStyle="1" w:styleId="p5">
    <w:name w:val="p5"/>
    <w:basedOn w:val="a7"/>
    <w:next w:val="a7"/>
    <w:rsid w:val="004F2B29"/>
    <w:pPr>
      <w:tabs>
        <w:tab w:val="left" w:pos="1094"/>
      </w:tabs>
      <w:spacing w:after="240" w:line="240" w:lineRule="atLeast"/>
    </w:pPr>
  </w:style>
  <w:style w:type="paragraph" w:customStyle="1" w:styleId="p6">
    <w:name w:val="p6"/>
    <w:basedOn w:val="a7"/>
    <w:next w:val="a7"/>
    <w:rsid w:val="004F2B29"/>
    <w:pPr>
      <w:tabs>
        <w:tab w:val="left" w:pos="1440"/>
      </w:tabs>
      <w:spacing w:after="240" w:line="240" w:lineRule="atLeast"/>
    </w:pPr>
  </w:style>
  <w:style w:type="paragraph" w:customStyle="1" w:styleId="Example">
    <w:name w:val="Example"/>
    <w:basedOn w:val="a7"/>
    <w:next w:val="a7"/>
    <w:rsid w:val="006F3A9D"/>
    <w:pPr>
      <w:tabs>
        <w:tab w:val="left" w:pos="1354"/>
      </w:tabs>
      <w:spacing w:after="240" w:line="220" w:lineRule="atLeast"/>
    </w:pPr>
    <w:rPr>
      <w:sz w:val="20"/>
    </w:rPr>
  </w:style>
  <w:style w:type="paragraph" w:customStyle="1" w:styleId="Tablebody-">
    <w:name w:val="Table body (-)"/>
    <w:basedOn w:val="Tablebody"/>
    <w:rsid w:val="00643377"/>
    <w:rPr>
      <w:rFonts w:eastAsia="Calibri" w:cs="Times New Roman"/>
      <w:sz w:val="20"/>
      <w:szCs w:val="22"/>
      <w:lang w:eastAsia="en-US"/>
    </w:rPr>
  </w:style>
  <w:style w:type="paragraph" w:customStyle="1" w:styleId="Tablebody--">
    <w:name w:val="Table body (--)"/>
    <w:basedOn w:val="Tablebody"/>
    <w:rsid w:val="00643377"/>
    <w:rPr>
      <w:rFonts w:eastAsia="Calibri" w:cs="Times New Roman"/>
      <w:sz w:val="18"/>
      <w:szCs w:val="22"/>
      <w:lang w:eastAsia="en-US"/>
    </w:rPr>
  </w:style>
  <w:style w:type="paragraph" w:customStyle="1" w:styleId="Tableheader-">
    <w:name w:val="Table header (-)"/>
    <w:basedOn w:val="Tablebody-"/>
    <w:rsid w:val="008D6173"/>
    <w:pPr>
      <w:jc w:val="center"/>
    </w:pPr>
    <w:rPr>
      <w:b/>
    </w:rPr>
  </w:style>
  <w:style w:type="paragraph" w:styleId="ae">
    <w:name w:val="footnote text"/>
    <w:basedOn w:val="a1"/>
    <w:link w:val="Char2"/>
    <w:rsid w:val="00171579"/>
    <w:pPr>
      <w:spacing w:after="0" w:line="240" w:lineRule="auto"/>
    </w:pPr>
    <w:rPr>
      <w:sz w:val="20"/>
      <w:szCs w:val="20"/>
    </w:rPr>
  </w:style>
  <w:style w:type="character" w:customStyle="1" w:styleId="Char2">
    <w:name w:val="Κείμενο υποσημείωσης Char"/>
    <w:basedOn w:val="a8"/>
    <w:link w:val="ae"/>
    <w:rsid w:val="00DD2F5F"/>
    <w:rPr>
      <w:rFonts w:ascii="Cambria" w:hAnsi="Cambria"/>
      <w:lang w:eastAsia="en-US"/>
    </w:rPr>
  </w:style>
  <w:style w:type="character" w:styleId="af">
    <w:name w:val="footnote reference"/>
    <w:basedOn w:val="a8"/>
    <w:rsid w:val="00EA399C"/>
    <w:rPr>
      <w:vertAlign w:val="superscript"/>
    </w:rPr>
  </w:style>
  <w:style w:type="paragraph" w:styleId="af0">
    <w:name w:val="toa heading"/>
    <w:basedOn w:val="a1"/>
    <w:next w:val="a1"/>
    <w:uiPriority w:val="99"/>
    <w:semiHidden/>
    <w:rsid w:val="00943AE8"/>
    <w:pPr>
      <w:spacing w:before="120"/>
    </w:pPr>
    <w:rPr>
      <w:rFonts w:asciiTheme="majorHAnsi" w:eastAsiaTheme="majorEastAsia" w:hAnsiTheme="majorHAnsi" w:cstheme="majorBidi"/>
      <w:b/>
      <w:bCs/>
      <w:sz w:val="24"/>
      <w:szCs w:val="24"/>
    </w:rPr>
  </w:style>
  <w:style w:type="paragraph" w:styleId="af1">
    <w:name w:val="Signature"/>
    <w:basedOn w:val="a1"/>
    <w:link w:val="Char3"/>
    <w:uiPriority w:val="99"/>
    <w:unhideWhenUsed/>
    <w:rsid w:val="00643377"/>
    <w:pPr>
      <w:spacing w:after="0" w:line="240" w:lineRule="auto"/>
      <w:ind w:left="4252"/>
    </w:pPr>
  </w:style>
  <w:style w:type="character" w:customStyle="1" w:styleId="Char3">
    <w:name w:val="Υπογραφή Char"/>
    <w:basedOn w:val="a8"/>
    <w:link w:val="af1"/>
    <w:uiPriority w:val="99"/>
    <w:rsid w:val="00643377"/>
    <w:rPr>
      <w:sz w:val="22"/>
      <w:szCs w:val="22"/>
      <w:lang w:eastAsia="en-US"/>
    </w:rPr>
  </w:style>
  <w:style w:type="paragraph" w:styleId="a0">
    <w:name w:val="List Bullet"/>
    <w:basedOn w:val="a7"/>
    <w:uiPriority w:val="99"/>
    <w:qFormat/>
    <w:rsid w:val="00353CE4"/>
    <w:pPr>
      <w:numPr>
        <w:numId w:val="15"/>
      </w:numPr>
      <w:ind w:left="360"/>
    </w:pPr>
  </w:style>
  <w:style w:type="paragraph" w:styleId="2">
    <w:name w:val="List Bullet 2"/>
    <w:basedOn w:val="a7"/>
    <w:uiPriority w:val="99"/>
    <w:rsid w:val="00DB7B8A"/>
    <w:pPr>
      <w:numPr>
        <w:numId w:val="3"/>
      </w:numPr>
      <w:tabs>
        <w:tab w:val="clear" w:pos="643"/>
      </w:tabs>
      <w:ind w:left="714" w:hanging="357"/>
    </w:pPr>
  </w:style>
  <w:style w:type="paragraph" w:customStyle="1" w:styleId="Tableheader--">
    <w:name w:val="Table header (--)"/>
    <w:basedOn w:val="Tablebody--"/>
    <w:rsid w:val="008D6173"/>
    <w:pPr>
      <w:jc w:val="center"/>
    </w:pPr>
    <w:rPr>
      <w:b/>
    </w:rPr>
  </w:style>
  <w:style w:type="paragraph" w:customStyle="1" w:styleId="Code">
    <w:name w:val="Code"/>
    <w:basedOn w:val="a1"/>
    <w:rsid w:val="006213A5"/>
    <w:pPr>
      <w:spacing w:after="0" w:line="240" w:lineRule="atLeast"/>
    </w:pPr>
    <w:rPr>
      <w:rFonts w:ascii="Courier New" w:hAnsi="Courier New"/>
    </w:rPr>
  </w:style>
  <w:style w:type="paragraph" w:customStyle="1" w:styleId="BodyTextCenter">
    <w:name w:val="Body Text_Center"/>
    <w:basedOn w:val="a7"/>
    <w:rsid w:val="006213A5"/>
    <w:pPr>
      <w:spacing w:after="240" w:line="240" w:lineRule="atLeast"/>
      <w:jc w:val="center"/>
    </w:pPr>
  </w:style>
  <w:style w:type="paragraph" w:customStyle="1" w:styleId="BiblioDescription">
    <w:name w:val="Biblio Description"/>
    <w:basedOn w:val="a7"/>
    <w:next w:val="BiblioEntry"/>
    <w:rsid w:val="006213A5"/>
    <w:pPr>
      <w:spacing w:after="240" w:line="240" w:lineRule="atLeast"/>
    </w:pPr>
  </w:style>
  <w:style w:type="character" w:styleId="-">
    <w:name w:val="Hyperlink"/>
    <w:basedOn w:val="a8"/>
    <w:uiPriority w:val="99"/>
    <w:unhideWhenUsed/>
    <w:rsid w:val="00A53290"/>
    <w:rPr>
      <w:color w:val="0000FF" w:themeColor="hyperlink"/>
      <w:u w:val="single"/>
    </w:rPr>
  </w:style>
  <w:style w:type="paragraph" w:styleId="3">
    <w:name w:val="List Bullet 3"/>
    <w:basedOn w:val="a7"/>
    <w:uiPriority w:val="99"/>
    <w:rsid w:val="00F63FBD"/>
    <w:pPr>
      <w:numPr>
        <w:numId w:val="4"/>
      </w:numPr>
      <w:spacing w:after="240"/>
      <w:ind w:left="924" w:hanging="357"/>
      <w:contextualSpacing/>
    </w:pPr>
  </w:style>
  <w:style w:type="paragraph" w:styleId="4">
    <w:name w:val="List Bullet 4"/>
    <w:basedOn w:val="a7"/>
    <w:uiPriority w:val="99"/>
    <w:rsid w:val="00F63FBD"/>
    <w:pPr>
      <w:numPr>
        <w:numId w:val="5"/>
      </w:numPr>
      <w:spacing w:after="240"/>
      <w:ind w:left="1208" w:hanging="357"/>
      <w:contextualSpacing/>
    </w:pPr>
  </w:style>
  <w:style w:type="paragraph" w:styleId="50">
    <w:name w:val="List Bullet 5"/>
    <w:basedOn w:val="a7"/>
    <w:uiPriority w:val="99"/>
    <w:rsid w:val="00F63FBD"/>
    <w:pPr>
      <w:numPr>
        <w:numId w:val="6"/>
      </w:numPr>
      <w:spacing w:after="240"/>
      <w:ind w:left="1491" w:hanging="357"/>
      <w:contextualSpacing/>
    </w:pPr>
  </w:style>
  <w:style w:type="paragraph" w:customStyle="1" w:styleId="ANNEXZ">
    <w:name w:val="ANNEXZ"/>
    <w:basedOn w:val="a1"/>
    <w:rsid w:val="00642581"/>
    <w:pPr>
      <w:keepNext/>
      <w:pageBreakBefore/>
      <w:numPr>
        <w:numId w:val="12"/>
      </w:numPr>
      <w:autoSpaceDE w:val="0"/>
      <w:autoSpaceDN w:val="0"/>
      <w:adjustRightInd w:val="0"/>
      <w:spacing w:before="0" w:after="760" w:line="310" w:lineRule="exact"/>
      <w:jc w:val="center"/>
      <w:outlineLvl w:val="0"/>
    </w:pPr>
    <w:rPr>
      <w:b/>
      <w:sz w:val="28"/>
      <w:szCs w:val="24"/>
    </w:rPr>
  </w:style>
  <w:style w:type="paragraph" w:customStyle="1" w:styleId="Notice">
    <w:name w:val="Notice"/>
    <w:basedOn w:val="a7"/>
    <w:rsid w:val="00FB57AA"/>
    <w:pPr>
      <w:spacing w:after="240" w:line="240" w:lineRule="atLeast"/>
    </w:pPr>
  </w:style>
  <w:style w:type="paragraph" w:styleId="af2">
    <w:name w:val="Plain Text"/>
    <w:basedOn w:val="a1"/>
    <w:link w:val="Char4"/>
    <w:uiPriority w:val="99"/>
    <w:semiHidden/>
    <w:unhideWhenUsed/>
    <w:rsid w:val="002310B1"/>
    <w:pPr>
      <w:spacing w:after="0" w:line="240" w:lineRule="auto"/>
    </w:pPr>
    <w:rPr>
      <w:rFonts w:ascii="Consolas" w:hAnsi="Consolas"/>
      <w:color w:val="FF0000"/>
      <w:sz w:val="21"/>
      <w:szCs w:val="21"/>
    </w:rPr>
  </w:style>
  <w:style w:type="paragraph" w:customStyle="1" w:styleId="za2">
    <w:name w:val="za2"/>
    <w:basedOn w:val="a1"/>
    <w:next w:val="a7"/>
    <w:link w:val="za2Char"/>
    <w:rsid w:val="00642581"/>
    <w:pPr>
      <w:keepNext/>
      <w:numPr>
        <w:ilvl w:val="1"/>
        <w:numId w:val="12"/>
      </w:numPr>
      <w:tabs>
        <w:tab w:val="left" w:pos="499"/>
        <w:tab w:val="left" w:pos="720"/>
      </w:tabs>
      <w:spacing w:before="270" w:after="240" w:line="270" w:lineRule="exact"/>
      <w:jc w:val="left"/>
      <w:outlineLvl w:val="0"/>
    </w:pPr>
    <w:rPr>
      <w:b/>
      <w:sz w:val="26"/>
    </w:rPr>
  </w:style>
  <w:style w:type="character" w:customStyle="1" w:styleId="za2Char">
    <w:name w:val="za2 Char"/>
    <w:basedOn w:val="a8"/>
    <w:link w:val="za2"/>
    <w:rsid w:val="006E3CA9"/>
    <w:rPr>
      <w:rFonts w:ascii="Cambria" w:hAnsi="Cambria"/>
      <w:b/>
      <w:sz w:val="26"/>
      <w:szCs w:val="22"/>
      <w:lang w:eastAsia="en-US"/>
    </w:rPr>
  </w:style>
  <w:style w:type="paragraph" w:customStyle="1" w:styleId="za3">
    <w:name w:val="za3"/>
    <w:basedOn w:val="a1"/>
    <w:link w:val="za3Char"/>
    <w:rsid w:val="00642581"/>
    <w:pPr>
      <w:keepNext/>
      <w:numPr>
        <w:ilvl w:val="2"/>
        <w:numId w:val="12"/>
      </w:numPr>
      <w:tabs>
        <w:tab w:val="left" w:pos="851"/>
      </w:tabs>
      <w:spacing w:before="0" w:after="240" w:line="250" w:lineRule="exact"/>
      <w:jc w:val="left"/>
      <w:outlineLvl w:val="0"/>
    </w:pPr>
    <w:rPr>
      <w:b/>
      <w:sz w:val="24"/>
    </w:rPr>
  </w:style>
  <w:style w:type="character" w:customStyle="1" w:styleId="za3Char">
    <w:name w:val="za3 Char"/>
    <w:basedOn w:val="2Char"/>
    <w:link w:val="za3"/>
    <w:rsid w:val="00B03E87"/>
    <w:rPr>
      <w:rFonts w:ascii="Cambria" w:eastAsia="MS Mincho" w:hAnsi="Cambria" w:cs="Cambria"/>
      <w:b/>
      <w:sz w:val="24"/>
      <w:szCs w:val="22"/>
      <w:lang w:eastAsia="en-US"/>
    </w:rPr>
  </w:style>
  <w:style w:type="paragraph" w:customStyle="1" w:styleId="za4">
    <w:name w:val="za4"/>
    <w:basedOn w:val="a1"/>
    <w:link w:val="za4Char"/>
    <w:rsid w:val="00642581"/>
    <w:pPr>
      <w:keepNext/>
      <w:numPr>
        <w:ilvl w:val="3"/>
        <w:numId w:val="12"/>
      </w:numPr>
      <w:tabs>
        <w:tab w:val="left" w:pos="992"/>
      </w:tabs>
      <w:spacing w:before="0" w:after="240" w:line="240" w:lineRule="atLeast"/>
      <w:jc w:val="left"/>
      <w:outlineLvl w:val="0"/>
    </w:pPr>
    <w:rPr>
      <w:b/>
    </w:rPr>
  </w:style>
  <w:style w:type="character" w:customStyle="1" w:styleId="za4Char">
    <w:name w:val="za4 Char"/>
    <w:basedOn w:val="Char"/>
    <w:link w:val="za4"/>
    <w:rsid w:val="00A670FA"/>
    <w:rPr>
      <w:rFonts w:ascii="Cambria" w:eastAsia="MS Mincho" w:hAnsi="Cambria" w:cs="Cambria"/>
      <w:b/>
      <w:sz w:val="22"/>
      <w:szCs w:val="22"/>
      <w:lang w:eastAsia="en-US"/>
    </w:rPr>
  </w:style>
  <w:style w:type="paragraph" w:customStyle="1" w:styleId="za5">
    <w:name w:val="za5"/>
    <w:basedOn w:val="a1"/>
    <w:rsid w:val="00642581"/>
    <w:pPr>
      <w:keepNext/>
      <w:numPr>
        <w:ilvl w:val="4"/>
        <w:numId w:val="12"/>
      </w:numPr>
      <w:tabs>
        <w:tab w:val="left" w:pos="1106"/>
      </w:tabs>
      <w:spacing w:before="0" w:after="240" w:line="240" w:lineRule="atLeast"/>
      <w:jc w:val="left"/>
      <w:outlineLvl w:val="0"/>
    </w:pPr>
    <w:rPr>
      <w:b/>
    </w:rPr>
  </w:style>
  <w:style w:type="paragraph" w:customStyle="1" w:styleId="za6">
    <w:name w:val="za6"/>
    <w:basedOn w:val="a1"/>
    <w:next w:val="a7"/>
    <w:rsid w:val="00642581"/>
    <w:pPr>
      <w:keepNext/>
      <w:numPr>
        <w:ilvl w:val="5"/>
        <w:numId w:val="12"/>
      </w:numPr>
      <w:tabs>
        <w:tab w:val="left" w:pos="1219"/>
      </w:tabs>
      <w:spacing w:before="0" w:after="240" w:line="240" w:lineRule="atLeast"/>
      <w:jc w:val="left"/>
      <w:outlineLvl w:val="0"/>
    </w:pPr>
    <w:rPr>
      <w:b/>
    </w:rPr>
  </w:style>
  <w:style w:type="paragraph" w:styleId="af3">
    <w:name w:val="Balloon Text"/>
    <w:basedOn w:val="ForewordText"/>
    <w:link w:val="Char5"/>
    <w:uiPriority w:val="99"/>
    <w:semiHidden/>
    <w:rsid w:val="00643E44"/>
    <w:pPr>
      <w:autoSpaceDE w:val="0"/>
      <w:autoSpaceDN w:val="0"/>
      <w:adjustRightInd w:val="0"/>
      <w:spacing w:after="200"/>
    </w:pPr>
    <w:rPr>
      <w:color w:val="FF0000"/>
      <w:szCs w:val="22"/>
    </w:rPr>
  </w:style>
  <w:style w:type="character" w:customStyle="1" w:styleId="Char5">
    <w:name w:val="Κείμενο πλαισίου Char"/>
    <w:basedOn w:val="a8"/>
    <w:link w:val="af3"/>
    <w:uiPriority w:val="99"/>
    <w:semiHidden/>
    <w:rsid w:val="00DD2F5F"/>
    <w:rPr>
      <w:rFonts w:ascii="Cambria" w:eastAsia="MS Mincho" w:hAnsi="Cambria" w:cs="Cambria"/>
      <w:color w:val="FF0000"/>
      <w:sz w:val="22"/>
      <w:szCs w:val="22"/>
      <w:lang w:eastAsia="fr-FR"/>
    </w:rPr>
  </w:style>
  <w:style w:type="paragraph" w:styleId="af4">
    <w:name w:val="Bibliography"/>
    <w:basedOn w:val="a1"/>
    <w:next w:val="a1"/>
    <w:uiPriority w:val="99"/>
    <w:semiHidden/>
    <w:rsid w:val="00643E44"/>
    <w:rPr>
      <w:color w:val="FF0000"/>
    </w:rPr>
  </w:style>
  <w:style w:type="character" w:styleId="af5">
    <w:name w:val="Subtle Reference"/>
    <w:basedOn w:val="a8"/>
    <w:uiPriority w:val="31"/>
    <w:qFormat/>
    <w:rsid w:val="00643E44"/>
    <w:rPr>
      <w:smallCaps/>
      <w:color w:val="C0504D" w:themeColor="accent2"/>
      <w:u w:val="single"/>
    </w:rPr>
  </w:style>
  <w:style w:type="paragraph" w:styleId="24">
    <w:name w:val="Body Text 2"/>
    <w:basedOn w:val="a1"/>
    <w:link w:val="2Char1"/>
    <w:unhideWhenUsed/>
    <w:rsid w:val="00643E44"/>
    <w:pPr>
      <w:spacing w:line="480" w:lineRule="auto"/>
    </w:pPr>
    <w:rPr>
      <w:color w:val="FF0000"/>
    </w:rPr>
  </w:style>
  <w:style w:type="character" w:customStyle="1" w:styleId="2Char1">
    <w:name w:val="Σώμα κείμενου 2 Char"/>
    <w:basedOn w:val="a8"/>
    <w:link w:val="24"/>
    <w:rsid w:val="00643E44"/>
    <w:rPr>
      <w:color w:val="FF0000"/>
      <w:sz w:val="22"/>
      <w:szCs w:val="22"/>
      <w:lang w:eastAsia="en-US"/>
    </w:rPr>
  </w:style>
  <w:style w:type="paragraph" w:styleId="34">
    <w:name w:val="Body Text 3"/>
    <w:basedOn w:val="a1"/>
    <w:link w:val="3Char1"/>
    <w:uiPriority w:val="99"/>
    <w:semiHidden/>
    <w:unhideWhenUsed/>
    <w:rsid w:val="00643E44"/>
    <w:rPr>
      <w:color w:val="FF0000"/>
      <w:sz w:val="16"/>
      <w:szCs w:val="16"/>
    </w:rPr>
  </w:style>
  <w:style w:type="character" w:customStyle="1" w:styleId="3Char1">
    <w:name w:val="Σώμα κείμενου 3 Char"/>
    <w:basedOn w:val="a8"/>
    <w:link w:val="34"/>
    <w:uiPriority w:val="99"/>
    <w:semiHidden/>
    <w:rsid w:val="00643E44"/>
    <w:rPr>
      <w:color w:val="FF0000"/>
      <w:sz w:val="16"/>
      <w:szCs w:val="16"/>
      <w:lang w:eastAsia="en-US"/>
    </w:rPr>
  </w:style>
  <w:style w:type="paragraph" w:styleId="af6">
    <w:name w:val="Body Text First Indent"/>
    <w:basedOn w:val="a7"/>
    <w:link w:val="Char6"/>
    <w:uiPriority w:val="99"/>
    <w:semiHidden/>
    <w:unhideWhenUsed/>
    <w:rsid w:val="00643E44"/>
    <w:pPr>
      <w:spacing w:before="0" w:after="200" w:line="276" w:lineRule="auto"/>
      <w:ind w:firstLine="360"/>
      <w:jc w:val="left"/>
    </w:pPr>
    <w:rPr>
      <w:rFonts w:ascii="Calibri" w:eastAsia="Calibri" w:hAnsi="Calibri" w:cs="Times New Roman"/>
      <w:color w:val="FF0000"/>
      <w:szCs w:val="22"/>
      <w:lang w:eastAsia="en-US"/>
    </w:rPr>
  </w:style>
  <w:style w:type="character" w:customStyle="1" w:styleId="Char6">
    <w:name w:val="Σώμα κείμενου Πρώτη Εσοχή Char"/>
    <w:basedOn w:val="Char"/>
    <w:link w:val="af6"/>
    <w:uiPriority w:val="99"/>
    <w:semiHidden/>
    <w:rsid w:val="00643E44"/>
    <w:rPr>
      <w:rFonts w:ascii="Cambria" w:eastAsia="MS Mincho" w:hAnsi="Cambria" w:cs="Cambria"/>
      <w:color w:val="FF0000"/>
      <w:sz w:val="22"/>
      <w:szCs w:val="22"/>
      <w:lang w:eastAsia="en-US"/>
    </w:rPr>
  </w:style>
  <w:style w:type="paragraph" w:styleId="25">
    <w:name w:val="Body Text First Indent 2"/>
    <w:basedOn w:val="ab"/>
    <w:link w:val="2Char2"/>
    <w:uiPriority w:val="99"/>
    <w:semiHidden/>
    <w:unhideWhenUsed/>
    <w:rsid w:val="00643E44"/>
    <w:pPr>
      <w:spacing w:before="0" w:after="200" w:line="276" w:lineRule="auto"/>
      <w:ind w:left="360" w:firstLine="360"/>
      <w:jc w:val="left"/>
    </w:pPr>
    <w:rPr>
      <w:rFonts w:ascii="Calibri" w:eastAsia="Calibri" w:hAnsi="Calibri" w:cs="Times New Roman"/>
      <w:color w:val="FF0000"/>
      <w:szCs w:val="22"/>
      <w:lang w:eastAsia="en-US"/>
    </w:rPr>
  </w:style>
  <w:style w:type="character" w:customStyle="1" w:styleId="2Char2">
    <w:name w:val="Σώμα κείμενου Πρώτη Εσοχή 2 Char"/>
    <w:basedOn w:val="Char0"/>
    <w:link w:val="25"/>
    <w:uiPriority w:val="99"/>
    <w:semiHidden/>
    <w:rsid w:val="00643E44"/>
    <w:rPr>
      <w:rFonts w:ascii="Cambria" w:eastAsia="MS Mincho" w:hAnsi="Cambria" w:cs="Cambria"/>
      <w:color w:val="FF0000"/>
      <w:sz w:val="22"/>
      <w:szCs w:val="22"/>
      <w:lang w:eastAsia="en-US"/>
    </w:rPr>
  </w:style>
  <w:style w:type="character" w:customStyle="1" w:styleId="Char4">
    <w:name w:val="Απλό κείμενο Char"/>
    <w:basedOn w:val="a8"/>
    <w:link w:val="af2"/>
    <w:uiPriority w:val="99"/>
    <w:semiHidden/>
    <w:rsid w:val="002310B1"/>
    <w:rPr>
      <w:rFonts w:ascii="Consolas" w:hAnsi="Consolas"/>
      <w:color w:val="FF0000"/>
      <w:sz w:val="21"/>
      <w:szCs w:val="21"/>
      <w:lang w:eastAsia="en-US"/>
    </w:rPr>
  </w:style>
  <w:style w:type="paragraph" w:styleId="af7">
    <w:name w:val="header"/>
    <w:basedOn w:val="a1"/>
    <w:link w:val="Char7"/>
    <w:uiPriority w:val="99"/>
    <w:unhideWhenUsed/>
    <w:rsid w:val="00FB7A82"/>
    <w:pPr>
      <w:tabs>
        <w:tab w:val="center" w:pos="4513"/>
        <w:tab w:val="right" w:pos="9026"/>
      </w:tabs>
      <w:spacing w:after="0" w:line="240" w:lineRule="auto"/>
    </w:pPr>
  </w:style>
  <w:style w:type="character" w:customStyle="1" w:styleId="Char7">
    <w:name w:val="Κεφαλίδα Char"/>
    <w:basedOn w:val="a8"/>
    <w:link w:val="af7"/>
    <w:uiPriority w:val="99"/>
    <w:rsid w:val="00DD2F5F"/>
    <w:rPr>
      <w:rFonts w:ascii="Cambria" w:hAnsi="Cambria"/>
      <w:sz w:val="22"/>
      <w:szCs w:val="22"/>
      <w:lang w:eastAsia="en-US"/>
    </w:rPr>
  </w:style>
  <w:style w:type="paragraph" w:styleId="a">
    <w:name w:val="List Number"/>
    <w:basedOn w:val="a7"/>
    <w:rsid w:val="00726D50"/>
    <w:pPr>
      <w:numPr>
        <w:numId w:val="8"/>
      </w:numPr>
      <w:contextualSpacing/>
    </w:pPr>
  </w:style>
  <w:style w:type="paragraph" w:styleId="af8">
    <w:name w:val="List Continue"/>
    <w:basedOn w:val="a1"/>
    <w:uiPriority w:val="99"/>
    <w:unhideWhenUsed/>
    <w:rsid w:val="00E76401"/>
    <w:pPr>
      <w:ind w:left="283"/>
      <w:contextualSpacing/>
    </w:pPr>
  </w:style>
  <w:style w:type="paragraph" w:styleId="26">
    <w:name w:val="List Continue 2"/>
    <w:basedOn w:val="a1"/>
    <w:uiPriority w:val="99"/>
    <w:semiHidden/>
    <w:unhideWhenUsed/>
    <w:rsid w:val="000B07C2"/>
    <w:pPr>
      <w:ind w:left="566"/>
      <w:contextualSpacing/>
    </w:pPr>
  </w:style>
  <w:style w:type="paragraph" w:styleId="35">
    <w:name w:val="List Continue 3"/>
    <w:basedOn w:val="a1"/>
    <w:unhideWhenUsed/>
    <w:rsid w:val="000B07C2"/>
    <w:pPr>
      <w:ind w:left="849"/>
      <w:contextualSpacing/>
    </w:pPr>
  </w:style>
  <w:style w:type="paragraph" w:styleId="42">
    <w:name w:val="List Continue 4"/>
    <w:basedOn w:val="a1"/>
    <w:unhideWhenUsed/>
    <w:rsid w:val="000B07C2"/>
    <w:pPr>
      <w:ind w:left="1132"/>
      <w:contextualSpacing/>
    </w:pPr>
  </w:style>
  <w:style w:type="paragraph" w:styleId="52">
    <w:name w:val="List Continue 5"/>
    <w:basedOn w:val="a1"/>
    <w:uiPriority w:val="99"/>
    <w:semiHidden/>
    <w:unhideWhenUsed/>
    <w:rsid w:val="000B07C2"/>
    <w:pPr>
      <w:ind w:left="1415"/>
      <w:contextualSpacing/>
    </w:pPr>
  </w:style>
  <w:style w:type="paragraph" w:styleId="20">
    <w:name w:val="List Number 2"/>
    <w:basedOn w:val="a7"/>
    <w:rsid w:val="00726D50"/>
    <w:pPr>
      <w:numPr>
        <w:numId w:val="9"/>
      </w:numPr>
      <w:contextualSpacing/>
    </w:pPr>
  </w:style>
  <w:style w:type="paragraph" w:styleId="30">
    <w:name w:val="List Number 3"/>
    <w:basedOn w:val="a7"/>
    <w:rsid w:val="00726D50"/>
    <w:pPr>
      <w:numPr>
        <w:numId w:val="10"/>
      </w:numPr>
      <w:contextualSpacing/>
    </w:pPr>
  </w:style>
  <w:style w:type="paragraph" w:styleId="40">
    <w:name w:val="List Number 4"/>
    <w:basedOn w:val="a7"/>
    <w:rsid w:val="00726D50"/>
    <w:pPr>
      <w:numPr>
        <w:numId w:val="11"/>
      </w:numPr>
      <w:contextualSpacing/>
    </w:pPr>
  </w:style>
  <w:style w:type="paragraph" w:styleId="5">
    <w:name w:val="List Number 5"/>
    <w:basedOn w:val="a7"/>
    <w:uiPriority w:val="99"/>
    <w:rsid w:val="00726D50"/>
    <w:pPr>
      <w:numPr>
        <w:numId w:val="7"/>
      </w:numPr>
      <w:contextualSpacing/>
    </w:pPr>
  </w:style>
  <w:style w:type="character" w:styleId="-0">
    <w:name w:val="FollowedHyperlink"/>
    <w:basedOn w:val="a8"/>
    <w:uiPriority w:val="99"/>
    <w:semiHidden/>
    <w:unhideWhenUsed/>
    <w:rsid w:val="00394985"/>
    <w:rPr>
      <w:color w:val="800080" w:themeColor="followedHyperlink"/>
      <w:u w:val="single"/>
    </w:rPr>
  </w:style>
  <w:style w:type="table" w:styleId="53">
    <w:name w:val="Table Grid 5"/>
    <w:basedOn w:val="a9"/>
    <w:rsid w:val="00F0154C"/>
    <w:pPr>
      <w:spacing w:after="240" w:line="230" w:lineRule="atLeast"/>
      <w:jc w:val="both"/>
    </w:pPr>
    <w:rPr>
      <w:rFonts w:ascii="Cambria" w:eastAsia="Cambria" w:hAnsi="Cambria" w:cs="Cambria"/>
      <w:lang w:val="de-DE" w:eastAsia="de-DE"/>
    </w:rPr>
    <w:tblPr>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85" w:type="dxa"/>
        <w:right w:w="85" w:type="dxa"/>
      </w:tblCellMar>
    </w:tblPr>
    <w:trPr>
      <w:jc w:val="center"/>
    </w:trPr>
    <w:tcPr>
      <w:shd w:val="clear" w:color="auto" w:fill="auto"/>
    </w:tcPr>
    <w:tblStylePr w:type="firstRow">
      <w:pPr>
        <w:wordWrap/>
        <w:jc w:val="center"/>
      </w:pPr>
      <w:rPr>
        <w:b w:val="0"/>
      </w:rPr>
      <w:tblPr/>
      <w:tcPr>
        <w:tc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l2br w:val="nil"/>
          <w:tr2bl w:val="nil"/>
        </w:tcBorders>
        <w:vAlign w:val="center"/>
      </w:tcPr>
    </w:tblStylePr>
    <w:tblStylePr w:type="lastRow">
      <w:rPr>
        <w:b w:val="0"/>
        <w:bCs/>
      </w:rPr>
      <w:tblPr/>
      <w:tcPr>
        <w:tcBorders>
          <w:top w:val="single" w:sz="12" w:space="0" w:color="auto"/>
          <w:left w:val="single" w:sz="12" w:space="0" w:color="auto"/>
          <w:bottom w:val="single" w:sz="12" w:space="0" w:color="auto"/>
          <w:right w:val="single" w:sz="12" w:space="0" w:color="auto"/>
          <w:insideH w:val="single" w:sz="6" w:space="0" w:color="auto"/>
          <w:insideV w:val="single" w:sz="6" w:space="0" w:color="auto"/>
          <w:tl2br w:val="nil"/>
          <w:tr2bl w:val="nil"/>
        </w:tcBorders>
        <w:shd w:val="clear" w:color="auto" w:fill="auto"/>
      </w:tcPr>
    </w:tblStylePr>
    <w:tblStylePr w:type="lastCol">
      <w:rPr>
        <w:b w:val="0"/>
        <w:bCs/>
      </w:rPr>
    </w:tblStylePr>
    <w:tblStylePr w:type="nwCell">
      <w:tblPr/>
      <w:tcPr>
        <w:tcBorders>
          <w:tl2br w:val="nil"/>
        </w:tcBorders>
        <w:shd w:val="clear" w:color="auto" w:fill="auto"/>
      </w:tcPr>
    </w:tblStylePr>
  </w:style>
  <w:style w:type="paragraph" w:styleId="af9">
    <w:name w:val="List Paragraph"/>
    <w:basedOn w:val="a1"/>
    <w:link w:val="Char8"/>
    <w:uiPriority w:val="34"/>
    <w:qFormat/>
    <w:rsid w:val="004E22C1"/>
    <w:pPr>
      <w:widowControl w:val="0"/>
      <w:spacing w:after="60" w:line="240" w:lineRule="auto"/>
      <w:ind w:left="720"/>
      <w:contextualSpacing/>
    </w:pPr>
    <w:rPr>
      <w:rFonts w:eastAsia="Cambria" w:cs="Cambria"/>
      <w:sz w:val="21"/>
      <w:szCs w:val="21"/>
      <w:lang w:val="en-US" w:eastAsia="fr-FR"/>
    </w:rPr>
  </w:style>
  <w:style w:type="character" w:customStyle="1" w:styleId="Char8">
    <w:name w:val="Παράγραφος λίστας Char"/>
    <w:basedOn w:val="a8"/>
    <w:link w:val="af9"/>
    <w:uiPriority w:val="34"/>
    <w:rsid w:val="004E22C1"/>
    <w:rPr>
      <w:rFonts w:ascii="Cambria" w:eastAsia="Cambria" w:hAnsi="Cambria" w:cs="Cambria"/>
      <w:sz w:val="21"/>
      <w:szCs w:val="21"/>
      <w:lang w:val="en-US" w:eastAsia="fr-FR"/>
    </w:rPr>
  </w:style>
  <w:style w:type="character" w:styleId="afa">
    <w:name w:val="annotation reference"/>
    <w:basedOn w:val="a8"/>
    <w:uiPriority w:val="99"/>
    <w:unhideWhenUsed/>
    <w:rsid w:val="004E22C1"/>
    <w:rPr>
      <w:sz w:val="17"/>
      <w:szCs w:val="17"/>
    </w:rPr>
  </w:style>
  <w:style w:type="paragraph" w:styleId="afb">
    <w:name w:val="annotation text"/>
    <w:basedOn w:val="a1"/>
    <w:link w:val="Char9"/>
    <w:uiPriority w:val="99"/>
    <w:unhideWhenUsed/>
    <w:rsid w:val="004E22C1"/>
    <w:pPr>
      <w:widowControl w:val="0"/>
      <w:spacing w:after="60" w:line="240" w:lineRule="auto"/>
    </w:pPr>
    <w:rPr>
      <w:rFonts w:eastAsia="Cambria" w:cs="Cambria"/>
      <w:sz w:val="21"/>
      <w:szCs w:val="21"/>
      <w:lang w:val="en-US" w:eastAsia="fr-FR"/>
    </w:rPr>
  </w:style>
  <w:style w:type="character" w:customStyle="1" w:styleId="Char9">
    <w:name w:val="Κείμενο σχολίου Char"/>
    <w:basedOn w:val="a8"/>
    <w:link w:val="afb"/>
    <w:uiPriority w:val="99"/>
    <w:rsid w:val="004E22C1"/>
    <w:rPr>
      <w:rFonts w:ascii="Cambria" w:eastAsia="Cambria" w:hAnsi="Cambria" w:cs="Cambria"/>
      <w:sz w:val="21"/>
      <w:szCs w:val="21"/>
      <w:lang w:val="en-US" w:eastAsia="fr-FR"/>
    </w:rPr>
  </w:style>
  <w:style w:type="paragraph" w:styleId="afc">
    <w:name w:val="annotation subject"/>
    <w:basedOn w:val="afb"/>
    <w:next w:val="afb"/>
    <w:link w:val="Chara"/>
    <w:uiPriority w:val="99"/>
    <w:semiHidden/>
    <w:unhideWhenUsed/>
    <w:rsid w:val="004E22C1"/>
    <w:rPr>
      <w:b/>
      <w:bCs/>
    </w:rPr>
  </w:style>
  <w:style w:type="character" w:customStyle="1" w:styleId="Chara">
    <w:name w:val="Θέμα σχολίου Char"/>
    <w:basedOn w:val="Char9"/>
    <w:link w:val="afc"/>
    <w:uiPriority w:val="99"/>
    <w:semiHidden/>
    <w:rsid w:val="004E22C1"/>
    <w:rPr>
      <w:rFonts w:ascii="Cambria" w:eastAsia="Cambria" w:hAnsi="Cambria" w:cs="Cambria"/>
      <w:b/>
      <w:bCs/>
      <w:sz w:val="21"/>
      <w:szCs w:val="21"/>
      <w:lang w:val="en-US" w:eastAsia="fr-FR"/>
    </w:rPr>
  </w:style>
  <w:style w:type="paragraph" w:styleId="afd">
    <w:name w:val="Revision"/>
    <w:hidden/>
    <w:uiPriority w:val="99"/>
    <w:semiHidden/>
    <w:rsid w:val="004E22C1"/>
    <w:rPr>
      <w:rFonts w:ascii="Cambria" w:eastAsia="Cambria" w:hAnsi="Cambria" w:cs="Cambria"/>
      <w:sz w:val="25"/>
      <w:szCs w:val="21"/>
      <w:lang w:val="en-US" w:eastAsia="fr-FR"/>
    </w:rPr>
  </w:style>
  <w:style w:type="character" w:styleId="afe">
    <w:name w:val="Placeholder Text"/>
    <w:basedOn w:val="a8"/>
    <w:uiPriority w:val="99"/>
    <w:semiHidden/>
    <w:rsid w:val="004E22C1"/>
    <w:rPr>
      <w:color w:val="808080"/>
    </w:rPr>
  </w:style>
  <w:style w:type="paragraph" w:styleId="Web">
    <w:name w:val="Normal (Web)"/>
    <w:basedOn w:val="a1"/>
    <w:uiPriority w:val="99"/>
    <w:rsid w:val="004E22C1"/>
    <w:pPr>
      <w:spacing w:before="100" w:beforeAutospacing="1" w:after="100" w:afterAutospacing="1" w:line="360" w:lineRule="auto"/>
    </w:pPr>
    <w:rPr>
      <w:rFonts w:eastAsia="Arial Unicode MS" w:cs="Cambria"/>
      <w:lang w:val="de-DE" w:eastAsia="de-DE"/>
    </w:rPr>
  </w:style>
  <w:style w:type="paragraph" w:styleId="aff">
    <w:name w:val="caption"/>
    <w:basedOn w:val="a1"/>
    <w:next w:val="a1"/>
    <w:link w:val="Charb"/>
    <w:uiPriority w:val="35"/>
    <w:unhideWhenUsed/>
    <w:qFormat/>
    <w:rsid w:val="004E22C1"/>
    <w:pPr>
      <w:spacing w:after="160" w:line="240" w:lineRule="auto"/>
    </w:pPr>
    <w:rPr>
      <w:rFonts w:eastAsiaTheme="minorEastAsia" w:cstheme="minorBidi"/>
      <w:b/>
      <w:bCs/>
      <w:smallCaps/>
      <w:color w:val="595959" w:themeColor="text1" w:themeTint="A6"/>
      <w:sz w:val="23"/>
      <w:szCs w:val="23"/>
      <w:lang w:val="en-US"/>
    </w:rPr>
  </w:style>
  <w:style w:type="character" w:customStyle="1" w:styleId="Charb">
    <w:name w:val="Λεζάντα Char"/>
    <w:link w:val="aff"/>
    <w:uiPriority w:val="35"/>
    <w:rsid w:val="004E22C1"/>
    <w:rPr>
      <w:rFonts w:ascii="Cambria" w:eastAsiaTheme="minorEastAsia" w:hAnsi="Cambria" w:cstheme="minorBidi"/>
      <w:b/>
      <w:bCs/>
      <w:smallCaps/>
      <w:color w:val="595959" w:themeColor="text1" w:themeTint="A6"/>
      <w:sz w:val="23"/>
      <w:szCs w:val="23"/>
      <w:lang w:val="en-US" w:eastAsia="en-US"/>
    </w:rPr>
  </w:style>
  <w:style w:type="character" w:styleId="aff0">
    <w:name w:val="Strong"/>
    <w:basedOn w:val="a8"/>
    <w:uiPriority w:val="22"/>
    <w:qFormat/>
    <w:rsid w:val="004E22C1"/>
    <w:rPr>
      <w:b/>
      <w:bCs/>
    </w:rPr>
  </w:style>
  <w:style w:type="character" w:styleId="aff1">
    <w:name w:val="Emphasis"/>
    <w:basedOn w:val="a8"/>
    <w:uiPriority w:val="20"/>
    <w:qFormat/>
    <w:rsid w:val="004E22C1"/>
    <w:rPr>
      <w:i/>
      <w:iCs/>
    </w:rPr>
  </w:style>
  <w:style w:type="paragraph" w:styleId="aff2">
    <w:name w:val="No Spacing"/>
    <w:uiPriority w:val="1"/>
    <w:qFormat/>
    <w:rsid w:val="004E22C1"/>
    <w:rPr>
      <w:rFonts w:asciiTheme="minorHAnsi" w:eastAsiaTheme="minorEastAsia" w:hAnsiTheme="minorHAnsi" w:cstheme="minorBidi"/>
      <w:sz w:val="23"/>
      <w:szCs w:val="23"/>
      <w:lang w:val="en-US" w:eastAsia="en-US"/>
    </w:rPr>
  </w:style>
  <w:style w:type="paragraph" w:styleId="aff3">
    <w:name w:val="Intense Quote"/>
    <w:basedOn w:val="a1"/>
    <w:next w:val="a1"/>
    <w:link w:val="Charc"/>
    <w:uiPriority w:val="30"/>
    <w:qFormat/>
    <w:rsid w:val="004E22C1"/>
    <w:pPr>
      <w:spacing w:before="280" w:after="280" w:line="240" w:lineRule="auto"/>
      <w:ind w:left="1080" w:right="1080"/>
      <w:jc w:val="center"/>
    </w:pPr>
    <w:rPr>
      <w:rFonts w:eastAsiaTheme="minorEastAsia" w:cstheme="minorBidi"/>
      <w:color w:val="404040" w:themeColor="text1" w:themeTint="BF"/>
      <w:sz w:val="33"/>
      <w:szCs w:val="33"/>
      <w:lang w:val="en-US"/>
    </w:rPr>
  </w:style>
  <w:style w:type="character" w:customStyle="1" w:styleId="Charc">
    <w:name w:val="Έντονο απόσπ. Char"/>
    <w:basedOn w:val="a8"/>
    <w:link w:val="aff3"/>
    <w:uiPriority w:val="30"/>
    <w:rsid w:val="004E22C1"/>
    <w:rPr>
      <w:rFonts w:ascii="Cambria" w:eastAsiaTheme="minorEastAsia" w:hAnsi="Cambria" w:cstheme="minorBidi"/>
      <w:color w:val="404040" w:themeColor="text1" w:themeTint="BF"/>
      <w:sz w:val="33"/>
      <w:szCs w:val="33"/>
      <w:lang w:val="en-US" w:eastAsia="en-US"/>
    </w:rPr>
  </w:style>
  <w:style w:type="character" w:styleId="aff4">
    <w:name w:val="Subtle Emphasis"/>
    <w:basedOn w:val="a8"/>
    <w:uiPriority w:val="19"/>
    <w:qFormat/>
    <w:rsid w:val="004E22C1"/>
    <w:rPr>
      <w:i/>
      <w:iCs/>
      <w:color w:val="595959" w:themeColor="text1" w:themeTint="A6"/>
    </w:rPr>
  </w:style>
  <w:style w:type="character" w:styleId="aff5">
    <w:name w:val="Intense Emphasis"/>
    <w:basedOn w:val="a8"/>
    <w:uiPriority w:val="21"/>
    <w:qFormat/>
    <w:rsid w:val="004E22C1"/>
    <w:rPr>
      <w:b/>
      <w:bCs/>
      <w:i/>
      <w:iCs/>
    </w:rPr>
  </w:style>
  <w:style w:type="character" w:styleId="aff6">
    <w:name w:val="Intense Reference"/>
    <w:basedOn w:val="a8"/>
    <w:uiPriority w:val="32"/>
    <w:qFormat/>
    <w:rsid w:val="004E22C1"/>
    <w:rPr>
      <w:b/>
      <w:bCs/>
      <w:caps w:val="0"/>
      <w:smallCaps/>
      <w:color w:val="auto"/>
      <w:spacing w:val="3"/>
      <w:u w:val="single"/>
    </w:rPr>
  </w:style>
  <w:style w:type="paragraph" w:styleId="aff7">
    <w:name w:val="Document Map"/>
    <w:basedOn w:val="a1"/>
    <w:link w:val="Chard"/>
    <w:uiPriority w:val="99"/>
    <w:semiHidden/>
    <w:unhideWhenUsed/>
    <w:rsid w:val="004E22C1"/>
    <w:pPr>
      <w:spacing w:after="60" w:line="240" w:lineRule="auto"/>
    </w:pPr>
    <w:rPr>
      <w:rFonts w:eastAsiaTheme="minorHAnsi" w:cs="Cambria"/>
      <w:sz w:val="25"/>
      <w:szCs w:val="25"/>
      <w:lang w:val="nb-NO"/>
    </w:rPr>
  </w:style>
  <w:style w:type="character" w:customStyle="1" w:styleId="Chard">
    <w:name w:val="Χάρτης εγγράφου Char"/>
    <w:basedOn w:val="a8"/>
    <w:link w:val="aff7"/>
    <w:uiPriority w:val="99"/>
    <w:semiHidden/>
    <w:rsid w:val="004E22C1"/>
    <w:rPr>
      <w:rFonts w:ascii="Cambria" w:eastAsiaTheme="minorHAnsi" w:hAnsi="Cambria" w:cs="Cambria"/>
      <w:sz w:val="25"/>
      <w:szCs w:val="25"/>
      <w:lang w:val="nb-NO" w:eastAsia="en-US"/>
    </w:rPr>
  </w:style>
  <w:style w:type="paragraph" w:customStyle="1" w:styleId="Tabletext10">
    <w:name w:val="Table text (10)"/>
    <w:basedOn w:val="a1"/>
    <w:rsid w:val="004E22C1"/>
    <w:pPr>
      <w:spacing w:after="60" w:line="230" w:lineRule="atLeast"/>
    </w:pPr>
    <w:rPr>
      <w:rFonts w:eastAsia="Cambria" w:cs="Cambria"/>
      <w:sz w:val="21"/>
      <w:szCs w:val="21"/>
      <w:lang w:eastAsia="ja-JP"/>
    </w:rPr>
  </w:style>
  <w:style w:type="paragraph" w:styleId="aff8">
    <w:name w:val="TOC Heading"/>
    <w:basedOn w:val="1"/>
    <w:uiPriority w:val="39"/>
    <w:qFormat/>
    <w:rsid w:val="004E22C1"/>
    <w:pPr>
      <w:keepLines/>
      <w:numPr>
        <w:numId w:val="0"/>
      </w:numPr>
      <w:suppressAutoHyphens w:val="0"/>
      <w:spacing w:before="480" w:after="0" w:line="230" w:lineRule="atLeast"/>
      <w:outlineLvl w:val="9"/>
    </w:pPr>
    <w:rPr>
      <w:rFonts w:asciiTheme="majorHAnsi" w:eastAsiaTheme="majorEastAsia" w:hAnsiTheme="majorHAnsi" w:cstheme="majorBidi"/>
      <w:bCs/>
      <w:color w:val="365F91" w:themeColor="accent1" w:themeShade="BF"/>
      <w:sz w:val="29"/>
      <w:szCs w:val="30"/>
      <w:lang w:val="nb-NO" w:eastAsia="en-US"/>
    </w:rPr>
  </w:style>
  <w:style w:type="character" w:customStyle="1" w:styleId="Defterms">
    <w:name w:val="Defterms"/>
    <w:locked/>
    <w:rsid w:val="004E22C1"/>
    <w:rPr>
      <w:noProof/>
      <w:color w:val="auto"/>
    </w:rPr>
  </w:style>
  <w:style w:type="paragraph" w:customStyle="1" w:styleId="dl">
    <w:name w:val="dl"/>
    <w:locked/>
    <w:rsid w:val="004E22C1"/>
    <w:pPr>
      <w:spacing w:after="200" w:line="276" w:lineRule="auto"/>
      <w:ind w:left="981" w:hanging="578"/>
    </w:pPr>
    <w:rPr>
      <w:rFonts w:asciiTheme="minorHAnsi" w:eastAsiaTheme="minorHAnsi" w:hAnsiTheme="minorHAnsi" w:cstheme="minorBidi"/>
      <w:sz w:val="23"/>
      <w:szCs w:val="23"/>
      <w:lang w:val="nb-NO" w:eastAsia="en-US"/>
    </w:rPr>
  </w:style>
  <w:style w:type="character" w:customStyle="1" w:styleId="ExtXref">
    <w:name w:val="ExtXref"/>
    <w:locked/>
    <w:rsid w:val="004E22C1"/>
    <w:rPr>
      <w:noProof/>
      <w:color w:val="auto"/>
    </w:rPr>
  </w:style>
  <w:style w:type="paragraph" w:customStyle="1" w:styleId="MSDNFR">
    <w:name w:val="MSDNFR"/>
    <w:semiHidden/>
    <w:unhideWhenUsed/>
    <w:locked/>
    <w:rsid w:val="004E22C1"/>
    <w:pPr>
      <w:spacing w:after="200" w:line="220" w:lineRule="atLeast"/>
    </w:pPr>
    <w:rPr>
      <w:rFonts w:asciiTheme="minorHAnsi" w:eastAsiaTheme="minorHAnsi" w:hAnsiTheme="minorHAnsi" w:cstheme="minorBidi"/>
      <w:color w:val="0000FF"/>
      <w:sz w:val="23"/>
      <w:szCs w:val="23"/>
      <w:lang w:val="nb-NO" w:eastAsia="en-US"/>
    </w:rPr>
  </w:style>
  <w:style w:type="paragraph" w:customStyle="1" w:styleId="Special">
    <w:name w:val="Special"/>
    <w:locked/>
    <w:rsid w:val="004E22C1"/>
    <w:pPr>
      <w:spacing w:after="200" w:line="276" w:lineRule="auto"/>
    </w:pPr>
    <w:rPr>
      <w:rFonts w:asciiTheme="minorHAnsi" w:eastAsiaTheme="minorHAnsi" w:hAnsiTheme="minorHAnsi" w:cstheme="minorBidi"/>
      <w:sz w:val="23"/>
      <w:szCs w:val="23"/>
      <w:lang w:val="nb-NO" w:eastAsia="en-US"/>
    </w:rPr>
  </w:style>
  <w:style w:type="paragraph" w:customStyle="1" w:styleId="Tabletext7">
    <w:name w:val="Table text (7)"/>
    <w:locked/>
    <w:rsid w:val="004E22C1"/>
    <w:pPr>
      <w:spacing w:before="60" w:after="60" w:line="170" w:lineRule="atLeast"/>
    </w:pPr>
    <w:rPr>
      <w:rFonts w:asciiTheme="minorHAnsi" w:eastAsiaTheme="minorHAnsi" w:hAnsiTheme="minorHAnsi" w:cstheme="minorBidi"/>
      <w:sz w:val="15"/>
      <w:szCs w:val="23"/>
      <w:lang w:val="nb-NO" w:eastAsia="en-US"/>
    </w:rPr>
  </w:style>
  <w:style w:type="paragraph" w:customStyle="1" w:styleId="Tabletext8">
    <w:name w:val="Table text (8)"/>
    <w:locked/>
    <w:rsid w:val="004E22C1"/>
    <w:pPr>
      <w:spacing w:before="60" w:after="60" w:line="190" w:lineRule="atLeast"/>
    </w:pPr>
    <w:rPr>
      <w:rFonts w:asciiTheme="minorHAnsi" w:eastAsiaTheme="minorHAnsi" w:hAnsiTheme="minorHAnsi" w:cstheme="minorBidi"/>
      <w:sz w:val="17"/>
      <w:szCs w:val="23"/>
      <w:lang w:val="nb-NO" w:eastAsia="en-US"/>
    </w:rPr>
  </w:style>
  <w:style w:type="paragraph" w:customStyle="1" w:styleId="Tabletext9">
    <w:name w:val="Table text (9)"/>
    <w:locked/>
    <w:rsid w:val="004E22C1"/>
    <w:pPr>
      <w:spacing w:before="60" w:after="60" w:line="210" w:lineRule="atLeast"/>
    </w:pPr>
    <w:rPr>
      <w:rFonts w:asciiTheme="minorHAnsi" w:eastAsiaTheme="minorHAnsi" w:hAnsiTheme="minorHAnsi" w:cstheme="minorBidi"/>
      <w:sz w:val="19"/>
      <w:szCs w:val="23"/>
      <w:lang w:val="nb-NO" w:eastAsia="en-US"/>
    </w:rPr>
  </w:style>
  <w:style w:type="character" w:customStyle="1" w:styleId="E-Mail-SignaturZchn">
    <w:name w:val="E-Mail-Signatur Zchn"/>
    <w:semiHidden/>
    <w:unhideWhenUsed/>
    <w:locked/>
    <w:rsid w:val="004E22C1"/>
    <w:rPr>
      <w:rFonts w:eastAsia="Cambria"/>
      <w:sz w:val="21"/>
    </w:rPr>
  </w:style>
  <w:style w:type="character" w:customStyle="1" w:styleId="HTMLAdresseZchn">
    <w:name w:val="HTML Adresse Zchn"/>
    <w:semiHidden/>
    <w:unhideWhenUsed/>
    <w:locked/>
    <w:rsid w:val="004E22C1"/>
    <w:rPr>
      <w:rFonts w:eastAsia="Cambria"/>
      <w:i/>
      <w:iCs/>
      <w:sz w:val="21"/>
    </w:rPr>
  </w:style>
  <w:style w:type="character" w:customStyle="1" w:styleId="HTMLVorformatiertZchn">
    <w:name w:val="HTML Vorformatiert Zchn"/>
    <w:semiHidden/>
    <w:unhideWhenUsed/>
    <w:locked/>
    <w:rsid w:val="004E22C1"/>
    <w:rPr>
      <w:rFonts w:eastAsia="Cambria"/>
      <w:sz w:val="21"/>
    </w:rPr>
  </w:style>
  <w:style w:type="paragraph" w:customStyle="1" w:styleId="REFNR8">
    <w:name w:val="REFNR_8"/>
    <w:semiHidden/>
    <w:unhideWhenUsed/>
    <w:locked/>
    <w:rsid w:val="004E22C1"/>
    <w:pPr>
      <w:framePr w:hSpace="142" w:wrap="around" w:vAnchor="page" w:hAnchor="page" w:x="1361" w:y="625"/>
      <w:tabs>
        <w:tab w:val="left" w:pos="1134"/>
      </w:tabs>
      <w:spacing w:after="200" w:line="276" w:lineRule="auto"/>
      <w:jc w:val="right"/>
    </w:pPr>
    <w:rPr>
      <w:rFonts w:asciiTheme="minorHAnsi" w:eastAsiaTheme="minorHAnsi" w:hAnsiTheme="minorHAnsi" w:cstheme="minorBidi"/>
      <w:i/>
      <w:spacing w:val="5"/>
      <w:szCs w:val="23"/>
      <w:lang w:val="nb-NO" w:eastAsia="en-US"/>
    </w:rPr>
  </w:style>
  <w:style w:type="paragraph" w:customStyle="1" w:styleId="Tabletext11">
    <w:name w:val="Table text (11)"/>
    <w:semiHidden/>
    <w:unhideWhenUsed/>
    <w:locked/>
    <w:rsid w:val="004E22C1"/>
    <w:pPr>
      <w:spacing w:before="60" w:after="60" w:line="276" w:lineRule="auto"/>
    </w:pPr>
    <w:rPr>
      <w:rFonts w:asciiTheme="minorHAnsi" w:eastAsiaTheme="minorHAnsi" w:hAnsiTheme="minorHAnsi" w:cstheme="minorBidi"/>
      <w:sz w:val="23"/>
      <w:szCs w:val="23"/>
      <w:lang w:val="nb-NO" w:eastAsia="en-US"/>
    </w:rPr>
  </w:style>
  <w:style w:type="paragraph" w:customStyle="1" w:styleId="StandardBerichtigungstext">
    <w:name w:val="Standard Berichtigungstext"/>
    <w:locked/>
    <w:rsid w:val="004E22C1"/>
    <w:pPr>
      <w:spacing w:after="200" w:line="276" w:lineRule="auto"/>
    </w:pPr>
    <w:rPr>
      <w:rFonts w:asciiTheme="minorHAnsi" w:eastAsiaTheme="minorHAnsi" w:hAnsiTheme="minorHAnsi" w:cstheme="minorBidi"/>
      <w:sz w:val="23"/>
      <w:szCs w:val="23"/>
      <w:lang w:val="nb-NO" w:eastAsia="en-US"/>
    </w:rPr>
  </w:style>
  <w:style w:type="paragraph" w:customStyle="1" w:styleId="Literaturverzeichnis1">
    <w:name w:val="Literaturverzeichnis1"/>
    <w:semiHidden/>
    <w:unhideWhenUsed/>
    <w:locked/>
    <w:rsid w:val="004E22C1"/>
    <w:pPr>
      <w:numPr>
        <w:numId w:val="13"/>
      </w:numPr>
      <w:tabs>
        <w:tab w:val="left" w:pos="660"/>
      </w:tabs>
      <w:spacing w:after="200" w:line="276" w:lineRule="auto"/>
      <w:ind w:left="660" w:hanging="660"/>
    </w:pPr>
    <w:rPr>
      <w:rFonts w:asciiTheme="minorHAnsi" w:eastAsiaTheme="minorHAnsi" w:hAnsiTheme="minorHAnsi" w:cstheme="minorBidi"/>
      <w:sz w:val="22"/>
      <w:szCs w:val="23"/>
      <w:lang w:val="nb-NO" w:eastAsia="en-US"/>
    </w:rPr>
  </w:style>
  <w:style w:type="character" w:customStyle="1" w:styleId="CCMCvariable">
    <w:name w:val="CCMCvariable"/>
    <w:rsid w:val="004A20BC"/>
    <w:rPr>
      <w:rFonts w:ascii="Cambria" w:hAnsi="Cambria"/>
    </w:rPr>
  </w:style>
  <w:style w:type="character" w:customStyle="1" w:styleId="CCMCvariableitalic">
    <w:name w:val="CCMCvariable_italic"/>
    <w:uiPriority w:val="1"/>
    <w:rsid w:val="004A20BC"/>
    <w:rPr>
      <w:rFonts w:ascii="Cambria" w:hAnsi="Cambria"/>
      <w:i/>
    </w:rPr>
  </w:style>
  <w:style w:type="character" w:customStyle="1" w:styleId="CCMCvariableitalicsubscript">
    <w:name w:val="CCMCvariable_italic_subscript"/>
    <w:uiPriority w:val="1"/>
    <w:rsid w:val="004A20BC"/>
    <w:rPr>
      <w:rFonts w:ascii="Cambria" w:hAnsi="Cambria"/>
      <w:i/>
      <w:vertAlign w:val="subscript"/>
    </w:rPr>
  </w:style>
  <w:style w:type="character" w:customStyle="1" w:styleId="CCMCvariableitalicsuperscript">
    <w:name w:val="CCMCvariable_italic_superscript"/>
    <w:uiPriority w:val="1"/>
    <w:rsid w:val="004A20BC"/>
    <w:rPr>
      <w:rFonts w:ascii="Cambria" w:hAnsi="Cambria"/>
      <w:i/>
      <w:vertAlign w:val="superscript"/>
    </w:rPr>
  </w:style>
  <w:style w:type="character" w:customStyle="1" w:styleId="CCMCvariablesubscript">
    <w:name w:val="CCMCvariable_subscript"/>
    <w:uiPriority w:val="1"/>
    <w:rsid w:val="004A20BC"/>
    <w:rPr>
      <w:rFonts w:ascii="Cambria" w:hAnsi="Cambria"/>
      <w:vertAlign w:val="subscript"/>
    </w:rPr>
  </w:style>
  <w:style w:type="character" w:customStyle="1" w:styleId="CCMCvariablesuperscript">
    <w:name w:val="CCMCvariable_superscript"/>
    <w:uiPriority w:val="1"/>
    <w:rsid w:val="004A20BC"/>
    <w:rPr>
      <w:rFonts w:ascii="Cambria" w:hAnsi="Cambria"/>
      <w:vertAlign w:val="superscript"/>
    </w:rPr>
  </w:style>
  <w:style w:type="paragraph" w:styleId="43">
    <w:name w:val="toc 4"/>
    <w:basedOn w:val="a1"/>
    <w:next w:val="a1"/>
    <w:autoRedefine/>
    <w:uiPriority w:val="39"/>
    <w:unhideWhenUsed/>
    <w:rsid w:val="00802497"/>
    <w:pPr>
      <w:spacing w:before="0" w:after="100" w:line="259" w:lineRule="auto"/>
      <w:ind w:left="660"/>
      <w:jc w:val="left"/>
    </w:pPr>
    <w:rPr>
      <w:rFonts w:asciiTheme="minorHAnsi" w:eastAsiaTheme="minorEastAsia" w:hAnsiTheme="minorHAnsi" w:cstheme="minorBidi"/>
      <w:lang w:val="de-DE" w:eastAsia="de-DE"/>
    </w:rPr>
  </w:style>
  <w:style w:type="paragraph" w:styleId="54">
    <w:name w:val="toc 5"/>
    <w:basedOn w:val="a1"/>
    <w:next w:val="a1"/>
    <w:autoRedefine/>
    <w:uiPriority w:val="39"/>
    <w:unhideWhenUsed/>
    <w:rsid w:val="00802497"/>
    <w:pPr>
      <w:spacing w:before="0" w:after="100" w:line="259" w:lineRule="auto"/>
      <w:ind w:left="880"/>
      <w:jc w:val="left"/>
    </w:pPr>
    <w:rPr>
      <w:rFonts w:asciiTheme="minorHAnsi" w:eastAsiaTheme="minorEastAsia" w:hAnsiTheme="minorHAnsi" w:cstheme="minorBidi"/>
      <w:lang w:val="de-DE" w:eastAsia="de-DE"/>
    </w:rPr>
  </w:style>
  <w:style w:type="paragraph" w:styleId="60">
    <w:name w:val="toc 6"/>
    <w:basedOn w:val="a1"/>
    <w:next w:val="a1"/>
    <w:autoRedefine/>
    <w:uiPriority w:val="39"/>
    <w:unhideWhenUsed/>
    <w:rsid w:val="00802497"/>
    <w:pPr>
      <w:spacing w:before="0" w:after="100" w:line="259" w:lineRule="auto"/>
      <w:ind w:left="1100"/>
      <w:jc w:val="left"/>
    </w:pPr>
    <w:rPr>
      <w:rFonts w:asciiTheme="minorHAnsi" w:eastAsiaTheme="minorEastAsia" w:hAnsiTheme="minorHAnsi" w:cstheme="minorBidi"/>
      <w:lang w:val="de-DE" w:eastAsia="de-DE"/>
    </w:rPr>
  </w:style>
  <w:style w:type="paragraph" w:styleId="70">
    <w:name w:val="toc 7"/>
    <w:basedOn w:val="a1"/>
    <w:next w:val="a1"/>
    <w:autoRedefine/>
    <w:uiPriority w:val="39"/>
    <w:unhideWhenUsed/>
    <w:rsid w:val="00802497"/>
    <w:pPr>
      <w:spacing w:before="0" w:after="100" w:line="259" w:lineRule="auto"/>
      <w:ind w:left="1320"/>
      <w:jc w:val="left"/>
    </w:pPr>
    <w:rPr>
      <w:rFonts w:asciiTheme="minorHAnsi" w:eastAsiaTheme="minorEastAsia" w:hAnsiTheme="minorHAnsi" w:cstheme="minorBidi"/>
      <w:lang w:val="de-DE" w:eastAsia="de-DE"/>
    </w:rPr>
  </w:style>
  <w:style w:type="paragraph" w:styleId="80">
    <w:name w:val="toc 8"/>
    <w:basedOn w:val="a1"/>
    <w:next w:val="a1"/>
    <w:autoRedefine/>
    <w:uiPriority w:val="39"/>
    <w:unhideWhenUsed/>
    <w:rsid w:val="00802497"/>
    <w:pPr>
      <w:spacing w:before="0" w:after="100" w:line="259" w:lineRule="auto"/>
      <w:ind w:left="1540"/>
      <w:jc w:val="left"/>
    </w:pPr>
    <w:rPr>
      <w:rFonts w:asciiTheme="minorHAnsi" w:eastAsiaTheme="minorEastAsia" w:hAnsiTheme="minorHAnsi" w:cstheme="minorBidi"/>
      <w:lang w:val="de-DE" w:eastAsia="de-DE"/>
    </w:rPr>
  </w:style>
  <w:style w:type="character" w:customStyle="1" w:styleId="UnresolvedMention1">
    <w:name w:val="Unresolved Mention1"/>
    <w:basedOn w:val="a8"/>
    <w:uiPriority w:val="99"/>
    <w:semiHidden/>
    <w:unhideWhenUsed/>
    <w:rsid w:val="00802497"/>
    <w:rPr>
      <w:color w:val="605E5C"/>
      <w:shd w:val="clear" w:color="auto" w:fill="E1DFDD"/>
    </w:rPr>
  </w:style>
  <w:style w:type="paragraph" w:customStyle="1" w:styleId="Heading21">
    <w:name w:val="Heading 21"/>
    <w:basedOn w:val="a1"/>
    <w:next w:val="a1"/>
    <w:uiPriority w:val="9"/>
    <w:unhideWhenUsed/>
    <w:qFormat/>
    <w:rsid w:val="00F95D07"/>
    <w:pPr>
      <w:keepNext/>
      <w:keepLines/>
      <w:spacing w:before="40" w:after="60" w:line="276" w:lineRule="auto"/>
      <w:jc w:val="left"/>
      <w:outlineLvl w:val="1"/>
    </w:pPr>
    <w:rPr>
      <w:rFonts w:eastAsia="Times New Roman"/>
      <w:color w:val="365F91"/>
      <w:sz w:val="26"/>
      <w:szCs w:val="26"/>
      <w:lang w:val="nb-NO"/>
    </w:rPr>
  </w:style>
  <w:style w:type="numbering" w:customStyle="1" w:styleId="KeineListe1">
    <w:name w:val="Keine Liste1"/>
    <w:next w:val="aa"/>
    <w:uiPriority w:val="99"/>
    <w:semiHidden/>
    <w:unhideWhenUsed/>
    <w:rsid w:val="0056481D"/>
  </w:style>
  <w:style w:type="table" w:customStyle="1" w:styleId="Tabellenraster1">
    <w:name w:val="Tabellenraster1"/>
    <w:basedOn w:val="a9"/>
    <w:next w:val="ad"/>
    <w:uiPriority w:val="59"/>
    <w:rsid w:val="0056481D"/>
    <w:rPr>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PPLICRULE">
    <w:name w:val="AAPPLICRULE"/>
    <w:basedOn w:val="a1"/>
    <w:rsid w:val="0056481D"/>
    <w:pPr>
      <w:widowControl w:val="0"/>
      <w:spacing w:after="60" w:line="240" w:lineRule="auto"/>
      <w:ind w:left="1440" w:hanging="720"/>
      <w:jc w:val="left"/>
    </w:pPr>
    <w:rPr>
      <w:rFonts w:ascii="Arial" w:eastAsia="Times New Roman" w:hAnsi="Arial"/>
      <w:sz w:val="20"/>
      <w:szCs w:val="20"/>
      <w:lang w:eastAsia="fr-FR"/>
    </w:rPr>
  </w:style>
  <w:style w:type="paragraph" w:customStyle="1" w:styleId="ANOTE">
    <w:name w:val="ANOTE"/>
    <w:basedOn w:val="a1"/>
    <w:rsid w:val="0056481D"/>
    <w:pPr>
      <w:suppressAutoHyphens/>
      <w:spacing w:after="60" w:line="240" w:lineRule="auto"/>
      <w:ind w:left="1440" w:hanging="720"/>
      <w:jc w:val="left"/>
    </w:pPr>
    <w:rPr>
      <w:rFonts w:ascii="Arial" w:eastAsia="Times New Roman" w:hAnsi="Arial"/>
      <w:sz w:val="20"/>
      <w:szCs w:val="20"/>
      <w:lang w:eastAsia="en-GB"/>
    </w:rPr>
  </w:style>
  <w:style w:type="paragraph" w:customStyle="1" w:styleId="AAPRINCIPLE">
    <w:name w:val="AAPRINCIPLE"/>
    <w:basedOn w:val="a1"/>
    <w:rsid w:val="0056481D"/>
    <w:pPr>
      <w:widowControl w:val="0"/>
      <w:spacing w:after="60" w:line="240" w:lineRule="auto"/>
      <w:ind w:left="720" w:hanging="720"/>
      <w:jc w:val="left"/>
    </w:pPr>
    <w:rPr>
      <w:rFonts w:ascii="Arial" w:eastAsia="Times New Roman" w:hAnsi="Arial"/>
      <w:sz w:val="20"/>
      <w:szCs w:val="20"/>
      <w:lang w:eastAsia="fr-FR"/>
    </w:rPr>
  </w:style>
  <w:style w:type="paragraph" w:customStyle="1" w:styleId="AppRule">
    <w:name w:val="AppRule"/>
    <w:basedOn w:val="ab"/>
    <w:rsid w:val="0056481D"/>
    <w:pPr>
      <w:widowControl w:val="0"/>
      <w:spacing w:after="0" w:line="240" w:lineRule="auto"/>
      <w:ind w:left="0"/>
      <w:jc w:val="left"/>
    </w:pPr>
    <w:rPr>
      <w:rFonts w:ascii="Arial" w:eastAsia="Times New Roman" w:hAnsi="Arial" w:cs="Times New Roman"/>
      <w:sz w:val="20"/>
    </w:rPr>
  </w:style>
  <w:style w:type="paragraph" w:customStyle="1" w:styleId="Equation">
    <w:name w:val="Equation"/>
    <w:basedOn w:val="a1"/>
    <w:qFormat/>
    <w:rsid w:val="0056481D"/>
    <w:pPr>
      <w:numPr>
        <w:numId w:val="49"/>
      </w:numPr>
      <w:spacing w:before="120" w:line="240" w:lineRule="auto"/>
      <w:jc w:val="right"/>
    </w:pPr>
    <w:rPr>
      <w:rFonts w:ascii="Arial" w:eastAsia="Times New Roman" w:hAnsi="Arial"/>
      <w:szCs w:val="20"/>
      <w:lang w:val="en-US"/>
    </w:rPr>
  </w:style>
  <w:style w:type="paragraph" w:customStyle="1" w:styleId="Default">
    <w:name w:val="Default"/>
    <w:rsid w:val="0056481D"/>
    <w:pPr>
      <w:autoSpaceDE w:val="0"/>
      <w:autoSpaceDN w:val="0"/>
      <w:adjustRightInd w:val="0"/>
    </w:pPr>
    <w:rPr>
      <w:rFonts w:ascii="Arial" w:hAnsi="Arial" w:cs="Arial"/>
      <w:color w:val="000000"/>
      <w:sz w:val="24"/>
      <w:szCs w:val="24"/>
      <w:lang w:val="nb-NO" w:eastAsia="en-US"/>
    </w:rPr>
  </w:style>
  <w:style w:type="paragraph" w:customStyle="1" w:styleId="Heading31">
    <w:name w:val="Heading 31"/>
    <w:basedOn w:val="a1"/>
    <w:next w:val="a1"/>
    <w:uiPriority w:val="9"/>
    <w:unhideWhenUsed/>
    <w:qFormat/>
    <w:rsid w:val="0056481D"/>
    <w:pPr>
      <w:keepNext/>
      <w:keepLines/>
      <w:spacing w:before="200" w:after="60" w:line="276" w:lineRule="auto"/>
      <w:jc w:val="left"/>
      <w:outlineLvl w:val="2"/>
    </w:pPr>
    <w:rPr>
      <w:rFonts w:eastAsia="Times New Roman"/>
      <w:b/>
      <w:bCs/>
      <w:color w:val="4F81BD"/>
      <w:lang w:val="nb-NO"/>
    </w:rPr>
  </w:style>
  <w:style w:type="paragraph" w:customStyle="1" w:styleId="Heading41">
    <w:name w:val="Heading 41"/>
    <w:basedOn w:val="a1"/>
    <w:next w:val="a1"/>
    <w:link w:val="Heading4Char"/>
    <w:uiPriority w:val="9"/>
    <w:unhideWhenUsed/>
    <w:qFormat/>
    <w:rsid w:val="0056481D"/>
    <w:pPr>
      <w:keepNext/>
      <w:keepLines/>
      <w:spacing w:before="40" w:after="60" w:line="276" w:lineRule="auto"/>
      <w:jc w:val="left"/>
      <w:outlineLvl w:val="3"/>
    </w:pPr>
    <w:rPr>
      <w:rFonts w:eastAsia="Times New Roman"/>
      <w:i/>
      <w:iCs/>
      <w:color w:val="365F91"/>
      <w:lang w:val="nb-NO"/>
    </w:rPr>
  </w:style>
  <w:style w:type="paragraph" w:customStyle="1" w:styleId="Heading51">
    <w:name w:val="Heading 51"/>
    <w:basedOn w:val="a1"/>
    <w:next w:val="a1"/>
    <w:link w:val="Heading5Char"/>
    <w:uiPriority w:val="9"/>
    <w:unhideWhenUsed/>
    <w:qFormat/>
    <w:rsid w:val="0056481D"/>
    <w:pPr>
      <w:keepNext/>
      <w:keepLines/>
      <w:spacing w:before="40" w:after="60" w:line="276" w:lineRule="auto"/>
      <w:jc w:val="left"/>
      <w:outlineLvl w:val="4"/>
    </w:pPr>
    <w:rPr>
      <w:rFonts w:eastAsia="Times New Roman"/>
      <w:color w:val="365F91"/>
      <w:lang w:val="nb-NO"/>
    </w:rPr>
  </w:style>
  <w:style w:type="numbering" w:customStyle="1" w:styleId="NoList1">
    <w:name w:val="No List1"/>
    <w:next w:val="aa"/>
    <w:uiPriority w:val="99"/>
    <w:semiHidden/>
    <w:unhideWhenUsed/>
    <w:rsid w:val="0056481D"/>
  </w:style>
  <w:style w:type="character" w:customStyle="1" w:styleId="Heading3Char1">
    <w:name w:val="Heading 3 Char1"/>
    <w:basedOn w:val="a8"/>
    <w:uiPriority w:val="9"/>
    <w:semiHidden/>
    <w:rsid w:val="0056481D"/>
    <w:rPr>
      <w:rFonts w:ascii="Cambria" w:eastAsia="Times New Roman" w:hAnsi="Cambria" w:cs="Times New Roman"/>
      <w:b/>
      <w:bCs/>
      <w:color w:val="4F81BD"/>
    </w:rPr>
  </w:style>
  <w:style w:type="character" w:customStyle="1" w:styleId="Heading4Char1">
    <w:name w:val="Heading 4 Char1"/>
    <w:basedOn w:val="a8"/>
    <w:uiPriority w:val="9"/>
    <w:semiHidden/>
    <w:rsid w:val="0056481D"/>
    <w:rPr>
      <w:rFonts w:ascii="Cambria" w:eastAsia="Times New Roman" w:hAnsi="Cambria" w:cs="Times New Roman"/>
      <w:b/>
      <w:bCs/>
      <w:i/>
      <w:iCs/>
      <w:color w:val="4F81BD"/>
    </w:rPr>
  </w:style>
  <w:style w:type="character" w:customStyle="1" w:styleId="Heading2Char1">
    <w:name w:val="Heading 2 Char1"/>
    <w:basedOn w:val="a8"/>
    <w:uiPriority w:val="9"/>
    <w:semiHidden/>
    <w:rsid w:val="0056481D"/>
    <w:rPr>
      <w:rFonts w:ascii="Cambria" w:eastAsia="Times New Roman" w:hAnsi="Cambria" w:cs="Times New Roman"/>
      <w:b/>
      <w:bCs/>
      <w:color w:val="4F81BD"/>
      <w:sz w:val="26"/>
      <w:szCs w:val="26"/>
    </w:rPr>
  </w:style>
  <w:style w:type="character" w:customStyle="1" w:styleId="Heading5Char1">
    <w:name w:val="Heading 5 Char1"/>
    <w:basedOn w:val="a8"/>
    <w:uiPriority w:val="9"/>
    <w:semiHidden/>
    <w:rsid w:val="0056481D"/>
    <w:rPr>
      <w:rFonts w:ascii="Cambria" w:eastAsia="Times New Roman" w:hAnsi="Cambria" w:cs="Times New Roman"/>
      <w:color w:val="243F60"/>
    </w:rPr>
  </w:style>
  <w:style w:type="paragraph" w:customStyle="1" w:styleId="ISOChange">
    <w:name w:val="ISO_Change"/>
    <w:basedOn w:val="a1"/>
    <w:rsid w:val="0056481D"/>
    <w:pPr>
      <w:spacing w:before="210" w:after="60" w:line="210" w:lineRule="exact"/>
      <w:jc w:val="left"/>
    </w:pPr>
    <w:rPr>
      <w:rFonts w:ascii="Arial" w:eastAsia="Times New Roman" w:hAnsi="Arial"/>
      <w:sz w:val="18"/>
      <w:szCs w:val="20"/>
    </w:rPr>
  </w:style>
  <w:style w:type="paragraph" w:customStyle="1" w:styleId="Formatvorlageberschrift1Vor6pt">
    <w:name w:val="Formatvorlage Überschrift 1 + Vor:  6 pt"/>
    <w:basedOn w:val="1"/>
    <w:rsid w:val="0056481D"/>
    <w:pPr>
      <w:numPr>
        <w:numId w:val="0"/>
      </w:numPr>
      <w:suppressAutoHyphens w:val="0"/>
      <w:autoSpaceDE w:val="0"/>
      <w:autoSpaceDN w:val="0"/>
      <w:adjustRightInd w:val="0"/>
      <w:spacing w:before="120" w:after="120" w:line="240" w:lineRule="auto"/>
    </w:pPr>
    <w:rPr>
      <w:rFonts w:ascii="Arial Fett" w:eastAsia="Times New Roman" w:hAnsi="Arial Fett" w:cs="Times New Roman"/>
      <w:b w:val="0"/>
      <w:bCs/>
      <w:caps/>
      <w:sz w:val="24"/>
      <w:lang w:val="de-DE" w:eastAsia="de-DE"/>
    </w:rPr>
  </w:style>
  <w:style w:type="paragraph" w:customStyle="1" w:styleId="Formatvorlageberschrift112pt">
    <w:name w:val="Formatvorlage Überschrift 1 + 12 pt"/>
    <w:basedOn w:val="1"/>
    <w:rsid w:val="0056481D"/>
    <w:pPr>
      <w:numPr>
        <w:numId w:val="0"/>
      </w:numPr>
      <w:suppressAutoHyphens w:val="0"/>
      <w:autoSpaceDE w:val="0"/>
      <w:autoSpaceDN w:val="0"/>
      <w:adjustRightInd w:val="0"/>
      <w:spacing w:before="120" w:after="120" w:line="240" w:lineRule="auto"/>
      <w:ind w:left="709" w:hanging="709"/>
    </w:pPr>
    <w:rPr>
      <w:rFonts w:ascii="Arial" w:eastAsia="Times New Roman" w:hAnsi="Arial" w:cs="Arial"/>
      <w:b w:val="0"/>
      <w:bCs/>
      <w:caps/>
      <w:sz w:val="24"/>
      <w:lang w:val="de-DE" w:eastAsia="de-DE"/>
    </w:rPr>
  </w:style>
  <w:style w:type="paragraph" w:customStyle="1" w:styleId="Formatvorlage1">
    <w:name w:val="Formatvorlage1"/>
    <w:basedOn w:val="a1"/>
    <w:next w:val="a1"/>
    <w:rsid w:val="0056481D"/>
    <w:pPr>
      <w:spacing w:after="60" w:line="240" w:lineRule="auto"/>
      <w:jc w:val="left"/>
    </w:pPr>
    <w:rPr>
      <w:rFonts w:ascii="Times New Roman" w:eastAsia="Times New Roman" w:hAnsi="Times New Roman"/>
      <w:sz w:val="24"/>
      <w:szCs w:val="20"/>
    </w:rPr>
  </w:style>
  <w:style w:type="paragraph" w:customStyle="1" w:styleId="Commentary">
    <w:name w:val="Commentary"/>
    <w:basedOn w:val="a1"/>
    <w:link w:val="CommentaryChar"/>
    <w:qFormat/>
    <w:rsid w:val="0056481D"/>
    <w:pPr>
      <w:spacing w:before="120" w:after="60" w:line="240" w:lineRule="auto"/>
      <w:jc w:val="left"/>
    </w:pPr>
    <w:rPr>
      <w:rFonts w:ascii="Arial" w:eastAsia="Times New Roman" w:hAnsi="Arial"/>
      <w:szCs w:val="20"/>
      <w:lang w:val="en-US"/>
    </w:rPr>
  </w:style>
  <w:style w:type="character" w:customStyle="1" w:styleId="CommentaryChar">
    <w:name w:val="Commentary Char"/>
    <w:basedOn w:val="a8"/>
    <w:link w:val="Commentary"/>
    <w:rsid w:val="0056481D"/>
    <w:rPr>
      <w:rFonts w:ascii="Arial" w:eastAsia="Times New Roman" w:hAnsi="Arial"/>
      <w:sz w:val="22"/>
      <w:lang w:val="en-US" w:eastAsia="en-US"/>
    </w:rPr>
  </w:style>
  <w:style w:type="paragraph" w:customStyle="1" w:styleId="Equation5">
    <w:name w:val="Equation 5"/>
    <w:basedOn w:val="a1"/>
    <w:qFormat/>
    <w:rsid w:val="0056481D"/>
    <w:pPr>
      <w:spacing w:before="120" w:line="240" w:lineRule="auto"/>
      <w:jc w:val="right"/>
    </w:pPr>
    <w:rPr>
      <w:rFonts w:ascii="Arial" w:eastAsia="Times New Roman" w:hAnsi="Arial"/>
      <w:sz w:val="20"/>
      <w:szCs w:val="20"/>
      <w:lang w:val="en-US"/>
    </w:rPr>
  </w:style>
  <w:style w:type="paragraph" w:customStyle="1" w:styleId="Nota">
    <w:name w:val="Nota"/>
    <w:basedOn w:val="a1"/>
    <w:qFormat/>
    <w:rsid w:val="0056481D"/>
    <w:pPr>
      <w:spacing w:before="120" w:line="240" w:lineRule="auto"/>
      <w:jc w:val="left"/>
    </w:pPr>
    <w:rPr>
      <w:rFonts w:ascii="Arial" w:hAnsi="Arial"/>
      <w:bCs/>
      <w:sz w:val="20"/>
      <w:szCs w:val="20"/>
      <w:lang w:val="en-US"/>
    </w:rPr>
  </w:style>
  <w:style w:type="character" w:styleId="aff9">
    <w:name w:val="Book Title"/>
    <w:basedOn w:val="a8"/>
    <w:uiPriority w:val="33"/>
    <w:qFormat/>
    <w:rsid w:val="0056481D"/>
    <w:rPr>
      <w:b/>
      <w:bCs/>
      <w:i/>
      <w:iCs/>
      <w:spacing w:val="5"/>
    </w:rPr>
  </w:style>
  <w:style w:type="paragraph" w:customStyle="1" w:styleId="Table">
    <w:name w:val="Table"/>
    <w:basedOn w:val="a1"/>
    <w:link w:val="TableCar"/>
    <w:qFormat/>
    <w:rsid w:val="0056481D"/>
    <w:pPr>
      <w:spacing w:before="120" w:line="240" w:lineRule="auto"/>
      <w:jc w:val="left"/>
    </w:pPr>
    <w:rPr>
      <w:rFonts w:ascii="Arial" w:hAnsi="Arial"/>
      <w:szCs w:val="20"/>
    </w:rPr>
  </w:style>
  <w:style w:type="character" w:customStyle="1" w:styleId="TableCar">
    <w:name w:val="Table Car"/>
    <w:basedOn w:val="a8"/>
    <w:link w:val="Table"/>
    <w:rsid w:val="0056481D"/>
    <w:rPr>
      <w:rFonts w:ascii="Arial" w:hAnsi="Arial"/>
      <w:sz w:val="22"/>
      <w:lang w:eastAsia="en-US"/>
    </w:rPr>
  </w:style>
  <w:style w:type="paragraph" w:customStyle="1" w:styleId="zzLn5">
    <w:name w:val="zzLn5"/>
    <w:basedOn w:val="a1"/>
    <w:next w:val="a1"/>
    <w:rsid w:val="0056481D"/>
    <w:pPr>
      <w:tabs>
        <w:tab w:val="num" w:pos="3240"/>
      </w:tabs>
      <w:spacing w:after="240" w:line="230" w:lineRule="atLeast"/>
      <w:jc w:val="left"/>
    </w:pPr>
    <w:rPr>
      <w:rFonts w:ascii="Arial" w:eastAsia="MS Mincho" w:hAnsi="Arial"/>
      <w:sz w:val="20"/>
      <w:szCs w:val="20"/>
      <w:lang w:val="de-DE" w:eastAsia="ja-JP"/>
    </w:rPr>
  </w:style>
  <w:style w:type="paragraph" w:customStyle="1" w:styleId="zzLn6">
    <w:name w:val="zzLn6"/>
    <w:basedOn w:val="a1"/>
    <w:next w:val="a1"/>
    <w:rsid w:val="0056481D"/>
    <w:pPr>
      <w:tabs>
        <w:tab w:val="num" w:pos="3960"/>
      </w:tabs>
      <w:spacing w:after="240" w:line="230" w:lineRule="atLeast"/>
      <w:jc w:val="left"/>
    </w:pPr>
    <w:rPr>
      <w:rFonts w:ascii="Arial" w:eastAsia="MS Mincho" w:hAnsi="Arial"/>
      <w:sz w:val="20"/>
      <w:szCs w:val="20"/>
      <w:lang w:val="de-DE" w:eastAsia="ja-JP"/>
    </w:rPr>
  </w:style>
  <w:style w:type="paragraph" w:customStyle="1" w:styleId="Formatvorlageberschrift39ptFettNichtKursiv">
    <w:name w:val="Formatvorlage Überschrift 3 + 9 pt Fett Nicht Kursiv"/>
    <w:basedOn w:val="31"/>
    <w:rsid w:val="0056481D"/>
    <w:pPr>
      <w:numPr>
        <w:ilvl w:val="0"/>
        <w:numId w:val="0"/>
      </w:numPr>
      <w:suppressAutoHyphens w:val="0"/>
      <w:autoSpaceDE w:val="0"/>
      <w:autoSpaceDN w:val="0"/>
      <w:adjustRightInd w:val="0"/>
      <w:spacing w:before="120" w:after="120" w:line="240" w:lineRule="auto"/>
      <w:ind w:left="709" w:hanging="709"/>
    </w:pPr>
    <w:rPr>
      <w:rFonts w:ascii="Arial" w:eastAsia="Times New Roman" w:hAnsi="Arial" w:cs="Arial"/>
      <w:bCs/>
      <w:sz w:val="18"/>
      <w:szCs w:val="24"/>
      <w:lang w:val="de-DE" w:eastAsia="de-DE"/>
    </w:rPr>
  </w:style>
  <w:style w:type="table" w:customStyle="1" w:styleId="TableGrid1">
    <w:name w:val="Table Grid1"/>
    <w:basedOn w:val="a9"/>
    <w:next w:val="ad"/>
    <w:uiPriority w:val="59"/>
    <w:rsid w:val="0056481D"/>
    <w:pPr>
      <w:spacing w:before="6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9"/>
    <w:next w:val="ad"/>
    <w:uiPriority w:val="59"/>
    <w:rsid w:val="0056481D"/>
    <w:pPr>
      <w:spacing w:before="60"/>
      <w:ind w:left="720"/>
    </w:pPr>
    <w:rPr>
      <w:sz w:val="22"/>
      <w:szCs w:val="22"/>
      <w:lang w:val="de-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9"/>
    <w:next w:val="ad"/>
    <w:uiPriority w:val="59"/>
    <w:rsid w:val="0056481D"/>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a8"/>
    <w:link w:val="Heading41"/>
    <w:uiPriority w:val="9"/>
    <w:rsid w:val="0056481D"/>
    <w:rPr>
      <w:rFonts w:ascii="Cambria" w:eastAsia="Times New Roman" w:hAnsi="Cambria"/>
      <w:i/>
      <w:iCs/>
      <w:color w:val="365F91"/>
      <w:sz w:val="22"/>
      <w:szCs w:val="22"/>
      <w:lang w:val="nb-NO" w:eastAsia="en-US"/>
    </w:rPr>
  </w:style>
  <w:style w:type="character" w:customStyle="1" w:styleId="Heading5Char">
    <w:name w:val="Heading 5 Char"/>
    <w:basedOn w:val="a8"/>
    <w:link w:val="Heading51"/>
    <w:uiPriority w:val="9"/>
    <w:rsid w:val="0056481D"/>
    <w:rPr>
      <w:rFonts w:ascii="Cambria" w:eastAsia="Times New Roman" w:hAnsi="Cambria"/>
      <w:color w:val="365F91"/>
      <w:sz w:val="22"/>
      <w:szCs w:val="22"/>
      <w:lang w:val="nb-NO" w:eastAsia="en-US"/>
    </w:rPr>
  </w:style>
  <w:style w:type="character" w:customStyle="1" w:styleId="Heading6Char">
    <w:name w:val="Heading 6 Char"/>
    <w:basedOn w:val="a8"/>
    <w:link w:val="Heading61"/>
    <w:uiPriority w:val="9"/>
    <w:semiHidden/>
    <w:rsid w:val="0056481D"/>
    <w:rPr>
      <w:rFonts w:ascii="Cambria" w:eastAsia="Times New Roman" w:hAnsi="Cambria"/>
      <w:i/>
      <w:iCs/>
      <w:color w:val="243F60"/>
    </w:rPr>
  </w:style>
  <w:style w:type="paragraph" w:customStyle="1" w:styleId="Heading61">
    <w:name w:val="Heading 61"/>
    <w:basedOn w:val="a1"/>
    <w:next w:val="a1"/>
    <w:link w:val="Heading6Char"/>
    <w:uiPriority w:val="9"/>
    <w:semiHidden/>
    <w:unhideWhenUsed/>
    <w:qFormat/>
    <w:rsid w:val="0056481D"/>
    <w:pPr>
      <w:keepNext/>
      <w:keepLines/>
      <w:spacing w:before="200" w:after="60" w:line="276" w:lineRule="auto"/>
      <w:jc w:val="left"/>
      <w:outlineLvl w:val="5"/>
    </w:pPr>
    <w:rPr>
      <w:rFonts w:eastAsia="Times New Roman"/>
      <w:i/>
      <w:iCs/>
      <w:color w:val="243F60"/>
      <w:sz w:val="20"/>
      <w:szCs w:val="20"/>
      <w:lang w:eastAsia="en-GB"/>
    </w:rPr>
  </w:style>
  <w:style w:type="numbering" w:customStyle="1" w:styleId="NoList11">
    <w:name w:val="No List11"/>
    <w:next w:val="aa"/>
    <w:uiPriority w:val="99"/>
    <w:semiHidden/>
    <w:unhideWhenUsed/>
    <w:rsid w:val="0056481D"/>
  </w:style>
  <w:style w:type="table" w:customStyle="1" w:styleId="TableGrid4">
    <w:name w:val="Table Grid4"/>
    <w:basedOn w:val="a9"/>
    <w:next w:val="ad"/>
    <w:uiPriority w:val="59"/>
    <w:rsid w:val="0056481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eln">
    <w:name w:val="Formeln"/>
    <w:basedOn w:val="a7"/>
    <w:qFormat/>
    <w:rsid w:val="0056481D"/>
    <w:pPr>
      <w:keepLines/>
      <w:widowControl w:val="0"/>
      <w:tabs>
        <w:tab w:val="right" w:pos="7655"/>
      </w:tabs>
      <w:spacing w:after="0" w:line="240" w:lineRule="auto"/>
      <w:ind w:left="1559" w:hanging="663"/>
      <w:jc w:val="left"/>
    </w:pPr>
    <w:rPr>
      <w:rFonts w:ascii="Calibri" w:eastAsia="Arial" w:hAnsi="Calibri" w:cs="Times New Roman"/>
      <w:szCs w:val="18"/>
      <w:lang w:val="en-US" w:eastAsia="en-US"/>
    </w:rPr>
  </w:style>
  <w:style w:type="paragraph" w:customStyle="1" w:styleId="TableParagraph">
    <w:name w:val="Table Paragraph"/>
    <w:basedOn w:val="a1"/>
    <w:uiPriority w:val="1"/>
    <w:qFormat/>
    <w:rsid w:val="0056481D"/>
    <w:pPr>
      <w:keepLines/>
      <w:widowControl w:val="0"/>
      <w:spacing w:after="60" w:line="240" w:lineRule="auto"/>
      <w:jc w:val="left"/>
    </w:pPr>
    <w:rPr>
      <w:rFonts w:ascii="Calibri" w:hAnsi="Calibri"/>
      <w:lang w:val="en-US"/>
    </w:rPr>
  </w:style>
  <w:style w:type="table" w:customStyle="1" w:styleId="TableNormal1">
    <w:name w:val="Table Normal1"/>
    <w:uiPriority w:val="2"/>
    <w:semiHidden/>
    <w:qFormat/>
    <w:rsid w:val="0056481D"/>
    <w:pPr>
      <w:widowControl w:val="0"/>
    </w:pPr>
    <w:rPr>
      <w:sz w:val="22"/>
      <w:szCs w:val="22"/>
      <w:lang w:val="en-US" w:eastAsia="en-US"/>
    </w:rPr>
    <w:tblPr>
      <w:tblCellMar>
        <w:top w:w="0" w:type="dxa"/>
        <w:left w:w="0" w:type="dxa"/>
        <w:bottom w:w="0" w:type="dxa"/>
        <w:right w:w="0" w:type="dxa"/>
      </w:tblCellMar>
    </w:tblPr>
  </w:style>
  <w:style w:type="paragraph" w:customStyle="1" w:styleId="Comments">
    <w:name w:val="Comments"/>
    <w:basedOn w:val="a1"/>
    <w:qFormat/>
    <w:rsid w:val="0056481D"/>
    <w:pPr>
      <w:keepLines/>
      <w:numPr>
        <w:numId w:val="50"/>
      </w:numPr>
      <w:tabs>
        <w:tab w:val="clear" w:pos="720"/>
        <w:tab w:val="num" w:pos="360"/>
      </w:tabs>
      <w:spacing w:after="60" w:line="240" w:lineRule="auto"/>
      <w:ind w:left="0" w:firstLine="0"/>
      <w:jc w:val="left"/>
    </w:pPr>
    <w:rPr>
      <w:rFonts w:ascii="Calibri" w:hAnsi="Calibri" w:cs="Arial"/>
    </w:rPr>
  </w:style>
  <w:style w:type="paragraph" w:customStyle="1" w:styleId="Standardrotworkingcomments">
    <w:name w:val="Standard_rot_working comments"/>
    <w:basedOn w:val="a1"/>
    <w:qFormat/>
    <w:rsid w:val="0056481D"/>
    <w:pPr>
      <w:keepLines/>
      <w:spacing w:after="60" w:line="240" w:lineRule="auto"/>
      <w:jc w:val="left"/>
    </w:pPr>
    <w:rPr>
      <w:rFonts w:ascii="Calibri" w:hAnsi="Calibri"/>
      <w:color w:val="FF0000"/>
    </w:rPr>
  </w:style>
  <w:style w:type="paragraph" w:customStyle="1" w:styleId="Standardblauchanges">
    <w:name w:val="Standard_blau_changes"/>
    <w:basedOn w:val="a1"/>
    <w:qFormat/>
    <w:rsid w:val="0056481D"/>
    <w:pPr>
      <w:keepLines/>
      <w:spacing w:after="60" w:line="240" w:lineRule="auto"/>
      <w:jc w:val="left"/>
    </w:pPr>
    <w:rPr>
      <w:rFonts w:ascii="Arial" w:hAnsi="Arial"/>
      <w:color w:val="0070C0"/>
      <w:sz w:val="20"/>
    </w:rPr>
  </w:style>
  <w:style w:type="paragraph" w:customStyle="1" w:styleId="Notes">
    <w:name w:val="Notes"/>
    <w:basedOn w:val="a1"/>
    <w:qFormat/>
    <w:rsid w:val="0056481D"/>
    <w:pPr>
      <w:keepLines/>
      <w:tabs>
        <w:tab w:val="left" w:pos="6530"/>
      </w:tabs>
      <w:spacing w:after="60" w:line="240" w:lineRule="auto"/>
      <w:ind w:left="160"/>
      <w:jc w:val="left"/>
    </w:pPr>
    <w:rPr>
      <w:rFonts w:ascii="Calibri" w:eastAsia="Arial" w:hAnsi="Calibri" w:cs="Arial"/>
      <w:i/>
      <w:spacing w:val="-1"/>
      <w:sz w:val="20"/>
      <w:szCs w:val="16"/>
    </w:rPr>
  </w:style>
  <w:style w:type="numbering" w:customStyle="1" w:styleId="NoList2">
    <w:name w:val="No List2"/>
    <w:next w:val="aa"/>
    <w:uiPriority w:val="99"/>
    <w:semiHidden/>
    <w:unhideWhenUsed/>
    <w:rsid w:val="0056481D"/>
  </w:style>
  <w:style w:type="table" w:customStyle="1" w:styleId="TableGrid5">
    <w:name w:val="Table Grid5"/>
    <w:basedOn w:val="a9"/>
    <w:next w:val="ad"/>
    <w:uiPriority w:val="59"/>
    <w:rsid w:val="0056481D"/>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7">
    <w:name w:val="Equation 7"/>
    <w:basedOn w:val="a1"/>
    <w:qFormat/>
    <w:rsid w:val="0056481D"/>
    <w:pPr>
      <w:spacing w:after="160" w:line="240" w:lineRule="auto"/>
      <w:ind w:left="992"/>
      <w:jc w:val="right"/>
    </w:pPr>
    <w:rPr>
      <w:rFonts w:ascii="Arial" w:eastAsia="Times New Roman" w:hAnsi="Arial"/>
      <w:sz w:val="20"/>
      <w:lang w:val="en-US"/>
    </w:rPr>
  </w:style>
  <w:style w:type="paragraph" w:customStyle="1" w:styleId="Titel1">
    <w:name w:val="Titel1"/>
    <w:basedOn w:val="a1"/>
    <w:next w:val="a1"/>
    <w:uiPriority w:val="10"/>
    <w:qFormat/>
    <w:rsid w:val="0056481D"/>
    <w:pPr>
      <w:spacing w:after="60" w:line="240" w:lineRule="auto"/>
      <w:contextualSpacing/>
      <w:jc w:val="left"/>
    </w:pPr>
    <w:rPr>
      <w:rFonts w:eastAsia="Times New Roman"/>
      <w:caps/>
      <w:color w:val="404040"/>
      <w:spacing w:val="-10"/>
      <w:sz w:val="72"/>
      <w:szCs w:val="72"/>
      <w:lang w:val="en-US"/>
    </w:rPr>
  </w:style>
  <w:style w:type="character" w:customStyle="1" w:styleId="Chare">
    <w:name w:val="Τίτλος Char"/>
    <w:basedOn w:val="a8"/>
    <w:link w:val="affa"/>
    <w:uiPriority w:val="10"/>
    <w:rsid w:val="0056481D"/>
    <w:rPr>
      <w:rFonts w:ascii="Cambria" w:eastAsia="Times New Roman" w:hAnsi="Cambria" w:cs="Times New Roman"/>
      <w:caps/>
      <w:color w:val="404040"/>
      <w:spacing w:val="-10"/>
      <w:sz w:val="72"/>
      <w:szCs w:val="72"/>
      <w:lang w:val="en-US"/>
    </w:rPr>
  </w:style>
  <w:style w:type="paragraph" w:customStyle="1" w:styleId="Untertitel1">
    <w:name w:val="Untertitel1"/>
    <w:basedOn w:val="a1"/>
    <w:next w:val="a1"/>
    <w:uiPriority w:val="11"/>
    <w:qFormat/>
    <w:rsid w:val="0056481D"/>
    <w:pPr>
      <w:numPr>
        <w:ilvl w:val="1"/>
      </w:numPr>
      <w:spacing w:after="160" w:line="259" w:lineRule="auto"/>
      <w:jc w:val="left"/>
    </w:pPr>
    <w:rPr>
      <w:rFonts w:eastAsia="Times New Roman"/>
      <w:smallCaps/>
      <w:color w:val="595959"/>
      <w:sz w:val="28"/>
      <w:szCs w:val="28"/>
      <w:lang w:val="en-US"/>
    </w:rPr>
  </w:style>
  <w:style w:type="character" w:customStyle="1" w:styleId="Charf">
    <w:name w:val="Υπότιτλος Char"/>
    <w:basedOn w:val="a8"/>
    <w:link w:val="affb"/>
    <w:uiPriority w:val="11"/>
    <w:rsid w:val="0056481D"/>
    <w:rPr>
      <w:rFonts w:ascii="Cambria" w:eastAsia="Times New Roman" w:hAnsi="Cambria" w:cs="Times New Roman"/>
      <w:smallCaps/>
      <w:color w:val="595959"/>
      <w:sz w:val="28"/>
      <w:szCs w:val="28"/>
      <w:lang w:val="en-US"/>
    </w:rPr>
  </w:style>
  <w:style w:type="paragraph" w:customStyle="1" w:styleId="Zitat1">
    <w:name w:val="Zitat1"/>
    <w:basedOn w:val="a1"/>
    <w:next w:val="a1"/>
    <w:uiPriority w:val="29"/>
    <w:qFormat/>
    <w:rsid w:val="0056481D"/>
    <w:pPr>
      <w:spacing w:before="160" w:after="160" w:line="240" w:lineRule="auto"/>
      <w:ind w:left="720" w:right="720"/>
      <w:jc w:val="left"/>
    </w:pPr>
    <w:rPr>
      <w:rFonts w:eastAsia="Times New Roman"/>
      <w:sz w:val="25"/>
      <w:szCs w:val="25"/>
      <w:lang w:val="en-US"/>
    </w:rPr>
  </w:style>
  <w:style w:type="character" w:customStyle="1" w:styleId="Charf0">
    <w:name w:val="Απόσπασμα Char"/>
    <w:basedOn w:val="a8"/>
    <w:link w:val="affc"/>
    <w:uiPriority w:val="29"/>
    <w:rsid w:val="0056481D"/>
    <w:rPr>
      <w:rFonts w:ascii="Cambria" w:eastAsia="Times New Roman" w:hAnsi="Cambria" w:cs="Times New Roman"/>
      <w:sz w:val="25"/>
      <w:szCs w:val="25"/>
      <w:lang w:val="en-US"/>
    </w:rPr>
  </w:style>
  <w:style w:type="paragraph" w:customStyle="1" w:styleId="Anejo">
    <w:name w:val="Anejo"/>
    <w:basedOn w:val="a1"/>
    <w:autoRedefine/>
    <w:rsid w:val="0056481D"/>
    <w:pPr>
      <w:spacing w:after="60" w:line="240" w:lineRule="auto"/>
      <w:jc w:val="right"/>
    </w:pPr>
    <w:rPr>
      <w:rFonts w:ascii="Helvetica" w:eastAsia="Times New Roman" w:hAnsi="Helvetica"/>
      <w:b/>
      <w:sz w:val="18"/>
      <w:szCs w:val="20"/>
      <w:lang w:eastAsia="es-ES"/>
    </w:rPr>
  </w:style>
  <w:style w:type="paragraph" w:customStyle="1" w:styleId="ISOSecretObservations">
    <w:name w:val="ISO_Secret_Observations"/>
    <w:basedOn w:val="a1"/>
    <w:rsid w:val="0056481D"/>
    <w:pPr>
      <w:spacing w:before="210" w:after="60" w:line="210" w:lineRule="exact"/>
      <w:jc w:val="left"/>
    </w:pPr>
    <w:rPr>
      <w:rFonts w:ascii="Arial" w:eastAsia="Times New Roman" w:hAnsi="Arial"/>
      <w:sz w:val="18"/>
      <w:szCs w:val="20"/>
    </w:rPr>
  </w:style>
  <w:style w:type="character" w:customStyle="1" w:styleId="KommentartextZchn1">
    <w:name w:val="Kommentartext Zchn1"/>
    <w:basedOn w:val="a8"/>
    <w:rsid w:val="0056481D"/>
    <w:rPr>
      <w:rFonts w:ascii="Arial" w:eastAsia="MS Mincho" w:hAnsi="Arial" w:cs="Times New Roman"/>
      <w:sz w:val="20"/>
      <w:szCs w:val="20"/>
      <w:lang w:val="de-DE" w:eastAsia="ja-JP"/>
    </w:rPr>
  </w:style>
  <w:style w:type="character" w:customStyle="1" w:styleId="berschrift4Zchn1">
    <w:name w:val="Überschrift 4 Zchn1"/>
    <w:basedOn w:val="a8"/>
    <w:uiPriority w:val="9"/>
    <w:semiHidden/>
    <w:rsid w:val="0056481D"/>
    <w:rPr>
      <w:rFonts w:ascii="Cambria" w:eastAsia="Times New Roman" w:hAnsi="Cambria" w:cs="Times New Roman"/>
      <w:b/>
      <w:bCs/>
      <w:i/>
      <w:iCs/>
      <w:color w:val="4F81BD"/>
    </w:rPr>
  </w:style>
  <w:style w:type="paragraph" w:customStyle="1" w:styleId="p1">
    <w:name w:val="p1"/>
    <w:basedOn w:val="a1"/>
    <w:rsid w:val="0056481D"/>
    <w:pPr>
      <w:spacing w:after="60" w:line="240" w:lineRule="auto"/>
      <w:jc w:val="left"/>
    </w:pPr>
    <w:rPr>
      <w:rFonts w:ascii="Helvetica" w:hAnsi="Helvetica"/>
      <w:sz w:val="17"/>
      <w:szCs w:val="17"/>
      <w:lang w:val="de-DE" w:eastAsia="de-DE"/>
    </w:rPr>
  </w:style>
  <w:style w:type="character" w:customStyle="1" w:styleId="s1">
    <w:name w:val="s1"/>
    <w:basedOn w:val="a8"/>
    <w:rsid w:val="0056481D"/>
  </w:style>
  <w:style w:type="character" w:customStyle="1" w:styleId="apple-converted-space">
    <w:name w:val="apple-converted-space"/>
    <w:basedOn w:val="a8"/>
    <w:rsid w:val="0056481D"/>
  </w:style>
  <w:style w:type="paragraph" w:customStyle="1" w:styleId="DissText">
    <w:name w:val="Diss_Text"/>
    <w:basedOn w:val="a7"/>
    <w:link w:val="DissTextZchn"/>
    <w:qFormat/>
    <w:rsid w:val="0056481D"/>
    <w:pPr>
      <w:spacing w:before="240" w:after="0" w:line="320" w:lineRule="atLeast"/>
    </w:pPr>
    <w:rPr>
      <w:rFonts w:ascii="Times New Roman" w:eastAsia="Times New Roman" w:hAnsi="Times New Roman"/>
      <w:sz w:val="26"/>
      <w:lang w:val="de-DE" w:eastAsia="de-DE"/>
    </w:rPr>
  </w:style>
  <w:style w:type="character" w:customStyle="1" w:styleId="DissTextZchn">
    <w:name w:val="Diss_Text Zchn"/>
    <w:basedOn w:val="Char"/>
    <w:link w:val="DissText"/>
    <w:rsid w:val="0056481D"/>
    <w:rPr>
      <w:rFonts w:ascii="Times New Roman" w:eastAsia="Times New Roman" w:hAnsi="Times New Roman" w:cs="Cambria"/>
      <w:sz w:val="26"/>
      <w:lang w:val="de-DE" w:eastAsia="de-DE"/>
    </w:rPr>
  </w:style>
  <w:style w:type="paragraph" w:customStyle="1" w:styleId="ISOMB">
    <w:name w:val="ISO_MB"/>
    <w:basedOn w:val="a1"/>
    <w:rsid w:val="0056481D"/>
    <w:pPr>
      <w:spacing w:before="210" w:after="60" w:line="210" w:lineRule="exact"/>
      <w:jc w:val="left"/>
    </w:pPr>
    <w:rPr>
      <w:rFonts w:ascii="Arial" w:eastAsia="Times New Roman" w:hAnsi="Arial"/>
      <w:sz w:val="18"/>
      <w:szCs w:val="20"/>
    </w:rPr>
  </w:style>
  <w:style w:type="character" w:customStyle="1" w:styleId="shorttext">
    <w:name w:val="short_text"/>
    <w:basedOn w:val="a8"/>
    <w:rsid w:val="0056481D"/>
  </w:style>
  <w:style w:type="paragraph" w:customStyle="1" w:styleId="Formel">
    <w:name w:val="Formel"/>
    <w:basedOn w:val="a1"/>
    <w:rsid w:val="0056481D"/>
    <w:pPr>
      <w:numPr>
        <w:numId w:val="51"/>
      </w:numPr>
      <w:tabs>
        <w:tab w:val="left" w:pos="1134"/>
        <w:tab w:val="right" w:pos="9355"/>
      </w:tabs>
      <w:spacing w:before="120" w:line="240" w:lineRule="auto"/>
      <w:jc w:val="left"/>
    </w:pPr>
    <w:rPr>
      <w:rFonts w:ascii="Times New Roman" w:eastAsia="Times New Roman" w:hAnsi="Times New Roman"/>
      <w:sz w:val="20"/>
      <w:szCs w:val="20"/>
      <w:lang w:val="nb-NO" w:eastAsia="nb-NO"/>
    </w:rPr>
  </w:style>
  <w:style w:type="character" w:customStyle="1" w:styleId="fontstyle01">
    <w:name w:val="fontstyle01"/>
    <w:basedOn w:val="a8"/>
    <w:rsid w:val="0056481D"/>
    <w:rPr>
      <w:rFonts w:ascii="Arial-BoldMT" w:hAnsi="Arial-BoldMT" w:hint="default"/>
      <w:b/>
      <w:bCs/>
      <w:i w:val="0"/>
      <w:iCs w:val="0"/>
      <w:color w:val="000000"/>
      <w:sz w:val="18"/>
      <w:szCs w:val="18"/>
    </w:rPr>
  </w:style>
  <w:style w:type="character" w:customStyle="1" w:styleId="fontstyle21">
    <w:name w:val="fontstyle21"/>
    <w:basedOn w:val="a8"/>
    <w:rsid w:val="0056481D"/>
    <w:rPr>
      <w:rFonts w:ascii="ArialMT" w:hAnsi="ArialMT" w:hint="default"/>
      <w:b w:val="0"/>
      <w:bCs w:val="0"/>
      <w:i w:val="0"/>
      <w:iCs w:val="0"/>
      <w:color w:val="000000"/>
      <w:sz w:val="18"/>
      <w:szCs w:val="18"/>
    </w:rPr>
  </w:style>
  <w:style w:type="paragraph" w:customStyle="1" w:styleId="4Normal">
    <w:name w:val="4Normal"/>
    <w:qFormat/>
    <w:rsid w:val="0056481D"/>
    <w:pPr>
      <w:spacing w:after="120" w:line="276" w:lineRule="auto"/>
    </w:pPr>
    <w:rPr>
      <w:rFonts w:ascii="Cambria" w:hAnsi="Cambria"/>
      <w:szCs w:val="22"/>
      <w:lang w:eastAsia="en-US"/>
    </w:rPr>
  </w:style>
  <w:style w:type="paragraph" w:customStyle="1" w:styleId="ISOComments">
    <w:name w:val="ISO_Comments"/>
    <w:basedOn w:val="a1"/>
    <w:rsid w:val="0056481D"/>
    <w:pPr>
      <w:spacing w:before="210" w:after="0" w:line="210" w:lineRule="exact"/>
      <w:jc w:val="left"/>
    </w:pPr>
    <w:rPr>
      <w:rFonts w:ascii="Arial" w:eastAsia="Times New Roman" w:hAnsi="Arial"/>
      <w:sz w:val="18"/>
      <w:szCs w:val="20"/>
    </w:rPr>
  </w:style>
  <w:style w:type="paragraph" w:customStyle="1" w:styleId="StileReferencesdopo3ptInterlineadoppia">
    <w:name w:val="Stile References +  dopo 3 pt Interlinea doppia"/>
    <w:basedOn w:val="a1"/>
    <w:rsid w:val="0056481D"/>
    <w:pPr>
      <w:widowControl w:val="0"/>
      <w:numPr>
        <w:numId w:val="52"/>
      </w:numPr>
      <w:tabs>
        <w:tab w:val="center" w:pos="5103"/>
        <w:tab w:val="left" w:pos="8789"/>
        <w:tab w:val="right" w:pos="9639"/>
      </w:tabs>
      <w:autoSpaceDE w:val="0"/>
      <w:autoSpaceDN w:val="0"/>
      <w:adjustRightInd w:val="0"/>
      <w:spacing w:before="0" w:after="60" w:line="240" w:lineRule="auto"/>
    </w:pPr>
    <w:rPr>
      <w:rFonts w:ascii="Times New Roman" w:hAnsi="Times New Roman"/>
      <w:color w:val="000000"/>
      <w:sz w:val="24"/>
      <w:lang w:val="en-US"/>
    </w:rPr>
  </w:style>
  <w:style w:type="table" w:customStyle="1" w:styleId="Tabellenraster2">
    <w:name w:val="Tabellenraster2"/>
    <w:basedOn w:val="a9"/>
    <w:next w:val="ad"/>
    <w:uiPriority w:val="59"/>
    <w:rsid w:val="0056481D"/>
    <w:rPr>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1">
    <w:name w:val="Keine Liste11"/>
    <w:next w:val="aa"/>
    <w:uiPriority w:val="99"/>
    <w:semiHidden/>
    <w:unhideWhenUsed/>
    <w:rsid w:val="0056481D"/>
  </w:style>
  <w:style w:type="paragraph" w:customStyle="1" w:styleId="Normtext">
    <w:name w:val="Normtext"/>
    <w:basedOn w:val="a1"/>
    <w:link w:val="NormtextZchn"/>
    <w:qFormat/>
    <w:rsid w:val="0056481D"/>
    <w:pPr>
      <w:spacing w:before="0" w:line="240" w:lineRule="auto"/>
      <w:jc w:val="left"/>
    </w:pPr>
    <w:rPr>
      <w:rFonts w:ascii="Arial" w:eastAsia="Times New Roman" w:hAnsi="Arial"/>
      <w:sz w:val="20"/>
      <w:szCs w:val="24"/>
      <w:lang w:val="x-none" w:eastAsia="x-none"/>
    </w:rPr>
  </w:style>
  <w:style w:type="character" w:customStyle="1" w:styleId="NormtextZchn">
    <w:name w:val="Normtext Zchn"/>
    <w:link w:val="Normtext"/>
    <w:rsid w:val="0056481D"/>
    <w:rPr>
      <w:rFonts w:ascii="Arial" w:eastAsia="Times New Roman" w:hAnsi="Arial"/>
      <w:szCs w:val="24"/>
      <w:lang w:val="x-none" w:eastAsia="x-none"/>
    </w:rPr>
  </w:style>
  <w:style w:type="paragraph" w:customStyle="1" w:styleId="Liste-1">
    <w:name w:val="Liste-1"/>
    <w:basedOn w:val="a1"/>
    <w:link w:val="Liste-1Zchn"/>
    <w:qFormat/>
    <w:rsid w:val="0056481D"/>
    <w:pPr>
      <w:numPr>
        <w:numId w:val="53"/>
      </w:numPr>
      <w:spacing w:before="0" w:after="60" w:line="240" w:lineRule="auto"/>
      <w:jc w:val="left"/>
    </w:pPr>
    <w:rPr>
      <w:rFonts w:ascii="Arial" w:eastAsia="Times New Roman" w:hAnsi="Arial"/>
      <w:sz w:val="20"/>
      <w:szCs w:val="20"/>
      <w:lang w:val="x-none" w:eastAsia="x-none"/>
    </w:rPr>
  </w:style>
  <w:style w:type="character" w:customStyle="1" w:styleId="Liste-1Zchn">
    <w:name w:val="Liste-1 Zchn"/>
    <w:link w:val="Liste-1"/>
    <w:rsid w:val="0056481D"/>
    <w:rPr>
      <w:rFonts w:ascii="Arial" w:eastAsia="Times New Roman" w:hAnsi="Arial"/>
      <w:lang w:val="x-none" w:eastAsia="x-none"/>
    </w:rPr>
  </w:style>
  <w:style w:type="paragraph" w:customStyle="1" w:styleId="bezeich">
    <w:name w:val="bezeich"/>
    <w:basedOn w:val="a1"/>
    <w:link w:val="bezeichZchn"/>
    <w:qFormat/>
    <w:rsid w:val="0056481D"/>
    <w:pPr>
      <w:tabs>
        <w:tab w:val="left" w:pos="3119"/>
      </w:tabs>
      <w:spacing w:before="0" w:after="60" w:line="240" w:lineRule="auto"/>
      <w:ind w:left="3119" w:hanging="3119"/>
      <w:jc w:val="left"/>
    </w:pPr>
    <w:rPr>
      <w:rFonts w:ascii="Arial" w:eastAsia="Times New Roman" w:hAnsi="Arial"/>
      <w:sz w:val="20"/>
      <w:szCs w:val="24"/>
      <w:lang w:val="x-none" w:eastAsia="x-none"/>
    </w:rPr>
  </w:style>
  <w:style w:type="character" w:customStyle="1" w:styleId="bezeichZchn">
    <w:name w:val="bezeich Zchn"/>
    <w:link w:val="bezeich"/>
    <w:rsid w:val="0056481D"/>
    <w:rPr>
      <w:rFonts w:ascii="Arial" w:eastAsia="Times New Roman" w:hAnsi="Arial"/>
      <w:szCs w:val="24"/>
      <w:lang w:val="x-none" w:eastAsia="x-none"/>
    </w:rPr>
  </w:style>
  <w:style w:type="paragraph" w:customStyle="1" w:styleId="formelneu">
    <w:name w:val="formel_neu"/>
    <w:basedOn w:val="a1"/>
    <w:link w:val="formelneuZchn"/>
    <w:qFormat/>
    <w:rsid w:val="0056481D"/>
    <w:pPr>
      <w:spacing w:before="0" w:line="240" w:lineRule="auto"/>
      <w:jc w:val="left"/>
    </w:pPr>
    <w:rPr>
      <w:rFonts w:ascii="Times New Roman" w:eastAsia="Times New Roman" w:hAnsi="Times New Roman"/>
      <w:sz w:val="20"/>
      <w:szCs w:val="24"/>
      <w:lang w:val="de-DE" w:eastAsia="de-DE"/>
    </w:rPr>
  </w:style>
  <w:style w:type="character" w:customStyle="1" w:styleId="formelneuZchn">
    <w:name w:val="formel_neu Zchn"/>
    <w:link w:val="formelneu"/>
    <w:rsid w:val="0056481D"/>
    <w:rPr>
      <w:rFonts w:ascii="Times New Roman" w:eastAsia="Times New Roman" w:hAnsi="Times New Roman"/>
      <w:szCs w:val="24"/>
      <w:lang w:val="de-DE" w:eastAsia="de-DE"/>
    </w:rPr>
  </w:style>
  <w:style w:type="paragraph" w:customStyle="1" w:styleId="ZB-Standard">
    <w:name w:val="ZB-Standard"/>
    <w:basedOn w:val="a1"/>
    <w:link w:val="ZB-StandardZchn"/>
    <w:rsid w:val="0056481D"/>
    <w:pPr>
      <w:tabs>
        <w:tab w:val="left" w:pos="851"/>
      </w:tabs>
      <w:spacing w:before="0" w:after="60" w:line="227" w:lineRule="atLeast"/>
      <w:ind w:left="851" w:hanging="851"/>
    </w:pPr>
    <w:rPr>
      <w:rFonts w:ascii="Verdana" w:eastAsia="Times New Roman" w:hAnsi="Verdana"/>
      <w:sz w:val="18"/>
      <w:szCs w:val="18"/>
      <w:lang w:val="x-none" w:eastAsia="x-none"/>
    </w:rPr>
  </w:style>
  <w:style w:type="character" w:customStyle="1" w:styleId="ZB-StandardZchn">
    <w:name w:val="ZB-Standard Zchn"/>
    <w:link w:val="ZB-Standard"/>
    <w:locked/>
    <w:rsid w:val="0056481D"/>
    <w:rPr>
      <w:rFonts w:ascii="Verdana" w:eastAsia="Times New Roman" w:hAnsi="Verdana"/>
      <w:sz w:val="18"/>
      <w:szCs w:val="18"/>
      <w:lang w:val="x-none" w:eastAsia="x-none"/>
    </w:rPr>
  </w:style>
  <w:style w:type="paragraph" w:customStyle="1" w:styleId="FormatvorlageTabelle">
    <w:name w:val="Formatvorlage Tabelle"/>
    <w:basedOn w:val="a7"/>
    <w:rsid w:val="0056481D"/>
    <w:pPr>
      <w:spacing w:before="120" w:line="240" w:lineRule="auto"/>
    </w:pPr>
    <w:rPr>
      <w:rFonts w:ascii="Times New Roman" w:eastAsia="Times New Roman" w:hAnsi="Times New Roman" w:cs="Times New Roman"/>
      <w:szCs w:val="24"/>
      <w:lang w:val="de-DE" w:eastAsia="de-DE"/>
    </w:rPr>
  </w:style>
  <w:style w:type="paragraph" w:styleId="affd">
    <w:name w:val="Block Text"/>
    <w:basedOn w:val="a1"/>
    <w:rsid w:val="0056481D"/>
    <w:pPr>
      <w:spacing w:before="0" w:line="240" w:lineRule="auto"/>
      <w:ind w:left="1440" w:right="1440"/>
      <w:jc w:val="left"/>
    </w:pPr>
    <w:rPr>
      <w:rFonts w:ascii="Arial" w:eastAsia="Times New Roman" w:hAnsi="Arial"/>
      <w:sz w:val="20"/>
      <w:szCs w:val="20"/>
      <w:lang w:val="de-DE" w:eastAsia="de-DE"/>
    </w:rPr>
  </w:style>
  <w:style w:type="table" w:customStyle="1" w:styleId="TableGrid11">
    <w:name w:val="Table Grid11"/>
    <w:basedOn w:val="a9"/>
    <w:next w:val="ad"/>
    <w:uiPriority w:val="39"/>
    <w:rsid w:val="0056481D"/>
    <w:rPr>
      <w:sz w:val="22"/>
      <w:szCs w:val="22"/>
      <w:lang w:val="fr-FR"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1">
    <w:name w:val="Standard1"/>
    <w:rsid w:val="0056481D"/>
    <w:pPr>
      <w:suppressAutoHyphens/>
      <w:autoSpaceDN w:val="0"/>
      <w:spacing w:after="160" w:line="254" w:lineRule="auto"/>
      <w:textAlignment w:val="baseline"/>
    </w:pPr>
    <w:rPr>
      <w:sz w:val="22"/>
      <w:szCs w:val="22"/>
      <w:lang w:eastAsia="en-US"/>
    </w:rPr>
  </w:style>
  <w:style w:type="character" w:customStyle="1" w:styleId="Kursiv">
    <w:name w:val="Kursiv"/>
    <w:basedOn w:val="a8"/>
    <w:uiPriority w:val="1"/>
    <w:rsid w:val="0056481D"/>
    <w:rPr>
      <w:i/>
    </w:rPr>
  </w:style>
  <w:style w:type="character" w:customStyle="1" w:styleId="Tiefgestellt">
    <w:name w:val="Tiefgestellt"/>
    <w:basedOn w:val="a8"/>
    <w:qFormat/>
    <w:rsid w:val="0056481D"/>
    <w:rPr>
      <w:vertAlign w:val="subscript"/>
    </w:rPr>
  </w:style>
  <w:style w:type="character" w:customStyle="1" w:styleId="griechischerBuchstabe">
    <w:name w:val="griechischer Buchstabe"/>
    <w:basedOn w:val="a8"/>
    <w:uiPriority w:val="1"/>
    <w:rsid w:val="0056481D"/>
    <w:rPr>
      <w:rFonts w:ascii="Symbol" w:hAnsi="Symbol"/>
      <w:i w:val="0"/>
    </w:rPr>
  </w:style>
  <w:style w:type="paragraph" w:styleId="affa">
    <w:name w:val="Title"/>
    <w:basedOn w:val="a1"/>
    <w:next w:val="a1"/>
    <w:link w:val="Chare"/>
    <w:uiPriority w:val="10"/>
    <w:rsid w:val="0056481D"/>
    <w:pPr>
      <w:spacing w:before="0" w:after="0" w:line="240" w:lineRule="auto"/>
      <w:contextualSpacing/>
    </w:pPr>
    <w:rPr>
      <w:rFonts w:eastAsia="Times New Roman"/>
      <w:caps/>
      <w:color w:val="404040"/>
      <w:spacing w:val="-10"/>
      <w:sz w:val="72"/>
      <w:szCs w:val="72"/>
      <w:lang w:val="en-US" w:eastAsia="en-GB"/>
    </w:rPr>
  </w:style>
  <w:style w:type="character" w:customStyle="1" w:styleId="TitelZchn1">
    <w:name w:val="Titel Zchn1"/>
    <w:basedOn w:val="a8"/>
    <w:uiPriority w:val="10"/>
    <w:rsid w:val="0056481D"/>
    <w:rPr>
      <w:rFonts w:asciiTheme="majorHAnsi" w:eastAsiaTheme="majorEastAsia" w:hAnsiTheme="majorHAnsi" w:cstheme="majorBidi"/>
      <w:spacing w:val="-10"/>
      <w:kern w:val="28"/>
      <w:sz w:val="56"/>
      <w:szCs w:val="56"/>
      <w:lang w:eastAsia="en-US"/>
    </w:rPr>
  </w:style>
  <w:style w:type="paragraph" w:styleId="affb">
    <w:name w:val="Subtitle"/>
    <w:basedOn w:val="a1"/>
    <w:next w:val="a1"/>
    <w:link w:val="Charf"/>
    <w:uiPriority w:val="11"/>
    <w:semiHidden/>
    <w:unhideWhenUsed/>
    <w:qFormat/>
    <w:rsid w:val="0056481D"/>
    <w:pPr>
      <w:numPr>
        <w:ilvl w:val="1"/>
      </w:numPr>
      <w:spacing w:after="160"/>
    </w:pPr>
    <w:rPr>
      <w:rFonts w:eastAsia="Times New Roman"/>
      <w:smallCaps/>
      <w:color w:val="595959"/>
      <w:sz w:val="28"/>
      <w:szCs w:val="28"/>
      <w:lang w:val="en-US" w:eastAsia="en-GB"/>
    </w:rPr>
  </w:style>
  <w:style w:type="character" w:customStyle="1" w:styleId="UntertitelZchn1">
    <w:name w:val="Untertitel Zchn1"/>
    <w:basedOn w:val="a8"/>
    <w:uiPriority w:val="11"/>
    <w:semiHidden/>
    <w:rsid w:val="0056481D"/>
    <w:rPr>
      <w:rFonts w:asciiTheme="minorHAnsi" w:eastAsiaTheme="minorEastAsia" w:hAnsiTheme="minorHAnsi" w:cstheme="minorBidi"/>
      <w:color w:val="5A5A5A" w:themeColor="text1" w:themeTint="A5"/>
      <w:spacing w:val="15"/>
      <w:sz w:val="22"/>
      <w:szCs w:val="22"/>
      <w:lang w:eastAsia="en-US"/>
    </w:rPr>
  </w:style>
  <w:style w:type="paragraph" w:styleId="affc">
    <w:name w:val="Quote"/>
    <w:basedOn w:val="a1"/>
    <w:next w:val="a1"/>
    <w:link w:val="Charf0"/>
    <w:uiPriority w:val="29"/>
    <w:semiHidden/>
    <w:unhideWhenUsed/>
    <w:qFormat/>
    <w:rsid w:val="0056481D"/>
    <w:pPr>
      <w:spacing w:before="200" w:after="160"/>
      <w:ind w:left="864" w:right="864"/>
      <w:jc w:val="center"/>
    </w:pPr>
    <w:rPr>
      <w:rFonts w:eastAsia="Times New Roman"/>
      <w:sz w:val="25"/>
      <w:szCs w:val="25"/>
      <w:lang w:val="en-US" w:eastAsia="en-GB"/>
    </w:rPr>
  </w:style>
  <w:style w:type="character" w:customStyle="1" w:styleId="ZitatZchn1">
    <w:name w:val="Zitat Zchn1"/>
    <w:basedOn w:val="a8"/>
    <w:uiPriority w:val="29"/>
    <w:semiHidden/>
    <w:rsid w:val="0056481D"/>
    <w:rPr>
      <w:rFonts w:ascii="Cambria" w:hAnsi="Cambria"/>
      <w:i/>
      <w:iCs/>
      <w:color w:val="404040" w:themeColor="text1" w:themeTint="BF"/>
      <w:sz w:val="22"/>
      <w:szCs w:val="22"/>
      <w:lang w:eastAsia="en-US"/>
    </w:rPr>
  </w:style>
  <w:style w:type="character" w:customStyle="1" w:styleId="MTConvertedEquation">
    <w:name w:val="MTConvertedEquation"/>
    <w:basedOn w:val="a8"/>
    <w:rsid w:val="00046D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5611121">
      <w:bodyDiv w:val="1"/>
      <w:marLeft w:val="0"/>
      <w:marRight w:val="0"/>
      <w:marTop w:val="0"/>
      <w:marBottom w:val="0"/>
      <w:divBdr>
        <w:top w:val="none" w:sz="0" w:space="0" w:color="auto"/>
        <w:left w:val="none" w:sz="0" w:space="0" w:color="auto"/>
        <w:bottom w:val="none" w:sz="0" w:space="0" w:color="auto"/>
        <w:right w:val="none" w:sz="0" w:space="0" w:color="auto"/>
      </w:divBdr>
    </w:div>
    <w:div w:id="1172647595">
      <w:bodyDiv w:val="1"/>
      <w:marLeft w:val="0"/>
      <w:marRight w:val="0"/>
      <w:marTop w:val="0"/>
      <w:marBottom w:val="0"/>
      <w:divBdr>
        <w:top w:val="none" w:sz="0" w:space="0" w:color="auto"/>
        <w:left w:val="none" w:sz="0" w:space="0" w:color="auto"/>
        <w:bottom w:val="none" w:sz="0" w:space="0" w:color="auto"/>
        <w:right w:val="none" w:sz="0" w:space="0" w:color="auto"/>
      </w:divBdr>
    </w:div>
    <w:div w:id="1372806245">
      <w:bodyDiv w:val="1"/>
      <w:marLeft w:val="0"/>
      <w:marRight w:val="0"/>
      <w:marTop w:val="0"/>
      <w:marBottom w:val="0"/>
      <w:divBdr>
        <w:top w:val="none" w:sz="0" w:space="0" w:color="auto"/>
        <w:left w:val="none" w:sz="0" w:space="0" w:color="auto"/>
        <w:bottom w:val="none" w:sz="0" w:space="0" w:color="auto"/>
        <w:right w:val="none" w:sz="0" w:space="0" w:color="auto"/>
      </w:divBdr>
    </w:div>
    <w:div w:id="1692797087">
      <w:bodyDiv w:val="1"/>
      <w:marLeft w:val="0"/>
      <w:marRight w:val="0"/>
      <w:marTop w:val="0"/>
      <w:marBottom w:val="0"/>
      <w:divBdr>
        <w:top w:val="none" w:sz="0" w:space="0" w:color="auto"/>
        <w:left w:val="none" w:sz="0" w:space="0" w:color="auto"/>
        <w:bottom w:val="none" w:sz="0" w:space="0" w:color="auto"/>
        <w:right w:val="none" w:sz="0" w:space="0" w:color="auto"/>
      </w:divBdr>
    </w:div>
    <w:div w:id="1957179215">
      <w:bodyDiv w:val="1"/>
      <w:marLeft w:val="0"/>
      <w:marRight w:val="0"/>
      <w:marTop w:val="0"/>
      <w:marBottom w:val="0"/>
      <w:divBdr>
        <w:top w:val="none" w:sz="0" w:space="0" w:color="auto"/>
        <w:left w:val="none" w:sz="0" w:space="0" w:color="auto"/>
        <w:bottom w:val="none" w:sz="0" w:space="0" w:color="auto"/>
        <w:right w:val="none" w:sz="0" w:space="0" w:color="auto"/>
      </w:divBdr>
    </w:div>
    <w:div w:id="2013988325">
      <w:bodyDiv w:val="1"/>
      <w:marLeft w:val="0"/>
      <w:marRight w:val="0"/>
      <w:marTop w:val="0"/>
      <w:marBottom w:val="0"/>
      <w:divBdr>
        <w:top w:val="none" w:sz="0" w:space="0" w:color="auto"/>
        <w:left w:val="none" w:sz="0" w:space="0" w:color="auto"/>
        <w:bottom w:val="none" w:sz="0" w:space="0" w:color="auto"/>
        <w:right w:val="none" w:sz="0" w:space="0" w:color="auto"/>
      </w:divBdr>
    </w:div>
    <w:div w:id="2130083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oleObject" Target="embeddings/oleObject1.bin"/><Relationship Id="rId324" Type="http://schemas.openxmlformats.org/officeDocument/2006/relationships/image" Target="media/image153.png"/><Relationship Id="rId531" Type="http://schemas.openxmlformats.org/officeDocument/2006/relationships/image" Target="file:///C:\Users\a.dionysiou\AppData\Local\Temp\Temp1_00250269_e_20210902.zip.zip\41_e_dr\13_003.tif" TargetMode="External"/><Relationship Id="rId629" Type="http://schemas.openxmlformats.org/officeDocument/2006/relationships/image" Target="file:///C:\Users\a.dionysiou\AppData\Local\Temp\Temp1_00250269_e_20210902.zip.zip\41_e_dr\k004.tif" TargetMode="External"/><Relationship Id="rId170" Type="http://schemas.openxmlformats.org/officeDocument/2006/relationships/image" Target="media/image76.wmf"/><Relationship Id="rId268" Type="http://schemas.openxmlformats.org/officeDocument/2006/relationships/image" Target="media/image125.png"/><Relationship Id="rId475" Type="http://schemas.openxmlformats.org/officeDocument/2006/relationships/image" Target="file:///C:\Users\a.dionysiou\AppData\Local\Temp\Temp1_00250269_e_20210902.zip.zip\41_e_dr\11_016.tif" TargetMode="External"/><Relationship Id="rId32" Type="http://schemas.openxmlformats.org/officeDocument/2006/relationships/image" Target="media/image7.wmf"/><Relationship Id="rId128" Type="http://schemas.openxmlformats.org/officeDocument/2006/relationships/image" Target="media/image55.wmf"/><Relationship Id="rId335" Type="http://schemas.openxmlformats.org/officeDocument/2006/relationships/image" Target="file:///C:\Users\a.dionysiou\AppData\Local\Temp\Temp1_00250269_e_20210902.zip.zip\41_e_dr\8_023.tif" TargetMode="External"/><Relationship Id="rId542" Type="http://schemas.openxmlformats.org/officeDocument/2006/relationships/image" Target="media/image262.png"/><Relationship Id="rId181" Type="http://schemas.openxmlformats.org/officeDocument/2006/relationships/oleObject" Target="embeddings/oleObject81.bin"/><Relationship Id="rId402" Type="http://schemas.openxmlformats.org/officeDocument/2006/relationships/image" Target="media/image192.png"/><Relationship Id="rId279" Type="http://schemas.openxmlformats.org/officeDocument/2006/relationships/image" Target="file:///C:\Users\a.dionysiou\AppData\Local\Temp\Temp1_00250269_e_20210902.zip.zip\41_e_dr\8_006b.tif" TargetMode="External"/><Relationship Id="rId486" Type="http://schemas.openxmlformats.org/officeDocument/2006/relationships/image" Target="media/image234.png"/><Relationship Id="rId43" Type="http://schemas.openxmlformats.org/officeDocument/2006/relationships/oleObject" Target="embeddings/oleObject12.bin"/><Relationship Id="rId139" Type="http://schemas.openxmlformats.org/officeDocument/2006/relationships/oleObject" Target="embeddings/oleObject60.bin"/><Relationship Id="rId346" Type="http://schemas.openxmlformats.org/officeDocument/2006/relationships/image" Target="media/image164.wmf"/><Relationship Id="rId553" Type="http://schemas.openxmlformats.org/officeDocument/2006/relationships/image" Target="file:///C:\Users\a.dionysiou\AppData\Local\Temp\Temp1_00250269_e_20210902.zip.zip\41_e_dr\13_008.tif" TargetMode="External"/><Relationship Id="rId192" Type="http://schemas.openxmlformats.org/officeDocument/2006/relationships/image" Target="media/image87.wmf"/><Relationship Id="rId206" Type="http://schemas.openxmlformats.org/officeDocument/2006/relationships/image" Target="media/image94.wmf"/><Relationship Id="rId413" Type="http://schemas.openxmlformats.org/officeDocument/2006/relationships/image" Target="file:///C:\Users\a.dionysiou\AppData\Local\Temp\Temp1_00250269_e_20210902.zip.zip\41_e_dr\11_002d.tif" TargetMode="External"/><Relationship Id="rId497" Type="http://schemas.openxmlformats.org/officeDocument/2006/relationships/image" Target="file:///C:\Users\a.dionysiou\AppData\Local\Temp\Temp1_00250269_e_20210902.zip.zip\41_e_dr\12_003.tif" TargetMode="External"/><Relationship Id="rId620" Type="http://schemas.openxmlformats.org/officeDocument/2006/relationships/image" Target="media/image301.png"/><Relationship Id="rId357" Type="http://schemas.openxmlformats.org/officeDocument/2006/relationships/image" Target="file:///C:\Users\a.dionysiou\AppData\Local\Temp\Temp1_00250269_e_20210902.zip.zip\41_e_dr\8_028.tif" TargetMode="External"/><Relationship Id="rId54" Type="http://schemas.openxmlformats.org/officeDocument/2006/relationships/image" Target="media/image18.wmf"/><Relationship Id="rId217" Type="http://schemas.openxmlformats.org/officeDocument/2006/relationships/oleObject" Target="embeddings/oleObject99.bin"/><Relationship Id="rId564" Type="http://schemas.openxmlformats.org/officeDocument/2006/relationships/image" Target="media/image273.wmf"/><Relationship Id="rId424" Type="http://schemas.openxmlformats.org/officeDocument/2006/relationships/image" Target="media/image203.png"/><Relationship Id="rId631" Type="http://schemas.openxmlformats.org/officeDocument/2006/relationships/image" Target="file:///C:\Users\a.dionysiou\AppData\Local\Temp\Temp1_00250269_e_20210902.zip.zip\41_e_dr\l001a.tif" TargetMode="External"/><Relationship Id="rId270" Type="http://schemas.openxmlformats.org/officeDocument/2006/relationships/image" Target="media/image126.png"/><Relationship Id="rId65" Type="http://schemas.openxmlformats.org/officeDocument/2006/relationships/oleObject" Target="embeddings/oleObject23.bin"/><Relationship Id="rId130" Type="http://schemas.openxmlformats.org/officeDocument/2006/relationships/image" Target="media/image56.wmf"/><Relationship Id="rId368" Type="http://schemas.openxmlformats.org/officeDocument/2006/relationships/image" Target="media/image175.png"/><Relationship Id="rId575" Type="http://schemas.openxmlformats.org/officeDocument/2006/relationships/image" Target="file:///C:\Users\a.dionysiou\AppData\Local\Temp\Temp1_00250269_e_20210902.zip.zip\41_e_dr\c001.tif" TargetMode="External"/><Relationship Id="rId228" Type="http://schemas.openxmlformats.org/officeDocument/2006/relationships/image" Target="media/image105.wmf"/><Relationship Id="rId435" Type="http://schemas.openxmlformats.org/officeDocument/2006/relationships/image" Target="file:///C:\Users\a.dionysiou\AppData\Local\Temp\Temp1_00250269_e_20210902.zip.zip\41_e_dr\11_007a.tif" TargetMode="External"/><Relationship Id="rId642" Type="http://schemas.openxmlformats.org/officeDocument/2006/relationships/fontTable" Target="fontTable.xml"/><Relationship Id="rId281" Type="http://schemas.openxmlformats.org/officeDocument/2006/relationships/image" Target="file:///C:\Users\a.dionysiou\AppData\Local\Temp\Temp1_00250269_e_20210902.zip.zip\41_e_dr\8_007.tif" TargetMode="External"/><Relationship Id="rId502" Type="http://schemas.openxmlformats.org/officeDocument/2006/relationships/image" Target="media/image242.png"/><Relationship Id="rId76" Type="http://schemas.openxmlformats.org/officeDocument/2006/relationships/image" Target="media/image29.wmf"/><Relationship Id="rId141" Type="http://schemas.openxmlformats.org/officeDocument/2006/relationships/oleObject" Target="embeddings/oleObject61.bin"/><Relationship Id="rId379" Type="http://schemas.openxmlformats.org/officeDocument/2006/relationships/image" Target="file:///C:\Users\a.dionysiou\AppData\Local\Temp\Temp1_00250269_e_20210902.zip.zip\41_e_dr\8_033.tif" TargetMode="External"/><Relationship Id="rId586" Type="http://schemas.openxmlformats.org/officeDocument/2006/relationships/image" Target="media/image284.png"/><Relationship Id="rId7" Type="http://schemas.openxmlformats.org/officeDocument/2006/relationships/settings" Target="settings.xml"/><Relationship Id="rId239" Type="http://schemas.openxmlformats.org/officeDocument/2006/relationships/image" Target="file:///C:\Users\a.dionysiou\AppData\Local\Temp\Temp1_00250269_e_20210902.zip.zip\41_e_dr\7_001a2.tif" TargetMode="External"/><Relationship Id="rId446" Type="http://schemas.openxmlformats.org/officeDocument/2006/relationships/image" Target="media/image214.png"/><Relationship Id="rId292" Type="http://schemas.openxmlformats.org/officeDocument/2006/relationships/image" Target="media/image137.png"/><Relationship Id="rId306" Type="http://schemas.openxmlformats.org/officeDocument/2006/relationships/image" Target="media/image144.png"/><Relationship Id="rId87" Type="http://schemas.openxmlformats.org/officeDocument/2006/relationships/oleObject" Target="embeddings/oleObject34.bin"/><Relationship Id="rId513" Type="http://schemas.openxmlformats.org/officeDocument/2006/relationships/image" Target="file:///C:\Users\a.dionysiou\AppData\Local\Temp\Temp1_00250269_e_20210902.zip.zip\41_e_dr\12_008b.tif" TargetMode="External"/><Relationship Id="rId597" Type="http://schemas.openxmlformats.org/officeDocument/2006/relationships/image" Target="file:///C:\Users\a.dionysiou\AppData\Local\Temp\Temp1_00250269_e_20210902.zip.zip\41_e_dr\j001.tif" TargetMode="External"/><Relationship Id="rId152" Type="http://schemas.openxmlformats.org/officeDocument/2006/relationships/image" Target="media/image67.wmf"/><Relationship Id="rId457" Type="http://schemas.openxmlformats.org/officeDocument/2006/relationships/image" Target="file:///C:\Users\a.dionysiou\AppData\Local\Temp\Temp1_00250269_e_20210902.zip.zip\41_e_dr\t11_3_003.tif" TargetMode="External"/><Relationship Id="rId14" Type="http://schemas.openxmlformats.org/officeDocument/2006/relationships/header" Target="header2.xml"/><Relationship Id="rId317" Type="http://schemas.openxmlformats.org/officeDocument/2006/relationships/image" Target="file:///C:\Users\a.dionysiou\AppData\Local\Temp\Temp1_00250269_e_20210902.zip.zip\41_e_dr\8_019c.tif" TargetMode="External"/><Relationship Id="rId524" Type="http://schemas.openxmlformats.org/officeDocument/2006/relationships/image" Target="media/image253.png"/><Relationship Id="rId98" Type="http://schemas.openxmlformats.org/officeDocument/2006/relationships/image" Target="media/image40.wmf"/><Relationship Id="rId163" Type="http://schemas.openxmlformats.org/officeDocument/2006/relationships/oleObject" Target="embeddings/oleObject72.bin"/><Relationship Id="rId370" Type="http://schemas.openxmlformats.org/officeDocument/2006/relationships/image" Target="media/image176.png"/><Relationship Id="rId230" Type="http://schemas.openxmlformats.org/officeDocument/2006/relationships/image" Target="media/image106.png"/><Relationship Id="rId468" Type="http://schemas.openxmlformats.org/officeDocument/2006/relationships/image" Target="media/image225.png"/><Relationship Id="rId25" Type="http://schemas.openxmlformats.org/officeDocument/2006/relationships/oleObject" Target="embeddings/oleObject3.bin"/><Relationship Id="rId328" Type="http://schemas.openxmlformats.org/officeDocument/2006/relationships/image" Target="media/image155.png"/><Relationship Id="rId535" Type="http://schemas.openxmlformats.org/officeDocument/2006/relationships/oleObject" Target="embeddings/oleObject113.bin"/><Relationship Id="rId174" Type="http://schemas.openxmlformats.org/officeDocument/2006/relationships/image" Target="media/image78.wmf"/><Relationship Id="rId381" Type="http://schemas.openxmlformats.org/officeDocument/2006/relationships/image" Target="file:///C:\Users\a.dionysiou\AppData\Local\Temp\Temp1_00250269_e_20210902.zip.zip\41_e_dr\8_034.tif" TargetMode="External"/><Relationship Id="rId602" Type="http://schemas.openxmlformats.org/officeDocument/2006/relationships/image" Target="media/image292.png"/><Relationship Id="rId241" Type="http://schemas.openxmlformats.org/officeDocument/2006/relationships/image" Target="file:///C:\Users\a.dionysiou\AppData\Local\Temp\Temp1_00250269_e_20210902.zip.zip\41_e_dr\7_001b.tif" TargetMode="External"/><Relationship Id="rId479" Type="http://schemas.openxmlformats.org/officeDocument/2006/relationships/image" Target="file:///C:\Users\a.dionysiou\AppData\Local\Temp\Temp1_00250269_e_20210902.zip.zip\41_e_dr\12_001.tif" TargetMode="External"/><Relationship Id="rId36" Type="http://schemas.openxmlformats.org/officeDocument/2006/relationships/image" Target="media/image9.wmf"/><Relationship Id="rId339" Type="http://schemas.openxmlformats.org/officeDocument/2006/relationships/image" Target="file:///C:\Users\a.dionysiou\AppData\Local\Temp\Temp1_00250269_e_20210902.zip.zip\41_e_dr\8_025a.tif" TargetMode="External"/><Relationship Id="rId546" Type="http://schemas.openxmlformats.org/officeDocument/2006/relationships/image" Target="media/image264.png"/><Relationship Id="rId101" Type="http://schemas.openxmlformats.org/officeDocument/2006/relationships/oleObject" Target="embeddings/oleObject41.bin"/><Relationship Id="rId185" Type="http://schemas.openxmlformats.org/officeDocument/2006/relationships/oleObject" Target="embeddings/oleObject83.bin"/><Relationship Id="rId406" Type="http://schemas.openxmlformats.org/officeDocument/2006/relationships/image" Target="media/image194.png"/><Relationship Id="rId392" Type="http://schemas.openxmlformats.org/officeDocument/2006/relationships/image" Target="media/image187.png"/><Relationship Id="rId613" Type="http://schemas.openxmlformats.org/officeDocument/2006/relationships/image" Target="file:///C:\Users\a.dionysiou\AppData\Local\Temp\Temp1_00250269_e_20210902.zip.zip\41_e_dr\j008.tif" TargetMode="External"/><Relationship Id="rId252" Type="http://schemas.openxmlformats.org/officeDocument/2006/relationships/image" Target="media/image117.wmf"/><Relationship Id="rId47" Type="http://schemas.openxmlformats.org/officeDocument/2006/relationships/oleObject" Target="embeddings/oleObject14.bin"/><Relationship Id="rId89" Type="http://schemas.openxmlformats.org/officeDocument/2006/relationships/oleObject" Target="embeddings/oleObject35.bin"/><Relationship Id="rId112" Type="http://schemas.openxmlformats.org/officeDocument/2006/relationships/image" Target="media/image47.wmf"/><Relationship Id="rId154" Type="http://schemas.openxmlformats.org/officeDocument/2006/relationships/image" Target="media/image68.wmf"/><Relationship Id="rId361" Type="http://schemas.openxmlformats.org/officeDocument/2006/relationships/image" Target="file:///C:\Users\a.dionysiou\AppData\Local\Temp\Temp1_00250269_e_20210902.zip.zip\41_e_dr\8_029b.tif" TargetMode="External"/><Relationship Id="rId557" Type="http://schemas.openxmlformats.org/officeDocument/2006/relationships/image" Target="file:///C:\Users\a.dionysiou\AppData\Local\Temp\Temp1_00250269_e_20210902.zip.zip\41_e_dr\14_001.tif" TargetMode="External"/><Relationship Id="rId599" Type="http://schemas.openxmlformats.org/officeDocument/2006/relationships/image" Target="file:///C:\Users\a.dionysiou\AppData\Local\Temp\Temp1_00250269_e_20210902.zip.zip\41_e_dr\j002a.tif" TargetMode="External"/><Relationship Id="rId196" Type="http://schemas.openxmlformats.org/officeDocument/2006/relationships/image" Target="media/image89.wmf"/><Relationship Id="rId417" Type="http://schemas.openxmlformats.org/officeDocument/2006/relationships/image" Target="file:///C:\Users\a.dionysiou\AppData\Local\Temp\Temp1_00250269_e_20210902.zip.zip\41_e_dr\11_002e.tif" TargetMode="External"/><Relationship Id="rId459" Type="http://schemas.openxmlformats.org/officeDocument/2006/relationships/image" Target="file:///C:\Users\a.dionysiou\AppData\Local\Temp\Temp1_00250269_e_20210902.zip.zip\41_e_dr\t11_3_004.tif" TargetMode="External"/><Relationship Id="rId624" Type="http://schemas.openxmlformats.org/officeDocument/2006/relationships/image" Target="media/image303.png"/><Relationship Id="rId16" Type="http://schemas.openxmlformats.org/officeDocument/2006/relationships/header" Target="header3.xml"/><Relationship Id="rId221" Type="http://schemas.openxmlformats.org/officeDocument/2006/relationships/oleObject" Target="embeddings/oleObject101.bin"/><Relationship Id="rId263" Type="http://schemas.openxmlformats.org/officeDocument/2006/relationships/image" Target="file:///C:\Users\a.dionysiou\AppData\Local\Temp\Temp1_00250269_e_20210902.zip.zip\41_e_dr\7_005b.tif" TargetMode="External"/><Relationship Id="rId319" Type="http://schemas.openxmlformats.org/officeDocument/2006/relationships/image" Target="file:///C:\Users\a.dionysiou\AppData\Local\Temp\Temp1_00250269_e_20210902.zip.zip\41_e_dr\8_019d.tif" TargetMode="External"/><Relationship Id="rId470" Type="http://schemas.openxmlformats.org/officeDocument/2006/relationships/image" Target="media/image226.png"/><Relationship Id="rId526" Type="http://schemas.openxmlformats.org/officeDocument/2006/relationships/image" Target="media/image254.png"/><Relationship Id="rId58" Type="http://schemas.openxmlformats.org/officeDocument/2006/relationships/image" Target="media/image20.wmf"/><Relationship Id="rId123" Type="http://schemas.openxmlformats.org/officeDocument/2006/relationships/oleObject" Target="embeddings/oleObject52.bin"/><Relationship Id="rId330" Type="http://schemas.openxmlformats.org/officeDocument/2006/relationships/image" Target="media/image156.png"/><Relationship Id="rId568" Type="http://schemas.openxmlformats.org/officeDocument/2006/relationships/image" Target="media/image275.wmf"/><Relationship Id="rId165" Type="http://schemas.openxmlformats.org/officeDocument/2006/relationships/oleObject" Target="embeddings/oleObject73.bin"/><Relationship Id="rId372" Type="http://schemas.openxmlformats.org/officeDocument/2006/relationships/image" Target="media/image177.png"/><Relationship Id="rId428" Type="http://schemas.openxmlformats.org/officeDocument/2006/relationships/image" Target="media/image205.png"/><Relationship Id="rId635" Type="http://schemas.openxmlformats.org/officeDocument/2006/relationships/image" Target="file:///C:\Users\a.dionysiou\AppData\Local\Temp\Temp1_00250269_e_20210902.zip.zip\41_e_dr\l002.tif" TargetMode="External"/><Relationship Id="rId232" Type="http://schemas.openxmlformats.org/officeDocument/2006/relationships/image" Target="media/image107.png"/><Relationship Id="rId274" Type="http://schemas.openxmlformats.org/officeDocument/2006/relationships/image" Target="media/image128.png"/><Relationship Id="rId481" Type="http://schemas.openxmlformats.org/officeDocument/2006/relationships/image" Target="file:///C:\Users\a.dionysiou\AppData\Local\Temp\Temp1_00250269_e_20210902.zip.zip\41_e_dr\12_002a.tif" TargetMode="External"/><Relationship Id="rId27" Type="http://schemas.openxmlformats.org/officeDocument/2006/relationships/oleObject" Target="embeddings/oleObject4.bin"/><Relationship Id="rId69" Type="http://schemas.openxmlformats.org/officeDocument/2006/relationships/oleObject" Target="embeddings/oleObject25.bin"/><Relationship Id="rId134" Type="http://schemas.openxmlformats.org/officeDocument/2006/relationships/image" Target="media/image58.wmf"/><Relationship Id="rId537" Type="http://schemas.openxmlformats.org/officeDocument/2006/relationships/image" Target="file:///C:\Users\a.dionysiou\AppData\Local\Temp\Temp1_00250269_e_20210902.zip.zip\41_e_dr\13_004a.tif" TargetMode="External"/><Relationship Id="rId579" Type="http://schemas.openxmlformats.org/officeDocument/2006/relationships/image" Target="file:///C:\Users\a.dionysiou\AppData\Local\Temp\Temp1_00250269_e_20210902.zip.zip\41_e_dr\d002.tif" TargetMode="External"/><Relationship Id="rId80" Type="http://schemas.openxmlformats.org/officeDocument/2006/relationships/image" Target="media/image31.wmf"/><Relationship Id="rId176" Type="http://schemas.openxmlformats.org/officeDocument/2006/relationships/image" Target="media/image79.wmf"/><Relationship Id="rId341" Type="http://schemas.openxmlformats.org/officeDocument/2006/relationships/image" Target="file:///C:\Users\a.dionysiou\AppData\Local\Temp\Temp1_00250269_e_20210902.zip.zip\41_e_dr\8_025b.tif" TargetMode="External"/><Relationship Id="rId383" Type="http://schemas.openxmlformats.org/officeDocument/2006/relationships/image" Target="file:///C:\Users\a.dionysiou\AppData\Local\Temp\Temp1_00250269_e_20210902.zip.zip\41_e_dr\9_001a.tif" TargetMode="External"/><Relationship Id="rId439" Type="http://schemas.openxmlformats.org/officeDocument/2006/relationships/image" Target="file:///C:\Users\a.dionysiou\AppData\Local\Temp\Temp1_00250269_e_20210902.zip.zip\41_e_dr\11_008a.tif" TargetMode="External"/><Relationship Id="rId590" Type="http://schemas.openxmlformats.org/officeDocument/2006/relationships/image" Target="media/image286.png"/><Relationship Id="rId604" Type="http://schemas.openxmlformats.org/officeDocument/2006/relationships/image" Target="media/image293.png"/><Relationship Id="rId201" Type="http://schemas.openxmlformats.org/officeDocument/2006/relationships/oleObject" Target="embeddings/oleObject91.bin"/><Relationship Id="rId243" Type="http://schemas.openxmlformats.org/officeDocument/2006/relationships/image" Target="file:///C:\Users\a.dionysiou\AppData\Local\Temp\Temp1_00250269_e_20210902.zip.zip\41_e_dr\7_001c1.tif" TargetMode="External"/><Relationship Id="rId285" Type="http://schemas.openxmlformats.org/officeDocument/2006/relationships/oleObject" Target="embeddings/oleObject110.bin"/><Relationship Id="rId450" Type="http://schemas.openxmlformats.org/officeDocument/2006/relationships/image" Target="media/image216.png"/><Relationship Id="rId506" Type="http://schemas.openxmlformats.org/officeDocument/2006/relationships/image" Target="media/image244.png"/><Relationship Id="rId38" Type="http://schemas.openxmlformats.org/officeDocument/2006/relationships/image" Target="media/image10.wmf"/><Relationship Id="rId103" Type="http://schemas.openxmlformats.org/officeDocument/2006/relationships/oleObject" Target="embeddings/oleObject42.bin"/><Relationship Id="rId310" Type="http://schemas.openxmlformats.org/officeDocument/2006/relationships/image" Target="media/image146.png"/><Relationship Id="rId492" Type="http://schemas.openxmlformats.org/officeDocument/2006/relationships/image" Target="media/image237.png"/><Relationship Id="rId548" Type="http://schemas.openxmlformats.org/officeDocument/2006/relationships/image" Target="media/image265.png"/><Relationship Id="rId91" Type="http://schemas.openxmlformats.org/officeDocument/2006/relationships/oleObject" Target="embeddings/oleObject36.bin"/><Relationship Id="rId145" Type="http://schemas.openxmlformats.org/officeDocument/2006/relationships/oleObject" Target="embeddings/oleObject63.bin"/><Relationship Id="rId187" Type="http://schemas.openxmlformats.org/officeDocument/2006/relationships/oleObject" Target="embeddings/oleObject84.bin"/><Relationship Id="rId352" Type="http://schemas.openxmlformats.org/officeDocument/2006/relationships/image" Target="media/image167.png"/><Relationship Id="rId394" Type="http://schemas.openxmlformats.org/officeDocument/2006/relationships/image" Target="media/image188.png"/><Relationship Id="rId408" Type="http://schemas.openxmlformats.org/officeDocument/2006/relationships/image" Target="media/image195.png"/><Relationship Id="rId615" Type="http://schemas.openxmlformats.org/officeDocument/2006/relationships/image" Target="file:///C:\Users\a.dionysiou\AppData\Local\Temp\Temp1_00250269_e_20210902.zip.zip\41_e_dr\j009.tif" TargetMode="External"/><Relationship Id="rId212" Type="http://schemas.openxmlformats.org/officeDocument/2006/relationships/image" Target="media/image97.wmf"/><Relationship Id="rId254" Type="http://schemas.openxmlformats.org/officeDocument/2006/relationships/image" Target="media/image118.wmf"/><Relationship Id="rId49" Type="http://schemas.openxmlformats.org/officeDocument/2006/relationships/oleObject" Target="embeddings/oleObject15.bin"/><Relationship Id="rId114" Type="http://schemas.openxmlformats.org/officeDocument/2006/relationships/image" Target="media/image48.wmf"/><Relationship Id="rId296" Type="http://schemas.openxmlformats.org/officeDocument/2006/relationships/image" Target="media/image139.png"/><Relationship Id="rId461" Type="http://schemas.openxmlformats.org/officeDocument/2006/relationships/image" Target="file:///C:\Users\a.dionysiou\AppData\Local\Temp\Temp1_00250269_e_20210902.zip.zip\41_e_dr\t11_3_005.tif" TargetMode="External"/><Relationship Id="rId517" Type="http://schemas.openxmlformats.org/officeDocument/2006/relationships/image" Target="file:///C:\Users\a.dionysiou\AppData\Local\Temp\Temp1_00250269_e_20210902.zip.zip\41_e_dr\12_009a.tif" TargetMode="External"/><Relationship Id="rId559" Type="http://schemas.openxmlformats.org/officeDocument/2006/relationships/image" Target="file:///C:\Users\a.dionysiou\AppData\Local\Temp\Temp1_00250269_e_20210902.zip.zip\41_e_dr\t14_1_001.tif" TargetMode="External"/><Relationship Id="rId60" Type="http://schemas.openxmlformats.org/officeDocument/2006/relationships/image" Target="media/image21.wmf"/><Relationship Id="rId156" Type="http://schemas.openxmlformats.org/officeDocument/2006/relationships/image" Target="media/image69.wmf"/><Relationship Id="rId198" Type="http://schemas.openxmlformats.org/officeDocument/2006/relationships/image" Target="media/image90.wmf"/><Relationship Id="rId321" Type="http://schemas.openxmlformats.org/officeDocument/2006/relationships/image" Target="file:///C:\Users\a.dionysiou\AppData\Local\Temp\Temp1_00250269_e_20210902.zip.zip\41_e_dr\8_019e.tif" TargetMode="External"/><Relationship Id="rId363" Type="http://schemas.openxmlformats.org/officeDocument/2006/relationships/image" Target="file:///C:\Users\a.dionysiou\AppData\Local\Temp\Temp1_00250269_e_20210902.zip.zip\41_e_dr\8_029c.tif" TargetMode="External"/><Relationship Id="rId419" Type="http://schemas.openxmlformats.org/officeDocument/2006/relationships/image" Target="file:///C:\Users\a.dionysiou\AppData\Local\Temp\Temp1_00250269_e_20210902.zip.zip\41_e_dr\11_002c.tif" TargetMode="External"/><Relationship Id="rId570" Type="http://schemas.openxmlformats.org/officeDocument/2006/relationships/image" Target="media/image276.wmf"/><Relationship Id="rId626" Type="http://schemas.openxmlformats.org/officeDocument/2006/relationships/image" Target="media/image304.png"/><Relationship Id="rId223" Type="http://schemas.openxmlformats.org/officeDocument/2006/relationships/oleObject" Target="embeddings/oleObject102.bin"/><Relationship Id="rId430" Type="http://schemas.openxmlformats.org/officeDocument/2006/relationships/image" Target="media/image206.png"/><Relationship Id="rId18" Type="http://schemas.openxmlformats.org/officeDocument/2006/relationships/footer" Target="footer4.xml"/><Relationship Id="rId265" Type="http://schemas.openxmlformats.org/officeDocument/2006/relationships/image" Target="file:///C:\Users\a.dionysiou\AppData\Local\Temp\Temp1_00250269_e_20210902.zip.zip\41_e_dr\8_001.tif" TargetMode="External"/><Relationship Id="rId472" Type="http://schemas.openxmlformats.org/officeDocument/2006/relationships/image" Target="media/image227.png"/><Relationship Id="rId528" Type="http://schemas.openxmlformats.org/officeDocument/2006/relationships/image" Target="media/image255.png"/><Relationship Id="rId125" Type="http://schemas.openxmlformats.org/officeDocument/2006/relationships/oleObject" Target="embeddings/oleObject53.bin"/><Relationship Id="rId167" Type="http://schemas.openxmlformats.org/officeDocument/2006/relationships/oleObject" Target="embeddings/oleObject74.bin"/><Relationship Id="rId332" Type="http://schemas.openxmlformats.org/officeDocument/2006/relationships/image" Target="media/image157.png"/><Relationship Id="rId374" Type="http://schemas.openxmlformats.org/officeDocument/2006/relationships/image" Target="media/image178.png"/><Relationship Id="rId581" Type="http://schemas.openxmlformats.org/officeDocument/2006/relationships/image" Target="file:///C:\Users\a.dionysiou\AppData\Local\Temp\Temp1_00250269_e_20210902.zip.zip\41_e_dr\e001.tif" TargetMode="External"/><Relationship Id="rId71" Type="http://schemas.openxmlformats.org/officeDocument/2006/relationships/oleObject" Target="embeddings/oleObject26.bin"/><Relationship Id="rId234" Type="http://schemas.openxmlformats.org/officeDocument/2006/relationships/image" Target="media/image108.png"/><Relationship Id="rId637" Type="http://schemas.openxmlformats.org/officeDocument/2006/relationships/image" Target="file:///C:\Users\a.dionysiou\AppData\Local\Temp\Temp1_00250269_e_20210902.zip.zip\41_e_dr\l003a.tif" TargetMode="External"/><Relationship Id="rId2" Type="http://schemas.openxmlformats.org/officeDocument/2006/relationships/customXml" Target="../customXml/item2.xml"/><Relationship Id="rId29" Type="http://schemas.openxmlformats.org/officeDocument/2006/relationships/oleObject" Target="embeddings/oleObject5.bin"/><Relationship Id="rId276" Type="http://schemas.openxmlformats.org/officeDocument/2006/relationships/image" Target="media/image129.png"/><Relationship Id="rId441" Type="http://schemas.openxmlformats.org/officeDocument/2006/relationships/image" Target="file:///C:\Users\a.dionysiou\AppData\Local\Temp\Temp1_00250269_e_20210902.zip.zip\41_e_dr\11_008b.tif" TargetMode="External"/><Relationship Id="rId483" Type="http://schemas.openxmlformats.org/officeDocument/2006/relationships/image" Target="file:///C:\Users\a.dionysiou\AppData\Local\Temp\Temp1_00250269_e_20210902.zip.zip\41_e_dr\12_002b.tif" TargetMode="External"/><Relationship Id="rId539" Type="http://schemas.openxmlformats.org/officeDocument/2006/relationships/image" Target="file:///C:\Users\a.dionysiou\AppData\Local\Temp\Temp1_00250269_e_20210902.zip.zip\41_e_dr\13_004b.tif" TargetMode="External"/><Relationship Id="rId40" Type="http://schemas.openxmlformats.org/officeDocument/2006/relationships/image" Target="media/image11.wmf"/><Relationship Id="rId136" Type="http://schemas.openxmlformats.org/officeDocument/2006/relationships/image" Target="media/image59.wmf"/><Relationship Id="rId178" Type="http://schemas.openxmlformats.org/officeDocument/2006/relationships/image" Target="media/image80.wmf"/><Relationship Id="rId301" Type="http://schemas.openxmlformats.org/officeDocument/2006/relationships/image" Target="file:///C:\Users\a.dionysiou\AppData\Local\Temp\Temp1_00250269_e_20210902.zip.zip\41_e_dr\8_015a.tif" TargetMode="External"/><Relationship Id="rId343" Type="http://schemas.openxmlformats.org/officeDocument/2006/relationships/image" Target="file:///C:\Users\a.dionysiou\AppData\Local\Temp\Temp1_00250269_e_20210902.zip.zip\41_e_dr\8_025c.tif" TargetMode="External"/><Relationship Id="rId550" Type="http://schemas.openxmlformats.org/officeDocument/2006/relationships/image" Target="media/image266.png"/><Relationship Id="rId82" Type="http://schemas.openxmlformats.org/officeDocument/2006/relationships/image" Target="media/image32.wmf"/><Relationship Id="rId203" Type="http://schemas.openxmlformats.org/officeDocument/2006/relationships/oleObject" Target="embeddings/oleObject92.bin"/><Relationship Id="rId385" Type="http://schemas.openxmlformats.org/officeDocument/2006/relationships/image" Target="file:///C:\Users\a.dionysiou\AppData\Local\Temp\Temp1_00250269_e_20210902.zip.zip\41_e_dr\9_001b.tif" TargetMode="External"/><Relationship Id="rId592" Type="http://schemas.openxmlformats.org/officeDocument/2006/relationships/image" Target="media/image287.png"/><Relationship Id="rId606" Type="http://schemas.openxmlformats.org/officeDocument/2006/relationships/image" Target="media/image294.png"/><Relationship Id="rId245" Type="http://schemas.openxmlformats.org/officeDocument/2006/relationships/image" Target="file:///C:\Users\a.dionysiou\AppData\Local\Temp\Temp1_00250269_e_20210902.zip.zip\41_e_dr\7_001c2.tif" TargetMode="External"/><Relationship Id="rId287" Type="http://schemas.openxmlformats.org/officeDocument/2006/relationships/image" Target="file:///C:\Users\a.dionysiou\AppData\Local\Temp\Temp1_00250269_e_20210902.zip.zip\41_e_dr\8_008.tif" TargetMode="External"/><Relationship Id="rId410" Type="http://schemas.openxmlformats.org/officeDocument/2006/relationships/image" Target="media/image196.png"/><Relationship Id="rId452" Type="http://schemas.openxmlformats.org/officeDocument/2006/relationships/image" Target="media/image217.png"/><Relationship Id="rId494" Type="http://schemas.openxmlformats.org/officeDocument/2006/relationships/image" Target="media/image238.png"/><Relationship Id="rId508" Type="http://schemas.openxmlformats.org/officeDocument/2006/relationships/image" Target="media/image245.png"/><Relationship Id="rId105" Type="http://schemas.openxmlformats.org/officeDocument/2006/relationships/oleObject" Target="embeddings/oleObject43.bin"/><Relationship Id="rId147" Type="http://schemas.openxmlformats.org/officeDocument/2006/relationships/oleObject" Target="embeddings/oleObject64.bin"/><Relationship Id="rId312" Type="http://schemas.openxmlformats.org/officeDocument/2006/relationships/image" Target="media/image147.png"/><Relationship Id="rId354" Type="http://schemas.openxmlformats.org/officeDocument/2006/relationships/image" Target="media/image168.png"/><Relationship Id="rId51" Type="http://schemas.openxmlformats.org/officeDocument/2006/relationships/oleObject" Target="embeddings/oleObject16.bin"/><Relationship Id="rId93" Type="http://schemas.openxmlformats.org/officeDocument/2006/relationships/oleObject" Target="embeddings/oleObject37.bin"/><Relationship Id="rId189" Type="http://schemas.openxmlformats.org/officeDocument/2006/relationships/oleObject" Target="embeddings/oleObject85.bin"/><Relationship Id="rId396" Type="http://schemas.openxmlformats.org/officeDocument/2006/relationships/image" Target="media/image189.png"/><Relationship Id="rId561" Type="http://schemas.openxmlformats.org/officeDocument/2006/relationships/image" Target="file:///C:\Users\a.dionysiou\AppData\Local\Temp\Temp1_00250269_e_20210902.zip.zip\41_e_dr\t14_1_002.tif" TargetMode="External"/><Relationship Id="rId617" Type="http://schemas.openxmlformats.org/officeDocument/2006/relationships/image" Target="file:///C:\Users\a.dionysiou\AppData\Local\Temp\Temp1_00250269_e_20210902.zip.zip\41_e_dr\k001a.tif" TargetMode="External"/><Relationship Id="rId214" Type="http://schemas.openxmlformats.org/officeDocument/2006/relationships/image" Target="media/image98.wmf"/><Relationship Id="rId256" Type="http://schemas.openxmlformats.org/officeDocument/2006/relationships/image" Target="media/image119.png"/><Relationship Id="rId298" Type="http://schemas.openxmlformats.org/officeDocument/2006/relationships/image" Target="media/image140.png"/><Relationship Id="rId421" Type="http://schemas.openxmlformats.org/officeDocument/2006/relationships/image" Target="file:///C:\Users\a.dionysiou\AppData\Local\Temp\Temp1_00250269_e_20210902.zip.zip\41_e_dr\11_002f.tif" TargetMode="External"/><Relationship Id="rId463" Type="http://schemas.openxmlformats.org/officeDocument/2006/relationships/image" Target="file:///C:\Users\a.dionysiou\AppData\Local\Temp\Temp1_00250269_e_20210902.zip.zip\41_e_dr\t11_3_006.tif" TargetMode="External"/><Relationship Id="rId519" Type="http://schemas.openxmlformats.org/officeDocument/2006/relationships/image" Target="file:///C:\Users\a.dionysiou\AppData\Local\Temp\Temp1_00250269_e_20210902.zip.zip\41_e_dr\12_009b.tif" TargetMode="External"/><Relationship Id="rId116" Type="http://schemas.openxmlformats.org/officeDocument/2006/relationships/image" Target="media/image49.wmf"/><Relationship Id="rId158" Type="http://schemas.openxmlformats.org/officeDocument/2006/relationships/image" Target="media/image70.wmf"/><Relationship Id="rId323" Type="http://schemas.openxmlformats.org/officeDocument/2006/relationships/image" Target="file:///C:\Users\a.dionysiou\AppData\Local\Temp\Temp1_00250269_e_20210902.zip.zip\41_e_dr\8_020a.tif" TargetMode="External"/><Relationship Id="rId530" Type="http://schemas.openxmlformats.org/officeDocument/2006/relationships/image" Target="media/image256.png"/><Relationship Id="rId20" Type="http://schemas.openxmlformats.org/officeDocument/2006/relationships/image" Target="media/image1.wmf"/><Relationship Id="rId62" Type="http://schemas.openxmlformats.org/officeDocument/2006/relationships/image" Target="media/image22.wmf"/><Relationship Id="rId365" Type="http://schemas.openxmlformats.org/officeDocument/2006/relationships/image" Target="file:///C:\Users\a.dionysiou\AppData\Local\Temp\Temp1_00250269_e_20210902.zip.zip\41_e_dr\8_029d.tif" TargetMode="External"/><Relationship Id="rId572" Type="http://schemas.openxmlformats.org/officeDocument/2006/relationships/image" Target="media/image277.wmf"/><Relationship Id="rId628" Type="http://schemas.openxmlformats.org/officeDocument/2006/relationships/image" Target="media/image305.png"/><Relationship Id="rId225" Type="http://schemas.openxmlformats.org/officeDocument/2006/relationships/oleObject" Target="embeddings/oleObject103.bin"/><Relationship Id="rId267" Type="http://schemas.openxmlformats.org/officeDocument/2006/relationships/image" Target="file:///C:\Users\a.dionysiou\AppData\Local\Temp\Temp1_00250269_e_20210902.zip.zip\41_e_dr\8_002.tif" TargetMode="External"/><Relationship Id="rId432" Type="http://schemas.openxmlformats.org/officeDocument/2006/relationships/image" Target="media/image207.png"/><Relationship Id="rId474" Type="http://schemas.openxmlformats.org/officeDocument/2006/relationships/image" Target="media/image228.png"/><Relationship Id="rId127" Type="http://schemas.openxmlformats.org/officeDocument/2006/relationships/oleObject" Target="embeddings/oleObject54.bin"/><Relationship Id="rId31" Type="http://schemas.openxmlformats.org/officeDocument/2006/relationships/oleObject" Target="embeddings/oleObject6.bin"/><Relationship Id="rId73" Type="http://schemas.openxmlformats.org/officeDocument/2006/relationships/oleObject" Target="embeddings/oleObject27.bin"/><Relationship Id="rId169" Type="http://schemas.openxmlformats.org/officeDocument/2006/relationships/oleObject" Target="embeddings/oleObject75.bin"/><Relationship Id="rId334" Type="http://schemas.openxmlformats.org/officeDocument/2006/relationships/image" Target="media/image158.png"/><Relationship Id="rId376" Type="http://schemas.openxmlformats.org/officeDocument/2006/relationships/image" Target="media/image179.png"/><Relationship Id="rId541" Type="http://schemas.openxmlformats.org/officeDocument/2006/relationships/image" Target="file:///C:\Users\a.dionysiou\AppData\Local\Temp\Temp1_00250269_e_20210902.zip.zip\41_e_dr\13_004c.tif" TargetMode="External"/><Relationship Id="rId583" Type="http://schemas.openxmlformats.org/officeDocument/2006/relationships/image" Target="file:///C:\Users\a.dionysiou\AppData\Local\Temp\Temp1_00250269_e_20210902.zip.zip\41_e_dr\e002.tif" TargetMode="External"/><Relationship Id="rId639" Type="http://schemas.openxmlformats.org/officeDocument/2006/relationships/image" Target="file:///C:\Users\a.dionysiou\AppData\Local\Temp\Temp1_00250269_e_20210902.zip.zip\41_e_dr\l003b.tif" TargetMode="External"/><Relationship Id="rId4" Type="http://schemas.openxmlformats.org/officeDocument/2006/relationships/customXml" Target="../customXml/item4.xml"/><Relationship Id="rId180" Type="http://schemas.openxmlformats.org/officeDocument/2006/relationships/image" Target="media/image81.wmf"/><Relationship Id="rId236" Type="http://schemas.openxmlformats.org/officeDocument/2006/relationships/image" Target="media/image109.png"/><Relationship Id="rId278" Type="http://schemas.openxmlformats.org/officeDocument/2006/relationships/image" Target="media/image130.png"/><Relationship Id="rId401" Type="http://schemas.openxmlformats.org/officeDocument/2006/relationships/image" Target="file:///C:\Users\a.dionysiou\AppData\Local\Temp\Temp1_00250269_e_20210902.zip.zip\41_e_dr\9_003c.tif" TargetMode="External"/><Relationship Id="rId443" Type="http://schemas.openxmlformats.org/officeDocument/2006/relationships/image" Target="file:///C:\Users\a.dionysiou\AppData\Local\Temp\Temp1_00250269_e_20210902.zip.zip\41_e_dr\11_009a.tif" TargetMode="External"/><Relationship Id="rId303" Type="http://schemas.openxmlformats.org/officeDocument/2006/relationships/image" Target="file:///C:\Users\a.dionysiou\AppData\Local\Temp\Temp1_00250269_e_20210902.zip.zip\41_e_dr\8_015b.tif" TargetMode="External"/><Relationship Id="rId485" Type="http://schemas.openxmlformats.org/officeDocument/2006/relationships/image" Target="file:///C:\Users\a.dionysiou\AppData\Local\Temp\Temp1_00250269_e_20210902.zip.zip\41_e_dr\12_002c.tif" TargetMode="External"/><Relationship Id="rId42" Type="http://schemas.openxmlformats.org/officeDocument/2006/relationships/image" Target="media/image12.wmf"/><Relationship Id="rId84" Type="http://schemas.openxmlformats.org/officeDocument/2006/relationships/image" Target="media/image33.wmf"/><Relationship Id="rId138" Type="http://schemas.openxmlformats.org/officeDocument/2006/relationships/image" Target="media/image60.wmf"/><Relationship Id="rId345" Type="http://schemas.openxmlformats.org/officeDocument/2006/relationships/image" Target="file:///C:\Users\a.dionysiou\AppData\Local\Temp\Temp1_00250269_e_20210902.zip.zip\41_e_dr\8_025d.tif" TargetMode="External"/><Relationship Id="rId387" Type="http://schemas.openxmlformats.org/officeDocument/2006/relationships/image" Target="file:///C:\Users\a.dionysiou\AppData\Local\Temp\Temp1_00250269_e_20210902.zip.zip\41_e_dr\9_001c.tif" TargetMode="External"/><Relationship Id="rId510" Type="http://schemas.openxmlformats.org/officeDocument/2006/relationships/image" Target="media/image246.png"/><Relationship Id="rId552" Type="http://schemas.openxmlformats.org/officeDocument/2006/relationships/image" Target="media/image267.png"/><Relationship Id="rId594" Type="http://schemas.openxmlformats.org/officeDocument/2006/relationships/image" Target="media/image288.wmf"/><Relationship Id="rId608" Type="http://schemas.openxmlformats.org/officeDocument/2006/relationships/image" Target="media/image295.png"/><Relationship Id="rId191" Type="http://schemas.openxmlformats.org/officeDocument/2006/relationships/oleObject" Target="embeddings/oleObject86.bin"/><Relationship Id="rId205" Type="http://schemas.openxmlformats.org/officeDocument/2006/relationships/oleObject" Target="embeddings/oleObject93.bin"/><Relationship Id="rId247" Type="http://schemas.openxmlformats.org/officeDocument/2006/relationships/image" Target="file:///C:\Users\a.dionysiou\AppData\Local\Temp\Temp1_00250269_e_20210902.zip.zip\41_e_dr\7_002.tif" TargetMode="External"/><Relationship Id="rId412" Type="http://schemas.openxmlformats.org/officeDocument/2006/relationships/image" Target="media/image197.png"/><Relationship Id="rId107" Type="http://schemas.openxmlformats.org/officeDocument/2006/relationships/oleObject" Target="embeddings/oleObject44.bin"/><Relationship Id="rId289" Type="http://schemas.openxmlformats.org/officeDocument/2006/relationships/image" Target="file:///C:\Users\a.dionysiou\AppData\Local\Temp\Temp1_00250269_e_20210902.zip.zip\41_e_dr\8_009.tif" TargetMode="External"/><Relationship Id="rId454" Type="http://schemas.openxmlformats.org/officeDocument/2006/relationships/image" Target="media/image218.png"/><Relationship Id="rId496" Type="http://schemas.openxmlformats.org/officeDocument/2006/relationships/image" Target="media/image239.png"/><Relationship Id="rId11" Type="http://schemas.openxmlformats.org/officeDocument/2006/relationships/header" Target="header1.xml"/><Relationship Id="rId53" Type="http://schemas.openxmlformats.org/officeDocument/2006/relationships/oleObject" Target="embeddings/oleObject17.bin"/><Relationship Id="rId149" Type="http://schemas.openxmlformats.org/officeDocument/2006/relationships/oleObject" Target="embeddings/oleObject65.bin"/><Relationship Id="rId314" Type="http://schemas.openxmlformats.org/officeDocument/2006/relationships/image" Target="media/image148.png"/><Relationship Id="rId356" Type="http://schemas.openxmlformats.org/officeDocument/2006/relationships/image" Target="media/image169.png"/><Relationship Id="rId398" Type="http://schemas.openxmlformats.org/officeDocument/2006/relationships/image" Target="media/image190.png"/><Relationship Id="rId521" Type="http://schemas.openxmlformats.org/officeDocument/2006/relationships/image" Target="file:///C:\Users\a.dionysiou\AppData\Local\Temp\Temp1_00250269_e_20210902.zip.zip\41_e_dr\12_010.tif" TargetMode="External"/><Relationship Id="rId563" Type="http://schemas.openxmlformats.org/officeDocument/2006/relationships/image" Target="file:///C:\Users\a.dionysiou\AppData\Local\Temp\Temp1_00250269_e_20210902.zip.zip\41_e_dr\14_002.tif" TargetMode="External"/><Relationship Id="rId619" Type="http://schemas.openxmlformats.org/officeDocument/2006/relationships/image" Target="file:///C:\Users\a.dionysiou\AppData\Local\Temp\Temp1_00250269_e_20210902.zip.zip\41_e_dr\k001b.tif" TargetMode="External"/><Relationship Id="rId95" Type="http://schemas.openxmlformats.org/officeDocument/2006/relationships/oleObject" Target="embeddings/oleObject38.bin"/><Relationship Id="rId160" Type="http://schemas.openxmlformats.org/officeDocument/2006/relationships/image" Target="media/image71.wmf"/><Relationship Id="rId216" Type="http://schemas.openxmlformats.org/officeDocument/2006/relationships/image" Target="media/image99.wmf"/><Relationship Id="rId423" Type="http://schemas.openxmlformats.org/officeDocument/2006/relationships/image" Target="file:///C:\Users\a.dionysiou\AppData\Local\Temp\Temp1_00250269_e_20210902.zip.zip\41_e_dr\11_003a.tif" TargetMode="External"/><Relationship Id="rId258" Type="http://schemas.openxmlformats.org/officeDocument/2006/relationships/image" Target="media/image120.png"/><Relationship Id="rId465" Type="http://schemas.openxmlformats.org/officeDocument/2006/relationships/image" Target="file:///C:\Users\a.dionysiou\AppData\Local\Temp\Temp1_00250269_e_20210902.zip.zip\41_e_dr\t11_3_007.tif" TargetMode="External"/><Relationship Id="rId630" Type="http://schemas.openxmlformats.org/officeDocument/2006/relationships/image" Target="media/image306.png"/><Relationship Id="rId22" Type="http://schemas.openxmlformats.org/officeDocument/2006/relationships/image" Target="media/image2.wmf"/><Relationship Id="rId64" Type="http://schemas.openxmlformats.org/officeDocument/2006/relationships/image" Target="media/image23.wmf"/><Relationship Id="rId118" Type="http://schemas.openxmlformats.org/officeDocument/2006/relationships/image" Target="media/image50.wmf"/><Relationship Id="rId325" Type="http://schemas.openxmlformats.org/officeDocument/2006/relationships/image" Target="file:///C:\Users\a.dionysiou\AppData\Local\Temp\Temp1_00250269_e_20210902.zip.zip\41_e_dr\8_020b.tif" TargetMode="External"/><Relationship Id="rId367" Type="http://schemas.openxmlformats.org/officeDocument/2006/relationships/image" Target="file:///C:\Users\a.dionysiou\AppData\Local\Temp\Temp1_00250269_e_20210902.zip.zip\41_e_dr\8_030ab.tif" TargetMode="External"/><Relationship Id="rId532" Type="http://schemas.openxmlformats.org/officeDocument/2006/relationships/image" Target="media/image257.wmf"/><Relationship Id="rId574" Type="http://schemas.openxmlformats.org/officeDocument/2006/relationships/image" Target="media/image278.png"/><Relationship Id="rId171" Type="http://schemas.openxmlformats.org/officeDocument/2006/relationships/oleObject" Target="embeddings/oleObject76.bin"/><Relationship Id="rId227" Type="http://schemas.openxmlformats.org/officeDocument/2006/relationships/oleObject" Target="embeddings/oleObject104.bin"/><Relationship Id="rId269" Type="http://schemas.openxmlformats.org/officeDocument/2006/relationships/image" Target="file:///C:\Users\a.dionysiou\AppData\Local\Temp\Temp1_00250269_e_20210902.zip.zip\41_e_dr\8_003.tif" TargetMode="External"/><Relationship Id="rId434" Type="http://schemas.openxmlformats.org/officeDocument/2006/relationships/image" Target="media/image208.png"/><Relationship Id="rId476" Type="http://schemas.openxmlformats.org/officeDocument/2006/relationships/image" Target="media/image229.png"/><Relationship Id="rId641" Type="http://schemas.openxmlformats.org/officeDocument/2006/relationships/image" Target="file:///C:\Users\a.dionysiou\AppData\Local\Temp\Temp1_00250269_e_20210902.zip.zip\41_e_dr\o001.tif" TargetMode="External"/><Relationship Id="rId33" Type="http://schemas.openxmlformats.org/officeDocument/2006/relationships/oleObject" Target="embeddings/oleObject7.bin"/><Relationship Id="rId129" Type="http://schemas.openxmlformats.org/officeDocument/2006/relationships/oleObject" Target="embeddings/oleObject55.bin"/><Relationship Id="rId280" Type="http://schemas.openxmlformats.org/officeDocument/2006/relationships/image" Target="media/image131.png"/><Relationship Id="rId336" Type="http://schemas.openxmlformats.org/officeDocument/2006/relationships/image" Target="media/image159.png"/><Relationship Id="rId501" Type="http://schemas.openxmlformats.org/officeDocument/2006/relationships/image" Target="file:///C:\Users\a.dionysiou\AppData\Local\Temp\Temp1_00250269_e_20210902.zip.zip\41_e_dr\12_005.tif" TargetMode="External"/><Relationship Id="rId543" Type="http://schemas.openxmlformats.org/officeDocument/2006/relationships/image" Target="file:///C:\Users\a.dionysiou\AppData\Local\Temp\Temp1_00250269_e_20210902.zip.zip\41_e_dr\13_005a.tif" TargetMode="External"/><Relationship Id="rId75" Type="http://schemas.openxmlformats.org/officeDocument/2006/relationships/oleObject" Target="embeddings/oleObject28.bin"/><Relationship Id="rId140" Type="http://schemas.openxmlformats.org/officeDocument/2006/relationships/image" Target="media/image61.wmf"/><Relationship Id="rId182" Type="http://schemas.openxmlformats.org/officeDocument/2006/relationships/image" Target="media/image82.wmf"/><Relationship Id="rId378" Type="http://schemas.openxmlformats.org/officeDocument/2006/relationships/image" Target="media/image180.png"/><Relationship Id="rId403" Type="http://schemas.openxmlformats.org/officeDocument/2006/relationships/image" Target="file:///C:\Users\a.dionysiou\AppData\Local\Temp\Temp1_00250269_e_20210902.zip.zip\41_e_dr\11_001a.tif" TargetMode="External"/><Relationship Id="rId585" Type="http://schemas.openxmlformats.org/officeDocument/2006/relationships/image" Target="file:///C:\Users\a.dionysiou\AppData\Local\Temp\Temp1_00250269_e_20210902.zip.zip\41_e_dr\g001.tif" TargetMode="External"/><Relationship Id="rId6" Type="http://schemas.openxmlformats.org/officeDocument/2006/relationships/styles" Target="styles.xml"/><Relationship Id="rId238" Type="http://schemas.openxmlformats.org/officeDocument/2006/relationships/image" Target="media/image110.png"/><Relationship Id="rId445" Type="http://schemas.openxmlformats.org/officeDocument/2006/relationships/image" Target="file:///C:\Users\a.dionysiou\AppData\Local\Temp\Temp1_00250269_e_20210902.zip.zip\41_e_dr\11_009b.tif" TargetMode="External"/><Relationship Id="rId487" Type="http://schemas.openxmlformats.org/officeDocument/2006/relationships/image" Target="file:///C:\Users\a.dionysiou\AppData\Local\Temp\Temp1_00250269_e_20210902.zip.zip\41_e_dr\12_002d.tif" TargetMode="External"/><Relationship Id="rId610" Type="http://schemas.openxmlformats.org/officeDocument/2006/relationships/image" Target="media/image296.png"/><Relationship Id="rId291" Type="http://schemas.openxmlformats.org/officeDocument/2006/relationships/image" Target="file:///C:\Users\a.dionysiou\AppData\Local\Temp\Temp1_00250269_e_20210902.zip.zip\41_e_dr\8_010.tif" TargetMode="External"/><Relationship Id="rId305" Type="http://schemas.openxmlformats.org/officeDocument/2006/relationships/image" Target="file:///C:\Users\a.dionysiou\AppData\Local\Temp\Temp1_00250269_e_20210902.zip.zip\41_e_dr\8_015c.tif" TargetMode="External"/><Relationship Id="rId347" Type="http://schemas.openxmlformats.org/officeDocument/2006/relationships/oleObject" Target="embeddings/oleObject111.bin"/><Relationship Id="rId512" Type="http://schemas.openxmlformats.org/officeDocument/2006/relationships/image" Target="media/image247.png"/><Relationship Id="rId44" Type="http://schemas.openxmlformats.org/officeDocument/2006/relationships/image" Target="media/image13.wmf"/><Relationship Id="rId86" Type="http://schemas.openxmlformats.org/officeDocument/2006/relationships/image" Target="media/image34.wmf"/><Relationship Id="rId151" Type="http://schemas.openxmlformats.org/officeDocument/2006/relationships/oleObject" Target="embeddings/oleObject66.bin"/><Relationship Id="rId389" Type="http://schemas.openxmlformats.org/officeDocument/2006/relationships/image" Target="file:///C:\Users\a.dionysiou\AppData\Local\Temp\Temp1_00250269_e_20210902.zip.zip\41_e_dr\9_001d.tif" TargetMode="External"/><Relationship Id="rId554" Type="http://schemas.openxmlformats.org/officeDocument/2006/relationships/image" Target="media/image268.png"/><Relationship Id="rId596" Type="http://schemas.openxmlformats.org/officeDocument/2006/relationships/image" Target="media/image289.png"/><Relationship Id="rId193" Type="http://schemas.openxmlformats.org/officeDocument/2006/relationships/oleObject" Target="embeddings/oleObject87.bin"/><Relationship Id="rId207" Type="http://schemas.openxmlformats.org/officeDocument/2006/relationships/oleObject" Target="embeddings/oleObject94.bin"/><Relationship Id="rId249" Type="http://schemas.openxmlformats.org/officeDocument/2006/relationships/image" Target="file:///C:\Users\a.dionysiou\AppData\Local\Temp\Temp1_00250269_e_20210902.zip.zip\41_e_dr\7_003.tif" TargetMode="External"/><Relationship Id="rId414" Type="http://schemas.openxmlformats.org/officeDocument/2006/relationships/image" Target="media/image198.png"/><Relationship Id="rId456" Type="http://schemas.openxmlformats.org/officeDocument/2006/relationships/image" Target="media/image219.png"/><Relationship Id="rId498" Type="http://schemas.openxmlformats.org/officeDocument/2006/relationships/image" Target="media/image240.png"/><Relationship Id="rId621" Type="http://schemas.openxmlformats.org/officeDocument/2006/relationships/image" Target="file:///C:\Users\a.dionysiou\AppData\Local\Temp\Temp1_00250269_e_20210902.zip.zip\41_e_dr\k001_1.tif" TargetMode="External"/><Relationship Id="rId13" Type="http://schemas.openxmlformats.org/officeDocument/2006/relationships/footer" Target="footer2.xml"/><Relationship Id="rId109" Type="http://schemas.openxmlformats.org/officeDocument/2006/relationships/oleObject" Target="embeddings/oleObject45.bin"/><Relationship Id="rId260" Type="http://schemas.openxmlformats.org/officeDocument/2006/relationships/image" Target="media/image121.png"/><Relationship Id="rId316" Type="http://schemas.openxmlformats.org/officeDocument/2006/relationships/image" Target="media/image149.png"/><Relationship Id="rId523" Type="http://schemas.openxmlformats.org/officeDocument/2006/relationships/image" Target="file:///C:\Users\a.dionysiou\AppData\Local\Temp\Temp1_00250269_e_20210902.zip.zip\41_e_dr\12_011.tif" TargetMode="External"/><Relationship Id="rId55" Type="http://schemas.openxmlformats.org/officeDocument/2006/relationships/oleObject" Target="embeddings/oleObject18.bin"/><Relationship Id="rId97" Type="http://schemas.openxmlformats.org/officeDocument/2006/relationships/oleObject" Target="embeddings/oleObject39.bin"/><Relationship Id="rId120" Type="http://schemas.openxmlformats.org/officeDocument/2006/relationships/image" Target="media/image51.wmf"/><Relationship Id="rId358" Type="http://schemas.openxmlformats.org/officeDocument/2006/relationships/image" Target="media/image170.png"/><Relationship Id="rId565" Type="http://schemas.openxmlformats.org/officeDocument/2006/relationships/oleObject" Target="embeddings/oleObject114.bin"/><Relationship Id="rId162" Type="http://schemas.openxmlformats.org/officeDocument/2006/relationships/image" Target="media/image72.wmf"/><Relationship Id="rId218" Type="http://schemas.openxmlformats.org/officeDocument/2006/relationships/image" Target="media/image100.wmf"/><Relationship Id="rId425" Type="http://schemas.openxmlformats.org/officeDocument/2006/relationships/image" Target="file:///C:\Users\a.dionysiou\AppData\Local\Temp\Temp1_00250269_e_20210902.zip.zip\41_e_dr\11_003b.tif" TargetMode="External"/><Relationship Id="rId467" Type="http://schemas.openxmlformats.org/officeDocument/2006/relationships/image" Target="file:///C:\Users\a.dionysiou\AppData\Local\Temp\Temp1_00250269_e_20210902.zip.zip\41_e_dr\11_012.tif" TargetMode="External"/><Relationship Id="rId632" Type="http://schemas.openxmlformats.org/officeDocument/2006/relationships/image" Target="media/image307.png"/><Relationship Id="rId271" Type="http://schemas.openxmlformats.org/officeDocument/2006/relationships/image" Target="file:///C:\Users\a.dionysiou\AppData\Local\Temp\Temp1_00250269_e_20210902.zip.zip\41_e_dr\8_004a.tif" TargetMode="External"/><Relationship Id="rId24" Type="http://schemas.openxmlformats.org/officeDocument/2006/relationships/image" Target="media/image3.wmf"/><Relationship Id="rId66" Type="http://schemas.openxmlformats.org/officeDocument/2006/relationships/image" Target="media/image24.wmf"/><Relationship Id="rId131" Type="http://schemas.openxmlformats.org/officeDocument/2006/relationships/oleObject" Target="embeddings/oleObject56.bin"/><Relationship Id="rId327" Type="http://schemas.openxmlformats.org/officeDocument/2006/relationships/image" Target="file:///C:\Users\a.dionysiou\AppData\Local\Temp\Temp1_00250269_e_20210902.zip.zip\41_e_dr\8_021.tif" TargetMode="External"/><Relationship Id="rId369" Type="http://schemas.openxmlformats.org/officeDocument/2006/relationships/image" Target="file:///C:\Users\a.dionysiou\AppData\Local\Temp\Temp1_00250269_e_20210902.zip.zip\41_e_dr\8_030cd.tif" TargetMode="External"/><Relationship Id="rId534" Type="http://schemas.openxmlformats.org/officeDocument/2006/relationships/image" Target="media/image258.wmf"/><Relationship Id="rId576" Type="http://schemas.openxmlformats.org/officeDocument/2006/relationships/image" Target="media/image279.png"/><Relationship Id="rId173" Type="http://schemas.openxmlformats.org/officeDocument/2006/relationships/oleObject" Target="embeddings/oleObject77.bin"/><Relationship Id="rId229" Type="http://schemas.openxmlformats.org/officeDocument/2006/relationships/oleObject" Target="embeddings/oleObject105.bin"/><Relationship Id="rId380" Type="http://schemas.openxmlformats.org/officeDocument/2006/relationships/image" Target="media/image181.png"/><Relationship Id="rId436" Type="http://schemas.openxmlformats.org/officeDocument/2006/relationships/image" Target="media/image209.png"/><Relationship Id="rId601" Type="http://schemas.openxmlformats.org/officeDocument/2006/relationships/image" Target="file:///C:\Users\a.dionysiou\AppData\Local\Temp\Temp1_00250269_e_20210902.zip.zip\41_e_dr\j002b.tif" TargetMode="External"/><Relationship Id="rId643" Type="http://schemas.openxmlformats.org/officeDocument/2006/relationships/theme" Target="theme/theme1.xml"/><Relationship Id="rId240" Type="http://schemas.openxmlformats.org/officeDocument/2006/relationships/image" Target="media/image111.png"/><Relationship Id="rId478" Type="http://schemas.openxmlformats.org/officeDocument/2006/relationships/image" Target="media/image230.png"/><Relationship Id="rId35" Type="http://schemas.openxmlformats.org/officeDocument/2006/relationships/oleObject" Target="embeddings/oleObject8.bin"/><Relationship Id="rId77" Type="http://schemas.openxmlformats.org/officeDocument/2006/relationships/oleObject" Target="embeddings/oleObject29.bin"/><Relationship Id="rId100" Type="http://schemas.openxmlformats.org/officeDocument/2006/relationships/image" Target="media/image41.wmf"/><Relationship Id="rId282" Type="http://schemas.openxmlformats.org/officeDocument/2006/relationships/image" Target="media/image132.wmf"/><Relationship Id="rId338" Type="http://schemas.openxmlformats.org/officeDocument/2006/relationships/image" Target="media/image160.png"/><Relationship Id="rId503" Type="http://schemas.openxmlformats.org/officeDocument/2006/relationships/image" Target="file:///C:\Users\a.dionysiou\AppData\Local\Temp\Temp1_00250269_e_20210902.zip.zip\41_e_dr\12_006.tif" TargetMode="External"/><Relationship Id="rId545" Type="http://schemas.openxmlformats.org/officeDocument/2006/relationships/image" Target="file:///C:\Users\a.dionysiou\AppData\Local\Temp\Temp1_00250269_e_20210902.zip.zip\41_e_dr\13_005b.tif" TargetMode="External"/><Relationship Id="rId587" Type="http://schemas.openxmlformats.org/officeDocument/2006/relationships/image" Target="file:///C:\Users\a.dionysiou\AppData\Local\Temp\Temp1_00250269_e_20210902.zip.zip\41_e_dr\g002.tif" TargetMode="External"/><Relationship Id="rId8" Type="http://schemas.openxmlformats.org/officeDocument/2006/relationships/webSettings" Target="webSettings.xml"/><Relationship Id="rId142" Type="http://schemas.openxmlformats.org/officeDocument/2006/relationships/image" Target="media/image62.wmf"/><Relationship Id="rId184" Type="http://schemas.openxmlformats.org/officeDocument/2006/relationships/image" Target="media/image83.wmf"/><Relationship Id="rId391" Type="http://schemas.openxmlformats.org/officeDocument/2006/relationships/image" Target="file:///C:\Users\a.dionysiou\AppData\Local\Temp\Temp1_00250269_e_20210902.zip.zip\41_e_dr\9_001e.tif" TargetMode="External"/><Relationship Id="rId405" Type="http://schemas.openxmlformats.org/officeDocument/2006/relationships/image" Target="file:///C:\Users\a.dionysiou\AppData\Local\Temp\Temp1_00250269_e_20210902.zip.zip\41_e_dr\11_001b.tif" TargetMode="External"/><Relationship Id="rId447" Type="http://schemas.openxmlformats.org/officeDocument/2006/relationships/image" Target="file:///C:\Users\a.dionysiou\AppData\Local\Temp\Temp1_00250269_e_20210902.zip.zip\41_e_dr\11_010.tif" TargetMode="External"/><Relationship Id="rId612" Type="http://schemas.openxmlformats.org/officeDocument/2006/relationships/image" Target="media/image297.png"/><Relationship Id="rId251" Type="http://schemas.openxmlformats.org/officeDocument/2006/relationships/oleObject" Target="embeddings/oleObject106.bin"/><Relationship Id="rId489" Type="http://schemas.openxmlformats.org/officeDocument/2006/relationships/image" Target="file:///C:\Users\a.dionysiou\AppData\Local\Temp\Temp1_00250269_e_20210902.zip.zip\41_e_dr\12_002e.tif" TargetMode="External"/><Relationship Id="rId46" Type="http://schemas.openxmlformats.org/officeDocument/2006/relationships/image" Target="media/image14.wmf"/><Relationship Id="rId293" Type="http://schemas.openxmlformats.org/officeDocument/2006/relationships/image" Target="file:///C:\Users\a.dionysiou\AppData\Local\Temp\Temp1_00250269_e_20210902.zip.zip\41_e_dr\8_011.tif" TargetMode="External"/><Relationship Id="rId307" Type="http://schemas.openxmlformats.org/officeDocument/2006/relationships/image" Target="file:///C:\Users\a.dionysiou\AppData\Local\Temp\Temp1_00250269_e_20210902.zip.zip\41_e_dr\8_016.tif" TargetMode="External"/><Relationship Id="rId349" Type="http://schemas.openxmlformats.org/officeDocument/2006/relationships/image" Target="file:///C:\Users\a.dionysiou\AppData\Local\Temp\Temp1_00250269_e_20210902.zip.zip\41_e_dr\8_026a.tif" TargetMode="External"/><Relationship Id="rId514" Type="http://schemas.openxmlformats.org/officeDocument/2006/relationships/image" Target="media/image248.png"/><Relationship Id="rId556" Type="http://schemas.openxmlformats.org/officeDocument/2006/relationships/image" Target="media/image269.png"/><Relationship Id="rId88" Type="http://schemas.openxmlformats.org/officeDocument/2006/relationships/image" Target="media/image35.wmf"/><Relationship Id="rId111" Type="http://schemas.openxmlformats.org/officeDocument/2006/relationships/oleObject" Target="embeddings/oleObject46.bin"/><Relationship Id="rId153" Type="http://schemas.openxmlformats.org/officeDocument/2006/relationships/oleObject" Target="embeddings/oleObject67.bin"/><Relationship Id="rId195" Type="http://schemas.openxmlformats.org/officeDocument/2006/relationships/oleObject" Target="embeddings/oleObject88.bin"/><Relationship Id="rId209" Type="http://schemas.openxmlformats.org/officeDocument/2006/relationships/oleObject" Target="embeddings/oleObject95.bin"/><Relationship Id="rId360" Type="http://schemas.openxmlformats.org/officeDocument/2006/relationships/image" Target="media/image171.png"/><Relationship Id="rId416" Type="http://schemas.openxmlformats.org/officeDocument/2006/relationships/image" Target="media/image199.png"/><Relationship Id="rId598" Type="http://schemas.openxmlformats.org/officeDocument/2006/relationships/image" Target="media/image290.png"/><Relationship Id="rId220" Type="http://schemas.openxmlformats.org/officeDocument/2006/relationships/image" Target="media/image101.wmf"/><Relationship Id="rId458" Type="http://schemas.openxmlformats.org/officeDocument/2006/relationships/image" Target="media/image220.png"/><Relationship Id="rId623" Type="http://schemas.openxmlformats.org/officeDocument/2006/relationships/image" Target="file:///C:\Users\a.dionysiou\AppData\Local\Temp\Temp1_00250269_e_20210902.zip.zip\41_e_dr\k001_2.tif" TargetMode="External"/><Relationship Id="rId15" Type="http://schemas.openxmlformats.org/officeDocument/2006/relationships/footer" Target="footer3.xml"/><Relationship Id="rId57" Type="http://schemas.openxmlformats.org/officeDocument/2006/relationships/oleObject" Target="embeddings/oleObject19.bin"/><Relationship Id="rId262" Type="http://schemas.openxmlformats.org/officeDocument/2006/relationships/image" Target="media/image122.png"/><Relationship Id="rId318" Type="http://schemas.openxmlformats.org/officeDocument/2006/relationships/image" Target="media/image150.png"/><Relationship Id="rId525" Type="http://schemas.openxmlformats.org/officeDocument/2006/relationships/image" Target="file:///C:\Users\a.dionysiou\AppData\Local\Temp\Temp1_00250269_e_20210902.zip.zip\41_e_dr\12_012.tif" TargetMode="External"/><Relationship Id="rId567" Type="http://schemas.openxmlformats.org/officeDocument/2006/relationships/oleObject" Target="embeddings/oleObject115.bin"/><Relationship Id="rId99" Type="http://schemas.openxmlformats.org/officeDocument/2006/relationships/oleObject" Target="embeddings/oleObject40.bin"/><Relationship Id="rId122" Type="http://schemas.openxmlformats.org/officeDocument/2006/relationships/image" Target="media/image52.wmf"/><Relationship Id="rId164" Type="http://schemas.openxmlformats.org/officeDocument/2006/relationships/image" Target="media/image73.wmf"/><Relationship Id="rId371" Type="http://schemas.openxmlformats.org/officeDocument/2006/relationships/image" Target="file:///C:\Users\a.dionysiou\AppData\Local\Temp\Temp1_00250269_e_20210902.zip.zip\41_e_dr\8_031.tif" TargetMode="External"/><Relationship Id="rId427" Type="http://schemas.openxmlformats.org/officeDocument/2006/relationships/image" Target="file:///C:\Users\a.dionysiou\AppData\Local\Temp\Temp1_00250269_e_20210902.zip.zip\41_e_dr\11_003c.tif" TargetMode="External"/><Relationship Id="rId469" Type="http://schemas.openxmlformats.org/officeDocument/2006/relationships/image" Target="file:///C:\Users\a.dionysiou\AppData\Local\Temp\Temp1_00250269_e_20210902.zip.zip\41_e_dr\11_013.tif" TargetMode="External"/><Relationship Id="rId634" Type="http://schemas.openxmlformats.org/officeDocument/2006/relationships/image" Target="media/image308.png"/><Relationship Id="rId26" Type="http://schemas.openxmlformats.org/officeDocument/2006/relationships/image" Target="media/image4.wmf"/><Relationship Id="rId231" Type="http://schemas.openxmlformats.org/officeDocument/2006/relationships/image" Target="file:///C:\Users\a.dionysiou\AppData\Local\Temp\Temp1_00250269_e_20210902.zip.zip\41_e_dr\5_001.tif" TargetMode="External"/><Relationship Id="rId273" Type="http://schemas.openxmlformats.org/officeDocument/2006/relationships/image" Target="file:///C:\Users\a.dionysiou\AppData\Local\Temp\Temp1_00250269_e_20210902.zip.zip\41_e_dr\8_004b.tif" TargetMode="External"/><Relationship Id="rId329" Type="http://schemas.openxmlformats.org/officeDocument/2006/relationships/image" Target="file:///C:\Users\a.dionysiou\AppData\Local\Temp\Temp1_00250269_e_20210902.zip.zip\41_e_dr\8_022a.tif" TargetMode="External"/><Relationship Id="rId480" Type="http://schemas.openxmlformats.org/officeDocument/2006/relationships/image" Target="media/image231.png"/><Relationship Id="rId536" Type="http://schemas.openxmlformats.org/officeDocument/2006/relationships/image" Target="media/image259.png"/><Relationship Id="rId68" Type="http://schemas.openxmlformats.org/officeDocument/2006/relationships/image" Target="media/image25.wmf"/><Relationship Id="rId133" Type="http://schemas.openxmlformats.org/officeDocument/2006/relationships/oleObject" Target="embeddings/oleObject57.bin"/><Relationship Id="rId175" Type="http://schemas.openxmlformats.org/officeDocument/2006/relationships/oleObject" Target="embeddings/oleObject78.bin"/><Relationship Id="rId340" Type="http://schemas.openxmlformats.org/officeDocument/2006/relationships/image" Target="media/image161.png"/><Relationship Id="rId578" Type="http://schemas.openxmlformats.org/officeDocument/2006/relationships/image" Target="media/image280.png"/><Relationship Id="rId200" Type="http://schemas.openxmlformats.org/officeDocument/2006/relationships/image" Target="media/image91.wmf"/><Relationship Id="rId382" Type="http://schemas.openxmlformats.org/officeDocument/2006/relationships/image" Target="media/image182.png"/><Relationship Id="rId438" Type="http://schemas.openxmlformats.org/officeDocument/2006/relationships/image" Target="media/image210.png"/><Relationship Id="rId603" Type="http://schemas.openxmlformats.org/officeDocument/2006/relationships/image" Target="file:///C:\Users\a.dionysiou\AppData\Local\Temp\Temp1_00250269_e_20210902.zip.zip\41_e_dr\j003.tif" TargetMode="External"/><Relationship Id="rId242" Type="http://schemas.openxmlformats.org/officeDocument/2006/relationships/image" Target="media/image112.png"/><Relationship Id="rId284" Type="http://schemas.openxmlformats.org/officeDocument/2006/relationships/image" Target="media/image133.wmf"/><Relationship Id="rId491" Type="http://schemas.openxmlformats.org/officeDocument/2006/relationships/image" Target="file:///C:\Users\a.dionysiou\AppData\Local\Temp\Temp1_00250269_e_20210902.zip.zip\41_e_dr\12_002f.tif" TargetMode="External"/><Relationship Id="rId505" Type="http://schemas.openxmlformats.org/officeDocument/2006/relationships/image" Target="file:///C:\Users\a.dionysiou\AppData\Local\Temp\Temp1_00250269_e_20210902.zip.zip\41_e_dr\12_007a.tif" TargetMode="External"/><Relationship Id="rId37" Type="http://schemas.openxmlformats.org/officeDocument/2006/relationships/oleObject" Target="embeddings/oleObject9.bin"/><Relationship Id="rId79" Type="http://schemas.openxmlformats.org/officeDocument/2006/relationships/oleObject" Target="embeddings/oleObject30.bin"/><Relationship Id="rId102" Type="http://schemas.openxmlformats.org/officeDocument/2006/relationships/image" Target="media/image42.wmf"/><Relationship Id="rId144" Type="http://schemas.openxmlformats.org/officeDocument/2006/relationships/image" Target="media/image63.wmf"/><Relationship Id="rId547" Type="http://schemas.openxmlformats.org/officeDocument/2006/relationships/image" Target="file:///C:\Users\a.dionysiou\AppData\Local\Temp\Temp1_00250269_e_20210902.zip.zip\41_e_dr\13_006a.tif" TargetMode="External"/><Relationship Id="rId589" Type="http://schemas.openxmlformats.org/officeDocument/2006/relationships/image" Target="file:///C:\Users\a.dionysiou\AppData\Local\Temp\Temp1_00250269_e_20210902.zip.zip\41_e_dr\i001a.tif" TargetMode="External"/><Relationship Id="rId90" Type="http://schemas.openxmlformats.org/officeDocument/2006/relationships/image" Target="media/image36.wmf"/><Relationship Id="rId186" Type="http://schemas.openxmlformats.org/officeDocument/2006/relationships/image" Target="media/image84.wmf"/><Relationship Id="rId351" Type="http://schemas.openxmlformats.org/officeDocument/2006/relationships/image" Target="file:///C:\Users\a.dionysiou\AppData\Local\Temp\Temp1_00250269_e_20210902.zip.zip\41_e_dr\8_026b.tif" TargetMode="External"/><Relationship Id="rId393" Type="http://schemas.openxmlformats.org/officeDocument/2006/relationships/image" Target="file:///C:\Users\a.dionysiou\AppData\Local\Temp\Temp1_00250269_e_20210902.zip.zip\41_e_dr\9_001f.tif" TargetMode="External"/><Relationship Id="rId407" Type="http://schemas.openxmlformats.org/officeDocument/2006/relationships/image" Target="file:///C:\Users\a.dionysiou\AppData\Local\Temp\Temp1_00250269_e_20210902.zip.zip\41_e_dr\11_001c.tif" TargetMode="External"/><Relationship Id="rId449" Type="http://schemas.openxmlformats.org/officeDocument/2006/relationships/image" Target="file:///C:\Users\a.dionysiou\AppData\Local\Temp\Temp1_00250269_e_20210902.zip.zip\41_e_dr\11_011a.tif" TargetMode="External"/><Relationship Id="rId614" Type="http://schemas.openxmlformats.org/officeDocument/2006/relationships/image" Target="media/image298.png"/><Relationship Id="rId211" Type="http://schemas.openxmlformats.org/officeDocument/2006/relationships/oleObject" Target="embeddings/oleObject96.bin"/><Relationship Id="rId253" Type="http://schemas.openxmlformats.org/officeDocument/2006/relationships/oleObject" Target="embeddings/oleObject107.bin"/><Relationship Id="rId295" Type="http://schemas.openxmlformats.org/officeDocument/2006/relationships/image" Target="file:///C:\Users\a.dionysiou\AppData\Local\Temp\Temp1_00250269_e_20210902.zip.zip\41_e_dr\8_012.tif" TargetMode="External"/><Relationship Id="rId309" Type="http://schemas.openxmlformats.org/officeDocument/2006/relationships/image" Target="file:///C:\Users\a.dionysiou\AppData\Local\Temp\Temp1_00250269_e_20210902.zip.zip\41_e_dr\8_017.tif" TargetMode="External"/><Relationship Id="rId460" Type="http://schemas.openxmlformats.org/officeDocument/2006/relationships/image" Target="media/image221.png"/><Relationship Id="rId516" Type="http://schemas.openxmlformats.org/officeDocument/2006/relationships/image" Target="media/image249.png"/><Relationship Id="rId48" Type="http://schemas.openxmlformats.org/officeDocument/2006/relationships/image" Target="media/image15.wmf"/><Relationship Id="rId113" Type="http://schemas.openxmlformats.org/officeDocument/2006/relationships/oleObject" Target="embeddings/oleObject47.bin"/><Relationship Id="rId320" Type="http://schemas.openxmlformats.org/officeDocument/2006/relationships/image" Target="media/image151.png"/><Relationship Id="rId558" Type="http://schemas.openxmlformats.org/officeDocument/2006/relationships/image" Target="media/image270.png"/><Relationship Id="rId155" Type="http://schemas.openxmlformats.org/officeDocument/2006/relationships/oleObject" Target="embeddings/oleObject68.bin"/><Relationship Id="rId197" Type="http://schemas.openxmlformats.org/officeDocument/2006/relationships/oleObject" Target="embeddings/oleObject89.bin"/><Relationship Id="rId362" Type="http://schemas.openxmlformats.org/officeDocument/2006/relationships/image" Target="media/image172.png"/><Relationship Id="rId418" Type="http://schemas.openxmlformats.org/officeDocument/2006/relationships/image" Target="media/image200.png"/><Relationship Id="rId625" Type="http://schemas.openxmlformats.org/officeDocument/2006/relationships/image" Target="file:///C:\Users\a.dionysiou\AppData\Local\Temp\Temp1_00250269_e_20210902.zip.zip\41_e_dr\k002.tif" TargetMode="External"/><Relationship Id="rId222" Type="http://schemas.openxmlformats.org/officeDocument/2006/relationships/image" Target="media/image102.wmf"/><Relationship Id="rId264" Type="http://schemas.openxmlformats.org/officeDocument/2006/relationships/image" Target="media/image123.png"/><Relationship Id="rId471" Type="http://schemas.openxmlformats.org/officeDocument/2006/relationships/image" Target="file:///C:\Users\a.dionysiou\AppData\Local\Temp\Temp1_00250269_e_20210902.zip.zip\41_e_dr\11_014.tif" TargetMode="External"/><Relationship Id="rId17" Type="http://schemas.openxmlformats.org/officeDocument/2006/relationships/header" Target="header4.xml"/><Relationship Id="rId59" Type="http://schemas.openxmlformats.org/officeDocument/2006/relationships/oleObject" Target="embeddings/oleObject20.bin"/><Relationship Id="rId124" Type="http://schemas.openxmlformats.org/officeDocument/2006/relationships/image" Target="media/image53.wmf"/><Relationship Id="rId527" Type="http://schemas.openxmlformats.org/officeDocument/2006/relationships/image" Target="file:///C:\Users\a.dionysiou\AppData\Local\Temp\Temp1_00250269_e_20210902.zip.zip\41_e_dr\13_001.tif" TargetMode="External"/><Relationship Id="rId569" Type="http://schemas.openxmlformats.org/officeDocument/2006/relationships/oleObject" Target="embeddings/oleObject116.bin"/><Relationship Id="rId70" Type="http://schemas.openxmlformats.org/officeDocument/2006/relationships/image" Target="media/image26.wmf"/><Relationship Id="rId166" Type="http://schemas.openxmlformats.org/officeDocument/2006/relationships/image" Target="media/image74.wmf"/><Relationship Id="rId331" Type="http://schemas.openxmlformats.org/officeDocument/2006/relationships/image" Target="file:///C:\Users\a.dionysiou\AppData\Local\Temp\Temp1_00250269_e_20210902.zip.zip\41_e_dr\8_022b.tif" TargetMode="External"/><Relationship Id="rId373" Type="http://schemas.openxmlformats.org/officeDocument/2006/relationships/image" Target="file:///C:\Users\a.dionysiou\AppData\Local\Temp\Temp1_00250269_e_20210902.zip.zip\41_e_dr\8_032a.tif" TargetMode="External"/><Relationship Id="rId429" Type="http://schemas.openxmlformats.org/officeDocument/2006/relationships/image" Target="file:///C:\Users\a.dionysiou\AppData\Local\Temp\Temp1_00250269_e_20210902.zip.zip\41_e_dr\11_004.tif" TargetMode="External"/><Relationship Id="rId580" Type="http://schemas.openxmlformats.org/officeDocument/2006/relationships/image" Target="media/image281.png"/><Relationship Id="rId636" Type="http://schemas.openxmlformats.org/officeDocument/2006/relationships/image" Target="media/image309.png"/><Relationship Id="rId1" Type="http://schemas.openxmlformats.org/officeDocument/2006/relationships/customXml" Target="../customXml/item1.xml"/><Relationship Id="rId233" Type="http://schemas.openxmlformats.org/officeDocument/2006/relationships/image" Target="file:///C:\Users\a.dionysiou\AppData\Local\Temp\Temp1_00250269_e_20210902.zip.zip\41_e_dr\5_002.tif" TargetMode="External"/><Relationship Id="rId440" Type="http://schemas.openxmlformats.org/officeDocument/2006/relationships/image" Target="media/image211.png"/><Relationship Id="rId28" Type="http://schemas.openxmlformats.org/officeDocument/2006/relationships/image" Target="media/image5.wmf"/><Relationship Id="rId275" Type="http://schemas.openxmlformats.org/officeDocument/2006/relationships/image" Target="file:///C:\Users\a.dionysiou\AppData\Local\Temp\Temp1_00250269_e_20210902.zip.zip\41_e_dr\8_005.tif" TargetMode="External"/><Relationship Id="rId300" Type="http://schemas.openxmlformats.org/officeDocument/2006/relationships/image" Target="media/image141.png"/><Relationship Id="rId482" Type="http://schemas.openxmlformats.org/officeDocument/2006/relationships/image" Target="media/image232.png"/><Relationship Id="rId538" Type="http://schemas.openxmlformats.org/officeDocument/2006/relationships/image" Target="media/image260.png"/><Relationship Id="rId81" Type="http://schemas.openxmlformats.org/officeDocument/2006/relationships/oleObject" Target="embeddings/oleObject31.bin"/><Relationship Id="rId135" Type="http://schemas.openxmlformats.org/officeDocument/2006/relationships/oleObject" Target="embeddings/oleObject58.bin"/><Relationship Id="rId177" Type="http://schemas.openxmlformats.org/officeDocument/2006/relationships/oleObject" Target="embeddings/oleObject79.bin"/><Relationship Id="rId342" Type="http://schemas.openxmlformats.org/officeDocument/2006/relationships/image" Target="media/image162.png"/><Relationship Id="rId384" Type="http://schemas.openxmlformats.org/officeDocument/2006/relationships/image" Target="media/image183.png"/><Relationship Id="rId591" Type="http://schemas.openxmlformats.org/officeDocument/2006/relationships/image" Target="file:///C:\Users\a.dionysiou\AppData\Local\Temp\Temp1_00250269_e_20210902.zip.zip\41_e_dr\i001b.tif" TargetMode="External"/><Relationship Id="rId605" Type="http://schemas.openxmlformats.org/officeDocument/2006/relationships/image" Target="file:///C:\Users\a.dionysiou\AppData\Local\Temp\Temp1_00250269_e_20210902.zip.zip\41_e_dr\j004.tif" TargetMode="External"/><Relationship Id="rId202" Type="http://schemas.openxmlformats.org/officeDocument/2006/relationships/image" Target="media/image92.wmf"/><Relationship Id="rId244" Type="http://schemas.openxmlformats.org/officeDocument/2006/relationships/image" Target="media/image113.png"/><Relationship Id="rId39" Type="http://schemas.openxmlformats.org/officeDocument/2006/relationships/oleObject" Target="embeddings/oleObject10.bin"/><Relationship Id="rId286" Type="http://schemas.openxmlformats.org/officeDocument/2006/relationships/image" Target="media/image134.png"/><Relationship Id="rId451" Type="http://schemas.openxmlformats.org/officeDocument/2006/relationships/image" Target="file:///C:\Users\a.dionysiou\AppData\Local\Temp\Temp1_00250269_e_20210902.zip.zip\41_e_dr\11_011b.tif" TargetMode="External"/><Relationship Id="rId493" Type="http://schemas.openxmlformats.org/officeDocument/2006/relationships/image" Target="file:///C:\Users\a.dionysiou\AppData\Local\Temp\Temp1_00250269_e_20210902.zip.zip\41_e_dr\12_002g.tif" TargetMode="External"/><Relationship Id="rId507" Type="http://schemas.openxmlformats.org/officeDocument/2006/relationships/image" Target="file:///C:\Users\a.dionysiou\AppData\Local\Temp\Temp1_00250269_e_20210902.zip.zip\41_e_dr\12_007b.tif" TargetMode="External"/><Relationship Id="rId549" Type="http://schemas.openxmlformats.org/officeDocument/2006/relationships/image" Target="file:///C:\Users\a.dionysiou\AppData\Local\Temp\Temp1_00250269_e_20210902.zip.zip\41_e_dr\13_006b.tif" TargetMode="External"/><Relationship Id="rId50" Type="http://schemas.openxmlformats.org/officeDocument/2006/relationships/image" Target="media/image16.wmf"/><Relationship Id="rId104" Type="http://schemas.openxmlformats.org/officeDocument/2006/relationships/image" Target="media/image43.wmf"/><Relationship Id="rId146" Type="http://schemas.openxmlformats.org/officeDocument/2006/relationships/image" Target="media/image64.wmf"/><Relationship Id="rId188" Type="http://schemas.openxmlformats.org/officeDocument/2006/relationships/image" Target="media/image85.wmf"/><Relationship Id="rId311" Type="http://schemas.openxmlformats.org/officeDocument/2006/relationships/image" Target="file:///C:\Users\a.dionysiou\AppData\Local\Temp\Temp1_00250269_e_20210902.zip.zip\41_e_dr\8_018.tif" TargetMode="External"/><Relationship Id="rId353" Type="http://schemas.openxmlformats.org/officeDocument/2006/relationships/image" Target="file:///C:\Users\a.dionysiou\AppData\Local\Temp\Temp1_00250269_e_20210902.zip.zip\41_e_dr\8_027a.tif" TargetMode="External"/><Relationship Id="rId395" Type="http://schemas.openxmlformats.org/officeDocument/2006/relationships/image" Target="file:///C:\Users\a.dionysiou\AppData\Local\Temp\Temp1_00250269_e_20210902.zip.zip\41_e_dr\9_002.tif" TargetMode="External"/><Relationship Id="rId409" Type="http://schemas.openxmlformats.org/officeDocument/2006/relationships/image" Target="file:///C:\Users\a.dionysiou\AppData\Local\Temp\Temp1_00250269_e_20210902.zip.zip\41_e_dr\11_001d.tif" TargetMode="External"/><Relationship Id="rId560" Type="http://schemas.openxmlformats.org/officeDocument/2006/relationships/image" Target="media/image271.png"/><Relationship Id="rId92" Type="http://schemas.openxmlformats.org/officeDocument/2006/relationships/image" Target="media/image37.wmf"/><Relationship Id="rId213" Type="http://schemas.openxmlformats.org/officeDocument/2006/relationships/oleObject" Target="embeddings/oleObject97.bin"/><Relationship Id="rId420" Type="http://schemas.openxmlformats.org/officeDocument/2006/relationships/image" Target="media/image201.png"/><Relationship Id="rId616" Type="http://schemas.openxmlformats.org/officeDocument/2006/relationships/image" Target="media/image299.png"/><Relationship Id="rId255" Type="http://schemas.openxmlformats.org/officeDocument/2006/relationships/oleObject" Target="embeddings/oleObject108.bin"/><Relationship Id="rId297" Type="http://schemas.openxmlformats.org/officeDocument/2006/relationships/image" Target="file:///C:\Users\a.dionysiou\AppData\Local\Temp\Temp1_00250269_e_20210902.zip.zip\41_e_dr\8_013.tif" TargetMode="External"/><Relationship Id="rId462" Type="http://schemas.openxmlformats.org/officeDocument/2006/relationships/image" Target="media/image222.png"/><Relationship Id="rId518" Type="http://schemas.openxmlformats.org/officeDocument/2006/relationships/image" Target="media/image250.png"/><Relationship Id="rId115" Type="http://schemas.openxmlformats.org/officeDocument/2006/relationships/oleObject" Target="embeddings/oleObject48.bin"/><Relationship Id="rId157" Type="http://schemas.openxmlformats.org/officeDocument/2006/relationships/oleObject" Target="embeddings/oleObject69.bin"/><Relationship Id="rId322" Type="http://schemas.openxmlformats.org/officeDocument/2006/relationships/image" Target="media/image152.png"/><Relationship Id="rId364" Type="http://schemas.openxmlformats.org/officeDocument/2006/relationships/image" Target="media/image173.png"/><Relationship Id="rId61" Type="http://schemas.openxmlformats.org/officeDocument/2006/relationships/oleObject" Target="embeddings/oleObject21.bin"/><Relationship Id="rId199" Type="http://schemas.openxmlformats.org/officeDocument/2006/relationships/oleObject" Target="embeddings/oleObject90.bin"/><Relationship Id="rId571" Type="http://schemas.openxmlformats.org/officeDocument/2006/relationships/oleObject" Target="embeddings/oleObject117.bin"/><Relationship Id="rId627" Type="http://schemas.openxmlformats.org/officeDocument/2006/relationships/image" Target="file:///C:\Users\a.dionysiou\AppData\Local\Temp\Temp1_00250269_e_20210902.zip.zip\41_e_dr\k003.tif" TargetMode="External"/><Relationship Id="rId19" Type="http://schemas.openxmlformats.org/officeDocument/2006/relationships/footer" Target="footer5.xml"/><Relationship Id="rId224" Type="http://schemas.openxmlformats.org/officeDocument/2006/relationships/image" Target="media/image103.wmf"/><Relationship Id="rId266" Type="http://schemas.openxmlformats.org/officeDocument/2006/relationships/image" Target="media/image124.png"/><Relationship Id="rId431" Type="http://schemas.openxmlformats.org/officeDocument/2006/relationships/image" Target="file:///C:\Users\a.dionysiou\AppData\Local\Temp\Temp1_00250269_e_20210902.zip.zip\41_e_dr\11_005.tif" TargetMode="External"/><Relationship Id="rId473" Type="http://schemas.openxmlformats.org/officeDocument/2006/relationships/image" Target="file:///C:\Users\a.dionysiou\AppData\Local\Temp\Temp1_00250269_e_20210902.zip.zip\41_e_dr\11_015.tif" TargetMode="External"/><Relationship Id="rId529" Type="http://schemas.openxmlformats.org/officeDocument/2006/relationships/image" Target="file:///C:\Users\a.dionysiou\AppData\Local\Temp\Temp1_00250269_e_20210902.zip.zip\41_e_dr\13_002.tif" TargetMode="External"/><Relationship Id="rId30" Type="http://schemas.openxmlformats.org/officeDocument/2006/relationships/image" Target="media/image6.wmf"/><Relationship Id="rId126" Type="http://schemas.openxmlformats.org/officeDocument/2006/relationships/image" Target="media/image54.wmf"/><Relationship Id="rId168" Type="http://schemas.openxmlformats.org/officeDocument/2006/relationships/image" Target="media/image75.wmf"/><Relationship Id="rId333" Type="http://schemas.openxmlformats.org/officeDocument/2006/relationships/image" Target="file:///C:\Users\a.dionysiou\AppData\Local\Temp\Temp1_00250269_e_20210902.zip.zip\41_e_dr\8_022c.tif" TargetMode="External"/><Relationship Id="rId540" Type="http://schemas.openxmlformats.org/officeDocument/2006/relationships/image" Target="media/image261.png"/><Relationship Id="rId72" Type="http://schemas.openxmlformats.org/officeDocument/2006/relationships/image" Target="media/image27.wmf"/><Relationship Id="rId375" Type="http://schemas.openxmlformats.org/officeDocument/2006/relationships/image" Target="file:///C:\Users\a.dionysiou\AppData\Local\Temp\Temp1_00250269_e_20210902.zip.zip\41_e_dr\8_032b.tif" TargetMode="External"/><Relationship Id="rId582" Type="http://schemas.openxmlformats.org/officeDocument/2006/relationships/image" Target="media/image282.png"/><Relationship Id="rId638" Type="http://schemas.openxmlformats.org/officeDocument/2006/relationships/image" Target="media/image310.png"/><Relationship Id="rId3" Type="http://schemas.openxmlformats.org/officeDocument/2006/relationships/customXml" Target="../customXml/item3.xml"/><Relationship Id="rId235" Type="http://schemas.openxmlformats.org/officeDocument/2006/relationships/image" Target="file:///C:\Users\a.dionysiou\AppData\Local\Temp\Temp1_00250269_e_20210902.zip.zip\41_e_dr\5_003.tif" TargetMode="External"/><Relationship Id="rId277" Type="http://schemas.openxmlformats.org/officeDocument/2006/relationships/image" Target="file:///C:\Users\a.dionysiou\AppData\Local\Temp\Temp1_00250269_e_20210902.zip.zip\41_e_dr\8_006a.tif" TargetMode="External"/><Relationship Id="rId400" Type="http://schemas.openxmlformats.org/officeDocument/2006/relationships/image" Target="media/image191.png"/><Relationship Id="rId442" Type="http://schemas.openxmlformats.org/officeDocument/2006/relationships/image" Target="media/image212.png"/><Relationship Id="rId484" Type="http://schemas.openxmlformats.org/officeDocument/2006/relationships/image" Target="media/image233.png"/><Relationship Id="rId137" Type="http://schemas.openxmlformats.org/officeDocument/2006/relationships/oleObject" Target="embeddings/oleObject59.bin"/><Relationship Id="rId302" Type="http://schemas.openxmlformats.org/officeDocument/2006/relationships/image" Target="media/image142.png"/><Relationship Id="rId344" Type="http://schemas.openxmlformats.org/officeDocument/2006/relationships/image" Target="media/image163.png"/><Relationship Id="rId41" Type="http://schemas.openxmlformats.org/officeDocument/2006/relationships/oleObject" Target="embeddings/oleObject11.bin"/><Relationship Id="rId83" Type="http://schemas.openxmlformats.org/officeDocument/2006/relationships/oleObject" Target="embeddings/oleObject32.bin"/><Relationship Id="rId179" Type="http://schemas.openxmlformats.org/officeDocument/2006/relationships/oleObject" Target="embeddings/oleObject80.bin"/><Relationship Id="rId386" Type="http://schemas.openxmlformats.org/officeDocument/2006/relationships/image" Target="media/image184.png"/><Relationship Id="rId551" Type="http://schemas.openxmlformats.org/officeDocument/2006/relationships/image" Target="file:///C:\Users\a.dionysiou\AppData\Local\Temp\Temp1_00250269_e_20210902.zip.zip\41_e_dr\13_007.tif" TargetMode="External"/><Relationship Id="rId593" Type="http://schemas.openxmlformats.org/officeDocument/2006/relationships/image" Target="file:///C:\Users\a.dionysiou\AppData\Local\Temp\Temp1_00250269_e_20210902.zip.zip\41_e_dr\i002.tif" TargetMode="External"/><Relationship Id="rId607" Type="http://schemas.openxmlformats.org/officeDocument/2006/relationships/image" Target="file:///C:\Users\a.dionysiou\AppData\Local\Temp\Temp1_00250269_e_20210902.zip.zip\41_e_dr\j005.tif" TargetMode="External"/><Relationship Id="rId190" Type="http://schemas.openxmlformats.org/officeDocument/2006/relationships/image" Target="media/image86.wmf"/><Relationship Id="rId204" Type="http://schemas.openxmlformats.org/officeDocument/2006/relationships/image" Target="media/image93.wmf"/><Relationship Id="rId246" Type="http://schemas.openxmlformats.org/officeDocument/2006/relationships/image" Target="media/image114.png"/><Relationship Id="rId288" Type="http://schemas.openxmlformats.org/officeDocument/2006/relationships/image" Target="media/image135.png"/><Relationship Id="rId411" Type="http://schemas.openxmlformats.org/officeDocument/2006/relationships/image" Target="file:///C:\Users\a.dionysiou\AppData\Local\Temp\Temp1_00250269_e_20210902.zip.zip\41_e_dr\11_002a.tif" TargetMode="External"/><Relationship Id="rId453" Type="http://schemas.openxmlformats.org/officeDocument/2006/relationships/image" Target="file:///C:\Users\a.dionysiou\AppData\Local\Temp\Temp1_00250269_e_20210902.zip.zip\41_e_dr\t11_3_001.tif" TargetMode="External"/><Relationship Id="rId509" Type="http://schemas.openxmlformats.org/officeDocument/2006/relationships/image" Target="file:///C:\Users\a.dionysiou\AppData\Local\Temp\Temp1_00250269_e_20210902.zip.zip\41_e_dr\12_007c.tif" TargetMode="External"/><Relationship Id="rId106" Type="http://schemas.openxmlformats.org/officeDocument/2006/relationships/image" Target="media/image44.wmf"/><Relationship Id="rId313" Type="http://schemas.openxmlformats.org/officeDocument/2006/relationships/image" Target="file:///C:\Users\a.dionysiou\AppData\Local\Temp\Temp1_00250269_e_20210902.zip.zip\41_e_dr\8_019a.tif" TargetMode="External"/><Relationship Id="rId495" Type="http://schemas.openxmlformats.org/officeDocument/2006/relationships/image" Target="file:///C:\Users\a.dionysiou\AppData\Local\Temp\Temp1_00250269_e_20210902.zip.zip\41_e_dr\12_002h.tif" TargetMode="External"/><Relationship Id="rId10" Type="http://schemas.openxmlformats.org/officeDocument/2006/relationships/endnotes" Target="endnotes.xml"/><Relationship Id="rId52" Type="http://schemas.openxmlformats.org/officeDocument/2006/relationships/image" Target="media/image17.wmf"/><Relationship Id="rId94" Type="http://schemas.openxmlformats.org/officeDocument/2006/relationships/image" Target="media/image38.wmf"/><Relationship Id="rId148" Type="http://schemas.openxmlformats.org/officeDocument/2006/relationships/image" Target="media/image65.wmf"/><Relationship Id="rId355" Type="http://schemas.openxmlformats.org/officeDocument/2006/relationships/image" Target="file:///C:\Users\a.dionysiou\AppData\Local\Temp\Temp1_00250269_e_20210902.zip.zip\41_e_dr\8_027b.tif" TargetMode="External"/><Relationship Id="rId397" Type="http://schemas.openxmlformats.org/officeDocument/2006/relationships/image" Target="file:///C:\Users\a.dionysiou\AppData\Local\Temp\Temp1_00250269_e_20210902.zip.zip\41_e_dr\9_003a.tif" TargetMode="External"/><Relationship Id="rId520" Type="http://schemas.openxmlformats.org/officeDocument/2006/relationships/image" Target="media/image251.png"/><Relationship Id="rId562" Type="http://schemas.openxmlformats.org/officeDocument/2006/relationships/image" Target="media/image272.png"/><Relationship Id="rId618" Type="http://schemas.openxmlformats.org/officeDocument/2006/relationships/image" Target="media/image300.png"/><Relationship Id="rId215" Type="http://schemas.openxmlformats.org/officeDocument/2006/relationships/oleObject" Target="embeddings/oleObject98.bin"/><Relationship Id="rId257" Type="http://schemas.openxmlformats.org/officeDocument/2006/relationships/image" Target="file:///C:\Users\a.dionysiou\AppData\Local\Temp\Temp1_00250269_e_20210902.zip.zip\41_e_dr\7_004a.tif" TargetMode="External"/><Relationship Id="rId422" Type="http://schemas.openxmlformats.org/officeDocument/2006/relationships/image" Target="media/image202.png"/><Relationship Id="rId464" Type="http://schemas.openxmlformats.org/officeDocument/2006/relationships/image" Target="media/image223.png"/><Relationship Id="rId299" Type="http://schemas.openxmlformats.org/officeDocument/2006/relationships/image" Target="file:///C:\Users\a.dionysiou\AppData\Local\Temp\Temp1_00250269_e_20210902.zip.zip\41_e_dr\8_014.tif" TargetMode="External"/><Relationship Id="rId63" Type="http://schemas.openxmlformats.org/officeDocument/2006/relationships/oleObject" Target="embeddings/oleObject22.bin"/><Relationship Id="rId159" Type="http://schemas.openxmlformats.org/officeDocument/2006/relationships/oleObject" Target="embeddings/oleObject70.bin"/><Relationship Id="rId366" Type="http://schemas.openxmlformats.org/officeDocument/2006/relationships/image" Target="media/image174.png"/><Relationship Id="rId573" Type="http://schemas.openxmlformats.org/officeDocument/2006/relationships/oleObject" Target="embeddings/oleObject118.bin"/><Relationship Id="rId226" Type="http://schemas.openxmlformats.org/officeDocument/2006/relationships/image" Target="media/image104.wmf"/><Relationship Id="rId433" Type="http://schemas.openxmlformats.org/officeDocument/2006/relationships/image" Target="file:///C:\Users\a.dionysiou\AppData\Local\Temp\Temp1_00250269_e_20210902.zip.zip\41_e_dr\11_006.tif" TargetMode="External"/><Relationship Id="rId640" Type="http://schemas.openxmlformats.org/officeDocument/2006/relationships/image" Target="media/image311.png"/><Relationship Id="rId74" Type="http://schemas.openxmlformats.org/officeDocument/2006/relationships/image" Target="media/image28.wmf"/><Relationship Id="rId377" Type="http://schemas.openxmlformats.org/officeDocument/2006/relationships/image" Target="file:///C:\Users\a.dionysiou\AppData\Local\Temp\Temp1_00250269_e_20210902.zip.zip\41_e_dr\8_032c.tif" TargetMode="External"/><Relationship Id="rId500" Type="http://schemas.openxmlformats.org/officeDocument/2006/relationships/image" Target="media/image241.png"/><Relationship Id="rId584" Type="http://schemas.openxmlformats.org/officeDocument/2006/relationships/image" Target="media/image283.png"/><Relationship Id="rId5" Type="http://schemas.openxmlformats.org/officeDocument/2006/relationships/numbering" Target="numbering.xml"/><Relationship Id="rId237" Type="http://schemas.openxmlformats.org/officeDocument/2006/relationships/image" Target="file:///C:\Users\a.dionysiou\AppData\Local\Temp\Temp1_00250269_e_20210902.zip.zip\41_e_dr\7_001a1.tif" TargetMode="External"/><Relationship Id="rId444" Type="http://schemas.openxmlformats.org/officeDocument/2006/relationships/image" Target="media/image213.png"/><Relationship Id="rId290" Type="http://schemas.openxmlformats.org/officeDocument/2006/relationships/image" Target="media/image136.png"/><Relationship Id="rId304" Type="http://schemas.openxmlformats.org/officeDocument/2006/relationships/image" Target="media/image143.png"/><Relationship Id="rId388" Type="http://schemas.openxmlformats.org/officeDocument/2006/relationships/image" Target="media/image185.png"/><Relationship Id="rId511" Type="http://schemas.openxmlformats.org/officeDocument/2006/relationships/image" Target="file:///C:\Users\a.dionysiou\AppData\Local\Temp\Temp1_00250269_e_20210902.zip.zip\41_e_dr\12_008a.tif" TargetMode="External"/><Relationship Id="rId609" Type="http://schemas.openxmlformats.org/officeDocument/2006/relationships/image" Target="file:///C:\Users\a.dionysiou\AppData\Local\Temp\Temp1_00250269_e_20210902.zip.zip\41_e_dr\j006.tif" TargetMode="External"/><Relationship Id="rId85" Type="http://schemas.openxmlformats.org/officeDocument/2006/relationships/oleObject" Target="embeddings/oleObject33.bin"/><Relationship Id="rId150" Type="http://schemas.openxmlformats.org/officeDocument/2006/relationships/image" Target="media/image66.wmf"/><Relationship Id="rId595" Type="http://schemas.openxmlformats.org/officeDocument/2006/relationships/oleObject" Target="embeddings/oleObject119.bin"/><Relationship Id="rId248" Type="http://schemas.openxmlformats.org/officeDocument/2006/relationships/image" Target="media/image115.png"/><Relationship Id="rId455" Type="http://schemas.openxmlformats.org/officeDocument/2006/relationships/image" Target="file:///C:\Users\a.dionysiou\AppData\Local\Temp\Temp1_00250269_e_20210902.zip.zip\41_e_dr\t11_3_002.tif" TargetMode="External"/><Relationship Id="rId12" Type="http://schemas.openxmlformats.org/officeDocument/2006/relationships/footer" Target="footer1.xml"/><Relationship Id="rId108" Type="http://schemas.openxmlformats.org/officeDocument/2006/relationships/image" Target="media/image45.wmf"/><Relationship Id="rId315" Type="http://schemas.openxmlformats.org/officeDocument/2006/relationships/image" Target="file:///C:\Users\a.dionysiou\AppData\Local\Temp\Temp1_00250269_e_20210902.zip.zip\41_e_dr\8_019b.tif" TargetMode="External"/><Relationship Id="rId522" Type="http://schemas.openxmlformats.org/officeDocument/2006/relationships/image" Target="media/image252.png"/><Relationship Id="rId96" Type="http://schemas.openxmlformats.org/officeDocument/2006/relationships/image" Target="media/image39.wmf"/><Relationship Id="rId161" Type="http://schemas.openxmlformats.org/officeDocument/2006/relationships/oleObject" Target="embeddings/oleObject71.bin"/><Relationship Id="rId399" Type="http://schemas.openxmlformats.org/officeDocument/2006/relationships/image" Target="file:///C:\Users\a.dionysiou\AppData\Local\Temp\Temp1_00250269_e_20210902.zip.zip\41_e_dr\9_003b.tif" TargetMode="External"/><Relationship Id="rId259" Type="http://schemas.openxmlformats.org/officeDocument/2006/relationships/image" Target="file:///C:\Users\a.dionysiou\AppData\Local\Temp\Temp1_00250269_e_20210902.zip.zip\41_e_dr\7_004b.tif" TargetMode="External"/><Relationship Id="rId466" Type="http://schemas.openxmlformats.org/officeDocument/2006/relationships/image" Target="media/image224.png"/><Relationship Id="rId23" Type="http://schemas.openxmlformats.org/officeDocument/2006/relationships/oleObject" Target="embeddings/oleObject2.bin"/><Relationship Id="rId119" Type="http://schemas.openxmlformats.org/officeDocument/2006/relationships/oleObject" Target="embeddings/oleObject50.bin"/><Relationship Id="rId326" Type="http://schemas.openxmlformats.org/officeDocument/2006/relationships/image" Target="media/image154.png"/><Relationship Id="rId533" Type="http://schemas.openxmlformats.org/officeDocument/2006/relationships/oleObject" Target="embeddings/oleObject112.bin"/><Relationship Id="rId172" Type="http://schemas.openxmlformats.org/officeDocument/2006/relationships/image" Target="media/image77.wmf"/><Relationship Id="rId477" Type="http://schemas.openxmlformats.org/officeDocument/2006/relationships/image" Target="file:///C:\Users\a.dionysiou\AppData\Local\Temp\Temp1_00250269_e_20210902.zip.zip\41_e_dr\11_017.tif" TargetMode="External"/><Relationship Id="rId600" Type="http://schemas.openxmlformats.org/officeDocument/2006/relationships/image" Target="media/image291.png"/><Relationship Id="rId337" Type="http://schemas.openxmlformats.org/officeDocument/2006/relationships/image" Target="file:///C:\Users\a.dionysiou\AppData\Local\Temp\Temp1_00250269_e_20210902.zip.zip\41_e_dr\8_024.tif" TargetMode="External"/><Relationship Id="rId34" Type="http://schemas.openxmlformats.org/officeDocument/2006/relationships/image" Target="media/image8.wmf"/><Relationship Id="rId544" Type="http://schemas.openxmlformats.org/officeDocument/2006/relationships/image" Target="media/image263.png"/><Relationship Id="rId183" Type="http://schemas.openxmlformats.org/officeDocument/2006/relationships/oleObject" Target="embeddings/oleObject82.bin"/><Relationship Id="rId390" Type="http://schemas.openxmlformats.org/officeDocument/2006/relationships/image" Target="media/image186.png"/><Relationship Id="rId404" Type="http://schemas.openxmlformats.org/officeDocument/2006/relationships/image" Target="media/image193.png"/><Relationship Id="rId611" Type="http://schemas.openxmlformats.org/officeDocument/2006/relationships/image" Target="file:///C:\Users\a.dionysiou\AppData\Local\Temp\Temp1_00250269_e_20210902.zip.zip\41_e_dr\j007.tif" TargetMode="External"/><Relationship Id="rId250" Type="http://schemas.openxmlformats.org/officeDocument/2006/relationships/image" Target="media/image116.wmf"/><Relationship Id="rId488" Type="http://schemas.openxmlformats.org/officeDocument/2006/relationships/image" Target="media/image235.png"/><Relationship Id="rId45" Type="http://schemas.openxmlformats.org/officeDocument/2006/relationships/oleObject" Target="embeddings/oleObject13.bin"/><Relationship Id="rId110" Type="http://schemas.openxmlformats.org/officeDocument/2006/relationships/image" Target="media/image46.wmf"/><Relationship Id="rId348" Type="http://schemas.openxmlformats.org/officeDocument/2006/relationships/image" Target="media/image165.png"/><Relationship Id="rId555" Type="http://schemas.openxmlformats.org/officeDocument/2006/relationships/image" Target="file:///C:\Users\a.dionysiou\AppData\Local\Temp\Temp1_00250269_e_20210902.zip.zip\41_e_dr\13_009.tif" TargetMode="External"/><Relationship Id="rId194" Type="http://schemas.openxmlformats.org/officeDocument/2006/relationships/image" Target="media/image88.wmf"/><Relationship Id="rId208" Type="http://schemas.openxmlformats.org/officeDocument/2006/relationships/image" Target="media/image95.wmf"/><Relationship Id="rId415" Type="http://schemas.openxmlformats.org/officeDocument/2006/relationships/image" Target="file:///C:\Users\a.dionysiou\AppData\Local\Temp\Temp1_00250269_e_20210902.zip.zip\41_e_dr\11_002b.tif" TargetMode="External"/><Relationship Id="rId622" Type="http://schemas.openxmlformats.org/officeDocument/2006/relationships/image" Target="media/image302.png"/><Relationship Id="rId261" Type="http://schemas.openxmlformats.org/officeDocument/2006/relationships/image" Target="file:///C:\Users\a.dionysiou\AppData\Local\Temp\Temp1_00250269_e_20210902.zip.zip\41_e_dr\7_005a.tif" TargetMode="External"/><Relationship Id="rId499" Type="http://schemas.openxmlformats.org/officeDocument/2006/relationships/image" Target="file:///C:\Users\a.dionysiou\AppData\Local\Temp\Temp1_00250269_e_20210902.zip.zip\41_e_dr\12_004.tif" TargetMode="External"/><Relationship Id="rId56" Type="http://schemas.openxmlformats.org/officeDocument/2006/relationships/image" Target="media/image19.wmf"/><Relationship Id="rId359" Type="http://schemas.openxmlformats.org/officeDocument/2006/relationships/image" Target="file:///C:\Users\a.dionysiou\AppData\Local\Temp\Temp1_00250269_e_20210902.zip.zip\41_e_dr\8_029a.tif" TargetMode="External"/><Relationship Id="rId566" Type="http://schemas.openxmlformats.org/officeDocument/2006/relationships/image" Target="media/image274.wmf"/><Relationship Id="rId121" Type="http://schemas.openxmlformats.org/officeDocument/2006/relationships/oleObject" Target="embeddings/oleObject51.bin"/><Relationship Id="rId219" Type="http://schemas.openxmlformats.org/officeDocument/2006/relationships/oleObject" Target="embeddings/oleObject100.bin"/><Relationship Id="rId426" Type="http://schemas.openxmlformats.org/officeDocument/2006/relationships/image" Target="media/image204.png"/><Relationship Id="rId633" Type="http://schemas.openxmlformats.org/officeDocument/2006/relationships/image" Target="file:///C:\Users\a.dionysiou\AppData\Local\Temp\Temp1_00250269_e_20210902.zip.zip\41_e_dr\l001b.tif" TargetMode="External"/><Relationship Id="rId67" Type="http://schemas.openxmlformats.org/officeDocument/2006/relationships/oleObject" Target="embeddings/oleObject24.bin"/><Relationship Id="rId272" Type="http://schemas.openxmlformats.org/officeDocument/2006/relationships/image" Target="media/image127.png"/><Relationship Id="rId577" Type="http://schemas.openxmlformats.org/officeDocument/2006/relationships/image" Target="file:///C:\Users\a.dionysiou\AppData\Local\Temp\Temp1_00250269_e_20210902.zip.zip\41_e_dr\d001.tif" TargetMode="External"/><Relationship Id="rId132" Type="http://schemas.openxmlformats.org/officeDocument/2006/relationships/image" Target="media/image57.wmf"/><Relationship Id="rId437" Type="http://schemas.openxmlformats.org/officeDocument/2006/relationships/image" Target="file:///C:\Users\a.dionysiou\AppData\Local\Temp\Temp1_00250269_e_20210902.zip.zip\41_e_dr\11_007b.tif" TargetMode="External"/><Relationship Id="rId283" Type="http://schemas.openxmlformats.org/officeDocument/2006/relationships/oleObject" Target="embeddings/oleObject109.bin"/><Relationship Id="rId490" Type="http://schemas.openxmlformats.org/officeDocument/2006/relationships/image" Target="media/image236.png"/><Relationship Id="rId504" Type="http://schemas.openxmlformats.org/officeDocument/2006/relationships/image" Target="media/image243.png"/><Relationship Id="rId78" Type="http://schemas.openxmlformats.org/officeDocument/2006/relationships/image" Target="media/image30.wmf"/><Relationship Id="rId143" Type="http://schemas.openxmlformats.org/officeDocument/2006/relationships/oleObject" Target="embeddings/oleObject62.bin"/><Relationship Id="rId350" Type="http://schemas.openxmlformats.org/officeDocument/2006/relationships/image" Target="media/image166.png"/><Relationship Id="rId588" Type="http://schemas.openxmlformats.org/officeDocument/2006/relationships/image" Target="media/image285.png"/><Relationship Id="rId9" Type="http://schemas.openxmlformats.org/officeDocument/2006/relationships/footnotes" Target="footnotes.xml"/><Relationship Id="rId210" Type="http://schemas.openxmlformats.org/officeDocument/2006/relationships/image" Target="media/image96.wmf"/><Relationship Id="rId448" Type="http://schemas.openxmlformats.org/officeDocument/2006/relationships/image" Target="media/image215.png"/><Relationship Id="rId294" Type="http://schemas.openxmlformats.org/officeDocument/2006/relationships/image" Target="media/image138.png"/><Relationship Id="rId308" Type="http://schemas.openxmlformats.org/officeDocument/2006/relationships/image" Target="media/image145.png"/><Relationship Id="rId515" Type="http://schemas.openxmlformats.org/officeDocument/2006/relationships/image" Target="file:///C:\Users\a.dionysiou\AppData\Local\Temp\Temp1_00250269_e_20210902.zip.zip\41_e_dr\12_008c.t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E1B49CF51A9F429440A3C78B816EED" ma:contentTypeVersion="0" ma:contentTypeDescription="Create a new document." ma:contentTypeScope="" ma:versionID="8965699d809e249094791ea5ff490bab">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90D88B1B-54FF-48E1-94F3-604235A1E0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29BBB0D-DB95-4468-93C5-FB944616EBB1}">
  <ds:schemaRefs>
    <ds:schemaRef ds:uri="http://schemas.openxmlformats.org/officeDocument/2006/bibliography"/>
  </ds:schemaRefs>
</ds:datastoreItem>
</file>

<file path=customXml/itemProps3.xml><?xml version="1.0" encoding="utf-8"?>
<ds:datastoreItem xmlns:ds="http://schemas.openxmlformats.org/officeDocument/2006/customXml" ds:itemID="{8E34F81E-9FF6-48D3-A94C-69C90767955D}">
  <ds:schemaRefs>
    <ds:schemaRef ds:uri="http://schemas.microsoft.com/sharepoint/v3/contenttype/forms"/>
  </ds:schemaRefs>
</ds:datastoreItem>
</file>

<file path=customXml/itemProps4.xml><?xml version="1.0" encoding="utf-8"?>
<ds:datastoreItem xmlns:ds="http://schemas.openxmlformats.org/officeDocument/2006/customXml" ds:itemID="{62B04C65-EA47-4C12-B8B8-8A5CE694912B}">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elements/1.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133488</Words>
  <Characters>760888</Characters>
  <Application>Microsoft Office Word</Application>
  <DocSecurity>4</DocSecurity>
  <Lines>6340</Lines>
  <Paragraphs>1785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CENCENELEC</Company>
  <LinksUpToDate>false</LinksUpToDate>
  <CharactersWithSpaces>892591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B&amp;B</dc:creator>
  <cp:keywords/>
  <dc:description/>
  <cp:lastModifiedBy>Anna Dionysiou</cp:lastModifiedBy>
  <cp:revision>2</cp:revision>
  <cp:lastPrinted>2021-01-10T17:44:00Z</cp:lastPrinted>
  <dcterms:created xsi:type="dcterms:W3CDTF">2021-09-03T07:14:00Z</dcterms:created>
  <dcterms:modified xsi:type="dcterms:W3CDTF">2021-09-03T07:14:00Z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Url">
    <vt:lpwstr/>
  </property>
  <property fmtid="{D5CDD505-2E9C-101B-9397-08002B2CF9AE}" pid="3" name="_SourceUrl">
    <vt:lpwstr/>
  </property>
  <property fmtid="{D5CDD505-2E9C-101B-9397-08002B2CF9AE}" pid="4" name="_SharedFileIndex">
    <vt:lpwstr/>
  </property>
  <property fmtid="{D5CDD505-2E9C-101B-9397-08002B2CF9AE}" pid="5" name="xd_Signature">
    <vt:bool>false</vt:bool>
  </property>
  <property fmtid="{D5CDD505-2E9C-101B-9397-08002B2CF9AE}" pid="6" name="xd_ProgID">
    <vt:lpwstr/>
  </property>
  <property fmtid="{D5CDD505-2E9C-101B-9397-08002B2CF9AE}" pid="7" name="ContentTypeId">
    <vt:lpwstr>0x01010066E1B49CF51A9F429440A3C78B816EED</vt:lpwstr>
  </property>
  <property fmtid="{D5CDD505-2E9C-101B-9397-08002B2CF9AE}" pid="8" name="MTWinEqns">
    <vt:bool>true</vt:bool>
  </property>
</Properties>
</file>